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er2731.xml" ContentType="application/vnd.openxmlformats-officedocument.wordprocessingml.footer+xml"/>
  <Override PartName="/word/footer2734.xml" ContentType="application/vnd.openxmlformats-officedocument.wordprocessingml.footer+xml"/>
  <Override PartName="/word/footer2737.xml" ContentType="application/vnd.openxmlformats-officedocument.wordprocessingml.footer+xml"/>
  <Override PartName="/word/footer2740.xml" ContentType="application/vnd.openxmlformats-officedocument.wordprocessingml.footer+xml"/>
  <Override PartName="/word/footer2743.xml" ContentType="application/vnd.openxmlformats-officedocument.wordprocessingml.footer+xml"/>
  <Override PartName="/word/footer2746.xml" ContentType="application/vnd.openxmlformats-officedocument.wordprocessingml.footer+xml"/>
  <Override PartName="/word/footer2749.xml" ContentType="application/vnd.openxmlformats-officedocument.wordprocessingml.footer+xml"/>
  <Override PartName="/word/footer2752.xml" ContentType="application/vnd.openxmlformats-officedocument.wordprocessingml.footer+xml"/>
  <Override PartName="/word/footer2755.xml" ContentType="application/vnd.openxmlformats-officedocument.wordprocessingml.footer+xml"/>
  <Override PartName="/word/footer2758.xml" ContentType="application/vnd.openxmlformats-officedocument.wordprocessingml.footer+xml"/>
  <Override PartName="/word/footer2761.xml" ContentType="application/vnd.openxmlformats-officedocument.wordprocessingml.footer+xml"/>
  <Override PartName="/word/footer2764.xml" ContentType="application/vnd.openxmlformats-officedocument.wordprocessingml.footer+xml"/>
  <Override PartName="/word/footer2767.xml" ContentType="application/vnd.openxmlformats-officedocument.wordprocessingml.footer+xml"/>
  <Override PartName="/word/footer2770.xml" ContentType="application/vnd.openxmlformats-officedocument.wordprocessingml.footer+xml"/>
  <Override PartName="/word/footer2773.xml" ContentType="application/vnd.openxmlformats-officedocument.wordprocessingml.footer+xml"/>
  <Override PartName="/word/footer2776.xml" ContentType="application/vnd.openxmlformats-officedocument.wordprocessingml.footer+xml"/>
  <Override PartName="/word/footer2779.xml" ContentType="application/vnd.openxmlformats-officedocument.wordprocessingml.footer+xml"/>
  <Override PartName="/word/footer2782.xml" ContentType="application/vnd.openxmlformats-officedocument.wordprocessingml.footer+xml"/>
  <Override PartName="/word/footer2785.xml" ContentType="application/vnd.openxmlformats-officedocument.wordprocessingml.footer+xml"/>
  <Override PartName="/word/footer2788.xml" ContentType="application/vnd.openxmlformats-officedocument.wordprocessingml.footer+xml"/>
  <Override PartName="/word/footer2791.xml" ContentType="application/vnd.openxmlformats-officedocument.wordprocessingml.footer+xml"/>
  <Override PartName="/word/footer2794.xml" ContentType="application/vnd.openxmlformats-officedocument.wordprocessingml.footer+xml"/>
  <Override PartName="/word/footer2797.xml" ContentType="application/vnd.openxmlformats-officedocument.wordprocessingml.footer+xml"/>
  <Override PartName="/word/footer2800.xml" ContentType="application/vnd.openxmlformats-officedocument.wordprocessingml.footer+xml"/>
  <Override PartName="/word/footer2803.xml" ContentType="application/vnd.openxmlformats-officedocument.wordprocessingml.footer+xml"/>
  <Override PartName="/word/footer2806.xml" ContentType="application/vnd.openxmlformats-officedocument.wordprocessingml.footer+xml"/>
  <Override PartName="/word/footer2809.xml" ContentType="application/vnd.openxmlformats-officedocument.wordprocessingml.footer+xml"/>
  <Override PartName="/word/footer2812.xml" ContentType="application/vnd.openxmlformats-officedocument.wordprocessingml.footer+xml"/>
  <Override PartName="/word/footer2815.xml" ContentType="application/vnd.openxmlformats-officedocument.wordprocessingml.footer+xml"/>
  <Override PartName="/word/footer2818.xml" ContentType="application/vnd.openxmlformats-officedocument.wordprocessingml.footer+xml"/>
  <Override PartName="/word/footer2821.xml" ContentType="application/vnd.openxmlformats-officedocument.wordprocessingml.footer+xml"/>
  <Override PartName="/word/footer2824.xml" ContentType="application/vnd.openxmlformats-officedocument.wordprocessingml.footer+xml"/>
  <Override PartName="/word/footer2827.xml" ContentType="application/vnd.openxmlformats-officedocument.wordprocessingml.footer+xml"/>
  <Override PartName="/word/footer2830.xml" ContentType="application/vnd.openxmlformats-officedocument.wordprocessingml.footer+xml"/>
  <Override PartName="/word/footer2833.xml" ContentType="application/vnd.openxmlformats-officedocument.wordprocessingml.footer+xml"/>
  <Override PartName="/word/footer2836.xml" ContentType="application/vnd.openxmlformats-officedocument.wordprocessingml.footer+xml"/>
  <Override PartName="/word/footer2839.xml" ContentType="application/vnd.openxmlformats-officedocument.wordprocessingml.footer+xml"/>
  <Override PartName="/word/footer2842.xml" ContentType="application/vnd.openxmlformats-officedocument.wordprocessingml.footer+xml"/>
  <Override PartName="/word/footer2845.xml" ContentType="application/vnd.openxmlformats-officedocument.wordprocessingml.footer+xml"/>
  <Override PartName="/word/footer2848.xml" ContentType="application/vnd.openxmlformats-officedocument.wordprocessingml.footer+xml"/>
  <Override PartName="/word/footer2851.xml" ContentType="application/vnd.openxmlformats-officedocument.wordprocessingml.footer+xml"/>
  <Override PartName="/word/footer2854.xml" ContentType="application/vnd.openxmlformats-officedocument.wordprocessingml.footer+xml"/>
  <Override PartName="/word/footer2857.xml" ContentType="application/vnd.openxmlformats-officedocument.wordprocessingml.footer+xml"/>
  <Override PartName="/word/footer2860.xml" ContentType="application/vnd.openxmlformats-officedocument.wordprocessingml.footer+xml"/>
  <Override PartName="/word/footer2863.xml" ContentType="application/vnd.openxmlformats-officedocument.wordprocessingml.footer+xml"/>
  <Override PartName="/word/footer2866.xml" ContentType="application/vnd.openxmlformats-officedocument.wordprocessingml.footer+xml"/>
  <Override PartName="/word/footer2869.xml" ContentType="application/vnd.openxmlformats-officedocument.wordprocessingml.footer+xml"/>
  <Override PartName="/word/footer2872.xml" ContentType="application/vnd.openxmlformats-officedocument.wordprocessingml.footer+xml"/>
  <Override PartName="/word/footer2875.xml" ContentType="application/vnd.openxmlformats-officedocument.wordprocessingml.footer+xml"/>
  <Override PartName="/word/footer2878.xml" ContentType="application/vnd.openxmlformats-officedocument.wordprocessingml.footer+xml"/>
  <Override PartName="/word/footer2881.xml" ContentType="application/vnd.openxmlformats-officedocument.wordprocessingml.footer+xml"/>
  <Override PartName="/word/footer2884.xml" ContentType="application/vnd.openxmlformats-officedocument.wordprocessingml.footer+xml"/>
  <Override PartName="/word/footer2887.xml" ContentType="application/vnd.openxmlformats-officedocument.wordprocessingml.footer+xml"/>
  <Override PartName="/word/footer2890.xml" ContentType="application/vnd.openxmlformats-officedocument.wordprocessingml.footer+xml"/>
  <Override PartName="/word/footer2893.xml" ContentType="application/vnd.openxmlformats-officedocument.wordprocessingml.footer+xml"/>
  <Override PartName="/word/footer2896.xml" ContentType="application/vnd.openxmlformats-officedocument.wordprocessingml.footer+xml"/>
  <Override PartName="/word/footer2899.xml" ContentType="application/vnd.openxmlformats-officedocument.wordprocessingml.footer+xml"/>
  <Override PartName="/word/footer2902.xml" ContentType="application/vnd.openxmlformats-officedocument.wordprocessingml.footer+xml"/>
  <Override PartName="/word/footer2905.xml" ContentType="application/vnd.openxmlformats-officedocument.wordprocessingml.footer+xml"/>
  <Override PartName="/word/footer2908.xml" ContentType="application/vnd.openxmlformats-officedocument.wordprocessingml.footer+xml"/>
  <Override PartName="/word/footer2911.xml" ContentType="application/vnd.openxmlformats-officedocument.wordprocessingml.footer+xml"/>
  <Override PartName="/word/footer2914.xml" ContentType="application/vnd.openxmlformats-officedocument.wordprocessingml.footer+xml"/>
  <Override PartName="/word/footer2917.xml" ContentType="application/vnd.openxmlformats-officedocument.wordprocessingml.footer+xml"/>
  <Override PartName="/word/footer2920.xml" ContentType="application/vnd.openxmlformats-officedocument.wordprocessingml.footer+xml"/>
  <Override PartName="/word/footer2923.xml" ContentType="application/vnd.openxmlformats-officedocument.wordprocessingml.footer+xml"/>
  <Override PartName="/word/footer2926.xml" ContentType="application/vnd.openxmlformats-officedocument.wordprocessingml.footer+xml"/>
  <Override PartName="/word/footer2929.xml" ContentType="application/vnd.openxmlformats-officedocument.wordprocessingml.footer+xml"/>
  <Override PartName="/word/footer2932.xml" ContentType="application/vnd.openxmlformats-officedocument.wordprocessingml.footer+xml"/>
  <Override PartName="/word/footer2935.xml" ContentType="application/vnd.openxmlformats-officedocument.wordprocessingml.footer+xml"/>
  <Override PartName="/word/footer2938.xml" ContentType="application/vnd.openxmlformats-officedocument.wordprocessingml.footer+xml"/>
  <Override PartName="/word/footer2941.xml" ContentType="application/vnd.openxmlformats-officedocument.wordprocessingml.footer+xml"/>
  <Override PartName="/word/footer2944.xml" ContentType="application/vnd.openxmlformats-officedocument.wordprocessingml.footer+xml"/>
  <Override PartName="/word/footer2947.xml" ContentType="application/vnd.openxmlformats-officedocument.wordprocessingml.footer+xml"/>
  <Override PartName="/word/footer2950.xml" ContentType="application/vnd.openxmlformats-officedocument.wordprocessingml.footer+xml"/>
  <Override PartName="/word/footer2953.xml" ContentType="application/vnd.openxmlformats-officedocument.wordprocessingml.footer+xml"/>
  <Override PartName="/word/footer2956.xml" ContentType="application/vnd.openxmlformats-officedocument.wordprocessingml.footer+xml"/>
  <Override PartName="/word/footer2959.xml" ContentType="application/vnd.openxmlformats-officedocument.wordprocessingml.footer+xml"/>
  <Override PartName="/word/footer2962.xml" ContentType="application/vnd.openxmlformats-officedocument.wordprocessingml.footer+xml"/>
  <Override PartName="/word/footer2965.xml" ContentType="application/vnd.openxmlformats-officedocument.wordprocessingml.footer+xml"/>
  <Override PartName="/word/footer2968.xml" ContentType="application/vnd.openxmlformats-officedocument.wordprocessingml.footer+xml"/>
  <Override PartName="/word/footer2971.xml" ContentType="application/vnd.openxmlformats-officedocument.wordprocessingml.footer+xml"/>
  <Override PartName="/word/footer2974.xml" ContentType="application/vnd.openxmlformats-officedocument.wordprocessingml.footer+xml"/>
  <Override PartName="/word/footer2977.xml" ContentType="application/vnd.openxmlformats-officedocument.wordprocessingml.footer+xml"/>
  <Override PartName="/word/footer2980.xml" ContentType="application/vnd.openxmlformats-officedocument.wordprocessingml.footer+xml"/>
  <Override PartName="/word/footer2983.xml" ContentType="application/vnd.openxmlformats-officedocument.wordprocessingml.footer+xml"/>
  <Override PartName="/word/footer2986.xml" ContentType="application/vnd.openxmlformats-officedocument.wordprocessingml.footer+xml"/>
  <Override PartName="/word/footer2989.xml" ContentType="application/vnd.openxmlformats-officedocument.wordprocessingml.footer+xml"/>
  <Override PartName="/word/footer2992.xml" ContentType="application/vnd.openxmlformats-officedocument.wordprocessingml.footer+xml"/>
  <Override PartName="/word/footer2995.xml" ContentType="application/vnd.openxmlformats-officedocument.wordprocessingml.footer+xml"/>
  <Override PartName="/word/footer2998.xml" ContentType="application/vnd.openxmlformats-officedocument.wordprocessingml.footer+xml"/>
  <Override PartName="/word/footer3001.xml" ContentType="application/vnd.openxmlformats-officedocument.wordprocessingml.footer+xml"/>
  <Override PartName="/word/footer3004.xml" ContentType="application/vnd.openxmlformats-officedocument.wordprocessingml.footer+xml"/>
  <Override PartName="/word/footer3007.xml" ContentType="application/vnd.openxmlformats-officedocument.wordprocessingml.footer+xml"/>
  <Override PartName="/word/footer3010.xml" ContentType="application/vnd.openxmlformats-officedocument.wordprocessingml.footer+xml"/>
  <Override PartName="/word/footer3013.xml" ContentType="application/vnd.openxmlformats-officedocument.wordprocessingml.footer+xml"/>
  <Override PartName="/word/footer3016.xml" ContentType="application/vnd.openxmlformats-officedocument.wordprocessingml.footer+xml"/>
  <Override PartName="/word/footer3019.xml" ContentType="application/vnd.openxmlformats-officedocument.wordprocessingml.footer+xml"/>
  <Override PartName="/word/footer3022.xml" ContentType="application/vnd.openxmlformats-officedocument.wordprocessingml.footer+xml"/>
  <Override PartName="/word/footer3025.xml" ContentType="application/vnd.openxmlformats-officedocument.wordprocessingml.footer+xml"/>
  <Override PartName="/word/footer3028.xml" ContentType="application/vnd.openxmlformats-officedocument.wordprocessingml.footer+xml"/>
  <Override PartName="/word/footer3031.xml" ContentType="application/vnd.openxmlformats-officedocument.wordprocessingml.footer+xml"/>
  <Override PartName="/word/footer3034.xml" ContentType="application/vnd.openxmlformats-officedocument.wordprocessingml.footer+xml"/>
  <Override PartName="/word/footer3037.xml" ContentType="application/vnd.openxmlformats-officedocument.wordprocessingml.footer+xml"/>
  <Override PartName="/word/footer3040.xml" ContentType="application/vnd.openxmlformats-officedocument.wordprocessingml.footer+xml"/>
  <Override PartName="/word/footer3043.xml" ContentType="application/vnd.openxmlformats-officedocument.wordprocessingml.footer+xml"/>
  <Override PartName="/word/footer3046.xml" ContentType="application/vnd.openxmlformats-officedocument.wordprocessingml.footer+xml"/>
  <Override PartName="/word/footer3049.xml" ContentType="application/vnd.openxmlformats-officedocument.wordprocessingml.footer+xml"/>
  <Override PartName="/word/footer3052.xml" ContentType="application/vnd.openxmlformats-officedocument.wordprocessingml.footer+xml"/>
  <Override PartName="/word/footer3055.xml" ContentType="application/vnd.openxmlformats-officedocument.wordprocessingml.footer+xml"/>
  <Override PartName="/word/footer3058.xml" ContentType="application/vnd.openxmlformats-officedocument.wordprocessingml.footer+xml"/>
  <Override PartName="/word/footer3061.xml" ContentType="application/vnd.openxmlformats-officedocument.wordprocessingml.footer+xml"/>
  <Override PartName="/word/footer3064.xml" ContentType="application/vnd.openxmlformats-officedocument.wordprocessingml.footer+xml"/>
  <Override PartName="/word/footer3067.xml" ContentType="application/vnd.openxmlformats-officedocument.wordprocessingml.footer+xml"/>
  <Override PartName="/word/footer3070.xml" ContentType="application/vnd.openxmlformats-officedocument.wordprocessingml.footer+xml"/>
  <Override PartName="/word/footer3073.xml" ContentType="application/vnd.openxmlformats-officedocument.wordprocessingml.footer+xml"/>
  <Override PartName="/word/footer3076.xml" ContentType="application/vnd.openxmlformats-officedocument.wordprocessingml.footer+xml"/>
  <Override PartName="/word/footer3079.xml" ContentType="application/vnd.openxmlformats-officedocument.wordprocessingml.footer+xml"/>
  <Override PartName="/word/footer3082.xml" ContentType="application/vnd.openxmlformats-officedocument.wordprocessingml.footer+xml"/>
  <Override PartName="/word/footer3085.xml" ContentType="application/vnd.openxmlformats-officedocument.wordprocessingml.footer+xml"/>
  <Override PartName="/word/footer3088.xml" ContentType="application/vnd.openxmlformats-officedocument.wordprocessingml.footer+xml"/>
  <Override PartName="/word/footer3091.xml" ContentType="application/vnd.openxmlformats-officedocument.wordprocessingml.footer+xml"/>
  <Override PartName="/word/footer3094.xml" ContentType="application/vnd.openxmlformats-officedocument.wordprocessingml.footer+xml"/>
  <Override PartName="/word/footer3097.xml" ContentType="application/vnd.openxmlformats-officedocument.wordprocessingml.footer+xml"/>
  <Override PartName="/word/footer3100.xml" ContentType="application/vnd.openxmlformats-officedocument.wordprocessingml.footer+xml"/>
  <Override PartName="/word/footer3103.xml" ContentType="application/vnd.openxmlformats-officedocument.wordprocessingml.footer+xml"/>
  <Override PartName="/word/footer3106.xml" ContentType="application/vnd.openxmlformats-officedocument.wordprocessingml.footer+xml"/>
  <Override PartName="/word/footer3109.xml" ContentType="application/vnd.openxmlformats-officedocument.wordprocessingml.footer+xml"/>
  <Override PartName="/word/footer3112.xml" ContentType="application/vnd.openxmlformats-officedocument.wordprocessingml.footer+xml"/>
  <Override PartName="/word/footer3115.xml" ContentType="application/vnd.openxmlformats-officedocument.wordprocessingml.footer+xml"/>
  <Override PartName="/word/footer3118.xml" ContentType="application/vnd.openxmlformats-officedocument.wordprocessingml.footer+xml"/>
  <Override PartName="/word/footer3121.xml" ContentType="application/vnd.openxmlformats-officedocument.wordprocessingml.footer+xml"/>
  <Override PartName="/word/footer3124.xml" ContentType="application/vnd.openxmlformats-officedocument.wordprocessingml.footer+xml"/>
  <Override PartName="/word/footer3127.xml" ContentType="application/vnd.openxmlformats-officedocument.wordprocessingml.footer+xml"/>
  <Override PartName="/word/footer3130.xml" ContentType="application/vnd.openxmlformats-officedocument.wordprocessingml.footer+xml"/>
  <Override PartName="/word/footer3133.xml" ContentType="application/vnd.openxmlformats-officedocument.wordprocessingml.footer+xml"/>
  <Override PartName="/word/footer3136.xml" ContentType="application/vnd.openxmlformats-officedocument.wordprocessingml.footer+xml"/>
  <Override PartName="/word/footer3139.xml" ContentType="application/vnd.openxmlformats-officedocument.wordprocessingml.footer+xml"/>
  <Override PartName="/word/footer3142.xml" ContentType="application/vnd.openxmlformats-officedocument.wordprocessingml.footer+xml"/>
  <Override PartName="/word/footer3145.xml" ContentType="application/vnd.openxmlformats-officedocument.wordprocessingml.footer+xml"/>
  <Override PartName="/word/footer3148.xml" ContentType="application/vnd.openxmlformats-officedocument.wordprocessingml.footer+xml"/>
  <Override PartName="/word/footer3151.xml" ContentType="application/vnd.openxmlformats-officedocument.wordprocessingml.footer+xml"/>
  <Override PartName="/word/footer3154.xml" ContentType="application/vnd.openxmlformats-officedocument.wordprocessingml.footer+xml"/>
  <Override PartName="/word/footer3157.xml" ContentType="application/vnd.openxmlformats-officedocument.wordprocessingml.footer+xml"/>
  <Override PartName="/word/footer3160.xml" ContentType="application/vnd.openxmlformats-officedocument.wordprocessingml.footer+xml"/>
  <Override PartName="/word/footer3163.xml" ContentType="application/vnd.openxmlformats-officedocument.wordprocessingml.footer+xml"/>
  <Override PartName="/word/footer3166.xml" ContentType="application/vnd.openxmlformats-officedocument.wordprocessingml.footer+xml"/>
  <Override PartName="/word/footer3169.xml" ContentType="application/vnd.openxmlformats-officedocument.wordprocessingml.footer+xml"/>
  <Override PartName="/word/footer3172.xml" ContentType="application/vnd.openxmlformats-officedocument.wordprocessingml.footer+xml"/>
  <Override PartName="/word/footer3175.xml" ContentType="application/vnd.openxmlformats-officedocument.wordprocessingml.footer+xml"/>
  <Override PartName="/word/footer3178.xml" ContentType="application/vnd.openxmlformats-officedocument.wordprocessingml.footer+xml"/>
  <Override PartName="/word/footer3181.xml" ContentType="application/vnd.openxmlformats-officedocument.wordprocessingml.footer+xml"/>
  <Override PartName="/word/footer3184.xml" ContentType="application/vnd.openxmlformats-officedocument.wordprocessingml.footer+xml"/>
  <Override PartName="/word/footer3187.xml" ContentType="application/vnd.openxmlformats-officedocument.wordprocessingml.footer+xml"/>
  <Override PartName="/word/footer3190.xml" ContentType="application/vnd.openxmlformats-officedocument.wordprocessingml.footer+xml"/>
  <Override PartName="/word/footer3193.xml" ContentType="application/vnd.openxmlformats-officedocument.wordprocessingml.footer+xml"/>
  <Override PartName="/word/footer3196.xml" ContentType="application/vnd.openxmlformats-officedocument.wordprocessingml.footer+xml"/>
  <Override PartName="/word/footer3199.xml" ContentType="application/vnd.openxmlformats-officedocument.wordprocessingml.footer+xml"/>
  <Override PartName="/word/footer3202.xml" ContentType="application/vnd.openxmlformats-officedocument.wordprocessingml.footer+xml"/>
  <Override PartName="/word/footer3205.xml" ContentType="application/vnd.openxmlformats-officedocument.wordprocessingml.footer+xml"/>
  <Override PartName="/word/footer3208.xml" ContentType="application/vnd.openxmlformats-officedocument.wordprocessingml.footer+xml"/>
  <Override PartName="/word/footer3211.xml" ContentType="application/vnd.openxmlformats-officedocument.wordprocessingml.footer+xml"/>
  <Override PartName="/word/footer3214.xml" ContentType="application/vnd.openxmlformats-officedocument.wordprocessingml.footer+xml"/>
  <Override PartName="/word/footer3217.xml" ContentType="application/vnd.openxmlformats-officedocument.wordprocessingml.footer+xml"/>
  <Override PartName="/word/footer3220.xml" ContentType="application/vnd.openxmlformats-officedocument.wordprocessingml.footer+xml"/>
  <Override PartName="/word/footer3223.xml" ContentType="application/vnd.openxmlformats-officedocument.wordprocessingml.footer+xml"/>
  <Override PartName="/word/footer3226.xml" ContentType="application/vnd.openxmlformats-officedocument.wordprocessingml.footer+xml"/>
  <Override PartName="/word/footer3229.xml" ContentType="application/vnd.openxmlformats-officedocument.wordprocessingml.footer+xml"/>
  <Override PartName="/word/footer3232.xml" ContentType="application/vnd.openxmlformats-officedocument.wordprocessingml.footer+xml"/>
  <Override PartName="/word/footer3235.xml" ContentType="application/vnd.openxmlformats-officedocument.wordprocessingml.footer+xml"/>
  <Override PartName="/word/footer3238.xml" ContentType="application/vnd.openxmlformats-officedocument.wordprocessingml.footer+xml"/>
  <Override PartName="/word/footer3241.xml" ContentType="application/vnd.openxmlformats-officedocument.wordprocessingml.footer+xml"/>
  <Override PartName="/word/footer3244.xml" ContentType="application/vnd.openxmlformats-officedocument.wordprocessingml.footer+xml"/>
  <Override PartName="/word/footer3247.xml" ContentType="application/vnd.openxmlformats-officedocument.wordprocessingml.footer+xml"/>
  <Override PartName="/word/footer3250.xml" ContentType="application/vnd.openxmlformats-officedocument.wordprocessingml.footer+xml"/>
  <Override PartName="/word/footer3253.xml" ContentType="application/vnd.openxmlformats-officedocument.wordprocessingml.footer+xml"/>
  <Override PartName="/word/footer3256.xml" ContentType="application/vnd.openxmlformats-officedocument.wordprocessingml.footer+xml"/>
  <Override PartName="/word/footer3259.xml" ContentType="application/vnd.openxmlformats-officedocument.wordprocessingml.footer+xml"/>
  <Override PartName="/word/footer3262.xml" ContentType="application/vnd.openxmlformats-officedocument.wordprocessingml.footer+xml"/>
  <Override PartName="/word/footer3265.xml" ContentType="application/vnd.openxmlformats-officedocument.wordprocessingml.footer+xml"/>
  <Override PartName="/word/footer3268.xml" ContentType="application/vnd.openxmlformats-officedocument.wordprocessingml.footer+xml"/>
  <Override PartName="/word/footer3271.xml" ContentType="application/vnd.openxmlformats-officedocument.wordprocessingml.footer+xml"/>
  <Override PartName="/word/footer3274.xml" ContentType="application/vnd.openxmlformats-officedocument.wordprocessingml.footer+xml"/>
  <Override PartName="/word/footer3277.xml" ContentType="application/vnd.openxmlformats-officedocument.wordprocessingml.footer+xml"/>
  <Override PartName="/word/footer3280.xml" ContentType="application/vnd.openxmlformats-officedocument.wordprocessingml.footer+xml"/>
  <Override PartName="/word/footer3283.xml" ContentType="application/vnd.openxmlformats-officedocument.wordprocessingml.footer+xml"/>
  <Override PartName="/word/footer3286.xml" ContentType="application/vnd.openxmlformats-officedocument.wordprocessingml.footer+xml"/>
  <Override PartName="/word/footer3289.xml" ContentType="application/vnd.openxmlformats-officedocument.wordprocessingml.footer+xml"/>
  <Override PartName="/word/footer3292.xml" ContentType="application/vnd.openxmlformats-officedocument.wordprocessingml.footer+xml"/>
  <Override PartName="/word/footer3295.xml" ContentType="application/vnd.openxmlformats-officedocument.wordprocessingml.footer+xml"/>
  <Override PartName="/word/footer3298.xml" ContentType="application/vnd.openxmlformats-officedocument.wordprocessingml.footer+xml"/>
  <Override PartName="/word/footer3301.xml" ContentType="application/vnd.openxmlformats-officedocument.wordprocessingml.footer+xml"/>
  <Override PartName="/word/footer3304.xml" ContentType="application/vnd.openxmlformats-officedocument.wordprocessingml.footer+xml"/>
  <Override PartName="/word/footer3307.xml" ContentType="application/vnd.openxmlformats-officedocument.wordprocessingml.footer+xml"/>
  <Override PartName="/word/footer3310.xml" ContentType="application/vnd.openxmlformats-officedocument.wordprocessingml.footer+xml"/>
  <Override PartName="/word/footer3313.xml" ContentType="application/vnd.openxmlformats-officedocument.wordprocessingml.footer+xml"/>
  <Override PartName="/word/footer3316.xml" ContentType="application/vnd.openxmlformats-officedocument.wordprocessingml.footer+xml"/>
  <Override PartName="/word/footer3319.xml" ContentType="application/vnd.openxmlformats-officedocument.wordprocessingml.footer+xml"/>
  <Override PartName="/word/footer3322.xml" ContentType="application/vnd.openxmlformats-officedocument.wordprocessingml.footer+xml"/>
  <Override PartName="/word/footer3325.xml" ContentType="application/vnd.openxmlformats-officedocument.wordprocessingml.footer+xml"/>
  <Override PartName="/word/footer3328.xml" ContentType="application/vnd.openxmlformats-officedocument.wordprocessingml.footer+xml"/>
  <Override PartName="/word/footer3331.xml" ContentType="application/vnd.openxmlformats-officedocument.wordprocessingml.footer+xml"/>
  <Override PartName="/word/footer3334.xml" ContentType="application/vnd.openxmlformats-officedocument.wordprocessingml.footer+xml"/>
  <Override PartName="/word/footer3337.xml" ContentType="application/vnd.openxmlformats-officedocument.wordprocessingml.footer+xml"/>
  <Override PartName="/word/footer3340.xml" ContentType="application/vnd.openxmlformats-officedocument.wordprocessingml.footer+xml"/>
  <Override PartName="/word/footer3343.xml" ContentType="application/vnd.openxmlformats-officedocument.wordprocessingml.footer+xml"/>
  <Override PartName="/word/footer3346.xml" ContentType="application/vnd.openxmlformats-officedocument.wordprocessingml.footer+xml"/>
  <Override PartName="/word/footer3349.xml" ContentType="application/vnd.openxmlformats-officedocument.wordprocessingml.footer+xml"/>
  <Override PartName="/word/footer3352.xml" ContentType="application/vnd.openxmlformats-officedocument.wordprocessingml.footer+xml"/>
  <Override PartName="/word/footer3355.xml" ContentType="application/vnd.openxmlformats-officedocument.wordprocessingml.footer+xml"/>
  <Override PartName="/word/footer3358.xml" ContentType="application/vnd.openxmlformats-officedocument.wordprocessingml.footer+xml"/>
  <Override PartName="/word/footer3361.xml" ContentType="application/vnd.openxmlformats-officedocument.wordprocessingml.footer+xml"/>
  <Override PartName="/word/footer3364.xml" ContentType="application/vnd.openxmlformats-officedocument.wordprocessingml.footer+xml"/>
  <Override PartName="/word/footer3367.xml" ContentType="application/vnd.openxmlformats-officedocument.wordprocessingml.footer+xml"/>
  <Override PartName="/word/footer3370.xml" ContentType="application/vnd.openxmlformats-officedocument.wordprocessingml.footer+xml"/>
  <Override PartName="/word/footer3373.xml" ContentType="application/vnd.openxmlformats-officedocument.wordprocessingml.footer+xml"/>
  <Override PartName="/word/footer3376.xml" ContentType="application/vnd.openxmlformats-officedocument.wordprocessingml.footer+xml"/>
  <Override PartName="/word/footer3379.xml" ContentType="application/vnd.openxmlformats-officedocument.wordprocessingml.footer+xml"/>
  <Override PartName="/word/footer3382.xml" ContentType="application/vnd.openxmlformats-officedocument.wordprocessingml.footer+xml"/>
  <Override PartName="/word/footer3385.xml" ContentType="application/vnd.openxmlformats-officedocument.wordprocessingml.footer+xml"/>
  <Override PartName="/word/footer3388.xml" ContentType="application/vnd.openxmlformats-officedocument.wordprocessingml.footer+xml"/>
  <Override PartName="/word/footer3391.xml" ContentType="application/vnd.openxmlformats-officedocument.wordprocessingml.footer+xml"/>
  <Override PartName="/word/footer3394.xml" ContentType="application/vnd.openxmlformats-officedocument.wordprocessingml.footer+xml"/>
  <Override PartName="/word/footer3397.xml" ContentType="application/vnd.openxmlformats-officedocument.wordprocessingml.footer+xml"/>
  <Override PartName="/word/footer3400.xml" ContentType="application/vnd.openxmlformats-officedocument.wordprocessingml.footer+xml"/>
  <Override PartName="/word/footer3403.xml" ContentType="application/vnd.openxmlformats-officedocument.wordprocessingml.footer+xml"/>
  <Override PartName="/word/footer3406.xml" ContentType="application/vnd.openxmlformats-officedocument.wordprocessingml.footer+xml"/>
  <Override PartName="/word/footer3409.xml" ContentType="application/vnd.openxmlformats-officedocument.wordprocessingml.footer+xml"/>
  <Override PartName="/word/footer3412.xml" ContentType="application/vnd.openxmlformats-officedocument.wordprocessingml.footer+xml"/>
  <Override PartName="/word/footer3415.xml" ContentType="application/vnd.openxmlformats-officedocument.wordprocessingml.footer+xml"/>
  <Override PartName="/word/footer3418.xml" ContentType="application/vnd.openxmlformats-officedocument.wordprocessingml.footer+xml"/>
  <Override PartName="/word/footer3421.xml" ContentType="application/vnd.openxmlformats-officedocument.wordprocessingml.footer+xml"/>
  <Override PartName="/word/footer3424.xml" ContentType="application/vnd.openxmlformats-officedocument.wordprocessingml.footer+xml"/>
  <Override PartName="/word/footer3427.xml" ContentType="application/vnd.openxmlformats-officedocument.wordprocessingml.footer+xml"/>
  <Override PartName="/word/footer3430.xml" ContentType="application/vnd.openxmlformats-officedocument.wordprocessingml.footer+xml"/>
  <Override PartName="/word/footer3433.xml" ContentType="application/vnd.openxmlformats-officedocument.wordprocessingml.footer+xml"/>
  <Override PartName="/word/footer3436.xml" ContentType="application/vnd.openxmlformats-officedocument.wordprocessingml.footer+xml"/>
  <Override PartName="/word/footer3439.xml" ContentType="application/vnd.openxmlformats-officedocument.wordprocessingml.footer+xml"/>
  <Override PartName="/word/footer3442.xml" ContentType="application/vnd.openxmlformats-officedocument.wordprocessingml.footer+xml"/>
  <Override PartName="/word/footer3445.xml" ContentType="application/vnd.openxmlformats-officedocument.wordprocessingml.footer+xml"/>
  <Override PartName="/word/footer3448.xml" ContentType="application/vnd.openxmlformats-officedocument.wordprocessingml.footer+xml"/>
  <Override PartName="/word/footer3451.xml" ContentType="application/vnd.openxmlformats-officedocument.wordprocessingml.footer+xml"/>
  <Override PartName="/word/footer3454.xml" ContentType="application/vnd.openxmlformats-officedocument.wordprocessingml.footer+xml"/>
  <Override PartName="/word/footer3457.xml" ContentType="application/vnd.openxmlformats-officedocument.wordprocessingml.footer+xml"/>
  <Override PartName="/word/footer3460.xml" ContentType="application/vnd.openxmlformats-officedocument.wordprocessingml.footer+xml"/>
  <Override PartName="/word/footer3463.xml" ContentType="application/vnd.openxmlformats-officedocument.wordprocessingml.footer+xml"/>
  <Override PartName="/word/footer3466.xml" ContentType="application/vnd.openxmlformats-officedocument.wordprocessingml.footer+xml"/>
  <Override PartName="/word/footer3469.xml" ContentType="application/vnd.openxmlformats-officedocument.wordprocessingml.footer+xml"/>
  <Override PartName="/word/footer3472.xml" ContentType="application/vnd.openxmlformats-officedocument.wordprocessingml.footer+xml"/>
  <Override PartName="/word/footer3475.xml" ContentType="application/vnd.openxmlformats-officedocument.wordprocessingml.footer+xml"/>
  <Override PartName="/word/footer3478.xml" ContentType="application/vnd.openxmlformats-officedocument.wordprocessingml.footer+xml"/>
  <Override PartName="/word/footer3481.xml" ContentType="application/vnd.openxmlformats-officedocument.wordprocessingml.footer+xml"/>
  <Override PartName="/word/footer3484.xml" ContentType="application/vnd.openxmlformats-officedocument.wordprocessingml.footer+xml"/>
  <Override PartName="/word/footer3487.xml" ContentType="application/vnd.openxmlformats-officedocument.wordprocessingml.footer+xml"/>
  <Override PartName="/word/footer3490.xml" ContentType="application/vnd.openxmlformats-officedocument.wordprocessingml.footer+xml"/>
  <Override PartName="/word/footer3493.xml" ContentType="application/vnd.openxmlformats-officedocument.wordprocessingml.footer+xml"/>
  <Override PartName="/word/footer3496.xml" ContentType="application/vnd.openxmlformats-officedocument.wordprocessingml.footer+xml"/>
  <Override PartName="/word/footer3499.xml" ContentType="application/vnd.openxmlformats-officedocument.wordprocessingml.footer+xml"/>
  <Override PartName="/word/footer3502.xml" ContentType="application/vnd.openxmlformats-officedocument.wordprocessingml.footer+xml"/>
  <Override PartName="/word/footer3505.xml" ContentType="application/vnd.openxmlformats-officedocument.wordprocessingml.footer+xml"/>
  <Override PartName="/word/footer3508.xml" ContentType="application/vnd.openxmlformats-officedocument.wordprocessingml.footer+xml"/>
  <Override PartName="/word/footer3511.xml" ContentType="application/vnd.openxmlformats-officedocument.wordprocessingml.footer+xml"/>
  <Override PartName="/word/footer3514.xml" ContentType="application/vnd.openxmlformats-officedocument.wordprocessingml.footer+xml"/>
  <Override PartName="/word/footer3517.xml" ContentType="application/vnd.openxmlformats-officedocument.wordprocessingml.footer+xml"/>
  <Override PartName="/word/footer3520.xml" ContentType="application/vnd.openxmlformats-officedocument.wordprocessingml.footer+xml"/>
  <Override PartName="/word/footer3523.xml" ContentType="application/vnd.openxmlformats-officedocument.wordprocessingml.footer+xml"/>
  <Override PartName="/word/footer3526.xml" ContentType="application/vnd.openxmlformats-officedocument.wordprocessingml.footer+xml"/>
  <Override PartName="/word/footer3529.xml" ContentType="application/vnd.openxmlformats-officedocument.wordprocessingml.footer+xml"/>
  <Override PartName="/word/footer3532.xml" ContentType="application/vnd.openxmlformats-officedocument.wordprocessingml.footer+xml"/>
  <Override PartName="/word/footer3535.xml" ContentType="application/vnd.openxmlformats-officedocument.wordprocessingml.footer+xml"/>
  <Override PartName="/word/footer3538.xml" ContentType="application/vnd.openxmlformats-officedocument.wordprocessingml.footer+xml"/>
  <Override PartName="/word/footer3541.xml" ContentType="application/vnd.openxmlformats-officedocument.wordprocessingml.footer+xml"/>
  <Override PartName="/word/footer3544.xml" ContentType="application/vnd.openxmlformats-officedocument.wordprocessingml.footer+xml"/>
  <Override PartName="/word/footer3547.xml" ContentType="application/vnd.openxmlformats-officedocument.wordprocessingml.footer+xml"/>
  <Override PartName="/word/footer3550.xml" ContentType="application/vnd.openxmlformats-officedocument.wordprocessingml.footer+xml"/>
  <Override PartName="/word/footer3553.xml" ContentType="application/vnd.openxmlformats-officedocument.wordprocessingml.footer+xml"/>
  <Override PartName="/word/footer3556.xml" ContentType="application/vnd.openxmlformats-officedocument.wordprocessingml.footer+xml"/>
  <Override PartName="/word/footer3559.xml" ContentType="application/vnd.openxmlformats-officedocument.wordprocessingml.footer+xml"/>
  <Override PartName="/word/footer3562.xml" ContentType="application/vnd.openxmlformats-officedocument.wordprocessingml.footer+xml"/>
  <Override PartName="/word/footer3565.xml" ContentType="application/vnd.openxmlformats-officedocument.wordprocessingml.footer+xml"/>
  <Override PartName="/word/footer3568.xml" ContentType="application/vnd.openxmlformats-officedocument.wordprocessingml.footer+xml"/>
  <Override PartName="/word/footer3571.xml" ContentType="application/vnd.openxmlformats-officedocument.wordprocessingml.footer+xml"/>
  <Override PartName="/word/footer3574.xml" ContentType="application/vnd.openxmlformats-officedocument.wordprocessingml.footer+xml"/>
  <Override PartName="/word/footer3577.xml" ContentType="application/vnd.openxmlformats-officedocument.wordprocessingml.footer+xml"/>
  <Override PartName="/word/footer3580.xml" ContentType="application/vnd.openxmlformats-officedocument.wordprocessingml.footer+xml"/>
  <Override PartName="/word/footer3583.xml" ContentType="application/vnd.openxmlformats-officedocument.wordprocessingml.footer+xml"/>
  <Override PartName="/word/footer3586.xml" ContentType="application/vnd.openxmlformats-officedocument.wordprocessingml.footer+xml"/>
  <Override PartName="/word/footer3589.xml" ContentType="application/vnd.openxmlformats-officedocument.wordprocessingml.footer+xml"/>
  <Override PartName="/word/footer3592.xml" ContentType="application/vnd.openxmlformats-officedocument.wordprocessingml.footer+xml"/>
  <Override PartName="/word/footer3595.xml" ContentType="application/vnd.openxmlformats-officedocument.wordprocessingml.footer+xml"/>
  <Override PartName="/word/footer3598.xml" ContentType="application/vnd.openxmlformats-officedocument.wordprocessingml.footer+xml"/>
  <Override PartName="/word/footer3601.xml" ContentType="application/vnd.openxmlformats-officedocument.wordprocessingml.footer+xml"/>
  <Override PartName="/word/footer3604.xml" ContentType="application/vnd.openxmlformats-officedocument.wordprocessingml.footer+xml"/>
  <Override PartName="/word/footer3607.xml" ContentType="application/vnd.openxmlformats-officedocument.wordprocessingml.footer+xml"/>
  <Override PartName="/word/footer3610.xml" ContentType="application/vnd.openxmlformats-officedocument.wordprocessingml.footer+xml"/>
  <Override PartName="/word/footer3613.xml" ContentType="application/vnd.openxmlformats-officedocument.wordprocessingml.footer+xml"/>
  <Override PartName="/word/footer3616.xml" ContentType="application/vnd.openxmlformats-officedocument.wordprocessingml.footer+xml"/>
  <Override PartName="/word/footer3619.xml" ContentType="application/vnd.openxmlformats-officedocument.wordprocessingml.footer+xml"/>
  <Override PartName="/word/footer3622.xml" ContentType="application/vnd.openxmlformats-officedocument.wordprocessingml.footer+xml"/>
  <Override PartName="/word/footer3625.xml" ContentType="application/vnd.openxmlformats-officedocument.wordprocessingml.footer+xml"/>
  <Override PartName="/word/footer3628.xml" ContentType="application/vnd.openxmlformats-officedocument.wordprocessingml.footer+xml"/>
  <Override PartName="/word/footer3631.xml" ContentType="application/vnd.openxmlformats-officedocument.wordprocessingml.footer+xml"/>
  <Override PartName="/word/footer3634.xml" ContentType="application/vnd.openxmlformats-officedocument.wordprocessingml.footer+xml"/>
  <Override PartName="/word/footer3637.xml" ContentType="application/vnd.openxmlformats-officedocument.wordprocessingml.footer+xml"/>
  <Override PartName="/word/footer3640.xml" ContentType="application/vnd.openxmlformats-officedocument.wordprocessingml.footer+xml"/>
  <Override PartName="/word/footer3643.xml" ContentType="application/vnd.openxmlformats-officedocument.wordprocessingml.footer+xml"/>
  <Override PartName="/word/footer3646.xml" ContentType="application/vnd.openxmlformats-officedocument.wordprocessingml.footer+xml"/>
  <Override PartName="/word/footer3649.xml" ContentType="application/vnd.openxmlformats-officedocument.wordprocessingml.footer+xml"/>
  <Override PartName="/word/footer3652.xml" ContentType="application/vnd.openxmlformats-officedocument.wordprocessingml.footer+xml"/>
  <Override PartName="/word/footer3655.xml" ContentType="application/vnd.openxmlformats-officedocument.wordprocessingml.footer+xml"/>
  <Override PartName="/word/footer3658.xml" ContentType="application/vnd.openxmlformats-officedocument.wordprocessingml.footer+xml"/>
  <Override PartName="/word/footer3661.xml" ContentType="application/vnd.openxmlformats-officedocument.wordprocessingml.footer+xml"/>
  <Override PartName="/word/footer3664.xml" ContentType="application/vnd.openxmlformats-officedocument.wordprocessingml.footer+xml"/>
  <Override PartName="/word/footer3667.xml" ContentType="application/vnd.openxmlformats-officedocument.wordprocessingml.footer+xml"/>
  <Override PartName="/word/footer3670.xml" ContentType="application/vnd.openxmlformats-officedocument.wordprocessingml.footer+xml"/>
  <Override PartName="/word/footer3673.xml" ContentType="application/vnd.openxmlformats-officedocument.wordprocessingml.footer+xml"/>
  <Override PartName="/word/footer3676.xml" ContentType="application/vnd.openxmlformats-officedocument.wordprocessingml.footer+xml"/>
  <Override PartName="/word/footer3679.xml" ContentType="application/vnd.openxmlformats-officedocument.wordprocessingml.footer+xml"/>
  <Override PartName="/word/footer3682.xml" ContentType="application/vnd.openxmlformats-officedocument.wordprocessingml.footer+xml"/>
  <Override PartName="/word/footer3685.xml" ContentType="application/vnd.openxmlformats-officedocument.wordprocessingml.footer+xml"/>
  <Override PartName="/word/footer3688.xml" ContentType="application/vnd.openxmlformats-officedocument.wordprocessingml.footer+xml"/>
  <Override PartName="/word/footer3691.xml" ContentType="application/vnd.openxmlformats-officedocument.wordprocessingml.footer+xml"/>
  <Override PartName="/word/footer3694.xml" ContentType="application/vnd.openxmlformats-officedocument.wordprocessingml.footer+xml"/>
  <Override PartName="/word/footer3697.xml" ContentType="application/vnd.openxmlformats-officedocument.wordprocessingml.footer+xml"/>
  <Override PartName="/word/footer3700.xml" ContentType="application/vnd.openxmlformats-officedocument.wordprocessingml.footer+xml"/>
  <Override PartName="/word/footer3703.xml" ContentType="application/vnd.openxmlformats-officedocument.wordprocessingml.footer+xml"/>
  <Override PartName="/word/footer3706.xml" ContentType="application/vnd.openxmlformats-officedocument.wordprocessingml.footer+xml"/>
  <Override PartName="/word/footer3709.xml" ContentType="application/vnd.openxmlformats-officedocument.wordprocessingml.footer+xml"/>
  <Override PartName="/word/footer3712.xml" ContentType="application/vnd.openxmlformats-officedocument.wordprocessingml.footer+xml"/>
  <Override PartName="/word/footer3715.xml" ContentType="application/vnd.openxmlformats-officedocument.wordprocessingml.footer+xml"/>
  <Override PartName="/word/footer3718.xml" ContentType="application/vnd.openxmlformats-officedocument.wordprocessingml.footer+xml"/>
  <Override PartName="/word/footer3721.xml" ContentType="application/vnd.openxmlformats-officedocument.wordprocessingml.footer+xml"/>
  <Override PartName="/word/footer3724.xml" ContentType="application/vnd.openxmlformats-officedocument.wordprocessingml.footer+xml"/>
  <Override PartName="/word/footer3727.xml" ContentType="application/vnd.openxmlformats-officedocument.wordprocessingml.footer+xml"/>
  <Override PartName="/word/footer3730.xml" ContentType="application/vnd.openxmlformats-officedocument.wordprocessingml.footer+xml"/>
  <Override PartName="/word/footer3733.xml" ContentType="application/vnd.openxmlformats-officedocument.wordprocessingml.footer+xml"/>
  <Override PartName="/word/footer3736.xml" ContentType="application/vnd.openxmlformats-officedocument.wordprocessingml.footer+xml"/>
  <Override PartName="/word/footer3739.xml" ContentType="application/vnd.openxmlformats-officedocument.wordprocessingml.footer+xml"/>
  <Override PartName="/word/footer3742.xml" ContentType="application/vnd.openxmlformats-officedocument.wordprocessingml.footer+xml"/>
  <Override PartName="/word/footer3745.xml" ContentType="application/vnd.openxmlformats-officedocument.wordprocessingml.footer+xml"/>
  <Override PartName="/word/footer3748.xml" ContentType="application/vnd.openxmlformats-officedocument.wordprocessingml.footer+xml"/>
  <Override PartName="/word/footer3751.xml" ContentType="application/vnd.openxmlformats-officedocument.wordprocessingml.footer+xml"/>
  <Override PartName="/word/footer3754.xml" ContentType="application/vnd.openxmlformats-officedocument.wordprocessingml.footer+xml"/>
  <Override PartName="/word/footer3757.xml" ContentType="application/vnd.openxmlformats-officedocument.wordprocessingml.footer+xml"/>
  <Override PartName="/word/footer3760.xml" ContentType="application/vnd.openxmlformats-officedocument.wordprocessingml.footer+xml"/>
  <Override PartName="/word/footer3763.xml" ContentType="application/vnd.openxmlformats-officedocument.wordprocessingml.footer+xml"/>
  <Override PartName="/word/footer3766.xml" ContentType="application/vnd.openxmlformats-officedocument.wordprocessingml.footer+xml"/>
  <Override PartName="/word/footer3769.xml" ContentType="application/vnd.openxmlformats-officedocument.wordprocessingml.footer+xml"/>
  <Override PartName="/word/footer3772.xml" ContentType="application/vnd.openxmlformats-officedocument.wordprocessingml.footer+xml"/>
  <Override PartName="/word/footer3775.xml" ContentType="application/vnd.openxmlformats-officedocument.wordprocessingml.footer+xml"/>
  <Override PartName="/word/footer3778.xml" ContentType="application/vnd.openxmlformats-officedocument.wordprocessingml.footer+xml"/>
  <Override PartName="/word/footer3781.xml" ContentType="application/vnd.openxmlformats-officedocument.wordprocessingml.footer+xml"/>
  <Override PartName="/word/footer3784.xml" ContentType="application/vnd.openxmlformats-officedocument.wordprocessingml.footer+xml"/>
  <Override PartName="/word/footer3787.xml" ContentType="application/vnd.openxmlformats-officedocument.wordprocessingml.footer+xml"/>
  <Override PartName="/word/footer3790.xml" ContentType="application/vnd.openxmlformats-officedocument.wordprocessingml.footer+xml"/>
  <Override PartName="/word/footer3793.xml" ContentType="application/vnd.openxmlformats-officedocument.wordprocessingml.footer+xml"/>
  <Override PartName="/word/footer3796.xml" ContentType="application/vnd.openxmlformats-officedocument.wordprocessingml.footer+xml"/>
  <Override PartName="/word/footer3799.xml" ContentType="application/vnd.openxmlformats-officedocument.wordprocessingml.footer+xml"/>
  <Override PartName="/word/footer3802.xml" ContentType="application/vnd.openxmlformats-officedocument.wordprocessingml.footer+xml"/>
  <Override PartName="/word/footer3805.xml" ContentType="application/vnd.openxmlformats-officedocument.wordprocessingml.footer+xml"/>
  <Override PartName="/word/footer3808.xml" ContentType="application/vnd.openxmlformats-officedocument.wordprocessingml.footer+xml"/>
  <Override PartName="/word/footer3811.xml" ContentType="application/vnd.openxmlformats-officedocument.wordprocessingml.footer+xml"/>
  <Override PartName="/word/footer3814.xml" ContentType="application/vnd.openxmlformats-officedocument.wordprocessingml.footer+xml"/>
  <Override PartName="/word/footer3817.xml" ContentType="application/vnd.openxmlformats-officedocument.wordprocessingml.footer+xml"/>
  <Override PartName="/word/footer3820.xml" ContentType="application/vnd.openxmlformats-officedocument.wordprocessingml.footer+xml"/>
  <Override PartName="/word/footer3823.xml" ContentType="application/vnd.openxmlformats-officedocument.wordprocessingml.footer+xml"/>
  <Override PartName="/word/footer3826.xml" ContentType="application/vnd.openxmlformats-officedocument.wordprocessingml.footer+xml"/>
  <Override PartName="/word/footer3829.xml" ContentType="application/vnd.openxmlformats-officedocument.wordprocessingml.footer+xml"/>
  <Override PartName="/word/footer3832.xml" ContentType="application/vnd.openxmlformats-officedocument.wordprocessingml.footer+xml"/>
  <Override PartName="/word/footer3835.xml" ContentType="application/vnd.openxmlformats-officedocument.wordprocessingml.footer+xml"/>
  <Override PartName="/word/footer3838.xml" ContentType="application/vnd.openxmlformats-officedocument.wordprocessingml.footer+xml"/>
  <Override PartName="/word/footer3841.xml" ContentType="application/vnd.openxmlformats-officedocument.wordprocessingml.footer+xml"/>
  <Override PartName="/word/footer3844.xml" ContentType="application/vnd.openxmlformats-officedocument.wordprocessingml.footer+xml"/>
  <Override PartName="/word/footer3847.xml" ContentType="application/vnd.openxmlformats-officedocument.wordprocessingml.footer+xml"/>
  <Override PartName="/word/footer3850.xml" ContentType="application/vnd.openxmlformats-officedocument.wordprocessingml.footer+xml"/>
  <Override PartName="/word/footer3853.xml" ContentType="application/vnd.openxmlformats-officedocument.wordprocessingml.footer+xml"/>
  <Override PartName="/word/footer3856.xml" ContentType="application/vnd.openxmlformats-officedocument.wordprocessingml.footer+xml"/>
  <Override PartName="/word/footer3859.xml" ContentType="application/vnd.openxmlformats-officedocument.wordprocessingml.footer+xml"/>
  <Override PartName="/word/footer3862.xml" ContentType="application/vnd.openxmlformats-officedocument.wordprocessingml.footer+xml"/>
  <Override PartName="/word/footer3865.xml" ContentType="application/vnd.openxmlformats-officedocument.wordprocessingml.footer+xml"/>
  <Override PartName="/word/footer3868.xml" ContentType="application/vnd.openxmlformats-officedocument.wordprocessingml.footer+xml"/>
  <Override PartName="/word/footer3871.xml" ContentType="application/vnd.openxmlformats-officedocument.wordprocessingml.footer+xml"/>
  <Override PartName="/word/footer3874.xml" ContentType="application/vnd.openxmlformats-officedocument.wordprocessingml.footer+xml"/>
  <Override PartName="/word/footer3877.xml" ContentType="application/vnd.openxmlformats-officedocument.wordprocessingml.footer+xml"/>
  <Override PartName="/word/footer3880.xml" ContentType="application/vnd.openxmlformats-officedocument.wordprocessingml.footer+xml"/>
  <Override PartName="/word/footer3883.xml" ContentType="application/vnd.openxmlformats-officedocument.wordprocessingml.footer+xml"/>
  <Override PartName="/word/footer3886.xml" ContentType="application/vnd.openxmlformats-officedocument.wordprocessingml.footer+xml"/>
  <Override PartName="/word/footer3889.xml" ContentType="application/vnd.openxmlformats-officedocument.wordprocessingml.footer+xml"/>
  <Override PartName="/word/footer3892.xml" ContentType="application/vnd.openxmlformats-officedocument.wordprocessingml.footer+xml"/>
  <Override PartName="/word/footer3895.xml" ContentType="application/vnd.openxmlformats-officedocument.wordprocessingml.footer+xml"/>
  <Override PartName="/word/footer3898.xml" ContentType="application/vnd.openxmlformats-officedocument.wordprocessingml.footer+xml"/>
  <Override PartName="/word/footer3901.xml" ContentType="application/vnd.openxmlformats-officedocument.wordprocessingml.footer+xml"/>
  <Override PartName="/word/footer3904.xml" ContentType="application/vnd.openxmlformats-officedocument.wordprocessingml.footer+xml"/>
  <Override PartName="/word/footer3907.xml" ContentType="application/vnd.openxmlformats-officedocument.wordprocessingml.footer+xml"/>
  <Override PartName="/word/footer3910.xml" ContentType="application/vnd.openxmlformats-officedocument.wordprocessingml.footer+xml"/>
  <Override PartName="/word/footer3913.xml" ContentType="application/vnd.openxmlformats-officedocument.wordprocessingml.footer+xml"/>
  <Override PartName="/word/footer3916.xml" ContentType="application/vnd.openxmlformats-officedocument.wordprocessingml.footer+xml"/>
  <Override PartName="/word/footer3919.xml" ContentType="application/vnd.openxmlformats-officedocument.wordprocessingml.footer+xml"/>
  <Override PartName="/word/footer3922.xml" ContentType="application/vnd.openxmlformats-officedocument.wordprocessingml.footer+xml"/>
  <Override PartName="/word/footer3925.xml" ContentType="application/vnd.openxmlformats-officedocument.wordprocessingml.footer+xml"/>
  <Override PartName="/word/footer3928.xml" ContentType="application/vnd.openxmlformats-officedocument.wordprocessingml.footer+xml"/>
  <Override PartName="/word/footer3931.xml" ContentType="application/vnd.openxmlformats-officedocument.wordprocessingml.footer+xml"/>
  <Override PartName="/word/footer3934.xml" ContentType="application/vnd.openxmlformats-officedocument.wordprocessingml.footer+xml"/>
  <Override PartName="/word/footer3937.xml" ContentType="application/vnd.openxmlformats-officedocument.wordprocessingml.footer+xml"/>
  <Override PartName="/word/footer3940.xml" ContentType="application/vnd.openxmlformats-officedocument.wordprocessingml.footer+xml"/>
  <Override PartName="/word/footer3943.xml" ContentType="application/vnd.openxmlformats-officedocument.wordprocessingml.footer+xml"/>
  <Override PartName="/word/footer3946.xml" ContentType="application/vnd.openxmlformats-officedocument.wordprocessingml.footer+xml"/>
  <Override PartName="/word/footer3949.xml" ContentType="application/vnd.openxmlformats-officedocument.wordprocessingml.footer+xml"/>
  <Override PartName="/word/footer3952.xml" ContentType="application/vnd.openxmlformats-officedocument.wordprocessingml.footer+xml"/>
  <Override PartName="/word/footer3955.xml" ContentType="application/vnd.openxmlformats-officedocument.wordprocessingml.footer+xml"/>
  <Override PartName="/word/footer3958.xml" ContentType="application/vnd.openxmlformats-officedocument.wordprocessingml.footer+xml"/>
  <Override PartName="/word/footer3961.xml" ContentType="application/vnd.openxmlformats-officedocument.wordprocessingml.footer+xml"/>
  <Override PartName="/word/footer3964.xml" ContentType="application/vnd.openxmlformats-officedocument.wordprocessingml.footer+xml"/>
  <Override PartName="/word/footer3967.xml" ContentType="application/vnd.openxmlformats-officedocument.wordprocessingml.footer+xml"/>
  <Override PartName="/word/footer397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الذریعه الی تصانیف الشیعه جلد 9</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الدواوین‏ الجزء الأول</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دیوان آیینه مشروطه‏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1- دیوان آبانی طهرانی-</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2- دیوان آتش الأصفهانی‏</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3- دیوان آتش الأصفهانی‏</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4- دیوان آتش اللکهنوی‏</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دیوان آتش پاره‏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5- دیوان آتشی بغدادی‏</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6- دیوان آتشی الشیرازی المشهدی‏</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7- دیوان آتشی الشیروانی‏</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8- دیوان آتشی المراغی‏</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9- دیوان آتونی‏</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10- دیوان آثار</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11- دیوان آثار</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12- دیوان آجری الیزدی‏</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13- دیوان آخوندزاده‏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14- دیوان آدمی الیزدی‏</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15- دیوان آذربایجانی‏</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16- دیوان آذر البیگدلی‏</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17- دیوان آذر القمی‏</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18- دیوان آذری‏</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19- دیوان آذری‏</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20- دیوان آذری‏</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21- دیوان آرام الیزدی‏</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22- دیوان آرامی‏</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23- دیوان آرزو</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24- دیوان آرزو</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25- دیوان آرزو الأکبرآبادی‏</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26- دیوان آرزو الأکبرآبادی‏</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27- دیوان آرزوئی‏</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28- دیوان آزاد البلگرامی‏</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29- دیوان آزاد البلگرامی‏</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30- دیوان آزاد حافظ</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31- دیوان آزاد الحبشی‏</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32- دیوان آزاد الدهلوی‏</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33- دیوان آزاد الکشمیری‏</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34- دیوان آزاد کشمیری‏</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35- دیوان آزاد الیزدی‏</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دیوان آزاد الیزدی‏</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36- دیوان آسوده‏</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37- دیوان آسی‏</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38- دیوان آشفته أسترآبادی‏</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39- دیوان آشفته ایروانی‏</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40- دیوان آشفته فارسی‏</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41- دیوان آشنا</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42- دیوان آشوب الإیروانی،</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43- دیوان آشوب الدیلمقانی‏</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44- دیوان آشوب نطنزی‏</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45- دیوان آشوب المازندرانی‏</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46- دیوان آشوب الهمدانی‏</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47- دیوان آصف‏</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48- دیوان آصفا</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49- دیوان آصف البهبهانی‏</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50- دیوان آصف التویسرکانی‏</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51- دیوان آصفی هروی‏</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52- دیوان آغاجی‏</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53- دیوان آغنه دوست‏</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دیوان آغورلو خان‏</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دیوان آغولی شیرازی‏</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54- دیوان آفاق بیگه جلایر</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55- دیوان آفتاب‏</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56- دیوان آفتی التونی المشهدی الخراسانی‏</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57- دیوان آفرین أصفهانی‏</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58- دیوان آفرین الله‏آبادی‏</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59- دیوان آنی‏</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دیوان آقا بیگم‏</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دیوان آقا بیگه‏</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60- دیوان آقا جان اهری‏</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61- دیوان آقا جان طبرستانی‏</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دیوان آقاسی‏</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62- دیوان آقالر</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دیوان آقا میرک‏</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63- دیوان آقا میر همدانی‏</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دیوان آقائی‏</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64- دیوان آقائی‏</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65- دیوان آقائی‏</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66- دیوان آقائی همدانی‏</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67- دیوان أمیر آق ملک‏</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68- دیوان آگاه‏</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69- دیوان آگاه قاجار</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70- دیوان آگاه‏</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71- دیوان آگاه‏</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72- دیوان آگه‏</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73- دیوان آگهی التبریزی‏</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74- دیوان آگهی الخیاط الیزدی‏</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75- دیوان آگهی الیزدی‏</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76- دیوان آگهی الخراسانی‏</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دیوان آملی‏</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77- دیوان آنی‏</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78- دیوان آواره‏</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79- دیوان آهنگ شیرازی‏</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80- دیوان آهی تبریزی‏</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81- دیوان آهی ترشیزی جغتائی‏</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82- دیوان آهی هروی‏</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83- دیوان آهی المشهدی‏</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84- دیوان آیت‏</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85- دیوان آیتی البیرجندی‏</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86- دیوان آیتی الأصفهانی‏</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87- دیوان آیتی‏</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88- دیوان آیتی یزدی‏</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89- دیوان إبدال‏</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90- دیوان إبدال أصفهانی‏</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91- دیوان إبدال البلخی‏</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دیوان إبراهیم أدهم‏</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92- دیوان السید إبراهیم الأردوبادی‏</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93- دیوان المولی إبراهیم الأسترآبادی‏</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94- دیوان إبراهیم‏</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95- دیوان المولی إبراهیم التبریزی‏</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96- دیوان الشیخ إبراهیم بن إبراهیم بن الشیخ فخر الدین العاملی‏</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97- دیوان إبراهیم بیک الشیرازی‏</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دیوان إبراهیم‏</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98- دیوان‏</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دیوان السید إبراهیم بن الحسین بن السید رضا بن بحر العلوم‏</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99- دیوان المیر إبراهیم حسین‏</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100- دیوان الشیخ إبراهیم بن حسن بن محمد علی آل عز الدین الحنوی العاملی‏</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101- دیوان الشیخ إبراهیم بن محمد علی بن تقی الدین آل شمس الدین الفوعانی العاملی‏</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102- دیوان السید إبراهیم بن حیدر بن إبراهیم بن محمد العطار الحسنی الحسینی البغدادی‏</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103- دیوان الشیخ إبراهیم الخطی‏</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104- دیوان المیرزا إبراهیم بن محمد خلیل‏</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105- دیوان الشیخ إبراهیم بن صادق بن إبراهیم بن یحیی العاملی الخیامی‏</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106- دیوان المیر سلطان إبراهیم الصدر</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107- دیوان الشیخ محمد إبراهیم الأسراری بن المولی عبد الوهاب الأسراری السبزواری‏</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108- دیوان إبراهیم الفاروقی‏</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109- دیوان المیر إبراهیم القانونی بن الخواجة موسی‏</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110- دیوان المیرزا إبراهیم بن قباد بیک القاجاری‏</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111- دیوان إبراهیم اللاری،</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112- دیوان السید إبراهیم بن السید محمد العطار الحسنی الحسینی البغدادی،</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113- دیوان المیرزا إبراهیم الهمدانی‏</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114- دیوان الشیخ إبراهیم بن الشیخ یحیی بن الشیخ فیاض بن عطوة المخزومی القرشی العاملی‏</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115- دیوان أبله البغدادی‏</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116- دیوان ابکم‏</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دیوان ابن أبی حجلة المغربی‏</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117- دیوان ابن أبی الحدید</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118- دیوان ابن أبی الشیص‏</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119- دیوان ابن أمیر الحاج‏</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120- دیوان ابن الأخفش‏</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121- دیوان ابن بابک‏</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122- دیوان ابن بسام‏</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123- دیوان ابن التعاویذی‏</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124- دیوان ابن جاجرمی‏</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125- دیوان ابن جلال‏</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126- دیوان ابن الحجاج‏</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127- دیوان ابن حجة الحموی‏</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دیوان ابن حجة أو ابن الحجاج عیسی‏</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128- دیوان ابن حسام خوافی‏</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129- دیوان ابن حسام‏</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130- دیوان ابن حماد</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131- دیوان ابن حماد</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132- دیوان ابن الخضری‏</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133- دیوان ابن الخطیب الگنجی‏</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134- دیوان ابن الخیاط الدمشقی‏</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135- دیوان ابن الخیاط الصنعانی‏</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136- دیوان ابن داغر الحلی‏</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137- دیوان ابن دباس‏</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138- دیوان ابن دعبل‏</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139- دیوان ابن رزیک‏</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140- دیوان ابن رزین‏</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141- دیوان ابن روح آرانی‏</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142- دیوان ابن الرومی‏</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143- دیوان ابن زریق‏</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144- دیوان ابن الساعاتی‏</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145- دیوان ابن سنان الخفاجی‏</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146- دیوان ابن سنا ملک‏</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147- دیوان ابن سودون‏</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148- دیوان ابن سهل الإسرائیلی‏</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149- دیوان ابن سهل الأندلسی‏</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150- دیوان ابن سینا</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151- دیوان ابن شهاب العلوی‏</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152- دیوان ابن الصائغ‏</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153- دیوان ابن طباطبا العلوی‏</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154- دیوان ابن عبدون‏</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155- دیوان ابن العربی‏</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156- دیوان ابن العرندس‏</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157- دیوان ابن عماد</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158- دیوان ابن عنین‏</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159- دیوان ابن فارض‏</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160- دیوان ابن الفقیه العاملی‏</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161- دیوان ابن کمال‏</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162- دیوان ابن کمبار</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163- دیوان ابن کمونة</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164- دیوان ابن لعلی‏</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165- دیوان ابن لؤلؤ الذهبی‏</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166- دیوان ابن المتوج‏</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167- دیوان ابن مطروح‏</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168- دیوان ابن معتوق‏</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دیوان ابن معصوم‏</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169- دیوان ابن المعلم‏</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170- دیوان ابن المقرب الأحسائی العیونی‏</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171- دیوان ابن المقری الیمنی‏</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172- دیوان ابن الملا</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173- دیوان ابن منظور أو شعره‏</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دیوان ابن المنیر</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174- دیوان ابن نباتة</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175- دیوان ابن نباتة</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176- دیوان ابن النبیه‏</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177- دیوان ابن النحاس‏</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178- دیوان ابن نصار</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179- دیوان ابن نصوح‏</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180- دیوان ابن نوبخت‏</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181- دیوان ابن نوبخت‏</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182- دیوان ابن نوبخت‏</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183- دیوان ابن نوبخت‏</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184- دیوان ابن نوبخت‏</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185- دیوان ابن وصیف‏</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186- دیوان ابن وصیف‏</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187- دیوان ابن هانی‏</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دیوان ابن هانی الأهوازی‏</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188- دیوان ابن الهباریة</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189- دیوان ابن الهرمة</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190- دیوان ابن هندو</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191- دیوان ابن یمین‏</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192- دیوان أبهری أو شعره‏</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193- دیوان الأبهری‏</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194- دیوان الخواجة أبی إسحاق أو شعره‏</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دیوان أبی إسحاق أطعمه‏</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دیوان أبی إسماعیل‏</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195- دیوان أبی الأسود ظالم بن عمرو الدئلی‏</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196- دیوان أبی الأسود الشیبانی‏</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197- دیوان أبی إسحاق الغزی‏</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198- دیوان أبی إسحاق الکسائی المروزی‏</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دیوان أبی إسحاق الجویباری‏</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199- دیوان أبی البحر الخطی‏</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 200- دیوان أبی البرکة القندهاری أو شعره‏</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201- دیوان أبی البرکة</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202- دیوان أبی البرکات بیهقی أو شعره‏</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203- دیوان أبی البرکات اللاهوری أو شعره‏</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204- دیوان المیرزا أبی البقاء</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205- دیوان المیر أبی البقاء الأبرقوهی أو شعره‏</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دیوان أبی البقاء التفرشی‏</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206- دیوان أبی بکر الکرمانی أو شعره‏</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207- دیوان أبی بکر الطبرخزمی الخوارزمی‏</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208- دیوان أبی بکر</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209- دیوان أبی بکر الروحانی أو شعره‏</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210- دیوان أبی بکر میرزا أو شعره‏</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211- دیوان أبی تراب بیک الکاشانی‏</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212- دیوان المیر أبی تراب العلوی‏</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دیوان میرابی تراب‏</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دیوان أبی تراب‏</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213- دیوان أبی تمام حبیب بن أوس الطائی‏</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214- دیوان أبی جابر الغزنوی أو شعره‏</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215- دیوان أبی حامد الکرمانی أو شعره‏</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216- دیوان أبی الحب‏</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217- دیوان أبی الحسن الأنجوی أو شعره‏</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دیوان میرزا أبی الحسن بیگانه‏</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دیوان میرزا أبی الحسن تسلی‏</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218- دیوان الحاج أبی الحسن ترک أو شعره‏</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219- دیوان أبی الحسن التهامی العاملی‏</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دیوان أبی الحسن جلوه‏</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220- دیوان أبی الحسن الخرقانی أو شعره‏</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221- دیوان أبی الحسن شیرازی أو شعره‏</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222- دیوان أبی الحسن الفراهانی الحسینی أو شعره‏</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دیوان أبی الحسن الکرمانی‏</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223- دیوان أبی الحسن مهنة الخراسانی أو شعره‏</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224- دیوان أبی الحسین الجزائری‏</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225- دیوان أبی حفص الخوزی أو شعره‏</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226- دیوان أبی حنیفة إسکافی المروزی‏</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227- دیوان أبی حنیفة المغربی‏</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دیوان أبی حیان الشیرازی‏</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228- دیوان أبی دهبل الجمحی الجماحی‏</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229- دیوان أبی ذئب‏</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230- دیوان أبی ذر البوزجانی أو شعره‏</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231- دیوان أبی رجاء أو شعره‏</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232- دیوان المیرزا أبی سعید أو شعره‏</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233- دیوان أبی سعید برغش أو شعره‏</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234- دیوان الخواجة أبی سعید مهنة أو شعره‏</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235- دیوان السلطان أبی سعید أبی الخیر</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236- دیوان أبی سعید کالیبی الهندی أو شعره‏</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237- دیوان أبی شکور البلخی أو شعره‏</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238- دیوان أبی الشیص‏</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239- دیوان أبی طاپو</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240- دیوان المیرزا أبی طالب القمی أو شعره‏</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241- دیوان مولانا أبی طالب البدخشانی أو شعره‏</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دیوان الحکیم أبی طالب التبریزی‏</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242- دیوان المیرزا أبی طالب الفندرسکی الأصفهانی‏</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دیوان المیر أبی طالب‏</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243- دیوان أبی طالب و ذکر إسلامه‏</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دیوان أبی طالب‏</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244- دیوان الخواجة أبی طاهر أو شعره‏</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245- دیوان أبی الطفیل‏</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246- دیوان أبی الطیب المتنبی‏</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247- دیوان أبی العباس الأرسجی أو شعره‏</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248- دیوان أبی العباس البخاری أو شعره‏</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249- دیوان أبی عبد الله الشیرازی أو شعره‏</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دیوان أبی العرفاء الخوارزمی‏</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أبو الوفاء</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250- دیوان أبی العلاء الگنجوی‏</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251- دیوان أبی العلاء المعری‏</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دیوان أبی علی بن سینا الشیخ الرئیس‏</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252- دیوان أبی علی الرودباری أو شعره‏</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253- دیوان أبی علی المصری أو شعره‏</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دیوان أبی الغازی‏</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254- دیوان أبی الغوث‏</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255- دیوان الملک أبی الفتح أو شعره‏</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256- دیوان أبی الفتح البستی‏</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257- دیوان المیر أبی الفتح السبزواری أو شعره‏</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دیوان أبی الفتح‏</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دیوان أبی الفتح کشاجم‏</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258- دیوان الحکیم أبی الفتح اللاهیجی‏</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259- دیوان أبی الفتح گیلانی أو شعره‏</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دیوان أبی فراس الفرزدق‏</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260- دیوان أبی فراس‏</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261- دیوان أبی الفرج‏</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262- دیوان أبی الفرج الرونی‏</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263- دیوان أبی الفضل الطهرانی‏</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دیوان أبی الفضل أحمد</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264- دیوان أبی الفضل مهنة أو شعره‏</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265- دیوان المیرزا أبی القاسم بن المولی حسن الشفتی‏</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266- دیوان الشیخ أبی القاسم بن عبد الحکیم الکاشانی‏</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267- دیوان المیر أبی القاسم الفندرسکی‏</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دیوان المیرزا أبی القاسم بن المیر السید علی البیضاوی الشولستانی‏</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268- دیوان الخواجة أبی القاسم أو شعره‏</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269- دیوان الخواجة أبی القاسم مهنة أو شعره‏</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270- دیوان أبی القاسم الأسترآبادی أو شعره‏</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دیوان أبی القاسم الذهبی الشیرازی‏</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دیوان أبی القاسم الکازرونی أو شعره‏</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دیوان أبی القاسم قائم مقام‏</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271- دیوان السید أبی القاسم‏</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272- دیوان أبی القاسم میرزا أو شعره‏</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273- دیوان المیر أبی الکریم الفراهانی أو شعره‏</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274- دیوان أبی المحاسن الحائری‏</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275- دیوان أبی المعالی الأصفهانی أو شعره‏</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276- دیوان أبی المعالی الرازی‏</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دیوان الملا أبی المعالی الخوافی‏</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277- دیوان أبی المعالی الرازی أو شعره‏</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278- دیوان أبی المعالی النحاس أو شعره‏</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279- دیوان أبی المعالی شوشتری أو شعره‏</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280- دیوان أبی المفاخر رازی أو شعره‏</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دیوان المیر أبی المکارم‏</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281- دیوان أبی نزار</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282- دیوان الخواجة أبی النصر أو شعره‏</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283- دیوان أبی نواس‏</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284- دیوان أبی الوجد أو شعره‏</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285- دیوان الأبیوردی‏</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286- دیوان الخواجة أبی الوفاء الخوارزمی‏</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287- دیوان أبی الوفاء التبریزی‏</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288- دیوان دیوان أبی الهادی التبریزی أو شعره‏</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289- دیوان أبی الهادی الدیلمی‏</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290- دیوان أبی هاشم الجعفری البغدادی‏</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291- دیوان أبی هاشم الموسوی أو شعره‏</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292- دیوان مولانا أتالی أو شعره‏</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293- دیوان أتابک‏</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دیوان أثر لاری‏</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294- دیوان أثر مازندرانی أو شعره‏</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295- دیوان أثر التبریزی أو شعره‏</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296- دیوان أثر الهندی‏</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297- دیوان أثر</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دیوان أثیر الدین الأبهری‏</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298- دیوان أثیر الدین أخسیکتی‏</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299- دیوان أثیر الدین أومانی‏</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300- دیوان أثیر الدین الفرغانی أو شعره‏</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دیوان أثیری‏</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301- دیوان أثیری‏</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302- دیوان أجری‏</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303- دیوان إحسان‏</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304- دیوان أحسن‏</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305- دیوان أحسن‏</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306- دیوان أحسن دهلوی أو شعره‏</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307- دیوان أحسنی الخوانساری أو شعره‏</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308- دیوان أحسنی السمنانی أو شعره‏</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309- دیوان أحسنی پیاله‏</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310- دیوان أحسنی گوالیاری أو شعره‏</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دیوان الشیخ أحمد</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311- دیوان الشیخ أحمد بن الشیخ حسن النحوی‏</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312- دیوان السید أحمد</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313- دیوان الشیخ أحمد</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دیوان أحمد بن عبد الله النوبختی‏</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314- دیوان السید أحمد</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315- دیوان أحمد</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316- دیوان السید أحمد</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دیوان السید نظام الدین أحمد بن معصوم‏</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317- دیوان الأمیر الأدیب‏</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دیوان أحمد أصفهانی‏</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318- دیوان أحمد أطعمه الشیرازی‏</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319- دیوان أحمد بیگ أصفهانی أو شعره‏</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320- دیوان أحمد بیک التبریزی أو شعره‏</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دیوان خان أحمد پادشاه‏</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دیوان السید أحمد الپیشاوری‏</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دیوان أحمد جام‏</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321- دیوان أحمد جلایر أو شعره‏</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322- دیوان أحمدچه رازی أو شعره‏</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323- دیوان النواب السید أحمد حسن خان بن النواب أحمد خان الحسینی الصادقی الکابلی‏</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دیوان أحمدی أو شعره‏</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324- دیوان میرزا أحمد خان الأصفهانی القومشهی أو شعره‏</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325- دیوان أحمد خان بیک الأفشار أو شعره‏</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326- دیوان الشیخ أحمد الخلخالی أو شعره‏</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دیوان أحمد خوانساری‏</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327- دیوان أحمد الدشتکی‏</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دیوان أحمد دیلمی القزوینی‏</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328- دیوان أحمد ساوجی أو شعره‏</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دیوان أحمد السراج‏</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دیوان أحمد سهیلی‏</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329- دیوان أحمد شیرازی‏</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دیوان أحمد شیرازی‏</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دیوان أحمد الصافی‏</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دیوان أحمد الطهرانی‏</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دیوان أحمد العطار</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330- دیوان أحمد الغزالی‏</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331- دیوان أحمد غفاری أو شعره‏</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دیوان أحمد فکری‏</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332- دیوان أحمد کاسه‏گر</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333- دیوان أحمد کاشی‏</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334- دیوان أحمد الکافی أو شعره‏</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335 دیوان أحمد کمانچه أو شعره‏</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336 دیوان أحمد مسلم‏</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337 دیوان أحمد المداح السلماسی‏</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338 دیوان السید أحمد میرزا</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339 دیوان السید أحمدی الترک الکرمانی الکاسه‏گر أو شعره‏</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340 دیوان أحمدی الشیرازی أو شعره‏</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341 دیوان أحول‏</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342 دیوان إحیاء الهمدانی أو شعره‏</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343- دیوان الأخباری‏</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344- دیوان الأخباری‏</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345- دیوان أختر</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346- دیوان أختر</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347- دیوان أختر أو شعره‏</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348- دیوان أختر أجمیری‏</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349- دیوان أختر شیرازی أو شعره‏</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350- دیوان أختر طوسی‏</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351- دیوان أختر الگرجی‏</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352- دیوان أختری گنابادی أو شعره‏</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353- دیوان أختری یزدی أو شعره‏</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354- دیوان اختیار</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دیوان- الأخسیکتی‏</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355- دیوان الأخضری أو شعره‏</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356- دیوان أخگر الکرمانی‏</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357- دیوان أخگر قمی‏</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358- دیوان إخلاص أو شعره‏</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359- دیوان أخی البلگرامی أو شعره‏</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360- دیوان أدا جاجرمی‏</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361- دیوان أدائی أصفهانی أو شعره‏</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362- دیوان أدائی البخارائی أو شعره‏</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363- دیوان أدائی البفروئی الیزدی أو شعره‏</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364- دیوان أدائی الشیرازی‏</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365- دیوان أدائی سمرقندی أو شعره‏</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366- دیوان أدهم التویسرکانی الأریتمانی أو شعره‏</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367- دیوان أدهم بیگ أو شعره‏</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368- دیوان أدهم بیگ القزوینی أو شعره‏</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369- دیوان أدهم الرازی أو شعره‏</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370- دیوان أدهم الصفوی أو شعره‏</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371- دیوان أدهم الکاشانی أو شعره‏</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372- دیوان أدهم بغدادی أو شعره‏</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373- دیوان أدهمی أو شعره‏</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دیوان الأدیب‏</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دیوان الأدیب الپیشاوری‏</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دیوان الأدیب صابر</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374- دیوان أدیب الکرمانی‏</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375- دیوان أدیب الکرمانی‏</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376- دیوان أدیب الکرمانی‏</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377- دیوان أدیب الممالک‏</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378- دیوان أدیب النیشابوری‏</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379- دیوان الإربلی‏</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دیوان أرجاسب تهرانی‏</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380- دیوان الأرجانی‏</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دیوان أردستانی‏</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381- دیوان أردو أو شعره‏</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دیوان أردوی‏</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دیوان أرسلان‏</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382- دیوان إرشاد أو شعره‏</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383- دیوان أرشد الشیرازی‏</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دیوان أرشدی سمرقندی‏</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384- دیوان میر أرغون أو شعره‏</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385- دیوان أرفع التبریزی أو شعره‏</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دیوان أرفع‏</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386- دیوان الأزرقی‏</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387- دیوان الأزری‏</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388- دیوان الأزری‏</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389- دیوان الأزری الصغیر</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390- دیوان الأزری‏</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391- دیوان أسامة</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392- دیوان أسترآبادی أو شعره‏</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393- دیوان استعداد أو شعره‏</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394- دیوان استغناء أو شعره‏</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395- دیوان السید المیرزا إسحاق البروجردی أو شعره‏</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دیوان أسد بخاری‏</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396- دیوان أسد بیگ قزوینی‏</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397- دیوان أسد خان أو شعره‏</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398- دیوان أسد شوشتری أو شعره‏</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دیوان أسد عریان‏</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399- دیوان أسد کاشی‏</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400- دیوان أسد الله أو شعره‏</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401- دیوان أسد الله تبریزی أصفهانی أو شعره‏</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402- دیوان أسد الله سیرجانی أو شعره‏</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403- دیوان أسدی أو شعره‏</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404- دیوان أسدی طوسی‏</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405- دیوان اسرار تبریزی‏</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406- دیوان اسرار سبزواری‏</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دیوان أسراری‏</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دیوان أسراری‏</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دیوان الأسطرلابی‏</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407- دیوان أسعد أفندی‏</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408- دیوان أسعد قمی أو شعره‏</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409- دیوان أسعد نائب‏</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دیوان إسفرنگ‏</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دیوان إسکافی‏</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410- دیوان إسلام أو شعره‏</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411- دیوان أسلم البلگرامی‏</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412- دیوان إسماعیل أو شعره‏</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413- دیوان إسماعیل أسترآبادی أو شعره‏</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414- دیوان المیرزا إسماعیل أو شعره‏</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415- دیوان آقا إسماعیل الأصفهانی‏</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416- دیوان إسماعیل الأصفهانی‏</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دیوان المولی إسماعیل بن المولی إبراهیم الأسترآبادی،</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دیوان إسماعیل بن عباد</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417- دیوان إسماعیل بیک القراچه‏داغی‏</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دیوان إسماعیل کمال‏</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418- دیوان الحاج إسماعیل خان أو شعره‏</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419- دیوان المیر إسماعیل الجرفادقانی الگلپایگانی أو شعره‏</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دیوان إسماعیل ذبیح‏</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420- دیوان إسماعیل القزوینی‏</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421- دیوان المیرزا إسماعیل النصرآبادی أو شعره</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422- دیوان ملا اسمی الهروی أو شعره‏</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423- دیوان اسمی خان أو شعره‏</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424- دیوان الأسنانی‏</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دیوان أسود</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425- دیوان أسیر أصفهانی‏</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426- دیوان أسیر تبریزی أو شعره‏</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427- دیوان أسیر اللکهنوی أو شعره‏</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428- دیوان أسیری أو شعره‏</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429- دیوان أسیری أو شعره‏</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430- دیوان أسیری أصفهانی أو شعره‏</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431- دیوان أسیری أصفهانی أو شعره‏</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432- دیوان أسیری تربتی أو شعره‏</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دیوان أسیری ترک‏</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433- دیوان أسیری رازی أو شعره‏</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434- دیوان أسیری شیرازی أو شعره‏</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435- دیوان أسیری قاینی أو شعره‏</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دیوان أسیری قزوینی أو شعره‏</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436- دیوان أسیری لاهیجی‏</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437- دیوان أسیری هندی‏</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دیوان إشتها</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438- دیوان اشتیاق سرهندی أو شعره‏</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439- دیوان اشتیاق گنجوی أو شعره‏</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440- دیوان إشراق أصفهانی‏</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441- دیوان إشراق أصفهانی‏</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442- دیوان إشراق مراغی‏</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443- دیوان إشراقی أو شعره‏</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444- دیوان أشرف أشعره‏</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445- دیوان أشرف تبریزی أو شعره‏</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446- دیوان أشرف جرجانی أو شعره‏</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447- دیوان أشرف طسوجی‏</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دیوان أشرف السمرقندی‏</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448- دیوان المولی أشرف العراقی أو شعره‏</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دیوان أشرف الغزنوی‏</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449- دیوان أشرف فرخ‏آبادی أو شعره‏</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450- دیوان أشرف کاشانی‏</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451- دیوان أشرف مازندرانی‏</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452- دیوان أشرف مراغی خیابانی‏</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453- دیوان أشرفی سمرقندی‏</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454- دیوان أشعری‏</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455- دیوان أشک لکهنوی أو شعره‏</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456- دیوان أشکی القمی‏</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457- دیوان أشهری نیشابوری‏</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458- دیوان أصدق أو شعره‏</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459- دیوان أصغر أو شعره‏</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دیوان أصغر نهاوندی‏</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دیوان أصلی دماوندی شیرازی أو شعره‏</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460- دیوان أصلی قمی أو شعره‏</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461- دیوان الأمیر أصیلی أو شعره‏</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462- دیوان مولانا أصیلی المشهدی أو شعره‏</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دیوان أطعمه‏</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دیوان أطعمه‏</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463- دیوان أطوار کرمانی‏</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464- دیوان أظهر دهلوی أو شعره‏</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465- دیوان أظهر شاه جهان‏پوری أو شعره‏</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466- دیوان أظهری شیرازی‏</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467- دیوان أظهری قهپایه‏ای أصفهانی‏</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468- دیوان أظهری موصلی دهلوی أو شعره‏</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469- دیوان اعتصامی‏</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470- دیوان اعتماد خراسانی أو شعره‏</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471- دیوان إعجاز دهلوی أو شعره‏</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472- دیوان إعجاز هراتی أو شعره‏</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473- دیوان إعجازی مازندرانی أو شعره‏</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دیوان أعجم ترکمان‏</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474- دیوان أعرجی مراغی‏</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475- دیوان الأعرجی‏</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476- دیوان الأعسم الکبیر</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477- دیوان الأعسم الصغیر</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478- دیوان أعظم شاملو</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479- دیوان أعلائی تورانی أو شعره‏</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480- دیوان الأعور الحائری‏</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481- دیوان أغبری کرمانی‏</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دیوان أغورلو</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482- دیوان أغورلو بیک‏</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483- دیوان افتخار شیرازی أو شعره‏</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دیوان الأفتونی‏</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484- دیوان افراشته‏</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485- دیوان أفسر أصفهانی أو شعره‏</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486- دیوان أفسر أردوبادی‏</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487- دیوان أفسر القزوینی‏</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488- دیوان أفسر الکاشانی أو شعره‏</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489- دیوان أفسر کردستانی أو شعره‏</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490- دیوان أفسر کرمانی‏</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491- دیوان أفسر مشهدی أو شعره‏</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492- دیوان أفسر همدانی أو شعره‏</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493- دیوان أفسری دهلوی‏</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494- دیوان أفسری گلپایگانی أو شعره‏</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495- دیوان أفسری الهروی‏</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496- دیوان أفشار أو شعره‏</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دیوان أفصح سبزواری‏</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497- دیوان أفصح هندی أو شعره‏</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دیوان أفصح یزدی‏</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498- دیوان أفضل أردستانی أو شعره‏</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499- دیوان أفضل أصفهانی أو شعره‏</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500- دیوان أفضل پانی‏پتی أو شعره‏</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دیوان أفضل البافقی الیزدی‏</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دیوان أفضل البخاری‏</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501- دیوان أفضل ترکة أو شعره‏</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502- دیوان أفضل سارانی‏</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دیوان أفضل طهرانی‏</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503- دیوان أفضل القائنی‏</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دیوان أفضل کاشانی‏</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504- دیوان أفضل الکرمانی‏</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دیوان میر أفضل موسوی‏</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505- دیوان أفضل هندی أو شعره‏</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506- دیوان أفغان‏</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507- دیوان أفغان کرمانی‏</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508- دیوان أفقری‏</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509- دیوان أفکار</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510- دیوان أفلاکی التبریزی أو شعره‏</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511- دیوان أمیر أفندی أو شعره‏</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512- دیوان إقبال کازرونی أو شعره‏</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513- دیوان إقبال لاهوری‏</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514- دیوان إقبالی أو شعره‏</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515- دیوان أقدس هندی أو شعره‏</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516- دیوان أقدس شوشتری أو شعره‏</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517- دیوان أقدسی مشهدی أو شعره‏</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518- دیوان أکبر أصفهانی العراقی‏</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519- دیوان أکبر أصفهانی‏</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520- دیوان أکبر دولت‏آبادی‏</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521- دیوان أکبر قزوینی أو شعره‏</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522- دیوان أکبر گلپایگانی أو شعره‏</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523- دیوان أکبر قمی‏</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524- دیوان أکرم بغدادی‏</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525- دیوان أکرم قزوینی أو شعره‏</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526- دیوان إکسیر</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527- دیوان إکسیر أصفهانی أو شعره‏</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528- دیوان إکسیر دهلوی أو شعره‏</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529- دیوان إکسیر قمی أو شعره‏</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530- دیوان الله قلی ترک أو شعره‏</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531- دیوان ألبسه نظام قاری‏</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532- دیوان ألغ بیک میرزا أو شعره‏</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533- دیوان ألف الإبدال البلخی‏</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534- دیوان ألفت أصفهانی‏</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535- دیوان ألفت أصفهانی‏</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536- دیوان ألفت الله‏آبادی أو شعره‏</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537- دیوان ألفت الخراسانی أو شعره‏</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538- دیوان ألفت الشوشتری أو شعره‏</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539- دیوان ألفت شیرازی‏</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540- دیوان ألفت عظیم‏آبادی أو شعره‏</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541- دیوان ألفت الکاشانی‏</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542- دیوان ألفت لکهنوی‏</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543- دیوان ألفتی ساوجی أو شعره‏</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544- دیوان ألفتی هندی‏</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545- دیوان ألفتی بدخشی أو شعره‏</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546- دیوان ألفتی کمره‏ای أو شعره‏</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547- دیوان ألفتی یزدی‏</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548- دیوان القا الهندی‏</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549- دیوان القاص میرزا أو شعره‏</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550- دیوان إلهام أصفهانی أو شعره‏</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551- دیوان إلهی أردبیلی أو شعره‏</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دیوان- إلهی أردبیلی‏</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552- دیوان إلهی أسترآبادی أو شعره‏</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553- دیوان إلهی تبریزی أو شعره‏</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554- دیوان إلهی دیلمی أو شعره‏</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555- دیوان إلهی شیروانی أو شعره‏</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556- دیوان إلهی قمشهی‏</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557- دیوان إلهی قمی أو شعره‏</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558- دیوان إلهی قندهاری أو شعره‏</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559- دیوان إلهی الهمدانی أو شعره‏</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560- دیوان إلهی گیلانی أو شعره‏</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561- دیوان إمام الدین الرافعی القزوینی‏</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562- دیوان إمام بخاری أو شعره‏</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دیوان إمام قلی بختیاری‏</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563- دیوان إمام قلی قاینی أو شعره‏</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564- دیوان إمام‏وردی انتخابی أو شعره‏</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565- دیوان إمامی خلخالی‏</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566- دیوان إمامی لکهنوی أو شعره‏</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567- دیوان إمامی هروی‏</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568- دیوان أمان قزوینی أو شعره‏</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569- دیوان أمان قهستانی أو شعره‏</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570- دیوان امانت هندی أو شعره‏</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571- دیوان أمانی بایبورتی أو شعره‏</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572- دیوان أمانی کابلی أو شعره‏</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573- دیوان أمانی کرمانی‏</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574- دیوان أمانی مازندرانی أو شعره‏</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575- دیوان أمانی میخچه أو شعره‏</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576- دیوان أمانی همدانی أو شعره‏</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577- دیوان أمانی هندی‏</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578- دیوان أمانی هندی أو شعره‏</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579- دیوان أمتی تربتی خراسانی‏</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580- دیوان امتیاز هندی أو شعره‏</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581- دیوان إمداد بلگرامی أو شعره‏</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582- دیوان إمداد لکهنوی أو شعره‏</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583- دیوان أمری الشیرازی‏</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584- دیوان أمری برسوی‏</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585- دیوان أم نزار الملائکة</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586- دیوان أمنی تبریزی‏</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587- دیوان أم هانی أو شعره‏</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588- دیوان أمی شیرازی أو شعره‏</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589- دیوان أمید بلخی أو شعره‏</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590- دیوان أمید طوسی‏</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591- دیوان أمید کرمانشاهی‏</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592- دیوان أمید نهاوندی‏</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593- دیوان أمید هروی أو شعره‏</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594- دیوان أمید همدانی‏</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595- دیوان أمید هندی أو شعره‏</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596- دیوان أمید هندی أو شعره‏</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597- دیوان أمیدی ترک‏</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598- دیوان أمیدی الطهرانی‏</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599- دیوان أمیر بدخشانی أو شعره‏</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600- دیوان أمیر بیگ أصفهانی أو شعره‏</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601- دیوان أمیر بیگ نطنزی التبریزی‏</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602- دیوان أمیر بیگ همدانی أو شعره‏</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603- دیوان أمیر بیگ یزدی أو شعره‏</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دیوان أمیر بیگ أفشار</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604- دیوان أمیر الحاج الحسینی الجنابذی‏</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دیوان أمیر حسن دهلوی‏</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605- دیوان أمیر حسینی غوری‏</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606- دیوان أمیر حیدر بلگرامی‏</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دیوان أمیر خسرو دهلوی‏</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607- دیوان أمیر خیزی‏</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دیوان أمیر شاهی‏</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دیوان أمیر شمس حروفی أو شعره‏</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دیوان أمیر شیخ نظام الدین‏</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608- دیوان أمیر کرمانی‏</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609- دیوان أمیر مازندرانی‏</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دیوان أمیر معزی‏</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610- دیوان أمیر مغیث‏</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دیوان أمیر المؤمنین علی ع</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بیان</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دیوان أمیر المؤمنین ع</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دیوان أمیر المؤمنین ع</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دیوان أمیر المؤمنین ع</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دیوان أمیر المؤمنین ع‏</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دیوان أمیر المؤمنین ع</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612- دیوان أمیر المؤمنین ع</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613- دیوان أمیر المؤمنین ع</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614- دیوان أمیر المؤمنین‏</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615- دیوان أمیر المؤمنین ع</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616- دیوان أمیر لکهنوی‏</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دیوان أمیر همایون پادشاه‏</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دیوان أمیر همایون أسفراینی‏</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617- دیوان أمیر هندی‏</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618- دیوان أمیری أو شعره‏</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دیوان أمیری‏</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619- دیوان أمیری شیرازی‏</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620- دیوان أمین‏</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621- دیوان أمینا أوشی أو شعره‏</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دیوان أمینا الأصفهانی‏</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622- دیوان أمینا الرشتی‏</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623- دیوان أمینا الرودسری‏</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623- دیوان أمینا الشیرازی‏</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624- دیوان أمینا الفراهانی‏</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625- دیوان أمینا الکرمانی‏</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626- دیوان أمینا النجفی‏</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627- دیوان أمینا الیزدی‏</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628- دیوان أمینا الیزدی‏</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دیوان أمین أسترآبادی‏</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دیوان أمین أصفهانی‏</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629- دیوان أمین أصفهانی أو شعره‏</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630- دیوان أمین أصفهانی أو شعره‏</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631- دیوان أمین بلخی أسترآبادی أو شعره‏</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دیوان أمین بلیانی‏</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دیوان أمین التبریزی‏</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دیوان أمین تبریزی‏</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632- دیوان أمین تبریزی‏</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دیوان أمین تبریزی‏</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633- دیوان أمین تبریزی أو شعره‏</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634- دیوان أمین خوانساری أو شعره‏</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635- دیوان أمین شوشتری‏</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دیوان أمین طبسی‏</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دیوان الأمین العاملی‏</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636- دیوان أمین فارسی أو شعره‏</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637- دیوان أمین قزوینی أو شعره‏</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638- دیوان أمین قمی أو شعره‏</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639- دیوان أمین کاشانی‏</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640- دیوان أمین مشهدی أو شعره‏</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641- دیوان أمین نصرآبادی‏</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642- دیوان أمین همدانی أو شعره‏</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643- دیوان أمین هندی‏</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دیوان أمین یزدی‏</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644- دیوان أمینی أسترآبادی أو شعره‏</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645- دیوان أمینی ایرانی أو شعره‏</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646- دیوان أمینی بلخی سمرقندی أو شعره‏</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دیوان أمینی تبریزی‏</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دیوان أمینی ساوجی‏</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647- دیوان أمینی مشهدی أو شعره‏</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648- دیوان أمینی مراغی‏</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دیوان انتخابی‏</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دیوان انتظام کرمانی‏</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649- دیوان انجام هندی‏</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650- دیوان أنجب دهلوی أو شعره‏</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651- دیوان أنجب کشمیری أو شعره‏</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دیوان أنجدانی‏</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دیوان أنجدانی‏</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652- دیوان أنجمن شیرازی‏</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دیوان أنجوی‏</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دیوان اندجانی‏</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653- دیوان إنسان أکبرآبادی أو شعره‏</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654- دیوان أنسی أصفهانی أو شعره‏</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655- دیوان أنسی ساوجی قزوینی‏</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656- دیوان أنسی سیاه دانی أو شعره‏</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657- دیوان أنسی شاملو أو شعره‏</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658- دیوان أنسی قندهاری أو شعره‏</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659- دیوان أنسی گنابادی‏</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660- دیوان الأنسی الیمنی أو شعره‏</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661- دیوان إن شاء الله خان الهندی‏</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662- دیوان أنصاری قمی‏</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663- دیوان أنصاری قمی‏</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دیوان أنصاری هروی‏</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664- دیوان إنصاف جونپوری أو شعره‏</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665- دیوان إنصاف خراسانی هندی‏</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666- دیوان إنصاف قاجار</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667- دیوان إنصاف هندی‏</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668- دیوان الأنواء</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دیوان أنوار</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669- دیوان أنوار بخارائی‏</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670- دیوان أنوار همدانی أو شعره‏</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671- دیوان أنور کوپاموی‏</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672- دیوان أنور لاهوری أو شعره‏</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673- دیوان أنوری أصفهانی أو شعره‏</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674- دیوان أنوری بلخی أو شعره‏</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675- دیوان أنوری‏</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676- دیوان أنیس تبریزی أو شعره‏</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677- دیوان أنیس‏</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678- دیوان أنیس النهاوندی‏</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679- دیوان أنیسی الخوارزمی‏</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680- دیوان أنیسی الخطیب الهمدانی‏</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681- دیوان أنیسی الکاتب‏</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682- دیوان أنیسی‏</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683- دیوان أوجی کشمیری‏</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684- دیوان أوجی درجزینی‏</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685- دیوان ملا أوجی النطنزی‏</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686- دیوان أوحد سبزواری‏</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دیوان أوحد کرمانی‏</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دیوان أوحدی بلیانی أصفهانی‏</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دیوان أوحدی کاشانی‏</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دیوان أوحدی لنبانی‏</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687- دیوان أوحدی مراغی الأصفهانی‏</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688- دیوان أوحدی مشهدی‏</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689- دیوان اورنگ شیرازی‏</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دیوان أومانی أثیر الدین‏</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690- دیوان أوکتائی‏</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691- دیوان أویس السلطان‏</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692- دیوان أویس القاضی‏</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693- دیوان الأهدل الحسین‏</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694- دیوان أهلی الترشیزی الخراسانی‏</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695- دیوان أهلی الشیرازی‏</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696- دیوان ایاز طالش‏</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697- دیوان ایازی‏</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698- دیوان ایاز منجم‏</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699- دیوان إیجاد</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700- دیوان ایرج التبریزی‏</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دیوان ایرج میرزا</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701- دیوان ایرج میرزا</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702- دیوان ایزدی قزوینی أو شعره‏</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703- دیوان ایزدی یزدی أو شعره‏</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704- دیوان أیما أصفهانی أو شعره‏</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705- دیوان أیما مشهدی أو شعره‏</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706- دیوان ایمان تبریزی أو شعره‏</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707- دیوان ایمان فرخ‏آبادی أو شعره‏</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708- دیوان ایمان همدانی أو شعره‏</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709- دیوان أیمن دهلوی قمی أو شعره‏</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710- دیوان أیمن کرمانی‏</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دیوان ایمنی‏</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711- دیوان ایوأغلی‏</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712- دیوان أیوب‏</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116 ب‏</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دیوان بابا أصفهانی‏</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713- دیوان بابا أصلی دماوندی أو شعره‏</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714- دیوان بابا أفضل کاشانی‏</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دیوان- بابا جان‏</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دیوان- بابا حسامی‏</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دیوان بابا حسینی‏</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دیوان بابا ذهبی‏</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715- دیوان بابا رضی الدین‏</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دیوان بابا سلطان قلندر</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دیوان بابا سودایی‏</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دیوان- بابا شاه عراقی‏</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716- دیوان بابا شوریده أو شعره‏</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دیوان- بابا شهیدی‏</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717- دیوان بابا طاهر عریان الهمدانی‏</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718- دیوان بابا عبد الله چشمه مالان أو شعره‏</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دیوان بابا فغانی‏</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719- دیوان باباکوهی‏</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720- دیوان بابا محمد علی أصفهانی‏</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دیوان بابا ندیمی‏</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721- دیوان بابر میرزا أو شعره‏</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722- دیوان بابر شاه أو شعره‏</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723- دیوان باجی أو شعرها</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دیوان الباخرزی‏</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724- دیوان الباخرزی أو شعره‏</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725- دیوان باذل‏</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726- دیوان باذلی ساوجی أو شعره‏</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دیوان البارع البغدادی‏</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727- دیوان بازاری أسترآبادی أو شعره‏</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728- دیوان باسطی لکهنوی‏</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729- دیوان باعث أصفهانی‏</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دیوان باغبان‏</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730- دیوان مولانا باطنی البلخی‏</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731- دیوان مولانا باطنی‏</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732- دیوان باقر</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733- دیوان باقر أصفهانی أو شعره‏</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734- دیوان باقر بیرجندی‏</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735- دیوان میرزا باقر تبریزی أو شعره‏</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736- دیوان باقر تبریزی أو شعره‏</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737- دیوان باقر الجائسی الحائری‏</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738- دیوان باقر جهرمی أو شعره‏</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دیوان محمد باقر خوانساری‏</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دیوان محمد باقر داماد</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739- دیوان باقر درجزینی أو شعره‏</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740- دیوان باقر رشتی أو شعره‏</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741- دیوان باقر رودسری‏</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742- دیوان محمد باقر سبزواری أو شعره‏</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743- دیوان باقر سمنانی أو شعره‏</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دیوان باقر سوداگر</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744- دیوان باقر شاملو أو شعره‏</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745- دیوان باقر شیرازی أو شعره‏</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746- دیوان باقر شیرازی أو شعره‏</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747- دیوان السید باقر الطالقانی‏</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748- دیوان باقر علی خان هندی‏</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749- دیوان السید باقر القزوینی‏</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750- دیوان باقر کاشی خرده‏ای‏</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751- دیوان باقر کاشی أو شعره‏</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752- دیوان باقر کاشی أو شعره‏</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753- دیوان السید باقر الکاظمی‏</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754- دیوان باقر کجوری‏</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755- دیوان باقر محلاتی شفائی‏</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756- دیوان باقر مشهدی أو شعره‏</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757- دیوان باقر وزیر نطنزی‏</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758- دیوان باقر وزیر بصری خاری أو شعره‏</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759- دیوان باقر ورنوسفادرانی أو شعره‏</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760- دیوان باقر هروی أو شعره‏</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761- دیوان السید باقر الهندی‏</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دیوان باقر یزدی‏</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762- دیوان باقر یزدی أو شعره‏</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763- دیوان باقیا</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764- دیوان باقی بلخی أو شعره‏</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765- دیوان باقی تبریزی‏</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766- دیوان باقی تویسرکانی‏</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767- دیوان باقی چلبی‏</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768- دیوان باقی دماوندی أو شعره‏</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769- دیوان باقی کاشی‏</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770- دیوان باقی ما وراء النهری‏</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771- دیوان باقی نعمةاللهی‏</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772- دیوان باقی نهاوندی أو شعره‏</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773- دیوان باقی هروی أو شعره‏</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774- دیوان بالی خوش‏طبع أو شعره‏</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775- دیوان بایزید البسطامی‏</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دیوان مولانا بایزید</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دیوان بایزید الحروفی أو شعره‏</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776- دیوان بایسنقر میرزا أو شعره‏</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777- دیوان بایقرا میرزا أو شعره‏</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778- دیوان البحتری‏</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779- دیوان بحثی قزوینی أو شعره‏</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780- دیوان بحر العلوم‏</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دیوان بحر العلوم‏</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781- دیوان بحر العلوم‏</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782- دیوان بحر العلوم‏</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783- دیوان بحری میانجی‏</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دیوان بخاری‏</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784- دیوان بختیار کاکی‏</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785- دیوان بختی تبریزی أو شعره‏</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دیوان بدائع‏نگار مشهدی‏</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دیوان بدائع‏نگار تفرشی‏</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786- دیوان بدائع‏نگار طهرانی‏</w:t>
        </w:r>
        <w:r>
          <w:tab/>
        </w:r>
        <w:r>
          <w:fldChar w:fldCharType="begin"/>
        </w:r>
        <w:r>
          <w:instrText xml:space="preserve">PAGEREF 968 \h</w:instrText>
        </w:r>
        <w:r>
          <w:fldChar w:fldCharType="end"/>
        </w:r>
      </w:hyperlink>
    </w:p>
    <w:p>
      <w:pPr>
        <w:tabs>
          <w:tab w:val="right" w:leader="dot" w:pos="9062"/>
        </w:tabs>
        <w:ind w:left="440"/>
      </w:pPr>
      <w:hyperlink w:anchor="_Toc969" w:history="1">
        <w:r>
          <w:rPr>
            <w:rFonts w:ascii="IRNazanin" w:hAnsi="IRNazanin" w:eastAsia="IRNazanin" w:cs="IRNazanin"/>
            <w:color w:val="111111"/>
            <w:sz w:val="22"/>
            <w:szCs w:val="22"/>
            <w:b w:val="0"/>
            <w:bCs w:val="0"/>
            <w:i w:val="0"/>
            <w:iCs w:val="0"/>
          </w:rPr>
          <w:t>787- دیوان بدائعی بلخی‏</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دیوان بدخشان شاه‏</w:t>
        </w:r>
        <w:r>
          <w:tab/>
        </w:r>
        <w:r>
          <w:fldChar w:fldCharType="begin"/>
        </w:r>
        <w:r>
          <w:instrText xml:space="preserve">PAGEREF 970 \h</w:instrText>
        </w:r>
        <w:r>
          <w:fldChar w:fldCharType="end"/>
        </w:r>
      </w:hyperlink>
    </w:p>
    <w:p>
      <w:pPr>
        <w:tabs>
          <w:tab w:val="right" w:leader="dot" w:pos="9062"/>
        </w:tabs>
        <w:ind w:left="440"/>
      </w:pPr>
      <w:hyperlink w:anchor="_Toc971" w:history="1">
        <w:r>
          <w:rPr>
            <w:rFonts w:ascii="IRNazanin" w:hAnsi="IRNazanin" w:eastAsia="IRNazanin" w:cs="IRNazanin"/>
            <w:color w:val="111111"/>
            <w:sz w:val="22"/>
            <w:szCs w:val="22"/>
            <w:b w:val="0"/>
            <w:bCs w:val="0"/>
            <w:i w:val="0"/>
            <w:iCs w:val="0"/>
          </w:rPr>
          <w:t>788- دیوان بدخشی أو شعره‏</w:t>
        </w:r>
        <w:r>
          <w:tab/>
        </w:r>
        <w:r>
          <w:fldChar w:fldCharType="begin"/>
        </w:r>
        <w:r>
          <w:instrText xml:space="preserve">PAGEREF 971 \h</w:instrText>
        </w:r>
        <w:r>
          <w:fldChar w:fldCharType="end"/>
        </w:r>
      </w:hyperlink>
    </w:p>
    <w:p>
      <w:pPr>
        <w:tabs>
          <w:tab w:val="right" w:leader="dot" w:pos="9062"/>
        </w:tabs>
        <w:ind w:left="440"/>
      </w:pPr>
      <w:hyperlink w:anchor="_Toc972" w:history="1">
        <w:r>
          <w:rPr>
            <w:rFonts w:ascii="IRNazanin" w:hAnsi="IRNazanin" w:eastAsia="IRNazanin" w:cs="IRNazanin"/>
            <w:color w:val="111111"/>
            <w:sz w:val="22"/>
            <w:szCs w:val="22"/>
            <w:b w:val="0"/>
            <w:bCs w:val="0"/>
            <w:i w:val="0"/>
            <w:iCs w:val="0"/>
          </w:rPr>
          <w:t>789- دیوان بدخشی أو شعره‏</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790- دیوان مولانا بدخشی سمرقندی‏</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791- دیوان بدر جاجرمی‏</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792- دیوان بدر چاچی‏</w:t>
        </w:r>
        <w:r>
          <w:tab/>
        </w:r>
        <w:r>
          <w:fldChar w:fldCharType="begin"/>
        </w:r>
        <w:r>
          <w:instrText xml:space="preserve">PAGEREF 975 \h</w:instrText>
        </w:r>
        <w:r>
          <w:fldChar w:fldCharType="end"/>
        </w:r>
      </w:hyperlink>
    </w:p>
    <w:p>
      <w:pPr>
        <w:tabs>
          <w:tab w:val="right" w:leader="dot" w:pos="9062"/>
        </w:tabs>
        <w:ind w:left="440"/>
      </w:pPr>
      <w:hyperlink w:anchor="_Toc976" w:history="1">
        <w:r>
          <w:rPr>
            <w:rFonts w:ascii="IRNazanin" w:hAnsi="IRNazanin" w:eastAsia="IRNazanin" w:cs="IRNazanin"/>
            <w:color w:val="111111"/>
            <w:sz w:val="22"/>
            <w:szCs w:val="22"/>
            <w:b w:val="0"/>
            <w:bCs w:val="0"/>
            <w:i w:val="0"/>
            <w:iCs w:val="0"/>
          </w:rPr>
          <w:t>793- دیوان بدر الدین الفارسی أو شعره‏</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794- دیوان بدر الدین عبد الرحمن أو شعره‏</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795- دیوان بدر الدین الکرمانی‏</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796- دیوان بدر شاکر السباب‏</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797- دیوان بدر شیروانی أو شعره‏</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798- دیوان بدر هروی أو شعره‏</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دیوان بدری أو شعره‏</w:t>
        </w:r>
        <w:r>
          <w:tab/>
        </w:r>
        <w:r>
          <w:fldChar w:fldCharType="begin"/>
        </w:r>
        <w:r>
          <w:instrText xml:space="preserve">PAGEREF 982 \h</w:instrText>
        </w:r>
        <w:r>
          <w:fldChar w:fldCharType="end"/>
        </w:r>
      </w:hyperlink>
    </w:p>
    <w:p>
      <w:pPr>
        <w:tabs>
          <w:tab w:val="right" w:leader="dot" w:pos="9062"/>
        </w:tabs>
        <w:ind w:left="440"/>
      </w:pPr>
      <w:hyperlink w:anchor="_Toc983" w:history="1">
        <w:r>
          <w:rPr>
            <w:rFonts w:ascii="IRNazanin" w:hAnsi="IRNazanin" w:eastAsia="IRNazanin" w:cs="IRNazanin"/>
            <w:color w:val="111111"/>
            <w:sz w:val="22"/>
            <w:szCs w:val="22"/>
            <w:b w:val="0"/>
            <w:bCs w:val="0"/>
            <w:i w:val="0"/>
            <w:iCs w:val="0"/>
          </w:rPr>
          <w:t>799- دیوان بدیع‏</w:t>
        </w:r>
        <w:r>
          <w:tab/>
        </w:r>
        <w:r>
          <w:fldChar w:fldCharType="begin"/>
        </w:r>
        <w:r>
          <w:instrText xml:space="preserve">PAGEREF 983 \h</w:instrText>
        </w:r>
        <w:r>
          <w:fldChar w:fldCharType="end"/>
        </w:r>
      </w:hyperlink>
    </w:p>
    <w:p>
      <w:pPr>
        <w:tabs>
          <w:tab w:val="right" w:leader="dot" w:pos="9062"/>
        </w:tabs>
        <w:ind w:left="440"/>
      </w:pPr>
      <w:hyperlink w:anchor="_Toc984" w:history="1">
        <w:r>
          <w:rPr>
            <w:rFonts w:ascii="IRNazanin" w:hAnsi="IRNazanin" w:eastAsia="IRNazanin" w:cs="IRNazanin"/>
            <w:color w:val="111111"/>
            <w:sz w:val="22"/>
            <w:szCs w:val="22"/>
            <w:b w:val="0"/>
            <w:bCs w:val="0"/>
            <w:i w:val="0"/>
            <w:iCs w:val="0"/>
          </w:rPr>
          <w:t>800- دیوان بدیعا تبریزی‏</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801- دیوان بدیعا خشگه أو شعره‏</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802- دیوان بدیع أردستانی أو شعره‏</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803- دیوان بدیع الأسطرلابی‏</w:t>
        </w:r>
        <w:r>
          <w:tab/>
        </w:r>
        <w:r>
          <w:fldChar w:fldCharType="begin"/>
        </w:r>
        <w:r>
          <w:instrText xml:space="preserve">PAGEREF 987 \h</w:instrText>
        </w:r>
        <w:r>
          <w:fldChar w:fldCharType="end"/>
        </w:r>
      </w:hyperlink>
    </w:p>
    <w:p>
      <w:pPr>
        <w:tabs>
          <w:tab w:val="right" w:leader="dot" w:pos="9062"/>
        </w:tabs>
        <w:ind w:left="440"/>
      </w:pPr>
      <w:hyperlink w:anchor="_Toc988" w:history="1">
        <w:r>
          <w:rPr>
            <w:rFonts w:ascii="IRNazanin" w:hAnsi="IRNazanin" w:eastAsia="IRNazanin" w:cs="IRNazanin"/>
            <w:color w:val="111111"/>
            <w:sz w:val="22"/>
            <w:szCs w:val="22"/>
            <w:b w:val="0"/>
            <w:bCs w:val="0"/>
            <w:i w:val="0"/>
            <w:iCs w:val="0"/>
          </w:rPr>
          <w:t>804- دیوان بدیع أنجدانی أو شعره‏</w:t>
        </w:r>
        <w:r>
          <w:tab/>
        </w:r>
        <w:r>
          <w:fldChar w:fldCharType="begin"/>
        </w:r>
        <w:r>
          <w:instrText xml:space="preserve">PAGEREF 988 \h</w:instrText>
        </w:r>
        <w:r>
          <w:fldChar w:fldCharType="end"/>
        </w:r>
      </w:hyperlink>
    </w:p>
    <w:p>
      <w:pPr>
        <w:tabs>
          <w:tab w:val="right" w:leader="dot" w:pos="9062"/>
        </w:tabs>
        <w:ind w:left="440"/>
      </w:pPr>
      <w:hyperlink w:anchor="_Toc989" w:history="1">
        <w:r>
          <w:rPr>
            <w:rFonts w:ascii="IRNazanin" w:hAnsi="IRNazanin" w:eastAsia="IRNazanin" w:cs="IRNazanin"/>
            <w:color w:val="111111"/>
            <w:sz w:val="22"/>
            <w:szCs w:val="22"/>
            <w:b w:val="0"/>
            <w:bCs w:val="0"/>
            <w:i w:val="0"/>
            <w:iCs w:val="0"/>
          </w:rPr>
          <w:t>805- دیوان بدیع الزمان أکبرآبادی أو شعره‏</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806- دیوان بدیع الزمان سبزواری أو شعره‏</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دیوان بدیع الزمان میرزا الصفوی‏</w:t>
        </w:r>
        <w:r>
          <w:tab/>
        </w:r>
        <w:r>
          <w:fldChar w:fldCharType="begin"/>
        </w:r>
        <w:r>
          <w:instrText xml:space="preserve">PAGEREF 991 \h</w:instrText>
        </w:r>
        <w:r>
          <w:fldChar w:fldCharType="end"/>
        </w:r>
      </w:hyperlink>
    </w:p>
    <w:p>
      <w:pPr>
        <w:tabs>
          <w:tab w:val="right" w:leader="dot" w:pos="9062"/>
        </w:tabs>
        <w:ind w:left="440"/>
      </w:pPr>
      <w:hyperlink w:anchor="_Toc992" w:history="1">
        <w:r>
          <w:rPr>
            <w:rFonts w:ascii="IRNazanin" w:hAnsi="IRNazanin" w:eastAsia="IRNazanin" w:cs="IRNazanin"/>
            <w:color w:val="111111"/>
            <w:sz w:val="22"/>
            <w:szCs w:val="22"/>
            <w:b w:val="0"/>
            <w:bCs w:val="0"/>
            <w:i w:val="0"/>
            <w:iCs w:val="0"/>
          </w:rPr>
          <w:t>807- دیوان بدیع الزمان میرزا أو شعره‏</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808- دیوان بدیع الزمان نصرآبادی أو شعره‏</w:t>
        </w:r>
        <w:r>
          <w:tab/>
        </w:r>
        <w:r>
          <w:fldChar w:fldCharType="begin"/>
        </w:r>
        <w:r>
          <w:instrText xml:space="preserve">PAGEREF 993 \h</w:instrText>
        </w:r>
        <w:r>
          <w:fldChar w:fldCharType="end"/>
        </w:r>
      </w:hyperlink>
    </w:p>
    <w:p>
      <w:pPr>
        <w:tabs>
          <w:tab w:val="right" w:leader="dot" w:pos="9062"/>
        </w:tabs>
        <w:ind w:left="440"/>
      </w:pPr>
      <w:hyperlink w:anchor="_Toc994" w:history="1">
        <w:r>
          <w:rPr>
            <w:rFonts w:ascii="IRNazanin" w:hAnsi="IRNazanin" w:eastAsia="IRNazanin" w:cs="IRNazanin"/>
            <w:color w:val="111111"/>
            <w:sz w:val="22"/>
            <w:szCs w:val="22"/>
            <w:b w:val="0"/>
            <w:bCs w:val="0"/>
            <w:i w:val="0"/>
            <w:iCs w:val="0"/>
          </w:rPr>
          <w:t>809- دیوان بدیع الزمان نطنزی أو شعره‏</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810- دیوان بدیع الزمان الهمدانی‏</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دیوان بدیع سبزواری‏</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811- دیوان بدیع سمرقندی أو شعره‏</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دیوان بدیع سمرقندی‏</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812- دیوان بدیع سیستانی أو شعره‏</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813- دیوان بدیع شیرازی أو شعره‏</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814- دیوان بدیعی أو شعره‏</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815- دیوان بدیعی أندجانی سمرقندی‏</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816- دیوان بدیعی تبریزی أو شعره‏</w:t>
        </w:r>
        <w:r>
          <w:tab/>
        </w:r>
        <w:r>
          <w:fldChar w:fldCharType="begin"/>
        </w:r>
        <w:r>
          <w:instrText xml:space="preserve">PAGEREF 1003 \h</w:instrText>
        </w:r>
        <w:r>
          <w:fldChar w:fldCharType="end"/>
        </w:r>
      </w:hyperlink>
    </w:p>
    <w:p>
      <w:pPr>
        <w:tabs>
          <w:tab w:val="right" w:leader="dot" w:pos="9062"/>
        </w:tabs>
        <w:ind w:left="440"/>
      </w:pPr>
      <w:hyperlink w:anchor="_Toc1004" w:history="1">
        <w:r>
          <w:rPr>
            <w:rFonts w:ascii="IRNazanin" w:hAnsi="IRNazanin" w:eastAsia="IRNazanin" w:cs="IRNazanin"/>
            <w:color w:val="111111"/>
            <w:sz w:val="22"/>
            <w:szCs w:val="22"/>
            <w:b w:val="0"/>
            <w:bCs w:val="0"/>
            <w:i w:val="0"/>
            <w:iCs w:val="0"/>
          </w:rPr>
          <w:t>دیوان بدیعی سمرقندی‏</w:t>
        </w:r>
        <w:r>
          <w:tab/>
        </w:r>
        <w:r>
          <w:fldChar w:fldCharType="begin"/>
        </w:r>
        <w:r>
          <w:instrText xml:space="preserve">PAGEREF 1004 \h</w:instrText>
        </w:r>
        <w:r>
          <w:fldChar w:fldCharType="end"/>
        </w:r>
      </w:hyperlink>
    </w:p>
    <w:p>
      <w:pPr>
        <w:tabs>
          <w:tab w:val="right" w:leader="dot" w:pos="9062"/>
        </w:tabs>
        <w:ind w:left="440"/>
      </w:pPr>
      <w:hyperlink w:anchor="_Toc1005" w:history="1">
        <w:r>
          <w:rPr>
            <w:rFonts w:ascii="IRNazanin" w:hAnsi="IRNazanin" w:eastAsia="IRNazanin" w:cs="IRNazanin"/>
            <w:color w:val="111111"/>
            <w:sz w:val="22"/>
            <w:szCs w:val="22"/>
            <w:b w:val="0"/>
            <w:bCs w:val="0"/>
            <w:i w:val="0"/>
            <w:iCs w:val="0"/>
          </w:rPr>
          <w:t>817- دیوان بدیعی صفوی أو شعره‏</w:t>
        </w:r>
        <w:r>
          <w:tab/>
        </w:r>
        <w:r>
          <w:fldChar w:fldCharType="begin"/>
        </w:r>
        <w:r>
          <w:instrText xml:space="preserve">PAGEREF 1005 \h</w:instrText>
        </w:r>
        <w:r>
          <w:fldChar w:fldCharType="end"/>
        </w:r>
      </w:hyperlink>
    </w:p>
    <w:p>
      <w:pPr>
        <w:tabs>
          <w:tab w:val="right" w:leader="dot" w:pos="9062"/>
        </w:tabs>
        <w:ind w:left="440"/>
      </w:pPr>
      <w:hyperlink w:anchor="_Toc1006" w:history="1">
        <w:r>
          <w:rPr>
            <w:rFonts w:ascii="IRNazanin" w:hAnsi="IRNazanin" w:eastAsia="IRNazanin" w:cs="IRNazanin"/>
            <w:color w:val="111111"/>
            <w:sz w:val="22"/>
            <w:szCs w:val="22"/>
            <w:b w:val="0"/>
            <w:bCs w:val="0"/>
            <w:i w:val="0"/>
            <w:iCs w:val="0"/>
          </w:rPr>
          <w:t>دیوان بدیهی أصفهانی‏</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818- دیوان بدیهی سجاوندی أو شعره‏</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819- دیوان بدیهی سیستانی أو شعره‏</w:t>
        </w:r>
        <w:r>
          <w:tab/>
        </w:r>
        <w:r>
          <w:fldChar w:fldCharType="begin"/>
        </w:r>
        <w:r>
          <w:instrText xml:space="preserve">PAGEREF 1008 \h</w:instrText>
        </w:r>
        <w:r>
          <w:fldChar w:fldCharType="end"/>
        </w:r>
      </w:hyperlink>
    </w:p>
    <w:p>
      <w:pPr>
        <w:tabs>
          <w:tab w:val="right" w:leader="dot" w:pos="9062"/>
        </w:tabs>
        <w:ind w:left="440"/>
      </w:pPr>
      <w:hyperlink w:anchor="_Toc1009" w:history="1">
        <w:r>
          <w:rPr>
            <w:rFonts w:ascii="IRNazanin" w:hAnsi="IRNazanin" w:eastAsia="IRNazanin" w:cs="IRNazanin"/>
            <w:color w:val="111111"/>
            <w:sz w:val="22"/>
            <w:szCs w:val="22"/>
            <w:b w:val="0"/>
            <w:bCs w:val="0"/>
            <w:i w:val="0"/>
            <w:iCs w:val="0"/>
          </w:rPr>
          <w:t>820- دیوان بدیهی همدانی أو شعره‏</w:t>
        </w:r>
        <w:r>
          <w:tab/>
        </w:r>
        <w:r>
          <w:fldChar w:fldCharType="begin"/>
        </w:r>
        <w:r>
          <w:instrText xml:space="preserve">PAGEREF 1009 \h</w:instrText>
        </w:r>
        <w:r>
          <w:fldChar w:fldCharType="end"/>
        </w:r>
      </w:hyperlink>
    </w:p>
    <w:p>
      <w:pPr>
        <w:tabs>
          <w:tab w:val="right" w:leader="dot" w:pos="9062"/>
        </w:tabs>
        <w:ind w:left="440"/>
      </w:pPr>
      <w:hyperlink w:anchor="_Toc1010" w:history="1">
        <w:r>
          <w:rPr>
            <w:rFonts w:ascii="IRNazanin" w:hAnsi="IRNazanin" w:eastAsia="IRNazanin" w:cs="IRNazanin"/>
            <w:color w:val="111111"/>
            <w:sz w:val="22"/>
            <w:szCs w:val="22"/>
            <w:b w:val="0"/>
            <w:bCs w:val="0"/>
            <w:i w:val="0"/>
            <w:iCs w:val="0"/>
          </w:rPr>
          <w:t>دیوان برخوردار بیگ‏</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دیوان برخوردار بیگ‏</w:t>
        </w:r>
        <w:r>
          <w:tab/>
        </w:r>
        <w:r>
          <w:fldChar w:fldCharType="begin"/>
        </w:r>
        <w:r>
          <w:instrText xml:space="preserve">PAGEREF 1011 \h</w:instrText>
        </w:r>
        <w:r>
          <w:fldChar w:fldCharType="end"/>
        </w:r>
      </w:hyperlink>
    </w:p>
    <w:p>
      <w:pPr>
        <w:tabs>
          <w:tab w:val="right" w:leader="dot" w:pos="9062"/>
        </w:tabs>
        <w:ind w:left="440"/>
      </w:pPr>
      <w:hyperlink w:anchor="_Toc1012" w:history="1">
        <w:r>
          <w:rPr>
            <w:rFonts w:ascii="IRNazanin" w:hAnsi="IRNazanin" w:eastAsia="IRNazanin" w:cs="IRNazanin"/>
            <w:color w:val="111111"/>
            <w:sz w:val="22"/>
            <w:szCs w:val="22"/>
            <w:b w:val="0"/>
            <w:bCs w:val="0"/>
            <w:i w:val="0"/>
            <w:iCs w:val="0"/>
          </w:rPr>
          <w:t>دیوان بردعی‏زاده‏</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821- دیوان البرسی‏</w:t>
        </w:r>
        <w:r>
          <w:tab/>
        </w:r>
        <w:r>
          <w:fldChar w:fldCharType="begin"/>
        </w:r>
        <w:r>
          <w:instrText xml:space="preserve">PAGEREF 1013 \h</w:instrText>
        </w:r>
        <w:r>
          <w:fldChar w:fldCharType="end"/>
        </w:r>
      </w:hyperlink>
    </w:p>
    <w:p>
      <w:pPr>
        <w:tabs>
          <w:tab w:val="right" w:leader="dot" w:pos="9062"/>
        </w:tabs>
        <w:ind w:left="440"/>
      </w:pPr>
      <w:hyperlink w:anchor="_Toc1014" w:history="1">
        <w:r>
          <w:rPr>
            <w:rFonts w:ascii="IRNazanin" w:hAnsi="IRNazanin" w:eastAsia="IRNazanin" w:cs="IRNazanin"/>
            <w:color w:val="111111"/>
            <w:sz w:val="22"/>
            <w:szCs w:val="22"/>
            <w:b w:val="0"/>
            <w:bCs w:val="0"/>
            <w:i w:val="0"/>
            <w:iCs w:val="0"/>
          </w:rPr>
          <w:t>822- دیوان برشته لکهنوی أو شعره‏</w:t>
        </w:r>
        <w:r>
          <w:tab/>
        </w:r>
        <w:r>
          <w:fldChar w:fldCharType="begin"/>
        </w:r>
        <w:r>
          <w:instrText xml:space="preserve">PAGEREF 1014 \h</w:instrText>
        </w:r>
        <w:r>
          <w:fldChar w:fldCharType="end"/>
        </w:r>
      </w:hyperlink>
    </w:p>
    <w:p>
      <w:pPr>
        <w:tabs>
          <w:tab w:val="right" w:leader="dot" w:pos="9062"/>
        </w:tabs>
        <w:ind w:left="440"/>
      </w:pPr>
      <w:hyperlink w:anchor="_Toc1015" w:history="1">
        <w:r>
          <w:rPr>
            <w:rFonts w:ascii="IRNazanin" w:hAnsi="IRNazanin" w:eastAsia="IRNazanin" w:cs="IRNazanin"/>
            <w:color w:val="111111"/>
            <w:sz w:val="22"/>
            <w:szCs w:val="22"/>
            <w:b w:val="0"/>
            <w:bCs w:val="0"/>
            <w:i w:val="0"/>
            <w:iCs w:val="0"/>
          </w:rPr>
          <w:t>823- دیوان البرعی الیمنی‏</w:t>
        </w:r>
        <w:r>
          <w:tab/>
        </w:r>
        <w:r>
          <w:fldChar w:fldCharType="begin"/>
        </w:r>
        <w:r>
          <w:instrText xml:space="preserve">PAGEREF 1015 \h</w:instrText>
        </w:r>
        <w:r>
          <w:fldChar w:fldCharType="end"/>
        </w:r>
      </w:hyperlink>
    </w:p>
    <w:p>
      <w:pPr>
        <w:tabs>
          <w:tab w:val="right" w:leader="dot" w:pos="9062"/>
        </w:tabs>
        <w:ind w:left="440"/>
      </w:pPr>
      <w:hyperlink w:anchor="_Toc1016" w:history="1">
        <w:r>
          <w:rPr>
            <w:rFonts w:ascii="IRNazanin" w:hAnsi="IRNazanin" w:eastAsia="IRNazanin" w:cs="IRNazanin"/>
            <w:color w:val="111111"/>
            <w:sz w:val="22"/>
            <w:szCs w:val="22"/>
            <w:b w:val="0"/>
            <w:bCs w:val="0"/>
            <w:i w:val="0"/>
            <w:iCs w:val="0"/>
          </w:rPr>
          <w:t>824- دیوان برق هندی‏</w:t>
        </w:r>
        <w:r>
          <w:tab/>
        </w:r>
        <w:r>
          <w:fldChar w:fldCharType="begin"/>
        </w:r>
        <w:r>
          <w:instrText xml:space="preserve">PAGEREF 1016 \h</w:instrText>
        </w:r>
        <w:r>
          <w:fldChar w:fldCharType="end"/>
        </w:r>
      </w:hyperlink>
    </w:p>
    <w:p>
      <w:pPr>
        <w:tabs>
          <w:tab w:val="right" w:leader="dot" w:pos="9062"/>
        </w:tabs>
        <w:ind w:left="440"/>
      </w:pPr>
      <w:hyperlink w:anchor="_Toc1017" w:history="1">
        <w:r>
          <w:rPr>
            <w:rFonts w:ascii="IRNazanin" w:hAnsi="IRNazanin" w:eastAsia="IRNazanin" w:cs="IRNazanin"/>
            <w:color w:val="111111"/>
            <w:sz w:val="22"/>
            <w:szCs w:val="22"/>
            <w:b w:val="0"/>
            <w:bCs w:val="0"/>
            <w:i w:val="0"/>
            <w:iCs w:val="0"/>
          </w:rPr>
          <w:t>دیوان برقی أسترآبادی‏</w:t>
        </w:r>
        <w:r>
          <w:tab/>
        </w:r>
        <w:r>
          <w:fldChar w:fldCharType="begin"/>
        </w:r>
        <w:r>
          <w:instrText xml:space="preserve">PAGEREF 1017 \h</w:instrText>
        </w:r>
        <w:r>
          <w:fldChar w:fldCharType="end"/>
        </w:r>
      </w:hyperlink>
    </w:p>
    <w:p>
      <w:pPr>
        <w:tabs>
          <w:tab w:val="right" w:leader="dot" w:pos="9062"/>
        </w:tabs>
        <w:ind w:left="440"/>
      </w:pPr>
      <w:hyperlink w:anchor="_Toc1018" w:history="1">
        <w:r>
          <w:rPr>
            <w:rFonts w:ascii="IRNazanin" w:hAnsi="IRNazanin" w:eastAsia="IRNazanin" w:cs="IRNazanin"/>
            <w:color w:val="111111"/>
            <w:sz w:val="22"/>
            <w:szCs w:val="22"/>
            <w:b w:val="0"/>
            <w:bCs w:val="0"/>
            <w:i w:val="0"/>
            <w:iCs w:val="0"/>
          </w:rPr>
          <w:t>825- دیوان برکت دهلوی أو شعره‏</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826- دیوان برلاس‏</w:t>
        </w:r>
        <w:r>
          <w:tab/>
        </w:r>
        <w:r>
          <w:fldChar w:fldCharType="begin"/>
        </w:r>
        <w:r>
          <w:instrText xml:space="preserve">PAGEREF 1019 \h</w:instrText>
        </w:r>
        <w:r>
          <w:fldChar w:fldCharType="end"/>
        </w:r>
      </w:hyperlink>
    </w:p>
    <w:p>
      <w:pPr>
        <w:tabs>
          <w:tab w:val="right" w:leader="dot" w:pos="9062"/>
        </w:tabs>
        <w:ind w:left="440"/>
      </w:pPr>
      <w:hyperlink w:anchor="_Toc1020" w:history="1">
        <w:r>
          <w:rPr>
            <w:rFonts w:ascii="IRNazanin" w:hAnsi="IRNazanin" w:eastAsia="IRNazanin" w:cs="IRNazanin"/>
            <w:color w:val="111111"/>
            <w:sz w:val="22"/>
            <w:szCs w:val="22"/>
            <w:b w:val="0"/>
            <w:bCs w:val="0"/>
            <w:i w:val="0"/>
            <w:iCs w:val="0"/>
          </w:rPr>
          <w:t>827- دیوان برندق سمرقندی أو شعره‏</w:t>
        </w:r>
        <w:r>
          <w:tab/>
        </w:r>
        <w:r>
          <w:fldChar w:fldCharType="begin"/>
        </w:r>
        <w:r>
          <w:instrText xml:space="preserve">PAGEREF 1020 \h</w:instrText>
        </w:r>
        <w:r>
          <w:fldChar w:fldCharType="end"/>
        </w:r>
      </w:hyperlink>
    </w:p>
    <w:p>
      <w:pPr>
        <w:tabs>
          <w:tab w:val="right" w:leader="dot" w:pos="9062"/>
        </w:tabs>
        <w:ind w:left="440"/>
      </w:pPr>
      <w:hyperlink w:anchor="_Toc1021" w:history="1">
        <w:r>
          <w:rPr>
            <w:rFonts w:ascii="IRNazanin" w:hAnsi="IRNazanin" w:eastAsia="IRNazanin" w:cs="IRNazanin"/>
            <w:color w:val="111111"/>
            <w:sz w:val="22"/>
            <w:szCs w:val="22"/>
            <w:b w:val="0"/>
            <w:bCs w:val="0"/>
            <w:i w:val="0"/>
            <w:iCs w:val="0"/>
          </w:rPr>
          <w:t>828- دیوان برهان‏</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829- دیوان برهان ابرقوهی أو شعره‏</w:t>
        </w:r>
        <w:r>
          <w:tab/>
        </w:r>
        <w:r>
          <w:fldChar w:fldCharType="begin"/>
        </w:r>
        <w:r>
          <w:instrText xml:space="preserve">PAGEREF 1022 \h</w:instrText>
        </w:r>
        <w:r>
          <w:fldChar w:fldCharType="end"/>
        </w:r>
      </w:hyperlink>
    </w:p>
    <w:p>
      <w:pPr>
        <w:tabs>
          <w:tab w:val="right" w:leader="dot" w:pos="9062"/>
        </w:tabs>
        <w:ind w:left="440"/>
      </w:pPr>
      <w:hyperlink w:anchor="_Toc1023" w:history="1">
        <w:r>
          <w:rPr>
            <w:rFonts w:ascii="IRNazanin" w:hAnsi="IRNazanin" w:eastAsia="IRNazanin" w:cs="IRNazanin"/>
            <w:color w:val="111111"/>
            <w:sz w:val="22"/>
            <w:szCs w:val="22"/>
            <w:b w:val="0"/>
            <w:bCs w:val="0"/>
            <w:i w:val="0"/>
            <w:iCs w:val="0"/>
          </w:rPr>
          <w:t>830- دیوان برهان تبریزی أو شعره‏</w:t>
        </w:r>
        <w:r>
          <w:tab/>
        </w:r>
        <w:r>
          <w:fldChar w:fldCharType="begin"/>
        </w:r>
        <w:r>
          <w:instrText xml:space="preserve">PAGEREF 1023 \h</w:instrText>
        </w:r>
        <w:r>
          <w:fldChar w:fldCharType="end"/>
        </w:r>
      </w:hyperlink>
    </w:p>
    <w:p>
      <w:pPr>
        <w:tabs>
          <w:tab w:val="right" w:leader="dot" w:pos="9062"/>
        </w:tabs>
        <w:ind w:left="440"/>
      </w:pPr>
      <w:hyperlink w:anchor="_Toc1024" w:history="1">
        <w:r>
          <w:rPr>
            <w:rFonts w:ascii="IRNazanin" w:hAnsi="IRNazanin" w:eastAsia="IRNazanin" w:cs="IRNazanin"/>
            <w:color w:val="111111"/>
            <w:sz w:val="22"/>
            <w:szCs w:val="22"/>
            <w:b w:val="0"/>
            <w:bCs w:val="0"/>
            <w:i w:val="0"/>
            <w:iCs w:val="0"/>
          </w:rPr>
          <w:t>831- دیوان برهان جامی أو شعره‏</w:t>
        </w:r>
        <w:r>
          <w:tab/>
        </w:r>
        <w:r>
          <w:fldChar w:fldCharType="begin"/>
        </w:r>
        <w:r>
          <w:instrText xml:space="preserve">PAGEREF 1024 \h</w:instrText>
        </w:r>
        <w:r>
          <w:fldChar w:fldCharType="end"/>
        </w:r>
      </w:hyperlink>
    </w:p>
    <w:p>
      <w:pPr>
        <w:tabs>
          <w:tab w:val="right" w:leader="dot" w:pos="9062"/>
        </w:tabs>
        <w:ind w:left="440"/>
      </w:pPr>
      <w:hyperlink w:anchor="_Toc1025" w:history="1">
        <w:r>
          <w:rPr>
            <w:rFonts w:ascii="IRNazanin" w:hAnsi="IRNazanin" w:eastAsia="IRNazanin" w:cs="IRNazanin"/>
            <w:color w:val="111111"/>
            <w:sz w:val="22"/>
            <w:szCs w:val="22"/>
            <w:b w:val="0"/>
            <w:bCs w:val="0"/>
            <w:i w:val="0"/>
            <w:iCs w:val="0"/>
          </w:rPr>
          <w:t>832- دیوان برهان رازی أو شعره‏</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833- دیوان برهان سبزواری‏</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834- دیوان برهان کرمانی أو شعره‏</w:t>
        </w:r>
        <w:r>
          <w:tab/>
        </w:r>
        <w:r>
          <w:fldChar w:fldCharType="begin"/>
        </w:r>
        <w:r>
          <w:instrText xml:space="preserve">PAGEREF 1027 \h</w:instrText>
        </w:r>
        <w:r>
          <w:fldChar w:fldCharType="end"/>
        </w:r>
      </w:hyperlink>
    </w:p>
    <w:p>
      <w:pPr>
        <w:tabs>
          <w:tab w:val="right" w:leader="dot" w:pos="9062"/>
        </w:tabs>
        <w:ind w:left="440"/>
      </w:pPr>
      <w:hyperlink w:anchor="_Toc1028" w:history="1">
        <w:r>
          <w:rPr>
            <w:rFonts w:ascii="IRNazanin" w:hAnsi="IRNazanin" w:eastAsia="IRNazanin" w:cs="IRNazanin"/>
            <w:color w:val="111111"/>
            <w:sz w:val="22"/>
            <w:szCs w:val="22"/>
            <w:b w:val="0"/>
            <w:bCs w:val="0"/>
            <w:i w:val="0"/>
            <w:iCs w:val="0"/>
          </w:rPr>
          <w:t>835- دیوان برهان مازندرانی أو شعره‏</w:t>
        </w:r>
        <w:r>
          <w:tab/>
        </w:r>
        <w:r>
          <w:fldChar w:fldCharType="begin"/>
        </w:r>
        <w:r>
          <w:instrText xml:space="preserve">PAGEREF 1028 \h</w:instrText>
        </w:r>
        <w:r>
          <w:fldChar w:fldCharType="end"/>
        </w:r>
      </w:hyperlink>
    </w:p>
    <w:p>
      <w:pPr>
        <w:tabs>
          <w:tab w:val="right" w:leader="dot" w:pos="9062"/>
        </w:tabs>
        <w:ind w:left="440"/>
      </w:pPr>
      <w:hyperlink w:anchor="_Toc1029" w:history="1">
        <w:r>
          <w:rPr>
            <w:rFonts w:ascii="IRNazanin" w:hAnsi="IRNazanin" w:eastAsia="IRNazanin" w:cs="IRNazanin"/>
            <w:color w:val="111111"/>
            <w:sz w:val="22"/>
            <w:szCs w:val="22"/>
            <w:b w:val="0"/>
            <w:bCs w:val="0"/>
            <w:i w:val="0"/>
            <w:iCs w:val="0"/>
          </w:rPr>
          <w:t>836- دیوان برهان مشهدی‏</w:t>
        </w:r>
        <w:r>
          <w:tab/>
        </w:r>
        <w:r>
          <w:fldChar w:fldCharType="begin"/>
        </w:r>
        <w:r>
          <w:instrText xml:space="preserve">PAGEREF 1029 \h</w:instrText>
        </w:r>
        <w:r>
          <w:fldChar w:fldCharType="end"/>
        </w:r>
      </w:hyperlink>
    </w:p>
    <w:p>
      <w:pPr>
        <w:tabs>
          <w:tab w:val="right" w:leader="dot" w:pos="9062"/>
        </w:tabs>
        <w:ind w:left="440"/>
      </w:pPr>
      <w:hyperlink w:anchor="_Toc1030" w:history="1">
        <w:r>
          <w:rPr>
            <w:rFonts w:ascii="IRNazanin" w:hAnsi="IRNazanin" w:eastAsia="IRNazanin" w:cs="IRNazanin"/>
            <w:color w:val="111111"/>
            <w:sz w:val="22"/>
            <w:szCs w:val="22"/>
            <w:b w:val="0"/>
            <w:bCs w:val="0"/>
            <w:i w:val="0"/>
            <w:iCs w:val="0"/>
          </w:rPr>
          <w:t>837- دیوان برهمن گرجی أو شعره‏</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838- دیوان برهمن لاهوری أو شعره‏</w:t>
        </w:r>
        <w:r>
          <w:tab/>
        </w:r>
        <w:r>
          <w:fldChar w:fldCharType="begin"/>
        </w:r>
        <w:r>
          <w:instrText xml:space="preserve">PAGEREF 1031 \h</w:instrText>
        </w:r>
        <w:r>
          <w:fldChar w:fldCharType="end"/>
        </w:r>
      </w:hyperlink>
    </w:p>
    <w:p>
      <w:pPr>
        <w:tabs>
          <w:tab w:val="right" w:leader="dot" w:pos="9062"/>
        </w:tabs>
        <w:ind w:left="440"/>
      </w:pPr>
      <w:hyperlink w:anchor="_Toc1032" w:history="1">
        <w:r>
          <w:rPr>
            <w:rFonts w:ascii="IRNazanin" w:hAnsi="IRNazanin" w:eastAsia="IRNazanin" w:cs="IRNazanin"/>
            <w:color w:val="111111"/>
            <w:sz w:val="22"/>
            <w:szCs w:val="22"/>
            <w:b w:val="0"/>
            <w:bCs w:val="0"/>
            <w:i w:val="0"/>
            <w:iCs w:val="0"/>
          </w:rPr>
          <w:t>839- دیوان برین دهلوی أو شعره‏</w:t>
        </w:r>
        <w:r>
          <w:tab/>
        </w:r>
        <w:r>
          <w:fldChar w:fldCharType="begin"/>
        </w:r>
        <w:r>
          <w:instrText xml:space="preserve">PAGEREF 1032 \h</w:instrText>
        </w:r>
        <w:r>
          <w:fldChar w:fldCharType="end"/>
        </w:r>
      </w:hyperlink>
    </w:p>
    <w:p>
      <w:pPr>
        <w:tabs>
          <w:tab w:val="right" w:leader="dot" w:pos="9062"/>
        </w:tabs>
        <w:ind w:left="440"/>
      </w:pPr>
      <w:hyperlink w:anchor="_Toc1033" w:history="1">
        <w:r>
          <w:rPr>
            <w:rFonts w:ascii="IRNazanin" w:hAnsi="IRNazanin" w:eastAsia="IRNazanin" w:cs="IRNazanin"/>
            <w:color w:val="111111"/>
            <w:sz w:val="22"/>
            <w:szCs w:val="22"/>
            <w:b w:val="0"/>
            <w:bCs w:val="0"/>
            <w:i w:val="0"/>
            <w:iCs w:val="0"/>
          </w:rPr>
          <w:t>840- دیوان بزمی أردبیلی أو شعره‏</w:t>
        </w:r>
        <w:r>
          <w:tab/>
        </w:r>
        <w:r>
          <w:fldChar w:fldCharType="begin"/>
        </w:r>
        <w:r>
          <w:instrText xml:space="preserve">PAGEREF 1033 \h</w:instrText>
        </w:r>
        <w:r>
          <w:fldChar w:fldCharType="end"/>
        </w:r>
      </w:hyperlink>
    </w:p>
    <w:p>
      <w:pPr>
        <w:tabs>
          <w:tab w:val="right" w:leader="dot" w:pos="9062"/>
        </w:tabs>
        <w:ind w:left="440"/>
      </w:pPr>
      <w:hyperlink w:anchor="_Toc1034" w:history="1">
        <w:r>
          <w:rPr>
            <w:rFonts w:ascii="IRNazanin" w:hAnsi="IRNazanin" w:eastAsia="IRNazanin" w:cs="IRNazanin"/>
            <w:color w:val="111111"/>
            <w:sz w:val="22"/>
            <w:szCs w:val="22"/>
            <w:b w:val="0"/>
            <w:bCs w:val="0"/>
            <w:i w:val="0"/>
            <w:iCs w:val="0"/>
          </w:rPr>
          <w:t>841- دیوان بزمی أسترآبادی أو شعره‏</w:t>
        </w:r>
        <w:r>
          <w:tab/>
        </w:r>
        <w:r>
          <w:fldChar w:fldCharType="begin"/>
        </w:r>
        <w:r>
          <w:instrText xml:space="preserve">PAGEREF 1034 \h</w:instrText>
        </w:r>
        <w:r>
          <w:fldChar w:fldCharType="end"/>
        </w:r>
      </w:hyperlink>
    </w:p>
    <w:p>
      <w:pPr>
        <w:tabs>
          <w:tab w:val="right" w:leader="dot" w:pos="9062"/>
        </w:tabs>
        <w:ind w:left="440"/>
      </w:pPr>
      <w:hyperlink w:anchor="_Toc1035" w:history="1">
        <w:r>
          <w:rPr>
            <w:rFonts w:ascii="IRNazanin" w:hAnsi="IRNazanin" w:eastAsia="IRNazanin" w:cs="IRNazanin"/>
            <w:color w:val="111111"/>
            <w:sz w:val="22"/>
            <w:szCs w:val="22"/>
            <w:b w:val="0"/>
            <w:bCs w:val="0"/>
            <w:i w:val="0"/>
            <w:iCs w:val="0"/>
          </w:rPr>
          <w:t>842- دیوان بزمی خراسانی أو شعره‏</w:t>
        </w:r>
        <w:r>
          <w:tab/>
        </w:r>
        <w:r>
          <w:fldChar w:fldCharType="begin"/>
        </w:r>
        <w:r>
          <w:instrText xml:space="preserve">PAGEREF 1035 \h</w:instrText>
        </w:r>
        <w:r>
          <w:fldChar w:fldCharType="end"/>
        </w:r>
      </w:hyperlink>
    </w:p>
    <w:p>
      <w:pPr>
        <w:tabs>
          <w:tab w:val="right" w:leader="dot" w:pos="9062"/>
        </w:tabs>
        <w:ind w:left="440"/>
      </w:pPr>
      <w:hyperlink w:anchor="_Toc1036" w:history="1">
        <w:r>
          <w:rPr>
            <w:rFonts w:ascii="IRNazanin" w:hAnsi="IRNazanin" w:eastAsia="IRNazanin" w:cs="IRNazanin"/>
            <w:color w:val="111111"/>
            <w:sz w:val="22"/>
            <w:szCs w:val="22"/>
            <w:b w:val="0"/>
            <w:bCs w:val="0"/>
            <w:i w:val="0"/>
            <w:iCs w:val="0"/>
          </w:rPr>
          <w:t>843- دیوان بزمی دهلوی‏</w:t>
        </w:r>
        <w:r>
          <w:tab/>
        </w:r>
        <w:r>
          <w:fldChar w:fldCharType="begin"/>
        </w:r>
        <w:r>
          <w:instrText xml:space="preserve">PAGEREF 1036 \h</w:instrText>
        </w:r>
        <w:r>
          <w:fldChar w:fldCharType="end"/>
        </w:r>
      </w:hyperlink>
    </w:p>
    <w:p>
      <w:pPr>
        <w:tabs>
          <w:tab w:val="right" w:leader="dot" w:pos="9062"/>
        </w:tabs>
        <w:ind w:left="440"/>
      </w:pPr>
      <w:hyperlink w:anchor="_Toc1037" w:history="1">
        <w:r>
          <w:rPr>
            <w:rFonts w:ascii="IRNazanin" w:hAnsi="IRNazanin" w:eastAsia="IRNazanin" w:cs="IRNazanin"/>
            <w:color w:val="111111"/>
            <w:sz w:val="22"/>
            <w:szCs w:val="22"/>
            <w:b w:val="0"/>
            <w:bCs w:val="0"/>
            <w:i w:val="0"/>
            <w:iCs w:val="0"/>
          </w:rPr>
          <w:t>844- دیوان بزمی قزوینی أو شعره‏</w:t>
        </w:r>
        <w:r>
          <w:tab/>
        </w:r>
        <w:r>
          <w:fldChar w:fldCharType="begin"/>
        </w:r>
        <w:r>
          <w:instrText xml:space="preserve">PAGEREF 1037 \h</w:instrText>
        </w:r>
        <w:r>
          <w:fldChar w:fldCharType="end"/>
        </w:r>
      </w:hyperlink>
    </w:p>
    <w:p>
      <w:pPr>
        <w:tabs>
          <w:tab w:val="right" w:leader="dot" w:pos="9062"/>
        </w:tabs>
        <w:ind w:left="440"/>
      </w:pPr>
      <w:hyperlink w:anchor="_Toc1038" w:history="1">
        <w:r>
          <w:rPr>
            <w:rFonts w:ascii="IRNazanin" w:hAnsi="IRNazanin" w:eastAsia="IRNazanin" w:cs="IRNazanin"/>
            <w:color w:val="111111"/>
            <w:sz w:val="22"/>
            <w:szCs w:val="22"/>
            <w:b w:val="0"/>
            <w:bCs w:val="0"/>
            <w:i w:val="0"/>
            <w:iCs w:val="0"/>
          </w:rPr>
          <w:t>845- دیوان بزمی همدانی‏</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846- دیوان البزی‏</w:t>
        </w:r>
        <w:r>
          <w:tab/>
        </w:r>
        <w:r>
          <w:fldChar w:fldCharType="begin"/>
        </w:r>
        <w:r>
          <w:instrText xml:space="preserve">PAGEREF 1039 \h</w:instrText>
        </w:r>
        <w:r>
          <w:fldChar w:fldCharType="end"/>
        </w:r>
      </w:hyperlink>
    </w:p>
    <w:p>
      <w:pPr>
        <w:tabs>
          <w:tab w:val="right" w:leader="dot" w:pos="9062"/>
        </w:tabs>
        <w:ind w:left="440"/>
      </w:pPr>
      <w:hyperlink w:anchor="_Toc1040" w:history="1">
        <w:r>
          <w:rPr>
            <w:rFonts w:ascii="IRNazanin" w:hAnsi="IRNazanin" w:eastAsia="IRNazanin" w:cs="IRNazanin"/>
            <w:color w:val="111111"/>
            <w:sz w:val="22"/>
            <w:szCs w:val="22"/>
            <w:b w:val="0"/>
            <w:bCs w:val="0"/>
            <w:i w:val="0"/>
            <w:iCs w:val="0"/>
          </w:rPr>
          <w:t>847- دیوان بساطی سمرقندی‏</w:t>
        </w:r>
        <w:r>
          <w:tab/>
        </w:r>
        <w:r>
          <w:fldChar w:fldCharType="begin"/>
        </w:r>
        <w:r>
          <w:instrText xml:space="preserve">PAGEREF 1040 \h</w:instrText>
        </w:r>
        <w:r>
          <w:fldChar w:fldCharType="end"/>
        </w:r>
      </w:hyperlink>
    </w:p>
    <w:p>
      <w:pPr>
        <w:tabs>
          <w:tab w:val="right" w:leader="dot" w:pos="9062"/>
        </w:tabs>
        <w:ind w:left="440"/>
      </w:pPr>
      <w:hyperlink w:anchor="_Toc1041" w:history="1">
        <w:r>
          <w:rPr>
            <w:rFonts w:ascii="IRNazanin" w:hAnsi="IRNazanin" w:eastAsia="IRNazanin" w:cs="IRNazanin"/>
            <w:color w:val="111111"/>
            <w:sz w:val="22"/>
            <w:szCs w:val="22"/>
            <w:b w:val="0"/>
            <w:bCs w:val="0"/>
            <w:i w:val="0"/>
            <w:iCs w:val="0"/>
          </w:rPr>
          <w:t>848- دیوان بساطی شوشتری أو شعره‏</w:t>
        </w:r>
        <w:r>
          <w:tab/>
        </w:r>
        <w:r>
          <w:fldChar w:fldCharType="begin"/>
        </w:r>
        <w:r>
          <w:instrText xml:space="preserve">PAGEREF 1041 \h</w:instrText>
        </w:r>
        <w:r>
          <w:fldChar w:fldCharType="end"/>
        </w:r>
      </w:hyperlink>
    </w:p>
    <w:p>
      <w:pPr>
        <w:tabs>
          <w:tab w:val="right" w:leader="dot" w:pos="9062"/>
        </w:tabs>
        <w:ind w:left="440"/>
      </w:pPr>
      <w:hyperlink w:anchor="_Toc1042" w:history="1">
        <w:r>
          <w:rPr>
            <w:rFonts w:ascii="IRNazanin" w:hAnsi="IRNazanin" w:eastAsia="IRNazanin" w:cs="IRNazanin"/>
            <w:color w:val="111111"/>
            <w:sz w:val="22"/>
            <w:szCs w:val="22"/>
            <w:b w:val="0"/>
            <w:bCs w:val="0"/>
            <w:i w:val="0"/>
            <w:iCs w:val="0"/>
          </w:rPr>
          <w:t>دیوان بستی‏</w:t>
        </w:r>
        <w:r>
          <w:tab/>
        </w:r>
        <w:r>
          <w:fldChar w:fldCharType="begin"/>
        </w:r>
        <w:r>
          <w:instrText xml:space="preserve">PAGEREF 1042 \h</w:instrText>
        </w:r>
        <w:r>
          <w:fldChar w:fldCharType="end"/>
        </w:r>
      </w:hyperlink>
    </w:p>
    <w:p>
      <w:pPr>
        <w:tabs>
          <w:tab w:val="right" w:leader="dot" w:pos="9062"/>
        </w:tabs>
        <w:ind w:left="440"/>
      </w:pPr>
      <w:hyperlink w:anchor="_Toc1043" w:history="1">
        <w:r>
          <w:rPr>
            <w:rFonts w:ascii="IRNazanin" w:hAnsi="IRNazanin" w:eastAsia="IRNazanin" w:cs="IRNazanin"/>
            <w:color w:val="111111"/>
            <w:sz w:val="22"/>
            <w:szCs w:val="22"/>
            <w:b w:val="0"/>
            <w:bCs w:val="0"/>
            <w:i w:val="0"/>
            <w:iCs w:val="0"/>
          </w:rPr>
          <w:t>849- دیوان بسحاق أطعمه‏</w:t>
        </w:r>
        <w:r>
          <w:tab/>
        </w:r>
        <w:r>
          <w:fldChar w:fldCharType="begin"/>
        </w:r>
        <w:r>
          <w:instrText xml:space="preserve">PAGEREF 1043 \h</w:instrText>
        </w:r>
        <w:r>
          <w:fldChar w:fldCharType="end"/>
        </w:r>
      </w:hyperlink>
    </w:p>
    <w:p>
      <w:pPr>
        <w:tabs>
          <w:tab w:val="right" w:leader="dot" w:pos="9062"/>
        </w:tabs>
        <w:ind w:left="440"/>
      </w:pPr>
      <w:hyperlink w:anchor="_Toc1044" w:history="1">
        <w:r>
          <w:rPr>
            <w:rFonts w:ascii="IRNazanin" w:hAnsi="IRNazanin" w:eastAsia="IRNazanin" w:cs="IRNazanin"/>
            <w:color w:val="111111"/>
            <w:sz w:val="22"/>
            <w:szCs w:val="22"/>
            <w:b w:val="0"/>
            <w:bCs w:val="0"/>
            <w:i w:val="0"/>
            <w:iCs w:val="0"/>
          </w:rPr>
          <w:t>850- دیوان بسمه‏چی هروی أو شعره‏</w:t>
        </w:r>
        <w:r>
          <w:tab/>
        </w:r>
        <w:r>
          <w:fldChar w:fldCharType="begin"/>
        </w:r>
        <w:r>
          <w:instrText xml:space="preserve">PAGEREF 1044 \h</w:instrText>
        </w:r>
        <w:r>
          <w:fldChar w:fldCharType="end"/>
        </w:r>
      </w:hyperlink>
    </w:p>
    <w:p>
      <w:pPr>
        <w:tabs>
          <w:tab w:val="right" w:leader="dot" w:pos="9062"/>
        </w:tabs>
        <w:ind w:left="440"/>
      </w:pPr>
      <w:hyperlink w:anchor="_Toc1045" w:history="1">
        <w:r>
          <w:rPr>
            <w:rFonts w:ascii="IRNazanin" w:hAnsi="IRNazanin" w:eastAsia="IRNazanin" w:cs="IRNazanin"/>
            <w:color w:val="111111"/>
            <w:sz w:val="22"/>
            <w:szCs w:val="22"/>
            <w:b w:val="0"/>
            <w:bCs w:val="0"/>
            <w:i w:val="0"/>
            <w:iCs w:val="0"/>
          </w:rPr>
          <w:t>851- دیوان بسمل أصفهانی أو شعره‏</w:t>
        </w:r>
        <w:r>
          <w:tab/>
        </w:r>
        <w:r>
          <w:fldChar w:fldCharType="begin"/>
        </w:r>
        <w:r>
          <w:instrText xml:space="preserve">PAGEREF 1045 \h</w:instrText>
        </w:r>
        <w:r>
          <w:fldChar w:fldCharType="end"/>
        </w:r>
      </w:hyperlink>
    </w:p>
    <w:p>
      <w:pPr>
        <w:tabs>
          <w:tab w:val="right" w:leader="dot" w:pos="9062"/>
        </w:tabs>
        <w:ind w:left="440"/>
      </w:pPr>
      <w:hyperlink w:anchor="_Toc1046" w:history="1">
        <w:r>
          <w:rPr>
            <w:rFonts w:ascii="IRNazanin" w:hAnsi="IRNazanin" w:eastAsia="IRNazanin" w:cs="IRNazanin"/>
            <w:color w:val="111111"/>
            <w:sz w:val="22"/>
            <w:szCs w:val="22"/>
            <w:b w:val="0"/>
            <w:bCs w:val="0"/>
            <w:i w:val="0"/>
            <w:iCs w:val="0"/>
          </w:rPr>
          <w:t>852- دیوان بسمل بدخشانی أو شعره‏</w:t>
        </w:r>
        <w:r>
          <w:tab/>
        </w:r>
        <w:r>
          <w:fldChar w:fldCharType="begin"/>
        </w:r>
        <w:r>
          <w:instrText xml:space="preserve">PAGEREF 1046 \h</w:instrText>
        </w:r>
        <w:r>
          <w:fldChar w:fldCharType="end"/>
        </w:r>
      </w:hyperlink>
    </w:p>
    <w:p>
      <w:pPr>
        <w:tabs>
          <w:tab w:val="right" w:leader="dot" w:pos="9062"/>
        </w:tabs>
        <w:ind w:left="440"/>
      </w:pPr>
      <w:hyperlink w:anchor="_Toc1047" w:history="1">
        <w:r>
          <w:rPr>
            <w:rFonts w:ascii="IRNazanin" w:hAnsi="IRNazanin" w:eastAsia="IRNazanin" w:cs="IRNazanin"/>
            <w:color w:val="111111"/>
            <w:sz w:val="22"/>
            <w:szCs w:val="22"/>
            <w:b w:val="0"/>
            <w:bCs w:val="0"/>
            <w:i w:val="0"/>
            <w:iCs w:val="0"/>
          </w:rPr>
          <w:t>853- دیوان بسمل دامغانی شیرازی أو شعره‏</w:t>
        </w:r>
        <w:r>
          <w:tab/>
        </w:r>
        <w:r>
          <w:fldChar w:fldCharType="begin"/>
        </w:r>
        <w:r>
          <w:instrText xml:space="preserve">PAGEREF 1047 \h</w:instrText>
        </w:r>
        <w:r>
          <w:fldChar w:fldCharType="end"/>
        </w:r>
      </w:hyperlink>
    </w:p>
    <w:p>
      <w:pPr>
        <w:tabs>
          <w:tab w:val="right" w:leader="dot" w:pos="9062"/>
        </w:tabs>
        <w:ind w:left="440"/>
      </w:pPr>
      <w:hyperlink w:anchor="_Toc1048" w:history="1">
        <w:r>
          <w:rPr>
            <w:rFonts w:ascii="IRNazanin" w:hAnsi="IRNazanin" w:eastAsia="IRNazanin" w:cs="IRNazanin"/>
            <w:color w:val="111111"/>
            <w:sz w:val="22"/>
            <w:szCs w:val="22"/>
            <w:b w:val="0"/>
            <w:bCs w:val="0"/>
            <w:i w:val="0"/>
            <w:iCs w:val="0"/>
          </w:rPr>
          <w:t>854- دیوان بسمل شیرازی‏</w:t>
        </w:r>
        <w:r>
          <w:tab/>
        </w:r>
        <w:r>
          <w:fldChar w:fldCharType="begin"/>
        </w:r>
        <w:r>
          <w:instrText xml:space="preserve">PAGEREF 1048 \h</w:instrText>
        </w:r>
        <w:r>
          <w:fldChar w:fldCharType="end"/>
        </w:r>
      </w:hyperlink>
    </w:p>
    <w:p>
      <w:pPr>
        <w:tabs>
          <w:tab w:val="right" w:leader="dot" w:pos="9062"/>
        </w:tabs>
        <w:ind w:left="440"/>
      </w:pPr>
      <w:hyperlink w:anchor="_Toc1049" w:history="1">
        <w:r>
          <w:rPr>
            <w:rFonts w:ascii="IRNazanin" w:hAnsi="IRNazanin" w:eastAsia="IRNazanin" w:cs="IRNazanin"/>
            <w:color w:val="111111"/>
            <w:sz w:val="22"/>
            <w:szCs w:val="22"/>
            <w:b w:val="0"/>
            <w:bCs w:val="0"/>
            <w:i w:val="0"/>
            <w:iCs w:val="0"/>
          </w:rPr>
          <w:t>855- دیوان بسمل کاشانی کرمانشاهی‏</w:t>
        </w:r>
        <w:r>
          <w:tab/>
        </w:r>
        <w:r>
          <w:fldChar w:fldCharType="begin"/>
        </w:r>
        <w:r>
          <w:instrText xml:space="preserve">PAGEREF 1049 \h</w:instrText>
        </w:r>
        <w:r>
          <w:fldChar w:fldCharType="end"/>
        </w:r>
      </w:hyperlink>
    </w:p>
    <w:p>
      <w:pPr>
        <w:tabs>
          <w:tab w:val="right" w:leader="dot" w:pos="9062"/>
        </w:tabs>
        <w:ind w:left="440"/>
      </w:pPr>
      <w:hyperlink w:anchor="_Toc1050" w:history="1">
        <w:r>
          <w:rPr>
            <w:rFonts w:ascii="IRNazanin" w:hAnsi="IRNazanin" w:eastAsia="IRNazanin" w:cs="IRNazanin"/>
            <w:color w:val="111111"/>
            <w:sz w:val="22"/>
            <w:szCs w:val="22"/>
            <w:b w:val="0"/>
            <w:bCs w:val="0"/>
            <w:i w:val="0"/>
            <w:iCs w:val="0"/>
          </w:rPr>
          <w:t>856- دیوان بسمل گورکه‏پوری أو شعره‏</w:t>
        </w:r>
        <w:r>
          <w:tab/>
        </w:r>
        <w:r>
          <w:fldChar w:fldCharType="begin"/>
        </w:r>
        <w:r>
          <w:instrText xml:space="preserve">PAGEREF 1050 \h</w:instrText>
        </w:r>
        <w:r>
          <w:fldChar w:fldCharType="end"/>
        </w:r>
      </w:hyperlink>
    </w:p>
    <w:p>
      <w:pPr>
        <w:tabs>
          <w:tab w:val="right" w:leader="dot" w:pos="9062"/>
        </w:tabs>
        <w:ind w:left="440"/>
      </w:pPr>
      <w:hyperlink w:anchor="_Toc1051" w:history="1">
        <w:r>
          <w:rPr>
            <w:rFonts w:ascii="IRNazanin" w:hAnsi="IRNazanin" w:eastAsia="IRNazanin" w:cs="IRNazanin"/>
            <w:color w:val="111111"/>
            <w:sz w:val="22"/>
            <w:szCs w:val="22"/>
            <w:b w:val="0"/>
            <w:bCs w:val="0"/>
            <w:i w:val="0"/>
            <w:iCs w:val="0"/>
          </w:rPr>
          <w:t>857- دیوان بسمل هندی أو شعره‏</w:t>
        </w:r>
        <w:r>
          <w:tab/>
        </w:r>
        <w:r>
          <w:fldChar w:fldCharType="begin"/>
        </w:r>
        <w:r>
          <w:instrText xml:space="preserve">PAGEREF 1051 \h</w:instrText>
        </w:r>
        <w:r>
          <w:fldChar w:fldCharType="end"/>
        </w:r>
      </w:hyperlink>
    </w:p>
    <w:p>
      <w:pPr>
        <w:tabs>
          <w:tab w:val="right" w:leader="dot" w:pos="9062"/>
        </w:tabs>
        <w:ind w:left="440"/>
      </w:pPr>
      <w:hyperlink w:anchor="_Toc1052" w:history="1">
        <w:r>
          <w:rPr>
            <w:rFonts w:ascii="IRNazanin" w:hAnsi="IRNazanin" w:eastAsia="IRNazanin" w:cs="IRNazanin"/>
            <w:color w:val="111111"/>
            <w:sz w:val="22"/>
            <w:szCs w:val="22"/>
            <w:b w:val="0"/>
            <w:bCs w:val="0"/>
            <w:i w:val="0"/>
            <w:iCs w:val="0"/>
          </w:rPr>
          <w:t>858- دیوان بسملی قزوینی أو شعره‏</w:t>
        </w:r>
        <w:r>
          <w:tab/>
        </w:r>
        <w:r>
          <w:fldChar w:fldCharType="begin"/>
        </w:r>
        <w:r>
          <w:instrText xml:space="preserve">PAGEREF 1052 \h</w:instrText>
        </w:r>
        <w:r>
          <w:fldChar w:fldCharType="end"/>
        </w:r>
      </w:hyperlink>
    </w:p>
    <w:p>
      <w:pPr>
        <w:tabs>
          <w:tab w:val="right" w:leader="dot" w:pos="9062"/>
        </w:tabs>
        <w:ind w:left="440"/>
      </w:pPr>
      <w:hyperlink w:anchor="_Toc1053" w:history="1">
        <w:r>
          <w:rPr>
            <w:rFonts w:ascii="IRNazanin" w:hAnsi="IRNazanin" w:eastAsia="IRNazanin" w:cs="IRNazanin"/>
            <w:color w:val="111111"/>
            <w:sz w:val="22"/>
            <w:szCs w:val="22"/>
            <w:b w:val="0"/>
            <w:bCs w:val="0"/>
            <w:i w:val="0"/>
            <w:iCs w:val="0"/>
          </w:rPr>
          <w:t>859- دیوان بسیج‏</w:t>
        </w:r>
        <w:r>
          <w:tab/>
        </w:r>
        <w:r>
          <w:fldChar w:fldCharType="begin"/>
        </w:r>
        <w:r>
          <w:instrText xml:space="preserve">PAGEREF 1053 \h</w:instrText>
        </w:r>
        <w:r>
          <w:fldChar w:fldCharType="end"/>
        </w:r>
      </w:hyperlink>
    </w:p>
    <w:p>
      <w:pPr>
        <w:tabs>
          <w:tab w:val="right" w:leader="dot" w:pos="9062"/>
        </w:tabs>
        <w:ind w:left="440"/>
      </w:pPr>
      <w:hyperlink w:anchor="_Toc1054" w:history="1">
        <w:r>
          <w:rPr>
            <w:rFonts w:ascii="IRNazanin" w:hAnsi="IRNazanin" w:eastAsia="IRNazanin" w:cs="IRNazanin"/>
            <w:color w:val="111111"/>
            <w:sz w:val="22"/>
            <w:szCs w:val="22"/>
            <w:b w:val="0"/>
            <w:bCs w:val="0"/>
            <w:i w:val="0"/>
            <w:iCs w:val="0"/>
          </w:rPr>
          <w:t>860- دیوان بشار بن برد العقیلی‏</w:t>
        </w:r>
        <w:r>
          <w:tab/>
        </w:r>
        <w:r>
          <w:fldChar w:fldCharType="begin"/>
        </w:r>
        <w:r>
          <w:instrText xml:space="preserve">PAGEREF 1054 \h</w:instrText>
        </w:r>
        <w:r>
          <w:fldChar w:fldCharType="end"/>
        </w:r>
      </w:hyperlink>
    </w:p>
    <w:p>
      <w:pPr>
        <w:tabs>
          <w:tab w:val="right" w:leader="dot" w:pos="9062"/>
        </w:tabs>
        <w:ind w:left="440"/>
      </w:pPr>
      <w:hyperlink w:anchor="_Toc1055" w:history="1">
        <w:r>
          <w:rPr>
            <w:rFonts w:ascii="IRNazanin" w:hAnsi="IRNazanin" w:eastAsia="IRNazanin" w:cs="IRNazanin"/>
            <w:color w:val="111111"/>
            <w:sz w:val="22"/>
            <w:szCs w:val="22"/>
            <w:b w:val="0"/>
            <w:bCs w:val="0"/>
            <w:i w:val="0"/>
            <w:iCs w:val="0"/>
          </w:rPr>
          <w:t>861- دیوان بشاره‏</w:t>
        </w:r>
        <w:r>
          <w:tab/>
        </w:r>
        <w:r>
          <w:fldChar w:fldCharType="begin"/>
        </w:r>
        <w:r>
          <w:instrText xml:space="preserve">PAGEREF 1055 \h</w:instrText>
        </w:r>
        <w:r>
          <w:fldChar w:fldCharType="end"/>
        </w:r>
      </w:hyperlink>
    </w:p>
    <w:p>
      <w:pPr>
        <w:tabs>
          <w:tab w:val="right" w:leader="dot" w:pos="9062"/>
        </w:tabs>
        <w:ind w:left="440"/>
      </w:pPr>
      <w:hyperlink w:anchor="_Toc1056" w:history="1">
        <w:r>
          <w:rPr>
            <w:rFonts w:ascii="IRNazanin" w:hAnsi="IRNazanin" w:eastAsia="IRNazanin" w:cs="IRNazanin"/>
            <w:color w:val="111111"/>
            <w:sz w:val="22"/>
            <w:szCs w:val="22"/>
            <w:b w:val="0"/>
            <w:bCs w:val="0"/>
            <w:i w:val="0"/>
            <w:iCs w:val="0"/>
          </w:rPr>
          <w:t>862- دیوان الشیخ بشیر</w:t>
        </w:r>
        <w:r>
          <w:tab/>
        </w:r>
        <w:r>
          <w:fldChar w:fldCharType="begin"/>
        </w:r>
        <w:r>
          <w:instrText xml:space="preserve">PAGEREF 1056 \h</w:instrText>
        </w:r>
        <w:r>
          <w:fldChar w:fldCharType="end"/>
        </w:r>
      </w:hyperlink>
    </w:p>
    <w:p>
      <w:pPr>
        <w:tabs>
          <w:tab w:val="right" w:leader="dot" w:pos="9062"/>
        </w:tabs>
        <w:ind w:left="440"/>
      </w:pPr>
      <w:hyperlink w:anchor="_Toc1057" w:history="1">
        <w:r>
          <w:rPr>
            <w:rFonts w:ascii="IRNazanin" w:hAnsi="IRNazanin" w:eastAsia="IRNazanin" w:cs="IRNazanin"/>
            <w:color w:val="111111"/>
            <w:sz w:val="22"/>
            <w:szCs w:val="22"/>
            <w:b w:val="0"/>
            <w:bCs w:val="0"/>
            <w:i w:val="0"/>
            <w:iCs w:val="0"/>
          </w:rPr>
          <w:t>863- دیوان بشیر اللکهنوی أو شعره‏</w:t>
        </w:r>
        <w:r>
          <w:tab/>
        </w:r>
        <w:r>
          <w:fldChar w:fldCharType="begin"/>
        </w:r>
        <w:r>
          <w:instrText xml:space="preserve">PAGEREF 1057 \h</w:instrText>
        </w:r>
        <w:r>
          <w:fldChar w:fldCharType="end"/>
        </w:r>
      </w:hyperlink>
    </w:p>
    <w:p>
      <w:pPr>
        <w:tabs>
          <w:tab w:val="right" w:leader="dot" w:pos="9062"/>
        </w:tabs>
        <w:ind w:left="440"/>
      </w:pPr>
      <w:hyperlink w:anchor="_Toc1058" w:history="1">
        <w:r>
          <w:rPr>
            <w:rFonts w:ascii="IRNazanin" w:hAnsi="IRNazanin" w:eastAsia="IRNazanin" w:cs="IRNazanin"/>
            <w:color w:val="111111"/>
            <w:sz w:val="22"/>
            <w:szCs w:val="22"/>
            <w:b w:val="0"/>
            <w:bCs w:val="0"/>
            <w:i w:val="0"/>
            <w:iCs w:val="0"/>
          </w:rPr>
          <w:t>864- دیوان بصیر أصفهانی أو شعره‏</w:t>
        </w:r>
        <w:r>
          <w:tab/>
        </w:r>
        <w:r>
          <w:fldChar w:fldCharType="begin"/>
        </w:r>
        <w:r>
          <w:instrText xml:space="preserve">PAGEREF 1058 \h</w:instrText>
        </w:r>
        <w:r>
          <w:fldChar w:fldCharType="end"/>
        </w:r>
      </w:hyperlink>
    </w:p>
    <w:p>
      <w:pPr>
        <w:tabs>
          <w:tab w:val="right" w:leader="dot" w:pos="9062"/>
        </w:tabs>
        <w:ind w:left="440"/>
      </w:pPr>
      <w:hyperlink w:anchor="_Toc1059" w:history="1">
        <w:r>
          <w:rPr>
            <w:rFonts w:ascii="IRNazanin" w:hAnsi="IRNazanin" w:eastAsia="IRNazanin" w:cs="IRNazanin"/>
            <w:color w:val="111111"/>
            <w:sz w:val="22"/>
            <w:szCs w:val="22"/>
            <w:b w:val="0"/>
            <w:bCs w:val="0"/>
            <w:i w:val="0"/>
            <w:iCs w:val="0"/>
          </w:rPr>
          <w:t>865- دیوان البصیر الحلی‏</w:t>
        </w:r>
        <w:r>
          <w:tab/>
        </w:r>
        <w:r>
          <w:fldChar w:fldCharType="begin"/>
        </w:r>
        <w:r>
          <w:instrText xml:space="preserve">PAGEREF 1059 \h</w:instrText>
        </w:r>
        <w:r>
          <w:fldChar w:fldCharType="end"/>
        </w:r>
      </w:hyperlink>
    </w:p>
    <w:p>
      <w:pPr>
        <w:tabs>
          <w:tab w:val="right" w:leader="dot" w:pos="9062"/>
        </w:tabs>
        <w:ind w:left="440"/>
      </w:pPr>
      <w:hyperlink w:anchor="_Toc1060" w:history="1">
        <w:r>
          <w:rPr>
            <w:rFonts w:ascii="IRNazanin" w:hAnsi="IRNazanin" w:eastAsia="IRNazanin" w:cs="IRNazanin"/>
            <w:color w:val="111111"/>
            <w:sz w:val="22"/>
            <w:szCs w:val="22"/>
            <w:b w:val="0"/>
            <w:bCs w:val="0"/>
            <w:i w:val="0"/>
            <w:iCs w:val="0"/>
          </w:rPr>
          <w:t>866- دیوان بصیر سمرقندی أو شعره‏</w:t>
        </w:r>
        <w:r>
          <w:tab/>
        </w:r>
        <w:r>
          <w:fldChar w:fldCharType="begin"/>
        </w:r>
        <w:r>
          <w:instrText xml:space="preserve">PAGEREF 1060 \h</w:instrText>
        </w:r>
        <w:r>
          <w:fldChar w:fldCharType="end"/>
        </w:r>
      </w:hyperlink>
    </w:p>
    <w:p>
      <w:pPr>
        <w:tabs>
          <w:tab w:val="right" w:leader="dot" w:pos="9062"/>
        </w:tabs>
        <w:ind w:left="440"/>
      </w:pPr>
      <w:hyperlink w:anchor="_Toc1061" w:history="1">
        <w:r>
          <w:rPr>
            <w:rFonts w:ascii="IRNazanin" w:hAnsi="IRNazanin" w:eastAsia="IRNazanin" w:cs="IRNazanin"/>
            <w:color w:val="111111"/>
            <w:sz w:val="22"/>
            <w:szCs w:val="22"/>
            <w:b w:val="0"/>
            <w:bCs w:val="0"/>
            <w:i w:val="0"/>
            <w:iCs w:val="0"/>
          </w:rPr>
          <w:t>867- دیوان بصیر سیستانی أو شعره‏</w:t>
        </w:r>
        <w:r>
          <w:tab/>
        </w:r>
        <w:r>
          <w:fldChar w:fldCharType="begin"/>
        </w:r>
        <w:r>
          <w:instrText xml:space="preserve">PAGEREF 1061 \h</w:instrText>
        </w:r>
        <w:r>
          <w:fldChar w:fldCharType="end"/>
        </w:r>
      </w:hyperlink>
    </w:p>
    <w:p>
      <w:pPr>
        <w:tabs>
          <w:tab w:val="right" w:leader="dot" w:pos="9062"/>
        </w:tabs>
        <w:ind w:left="440"/>
      </w:pPr>
      <w:hyperlink w:anchor="_Toc1062" w:history="1">
        <w:r>
          <w:rPr>
            <w:rFonts w:ascii="IRNazanin" w:hAnsi="IRNazanin" w:eastAsia="IRNazanin" w:cs="IRNazanin"/>
            <w:color w:val="111111"/>
            <w:sz w:val="22"/>
            <w:szCs w:val="22"/>
            <w:b w:val="0"/>
            <w:bCs w:val="0"/>
            <w:i w:val="0"/>
            <w:iCs w:val="0"/>
          </w:rPr>
          <w:t>868- دیوان بصیری عجمی أو شعره‏</w:t>
        </w:r>
        <w:r>
          <w:tab/>
        </w:r>
        <w:r>
          <w:fldChar w:fldCharType="begin"/>
        </w:r>
        <w:r>
          <w:instrText xml:space="preserve">PAGEREF 1062 \h</w:instrText>
        </w:r>
        <w:r>
          <w:fldChar w:fldCharType="end"/>
        </w:r>
      </w:hyperlink>
    </w:p>
    <w:p>
      <w:pPr>
        <w:tabs>
          <w:tab w:val="right" w:leader="dot" w:pos="9062"/>
        </w:tabs>
        <w:ind w:left="440"/>
      </w:pPr>
      <w:hyperlink w:anchor="_Toc1063" w:history="1">
        <w:r>
          <w:rPr>
            <w:rFonts w:ascii="IRNazanin" w:hAnsi="IRNazanin" w:eastAsia="IRNazanin" w:cs="IRNazanin"/>
            <w:color w:val="111111"/>
            <w:sz w:val="22"/>
            <w:szCs w:val="22"/>
            <w:b w:val="0"/>
            <w:bCs w:val="0"/>
            <w:i w:val="0"/>
            <w:iCs w:val="0"/>
          </w:rPr>
          <w:t>869- دیوان بصیری بغدادی‏</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870- دیوان بقا أصفهانی أو شعره‏</w:t>
        </w:r>
        <w:r>
          <w:tab/>
        </w:r>
        <w:r>
          <w:fldChar w:fldCharType="begin"/>
        </w:r>
        <w:r>
          <w:instrText xml:space="preserve">PAGEREF 1064 \h</w:instrText>
        </w:r>
        <w:r>
          <w:fldChar w:fldCharType="end"/>
        </w:r>
      </w:hyperlink>
    </w:p>
    <w:p>
      <w:pPr>
        <w:tabs>
          <w:tab w:val="right" w:leader="dot" w:pos="9062"/>
        </w:tabs>
        <w:ind w:left="440"/>
      </w:pPr>
      <w:hyperlink w:anchor="_Toc1065" w:history="1">
        <w:r>
          <w:rPr>
            <w:rFonts w:ascii="IRNazanin" w:hAnsi="IRNazanin" w:eastAsia="IRNazanin" w:cs="IRNazanin"/>
            <w:color w:val="111111"/>
            <w:sz w:val="22"/>
            <w:szCs w:val="22"/>
            <w:b w:val="0"/>
            <w:bCs w:val="0"/>
            <w:i w:val="0"/>
            <w:iCs w:val="0"/>
          </w:rPr>
          <w:t>دیوان بقا بخاری‏</w:t>
        </w:r>
        <w:r>
          <w:tab/>
        </w:r>
        <w:r>
          <w:fldChar w:fldCharType="begin"/>
        </w:r>
        <w:r>
          <w:instrText xml:space="preserve">PAGEREF 1065 \h</w:instrText>
        </w:r>
        <w:r>
          <w:fldChar w:fldCharType="end"/>
        </w:r>
      </w:hyperlink>
    </w:p>
    <w:p>
      <w:pPr>
        <w:tabs>
          <w:tab w:val="right" w:leader="dot" w:pos="9062"/>
        </w:tabs>
        <w:ind w:left="440"/>
      </w:pPr>
      <w:hyperlink w:anchor="_Toc1066" w:history="1">
        <w:r>
          <w:rPr>
            <w:rFonts w:ascii="IRNazanin" w:hAnsi="IRNazanin" w:eastAsia="IRNazanin" w:cs="IRNazanin"/>
            <w:color w:val="111111"/>
            <w:sz w:val="22"/>
            <w:szCs w:val="22"/>
            <w:b w:val="0"/>
            <w:bCs w:val="0"/>
            <w:i w:val="0"/>
            <w:iCs w:val="0"/>
          </w:rPr>
          <w:t>دیوان بقا بدخشی‏</w:t>
        </w:r>
        <w:r>
          <w:tab/>
        </w:r>
        <w:r>
          <w:fldChar w:fldCharType="begin"/>
        </w:r>
        <w:r>
          <w:instrText xml:space="preserve">PAGEREF 1066 \h</w:instrText>
        </w:r>
        <w:r>
          <w:fldChar w:fldCharType="end"/>
        </w:r>
      </w:hyperlink>
    </w:p>
    <w:p>
      <w:pPr>
        <w:tabs>
          <w:tab w:val="right" w:leader="dot" w:pos="9062"/>
        </w:tabs>
        <w:ind w:left="440"/>
      </w:pPr>
      <w:hyperlink w:anchor="_Toc1067" w:history="1">
        <w:r>
          <w:rPr>
            <w:rFonts w:ascii="IRNazanin" w:hAnsi="IRNazanin" w:eastAsia="IRNazanin" w:cs="IRNazanin"/>
            <w:color w:val="111111"/>
            <w:sz w:val="22"/>
            <w:szCs w:val="22"/>
            <w:b w:val="0"/>
            <w:bCs w:val="0"/>
            <w:i w:val="0"/>
            <w:iCs w:val="0"/>
          </w:rPr>
          <w:t>871- دیوان بقا هندی أو شعره‏</w:t>
        </w:r>
        <w:r>
          <w:tab/>
        </w:r>
        <w:r>
          <w:fldChar w:fldCharType="begin"/>
        </w:r>
        <w:r>
          <w:instrText xml:space="preserve">PAGEREF 1067 \h</w:instrText>
        </w:r>
        <w:r>
          <w:fldChar w:fldCharType="end"/>
        </w:r>
      </w:hyperlink>
    </w:p>
    <w:p>
      <w:pPr>
        <w:tabs>
          <w:tab w:val="right" w:leader="dot" w:pos="9062"/>
        </w:tabs>
        <w:ind w:left="440"/>
      </w:pPr>
      <w:hyperlink w:anchor="_Toc1068" w:history="1">
        <w:r>
          <w:rPr>
            <w:rFonts w:ascii="IRNazanin" w:hAnsi="IRNazanin" w:eastAsia="IRNazanin" w:cs="IRNazanin"/>
            <w:color w:val="111111"/>
            <w:sz w:val="22"/>
            <w:szCs w:val="22"/>
            <w:b w:val="0"/>
            <w:bCs w:val="0"/>
            <w:i w:val="0"/>
            <w:iCs w:val="0"/>
          </w:rPr>
          <w:t>دیوان بقائی ابرقوهی‏</w:t>
        </w:r>
        <w:r>
          <w:tab/>
        </w:r>
        <w:r>
          <w:fldChar w:fldCharType="begin"/>
        </w:r>
        <w:r>
          <w:instrText xml:space="preserve">PAGEREF 1068 \h</w:instrText>
        </w:r>
        <w:r>
          <w:fldChar w:fldCharType="end"/>
        </w:r>
      </w:hyperlink>
    </w:p>
    <w:p>
      <w:pPr>
        <w:tabs>
          <w:tab w:val="right" w:leader="dot" w:pos="9062"/>
        </w:tabs>
        <w:ind w:left="440"/>
      </w:pPr>
      <w:hyperlink w:anchor="_Toc1069" w:history="1">
        <w:r>
          <w:rPr>
            <w:rFonts w:ascii="IRNazanin" w:hAnsi="IRNazanin" w:eastAsia="IRNazanin" w:cs="IRNazanin"/>
            <w:color w:val="111111"/>
            <w:sz w:val="22"/>
            <w:szCs w:val="22"/>
            <w:b w:val="0"/>
            <w:bCs w:val="0"/>
            <w:i w:val="0"/>
            <w:iCs w:val="0"/>
          </w:rPr>
          <w:t>872- دیوان بقائی بدخشی أو شعره‏</w:t>
        </w:r>
        <w:r>
          <w:tab/>
        </w:r>
        <w:r>
          <w:fldChar w:fldCharType="begin"/>
        </w:r>
        <w:r>
          <w:instrText xml:space="preserve">PAGEREF 1069 \h</w:instrText>
        </w:r>
        <w:r>
          <w:fldChar w:fldCharType="end"/>
        </w:r>
      </w:hyperlink>
    </w:p>
    <w:p>
      <w:pPr>
        <w:tabs>
          <w:tab w:val="right" w:leader="dot" w:pos="9062"/>
        </w:tabs>
        <w:ind w:left="440"/>
      </w:pPr>
      <w:hyperlink w:anchor="_Toc1070" w:history="1">
        <w:r>
          <w:rPr>
            <w:rFonts w:ascii="IRNazanin" w:hAnsi="IRNazanin" w:eastAsia="IRNazanin" w:cs="IRNazanin"/>
            <w:color w:val="111111"/>
            <w:sz w:val="22"/>
            <w:szCs w:val="22"/>
            <w:b w:val="0"/>
            <w:bCs w:val="0"/>
            <w:i w:val="0"/>
            <w:iCs w:val="0"/>
          </w:rPr>
          <w:t>873- دیوان بقائی تفرشی‏</w:t>
        </w:r>
        <w:r>
          <w:tab/>
        </w:r>
        <w:r>
          <w:fldChar w:fldCharType="begin"/>
        </w:r>
        <w:r>
          <w:instrText xml:space="preserve">PAGEREF 1070 \h</w:instrText>
        </w:r>
        <w:r>
          <w:fldChar w:fldCharType="end"/>
        </w:r>
      </w:hyperlink>
    </w:p>
    <w:p>
      <w:pPr>
        <w:tabs>
          <w:tab w:val="right" w:leader="dot" w:pos="9062"/>
        </w:tabs>
        <w:ind w:left="440"/>
      </w:pPr>
      <w:hyperlink w:anchor="_Toc1071" w:history="1">
        <w:r>
          <w:rPr>
            <w:rFonts w:ascii="IRNazanin" w:hAnsi="IRNazanin" w:eastAsia="IRNazanin" w:cs="IRNazanin"/>
            <w:color w:val="111111"/>
            <w:sz w:val="22"/>
            <w:szCs w:val="22"/>
            <w:b w:val="0"/>
            <w:bCs w:val="0"/>
            <w:i w:val="0"/>
            <w:iCs w:val="0"/>
          </w:rPr>
          <w:t>874- دیوان بقائی خوارزمی أو شعره‏</w:t>
        </w:r>
        <w:r>
          <w:tab/>
        </w:r>
        <w:r>
          <w:fldChar w:fldCharType="begin"/>
        </w:r>
        <w:r>
          <w:instrText xml:space="preserve">PAGEREF 1071 \h</w:instrText>
        </w:r>
        <w:r>
          <w:fldChar w:fldCharType="end"/>
        </w:r>
      </w:hyperlink>
    </w:p>
    <w:p>
      <w:pPr>
        <w:tabs>
          <w:tab w:val="right" w:leader="dot" w:pos="9062"/>
        </w:tabs>
        <w:ind w:left="440"/>
      </w:pPr>
      <w:hyperlink w:anchor="_Toc1072" w:history="1">
        <w:r>
          <w:rPr>
            <w:rFonts w:ascii="IRNazanin" w:hAnsi="IRNazanin" w:eastAsia="IRNazanin" w:cs="IRNazanin"/>
            <w:color w:val="111111"/>
            <w:sz w:val="22"/>
            <w:szCs w:val="22"/>
            <w:b w:val="0"/>
            <w:bCs w:val="0"/>
            <w:i w:val="0"/>
            <w:iCs w:val="0"/>
          </w:rPr>
          <w:t>875- دیوان بقائی سمرقندی أو شعره‏</w:t>
        </w:r>
        <w:r>
          <w:tab/>
        </w:r>
        <w:r>
          <w:fldChar w:fldCharType="begin"/>
        </w:r>
        <w:r>
          <w:instrText xml:space="preserve">PAGEREF 1072 \h</w:instrText>
        </w:r>
        <w:r>
          <w:fldChar w:fldCharType="end"/>
        </w:r>
      </w:hyperlink>
    </w:p>
    <w:p>
      <w:pPr>
        <w:tabs>
          <w:tab w:val="right" w:leader="dot" w:pos="9062"/>
        </w:tabs>
        <w:ind w:left="440"/>
      </w:pPr>
      <w:hyperlink w:anchor="_Toc1073" w:history="1">
        <w:r>
          <w:rPr>
            <w:rFonts w:ascii="IRNazanin" w:hAnsi="IRNazanin" w:eastAsia="IRNazanin" w:cs="IRNazanin"/>
            <w:color w:val="111111"/>
            <w:sz w:val="22"/>
            <w:szCs w:val="22"/>
            <w:b w:val="0"/>
            <w:bCs w:val="0"/>
            <w:i w:val="0"/>
            <w:iCs w:val="0"/>
          </w:rPr>
          <w:t>876- دیوان بقائی کمانگر أو شعره‏</w:t>
        </w:r>
        <w:r>
          <w:tab/>
        </w:r>
        <w:r>
          <w:fldChar w:fldCharType="begin"/>
        </w:r>
        <w:r>
          <w:instrText xml:space="preserve">PAGEREF 1073 \h</w:instrText>
        </w:r>
        <w:r>
          <w:fldChar w:fldCharType="end"/>
        </w:r>
      </w:hyperlink>
    </w:p>
    <w:p>
      <w:pPr>
        <w:tabs>
          <w:tab w:val="right" w:leader="dot" w:pos="9062"/>
        </w:tabs>
        <w:ind w:left="440"/>
      </w:pPr>
      <w:hyperlink w:anchor="_Toc1074" w:history="1">
        <w:r>
          <w:rPr>
            <w:rFonts w:ascii="IRNazanin" w:hAnsi="IRNazanin" w:eastAsia="IRNazanin" w:cs="IRNazanin"/>
            <w:color w:val="111111"/>
            <w:sz w:val="22"/>
            <w:szCs w:val="22"/>
            <w:b w:val="0"/>
            <w:bCs w:val="0"/>
            <w:i w:val="0"/>
            <w:iCs w:val="0"/>
          </w:rPr>
          <w:t>877- دیوان بقائی قهستانی أو شعره‏</w:t>
        </w:r>
        <w:r>
          <w:tab/>
        </w:r>
        <w:r>
          <w:fldChar w:fldCharType="begin"/>
        </w:r>
        <w:r>
          <w:instrText xml:space="preserve">PAGEREF 1074 \h</w:instrText>
        </w:r>
        <w:r>
          <w:fldChar w:fldCharType="end"/>
        </w:r>
      </w:hyperlink>
    </w:p>
    <w:p>
      <w:pPr>
        <w:tabs>
          <w:tab w:val="right" w:leader="dot" w:pos="9062"/>
        </w:tabs>
        <w:ind w:left="440"/>
      </w:pPr>
      <w:hyperlink w:anchor="_Toc1075" w:history="1">
        <w:r>
          <w:rPr>
            <w:rFonts w:ascii="IRNazanin" w:hAnsi="IRNazanin" w:eastAsia="IRNazanin" w:cs="IRNazanin"/>
            <w:color w:val="111111"/>
            <w:sz w:val="22"/>
            <w:szCs w:val="22"/>
            <w:b w:val="0"/>
            <w:bCs w:val="0"/>
            <w:i w:val="0"/>
            <w:iCs w:val="0"/>
          </w:rPr>
          <w:t>878- دیوان بقائی هندی أو شعره‏</w:t>
        </w:r>
        <w:r>
          <w:tab/>
        </w:r>
        <w:r>
          <w:fldChar w:fldCharType="begin"/>
        </w:r>
        <w:r>
          <w:instrText xml:space="preserve">PAGEREF 1075 \h</w:instrText>
        </w:r>
        <w:r>
          <w:fldChar w:fldCharType="end"/>
        </w:r>
      </w:hyperlink>
    </w:p>
    <w:p>
      <w:pPr>
        <w:tabs>
          <w:tab w:val="right" w:leader="dot" w:pos="9062"/>
        </w:tabs>
        <w:ind w:left="440"/>
      </w:pPr>
      <w:hyperlink w:anchor="_Toc1076" w:history="1">
        <w:r>
          <w:rPr>
            <w:rFonts w:ascii="IRNazanin" w:hAnsi="IRNazanin" w:eastAsia="IRNazanin" w:cs="IRNazanin"/>
            <w:color w:val="111111"/>
            <w:sz w:val="22"/>
            <w:szCs w:val="22"/>
            <w:b w:val="0"/>
            <w:bCs w:val="0"/>
            <w:i w:val="0"/>
            <w:iCs w:val="0"/>
          </w:rPr>
          <w:t>879- دیوان بقائی هندی أو شعره‏</w:t>
        </w:r>
        <w:r>
          <w:tab/>
        </w:r>
        <w:r>
          <w:fldChar w:fldCharType="begin"/>
        </w:r>
        <w:r>
          <w:instrText xml:space="preserve">PAGEREF 1076 \h</w:instrText>
        </w:r>
        <w:r>
          <w:fldChar w:fldCharType="end"/>
        </w:r>
      </w:hyperlink>
    </w:p>
    <w:p>
      <w:pPr>
        <w:tabs>
          <w:tab w:val="right" w:leader="dot" w:pos="9062"/>
        </w:tabs>
        <w:ind w:left="440"/>
      </w:pPr>
      <w:hyperlink w:anchor="_Toc1077" w:history="1">
        <w:r>
          <w:rPr>
            <w:rFonts w:ascii="IRNazanin" w:hAnsi="IRNazanin" w:eastAsia="IRNazanin" w:cs="IRNazanin"/>
            <w:color w:val="111111"/>
            <w:sz w:val="22"/>
            <w:szCs w:val="22"/>
            <w:b w:val="0"/>
            <w:bCs w:val="0"/>
            <w:i w:val="0"/>
            <w:iCs w:val="0"/>
          </w:rPr>
          <w:t>880- دیوان بلائی بخاری أو شعره‏</w:t>
        </w:r>
        <w:r>
          <w:tab/>
        </w:r>
        <w:r>
          <w:fldChar w:fldCharType="begin"/>
        </w:r>
        <w:r>
          <w:instrText xml:space="preserve">PAGEREF 1077 \h</w:instrText>
        </w:r>
        <w:r>
          <w:fldChar w:fldCharType="end"/>
        </w:r>
      </w:hyperlink>
    </w:p>
    <w:p>
      <w:pPr>
        <w:tabs>
          <w:tab w:val="right" w:leader="dot" w:pos="9062"/>
        </w:tabs>
        <w:ind w:left="440"/>
      </w:pPr>
      <w:hyperlink w:anchor="_Toc1078" w:history="1">
        <w:r>
          <w:rPr>
            <w:rFonts w:ascii="IRNazanin" w:hAnsi="IRNazanin" w:eastAsia="IRNazanin" w:cs="IRNazanin"/>
            <w:color w:val="111111"/>
            <w:sz w:val="22"/>
            <w:szCs w:val="22"/>
            <w:b w:val="0"/>
            <w:bCs w:val="0"/>
            <w:i w:val="0"/>
            <w:iCs w:val="0"/>
          </w:rPr>
          <w:t>881- دیوان بلاغی نائنی‏</w:t>
        </w:r>
        <w:r>
          <w:tab/>
        </w:r>
        <w:r>
          <w:fldChar w:fldCharType="begin"/>
        </w:r>
        <w:r>
          <w:instrText xml:space="preserve">PAGEREF 1078 \h</w:instrText>
        </w:r>
        <w:r>
          <w:fldChar w:fldCharType="end"/>
        </w:r>
      </w:hyperlink>
    </w:p>
    <w:p>
      <w:pPr>
        <w:tabs>
          <w:tab w:val="right" w:leader="dot" w:pos="9062"/>
        </w:tabs>
        <w:ind w:left="440"/>
      </w:pPr>
      <w:hyperlink w:anchor="_Toc1079" w:history="1">
        <w:r>
          <w:rPr>
            <w:rFonts w:ascii="IRNazanin" w:hAnsi="IRNazanin" w:eastAsia="IRNazanin" w:cs="IRNazanin"/>
            <w:color w:val="111111"/>
            <w:sz w:val="22"/>
            <w:szCs w:val="22"/>
            <w:b w:val="0"/>
            <w:bCs w:val="0"/>
            <w:i w:val="0"/>
            <w:iCs w:val="0"/>
          </w:rPr>
          <w:t>882- دیوان البلاغی النجفی‏</w:t>
        </w:r>
        <w:r>
          <w:tab/>
        </w:r>
        <w:r>
          <w:fldChar w:fldCharType="begin"/>
        </w:r>
        <w:r>
          <w:instrText xml:space="preserve">PAGEREF 1079 \h</w:instrText>
        </w:r>
        <w:r>
          <w:fldChar w:fldCharType="end"/>
        </w:r>
      </w:hyperlink>
    </w:p>
    <w:p>
      <w:pPr>
        <w:tabs>
          <w:tab w:val="right" w:leader="dot" w:pos="9062"/>
        </w:tabs>
        <w:ind w:left="440"/>
      </w:pPr>
      <w:hyperlink w:anchor="_Toc1080" w:history="1">
        <w:r>
          <w:rPr>
            <w:rFonts w:ascii="IRNazanin" w:hAnsi="IRNazanin" w:eastAsia="IRNazanin" w:cs="IRNazanin"/>
            <w:color w:val="111111"/>
            <w:sz w:val="22"/>
            <w:szCs w:val="22"/>
            <w:b w:val="0"/>
            <w:bCs w:val="0"/>
            <w:i w:val="0"/>
            <w:iCs w:val="0"/>
          </w:rPr>
          <w:t>883- دیوان البلاغی النجفی‏</w:t>
        </w:r>
        <w:r>
          <w:tab/>
        </w:r>
        <w:r>
          <w:fldChar w:fldCharType="begin"/>
        </w:r>
        <w:r>
          <w:instrText xml:space="preserve">PAGEREF 1080 \h</w:instrText>
        </w:r>
        <w:r>
          <w:fldChar w:fldCharType="end"/>
        </w:r>
      </w:hyperlink>
    </w:p>
    <w:p>
      <w:pPr>
        <w:tabs>
          <w:tab w:val="right" w:leader="dot" w:pos="9062"/>
        </w:tabs>
        <w:ind w:left="440"/>
      </w:pPr>
      <w:hyperlink w:anchor="_Toc1081" w:history="1">
        <w:r>
          <w:rPr>
            <w:rFonts w:ascii="IRNazanin" w:hAnsi="IRNazanin" w:eastAsia="IRNazanin" w:cs="IRNazanin"/>
            <w:color w:val="111111"/>
            <w:sz w:val="22"/>
            <w:szCs w:val="22"/>
            <w:b w:val="0"/>
            <w:bCs w:val="0"/>
            <w:i w:val="0"/>
            <w:iCs w:val="0"/>
          </w:rPr>
          <w:t>دیوان بلالی أو شعره‏</w:t>
        </w:r>
        <w:r>
          <w:tab/>
        </w:r>
        <w:r>
          <w:fldChar w:fldCharType="begin"/>
        </w:r>
        <w:r>
          <w:instrText xml:space="preserve">PAGEREF 1081 \h</w:instrText>
        </w:r>
        <w:r>
          <w:fldChar w:fldCharType="end"/>
        </w:r>
      </w:hyperlink>
    </w:p>
    <w:p>
      <w:pPr>
        <w:tabs>
          <w:tab w:val="right" w:leader="dot" w:pos="9062"/>
        </w:tabs>
        <w:ind w:left="440"/>
      </w:pPr>
      <w:hyperlink w:anchor="_Toc1082" w:history="1">
        <w:r>
          <w:rPr>
            <w:rFonts w:ascii="IRNazanin" w:hAnsi="IRNazanin" w:eastAsia="IRNazanin" w:cs="IRNazanin"/>
            <w:color w:val="111111"/>
            <w:sz w:val="22"/>
            <w:szCs w:val="22"/>
            <w:b w:val="0"/>
            <w:bCs w:val="0"/>
            <w:i w:val="0"/>
            <w:iCs w:val="0"/>
          </w:rPr>
          <w:t>884- دیوان بلبل کوچک أو شعره‏</w:t>
        </w:r>
        <w:r>
          <w:tab/>
        </w:r>
        <w:r>
          <w:fldChar w:fldCharType="begin"/>
        </w:r>
        <w:r>
          <w:instrText xml:space="preserve">PAGEREF 1082 \h</w:instrText>
        </w:r>
        <w:r>
          <w:fldChar w:fldCharType="end"/>
        </w:r>
      </w:hyperlink>
    </w:p>
    <w:p>
      <w:pPr>
        <w:tabs>
          <w:tab w:val="right" w:leader="dot" w:pos="9062"/>
        </w:tabs>
        <w:ind w:left="440"/>
      </w:pPr>
      <w:hyperlink w:anchor="_Toc1083" w:history="1">
        <w:r>
          <w:rPr>
            <w:rFonts w:ascii="IRNazanin" w:hAnsi="IRNazanin" w:eastAsia="IRNazanin" w:cs="IRNazanin"/>
            <w:color w:val="111111"/>
            <w:sz w:val="22"/>
            <w:szCs w:val="22"/>
            <w:b w:val="0"/>
            <w:bCs w:val="0"/>
            <w:i w:val="0"/>
            <w:iCs w:val="0"/>
          </w:rPr>
          <w:t>885- دیوان بلبل یزدی أو شعره‏</w:t>
        </w:r>
        <w:r>
          <w:tab/>
        </w:r>
        <w:r>
          <w:fldChar w:fldCharType="begin"/>
        </w:r>
        <w:r>
          <w:instrText xml:space="preserve">PAGEREF 1083 \h</w:instrText>
        </w:r>
        <w:r>
          <w:fldChar w:fldCharType="end"/>
        </w:r>
      </w:hyperlink>
    </w:p>
    <w:p>
      <w:pPr>
        <w:tabs>
          <w:tab w:val="right" w:leader="dot" w:pos="9062"/>
        </w:tabs>
        <w:ind w:left="440"/>
      </w:pPr>
      <w:hyperlink w:anchor="_Toc1084" w:history="1">
        <w:r>
          <w:rPr>
            <w:rFonts w:ascii="IRNazanin" w:hAnsi="IRNazanin" w:eastAsia="IRNazanin" w:cs="IRNazanin"/>
            <w:color w:val="111111"/>
            <w:sz w:val="22"/>
            <w:szCs w:val="22"/>
            <w:b w:val="0"/>
            <w:bCs w:val="0"/>
            <w:i w:val="0"/>
            <w:iCs w:val="0"/>
          </w:rPr>
          <w:t>دیوان بلخی‏</w:t>
        </w:r>
        <w:r>
          <w:tab/>
        </w:r>
        <w:r>
          <w:fldChar w:fldCharType="begin"/>
        </w:r>
        <w:r>
          <w:instrText xml:space="preserve">PAGEREF 1084 \h</w:instrText>
        </w:r>
        <w:r>
          <w:fldChar w:fldCharType="end"/>
        </w:r>
      </w:hyperlink>
    </w:p>
    <w:p>
      <w:pPr>
        <w:tabs>
          <w:tab w:val="right" w:leader="dot" w:pos="9062"/>
        </w:tabs>
        <w:ind w:left="440"/>
      </w:pPr>
      <w:hyperlink w:anchor="_Toc1085" w:history="1">
        <w:r>
          <w:rPr>
            <w:rFonts w:ascii="IRNazanin" w:hAnsi="IRNazanin" w:eastAsia="IRNazanin" w:cs="IRNazanin"/>
            <w:color w:val="111111"/>
            <w:sz w:val="22"/>
            <w:szCs w:val="22"/>
            <w:b w:val="0"/>
            <w:bCs w:val="0"/>
            <w:i w:val="0"/>
            <w:iCs w:val="0"/>
          </w:rPr>
          <w:t>دیوان بلخی‏</w:t>
        </w:r>
        <w:r>
          <w:tab/>
        </w:r>
        <w:r>
          <w:fldChar w:fldCharType="begin"/>
        </w:r>
        <w:r>
          <w:instrText xml:space="preserve">PAGEREF 1085 \h</w:instrText>
        </w:r>
        <w:r>
          <w:fldChar w:fldCharType="end"/>
        </w:r>
      </w:hyperlink>
    </w:p>
    <w:p>
      <w:pPr>
        <w:tabs>
          <w:tab w:val="right" w:leader="dot" w:pos="9062"/>
        </w:tabs>
        <w:ind w:left="440"/>
      </w:pPr>
      <w:hyperlink w:anchor="_Toc1086" w:history="1">
        <w:r>
          <w:rPr>
            <w:rFonts w:ascii="IRNazanin" w:hAnsi="IRNazanin" w:eastAsia="IRNazanin" w:cs="IRNazanin"/>
            <w:color w:val="111111"/>
            <w:sz w:val="22"/>
            <w:szCs w:val="22"/>
            <w:b w:val="0"/>
            <w:bCs w:val="0"/>
            <w:i w:val="0"/>
            <w:iCs w:val="0"/>
          </w:rPr>
          <w:t>دیوان بلگرامی‏</w:t>
        </w:r>
        <w:r>
          <w:tab/>
        </w:r>
        <w:r>
          <w:fldChar w:fldCharType="begin"/>
        </w:r>
        <w:r>
          <w:instrText xml:space="preserve">PAGEREF 1086 \h</w:instrText>
        </w:r>
        <w:r>
          <w:fldChar w:fldCharType="end"/>
        </w:r>
      </w:hyperlink>
    </w:p>
    <w:p>
      <w:pPr>
        <w:tabs>
          <w:tab w:val="right" w:leader="dot" w:pos="9062"/>
        </w:tabs>
        <w:ind w:left="440"/>
      </w:pPr>
      <w:hyperlink w:anchor="_Toc1087" w:history="1">
        <w:r>
          <w:rPr>
            <w:rFonts w:ascii="IRNazanin" w:hAnsi="IRNazanin" w:eastAsia="IRNazanin" w:cs="IRNazanin"/>
            <w:color w:val="111111"/>
            <w:sz w:val="22"/>
            <w:szCs w:val="22"/>
            <w:b w:val="0"/>
            <w:bCs w:val="0"/>
            <w:i w:val="0"/>
            <w:iCs w:val="0"/>
          </w:rPr>
          <w:t>886- دیوان بلندإقبال أو شعره‏</w:t>
        </w:r>
        <w:r>
          <w:tab/>
        </w:r>
        <w:r>
          <w:fldChar w:fldCharType="begin"/>
        </w:r>
        <w:r>
          <w:instrText xml:space="preserve">PAGEREF 1087 \h</w:instrText>
        </w:r>
        <w:r>
          <w:fldChar w:fldCharType="end"/>
        </w:r>
      </w:hyperlink>
    </w:p>
    <w:p>
      <w:pPr>
        <w:tabs>
          <w:tab w:val="right" w:leader="dot" w:pos="9062"/>
        </w:tabs>
        <w:ind w:left="440"/>
      </w:pPr>
      <w:hyperlink w:anchor="_Toc1088" w:history="1">
        <w:r>
          <w:rPr>
            <w:rFonts w:ascii="IRNazanin" w:hAnsi="IRNazanin" w:eastAsia="IRNazanin" w:cs="IRNazanin"/>
            <w:color w:val="111111"/>
            <w:sz w:val="22"/>
            <w:szCs w:val="22"/>
            <w:b w:val="0"/>
            <w:bCs w:val="0"/>
            <w:i w:val="0"/>
            <w:iCs w:val="0"/>
          </w:rPr>
          <w:t>887- دیوان بلندی أدرنه‏ای أو شعره‏</w:t>
        </w:r>
        <w:r>
          <w:tab/>
        </w:r>
        <w:r>
          <w:fldChar w:fldCharType="begin"/>
        </w:r>
        <w:r>
          <w:instrText xml:space="preserve">PAGEREF 1088 \h</w:instrText>
        </w:r>
        <w:r>
          <w:fldChar w:fldCharType="end"/>
        </w:r>
      </w:hyperlink>
    </w:p>
    <w:p>
      <w:pPr>
        <w:tabs>
          <w:tab w:val="right" w:leader="dot" w:pos="9062"/>
        </w:tabs>
        <w:ind w:left="440"/>
      </w:pPr>
      <w:hyperlink w:anchor="_Toc1089" w:history="1">
        <w:r>
          <w:rPr>
            <w:rFonts w:ascii="IRNazanin" w:hAnsi="IRNazanin" w:eastAsia="IRNazanin" w:cs="IRNazanin"/>
            <w:color w:val="111111"/>
            <w:sz w:val="22"/>
            <w:szCs w:val="22"/>
            <w:b w:val="0"/>
            <w:bCs w:val="0"/>
            <w:i w:val="0"/>
            <w:iCs w:val="0"/>
          </w:rPr>
          <w:t>888- دیوان بلندی عراقی أو شعره‏</w:t>
        </w:r>
        <w:r>
          <w:tab/>
        </w:r>
        <w:r>
          <w:fldChar w:fldCharType="begin"/>
        </w:r>
        <w:r>
          <w:instrText xml:space="preserve">PAGEREF 1089 \h</w:instrText>
        </w:r>
        <w:r>
          <w:fldChar w:fldCharType="end"/>
        </w:r>
      </w:hyperlink>
    </w:p>
    <w:p>
      <w:pPr>
        <w:tabs>
          <w:tab w:val="right" w:leader="dot" w:pos="9062"/>
        </w:tabs>
        <w:ind w:left="440"/>
      </w:pPr>
      <w:hyperlink w:anchor="_Toc1090" w:history="1">
        <w:r>
          <w:rPr>
            <w:rFonts w:ascii="IRNazanin" w:hAnsi="IRNazanin" w:eastAsia="IRNazanin" w:cs="IRNazanin"/>
            <w:color w:val="111111"/>
            <w:sz w:val="22"/>
            <w:szCs w:val="22"/>
            <w:b w:val="0"/>
            <w:bCs w:val="0"/>
            <w:i w:val="0"/>
            <w:iCs w:val="0"/>
          </w:rPr>
          <w:t>889- دیوان بلیغ شاه جهان‏پوری أو شعره‏</w:t>
        </w:r>
        <w:r>
          <w:tab/>
        </w:r>
        <w:r>
          <w:fldChar w:fldCharType="begin"/>
        </w:r>
        <w:r>
          <w:instrText xml:space="preserve">PAGEREF 1090 \h</w:instrText>
        </w:r>
        <w:r>
          <w:fldChar w:fldCharType="end"/>
        </w:r>
      </w:hyperlink>
    </w:p>
    <w:p>
      <w:pPr>
        <w:tabs>
          <w:tab w:val="right" w:leader="dot" w:pos="9062"/>
        </w:tabs>
        <w:ind w:left="440"/>
      </w:pPr>
      <w:hyperlink w:anchor="_Toc1091" w:history="1">
        <w:r>
          <w:rPr>
            <w:rFonts w:ascii="IRNazanin" w:hAnsi="IRNazanin" w:eastAsia="IRNazanin" w:cs="IRNazanin"/>
            <w:color w:val="111111"/>
            <w:sz w:val="22"/>
            <w:szCs w:val="22"/>
            <w:b w:val="0"/>
            <w:bCs w:val="0"/>
            <w:i w:val="0"/>
            <w:iCs w:val="0"/>
          </w:rPr>
          <w:t>890- دیوان بلیغ فرخ‏آبادی أو شعره‏</w:t>
        </w:r>
        <w:r>
          <w:tab/>
        </w:r>
        <w:r>
          <w:fldChar w:fldCharType="begin"/>
        </w:r>
        <w:r>
          <w:instrText xml:space="preserve">PAGEREF 1091 \h</w:instrText>
        </w:r>
        <w:r>
          <w:fldChar w:fldCharType="end"/>
        </w:r>
      </w:hyperlink>
    </w:p>
    <w:p>
      <w:pPr>
        <w:tabs>
          <w:tab w:val="right" w:leader="dot" w:pos="9062"/>
        </w:tabs>
        <w:ind w:left="440"/>
      </w:pPr>
      <w:hyperlink w:anchor="_Toc1092" w:history="1">
        <w:r>
          <w:rPr>
            <w:rFonts w:ascii="IRNazanin" w:hAnsi="IRNazanin" w:eastAsia="IRNazanin" w:cs="IRNazanin"/>
            <w:color w:val="111111"/>
            <w:sz w:val="22"/>
            <w:szCs w:val="22"/>
            <w:b w:val="0"/>
            <w:bCs w:val="0"/>
            <w:i w:val="0"/>
            <w:iCs w:val="0"/>
          </w:rPr>
          <w:t>دیوان بمان علی‏</w:t>
        </w:r>
        <w:r>
          <w:tab/>
        </w:r>
        <w:r>
          <w:fldChar w:fldCharType="begin"/>
        </w:r>
        <w:r>
          <w:instrText xml:space="preserve">PAGEREF 1092 \h</w:instrText>
        </w:r>
        <w:r>
          <w:fldChar w:fldCharType="end"/>
        </w:r>
      </w:hyperlink>
    </w:p>
    <w:p>
      <w:pPr>
        <w:tabs>
          <w:tab w:val="right" w:leader="dot" w:pos="9062"/>
        </w:tabs>
        <w:ind w:left="440"/>
      </w:pPr>
      <w:hyperlink w:anchor="_Toc1093" w:history="1">
        <w:r>
          <w:rPr>
            <w:rFonts w:ascii="IRNazanin" w:hAnsi="IRNazanin" w:eastAsia="IRNazanin" w:cs="IRNazanin"/>
            <w:color w:val="111111"/>
            <w:sz w:val="22"/>
            <w:szCs w:val="22"/>
            <w:b w:val="0"/>
            <w:bCs w:val="0"/>
            <w:i w:val="0"/>
            <w:iCs w:val="0"/>
          </w:rPr>
          <w:t>891- دیوان بناء یزدی أو شعره‏</w:t>
        </w:r>
        <w:r>
          <w:tab/>
        </w:r>
        <w:r>
          <w:fldChar w:fldCharType="begin"/>
        </w:r>
        <w:r>
          <w:instrText xml:space="preserve">PAGEREF 1093 \h</w:instrText>
        </w:r>
        <w:r>
          <w:fldChar w:fldCharType="end"/>
        </w:r>
      </w:hyperlink>
    </w:p>
    <w:p>
      <w:pPr>
        <w:tabs>
          <w:tab w:val="right" w:leader="dot" w:pos="9062"/>
        </w:tabs>
        <w:ind w:left="440"/>
      </w:pPr>
      <w:hyperlink w:anchor="_Toc1094" w:history="1">
        <w:r>
          <w:rPr>
            <w:rFonts w:ascii="IRNazanin" w:hAnsi="IRNazanin" w:eastAsia="IRNazanin" w:cs="IRNazanin"/>
            <w:color w:val="111111"/>
            <w:sz w:val="22"/>
            <w:szCs w:val="22"/>
            <w:b w:val="0"/>
            <w:bCs w:val="0"/>
            <w:i w:val="0"/>
            <w:iCs w:val="0"/>
          </w:rPr>
          <w:t>دیوان بنائی تونی‏</w:t>
        </w:r>
        <w:r>
          <w:tab/>
        </w:r>
        <w:r>
          <w:fldChar w:fldCharType="begin"/>
        </w:r>
        <w:r>
          <w:instrText xml:space="preserve">PAGEREF 1094 \h</w:instrText>
        </w:r>
        <w:r>
          <w:fldChar w:fldCharType="end"/>
        </w:r>
      </w:hyperlink>
    </w:p>
    <w:p>
      <w:pPr>
        <w:tabs>
          <w:tab w:val="right" w:leader="dot" w:pos="9062"/>
        </w:tabs>
        <w:ind w:left="440"/>
      </w:pPr>
      <w:hyperlink w:anchor="_Toc1095" w:history="1">
        <w:r>
          <w:rPr>
            <w:rFonts w:ascii="IRNazanin" w:hAnsi="IRNazanin" w:eastAsia="IRNazanin" w:cs="IRNazanin"/>
            <w:color w:val="111111"/>
            <w:sz w:val="22"/>
            <w:szCs w:val="22"/>
            <w:b w:val="0"/>
            <w:bCs w:val="0"/>
            <w:i w:val="0"/>
            <w:iCs w:val="0"/>
          </w:rPr>
          <w:t>892- دیوان بنائی هروی‏</w:t>
        </w:r>
        <w:r>
          <w:tab/>
        </w:r>
        <w:r>
          <w:fldChar w:fldCharType="begin"/>
        </w:r>
        <w:r>
          <w:instrText xml:space="preserve">PAGEREF 1095 \h</w:instrText>
        </w:r>
        <w:r>
          <w:fldChar w:fldCharType="end"/>
        </w:r>
      </w:hyperlink>
    </w:p>
    <w:p>
      <w:pPr>
        <w:tabs>
          <w:tab w:val="right" w:leader="dot" w:pos="9062"/>
        </w:tabs>
        <w:ind w:left="440"/>
      </w:pPr>
      <w:hyperlink w:anchor="_Toc1096" w:history="1">
        <w:r>
          <w:rPr>
            <w:rFonts w:ascii="IRNazanin" w:hAnsi="IRNazanin" w:eastAsia="IRNazanin" w:cs="IRNazanin"/>
            <w:color w:val="111111"/>
            <w:sz w:val="22"/>
            <w:szCs w:val="22"/>
            <w:b w:val="0"/>
            <w:bCs w:val="0"/>
            <w:i w:val="0"/>
            <w:iCs w:val="0"/>
          </w:rPr>
          <w:t>دیوان بناکتی أو پناکتی أو فناکتی‏</w:t>
        </w:r>
        <w:r>
          <w:tab/>
        </w:r>
        <w:r>
          <w:fldChar w:fldCharType="begin"/>
        </w:r>
        <w:r>
          <w:instrText xml:space="preserve">PAGEREF 1096 \h</w:instrText>
        </w:r>
        <w:r>
          <w:fldChar w:fldCharType="end"/>
        </w:r>
      </w:hyperlink>
    </w:p>
    <w:p>
      <w:pPr>
        <w:tabs>
          <w:tab w:val="right" w:leader="dot" w:pos="9062"/>
        </w:tabs>
        <w:ind w:left="440"/>
      </w:pPr>
      <w:hyperlink w:anchor="_Toc1097" w:history="1">
        <w:r>
          <w:rPr>
            <w:rFonts w:ascii="IRNazanin" w:hAnsi="IRNazanin" w:eastAsia="IRNazanin" w:cs="IRNazanin"/>
            <w:color w:val="111111"/>
            <w:sz w:val="22"/>
            <w:szCs w:val="22"/>
            <w:b w:val="0"/>
            <w:bCs w:val="0"/>
            <w:i w:val="0"/>
            <w:iCs w:val="0"/>
          </w:rPr>
          <w:t>893- دیوان بنت أو شعرها</w:t>
        </w:r>
        <w:r>
          <w:tab/>
        </w:r>
        <w:r>
          <w:fldChar w:fldCharType="begin"/>
        </w:r>
        <w:r>
          <w:instrText xml:space="preserve">PAGEREF 1097 \h</w:instrText>
        </w:r>
        <w:r>
          <w:fldChar w:fldCharType="end"/>
        </w:r>
      </w:hyperlink>
    </w:p>
    <w:p>
      <w:pPr>
        <w:tabs>
          <w:tab w:val="right" w:leader="dot" w:pos="9062"/>
        </w:tabs>
        <w:ind w:left="440"/>
      </w:pPr>
      <w:hyperlink w:anchor="_Toc1098" w:history="1">
        <w:r>
          <w:rPr>
            <w:rFonts w:ascii="IRNazanin" w:hAnsi="IRNazanin" w:eastAsia="IRNazanin" w:cs="IRNazanin"/>
            <w:color w:val="111111"/>
            <w:sz w:val="22"/>
            <w:szCs w:val="22"/>
            <w:b w:val="0"/>
            <w:bCs w:val="0"/>
            <w:i w:val="0"/>
            <w:iCs w:val="0"/>
          </w:rPr>
          <w:t>894- دیوان بندار رازی‏</w:t>
        </w:r>
        <w:r>
          <w:tab/>
        </w:r>
        <w:r>
          <w:fldChar w:fldCharType="begin"/>
        </w:r>
        <w:r>
          <w:instrText xml:space="preserve">PAGEREF 1098 \h</w:instrText>
        </w:r>
        <w:r>
          <w:fldChar w:fldCharType="end"/>
        </w:r>
      </w:hyperlink>
    </w:p>
    <w:p>
      <w:pPr>
        <w:tabs>
          <w:tab w:val="right" w:leader="dot" w:pos="9062"/>
        </w:tabs>
        <w:ind w:left="440"/>
      </w:pPr>
      <w:hyperlink w:anchor="_Toc1099" w:history="1">
        <w:r>
          <w:rPr>
            <w:rFonts w:ascii="IRNazanin" w:hAnsi="IRNazanin" w:eastAsia="IRNazanin" w:cs="IRNazanin"/>
            <w:color w:val="111111"/>
            <w:sz w:val="22"/>
            <w:szCs w:val="22"/>
            <w:b w:val="0"/>
            <w:bCs w:val="0"/>
            <w:i w:val="0"/>
            <w:iCs w:val="0"/>
          </w:rPr>
          <w:t>895- دیوان بنده تبریزی أو شعره‏</w:t>
        </w:r>
        <w:r>
          <w:tab/>
        </w:r>
        <w:r>
          <w:fldChar w:fldCharType="begin"/>
        </w:r>
        <w:r>
          <w:instrText xml:space="preserve">PAGEREF 1099 \h</w:instrText>
        </w:r>
        <w:r>
          <w:fldChar w:fldCharType="end"/>
        </w:r>
      </w:hyperlink>
    </w:p>
    <w:p>
      <w:pPr>
        <w:tabs>
          <w:tab w:val="right" w:leader="dot" w:pos="9062"/>
        </w:tabs>
        <w:ind w:left="440"/>
      </w:pPr>
      <w:hyperlink w:anchor="_Toc1100" w:history="1">
        <w:r>
          <w:rPr>
            <w:rFonts w:ascii="IRNazanin" w:hAnsi="IRNazanin" w:eastAsia="IRNazanin" w:cs="IRNazanin"/>
            <w:color w:val="111111"/>
            <w:sz w:val="22"/>
            <w:szCs w:val="22"/>
            <w:b w:val="0"/>
            <w:bCs w:val="0"/>
            <w:i w:val="0"/>
            <w:iCs w:val="0"/>
          </w:rPr>
          <w:t>896- دیوان بو حفص خوزی أو شعره‏</w:t>
        </w:r>
        <w:r>
          <w:tab/>
        </w:r>
        <w:r>
          <w:fldChar w:fldCharType="begin"/>
        </w:r>
        <w:r>
          <w:instrText xml:space="preserve">PAGEREF 1100 \h</w:instrText>
        </w:r>
        <w:r>
          <w:fldChar w:fldCharType="end"/>
        </w:r>
      </w:hyperlink>
    </w:p>
    <w:p>
      <w:pPr>
        <w:tabs>
          <w:tab w:val="right" w:leader="dot" w:pos="9062"/>
        </w:tabs>
        <w:ind w:left="440"/>
      </w:pPr>
      <w:hyperlink w:anchor="_Toc1101" w:history="1">
        <w:r>
          <w:rPr>
            <w:rFonts w:ascii="IRNazanin" w:hAnsi="IRNazanin" w:eastAsia="IRNazanin" w:cs="IRNazanin"/>
            <w:color w:val="111111"/>
            <w:sz w:val="22"/>
            <w:szCs w:val="22"/>
            <w:b w:val="0"/>
            <w:bCs w:val="0"/>
            <w:i w:val="0"/>
            <w:iCs w:val="0"/>
          </w:rPr>
          <w:t>897- دیوان بو علی أو شعره‏</w:t>
        </w:r>
        <w:r>
          <w:tab/>
        </w:r>
        <w:r>
          <w:fldChar w:fldCharType="begin"/>
        </w:r>
        <w:r>
          <w:instrText xml:space="preserve">PAGEREF 1101 \h</w:instrText>
        </w:r>
        <w:r>
          <w:fldChar w:fldCharType="end"/>
        </w:r>
      </w:hyperlink>
    </w:p>
    <w:p>
      <w:pPr>
        <w:tabs>
          <w:tab w:val="right" w:leader="dot" w:pos="9062"/>
        </w:tabs>
        <w:ind w:left="440"/>
      </w:pPr>
      <w:hyperlink w:anchor="_Toc1102" w:history="1">
        <w:r>
          <w:rPr>
            <w:rFonts w:ascii="IRNazanin" w:hAnsi="IRNazanin" w:eastAsia="IRNazanin" w:cs="IRNazanin"/>
            <w:color w:val="111111"/>
            <w:sz w:val="22"/>
            <w:szCs w:val="22"/>
            <w:b w:val="0"/>
            <w:bCs w:val="0"/>
            <w:i w:val="0"/>
            <w:iCs w:val="0"/>
          </w:rPr>
          <w:t>898- دیوان بوق العیش أو شعره‏</w:t>
        </w:r>
        <w:r>
          <w:tab/>
        </w:r>
        <w:r>
          <w:fldChar w:fldCharType="begin"/>
        </w:r>
        <w:r>
          <w:instrText xml:space="preserve">PAGEREF 1102 \h</w:instrText>
        </w:r>
        <w:r>
          <w:fldChar w:fldCharType="end"/>
        </w:r>
      </w:hyperlink>
    </w:p>
    <w:p>
      <w:pPr>
        <w:tabs>
          <w:tab w:val="right" w:leader="dot" w:pos="9062"/>
        </w:tabs>
        <w:ind w:left="440"/>
      </w:pPr>
      <w:hyperlink w:anchor="_Toc1103" w:history="1">
        <w:r>
          <w:rPr>
            <w:rFonts w:ascii="IRNazanin" w:hAnsi="IRNazanin" w:eastAsia="IRNazanin" w:cs="IRNazanin"/>
            <w:color w:val="111111"/>
            <w:sz w:val="22"/>
            <w:szCs w:val="22"/>
            <w:b w:val="0"/>
            <w:bCs w:val="0"/>
            <w:i w:val="0"/>
            <w:iCs w:val="0"/>
          </w:rPr>
          <w:t>899- دیوان البویهی الأحسائی أو شعره‏</w:t>
        </w:r>
        <w:r>
          <w:tab/>
        </w:r>
        <w:r>
          <w:fldChar w:fldCharType="begin"/>
        </w:r>
        <w:r>
          <w:instrText xml:space="preserve">PAGEREF 1103 \h</w:instrText>
        </w:r>
        <w:r>
          <w:fldChar w:fldCharType="end"/>
        </w:r>
      </w:hyperlink>
    </w:p>
    <w:p>
      <w:pPr>
        <w:tabs>
          <w:tab w:val="right" w:leader="dot" w:pos="9062"/>
        </w:tabs>
        <w:ind w:left="440"/>
      </w:pPr>
      <w:hyperlink w:anchor="_Toc1104" w:history="1">
        <w:r>
          <w:rPr>
            <w:rFonts w:ascii="IRNazanin" w:hAnsi="IRNazanin" w:eastAsia="IRNazanin" w:cs="IRNazanin"/>
            <w:color w:val="111111"/>
            <w:sz w:val="22"/>
            <w:szCs w:val="22"/>
            <w:b w:val="0"/>
            <w:bCs w:val="0"/>
            <w:i w:val="0"/>
            <w:iCs w:val="0"/>
          </w:rPr>
          <w:t>900- دیوان بها أو شعره‏</w:t>
        </w:r>
        <w:r>
          <w:tab/>
        </w:r>
        <w:r>
          <w:fldChar w:fldCharType="begin"/>
        </w:r>
        <w:r>
          <w:instrText xml:space="preserve">PAGEREF 1104 \h</w:instrText>
        </w:r>
        <w:r>
          <w:fldChar w:fldCharType="end"/>
        </w:r>
      </w:hyperlink>
    </w:p>
    <w:p>
      <w:pPr>
        <w:tabs>
          <w:tab w:val="right" w:leader="dot" w:pos="9062"/>
        </w:tabs>
        <w:ind w:left="440"/>
      </w:pPr>
      <w:hyperlink w:anchor="_Toc1105" w:history="1">
        <w:r>
          <w:rPr>
            <w:rFonts w:ascii="IRNazanin" w:hAnsi="IRNazanin" w:eastAsia="IRNazanin" w:cs="IRNazanin"/>
            <w:color w:val="111111"/>
            <w:sz w:val="22"/>
            <w:szCs w:val="22"/>
            <w:b w:val="0"/>
            <w:bCs w:val="0"/>
            <w:i w:val="0"/>
            <w:iCs w:val="0"/>
          </w:rPr>
          <w:t>901- دیوان بهاء الدین البغدادی أو شعره‏</w:t>
        </w:r>
        <w:r>
          <w:tab/>
        </w:r>
        <w:r>
          <w:fldChar w:fldCharType="begin"/>
        </w:r>
        <w:r>
          <w:instrText xml:space="preserve">PAGEREF 1105 \h</w:instrText>
        </w:r>
        <w:r>
          <w:fldChar w:fldCharType="end"/>
        </w:r>
      </w:hyperlink>
    </w:p>
    <w:p>
      <w:pPr>
        <w:tabs>
          <w:tab w:val="right" w:leader="dot" w:pos="9062"/>
        </w:tabs>
        <w:ind w:left="440"/>
      </w:pPr>
      <w:hyperlink w:anchor="_Toc1106" w:history="1">
        <w:r>
          <w:rPr>
            <w:rFonts w:ascii="IRNazanin" w:hAnsi="IRNazanin" w:eastAsia="IRNazanin" w:cs="IRNazanin"/>
            <w:color w:val="111111"/>
            <w:sz w:val="22"/>
            <w:szCs w:val="22"/>
            <w:b w:val="0"/>
            <w:bCs w:val="0"/>
            <w:i w:val="0"/>
            <w:iCs w:val="0"/>
          </w:rPr>
          <w:t>دیوان بهاء الدین زکریا الملتانی‏</w:t>
        </w:r>
        <w:r>
          <w:tab/>
        </w:r>
        <w:r>
          <w:fldChar w:fldCharType="begin"/>
        </w:r>
        <w:r>
          <w:instrText xml:space="preserve">PAGEREF 1106 \h</w:instrText>
        </w:r>
        <w:r>
          <w:fldChar w:fldCharType="end"/>
        </w:r>
      </w:hyperlink>
    </w:p>
    <w:p>
      <w:pPr>
        <w:tabs>
          <w:tab w:val="right" w:leader="dot" w:pos="9062"/>
        </w:tabs>
        <w:ind w:left="440"/>
      </w:pPr>
      <w:hyperlink w:anchor="_Toc1107" w:history="1">
        <w:r>
          <w:rPr>
            <w:rFonts w:ascii="IRNazanin" w:hAnsi="IRNazanin" w:eastAsia="IRNazanin" w:cs="IRNazanin"/>
            <w:color w:val="111111"/>
            <w:sz w:val="22"/>
            <w:szCs w:val="22"/>
            <w:b w:val="0"/>
            <w:bCs w:val="0"/>
            <w:i w:val="0"/>
            <w:iCs w:val="0"/>
          </w:rPr>
          <w:t>902- دیوان بهاء الدین ساوجی أو شعره‏</w:t>
        </w:r>
        <w:r>
          <w:tab/>
        </w:r>
        <w:r>
          <w:fldChar w:fldCharType="begin"/>
        </w:r>
        <w:r>
          <w:instrText xml:space="preserve">PAGEREF 1107 \h</w:instrText>
        </w:r>
        <w:r>
          <w:fldChar w:fldCharType="end"/>
        </w:r>
      </w:hyperlink>
    </w:p>
    <w:p>
      <w:pPr>
        <w:tabs>
          <w:tab w:val="right" w:leader="dot" w:pos="9062"/>
        </w:tabs>
        <w:ind w:left="440"/>
      </w:pPr>
      <w:hyperlink w:anchor="_Toc1108" w:history="1">
        <w:r>
          <w:rPr>
            <w:rFonts w:ascii="IRNazanin" w:hAnsi="IRNazanin" w:eastAsia="IRNazanin" w:cs="IRNazanin"/>
            <w:color w:val="111111"/>
            <w:sz w:val="22"/>
            <w:szCs w:val="22"/>
            <w:b w:val="0"/>
            <w:bCs w:val="0"/>
            <w:i w:val="0"/>
            <w:iCs w:val="0"/>
          </w:rPr>
          <w:t>دیوان بهاء الدین سلطان ولد</w:t>
        </w:r>
        <w:r>
          <w:tab/>
        </w:r>
        <w:r>
          <w:fldChar w:fldCharType="begin"/>
        </w:r>
        <w:r>
          <w:instrText xml:space="preserve">PAGEREF 1108 \h</w:instrText>
        </w:r>
        <w:r>
          <w:fldChar w:fldCharType="end"/>
        </w:r>
      </w:hyperlink>
    </w:p>
    <w:p>
      <w:pPr>
        <w:tabs>
          <w:tab w:val="right" w:leader="dot" w:pos="9062"/>
        </w:tabs>
        <w:ind w:left="440"/>
      </w:pPr>
      <w:hyperlink w:anchor="_Toc1109" w:history="1">
        <w:r>
          <w:rPr>
            <w:rFonts w:ascii="IRNazanin" w:hAnsi="IRNazanin" w:eastAsia="IRNazanin" w:cs="IRNazanin"/>
            <w:color w:val="111111"/>
            <w:sz w:val="22"/>
            <w:szCs w:val="22"/>
            <w:b w:val="0"/>
            <w:bCs w:val="0"/>
            <w:i w:val="0"/>
            <w:iCs w:val="0"/>
          </w:rPr>
          <w:t>دیوان بهاء الدین صابر</w:t>
        </w:r>
        <w:r>
          <w:tab/>
        </w:r>
        <w:r>
          <w:fldChar w:fldCharType="begin"/>
        </w:r>
        <w:r>
          <w:instrText xml:space="preserve">PAGEREF 1109 \h</w:instrText>
        </w:r>
        <w:r>
          <w:fldChar w:fldCharType="end"/>
        </w:r>
      </w:hyperlink>
    </w:p>
    <w:p>
      <w:pPr>
        <w:tabs>
          <w:tab w:val="right" w:leader="dot" w:pos="9062"/>
        </w:tabs>
        <w:ind w:left="440"/>
      </w:pPr>
      <w:hyperlink w:anchor="_Toc1110" w:history="1">
        <w:r>
          <w:rPr>
            <w:rFonts w:ascii="IRNazanin" w:hAnsi="IRNazanin" w:eastAsia="IRNazanin" w:cs="IRNazanin"/>
            <w:color w:val="111111"/>
            <w:sz w:val="22"/>
            <w:szCs w:val="22"/>
            <w:b w:val="0"/>
            <w:bCs w:val="0"/>
            <w:i w:val="0"/>
            <w:iCs w:val="0"/>
          </w:rPr>
          <w:t>903- دیوان بهاء الدین العاملی‏</w:t>
        </w:r>
        <w:r>
          <w:tab/>
        </w:r>
        <w:r>
          <w:fldChar w:fldCharType="begin"/>
        </w:r>
        <w:r>
          <w:instrText xml:space="preserve">PAGEREF 1110 \h</w:instrText>
        </w:r>
        <w:r>
          <w:fldChar w:fldCharType="end"/>
        </w:r>
      </w:hyperlink>
    </w:p>
    <w:p>
      <w:pPr>
        <w:tabs>
          <w:tab w:val="right" w:leader="dot" w:pos="9062"/>
        </w:tabs>
        <w:ind w:left="440"/>
      </w:pPr>
      <w:hyperlink w:anchor="_Toc1111" w:history="1">
        <w:r>
          <w:rPr>
            <w:rFonts w:ascii="IRNazanin" w:hAnsi="IRNazanin" w:eastAsia="IRNazanin" w:cs="IRNazanin"/>
            <w:color w:val="111111"/>
            <w:sz w:val="22"/>
            <w:szCs w:val="22"/>
            <w:b w:val="0"/>
            <w:bCs w:val="0"/>
            <w:i w:val="0"/>
            <w:iCs w:val="0"/>
          </w:rPr>
          <w:t>دیوان بهاء الدین علی‏</w:t>
        </w:r>
        <w:r>
          <w:tab/>
        </w:r>
        <w:r>
          <w:fldChar w:fldCharType="begin"/>
        </w:r>
        <w:r>
          <w:instrText xml:space="preserve">PAGEREF 1111 \h</w:instrText>
        </w:r>
        <w:r>
          <w:fldChar w:fldCharType="end"/>
        </w:r>
      </w:hyperlink>
    </w:p>
    <w:p>
      <w:pPr>
        <w:tabs>
          <w:tab w:val="right" w:leader="dot" w:pos="9062"/>
        </w:tabs>
        <w:ind w:left="440"/>
      </w:pPr>
      <w:hyperlink w:anchor="_Toc1112" w:history="1">
        <w:r>
          <w:rPr>
            <w:rFonts w:ascii="IRNazanin" w:hAnsi="IRNazanin" w:eastAsia="IRNazanin" w:cs="IRNazanin"/>
            <w:color w:val="111111"/>
            <w:sz w:val="22"/>
            <w:szCs w:val="22"/>
            <w:b w:val="0"/>
            <w:bCs w:val="0"/>
            <w:i w:val="0"/>
            <w:iCs w:val="0"/>
          </w:rPr>
          <w:t>دیوان بهاء الدین مرغینانی‏</w:t>
        </w:r>
        <w:r>
          <w:tab/>
        </w:r>
        <w:r>
          <w:fldChar w:fldCharType="begin"/>
        </w:r>
        <w:r>
          <w:instrText xml:space="preserve">PAGEREF 1112 \h</w:instrText>
        </w:r>
        <w:r>
          <w:fldChar w:fldCharType="end"/>
        </w:r>
      </w:hyperlink>
    </w:p>
    <w:p>
      <w:pPr>
        <w:tabs>
          <w:tab w:val="right" w:leader="dot" w:pos="9062"/>
        </w:tabs>
        <w:ind w:left="440"/>
      </w:pPr>
      <w:hyperlink w:anchor="_Toc1113" w:history="1">
        <w:r>
          <w:rPr>
            <w:rFonts w:ascii="IRNazanin" w:hAnsi="IRNazanin" w:eastAsia="IRNazanin" w:cs="IRNazanin"/>
            <w:color w:val="111111"/>
            <w:sz w:val="22"/>
            <w:szCs w:val="22"/>
            <w:b w:val="0"/>
            <w:bCs w:val="0"/>
            <w:i w:val="0"/>
            <w:iCs w:val="0"/>
          </w:rPr>
          <w:t>904- دیوان بهائی أصفهانی أو شعره‏</w:t>
        </w:r>
        <w:r>
          <w:tab/>
        </w:r>
        <w:r>
          <w:fldChar w:fldCharType="begin"/>
        </w:r>
        <w:r>
          <w:instrText xml:space="preserve">PAGEREF 1113 \h</w:instrText>
        </w:r>
        <w:r>
          <w:fldChar w:fldCharType="end"/>
        </w:r>
      </w:hyperlink>
    </w:p>
    <w:p>
      <w:pPr>
        <w:tabs>
          <w:tab w:val="right" w:leader="dot" w:pos="9062"/>
        </w:tabs>
        <w:ind w:left="440"/>
      </w:pPr>
      <w:hyperlink w:anchor="_Toc1114" w:history="1">
        <w:r>
          <w:rPr>
            <w:rFonts w:ascii="IRNazanin" w:hAnsi="IRNazanin" w:eastAsia="IRNazanin" w:cs="IRNazanin"/>
            <w:color w:val="111111"/>
            <w:sz w:val="22"/>
            <w:szCs w:val="22"/>
            <w:b w:val="0"/>
            <w:bCs w:val="0"/>
            <w:i w:val="0"/>
            <w:iCs w:val="0"/>
          </w:rPr>
          <w:t>905- دیوان بهائی شیرازی أو شعره‏</w:t>
        </w:r>
        <w:r>
          <w:tab/>
        </w:r>
        <w:r>
          <w:fldChar w:fldCharType="begin"/>
        </w:r>
        <w:r>
          <w:instrText xml:space="preserve">PAGEREF 1114 \h</w:instrText>
        </w:r>
        <w:r>
          <w:fldChar w:fldCharType="end"/>
        </w:r>
      </w:hyperlink>
    </w:p>
    <w:p>
      <w:pPr>
        <w:tabs>
          <w:tab w:val="right" w:leader="dot" w:pos="9062"/>
        </w:tabs>
        <w:ind w:left="440"/>
      </w:pPr>
      <w:hyperlink w:anchor="_Toc1115" w:history="1">
        <w:r>
          <w:rPr>
            <w:rFonts w:ascii="IRNazanin" w:hAnsi="IRNazanin" w:eastAsia="IRNazanin" w:cs="IRNazanin"/>
            <w:color w:val="111111"/>
            <w:sz w:val="22"/>
            <w:szCs w:val="22"/>
            <w:b w:val="0"/>
            <w:bCs w:val="0"/>
            <w:i w:val="0"/>
            <w:iCs w:val="0"/>
          </w:rPr>
          <w:t>دیوان الشیخ البهائی العاملی‏</w:t>
        </w:r>
        <w:r>
          <w:tab/>
        </w:r>
        <w:r>
          <w:fldChar w:fldCharType="begin"/>
        </w:r>
        <w:r>
          <w:instrText xml:space="preserve">PAGEREF 1115 \h</w:instrText>
        </w:r>
        <w:r>
          <w:fldChar w:fldCharType="end"/>
        </w:r>
      </w:hyperlink>
    </w:p>
    <w:p>
      <w:pPr>
        <w:tabs>
          <w:tab w:val="right" w:leader="dot" w:pos="9062"/>
        </w:tabs>
        <w:ind w:left="440"/>
      </w:pPr>
      <w:hyperlink w:anchor="_Toc1116" w:history="1">
        <w:r>
          <w:rPr>
            <w:rFonts w:ascii="IRNazanin" w:hAnsi="IRNazanin" w:eastAsia="IRNazanin" w:cs="IRNazanin"/>
            <w:color w:val="111111"/>
            <w:sz w:val="22"/>
            <w:szCs w:val="22"/>
            <w:b w:val="0"/>
            <w:bCs w:val="0"/>
            <w:i w:val="0"/>
            <w:iCs w:val="0"/>
          </w:rPr>
          <w:t>906- دیوان بهار الأصفهانی‏</w:t>
        </w:r>
        <w:r>
          <w:tab/>
        </w:r>
        <w:r>
          <w:fldChar w:fldCharType="begin"/>
        </w:r>
        <w:r>
          <w:instrText xml:space="preserve">PAGEREF 1116 \h</w:instrText>
        </w:r>
        <w:r>
          <w:fldChar w:fldCharType="end"/>
        </w:r>
      </w:hyperlink>
    </w:p>
    <w:p>
      <w:pPr>
        <w:tabs>
          <w:tab w:val="right" w:leader="dot" w:pos="9062"/>
        </w:tabs>
        <w:ind w:left="440"/>
      </w:pPr>
      <w:hyperlink w:anchor="_Toc1117" w:history="1">
        <w:r>
          <w:rPr>
            <w:rFonts w:ascii="IRNazanin" w:hAnsi="IRNazanin" w:eastAsia="IRNazanin" w:cs="IRNazanin"/>
            <w:color w:val="111111"/>
            <w:sz w:val="22"/>
            <w:szCs w:val="22"/>
            <w:b w:val="0"/>
            <w:bCs w:val="0"/>
            <w:i w:val="0"/>
            <w:iCs w:val="0"/>
          </w:rPr>
          <w:t>907- دیوان بهار خراسانی‏</w:t>
        </w:r>
        <w:r>
          <w:tab/>
        </w:r>
        <w:r>
          <w:fldChar w:fldCharType="begin"/>
        </w:r>
        <w:r>
          <w:instrText xml:space="preserve">PAGEREF 1117 \h</w:instrText>
        </w:r>
        <w:r>
          <w:fldChar w:fldCharType="end"/>
        </w:r>
      </w:hyperlink>
    </w:p>
    <w:p>
      <w:pPr>
        <w:tabs>
          <w:tab w:val="right" w:leader="dot" w:pos="9062"/>
        </w:tabs>
        <w:ind w:left="440"/>
      </w:pPr>
      <w:hyperlink w:anchor="_Toc1118" w:history="1">
        <w:r>
          <w:rPr>
            <w:rFonts w:ascii="IRNazanin" w:hAnsi="IRNazanin" w:eastAsia="IRNazanin" w:cs="IRNazanin"/>
            <w:color w:val="111111"/>
            <w:sz w:val="22"/>
            <w:szCs w:val="22"/>
            <w:b w:val="0"/>
            <w:bCs w:val="0"/>
            <w:i w:val="0"/>
            <w:iCs w:val="0"/>
          </w:rPr>
          <w:t>908- دیوان بهار دارابی أو شعره‏</w:t>
        </w:r>
        <w:r>
          <w:tab/>
        </w:r>
        <w:r>
          <w:fldChar w:fldCharType="begin"/>
        </w:r>
        <w:r>
          <w:instrText xml:space="preserve">PAGEREF 1118 \h</w:instrText>
        </w:r>
        <w:r>
          <w:fldChar w:fldCharType="end"/>
        </w:r>
      </w:hyperlink>
    </w:p>
    <w:p>
      <w:pPr>
        <w:tabs>
          <w:tab w:val="right" w:leader="dot" w:pos="9062"/>
        </w:tabs>
        <w:ind w:left="440"/>
      </w:pPr>
      <w:hyperlink w:anchor="_Toc1119" w:history="1">
        <w:r>
          <w:rPr>
            <w:rFonts w:ascii="IRNazanin" w:hAnsi="IRNazanin" w:eastAsia="IRNazanin" w:cs="IRNazanin"/>
            <w:color w:val="111111"/>
            <w:sz w:val="22"/>
            <w:szCs w:val="22"/>
            <w:b w:val="0"/>
            <w:bCs w:val="0"/>
            <w:i w:val="0"/>
            <w:iCs w:val="0"/>
          </w:rPr>
          <w:t>909- دیوان بهار شیروانی‏</w:t>
        </w:r>
        <w:r>
          <w:tab/>
        </w:r>
        <w:r>
          <w:fldChar w:fldCharType="begin"/>
        </w:r>
        <w:r>
          <w:instrText xml:space="preserve">PAGEREF 1119 \h</w:instrText>
        </w:r>
        <w:r>
          <w:fldChar w:fldCharType="end"/>
        </w:r>
      </w:hyperlink>
    </w:p>
    <w:p>
      <w:pPr>
        <w:tabs>
          <w:tab w:val="right" w:leader="dot" w:pos="9062"/>
        </w:tabs>
        <w:ind w:left="440"/>
      </w:pPr>
      <w:hyperlink w:anchor="_Toc1120" w:history="1">
        <w:r>
          <w:rPr>
            <w:rFonts w:ascii="IRNazanin" w:hAnsi="IRNazanin" w:eastAsia="IRNazanin" w:cs="IRNazanin"/>
            <w:color w:val="111111"/>
            <w:sz w:val="22"/>
            <w:szCs w:val="22"/>
            <w:b w:val="0"/>
            <w:bCs w:val="0"/>
            <w:i w:val="0"/>
            <w:iCs w:val="0"/>
          </w:rPr>
          <w:t>910- دیوان بهار عرب‏</w:t>
        </w:r>
        <w:r>
          <w:tab/>
        </w:r>
        <w:r>
          <w:fldChar w:fldCharType="begin"/>
        </w:r>
        <w:r>
          <w:instrText xml:space="preserve">PAGEREF 1120 \h</w:instrText>
        </w:r>
        <w:r>
          <w:fldChar w:fldCharType="end"/>
        </w:r>
      </w:hyperlink>
    </w:p>
    <w:p>
      <w:pPr>
        <w:tabs>
          <w:tab w:val="right" w:leader="dot" w:pos="9062"/>
        </w:tabs>
        <w:ind w:left="440"/>
      </w:pPr>
      <w:hyperlink w:anchor="_Toc1121" w:history="1">
        <w:r>
          <w:rPr>
            <w:rFonts w:ascii="IRNazanin" w:hAnsi="IRNazanin" w:eastAsia="IRNazanin" w:cs="IRNazanin"/>
            <w:color w:val="111111"/>
            <w:sz w:val="22"/>
            <w:szCs w:val="22"/>
            <w:b w:val="0"/>
            <w:bCs w:val="0"/>
            <w:i w:val="0"/>
            <w:iCs w:val="0"/>
          </w:rPr>
          <w:t>911- دیوان بهار هندی أو شعره‏</w:t>
        </w:r>
        <w:r>
          <w:tab/>
        </w:r>
        <w:r>
          <w:fldChar w:fldCharType="begin"/>
        </w:r>
        <w:r>
          <w:instrText xml:space="preserve">PAGEREF 1121 \h</w:instrText>
        </w:r>
        <w:r>
          <w:fldChar w:fldCharType="end"/>
        </w:r>
      </w:hyperlink>
    </w:p>
    <w:p>
      <w:pPr>
        <w:tabs>
          <w:tab w:val="right" w:leader="dot" w:pos="9062"/>
        </w:tabs>
        <w:ind w:left="440"/>
      </w:pPr>
      <w:hyperlink w:anchor="_Toc1122" w:history="1">
        <w:r>
          <w:rPr>
            <w:rFonts w:ascii="IRNazanin" w:hAnsi="IRNazanin" w:eastAsia="IRNazanin" w:cs="IRNazanin"/>
            <w:color w:val="111111"/>
            <w:sz w:val="22"/>
            <w:szCs w:val="22"/>
            <w:b w:val="0"/>
            <w:bCs w:val="0"/>
            <w:i w:val="0"/>
            <w:iCs w:val="0"/>
          </w:rPr>
          <w:t>912- دیوان بهاری أصفهانی أو شعره‏</w:t>
        </w:r>
        <w:r>
          <w:tab/>
        </w:r>
        <w:r>
          <w:fldChar w:fldCharType="begin"/>
        </w:r>
        <w:r>
          <w:instrText xml:space="preserve">PAGEREF 1122 \h</w:instrText>
        </w:r>
        <w:r>
          <w:fldChar w:fldCharType="end"/>
        </w:r>
      </w:hyperlink>
    </w:p>
    <w:p>
      <w:pPr>
        <w:tabs>
          <w:tab w:val="right" w:leader="dot" w:pos="9062"/>
        </w:tabs>
        <w:ind w:left="440"/>
      </w:pPr>
      <w:hyperlink w:anchor="_Toc1123" w:history="1">
        <w:r>
          <w:rPr>
            <w:rFonts w:ascii="IRNazanin" w:hAnsi="IRNazanin" w:eastAsia="IRNazanin" w:cs="IRNazanin"/>
            <w:color w:val="111111"/>
            <w:sz w:val="22"/>
            <w:szCs w:val="22"/>
            <w:b w:val="0"/>
            <w:bCs w:val="0"/>
            <w:i w:val="0"/>
            <w:iCs w:val="0"/>
          </w:rPr>
          <w:t>913- دیوان بهاری کازرونی‏</w:t>
        </w:r>
        <w:r>
          <w:tab/>
        </w:r>
        <w:r>
          <w:fldChar w:fldCharType="begin"/>
        </w:r>
        <w:r>
          <w:instrText xml:space="preserve">PAGEREF 1123 \h</w:instrText>
        </w:r>
        <w:r>
          <w:fldChar w:fldCharType="end"/>
        </w:r>
      </w:hyperlink>
    </w:p>
    <w:p>
      <w:pPr>
        <w:tabs>
          <w:tab w:val="right" w:leader="dot" w:pos="9062"/>
        </w:tabs>
        <w:ind w:left="440"/>
      </w:pPr>
      <w:hyperlink w:anchor="_Toc1124" w:history="1">
        <w:r>
          <w:rPr>
            <w:rFonts w:ascii="IRNazanin" w:hAnsi="IRNazanin" w:eastAsia="IRNazanin" w:cs="IRNazanin"/>
            <w:color w:val="111111"/>
            <w:sz w:val="22"/>
            <w:szCs w:val="22"/>
            <w:b w:val="0"/>
            <w:bCs w:val="0"/>
            <w:i w:val="0"/>
            <w:iCs w:val="0"/>
          </w:rPr>
          <w:t>914- دیوان بهبهانی‏</w:t>
        </w:r>
        <w:r>
          <w:tab/>
        </w:r>
        <w:r>
          <w:fldChar w:fldCharType="begin"/>
        </w:r>
        <w:r>
          <w:instrText xml:space="preserve">PAGEREF 1124 \h</w:instrText>
        </w:r>
        <w:r>
          <w:fldChar w:fldCharType="end"/>
        </w:r>
      </w:hyperlink>
    </w:p>
    <w:p>
      <w:pPr>
        <w:tabs>
          <w:tab w:val="right" w:leader="dot" w:pos="9062"/>
        </w:tabs>
        <w:ind w:left="440"/>
      </w:pPr>
      <w:hyperlink w:anchor="_Toc1125" w:history="1">
        <w:r>
          <w:rPr>
            <w:rFonts w:ascii="IRNazanin" w:hAnsi="IRNazanin" w:eastAsia="IRNazanin" w:cs="IRNazanin"/>
            <w:color w:val="111111"/>
            <w:sz w:val="22"/>
            <w:szCs w:val="22"/>
            <w:b w:val="0"/>
            <w:bCs w:val="0"/>
            <w:i w:val="0"/>
            <w:iCs w:val="0"/>
          </w:rPr>
          <w:t>915- دیوان بهجت أصفهانی أو شعره‏</w:t>
        </w:r>
        <w:r>
          <w:tab/>
        </w:r>
        <w:r>
          <w:fldChar w:fldCharType="begin"/>
        </w:r>
        <w:r>
          <w:instrText xml:space="preserve">PAGEREF 1125 \h</w:instrText>
        </w:r>
        <w:r>
          <w:fldChar w:fldCharType="end"/>
        </w:r>
      </w:hyperlink>
    </w:p>
    <w:p>
      <w:pPr>
        <w:tabs>
          <w:tab w:val="right" w:leader="dot" w:pos="9062"/>
        </w:tabs>
        <w:ind w:left="440"/>
      </w:pPr>
      <w:hyperlink w:anchor="_Toc1126" w:history="1">
        <w:r>
          <w:rPr>
            <w:rFonts w:ascii="IRNazanin" w:hAnsi="IRNazanin" w:eastAsia="IRNazanin" w:cs="IRNazanin"/>
            <w:color w:val="111111"/>
            <w:sz w:val="22"/>
            <w:szCs w:val="22"/>
            <w:b w:val="0"/>
            <w:bCs w:val="0"/>
            <w:i w:val="0"/>
            <w:iCs w:val="0"/>
          </w:rPr>
          <w:t>916- دیوان بهجت دهلوی أو شعره‏</w:t>
        </w:r>
        <w:r>
          <w:tab/>
        </w:r>
        <w:r>
          <w:fldChar w:fldCharType="begin"/>
        </w:r>
        <w:r>
          <w:instrText xml:space="preserve">PAGEREF 1126 \h</w:instrText>
        </w:r>
        <w:r>
          <w:fldChar w:fldCharType="end"/>
        </w:r>
      </w:hyperlink>
    </w:p>
    <w:p>
      <w:pPr>
        <w:tabs>
          <w:tab w:val="right" w:leader="dot" w:pos="9062"/>
        </w:tabs>
        <w:ind w:left="440"/>
      </w:pPr>
      <w:hyperlink w:anchor="_Toc1127" w:history="1">
        <w:r>
          <w:rPr>
            <w:rFonts w:ascii="IRNazanin" w:hAnsi="IRNazanin" w:eastAsia="IRNazanin" w:cs="IRNazanin"/>
            <w:color w:val="111111"/>
            <w:sz w:val="22"/>
            <w:szCs w:val="22"/>
            <w:b w:val="0"/>
            <w:bCs w:val="0"/>
            <w:i w:val="0"/>
            <w:iCs w:val="0"/>
          </w:rPr>
          <w:t>917- دیوان بهجت شیرازی أو شعره‏</w:t>
        </w:r>
        <w:r>
          <w:tab/>
        </w:r>
        <w:r>
          <w:fldChar w:fldCharType="begin"/>
        </w:r>
        <w:r>
          <w:instrText xml:space="preserve">PAGEREF 1127 \h</w:instrText>
        </w:r>
        <w:r>
          <w:fldChar w:fldCharType="end"/>
        </w:r>
      </w:hyperlink>
    </w:p>
    <w:p>
      <w:pPr>
        <w:tabs>
          <w:tab w:val="right" w:leader="dot" w:pos="9062"/>
        </w:tabs>
        <w:ind w:left="440"/>
      </w:pPr>
      <w:hyperlink w:anchor="_Toc1128" w:history="1">
        <w:r>
          <w:rPr>
            <w:rFonts w:ascii="IRNazanin" w:hAnsi="IRNazanin" w:eastAsia="IRNazanin" w:cs="IRNazanin"/>
            <w:color w:val="111111"/>
            <w:sz w:val="22"/>
            <w:szCs w:val="22"/>
            <w:b w:val="0"/>
            <w:bCs w:val="0"/>
            <w:i w:val="0"/>
            <w:iCs w:val="0"/>
          </w:rPr>
          <w:t>918- دیوان بهجت شیرازی أو شعره‏</w:t>
        </w:r>
        <w:r>
          <w:tab/>
        </w:r>
        <w:r>
          <w:fldChar w:fldCharType="begin"/>
        </w:r>
        <w:r>
          <w:instrText xml:space="preserve">PAGEREF 1128 \h</w:instrText>
        </w:r>
        <w:r>
          <w:fldChar w:fldCharType="end"/>
        </w:r>
      </w:hyperlink>
    </w:p>
    <w:p>
      <w:pPr>
        <w:tabs>
          <w:tab w:val="right" w:leader="dot" w:pos="9062"/>
        </w:tabs>
        <w:ind w:left="440"/>
      </w:pPr>
      <w:hyperlink w:anchor="_Toc1129" w:history="1">
        <w:r>
          <w:rPr>
            <w:rFonts w:ascii="IRNazanin" w:hAnsi="IRNazanin" w:eastAsia="IRNazanin" w:cs="IRNazanin"/>
            <w:color w:val="111111"/>
            <w:sz w:val="22"/>
            <w:szCs w:val="22"/>
            <w:b w:val="0"/>
            <w:bCs w:val="0"/>
            <w:i w:val="0"/>
            <w:iCs w:val="0"/>
          </w:rPr>
          <w:t>919- دیوان بهرام بخارائی أو شعره‏</w:t>
        </w:r>
        <w:r>
          <w:tab/>
        </w:r>
        <w:r>
          <w:fldChar w:fldCharType="begin"/>
        </w:r>
        <w:r>
          <w:instrText xml:space="preserve">PAGEREF 1129 \h</w:instrText>
        </w:r>
        <w:r>
          <w:fldChar w:fldCharType="end"/>
        </w:r>
      </w:hyperlink>
    </w:p>
    <w:p>
      <w:pPr>
        <w:tabs>
          <w:tab w:val="right" w:leader="dot" w:pos="9062"/>
        </w:tabs>
        <w:ind w:left="440"/>
      </w:pPr>
      <w:hyperlink w:anchor="_Toc1130" w:history="1">
        <w:r>
          <w:rPr>
            <w:rFonts w:ascii="IRNazanin" w:hAnsi="IRNazanin" w:eastAsia="IRNazanin" w:cs="IRNazanin"/>
            <w:color w:val="111111"/>
            <w:sz w:val="22"/>
            <w:szCs w:val="22"/>
            <w:b w:val="0"/>
            <w:bCs w:val="0"/>
            <w:i w:val="0"/>
            <w:iCs w:val="0"/>
          </w:rPr>
          <w:t>920- دیوان بهرام بیگ دهلوی أو شعره‏</w:t>
        </w:r>
        <w:r>
          <w:tab/>
        </w:r>
        <w:r>
          <w:fldChar w:fldCharType="begin"/>
        </w:r>
        <w:r>
          <w:instrText xml:space="preserve">PAGEREF 1130 \h</w:instrText>
        </w:r>
        <w:r>
          <w:fldChar w:fldCharType="end"/>
        </w:r>
      </w:hyperlink>
    </w:p>
    <w:p>
      <w:pPr>
        <w:tabs>
          <w:tab w:val="right" w:leader="dot" w:pos="9062"/>
        </w:tabs>
        <w:ind w:left="440"/>
      </w:pPr>
      <w:hyperlink w:anchor="_Toc1131" w:history="1">
        <w:r>
          <w:rPr>
            <w:rFonts w:ascii="IRNazanin" w:hAnsi="IRNazanin" w:eastAsia="IRNazanin" w:cs="IRNazanin"/>
            <w:color w:val="111111"/>
            <w:sz w:val="22"/>
            <w:szCs w:val="22"/>
            <w:b w:val="0"/>
            <w:bCs w:val="0"/>
            <w:i w:val="0"/>
            <w:iCs w:val="0"/>
          </w:rPr>
          <w:t>921- دیوان بهرام شاه‏</w:t>
        </w:r>
        <w:r>
          <w:tab/>
        </w:r>
        <w:r>
          <w:fldChar w:fldCharType="begin"/>
        </w:r>
        <w:r>
          <w:instrText xml:space="preserve">PAGEREF 1131 \h</w:instrText>
        </w:r>
        <w:r>
          <w:fldChar w:fldCharType="end"/>
        </w:r>
      </w:hyperlink>
    </w:p>
    <w:p>
      <w:pPr>
        <w:tabs>
          <w:tab w:val="right" w:leader="dot" w:pos="9062"/>
        </w:tabs>
        <w:ind w:left="440"/>
      </w:pPr>
      <w:hyperlink w:anchor="_Toc1132" w:history="1">
        <w:r>
          <w:rPr>
            <w:rFonts w:ascii="IRNazanin" w:hAnsi="IRNazanin" w:eastAsia="IRNazanin" w:cs="IRNazanin"/>
            <w:color w:val="111111"/>
            <w:sz w:val="22"/>
            <w:szCs w:val="22"/>
            <w:b w:val="0"/>
            <w:bCs w:val="0"/>
            <w:i w:val="0"/>
            <w:iCs w:val="0"/>
          </w:rPr>
          <w:t>922- دیوان بهرام صفوی أو شعره‏</w:t>
        </w:r>
        <w:r>
          <w:tab/>
        </w:r>
        <w:r>
          <w:fldChar w:fldCharType="begin"/>
        </w:r>
        <w:r>
          <w:instrText xml:space="preserve">PAGEREF 1132 \h</w:instrText>
        </w:r>
        <w:r>
          <w:fldChar w:fldCharType="end"/>
        </w:r>
      </w:hyperlink>
    </w:p>
    <w:p>
      <w:pPr>
        <w:tabs>
          <w:tab w:val="right" w:leader="dot" w:pos="9062"/>
        </w:tabs>
        <w:ind w:left="440"/>
      </w:pPr>
      <w:hyperlink w:anchor="_Toc1133" w:history="1">
        <w:r>
          <w:rPr>
            <w:rFonts w:ascii="IRNazanin" w:hAnsi="IRNazanin" w:eastAsia="IRNazanin" w:cs="IRNazanin"/>
            <w:color w:val="111111"/>
            <w:sz w:val="22"/>
            <w:szCs w:val="22"/>
            <w:b w:val="0"/>
            <w:bCs w:val="0"/>
            <w:i w:val="0"/>
            <w:iCs w:val="0"/>
          </w:rPr>
          <w:t>دیوان بهرام و بهروز</w:t>
        </w:r>
        <w:r>
          <w:tab/>
        </w:r>
        <w:r>
          <w:fldChar w:fldCharType="begin"/>
        </w:r>
        <w:r>
          <w:instrText xml:space="preserve">PAGEREF 1133 \h</w:instrText>
        </w:r>
        <w:r>
          <w:fldChar w:fldCharType="end"/>
        </w:r>
      </w:hyperlink>
    </w:p>
    <w:p>
      <w:pPr>
        <w:tabs>
          <w:tab w:val="right" w:leader="dot" w:pos="9062"/>
        </w:tabs>
        <w:ind w:left="440"/>
      </w:pPr>
      <w:hyperlink w:anchor="_Toc1134" w:history="1">
        <w:r>
          <w:rPr>
            <w:rFonts w:ascii="IRNazanin" w:hAnsi="IRNazanin" w:eastAsia="IRNazanin" w:cs="IRNazanin"/>
            <w:color w:val="111111"/>
            <w:sz w:val="22"/>
            <w:szCs w:val="22"/>
            <w:b w:val="0"/>
            <w:bCs w:val="0"/>
            <w:i w:val="0"/>
            <w:iCs w:val="0"/>
          </w:rPr>
          <w:t>923- دیوان بهرام هندی‏</w:t>
        </w:r>
        <w:r>
          <w:tab/>
        </w:r>
        <w:r>
          <w:fldChar w:fldCharType="begin"/>
        </w:r>
        <w:r>
          <w:instrText xml:space="preserve">PAGEREF 1134 \h</w:instrText>
        </w:r>
        <w:r>
          <w:fldChar w:fldCharType="end"/>
        </w:r>
      </w:hyperlink>
    </w:p>
    <w:p>
      <w:pPr>
        <w:tabs>
          <w:tab w:val="right" w:leader="dot" w:pos="9062"/>
        </w:tabs>
        <w:ind w:left="440"/>
      </w:pPr>
      <w:hyperlink w:anchor="_Toc1135" w:history="1">
        <w:r>
          <w:rPr>
            <w:rFonts w:ascii="IRNazanin" w:hAnsi="IRNazanin" w:eastAsia="IRNazanin" w:cs="IRNazanin"/>
            <w:color w:val="111111"/>
            <w:sz w:val="22"/>
            <w:szCs w:val="22"/>
            <w:b w:val="0"/>
            <w:bCs w:val="0"/>
            <w:i w:val="0"/>
            <w:iCs w:val="0"/>
          </w:rPr>
          <w:t>924- دیوان بهرامی أردبیلی أو شعره‏</w:t>
        </w:r>
        <w:r>
          <w:tab/>
        </w:r>
        <w:r>
          <w:fldChar w:fldCharType="begin"/>
        </w:r>
        <w:r>
          <w:instrText xml:space="preserve">PAGEREF 1135 \h</w:instrText>
        </w:r>
        <w:r>
          <w:fldChar w:fldCharType="end"/>
        </w:r>
      </w:hyperlink>
    </w:p>
    <w:p>
      <w:pPr>
        <w:tabs>
          <w:tab w:val="right" w:leader="dot" w:pos="9062"/>
        </w:tabs>
        <w:ind w:left="440"/>
      </w:pPr>
      <w:hyperlink w:anchor="_Toc1136" w:history="1">
        <w:r>
          <w:rPr>
            <w:rFonts w:ascii="IRNazanin" w:hAnsi="IRNazanin" w:eastAsia="IRNazanin" w:cs="IRNazanin"/>
            <w:color w:val="111111"/>
            <w:sz w:val="22"/>
            <w:szCs w:val="22"/>
            <w:b w:val="0"/>
            <w:bCs w:val="0"/>
            <w:i w:val="0"/>
            <w:iCs w:val="0"/>
          </w:rPr>
          <w:t>925- دیوان بهرامی سرخسی أو شعره‏</w:t>
        </w:r>
        <w:r>
          <w:tab/>
        </w:r>
        <w:r>
          <w:fldChar w:fldCharType="begin"/>
        </w:r>
        <w:r>
          <w:instrText xml:space="preserve">PAGEREF 1136 \h</w:instrText>
        </w:r>
        <w:r>
          <w:fldChar w:fldCharType="end"/>
        </w:r>
      </w:hyperlink>
    </w:p>
    <w:p>
      <w:pPr>
        <w:tabs>
          <w:tab w:val="right" w:leader="dot" w:pos="9062"/>
        </w:tabs>
        <w:ind w:left="440"/>
      </w:pPr>
      <w:hyperlink w:anchor="_Toc1137" w:history="1">
        <w:r>
          <w:rPr>
            <w:rFonts w:ascii="IRNazanin" w:hAnsi="IRNazanin" w:eastAsia="IRNazanin" w:cs="IRNazanin"/>
            <w:color w:val="111111"/>
            <w:sz w:val="22"/>
            <w:szCs w:val="22"/>
            <w:b w:val="0"/>
            <w:bCs w:val="0"/>
            <w:i w:val="0"/>
            <w:iCs w:val="0"/>
          </w:rPr>
          <w:t>926- دیوان بهشتی حصاری أو شعره‏</w:t>
        </w:r>
        <w:r>
          <w:tab/>
        </w:r>
        <w:r>
          <w:fldChar w:fldCharType="begin"/>
        </w:r>
        <w:r>
          <w:instrText xml:space="preserve">PAGEREF 1137 \h</w:instrText>
        </w:r>
        <w:r>
          <w:fldChar w:fldCharType="end"/>
        </w:r>
      </w:hyperlink>
    </w:p>
    <w:p>
      <w:pPr>
        <w:tabs>
          <w:tab w:val="right" w:leader="dot" w:pos="9062"/>
        </w:tabs>
        <w:ind w:left="440"/>
      </w:pPr>
      <w:hyperlink w:anchor="_Toc1138" w:history="1">
        <w:r>
          <w:rPr>
            <w:rFonts w:ascii="IRNazanin" w:hAnsi="IRNazanin" w:eastAsia="IRNazanin" w:cs="IRNazanin"/>
            <w:color w:val="111111"/>
            <w:sz w:val="22"/>
            <w:szCs w:val="22"/>
            <w:b w:val="0"/>
            <w:bCs w:val="0"/>
            <w:i w:val="0"/>
            <w:iCs w:val="0"/>
          </w:rPr>
          <w:t>927- دیوان بهشتی گیلانی أو شعره‏</w:t>
        </w:r>
        <w:r>
          <w:tab/>
        </w:r>
        <w:r>
          <w:fldChar w:fldCharType="begin"/>
        </w:r>
        <w:r>
          <w:instrText xml:space="preserve">PAGEREF 1138 \h</w:instrText>
        </w:r>
        <w:r>
          <w:fldChar w:fldCharType="end"/>
        </w:r>
      </w:hyperlink>
    </w:p>
    <w:p>
      <w:pPr>
        <w:tabs>
          <w:tab w:val="right" w:leader="dot" w:pos="9062"/>
        </w:tabs>
        <w:ind w:left="440"/>
      </w:pPr>
      <w:hyperlink w:anchor="_Toc1139" w:history="1">
        <w:r>
          <w:rPr>
            <w:rFonts w:ascii="IRNazanin" w:hAnsi="IRNazanin" w:eastAsia="IRNazanin" w:cs="IRNazanin"/>
            <w:color w:val="111111"/>
            <w:sz w:val="22"/>
            <w:szCs w:val="22"/>
            <w:b w:val="0"/>
            <w:bCs w:val="0"/>
            <w:i w:val="0"/>
            <w:iCs w:val="0"/>
          </w:rPr>
          <w:t>928- دیوان بهشتی هروی‏</w:t>
        </w:r>
        <w:r>
          <w:tab/>
        </w:r>
        <w:r>
          <w:fldChar w:fldCharType="begin"/>
        </w:r>
        <w:r>
          <w:instrText xml:space="preserve">PAGEREF 1139 \h</w:instrText>
        </w:r>
        <w:r>
          <w:fldChar w:fldCharType="end"/>
        </w:r>
      </w:hyperlink>
    </w:p>
    <w:p>
      <w:pPr>
        <w:tabs>
          <w:tab w:val="right" w:leader="dot" w:pos="9062"/>
        </w:tabs>
        <w:ind w:left="440"/>
      </w:pPr>
      <w:hyperlink w:anchor="_Toc1140" w:history="1">
        <w:r>
          <w:rPr>
            <w:rFonts w:ascii="IRNazanin" w:hAnsi="IRNazanin" w:eastAsia="IRNazanin" w:cs="IRNazanin"/>
            <w:color w:val="111111"/>
            <w:sz w:val="22"/>
            <w:szCs w:val="22"/>
            <w:b w:val="0"/>
            <w:bCs w:val="0"/>
            <w:i w:val="0"/>
            <w:iCs w:val="0"/>
          </w:rPr>
          <w:t>929- دیوان بهشتی هروی أو شعره‏</w:t>
        </w:r>
        <w:r>
          <w:tab/>
        </w:r>
        <w:r>
          <w:fldChar w:fldCharType="begin"/>
        </w:r>
        <w:r>
          <w:instrText xml:space="preserve">PAGEREF 1140 \h</w:instrText>
        </w:r>
        <w:r>
          <w:fldChar w:fldCharType="end"/>
        </w:r>
      </w:hyperlink>
    </w:p>
    <w:p>
      <w:pPr>
        <w:tabs>
          <w:tab w:val="right" w:leader="dot" w:pos="9062"/>
        </w:tabs>
        <w:ind w:left="440"/>
      </w:pPr>
      <w:hyperlink w:anchor="_Toc1141" w:history="1">
        <w:r>
          <w:rPr>
            <w:rFonts w:ascii="IRNazanin" w:hAnsi="IRNazanin" w:eastAsia="IRNazanin" w:cs="IRNazanin"/>
            <w:color w:val="111111"/>
            <w:sz w:val="22"/>
            <w:szCs w:val="22"/>
            <w:b w:val="0"/>
            <w:bCs w:val="0"/>
            <w:i w:val="0"/>
            <w:iCs w:val="0"/>
          </w:rPr>
          <w:t>930- دیوان بهلول‏</w:t>
        </w:r>
        <w:r>
          <w:tab/>
        </w:r>
        <w:r>
          <w:fldChar w:fldCharType="begin"/>
        </w:r>
        <w:r>
          <w:instrText xml:space="preserve">PAGEREF 1141 \h</w:instrText>
        </w:r>
        <w:r>
          <w:fldChar w:fldCharType="end"/>
        </w:r>
      </w:hyperlink>
    </w:p>
    <w:p>
      <w:pPr>
        <w:tabs>
          <w:tab w:val="right" w:leader="dot" w:pos="9062"/>
        </w:tabs>
        <w:ind w:left="440"/>
      </w:pPr>
      <w:hyperlink w:anchor="_Toc1142" w:history="1">
        <w:r>
          <w:rPr>
            <w:rFonts w:ascii="IRNazanin" w:hAnsi="IRNazanin" w:eastAsia="IRNazanin" w:cs="IRNazanin"/>
            <w:color w:val="111111"/>
            <w:sz w:val="22"/>
            <w:szCs w:val="22"/>
            <w:b w:val="0"/>
            <w:bCs w:val="0"/>
            <w:i w:val="0"/>
            <w:iCs w:val="0"/>
          </w:rPr>
          <w:t>دیوان بیاضی‏</w:t>
        </w:r>
        <w:r>
          <w:tab/>
        </w:r>
        <w:r>
          <w:fldChar w:fldCharType="begin"/>
        </w:r>
        <w:r>
          <w:instrText xml:space="preserve">PAGEREF 1142 \h</w:instrText>
        </w:r>
        <w:r>
          <w:fldChar w:fldCharType="end"/>
        </w:r>
      </w:hyperlink>
    </w:p>
    <w:p>
      <w:pPr>
        <w:tabs>
          <w:tab w:val="right" w:leader="dot" w:pos="9062"/>
        </w:tabs>
        <w:ind w:left="440"/>
      </w:pPr>
      <w:hyperlink w:anchor="_Toc1143" w:history="1">
        <w:r>
          <w:rPr>
            <w:rFonts w:ascii="IRNazanin" w:hAnsi="IRNazanin" w:eastAsia="IRNazanin" w:cs="IRNazanin"/>
            <w:color w:val="111111"/>
            <w:sz w:val="22"/>
            <w:szCs w:val="22"/>
            <w:b w:val="0"/>
            <w:bCs w:val="0"/>
            <w:i w:val="0"/>
            <w:iCs w:val="0"/>
          </w:rPr>
          <w:t>931- دیوان بیاضی أسترآبادی أو شعره‏</w:t>
        </w:r>
        <w:r>
          <w:tab/>
        </w:r>
        <w:r>
          <w:fldChar w:fldCharType="begin"/>
        </w:r>
        <w:r>
          <w:instrText xml:space="preserve">PAGEREF 1143 \h</w:instrText>
        </w:r>
        <w:r>
          <w:fldChar w:fldCharType="end"/>
        </w:r>
      </w:hyperlink>
    </w:p>
    <w:p>
      <w:pPr>
        <w:tabs>
          <w:tab w:val="right" w:leader="dot" w:pos="9062"/>
        </w:tabs>
        <w:ind w:left="440"/>
      </w:pPr>
      <w:hyperlink w:anchor="_Toc1144" w:history="1">
        <w:r>
          <w:rPr>
            <w:rFonts w:ascii="IRNazanin" w:hAnsi="IRNazanin" w:eastAsia="IRNazanin" w:cs="IRNazanin"/>
            <w:color w:val="111111"/>
            <w:sz w:val="22"/>
            <w:szCs w:val="22"/>
            <w:b w:val="0"/>
            <w:bCs w:val="0"/>
            <w:i w:val="0"/>
            <w:iCs w:val="0"/>
          </w:rPr>
          <w:t>932- دیوان بیاضی حصاری أو شعره‏</w:t>
        </w:r>
        <w:r>
          <w:tab/>
        </w:r>
        <w:r>
          <w:fldChar w:fldCharType="begin"/>
        </w:r>
        <w:r>
          <w:instrText xml:space="preserve">PAGEREF 1144 \h</w:instrText>
        </w:r>
        <w:r>
          <w:fldChar w:fldCharType="end"/>
        </w:r>
      </w:hyperlink>
    </w:p>
    <w:p>
      <w:pPr>
        <w:tabs>
          <w:tab w:val="right" w:leader="dot" w:pos="9062"/>
        </w:tabs>
        <w:ind w:left="440"/>
      </w:pPr>
      <w:hyperlink w:anchor="_Toc1145" w:history="1">
        <w:r>
          <w:rPr>
            <w:rFonts w:ascii="IRNazanin" w:hAnsi="IRNazanin" w:eastAsia="IRNazanin" w:cs="IRNazanin"/>
            <w:color w:val="111111"/>
            <w:sz w:val="22"/>
            <w:szCs w:val="22"/>
            <w:b w:val="0"/>
            <w:bCs w:val="0"/>
            <w:i w:val="0"/>
            <w:iCs w:val="0"/>
          </w:rPr>
          <w:t>دیوان بیاضی دشت بیاضی‏</w:t>
        </w:r>
        <w:r>
          <w:tab/>
        </w:r>
        <w:r>
          <w:fldChar w:fldCharType="begin"/>
        </w:r>
        <w:r>
          <w:instrText xml:space="preserve">PAGEREF 1145 \h</w:instrText>
        </w:r>
        <w:r>
          <w:fldChar w:fldCharType="end"/>
        </w:r>
      </w:hyperlink>
    </w:p>
    <w:p>
      <w:pPr>
        <w:tabs>
          <w:tab w:val="right" w:leader="dot" w:pos="9062"/>
        </w:tabs>
        <w:ind w:left="440"/>
      </w:pPr>
      <w:hyperlink w:anchor="_Toc1146" w:history="1">
        <w:r>
          <w:rPr>
            <w:rFonts w:ascii="IRNazanin" w:hAnsi="IRNazanin" w:eastAsia="IRNazanin" w:cs="IRNazanin"/>
            <w:color w:val="111111"/>
            <w:sz w:val="22"/>
            <w:szCs w:val="22"/>
            <w:b w:val="0"/>
            <w:bCs w:val="0"/>
            <w:i w:val="0"/>
            <w:iCs w:val="0"/>
          </w:rPr>
          <w:t>933- دیوان بیان أصفهانی أو شعره‏</w:t>
        </w:r>
        <w:r>
          <w:tab/>
        </w:r>
        <w:r>
          <w:fldChar w:fldCharType="begin"/>
        </w:r>
        <w:r>
          <w:instrText xml:space="preserve">PAGEREF 1146 \h</w:instrText>
        </w:r>
        <w:r>
          <w:fldChar w:fldCharType="end"/>
        </w:r>
      </w:hyperlink>
    </w:p>
    <w:p>
      <w:pPr>
        <w:tabs>
          <w:tab w:val="right" w:leader="dot" w:pos="9062"/>
        </w:tabs>
        <w:ind w:left="440"/>
      </w:pPr>
      <w:hyperlink w:anchor="_Toc1147" w:history="1">
        <w:r>
          <w:rPr>
            <w:rFonts w:ascii="IRNazanin" w:hAnsi="IRNazanin" w:eastAsia="IRNazanin" w:cs="IRNazanin"/>
            <w:color w:val="111111"/>
            <w:sz w:val="22"/>
            <w:szCs w:val="22"/>
            <w:b w:val="0"/>
            <w:bCs w:val="0"/>
            <w:i w:val="0"/>
            <w:iCs w:val="0"/>
          </w:rPr>
          <w:t>934- دیوان بیان هندی أو شعره‏</w:t>
        </w:r>
        <w:r>
          <w:tab/>
        </w:r>
        <w:r>
          <w:fldChar w:fldCharType="begin"/>
        </w:r>
        <w:r>
          <w:instrText xml:space="preserve">PAGEREF 1147 \h</w:instrText>
        </w:r>
        <w:r>
          <w:fldChar w:fldCharType="end"/>
        </w:r>
      </w:hyperlink>
    </w:p>
    <w:p>
      <w:pPr>
        <w:tabs>
          <w:tab w:val="right" w:leader="dot" w:pos="9062"/>
        </w:tabs>
        <w:ind w:left="440"/>
      </w:pPr>
      <w:hyperlink w:anchor="_Toc1148" w:history="1">
        <w:r>
          <w:rPr>
            <w:rFonts w:ascii="IRNazanin" w:hAnsi="IRNazanin" w:eastAsia="IRNazanin" w:cs="IRNazanin"/>
            <w:color w:val="111111"/>
            <w:sz w:val="22"/>
            <w:szCs w:val="22"/>
            <w:b w:val="0"/>
            <w:bCs w:val="0"/>
            <w:i w:val="0"/>
            <w:iCs w:val="0"/>
          </w:rPr>
          <w:t>935- دیوان بیانی‏</w:t>
        </w:r>
        <w:r>
          <w:tab/>
        </w:r>
        <w:r>
          <w:fldChar w:fldCharType="begin"/>
        </w:r>
        <w:r>
          <w:instrText xml:space="preserve">PAGEREF 1148 \h</w:instrText>
        </w:r>
        <w:r>
          <w:fldChar w:fldCharType="end"/>
        </w:r>
      </w:hyperlink>
    </w:p>
    <w:p>
      <w:pPr>
        <w:tabs>
          <w:tab w:val="right" w:leader="dot" w:pos="9062"/>
        </w:tabs>
        <w:ind w:left="440"/>
      </w:pPr>
      <w:hyperlink w:anchor="_Toc1149" w:history="1">
        <w:r>
          <w:rPr>
            <w:rFonts w:ascii="IRNazanin" w:hAnsi="IRNazanin" w:eastAsia="IRNazanin" w:cs="IRNazanin"/>
            <w:color w:val="111111"/>
            <w:sz w:val="22"/>
            <w:szCs w:val="22"/>
            <w:b w:val="0"/>
            <w:bCs w:val="0"/>
            <w:i w:val="0"/>
            <w:iCs w:val="0"/>
          </w:rPr>
          <w:t>دیوان بیانی أو شعره‏</w:t>
        </w:r>
        <w:r>
          <w:tab/>
        </w:r>
        <w:r>
          <w:fldChar w:fldCharType="begin"/>
        </w:r>
        <w:r>
          <w:instrText xml:space="preserve">PAGEREF 1149 \h</w:instrText>
        </w:r>
        <w:r>
          <w:fldChar w:fldCharType="end"/>
        </w:r>
      </w:hyperlink>
    </w:p>
    <w:p>
      <w:pPr>
        <w:tabs>
          <w:tab w:val="right" w:leader="dot" w:pos="9062"/>
        </w:tabs>
        <w:ind w:left="440"/>
      </w:pPr>
      <w:hyperlink w:anchor="_Toc1150" w:history="1">
        <w:r>
          <w:rPr>
            <w:rFonts w:ascii="IRNazanin" w:hAnsi="IRNazanin" w:eastAsia="IRNazanin" w:cs="IRNazanin"/>
            <w:color w:val="111111"/>
            <w:sz w:val="22"/>
            <w:szCs w:val="22"/>
            <w:b w:val="0"/>
            <w:bCs w:val="0"/>
            <w:i w:val="0"/>
            <w:iCs w:val="0"/>
          </w:rPr>
          <w:t>936- دیوان بیانی أسترآبادی أو شعره‏</w:t>
        </w:r>
        <w:r>
          <w:tab/>
        </w:r>
        <w:r>
          <w:fldChar w:fldCharType="begin"/>
        </w:r>
        <w:r>
          <w:instrText xml:space="preserve">PAGEREF 1150 \h</w:instrText>
        </w:r>
        <w:r>
          <w:fldChar w:fldCharType="end"/>
        </w:r>
      </w:hyperlink>
    </w:p>
    <w:p>
      <w:pPr>
        <w:tabs>
          <w:tab w:val="right" w:leader="dot" w:pos="9062"/>
        </w:tabs>
        <w:ind w:left="440"/>
      </w:pPr>
      <w:hyperlink w:anchor="_Toc1151" w:history="1">
        <w:r>
          <w:rPr>
            <w:rFonts w:ascii="IRNazanin" w:hAnsi="IRNazanin" w:eastAsia="IRNazanin" w:cs="IRNazanin"/>
            <w:color w:val="111111"/>
            <w:sz w:val="22"/>
            <w:szCs w:val="22"/>
            <w:b w:val="0"/>
            <w:bCs w:val="0"/>
            <w:i w:val="0"/>
            <w:iCs w:val="0"/>
          </w:rPr>
          <w:t>937- دیوان بیانی تبریزی أو شعره‏</w:t>
        </w:r>
        <w:r>
          <w:tab/>
        </w:r>
        <w:r>
          <w:fldChar w:fldCharType="begin"/>
        </w:r>
        <w:r>
          <w:instrText xml:space="preserve">PAGEREF 1151 \h</w:instrText>
        </w:r>
        <w:r>
          <w:fldChar w:fldCharType="end"/>
        </w:r>
      </w:hyperlink>
    </w:p>
    <w:p>
      <w:pPr>
        <w:tabs>
          <w:tab w:val="right" w:leader="dot" w:pos="9062"/>
        </w:tabs>
        <w:ind w:left="440"/>
      </w:pPr>
      <w:hyperlink w:anchor="_Toc1152" w:history="1">
        <w:r>
          <w:rPr>
            <w:rFonts w:ascii="IRNazanin" w:hAnsi="IRNazanin" w:eastAsia="IRNazanin" w:cs="IRNazanin"/>
            <w:color w:val="111111"/>
            <w:sz w:val="22"/>
            <w:szCs w:val="22"/>
            <w:b w:val="0"/>
            <w:bCs w:val="0"/>
            <w:i w:val="0"/>
            <w:iCs w:val="0"/>
          </w:rPr>
          <w:t>938- دیوان بیانی تبریزی أو شعره‏</w:t>
        </w:r>
        <w:r>
          <w:tab/>
        </w:r>
        <w:r>
          <w:fldChar w:fldCharType="begin"/>
        </w:r>
        <w:r>
          <w:instrText xml:space="preserve">PAGEREF 1152 \h</w:instrText>
        </w:r>
        <w:r>
          <w:fldChar w:fldCharType="end"/>
        </w:r>
      </w:hyperlink>
    </w:p>
    <w:p>
      <w:pPr>
        <w:tabs>
          <w:tab w:val="right" w:leader="dot" w:pos="9062"/>
        </w:tabs>
        <w:ind w:left="440"/>
      </w:pPr>
      <w:hyperlink w:anchor="_Toc1153" w:history="1">
        <w:r>
          <w:rPr>
            <w:rFonts w:ascii="IRNazanin" w:hAnsi="IRNazanin" w:eastAsia="IRNazanin" w:cs="IRNazanin"/>
            <w:color w:val="111111"/>
            <w:sz w:val="22"/>
            <w:szCs w:val="22"/>
            <w:b w:val="0"/>
            <w:bCs w:val="0"/>
            <w:i w:val="0"/>
            <w:iCs w:val="0"/>
          </w:rPr>
          <w:t>939- دیوان بیانی جوینی أو شعره‏</w:t>
        </w:r>
        <w:r>
          <w:tab/>
        </w:r>
        <w:r>
          <w:fldChar w:fldCharType="begin"/>
        </w:r>
        <w:r>
          <w:instrText xml:space="preserve">PAGEREF 1153 \h</w:instrText>
        </w:r>
        <w:r>
          <w:fldChar w:fldCharType="end"/>
        </w:r>
      </w:hyperlink>
    </w:p>
    <w:p>
      <w:pPr>
        <w:tabs>
          <w:tab w:val="right" w:leader="dot" w:pos="9062"/>
        </w:tabs>
        <w:ind w:left="440"/>
      </w:pPr>
      <w:hyperlink w:anchor="_Toc1154" w:history="1">
        <w:r>
          <w:rPr>
            <w:rFonts w:ascii="IRNazanin" w:hAnsi="IRNazanin" w:eastAsia="IRNazanin" w:cs="IRNazanin"/>
            <w:color w:val="111111"/>
            <w:sz w:val="22"/>
            <w:szCs w:val="22"/>
            <w:b w:val="0"/>
            <w:bCs w:val="0"/>
            <w:i w:val="0"/>
            <w:iCs w:val="0"/>
          </w:rPr>
          <w:t>940- دیوان بیانی کرمانی‏</w:t>
        </w:r>
        <w:r>
          <w:tab/>
        </w:r>
        <w:r>
          <w:fldChar w:fldCharType="begin"/>
        </w:r>
        <w:r>
          <w:instrText xml:space="preserve">PAGEREF 1154 \h</w:instrText>
        </w:r>
        <w:r>
          <w:fldChar w:fldCharType="end"/>
        </w:r>
      </w:hyperlink>
    </w:p>
    <w:p>
      <w:pPr>
        <w:tabs>
          <w:tab w:val="right" w:leader="dot" w:pos="9062"/>
        </w:tabs>
        <w:ind w:left="440"/>
      </w:pPr>
      <w:hyperlink w:anchor="_Toc1155" w:history="1">
        <w:r>
          <w:rPr>
            <w:rFonts w:ascii="IRNazanin" w:hAnsi="IRNazanin" w:eastAsia="IRNazanin" w:cs="IRNazanin"/>
            <w:color w:val="111111"/>
            <w:sz w:val="22"/>
            <w:szCs w:val="22"/>
            <w:b w:val="0"/>
            <w:bCs w:val="0"/>
            <w:i w:val="0"/>
            <w:iCs w:val="0"/>
          </w:rPr>
          <w:t>دیوان بیانی قلندر هروی أو شعره‏</w:t>
        </w:r>
        <w:r>
          <w:tab/>
        </w:r>
        <w:r>
          <w:fldChar w:fldCharType="begin"/>
        </w:r>
        <w:r>
          <w:instrText xml:space="preserve">PAGEREF 1155 \h</w:instrText>
        </w:r>
        <w:r>
          <w:fldChar w:fldCharType="end"/>
        </w:r>
      </w:hyperlink>
    </w:p>
    <w:p>
      <w:pPr>
        <w:tabs>
          <w:tab w:val="right" w:leader="dot" w:pos="9062"/>
        </w:tabs>
        <w:ind w:left="440"/>
      </w:pPr>
      <w:hyperlink w:anchor="_Toc1156" w:history="1">
        <w:r>
          <w:rPr>
            <w:rFonts w:ascii="IRNazanin" w:hAnsi="IRNazanin" w:eastAsia="IRNazanin" w:cs="IRNazanin"/>
            <w:color w:val="111111"/>
            <w:sz w:val="22"/>
            <w:szCs w:val="22"/>
            <w:b w:val="0"/>
            <w:bCs w:val="0"/>
            <w:i w:val="0"/>
            <w:iCs w:val="0"/>
          </w:rPr>
          <w:t>941- دیوان بیانی یزدی أو شعره‏</w:t>
        </w:r>
        <w:r>
          <w:tab/>
        </w:r>
        <w:r>
          <w:fldChar w:fldCharType="begin"/>
        </w:r>
        <w:r>
          <w:instrText xml:space="preserve">PAGEREF 1156 \h</w:instrText>
        </w:r>
        <w:r>
          <w:fldChar w:fldCharType="end"/>
        </w:r>
      </w:hyperlink>
    </w:p>
    <w:p>
      <w:pPr>
        <w:tabs>
          <w:tab w:val="right" w:leader="dot" w:pos="9062"/>
        </w:tabs>
        <w:ind w:left="440"/>
      </w:pPr>
      <w:hyperlink w:anchor="_Toc1157" w:history="1">
        <w:r>
          <w:rPr>
            <w:rFonts w:ascii="IRNazanin" w:hAnsi="IRNazanin" w:eastAsia="IRNazanin" w:cs="IRNazanin"/>
            <w:color w:val="111111"/>
            <w:sz w:val="22"/>
            <w:szCs w:val="22"/>
            <w:b w:val="0"/>
            <w:bCs w:val="0"/>
            <w:i w:val="0"/>
            <w:iCs w:val="0"/>
          </w:rPr>
          <w:t>942- دیوان بی‏تاب بلگرامی أو شعره‏</w:t>
        </w:r>
        <w:r>
          <w:tab/>
        </w:r>
        <w:r>
          <w:fldChar w:fldCharType="begin"/>
        </w:r>
        <w:r>
          <w:instrText xml:space="preserve">PAGEREF 1157 \h</w:instrText>
        </w:r>
        <w:r>
          <w:fldChar w:fldCharType="end"/>
        </w:r>
      </w:hyperlink>
    </w:p>
    <w:p>
      <w:pPr>
        <w:tabs>
          <w:tab w:val="right" w:leader="dot" w:pos="9062"/>
        </w:tabs>
        <w:ind w:left="440"/>
      </w:pPr>
      <w:hyperlink w:anchor="_Toc1158" w:history="1">
        <w:r>
          <w:rPr>
            <w:rFonts w:ascii="IRNazanin" w:hAnsi="IRNazanin" w:eastAsia="IRNazanin" w:cs="IRNazanin"/>
            <w:color w:val="111111"/>
            <w:sz w:val="22"/>
            <w:szCs w:val="22"/>
            <w:b w:val="0"/>
            <w:bCs w:val="0"/>
            <w:i w:val="0"/>
            <w:iCs w:val="0"/>
          </w:rPr>
          <w:t>943- دیوان بی‏تاب تهانیسری أو شعره‏</w:t>
        </w:r>
        <w:r>
          <w:tab/>
        </w:r>
        <w:r>
          <w:fldChar w:fldCharType="begin"/>
        </w:r>
        <w:r>
          <w:instrText xml:space="preserve">PAGEREF 1158 \h</w:instrText>
        </w:r>
        <w:r>
          <w:fldChar w:fldCharType="end"/>
        </w:r>
      </w:hyperlink>
    </w:p>
    <w:p>
      <w:pPr>
        <w:tabs>
          <w:tab w:val="right" w:leader="dot" w:pos="9062"/>
        </w:tabs>
        <w:ind w:left="440"/>
      </w:pPr>
      <w:hyperlink w:anchor="_Toc1159" w:history="1">
        <w:r>
          <w:rPr>
            <w:rFonts w:ascii="IRNazanin" w:hAnsi="IRNazanin" w:eastAsia="IRNazanin" w:cs="IRNazanin"/>
            <w:color w:val="111111"/>
            <w:sz w:val="22"/>
            <w:szCs w:val="22"/>
            <w:b w:val="0"/>
            <w:bCs w:val="0"/>
            <w:i w:val="0"/>
            <w:iCs w:val="0"/>
          </w:rPr>
          <w:t>944- دیوان بی‏جان جایسی أو شعره‏</w:t>
        </w:r>
        <w:r>
          <w:tab/>
        </w:r>
        <w:r>
          <w:fldChar w:fldCharType="begin"/>
        </w:r>
        <w:r>
          <w:instrText xml:space="preserve">PAGEREF 1159 \h</w:instrText>
        </w:r>
        <w:r>
          <w:fldChar w:fldCharType="end"/>
        </w:r>
      </w:hyperlink>
    </w:p>
    <w:p>
      <w:pPr>
        <w:tabs>
          <w:tab w:val="right" w:leader="dot" w:pos="9062"/>
        </w:tabs>
        <w:ind w:left="440"/>
      </w:pPr>
      <w:hyperlink w:anchor="_Toc1160" w:history="1">
        <w:r>
          <w:rPr>
            <w:rFonts w:ascii="IRNazanin" w:hAnsi="IRNazanin" w:eastAsia="IRNazanin" w:cs="IRNazanin"/>
            <w:color w:val="111111"/>
            <w:sz w:val="22"/>
            <w:szCs w:val="22"/>
            <w:b w:val="0"/>
            <w:bCs w:val="0"/>
            <w:i w:val="0"/>
            <w:iCs w:val="0"/>
          </w:rPr>
          <w:t>945- دیوان بیجه کرمانی أو شعرها</w:t>
        </w:r>
        <w:r>
          <w:tab/>
        </w:r>
        <w:r>
          <w:fldChar w:fldCharType="begin"/>
        </w:r>
        <w:r>
          <w:instrText xml:space="preserve">PAGEREF 1160 \h</w:instrText>
        </w:r>
        <w:r>
          <w:fldChar w:fldCharType="end"/>
        </w:r>
      </w:hyperlink>
    </w:p>
    <w:p>
      <w:pPr>
        <w:tabs>
          <w:tab w:val="right" w:leader="dot" w:pos="9062"/>
        </w:tabs>
        <w:ind w:left="440"/>
      </w:pPr>
      <w:hyperlink w:anchor="_Toc1161" w:history="1">
        <w:r>
          <w:rPr>
            <w:rFonts w:ascii="IRNazanin" w:hAnsi="IRNazanin" w:eastAsia="IRNazanin" w:cs="IRNazanin"/>
            <w:color w:val="111111"/>
            <w:sz w:val="22"/>
            <w:szCs w:val="22"/>
            <w:b w:val="0"/>
            <w:bCs w:val="0"/>
            <w:i w:val="0"/>
            <w:iCs w:val="0"/>
          </w:rPr>
          <w:t>946- دیوان بی‏خبر کشمیری أو شعره‏</w:t>
        </w:r>
        <w:r>
          <w:tab/>
        </w:r>
        <w:r>
          <w:fldChar w:fldCharType="begin"/>
        </w:r>
        <w:r>
          <w:instrText xml:space="preserve">PAGEREF 1161 \h</w:instrText>
        </w:r>
        <w:r>
          <w:fldChar w:fldCharType="end"/>
        </w:r>
      </w:hyperlink>
    </w:p>
    <w:p>
      <w:pPr>
        <w:tabs>
          <w:tab w:val="right" w:leader="dot" w:pos="9062"/>
        </w:tabs>
        <w:ind w:left="440"/>
      </w:pPr>
      <w:hyperlink w:anchor="_Toc1162" w:history="1">
        <w:r>
          <w:rPr>
            <w:rFonts w:ascii="IRNazanin" w:hAnsi="IRNazanin" w:eastAsia="IRNazanin" w:cs="IRNazanin"/>
            <w:color w:val="111111"/>
            <w:sz w:val="22"/>
            <w:szCs w:val="22"/>
            <w:b w:val="0"/>
            <w:bCs w:val="0"/>
            <w:i w:val="0"/>
            <w:iCs w:val="0"/>
          </w:rPr>
          <w:t>947- دیوان بی‏خود جنابذی أو شعره‏</w:t>
        </w:r>
        <w:r>
          <w:tab/>
        </w:r>
        <w:r>
          <w:fldChar w:fldCharType="begin"/>
        </w:r>
        <w:r>
          <w:instrText xml:space="preserve">PAGEREF 1162 \h</w:instrText>
        </w:r>
        <w:r>
          <w:fldChar w:fldCharType="end"/>
        </w:r>
      </w:hyperlink>
    </w:p>
    <w:p>
      <w:pPr>
        <w:tabs>
          <w:tab w:val="right" w:leader="dot" w:pos="9062"/>
        </w:tabs>
        <w:ind w:left="440"/>
      </w:pPr>
      <w:hyperlink w:anchor="_Toc1163" w:history="1">
        <w:r>
          <w:rPr>
            <w:rFonts w:ascii="IRNazanin" w:hAnsi="IRNazanin" w:eastAsia="IRNazanin" w:cs="IRNazanin"/>
            <w:color w:val="111111"/>
            <w:sz w:val="22"/>
            <w:szCs w:val="22"/>
            <w:b w:val="0"/>
            <w:bCs w:val="0"/>
            <w:i w:val="0"/>
            <w:iCs w:val="0"/>
          </w:rPr>
          <w:t>948- دیوان بی‏خود دهلوی أو شعره‏</w:t>
        </w:r>
        <w:r>
          <w:tab/>
        </w:r>
        <w:r>
          <w:fldChar w:fldCharType="begin"/>
        </w:r>
        <w:r>
          <w:instrText xml:space="preserve">PAGEREF 1163 \h</w:instrText>
        </w:r>
        <w:r>
          <w:fldChar w:fldCharType="end"/>
        </w:r>
      </w:hyperlink>
    </w:p>
    <w:p>
      <w:pPr>
        <w:tabs>
          <w:tab w:val="right" w:leader="dot" w:pos="9062"/>
        </w:tabs>
        <w:ind w:left="440"/>
      </w:pPr>
      <w:hyperlink w:anchor="_Toc1164" w:history="1">
        <w:r>
          <w:rPr>
            <w:rFonts w:ascii="IRNazanin" w:hAnsi="IRNazanin" w:eastAsia="IRNazanin" w:cs="IRNazanin"/>
            <w:color w:val="111111"/>
            <w:sz w:val="22"/>
            <w:szCs w:val="22"/>
            <w:b w:val="0"/>
            <w:bCs w:val="0"/>
            <w:i w:val="0"/>
            <w:iCs w:val="0"/>
          </w:rPr>
          <w:t>949- دیوان بی‏خود لاهوری‏</w:t>
        </w:r>
        <w:r>
          <w:tab/>
        </w:r>
        <w:r>
          <w:fldChar w:fldCharType="begin"/>
        </w:r>
        <w:r>
          <w:instrText xml:space="preserve">PAGEREF 1164 \h</w:instrText>
        </w:r>
        <w:r>
          <w:fldChar w:fldCharType="end"/>
        </w:r>
      </w:hyperlink>
    </w:p>
    <w:p>
      <w:pPr>
        <w:tabs>
          <w:tab w:val="right" w:leader="dot" w:pos="9062"/>
        </w:tabs>
        <w:ind w:left="440"/>
      </w:pPr>
      <w:hyperlink w:anchor="_Toc1165" w:history="1">
        <w:r>
          <w:rPr>
            <w:rFonts w:ascii="IRNazanin" w:hAnsi="IRNazanin" w:eastAsia="IRNazanin" w:cs="IRNazanin"/>
            <w:color w:val="111111"/>
            <w:sz w:val="22"/>
            <w:szCs w:val="22"/>
            <w:b w:val="0"/>
            <w:bCs w:val="0"/>
            <w:i w:val="0"/>
            <w:iCs w:val="0"/>
          </w:rPr>
          <w:t>950- دیوان بی‏خودی سمرقندی أو شعره‏</w:t>
        </w:r>
        <w:r>
          <w:tab/>
        </w:r>
        <w:r>
          <w:fldChar w:fldCharType="begin"/>
        </w:r>
        <w:r>
          <w:instrText xml:space="preserve">PAGEREF 1165 \h</w:instrText>
        </w:r>
        <w:r>
          <w:fldChar w:fldCharType="end"/>
        </w:r>
      </w:hyperlink>
    </w:p>
    <w:p>
      <w:pPr>
        <w:tabs>
          <w:tab w:val="right" w:leader="dot" w:pos="9062"/>
        </w:tabs>
        <w:ind w:left="440"/>
      </w:pPr>
      <w:hyperlink w:anchor="_Toc1166" w:history="1">
        <w:r>
          <w:rPr>
            <w:rFonts w:ascii="IRNazanin" w:hAnsi="IRNazanin" w:eastAsia="IRNazanin" w:cs="IRNazanin"/>
            <w:color w:val="111111"/>
            <w:sz w:val="22"/>
            <w:szCs w:val="22"/>
            <w:b w:val="0"/>
            <w:bCs w:val="0"/>
            <w:i w:val="0"/>
            <w:iCs w:val="0"/>
          </w:rPr>
          <w:t>951- دیوان بی‏خودی سمنانی أو شعره‏</w:t>
        </w:r>
        <w:r>
          <w:tab/>
        </w:r>
        <w:r>
          <w:fldChar w:fldCharType="begin"/>
        </w:r>
        <w:r>
          <w:instrText xml:space="preserve">PAGEREF 1166 \h</w:instrText>
        </w:r>
        <w:r>
          <w:fldChar w:fldCharType="end"/>
        </w:r>
      </w:hyperlink>
    </w:p>
    <w:p>
      <w:pPr>
        <w:tabs>
          <w:tab w:val="right" w:leader="dot" w:pos="9062"/>
        </w:tabs>
        <w:ind w:left="440"/>
      </w:pPr>
      <w:hyperlink w:anchor="_Toc1167" w:history="1">
        <w:r>
          <w:rPr>
            <w:rFonts w:ascii="IRNazanin" w:hAnsi="IRNazanin" w:eastAsia="IRNazanin" w:cs="IRNazanin"/>
            <w:color w:val="111111"/>
            <w:sz w:val="22"/>
            <w:szCs w:val="22"/>
            <w:b w:val="0"/>
            <w:bCs w:val="0"/>
            <w:i w:val="0"/>
            <w:iCs w:val="0"/>
          </w:rPr>
          <w:t>952- دیوان بی‏خودی شیرازی‏</w:t>
        </w:r>
        <w:r>
          <w:tab/>
        </w:r>
        <w:r>
          <w:fldChar w:fldCharType="begin"/>
        </w:r>
        <w:r>
          <w:instrText xml:space="preserve">PAGEREF 1167 \h</w:instrText>
        </w:r>
        <w:r>
          <w:fldChar w:fldCharType="end"/>
        </w:r>
      </w:hyperlink>
    </w:p>
    <w:p>
      <w:pPr>
        <w:tabs>
          <w:tab w:val="right" w:leader="dot" w:pos="9062"/>
        </w:tabs>
        <w:ind w:left="440"/>
      </w:pPr>
      <w:hyperlink w:anchor="_Toc1168" w:history="1">
        <w:r>
          <w:rPr>
            <w:rFonts w:ascii="IRNazanin" w:hAnsi="IRNazanin" w:eastAsia="IRNazanin" w:cs="IRNazanin"/>
            <w:color w:val="111111"/>
            <w:sz w:val="22"/>
            <w:szCs w:val="22"/>
            <w:b w:val="0"/>
            <w:bCs w:val="0"/>
            <w:i w:val="0"/>
            <w:iCs w:val="0"/>
          </w:rPr>
          <w:t>953- دیوان بی‏خود قزوینی أو شعره‏</w:t>
        </w:r>
        <w:r>
          <w:tab/>
        </w:r>
        <w:r>
          <w:fldChar w:fldCharType="begin"/>
        </w:r>
        <w:r>
          <w:instrText xml:space="preserve">PAGEREF 1168 \h</w:instrText>
        </w:r>
        <w:r>
          <w:fldChar w:fldCharType="end"/>
        </w:r>
      </w:hyperlink>
    </w:p>
    <w:p>
      <w:pPr>
        <w:tabs>
          <w:tab w:val="right" w:leader="dot" w:pos="9062"/>
        </w:tabs>
        <w:ind w:left="440"/>
      </w:pPr>
      <w:hyperlink w:anchor="_Toc1169" w:history="1">
        <w:r>
          <w:rPr>
            <w:rFonts w:ascii="IRNazanin" w:hAnsi="IRNazanin" w:eastAsia="IRNazanin" w:cs="IRNazanin"/>
            <w:color w:val="111111"/>
            <w:sz w:val="22"/>
            <w:szCs w:val="22"/>
            <w:b w:val="0"/>
            <w:bCs w:val="0"/>
            <w:i w:val="0"/>
            <w:iCs w:val="0"/>
          </w:rPr>
          <w:t>954- دیوان بیدل دهلوی لاهوری‏</w:t>
        </w:r>
        <w:r>
          <w:tab/>
        </w:r>
        <w:r>
          <w:fldChar w:fldCharType="begin"/>
        </w:r>
        <w:r>
          <w:instrText xml:space="preserve">PAGEREF 1169 \h</w:instrText>
        </w:r>
        <w:r>
          <w:fldChar w:fldCharType="end"/>
        </w:r>
      </w:hyperlink>
    </w:p>
    <w:p>
      <w:pPr>
        <w:tabs>
          <w:tab w:val="right" w:leader="dot" w:pos="9062"/>
        </w:tabs>
        <w:ind w:left="440"/>
      </w:pPr>
      <w:hyperlink w:anchor="_Toc1170" w:history="1">
        <w:r>
          <w:rPr>
            <w:rFonts w:ascii="IRNazanin" w:hAnsi="IRNazanin" w:eastAsia="IRNazanin" w:cs="IRNazanin"/>
            <w:color w:val="111111"/>
            <w:sz w:val="22"/>
            <w:szCs w:val="22"/>
            <w:b w:val="0"/>
            <w:bCs w:val="0"/>
            <w:i w:val="0"/>
            <w:iCs w:val="0"/>
          </w:rPr>
          <w:t>955- دیوان بیدل رودباری أو شعره‏</w:t>
        </w:r>
        <w:r>
          <w:tab/>
        </w:r>
        <w:r>
          <w:fldChar w:fldCharType="begin"/>
        </w:r>
        <w:r>
          <w:instrText xml:space="preserve">PAGEREF 1170 \h</w:instrText>
        </w:r>
        <w:r>
          <w:fldChar w:fldCharType="end"/>
        </w:r>
      </w:hyperlink>
    </w:p>
    <w:p>
      <w:pPr>
        <w:tabs>
          <w:tab w:val="right" w:leader="dot" w:pos="9062"/>
        </w:tabs>
        <w:ind w:left="440"/>
      </w:pPr>
      <w:hyperlink w:anchor="_Toc1171" w:history="1">
        <w:r>
          <w:rPr>
            <w:rFonts w:ascii="IRNazanin" w:hAnsi="IRNazanin" w:eastAsia="IRNazanin" w:cs="IRNazanin"/>
            <w:color w:val="111111"/>
            <w:sz w:val="22"/>
            <w:szCs w:val="22"/>
            <w:b w:val="0"/>
            <w:bCs w:val="0"/>
            <w:i w:val="0"/>
            <w:iCs w:val="0"/>
          </w:rPr>
          <w:t>956- دیوان بیدل ساوجی أو شعره‏</w:t>
        </w:r>
        <w:r>
          <w:tab/>
        </w:r>
        <w:r>
          <w:fldChar w:fldCharType="begin"/>
        </w:r>
        <w:r>
          <w:instrText xml:space="preserve">PAGEREF 1171 \h</w:instrText>
        </w:r>
        <w:r>
          <w:fldChar w:fldCharType="end"/>
        </w:r>
      </w:hyperlink>
    </w:p>
    <w:p>
      <w:pPr>
        <w:tabs>
          <w:tab w:val="right" w:leader="dot" w:pos="9062"/>
        </w:tabs>
        <w:ind w:left="440"/>
      </w:pPr>
      <w:hyperlink w:anchor="_Toc1172" w:history="1">
        <w:r>
          <w:rPr>
            <w:rFonts w:ascii="IRNazanin" w:hAnsi="IRNazanin" w:eastAsia="IRNazanin" w:cs="IRNazanin"/>
            <w:color w:val="111111"/>
            <w:sz w:val="22"/>
            <w:szCs w:val="22"/>
            <w:b w:val="0"/>
            <w:bCs w:val="0"/>
            <w:i w:val="0"/>
            <w:iCs w:val="0"/>
          </w:rPr>
          <w:t>957- دیوان بیدل شیرازی أو شعره‏</w:t>
        </w:r>
        <w:r>
          <w:tab/>
        </w:r>
        <w:r>
          <w:fldChar w:fldCharType="begin"/>
        </w:r>
        <w:r>
          <w:instrText xml:space="preserve">PAGEREF 1172 \h</w:instrText>
        </w:r>
        <w:r>
          <w:fldChar w:fldCharType="end"/>
        </w:r>
      </w:hyperlink>
    </w:p>
    <w:p>
      <w:pPr>
        <w:tabs>
          <w:tab w:val="right" w:leader="dot" w:pos="9062"/>
        </w:tabs>
        <w:ind w:left="440"/>
      </w:pPr>
      <w:hyperlink w:anchor="_Toc1173" w:history="1">
        <w:r>
          <w:rPr>
            <w:rFonts w:ascii="IRNazanin" w:hAnsi="IRNazanin" w:eastAsia="IRNazanin" w:cs="IRNazanin"/>
            <w:color w:val="111111"/>
            <w:sz w:val="22"/>
            <w:szCs w:val="22"/>
            <w:b w:val="0"/>
            <w:bCs w:val="0"/>
            <w:i w:val="0"/>
            <w:iCs w:val="0"/>
          </w:rPr>
          <w:t>958- دیوان بیدل مازندرانی‏</w:t>
        </w:r>
        <w:r>
          <w:tab/>
        </w:r>
        <w:r>
          <w:fldChar w:fldCharType="begin"/>
        </w:r>
        <w:r>
          <w:instrText xml:space="preserve">PAGEREF 1173 \h</w:instrText>
        </w:r>
        <w:r>
          <w:fldChar w:fldCharType="end"/>
        </w:r>
      </w:hyperlink>
    </w:p>
    <w:p>
      <w:pPr>
        <w:tabs>
          <w:tab w:val="right" w:leader="dot" w:pos="9062"/>
        </w:tabs>
        <w:ind w:left="440"/>
      </w:pPr>
      <w:hyperlink w:anchor="_Toc1174" w:history="1">
        <w:r>
          <w:rPr>
            <w:rFonts w:ascii="IRNazanin" w:hAnsi="IRNazanin" w:eastAsia="IRNazanin" w:cs="IRNazanin"/>
            <w:color w:val="111111"/>
            <w:sz w:val="22"/>
            <w:szCs w:val="22"/>
            <w:b w:val="0"/>
            <w:bCs w:val="0"/>
            <w:i w:val="0"/>
            <w:iCs w:val="0"/>
          </w:rPr>
          <w:t>959- دیوان بیدل نیشابوری أو شعره‏</w:t>
        </w:r>
        <w:r>
          <w:tab/>
        </w:r>
        <w:r>
          <w:fldChar w:fldCharType="begin"/>
        </w:r>
        <w:r>
          <w:instrText xml:space="preserve">PAGEREF 1174 \h</w:instrText>
        </w:r>
        <w:r>
          <w:fldChar w:fldCharType="end"/>
        </w:r>
      </w:hyperlink>
    </w:p>
    <w:p>
      <w:pPr>
        <w:tabs>
          <w:tab w:val="right" w:leader="dot" w:pos="9062"/>
        </w:tabs>
        <w:ind w:left="440"/>
      </w:pPr>
      <w:hyperlink w:anchor="_Toc1175" w:history="1">
        <w:r>
          <w:rPr>
            <w:rFonts w:ascii="IRNazanin" w:hAnsi="IRNazanin" w:eastAsia="IRNazanin" w:cs="IRNazanin"/>
            <w:color w:val="111111"/>
            <w:sz w:val="22"/>
            <w:szCs w:val="22"/>
            <w:b w:val="0"/>
            <w:bCs w:val="0"/>
            <w:i w:val="0"/>
            <w:iCs w:val="0"/>
          </w:rPr>
          <w:t>960- دیوان بیدلی أو شعرها</w:t>
        </w:r>
        <w:r>
          <w:tab/>
        </w:r>
        <w:r>
          <w:fldChar w:fldCharType="begin"/>
        </w:r>
        <w:r>
          <w:instrText xml:space="preserve">PAGEREF 1175 \h</w:instrText>
        </w:r>
        <w:r>
          <w:fldChar w:fldCharType="end"/>
        </w:r>
      </w:hyperlink>
    </w:p>
    <w:p>
      <w:pPr>
        <w:tabs>
          <w:tab w:val="right" w:leader="dot" w:pos="9062"/>
        </w:tabs>
        <w:ind w:left="440"/>
      </w:pPr>
      <w:hyperlink w:anchor="_Toc1176" w:history="1">
        <w:r>
          <w:rPr>
            <w:rFonts w:ascii="IRNazanin" w:hAnsi="IRNazanin" w:eastAsia="IRNazanin" w:cs="IRNazanin"/>
            <w:color w:val="111111"/>
            <w:sz w:val="22"/>
            <w:szCs w:val="22"/>
            <w:b w:val="0"/>
            <w:bCs w:val="0"/>
            <w:i w:val="0"/>
            <w:iCs w:val="0"/>
          </w:rPr>
          <w:t>961- دیوان بیدلی لنگ أو شعره‏</w:t>
        </w:r>
        <w:r>
          <w:tab/>
        </w:r>
        <w:r>
          <w:fldChar w:fldCharType="begin"/>
        </w:r>
        <w:r>
          <w:instrText xml:space="preserve">PAGEREF 1176 \h</w:instrText>
        </w:r>
        <w:r>
          <w:fldChar w:fldCharType="end"/>
        </w:r>
      </w:hyperlink>
    </w:p>
    <w:p>
      <w:pPr>
        <w:tabs>
          <w:tab w:val="right" w:leader="dot" w:pos="9062"/>
        </w:tabs>
        <w:ind w:left="440"/>
      </w:pPr>
      <w:hyperlink w:anchor="_Toc1177" w:history="1">
        <w:r>
          <w:rPr>
            <w:rFonts w:ascii="IRNazanin" w:hAnsi="IRNazanin" w:eastAsia="IRNazanin" w:cs="IRNazanin"/>
            <w:color w:val="111111"/>
            <w:sz w:val="22"/>
            <w:szCs w:val="22"/>
            <w:b w:val="0"/>
            <w:bCs w:val="0"/>
            <w:i w:val="0"/>
            <w:iCs w:val="0"/>
          </w:rPr>
          <w:t>962- دیوان بیدلی همدانی أو شعره‏</w:t>
        </w:r>
        <w:r>
          <w:tab/>
        </w:r>
        <w:r>
          <w:fldChar w:fldCharType="begin"/>
        </w:r>
        <w:r>
          <w:instrText xml:space="preserve">PAGEREF 1177 \h</w:instrText>
        </w:r>
        <w:r>
          <w:fldChar w:fldCharType="end"/>
        </w:r>
      </w:hyperlink>
    </w:p>
    <w:p>
      <w:pPr>
        <w:tabs>
          <w:tab w:val="right" w:leader="dot" w:pos="9062"/>
        </w:tabs>
        <w:ind w:left="440"/>
      </w:pPr>
      <w:hyperlink w:anchor="_Toc1178" w:history="1">
        <w:r>
          <w:rPr>
            <w:rFonts w:ascii="IRNazanin" w:hAnsi="IRNazanin" w:eastAsia="IRNazanin" w:cs="IRNazanin"/>
            <w:color w:val="111111"/>
            <w:sz w:val="22"/>
            <w:szCs w:val="22"/>
            <w:b w:val="0"/>
            <w:bCs w:val="0"/>
            <w:i w:val="0"/>
            <w:iCs w:val="0"/>
          </w:rPr>
          <w:t>دیوان بیزری‏</w:t>
        </w:r>
        <w:r>
          <w:tab/>
        </w:r>
        <w:r>
          <w:fldChar w:fldCharType="begin"/>
        </w:r>
        <w:r>
          <w:instrText xml:space="preserve">PAGEREF 1178 \h</w:instrText>
        </w:r>
        <w:r>
          <w:fldChar w:fldCharType="end"/>
        </w:r>
      </w:hyperlink>
    </w:p>
    <w:p>
      <w:pPr>
        <w:tabs>
          <w:tab w:val="right" w:leader="dot" w:pos="9062"/>
        </w:tabs>
        <w:ind w:left="440"/>
      </w:pPr>
      <w:hyperlink w:anchor="_Toc1179" w:history="1">
        <w:r>
          <w:rPr>
            <w:rFonts w:ascii="IRNazanin" w:hAnsi="IRNazanin" w:eastAsia="IRNazanin" w:cs="IRNazanin"/>
            <w:color w:val="111111"/>
            <w:sz w:val="22"/>
            <w:szCs w:val="22"/>
            <w:b w:val="0"/>
            <w:bCs w:val="0"/>
            <w:i w:val="0"/>
            <w:iCs w:val="0"/>
          </w:rPr>
          <w:t>دیوان بیضائی‏</w:t>
        </w:r>
        <w:r>
          <w:tab/>
        </w:r>
        <w:r>
          <w:fldChar w:fldCharType="begin"/>
        </w:r>
        <w:r>
          <w:instrText xml:space="preserve">PAGEREF 1179 \h</w:instrText>
        </w:r>
        <w:r>
          <w:fldChar w:fldCharType="end"/>
        </w:r>
      </w:hyperlink>
    </w:p>
    <w:p>
      <w:pPr>
        <w:tabs>
          <w:tab w:val="right" w:leader="dot" w:pos="9062"/>
        </w:tabs>
        <w:ind w:left="440"/>
      </w:pPr>
      <w:hyperlink w:anchor="_Toc1180" w:history="1">
        <w:r>
          <w:rPr>
            <w:rFonts w:ascii="IRNazanin" w:hAnsi="IRNazanin" w:eastAsia="IRNazanin" w:cs="IRNazanin"/>
            <w:color w:val="111111"/>
            <w:sz w:val="22"/>
            <w:szCs w:val="22"/>
            <w:b w:val="0"/>
            <w:bCs w:val="0"/>
            <w:i w:val="0"/>
            <w:iCs w:val="0"/>
          </w:rPr>
          <w:t>963- دیوان بیضائی‏</w:t>
        </w:r>
        <w:r>
          <w:tab/>
        </w:r>
        <w:r>
          <w:fldChar w:fldCharType="begin"/>
        </w:r>
        <w:r>
          <w:instrText xml:space="preserve">PAGEREF 1180 \h</w:instrText>
        </w:r>
        <w:r>
          <w:fldChar w:fldCharType="end"/>
        </w:r>
      </w:hyperlink>
    </w:p>
    <w:p>
      <w:pPr>
        <w:tabs>
          <w:tab w:val="right" w:leader="dot" w:pos="9062"/>
        </w:tabs>
        <w:ind w:left="440"/>
      </w:pPr>
      <w:hyperlink w:anchor="_Toc1181" w:history="1">
        <w:r>
          <w:rPr>
            <w:rFonts w:ascii="IRNazanin" w:hAnsi="IRNazanin" w:eastAsia="IRNazanin" w:cs="IRNazanin"/>
            <w:color w:val="111111"/>
            <w:sz w:val="22"/>
            <w:szCs w:val="22"/>
            <w:b w:val="0"/>
            <w:bCs w:val="0"/>
            <w:i w:val="0"/>
            <w:iCs w:val="0"/>
          </w:rPr>
          <w:t>964- دیوان بی‏غش‏</w:t>
        </w:r>
        <w:r>
          <w:tab/>
        </w:r>
        <w:r>
          <w:fldChar w:fldCharType="begin"/>
        </w:r>
        <w:r>
          <w:instrText xml:space="preserve">PAGEREF 1181 \h</w:instrText>
        </w:r>
        <w:r>
          <w:fldChar w:fldCharType="end"/>
        </w:r>
      </w:hyperlink>
    </w:p>
    <w:p>
      <w:pPr>
        <w:tabs>
          <w:tab w:val="right" w:leader="dot" w:pos="9062"/>
        </w:tabs>
        <w:ind w:left="440"/>
      </w:pPr>
      <w:hyperlink w:anchor="_Toc1182" w:history="1">
        <w:r>
          <w:rPr>
            <w:rFonts w:ascii="IRNazanin" w:hAnsi="IRNazanin" w:eastAsia="IRNazanin" w:cs="IRNazanin"/>
            <w:color w:val="111111"/>
            <w:sz w:val="22"/>
            <w:szCs w:val="22"/>
            <w:b w:val="0"/>
            <w:bCs w:val="0"/>
            <w:i w:val="0"/>
            <w:iCs w:val="0"/>
          </w:rPr>
          <w:t>965- دیوان بی‏غم‏</w:t>
        </w:r>
        <w:r>
          <w:tab/>
        </w:r>
        <w:r>
          <w:fldChar w:fldCharType="begin"/>
        </w:r>
        <w:r>
          <w:instrText xml:space="preserve">PAGEREF 1182 \h</w:instrText>
        </w:r>
        <w:r>
          <w:fldChar w:fldCharType="end"/>
        </w:r>
      </w:hyperlink>
    </w:p>
    <w:p>
      <w:pPr>
        <w:tabs>
          <w:tab w:val="right" w:leader="dot" w:pos="9062"/>
        </w:tabs>
        <w:ind w:left="440"/>
      </w:pPr>
      <w:hyperlink w:anchor="_Toc1183" w:history="1">
        <w:r>
          <w:rPr>
            <w:rFonts w:ascii="IRNazanin" w:hAnsi="IRNazanin" w:eastAsia="IRNazanin" w:cs="IRNazanin"/>
            <w:color w:val="111111"/>
            <w:sz w:val="22"/>
            <w:szCs w:val="22"/>
            <w:b w:val="0"/>
            <w:bCs w:val="0"/>
            <w:i w:val="0"/>
            <w:iCs w:val="0"/>
          </w:rPr>
          <w:t>966- دیوان بی‏کسی أسترآبادی أو شعره‏</w:t>
        </w:r>
        <w:r>
          <w:tab/>
        </w:r>
        <w:r>
          <w:fldChar w:fldCharType="begin"/>
        </w:r>
        <w:r>
          <w:instrText xml:space="preserve">PAGEREF 1183 \h</w:instrText>
        </w:r>
        <w:r>
          <w:fldChar w:fldCharType="end"/>
        </w:r>
      </w:hyperlink>
    </w:p>
    <w:p>
      <w:pPr>
        <w:tabs>
          <w:tab w:val="right" w:leader="dot" w:pos="9062"/>
        </w:tabs>
        <w:ind w:left="440"/>
      </w:pPr>
      <w:hyperlink w:anchor="_Toc1184" w:history="1">
        <w:r>
          <w:rPr>
            <w:rFonts w:ascii="IRNazanin" w:hAnsi="IRNazanin" w:eastAsia="IRNazanin" w:cs="IRNazanin"/>
            <w:color w:val="111111"/>
            <w:sz w:val="22"/>
            <w:szCs w:val="22"/>
            <w:b w:val="0"/>
            <w:bCs w:val="0"/>
            <w:i w:val="0"/>
            <w:iCs w:val="0"/>
          </w:rPr>
          <w:t>دیوان بی‏کسی سبزواری‏</w:t>
        </w:r>
        <w:r>
          <w:tab/>
        </w:r>
        <w:r>
          <w:fldChar w:fldCharType="begin"/>
        </w:r>
        <w:r>
          <w:instrText xml:space="preserve">PAGEREF 1184 \h</w:instrText>
        </w:r>
        <w:r>
          <w:fldChar w:fldCharType="end"/>
        </w:r>
      </w:hyperlink>
    </w:p>
    <w:p>
      <w:pPr>
        <w:tabs>
          <w:tab w:val="right" w:leader="dot" w:pos="9062"/>
        </w:tabs>
        <w:ind w:left="440"/>
      </w:pPr>
      <w:hyperlink w:anchor="_Toc1185" w:history="1">
        <w:r>
          <w:rPr>
            <w:rFonts w:ascii="IRNazanin" w:hAnsi="IRNazanin" w:eastAsia="IRNazanin" w:cs="IRNazanin"/>
            <w:color w:val="111111"/>
            <w:sz w:val="22"/>
            <w:szCs w:val="22"/>
            <w:b w:val="0"/>
            <w:bCs w:val="0"/>
            <w:i w:val="0"/>
            <w:iCs w:val="0"/>
          </w:rPr>
          <w:t>967- دیوان بی‏کسی شوشتری‏</w:t>
        </w:r>
        <w:r>
          <w:tab/>
        </w:r>
        <w:r>
          <w:fldChar w:fldCharType="begin"/>
        </w:r>
        <w:r>
          <w:instrText xml:space="preserve">PAGEREF 1185 \h</w:instrText>
        </w:r>
        <w:r>
          <w:fldChar w:fldCharType="end"/>
        </w:r>
      </w:hyperlink>
    </w:p>
    <w:p>
      <w:pPr>
        <w:tabs>
          <w:tab w:val="right" w:leader="dot" w:pos="9062"/>
        </w:tabs>
        <w:ind w:left="440"/>
      </w:pPr>
      <w:hyperlink w:anchor="_Toc1186" w:history="1">
        <w:r>
          <w:rPr>
            <w:rFonts w:ascii="IRNazanin" w:hAnsi="IRNazanin" w:eastAsia="IRNazanin" w:cs="IRNazanin"/>
            <w:color w:val="111111"/>
            <w:sz w:val="22"/>
            <w:szCs w:val="22"/>
            <w:b w:val="0"/>
            <w:bCs w:val="0"/>
            <w:i w:val="0"/>
            <w:iCs w:val="0"/>
          </w:rPr>
          <w:t>968- دیوان بی‏کسی شیرازی أو شعره‏</w:t>
        </w:r>
        <w:r>
          <w:tab/>
        </w:r>
        <w:r>
          <w:fldChar w:fldCharType="begin"/>
        </w:r>
        <w:r>
          <w:instrText xml:space="preserve">PAGEREF 1186 \h</w:instrText>
        </w:r>
        <w:r>
          <w:fldChar w:fldCharType="end"/>
        </w:r>
      </w:hyperlink>
    </w:p>
    <w:p>
      <w:pPr>
        <w:tabs>
          <w:tab w:val="right" w:leader="dot" w:pos="9062"/>
        </w:tabs>
        <w:ind w:left="440"/>
      </w:pPr>
      <w:hyperlink w:anchor="_Toc1187" w:history="1">
        <w:r>
          <w:rPr>
            <w:rFonts w:ascii="IRNazanin" w:hAnsi="IRNazanin" w:eastAsia="IRNazanin" w:cs="IRNazanin"/>
            <w:color w:val="111111"/>
            <w:sz w:val="22"/>
            <w:szCs w:val="22"/>
            <w:b w:val="0"/>
            <w:bCs w:val="0"/>
            <w:i w:val="0"/>
            <w:iCs w:val="0"/>
          </w:rPr>
          <w:t>969- دیوان بیگانه نیشابوری‏</w:t>
        </w:r>
        <w:r>
          <w:tab/>
        </w:r>
        <w:r>
          <w:fldChar w:fldCharType="begin"/>
        </w:r>
        <w:r>
          <w:instrText xml:space="preserve">PAGEREF 1187 \h</w:instrText>
        </w:r>
        <w:r>
          <w:fldChar w:fldCharType="end"/>
        </w:r>
      </w:hyperlink>
    </w:p>
    <w:p>
      <w:pPr>
        <w:tabs>
          <w:tab w:val="right" w:leader="dot" w:pos="9062"/>
        </w:tabs>
        <w:ind w:left="440"/>
      </w:pPr>
      <w:hyperlink w:anchor="_Toc1188" w:history="1">
        <w:r>
          <w:rPr>
            <w:rFonts w:ascii="IRNazanin" w:hAnsi="IRNazanin" w:eastAsia="IRNazanin" w:cs="IRNazanin"/>
            <w:color w:val="111111"/>
            <w:sz w:val="22"/>
            <w:szCs w:val="22"/>
            <w:b w:val="0"/>
            <w:bCs w:val="0"/>
            <w:i w:val="0"/>
            <w:iCs w:val="0"/>
          </w:rPr>
          <w:t>دیوان بیگم‏</w:t>
        </w:r>
        <w:r>
          <w:tab/>
        </w:r>
        <w:r>
          <w:fldChar w:fldCharType="begin"/>
        </w:r>
        <w:r>
          <w:instrText xml:space="preserve">PAGEREF 1188 \h</w:instrText>
        </w:r>
        <w:r>
          <w:fldChar w:fldCharType="end"/>
        </w:r>
      </w:hyperlink>
    </w:p>
    <w:p>
      <w:pPr>
        <w:tabs>
          <w:tab w:val="right" w:leader="dot" w:pos="9062"/>
        </w:tabs>
        <w:ind w:left="440"/>
      </w:pPr>
      <w:hyperlink w:anchor="_Toc1189" w:history="1">
        <w:r>
          <w:rPr>
            <w:rFonts w:ascii="IRNazanin" w:hAnsi="IRNazanin" w:eastAsia="IRNazanin" w:cs="IRNazanin"/>
            <w:color w:val="111111"/>
            <w:sz w:val="22"/>
            <w:szCs w:val="22"/>
            <w:b w:val="0"/>
            <w:bCs w:val="0"/>
            <w:i w:val="0"/>
            <w:iCs w:val="0"/>
          </w:rPr>
          <w:t>دیوان بیگم‏</w:t>
        </w:r>
        <w:r>
          <w:tab/>
        </w:r>
        <w:r>
          <w:fldChar w:fldCharType="begin"/>
        </w:r>
        <w:r>
          <w:instrText xml:space="preserve">PAGEREF 1189 \h</w:instrText>
        </w:r>
        <w:r>
          <w:fldChar w:fldCharType="end"/>
        </w:r>
      </w:hyperlink>
    </w:p>
    <w:p>
      <w:pPr>
        <w:tabs>
          <w:tab w:val="right" w:leader="dot" w:pos="9062"/>
        </w:tabs>
        <w:ind w:left="440"/>
      </w:pPr>
      <w:hyperlink w:anchor="_Toc1190" w:history="1">
        <w:r>
          <w:rPr>
            <w:rFonts w:ascii="IRNazanin" w:hAnsi="IRNazanin" w:eastAsia="IRNazanin" w:cs="IRNazanin"/>
            <w:color w:val="111111"/>
            <w:sz w:val="22"/>
            <w:szCs w:val="22"/>
            <w:b w:val="0"/>
            <w:bCs w:val="0"/>
            <w:i w:val="0"/>
            <w:iCs w:val="0"/>
          </w:rPr>
          <w:t>970- دیوان بیگی أو شعرها</w:t>
        </w:r>
        <w:r>
          <w:tab/>
        </w:r>
        <w:r>
          <w:fldChar w:fldCharType="begin"/>
        </w:r>
        <w:r>
          <w:instrText xml:space="preserve">PAGEREF 1190 \h</w:instrText>
        </w:r>
        <w:r>
          <w:fldChar w:fldCharType="end"/>
        </w:r>
      </w:hyperlink>
    </w:p>
    <w:p>
      <w:pPr>
        <w:tabs>
          <w:tab w:val="right" w:leader="dot" w:pos="9062"/>
        </w:tabs>
        <w:ind w:left="440"/>
      </w:pPr>
      <w:hyperlink w:anchor="_Toc1191" w:history="1">
        <w:r>
          <w:rPr>
            <w:rFonts w:ascii="IRNazanin" w:hAnsi="IRNazanin" w:eastAsia="IRNazanin" w:cs="IRNazanin"/>
            <w:color w:val="111111"/>
            <w:sz w:val="22"/>
            <w:szCs w:val="22"/>
            <w:b w:val="0"/>
            <w:bCs w:val="0"/>
            <w:i w:val="0"/>
            <w:iCs w:val="0"/>
          </w:rPr>
          <w:t>دیوان بیلقانی‏</w:t>
        </w:r>
        <w:r>
          <w:tab/>
        </w:r>
        <w:r>
          <w:fldChar w:fldCharType="begin"/>
        </w:r>
        <w:r>
          <w:instrText xml:space="preserve">PAGEREF 1191 \h</w:instrText>
        </w:r>
        <w:r>
          <w:fldChar w:fldCharType="end"/>
        </w:r>
      </w:hyperlink>
    </w:p>
    <w:p>
      <w:pPr>
        <w:tabs>
          <w:tab w:val="right" w:leader="dot" w:pos="9062"/>
        </w:tabs>
        <w:ind w:left="440"/>
      </w:pPr>
      <w:hyperlink w:anchor="_Toc1192" w:history="1">
        <w:r>
          <w:rPr>
            <w:rFonts w:ascii="IRNazanin" w:hAnsi="IRNazanin" w:eastAsia="IRNazanin" w:cs="IRNazanin"/>
            <w:color w:val="111111"/>
            <w:sz w:val="22"/>
            <w:szCs w:val="22"/>
            <w:b w:val="0"/>
            <w:bCs w:val="0"/>
            <w:i w:val="0"/>
            <w:iCs w:val="0"/>
          </w:rPr>
          <w:t>971- دیوان بینا گیلانی أو شعره‏</w:t>
        </w:r>
        <w:r>
          <w:tab/>
        </w:r>
        <w:r>
          <w:fldChar w:fldCharType="begin"/>
        </w:r>
        <w:r>
          <w:instrText xml:space="preserve">PAGEREF 1192 \h</w:instrText>
        </w:r>
        <w:r>
          <w:fldChar w:fldCharType="end"/>
        </w:r>
      </w:hyperlink>
    </w:p>
    <w:p>
      <w:pPr>
        <w:tabs>
          <w:tab w:val="right" w:leader="dot" w:pos="9062"/>
        </w:tabs>
        <w:ind w:left="440"/>
      </w:pPr>
      <w:hyperlink w:anchor="_Toc1193" w:history="1">
        <w:r>
          <w:rPr>
            <w:rFonts w:ascii="IRNazanin" w:hAnsi="IRNazanin" w:eastAsia="IRNazanin" w:cs="IRNazanin"/>
            <w:color w:val="111111"/>
            <w:sz w:val="22"/>
            <w:szCs w:val="22"/>
            <w:b w:val="0"/>
            <w:bCs w:val="0"/>
            <w:i w:val="0"/>
            <w:iCs w:val="0"/>
          </w:rPr>
          <w:t>972- دیوان بینش‏</w:t>
        </w:r>
        <w:r>
          <w:tab/>
        </w:r>
        <w:r>
          <w:fldChar w:fldCharType="begin"/>
        </w:r>
        <w:r>
          <w:instrText xml:space="preserve">PAGEREF 1193 \h</w:instrText>
        </w:r>
        <w:r>
          <w:fldChar w:fldCharType="end"/>
        </w:r>
      </w:hyperlink>
    </w:p>
    <w:p>
      <w:pPr>
        <w:tabs>
          <w:tab w:val="right" w:leader="dot" w:pos="9062"/>
        </w:tabs>
        <w:ind w:left="440"/>
      </w:pPr>
      <w:hyperlink w:anchor="_Toc1194" w:history="1">
        <w:r>
          <w:rPr>
            <w:rFonts w:ascii="IRNazanin" w:hAnsi="IRNazanin" w:eastAsia="IRNazanin" w:cs="IRNazanin"/>
            <w:color w:val="111111"/>
            <w:sz w:val="22"/>
            <w:szCs w:val="22"/>
            <w:b w:val="0"/>
            <w:bCs w:val="0"/>
            <w:i w:val="0"/>
            <w:iCs w:val="0"/>
          </w:rPr>
          <w:t>973- دیوان بینش شیرازی‏</w:t>
        </w:r>
        <w:r>
          <w:tab/>
        </w:r>
        <w:r>
          <w:fldChar w:fldCharType="begin"/>
        </w:r>
        <w:r>
          <w:instrText xml:space="preserve">PAGEREF 1194 \h</w:instrText>
        </w:r>
        <w:r>
          <w:fldChar w:fldCharType="end"/>
        </w:r>
      </w:hyperlink>
    </w:p>
    <w:p>
      <w:pPr>
        <w:tabs>
          <w:tab w:val="right" w:leader="dot" w:pos="9062"/>
        </w:tabs>
        <w:ind w:left="440"/>
      </w:pPr>
      <w:hyperlink w:anchor="_Toc1195" w:history="1">
        <w:r>
          <w:rPr>
            <w:rFonts w:ascii="IRNazanin" w:hAnsi="IRNazanin" w:eastAsia="IRNazanin" w:cs="IRNazanin"/>
            <w:color w:val="111111"/>
            <w:sz w:val="22"/>
            <w:szCs w:val="22"/>
            <w:b w:val="0"/>
            <w:bCs w:val="0"/>
            <w:i w:val="0"/>
            <w:iCs w:val="0"/>
          </w:rPr>
          <w:t>974- دیوان بینش کشمیری‏</w:t>
        </w:r>
        <w:r>
          <w:tab/>
        </w:r>
        <w:r>
          <w:fldChar w:fldCharType="begin"/>
        </w:r>
        <w:r>
          <w:instrText xml:space="preserve">PAGEREF 1195 \h</w:instrText>
        </w:r>
        <w:r>
          <w:fldChar w:fldCharType="end"/>
        </w:r>
      </w:hyperlink>
    </w:p>
    <w:p>
      <w:pPr>
        <w:tabs>
          <w:tab w:val="right" w:leader="dot" w:pos="9062"/>
        </w:tabs>
        <w:ind w:left="440"/>
      </w:pPr>
      <w:hyperlink w:anchor="_Toc1196" w:history="1">
        <w:r>
          <w:rPr>
            <w:rFonts w:ascii="IRNazanin" w:hAnsi="IRNazanin" w:eastAsia="IRNazanin" w:cs="IRNazanin"/>
            <w:color w:val="111111"/>
            <w:sz w:val="22"/>
            <w:szCs w:val="22"/>
            <w:b w:val="0"/>
            <w:bCs w:val="0"/>
            <w:i w:val="0"/>
            <w:iCs w:val="0"/>
          </w:rPr>
          <w:t>975- دیوان بینش مدراسی أو شعره‏</w:t>
        </w:r>
        <w:r>
          <w:tab/>
        </w:r>
        <w:r>
          <w:fldChar w:fldCharType="begin"/>
        </w:r>
        <w:r>
          <w:instrText xml:space="preserve">PAGEREF 1196 \h</w:instrText>
        </w:r>
        <w:r>
          <w:fldChar w:fldCharType="end"/>
        </w:r>
      </w:hyperlink>
    </w:p>
    <w:p>
      <w:pPr>
        <w:tabs>
          <w:tab w:val="right" w:leader="dot" w:pos="9062"/>
        </w:tabs>
        <w:ind w:left="440"/>
      </w:pPr>
      <w:hyperlink w:anchor="_Toc1197" w:history="1">
        <w:r>
          <w:rPr>
            <w:rFonts w:ascii="IRNazanin" w:hAnsi="IRNazanin" w:eastAsia="IRNazanin" w:cs="IRNazanin"/>
            <w:color w:val="111111"/>
            <w:sz w:val="22"/>
            <w:szCs w:val="22"/>
            <w:b w:val="0"/>
            <w:bCs w:val="0"/>
            <w:i w:val="0"/>
            <w:iCs w:val="0"/>
          </w:rPr>
          <w:t>976- دیوان بینش مشهدی أو شعره‏</w:t>
        </w:r>
        <w:r>
          <w:tab/>
        </w:r>
        <w:r>
          <w:fldChar w:fldCharType="begin"/>
        </w:r>
        <w:r>
          <w:instrText xml:space="preserve">PAGEREF 1197 \h</w:instrText>
        </w:r>
        <w:r>
          <w:fldChar w:fldCharType="end"/>
        </w:r>
      </w:hyperlink>
    </w:p>
    <w:p>
      <w:pPr>
        <w:tabs>
          <w:tab w:val="right" w:leader="dot" w:pos="9062"/>
        </w:tabs>
        <w:ind w:left="440"/>
      </w:pPr>
      <w:hyperlink w:anchor="_Toc1198" w:history="1">
        <w:r>
          <w:rPr>
            <w:rFonts w:ascii="IRNazanin" w:hAnsi="IRNazanin" w:eastAsia="IRNazanin" w:cs="IRNazanin"/>
            <w:color w:val="111111"/>
            <w:sz w:val="22"/>
            <w:szCs w:val="22"/>
            <w:b w:val="0"/>
            <w:bCs w:val="0"/>
            <w:i w:val="0"/>
            <w:iCs w:val="0"/>
          </w:rPr>
          <w:t>977- دیوان بین الشعور و العاطفة</w:t>
        </w:r>
        <w:r>
          <w:tab/>
        </w:r>
        <w:r>
          <w:fldChar w:fldCharType="begin"/>
        </w:r>
        <w:r>
          <w:instrText xml:space="preserve">PAGEREF 1198 \h</w:instrText>
        </w:r>
        <w:r>
          <w:fldChar w:fldCharType="end"/>
        </w:r>
      </w:hyperlink>
    </w:p>
    <w:p>
      <w:pPr>
        <w:tabs>
          <w:tab w:val="right" w:leader="dot" w:pos="9062"/>
        </w:tabs>
        <w:ind w:left="440"/>
      </w:pPr>
      <w:hyperlink w:anchor="_Toc1199" w:history="1">
        <w:r>
          <w:rPr>
            <w:rFonts w:ascii="IRNazanin" w:hAnsi="IRNazanin" w:eastAsia="IRNazanin" w:cs="IRNazanin"/>
            <w:color w:val="111111"/>
            <w:sz w:val="22"/>
            <w:szCs w:val="22"/>
            <w:b w:val="0"/>
            <w:bCs w:val="0"/>
            <w:i w:val="0"/>
            <w:iCs w:val="0"/>
          </w:rPr>
          <w:t>978- دیوان بینوا بدخشی أو شعره‏</w:t>
        </w:r>
        <w:r>
          <w:tab/>
        </w:r>
        <w:r>
          <w:fldChar w:fldCharType="begin"/>
        </w:r>
        <w:r>
          <w:instrText xml:space="preserve">PAGEREF 1199 \h</w:instrText>
        </w:r>
        <w:r>
          <w:fldChar w:fldCharType="end"/>
        </w:r>
      </w:hyperlink>
    </w:p>
    <w:p>
      <w:pPr>
        <w:tabs>
          <w:tab w:val="right" w:leader="dot" w:pos="9062"/>
        </w:tabs>
        <w:ind w:left="440"/>
      </w:pPr>
      <w:hyperlink w:anchor="_Toc1200" w:history="1">
        <w:r>
          <w:rPr>
            <w:rFonts w:ascii="IRNazanin" w:hAnsi="IRNazanin" w:eastAsia="IRNazanin" w:cs="IRNazanin"/>
            <w:color w:val="111111"/>
            <w:sz w:val="22"/>
            <w:szCs w:val="22"/>
            <w:b w:val="0"/>
            <w:bCs w:val="0"/>
            <w:i w:val="0"/>
            <w:iCs w:val="0"/>
          </w:rPr>
          <w:t>979- دیوان البیهقی‏</w:t>
        </w:r>
        <w:r>
          <w:tab/>
        </w:r>
        <w:r>
          <w:fldChar w:fldCharType="begin"/>
        </w:r>
        <w:r>
          <w:instrText xml:space="preserve">PAGEREF 1200 \h</w:instrText>
        </w:r>
        <w:r>
          <w:fldChar w:fldCharType="end"/>
        </w:r>
      </w:hyperlink>
    </w:p>
    <w:p>
      <w:pPr>
        <w:tabs>
          <w:tab w:val="right" w:leader="dot" w:pos="9062"/>
        </w:tabs>
        <w:ind w:left="440"/>
      </w:pPr>
      <w:hyperlink w:anchor="_Toc1201" w:history="1">
        <w:r>
          <w:rPr>
            <w:rFonts w:ascii="IRNazanin" w:hAnsi="IRNazanin" w:eastAsia="IRNazanin" w:cs="IRNazanin"/>
            <w:color w:val="111111"/>
            <w:sz w:val="22"/>
            <w:szCs w:val="22"/>
            <w:b w:val="0"/>
            <w:bCs w:val="0"/>
            <w:i w:val="0"/>
            <w:iCs w:val="0"/>
          </w:rPr>
          <w:t>980- دیوان البیهقی‏</w:t>
        </w:r>
        <w:r>
          <w:tab/>
        </w:r>
        <w:r>
          <w:fldChar w:fldCharType="begin"/>
        </w:r>
        <w:r>
          <w:instrText xml:space="preserve">PAGEREF 1201 \h</w:instrText>
        </w:r>
        <w:r>
          <w:fldChar w:fldCharType="end"/>
        </w:r>
      </w:hyperlink>
    </w:p>
    <w:p>
      <w:pPr>
        <w:tabs>
          <w:tab w:val="right" w:leader="dot" w:pos="9062"/>
        </w:tabs>
        <w:ind w:left="440"/>
      </w:pPr>
      <w:hyperlink w:anchor="_Toc1202" w:history="1">
        <w:r>
          <w:rPr>
            <w:rFonts w:ascii="IRNazanin" w:hAnsi="IRNazanin" w:eastAsia="IRNazanin" w:cs="IRNazanin"/>
            <w:color w:val="111111"/>
            <w:sz w:val="22"/>
            <w:szCs w:val="22"/>
            <w:b w:val="0"/>
            <w:bCs w:val="0"/>
            <w:i w:val="0"/>
            <w:iCs w:val="0"/>
          </w:rPr>
          <w:t>پ‏</w:t>
        </w:r>
        <w:r>
          <w:tab/>
        </w:r>
        <w:r>
          <w:fldChar w:fldCharType="begin"/>
        </w:r>
        <w:r>
          <w:instrText xml:space="preserve">PAGEREF 1202 \h</w:instrText>
        </w:r>
        <w:r>
          <w:fldChar w:fldCharType="end"/>
        </w:r>
      </w:hyperlink>
    </w:p>
    <w:p>
      <w:pPr>
        <w:tabs>
          <w:tab w:val="right" w:leader="dot" w:pos="9062"/>
        </w:tabs>
        <w:ind w:left="440"/>
      </w:pPr>
      <w:hyperlink w:anchor="_Toc1203" w:history="1">
        <w:r>
          <w:rPr>
            <w:rFonts w:ascii="IRNazanin" w:hAnsi="IRNazanin" w:eastAsia="IRNazanin" w:cs="IRNazanin"/>
            <w:color w:val="111111"/>
            <w:sz w:val="22"/>
            <w:szCs w:val="22"/>
            <w:b w:val="0"/>
            <w:bCs w:val="0"/>
            <w:i w:val="0"/>
            <w:iCs w:val="0"/>
          </w:rPr>
          <w:t>981- دیوان پاکی غلام أو شعره‏</w:t>
        </w:r>
        <w:r>
          <w:tab/>
        </w:r>
        <w:r>
          <w:fldChar w:fldCharType="begin"/>
        </w:r>
        <w:r>
          <w:instrText xml:space="preserve">PAGEREF 1203 \h</w:instrText>
        </w:r>
        <w:r>
          <w:fldChar w:fldCharType="end"/>
        </w:r>
      </w:hyperlink>
    </w:p>
    <w:p>
      <w:pPr>
        <w:tabs>
          <w:tab w:val="right" w:leader="dot" w:pos="9062"/>
        </w:tabs>
        <w:ind w:left="440"/>
      </w:pPr>
      <w:hyperlink w:anchor="_Toc1204" w:history="1">
        <w:r>
          <w:rPr>
            <w:rFonts w:ascii="IRNazanin" w:hAnsi="IRNazanin" w:eastAsia="IRNazanin" w:cs="IRNazanin"/>
            <w:color w:val="111111"/>
            <w:sz w:val="22"/>
            <w:szCs w:val="22"/>
            <w:b w:val="0"/>
            <w:bCs w:val="0"/>
            <w:i w:val="0"/>
            <w:iCs w:val="0"/>
          </w:rPr>
          <w:t>982- دیوان پرتو لنجانی‏</w:t>
        </w:r>
        <w:r>
          <w:tab/>
        </w:r>
        <w:r>
          <w:fldChar w:fldCharType="begin"/>
        </w:r>
        <w:r>
          <w:instrText xml:space="preserve">PAGEREF 1204 \h</w:instrText>
        </w:r>
        <w:r>
          <w:fldChar w:fldCharType="end"/>
        </w:r>
      </w:hyperlink>
    </w:p>
    <w:p>
      <w:pPr>
        <w:tabs>
          <w:tab w:val="right" w:leader="dot" w:pos="9062"/>
        </w:tabs>
        <w:ind w:left="440"/>
      </w:pPr>
      <w:hyperlink w:anchor="_Toc1205" w:history="1">
        <w:r>
          <w:rPr>
            <w:rFonts w:ascii="IRNazanin" w:hAnsi="IRNazanin" w:eastAsia="IRNazanin" w:cs="IRNazanin"/>
            <w:color w:val="111111"/>
            <w:sz w:val="22"/>
            <w:szCs w:val="22"/>
            <w:b w:val="0"/>
            <w:bCs w:val="0"/>
            <w:i w:val="0"/>
            <w:iCs w:val="0"/>
          </w:rPr>
          <w:t>دیوان پرتو لنجانی‏</w:t>
        </w:r>
        <w:r>
          <w:tab/>
        </w:r>
        <w:r>
          <w:fldChar w:fldCharType="begin"/>
        </w:r>
        <w:r>
          <w:instrText xml:space="preserve">PAGEREF 1205 \h</w:instrText>
        </w:r>
        <w:r>
          <w:fldChar w:fldCharType="end"/>
        </w:r>
      </w:hyperlink>
    </w:p>
    <w:p>
      <w:pPr>
        <w:tabs>
          <w:tab w:val="right" w:leader="dot" w:pos="9062"/>
        </w:tabs>
        <w:ind w:left="440"/>
      </w:pPr>
      <w:hyperlink w:anchor="_Toc1206" w:history="1">
        <w:r>
          <w:rPr>
            <w:rFonts w:ascii="IRNazanin" w:hAnsi="IRNazanin" w:eastAsia="IRNazanin" w:cs="IRNazanin"/>
            <w:color w:val="111111"/>
            <w:sz w:val="22"/>
            <w:szCs w:val="22"/>
            <w:b w:val="0"/>
            <w:bCs w:val="0"/>
            <w:i w:val="0"/>
            <w:iCs w:val="0"/>
          </w:rPr>
          <w:t>983- دیوان پرتوی الشیرازی‏</w:t>
        </w:r>
        <w:r>
          <w:tab/>
        </w:r>
        <w:r>
          <w:fldChar w:fldCharType="begin"/>
        </w:r>
        <w:r>
          <w:instrText xml:space="preserve">PAGEREF 1206 \h</w:instrText>
        </w:r>
        <w:r>
          <w:fldChar w:fldCharType="end"/>
        </w:r>
      </w:hyperlink>
    </w:p>
    <w:p>
      <w:pPr>
        <w:tabs>
          <w:tab w:val="right" w:leader="dot" w:pos="9062"/>
        </w:tabs>
        <w:ind w:left="440"/>
      </w:pPr>
      <w:hyperlink w:anchor="_Toc1207" w:history="1">
        <w:r>
          <w:rPr>
            <w:rFonts w:ascii="IRNazanin" w:hAnsi="IRNazanin" w:eastAsia="IRNazanin" w:cs="IRNazanin"/>
            <w:color w:val="111111"/>
            <w:sz w:val="22"/>
            <w:szCs w:val="22"/>
            <w:b w:val="0"/>
            <w:bCs w:val="0"/>
            <w:i w:val="0"/>
            <w:iCs w:val="0"/>
          </w:rPr>
          <w:t>984- دیوان پردل أندجانی أو شعره‏</w:t>
        </w:r>
        <w:r>
          <w:tab/>
        </w:r>
        <w:r>
          <w:fldChar w:fldCharType="begin"/>
        </w:r>
        <w:r>
          <w:instrText xml:space="preserve">PAGEREF 1207 \h</w:instrText>
        </w:r>
        <w:r>
          <w:fldChar w:fldCharType="end"/>
        </w:r>
      </w:hyperlink>
    </w:p>
    <w:p>
      <w:pPr>
        <w:tabs>
          <w:tab w:val="right" w:leader="dot" w:pos="9062"/>
        </w:tabs>
        <w:ind w:left="440"/>
      </w:pPr>
      <w:hyperlink w:anchor="_Toc1208" w:history="1">
        <w:r>
          <w:rPr>
            <w:rFonts w:ascii="IRNazanin" w:hAnsi="IRNazanin" w:eastAsia="IRNazanin" w:cs="IRNazanin"/>
            <w:color w:val="111111"/>
            <w:sz w:val="22"/>
            <w:szCs w:val="22"/>
            <w:b w:val="0"/>
            <w:bCs w:val="0"/>
            <w:i w:val="0"/>
            <w:iCs w:val="0"/>
          </w:rPr>
          <w:t>985- دیوان پروانه أصفهانی‏</w:t>
        </w:r>
        <w:r>
          <w:tab/>
        </w:r>
        <w:r>
          <w:fldChar w:fldCharType="begin"/>
        </w:r>
        <w:r>
          <w:instrText xml:space="preserve">PAGEREF 1208 \h</w:instrText>
        </w:r>
        <w:r>
          <w:fldChar w:fldCharType="end"/>
        </w:r>
      </w:hyperlink>
    </w:p>
    <w:p>
      <w:pPr>
        <w:tabs>
          <w:tab w:val="right" w:leader="dot" w:pos="9062"/>
        </w:tabs>
        <w:ind w:left="440"/>
      </w:pPr>
      <w:hyperlink w:anchor="_Toc1209" w:history="1">
        <w:r>
          <w:rPr>
            <w:rFonts w:ascii="IRNazanin" w:hAnsi="IRNazanin" w:eastAsia="IRNazanin" w:cs="IRNazanin"/>
            <w:color w:val="111111"/>
            <w:sz w:val="22"/>
            <w:szCs w:val="22"/>
            <w:b w:val="0"/>
            <w:bCs w:val="0"/>
            <w:i w:val="0"/>
            <w:iCs w:val="0"/>
          </w:rPr>
          <w:t>986- دیوان پروانه تفرشی أو شعره‏</w:t>
        </w:r>
        <w:r>
          <w:tab/>
        </w:r>
        <w:r>
          <w:fldChar w:fldCharType="begin"/>
        </w:r>
        <w:r>
          <w:instrText xml:space="preserve">PAGEREF 1209 \h</w:instrText>
        </w:r>
        <w:r>
          <w:fldChar w:fldCharType="end"/>
        </w:r>
      </w:hyperlink>
    </w:p>
    <w:p>
      <w:pPr>
        <w:tabs>
          <w:tab w:val="right" w:leader="dot" w:pos="9062"/>
        </w:tabs>
        <w:ind w:left="440"/>
      </w:pPr>
      <w:hyperlink w:anchor="_Toc1210" w:history="1">
        <w:r>
          <w:rPr>
            <w:rFonts w:ascii="IRNazanin" w:hAnsi="IRNazanin" w:eastAsia="IRNazanin" w:cs="IRNazanin"/>
            <w:color w:val="111111"/>
            <w:sz w:val="22"/>
            <w:szCs w:val="22"/>
            <w:b w:val="0"/>
            <w:bCs w:val="0"/>
            <w:i w:val="0"/>
            <w:iCs w:val="0"/>
          </w:rPr>
          <w:t>دیوان پروین اعتصامی‏</w:t>
        </w:r>
        <w:r>
          <w:tab/>
        </w:r>
        <w:r>
          <w:fldChar w:fldCharType="begin"/>
        </w:r>
        <w:r>
          <w:instrText xml:space="preserve">PAGEREF 1210 \h</w:instrText>
        </w:r>
        <w:r>
          <w:fldChar w:fldCharType="end"/>
        </w:r>
      </w:hyperlink>
    </w:p>
    <w:p>
      <w:pPr>
        <w:tabs>
          <w:tab w:val="right" w:leader="dot" w:pos="9062"/>
        </w:tabs>
        <w:ind w:left="440"/>
      </w:pPr>
      <w:hyperlink w:anchor="_Toc1211" w:history="1">
        <w:r>
          <w:rPr>
            <w:rFonts w:ascii="IRNazanin" w:hAnsi="IRNazanin" w:eastAsia="IRNazanin" w:cs="IRNazanin"/>
            <w:color w:val="111111"/>
            <w:sz w:val="22"/>
            <w:szCs w:val="22"/>
            <w:b w:val="0"/>
            <w:bCs w:val="0"/>
            <w:i w:val="0"/>
            <w:iCs w:val="0"/>
          </w:rPr>
          <w:t>987- دیوان پروین شیرازی أو شعره‏</w:t>
        </w:r>
        <w:r>
          <w:tab/>
        </w:r>
        <w:r>
          <w:fldChar w:fldCharType="begin"/>
        </w:r>
        <w:r>
          <w:instrText xml:space="preserve">PAGEREF 1211 \h</w:instrText>
        </w:r>
        <w:r>
          <w:fldChar w:fldCharType="end"/>
        </w:r>
      </w:hyperlink>
    </w:p>
    <w:p>
      <w:pPr>
        <w:tabs>
          <w:tab w:val="right" w:leader="dot" w:pos="9062"/>
        </w:tabs>
        <w:ind w:left="440"/>
      </w:pPr>
      <w:hyperlink w:anchor="_Toc1212" w:history="1">
        <w:r>
          <w:rPr>
            <w:rFonts w:ascii="IRNazanin" w:hAnsi="IRNazanin" w:eastAsia="IRNazanin" w:cs="IRNazanin"/>
            <w:color w:val="111111"/>
            <w:sz w:val="22"/>
            <w:szCs w:val="22"/>
            <w:b w:val="0"/>
            <w:bCs w:val="0"/>
            <w:i w:val="0"/>
            <w:iCs w:val="0"/>
          </w:rPr>
          <w:t>988- دیوان پروین طهرانی‏</w:t>
        </w:r>
        <w:r>
          <w:tab/>
        </w:r>
        <w:r>
          <w:fldChar w:fldCharType="begin"/>
        </w:r>
        <w:r>
          <w:instrText xml:space="preserve">PAGEREF 1212 \h</w:instrText>
        </w:r>
        <w:r>
          <w:fldChar w:fldCharType="end"/>
        </w:r>
      </w:hyperlink>
    </w:p>
    <w:p>
      <w:pPr>
        <w:tabs>
          <w:tab w:val="right" w:leader="dot" w:pos="9062"/>
        </w:tabs>
        <w:ind w:left="440"/>
      </w:pPr>
      <w:hyperlink w:anchor="_Toc1213" w:history="1">
        <w:r>
          <w:rPr>
            <w:rFonts w:ascii="IRNazanin" w:hAnsi="IRNazanin" w:eastAsia="IRNazanin" w:cs="IRNazanin"/>
            <w:color w:val="111111"/>
            <w:sz w:val="22"/>
            <w:szCs w:val="22"/>
            <w:b w:val="0"/>
            <w:bCs w:val="0"/>
            <w:i w:val="0"/>
            <w:iCs w:val="0"/>
          </w:rPr>
          <w:t>دیوان پروین همدانی‏</w:t>
        </w:r>
        <w:r>
          <w:tab/>
        </w:r>
        <w:r>
          <w:fldChar w:fldCharType="begin"/>
        </w:r>
        <w:r>
          <w:instrText xml:space="preserve">PAGEREF 1213 \h</w:instrText>
        </w:r>
        <w:r>
          <w:fldChar w:fldCharType="end"/>
        </w:r>
      </w:hyperlink>
    </w:p>
    <w:p>
      <w:pPr>
        <w:tabs>
          <w:tab w:val="right" w:leader="dot" w:pos="9062"/>
        </w:tabs>
        <w:ind w:left="440"/>
      </w:pPr>
      <w:hyperlink w:anchor="_Toc1214" w:history="1">
        <w:r>
          <w:rPr>
            <w:rFonts w:ascii="IRNazanin" w:hAnsi="IRNazanin" w:eastAsia="IRNazanin" w:cs="IRNazanin"/>
            <w:color w:val="111111"/>
            <w:sz w:val="22"/>
            <w:szCs w:val="22"/>
            <w:b w:val="0"/>
            <w:bCs w:val="0"/>
            <w:i w:val="0"/>
            <w:iCs w:val="0"/>
          </w:rPr>
          <w:t>989- دیوان پری بیک ترکمان أو شعرها</w:t>
        </w:r>
        <w:r>
          <w:tab/>
        </w:r>
        <w:r>
          <w:fldChar w:fldCharType="begin"/>
        </w:r>
        <w:r>
          <w:instrText xml:space="preserve">PAGEREF 1214 \h</w:instrText>
        </w:r>
        <w:r>
          <w:fldChar w:fldCharType="end"/>
        </w:r>
      </w:hyperlink>
    </w:p>
    <w:p>
      <w:pPr>
        <w:tabs>
          <w:tab w:val="right" w:leader="dot" w:pos="9062"/>
        </w:tabs>
        <w:ind w:left="440"/>
      </w:pPr>
      <w:hyperlink w:anchor="_Toc1215" w:history="1">
        <w:r>
          <w:rPr>
            <w:rFonts w:ascii="IRNazanin" w:hAnsi="IRNazanin" w:eastAsia="IRNazanin" w:cs="IRNazanin"/>
            <w:color w:val="111111"/>
            <w:sz w:val="22"/>
            <w:szCs w:val="22"/>
            <w:b w:val="0"/>
            <w:bCs w:val="0"/>
            <w:i w:val="0"/>
            <w:iCs w:val="0"/>
          </w:rPr>
          <w:t>990- دیوان پریشان شیرازی أو شعره‏</w:t>
        </w:r>
        <w:r>
          <w:tab/>
        </w:r>
        <w:r>
          <w:fldChar w:fldCharType="begin"/>
        </w:r>
        <w:r>
          <w:instrText xml:space="preserve">PAGEREF 1215 \h</w:instrText>
        </w:r>
        <w:r>
          <w:fldChar w:fldCharType="end"/>
        </w:r>
      </w:hyperlink>
    </w:p>
    <w:p>
      <w:pPr>
        <w:tabs>
          <w:tab w:val="right" w:leader="dot" w:pos="9062"/>
        </w:tabs>
        <w:ind w:left="440"/>
      </w:pPr>
      <w:hyperlink w:anchor="_Toc1216" w:history="1">
        <w:r>
          <w:rPr>
            <w:rFonts w:ascii="IRNazanin" w:hAnsi="IRNazanin" w:eastAsia="IRNazanin" w:cs="IRNazanin"/>
            <w:color w:val="111111"/>
            <w:sz w:val="22"/>
            <w:szCs w:val="22"/>
            <w:b w:val="0"/>
            <w:bCs w:val="0"/>
            <w:i w:val="0"/>
            <w:iCs w:val="0"/>
          </w:rPr>
          <w:t>991- دیوان پریشان کرد</w:t>
        </w:r>
        <w:r>
          <w:tab/>
        </w:r>
        <w:r>
          <w:fldChar w:fldCharType="begin"/>
        </w:r>
        <w:r>
          <w:instrText xml:space="preserve">PAGEREF 1216 \h</w:instrText>
        </w:r>
        <w:r>
          <w:fldChar w:fldCharType="end"/>
        </w:r>
      </w:hyperlink>
    </w:p>
    <w:p>
      <w:pPr>
        <w:tabs>
          <w:tab w:val="right" w:leader="dot" w:pos="9062"/>
        </w:tabs>
        <w:ind w:left="440"/>
      </w:pPr>
      <w:hyperlink w:anchor="_Toc1217" w:history="1">
        <w:r>
          <w:rPr>
            <w:rFonts w:ascii="IRNazanin" w:hAnsi="IRNazanin" w:eastAsia="IRNazanin" w:cs="IRNazanin"/>
            <w:color w:val="111111"/>
            <w:sz w:val="22"/>
            <w:szCs w:val="22"/>
            <w:b w:val="0"/>
            <w:bCs w:val="0"/>
            <w:i w:val="0"/>
            <w:iCs w:val="0"/>
          </w:rPr>
          <w:t>992- دیوان پریشان یزدی أو شعره‏</w:t>
        </w:r>
        <w:r>
          <w:tab/>
        </w:r>
        <w:r>
          <w:fldChar w:fldCharType="begin"/>
        </w:r>
        <w:r>
          <w:instrText xml:space="preserve">PAGEREF 1217 \h</w:instrText>
        </w:r>
        <w:r>
          <w:fldChar w:fldCharType="end"/>
        </w:r>
      </w:hyperlink>
    </w:p>
    <w:p>
      <w:pPr>
        <w:tabs>
          <w:tab w:val="right" w:leader="dot" w:pos="9062"/>
        </w:tabs>
        <w:ind w:left="440"/>
      </w:pPr>
      <w:hyperlink w:anchor="_Toc1218" w:history="1">
        <w:r>
          <w:rPr>
            <w:rFonts w:ascii="IRNazanin" w:hAnsi="IRNazanin" w:eastAsia="IRNazanin" w:cs="IRNazanin"/>
            <w:color w:val="111111"/>
            <w:sz w:val="22"/>
            <w:szCs w:val="22"/>
            <w:b w:val="0"/>
            <w:bCs w:val="0"/>
            <w:i w:val="0"/>
            <w:iCs w:val="0"/>
          </w:rPr>
          <w:t>993- دیوان پژمان بختیاری‏</w:t>
        </w:r>
        <w:r>
          <w:tab/>
        </w:r>
        <w:r>
          <w:fldChar w:fldCharType="begin"/>
        </w:r>
        <w:r>
          <w:instrText xml:space="preserve">PAGEREF 1218 \h</w:instrText>
        </w:r>
        <w:r>
          <w:fldChar w:fldCharType="end"/>
        </w:r>
      </w:hyperlink>
    </w:p>
    <w:p>
      <w:pPr>
        <w:tabs>
          <w:tab w:val="right" w:leader="dot" w:pos="9062"/>
        </w:tabs>
        <w:ind w:left="440"/>
      </w:pPr>
      <w:hyperlink w:anchor="_Toc1219" w:history="1">
        <w:r>
          <w:rPr>
            <w:rFonts w:ascii="IRNazanin" w:hAnsi="IRNazanin" w:eastAsia="IRNazanin" w:cs="IRNazanin"/>
            <w:color w:val="111111"/>
            <w:sz w:val="22"/>
            <w:szCs w:val="22"/>
            <w:b w:val="0"/>
            <w:bCs w:val="0"/>
            <w:i w:val="0"/>
            <w:iCs w:val="0"/>
          </w:rPr>
          <w:t>994- دیوان‏پژوهی یزدی أو شعره‏</w:t>
        </w:r>
        <w:r>
          <w:tab/>
        </w:r>
        <w:r>
          <w:fldChar w:fldCharType="begin"/>
        </w:r>
        <w:r>
          <w:instrText xml:space="preserve">PAGEREF 1219 \h</w:instrText>
        </w:r>
        <w:r>
          <w:fldChar w:fldCharType="end"/>
        </w:r>
      </w:hyperlink>
    </w:p>
    <w:p>
      <w:pPr>
        <w:tabs>
          <w:tab w:val="right" w:leader="dot" w:pos="9062"/>
        </w:tabs>
        <w:ind w:left="440"/>
      </w:pPr>
      <w:hyperlink w:anchor="_Toc1220" w:history="1">
        <w:r>
          <w:rPr>
            <w:rFonts w:ascii="IRNazanin" w:hAnsi="IRNazanin" w:eastAsia="IRNazanin" w:cs="IRNazanin"/>
            <w:color w:val="111111"/>
            <w:sz w:val="22"/>
            <w:szCs w:val="22"/>
            <w:b w:val="0"/>
            <w:bCs w:val="0"/>
            <w:i w:val="0"/>
            <w:iCs w:val="0"/>
          </w:rPr>
          <w:t>995- دیوان پناه دهلوی أو شعره‏</w:t>
        </w:r>
        <w:r>
          <w:tab/>
        </w:r>
        <w:r>
          <w:fldChar w:fldCharType="begin"/>
        </w:r>
        <w:r>
          <w:instrText xml:space="preserve">PAGEREF 1220 \h</w:instrText>
        </w:r>
        <w:r>
          <w:fldChar w:fldCharType="end"/>
        </w:r>
      </w:hyperlink>
    </w:p>
    <w:p>
      <w:pPr>
        <w:tabs>
          <w:tab w:val="right" w:leader="dot" w:pos="9062"/>
        </w:tabs>
        <w:ind w:left="440"/>
      </w:pPr>
      <w:hyperlink w:anchor="_Toc1221" w:history="1">
        <w:r>
          <w:rPr>
            <w:rFonts w:ascii="IRNazanin" w:hAnsi="IRNazanin" w:eastAsia="IRNazanin" w:cs="IRNazanin"/>
            <w:color w:val="111111"/>
            <w:sz w:val="22"/>
            <w:szCs w:val="22"/>
            <w:b w:val="0"/>
            <w:bCs w:val="0"/>
            <w:i w:val="0"/>
            <w:iCs w:val="0"/>
          </w:rPr>
          <w:t>996- دیوان پناهی دارابجردی‏</w:t>
        </w:r>
        <w:r>
          <w:tab/>
        </w:r>
        <w:r>
          <w:fldChar w:fldCharType="begin"/>
        </w:r>
        <w:r>
          <w:instrText xml:space="preserve">PAGEREF 1221 \h</w:instrText>
        </w:r>
        <w:r>
          <w:fldChar w:fldCharType="end"/>
        </w:r>
      </w:hyperlink>
    </w:p>
    <w:p>
      <w:pPr>
        <w:tabs>
          <w:tab w:val="right" w:leader="dot" w:pos="9062"/>
        </w:tabs>
        <w:ind w:left="440"/>
      </w:pPr>
      <w:hyperlink w:anchor="_Toc1222" w:history="1">
        <w:r>
          <w:rPr>
            <w:rFonts w:ascii="IRNazanin" w:hAnsi="IRNazanin" w:eastAsia="IRNazanin" w:cs="IRNazanin"/>
            <w:color w:val="111111"/>
            <w:sz w:val="22"/>
            <w:szCs w:val="22"/>
            <w:b w:val="0"/>
            <w:bCs w:val="0"/>
            <w:i w:val="0"/>
            <w:iCs w:val="0"/>
          </w:rPr>
          <w:t>997- دیوان پناهی همدانی أو شعره‏</w:t>
        </w:r>
        <w:r>
          <w:tab/>
        </w:r>
        <w:r>
          <w:fldChar w:fldCharType="begin"/>
        </w:r>
        <w:r>
          <w:instrText xml:space="preserve">PAGEREF 1222 \h</w:instrText>
        </w:r>
        <w:r>
          <w:fldChar w:fldCharType="end"/>
        </w:r>
      </w:hyperlink>
    </w:p>
    <w:p>
      <w:pPr>
        <w:tabs>
          <w:tab w:val="right" w:leader="dot" w:pos="9062"/>
        </w:tabs>
        <w:ind w:left="440"/>
      </w:pPr>
      <w:hyperlink w:anchor="_Toc1223" w:history="1">
        <w:r>
          <w:rPr>
            <w:rFonts w:ascii="IRNazanin" w:hAnsi="IRNazanin" w:eastAsia="IRNazanin" w:cs="IRNazanin"/>
            <w:color w:val="111111"/>
            <w:sz w:val="22"/>
            <w:szCs w:val="22"/>
            <w:b w:val="0"/>
            <w:bCs w:val="0"/>
            <w:i w:val="0"/>
            <w:iCs w:val="0"/>
          </w:rPr>
          <w:t>دیوان پندار رازی‏</w:t>
        </w:r>
        <w:r>
          <w:tab/>
        </w:r>
        <w:r>
          <w:fldChar w:fldCharType="begin"/>
        </w:r>
        <w:r>
          <w:instrText xml:space="preserve">PAGEREF 1223 \h</w:instrText>
        </w:r>
        <w:r>
          <w:fldChar w:fldCharType="end"/>
        </w:r>
      </w:hyperlink>
    </w:p>
    <w:p>
      <w:pPr>
        <w:tabs>
          <w:tab w:val="right" w:leader="dot" w:pos="9062"/>
        </w:tabs>
        <w:ind w:left="440"/>
      </w:pPr>
      <w:hyperlink w:anchor="_Toc1224" w:history="1">
        <w:r>
          <w:rPr>
            <w:rFonts w:ascii="IRNazanin" w:hAnsi="IRNazanin" w:eastAsia="IRNazanin" w:cs="IRNazanin"/>
            <w:color w:val="111111"/>
            <w:sz w:val="22"/>
            <w:szCs w:val="22"/>
            <w:b w:val="0"/>
            <w:bCs w:val="0"/>
            <w:i w:val="0"/>
            <w:iCs w:val="0"/>
          </w:rPr>
          <w:t>دیوان پورانی‏</w:t>
        </w:r>
        <w:r>
          <w:tab/>
        </w:r>
        <w:r>
          <w:fldChar w:fldCharType="begin"/>
        </w:r>
        <w:r>
          <w:instrText xml:space="preserve">PAGEREF 1224 \h</w:instrText>
        </w:r>
        <w:r>
          <w:fldChar w:fldCharType="end"/>
        </w:r>
      </w:hyperlink>
    </w:p>
    <w:p>
      <w:pPr>
        <w:tabs>
          <w:tab w:val="right" w:leader="dot" w:pos="9062"/>
        </w:tabs>
        <w:ind w:left="440"/>
      </w:pPr>
      <w:hyperlink w:anchor="_Toc1225" w:history="1">
        <w:r>
          <w:rPr>
            <w:rFonts w:ascii="IRNazanin" w:hAnsi="IRNazanin" w:eastAsia="IRNazanin" w:cs="IRNazanin"/>
            <w:color w:val="111111"/>
            <w:sz w:val="22"/>
            <w:szCs w:val="22"/>
            <w:b w:val="0"/>
            <w:bCs w:val="0"/>
            <w:i w:val="0"/>
            <w:iCs w:val="0"/>
          </w:rPr>
          <w:t>دیوان پوربهای إسفزاری‏</w:t>
        </w:r>
        <w:r>
          <w:tab/>
        </w:r>
        <w:r>
          <w:fldChar w:fldCharType="begin"/>
        </w:r>
        <w:r>
          <w:instrText xml:space="preserve">PAGEREF 1225 \h</w:instrText>
        </w:r>
        <w:r>
          <w:fldChar w:fldCharType="end"/>
        </w:r>
      </w:hyperlink>
    </w:p>
    <w:p>
      <w:pPr>
        <w:tabs>
          <w:tab w:val="right" w:leader="dot" w:pos="9062"/>
        </w:tabs>
        <w:ind w:left="440"/>
      </w:pPr>
      <w:hyperlink w:anchor="_Toc1226" w:history="1">
        <w:r>
          <w:rPr>
            <w:rFonts w:ascii="IRNazanin" w:hAnsi="IRNazanin" w:eastAsia="IRNazanin" w:cs="IRNazanin"/>
            <w:color w:val="111111"/>
            <w:sz w:val="22"/>
            <w:szCs w:val="22"/>
            <w:b w:val="0"/>
            <w:bCs w:val="0"/>
            <w:i w:val="0"/>
            <w:iCs w:val="0"/>
          </w:rPr>
          <w:t>998- دیوان پوربهای جامی‏</w:t>
        </w:r>
        <w:r>
          <w:tab/>
        </w:r>
        <w:r>
          <w:fldChar w:fldCharType="begin"/>
        </w:r>
        <w:r>
          <w:instrText xml:space="preserve">PAGEREF 1226 \h</w:instrText>
        </w:r>
        <w:r>
          <w:fldChar w:fldCharType="end"/>
        </w:r>
      </w:hyperlink>
    </w:p>
    <w:p>
      <w:pPr>
        <w:tabs>
          <w:tab w:val="right" w:leader="dot" w:pos="9062"/>
        </w:tabs>
        <w:ind w:left="440"/>
      </w:pPr>
      <w:hyperlink w:anchor="_Toc1227" w:history="1">
        <w:r>
          <w:rPr>
            <w:rFonts w:ascii="IRNazanin" w:hAnsi="IRNazanin" w:eastAsia="IRNazanin" w:cs="IRNazanin"/>
            <w:color w:val="111111"/>
            <w:sz w:val="22"/>
            <w:szCs w:val="22"/>
            <w:b w:val="0"/>
            <w:bCs w:val="0"/>
            <w:i w:val="0"/>
            <w:iCs w:val="0"/>
          </w:rPr>
          <w:t>999- دیوان پورحسن أسفراینی‏</w:t>
        </w:r>
        <w:r>
          <w:tab/>
        </w:r>
        <w:r>
          <w:fldChar w:fldCharType="begin"/>
        </w:r>
        <w:r>
          <w:instrText xml:space="preserve">PAGEREF 1227 \h</w:instrText>
        </w:r>
        <w:r>
          <w:fldChar w:fldCharType="end"/>
        </w:r>
      </w:hyperlink>
    </w:p>
    <w:p>
      <w:pPr>
        <w:tabs>
          <w:tab w:val="right" w:leader="dot" w:pos="9062"/>
        </w:tabs>
        <w:ind w:left="440"/>
      </w:pPr>
      <w:hyperlink w:anchor="_Toc1228" w:history="1">
        <w:r>
          <w:rPr>
            <w:rFonts w:ascii="IRNazanin" w:hAnsi="IRNazanin" w:eastAsia="IRNazanin" w:cs="IRNazanin"/>
            <w:color w:val="111111"/>
            <w:sz w:val="22"/>
            <w:szCs w:val="22"/>
            <w:b w:val="0"/>
            <w:bCs w:val="0"/>
            <w:i w:val="0"/>
            <w:iCs w:val="0"/>
          </w:rPr>
          <w:t>1000- دیوان پورداود</w:t>
        </w:r>
        <w:r>
          <w:tab/>
        </w:r>
        <w:r>
          <w:fldChar w:fldCharType="begin"/>
        </w:r>
        <w:r>
          <w:instrText xml:space="preserve">PAGEREF 1228 \h</w:instrText>
        </w:r>
        <w:r>
          <w:fldChar w:fldCharType="end"/>
        </w:r>
      </w:hyperlink>
    </w:p>
    <w:p>
      <w:pPr>
        <w:tabs>
          <w:tab w:val="right" w:leader="dot" w:pos="9062"/>
        </w:tabs>
        <w:ind w:left="440"/>
      </w:pPr>
      <w:hyperlink w:anchor="_Toc1229" w:history="1">
        <w:r>
          <w:rPr>
            <w:rFonts w:ascii="IRNazanin" w:hAnsi="IRNazanin" w:eastAsia="IRNazanin" w:cs="IRNazanin"/>
            <w:color w:val="111111"/>
            <w:sz w:val="22"/>
            <w:szCs w:val="22"/>
            <w:b w:val="0"/>
            <w:bCs w:val="0"/>
            <w:i w:val="0"/>
            <w:iCs w:val="0"/>
          </w:rPr>
          <w:t>1001- دیوان پورفریدون شیرازی أو شعره‏</w:t>
        </w:r>
        <w:r>
          <w:tab/>
        </w:r>
        <w:r>
          <w:fldChar w:fldCharType="begin"/>
        </w:r>
        <w:r>
          <w:instrText xml:space="preserve">PAGEREF 1229 \h</w:instrText>
        </w:r>
        <w:r>
          <w:fldChar w:fldCharType="end"/>
        </w:r>
      </w:hyperlink>
    </w:p>
    <w:p>
      <w:pPr>
        <w:tabs>
          <w:tab w:val="right" w:leader="dot" w:pos="9062"/>
        </w:tabs>
        <w:ind w:left="440"/>
      </w:pPr>
      <w:hyperlink w:anchor="_Toc1230" w:history="1">
        <w:r>
          <w:rPr>
            <w:rFonts w:ascii="IRNazanin" w:hAnsi="IRNazanin" w:eastAsia="IRNazanin" w:cs="IRNazanin"/>
            <w:color w:val="111111"/>
            <w:sz w:val="22"/>
            <w:szCs w:val="22"/>
            <w:b w:val="0"/>
            <w:bCs w:val="0"/>
            <w:i w:val="0"/>
            <w:iCs w:val="0"/>
          </w:rPr>
          <w:t>1002- دیوان پوریا ولی‏</w:t>
        </w:r>
        <w:r>
          <w:tab/>
        </w:r>
        <w:r>
          <w:fldChar w:fldCharType="begin"/>
        </w:r>
        <w:r>
          <w:instrText xml:space="preserve">PAGEREF 1230 \h</w:instrText>
        </w:r>
        <w:r>
          <w:fldChar w:fldCharType="end"/>
        </w:r>
      </w:hyperlink>
    </w:p>
    <w:p>
      <w:pPr>
        <w:tabs>
          <w:tab w:val="right" w:leader="dot" w:pos="9062"/>
        </w:tabs>
        <w:ind w:left="440"/>
      </w:pPr>
      <w:hyperlink w:anchor="_Toc1231" w:history="1">
        <w:r>
          <w:rPr>
            <w:rFonts w:ascii="IRNazanin" w:hAnsi="IRNazanin" w:eastAsia="IRNazanin" w:cs="IRNazanin"/>
            <w:color w:val="111111"/>
            <w:sz w:val="22"/>
            <w:szCs w:val="22"/>
            <w:b w:val="0"/>
            <w:bCs w:val="0"/>
            <w:i w:val="0"/>
            <w:iCs w:val="0"/>
          </w:rPr>
          <w:t>1003- دیوان پوست‏فروش همدانی أو شعره‏</w:t>
        </w:r>
        <w:r>
          <w:tab/>
        </w:r>
        <w:r>
          <w:fldChar w:fldCharType="begin"/>
        </w:r>
        <w:r>
          <w:instrText xml:space="preserve">PAGEREF 1231 \h</w:instrText>
        </w:r>
        <w:r>
          <w:fldChar w:fldCharType="end"/>
        </w:r>
      </w:hyperlink>
    </w:p>
    <w:p>
      <w:pPr>
        <w:tabs>
          <w:tab w:val="right" w:leader="dot" w:pos="9062"/>
        </w:tabs>
        <w:ind w:left="440"/>
      </w:pPr>
      <w:hyperlink w:anchor="_Toc1232" w:history="1">
        <w:r>
          <w:rPr>
            <w:rFonts w:ascii="IRNazanin" w:hAnsi="IRNazanin" w:eastAsia="IRNazanin" w:cs="IRNazanin"/>
            <w:color w:val="111111"/>
            <w:sz w:val="22"/>
            <w:szCs w:val="22"/>
            <w:b w:val="0"/>
            <w:bCs w:val="0"/>
            <w:i w:val="0"/>
            <w:iCs w:val="0"/>
          </w:rPr>
          <w:t>دیوان پهلوان حسین‏</w:t>
        </w:r>
        <w:r>
          <w:tab/>
        </w:r>
        <w:r>
          <w:fldChar w:fldCharType="begin"/>
        </w:r>
        <w:r>
          <w:instrText xml:space="preserve">PAGEREF 1232 \h</w:instrText>
        </w:r>
        <w:r>
          <w:fldChar w:fldCharType="end"/>
        </w:r>
      </w:hyperlink>
    </w:p>
    <w:p>
      <w:pPr>
        <w:tabs>
          <w:tab w:val="right" w:leader="dot" w:pos="9062"/>
        </w:tabs>
        <w:ind w:left="440"/>
      </w:pPr>
      <w:hyperlink w:anchor="_Toc1233" w:history="1">
        <w:r>
          <w:rPr>
            <w:rFonts w:ascii="IRNazanin" w:hAnsi="IRNazanin" w:eastAsia="IRNazanin" w:cs="IRNazanin"/>
            <w:color w:val="111111"/>
            <w:sz w:val="22"/>
            <w:szCs w:val="22"/>
            <w:b w:val="0"/>
            <w:bCs w:val="0"/>
            <w:i w:val="0"/>
            <w:iCs w:val="0"/>
          </w:rPr>
          <w:t>1004- دیوان پهلوان کاتب أو شعره‏</w:t>
        </w:r>
        <w:r>
          <w:tab/>
        </w:r>
        <w:r>
          <w:fldChar w:fldCharType="begin"/>
        </w:r>
        <w:r>
          <w:instrText xml:space="preserve">PAGEREF 1233 \h</w:instrText>
        </w:r>
        <w:r>
          <w:fldChar w:fldCharType="end"/>
        </w:r>
      </w:hyperlink>
    </w:p>
    <w:p>
      <w:pPr>
        <w:tabs>
          <w:tab w:val="right" w:leader="dot" w:pos="9062"/>
        </w:tabs>
        <w:ind w:left="440"/>
      </w:pPr>
      <w:hyperlink w:anchor="_Toc1234" w:history="1">
        <w:r>
          <w:rPr>
            <w:rFonts w:ascii="IRNazanin" w:hAnsi="IRNazanin" w:eastAsia="IRNazanin" w:cs="IRNazanin"/>
            <w:color w:val="111111"/>
            <w:sz w:val="22"/>
            <w:szCs w:val="22"/>
            <w:b w:val="0"/>
            <w:bCs w:val="0"/>
            <w:i w:val="0"/>
            <w:iCs w:val="0"/>
          </w:rPr>
          <w:t>1005- دیوان دیوان پهلوان محمد أبو سعید أو شعره‏</w:t>
        </w:r>
        <w:r>
          <w:tab/>
        </w:r>
        <w:r>
          <w:fldChar w:fldCharType="begin"/>
        </w:r>
        <w:r>
          <w:instrText xml:space="preserve">PAGEREF 1234 \h</w:instrText>
        </w:r>
        <w:r>
          <w:fldChar w:fldCharType="end"/>
        </w:r>
      </w:hyperlink>
    </w:p>
    <w:p>
      <w:pPr>
        <w:tabs>
          <w:tab w:val="right" w:leader="dot" w:pos="9062"/>
        </w:tabs>
        <w:ind w:left="440"/>
      </w:pPr>
      <w:hyperlink w:anchor="_Toc1235" w:history="1">
        <w:r>
          <w:rPr>
            <w:rFonts w:ascii="IRNazanin" w:hAnsi="IRNazanin" w:eastAsia="IRNazanin" w:cs="IRNazanin"/>
            <w:color w:val="111111"/>
            <w:sz w:val="22"/>
            <w:szCs w:val="22"/>
            <w:b w:val="0"/>
            <w:bCs w:val="0"/>
            <w:i w:val="0"/>
            <w:iCs w:val="0"/>
          </w:rPr>
          <w:t>دیوان پهلوان یزدی‏</w:t>
        </w:r>
        <w:r>
          <w:tab/>
        </w:r>
        <w:r>
          <w:fldChar w:fldCharType="begin"/>
        </w:r>
        <w:r>
          <w:instrText xml:space="preserve">PAGEREF 1235 \h</w:instrText>
        </w:r>
        <w:r>
          <w:fldChar w:fldCharType="end"/>
        </w:r>
      </w:hyperlink>
    </w:p>
    <w:p>
      <w:pPr>
        <w:tabs>
          <w:tab w:val="right" w:leader="dot" w:pos="9062"/>
        </w:tabs>
        <w:ind w:left="440"/>
      </w:pPr>
      <w:hyperlink w:anchor="_Toc1236" w:history="1">
        <w:r>
          <w:rPr>
            <w:rFonts w:ascii="IRNazanin" w:hAnsi="IRNazanin" w:eastAsia="IRNazanin" w:cs="IRNazanin"/>
            <w:color w:val="111111"/>
            <w:sz w:val="22"/>
            <w:szCs w:val="22"/>
            <w:b w:val="0"/>
            <w:bCs w:val="0"/>
            <w:i w:val="0"/>
            <w:iCs w:val="0"/>
          </w:rPr>
          <w:t>1006- دیوان پیاره گجراتی أو شعره‏</w:t>
        </w:r>
        <w:r>
          <w:tab/>
        </w:r>
        <w:r>
          <w:fldChar w:fldCharType="begin"/>
        </w:r>
        <w:r>
          <w:instrText xml:space="preserve">PAGEREF 1236 \h</w:instrText>
        </w:r>
        <w:r>
          <w:fldChar w:fldCharType="end"/>
        </w:r>
      </w:hyperlink>
    </w:p>
    <w:p>
      <w:pPr>
        <w:tabs>
          <w:tab w:val="right" w:leader="dot" w:pos="9062"/>
        </w:tabs>
        <w:ind w:left="440"/>
      </w:pPr>
      <w:hyperlink w:anchor="_Toc1237" w:history="1">
        <w:r>
          <w:rPr>
            <w:rFonts w:ascii="IRNazanin" w:hAnsi="IRNazanin" w:eastAsia="IRNazanin" w:cs="IRNazanin"/>
            <w:color w:val="111111"/>
            <w:sz w:val="22"/>
            <w:szCs w:val="22"/>
            <w:b w:val="0"/>
            <w:bCs w:val="0"/>
            <w:i w:val="0"/>
            <w:iCs w:val="0"/>
          </w:rPr>
          <w:t>1007- دیوان پیامی شیرازی أو شعره‏</w:t>
        </w:r>
        <w:r>
          <w:tab/>
        </w:r>
        <w:r>
          <w:fldChar w:fldCharType="begin"/>
        </w:r>
        <w:r>
          <w:instrText xml:space="preserve">PAGEREF 1237 \h</w:instrText>
        </w:r>
        <w:r>
          <w:fldChar w:fldCharType="end"/>
        </w:r>
      </w:hyperlink>
    </w:p>
    <w:p>
      <w:pPr>
        <w:tabs>
          <w:tab w:val="right" w:leader="dot" w:pos="9062"/>
        </w:tabs>
        <w:ind w:left="440"/>
      </w:pPr>
      <w:hyperlink w:anchor="_Toc1238" w:history="1">
        <w:r>
          <w:rPr>
            <w:rFonts w:ascii="IRNazanin" w:hAnsi="IRNazanin" w:eastAsia="IRNazanin" w:cs="IRNazanin"/>
            <w:color w:val="111111"/>
            <w:sz w:val="22"/>
            <w:szCs w:val="22"/>
            <w:b w:val="0"/>
            <w:bCs w:val="0"/>
            <w:i w:val="0"/>
            <w:iCs w:val="0"/>
          </w:rPr>
          <w:t>1008- دیوان پیامی جبل عاملی‏</w:t>
        </w:r>
        <w:r>
          <w:tab/>
        </w:r>
        <w:r>
          <w:fldChar w:fldCharType="begin"/>
        </w:r>
        <w:r>
          <w:instrText xml:space="preserve">PAGEREF 1238 \h</w:instrText>
        </w:r>
        <w:r>
          <w:fldChar w:fldCharType="end"/>
        </w:r>
      </w:hyperlink>
    </w:p>
    <w:p>
      <w:pPr>
        <w:tabs>
          <w:tab w:val="right" w:leader="dot" w:pos="9062"/>
        </w:tabs>
        <w:ind w:left="440"/>
      </w:pPr>
      <w:hyperlink w:anchor="_Toc1239" w:history="1">
        <w:r>
          <w:rPr>
            <w:rFonts w:ascii="IRNazanin" w:hAnsi="IRNazanin" w:eastAsia="IRNazanin" w:cs="IRNazanin"/>
            <w:color w:val="111111"/>
            <w:sz w:val="22"/>
            <w:szCs w:val="22"/>
            <w:b w:val="0"/>
            <w:bCs w:val="0"/>
            <w:i w:val="0"/>
            <w:iCs w:val="0"/>
          </w:rPr>
          <w:t>دیوان پیامی لاری‏</w:t>
        </w:r>
        <w:r>
          <w:tab/>
        </w:r>
        <w:r>
          <w:fldChar w:fldCharType="begin"/>
        </w:r>
        <w:r>
          <w:instrText xml:space="preserve">PAGEREF 1239 \h</w:instrText>
        </w:r>
        <w:r>
          <w:fldChar w:fldCharType="end"/>
        </w:r>
      </w:hyperlink>
    </w:p>
    <w:p>
      <w:pPr>
        <w:tabs>
          <w:tab w:val="right" w:leader="dot" w:pos="9062"/>
        </w:tabs>
        <w:ind w:left="440"/>
      </w:pPr>
      <w:hyperlink w:anchor="_Toc1240" w:history="1">
        <w:r>
          <w:rPr>
            <w:rFonts w:ascii="IRNazanin" w:hAnsi="IRNazanin" w:eastAsia="IRNazanin" w:cs="IRNazanin"/>
            <w:color w:val="111111"/>
            <w:sz w:val="22"/>
            <w:szCs w:val="22"/>
            <w:b w:val="0"/>
            <w:bCs w:val="0"/>
            <w:i w:val="0"/>
            <w:iCs w:val="0"/>
          </w:rPr>
          <w:t>1009- دیوان پیامی مروی أو شعره‏</w:t>
        </w:r>
        <w:r>
          <w:tab/>
        </w:r>
        <w:r>
          <w:fldChar w:fldCharType="begin"/>
        </w:r>
        <w:r>
          <w:instrText xml:space="preserve">PAGEREF 1240 \h</w:instrText>
        </w:r>
        <w:r>
          <w:fldChar w:fldCharType="end"/>
        </w:r>
      </w:hyperlink>
    </w:p>
    <w:p>
      <w:pPr>
        <w:tabs>
          <w:tab w:val="right" w:leader="dot" w:pos="9062"/>
        </w:tabs>
        <w:ind w:left="440"/>
      </w:pPr>
      <w:hyperlink w:anchor="_Toc1241" w:history="1">
        <w:r>
          <w:rPr>
            <w:rFonts w:ascii="IRNazanin" w:hAnsi="IRNazanin" w:eastAsia="IRNazanin" w:cs="IRNazanin"/>
            <w:color w:val="111111"/>
            <w:sz w:val="22"/>
            <w:szCs w:val="22"/>
            <w:b w:val="0"/>
            <w:bCs w:val="0"/>
            <w:i w:val="0"/>
            <w:iCs w:val="0"/>
          </w:rPr>
          <w:t>1010- دیوان پیدا أصفهانی أو شعره‏</w:t>
        </w:r>
        <w:r>
          <w:tab/>
        </w:r>
        <w:r>
          <w:fldChar w:fldCharType="begin"/>
        </w:r>
        <w:r>
          <w:instrText xml:space="preserve">PAGEREF 1241 \h</w:instrText>
        </w:r>
        <w:r>
          <w:fldChar w:fldCharType="end"/>
        </w:r>
      </w:hyperlink>
    </w:p>
    <w:p>
      <w:pPr>
        <w:tabs>
          <w:tab w:val="right" w:leader="dot" w:pos="9062"/>
        </w:tabs>
        <w:ind w:left="440"/>
      </w:pPr>
      <w:hyperlink w:anchor="_Toc1242" w:history="1">
        <w:r>
          <w:rPr>
            <w:rFonts w:ascii="IRNazanin" w:hAnsi="IRNazanin" w:eastAsia="IRNazanin" w:cs="IRNazanin"/>
            <w:color w:val="111111"/>
            <w:sz w:val="22"/>
            <w:szCs w:val="22"/>
            <w:b w:val="0"/>
            <w:bCs w:val="0"/>
            <w:i w:val="0"/>
            <w:iCs w:val="0"/>
          </w:rPr>
          <w:t>دیوان پیر أردستانی‏</w:t>
        </w:r>
        <w:r>
          <w:tab/>
        </w:r>
        <w:r>
          <w:fldChar w:fldCharType="begin"/>
        </w:r>
        <w:r>
          <w:instrText xml:space="preserve">PAGEREF 1242 \h</w:instrText>
        </w:r>
        <w:r>
          <w:fldChar w:fldCharType="end"/>
        </w:r>
      </w:hyperlink>
    </w:p>
    <w:p>
      <w:pPr>
        <w:tabs>
          <w:tab w:val="right" w:leader="dot" w:pos="9062"/>
        </w:tabs>
        <w:ind w:left="440"/>
      </w:pPr>
      <w:hyperlink w:anchor="_Toc1243" w:history="1">
        <w:r>
          <w:rPr>
            <w:rFonts w:ascii="IRNazanin" w:hAnsi="IRNazanin" w:eastAsia="IRNazanin" w:cs="IRNazanin"/>
            <w:color w:val="111111"/>
            <w:sz w:val="22"/>
            <w:szCs w:val="22"/>
            <w:b w:val="0"/>
            <w:bCs w:val="0"/>
            <w:i w:val="0"/>
            <w:iCs w:val="0"/>
          </w:rPr>
          <w:t>دیوان پیر جامی‏</w:t>
        </w:r>
        <w:r>
          <w:tab/>
        </w:r>
        <w:r>
          <w:fldChar w:fldCharType="begin"/>
        </w:r>
        <w:r>
          <w:instrText xml:space="preserve">PAGEREF 1243 \h</w:instrText>
        </w:r>
        <w:r>
          <w:fldChar w:fldCharType="end"/>
        </w:r>
      </w:hyperlink>
    </w:p>
    <w:p>
      <w:pPr>
        <w:tabs>
          <w:tab w:val="right" w:leader="dot" w:pos="9062"/>
        </w:tabs>
        <w:ind w:left="440"/>
      </w:pPr>
      <w:hyperlink w:anchor="_Toc1244" w:history="1">
        <w:r>
          <w:rPr>
            <w:rFonts w:ascii="IRNazanin" w:hAnsi="IRNazanin" w:eastAsia="IRNazanin" w:cs="IRNazanin"/>
            <w:color w:val="111111"/>
            <w:sz w:val="22"/>
            <w:szCs w:val="22"/>
            <w:b w:val="0"/>
            <w:bCs w:val="0"/>
            <w:i w:val="0"/>
            <w:iCs w:val="0"/>
          </w:rPr>
          <w:t>1011- دیوان پیر جمال أردستانی‏</w:t>
        </w:r>
        <w:r>
          <w:tab/>
        </w:r>
        <w:r>
          <w:fldChar w:fldCharType="begin"/>
        </w:r>
        <w:r>
          <w:instrText xml:space="preserve">PAGEREF 1244 \h</w:instrText>
        </w:r>
        <w:r>
          <w:fldChar w:fldCharType="end"/>
        </w:r>
      </w:hyperlink>
    </w:p>
    <w:p>
      <w:pPr>
        <w:tabs>
          <w:tab w:val="right" w:leader="dot" w:pos="9062"/>
        </w:tabs>
        <w:ind w:left="440"/>
      </w:pPr>
      <w:hyperlink w:anchor="_Toc1245" w:history="1">
        <w:r>
          <w:rPr>
            <w:rFonts w:ascii="IRNazanin" w:hAnsi="IRNazanin" w:eastAsia="IRNazanin" w:cs="IRNazanin"/>
            <w:color w:val="111111"/>
            <w:sz w:val="22"/>
            <w:szCs w:val="22"/>
            <w:b w:val="0"/>
            <w:bCs w:val="0"/>
            <w:i w:val="0"/>
            <w:iCs w:val="0"/>
          </w:rPr>
          <w:t>دیوان پیر درویش‏</w:t>
        </w:r>
        <w:r>
          <w:tab/>
        </w:r>
        <w:r>
          <w:fldChar w:fldCharType="begin"/>
        </w:r>
        <w:r>
          <w:instrText xml:space="preserve">PAGEREF 1245 \h</w:instrText>
        </w:r>
        <w:r>
          <w:fldChar w:fldCharType="end"/>
        </w:r>
      </w:hyperlink>
    </w:p>
    <w:p>
      <w:pPr>
        <w:tabs>
          <w:tab w:val="right" w:leader="dot" w:pos="9062"/>
        </w:tabs>
        <w:ind w:left="440"/>
      </w:pPr>
      <w:hyperlink w:anchor="_Toc1246" w:history="1">
        <w:r>
          <w:rPr>
            <w:rFonts w:ascii="IRNazanin" w:hAnsi="IRNazanin" w:eastAsia="IRNazanin" w:cs="IRNazanin"/>
            <w:color w:val="111111"/>
            <w:sz w:val="22"/>
            <w:szCs w:val="22"/>
            <w:b w:val="0"/>
            <w:bCs w:val="0"/>
            <w:i w:val="0"/>
            <w:iCs w:val="0"/>
          </w:rPr>
          <w:t>1012- دیوان پیر سلیمان هفشوئی‏</w:t>
        </w:r>
        <w:r>
          <w:tab/>
        </w:r>
        <w:r>
          <w:fldChar w:fldCharType="begin"/>
        </w:r>
        <w:r>
          <w:instrText xml:space="preserve">PAGEREF 1246 \h</w:instrText>
        </w:r>
        <w:r>
          <w:fldChar w:fldCharType="end"/>
        </w:r>
      </w:hyperlink>
    </w:p>
    <w:p>
      <w:pPr>
        <w:tabs>
          <w:tab w:val="right" w:leader="dot" w:pos="9062"/>
        </w:tabs>
        <w:ind w:left="440"/>
      </w:pPr>
      <w:hyperlink w:anchor="_Toc1247" w:history="1">
        <w:r>
          <w:rPr>
            <w:rFonts w:ascii="IRNazanin" w:hAnsi="IRNazanin" w:eastAsia="IRNazanin" w:cs="IRNazanin"/>
            <w:color w:val="111111"/>
            <w:sz w:val="22"/>
            <w:szCs w:val="22"/>
            <w:b w:val="0"/>
            <w:bCs w:val="0"/>
            <w:i w:val="0"/>
            <w:iCs w:val="0"/>
          </w:rPr>
          <w:t>دیوان پیر سیصدساله‏</w:t>
        </w:r>
        <w:r>
          <w:tab/>
        </w:r>
        <w:r>
          <w:fldChar w:fldCharType="begin"/>
        </w:r>
        <w:r>
          <w:instrText xml:space="preserve">PAGEREF 1247 \h</w:instrText>
        </w:r>
        <w:r>
          <w:fldChar w:fldCharType="end"/>
        </w:r>
      </w:hyperlink>
    </w:p>
    <w:p>
      <w:pPr>
        <w:tabs>
          <w:tab w:val="right" w:leader="dot" w:pos="9062"/>
        </w:tabs>
        <w:ind w:left="440"/>
      </w:pPr>
      <w:hyperlink w:anchor="_Toc1248" w:history="1">
        <w:r>
          <w:rPr>
            <w:rFonts w:ascii="IRNazanin" w:hAnsi="IRNazanin" w:eastAsia="IRNazanin" w:cs="IRNazanin"/>
            <w:color w:val="111111"/>
            <w:sz w:val="22"/>
            <w:szCs w:val="22"/>
            <w:b w:val="0"/>
            <w:bCs w:val="0"/>
            <w:i w:val="0"/>
            <w:iCs w:val="0"/>
          </w:rPr>
          <w:t>دیوان پیر صدساله‏</w:t>
        </w:r>
        <w:r>
          <w:tab/>
        </w:r>
        <w:r>
          <w:fldChar w:fldCharType="begin"/>
        </w:r>
        <w:r>
          <w:instrText xml:space="preserve">PAGEREF 1248 \h</w:instrText>
        </w:r>
        <w:r>
          <w:fldChar w:fldCharType="end"/>
        </w:r>
      </w:hyperlink>
    </w:p>
    <w:p>
      <w:pPr>
        <w:tabs>
          <w:tab w:val="right" w:leader="dot" w:pos="9062"/>
        </w:tabs>
        <w:ind w:left="440"/>
      </w:pPr>
      <w:hyperlink w:anchor="_Toc1249" w:history="1">
        <w:r>
          <w:rPr>
            <w:rFonts w:ascii="IRNazanin" w:hAnsi="IRNazanin" w:eastAsia="IRNazanin" w:cs="IRNazanin"/>
            <w:color w:val="111111"/>
            <w:sz w:val="22"/>
            <w:szCs w:val="22"/>
            <w:b w:val="0"/>
            <w:bCs w:val="0"/>
            <w:i w:val="0"/>
            <w:iCs w:val="0"/>
          </w:rPr>
          <w:t>1013- دیوان پیر صوفی أو شعره‏</w:t>
        </w:r>
        <w:r>
          <w:tab/>
        </w:r>
        <w:r>
          <w:fldChar w:fldCharType="begin"/>
        </w:r>
        <w:r>
          <w:instrText xml:space="preserve">PAGEREF 1249 \h</w:instrText>
        </w:r>
        <w:r>
          <w:fldChar w:fldCharType="end"/>
        </w:r>
      </w:hyperlink>
    </w:p>
    <w:p>
      <w:pPr>
        <w:tabs>
          <w:tab w:val="right" w:leader="dot" w:pos="9062"/>
        </w:tabs>
        <w:ind w:left="440"/>
      </w:pPr>
      <w:hyperlink w:anchor="_Toc1250" w:history="1">
        <w:r>
          <w:rPr>
            <w:rFonts w:ascii="IRNazanin" w:hAnsi="IRNazanin" w:eastAsia="IRNazanin" w:cs="IRNazanin"/>
            <w:color w:val="111111"/>
            <w:sz w:val="22"/>
            <w:szCs w:val="22"/>
            <w:b w:val="0"/>
            <w:bCs w:val="0"/>
            <w:i w:val="0"/>
            <w:iCs w:val="0"/>
          </w:rPr>
          <w:t>دیوان پیر فرشته‏</w:t>
        </w:r>
        <w:r>
          <w:tab/>
        </w:r>
        <w:r>
          <w:fldChar w:fldCharType="begin"/>
        </w:r>
        <w:r>
          <w:instrText xml:space="preserve">PAGEREF 1250 \h</w:instrText>
        </w:r>
        <w:r>
          <w:fldChar w:fldCharType="end"/>
        </w:r>
      </w:hyperlink>
    </w:p>
    <w:p>
      <w:pPr>
        <w:tabs>
          <w:tab w:val="right" w:leader="dot" w:pos="9062"/>
        </w:tabs>
        <w:ind w:left="440"/>
      </w:pPr>
      <w:hyperlink w:anchor="_Toc1251" w:history="1">
        <w:r>
          <w:rPr>
            <w:rFonts w:ascii="IRNazanin" w:hAnsi="IRNazanin" w:eastAsia="IRNazanin" w:cs="IRNazanin"/>
            <w:color w:val="111111"/>
            <w:sz w:val="22"/>
            <w:szCs w:val="22"/>
            <w:b w:val="0"/>
            <w:bCs w:val="0"/>
            <w:i w:val="0"/>
            <w:iCs w:val="0"/>
          </w:rPr>
          <w:t>1014- دیوان پیر قلی بیک‏</w:t>
        </w:r>
        <w:r>
          <w:tab/>
        </w:r>
        <w:r>
          <w:fldChar w:fldCharType="begin"/>
        </w:r>
        <w:r>
          <w:instrText xml:space="preserve">PAGEREF 1251 \h</w:instrText>
        </w:r>
        <w:r>
          <w:fldChar w:fldCharType="end"/>
        </w:r>
      </w:hyperlink>
    </w:p>
    <w:p>
      <w:pPr>
        <w:tabs>
          <w:tab w:val="right" w:leader="dot" w:pos="9062"/>
        </w:tabs>
        <w:ind w:left="440"/>
      </w:pPr>
      <w:hyperlink w:anchor="_Toc1252" w:history="1">
        <w:r>
          <w:rPr>
            <w:rFonts w:ascii="IRNazanin" w:hAnsi="IRNazanin" w:eastAsia="IRNazanin" w:cs="IRNazanin"/>
            <w:color w:val="111111"/>
            <w:sz w:val="22"/>
            <w:szCs w:val="22"/>
            <w:b w:val="0"/>
            <w:bCs w:val="0"/>
            <w:i w:val="0"/>
            <w:iCs w:val="0"/>
          </w:rPr>
          <w:t>1015- دیوان پیر مستی‏</w:t>
        </w:r>
        <w:r>
          <w:tab/>
        </w:r>
        <w:r>
          <w:fldChar w:fldCharType="begin"/>
        </w:r>
        <w:r>
          <w:instrText xml:space="preserve">PAGEREF 1252 \h</w:instrText>
        </w:r>
        <w:r>
          <w:fldChar w:fldCharType="end"/>
        </w:r>
      </w:hyperlink>
    </w:p>
    <w:p>
      <w:pPr>
        <w:tabs>
          <w:tab w:val="right" w:leader="dot" w:pos="9062"/>
        </w:tabs>
        <w:ind w:left="440"/>
      </w:pPr>
      <w:hyperlink w:anchor="_Toc1253" w:history="1">
        <w:r>
          <w:rPr>
            <w:rFonts w:ascii="IRNazanin" w:hAnsi="IRNazanin" w:eastAsia="IRNazanin" w:cs="IRNazanin"/>
            <w:color w:val="111111"/>
            <w:sz w:val="22"/>
            <w:szCs w:val="22"/>
            <w:b w:val="0"/>
            <w:bCs w:val="0"/>
            <w:i w:val="0"/>
            <w:iCs w:val="0"/>
          </w:rPr>
          <w:t>1016- دیوان پیروز أو شعره‏</w:t>
        </w:r>
        <w:r>
          <w:tab/>
        </w:r>
        <w:r>
          <w:fldChar w:fldCharType="begin"/>
        </w:r>
        <w:r>
          <w:instrText xml:space="preserve">PAGEREF 1253 \h</w:instrText>
        </w:r>
        <w:r>
          <w:fldChar w:fldCharType="end"/>
        </w:r>
      </w:hyperlink>
    </w:p>
    <w:p>
      <w:pPr>
        <w:tabs>
          <w:tab w:val="right" w:leader="dot" w:pos="9062"/>
        </w:tabs>
        <w:ind w:left="440"/>
      </w:pPr>
      <w:hyperlink w:anchor="_Toc1254" w:history="1">
        <w:r>
          <w:rPr>
            <w:rFonts w:ascii="IRNazanin" w:hAnsi="IRNazanin" w:eastAsia="IRNazanin" w:cs="IRNazanin"/>
            <w:color w:val="111111"/>
            <w:sz w:val="22"/>
            <w:szCs w:val="22"/>
            <w:b w:val="0"/>
            <w:bCs w:val="0"/>
            <w:i w:val="0"/>
            <w:iCs w:val="0"/>
          </w:rPr>
          <w:t>1017- دیوان پیروی ساوجی‏</w:t>
        </w:r>
        <w:r>
          <w:tab/>
        </w:r>
        <w:r>
          <w:fldChar w:fldCharType="begin"/>
        </w:r>
        <w:r>
          <w:instrText xml:space="preserve">PAGEREF 1254 \h</w:instrText>
        </w:r>
        <w:r>
          <w:fldChar w:fldCharType="end"/>
        </w:r>
      </w:hyperlink>
    </w:p>
    <w:p>
      <w:pPr>
        <w:tabs>
          <w:tab w:val="right" w:leader="dot" w:pos="9062"/>
        </w:tabs>
        <w:ind w:left="440"/>
      </w:pPr>
      <w:hyperlink w:anchor="_Toc1255" w:history="1">
        <w:r>
          <w:rPr>
            <w:rFonts w:ascii="IRNazanin" w:hAnsi="IRNazanin" w:eastAsia="IRNazanin" w:cs="IRNazanin"/>
            <w:color w:val="111111"/>
            <w:sz w:val="22"/>
            <w:szCs w:val="22"/>
            <w:b w:val="0"/>
            <w:bCs w:val="0"/>
            <w:i w:val="0"/>
            <w:iCs w:val="0"/>
          </w:rPr>
          <w:t>دیوان پیر هری‏</w:t>
        </w:r>
        <w:r>
          <w:tab/>
        </w:r>
        <w:r>
          <w:fldChar w:fldCharType="begin"/>
        </w:r>
        <w:r>
          <w:instrText xml:space="preserve">PAGEREF 1255 \h</w:instrText>
        </w:r>
        <w:r>
          <w:fldChar w:fldCharType="end"/>
        </w:r>
      </w:hyperlink>
    </w:p>
    <w:p>
      <w:pPr>
        <w:tabs>
          <w:tab w:val="right" w:leader="dot" w:pos="9062"/>
        </w:tabs>
        <w:ind w:left="440"/>
      </w:pPr>
      <w:hyperlink w:anchor="_Toc1256" w:history="1">
        <w:r>
          <w:rPr>
            <w:rFonts w:ascii="IRNazanin" w:hAnsi="IRNazanin" w:eastAsia="IRNazanin" w:cs="IRNazanin"/>
            <w:color w:val="111111"/>
            <w:sz w:val="22"/>
            <w:szCs w:val="22"/>
            <w:b w:val="0"/>
            <w:bCs w:val="0"/>
            <w:i w:val="0"/>
            <w:iCs w:val="0"/>
          </w:rPr>
          <w:t>1018- دیوان پیری أصفهانی‏</w:t>
        </w:r>
        <w:r>
          <w:tab/>
        </w:r>
        <w:r>
          <w:fldChar w:fldCharType="begin"/>
        </w:r>
        <w:r>
          <w:instrText xml:space="preserve">PAGEREF 1256 \h</w:instrText>
        </w:r>
        <w:r>
          <w:fldChar w:fldCharType="end"/>
        </w:r>
      </w:hyperlink>
    </w:p>
    <w:p>
      <w:pPr>
        <w:tabs>
          <w:tab w:val="right" w:leader="dot" w:pos="9062"/>
        </w:tabs>
        <w:ind w:left="440"/>
      </w:pPr>
      <w:hyperlink w:anchor="_Toc1257" w:history="1">
        <w:r>
          <w:rPr>
            <w:rFonts w:ascii="IRNazanin" w:hAnsi="IRNazanin" w:eastAsia="IRNazanin" w:cs="IRNazanin"/>
            <w:color w:val="111111"/>
            <w:sz w:val="22"/>
            <w:szCs w:val="22"/>
            <w:b w:val="0"/>
            <w:bCs w:val="0"/>
            <w:i w:val="0"/>
            <w:iCs w:val="0"/>
          </w:rPr>
          <w:t>1019- دیوان پیری بیک ترکمان‏</w:t>
        </w:r>
        <w:r>
          <w:tab/>
        </w:r>
        <w:r>
          <w:fldChar w:fldCharType="begin"/>
        </w:r>
        <w:r>
          <w:instrText xml:space="preserve">PAGEREF 1257 \h</w:instrText>
        </w:r>
        <w:r>
          <w:fldChar w:fldCharType="end"/>
        </w:r>
      </w:hyperlink>
    </w:p>
    <w:p>
      <w:pPr>
        <w:tabs>
          <w:tab w:val="right" w:leader="dot" w:pos="9062"/>
        </w:tabs>
        <w:ind w:left="440"/>
      </w:pPr>
      <w:hyperlink w:anchor="_Toc1258" w:history="1">
        <w:r>
          <w:rPr>
            <w:rFonts w:ascii="IRNazanin" w:hAnsi="IRNazanin" w:eastAsia="IRNazanin" w:cs="IRNazanin"/>
            <w:color w:val="111111"/>
            <w:sz w:val="22"/>
            <w:szCs w:val="22"/>
            <w:b w:val="0"/>
            <w:bCs w:val="0"/>
            <w:i w:val="0"/>
            <w:iCs w:val="0"/>
          </w:rPr>
          <w:t>1020- دیوان پیشاوری‏</w:t>
        </w:r>
        <w:r>
          <w:tab/>
        </w:r>
        <w:r>
          <w:fldChar w:fldCharType="begin"/>
        </w:r>
        <w:r>
          <w:instrText xml:space="preserve">PAGEREF 1258 \h</w:instrText>
        </w:r>
        <w:r>
          <w:fldChar w:fldCharType="end"/>
        </w:r>
      </w:hyperlink>
    </w:p>
    <w:p>
      <w:pPr>
        <w:tabs>
          <w:tab w:val="right" w:leader="dot" w:pos="9062"/>
        </w:tabs>
        <w:ind w:left="440"/>
      </w:pPr>
      <w:hyperlink w:anchor="_Toc1259" w:history="1">
        <w:r>
          <w:rPr>
            <w:rFonts w:ascii="IRNazanin" w:hAnsi="IRNazanin" w:eastAsia="IRNazanin" w:cs="IRNazanin"/>
            <w:color w:val="111111"/>
            <w:sz w:val="22"/>
            <w:szCs w:val="22"/>
            <w:b w:val="0"/>
            <w:bCs w:val="0"/>
            <w:i w:val="0"/>
            <w:iCs w:val="0"/>
          </w:rPr>
          <w:t>1021- دیوان پیشرو میرزا أو شعره‏</w:t>
        </w:r>
        <w:r>
          <w:tab/>
        </w:r>
        <w:r>
          <w:fldChar w:fldCharType="begin"/>
        </w:r>
        <w:r>
          <w:instrText xml:space="preserve">PAGEREF 1259 \h</w:instrText>
        </w:r>
        <w:r>
          <w:fldChar w:fldCharType="end"/>
        </w:r>
      </w:hyperlink>
    </w:p>
    <w:p>
      <w:pPr>
        <w:tabs>
          <w:tab w:val="right" w:leader="dot" w:pos="9062"/>
        </w:tabs>
        <w:ind w:left="440"/>
      </w:pPr>
      <w:hyperlink w:anchor="_Toc1260" w:history="1">
        <w:r>
          <w:rPr>
            <w:rFonts w:ascii="IRNazanin" w:hAnsi="IRNazanin" w:eastAsia="IRNazanin" w:cs="IRNazanin"/>
            <w:color w:val="111111"/>
            <w:sz w:val="22"/>
            <w:szCs w:val="22"/>
            <w:b w:val="0"/>
            <w:bCs w:val="0"/>
            <w:i w:val="0"/>
            <w:iCs w:val="0"/>
          </w:rPr>
          <w:t>ت</w:t>
        </w:r>
        <w:r>
          <w:tab/>
        </w:r>
        <w:r>
          <w:fldChar w:fldCharType="begin"/>
        </w:r>
        <w:r>
          <w:instrText xml:space="preserve">PAGEREF 1260 \h</w:instrText>
        </w:r>
        <w:r>
          <w:fldChar w:fldCharType="end"/>
        </w:r>
      </w:hyperlink>
    </w:p>
    <w:p>
      <w:pPr>
        <w:tabs>
          <w:tab w:val="right" w:leader="dot" w:pos="9062"/>
        </w:tabs>
        <w:ind w:left="440"/>
      </w:pPr>
      <w:hyperlink w:anchor="_Toc1261" w:history="1">
        <w:r>
          <w:rPr>
            <w:rFonts w:ascii="IRNazanin" w:hAnsi="IRNazanin" w:eastAsia="IRNazanin" w:cs="IRNazanin"/>
            <w:color w:val="111111"/>
            <w:sz w:val="22"/>
            <w:szCs w:val="22"/>
            <w:b w:val="0"/>
            <w:bCs w:val="0"/>
            <w:i w:val="0"/>
            <w:iCs w:val="0"/>
          </w:rPr>
          <w:t>1022- دیوان تائب تبریزی‏</w:t>
        </w:r>
        <w:r>
          <w:tab/>
        </w:r>
        <w:r>
          <w:fldChar w:fldCharType="begin"/>
        </w:r>
        <w:r>
          <w:instrText xml:space="preserve">PAGEREF 1261 \h</w:instrText>
        </w:r>
        <w:r>
          <w:fldChar w:fldCharType="end"/>
        </w:r>
      </w:hyperlink>
    </w:p>
    <w:p>
      <w:pPr>
        <w:tabs>
          <w:tab w:val="right" w:leader="dot" w:pos="9062"/>
        </w:tabs>
        <w:ind w:left="440"/>
      </w:pPr>
      <w:hyperlink w:anchor="_Toc1262" w:history="1">
        <w:r>
          <w:rPr>
            <w:rFonts w:ascii="IRNazanin" w:hAnsi="IRNazanin" w:eastAsia="IRNazanin" w:cs="IRNazanin"/>
            <w:color w:val="111111"/>
            <w:sz w:val="22"/>
            <w:szCs w:val="22"/>
            <w:b w:val="0"/>
            <w:bCs w:val="0"/>
            <w:i w:val="0"/>
            <w:iCs w:val="0"/>
          </w:rPr>
          <w:t>1023- دیوان تائب تفرشی أو شعره‏</w:t>
        </w:r>
        <w:r>
          <w:tab/>
        </w:r>
        <w:r>
          <w:fldChar w:fldCharType="begin"/>
        </w:r>
        <w:r>
          <w:instrText xml:space="preserve">PAGEREF 1262 \h</w:instrText>
        </w:r>
        <w:r>
          <w:fldChar w:fldCharType="end"/>
        </w:r>
      </w:hyperlink>
    </w:p>
    <w:p>
      <w:pPr>
        <w:tabs>
          <w:tab w:val="right" w:leader="dot" w:pos="9062"/>
        </w:tabs>
        <w:ind w:left="440"/>
      </w:pPr>
      <w:hyperlink w:anchor="_Toc1263" w:history="1">
        <w:r>
          <w:rPr>
            <w:rFonts w:ascii="IRNazanin" w:hAnsi="IRNazanin" w:eastAsia="IRNazanin" w:cs="IRNazanin"/>
            <w:color w:val="111111"/>
            <w:sz w:val="22"/>
            <w:szCs w:val="22"/>
            <w:b w:val="0"/>
            <w:bCs w:val="0"/>
            <w:i w:val="0"/>
            <w:iCs w:val="0"/>
          </w:rPr>
          <w:t>1024- دیوان تائب خراسانی أو شعره‏</w:t>
        </w:r>
        <w:r>
          <w:tab/>
        </w:r>
        <w:r>
          <w:fldChar w:fldCharType="begin"/>
        </w:r>
        <w:r>
          <w:instrText xml:space="preserve">PAGEREF 1263 \h</w:instrText>
        </w:r>
        <w:r>
          <w:fldChar w:fldCharType="end"/>
        </w:r>
      </w:hyperlink>
    </w:p>
    <w:p>
      <w:pPr>
        <w:tabs>
          <w:tab w:val="right" w:leader="dot" w:pos="9062"/>
        </w:tabs>
        <w:ind w:left="440"/>
      </w:pPr>
      <w:hyperlink w:anchor="_Toc1264" w:history="1">
        <w:r>
          <w:rPr>
            <w:rFonts w:ascii="IRNazanin" w:hAnsi="IRNazanin" w:eastAsia="IRNazanin" w:cs="IRNazanin"/>
            <w:color w:val="111111"/>
            <w:sz w:val="22"/>
            <w:szCs w:val="22"/>
            <w:b w:val="0"/>
            <w:bCs w:val="0"/>
            <w:i w:val="0"/>
            <w:iCs w:val="0"/>
          </w:rPr>
          <w:t>1025- دیوان تائب کرمانی أو شعره‏</w:t>
        </w:r>
        <w:r>
          <w:tab/>
        </w:r>
        <w:r>
          <w:fldChar w:fldCharType="begin"/>
        </w:r>
        <w:r>
          <w:instrText xml:space="preserve">PAGEREF 1264 \h</w:instrText>
        </w:r>
        <w:r>
          <w:fldChar w:fldCharType="end"/>
        </w:r>
      </w:hyperlink>
    </w:p>
    <w:p>
      <w:pPr>
        <w:tabs>
          <w:tab w:val="right" w:leader="dot" w:pos="9062"/>
        </w:tabs>
        <w:ind w:left="440"/>
      </w:pPr>
      <w:hyperlink w:anchor="_Toc1265" w:history="1">
        <w:r>
          <w:rPr>
            <w:rFonts w:ascii="IRNazanin" w:hAnsi="IRNazanin" w:eastAsia="IRNazanin" w:cs="IRNazanin"/>
            <w:color w:val="111111"/>
            <w:sz w:val="22"/>
            <w:szCs w:val="22"/>
            <w:b w:val="0"/>
            <w:bCs w:val="0"/>
            <w:i w:val="0"/>
            <w:iCs w:val="0"/>
          </w:rPr>
          <w:t>1026- دیوان تائب کشمیری أو شعره‏</w:t>
        </w:r>
        <w:r>
          <w:tab/>
        </w:r>
        <w:r>
          <w:fldChar w:fldCharType="begin"/>
        </w:r>
        <w:r>
          <w:instrText xml:space="preserve">PAGEREF 1265 \h</w:instrText>
        </w:r>
        <w:r>
          <w:fldChar w:fldCharType="end"/>
        </w:r>
      </w:hyperlink>
    </w:p>
    <w:p>
      <w:pPr>
        <w:tabs>
          <w:tab w:val="right" w:leader="dot" w:pos="9062"/>
        </w:tabs>
        <w:ind w:left="440"/>
      </w:pPr>
      <w:hyperlink w:anchor="_Toc1266" w:history="1">
        <w:r>
          <w:rPr>
            <w:rFonts w:ascii="IRNazanin" w:hAnsi="IRNazanin" w:eastAsia="IRNazanin" w:cs="IRNazanin"/>
            <w:color w:val="111111"/>
            <w:sz w:val="22"/>
            <w:szCs w:val="22"/>
            <w:b w:val="0"/>
            <w:bCs w:val="0"/>
            <w:i w:val="0"/>
            <w:iCs w:val="0"/>
          </w:rPr>
          <w:t>1027- دیوان تائب ماکوئی‏</w:t>
        </w:r>
        <w:r>
          <w:tab/>
        </w:r>
        <w:r>
          <w:fldChar w:fldCharType="begin"/>
        </w:r>
        <w:r>
          <w:instrText xml:space="preserve">PAGEREF 1266 \h</w:instrText>
        </w:r>
        <w:r>
          <w:fldChar w:fldCharType="end"/>
        </w:r>
      </w:hyperlink>
    </w:p>
    <w:p>
      <w:pPr>
        <w:tabs>
          <w:tab w:val="right" w:leader="dot" w:pos="9062"/>
        </w:tabs>
        <w:ind w:left="440"/>
      </w:pPr>
      <w:hyperlink w:anchor="_Toc1267" w:history="1">
        <w:r>
          <w:rPr>
            <w:rFonts w:ascii="IRNazanin" w:hAnsi="IRNazanin" w:eastAsia="IRNazanin" w:cs="IRNazanin"/>
            <w:color w:val="111111"/>
            <w:sz w:val="22"/>
            <w:szCs w:val="22"/>
            <w:b w:val="0"/>
            <w:bCs w:val="0"/>
            <w:i w:val="0"/>
            <w:iCs w:val="0"/>
          </w:rPr>
          <w:t>1028- دیوان تائب مراغه‏ای أو شعره‏</w:t>
        </w:r>
        <w:r>
          <w:tab/>
        </w:r>
        <w:r>
          <w:fldChar w:fldCharType="begin"/>
        </w:r>
        <w:r>
          <w:instrText xml:space="preserve">PAGEREF 1267 \h</w:instrText>
        </w:r>
        <w:r>
          <w:fldChar w:fldCharType="end"/>
        </w:r>
      </w:hyperlink>
    </w:p>
    <w:p>
      <w:pPr>
        <w:tabs>
          <w:tab w:val="right" w:leader="dot" w:pos="9062"/>
        </w:tabs>
        <w:ind w:left="440"/>
      </w:pPr>
      <w:hyperlink w:anchor="_Toc1268" w:history="1">
        <w:r>
          <w:rPr>
            <w:rFonts w:ascii="IRNazanin" w:hAnsi="IRNazanin" w:eastAsia="IRNazanin" w:cs="IRNazanin"/>
            <w:color w:val="111111"/>
            <w:sz w:val="22"/>
            <w:szCs w:val="22"/>
            <w:b w:val="0"/>
            <w:bCs w:val="0"/>
            <w:i w:val="0"/>
            <w:iCs w:val="0"/>
          </w:rPr>
          <w:t>1029- دیوان تابع‏</w:t>
        </w:r>
        <w:r>
          <w:tab/>
        </w:r>
        <w:r>
          <w:fldChar w:fldCharType="begin"/>
        </w:r>
        <w:r>
          <w:instrText xml:space="preserve">PAGEREF 1268 \h</w:instrText>
        </w:r>
        <w:r>
          <w:fldChar w:fldCharType="end"/>
        </w:r>
      </w:hyperlink>
    </w:p>
    <w:p>
      <w:pPr>
        <w:tabs>
          <w:tab w:val="right" w:leader="dot" w:pos="9062"/>
        </w:tabs>
        <w:ind w:left="440"/>
      </w:pPr>
      <w:hyperlink w:anchor="_Toc1269" w:history="1">
        <w:r>
          <w:rPr>
            <w:rFonts w:ascii="IRNazanin" w:hAnsi="IRNazanin" w:eastAsia="IRNazanin" w:cs="IRNazanin"/>
            <w:color w:val="111111"/>
            <w:sz w:val="22"/>
            <w:szCs w:val="22"/>
            <w:b w:val="0"/>
            <w:bCs w:val="0"/>
            <w:i w:val="0"/>
            <w:iCs w:val="0"/>
          </w:rPr>
          <w:t>1030- دیوان تابع قمی أو شعره‏</w:t>
        </w:r>
        <w:r>
          <w:tab/>
        </w:r>
        <w:r>
          <w:fldChar w:fldCharType="begin"/>
        </w:r>
        <w:r>
          <w:instrText xml:space="preserve">PAGEREF 1269 \h</w:instrText>
        </w:r>
        <w:r>
          <w:fldChar w:fldCharType="end"/>
        </w:r>
      </w:hyperlink>
    </w:p>
    <w:p>
      <w:pPr>
        <w:tabs>
          <w:tab w:val="right" w:leader="dot" w:pos="9062"/>
        </w:tabs>
        <w:ind w:left="440"/>
      </w:pPr>
      <w:hyperlink w:anchor="_Toc1270" w:history="1">
        <w:r>
          <w:rPr>
            <w:rFonts w:ascii="IRNazanin" w:hAnsi="IRNazanin" w:eastAsia="IRNazanin" w:cs="IRNazanin"/>
            <w:color w:val="111111"/>
            <w:sz w:val="22"/>
            <w:szCs w:val="22"/>
            <w:b w:val="0"/>
            <w:bCs w:val="0"/>
            <w:i w:val="0"/>
            <w:iCs w:val="0"/>
          </w:rPr>
          <w:t>1031- دیوان تابع کوه‏کیلویه أو شعره‏</w:t>
        </w:r>
        <w:r>
          <w:tab/>
        </w:r>
        <w:r>
          <w:fldChar w:fldCharType="begin"/>
        </w:r>
        <w:r>
          <w:instrText xml:space="preserve">PAGEREF 1270 \h</w:instrText>
        </w:r>
        <w:r>
          <w:fldChar w:fldCharType="end"/>
        </w:r>
      </w:hyperlink>
    </w:p>
    <w:p>
      <w:pPr>
        <w:tabs>
          <w:tab w:val="right" w:leader="dot" w:pos="9062"/>
        </w:tabs>
        <w:ind w:left="440"/>
      </w:pPr>
      <w:hyperlink w:anchor="_Toc1271" w:history="1">
        <w:r>
          <w:rPr>
            <w:rFonts w:ascii="IRNazanin" w:hAnsi="IRNazanin" w:eastAsia="IRNazanin" w:cs="IRNazanin"/>
            <w:color w:val="111111"/>
            <w:sz w:val="22"/>
            <w:szCs w:val="22"/>
            <w:b w:val="0"/>
            <w:bCs w:val="0"/>
            <w:i w:val="0"/>
            <w:iCs w:val="0"/>
          </w:rPr>
          <w:t>1032- دیوان تابعی دماوندی أو شعره‏</w:t>
        </w:r>
        <w:r>
          <w:tab/>
        </w:r>
        <w:r>
          <w:fldChar w:fldCharType="begin"/>
        </w:r>
        <w:r>
          <w:instrText xml:space="preserve">PAGEREF 1271 \h</w:instrText>
        </w:r>
        <w:r>
          <w:fldChar w:fldCharType="end"/>
        </w:r>
      </w:hyperlink>
    </w:p>
    <w:p>
      <w:pPr>
        <w:tabs>
          <w:tab w:val="right" w:leader="dot" w:pos="9062"/>
        </w:tabs>
        <w:ind w:left="440"/>
      </w:pPr>
      <w:hyperlink w:anchor="_Toc1272" w:history="1">
        <w:r>
          <w:rPr>
            <w:rFonts w:ascii="IRNazanin" w:hAnsi="IRNazanin" w:eastAsia="IRNazanin" w:cs="IRNazanin"/>
            <w:color w:val="111111"/>
            <w:sz w:val="22"/>
            <w:szCs w:val="22"/>
            <w:b w:val="0"/>
            <w:bCs w:val="0"/>
            <w:i w:val="0"/>
            <w:iCs w:val="0"/>
          </w:rPr>
          <w:t>1033- دیوان تابعی سبزواری أو شعره‏</w:t>
        </w:r>
        <w:r>
          <w:tab/>
        </w:r>
        <w:r>
          <w:fldChar w:fldCharType="begin"/>
        </w:r>
        <w:r>
          <w:instrText xml:space="preserve">PAGEREF 1272 \h</w:instrText>
        </w:r>
        <w:r>
          <w:fldChar w:fldCharType="end"/>
        </w:r>
      </w:hyperlink>
    </w:p>
    <w:p>
      <w:pPr>
        <w:tabs>
          <w:tab w:val="right" w:leader="dot" w:pos="9062"/>
        </w:tabs>
        <w:ind w:left="440"/>
      </w:pPr>
      <w:hyperlink w:anchor="_Toc1273" w:history="1">
        <w:r>
          <w:rPr>
            <w:rFonts w:ascii="IRNazanin" w:hAnsi="IRNazanin" w:eastAsia="IRNazanin" w:cs="IRNazanin"/>
            <w:color w:val="111111"/>
            <w:sz w:val="22"/>
            <w:szCs w:val="22"/>
            <w:b w:val="0"/>
            <w:bCs w:val="0"/>
            <w:i w:val="0"/>
            <w:iCs w:val="0"/>
          </w:rPr>
          <w:t>1034- دیوان تابعی هروی أو شعره‏</w:t>
        </w:r>
        <w:r>
          <w:tab/>
        </w:r>
        <w:r>
          <w:fldChar w:fldCharType="begin"/>
        </w:r>
        <w:r>
          <w:instrText xml:space="preserve">PAGEREF 1273 \h</w:instrText>
        </w:r>
        <w:r>
          <w:fldChar w:fldCharType="end"/>
        </w:r>
      </w:hyperlink>
    </w:p>
    <w:p>
      <w:pPr>
        <w:tabs>
          <w:tab w:val="right" w:leader="dot" w:pos="9062"/>
        </w:tabs>
        <w:ind w:left="440"/>
      </w:pPr>
      <w:hyperlink w:anchor="_Toc1274" w:history="1">
        <w:r>
          <w:rPr>
            <w:rFonts w:ascii="IRNazanin" w:hAnsi="IRNazanin" w:eastAsia="IRNazanin" w:cs="IRNazanin"/>
            <w:color w:val="111111"/>
            <w:sz w:val="22"/>
            <w:szCs w:val="22"/>
            <w:b w:val="0"/>
            <w:bCs w:val="0"/>
            <w:i w:val="0"/>
            <w:iCs w:val="0"/>
          </w:rPr>
          <w:t>1035- دیوان تابعی یزدی أو شعره‏</w:t>
        </w:r>
        <w:r>
          <w:tab/>
        </w:r>
        <w:r>
          <w:fldChar w:fldCharType="begin"/>
        </w:r>
        <w:r>
          <w:instrText xml:space="preserve">PAGEREF 1274 \h</w:instrText>
        </w:r>
        <w:r>
          <w:fldChar w:fldCharType="end"/>
        </w:r>
      </w:hyperlink>
    </w:p>
    <w:p>
      <w:pPr>
        <w:tabs>
          <w:tab w:val="right" w:leader="dot" w:pos="9062"/>
        </w:tabs>
        <w:ind w:left="440"/>
      </w:pPr>
      <w:hyperlink w:anchor="_Toc1275" w:history="1">
        <w:r>
          <w:rPr>
            <w:rFonts w:ascii="IRNazanin" w:hAnsi="IRNazanin" w:eastAsia="IRNazanin" w:cs="IRNazanin"/>
            <w:color w:val="111111"/>
            <w:sz w:val="22"/>
            <w:szCs w:val="22"/>
            <w:b w:val="0"/>
            <w:bCs w:val="0"/>
            <w:i w:val="0"/>
            <w:iCs w:val="0"/>
          </w:rPr>
          <w:t>1036- دیوان تأثیر تبریزی‏</w:t>
        </w:r>
        <w:r>
          <w:tab/>
        </w:r>
        <w:r>
          <w:fldChar w:fldCharType="begin"/>
        </w:r>
        <w:r>
          <w:instrText xml:space="preserve">PAGEREF 1275 \h</w:instrText>
        </w:r>
        <w:r>
          <w:fldChar w:fldCharType="end"/>
        </w:r>
      </w:hyperlink>
    </w:p>
    <w:p>
      <w:pPr>
        <w:tabs>
          <w:tab w:val="right" w:leader="dot" w:pos="9062"/>
        </w:tabs>
        <w:ind w:left="440"/>
      </w:pPr>
      <w:hyperlink w:anchor="_Toc1276" w:history="1">
        <w:r>
          <w:rPr>
            <w:rFonts w:ascii="IRNazanin" w:hAnsi="IRNazanin" w:eastAsia="IRNazanin" w:cs="IRNazanin"/>
            <w:color w:val="111111"/>
            <w:sz w:val="22"/>
            <w:szCs w:val="22"/>
            <w:b w:val="0"/>
            <w:bCs w:val="0"/>
            <w:i w:val="0"/>
            <w:iCs w:val="0"/>
          </w:rPr>
          <w:t>دیوان تأثیر</w:t>
        </w:r>
        <w:r>
          <w:tab/>
        </w:r>
        <w:r>
          <w:fldChar w:fldCharType="begin"/>
        </w:r>
        <w:r>
          <w:instrText xml:space="preserve">PAGEREF 1276 \h</w:instrText>
        </w:r>
        <w:r>
          <w:fldChar w:fldCharType="end"/>
        </w:r>
      </w:hyperlink>
    </w:p>
    <w:p>
      <w:pPr>
        <w:tabs>
          <w:tab w:val="right" w:leader="dot" w:pos="9062"/>
        </w:tabs>
        <w:ind w:left="440"/>
      </w:pPr>
      <w:hyperlink w:anchor="_Toc1277" w:history="1">
        <w:r>
          <w:rPr>
            <w:rFonts w:ascii="IRNazanin" w:hAnsi="IRNazanin" w:eastAsia="IRNazanin" w:cs="IRNazanin"/>
            <w:color w:val="111111"/>
            <w:sz w:val="22"/>
            <w:szCs w:val="22"/>
            <w:b w:val="0"/>
            <w:bCs w:val="0"/>
            <w:i w:val="0"/>
            <w:iCs w:val="0"/>
          </w:rPr>
          <w:t>1037- دیوان تاج الدین آبی أو شعره‏</w:t>
        </w:r>
        <w:r>
          <w:tab/>
        </w:r>
        <w:r>
          <w:fldChar w:fldCharType="begin"/>
        </w:r>
        <w:r>
          <w:instrText xml:space="preserve">PAGEREF 1277 \h</w:instrText>
        </w:r>
        <w:r>
          <w:fldChar w:fldCharType="end"/>
        </w:r>
      </w:hyperlink>
    </w:p>
    <w:p>
      <w:pPr>
        <w:tabs>
          <w:tab w:val="right" w:leader="dot" w:pos="9062"/>
        </w:tabs>
        <w:ind w:left="440"/>
      </w:pPr>
      <w:hyperlink w:anchor="_Toc1278" w:history="1">
        <w:r>
          <w:rPr>
            <w:rFonts w:ascii="IRNazanin" w:hAnsi="IRNazanin" w:eastAsia="IRNazanin" w:cs="IRNazanin"/>
            <w:color w:val="111111"/>
            <w:sz w:val="22"/>
            <w:szCs w:val="22"/>
            <w:b w:val="0"/>
            <w:bCs w:val="0"/>
            <w:i w:val="0"/>
            <w:iCs w:val="0"/>
          </w:rPr>
          <w:t>دیوان تاج الدین أحمد</w:t>
        </w:r>
        <w:r>
          <w:tab/>
        </w:r>
        <w:r>
          <w:fldChar w:fldCharType="begin"/>
        </w:r>
        <w:r>
          <w:instrText xml:space="preserve">PAGEREF 1278 \h</w:instrText>
        </w:r>
        <w:r>
          <w:fldChar w:fldCharType="end"/>
        </w:r>
      </w:hyperlink>
    </w:p>
    <w:p>
      <w:pPr>
        <w:tabs>
          <w:tab w:val="right" w:leader="dot" w:pos="9062"/>
        </w:tabs>
        <w:ind w:left="440"/>
      </w:pPr>
      <w:hyperlink w:anchor="_Toc1279" w:history="1">
        <w:r>
          <w:rPr>
            <w:rFonts w:ascii="IRNazanin" w:hAnsi="IRNazanin" w:eastAsia="IRNazanin" w:cs="IRNazanin"/>
            <w:color w:val="111111"/>
            <w:sz w:val="22"/>
            <w:szCs w:val="22"/>
            <w:b w:val="0"/>
            <w:bCs w:val="0"/>
            <w:i w:val="0"/>
            <w:iCs w:val="0"/>
          </w:rPr>
          <w:t>دیوان تاج الدین باخرزی أو شعره‏</w:t>
        </w:r>
        <w:r>
          <w:tab/>
        </w:r>
        <w:r>
          <w:fldChar w:fldCharType="begin"/>
        </w:r>
        <w:r>
          <w:instrText xml:space="preserve">PAGEREF 1279 \h</w:instrText>
        </w:r>
        <w:r>
          <w:fldChar w:fldCharType="end"/>
        </w:r>
      </w:hyperlink>
    </w:p>
    <w:p>
      <w:pPr>
        <w:tabs>
          <w:tab w:val="right" w:leader="dot" w:pos="9062"/>
        </w:tabs>
        <w:ind w:left="440"/>
      </w:pPr>
      <w:hyperlink w:anchor="_Toc1280" w:history="1">
        <w:r>
          <w:rPr>
            <w:rFonts w:ascii="IRNazanin" w:hAnsi="IRNazanin" w:eastAsia="IRNazanin" w:cs="IRNazanin"/>
            <w:color w:val="111111"/>
            <w:sz w:val="22"/>
            <w:szCs w:val="22"/>
            <w:b w:val="0"/>
            <w:bCs w:val="0"/>
            <w:i w:val="0"/>
            <w:iCs w:val="0"/>
          </w:rPr>
          <w:t>دیوان تاج الدین تبریزی أو شعره‏</w:t>
        </w:r>
        <w:r>
          <w:tab/>
        </w:r>
        <w:r>
          <w:fldChar w:fldCharType="begin"/>
        </w:r>
        <w:r>
          <w:instrText xml:space="preserve">PAGEREF 1280 \h</w:instrText>
        </w:r>
        <w:r>
          <w:fldChar w:fldCharType="end"/>
        </w:r>
      </w:hyperlink>
    </w:p>
    <w:p>
      <w:pPr>
        <w:tabs>
          <w:tab w:val="right" w:leader="dot" w:pos="9062"/>
        </w:tabs>
        <w:ind w:left="440"/>
      </w:pPr>
      <w:hyperlink w:anchor="_Toc1281" w:history="1">
        <w:r>
          <w:rPr>
            <w:rFonts w:ascii="IRNazanin" w:hAnsi="IRNazanin" w:eastAsia="IRNazanin" w:cs="IRNazanin"/>
            <w:color w:val="111111"/>
            <w:sz w:val="22"/>
            <w:szCs w:val="22"/>
            <w:b w:val="0"/>
            <w:bCs w:val="0"/>
            <w:i w:val="0"/>
            <w:iCs w:val="0"/>
          </w:rPr>
          <w:t>دیوان تاج الدین تربتی أو شعره‏</w:t>
        </w:r>
        <w:r>
          <w:tab/>
        </w:r>
        <w:r>
          <w:fldChar w:fldCharType="begin"/>
        </w:r>
        <w:r>
          <w:instrText xml:space="preserve">PAGEREF 1281 \h</w:instrText>
        </w:r>
        <w:r>
          <w:fldChar w:fldCharType="end"/>
        </w:r>
      </w:hyperlink>
    </w:p>
    <w:p>
      <w:pPr>
        <w:tabs>
          <w:tab w:val="right" w:leader="dot" w:pos="9062"/>
        </w:tabs>
        <w:ind w:left="440"/>
      </w:pPr>
      <w:hyperlink w:anchor="_Toc1282" w:history="1">
        <w:r>
          <w:rPr>
            <w:rFonts w:ascii="IRNazanin" w:hAnsi="IRNazanin" w:eastAsia="IRNazanin" w:cs="IRNazanin"/>
            <w:color w:val="111111"/>
            <w:sz w:val="22"/>
            <w:szCs w:val="22"/>
            <w:b w:val="0"/>
            <w:bCs w:val="0"/>
            <w:i w:val="0"/>
            <w:iCs w:val="0"/>
          </w:rPr>
          <w:t>دیوان تاج الدین رومی أو شعره‏</w:t>
        </w:r>
        <w:r>
          <w:tab/>
        </w:r>
        <w:r>
          <w:fldChar w:fldCharType="begin"/>
        </w:r>
        <w:r>
          <w:instrText xml:space="preserve">PAGEREF 1282 \h</w:instrText>
        </w:r>
        <w:r>
          <w:fldChar w:fldCharType="end"/>
        </w:r>
      </w:hyperlink>
    </w:p>
    <w:p>
      <w:pPr>
        <w:tabs>
          <w:tab w:val="right" w:leader="dot" w:pos="9062"/>
        </w:tabs>
        <w:ind w:left="440"/>
      </w:pPr>
      <w:hyperlink w:anchor="_Toc1283" w:history="1">
        <w:r>
          <w:rPr>
            <w:rFonts w:ascii="IRNazanin" w:hAnsi="IRNazanin" w:eastAsia="IRNazanin" w:cs="IRNazanin"/>
            <w:color w:val="111111"/>
            <w:sz w:val="22"/>
            <w:szCs w:val="22"/>
            <w:b w:val="0"/>
            <w:bCs w:val="0"/>
            <w:i w:val="0"/>
            <w:iCs w:val="0"/>
          </w:rPr>
          <w:t>1038- دیوان تاج الدین سرخسی أو شعره‏</w:t>
        </w:r>
        <w:r>
          <w:tab/>
        </w:r>
        <w:r>
          <w:fldChar w:fldCharType="begin"/>
        </w:r>
        <w:r>
          <w:instrText xml:space="preserve">PAGEREF 1283 \h</w:instrText>
        </w:r>
        <w:r>
          <w:fldChar w:fldCharType="end"/>
        </w:r>
      </w:hyperlink>
    </w:p>
    <w:p>
      <w:pPr>
        <w:tabs>
          <w:tab w:val="right" w:leader="dot" w:pos="9062"/>
        </w:tabs>
        <w:ind w:left="440"/>
      </w:pPr>
      <w:hyperlink w:anchor="_Toc1284" w:history="1">
        <w:r>
          <w:rPr>
            <w:rFonts w:ascii="IRNazanin" w:hAnsi="IRNazanin" w:eastAsia="IRNazanin" w:cs="IRNazanin"/>
            <w:color w:val="111111"/>
            <w:sz w:val="22"/>
            <w:szCs w:val="22"/>
            <w:b w:val="0"/>
            <w:bCs w:val="0"/>
            <w:i w:val="0"/>
            <w:iCs w:val="0"/>
          </w:rPr>
          <w:t>1039- دیوان تاج الکتاب السرخسی أو شعره‏</w:t>
        </w:r>
        <w:r>
          <w:tab/>
        </w:r>
        <w:r>
          <w:fldChar w:fldCharType="begin"/>
        </w:r>
        <w:r>
          <w:instrText xml:space="preserve">PAGEREF 1284 \h</w:instrText>
        </w:r>
        <w:r>
          <w:fldChar w:fldCharType="end"/>
        </w:r>
      </w:hyperlink>
    </w:p>
    <w:p>
      <w:pPr>
        <w:tabs>
          <w:tab w:val="right" w:leader="dot" w:pos="9062"/>
        </w:tabs>
        <w:ind w:left="440"/>
      </w:pPr>
      <w:hyperlink w:anchor="_Toc1285" w:history="1">
        <w:r>
          <w:rPr>
            <w:rFonts w:ascii="IRNazanin" w:hAnsi="IRNazanin" w:eastAsia="IRNazanin" w:cs="IRNazanin"/>
            <w:color w:val="111111"/>
            <w:sz w:val="22"/>
            <w:szCs w:val="22"/>
            <w:b w:val="0"/>
            <w:bCs w:val="0"/>
            <w:i w:val="0"/>
            <w:iCs w:val="0"/>
          </w:rPr>
          <w:t>1040- دیوان تاجی أندجانی أو شعره‏</w:t>
        </w:r>
        <w:r>
          <w:tab/>
        </w:r>
        <w:r>
          <w:fldChar w:fldCharType="begin"/>
        </w:r>
        <w:r>
          <w:instrText xml:space="preserve">PAGEREF 1285 \h</w:instrText>
        </w:r>
        <w:r>
          <w:fldChar w:fldCharType="end"/>
        </w:r>
      </w:hyperlink>
    </w:p>
    <w:p>
      <w:pPr>
        <w:tabs>
          <w:tab w:val="right" w:leader="dot" w:pos="9062"/>
        </w:tabs>
        <w:ind w:left="440"/>
      </w:pPr>
      <w:hyperlink w:anchor="_Toc1286" w:history="1">
        <w:r>
          <w:rPr>
            <w:rFonts w:ascii="IRNazanin" w:hAnsi="IRNazanin" w:eastAsia="IRNazanin" w:cs="IRNazanin"/>
            <w:color w:val="111111"/>
            <w:sz w:val="22"/>
            <w:szCs w:val="22"/>
            <w:b w:val="0"/>
            <w:bCs w:val="0"/>
            <w:i w:val="0"/>
            <w:iCs w:val="0"/>
          </w:rPr>
          <w:t>دیوان تاجی لاهیجی أو شعره‏</w:t>
        </w:r>
        <w:r>
          <w:tab/>
        </w:r>
        <w:r>
          <w:fldChar w:fldCharType="begin"/>
        </w:r>
        <w:r>
          <w:instrText xml:space="preserve">PAGEREF 1286 \h</w:instrText>
        </w:r>
        <w:r>
          <w:fldChar w:fldCharType="end"/>
        </w:r>
      </w:hyperlink>
    </w:p>
    <w:p>
      <w:pPr>
        <w:tabs>
          <w:tab w:val="right" w:leader="dot" w:pos="9062"/>
        </w:tabs>
        <w:ind w:left="440"/>
      </w:pPr>
      <w:hyperlink w:anchor="_Toc1287" w:history="1">
        <w:r>
          <w:rPr>
            <w:rFonts w:ascii="IRNazanin" w:hAnsi="IRNazanin" w:eastAsia="IRNazanin" w:cs="IRNazanin"/>
            <w:color w:val="111111"/>
            <w:sz w:val="22"/>
            <w:szCs w:val="22"/>
            <w:b w:val="0"/>
            <w:bCs w:val="0"/>
            <w:i w:val="0"/>
            <w:iCs w:val="0"/>
          </w:rPr>
          <w:t>1041- دیوان تاراج أصفهانی‏</w:t>
        </w:r>
        <w:r>
          <w:tab/>
        </w:r>
        <w:r>
          <w:fldChar w:fldCharType="begin"/>
        </w:r>
        <w:r>
          <w:instrText xml:space="preserve">PAGEREF 1287 \h</w:instrText>
        </w:r>
        <w:r>
          <w:fldChar w:fldCharType="end"/>
        </w:r>
      </w:hyperlink>
    </w:p>
    <w:p>
      <w:pPr>
        <w:tabs>
          <w:tab w:val="right" w:leader="dot" w:pos="9062"/>
        </w:tabs>
        <w:ind w:left="440"/>
      </w:pPr>
      <w:hyperlink w:anchor="_Toc1288" w:history="1">
        <w:r>
          <w:rPr>
            <w:rFonts w:ascii="IRNazanin" w:hAnsi="IRNazanin" w:eastAsia="IRNazanin" w:cs="IRNazanin"/>
            <w:color w:val="111111"/>
            <w:sz w:val="22"/>
            <w:szCs w:val="22"/>
            <w:b w:val="0"/>
            <w:bCs w:val="0"/>
            <w:i w:val="0"/>
            <w:iCs w:val="0"/>
          </w:rPr>
          <w:t>1042- دیوان تاراج شیرازی أو شعره‏</w:t>
        </w:r>
        <w:r>
          <w:tab/>
        </w:r>
        <w:r>
          <w:fldChar w:fldCharType="begin"/>
        </w:r>
        <w:r>
          <w:instrText xml:space="preserve">PAGEREF 1288 \h</w:instrText>
        </w:r>
        <w:r>
          <w:fldChar w:fldCharType="end"/>
        </w:r>
      </w:hyperlink>
    </w:p>
    <w:p>
      <w:pPr>
        <w:tabs>
          <w:tab w:val="right" w:leader="dot" w:pos="9062"/>
        </w:tabs>
        <w:ind w:left="440"/>
      </w:pPr>
      <w:hyperlink w:anchor="_Toc1289" w:history="1">
        <w:r>
          <w:rPr>
            <w:rFonts w:ascii="IRNazanin" w:hAnsi="IRNazanin" w:eastAsia="IRNazanin" w:cs="IRNazanin"/>
            <w:color w:val="111111"/>
            <w:sz w:val="22"/>
            <w:szCs w:val="22"/>
            <w:b w:val="0"/>
            <w:bCs w:val="0"/>
            <w:i w:val="0"/>
            <w:iCs w:val="0"/>
          </w:rPr>
          <w:t>1043- دیوان تارک شیرازی‏</w:t>
        </w:r>
        <w:r>
          <w:tab/>
        </w:r>
        <w:r>
          <w:fldChar w:fldCharType="begin"/>
        </w:r>
        <w:r>
          <w:instrText xml:space="preserve">PAGEREF 1289 \h</w:instrText>
        </w:r>
        <w:r>
          <w:fldChar w:fldCharType="end"/>
        </w:r>
      </w:hyperlink>
    </w:p>
    <w:p>
      <w:pPr>
        <w:tabs>
          <w:tab w:val="right" w:leader="dot" w:pos="9062"/>
        </w:tabs>
        <w:ind w:left="440"/>
      </w:pPr>
      <w:hyperlink w:anchor="_Toc1290" w:history="1">
        <w:r>
          <w:rPr>
            <w:rFonts w:ascii="IRNazanin" w:hAnsi="IRNazanin" w:eastAsia="IRNazanin" w:cs="IRNazanin"/>
            <w:color w:val="111111"/>
            <w:sz w:val="22"/>
            <w:szCs w:val="22"/>
            <w:b w:val="0"/>
            <w:bCs w:val="0"/>
            <w:i w:val="0"/>
            <w:iCs w:val="0"/>
          </w:rPr>
          <w:t>1044- دیوان تازه دهلوی أو شعره‏</w:t>
        </w:r>
        <w:r>
          <w:tab/>
        </w:r>
        <w:r>
          <w:fldChar w:fldCharType="begin"/>
        </w:r>
        <w:r>
          <w:instrText xml:space="preserve">PAGEREF 1290 \h</w:instrText>
        </w:r>
        <w:r>
          <w:fldChar w:fldCharType="end"/>
        </w:r>
      </w:hyperlink>
    </w:p>
    <w:p>
      <w:pPr>
        <w:tabs>
          <w:tab w:val="right" w:leader="dot" w:pos="9062"/>
        </w:tabs>
        <w:ind w:left="440"/>
      </w:pPr>
      <w:hyperlink w:anchor="_Toc1291" w:history="1">
        <w:r>
          <w:rPr>
            <w:rFonts w:ascii="IRNazanin" w:hAnsi="IRNazanin" w:eastAsia="IRNazanin" w:cs="IRNazanin"/>
            <w:color w:val="111111"/>
            <w:sz w:val="22"/>
            <w:szCs w:val="22"/>
            <w:b w:val="0"/>
            <w:bCs w:val="0"/>
            <w:i w:val="0"/>
            <w:iCs w:val="0"/>
          </w:rPr>
          <w:t>1045- دیوان تأیید هندی‏</w:t>
        </w:r>
        <w:r>
          <w:tab/>
        </w:r>
        <w:r>
          <w:fldChar w:fldCharType="begin"/>
        </w:r>
        <w:r>
          <w:instrText xml:space="preserve">PAGEREF 1291 \h</w:instrText>
        </w:r>
        <w:r>
          <w:fldChar w:fldCharType="end"/>
        </w:r>
      </w:hyperlink>
    </w:p>
    <w:p>
      <w:pPr>
        <w:tabs>
          <w:tab w:val="right" w:leader="dot" w:pos="9062"/>
        </w:tabs>
        <w:ind w:left="440"/>
      </w:pPr>
      <w:hyperlink w:anchor="_Toc1292" w:history="1">
        <w:r>
          <w:rPr>
            <w:rFonts w:ascii="IRNazanin" w:hAnsi="IRNazanin" w:eastAsia="IRNazanin" w:cs="IRNazanin"/>
            <w:color w:val="111111"/>
            <w:sz w:val="22"/>
            <w:szCs w:val="22"/>
            <w:b w:val="0"/>
            <w:bCs w:val="0"/>
            <w:i w:val="0"/>
            <w:iCs w:val="0"/>
          </w:rPr>
          <w:t>1046- دیوان تجرد لاهوری أو شعره‏</w:t>
        </w:r>
        <w:r>
          <w:tab/>
        </w:r>
        <w:r>
          <w:fldChar w:fldCharType="begin"/>
        </w:r>
        <w:r>
          <w:instrText xml:space="preserve">PAGEREF 1292 \h</w:instrText>
        </w:r>
        <w:r>
          <w:fldChar w:fldCharType="end"/>
        </w:r>
      </w:hyperlink>
    </w:p>
    <w:p>
      <w:pPr>
        <w:tabs>
          <w:tab w:val="right" w:leader="dot" w:pos="9062"/>
        </w:tabs>
        <w:ind w:left="440"/>
      </w:pPr>
      <w:hyperlink w:anchor="_Toc1293" w:history="1">
        <w:r>
          <w:rPr>
            <w:rFonts w:ascii="IRNazanin" w:hAnsi="IRNazanin" w:eastAsia="IRNazanin" w:cs="IRNazanin"/>
            <w:color w:val="111111"/>
            <w:sz w:val="22"/>
            <w:szCs w:val="22"/>
            <w:b w:val="0"/>
            <w:bCs w:val="0"/>
            <w:i w:val="0"/>
            <w:iCs w:val="0"/>
          </w:rPr>
          <w:t>1047- دیوان تجرید لاهوری أو شعره‏</w:t>
        </w:r>
        <w:r>
          <w:tab/>
        </w:r>
        <w:r>
          <w:fldChar w:fldCharType="begin"/>
        </w:r>
        <w:r>
          <w:instrText xml:space="preserve">PAGEREF 1293 \h</w:instrText>
        </w:r>
        <w:r>
          <w:fldChar w:fldCharType="end"/>
        </w:r>
      </w:hyperlink>
    </w:p>
    <w:p>
      <w:pPr>
        <w:tabs>
          <w:tab w:val="right" w:leader="dot" w:pos="9062"/>
        </w:tabs>
        <w:ind w:left="440"/>
      </w:pPr>
      <w:hyperlink w:anchor="_Toc1294" w:history="1">
        <w:r>
          <w:rPr>
            <w:rFonts w:ascii="IRNazanin" w:hAnsi="IRNazanin" w:eastAsia="IRNazanin" w:cs="IRNazanin"/>
            <w:color w:val="111111"/>
            <w:sz w:val="22"/>
            <w:szCs w:val="22"/>
            <w:b w:val="0"/>
            <w:bCs w:val="0"/>
            <w:i w:val="0"/>
            <w:iCs w:val="0"/>
          </w:rPr>
          <w:t>1048- دیوان تجرید أصفهانی أو شعره‏</w:t>
        </w:r>
        <w:r>
          <w:tab/>
        </w:r>
        <w:r>
          <w:fldChar w:fldCharType="begin"/>
        </w:r>
        <w:r>
          <w:instrText xml:space="preserve">PAGEREF 1294 \h</w:instrText>
        </w:r>
        <w:r>
          <w:fldChar w:fldCharType="end"/>
        </w:r>
      </w:hyperlink>
    </w:p>
    <w:p>
      <w:pPr>
        <w:tabs>
          <w:tab w:val="right" w:leader="dot" w:pos="9062"/>
        </w:tabs>
        <w:ind w:left="440"/>
      </w:pPr>
      <w:hyperlink w:anchor="_Toc1295" w:history="1">
        <w:r>
          <w:rPr>
            <w:rFonts w:ascii="IRNazanin" w:hAnsi="IRNazanin" w:eastAsia="IRNazanin" w:cs="IRNazanin"/>
            <w:color w:val="111111"/>
            <w:sz w:val="22"/>
            <w:szCs w:val="22"/>
            <w:b w:val="0"/>
            <w:bCs w:val="0"/>
            <w:i w:val="0"/>
            <w:iCs w:val="0"/>
          </w:rPr>
          <w:t>1049- دیوان تجرید هندی أو شعره‏</w:t>
        </w:r>
        <w:r>
          <w:tab/>
        </w:r>
        <w:r>
          <w:fldChar w:fldCharType="begin"/>
        </w:r>
        <w:r>
          <w:instrText xml:space="preserve">PAGEREF 1295 \h</w:instrText>
        </w:r>
        <w:r>
          <w:fldChar w:fldCharType="end"/>
        </w:r>
      </w:hyperlink>
    </w:p>
    <w:p>
      <w:pPr>
        <w:tabs>
          <w:tab w:val="right" w:leader="dot" w:pos="9062"/>
        </w:tabs>
        <w:ind w:left="440"/>
      </w:pPr>
      <w:hyperlink w:anchor="_Toc1296" w:history="1">
        <w:r>
          <w:rPr>
            <w:rFonts w:ascii="IRNazanin" w:hAnsi="IRNazanin" w:eastAsia="IRNazanin" w:cs="IRNazanin"/>
            <w:color w:val="111111"/>
            <w:sz w:val="22"/>
            <w:szCs w:val="22"/>
            <w:b w:val="0"/>
            <w:bCs w:val="0"/>
            <w:i w:val="0"/>
            <w:iCs w:val="0"/>
          </w:rPr>
          <w:t>1050- دیوان تجلی أصفهانی‏</w:t>
        </w:r>
        <w:r>
          <w:tab/>
        </w:r>
        <w:r>
          <w:fldChar w:fldCharType="begin"/>
        </w:r>
        <w:r>
          <w:instrText xml:space="preserve">PAGEREF 1296 \h</w:instrText>
        </w:r>
        <w:r>
          <w:fldChar w:fldCharType="end"/>
        </w:r>
      </w:hyperlink>
    </w:p>
    <w:p>
      <w:pPr>
        <w:tabs>
          <w:tab w:val="right" w:leader="dot" w:pos="9062"/>
        </w:tabs>
        <w:ind w:left="440"/>
      </w:pPr>
      <w:hyperlink w:anchor="_Toc1297" w:history="1">
        <w:r>
          <w:rPr>
            <w:rFonts w:ascii="IRNazanin" w:hAnsi="IRNazanin" w:eastAsia="IRNazanin" w:cs="IRNazanin"/>
            <w:color w:val="111111"/>
            <w:sz w:val="22"/>
            <w:szCs w:val="22"/>
            <w:b w:val="0"/>
            <w:bCs w:val="0"/>
            <w:i w:val="0"/>
            <w:iCs w:val="0"/>
          </w:rPr>
          <w:t>1051- دیوان تجلی بخاری أو شعره‏</w:t>
        </w:r>
        <w:r>
          <w:tab/>
        </w:r>
        <w:r>
          <w:fldChar w:fldCharType="begin"/>
        </w:r>
        <w:r>
          <w:instrText xml:space="preserve">PAGEREF 1297 \h</w:instrText>
        </w:r>
        <w:r>
          <w:fldChar w:fldCharType="end"/>
        </w:r>
      </w:hyperlink>
    </w:p>
    <w:p>
      <w:pPr>
        <w:tabs>
          <w:tab w:val="right" w:leader="dot" w:pos="9062"/>
        </w:tabs>
        <w:ind w:left="440"/>
      </w:pPr>
      <w:hyperlink w:anchor="_Toc1298" w:history="1">
        <w:r>
          <w:rPr>
            <w:rFonts w:ascii="IRNazanin" w:hAnsi="IRNazanin" w:eastAsia="IRNazanin" w:cs="IRNazanin"/>
            <w:color w:val="111111"/>
            <w:sz w:val="22"/>
            <w:szCs w:val="22"/>
            <w:b w:val="0"/>
            <w:bCs w:val="0"/>
            <w:i w:val="0"/>
            <w:iCs w:val="0"/>
          </w:rPr>
          <w:t>1052- دیوان تجلی دزفولی أو شعره‏</w:t>
        </w:r>
        <w:r>
          <w:tab/>
        </w:r>
        <w:r>
          <w:fldChar w:fldCharType="begin"/>
        </w:r>
        <w:r>
          <w:instrText xml:space="preserve">PAGEREF 1298 \h</w:instrText>
        </w:r>
        <w:r>
          <w:fldChar w:fldCharType="end"/>
        </w:r>
      </w:hyperlink>
    </w:p>
    <w:p>
      <w:pPr>
        <w:tabs>
          <w:tab w:val="right" w:leader="dot" w:pos="9062"/>
        </w:tabs>
        <w:ind w:left="440"/>
      </w:pPr>
      <w:hyperlink w:anchor="_Toc1299" w:history="1">
        <w:r>
          <w:rPr>
            <w:rFonts w:ascii="IRNazanin" w:hAnsi="IRNazanin" w:eastAsia="IRNazanin" w:cs="IRNazanin"/>
            <w:color w:val="111111"/>
            <w:sz w:val="22"/>
            <w:szCs w:val="22"/>
            <w:b w:val="0"/>
            <w:bCs w:val="0"/>
            <w:i w:val="0"/>
            <w:iCs w:val="0"/>
          </w:rPr>
          <w:t>1053- دیوان تجلی سبزواری‏</w:t>
        </w:r>
        <w:r>
          <w:tab/>
        </w:r>
        <w:r>
          <w:fldChar w:fldCharType="begin"/>
        </w:r>
        <w:r>
          <w:instrText xml:space="preserve">PAGEREF 1299 \h</w:instrText>
        </w:r>
        <w:r>
          <w:fldChar w:fldCharType="end"/>
        </w:r>
      </w:hyperlink>
    </w:p>
    <w:p>
      <w:pPr>
        <w:tabs>
          <w:tab w:val="right" w:leader="dot" w:pos="9062"/>
        </w:tabs>
        <w:ind w:left="440"/>
      </w:pPr>
      <w:hyperlink w:anchor="_Toc1300" w:history="1">
        <w:r>
          <w:rPr>
            <w:rFonts w:ascii="IRNazanin" w:hAnsi="IRNazanin" w:eastAsia="IRNazanin" w:cs="IRNazanin"/>
            <w:color w:val="111111"/>
            <w:sz w:val="22"/>
            <w:szCs w:val="22"/>
            <w:b w:val="0"/>
            <w:bCs w:val="0"/>
            <w:i w:val="0"/>
            <w:iCs w:val="0"/>
          </w:rPr>
          <w:t>1054- دیوان تجلی سمنانی أو شعره‏</w:t>
        </w:r>
        <w:r>
          <w:tab/>
        </w:r>
        <w:r>
          <w:fldChar w:fldCharType="begin"/>
        </w:r>
        <w:r>
          <w:instrText xml:space="preserve">PAGEREF 1300 \h</w:instrText>
        </w:r>
        <w:r>
          <w:fldChar w:fldCharType="end"/>
        </w:r>
      </w:hyperlink>
    </w:p>
    <w:p>
      <w:pPr>
        <w:tabs>
          <w:tab w:val="right" w:leader="dot" w:pos="9062"/>
        </w:tabs>
        <w:ind w:left="440"/>
      </w:pPr>
      <w:hyperlink w:anchor="_Toc1301" w:history="1">
        <w:r>
          <w:rPr>
            <w:rFonts w:ascii="IRNazanin" w:hAnsi="IRNazanin" w:eastAsia="IRNazanin" w:cs="IRNazanin"/>
            <w:color w:val="111111"/>
            <w:sz w:val="22"/>
            <w:szCs w:val="22"/>
            <w:b w:val="0"/>
            <w:bCs w:val="0"/>
            <w:i w:val="0"/>
            <w:iCs w:val="0"/>
          </w:rPr>
          <w:t>1055- دیوان تجلی شیرازی‏</w:t>
        </w:r>
        <w:r>
          <w:tab/>
        </w:r>
        <w:r>
          <w:fldChar w:fldCharType="begin"/>
        </w:r>
        <w:r>
          <w:instrText xml:space="preserve">PAGEREF 1301 \h</w:instrText>
        </w:r>
        <w:r>
          <w:fldChar w:fldCharType="end"/>
        </w:r>
      </w:hyperlink>
    </w:p>
    <w:p>
      <w:pPr>
        <w:tabs>
          <w:tab w:val="right" w:leader="dot" w:pos="9062"/>
        </w:tabs>
        <w:ind w:left="440"/>
      </w:pPr>
      <w:hyperlink w:anchor="_Toc1302" w:history="1">
        <w:r>
          <w:rPr>
            <w:rFonts w:ascii="IRNazanin" w:hAnsi="IRNazanin" w:eastAsia="IRNazanin" w:cs="IRNazanin"/>
            <w:color w:val="111111"/>
            <w:sz w:val="22"/>
            <w:szCs w:val="22"/>
            <w:b w:val="0"/>
            <w:bCs w:val="0"/>
            <w:i w:val="0"/>
            <w:iCs w:val="0"/>
          </w:rPr>
          <w:t>1056- دیوان تجلی کاشی أو شعره‏</w:t>
        </w:r>
        <w:r>
          <w:tab/>
        </w:r>
        <w:r>
          <w:fldChar w:fldCharType="begin"/>
        </w:r>
        <w:r>
          <w:instrText xml:space="preserve">PAGEREF 1302 \h</w:instrText>
        </w:r>
        <w:r>
          <w:fldChar w:fldCharType="end"/>
        </w:r>
      </w:hyperlink>
    </w:p>
    <w:p>
      <w:pPr>
        <w:tabs>
          <w:tab w:val="right" w:leader="dot" w:pos="9062"/>
        </w:tabs>
        <w:ind w:left="440"/>
      </w:pPr>
      <w:hyperlink w:anchor="_Toc1303" w:history="1">
        <w:r>
          <w:rPr>
            <w:rFonts w:ascii="IRNazanin" w:hAnsi="IRNazanin" w:eastAsia="IRNazanin" w:cs="IRNazanin"/>
            <w:color w:val="111111"/>
            <w:sz w:val="22"/>
            <w:szCs w:val="22"/>
            <w:b w:val="0"/>
            <w:bCs w:val="0"/>
            <w:i w:val="0"/>
            <w:iCs w:val="0"/>
          </w:rPr>
          <w:t>1057- دیوان تجلی لاهیجی أو شعره‏</w:t>
        </w:r>
        <w:r>
          <w:tab/>
        </w:r>
        <w:r>
          <w:fldChar w:fldCharType="begin"/>
        </w:r>
        <w:r>
          <w:instrText xml:space="preserve">PAGEREF 1303 \h</w:instrText>
        </w:r>
        <w:r>
          <w:fldChar w:fldCharType="end"/>
        </w:r>
      </w:hyperlink>
    </w:p>
    <w:p>
      <w:pPr>
        <w:tabs>
          <w:tab w:val="right" w:leader="dot" w:pos="9062"/>
        </w:tabs>
        <w:ind w:left="440"/>
      </w:pPr>
      <w:hyperlink w:anchor="_Toc1304" w:history="1">
        <w:r>
          <w:rPr>
            <w:rFonts w:ascii="IRNazanin" w:hAnsi="IRNazanin" w:eastAsia="IRNazanin" w:cs="IRNazanin"/>
            <w:color w:val="111111"/>
            <w:sz w:val="22"/>
            <w:szCs w:val="22"/>
            <w:b w:val="0"/>
            <w:bCs w:val="0"/>
            <w:i w:val="0"/>
            <w:iCs w:val="0"/>
          </w:rPr>
          <w:t>1058- دیوان تجمل لکهنوی أو شعره‏</w:t>
        </w:r>
        <w:r>
          <w:tab/>
        </w:r>
        <w:r>
          <w:fldChar w:fldCharType="begin"/>
        </w:r>
        <w:r>
          <w:instrText xml:space="preserve">PAGEREF 1304 \h</w:instrText>
        </w:r>
        <w:r>
          <w:fldChar w:fldCharType="end"/>
        </w:r>
      </w:hyperlink>
    </w:p>
    <w:p>
      <w:pPr>
        <w:tabs>
          <w:tab w:val="right" w:leader="dot" w:pos="9062"/>
        </w:tabs>
        <w:ind w:left="440"/>
      </w:pPr>
      <w:hyperlink w:anchor="_Toc1305" w:history="1">
        <w:r>
          <w:rPr>
            <w:rFonts w:ascii="IRNazanin" w:hAnsi="IRNazanin" w:eastAsia="IRNazanin" w:cs="IRNazanin"/>
            <w:color w:val="111111"/>
            <w:sz w:val="22"/>
            <w:szCs w:val="22"/>
            <w:b w:val="0"/>
            <w:bCs w:val="0"/>
            <w:i w:val="0"/>
            <w:iCs w:val="0"/>
          </w:rPr>
          <w:t>1059- دیوان تحسین پانی‏پتی أو شعره‏</w:t>
        </w:r>
        <w:r>
          <w:tab/>
        </w:r>
        <w:r>
          <w:fldChar w:fldCharType="begin"/>
        </w:r>
        <w:r>
          <w:instrText xml:space="preserve">PAGEREF 1305 \h</w:instrText>
        </w:r>
        <w:r>
          <w:fldChar w:fldCharType="end"/>
        </w:r>
      </w:hyperlink>
    </w:p>
    <w:p>
      <w:pPr>
        <w:tabs>
          <w:tab w:val="right" w:leader="dot" w:pos="9062"/>
        </w:tabs>
        <w:ind w:left="440"/>
      </w:pPr>
      <w:hyperlink w:anchor="_Toc1306" w:history="1">
        <w:r>
          <w:rPr>
            <w:rFonts w:ascii="IRNazanin" w:hAnsi="IRNazanin" w:eastAsia="IRNazanin" w:cs="IRNazanin"/>
            <w:color w:val="111111"/>
            <w:sz w:val="22"/>
            <w:szCs w:val="22"/>
            <w:b w:val="0"/>
            <w:bCs w:val="0"/>
            <w:i w:val="0"/>
            <w:iCs w:val="0"/>
          </w:rPr>
          <w:t>1060- دیوان تحسین دهلوی أو شعره‏</w:t>
        </w:r>
        <w:r>
          <w:tab/>
        </w:r>
        <w:r>
          <w:fldChar w:fldCharType="begin"/>
        </w:r>
        <w:r>
          <w:instrText xml:space="preserve">PAGEREF 1306 \h</w:instrText>
        </w:r>
        <w:r>
          <w:fldChar w:fldCharType="end"/>
        </w:r>
      </w:hyperlink>
    </w:p>
    <w:p>
      <w:pPr>
        <w:tabs>
          <w:tab w:val="right" w:leader="dot" w:pos="9062"/>
        </w:tabs>
        <w:ind w:left="440"/>
      </w:pPr>
      <w:hyperlink w:anchor="_Toc1307" w:history="1">
        <w:r>
          <w:rPr>
            <w:rFonts w:ascii="IRNazanin" w:hAnsi="IRNazanin" w:eastAsia="IRNazanin" w:cs="IRNazanin"/>
            <w:color w:val="111111"/>
            <w:sz w:val="22"/>
            <w:szCs w:val="22"/>
            <w:b w:val="0"/>
            <w:bCs w:val="0"/>
            <w:i w:val="0"/>
            <w:iCs w:val="0"/>
          </w:rPr>
          <w:t>1061- دیوان تحسین رضوی أو شعره‏</w:t>
        </w:r>
        <w:r>
          <w:tab/>
        </w:r>
        <w:r>
          <w:fldChar w:fldCharType="begin"/>
        </w:r>
        <w:r>
          <w:instrText xml:space="preserve">PAGEREF 1307 \h</w:instrText>
        </w:r>
        <w:r>
          <w:fldChar w:fldCharType="end"/>
        </w:r>
      </w:hyperlink>
    </w:p>
    <w:p>
      <w:pPr>
        <w:tabs>
          <w:tab w:val="right" w:leader="dot" w:pos="9062"/>
        </w:tabs>
        <w:ind w:left="440"/>
      </w:pPr>
      <w:hyperlink w:anchor="_Toc1308" w:history="1">
        <w:r>
          <w:rPr>
            <w:rFonts w:ascii="IRNazanin" w:hAnsi="IRNazanin" w:eastAsia="IRNazanin" w:cs="IRNazanin"/>
            <w:color w:val="111111"/>
            <w:sz w:val="22"/>
            <w:szCs w:val="22"/>
            <w:b w:val="0"/>
            <w:bCs w:val="0"/>
            <w:i w:val="0"/>
            <w:iCs w:val="0"/>
          </w:rPr>
          <w:t>1062- دیوان تحسین شیرازی أو شعره‏</w:t>
        </w:r>
        <w:r>
          <w:tab/>
        </w:r>
        <w:r>
          <w:fldChar w:fldCharType="begin"/>
        </w:r>
        <w:r>
          <w:instrText xml:space="preserve">PAGEREF 1308 \h</w:instrText>
        </w:r>
        <w:r>
          <w:fldChar w:fldCharType="end"/>
        </w:r>
      </w:hyperlink>
    </w:p>
    <w:p>
      <w:pPr>
        <w:tabs>
          <w:tab w:val="right" w:leader="dot" w:pos="9062"/>
        </w:tabs>
        <w:ind w:left="440"/>
      </w:pPr>
      <w:hyperlink w:anchor="_Toc1309" w:history="1">
        <w:r>
          <w:rPr>
            <w:rFonts w:ascii="IRNazanin" w:hAnsi="IRNazanin" w:eastAsia="IRNazanin" w:cs="IRNazanin"/>
            <w:color w:val="111111"/>
            <w:sz w:val="22"/>
            <w:szCs w:val="22"/>
            <w:b w:val="0"/>
            <w:bCs w:val="0"/>
            <w:i w:val="0"/>
            <w:iCs w:val="0"/>
          </w:rPr>
          <w:t>1063- دیوان تحسین لاهوری أو شعره‏</w:t>
        </w:r>
        <w:r>
          <w:tab/>
        </w:r>
        <w:r>
          <w:fldChar w:fldCharType="begin"/>
        </w:r>
        <w:r>
          <w:instrText xml:space="preserve">PAGEREF 1309 \h</w:instrText>
        </w:r>
        <w:r>
          <w:fldChar w:fldCharType="end"/>
        </w:r>
      </w:hyperlink>
    </w:p>
    <w:p>
      <w:pPr>
        <w:tabs>
          <w:tab w:val="right" w:leader="dot" w:pos="9062"/>
        </w:tabs>
        <w:ind w:left="440"/>
      </w:pPr>
      <w:hyperlink w:anchor="_Toc1310" w:history="1">
        <w:r>
          <w:rPr>
            <w:rFonts w:ascii="IRNazanin" w:hAnsi="IRNazanin" w:eastAsia="IRNazanin" w:cs="IRNazanin"/>
            <w:color w:val="111111"/>
            <w:sz w:val="22"/>
            <w:szCs w:val="22"/>
            <w:b w:val="0"/>
            <w:bCs w:val="0"/>
            <w:i w:val="0"/>
            <w:iCs w:val="0"/>
          </w:rPr>
          <w:t>1064- دیوان تذروی قزوینی‏</w:t>
        </w:r>
        <w:r>
          <w:tab/>
        </w:r>
        <w:r>
          <w:fldChar w:fldCharType="begin"/>
        </w:r>
        <w:r>
          <w:instrText xml:space="preserve">PAGEREF 1310 \h</w:instrText>
        </w:r>
        <w:r>
          <w:fldChar w:fldCharType="end"/>
        </w:r>
      </w:hyperlink>
    </w:p>
    <w:p>
      <w:pPr>
        <w:tabs>
          <w:tab w:val="right" w:leader="dot" w:pos="9062"/>
        </w:tabs>
        <w:ind w:left="440"/>
      </w:pPr>
      <w:hyperlink w:anchor="_Toc1311" w:history="1">
        <w:r>
          <w:rPr>
            <w:rFonts w:ascii="IRNazanin" w:hAnsi="IRNazanin" w:eastAsia="IRNazanin" w:cs="IRNazanin"/>
            <w:color w:val="111111"/>
            <w:sz w:val="22"/>
            <w:szCs w:val="22"/>
            <w:b w:val="0"/>
            <w:bCs w:val="0"/>
            <w:i w:val="0"/>
            <w:iCs w:val="0"/>
          </w:rPr>
          <w:t>1065- دیوان تذهیبی أصفهانی أو شعره‏</w:t>
        </w:r>
        <w:r>
          <w:tab/>
        </w:r>
        <w:r>
          <w:fldChar w:fldCharType="begin"/>
        </w:r>
        <w:r>
          <w:instrText xml:space="preserve">PAGEREF 1311 \h</w:instrText>
        </w:r>
        <w:r>
          <w:fldChar w:fldCharType="end"/>
        </w:r>
      </w:hyperlink>
    </w:p>
    <w:p>
      <w:pPr>
        <w:tabs>
          <w:tab w:val="right" w:leader="dot" w:pos="9062"/>
        </w:tabs>
        <w:ind w:left="440"/>
      </w:pPr>
      <w:hyperlink w:anchor="_Toc1312" w:history="1">
        <w:r>
          <w:rPr>
            <w:rFonts w:ascii="IRNazanin" w:hAnsi="IRNazanin" w:eastAsia="IRNazanin" w:cs="IRNazanin"/>
            <w:color w:val="111111"/>
            <w:sz w:val="22"/>
            <w:szCs w:val="22"/>
            <w:b w:val="0"/>
            <w:bCs w:val="0"/>
            <w:i w:val="0"/>
            <w:iCs w:val="0"/>
          </w:rPr>
          <w:t>1066- دیوان ترابا أصفهانی أو شعره‏</w:t>
        </w:r>
        <w:r>
          <w:tab/>
        </w:r>
        <w:r>
          <w:fldChar w:fldCharType="begin"/>
        </w:r>
        <w:r>
          <w:instrText xml:space="preserve">PAGEREF 1312 \h</w:instrText>
        </w:r>
        <w:r>
          <w:fldChar w:fldCharType="end"/>
        </w:r>
      </w:hyperlink>
    </w:p>
    <w:p>
      <w:pPr>
        <w:tabs>
          <w:tab w:val="right" w:leader="dot" w:pos="9062"/>
        </w:tabs>
        <w:ind w:left="440"/>
      </w:pPr>
      <w:hyperlink w:anchor="_Toc1313" w:history="1">
        <w:r>
          <w:rPr>
            <w:rFonts w:ascii="IRNazanin" w:hAnsi="IRNazanin" w:eastAsia="IRNazanin" w:cs="IRNazanin"/>
            <w:color w:val="111111"/>
            <w:sz w:val="22"/>
            <w:szCs w:val="22"/>
            <w:b w:val="0"/>
            <w:bCs w:val="0"/>
            <w:i w:val="0"/>
            <w:iCs w:val="0"/>
          </w:rPr>
          <w:t>1067- دیوان تراب أصفهانی أو شعره‏</w:t>
        </w:r>
        <w:r>
          <w:tab/>
        </w:r>
        <w:r>
          <w:fldChar w:fldCharType="begin"/>
        </w:r>
        <w:r>
          <w:instrText xml:space="preserve">PAGEREF 1313 \h</w:instrText>
        </w:r>
        <w:r>
          <w:fldChar w:fldCharType="end"/>
        </w:r>
      </w:hyperlink>
    </w:p>
    <w:p>
      <w:pPr>
        <w:tabs>
          <w:tab w:val="right" w:leader="dot" w:pos="9062"/>
        </w:tabs>
        <w:ind w:left="440"/>
      </w:pPr>
      <w:hyperlink w:anchor="_Toc1314" w:history="1">
        <w:r>
          <w:rPr>
            <w:rFonts w:ascii="IRNazanin" w:hAnsi="IRNazanin" w:eastAsia="IRNazanin" w:cs="IRNazanin"/>
            <w:color w:val="111111"/>
            <w:sz w:val="22"/>
            <w:szCs w:val="22"/>
            <w:b w:val="0"/>
            <w:bCs w:val="0"/>
            <w:i w:val="0"/>
            <w:iCs w:val="0"/>
          </w:rPr>
          <w:t>1068- دیوان تراب کاشی‏</w:t>
        </w:r>
        <w:r>
          <w:tab/>
        </w:r>
        <w:r>
          <w:fldChar w:fldCharType="begin"/>
        </w:r>
        <w:r>
          <w:instrText xml:space="preserve">PAGEREF 1314 \h</w:instrText>
        </w:r>
        <w:r>
          <w:fldChar w:fldCharType="end"/>
        </w:r>
      </w:hyperlink>
    </w:p>
    <w:p>
      <w:pPr>
        <w:tabs>
          <w:tab w:val="right" w:leader="dot" w:pos="9062"/>
        </w:tabs>
        <w:ind w:left="440"/>
      </w:pPr>
      <w:hyperlink w:anchor="_Toc1315" w:history="1">
        <w:r>
          <w:rPr>
            <w:rFonts w:ascii="IRNazanin" w:hAnsi="IRNazanin" w:eastAsia="IRNazanin" w:cs="IRNazanin"/>
            <w:color w:val="111111"/>
            <w:sz w:val="22"/>
            <w:szCs w:val="22"/>
            <w:b w:val="0"/>
            <w:bCs w:val="0"/>
            <w:i w:val="0"/>
            <w:iCs w:val="0"/>
          </w:rPr>
          <w:t>1069- دیوان ترابی پانی‏پتی أو شعره‏</w:t>
        </w:r>
        <w:r>
          <w:tab/>
        </w:r>
        <w:r>
          <w:fldChar w:fldCharType="begin"/>
        </w:r>
        <w:r>
          <w:instrText xml:space="preserve">PAGEREF 1315 \h</w:instrText>
        </w:r>
        <w:r>
          <w:fldChar w:fldCharType="end"/>
        </w:r>
      </w:hyperlink>
    </w:p>
    <w:p>
      <w:pPr>
        <w:tabs>
          <w:tab w:val="right" w:leader="dot" w:pos="9062"/>
        </w:tabs>
        <w:ind w:left="440"/>
      </w:pPr>
      <w:hyperlink w:anchor="_Toc1316" w:history="1">
        <w:r>
          <w:rPr>
            <w:rFonts w:ascii="IRNazanin" w:hAnsi="IRNazanin" w:eastAsia="IRNazanin" w:cs="IRNazanin"/>
            <w:color w:val="111111"/>
            <w:sz w:val="22"/>
            <w:szCs w:val="22"/>
            <w:b w:val="0"/>
            <w:bCs w:val="0"/>
            <w:i w:val="0"/>
            <w:iCs w:val="0"/>
          </w:rPr>
          <w:t>1070- دیوان ترابی بلخی أو شعره‏</w:t>
        </w:r>
        <w:r>
          <w:tab/>
        </w:r>
        <w:r>
          <w:fldChar w:fldCharType="begin"/>
        </w:r>
        <w:r>
          <w:instrText xml:space="preserve">PAGEREF 1316 \h</w:instrText>
        </w:r>
        <w:r>
          <w:fldChar w:fldCharType="end"/>
        </w:r>
      </w:hyperlink>
    </w:p>
    <w:p>
      <w:pPr>
        <w:tabs>
          <w:tab w:val="right" w:leader="dot" w:pos="9062"/>
        </w:tabs>
        <w:ind w:left="440"/>
      </w:pPr>
      <w:hyperlink w:anchor="_Toc1317" w:history="1">
        <w:r>
          <w:rPr>
            <w:rFonts w:ascii="IRNazanin" w:hAnsi="IRNazanin" w:eastAsia="IRNazanin" w:cs="IRNazanin"/>
            <w:color w:val="111111"/>
            <w:sz w:val="22"/>
            <w:szCs w:val="22"/>
            <w:b w:val="0"/>
            <w:bCs w:val="0"/>
            <w:i w:val="0"/>
            <w:iCs w:val="0"/>
          </w:rPr>
          <w:t>1071- دیوان ترخانی أو شعره‏</w:t>
        </w:r>
        <w:r>
          <w:tab/>
        </w:r>
        <w:r>
          <w:fldChar w:fldCharType="begin"/>
        </w:r>
        <w:r>
          <w:instrText xml:space="preserve">PAGEREF 1317 \h</w:instrText>
        </w:r>
        <w:r>
          <w:fldChar w:fldCharType="end"/>
        </w:r>
      </w:hyperlink>
    </w:p>
    <w:p>
      <w:pPr>
        <w:tabs>
          <w:tab w:val="right" w:leader="dot" w:pos="9062"/>
        </w:tabs>
        <w:ind w:left="440"/>
      </w:pPr>
      <w:hyperlink w:anchor="_Toc1318" w:history="1">
        <w:r>
          <w:rPr>
            <w:rFonts w:ascii="IRNazanin" w:hAnsi="IRNazanin" w:eastAsia="IRNazanin" w:cs="IRNazanin"/>
            <w:color w:val="111111"/>
            <w:sz w:val="22"/>
            <w:szCs w:val="22"/>
            <w:b w:val="0"/>
            <w:bCs w:val="0"/>
            <w:i w:val="0"/>
            <w:iCs w:val="0"/>
          </w:rPr>
          <w:t>1072- دیوان ترکمان شیرازی أو شعره‏</w:t>
        </w:r>
        <w:r>
          <w:tab/>
        </w:r>
        <w:r>
          <w:fldChar w:fldCharType="begin"/>
        </w:r>
        <w:r>
          <w:instrText xml:space="preserve">PAGEREF 1318 \h</w:instrText>
        </w:r>
        <w:r>
          <w:fldChar w:fldCharType="end"/>
        </w:r>
      </w:hyperlink>
    </w:p>
    <w:p>
      <w:pPr>
        <w:tabs>
          <w:tab w:val="right" w:leader="dot" w:pos="9062"/>
        </w:tabs>
        <w:ind w:left="440"/>
      </w:pPr>
      <w:hyperlink w:anchor="_Toc1319" w:history="1">
        <w:r>
          <w:rPr>
            <w:rFonts w:ascii="IRNazanin" w:hAnsi="IRNazanin" w:eastAsia="IRNazanin" w:cs="IRNazanin"/>
            <w:color w:val="111111"/>
            <w:sz w:val="22"/>
            <w:szCs w:val="22"/>
            <w:b w:val="0"/>
            <w:bCs w:val="0"/>
            <w:i w:val="0"/>
            <w:iCs w:val="0"/>
          </w:rPr>
          <w:t>1073- دیوان ترکی شیرازی‏</w:t>
        </w:r>
        <w:r>
          <w:tab/>
        </w:r>
        <w:r>
          <w:fldChar w:fldCharType="begin"/>
        </w:r>
        <w:r>
          <w:instrText xml:space="preserve">PAGEREF 1319 \h</w:instrText>
        </w:r>
        <w:r>
          <w:fldChar w:fldCharType="end"/>
        </w:r>
      </w:hyperlink>
    </w:p>
    <w:p>
      <w:pPr>
        <w:tabs>
          <w:tab w:val="right" w:leader="dot" w:pos="9062"/>
        </w:tabs>
        <w:ind w:left="440"/>
      </w:pPr>
      <w:hyperlink w:anchor="_Toc1320" w:history="1">
        <w:r>
          <w:rPr>
            <w:rFonts w:ascii="IRNazanin" w:hAnsi="IRNazanin" w:eastAsia="IRNazanin" w:cs="IRNazanin"/>
            <w:color w:val="111111"/>
            <w:sz w:val="22"/>
            <w:szCs w:val="22"/>
            <w:b w:val="0"/>
            <w:bCs w:val="0"/>
            <w:i w:val="0"/>
            <w:iCs w:val="0"/>
          </w:rPr>
          <w:t>دیوان ترکی همدانی أو شعره‏</w:t>
        </w:r>
        <w:r>
          <w:tab/>
        </w:r>
        <w:r>
          <w:fldChar w:fldCharType="begin"/>
        </w:r>
        <w:r>
          <w:instrText xml:space="preserve">PAGEREF 1320 \h</w:instrText>
        </w:r>
        <w:r>
          <w:fldChar w:fldCharType="end"/>
        </w:r>
      </w:hyperlink>
    </w:p>
    <w:p>
      <w:pPr>
        <w:tabs>
          <w:tab w:val="right" w:leader="dot" w:pos="9062"/>
        </w:tabs>
        <w:ind w:left="440"/>
      </w:pPr>
      <w:hyperlink w:anchor="_Toc1321" w:history="1">
        <w:r>
          <w:rPr>
            <w:rFonts w:ascii="IRNazanin" w:hAnsi="IRNazanin" w:eastAsia="IRNazanin" w:cs="IRNazanin"/>
            <w:color w:val="111111"/>
            <w:sz w:val="22"/>
            <w:szCs w:val="22"/>
            <w:b w:val="0"/>
            <w:bCs w:val="0"/>
            <w:i w:val="0"/>
            <w:iCs w:val="0"/>
          </w:rPr>
          <w:t>1074- دیوان ترمذی بلگرامی أو شعره‏</w:t>
        </w:r>
        <w:r>
          <w:tab/>
        </w:r>
        <w:r>
          <w:fldChar w:fldCharType="begin"/>
        </w:r>
        <w:r>
          <w:instrText xml:space="preserve">PAGEREF 1321 \h</w:instrText>
        </w:r>
        <w:r>
          <w:fldChar w:fldCharType="end"/>
        </w:r>
      </w:hyperlink>
    </w:p>
    <w:p>
      <w:pPr>
        <w:tabs>
          <w:tab w:val="right" w:leader="dot" w:pos="9062"/>
        </w:tabs>
        <w:ind w:left="440"/>
      </w:pPr>
      <w:hyperlink w:anchor="_Toc1322" w:history="1">
        <w:r>
          <w:rPr>
            <w:rFonts w:ascii="IRNazanin" w:hAnsi="IRNazanin" w:eastAsia="IRNazanin" w:cs="IRNazanin"/>
            <w:color w:val="111111"/>
            <w:sz w:val="22"/>
            <w:szCs w:val="22"/>
            <w:b w:val="0"/>
            <w:bCs w:val="0"/>
            <w:i w:val="0"/>
            <w:iCs w:val="0"/>
          </w:rPr>
          <w:t>1075- دیوان تزریقی أردبیلی أو شعره‏</w:t>
        </w:r>
        <w:r>
          <w:tab/>
        </w:r>
        <w:r>
          <w:fldChar w:fldCharType="begin"/>
        </w:r>
        <w:r>
          <w:instrText xml:space="preserve">PAGEREF 1322 \h</w:instrText>
        </w:r>
        <w:r>
          <w:fldChar w:fldCharType="end"/>
        </w:r>
      </w:hyperlink>
    </w:p>
    <w:p>
      <w:pPr>
        <w:tabs>
          <w:tab w:val="right" w:leader="dot" w:pos="9062"/>
        </w:tabs>
        <w:ind w:left="440"/>
      </w:pPr>
      <w:hyperlink w:anchor="_Toc1323" w:history="1">
        <w:r>
          <w:rPr>
            <w:rFonts w:ascii="IRNazanin" w:hAnsi="IRNazanin" w:eastAsia="IRNazanin" w:cs="IRNazanin"/>
            <w:color w:val="111111"/>
            <w:sz w:val="22"/>
            <w:szCs w:val="22"/>
            <w:b w:val="0"/>
            <w:bCs w:val="0"/>
            <w:i w:val="0"/>
            <w:iCs w:val="0"/>
          </w:rPr>
          <w:t>1076- دیوان تسکین تبریزی أو شعره‏</w:t>
        </w:r>
        <w:r>
          <w:tab/>
        </w:r>
        <w:r>
          <w:fldChar w:fldCharType="begin"/>
        </w:r>
        <w:r>
          <w:instrText xml:space="preserve">PAGEREF 1323 \h</w:instrText>
        </w:r>
        <w:r>
          <w:fldChar w:fldCharType="end"/>
        </w:r>
      </w:hyperlink>
    </w:p>
    <w:p>
      <w:pPr>
        <w:tabs>
          <w:tab w:val="right" w:leader="dot" w:pos="9062"/>
        </w:tabs>
        <w:ind w:left="440"/>
      </w:pPr>
      <w:hyperlink w:anchor="_Toc1324" w:history="1">
        <w:r>
          <w:rPr>
            <w:rFonts w:ascii="IRNazanin" w:hAnsi="IRNazanin" w:eastAsia="IRNazanin" w:cs="IRNazanin"/>
            <w:color w:val="111111"/>
            <w:sz w:val="22"/>
            <w:szCs w:val="22"/>
            <w:b w:val="0"/>
            <w:bCs w:val="0"/>
            <w:i w:val="0"/>
            <w:iCs w:val="0"/>
          </w:rPr>
          <w:t>1077- دیوان تسکین دهلوی أو شعره‏</w:t>
        </w:r>
        <w:r>
          <w:tab/>
        </w:r>
        <w:r>
          <w:fldChar w:fldCharType="begin"/>
        </w:r>
        <w:r>
          <w:instrText xml:space="preserve">PAGEREF 1324 \h</w:instrText>
        </w:r>
        <w:r>
          <w:fldChar w:fldCharType="end"/>
        </w:r>
      </w:hyperlink>
    </w:p>
    <w:p>
      <w:pPr>
        <w:tabs>
          <w:tab w:val="right" w:leader="dot" w:pos="9062"/>
        </w:tabs>
        <w:ind w:left="440"/>
      </w:pPr>
      <w:hyperlink w:anchor="_Toc1325" w:history="1">
        <w:r>
          <w:rPr>
            <w:rFonts w:ascii="IRNazanin" w:hAnsi="IRNazanin" w:eastAsia="IRNazanin" w:cs="IRNazanin"/>
            <w:color w:val="111111"/>
            <w:sz w:val="22"/>
            <w:szCs w:val="22"/>
            <w:b w:val="0"/>
            <w:bCs w:val="0"/>
            <w:i w:val="0"/>
            <w:iCs w:val="0"/>
          </w:rPr>
          <w:t>1078- دیوان تسلی أسترآبادی أو شعره‏</w:t>
        </w:r>
        <w:r>
          <w:tab/>
        </w:r>
        <w:r>
          <w:fldChar w:fldCharType="begin"/>
        </w:r>
        <w:r>
          <w:instrText xml:space="preserve">PAGEREF 1325 \h</w:instrText>
        </w:r>
        <w:r>
          <w:fldChar w:fldCharType="end"/>
        </w:r>
      </w:hyperlink>
    </w:p>
    <w:p>
      <w:pPr>
        <w:tabs>
          <w:tab w:val="right" w:leader="dot" w:pos="9062"/>
        </w:tabs>
        <w:ind w:left="440"/>
      </w:pPr>
      <w:hyperlink w:anchor="_Toc1326" w:history="1">
        <w:r>
          <w:rPr>
            <w:rFonts w:ascii="IRNazanin" w:hAnsi="IRNazanin" w:eastAsia="IRNazanin" w:cs="IRNazanin"/>
            <w:color w:val="111111"/>
            <w:sz w:val="22"/>
            <w:szCs w:val="22"/>
            <w:b w:val="0"/>
            <w:bCs w:val="0"/>
            <w:i w:val="0"/>
            <w:iCs w:val="0"/>
          </w:rPr>
          <w:t>1079- دیوان تسلی أصفهانی أو شعره‏</w:t>
        </w:r>
        <w:r>
          <w:tab/>
        </w:r>
        <w:r>
          <w:fldChar w:fldCharType="begin"/>
        </w:r>
        <w:r>
          <w:instrText xml:space="preserve">PAGEREF 1326 \h</w:instrText>
        </w:r>
        <w:r>
          <w:fldChar w:fldCharType="end"/>
        </w:r>
      </w:hyperlink>
    </w:p>
    <w:p>
      <w:pPr>
        <w:tabs>
          <w:tab w:val="right" w:leader="dot" w:pos="9062"/>
        </w:tabs>
        <w:ind w:left="440"/>
      </w:pPr>
      <w:hyperlink w:anchor="_Toc1327" w:history="1">
        <w:r>
          <w:rPr>
            <w:rFonts w:ascii="IRNazanin" w:hAnsi="IRNazanin" w:eastAsia="IRNazanin" w:cs="IRNazanin"/>
            <w:color w:val="111111"/>
            <w:sz w:val="22"/>
            <w:szCs w:val="22"/>
            <w:b w:val="0"/>
            <w:bCs w:val="0"/>
            <w:i w:val="0"/>
            <w:iCs w:val="0"/>
          </w:rPr>
          <w:t>1080- دیوان تسلی شیرازی أو شعره‏</w:t>
        </w:r>
        <w:r>
          <w:tab/>
        </w:r>
        <w:r>
          <w:fldChar w:fldCharType="begin"/>
        </w:r>
        <w:r>
          <w:instrText xml:space="preserve">PAGEREF 1327 \h</w:instrText>
        </w:r>
        <w:r>
          <w:fldChar w:fldCharType="end"/>
        </w:r>
      </w:hyperlink>
    </w:p>
    <w:p>
      <w:pPr>
        <w:tabs>
          <w:tab w:val="right" w:leader="dot" w:pos="9062"/>
        </w:tabs>
        <w:ind w:left="440"/>
      </w:pPr>
      <w:hyperlink w:anchor="_Toc1328" w:history="1">
        <w:r>
          <w:rPr>
            <w:rFonts w:ascii="IRNazanin" w:hAnsi="IRNazanin" w:eastAsia="IRNazanin" w:cs="IRNazanin"/>
            <w:color w:val="111111"/>
            <w:sz w:val="22"/>
            <w:szCs w:val="22"/>
            <w:b w:val="0"/>
            <w:bCs w:val="0"/>
            <w:i w:val="0"/>
            <w:iCs w:val="0"/>
          </w:rPr>
          <w:t>1081- دیوان تسلیم أصفهانی‏</w:t>
        </w:r>
        <w:r>
          <w:tab/>
        </w:r>
        <w:r>
          <w:fldChar w:fldCharType="begin"/>
        </w:r>
        <w:r>
          <w:instrText xml:space="preserve">PAGEREF 1328 \h</w:instrText>
        </w:r>
        <w:r>
          <w:fldChar w:fldCharType="end"/>
        </w:r>
      </w:hyperlink>
    </w:p>
    <w:p>
      <w:pPr>
        <w:tabs>
          <w:tab w:val="right" w:leader="dot" w:pos="9062"/>
        </w:tabs>
        <w:ind w:left="440"/>
      </w:pPr>
      <w:hyperlink w:anchor="_Toc1329" w:history="1">
        <w:r>
          <w:rPr>
            <w:rFonts w:ascii="IRNazanin" w:hAnsi="IRNazanin" w:eastAsia="IRNazanin" w:cs="IRNazanin"/>
            <w:color w:val="111111"/>
            <w:sz w:val="22"/>
            <w:szCs w:val="22"/>
            <w:b w:val="0"/>
            <w:bCs w:val="0"/>
            <w:i w:val="0"/>
            <w:iCs w:val="0"/>
          </w:rPr>
          <w:t>1082- دیوان تسلیم أصفهانی‏</w:t>
        </w:r>
        <w:r>
          <w:tab/>
        </w:r>
        <w:r>
          <w:fldChar w:fldCharType="begin"/>
        </w:r>
        <w:r>
          <w:instrText xml:space="preserve">PAGEREF 1329 \h</w:instrText>
        </w:r>
        <w:r>
          <w:fldChar w:fldCharType="end"/>
        </w:r>
      </w:hyperlink>
    </w:p>
    <w:p>
      <w:pPr>
        <w:tabs>
          <w:tab w:val="right" w:leader="dot" w:pos="9062"/>
        </w:tabs>
        <w:ind w:left="440"/>
      </w:pPr>
      <w:hyperlink w:anchor="_Toc1330" w:history="1">
        <w:r>
          <w:rPr>
            <w:rFonts w:ascii="IRNazanin" w:hAnsi="IRNazanin" w:eastAsia="IRNazanin" w:cs="IRNazanin"/>
            <w:color w:val="111111"/>
            <w:sz w:val="22"/>
            <w:szCs w:val="22"/>
            <w:b w:val="0"/>
            <w:bCs w:val="0"/>
            <w:i w:val="0"/>
            <w:iCs w:val="0"/>
          </w:rPr>
          <w:t>1083- دیوان تسلیم خراسانی أو شعره‏</w:t>
        </w:r>
        <w:r>
          <w:tab/>
        </w:r>
        <w:r>
          <w:fldChar w:fldCharType="begin"/>
        </w:r>
        <w:r>
          <w:instrText xml:space="preserve">PAGEREF 1330 \h</w:instrText>
        </w:r>
        <w:r>
          <w:fldChar w:fldCharType="end"/>
        </w:r>
      </w:hyperlink>
    </w:p>
    <w:p>
      <w:pPr>
        <w:tabs>
          <w:tab w:val="right" w:leader="dot" w:pos="9062"/>
        </w:tabs>
        <w:ind w:left="440"/>
      </w:pPr>
      <w:hyperlink w:anchor="_Toc1331" w:history="1">
        <w:r>
          <w:rPr>
            <w:rFonts w:ascii="IRNazanin" w:hAnsi="IRNazanin" w:eastAsia="IRNazanin" w:cs="IRNazanin"/>
            <w:color w:val="111111"/>
            <w:sz w:val="22"/>
            <w:szCs w:val="22"/>
            <w:b w:val="0"/>
            <w:bCs w:val="0"/>
            <w:i w:val="0"/>
            <w:iCs w:val="0"/>
          </w:rPr>
          <w:t>1084- دیوان تسلیم سندی أو شعره‏</w:t>
        </w:r>
        <w:r>
          <w:tab/>
        </w:r>
        <w:r>
          <w:fldChar w:fldCharType="begin"/>
        </w:r>
        <w:r>
          <w:instrText xml:space="preserve">PAGEREF 1331 \h</w:instrText>
        </w:r>
        <w:r>
          <w:fldChar w:fldCharType="end"/>
        </w:r>
      </w:hyperlink>
    </w:p>
    <w:p>
      <w:pPr>
        <w:tabs>
          <w:tab w:val="right" w:leader="dot" w:pos="9062"/>
        </w:tabs>
        <w:ind w:left="440"/>
      </w:pPr>
      <w:hyperlink w:anchor="_Toc1332" w:history="1">
        <w:r>
          <w:rPr>
            <w:rFonts w:ascii="IRNazanin" w:hAnsi="IRNazanin" w:eastAsia="IRNazanin" w:cs="IRNazanin"/>
            <w:color w:val="111111"/>
            <w:sz w:val="22"/>
            <w:szCs w:val="22"/>
            <w:b w:val="0"/>
            <w:bCs w:val="0"/>
            <w:i w:val="0"/>
            <w:iCs w:val="0"/>
          </w:rPr>
          <w:t>1085- دیوان تسلیم سهسوانی‏</w:t>
        </w:r>
        <w:r>
          <w:tab/>
        </w:r>
        <w:r>
          <w:fldChar w:fldCharType="begin"/>
        </w:r>
        <w:r>
          <w:instrText xml:space="preserve">PAGEREF 1332 \h</w:instrText>
        </w:r>
        <w:r>
          <w:fldChar w:fldCharType="end"/>
        </w:r>
      </w:hyperlink>
    </w:p>
    <w:p>
      <w:pPr>
        <w:tabs>
          <w:tab w:val="right" w:leader="dot" w:pos="9062"/>
        </w:tabs>
        <w:ind w:left="440"/>
      </w:pPr>
      <w:hyperlink w:anchor="_Toc1333" w:history="1">
        <w:r>
          <w:rPr>
            <w:rFonts w:ascii="IRNazanin" w:hAnsi="IRNazanin" w:eastAsia="IRNazanin" w:cs="IRNazanin"/>
            <w:color w:val="111111"/>
            <w:sz w:val="22"/>
            <w:szCs w:val="22"/>
            <w:b w:val="0"/>
            <w:bCs w:val="0"/>
            <w:i w:val="0"/>
            <w:iCs w:val="0"/>
          </w:rPr>
          <w:t>1086- دیوان تسلیم شیرازی أو شعره‏</w:t>
        </w:r>
        <w:r>
          <w:tab/>
        </w:r>
        <w:r>
          <w:fldChar w:fldCharType="begin"/>
        </w:r>
        <w:r>
          <w:instrText xml:space="preserve">PAGEREF 1333 \h</w:instrText>
        </w:r>
        <w:r>
          <w:fldChar w:fldCharType="end"/>
        </w:r>
      </w:hyperlink>
    </w:p>
    <w:p>
      <w:pPr>
        <w:tabs>
          <w:tab w:val="right" w:leader="dot" w:pos="9062"/>
        </w:tabs>
        <w:ind w:left="440"/>
      </w:pPr>
      <w:hyperlink w:anchor="_Toc1334" w:history="1">
        <w:r>
          <w:rPr>
            <w:rFonts w:ascii="IRNazanin" w:hAnsi="IRNazanin" w:eastAsia="IRNazanin" w:cs="IRNazanin"/>
            <w:color w:val="111111"/>
            <w:sz w:val="22"/>
            <w:szCs w:val="22"/>
            <w:b w:val="0"/>
            <w:bCs w:val="0"/>
            <w:i w:val="0"/>
            <w:iCs w:val="0"/>
          </w:rPr>
          <w:t>1087- دیوان تسلیم شیرازی أو شعره‏</w:t>
        </w:r>
        <w:r>
          <w:tab/>
        </w:r>
        <w:r>
          <w:fldChar w:fldCharType="begin"/>
        </w:r>
        <w:r>
          <w:instrText xml:space="preserve">PAGEREF 1334 \h</w:instrText>
        </w:r>
        <w:r>
          <w:fldChar w:fldCharType="end"/>
        </w:r>
      </w:hyperlink>
    </w:p>
    <w:p>
      <w:pPr>
        <w:tabs>
          <w:tab w:val="right" w:leader="dot" w:pos="9062"/>
        </w:tabs>
        <w:ind w:left="440"/>
      </w:pPr>
      <w:hyperlink w:anchor="_Toc1335" w:history="1">
        <w:r>
          <w:rPr>
            <w:rFonts w:ascii="IRNazanin" w:hAnsi="IRNazanin" w:eastAsia="IRNazanin" w:cs="IRNazanin"/>
            <w:color w:val="111111"/>
            <w:sz w:val="22"/>
            <w:szCs w:val="22"/>
            <w:b w:val="0"/>
            <w:bCs w:val="0"/>
            <w:i w:val="0"/>
            <w:iCs w:val="0"/>
          </w:rPr>
          <w:t>دیوان تسلیم کاشانی أو شعره‏</w:t>
        </w:r>
        <w:r>
          <w:tab/>
        </w:r>
        <w:r>
          <w:fldChar w:fldCharType="begin"/>
        </w:r>
        <w:r>
          <w:instrText xml:space="preserve">PAGEREF 1335 \h</w:instrText>
        </w:r>
        <w:r>
          <w:fldChar w:fldCharType="end"/>
        </w:r>
      </w:hyperlink>
    </w:p>
    <w:p>
      <w:pPr>
        <w:tabs>
          <w:tab w:val="right" w:leader="dot" w:pos="9062"/>
        </w:tabs>
        <w:ind w:left="440"/>
      </w:pPr>
      <w:hyperlink w:anchor="_Toc1336" w:history="1">
        <w:r>
          <w:rPr>
            <w:rFonts w:ascii="IRNazanin" w:hAnsi="IRNazanin" w:eastAsia="IRNazanin" w:cs="IRNazanin"/>
            <w:color w:val="111111"/>
            <w:sz w:val="22"/>
            <w:szCs w:val="22"/>
            <w:b w:val="0"/>
            <w:bCs w:val="0"/>
            <w:i w:val="0"/>
            <w:iCs w:val="0"/>
          </w:rPr>
          <w:t>دیوان تسلیم کشمیری‏</w:t>
        </w:r>
        <w:r>
          <w:tab/>
        </w:r>
        <w:r>
          <w:fldChar w:fldCharType="begin"/>
        </w:r>
        <w:r>
          <w:instrText xml:space="preserve">PAGEREF 1336 \h</w:instrText>
        </w:r>
        <w:r>
          <w:fldChar w:fldCharType="end"/>
        </w:r>
      </w:hyperlink>
    </w:p>
    <w:p>
      <w:pPr>
        <w:tabs>
          <w:tab w:val="right" w:leader="dot" w:pos="9062"/>
        </w:tabs>
        <w:ind w:left="440"/>
      </w:pPr>
      <w:hyperlink w:anchor="_Toc1337" w:history="1">
        <w:r>
          <w:rPr>
            <w:rFonts w:ascii="IRNazanin" w:hAnsi="IRNazanin" w:eastAsia="IRNazanin" w:cs="IRNazanin"/>
            <w:color w:val="111111"/>
            <w:sz w:val="22"/>
            <w:szCs w:val="22"/>
            <w:b w:val="0"/>
            <w:bCs w:val="0"/>
            <w:i w:val="0"/>
            <w:iCs w:val="0"/>
          </w:rPr>
          <w:t>1088- دیوان تسلیم هندی‏</w:t>
        </w:r>
        <w:r>
          <w:tab/>
        </w:r>
        <w:r>
          <w:fldChar w:fldCharType="begin"/>
        </w:r>
        <w:r>
          <w:instrText xml:space="preserve">PAGEREF 1337 \h</w:instrText>
        </w:r>
        <w:r>
          <w:fldChar w:fldCharType="end"/>
        </w:r>
      </w:hyperlink>
    </w:p>
    <w:p>
      <w:pPr>
        <w:tabs>
          <w:tab w:val="right" w:leader="dot" w:pos="9062"/>
        </w:tabs>
        <w:ind w:left="440"/>
      </w:pPr>
      <w:hyperlink w:anchor="_Toc1338" w:history="1">
        <w:r>
          <w:rPr>
            <w:rFonts w:ascii="IRNazanin" w:hAnsi="IRNazanin" w:eastAsia="IRNazanin" w:cs="IRNazanin"/>
            <w:color w:val="111111"/>
            <w:sz w:val="22"/>
            <w:szCs w:val="22"/>
            <w:b w:val="0"/>
            <w:bCs w:val="0"/>
            <w:i w:val="0"/>
            <w:iCs w:val="0"/>
          </w:rPr>
          <w:t>1089- دیوان تشبیهی کاشی‏</w:t>
        </w:r>
        <w:r>
          <w:tab/>
        </w:r>
        <w:r>
          <w:fldChar w:fldCharType="begin"/>
        </w:r>
        <w:r>
          <w:instrText xml:space="preserve">PAGEREF 1338 \h</w:instrText>
        </w:r>
        <w:r>
          <w:fldChar w:fldCharType="end"/>
        </w:r>
      </w:hyperlink>
    </w:p>
    <w:p>
      <w:pPr>
        <w:tabs>
          <w:tab w:val="right" w:leader="dot" w:pos="9062"/>
        </w:tabs>
        <w:ind w:left="440"/>
      </w:pPr>
      <w:hyperlink w:anchor="_Toc1339" w:history="1">
        <w:r>
          <w:rPr>
            <w:rFonts w:ascii="IRNazanin" w:hAnsi="IRNazanin" w:eastAsia="IRNazanin" w:cs="IRNazanin"/>
            <w:color w:val="111111"/>
            <w:sz w:val="22"/>
            <w:szCs w:val="22"/>
            <w:b w:val="0"/>
            <w:bCs w:val="0"/>
            <w:i w:val="0"/>
            <w:iCs w:val="0"/>
          </w:rPr>
          <w:t>1090- دیوان تشنه طهرانی‏</w:t>
        </w:r>
        <w:r>
          <w:tab/>
        </w:r>
        <w:r>
          <w:fldChar w:fldCharType="begin"/>
        </w:r>
        <w:r>
          <w:instrText xml:space="preserve">PAGEREF 1339 \h</w:instrText>
        </w:r>
        <w:r>
          <w:fldChar w:fldCharType="end"/>
        </w:r>
      </w:hyperlink>
    </w:p>
    <w:p>
      <w:pPr>
        <w:tabs>
          <w:tab w:val="right" w:leader="dot" w:pos="9062"/>
        </w:tabs>
        <w:ind w:left="440"/>
      </w:pPr>
      <w:hyperlink w:anchor="_Toc1340" w:history="1">
        <w:r>
          <w:rPr>
            <w:rFonts w:ascii="IRNazanin" w:hAnsi="IRNazanin" w:eastAsia="IRNazanin" w:cs="IRNazanin"/>
            <w:color w:val="111111"/>
            <w:sz w:val="22"/>
            <w:szCs w:val="22"/>
            <w:b w:val="0"/>
            <w:bCs w:val="0"/>
            <w:i w:val="0"/>
            <w:iCs w:val="0"/>
          </w:rPr>
          <w:t>دیوان تصنیف أصفهانی‏</w:t>
        </w:r>
        <w:r>
          <w:tab/>
        </w:r>
        <w:r>
          <w:fldChar w:fldCharType="begin"/>
        </w:r>
        <w:r>
          <w:instrText xml:space="preserve">PAGEREF 1340 \h</w:instrText>
        </w:r>
        <w:r>
          <w:fldChar w:fldCharType="end"/>
        </w:r>
      </w:hyperlink>
    </w:p>
    <w:p>
      <w:pPr>
        <w:tabs>
          <w:tab w:val="right" w:leader="dot" w:pos="9062"/>
        </w:tabs>
        <w:ind w:left="440"/>
      </w:pPr>
      <w:hyperlink w:anchor="_Toc1341" w:history="1">
        <w:r>
          <w:rPr>
            <w:rFonts w:ascii="IRNazanin" w:hAnsi="IRNazanin" w:eastAsia="IRNazanin" w:cs="IRNazanin"/>
            <w:color w:val="111111"/>
            <w:sz w:val="22"/>
            <w:szCs w:val="22"/>
            <w:b w:val="0"/>
            <w:bCs w:val="0"/>
            <w:i w:val="0"/>
            <w:iCs w:val="0"/>
          </w:rPr>
          <w:t>1091- دیوان تصنیفی خوانساری أو شعره‏</w:t>
        </w:r>
        <w:r>
          <w:tab/>
        </w:r>
        <w:r>
          <w:fldChar w:fldCharType="begin"/>
        </w:r>
        <w:r>
          <w:instrText xml:space="preserve">PAGEREF 1341 \h</w:instrText>
        </w:r>
        <w:r>
          <w:fldChar w:fldCharType="end"/>
        </w:r>
      </w:hyperlink>
    </w:p>
    <w:p>
      <w:pPr>
        <w:tabs>
          <w:tab w:val="right" w:leader="dot" w:pos="9062"/>
        </w:tabs>
        <w:ind w:left="440"/>
      </w:pPr>
      <w:hyperlink w:anchor="_Toc1342" w:history="1">
        <w:r>
          <w:rPr>
            <w:rFonts w:ascii="IRNazanin" w:hAnsi="IRNazanin" w:eastAsia="IRNazanin" w:cs="IRNazanin"/>
            <w:color w:val="111111"/>
            <w:sz w:val="22"/>
            <w:szCs w:val="22"/>
            <w:b w:val="0"/>
            <w:bCs w:val="0"/>
            <w:i w:val="0"/>
            <w:iCs w:val="0"/>
          </w:rPr>
          <w:t>1092- دیوان تعظیما قمی أو شعره‏</w:t>
        </w:r>
        <w:r>
          <w:tab/>
        </w:r>
        <w:r>
          <w:fldChar w:fldCharType="begin"/>
        </w:r>
        <w:r>
          <w:instrText xml:space="preserve">PAGEREF 1342 \h</w:instrText>
        </w:r>
        <w:r>
          <w:fldChar w:fldCharType="end"/>
        </w:r>
      </w:hyperlink>
    </w:p>
    <w:p>
      <w:pPr>
        <w:tabs>
          <w:tab w:val="right" w:leader="dot" w:pos="9062"/>
        </w:tabs>
        <w:ind w:left="440"/>
      </w:pPr>
      <w:hyperlink w:anchor="_Toc1343" w:history="1">
        <w:r>
          <w:rPr>
            <w:rFonts w:ascii="IRNazanin" w:hAnsi="IRNazanin" w:eastAsia="IRNazanin" w:cs="IRNazanin"/>
            <w:color w:val="111111"/>
            <w:sz w:val="22"/>
            <w:szCs w:val="22"/>
            <w:b w:val="0"/>
            <w:bCs w:val="0"/>
            <w:i w:val="0"/>
            <w:iCs w:val="0"/>
          </w:rPr>
          <w:t>1093- دیوان تعظیم مازندرانی‏</w:t>
        </w:r>
        <w:r>
          <w:tab/>
        </w:r>
        <w:r>
          <w:fldChar w:fldCharType="begin"/>
        </w:r>
        <w:r>
          <w:instrText xml:space="preserve">PAGEREF 1343 \h</w:instrText>
        </w:r>
        <w:r>
          <w:fldChar w:fldCharType="end"/>
        </w:r>
      </w:hyperlink>
    </w:p>
    <w:p>
      <w:pPr>
        <w:tabs>
          <w:tab w:val="right" w:leader="dot" w:pos="9062"/>
        </w:tabs>
        <w:ind w:left="440"/>
      </w:pPr>
      <w:hyperlink w:anchor="_Toc1344" w:history="1">
        <w:r>
          <w:rPr>
            <w:rFonts w:ascii="IRNazanin" w:hAnsi="IRNazanin" w:eastAsia="IRNazanin" w:cs="IRNazanin"/>
            <w:color w:val="111111"/>
            <w:sz w:val="22"/>
            <w:szCs w:val="22"/>
            <w:b w:val="0"/>
            <w:bCs w:val="0"/>
            <w:i w:val="0"/>
            <w:iCs w:val="0"/>
          </w:rPr>
          <w:t>1094- دیوان تعین کاشانی أو شعره‏</w:t>
        </w:r>
        <w:r>
          <w:tab/>
        </w:r>
        <w:r>
          <w:fldChar w:fldCharType="begin"/>
        </w:r>
        <w:r>
          <w:instrText xml:space="preserve">PAGEREF 1344 \h</w:instrText>
        </w:r>
        <w:r>
          <w:fldChar w:fldCharType="end"/>
        </w:r>
      </w:hyperlink>
    </w:p>
    <w:p>
      <w:pPr>
        <w:tabs>
          <w:tab w:val="right" w:leader="dot" w:pos="9062"/>
        </w:tabs>
        <w:ind w:left="440"/>
      </w:pPr>
      <w:hyperlink w:anchor="_Toc1345" w:history="1">
        <w:r>
          <w:rPr>
            <w:rFonts w:ascii="IRNazanin" w:hAnsi="IRNazanin" w:eastAsia="IRNazanin" w:cs="IRNazanin"/>
            <w:color w:val="111111"/>
            <w:sz w:val="22"/>
            <w:szCs w:val="22"/>
            <w:b w:val="0"/>
            <w:bCs w:val="0"/>
            <w:i w:val="0"/>
            <w:iCs w:val="0"/>
          </w:rPr>
          <w:t>دیوان تفاحی‏</w:t>
        </w:r>
        <w:r>
          <w:tab/>
        </w:r>
        <w:r>
          <w:fldChar w:fldCharType="begin"/>
        </w:r>
        <w:r>
          <w:instrText xml:space="preserve">PAGEREF 1345 \h</w:instrText>
        </w:r>
        <w:r>
          <w:fldChar w:fldCharType="end"/>
        </w:r>
      </w:hyperlink>
    </w:p>
    <w:p>
      <w:pPr>
        <w:tabs>
          <w:tab w:val="right" w:leader="dot" w:pos="9062"/>
        </w:tabs>
        <w:ind w:left="440"/>
      </w:pPr>
      <w:hyperlink w:anchor="_Toc1346" w:history="1">
        <w:r>
          <w:rPr>
            <w:rFonts w:ascii="IRNazanin" w:hAnsi="IRNazanin" w:eastAsia="IRNazanin" w:cs="IRNazanin"/>
            <w:color w:val="111111"/>
            <w:sz w:val="22"/>
            <w:szCs w:val="22"/>
            <w:b w:val="0"/>
            <w:bCs w:val="0"/>
            <w:i w:val="0"/>
            <w:iCs w:val="0"/>
          </w:rPr>
          <w:t>1095- دیوان تفته هندی‏</w:t>
        </w:r>
        <w:r>
          <w:tab/>
        </w:r>
        <w:r>
          <w:fldChar w:fldCharType="begin"/>
        </w:r>
        <w:r>
          <w:instrText xml:space="preserve">PAGEREF 1346 \h</w:instrText>
        </w:r>
        <w:r>
          <w:fldChar w:fldCharType="end"/>
        </w:r>
      </w:hyperlink>
    </w:p>
    <w:p>
      <w:pPr>
        <w:tabs>
          <w:tab w:val="right" w:leader="dot" w:pos="9062"/>
        </w:tabs>
        <w:ind w:left="440"/>
      </w:pPr>
      <w:hyperlink w:anchor="_Toc1347" w:history="1">
        <w:r>
          <w:rPr>
            <w:rFonts w:ascii="IRNazanin" w:hAnsi="IRNazanin" w:eastAsia="IRNazanin" w:cs="IRNazanin"/>
            <w:color w:val="111111"/>
            <w:sz w:val="22"/>
            <w:szCs w:val="22"/>
            <w:b w:val="0"/>
            <w:bCs w:val="0"/>
            <w:i w:val="0"/>
            <w:iCs w:val="0"/>
          </w:rPr>
          <w:t>1096- دیوان تقیا شوشتری أو شعره‏</w:t>
        </w:r>
        <w:r>
          <w:tab/>
        </w:r>
        <w:r>
          <w:fldChar w:fldCharType="begin"/>
        </w:r>
        <w:r>
          <w:instrText xml:space="preserve">PAGEREF 1347 \h</w:instrText>
        </w:r>
        <w:r>
          <w:fldChar w:fldCharType="end"/>
        </w:r>
      </w:hyperlink>
    </w:p>
    <w:p>
      <w:pPr>
        <w:tabs>
          <w:tab w:val="right" w:leader="dot" w:pos="9062"/>
        </w:tabs>
        <w:ind w:left="440"/>
      </w:pPr>
      <w:hyperlink w:anchor="_Toc1348" w:history="1">
        <w:r>
          <w:rPr>
            <w:rFonts w:ascii="IRNazanin" w:hAnsi="IRNazanin" w:eastAsia="IRNazanin" w:cs="IRNazanin"/>
            <w:color w:val="111111"/>
            <w:sz w:val="22"/>
            <w:szCs w:val="22"/>
            <w:b w:val="0"/>
            <w:bCs w:val="0"/>
            <w:i w:val="0"/>
            <w:iCs w:val="0"/>
          </w:rPr>
          <w:t>1097- دیوان تقی أدب الکرمانشاهی أو شعره‏</w:t>
        </w:r>
        <w:r>
          <w:tab/>
        </w:r>
        <w:r>
          <w:fldChar w:fldCharType="begin"/>
        </w:r>
        <w:r>
          <w:instrText xml:space="preserve">PAGEREF 1348 \h</w:instrText>
        </w:r>
        <w:r>
          <w:fldChar w:fldCharType="end"/>
        </w:r>
      </w:hyperlink>
    </w:p>
    <w:p>
      <w:pPr>
        <w:tabs>
          <w:tab w:val="right" w:leader="dot" w:pos="9062"/>
        </w:tabs>
        <w:ind w:left="440"/>
      </w:pPr>
      <w:hyperlink w:anchor="_Toc1349" w:history="1">
        <w:r>
          <w:rPr>
            <w:rFonts w:ascii="IRNazanin" w:hAnsi="IRNazanin" w:eastAsia="IRNazanin" w:cs="IRNazanin"/>
            <w:color w:val="111111"/>
            <w:sz w:val="22"/>
            <w:szCs w:val="22"/>
            <w:b w:val="0"/>
            <w:bCs w:val="0"/>
            <w:i w:val="0"/>
            <w:iCs w:val="0"/>
          </w:rPr>
          <w:t>1098- دیوان تقی أصفهانی أو شعره‏</w:t>
        </w:r>
        <w:r>
          <w:tab/>
        </w:r>
        <w:r>
          <w:fldChar w:fldCharType="begin"/>
        </w:r>
        <w:r>
          <w:instrText xml:space="preserve">PAGEREF 1349 \h</w:instrText>
        </w:r>
        <w:r>
          <w:fldChar w:fldCharType="end"/>
        </w:r>
      </w:hyperlink>
    </w:p>
    <w:p>
      <w:pPr>
        <w:tabs>
          <w:tab w:val="right" w:leader="dot" w:pos="9062"/>
        </w:tabs>
        <w:ind w:left="440"/>
      </w:pPr>
      <w:hyperlink w:anchor="_Toc1350" w:history="1">
        <w:r>
          <w:rPr>
            <w:rFonts w:ascii="IRNazanin" w:hAnsi="IRNazanin" w:eastAsia="IRNazanin" w:cs="IRNazanin"/>
            <w:color w:val="111111"/>
            <w:sz w:val="22"/>
            <w:szCs w:val="22"/>
            <w:b w:val="0"/>
            <w:bCs w:val="0"/>
            <w:i w:val="0"/>
            <w:iCs w:val="0"/>
          </w:rPr>
          <w:t>1099- دیوان تقی أصفهانی أو شعره‏</w:t>
        </w:r>
        <w:r>
          <w:tab/>
        </w:r>
        <w:r>
          <w:fldChar w:fldCharType="begin"/>
        </w:r>
        <w:r>
          <w:instrText xml:space="preserve">PAGEREF 1350 \h</w:instrText>
        </w:r>
        <w:r>
          <w:fldChar w:fldCharType="end"/>
        </w:r>
      </w:hyperlink>
    </w:p>
    <w:p>
      <w:pPr>
        <w:tabs>
          <w:tab w:val="right" w:leader="dot" w:pos="9062"/>
        </w:tabs>
        <w:ind w:left="440"/>
      </w:pPr>
      <w:hyperlink w:anchor="_Toc1351" w:history="1">
        <w:r>
          <w:rPr>
            <w:rFonts w:ascii="IRNazanin" w:hAnsi="IRNazanin" w:eastAsia="IRNazanin" w:cs="IRNazanin"/>
            <w:color w:val="111111"/>
            <w:sz w:val="22"/>
            <w:szCs w:val="22"/>
            <w:b w:val="0"/>
            <w:bCs w:val="0"/>
            <w:i w:val="0"/>
            <w:iCs w:val="0"/>
          </w:rPr>
          <w:t>1100- دیوان تقی أصفهانی درکانی أو شعره‏</w:t>
        </w:r>
        <w:r>
          <w:tab/>
        </w:r>
        <w:r>
          <w:fldChar w:fldCharType="begin"/>
        </w:r>
        <w:r>
          <w:instrText xml:space="preserve">PAGEREF 1351 \h</w:instrText>
        </w:r>
        <w:r>
          <w:fldChar w:fldCharType="end"/>
        </w:r>
      </w:hyperlink>
    </w:p>
    <w:p>
      <w:pPr>
        <w:tabs>
          <w:tab w:val="right" w:leader="dot" w:pos="9062"/>
        </w:tabs>
        <w:ind w:left="440"/>
      </w:pPr>
      <w:hyperlink w:anchor="_Toc1352" w:history="1">
        <w:r>
          <w:rPr>
            <w:rFonts w:ascii="IRNazanin" w:hAnsi="IRNazanin" w:eastAsia="IRNazanin" w:cs="IRNazanin"/>
            <w:color w:val="111111"/>
            <w:sz w:val="22"/>
            <w:szCs w:val="22"/>
            <w:b w:val="0"/>
            <w:bCs w:val="0"/>
            <w:i w:val="0"/>
            <w:iCs w:val="0"/>
          </w:rPr>
          <w:t>1101- دیوان تقی أوحدی بلیانی‏</w:t>
        </w:r>
        <w:r>
          <w:tab/>
        </w:r>
        <w:r>
          <w:fldChar w:fldCharType="begin"/>
        </w:r>
        <w:r>
          <w:instrText xml:space="preserve">PAGEREF 1352 \h</w:instrText>
        </w:r>
        <w:r>
          <w:fldChar w:fldCharType="end"/>
        </w:r>
      </w:hyperlink>
    </w:p>
    <w:p>
      <w:pPr>
        <w:tabs>
          <w:tab w:val="right" w:leader="dot" w:pos="9062"/>
        </w:tabs>
        <w:ind w:left="440"/>
      </w:pPr>
      <w:hyperlink w:anchor="_Toc1353" w:history="1">
        <w:r>
          <w:rPr>
            <w:rFonts w:ascii="IRNazanin" w:hAnsi="IRNazanin" w:eastAsia="IRNazanin" w:cs="IRNazanin"/>
            <w:color w:val="111111"/>
            <w:sz w:val="22"/>
            <w:szCs w:val="22"/>
            <w:b w:val="0"/>
            <w:bCs w:val="0"/>
            <w:i w:val="0"/>
            <w:iCs w:val="0"/>
          </w:rPr>
          <w:t>1102- دیوان آقا تقی الخوئی‏</w:t>
        </w:r>
        <w:r>
          <w:tab/>
        </w:r>
        <w:r>
          <w:fldChar w:fldCharType="begin"/>
        </w:r>
        <w:r>
          <w:instrText xml:space="preserve">PAGEREF 1353 \h</w:instrText>
        </w:r>
        <w:r>
          <w:fldChar w:fldCharType="end"/>
        </w:r>
      </w:hyperlink>
    </w:p>
    <w:p>
      <w:pPr>
        <w:tabs>
          <w:tab w:val="right" w:leader="dot" w:pos="9062"/>
        </w:tabs>
        <w:ind w:left="440"/>
      </w:pPr>
      <w:hyperlink w:anchor="_Toc1354" w:history="1">
        <w:r>
          <w:rPr>
            <w:rFonts w:ascii="IRNazanin" w:hAnsi="IRNazanin" w:eastAsia="IRNazanin" w:cs="IRNazanin"/>
            <w:color w:val="111111"/>
            <w:sz w:val="22"/>
            <w:szCs w:val="22"/>
            <w:b w:val="0"/>
            <w:bCs w:val="0"/>
            <w:i w:val="0"/>
            <w:iCs w:val="0"/>
          </w:rPr>
          <w:t>1103- دیوان تقی شوشتری أو شعره‏</w:t>
        </w:r>
        <w:r>
          <w:tab/>
        </w:r>
        <w:r>
          <w:fldChar w:fldCharType="begin"/>
        </w:r>
        <w:r>
          <w:instrText xml:space="preserve">PAGEREF 1354 \h</w:instrText>
        </w:r>
        <w:r>
          <w:fldChar w:fldCharType="end"/>
        </w:r>
      </w:hyperlink>
    </w:p>
    <w:p>
      <w:pPr>
        <w:tabs>
          <w:tab w:val="right" w:leader="dot" w:pos="9062"/>
        </w:tabs>
        <w:ind w:left="440"/>
      </w:pPr>
      <w:hyperlink w:anchor="_Toc1355" w:history="1">
        <w:r>
          <w:rPr>
            <w:rFonts w:ascii="IRNazanin" w:hAnsi="IRNazanin" w:eastAsia="IRNazanin" w:cs="IRNazanin"/>
            <w:color w:val="111111"/>
            <w:sz w:val="22"/>
            <w:szCs w:val="22"/>
            <w:b w:val="0"/>
            <w:bCs w:val="0"/>
            <w:i w:val="0"/>
            <w:iCs w:val="0"/>
          </w:rPr>
          <w:t>1104- دیوان تقی شیرازی أو شعره‏</w:t>
        </w:r>
        <w:r>
          <w:tab/>
        </w:r>
        <w:r>
          <w:fldChar w:fldCharType="begin"/>
        </w:r>
        <w:r>
          <w:instrText xml:space="preserve">PAGEREF 1355 \h</w:instrText>
        </w:r>
        <w:r>
          <w:fldChar w:fldCharType="end"/>
        </w:r>
      </w:hyperlink>
    </w:p>
    <w:p>
      <w:pPr>
        <w:tabs>
          <w:tab w:val="right" w:leader="dot" w:pos="9062"/>
        </w:tabs>
        <w:ind w:left="440"/>
      </w:pPr>
      <w:hyperlink w:anchor="_Toc1356" w:history="1">
        <w:r>
          <w:rPr>
            <w:rFonts w:ascii="IRNazanin" w:hAnsi="IRNazanin" w:eastAsia="IRNazanin" w:cs="IRNazanin"/>
            <w:color w:val="111111"/>
            <w:sz w:val="22"/>
            <w:szCs w:val="22"/>
            <w:b w:val="0"/>
            <w:bCs w:val="0"/>
            <w:i w:val="0"/>
            <w:iCs w:val="0"/>
          </w:rPr>
          <w:t>دیوان المیرزا محمد تقی الشیرازی‏</w:t>
        </w:r>
        <w:r>
          <w:tab/>
        </w:r>
        <w:r>
          <w:fldChar w:fldCharType="begin"/>
        </w:r>
        <w:r>
          <w:instrText xml:space="preserve">PAGEREF 1356 \h</w:instrText>
        </w:r>
        <w:r>
          <w:fldChar w:fldCharType="end"/>
        </w:r>
      </w:hyperlink>
    </w:p>
    <w:p>
      <w:pPr>
        <w:tabs>
          <w:tab w:val="right" w:leader="dot" w:pos="9062"/>
        </w:tabs>
        <w:ind w:left="440"/>
      </w:pPr>
      <w:hyperlink w:anchor="_Toc1357" w:history="1">
        <w:r>
          <w:rPr>
            <w:rFonts w:ascii="IRNazanin" w:hAnsi="IRNazanin" w:eastAsia="IRNazanin" w:cs="IRNazanin"/>
            <w:color w:val="111111"/>
            <w:sz w:val="22"/>
            <w:szCs w:val="22"/>
            <w:b w:val="0"/>
            <w:bCs w:val="0"/>
            <w:i w:val="0"/>
            <w:iCs w:val="0"/>
          </w:rPr>
          <w:t>1105- دیوان تقی شیرازی أو شعره‏</w:t>
        </w:r>
        <w:r>
          <w:tab/>
        </w:r>
        <w:r>
          <w:fldChar w:fldCharType="begin"/>
        </w:r>
        <w:r>
          <w:instrText xml:space="preserve">PAGEREF 1357 \h</w:instrText>
        </w:r>
        <w:r>
          <w:fldChar w:fldCharType="end"/>
        </w:r>
      </w:hyperlink>
    </w:p>
    <w:p>
      <w:pPr>
        <w:tabs>
          <w:tab w:val="right" w:leader="dot" w:pos="9062"/>
        </w:tabs>
        <w:ind w:left="440"/>
      </w:pPr>
      <w:hyperlink w:anchor="_Toc1358" w:history="1">
        <w:r>
          <w:rPr>
            <w:rFonts w:ascii="IRNazanin" w:hAnsi="IRNazanin" w:eastAsia="IRNazanin" w:cs="IRNazanin"/>
            <w:color w:val="111111"/>
            <w:sz w:val="22"/>
            <w:szCs w:val="22"/>
            <w:b w:val="0"/>
            <w:bCs w:val="0"/>
            <w:i w:val="0"/>
            <w:iCs w:val="0"/>
          </w:rPr>
          <w:t>1106- دیوان تقی قمی‏</w:t>
        </w:r>
        <w:r>
          <w:tab/>
        </w:r>
        <w:r>
          <w:fldChar w:fldCharType="begin"/>
        </w:r>
        <w:r>
          <w:instrText xml:space="preserve">PAGEREF 1358 \h</w:instrText>
        </w:r>
        <w:r>
          <w:fldChar w:fldCharType="end"/>
        </w:r>
      </w:hyperlink>
    </w:p>
    <w:p>
      <w:pPr>
        <w:tabs>
          <w:tab w:val="right" w:leader="dot" w:pos="9062"/>
        </w:tabs>
        <w:ind w:left="440"/>
      </w:pPr>
      <w:hyperlink w:anchor="_Toc1359" w:history="1">
        <w:r>
          <w:rPr>
            <w:rFonts w:ascii="IRNazanin" w:hAnsi="IRNazanin" w:eastAsia="IRNazanin" w:cs="IRNazanin"/>
            <w:color w:val="111111"/>
            <w:sz w:val="22"/>
            <w:szCs w:val="22"/>
            <w:b w:val="0"/>
            <w:bCs w:val="0"/>
            <w:i w:val="0"/>
            <w:iCs w:val="0"/>
          </w:rPr>
          <w:t>دیوان تقی قورچی‏</w:t>
        </w:r>
        <w:r>
          <w:tab/>
        </w:r>
        <w:r>
          <w:fldChar w:fldCharType="begin"/>
        </w:r>
        <w:r>
          <w:instrText xml:space="preserve">PAGEREF 1359 \h</w:instrText>
        </w:r>
        <w:r>
          <w:fldChar w:fldCharType="end"/>
        </w:r>
      </w:hyperlink>
    </w:p>
    <w:p>
      <w:pPr>
        <w:tabs>
          <w:tab w:val="right" w:leader="dot" w:pos="9062"/>
        </w:tabs>
        <w:ind w:left="440"/>
      </w:pPr>
      <w:hyperlink w:anchor="_Toc1360" w:history="1">
        <w:r>
          <w:rPr>
            <w:rFonts w:ascii="IRNazanin" w:hAnsi="IRNazanin" w:eastAsia="IRNazanin" w:cs="IRNazanin"/>
            <w:color w:val="111111"/>
            <w:sz w:val="22"/>
            <w:szCs w:val="22"/>
            <w:b w:val="0"/>
            <w:bCs w:val="0"/>
            <w:i w:val="0"/>
            <w:iCs w:val="0"/>
          </w:rPr>
          <w:t>1107- دیوان تقی قورچی أو شعره‏</w:t>
        </w:r>
        <w:r>
          <w:tab/>
        </w:r>
        <w:r>
          <w:fldChar w:fldCharType="begin"/>
        </w:r>
        <w:r>
          <w:instrText xml:space="preserve">PAGEREF 1360 \h</w:instrText>
        </w:r>
        <w:r>
          <w:fldChar w:fldCharType="end"/>
        </w:r>
      </w:hyperlink>
    </w:p>
    <w:p>
      <w:pPr>
        <w:tabs>
          <w:tab w:val="right" w:leader="dot" w:pos="9062"/>
        </w:tabs>
        <w:ind w:left="440"/>
      </w:pPr>
      <w:hyperlink w:anchor="_Toc1361" w:history="1">
        <w:r>
          <w:rPr>
            <w:rFonts w:ascii="IRNazanin" w:hAnsi="IRNazanin" w:eastAsia="IRNazanin" w:cs="IRNazanin"/>
            <w:color w:val="111111"/>
            <w:sz w:val="22"/>
            <w:szCs w:val="22"/>
            <w:b w:val="0"/>
            <w:bCs w:val="0"/>
            <w:i w:val="0"/>
            <w:iCs w:val="0"/>
          </w:rPr>
          <w:t>1108- دیوان تقی کاشی أو شعره‏</w:t>
        </w:r>
        <w:r>
          <w:tab/>
        </w:r>
        <w:r>
          <w:fldChar w:fldCharType="begin"/>
        </w:r>
        <w:r>
          <w:instrText xml:space="preserve">PAGEREF 1361 \h</w:instrText>
        </w:r>
        <w:r>
          <w:fldChar w:fldCharType="end"/>
        </w:r>
      </w:hyperlink>
    </w:p>
    <w:p>
      <w:pPr>
        <w:tabs>
          <w:tab w:val="right" w:leader="dot" w:pos="9062"/>
        </w:tabs>
        <w:ind w:left="440"/>
      </w:pPr>
      <w:hyperlink w:anchor="_Toc1362" w:history="1">
        <w:r>
          <w:rPr>
            <w:rFonts w:ascii="IRNazanin" w:hAnsi="IRNazanin" w:eastAsia="IRNazanin" w:cs="IRNazanin"/>
            <w:color w:val="111111"/>
            <w:sz w:val="22"/>
            <w:szCs w:val="22"/>
            <w:b w:val="0"/>
            <w:bCs w:val="0"/>
            <w:i w:val="0"/>
            <w:iCs w:val="0"/>
          </w:rPr>
          <w:t>دیوان تقی کاشی أو شعره‏</w:t>
        </w:r>
        <w:r>
          <w:tab/>
        </w:r>
        <w:r>
          <w:fldChar w:fldCharType="begin"/>
        </w:r>
        <w:r>
          <w:instrText xml:space="preserve">PAGEREF 1362 \h</w:instrText>
        </w:r>
        <w:r>
          <w:fldChar w:fldCharType="end"/>
        </w:r>
      </w:hyperlink>
    </w:p>
    <w:p>
      <w:pPr>
        <w:tabs>
          <w:tab w:val="right" w:leader="dot" w:pos="9062"/>
        </w:tabs>
        <w:ind w:left="440"/>
      </w:pPr>
      <w:hyperlink w:anchor="_Toc1363" w:history="1">
        <w:r>
          <w:rPr>
            <w:rFonts w:ascii="IRNazanin" w:hAnsi="IRNazanin" w:eastAsia="IRNazanin" w:cs="IRNazanin"/>
            <w:color w:val="111111"/>
            <w:sz w:val="22"/>
            <w:szCs w:val="22"/>
            <w:b w:val="0"/>
            <w:bCs w:val="0"/>
            <w:i w:val="0"/>
            <w:iCs w:val="0"/>
          </w:rPr>
          <w:t>1109- دیوان تقی مازندرانی أو شعره‏</w:t>
        </w:r>
        <w:r>
          <w:tab/>
        </w:r>
        <w:r>
          <w:fldChar w:fldCharType="begin"/>
        </w:r>
        <w:r>
          <w:instrText xml:space="preserve">PAGEREF 1363 \h</w:instrText>
        </w:r>
        <w:r>
          <w:fldChar w:fldCharType="end"/>
        </w:r>
      </w:hyperlink>
    </w:p>
    <w:p>
      <w:pPr>
        <w:tabs>
          <w:tab w:val="right" w:leader="dot" w:pos="9062"/>
        </w:tabs>
        <w:ind w:left="440"/>
      </w:pPr>
      <w:hyperlink w:anchor="_Toc1364" w:history="1">
        <w:r>
          <w:rPr>
            <w:rFonts w:ascii="IRNazanin" w:hAnsi="IRNazanin" w:eastAsia="IRNazanin" w:cs="IRNazanin"/>
            <w:color w:val="111111"/>
            <w:sz w:val="22"/>
            <w:szCs w:val="22"/>
            <w:b w:val="0"/>
            <w:bCs w:val="0"/>
            <w:i w:val="0"/>
            <w:iCs w:val="0"/>
          </w:rPr>
          <w:t>1110- دیوان تقی مشهدی أو شعره‏</w:t>
        </w:r>
        <w:r>
          <w:tab/>
        </w:r>
        <w:r>
          <w:fldChar w:fldCharType="begin"/>
        </w:r>
        <w:r>
          <w:instrText xml:space="preserve">PAGEREF 1364 \h</w:instrText>
        </w:r>
        <w:r>
          <w:fldChar w:fldCharType="end"/>
        </w:r>
      </w:hyperlink>
    </w:p>
    <w:p>
      <w:pPr>
        <w:tabs>
          <w:tab w:val="right" w:leader="dot" w:pos="9062"/>
        </w:tabs>
        <w:ind w:left="440"/>
      </w:pPr>
      <w:hyperlink w:anchor="_Toc1365" w:history="1">
        <w:r>
          <w:rPr>
            <w:rFonts w:ascii="IRNazanin" w:hAnsi="IRNazanin" w:eastAsia="IRNazanin" w:cs="IRNazanin"/>
            <w:color w:val="111111"/>
            <w:sz w:val="22"/>
            <w:szCs w:val="22"/>
            <w:b w:val="0"/>
            <w:bCs w:val="0"/>
            <w:i w:val="0"/>
            <w:iCs w:val="0"/>
          </w:rPr>
          <w:t>1111- دیوان تقی نیشابوری أو شعره‏</w:t>
        </w:r>
        <w:r>
          <w:tab/>
        </w:r>
        <w:r>
          <w:fldChar w:fldCharType="begin"/>
        </w:r>
        <w:r>
          <w:instrText xml:space="preserve">PAGEREF 1365 \h</w:instrText>
        </w:r>
        <w:r>
          <w:fldChar w:fldCharType="end"/>
        </w:r>
      </w:hyperlink>
    </w:p>
    <w:p>
      <w:pPr>
        <w:tabs>
          <w:tab w:val="right" w:leader="dot" w:pos="9062"/>
        </w:tabs>
        <w:ind w:left="440"/>
      </w:pPr>
      <w:hyperlink w:anchor="_Toc1366" w:history="1">
        <w:r>
          <w:rPr>
            <w:rFonts w:ascii="IRNazanin" w:hAnsi="IRNazanin" w:eastAsia="IRNazanin" w:cs="IRNazanin"/>
            <w:color w:val="111111"/>
            <w:sz w:val="22"/>
            <w:szCs w:val="22"/>
            <w:b w:val="0"/>
            <w:bCs w:val="0"/>
            <w:i w:val="0"/>
            <w:iCs w:val="0"/>
          </w:rPr>
          <w:t>1112- دیوان تقی همدانی أو شعره‏</w:t>
        </w:r>
        <w:r>
          <w:tab/>
        </w:r>
        <w:r>
          <w:fldChar w:fldCharType="begin"/>
        </w:r>
        <w:r>
          <w:instrText xml:space="preserve">PAGEREF 1366 \h</w:instrText>
        </w:r>
        <w:r>
          <w:fldChar w:fldCharType="end"/>
        </w:r>
      </w:hyperlink>
    </w:p>
    <w:p>
      <w:pPr>
        <w:tabs>
          <w:tab w:val="right" w:leader="dot" w:pos="9062"/>
        </w:tabs>
        <w:ind w:left="440"/>
      </w:pPr>
      <w:hyperlink w:anchor="_Toc1367" w:history="1">
        <w:r>
          <w:rPr>
            <w:rFonts w:ascii="IRNazanin" w:hAnsi="IRNazanin" w:eastAsia="IRNazanin" w:cs="IRNazanin"/>
            <w:color w:val="111111"/>
            <w:sz w:val="22"/>
            <w:szCs w:val="22"/>
            <w:b w:val="0"/>
            <w:bCs w:val="0"/>
            <w:i w:val="0"/>
            <w:iCs w:val="0"/>
          </w:rPr>
          <w:t>دیوان تکلو</w:t>
        </w:r>
        <w:r>
          <w:tab/>
        </w:r>
        <w:r>
          <w:fldChar w:fldCharType="begin"/>
        </w:r>
        <w:r>
          <w:instrText xml:space="preserve">PAGEREF 1367 \h</w:instrText>
        </w:r>
        <w:r>
          <w:fldChar w:fldCharType="end"/>
        </w:r>
      </w:hyperlink>
    </w:p>
    <w:p>
      <w:pPr>
        <w:tabs>
          <w:tab w:val="right" w:leader="dot" w:pos="9062"/>
        </w:tabs>
        <w:ind w:left="440"/>
      </w:pPr>
      <w:hyperlink w:anchor="_Toc1368" w:history="1">
        <w:r>
          <w:rPr>
            <w:rFonts w:ascii="IRNazanin" w:hAnsi="IRNazanin" w:eastAsia="IRNazanin" w:cs="IRNazanin"/>
            <w:color w:val="111111"/>
            <w:sz w:val="22"/>
            <w:szCs w:val="22"/>
            <w:b w:val="0"/>
            <w:bCs w:val="0"/>
            <w:i w:val="0"/>
            <w:iCs w:val="0"/>
          </w:rPr>
          <w:t>1113- دیوان تلاش دهلوی أو شعره‏</w:t>
        </w:r>
        <w:r>
          <w:tab/>
        </w:r>
        <w:r>
          <w:fldChar w:fldCharType="begin"/>
        </w:r>
        <w:r>
          <w:instrText xml:space="preserve">PAGEREF 1368 \h</w:instrText>
        </w:r>
        <w:r>
          <w:fldChar w:fldCharType="end"/>
        </w:r>
      </w:hyperlink>
    </w:p>
    <w:p>
      <w:pPr>
        <w:tabs>
          <w:tab w:val="right" w:leader="dot" w:pos="9062"/>
        </w:tabs>
        <w:ind w:left="440"/>
      </w:pPr>
      <w:hyperlink w:anchor="_Toc1369" w:history="1">
        <w:r>
          <w:rPr>
            <w:rFonts w:ascii="IRNazanin" w:hAnsi="IRNazanin" w:eastAsia="IRNazanin" w:cs="IRNazanin"/>
            <w:color w:val="111111"/>
            <w:sz w:val="22"/>
            <w:szCs w:val="22"/>
            <w:b w:val="0"/>
            <w:bCs w:val="0"/>
            <w:i w:val="0"/>
            <w:iCs w:val="0"/>
          </w:rPr>
          <w:t>1114- دیوان التلمسانی‏</w:t>
        </w:r>
        <w:r>
          <w:tab/>
        </w:r>
        <w:r>
          <w:fldChar w:fldCharType="begin"/>
        </w:r>
        <w:r>
          <w:instrText xml:space="preserve">PAGEREF 1369 \h</w:instrText>
        </w:r>
        <w:r>
          <w:fldChar w:fldCharType="end"/>
        </w:r>
      </w:hyperlink>
    </w:p>
    <w:p>
      <w:pPr>
        <w:tabs>
          <w:tab w:val="right" w:leader="dot" w:pos="9062"/>
        </w:tabs>
        <w:ind w:left="440"/>
      </w:pPr>
      <w:hyperlink w:anchor="_Toc1370" w:history="1">
        <w:r>
          <w:rPr>
            <w:rFonts w:ascii="IRNazanin" w:hAnsi="IRNazanin" w:eastAsia="IRNazanin" w:cs="IRNazanin"/>
            <w:color w:val="111111"/>
            <w:sz w:val="22"/>
            <w:szCs w:val="22"/>
            <w:b w:val="0"/>
            <w:bCs w:val="0"/>
            <w:i w:val="0"/>
            <w:iCs w:val="0"/>
          </w:rPr>
          <w:t>1115- دیوان تمکین رامپوری أو شعره‏</w:t>
        </w:r>
        <w:r>
          <w:tab/>
        </w:r>
        <w:r>
          <w:fldChar w:fldCharType="begin"/>
        </w:r>
        <w:r>
          <w:instrText xml:space="preserve">PAGEREF 1370 \h</w:instrText>
        </w:r>
        <w:r>
          <w:fldChar w:fldCharType="end"/>
        </w:r>
      </w:hyperlink>
    </w:p>
    <w:p>
      <w:pPr>
        <w:tabs>
          <w:tab w:val="right" w:leader="dot" w:pos="9062"/>
        </w:tabs>
        <w:ind w:left="440"/>
      </w:pPr>
      <w:hyperlink w:anchor="_Toc1371" w:history="1">
        <w:r>
          <w:rPr>
            <w:rFonts w:ascii="IRNazanin" w:hAnsi="IRNazanin" w:eastAsia="IRNazanin" w:cs="IRNazanin"/>
            <w:color w:val="111111"/>
            <w:sz w:val="22"/>
            <w:szCs w:val="22"/>
            <w:b w:val="0"/>
            <w:bCs w:val="0"/>
            <w:i w:val="0"/>
            <w:iCs w:val="0"/>
          </w:rPr>
          <w:t>1116- دیوان تمکین شیروانی‏</w:t>
        </w:r>
        <w:r>
          <w:tab/>
        </w:r>
        <w:r>
          <w:fldChar w:fldCharType="begin"/>
        </w:r>
        <w:r>
          <w:instrText xml:space="preserve">PAGEREF 1371 \h</w:instrText>
        </w:r>
        <w:r>
          <w:fldChar w:fldCharType="end"/>
        </w:r>
      </w:hyperlink>
    </w:p>
    <w:p>
      <w:pPr>
        <w:tabs>
          <w:tab w:val="right" w:leader="dot" w:pos="9062"/>
        </w:tabs>
        <w:ind w:left="440"/>
      </w:pPr>
      <w:hyperlink w:anchor="_Toc1372" w:history="1">
        <w:r>
          <w:rPr>
            <w:rFonts w:ascii="IRNazanin" w:hAnsi="IRNazanin" w:eastAsia="IRNazanin" w:cs="IRNazanin"/>
            <w:color w:val="111111"/>
            <w:sz w:val="22"/>
            <w:szCs w:val="22"/>
            <w:b w:val="0"/>
            <w:bCs w:val="0"/>
            <w:i w:val="0"/>
            <w:iCs w:val="0"/>
          </w:rPr>
          <w:t>1117- دیوان تمکین کرمانی أو شعره‏</w:t>
        </w:r>
        <w:r>
          <w:tab/>
        </w:r>
        <w:r>
          <w:fldChar w:fldCharType="begin"/>
        </w:r>
        <w:r>
          <w:instrText xml:space="preserve">PAGEREF 1372 \h</w:instrText>
        </w:r>
        <w:r>
          <w:fldChar w:fldCharType="end"/>
        </w:r>
      </w:hyperlink>
    </w:p>
    <w:p>
      <w:pPr>
        <w:tabs>
          <w:tab w:val="right" w:leader="dot" w:pos="9062"/>
        </w:tabs>
        <w:ind w:left="440"/>
      </w:pPr>
      <w:hyperlink w:anchor="_Toc1373" w:history="1">
        <w:r>
          <w:rPr>
            <w:rFonts w:ascii="IRNazanin" w:hAnsi="IRNazanin" w:eastAsia="IRNazanin" w:cs="IRNazanin"/>
            <w:color w:val="111111"/>
            <w:sz w:val="22"/>
            <w:szCs w:val="22"/>
            <w:b w:val="0"/>
            <w:bCs w:val="0"/>
            <w:i w:val="0"/>
            <w:iCs w:val="0"/>
          </w:rPr>
          <w:t>1118- دیوان تمکین کشمیری أو شعره‏</w:t>
        </w:r>
        <w:r>
          <w:tab/>
        </w:r>
        <w:r>
          <w:fldChar w:fldCharType="begin"/>
        </w:r>
        <w:r>
          <w:instrText xml:space="preserve">PAGEREF 1373 \h</w:instrText>
        </w:r>
        <w:r>
          <w:fldChar w:fldCharType="end"/>
        </w:r>
      </w:hyperlink>
    </w:p>
    <w:p>
      <w:pPr>
        <w:tabs>
          <w:tab w:val="right" w:leader="dot" w:pos="9062"/>
        </w:tabs>
        <w:ind w:left="440"/>
      </w:pPr>
      <w:hyperlink w:anchor="_Toc1374" w:history="1">
        <w:r>
          <w:rPr>
            <w:rFonts w:ascii="IRNazanin" w:hAnsi="IRNazanin" w:eastAsia="IRNazanin" w:cs="IRNazanin"/>
            <w:color w:val="111111"/>
            <w:sz w:val="22"/>
            <w:szCs w:val="22"/>
            <w:b w:val="0"/>
            <w:bCs w:val="0"/>
            <w:i w:val="0"/>
            <w:iCs w:val="0"/>
          </w:rPr>
          <w:t>1119- دیوان تمکین کشمیری أو شعره‏</w:t>
        </w:r>
        <w:r>
          <w:tab/>
        </w:r>
        <w:r>
          <w:fldChar w:fldCharType="begin"/>
        </w:r>
        <w:r>
          <w:instrText xml:space="preserve">PAGEREF 1374 \h</w:instrText>
        </w:r>
        <w:r>
          <w:fldChar w:fldCharType="end"/>
        </w:r>
      </w:hyperlink>
    </w:p>
    <w:p>
      <w:pPr>
        <w:tabs>
          <w:tab w:val="right" w:leader="dot" w:pos="9062"/>
        </w:tabs>
        <w:ind w:left="440"/>
      </w:pPr>
      <w:hyperlink w:anchor="_Toc1375" w:history="1">
        <w:r>
          <w:rPr>
            <w:rFonts w:ascii="IRNazanin" w:hAnsi="IRNazanin" w:eastAsia="IRNazanin" w:cs="IRNazanin"/>
            <w:color w:val="111111"/>
            <w:sz w:val="22"/>
            <w:szCs w:val="22"/>
            <w:b w:val="0"/>
            <w:bCs w:val="0"/>
            <w:i w:val="0"/>
            <w:iCs w:val="0"/>
          </w:rPr>
          <w:t>1120- دیوان تمنا سندیلوی‏</w:t>
        </w:r>
        <w:r>
          <w:tab/>
        </w:r>
        <w:r>
          <w:fldChar w:fldCharType="begin"/>
        </w:r>
        <w:r>
          <w:instrText xml:space="preserve">PAGEREF 1375 \h</w:instrText>
        </w:r>
        <w:r>
          <w:fldChar w:fldCharType="end"/>
        </w:r>
      </w:hyperlink>
    </w:p>
    <w:p>
      <w:pPr>
        <w:tabs>
          <w:tab w:val="right" w:leader="dot" w:pos="9062"/>
        </w:tabs>
        <w:ind w:left="440"/>
      </w:pPr>
      <w:hyperlink w:anchor="_Toc1376" w:history="1">
        <w:r>
          <w:rPr>
            <w:rFonts w:ascii="IRNazanin" w:hAnsi="IRNazanin" w:eastAsia="IRNazanin" w:cs="IRNazanin"/>
            <w:color w:val="111111"/>
            <w:sz w:val="22"/>
            <w:szCs w:val="22"/>
            <w:b w:val="0"/>
            <w:bCs w:val="0"/>
            <w:i w:val="0"/>
            <w:iCs w:val="0"/>
          </w:rPr>
          <w:t>1121- دیوان تمنا شاه‏جهان‏آبادی أو شعره‏</w:t>
        </w:r>
        <w:r>
          <w:tab/>
        </w:r>
        <w:r>
          <w:fldChar w:fldCharType="begin"/>
        </w:r>
        <w:r>
          <w:instrText xml:space="preserve">PAGEREF 1376 \h</w:instrText>
        </w:r>
        <w:r>
          <w:fldChar w:fldCharType="end"/>
        </w:r>
      </w:hyperlink>
    </w:p>
    <w:p>
      <w:pPr>
        <w:tabs>
          <w:tab w:val="right" w:leader="dot" w:pos="9062"/>
        </w:tabs>
        <w:ind w:left="440"/>
      </w:pPr>
      <w:hyperlink w:anchor="_Toc1377" w:history="1">
        <w:r>
          <w:rPr>
            <w:rFonts w:ascii="IRNazanin" w:hAnsi="IRNazanin" w:eastAsia="IRNazanin" w:cs="IRNazanin"/>
            <w:color w:val="111111"/>
            <w:sz w:val="22"/>
            <w:szCs w:val="22"/>
            <w:b w:val="0"/>
            <w:bCs w:val="0"/>
            <w:i w:val="0"/>
            <w:iCs w:val="0"/>
          </w:rPr>
          <w:t>1122- دیوان تمنا شیرازی أو شعره‏</w:t>
        </w:r>
        <w:r>
          <w:tab/>
        </w:r>
        <w:r>
          <w:fldChar w:fldCharType="begin"/>
        </w:r>
        <w:r>
          <w:instrText xml:space="preserve">PAGEREF 1377 \h</w:instrText>
        </w:r>
        <w:r>
          <w:fldChar w:fldCharType="end"/>
        </w:r>
      </w:hyperlink>
    </w:p>
    <w:p>
      <w:pPr>
        <w:tabs>
          <w:tab w:val="right" w:leader="dot" w:pos="9062"/>
        </w:tabs>
        <w:ind w:left="440"/>
      </w:pPr>
      <w:hyperlink w:anchor="_Toc1378" w:history="1">
        <w:r>
          <w:rPr>
            <w:rFonts w:ascii="IRNazanin" w:hAnsi="IRNazanin" w:eastAsia="IRNazanin" w:cs="IRNazanin"/>
            <w:color w:val="111111"/>
            <w:sz w:val="22"/>
            <w:szCs w:val="22"/>
            <w:b w:val="0"/>
            <w:bCs w:val="0"/>
            <w:i w:val="0"/>
            <w:iCs w:val="0"/>
          </w:rPr>
          <w:t>1123- دیوان تمنا عظیم‏آبادی‏</w:t>
        </w:r>
        <w:r>
          <w:tab/>
        </w:r>
        <w:r>
          <w:fldChar w:fldCharType="begin"/>
        </w:r>
        <w:r>
          <w:instrText xml:space="preserve">PAGEREF 1378 \h</w:instrText>
        </w:r>
        <w:r>
          <w:fldChar w:fldCharType="end"/>
        </w:r>
      </w:hyperlink>
    </w:p>
    <w:p>
      <w:pPr>
        <w:tabs>
          <w:tab w:val="right" w:leader="dot" w:pos="9062"/>
        </w:tabs>
        <w:ind w:left="440"/>
      </w:pPr>
      <w:hyperlink w:anchor="_Toc1379" w:history="1">
        <w:r>
          <w:rPr>
            <w:rFonts w:ascii="IRNazanin" w:hAnsi="IRNazanin" w:eastAsia="IRNazanin" w:cs="IRNazanin"/>
            <w:color w:val="111111"/>
            <w:sz w:val="22"/>
            <w:szCs w:val="22"/>
            <w:b w:val="0"/>
            <w:bCs w:val="0"/>
            <w:i w:val="0"/>
            <w:iCs w:val="0"/>
          </w:rPr>
          <w:t>1124- دیوان تمنا کابلی أو شعره‏</w:t>
        </w:r>
        <w:r>
          <w:tab/>
        </w:r>
        <w:r>
          <w:fldChar w:fldCharType="begin"/>
        </w:r>
        <w:r>
          <w:instrText xml:space="preserve">PAGEREF 1379 \h</w:instrText>
        </w:r>
        <w:r>
          <w:fldChar w:fldCharType="end"/>
        </w:r>
      </w:hyperlink>
    </w:p>
    <w:p>
      <w:pPr>
        <w:tabs>
          <w:tab w:val="right" w:leader="dot" w:pos="9062"/>
        </w:tabs>
        <w:ind w:left="440"/>
      </w:pPr>
      <w:hyperlink w:anchor="_Toc1380" w:history="1">
        <w:r>
          <w:rPr>
            <w:rFonts w:ascii="IRNazanin" w:hAnsi="IRNazanin" w:eastAsia="IRNazanin" w:cs="IRNazanin"/>
            <w:color w:val="111111"/>
            <w:sz w:val="22"/>
            <w:szCs w:val="22"/>
            <w:b w:val="0"/>
            <w:bCs w:val="0"/>
            <w:i w:val="0"/>
            <w:iCs w:val="0"/>
          </w:rPr>
          <w:t>1125- دیوان تمنا لکهنوی الهندی الشکوه‏آبادی‏</w:t>
        </w:r>
        <w:r>
          <w:tab/>
        </w:r>
        <w:r>
          <w:fldChar w:fldCharType="begin"/>
        </w:r>
        <w:r>
          <w:instrText xml:space="preserve">PAGEREF 1380 \h</w:instrText>
        </w:r>
        <w:r>
          <w:fldChar w:fldCharType="end"/>
        </w:r>
      </w:hyperlink>
    </w:p>
    <w:p>
      <w:pPr>
        <w:tabs>
          <w:tab w:val="right" w:leader="dot" w:pos="9062"/>
        </w:tabs>
        <w:ind w:left="440"/>
      </w:pPr>
      <w:hyperlink w:anchor="_Toc1381" w:history="1">
        <w:r>
          <w:rPr>
            <w:rFonts w:ascii="IRNazanin" w:hAnsi="IRNazanin" w:eastAsia="IRNazanin" w:cs="IRNazanin"/>
            <w:color w:val="111111"/>
            <w:sz w:val="22"/>
            <w:szCs w:val="22"/>
            <w:b w:val="0"/>
            <w:bCs w:val="0"/>
            <w:i w:val="0"/>
            <w:iCs w:val="0"/>
          </w:rPr>
          <w:t>1126- دیوان تمنائی حروفی أو شعره‏</w:t>
        </w:r>
        <w:r>
          <w:tab/>
        </w:r>
        <w:r>
          <w:fldChar w:fldCharType="begin"/>
        </w:r>
        <w:r>
          <w:instrText xml:space="preserve">PAGEREF 1381 \h</w:instrText>
        </w:r>
        <w:r>
          <w:fldChar w:fldCharType="end"/>
        </w:r>
      </w:hyperlink>
    </w:p>
    <w:p>
      <w:pPr>
        <w:tabs>
          <w:tab w:val="right" w:leader="dot" w:pos="9062"/>
        </w:tabs>
        <w:ind w:left="440"/>
      </w:pPr>
      <w:hyperlink w:anchor="_Toc1382" w:history="1">
        <w:r>
          <w:rPr>
            <w:rFonts w:ascii="IRNazanin" w:hAnsi="IRNazanin" w:eastAsia="IRNazanin" w:cs="IRNazanin"/>
            <w:color w:val="111111"/>
            <w:sz w:val="22"/>
            <w:szCs w:val="22"/>
            <w:b w:val="0"/>
            <w:bCs w:val="0"/>
            <w:i w:val="0"/>
            <w:iCs w:val="0"/>
          </w:rPr>
          <w:t>1127- دیوان تمیم‏</w:t>
        </w:r>
        <w:r>
          <w:tab/>
        </w:r>
        <w:r>
          <w:fldChar w:fldCharType="begin"/>
        </w:r>
        <w:r>
          <w:instrText xml:space="preserve">PAGEREF 1382 \h</w:instrText>
        </w:r>
        <w:r>
          <w:fldChar w:fldCharType="end"/>
        </w:r>
      </w:hyperlink>
    </w:p>
    <w:p>
      <w:pPr>
        <w:tabs>
          <w:tab w:val="right" w:leader="dot" w:pos="9062"/>
        </w:tabs>
        <w:ind w:left="440"/>
      </w:pPr>
      <w:hyperlink w:anchor="_Toc1383" w:history="1">
        <w:r>
          <w:rPr>
            <w:rFonts w:ascii="IRNazanin" w:hAnsi="IRNazanin" w:eastAsia="IRNazanin" w:cs="IRNazanin"/>
            <w:color w:val="111111"/>
            <w:sz w:val="22"/>
            <w:szCs w:val="22"/>
            <w:b w:val="0"/>
            <w:bCs w:val="0"/>
            <w:i w:val="0"/>
            <w:iCs w:val="0"/>
          </w:rPr>
          <w:t>1128- دیوان أبی یحیی تمیم‏</w:t>
        </w:r>
        <w:r>
          <w:tab/>
        </w:r>
        <w:r>
          <w:fldChar w:fldCharType="begin"/>
        </w:r>
        <w:r>
          <w:instrText xml:space="preserve">PAGEREF 1383 \h</w:instrText>
        </w:r>
        <w:r>
          <w:fldChar w:fldCharType="end"/>
        </w:r>
      </w:hyperlink>
    </w:p>
    <w:p>
      <w:pPr>
        <w:tabs>
          <w:tab w:val="right" w:leader="dot" w:pos="9062"/>
        </w:tabs>
        <w:ind w:left="440"/>
      </w:pPr>
      <w:hyperlink w:anchor="_Toc1384" w:history="1">
        <w:r>
          <w:rPr>
            <w:rFonts w:ascii="IRNazanin" w:hAnsi="IRNazanin" w:eastAsia="IRNazanin" w:cs="IRNazanin"/>
            <w:color w:val="111111"/>
            <w:sz w:val="22"/>
            <w:szCs w:val="22"/>
            <w:b w:val="0"/>
            <w:bCs w:val="0"/>
            <w:i w:val="0"/>
            <w:iCs w:val="0"/>
          </w:rPr>
          <w:t>دیوان التمیمی‏</w:t>
        </w:r>
        <w:r>
          <w:tab/>
        </w:r>
        <w:r>
          <w:fldChar w:fldCharType="begin"/>
        </w:r>
        <w:r>
          <w:instrText xml:space="preserve">PAGEREF 1384 \h</w:instrText>
        </w:r>
        <w:r>
          <w:fldChar w:fldCharType="end"/>
        </w:r>
      </w:hyperlink>
    </w:p>
    <w:p>
      <w:pPr>
        <w:tabs>
          <w:tab w:val="right" w:leader="dot" w:pos="9062"/>
        </w:tabs>
        <w:ind w:left="440"/>
      </w:pPr>
      <w:hyperlink w:anchor="_Toc1385" w:history="1">
        <w:r>
          <w:rPr>
            <w:rFonts w:ascii="IRNazanin" w:hAnsi="IRNazanin" w:eastAsia="IRNazanin" w:cs="IRNazanin"/>
            <w:color w:val="111111"/>
            <w:sz w:val="22"/>
            <w:szCs w:val="22"/>
            <w:b w:val="0"/>
            <w:bCs w:val="0"/>
            <w:i w:val="0"/>
            <w:iCs w:val="0"/>
          </w:rPr>
          <w:t>1129- دیوان تندری‏</w:t>
        </w:r>
        <w:r>
          <w:tab/>
        </w:r>
        <w:r>
          <w:fldChar w:fldCharType="begin"/>
        </w:r>
        <w:r>
          <w:instrText xml:space="preserve">PAGEREF 1385 \h</w:instrText>
        </w:r>
        <w:r>
          <w:fldChar w:fldCharType="end"/>
        </w:r>
      </w:hyperlink>
    </w:p>
    <w:p>
      <w:pPr>
        <w:tabs>
          <w:tab w:val="right" w:leader="dot" w:pos="9062"/>
        </w:tabs>
        <w:ind w:left="440"/>
      </w:pPr>
      <w:hyperlink w:anchor="_Toc1386" w:history="1">
        <w:r>
          <w:rPr>
            <w:rFonts w:ascii="IRNazanin" w:hAnsi="IRNazanin" w:eastAsia="IRNazanin" w:cs="IRNazanin"/>
            <w:color w:val="111111"/>
            <w:sz w:val="22"/>
            <w:szCs w:val="22"/>
            <w:b w:val="0"/>
            <w:bCs w:val="0"/>
            <w:i w:val="0"/>
            <w:iCs w:val="0"/>
          </w:rPr>
          <w:t>1130- دیوان التنوخی الحفید</w:t>
        </w:r>
        <w:r>
          <w:tab/>
        </w:r>
        <w:r>
          <w:fldChar w:fldCharType="begin"/>
        </w:r>
        <w:r>
          <w:instrText xml:space="preserve">PAGEREF 1386 \h</w:instrText>
        </w:r>
        <w:r>
          <w:fldChar w:fldCharType="end"/>
        </w:r>
      </w:hyperlink>
    </w:p>
    <w:p>
      <w:pPr>
        <w:tabs>
          <w:tab w:val="right" w:leader="dot" w:pos="9062"/>
        </w:tabs>
        <w:ind w:left="440"/>
      </w:pPr>
      <w:hyperlink w:anchor="_Toc1387" w:history="1">
        <w:r>
          <w:rPr>
            <w:rFonts w:ascii="IRNazanin" w:hAnsi="IRNazanin" w:eastAsia="IRNazanin" w:cs="IRNazanin"/>
            <w:color w:val="111111"/>
            <w:sz w:val="22"/>
            <w:szCs w:val="22"/>
            <w:b w:val="0"/>
            <w:bCs w:val="0"/>
            <w:i w:val="0"/>
            <w:iCs w:val="0"/>
          </w:rPr>
          <w:t>1131- دیوان التنوخی الصغیر</w:t>
        </w:r>
        <w:r>
          <w:tab/>
        </w:r>
        <w:r>
          <w:fldChar w:fldCharType="begin"/>
        </w:r>
        <w:r>
          <w:instrText xml:space="preserve">PAGEREF 1387 \h</w:instrText>
        </w:r>
        <w:r>
          <w:fldChar w:fldCharType="end"/>
        </w:r>
      </w:hyperlink>
    </w:p>
    <w:p>
      <w:pPr>
        <w:tabs>
          <w:tab w:val="right" w:leader="dot" w:pos="9062"/>
        </w:tabs>
        <w:ind w:left="440"/>
      </w:pPr>
      <w:hyperlink w:anchor="_Toc1388" w:history="1">
        <w:r>
          <w:rPr>
            <w:rFonts w:ascii="IRNazanin" w:hAnsi="IRNazanin" w:eastAsia="IRNazanin" w:cs="IRNazanin"/>
            <w:color w:val="111111"/>
            <w:sz w:val="22"/>
            <w:szCs w:val="22"/>
            <w:b w:val="0"/>
            <w:bCs w:val="0"/>
            <w:i w:val="0"/>
            <w:iCs w:val="0"/>
          </w:rPr>
          <w:t>1132- دیوان التنوخی الکبیر</w:t>
        </w:r>
        <w:r>
          <w:tab/>
        </w:r>
        <w:r>
          <w:fldChar w:fldCharType="begin"/>
        </w:r>
        <w:r>
          <w:instrText xml:space="preserve">PAGEREF 1388 \h</w:instrText>
        </w:r>
        <w:r>
          <w:fldChar w:fldCharType="end"/>
        </w:r>
      </w:hyperlink>
    </w:p>
    <w:p>
      <w:pPr>
        <w:tabs>
          <w:tab w:val="right" w:leader="dot" w:pos="9062"/>
        </w:tabs>
        <w:ind w:left="440"/>
      </w:pPr>
      <w:hyperlink w:anchor="_Toc1389" w:history="1">
        <w:r>
          <w:rPr>
            <w:rFonts w:ascii="IRNazanin" w:hAnsi="IRNazanin" w:eastAsia="IRNazanin" w:cs="IRNazanin"/>
            <w:color w:val="111111"/>
            <w:sz w:val="22"/>
            <w:szCs w:val="22"/>
            <w:b w:val="0"/>
            <w:bCs w:val="0"/>
            <w:i w:val="0"/>
            <w:iCs w:val="0"/>
          </w:rPr>
          <w:t>1133- دیوان تنها پنجابی‏</w:t>
        </w:r>
        <w:r>
          <w:tab/>
        </w:r>
        <w:r>
          <w:fldChar w:fldCharType="begin"/>
        </w:r>
        <w:r>
          <w:instrText xml:space="preserve">PAGEREF 1389 \h</w:instrText>
        </w:r>
        <w:r>
          <w:fldChar w:fldCharType="end"/>
        </w:r>
      </w:hyperlink>
    </w:p>
    <w:p>
      <w:pPr>
        <w:tabs>
          <w:tab w:val="right" w:leader="dot" w:pos="9062"/>
        </w:tabs>
        <w:ind w:left="440"/>
      </w:pPr>
      <w:hyperlink w:anchor="_Toc1390" w:history="1">
        <w:r>
          <w:rPr>
            <w:rFonts w:ascii="IRNazanin" w:hAnsi="IRNazanin" w:eastAsia="IRNazanin" w:cs="IRNazanin"/>
            <w:color w:val="111111"/>
            <w:sz w:val="22"/>
            <w:szCs w:val="22"/>
            <w:b w:val="0"/>
            <w:bCs w:val="0"/>
            <w:i w:val="0"/>
            <w:iCs w:val="0"/>
          </w:rPr>
          <w:t>1134- دیوان تنها قمی‏</w:t>
        </w:r>
        <w:r>
          <w:tab/>
        </w:r>
        <w:r>
          <w:fldChar w:fldCharType="begin"/>
        </w:r>
        <w:r>
          <w:instrText xml:space="preserve">PAGEREF 1390 \h</w:instrText>
        </w:r>
        <w:r>
          <w:fldChar w:fldCharType="end"/>
        </w:r>
      </w:hyperlink>
    </w:p>
    <w:p>
      <w:pPr>
        <w:tabs>
          <w:tab w:val="right" w:leader="dot" w:pos="9062"/>
        </w:tabs>
        <w:ind w:left="440"/>
      </w:pPr>
      <w:hyperlink w:anchor="_Toc1391" w:history="1">
        <w:r>
          <w:rPr>
            <w:rFonts w:ascii="IRNazanin" w:hAnsi="IRNazanin" w:eastAsia="IRNazanin" w:cs="IRNazanin"/>
            <w:color w:val="111111"/>
            <w:sz w:val="22"/>
            <w:szCs w:val="22"/>
            <w:b w:val="0"/>
            <w:bCs w:val="0"/>
            <w:i w:val="0"/>
            <w:iCs w:val="0"/>
          </w:rPr>
          <w:t>1135- دیوان تنهایی بیک أو شعره‏</w:t>
        </w:r>
        <w:r>
          <w:tab/>
        </w:r>
        <w:r>
          <w:fldChar w:fldCharType="begin"/>
        </w:r>
        <w:r>
          <w:instrText xml:space="preserve">PAGEREF 1391 \h</w:instrText>
        </w:r>
        <w:r>
          <w:fldChar w:fldCharType="end"/>
        </w:r>
      </w:hyperlink>
    </w:p>
    <w:p>
      <w:pPr>
        <w:tabs>
          <w:tab w:val="right" w:leader="dot" w:pos="9062"/>
        </w:tabs>
        <w:ind w:left="440"/>
      </w:pPr>
      <w:hyperlink w:anchor="_Toc1392" w:history="1">
        <w:r>
          <w:rPr>
            <w:rFonts w:ascii="IRNazanin" w:hAnsi="IRNazanin" w:eastAsia="IRNazanin" w:cs="IRNazanin"/>
            <w:color w:val="111111"/>
            <w:sz w:val="22"/>
            <w:szCs w:val="22"/>
            <w:b w:val="0"/>
            <w:bCs w:val="0"/>
            <w:i w:val="0"/>
            <w:iCs w:val="0"/>
          </w:rPr>
          <w:t>1136- دیوان توپچی أو شعره‏</w:t>
        </w:r>
        <w:r>
          <w:tab/>
        </w:r>
        <w:r>
          <w:fldChar w:fldCharType="begin"/>
        </w:r>
        <w:r>
          <w:instrText xml:space="preserve">PAGEREF 1392 \h</w:instrText>
        </w:r>
        <w:r>
          <w:fldChar w:fldCharType="end"/>
        </w:r>
      </w:hyperlink>
    </w:p>
    <w:p>
      <w:pPr>
        <w:tabs>
          <w:tab w:val="right" w:leader="dot" w:pos="9062"/>
        </w:tabs>
        <w:ind w:left="440"/>
      </w:pPr>
      <w:hyperlink w:anchor="_Toc1393" w:history="1">
        <w:r>
          <w:rPr>
            <w:rFonts w:ascii="IRNazanin" w:hAnsi="IRNazanin" w:eastAsia="IRNazanin" w:cs="IRNazanin"/>
            <w:color w:val="111111"/>
            <w:sz w:val="22"/>
            <w:szCs w:val="22"/>
            <w:b w:val="0"/>
            <w:bCs w:val="0"/>
            <w:i w:val="0"/>
            <w:iCs w:val="0"/>
          </w:rPr>
          <w:t>1137- دیوان توحید شیرازی‏</w:t>
        </w:r>
        <w:r>
          <w:tab/>
        </w:r>
        <w:r>
          <w:fldChar w:fldCharType="begin"/>
        </w:r>
        <w:r>
          <w:instrText xml:space="preserve">PAGEREF 1393 \h</w:instrText>
        </w:r>
        <w:r>
          <w:fldChar w:fldCharType="end"/>
        </w:r>
      </w:hyperlink>
    </w:p>
    <w:p>
      <w:pPr>
        <w:tabs>
          <w:tab w:val="right" w:leader="dot" w:pos="9062"/>
        </w:tabs>
        <w:ind w:left="440"/>
      </w:pPr>
      <w:hyperlink w:anchor="_Toc1394" w:history="1">
        <w:r>
          <w:rPr>
            <w:rFonts w:ascii="IRNazanin" w:hAnsi="IRNazanin" w:eastAsia="IRNazanin" w:cs="IRNazanin"/>
            <w:color w:val="111111"/>
            <w:sz w:val="22"/>
            <w:szCs w:val="22"/>
            <w:b w:val="0"/>
            <w:bCs w:val="0"/>
            <w:i w:val="0"/>
            <w:iCs w:val="0"/>
          </w:rPr>
          <w:t>1138- دیوان توسن تبریزی أو شعره‏</w:t>
        </w:r>
        <w:r>
          <w:tab/>
        </w:r>
        <w:r>
          <w:fldChar w:fldCharType="begin"/>
        </w:r>
        <w:r>
          <w:instrText xml:space="preserve">PAGEREF 1394 \h</w:instrText>
        </w:r>
        <w:r>
          <w:fldChar w:fldCharType="end"/>
        </w:r>
      </w:hyperlink>
    </w:p>
    <w:p>
      <w:pPr>
        <w:tabs>
          <w:tab w:val="right" w:leader="dot" w:pos="9062"/>
        </w:tabs>
        <w:ind w:left="440"/>
      </w:pPr>
      <w:hyperlink w:anchor="_Toc1395" w:history="1">
        <w:r>
          <w:rPr>
            <w:rFonts w:ascii="IRNazanin" w:hAnsi="IRNazanin" w:eastAsia="IRNazanin" w:cs="IRNazanin"/>
            <w:color w:val="111111"/>
            <w:sz w:val="22"/>
            <w:szCs w:val="22"/>
            <w:b w:val="0"/>
            <w:bCs w:val="0"/>
            <w:i w:val="0"/>
            <w:iCs w:val="0"/>
          </w:rPr>
          <w:t>1139- دیوان توفیق کشمیری أو شعره‏</w:t>
        </w:r>
        <w:r>
          <w:tab/>
        </w:r>
        <w:r>
          <w:fldChar w:fldCharType="begin"/>
        </w:r>
        <w:r>
          <w:instrText xml:space="preserve">PAGEREF 1395 \h</w:instrText>
        </w:r>
        <w:r>
          <w:fldChar w:fldCharType="end"/>
        </w:r>
      </w:hyperlink>
    </w:p>
    <w:p>
      <w:pPr>
        <w:tabs>
          <w:tab w:val="right" w:leader="dot" w:pos="9062"/>
        </w:tabs>
        <w:ind w:left="440"/>
      </w:pPr>
      <w:hyperlink w:anchor="_Toc1396" w:history="1">
        <w:r>
          <w:rPr>
            <w:rFonts w:ascii="IRNazanin" w:hAnsi="IRNazanin" w:eastAsia="IRNazanin" w:cs="IRNazanin"/>
            <w:color w:val="111111"/>
            <w:sz w:val="22"/>
            <w:szCs w:val="22"/>
            <w:b w:val="0"/>
            <w:bCs w:val="0"/>
            <w:i w:val="0"/>
            <w:iCs w:val="0"/>
          </w:rPr>
          <w:t>دیوان التهامی‏</w:t>
        </w:r>
        <w:r>
          <w:tab/>
        </w:r>
        <w:r>
          <w:fldChar w:fldCharType="begin"/>
        </w:r>
        <w:r>
          <w:instrText xml:space="preserve">PAGEREF 1396 \h</w:instrText>
        </w:r>
        <w:r>
          <w:fldChar w:fldCharType="end"/>
        </w:r>
      </w:hyperlink>
    </w:p>
    <w:p>
      <w:pPr>
        <w:tabs>
          <w:tab w:val="right" w:leader="dot" w:pos="9062"/>
        </w:tabs>
        <w:ind w:left="440"/>
      </w:pPr>
      <w:hyperlink w:anchor="_Toc1397" w:history="1">
        <w:r>
          <w:rPr>
            <w:rFonts w:ascii="IRNazanin" w:hAnsi="IRNazanin" w:eastAsia="IRNazanin" w:cs="IRNazanin"/>
            <w:color w:val="111111"/>
            <w:sz w:val="22"/>
            <w:szCs w:val="22"/>
            <w:b w:val="0"/>
            <w:bCs w:val="0"/>
            <w:i w:val="0"/>
            <w:iCs w:val="0"/>
          </w:rPr>
          <w:t>1140- دیوان التهامی‏</w:t>
        </w:r>
        <w:r>
          <w:tab/>
        </w:r>
        <w:r>
          <w:fldChar w:fldCharType="begin"/>
        </w:r>
        <w:r>
          <w:instrText xml:space="preserve">PAGEREF 1397 \h</w:instrText>
        </w:r>
        <w:r>
          <w:fldChar w:fldCharType="end"/>
        </w:r>
      </w:hyperlink>
    </w:p>
    <w:p>
      <w:pPr>
        <w:tabs>
          <w:tab w:val="right" w:leader="dot" w:pos="9062"/>
        </w:tabs>
        <w:ind w:left="440"/>
      </w:pPr>
      <w:hyperlink w:anchor="_Toc1398" w:history="1">
        <w:r>
          <w:rPr>
            <w:rFonts w:ascii="IRNazanin" w:hAnsi="IRNazanin" w:eastAsia="IRNazanin" w:cs="IRNazanin"/>
            <w:color w:val="111111"/>
            <w:sz w:val="22"/>
            <w:szCs w:val="22"/>
            <w:b w:val="0"/>
            <w:bCs w:val="0"/>
            <w:i w:val="0"/>
            <w:iCs w:val="0"/>
          </w:rPr>
          <w:t>ث‏</w:t>
        </w:r>
        <w:r>
          <w:tab/>
        </w:r>
        <w:r>
          <w:fldChar w:fldCharType="begin"/>
        </w:r>
        <w:r>
          <w:instrText xml:space="preserve">PAGEREF 1398 \h</w:instrText>
        </w:r>
        <w:r>
          <w:fldChar w:fldCharType="end"/>
        </w:r>
      </w:hyperlink>
    </w:p>
    <w:p>
      <w:pPr>
        <w:tabs>
          <w:tab w:val="right" w:leader="dot" w:pos="9062"/>
        </w:tabs>
        <w:ind w:left="440"/>
      </w:pPr>
      <w:hyperlink w:anchor="_Toc1399" w:history="1">
        <w:r>
          <w:rPr>
            <w:rFonts w:ascii="IRNazanin" w:hAnsi="IRNazanin" w:eastAsia="IRNazanin" w:cs="IRNazanin"/>
            <w:color w:val="111111"/>
            <w:sz w:val="22"/>
            <w:szCs w:val="22"/>
            <w:b w:val="0"/>
            <w:bCs w:val="0"/>
            <w:i w:val="0"/>
            <w:iCs w:val="0"/>
          </w:rPr>
          <w:t>1141- دیوان ثابتای کاشی أو شعره‏</w:t>
        </w:r>
        <w:r>
          <w:tab/>
        </w:r>
        <w:r>
          <w:fldChar w:fldCharType="begin"/>
        </w:r>
        <w:r>
          <w:instrText xml:space="preserve">PAGEREF 1399 \h</w:instrText>
        </w:r>
        <w:r>
          <w:fldChar w:fldCharType="end"/>
        </w:r>
      </w:hyperlink>
    </w:p>
    <w:p>
      <w:pPr>
        <w:tabs>
          <w:tab w:val="right" w:leader="dot" w:pos="9062"/>
        </w:tabs>
        <w:ind w:left="440"/>
      </w:pPr>
      <w:hyperlink w:anchor="_Toc1400" w:history="1">
        <w:r>
          <w:rPr>
            <w:rFonts w:ascii="IRNazanin" w:hAnsi="IRNazanin" w:eastAsia="IRNazanin" w:cs="IRNazanin"/>
            <w:color w:val="111111"/>
            <w:sz w:val="22"/>
            <w:szCs w:val="22"/>
            <w:b w:val="0"/>
            <w:bCs w:val="0"/>
            <w:i w:val="0"/>
            <w:iCs w:val="0"/>
          </w:rPr>
          <w:t>1142- دیوان ثابت أندبیلی‏</w:t>
        </w:r>
        <w:r>
          <w:tab/>
        </w:r>
        <w:r>
          <w:fldChar w:fldCharType="begin"/>
        </w:r>
        <w:r>
          <w:instrText xml:space="preserve">PAGEREF 1400 \h</w:instrText>
        </w:r>
        <w:r>
          <w:fldChar w:fldCharType="end"/>
        </w:r>
      </w:hyperlink>
    </w:p>
    <w:p>
      <w:pPr>
        <w:tabs>
          <w:tab w:val="right" w:leader="dot" w:pos="9062"/>
        </w:tabs>
        <w:ind w:left="440"/>
      </w:pPr>
      <w:hyperlink w:anchor="_Toc1401" w:history="1">
        <w:r>
          <w:rPr>
            <w:rFonts w:ascii="IRNazanin" w:hAnsi="IRNazanin" w:eastAsia="IRNazanin" w:cs="IRNazanin"/>
            <w:color w:val="111111"/>
            <w:sz w:val="22"/>
            <w:szCs w:val="22"/>
            <w:b w:val="0"/>
            <w:bCs w:val="0"/>
            <w:i w:val="0"/>
            <w:iCs w:val="0"/>
          </w:rPr>
          <w:t>1143- دیوان ثابت بخاری أو شعره‏</w:t>
        </w:r>
        <w:r>
          <w:tab/>
        </w:r>
        <w:r>
          <w:fldChar w:fldCharType="begin"/>
        </w:r>
        <w:r>
          <w:instrText xml:space="preserve">PAGEREF 1401 \h</w:instrText>
        </w:r>
        <w:r>
          <w:fldChar w:fldCharType="end"/>
        </w:r>
      </w:hyperlink>
    </w:p>
    <w:p>
      <w:pPr>
        <w:tabs>
          <w:tab w:val="right" w:leader="dot" w:pos="9062"/>
        </w:tabs>
        <w:ind w:left="440"/>
      </w:pPr>
      <w:hyperlink w:anchor="_Toc1402" w:history="1">
        <w:r>
          <w:rPr>
            <w:rFonts w:ascii="IRNazanin" w:hAnsi="IRNazanin" w:eastAsia="IRNazanin" w:cs="IRNazanin"/>
            <w:color w:val="111111"/>
            <w:sz w:val="22"/>
            <w:szCs w:val="22"/>
            <w:b w:val="0"/>
            <w:bCs w:val="0"/>
            <w:i w:val="0"/>
            <w:iCs w:val="0"/>
          </w:rPr>
          <w:t>1144- دیوان ثابت بدخشانی‏</w:t>
        </w:r>
        <w:r>
          <w:tab/>
        </w:r>
        <w:r>
          <w:fldChar w:fldCharType="begin"/>
        </w:r>
        <w:r>
          <w:instrText xml:space="preserve">PAGEREF 1402 \h</w:instrText>
        </w:r>
        <w:r>
          <w:fldChar w:fldCharType="end"/>
        </w:r>
      </w:hyperlink>
    </w:p>
    <w:p>
      <w:pPr>
        <w:tabs>
          <w:tab w:val="right" w:leader="dot" w:pos="9062"/>
        </w:tabs>
        <w:ind w:left="440"/>
      </w:pPr>
      <w:hyperlink w:anchor="_Toc1403" w:history="1">
        <w:r>
          <w:rPr>
            <w:rFonts w:ascii="IRNazanin" w:hAnsi="IRNazanin" w:eastAsia="IRNazanin" w:cs="IRNazanin"/>
            <w:color w:val="111111"/>
            <w:sz w:val="22"/>
            <w:szCs w:val="22"/>
            <w:b w:val="0"/>
            <w:bCs w:val="0"/>
            <w:i w:val="0"/>
            <w:iCs w:val="0"/>
          </w:rPr>
          <w:t>1145- دیوان ثابت تبریزی‏</w:t>
        </w:r>
        <w:r>
          <w:tab/>
        </w:r>
        <w:r>
          <w:fldChar w:fldCharType="begin"/>
        </w:r>
        <w:r>
          <w:instrText xml:space="preserve">PAGEREF 1403 \h</w:instrText>
        </w:r>
        <w:r>
          <w:fldChar w:fldCharType="end"/>
        </w:r>
      </w:hyperlink>
    </w:p>
    <w:p>
      <w:pPr>
        <w:tabs>
          <w:tab w:val="right" w:leader="dot" w:pos="9062"/>
        </w:tabs>
        <w:ind w:left="440"/>
      </w:pPr>
      <w:hyperlink w:anchor="_Toc1404" w:history="1">
        <w:r>
          <w:rPr>
            <w:rFonts w:ascii="IRNazanin" w:hAnsi="IRNazanin" w:eastAsia="IRNazanin" w:cs="IRNazanin"/>
            <w:color w:val="111111"/>
            <w:sz w:val="22"/>
            <w:szCs w:val="22"/>
            <w:b w:val="0"/>
            <w:bCs w:val="0"/>
            <w:i w:val="0"/>
            <w:iCs w:val="0"/>
          </w:rPr>
          <w:t>1146- دیوان ثابت تبریزی أو شعره‏</w:t>
        </w:r>
        <w:r>
          <w:tab/>
        </w:r>
        <w:r>
          <w:fldChar w:fldCharType="begin"/>
        </w:r>
        <w:r>
          <w:instrText xml:space="preserve">PAGEREF 1404 \h</w:instrText>
        </w:r>
        <w:r>
          <w:fldChar w:fldCharType="end"/>
        </w:r>
      </w:hyperlink>
    </w:p>
    <w:p>
      <w:pPr>
        <w:tabs>
          <w:tab w:val="right" w:leader="dot" w:pos="9062"/>
        </w:tabs>
        <w:ind w:left="440"/>
      </w:pPr>
      <w:hyperlink w:anchor="_Toc1405" w:history="1">
        <w:r>
          <w:rPr>
            <w:rFonts w:ascii="IRNazanin" w:hAnsi="IRNazanin" w:eastAsia="IRNazanin" w:cs="IRNazanin"/>
            <w:color w:val="111111"/>
            <w:sz w:val="22"/>
            <w:szCs w:val="22"/>
            <w:b w:val="0"/>
            <w:bCs w:val="0"/>
            <w:i w:val="0"/>
            <w:iCs w:val="0"/>
          </w:rPr>
          <w:t>1147- دیوان ثابت تفرشی أو شعره‏</w:t>
        </w:r>
        <w:r>
          <w:tab/>
        </w:r>
        <w:r>
          <w:fldChar w:fldCharType="begin"/>
        </w:r>
        <w:r>
          <w:instrText xml:space="preserve">PAGEREF 1405 \h</w:instrText>
        </w:r>
        <w:r>
          <w:fldChar w:fldCharType="end"/>
        </w:r>
      </w:hyperlink>
    </w:p>
    <w:p>
      <w:pPr>
        <w:tabs>
          <w:tab w:val="right" w:leader="dot" w:pos="9062"/>
        </w:tabs>
        <w:ind w:left="440"/>
      </w:pPr>
      <w:hyperlink w:anchor="_Toc1406" w:history="1">
        <w:r>
          <w:rPr>
            <w:rFonts w:ascii="IRNazanin" w:hAnsi="IRNazanin" w:eastAsia="IRNazanin" w:cs="IRNazanin"/>
            <w:color w:val="111111"/>
            <w:sz w:val="22"/>
            <w:szCs w:val="22"/>
            <w:b w:val="0"/>
            <w:bCs w:val="0"/>
            <w:i w:val="0"/>
            <w:iCs w:val="0"/>
          </w:rPr>
          <w:t>1148- دیوان ثابت خلخالی أو شعره‏</w:t>
        </w:r>
        <w:r>
          <w:tab/>
        </w:r>
        <w:r>
          <w:fldChar w:fldCharType="begin"/>
        </w:r>
        <w:r>
          <w:instrText xml:space="preserve">PAGEREF 1406 \h</w:instrText>
        </w:r>
        <w:r>
          <w:fldChar w:fldCharType="end"/>
        </w:r>
      </w:hyperlink>
    </w:p>
    <w:p>
      <w:pPr>
        <w:tabs>
          <w:tab w:val="right" w:leader="dot" w:pos="9062"/>
        </w:tabs>
        <w:ind w:left="440"/>
      </w:pPr>
      <w:hyperlink w:anchor="_Toc1407" w:history="1">
        <w:r>
          <w:rPr>
            <w:rFonts w:ascii="IRNazanin" w:hAnsi="IRNazanin" w:eastAsia="IRNazanin" w:cs="IRNazanin"/>
            <w:color w:val="111111"/>
            <w:sz w:val="22"/>
            <w:szCs w:val="22"/>
            <w:b w:val="0"/>
            <w:bCs w:val="0"/>
            <w:i w:val="0"/>
            <w:iCs w:val="0"/>
          </w:rPr>
          <w:t>1149- دیوان ثابت خوئی‏</w:t>
        </w:r>
        <w:r>
          <w:tab/>
        </w:r>
        <w:r>
          <w:fldChar w:fldCharType="begin"/>
        </w:r>
        <w:r>
          <w:instrText xml:space="preserve">PAGEREF 1407 \h</w:instrText>
        </w:r>
        <w:r>
          <w:fldChar w:fldCharType="end"/>
        </w:r>
      </w:hyperlink>
    </w:p>
    <w:p>
      <w:pPr>
        <w:tabs>
          <w:tab w:val="right" w:leader="dot" w:pos="9062"/>
        </w:tabs>
        <w:ind w:left="440"/>
      </w:pPr>
      <w:hyperlink w:anchor="_Toc1408" w:history="1">
        <w:r>
          <w:rPr>
            <w:rFonts w:ascii="IRNazanin" w:hAnsi="IRNazanin" w:eastAsia="IRNazanin" w:cs="IRNazanin"/>
            <w:color w:val="111111"/>
            <w:sz w:val="22"/>
            <w:szCs w:val="22"/>
            <w:b w:val="0"/>
            <w:bCs w:val="0"/>
            <w:i w:val="0"/>
            <w:iCs w:val="0"/>
          </w:rPr>
          <w:t>دیوان ثابت کاشانی‏</w:t>
        </w:r>
        <w:r>
          <w:tab/>
        </w:r>
        <w:r>
          <w:fldChar w:fldCharType="begin"/>
        </w:r>
        <w:r>
          <w:instrText xml:space="preserve">PAGEREF 1408 \h</w:instrText>
        </w:r>
        <w:r>
          <w:fldChar w:fldCharType="end"/>
        </w:r>
      </w:hyperlink>
    </w:p>
    <w:p>
      <w:pPr>
        <w:tabs>
          <w:tab w:val="right" w:leader="dot" w:pos="9062"/>
        </w:tabs>
        <w:ind w:left="440"/>
      </w:pPr>
      <w:hyperlink w:anchor="_Toc1409" w:history="1">
        <w:r>
          <w:rPr>
            <w:rFonts w:ascii="IRNazanin" w:hAnsi="IRNazanin" w:eastAsia="IRNazanin" w:cs="IRNazanin"/>
            <w:color w:val="111111"/>
            <w:sz w:val="22"/>
            <w:szCs w:val="22"/>
            <w:b w:val="0"/>
            <w:bCs w:val="0"/>
            <w:i w:val="0"/>
            <w:iCs w:val="0"/>
          </w:rPr>
          <w:t>1150- دیوان ثابت کرمانی‏</w:t>
        </w:r>
        <w:r>
          <w:tab/>
        </w:r>
        <w:r>
          <w:fldChar w:fldCharType="begin"/>
        </w:r>
        <w:r>
          <w:instrText xml:space="preserve">PAGEREF 1409 \h</w:instrText>
        </w:r>
        <w:r>
          <w:fldChar w:fldCharType="end"/>
        </w:r>
      </w:hyperlink>
    </w:p>
    <w:p>
      <w:pPr>
        <w:tabs>
          <w:tab w:val="right" w:leader="dot" w:pos="9062"/>
        </w:tabs>
        <w:ind w:left="440"/>
      </w:pPr>
      <w:hyperlink w:anchor="_Toc1410" w:history="1">
        <w:r>
          <w:rPr>
            <w:rFonts w:ascii="IRNazanin" w:hAnsi="IRNazanin" w:eastAsia="IRNazanin" w:cs="IRNazanin"/>
            <w:color w:val="111111"/>
            <w:sz w:val="22"/>
            <w:szCs w:val="22"/>
            <w:b w:val="0"/>
            <w:bCs w:val="0"/>
            <w:i w:val="0"/>
            <w:iCs w:val="0"/>
          </w:rPr>
          <w:t>1151- دیوان ثابت هروی أو شعره‏</w:t>
        </w:r>
        <w:r>
          <w:tab/>
        </w:r>
        <w:r>
          <w:fldChar w:fldCharType="begin"/>
        </w:r>
        <w:r>
          <w:instrText xml:space="preserve">PAGEREF 1410 \h</w:instrText>
        </w:r>
        <w:r>
          <w:fldChar w:fldCharType="end"/>
        </w:r>
      </w:hyperlink>
    </w:p>
    <w:p>
      <w:pPr>
        <w:tabs>
          <w:tab w:val="right" w:leader="dot" w:pos="9062"/>
        </w:tabs>
        <w:ind w:left="440"/>
      </w:pPr>
      <w:hyperlink w:anchor="_Toc1411" w:history="1">
        <w:r>
          <w:rPr>
            <w:rFonts w:ascii="IRNazanin" w:hAnsi="IRNazanin" w:eastAsia="IRNazanin" w:cs="IRNazanin"/>
            <w:color w:val="111111"/>
            <w:sz w:val="22"/>
            <w:szCs w:val="22"/>
            <w:b w:val="0"/>
            <w:bCs w:val="0"/>
            <w:i w:val="0"/>
            <w:iCs w:val="0"/>
          </w:rPr>
          <w:t>دیوان ثابت هندی أو شعره‏</w:t>
        </w:r>
        <w:r>
          <w:tab/>
        </w:r>
        <w:r>
          <w:fldChar w:fldCharType="begin"/>
        </w:r>
        <w:r>
          <w:instrText xml:space="preserve">PAGEREF 1411 \h</w:instrText>
        </w:r>
        <w:r>
          <w:fldChar w:fldCharType="end"/>
        </w:r>
      </w:hyperlink>
    </w:p>
    <w:p>
      <w:pPr>
        <w:tabs>
          <w:tab w:val="right" w:leader="dot" w:pos="9062"/>
        </w:tabs>
        <w:ind w:left="440"/>
      </w:pPr>
      <w:hyperlink w:anchor="_Toc1412" w:history="1">
        <w:r>
          <w:rPr>
            <w:rFonts w:ascii="IRNazanin" w:hAnsi="IRNazanin" w:eastAsia="IRNazanin" w:cs="IRNazanin"/>
            <w:color w:val="111111"/>
            <w:sz w:val="22"/>
            <w:szCs w:val="22"/>
            <w:b w:val="0"/>
            <w:bCs w:val="0"/>
            <w:i w:val="0"/>
            <w:iCs w:val="0"/>
          </w:rPr>
          <w:t>1152- دیوان ثاقب‏</w:t>
        </w:r>
        <w:r>
          <w:tab/>
        </w:r>
        <w:r>
          <w:fldChar w:fldCharType="begin"/>
        </w:r>
        <w:r>
          <w:instrText xml:space="preserve">PAGEREF 1412 \h</w:instrText>
        </w:r>
        <w:r>
          <w:fldChar w:fldCharType="end"/>
        </w:r>
      </w:hyperlink>
    </w:p>
    <w:p>
      <w:pPr>
        <w:tabs>
          <w:tab w:val="right" w:leader="dot" w:pos="9062"/>
        </w:tabs>
        <w:ind w:left="440"/>
      </w:pPr>
      <w:hyperlink w:anchor="_Toc1413" w:history="1">
        <w:r>
          <w:rPr>
            <w:rFonts w:ascii="IRNazanin" w:hAnsi="IRNazanin" w:eastAsia="IRNazanin" w:cs="IRNazanin"/>
            <w:color w:val="111111"/>
            <w:sz w:val="22"/>
            <w:szCs w:val="22"/>
            <w:b w:val="0"/>
            <w:bCs w:val="0"/>
            <w:i w:val="0"/>
            <w:iCs w:val="0"/>
          </w:rPr>
          <w:t>1153- دیوان ثاقب أزمیری‏</w:t>
        </w:r>
        <w:r>
          <w:tab/>
        </w:r>
        <w:r>
          <w:fldChar w:fldCharType="begin"/>
        </w:r>
        <w:r>
          <w:instrText xml:space="preserve">PAGEREF 1413 \h</w:instrText>
        </w:r>
        <w:r>
          <w:fldChar w:fldCharType="end"/>
        </w:r>
      </w:hyperlink>
    </w:p>
    <w:p>
      <w:pPr>
        <w:tabs>
          <w:tab w:val="right" w:leader="dot" w:pos="9062"/>
        </w:tabs>
        <w:ind w:left="440"/>
      </w:pPr>
      <w:hyperlink w:anchor="_Toc1414" w:history="1">
        <w:r>
          <w:rPr>
            <w:rFonts w:ascii="IRNazanin" w:hAnsi="IRNazanin" w:eastAsia="IRNazanin" w:cs="IRNazanin"/>
            <w:color w:val="111111"/>
            <w:sz w:val="22"/>
            <w:szCs w:val="22"/>
            <w:b w:val="0"/>
            <w:bCs w:val="0"/>
            <w:i w:val="0"/>
            <w:iCs w:val="0"/>
          </w:rPr>
          <w:t>دیوان ثاقب بخاری أو شعره‏</w:t>
        </w:r>
        <w:r>
          <w:tab/>
        </w:r>
        <w:r>
          <w:fldChar w:fldCharType="begin"/>
        </w:r>
        <w:r>
          <w:instrText xml:space="preserve">PAGEREF 1414 \h</w:instrText>
        </w:r>
        <w:r>
          <w:fldChar w:fldCharType="end"/>
        </w:r>
      </w:hyperlink>
    </w:p>
    <w:p>
      <w:pPr>
        <w:tabs>
          <w:tab w:val="right" w:leader="dot" w:pos="9062"/>
        </w:tabs>
        <w:ind w:left="440"/>
      </w:pPr>
      <w:hyperlink w:anchor="_Toc1415" w:history="1">
        <w:r>
          <w:rPr>
            <w:rFonts w:ascii="IRNazanin" w:hAnsi="IRNazanin" w:eastAsia="IRNazanin" w:cs="IRNazanin"/>
            <w:color w:val="111111"/>
            <w:sz w:val="22"/>
            <w:szCs w:val="22"/>
            <w:b w:val="0"/>
            <w:bCs w:val="0"/>
            <w:i w:val="0"/>
            <w:iCs w:val="0"/>
          </w:rPr>
          <w:t>1154- دیوان ثاقب سرهندی أو شعره‏</w:t>
        </w:r>
        <w:r>
          <w:tab/>
        </w:r>
        <w:r>
          <w:fldChar w:fldCharType="begin"/>
        </w:r>
        <w:r>
          <w:instrText xml:space="preserve">PAGEREF 1415 \h</w:instrText>
        </w:r>
        <w:r>
          <w:fldChar w:fldCharType="end"/>
        </w:r>
      </w:hyperlink>
    </w:p>
    <w:p>
      <w:pPr>
        <w:tabs>
          <w:tab w:val="right" w:leader="dot" w:pos="9062"/>
        </w:tabs>
        <w:ind w:left="440"/>
      </w:pPr>
      <w:hyperlink w:anchor="_Toc1416" w:history="1">
        <w:r>
          <w:rPr>
            <w:rFonts w:ascii="IRNazanin" w:hAnsi="IRNazanin" w:eastAsia="IRNazanin" w:cs="IRNazanin"/>
            <w:color w:val="111111"/>
            <w:sz w:val="22"/>
            <w:szCs w:val="22"/>
            <w:b w:val="0"/>
            <w:bCs w:val="0"/>
            <w:i w:val="0"/>
            <w:iCs w:val="0"/>
          </w:rPr>
          <w:t>1155- دیوان ثاقب مدراسی أو شعره‏</w:t>
        </w:r>
        <w:r>
          <w:tab/>
        </w:r>
        <w:r>
          <w:fldChar w:fldCharType="begin"/>
        </w:r>
        <w:r>
          <w:instrText xml:space="preserve">PAGEREF 1416 \h</w:instrText>
        </w:r>
        <w:r>
          <w:fldChar w:fldCharType="end"/>
        </w:r>
      </w:hyperlink>
    </w:p>
    <w:p>
      <w:pPr>
        <w:tabs>
          <w:tab w:val="right" w:leader="dot" w:pos="9062"/>
        </w:tabs>
        <w:ind w:left="440"/>
      </w:pPr>
      <w:hyperlink w:anchor="_Toc1417" w:history="1">
        <w:r>
          <w:rPr>
            <w:rFonts w:ascii="IRNazanin" w:hAnsi="IRNazanin" w:eastAsia="IRNazanin" w:cs="IRNazanin"/>
            <w:color w:val="111111"/>
            <w:sz w:val="22"/>
            <w:szCs w:val="22"/>
            <w:b w:val="0"/>
            <w:bCs w:val="0"/>
            <w:i w:val="0"/>
            <w:iCs w:val="0"/>
          </w:rPr>
          <w:t>1156- دیوان ثاقب هندی أو شعره‏</w:t>
        </w:r>
        <w:r>
          <w:tab/>
        </w:r>
        <w:r>
          <w:fldChar w:fldCharType="begin"/>
        </w:r>
        <w:r>
          <w:instrText xml:space="preserve">PAGEREF 1417 \h</w:instrText>
        </w:r>
        <w:r>
          <w:fldChar w:fldCharType="end"/>
        </w:r>
      </w:hyperlink>
    </w:p>
    <w:p>
      <w:pPr>
        <w:tabs>
          <w:tab w:val="right" w:leader="dot" w:pos="9062"/>
        </w:tabs>
        <w:ind w:left="440"/>
      </w:pPr>
      <w:hyperlink w:anchor="_Toc1418" w:history="1">
        <w:r>
          <w:rPr>
            <w:rFonts w:ascii="IRNazanin" w:hAnsi="IRNazanin" w:eastAsia="IRNazanin" w:cs="IRNazanin"/>
            <w:color w:val="111111"/>
            <w:sz w:val="22"/>
            <w:szCs w:val="22"/>
            <w:b w:val="0"/>
            <w:bCs w:val="0"/>
            <w:i w:val="0"/>
            <w:iCs w:val="0"/>
          </w:rPr>
          <w:t>1157- دیوان ثانی‏</w:t>
        </w:r>
        <w:r>
          <w:tab/>
        </w:r>
        <w:r>
          <w:fldChar w:fldCharType="begin"/>
        </w:r>
        <w:r>
          <w:instrText xml:space="preserve">PAGEREF 1418 \h</w:instrText>
        </w:r>
        <w:r>
          <w:fldChar w:fldCharType="end"/>
        </w:r>
      </w:hyperlink>
    </w:p>
    <w:p>
      <w:pPr>
        <w:tabs>
          <w:tab w:val="right" w:leader="dot" w:pos="9062"/>
        </w:tabs>
        <w:ind w:left="440"/>
      </w:pPr>
      <w:hyperlink w:anchor="_Toc1419" w:history="1">
        <w:r>
          <w:rPr>
            <w:rFonts w:ascii="IRNazanin" w:hAnsi="IRNazanin" w:eastAsia="IRNazanin" w:cs="IRNazanin"/>
            <w:color w:val="111111"/>
            <w:sz w:val="22"/>
            <w:szCs w:val="22"/>
            <w:b w:val="0"/>
            <w:bCs w:val="0"/>
            <w:i w:val="0"/>
            <w:iCs w:val="0"/>
          </w:rPr>
          <w:t>دیوان ثانی‏</w:t>
        </w:r>
        <w:r>
          <w:tab/>
        </w:r>
        <w:r>
          <w:fldChar w:fldCharType="begin"/>
        </w:r>
        <w:r>
          <w:instrText xml:space="preserve">PAGEREF 1419 \h</w:instrText>
        </w:r>
        <w:r>
          <w:fldChar w:fldCharType="end"/>
        </w:r>
      </w:hyperlink>
    </w:p>
    <w:p>
      <w:pPr>
        <w:tabs>
          <w:tab w:val="right" w:leader="dot" w:pos="9062"/>
        </w:tabs>
        <w:ind w:left="440"/>
      </w:pPr>
      <w:hyperlink w:anchor="_Toc1420" w:history="1">
        <w:r>
          <w:rPr>
            <w:rFonts w:ascii="IRNazanin" w:hAnsi="IRNazanin" w:eastAsia="IRNazanin" w:cs="IRNazanin"/>
            <w:color w:val="111111"/>
            <w:sz w:val="22"/>
            <w:szCs w:val="22"/>
            <w:b w:val="0"/>
            <w:bCs w:val="0"/>
            <w:i w:val="0"/>
            <w:iCs w:val="0"/>
          </w:rPr>
          <w:t>دیوان ثانی هندی أو شعره‏</w:t>
        </w:r>
        <w:r>
          <w:tab/>
        </w:r>
        <w:r>
          <w:fldChar w:fldCharType="begin"/>
        </w:r>
        <w:r>
          <w:instrText xml:space="preserve">PAGEREF 1420 \h</w:instrText>
        </w:r>
        <w:r>
          <w:fldChar w:fldCharType="end"/>
        </w:r>
      </w:hyperlink>
    </w:p>
    <w:p>
      <w:pPr>
        <w:tabs>
          <w:tab w:val="right" w:leader="dot" w:pos="9062"/>
        </w:tabs>
        <w:ind w:left="440"/>
      </w:pPr>
      <w:hyperlink w:anchor="_Toc1421" w:history="1">
        <w:r>
          <w:rPr>
            <w:rFonts w:ascii="IRNazanin" w:hAnsi="IRNazanin" w:eastAsia="IRNazanin" w:cs="IRNazanin"/>
            <w:color w:val="111111"/>
            <w:sz w:val="22"/>
            <w:szCs w:val="22"/>
            <w:b w:val="0"/>
            <w:bCs w:val="0"/>
            <w:i w:val="0"/>
            <w:iCs w:val="0"/>
          </w:rPr>
          <w:t>1158- دیوان ثبات‏</w:t>
        </w:r>
        <w:r>
          <w:tab/>
        </w:r>
        <w:r>
          <w:fldChar w:fldCharType="begin"/>
        </w:r>
        <w:r>
          <w:instrText xml:space="preserve">PAGEREF 1421 \h</w:instrText>
        </w:r>
        <w:r>
          <w:fldChar w:fldCharType="end"/>
        </w:r>
      </w:hyperlink>
    </w:p>
    <w:p>
      <w:pPr>
        <w:tabs>
          <w:tab w:val="right" w:leader="dot" w:pos="9062"/>
        </w:tabs>
        <w:ind w:left="440"/>
      </w:pPr>
      <w:hyperlink w:anchor="_Toc1422" w:history="1">
        <w:r>
          <w:rPr>
            <w:rFonts w:ascii="IRNazanin" w:hAnsi="IRNazanin" w:eastAsia="IRNazanin" w:cs="IRNazanin"/>
            <w:color w:val="111111"/>
            <w:sz w:val="22"/>
            <w:szCs w:val="22"/>
            <w:b w:val="0"/>
            <w:bCs w:val="0"/>
            <w:i w:val="0"/>
            <w:iCs w:val="0"/>
          </w:rPr>
          <w:t>1159- دیوان ثباتی أردوبادی أو شعره‏</w:t>
        </w:r>
        <w:r>
          <w:tab/>
        </w:r>
        <w:r>
          <w:fldChar w:fldCharType="begin"/>
        </w:r>
        <w:r>
          <w:instrText xml:space="preserve">PAGEREF 1422 \h</w:instrText>
        </w:r>
        <w:r>
          <w:fldChar w:fldCharType="end"/>
        </w:r>
      </w:hyperlink>
    </w:p>
    <w:p>
      <w:pPr>
        <w:tabs>
          <w:tab w:val="right" w:leader="dot" w:pos="9062"/>
        </w:tabs>
        <w:ind w:left="440"/>
      </w:pPr>
      <w:hyperlink w:anchor="_Toc1423" w:history="1">
        <w:r>
          <w:rPr>
            <w:rFonts w:ascii="IRNazanin" w:hAnsi="IRNazanin" w:eastAsia="IRNazanin" w:cs="IRNazanin"/>
            <w:color w:val="111111"/>
            <w:sz w:val="22"/>
            <w:szCs w:val="22"/>
            <w:b w:val="0"/>
            <w:bCs w:val="0"/>
            <w:i w:val="0"/>
            <w:iCs w:val="0"/>
          </w:rPr>
          <w:t>1160- دیوان ثریا شیرازی‏</w:t>
        </w:r>
        <w:r>
          <w:tab/>
        </w:r>
        <w:r>
          <w:fldChar w:fldCharType="begin"/>
        </w:r>
        <w:r>
          <w:instrText xml:space="preserve">PAGEREF 1423 \h</w:instrText>
        </w:r>
        <w:r>
          <w:fldChar w:fldCharType="end"/>
        </w:r>
      </w:hyperlink>
    </w:p>
    <w:p>
      <w:pPr>
        <w:tabs>
          <w:tab w:val="right" w:leader="dot" w:pos="9062"/>
        </w:tabs>
        <w:ind w:left="440"/>
      </w:pPr>
      <w:hyperlink w:anchor="_Toc1424" w:history="1">
        <w:r>
          <w:rPr>
            <w:rFonts w:ascii="IRNazanin" w:hAnsi="IRNazanin" w:eastAsia="IRNazanin" w:cs="IRNazanin"/>
            <w:color w:val="111111"/>
            <w:sz w:val="22"/>
            <w:szCs w:val="22"/>
            <w:b w:val="0"/>
            <w:bCs w:val="0"/>
            <w:i w:val="0"/>
            <w:iCs w:val="0"/>
          </w:rPr>
          <w:t>1161- دیوان ثریا طهرانی‏</w:t>
        </w:r>
        <w:r>
          <w:tab/>
        </w:r>
        <w:r>
          <w:fldChar w:fldCharType="begin"/>
        </w:r>
        <w:r>
          <w:instrText xml:space="preserve">PAGEREF 1424 \h</w:instrText>
        </w:r>
        <w:r>
          <w:fldChar w:fldCharType="end"/>
        </w:r>
      </w:hyperlink>
    </w:p>
    <w:p>
      <w:pPr>
        <w:tabs>
          <w:tab w:val="right" w:leader="dot" w:pos="9062"/>
        </w:tabs>
        <w:ind w:left="440"/>
      </w:pPr>
      <w:hyperlink w:anchor="_Toc1425" w:history="1">
        <w:r>
          <w:rPr>
            <w:rFonts w:ascii="IRNazanin" w:hAnsi="IRNazanin" w:eastAsia="IRNazanin" w:cs="IRNazanin"/>
            <w:color w:val="111111"/>
            <w:sz w:val="22"/>
            <w:szCs w:val="22"/>
            <w:b w:val="0"/>
            <w:bCs w:val="0"/>
            <w:i w:val="0"/>
            <w:iCs w:val="0"/>
          </w:rPr>
          <w:t>دیوان ثریا قاجار أو شعره‏</w:t>
        </w:r>
        <w:r>
          <w:tab/>
        </w:r>
        <w:r>
          <w:fldChar w:fldCharType="begin"/>
        </w:r>
        <w:r>
          <w:instrText xml:space="preserve">PAGEREF 1425 \h</w:instrText>
        </w:r>
        <w:r>
          <w:fldChar w:fldCharType="end"/>
        </w:r>
      </w:hyperlink>
    </w:p>
    <w:p>
      <w:pPr>
        <w:tabs>
          <w:tab w:val="right" w:leader="dot" w:pos="9062"/>
        </w:tabs>
        <w:ind w:left="440"/>
      </w:pPr>
      <w:hyperlink w:anchor="_Toc1426" w:history="1">
        <w:r>
          <w:rPr>
            <w:rFonts w:ascii="IRNazanin" w:hAnsi="IRNazanin" w:eastAsia="IRNazanin" w:cs="IRNazanin"/>
            <w:color w:val="111111"/>
            <w:sz w:val="22"/>
            <w:szCs w:val="22"/>
            <w:b w:val="0"/>
            <w:bCs w:val="0"/>
            <w:i w:val="0"/>
            <w:iCs w:val="0"/>
          </w:rPr>
          <w:t>1162- دیوان ثمر</w:t>
        </w:r>
        <w:r>
          <w:tab/>
        </w:r>
        <w:r>
          <w:fldChar w:fldCharType="begin"/>
        </w:r>
        <w:r>
          <w:instrText xml:space="preserve">PAGEREF 1426 \h</w:instrText>
        </w:r>
        <w:r>
          <w:fldChar w:fldCharType="end"/>
        </w:r>
      </w:hyperlink>
    </w:p>
    <w:p>
      <w:pPr>
        <w:tabs>
          <w:tab w:val="right" w:leader="dot" w:pos="9062"/>
        </w:tabs>
        <w:ind w:left="440"/>
      </w:pPr>
      <w:hyperlink w:anchor="_Toc1427" w:history="1">
        <w:r>
          <w:rPr>
            <w:rFonts w:ascii="IRNazanin" w:hAnsi="IRNazanin" w:eastAsia="IRNazanin" w:cs="IRNazanin"/>
            <w:color w:val="111111"/>
            <w:sz w:val="22"/>
            <w:szCs w:val="22"/>
            <w:b w:val="0"/>
            <w:bCs w:val="0"/>
            <w:i w:val="0"/>
            <w:iCs w:val="0"/>
          </w:rPr>
          <w:t>1163- دیوان ثنا کشمیری أو شعره‏</w:t>
        </w:r>
        <w:r>
          <w:tab/>
        </w:r>
        <w:r>
          <w:fldChar w:fldCharType="begin"/>
        </w:r>
        <w:r>
          <w:instrText xml:space="preserve">PAGEREF 1427 \h</w:instrText>
        </w:r>
        <w:r>
          <w:fldChar w:fldCharType="end"/>
        </w:r>
      </w:hyperlink>
    </w:p>
    <w:p>
      <w:pPr>
        <w:tabs>
          <w:tab w:val="right" w:leader="dot" w:pos="9062"/>
        </w:tabs>
        <w:ind w:left="440"/>
      </w:pPr>
      <w:hyperlink w:anchor="_Toc1428" w:history="1">
        <w:r>
          <w:rPr>
            <w:rFonts w:ascii="IRNazanin" w:hAnsi="IRNazanin" w:eastAsia="IRNazanin" w:cs="IRNazanin"/>
            <w:color w:val="111111"/>
            <w:sz w:val="22"/>
            <w:szCs w:val="22"/>
            <w:b w:val="0"/>
            <w:bCs w:val="0"/>
            <w:i w:val="0"/>
            <w:iCs w:val="0"/>
          </w:rPr>
          <w:t>1164- دیوان ثنائی مشهدی‏</w:t>
        </w:r>
        <w:r>
          <w:tab/>
        </w:r>
        <w:r>
          <w:fldChar w:fldCharType="begin"/>
        </w:r>
        <w:r>
          <w:instrText xml:space="preserve">PAGEREF 1428 \h</w:instrText>
        </w:r>
        <w:r>
          <w:fldChar w:fldCharType="end"/>
        </w:r>
      </w:hyperlink>
    </w:p>
    <w:p>
      <w:pPr>
        <w:tabs>
          <w:tab w:val="right" w:leader="dot" w:pos="9062"/>
        </w:tabs>
        <w:ind w:left="440"/>
      </w:pPr>
      <w:hyperlink w:anchor="_Toc1429" w:history="1">
        <w:r>
          <w:rPr>
            <w:rFonts w:ascii="IRNazanin" w:hAnsi="IRNazanin" w:eastAsia="IRNazanin" w:cs="IRNazanin"/>
            <w:color w:val="111111"/>
            <w:sz w:val="22"/>
            <w:szCs w:val="22"/>
            <w:b w:val="0"/>
            <w:bCs w:val="0"/>
            <w:i w:val="0"/>
            <w:iCs w:val="0"/>
          </w:rPr>
          <w:t>1165- دیوان ثنائی فراهانی‏</w:t>
        </w:r>
        <w:r>
          <w:tab/>
        </w:r>
        <w:r>
          <w:fldChar w:fldCharType="begin"/>
        </w:r>
        <w:r>
          <w:instrText xml:space="preserve">PAGEREF 1429 \h</w:instrText>
        </w:r>
        <w:r>
          <w:fldChar w:fldCharType="end"/>
        </w:r>
      </w:hyperlink>
    </w:p>
    <w:p>
      <w:pPr>
        <w:tabs>
          <w:tab w:val="right" w:leader="dot" w:pos="9062"/>
        </w:tabs>
        <w:ind w:left="440"/>
      </w:pPr>
      <w:hyperlink w:anchor="_Toc1430" w:history="1">
        <w:r>
          <w:rPr>
            <w:rFonts w:ascii="IRNazanin" w:hAnsi="IRNazanin" w:eastAsia="IRNazanin" w:cs="IRNazanin"/>
            <w:color w:val="111111"/>
            <w:sz w:val="22"/>
            <w:szCs w:val="22"/>
            <w:b w:val="0"/>
            <w:bCs w:val="0"/>
            <w:i w:val="0"/>
            <w:iCs w:val="0"/>
          </w:rPr>
          <w:t>ج‏</w:t>
        </w:r>
        <w:r>
          <w:tab/>
        </w:r>
        <w:r>
          <w:fldChar w:fldCharType="begin"/>
        </w:r>
        <w:r>
          <w:instrText xml:space="preserve">PAGEREF 1430 \h</w:instrText>
        </w:r>
        <w:r>
          <w:fldChar w:fldCharType="end"/>
        </w:r>
      </w:hyperlink>
    </w:p>
    <w:p>
      <w:pPr>
        <w:tabs>
          <w:tab w:val="right" w:leader="dot" w:pos="9062"/>
        </w:tabs>
        <w:ind w:left="440"/>
      </w:pPr>
      <w:hyperlink w:anchor="_Toc1431" w:history="1">
        <w:r>
          <w:rPr>
            <w:rFonts w:ascii="IRNazanin" w:hAnsi="IRNazanin" w:eastAsia="IRNazanin" w:cs="IRNazanin"/>
            <w:color w:val="111111"/>
            <w:sz w:val="22"/>
            <w:szCs w:val="22"/>
            <w:b w:val="0"/>
            <w:bCs w:val="0"/>
            <w:i w:val="0"/>
            <w:iCs w:val="0"/>
          </w:rPr>
          <w:t>دیوان جائی‏</w:t>
        </w:r>
        <w:r>
          <w:tab/>
        </w:r>
        <w:r>
          <w:fldChar w:fldCharType="begin"/>
        </w:r>
        <w:r>
          <w:instrText xml:space="preserve">PAGEREF 1431 \h</w:instrText>
        </w:r>
        <w:r>
          <w:fldChar w:fldCharType="end"/>
        </w:r>
      </w:hyperlink>
    </w:p>
    <w:p>
      <w:pPr>
        <w:tabs>
          <w:tab w:val="right" w:leader="dot" w:pos="9062"/>
        </w:tabs>
        <w:ind w:left="440"/>
      </w:pPr>
      <w:hyperlink w:anchor="_Toc1432" w:history="1">
        <w:r>
          <w:rPr>
            <w:rFonts w:ascii="IRNazanin" w:hAnsi="IRNazanin" w:eastAsia="IRNazanin" w:cs="IRNazanin"/>
            <w:color w:val="111111"/>
            <w:sz w:val="22"/>
            <w:szCs w:val="22"/>
            <w:b w:val="0"/>
            <w:bCs w:val="0"/>
            <w:i w:val="0"/>
            <w:iCs w:val="0"/>
          </w:rPr>
          <w:t>دیوان جابر أبی النوادر</w:t>
        </w:r>
        <w:r>
          <w:tab/>
        </w:r>
        <w:r>
          <w:fldChar w:fldCharType="begin"/>
        </w:r>
        <w:r>
          <w:instrText xml:space="preserve">PAGEREF 1432 \h</w:instrText>
        </w:r>
        <w:r>
          <w:fldChar w:fldCharType="end"/>
        </w:r>
      </w:hyperlink>
    </w:p>
    <w:p>
      <w:pPr>
        <w:tabs>
          <w:tab w:val="right" w:leader="dot" w:pos="9062"/>
        </w:tabs>
        <w:ind w:left="440"/>
      </w:pPr>
      <w:hyperlink w:anchor="_Toc1433" w:history="1">
        <w:r>
          <w:rPr>
            <w:rFonts w:ascii="IRNazanin" w:hAnsi="IRNazanin" w:eastAsia="IRNazanin" w:cs="IRNazanin"/>
            <w:color w:val="111111"/>
            <w:sz w:val="22"/>
            <w:szCs w:val="22"/>
            <w:b w:val="0"/>
            <w:bCs w:val="0"/>
            <w:i w:val="0"/>
            <w:iCs w:val="0"/>
          </w:rPr>
          <w:t>1166- دیوان جابر أبی النوادر</w:t>
        </w:r>
        <w:r>
          <w:tab/>
        </w:r>
        <w:r>
          <w:fldChar w:fldCharType="begin"/>
        </w:r>
        <w:r>
          <w:instrText xml:space="preserve">PAGEREF 1433 \h</w:instrText>
        </w:r>
        <w:r>
          <w:fldChar w:fldCharType="end"/>
        </w:r>
      </w:hyperlink>
    </w:p>
    <w:p>
      <w:pPr>
        <w:tabs>
          <w:tab w:val="right" w:leader="dot" w:pos="9062"/>
        </w:tabs>
        <w:ind w:left="440"/>
      </w:pPr>
      <w:hyperlink w:anchor="_Toc1434" w:history="1">
        <w:r>
          <w:rPr>
            <w:rFonts w:ascii="IRNazanin" w:hAnsi="IRNazanin" w:eastAsia="IRNazanin" w:cs="IRNazanin"/>
            <w:color w:val="111111"/>
            <w:sz w:val="22"/>
            <w:szCs w:val="22"/>
            <w:b w:val="0"/>
            <w:bCs w:val="0"/>
            <w:i w:val="0"/>
            <w:iCs w:val="0"/>
          </w:rPr>
          <w:t>1167- دیوان السید جابر الأهوازی‏</w:t>
        </w:r>
        <w:r>
          <w:tab/>
        </w:r>
        <w:r>
          <w:fldChar w:fldCharType="begin"/>
        </w:r>
        <w:r>
          <w:instrText xml:space="preserve">PAGEREF 1434 \h</w:instrText>
        </w:r>
        <w:r>
          <w:fldChar w:fldCharType="end"/>
        </w:r>
      </w:hyperlink>
    </w:p>
    <w:p>
      <w:pPr>
        <w:tabs>
          <w:tab w:val="right" w:leader="dot" w:pos="9062"/>
        </w:tabs>
        <w:ind w:left="440"/>
      </w:pPr>
      <w:hyperlink w:anchor="_Toc1435" w:history="1">
        <w:r>
          <w:rPr>
            <w:rFonts w:ascii="IRNazanin" w:hAnsi="IRNazanin" w:eastAsia="IRNazanin" w:cs="IRNazanin"/>
            <w:color w:val="111111"/>
            <w:sz w:val="22"/>
            <w:szCs w:val="22"/>
            <w:b w:val="0"/>
            <w:bCs w:val="0"/>
            <w:i w:val="0"/>
            <w:iCs w:val="0"/>
          </w:rPr>
          <w:t>1168- دیوان الشیخ جابر الکشمیری‏</w:t>
        </w:r>
        <w:r>
          <w:tab/>
        </w:r>
        <w:r>
          <w:fldChar w:fldCharType="begin"/>
        </w:r>
        <w:r>
          <w:instrText xml:space="preserve">PAGEREF 1435 \h</w:instrText>
        </w:r>
        <w:r>
          <w:fldChar w:fldCharType="end"/>
        </w:r>
      </w:hyperlink>
    </w:p>
    <w:p>
      <w:pPr>
        <w:tabs>
          <w:tab w:val="right" w:leader="dot" w:pos="9062"/>
        </w:tabs>
        <w:ind w:left="440"/>
      </w:pPr>
      <w:hyperlink w:anchor="_Toc1436" w:history="1">
        <w:r>
          <w:rPr>
            <w:rFonts w:ascii="IRNazanin" w:hAnsi="IRNazanin" w:eastAsia="IRNazanin" w:cs="IRNazanin"/>
            <w:color w:val="111111"/>
            <w:sz w:val="22"/>
            <w:szCs w:val="22"/>
            <w:b w:val="0"/>
            <w:bCs w:val="0"/>
            <w:i w:val="0"/>
            <w:iCs w:val="0"/>
          </w:rPr>
          <w:t>دیوان جاجرمی‏</w:t>
        </w:r>
        <w:r>
          <w:tab/>
        </w:r>
        <w:r>
          <w:fldChar w:fldCharType="begin"/>
        </w:r>
        <w:r>
          <w:instrText xml:space="preserve">PAGEREF 1436 \h</w:instrText>
        </w:r>
        <w:r>
          <w:fldChar w:fldCharType="end"/>
        </w:r>
      </w:hyperlink>
    </w:p>
    <w:p>
      <w:pPr>
        <w:tabs>
          <w:tab w:val="right" w:leader="dot" w:pos="9062"/>
        </w:tabs>
        <w:ind w:left="440"/>
      </w:pPr>
      <w:hyperlink w:anchor="_Toc1437" w:history="1">
        <w:r>
          <w:rPr>
            <w:rFonts w:ascii="IRNazanin" w:hAnsi="IRNazanin" w:eastAsia="IRNazanin" w:cs="IRNazanin"/>
            <w:color w:val="111111"/>
            <w:sz w:val="22"/>
            <w:szCs w:val="22"/>
            <w:b w:val="0"/>
            <w:bCs w:val="0"/>
            <w:i w:val="0"/>
            <w:iCs w:val="0"/>
          </w:rPr>
          <w:t>دیوان جاجرمی‏</w:t>
        </w:r>
        <w:r>
          <w:tab/>
        </w:r>
        <w:r>
          <w:fldChar w:fldCharType="begin"/>
        </w:r>
        <w:r>
          <w:instrText xml:space="preserve">PAGEREF 1437 \h</w:instrText>
        </w:r>
        <w:r>
          <w:fldChar w:fldCharType="end"/>
        </w:r>
      </w:hyperlink>
    </w:p>
    <w:p>
      <w:pPr>
        <w:tabs>
          <w:tab w:val="right" w:leader="dot" w:pos="9062"/>
        </w:tabs>
        <w:ind w:left="440"/>
      </w:pPr>
      <w:hyperlink w:anchor="_Toc1438" w:history="1">
        <w:r>
          <w:rPr>
            <w:rFonts w:ascii="IRNazanin" w:hAnsi="IRNazanin" w:eastAsia="IRNazanin" w:cs="IRNazanin"/>
            <w:color w:val="111111"/>
            <w:sz w:val="22"/>
            <w:szCs w:val="22"/>
            <w:b w:val="0"/>
            <w:bCs w:val="0"/>
            <w:i w:val="0"/>
            <w:iCs w:val="0"/>
          </w:rPr>
          <w:t>1169- دیوان جاروبی أو شعره‏</w:t>
        </w:r>
        <w:r>
          <w:tab/>
        </w:r>
        <w:r>
          <w:fldChar w:fldCharType="begin"/>
        </w:r>
        <w:r>
          <w:instrText xml:space="preserve">PAGEREF 1438 \h</w:instrText>
        </w:r>
        <w:r>
          <w:fldChar w:fldCharType="end"/>
        </w:r>
      </w:hyperlink>
    </w:p>
    <w:p>
      <w:pPr>
        <w:tabs>
          <w:tab w:val="right" w:leader="dot" w:pos="9062"/>
        </w:tabs>
        <w:ind w:left="440"/>
      </w:pPr>
      <w:hyperlink w:anchor="_Toc1439" w:history="1">
        <w:r>
          <w:rPr>
            <w:rFonts w:ascii="IRNazanin" w:hAnsi="IRNazanin" w:eastAsia="IRNazanin" w:cs="IRNazanin"/>
            <w:color w:val="111111"/>
            <w:sz w:val="22"/>
            <w:szCs w:val="22"/>
            <w:b w:val="0"/>
            <w:bCs w:val="0"/>
            <w:i w:val="0"/>
            <w:iCs w:val="0"/>
          </w:rPr>
          <w:t>1170- دیوان جامع شیرازی‏</w:t>
        </w:r>
        <w:r>
          <w:tab/>
        </w:r>
        <w:r>
          <w:fldChar w:fldCharType="begin"/>
        </w:r>
        <w:r>
          <w:instrText xml:space="preserve">PAGEREF 1439 \h</w:instrText>
        </w:r>
        <w:r>
          <w:fldChar w:fldCharType="end"/>
        </w:r>
      </w:hyperlink>
    </w:p>
    <w:p>
      <w:pPr>
        <w:tabs>
          <w:tab w:val="right" w:leader="dot" w:pos="9062"/>
        </w:tabs>
        <w:ind w:left="440"/>
      </w:pPr>
      <w:hyperlink w:anchor="_Toc1440" w:history="1">
        <w:r>
          <w:rPr>
            <w:rFonts w:ascii="IRNazanin" w:hAnsi="IRNazanin" w:eastAsia="IRNazanin" w:cs="IRNazanin"/>
            <w:color w:val="111111"/>
            <w:sz w:val="22"/>
            <w:szCs w:val="22"/>
            <w:b w:val="0"/>
            <w:bCs w:val="0"/>
            <w:i w:val="0"/>
            <w:iCs w:val="0"/>
          </w:rPr>
          <w:t>دیوان جامه‏باف مشهدی‏</w:t>
        </w:r>
        <w:r>
          <w:tab/>
        </w:r>
        <w:r>
          <w:fldChar w:fldCharType="begin"/>
        </w:r>
        <w:r>
          <w:instrText xml:space="preserve">PAGEREF 1440 \h</w:instrText>
        </w:r>
        <w:r>
          <w:fldChar w:fldCharType="end"/>
        </w:r>
      </w:hyperlink>
    </w:p>
    <w:p>
      <w:pPr>
        <w:tabs>
          <w:tab w:val="right" w:leader="dot" w:pos="9062"/>
        </w:tabs>
        <w:ind w:left="440"/>
      </w:pPr>
      <w:hyperlink w:anchor="_Toc1441" w:history="1">
        <w:r>
          <w:rPr>
            <w:rFonts w:ascii="IRNazanin" w:hAnsi="IRNazanin" w:eastAsia="IRNazanin" w:cs="IRNazanin"/>
            <w:color w:val="111111"/>
            <w:sz w:val="22"/>
            <w:szCs w:val="22"/>
            <w:b w:val="0"/>
            <w:bCs w:val="0"/>
            <w:i w:val="0"/>
            <w:iCs w:val="0"/>
          </w:rPr>
          <w:t>1171- دیوان جامی أحمد</w:t>
        </w:r>
        <w:r>
          <w:tab/>
        </w:r>
        <w:r>
          <w:fldChar w:fldCharType="begin"/>
        </w:r>
        <w:r>
          <w:instrText xml:space="preserve">PAGEREF 1441 \h</w:instrText>
        </w:r>
        <w:r>
          <w:fldChar w:fldCharType="end"/>
        </w:r>
      </w:hyperlink>
    </w:p>
    <w:p>
      <w:pPr>
        <w:tabs>
          <w:tab w:val="right" w:leader="dot" w:pos="9062"/>
        </w:tabs>
        <w:ind w:left="440"/>
      </w:pPr>
      <w:hyperlink w:anchor="_Toc1442" w:history="1">
        <w:r>
          <w:rPr>
            <w:rFonts w:ascii="IRNazanin" w:hAnsi="IRNazanin" w:eastAsia="IRNazanin" w:cs="IRNazanin"/>
            <w:color w:val="111111"/>
            <w:sz w:val="22"/>
            <w:szCs w:val="22"/>
            <w:b w:val="0"/>
            <w:bCs w:val="0"/>
            <w:i w:val="0"/>
            <w:iCs w:val="0"/>
          </w:rPr>
          <w:t>1172- دیوان جامی بهاء الدین أو شعره‏</w:t>
        </w:r>
        <w:r>
          <w:tab/>
        </w:r>
        <w:r>
          <w:fldChar w:fldCharType="begin"/>
        </w:r>
        <w:r>
          <w:instrText xml:space="preserve">PAGEREF 1442 \h</w:instrText>
        </w:r>
        <w:r>
          <w:fldChar w:fldCharType="end"/>
        </w:r>
      </w:hyperlink>
    </w:p>
    <w:p>
      <w:pPr>
        <w:tabs>
          <w:tab w:val="right" w:leader="dot" w:pos="9062"/>
        </w:tabs>
        <w:ind w:left="440"/>
      </w:pPr>
      <w:hyperlink w:anchor="_Toc1443" w:history="1">
        <w:r>
          <w:rPr>
            <w:rFonts w:ascii="IRNazanin" w:hAnsi="IRNazanin" w:eastAsia="IRNazanin" w:cs="IRNazanin"/>
            <w:color w:val="111111"/>
            <w:sz w:val="22"/>
            <w:szCs w:val="22"/>
            <w:b w:val="0"/>
            <w:bCs w:val="0"/>
            <w:i w:val="0"/>
            <w:iCs w:val="0"/>
          </w:rPr>
          <w:t>دیوان جامی پوربها</w:t>
        </w:r>
        <w:r>
          <w:tab/>
        </w:r>
        <w:r>
          <w:fldChar w:fldCharType="begin"/>
        </w:r>
        <w:r>
          <w:instrText xml:space="preserve">PAGEREF 1443 \h</w:instrText>
        </w:r>
        <w:r>
          <w:fldChar w:fldCharType="end"/>
        </w:r>
      </w:hyperlink>
    </w:p>
    <w:p>
      <w:pPr>
        <w:tabs>
          <w:tab w:val="right" w:leader="dot" w:pos="9062"/>
        </w:tabs>
        <w:ind w:left="440"/>
      </w:pPr>
      <w:hyperlink w:anchor="_Toc1444" w:history="1">
        <w:r>
          <w:rPr>
            <w:rFonts w:ascii="IRNazanin" w:hAnsi="IRNazanin" w:eastAsia="IRNazanin" w:cs="IRNazanin"/>
            <w:color w:val="111111"/>
            <w:sz w:val="22"/>
            <w:szCs w:val="22"/>
            <w:b w:val="0"/>
            <w:bCs w:val="0"/>
            <w:i w:val="0"/>
            <w:iCs w:val="0"/>
          </w:rPr>
          <w:t>1173- دیوان جامی‏</w:t>
        </w:r>
        <w:r>
          <w:tab/>
        </w:r>
        <w:r>
          <w:fldChar w:fldCharType="begin"/>
        </w:r>
        <w:r>
          <w:instrText xml:space="preserve">PAGEREF 1444 \h</w:instrText>
        </w:r>
        <w:r>
          <w:fldChar w:fldCharType="end"/>
        </w:r>
      </w:hyperlink>
    </w:p>
    <w:p>
      <w:pPr>
        <w:tabs>
          <w:tab w:val="right" w:leader="dot" w:pos="9062"/>
        </w:tabs>
        <w:ind w:left="440"/>
      </w:pPr>
      <w:hyperlink w:anchor="_Toc1445" w:history="1">
        <w:r>
          <w:rPr>
            <w:rFonts w:ascii="IRNazanin" w:hAnsi="IRNazanin" w:eastAsia="IRNazanin" w:cs="IRNazanin"/>
            <w:color w:val="111111"/>
            <w:sz w:val="22"/>
            <w:szCs w:val="22"/>
            <w:b w:val="0"/>
            <w:bCs w:val="0"/>
            <w:i w:val="0"/>
            <w:iCs w:val="0"/>
          </w:rPr>
          <w:t>1174- دیوان جانبی تبریزی‏</w:t>
        </w:r>
        <w:r>
          <w:tab/>
        </w:r>
        <w:r>
          <w:fldChar w:fldCharType="begin"/>
        </w:r>
        <w:r>
          <w:instrText xml:space="preserve">PAGEREF 1445 \h</w:instrText>
        </w:r>
        <w:r>
          <w:fldChar w:fldCharType="end"/>
        </w:r>
      </w:hyperlink>
    </w:p>
    <w:p>
      <w:pPr>
        <w:tabs>
          <w:tab w:val="right" w:leader="dot" w:pos="9062"/>
        </w:tabs>
        <w:ind w:left="440"/>
      </w:pPr>
      <w:hyperlink w:anchor="_Toc1446" w:history="1">
        <w:r>
          <w:rPr>
            <w:rFonts w:ascii="IRNazanin" w:hAnsi="IRNazanin" w:eastAsia="IRNazanin" w:cs="IRNazanin"/>
            <w:color w:val="111111"/>
            <w:sz w:val="22"/>
            <w:szCs w:val="22"/>
            <w:b w:val="0"/>
            <w:bCs w:val="0"/>
            <w:i w:val="0"/>
            <w:iCs w:val="0"/>
          </w:rPr>
          <w:t>1175- دیوان جانی أسفراینی أو شعره‏</w:t>
        </w:r>
        <w:r>
          <w:tab/>
        </w:r>
        <w:r>
          <w:fldChar w:fldCharType="begin"/>
        </w:r>
        <w:r>
          <w:instrText xml:space="preserve">PAGEREF 1446 \h</w:instrText>
        </w:r>
        <w:r>
          <w:fldChar w:fldCharType="end"/>
        </w:r>
      </w:hyperlink>
    </w:p>
    <w:p>
      <w:pPr>
        <w:tabs>
          <w:tab w:val="right" w:leader="dot" w:pos="9062"/>
        </w:tabs>
        <w:ind w:left="440"/>
      </w:pPr>
      <w:hyperlink w:anchor="_Toc1447" w:history="1">
        <w:r>
          <w:rPr>
            <w:rFonts w:ascii="IRNazanin" w:hAnsi="IRNazanin" w:eastAsia="IRNazanin" w:cs="IRNazanin"/>
            <w:color w:val="111111"/>
            <w:sz w:val="22"/>
            <w:szCs w:val="22"/>
            <w:b w:val="0"/>
            <w:bCs w:val="0"/>
            <w:i w:val="0"/>
            <w:iCs w:val="0"/>
          </w:rPr>
          <w:t>1176- دیوان جانی بخاری أو شعره‏</w:t>
        </w:r>
        <w:r>
          <w:tab/>
        </w:r>
        <w:r>
          <w:fldChar w:fldCharType="begin"/>
        </w:r>
        <w:r>
          <w:instrText xml:space="preserve">PAGEREF 1447 \h</w:instrText>
        </w:r>
        <w:r>
          <w:fldChar w:fldCharType="end"/>
        </w:r>
      </w:hyperlink>
    </w:p>
    <w:p>
      <w:pPr>
        <w:tabs>
          <w:tab w:val="right" w:leader="dot" w:pos="9062"/>
        </w:tabs>
        <w:ind w:left="440"/>
      </w:pPr>
      <w:hyperlink w:anchor="_Toc1448" w:history="1">
        <w:r>
          <w:rPr>
            <w:rFonts w:ascii="IRNazanin" w:hAnsi="IRNazanin" w:eastAsia="IRNazanin" w:cs="IRNazanin"/>
            <w:color w:val="111111"/>
            <w:sz w:val="22"/>
            <w:szCs w:val="22"/>
            <w:b w:val="0"/>
            <w:bCs w:val="0"/>
            <w:i w:val="0"/>
            <w:iCs w:val="0"/>
          </w:rPr>
          <w:t>1177- دیوان جانی جوزجانی أو شعره‏</w:t>
        </w:r>
        <w:r>
          <w:tab/>
        </w:r>
        <w:r>
          <w:fldChar w:fldCharType="begin"/>
        </w:r>
        <w:r>
          <w:instrText xml:space="preserve">PAGEREF 1448 \h</w:instrText>
        </w:r>
        <w:r>
          <w:fldChar w:fldCharType="end"/>
        </w:r>
      </w:hyperlink>
    </w:p>
    <w:p>
      <w:pPr>
        <w:tabs>
          <w:tab w:val="right" w:leader="dot" w:pos="9062"/>
        </w:tabs>
        <w:ind w:left="440"/>
      </w:pPr>
      <w:hyperlink w:anchor="_Toc1449" w:history="1">
        <w:r>
          <w:rPr>
            <w:rFonts w:ascii="IRNazanin" w:hAnsi="IRNazanin" w:eastAsia="IRNazanin" w:cs="IRNazanin"/>
            <w:color w:val="111111"/>
            <w:sz w:val="22"/>
            <w:szCs w:val="22"/>
            <w:b w:val="0"/>
            <w:bCs w:val="0"/>
            <w:i w:val="0"/>
            <w:iCs w:val="0"/>
          </w:rPr>
          <w:t>دیوان جانی سبزواری‏</w:t>
        </w:r>
        <w:r>
          <w:tab/>
        </w:r>
        <w:r>
          <w:fldChar w:fldCharType="begin"/>
        </w:r>
        <w:r>
          <w:instrText xml:space="preserve">PAGEREF 1449 \h</w:instrText>
        </w:r>
        <w:r>
          <w:fldChar w:fldCharType="end"/>
        </w:r>
      </w:hyperlink>
    </w:p>
    <w:p>
      <w:pPr>
        <w:tabs>
          <w:tab w:val="right" w:leader="dot" w:pos="9062"/>
        </w:tabs>
        <w:ind w:left="440"/>
      </w:pPr>
      <w:hyperlink w:anchor="_Toc1450" w:history="1">
        <w:r>
          <w:rPr>
            <w:rFonts w:ascii="IRNazanin" w:hAnsi="IRNazanin" w:eastAsia="IRNazanin" w:cs="IRNazanin"/>
            <w:color w:val="111111"/>
            <w:sz w:val="22"/>
            <w:szCs w:val="22"/>
            <w:b w:val="0"/>
            <w:bCs w:val="0"/>
            <w:i w:val="0"/>
            <w:iCs w:val="0"/>
          </w:rPr>
          <w:t>دیوان جانی شیرازی‏</w:t>
        </w:r>
        <w:r>
          <w:tab/>
        </w:r>
        <w:r>
          <w:fldChar w:fldCharType="begin"/>
        </w:r>
        <w:r>
          <w:instrText xml:space="preserve">PAGEREF 1450 \h</w:instrText>
        </w:r>
        <w:r>
          <w:fldChar w:fldCharType="end"/>
        </w:r>
      </w:hyperlink>
    </w:p>
    <w:p>
      <w:pPr>
        <w:tabs>
          <w:tab w:val="right" w:leader="dot" w:pos="9062"/>
        </w:tabs>
        <w:ind w:left="440"/>
      </w:pPr>
      <w:hyperlink w:anchor="_Toc1451" w:history="1">
        <w:r>
          <w:rPr>
            <w:rFonts w:ascii="IRNazanin" w:hAnsi="IRNazanin" w:eastAsia="IRNazanin" w:cs="IRNazanin"/>
            <w:color w:val="111111"/>
            <w:sz w:val="22"/>
            <w:szCs w:val="22"/>
            <w:b w:val="0"/>
            <w:bCs w:val="0"/>
            <w:i w:val="0"/>
            <w:iCs w:val="0"/>
          </w:rPr>
          <w:t>دیوان جانی طهرانی أو شعره‏</w:t>
        </w:r>
        <w:r>
          <w:tab/>
        </w:r>
        <w:r>
          <w:fldChar w:fldCharType="begin"/>
        </w:r>
        <w:r>
          <w:instrText xml:space="preserve">PAGEREF 1451 \h</w:instrText>
        </w:r>
        <w:r>
          <w:fldChar w:fldCharType="end"/>
        </w:r>
      </w:hyperlink>
    </w:p>
    <w:p>
      <w:pPr>
        <w:tabs>
          <w:tab w:val="right" w:leader="dot" w:pos="9062"/>
        </w:tabs>
        <w:ind w:left="440"/>
      </w:pPr>
      <w:hyperlink w:anchor="_Toc1452" w:history="1">
        <w:r>
          <w:rPr>
            <w:rFonts w:ascii="IRNazanin" w:hAnsi="IRNazanin" w:eastAsia="IRNazanin" w:cs="IRNazanin"/>
            <w:color w:val="111111"/>
            <w:sz w:val="22"/>
            <w:szCs w:val="22"/>
            <w:b w:val="0"/>
            <w:bCs w:val="0"/>
            <w:i w:val="0"/>
            <w:iCs w:val="0"/>
          </w:rPr>
          <w:t>1178- دیوان جانی قراچه‏داغی أو شعره‏</w:t>
        </w:r>
        <w:r>
          <w:tab/>
        </w:r>
        <w:r>
          <w:fldChar w:fldCharType="begin"/>
        </w:r>
        <w:r>
          <w:instrText xml:space="preserve">PAGEREF 1452 \h</w:instrText>
        </w:r>
        <w:r>
          <w:fldChar w:fldCharType="end"/>
        </w:r>
      </w:hyperlink>
    </w:p>
    <w:p>
      <w:pPr>
        <w:tabs>
          <w:tab w:val="right" w:leader="dot" w:pos="9062"/>
        </w:tabs>
        <w:ind w:left="440"/>
      </w:pPr>
      <w:hyperlink w:anchor="_Toc1453" w:history="1">
        <w:r>
          <w:rPr>
            <w:rFonts w:ascii="IRNazanin" w:hAnsi="IRNazanin" w:eastAsia="IRNazanin" w:cs="IRNazanin"/>
            <w:color w:val="111111"/>
            <w:sz w:val="22"/>
            <w:szCs w:val="22"/>
            <w:b w:val="0"/>
            <w:bCs w:val="0"/>
            <w:i w:val="0"/>
            <w:iCs w:val="0"/>
          </w:rPr>
          <w:t>1179- دیوان جانی لکزی أو شعره‏</w:t>
        </w:r>
        <w:r>
          <w:tab/>
        </w:r>
        <w:r>
          <w:fldChar w:fldCharType="begin"/>
        </w:r>
        <w:r>
          <w:instrText xml:space="preserve">PAGEREF 1453 \h</w:instrText>
        </w:r>
        <w:r>
          <w:fldChar w:fldCharType="end"/>
        </w:r>
      </w:hyperlink>
    </w:p>
    <w:p>
      <w:pPr>
        <w:tabs>
          <w:tab w:val="right" w:leader="dot" w:pos="9062"/>
        </w:tabs>
        <w:ind w:left="440"/>
      </w:pPr>
      <w:hyperlink w:anchor="_Toc1454" w:history="1">
        <w:r>
          <w:rPr>
            <w:rFonts w:ascii="IRNazanin" w:hAnsi="IRNazanin" w:eastAsia="IRNazanin" w:cs="IRNazanin"/>
            <w:color w:val="111111"/>
            <w:sz w:val="22"/>
            <w:szCs w:val="22"/>
            <w:b w:val="0"/>
            <w:bCs w:val="0"/>
            <w:i w:val="0"/>
            <w:iCs w:val="0"/>
          </w:rPr>
          <w:t>1180- دیوان جانی همدانی أو شعره‏</w:t>
        </w:r>
        <w:r>
          <w:tab/>
        </w:r>
        <w:r>
          <w:fldChar w:fldCharType="begin"/>
        </w:r>
        <w:r>
          <w:instrText xml:space="preserve">PAGEREF 1454 \h</w:instrText>
        </w:r>
        <w:r>
          <w:fldChar w:fldCharType="end"/>
        </w:r>
      </w:hyperlink>
    </w:p>
    <w:p>
      <w:pPr>
        <w:tabs>
          <w:tab w:val="right" w:leader="dot" w:pos="9062"/>
        </w:tabs>
        <w:ind w:left="440"/>
      </w:pPr>
      <w:hyperlink w:anchor="_Toc1455" w:history="1">
        <w:r>
          <w:rPr>
            <w:rFonts w:ascii="IRNazanin" w:hAnsi="IRNazanin" w:eastAsia="IRNazanin" w:cs="IRNazanin"/>
            <w:color w:val="111111"/>
            <w:sz w:val="22"/>
            <w:szCs w:val="22"/>
            <w:b w:val="0"/>
            <w:bCs w:val="0"/>
            <w:i w:val="0"/>
            <w:iCs w:val="0"/>
          </w:rPr>
          <w:t>1181- دیوان جاوید مازندرانی أو شعره‏</w:t>
        </w:r>
        <w:r>
          <w:tab/>
        </w:r>
        <w:r>
          <w:fldChar w:fldCharType="begin"/>
        </w:r>
        <w:r>
          <w:instrText xml:space="preserve">PAGEREF 1455 \h</w:instrText>
        </w:r>
        <w:r>
          <w:fldChar w:fldCharType="end"/>
        </w:r>
      </w:hyperlink>
    </w:p>
    <w:p>
      <w:pPr>
        <w:tabs>
          <w:tab w:val="right" w:leader="dot" w:pos="9062"/>
        </w:tabs>
        <w:ind w:left="440"/>
      </w:pPr>
      <w:hyperlink w:anchor="_Toc1456" w:history="1">
        <w:r>
          <w:rPr>
            <w:rFonts w:ascii="IRNazanin" w:hAnsi="IRNazanin" w:eastAsia="IRNazanin" w:cs="IRNazanin"/>
            <w:color w:val="111111"/>
            <w:sz w:val="22"/>
            <w:szCs w:val="22"/>
            <w:b w:val="0"/>
            <w:bCs w:val="0"/>
            <w:i w:val="0"/>
            <w:iCs w:val="0"/>
          </w:rPr>
          <w:t>1182- دیوان جاهد</w:t>
        </w:r>
        <w:r>
          <w:tab/>
        </w:r>
        <w:r>
          <w:fldChar w:fldCharType="begin"/>
        </w:r>
        <w:r>
          <w:instrText xml:space="preserve">PAGEREF 1456 \h</w:instrText>
        </w:r>
        <w:r>
          <w:fldChar w:fldCharType="end"/>
        </w:r>
      </w:hyperlink>
    </w:p>
    <w:p>
      <w:pPr>
        <w:tabs>
          <w:tab w:val="right" w:leader="dot" w:pos="9062"/>
        </w:tabs>
        <w:ind w:left="440"/>
      </w:pPr>
      <w:hyperlink w:anchor="_Toc1457" w:history="1">
        <w:r>
          <w:rPr>
            <w:rFonts w:ascii="IRNazanin" w:hAnsi="IRNazanin" w:eastAsia="IRNazanin" w:cs="IRNazanin"/>
            <w:color w:val="111111"/>
            <w:sz w:val="22"/>
            <w:szCs w:val="22"/>
            <w:b w:val="0"/>
            <w:bCs w:val="0"/>
            <w:i w:val="0"/>
            <w:iCs w:val="0"/>
          </w:rPr>
          <w:t>1183- دیوان جاهی صفوی‏</w:t>
        </w:r>
        <w:r>
          <w:tab/>
        </w:r>
        <w:r>
          <w:fldChar w:fldCharType="begin"/>
        </w:r>
        <w:r>
          <w:instrText xml:space="preserve">PAGEREF 1457 \h</w:instrText>
        </w:r>
        <w:r>
          <w:fldChar w:fldCharType="end"/>
        </w:r>
      </w:hyperlink>
    </w:p>
    <w:p>
      <w:pPr>
        <w:tabs>
          <w:tab w:val="right" w:leader="dot" w:pos="9062"/>
        </w:tabs>
        <w:ind w:left="440"/>
      </w:pPr>
      <w:hyperlink w:anchor="_Toc1458" w:history="1">
        <w:r>
          <w:rPr>
            <w:rFonts w:ascii="IRNazanin" w:hAnsi="IRNazanin" w:eastAsia="IRNazanin" w:cs="IRNazanin"/>
            <w:color w:val="111111"/>
            <w:sz w:val="22"/>
            <w:szCs w:val="22"/>
            <w:b w:val="0"/>
            <w:bCs w:val="0"/>
            <w:i w:val="0"/>
            <w:iCs w:val="0"/>
          </w:rPr>
          <w:t>1184- دیوان جبلی الغرجستانی‏</w:t>
        </w:r>
        <w:r>
          <w:tab/>
        </w:r>
        <w:r>
          <w:fldChar w:fldCharType="begin"/>
        </w:r>
        <w:r>
          <w:instrText xml:space="preserve">PAGEREF 1458 \h</w:instrText>
        </w:r>
        <w:r>
          <w:fldChar w:fldCharType="end"/>
        </w:r>
      </w:hyperlink>
    </w:p>
    <w:p>
      <w:pPr>
        <w:tabs>
          <w:tab w:val="right" w:leader="dot" w:pos="9062"/>
        </w:tabs>
        <w:ind w:left="440"/>
      </w:pPr>
      <w:hyperlink w:anchor="_Toc1459" w:history="1">
        <w:r>
          <w:rPr>
            <w:rFonts w:ascii="IRNazanin" w:hAnsi="IRNazanin" w:eastAsia="IRNazanin" w:cs="IRNazanin"/>
            <w:color w:val="111111"/>
            <w:sz w:val="22"/>
            <w:szCs w:val="22"/>
            <w:b w:val="0"/>
            <w:bCs w:val="0"/>
            <w:i w:val="0"/>
            <w:iCs w:val="0"/>
          </w:rPr>
          <w:t>1185- دیوان جدائی أو شعره‏</w:t>
        </w:r>
        <w:r>
          <w:tab/>
        </w:r>
        <w:r>
          <w:fldChar w:fldCharType="begin"/>
        </w:r>
        <w:r>
          <w:instrText xml:space="preserve">PAGEREF 1459 \h</w:instrText>
        </w:r>
        <w:r>
          <w:fldChar w:fldCharType="end"/>
        </w:r>
      </w:hyperlink>
    </w:p>
    <w:p>
      <w:pPr>
        <w:tabs>
          <w:tab w:val="right" w:leader="dot" w:pos="9062"/>
        </w:tabs>
        <w:ind w:left="440"/>
      </w:pPr>
      <w:hyperlink w:anchor="_Toc1460" w:history="1">
        <w:r>
          <w:rPr>
            <w:rFonts w:ascii="IRNazanin" w:hAnsi="IRNazanin" w:eastAsia="IRNazanin" w:cs="IRNazanin"/>
            <w:color w:val="111111"/>
            <w:sz w:val="22"/>
            <w:szCs w:val="22"/>
            <w:b w:val="0"/>
            <w:bCs w:val="0"/>
            <w:i w:val="0"/>
            <w:iCs w:val="0"/>
          </w:rPr>
          <w:t>1186- دیوان جدیدی قزوینی أو شعره‏</w:t>
        </w:r>
        <w:r>
          <w:tab/>
        </w:r>
        <w:r>
          <w:fldChar w:fldCharType="begin"/>
        </w:r>
        <w:r>
          <w:instrText xml:space="preserve">PAGEREF 1460 \h</w:instrText>
        </w:r>
        <w:r>
          <w:fldChar w:fldCharType="end"/>
        </w:r>
      </w:hyperlink>
    </w:p>
    <w:p>
      <w:pPr>
        <w:tabs>
          <w:tab w:val="right" w:leader="dot" w:pos="9062"/>
        </w:tabs>
        <w:ind w:left="440"/>
      </w:pPr>
      <w:hyperlink w:anchor="_Toc1461" w:history="1">
        <w:r>
          <w:rPr>
            <w:rFonts w:ascii="IRNazanin" w:hAnsi="IRNazanin" w:eastAsia="IRNazanin" w:cs="IRNazanin"/>
            <w:color w:val="111111"/>
            <w:sz w:val="22"/>
            <w:szCs w:val="22"/>
            <w:b w:val="0"/>
            <w:bCs w:val="0"/>
            <w:i w:val="0"/>
            <w:iCs w:val="0"/>
          </w:rPr>
          <w:t>1187- دیوان جذبه کاشانی أو شعره‏</w:t>
        </w:r>
        <w:r>
          <w:tab/>
        </w:r>
        <w:r>
          <w:fldChar w:fldCharType="begin"/>
        </w:r>
        <w:r>
          <w:instrText xml:space="preserve">PAGEREF 1461 \h</w:instrText>
        </w:r>
        <w:r>
          <w:fldChar w:fldCharType="end"/>
        </w:r>
      </w:hyperlink>
    </w:p>
    <w:p>
      <w:pPr>
        <w:tabs>
          <w:tab w:val="right" w:leader="dot" w:pos="9062"/>
        </w:tabs>
        <w:ind w:left="440"/>
      </w:pPr>
      <w:hyperlink w:anchor="_Toc1462" w:history="1">
        <w:r>
          <w:rPr>
            <w:rFonts w:ascii="IRNazanin" w:hAnsi="IRNazanin" w:eastAsia="IRNazanin" w:cs="IRNazanin"/>
            <w:color w:val="111111"/>
            <w:sz w:val="22"/>
            <w:szCs w:val="22"/>
            <w:b w:val="0"/>
            <w:bCs w:val="0"/>
            <w:i w:val="0"/>
            <w:iCs w:val="0"/>
          </w:rPr>
          <w:t>دیوان جذبی خوانساری أو شعره‏</w:t>
        </w:r>
        <w:r>
          <w:tab/>
        </w:r>
        <w:r>
          <w:fldChar w:fldCharType="begin"/>
        </w:r>
        <w:r>
          <w:instrText xml:space="preserve">PAGEREF 1462 \h</w:instrText>
        </w:r>
        <w:r>
          <w:fldChar w:fldCharType="end"/>
        </w:r>
      </w:hyperlink>
    </w:p>
    <w:p>
      <w:pPr>
        <w:tabs>
          <w:tab w:val="right" w:leader="dot" w:pos="9062"/>
        </w:tabs>
        <w:ind w:left="440"/>
      </w:pPr>
      <w:hyperlink w:anchor="_Toc1463" w:history="1">
        <w:r>
          <w:rPr>
            <w:rFonts w:ascii="IRNazanin" w:hAnsi="IRNazanin" w:eastAsia="IRNazanin" w:cs="IRNazanin"/>
            <w:color w:val="111111"/>
            <w:sz w:val="22"/>
            <w:szCs w:val="22"/>
            <w:b w:val="0"/>
            <w:bCs w:val="0"/>
            <w:i w:val="0"/>
            <w:iCs w:val="0"/>
          </w:rPr>
          <w:t>1188- دیوان جذبی کرد أو شعره‏</w:t>
        </w:r>
        <w:r>
          <w:tab/>
        </w:r>
        <w:r>
          <w:fldChar w:fldCharType="begin"/>
        </w:r>
        <w:r>
          <w:instrText xml:space="preserve">PAGEREF 1463 \h</w:instrText>
        </w:r>
        <w:r>
          <w:fldChar w:fldCharType="end"/>
        </w:r>
      </w:hyperlink>
    </w:p>
    <w:p>
      <w:pPr>
        <w:tabs>
          <w:tab w:val="right" w:leader="dot" w:pos="9062"/>
        </w:tabs>
        <w:ind w:left="440"/>
      </w:pPr>
      <w:hyperlink w:anchor="_Toc1464" w:history="1">
        <w:r>
          <w:rPr>
            <w:rFonts w:ascii="IRNazanin" w:hAnsi="IRNazanin" w:eastAsia="IRNazanin" w:cs="IRNazanin"/>
            <w:color w:val="111111"/>
            <w:sz w:val="22"/>
            <w:szCs w:val="22"/>
            <w:b w:val="0"/>
            <w:bCs w:val="0"/>
            <w:i w:val="0"/>
            <w:iCs w:val="0"/>
          </w:rPr>
          <w:t>1189- دیوان جذوی جغتائی أو شعره‏</w:t>
        </w:r>
        <w:r>
          <w:tab/>
        </w:r>
        <w:r>
          <w:fldChar w:fldCharType="begin"/>
        </w:r>
        <w:r>
          <w:instrText xml:space="preserve">PAGEREF 1464 \h</w:instrText>
        </w:r>
        <w:r>
          <w:fldChar w:fldCharType="end"/>
        </w:r>
      </w:hyperlink>
    </w:p>
    <w:p>
      <w:pPr>
        <w:tabs>
          <w:tab w:val="right" w:leader="dot" w:pos="9062"/>
        </w:tabs>
        <w:ind w:left="440"/>
      </w:pPr>
      <w:hyperlink w:anchor="_Toc1465" w:history="1">
        <w:r>
          <w:rPr>
            <w:rFonts w:ascii="IRNazanin" w:hAnsi="IRNazanin" w:eastAsia="IRNazanin" w:cs="IRNazanin"/>
            <w:color w:val="111111"/>
            <w:sz w:val="22"/>
            <w:szCs w:val="22"/>
            <w:b w:val="0"/>
            <w:bCs w:val="0"/>
            <w:i w:val="0"/>
            <w:iCs w:val="0"/>
          </w:rPr>
          <w:t>1190- دیوان جرأت أصفهانی أو شعره‏</w:t>
        </w:r>
        <w:r>
          <w:tab/>
        </w:r>
        <w:r>
          <w:fldChar w:fldCharType="begin"/>
        </w:r>
        <w:r>
          <w:instrText xml:space="preserve">PAGEREF 1465 \h</w:instrText>
        </w:r>
        <w:r>
          <w:fldChar w:fldCharType="end"/>
        </w:r>
      </w:hyperlink>
    </w:p>
    <w:p>
      <w:pPr>
        <w:tabs>
          <w:tab w:val="right" w:leader="dot" w:pos="9062"/>
        </w:tabs>
        <w:ind w:left="440"/>
      </w:pPr>
      <w:hyperlink w:anchor="_Toc1466" w:history="1">
        <w:r>
          <w:rPr>
            <w:rFonts w:ascii="IRNazanin" w:hAnsi="IRNazanin" w:eastAsia="IRNazanin" w:cs="IRNazanin"/>
            <w:color w:val="111111"/>
            <w:sz w:val="22"/>
            <w:szCs w:val="22"/>
            <w:b w:val="0"/>
            <w:bCs w:val="0"/>
            <w:i w:val="0"/>
            <w:iCs w:val="0"/>
          </w:rPr>
          <w:t>1191- دیوان جرأت شاه‏جهان‏آبادی أو شعره‏</w:t>
        </w:r>
        <w:r>
          <w:tab/>
        </w:r>
        <w:r>
          <w:fldChar w:fldCharType="begin"/>
        </w:r>
        <w:r>
          <w:instrText xml:space="preserve">PAGEREF 1466 \h</w:instrText>
        </w:r>
        <w:r>
          <w:fldChar w:fldCharType="end"/>
        </w:r>
      </w:hyperlink>
    </w:p>
    <w:p>
      <w:pPr>
        <w:tabs>
          <w:tab w:val="right" w:leader="dot" w:pos="9062"/>
        </w:tabs>
        <w:ind w:left="440"/>
      </w:pPr>
      <w:hyperlink w:anchor="_Toc1467" w:history="1">
        <w:r>
          <w:rPr>
            <w:rFonts w:ascii="IRNazanin" w:hAnsi="IRNazanin" w:eastAsia="IRNazanin" w:cs="IRNazanin"/>
            <w:color w:val="111111"/>
            <w:sz w:val="22"/>
            <w:szCs w:val="22"/>
            <w:b w:val="0"/>
            <w:bCs w:val="0"/>
            <w:i w:val="0"/>
            <w:iCs w:val="0"/>
          </w:rPr>
          <w:t>1192- دیوان جرأت گیلانی أو شعره‏</w:t>
        </w:r>
        <w:r>
          <w:tab/>
        </w:r>
        <w:r>
          <w:fldChar w:fldCharType="begin"/>
        </w:r>
        <w:r>
          <w:instrText xml:space="preserve">PAGEREF 1467 \h</w:instrText>
        </w:r>
        <w:r>
          <w:fldChar w:fldCharType="end"/>
        </w:r>
      </w:hyperlink>
    </w:p>
    <w:p>
      <w:pPr>
        <w:tabs>
          <w:tab w:val="right" w:leader="dot" w:pos="9062"/>
        </w:tabs>
        <w:ind w:left="440"/>
      </w:pPr>
      <w:hyperlink w:anchor="_Toc1468" w:history="1">
        <w:r>
          <w:rPr>
            <w:rFonts w:ascii="IRNazanin" w:hAnsi="IRNazanin" w:eastAsia="IRNazanin" w:cs="IRNazanin"/>
            <w:color w:val="111111"/>
            <w:sz w:val="22"/>
            <w:szCs w:val="22"/>
            <w:b w:val="0"/>
            <w:bCs w:val="0"/>
            <w:i w:val="0"/>
            <w:iCs w:val="0"/>
          </w:rPr>
          <w:t>1193- دیوان جرار</w:t>
        </w:r>
        <w:r>
          <w:tab/>
        </w:r>
        <w:r>
          <w:fldChar w:fldCharType="begin"/>
        </w:r>
        <w:r>
          <w:instrText xml:space="preserve">PAGEREF 1468 \h</w:instrText>
        </w:r>
        <w:r>
          <w:fldChar w:fldCharType="end"/>
        </w:r>
      </w:hyperlink>
    </w:p>
    <w:p>
      <w:pPr>
        <w:tabs>
          <w:tab w:val="right" w:leader="dot" w:pos="9062"/>
        </w:tabs>
        <w:ind w:left="440"/>
      </w:pPr>
      <w:hyperlink w:anchor="_Toc1469" w:history="1">
        <w:r>
          <w:rPr>
            <w:rFonts w:ascii="IRNazanin" w:hAnsi="IRNazanin" w:eastAsia="IRNazanin" w:cs="IRNazanin"/>
            <w:color w:val="111111"/>
            <w:sz w:val="22"/>
            <w:szCs w:val="22"/>
            <w:b w:val="0"/>
            <w:bCs w:val="0"/>
            <w:i w:val="0"/>
            <w:iCs w:val="0"/>
          </w:rPr>
          <w:t>1194- دیوان جرس طهرانی‏</w:t>
        </w:r>
        <w:r>
          <w:tab/>
        </w:r>
        <w:r>
          <w:fldChar w:fldCharType="begin"/>
        </w:r>
        <w:r>
          <w:instrText xml:space="preserve">PAGEREF 1469 \h</w:instrText>
        </w:r>
        <w:r>
          <w:fldChar w:fldCharType="end"/>
        </w:r>
      </w:hyperlink>
    </w:p>
    <w:p>
      <w:pPr>
        <w:tabs>
          <w:tab w:val="right" w:leader="dot" w:pos="9062"/>
        </w:tabs>
        <w:ind w:left="440"/>
      </w:pPr>
      <w:hyperlink w:anchor="_Toc1470" w:history="1">
        <w:r>
          <w:rPr>
            <w:rFonts w:ascii="IRNazanin" w:hAnsi="IRNazanin" w:eastAsia="IRNazanin" w:cs="IRNazanin"/>
            <w:color w:val="111111"/>
            <w:sz w:val="22"/>
            <w:szCs w:val="22"/>
            <w:b w:val="0"/>
            <w:bCs w:val="0"/>
            <w:i w:val="0"/>
            <w:iCs w:val="0"/>
          </w:rPr>
          <w:t>1195- دیوان جرعه‏</w:t>
        </w:r>
        <w:r>
          <w:tab/>
        </w:r>
        <w:r>
          <w:fldChar w:fldCharType="begin"/>
        </w:r>
        <w:r>
          <w:instrText xml:space="preserve">PAGEREF 1470 \h</w:instrText>
        </w:r>
        <w:r>
          <w:fldChar w:fldCharType="end"/>
        </w:r>
      </w:hyperlink>
    </w:p>
    <w:p>
      <w:pPr>
        <w:tabs>
          <w:tab w:val="right" w:leader="dot" w:pos="9062"/>
        </w:tabs>
        <w:ind w:left="440"/>
      </w:pPr>
      <w:hyperlink w:anchor="_Toc1471" w:history="1">
        <w:r>
          <w:rPr>
            <w:rFonts w:ascii="IRNazanin" w:hAnsi="IRNazanin" w:eastAsia="IRNazanin" w:cs="IRNazanin"/>
            <w:color w:val="111111"/>
            <w:sz w:val="22"/>
            <w:szCs w:val="22"/>
            <w:b w:val="0"/>
            <w:bCs w:val="0"/>
            <w:i w:val="0"/>
            <w:iCs w:val="0"/>
          </w:rPr>
          <w:t>1196- دیوان جرمی بخاری أو شعره‏</w:t>
        </w:r>
        <w:r>
          <w:tab/>
        </w:r>
        <w:r>
          <w:fldChar w:fldCharType="begin"/>
        </w:r>
        <w:r>
          <w:instrText xml:space="preserve">PAGEREF 1471 \h</w:instrText>
        </w:r>
        <w:r>
          <w:fldChar w:fldCharType="end"/>
        </w:r>
      </w:hyperlink>
    </w:p>
    <w:p>
      <w:pPr>
        <w:tabs>
          <w:tab w:val="right" w:leader="dot" w:pos="9062"/>
        </w:tabs>
        <w:ind w:left="440"/>
      </w:pPr>
      <w:hyperlink w:anchor="_Toc1472" w:history="1">
        <w:r>
          <w:rPr>
            <w:rFonts w:ascii="IRNazanin" w:hAnsi="IRNazanin" w:eastAsia="IRNazanin" w:cs="IRNazanin"/>
            <w:color w:val="111111"/>
            <w:sz w:val="22"/>
            <w:szCs w:val="22"/>
            <w:b w:val="0"/>
            <w:bCs w:val="0"/>
            <w:i w:val="0"/>
            <w:iCs w:val="0"/>
          </w:rPr>
          <w:t>1197- دیوان جرمی تبریزی أو شعره‏</w:t>
        </w:r>
        <w:r>
          <w:tab/>
        </w:r>
        <w:r>
          <w:fldChar w:fldCharType="begin"/>
        </w:r>
        <w:r>
          <w:instrText xml:space="preserve">PAGEREF 1472 \h</w:instrText>
        </w:r>
        <w:r>
          <w:fldChar w:fldCharType="end"/>
        </w:r>
      </w:hyperlink>
    </w:p>
    <w:p>
      <w:pPr>
        <w:tabs>
          <w:tab w:val="right" w:leader="dot" w:pos="9062"/>
        </w:tabs>
        <w:ind w:left="440"/>
      </w:pPr>
      <w:hyperlink w:anchor="_Toc1473" w:history="1">
        <w:r>
          <w:rPr>
            <w:rFonts w:ascii="IRNazanin" w:hAnsi="IRNazanin" w:eastAsia="IRNazanin" w:cs="IRNazanin"/>
            <w:color w:val="111111"/>
            <w:sz w:val="22"/>
            <w:szCs w:val="22"/>
            <w:b w:val="0"/>
            <w:bCs w:val="0"/>
            <w:i w:val="0"/>
            <w:iCs w:val="0"/>
          </w:rPr>
          <w:t>1198- دیوان جریر</w:t>
        </w:r>
        <w:r>
          <w:tab/>
        </w:r>
        <w:r>
          <w:fldChar w:fldCharType="begin"/>
        </w:r>
        <w:r>
          <w:instrText xml:space="preserve">PAGEREF 1473 \h</w:instrText>
        </w:r>
        <w:r>
          <w:fldChar w:fldCharType="end"/>
        </w:r>
      </w:hyperlink>
    </w:p>
    <w:p>
      <w:pPr>
        <w:tabs>
          <w:tab w:val="right" w:leader="dot" w:pos="9062"/>
        </w:tabs>
        <w:ind w:left="440"/>
      </w:pPr>
      <w:hyperlink w:anchor="_Toc1474" w:history="1">
        <w:r>
          <w:rPr>
            <w:rFonts w:ascii="IRNazanin" w:hAnsi="IRNazanin" w:eastAsia="IRNazanin" w:cs="IRNazanin"/>
            <w:color w:val="111111"/>
            <w:sz w:val="22"/>
            <w:szCs w:val="22"/>
            <w:b w:val="0"/>
            <w:bCs w:val="0"/>
            <w:i w:val="0"/>
            <w:iCs w:val="0"/>
          </w:rPr>
          <w:t>1199- دیوان میر جزمی العطار التبریزی‏</w:t>
        </w:r>
        <w:r>
          <w:tab/>
        </w:r>
        <w:r>
          <w:fldChar w:fldCharType="begin"/>
        </w:r>
        <w:r>
          <w:instrText xml:space="preserve">PAGEREF 1474 \h</w:instrText>
        </w:r>
        <w:r>
          <w:fldChar w:fldCharType="end"/>
        </w:r>
      </w:hyperlink>
    </w:p>
    <w:p>
      <w:pPr>
        <w:tabs>
          <w:tab w:val="right" w:leader="dot" w:pos="9062"/>
        </w:tabs>
        <w:ind w:left="440"/>
      </w:pPr>
      <w:hyperlink w:anchor="_Toc1475" w:history="1">
        <w:r>
          <w:rPr>
            <w:rFonts w:ascii="IRNazanin" w:hAnsi="IRNazanin" w:eastAsia="IRNazanin" w:cs="IRNazanin"/>
            <w:color w:val="111111"/>
            <w:sz w:val="22"/>
            <w:szCs w:val="22"/>
            <w:b w:val="0"/>
            <w:bCs w:val="0"/>
            <w:i w:val="0"/>
            <w:iCs w:val="0"/>
          </w:rPr>
          <w:t>1200- دیوان جزوی أو شعره‏</w:t>
        </w:r>
        <w:r>
          <w:tab/>
        </w:r>
        <w:r>
          <w:fldChar w:fldCharType="begin"/>
        </w:r>
        <w:r>
          <w:instrText xml:space="preserve">PAGEREF 1475 \h</w:instrText>
        </w:r>
        <w:r>
          <w:fldChar w:fldCharType="end"/>
        </w:r>
      </w:hyperlink>
    </w:p>
    <w:p>
      <w:pPr>
        <w:tabs>
          <w:tab w:val="right" w:leader="dot" w:pos="9062"/>
        </w:tabs>
        <w:ind w:left="440"/>
      </w:pPr>
      <w:hyperlink w:anchor="_Toc1476" w:history="1">
        <w:r>
          <w:rPr>
            <w:rFonts w:ascii="IRNazanin" w:hAnsi="IRNazanin" w:eastAsia="IRNazanin" w:cs="IRNazanin"/>
            <w:color w:val="111111"/>
            <w:sz w:val="22"/>
            <w:szCs w:val="22"/>
            <w:b w:val="0"/>
            <w:bCs w:val="0"/>
            <w:i w:val="0"/>
            <w:iCs w:val="0"/>
          </w:rPr>
          <w:t>1201- دیوان جسمی همدانی أو شعره‏</w:t>
        </w:r>
        <w:r>
          <w:tab/>
        </w:r>
        <w:r>
          <w:fldChar w:fldCharType="begin"/>
        </w:r>
        <w:r>
          <w:instrText xml:space="preserve">PAGEREF 1476 \h</w:instrText>
        </w:r>
        <w:r>
          <w:fldChar w:fldCharType="end"/>
        </w:r>
      </w:hyperlink>
    </w:p>
    <w:p>
      <w:pPr>
        <w:tabs>
          <w:tab w:val="right" w:leader="dot" w:pos="9062"/>
        </w:tabs>
        <w:ind w:left="440"/>
      </w:pPr>
      <w:hyperlink w:anchor="_Toc1477" w:history="1">
        <w:r>
          <w:rPr>
            <w:rFonts w:ascii="IRNazanin" w:hAnsi="IRNazanin" w:eastAsia="IRNazanin" w:cs="IRNazanin"/>
            <w:color w:val="111111"/>
            <w:sz w:val="22"/>
            <w:szCs w:val="22"/>
            <w:b w:val="0"/>
            <w:bCs w:val="0"/>
            <w:i w:val="0"/>
            <w:iCs w:val="0"/>
          </w:rPr>
          <w:t>دیوان جعفر أصفهانی‏</w:t>
        </w:r>
        <w:r>
          <w:tab/>
        </w:r>
        <w:r>
          <w:fldChar w:fldCharType="begin"/>
        </w:r>
        <w:r>
          <w:instrText xml:space="preserve">PAGEREF 1477 \h</w:instrText>
        </w:r>
        <w:r>
          <w:fldChar w:fldCharType="end"/>
        </w:r>
      </w:hyperlink>
    </w:p>
    <w:p>
      <w:pPr>
        <w:tabs>
          <w:tab w:val="right" w:leader="dot" w:pos="9062"/>
        </w:tabs>
        <w:ind w:left="440"/>
      </w:pPr>
      <w:hyperlink w:anchor="_Toc1478" w:history="1">
        <w:r>
          <w:rPr>
            <w:rFonts w:ascii="IRNazanin" w:hAnsi="IRNazanin" w:eastAsia="IRNazanin" w:cs="IRNazanin"/>
            <w:color w:val="111111"/>
            <w:sz w:val="22"/>
            <w:szCs w:val="22"/>
            <w:b w:val="0"/>
            <w:bCs w:val="0"/>
            <w:i w:val="0"/>
            <w:iCs w:val="0"/>
          </w:rPr>
          <w:t>1202- دیوان الشیخ جعفر البحرانی‏</w:t>
        </w:r>
        <w:r>
          <w:tab/>
        </w:r>
        <w:r>
          <w:fldChar w:fldCharType="begin"/>
        </w:r>
        <w:r>
          <w:instrText xml:space="preserve">PAGEREF 1478 \h</w:instrText>
        </w:r>
        <w:r>
          <w:fldChar w:fldCharType="end"/>
        </w:r>
      </w:hyperlink>
    </w:p>
    <w:p>
      <w:pPr>
        <w:tabs>
          <w:tab w:val="right" w:leader="dot" w:pos="9062"/>
        </w:tabs>
        <w:ind w:left="440"/>
      </w:pPr>
      <w:hyperlink w:anchor="_Toc1479" w:history="1">
        <w:r>
          <w:rPr>
            <w:rFonts w:ascii="IRNazanin" w:hAnsi="IRNazanin" w:eastAsia="IRNazanin" w:cs="IRNazanin"/>
            <w:color w:val="111111"/>
            <w:sz w:val="22"/>
            <w:szCs w:val="22"/>
            <w:b w:val="0"/>
            <w:bCs w:val="0"/>
            <w:i w:val="0"/>
            <w:iCs w:val="0"/>
          </w:rPr>
          <w:t>دیوان الشیخ جعفر البحرانی‏</w:t>
        </w:r>
        <w:r>
          <w:tab/>
        </w:r>
        <w:r>
          <w:fldChar w:fldCharType="begin"/>
        </w:r>
        <w:r>
          <w:instrText xml:space="preserve">PAGEREF 1479 \h</w:instrText>
        </w:r>
        <w:r>
          <w:fldChar w:fldCharType="end"/>
        </w:r>
      </w:hyperlink>
    </w:p>
    <w:p>
      <w:pPr>
        <w:tabs>
          <w:tab w:val="right" w:leader="dot" w:pos="9062"/>
        </w:tabs>
        <w:ind w:left="440"/>
      </w:pPr>
      <w:hyperlink w:anchor="_Toc1480" w:history="1">
        <w:r>
          <w:rPr>
            <w:rFonts w:ascii="IRNazanin" w:hAnsi="IRNazanin" w:eastAsia="IRNazanin" w:cs="IRNazanin"/>
            <w:color w:val="111111"/>
            <w:sz w:val="22"/>
            <w:szCs w:val="22"/>
            <w:b w:val="0"/>
            <w:bCs w:val="0"/>
            <w:i w:val="0"/>
            <w:iCs w:val="0"/>
          </w:rPr>
          <w:t>1203- دیوان الشیخ جعفر البحرانی العوامی‏</w:t>
        </w:r>
        <w:r>
          <w:tab/>
        </w:r>
        <w:r>
          <w:fldChar w:fldCharType="begin"/>
        </w:r>
        <w:r>
          <w:instrText xml:space="preserve">PAGEREF 1480 \h</w:instrText>
        </w:r>
        <w:r>
          <w:fldChar w:fldCharType="end"/>
        </w:r>
      </w:hyperlink>
    </w:p>
    <w:p>
      <w:pPr>
        <w:tabs>
          <w:tab w:val="right" w:leader="dot" w:pos="9062"/>
        </w:tabs>
        <w:ind w:left="440"/>
      </w:pPr>
      <w:hyperlink w:anchor="_Toc1481" w:history="1">
        <w:r>
          <w:rPr>
            <w:rFonts w:ascii="IRNazanin" w:hAnsi="IRNazanin" w:eastAsia="IRNazanin" w:cs="IRNazanin"/>
            <w:color w:val="111111"/>
            <w:sz w:val="22"/>
            <w:szCs w:val="22"/>
            <w:b w:val="0"/>
            <w:bCs w:val="0"/>
            <w:i w:val="0"/>
            <w:iCs w:val="0"/>
          </w:rPr>
          <w:t>1204- دیوان جعفر تبریزی أو شعره‏</w:t>
        </w:r>
        <w:r>
          <w:tab/>
        </w:r>
        <w:r>
          <w:fldChar w:fldCharType="begin"/>
        </w:r>
        <w:r>
          <w:instrText xml:space="preserve">PAGEREF 1481 \h</w:instrText>
        </w:r>
        <w:r>
          <w:fldChar w:fldCharType="end"/>
        </w:r>
      </w:hyperlink>
    </w:p>
    <w:p>
      <w:pPr>
        <w:tabs>
          <w:tab w:val="right" w:leader="dot" w:pos="9062"/>
        </w:tabs>
        <w:ind w:left="440"/>
      </w:pPr>
      <w:hyperlink w:anchor="_Toc1482" w:history="1">
        <w:r>
          <w:rPr>
            <w:rFonts w:ascii="IRNazanin" w:hAnsi="IRNazanin" w:eastAsia="IRNazanin" w:cs="IRNazanin"/>
            <w:color w:val="111111"/>
            <w:sz w:val="22"/>
            <w:szCs w:val="22"/>
            <w:b w:val="0"/>
            <w:bCs w:val="0"/>
            <w:i w:val="0"/>
            <w:iCs w:val="0"/>
          </w:rPr>
          <w:t>1205- دیوان جعفر تبریزی أو شعره‏</w:t>
        </w:r>
        <w:r>
          <w:tab/>
        </w:r>
        <w:r>
          <w:fldChar w:fldCharType="begin"/>
        </w:r>
        <w:r>
          <w:instrText xml:space="preserve">PAGEREF 1482 \h</w:instrText>
        </w:r>
        <w:r>
          <w:fldChar w:fldCharType="end"/>
        </w:r>
      </w:hyperlink>
    </w:p>
    <w:p>
      <w:pPr>
        <w:tabs>
          <w:tab w:val="right" w:leader="dot" w:pos="9062"/>
        </w:tabs>
        <w:ind w:left="440"/>
      </w:pPr>
      <w:hyperlink w:anchor="_Toc1483" w:history="1">
        <w:r>
          <w:rPr>
            <w:rFonts w:ascii="IRNazanin" w:hAnsi="IRNazanin" w:eastAsia="IRNazanin" w:cs="IRNazanin"/>
            <w:color w:val="111111"/>
            <w:sz w:val="22"/>
            <w:szCs w:val="22"/>
            <w:b w:val="0"/>
            <w:bCs w:val="0"/>
            <w:i w:val="0"/>
            <w:iCs w:val="0"/>
          </w:rPr>
          <w:t>دیوان السید جعفر الحلی‏</w:t>
        </w:r>
        <w:r>
          <w:tab/>
        </w:r>
        <w:r>
          <w:fldChar w:fldCharType="begin"/>
        </w:r>
        <w:r>
          <w:instrText xml:space="preserve">PAGEREF 1483 \h</w:instrText>
        </w:r>
        <w:r>
          <w:fldChar w:fldCharType="end"/>
        </w:r>
      </w:hyperlink>
    </w:p>
    <w:p>
      <w:pPr>
        <w:tabs>
          <w:tab w:val="right" w:leader="dot" w:pos="9062"/>
        </w:tabs>
        <w:ind w:left="440"/>
      </w:pPr>
      <w:hyperlink w:anchor="_Toc1484" w:history="1">
        <w:r>
          <w:rPr>
            <w:rFonts w:ascii="IRNazanin" w:hAnsi="IRNazanin" w:eastAsia="IRNazanin" w:cs="IRNazanin"/>
            <w:color w:val="111111"/>
            <w:sz w:val="22"/>
            <w:szCs w:val="22"/>
            <w:b w:val="0"/>
            <w:bCs w:val="0"/>
            <w:i w:val="0"/>
            <w:iCs w:val="0"/>
          </w:rPr>
          <w:t>1206- دیوان جعفر الحیدری أو شعره‏</w:t>
        </w:r>
        <w:r>
          <w:tab/>
        </w:r>
        <w:r>
          <w:fldChar w:fldCharType="begin"/>
        </w:r>
        <w:r>
          <w:instrText xml:space="preserve">PAGEREF 1484 \h</w:instrText>
        </w:r>
        <w:r>
          <w:fldChar w:fldCharType="end"/>
        </w:r>
      </w:hyperlink>
    </w:p>
    <w:p>
      <w:pPr>
        <w:tabs>
          <w:tab w:val="right" w:leader="dot" w:pos="9062"/>
        </w:tabs>
        <w:ind w:left="440"/>
      </w:pPr>
      <w:hyperlink w:anchor="_Toc1485" w:history="1">
        <w:r>
          <w:rPr>
            <w:rFonts w:ascii="IRNazanin" w:hAnsi="IRNazanin" w:eastAsia="IRNazanin" w:cs="IRNazanin"/>
            <w:color w:val="111111"/>
            <w:sz w:val="22"/>
            <w:szCs w:val="22"/>
            <w:b w:val="0"/>
            <w:bCs w:val="0"/>
            <w:i w:val="0"/>
            <w:iCs w:val="0"/>
          </w:rPr>
          <w:t>1207- دیوان السید جعفر خرسان‏</w:t>
        </w:r>
        <w:r>
          <w:tab/>
        </w:r>
        <w:r>
          <w:fldChar w:fldCharType="begin"/>
        </w:r>
        <w:r>
          <w:instrText xml:space="preserve">PAGEREF 1485 \h</w:instrText>
        </w:r>
        <w:r>
          <w:fldChar w:fldCharType="end"/>
        </w:r>
      </w:hyperlink>
    </w:p>
    <w:p>
      <w:pPr>
        <w:tabs>
          <w:tab w:val="right" w:leader="dot" w:pos="9062"/>
        </w:tabs>
        <w:ind w:left="440"/>
      </w:pPr>
      <w:hyperlink w:anchor="_Toc1486" w:history="1">
        <w:r>
          <w:rPr>
            <w:rFonts w:ascii="IRNazanin" w:hAnsi="IRNazanin" w:eastAsia="IRNazanin" w:cs="IRNazanin"/>
            <w:color w:val="111111"/>
            <w:sz w:val="22"/>
            <w:szCs w:val="22"/>
            <w:b w:val="0"/>
            <w:bCs w:val="0"/>
            <w:i w:val="0"/>
            <w:iCs w:val="0"/>
          </w:rPr>
          <w:t>1208- دیوان جعفر رازی‏</w:t>
        </w:r>
        <w:r>
          <w:tab/>
        </w:r>
        <w:r>
          <w:fldChar w:fldCharType="begin"/>
        </w:r>
        <w:r>
          <w:instrText xml:space="preserve">PAGEREF 1486 \h</w:instrText>
        </w:r>
        <w:r>
          <w:fldChar w:fldCharType="end"/>
        </w:r>
      </w:hyperlink>
    </w:p>
    <w:p>
      <w:pPr>
        <w:tabs>
          <w:tab w:val="right" w:leader="dot" w:pos="9062"/>
        </w:tabs>
        <w:ind w:left="440"/>
      </w:pPr>
      <w:hyperlink w:anchor="_Toc1487" w:history="1">
        <w:r>
          <w:rPr>
            <w:rFonts w:ascii="IRNazanin" w:hAnsi="IRNazanin" w:eastAsia="IRNazanin" w:cs="IRNazanin"/>
            <w:color w:val="111111"/>
            <w:sz w:val="22"/>
            <w:szCs w:val="22"/>
            <w:b w:val="0"/>
            <w:bCs w:val="0"/>
            <w:i w:val="0"/>
            <w:iCs w:val="0"/>
          </w:rPr>
          <w:t>1209- دیوان السید جعفر الزوینی‏</w:t>
        </w:r>
        <w:r>
          <w:tab/>
        </w:r>
        <w:r>
          <w:fldChar w:fldCharType="begin"/>
        </w:r>
        <w:r>
          <w:instrText xml:space="preserve">PAGEREF 1487 \h</w:instrText>
        </w:r>
        <w:r>
          <w:fldChar w:fldCharType="end"/>
        </w:r>
      </w:hyperlink>
    </w:p>
    <w:p>
      <w:pPr>
        <w:tabs>
          <w:tab w:val="right" w:leader="dot" w:pos="9062"/>
        </w:tabs>
        <w:ind w:left="440"/>
      </w:pPr>
      <w:hyperlink w:anchor="_Toc1488" w:history="1">
        <w:r>
          <w:rPr>
            <w:rFonts w:ascii="IRNazanin" w:hAnsi="IRNazanin" w:eastAsia="IRNazanin" w:cs="IRNazanin"/>
            <w:color w:val="111111"/>
            <w:sz w:val="22"/>
            <w:szCs w:val="22"/>
            <w:b w:val="0"/>
            <w:bCs w:val="0"/>
            <w:i w:val="0"/>
            <w:iCs w:val="0"/>
          </w:rPr>
          <w:t>دیوان جعفر ساوجی‏</w:t>
        </w:r>
        <w:r>
          <w:tab/>
        </w:r>
        <w:r>
          <w:fldChar w:fldCharType="begin"/>
        </w:r>
        <w:r>
          <w:instrText xml:space="preserve">PAGEREF 1488 \h</w:instrText>
        </w:r>
        <w:r>
          <w:fldChar w:fldCharType="end"/>
        </w:r>
      </w:hyperlink>
    </w:p>
    <w:p>
      <w:pPr>
        <w:tabs>
          <w:tab w:val="right" w:leader="dot" w:pos="9062"/>
        </w:tabs>
        <w:ind w:left="440"/>
      </w:pPr>
      <w:hyperlink w:anchor="_Toc1489" w:history="1">
        <w:r>
          <w:rPr>
            <w:rFonts w:ascii="IRNazanin" w:hAnsi="IRNazanin" w:eastAsia="IRNazanin" w:cs="IRNazanin"/>
            <w:color w:val="111111"/>
            <w:sz w:val="22"/>
            <w:szCs w:val="22"/>
            <w:b w:val="0"/>
            <w:bCs w:val="0"/>
            <w:i w:val="0"/>
            <w:iCs w:val="0"/>
          </w:rPr>
          <w:t>1210- دیوان جعفر شاملو أو شعره‏</w:t>
        </w:r>
        <w:r>
          <w:tab/>
        </w:r>
        <w:r>
          <w:fldChar w:fldCharType="begin"/>
        </w:r>
        <w:r>
          <w:instrText xml:space="preserve">PAGEREF 1489 \h</w:instrText>
        </w:r>
        <w:r>
          <w:fldChar w:fldCharType="end"/>
        </w:r>
      </w:hyperlink>
    </w:p>
    <w:p>
      <w:pPr>
        <w:tabs>
          <w:tab w:val="right" w:leader="dot" w:pos="9062"/>
        </w:tabs>
        <w:ind w:left="440"/>
      </w:pPr>
      <w:hyperlink w:anchor="_Toc1490" w:history="1">
        <w:r>
          <w:rPr>
            <w:rFonts w:ascii="IRNazanin" w:hAnsi="IRNazanin" w:eastAsia="IRNazanin" w:cs="IRNazanin"/>
            <w:color w:val="111111"/>
            <w:sz w:val="22"/>
            <w:szCs w:val="22"/>
            <w:b w:val="0"/>
            <w:bCs w:val="0"/>
            <w:i w:val="0"/>
            <w:iCs w:val="0"/>
          </w:rPr>
          <w:t>1211- دیوان جعفر الطائی‏</w:t>
        </w:r>
        <w:r>
          <w:tab/>
        </w:r>
        <w:r>
          <w:fldChar w:fldCharType="begin"/>
        </w:r>
        <w:r>
          <w:instrText xml:space="preserve">PAGEREF 1490 \h</w:instrText>
        </w:r>
        <w:r>
          <w:fldChar w:fldCharType="end"/>
        </w:r>
      </w:hyperlink>
    </w:p>
    <w:p>
      <w:pPr>
        <w:tabs>
          <w:tab w:val="right" w:leader="dot" w:pos="9062"/>
        </w:tabs>
        <w:ind w:left="440"/>
      </w:pPr>
      <w:hyperlink w:anchor="_Toc1491" w:history="1">
        <w:r>
          <w:rPr>
            <w:rFonts w:ascii="IRNazanin" w:hAnsi="IRNazanin" w:eastAsia="IRNazanin" w:cs="IRNazanin"/>
            <w:color w:val="111111"/>
            <w:sz w:val="22"/>
            <w:szCs w:val="22"/>
            <w:b w:val="0"/>
            <w:bCs w:val="0"/>
            <w:i w:val="0"/>
            <w:iCs w:val="0"/>
          </w:rPr>
          <w:t>1212- دیوان السید جعفر العاملی‏</w:t>
        </w:r>
        <w:r>
          <w:tab/>
        </w:r>
        <w:r>
          <w:fldChar w:fldCharType="begin"/>
        </w:r>
        <w:r>
          <w:instrText xml:space="preserve">PAGEREF 1491 \h</w:instrText>
        </w:r>
        <w:r>
          <w:fldChar w:fldCharType="end"/>
        </w:r>
      </w:hyperlink>
    </w:p>
    <w:p>
      <w:pPr>
        <w:tabs>
          <w:tab w:val="right" w:leader="dot" w:pos="9062"/>
        </w:tabs>
        <w:ind w:left="440"/>
      </w:pPr>
      <w:hyperlink w:anchor="_Toc1492" w:history="1">
        <w:r>
          <w:rPr>
            <w:rFonts w:ascii="IRNazanin" w:hAnsi="IRNazanin" w:eastAsia="IRNazanin" w:cs="IRNazanin"/>
            <w:color w:val="111111"/>
            <w:sz w:val="22"/>
            <w:szCs w:val="22"/>
            <w:b w:val="0"/>
            <w:bCs w:val="0"/>
            <w:i w:val="0"/>
            <w:iCs w:val="0"/>
          </w:rPr>
          <w:t>1213- دیوان جعفر قاجار</w:t>
        </w:r>
        <w:r>
          <w:tab/>
        </w:r>
        <w:r>
          <w:fldChar w:fldCharType="begin"/>
        </w:r>
        <w:r>
          <w:instrText xml:space="preserve">PAGEREF 1492 \h</w:instrText>
        </w:r>
        <w:r>
          <w:fldChar w:fldCharType="end"/>
        </w:r>
      </w:hyperlink>
    </w:p>
    <w:p>
      <w:pPr>
        <w:tabs>
          <w:tab w:val="right" w:leader="dot" w:pos="9062"/>
        </w:tabs>
        <w:ind w:left="440"/>
      </w:pPr>
      <w:hyperlink w:anchor="_Toc1493" w:history="1">
        <w:r>
          <w:rPr>
            <w:rFonts w:ascii="IRNazanin" w:hAnsi="IRNazanin" w:eastAsia="IRNazanin" w:cs="IRNazanin"/>
            <w:color w:val="111111"/>
            <w:sz w:val="22"/>
            <w:szCs w:val="22"/>
            <w:b w:val="0"/>
            <w:bCs w:val="0"/>
            <w:i w:val="0"/>
            <w:iCs w:val="0"/>
          </w:rPr>
          <w:t>دیوان جعفر فراهانی‏</w:t>
        </w:r>
        <w:r>
          <w:tab/>
        </w:r>
        <w:r>
          <w:fldChar w:fldCharType="begin"/>
        </w:r>
        <w:r>
          <w:instrText xml:space="preserve">PAGEREF 1493 \h</w:instrText>
        </w:r>
        <w:r>
          <w:fldChar w:fldCharType="end"/>
        </w:r>
      </w:hyperlink>
    </w:p>
    <w:p>
      <w:pPr>
        <w:tabs>
          <w:tab w:val="right" w:leader="dot" w:pos="9062"/>
        </w:tabs>
        <w:ind w:left="440"/>
      </w:pPr>
      <w:hyperlink w:anchor="_Toc1494" w:history="1">
        <w:r>
          <w:rPr>
            <w:rFonts w:ascii="IRNazanin" w:hAnsi="IRNazanin" w:eastAsia="IRNazanin" w:cs="IRNazanin"/>
            <w:color w:val="111111"/>
            <w:sz w:val="22"/>
            <w:szCs w:val="22"/>
            <w:b w:val="0"/>
            <w:bCs w:val="0"/>
            <w:i w:val="0"/>
            <w:iCs w:val="0"/>
          </w:rPr>
          <w:t>1214- دیوان جعفر قزوینی أو شعره‏</w:t>
        </w:r>
        <w:r>
          <w:tab/>
        </w:r>
        <w:r>
          <w:fldChar w:fldCharType="begin"/>
        </w:r>
        <w:r>
          <w:instrText xml:space="preserve">PAGEREF 1494 \h</w:instrText>
        </w:r>
        <w:r>
          <w:fldChar w:fldCharType="end"/>
        </w:r>
      </w:hyperlink>
    </w:p>
    <w:p>
      <w:pPr>
        <w:tabs>
          <w:tab w:val="right" w:leader="dot" w:pos="9062"/>
        </w:tabs>
        <w:ind w:left="440"/>
      </w:pPr>
      <w:hyperlink w:anchor="_Toc1495" w:history="1">
        <w:r>
          <w:rPr>
            <w:rFonts w:ascii="IRNazanin" w:hAnsi="IRNazanin" w:eastAsia="IRNazanin" w:cs="IRNazanin"/>
            <w:color w:val="111111"/>
            <w:sz w:val="22"/>
            <w:szCs w:val="22"/>
            <w:b w:val="0"/>
            <w:bCs w:val="0"/>
            <w:i w:val="0"/>
            <w:iCs w:val="0"/>
          </w:rPr>
          <w:t>1215- دیوان جعفر قزوینی أو شعره‏</w:t>
        </w:r>
        <w:r>
          <w:tab/>
        </w:r>
        <w:r>
          <w:fldChar w:fldCharType="begin"/>
        </w:r>
        <w:r>
          <w:instrText xml:space="preserve">PAGEREF 1495 \h</w:instrText>
        </w:r>
        <w:r>
          <w:fldChar w:fldCharType="end"/>
        </w:r>
      </w:hyperlink>
    </w:p>
    <w:p>
      <w:pPr>
        <w:tabs>
          <w:tab w:val="right" w:leader="dot" w:pos="9062"/>
        </w:tabs>
        <w:ind w:left="440"/>
      </w:pPr>
      <w:hyperlink w:anchor="_Toc1496" w:history="1">
        <w:r>
          <w:rPr>
            <w:rFonts w:ascii="IRNazanin" w:hAnsi="IRNazanin" w:eastAsia="IRNazanin" w:cs="IRNazanin"/>
            <w:color w:val="111111"/>
            <w:sz w:val="22"/>
            <w:szCs w:val="22"/>
            <w:b w:val="0"/>
            <w:bCs w:val="0"/>
            <w:i w:val="0"/>
            <w:iCs w:val="0"/>
          </w:rPr>
          <w:t>1216- دیوان جعفر کاشی أو شعره‏</w:t>
        </w:r>
        <w:r>
          <w:tab/>
        </w:r>
        <w:r>
          <w:fldChar w:fldCharType="begin"/>
        </w:r>
        <w:r>
          <w:instrText xml:space="preserve">PAGEREF 1496 \h</w:instrText>
        </w:r>
        <w:r>
          <w:fldChar w:fldCharType="end"/>
        </w:r>
      </w:hyperlink>
    </w:p>
    <w:p>
      <w:pPr>
        <w:tabs>
          <w:tab w:val="right" w:leader="dot" w:pos="9062"/>
        </w:tabs>
        <w:ind w:left="440"/>
      </w:pPr>
      <w:hyperlink w:anchor="_Toc1497" w:history="1">
        <w:r>
          <w:rPr>
            <w:rFonts w:ascii="IRNazanin" w:hAnsi="IRNazanin" w:eastAsia="IRNazanin" w:cs="IRNazanin"/>
            <w:color w:val="111111"/>
            <w:sz w:val="22"/>
            <w:szCs w:val="22"/>
            <w:b w:val="0"/>
            <w:bCs w:val="0"/>
            <w:i w:val="0"/>
            <w:iCs w:val="0"/>
          </w:rPr>
          <w:t>1217- دیوان جعفر کشمیری‏</w:t>
        </w:r>
        <w:r>
          <w:tab/>
        </w:r>
        <w:r>
          <w:fldChar w:fldCharType="begin"/>
        </w:r>
        <w:r>
          <w:instrText xml:space="preserve">PAGEREF 1497 \h</w:instrText>
        </w:r>
        <w:r>
          <w:fldChar w:fldCharType="end"/>
        </w:r>
      </w:hyperlink>
    </w:p>
    <w:p>
      <w:pPr>
        <w:tabs>
          <w:tab w:val="right" w:leader="dot" w:pos="9062"/>
        </w:tabs>
        <w:ind w:left="440"/>
      </w:pPr>
      <w:hyperlink w:anchor="_Toc1498" w:history="1">
        <w:r>
          <w:rPr>
            <w:rFonts w:ascii="IRNazanin" w:hAnsi="IRNazanin" w:eastAsia="IRNazanin" w:cs="IRNazanin"/>
            <w:color w:val="111111"/>
            <w:sz w:val="22"/>
            <w:szCs w:val="22"/>
            <w:b w:val="0"/>
            <w:bCs w:val="0"/>
            <w:i w:val="0"/>
            <w:iCs w:val="0"/>
          </w:rPr>
          <w:t>1218- دیوان جعفر لاهیجی أو شعره‏</w:t>
        </w:r>
        <w:r>
          <w:tab/>
        </w:r>
        <w:r>
          <w:fldChar w:fldCharType="begin"/>
        </w:r>
        <w:r>
          <w:instrText xml:space="preserve">PAGEREF 1498 \h</w:instrText>
        </w:r>
        <w:r>
          <w:fldChar w:fldCharType="end"/>
        </w:r>
      </w:hyperlink>
    </w:p>
    <w:p>
      <w:pPr>
        <w:tabs>
          <w:tab w:val="right" w:leader="dot" w:pos="9062"/>
        </w:tabs>
        <w:ind w:left="440"/>
      </w:pPr>
      <w:hyperlink w:anchor="_Toc1499" w:history="1">
        <w:r>
          <w:rPr>
            <w:rFonts w:ascii="IRNazanin" w:hAnsi="IRNazanin" w:eastAsia="IRNazanin" w:cs="IRNazanin"/>
            <w:color w:val="111111"/>
            <w:sz w:val="22"/>
            <w:szCs w:val="22"/>
            <w:b w:val="0"/>
            <w:bCs w:val="0"/>
            <w:i w:val="0"/>
            <w:iCs w:val="0"/>
          </w:rPr>
          <w:t>1219- دیوان الشیخ جعفر الهر</w:t>
        </w:r>
        <w:r>
          <w:tab/>
        </w:r>
        <w:r>
          <w:fldChar w:fldCharType="begin"/>
        </w:r>
        <w:r>
          <w:instrText xml:space="preserve">PAGEREF 1499 \h</w:instrText>
        </w:r>
        <w:r>
          <w:fldChar w:fldCharType="end"/>
        </w:r>
      </w:hyperlink>
    </w:p>
    <w:p>
      <w:pPr>
        <w:tabs>
          <w:tab w:val="right" w:leader="dot" w:pos="9062"/>
        </w:tabs>
        <w:ind w:left="440"/>
      </w:pPr>
      <w:hyperlink w:anchor="_Toc1500" w:history="1">
        <w:r>
          <w:rPr>
            <w:rFonts w:ascii="IRNazanin" w:hAnsi="IRNazanin" w:eastAsia="IRNazanin" w:cs="IRNazanin"/>
            <w:color w:val="111111"/>
            <w:sz w:val="22"/>
            <w:szCs w:val="22"/>
            <w:b w:val="0"/>
            <w:bCs w:val="0"/>
            <w:i w:val="0"/>
            <w:iCs w:val="0"/>
          </w:rPr>
          <w:t>1220- دیوان جعفری أو شعره‏</w:t>
        </w:r>
        <w:r>
          <w:tab/>
        </w:r>
        <w:r>
          <w:fldChar w:fldCharType="begin"/>
        </w:r>
        <w:r>
          <w:instrText xml:space="preserve">PAGEREF 1500 \h</w:instrText>
        </w:r>
        <w:r>
          <w:fldChar w:fldCharType="end"/>
        </w:r>
      </w:hyperlink>
    </w:p>
    <w:p>
      <w:pPr>
        <w:tabs>
          <w:tab w:val="right" w:leader="dot" w:pos="9062"/>
        </w:tabs>
        <w:ind w:left="440"/>
      </w:pPr>
      <w:hyperlink w:anchor="_Toc1501" w:history="1">
        <w:r>
          <w:rPr>
            <w:rFonts w:ascii="IRNazanin" w:hAnsi="IRNazanin" w:eastAsia="IRNazanin" w:cs="IRNazanin"/>
            <w:color w:val="111111"/>
            <w:sz w:val="22"/>
            <w:szCs w:val="22"/>
            <w:b w:val="0"/>
            <w:bCs w:val="0"/>
            <w:i w:val="0"/>
            <w:iCs w:val="0"/>
          </w:rPr>
          <w:t>دیوان جعفری تبریزی‏</w:t>
        </w:r>
        <w:r>
          <w:tab/>
        </w:r>
        <w:r>
          <w:fldChar w:fldCharType="begin"/>
        </w:r>
        <w:r>
          <w:instrText xml:space="preserve">PAGEREF 1501 \h</w:instrText>
        </w:r>
        <w:r>
          <w:fldChar w:fldCharType="end"/>
        </w:r>
      </w:hyperlink>
    </w:p>
    <w:p>
      <w:pPr>
        <w:tabs>
          <w:tab w:val="right" w:leader="dot" w:pos="9062"/>
        </w:tabs>
        <w:ind w:left="440"/>
      </w:pPr>
      <w:hyperlink w:anchor="_Toc1502" w:history="1">
        <w:r>
          <w:rPr>
            <w:rFonts w:ascii="IRNazanin" w:hAnsi="IRNazanin" w:eastAsia="IRNazanin" w:cs="IRNazanin"/>
            <w:color w:val="111111"/>
            <w:sz w:val="22"/>
            <w:szCs w:val="22"/>
            <w:b w:val="0"/>
            <w:bCs w:val="0"/>
            <w:i w:val="0"/>
            <w:iCs w:val="0"/>
          </w:rPr>
          <w:t>1221- دیوان جعفری ساوجی أو شعره‏</w:t>
        </w:r>
        <w:r>
          <w:tab/>
        </w:r>
        <w:r>
          <w:fldChar w:fldCharType="begin"/>
        </w:r>
        <w:r>
          <w:instrText xml:space="preserve">PAGEREF 1502 \h</w:instrText>
        </w:r>
        <w:r>
          <w:fldChar w:fldCharType="end"/>
        </w:r>
      </w:hyperlink>
    </w:p>
    <w:p>
      <w:pPr>
        <w:tabs>
          <w:tab w:val="right" w:leader="dot" w:pos="9062"/>
        </w:tabs>
        <w:ind w:left="440"/>
      </w:pPr>
      <w:hyperlink w:anchor="_Toc1503" w:history="1">
        <w:r>
          <w:rPr>
            <w:rFonts w:ascii="IRNazanin" w:hAnsi="IRNazanin" w:eastAsia="IRNazanin" w:cs="IRNazanin"/>
            <w:color w:val="111111"/>
            <w:sz w:val="22"/>
            <w:szCs w:val="22"/>
            <w:b w:val="0"/>
            <w:bCs w:val="0"/>
            <w:i w:val="0"/>
            <w:iCs w:val="0"/>
          </w:rPr>
          <w:t>1222- دیوان جعفری شیرازی أو شعره‏</w:t>
        </w:r>
        <w:r>
          <w:tab/>
        </w:r>
        <w:r>
          <w:fldChar w:fldCharType="begin"/>
        </w:r>
        <w:r>
          <w:instrText xml:space="preserve">PAGEREF 1503 \h</w:instrText>
        </w:r>
        <w:r>
          <w:fldChar w:fldCharType="end"/>
        </w:r>
      </w:hyperlink>
    </w:p>
    <w:p>
      <w:pPr>
        <w:tabs>
          <w:tab w:val="right" w:leader="dot" w:pos="9062"/>
        </w:tabs>
        <w:ind w:left="440"/>
      </w:pPr>
      <w:hyperlink w:anchor="_Toc1504" w:history="1">
        <w:r>
          <w:rPr>
            <w:rFonts w:ascii="IRNazanin" w:hAnsi="IRNazanin" w:eastAsia="IRNazanin" w:cs="IRNazanin"/>
            <w:color w:val="111111"/>
            <w:sz w:val="22"/>
            <w:szCs w:val="22"/>
            <w:b w:val="0"/>
            <w:bCs w:val="0"/>
            <w:i w:val="0"/>
            <w:iCs w:val="0"/>
          </w:rPr>
          <w:t>1223- دیوان جعفری قزوینی‏</w:t>
        </w:r>
        <w:r>
          <w:tab/>
        </w:r>
        <w:r>
          <w:fldChar w:fldCharType="begin"/>
        </w:r>
        <w:r>
          <w:instrText xml:space="preserve">PAGEREF 1504 \h</w:instrText>
        </w:r>
        <w:r>
          <w:fldChar w:fldCharType="end"/>
        </w:r>
      </w:hyperlink>
    </w:p>
    <w:p>
      <w:pPr>
        <w:tabs>
          <w:tab w:val="right" w:leader="dot" w:pos="9062"/>
        </w:tabs>
        <w:ind w:left="440"/>
      </w:pPr>
      <w:hyperlink w:anchor="_Toc1505" w:history="1">
        <w:r>
          <w:rPr>
            <w:rFonts w:ascii="IRNazanin" w:hAnsi="IRNazanin" w:eastAsia="IRNazanin" w:cs="IRNazanin"/>
            <w:color w:val="111111"/>
            <w:sz w:val="22"/>
            <w:szCs w:val="22"/>
            <w:b w:val="0"/>
            <w:bCs w:val="0"/>
            <w:i w:val="0"/>
            <w:iCs w:val="0"/>
          </w:rPr>
          <w:t>دیوان جعفری مشهدی أو شعره‏</w:t>
        </w:r>
        <w:r>
          <w:tab/>
        </w:r>
        <w:r>
          <w:fldChar w:fldCharType="begin"/>
        </w:r>
        <w:r>
          <w:instrText xml:space="preserve">PAGEREF 1505 \h</w:instrText>
        </w:r>
        <w:r>
          <w:fldChar w:fldCharType="end"/>
        </w:r>
      </w:hyperlink>
    </w:p>
    <w:p>
      <w:pPr>
        <w:tabs>
          <w:tab w:val="right" w:leader="dot" w:pos="9062"/>
        </w:tabs>
        <w:ind w:left="440"/>
      </w:pPr>
      <w:hyperlink w:anchor="_Toc1506" w:history="1">
        <w:r>
          <w:rPr>
            <w:rFonts w:ascii="IRNazanin" w:hAnsi="IRNazanin" w:eastAsia="IRNazanin" w:cs="IRNazanin"/>
            <w:color w:val="111111"/>
            <w:sz w:val="22"/>
            <w:szCs w:val="22"/>
            <w:b w:val="0"/>
            <w:bCs w:val="0"/>
            <w:i w:val="0"/>
            <w:iCs w:val="0"/>
          </w:rPr>
          <w:t>دیوان جغتائی‏</w:t>
        </w:r>
        <w:r>
          <w:tab/>
        </w:r>
        <w:r>
          <w:fldChar w:fldCharType="begin"/>
        </w:r>
        <w:r>
          <w:instrText xml:space="preserve">PAGEREF 1506 \h</w:instrText>
        </w:r>
        <w:r>
          <w:fldChar w:fldCharType="end"/>
        </w:r>
      </w:hyperlink>
    </w:p>
    <w:p>
      <w:pPr>
        <w:tabs>
          <w:tab w:val="right" w:leader="dot" w:pos="9062"/>
        </w:tabs>
        <w:ind w:left="440"/>
      </w:pPr>
      <w:hyperlink w:anchor="_Toc1507" w:history="1">
        <w:r>
          <w:rPr>
            <w:rFonts w:ascii="IRNazanin" w:hAnsi="IRNazanin" w:eastAsia="IRNazanin" w:cs="IRNazanin"/>
            <w:color w:val="111111"/>
            <w:sz w:val="22"/>
            <w:szCs w:val="22"/>
            <w:b w:val="0"/>
            <w:bCs w:val="0"/>
            <w:i w:val="0"/>
            <w:iCs w:val="0"/>
          </w:rPr>
          <w:t>1224- دیوان جفائی أسترآبادی أو شعره‏</w:t>
        </w:r>
        <w:r>
          <w:tab/>
        </w:r>
        <w:r>
          <w:fldChar w:fldCharType="begin"/>
        </w:r>
        <w:r>
          <w:instrText xml:space="preserve">PAGEREF 1507 \h</w:instrText>
        </w:r>
        <w:r>
          <w:fldChar w:fldCharType="end"/>
        </w:r>
      </w:hyperlink>
    </w:p>
    <w:p>
      <w:pPr>
        <w:tabs>
          <w:tab w:val="right" w:leader="dot" w:pos="9062"/>
        </w:tabs>
        <w:ind w:left="440"/>
      </w:pPr>
      <w:hyperlink w:anchor="_Toc1508" w:history="1">
        <w:r>
          <w:rPr>
            <w:rFonts w:ascii="IRNazanin" w:hAnsi="IRNazanin" w:eastAsia="IRNazanin" w:cs="IRNazanin"/>
            <w:color w:val="111111"/>
            <w:sz w:val="22"/>
            <w:szCs w:val="22"/>
            <w:b w:val="0"/>
            <w:bCs w:val="0"/>
            <w:i w:val="0"/>
            <w:iCs w:val="0"/>
          </w:rPr>
          <w:t>دیوان جفری یزدی أو شعره‏</w:t>
        </w:r>
        <w:r>
          <w:tab/>
        </w:r>
        <w:r>
          <w:fldChar w:fldCharType="begin"/>
        </w:r>
        <w:r>
          <w:instrText xml:space="preserve">PAGEREF 1508 \h</w:instrText>
        </w:r>
        <w:r>
          <w:fldChar w:fldCharType="end"/>
        </w:r>
      </w:hyperlink>
    </w:p>
    <w:p>
      <w:pPr>
        <w:tabs>
          <w:tab w:val="right" w:leader="dot" w:pos="9062"/>
        </w:tabs>
        <w:ind w:left="440"/>
      </w:pPr>
      <w:hyperlink w:anchor="_Toc1509" w:history="1">
        <w:r>
          <w:rPr>
            <w:rFonts w:ascii="IRNazanin" w:hAnsi="IRNazanin" w:eastAsia="IRNazanin" w:cs="IRNazanin"/>
            <w:color w:val="111111"/>
            <w:sz w:val="22"/>
            <w:szCs w:val="22"/>
            <w:b w:val="0"/>
            <w:bCs w:val="0"/>
            <w:i w:val="0"/>
            <w:iCs w:val="0"/>
          </w:rPr>
          <w:t>1225- دیوان جلال أردستانی أو شعره‏</w:t>
        </w:r>
        <w:r>
          <w:tab/>
        </w:r>
        <w:r>
          <w:fldChar w:fldCharType="begin"/>
        </w:r>
        <w:r>
          <w:instrText xml:space="preserve">PAGEREF 1509 \h</w:instrText>
        </w:r>
        <w:r>
          <w:fldChar w:fldCharType="end"/>
        </w:r>
      </w:hyperlink>
    </w:p>
    <w:p>
      <w:pPr>
        <w:tabs>
          <w:tab w:val="right" w:leader="dot" w:pos="9062"/>
        </w:tabs>
        <w:ind w:left="440"/>
      </w:pPr>
      <w:hyperlink w:anchor="_Toc1510" w:history="1">
        <w:r>
          <w:rPr>
            <w:rFonts w:ascii="IRNazanin" w:hAnsi="IRNazanin" w:eastAsia="IRNazanin" w:cs="IRNazanin"/>
            <w:color w:val="111111"/>
            <w:sz w:val="22"/>
            <w:szCs w:val="22"/>
            <w:b w:val="0"/>
            <w:bCs w:val="0"/>
            <w:i w:val="0"/>
            <w:iCs w:val="0"/>
          </w:rPr>
          <w:t>1226- دیوان جلال أصفهانی أو شعره‏</w:t>
        </w:r>
        <w:r>
          <w:tab/>
        </w:r>
        <w:r>
          <w:fldChar w:fldCharType="begin"/>
        </w:r>
        <w:r>
          <w:instrText xml:space="preserve">PAGEREF 1510 \h</w:instrText>
        </w:r>
        <w:r>
          <w:fldChar w:fldCharType="end"/>
        </w:r>
      </w:hyperlink>
    </w:p>
    <w:p>
      <w:pPr>
        <w:tabs>
          <w:tab w:val="right" w:leader="dot" w:pos="9062"/>
        </w:tabs>
        <w:ind w:left="440"/>
      </w:pPr>
      <w:hyperlink w:anchor="_Toc1511" w:history="1">
        <w:r>
          <w:rPr>
            <w:rFonts w:ascii="IRNazanin" w:hAnsi="IRNazanin" w:eastAsia="IRNazanin" w:cs="IRNazanin"/>
            <w:color w:val="111111"/>
            <w:sz w:val="22"/>
            <w:szCs w:val="22"/>
            <w:b w:val="0"/>
            <w:bCs w:val="0"/>
            <w:i w:val="0"/>
            <w:iCs w:val="0"/>
          </w:rPr>
          <w:t>دیوان جلال بخاری رضوی‏</w:t>
        </w:r>
        <w:r>
          <w:tab/>
        </w:r>
        <w:r>
          <w:fldChar w:fldCharType="begin"/>
        </w:r>
        <w:r>
          <w:instrText xml:space="preserve">PAGEREF 1511 \h</w:instrText>
        </w:r>
        <w:r>
          <w:fldChar w:fldCharType="end"/>
        </w:r>
      </w:hyperlink>
    </w:p>
    <w:p>
      <w:pPr>
        <w:tabs>
          <w:tab w:val="right" w:leader="dot" w:pos="9062"/>
        </w:tabs>
        <w:ind w:left="440"/>
      </w:pPr>
      <w:hyperlink w:anchor="_Toc1512" w:history="1">
        <w:r>
          <w:rPr>
            <w:rFonts w:ascii="IRNazanin" w:hAnsi="IRNazanin" w:eastAsia="IRNazanin" w:cs="IRNazanin"/>
            <w:color w:val="111111"/>
            <w:sz w:val="22"/>
            <w:szCs w:val="22"/>
            <w:b w:val="0"/>
            <w:bCs w:val="0"/>
            <w:i w:val="0"/>
            <w:iCs w:val="0"/>
          </w:rPr>
          <w:t>1227- دیوان جلال تبریزی أو شعره‏</w:t>
        </w:r>
        <w:r>
          <w:tab/>
        </w:r>
        <w:r>
          <w:fldChar w:fldCharType="begin"/>
        </w:r>
        <w:r>
          <w:instrText xml:space="preserve">PAGEREF 1512 \h</w:instrText>
        </w:r>
        <w:r>
          <w:fldChar w:fldCharType="end"/>
        </w:r>
      </w:hyperlink>
    </w:p>
    <w:p>
      <w:pPr>
        <w:tabs>
          <w:tab w:val="right" w:leader="dot" w:pos="9062"/>
        </w:tabs>
        <w:ind w:left="440"/>
      </w:pPr>
      <w:hyperlink w:anchor="_Toc1513" w:history="1">
        <w:r>
          <w:rPr>
            <w:rFonts w:ascii="IRNazanin" w:hAnsi="IRNazanin" w:eastAsia="IRNazanin" w:cs="IRNazanin"/>
            <w:color w:val="111111"/>
            <w:sz w:val="22"/>
            <w:szCs w:val="22"/>
            <w:b w:val="0"/>
            <w:bCs w:val="0"/>
            <w:i w:val="0"/>
            <w:iCs w:val="0"/>
          </w:rPr>
          <w:t>1228- دیوان جلال درکانی‏</w:t>
        </w:r>
        <w:r>
          <w:tab/>
        </w:r>
        <w:r>
          <w:fldChar w:fldCharType="begin"/>
        </w:r>
        <w:r>
          <w:instrText xml:space="preserve">PAGEREF 1513 \h</w:instrText>
        </w:r>
        <w:r>
          <w:fldChar w:fldCharType="end"/>
        </w:r>
      </w:hyperlink>
    </w:p>
    <w:p>
      <w:pPr>
        <w:tabs>
          <w:tab w:val="right" w:leader="dot" w:pos="9062"/>
        </w:tabs>
        <w:ind w:left="440"/>
      </w:pPr>
      <w:hyperlink w:anchor="_Toc1514" w:history="1">
        <w:r>
          <w:rPr>
            <w:rFonts w:ascii="IRNazanin" w:hAnsi="IRNazanin" w:eastAsia="IRNazanin" w:cs="IRNazanin"/>
            <w:color w:val="111111"/>
            <w:sz w:val="22"/>
            <w:szCs w:val="22"/>
            <w:b w:val="0"/>
            <w:bCs w:val="0"/>
            <w:i w:val="0"/>
            <w:iCs w:val="0"/>
          </w:rPr>
          <w:t>دیوان جلال الدوانی‏</w:t>
        </w:r>
        <w:r>
          <w:tab/>
        </w:r>
        <w:r>
          <w:fldChar w:fldCharType="begin"/>
        </w:r>
        <w:r>
          <w:instrText xml:space="preserve">PAGEREF 1514 \h</w:instrText>
        </w:r>
        <w:r>
          <w:fldChar w:fldCharType="end"/>
        </w:r>
      </w:hyperlink>
    </w:p>
    <w:p>
      <w:pPr>
        <w:tabs>
          <w:tab w:val="right" w:leader="dot" w:pos="9062"/>
        </w:tabs>
        <w:ind w:left="440"/>
      </w:pPr>
      <w:hyperlink w:anchor="_Toc1515" w:history="1">
        <w:r>
          <w:rPr>
            <w:rFonts w:ascii="IRNazanin" w:hAnsi="IRNazanin" w:eastAsia="IRNazanin" w:cs="IRNazanin"/>
            <w:color w:val="111111"/>
            <w:sz w:val="22"/>
            <w:szCs w:val="22"/>
            <w:b w:val="0"/>
            <w:bCs w:val="0"/>
            <w:i w:val="0"/>
            <w:iCs w:val="0"/>
          </w:rPr>
          <w:t>دیوان جلال الدین بلخی‏</w:t>
        </w:r>
        <w:r>
          <w:tab/>
        </w:r>
        <w:r>
          <w:fldChar w:fldCharType="begin"/>
        </w:r>
        <w:r>
          <w:instrText xml:space="preserve">PAGEREF 1515 \h</w:instrText>
        </w:r>
        <w:r>
          <w:fldChar w:fldCharType="end"/>
        </w:r>
      </w:hyperlink>
    </w:p>
    <w:p>
      <w:pPr>
        <w:tabs>
          <w:tab w:val="right" w:leader="dot" w:pos="9062"/>
        </w:tabs>
        <w:ind w:left="440"/>
      </w:pPr>
      <w:hyperlink w:anchor="_Toc1516" w:history="1">
        <w:r>
          <w:rPr>
            <w:rFonts w:ascii="IRNazanin" w:hAnsi="IRNazanin" w:eastAsia="IRNazanin" w:cs="IRNazanin"/>
            <w:color w:val="111111"/>
            <w:sz w:val="22"/>
            <w:szCs w:val="22"/>
            <w:b w:val="0"/>
            <w:bCs w:val="0"/>
            <w:i w:val="0"/>
            <w:iCs w:val="0"/>
          </w:rPr>
          <w:t>1229- دیوان جلال سیستانی أو شعره‏</w:t>
        </w:r>
        <w:r>
          <w:tab/>
        </w:r>
        <w:r>
          <w:fldChar w:fldCharType="begin"/>
        </w:r>
        <w:r>
          <w:instrText xml:space="preserve">PAGEREF 1516 \h</w:instrText>
        </w:r>
        <w:r>
          <w:fldChar w:fldCharType="end"/>
        </w:r>
      </w:hyperlink>
    </w:p>
    <w:p>
      <w:pPr>
        <w:tabs>
          <w:tab w:val="right" w:leader="dot" w:pos="9062"/>
        </w:tabs>
        <w:ind w:left="440"/>
      </w:pPr>
      <w:hyperlink w:anchor="_Toc1517" w:history="1">
        <w:r>
          <w:rPr>
            <w:rFonts w:ascii="IRNazanin" w:hAnsi="IRNazanin" w:eastAsia="IRNazanin" w:cs="IRNazanin"/>
            <w:color w:val="111111"/>
            <w:sz w:val="22"/>
            <w:szCs w:val="22"/>
            <w:b w:val="0"/>
            <w:bCs w:val="0"/>
            <w:i w:val="0"/>
            <w:iCs w:val="0"/>
          </w:rPr>
          <w:t>دیوان جلال شهرستانی‏</w:t>
        </w:r>
        <w:r>
          <w:tab/>
        </w:r>
        <w:r>
          <w:fldChar w:fldCharType="begin"/>
        </w:r>
        <w:r>
          <w:instrText xml:space="preserve">PAGEREF 1517 \h</w:instrText>
        </w:r>
        <w:r>
          <w:fldChar w:fldCharType="end"/>
        </w:r>
      </w:hyperlink>
    </w:p>
    <w:p>
      <w:pPr>
        <w:tabs>
          <w:tab w:val="right" w:leader="dot" w:pos="9062"/>
        </w:tabs>
        <w:ind w:left="440"/>
      </w:pPr>
      <w:hyperlink w:anchor="_Toc1518" w:history="1">
        <w:r>
          <w:rPr>
            <w:rFonts w:ascii="IRNazanin" w:hAnsi="IRNazanin" w:eastAsia="IRNazanin" w:cs="IRNazanin"/>
            <w:color w:val="111111"/>
            <w:sz w:val="22"/>
            <w:szCs w:val="22"/>
            <w:b w:val="0"/>
            <w:bCs w:val="0"/>
            <w:i w:val="0"/>
            <w:iCs w:val="0"/>
          </w:rPr>
          <w:t>1230- دیوان جلال صدر الصدور أو شعره‏</w:t>
        </w:r>
        <w:r>
          <w:tab/>
        </w:r>
        <w:r>
          <w:fldChar w:fldCharType="begin"/>
        </w:r>
        <w:r>
          <w:instrText xml:space="preserve">PAGEREF 1518 \h</w:instrText>
        </w:r>
        <w:r>
          <w:fldChar w:fldCharType="end"/>
        </w:r>
      </w:hyperlink>
    </w:p>
    <w:p>
      <w:pPr>
        <w:tabs>
          <w:tab w:val="right" w:leader="dot" w:pos="9062"/>
        </w:tabs>
        <w:ind w:left="440"/>
      </w:pPr>
      <w:hyperlink w:anchor="_Toc1519" w:history="1">
        <w:r>
          <w:rPr>
            <w:rFonts w:ascii="IRNazanin" w:hAnsi="IRNazanin" w:eastAsia="IRNazanin" w:cs="IRNazanin"/>
            <w:color w:val="111111"/>
            <w:sz w:val="22"/>
            <w:szCs w:val="22"/>
            <w:b w:val="0"/>
            <w:bCs w:val="0"/>
            <w:i w:val="0"/>
            <w:iCs w:val="0"/>
          </w:rPr>
          <w:t>1231- دیوان جلال طبیب‏</w:t>
        </w:r>
        <w:r>
          <w:tab/>
        </w:r>
        <w:r>
          <w:fldChar w:fldCharType="begin"/>
        </w:r>
        <w:r>
          <w:instrText xml:space="preserve">PAGEREF 1519 \h</w:instrText>
        </w:r>
        <w:r>
          <w:fldChar w:fldCharType="end"/>
        </w:r>
      </w:hyperlink>
    </w:p>
    <w:p>
      <w:pPr>
        <w:tabs>
          <w:tab w:val="right" w:leader="dot" w:pos="9062"/>
        </w:tabs>
        <w:ind w:left="440"/>
      </w:pPr>
      <w:hyperlink w:anchor="_Toc1520" w:history="1">
        <w:r>
          <w:rPr>
            <w:rFonts w:ascii="IRNazanin" w:hAnsi="IRNazanin" w:eastAsia="IRNazanin" w:cs="IRNazanin"/>
            <w:color w:val="111111"/>
            <w:sz w:val="22"/>
            <w:szCs w:val="22"/>
            <w:b w:val="0"/>
            <w:bCs w:val="0"/>
            <w:i w:val="0"/>
            <w:iCs w:val="0"/>
          </w:rPr>
          <w:t>دیوان جلال طبیب‏</w:t>
        </w:r>
        <w:r>
          <w:tab/>
        </w:r>
        <w:r>
          <w:fldChar w:fldCharType="begin"/>
        </w:r>
        <w:r>
          <w:instrText xml:space="preserve">PAGEREF 1520 \h</w:instrText>
        </w:r>
        <w:r>
          <w:fldChar w:fldCharType="end"/>
        </w:r>
      </w:hyperlink>
    </w:p>
    <w:p>
      <w:pPr>
        <w:tabs>
          <w:tab w:val="right" w:leader="dot" w:pos="9062"/>
        </w:tabs>
        <w:ind w:left="440"/>
      </w:pPr>
      <w:hyperlink w:anchor="_Toc1521" w:history="1">
        <w:r>
          <w:rPr>
            <w:rFonts w:ascii="IRNazanin" w:hAnsi="IRNazanin" w:eastAsia="IRNazanin" w:cs="IRNazanin"/>
            <w:color w:val="111111"/>
            <w:sz w:val="22"/>
            <w:szCs w:val="22"/>
            <w:b w:val="0"/>
            <w:bCs w:val="0"/>
            <w:i w:val="0"/>
            <w:iCs w:val="0"/>
          </w:rPr>
          <w:t>دیوان جلال عتیقی‏</w:t>
        </w:r>
        <w:r>
          <w:tab/>
        </w:r>
        <w:r>
          <w:fldChar w:fldCharType="begin"/>
        </w:r>
        <w:r>
          <w:instrText xml:space="preserve">PAGEREF 1521 \h</w:instrText>
        </w:r>
        <w:r>
          <w:fldChar w:fldCharType="end"/>
        </w:r>
      </w:hyperlink>
    </w:p>
    <w:p>
      <w:pPr>
        <w:tabs>
          <w:tab w:val="right" w:leader="dot" w:pos="9062"/>
        </w:tabs>
        <w:ind w:left="440"/>
      </w:pPr>
      <w:hyperlink w:anchor="_Toc1522" w:history="1">
        <w:r>
          <w:rPr>
            <w:rFonts w:ascii="IRNazanin" w:hAnsi="IRNazanin" w:eastAsia="IRNazanin" w:cs="IRNazanin"/>
            <w:color w:val="111111"/>
            <w:sz w:val="22"/>
            <w:szCs w:val="22"/>
            <w:b w:val="0"/>
            <w:bCs w:val="0"/>
            <w:i w:val="0"/>
            <w:iCs w:val="0"/>
          </w:rPr>
          <w:t>1232- دیوان جلال عضد</w:t>
        </w:r>
        <w:r>
          <w:tab/>
        </w:r>
        <w:r>
          <w:fldChar w:fldCharType="begin"/>
        </w:r>
        <w:r>
          <w:instrText xml:space="preserve">PAGEREF 1522 \h</w:instrText>
        </w:r>
        <w:r>
          <w:fldChar w:fldCharType="end"/>
        </w:r>
      </w:hyperlink>
    </w:p>
    <w:p>
      <w:pPr>
        <w:tabs>
          <w:tab w:val="right" w:leader="dot" w:pos="9062"/>
        </w:tabs>
        <w:ind w:left="440"/>
      </w:pPr>
      <w:hyperlink w:anchor="_Toc1523" w:history="1">
        <w:r>
          <w:rPr>
            <w:rFonts w:ascii="IRNazanin" w:hAnsi="IRNazanin" w:eastAsia="IRNazanin" w:cs="IRNazanin"/>
            <w:color w:val="111111"/>
            <w:sz w:val="22"/>
            <w:szCs w:val="22"/>
            <w:b w:val="0"/>
            <w:bCs w:val="0"/>
            <w:i w:val="0"/>
            <w:iCs w:val="0"/>
          </w:rPr>
          <w:t>دیوان جلال عکاشة</w:t>
        </w:r>
        <w:r>
          <w:tab/>
        </w:r>
        <w:r>
          <w:fldChar w:fldCharType="begin"/>
        </w:r>
        <w:r>
          <w:instrText xml:space="preserve">PAGEREF 1523 \h</w:instrText>
        </w:r>
        <w:r>
          <w:fldChar w:fldCharType="end"/>
        </w:r>
      </w:hyperlink>
    </w:p>
    <w:p>
      <w:pPr>
        <w:tabs>
          <w:tab w:val="right" w:leader="dot" w:pos="9062"/>
        </w:tabs>
        <w:ind w:left="440"/>
      </w:pPr>
      <w:hyperlink w:anchor="_Toc1524" w:history="1">
        <w:r>
          <w:rPr>
            <w:rFonts w:ascii="IRNazanin" w:hAnsi="IRNazanin" w:eastAsia="IRNazanin" w:cs="IRNazanin"/>
            <w:color w:val="111111"/>
            <w:sz w:val="22"/>
            <w:szCs w:val="22"/>
            <w:b w:val="0"/>
            <w:bCs w:val="0"/>
            <w:i w:val="0"/>
            <w:iCs w:val="0"/>
          </w:rPr>
          <w:t>1233- دیوان جلال فراهانی‏</w:t>
        </w:r>
        <w:r>
          <w:tab/>
        </w:r>
        <w:r>
          <w:fldChar w:fldCharType="begin"/>
        </w:r>
        <w:r>
          <w:instrText xml:space="preserve">PAGEREF 1524 \h</w:instrText>
        </w:r>
        <w:r>
          <w:fldChar w:fldCharType="end"/>
        </w:r>
      </w:hyperlink>
    </w:p>
    <w:p>
      <w:pPr>
        <w:tabs>
          <w:tab w:val="right" w:leader="dot" w:pos="9062"/>
        </w:tabs>
        <w:ind w:left="440"/>
      </w:pPr>
      <w:hyperlink w:anchor="_Toc1525" w:history="1">
        <w:r>
          <w:rPr>
            <w:rFonts w:ascii="IRNazanin" w:hAnsi="IRNazanin" w:eastAsia="IRNazanin" w:cs="IRNazanin"/>
            <w:color w:val="111111"/>
            <w:sz w:val="22"/>
            <w:szCs w:val="22"/>
            <w:b w:val="0"/>
            <w:bCs w:val="0"/>
            <w:i w:val="0"/>
            <w:iCs w:val="0"/>
          </w:rPr>
          <w:t>1234- دیوان جلال لکهنوی‏</w:t>
        </w:r>
        <w:r>
          <w:tab/>
        </w:r>
        <w:r>
          <w:fldChar w:fldCharType="begin"/>
        </w:r>
        <w:r>
          <w:instrText xml:space="preserve">PAGEREF 1525 \h</w:instrText>
        </w:r>
        <w:r>
          <w:fldChar w:fldCharType="end"/>
        </w:r>
      </w:hyperlink>
    </w:p>
    <w:p>
      <w:pPr>
        <w:tabs>
          <w:tab w:val="right" w:leader="dot" w:pos="9062"/>
        </w:tabs>
        <w:ind w:left="440"/>
      </w:pPr>
      <w:hyperlink w:anchor="_Toc1526" w:history="1">
        <w:r>
          <w:rPr>
            <w:rFonts w:ascii="IRNazanin" w:hAnsi="IRNazanin" w:eastAsia="IRNazanin" w:cs="IRNazanin"/>
            <w:color w:val="111111"/>
            <w:sz w:val="22"/>
            <w:szCs w:val="22"/>
            <w:b w:val="0"/>
            <w:bCs w:val="0"/>
            <w:i w:val="0"/>
            <w:iCs w:val="0"/>
          </w:rPr>
          <w:t>1235- دیوان جلال نائنی‏</w:t>
        </w:r>
        <w:r>
          <w:tab/>
        </w:r>
        <w:r>
          <w:fldChar w:fldCharType="begin"/>
        </w:r>
        <w:r>
          <w:instrText xml:space="preserve">PAGEREF 1526 \h</w:instrText>
        </w:r>
        <w:r>
          <w:fldChar w:fldCharType="end"/>
        </w:r>
      </w:hyperlink>
    </w:p>
    <w:p>
      <w:pPr>
        <w:tabs>
          <w:tab w:val="right" w:leader="dot" w:pos="9062"/>
        </w:tabs>
        <w:ind w:left="440"/>
      </w:pPr>
      <w:hyperlink w:anchor="_Toc1527" w:history="1">
        <w:r>
          <w:rPr>
            <w:rFonts w:ascii="IRNazanin" w:hAnsi="IRNazanin" w:eastAsia="IRNazanin" w:cs="IRNazanin"/>
            <w:color w:val="111111"/>
            <w:sz w:val="22"/>
            <w:szCs w:val="22"/>
            <w:b w:val="0"/>
            <w:bCs w:val="0"/>
            <w:i w:val="0"/>
            <w:iCs w:val="0"/>
          </w:rPr>
          <w:t>1236- دیوان جلال نیشابوری أو شعره‏</w:t>
        </w:r>
        <w:r>
          <w:tab/>
        </w:r>
        <w:r>
          <w:fldChar w:fldCharType="begin"/>
        </w:r>
        <w:r>
          <w:instrText xml:space="preserve">PAGEREF 1527 \h</w:instrText>
        </w:r>
        <w:r>
          <w:fldChar w:fldCharType="end"/>
        </w:r>
      </w:hyperlink>
    </w:p>
    <w:p>
      <w:pPr>
        <w:tabs>
          <w:tab w:val="right" w:leader="dot" w:pos="9062"/>
        </w:tabs>
        <w:ind w:left="440"/>
      </w:pPr>
      <w:hyperlink w:anchor="_Toc1528" w:history="1">
        <w:r>
          <w:rPr>
            <w:rFonts w:ascii="IRNazanin" w:hAnsi="IRNazanin" w:eastAsia="IRNazanin" w:cs="IRNazanin"/>
            <w:color w:val="111111"/>
            <w:sz w:val="22"/>
            <w:szCs w:val="22"/>
            <w:b w:val="0"/>
            <w:bCs w:val="0"/>
            <w:i w:val="0"/>
            <w:iCs w:val="0"/>
          </w:rPr>
          <w:t>1237- دیوان جلال هروی أو شعره‏</w:t>
        </w:r>
        <w:r>
          <w:tab/>
        </w:r>
        <w:r>
          <w:fldChar w:fldCharType="begin"/>
        </w:r>
        <w:r>
          <w:instrText xml:space="preserve">PAGEREF 1528 \h</w:instrText>
        </w:r>
        <w:r>
          <w:fldChar w:fldCharType="end"/>
        </w:r>
      </w:hyperlink>
    </w:p>
    <w:p>
      <w:pPr>
        <w:tabs>
          <w:tab w:val="right" w:leader="dot" w:pos="9062"/>
        </w:tabs>
        <w:ind w:left="440"/>
      </w:pPr>
      <w:hyperlink w:anchor="_Toc1529" w:history="1">
        <w:r>
          <w:rPr>
            <w:rFonts w:ascii="IRNazanin" w:hAnsi="IRNazanin" w:eastAsia="IRNazanin" w:cs="IRNazanin"/>
            <w:color w:val="111111"/>
            <w:sz w:val="22"/>
            <w:szCs w:val="22"/>
            <w:b w:val="0"/>
            <w:bCs w:val="0"/>
            <w:i w:val="0"/>
            <w:iCs w:val="0"/>
          </w:rPr>
          <w:t>دیوان جلال همدانی‏</w:t>
        </w:r>
        <w:r>
          <w:tab/>
        </w:r>
        <w:r>
          <w:fldChar w:fldCharType="begin"/>
        </w:r>
        <w:r>
          <w:instrText xml:space="preserve">PAGEREF 1529 \h</w:instrText>
        </w:r>
        <w:r>
          <w:fldChar w:fldCharType="end"/>
        </w:r>
      </w:hyperlink>
    </w:p>
    <w:p>
      <w:pPr>
        <w:tabs>
          <w:tab w:val="right" w:leader="dot" w:pos="9062"/>
        </w:tabs>
        <w:ind w:left="440"/>
      </w:pPr>
      <w:hyperlink w:anchor="_Toc1530" w:history="1">
        <w:r>
          <w:rPr>
            <w:rFonts w:ascii="IRNazanin" w:hAnsi="IRNazanin" w:eastAsia="IRNazanin" w:cs="IRNazanin"/>
            <w:color w:val="111111"/>
            <w:sz w:val="22"/>
            <w:szCs w:val="22"/>
            <w:b w:val="0"/>
            <w:bCs w:val="0"/>
            <w:i w:val="0"/>
            <w:iCs w:val="0"/>
          </w:rPr>
          <w:t>1238- دیوان جلال همدانی أو شعره‏</w:t>
        </w:r>
        <w:r>
          <w:tab/>
        </w:r>
        <w:r>
          <w:fldChar w:fldCharType="begin"/>
        </w:r>
        <w:r>
          <w:instrText xml:space="preserve">PAGEREF 1530 \h</w:instrText>
        </w:r>
        <w:r>
          <w:fldChar w:fldCharType="end"/>
        </w:r>
      </w:hyperlink>
    </w:p>
    <w:p>
      <w:pPr>
        <w:tabs>
          <w:tab w:val="right" w:leader="dot" w:pos="9062"/>
        </w:tabs>
        <w:ind w:left="440"/>
      </w:pPr>
      <w:hyperlink w:anchor="_Toc1531" w:history="1">
        <w:r>
          <w:rPr>
            <w:rFonts w:ascii="IRNazanin" w:hAnsi="IRNazanin" w:eastAsia="IRNazanin" w:cs="IRNazanin"/>
            <w:color w:val="111111"/>
            <w:sz w:val="22"/>
            <w:szCs w:val="22"/>
            <w:b w:val="0"/>
            <w:bCs w:val="0"/>
            <w:i w:val="0"/>
            <w:iCs w:val="0"/>
          </w:rPr>
          <w:t>دیوان جلال یزدی‏</w:t>
        </w:r>
        <w:r>
          <w:tab/>
        </w:r>
        <w:r>
          <w:fldChar w:fldCharType="begin"/>
        </w:r>
        <w:r>
          <w:instrText xml:space="preserve">PAGEREF 1531 \h</w:instrText>
        </w:r>
        <w:r>
          <w:fldChar w:fldCharType="end"/>
        </w:r>
      </w:hyperlink>
    </w:p>
    <w:p>
      <w:pPr>
        <w:tabs>
          <w:tab w:val="right" w:leader="dot" w:pos="9062"/>
        </w:tabs>
        <w:ind w:left="440"/>
      </w:pPr>
      <w:hyperlink w:anchor="_Toc1532" w:history="1">
        <w:r>
          <w:rPr>
            <w:rFonts w:ascii="IRNazanin" w:hAnsi="IRNazanin" w:eastAsia="IRNazanin" w:cs="IRNazanin"/>
            <w:color w:val="111111"/>
            <w:sz w:val="22"/>
            <w:szCs w:val="22"/>
            <w:b w:val="0"/>
            <w:bCs w:val="0"/>
            <w:i w:val="0"/>
            <w:iCs w:val="0"/>
          </w:rPr>
          <w:t>1239- دیوان جلال یزدی‏</w:t>
        </w:r>
        <w:r>
          <w:tab/>
        </w:r>
        <w:r>
          <w:fldChar w:fldCharType="begin"/>
        </w:r>
        <w:r>
          <w:instrText xml:space="preserve">PAGEREF 1532 \h</w:instrText>
        </w:r>
        <w:r>
          <w:fldChar w:fldCharType="end"/>
        </w:r>
      </w:hyperlink>
    </w:p>
    <w:p>
      <w:pPr>
        <w:tabs>
          <w:tab w:val="right" w:leader="dot" w:pos="9062"/>
        </w:tabs>
        <w:ind w:left="440"/>
      </w:pPr>
      <w:hyperlink w:anchor="_Toc1533" w:history="1">
        <w:r>
          <w:rPr>
            <w:rFonts w:ascii="IRNazanin" w:hAnsi="IRNazanin" w:eastAsia="IRNazanin" w:cs="IRNazanin"/>
            <w:color w:val="111111"/>
            <w:sz w:val="22"/>
            <w:szCs w:val="22"/>
            <w:b w:val="0"/>
            <w:bCs w:val="0"/>
            <w:i w:val="0"/>
            <w:iCs w:val="0"/>
          </w:rPr>
          <w:t>1240- دیوان جلالی خاوری أو شعره‏</w:t>
        </w:r>
        <w:r>
          <w:tab/>
        </w:r>
        <w:r>
          <w:fldChar w:fldCharType="begin"/>
        </w:r>
        <w:r>
          <w:instrText xml:space="preserve">PAGEREF 1533 \h</w:instrText>
        </w:r>
        <w:r>
          <w:fldChar w:fldCharType="end"/>
        </w:r>
      </w:hyperlink>
    </w:p>
    <w:p>
      <w:pPr>
        <w:tabs>
          <w:tab w:val="right" w:leader="dot" w:pos="9062"/>
        </w:tabs>
        <w:ind w:left="440"/>
      </w:pPr>
      <w:hyperlink w:anchor="_Toc1534" w:history="1">
        <w:r>
          <w:rPr>
            <w:rFonts w:ascii="IRNazanin" w:hAnsi="IRNazanin" w:eastAsia="IRNazanin" w:cs="IRNazanin"/>
            <w:color w:val="111111"/>
            <w:sz w:val="22"/>
            <w:szCs w:val="22"/>
            <w:b w:val="0"/>
            <w:bCs w:val="0"/>
            <w:i w:val="0"/>
            <w:iCs w:val="0"/>
          </w:rPr>
          <w:t>1241- دیوان جلالی خراسانی أو شعره‏</w:t>
        </w:r>
        <w:r>
          <w:tab/>
        </w:r>
        <w:r>
          <w:fldChar w:fldCharType="begin"/>
        </w:r>
        <w:r>
          <w:instrText xml:space="preserve">PAGEREF 1534 \h</w:instrText>
        </w:r>
        <w:r>
          <w:fldChar w:fldCharType="end"/>
        </w:r>
      </w:hyperlink>
    </w:p>
    <w:p>
      <w:pPr>
        <w:tabs>
          <w:tab w:val="right" w:leader="dot" w:pos="9062"/>
        </w:tabs>
        <w:ind w:left="440"/>
      </w:pPr>
      <w:hyperlink w:anchor="_Toc1535" w:history="1">
        <w:r>
          <w:rPr>
            <w:rFonts w:ascii="IRNazanin" w:hAnsi="IRNazanin" w:eastAsia="IRNazanin" w:cs="IRNazanin"/>
            <w:color w:val="111111"/>
            <w:sz w:val="22"/>
            <w:szCs w:val="22"/>
            <w:b w:val="0"/>
            <w:bCs w:val="0"/>
            <w:i w:val="0"/>
            <w:iCs w:val="0"/>
          </w:rPr>
          <w:t>1242- دیوان جلالی قزوینی أو شعره‏</w:t>
        </w:r>
        <w:r>
          <w:tab/>
        </w:r>
        <w:r>
          <w:fldChar w:fldCharType="begin"/>
        </w:r>
        <w:r>
          <w:instrText xml:space="preserve">PAGEREF 1535 \h</w:instrText>
        </w:r>
        <w:r>
          <w:fldChar w:fldCharType="end"/>
        </w:r>
      </w:hyperlink>
    </w:p>
    <w:p>
      <w:pPr>
        <w:tabs>
          <w:tab w:val="right" w:leader="dot" w:pos="9062"/>
        </w:tabs>
        <w:ind w:left="440"/>
      </w:pPr>
      <w:hyperlink w:anchor="_Toc1536" w:history="1">
        <w:r>
          <w:rPr>
            <w:rFonts w:ascii="IRNazanin" w:hAnsi="IRNazanin" w:eastAsia="IRNazanin" w:cs="IRNazanin"/>
            <w:color w:val="111111"/>
            <w:sz w:val="22"/>
            <w:szCs w:val="22"/>
            <w:b w:val="0"/>
            <w:bCs w:val="0"/>
            <w:i w:val="0"/>
            <w:iCs w:val="0"/>
          </w:rPr>
          <w:t>دیوان جلالی کاشانی أو شعره‏</w:t>
        </w:r>
        <w:r>
          <w:tab/>
        </w:r>
        <w:r>
          <w:fldChar w:fldCharType="begin"/>
        </w:r>
        <w:r>
          <w:instrText xml:space="preserve">PAGEREF 1536 \h</w:instrText>
        </w:r>
        <w:r>
          <w:fldChar w:fldCharType="end"/>
        </w:r>
      </w:hyperlink>
    </w:p>
    <w:p>
      <w:pPr>
        <w:tabs>
          <w:tab w:val="right" w:leader="dot" w:pos="9062"/>
        </w:tabs>
        <w:ind w:left="440"/>
      </w:pPr>
      <w:hyperlink w:anchor="_Toc1537" w:history="1">
        <w:r>
          <w:rPr>
            <w:rFonts w:ascii="IRNazanin" w:hAnsi="IRNazanin" w:eastAsia="IRNazanin" w:cs="IRNazanin"/>
            <w:color w:val="111111"/>
            <w:sz w:val="22"/>
            <w:szCs w:val="22"/>
            <w:b w:val="0"/>
            <w:bCs w:val="0"/>
            <w:i w:val="0"/>
            <w:iCs w:val="0"/>
          </w:rPr>
          <w:t>دیوان جلایر أزغدی خراسانی‏</w:t>
        </w:r>
        <w:r>
          <w:tab/>
        </w:r>
        <w:r>
          <w:fldChar w:fldCharType="begin"/>
        </w:r>
        <w:r>
          <w:instrText xml:space="preserve">PAGEREF 1537 \h</w:instrText>
        </w:r>
        <w:r>
          <w:fldChar w:fldCharType="end"/>
        </w:r>
      </w:hyperlink>
    </w:p>
    <w:p>
      <w:pPr>
        <w:tabs>
          <w:tab w:val="right" w:leader="dot" w:pos="9062"/>
        </w:tabs>
        <w:ind w:left="440"/>
      </w:pPr>
      <w:hyperlink w:anchor="_Toc1538" w:history="1">
        <w:r>
          <w:rPr>
            <w:rFonts w:ascii="IRNazanin" w:hAnsi="IRNazanin" w:eastAsia="IRNazanin" w:cs="IRNazanin"/>
            <w:color w:val="111111"/>
            <w:sz w:val="22"/>
            <w:szCs w:val="22"/>
            <w:b w:val="0"/>
            <w:bCs w:val="0"/>
            <w:i w:val="0"/>
            <w:iCs w:val="0"/>
          </w:rPr>
          <w:t>دیوان جلایر هروی‏</w:t>
        </w:r>
        <w:r>
          <w:tab/>
        </w:r>
        <w:r>
          <w:fldChar w:fldCharType="begin"/>
        </w:r>
        <w:r>
          <w:instrText xml:space="preserve">PAGEREF 1538 \h</w:instrText>
        </w:r>
        <w:r>
          <w:fldChar w:fldCharType="end"/>
        </w:r>
      </w:hyperlink>
    </w:p>
    <w:p>
      <w:pPr>
        <w:tabs>
          <w:tab w:val="right" w:leader="dot" w:pos="9062"/>
        </w:tabs>
        <w:ind w:left="440"/>
      </w:pPr>
      <w:hyperlink w:anchor="_Toc1539" w:history="1">
        <w:r>
          <w:rPr>
            <w:rFonts w:ascii="IRNazanin" w:hAnsi="IRNazanin" w:eastAsia="IRNazanin" w:cs="IRNazanin"/>
            <w:color w:val="111111"/>
            <w:sz w:val="22"/>
            <w:szCs w:val="22"/>
            <w:b w:val="0"/>
            <w:bCs w:val="0"/>
            <w:i w:val="0"/>
            <w:iCs w:val="0"/>
          </w:rPr>
          <w:t>1243- دیوان جلون‏آبادی أو شعره‏</w:t>
        </w:r>
        <w:r>
          <w:tab/>
        </w:r>
        <w:r>
          <w:fldChar w:fldCharType="begin"/>
        </w:r>
        <w:r>
          <w:instrText xml:space="preserve">PAGEREF 1539 \h</w:instrText>
        </w:r>
        <w:r>
          <w:fldChar w:fldCharType="end"/>
        </w:r>
      </w:hyperlink>
    </w:p>
    <w:p>
      <w:pPr>
        <w:tabs>
          <w:tab w:val="right" w:leader="dot" w:pos="9062"/>
        </w:tabs>
        <w:ind w:left="440"/>
      </w:pPr>
      <w:hyperlink w:anchor="_Toc1540" w:history="1">
        <w:r>
          <w:rPr>
            <w:rFonts w:ascii="IRNazanin" w:hAnsi="IRNazanin" w:eastAsia="IRNazanin" w:cs="IRNazanin"/>
            <w:color w:val="111111"/>
            <w:sz w:val="22"/>
            <w:szCs w:val="22"/>
            <w:b w:val="0"/>
            <w:bCs w:val="0"/>
            <w:i w:val="0"/>
            <w:iCs w:val="0"/>
          </w:rPr>
          <w:t>1244- دیوان جلوه أصفهانی‏</w:t>
        </w:r>
        <w:r>
          <w:tab/>
        </w:r>
        <w:r>
          <w:fldChar w:fldCharType="begin"/>
        </w:r>
        <w:r>
          <w:instrText xml:space="preserve">PAGEREF 1540 \h</w:instrText>
        </w:r>
        <w:r>
          <w:fldChar w:fldCharType="end"/>
        </w:r>
      </w:hyperlink>
    </w:p>
    <w:p>
      <w:pPr>
        <w:tabs>
          <w:tab w:val="right" w:leader="dot" w:pos="9062"/>
        </w:tabs>
        <w:ind w:left="440"/>
      </w:pPr>
      <w:hyperlink w:anchor="_Toc1541" w:history="1">
        <w:r>
          <w:rPr>
            <w:rFonts w:ascii="IRNazanin" w:hAnsi="IRNazanin" w:eastAsia="IRNazanin" w:cs="IRNazanin"/>
            <w:color w:val="111111"/>
            <w:sz w:val="22"/>
            <w:szCs w:val="22"/>
            <w:b w:val="0"/>
            <w:bCs w:val="0"/>
            <w:i w:val="0"/>
            <w:iCs w:val="0"/>
          </w:rPr>
          <w:t>1245- دیوان جلی‏</w:t>
        </w:r>
        <w:r>
          <w:tab/>
        </w:r>
        <w:r>
          <w:fldChar w:fldCharType="begin"/>
        </w:r>
        <w:r>
          <w:instrText xml:space="preserve">PAGEREF 1541 \h</w:instrText>
        </w:r>
        <w:r>
          <w:fldChar w:fldCharType="end"/>
        </w:r>
      </w:hyperlink>
    </w:p>
    <w:p>
      <w:pPr>
        <w:tabs>
          <w:tab w:val="right" w:leader="dot" w:pos="9062"/>
        </w:tabs>
        <w:ind w:left="440"/>
      </w:pPr>
      <w:hyperlink w:anchor="_Toc1542" w:history="1">
        <w:r>
          <w:rPr>
            <w:rFonts w:ascii="IRNazanin" w:hAnsi="IRNazanin" w:eastAsia="IRNazanin" w:cs="IRNazanin"/>
            <w:color w:val="111111"/>
            <w:sz w:val="22"/>
            <w:szCs w:val="22"/>
            <w:b w:val="0"/>
            <w:bCs w:val="0"/>
            <w:i w:val="0"/>
            <w:iCs w:val="0"/>
          </w:rPr>
          <w:t>1246- دیوان جم مشهدی أو شعره‏</w:t>
        </w:r>
        <w:r>
          <w:tab/>
        </w:r>
        <w:r>
          <w:fldChar w:fldCharType="begin"/>
        </w:r>
        <w:r>
          <w:instrText xml:space="preserve">PAGEREF 1542 \h</w:instrText>
        </w:r>
        <w:r>
          <w:fldChar w:fldCharType="end"/>
        </w:r>
      </w:hyperlink>
    </w:p>
    <w:p>
      <w:pPr>
        <w:tabs>
          <w:tab w:val="right" w:leader="dot" w:pos="9062"/>
        </w:tabs>
        <w:ind w:left="440"/>
      </w:pPr>
      <w:hyperlink w:anchor="_Toc1543" w:history="1">
        <w:r>
          <w:rPr>
            <w:rFonts w:ascii="IRNazanin" w:hAnsi="IRNazanin" w:eastAsia="IRNazanin" w:cs="IRNazanin"/>
            <w:color w:val="111111"/>
            <w:sz w:val="22"/>
            <w:szCs w:val="22"/>
            <w:b w:val="0"/>
            <w:bCs w:val="0"/>
            <w:i w:val="0"/>
            <w:iCs w:val="0"/>
          </w:rPr>
          <w:t>دیوان جمال أردستانی‏</w:t>
        </w:r>
        <w:r>
          <w:tab/>
        </w:r>
        <w:r>
          <w:fldChar w:fldCharType="begin"/>
        </w:r>
        <w:r>
          <w:instrText xml:space="preserve">PAGEREF 1543 \h</w:instrText>
        </w:r>
        <w:r>
          <w:fldChar w:fldCharType="end"/>
        </w:r>
      </w:hyperlink>
    </w:p>
    <w:p>
      <w:pPr>
        <w:tabs>
          <w:tab w:val="right" w:leader="dot" w:pos="9062"/>
        </w:tabs>
        <w:ind w:left="440"/>
      </w:pPr>
      <w:hyperlink w:anchor="_Toc1544" w:history="1">
        <w:r>
          <w:rPr>
            <w:rFonts w:ascii="IRNazanin" w:hAnsi="IRNazanin" w:eastAsia="IRNazanin" w:cs="IRNazanin"/>
            <w:color w:val="111111"/>
            <w:sz w:val="22"/>
            <w:szCs w:val="22"/>
            <w:b w:val="0"/>
            <w:bCs w:val="0"/>
            <w:i w:val="0"/>
            <w:iCs w:val="0"/>
          </w:rPr>
          <w:t>1247- دیوان جمال الدین أصفهانی‏</w:t>
        </w:r>
        <w:r>
          <w:tab/>
        </w:r>
        <w:r>
          <w:fldChar w:fldCharType="begin"/>
        </w:r>
        <w:r>
          <w:instrText xml:space="preserve">PAGEREF 1544 \h</w:instrText>
        </w:r>
        <w:r>
          <w:fldChar w:fldCharType="end"/>
        </w:r>
      </w:hyperlink>
    </w:p>
    <w:p>
      <w:pPr>
        <w:tabs>
          <w:tab w:val="right" w:leader="dot" w:pos="9062"/>
        </w:tabs>
        <w:ind w:left="440"/>
      </w:pPr>
      <w:hyperlink w:anchor="_Toc1545" w:history="1">
        <w:r>
          <w:rPr>
            <w:rFonts w:ascii="IRNazanin" w:hAnsi="IRNazanin" w:eastAsia="IRNazanin" w:cs="IRNazanin"/>
            <w:color w:val="111111"/>
            <w:sz w:val="22"/>
            <w:szCs w:val="22"/>
            <w:b w:val="0"/>
            <w:bCs w:val="0"/>
            <w:i w:val="0"/>
            <w:iCs w:val="0"/>
          </w:rPr>
          <w:t>دیوان جمال الدین أصفهانی‏</w:t>
        </w:r>
        <w:r>
          <w:tab/>
        </w:r>
        <w:r>
          <w:fldChar w:fldCharType="begin"/>
        </w:r>
        <w:r>
          <w:instrText xml:space="preserve">PAGEREF 1545 \h</w:instrText>
        </w:r>
        <w:r>
          <w:fldChar w:fldCharType="end"/>
        </w:r>
      </w:hyperlink>
    </w:p>
    <w:p>
      <w:pPr>
        <w:tabs>
          <w:tab w:val="right" w:leader="dot" w:pos="9062"/>
        </w:tabs>
        <w:ind w:left="440"/>
      </w:pPr>
      <w:hyperlink w:anchor="_Toc1546" w:history="1">
        <w:r>
          <w:rPr>
            <w:rFonts w:ascii="IRNazanin" w:hAnsi="IRNazanin" w:eastAsia="IRNazanin" w:cs="IRNazanin"/>
            <w:color w:val="111111"/>
            <w:sz w:val="22"/>
            <w:szCs w:val="22"/>
            <w:b w:val="0"/>
            <w:bCs w:val="0"/>
            <w:i w:val="0"/>
            <w:iCs w:val="0"/>
          </w:rPr>
          <w:t>1248- دیوان جمال الدین أمیر بیگ أو شعره‏</w:t>
        </w:r>
        <w:r>
          <w:tab/>
        </w:r>
        <w:r>
          <w:fldChar w:fldCharType="begin"/>
        </w:r>
        <w:r>
          <w:instrText xml:space="preserve">PAGEREF 1546 \h</w:instrText>
        </w:r>
        <w:r>
          <w:fldChar w:fldCharType="end"/>
        </w:r>
      </w:hyperlink>
    </w:p>
    <w:p>
      <w:pPr>
        <w:tabs>
          <w:tab w:val="right" w:leader="dot" w:pos="9062"/>
        </w:tabs>
        <w:ind w:left="440"/>
      </w:pPr>
      <w:hyperlink w:anchor="_Toc1547" w:history="1">
        <w:r>
          <w:rPr>
            <w:rFonts w:ascii="IRNazanin" w:hAnsi="IRNazanin" w:eastAsia="IRNazanin" w:cs="IRNazanin"/>
            <w:color w:val="111111"/>
            <w:sz w:val="22"/>
            <w:szCs w:val="22"/>
            <w:b w:val="0"/>
            <w:bCs w:val="0"/>
            <w:i w:val="0"/>
            <w:iCs w:val="0"/>
          </w:rPr>
          <w:t>1249- دیوان جمال الدین أمیر خسرو</w:t>
        </w:r>
        <w:r>
          <w:tab/>
        </w:r>
        <w:r>
          <w:fldChar w:fldCharType="begin"/>
        </w:r>
        <w:r>
          <w:instrText xml:space="preserve">PAGEREF 1547 \h</w:instrText>
        </w:r>
        <w:r>
          <w:fldChar w:fldCharType="end"/>
        </w:r>
      </w:hyperlink>
    </w:p>
    <w:p>
      <w:pPr>
        <w:tabs>
          <w:tab w:val="right" w:leader="dot" w:pos="9062"/>
        </w:tabs>
        <w:ind w:left="440"/>
      </w:pPr>
      <w:hyperlink w:anchor="_Toc1548" w:history="1">
        <w:r>
          <w:rPr>
            <w:rFonts w:ascii="IRNazanin" w:hAnsi="IRNazanin" w:eastAsia="IRNazanin" w:cs="IRNazanin"/>
            <w:color w:val="111111"/>
            <w:sz w:val="22"/>
            <w:szCs w:val="22"/>
            <w:b w:val="0"/>
            <w:bCs w:val="0"/>
            <w:i w:val="0"/>
            <w:iCs w:val="0"/>
          </w:rPr>
          <w:t>1250- دیوان جمال الدین بروجردی أو شعره‏</w:t>
        </w:r>
        <w:r>
          <w:tab/>
        </w:r>
        <w:r>
          <w:fldChar w:fldCharType="begin"/>
        </w:r>
        <w:r>
          <w:instrText xml:space="preserve">PAGEREF 1548 \h</w:instrText>
        </w:r>
        <w:r>
          <w:fldChar w:fldCharType="end"/>
        </w:r>
      </w:hyperlink>
    </w:p>
    <w:p>
      <w:pPr>
        <w:tabs>
          <w:tab w:val="right" w:leader="dot" w:pos="9062"/>
        </w:tabs>
        <w:ind w:left="440"/>
      </w:pPr>
      <w:hyperlink w:anchor="_Toc1549" w:history="1">
        <w:r>
          <w:rPr>
            <w:rFonts w:ascii="IRNazanin" w:hAnsi="IRNazanin" w:eastAsia="IRNazanin" w:cs="IRNazanin"/>
            <w:color w:val="111111"/>
            <w:sz w:val="22"/>
            <w:szCs w:val="22"/>
            <w:b w:val="0"/>
            <w:bCs w:val="0"/>
            <w:i w:val="0"/>
            <w:iCs w:val="0"/>
          </w:rPr>
          <w:t>1251- دیوان جمال الدین الحلی أو شعره‏</w:t>
        </w:r>
        <w:r>
          <w:tab/>
        </w:r>
        <w:r>
          <w:fldChar w:fldCharType="begin"/>
        </w:r>
        <w:r>
          <w:instrText xml:space="preserve">PAGEREF 1549 \h</w:instrText>
        </w:r>
        <w:r>
          <w:fldChar w:fldCharType="end"/>
        </w:r>
      </w:hyperlink>
    </w:p>
    <w:p>
      <w:pPr>
        <w:tabs>
          <w:tab w:val="right" w:leader="dot" w:pos="9062"/>
        </w:tabs>
        <w:ind w:left="440"/>
      </w:pPr>
      <w:hyperlink w:anchor="_Toc1550" w:history="1">
        <w:r>
          <w:rPr>
            <w:rFonts w:ascii="IRNazanin" w:hAnsi="IRNazanin" w:eastAsia="IRNazanin" w:cs="IRNazanin"/>
            <w:color w:val="111111"/>
            <w:sz w:val="22"/>
            <w:szCs w:val="22"/>
            <w:b w:val="0"/>
            <w:bCs w:val="0"/>
            <w:i w:val="0"/>
            <w:iCs w:val="0"/>
          </w:rPr>
          <w:t>1252- دیوان جمال الدین خلخالی أو شعره‏</w:t>
        </w:r>
        <w:r>
          <w:tab/>
        </w:r>
        <w:r>
          <w:fldChar w:fldCharType="begin"/>
        </w:r>
        <w:r>
          <w:instrText xml:space="preserve">PAGEREF 1550 \h</w:instrText>
        </w:r>
        <w:r>
          <w:fldChar w:fldCharType="end"/>
        </w:r>
      </w:hyperlink>
    </w:p>
    <w:p>
      <w:pPr>
        <w:tabs>
          <w:tab w:val="right" w:leader="dot" w:pos="9062"/>
        </w:tabs>
        <w:ind w:left="440"/>
      </w:pPr>
      <w:hyperlink w:anchor="_Toc1551" w:history="1">
        <w:r>
          <w:rPr>
            <w:rFonts w:ascii="IRNazanin" w:hAnsi="IRNazanin" w:eastAsia="IRNazanin" w:cs="IRNazanin"/>
            <w:color w:val="111111"/>
            <w:sz w:val="22"/>
            <w:szCs w:val="22"/>
            <w:b w:val="0"/>
            <w:bCs w:val="0"/>
            <w:i w:val="0"/>
            <w:iCs w:val="0"/>
          </w:rPr>
          <w:t>1253- دیوان جمال الدین رستق أو شعره‏</w:t>
        </w:r>
        <w:r>
          <w:tab/>
        </w:r>
        <w:r>
          <w:fldChar w:fldCharType="begin"/>
        </w:r>
        <w:r>
          <w:instrText xml:space="preserve">PAGEREF 1551 \h</w:instrText>
        </w:r>
        <w:r>
          <w:fldChar w:fldCharType="end"/>
        </w:r>
      </w:hyperlink>
    </w:p>
    <w:p>
      <w:pPr>
        <w:tabs>
          <w:tab w:val="right" w:leader="dot" w:pos="9062"/>
        </w:tabs>
        <w:ind w:left="440"/>
      </w:pPr>
      <w:hyperlink w:anchor="_Toc1552" w:history="1">
        <w:r>
          <w:rPr>
            <w:rFonts w:ascii="IRNazanin" w:hAnsi="IRNazanin" w:eastAsia="IRNazanin" w:cs="IRNazanin"/>
            <w:color w:val="111111"/>
            <w:sz w:val="22"/>
            <w:szCs w:val="22"/>
            <w:b w:val="0"/>
            <w:bCs w:val="0"/>
            <w:i w:val="0"/>
            <w:iCs w:val="0"/>
          </w:rPr>
          <w:t>1254- دیوان جمال الدین کاشانی أو شعره‏</w:t>
        </w:r>
        <w:r>
          <w:tab/>
        </w:r>
        <w:r>
          <w:fldChar w:fldCharType="begin"/>
        </w:r>
        <w:r>
          <w:instrText xml:space="preserve">PAGEREF 1552 \h</w:instrText>
        </w:r>
        <w:r>
          <w:fldChar w:fldCharType="end"/>
        </w:r>
      </w:hyperlink>
    </w:p>
    <w:p>
      <w:pPr>
        <w:tabs>
          <w:tab w:val="right" w:leader="dot" w:pos="9062"/>
        </w:tabs>
        <w:ind w:left="440"/>
      </w:pPr>
      <w:hyperlink w:anchor="_Toc1553" w:history="1">
        <w:r>
          <w:rPr>
            <w:rFonts w:ascii="IRNazanin" w:hAnsi="IRNazanin" w:eastAsia="IRNazanin" w:cs="IRNazanin"/>
            <w:color w:val="111111"/>
            <w:sz w:val="22"/>
            <w:szCs w:val="22"/>
            <w:b w:val="0"/>
            <w:bCs w:val="0"/>
            <w:i w:val="0"/>
            <w:iCs w:val="0"/>
          </w:rPr>
          <w:t>1255- دیوان جمال الدین گیلانی أو شعره‏</w:t>
        </w:r>
        <w:r>
          <w:tab/>
        </w:r>
        <w:r>
          <w:fldChar w:fldCharType="begin"/>
        </w:r>
        <w:r>
          <w:instrText xml:space="preserve">PAGEREF 1553 \h</w:instrText>
        </w:r>
        <w:r>
          <w:fldChar w:fldCharType="end"/>
        </w:r>
      </w:hyperlink>
    </w:p>
    <w:p>
      <w:pPr>
        <w:tabs>
          <w:tab w:val="right" w:leader="dot" w:pos="9062"/>
        </w:tabs>
        <w:ind w:left="440"/>
      </w:pPr>
      <w:hyperlink w:anchor="_Toc1554" w:history="1">
        <w:r>
          <w:rPr>
            <w:rFonts w:ascii="IRNazanin" w:hAnsi="IRNazanin" w:eastAsia="IRNazanin" w:cs="IRNazanin"/>
            <w:color w:val="111111"/>
            <w:sz w:val="22"/>
            <w:szCs w:val="22"/>
            <w:b w:val="0"/>
            <w:bCs w:val="0"/>
            <w:i w:val="0"/>
            <w:iCs w:val="0"/>
          </w:rPr>
          <w:t>1256- دیوان جمال الدین النجفی أو شعره‏</w:t>
        </w:r>
        <w:r>
          <w:tab/>
        </w:r>
        <w:r>
          <w:fldChar w:fldCharType="begin"/>
        </w:r>
        <w:r>
          <w:instrText xml:space="preserve">PAGEREF 1554 \h</w:instrText>
        </w:r>
        <w:r>
          <w:fldChar w:fldCharType="end"/>
        </w:r>
      </w:hyperlink>
    </w:p>
    <w:p>
      <w:pPr>
        <w:tabs>
          <w:tab w:val="right" w:leader="dot" w:pos="9062"/>
        </w:tabs>
        <w:ind w:left="440"/>
      </w:pPr>
      <w:hyperlink w:anchor="_Toc1555" w:history="1">
        <w:r>
          <w:rPr>
            <w:rFonts w:ascii="IRNazanin" w:hAnsi="IRNazanin" w:eastAsia="IRNazanin" w:cs="IRNazanin"/>
            <w:color w:val="111111"/>
            <w:sz w:val="22"/>
            <w:szCs w:val="22"/>
            <w:b w:val="0"/>
            <w:bCs w:val="0"/>
            <w:i w:val="0"/>
            <w:iCs w:val="0"/>
          </w:rPr>
          <w:t>دیوان جمال مشهدی‏</w:t>
        </w:r>
        <w:r>
          <w:tab/>
        </w:r>
        <w:r>
          <w:fldChar w:fldCharType="begin"/>
        </w:r>
        <w:r>
          <w:instrText xml:space="preserve">PAGEREF 1555 \h</w:instrText>
        </w:r>
        <w:r>
          <w:fldChar w:fldCharType="end"/>
        </w:r>
      </w:hyperlink>
    </w:p>
    <w:p>
      <w:pPr>
        <w:tabs>
          <w:tab w:val="right" w:leader="dot" w:pos="9062"/>
        </w:tabs>
        <w:ind w:left="440"/>
      </w:pPr>
      <w:hyperlink w:anchor="_Toc1556" w:history="1">
        <w:r>
          <w:rPr>
            <w:rFonts w:ascii="IRNazanin" w:hAnsi="IRNazanin" w:eastAsia="IRNazanin" w:cs="IRNazanin"/>
            <w:color w:val="111111"/>
            <w:sz w:val="22"/>
            <w:szCs w:val="22"/>
            <w:b w:val="0"/>
            <w:bCs w:val="0"/>
            <w:i w:val="0"/>
            <w:iCs w:val="0"/>
          </w:rPr>
          <w:t>1257- دیوان جمال منشی أو شعره‏</w:t>
        </w:r>
        <w:r>
          <w:tab/>
        </w:r>
        <w:r>
          <w:fldChar w:fldCharType="begin"/>
        </w:r>
        <w:r>
          <w:instrText xml:space="preserve">PAGEREF 1556 \h</w:instrText>
        </w:r>
        <w:r>
          <w:fldChar w:fldCharType="end"/>
        </w:r>
      </w:hyperlink>
    </w:p>
    <w:p>
      <w:pPr>
        <w:tabs>
          <w:tab w:val="right" w:leader="dot" w:pos="9062"/>
        </w:tabs>
        <w:ind w:left="440"/>
      </w:pPr>
      <w:hyperlink w:anchor="_Toc1557" w:history="1">
        <w:r>
          <w:rPr>
            <w:rFonts w:ascii="IRNazanin" w:hAnsi="IRNazanin" w:eastAsia="IRNazanin" w:cs="IRNazanin"/>
            <w:color w:val="111111"/>
            <w:sz w:val="22"/>
            <w:szCs w:val="22"/>
            <w:b w:val="0"/>
            <w:bCs w:val="0"/>
            <w:i w:val="0"/>
            <w:iCs w:val="0"/>
          </w:rPr>
          <w:t>دیوان جمال نقاش أصفهانی أو شعره‏</w:t>
        </w:r>
        <w:r>
          <w:tab/>
        </w:r>
        <w:r>
          <w:fldChar w:fldCharType="begin"/>
        </w:r>
        <w:r>
          <w:instrText xml:space="preserve">PAGEREF 1557 \h</w:instrText>
        </w:r>
        <w:r>
          <w:fldChar w:fldCharType="end"/>
        </w:r>
      </w:hyperlink>
    </w:p>
    <w:p>
      <w:pPr>
        <w:tabs>
          <w:tab w:val="right" w:leader="dot" w:pos="9062"/>
        </w:tabs>
        <w:ind w:left="440"/>
      </w:pPr>
      <w:hyperlink w:anchor="_Toc1558" w:history="1">
        <w:r>
          <w:rPr>
            <w:rFonts w:ascii="IRNazanin" w:hAnsi="IRNazanin" w:eastAsia="IRNazanin" w:cs="IRNazanin"/>
            <w:color w:val="111111"/>
            <w:sz w:val="22"/>
            <w:szCs w:val="22"/>
            <w:b w:val="0"/>
            <w:bCs w:val="0"/>
            <w:i w:val="0"/>
            <w:iCs w:val="0"/>
          </w:rPr>
          <w:t>دیوان جمال هروی‏</w:t>
        </w:r>
        <w:r>
          <w:tab/>
        </w:r>
        <w:r>
          <w:fldChar w:fldCharType="begin"/>
        </w:r>
        <w:r>
          <w:instrText xml:space="preserve">PAGEREF 1558 \h</w:instrText>
        </w:r>
        <w:r>
          <w:fldChar w:fldCharType="end"/>
        </w:r>
      </w:hyperlink>
    </w:p>
    <w:p>
      <w:pPr>
        <w:tabs>
          <w:tab w:val="right" w:leader="dot" w:pos="9062"/>
        </w:tabs>
        <w:ind w:left="440"/>
      </w:pPr>
      <w:hyperlink w:anchor="_Toc1559" w:history="1">
        <w:r>
          <w:rPr>
            <w:rFonts w:ascii="IRNazanin" w:hAnsi="IRNazanin" w:eastAsia="IRNazanin" w:cs="IRNazanin"/>
            <w:color w:val="111111"/>
            <w:sz w:val="22"/>
            <w:szCs w:val="22"/>
            <w:b w:val="0"/>
            <w:bCs w:val="0"/>
            <w:i w:val="0"/>
            <w:iCs w:val="0"/>
          </w:rPr>
          <w:t>دیوان جمال همدانی‏</w:t>
        </w:r>
        <w:r>
          <w:tab/>
        </w:r>
        <w:r>
          <w:fldChar w:fldCharType="begin"/>
        </w:r>
        <w:r>
          <w:instrText xml:space="preserve">PAGEREF 1559 \h</w:instrText>
        </w:r>
        <w:r>
          <w:fldChar w:fldCharType="end"/>
        </w:r>
      </w:hyperlink>
    </w:p>
    <w:p>
      <w:pPr>
        <w:tabs>
          <w:tab w:val="right" w:leader="dot" w:pos="9062"/>
        </w:tabs>
        <w:ind w:left="440"/>
      </w:pPr>
      <w:hyperlink w:anchor="_Toc1560" w:history="1">
        <w:r>
          <w:rPr>
            <w:rFonts w:ascii="IRNazanin" w:hAnsi="IRNazanin" w:eastAsia="IRNazanin" w:cs="IRNazanin"/>
            <w:color w:val="111111"/>
            <w:sz w:val="22"/>
            <w:szCs w:val="22"/>
            <w:b w:val="0"/>
            <w:bCs w:val="0"/>
            <w:i w:val="0"/>
            <w:iCs w:val="0"/>
          </w:rPr>
          <w:t>دیوان جمالی أردستانی‏</w:t>
        </w:r>
        <w:r>
          <w:tab/>
        </w:r>
        <w:r>
          <w:fldChar w:fldCharType="begin"/>
        </w:r>
        <w:r>
          <w:instrText xml:space="preserve">PAGEREF 1560 \h</w:instrText>
        </w:r>
        <w:r>
          <w:fldChar w:fldCharType="end"/>
        </w:r>
      </w:hyperlink>
    </w:p>
    <w:p>
      <w:pPr>
        <w:tabs>
          <w:tab w:val="right" w:leader="dot" w:pos="9062"/>
        </w:tabs>
        <w:ind w:left="440"/>
      </w:pPr>
      <w:hyperlink w:anchor="_Toc1561" w:history="1">
        <w:r>
          <w:rPr>
            <w:rFonts w:ascii="IRNazanin" w:hAnsi="IRNazanin" w:eastAsia="IRNazanin" w:cs="IRNazanin"/>
            <w:color w:val="111111"/>
            <w:sz w:val="22"/>
            <w:szCs w:val="22"/>
            <w:b w:val="0"/>
            <w:bCs w:val="0"/>
            <w:i w:val="0"/>
            <w:iCs w:val="0"/>
          </w:rPr>
          <w:t>1258- دیوان جمالی تبریزی‏</w:t>
        </w:r>
        <w:r>
          <w:tab/>
        </w:r>
        <w:r>
          <w:fldChar w:fldCharType="begin"/>
        </w:r>
        <w:r>
          <w:instrText xml:space="preserve">PAGEREF 1561 \h</w:instrText>
        </w:r>
        <w:r>
          <w:fldChar w:fldCharType="end"/>
        </w:r>
      </w:hyperlink>
    </w:p>
    <w:p>
      <w:pPr>
        <w:tabs>
          <w:tab w:val="right" w:leader="dot" w:pos="9062"/>
        </w:tabs>
        <w:ind w:left="440"/>
      </w:pPr>
      <w:hyperlink w:anchor="_Toc1562" w:history="1">
        <w:r>
          <w:rPr>
            <w:rFonts w:ascii="IRNazanin" w:hAnsi="IRNazanin" w:eastAsia="IRNazanin" w:cs="IRNazanin"/>
            <w:color w:val="111111"/>
            <w:sz w:val="22"/>
            <w:szCs w:val="22"/>
            <w:b w:val="0"/>
            <w:bCs w:val="0"/>
            <w:i w:val="0"/>
            <w:iCs w:val="0"/>
          </w:rPr>
          <w:t>1259- دیوان جمالی تبریزی أو شعرها</w:t>
        </w:r>
        <w:r>
          <w:tab/>
        </w:r>
        <w:r>
          <w:fldChar w:fldCharType="begin"/>
        </w:r>
        <w:r>
          <w:instrText xml:space="preserve">PAGEREF 1562 \h</w:instrText>
        </w:r>
        <w:r>
          <w:fldChar w:fldCharType="end"/>
        </w:r>
      </w:hyperlink>
    </w:p>
    <w:p>
      <w:pPr>
        <w:tabs>
          <w:tab w:val="right" w:leader="dot" w:pos="9062"/>
        </w:tabs>
        <w:ind w:left="440"/>
      </w:pPr>
      <w:hyperlink w:anchor="_Toc1563" w:history="1">
        <w:r>
          <w:rPr>
            <w:rFonts w:ascii="IRNazanin" w:hAnsi="IRNazanin" w:eastAsia="IRNazanin" w:cs="IRNazanin"/>
            <w:color w:val="111111"/>
            <w:sz w:val="22"/>
            <w:szCs w:val="22"/>
            <w:b w:val="0"/>
            <w:bCs w:val="0"/>
            <w:i w:val="0"/>
            <w:iCs w:val="0"/>
          </w:rPr>
          <w:t>1260- دیوان جمالی دهلوی‏</w:t>
        </w:r>
        <w:r>
          <w:tab/>
        </w:r>
        <w:r>
          <w:fldChar w:fldCharType="begin"/>
        </w:r>
        <w:r>
          <w:instrText xml:space="preserve">PAGEREF 1563 \h</w:instrText>
        </w:r>
        <w:r>
          <w:fldChar w:fldCharType="end"/>
        </w:r>
      </w:hyperlink>
    </w:p>
    <w:p>
      <w:pPr>
        <w:tabs>
          <w:tab w:val="right" w:leader="dot" w:pos="9062"/>
        </w:tabs>
        <w:ind w:left="440"/>
      </w:pPr>
      <w:hyperlink w:anchor="_Toc1564" w:history="1">
        <w:r>
          <w:rPr>
            <w:rFonts w:ascii="IRNazanin" w:hAnsi="IRNazanin" w:eastAsia="IRNazanin" w:cs="IRNazanin"/>
            <w:color w:val="111111"/>
            <w:sz w:val="22"/>
            <w:szCs w:val="22"/>
            <w:b w:val="0"/>
            <w:bCs w:val="0"/>
            <w:i w:val="0"/>
            <w:iCs w:val="0"/>
          </w:rPr>
          <w:t>1261- دیوان جمالی کاشانی أو شعره‏</w:t>
        </w:r>
        <w:r>
          <w:tab/>
        </w:r>
        <w:r>
          <w:fldChar w:fldCharType="begin"/>
        </w:r>
        <w:r>
          <w:instrText xml:space="preserve">PAGEREF 1564 \h</w:instrText>
        </w:r>
        <w:r>
          <w:fldChar w:fldCharType="end"/>
        </w:r>
      </w:hyperlink>
    </w:p>
    <w:p>
      <w:pPr>
        <w:tabs>
          <w:tab w:val="right" w:leader="dot" w:pos="9062"/>
        </w:tabs>
        <w:ind w:left="440"/>
      </w:pPr>
      <w:hyperlink w:anchor="_Toc1565" w:history="1">
        <w:r>
          <w:rPr>
            <w:rFonts w:ascii="IRNazanin" w:hAnsi="IRNazanin" w:eastAsia="IRNazanin" w:cs="IRNazanin"/>
            <w:color w:val="111111"/>
            <w:sz w:val="22"/>
            <w:szCs w:val="22"/>
            <w:b w:val="0"/>
            <w:bCs w:val="0"/>
            <w:i w:val="0"/>
            <w:iCs w:val="0"/>
          </w:rPr>
          <w:t>1262- دیوان جمالی کاشانی أو شعره‏</w:t>
        </w:r>
        <w:r>
          <w:tab/>
        </w:r>
        <w:r>
          <w:fldChar w:fldCharType="begin"/>
        </w:r>
        <w:r>
          <w:instrText xml:space="preserve">PAGEREF 1565 \h</w:instrText>
        </w:r>
        <w:r>
          <w:fldChar w:fldCharType="end"/>
        </w:r>
      </w:hyperlink>
    </w:p>
    <w:p>
      <w:pPr>
        <w:tabs>
          <w:tab w:val="right" w:leader="dot" w:pos="9062"/>
        </w:tabs>
        <w:ind w:left="440"/>
      </w:pPr>
      <w:hyperlink w:anchor="_Toc1566" w:history="1">
        <w:r>
          <w:rPr>
            <w:rFonts w:ascii="IRNazanin" w:hAnsi="IRNazanin" w:eastAsia="IRNazanin" w:cs="IRNazanin"/>
            <w:color w:val="111111"/>
            <w:sz w:val="22"/>
            <w:szCs w:val="22"/>
            <w:b w:val="0"/>
            <w:bCs w:val="0"/>
            <w:i w:val="0"/>
            <w:iCs w:val="0"/>
          </w:rPr>
          <w:t>1263- دیوان جمشید بیک دیلمی أو شعره‏</w:t>
        </w:r>
        <w:r>
          <w:tab/>
        </w:r>
        <w:r>
          <w:fldChar w:fldCharType="begin"/>
        </w:r>
        <w:r>
          <w:instrText xml:space="preserve">PAGEREF 1566 \h</w:instrText>
        </w:r>
        <w:r>
          <w:fldChar w:fldCharType="end"/>
        </w:r>
      </w:hyperlink>
    </w:p>
    <w:p>
      <w:pPr>
        <w:tabs>
          <w:tab w:val="right" w:leader="dot" w:pos="9062"/>
        </w:tabs>
        <w:ind w:left="440"/>
      </w:pPr>
      <w:hyperlink w:anchor="_Toc1567" w:history="1">
        <w:r>
          <w:rPr>
            <w:rFonts w:ascii="IRNazanin" w:hAnsi="IRNazanin" w:eastAsia="IRNazanin" w:cs="IRNazanin"/>
            <w:color w:val="111111"/>
            <w:sz w:val="22"/>
            <w:szCs w:val="22"/>
            <w:b w:val="0"/>
            <w:bCs w:val="0"/>
            <w:i w:val="0"/>
            <w:iCs w:val="0"/>
          </w:rPr>
          <w:t>1264- دیوان جمشید معمایی أو شعره‏</w:t>
        </w:r>
        <w:r>
          <w:tab/>
        </w:r>
        <w:r>
          <w:fldChar w:fldCharType="begin"/>
        </w:r>
        <w:r>
          <w:instrText xml:space="preserve">PAGEREF 1567 \h</w:instrText>
        </w:r>
        <w:r>
          <w:fldChar w:fldCharType="end"/>
        </w:r>
      </w:hyperlink>
    </w:p>
    <w:p>
      <w:pPr>
        <w:tabs>
          <w:tab w:val="right" w:leader="dot" w:pos="9062"/>
        </w:tabs>
        <w:ind w:left="440"/>
      </w:pPr>
      <w:hyperlink w:anchor="_Toc1568" w:history="1">
        <w:r>
          <w:rPr>
            <w:rFonts w:ascii="IRNazanin" w:hAnsi="IRNazanin" w:eastAsia="IRNazanin" w:cs="IRNazanin"/>
            <w:color w:val="111111"/>
            <w:sz w:val="22"/>
            <w:szCs w:val="22"/>
            <w:b w:val="0"/>
            <w:bCs w:val="0"/>
            <w:i w:val="0"/>
            <w:iCs w:val="0"/>
          </w:rPr>
          <w:t>1265- دیوان جمشید منجم أو شعره‏</w:t>
        </w:r>
        <w:r>
          <w:tab/>
        </w:r>
        <w:r>
          <w:fldChar w:fldCharType="begin"/>
        </w:r>
        <w:r>
          <w:instrText xml:space="preserve">PAGEREF 1568 \h</w:instrText>
        </w:r>
        <w:r>
          <w:fldChar w:fldCharType="end"/>
        </w:r>
      </w:hyperlink>
    </w:p>
    <w:p>
      <w:pPr>
        <w:tabs>
          <w:tab w:val="right" w:leader="dot" w:pos="9062"/>
        </w:tabs>
        <w:ind w:left="440"/>
      </w:pPr>
      <w:hyperlink w:anchor="_Toc1569" w:history="1">
        <w:r>
          <w:rPr>
            <w:rFonts w:ascii="IRNazanin" w:hAnsi="IRNazanin" w:eastAsia="IRNazanin" w:cs="IRNazanin"/>
            <w:color w:val="111111"/>
            <w:sz w:val="22"/>
            <w:szCs w:val="22"/>
            <w:b w:val="0"/>
            <w:bCs w:val="0"/>
            <w:i w:val="0"/>
            <w:iCs w:val="0"/>
          </w:rPr>
          <w:t>1266- دیوان جمیل کالپی أو شعره‏</w:t>
        </w:r>
        <w:r>
          <w:tab/>
        </w:r>
        <w:r>
          <w:fldChar w:fldCharType="begin"/>
        </w:r>
        <w:r>
          <w:instrText xml:space="preserve">PAGEREF 1569 \h</w:instrText>
        </w:r>
        <w:r>
          <w:fldChar w:fldCharType="end"/>
        </w:r>
      </w:hyperlink>
    </w:p>
    <w:p>
      <w:pPr>
        <w:tabs>
          <w:tab w:val="right" w:leader="dot" w:pos="9062"/>
        </w:tabs>
        <w:ind w:left="440"/>
      </w:pPr>
      <w:hyperlink w:anchor="_Toc1570" w:history="1">
        <w:r>
          <w:rPr>
            <w:rFonts w:ascii="IRNazanin" w:hAnsi="IRNazanin" w:eastAsia="IRNazanin" w:cs="IRNazanin"/>
            <w:color w:val="111111"/>
            <w:sz w:val="22"/>
            <w:szCs w:val="22"/>
            <w:b w:val="0"/>
            <w:bCs w:val="0"/>
            <w:i w:val="0"/>
            <w:iCs w:val="0"/>
          </w:rPr>
          <w:t>1267- دیوان جمیلة الأصفهانیة أو شعرها</w:t>
        </w:r>
        <w:r>
          <w:tab/>
        </w:r>
        <w:r>
          <w:fldChar w:fldCharType="begin"/>
        </w:r>
        <w:r>
          <w:instrText xml:space="preserve">PAGEREF 1570 \h</w:instrText>
        </w:r>
        <w:r>
          <w:fldChar w:fldCharType="end"/>
        </w:r>
      </w:hyperlink>
    </w:p>
    <w:p>
      <w:pPr>
        <w:tabs>
          <w:tab w:val="right" w:leader="dot" w:pos="9062"/>
        </w:tabs>
        <w:ind w:left="440"/>
      </w:pPr>
      <w:hyperlink w:anchor="_Toc1571" w:history="1">
        <w:r>
          <w:rPr>
            <w:rFonts w:ascii="IRNazanin" w:hAnsi="IRNazanin" w:eastAsia="IRNazanin" w:cs="IRNazanin"/>
            <w:color w:val="111111"/>
            <w:sz w:val="22"/>
            <w:szCs w:val="22"/>
            <w:b w:val="0"/>
            <w:bCs w:val="0"/>
            <w:i w:val="0"/>
            <w:iCs w:val="0"/>
          </w:rPr>
          <w:t>1268- دیوان جناب أصفهانی أو شعره‏</w:t>
        </w:r>
        <w:r>
          <w:tab/>
        </w:r>
        <w:r>
          <w:fldChar w:fldCharType="begin"/>
        </w:r>
        <w:r>
          <w:instrText xml:space="preserve">PAGEREF 1571 \h</w:instrText>
        </w:r>
        <w:r>
          <w:fldChar w:fldCharType="end"/>
        </w:r>
      </w:hyperlink>
    </w:p>
    <w:p>
      <w:pPr>
        <w:tabs>
          <w:tab w:val="right" w:leader="dot" w:pos="9062"/>
        </w:tabs>
        <w:ind w:left="440"/>
      </w:pPr>
      <w:hyperlink w:anchor="_Toc1572" w:history="1">
        <w:r>
          <w:rPr>
            <w:rFonts w:ascii="IRNazanin" w:hAnsi="IRNazanin" w:eastAsia="IRNazanin" w:cs="IRNazanin"/>
            <w:color w:val="111111"/>
            <w:sz w:val="22"/>
            <w:szCs w:val="22"/>
            <w:b w:val="0"/>
            <w:bCs w:val="0"/>
            <w:i w:val="0"/>
            <w:iCs w:val="0"/>
          </w:rPr>
          <w:t>1269- دیوان جناب أصفهانی أو شعره‏</w:t>
        </w:r>
        <w:r>
          <w:tab/>
        </w:r>
        <w:r>
          <w:fldChar w:fldCharType="begin"/>
        </w:r>
        <w:r>
          <w:instrText xml:space="preserve">PAGEREF 1572 \h</w:instrText>
        </w:r>
        <w:r>
          <w:fldChar w:fldCharType="end"/>
        </w:r>
      </w:hyperlink>
    </w:p>
    <w:p>
      <w:pPr>
        <w:tabs>
          <w:tab w:val="right" w:leader="dot" w:pos="9062"/>
        </w:tabs>
        <w:ind w:left="440"/>
      </w:pPr>
      <w:hyperlink w:anchor="_Toc1573" w:history="1">
        <w:r>
          <w:rPr>
            <w:rFonts w:ascii="IRNazanin" w:hAnsi="IRNazanin" w:eastAsia="IRNazanin" w:cs="IRNazanin"/>
            <w:color w:val="111111"/>
            <w:sz w:val="22"/>
            <w:szCs w:val="22"/>
            <w:b w:val="0"/>
            <w:bCs w:val="0"/>
            <w:i w:val="0"/>
            <w:iCs w:val="0"/>
          </w:rPr>
          <w:t>دیوان جناب ساوجی‏</w:t>
        </w:r>
        <w:r>
          <w:tab/>
        </w:r>
        <w:r>
          <w:fldChar w:fldCharType="begin"/>
        </w:r>
        <w:r>
          <w:instrText xml:space="preserve">PAGEREF 1573 \h</w:instrText>
        </w:r>
        <w:r>
          <w:fldChar w:fldCharType="end"/>
        </w:r>
      </w:hyperlink>
    </w:p>
    <w:p>
      <w:pPr>
        <w:tabs>
          <w:tab w:val="right" w:leader="dot" w:pos="9062"/>
        </w:tabs>
        <w:ind w:left="440"/>
      </w:pPr>
      <w:hyperlink w:anchor="_Toc1574" w:history="1">
        <w:r>
          <w:rPr>
            <w:rFonts w:ascii="IRNazanin" w:hAnsi="IRNazanin" w:eastAsia="IRNazanin" w:cs="IRNazanin"/>
            <w:color w:val="111111"/>
            <w:sz w:val="22"/>
            <w:szCs w:val="22"/>
            <w:b w:val="0"/>
            <w:bCs w:val="0"/>
            <w:i w:val="0"/>
            <w:iCs w:val="0"/>
          </w:rPr>
          <w:t>دیوان جناب گرگانی‏</w:t>
        </w:r>
        <w:r>
          <w:tab/>
        </w:r>
        <w:r>
          <w:fldChar w:fldCharType="begin"/>
        </w:r>
        <w:r>
          <w:instrText xml:space="preserve">PAGEREF 1574 \h</w:instrText>
        </w:r>
        <w:r>
          <w:fldChar w:fldCharType="end"/>
        </w:r>
      </w:hyperlink>
    </w:p>
    <w:p>
      <w:pPr>
        <w:tabs>
          <w:tab w:val="right" w:leader="dot" w:pos="9062"/>
        </w:tabs>
        <w:ind w:left="440"/>
      </w:pPr>
      <w:hyperlink w:anchor="_Toc1575" w:history="1">
        <w:r>
          <w:rPr>
            <w:rFonts w:ascii="IRNazanin" w:hAnsi="IRNazanin" w:eastAsia="IRNazanin" w:cs="IRNazanin"/>
            <w:color w:val="111111"/>
            <w:sz w:val="22"/>
            <w:szCs w:val="22"/>
            <w:b w:val="0"/>
            <w:bCs w:val="0"/>
            <w:i w:val="0"/>
            <w:iCs w:val="0"/>
          </w:rPr>
          <w:t>1270- دیوان جناب نیشابوری أو شعره‏</w:t>
        </w:r>
        <w:r>
          <w:tab/>
        </w:r>
        <w:r>
          <w:fldChar w:fldCharType="begin"/>
        </w:r>
        <w:r>
          <w:instrText xml:space="preserve">PAGEREF 1575 \h</w:instrText>
        </w:r>
        <w:r>
          <w:fldChar w:fldCharType="end"/>
        </w:r>
      </w:hyperlink>
    </w:p>
    <w:p>
      <w:pPr>
        <w:tabs>
          <w:tab w:val="right" w:leader="dot" w:pos="9062"/>
        </w:tabs>
        <w:ind w:left="440"/>
      </w:pPr>
      <w:hyperlink w:anchor="_Toc1576" w:history="1">
        <w:r>
          <w:rPr>
            <w:rFonts w:ascii="IRNazanin" w:hAnsi="IRNazanin" w:eastAsia="IRNazanin" w:cs="IRNazanin"/>
            <w:color w:val="111111"/>
            <w:sz w:val="22"/>
            <w:szCs w:val="22"/>
            <w:b w:val="0"/>
            <w:bCs w:val="0"/>
            <w:i w:val="0"/>
            <w:iCs w:val="0"/>
          </w:rPr>
          <w:t>1271- دیوان جنتی أصفهانی‏</w:t>
        </w:r>
        <w:r>
          <w:tab/>
        </w:r>
        <w:r>
          <w:fldChar w:fldCharType="begin"/>
        </w:r>
        <w:r>
          <w:instrText xml:space="preserve">PAGEREF 1576 \h</w:instrText>
        </w:r>
        <w:r>
          <w:fldChar w:fldCharType="end"/>
        </w:r>
      </w:hyperlink>
    </w:p>
    <w:p>
      <w:pPr>
        <w:tabs>
          <w:tab w:val="right" w:leader="dot" w:pos="9062"/>
        </w:tabs>
        <w:ind w:left="440"/>
      </w:pPr>
      <w:hyperlink w:anchor="_Toc1577" w:history="1">
        <w:r>
          <w:rPr>
            <w:rFonts w:ascii="IRNazanin" w:hAnsi="IRNazanin" w:eastAsia="IRNazanin" w:cs="IRNazanin"/>
            <w:color w:val="111111"/>
            <w:sz w:val="22"/>
            <w:szCs w:val="22"/>
            <w:b w:val="0"/>
            <w:bCs w:val="0"/>
            <w:i w:val="0"/>
            <w:iCs w:val="0"/>
          </w:rPr>
          <w:t>1272- دیوان جنتی خراسانی أو شعره‏</w:t>
        </w:r>
        <w:r>
          <w:tab/>
        </w:r>
        <w:r>
          <w:fldChar w:fldCharType="begin"/>
        </w:r>
        <w:r>
          <w:instrText xml:space="preserve">PAGEREF 1577 \h</w:instrText>
        </w:r>
        <w:r>
          <w:fldChar w:fldCharType="end"/>
        </w:r>
      </w:hyperlink>
    </w:p>
    <w:p>
      <w:pPr>
        <w:tabs>
          <w:tab w:val="right" w:leader="dot" w:pos="9062"/>
        </w:tabs>
        <w:ind w:left="440"/>
      </w:pPr>
      <w:hyperlink w:anchor="_Toc1578" w:history="1">
        <w:r>
          <w:rPr>
            <w:rFonts w:ascii="IRNazanin" w:hAnsi="IRNazanin" w:eastAsia="IRNazanin" w:cs="IRNazanin"/>
            <w:color w:val="111111"/>
            <w:sz w:val="22"/>
            <w:szCs w:val="22"/>
            <w:b w:val="0"/>
            <w:bCs w:val="0"/>
            <w:i w:val="0"/>
            <w:iCs w:val="0"/>
          </w:rPr>
          <w:t>1273- دیوان جنون کشمیری أو شعره‏</w:t>
        </w:r>
        <w:r>
          <w:tab/>
        </w:r>
        <w:r>
          <w:fldChar w:fldCharType="begin"/>
        </w:r>
        <w:r>
          <w:instrText xml:space="preserve">PAGEREF 1578 \h</w:instrText>
        </w:r>
        <w:r>
          <w:fldChar w:fldCharType="end"/>
        </w:r>
      </w:hyperlink>
    </w:p>
    <w:p>
      <w:pPr>
        <w:tabs>
          <w:tab w:val="right" w:leader="dot" w:pos="9062"/>
        </w:tabs>
        <w:ind w:left="440"/>
      </w:pPr>
      <w:hyperlink w:anchor="_Toc1579" w:history="1">
        <w:r>
          <w:rPr>
            <w:rFonts w:ascii="IRNazanin" w:hAnsi="IRNazanin" w:eastAsia="IRNazanin" w:cs="IRNazanin"/>
            <w:color w:val="111111"/>
            <w:sz w:val="22"/>
            <w:szCs w:val="22"/>
            <w:b w:val="0"/>
            <w:bCs w:val="0"/>
            <w:i w:val="0"/>
            <w:iCs w:val="0"/>
          </w:rPr>
          <w:t>1274- دیوان جنون کشمیری أو شعره‏</w:t>
        </w:r>
        <w:r>
          <w:tab/>
        </w:r>
        <w:r>
          <w:fldChar w:fldCharType="begin"/>
        </w:r>
        <w:r>
          <w:instrText xml:space="preserve">PAGEREF 1579 \h</w:instrText>
        </w:r>
        <w:r>
          <w:fldChar w:fldCharType="end"/>
        </w:r>
      </w:hyperlink>
    </w:p>
    <w:p>
      <w:pPr>
        <w:tabs>
          <w:tab w:val="right" w:leader="dot" w:pos="9062"/>
        </w:tabs>
        <w:ind w:left="440"/>
      </w:pPr>
      <w:hyperlink w:anchor="_Toc1580" w:history="1">
        <w:r>
          <w:rPr>
            <w:rFonts w:ascii="IRNazanin" w:hAnsi="IRNazanin" w:eastAsia="IRNazanin" w:cs="IRNazanin"/>
            <w:color w:val="111111"/>
            <w:sz w:val="22"/>
            <w:szCs w:val="22"/>
            <w:b w:val="0"/>
            <w:bCs w:val="0"/>
            <w:i w:val="0"/>
            <w:iCs w:val="0"/>
          </w:rPr>
          <w:t>1275- دیوان جنونی أردبیلی‏</w:t>
        </w:r>
        <w:r>
          <w:tab/>
        </w:r>
        <w:r>
          <w:fldChar w:fldCharType="begin"/>
        </w:r>
        <w:r>
          <w:instrText xml:space="preserve">PAGEREF 1580 \h</w:instrText>
        </w:r>
        <w:r>
          <w:fldChar w:fldCharType="end"/>
        </w:r>
      </w:hyperlink>
    </w:p>
    <w:p>
      <w:pPr>
        <w:tabs>
          <w:tab w:val="right" w:leader="dot" w:pos="9062"/>
        </w:tabs>
        <w:ind w:left="440"/>
      </w:pPr>
      <w:hyperlink w:anchor="_Toc1581" w:history="1">
        <w:r>
          <w:rPr>
            <w:rFonts w:ascii="IRNazanin" w:hAnsi="IRNazanin" w:eastAsia="IRNazanin" w:cs="IRNazanin"/>
            <w:color w:val="111111"/>
            <w:sz w:val="22"/>
            <w:szCs w:val="22"/>
            <w:b w:val="0"/>
            <w:bCs w:val="0"/>
            <w:i w:val="0"/>
            <w:iCs w:val="0"/>
          </w:rPr>
          <w:t>دیوان جنونی بخاری‏</w:t>
        </w:r>
        <w:r>
          <w:tab/>
        </w:r>
        <w:r>
          <w:fldChar w:fldCharType="begin"/>
        </w:r>
        <w:r>
          <w:instrText xml:space="preserve">PAGEREF 1581 \h</w:instrText>
        </w:r>
        <w:r>
          <w:fldChar w:fldCharType="end"/>
        </w:r>
      </w:hyperlink>
    </w:p>
    <w:p>
      <w:pPr>
        <w:tabs>
          <w:tab w:val="right" w:leader="dot" w:pos="9062"/>
        </w:tabs>
        <w:ind w:left="440"/>
      </w:pPr>
      <w:hyperlink w:anchor="_Toc1582" w:history="1">
        <w:r>
          <w:rPr>
            <w:rFonts w:ascii="IRNazanin" w:hAnsi="IRNazanin" w:eastAsia="IRNazanin" w:cs="IRNazanin"/>
            <w:color w:val="111111"/>
            <w:sz w:val="22"/>
            <w:szCs w:val="22"/>
            <w:b w:val="0"/>
            <w:bCs w:val="0"/>
            <w:i w:val="0"/>
            <w:iCs w:val="0"/>
          </w:rPr>
          <w:t>1276- دیوان جنونی قندهاری أو شعره‏</w:t>
        </w:r>
        <w:r>
          <w:tab/>
        </w:r>
        <w:r>
          <w:fldChar w:fldCharType="begin"/>
        </w:r>
        <w:r>
          <w:instrText xml:space="preserve">PAGEREF 1582 \h</w:instrText>
        </w:r>
        <w:r>
          <w:fldChar w:fldCharType="end"/>
        </w:r>
      </w:hyperlink>
    </w:p>
    <w:p>
      <w:pPr>
        <w:tabs>
          <w:tab w:val="right" w:leader="dot" w:pos="9062"/>
        </w:tabs>
        <w:ind w:left="440"/>
      </w:pPr>
      <w:hyperlink w:anchor="_Toc1583" w:history="1">
        <w:r>
          <w:rPr>
            <w:rFonts w:ascii="IRNazanin" w:hAnsi="IRNazanin" w:eastAsia="IRNazanin" w:cs="IRNazanin"/>
            <w:color w:val="111111"/>
            <w:sz w:val="22"/>
            <w:szCs w:val="22"/>
            <w:b w:val="0"/>
            <w:bCs w:val="0"/>
            <w:i w:val="0"/>
            <w:iCs w:val="0"/>
          </w:rPr>
          <w:t>1277- دیوان جنونی هروی‏</w:t>
        </w:r>
        <w:r>
          <w:tab/>
        </w:r>
        <w:r>
          <w:fldChar w:fldCharType="begin"/>
        </w:r>
        <w:r>
          <w:instrText xml:space="preserve">PAGEREF 1583 \h</w:instrText>
        </w:r>
        <w:r>
          <w:fldChar w:fldCharType="end"/>
        </w:r>
      </w:hyperlink>
    </w:p>
    <w:p>
      <w:pPr>
        <w:tabs>
          <w:tab w:val="right" w:leader="dot" w:pos="9062"/>
        </w:tabs>
        <w:ind w:left="440"/>
      </w:pPr>
      <w:hyperlink w:anchor="_Toc1584" w:history="1">
        <w:r>
          <w:rPr>
            <w:rFonts w:ascii="IRNazanin" w:hAnsi="IRNazanin" w:eastAsia="IRNazanin" w:cs="IRNazanin"/>
            <w:color w:val="111111"/>
            <w:sz w:val="22"/>
            <w:szCs w:val="22"/>
            <w:b w:val="0"/>
            <w:bCs w:val="0"/>
            <w:i w:val="0"/>
            <w:iCs w:val="0"/>
          </w:rPr>
          <w:t>1278- دیوان جنونی همدانی أو شعره‏</w:t>
        </w:r>
        <w:r>
          <w:tab/>
        </w:r>
        <w:r>
          <w:fldChar w:fldCharType="begin"/>
        </w:r>
        <w:r>
          <w:instrText xml:space="preserve">PAGEREF 1584 \h</w:instrText>
        </w:r>
        <w:r>
          <w:fldChar w:fldCharType="end"/>
        </w:r>
      </w:hyperlink>
    </w:p>
    <w:p>
      <w:pPr>
        <w:tabs>
          <w:tab w:val="right" w:leader="dot" w:pos="9062"/>
        </w:tabs>
        <w:ind w:left="440"/>
      </w:pPr>
      <w:hyperlink w:anchor="_Toc1585" w:history="1">
        <w:r>
          <w:rPr>
            <w:rFonts w:ascii="IRNazanin" w:hAnsi="IRNazanin" w:eastAsia="IRNazanin" w:cs="IRNazanin"/>
            <w:color w:val="111111"/>
            <w:sz w:val="22"/>
            <w:szCs w:val="22"/>
            <w:b w:val="0"/>
            <w:bCs w:val="0"/>
            <w:i w:val="0"/>
            <w:iCs w:val="0"/>
          </w:rPr>
          <w:t>1279- دیوان جنی أصفهانی أو شعره‏</w:t>
        </w:r>
        <w:r>
          <w:tab/>
        </w:r>
        <w:r>
          <w:fldChar w:fldCharType="begin"/>
        </w:r>
        <w:r>
          <w:instrText xml:space="preserve">PAGEREF 1585 \h</w:instrText>
        </w:r>
        <w:r>
          <w:fldChar w:fldCharType="end"/>
        </w:r>
      </w:hyperlink>
    </w:p>
    <w:p>
      <w:pPr>
        <w:tabs>
          <w:tab w:val="right" w:leader="dot" w:pos="9062"/>
        </w:tabs>
        <w:ind w:left="440"/>
      </w:pPr>
      <w:hyperlink w:anchor="_Toc1586" w:history="1">
        <w:r>
          <w:rPr>
            <w:rFonts w:ascii="IRNazanin" w:hAnsi="IRNazanin" w:eastAsia="IRNazanin" w:cs="IRNazanin"/>
            <w:color w:val="111111"/>
            <w:sz w:val="22"/>
            <w:szCs w:val="22"/>
            <w:b w:val="0"/>
            <w:bCs w:val="0"/>
            <w:i w:val="0"/>
            <w:iCs w:val="0"/>
          </w:rPr>
          <w:t>1280- دیوان جنی قزوینی أو شعره‏</w:t>
        </w:r>
        <w:r>
          <w:tab/>
        </w:r>
        <w:r>
          <w:fldChar w:fldCharType="begin"/>
        </w:r>
        <w:r>
          <w:instrText xml:space="preserve">PAGEREF 1586 \h</w:instrText>
        </w:r>
        <w:r>
          <w:fldChar w:fldCharType="end"/>
        </w:r>
      </w:hyperlink>
    </w:p>
    <w:p>
      <w:pPr>
        <w:tabs>
          <w:tab w:val="right" w:leader="dot" w:pos="9062"/>
        </w:tabs>
        <w:ind w:left="440"/>
      </w:pPr>
      <w:hyperlink w:anchor="_Toc1587" w:history="1">
        <w:r>
          <w:rPr>
            <w:rFonts w:ascii="IRNazanin" w:hAnsi="IRNazanin" w:eastAsia="IRNazanin" w:cs="IRNazanin"/>
            <w:color w:val="111111"/>
            <w:sz w:val="22"/>
            <w:szCs w:val="22"/>
            <w:b w:val="0"/>
            <w:bCs w:val="0"/>
            <w:i w:val="0"/>
            <w:iCs w:val="0"/>
          </w:rPr>
          <w:t>1281- دیوان جنید شیرازی‏</w:t>
        </w:r>
        <w:r>
          <w:tab/>
        </w:r>
        <w:r>
          <w:fldChar w:fldCharType="begin"/>
        </w:r>
        <w:r>
          <w:instrText xml:space="preserve">PAGEREF 1587 \h</w:instrText>
        </w:r>
        <w:r>
          <w:fldChar w:fldCharType="end"/>
        </w:r>
      </w:hyperlink>
    </w:p>
    <w:p>
      <w:pPr>
        <w:tabs>
          <w:tab w:val="right" w:leader="dot" w:pos="9062"/>
        </w:tabs>
        <w:ind w:left="440"/>
      </w:pPr>
      <w:hyperlink w:anchor="_Toc1588" w:history="1">
        <w:r>
          <w:rPr>
            <w:rFonts w:ascii="IRNazanin" w:hAnsi="IRNazanin" w:eastAsia="IRNazanin" w:cs="IRNazanin"/>
            <w:color w:val="111111"/>
            <w:sz w:val="22"/>
            <w:szCs w:val="22"/>
            <w:b w:val="0"/>
            <w:bCs w:val="0"/>
            <w:i w:val="0"/>
            <w:iCs w:val="0"/>
          </w:rPr>
          <w:t>1282- دیوان محمد جواد البغدادی‏</w:t>
        </w:r>
        <w:r>
          <w:tab/>
        </w:r>
        <w:r>
          <w:fldChar w:fldCharType="begin"/>
        </w:r>
        <w:r>
          <w:instrText xml:space="preserve">PAGEREF 1588 \h</w:instrText>
        </w:r>
        <w:r>
          <w:fldChar w:fldCharType="end"/>
        </w:r>
      </w:hyperlink>
    </w:p>
    <w:p>
      <w:pPr>
        <w:tabs>
          <w:tab w:val="right" w:leader="dot" w:pos="9062"/>
        </w:tabs>
        <w:ind w:left="440"/>
      </w:pPr>
      <w:hyperlink w:anchor="_Toc1589" w:history="1">
        <w:r>
          <w:rPr>
            <w:rFonts w:ascii="IRNazanin" w:hAnsi="IRNazanin" w:eastAsia="IRNazanin" w:cs="IRNazanin"/>
            <w:color w:val="111111"/>
            <w:sz w:val="22"/>
            <w:szCs w:val="22"/>
            <w:b w:val="0"/>
            <w:bCs w:val="0"/>
            <w:i w:val="0"/>
            <w:iCs w:val="0"/>
          </w:rPr>
          <w:t>1283- دیوان الشیخ محمد الجواد الجزائری‏</w:t>
        </w:r>
        <w:r>
          <w:tab/>
        </w:r>
        <w:r>
          <w:fldChar w:fldCharType="begin"/>
        </w:r>
        <w:r>
          <w:instrText xml:space="preserve">PAGEREF 1589 \h</w:instrText>
        </w:r>
        <w:r>
          <w:fldChar w:fldCharType="end"/>
        </w:r>
      </w:hyperlink>
    </w:p>
    <w:p>
      <w:pPr>
        <w:tabs>
          <w:tab w:val="right" w:leader="dot" w:pos="9062"/>
        </w:tabs>
        <w:ind w:left="440"/>
      </w:pPr>
      <w:hyperlink w:anchor="_Toc1590" w:history="1">
        <w:r>
          <w:rPr>
            <w:rFonts w:ascii="IRNazanin" w:hAnsi="IRNazanin" w:eastAsia="IRNazanin" w:cs="IRNazanin"/>
            <w:color w:val="111111"/>
            <w:sz w:val="22"/>
            <w:szCs w:val="22"/>
            <w:b w:val="0"/>
            <w:bCs w:val="0"/>
            <w:i w:val="0"/>
            <w:iCs w:val="0"/>
          </w:rPr>
          <w:t>1284- دیوان السید جواد سیاه‏پوش‏</w:t>
        </w:r>
        <w:r>
          <w:tab/>
        </w:r>
        <w:r>
          <w:fldChar w:fldCharType="begin"/>
        </w:r>
        <w:r>
          <w:instrText xml:space="preserve">PAGEREF 1590 \h</w:instrText>
        </w:r>
        <w:r>
          <w:fldChar w:fldCharType="end"/>
        </w:r>
      </w:hyperlink>
    </w:p>
    <w:p>
      <w:pPr>
        <w:tabs>
          <w:tab w:val="right" w:leader="dot" w:pos="9062"/>
        </w:tabs>
        <w:ind w:left="440"/>
      </w:pPr>
      <w:hyperlink w:anchor="_Toc1591" w:history="1">
        <w:r>
          <w:rPr>
            <w:rFonts w:ascii="IRNazanin" w:hAnsi="IRNazanin" w:eastAsia="IRNazanin" w:cs="IRNazanin"/>
            <w:color w:val="111111"/>
            <w:sz w:val="22"/>
            <w:szCs w:val="22"/>
            <w:b w:val="0"/>
            <w:bCs w:val="0"/>
            <w:i w:val="0"/>
            <w:iCs w:val="0"/>
          </w:rPr>
          <w:t>1285- دیوان السید جواد اللاریجانی أو شعره‏</w:t>
        </w:r>
        <w:r>
          <w:tab/>
        </w:r>
        <w:r>
          <w:fldChar w:fldCharType="begin"/>
        </w:r>
        <w:r>
          <w:instrText xml:space="preserve">PAGEREF 1591 \h</w:instrText>
        </w:r>
        <w:r>
          <w:fldChar w:fldCharType="end"/>
        </w:r>
      </w:hyperlink>
    </w:p>
    <w:p>
      <w:pPr>
        <w:tabs>
          <w:tab w:val="right" w:leader="dot" w:pos="9062"/>
        </w:tabs>
        <w:ind w:left="440"/>
      </w:pPr>
      <w:hyperlink w:anchor="_Toc1592" w:history="1">
        <w:r>
          <w:rPr>
            <w:rFonts w:ascii="IRNazanin" w:hAnsi="IRNazanin" w:eastAsia="IRNazanin" w:cs="IRNazanin"/>
            <w:color w:val="111111"/>
            <w:sz w:val="22"/>
            <w:szCs w:val="22"/>
            <w:b w:val="0"/>
            <w:bCs w:val="0"/>
            <w:i w:val="0"/>
            <w:iCs w:val="0"/>
          </w:rPr>
          <w:t>دیوان الشیخ جواد المحولاتی‏</w:t>
        </w:r>
        <w:r>
          <w:tab/>
        </w:r>
        <w:r>
          <w:fldChar w:fldCharType="begin"/>
        </w:r>
        <w:r>
          <w:instrText xml:space="preserve">PAGEREF 1592 \h</w:instrText>
        </w:r>
        <w:r>
          <w:fldChar w:fldCharType="end"/>
        </w:r>
      </w:hyperlink>
    </w:p>
    <w:p>
      <w:pPr>
        <w:tabs>
          <w:tab w:val="right" w:leader="dot" w:pos="9062"/>
        </w:tabs>
        <w:ind w:left="440"/>
      </w:pPr>
      <w:hyperlink w:anchor="_Toc1593" w:history="1">
        <w:r>
          <w:rPr>
            <w:rFonts w:ascii="IRNazanin" w:hAnsi="IRNazanin" w:eastAsia="IRNazanin" w:cs="IRNazanin"/>
            <w:color w:val="111111"/>
            <w:sz w:val="22"/>
            <w:szCs w:val="22"/>
            <w:b w:val="0"/>
            <w:bCs w:val="0"/>
            <w:i w:val="0"/>
            <w:iCs w:val="0"/>
          </w:rPr>
          <w:t>1286- دیوان الشیخ جواد الهرملی أو شعره‏</w:t>
        </w:r>
        <w:r>
          <w:tab/>
        </w:r>
        <w:r>
          <w:fldChar w:fldCharType="begin"/>
        </w:r>
        <w:r>
          <w:instrText xml:space="preserve">PAGEREF 1593 \h</w:instrText>
        </w:r>
        <w:r>
          <w:fldChar w:fldCharType="end"/>
        </w:r>
      </w:hyperlink>
    </w:p>
    <w:p>
      <w:pPr>
        <w:tabs>
          <w:tab w:val="right" w:leader="dot" w:pos="9062"/>
        </w:tabs>
        <w:ind w:left="440"/>
      </w:pPr>
      <w:hyperlink w:anchor="_Toc1594" w:history="1">
        <w:r>
          <w:rPr>
            <w:rFonts w:ascii="IRNazanin" w:hAnsi="IRNazanin" w:eastAsia="IRNazanin" w:cs="IRNazanin"/>
            <w:color w:val="111111"/>
            <w:sz w:val="22"/>
            <w:szCs w:val="22"/>
            <w:b w:val="0"/>
            <w:bCs w:val="0"/>
            <w:i w:val="0"/>
            <w:iCs w:val="0"/>
          </w:rPr>
          <w:t>دیوان السید جواد الهندی‏</w:t>
        </w:r>
        <w:r>
          <w:tab/>
        </w:r>
        <w:r>
          <w:fldChar w:fldCharType="begin"/>
        </w:r>
        <w:r>
          <w:instrText xml:space="preserve">PAGEREF 1594 \h</w:instrText>
        </w:r>
        <w:r>
          <w:fldChar w:fldCharType="end"/>
        </w:r>
      </w:hyperlink>
    </w:p>
    <w:p>
      <w:pPr>
        <w:tabs>
          <w:tab w:val="right" w:leader="dot" w:pos="9062"/>
        </w:tabs>
        <w:ind w:left="440"/>
      </w:pPr>
      <w:hyperlink w:anchor="_Toc1595" w:history="1">
        <w:r>
          <w:rPr>
            <w:rFonts w:ascii="IRNazanin" w:hAnsi="IRNazanin" w:eastAsia="IRNazanin" w:cs="IRNazanin"/>
            <w:color w:val="111111"/>
            <w:sz w:val="22"/>
            <w:szCs w:val="22"/>
            <w:b w:val="0"/>
            <w:bCs w:val="0"/>
            <w:i w:val="0"/>
            <w:iCs w:val="0"/>
          </w:rPr>
          <w:t>دیوان جواهر رقم‏</w:t>
        </w:r>
        <w:r>
          <w:tab/>
        </w:r>
        <w:r>
          <w:fldChar w:fldCharType="begin"/>
        </w:r>
        <w:r>
          <w:instrText xml:space="preserve">PAGEREF 1595 \h</w:instrText>
        </w:r>
        <w:r>
          <w:fldChar w:fldCharType="end"/>
        </w:r>
      </w:hyperlink>
    </w:p>
    <w:p>
      <w:pPr>
        <w:tabs>
          <w:tab w:val="right" w:leader="dot" w:pos="9062"/>
        </w:tabs>
        <w:ind w:left="440"/>
      </w:pPr>
      <w:hyperlink w:anchor="_Toc1596" w:history="1">
        <w:r>
          <w:rPr>
            <w:rFonts w:ascii="IRNazanin" w:hAnsi="IRNazanin" w:eastAsia="IRNazanin" w:cs="IRNazanin"/>
            <w:color w:val="111111"/>
            <w:sz w:val="22"/>
            <w:szCs w:val="22"/>
            <w:b w:val="0"/>
            <w:bCs w:val="0"/>
            <w:i w:val="0"/>
            <w:iCs w:val="0"/>
          </w:rPr>
          <w:t>دیوان جواهر الأسرار</w:t>
        </w:r>
        <w:r>
          <w:tab/>
        </w:r>
        <w:r>
          <w:fldChar w:fldCharType="begin"/>
        </w:r>
        <w:r>
          <w:instrText xml:space="preserve">PAGEREF 1596 \h</w:instrText>
        </w:r>
        <w:r>
          <w:fldChar w:fldCharType="end"/>
        </w:r>
      </w:hyperlink>
    </w:p>
    <w:p>
      <w:pPr>
        <w:tabs>
          <w:tab w:val="right" w:leader="dot" w:pos="9062"/>
        </w:tabs>
        <w:ind w:left="440"/>
      </w:pPr>
      <w:hyperlink w:anchor="_Toc1597" w:history="1">
        <w:r>
          <w:rPr>
            <w:rFonts w:ascii="IRNazanin" w:hAnsi="IRNazanin" w:eastAsia="IRNazanin" w:cs="IRNazanin"/>
            <w:color w:val="111111"/>
            <w:sz w:val="22"/>
            <w:szCs w:val="22"/>
            <w:b w:val="0"/>
            <w:bCs w:val="0"/>
            <w:i w:val="0"/>
            <w:iCs w:val="0"/>
          </w:rPr>
          <w:t>1287- دیوان الجواهری‏</w:t>
        </w:r>
        <w:r>
          <w:tab/>
        </w:r>
        <w:r>
          <w:fldChar w:fldCharType="begin"/>
        </w:r>
        <w:r>
          <w:instrText xml:space="preserve">PAGEREF 1597 \h</w:instrText>
        </w:r>
        <w:r>
          <w:fldChar w:fldCharType="end"/>
        </w:r>
      </w:hyperlink>
    </w:p>
    <w:p>
      <w:pPr>
        <w:tabs>
          <w:tab w:val="right" w:leader="dot" w:pos="9062"/>
        </w:tabs>
        <w:ind w:left="440"/>
      </w:pPr>
      <w:hyperlink w:anchor="_Toc1598" w:history="1">
        <w:r>
          <w:rPr>
            <w:rFonts w:ascii="IRNazanin" w:hAnsi="IRNazanin" w:eastAsia="IRNazanin" w:cs="IRNazanin"/>
            <w:color w:val="111111"/>
            <w:sz w:val="22"/>
            <w:szCs w:val="22"/>
            <w:b w:val="0"/>
            <w:bCs w:val="0"/>
            <w:i w:val="0"/>
            <w:iCs w:val="0"/>
          </w:rPr>
          <w:t>دیوان الجویباری أو شعره‏</w:t>
        </w:r>
        <w:r>
          <w:tab/>
        </w:r>
        <w:r>
          <w:fldChar w:fldCharType="begin"/>
        </w:r>
        <w:r>
          <w:instrText xml:space="preserve">PAGEREF 1598 \h</w:instrText>
        </w:r>
        <w:r>
          <w:fldChar w:fldCharType="end"/>
        </w:r>
      </w:hyperlink>
    </w:p>
    <w:p>
      <w:pPr>
        <w:tabs>
          <w:tab w:val="right" w:leader="dot" w:pos="9062"/>
        </w:tabs>
        <w:ind w:left="440"/>
      </w:pPr>
      <w:hyperlink w:anchor="_Toc1599" w:history="1">
        <w:r>
          <w:rPr>
            <w:rFonts w:ascii="IRNazanin" w:hAnsi="IRNazanin" w:eastAsia="IRNazanin" w:cs="IRNazanin"/>
            <w:color w:val="111111"/>
            <w:sz w:val="22"/>
            <w:szCs w:val="22"/>
            <w:b w:val="0"/>
            <w:bCs w:val="0"/>
            <w:i w:val="0"/>
            <w:iCs w:val="0"/>
          </w:rPr>
          <w:t>دیوان جودت دهلوی أو شعره‏</w:t>
        </w:r>
        <w:r>
          <w:tab/>
        </w:r>
        <w:r>
          <w:fldChar w:fldCharType="begin"/>
        </w:r>
        <w:r>
          <w:instrText xml:space="preserve">PAGEREF 1599 \h</w:instrText>
        </w:r>
        <w:r>
          <w:fldChar w:fldCharType="end"/>
        </w:r>
      </w:hyperlink>
    </w:p>
    <w:p>
      <w:pPr>
        <w:tabs>
          <w:tab w:val="right" w:leader="dot" w:pos="9062"/>
        </w:tabs>
        <w:ind w:left="440"/>
      </w:pPr>
      <w:hyperlink w:anchor="_Toc1600" w:history="1">
        <w:r>
          <w:rPr>
            <w:rFonts w:ascii="IRNazanin" w:hAnsi="IRNazanin" w:eastAsia="IRNazanin" w:cs="IRNazanin"/>
            <w:color w:val="111111"/>
            <w:sz w:val="22"/>
            <w:szCs w:val="22"/>
            <w:b w:val="0"/>
            <w:bCs w:val="0"/>
            <w:i w:val="0"/>
            <w:iCs w:val="0"/>
          </w:rPr>
          <w:t>1288- دیوان جودی تبریزی‏</w:t>
        </w:r>
        <w:r>
          <w:tab/>
        </w:r>
        <w:r>
          <w:fldChar w:fldCharType="begin"/>
        </w:r>
        <w:r>
          <w:instrText xml:space="preserve">PAGEREF 1600 \h</w:instrText>
        </w:r>
        <w:r>
          <w:fldChar w:fldCharType="end"/>
        </w:r>
      </w:hyperlink>
    </w:p>
    <w:p>
      <w:pPr>
        <w:tabs>
          <w:tab w:val="right" w:leader="dot" w:pos="9062"/>
        </w:tabs>
        <w:ind w:left="440"/>
      </w:pPr>
      <w:hyperlink w:anchor="_Toc1601" w:history="1">
        <w:r>
          <w:rPr>
            <w:rFonts w:ascii="IRNazanin" w:hAnsi="IRNazanin" w:eastAsia="IRNazanin" w:cs="IRNazanin"/>
            <w:color w:val="111111"/>
            <w:sz w:val="22"/>
            <w:szCs w:val="22"/>
            <w:b w:val="0"/>
            <w:bCs w:val="0"/>
            <w:i w:val="0"/>
            <w:iCs w:val="0"/>
          </w:rPr>
          <w:t>دیوان جودی تبریزی‏</w:t>
        </w:r>
        <w:r>
          <w:tab/>
        </w:r>
        <w:r>
          <w:fldChar w:fldCharType="begin"/>
        </w:r>
        <w:r>
          <w:instrText xml:space="preserve">PAGEREF 1601 \h</w:instrText>
        </w:r>
        <w:r>
          <w:fldChar w:fldCharType="end"/>
        </w:r>
      </w:hyperlink>
    </w:p>
    <w:p>
      <w:pPr>
        <w:tabs>
          <w:tab w:val="right" w:leader="dot" w:pos="9062"/>
        </w:tabs>
        <w:ind w:left="440"/>
      </w:pPr>
      <w:hyperlink w:anchor="_Toc1602" w:history="1">
        <w:r>
          <w:rPr>
            <w:rFonts w:ascii="IRNazanin" w:hAnsi="IRNazanin" w:eastAsia="IRNazanin" w:cs="IRNazanin"/>
            <w:color w:val="111111"/>
            <w:sz w:val="22"/>
            <w:szCs w:val="22"/>
            <w:b w:val="0"/>
            <w:bCs w:val="0"/>
            <w:i w:val="0"/>
            <w:iCs w:val="0"/>
          </w:rPr>
          <w:t>1289- دیوان جودی خراسانی‏</w:t>
        </w:r>
        <w:r>
          <w:tab/>
        </w:r>
        <w:r>
          <w:fldChar w:fldCharType="begin"/>
        </w:r>
        <w:r>
          <w:instrText xml:space="preserve">PAGEREF 1602 \h</w:instrText>
        </w:r>
        <w:r>
          <w:fldChar w:fldCharType="end"/>
        </w:r>
      </w:hyperlink>
    </w:p>
    <w:p>
      <w:pPr>
        <w:tabs>
          <w:tab w:val="right" w:leader="dot" w:pos="9062"/>
        </w:tabs>
        <w:ind w:left="440"/>
      </w:pPr>
      <w:hyperlink w:anchor="_Toc1603" w:history="1">
        <w:r>
          <w:rPr>
            <w:rFonts w:ascii="IRNazanin" w:hAnsi="IRNazanin" w:eastAsia="IRNazanin" w:cs="IRNazanin"/>
            <w:color w:val="111111"/>
            <w:sz w:val="22"/>
            <w:szCs w:val="22"/>
            <w:b w:val="0"/>
            <w:bCs w:val="0"/>
            <w:i w:val="0"/>
            <w:iCs w:val="0"/>
          </w:rPr>
          <w:t>1290- دیوان جوزا نطنزی‏</w:t>
        </w:r>
        <w:r>
          <w:tab/>
        </w:r>
        <w:r>
          <w:fldChar w:fldCharType="begin"/>
        </w:r>
        <w:r>
          <w:instrText xml:space="preserve">PAGEREF 1603 \h</w:instrText>
        </w:r>
        <w:r>
          <w:fldChar w:fldCharType="end"/>
        </w:r>
      </w:hyperlink>
    </w:p>
    <w:p>
      <w:pPr>
        <w:tabs>
          <w:tab w:val="right" w:leader="dot" w:pos="9062"/>
        </w:tabs>
        <w:ind w:left="440"/>
      </w:pPr>
      <w:hyperlink w:anchor="_Toc1604" w:history="1">
        <w:r>
          <w:rPr>
            <w:rFonts w:ascii="IRNazanin" w:hAnsi="IRNazanin" w:eastAsia="IRNazanin" w:cs="IRNazanin"/>
            <w:color w:val="111111"/>
            <w:sz w:val="22"/>
            <w:szCs w:val="22"/>
            <w:b w:val="0"/>
            <w:bCs w:val="0"/>
            <w:i w:val="0"/>
            <w:iCs w:val="0"/>
          </w:rPr>
          <w:t>دیوان جوزیانی‏</w:t>
        </w:r>
        <w:r>
          <w:tab/>
        </w:r>
        <w:r>
          <w:fldChar w:fldCharType="begin"/>
        </w:r>
        <w:r>
          <w:instrText xml:space="preserve">PAGEREF 1604 \h</w:instrText>
        </w:r>
        <w:r>
          <w:fldChar w:fldCharType="end"/>
        </w:r>
      </w:hyperlink>
    </w:p>
    <w:p>
      <w:pPr>
        <w:tabs>
          <w:tab w:val="right" w:leader="dot" w:pos="9062"/>
        </w:tabs>
        <w:ind w:left="440"/>
      </w:pPr>
      <w:hyperlink w:anchor="_Toc1605" w:history="1">
        <w:r>
          <w:rPr>
            <w:rFonts w:ascii="IRNazanin" w:hAnsi="IRNazanin" w:eastAsia="IRNazanin" w:cs="IRNazanin"/>
            <w:color w:val="111111"/>
            <w:sz w:val="22"/>
            <w:szCs w:val="22"/>
            <w:b w:val="0"/>
            <w:bCs w:val="0"/>
            <w:i w:val="0"/>
            <w:iCs w:val="0"/>
          </w:rPr>
          <w:t>دیوان جوشقانی‏</w:t>
        </w:r>
        <w:r>
          <w:tab/>
        </w:r>
        <w:r>
          <w:fldChar w:fldCharType="begin"/>
        </w:r>
        <w:r>
          <w:instrText xml:space="preserve">PAGEREF 1605 \h</w:instrText>
        </w:r>
        <w:r>
          <w:fldChar w:fldCharType="end"/>
        </w:r>
      </w:hyperlink>
    </w:p>
    <w:p>
      <w:pPr>
        <w:tabs>
          <w:tab w:val="right" w:leader="dot" w:pos="9062"/>
        </w:tabs>
        <w:ind w:left="440"/>
      </w:pPr>
      <w:hyperlink w:anchor="_Toc1606" w:history="1">
        <w:r>
          <w:rPr>
            <w:rFonts w:ascii="IRNazanin" w:hAnsi="IRNazanin" w:eastAsia="IRNazanin" w:cs="IRNazanin"/>
            <w:color w:val="111111"/>
            <w:sz w:val="22"/>
            <w:szCs w:val="22"/>
            <w:b w:val="0"/>
            <w:bCs w:val="0"/>
            <w:i w:val="0"/>
            <w:iCs w:val="0"/>
          </w:rPr>
          <w:t>1291- دیوان جولان سنامی أو شعره‏</w:t>
        </w:r>
        <w:r>
          <w:tab/>
        </w:r>
        <w:r>
          <w:fldChar w:fldCharType="begin"/>
        </w:r>
        <w:r>
          <w:instrText xml:space="preserve">PAGEREF 1606 \h</w:instrText>
        </w:r>
        <w:r>
          <w:fldChar w:fldCharType="end"/>
        </w:r>
      </w:hyperlink>
    </w:p>
    <w:p>
      <w:pPr>
        <w:tabs>
          <w:tab w:val="right" w:leader="dot" w:pos="9062"/>
        </w:tabs>
        <w:ind w:left="440"/>
      </w:pPr>
      <w:hyperlink w:anchor="_Toc1607" w:history="1">
        <w:r>
          <w:rPr>
            <w:rFonts w:ascii="IRNazanin" w:hAnsi="IRNazanin" w:eastAsia="IRNazanin" w:cs="IRNazanin"/>
            <w:color w:val="111111"/>
            <w:sz w:val="22"/>
            <w:szCs w:val="22"/>
            <w:b w:val="0"/>
            <w:bCs w:val="0"/>
            <w:i w:val="0"/>
            <w:iCs w:val="0"/>
          </w:rPr>
          <w:t>دیوان جوهری بخاری‏</w:t>
        </w:r>
        <w:r>
          <w:tab/>
        </w:r>
        <w:r>
          <w:fldChar w:fldCharType="begin"/>
        </w:r>
        <w:r>
          <w:instrText xml:space="preserve">PAGEREF 1607 \h</w:instrText>
        </w:r>
        <w:r>
          <w:fldChar w:fldCharType="end"/>
        </w:r>
      </w:hyperlink>
    </w:p>
    <w:p>
      <w:pPr>
        <w:tabs>
          <w:tab w:val="right" w:leader="dot" w:pos="9062"/>
        </w:tabs>
        <w:ind w:left="440"/>
      </w:pPr>
      <w:hyperlink w:anchor="_Toc1608" w:history="1">
        <w:r>
          <w:rPr>
            <w:rFonts w:ascii="IRNazanin" w:hAnsi="IRNazanin" w:eastAsia="IRNazanin" w:cs="IRNazanin"/>
            <w:color w:val="111111"/>
            <w:sz w:val="22"/>
            <w:szCs w:val="22"/>
            <w:b w:val="0"/>
            <w:bCs w:val="0"/>
            <w:i w:val="0"/>
            <w:iCs w:val="0"/>
          </w:rPr>
          <w:t>1292- دیوان جوهری البغدادی أو شعره‏</w:t>
        </w:r>
        <w:r>
          <w:tab/>
        </w:r>
        <w:r>
          <w:fldChar w:fldCharType="begin"/>
        </w:r>
        <w:r>
          <w:instrText xml:space="preserve">PAGEREF 1608 \h</w:instrText>
        </w:r>
        <w:r>
          <w:fldChar w:fldCharType="end"/>
        </w:r>
      </w:hyperlink>
    </w:p>
    <w:p>
      <w:pPr>
        <w:tabs>
          <w:tab w:val="right" w:leader="dot" w:pos="9062"/>
        </w:tabs>
        <w:ind w:left="440"/>
      </w:pPr>
      <w:hyperlink w:anchor="_Toc1609" w:history="1">
        <w:r>
          <w:rPr>
            <w:rFonts w:ascii="IRNazanin" w:hAnsi="IRNazanin" w:eastAsia="IRNazanin" w:cs="IRNazanin"/>
            <w:color w:val="111111"/>
            <w:sz w:val="22"/>
            <w:szCs w:val="22"/>
            <w:b w:val="0"/>
            <w:bCs w:val="0"/>
            <w:i w:val="0"/>
            <w:iCs w:val="0"/>
          </w:rPr>
          <w:t>1293- دیوان جوهری تبریزی أو شعره‏</w:t>
        </w:r>
        <w:r>
          <w:tab/>
        </w:r>
        <w:r>
          <w:fldChar w:fldCharType="begin"/>
        </w:r>
        <w:r>
          <w:instrText xml:space="preserve">PAGEREF 1609 \h</w:instrText>
        </w:r>
        <w:r>
          <w:fldChar w:fldCharType="end"/>
        </w:r>
      </w:hyperlink>
    </w:p>
    <w:p>
      <w:pPr>
        <w:tabs>
          <w:tab w:val="right" w:leader="dot" w:pos="9062"/>
        </w:tabs>
        <w:ind w:left="440"/>
      </w:pPr>
      <w:hyperlink w:anchor="_Toc1610" w:history="1">
        <w:r>
          <w:rPr>
            <w:rFonts w:ascii="IRNazanin" w:hAnsi="IRNazanin" w:eastAsia="IRNazanin" w:cs="IRNazanin"/>
            <w:color w:val="111111"/>
            <w:sz w:val="22"/>
            <w:szCs w:val="22"/>
            <w:b w:val="0"/>
            <w:bCs w:val="0"/>
            <w:i w:val="0"/>
            <w:iCs w:val="0"/>
          </w:rPr>
          <w:t>1294- دیوان الجوهری الجرجانی أو شعره‏</w:t>
        </w:r>
        <w:r>
          <w:tab/>
        </w:r>
        <w:r>
          <w:fldChar w:fldCharType="begin"/>
        </w:r>
        <w:r>
          <w:instrText xml:space="preserve">PAGEREF 1610 \h</w:instrText>
        </w:r>
        <w:r>
          <w:fldChar w:fldCharType="end"/>
        </w:r>
      </w:hyperlink>
    </w:p>
    <w:p>
      <w:pPr>
        <w:tabs>
          <w:tab w:val="right" w:leader="dot" w:pos="9062"/>
        </w:tabs>
        <w:ind w:left="440"/>
      </w:pPr>
      <w:hyperlink w:anchor="_Toc1611" w:history="1">
        <w:r>
          <w:rPr>
            <w:rFonts w:ascii="IRNazanin" w:hAnsi="IRNazanin" w:eastAsia="IRNazanin" w:cs="IRNazanin"/>
            <w:color w:val="111111"/>
            <w:sz w:val="22"/>
            <w:szCs w:val="22"/>
            <w:b w:val="0"/>
            <w:bCs w:val="0"/>
            <w:i w:val="0"/>
            <w:iCs w:val="0"/>
          </w:rPr>
          <w:t>دیوان جوهری حسینی‏</w:t>
        </w:r>
        <w:r>
          <w:tab/>
        </w:r>
        <w:r>
          <w:fldChar w:fldCharType="begin"/>
        </w:r>
        <w:r>
          <w:instrText xml:space="preserve">PAGEREF 1611 \h</w:instrText>
        </w:r>
        <w:r>
          <w:fldChar w:fldCharType="end"/>
        </w:r>
      </w:hyperlink>
    </w:p>
    <w:p>
      <w:pPr>
        <w:tabs>
          <w:tab w:val="right" w:leader="dot" w:pos="9062"/>
        </w:tabs>
        <w:ind w:left="440"/>
      </w:pPr>
      <w:hyperlink w:anchor="_Toc1612" w:history="1">
        <w:r>
          <w:rPr>
            <w:rFonts w:ascii="IRNazanin" w:hAnsi="IRNazanin" w:eastAsia="IRNazanin" w:cs="IRNazanin"/>
            <w:color w:val="111111"/>
            <w:sz w:val="22"/>
            <w:szCs w:val="22"/>
            <w:b w:val="0"/>
            <w:bCs w:val="0"/>
            <w:i w:val="0"/>
            <w:iCs w:val="0"/>
          </w:rPr>
          <w:t>1295- دیوان جوهری زرگر</w:t>
        </w:r>
        <w:r>
          <w:tab/>
        </w:r>
        <w:r>
          <w:fldChar w:fldCharType="begin"/>
        </w:r>
        <w:r>
          <w:instrText xml:space="preserve">PAGEREF 1612 \h</w:instrText>
        </w:r>
        <w:r>
          <w:fldChar w:fldCharType="end"/>
        </w:r>
      </w:hyperlink>
    </w:p>
    <w:p>
      <w:pPr>
        <w:tabs>
          <w:tab w:val="right" w:leader="dot" w:pos="9062"/>
        </w:tabs>
        <w:ind w:left="440"/>
      </w:pPr>
      <w:hyperlink w:anchor="_Toc1613" w:history="1">
        <w:r>
          <w:rPr>
            <w:rFonts w:ascii="IRNazanin" w:hAnsi="IRNazanin" w:eastAsia="IRNazanin" w:cs="IRNazanin"/>
            <w:color w:val="111111"/>
            <w:sz w:val="22"/>
            <w:szCs w:val="22"/>
            <w:b w:val="0"/>
            <w:bCs w:val="0"/>
            <w:i w:val="0"/>
            <w:iCs w:val="0"/>
          </w:rPr>
          <w:t>دیوان جوهری زرگر</w:t>
        </w:r>
        <w:r>
          <w:tab/>
        </w:r>
        <w:r>
          <w:fldChar w:fldCharType="begin"/>
        </w:r>
        <w:r>
          <w:instrText xml:space="preserve">PAGEREF 1613 \h</w:instrText>
        </w:r>
        <w:r>
          <w:fldChar w:fldCharType="end"/>
        </w:r>
      </w:hyperlink>
    </w:p>
    <w:p>
      <w:pPr>
        <w:tabs>
          <w:tab w:val="right" w:leader="dot" w:pos="9062"/>
        </w:tabs>
        <w:ind w:left="440"/>
      </w:pPr>
      <w:hyperlink w:anchor="_Toc1614" w:history="1">
        <w:r>
          <w:rPr>
            <w:rFonts w:ascii="IRNazanin" w:hAnsi="IRNazanin" w:eastAsia="IRNazanin" w:cs="IRNazanin"/>
            <w:color w:val="111111"/>
            <w:sz w:val="22"/>
            <w:szCs w:val="22"/>
            <w:b w:val="0"/>
            <w:bCs w:val="0"/>
            <w:i w:val="0"/>
            <w:iCs w:val="0"/>
          </w:rPr>
          <w:t>1296- دیوان جوهری سمرقندی‏</w:t>
        </w:r>
        <w:r>
          <w:tab/>
        </w:r>
        <w:r>
          <w:fldChar w:fldCharType="begin"/>
        </w:r>
        <w:r>
          <w:instrText xml:space="preserve">PAGEREF 1614 \h</w:instrText>
        </w:r>
        <w:r>
          <w:fldChar w:fldCharType="end"/>
        </w:r>
      </w:hyperlink>
    </w:p>
    <w:p>
      <w:pPr>
        <w:tabs>
          <w:tab w:val="right" w:leader="dot" w:pos="9062"/>
        </w:tabs>
        <w:ind w:left="440"/>
      </w:pPr>
      <w:hyperlink w:anchor="_Toc1615" w:history="1">
        <w:r>
          <w:rPr>
            <w:rFonts w:ascii="IRNazanin" w:hAnsi="IRNazanin" w:eastAsia="IRNazanin" w:cs="IRNazanin"/>
            <w:color w:val="111111"/>
            <w:sz w:val="22"/>
            <w:szCs w:val="22"/>
            <w:b w:val="0"/>
            <w:bCs w:val="0"/>
            <w:i w:val="0"/>
            <w:iCs w:val="0"/>
          </w:rPr>
          <w:t>1297- دیوان الجوهری الشامی أو شعره‏</w:t>
        </w:r>
        <w:r>
          <w:tab/>
        </w:r>
        <w:r>
          <w:fldChar w:fldCharType="begin"/>
        </w:r>
        <w:r>
          <w:instrText xml:space="preserve">PAGEREF 1615 \h</w:instrText>
        </w:r>
        <w:r>
          <w:fldChar w:fldCharType="end"/>
        </w:r>
      </w:hyperlink>
    </w:p>
    <w:p>
      <w:pPr>
        <w:tabs>
          <w:tab w:val="right" w:leader="dot" w:pos="9062"/>
        </w:tabs>
        <w:ind w:left="440"/>
      </w:pPr>
      <w:hyperlink w:anchor="_Toc1616" w:history="1">
        <w:r>
          <w:rPr>
            <w:rFonts w:ascii="IRNazanin" w:hAnsi="IRNazanin" w:eastAsia="IRNazanin" w:cs="IRNazanin"/>
            <w:color w:val="111111"/>
            <w:sz w:val="22"/>
            <w:szCs w:val="22"/>
            <w:b w:val="0"/>
            <w:bCs w:val="0"/>
            <w:i w:val="0"/>
            <w:iCs w:val="0"/>
          </w:rPr>
          <w:t>1298- دیوان جوهری شاه‏جهان‏آبادی أو شعره‏</w:t>
        </w:r>
        <w:r>
          <w:tab/>
        </w:r>
        <w:r>
          <w:fldChar w:fldCharType="begin"/>
        </w:r>
        <w:r>
          <w:instrText xml:space="preserve">PAGEREF 1616 \h</w:instrText>
        </w:r>
        <w:r>
          <w:fldChar w:fldCharType="end"/>
        </w:r>
      </w:hyperlink>
    </w:p>
    <w:p>
      <w:pPr>
        <w:tabs>
          <w:tab w:val="right" w:leader="dot" w:pos="9062"/>
        </w:tabs>
        <w:ind w:left="440"/>
      </w:pPr>
      <w:hyperlink w:anchor="_Toc1617" w:history="1">
        <w:r>
          <w:rPr>
            <w:rFonts w:ascii="IRNazanin" w:hAnsi="IRNazanin" w:eastAsia="IRNazanin" w:cs="IRNazanin"/>
            <w:color w:val="111111"/>
            <w:sz w:val="22"/>
            <w:szCs w:val="22"/>
            <w:b w:val="0"/>
            <w:bCs w:val="0"/>
            <w:i w:val="0"/>
            <w:iCs w:val="0"/>
          </w:rPr>
          <w:t>1299- دیوان جوهری عراقی أو شعره‏</w:t>
        </w:r>
        <w:r>
          <w:tab/>
        </w:r>
        <w:r>
          <w:fldChar w:fldCharType="begin"/>
        </w:r>
        <w:r>
          <w:instrText xml:space="preserve">PAGEREF 1617 \h</w:instrText>
        </w:r>
        <w:r>
          <w:fldChar w:fldCharType="end"/>
        </w:r>
      </w:hyperlink>
    </w:p>
    <w:p>
      <w:pPr>
        <w:tabs>
          <w:tab w:val="right" w:leader="dot" w:pos="9062"/>
        </w:tabs>
        <w:ind w:left="440"/>
      </w:pPr>
      <w:hyperlink w:anchor="_Toc1618" w:history="1">
        <w:r>
          <w:rPr>
            <w:rFonts w:ascii="IRNazanin" w:hAnsi="IRNazanin" w:eastAsia="IRNazanin" w:cs="IRNazanin"/>
            <w:color w:val="111111"/>
            <w:sz w:val="22"/>
            <w:szCs w:val="22"/>
            <w:b w:val="0"/>
            <w:bCs w:val="0"/>
            <w:i w:val="0"/>
            <w:iCs w:val="0"/>
          </w:rPr>
          <w:t>1300- دیوان جوهری قندهاری أو شعره‏</w:t>
        </w:r>
        <w:r>
          <w:tab/>
        </w:r>
        <w:r>
          <w:fldChar w:fldCharType="begin"/>
        </w:r>
        <w:r>
          <w:instrText xml:space="preserve">PAGEREF 1618 \h</w:instrText>
        </w:r>
        <w:r>
          <w:fldChar w:fldCharType="end"/>
        </w:r>
      </w:hyperlink>
    </w:p>
    <w:p>
      <w:pPr>
        <w:tabs>
          <w:tab w:val="right" w:leader="dot" w:pos="9062"/>
        </w:tabs>
        <w:ind w:left="440"/>
      </w:pPr>
      <w:hyperlink w:anchor="_Toc1619" w:history="1">
        <w:r>
          <w:rPr>
            <w:rFonts w:ascii="IRNazanin" w:hAnsi="IRNazanin" w:eastAsia="IRNazanin" w:cs="IRNazanin"/>
            <w:color w:val="111111"/>
            <w:sz w:val="22"/>
            <w:szCs w:val="22"/>
            <w:b w:val="0"/>
            <w:bCs w:val="0"/>
            <w:i w:val="0"/>
            <w:iCs w:val="0"/>
          </w:rPr>
          <w:t>1301- دیوان جوهری مکی أو شعره‏</w:t>
        </w:r>
        <w:r>
          <w:tab/>
        </w:r>
        <w:r>
          <w:fldChar w:fldCharType="begin"/>
        </w:r>
        <w:r>
          <w:instrText xml:space="preserve">PAGEREF 1619 \h</w:instrText>
        </w:r>
        <w:r>
          <w:fldChar w:fldCharType="end"/>
        </w:r>
      </w:hyperlink>
    </w:p>
    <w:p>
      <w:pPr>
        <w:tabs>
          <w:tab w:val="right" w:leader="dot" w:pos="9062"/>
        </w:tabs>
        <w:ind w:left="440"/>
      </w:pPr>
      <w:hyperlink w:anchor="_Toc1620" w:history="1">
        <w:r>
          <w:rPr>
            <w:rFonts w:ascii="IRNazanin" w:hAnsi="IRNazanin" w:eastAsia="IRNazanin" w:cs="IRNazanin"/>
            <w:color w:val="111111"/>
            <w:sz w:val="22"/>
            <w:szCs w:val="22"/>
            <w:b w:val="0"/>
            <w:bCs w:val="0"/>
            <w:i w:val="0"/>
            <w:iCs w:val="0"/>
          </w:rPr>
          <w:t>1302- دیوان جوهری هروی‏</w:t>
        </w:r>
        <w:r>
          <w:tab/>
        </w:r>
        <w:r>
          <w:fldChar w:fldCharType="begin"/>
        </w:r>
        <w:r>
          <w:instrText xml:space="preserve">PAGEREF 1620 \h</w:instrText>
        </w:r>
        <w:r>
          <w:fldChar w:fldCharType="end"/>
        </w:r>
      </w:hyperlink>
    </w:p>
    <w:p>
      <w:pPr>
        <w:tabs>
          <w:tab w:val="right" w:leader="dot" w:pos="9062"/>
        </w:tabs>
        <w:ind w:left="440"/>
      </w:pPr>
      <w:hyperlink w:anchor="_Toc1621" w:history="1">
        <w:r>
          <w:rPr>
            <w:rFonts w:ascii="IRNazanin" w:hAnsi="IRNazanin" w:eastAsia="IRNazanin" w:cs="IRNazanin"/>
            <w:color w:val="111111"/>
            <w:sz w:val="22"/>
            <w:szCs w:val="22"/>
            <w:b w:val="0"/>
            <w:bCs w:val="0"/>
            <w:i w:val="0"/>
            <w:iCs w:val="0"/>
          </w:rPr>
          <w:t>1303- دیوان جویا تبریزی‏</w:t>
        </w:r>
        <w:r>
          <w:tab/>
        </w:r>
        <w:r>
          <w:fldChar w:fldCharType="begin"/>
        </w:r>
        <w:r>
          <w:instrText xml:space="preserve">PAGEREF 1621 \h</w:instrText>
        </w:r>
        <w:r>
          <w:fldChar w:fldCharType="end"/>
        </w:r>
      </w:hyperlink>
    </w:p>
    <w:p>
      <w:pPr>
        <w:tabs>
          <w:tab w:val="right" w:leader="dot" w:pos="9062"/>
        </w:tabs>
        <w:ind w:left="440"/>
      </w:pPr>
      <w:hyperlink w:anchor="_Toc1622" w:history="1">
        <w:r>
          <w:rPr>
            <w:rFonts w:ascii="IRNazanin" w:hAnsi="IRNazanin" w:eastAsia="IRNazanin" w:cs="IRNazanin"/>
            <w:color w:val="111111"/>
            <w:sz w:val="22"/>
            <w:szCs w:val="22"/>
            <w:b w:val="0"/>
            <w:bCs w:val="0"/>
            <w:i w:val="0"/>
            <w:iCs w:val="0"/>
          </w:rPr>
          <w:t>1304- دیوان جویا سرهندی أو شعره‏</w:t>
        </w:r>
        <w:r>
          <w:tab/>
        </w:r>
        <w:r>
          <w:fldChar w:fldCharType="begin"/>
        </w:r>
        <w:r>
          <w:instrText xml:space="preserve">PAGEREF 1622 \h</w:instrText>
        </w:r>
        <w:r>
          <w:fldChar w:fldCharType="end"/>
        </w:r>
      </w:hyperlink>
    </w:p>
    <w:p>
      <w:pPr>
        <w:tabs>
          <w:tab w:val="right" w:leader="dot" w:pos="9062"/>
        </w:tabs>
        <w:ind w:left="440"/>
      </w:pPr>
      <w:hyperlink w:anchor="_Toc1623" w:history="1">
        <w:r>
          <w:rPr>
            <w:rFonts w:ascii="IRNazanin" w:hAnsi="IRNazanin" w:eastAsia="IRNazanin" w:cs="IRNazanin"/>
            <w:color w:val="111111"/>
            <w:sz w:val="22"/>
            <w:szCs w:val="22"/>
            <w:b w:val="0"/>
            <w:bCs w:val="0"/>
            <w:i w:val="0"/>
            <w:iCs w:val="0"/>
          </w:rPr>
          <w:t>1305- دیوان جهان قاجار</w:t>
        </w:r>
        <w:r>
          <w:tab/>
        </w:r>
        <w:r>
          <w:fldChar w:fldCharType="begin"/>
        </w:r>
        <w:r>
          <w:instrText xml:space="preserve">PAGEREF 1623 \h</w:instrText>
        </w:r>
        <w:r>
          <w:fldChar w:fldCharType="end"/>
        </w:r>
      </w:hyperlink>
    </w:p>
    <w:p>
      <w:pPr>
        <w:tabs>
          <w:tab w:val="right" w:leader="dot" w:pos="9062"/>
        </w:tabs>
        <w:ind w:left="440"/>
      </w:pPr>
      <w:hyperlink w:anchor="_Toc1624" w:history="1">
        <w:r>
          <w:rPr>
            <w:rFonts w:ascii="IRNazanin" w:hAnsi="IRNazanin" w:eastAsia="IRNazanin" w:cs="IRNazanin"/>
            <w:color w:val="111111"/>
            <w:sz w:val="22"/>
            <w:szCs w:val="22"/>
            <w:b w:val="0"/>
            <w:bCs w:val="0"/>
            <w:i w:val="0"/>
            <w:iCs w:val="0"/>
          </w:rPr>
          <w:t>1306- دیوان جهان‏بخش جمهری‏</w:t>
        </w:r>
        <w:r>
          <w:tab/>
        </w:r>
        <w:r>
          <w:fldChar w:fldCharType="begin"/>
        </w:r>
        <w:r>
          <w:instrText xml:space="preserve">PAGEREF 1624 \h</w:instrText>
        </w:r>
        <w:r>
          <w:fldChar w:fldCharType="end"/>
        </w:r>
      </w:hyperlink>
    </w:p>
    <w:p>
      <w:pPr>
        <w:tabs>
          <w:tab w:val="right" w:leader="dot" w:pos="9062"/>
        </w:tabs>
        <w:ind w:left="440"/>
      </w:pPr>
      <w:hyperlink w:anchor="_Toc1625" w:history="1">
        <w:r>
          <w:rPr>
            <w:rFonts w:ascii="IRNazanin" w:hAnsi="IRNazanin" w:eastAsia="IRNazanin" w:cs="IRNazanin"/>
            <w:color w:val="111111"/>
            <w:sz w:val="22"/>
            <w:szCs w:val="22"/>
            <w:b w:val="0"/>
            <w:bCs w:val="0"/>
            <w:i w:val="0"/>
            <w:iCs w:val="0"/>
          </w:rPr>
          <w:t>1307- دیوان دیوان جیحون یزدی‏</w:t>
        </w:r>
        <w:r>
          <w:tab/>
        </w:r>
        <w:r>
          <w:fldChar w:fldCharType="begin"/>
        </w:r>
        <w:r>
          <w:instrText xml:space="preserve">PAGEREF 1625 \h</w:instrText>
        </w:r>
        <w:r>
          <w:fldChar w:fldCharType="end"/>
        </w:r>
      </w:hyperlink>
    </w:p>
    <w:p>
      <w:pPr>
        <w:tabs>
          <w:tab w:val="right" w:leader="dot" w:pos="9062"/>
        </w:tabs>
        <w:ind w:left="440"/>
      </w:pPr>
      <w:hyperlink w:anchor="_Toc1626" w:history="1">
        <w:r>
          <w:rPr>
            <w:rFonts w:ascii="IRNazanin" w:hAnsi="IRNazanin" w:eastAsia="IRNazanin" w:cs="IRNazanin"/>
            <w:color w:val="111111"/>
            <w:sz w:val="22"/>
            <w:szCs w:val="22"/>
            <w:b w:val="0"/>
            <w:bCs w:val="0"/>
            <w:i w:val="0"/>
            <w:iCs w:val="0"/>
          </w:rPr>
          <w:t>1308- دیوان جیشی هندی أو شعره‏</w:t>
        </w:r>
        <w:r>
          <w:tab/>
        </w:r>
        <w:r>
          <w:fldChar w:fldCharType="begin"/>
        </w:r>
        <w:r>
          <w:instrText xml:space="preserve">PAGEREF 1626 \h</w:instrText>
        </w:r>
        <w:r>
          <w:fldChar w:fldCharType="end"/>
        </w:r>
      </w:hyperlink>
    </w:p>
    <w:p>
      <w:pPr>
        <w:tabs>
          <w:tab w:val="right" w:leader="dot" w:pos="9062"/>
        </w:tabs>
        <w:ind w:left="440"/>
      </w:pPr>
      <w:hyperlink w:anchor="_Toc1627" w:history="1">
        <w:r>
          <w:rPr>
            <w:rFonts w:ascii="IRNazanin" w:hAnsi="IRNazanin" w:eastAsia="IRNazanin" w:cs="IRNazanin"/>
            <w:color w:val="111111"/>
            <w:sz w:val="22"/>
            <w:szCs w:val="22"/>
            <w:b w:val="0"/>
            <w:bCs w:val="0"/>
            <w:i w:val="0"/>
            <w:iCs w:val="0"/>
          </w:rPr>
          <w:t>1309- دیوان جیشی أو شعره‏</w:t>
        </w:r>
        <w:r>
          <w:tab/>
        </w:r>
        <w:r>
          <w:fldChar w:fldCharType="begin"/>
        </w:r>
        <w:r>
          <w:instrText xml:space="preserve">PAGEREF 1627 \h</w:instrText>
        </w:r>
        <w:r>
          <w:fldChar w:fldCharType="end"/>
        </w:r>
      </w:hyperlink>
    </w:p>
    <w:p>
      <w:pPr>
        <w:tabs>
          <w:tab w:val="right" w:leader="dot" w:pos="9062"/>
        </w:tabs>
        <w:ind w:left="440"/>
      </w:pPr>
      <w:hyperlink w:anchor="_Toc1628" w:history="1">
        <w:r>
          <w:rPr>
            <w:rFonts w:ascii="IRNazanin" w:hAnsi="IRNazanin" w:eastAsia="IRNazanin" w:cs="IRNazanin"/>
            <w:color w:val="111111"/>
            <w:sz w:val="22"/>
            <w:szCs w:val="22"/>
            <w:b w:val="0"/>
            <w:bCs w:val="0"/>
            <w:i w:val="0"/>
            <w:iCs w:val="0"/>
          </w:rPr>
          <w:t>1310- دیوان جیوهندی‏</w:t>
        </w:r>
        <w:r>
          <w:tab/>
        </w:r>
        <w:r>
          <w:fldChar w:fldCharType="begin"/>
        </w:r>
        <w:r>
          <w:instrText xml:space="preserve">PAGEREF 1628 \h</w:instrText>
        </w:r>
        <w:r>
          <w:fldChar w:fldCharType="end"/>
        </w:r>
      </w:hyperlink>
    </w:p>
    <w:p>
      <w:pPr>
        <w:tabs>
          <w:tab w:val="right" w:leader="dot" w:pos="9062"/>
        </w:tabs>
        <w:ind w:left="440"/>
      </w:pPr>
      <w:hyperlink w:anchor="_Toc1629" w:history="1">
        <w:r>
          <w:rPr>
            <w:rFonts w:ascii="IRNazanin" w:hAnsi="IRNazanin" w:eastAsia="IRNazanin" w:cs="IRNazanin"/>
            <w:color w:val="111111"/>
            <w:sz w:val="22"/>
            <w:szCs w:val="22"/>
            <w:b w:val="0"/>
            <w:bCs w:val="0"/>
            <w:i w:val="0"/>
            <w:iCs w:val="0"/>
          </w:rPr>
          <w:t>چ‏</w:t>
        </w:r>
        <w:r>
          <w:tab/>
        </w:r>
        <w:r>
          <w:fldChar w:fldCharType="begin"/>
        </w:r>
        <w:r>
          <w:instrText xml:space="preserve">PAGEREF 1629 \h</w:instrText>
        </w:r>
        <w:r>
          <w:fldChar w:fldCharType="end"/>
        </w:r>
      </w:hyperlink>
    </w:p>
    <w:p>
      <w:pPr>
        <w:tabs>
          <w:tab w:val="right" w:leader="dot" w:pos="9062"/>
        </w:tabs>
        <w:ind w:left="440"/>
      </w:pPr>
      <w:hyperlink w:anchor="_Toc1630" w:history="1">
        <w:r>
          <w:rPr>
            <w:rFonts w:ascii="IRNazanin" w:hAnsi="IRNazanin" w:eastAsia="IRNazanin" w:cs="IRNazanin"/>
            <w:color w:val="111111"/>
            <w:sz w:val="22"/>
            <w:szCs w:val="22"/>
            <w:b w:val="0"/>
            <w:bCs w:val="0"/>
            <w:i w:val="0"/>
            <w:iCs w:val="0"/>
          </w:rPr>
          <w:t>1311 دیوان چاکر أفشار أو شعره‏</w:t>
        </w:r>
        <w:r>
          <w:tab/>
        </w:r>
        <w:r>
          <w:fldChar w:fldCharType="begin"/>
        </w:r>
        <w:r>
          <w:instrText xml:space="preserve">PAGEREF 1630 \h</w:instrText>
        </w:r>
        <w:r>
          <w:fldChar w:fldCharType="end"/>
        </w:r>
      </w:hyperlink>
    </w:p>
    <w:p>
      <w:pPr>
        <w:tabs>
          <w:tab w:val="right" w:leader="dot" w:pos="9062"/>
        </w:tabs>
        <w:ind w:left="440"/>
      </w:pPr>
      <w:hyperlink w:anchor="_Toc1631" w:history="1">
        <w:r>
          <w:rPr>
            <w:rFonts w:ascii="IRNazanin" w:hAnsi="IRNazanin" w:eastAsia="IRNazanin" w:cs="IRNazanin"/>
            <w:color w:val="111111"/>
            <w:sz w:val="22"/>
            <w:szCs w:val="22"/>
            <w:b w:val="0"/>
            <w:bCs w:val="0"/>
            <w:i w:val="0"/>
            <w:iCs w:val="0"/>
          </w:rPr>
          <w:t>1312 دیوان چاکر بروجردی أو شعره‏</w:t>
        </w:r>
        <w:r>
          <w:tab/>
        </w:r>
        <w:r>
          <w:fldChar w:fldCharType="begin"/>
        </w:r>
        <w:r>
          <w:instrText xml:space="preserve">PAGEREF 1631 \h</w:instrText>
        </w:r>
        <w:r>
          <w:fldChar w:fldCharType="end"/>
        </w:r>
      </w:hyperlink>
    </w:p>
    <w:p>
      <w:pPr>
        <w:tabs>
          <w:tab w:val="right" w:leader="dot" w:pos="9062"/>
        </w:tabs>
        <w:ind w:left="440"/>
      </w:pPr>
      <w:hyperlink w:anchor="_Toc1632" w:history="1">
        <w:r>
          <w:rPr>
            <w:rFonts w:ascii="IRNazanin" w:hAnsi="IRNazanin" w:eastAsia="IRNazanin" w:cs="IRNazanin"/>
            <w:color w:val="111111"/>
            <w:sz w:val="22"/>
            <w:szCs w:val="22"/>
            <w:b w:val="0"/>
            <w:bCs w:val="0"/>
            <w:i w:val="0"/>
            <w:iCs w:val="0"/>
          </w:rPr>
          <w:t>1313 دیوان چاکر شاملو أو شعره‏</w:t>
        </w:r>
        <w:r>
          <w:tab/>
        </w:r>
        <w:r>
          <w:fldChar w:fldCharType="begin"/>
        </w:r>
        <w:r>
          <w:instrText xml:space="preserve">PAGEREF 1632 \h</w:instrText>
        </w:r>
        <w:r>
          <w:fldChar w:fldCharType="end"/>
        </w:r>
      </w:hyperlink>
    </w:p>
    <w:p>
      <w:pPr>
        <w:tabs>
          <w:tab w:val="right" w:leader="dot" w:pos="9062"/>
        </w:tabs>
        <w:ind w:left="440"/>
      </w:pPr>
      <w:hyperlink w:anchor="_Toc1633" w:history="1">
        <w:r>
          <w:rPr>
            <w:rFonts w:ascii="IRNazanin" w:hAnsi="IRNazanin" w:eastAsia="IRNazanin" w:cs="IRNazanin"/>
            <w:color w:val="111111"/>
            <w:sz w:val="22"/>
            <w:szCs w:val="22"/>
            <w:b w:val="0"/>
            <w:bCs w:val="0"/>
            <w:i w:val="0"/>
            <w:iCs w:val="0"/>
          </w:rPr>
          <w:t>1314 دیوان چاکر کاشانی أو شعره‏</w:t>
        </w:r>
        <w:r>
          <w:tab/>
        </w:r>
        <w:r>
          <w:fldChar w:fldCharType="begin"/>
        </w:r>
        <w:r>
          <w:instrText xml:space="preserve">PAGEREF 1633 \h</w:instrText>
        </w:r>
        <w:r>
          <w:fldChar w:fldCharType="end"/>
        </w:r>
      </w:hyperlink>
    </w:p>
    <w:p>
      <w:pPr>
        <w:tabs>
          <w:tab w:val="right" w:leader="dot" w:pos="9062"/>
        </w:tabs>
        <w:ind w:left="440"/>
      </w:pPr>
      <w:hyperlink w:anchor="_Toc1634" w:history="1">
        <w:r>
          <w:rPr>
            <w:rFonts w:ascii="IRNazanin" w:hAnsi="IRNazanin" w:eastAsia="IRNazanin" w:cs="IRNazanin"/>
            <w:color w:val="111111"/>
            <w:sz w:val="22"/>
            <w:szCs w:val="22"/>
            <w:b w:val="0"/>
            <w:bCs w:val="0"/>
            <w:i w:val="0"/>
            <w:iCs w:val="0"/>
          </w:rPr>
          <w:t>1315 دیوان چاکر مازندرانی أو شعره‏</w:t>
        </w:r>
        <w:r>
          <w:tab/>
        </w:r>
        <w:r>
          <w:fldChar w:fldCharType="begin"/>
        </w:r>
        <w:r>
          <w:instrText xml:space="preserve">PAGEREF 1634 \h</w:instrText>
        </w:r>
        <w:r>
          <w:fldChar w:fldCharType="end"/>
        </w:r>
      </w:hyperlink>
    </w:p>
    <w:p>
      <w:pPr>
        <w:tabs>
          <w:tab w:val="right" w:leader="dot" w:pos="9062"/>
        </w:tabs>
        <w:ind w:left="440"/>
      </w:pPr>
      <w:hyperlink w:anchor="_Toc1635" w:history="1">
        <w:r>
          <w:rPr>
            <w:rFonts w:ascii="IRNazanin" w:hAnsi="IRNazanin" w:eastAsia="IRNazanin" w:cs="IRNazanin"/>
            <w:color w:val="111111"/>
            <w:sz w:val="22"/>
            <w:szCs w:val="22"/>
            <w:b w:val="0"/>
            <w:bCs w:val="0"/>
            <w:i w:val="0"/>
            <w:iCs w:val="0"/>
          </w:rPr>
          <w:t>دیوان چاکر مازندرانی‏</w:t>
        </w:r>
        <w:r>
          <w:tab/>
        </w:r>
        <w:r>
          <w:fldChar w:fldCharType="begin"/>
        </w:r>
        <w:r>
          <w:instrText xml:space="preserve">PAGEREF 1635 \h</w:instrText>
        </w:r>
        <w:r>
          <w:fldChar w:fldCharType="end"/>
        </w:r>
      </w:hyperlink>
    </w:p>
    <w:p>
      <w:pPr>
        <w:tabs>
          <w:tab w:val="right" w:leader="dot" w:pos="9062"/>
        </w:tabs>
        <w:ind w:left="440"/>
      </w:pPr>
      <w:hyperlink w:anchor="_Toc1636" w:history="1">
        <w:r>
          <w:rPr>
            <w:rFonts w:ascii="IRNazanin" w:hAnsi="IRNazanin" w:eastAsia="IRNazanin" w:cs="IRNazanin"/>
            <w:color w:val="111111"/>
            <w:sz w:val="22"/>
            <w:szCs w:val="22"/>
            <w:b w:val="0"/>
            <w:bCs w:val="0"/>
            <w:i w:val="0"/>
            <w:iCs w:val="0"/>
          </w:rPr>
          <w:t>1316 دیوان چاکری تبریزی‏</w:t>
        </w:r>
        <w:r>
          <w:tab/>
        </w:r>
        <w:r>
          <w:fldChar w:fldCharType="begin"/>
        </w:r>
        <w:r>
          <w:instrText xml:space="preserve">PAGEREF 1636 \h</w:instrText>
        </w:r>
        <w:r>
          <w:fldChar w:fldCharType="end"/>
        </w:r>
      </w:hyperlink>
    </w:p>
    <w:p>
      <w:pPr>
        <w:tabs>
          <w:tab w:val="right" w:leader="dot" w:pos="9062"/>
        </w:tabs>
        <w:ind w:left="440"/>
      </w:pPr>
      <w:hyperlink w:anchor="_Toc1637" w:history="1">
        <w:r>
          <w:rPr>
            <w:rFonts w:ascii="IRNazanin" w:hAnsi="IRNazanin" w:eastAsia="IRNazanin" w:cs="IRNazanin"/>
            <w:color w:val="111111"/>
            <w:sz w:val="22"/>
            <w:szCs w:val="22"/>
            <w:b w:val="0"/>
            <w:bCs w:val="0"/>
            <w:i w:val="0"/>
            <w:iCs w:val="0"/>
          </w:rPr>
          <w:t>دیوان چپ نویس أو چپ دست‏</w:t>
        </w:r>
        <w:r>
          <w:tab/>
        </w:r>
        <w:r>
          <w:fldChar w:fldCharType="begin"/>
        </w:r>
        <w:r>
          <w:instrText xml:space="preserve">PAGEREF 1637 \h</w:instrText>
        </w:r>
        <w:r>
          <w:fldChar w:fldCharType="end"/>
        </w:r>
      </w:hyperlink>
    </w:p>
    <w:p>
      <w:pPr>
        <w:tabs>
          <w:tab w:val="right" w:leader="dot" w:pos="9062"/>
        </w:tabs>
        <w:ind w:left="440"/>
      </w:pPr>
      <w:hyperlink w:anchor="_Toc1638" w:history="1">
        <w:r>
          <w:rPr>
            <w:rFonts w:ascii="IRNazanin" w:hAnsi="IRNazanin" w:eastAsia="IRNazanin" w:cs="IRNazanin"/>
            <w:color w:val="111111"/>
            <w:sz w:val="22"/>
            <w:szCs w:val="22"/>
            <w:b w:val="0"/>
            <w:bCs w:val="0"/>
            <w:i w:val="0"/>
            <w:iCs w:val="0"/>
          </w:rPr>
          <w:t>دیوان چرگر</w:t>
        </w:r>
        <w:r>
          <w:tab/>
        </w:r>
        <w:r>
          <w:fldChar w:fldCharType="begin"/>
        </w:r>
        <w:r>
          <w:instrText xml:space="preserve">PAGEREF 1638 \h</w:instrText>
        </w:r>
        <w:r>
          <w:fldChar w:fldCharType="end"/>
        </w:r>
      </w:hyperlink>
    </w:p>
    <w:p>
      <w:pPr>
        <w:tabs>
          <w:tab w:val="right" w:leader="dot" w:pos="9062"/>
        </w:tabs>
        <w:ind w:left="440"/>
      </w:pPr>
      <w:hyperlink w:anchor="_Toc1639" w:history="1">
        <w:r>
          <w:rPr>
            <w:rFonts w:ascii="IRNazanin" w:hAnsi="IRNazanin" w:eastAsia="IRNazanin" w:cs="IRNazanin"/>
            <w:color w:val="111111"/>
            <w:sz w:val="22"/>
            <w:szCs w:val="22"/>
            <w:b w:val="0"/>
            <w:bCs w:val="0"/>
            <w:i w:val="0"/>
            <w:iCs w:val="0"/>
          </w:rPr>
          <w:t>1317- دیوان چشتی أجمیری‏</w:t>
        </w:r>
        <w:r>
          <w:tab/>
        </w:r>
        <w:r>
          <w:fldChar w:fldCharType="begin"/>
        </w:r>
        <w:r>
          <w:instrText xml:space="preserve">PAGEREF 1639 \h</w:instrText>
        </w:r>
        <w:r>
          <w:fldChar w:fldCharType="end"/>
        </w:r>
      </w:hyperlink>
    </w:p>
    <w:p>
      <w:pPr>
        <w:tabs>
          <w:tab w:val="right" w:leader="dot" w:pos="9062"/>
        </w:tabs>
        <w:ind w:left="440"/>
      </w:pPr>
      <w:hyperlink w:anchor="_Toc1640" w:history="1">
        <w:r>
          <w:rPr>
            <w:rFonts w:ascii="IRNazanin" w:hAnsi="IRNazanin" w:eastAsia="IRNazanin" w:cs="IRNazanin"/>
            <w:color w:val="111111"/>
            <w:sz w:val="22"/>
            <w:szCs w:val="22"/>
            <w:b w:val="0"/>
            <w:bCs w:val="0"/>
            <w:i w:val="0"/>
            <w:iCs w:val="0"/>
          </w:rPr>
          <w:t>1318- دیوان چشتی دهلوی‏</w:t>
        </w:r>
        <w:r>
          <w:tab/>
        </w:r>
        <w:r>
          <w:fldChar w:fldCharType="begin"/>
        </w:r>
        <w:r>
          <w:instrText xml:space="preserve">PAGEREF 1640 \h</w:instrText>
        </w:r>
        <w:r>
          <w:fldChar w:fldCharType="end"/>
        </w:r>
      </w:hyperlink>
    </w:p>
    <w:p>
      <w:pPr>
        <w:tabs>
          <w:tab w:val="right" w:leader="dot" w:pos="9062"/>
        </w:tabs>
        <w:ind w:left="440"/>
      </w:pPr>
      <w:hyperlink w:anchor="_Toc1641" w:history="1">
        <w:r>
          <w:rPr>
            <w:rFonts w:ascii="IRNazanin" w:hAnsi="IRNazanin" w:eastAsia="IRNazanin" w:cs="IRNazanin"/>
            <w:color w:val="111111"/>
            <w:sz w:val="22"/>
            <w:szCs w:val="22"/>
            <w:b w:val="0"/>
            <w:bCs w:val="0"/>
            <w:i w:val="0"/>
            <w:iCs w:val="0"/>
          </w:rPr>
          <w:t>دیوان چکنی‏</w:t>
        </w:r>
        <w:r>
          <w:tab/>
        </w:r>
        <w:r>
          <w:fldChar w:fldCharType="begin"/>
        </w:r>
        <w:r>
          <w:instrText xml:space="preserve">PAGEREF 1641 \h</w:instrText>
        </w:r>
        <w:r>
          <w:fldChar w:fldCharType="end"/>
        </w:r>
      </w:hyperlink>
    </w:p>
    <w:p>
      <w:pPr>
        <w:tabs>
          <w:tab w:val="right" w:leader="dot" w:pos="9062"/>
        </w:tabs>
        <w:ind w:left="440"/>
      </w:pPr>
      <w:hyperlink w:anchor="_Toc1642" w:history="1">
        <w:r>
          <w:rPr>
            <w:rFonts w:ascii="IRNazanin" w:hAnsi="IRNazanin" w:eastAsia="IRNazanin" w:cs="IRNazanin"/>
            <w:color w:val="111111"/>
            <w:sz w:val="22"/>
            <w:szCs w:val="22"/>
            <w:b w:val="0"/>
            <w:bCs w:val="0"/>
            <w:i w:val="0"/>
            <w:iCs w:val="0"/>
          </w:rPr>
          <w:t>دیوان چلبی تبریزی‏</w:t>
        </w:r>
        <w:r>
          <w:tab/>
        </w:r>
        <w:r>
          <w:fldChar w:fldCharType="begin"/>
        </w:r>
        <w:r>
          <w:instrText xml:space="preserve">PAGEREF 1642 \h</w:instrText>
        </w:r>
        <w:r>
          <w:fldChar w:fldCharType="end"/>
        </w:r>
      </w:hyperlink>
    </w:p>
    <w:p>
      <w:pPr>
        <w:tabs>
          <w:tab w:val="right" w:leader="dot" w:pos="9062"/>
        </w:tabs>
        <w:ind w:left="440"/>
      </w:pPr>
      <w:hyperlink w:anchor="_Toc1643" w:history="1">
        <w:r>
          <w:rPr>
            <w:rFonts w:ascii="IRNazanin" w:hAnsi="IRNazanin" w:eastAsia="IRNazanin" w:cs="IRNazanin"/>
            <w:color w:val="111111"/>
            <w:sz w:val="22"/>
            <w:szCs w:val="22"/>
            <w:b w:val="0"/>
            <w:bCs w:val="0"/>
            <w:i w:val="0"/>
            <w:iCs w:val="0"/>
          </w:rPr>
          <w:t>1319- دیوان چلبی تبریزی أو شعره‏</w:t>
        </w:r>
        <w:r>
          <w:tab/>
        </w:r>
        <w:r>
          <w:fldChar w:fldCharType="begin"/>
        </w:r>
        <w:r>
          <w:instrText xml:space="preserve">PAGEREF 1643 \h</w:instrText>
        </w:r>
        <w:r>
          <w:fldChar w:fldCharType="end"/>
        </w:r>
      </w:hyperlink>
    </w:p>
    <w:p>
      <w:pPr>
        <w:tabs>
          <w:tab w:val="right" w:leader="dot" w:pos="9062"/>
        </w:tabs>
        <w:ind w:left="440"/>
      </w:pPr>
      <w:hyperlink w:anchor="_Toc1644" w:history="1">
        <w:r>
          <w:rPr>
            <w:rFonts w:ascii="IRNazanin" w:hAnsi="IRNazanin" w:eastAsia="IRNazanin" w:cs="IRNazanin"/>
            <w:color w:val="111111"/>
            <w:sz w:val="22"/>
            <w:szCs w:val="22"/>
            <w:b w:val="0"/>
            <w:bCs w:val="0"/>
            <w:i w:val="0"/>
            <w:iCs w:val="0"/>
          </w:rPr>
          <w:t>1320 دیوان چلبی تبریزی أو شعره‏</w:t>
        </w:r>
        <w:r>
          <w:tab/>
        </w:r>
        <w:r>
          <w:fldChar w:fldCharType="begin"/>
        </w:r>
        <w:r>
          <w:instrText xml:space="preserve">PAGEREF 1644 \h</w:instrText>
        </w:r>
        <w:r>
          <w:fldChar w:fldCharType="end"/>
        </w:r>
      </w:hyperlink>
    </w:p>
    <w:p>
      <w:pPr>
        <w:tabs>
          <w:tab w:val="right" w:leader="dot" w:pos="9062"/>
        </w:tabs>
        <w:ind w:left="440"/>
      </w:pPr>
      <w:hyperlink w:anchor="_Toc1645" w:history="1">
        <w:r>
          <w:rPr>
            <w:rFonts w:ascii="IRNazanin" w:hAnsi="IRNazanin" w:eastAsia="IRNazanin" w:cs="IRNazanin"/>
            <w:color w:val="111111"/>
            <w:sz w:val="22"/>
            <w:szCs w:val="22"/>
            <w:b w:val="0"/>
            <w:bCs w:val="0"/>
            <w:i w:val="0"/>
            <w:iCs w:val="0"/>
          </w:rPr>
          <w:t>ح‏</w:t>
        </w:r>
        <w:r>
          <w:tab/>
        </w:r>
        <w:r>
          <w:fldChar w:fldCharType="begin"/>
        </w:r>
        <w:r>
          <w:instrText xml:space="preserve">PAGEREF 1645 \h</w:instrText>
        </w:r>
        <w:r>
          <w:fldChar w:fldCharType="end"/>
        </w:r>
      </w:hyperlink>
    </w:p>
    <w:p>
      <w:pPr>
        <w:tabs>
          <w:tab w:val="right" w:leader="dot" w:pos="9062"/>
        </w:tabs>
        <w:ind w:left="440"/>
      </w:pPr>
      <w:hyperlink w:anchor="_Toc1646" w:history="1">
        <w:r>
          <w:rPr>
            <w:rFonts w:ascii="IRNazanin" w:hAnsi="IRNazanin" w:eastAsia="IRNazanin" w:cs="IRNazanin"/>
            <w:color w:val="111111"/>
            <w:sz w:val="22"/>
            <w:szCs w:val="22"/>
            <w:b w:val="0"/>
            <w:bCs w:val="0"/>
            <w:i w:val="0"/>
            <w:iCs w:val="0"/>
          </w:rPr>
          <w:t>1321- دیوان الحائری أو شعره‏</w:t>
        </w:r>
        <w:r>
          <w:tab/>
        </w:r>
        <w:r>
          <w:fldChar w:fldCharType="begin"/>
        </w:r>
        <w:r>
          <w:instrText xml:space="preserve">PAGEREF 1646 \h</w:instrText>
        </w:r>
        <w:r>
          <w:fldChar w:fldCharType="end"/>
        </w:r>
      </w:hyperlink>
    </w:p>
    <w:p>
      <w:pPr>
        <w:tabs>
          <w:tab w:val="right" w:leader="dot" w:pos="9062"/>
        </w:tabs>
        <w:ind w:left="440"/>
      </w:pPr>
      <w:hyperlink w:anchor="_Toc1647" w:history="1">
        <w:r>
          <w:rPr>
            <w:rFonts w:ascii="IRNazanin" w:hAnsi="IRNazanin" w:eastAsia="IRNazanin" w:cs="IRNazanin"/>
            <w:color w:val="111111"/>
            <w:sz w:val="22"/>
            <w:szCs w:val="22"/>
            <w:b w:val="0"/>
            <w:bCs w:val="0"/>
            <w:i w:val="0"/>
            <w:iCs w:val="0"/>
          </w:rPr>
          <w:t>دیوان حاتم أردوبادی أو شعره‏</w:t>
        </w:r>
        <w:r>
          <w:tab/>
        </w:r>
        <w:r>
          <w:fldChar w:fldCharType="begin"/>
        </w:r>
        <w:r>
          <w:instrText xml:space="preserve">PAGEREF 1647 \h</w:instrText>
        </w:r>
        <w:r>
          <w:fldChar w:fldCharType="end"/>
        </w:r>
      </w:hyperlink>
    </w:p>
    <w:p>
      <w:pPr>
        <w:tabs>
          <w:tab w:val="right" w:leader="dot" w:pos="9062"/>
        </w:tabs>
        <w:ind w:left="440"/>
      </w:pPr>
      <w:hyperlink w:anchor="_Toc1648" w:history="1">
        <w:r>
          <w:rPr>
            <w:rFonts w:ascii="IRNazanin" w:hAnsi="IRNazanin" w:eastAsia="IRNazanin" w:cs="IRNazanin"/>
            <w:color w:val="111111"/>
            <w:sz w:val="22"/>
            <w:szCs w:val="22"/>
            <w:b w:val="0"/>
            <w:bCs w:val="0"/>
            <w:i w:val="0"/>
            <w:iCs w:val="0"/>
          </w:rPr>
          <w:t>1322- دیوان حاتم دهلوی أو شعره‏</w:t>
        </w:r>
        <w:r>
          <w:tab/>
        </w:r>
        <w:r>
          <w:fldChar w:fldCharType="begin"/>
        </w:r>
        <w:r>
          <w:instrText xml:space="preserve">PAGEREF 1648 \h</w:instrText>
        </w:r>
        <w:r>
          <w:fldChar w:fldCharType="end"/>
        </w:r>
      </w:hyperlink>
    </w:p>
    <w:p>
      <w:pPr>
        <w:tabs>
          <w:tab w:val="right" w:leader="dot" w:pos="9062"/>
        </w:tabs>
        <w:ind w:left="440"/>
      </w:pPr>
      <w:hyperlink w:anchor="_Toc1649" w:history="1">
        <w:r>
          <w:rPr>
            <w:rFonts w:ascii="IRNazanin" w:hAnsi="IRNazanin" w:eastAsia="IRNazanin" w:cs="IRNazanin"/>
            <w:color w:val="111111"/>
            <w:sz w:val="22"/>
            <w:szCs w:val="22"/>
            <w:b w:val="0"/>
            <w:bCs w:val="0"/>
            <w:i w:val="0"/>
            <w:iCs w:val="0"/>
          </w:rPr>
          <w:t>1323- دیوان حاتم العربی‏</w:t>
        </w:r>
        <w:r>
          <w:tab/>
        </w:r>
        <w:r>
          <w:fldChar w:fldCharType="begin"/>
        </w:r>
        <w:r>
          <w:instrText xml:space="preserve">PAGEREF 1649 \h</w:instrText>
        </w:r>
        <w:r>
          <w:fldChar w:fldCharType="end"/>
        </w:r>
      </w:hyperlink>
    </w:p>
    <w:p>
      <w:pPr>
        <w:tabs>
          <w:tab w:val="right" w:leader="dot" w:pos="9062"/>
        </w:tabs>
        <w:ind w:left="440"/>
      </w:pPr>
      <w:hyperlink w:anchor="_Toc1650" w:history="1">
        <w:r>
          <w:rPr>
            <w:rFonts w:ascii="IRNazanin" w:hAnsi="IRNazanin" w:eastAsia="IRNazanin" w:cs="IRNazanin"/>
            <w:color w:val="111111"/>
            <w:sz w:val="22"/>
            <w:szCs w:val="22"/>
            <w:b w:val="0"/>
            <w:bCs w:val="0"/>
            <w:i w:val="0"/>
            <w:iCs w:val="0"/>
          </w:rPr>
          <w:t>1324- دیوان حاتم الکاشی‏</w:t>
        </w:r>
        <w:r>
          <w:tab/>
        </w:r>
        <w:r>
          <w:fldChar w:fldCharType="begin"/>
        </w:r>
        <w:r>
          <w:instrText xml:space="preserve">PAGEREF 1650 \h</w:instrText>
        </w:r>
        <w:r>
          <w:fldChar w:fldCharType="end"/>
        </w:r>
      </w:hyperlink>
    </w:p>
    <w:p>
      <w:pPr>
        <w:tabs>
          <w:tab w:val="right" w:leader="dot" w:pos="9062"/>
        </w:tabs>
        <w:ind w:left="440"/>
      </w:pPr>
      <w:hyperlink w:anchor="_Toc1651" w:history="1">
        <w:r>
          <w:rPr>
            <w:rFonts w:ascii="IRNazanin" w:hAnsi="IRNazanin" w:eastAsia="IRNazanin" w:cs="IRNazanin"/>
            <w:color w:val="111111"/>
            <w:sz w:val="22"/>
            <w:szCs w:val="22"/>
            <w:b w:val="0"/>
            <w:bCs w:val="0"/>
            <w:i w:val="0"/>
            <w:iCs w:val="0"/>
          </w:rPr>
          <w:t>1325- دیوان حاتم همدانی أو شعره‏</w:t>
        </w:r>
        <w:r>
          <w:tab/>
        </w:r>
        <w:r>
          <w:fldChar w:fldCharType="begin"/>
        </w:r>
        <w:r>
          <w:instrText xml:space="preserve">PAGEREF 1651 \h</w:instrText>
        </w:r>
        <w:r>
          <w:fldChar w:fldCharType="end"/>
        </w:r>
      </w:hyperlink>
    </w:p>
    <w:p>
      <w:pPr>
        <w:tabs>
          <w:tab w:val="right" w:leader="dot" w:pos="9062"/>
        </w:tabs>
        <w:ind w:left="440"/>
      </w:pPr>
      <w:hyperlink w:anchor="_Toc1652" w:history="1">
        <w:r>
          <w:rPr>
            <w:rFonts w:ascii="IRNazanin" w:hAnsi="IRNazanin" w:eastAsia="IRNazanin" w:cs="IRNazanin"/>
            <w:color w:val="111111"/>
            <w:sz w:val="22"/>
            <w:szCs w:val="22"/>
            <w:b w:val="0"/>
            <w:bCs w:val="0"/>
            <w:i w:val="0"/>
            <w:iCs w:val="0"/>
          </w:rPr>
          <w:t>1326- دیوان حاجب‏</w:t>
        </w:r>
        <w:r>
          <w:tab/>
        </w:r>
        <w:r>
          <w:fldChar w:fldCharType="begin"/>
        </w:r>
        <w:r>
          <w:instrText xml:space="preserve">PAGEREF 1652 \h</w:instrText>
        </w:r>
        <w:r>
          <w:fldChar w:fldCharType="end"/>
        </w:r>
      </w:hyperlink>
    </w:p>
    <w:p>
      <w:pPr>
        <w:tabs>
          <w:tab w:val="right" w:leader="dot" w:pos="9062"/>
        </w:tabs>
        <w:ind w:left="440"/>
      </w:pPr>
      <w:hyperlink w:anchor="_Toc1653" w:history="1">
        <w:r>
          <w:rPr>
            <w:rFonts w:ascii="IRNazanin" w:hAnsi="IRNazanin" w:eastAsia="IRNazanin" w:cs="IRNazanin"/>
            <w:color w:val="111111"/>
            <w:sz w:val="22"/>
            <w:szCs w:val="22"/>
            <w:b w:val="0"/>
            <w:bCs w:val="0"/>
            <w:i w:val="0"/>
            <w:iCs w:val="0"/>
          </w:rPr>
          <w:t>1327- دیوان حاجب أصفهانی أو شعره‏</w:t>
        </w:r>
        <w:r>
          <w:tab/>
        </w:r>
        <w:r>
          <w:fldChar w:fldCharType="begin"/>
        </w:r>
        <w:r>
          <w:instrText xml:space="preserve">PAGEREF 1653 \h</w:instrText>
        </w:r>
        <w:r>
          <w:fldChar w:fldCharType="end"/>
        </w:r>
      </w:hyperlink>
    </w:p>
    <w:p>
      <w:pPr>
        <w:tabs>
          <w:tab w:val="right" w:leader="dot" w:pos="9062"/>
        </w:tabs>
        <w:ind w:left="440"/>
      </w:pPr>
      <w:hyperlink w:anchor="_Toc1654" w:history="1">
        <w:r>
          <w:rPr>
            <w:rFonts w:ascii="IRNazanin" w:hAnsi="IRNazanin" w:eastAsia="IRNazanin" w:cs="IRNazanin"/>
            <w:color w:val="111111"/>
            <w:sz w:val="22"/>
            <w:szCs w:val="22"/>
            <w:b w:val="0"/>
            <w:bCs w:val="0"/>
            <w:i w:val="0"/>
            <w:iCs w:val="0"/>
          </w:rPr>
          <w:t>1328- دیوان حاجب شیرازی‏</w:t>
        </w:r>
        <w:r>
          <w:tab/>
        </w:r>
        <w:r>
          <w:fldChar w:fldCharType="begin"/>
        </w:r>
        <w:r>
          <w:instrText xml:space="preserve">PAGEREF 1654 \h</w:instrText>
        </w:r>
        <w:r>
          <w:fldChar w:fldCharType="end"/>
        </w:r>
      </w:hyperlink>
    </w:p>
    <w:p>
      <w:pPr>
        <w:tabs>
          <w:tab w:val="right" w:leader="dot" w:pos="9062"/>
        </w:tabs>
        <w:ind w:left="440"/>
      </w:pPr>
      <w:hyperlink w:anchor="_Toc1655" w:history="1">
        <w:r>
          <w:rPr>
            <w:rFonts w:ascii="IRNazanin" w:hAnsi="IRNazanin" w:eastAsia="IRNazanin" w:cs="IRNazanin"/>
            <w:color w:val="111111"/>
            <w:sz w:val="22"/>
            <w:szCs w:val="22"/>
            <w:b w:val="0"/>
            <w:bCs w:val="0"/>
            <w:i w:val="0"/>
            <w:iCs w:val="0"/>
          </w:rPr>
          <w:t>1329- دیوان حاجب طهرانی‏</w:t>
        </w:r>
        <w:r>
          <w:tab/>
        </w:r>
        <w:r>
          <w:fldChar w:fldCharType="begin"/>
        </w:r>
        <w:r>
          <w:instrText xml:space="preserve">PAGEREF 1655 \h</w:instrText>
        </w:r>
        <w:r>
          <w:fldChar w:fldCharType="end"/>
        </w:r>
      </w:hyperlink>
    </w:p>
    <w:p>
      <w:pPr>
        <w:tabs>
          <w:tab w:val="right" w:leader="dot" w:pos="9062"/>
        </w:tabs>
        <w:ind w:left="440"/>
      </w:pPr>
      <w:hyperlink w:anchor="_Toc1656" w:history="1">
        <w:r>
          <w:rPr>
            <w:rFonts w:ascii="IRNazanin" w:hAnsi="IRNazanin" w:eastAsia="IRNazanin" w:cs="IRNazanin"/>
            <w:color w:val="111111"/>
            <w:sz w:val="22"/>
            <w:szCs w:val="22"/>
            <w:b w:val="0"/>
            <w:bCs w:val="0"/>
            <w:i w:val="0"/>
            <w:iCs w:val="0"/>
          </w:rPr>
          <w:t>1330- دیوان حاجت شیرازی‏</w:t>
        </w:r>
        <w:r>
          <w:tab/>
        </w:r>
        <w:r>
          <w:fldChar w:fldCharType="begin"/>
        </w:r>
        <w:r>
          <w:instrText xml:space="preserve">PAGEREF 1656 \h</w:instrText>
        </w:r>
        <w:r>
          <w:fldChar w:fldCharType="end"/>
        </w:r>
      </w:hyperlink>
    </w:p>
    <w:p>
      <w:pPr>
        <w:tabs>
          <w:tab w:val="right" w:leader="dot" w:pos="9062"/>
        </w:tabs>
        <w:ind w:left="440"/>
      </w:pPr>
      <w:hyperlink w:anchor="_Toc1657" w:history="1">
        <w:r>
          <w:rPr>
            <w:rFonts w:ascii="IRNazanin" w:hAnsi="IRNazanin" w:eastAsia="IRNazanin" w:cs="IRNazanin"/>
            <w:color w:val="111111"/>
            <w:sz w:val="22"/>
            <w:szCs w:val="22"/>
            <w:b w:val="0"/>
            <w:bCs w:val="0"/>
            <w:i w:val="0"/>
            <w:iCs w:val="0"/>
          </w:rPr>
          <w:t>1331- دیوان حاجی‏</w:t>
        </w:r>
        <w:r>
          <w:tab/>
        </w:r>
        <w:r>
          <w:fldChar w:fldCharType="begin"/>
        </w:r>
        <w:r>
          <w:instrText xml:space="preserve">PAGEREF 1657 \h</w:instrText>
        </w:r>
        <w:r>
          <w:fldChar w:fldCharType="end"/>
        </w:r>
      </w:hyperlink>
    </w:p>
    <w:p>
      <w:pPr>
        <w:tabs>
          <w:tab w:val="right" w:leader="dot" w:pos="9062"/>
        </w:tabs>
        <w:ind w:left="440"/>
      </w:pPr>
      <w:hyperlink w:anchor="_Toc1658" w:history="1">
        <w:r>
          <w:rPr>
            <w:rFonts w:ascii="IRNazanin" w:hAnsi="IRNazanin" w:eastAsia="IRNazanin" w:cs="IRNazanin"/>
            <w:color w:val="111111"/>
            <w:sz w:val="22"/>
            <w:szCs w:val="22"/>
            <w:b w:val="0"/>
            <w:bCs w:val="0"/>
            <w:i w:val="0"/>
            <w:iCs w:val="0"/>
          </w:rPr>
          <w:t>1332- دیوان حاجی ابرقوهی‏</w:t>
        </w:r>
        <w:r>
          <w:tab/>
        </w:r>
        <w:r>
          <w:fldChar w:fldCharType="begin"/>
        </w:r>
        <w:r>
          <w:instrText xml:space="preserve">PAGEREF 1658 \h</w:instrText>
        </w:r>
        <w:r>
          <w:fldChar w:fldCharType="end"/>
        </w:r>
      </w:hyperlink>
    </w:p>
    <w:p>
      <w:pPr>
        <w:tabs>
          <w:tab w:val="right" w:leader="dot" w:pos="9062"/>
        </w:tabs>
        <w:ind w:left="440"/>
      </w:pPr>
      <w:hyperlink w:anchor="_Toc1659" w:history="1">
        <w:r>
          <w:rPr>
            <w:rFonts w:ascii="IRNazanin" w:hAnsi="IRNazanin" w:eastAsia="IRNazanin" w:cs="IRNazanin"/>
            <w:color w:val="111111"/>
            <w:sz w:val="22"/>
            <w:szCs w:val="22"/>
            <w:b w:val="0"/>
            <w:bCs w:val="0"/>
            <w:i w:val="0"/>
            <w:iCs w:val="0"/>
          </w:rPr>
          <w:t>1333- دیوان حاجی أردبیلی أو شعره‏</w:t>
        </w:r>
        <w:r>
          <w:tab/>
        </w:r>
        <w:r>
          <w:fldChar w:fldCharType="begin"/>
        </w:r>
        <w:r>
          <w:instrText xml:space="preserve">PAGEREF 1659 \h</w:instrText>
        </w:r>
        <w:r>
          <w:fldChar w:fldCharType="end"/>
        </w:r>
      </w:hyperlink>
    </w:p>
    <w:p>
      <w:pPr>
        <w:tabs>
          <w:tab w:val="right" w:leader="dot" w:pos="9062"/>
        </w:tabs>
        <w:ind w:left="440"/>
      </w:pPr>
      <w:hyperlink w:anchor="_Toc1660" w:history="1">
        <w:r>
          <w:rPr>
            <w:rFonts w:ascii="IRNazanin" w:hAnsi="IRNazanin" w:eastAsia="IRNazanin" w:cs="IRNazanin"/>
            <w:color w:val="111111"/>
            <w:sz w:val="22"/>
            <w:szCs w:val="22"/>
            <w:b w:val="0"/>
            <w:bCs w:val="0"/>
            <w:i w:val="0"/>
            <w:iCs w:val="0"/>
          </w:rPr>
          <w:t>دیوان حاجی بغدادی‏</w:t>
        </w:r>
        <w:r>
          <w:tab/>
        </w:r>
        <w:r>
          <w:fldChar w:fldCharType="begin"/>
        </w:r>
        <w:r>
          <w:instrText xml:space="preserve">PAGEREF 1660 \h</w:instrText>
        </w:r>
        <w:r>
          <w:fldChar w:fldCharType="end"/>
        </w:r>
      </w:hyperlink>
    </w:p>
    <w:p>
      <w:pPr>
        <w:tabs>
          <w:tab w:val="right" w:leader="dot" w:pos="9062"/>
        </w:tabs>
        <w:ind w:left="440"/>
      </w:pPr>
      <w:hyperlink w:anchor="_Toc1661" w:history="1">
        <w:r>
          <w:rPr>
            <w:rFonts w:ascii="IRNazanin" w:hAnsi="IRNazanin" w:eastAsia="IRNazanin" w:cs="IRNazanin"/>
            <w:color w:val="111111"/>
            <w:sz w:val="22"/>
            <w:szCs w:val="22"/>
            <w:b w:val="0"/>
            <w:bCs w:val="0"/>
            <w:i w:val="0"/>
            <w:iCs w:val="0"/>
          </w:rPr>
          <w:t>1334- دیوان حاجی بیگ قزوینی أو شعره‏</w:t>
        </w:r>
        <w:r>
          <w:tab/>
        </w:r>
        <w:r>
          <w:fldChar w:fldCharType="begin"/>
        </w:r>
        <w:r>
          <w:instrText xml:space="preserve">PAGEREF 1661 \h</w:instrText>
        </w:r>
        <w:r>
          <w:fldChar w:fldCharType="end"/>
        </w:r>
      </w:hyperlink>
    </w:p>
    <w:p>
      <w:pPr>
        <w:tabs>
          <w:tab w:val="right" w:leader="dot" w:pos="9062"/>
        </w:tabs>
        <w:ind w:left="440"/>
      </w:pPr>
      <w:hyperlink w:anchor="_Toc1662" w:history="1">
        <w:r>
          <w:rPr>
            <w:rFonts w:ascii="IRNazanin" w:hAnsi="IRNazanin" w:eastAsia="IRNazanin" w:cs="IRNazanin"/>
            <w:color w:val="111111"/>
            <w:sz w:val="22"/>
            <w:szCs w:val="22"/>
            <w:b w:val="0"/>
            <w:bCs w:val="0"/>
            <w:i w:val="0"/>
            <w:iCs w:val="0"/>
          </w:rPr>
          <w:t>دیوان حاجی روشنی‏</w:t>
        </w:r>
        <w:r>
          <w:tab/>
        </w:r>
        <w:r>
          <w:fldChar w:fldCharType="begin"/>
        </w:r>
        <w:r>
          <w:instrText xml:space="preserve">PAGEREF 1662 \h</w:instrText>
        </w:r>
        <w:r>
          <w:fldChar w:fldCharType="end"/>
        </w:r>
      </w:hyperlink>
    </w:p>
    <w:p>
      <w:pPr>
        <w:tabs>
          <w:tab w:val="right" w:leader="dot" w:pos="9062"/>
        </w:tabs>
        <w:ind w:left="440"/>
      </w:pPr>
      <w:hyperlink w:anchor="_Toc1663" w:history="1">
        <w:r>
          <w:rPr>
            <w:rFonts w:ascii="IRNazanin" w:hAnsi="IRNazanin" w:eastAsia="IRNazanin" w:cs="IRNazanin"/>
            <w:color w:val="111111"/>
            <w:sz w:val="22"/>
            <w:szCs w:val="22"/>
            <w:b w:val="0"/>
            <w:bCs w:val="0"/>
            <w:i w:val="0"/>
            <w:iCs w:val="0"/>
          </w:rPr>
          <w:t>دیوان حاجی سبزواری‏</w:t>
        </w:r>
        <w:r>
          <w:tab/>
        </w:r>
        <w:r>
          <w:fldChar w:fldCharType="begin"/>
        </w:r>
        <w:r>
          <w:instrText xml:space="preserve">PAGEREF 1663 \h</w:instrText>
        </w:r>
        <w:r>
          <w:fldChar w:fldCharType="end"/>
        </w:r>
      </w:hyperlink>
    </w:p>
    <w:p>
      <w:pPr>
        <w:tabs>
          <w:tab w:val="right" w:leader="dot" w:pos="9062"/>
        </w:tabs>
        <w:ind w:left="440"/>
      </w:pPr>
      <w:hyperlink w:anchor="_Toc1664" w:history="1">
        <w:r>
          <w:rPr>
            <w:rFonts w:ascii="IRNazanin" w:hAnsi="IRNazanin" w:eastAsia="IRNazanin" w:cs="IRNazanin"/>
            <w:color w:val="111111"/>
            <w:sz w:val="22"/>
            <w:szCs w:val="22"/>
            <w:b w:val="0"/>
            <w:bCs w:val="0"/>
            <w:i w:val="0"/>
            <w:iCs w:val="0"/>
          </w:rPr>
          <w:t>دیوان حاجی سمرقندی‏</w:t>
        </w:r>
        <w:r>
          <w:tab/>
        </w:r>
        <w:r>
          <w:fldChar w:fldCharType="begin"/>
        </w:r>
        <w:r>
          <w:instrText xml:space="preserve">PAGEREF 1664 \h</w:instrText>
        </w:r>
        <w:r>
          <w:fldChar w:fldCharType="end"/>
        </w:r>
      </w:hyperlink>
    </w:p>
    <w:p>
      <w:pPr>
        <w:tabs>
          <w:tab w:val="right" w:leader="dot" w:pos="9062"/>
        </w:tabs>
        <w:ind w:left="440"/>
      </w:pPr>
      <w:hyperlink w:anchor="_Toc1665" w:history="1">
        <w:r>
          <w:rPr>
            <w:rFonts w:ascii="IRNazanin" w:hAnsi="IRNazanin" w:eastAsia="IRNazanin" w:cs="IRNazanin"/>
            <w:color w:val="111111"/>
            <w:sz w:val="22"/>
            <w:szCs w:val="22"/>
            <w:b w:val="0"/>
            <w:bCs w:val="0"/>
            <w:i w:val="0"/>
            <w:iCs w:val="0"/>
          </w:rPr>
          <w:t>1335- دیوان حاجی طبسی أو شعره‏</w:t>
        </w:r>
        <w:r>
          <w:tab/>
        </w:r>
        <w:r>
          <w:fldChar w:fldCharType="begin"/>
        </w:r>
        <w:r>
          <w:instrText xml:space="preserve">PAGEREF 1665 \h</w:instrText>
        </w:r>
        <w:r>
          <w:fldChar w:fldCharType="end"/>
        </w:r>
      </w:hyperlink>
    </w:p>
    <w:p>
      <w:pPr>
        <w:tabs>
          <w:tab w:val="right" w:leader="dot" w:pos="9062"/>
        </w:tabs>
        <w:ind w:left="440"/>
      </w:pPr>
      <w:hyperlink w:anchor="_Toc1666" w:history="1">
        <w:r>
          <w:rPr>
            <w:rFonts w:ascii="IRNazanin" w:hAnsi="IRNazanin" w:eastAsia="IRNazanin" w:cs="IRNazanin"/>
            <w:color w:val="111111"/>
            <w:sz w:val="22"/>
            <w:szCs w:val="22"/>
            <w:b w:val="0"/>
            <w:bCs w:val="0"/>
            <w:i w:val="0"/>
            <w:iCs w:val="0"/>
          </w:rPr>
          <w:t>1336- دیوان حاجی طهرانی أو شعره‏</w:t>
        </w:r>
        <w:r>
          <w:tab/>
        </w:r>
        <w:r>
          <w:fldChar w:fldCharType="begin"/>
        </w:r>
        <w:r>
          <w:instrText xml:space="preserve">PAGEREF 1666 \h</w:instrText>
        </w:r>
        <w:r>
          <w:fldChar w:fldCharType="end"/>
        </w:r>
      </w:hyperlink>
    </w:p>
    <w:p>
      <w:pPr>
        <w:tabs>
          <w:tab w:val="right" w:leader="dot" w:pos="9062"/>
        </w:tabs>
        <w:ind w:left="440"/>
      </w:pPr>
      <w:hyperlink w:anchor="_Toc1667" w:history="1">
        <w:r>
          <w:rPr>
            <w:rFonts w:ascii="IRNazanin" w:hAnsi="IRNazanin" w:eastAsia="IRNazanin" w:cs="IRNazanin"/>
            <w:color w:val="111111"/>
            <w:sz w:val="22"/>
            <w:szCs w:val="22"/>
            <w:b w:val="0"/>
            <w:bCs w:val="0"/>
            <w:i w:val="0"/>
            <w:iCs w:val="0"/>
          </w:rPr>
          <w:t>1337- دیوان حاجی عرب أو شعره‏</w:t>
        </w:r>
        <w:r>
          <w:tab/>
        </w:r>
        <w:r>
          <w:fldChar w:fldCharType="begin"/>
        </w:r>
        <w:r>
          <w:instrText xml:space="preserve">PAGEREF 1667 \h</w:instrText>
        </w:r>
        <w:r>
          <w:fldChar w:fldCharType="end"/>
        </w:r>
      </w:hyperlink>
    </w:p>
    <w:p>
      <w:pPr>
        <w:tabs>
          <w:tab w:val="right" w:leader="dot" w:pos="9062"/>
        </w:tabs>
        <w:ind w:left="440"/>
      </w:pPr>
      <w:hyperlink w:anchor="_Toc1668" w:history="1">
        <w:r>
          <w:rPr>
            <w:rFonts w:ascii="IRNazanin" w:hAnsi="IRNazanin" w:eastAsia="IRNazanin" w:cs="IRNazanin"/>
            <w:color w:val="111111"/>
            <w:sz w:val="22"/>
            <w:szCs w:val="22"/>
            <w:b w:val="0"/>
            <w:bCs w:val="0"/>
            <w:i w:val="0"/>
            <w:iCs w:val="0"/>
          </w:rPr>
          <w:t>1338- دیوان حاجی قزوینی أو شعره‏</w:t>
        </w:r>
        <w:r>
          <w:tab/>
        </w:r>
        <w:r>
          <w:fldChar w:fldCharType="begin"/>
        </w:r>
        <w:r>
          <w:instrText xml:space="preserve">PAGEREF 1668 \h</w:instrText>
        </w:r>
        <w:r>
          <w:fldChar w:fldCharType="end"/>
        </w:r>
      </w:hyperlink>
    </w:p>
    <w:p>
      <w:pPr>
        <w:tabs>
          <w:tab w:val="right" w:leader="dot" w:pos="9062"/>
        </w:tabs>
        <w:ind w:left="440"/>
      </w:pPr>
      <w:hyperlink w:anchor="_Toc1669" w:history="1">
        <w:r>
          <w:rPr>
            <w:rFonts w:ascii="IRNazanin" w:hAnsi="IRNazanin" w:eastAsia="IRNazanin" w:cs="IRNazanin"/>
            <w:color w:val="111111"/>
            <w:sz w:val="22"/>
            <w:szCs w:val="22"/>
            <w:b w:val="0"/>
            <w:bCs w:val="0"/>
            <w:i w:val="0"/>
            <w:iCs w:val="0"/>
          </w:rPr>
          <w:t>1339- دیوان حاجی گیلانی أو شعره‏</w:t>
        </w:r>
        <w:r>
          <w:tab/>
        </w:r>
        <w:r>
          <w:fldChar w:fldCharType="begin"/>
        </w:r>
        <w:r>
          <w:instrText xml:space="preserve">PAGEREF 1669 \h</w:instrText>
        </w:r>
        <w:r>
          <w:fldChar w:fldCharType="end"/>
        </w:r>
      </w:hyperlink>
    </w:p>
    <w:p>
      <w:pPr>
        <w:tabs>
          <w:tab w:val="right" w:leader="dot" w:pos="9062"/>
        </w:tabs>
        <w:ind w:left="440"/>
      </w:pPr>
      <w:hyperlink w:anchor="_Toc1670" w:history="1">
        <w:r>
          <w:rPr>
            <w:rFonts w:ascii="IRNazanin" w:hAnsi="IRNazanin" w:eastAsia="IRNazanin" w:cs="IRNazanin"/>
            <w:color w:val="111111"/>
            <w:sz w:val="22"/>
            <w:szCs w:val="22"/>
            <w:b w:val="0"/>
            <w:bCs w:val="0"/>
            <w:i w:val="0"/>
            <w:iCs w:val="0"/>
          </w:rPr>
          <w:t>دیوان حاجی‏لر</w:t>
        </w:r>
        <w:r>
          <w:tab/>
        </w:r>
        <w:r>
          <w:fldChar w:fldCharType="begin"/>
        </w:r>
        <w:r>
          <w:instrText xml:space="preserve">PAGEREF 1670 \h</w:instrText>
        </w:r>
        <w:r>
          <w:fldChar w:fldCharType="end"/>
        </w:r>
      </w:hyperlink>
    </w:p>
    <w:p>
      <w:pPr>
        <w:tabs>
          <w:tab w:val="right" w:leader="dot" w:pos="9062"/>
        </w:tabs>
        <w:ind w:left="440"/>
      </w:pPr>
      <w:hyperlink w:anchor="_Toc1671" w:history="1">
        <w:r>
          <w:rPr>
            <w:rFonts w:ascii="IRNazanin" w:hAnsi="IRNazanin" w:eastAsia="IRNazanin" w:cs="IRNazanin"/>
            <w:color w:val="111111"/>
            <w:sz w:val="22"/>
            <w:szCs w:val="22"/>
            <w:b w:val="0"/>
            <w:bCs w:val="0"/>
            <w:i w:val="0"/>
            <w:iCs w:val="0"/>
          </w:rPr>
          <w:t>1340- دیوان حاجی هندی أو شعره‏</w:t>
        </w:r>
        <w:r>
          <w:tab/>
        </w:r>
        <w:r>
          <w:fldChar w:fldCharType="begin"/>
        </w:r>
        <w:r>
          <w:instrText xml:space="preserve">PAGEREF 1671 \h</w:instrText>
        </w:r>
        <w:r>
          <w:fldChar w:fldCharType="end"/>
        </w:r>
      </w:hyperlink>
    </w:p>
    <w:p>
      <w:pPr>
        <w:tabs>
          <w:tab w:val="right" w:leader="dot" w:pos="9062"/>
        </w:tabs>
        <w:ind w:left="440"/>
      </w:pPr>
      <w:hyperlink w:anchor="_Toc1672" w:history="1">
        <w:r>
          <w:rPr>
            <w:rFonts w:ascii="IRNazanin" w:hAnsi="IRNazanin" w:eastAsia="IRNazanin" w:cs="IRNazanin"/>
            <w:color w:val="111111"/>
            <w:sz w:val="22"/>
            <w:szCs w:val="22"/>
            <w:b w:val="0"/>
            <w:bCs w:val="0"/>
            <w:i w:val="0"/>
            <w:iCs w:val="0"/>
          </w:rPr>
          <w:t>1341- دیوان حاذق گیلانی‏</w:t>
        </w:r>
        <w:r>
          <w:tab/>
        </w:r>
        <w:r>
          <w:fldChar w:fldCharType="begin"/>
        </w:r>
        <w:r>
          <w:instrText xml:space="preserve">PAGEREF 1672 \h</w:instrText>
        </w:r>
        <w:r>
          <w:fldChar w:fldCharType="end"/>
        </w:r>
      </w:hyperlink>
    </w:p>
    <w:p>
      <w:pPr>
        <w:tabs>
          <w:tab w:val="right" w:leader="dot" w:pos="9062"/>
        </w:tabs>
        <w:ind w:left="440"/>
      </w:pPr>
      <w:hyperlink w:anchor="_Toc1673" w:history="1">
        <w:r>
          <w:rPr>
            <w:rFonts w:ascii="IRNazanin" w:hAnsi="IRNazanin" w:eastAsia="IRNazanin" w:cs="IRNazanin"/>
            <w:color w:val="111111"/>
            <w:sz w:val="22"/>
            <w:szCs w:val="22"/>
            <w:b w:val="0"/>
            <w:bCs w:val="0"/>
            <w:i w:val="0"/>
            <w:iCs w:val="0"/>
          </w:rPr>
          <w:t>1342- دیوان حاذق لکهنوی‏</w:t>
        </w:r>
        <w:r>
          <w:tab/>
        </w:r>
        <w:r>
          <w:fldChar w:fldCharType="begin"/>
        </w:r>
        <w:r>
          <w:instrText xml:space="preserve">PAGEREF 1673 \h</w:instrText>
        </w:r>
        <w:r>
          <w:fldChar w:fldCharType="end"/>
        </w:r>
      </w:hyperlink>
    </w:p>
    <w:p>
      <w:pPr>
        <w:tabs>
          <w:tab w:val="right" w:leader="dot" w:pos="9062"/>
        </w:tabs>
        <w:ind w:left="440"/>
      </w:pPr>
      <w:hyperlink w:anchor="_Toc1674" w:history="1">
        <w:r>
          <w:rPr>
            <w:rFonts w:ascii="IRNazanin" w:hAnsi="IRNazanin" w:eastAsia="IRNazanin" w:cs="IRNazanin"/>
            <w:color w:val="111111"/>
            <w:sz w:val="22"/>
            <w:szCs w:val="22"/>
            <w:b w:val="0"/>
            <w:bCs w:val="0"/>
            <w:i w:val="0"/>
            <w:iCs w:val="0"/>
          </w:rPr>
          <w:t>دیوان حارث بن سعید</w:t>
        </w:r>
        <w:r>
          <w:tab/>
        </w:r>
        <w:r>
          <w:fldChar w:fldCharType="begin"/>
        </w:r>
        <w:r>
          <w:instrText xml:space="preserve">PAGEREF 1674 \h</w:instrText>
        </w:r>
        <w:r>
          <w:fldChar w:fldCharType="end"/>
        </w:r>
      </w:hyperlink>
    </w:p>
    <w:p>
      <w:pPr>
        <w:tabs>
          <w:tab w:val="right" w:leader="dot" w:pos="9062"/>
        </w:tabs>
        <w:ind w:left="440"/>
      </w:pPr>
      <w:hyperlink w:anchor="_Toc1675" w:history="1">
        <w:r>
          <w:rPr>
            <w:rFonts w:ascii="IRNazanin" w:hAnsi="IRNazanin" w:eastAsia="IRNazanin" w:cs="IRNazanin"/>
            <w:color w:val="111111"/>
            <w:sz w:val="22"/>
            <w:szCs w:val="22"/>
            <w:b w:val="0"/>
            <w:bCs w:val="0"/>
            <w:i w:val="0"/>
            <w:iCs w:val="0"/>
          </w:rPr>
          <w:t>1343- دیوان الحارثی المروی‏</w:t>
        </w:r>
        <w:r>
          <w:tab/>
        </w:r>
        <w:r>
          <w:fldChar w:fldCharType="begin"/>
        </w:r>
        <w:r>
          <w:instrText xml:space="preserve">PAGEREF 1675 \h</w:instrText>
        </w:r>
        <w:r>
          <w:fldChar w:fldCharType="end"/>
        </w:r>
      </w:hyperlink>
    </w:p>
    <w:p>
      <w:pPr>
        <w:tabs>
          <w:tab w:val="right" w:leader="dot" w:pos="9062"/>
        </w:tabs>
        <w:ind w:left="440"/>
      </w:pPr>
      <w:hyperlink w:anchor="_Toc1676" w:history="1">
        <w:r>
          <w:rPr>
            <w:rFonts w:ascii="IRNazanin" w:hAnsi="IRNazanin" w:eastAsia="IRNazanin" w:cs="IRNazanin"/>
            <w:color w:val="111111"/>
            <w:sz w:val="22"/>
            <w:szCs w:val="22"/>
            <w:b w:val="0"/>
            <w:bCs w:val="0"/>
            <w:i w:val="0"/>
            <w:iCs w:val="0"/>
          </w:rPr>
          <w:t>دیوان الحاروفی‏</w:t>
        </w:r>
        <w:r>
          <w:tab/>
        </w:r>
        <w:r>
          <w:fldChar w:fldCharType="begin"/>
        </w:r>
        <w:r>
          <w:instrText xml:space="preserve">PAGEREF 1676 \h</w:instrText>
        </w:r>
        <w:r>
          <w:fldChar w:fldCharType="end"/>
        </w:r>
      </w:hyperlink>
    </w:p>
    <w:p>
      <w:pPr>
        <w:tabs>
          <w:tab w:val="right" w:leader="dot" w:pos="9062"/>
        </w:tabs>
        <w:ind w:left="440"/>
      </w:pPr>
      <w:hyperlink w:anchor="_Toc1677" w:history="1">
        <w:r>
          <w:rPr>
            <w:rFonts w:ascii="IRNazanin" w:hAnsi="IRNazanin" w:eastAsia="IRNazanin" w:cs="IRNazanin"/>
            <w:color w:val="111111"/>
            <w:sz w:val="22"/>
            <w:szCs w:val="22"/>
            <w:b w:val="0"/>
            <w:bCs w:val="0"/>
            <w:i w:val="0"/>
            <w:iCs w:val="0"/>
          </w:rPr>
          <w:t>1344- دیوان حاسبی أو شعره‏</w:t>
        </w:r>
        <w:r>
          <w:tab/>
        </w:r>
        <w:r>
          <w:fldChar w:fldCharType="begin"/>
        </w:r>
        <w:r>
          <w:instrText xml:space="preserve">PAGEREF 1677 \h</w:instrText>
        </w:r>
        <w:r>
          <w:fldChar w:fldCharType="end"/>
        </w:r>
      </w:hyperlink>
    </w:p>
    <w:p>
      <w:pPr>
        <w:tabs>
          <w:tab w:val="right" w:leader="dot" w:pos="9062"/>
        </w:tabs>
        <w:ind w:left="440"/>
      </w:pPr>
      <w:hyperlink w:anchor="_Toc1678" w:history="1">
        <w:r>
          <w:rPr>
            <w:rFonts w:ascii="IRNazanin" w:hAnsi="IRNazanin" w:eastAsia="IRNazanin" w:cs="IRNazanin"/>
            <w:color w:val="111111"/>
            <w:sz w:val="22"/>
            <w:szCs w:val="22"/>
            <w:b w:val="0"/>
            <w:bCs w:val="0"/>
            <w:i w:val="0"/>
            <w:iCs w:val="0"/>
          </w:rPr>
          <w:t>1345- دیوان حاصل مشهدی أو شعره‏</w:t>
        </w:r>
        <w:r>
          <w:tab/>
        </w:r>
        <w:r>
          <w:fldChar w:fldCharType="begin"/>
        </w:r>
        <w:r>
          <w:instrText xml:space="preserve">PAGEREF 1678 \h</w:instrText>
        </w:r>
        <w:r>
          <w:fldChar w:fldCharType="end"/>
        </w:r>
      </w:hyperlink>
    </w:p>
    <w:p>
      <w:pPr>
        <w:tabs>
          <w:tab w:val="right" w:leader="dot" w:pos="9062"/>
        </w:tabs>
        <w:ind w:left="440"/>
      </w:pPr>
      <w:hyperlink w:anchor="_Toc1679" w:history="1">
        <w:r>
          <w:rPr>
            <w:rFonts w:ascii="IRNazanin" w:hAnsi="IRNazanin" w:eastAsia="IRNazanin" w:cs="IRNazanin"/>
            <w:color w:val="111111"/>
            <w:sz w:val="22"/>
            <w:szCs w:val="22"/>
            <w:b w:val="0"/>
            <w:bCs w:val="0"/>
            <w:i w:val="0"/>
            <w:iCs w:val="0"/>
          </w:rPr>
          <w:t>1346- دیوان حاصلی تبریزی أو شعره‏</w:t>
        </w:r>
        <w:r>
          <w:tab/>
        </w:r>
        <w:r>
          <w:fldChar w:fldCharType="begin"/>
        </w:r>
        <w:r>
          <w:instrText xml:space="preserve">PAGEREF 1679 \h</w:instrText>
        </w:r>
        <w:r>
          <w:fldChar w:fldCharType="end"/>
        </w:r>
      </w:hyperlink>
    </w:p>
    <w:p>
      <w:pPr>
        <w:tabs>
          <w:tab w:val="right" w:leader="dot" w:pos="9062"/>
        </w:tabs>
        <w:ind w:left="440"/>
      </w:pPr>
      <w:hyperlink w:anchor="_Toc1680" w:history="1">
        <w:r>
          <w:rPr>
            <w:rFonts w:ascii="IRNazanin" w:hAnsi="IRNazanin" w:eastAsia="IRNazanin" w:cs="IRNazanin"/>
            <w:color w:val="111111"/>
            <w:sz w:val="22"/>
            <w:szCs w:val="22"/>
            <w:b w:val="0"/>
            <w:bCs w:val="0"/>
            <w:i w:val="0"/>
            <w:iCs w:val="0"/>
          </w:rPr>
          <w:t>1347- دیوان حاضری خراسانی أو شعره‏</w:t>
        </w:r>
        <w:r>
          <w:tab/>
        </w:r>
        <w:r>
          <w:fldChar w:fldCharType="begin"/>
        </w:r>
        <w:r>
          <w:instrText xml:space="preserve">PAGEREF 1680 \h</w:instrText>
        </w:r>
        <w:r>
          <w:fldChar w:fldCharType="end"/>
        </w:r>
      </w:hyperlink>
    </w:p>
    <w:p>
      <w:pPr>
        <w:tabs>
          <w:tab w:val="right" w:leader="dot" w:pos="9062"/>
        </w:tabs>
        <w:ind w:left="440"/>
      </w:pPr>
      <w:hyperlink w:anchor="_Toc1681" w:history="1">
        <w:r>
          <w:rPr>
            <w:rFonts w:ascii="IRNazanin" w:hAnsi="IRNazanin" w:eastAsia="IRNazanin" w:cs="IRNazanin"/>
            <w:color w:val="111111"/>
            <w:sz w:val="22"/>
            <w:szCs w:val="22"/>
            <w:b w:val="0"/>
            <w:bCs w:val="0"/>
            <w:i w:val="0"/>
            <w:iCs w:val="0"/>
          </w:rPr>
          <w:t>1348- دیوان حاضری سمنانی أو شعره‏</w:t>
        </w:r>
        <w:r>
          <w:tab/>
        </w:r>
        <w:r>
          <w:fldChar w:fldCharType="begin"/>
        </w:r>
        <w:r>
          <w:instrText xml:space="preserve">PAGEREF 1681 \h</w:instrText>
        </w:r>
        <w:r>
          <w:fldChar w:fldCharType="end"/>
        </w:r>
      </w:hyperlink>
    </w:p>
    <w:p>
      <w:pPr>
        <w:tabs>
          <w:tab w:val="right" w:leader="dot" w:pos="9062"/>
        </w:tabs>
        <w:ind w:left="440"/>
      </w:pPr>
      <w:hyperlink w:anchor="_Toc1682" w:history="1">
        <w:r>
          <w:rPr>
            <w:rFonts w:ascii="IRNazanin" w:hAnsi="IRNazanin" w:eastAsia="IRNazanin" w:cs="IRNazanin"/>
            <w:color w:val="111111"/>
            <w:sz w:val="22"/>
            <w:szCs w:val="22"/>
            <w:b w:val="0"/>
            <w:bCs w:val="0"/>
            <w:i w:val="0"/>
            <w:iCs w:val="0"/>
          </w:rPr>
          <w:t>دیوان حافظ أصفهانی‏</w:t>
        </w:r>
        <w:r>
          <w:tab/>
        </w:r>
        <w:r>
          <w:fldChar w:fldCharType="begin"/>
        </w:r>
        <w:r>
          <w:instrText xml:space="preserve">PAGEREF 1682 \h</w:instrText>
        </w:r>
        <w:r>
          <w:fldChar w:fldCharType="end"/>
        </w:r>
      </w:hyperlink>
    </w:p>
    <w:p>
      <w:pPr>
        <w:tabs>
          <w:tab w:val="right" w:leader="dot" w:pos="9062"/>
        </w:tabs>
        <w:ind w:left="440"/>
      </w:pPr>
      <w:hyperlink w:anchor="_Toc1683" w:history="1">
        <w:r>
          <w:rPr>
            <w:rFonts w:ascii="IRNazanin" w:hAnsi="IRNazanin" w:eastAsia="IRNazanin" w:cs="IRNazanin"/>
            <w:color w:val="111111"/>
            <w:sz w:val="22"/>
            <w:szCs w:val="22"/>
            <w:b w:val="0"/>
            <w:bCs w:val="0"/>
            <w:i w:val="0"/>
            <w:iCs w:val="0"/>
          </w:rPr>
          <w:t>1349- دیوان حافظ أصفهانی‏</w:t>
        </w:r>
        <w:r>
          <w:tab/>
        </w:r>
        <w:r>
          <w:fldChar w:fldCharType="begin"/>
        </w:r>
        <w:r>
          <w:instrText xml:space="preserve">PAGEREF 1683 \h</w:instrText>
        </w:r>
        <w:r>
          <w:fldChar w:fldCharType="end"/>
        </w:r>
      </w:hyperlink>
    </w:p>
    <w:p>
      <w:pPr>
        <w:tabs>
          <w:tab w:val="right" w:leader="dot" w:pos="9062"/>
        </w:tabs>
        <w:ind w:left="440"/>
      </w:pPr>
      <w:hyperlink w:anchor="_Toc1684" w:history="1">
        <w:r>
          <w:rPr>
            <w:rFonts w:ascii="IRNazanin" w:hAnsi="IRNazanin" w:eastAsia="IRNazanin" w:cs="IRNazanin"/>
            <w:color w:val="111111"/>
            <w:sz w:val="22"/>
            <w:szCs w:val="22"/>
            <w:b w:val="0"/>
            <w:bCs w:val="0"/>
            <w:i w:val="0"/>
            <w:iCs w:val="0"/>
          </w:rPr>
          <w:t>1350- دیوان حافظ أوبهی‏</w:t>
        </w:r>
        <w:r>
          <w:tab/>
        </w:r>
        <w:r>
          <w:fldChar w:fldCharType="begin"/>
        </w:r>
        <w:r>
          <w:instrText xml:space="preserve">PAGEREF 1684 \h</w:instrText>
        </w:r>
        <w:r>
          <w:fldChar w:fldCharType="end"/>
        </w:r>
      </w:hyperlink>
    </w:p>
    <w:p>
      <w:pPr>
        <w:tabs>
          <w:tab w:val="right" w:leader="dot" w:pos="9062"/>
        </w:tabs>
        <w:ind w:left="440"/>
      </w:pPr>
      <w:hyperlink w:anchor="_Toc1685" w:history="1">
        <w:r>
          <w:rPr>
            <w:rFonts w:ascii="IRNazanin" w:hAnsi="IRNazanin" w:eastAsia="IRNazanin" w:cs="IRNazanin"/>
            <w:color w:val="111111"/>
            <w:sz w:val="22"/>
            <w:szCs w:val="22"/>
            <w:b w:val="0"/>
            <w:bCs w:val="0"/>
            <w:i w:val="0"/>
            <w:iCs w:val="0"/>
          </w:rPr>
          <w:t>دیوان حافظ بخاری‏</w:t>
        </w:r>
        <w:r>
          <w:tab/>
        </w:r>
        <w:r>
          <w:fldChar w:fldCharType="begin"/>
        </w:r>
        <w:r>
          <w:instrText xml:space="preserve">PAGEREF 1685 \h</w:instrText>
        </w:r>
        <w:r>
          <w:fldChar w:fldCharType="end"/>
        </w:r>
      </w:hyperlink>
    </w:p>
    <w:p>
      <w:pPr>
        <w:tabs>
          <w:tab w:val="right" w:leader="dot" w:pos="9062"/>
        </w:tabs>
        <w:ind w:left="440"/>
      </w:pPr>
      <w:hyperlink w:anchor="_Toc1686" w:history="1">
        <w:r>
          <w:rPr>
            <w:rFonts w:ascii="IRNazanin" w:hAnsi="IRNazanin" w:eastAsia="IRNazanin" w:cs="IRNazanin"/>
            <w:color w:val="111111"/>
            <w:sz w:val="22"/>
            <w:szCs w:val="22"/>
            <w:b w:val="0"/>
            <w:bCs w:val="0"/>
            <w:i w:val="0"/>
            <w:iCs w:val="0"/>
          </w:rPr>
          <w:t>1351- دیوان حافظ پناهی‏</w:t>
        </w:r>
        <w:r>
          <w:tab/>
        </w:r>
        <w:r>
          <w:fldChar w:fldCharType="begin"/>
        </w:r>
        <w:r>
          <w:instrText xml:space="preserve">PAGEREF 1686 \h</w:instrText>
        </w:r>
        <w:r>
          <w:fldChar w:fldCharType="end"/>
        </w:r>
      </w:hyperlink>
    </w:p>
    <w:p>
      <w:pPr>
        <w:tabs>
          <w:tab w:val="right" w:leader="dot" w:pos="9062"/>
        </w:tabs>
        <w:ind w:left="440"/>
      </w:pPr>
      <w:hyperlink w:anchor="_Toc1687" w:history="1">
        <w:r>
          <w:rPr>
            <w:rFonts w:ascii="IRNazanin" w:hAnsi="IRNazanin" w:eastAsia="IRNazanin" w:cs="IRNazanin"/>
            <w:color w:val="111111"/>
            <w:sz w:val="22"/>
            <w:szCs w:val="22"/>
            <w:b w:val="0"/>
            <w:bCs w:val="0"/>
            <w:i w:val="0"/>
            <w:iCs w:val="0"/>
          </w:rPr>
          <w:t>دیوان حافظ تبریزی‏</w:t>
        </w:r>
        <w:r>
          <w:tab/>
        </w:r>
        <w:r>
          <w:fldChar w:fldCharType="begin"/>
        </w:r>
        <w:r>
          <w:instrText xml:space="preserve">PAGEREF 1687 \h</w:instrText>
        </w:r>
        <w:r>
          <w:fldChar w:fldCharType="end"/>
        </w:r>
      </w:hyperlink>
    </w:p>
    <w:p>
      <w:pPr>
        <w:tabs>
          <w:tab w:val="right" w:leader="dot" w:pos="9062"/>
        </w:tabs>
        <w:ind w:left="440"/>
      </w:pPr>
      <w:hyperlink w:anchor="_Toc1688" w:history="1">
        <w:r>
          <w:rPr>
            <w:rFonts w:ascii="IRNazanin" w:hAnsi="IRNazanin" w:eastAsia="IRNazanin" w:cs="IRNazanin"/>
            <w:color w:val="111111"/>
            <w:sz w:val="22"/>
            <w:szCs w:val="22"/>
            <w:b w:val="0"/>
            <w:bCs w:val="0"/>
            <w:i w:val="0"/>
            <w:iCs w:val="0"/>
          </w:rPr>
          <w:t>دیوان حافظ تبریزی‏</w:t>
        </w:r>
        <w:r>
          <w:tab/>
        </w:r>
        <w:r>
          <w:fldChar w:fldCharType="begin"/>
        </w:r>
        <w:r>
          <w:instrText xml:space="preserve">PAGEREF 1688 \h</w:instrText>
        </w:r>
        <w:r>
          <w:fldChar w:fldCharType="end"/>
        </w:r>
      </w:hyperlink>
    </w:p>
    <w:p>
      <w:pPr>
        <w:tabs>
          <w:tab w:val="right" w:leader="dot" w:pos="9062"/>
        </w:tabs>
        <w:ind w:left="440"/>
      </w:pPr>
      <w:hyperlink w:anchor="_Toc1689" w:history="1">
        <w:r>
          <w:rPr>
            <w:rFonts w:ascii="IRNazanin" w:hAnsi="IRNazanin" w:eastAsia="IRNazanin" w:cs="IRNazanin"/>
            <w:color w:val="111111"/>
            <w:sz w:val="22"/>
            <w:szCs w:val="22"/>
            <w:b w:val="0"/>
            <w:bCs w:val="0"/>
            <w:i w:val="0"/>
            <w:iCs w:val="0"/>
          </w:rPr>
          <w:t>1352- دیوان حافظ تبریزی‏</w:t>
        </w:r>
        <w:r>
          <w:tab/>
        </w:r>
        <w:r>
          <w:fldChar w:fldCharType="begin"/>
        </w:r>
        <w:r>
          <w:instrText xml:space="preserve">PAGEREF 1689 \h</w:instrText>
        </w:r>
        <w:r>
          <w:fldChar w:fldCharType="end"/>
        </w:r>
      </w:hyperlink>
    </w:p>
    <w:p>
      <w:pPr>
        <w:tabs>
          <w:tab w:val="right" w:leader="dot" w:pos="9062"/>
        </w:tabs>
        <w:ind w:left="440"/>
      </w:pPr>
      <w:hyperlink w:anchor="_Toc1690" w:history="1">
        <w:r>
          <w:rPr>
            <w:rFonts w:ascii="IRNazanin" w:hAnsi="IRNazanin" w:eastAsia="IRNazanin" w:cs="IRNazanin"/>
            <w:color w:val="111111"/>
            <w:sz w:val="22"/>
            <w:szCs w:val="22"/>
            <w:b w:val="0"/>
            <w:bCs w:val="0"/>
            <w:i w:val="0"/>
            <w:iCs w:val="0"/>
          </w:rPr>
          <w:t>دیوان حافظ تبریزی‏</w:t>
        </w:r>
        <w:r>
          <w:tab/>
        </w:r>
        <w:r>
          <w:fldChar w:fldCharType="begin"/>
        </w:r>
        <w:r>
          <w:instrText xml:space="preserve">PAGEREF 1690 \h</w:instrText>
        </w:r>
        <w:r>
          <w:fldChar w:fldCharType="end"/>
        </w:r>
      </w:hyperlink>
    </w:p>
    <w:p>
      <w:pPr>
        <w:tabs>
          <w:tab w:val="right" w:leader="dot" w:pos="9062"/>
        </w:tabs>
        <w:ind w:left="440"/>
      </w:pPr>
      <w:hyperlink w:anchor="_Toc1691" w:history="1">
        <w:r>
          <w:rPr>
            <w:rFonts w:ascii="IRNazanin" w:hAnsi="IRNazanin" w:eastAsia="IRNazanin" w:cs="IRNazanin"/>
            <w:color w:val="111111"/>
            <w:sz w:val="22"/>
            <w:szCs w:val="22"/>
            <w:b w:val="0"/>
            <w:bCs w:val="0"/>
            <w:i w:val="0"/>
            <w:iCs w:val="0"/>
          </w:rPr>
          <w:t>دیوان حافظ تبریزی‏</w:t>
        </w:r>
        <w:r>
          <w:tab/>
        </w:r>
        <w:r>
          <w:fldChar w:fldCharType="begin"/>
        </w:r>
        <w:r>
          <w:instrText xml:space="preserve">PAGEREF 1691 \h</w:instrText>
        </w:r>
        <w:r>
          <w:fldChar w:fldCharType="end"/>
        </w:r>
      </w:hyperlink>
    </w:p>
    <w:p>
      <w:pPr>
        <w:tabs>
          <w:tab w:val="right" w:leader="dot" w:pos="9062"/>
        </w:tabs>
        <w:ind w:left="440"/>
      </w:pPr>
      <w:hyperlink w:anchor="_Toc1692" w:history="1">
        <w:r>
          <w:rPr>
            <w:rFonts w:ascii="IRNazanin" w:hAnsi="IRNazanin" w:eastAsia="IRNazanin" w:cs="IRNazanin"/>
            <w:color w:val="111111"/>
            <w:sz w:val="22"/>
            <w:szCs w:val="22"/>
            <w:b w:val="0"/>
            <w:bCs w:val="0"/>
            <w:i w:val="0"/>
            <w:iCs w:val="0"/>
          </w:rPr>
          <w:t>دیوان حافظ تربتی‏</w:t>
        </w:r>
        <w:r>
          <w:tab/>
        </w:r>
        <w:r>
          <w:fldChar w:fldCharType="begin"/>
        </w:r>
        <w:r>
          <w:instrText xml:space="preserve">PAGEREF 1692 \h</w:instrText>
        </w:r>
        <w:r>
          <w:fldChar w:fldCharType="end"/>
        </w:r>
      </w:hyperlink>
    </w:p>
    <w:p>
      <w:pPr>
        <w:tabs>
          <w:tab w:val="right" w:leader="dot" w:pos="9062"/>
        </w:tabs>
        <w:ind w:left="440"/>
      </w:pPr>
      <w:hyperlink w:anchor="_Toc1693" w:history="1">
        <w:r>
          <w:rPr>
            <w:rFonts w:ascii="IRNazanin" w:hAnsi="IRNazanin" w:eastAsia="IRNazanin" w:cs="IRNazanin"/>
            <w:color w:val="111111"/>
            <w:sz w:val="22"/>
            <w:szCs w:val="22"/>
            <w:b w:val="0"/>
            <w:bCs w:val="0"/>
            <w:i w:val="0"/>
            <w:iCs w:val="0"/>
          </w:rPr>
          <w:t>1353- دیوان حافظ جامی أو شعره‏</w:t>
        </w:r>
        <w:r>
          <w:tab/>
        </w:r>
        <w:r>
          <w:fldChar w:fldCharType="begin"/>
        </w:r>
        <w:r>
          <w:instrText xml:space="preserve">PAGEREF 1693 \h</w:instrText>
        </w:r>
        <w:r>
          <w:fldChar w:fldCharType="end"/>
        </w:r>
      </w:hyperlink>
    </w:p>
    <w:p>
      <w:pPr>
        <w:tabs>
          <w:tab w:val="right" w:leader="dot" w:pos="9062"/>
        </w:tabs>
        <w:ind w:left="440"/>
      </w:pPr>
      <w:hyperlink w:anchor="_Toc1694" w:history="1">
        <w:r>
          <w:rPr>
            <w:rFonts w:ascii="IRNazanin" w:hAnsi="IRNazanin" w:eastAsia="IRNazanin" w:cs="IRNazanin"/>
            <w:color w:val="111111"/>
            <w:sz w:val="22"/>
            <w:szCs w:val="22"/>
            <w:b w:val="0"/>
            <w:bCs w:val="0"/>
            <w:i w:val="0"/>
            <w:iCs w:val="0"/>
          </w:rPr>
          <w:t>دیوان حافظ جلال‏</w:t>
        </w:r>
        <w:r>
          <w:tab/>
        </w:r>
        <w:r>
          <w:fldChar w:fldCharType="begin"/>
        </w:r>
        <w:r>
          <w:instrText xml:space="preserve">PAGEREF 1694 \h</w:instrText>
        </w:r>
        <w:r>
          <w:fldChar w:fldCharType="end"/>
        </w:r>
      </w:hyperlink>
    </w:p>
    <w:p>
      <w:pPr>
        <w:tabs>
          <w:tab w:val="right" w:leader="dot" w:pos="9062"/>
        </w:tabs>
        <w:ind w:left="440"/>
      </w:pPr>
      <w:hyperlink w:anchor="_Toc1695" w:history="1">
        <w:r>
          <w:rPr>
            <w:rFonts w:ascii="IRNazanin" w:hAnsi="IRNazanin" w:eastAsia="IRNazanin" w:cs="IRNazanin"/>
            <w:color w:val="111111"/>
            <w:sz w:val="22"/>
            <w:szCs w:val="22"/>
            <w:b w:val="0"/>
            <w:bCs w:val="0"/>
            <w:i w:val="0"/>
            <w:iCs w:val="0"/>
          </w:rPr>
          <w:t>1354- دیوان حافظ حلوائی أو شعره‏</w:t>
        </w:r>
        <w:r>
          <w:tab/>
        </w:r>
        <w:r>
          <w:fldChar w:fldCharType="begin"/>
        </w:r>
        <w:r>
          <w:instrText xml:space="preserve">PAGEREF 1695 \h</w:instrText>
        </w:r>
        <w:r>
          <w:fldChar w:fldCharType="end"/>
        </w:r>
      </w:hyperlink>
    </w:p>
    <w:p>
      <w:pPr>
        <w:tabs>
          <w:tab w:val="right" w:leader="dot" w:pos="9062"/>
        </w:tabs>
        <w:ind w:left="440"/>
      </w:pPr>
      <w:hyperlink w:anchor="_Toc1696" w:history="1">
        <w:r>
          <w:rPr>
            <w:rFonts w:ascii="IRNazanin" w:hAnsi="IRNazanin" w:eastAsia="IRNazanin" w:cs="IRNazanin"/>
            <w:color w:val="111111"/>
            <w:sz w:val="22"/>
            <w:szCs w:val="22"/>
            <w:b w:val="0"/>
            <w:bCs w:val="0"/>
            <w:i w:val="0"/>
            <w:iCs w:val="0"/>
          </w:rPr>
          <w:t>1355- دیوان حافظ خراسانی أو شعره‏</w:t>
        </w:r>
        <w:r>
          <w:tab/>
        </w:r>
        <w:r>
          <w:fldChar w:fldCharType="begin"/>
        </w:r>
        <w:r>
          <w:instrText xml:space="preserve">PAGEREF 1696 \h</w:instrText>
        </w:r>
        <w:r>
          <w:fldChar w:fldCharType="end"/>
        </w:r>
      </w:hyperlink>
    </w:p>
    <w:p>
      <w:pPr>
        <w:tabs>
          <w:tab w:val="right" w:leader="dot" w:pos="9062"/>
        </w:tabs>
        <w:ind w:left="440"/>
      </w:pPr>
      <w:hyperlink w:anchor="_Toc1697" w:history="1">
        <w:r>
          <w:rPr>
            <w:rFonts w:ascii="IRNazanin" w:hAnsi="IRNazanin" w:eastAsia="IRNazanin" w:cs="IRNazanin"/>
            <w:color w:val="111111"/>
            <w:sz w:val="22"/>
            <w:szCs w:val="22"/>
            <w:b w:val="0"/>
            <w:bCs w:val="0"/>
            <w:i w:val="0"/>
            <w:iCs w:val="0"/>
          </w:rPr>
          <w:t>دیوان حافظ سعد بخاری‏</w:t>
        </w:r>
        <w:r>
          <w:tab/>
        </w:r>
        <w:r>
          <w:fldChar w:fldCharType="begin"/>
        </w:r>
        <w:r>
          <w:instrText xml:space="preserve">PAGEREF 1697 \h</w:instrText>
        </w:r>
        <w:r>
          <w:fldChar w:fldCharType="end"/>
        </w:r>
      </w:hyperlink>
    </w:p>
    <w:p>
      <w:pPr>
        <w:tabs>
          <w:tab w:val="right" w:leader="dot" w:pos="9062"/>
        </w:tabs>
        <w:ind w:left="440"/>
      </w:pPr>
      <w:hyperlink w:anchor="_Toc1698" w:history="1">
        <w:r>
          <w:rPr>
            <w:rFonts w:ascii="IRNazanin" w:hAnsi="IRNazanin" w:eastAsia="IRNazanin" w:cs="IRNazanin"/>
            <w:color w:val="111111"/>
            <w:sz w:val="22"/>
            <w:szCs w:val="22"/>
            <w:b w:val="0"/>
            <w:bCs w:val="0"/>
            <w:i w:val="0"/>
            <w:iCs w:val="0"/>
          </w:rPr>
          <w:t>1356- دیوان حافظ شیرازی‏</w:t>
        </w:r>
        <w:r>
          <w:tab/>
        </w:r>
        <w:r>
          <w:fldChar w:fldCharType="begin"/>
        </w:r>
        <w:r>
          <w:instrText xml:space="preserve">PAGEREF 1698 \h</w:instrText>
        </w:r>
        <w:r>
          <w:fldChar w:fldCharType="end"/>
        </w:r>
      </w:hyperlink>
    </w:p>
    <w:p>
      <w:pPr>
        <w:tabs>
          <w:tab w:val="right" w:leader="dot" w:pos="9062"/>
        </w:tabs>
        <w:ind w:left="440"/>
      </w:pPr>
      <w:hyperlink w:anchor="_Toc1699" w:history="1">
        <w:r>
          <w:rPr>
            <w:rFonts w:ascii="IRNazanin" w:hAnsi="IRNazanin" w:eastAsia="IRNazanin" w:cs="IRNazanin"/>
            <w:color w:val="111111"/>
            <w:sz w:val="22"/>
            <w:szCs w:val="22"/>
            <w:b w:val="0"/>
            <w:bCs w:val="0"/>
            <w:i w:val="0"/>
            <w:iCs w:val="0"/>
          </w:rPr>
          <w:t>1357- دیوان حافظ صابونی أو شعره‏</w:t>
        </w:r>
        <w:r>
          <w:tab/>
        </w:r>
        <w:r>
          <w:fldChar w:fldCharType="begin"/>
        </w:r>
        <w:r>
          <w:instrText xml:space="preserve">PAGEREF 1699 \h</w:instrText>
        </w:r>
        <w:r>
          <w:fldChar w:fldCharType="end"/>
        </w:r>
      </w:hyperlink>
    </w:p>
    <w:p>
      <w:pPr>
        <w:tabs>
          <w:tab w:val="right" w:leader="dot" w:pos="9062"/>
        </w:tabs>
        <w:ind w:left="440"/>
      </w:pPr>
      <w:hyperlink w:anchor="_Toc1700" w:history="1">
        <w:r>
          <w:rPr>
            <w:rFonts w:ascii="IRNazanin" w:hAnsi="IRNazanin" w:eastAsia="IRNazanin" w:cs="IRNazanin"/>
            <w:color w:val="111111"/>
            <w:sz w:val="22"/>
            <w:szCs w:val="22"/>
            <w:b w:val="0"/>
            <w:bCs w:val="0"/>
            <w:i w:val="0"/>
            <w:iCs w:val="0"/>
          </w:rPr>
          <w:t>1358- دیوان حافظ صدر أو شعره‏</w:t>
        </w:r>
        <w:r>
          <w:tab/>
        </w:r>
        <w:r>
          <w:fldChar w:fldCharType="begin"/>
        </w:r>
        <w:r>
          <w:instrText xml:space="preserve">PAGEREF 1700 \h</w:instrText>
        </w:r>
        <w:r>
          <w:fldChar w:fldCharType="end"/>
        </w:r>
      </w:hyperlink>
    </w:p>
    <w:p>
      <w:pPr>
        <w:tabs>
          <w:tab w:val="right" w:leader="dot" w:pos="9062"/>
        </w:tabs>
        <w:ind w:left="440"/>
      </w:pPr>
      <w:hyperlink w:anchor="_Toc1701" w:history="1">
        <w:r>
          <w:rPr>
            <w:rFonts w:ascii="IRNazanin" w:hAnsi="IRNazanin" w:eastAsia="IRNazanin" w:cs="IRNazanin"/>
            <w:color w:val="111111"/>
            <w:sz w:val="22"/>
            <w:szCs w:val="22"/>
            <w:b w:val="0"/>
            <w:bCs w:val="0"/>
            <w:i w:val="0"/>
            <w:iCs w:val="0"/>
          </w:rPr>
          <w:t>1359- دیوان الحافظ علی الغوری‏</w:t>
        </w:r>
        <w:r>
          <w:tab/>
        </w:r>
        <w:r>
          <w:fldChar w:fldCharType="begin"/>
        </w:r>
        <w:r>
          <w:instrText xml:space="preserve">PAGEREF 1701 \h</w:instrText>
        </w:r>
        <w:r>
          <w:fldChar w:fldCharType="end"/>
        </w:r>
      </w:hyperlink>
    </w:p>
    <w:p>
      <w:pPr>
        <w:tabs>
          <w:tab w:val="right" w:leader="dot" w:pos="9062"/>
        </w:tabs>
        <w:ind w:left="440"/>
      </w:pPr>
      <w:hyperlink w:anchor="_Toc1702" w:history="1">
        <w:r>
          <w:rPr>
            <w:rFonts w:ascii="IRNazanin" w:hAnsi="IRNazanin" w:eastAsia="IRNazanin" w:cs="IRNazanin"/>
            <w:color w:val="111111"/>
            <w:sz w:val="22"/>
            <w:szCs w:val="22"/>
            <w:b w:val="0"/>
            <w:bCs w:val="0"/>
            <w:i w:val="0"/>
            <w:iCs w:val="0"/>
          </w:rPr>
          <w:t>دیوان حافظ علی‏</w:t>
        </w:r>
        <w:r>
          <w:tab/>
        </w:r>
        <w:r>
          <w:fldChar w:fldCharType="begin"/>
        </w:r>
        <w:r>
          <w:instrText xml:space="preserve">PAGEREF 1702 \h</w:instrText>
        </w:r>
        <w:r>
          <w:fldChar w:fldCharType="end"/>
        </w:r>
      </w:hyperlink>
    </w:p>
    <w:p>
      <w:pPr>
        <w:tabs>
          <w:tab w:val="right" w:leader="dot" w:pos="9062"/>
        </w:tabs>
        <w:ind w:left="440"/>
      </w:pPr>
      <w:hyperlink w:anchor="_Toc1703" w:history="1">
        <w:r>
          <w:rPr>
            <w:rFonts w:ascii="IRNazanin" w:hAnsi="IRNazanin" w:eastAsia="IRNazanin" w:cs="IRNazanin"/>
            <w:color w:val="111111"/>
            <w:sz w:val="22"/>
            <w:szCs w:val="22"/>
            <w:b w:val="0"/>
            <w:bCs w:val="0"/>
            <w:i w:val="0"/>
            <w:iCs w:val="0"/>
          </w:rPr>
          <w:t>دیوان حافظ علی جامی‏</w:t>
        </w:r>
        <w:r>
          <w:tab/>
        </w:r>
        <w:r>
          <w:fldChar w:fldCharType="begin"/>
        </w:r>
        <w:r>
          <w:instrText xml:space="preserve">PAGEREF 1703 \h</w:instrText>
        </w:r>
        <w:r>
          <w:fldChar w:fldCharType="end"/>
        </w:r>
      </w:hyperlink>
    </w:p>
    <w:p>
      <w:pPr>
        <w:tabs>
          <w:tab w:val="right" w:leader="dot" w:pos="9062"/>
        </w:tabs>
        <w:ind w:left="440"/>
      </w:pPr>
      <w:hyperlink w:anchor="_Toc1704" w:history="1">
        <w:r>
          <w:rPr>
            <w:rFonts w:ascii="IRNazanin" w:hAnsi="IRNazanin" w:eastAsia="IRNazanin" w:cs="IRNazanin"/>
            <w:color w:val="111111"/>
            <w:sz w:val="22"/>
            <w:szCs w:val="22"/>
            <w:b w:val="0"/>
            <w:bCs w:val="0"/>
            <w:i w:val="0"/>
            <w:iCs w:val="0"/>
          </w:rPr>
          <w:t>دیوان حافظ قزوینی أو شعره‏</w:t>
        </w:r>
        <w:r>
          <w:tab/>
        </w:r>
        <w:r>
          <w:fldChar w:fldCharType="begin"/>
        </w:r>
        <w:r>
          <w:instrText xml:space="preserve">PAGEREF 1704 \h</w:instrText>
        </w:r>
        <w:r>
          <w:fldChar w:fldCharType="end"/>
        </w:r>
      </w:hyperlink>
    </w:p>
    <w:p>
      <w:pPr>
        <w:tabs>
          <w:tab w:val="right" w:leader="dot" w:pos="9062"/>
        </w:tabs>
        <w:ind w:left="440"/>
      </w:pPr>
      <w:hyperlink w:anchor="_Toc1705" w:history="1">
        <w:r>
          <w:rPr>
            <w:rFonts w:ascii="IRNazanin" w:hAnsi="IRNazanin" w:eastAsia="IRNazanin" w:cs="IRNazanin"/>
            <w:color w:val="111111"/>
            <w:sz w:val="22"/>
            <w:szCs w:val="22"/>
            <w:b w:val="0"/>
            <w:bCs w:val="0"/>
            <w:i w:val="0"/>
            <w:iCs w:val="0"/>
          </w:rPr>
          <w:t>دیوان حافظ قزوینی‏</w:t>
        </w:r>
        <w:r>
          <w:tab/>
        </w:r>
        <w:r>
          <w:fldChar w:fldCharType="begin"/>
        </w:r>
        <w:r>
          <w:instrText xml:space="preserve">PAGEREF 1705 \h</w:instrText>
        </w:r>
        <w:r>
          <w:fldChar w:fldCharType="end"/>
        </w:r>
      </w:hyperlink>
    </w:p>
    <w:p>
      <w:pPr>
        <w:tabs>
          <w:tab w:val="right" w:leader="dot" w:pos="9062"/>
        </w:tabs>
        <w:ind w:left="440"/>
      </w:pPr>
      <w:hyperlink w:anchor="_Toc1706" w:history="1">
        <w:r>
          <w:rPr>
            <w:rFonts w:ascii="IRNazanin" w:hAnsi="IRNazanin" w:eastAsia="IRNazanin" w:cs="IRNazanin"/>
            <w:color w:val="111111"/>
            <w:sz w:val="22"/>
            <w:szCs w:val="22"/>
            <w:b w:val="0"/>
            <w:bCs w:val="0"/>
            <w:i w:val="0"/>
            <w:iCs w:val="0"/>
          </w:rPr>
          <w:t>دیوان حافظ کاشانی‏</w:t>
        </w:r>
        <w:r>
          <w:tab/>
        </w:r>
        <w:r>
          <w:fldChar w:fldCharType="begin"/>
        </w:r>
        <w:r>
          <w:instrText xml:space="preserve">PAGEREF 1706 \h</w:instrText>
        </w:r>
        <w:r>
          <w:fldChar w:fldCharType="end"/>
        </w:r>
      </w:hyperlink>
    </w:p>
    <w:p>
      <w:pPr>
        <w:tabs>
          <w:tab w:val="right" w:leader="dot" w:pos="9062"/>
        </w:tabs>
        <w:ind w:left="440"/>
      </w:pPr>
      <w:hyperlink w:anchor="_Toc1707" w:history="1">
        <w:r>
          <w:rPr>
            <w:rFonts w:ascii="IRNazanin" w:hAnsi="IRNazanin" w:eastAsia="IRNazanin" w:cs="IRNazanin"/>
            <w:color w:val="111111"/>
            <w:sz w:val="22"/>
            <w:szCs w:val="22"/>
            <w:b w:val="0"/>
            <w:bCs w:val="0"/>
            <w:i w:val="0"/>
            <w:iCs w:val="0"/>
          </w:rPr>
          <w:t>دیوان حافظ کمان ابرو</w:t>
        </w:r>
        <w:r>
          <w:tab/>
        </w:r>
        <w:r>
          <w:fldChar w:fldCharType="begin"/>
        </w:r>
        <w:r>
          <w:instrText xml:space="preserve">PAGEREF 1707 \h</w:instrText>
        </w:r>
        <w:r>
          <w:fldChar w:fldCharType="end"/>
        </w:r>
      </w:hyperlink>
    </w:p>
    <w:p>
      <w:pPr>
        <w:tabs>
          <w:tab w:val="right" w:leader="dot" w:pos="9062"/>
        </w:tabs>
        <w:ind w:left="440"/>
      </w:pPr>
      <w:hyperlink w:anchor="_Toc1708" w:history="1">
        <w:r>
          <w:rPr>
            <w:rFonts w:ascii="IRNazanin" w:hAnsi="IRNazanin" w:eastAsia="IRNazanin" w:cs="IRNazanin"/>
            <w:color w:val="111111"/>
            <w:sz w:val="22"/>
            <w:szCs w:val="22"/>
            <w:b w:val="0"/>
            <w:bCs w:val="0"/>
            <w:i w:val="0"/>
            <w:iCs w:val="0"/>
          </w:rPr>
          <w:t>1360- دیوان حافظ لاهوری أو شعره‏</w:t>
        </w:r>
        <w:r>
          <w:tab/>
        </w:r>
        <w:r>
          <w:fldChar w:fldCharType="begin"/>
        </w:r>
        <w:r>
          <w:instrText xml:space="preserve">PAGEREF 1708 \h</w:instrText>
        </w:r>
        <w:r>
          <w:fldChar w:fldCharType="end"/>
        </w:r>
      </w:hyperlink>
    </w:p>
    <w:p>
      <w:pPr>
        <w:tabs>
          <w:tab w:val="right" w:leader="dot" w:pos="9062"/>
        </w:tabs>
        <w:ind w:left="440"/>
      </w:pPr>
      <w:hyperlink w:anchor="_Toc1709" w:history="1">
        <w:r>
          <w:rPr>
            <w:rFonts w:ascii="IRNazanin" w:hAnsi="IRNazanin" w:eastAsia="IRNazanin" w:cs="IRNazanin"/>
            <w:color w:val="111111"/>
            <w:sz w:val="22"/>
            <w:szCs w:val="22"/>
            <w:b w:val="0"/>
            <w:bCs w:val="0"/>
            <w:i w:val="0"/>
            <w:iCs w:val="0"/>
          </w:rPr>
          <w:t>1361- دیوان حافظ مجلسی أو شعره‏</w:t>
        </w:r>
        <w:r>
          <w:tab/>
        </w:r>
        <w:r>
          <w:fldChar w:fldCharType="begin"/>
        </w:r>
        <w:r>
          <w:instrText xml:space="preserve">PAGEREF 1709 \h</w:instrText>
        </w:r>
        <w:r>
          <w:fldChar w:fldCharType="end"/>
        </w:r>
      </w:hyperlink>
    </w:p>
    <w:p>
      <w:pPr>
        <w:tabs>
          <w:tab w:val="right" w:leader="dot" w:pos="9062"/>
        </w:tabs>
        <w:ind w:left="440"/>
      </w:pPr>
      <w:hyperlink w:anchor="_Toc1710" w:history="1">
        <w:r>
          <w:rPr>
            <w:rFonts w:ascii="IRNazanin" w:hAnsi="IRNazanin" w:eastAsia="IRNazanin" w:cs="IRNazanin"/>
            <w:color w:val="111111"/>
            <w:sz w:val="22"/>
            <w:szCs w:val="22"/>
            <w:b w:val="0"/>
            <w:bCs w:val="0"/>
            <w:i w:val="0"/>
            <w:iCs w:val="0"/>
          </w:rPr>
          <w:t>1362- دیوان حافظ میر أو شعره‏</w:t>
        </w:r>
        <w:r>
          <w:tab/>
        </w:r>
        <w:r>
          <w:fldChar w:fldCharType="begin"/>
        </w:r>
        <w:r>
          <w:instrText xml:space="preserve">PAGEREF 1710 \h</w:instrText>
        </w:r>
        <w:r>
          <w:fldChar w:fldCharType="end"/>
        </w:r>
      </w:hyperlink>
    </w:p>
    <w:p>
      <w:pPr>
        <w:tabs>
          <w:tab w:val="right" w:leader="dot" w:pos="9062"/>
        </w:tabs>
        <w:ind w:left="440"/>
      </w:pPr>
      <w:hyperlink w:anchor="_Toc1711" w:history="1">
        <w:r>
          <w:rPr>
            <w:rFonts w:ascii="IRNazanin" w:hAnsi="IRNazanin" w:eastAsia="IRNazanin" w:cs="IRNazanin"/>
            <w:color w:val="111111"/>
            <w:sz w:val="22"/>
            <w:szCs w:val="22"/>
            <w:b w:val="0"/>
            <w:bCs w:val="0"/>
            <w:i w:val="0"/>
            <w:iCs w:val="0"/>
          </w:rPr>
          <w:t>1363- دیوان حافظ نوری أو شعره‏</w:t>
        </w:r>
        <w:r>
          <w:tab/>
        </w:r>
        <w:r>
          <w:fldChar w:fldCharType="begin"/>
        </w:r>
        <w:r>
          <w:instrText xml:space="preserve">PAGEREF 1711 \h</w:instrText>
        </w:r>
        <w:r>
          <w:fldChar w:fldCharType="end"/>
        </w:r>
      </w:hyperlink>
    </w:p>
    <w:p>
      <w:pPr>
        <w:tabs>
          <w:tab w:val="right" w:leader="dot" w:pos="9062"/>
        </w:tabs>
        <w:ind w:left="440"/>
      </w:pPr>
      <w:hyperlink w:anchor="_Toc1712" w:history="1">
        <w:r>
          <w:rPr>
            <w:rFonts w:ascii="IRNazanin" w:hAnsi="IRNazanin" w:eastAsia="IRNazanin" w:cs="IRNazanin"/>
            <w:color w:val="111111"/>
            <w:sz w:val="22"/>
            <w:szCs w:val="22"/>
            <w:b w:val="0"/>
            <w:bCs w:val="0"/>
            <w:i w:val="0"/>
            <w:iCs w:val="0"/>
          </w:rPr>
          <w:t>1364- دیوان حافظ هروی أو شعره‏</w:t>
        </w:r>
        <w:r>
          <w:tab/>
        </w:r>
        <w:r>
          <w:fldChar w:fldCharType="begin"/>
        </w:r>
        <w:r>
          <w:instrText xml:space="preserve">PAGEREF 1712 \h</w:instrText>
        </w:r>
        <w:r>
          <w:fldChar w:fldCharType="end"/>
        </w:r>
      </w:hyperlink>
    </w:p>
    <w:p>
      <w:pPr>
        <w:tabs>
          <w:tab w:val="right" w:leader="dot" w:pos="9062"/>
        </w:tabs>
        <w:ind w:left="440"/>
      </w:pPr>
      <w:hyperlink w:anchor="_Toc1713" w:history="1">
        <w:r>
          <w:rPr>
            <w:rFonts w:ascii="IRNazanin" w:hAnsi="IRNazanin" w:eastAsia="IRNazanin" w:cs="IRNazanin"/>
            <w:color w:val="111111"/>
            <w:sz w:val="22"/>
            <w:szCs w:val="22"/>
            <w:b w:val="0"/>
            <w:bCs w:val="0"/>
            <w:i w:val="0"/>
            <w:iCs w:val="0"/>
          </w:rPr>
          <w:t>1365- دیوان حافظ هروی أو شعره‏</w:t>
        </w:r>
        <w:r>
          <w:tab/>
        </w:r>
        <w:r>
          <w:fldChar w:fldCharType="begin"/>
        </w:r>
        <w:r>
          <w:instrText xml:space="preserve">PAGEREF 1713 \h</w:instrText>
        </w:r>
        <w:r>
          <w:fldChar w:fldCharType="end"/>
        </w:r>
      </w:hyperlink>
    </w:p>
    <w:p>
      <w:pPr>
        <w:tabs>
          <w:tab w:val="right" w:leader="dot" w:pos="9062"/>
        </w:tabs>
        <w:ind w:left="440"/>
      </w:pPr>
      <w:hyperlink w:anchor="_Toc1714" w:history="1">
        <w:r>
          <w:rPr>
            <w:rFonts w:ascii="IRNazanin" w:hAnsi="IRNazanin" w:eastAsia="IRNazanin" w:cs="IRNazanin"/>
            <w:color w:val="111111"/>
            <w:sz w:val="22"/>
            <w:szCs w:val="22"/>
            <w:b w:val="0"/>
            <w:bCs w:val="0"/>
            <w:i w:val="0"/>
            <w:iCs w:val="0"/>
          </w:rPr>
          <w:t>دیوان حافظ همدانی‏</w:t>
        </w:r>
        <w:r>
          <w:tab/>
        </w:r>
        <w:r>
          <w:fldChar w:fldCharType="begin"/>
        </w:r>
        <w:r>
          <w:instrText xml:space="preserve">PAGEREF 1714 \h</w:instrText>
        </w:r>
        <w:r>
          <w:fldChar w:fldCharType="end"/>
        </w:r>
      </w:hyperlink>
    </w:p>
    <w:p>
      <w:pPr>
        <w:tabs>
          <w:tab w:val="right" w:leader="dot" w:pos="9062"/>
        </w:tabs>
        <w:ind w:left="440"/>
      </w:pPr>
      <w:hyperlink w:anchor="_Toc1715" w:history="1">
        <w:r>
          <w:rPr>
            <w:rFonts w:ascii="IRNazanin" w:hAnsi="IRNazanin" w:eastAsia="IRNazanin" w:cs="IRNazanin"/>
            <w:color w:val="111111"/>
            <w:sz w:val="22"/>
            <w:szCs w:val="22"/>
            <w:b w:val="0"/>
            <w:bCs w:val="0"/>
            <w:i w:val="0"/>
            <w:iCs w:val="0"/>
          </w:rPr>
          <w:t>1366- دیوان حافظ یاری أو شعره‏</w:t>
        </w:r>
        <w:r>
          <w:tab/>
        </w:r>
        <w:r>
          <w:fldChar w:fldCharType="begin"/>
        </w:r>
        <w:r>
          <w:instrText xml:space="preserve">PAGEREF 1715 \h</w:instrText>
        </w:r>
        <w:r>
          <w:fldChar w:fldCharType="end"/>
        </w:r>
      </w:hyperlink>
    </w:p>
    <w:p>
      <w:pPr>
        <w:tabs>
          <w:tab w:val="right" w:leader="dot" w:pos="9062"/>
        </w:tabs>
        <w:ind w:left="440"/>
      </w:pPr>
      <w:hyperlink w:anchor="_Toc1716" w:history="1">
        <w:r>
          <w:rPr>
            <w:rFonts w:ascii="IRNazanin" w:hAnsi="IRNazanin" w:eastAsia="IRNazanin" w:cs="IRNazanin"/>
            <w:color w:val="111111"/>
            <w:sz w:val="22"/>
            <w:szCs w:val="22"/>
            <w:b w:val="0"/>
            <w:bCs w:val="0"/>
            <w:i w:val="0"/>
            <w:iCs w:val="0"/>
          </w:rPr>
          <w:t>دیوان حافظی‏</w:t>
        </w:r>
        <w:r>
          <w:tab/>
        </w:r>
        <w:r>
          <w:fldChar w:fldCharType="begin"/>
        </w:r>
        <w:r>
          <w:instrText xml:space="preserve">PAGEREF 1716 \h</w:instrText>
        </w:r>
        <w:r>
          <w:fldChar w:fldCharType="end"/>
        </w:r>
      </w:hyperlink>
    </w:p>
    <w:p>
      <w:pPr>
        <w:tabs>
          <w:tab w:val="right" w:leader="dot" w:pos="9062"/>
        </w:tabs>
        <w:ind w:left="440"/>
      </w:pPr>
      <w:hyperlink w:anchor="_Toc1717" w:history="1">
        <w:r>
          <w:rPr>
            <w:rFonts w:ascii="IRNazanin" w:hAnsi="IRNazanin" w:eastAsia="IRNazanin" w:cs="IRNazanin"/>
            <w:color w:val="111111"/>
            <w:sz w:val="22"/>
            <w:szCs w:val="22"/>
            <w:b w:val="0"/>
            <w:bCs w:val="0"/>
            <w:i w:val="0"/>
            <w:iCs w:val="0"/>
          </w:rPr>
          <w:t>1367- دیوان حافظی کرمانی أو شعره‏</w:t>
        </w:r>
        <w:r>
          <w:tab/>
        </w:r>
        <w:r>
          <w:fldChar w:fldCharType="begin"/>
        </w:r>
        <w:r>
          <w:instrText xml:space="preserve">PAGEREF 1717 \h</w:instrText>
        </w:r>
        <w:r>
          <w:fldChar w:fldCharType="end"/>
        </w:r>
      </w:hyperlink>
    </w:p>
    <w:p>
      <w:pPr>
        <w:tabs>
          <w:tab w:val="right" w:leader="dot" w:pos="9062"/>
        </w:tabs>
        <w:ind w:left="440"/>
      </w:pPr>
      <w:hyperlink w:anchor="_Toc1718" w:history="1">
        <w:r>
          <w:rPr>
            <w:rFonts w:ascii="IRNazanin" w:hAnsi="IRNazanin" w:eastAsia="IRNazanin" w:cs="IRNazanin"/>
            <w:color w:val="111111"/>
            <w:sz w:val="22"/>
            <w:szCs w:val="22"/>
            <w:b w:val="0"/>
            <w:bCs w:val="0"/>
            <w:i w:val="0"/>
            <w:iCs w:val="0"/>
          </w:rPr>
          <w:t>1368- دیوان حاکم لاهوری أو شعره‏</w:t>
        </w:r>
        <w:r>
          <w:tab/>
        </w:r>
        <w:r>
          <w:fldChar w:fldCharType="begin"/>
        </w:r>
        <w:r>
          <w:instrText xml:space="preserve">PAGEREF 1718 \h</w:instrText>
        </w:r>
        <w:r>
          <w:fldChar w:fldCharType="end"/>
        </w:r>
      </w:hyperlink>
    </w:p>
    <w:p>
      <w:pPr>
        <w:tabs>
          <w:tab w:val="right" w:leader="dot" w:pos="9062"/>
        </w:tabs>
        <w:ind w:left="440"/>
      </w:pPr>
      <w:hyperlink w:anchor="_Toc1719" w:history="1">
        <w:r>
          <w:rPr>
            <w:rFonts w:ascii="IRNazanin" w:hAnsi="IRNazanin" w:eastAsia="IRNazanin" w:cs="IRNazanin"/>
            <w:color w:val="111111"/>
            <w:sz w:val="22"/>
            <w:szCs w:val="22"/>
            <w:b w:val="0"/>
            <w:bCs w:val="0"/>
            <w:i w:val="0"/>
            <w:iCs w:val="0"/>
          </w:rPr>
          <w:t>1369- دیوان حاکمی خوافی أو شعرها</w:t>
        </w:r>
        <w:r>
          <w:tab/>
        </w:r>
        <w:r>
          <w:fldChar w:fldCharType="begin"/>
        </w:r>
        <w:r>
          <w:instrText xml:space="preserve">PAGEREF 1719 \h</w:instrText>
        </w:r>
        <w:r>
          <w:fldChar w:fldCharType="end"/>
        </w:r>
      </w:hyperlink>
    </w:p>
    <w:p>
      <w:pPr>
        <w:tabs>
          <w:tab w:val="right" w:leader="dot" w:pos="9062"/>
        </w:tabs>
        <w:ind w:left="440"/>
      </w:pPr>
      <w:hyperlink w:anchor="_Toc1720" w:history="1">
        <w:r>
          <w:rPr>
            <w:rFonts w:ascii="IRNazanin" w:hAnsi="IRNazanin" w:eastAsia="IRNazanin" w:cs="IRNazanin"/>
            <w:color w:val="111111"/>
            <w:sz w:val="22"/>
            <w:szCs w:val="22"/>
            <w:b w:val="0"/>
            <w:bCs w:val="0"/>
            <w:i w:val="0"/>
            <w:iCs w:val="0"/>
          </w:rPr>
          <w:t>1370- دیوان حالت هندی أو شعره‏</w:t>
        </w:r>
        <w:r>
          <w:tab/>
        </w:r>
        <w:r>
          <w:fldChar w:fldCharType="begin"/>
        </w:r>
        <w:r>
          <w:instrText xml:space="preserve">PAGEREF 1720 \h</w:instrText>
        </w:r>
        <w:r>
          <w:fldChar w:fldCharType="end"/>
        </w:r>
      </w:hyperlink>
    </w:p>
    <w:p>
      <w:pPr>
        <w:tabs>
          <w:tab w:val="right" w:leader="dot" w:pos="9062"/>
        </w:tabs>
        <w:ind w:left="440"/>
      </w:pPr>
      <w:hyperlink w:anchor="_Toc1721" w:history="1">
        <w:r>
          <w:rPr>
            <w:rFonts w:ascii="IRNazanin" w:hAnsi="IRNazanin" w:eastAsia="IRNazanin" w:cs="IRNazanin"/>
            <w:color w:val="111111"/>
            <w:sz w:val="22"/>
            <w:szCs w:val="22"/>
            <w:b w:val="0"/>
            <w:bCs w:val="0"/>
            <w:i w:val="0"/>
            <w:iCs w:val="0"/>
          </w:rPr>
          <w:t>1371- دیوان حالتی تبریزی‏</w:t>
        </w:r>
        <w:r>
          <w:tab/>
        </w:r>
        <w:r>
          <w:fldChar w:fldCharType="begin"/>
        </w:r>
        <w:r>
          <w:instrText xml:space="preserve">PAGEREF 1721 \h</w:instrText>
        </w:r>
        <w:r>
          <w:fldChar w:fldCharType="end"/>
        </w:r>
      </w:hyperlink>
    </w:p>
    <w:p>
      <w:pPr>
        <w:tabs>
          <w:tab w:val="right" w:leader="dot" w:pos="9062"/>
        </w:tabs>
        <w:ind w:left="440"/>
      </w:pPr>
      <w:hyperlink w:anchor="_Toc1722" w:history="1">
        <w:r>
          <w:rPr>
            <w:rFonts w:ascii="IRNazanin" w:hAnsi="IRNazanin" w:eastAsia="IRNazanin" w:cs="IRNazanin"/>
            <w:color w:val="111111"/>
            <w:sz w:val="22"/>
            <w:szCs w:val="22"/>
            <w:b w:val="0"/>
            <w:bCs w:val="0"/>
            <w:i w:val="0"/>
            <w:iCs w:val="0"/>
          </w:rPr>
          <w:t>1372- دیوان حالتی ترکمان‏</w:t>
        </w:r>
        <w:r>
          <w:tab/>
        </w:r>
        <w:r>
          <w:fldChar w:fldCharType="begin"/>
        </w:r>
        <w:r>
          <w:instrText xml:space="preserve">PAGEREF 1722 \h</w:instrText>
        </w:r>
        <w:r>
          <w:fldChar w:fldCharType="end"/>
        </w:r>
      </w:hyperlink>
    </w:p>
    <w:p>
      <w:pPr>
        <w:tabs>
          <w:tab w:val="right" w:leader="dot" w:pos="9062"/>
        </w:tabs>
        <w:ind w:left="440"/>
      </w:pPr>
      <w:hyperlink w:anchor="_Toc1723" w:history="1">
        <w:r>
          <w:rPr>
            <w:rFonts w:ascii="IRNazanin" w:hAnsi="IRNazanin" w:eastAsia="IRNazanin" w:cs="IRNazanin"/>
            <w:color w:val="111111"/>
            <w:sz w:val="22"/>
            <w:szCs w:val="22"/>
            <w:b w:val="0"/>
            <w:bCs w:val="0"/>
            <w:i w:val="0"/>
            <w:iCs w:val="0"/>
          </w:rPr>
          <w:t>1373- دیوان حالتی گیلانی أو شعره‏</w:t>
        </w:r>
        <w:r>
          <w:tab/>
        </w:r>
        <w:r>
          <w:fldChar w:fldCharType="begin"/>
        </w:r>
        <w:r>
          <w:instrText xml:space="preserve">PAGEREF 1723 \h</w:instrText>
        </w:r>
        <w:r>
          <w:fldChar w:fldCharType="end"/>
        </w:r>
      </w:hyperlink>
    </w:p>
    <w:p>
      <w:pPr>
        <w:tabs>
          <w:tab w:val="right" w:leader="dot" w:pos="9062"/>
        </w:tabs>
        <w:ind w:left="440"/>
      </w:pPr>
      <w:hyperlink w:anchor="_Toc1724" w:history="1">
        <w:r>
          <w:rPr>
            <w:rFonts w:ascii="IRNazanin" w:hAnsi="IRNazanin" w:eastAsia="IRNazanin" w:cs="IRNazanin"/>
            <w:color w:val="111111"/>
            <w:sz w:val="22"/>
            <w:szCs w:val="22"/>
            <w:b w:val="0"/>
            <w:bCs w:val="0"/>
            <w:i w:val="0"/>
            <w:iCs w:val="0"/>
          </w:rPr>
          <w:t>1374- دیوان حالتی هندی أو شعره‏</w:t>
        </w:r>
        <w:r>
          <w:tab/>
        </w:r>
        <w:r>
          <w:fldChar w:fldCharType="begin"/>
        </w:r>
        <w:r>
          <w:instrText xml:space="preserve">PAGEREF 1724 \h</w:instrText>
        </w:r>
        <w:r>
          <w:fldChar w:fldCharType="end"/>
        </w:r>
      </w:hyperlink>
    </w:p>
    <w:p>
      <w:pPr>
        <w:tabs>
          <w:tab w:val="right" w:leader="dot" w:pos="9062"/>
        </w:tabs>
        <w:ind w:left="440"/>
      </w:pPr>
      <w:hyperlink w:anchor="_Toc1725" w:history="1">
        <w:r>
          <w:rPr>
            <w:rFonts w:ascii="IRNazanin" w:hAnsi="IRNazanin" w:eastAsia="IRNazanin" w:cs="IRNazanin"/>
            <w:color w:val="111111"/>
            <w:sz w:val="22"/>
            <w:szCs w:val="22"/>
            <w:b w:val="0"/>
            <w:bCs w:val="0"/>
            <w:i w:val="0"/>
            <w:iCs w:val="0"/>
          </w:rPr>
          <w:t>1375- دیوان حالی أردبیلی أو شعره‏</w:t>
        </w:r>
        <w:r>
          <w:tab/>
        </w:r>
        <w:r>
          <w:fldChar w:fldCharType="begin"/>
        </w:r>
        <w:r>
          <w:instrText xml:space="preserve">PAGEREF 1725 \h</w:instrText>
        </w:r>
        <w:r>
          <w:fldChar w:fldCharType="end"/>
        </w:r>
      </w:hyperlink>
    </w:p>
    <w:p>
      <w:pPr>
        <w:tabs>
          <w:tab w:val="right" w:leader="dot" w:pos="9062"/>
        </w:tabs>
        <w:ind w:left="440"/>
      </w:pPr>
      <w:hyperlink w:anchor="_Toc1726" w:history="1">
        <w:r>
          <w:rPr>
            <w:rFonts w:ascii="IRNazanin" w:hAnsi="IRNazanin" w:eastAsia="IRNazanin" w:cs="IRNazanin"/>
            <w:color w:val="111111"/>
            <w:sz w:val="22"/>
            <w:szCs w:val="22"/>
            <w:b w:val="0"/>
            <w:bCs w:val="0"/>
            <w:i w:val="0"/>
            <w:iCs w:val="0"/>
          </w:rPr>
          <w:t>1376- دیوان حالی أصفهانی‏</w:t>
        </w:r>
        <w:r>
          <w:tab/>
        </w:r>
        <w:r>
          <w:fldChar w:fldCharType="begin"/>
        </w:r>
        <w:r>
          <w:instrText xml:space="preserve">PAGEREF 1726 \h</w:instrText>
        </w:r>
        <w:r>
          <w:fldChar w:fldCharType="end"/>
        </w:r>
      </w:hyperlink>
    </w:p>
    <w:p>
      <w:pPr>
        <w:tabs>
          <w:tab w:val="right" w:leader="dot" w:pos="9062"/>
        </w:tabs>
        <w:ind w:left="440"/>
      </w:pPr>
      <w:hyperlink w:anchor="_Toc1727" w:history="1">
        <w:r>
          <w:rPr>
            <w:rFonts w:ascii="IRNazanin" w:hAnsi="IRNazanin" w:eastAsia="IRNazanin" w:cs="IRNazanin"/>
            <w:color w:val="111111"/>
            <w:sz w:val="22"/>
            <w:szCs w:val="22"/>
            <w:b w:val="0"/>
            <w:bCs w:val="0"/>
            <w:i w:val="0"/>
            <w:iCs w:val="0"/>
          </w:rPr>
          <w:t>1377- دیوان حالی أصفهانی أو شعره‏</w:t>
        </w:r>
        <w:r>
          <w:tab/>
        </w:r>
        <w:r>
          <w:fldChar w:fldCharType="begin"/>
        </w:r>
        <w:r>
          <w:instrText xml:space="preserve">PAGEREF 1727 \h</w:instrText>
        </w:r>
        <w:r>
          <w:fldChar w:fldCharType="end"/>
        </w:r>
      </w:hyperlink>
    </w:p>
    <w:p>
      <w:pPr>
        <w:tabs>
          <w:tab w:val="right" w:leader="dot" w:pos="9062"/>
        </w:tabs>
        <w:ind w:left="440"/>
      </w:pPr>
      <w:hyperlink w:anchor="_Toc1728" w:history="1">
        <w:r>
          <w:rPr>
            <w:rFonts w:ascii="IRNazanin" w:hAnsi="IRNazanin" w:eastAsia="IRNazanin" w:cs="IRNazanin"/>
            <w:color w:val="111111"/>
            <w:sz w:val="22"/>
            <w:szCs w:val="22"/>
            <w:b w:val="0"/>
            <w:bCs w:val="0"/>
            <w:i w:val="0"/>
            <w:iCs w:val="0"/>
          </w:rPr>
          <w:t>1378- دیوان حالی پانی‏پتی أو شعره‏</w:t>
        </w:r>
        <w:r>
          <w:tab/>
        </w:r>
        <w:r>
          <w:fldChar w:fldCharType="begin"/>
        </w:r>
        <w:r>
          <w:instrText xml:space="preserve">PAGEREF 1728 \h</w:instrText>
        </w:r>
        <w:r>
          <w:fldChar w:fldCharType="end"/>
        </w:r>
      </w:hyperlink>
    </w:p>
    <w:p>
      <w:pPr>
        <w:tabs>
          <w:tab w:val="right" w:leader="dot" w:pos="9062"/>
        </w:tabs>
        <w:ind w:left="440"/>
      </w:pPr>
      <w:hyperlink w:anchor="_Toc1729" w:history="1">
        <w:r>
          <w:rPr>
            <w:rFonts w:ascii="IRNazanin" w:hAnsi="IRNazanin" w:eastAsia="IRNazanin" w:cs="IRNazanin"/>
            <w:color w:val="111111"/>
            <w:sz w:val="22"/>
            <w:szCs w:val="22"/>
            <w:b w:val="0"/>
            <w:bCs w:val="0"/>
            <w:i w:val="0"/>
            <w:iCs w:val="0"/>
          </w:rPr>
          <w:t>دیوان حالی سبزواری أو شعره‏</w:t>
        </w:r>
        <w:r>
          <w:tab/>
        </w:r>
        <w:r>
          <w:fldChar w:fldCharType="begin"/>
        </w:r>
        <w:r>
          <w:instrText xml:space="preserve">PAGEREF 1729 \h</w:instrText>
        </w:r>
        <w:r>
          <w:fldChar w:fldCharType="end"/>
        </w:r>
      </w:hyperlink>
    </w:p>
    <w:p>
      <w:pPr>
        <w:tabs>
          <w:tab w:val="right" w:leader="dot" w:pos="9062"/>
        </w:tabs>
        <w:ind w:left="440"/>
      </w:pPr>
      <w:hyperlink w:anchor="_Toc1730" w:history="1">
        <w:r>
          <w:rPr>
            <w:rFonts w:ascii="IRNazanin" w:hAnsi="IRNazanin" w:eastAsia="IRNazanin" w:cs="IRNazanin"/>
            <w:color w:val="111111"/>
            <w:sz w:val="22"/>
            <w:szCs w:val="22"/>
            <w:b w:val="0"/>
            <w:bCs w:val="0"/>
            <w:i w:val="0"/>
            <w:iCs w:val="0"/>
          </w:rPr>
          <w:t>1379- دیوان حالی کاشانی أو شعره‏</w:t>
        </w:r>
        <w:r>
          <w:tab/>
        </w:r>
        <w:r>
          <w:fldChar w:fldCharType="begin"/>
        </w:r>
        <w:r>
          <w:instrText xml:space="preserve">PAGEREF 1730 \h</w:instrText>
        </w:r>
        <w:r>
          <w:fldChar w:fldCharType="end"/>
        </w:r>
      </w:hyperlink>
    </w:p>
    <w:p>
      <w:pPr>
        <w:tabs>
          <w:tab w:val="right" w:leader="dot" w:pos="9062"/>
        </w:tabs>
        <w:ind w:left="440"/>
      </w:pPr>
      <w:hyperlink w:anchor="_Toc1731" w:history="1">
        <w:r>
          <w:rPr>
            <w:rFonts w:ascii="IRNazanin" w:hAnsi="IRNazanin" w:eastAsia="IRNazanin" w:cs="IRNazanin"/>
            <w:color w:val="111111"/>
            <w:sz w:val="22"/>
            <w:szCs w:val="22"/>
            <w:b w:val="0"/>
            <w:bCs w:val="0"/>
            <w:i w:val="0"/>
            <w:iCs w:val="0"/>
          </w:rPr>
          <w:t>دیوان حالی کربلائی‏</w:t>
        </w:r>
        <w:r>
          <w:tab/>
        </w:r>
        <w:r>
          <w:fldChar w:fldCharType="begin"/>
        </w:r>
        <w:r>
          <w:instrText xml:space="preserve">PAGEREF 1731 \h</w:instrText>
        </w:r>
        <w:r>
          <w:fldChar w:fldCharType="end"/>
        </w:r>
      </w:hyperlink>
    </w:p>
    <w:p>
      <w:pPr>
        <w:tabs>
          <w:tab w:val="right" w:leader="dot" w:pos="9062"/>
        </w:tabs>
        <w:ind w:left="440"/>
      </w:pPr>
      <w:hyperlink w:anchor="_Toc1732" w:history="1">
        <w:r>
          <w:rPr>
            <w:rFonts w:ascii="IRNazanin" w:hAnsi="IRNazanin" w:eastAsia="IRNazanin" w:cs="IRNazanin"/>
            <w:color w:val="111111"/>
            <w:sz w:val="22"/>
            <w:szCs w:val="22"/>
            <w:b w:val="0"/>
            <w:bCs w:val="0"/>
            <w:i w:val="0"/>
            <w:iCs w:val="0"/>
          </w:rPr>
          <w:t>دیوان حالی هروی‏</w:t>
        </w:r>
        <w:r>
          <w:tab/>
        </w:r>
        <w:r>
          <w:fldChar w:fldCharType="begin"/>
        </w:r>
        <w:r>
          <w:instrText xml:space="preserve">PAGEREF 1732 \h</w:instrText>
        </w:r>
        <w:r>
          <w:fldChar w:fldCharType="end"/>
        </w:r>
      </w:hyperlink>
    </w:p>
    <w:p>
      <w:pPr>
        <w:tabs>
          <w:tab w:val="right" w:leader="dot" w:pos="9062"/>
        </w:tabs>
        <w:ind w:left="440"/>
      </w:pPr>
      <w:hyperlink w:anchor="_Toc1733" w:history="1">
        <w:r>
          <w:rPr>
            <w:rFonts w:ascii="IRNazanin" w:hAnsi="IRNazanin" w:eastAsia="IRNazanin" w:cs="IRNazanin"/>
            <w:color w:val="111111"/>
            <w:sz w:val="22"/>
            <w:szCs w:val="22"/>
            <w:b w:val="0"/>
            <w:bCs w:val="0"/>
            <w:i w:val="0"/>
            <w:iCs w:val="0"/>
          </w:rPr>
          <w:t>1380- دیوان حالی یزدی أو شعره‏</w:t>
        </w:r>
        <w:r>
          <w:tab/>
        </w:r>
        <w:r>
          <w:fldChar w:fldCharType="begin"/>
        </w:r>
        <w:r>
          <w:instrText xml:space="preserve">PAGEREF 1733 \h</w:instrText>
        </w:r>
        <w:r>
          <w:fldChar w:fldCharType="end"/>
        </w:r>
      </w:hyperlink>
    </w:p>
    <w:p>
      <w:pPr>
        <w:tabs>
          <w:tab w:val="right" w:leader="dot" w:pos="9062"/>
        </w:tabs>
        <w:ind w:left="440"/>
      </w:pPr>
      <w:hyperlink w:anchor="_Toc1734" w:history="1">
        <w:r>
          <w:rPr>
            <w:rFonts w:ascii="IRNazanin" w:hAnsi="IRNazanin" w:eastAsia="IRNazanin" w:cs="IRNazanin"/>
            <w:color w:val="111111"/>
            <w:sz w:val="22"/>
            <w:szCs w:val="22"/>
            <w:b w:val="0"/>
            <w:bCs w:val="0"/>
            <w:i w:val="0"/>
            <w:iCs w:val="0"/>
          </w:rPr>
          <w:t>1381- دیوان حامد الإصطهباناتی‏</w:t>
        </w:r>
        <w:r>
          <w:tab/>
        </w:r>
        <w:r>
          <w:fldChar w:fldCharType="begin"/>
        </w:r>
        <w:r>
          <w:instrText xml:space="preserve">PAGEREF 1734 \h</w:instrText>
        </w:r>
        <w:r>
          <w:fldChar w:fldCharType="end"/>
        </w:r>
      </w:hyperlink>
    </w:p>
    <w:p>
      <w:pPr>
        <w:tabs>
          <w:tab w:val="right" w:leader="dot" w:pos="9062"/>
        </w:tabs>
        <w:ind w:left="440"/>
      </w:pPr>
      <w:hyperlink w:anchor="_Toc1735" w:history="1">
        <w:r>
          <w:rPr>
            <w:rFonts w:ascii="IRNazanin" w:hAnsi="IRNazanin" w:eastAsia="IRNazanin" w:cs="IRNazanin"/>
            <w:color w:val="111111"/>
            <w:sz w:val="22"/>
            <w:szCs w:val="22"/>
            <w:b w:val="0"/>
            <w:bCs w:val="0"/>
            <w:i w:val="0"/>
            <w:iCs w:val="0"/>
          </w:rPr>
          <w:t>1382- دیوان حامد بهبهانی أو شعره‏</w:t>
        </w:r>
        <w:r>
          <w:tab/>
        </w:r>
        <w:r>
          <w:fldChar w:fldCharType="begin"/>
        </w:r>
        <w:r>
          <w:instrText xml:space="preserve">PAGEREF 1735 \h</w:instrText>
        </w:r>
        <w:r>
          <w:fldChar w:fldCharType="end"/>
        </w:r>
      </w:hyperlink>
    </w:p>
    <w:p>
      <w:pPr>
        <w:tabs>
          <w:tab w:val="right" w:leader="dot" w:pos="9062"/>
        </w:tabs>
        <w:ind w:left="440"/>
      </w:pPr>
      <w:hyperlink w:anchor="_Toc1736" w:history="1">
        <w:r>
          <w:rPr>
            <w:rFonts w:ascii="IRNazanin" w:hAnsi="IRNazanin" w:eastAsia="IRNazanin" w:cs="IRNazanin"/>
            <w:color w:val="111111"/>
            <w:sz w:val="22"/>
            <w:szCs w:val="22"/>
            <w:b w:val="0"/>
            <w:bCs w:val="0"/>
            <w:i w:val="0"/>
            <w:iCs w:val="0"/>
          </w:rPr>
          <w:t>1383- دیوان حامد شیرازی أو شعره‏</w:t>
        </w:r>
        <w:r>
          <w:tab/>
        </w:r>
        <w:r>
          <w:fldChar w:fldCharType="begin"/>
        </w:r>
        <w:r>
          <w:instrText xml:space="preserve">PAGEREF 1736 \h</w:instrText>
        </w:r>
        <w:r>
          <w:fldChar w:fldCharType="end"/>
        </w:r>
      </w:hyperlink>
    </w:p>
    <w:p>
      <w:pPr>
        <w:tabs>
          <w:tab w:val="right" w:leader="dot" w:pos="9062"/>
        </w:tabs>
        <w:ind w:left="440"/>
      </w:pPr>
      <w:hyperlink w:anchor="_Toc1737" w:history="1">
        <w:r>
          <w:rPr>
            <w:rFonts w:ascii="IRNazanin" w:hAnsi="IRNazanin" w:eastAsia="IRNazanin" w:cs="IRNazanin"/>
            <w:color w:val="111111"/>
            <w:sz w:val="22"/>
            <w:szCs w:val="22"/>
            <w:b w:val="0"/>
            <w:bCs w:val="0"/>
            <w:i w:val="0"/>
            <w:iCs w:val="0"/>
          </w:rPr>
          <w:t>1384- دیوان حامد کرمانی‏</w:t>
        </w:r>
        <w:r>
          <w:tab/>
        </w:r>
        <w:r>
          <w:fldChar w:fldCharType="begin"/>
        </w:r>
        <w:r>
          <w:instrText xml:space="preserve">PAGEREF 1737 \h</w:instrText>
        </w:r>
        <w:r>
          <w:fldChar w:fldCharType="end"/>
        </w:r>
      </w:hyperlink>
    </w:p>
    <w:p>
      <w:pPr>
        <w:tabs>
          <w:tab w:val="right" w:leader="dot" w:pos="9062"/>
        </w:tabs>
        <w:ind w:left="440"/>
      </w:pPr>
      <w:hyperlink w:anchor="_Toc1738" w:history="1">
        <w:r>
          <w:rPr>
            <w:rFonts w:ascii="IRNazanin" w:hAnsi="IRNazanin" w:eastAsia="IRNazanin" w:cs="IRNazanin"/>
            <w:color w:val="111111"/>
            <w:sz w:val="22"/>
            <w:szCs w:val="22"/>
            <w:b w:val="0"/>
            <w:bCs w:val="0"/>
            <w:i w:val="0"/>
            <w:iCs w:val="0"/>
          </w:rPr>
          <w:t>1385- دیوان حامدی شوشتری أو شعره‏</w:t>
        </w:r>
        <w:r>
          <w:tab/>
        </w:r>
        <w:r>
          <w:fldChar w:fldCharType="begin"/>
        </w:r>
        <w:r>
          <w:instrText xml:space="preserve">PAGEREF 1738 \h</w:instrText>
        </w:r>
        <w:r>
          <w:fldChar w:fldCharType="end"/>
        </w:r>
      </w:hyperlink>
    </w:p>
    <w:p>
      <w:pPr>
        <w:tabs>
          <w:tab w:val="right" w:leader="dot" w:pos="9062"/>
        </w:tabs>
        <w:ind w:left="440"/>
      </w:pPr>
      <w:hyperlink w:anchor="_Toc1739" w:history="1">
        <w:r>
          <w:rPr>
            <w:rFonts w:ascii="IRNazanin" w:hAnsi="IRNazanin" w:eastAsia="IRNazanin" w:cs="IRNazanin"/>
            <w:color w:val="111111"/>
            <w:sz w:val="22"/>
            <w:szCs w:val="22"/>
            <w:b w:val="0"/>
            <w:bCs w:val="0"/>
            <w:i w:val="0"/>
            <w:iCs w:val="0"/>
          </w:rPr>
          <w:t>1386- دیوان حامدی قزوینی أو شعره‏</w:t>
        </w:r>
        <w:r>
          <w:tab/>
        </w:r>
        <w:r>
          <w:fldChar w:fldCharType="begin"/>
        </w:r>
        <w:r>
          <w:instrText xml:space="preserve">PAGEREF 1739 \h</w:instrText>
        </w:r>
        <w:r>
          <w:fldChar w:fldCharType="end"/>
        </w:r>
      </w:hyperlink>
    </w:p>
    <w:p>
      <w:pPr>
        <w:tabs>
          <w:tab w:val="right" w:leader="dot" w:pos="9062"/>
        </w:tabs>
        <w:ind w:left="440"/>
      </w:pPr>
      <w:hyperlink w:anchor="_Toc1740" w:history="1">
        <w:r>
          <w:rPr>
            <w:rFonts w:ascii="IRNazanin" w:hAnsi="IRNazanin" w:eastAsia="IRNazanin" w:cs="IRNazanin"/>
            <w:color w:val="111111"/>
            <w:sz w:val="22"/>
            <w:szCs w:val="22"/>
            <w:b w:val="0"/>
            <w:bCs w:val="0"/>
            <w:i w:val="0"/>
            <w:iCs w:val="0"/>
          </w:rPr>
          <w:t>1387- دیوان دیوان حامدی قمی أو شعره‏</w:t>
        </w:r>
        <w:r>
          <w:tab/>
        </w:r>
        <w:r>
          <w:fldChar w:fldCharType="begin"/>
        </w:r>
        <w:r>
          <w:instrText xml:space="preserve">PAGEREF 1740 \h</w:instrText>
        </w:r>
        <w:r>
          <w:fldChar w:fldCharType="end"/>
        </w:r>
      </w:hyperlink>
    </w:p>
    <w:p>
      <w:pPr>
        <w:tabs>
          <w:tab w:val="right" w:leader="dot" w:pos="9062"/>
        </w:tabs>
        <w:ind w:left="440"/>
      </w:pPr>
      <w:hyperlink w:anchor="_Toc1741" w:history="1">
        <w:r>
          <w:rPr>
            <w:rFonts w:ascii="IRNazanin" w:hAnsi="IRNazanin" w:eastAsia="IRNazanin" w:cs="IRNazanin"/>
            <w:color w:val="111111"/>
            <w:sz w:val="22"/>
            <w:szCs w:val="22"/>
            <w:b w:val="0"/>
            <w:bCs w:val="0"/>
            <w:i w:val="0"/>
            <w:iCs w:val="0"/>
          </w:rPr>
          <w:t>1388- دیوان حامی فارسی‏</w:t>
        </w:r>
        <w:r>
          <w:tab/>
        </w:r>
        <w:r>
          <w:fldChar w:fldCharType="begin"/>
        </w:r>
        <w:r>
          <w:instrText xml:space="preserve">PAGEREF 1741 \h</w:instrText>
        </w:r>
        <w:r>
          <w:fldChar w:fldCharType="end"/>
        </w:r>
      </w:hyperlink>
    </w:p>
    <w:p>
      <w:pPr>
        <w:tabs>
          <w:tab w:val="right" w:leader="dot" w:pos="9062"/>
        </w:tabs>
        <w:ind w:left="440"/>
      </w:pPr>
      <w:hyperlink w:anchor="_Toc1742" w:history="1">
        <w:r>
          <w:rPr>
            <w:rFonts w:ascii="IRNazanin" w:hAnsi="IRNazanin" w:eastAsia="IRNazanin" w:cs="IRNazanin"/>
            <w:color w:val="111111"/>
            <w:sz w:val="22"/>
            <w:szCs w:val="22"/>
            <w:b w:val="0"/>
            <w:bCs w:val="0"/>
            <w:i w:val="0"/>
            <w:iCs w:val="0"/>
          </w:rPr>
          <w:t>1389- دیوان حاوی السندجی‏</w:t>
        </w:r>
        <w:r>
          <w:tab/>
        </w:r>
        <w:r>
          <w:fldChar w:fldCharType="begin"/>
        </w:r>
        <w:r>
          <w:instrText xml:space="preserve">PAGEREF 1742 \h</w:instrText>
        </w:r>
        <w:r>
          <w:fldChar w:fldCharType="end"/>
        </w:r>
      </w:hyperlink>
    </w:p>
    <w:p>
      <w:pPr>
        <w:tabs>
          <w:tab w:val="right" w:leader="dot" w:pos="9062"/>
        </w:tabs>
        <w:ind w:left="440"/>
      </w:pPr>
      <w:hyperlink w:anchor="_Toc1743" w:history="1">
        <w:r>
          <w:rPr>
            <w:rFonts w:ascii="IRNazanin" w:hAnsi="IRNazanin" w:eastAsia="IRNazanin" w:cs="IRNazanin"/>
            <w:color w:val="111111"/>
            <w:sz w:val="22"/>
            <w:szCs w:val="22"/>
            <w:b w:val="0"/>
            <w:bCs w:val="0"/>
            <w:i w:val="0"/>
            <w:iCs w:val="0"/>
          </w:rPr>
          <w:t>دیوان حباب أصفهانی‏</w:t>
        </w:r>
        <w:r>
          <w:tab/>
        </w:r>
        <w:r>
          <w:fldChar w:fldCharType="begin"/>
        </w:r>
        <w:r>
          <w:instrText xml:space="preserve">PAGEREF 1743 \h</w:instrText>
        </w:r>
        <w:r>
          <w:fldChar w:fldCharType="end"/>
        </w:r>
      </w:hyperlink>
    </w:p>
    <w:p>
      <w:pPr>
        <w:tabs>
          <w:tab w:val="right" w:leader="dot" w:pos="9062"/>
        </w:tabs>
        <w:ind w:left="440"/>
      </w:pPr>
      <w:hyperlink w:anchor="_Toc1744" w:history="1">
        <w:r>
          <w:rPr>
            <w:rFonts w:ascii="IRNazanin" w:hAnsi="IRNazanin" w:eastAsia="IRNazanin" w:cs="IRNazanin"/>
            <w:color w:val="111111"/>
            <w:sz w:val="22"/>
            <w:szCs w:val="22"/>
            <w:b w:val="0"/>
            <w:bCs w:val="0"/>
            <w:i w:val="0"/>
            <w:iCs w:val="0"/>
          </w:rPr>
          <w:t>دیوان حبش مازندرانی‏</w:t>
        </w:r>
        <w:r>
          <w:tab/>
        </w:r>
        <w:r>
          <w:fldChar w:fldCharType="begin"/>
        </w:r>
        <w:r>
          <w:instrText xml:space="preserve">PAGEREF 1744 \h</w:instrText>
        </w:r>
        <w:r>
          <w:fldChar w:fldCharType="end"/>
        </w:r>
      </w:hyperlink>
    </w:p>
    <w:p>
      <w:pPr>
        <w:tabs>
          <w:tab w:val="right" w:leader="dot" w:pos="9062"/>
        </w:tabs>
        <w:ind w:left="440"/>
      </w:pPr>
      <w:hyperlink w:anchor="_Toc1745" w:history="1">
        <w:r>
          <w:rPr>
            <w:rFonts w:ascii="IRNazanin" w:hAnsi="IRNazanin" w:eastAsia="IRNazanin" w:cs="IRNazanin"/>
            <w:color w:val="111111"/>
            <w:sz w:val="22"/>
            <w:szCs w:val="22"/>
            <w:b w:val="0"/>
            <w:bCs w:val="0"/>
            <w:i w:val="0"/>
            <w:iCs w:val="0"/>
          </w:rPr>
          <w:t>1390- دیوان حبابی کاشی أو شعره‏</w:t>
        </w:r>
        <w:r>
          <w:tab/>
        </w:r>
        <w:r>
          <w:fldChar w:fldCharType="begin"/>
        </w:r>
        <w:r>
          <w:instrText xml:space="preserve">PAGEREF 1745 \h</w:instrText>
        </w:r>
        <w:r>
          <w:fldChar w:fldCharType="end"/>
        </w:r>
      </w:hyperlink>
    </w:p>
    <w:p>
      <w:pPr>
        <w:tabs>
          <w:tab w:val="right" w:leader="dot" w:pos="9062"/>
        </w:tabs>
        <w:ind w:left="440"/>
      </w:pPr>
      <w:hyperlink w:anchor="_Toc1746" w:history="1">
        <w:r>
          <w:rPr>
            <w:rFonts w:ascii="IRNazanin" w:hAnsi="IRNazanin" w:eastAsia="IRNazanin" w:cs="IRNazanin"/>
            <w:color w:val="111111"/>
            <w:sz w:val="22"/>
            <w:szCs w:val="22"/>
            <w:b w:val="0"/>
            <w:bCs w:val="0"/>
            <w:i w:val="0"/>
            <w:iCs w:val="0"/>
          </w:rPr>
          <w:t>1391- دیوان الحبوبی الکبیر</w:t>
        </w:r>
        <w:r>
          <w:tab/>
        </w:r>
        <w:r>
          <w:fldChar w:fldCharType="begin"/>
        </w:r>
        <w:r>
          <w:instrText xml:space="preserve">PAGEREF 1746 \h</w:instrText>
        </w:r>
        <w:r>
          <w:fldChar w:fldCharType="end"/>
        </w:r>
      </w:hyperlink>
    </w:p>
    <w:p>
      <w:pPr>
        <w:tabs>
          <w:tab w:val="right" w:leader="dot" w:pos="9062"/>
        </w:tabs>
        <w:ind w:left="440"/>
      </w:pPr>
      <w:hyperlink w:anchor="_Toc1747" w:history="1">
        <w:r>
          <w:rPr>
            <w:rFonts w:ascii="IRNazanin" w:hAnsi="IRNazanin" w:eastAsia="IRNazanin" w:cs="IRNazanin"/>
            <w:color w:val="111111"/>
            <w:sz w:val="22"/>
            <w:szCs w:val="22"/>
            <w:b w:val="0"/>
            <w:bCs w:val="0"/>
            <w:i w:val="0"/>
            <w:iCs w:val="0"/>
          </w:rPr>
          <w:t>1392- دیوان الحبوبی الصغیر</w:t>
        </w:r>
        <w:r>
          <w:tab/>
        </w:r>
        <w:r>
          <w:fldChar w:fldCharType="begin"/>
        </w:r>
        <w:r>
          <w:instrText xml:space="preserve">PAGEREF 1747 \h</w:instrText>
        </w:r>
        <w:r>
          <w:fldChar w:fldCharType="end"/>
        </w:r>
      </w:hyperlink>
    </w:p>
    <w:p>
      <w:pPr>
        <w:tabs>
          <w:tab w:val="right" w:leader="dot" w:pos="9062"/>
        </w:tabs>
        <w:ind w:left="440"/>
      </w:pPr>
      <w:hyperlink w:anchor="_Toc1748" w:history="1">
        <w:r>
          <w:rPr>
            <w:rFonts w:ascii="IRNazanin" w:hAnsi="IRNazanin" w:eastAsia="IRNazanin" w:cs="IRNazanin"/>
            <w:color w:val="111111"/>
            <w:sz w:val="22"/>
            <w:szCs w:val="22"/>
            <w:b w:val="0"/>
            <w:bCs w:val="0"/>
            <w:i w:val="0"/>
            <w:iCs w:val="0"/>
          </w:rPr>
          <w:t>1393- دیوان حبی النیشابوری‏</w:t>
        </w:r>
        <w:r>
          <w:tab/>
        </w:r>
        <w:r>
          <w:fldChar w:fldCharType="begin"/>
        </w:r>
        <w:r>
          <w:instrText xml:space="preserve">PAGEREF 1748 \h</w:instrText>
        </w:r>
        <w:r>
          <w:fldChar w:fldCharType="end"/>
        </w:r>
      </w:hyperlink>
    </w:p>
    <w:p>
      <w:pPr>
        <w:tabs>
          <w:tab w:val="right" w:leader="dot" w:pos="9062"/>
        </w:tabs>
        <w:ind w:left="440"/>
      </w:pPr>
      <w:hyperlink w:anchor="_Toc1749" w:history="1">
        <w:r>
          <w:rPr>
            <w:rFonts w:ascii="IRNazanin" w:hAnsi="IRNazanin" w:eastAsia="IRNazanin" w:cs="IRNazanin"/>
            <w:color w:val="111111"/>
            <w:sz w:val="22"/>
            <w:szCs w:val="22"/>
            <w:b w:val="0"/>
            <w:bCs w:val="0"/>
            <w:i w:val="0"/>
            <w:iCs w:val="0"/>
          </w:rPr>
          <w:t>1394- دیوان حبیب‏</w:t>
        </w:r>
        <w:r>
          <w:tab/>
        </w:r>
        <w:r>
          <w:fldChar w:fldCharType="begin"/>
        </w:r>
        <w:r>
          <w:instrText xml:space="preserve">PAGEREF 1749 \h</w:instrText>
        </w:r>
        <w:r>
          <w:fldChar w:fldCharType="end"/>
        </w:r>
      </w:hyperlink>
    </w:p>
    <w:p>
      <w:pPr>
        <w:tabs>
          <w:tab w:val="right" w:leader="dot" w:pos="9062"/>
        </w:tabs>
        <w:ind w:left="440"/>
      </w:pPr>
      <w:hyperlink w:anchor="_Toc1750" w:history="1">
        <w:r>
          <w:rPr>
            <w:rFonts w:ascii="IRNazanin" w:hAnsi="IRNazanin" w:eastAsia="IRNazanin" w:cs="IRNazanin"/>
            <w:color w:val="111111"/>
            <w:sz w:val="22"/>
            <w:szCs w:val="22"/>
            <w:b w:val="0"/>
            <w:bCs w:val="0"/>
            <w:i w:val="0"/>
            <w:iCs w:val="0"/>
          </w:rPr>
          <w:t>1395- دیوان حبیب أصفهانی أو شعره‏</w:t>
        </w:r>
        <w:r>
          <w:tab/>
        </w:r>
        <w:r>
          <w:fldChar w:fldCharType="begin"/>
        </w:r>
        <w:r>
          <w:instrText xml:space="preserve">PAGEREF 1750 \h</w:instrText>
        </w:r>
        <w:r>
          <w:fldChar w:fldCharType="end"/>
        </w:r>
      </w:hyperlink>
    </w:p>
    <w:p>
      <w:pPr>
        <w:tabs>
          <w:tab w:val="right" w:leader="dot" w:pos="9062"/>
        </w:tabs>
        <w:ind w:left="440"/>
      </w:pPr>
      <w:hyperlink w:anchor="_Toc1751" w:history="1">
        <w:r>
          <w:rPr>
            <w:rFonts w:ascii="IRNazanin" w:hAnsi="IRNazanin" w:eastAsia="IRNazanin" w:cs="IRNazanin"/>
            <w:color w:val="111111"/>
            <w:sz w:val="22"/>
            <w:szCs w:val="22"/>
            <w:b w:val="0"/>
            <w:bCs w:val="0"/>
            <w:i w:val="0"/>
            <w:iCs w:val="0"/>
          </w:rPr>
          <w:t>1396- دیوان حبیب رازی أو شعره‏</w:t>
        </w:r>
        <w:r>
          <w:tab/>
        </w:r>
        <w:r>
          <w:fldChar w:fldCharType="begin"/>
        </w:r>
        <w:r>
          <w:instrText xml:space="preserve">PAGEREF 1751 \h</w:instrText>
        </w:r>
        <w:r>
          <w:fldChar w:fldCharType="end"/>
        </w:r>
      </w:hyperlink>
    </w:p>
    <w:p>
      <w:pPr>
        <w:tabs>
          <w:tab w:val="right" w:leader="dot" w:pos="9062"/>
        </w:tabs>
        <w:ind w:left="440"/>
      </w:pPr>
      <w:hyperlink w:anchor="_Toc1752" w:history="1">
        <w:r>
          <w:rPr>
            <w:rFonts w:ascii="IRNazanin" w:hAnsi="IRNazanin" w:eastAsia="IRNazanin" w:cs="IRNazanin"/>
            <w:color w:val="111111"/>
            <w:sz w:val="22"/>
            <w:szCs w:val="22"/>
            <w:b w:val="0"/>
            <w:bCs w:val="0"/>
            <w:i w:val="0"/>
            <w:iCs w:val="0"/>
          </w:rPr>
          <w:t>1397- دیوان حبیب سبزواری أو شعره‏</w:t>
        </w:r>
        <w:r>
          <w:tab/>
        </w:r>
        <w:r>
          <w:fldChar w:fldCharType="begin"/>
        </w:r>
        <w:r>
          <w:instrText xml:space="preserve">PAGEREF 1752 \h</w:instrText>
        </w:r>
        <w:r>
          <w:fldChar w:fldCharType="end"/>
        </w:r>
      </w:hyperlink>
    </w:p>
    <w:p>
      <w:pPr>
        <w:tabs>
          <w:tab w:val="right" w:leader="dot" w:pos="9062"/>
        </w:tabs>
        <w:ind w:left="440"/>
      </w:pPr>
      <w:hyperlink w:anchor="_Toc1753" w:history="1">
        <w:r>
          <w:rPr>
            <w:rFonts w:ascii="IRNazanin" w:hAnsi="IRNazanin" w:eastAsia="IRNazanin" w:cs="IRNazanin"/>
            <w:color w:val="111111"/>
            <w:sz w:val="22"/>
            <w:szCs w:val="22"/>
            <w:b w:val="0"/>
            <w:bCs w:val="0"/>
            <w:i w:val="0"/>
            <w:iCs w:val="0"/>
          </w:rPr>
          <w:t>1398- دیوان حبیب شیرازی أو شعره‏</w:t>
        </w:r>
        <w:r>
          <w:tab/>
        </w:r>
        <w:r>
          <w:fldChar w:fldCharType="begin"/>
        </w:r>
        <w:r>
          <w:instrText xml:space="preserve">PAGEREF 1753 \h</w:instrText>
        </w:r>
        <w:r>
          <w:fldChar w:fldCharType="end"/>
        </w:r>
      </w:hyperlink>
    </w:p>
    <w:p>
      <w:pPr>
        <w:tabs>
          <w:tab w:val="right" w:leader="dot" w:pos="9062"/>
        </w:tabs>
        <w:ind w:left="440"/>
      </w:pPr>
      <w:hyperlink w:anchor="_Toc1754" w:history="1">
        <w:r>
          <w:rPr>
            <w:rFonts w:ascii="IRNazanin" w:hAnsi="IRNazanin" w:eastAsia="IRNazanin" w:cs="IRNazanin"/>
            <w:color w:val="111111"/>
            <w:sz w:val="22"/>
            <w:szCs w:val="22"/>
            <w:b w:val="0"/>
            <w:bCs w:val="0"/>
            <w:i w:val="0"/>
            <w:iCs w:val="0"/>
          </w:rPr>
          <w:t>1399- دیوان حبیب قیزی أو شعره‏</w:t>
        </w:r>
        <w:r>
          <w:tab/>
        </w:r>
        <w:r>
          <w:fldChar w:fldCharType="begin"/>
        </w:r>
        <w:r>
          <w:instrText xml:space="preserve">PAGEREF 1754 \h</w:instrText>
        </w:r>
        <w:r>
          <w:fldChar w:fldCharType="end"/>
        </w:r>
      </w:hyperlink>
    </w:p>
    <w:p>
      <w:pPr>
        <w:tabs>
          <w:tab w:val="right" w:leader="dot" w:pos="9062"/>
        </w:tabs>
        <w:ind w:left="440"/>
      </w:pPr>
      <w:hyperlink w:anchor="_Toc1755" w:history="1">
        <w:r>
          <w:rPr>
            <w:rFonts w:ascii="IRNazanin" w:hAnsi="IRNazanin" w:eastAsia="IRNazanin" w:cs="IRNazanin"/>
            <w:color w:val="111111"/>
            <w:sz w:val="22"/>
            <w:szCs w:val="22"/>
            <w:b w:val="0"/>
            <w:bCs w:val="0"/>
            <w:i w:val="0"/>
            <w:iCs w:val="0"/>
          </w:rPr>
          <w:t>1400- دیوان حبیب کاتب أو شعره‏</w:t>
        </w:r>
        <w:r>
          <w:tab/>
        </w:r>
        <w:r>
          <w:fldChar w:fldCharType="begin"/>
        </w:r>
        <w:r>
          <w:instrText xml:space="preserve">PAGEREF 1755 \h</w:instrText>
        </w:r>
        <w:r>
          <w:fldChar w:fldCharType="end"/>
        </w:r>
      </w:hyperlink>
    </w:p>
    <w:p>
      <w:pPr>
        <w:tabs>
          <w:tab w:val="right" w:leader="dot" w:pos="9062"/>
        </w:tabs>
        <w:ind w:left="440"/>
      </w:pPr>
      <w:hyperlink w:anchor="_Toc1756" w:history="1">
        <w:r>
          <w:rPr>
            <w:rFonts w:ascii="IRNazanin" w:hAnsi="IRNazanin" w:eastAsia="IRNazanin" w:cs="IRNazanin"/>
            <w:color w:val="111111"/>
            <w:sz w:val="22"/>
            <w:szCs w:val="22"/>
            <w:b w:val="0"/>
            <w:bCs w:val="0"/>
            <w:i w:val="0"/>
            <w:iCs w:val="0"/>
          </w:rPr>
          <w:t>1401- دیوان حبیب کاشی کار أو شعره‏</w:t>
        </w:r>
        <w:r>
          <w:tab/>
        </w:r>
        <w:r>
          <w:fldChar w:fldCharType="begin"/>
        </w:r>
        <w:r>
          <w:instrText xml:space="preserve">PAGEREF 1756 \h</w:instrText>
        </w:r>
        <w:r>
          <w:fldChar w:fldCharType="end"/>
        </w:r>
      </w:hyperlink>
    </w:p>
    <w:p>
      <w:pPr>
        <w:tabs>
          <w:tab w:val="right" w:leader="dot" w:pos="9062"/>
        </w:tabs>
        <w:ind w:left="440"/>
      </w:pPr>
      <w:hyperlink w:anchor="_Toc1757" w:history="1">
        <w:r>
          <w:rPr>
            <w:rFonts w:ascii="IRNazanin" w:hAnsi="IRNazanin" w:eastAsia="IRNazanin" w:cs="IRNazanin"/>
            <w:color w:val="111111"/>
            <w:sz w:val="22"/>
            <w:szCs w:val="22"/>
            <w:b w:val="0"/>
            <w:bCs w:val="0"/>
            <w:i w:val="0"/>
            <w:iCs w:val="0"/>
          </w:rPr>
          <w:t>1402- دیوان حبیب کاشی‏</w:t>
        </w:r>
        <w:r>
          <w:tab/>
        </w:r>
        <w:r>
          <w:fldChar w:fldCharType="begin"/>
        </w:r>
        <w:r>
          <w:instrText xml:space="preserve">PAGEREF 1757 \h</w:instrText>
        </w:r>
        <w:r>
          <w:fldChar w:fldCharType="end"/>
        </w:r>
      </w:hyperlink>
    </w:p>
    <w:p>
      <w:pPr>
        <w:tabs>
          <w:tab w:val="right" w:leader="dot" w:pos="9062"/>
        </w:tabs>
        <w:ind w:left="440"/>
      </w:pPr>
      <w:hyperlink w:anchor="_Toc1758" w:history="1">
        <w:r>
          <w:rPr>
            <w:rFonts w:ascii="IRNazanin" w:hAnsi="IRNazanin" w:eastAsia="IRNazanin" w:cs="IRNazanin"/>
            <w:color w:val="111111"/>
            <w:sz w:val="22"/>
            <w:szCs w:val="22"/>
            <w:b w:val="0"/>
            <w:bCs w:val="0"/>
            <w:i w:val="0"/>
            <w:iCs w:val="0"/>
          </w:rPr>
          <w:t>1403- دیوان حبیب الله أو شعره‏</w:t>
        </w:r>
        <w:r>
          <w:tab/>
        </w:r>
        <w:r>
          <w:fldChar w:fldCharType="begin"/>
        </w:r>
        <w:r>
          <w:instrText xml:space="preserve">PAGEREF 1758 \h</w:instrText>
        </w:r>
        <w:r>
          <w:fldChar w:fldCharType="end"/>
        </w:r>
      </w:hyperlink>
    </w:p>
    <w:p>
      <w:pPr>
        <w:tabs>
          <w:tab w:val="right" w:leader="dot" w:pos="9062"/>
        </w:tabs>
        <w:ind w:left="440"/>
      </w:pPr>
      <w:hyperlink w:anchor="_Toc1759" w:history="1">
        <w:r>
          <w:rPr>
            <w:rFonts w:ascii="IRNazanin" w:hAnsi="IRNazanin" w:eastAsia="IRNazanin" w:cs="IRNazanin"/>
            <w:color w:val="111111"/>
            <w:sz w:val="22"/>
            <w:szCs w:val="22"/>
            <w:b w:val="0"/>
            <w:bCs w:val="0"/>
            <w:i w:val="0"/>
            <w:iCs w:val="0"/>
          </w:rPr>
          <w:t>دیوان حبیب الله ترکة</w:t>
        </w:r>
        <w:r>
          <w:tab/>
        </w:r>
        <w:r>
          <w:fldChar w:fldCharType="begin"/>
        </w:r>
        <w:r>
          <w:instrText xml:space="preserve">PAGEREF 1759 \h</w:instrText>
        </w:r>
        <w:r>
          <w:fldChar w:fldCharType="end"/>
        </w:r>
      </w:hyperlink>
    </w:p>
    <w:p>
      <w:pPr>
        <w:tabs>
          <w:tab w:val="right" w:leader="dot" w:pos="9062"/>
        </w:tabs>
        <w:ind w:left="440"/>
      </w:pPr>
      <w:hyperlink w:anchor="_Toc1760" w:history="1">
        <w:r>
          <w:rPr>
            <w:rFonts w:ascii="IRNazanin" w:hAnsi="IRNazanin" w:eastAsia="IRNazanin" w:cs="IRNazanin"/>
            <w:color w:val="111111"/>
            <w:sz w:val="22"/>
            <w:szCs w:val="22"/>
            <w:b w:val="0"/>
            <w:bCs w:val="0"/>
            <w:i w:val="0"/>
            <w:iCs w:val="0"/>
          </w:rPr>
          <w:t>1404- دیوان حبیب مسگر أو شعره‏</w:t>
        </w:r>
        <w:r>
          <w:tab/>
        </w:r>
        <w:r>
          <w:fldChar w:fldCharType="begin"/>
        </w:r>
        <w:r>
          <w:instrText xml:space="preserve">PAGEREF 1760 \h</w:instrText>
        </w:r>
        <w:r>
          <w:fldChar w:fldCharType="end"/>
        </w:r>
      </w:hyperlink>
    </w:p>
    <w:p>
      <w:pPr>
        <w:tabs>
          <w:tab w:val="right" w:leader="dot" w:pos="9062"/>
        </w:tabs>
        <w:ind w:left="440"/>
      </w:pPr>
      <w:hyperlink w:anchor="_Toc1761" w:history="1">
        <w:r>
          <w:rPr>
            <w:rFonts w:ascii="IRNazanin" w:hAnsi="IRNazanin" w:eastAsia="IRNazanin" w:cs="IRNazanin"/>
            <w:color w:val="111111"/>
            <w:sz w:val="22"/>
            <w:szCs w:val="22"/>
            <w:b w:val="0"/>
            <w:bCs w:val="0"/>
            <w:i w:val="0"/>
            <w:iCs w:val="0"/>
          </w:rPr>
          <w:t>1405- دیوان الحاج میرزا حبیب المشهدی‏</w:t>
        </w:r>
        <w:r>
          <w:tab/>
        </w:r>
        <w:r>
          <w:fldChar w:fldCharType="begin"/>
        </w:r>
        <w:r>
          <w:instrText xml:space="preserve">PAGEREF 1761 \h</w:instrText>
        </w:r>
        <w:r>
          <w:fldChar w:fldCharType="end"/>
        </w:r>
      </w:hyperlink>
    </w:p>
    <w:p>
      <w:pPr>
        <w:tabs>
          <w:tab w:val="right" w:leader="dot" w:pos="9062"/>
        </w:tabs>
        <w:ind w:left="440"/>
      </w:pPr>
      <w:hyperlink w:anchor="_Toc1762" w:history="1">
        <w:r>
          <w:rPr>
            <w:rFonts w:ascii="IRNazanin" w:hAnsi="IRNazanin" w:eastAsia="IRNazanin" w:cs="IRNazanin"/>
            <w:color w:val="111111"/>
            <w:sz w:val="22"/>
            <w:szCs w:val="22"/>
            <w:b w:val="0"/>
            <w:bCs w:val="0"/>
            <w:i w:val="0"/>
            <w:iCs w:val="0"/>
          </w:rPr>
          <w:t>دیوان حبیب یزدی‏</w:t>
        </w:r>
        <w:r>
          <w:tab/>
        </w:r>
        <w:r>
          <w:fldChar w:fldCharType="begin"/>
        </w:r>
        <w:r>
          <w:instrText xml:space="preserve">PAGEREF 1762 \h</w:instrText>
        </w:r>
        <w:r>
          <w:fldChar w:fldCharType="end"/>
        </w:r>
      </w:hyperlink>
    </w:p>
    <w:p>
      <w:pPr>
        <w:tabs>
          <w:tab w:val="right" w:leader="dot" w:pos="9062"/>
        </w:tabs>
        <w:ind w:left="440"/>
      </w:pPr>
      <w:hyperlink w:anchor="_Toc1763" w:history="1">
        <w:r>
          <w:rPr>
            <w:rFonts w:ascii="IRNazanin" w:hAnsi="IRNazanin" w:eastAsia="IRNazanin" w:cs="IRNazanin"/>
            <w:color w:val="111111"/>
            <w:sz w:val="22"/>
            <w:szCs w:val="22"/>
            <w:b w:val="0"/>
            <w:bCs w:val="0"/>
            <w:i w:val="0"/>
            <w:iCs w:val="0"/>
          </w:rPr>
          <w:t>1406- دیوان حبیبی آذربایجانی أو شعره‏</w:t>
        </w:r>
        <w:r>
          <w:tab/>
        </w:r>
        <w:r>
          <w:fldChar w:fldCharType="begin"/>
        </w:r>
        <w:r>
          <w:instrText xml:space="preserve">PAGEREF 1763 \h</w:instrText>
        </w:r>
        <w:r>
          <w:fldChar w:fldCharType="end"/>
        </w:r>
      </w:hyperlink>
    </w:p>
    <w:p>
      <w:pPr>
        <w:tabs>
          <w:tab w:val="right" w:leader="dot" w:pos="9062"/>
        </w:tabs>
        <w:ind w:left="440"/>
      </w:pPr>
      <w:hyperlink w:anchor="_Toc1764" w:history="1">
        <w:r>
          <w:rPr>
            <w:rFonts w:ascii="IRNazanin" w:hAnsi="IRNazanin" w:eastAsia="IRNazanin" w:cs="IRNazanin"/>
            <w:color w:val="111111"/>
            <w:sz w:val="22"/>
            <w:szCs w:val="22"/>
            <w:b w:val="0"/>
            <w:bCs w:val="0"/>
            <w:i w:val="0"/>
            <w:iCs w:val="0"/>
          </w:rPr>
          <w:t>1407- دیوان حجاب أصفهانی أو شعره‏</w:t>
        </w:r>
        <w:r>
          <w:tab/>
        </w:r>
        <w:r>
          <w:fldChar w:fldCharType="begin"/>
        </w:r>
        <w:r>
          <w:instrText xml:space="preserve">PAGEREF 1764 \h</w:instrText>
        </w:r>
        <w:r>
          <w:fldChar w:fldCharType="end"/>
        </w:r>
      </w:hyperlink>
    </w:p>
    <w:p>
      <w:pPr>
        <w:tabs>
          <w:tab w:val="right" w:leader="dot" w:pos="9062"/>
        </w:tabs>
        <w:ind w:left="440"/>
      </w:pPr>
      <w:hyperlink w:anchor="_Toc1765" w:history="1">
        <w:r>
          <w:rPr>
            <w:rFonts w:ascii="IRNazanin" w:hAnsi="IRNazanin" w:eastAsia="IRNazanin" w:cs="IRNazanin"/>
            <w:color w:val="111111"/>
            <w:sz w:val="22"/>
            <w:szCs w:val="22"/>
            <w:b w:val="0"/>
            <w:bCs w:val="0"/>
            <w:i w:val="0"/>
            <w:iCs w:val="0"/>
          </w:rPr>
          <w:t>1408- دیوان حجاب شیرازی أو شعره‏</w:t>
        </w:r>
        <w:r>
          <w:tab/>
        </w:r>
        <w:r>
          <w:fldChar w:fldCharType="begin"/>
        </w:r>
        <w:r>
          <w:instrText xml:space="preserve">PAGEREF 1765 \h</w:instrText>
        </w:r>
        <w:r>
          <w:fldChar w:fldCharType="end"/>
        </w:r>
      </w:hyperlink>
    </w:p>
    <w:p>
      <w:pPr>
        <w:tabs>
          <w:tab w:val="right" w:leader="dot" w:pos="9062"/>
        </w:tabs>
        <w:ind w:left="440"/>
      </w:pPr>
      <w:hyperlink w:anchor="_Toc1766" w:history="1">
        <w:r>
          <w:rPr>
            <w:rFonts w:ascii="IRNazanin" w:hAnsi="IRNazanin" w:eastAsia="IRNazanin" w:cs="IRNazanin"/>
            <w:color w:val="111111"/>
            <w:sz w:val="22"/>
            <w:szCs w:val="22"/>
            <w:b w:val="0"/>
            <w:bCs w:val="0"/>
            <w:i w:val="0"/>
            <w:iCs w:val="0"/>
          </w:rPr>
          <w:t>1409- دیوان حجاب قزوینی أو شعره‏</w:t>
        </w:r>
        <w:r>
          <w:tab/>
        </w:r>
        <w:r>
          <w:fldChar w:fldCharType="begin"/>
        </w:r>
        <w:r>
          <w:instrText xml:space="preserve">PAGEREF 1766 \h</w:instrText>
        </w:r>
        <w:r>
          <w:fldChar w:fldCharType="end"/>
        </w:r>
      </w:hyperlink>
    </w:p>
    <w:p>
      <w:pPr>
        <w:tabs>
          <w:tab w:val="right" w:leader="dot" w:pos="9062"/>
        </w:tabs>
        <w:ind w:left="440"/>
      </w:pPr>
      <w:hyperlink w:anchor="_Toc1767" w:history="1">
        <w:r>
          <w:rPr>
            <w:rFonts w:ascii="IRNazanin" w:hAnsi="IRNazanin" w:eastAsia="IRNazanin" w:cs="IRNazanin"/>
            <w:color w:val="111111"/>
            <w:sz w:val="22"/>
            <w:szCs w:val="22"/>
            <w:b w:val="0"/>
            <w:bCs w:val="0"/>
            <w:i w:val="0"/>
            <w:iCs w:val="0"/>
          </w:rPr>
          <w:t>1410- دیوان حجاب یزدی أو شعره‏</w:t>
        </w:r>
        <w:r>
          <w:tab/>
        </w:r>
        <w:r>
          <w:fldChar w:fldCharType="begin"/>
        </w:r>
        <w:r>
          <w:instrText xml:space="preserve">PAGEREF 1767 \h</w:instrText>
        </w:r>
        <w:r>
          <w:fldChar w:fldCharType="end"/>
        </w:r>
      </w:hyperlink>
    </w:p>
    <w:p>
      <w:pPr>
        <w:tabs>
          <w:tab w:val="right" w:leader="dot" w:pos="9062"/>
        </w:tabs>
        <w:ind w:left="440"/>
      </w:pPr>
      <w:hyperlink w:anchor="_Toc1768" w:history="1">
        <w:r>
          <w:rPr>
            <w:rFonts w:ascii="IRNazanin" w:hAnsi="IRNazanin" w:eastAsia="IRNazanin" w:cs="IRNazanin"/>
            <w:color w:val="111111"/>
            <w:sz w:val="22"/>
            <w:szCs w:val="22"/>
            <w:b w:val="0"/>
            <w:bCs w:val="0"/>
            <w:i w:val="0"/>
            <w:iCs w:val="0"/>
          </w:rPr>
          <w:t>1411- دیوان حجابی أردبیلی أو شعره‏</w:t>
        </w:r>
        <w:r>
          <w:tab/>
        </w:r>
        <w:r>
          <w:fldChar w:fldCharType="begin"/>
        </w:r>
        <w:r>
          <w:instrText xml:space="preserve">PAGEREF 1768 \h</w:instrText>
        </w:r>
        <w:r>
          <w:fldChar w:fldCharType="end"/>
        </w:r>
      </w:hyperlink>
    </w:p>
    <w:p>
      <w:pPr>
        <w:tabs>
          <w:tab w:val="right" w:leader="dot" w:pos="9062"/>
        </w:tabs>
        <w:ind w:left="440"/>
      </w:pPr>
      <w:hyperlink w:anchor="_Toc1769" w:history="1">
        <w:r>
          <w:rPr>
            <w:rFonts w:ascii="IRNazanin" w:hAnsi="IRNazanin" w:eastAsia="IRNazanin" w:cs="IRNazanin"/>
            <w:color w:val="111111"/>
            <w:sz w:val="22"/>
            <w:szCs w:val="22"/>
            <w:b w:val="0"/>
            <w:bCs w:val="0"/>
            <w:i w:val="0"/>
            <w:iCs w:val="0"/>
          </w:rPr>
          <w:t>1412- دیوان حجابی أسترآبادی أو شعرها</w:t>
        </w:r>
        <w:r>
          <w:tab/>
        </w:r>
        <w:r>
          <w:fldChar w:fldCharType="begin"/>
        </w:r>
        <w:r>
          <w:instrText xml:space="preserve">PAGEREF 1769 \h</w:instrText>
        </w:r>
        <w:r>
          <w:fldChar w:fldCharType="end"/>
        </w:r>
      </w:hyperlink>
    </w:p>
    <w:p>
      <w:pPr>
        <w:tabs>
          <w:tab w:val="right" w:leader="dot" w:pos="9062"/>
        </w:tabs>
        <w:ind w:left="440"/>
      </w:pPr>
      <w:hyperlink w:anchor="_Toc1770" w:history="1">
        <w:r>
          <w:rPr>
            <w:rFonts w:ascii="IRNazanin" w:hAnsi="IRNazanin" w:eastAsia="IRNazanin" w:cs="IRNazanin"/>
            <w:color w:val="111111"/>
            <w:sz w:val="22"/>
            <w:szCs w:val="22"/>
            <w:b w:val="0"/>
            <w:bCs w:val="0"/>
            <w:i w:val="0"/>
            <w:iCs w:val="0"/>
          </w:rPr>
          <w:t>1413- دیوان الحجار</w:t>
        </w:r>
        <w:r>
          <w:tab/>
        </w:r>
        <w:r>
          <w:fldChar w:fldCharType="begin"/>
        </w:r>
        <w:r>
          <w:instrText xml:space="preserve">PAGEREF 1770 \h</w:instrText>
        </w:r>
        <w:r>
          <w:fldChar w:fldCharType="end"/>
        </w:r>
      </w:hyperlink>
    </w:p>
    <w:p>
      <w:pPr>
        <w:tabs>
          <w:tab w:val="right" w:leader="dot" w:pos="9062"/>
        </w:tabs>
        <w:ind w:left="440"/>
      </w:pPr>
      <w:hyperlink w:anchor="_Toc1771" w:history="1">
        <w:r>
          <w:rPr>
            <w:rFonts w:ascii="IRNazanin" w:hAnsi="IRNazanin" w:eastAsia="IRNazanin" w:cs="IRNazanin"/>
            <w:color w:val="111111"/>
            <w:sz w:val="22"/>
            <w:szCs w:val="22"/>
            <w:b w:val="0"/>
            <w:bCs w:val="0"/>
            <w:i w:val="0"/>
            <w:iCs w:val="0"/>
          </w:rPr>
          <w:t>1414- دیوان الحجاف أو شعره‏</w:t>
        </w:r>
        <w:r>
          <w:tab/>
        </w:r>
        <w:r>
          <w:fldChar w:fldCharType="begin"/>
        </w:r>
        <w:r>
          <w:instrText xml:space="preserve">PAGEREF 1771 \h</w:instrText>
        </w:r>
        <w:r>
          <w:fldChar w:fldCharType="end"/>
        </w:r>
      </w:hyperlink>
    </w:p>
    <w:p>
      <w:pPr>
        <w:tabs>
          <w:tab w:val="right" w:leader="dot" w:pos="9062"/>
        </w:tabs>
        <w:ind w:left="440"/>
      </w:pPr>
      <w:hyperlink w:anchor="_Toc1772" w:history="1">
        <w:r>
          <w:rPr>
            <w:rFonts w:ascii="IRNazanin" w:hAnsi="IRNazanin" w:eastAsia="IRNazanin" w:cs="IRNazanin"/>
            <w:color w:val="111111"/>
            <w:sz w:val="22"/>
            <w:szCs w:val="22"/>
            <w:b w:val="0"/>
            <w:bCs w:val="0"/>
            <w:i w:val="0"/>
            <w:iCs w:val="0"/>
          </w:rPr>
          <w:t>1415- دیوان الحجاف أو شعره‏</w:t>
        </w:r>
        <w:r>
          <w:tab/>
        </w:r>
        <w:r>
          <w:fldChar w:fldCharType="begin"/>
        </w:r>
        <w:r>
          <w:instrText xml:space="preserve">PAGEREF 1772 \h</w:instrText>
        </w:r>
        <w:r>
          <w:fldChar w:fldCharType="end"/>
        </w:r>
      </w:hyperlink>
    </w:p>
    <w:p>
      <w:pPr>
        <w:tabs>
          <w:tab w:val="right" w:leader="dot" w:pos="9062"/>
        </w:tabs>
        <w:ind w:left="440"/>
      </w:pPr>
      <w:hyperlink w:anchor="_Toc1773" w:history="1">
        <w:r>
          <w:rPr>
            <w:rFonts w:ascii="IRNazanin" w:hAnsi="IRNazanin" w:eastAsia="IRNazanin" w:cs="IRNazanin"/>
            <w:color w:val="111111"/>
            <w:sz w:val="22"/>
            <w:szCs w:val="22"/>
            <w:b w:val="0"/>
            <w:bCs w:val="0"/>
            <w:i w:val="0"/>
            <w:iCs w:val="0"/>
          </w:rPr>
          <w:t>دیوان حجت أصفهانی أو شعره‏</w:t>
        </w:r>
        <w:r>
          <w:tab/>
        </w:r>
        <w:r>
          <w:fldChar w:fldCharType="begin"/>
        </w:r>
        <w:r>
          <w:instrText xml:space="preserve">PAGEREF 1773 \h</w:instrText>
        </w:r>
        <w:r>
          <w:fldChar w:fldCharType="end"/>
        </w:r>
      </w:hyperlink>
    </w:p>
    <w:p>
      <w:pPr>
        <w:tabs>
          <w:tab w:val="right" w:leader="dot" w:pos="9062"/>
        </w:tabs>
        <w:ind w:left="440"/>
      </w:pPr>
      <w:hyperlink w:anchor="_Toc1774" w:history="1">
        <w:r>
          <w:rPr>
            <w:rFonts w:ascii="IRNazanin" w:hAnsi="IRNazanin" w:eastAsia="IRNazanin" w:cs="IRNazanin"/>
            <w:color w:val="111111"/>
            <w:sz w:val="22"/>
            <w:szCs w:val="22"/>
            <w:b w:val="0"/>
            <w:bCs w:val="0"/>
            <w:i w:val="0"/>
            <w:iCs w:val="0"/>
          </w:rPr>
          <w:t>1416- دیوان حجت ایروانی أو شعره‏</w:t>
        </w:r>
        <w:r>
          <w:tab/>
        </w:r>
        <w:r>
          <w:fldChar w:fldCharType="begin"/>
        </w:r>
        <w:r>
          <w:instrText xml:space="preserve">PAGEREF 1774 \h</w:instrText>
        </w:r>
        <w:r>
          <w:fldChar w:fldCharType="end"/>
        </w:r>
      </w:hyperlink>
    </w:p>
    <w:p>
      <w:pPr>
        <w:tabs>
          <w:tab w:val="right" w:leader="dot" w:pos="9062"/>
        </w:tabs>
        <w:ind w:left="440"/>
      </w:pPr>
      <w:hyperlink w:anchor="_Toc1775" w:history="1">
        <w:r>
          <w:rPr>
            <w:rFonts w:ascii="IRNazanin" w:hAnsi="IRNazanin" w:eastAsia="IRNazanin" w:cs="IRNazanin"/>
            <w:color w:val="111111"/>
            <w:sz w:val="22"/>
            <w:szCs w:val="22"/>
            <w:b w:val="0"/>
            <w:bCs w:val="0"/>
            <w:i w:val="0"/>
            <w:iCs w:val="0"/>
          </w:rPr>
          <w:t>دیوان حجت علوی‏</w:t>
        </w:r>
        <w:r>
          <w:tab/>
        </w:r>
        <w:r>
          <w:fldChar w:fldCharType="begin"/>
        </w:r>
        <w:r>
          <w:instrText xml:space="preserve">PAGEREF 1775 \h</w:instrText>
        </w:r>
        <w:r>
          <w:fldChar w:fldCharType="end"/>
        </w:r>
      </w:hyperlink>
    </w:p>
    <w:p>
      <w:pPr>
        <w:tabs>
          <w:tab w:val="right" w:leader="dot" w:pos="9062"/>
        </w:tabs>
        <w:ind w:left="440"/>
      </w:pPr>
      <w:hyperlink w:anchor="_Toc1776" w:history="1">
        <w:r>
          <w:rPr>
            <w:rFonts w:ascii="IRNazanin" w:hAnsi="IRNazanin" w:eastAsia="IRNazanin" w:cs="IRNazanin"/>
            <w:color w:val="111111"/>
            <w:sz w:val="22"/>
            <w:szCs w:val="22"/>
            <w:b w:val="0"/>
            <w:bCs w:val="0"/>
            <w:i w:val="0"/>
            <w:iCs w:val="0"/>
          </w:rPr>
          <w:t>1417- دیوان حجت مشهدی‏</w:t>
        </w:r>
        <w:r>
          <w:tab/>
        </w:r>
        <w:r>
          <w:fldChar w:fldCharType="begin"/>
        </w:r>
        <w:r>
          <w:instrText xml:space="preserve">PAGEREF 1776 \h</w:instrText>
        </w:r>
        <w:r>
          <w:fldChar w:fldCharType="end"/>
        </w:r>
      </w:hyperlink>
    </w:p>
    <w:p>
      <w:pPr>
        <w:tabs>
          <w:tab w:val="right" w:leader="dot" w:pos="9062"/>
        </w:tabs>
        <w:ind w:left="440"/>
      </w:pPr>
      <w:hyperlink w:anchor="_Toc1777" w:history="1">
        <w:r>
          <w:rPr>
            <w:rFonts w:ascii="IRNazanin" w:hAnsi="IRNazanin" w:eastAsia="IRNazanin" w:cs="IRNazanin"/>
            <w:color w:val="111111"/>
            <w:sz w:val="22"/>
            <w:szCs w:val="22"/>
            <w:b w:val="0"/>
            <w:bCs w:val="0"/>
            <w:i w:val="0"/>
            <w:iCs w:val="0"/>
          </w:rPr>
          <w:t>دیوان حجت نائنی‏</w:t>
        </w:r>
        <w:r>
          <w:tab/>
        </w:r>
        <w:r>
          <w:fldChar w:fldCharType="begin"/>
        </w:r>
        <w:r>
          <w:instrText xml:space="preserve">PAGEREF 1777 \h</w:instrText>
        </w:r>
        <w:r>
          <w:fldChar w:fldCharType="end"/>
        </w:r>
      </w:hyperlink>
    </w:p>
    <w:p>
      <w:pPr>
        <w:tabs>
          <w:tab w:val="right" w:leader="dot" w:pos="9062"/>
        </w:tabs>
        <w:ind w:left="440"/>
      </w:pPr>
      <w:hyperlink w:anchor="_Toc1778" w:history="1">
        <w:r>
          <w:rPr>
            <w:rFonts w:ascii="IRNazanin" w:hAnsi="IRNazanin" w:eastAsia="IRNazanin" w:cs="IRNazanin"/>
            <w:color w:val="111111"/>
            <w:sz w:val="22"/>
            <w:szCs w:val="22"/>
            <w:b w:val="0"/>
            <w:bCs w:val="0"/>
            <w:i w:val="0"/>
            <w:iCs w:val="0"/>
          </w:rPr>
          <w:t>دیوان الحچامی‏</w:t>
        </w:r>
        <w:r>
          <w:tab/>
        </w:r>
        <w:r>
          <w:fldChar w:fldCharType="begin"/>
        </w:r>
        <w:r>
          <w:instrText xml:space="preserve">PAGEREF 1778 \h</w:instrText>
        </w:r>
        <w:r>
          <w:fldChar w:fldCharType="end"/>
        </w:r>
      </w:hyperlink>
    </w:p>
    <w:p>
      <w:pPr>
        <w:tabs>
          <w:tab w:val="right" w:leader="dot" w:pos="9062"/>
        </w:tabs>
        <w:ind w:left="440"/>
      </w:pPr>
      <w:hyperlink w:anchor="_Toc1779" w:history="1">
        <w:r>
          <w:rPr>
            <w:rFonts w:ascii="IRNazanin" w:hAnsi="IRNazanin" w:eastAsia="IRNazanin" w:cs="IRNazanin"/>
            <w:color w:val="111111"/>
            <w:sz w:val="22"/>
            <w:szCs w:val="22"/>
            <w:b w:val="0"/>
            <w:bCs w:val="0"/>
            <w:i w:val="0"/>
            <w:iCs w:val="0"/>
          </w:rPr>
          <w:t>دیوان الحداد</w:t>
        </w:r>
        <w:r>
          <w:tab/>
        </w:r>
        <w:r>
          <w:fldChar w:fldCharType="begin"/>
        </w:r>
        <w:r>
          <w:instrText xml:space="preserve">PAGEREF 1779 \h</w:instrText>
        </w:r>
        <w:r>
          <w:fldChar w:fldCharType="end"/>
        </w:r>
      </w:hyperlink>
    </w:p>
    <w:p>
      <w:pPr>
        <w:tabs>
          <w:tab w:val="right" w:leader="dot" w:pos="9062"/>
        </w:tabs>
        <w:ind w:left="440"/>
      </w:pPr>
      <w:hyperlink w:anchor="_Toc1780" w:history="1">
        <w:r>
          <w:rPr>
            <w:rFonts w:ascii="IRNazanin" w:hAnsi="IRNazanin" w:eastAsia="IRNazanin" w:cs="IRNazanin"/>
            <w:color w:val="111111"/>
            <w:sz w:val="22"/>
            <w:szCs w:val="22"/>
            <w:b w:val="0"/>
            <w:bCs w:val="0"/>
            <w:i w:val="0"/>
            <w:iCs w:val="0"/>
          </w:rPr>
          <w:t>دیوان الحداد الحدادی‏</w:t>
        </w:r>
        <w:r>
          <w:tab/>
        </w:r>
        <w:r>
          <w:fldChar w:fldCharType="begin"/>
        </w:r>
        <w:r>
          <w:instrText xml:space="preserve">PAGEREF 1780 \h</w:instrText>
        </w:r>
        <w:r>
          <w:fldChar w:fldCharType="end"/>
        </w:r>
      </w:hyperlink>
    </w:p>
    <w:p>
      <w:pPr>
        <w:tabs>
          <w:tab w:val="right" w:leader="dot" w:pos="9062"/>
        </w:tabs>
        <w:ind w:left="440"/>
      </w:pPr>
      <w:hyperlink w:anchor="_Toc1781" w:history="1">
        <w:r>
          <w:rPr>
            <w:rFonts w:ascii="IRNazanin" w:hAnsi="IRNazanin" w:eastAsia="IRNazanin" w:cs="IRNazanin"/>
            <w:color w:val="111111"/>
            <w:sz w:val="22"/>
            <w:szCs w:val="22"/>
            <w:b w:val="0"/>
            <w:bCs w:val="0"/>
            <w:i w:val="0"/>
            <w:iCs w:val="0"/>
          </w:rPr>
          <w:t>1418- دیوان الحدیدی‏</w:t>
        </w:r>
        <w:r>
          <w:tab/>
        </w:r>
        <w:r>
          <w:fldChar w:fldCharType="begin"/>
        </w:r>
        <w:r>
          <w:instrText xml:space="preserve">PAGEREF 1781 \h</w:instrText>
        </w:r>
        <w:r>
          <w:fldChar w:fldCharType="end"/>
        </w:r>
      </w:hyperlink>
    </w:p>
    <w:p>
      <w:pPr>
        <w:tabs>
          <w:tab w:val="right" w:leader="dot" w:pos="9062"/>
        </w:tabs>
        <w:ind w:left="440"/>
      </w:pPr>
      <w:hyperlink w:anchor="_Toc1782" w:history="1">
        <w:r>
          <w:rPr>
            <w:rFonts w:ascii="IRNazanin" w:hAnsi="IRNazanin" w:eastAsia="IRNazanin" w:cs="IRNazanin"/>
            <w:color w:val="111111"/>
            <w:sz w:val="22"/>
            <w:szCs w:val="22"/>
            <w:b w:val="0"/>
            <w:bCs w:val="0"/>
            <w:i w:val="0"/>
            <w:iCs w:val="0"/>
          </w:rPr>
          <w:t>1419- دیوان حذر کاشی أو شعره‏</w:t>
        </w:r>
        <w:r>
          <w:tab/>
        </w:r>
        <w:r>
          <w:fldChar w:fldCharType="begin"/>
        </w:r>
        <w:r>
          <w:instrText xml:space="preserve">PAGEREF 1782 \h</w:instrText>
        </w:r>
        <w:r>
          <w:fldChar w:fldCharType="end"/>
        </w:r>
      </w:hyperlink>
    </w:p>
    <w:p>
      <w:pPr>
        <w:tabs>
          <w:tab w:val="right" w:leader="dot" w:pos="9062"/>
        </w:tabs>
        <w:ind w:left="440"/>
      </w:pPr>
      <w:hyperlink w:anchor="_Toc1783" w:history="1">
        <w:r>
          <w:rPr>
            <w:rFonts w:ascii="IRNazanin" w:hAnsi="IRNazanin" w:eastAsia="IRNazanin" w:cs="IRNazanin"/>
            <w:color w:val="111111"/>
            <w:sz w:val="22"/>
            <w:szCs w:val="22"/>
            <w:b w:val="0"/>
            <w:bCs w:val="0"/>
            <w:i w:val="0"/>
            <w:iCs w:val="0"/>
          </w:rPr>
          <w:t>1420- دیوان حرزی قمی‏</w:t>
        </w:r>
        <w:r>
          <w:tab/>
        </w:r>
        <w:r>
          <w:fldChar w:fldCharType="begin"/>
        </w:r>
        <w:r>
          <w:instrText xml:space="preserve">PAGEREF 1783 \h</w:instrText>
        </w:r>
        <w:r>
          <w:fldChar w:fldCharType="end"/>
        </w:r>
      </w:hyperlink>
    </w:p>
    <w:p>
      <w:pPr>
        <w:tabs>
          <w:tab w:val="right" w:leader="dot" w:pos="9062"/>
        </w:tabs>
        <w:ind w:left="440"/>
      </w:pPr>
      <w:hyperlink w:anchor="_Toc1784" w:history="1">
        <w:r>
          <w:rPr>
            <w:rFonts w:ascii="IRNazanin" w:hAnsi="IRNazanin" w:eastAsia="IRNazanin" w:cs="IRNazanin"/>
            <w:color w:val="111111"/>
            <w:sz w:val="22"/>
            <w:szCs w:val="22"/>
            <w:b w:val="0"/>
            <w:bCs w:val="0"/>
            <w:i w:val="0"/>
            <w:iCs w:val="0"/>
          </w:rPr>
          <w:t>دیوان الحر العاملی‏</w:t>
        </w:r>
        <w:r>
          <w:tab/>
        </w:r>
        <w:r>
          <w:fldChar w:fldCharType="begin"/>
        </w:r>
        <w:r>
          <w:instrText xml:space="preserve">PAGEREF 1784 \h</w:instrText>
        </w:r>
        <w:r>
          <w:fldChar w:fldCharType="end"/>
        </w:r>
      </w:hyperlink>
    </w:p>
    <w:p>
      <w:pPr>
        <w:tabs>
          <w:tab w:val="right" w:leader="dot" w:pos="9062"/>
        </w:tabs>
        <w:ind w:left="440"/>
      </w:pPr>
      <w:hyperlink w:anchor="_Toc1785" w:history="1">
        <w:r>
          <w:rPr>
            <w:rFonts w:ascii="IRNazanin" w:hAnsi="IRNazanin" w:eastAsia="IRNazanin" w:cs="IRNazanin"/>
            <w:color w:val="111111"/>
            <w:sz w:val="22"/>
            <w:szCs w:val="22"/>
            <w:b w:val="0"/>
            <w:bCs w:val="0"/>
            <w:i w:val="0"/>
            <w:iCs w:val="0"/>
          </w:rPr>
          <w:t>1421- دیوان الحر العاملی أو شعره‏</w:t>
        </w:r>
        <w:r>
          <w:tab/>
        </w:r>
        <w:r>
          <w:fldChar w:fldCharType="begin"/>
        </w:r>
        <w:r>
          <w:instrText xml:space="preserve">PAGEREF 1785 \h</w:instrText>
        </w:r>
        <w:r>
          <w:fldChar w:fldCharType="end"/>
        </w:r>
      </w:hyperlink>
    </w:p>
    <w:p>
      <w:pPr>
        <w:tabs>
          <w:tab w:val="right" w:leader="dot" w:pos="9062"/>
        </w:tabs>
        <w:ind w:left="440"/>
      </w:pPr>
      <w:hyperlink w:anchor="_Toc1786" w:history="1">
        <w:r>
          <w:rPr>
            <w:rFonts w:ascii="IRNazanin" w:hAnsi="IRNazanin" w:eastAsia="IRNazanin" w:cs="IRNazanin"/>
            <w:color w:val="111111"/>
            <w:sz w:val="22"/>
            <w:szCs w:val="22"/>
            <w:b w:val="0"/>
            <w:bCs w:val="0"/>
            <w:i w:val="0"/>
            <w:iCs w:val="0"/>
          </w:rPr>
          <w:t>1422- دیوان الحر العاملی‏</w:t>
        </w:r>
        <w:r>
          <w:tab/>
        </w:r>
        <w:r>
          <w:fldChar w:fldCharType="begin"/>
        </w:r>
        <w:r>
          <w:instrText xml:space="preserve">PAGEREF 1786 \h</w:instrText>
        </w:r>
        <w:r>
          <w:fldChar w:fldCharType="end"/>
        </w:r>
      </w:hyperlink>
    </w:p>
    <w:p>
      <w:pPr>
        <w:tabs>
          <w:tab w:val="right" w:leader="dot" w:pos="9062"/>
        </w:tabs>
        <w:ind w:left="440"/>
      </w:pPr>
      <w:hyperlink w:anchor="_Toc1787" w:history="1">
        <w:r>
          <w:rPr>
            <w:rFonts w:ascii="IRNazanin" w:hAnsi="IRNazanin" w:eastAsia="IRNazanin" w:cs="IRNazanin"/>
            <w:color w:val="111111"/>
            <w:sz w:val="22"/>
            <w:szCs w:val="22"/>
            <w:b w:val="0"/>
            <w:bCs w:val="0"/>
            <w:i w:val="0"/>
            <w:iCs w:val="0"/>
          </w:rPr>
          <w:t>1423- دیوان الحرفوشی‏</w:t>
        </w:r>
        <w:r>
          <w:tab/>
        </w:r>
        <w:r>
          <w:fldChar w:fldCharType="begin"/>
        </w:r>
        <w:r>
          <w:instrText xml:space="preserve">PAGEREF 1787 \h</w:instrText>
        </w:r>
        <w:r>
          <w:fldChar w:fldCharType="end"/>
        </w:r>
      </w:hyperlink>
    </w:p>
    <w:p>
      <w:pPr>
        <w:tabs>
          <w:tab w:val="right" w:leader="dot" w:pos="9062"/>
        </w:tabs>
        <w:ind w:left="440"/>
      </w:pPr>
      <w:hyperlink w:anchor="_Toc1788" w:history="1">
        <w:r>
          <w:rPr>
            <w:rFonts w:ascii="IRNazanin" w:hAnsi="IRNazanin" w:eastAsia="IRNazanin" w:cs="IRNazanin"/>
            <w:color w:val="111111"/>
            <w:sz w:val="22"/>
            <w:szCs w:val="22"/>
            <w:b w:val="0"/>
            <w:bCs w:val="0"/>
            <w:i w:val="0"/>
            <w:iCs w:val="0"/>
          </w:rPr>
          <w:t>دیوان حرفی الأصفهانی‏</w:t>
        </w:r>
        <w:r>
          <w:tab/>
        </w:r>
        <w:r>
          <w:fldChar w:fldCharType="begin"/>
        </w:r>
        <w:r>
          <w:instrText xml:space="preserve">PAGEREF 1788 \h</w:instrText>
        </w:r>
        <w:r>
          <w:fldChar w:fldCharType="end"/>
        </w:r>
      </w:hyperlink>
    </w:p>
    <w:p>
      <w:pPr>
        <w:tabs>
          <w:tab w:val="right" w:leader="dot" w:pos="9062"/>
        </w:tabs>
        <w:ind w:left="440"/>
      </w:pPr>
      <w:hyperlink w:anchor="_Toc1789" w:history="1">
        <w:r>
          <w:rPr>
            <w:rFonts w:ascii="IRNazanin" w:hAnsi="IRNazanin" w:eastAsia="IRNazanin" w:cs="IRNazanin"/>
            <w:color w:val="111111"/>
            <w:sz w:val="22"/>
            <w:szCs w:val="22"/>
            <w:b w:val="0"/>
            <w:bCs w:val="0"/>
            <w:i w:val="0"/>
            <w:iCs w:val="0"/>
          </w:rPr>
          <w:t>1424- دیوان حریف ایروانی أو شعره‏</w:t>
        </w:r>
        <w:r>
          <w:tab/>
        </w:r>
        <w:r>
          <w:fldChar w:fldCharType="begin"/>
        </w:r>
        <w:r>
          <w:instrText xml:space="preserve">PAGEREF 1789 \h</w:instrText>
        </w:r>
        <w:r>
          <w:fldChar w:fldCharType="end"/>
        </w:r>
      </w:hyperlink>
    </w:p>
    <w:p>
      <w:pPr>
        <w:tabs>
          <w:tab w:val="right" w:leader="dot" w:pos="9062"/>
        </w:tabs>
        <w:ind w:left="440"/>
      </w:pPr>
      <w:hyperlink w:anchor="_Toc1790" w:history="1">
        <w:r>
          <w:rPr>
            <w:rFonts w:ascii="IRNazanin" w:hAnsi="IRNazanin" w:eastAsia="IRNazanin" w:cs="IRNazanin"/>
            <w:color w:val="111111"/>
            <w:sz w:val="22"/>
            <w:szCs w:val="22"/>
            <w:b w:val="0"/>
            <w:bCs w:val="0"/>
            <w:i w:val="0"/>
            <w:iCs w:val="0"/>
          </w:rPr>
          <w:t>1425- دیوان حریف الجندقی أو شعره‏</w:t>
        </w:r>
        <w:r>
          <w:tab/>
        </w:r>
        <w:r>
          <w:fldChar w:fldCharType="begin"/>
        </w:r>
        <w:r>
          <w:instrText xml:space="preserve">PAGEREF 1790 \h</w:instrText>
        </w:r>
        <w:r>
          <w:fldChar w:fldCharType="end"/>
        </w:r>
      </w:hyperlink>
    </w:p>
    <w:p>
      <w:pPr>
        <w:tabs>
          <w:tab w:val="right" w:leader="dot" w:pos="9062"/>
        </w:tabs>
        <w:ind w:left="440"/>
      </w:pPr>
      <w:hyperlink w:anchor="_Toc1791" w:history="1">
        <w:r>
          <w:rPr>
            <w:rFonts w:ascii="IRNazanin" w:hAnsi="IRNazanin" w:eastAsia="IRNazanin" w:cs="IRNazanin"/>
            <w:color w:val="111111"/>
            <w:sz w:val="22"/>
            <w:szCs w:val="22"/>
            <w:b w:val="0"/>
            <w:bCs w:val="0"/>
            <w:i w:val="0"/>
            <w:iCs w:val="0"/>
          </w:rPr>
          <w:t>1426- دیوان حریفی الساوجی‏</w:t>
        </w:r>
        <w:r>
          <w:tab/>
        </w:r>
        <w:r>
          <w:fldChar w:fldCharType="begin"/>
        </w:r>
        <w:r>
          <w:instrText xml:space="preserve">PAGEREF 1791 \h</w:instrText>
        </w:r>
        <w:r>
          <w:fldChar w:fldCharType="end"/>
        </w:r>
      </w:hyperlink>
    </w:p>
    <w:p>
      <w:pPr>
        <w:tabs>
          <w:tab w:val="right" w:leader="dot" w:pos="9062"/>
        </w:tabs>
        <w:ind w:left="440"/>
      </w:pPr>
      <w:hyperlink w:anchor="_Toc1792" w:history="1">
        <w:r>
          <w:rPr>
            <w:rFonts w:ascii="IRNazanin" w:hAnsi="IRNazanin" w:eastAsia="IRNazanin" w:cs="IRNazanin"/>
            <w:color w:val="111111"/>
            <w:sz w:val="22"/>
            <w:szCs w:val="22"/>
            <w:b w:val="0"/>
            <w:bCs w:val="0"/>
            <w:i w:val="0"/>
            <w:iCs w:val="0"/>
          </w:rPr>
          <w:t>1427- دیوان حریفی النهاوندی‏</w:t>
        </w:r>
        <w:r>
          <w:tab/>
        </w:r>
        <w:r>
          <w:fldChar w:fldCharType="begin"/>
        </w:r>
        <w:r>
          <w:instrText xml:space="preserve">PAGEREF 1792 \h</w:instrText>
        </w:r>
        <w:r>
          <w:fldChar w:fldCharType="end"/>
        </w:r>
      </w:hyperlink>
    </w:p>
    <w:p>
      <w:pPr>
        <w:tabs>
          <w:tab w:val="right" w:leader="dot" w:pos="9062"/>
        </w:tabs>
        <w:ind w:left="440"/>
      </w:pPr>
      <w:hyperlink w:anchor="_Toc1793" w:history="1">
        <w:r>
          <w:rPr>
            <w:rFonts w:ascii="IRNazanin" w:hAnsi="IRNazanin" w:eastAsia="IRNazanin" w:cs="IRNazanin"/>
            <w:color w:val="111111"/>
            <w:sz w:val="22"/>
            <w:szCs w:val="22"/>
            <w:b w:val="0"/>
            <w:bCs w:val="0"/>
            <w:i w:val="0"/>
            <w:iCs w:val="0"/>
          </w:rPr>
          <w:t>1428- دیوان حزنی أصفهانی‏</w:t>
        </w:r>
        <w:r>
          <w:tab/>
        </w:r>
        <w:r>
          <w:fldChar w:fldCharType="begin"/>
        </w:r>
        <w:r>
          <w:instrText xml:space="preserve">PAGEREF 1793 \h</w:instrText>
        </w:r>
        <w:r>
          <w:fldChar w:fldCharType="end"/>
        </w:r>
      </w:hyperlink>
    </w:p>
    <w:p>
      <w:pPr>
        <w:tabs>
          <w:tab w:val="right" w:leader="dot" w:pos="9062"/>
        </w:tabs>
        <w:ind w:left="440"/>
      </w:pPr>
      <w:hyperlink w:anchor="_Toc1794" w:history="1">
        <w:r>
          <w:rPr>
            <w:rFonts w:ascii="IRNazanin" w:hAnsi="IRNazanin" w:eastAsia="IRNazanin" w:cs="IRNazanin"/>
            <w:color w:val="111111"/>
            <w:sz w:val="22"/>
            <w:szCs w:val="22"/>
            <w:b w:val="0"/>
            <w:bCs w:val="0"/>
            <w:i w:val="0"/>
            <w:iCs w:val="0"/>
          </w:rPr>
          <w:t>1429- دیوان حزنی عراقی أو شعره‏</w:t>
        </w:r>
        <w:r>
          <w:tab/>
        </w:r>
        <w:r>
          <w:fldChar w:fldCharType="begin"/>
        </w:r>
        <w:r>
          <w:instrText xml:space="preserve">PAGEREF 1794 \h</w:instrText>
        </w:r>
        <w:r>
          <w:fldChar w:fldCharType="end"/>
        </w:r>
      </w:hyperlink>
    </w:p>
    <w:p>
      <w:pPr>
        <w:tabs>
          <w:tab w:val="right" w:leader="dot" w:pos="9062"/>
        </w:tabs>
        <w:ind w:left="440"/>
      </w:pPr>
      <w:hyperlink w:anchor="_Toc1795" w:history="1">
        <w:r>
          <w:rPr>
            <w:rFonts w:ascii="IRNazanin" w:hAnsi="IRNazanin" w:eastAsia="IRNazanin" w:cs="IRNazanin"/>
            <w:color w:val="111111"/>
            <w:sz w:val="22"/>
            <w:szCs w:val="22"/>
            <w:b w:val="0"/>
            <w:bCs w:val="0"/>
            <w:i w:val="0"/>
            <w:iCs w:val="0"/>
          </w:rPr>
          <w:t>1430- دیوان حزین شماخی‏</w:t>
        </w:r>
        <w:r>
          <w:tab/>
        </w:r>
        <w:r>
          <w:fldChar w:fldCharType="begin"/>
        </w:r>
        <w:r>
          <w:instrText xml:space="preserve">PAGEREF 1795 \h</w:instrText>
        </w:r>
        <w:r>
          <w:fldChar w:fldCharType="end"/>
        </w:r>
      </w:hyperlink>
    </w:p>
    <w:p>
      <w:pPr>
        <w:tabs>
          <w:tab w:val="right" w:leader="dot" w:pos="9062"/>
        </w:tabs>
        <w:ind w:left="440"/>
      </w:pPr>
      <w:hyperlink w:anchor="_Toc1796" w:history="1">
        <w:r>
          <w:rPr>
            <w:rFonts w:ascii="IRNazanin" w:hAnsi="IRNazanin" w:eastAsia="IRNazanin" w:cs="IRNazanin"/>
            <w:color w:val="111111"/>
            <w:sz w:val="22"/>
            <w:szCs w:val="22"/>
            <w:b w:val="0"/>
            <w:bCs w:val="0"/>
            <w:i w:val="0"/>
            <w:iCs w:val="0"/>
          </w:rPr>
          <w:t>1431- دیوان الحزین النائنی‏</w:t>
        </w:r>
        <w:r>
          <w:tab/>
        </w:r>
        <w:r>
          <w:fldChar w:fldCharType="begin"/>
        </w:r>
        <w:r>
          <w:instrText xml:space="preserve">PAGEREF 1796 \h</w:instrText>
        </w:r>
        <w:r>
          <w:fldChar w:fldCharType="end"/>
        </w:r>
      </w:hyperlink>
    </w:p>
    <w:p>
      <w:pPr>
        <w:tabs>
          <w:tab w:val="right" w:leader="dot" w:pos="9062"/>
        </w:tabs>
        <w:ind w:left="440"/>
      </w:pPr>
      <w:hyperlink w:anchor="_Toc1797" w:history="1">
        <w:r>
          <w:rPr>
            <w:rFonts w:ascii="IRNazanin" w:hAnsi="IRNazanin" w:eastAsia="IRNazanin" w:cs="IRNazanin"/>
            <w:color w:val="111111"/>
            <w:sz w:val="22"/>
            <w:szCs w:val="22"/>
            <w:b w:val="0"/>
            <w:bCs w:val="0"/>
            <w:i w:val="0"/>
            <w:iCs w:val="0"/>
          </w:rPr>
          <w:t>1432- دیوان الحزینة</w:t>
        </w:r>
        <w:r>
          <w:tab/>
        </w:r>
        <w:r>
          <w:fldChar w:fldCharType="begin"/>
        </w:r>
        <w:r>
          <w:instrText xml:space="preserve">PAGEREF 1797 \h</w:instrText>
        </w:r>
        <w:r>
          <w:fldChar w:fldCharType="end"/>
        </w:r>
      </w:hyperlink>
    </w:p>
    <w:p>
      <w:pPr>
        <w:tabs>
          <w:tab w:val="right" w:leader="dot" w:pos="9062"/>
        </w:tabs>
        <w:ind w:left="440"/>
      </w:pPr>
      <w:hyperlink w:anchor="_Toc1798" w:history="1">
        <w:r>
          <w:rPr>
            <w:rFonts w:ascii="IRNazanin" w:hAnsi="IRNazanin" w:eastAsia="IRNazanin" w:cs="IRNazanin"/>
            <w:color w:val="111111"/>
            <w:sz w:val="22"/>
            <w:szCs w:val="22"/>
            <w:b w:val="0"/>
            <w:bCs w:val="0"/>
            <w:i w:val="0"/>
            <w:iCs w:val="0"/>
          </w:rPr>
          <w:t>1433- دیوان الحزینی الأسترآبادی‏</w:t>
        </w:r>
        <w:r>
          <w:tab/>
        </w:r>
        <w:r>
          <w:fldChar w:fldCharType="begin"/>
        </w:r>
        <w:r>
          <w:instrText xml:space="preserve">PAGEREF 1798 \h</w:instrText>
        </w:r>
        <w:r>
          <w:fldChar w:fldCharType="end"/>
        </w:r>
      </w:hyperlink>
    </w:p>
    <w:p>
      <w:pPr>
        <w:tabs>
          <w:tab w:val="right" w:leader="dot" w:pos="9062"/>
        </w:tabs>
        <w:ind w:left="440"/>
      </w:pPr>
      <w:hyperlink w:anchor="_Toc1799" w:history="1">
        <w:r>
          <w:rPr>
            <w:rFonts w:ascii="IRNazanin" w:hAnsi="IRNazanin" w:eastAsia="IRNazanin" w:cs="IRNazanin"/>
            <w:color w:val="111111"/>
            <w:sz w:val="22"/>
            <w:szCs w:val="22"/>
            <w:b w:val="0"/>
            <w:bCs w:val="0"/>
            <w:i w:val="0"/>
            <w:iCs w:val="0"/>
          </w:rPr>
          <w:t>1434- دیوان الحزین الگیلانی‏</w:t>
        </w:r>
        <w:r>
          <w:tab/>
        </w:r>
        <w:r>
          <w:fldChar w:fldCharType="begin"/>
        </w:r>
        <w:r>
          <w:instrText xml:space="preserve">PAGEREF 1799 \h</w:instrText>
        </w:r>
        <w:r>
          <w:fldChar w:fldCharType="end"/>
        </w:r>
      </w:hyperlink>
    </w:p>
    <w:p>
      <w:pPr>
        <w:tabs>
          <w:tab w:val="right" w:leader="dot" w:pos="9062"/>
        </w:tabs>
        <w:ind w:left="440"/>
      </w:pPr>
      <w:hyperlink w:anchor="_Toc1800" w:history="1">
        <w:r>
          <w:rPr>
            <w:rFonts w:ascii="IRNazanin" w:hAnsi="IRNazanin" w:eastAsia="IRNazanin" w:cs="IRNazanin"/>
            <w:color w:val="111111"/>
            <w:sz w:val="22"/>
            <w:szCs w:val="22"/>
            <w:b w:val="0"/>
            <w:bCs w:val="0"/>
            <w:i w:val="0"/>
            <w:iCs w:val="0"/>
          </w:rPr>
          <w:t>1435- دیوان حزین مشهدی أو شعره‏</w:t>
        </w:r>
        <w:r>
          <w:tab/>
        </w:r>
        <w:r>
          <w:fldChar w:fldCharType="begin"/>
        </w:r>
        <w:r>
          <w:instrText xml:space="preserve">PAGEREF 1800 \h</w:instrText>
        </w:r>
        <w:r>
          <w:fldChar w:fldCharType="end"/>
        </w:r>
      </w:hyperlink>
    </w:p>
    <w:p>
      <w:pPr>
        <w:tabs>
          <w:tab w:val="right" w:leader="dot" w:pos="9062"/>
        </w:tabs>
        <w:ind w:left="440"/>
      </w:pPr>
      <w:hyperlink w:anchor="_Toc1801" w:history="1">
        <w:r>
          <w:rPr>
            <w:rFonts w:ascii="IRNazanin" w:hAnsi="IRNazanin" w:eastAsia="IRNazanin" w:cs="IRNazanin"/>
            <w:color w:val="111111"/>
            <w:sz w:val="22"/>
            <w:szCs w:val="22"/>
            <w:b w:val="0"/>
            <w:bCs w:val="0"/>
            <w:i w:val="0"/>
            <w:iCs w:val="0"/>
          </w:rPr>
          <w:t>1436- دیوان حزینی گنابادی‏</w:t>
        </w:r>
        <w:r>
          <w:tab/>
        </w:r>
        <w:r>
          <w:fldChar w:fldCharType="begin"/>
        </w:r>
        <w:r>
          <w:instrText xml:space="preserve">PAGEREF 1801 \h</w:instrText>
        </w:r>
        <w:r>
          <w:fldChar w:fldCharType="end"/>
        </w:r>
      </w:hyperlink>
    </w:p>
    <w:p>
      <w:pPr>
        <w:tabs>
          <w:tab w:val="right" w:leader="dot" w:pos="9062"/>
        </w:tabs>
        <w:ind w:left="440"/>
      </w:pPr>
      <w:hyperlink w:anchor="_Toc1802" w:history="1">
        <w:r>
          <w:rPr>
            <w:rFonts w:ascii="IRNazanin" w:hAnsi="IRNazanin" w:eastAsia="IRNazanin" w:cs="IRNazanin"/>
            <w:color w:val="111111"/>
            <w:sz w:val="22"/>
            <w:szCs w:val="22"/>
            <w:b w:val="0"/>
            <w:bCs w:val="0"/>
            <w:i w:val="0"/>
            <w:iCs w:val="0"/>
          </w:rPr>
          <w:t>1437- دیوان حزینی گیلانی‏</w:t>
        </w:r>
        <w:r>
          <w:tab/>
        </w:r>
        <w:r>
          <w:fldChar w:fldCharType="begin"/>
        </w:r>
        <w:r>
          <w:instrText xml:space="preserve">PAGEREF 1802 \h</w:instrText>
        </w:r>
        <w:r>
          <w:fldChar w:fldCharType="end"/>
        </w:r>
      </w:hyperlink>
    </w:p>
    <w:p>
      <w:pPr>
        <w:tabs>
          <w:tab w:val="right" w:leader="dot" w:pos="9062"/>
        </w:tabs>
        <w:ind w:left="440"/>
      </w:pPr>
      <w:hyperlink w:anchor="_Toc1803" w:history="1">
        <w:r>
          <w:rPr>
            <w:rFonts w:ascii="IRNazanin" w:hAnsi="IRNazanin" w:eastAsia="IRNazanin" w:cs="IRNazanin"/>
            <w:color w:val="111111"/>
            <w:sz w:val="22"/>
            <w:szCs w:val="22"/>
            <w:b w:val="0"/>
            <w:bCs w:val="0"/>
            <w:i w:val="0"/>
            <w:iCs w:val="0"/>
          </w:rPr>
          <w:t>1438- دیوان حزینی هندی أو شعره‏</w:t>
        </w:r>
        <w:r>
          <w:tab/>
        </w:r>
        <w:r>
          <w:fldChar w:fldCharType="begin"/>
        </w:r>
        <w:r>
          <w:instrText xml:space="preserve">PAGEREF 1803 \h</w:instrText>
        </w:r>
        <w:r>
          <w:fldChar w:fldCharType="end"/>
        </w:r>
      </w:hyperlink>
    </w:p>
    <w:p>
      <w:pPr>
        <w:tabs>
          <w:tab w:val="right" w:leader="dot" w:pos="9062"/>
        </w:tabs>
        <w:ind w:left="440"/>
      </w:pPr>
      <w:hyperlink w:anchor="_Toc1804" w:history="1">
        <w:r>
          <w:rPr>
            <w:rFonts w:ascii="IRNazanin" w:hAnsi="IRNazanin" w:eastAsia="IRNazanin" w:cs="IRNazanin"/>
            <w:color w:val="111111"/>
            <w:sz w:val="22"/>
            <w:szCs w:val="22"/>
            <w:b w:val="0"/>
            <w:bCs w:val="0"/>
            <w:i w:val="0"/>
            <w:iCs w:val="0"/>
          </w:rPr>
          <w:t>1439- دیوان المیر حزینی الیزدی‏</w:t>
        </w:r>
        <w:r>
          <w:tab/>
        </w:r>
        <w:r>
          <w:fldChar w:fldCharType="begin"/>
        </w:r>
        <w:r>
          <w:instrText xml:space="preserve">PAGEREF 1804 \h</w:instrText>
        </w:r>
        <w:r>
          <w:fldChar w:fldCharType="end"/>
        </w:r>
      </w:hyperlink>
    </w:p>
    <w:p>
      <w:pPr>
        <w:tabs>
          <w:tab w:val="right" w:leader="dot" w:pos="9062"/>
        </w:tabs>
        <w:ind w:left="440"/>
      </w:pPr>
      <w:hyperlink w:anchor="_Toc1805" w:history="1">
        <w:r>
          <w:rPr>
            <w:rFonts w:ascii="IRNazanin" w:hAnsi="IRNazanin" w:eastAsia="IRNazanin" w:cs="IRNazanin"/>
            <w:color w:val="111111"/>
            <w:sz w:val="22"/>
            <w:szCs w:val="22"/>
            <w:b w:val="0"/>
            <w:bCs w:val="0"/>
            <w:i w:val="0"/>
            <w:iCs w:val="0"/>
          </w:rPr>
          <w:t>1440- دیوان حسابی نطنزی أو شعره‏</w:t>
        </w:r>
        <w:r>
          <w:tab/>
        </w:r>
        <w:r>
          <w:fldChar w:fldCharType="begin"/>
        </w:r>
        <w:r>
          <w:instrText xml:space="preserve">PAGEREF 1805 \h</w:instrText>
        </w:r>
        <w:r>
          <w:fldChar w:fldCharType="end"/>
        </w:r>
      </w:hyperlink>
    </w:p>
    <w:p>
      <w:pPr>
        <w:tabs>
          <w:tab w:val="right" w:leader="dot" w:pos="9062"/>
        </w:tabs>
        <w:ind w:left="440"/>
      </w:pPr>
      <w:hyperlink w:anchor="_Toc1806" w:history="1">
        <w:r>
          <w:rPr>
            <w:rFonts w:ascii="IRNazanin" w:hAnsi="IRNazanin" w:eastAsia="IRNazanin" w:cs="IRNazanin"/>
            <w:color w:val="111111"/>
            <w:sz w:val="22"/>
            <w:szCs w:val="22"/>
            <w:b w:val="0"/>
            <w:bCs w:val="0"/>
            <w:i w:val="0"/>
            <w:iCs w:val="0"/>
          </w:rPr>
          <w:t>1441- دیوان حسام خویی‏</w:t>
        </w:r>
        <w:r>
          <w:tab/>
        </w:r>
        <w:r>
          <w:fldChar w:fldCharType="begin"/>
        </w:r>
        <w:r>
          <w:instrText xml:space="preserve">PAGEREF 1806 \h</w:instrText>
        </w:r>
        <w:r>
          <w:fldChar w:fldCharType="end"/>
        </w:r>
      </w:hyperlink>
    </w:p>
    <w:p>
      <w:pPr>
        <w:tabs>
          <w:tab w:val="right" w:leader="dot" w:pos="9062"/>
        </w:tabs>
        <w:ind w:left="440"/>
      </w:pPr>
      <w:hyperlink w:anchor="_Toc1807" w:history="1">
        <w:r>
          <w:rPr>
            <w:rFonts w:ascii="IRNazanin" w:hAnsi="IRNazanin" w:eastAsia="IRNazanin" w:cs="IRNazanin"/>
            <w:color w:val="111111"/>
            <w:sz w:val="22"/>
            <w:szCs w:val="22"/>
            <w:b w:val="0"/>
            <w:bCs w:val="0"/>
            <w:i w:val="0"/>
            <w:iCs w:val="0"/>
          </w:rPr>
          <w:t>دیوان حسام رشتی‏</w:t>
        </w:r>
        <w:r>
          <w:tab/>
        </w:r>
        <w:r>
          <w:fldChar w:fldCharType="begin"/>
        </w:r>
        <w:r>
          <w:instrText xml:space="preserve">PAGEREF 1807 \h</w:instrText>
        </w:r>
        <w:r>
          <w:fldChar w:fldCharType="end"/>
        </w:r>
      </w:hyperlink>
    </w:p>
    <w:p>
      <w:pPr>
        <w:tabs>
          <w:tab w:val="right" w:leader="dot" w:pos="9062"/>
        </w:tabs>
        <w:ind w:left="440"/>
      </w:pPr>
      <w:hyperlink w:anchor="_Toc1808" w:history="1">
        <w:r>
          <w:rPr>
            <w:rFonts w:ascii="IRNazanin" w:hAnsi="IRNazanin" w:eastAsia="IRNazanin" w:cs="IRNazanin"/>
            <w:color w:val="111111"/>
            <w:sz w:val="22"/>
            <w:szCs w:val="22"/>
            <w:b w:val="0"/>
            <w:bCs w:val="0"/>
            <w:i w:val="0"/>
            <w:iCs w:val="0"/>
          </w:rPr>
          <w:t>دیوان حسام الدین الطریحی‏</w:t>
        </w:r>
        <w:r>
          <w:tab/>
        </w:r>
        <w:r>
          <w:fldChar w:fldCharType="begin"/>
        </w:r>
        <w:r>
          <w:instrText xml:space="preserve">PAGEREF 1808 \h</w:instrText>
        </w:r>
        <w:r>
          <w:fldChar w:fldCharType="end"/>
        </w:r>
      </w:hyperlink>
    </w:p>
    <w:p>
      <w:pPr>
        <w:tabs>
          <w:tab w:val="right" w:leader="dot" w:pos="9062"/>
        </w:tabs>
        <w:ind w:left="440"/>
      </w:pPr>
      <w:hyperlink w:anchor="_Toc1809" w:history="1">
        <w:r>
          <w:rPr>
            <w:rFonts w:ascii="IRNazanin" w:hAnsi="IRNazanin" w:eastAsia="IRNazanin" w:cs="IRNazanin"/>
            <w:color w:val="111111"/>
            <w:sz w:val="22"/>
            <w:szCs w:val="22"/>
            <w:b w:val="0"/>
            <w:bCs w:val="0"/>
            <w:i w:val="0"/>
            <w:iCs w:val="0"/>
          </w:rPr>
          <w:t>1442- دیوان حسامی قراکولی‏</w:t>
        </w:r>
        <w:r>
          <w:tab/>
        </w:r>
        <w:r>
          <w:fldChar w:fldCharType="begin"/>
        </w:r>
        <w:r>
          <w:instrText xml:space="preserve">PAGEREF 1809 \h</w:instrText>
        </w:r>
        <w:r>
          <w:fldChar w:fldCharType="end"/>
        </w:r>
      </w:hyperlink>
    </w:p>
    <w:p>
      <w:pPr>
        <w:tabs>
          <w:tab w:val="right" w:leader="dot" w:pos="9062"/>
        </w:tabs>
        <w:ind w:left="440"/>
      </w:pPr>
      <w:hyperlink w:anchor="_Toc1810" w:history="1">
        <w:r>
          <w:rPr>
            <w:rFonts w:ascii="IRNazanin" w:hAnsi="IRNazanin" w:eastAsia="IRNazanin" w:cs="IRNazanin"/>
            <w:color w:val="111111"/>
            <w:sz w:val="22"/>
            <w:szCs w:val="22"/>
            <w:b w:val="0"/>
            <w:bCs w:val="0"/>
            <w:i w:val="0"/>
            <w:iCs w:val="0"/>
          </w:rPr>
          <w:t>1443- دیوان المولی حسامی الواعظ القهستانی‏</w:t>
        </w:r>
        <w:r>
          <w:tab/>
        </w:r>
        <w:r>
          <w:fldChar w:fldCharType="begin"/>
        </w:r>
        <w:r>
          <w:instrText xml:space="preserve">PAGEREF 1810 \h</w:instrText>
        </w:r>
        <w:r>
          <w:fldChar w:fldCharType="end"/>
        </w:r>
      </w:hyperlink>
    </w:p>
    <w:p>
      <w:pPr>
        <w:tabs>
          <w:tab w:val="right" w:leader="dot" w:pos="9062"/>
        </w:tabs>
        <w:ind w:left="440"/>
      </w:pPr>
      <w:hyperlink w:anchor="_Toc1811" w:history="1">
        <w:r>
          <w:rPr>
            <w:rFonts w:ascii="IRNazanin" w:hAnsi="IRNazanin" w:eastAsia="IRNazanin" w:cs="IRNazanin"/>
            <w:color w:val="111111"/>
            <w:sz w:val="22"/>
            <w:szCs w:val="22"/>
            <w:b w:val="0"/>
            <w:bCs w:val="0"/>
            <w:i w:val="0"/>
            <w:iCs w:val="0"/>
          </w:rPr>
          <w:t>1444- دیوان حسامی هندی‏</w:t>
        </w:r>
        <w:r>
          <w:tab/>
        </w:r>
        <w:r>
          <w:fldChar w:fldCharType="begin"/>
        </w:r>
        <w:r>
          <w:instrText xml:space="preserve">PAGEREF 1811 \h</w:instrText>
        </w:r>
        <w:r>
          <w:fldChar w:fldCharType="end"/>
        </w:r>
      </w:hyperlink>
    </w:p>
    <w:p>
      <w:pPr>
        <w:tabs>
          <w:tab w:val="right" w:leader="dot" w:pos="9062"/>
        </w:tabs>
        <w:ind w:left="440"/>
      </w:pPr>
      <w:hyperlink w:anchor="_Toc1812" w:history="1">
        <w:r>
          <w:rPr>
            <w:rFonts w:ascii="IRNazanin" w:hAnsi="IRNazanin" w:eastAsia="IRNazanin" w:cs="IRNazanin"/>
            <w:color w:val="111111"/>
            <w:sz w:val="22"/>
            <w:szCs w:val="22"/>
            <w:b w:val="0"/>
            <w:bCs w:val="0"/>
            <w:i w:val="0"/>
            <w:iCs w:val="0"/>
          </w:rPr>
          <w:t>1445- دیوان حسان‏</w:t>
        </w:r>
        <w:r>
          <w:tab/>
        </w:r>
        <w:r>
          <w:fldChar w:fldCharType="begin"/>
        </w:r>
        <w:r>
          <w:instrText xml:space="preserve">PAGEREF 1812 \h</w:instrText>
        </w:r>
        <w:r>
          <w:fldChar w:fldCharType="end"/>
        </w:r>
      </w:hyperlink>
    </w:p>
    <w:p>
      <w:pPr>
        <w:tabs>
          <w:tab w:val="right" w:leader="dot" w:pos="9062"/>
        </w:tabs>
        <w:ind w:left="440"/>
      </w:pPr>
      <w:hyperlink w:anchor="_Toc1813" w:history="1">
        <w:r>
          <w:rPr>
            <w:rFonts w:ascii="IRNazanin" w:hAnsi="IRNazanin" w:eastAsia="IRNazanin" w:cs="IRNazanin"/>
            <w:color w:val="111111"/>
            <w:sz w:val="22"/>
            <w:szCs w:val="22"/>
            <w:b w:val="0"/>
            <w:bCs w:val="0"/>
            <w:i w:val="0"/>
            <w:iCs w:val="0"/>
          </w:rPr>
          <w:t>دیوان حسان العجم‏</w:t>
        </w:r>
        <w:r>
          <w:tab/>
        </w:r>
        <w:r>
          <w:fldChar w:fldCharType="begin"/>
        </w:r>
        <w:r>
          <w:instrText xml:space="preserve">PAGEREF 1813 \h</w:instrText>
        </w:r>
        <w:r>
          <w:fldChar w:fldCharType="end"/>
        </w:r>
      </w:hyperlink>
    </w:p>
    <w:p>
      <w:pPr>
        <w:tabs>
          <w:tab w:val="right" w:leader="dot" w:pos="9062"/>
        </w:tabs>
        <w:ind w:left="440"/>
      </w:pPr>
      <w:hyperlink w:anchor="_Toc1814" w:history="1">
        <w:r>
          <w:rPr>
            <w:rFonts w:ascii="IRNazanin" w:hAnsi="IRNazanin" w:eastAsia="IRNazanin" w:cs="IRNazanin"/>
            <w:color w:val="111111"/>
            <w:sz w:val="22"/>
            <w:szCs w:val="22"/>
            <w:b w:val="0"/>
            <w:bCs w:val="0"/>
            <w:i w:val="0"/>
            <w:iCs w:val="0"/>
          </w:rPr>
          <w:t>دیوان حسان الهند</w:t>
        </w:r>
        <w:r>
          <w:tab/>
        </w:r>
        <w:r>
          <w:fldChar w:fldCharType="begin"/>
        </w:r>
        <w:r>
          <w:instrText xml:space="preserve">PAGEREF 1814 \h</w:instrText>
        </w:r>
        <w:r>
          <w:fldChar w:fldCharType="end"/>
        </w:r>
      </w:hyperlink>
    </w:p>
    <w:p>
      <w:pPr>
        <w:tabs>
          <w:tab w:val="right" w:leader="dot" w:pos="9062"/>
        </w:tabs>
        <w:ind w:left="440"/>
      </w:pPr>
      <w:hyperlink w:anchor="_Toc1815" w:history="1">
        <w:r>
          <w:rPr>
            <w:rFonts w:ascii="IRNazanin" w:hAnsi="IRNazanin" w:eastAsia="IRNazanin" w:cs="IRNazanin"/>
            <w:color w:val="111111"/>
            <w:sz w:val="22"/>
            <w:szCs w:val="22"/>
            <w:b w:val="0"/>
            <w:bCs w:val="0"/>
            <w:i w:val="0"/>
            <w:iCs w:val="0"/>
          </w:rPr>
          <w:t>1446- دیوان حسرت أصفهانی أو شعره‏</w:t>
        </w:r>
        <w:r>
          <w:tab/>
        </w:r>
        <w:r>
          <w:fldChar w:fldCharType="begin"/>
        </w:r>
        <w:r>
          <w:instrText xml:space="preserve">PAGEREF 1815 \h</w:instrText>
        </w:r>
        <w:r>
          <w:fldChar w:fldCharType="end"/>
        </w:r>
      </w:hyperlink>
    </w:p>
    <w:p>
      <w:pPr>
        <w:tabs>
          <w:tab w:val="right" w:leader="dot" w:pos="9062"/>
        </w:tabs>
        <w:ind w:left="440"/>
      </w:pPr>
      <w:hyperlink w:anchor="_Toc1816" w:history="1">
        <w:r>
          <w:rPr>
            <w:rFonts w:ascii="IRNazanin" w:hAnsi="IRNazanin" w:eastAsia="IRNazanin" w:cs="IRNazanin"/>
            <w:color w:val="111111"/>
            <w:sz w:val="22"/>
            <w:szCs w:val="22"/>
            <w:b w:val="0"/>
            <w:bCs w:val="0"/>
            <w:i w:val="0"/>
            <w:iCs w:val="0"/>
          </w:rPr>
          <w:t>1447- دیوان حسرت دهلوی أو شعره‏</w:t>
        </w:r>
        <w:r>
          <w:tab/>
        </w:r>
        <w:r>
          <w:fldChar w:fldCharType="begin"/>
        </w:r>
        <w:r>
          <w:instrText xml:space="preserve">PAGEREF 1816 \h</w:instrText>
        </w:r>
        <w:r>
          <w:fldChar w:fldCharType="end"/>
        </w:r>
      </w:hyperlink>
    </w:p>
    <w:p>
      <w:pPr>
        <w:tabs>
          <w:tab w:val="right" w:leader="dot" w:pos="9062"/>
        </w:tabs>
        <w:ind w:left="440"/>
      </w:pPr>
      <w:hyperlink w:anchor="_Toc1817" w:history="1">
        <w:r>
          <w:rPr>
            <w:rFonts w:ascii="IRNazanin" w:hAnsi="IRNazanin" w:eastAsia="IRNazanin" w:cs="IRNazanin"/>
            <w:color w:val="111111"/>
            <w:sz w:val="22"/>
            <w:szCs w:val="22"/>
            <w:b w:val="0"/>
            <w:bCs w:val="0"/>
            <w:i w:val="0"/>
            <w:iCs w:val="0"/>
          </w:rPr>
          <w:t>1448- دیوان حسرت سندیلوی أو شعره‏</w:t>
        </w:r>
        <w:r>
          <w:tab/>
        </w:r>
        <w:r>
          <w:fldChar w:fldCharType="begin"/>
        </w:r>
        <w:r>
          <w:instrText xml:space="preserve">PAGEREF 1817 \h</w:instrText>
        </w:r>
        <w:r>
          <w:fldChar w:fldCharType="end"/>
        </w:r>
      </w:hyperlink>
    </w:p>
    <w:p>
      <w:pPr>
        <w:tabs>
          <w:tab w:val="right" w:leader="dot" w:pos="9062"/>
        </w:tabs>
        <w:ind w:left="440"/>
      </w:pPr>
      <w:hyperlink w:anchor="_Toc1818" w:history="1">
        <w:r>
          <w:rPr>
            <w:rFonts w:ascii="IRNazanin" w:hAnsi="IRNazanin" w:eastAsia="IRNazanin" w:cs="IRNazanin"/>
            <w:color w:val="111111"/>
            <w:sz w:val="22"/>
            <w:szCs w:val="22"/>
            <w:b w:val="0"/>
            <w:bCs w:val="0"/>
            <w:i w:val="0"/>
            <w:iCs w:val="0"/>
          </w:rPr>
          <w:t>1449- دیوان حسرت مشهدی أو شعره‏</w:t>
        </w:r>
        <w:r>
          <w:tab/>
        </w:r>
        <w:r>
          <w:fldChar w:fldCharType="begin"/>
        </w:r>
        <w:r>
          <w:instrText xml:space="preserve">PAGEREF 1818 \h</w:instrText>
        </w:r>
        <w:r>
          <w:fldChar w:fldCharType="end"/>
        </w:r>
      </w:hyperlink>
    </w:p>
    <w:p>
      <w:pPr>
        <w:tabs>
          <w:tab w:val="right" w:leader="dot" w:pos="9062"/>
        </w:tabs>
        <w:ind w:left="440"/>
      </w:pPr>
      <w:hyperlink w:anchor="_Toc1819" w:history="1">
        <w:r>
          <w:rPr>
            <w:rFonts w:ascii="IRNazanin" w:hAnsi="IRNazanin" w:eastAsia="IRNazanin" w:cs="IRNazanin"/>
            <w:color w:val="111111"/>
            <w:sz w:val="22"/>
            <w:szCs w:val="22"/>
            <w:b w:val="0"/>
            <w:bCs w:val="0"/>
            <w:i w:val="0"/>
            <w:iCs w:val="0"/>
          </w:rPr>
          <w:t>1450- دیوان حسرت همدانی أو شعره‏</w:t>
        </w:r>
        <w:r>
          <w:tab/>
        </w:r>
        <w:r>
          <w:fldChar w:fldCharType="begin"/>
        </w:r>
        <w:r>
          <w:instrText xml:space="preserve">PAGEREF 1819 \h</w:instrText>
        </w:r>
        <w:r>
          <w:fldChar w:fldCharType="end"/>
        </w:r>
      </w:hyperlink>
    </w:p>
    <w:p>
      <w:pPr>
        <w:tabs>
          <w:tab w:val="right" w:leader="dot" w:pos="9062"/>
        </w:tabs>
        <w:ind w:left="440"/>
      </w:pPr>
      <w:hyperlink w:anchor="_Toc1820" w:history="1">
        <w:r>
          <w:rPr>
            <w:rFonts w:ascii="IRNazanin" w:hAnsi="IRNazanin" w:eastAsia="IRNazanin" w:cs="IRNazanin"/>
            <w:color w:val="111111"/>
            <w:sz w:val="22"/>
            <w:szCs w:val="22"/>
            <w:b w:val="0"/>
            <w:bCs w:val="0"/>
            <w:i w:val="0"/>
            <w:iCs w:val="0"/>
          </w:rPr>
          <w:t>1451- دیوان حسرت هندی أو شعره‏</w:t>
        </w:r>
        <w:r>
          <w:tab/>
        </w:r>
        <w:r>
          <w:fldChar w:fldCharType="begin"/>
        </w:r>
        <w:r>
          <w:instrText xml:space="preserve">PAGEREF 1820 \h</w:instrText>
        </w:r>
        <w:r>
          <w:fldChar w:fldCharType="end"/>
        </w:r>
      </w:hyperlink>
    </w:p>
    <w:p>
      <w:pPr>
        <w:tabs>
          <w:tab w:val="right" w:leader="dot" w:pos="9062"/>
        </w:tabs>
        <w:ind w:left="440"/>
      </w:pPr>
      <w:hyperlink w:anchor="_Toc1821" w:history="1">
        <w:r>
          <w:rPr>
            <w:rFonts w:ascii="IRNazanin" w:hAnsi="IRNazanin" w:eastAsia="IRNazanin" w:cs="IRNazanin"/>
            <w:color w:val="111111"/>
            <w:sz w:val="22"/>
            <w:szCs w:val="22"/>
            <w:b w:val="0"/>
            <w:bCs w:val="0"/>
            <w:i w:val="0"/>
            <w:iCs w:val="0"/>
          </w:rPr>
          <w:t>1452- دیوان حسرت هندی أو شعره‏</w:t>
        </w:r>
        <w:r>
          <w:tab/>
        </w:r>
        <w:r>
          <w:fldChar w:fldCharType="begin"/>
        </w:r>
        <w:r>
          <w:instrText xml:space="preserve">PAGEREF 1821 \h</w:instrText>
        </w:r>
        <w:r>
          <w:fldChar w:fldCharType="end"/>
        </w:r>
      </w:hyperlink>
    </w:p>
    <w:p>
      <w:pPr>
        <w:tabs>
          <w:tab w:val="right" w:leader="dot" w:pos="9062"/>
        </w:tabs>
        <w:ind w:left="440"/>
      </w:pPr>
      <w:hyperlink w:anchor="_Toc1822" w:history="1">
        <w:r>
          <w:rPr>
            <w:rFonts w:ascii="IRNazanin" w:hAnsi="IRNazanin" w:eastAsia="IRNazanin" w:cs="IRNazanin"/>
            <w:color w:val="111111"/>
            <w:sz w:val="22"/>
            <w:szCs w:val="22"/>
            <w:b w:val="0"/>
            <w:bCs w:val="0"/>
            <w:i w:val="0"/>
            <w:iCs w:val="0"/>
          </w:rPr>
          <w:t>1453- دیوان حسرتی کاشی أو شعره‏</w:t>
        </w:r>
        <w:r>
          <w:tab/>
        </w:r>
        <w:r>
          <w:fldChar w:fldCharType="begin"/>
        </w:r>
        <w:r>
          <w:instrText xml:space="preserve">PAGEREF 1822 \h</w:instrText>
        </w:r>
        <w:r>
          <w:fldChar w:fldCharType="end"/>
        </w:r>
      </w:hyperlink>
    </w:p>
    <w:p>
      <w:pPr>
        <w:tabs>
          <w:tab w:val="right" w:leader="dot" w:pos="9062"/>
        </w:tabs>
        <w:ind w:left="440"/>
      </w:pPr>
      <w:hyperlink w:anchor="_Toc1823" w:history="1">
        <w:r>
          <w:rPr>
            <w:rFonts w:ascii="IRNazanin" w:hAnsi="IRNazanin" w:eastAsia="IRNazanin" w:cs="IRNazanin"/>
            <w:color w:val="111111"/>
            <w:sz w:val="22"/>
            <w:szCs w:val="22"/>
            <w:b w:val="0"/>
            <w:bCs w:val="0"/>
            <w:i w:val="0"/>
            <w:iCs w:val="0"/>
          </w:rPr>
          <w:t>1454- دیوان حسرتی هندی أو شعره‏</w:t>
        </w:r>
        <w:r>
          <w:tab/>
        </w:r>
        <w:r>
          <w:fldChar w:fldCharType="begin"/>
        </w:r>
        <w:r>
          <w:instrText xml:space="preserve">PAGEREF 1823 \h</w:instrText>
        </w:r>
        <w:r>
          <w:fldChar w:fldCharType="end"/>
        </w:r>
      </w:hyperlink>
    </w:p>
    <w:p>
      <w:pPr>
        <w:tabs>
          <w:tab w:val="right" w:leader="dot" w:pos="9062"/>
        </w:tabs>
        <w:ind w:left="440"/>
      </w:pPr>
      <w:hyperlink w:anchor="_Toc1824" w:history="1">
        <w:r>
          <w:rPr>
            <w:rFonts w:ascii="IRNazanin" w:hAnsi="IRNazanin" w:eastAsia="IRNazanin" w:cs="IRNazanin"/>
            <w:color w:val="111111"/>
            <w:sz w:val="22"/>
            <w:szCs w:val="22"/>
            <w:b w:val="0"/>
            <w:bCs w:val="0"/>
            <w:i w:val="0"/>
            <w:iCs w:val="0"/>
          </w:rPr>
          <w:t>1455- دیوان حسن بن أحمد بن یعقوب‏</w:t>
        </w:r>
        <w:r>
          <w:tab/>
        </w:r>
        <w:r>
          <w:fldChar w:fldCharType="begin"/>
        </w:r>
        <w:r>
          <w:instrText xml:space="preserve">PAGEREF 1824 \h</w:instrText>
        </w:r>
        <w:r>
          <w:fldChar w:fldCharType="end"/>
        </w:r>
      </w:hyperlink>
    </w:p>
    <w:p>
      <w:pPr>
        <w:tabs>
          <w:tab w:val="right" w:leader="dot" w:pos="9062"/>
        </w:tabs>
        <w:ind w:left="440"/>
      </w:pPr>
      <w:hyperlink w:anchor="_Toc1825" w:history="1">
        <w:r>
          <w:rPr>
            <w:rFonts w:ascii="IRNazanin" w:hAnsi="IRNazanin" w:eastAsia="IRNazanin" w:cs="IRNazanin"/>
            <w:color w:val="111111"/>
            <w:sz w:val="22"/>
            <w:szCs w:val="22"/>
            <w:b w:val="0"/>
            <w:bCs w:val="0"/>
            <w:i w:val="0"/>
            <w:iCs w:val="0"/>
          </w:rPr>
          <w:t>1456- دیوان حسن بن الحسین‏</w:t>
        </w:r>
        <w:r>
          <w:tab/>
        </w:r>
        <w:r>
          <w:fldChar w:fldCharType="begin"/>
        </w:r>
        <w:r>
          <w:instrText xml:space="preserve">PAGEREF 1825 \h</w:instrText>
        </w:r>
        <w:r>
          <w:fldChar w:fldCharType="end"/>
        </w:r>
      </w:hyperlink>
    </w:p>
    <w:p>
      <w:pPr>
        <w:tabs>
          <w:tab w:val="right" w:leader="dot" w:pos="9062"/>
        </w:tabs>
        <w:ind w:left="440"/>
      </w:pPr>
      <w:hyperlink w:anchor="_Toc1826" w:history="1">
        <w:r>
          <w:rPr>
            <w:rFonts w:ascii="IRNazanin" w:hAnsi="IRNazanin" w:eastAsia="IRNazanin" w:cs="IRNazanin"/>
            <w:color w:val="111111"/>
            <w:sz w:val="22"/>
            <w:szCs w:val="22"/>
            <w:b w:val="0"/>
            <w:bCs w:val="0"/>
            <w:i w:val="0"/>
            <w:iCs w:val="0"/>
          </w:rPr>
          <w:t>1457- دیوان الشیخ حسن بن زین الدین الشهید</w:t>
        </w:r>
        <w:r>
          <w:tab/>
        </w:r>
        <w:r>
          <w:fldChar w:fldCharType="begin"/>
        </w:r>
        <w:r>
          <w:instrText xml:space="preserve">PAGEREF 1826 \h</w:instrText>
        </w:r>
        <w:r>
          <w:fldChar w:fldCharType="end"/>
        </w:r>
      </w:hyperlink>
    </w:p>
    <w:p>
      <w:pPr>
        <w:tabs>
          <w:tab w:val="right" w:leader="dot" w:pos="9062"/>
        </w:tabs>
        <w:ind w:left="440"/>
      </w:pPr>
      <w:hyperlink w:anchor="_Toc1827" w:history="1">
        <w:r>
          <w:rPr>
            <w:rFonts w:ascii="IRNazanin" w:hAnsi="IRNazanin" w:eastAsia="IRNazanin" w:cs="IRNazanin"/>
            <w:color w:val="111111"/>
            <w:sz w:val="22"/>
            <w:szCs w:val="22"/>
            <w:b w:val="0"/>
            <w:bCs w:val="0"/>
            <w:i w:val="0"/>
            <w:iCs w:val="0"/>
          </w:rPr>
          <w:t>1458- دیوان حسن بن شدقم أو شعره‏</w:t>
        </w:r>
        <w:r>
          <w:tab/>
        </w:r>
        <w:r>
          <w:fldChar w:fldCharType="begin"/>
        </w:r>
        <w:r>
          <w:instrText xml:space="preserve">PAGEREF 1827 \h</w:instrText>
        </w:r>
        <w:r>
          <w:fldChar w:fldCharType="end"/>
        </w:r>
      </w:hyperlink>
    </w:p>
    <w:p>
      <w:pPr>
        <w:tabs>
          <w:tab w:val="right" w:leader="dot" w:pos="9062"/>
        </w:tabs>
        <w:ind w:left="440"/>
      </w:pPr>
      <w:hyperlink w:anchor="_Toc1828" w:history="1">
        <w:r>
          <w:rPr>
            <w:rFonts w:ascii="IRNazanin" w:hAnsi="IRNazanin" w:eastAsia="IRNazanin" w:cs="IRNazanin"/>
            <w:color w:val="111111"/>
            <w:sz w:val="22"/>
            <w:szCs w:val="22"/>
            <w:b w:val="0"/>
            <w:bCs w:val="0"/>
            <w:i w:val="0"/>
            <w:iCs w:val="0"/>
          </w:rPr>
          <w:t>دیوان الحسن بن صافی‏</w:t>
        </w:r>
        <w:r>
          <w:tab/>
        </w:r>
        <w:r>
          <w:fldChar w:fldCharType="begin"/>
        </w:r>
        <w:r>
          <w:instrText xml:space="preserve">PAGEREF 1828 \h</w:instrText>
        </w:r>
        <w:r>
          <w:fldChar w:fldCharType="end"/>
        </w:r>
      </w:hyperlink>
    </w:p>
    <w:p>
      <w:pPr>
        <w:tabs>
          <w:tab w:val="right" w:leader="dot" w:pos="9062"/>
        </w:tabs>
        <w:ind w:left="440"/>
      </w:pPr>
      <w:hyperlink w:anchor="_Toc1829" w:history="1">
        <w:r>
          <w:rPr>
            <w:rFonts w:ascii="IRNazanin" w:hAnsi="IRNazanin" w:eastAsia="IRNazanin" w:cs="IRNazanin"/>
            <w:color w:val="111111"/>
            <w:sz w:val="22"/>
            <w:szCs w:val="22"/>
            <w:b w:val="0"/>
            <w:bCs w:val="0"/>
            <w:i w:val="0"/>
            <w:iCs w:val="0"/>
          </w:rPr>
          <w:t>دیوان الحسن بن عبد الرحیم‏</w:t>
        </w:r>
        <w:r>
          <w:tab/>
        </w:r>
        <w:r>
          <w:fldChar w:fldCharType="begin"/>
        </w:r>
        <w:r>
          <w:instrText xml:space="preserve">PAGEREF 1829 \h</w:instrText>
        </w:r>
        <w:r>
          <w:fldChar w:fldCharType="end"/>
        </w:r>
      </w:hyperlink>
    </w:p>
    <w:p>
      <w:pPr>
        <w:tabs>
          <w:tab w:val="right" w:leader="dot" w:pos="9062"/>
        </w:tabs>
        <w:ind w:left="440"/>
      </w:pPr>
      <w:hyperlink w:anchor="_Toc1830" w:history="1">
        <w:r>
          <w:rPr>
            <w:rFonts w:ascii="IRNazanin" w:hAnsi="IRNazanin" w:eastAsia="IRNazanin" w:cs="IRNazanin"/>
            <w:color w:val="111111"/>
            <w:sz w:val="22"/>
            <w:szCs w:val="22"/>
            <w:b w:val="0"/>
            <w:bCs w:val="0"/>
            <w:i w:val="0"/>
            <w:iCs w:val="0"/>
          </w:rPr>
          <w:t>1459- دیوان الحسن بن علی بن أحمد المهابادی‏</w:t>
        </w:r>
        <w:r>
          <w:tab/>
        </w:r>
        <w:r>
          <w:fldChar w:fldCharType="begin"/>
        </w:r>
        <w:r>
          <w:instrText xml:space="preserve">PAGEREF 1830 \h</w:instrText>
        </w:r>
        <w:r>
          <w:fldChar w:fldCharType="end"/>
        </w:r>
      </w:hyperlink>
    </w:p>
    <w:p>
      <w:pPr>
        <w:tabs>
          <w:tab w:val="right" w:leader="dot" w:pos="9062"/>
        </w:tabs>
        <w:ind w:left="440"/>
      </w:pPr>
      <w:hyperlink w:anchor="_Toc1831" w:history="1">
        <w:r>
          <w:rPr>
            <w:rFonts w:ascii="IRNazanin" w:hAnsi="IRNazanin" w:eastAsia="IRNazanin" w:cs="IRNazanin"/>
            <w:color w:val="111111"/>
            <w:sz w:val="22"/>
            <w:szCs w:val="22"/>
            <w:b w:val="0"/>
            <w:bCs w:val="0"/>
            <w:i w:val="0"/>
            <w:iCs w:val="0"/>
          </w:rPr>
          <w:t>1460- دیوان الشیخ الحسن بن علی بن أحمد العاملی الحائنی‏</w:t>
        </w:r>
        <w:r>
          <w:tab/>
        </w:r>
        <w:r>
          <w:fldChar w:fldCharType="begin"/>
        </w:r>
        <w:r>
          <w:instrText xml:space="preserve">PAGEREF 1831 \h</w:instrText>
        </w:r>
        <w:r>
          <w:fldChar w:fldCharType="end"/>
        </w:r>
      </w:hyperlink>
    </w:p>
    <w:p>
      <w:pPr>
        <w:tabs>
          <w:tab w:val="right" w:leader="dot" w:pos="9062"/>
        </w:tabs>
        <w:ind w:left="440"/>
      </w:pPr>
      <w:hyperlink w:anchor="_Toc1832" w:history="1">
        <w:r>
          <w:rPr>
            <w:rFonts w:ascii="IRNazanin" w:hAnsi="IRNazanin" w:eastAsia="IRNazanin" w:cs="IRNazanin"/>
            <w:color w:val="111111"/>
            <w:sz w:val="22"/>
            <w:szCs w:val="22"/>
            <w:b w:val="0"/>
            <w:bCs w:val="0"/>
            <w:i w:val="0"/>
            <w:iCs w:val="0"/>
          </w:rPr>
          <w:t>1460- دیوان الحسن بن علی الشهابی‏</w:t>
        </w:r>
        <w:r>
          <w:tab/>
        </w:r>
        <w:r>
          <w:fldChar w:fldCharType="begin"/>
        </w:r>
        <w:r>
          <w:instrText xml:space="preserve">PAGEREF 1832 \h</w:instrText>
        </w:r>
        <w:r>
          <w:fldChar w:fldCharType="end"/>
        </w:r>
      </w:hyperlink>
    </w:p>
    <w:p>
      <w:pPr>
        <w:tabs>
          <w:tab w:val="right" w:leader="dot" w:pos="9062"/>
        </w:tabs>
        <w:ind w:left="440"/>
      </w:pPr>
      <w:hyperlink w:anchor="_Toc1833" w:history="1">
        <w:r>
          <w:rPr>
            <w:rFonts w:ascii="IRNazanin" w:hAnsi="IRNazanin" w:eastAsia="IRNazanin" w:cs="IRNazanin"/>
            <w:color w:val="111111"/>
            <w:sz w:val="22"/>
            <w:szCs w:val="22"/>
            <w:b w:val="0"/>
            <w:bCs w:val="0"/>
            <w:i w:val="0"/>
            <w:iCs w:val="0"/>
          </w:rPr>
          <w:t>1461- دیوان الشیخ حسن بن علی ابن نجم السعدی الریاحی القفطانی النجفی‏</w:t>
        </w:r>
        <w:r>
          <w:tab/>
        </w:r>
        <w:r>
          <w:fldChar w:fldCharType="begin"/>
        </w:r>
        <w:r>
          <w:instrText xml:space="preserve">PAGEREF 1833 \h</w:instrText>
        </w:r>
        <w:r>
          <w:fldChar w:fldCharType="end"/>
        </w:r>
      </w:hyperlink>
    </w:p>
    <w:p>
      <w:pPr>
        <w:tabs>
          <w:tab w:val="right" w:leader="dot" w:pos="9062"/>
        </w:tabs>
        <w:ind w:left="440"/>
      </w:pPr>
      <w:hyperlink w:anchor="_Toc1834" w:history="1">
        <w:r>
          <w:rPr>
            <w:rFonts w:ascii="IRNazanin" w:hAnsi="IRNazanin" w:eastAsia="IRNazanin" w:cs="IRNazanin"/>
            <w:color w:val="111111"/>
            <w:sz w:val="22"/>
            <w:szCs w:val="22"/>
            <w:b w:val="0"/>
            <w:bCs w:val="0"/>
            <w:i w:val="0"/>
            <w:iCs w:val="0"/>
          </w:rPr>
          <w:t>دیوان حسن بن فتح الله‏</w:t>
        </w:r>
        <w:r>
          <w:tab/>
        </w:r>
        <w:r>
          <w:fldChar w:fldCharType="begin"/>
        </w:r>
        <w:r>
          <w:instrText xml:space="preserve">PAGEREF 1834 \h</w:instrText>
        </w:r>
        <w:r>
          <w:fldChar w:fldCharType="end"/>
        </w:r>
      </w:hyperlink>
    </w:p>
    <w:p>
      <w:pPr>
        <w:tabs>
          <w:tab w:val="right" w:leader="dot" w:pos="9062"/>
        </w:tabs>
        <w:ind w:left="440"/>
      </w:pPr>
      <w:hyperlink w:anchor="_Toc1835" w:history="1">
        <w:r>
          <w:rPr>
            <w:rFonts w:ascii="IRNazanin" w:hAnsi="IRNazanin" w:eastAsia="IRNazanin" w:cs="IRNazanin"/>
            <w:color w:val="111111"/>
            <w:sz w:val="22"/>
            <w:szCs w:val="22"/>
            <w:b w:val="0"/>
            <w:bCs w:val="0"/>
            <w:i w:val="0"/>
            <w:iCs w:val="0"/>
          </w:rPr>
          <w:t>دیوان السلطان حسن بن السلطان محمد المکفوف‏</w:t>
        </w:r>
        <w:r>
          <w:tab/>
        </w:r>
        <w:r>
          <w:fldChar w:fldCharType="begin"/>
        </w:r>
        <w:r>
          <w:instrText xml:space="preserve">PAGEREF 1835 \h</w:instrText>
        </w:r>
        <w:r>
          <w:fldChar w:fldCharType="end"/>
        </w:r>
      </w:hyperlink>
    </w:p>
    <w:p>
      <w:pPr>
        <w:tabs>
          <w:tab w:val="right" w:leader="dot" w:pos="9062"/>
        </w:tabs>
        <w:ind w:left="440"/>
      </w:pPr>
      <w:hyperlink w:anchor="_Toc1836" w:history="1">
        <w:r>
          <w:rPr>
            <w:rFonts w:ascii="IRNazanin" w:hAnsi="IRNazanin" w:eastAsia="IRNazanin" w:cs="IRNazanin"/>
            <w:color w:val="111111"/>
            <w:sz w:val="22"/>
            <w:szCs w:val="22"/>
            <w:b w:val="0"/>
            <w:bCs w:val="0"/>
            <w:i w:val="0"/>
            <w:iCs w:val="0"/>
          </w:rPr>
          <w:t>1462- دیوان حسن أردشیر أو شعره‏</w:t>
        </w:r>
        <w:r>
          <w:tab/>
        </w:r>
        <w:r>
          <w:fldChar w:fldCharType="begin"/>
        </w:r>
        <w:r>
          <w:instrText xml:space="preserve">PAGEREF 1836 \h</w:instrText>
        </w:r>
        <w:r>
          <w:fldChar w:fldCharType="end"/>
        </w:r>
      </w:hyperlink>
    </w:p>
    <w:p>
      <w:pPr>
        <w:tabs>
          <w:tab w:val="right" w:leader="dot" w:pos="9062"/>
        </w:tabs>
        <w:ind w:left="440"/>
      </w:pPr>
      <w:hyperlink w:anchor="_Toc1837" w:history="1">
        <w:r>
          <w:rPr>
            <w:rFonts w:ascii="IRNazanin" w:hAnsi="IRNazanin" w:eastAsia="IRNazanin" w:cs="IRNazanin"/>
            <w:color w:val="111111"/>
            <w:sz w:val="22"/>
            <w:szCs w:val="22"/>
            <w:b w:val="0"/>
            <w:bCs w:val="0"/>
            <w:i w:val="0"/>
            <w:iCs w:val="0"/>
          </w:rPr>
          <w:t>1463- دیوان الحسن الأسدی الدزفولی‏</w:t>
        </w:r>
        <w:r>
          <w:tab/>
        </w:r>
        <w:r>
          <w:fldChar w:fldCharType="begin"/>
        </w:r>
        <w:r>
          <w:instrText xml:space="preserve">PAGEREF 1837 \h</w:instrText>
        </w:r>
        <w:r>
          <w:fldChar w:fldCharType="end"/>
        </w:r>
      </w:hyperlink>
    </w:p>
    <w:p>
      <w:pPr>
        <w:tabs>
          <w:tab w:val="right" w:leader="dot" w:pos="9062"/>
        </w:tabs>
        <w:ind w:left="440"/>
      </w:pPr>
      <w:hyperlink w:anchor="_Toc1838" w:history="1">
        <w:r>
          <w:rPr>
            <w:rFonts w:ascii="IRNazanin" w:hAnsi="IRNazanin" w:eastAsia="IRNazanin" w:cs="IRNazanin"/>
            <w:color w:val="111111"/>
            <w:sz w:val="22"/>
            <w:szCs w:val="22"/>
            <w:b w:val="0"/>
            <w:bCs w:val="0"/>
            <w:i w:val="0"/>
            <w:iCs w:val="0"/>
          </w:rPr>
          <w:t>1464- دیوان حسن إشکوری‏</w:t>
        </w:r>
        <w:r>
          <w:tab/>
        </w:r>
        <w:r>
          <w:fldChar w:fldCharType="begin"/>
        </w:r>
        <w:r>
          <w:instrText xml:space="preserve">PAGEREF 1838 \h</w:instrText>
        </w:r>
        <w:r>
          <w:fldChar w:fldCharType="end"/>
        </w:r>
      </w:hyperlink>
    </w:p>
    <w:p>
      <w:pPr>
        <w:tabs>
          <w:tab w:val="right" w:leader="dot" w:pos="9062"/>
        </w:tabs>
        <w:ind w:left="440"/>
      </w:pPr>
      <w:hyperlink w:anchor="_Toc1839" w:history="1">
        <w:r>
          <w:rPr>
            <w:rFonts w:ascii="IRNazanin" w:hAnsi="IRNazanin" w:eastAsia="IRNazanin" w:cs="IRNazanin"/>
            <w:color w:val="111111"/>
            <w:sz w:val="22"/>
            <w:szCs w:val="22"/>
            <w:b w:val="0"/>
            <w:bCs w:val="0"/>
            <w:i w:val="0"/>
            <w:iCs w:val="0"/>
          </w:rPr>
          <w:t>1465- دیوان حسن أصفهانی‏</w:t>
        </w:r>
        <w:r>
          <w:tab/>
        </w:r>
        <w:r>
          <w:fldChar w:fldCharType="begin"/>
        </w:r>
        <w:r>
          <w:instrText xml:space="preserve">PAGEREF 1839 \h</w:instrText>
        </w:r>
        <w:r>
          <w:fldChar w:fldCharType="end"/>
        </w:r>
      </w:hyperlink>
    </w:p>
    <w:p>
      <w:pPr>
        <w:tabs>
          <w:tab w:val="right" w:leader="dot" w:pos="9062"/>
        </w:tabs>
        <w:ind w:left="440"/>
      </w:pPr>
      <w:hyperlink w:anchor="_Toc1840" w:history="1">
        <w:r>
          <w:rPr>
            <w:rFonts w:ascii="IRNazanin" w:hAnsi="IRNazanin" w:eastAsia="IRNazanin" w:cs="IRNazanin"/>
            <w:color w:val="111111"/>
            <w:sz w:val="22"/>
            <w:szCs w:val="22"/>
            <w:b w:val="0"/>
            <w:bCs w:val="0"/>
            <w:i w:val="0"/>
            <w:iCs w:val="0"/>
          </w:rPr>
          <w:t>1466- دیوان حسن أصفهانی أو شعره‏</w:t>
        </w:r>
        <w:r>
          <w:tab/>
        </w:r>
        <w:r>
          <w:fldChar w:fldCharType="begin"/>
        </w:r>
        <w:r>
          <w:instrText xml:space="preserve">PAGEREF 1840 \h</w:instrText>
        </w:r>
        <w:r>
          <w:fldChar w:fldCharType="end"/>
        </w:r>
      </w:hyperlink>
    </w:p>
    <w:p>
      <w:pPr>
        <w:tabs>
          <w:tab w:val="right" w:leader="dot" w:pos="9062"/>
        </w:tabs>
        <w:ind w:left="440"/>
      </w:pPr>
      <w:hyperlink w:anchor="_Toc1841" w:history="1">
        <w:r>
          <w:rPr>
            <w:rFonts w:ascii="IRNazanin" w:hAnsi="IRNazanin" w:eastAsia="IRNazanin" w:cs="IRNazanin"/>
            <w:color w:val="111111"/>
            <w:sz w:val="22"/>
            <w:szCs w:val="22"/>
            <w:b w:val="0"/>
            <w:bCs w:val="0"/>
            <w:i w:val="0"/>
            <w:iCs w:val="0"/>
          </w:rPr>
          <w:t>دیوان السید حسن بحر العلوم‏</w:t>
        </w:r>
        <w:r>
          <w:tab/>
        </w:r>
        <w:r>
          <w:fldChar w:fldCharType="begin"/>
        </w:r>
        <w:r>
          <w:instrText xml:space="preserve">PAGEREF 1841 \h</w:instrText>
        </w:r>
        <w:r>
          <w:fldChar w:fldCharType="end"/>
        </w:r>
      </w:hyperlink>
    </w:p>
    <w:p>
      <w:pPr>
        <w:tabs>
          <w:tab w:val="right" w:leader="dot" w:pos="9062"/>
        </w:tabs>
        <w:ind w:left="440"/>
      </w:pPr>
      <w:hyperlink w:anchor="_Toc1842" w:history="1">
        <w:r>
          <w:rPr>
            <w:rFonts w:ascii="IRNazanin" w:hAnsi="IRNazanin" w:eastAsia="IRNazanin" w:cs="IRNazanin"/>
            <w:color w:val="111111"/>
            <w:sz w:val="22"/>
            <w:szCs w:val="22"/>
            <w:b w:val="0"/>
            <w:bCs w:val="0"/>
            <w:i w:val="0"/>
            <w:iCs w:val="0"/>
          </w:rPr>
          <w:t>1467- دیوان حسن بروجردی أو شعره‏</w:t>
        </w:r>
        <w:r>
          <w:tab/>
        </w:r>
        <w:r>
          <w:fldChar w:fldCharType="begin"/>
        </w:r>
        <w:r>
          <w:instrText xml:space="preserve">PAGEREF 1842 \h</w:instrText>
        </w:r>
        <w:r>
          <w:fldChar w:fldCharType="end"/>
        </w:r>
      </w:hyperlink>
    </w:p>
    <w:p>
      <w:pPr>
        <w:tabs>
          <w:tab w:val="right" w:leader="dot" w:pos="9062"/>
        </w:tabs>
        <w:ind w:left="440"/>
      </w:pPr>
      <w:hyperlink w:anchor="_Toc1843" w:history="1">
        <w:r>
          <w:rPr>
            <w:rFonts w:ascii="IRNazanin" w:hAnsi="IRNazanin" w:eastAsia="IRNazanin" w:cs="IRNazanin"/>
            <w:color w:val="111111"/>
            <w:sz w:val="22"/>
            <w:szCs w:val="22"/>
            <w:b w:val="0"/>
            <w:bCs w:val="0"/>
            <w:i w:val="0"/>
            <w:iCs w:val="0"/>
          </w:rPr>
          <w:t>دیوان حسن تاریخی أو شعره‏</w:t>
        </w:r>
        <w:r>
          <w:tab/>
        </w:r>
        <w:r>
          <w:fldChar w:fldCharType="begin"/>
        </w:r>
        <w:r>
          <w:instrText xml:space="preserve">PAGEREF 1843 \h</w:instrText>
        </w:r>
        <w:r>
          <w:fldChar w:fldCharType="end"/>
        </w:r>
      </w:hyperlink>
    </w:p>
    <w:p>
      <w:pPr>
        <w:tabs>
          <w:tab w:val="right" w:leader="dot" w:pos="9062"/>
        </w:tabs>
        <w:ind w:left="440"/>
      </w:pPr>
      <w:hyperlink w:anchor="_Toc1844" w:history="1">
        <w:r>
          <w:rPr>
            <w:rFonts w:ascii="IRNazanin" w:hAnsi="IRNazanin" w:eastAsia="IRNazanin" w:cs="IRNazanin"/>
            <w:color w:val="111111"/>
            <w:sz w:val="22"/>
            <w:szCs w:val="22"/>
            <w:b w:val="0"/>
            <w:bCs w:val="0"/>
            <w:i w:val="0"/>
            <w:iCs w:val="0"/>
          </w:rPr>
          <w:t>دیوان حسن ترک‏</w:t>
        </w:r>
        <w:r>
          <w:tab/>
        </w:r>
        <w:r>
          <w:fldChar w:fldCharType="begin"/>
        </w:r>
        <w:r>
          <w:instrText xml:space="preserve">PAGEREF 1844 \h</w:instrText>
        </w:r>
        <w:r>
          <w:fldChar w:fldCharType="end"/>
        </w:r>
      </w:hyperlink>
    </w:p>
    <w:p>
      <w:pPr>
        <w:tabs>
          <w:tab w:val="right" w:leader="dot" w:pos="9062"/>
        </w:tabs>
        <w:ind w:left="440"/>
      </w:pPr>
      <w:hyperlink w:anchor="_Toc1845" w:history="1">
        <w:r>
          <w:rPr>
            <w:rFonts w:ascii="IRNazanin" w:hAnsi="IRNazanin" w:eastAsia="IRNazanin" w:cs="IRNazanin"/>
            <w:color w:val="111111"/>
            <w:sz w:val="22"/>
            <w:szCs w:val="22"/>
            <w:b w:val="0"/>
            <w:bCs w:val="0"/>
            <w:i w:val="0"/>
            <w:iCs w:val="0"/>
          </w:rPr>
          <w:t>دیوان حسن تکلو</w:t>
        </w:r>
        <w:r>
          <w:tab/>
        </w:r>
        <w:r>
          <w:fldChar w:fldCharType="begin"/>
        </w:r>
        <w:r>
          <w:instrText xml:space="preserve">PAGEREF 1845 \h</w:instrText>
        </w:r>
        <w:r>
          <w:fldChar w:fldCharType="end"/>
        </w:r>
      </w:hyperlink>
    </w:p>
    <w:p>
      <w:pPr>
        <w:tabs>
          <w:tab w:val="right" w:leader="dot" w:pos="9062"/>
        </w:tabs>
        <w:ind w:left="440"/>
      </w:pPr>
      <w:hyperlink w:anchor="_Toc1846" w:history="1">
        <w:r>
          <w:rPr>
            <w:rFonts w:ascii="IRNazanin" w:hAnsi="IRNazanin" w:eastAsia="IRNazanin" w:cs="IRNazanin"/>
            <w:color w:val="111111"/>
            <w:sz w:val="22"/>
            <w:szCs w:val="22"/>
            <w:b w:val="0"/>
            <w:bCs w:val="0"/>
            <w:i w:val="0"/>
            <w:iCs w:val="0"/>
          </w:rPr>
          <w:t>دیوان حسن چپ دست أو شعره‏</w:t>
        </w:r>
        <w:r>
          <w:tab/>
        </w:r>
        <w:r>
          <w:fldChar w:fldCharType="begin"/>
        </w:r>
        <w:r>
          <w:instrText xml:space="preserve">PAGEREF 1846 \h</w:instrText>
        </w:r>
        <w:r>
          <w:fldChar w:fldCharType="end"/>
        </w:r>
      </w:hyperlink>
    </w:p>
    <w:p>
      <w:pPr>
        <w:tabs>
          <w:tab w:val="right" w:leader="dot" w:pos="9062"/>
        </w:tabs>
        <w:ind w:left="440"/>
      </w:pPr>
      <w:hyperlink w:anchor="_Toc1847" w:history="1">
        <w:r>
          <w:rPr>
            <w:rFonts w:ascii="IRNazanin" w:hAnsi="IRNazanin" w:eastAsia="IRNazanin" w:cs="IRNazanin"/>
            <w:color w:val="111111"/>
            <w:sz w:val="22"/>
            <w:szCs w:val="22"/>
            <w:b w:val="0"/>
            <w:bCs w:val="0"/>
            <w:i w:val="0"/>
            <w:iCs w:val="0"/>
          </w:rPr>
          <w:t>دیوان حسن حکاک آذربایجانی أو شعره‏</w:t>
        </w:r>
        <w:r>
          <w:tab/>
        </w:r>
        <w:r>
          <w:fldChar w:fldCharType="begin"/>
        </w:r>
        <w:r>
          <w:instrText xml:space="preserve">PAGEREF 1847 \h</w:instrText>
        </w:r>
        <w:r>
          <w:fldChar w:fldCharType="end"/>
        </w:r>
      </w:hyperlink>
    </w:p>
    <w:p>
      <w:pPr>
        <w:tabs>
          <w:tab w:val="right" w:leader="dot" w:pos="9062"/>
        </w:tabs>
        <w:ind w:left="440"/>
      </w:pPr>
      <w:hyperlink w:anchor="_Toc1848" w:history="1">
        <w:r>
          <w:rPr>
            <w:rFonts w:ascii="IRNazanin" w:hAnsi="IRNazanin" w:eastAsia="IRNazanin" w:cs="IRNazanin"/>
            <w:color w:val="111111"/>
            <w:sz w:val="22"/>
            <w:szCs w:val="22"/>
            <w:b w:val="0"/>
            <w:bCs w:val="0"/>
            <w:i w:val="0"/>
            <w:iCs w:val="0"/>
          </w:rPr>
          <w:t>1468- دیوان الحسن الحلی‏</w:t>
        </w:r>
        <w:r>
          <w:tab/>
        </w:r>
        <w:r>
          <w:fldChar w:fldCharType="begin"/>
        </w:r>
        <w:r>
          <w:instrText xml:space="preserve">PAGEREF 1848 \h</w:instrText>
        </w:r>
        <w:r>
          <w:fldChar w:fldCharType="end"/>
        </w:r>
      </w:hyperlink>
    </w:p>
    <w:p>
      <w:pPr>
        <w:tabs>
          <w:tab w:val="right" w:leader="dot" w:pos="9062"/>
        </w:tabs>
        <w:ind w:left="440"/>
      </w:pPr>
      <w:hyperlink w:anchor="_Toc1849" w:history="1">
        <w:r>
          <w:rPr>
            <w:rFonts w:ascii="IRNazanin" w:hAnsi="IRNazanin" w:eastAsia="IRNazanin" w:cs="IRNazanin"/>
            <w:color w:val="111111"/>
            <w:sz w:val="22"/>
            <w:szCs w:val="22"/>
            <w:b w:val="0"/>
            <w:bCs w:val="0"/>
            <w:i w:val="0"/>
            <w:iCs w:val="0"/>
          </w:rPr>
          <w:t>1469- دیوان آقا حسن الخراسانی أو شعره‏</w:t>
        </w:r>
        <w:r>
          <w:tab/>
        </w:r>
        <w:r>
          <w:fldChar w:fldCharType="begin"/>
        </w:r>
        <w:r>
          <w:instrText xml:space="preserve">PAGEREF 1849 \h</w:instrText>
        </w:r>
        <w:r>
          <w:fldChar w:fldCharType="end"/>
        </w:r>
      </w:hyperlink>
    </w:p>
    <w:p>
      <w:pPr>
        <w:tabs>
          <w:tab w:val="right" w:leader="dot" w:pos="9062"/>
        </w:tabs>
        <w:ind w:left="440"/>
      </w:pPr>
      <w:hyperlink w:anchor="_Toc1850" w:history="1">
        <w:r>
          <w:rPr>
            <w:rFonts w:ascii="IRNazanin" w:hAnsi="IRNazanin" w:eastAsia="IRNazanin" w:cs="IRNazanin"/>
            <w:color w:val="111111"/>
            <w:sz w:val="22"/>
            <w:szCs w:val="22"/>
            <w:b w:val="0"/>
            <w:bCs w:val="0"/>
            <w:i w:val="0"/>
            <w:iCs w:val="0"/>
          </w:rPr>
          <w:t>دیوان حسن خراسانی‏</w:t>
        </w:r>
        <w:r>
          <w:tab/>
        </w:r>
        <w:r>
          <w:fldChar w:fldCharType="begin"/>
        </w:r>
        <w:r>
          <w:instrText xml:space="preserve">PAGEREF 1850 \h</w:instrText>
        </w:r>
        <w:r>
          <w:fldChar w:fldCharType="end"/>
        </w:r>
      </w:hyperlink>
    </w:p>
    <w:p>
      <w:pPr>
        <w:tabs>
          <w:tab w:val="right" w:leader="dot" w:pos="9062"/>
        </w:tabs>
        <w:ind w:left="440"/>
      </w:pPr>
      <w:hyperlink w:anchor="_Toc1851" w:history="1">
        <w:r>
          <w:rPr>
            <w:rFonts w:ascii="IRNazanin" w:hAnsi="IRNazanin" w:eastAsia="IRNazanin" w:cs="IRNazanin"/>
            <w:color w:val="111111"/>
            <w:sz w:val="22"/>
            <w:szCs w:val="22"/>
            <w:b w:val="0"/>
            <w:bCs w:val="0"/>
            <w:i w:val="0"/>
            <w:iCs w:val="0"/>
          </w:rPr>
          <w:t>1470- دیوان حسن دشتی الکبکانی‏</w:t>
        </w:r>
        <w:r>
          <w:tab/>
        </w:r>
        <w:r>
          <w:fldChar w:fldCharType="begin"/>
        </w:r>
        <w:r>
          <w:instrText xml:space="preserve">PAGEREF 1851 \h</w:instrText>
        </w:r>
        <w:r>
          <w:fldChar w:fldCharType="end"/>
        </w:r>
      </w:hyperlink>
    </w:p>
    <w:p>
      <w:pPr>
        <w:tabs>
          <w:tab w:val="right" w:leader="dot" w:pos="9062"/>
        </w:tabs>
        <w:ind w:left="440"/>
      </w:pPr>
      <w:hyperlink w:anchor="_Toc1852" w:history="1">
        <w:r>
          <w:rPr>
            <w:rFonts w:ascii="IRNazanin" w:hAnsi="IRNazanin" w:eastAsia="IRNazanin" w:cs="IRNazanin"/>
            <w:color w:val="111111"/>
            <w:sz w:val="22"/>
            <w:szCs w:val="22"/>
            <w:b w:val="0"/>
            <w:bCs w:val="0"/>
            <w:i w:val="0"/>
            <w:iCs w:val="0"/>
          </w:rPr>
          <w:t>1471- دیوان حسن دهلوی أو شعره‏</w:t>
        </w:r>
        <w:r>
          <w:tab/>
        </w:r>
        <w:r>
          <w:fldChar w:fldCharType="begin"/>
        </w:r>
        <w:r>
          <w:instrText xml:space="preserve">PAGEREF 1852 \h</w:instrText>
        </w:r>
        <w:r>
          <w:fldChar w:fldCharType="end"/>
        </w:r>
      </w:hyperlink>
    </w:p>
    <w:p>
      <w:pPr>
        <w:tabs>
          <w:tab w:val="right" w:leader="dot" w:pos="9062"/>
        </w:tabs>
        <w:ind w:left="440"/>
      </w:pPr>
      <w:hyperlink w:anchor="_Toc1853" w:history="1">
        <w:r>
          <w:rPr>
            <w:rFonts w:ascii="IRNazanin" w:hAnsi="IRNazanin" w:eastAsia="IRNazanin" w:cs="IRNazanin"/>
            <w:color w:val="111111"/>
            <w:sz w:val="22"/>
            <w:szCs w:val="22"/>
            <w:b w:val="0"/>
            <w:bCs w:val="0"/>
            <w:i w:val="0"/>
            <w:iCs w:val="0"/>
          </w:rPr>
          <w:t>1472- دیوان حسن دهلوی‏</w:t>
        </w:r>
        <w:r>
          <w:tab/>
        </w:r>
        <w:r>
          <w:fldChar w:fldCharType="begin"/>
        </w:r>
        <w:r>
          <w:instrText xml:space="preserve">PAGEREF 1853 \h</w:instrText>
        </w:r>
        <w:r>
          <w:fldChar w:fldCharType="end"/>
        </w:r>
      </w:hyperlink>
    </w:p>
    <w:p>
      <w:pPr>
        <w:tabs>
          <w:tab w:val="right" w:leader="dot" w:pos="9062"/>
        </w:tabs>
        <w:ind w:left="440"/>
      </w:pPr>
      <w:hyperlink w:anchor="_Toc1854" w:history="1">
        <w:r>
          <w:rPr>
            <w:rFonts w:ascii="IRNazanin" w:hAnsi="IRNazanin" w:eastAsia="IRNazanin" w:cs="IRNazanin"/>
            <w:color w:val="111111"/>
            <w:sz w:val="22"/>
            <w:szCs w:val="22"/>
            <w:b w:val="0"/>
            <w:bCs w:val="0"/>
            <w:i w:val="0"/>
            <w:iCs w:val="0"/>
          </w:rPr>
          <w:t>1473- دیوان المولی حسن الدیلمانی الگیلانی‏</w:t>
        </w:r>
        <w:r>
          <w:tab/>
        </w:r>
        <w:r>
          <w:fldChar w:fldCharType="begin"/>
        </w:r>
        <w:r>
          <w:instrText xml:space="preserve">PAGEREF 1854 \h</w:instrText>
        </w:r>
        <w:r>
          <w:fldChar w:fldCharType="end"/>
        </w:r>
      </w:hyperlink>
    </w:p>
    <w:p>
      <w:pPr>
        <w:tabs>
          <w:tab w:val="right" w:leader="dot" w:pos="9062"/>
        </w:tabs>
        <w:ind w:left="440"/>
      </w:pPr>
      <w:hyperlink w:anchor="_Toc1855" w:history="1">
        <w:r>
          <w:rPr>
            <w:rFonts w:ascii="IRNazanin" w:hAnsi="IRNazanin" w:eastAsia="IRNazanin" w:cs="IRNazanin"/>
            <w:color w:val="111111"/>
            <w:sz w:val="22"/>
            <w:szCs w:val="22"/>
            <w:b w:val="0"/>
            <w:bCs w:val="0"/>
            <w:i w:val="0"/>
            <w:iCs w:val="0"/>
          </w:rPr>
          <w:t>دیوان حسن ذو القدر</w:t>
        </w:r>
        <w:r>
          <w:tab/>
        </w:r>
        <w:r>
          <w:fldChar w:fldCharType="begin"/>
        </w:r>
        <w:r>
          <w:instrText xml:space="preserve">PAGEREF 1855 \h</w:instrText>
        </w:r>
        <w:r>
          <w:fldChar w:fldCharType="end"/>
        </w:r>
      </w:hyperlink>
    </w:p>
    <w:p>
      <w:pPr>
        <w:tabs>
          <w:tab w:val="right" w:leader="dot" w:pos="9062"/>
        </w:tabs>
        <w:ind w:left="440"/>
      </w:pPr>
      <w:hyperlink w:anchor="_Toc1856" w:history="1">
        <w:r>
          <w:rPr>
            <w:rFonts w:ascii="IRNazanin" w:hAnsi="IRNazanin" w:eastAsia="IRNazanin" w:cs="IRNazanin"/>
            <w:color w:val="111111"/>
            <w:sz w:val="22"/>
            <w:szCs w:val="22"/>
            <w:b w:val="0"/>
            <w:bCs w:val="0"/>
            <w:i w:val="0"/>
            <w:iCs w:val="0"/>
          </w:rPr>
          <w:t>دیوان الحسن السبیتی‏</w:t>
        </w:r>
        <w:r>
          <w:tab/>
        </w:r>
        <w:r>
          <w:fldChar w:fldCharType="begin"/>
        </w:r>
        <w:r>
          <w:instrText xml:space="preserve">PAGEREF 1856 \h</w:instrText>
        </w:r>
        <w:r>
          <w:fldChar w:fldCharType="end"/>
        </w:r>
      </w:hyperlink>
    </w:p>
    <w:p>
      <w:pPr>
        <w:tabs>
          <w:tab w:val="right" w:leader="dot" w:pos="9062"/>
        </w:tabs>
        <w:ind w:left="440"/>
      </w:pPr>
      <w:hyperlink w:anchor="_Toc1857" w:history="1">
        <w:r>
          <w:rPr>
            <w:rFonts w:ascii="IRNazanin" w:hAnsi="IRNazanin" w:eastAsia="IRNazanin" w:cs="IRNazanin"/>
            <w:color w:val="111111"/>
            <w:sz w:val="22"/>
            <w:szCs w:val="22"/>
            <w:b w:val="0"/>
            <w:bCs w:val="0"/>
            <w:i w:val="0"/>
            <w:iCs w:val="0"/>
          </w:rPr>
          <w:t>1474- دیوان حسن سرابی‏</w:t>
        </w:r>
        <w:r>
          <w:tab/>
        </w:r>
        <w:r>
          <w:fldChar w:fldCharType="begin"/>
        </w:r>
        <w:r>
          <w:instrText xml:space="preserve">PAGEREF 1857 \h</w:instrText>
        </w:r>
        <w:r>
          <w:fldChar w:fldCharType="end"/>
        </w:r>
      </w:hyperlink>
    </w:p>
    <w:p>
      <w:pPr>
        <w:tabs>
          <w:tab w:val="right" w:leader="dot" w:pos="9062"/>
        </w:tabs>
        <w:ind w:left="440"/>
      </w:pPr>
      <w:hyperlink w:anchor="_Toc1858" w:history="1">
        <w:r>
          <w:rPr>
            <w:rFonts w:ascii="IRNazanin" w:hAnsi="IRNazanin" w:eastAsia="IRNazanin" w:cs="IRNazanin"/>
            <w:color w:val="111111"/>
            <w:sz w:val="22"/>
            <w:szCs w:val="22"/>
            <w:b w:val="0"/>
            <w:bCs w:val="0"/>
            <w:i w:val="0"/>
            <w:iCs w:val="0"/>
          </w:rPr>
          <w:t>1475- دیوان حسن سندی أو شعره‏</w:t>
        </w:r>
        <w:r>
          <w:tab/>
        </w:r>
        <w:r>
          <w:fldChar w:fldCharType="begin"/>
        </w:r>
        <w:r>
          <w:instrText xml:space="preserve">PAGEREF 1858 \h</w:instrText>
        </w:r>
        <w:r>
          <w:fldChar w:fldCharType="end"/>
        </w:r>
      </w:hyperlink>
    </w:p>
    <w:p>
      <w:pPr>
        <w:tabs>
          <w:tab w:val="right" w:leader="dot" w:pos="9062"/>
        </w:tabs>
        <w:ind w:left="440"/>
      </w:pPr>
      <w:hyperlink w:anchor="_Toc1859" w:history="1">
        <w:r>
          <w:rPr>
            <w:rFonts w:ascii="IRNazanin" w:hAnsi="IRNazanin" w:eastAsia="IRNazanin" w:cs="IRNazanin"/>
            <w:color w:val="111111"/>
            <w:sz w:val="22"/>
            <w:szCs w:val="22"/>
            <w:b w:val="0"/>
            <w:bCs w:val="0"/>
            <w:i w:val="0"/>
            <w:iCs w:val="0"/>
          </w:rPr>
          <w:t>1476- دیوان حسن شاملو</w:t>
        </w:r>
        <w:r>
          <w:tab/>
        </w:r>
        <w:r>
          <w:fldChar w:fldCharType="begin"/>
        </w:r>
        <w:r>
          <w:instrText xml:space="preserve">PAGEREF 1859 \h</w:instrText>
        </w:r>
        <w:r>
          <w:fldChar w:fldCharType="end"/>
        </w:r>
      </w:hyperlink>
    </w:p>
    <w:p>
      <w:pPr>
        <w:tabs>
          <w:tab w:val="right" w:leader="dot" w:pos="9062"/>
        </w:tabs>
        <w:ind w:left="440"/>
      </w:pPr>
      <w:hyperlink w:anchor="_Toc1860" w:history="1">
        <w:r>
          <w:rPr>
            <w:rFonts w:ascii="IRNazanin" w:hAnsi="IRNazanin" w:eastAsia="IRNazanin" w:cs="IRNazanin"/>
            <w:color w:val="111111"/>
            <w:sz w:val="22"/>
            <w:szCs w:val="22"/>
            <w:b w:val="0"/>
            <w:bCs w:val="0"/>
            <w:i w:val="0"/>
            <w:iCs w:val="0"/>
          </w:rPr>
          <w:t>1477- دیوان حسن طهرانی أو شعره‏</w:t>
        </w:r>
        <w:r>
          <w:tab/>
        </w:r>
        <w:r>
          <w:fldChar w:fldCharType="begin"/>
        </w:r>
        <w:r>
          <w:instrText xml:space="preserve">PAGEREF 1860 \h</w:instrText>
        </w:r>
        <w:r>
          <w:fldChar w:fldCharType="end"/>
        </w:r>
      </w:hyperlink>
    </w:p>
    <w:p>
      <w:pPr>
        <w:tabs>
          <w:tab w:val="right" w:leader="dot" w:pos="9062"/>
        </w:tabs>
        <w:ind w:left="440"/>
      </w:pPr>
      <w:hyperlink w:anchor="_Toc1861" w:history="1">
        <w:r>
          <w:rPr>
            <w:rFonts w:ascii="IRNazanin" w:hAnsi="IRNazanin" w:eastAsia="IRNazanin" w:cs="IRNazanin"/>
            <w:color w:val="111111"/>
            <w:sz w:val="22"/>
            <w:szCs w:val="22"/>
            <w:b w:val="0"/>
            <w:bCs w:val="0"/>
            <w:i w:val="0"/>
            <w:iCs w:val="0"/>
          </w:rPr>
          <w:t>1478- دیوان المولی حسن علی‏</w:t>
        </w:r>
        <w:r>
          <w:tab/>
        </w:r>
        <w:r>
          <w:fldChar w:fldCharType="begin"/>
        </w:r>
        <w:r>
          <w:instrText xml:space="preserve">PAGEREF 1861 \h</w:instrText>
        </w:r>
        <w:r>
          <w:fldChar w:fldCharType="end"/>
        </w:r>
      </w:hyperlink>
    </w:p>
    <w:p>
      <w:pPr>
        <w:tabs>
          <w:tab w:val="right" w:leader="dot" w:pos="9062"/>
        </w:tabs>
        <w:ind w:left="440"/>
      </w:pPr>
      <w:hyperlink w:anchor="_Toc1862" w:history="1">
        <w:r>
          <w:rPr>
            <w:rFonts w:ascii="IRNazanin" w:hAnsi="IRNazanin" w:eastAsia="IRNazanin" w:cs="IRNazanin"/>
            <w:color w:val="111111"/>
            <w:sz w:val="22"/>
            <w:szCs w:val="22"/>
            <w:b w:val="0"/>
            <w:bCs w:val="0"/>
            <w:i w:val="0"/>
            <w:iCs w:val="0"/>
          </w:rPr>
          <w:t>1479- دیوان حسن علی معمایی أو شعره‏</w:t>
        </w:r>
        <w:r>
          <w:tab/>
        </w:r>
        <w:r>
          <w:fldChar w:fldCharType="begin"/>
        </w:r>
        <w:r>
          <w:instrText xml:space="preserve">PAGEREF 1862 \h</w:instrText>
        </w:r>
        <w:r>
          <w:fldChar w:fldCharType="end"/>
        </w:r>
      </w:hyperlink>
    </w:p>
    <w:p>
      <w:pPr>
        <w:tabs>
          <w:tab w:val="right" w:leader="dot" w:pos="9062"/>
        </w:tabs>
        <w:ind w:left="440"/>
      </w:pPr>
      <w:hyperlink w:anchor="_Toc1863" w:history="1">
        <w:r>
          <w:rPr>
            <w:rFonts w:ascii="IRNazanin" w:hAnsi="IRNazanin" w:eastAsia="IRNazanin" w:cs="IRNazanin"/>
            <w:color w:val="111111"/>
            <w:sz w:val="22"/>
            <w:szCs w:val="22"/>
            <w:b w:val="0"/>
            <w:bCs w:val="0"/>
            <w:i w:val="0"/>
            <w:iCs w:val="0"/>
          </w:rPr>
          <w:t>1480- دیوان میرزا حسن علی النصرآبادی‏</w:t>
        </w:r>
        <w:r>
          <w:tab/>
        </w:r>
        <w:r>
          <w:fldChar w:fldCharType="begin"/>
        </w:r>
        <w:r>
          <w:instrText xml:space="preserve">PAGEREF 1863 \h</w:instrText>
        </w:r>
        <w:r>
          <w:fldChar w:fldCharType="end"/>
        </w:r>
      </w:hyperlink>
    </w:p>
    <w:p>
      <w:pPr>
        <w:tabs>
          <w:tab w:val="right" w:leader="dot" w:pos="9062"/>
        </w:tabs>
        <w:ind w:left="440"/>
      </w:pPr>
      <w:hyperlink w:anchor="_Toc1864" w:history="1">
        <w:r>
          <w:rPr>
            <w:rFonts w:ascii="IRNazanin" w:hAnsi="IRNazanin" w:eastAsia="IRNazanin" w:cs="IRNazanin"/>
            <w:color w:val="111111"/>
            <w:sz w:val="22"/>
            <w:szCs w:val="22"/>
            <w:b w:val="0"/>
            <w:bCs w:val="0"/>
            <w:i w:val="0"/>
            <w:iCs w:val="0"/>
          </w:rPr>
          <w:t>1481- دیوان حسن غزنوی‏</w:t>
        </w:r>
        <w:r>
          <w:tab/>
        </w:r>
        <w:r>
          <w:fldChar w:fldCharType="begin"/>
        </w:r>
        <w:r>
          <w:instrText xml:space="preserve">PAGEREF 1864 \h</w:instrText>
        </w:r>
        <w:r>
          <w:fldChar w:fldCharType="end"/>
        </w:r>
      </w:hyperlink>
    </w:p>
    <w:p>
      <w:pPr>
        <w:tabs>
          <w:tab w:val="right" w:leader="dot" w:pos="9062"/>
        </w:tabs>
        <w:ind w:left="440"/>
      </w:pPr>
      <w:hyperlink w:anchor="_Toc1865" w:history="1">
        <w:r>
          <w:rPr>
            <w:rFonts w:ascii="IRNazanin" w:hAnsi="IRNazanin" w:eastAsia="IRNazanin" w:cs="IRNazanin"/>
            <w:color w:val="111111"/>
            <w:sz w:val="22"/>
            <w:szCs w:val="22"/>
            <w:b w:val="0"/>
            <w:bCs w:val="0"/>
            <w:i w:val="0"/>
            <w:iCs w:val="0"/>
          </w:rPr>
          <w:t>1482- دیوان حسن غزنوی أو شعره‏</w:t>
        </w:r>
        <w:r>
          <w:tab/>
        </w:r>
        <w:r>
          <w:fldChar w:fldCharType="begin"/>
        </w:r>
        <w:r>
          <w:instrText xml:space="preserve">PAGEREF 1865 \h</w:instrText>
        </w:r>
        <w:r>
          <w:fldChar w:fldCharType="end"/>
        </w:r>
      </w:hyperlink>
    </w:p>
    <w:p>
      <w:pPr>
        <w:tabs>
          <w:tab w:val="right" w:leader="dot" w:pos="9062"/>
        </w:tabs>
        <w:ind w:left="440"/>
      </w:pPr>
      <w:hyperlink w:anchor="_Toc1866" w:history="1">
        <w:r>
          <w:rPr>
            <w:rFonts w:ascii="IRNazanin" w:hAnsi="IRNazanin" w:eastAsia="IRNazanin" w:cs="IRNazanin"/>
            <w:color w:val="111111"/>
            <w:sz w:val="22"/>
            <w:szCs w:val="22"/>
            <w:b w:val="0"/>
            <w:bCs w:val="0"/>
            <w:i w:val="0"/>
            <w:iCs w:val="0"/>
          </w:rPr>
          <w:t>دیوان حسن فراهانی‏</w:t>
        </w:r>
        <w:r>
          <w:tab/>
        </w:r>
        <w:r>
          <w:fldChar w:fldCharType="begin"/>
        </w:r>
        <w:r>
          <w:instrText xml:space="preserve">PAGEREF 1866 \h</w:instrText>
        </w:r>
        <w:r>
          <w:fldChar w:fldCharType="end"/>
        </w:r>
      </w:hyperlink>
    </w:p>
    <w:p>
      <w:pPr>
        <w:tabs>
          <w:tab w:val="right" w:leader="dot" w:pos="9062"/>
        </w:tabs>
        <w:ind w:left="440"/>
      </w:pPr>
      <w:hyperlink w:anchor="_Toc1867" w:history="1">
        <w:r>
          <w:rPr>
            <w:rFonts w:ascii="IRNazanin" w:hAnsi="IRNazanin" w:eastAsia="IRNazanin" w:cs="IRNazanin"/>
            <w:color w:val="111111"/>
            <w:sz w:val="22"/>
            <w:szCs w:val="22"/>
            <w:b w:val="0"/>
            <w:bCs w:val="0"/>
            <w:i w:val="0"/>
            <w:iCs w:val="0"/>
          </w:rPr>
          <w:t>دیوان حسن قزوینی‏</w:t>
        </w:r>
        <w:r>
          <w:tab/>
        </w:r>
        <w:r>
          <w:fldChar w:fldCharType="begin"/>
        </w:r>
        <w:r>
          <w:instrText xml:space="preserve">PAGEREF 1867 \h</w:instrText>
        </w:r>
        <w:r>
          <w:fldChar w:fldCharType="end"/>
        </w:r>
      </w:hyperlink>
    </w:p>
    <w:p>
      <w:pPr>
        <w:tabs>
          <w:tab w:val="right" w:leader="dot" w:pos="9062"/>
        </w:tabs>
        <w:ind w:left="440"/>
      </w:pPr>
      <w:hyperlink w:anchor="_Toc1868" w:history="1">
        <w:r>
          <w:rPr>
            <w:rFonts w:ascii="IRNazanin" w:hAnsi="IRNazanin" w:eastAsia="IRNazanin" w:cs="IRNazanin"/>
            <w:color w:val="111111"/>
            <w:sz w:val="22"/>
            <w:szCs w:val="22"/>
            <w:b w:val="0"/>
            <w:bCs w:val="0"/>
            <w:i w:val="0"/>
            <w:iCs w:val="0"/>
          </w:rPr>
          <w:t>1483- دیوان حسن قزوینی أو شعره‏</w:t>
        </w:r>
        <w:r>
          <w:tab/>
        </w:r>
        <w:r>
          <w:fldChar w:fldCharType="begin"/>
        </w:r>
        <w:r>
          <w:instrText xml:space="preserve">PAGEREF 1868 \h</w:instrText>
        </w:r>
        <w:r>
          <w:fldChar w:fldCharType="end"/>
        </w:r>
      </w:hyperlink>
    </w:p>
    <w:p>
      <w:pPr>
        <w:tabs>
          <w:tab w:val="right" w:leader="dot" w:pos="9062"/>
        </w:tabs>
        <w:ind w:left="440"/>
      </w:pPr>
      <w:hyperlink w:anchor="_Toc1869" w:history="1">
        <w:r>
          <w:rPr>
            <w:rFonts w:ascii="IRNazanin" w:hAnsi="IRNazanin" w:eastAsia="IRNazanin" w:cs="IRNazanin"/>
            <w:color w:val="111111"/>
            <w:sz w:val="22"/>
            <w:szCs w:val="22"/>
            <w:b w:val="0"/>
            <w:bCs w:val="0"/>
            <w:i w:val="0"/>
            <w:iCs w:val="0"/>
          </w:rPr>
          <w:t>دیوان الحسن القیم‏</w:t>
        </w:r>
        <w:r>
          <w:tab/>
        </w:r>
        <w:r>
          <w:fldChar w:fldCharType="begin"/>
        </w:r>
        <w:r>
          <w:instrText xml:space="preserve">PAGEREF 1869 \h</w:instrText>
        </w:r>
        <w:r>
          <w:fldChar w:fldCharType="end"/>
        </w:r>
      </w:hyperlink>
    </w:p>
    <w:p>
      <w:pPr>
        <w:tabs>
          <w:tab w:val="right" w:leader="dot" w:pos="9062"/>
        </w:tabs>
        <w:ind w:left="440"/>
      </w:pPr>
      <w:hyperlink w:anchor="_Toc1870" w:history="1">
        <w:r>
          <w:rPr>
            <w:rFonts w:ascii="IRNazanin" w:hAnsi="IRNazanin" w:eastAsia="IRNazanin" w:cs="IRNazanin"/>
            <w:color w:val="111111"/>
            <w:sz w:val="22"/>
            <w:szCs w:val="22"/>
            <w:b w:val="0"/>
            <w:bCs w:val="0"/>
            <w:i w:val="0"/>
            <w:iCs w:val="0"/>
          </w:rPr>
          <w:t>دیوان حسن کاشی‏</w:t>
        </w:r>
        <w:r>
          <w:tab/>
        </w:r>
        <w:r>
          <w:fldChar w:fldCharType="begin"/>
        </w:r>
        <w:r>
          <w:instrText xml:space="preserve">PAGEREF 1870 \h</w:instrText>
        </w:r>
        <w:r>
          <w:fldChar w:fldCharType="end"/>
        </w:r>
      </w:hyperlink>
    </w:p>
    <w:p>
      <w:pPr>
        <w:tabs>
          <w:tab w:val="right" w:leader="dot" w:pos="9062"/>
        </w:tabs>
        <w:ind w:left="440"/>
      </w:pPr>
      <w:hyperlink w:anchor="_Toc1871" w:history="1">
        <w:r>
          <w:rPr>
            <w:rFonts w:ascii="IRNazanin" w:hAnsi="IRNazanin" w:eastAsia="IRNazanin" w:cs="IRNazanin"/>
            <w:color w:val="111111"/>
            <w:sz w:val="22"/>
            <w:szCs w:val="22"/>
            <w:b w:val="0"/>
            <w:bCs w:val="0"/>
            <w:i w:val="0"/>
            <w:iCs w:val="0"/>
          </w:rPr>
          <w:t>1484- دیوان محمد حسن کبة</w:t>
        </w:r>
        <w:r>
          <w:tab/>
        </w:r>
        <w:r>
          <w:fldChar w:fldCharType="begin"/>
        </w:r>
        <w:r>
          <w:instrText xml:space="preserve">PAGEREF 1871 \h</w:instrText>
        </w:r>
        <w:r>
          <w:fldChar w:fldCharType="end"/>
        </w:r>
      </w:hyperlink>
    </w:p>
    <w:p>
      <w:pPr>
        <w:tabs>
          <w:tab w:val="right" w:leader="dot" w:pos="9062"/>
        </w:tabs>
        <w:ind w:left="440"/>
      </w:pPr>
      <w:hyperlink w:anchor="_Toc1872" w:history="1">
        <w:r>
          <w:rPr>
            <w:rFonts w:ascii="IRNazanin" w:hAnsi="IRNazanin" w:eastAsia="IRNazanin" w:cs="IRNazanin"/>
            <w:color w:val="111111"/>
            <w:sz w:val="22"/>
            <w:szCs w:val="22"/>
            <w:b w:val="0"/>
            <w:bCs w:val="0"/>
            <w:i w:val="0"/>
            <w:iCs w:val="0"/>
          </w:rPr>
          <w:t>1485- دیوان حسن گیلانی أو شعره‏</w:t>
        </w:r>
        <w:r>
          <w:tab/>
        </w:r>
        <w:r>
          <w:fldChar w:fldCharType="begin"/>
        </w:r>
        <w:r>
          <w:instrText xml:space="preserve">PAGEREF 1872 \h</w:instrText>
        </w:r>
        <w:r>
          <w:fldChar w:fldCharType="end"/>
        </w:r>
      </w:hyperlink>
    </w:p>
    <w:p>
      <w:pPr>
        <w:tabs>
          <w:tab w:val="right" w:leader="dot" w:pos="9062"/>
        </w:tabs>
        <w:ind w:left="440"/>
      </w:pPr>
      <w:hyperlink w:anchor="_Toc1873" w:history="1">
        <w:r>
          <w:rPr>
            <w:rFonts w:ascii="IRNazanin" w:hAnsi="IRNazanin" w:eastAsia="IRNazanin" w:cs="IRNazanin"/>
            <w:color w:val="111111"/>
            <w:sz w:val="22"/>
            <w:szCs w:val="22"/>
            <w:b w:val="0"/>
            <w:bCs w:val="0"/>
            <w:i w:val="0"/>
            <w:iCs w:val="0"/>
          </w:rPr>
          <w:t>1486- دیوان حسن لکهنوی أو شعره‏</w:t>
        </w:r>
        <w:r>
          <w:tab/>
        </w:r>
        <w:r>
          <w:fldChar w:fldCharType="begin"/>
        </w:r>
        <w:r>
          <w:instrText xml:space="preserve">PAGEREF 1873 \h</w:instrText>
        </w:r>
        <w:r>
          <w:fldChar w:fldCharType="end"/>
        </w:r>
      </w:hyperlink>
    </w:p>
    <w:p>
      <w:pPr>
        <w:tabs>
          <w:tab w:val="right" w:leader="dot" w:pos="9062"/>
        </w:tabs>
        <w:ind w:left="440"/>
      </w:pPr>
      <w:hyperlink w:anchor="_Toc1874" w:history="1">
        <w:r>
          <w:rPr>
            <w:rFonts w:ascii="IRNazanin" w:hAnsi="IRNazanin" w:eastAsia="IRNazanin" w:cs="IRNazanin"/>
            <w:color w:val="111111"/>
            <w:sz w:val="22"/>
            <w:szCs w:val="22"/>
            <w:b w:val="0"/>
            <w:bCs w:val="0"/>
            <w:i w:val="0"/>
            <w:iCs w:val="0"/>
          </w:rPr>
          <w:t>دیوان حسن مال میر</w:t>
        </w:r>
        <w:r>
          <w:tab/>
        </w:r>
        <w:r>
          <w:fldChar w:fldCharType="begin"/>
        </w:r>
        <w:r>
          <w:instrText xml:space="preserve">PAGEREF 1874 \h</w:instrText>
        </w:r>
        <w:r>
          <w:fldChar w:fldCharType="end"/>
        </w:r>
      </w:hyperlink>
    </w:p>
    <w:p>
      <w:pPr>
        <w:tabs>
          <w:tab w:val="right" w:leader="dot" w:pos="9062"/>
        </w:tabs>
        <w:ind w:left="440"/>
      </w:pPr>
      <w:hyperlink w:anchor="_Toc1875" w:history="1">
        <w:r>
          <w:rPr>
            <w:rFonts w:ascii="IRNazanin" w:hAnsi="IRNazanin" w:eastAsia="IRNazanin" w:cs="IRNazanin"/>
            <w:color w:val="111111"/>
            <w:sz w:val="22"/>
            <w:szCs w:val="22"/>
            <w:b w:val="0"/>
            <w:bCs w:val="0"/>
            <w:i w:val="0"/>
            <w:iCs w:val="0"/>
          </w:rPr>
          <w:t>دیوان حسن المهابادی‏</w:t>
        </w:r>
        <w:r>
          <w:tab/>
        </w:r>
        <w:r>
          <w:fldChar w:fldCharType="begin"/>
        </w:r>
        <w:r>
          <w:instrText xml:space="preserve">PAGEREF 1875 \h</w:instrText>
        </w:r>
        <w:r>
          <w:fldChar w:fldCharType="end"/>
        </w:r>
      </w:hyperlink>
    </w:p>
    <w:p>
      <w:pPr>
        <w:tabs>
          <w:tab w:val="right" w:leader="dot" w:pos="9062"/>
        </w:tabs>
        <w:ind w:left="440"/>
      </w:pPr>
      <w:hyperlink w:anchor="_Toc1876" w:history="1">
        <w:r>
          <w:rPr>
            <w:rFonts w:ascii="IRNazanin" w:hAnsi="IRNazanin" w:eastAsia="IRNazanin" w:cs="IRNazanin"/>
            <w:color w:val="111111"/>
            <w:sz w:val="22"/>
            <w:szCs w:val="22"/>
            <w:b w:val="0"/>
            <w:bCs w:val="0"/>
            <w:i w:val="0"/>
            <w:iCs w:val="0"/>
          </w:rPr>
          <w:t>دیوان حسن متکلم‏</w:t>
        </w:r>
        <w:r>
          <w:tab/>
        </w:r>
        <w:r>
          <w:fldChar w:fldCharType="begin"/>
        </w:r>
        <w:r>
          <w:instrText xml:space="preserve">PAGEREF 1876 \h</w:instrText>
        </w:r>
        <w:r>
          <w:fldChar w:fldCharType="end"/>
        </w:r>
      </w:hyperlink>
    </w:p>
    <w:p>
      <w:pPr>
        <w:tabs>
          <w:tab w:val="right" w:leader="dot" w:pos="9062"/>
        </w:tabs>
        <w:ind w:left="440"/>
      </w:pPr>
      <w:hyperlink w:anchor="_Toc1877" w:history="1">
        <w:r>
          <w:rPr>
            <w:rFonts w:ascii="IRNazanin" w:hAnsi="IRNazanin" w:eastAsia="IRNazanin" w:cs="IRNazanin"/>
            <w:color w:val="111111"/>
            <w:sz w:val="22"/>
            <w:szCs w:val="22"/>
            <w:b w:val="0"/>
            <w:bCs w:val="0"/>
            <w:i w:val="0"/>
            <w:iCs w:val="0"/>
          </w:rPr>
          <w:t>1487- دیوان حسن مذهب أو شعره‏</w:t>
        </w:r>
        <w:r>
          <w:tab/>
        </w:r>
        <w:r>
          <w:fldChar w:fldCharType="begin"/>
        </w:r>
        <w:r>
          <w:instrText xml:space="preserve">PAGEREF 1877 \h</w:instrText>
        </w:r>
        <w:r>
          <w:fldChar w:fldCharType="end"/>
        </w:r>
      </w:hyperlink>
    </w:p>
    <w:p>
      <w:pPr>
        <w:tabs>
          <w:tab w:val="right" w:leader="dot" w:pos="9062"/>
        </w:tabs>
        <w:ind w:left="440"/>
      </w:pPr>
      <w:hyperlink w:anchor="_Toc1878" w:history="1">
        <w:r>
          <w:rPr>
            <w:rFonts w:ascii="IRNazanin" w:hAnsi="IRNazanin" w:eastAsia="IRNazanin" w:cs="IRNazanin"/>
            <w:color w:val="111111"/>
            <w:sz w:val="22"/>
            <w:szCs w:val="22"/>
            <w:b w:val="0"/>
            <w:bCs w:val="0"/>
            <w:i w:val="0"/>
            <w:iCs w:val="0"/>
          </w:rPr>
          <w:t>دیوان حسن مشهدی‏</w:t>
        </w:r>
        <w:r>
          <w:tab/>
        </w:r>
        <w:r>
          <w:fldChar w:fldCharType="begin"/>
        </w:r>
        <w:r>
          <w:instrText xml:space="preserve">PAGEREF 1878 \h</w:instrText>
        </w:r>
        <w:r>
          <w:fldChar w:fldCharType="end"/>
        </w:r>
      </w:hyperlink>
    </w:p>
    <w:p>
      <w:pPr>
        <w:tabs>
          <w:tab w:val="right" w:leader="dot" w:pos="9062"/>
        </w:tabs>
        <w:ind w:left="440"/>
      </w:pPr>
      <w:hyperlink w:anchor="_Toc1879" w:history="1">
        <w:r>
          <w:rPr>
            <w:rFonts w:ascii="IRNazanin" w:hAnsi="IRNazanin" w:eastAsia="IRNazanin" w:cs="IRNazanin"/>
            <w:color w:val="111111"/>
            <w:sz w:val="22"/>
            <w:szCs w:val="22"/>
            <w:b w:val="0"/>
            <w:bCs w:val="0"/>
            <w:i w:val="0"/>
            <w:iCs w:val="0"/>
          </w:rPr>
          <w:t>1488- دیوان حسن نهاوندی أو شعره‏</w:t>
        </w:r>
        <w:r>
          <w:tab/>
        </w:r>
        <w:r>
          <w:fldChar w:fldCharType="begin"/>
        </w:r>
        <w:r>
          <w:instrText xml:space="preserve">PAGEREF 1879 \h</w:instrText>
        </w:r>
        <w:r>
          <w:fldChar w:fldCharType="end"/>
        </w:r>
      </w:hyperlink>
    </w:p>
    <w:p>
      <w:pPr>
        <w:tabs>
          <w:tab w:val="right" w:leader="dot" w:pos="9062"/>
        </w:tabs>
        <w:ind w:left="440"/>
      </w:pPr>
      <w:hyperlink w:anchor="_Toc1880" w:history="1">
        <w:r>
          <w:rPr>
            <w:rFonts w:ascii="IRNazanin" w:hAnsi="IRNazanin" w:eastAsia="IRNazanin" w:cs="IRNazanin"/>
            <w:color w:val="111111"/>
            <w:sz w:val="22"/>
            <w:szCs w:val="22"/>
            <w:b w:val="0"/>
            <w:bCs w:val="0"/>
            <w:i w:val="0"/>
            <w:iCs w:val="0"/>
          </w:rPr>
          <w:t>1489- دیوان حسن نیشابوری أو شعره‏</w:t>
        </w:r>
        <w:r>
          <w:tab/>
        </w:r>
        <w:r>
          <w:fldChar w:fldCharType="begin"/>
        </w:r>
        <w:r>
          <w:instrText xml:space="preserve">PAGEREF 1880 \h</w:instrText>
        </w:r>
        <w:r>
          <w:fldChar w:fldCharType="end"/>
        </w:r>
      </w:hyperlink>
    </w:p>
    <w:p>
      <w:pPr>
        <w:tabs>
          <w:tab w:val="right" w:leader="dot" w:pos="9062"/>
        </w:tabs>
        <w:ind w:left="440"/>
      </w:pPr>
      <w:hyperlink w:anchor="_Toc1881" w:history="1">
        <w:r>
          <w:rPr>
            <w:rFonts w:ascii="IRNazanin" w:hAnsi="IRNazanin" w:eastAsia="IRNazanin" w:cs="IRNazanin"/>
            <w:color w:val="111111"/>
            <w:sz w:val="22"/>
            <w:szCs w:val="22"/>
            <w:b w:val="0"/>
            <w:bCs w:val="0"/>
            <w:i w:val="0"/>
            <w:iCs w:val="0"/>
          </w:rPr>
          <w:t>1490- دیوان حسن یزدجردی أو شعره‏</w:t>
        </w:r>
        <w:r>
          <w:tab/>
        </w:r>
        <w:r>
          <w:fldChar w:fldCharType="begin"/>
        </w:r>
        <w:r>
          <w:instrText xml:space="preserve">PAGEREF 1881 \h</w:instrText>
        </w:r>
        <w:r>
          <w:fldChar w:fldCharType="end"/>
        </w:r>
      </w:hyperlink>
    </w:p>
    <w:p>
      <w:pPr>
        <w:tabs>
          <w:tab w:val="right" w:leader="dot" w:pos="9062"/>
        </w:tabs>
        <w:ind w:left="440"/>
      </w:pPr>
      <w:hyperlink w:anchor="_Toc1882" w:history="1">
        <w:r>
          <w:rPr>
            <w:rFonts w:ascii="IRNazanin" w:hAnsi="IRNazanin" w:eastAsia="IRNazanin" w:cs="IRNazanin"/>
            <w:color w:val="111111"/>
            <w:sz w:val="22"/>
            <w:szCs w:val="22"/>
            <w:b w:val="0"/>
            <w:bCs w:val="0"/>
            <w:i w:val="0"/>
            <w:iCs w:val="0"/>
          </w:rPr>
          <w:t>1491- دیوان حسن یزدی أو شعره‏</w:t>
        </w:r>
        <w:r>
          <w:tab/>
        </w:r>
        <w:r>
          <w:fldChar w:fldCharType="begin"/>
        </w:r>
        <w:r>
          <w:instrText xml:space="preserve">PAGEREF 1882 \h</w:instrText>
        </w:r>
        <w:r>
          <w:fldChar w:fldCharType="end"/>
        </w:r>
      </w:hyperlink>
    </w:p>
    <w:p>
      <w:pPr>
        <w:tabs>
          <w:tab w:val="right" w:leader="dot" w:pos="9062"/>
        </w:tabs>
        <w:ind w:left="440"/>
      </w:pPr>
      <w:hyperlink w:anchor="_Toc1883" w:history="1">
        <w:r>
          <w:rPr>
            <w:rFonts w:ascii="IRNazanin" w:hAnsi="IRNazanin" w:eastAsia="IRNazanin" w:cs="IRNazanin"/>
            <w:color w:val="111111"/>
            <w:sz w:val="22"/>
            <w:szCs w:val="22"/>
            <w:b w:val="0"/>
            <w:bCs w:val="0"/>
            <w:i w:val="0"/>
            <w:iCs w:val="0"/>
          </w:rPr>
          <w:t>1492- دیوان حسنی أصفهانی أو شعره‏</w:t>
        </w:r>
        <w:r>
          <w:tab/>
        </w:r>
        <w:r>
          <w:fldChar w:fldCharType="begin"/>
        </w:r>
        <w:r>
          <w:instrText xml:space="preserve">PAGEREF 1883 \h</w:instrText>
        </w:r>
        <w:r>
          <w:fldChar w:fldCharType="end"/>
        </w:r>
      </w:hyperlink>
    </w:p>
    <w:p>
      <w:pPr>
        <w:tabs>
          <w:tab w:val="right" w:leader="dot" w:pos="9062"/>
        </w:tabs>
        <w:ind w:left="440"/>
      </w:pPr>
      <w:hyperlink w:anchor="_Toc1884" w:history="1">
        <w:r>
          <w:rPr>
            <w:rFonts w:ascii="IRNazanin" w:hAnsi="IRNazanin" w:eastAsia="IRNazanin" w:cs="IRNazanin"/>
            <w:color w:val="111111"/>
            <w:sz w:val="22"/>
            <w:szCs w:val="22"/>
            <w:b w:val="0"/>
            <w:bCs w:val="0"/>
            <w:i w:val="0"/>
            <w:iCs w:val="0"/>
          </w:rPr>
          <w:t>1493- دیوان حسنی کاشانی أو شعره‏</w:t>
        </w:r>
        <w:r>
          <w:tab/>
        </w:r>
        <w:r>
          <w:fldChar w:fldCharType="begin"/>
        </w:r>
        <w:r>
          <w:instrText xml:space="preserve">PAGEREF 1884 \h</w:instrText>
        </w:r>
        <w:r>
          <w:fldChar w:fldCharType="end"/>
        </w:r>
      </w:hyperlink>
    </w:p>
    <w:p>
      <w:pPr>
        <w:tabs>
          <w:tab w:val="right" w:leader="dot" w:pos="9062"/>
        </w:tabs>
        <w:ind w:left="440"/>
      </w:pPr>
      <w:hyperlink w:anchor="_Toc1885" w:history="1">
        <w:r>
          <w:rPr>
            <w:rFonts w:ascii="IRNazanin" w:hAnsi="IRNazanin" w:eastAsia="IRNazanin" w:cs="IRNazanin"/>
            <w:color w:val="111111"/>
            <w:sz w:val="22"/>
            <w:szCs w:val="22"/>
            <w:b w:val="0"/>
            <w:bCs w:val="0"/>
            <w:i w:val="0"/>
            <w:iCs w:val="0"/>
          </w:rPr>
          <w:t>دیوان حسین‏آشوب‏</w:t>
        </w:r>
        <w:r>
          <w:tab/>
        </w:r>
        <w:r>
          <w:fldChar w:fldCharType="begin"/>
        </w:r>
        <w:r>
          <w:instrText xml:space="preserve">PAGEREF 1885 \h</w:instrText>
        </w:r>
        <w:r>
          <w:fldChar w:fldCharType="end"/>
        </w:r>
      </w:hyperlink>
    </w:p>
    <w:p>
      <w:pPr>
        <w:tabs>
          <w:tab w:val="right" w:leader="dot" w:pos="9062"/>
        </w:tabs>
        <w:ind w:left="440"/>
      </w:pPr>
      <w:hyperlink w:anchor="_Toc1886" w:history="1">
        <w:r>
          <w:rPr>
            <w:rFonts w:ascii="IRNazanin" w:hAnsi="IRNazanin" w:eastAsia="IRNazanin" w:cs="IRNazanin"/>
            <w:color w:val="111111"/>
            <w:sz w:val="22"/>
            <w:szCs w:val="22"/>
            <w:b w:val="0"/>
            <w:bCs w:val="0"/>
            <w:i w:val="0"/>
            <w:iCs w:val="0"/>
          </w:rPr>
          <w:t>دیوان حسینا خوانساری‏</w:t>
        </w:r>
        <w:r>
          <w:tab/>
        </w:r>
        <w:r>
          <w:fldChar w:fldCharType="begin"/>
        </w:r>
        <w:r>
          <w:instrText xml:space="preserve">PAGEREF 1886 \h</w:instrText>
        </w:r>
        <w:r>
          <w:fldChar w:fldCharType="end"/>
        </w:r>
      </w:hyperlink>
    </w:p>
    <w:p>
      <w:pPr>
        <w:tabs>
          <w:tab w:val="right" w:leader="dot" w:pos="9062"/>
        </w:tabs>
        <w:ind w:left="440"/>
      </w:pPr>
      <w:hyperlink w:anchor="_Toc1887" w:history="1">
        <w:r>
          <w:rPr>
            <w:rFonts w:ascii="IRNazanin" w:hAnsi="IRNazanin" w:eastAsia="IRNazanin" w:cs="IRNazanin"/>
            <w:color w:val="111111"/>
            <w:sz w:val="22"/>
            <w:szCs w:val="22"/>
            <w:b w:val="0"/>
            <w:bCs w:val="0"/>
            <w:i w:val="0"/>
            <w:iCs w:val="0"/>
          </w:rPr>
          <w:t>1494- دیوان السید حسین بن المیر إبراهیم الحسینی القزوینی أو شعره‏</w:t>
        </w:r>
        <w:r>
          <w:tab/>
        </w:r>
        <w:r>
          <w:fldChar w:fldCharType="begin"/>
        </w:r>
        <w:r>
          <w:instrText xml:space="preserve">PAGEREF 1887 \h</w:instrText>
        </w:r>
        <w:r>
          <w:fldChar w:fldCharType="end"/>
        </w:r>
      </w:hyperlink>
    </w:p>
    <w:p>
      <w:pPr>
        <w:tabs>
          <w:tab w:val="right" w:leader="dot" w:pos="9062"/>
        </w:tabs>
        <w:ind w:left="440"/>
      </w:pPr>
      <w:hyperlink w:anchor="_Toc1888" w:history="1">
        <w:r>
          <w:rPr>
            <w:rFonts w:ascii="IRNazanin" w:hAnsi="IRNazanin" w:eastAsia="IRNazanin" w:cs="IRNazanin"/>
            <w:color w:val="111111"/>
            <w:sz w:val="22"/>
            <w:szCs w:val="22"/>
            <w:b w:val="0"/>
            <w:bCs w:val="0"/>
            <w:i w:val="0"/>
            <w:iCs w:val="0"/>
          </w:rPr>
          <w:t>1495- دیوان المیرزا محمد حسین بن میرزا إبراهیم‏</w:t>
        </w:r>
        <w:r>
          <w:tab/>
        </w:r>
        <w:r>
          <w:fldChar w:fldCharType="begin"/>
        </w:r>
        <w:r>
          <w:instrText xml:space="preserve">PAGEREF 1888 \h</w:instrText>
        </w:r>
        <w:r>
          <w:fldChar w:fldCharType="end"/>
        </w:r>
      </w:hyperlink>
    </w:p>
    <w:p>
      <w:pPr>
        <w:tabs>
          <w:tab w:val="right" w:leader="dot" w:pos="9062"/>
        </w:tabs>
        <w:ind w:left="440"/>
      </w:pPr>
      <w:hyperlink w:anchor="_Toc1889" w:history="1">
        <w:r>
          <w:rPr>
            <w:rFonts w:ascii="IRNazanin" w:hAnsi="IRNazanin" w:eastAsia="IRNazanin" w:cs="IRNazanin"/>
            <w:color w:val="111111"/>
            <w:sz w:val="22"/>
            <w:szCs w:val="22"/>
            <w:b w:val="0"/>
            <w:bCs w:val="0"/>
            <w:i w:val="0"/>
            <w:iCs w:val="0"/>
          </w:rPr>
          <w:t>دیوان الحسین بن محمد بن جعفر بن محمد بن الحجاج‏</w:t>
        </w:r>
        <w:r>
          <w:tab/>
        </w:r>
        <w:r>
          <w:fldChar w:fldCharType="begin"/>
        </w:r>
        <w:r>
          <w:instrText xml:space="preserve">PAGEREF 1889 \h</w:instrText>
        </w:r>
        <w:r>
          <w:fldChar w:fldCharType="end"/>
        </w:r>
      </w:hyperlink>
    </w:p>
    <w:p>
      <w:pPr>
        <w:tabs>
          <w:tab w:val="right" w:leader="dot" w:pos="9062"/>
        </w:tabs>
        <w:ind w:left="440"/>
      </w:pPr>
      <w:hyperlink w:anchor="_Toc1890" w:history="1">
        <w:r>
          <w:rPr>
            <w:rFonts w:ascii="IRNazanin" w:hAnsi="IRNazanin" w:eastAsia="IRNazanin" w:cs="IRNazanin"/>
            <w:color w:val="111111"/>
            <w:sz w:val="22"/>
            <w:szCs w:val="22"/>
            <w:b w:val="0"/>
            <w:bCs w:val="0"/>
            <w:i w:val="0"/>
            <w:iCs w:val="0"/>
          </w:rPr>
          <w:t>دیوان حسین بن الأبرز</w:t>
        </w:r>
        <w:r>
          <w:tab/>
        </w:r>
        <w:r>
          <w:fldChar w:fldCharType="begin"/>
        </w:r>
        <w:r>
          <w:instrText xml:space="preserve">PAGEREF 1890 \h</w:instrText>
        </w:r>
        <w:r>
          <w:fldChar w:fldCharType="end"/>
        </w:r>
      </w:hyperlink>
    </w:p>
    <w:p>
      <w:pPr>
        <w:tabs>
          <w:tab w:val="right" w:leader="dot" w:pos="9062"/>
        </w:tabs>
        <w:ind w:left="440"/>
      </w:pPr>
      <w:hyperlink w:anchor="_Toc1891" w:history="1">
        <w:r>
          <w:rPr>
            <w:rFonts w:ascii="IRNazanin" w:hAnsi="IRNazanin" w:eastAsia="IRNazanin" w:cs="IRNazanin"/>
            <w:color w:val="111111"/>
            <w:sz w:val="22"/>
            <w:szCs w:val="22"/>
            <w:b w:val="0"/>
            <w:bCs w:val="0"/>
            <w:i w:val="0"/>
            <w:iCs w:val="0"/>
          </w:rPr>
          <w:t>1496- دیوان الآقا حسین بن الآقا جمال الخوانساری‏</w:t>
        </w:r>
        <w:r>
          <w:tab/>
        </w:r>
        <w:r>
          <w:fldChar w:fldCharType="begin"/>
        </w:r>
        <w:r>
          <w:instrText xml:space="preserve">PAGEREF 1891 \h</w:instrText>
        </w:r>
        <w:r>
          <w:fldChar w:fldCharType="end"/>
        </w:r>
      </w:hyperlink>
    </w:p>
    <w:p>
      <w:pPr>
        <w:tabs>
          <w:tab w:val="right" w:leader="dot" w:pos="9062"/>
        </w:tabs>
        <w:ind w:left="440"/>
      </w:pPr>
      <w:hyperlink w:anchor="_Toc1892" w:history="1">
        <w:r>
          <w:rPr>
            <w:rFonts w:ascii="IRNazanin" w:hAnsi="IRNazanin" w:eastAsia="IRNazanin" w:cs="IRNazanin"/>
            <w:color w:val="111111"/>
            <w:sz w:val="22"/>
            <w:szCs w:val="22"/>
            <w:b w:val="0"/>
            <w:bCs w:val="0"/>
            <w:i w:val="0"/>
            <w:iCs w:val="0"/>
          </w:rPr>
          <w:t>1497- دیوان المولی حسین بن الحسن الکاشانی‏</w:t>
        </w:r>
        <w:r>
          <w:tab/>
        </w:r>
        <w:r>
          <w:fldChar w:fldCharType="begin"/>
        </w:r>
        <w:r>
          <w:instrText xml:space="preserve">PAGEREF 1892 \h</w:instrText>
        </w:r>
        <w:r>
          <w:fldChar w:fldCharType="end"/>
        </w:r>
      </w:hyperlink>
    </w:p>
    <w:p>
      <w:pPr>
        <w:tabs>
          <w:tab w:val="right" w:leader="dot" w:pos="9062"/>
        </w:tabs>
        <w:ind w:left="440"/>
      </w:pPr>
      <w:hyperlink w:anchor="_Toc1893" w:history="1">
        <w:r>
          <w:rPr>
            <w:rFonts w:ascii="IRNazanin" w:hAnsi="IRNazanin" w:eastAsia="IRNazanin" w:cs="IRNazanin"/>
            <w:color w:val="111111"/>
            <w:sz w:val="22"/>
            <w:szCs w:val="22"/>
            <w:b w:val="0"/>
            <w:bCs w:val="0"/>
            <w:i w:val="0"/>
            <w:iCs w:val="0"/>
          </w:rPr>
          <w:t>1498- دیوان الشیخ محمد حسین بن محمد حسن الأصفهانی الکمپانی النجفی‏</w:t>
        </w:r>
        <w:r>
          <w:tab/>
        </w:r>
        <w:r>
          <w:fldChar w:fldCharType="begin"/>
        </w:r>
        <w:r>
          <w:instrText xml:space="preserve">PAGEREF 1893 \h</w:instrText>
        </w:r>
        <w:r>
          <w:fldChar w:fldCharType="end"/>
        </w:r>
      </w:hyperlink>
    </w:p>
    <w:p>
      <w:pPr>
        <w:tabs>
          <w:tab w:val="right" w:leader="dot" w:pos="9062"/>
        </w:tabs>
        <w:ind w:left="440"/>
      </w:pPr>
      <w:hyperlink w:anchor="_Toc1894" w:history="1">
        <w:r>
          <w:rPr>
            <w:rFonts w:ascii="IRNazanin" w:hAnsi="IRNazanin" w:eastAsia="IRNazanin" w:cs="IRNazanin"/>
            <w:color w:val="111111"/>
            <w:sz w:val="22"/>
            <w:szCs w:val="22"/>
            <w:b w:val="0"/>
            <w:bCs w:val="0"/>
            <w:i w:val="0"/>
            <w:iCs w:val="0"/>
          </w:rPr>
          <w:t>1499- دیوان السید حسین بن حسن الغریفی البحرانی‏</w:t>
        </w:r>
        <w:r>
          <w:tab/>
        </w:r>
        <w:r>
          <w:fldChar w:fldCharType="begin"/>
        </w:r>
        <w:r>
          <w:instrText xml:space="preserve">PAGEREF 1894 \h</w:instrText>
        </w:r>
        <w:r>
          <w:fldChar w:fldCharType="end"/>
        </w:r>
      </w:hyperlink>
    </w:p>
    <w:p>
      <w:pPr>
        <w:tabs>
          <w:tab w:val="right" w:leader="dot" w:pos="9062"/>
        </w:tabs>
        <w:ind w:left="440"/>
      </w:pPr>
      <w:hyperlink w:anchor="_Toc1895" w:history="1">
        <w:r>
          <w:rPr>
            <w:rFonts w:ascii="IRNazanin" w:hAnsi="IRNazanin" w:eastAsia="IRNazanin" w:cs="IRNazanin"/>
            <w:color w:val="111111"/>
            <w:sz w:val="22"/>
            <w:szCs w:val="22"/>
            <w:b w:val="0"/>
            <w:bCs w:val="0"/>
            <w:i w:val="0"/>
            <w:iCs w:val="0"/>
          </w:rPr>
          <w:t>دیوان الحاج محمد حسین بن حسن القزوینی الشیرازی‏</w:t>
        </w:r>
        <w:r>
          <w:tab/>
        </w:r>
        <w:r>
          <w:fldChar w:fldCharType="begin"/>
        </w:r>
        <w:r>
          <w:instrText xml:space="preserve">PAGEREF 1895 \h</w:instrText>
        </w:r>
        <w:r>
          <w:fldChar w:fldCharType="end"/>
        </w:r>
      </w:hyperlink>
    </w:p>
    <w:p>
      <w:pPr>
        <w:tabs>
          <w:tab w:val="right" w:leader="dot" w:pos="9062"/>
        </w:tabs>
        <w:ind w:left="440"/>
      </w:pPr>
      <w:hyperlink w:anchor="_Toc1896" w:history="1">
        <w:r>
          <w:rPr>
            <w:rFonts w:ascii="IRNazanin" w:hAnsi="IRNazanin" w:eastAsia="IRNazanin" w:cs="IRNazanin"/>
            <w:color w:val="111111"/>
            <w:sz w:val="22"/>
            <w:szCs w:val="22"/>
            <w:b w:val="0"/>
            <w:bCs w:val="0"/>
            <w:i w:val="0"/>
            <w:iCs w:val="0"/>
          </w:rPr>
          <w:t>1500- دیوان الشیخ حسین بن حسن نور الدین العاملی‏</w:t>
        </w:r>
        <w:r>
          <w:tab/>
        </w:r>
        <w:r>
          <w:fldChar w:fldCharType="begin"/>
        </w:r>
        <w:r>
          <w:instrText xml:space="preserve">PAGEREF 1896 \h</w:instrText>
        </w:r>
        <w:r>
          <w:fldChar w:fldCharType="end"/>
        </w:r>
      </w:hyperlink>
    </w:p>
    <w:p>
      <w:pPr>
        <w:tabs>
          <w:tab w:val="right" w:leader="dot" w:pos="9062"/>
        </w:tabs>
        <w:ind w:left="440"/>
      </w:pPr>
      <w:hyperlink w:anchor="_Toc1897" w:history="1">
        <w:r>
          <w:rPr>
            <w:rFonts w:ascii="IRNazanin" w:hAnsi="IRNazanin" w:eastAsia="IRNazanin" w:cs="IRNazanin"/>
            <w:color w:val="111111"/>
            <w:sz w:val="22"/>
            <w:szCs w:val="22"/>
            <w:b w:val="0"/>
            <w:bCs w:val="0"/>
            <w:i w:val="0"/>
            <w:iCs w:val="0"/>
          </w:rPr>
          <w:t>دیوان حسین بن خاندار</w:t>
        </w:r>
        <w:r>
          <w:tab/>
        </w:r>
        <w:r>
          <w:fldChar w:fldCharType="begin"/>
        </w:r>
        <w:r>
          <w:instrText xml:space="preserve">PAGEREF 1897 \h</w:instrText>
        </w:r>
        <w:r>
          <w:fldChar w:fldCharType="end"/>
        </w:r>
      </w:hyperlink>
    </w:p>
    <w:p>
      <w:pPr>
        <w:tabs>
          <w:tab w:val="right" w:leader="dot" w:pos="9062"/>
        </w:tabs>
        <w:ind w:left="440"/>
      </w:pPr>
      <w:hyperlink w:anchor="_Toc1898" w:history="1">
        <w:r>
          <w:rPr>
            <w:rFonts w:ascii="IRNazanin" w:hAnsi="IRNazanin" w:eastAsia="IRNazanin" w:cs="IRNazanin"/>
            <w:color w:val="111111"/>
            <w:sz w:val="22"/>
            <w:szCs w:val="22"/>
            <w:b w:val="0"/>
            <w:bCs w:val="0"/>
            <w:i w:val="0"/>
            <w:iCs w:val="0"/>
          </w:rPr>
          <w:t>1501- دیوان السید حسین بن المیر رشید الرضوی النجفی الحائری‏</w:t>
        </w:r>
        <w:r>
          <w:tab/>
        </w:r>
        <w:r>
          <w:fldChar w:fldCharType="begin"/>
        </w:r>
        <w:r>
          <w:instrText xml:space="preserve">PAGEREF 1898 \h</w:instrText>
        </w:r>
        <w:r>
          <w:fldChar w:fldCharType="end"/>
        </w:r>
      </w:hyperlink>
    </w:p>
    <w:p>
      <w:pPr>
        <w:tabs>
          <w:tab w:val="right" w:leader="dot" w:pos="9062"/>
        </w:tabs>
        <w:ind w:left="440"/>
      </w:pPr>
      <w:hyperlink w:anchor="_Toc1899" w:history="1">
        <w:r>
          <w:rPr>
            <w:rFonts w:ascii="IRNazanin" w:hAnsi="IRNazanin" w:eastAsia="IRNazanin" w:cs="IRNazanin"/>
            <w:color w:val="111111"/>
            <w:sz w:val="22"/>
            <w:szCs w:val="22"/>
            <w:b w:val="0"/>
            <w:bCs w:val="0"/>
            <w:i w:val="0"/>
            <w:iCs w:val="0"/>
          </w:rPr>
          <w:t>1502- دیوان السید حسین بن السید رضا</w:t>
        </w:r>
        <w:r>
          <w:tab/>
        </w:r>
        <w:r>
          <w:fldChar w:fldCharType="begin"/>
        </w:r>
        <w:r>
          <w:instrText xml:space="preserve">PAGEREF 1899 \h</w:instrText>
        </w:r>
        <w:r>
          <w:fldChar w:fldCharType="end"/>
        </w:r>
      </w:hyperlink>
    </w:p>
    <w:p>
      <w:pPr>
        <w:tabs>
          <w:tab w:val="right" w:leader="dot" w:pos="9062"/>
        </w:tabs>
        <w:ind w:left="440"/>
      </w:pPr>
      <w:hyperlink w:anchor="_Toc1900" w:history="1">
        <w:r>
          <w:rPr>
            <w:rFonts w:ascii="IRNazanin" w:hAnsi="IRNazanin" w:eastAsia="IRNazanin" w:cs="IRNazanin"/>
            <w:color w:val="111111"/>
            <w:sz w:val="22"/>
            <w:szCs w:val="22"/>
            <w:b w:val="0"/>
            <w:bCs w:val="0"/>
            <w:i w:val="0"/>
            <w:iCs w:val="0"/>
          </w:rPr>
          <w:t>1503- دیوان حسین بن شدقم‏</w:t>
        </w:r>
        <w:r>
          <w:tab/>
        </w:r>
        <w:r>
          <w:fldChar w:fldCharType="begin"/>
        </w:r>
        <w:r>
          <w:instrText xml:space="preserve">PAGEREF 1900 \h</w:instrText>
        </w:r>
        <w:r>
          <w:fldChar w:fldCharType="end"/>
        </w:r>
      </w:hyperlink>
    </w:p>
    <w:p>
      <w:pPr>
        <w:tabs>
          <w:tab w:val="right" w:leader="dot" w:pos="9062"/>
        </w:tabs>
        <w:ind w:left="440"/>
      </w:pPr>
      <w:hyperlink w:anchor="_Toc1901" w:history="1">
        <w:r>
          <w:rPr>
            <w:rFonts w:ascii="IRNazanin" w:hAnsi="IRNazanin" w:eastAsia="IRNazanin" w:cs="IRNazanin"/>
            <w:color w:val="111111"/>
            <w:sz w:val="22"/>
            <w:szCs w:val="22"/>
            <w:b w:val="0"/>
            <w:bCs w:val="0"/>
            <w:i w:val="0"/>
            <w:iCs w:val="0"/>
          </w:rPr>
          <w:t>1504- دیوان الشیخ حسین بن شهاب الدین‏</w:t>
        </w:r>
        <w:r>
          <w:tab/>
        </w:r>
        <w:r>
          <w:fldChar w:fldCharType="begin"/>
        </w:r>
        <w:r>
          <w:instrText xml:space="preserve">PAGEREF 1901 \h</w:instrText>
        </w:r>
        <w:r>
          <w:fldChar w:fldCharType="end"/>
        </w:r>
      </w:hyperlink>
    </w:p>
    <w:p>
      <w:pPr>
        <w:tabs>
          <w:tab w:val="right" w:leader="dot" w:pos="9062"/>
        </w:tabs>
        <w:ind w:left="440"/>
      </w:pPr>
      <w:hyperlink w:anchor="_Toc1902" w:history="1">
        <w:r>
          <w:rPr>
            <w:rFonts w:ascii="IRNazanin" w:hAnsi="IRNazanin" w:eastAsia="IRNazanin" w:cs="IRNazanin"/>
            <w:color w:val="111111"/>
            <w:sz w:val="22"/>
            <w:szCs w:val="22"/>
            <w:b w:val="0"/>
            <w:bCs w:val="0"/>
            <w:i w:val="0"/>
            <w:iCs w:val="0"/>
          </w:rPr>
          <w:t>1505- دیوان المولی محمد حسین بن المولی محمد صالح المازندرانی‏</w:t>
        </w:r>
        <w:r>
          <w:tab/>
        </w:r>
        <w:r>
          <w:fldChar w:fldCharType="begin"/>
        </w:r>
        <w:r>
          <w:instrText xml:space="preserve">PAGEREF 1902 \h</w:instrText>
        </w:r>
        <w:r>
          <w:fldChar w:fldCharType="end"/>
        </w:r>
      </w:hyperlink>
    </w:p>
    <w:p>
      <w:pPr>
        <w:tabs>
          <w:tab w:val="right" w:leader="dot" w:pos="9062"/>
        </w:tabs>
        <w:ind w:left="440"/>
      </w:pPr>
      <w:hyperlink w:anchor="_Toc1903" w:history="1">
        <w:r>
          <w:rPr>
            <w:rFonts w:ascii="IRNazanin" w:hAnsi="IRNazanin" w:eastAsia="IRNazanin" w:cs="IRNazanin"/>
            <w:color w:val="111111"/>
            <w:sz w:val="22"/>
            <w:szCs w:val="22"/>
            <w:b w:val="0"/>
            <w:bCs w:val="0"/>
            <w:i w:val="0"/>
            <w:iCs w:val="0"/>
          </w:rPr>
          <w:t>دیوان حسین بن عالم‏</w:t>
        </w:r>
        <w:r>
          <w:tab/>
        </w:r>
        <w:r>
          <w:fldChar w:fldCharType="begin"/>
        </w:r>
        <w:r>
          <w:instrText xml:space="preserve">PAGEREF 1903 \h</w:instrText>
        </w:r>
        <w:r>
          <w:fldChar w:fldCharType="end"/>
        </w:r>
      </w:hyperlink>
    </w:p>
    <w:p>
      <w:pPr>
        <w:tabs>
          <w:tab w:val="right" w:leader="dot" w:pos="9062"/>
        </w:tabs>
        <w:ind w:left="440"/>
      </w:pPr>
      <w:hyperlink w:anchor="_Toc1904" w:history="1">
        <w:r>
          <w:rPr>
            <w:rFonts w:ascii="IRNazanin" w:hAnsi="IRNazanin" w:eastAsia="IRNazanin" w:cs="IRNazanin"/>
            <w:color w:val="111111"/>
            <w:sz w:val="22"/>
            <w:szCs w:val="22"/>
            <w:b w:val="0"/>
            <w:bCs w:val="0"/>
            <w:i w:val="0"/>
            <w:iCs w:val="0"/>
          </w:rPr>
          <w:t>1506- دیوان الشیخ عز الدین حسین بن عبد الصمد الحارثی العاملی‏</w:t>
        </w:r>
        <w:r>
          <w:tab/>
        </w:r>
        <w:r>
          <w:fldChar w:fldCharType="begin"/>
        </w:r>
        <w:r>
          <w:instrText xml:space="preserve">PAGEREF 1904 \h</w:instrText>
        </w:r>
        <w:r>
          <w:fldChar w:fldCharType="end"/>
        </w:r>
      </w:hyperlink>
    </w:p>
    <w:p>
      <w:pPr>
        <w:tabs>
          <w:tab w:val="right" w:leader="dot" w:pos="9062"/>
        </w:tabs>
        <w:ind w:left="440"/>
      </w:pPr>
      <w:hyperlink w:anchor="_Toc1905" w:history="1">
        <w:r>
          <w:rPr>
            <w:rFonts w:ascii="IRNazanin" w:hAnsi="IRNazanin" w:eastAsia="IRNazanin" w:cs="IRNazanin"/>
            <w:color w:val="111111"/>
            <w:sz w:val="22"/>
            <w:szCs w:val="22"/>
            <w:b w:val="0"/>
            <w:bCs w:val="0"/>
            <w:i w:val="0"/>
            <w:iCs w:val="0"/>
          </w:rPr>
          <w:t>1507- دیوان الإمام الحسین بن علی بن أبی طالب ع‏</w:t>
        </w:r>
        <w:r>
          <w:tab/>
        </w:r>
        <w:r>
          <w:fldChar w:fldCharType="begin"/>
        </w:r>
        <w:r>
          <w:instrText xml:space="preserve">PAGEREF 1905 \h</w:instrText>
        </w:r>
        <w:r>
          <w:fldChar w:fldCharType="end"/>
        </w:r>
      </w:hyperlink>
    </w:p>
    <w:p>
      <w:pPr>
        <w:tabs>
          <w:tab w:val="right" w:leader="dot" w:pos="9062"/>
        </w:tabs>
        <w:ind w:left="440"/>
      </w:pPr>
      <w:hyperlink w:anchor="_Toc1906" w:history="1">
        <w:r>
          <w:rPr>
            <w:rFonts w:ascii="IRNazanin" w:hAnsi="IRNazanin" w:eastAsia="IRNazanin" w:cs="IRNazanin"/>
            <w:color w:val="111111"/>
            <w:sz w:val="22"/>
            <w:szCs w:val="22"/>
            <w:b w:val="0"/>
            <w:bCs w:val="0"/>
            <w:i w:val="0"/>
            <w:iCs w:val="0"/>
          </w:rPr>
          <w:t>دیوان الحسین بن علی الطغرائی‏</w:t>
        </w:r>
        <w:r>
          <w:tab/>
        </w:r>
        <w:r>
          <w:fldChar w:fldCharType="begin"/>
        </w:r>
        <w:r>
          <w:instrText xml:space="preserve">PAGEREF 1906 \h</w:instrText>
        </w:r>
        <w:r>
          <w:fldChar w:fldCharType="end"/>
        </w:r>
      </w:hyperlink>
    </w:p>
    <w:p>
      <w:pPr>
        <w:tabs>
          <w:tab w:val="right" w:leader="dot" w:pos="9062"/>
        </w:tabs>
        <w:ind w:left="440"/>
      </w:pPr>
      <w:hyperlink w:anchor="_Toc1907" w:history="1">
        <w:r>
          <w:rPr>
            <w:rFonts w:ascii="IRNazanin" w:hAnsi="IRNazanin" w:eastAsia="IRNazanin" w:cs="IRNazanin"/>
            <w:color w:val="111111"/>
            <w:sz w:val="22"/>
            <w:szCs w:val="22"/>
            <w:b w:val="0"/>
            <w:bCs w:val="0"/>
            <w:i w:val="0"/>
            <w:iCs w:val="0"/>
          </w:rPr>
          <w:t>دیوان الحسین بن علی الوزیر المغربی‏</w:t>
        </w:r>
        <w:r>
          <w:tab/>
        </w:r>
        <w:r>
          <w:fldChar w:fldCharType="begin"/>
        </w:r>
        <w:r>
          <w:instrText xml:space="preserve">PAGEREF 1907 \h</w:instrText>
        </w:r>
        <w:r>
          <w:fldChar w:fldCharType="end"/>
        </w:r>
      </w:hyperlink>
    </w:p>
    <w:p>
      <w:pPr>
        <w:tabs>
          <w:tab w:val="right" w:leader="dot" w:pos="9062"/>
        </w:tabs>
        <w:ind w:left="440"/>
      </w:pPr>
      <w:hyperlink w:anchor="_Toc1908" w:history="1">
        <w:r>
          <w:rPr>
            <w:rFonts w:ascii="IRNazanin" w:hAnsi="IRNazanin" w:eastAsia="IRNazanin" w:cs="IRNazanin"/>
            <w:color w:val="111111"/>
            <w:sz w:val="22"/>
            <w:szCs w:val="22"/>
            <w:b w:val="0"/>
            <w:bCs w:val="0"/>
            <w:i w:val="0"/>
            <w:iCs w:val="0"/>
          </w:rPr>
          <w:t>1508- دیوان الحسین بن علی بن جواد محفوظ العاملی الهرملی الکاظمی‏</w:t>
        </w:r>
        <w:r>
          <w:tab/>
        </w:r>
        <w:r>
          <w:fldChar w:fldCharType="begin"/>
        </w:r>
        <w:r>
          <w:instrText xml:space="preserve">PAGEREF 1908 \h</w:instrText>
        </w:r>
        <w:r>
          <w:fldChar w:fldCharType="end"/>
        </w:r>
      </w:hyperlink>
    </w:p>
    <w:p>
      <w:pPr>
        <w:tabs>
          <w:tab w:val="right" w:leader="dot" w:pos="9062"/>
        </w:tabs>
        <w:ind w:left="440"/>
      </w:pPr>
      <w:hyperlink w:anchor="_Toc1909" w:history="1">
        <w:r>
          <w:rPr>
            <w:rFonts w:ascii="IRNazanin" w:hAnsi="IRNazanin" w:eastAsia="IRNazanin" w:cs="IRNazanin"/>
            <w:color w:val="111111"/>
            <w:sz w:val="22"/>
            <w:szCs w:val="22"/>
            <w:b w:val="0"/>
            <w:bCs w:val="0"/>
            <w:i w:val="0"/>
            <w:iCs w:val="0"/>
          </w:rPr>
          <w:t>1509- دیوان السید محمد حسین بن کاظم‏</w:t>
        </w:r>
        <w:r>
          <w:tab/>
        </w:r>
        <w:r>
          <w:fldChar w:fldCharType="begin"/>
        </w:r>
        <w:r>
          <w:instrText xml:space="preserve">PAGEREF 1909 \h</w:instrText>
        </w:r>
        <w:r>
          <w:fldChar w:fldCharType="end"/>
        </w:r>
      </w:hyperlink>
    </w:p>
    <w:p>
      <w:pPr>
        <w:tabs>
          <w:tab w:val="right" w:leader="dot" w:pos="9062"/>
        </w:tabs>
        <w:ind w:left="440"/>
      </w:pPr>
      <w:hyperlink w:anchor="_Toc1910" w:history="1">
        <w:r>
          <w:rPr>
            <w:rFonts w:ascii="IRNazanin" w:hAnsi="IRNazanin" w:eastAsia="IRNazanin" w:cs="IRNazanin"/>
            <w:color w:val="111111"/>
            <w:sz w:val="22"/>
            <w:szCs w:val="22"/>
            <w:b w:val="0"/>
            <w:bCs w:val="0"/>
            <w:i w:val="0"/>
            <w:iCs w:val="0"/>
          </w:rPr>
          <w:t>1510- دیوان حسین بن کمال الدین بن الأبرز أو شعره‏</w:t>
        </w:r>
        <w:r>
          <w:tab/>
        </w:r>
        <w:r>
          <w:fldChar w:fldCharType="begin"/>
        </w:r>
        <w:r>
          <w:instrText xml:space="preserve">PAGEREF 1910 \h</w:instrText>
        </w:r>
        <w:r>
          <w:fldChar w:fldCharType="end"/>
        </w:r>
      </w:hyperlink>
    </w:p>
    <w:p>
      <w:pPr>
        <w:tabs>
          <w:tab w:val="right" w:leader="dot" w:pos="9062"/>
        </w:tabs>
        <w:ind w:left="440"/>
      </w:pPr>
      <w:hyperlink w:anchor="_Toc1911" w:history="1">
        <w:r>
          <w:rPr>
            <w:rFonts w:ascii="IRNazanin" w:hAnsi="IRNazanin" w:eastAsia="IRNazanin" w:cs="IRNazanin"/>
            <w:color w:val="111111"/>
            <w:sz w:val="22"/>
            <w:szCs w:val="22"/>
            <w:b w:val="0"/>
            <w:bCs w:val="0"/>
            <w:i w:val="0"/>
            <w:iCs w:val="0"/>
          </w:rPr>
          <w:t>دیوان الحسین بن محمد</w:t>
        </w:r>
        <w:r>
          <w:tab/>
        </w:r>
        <w:r>
          <w:fldChar w:fldCharType="begin"/>
        </w:r>
        <w:r>
          <w:instrText xml:space="preserve">PAGEREF 1911 \h</w:instrText>
        </w:r>
        <w:r>
          <w:fldChar w:fldCharType="end"/>
        </w:r>
      </w:hyperlink>
    </w:p>
    <w:p>
      <w:pPr>
        <w:tabs>
          <w:tab w:val="right" w:leader="dot" w:pos="9062"/>
        </w:tabs>
        <w:ind w:left="440"/>
      </w:pPr>
      <w:hyperlink w:anchor="_Toc1912" w:history="1">
        <w:r>
          <w:rPr>
            <w:rFonts w:ascii="IRNazanin" w:hAnsi="IRNazanin" w:eastAsia="IRNazanin" w:cs="IRNazanin"/>
            <w:color w:val="111111"/>
            <w:sz w:val="22"/>
            <w:szCs w:val="22"/>
            <w:b w:val="0"/>
            <w:bCs w:val="0"/>
            <w:i w:val="0"/>
            <w:iCs w:val="0"/>
          </w:rPr>
          <w:t>1511- دیوان الشیخ حسین بن محیی الدین‏</w:t>
        </w:r>
        <w:r>
          <w:tab/>
        </w:r>
        <w:r>
          <w:fldChar w:fldCharType="begin"/>
        </w:r>
        <w:r>
          <w:instrText xml:space="preserve">PAGEREF 1912 \h</w:instrText>
        </w:r>
        <w:r>
          <w:fldChar w:fldCharType="end"/>
        </w:r>
      </w:hyperlink>
    </w:p>
    <w:p>
      <w:pPr>
        <w:tabs>
          <w:tab w:val="right" w:leader="dot" w:pos="9062"/>
        </w:tabs>
        <w:ind w:left="440"/>
      </w:pPr>
      <w:hyperlink w:anchor="_Toc1913" w:history="1">
        <w:r>
          <w:rPr>
            <w:rFonts w:ascii="IRNazanin" w:hAnsi="IRNazanin" w:eastAsia="IRNazanin" w:cs="IRNazanin"/>
            <w:color w:val="111111"/>
            <w:sz w:val="22"/>
            <w:szCs w:val="22"/>
            <w:b w:val="0"/>
            <w:bCs w:val="0"/>
            <w:i w:val="0"/>
            <w:iCs w:val="0"/>
          </w:rPr>
          <w:t>1512- دیوان الشیخ حسین بن الحاج نجف‏</w:t>
        </w:r>
        <w:r>
          <w:tab/>
        </w:r>
        <w:r>
          <w:fldChar w:fldCharType="begin"/>
        </w:r>
        <w:r>
          <w:instrText xml:space="preserve">PAGEREF 1913 \h</w:instrText>
        </w:r>
        <w:r>
          <w:fldChar w:fldCharType="end"/>
        </w:r>
      </w:hyperlink>
    </w:p>
    <w:p>
      <w:pPr>
        <w:tabs>
          <w:tab w:val="right" w:leader="dot" w:pos="9062"/>
        </w:tabs>
        <w:ind w:left="440"/>
      </w:pPr>
      <w:hyperlink w:anchor="_Toc1914" w:history="1">
        <w:r>
          <w:rPr>
            <w:rFonts w:ascii="IRNazanin" w:hAnsi="IRNazanin" w:eastAsia="IRNazanin" w:cs="IRNazanin"/>
            <w:color w:val="111111"/>
            <w:sz w:val="22"/>
            <w:szCs w:val="22"/>
            <w:b w:val="0"/>
            <w:bCs w:val="0"/>
            <w:i w:val="0"/>
            <w:iCs w:val="0"/>
          </w:rPr>
          <w:t>1513- دیوان محمد حسین الأرجانی‏</w:t>
        </w:r>
        <w:r>
          <w:tab/>
        </w:r>
        <w:r>
          <w:fldChar w:fldCharType="begin"/>
        </w:r>
        <w:r>
          <w:instrText xml:space="preserve">PAGEREF 1914 \h</w:instrText>
        </w:r>
        <w:r>
          <w:fldChar w:fldCharType="end"/>
        </w:r>
      </w:hyperlink>
    </w:p>
    <w:p>
      <w:pPr>
        <w:tabs>
          <w:tab w:val="right" w:leader="dot" w:pos="9062"/>
        </w:tabs>
        <w:ind w:left="440"/>
      </w:pPr>
      <w:hyperlink w:anchor="_Toc1915" w:history="1">
        <w:r>
          <w:rPr>
            <w:rFonts w:ascii="IRNazanin" w:hAnsi="IRNazanin" w:eastAsia="IRNazanin" w:cs="IRNazanin"/>
            <w:color w:val="111111"/>
            <w:sz w:val="22"/>
            <w:szCs w:val="22"/>
            <w:b w:val="0"/>
            <w:bCs w:val="0"/>
            <w:i w:val="0"/>
            <w:iCs w:val="0"/>
          </w:rPr>
          <w:t>1514- دیوان حسین أصفهانی أو شعره‏</w:t>
        </w:r>
        <w:r>
          <w:tab/>
        </w:r>
        <w:r>
          <w:fldChar w:fldCharType="begin"/>
        </w:r>
        <w:r>
          <w:instrText xml:space="preserve">PAGEREF 1915 \h</w:instrText>
        </w:r>
        <w:r>
          <w:fldChar w:fldCharType="end"/>
        </w:r>
      </w:hyperlink>
    </w:p>
    <w:p>
      <w:pPr>
        <w:tabs>
          <w:tab w:val="right" w:leader="dot" w:pos="9062"/>
        </w:tabs>
        <w:ind w:left="440"/>
      </w:pPr>
      <w:hyperlink w:anchor="_Toc1916" w:history="1">
        <w:r>
          <w:rPr>
            <w:rFonts w:ascii="IRNazanin" w:hAnsi="IRNazanin" w:eastAsia="IRNazanin" w:cs="IRNazanin"/>
            <w:color w:val="111111"/>
            <w:sz w:val="22"/>
            <w:szCs w:val="22"/>
            <w:b w:val="0"/>
            <w:bCs w:val="0"/>
            <w:i w:val="0"/>
            <w:iCs w:val="0"/>
          </w:rPr>
          <w:t>دیوان حسین بایقرا</w:t>
        </w:r>
        <w:r>
          <w:tab/>
        </w:r>
        <w:r>
          <w:fldChar w:fldCharType="begin"/>
        </w:r>
        <w:r>
          <w:instrText xml:space="preserve">PAGEREF 1916 \h</w:instrText>
        </w:r>
        <w:r>
          <w:fldChar w:fldCharType="end"/>
        </w:r>
      </w:hyperlink>
    </w:p>
    <w:p>
      <w:pPr>
        <w:tabs>
          <w:tab w:val="right" w:leader="dot" w:pos="9062"/>
        </w:tabs>
        <w:ind w:left="440"/>
      </w:pPr>
      <w:hyperlink w:anchor="_Toc1917" w:history="1">
        <w:r>
          <w:rPr>
            <w:rFonts w:ascii="IRNazanin" w:hAnsi="IRNazanin" w:eastAsia="IRNazanin" w:cs="IRNazanin"/>
            <w:color w:val="111111"/>
            <w:sz w:val="22"/>
            <w:szCs w:val="22"/>
            <w:b w:val="0"/>
            <w:bCs w:val="0"/>
            <w:i w:val="0"/>
            <w:iCs w:val="0"/>
          </w:rPr>
          <w:t>1515- دیوان المیرزا حسین البرمکی الخطیب أو شعره‏</w:t>
        </w:r>
        <w:r>
          <w:tab/>
        </w:r>
        <w:r>
          <w:fldChar w:fldCharType="begin"/>
        </w:r>
        <w:r>
          <w:instrText xml:space="preserve">PAGEREF 1917 \h</w:instrText>
        </w:r>
        <w:r>
          <w:fldChar w:fldCharType="end"/>
        </w:r>
      </w:hyperlink>
    </w:p>
    <w:p>
      <w:pPr>
        <w:tabs>
          <w:tab w:val="right" w:leader="dot" w:pos="9062"/>
        </w:tabs>
        <w:ind w:left="440"/>
      </w:pPr>
      <w:hyperlink w:anchor="_Toc1918" w:history="1">
        <w:r>
          <w:rPr>
            <w:rFonts w:ascii="IRNazanin" w:hAnsi="IRNazanin" w:eastAsia="IRNazanin" w:cs="IRNazanin"/>
            <w:color w:val="111111"/>
            <w:sz w:val="22"/>
            <w:szCs w:val="22"/>
            <w:b w:val="0"/>
            <w:bCs w:val="0"/>
            <w:i w:val="0"/>
            <w:iCs w:val="0"/>
          </w:rPr>
          <w:t>دیوان حسین بیک التبریزی‏</w:t>
        </w:r>
        <w:r>
          <w:tab/>
        </w:r>
        <w:r>
          <w:fldChar w:fldCharType="begin"/>
        </w:r>
        <w:r>
          <w:instrText xml:space="preserve">PAGEREF 1918 \h</w:instrText>
        </w:r>
        <w:r>
          <w:fldChar w:fldCharType="end"/>
        </w:r>
      </w:hyperlink>
    </w:p>
    <w:p>
      <w:pPr>
        <w:tabs>
          <w:tab w:val="right" w:leader="dot" w:pos="9062"/>
        </w:tabs>
        <w:ind w:left="440"/>
      </w:pPr>
      <w:hyperlink w:anchor="_Toc1919" w:history="1">
        <w:r>
          <w:rPr>
            <w:rFonts w:ascii="IRNazanin" w:hAnsi="IRNazanin" w:eastAsia="IRNazanin" w:cs="IRNazanin"/>
            <w:color w:val="111111"/>
            <w:sz w:val="22"/>
            <w:szCs w:val="22"/>
            <w:b w:val="0"/>
            <w:bCs w:val="0"/>
            <w:i w:val="0"/>
            <w:iCs w:val="0"/>
          </w:rPr>
          <w:t>1516- دیوان الشیخ حسین التلمسانی‏</w:t>
        </w:r>
        <w:r>
          <w:tab/>
        </w:r>
        <w:r>
          <w:fldChar w:fldCharType="begin"/>
        </w:r>
        <w:r>
          <w:instrText xml:space="preserve">PAGEREF 1919 \h</w:instrText>
        </w:r>
        <w:r>
          <w:fldChar w:fldCharType="end"/>
        </w:r>
      </w:hyperlink>
    </w:p>
    <w:p>
      <w:pPr>
        <w:tabs>
          <w:tab w:val="right" w:leader="dot" w:pos="9062"/>
        </w:tabs>
        <w:ind w:left="440"/>
      </w:pPr>
      <w:hyperlink w:anchor="_Toc1920" w:history="1">
        <w:r>
          <w:rPr>
            <w:rFonts w:ascii="IRNazanin" w:hAnsi="IRNazanin" w:eastAsia="IRNazanin" w:cs="IRNazanin"/>
            <w:color w:val="111111"/>
            <w:sz w:val="22"/>
            <w:szCs w:val="22"/>
            <w:b w:val="0"/>
            <w:bCs w:val="0"/>
            <w:i w:val="0"/>
            <w:iCs w:val="0"/>
          </w:rPr>
          <w:t>1517- دیوان حسین چلبی التبریزی أو شعره‏</w:t>
        </w:r>
        <w:r>
          <w:tab/>
        </w:r>
        <w:r>
          <w:fldChar w:fldCharType="begin"/>
        </w:r>
        <w:r>
          <w:instrText xml:space="preserve">PAGEREF 1920 \h</w:instrText>
        </w:r>
        <w:r>
          <w:fldChar w:fldCharType="end"/>
        </w:r>
      </w:hyperlink>
    </w:p>
    <w:p>
      <w:pPr>
        <w:tabs>
          <w:tab w:val="right" w:leader="dot" w:pos="9062"/>
        </w:tabs>
        <w:ind w:left="440"/>
      </w:pPr>
      <w:hyperlink w:anchor="_Toc1921" w:history="1">
        <w:r>
          <w:rPr>
            <w:rFonts w:ascii="IRNazanin" w:hAnsi="IRNazanin" w:eastAsia="IRNazanin" w:cs="IRNazanin"/>
            <w:color w:val="111111"/>
            <w:sz w:val="22"/>
            <w:szCs w:val="22"/>
            <w:b w:val="0"/>
            <w:bCs w:val="0"/>
            <w:i w:val="0"/>
            <w:iCs w:val="0"/>
          </w:rPr>
          <w:t>دیوان حسین خاندار</w:t>
        </w:r>
        <w:r>
          <w:tab/>
        </w:r>
        <w:r>
          <w:fldChar w:fldCharType="begin"/>
        </w:r>
        <w:r>
          <w:instrText xml:space="preserve">PAGEREF 1921 \h</w:instrText>
        </w:r>
        <w:r>
          <w:fldChar w:fldCharType="end"/>
        </w:r>
      </w:hyperlink>
    </w:p>
    <w:p>
      <w:pPr>
        <w:tabs>
          <w:tab w:val="right" w:leader="dot" w:pos="9062"/>
        </w:tabs>
        <w:ind w:left="440"/>
      </w:pPr>
      <w:hyperlink w:anchor="_Toc1922" w:history="1">
        <w:r>
          <w:rPr>
            <w:rFonts w:ascii="IRNazanin" w:hAnsi="IRNazanin" w:eastAsia="IRNazanin" w:cs="IRNazanin"/>
            <w:color w:val="111111"/>
            <w:sz w:val="22"/>
            <w:szCs w:val="22"/>
            <w:b w:val="0"/>
            <w:bCs w:val="0"/>
            <w:i w:val="0"/>
            <w:iCs w:val="0"/>
          </w:rPr>
          <w:t>1518- دیوان الحسین الخوارزمی‏</w:t>
        </w:r>
        <w:r>
          <w:tab/>
        </w:r>
        <w:r>
          <w:fldChar w:fldCharType="begin"/>
        </w:r>
        <w:r>
          <w:instrText xml:space="preserve">PAGEREF 1922 \h</w:instrText>
        </w:r>
        <w:r>
          <w:fldChar w:fldCharType="end"/>
        </w:r>
      </w:hyperlink>
    </w:p>
    <w:p>
      <w:pPr>
        <w:tabs>
          <w:tab w:val="right" w:leader="dot" w:pos="9062"/>
        </w:tabs>
        <w:ind w:left="440"/>
      </w:pPr>
      <w:hyperlink w:anchor="_Toc1923" w:history="1">
        <w:r>
          <w:rPr>
            <w:rFonts w:ascii="IRNazanin" w:hAnsi="IRNazanin" w:eastAsia="IRNazanin" w:cs="IRNazanin"/>
            <w:color w:val="111111"/>
            <w:sz w:val="22"/>
            <w:szCs w:val="22"/>
            <w:b w:val="0"/>
            <w:bCs w:val="0"/>
            <w:i w:val="0"/>
            <w:iCs w:val="0"/>
          </w:rPr>
          <w:t>دیوان حسینا الخوانساری‏</w:t>
        </w:r>
        <w:r>
          <w:tab/>
        </w:r>
        <w:r>
          <w:fldChar w:fldCharType="begin"/>
        </w:r>
        <w:r>
          <w:instrText xml:space="preserve">PAGEREF 1923 \h</w:instrText>
        </w:r>
        <w:r>
          <w:fldChar w:fldCharType="end"/>
        </w:r>
      </w:hyperlink>
    </w:p>
    <w:p>
      <w:pPr>
        <w:tabs>
          <w:tab w:val="right" w:leader="dot" w:pos="9062"/>
        </w:tabs>
        <w:ind w:left="440"/>
      </w:pPr>
      <w:hyperlink w:anchor="_Toc1924" w:history="1">
        <w:r>
          <w:rPr>
            <w:rFonts w:ascii="IRNazanin" w:hAnsi="IRNazanin" w:eastAsia="IRNazanin" w:cs="IRNazanin"/>
            <w:color w:val="111111"/>
            <w:sz w:val="22"/>
            <w:szCs w:val="22"/>
            <w:b w:val="0"/>
            <w:bCs w:val="0"/>
            <w:i w:val="0"/>
            <w:iCs w:val="0"/>
          </w:rPr>
          <w:t>1519- دیوان حسین الخوانساری أو شعره‏</w:t>
        </w:r>
        <w:r>
          <w:tab/>
        </w:r>
        <w:r>
          <w:fldChar w:fldCharType="begin"/>
        </w:r>
        <w:r>
          <w:instrText xml:space="preserve">PAGEREF 1924 \h</w:instrText>
        </w:r>
        <w:r>
          <w:fldChar w:fldCharType="end"/>
        </w:r>
      </w:hyperlink>
    </w:p>
    <w:p>
      <w:pPr>
        <w:tabs>
          <w:tab w:val="right" w:leader="dot" w:pos="9062"/>
        </w:tabs>
        <w:ind w:left="440"/>
      </w:pPr>
      <w:hyperlink w:anchor="_Toc1925" w:history="1">
        <w:r>
          <w:rPr>
            <w:rFonts w:ascii="IRNazanin" w:hAnsi="IRNazanin" w:eastAsia="IRNazanin" w:cs="IRNazanin"/>
            <w:color w:val="111111"/>
            <w:sz w:val="22"/>
            <w:szCs w:val="22"/>
            <w:b w:val="0"/>
            <w:bCs w:val="0"/>
            <w:i w:val="0"/>
            <w:iCs w:val="0"/>
          </w:rPr>
          <w:t>دیوان آقا حسین الخوانساری‏</w:t>
        </w:r>
        <w:r>
          <w:tab/>
        </w:r>
        <w:r>
          <w:fldChar w:fldCharType="begin"/>
        </w:r>
        <w:r>
          <w:instrText xml:space="preserve">PAGEREF 1925 \h</w:instrText>
        </w:r>
        <w:r>
          <w:fldChar w:fldCharType="end"/>
        </w:r>
      </w:hyperlink>
    </w:p>
    <w:p>
      <w:pPr>
        <w:tabs>
          <w:tab w:val="right" w:leader="dot" w:pos="9062"/>
        </w:tabs>
        <w:ind w:left="440"/>
      </w:pPr>
      <w:hyperlink w:anchor="_Toc1926" w:history="1">
        <w:r>
          <w:rPr>
            <w:rFonts w:ascii="IRNazanin" w:hAnsi="IRNazanin" w:eastAsia="IRNazanin" w:cs="IRNazanin"/>
            <w:color w:val="111111"/>
            <w:sz w:val="22"/>
            <w:szCs w:val="22"/>
            <w:b w:val="0"/>
            <w:bCs w:val="0"/>
            <w:i w:val="0"/>
            <w:iCs w:val="0"/>
          </w:rPr>
          <w:t>1520- دیوان الشیخ حسین الخراسانی‏</w:t>
        </w:r>
        <w:r>
          <w:tab/>
        </w:r>
        <w:r>
          <w:fldChar w:fldCharType="begin"/>
        </w:r>
        <w:r>
          <w:instrText xml:space="preserve">PAGEREF 1926 \h</w:instrText>
        </w:r>
        <w:r>
          <w:fldChar w:fldCharType="end"/>
        </w:r>
      </w:hyperlink>
    </w:p>
    <w:p>
      <w:pPr>
        <w:tabs>
          <w:tab w:val="right" w:leader="dot" w:pos="9062"/>
        </w:tabs>
        <w:ind w:left="440"/>
      </w:pPr>
      <w:hyperlink w:anchor="_Toc1927" w:history="1">
        <w:r>
          <w:rPr>
            <w:rFonts w:ascii="IRNazanin" w:hAnsi="IRNazanin" w:eastAsia="IRNazanin" w:cs="IRNazanin"/>
            <w:color w:val="111111"/>
            <w:sz w:val="22"/>
            <w:szCs w:val="22"/>
            <w:b w:val="0"/>
            <w:bCs w:val="0"/>
            <w:i w:val="0"/>
            <w:iCs w:val="0"/>
          </w:rPr>
          <w:t>1521- دیوان مولانا حسین الرازی‏</w:t>
        </w:r>
        <w:r>
          <w:tab/>
        </w:r>
        <w:r>
          <w:fldChar w:fldCharType="begin"/>
        </w:r>
        <w:r>
          <w:instrText xml:space="preserve">PAGEREF 1927 \h</w:instrText>
        </w:r>
        <w:r>
          <w:fldChar w:fldCharType="end"/>
        </w:r>
      </w:hyperlink>
    </w:p>
    <w:p>
      <w:pPr>
        <w:tabs>
          <w:tab w:val="right" w:leader="dot" w:pos="9062"/>
        </w:tabs>
        <w:ind w:left="440"/>
      </w:pPr>
      <w:hyperlink w:anchor="_Toc1928" w:history="1">
        <w:r>
          <w:rPr>
            <w:rFonts w:ascii="IRNazanin" w:hAnsi="IRNazanin" w:eastAsia="IRNazanin" w:cs="IRNazanin"/>
            <w:color w:val="111111"/>
            <w:sz w:val="22"/>
            <w:szCs w:val="22"/>
            <w:b w:val="0"/>
            <w:bCs w:val="0"/>
            <w:i w:val="0"/>
            <w:iCs w:val="0"/>
          </w:rPr>
          <w:t>1522- دیوان محمد حسین رکنا</w:t>
        </w:r>
        <w:r>
          <w:tab/>
        </w:r>
        <w:r>
          <w:fldChar w:fldCharType="begin"/>
        </w:r>
        <w:r>
          <w:instrText xml:space="preserve">PAGEREF 1928 \h</w:instrText>
        </w:r>
        <w:r>
          <w:fldChar w:fldCharType="end"/>
        </w:r>
      </w:hyperlink>
    </w:p>
    <w:p>
      <w:pPr>
        <w:tabs>
          <w:tab w:val="right" w:leader="dot" w:pos="9062"/>
        </w:tabs>
        <w:ind w:left="440"/>
      </w:pPr>
      <w:hyperlink w:anchor="_Toc1929" w:history="1">
        <w:r>
          <w:rPr>
            <w:rFonts w:ascii="IRNazanin" w:hAnsi="IRNazanin" w:eastAsia="IRNazanin" w:cs="IRNazanin"/>
            <w:color w:val="111111"/>
            <w:sz w:val="22"/>
            <w:szCs w:val="22"/>
            <w:b w:val="0"/>
            <w:bCs w:val="0"/>
            <w:i w:val="0"/>
            <w:iCs w:val="0"/>
          </w:rPr>
          <w:t>1523- دیوان میرزا حسین ری‏شهری‏</w:t>
        </w:r>
        <w:r>
          <w:tab/>
        </w:r>
        <w:r>
          <w:fldChar w:fldCharType="begin"/>
        </w:r>
        <w:r>
          <w:instrText xml:space="preserve">PAGEREF 1929 \h</w:instrText>
        </w:r>
        <w:r>
          <w:fldChar w:fldCharType="end"/>
        </w:r>
      </w:hyperlink>
    </w:p>
    <w:p>
      <w:pPr>
        <w:tabs>
          <w:tab w:val="right" w:leader="dot" w:pos="9062"/>
        </w:tabs>
        <w:ind w:left="440"/>
      </w:pPr>
      <w:hyperlink w:anchor="_Toc1930" w:history="1">
        <w:r>
          <w:rPr>
            <w:rFonts w:ascii="IRNazanin" w:hAnsi="IRNazanin" w:eastAsia="IRNazanin" w:cs="IRNazanin"/>
            <w:color w:val="111111"/>
            <w:sz w:val="22"/>
            <w:szCs w:val="22"/>
            <w:b w:val="0"/>
            <w:bCs w:val="0"/>
            <w:i w:val="0"/>
            <w:iCs w:val="0"/>
          </w:rPr>
          <w:t>دیوان مولانا حسین الشیرازی‏</w:t>
        </w:r>
        <w:r>
          <w:tab/>
        </w:r>
        <w:r>
          <w:fldChar w:fldCharType="begin"/>
        </w:r>
        <w:r>
          <w:instrText xml:space="preserve">PAGEREF 1930 \h</w:instrText>
        </w:r>
        <w:r>
          <w:fldChar w:fldCharType="end"/>
        </w:r>
      </w:hyperlink>
    </w:p>
    <w:p>
      <w:pPr>
        <w:tabs>
          <w:tab w:val="right" w:leader="dot" w:pos="9062"/>
        </w:tabs>
        <w:ind w:left="440"/>
      </w:pPr>
      <w:hyperlink w:anchor="_Toc1931" w:history="1">
        <w:r>
          <w:rPr>
            <w:rFonts w:ascii="IRNazanin" w:hAnsi="IRNazanin" w:eastAsia="IRNazanin" w:cs="IRNazanin"/>
            <w:color w:val="111111"/>
            <w:sz w:val="22"/>
            <w:szCs w:val="22"/>
            <w:b w:val="0"/>
            <w:bCs w:val="0"/>
            <w:i w:val="0"/>
            <w:iCs w:val="0"/>
          </w:rPr>
          <w:t>1524- دیوان حسین شیرازی أو شعره‏</w:t>
        </w:r>
        <w:r>
          <w:tab/>
        </w:r>
        <w:r>
          <w:fldChar w:fldCharType="begin"/>
        </w:r>
        <w:r>
          <w:instrText xml:space="preserve">PAGEREF 1931 \h</w:instrText>
        </w:r>
        <w:r>
          <w:fldChar w:fldCharType="end"/>
        </w:r>
      </w:hyperlink>
    </w:p>
    <w:p>
      <w:pPr>
        <w:tabs>
          <w:tab w:val="right" w:leader="dot" w:pos="9062"/>
        </w:tabs>
        <w:ind w:left="440"/>
      </w:pPr>
      <w:hyperlink w:anchor="_Toc1932" w:history="1">
        <w:r>
          <w:rPr>
            <w:rFonts w:ascii="IRNazanin" w:hAnsi="IRNazanin" w:eastAsia="IRNazanin" w:cs="IRNazanin"/>
            <w:color w:val="111111"/>
            <w:sz w:val="22"/>
            <w:szCs w:val="22"/>
            <w:b w:val="0"/>
            <w:bCs w:val="0"/>
            <w:i w:val="0"/>
            <w:iCs w:val="0"/>
          </w:rPr>
          <w:t>دیوان میر حسین طفیلی‏</w:t>
        </w:r>
        <w:r>
          <w:tab/>
        </w:r>
        <w:r>
          <w:fldChar w:fldCharType="begin"/>
        </w:r>
        <w:r>
          <w:instrText xml:space="preserve">PAGEREF 1932 \h</w:instrText>
        </w:r>
        <w:r>
          <w:fldChar w:fldCharType="end"/>
        </w:r>
      </w:hyperlink>
    </w:p>
    <w:p>
      <w:pPr>
        <w:tabs>
          <w:tab w:val="right" w:leader="dot" w:pos="9062"/>
        </w:tabs>
        <w:ind w:left="440"/>
      </w:pPr>
      <w:hyperlink w:anchor="_Toc1933" w:history="1">
        <w:r>
          <w:rPr>
            <w:rFonts w:ascii="IRNazanin" w:hAnsi="IRNazanin" w:eastAsia="IRNazanin" w:cs="IRNazanin"/>
            <w:color w:val="111111"/>
            <w:sz w:val="22"/>
            <w:szCs w:val="22"/>
            <w:b w:val="0"/>
            <w:bCs w:val="0"/>
            <w:i w:val="0"/>
            <w:iCs w:val="0"/>
          </w:rPr>
          <w:t>1525- دیوان الشیخ حسین العصفوری‏</w:t>
        </w:r>
        <w:r>
          <w:tab/>
        </w:r>
        <w:r>
          <w:fldChar w:fldCharType="begin"/>
        </w:r>
        <w:r>
          <w:instrText xml:space="preserve">PAGEREF 1933 \h</w:instrText>
        </w:r>
        <w:r>
          <w:fldChar w:fldCharType="end"/>
        </w:r>
      </w:hyperlink>
    </w:p>
    <w:p>
      <w:pPr>
        <w:tabs>
          <w:tab w:val="right" w:leader="dot" w:pos="9062"/>
        </w:tabs>
        <w:ind w:left="440"/>
      </w:pPr>
      <w:hyperlink w:anchor="_Toc1934" w:history="1">
        <w:r>
          <w:rPr>
            <w:rFonts w:ascii="IRNazanin" w:hAnsi="IRNazanin" w:eastAsia="IRNazanin" w:cs="IRNazanin"/>
            <w:color w:val="111111"/>
            <w:sz w:val="22"/>
            <w:szCs w:val="22"/>
            <w:b w:val="0"/>
            <w:bCs w:val="0"/>
            <w:i w:val="0"/>
            <w:iCs w:val="0"/>
          </w:rPr>
          <w:t>1526- دیوان المولی حسین علی الیزدی أو شعره‏</w:t>
        </w:r>
        <w:r>
          <w:tab/>
        </w:r>
        <w:r>
          <w:fldChar w:fldCharType="begin"/>
        </w:r>
        <w:r>
          <w:instrText xml:space="preserve">PAGEREF 1934 \h</w:instrText>
        </w:r>
        <w:r>
          <w:fldChar w:fldCharType="end"/>
        </w:r>
      </w:hyperlink>
    </w:p>
    <w:p>
      <w:pPr>
        <w:tabs>
          <w:tab w:val="right" w:leader="dot" w:pos="9062"/>
        </w:tabs>
        <w:ind w:left="440"/>
      </w:pPr>
      <w:hyperlink w:anchor="_Toc1935" w:history="1">
        <w:r>
          <w:rPr>
            <w:rFonts w:ascii="IRNazanin" w:hAnsi="IRNazanin" w:eastAsia="IRNazanin" w:cs="IRNazanin"/>
            <w:color w:val="111111"/>
            <w:sz w:val="22"/>
            <w:szCs w:val="22"/>
            <w:b w:val="0"/>
            <w:bCs w:val="0"/>
            <w:i w:val="0"/>
            <w:iCs w:val="0"/>
          </w:rPr>
          <w:t>1527- دیوان الحاج حسین علی خان‏</w:t>
        </w:r>
        <w:r>
          <w:tab/>
        </w:r>
        <w:r>
          <w:fldChar w:fldCharType="begin"/>
        </w:r>
        <w:r>
          <w:instrText xml:space="preserve">PAGEREF 1935 \h</w:instrText>
        </w:r>
        <w:r>
          <w:fldChar w:fldCharType="end"/>
        </w:r>
      </w:hyperlink>
    </w:p>
    <w:p>
      <w:pPr>
        <w:tabs>
          <w:tab w:val="right" w:leader="dot" w:pos="9062"/>
        </w:tabs>
        <w:ind w:left="440"/>
      </w:pPr>
      <w:hyperlink w:anchor="_Toc1936" w:history="1">
        <w:r>
          <w:rPr>
            <w:rFonts w:ascii="IRNazanin" w:hAnsi="IRNazanin" w:eastAsia="IRNazanin" w:cs="IRNazanin"/>
            <w:color w:val="111111"/>
            <w:sz w:val="22"/>
            <w:szCs w:val="22"/>
            <w:b w:val="0"/>
            <w:bCs w:val="0"/>
            <w:i w:val="0"/>
            <w:iCs w:val="0"/>
          </w:rPr>
          <w:t>دیوان السید حسین الغریفی‏</w:t>
        </w:r>
        <w:r>
          <w:tab/>
        </w:r>
        <w:r>
          <w:fldChar w:fldCharType="begin"/>
        </w:r>
        <w:r>
          <w:instrText xml:space="preserve">PAGEREF 1936 \h</w:instrText>
        </w:r>
        <w:r>
          <w:fldChar w:fldCharType="end"/>
        </w:r>
      </w:hyperlink>
    </w:p>
    <w:p>
      <w:pPr>
        <w:tabs>
          <w:tab w:val="right" w:leader="dot" w:pos="9062"/>
        </w:tabs>
        <w:ind w:left="440"/>
      </w:pPr>
      <w:hyperlink w:anchor="_Toc1937" w:history="1">
        <w:r>
          <w:rPr>
            <w:rFonts w:ascii="IRNazanin" w:hAnsi="IRNazanin" w:eastAsia="IRNazanin" w:cs="IRNazanin"/>
            <w:color w:val="111111"/>
            <w:sz w:val="22"/>
            <w:szCs w:val="22"/>
            <w:b w:val="0"/>
            <w:bCs w:val="0"/>
            <w:i w:val="0"/>
            <w:iCs w:val="0"/>
          </w:rPr>
          <w:t>1528- دیوان حسین قلی میرزا شاملو أو شعره‏</w:t>
        </w:r>
        <w:r>
          <w:tab/>
        </w:r>
        <w:r>
          <w:fldChar w:fldCharType="begin"/>
        </w:r>
        <w:r>
          <w:instrText xml:space="preserve">PAGEREF 1937 \h</w:instrText>
        </w:r>
        <w:r>
          <w:fldChar w:fldCharType="end"/>
        </w:r>
      </w:hyperlink>
    </w:p>
    <w:p>
      <w:pPr>
        <w:tabs>
          <w:tab w:val="right" w:leader="dot" w:pos="9062"/>
        </w:tabs>
        <w:ind w:left="440"/>
      </w:pPr>
      <w:hyperlink w:anchor="_Toc1938" w:history="1">
        <w:r>
          <w:rPr>
            <w:rFonts w:ascii="IRNazanin" w:hAnsi="IRNazanin" w:eastAsia="IRNazanin" w:cs="IRNazanin"/>
            <w:color w:val="111111"/>
            <w:sz w:val="22"/>
            <w:szCs w:val="22"/>
            <w:b w:val="0"/>
            <w:bCs w:val="0"/>
            <w:i w:val="0"/>
            <w:iCs w:val="0"/>
          </w:rPr>
          <w:t>دیوان ملا حسین الکاشفی‏</w:t>
        </w:r>
        <w:r>
          <w:tab/>
        </w:r>
        <w:r>
          <w:fldChar w:fldCharType="begin"/>
        </w:r>
        <w:r>
          <w:instrText xml:space="preserve">PAGEREF 1938 \h</w:instrText>
        </w:r>
        <w:r>
          <w:fldChar w:fldCharType="end"/>
        </w:r>
      </w:hyperlink>
    </w:p>
    <w:p>
      <w:pPr>
        <w:tabs>
          <w:tab w:val="right" w:leader="dot" w:pos="9062"/>
        </w:tabs>
        <w:ind w:left="440"/>
      </w:pPr>
      <w:hyperlink w:anchor="_Toc1939" w:history="1">
        <w:r>
          <w:rPr>
            <w:rFonts w:ascii="IRNazanin" w:hAnsi="IRNazanin" w:eastAsia="IRNazanin" w:cs="IRNazanin"/>
            <w:color w:val="111111"/>
            <w:sz w:val="22"/>
            <w:szCs w:val="22"/>
            <w:b w:val="0"/>
            <w:bCs w:val="0"/>
            <w:i w:val="0"/>
            <w:iCs w:val="0"/>
          </w:rPr>
          <w:t>1529- دیوان حسین کرد</w:t>
        </w:r>
        <w:r>
          <w:tab/>
        </w:r>
        <w:r>
          <w:fldChar w:fldCharType="begin"/>
        </w:r>
        <w:r>
          <w:instrText xml:space="preserve">PAGEREF 1939 \h</w:instrText>
        </w:r>
        <w:r>
          <w:fldChar w:fldCharType="end"/>
        </w:r>
      </w:hyperlink>
    </w:p>
    <w:p>
      <w:pPr>
        <w:tabs>
          <w:tab w:val="right" w:leader="dot" w:pos="9062"/>
        </w:tabs>
        <w:ind w:left="440"/>
      </w:pPr>
      <w:hyperlink w:anchor="_Toc1940" w:history="1">
        <w:r>
          <w:rPr>
            <w:rFonts w:ascii="IRNazanin" w:hAnsi="IRNazanin" w:eastAsia="IRNazanin" w:cs="IRNazanin"/>
            <w:color w:val="111111"/>
            <w:sz w:val="22"/>
            <w:szCs w:val="22"/>
            <w:b w:val="0"/>
            <w:bCs w:val="0"/>
            <w:i w:val="0"/>
            <w:iCs w:val="0"/>
          </w:rPr>
          <w:t>1530- دیوان حسین کسماوی‏</w:t>
        </w:r>
        <w:r>
          <w:tab/>
        </w:r>
        <w:r>
          <w:fldChar w:fldCharType="begin"/>
        </w:r>
        <w:r>
          <w:instrText xml:space="preserve">PAGEREF 1940 \h</w:instrText>
        </w:r>
        <w:r>
          <w:fldChar w:fldCharType="end"/>
        </w:r>
      </w:hyperlink>
    </w:p>
    <w:p>
      <w:pPr>
        <w:tabs>
          <w:tab w:val="right" w:leader="dot" w:pos="9062"/>
        </w:tabs>
        <w:ind w:left="440"/>
      </w:pPr>
      <w:hyperlink w:anchor="_Toc1941" w:history="1">
        <w:r>
          <w:rPr>
            <w:rFonts w:ascii="IRNazanin" w:hAnsi="IRNazanin" w:eastAsia="IRNazanin" w:cs="IRNazanin"/>
            <w:color w:val="111111"/>
            <w:sz w:val="22"/>
            <w:szCs w:val="22"/>
            <w:b w:val="0"/>
            <w:bCs w:val="0"/>
            <w:i w:val="0"/>
            <w:iCs w:val="0"/>
          </w:rPr>
          <w:t>دیوان حسین الکیشوان‏</w:t>
        </w:r>
        <w:r>
          <w:tab/>
        </w:r>
        <w:r>
          <w:fldChar w:fldCharType="begin"/>
        </w:r>
        <w:r>
          <w:instrText xml:space="preserve">PAGEREF 1941 \h</w:instrText>
        </w:r>
        <w:r>
          <w:fldChar w:fldCharType="end"/>
        </w:r>
      </w:hyperlink>
    </w:p>
    <w:p>
      <w:pPr>
        <w:tabs>
          <w:tab w:val="right" w:leader="dot" w:pos="9062"/>
        </w:tabs>
        <w:ind w:left="440"/>
      </w:pPr>
      <w:hyperlink w:anchor="_Toc1942" w:history="1">
        <w:r>
          <w:rPr>
            <w:rFonts w:ascii="IRNazanin" w:hAnsi="IRNazanin" w:eastAsia="IRNazanin" w:cs="IRNazanin"/>
            <w:color w:val="111111"/>
            <w:sz w:val="22"/>
            <w:szCs w:val="22"/>
            <w:b w:val="0"/>
            <w:bCs w:val="0"/>
            <w:i w:val="0"/>
            <w:iCs w:val="0"/>
          </w:rPr>
          <w:t>1531- دیوان ملا حسین گیلانی أو شعره‏</w:t>
        </w:r>
        <w:r>
          <w:tab/>
        </w:r>
        <w:r>
          <w:fldChar w:fldCharType="begin"/>
        </w:r>
        <w:r>
          <w:instrText xml:space="preserve">PAGEREF 1942 \h</w:instrText>
        </w:r>
        <w:r>
          <w:fldChar w:fldCharType="end"/>
        </w:r>
      </w:hyperlink>
    </w:p>
    <w:p>
      <w:pPr>
        <w:tabs>
          <w:tab w:val="right" w:leader="dot" w:pos="9062"/>
        </w:tabs>
        <w:ind w:left="440"/>
      </w:pPr>
      <w:hyperlink w:anchor="_Toc1943" w:history="1">
        <w:r>
          <w:rPr>
            <w:rFonts w:ascii="IRNazanin" w:hAnsi="IRNazanin" w:eastAsia="IRNazanin" w:cs="IRNazanin"/>
            <w:color w:val="111111"/>
            <w:sz w:val="22"/>
            <w:szCs w:val="22"/>
            <w:b w:val="0"/>
            <w:bCs w:val="0"/>
            <w:i w:val="0"/>
            <w:iCs w:val="0"/>
          </w:rPr>
          <w:t>دیوان حسین مازندرانی‏</w:t>
        </w:r>
        <w:r>
          <w:tab/>
        </w:r>
        <w:r>
          <w:fldChar w:fldCharType="begin"/>
        </w:r>
        <w:r>
          <w:instrText xml:space="preserve">PAGEREF 1943 \h</w:instrText>
        </w:r>
        <w:r>
          <w:fldChar w:fldCharType="end"/>
        </w:r>
      </w:hyperlink>
    </w:p>
    <w:p>
      <w:pPr>
        <w:tabs>
          <w:tab w:val="right" w:leader="dot" w:pos="9062"/>
        </w:tabs>
        <w:ind w:left="440"/>
      </w:pPr>
      <w:hyperlink w:anchor="_Toc1944" w:history="1">
        <w:r>
          <w:rPr>
            <w:rFonts w:ascii="IRNazanin" w:hAnsi="IRNazanin" w:eastAsia="IRNazanin" w:cs="IRNazanin"/>
            <w:color w:val="111111"/>
            <w:sz w:val="22"/>
            <w:szCs w:val="22"/>
            <w:b w:val="0"/>
            <w:bCs w:val="0"/>
            <w:i w:val="0"/>
            <w:iCs w:val="0"/>
          </w:rPr>
          <w:t>1532- دیوان میرزا حسین مالمیری) مال أمیری أصفهانی‏</w:t>
        </w:r>
        <w:r>
          <w:tab/>
        </w:r>
        <w:r>
          <w:fldChar w:fldCharType="begin"/>
        </w:r>
        <w:r>
          <w:instrText xml:space="preserve">PAGEREF 1944 \h</w:instrText>
        </w:r>
        <w:r>
          <w:fldChar w:fldCharType="end"/>
        </w:r>
      </w:hyperlink>
    </w:p>
    <w:p>
      <w:pPr>
        <w:tabs>
          <w:tab w:val="right" w:leader="dot" w:pos="9062"/>
        </w:tabs>
        <w:ind w:left="440"/>
      </w:pPr>
      <w:hyperlink w:anchor="_Toc1945" w:history="1">
        <w:r>
          <w:rPr>
            <w:rFonts w:ascii="IRNazanin" w:hAnsi="IRNazanin" w:eastAsia="IRNazanin" w:cs="IRNazanin"/>
            <w:color w:val="111111"/>
            <w:sz w:val="22"/>
            <w:szCs w:val="22"/>
            <w:b w:val="0"/>
            <w:bCs w:val="0"/>
            <w:i w:val="0"/>
            <w:iCs w:val="0"/>
          </w:rPr>
          <w:t>1533- دیوان حسین المشهدی أو شعره‏</w:t>
        </w:r>
        <w:r>
          <w:tab/>
        </w:r>
        <w:r>
          <w:fldChar w:fldCharType="begin"/>
        </w:r>
        <w:r>
          <w:instrText xml:space="preserve">PAGEREF 1945 \h</w:instrText>
        </w:r>
        <w:r>
          <w:fldChar w:fldCharType="end"/>
        </w:r>
      </w:hyperlink>
    </w:p>
    <w:p>
      <w:pPr>
        <w:tabs>
          <w:tab w:val="right" w:leader="dot" w:pos="9062"/>
        </w:tabs>
        <w:ind w:left="440"/>
      </w:pPr>
      <w:hyperlink w:anchor="_Toc1946" w:history="1">
        <w:r>
          <w:rPr>
            <w:rFonts w:ascii="IRNazanin" w:hAnsi="IRNazanin" w:eastAsia="IRNazanin" w:cs="IRNazanin"/>
            <w:color w:val="111111"/>
            <w:sz w:val="22"/>
            <w:szCs w:val="22"/>
            <w:b w:val="0"/>
            <w:bCs w:val="0"/>
            <w:i w:val="0"/>
            <w:iCs w:val="0"/>
          </w:rPr>
          <w:t>1534- دیوان السید المیر حسین المعمائی النیشابوری‏</w:t>
        </w:r>
        <w:r>
          <w:tab/>
        </w:r>
        <w:r>
          <w:fldChar w:fldCharType="begin"/>
        </w:r>
        <w:r>
          <w:instrText xml:space="preserve">PAGEREF 1946 \h</w:instrText>
        </w:r>
        <w:r>
          <w:fldChar w:fldCharType="end"/>
        </w:r>
      </w:hyperlink>
    </w:p>
    <w:p>
      <w:pPr>
        <w:tabs>
          <w:tab w:val="right" w:leader="dot" w:pos="9062"/>
        </w:tabs>
        <w:ind w:left="440"/>
      </w:pPr>
      <w:hyperlink w:anchor="_Toc1947" w:history="1">
        <w:r>
          <w:rPr>
            <w:rFonts w:ascii="IRNazanin" w:hAnsi="IRNazanin" w:eastAsia="IRNazanin" w:cs="IRNazanin"/>
            <w:color w:val="111111"/>
            <w:sz w:val="22"/>
            <w:szCs w:val="22"/>
            <w:b w:val="0"/>
            <w:bCs w:val="0"/>
            <w:i w:val="0"/>
            <w:iCs w:val="0"/>
          </w:rPr>
          <w:t>1535- دیوان القاضی المیر حسین المیبدی‏</w:t>
        </w:r>
        <w:r>
          <w:tab/>
        </w:r>
        <w:r>
          <w:fldChar w:fldCharType="begin"/>
        </w:r>
        <w:r>
          <w:instrText xml:space="preserve">PAGEREF 1947 \h</w:instrText>
        </w:r>
        <w:r>
          <w:fldChar w:fldCharType="end"/>
        </w:r>
      </w:hyperlink>
    </w:p>
    <w:p>
      <w:pPr>
        <w:tabs>
          <w:tab w:val="right" w:leader="dot" w:pos="9062"/>
        </w:tabs>
        <w:ind w:left="440"/>
      </w:pPr>
      <w:hyperlink w:anchor="_Toc1948" w:history="1">
        <w:r>
          <w:rPr>
            <w:rFonts w:ascii="IRNazanin" w:hAnsi="IRNazanin" w:eastAsia="IRNazanin" w:cs="IRNazanin"/>
            <w:color w:val="111111"/>
            <w:sz w:val="22"/>
            <w:szCs w:val="22"/>
            <w:b w:val="0"/>
            <w:bCs w:val="0"/>
            <w:i w:val="0"/>
            <w:iCs w:val="0"/>
          </w:rPr>
          <w:t>دیوان الشیخ حسین نجف‏</w:t>
        </w:r>
        <w:r>
          <w:tab/>
        </w:r>
        <w:r>
          <w:fldChar w:fldCharType="begin"/>
        </w:r>
        <w:r>
          <w:instrText xml:space="preserve">PAGEREF 1948 \h</w:instrText>
        </w:r>
        <w:r>
          <w:fldChar w:fldCharType="end"/>
        </w:r>
      </w:hyperlink>
    </w:p>
    <w:p>
      <w:pPr>
        <w:tabs>
          <w:tab w:val="right" w:leader="dot" w:pos="9062"/>
        </w:tabs>
        <w:ind w:left="440"/>
      </w:pPr>
      <w:hyperlink w:anchor="_Toc1949" w:history="1">
        <w:r>
          <w:rPr>
            <w:rFonts w:ascii="IRNazanin" w:hAnsi="IRNazanin" w:eastAsia="IRNazanin" w:cs="IRNazanin"/>
            <w:color w:val="111111"/>
            <w:sz w:val="22"/>
            <w:szCs w:val="22"/>
            <w:b w:val="0"/>
            <w:bCs w:val="0"/>
            <w:i w:val="0"/>
            <w:iCs w:val="0"/>
          </w:rPr>
          <w:t>دیوان الحاج میرزا حسین النوری‏</w:t>
        </w:r>
        <w:r>
          <w:tab/>
        </w:r>
        <w:r>
          <w:fldChar w:fldCharType="begin"/>
        </w:r>
        <w:r>
          <w:instrText xml:space="preserve">PAGEREF 1949 \h</w:instrText>
        </w:r>
        <w:r>
          <w:fldChar w:fldCharType="end"/>
        </w:r>
      </w:hyperlink>
    </w:p>
    <w:p>
      <w:pPr>
        <w:tabs>
          <w:tab w:val="right" w:leader="dot" w:pos="9062"/>
        </w:tabs>
        <w:ind w:left="440"/>
      </w:pPr>
      <w:hyperlink w:anchor="_Toc1950" w:history="1">
        <w:r>
          <w:rPr>
            <w:rFonts w:ascii="IRNazanin" w:hAnsi="IRNazanin" w:eastAsia="IRNazanin" w:cs="IRNazanin"/>
            <w:color w:val="111111"/>
            <w:sz w:val="22"/>
            <w:szCs w:val="22"/>
            <w:b w:val="0"/>
            <w:bCs w:val="0"/>
            <w:i w:val="0"/>
            <w:iCs w:val="0"/>
          </w:rPr>
          <w:t>دیوان المیر حسین النیشابوری‏</w:t>
        </w:r>
        <w:r>
          <w:tab/>
        </w:r>
        <w:r>
          <w:fldChar w:fldCharType="begin"/>
        </w:r>
        <w:r>
          <w:instrText xml:space="preserve">PAGEREF 1950 \h</w:instrText>
        </w:r>
        <w:r>
          <w:fldChar w:fldCharType="end"/>
        </w:r>
      </w:hyperlink>
    </w:p>
    <w:p>
      <w:pPr>
        <w:tabs>
          <w:tab w:val="right" w:leader="dot" w:pos="9062"/>
        </w:tabs>
        <w:ind w:left="440"/>
      </w:pPr>
      <w:hyperlink w:anchor="_Toc1951" w:history="1">
        <w:r>
          <w:rPr>
            <w:rFonts w:ascii="IRNazanin" w:hAnsi="IRNazanin" w:eastAsia="IRNazanin" w:cs="IRNazanin"/>
            <w:color w:val="111111"/>
            <w:sz w:val="22"/>
            <w:szCs w:val="22"/>
            <w:b w:val="0"/>
            <w:bCs w:val="0"/>
            <w:i w:val="0"/>
            <w:iCs w:val="0"/>
          </w:rPr>
          <w:t>1536- دیوان حسینی الرضوی الخراسانی الهندی‏</w:t>
        </w:r>
        <w:r>
          <w:tab/>
        </w:r>
        <w:r>
          <w:fldChar w:fldCharType="begin"/>
        </w:r>
        <w:r>
          <w:instrText xml:space="preserve">PAGEREF 1951 \h</w:instrText>
        </w:r>
        <w:r>
          <w:fldChar w:fldCharType="end"/>
        </w:r>
      </w:hyperlink>
    </w:p>
    <w:p>
      <w:pPr>
        <w:tabs>
          <w:tab w:val="right" w:leader="dot" w:pos="9062"/>
        </w:tabs>
        <w:ind w:left="440"/>
      </w:pPr>
      <w:hyperlink w:anchor="_Toc1952" w:history="1">
        <w:r>
          <w:rPr>
            <w:rFonts w:ascii="IRNazanin" w:hAnsi="IRNazanin" w:eastAsia="IRNazanin" w:cs="IRNazanin"/>
            <w:color w:val="111111"/>
            <w:sz w:val="22"/>
            <w:szCs w:val="22"/>
            <w:b w:val="0"/>
            <w:bCs w:val="0"/>
            <w:i w:val="0"/>
            <w:iCs w:val="0"/>
          </w:rPr>
          <w:t>دیوان حسینی سادات‏</w:t>
        </w:r>
        <w:r>
          <w:tab/>
        </w:r>
        <w:r>
          <w:fldChar w:fldCharType="begin"/>
        </w:r>
        <w:r>
          <w:instrText xml:space="preserve">PAGEREF 1952 \h</w:instrText>
        </w:r>
        <w:r>
          <w:fldChar w:fldCharType="end"/>
        </w:r>
      </w:hyperlink>
    </w:p>
    <w:p>
      <w:pPr>
        <w:tabs>
          <w:tab w:val="right" w:leader="dot" w:pos="9062"/>
        </w:tabs>
        <w:ind w:left="440"/>
      </w:pPr>
      <w:hyperlink w:anchor="_Toc1953" w:history="1">
        <w:r>
          <w:rPr>
            <w:rFonts w:ascii="IRNazanin" w:hAnsi="IRNazanin" w:eastAsia="IRNazanin" w:cs="IRNazanin"/>
            <w:color w:val="111111"/>
            <w:sz w:val="22"/>
            <w:szCs w:val="22"/>
            <w:b w:val="0"/>
            <w:bCs w:val="0"/>
            <w:i w:val="0"/>
            <w:iCs w:val="0"/>
          </w:rPr>
          <w:t>دیوان حسینی شیرازی‏</w:t>
        </w:r>
        <w:r>
          <w:tab/>
        </w:r>
        <w:r>
          <w:fldChar w:fldCharType="begin"/>
        </w:r>
        <w:r>
          <w:instrText xml:space="preserve">PAGEREF 1953 \h</w:instrText>
        </w:r>
        <w:r>
          <w:fldChar w:fldCharType="end"/>
        </w:r>
      </w:hyperlink>
    </w:p>
    <w:p>
      <w:pPr>
        <w:tabs>
          <w:tab w:val="right" w:leader="dot" w:pos="9062"/>
        </w:tabs>
        <w:ind w:left="440"/>
      </w:pPr>
      <w:hyperlink w:anchor="_Toc1954" w:history="1">
        <w:r>
          <w:rPr>
            <w:rFonts w:ascii="IRNazanin" w:hAnsi="IRNazanin" w:eastAsia="IRNazanin" w:cs="IRNazanin"/>
            <w:color w:val="111111"/>
            <w:sz w:val="22"/>
            <w:szCs w:val="22"/>
            <w:b w:val="0"/>
            <w:bCs w:val="0"/>
            <w:i w:val="0"/>
            <w:iCs w:val="0"/>
          </w:rPr>
          <w:t>دیوان حسینی غوری‏</w:t>
        </w:r>
        <w:r>
          <w:tab/>
        </w:r>
        <w:r>
          <w:fldChar w:fldCharType="begin"/>
        </w:r>
        <w:r>
          <w:instrText xml:space="preserve">PAGEREF 1954 \h</w:instrText>
        </w:r>
        <w:r>
          <w:fldChar w:fldCharType="end"/>
        </w:r>
      </w:hyperlink>
    </w:p>
    <w:p>
      <w:pPr>
        <w:tabs>
          <w:tab w:val="right" w:leader="dot" w:pos="9062"/>
        </w:tabs>
        <w:ind w:left="440"/>
      </w:pPr>
      <w:hyperlink w:anchor="_Toc1955" w:history="1">
        <w:r>
          <w:rPr>
            <w:rFonts w:ascii="IRNazanin" w:hAnsi="IRNazanin" w:eastAsia="IRNazanin" w:cs="IRNazanin"/>
            <w:color w:val="111111"/>
            <w:sz w:val="22"/>
            <w:szCs w:val="22"/>
            <w:b w:val="0"/>
            <w:bCs w:val="0"/>
            <w:i w:val="0"/>
            <w:iCs w:val="0"/>
          </w:rPr>
          <w:t>1537- دیوان حسینی قزوینی‏</w:t>
        </w:r>
        <w:r>
          <w:tab/>
        </w:r>
        <w:r>
          <w:fldChar w:fldCharType="begin"/>
        </w:r>
        <w:r>
          <w:instrText xml:space="preserve">PAGEREF 1955 \h</w:instrText>
        </w:r>
        <w:r>
          <w:fldChar w:fldCharType="end"/>
        </w:r>
      </w:hyperlink>
    </w:p>
    <w:p>
      <w:pPr>
        <w:tabs>
          <w:tab w:val="right" w:leader="dot" w:pos="9062"/>
        </w:tabs>
        <w:ind w:left="440"/>
      </w:pPr>
      <w:hyperlink w:anchor="_Toc1956" w:history="1">
        <w:r>
          <w:rPr>
            <w:rFonts w:ascii="IRNazanin" w:hAnsi="IRNazanin" w:eastAsia="IRNazanin" w:cs="IRNazanin"/>
            <w:color w:val="111111"/>
            <w:sz w:val="22"/>
            <w:szCs w:val="22"/>
            <w:b w:val="0"/>
            <w:bCs w:val="0"/>
            <w:i w:val="0"/>
            <w:iCs w:val="0"/>
          </w:rPr>
          <w:t>دیوان حسینی کاشانی‏</w:t>
        </w:r>
        <w:r>
          <w:tab/>
        </w:r>
        <w:r>
          <w:fldChar w:fldCharType="begin"/>
        </w:r>
        <w:r>
          <w:instrText xml:space="preserve">PAGEREF 1956 \h</w:instrText>
        </w:r>
        <w:r>
          <w:fldChar w:fldCharType="end"/>
        </w:r>
      </w:hyperlink>
    </w:p>
    <w:p>
      <w:pPr>
        <w:tabs>
          <w:tab w:val="right" w:leader="dot" w:pos="9062"/>
        </w:tabs>
        <w:ind w:left="440"/>
      </w:pPr>
      <w:hyperlink w:anchor="_Toc1957" w:history="1">
        <w:r>
          <w:rPr>
            <w:rFonts w:ascii="IRNazanin" w:hAnsi="IRNazanin" w:eastAsia="IRNazanin" w:cs="IRNazanin"/>
            <w:color w:val="111111"/>
            <w:sz w:val="22"/>
            <w:szCs w:val="22"/>
            <w:b w:val="0"/>
            <w:bCs w:val="0"/>
            <w:i w:val="0"/>
            <w:iCs w:val="0"/>
          </w:rPr>
          <w:t>1538- دیوان حسینی گورکانی‏</w:t>
        </w:r>
        <w:r>
          <w:tab/>
        </w:r>
        <w:r>
          <w:fldChar w:fldCharType="begin"/>
        </w:r>
        <w:r>
          <w:instrText xml:space="preserve">PAGEREF 1957 \h</w:instrText>
        </w:r>
        <w:r>
          <w:fldChar w:fldCharType="end"/>
        </w:r>
      </w:hyperlink>
    </w:p>
    <w:p>
      <w:pPr>
        <w:tabs>
          <w:tab w:val="right" w:leader="dot" w:pos="9062"/>
        </w:tabs>
        <w:ind w:left="440"/>
      </w:pPr>
      <w:hyperlink w:anchor="_Toc1958" w:history="1">
        <w:r>
          <w:rPr>
            <w:rFonts w:ascii="IRNazanin" w:hAnsi="IRNazanin" w:eastAsia="IRNazanin" w:cs="IRNazanin"/>
            <w:color w:val="111111"/>
            <w:sz w:val="22"/>
            <w:szCs w:val="22"/>
            <w:b w:val="0"/>
            <w:bCs w:val="0"/>
            <w:i w:val="0"/>
            <w:iCs w:val="0"/>
          </w:rPr>
          <w:t>1539- دیوان حسینی لاهوری أو شعره‏</w:t>
        </w:r>
        <w:r>
          <w:tab/>
        </w:r>
        <w:r>
          <w:fldChar w:fldCharType="begin"/>
        </w:r>
        <w:r>
          <w:instrText xml:space="preserve">PAGEREF 1958 \h</w:instrText>
        </w:r>
        <w:r>
          <w:fldChar w:fldCharType="end"/>
        </w:r>
      </w:hyperlink>
    </w:p>
    <w:p>
      <w:pPr>
        <w:tabs>
          <w:tab w:val="right" w:leader="dot" w:pos="9062"/>
        </w:tabs>
        <w:ind w:left="440"/>
      </w:pPr>
      <w:hyperlink w:anchor="_Toc1959" w:history="1">
        <w:r>
          <w:rPr>
            <w:rFonts w:ascii="IRNazanin" w:hAnsi="IRNazanin" w:eastAsia="IRNazanin" w:cs="IRNazanin"/>
            <w:color w:val="111111"/>
            <w:sz w:val="22"/>
            <w:szCs w:val="22"/>
            <w:b w:val="0"/>
            <w:bCs w:val="0"/>
            <w:i w:val="0"/>
            <w:iCs w:val="0"/>
          </w:rPr>
          <w:t>دیوان حسینی هراتی‏</w:t>
        </w:r>
        <w:r>
          <w:tab/>
        </w:r>
        <w:r>
          <w:fldChar w:fldCharType="begin"/>
        </w:r>
        <w:r>
          <w:instrText xml:space="preserve">PAGEREF 1959 \h</w:instrText>
        </w:r>
        <w:r>
          <w:fldChar w:fldCharType="end"/>
        </w:r>
      </w:hyperlink>
    </w:p>
    <w:p>
      <w:pPr>
        <w:tabs>
          <w:tab w:val="right" w:leader="dot" w:pos="9062"/>
        </w:tabs>
        <w:ind w:left="440"/>
      </w:pPr>
      <w:hyperlink w:anchor="_Toc1960" w:history="1">
        <w:r>
          <w:rPr>
            <w:rFonts w:ascii="IRNazanin" w:hAnsi="IRNazanin" w:eastAsia="IRNazanin" w:cs="IRNazanin"/>
            <w:color w:val="111111"/>
            <w:sz w:val="22"/>
            <w:szCs w:val="22"/>
            <w:b w:val="0"/>
            <w:bCs w:val="0"/>
            <w:i w:val="0"/>
            <w:iCs w:val="0"/>
          </w:rPr>
          <w:t>دیوان حسینی هندی‏</w:t>
        </w:r>
        <w:r>
          <w:tab/>
        </w:r>
        <w:r>
          <w:fldChar w:fldCharType="begin"/>
        </w:r>
        <w:r>
          <w:instrText xml:space="preserve">PAGEREF 1960 \h</w:instrText>
        </w:r>
        <w:r>
          <w:fldChar w:fldCharType="end"/>
        </w:r>
      </w:hyperlink>
    </w:p>
    <w:p>
      <w:pPr>
        <w:tabs>
          <w:tab w:val="right" w:leader="dot" w:pos="9062"/>
        </w:tabs>
        <w:ind w:left="440"/>
      </w:pPr>
      <w:hyperlink w:anchor="_Toc1961" w:history="1">
        <w:r>
          <w:rPr>
            <w:rFonts w:ascii="IRNazanin" w:hAnsi="IRNazanin" w:eastAsia="IRNazanin" w:cs="IRNazanin"/>
            <w:color w:val="111111"/>
            <w:sz w:val="22"/>
            <w:szCs w:val="22"/>
            <w:b w:val="0"/>
            <w:bCs w:val="0"/>
            <w:i w:val="0"/>
            <w:iCs w:val="0"/>
          </w:rPr>
          <w:t>1540- دیوان حسینی هندی‏</w:t>
        </w:r>
        <w:r>
          <w:tab/>
        </w:r>
        <w:r>
          <w:fldChar w:fldCharType="begin"/>
        </w:r>
        <w:r>
          <w:instrText xml:space="preserve">PAGEREF 1961 \h</w:instrText>
        </w:r>
        <w:r>
          <w:fldChar w:fldCharType="end"/>
        </w:r>
      </w:hyperlink>
    </w:p>
    <w:p>
      <w:pPr>
        <w:tabs>
          <w:tab w:val="right" w:leader="dot" w:pos="9062"/>
        </w:tabs>
        <w:ind w:left="440"/>
      </w:pPr>
      <w:hyperlink w:anchor="_Toc1962" w:history="1">
        <w:r>
          <w:rPr>
            <w:rFonts w:ascii="IRNazanin" w:hAnsi="IRNazanin" w:eastAsia="IRNazanin" w:cs="IRNazanin"/>
            <w:color w:val="111111"/>
            <w:sz w:val="22"/>
            <w:szCs w:val="22"/>
            <w:b w:val="0"/>
            <w:bCs w:val="0"/>
            <w:i w:val="0"/>
            <w:iCs w:val="0"/>
          </w:rPr>
          <w:t>1541- دیوان حسینی یزدی‏</w:t>
        </w:r>
        <w:r>
          <w:tab/>
        </w:r>
        <w:r>
          <w:fldChar w:fldCharType="begin"/>
        </w:r>
        <w:r>
          <w:instrText xml:space="preserve">PAGEREF 1962 \h</w:instrText>
        </w:r>
        <w:r>
          <w:fldChar w:fldCharType="end"/>
        </w:r>
      </w:hyperlink>
    </w:p>
    <w:p>
      <w:pPr>
        <w:tabs>
          <w:tab w:val="right" w:leader="dot" w:pos="9062"/>
        </w:tabs>
        <w:ind w:left="440"/>
      </w:pPr>
      <w:hyperlink w:anchor="_Toc1963" w:history="1">
        <w:r>
          <w:rPr>
            <w:rFonts w:ascii="IRNazanin" w:hAnsi="IRNazanin" w:eastAsia="IRNazanin" w:cs="IRNazanin"/>
            <w:color w:val="111111"/>
            <w:sz w:val="22"/>
            <w:szCs w:val="22"/>
            <w:b w:val="0"/>
            <w:bCs w:val="0"/>
            <w:i w:val="0"/>
            <w:iCs w:val="0"/>
          </w:rPr>
          <w:t>1542- دیوان حشری تبریزی‏</w:t>
        </w:r>
        <w:r>
          <w:tab/>
        </w:r>
        <w:r>
          <w:fldChar w:fldCharType="begin"/>
        </w:r>
        <w:r>
          <w:instrText xml:space="preserve">PAGEREF 1963 \h</w:instrText>
        </w:r>
        <w:r>
          <w:fldChar w:fldCharType="end"/>
        </w:r>
      </w:hyperlink>
    </w:p>
    <w:p>
      <w:pPr>
        <w:tabs>
          <w:tab w:val="right" w:leader="dot" w:pos="9062"/>
        </w:tabs>
        <w:ind w:left="440"/>
      </w:pPr>
      <w:hyperlink w:anchor="_Toc1964" w:history="1">
        <w:r>
          <w:rPr>
            <w:rFonts w:ascii="IRNazanin" w:hAnsi="IRNazanin" w:eastAsia="IRNazanin" w:cs="IRNazanin"/>
            <w:color w:val="111111"/>
            <w:sz w:val="22"/>
            <w:szCs w:val="22"/>
            <w:b w:val="0"/>
            <w:bCs w:val="0"/>
            <w:i w:val="0"/>
            <w:iCs w:val="0"/>
          </w:rPr>
          <w:t>1543- دیوان حشم‏</w:t>
        </w:r>
        <w:r>
          <w:tab/>
        </w:r>
        <w:r>
          <w:fldChar w:fldCharType="begin"/>
        </w:r>
        <w:r>
          <w:instrText xml:space="preserve">PAGEREF 1964 \h</w:instrText>
        </w:r>
        <w:r>
          <w:fldChar w:fldCharType="end"/>
        </w:r>
      </w:hyperlink>
    </w:p>
    <w:p>
      <w:pPr>
        <w:tabs>
          <w:tab w:val="right" w:leader="dot" w:pos="9062"/>
        </w:tabs>
        <w:ind w:left="440"/>
      </w:pPr>
      <w:hyperlink w:anchor="_Toc1965" w:history="1">
        <w:r>
          <w:rPr>
            <w:rFonts w:ascii="IRNazanin" w:hAnsi="IRNazanin" w:eastAsia="IRNazanin" w:cs="IRNazanin"/>
            <w:color w:val="111111"/>
            <w:sz w:val="22"/>
            <w:szCs w:val="22"/>
            <w:b w:val="0"/>
            <w:bCs w:val="0"/>
            <w:i w:val="0"/>
            <w:iCs w:val="0"/>
          </w:rPr>
          <w:t>1544- دیوان حشمت بدخشی‏</w:t>
        </w:r>
        <w:r>
          <w:tab/>
        </w:r>
        <w:r>
          <w:fldChar w:fldCharType="begin"/>
        </w:r>
        <w:r>
          <w:instrText xml:space="preserve">PAGEREF 1965 \h</w:instrText>
        </w:r>
        <w:r>
          <w:fldChar w:fldCharType="end"/>
        </w:r>
      </w:hyperlink>
    </w:p>
    <w:p>
      <w:pPr>
        <w:tabs>
          <w:tab w:val="right" w:leader="dot" w:pos="9062"/>
        </w:tabs>
        <w:ind w:left="440"/>
      </w:pPr>
      <w:hyperlink w:anchor="_Toc1966" w:history="1">
        <w:r>
          <w:rPr>
            <w:rFonts w:ascii="IRNazanin" w:hAnsi="IRNazanin" w:eastAsia="IRNazanin" w:cs="IRNazanin"/>
            <w:color w:val="111111"/>
            <w:sz w:val="22"/>
            <w:szCs w:val="22"/>
            <w:b w:val="0"/>
            <w:bCs w:val="0"/>
            <w:i w:val="0"/>
            <w:iCs w:val="0"/>
          </w:rPr>
          <w:t>1545- دیوان حشمت قاجار</w:t>
        </w:r>
        <w:r>
          <w:tab/>
        </w:r>
        <w:r>
          <w:fldChar w:fldCharType="begin"/>
        </w:r>
        <w:r>
          <w:instrText xml:space="preserve">PAGEREF 1966 \h</w:instrText>
        </w:r>
        <w:r>
          <w:fldChar w:fldCharType="end"/>
        </w:r>
      </w:hyperlink>
    </w:p>
    <w:p>
      <w:pPr>
        <w:tabs>
          <w:tab w:val="right" w:leader="dot" w:pos="9062"/>
        </w:tabs>
        <w:ind w:left="440"/>
      </w:pPr>
      <w:hyperlink w:anchor="_Toc1967" w:history="1">
        <w:r>
          <w:rPr>
            <w:rFonts w:ascii="IRNazanin" w:hAnsi="IRNazanin" w:eastAsia="IRNazanin" w:cs="IRNazanin"/>
            <w:color w:val="111111"/>
            <w:sz w:val="22"/>
            <w:szCs w:val="22"/>
            <w:b w:val="0"/>
            <w:bCs w:val="0"/>
            <w:i w:val="0"/>
            <w:iCs w:val="0"/>
          </w:rPr>
          <w:t>1546- دیوان حشمتی خوانساری‏</w:t>
        </w:r>
        <w:r>
          <w:tab/>
        </w:r>
        <w:r>
          <w:fldChar w:fldCharType="begin"/>
        </w:r>
        <w:r>
          <w:instrText xml:space="preserve">PAGEREF 1967 \h</w:instrText>
        </w:r>
        <w:r>
          <w:fldChar w:fldCharType="end"/>
        </w:r>
      </w:hyperlink>
    </w:p>
    <w:p>
      <w:pPr>
        <w:tabs>
          <w:tab w:val="right" w:leader="dot" w:pos="9062"/>
        </w:tabs>
        <w:ind w:left="440"/>
      </w:pPr>
      <w:hyperlink w:anchor="_Toc1968" w:history="1">
        <w:r>
          <w:rPr>
            <w:rFonts w:ascii="IRNazanin" w:hAnsi="IRNazanin" w:eastAsia="IRNazanin" w:cs="IRNazanin"/>
            <w:color w:val="111111"/>
            <w:sz w:val="22"/>
            <w:szCs w:val="22"/>
            <w:b w:val="0"/>
            <w:bCs w:val="0"/>
            <w:i w:val="0"/>
            <w:iCs w:val="0"/>
          </w:rPr>
          <w:t>1547- دیوان حشمتی رشتی أو شعره‏</w:t>
        </w:r>
        <w:r>
          <w:tab/>
        </w:r>
        <w:r>
          <w:fldChar w:fldCharType="begin"/>
        </w:r>
        <w:r>
          <w:instrText xml:space="preserve">PAGEREF 1968 \h</w:instrText>
        </w:r>
        <w:r>
          <w:fldChar w:fldCharType="end"/>
        </w:r>
      </w:hyperlink>
    </w:p>
    <w:p>
      <w:pPr>
        <w:tabs>
          <w:tab w:val="right" w:leader="dot" w:pos="9062"/>
        </w:tabs>
        <w:ind w:left="440"/>
      </w:pPr>
      <w:hyperlink w:anchor="_Toc1969" w:history="1">
        <w:r>
          <w:rPr>
            <w:rFonts w:ascii="IRNazanin" w:hAnsi="IRNazanin" w:eastAsia="IRNazanin" w:cs="IRNazanin"/>
            <w:color w:val="111111"/>
            <w:sz w:val="22"/>
            <w:szCs w:val="22"/>
            <w:b w:val="0"/>
            <w:bCs w:val="0"/>
            <w:i w:val="0"/>
            <w:iCs w:val="0"/>
          </w:rPr>
          <w:t>1548- دیوان حشمتی هندی‏</w:t>
        </w:r>
        <w:r>
          <w:tab/>
        </w:r>
        <w:r>
          <w:fldChar w:fldCharType="begin"/>
        </w:r>
        <w:r>
          <w:instrText xml:space="preserve">PAGEREF 1969 \h</w:instrText>
        </w:r>
        <w:r>
          <w:fldChar w:fldCharType="end"/>
        </w:r>
      </w:hyperlink>
    </w:p>
    <w:p>
      <w:pPr>
        <w:tabs>
          <w:tab w:val="right" w:leader="dot" w:pos="9062"/>
        </w:tabs>
        <w:ind w:left="440"/>
      </w:pPr>
      <w:hyperlink w:anchor="_Toc1970" w:history="1">
        <w:r>
          <w:rPr>
            <w:rFonts w:ascii="IRNazanin" w:hAnsi="IRNazanin" w:eastAsia="IRNazanin" w:cs="IRNazanin"/>
            <w:color w:val="111111"/>
            <w:sz w:val="22"/>
            <w:szCs w:val="22"/>
            <w:b w:val="0"/>
            <w:bCs w:val="0"/>
            <w:i w:val="0"/>
            <w:iCs w:val="0"/>
          </w:rPr>
          <w:t>1549- دیوان الحصکفی‏</w:t>
        </w:r>
        <w:r>
          <w:tab/>
        </w:r>
        <w:r>
          <w:fldChar w:fldCharType="begin"/>
        </w:r>
        <w:r>
          <w:instrText xml:space="preserve">PAGEREF 1970 \h</w:instrText>
        </w:r>
        <w:r>
          <w:fldChar w:fldCharType="end"/>
        </w:r>
      </w:hyperlink>
    </w:p>
    <w:p>
      <w:pPr>
        <w:tabs>
          <w:tab w:val="right" w:leader="dot" w:pos="9062"/>
        </w:tabs>
        <w:ind w:left="440"/>
      </w:pPr>
      <w:hyperlink w:anchor="_Toc1971" w:history="1">
        <w:r>
          <w:rPr>
            <w:rFonts w:ascii="IRNazanin" w:hAnsi="IRNazanin" w:eastAsia="IRNazanin" w:cs="IRNazanin"/>
            <w:color w:val="111111"/>
            <w:sz w:val="22"/>
            <w:szCs w:val="22"/>
            <w:b w:val="0"/>
            <w:bCs w:val="0"/>
            <w:i w:val="0"/>
            <w:iCs w:val="0"/>
          </w:rPr>
          <w:t>1550- دیوان المیر حضوری القمی‏</w:t>
        </w:r>
        <w:r>
          <w:tab/>
        </w:r>
        <w:r>
          <w:fldChar w:fldCharType="begin"/>
        </w:r>
        <w:r>
          <w:instrText xml:space="preserve">PAGEREF 1971 \h</w:instrText>
        </w:r>
        <w:r>
          <w:fldChar w:fldCharType="end"/>
        </w:r>
      </w:hyperlink>
    </w:p>
    <w:p>
      <w:pPr>
        <w:tabs>
          <w:tab w:val="right" w:leader="dot" w:pos="9062"/>
        </w:tabs>
        <w:ind w:left="440"/>
      </w:pPr>
      <w:hyperlink w:anchor="_Toc1972" w:history="1">
        <w:r>
          <w:rPr>
            <w:rFonts w:ascii="IRNazanin" w:hAnsi="IRNazanin" w:eastAsia="IRNazanin" w:cs="IRNazanin"/>
            <w:color w:val="111111"/>
            <w:sz w:val="22"/>
            <w:szCs w:val="22"/>
            <w:b w:val="0"/>
            <w:bCs w:val="0"/>
            <w:i w:val="0"/>
            <w:iCs w:val="0"/>
          </w:rPr>
          <w:t>1551- دیوان حفظی أصفهانی‏</w:t>
        </w:r>
        <w:r>
          <w:tab/>
        </w:r>
        <w:r>
          <w:fldChar w:fldCharType="begin"/>
        </w:r>
        <w:r>
          <w:instrText xml:space="preserve">PAGEREF 1972 \h</w:instrText>
        </w:r>
        <w:r>
          <w:fldChar w:fldCharType="end"/>
        </w:r>
      </w:hyperlink>
    </w:p>
    <w:p>
      <w:pPr>
        <w:tabs>
          <w:tab w:val="right" w:leader="dot" w:pos="9062"/>
        </w:tabs>
        <w:ind w:left="440"/>
      </w:pPr>
      <w:hyperlink w:anchor="_Toc1973" w:history="1">
        <w:r>
          <w:rPr>
            <w:rFonts w:ascii="IRNazanin" w:hAnsi="IRNazanin" w:eastAsia="IRNazanin" w:cs="IRNazanin"/>
            <w:color w:val="111111"/>
            <w:sz w:val="22"/>
            <w:szCs w:val="22"/>
            <w:b w:val="0"/>
            <w:bCs w:val="0"/>
            <w:i w:val="0"/>
            <w:iCs w:val="0"/>
          </w:rPr>
          <w:t>1552- دیوان حفظی طهرانی‏</w:t>
        </w:r>
        <w:r>
          <w:tab/>
        </w:r>
        <w:r>
          <w:fldChar w:fldCharType="begin"/>
        </w:r>
        <w:r>
          <w:instrText xml:space="preserve">PAGEREF 1973 \h</w:instrText>
        </w:r>
        <w:r>
          <w:fldChar w:fldCharType="end"/>
        </w:r>
      </w:hyperlink>
    </w:p>
    <w:p>
      <w:pPr>
        <w:tabs>
          <w:tab w:val="right" w:leader="dot" w:pos="9062"/>
        </w:tabs>
        <w:ind w:left="440"/>
      </w:pPr>
      <w:hyperlink w:anchor="_Toc1974" w:history="1">
        <w:r>
          <w:rPr>
            <w:rFonts w:ascii="IRNazanin" w:hAnsi="IRNazanin" w:eastAsia="IRNazanin" w:cs="IRNazanin"/>
            <w:color w:val="111111"/>
            <w:sz w:val="22"/>
            <w:szCs w:val="22"/>
            <w:b w:val="0"/>
            <w:bCs w:val="0"/>
            <w:i w:val="0"/>
            <w:iCs w:val="0"/>
          </w:rPr>
          <w:t>دیوان حفظی تبریزی‏</w:t>
        </w:r>
        <w:r>
          <w:tab/>
        </w:r>
        <w:r>
          <w:fldChar w:fldCharType="begin"/>
        </w:r>
        <w:r>
          <w:instrText xml:space="preserve">PAGEREF 1974 \h</w:instrText>
        </w:r>
        <w:r>
          <w:fldChar w:fldCharType="end"/>
        </w:r>
      </w:hyperlink>
    </w:p>
    <w:p>
      <w:pPr>
        <w:tabs>
          <w:tab w:val="right" w:leader="dot" w:pos="9062"/>
        </w:tabs>
        <w:ind w:left="440"/>
      </w:pPr>
      <w:hyperlink w:anchor="_Toc1975" w:history="1">
        <w:r>
          <w:rPr>
            <w:rFonts w:ascii="IRNazanin" w:hAnsi="IRNazanin" w:eastAsia="IRNazanin" w:cs="IRNazanin"/>
            <w:color w:val="111111"/>
            <w:sz w:val="22"/>
            <w:szCs w:val="22"/>
            <w:b w:val="0"/>
            <w:bCs w:val="0"/>
            <w:i w:val="0"/>
            <w:iCs w:val="0"/>
          </w:rPr>
          <w:t>1553- دیوان حفید یزدی أو شعره‏</w:t>
        </w:r>
        <w:r>
          <w:tab/>
        </w:r>
        <w:r>
          <w:fldChar w:fldCharType="begin"/>
        </w:r>
        <w:r>
          <w:instrText xml:space="preserve">PAGEREF 1975 \h</w:instrText>
        </w:r>
        <w:r>
          <w:fldChar w:fldCharType="end"/>
        </w:r>
      </w:hyperlink>
    </w:p>
    <w:p>
      <w:pPr>
        <w:tabs>
          <w:tab w:val="right" w:leader="dot" w:pos="9062"/>
        </w:tabs>
        <w:ind w:left="440"/>
      </w:pPr>
      <w:hyperlink w:anchor="_Toc1976" w:history="1">
        <w:r>
          <w:rPr>
            <w:rFonts w:ascii="IRNazanin" w:hAnsi="IRNazanin" w:eastAsia="IRNazanin" w:cs="IRNazanin"/>
            <w:color w:val="111111"/>
            <w:sz w:val="22"/>
            <w:szCs w:val="22"/>
            <w:b w:val="0"/>
            <w:bCs w:val="0"/>
            <w:i w:val="0"/>
            <w:iCs w:val="0"/>
          </w:rPr>
          <w:t>1554- دیوان حفیظ أصفهانی أو شعره‏</w:t>
        </w:r>
        <w:r>
          <w:tab/>
        </w:r>
        <w:r>
          <w:fldChar w:fldCharType="begin"/>
        </w:r>
        <w:r>
          <w:instrText xml:space="preserve">PAGEREF 1976 \h</w:instrText>
        </w:r>
        <w:r>
          <w:fldChar w:fldCharType="end"/>
        </w:r>
      </w:hyperlink>
    </w:p>
    <w:p>
      <w:pPr>
        <w:tabs>
          <w:tab w:val="right" w:leader="dot" w:pos="9062"/>
        </w:tabs>
        <w:ind w:left="440"/>
      </w:pPr>
      <w:hyperlink w:anchor="_Toc1977" w:history="1">
        <w:r>
          <w:rPr>
            <w:rFonts w:ascii="IRNazanin" w:hAnsi="IRNazanin" w:eastAsia="IRNazanin" w:cs="IRNazanin"/>
            <w:color w:val="111111"/>
            <w:sz w:val="22"/>
            <w:szCs w:val="22"/>
            <w:b w:val="0"/>
            <w:bCs w:val="0"/>
            <w:i w:val="0"/>
            <w:iCs w:val="0"/>
          </w:rPr>
          <w:t>1555- دیوان الحقائق‏</w:t>
        </w:r>
        <w:r>
          <w:tab/>
        </w:r>
        <w:r>
          <w:fldChar w:fldCharType="begin"/>
        </w:r>
        <w:r>
          <w:instrText xml:space="preserve">PAGEREF 1977 \h</w:instrText>
        </w:r>
        <w:r>
          <w:fldChar w:fldCharType="end"/>
        </w:r>
      </w:hyperlink>
    </w:p>
    <w:p>
      <w:pPr>
        <w:tabs>
          <w:tab w:val="right" w:leader="dot" w:pos="9062"/>
        </w:tabs>
        <w:ind w:left="440"/>
      </w:pPr>
      <w:hyperlink w:anchor="_Toc1978" w:history="1">
        <w:r>
          <w:rPr>
            <w:rFonts w:ascii="IRNazanin" w:hAnsi="IRNazanin" w:eastAsia="IRNazanin" w:cs="IRNazanin"/>
            <w:color w:val="111111"/>
            <w:sz w:val="22"/>
            <w:szCs w:val="22"/>
            <w:b w:val="0"/>
            <w:bCs w:val="0"/>
            <w:i w:val="0"/>
            <w:iCs w:val="0"/>
          </w:rPr>
          <w:t>1556- دیوان حقایق‏</w:t>
        </w:r>
        <w:r>
          <w:tab/>
        </w:r>
        <w:r>
          <w:fldChar w:fldCharType="begin"/>
        </w:r>
        <w:r>
          <w:instrText xml:space="preserve">PAGEREF 1978 \h</w:instrText>
        </w:r>
        <w:r>
          <w:fldChar w:fldCharType="end"/>
        </w:r>
      </w:hyperlink>
    </w:p>
    <w:p>
      <w:pPr>
        <w:tabs>
          <w:tab w:val="right" w:leader="dot" w:pos="9062"/>
        </w:tabs>
        <w:ind w:left="440"/>
      </w:pPr>
      <w:hyperlink w:anchor="_Toc1979" w:history="1">
        <w:r>
          <w:rPr>
            <w:rFonts w:ascii="IRNazanin" w:hAnsi="IRNazanin" w:eastAsia="IRNazanin" w:cs="IRNazanin"/>
            <w:color w:val="111111"/>
            <w:sz w:val="22"/>
            <w:szCs w:val="22"/>
            <w:b w:val="0"/>
            <w:bCs w:val="0"/>
            <w:i w:val="0"/>
            <w:iCs w:val="0"/>
          </w:rPr>
          <w:t>دیوان حقائقی‏</w:t>
        </w:r>
        <w:r>
          <w:tab/>
        </w:r>
        <w:r>
          <w:fldChar w:fldCharType="begin"/>
        </w:r>
        <w:r>
          <w:instrText xml:space="preserve">PAGEREF 1979 \h</w:instrText>
        </w:r>
        <w:r>
          <w:fldChar w:fldCharType="end"/>
        </w:r>
      </w:hyperlink>
    </w:p>
    <w:p>
      <w:pPr>
        <w:tabs>
          <w:tab w:val="right" w:leader="dot" w:pos="9062"/>
        </w:tabs>
        <w:ind w:left="440"/>
      </w:pPr>
      <w:hyperlink w:anchor="_Toc1980" w:history="1">
        <w:r>
          <w:rPr>
            <w:rFonts w:ascii="IRNazanin" w:hAnsi="IRNazanin" w:eastAsia="IRNazanin" w:cs="IRNazanin"/>
            <w:color w:val="111111"/>
            <w:sz w:val="22"/>
            <w:szCs w:val="22"/>
            <w:b w:val="0"/>
            <w:bCs w:val="0"/>
            <w:i w:val="0"/>
            <w:iCs w:val="0"/>
          </w:rPr>
          <w:t>1557- دیوان حقی دهلوی‏</w:t>
        </w:r>
        <w:r>
          <w:tab/>
        </w:r>
        <w:r>
          <w:fldChar w:fldCharType="begin"/>
        </w:r>
        <w:r>
          <w:instrText xml:space="preserve">PAGEREF 1980 \h</w:instrText>
        </w:r>
        <w:r>
          <w:fldChar w:fldCharType="end"/>
        </w:r>
      </w:hyperlink>
    </w:p>
    <w:p>
      <w:pPr>
        <w:tabs>
          <w:tab w:val="right" w:leader="dot" w:pos="9062"/>
        </w:tabs>
        <w:ind w:left="440"/>
      </w:pPr>
      <w:hyperlink w:anchor="_Toc1981" w:history="1">
        <w:r>
          <w:rPr>
            <w:rFonts w:ascii="IRNazanin" w:hAnsi="IRNazanin" w:eastAsia="IRNazanin" w:cs="IRNazanin"/>
            <w:color w:val="111111"/>
            <w:sz w:val="22"/>
            <w:szCs w:val="22"/>
            <w:b w:val="0"/>
            <w:bCs w:val="0"/>
            <w:i w:val="0"/>
            <w:iCs w:val="0"/>
          </w:rPr>
          <w:t>1558- دیوان حقی خوانساری أو شعره‏</w:t>
        </w:r>
        <w:r>
          <w:tab/>
        </w:r>
        <w:r>
          <w:fldChar w:fldCharType="begin"/>
        </w:r>
        <w:r>
          <w:instrText xml:space="preserve">PAGEREF 1981 \h</w:instrText>
        </w:r>
        <w:r>
          <w:fldChar w:fldCharType="end"/>
        </w:r>
      </w:hyperlink>
    </w:p>
    <w:p>
      <w:pPr>
        <w:tabs>
          <w:tab w:val="right" w:leader="dot" w:pos="9062"/>
        </w:tabs>
        <w:ind w:left="440"/>
      </w:pPr>
      <w:hyperlink w:anchor="_Toc1982" w:history="1">
        <w:r>
          <w:rPr>
            <w:rFonts w:ascii="IRNazanin" w:hAnsi="IRNazanin" w:eastAsia="IRNazanin" w:cs="IRNazanin"/>
            <w:color w:val="111111"/>
            <w:sz w:val="22"/>
            <w:szCs w:val="22"/>
            <w:b w:val="0"/>
            <w:bCs w:val="0"/>
            <w:i w:val="0"/>
            <w:iCs w:val="0"/>
          </w:rPr>
          <w:t>1559- دیوان مولانا حقی الرازی‏</w:t>
        </w:r>
        <w:r>
          <w:tab/>
        </w:r>
        <w:r>
          <w:fldChar w:fldCharType="begin"/>
        </w:r>
        <w:r>
          <w:instrText xml:space="preserve">PAGEREF 1982 \h</w:instrText>
        </w:r>
        <w:r>
          <w:fldChar w:fldCharType="end"/>
        </w:r>
      </w:hyperlink>
    </w:p>
    <w:p>
      <w:pPr>
        <w:tabs>
          <w:tab w:val="right" w:leader="dot" w:pos="9062"/>
        </w:tabs>
        <w:ind w:left="440"/>
      </w:pPr>
      <w:hyperlink w:anchor="_Toc1983" w:history="1">
        <w:r>
          <w:rPr>
            <w:rFonts w:ascii="IRNazanin" w:hAnsi="IRNazanin" w:eastAsia="IRNazanin" w:cs="IRNazanin"/>
            <w:color w:val="111111"/>
            <w:sz w:val="22"/>
            <w:szCs w:val="22"/>
            <w:b w:val="0"/>
            <w:bCs w:val="0"/>
            <w:i w:val="0"/>
            <w:iCs w:val="0"/>
          </w:rPr>
          <w:t>1560- دیوان حقیر الله‏آبادی أو شعره‏</w:t>
        </w:r>
        <w:r>
          <w:tab/>
        </w:r>
        <w:r>
          <w:fldChar w:fldCharType="begin"/>
        </w:r>
        <w:r>
          <w:instrText xml:space="preserve">PAGEREF 1983 \h</w:instrText>
        </w:r>
        <w:r>
          <w:fldChar w:fldCharType="end"/>
        </w:r>
      </w:hyperlink>
    </w:p>
    <w:p>
      <w:pPr>
        <w:tabs>
          <w:tab w:val="right" w:leader="dot" w:pos="9062"/>
        </w:tabs>
        <w:ind w:left="440"/>
      </w:pPr>
      <w:hyperlink w:anchor="_Toc1984" w:history="1">
        <w:r>
          <w:rPr>
            <w:rFonts w:ascii="IRNazanin" w:hAnsi="IRNazanin" w:eastAsia="IRNazanin" w:cs="IRNazanin"/>
            <w:color w:val="111111"/>
            <w:sz w:val="22"/>
            <w:szCs w:val="22"/>
            <w:b w:val="0"/>
            <w:bCs w:val="0"/>
            <w:i w:val="0"/>
            <w:iCs w:val="0"/>
          </w:rPr>
          <w:t>1561- دیوان حقیر دزفولی‏</w:t>
        </w:r>
        <w:r>
          <w:tab/>
        </w:r>
        <w:r>
          <w:fldChar w:fldCharType="begin"/>
        </w:r>
        <w:r>
          <w:instrText xml:space="preserve">PAGEREF 1984 \h</w:instrText>
        </w:r>
        <w:r>
          <w:fldChar w:fldCharType="end"/>
        </w:r>
      </w:hyperlink>
    </w:p>
    <w:p>
      <w:pPr>
        <w:tabs>
          <w:tab w:val="right" w:leader="dot" w:pos="9062"/>
        </w:tabs>
        <w:ind w:left="440"/>
      </w:pPr>
      <w:hyperlink w:anchor="_Toc1985" w:history="1">
        <w:r>
          <w:rPr>
            <w:rFonts w:ascii="IRNazanin" w:hAnsi="IRNazanin" w:eastAsia="IRNazanin" w:cs="IRNazanin"/>
            <w:color w:val="111111"/>
            <w:sz w:val="22"/>
            <w:szCs w:val="22"/>
            <w:b w:val="0"/>
            <w:bCs w:val="0"/>
            <w:i w:val="0"/>
            <w:iCs w:val="0"/>
          </w:rPr>
          <w:t>1562- دیوان حقیر أو شعره‏</w:t>
        </w:r>
        <w:r>
          <w:tab/>
        </w:r>
        <w:r>
          <w:fldChar w:fldCharType="begin"/>
        </w:r>
        <w:r>
          <w:instrText xml:space="preserve">PAGEREF 1985 \h</w:instrText>
        </w:r>
        <w:r>
          <w:fldChar w:fldCharType="end"/>
        </w:r>
      </w:hyperlink>
    </w:p>
    <w:p>
      <w:pPr>
        <w:tabs>
          <w:tab w:val="right" w:leader="dot" w:pos="9062"/>
        </w:tabs>
        <w:ind w:left="440"/>
      </w:pPr>
      <w:hyperlink w:anchor="_Toc1986" w:history="1">
        <w:r>
          <w:rPr>
            <w:rFonts w:ascii="IRNazanin" w:hAnsi="IRNazanin" w:eastAsia="IRNazanin" w:cs="IRNazanin"/>
            <w:color w:val="111111"/>
            <w:sz w:val="22"/>
            <w:szCs w:val="22"/>
            <w:b w:val="0"/>
            <w:bCs w:val="0"/>
            <w:i w:val="0"/>
            <w:iCs w:val="0"/>
          </w:rPr>
          <w:t>1563- دیوان حقیری تبریزی‏</w:t>
        </w:r>
        <w:r>
          <w:tab/>
        </w:r>
        <w:r>
          <w:fldChar w:fldCharType="begin"/>
        </w:r>
        <w:r>
          <w:instrText xml:space="preserve">PAGEREF 1986 \h</w:instrText>
        </w:r>
        <w:r>
          <w:fldChar w:fldCharType="end"/>
        </w:r>
      </w:hyperlink>
    </w:p>
    <w:p>
      <w:pPr>
        <w:tabs>
          <w:tab w:val="right" w:leader="dot" w:pos="9062"/>
        </w:tabs>
        <w:ind w:left="440"/>
      </w:pPr>
      <w:hyperlink w:anchor="_Toc1987" w:history="1">
        <w:r>
          <w:rPr>
            <w:rFonts w:ascii="IRNazanin" w:hAnsi="IRNazanin" w:eastAsia="IRNazanin" w:cs="IRNazanin"/>
            <w:color w:val="111111"/>
            <w:sz w:val="22"/>
            <w:szCs w:val="22"/>
            <w:b w:val="0"/>
            <w:bCs w:val="0"/>
            <w:i w:val="0"/>
            <w:iCs w:val="0"/>
          </w:rPr>
          <w:t>1564- دیوان حقیری التبریزی‏</w:t>
        </w:r>
        <w:r>
          <w:tab/>
        </w:r>
        <w:r>
          <w:fldChar w:fldCharType="begin"/>
        </w:r>
        <w:r>
          <w:instrText xml:space="preserve">PAGEREF 1987 \h</w:instrText>
        </w:r>
        <w:r>
          <w:fldChar w:fldCharType="end"/>
        </w:r>
      </w:hyperlink>
    </w:p>
    <w:p>
      <w:pPr>
        <w:tabs>
          <w:tab w:val="right" w:leader="dot" w:pos="9062"/>
        </w:tabs>
        <w:ind w:left="440"/>
      </w:pPr>
      <w:hyperlink w:anchor="_Toc1988" w:history="1">
        <w:r>
          <w:rPr>
            <w:rFonts w:ascii="IRNazanin" w:hAnsi="IRNazanin" w:eastAsia="IRNazanin" w:cs="IRNazanin"/>
            <w:color w:val="111111"/>
            <w:sz w:val="22"/>
            <w:szCs w:val="22"/>
            <w:b w:val="0"/>
            <w:bCs w:val="0"/>
            <w:i w:val="0"/>
            <w:iCs w:val="0"/>
          </w:rPr>
          <w:t>1565- دیوان حقیری هروی‏</w:t>
        </w:r>
        <w:r>
          <w:tab/>
        </w:r>
        <w:r>
          <w:fldChar w:fldCharType="begin"/>
        </w:r>
        <w:r>
          <w:instrText xml:space="preserve">PAGEREF 1988 \h</w:instrText>
        </w:r>
        <w:r>
          <w:fldChar w:fldCharType="end"/>
        </w:r>
      </w:hyperlink>
    </w:p>
    <w:p>
      <w:pPr>
        <w:tabs>
          <w:tab w:val="right" w:leader="dot" w:pos="9062"/>
        </w:tabs>
        <w:ind w:left="440"/>
      </w:pPr>
      <w:hyperlink w:anchor="_Toc1989" w:history="1">
        <w:r>
          <w:rPr>
            <w:rFonts w:ascii="IRNazanin" w:hAnsi="IRNazanin" w:eastAsia="IRNazanin" w:cs="IRNazanin"/>
            <w:color w:val="111111"/>
            <w:sz w:val="22"/>
            <w:szCs w:val="22"/>
            <w:b w:val="0"/>
            <w:bCs w:val="0"/>
            <w:i w:val="0"/>
            <w:iCs w:val="0"/>
          </w:rPr>
          <w:t>1566- دیوان حقیقی‏</w:t>
        </w:r>
        <w:r>
          <w:tab/>
        </w:r>
        <w:r>
          <w:fldChar w:fldCharType="begin"/>
        </w:r>
        <w:r>
          <w:instrText xml:space="preserve">PAGEREF 1989 \h</w:instrText>
        </w:r>
        <w:r>
          <w:fldChar w:fldCharType="end"/>
        </w:r>
      </w:hyperlink>
    </w:p>
    <w:p>
      <w:pPr>
        <w:tabs>
          <w:tab w:val="right" w:leader="dot" w:pos="9062"/>
        </w:tabs>
        <w:ind w:left="440"/>
      </w:pPr>
      <w:hyperlink w:anchor="_Toc1990" w:history="1">
        <w:r>
          <w:rPr>
            <w:rFonts w:ascii="IRNazanin" w:hAnsi="IRNazanin" w:eastAsia="IRNazanin" w:cs="IRNazanin"/>
            <w:color w:val="111111"/>
            <w:sz w:val="22"/>
            <w:szCs w:val="22"/>
            <w:b w:val="0"/>
            <w:bCs w:val="0"/>
            <w:i w:val="0"/>
            <w:iCs w:val="0"/>
          </w:rPr>
          <w:t>1567- دیوان حقیقی بغدادی أو شعره‏</w:t>
        </w:r>
        <w:r>
          <w:tab/>
        </w:r>
        <w:r>
          <w:fldChar w:fldCharType="begin"/>
        </w:r>
        <w:r>
          <w:instrText xml:space="preserve">PAGEREF 1990 \h</w:instrText>
        </w:r>
        <w:r>
          <w:fldChar w:fldCharType="end"/>
        </w:r>
      </w:hyperlink>
    </w:p>
    <w:p>
      <w:pPr>
        <w:tabs>
          <w:tab w:val="right" w:leader="dot" w:pos="9062"/>
        </w:tabs>
        <w:ind w:left="440"/>
      </w:pPr>
      <w:hyperlink w:anchor="_Toc1991" w:history="1">
        <w:r>
          <w:rPr>
            <w:rFonts w:ascii="IRNazanin" w:hAnsi="IRNazanin" w:eastAsia="IRNazanin" w:cs="IRNazanin"/>
            <w:color w:val="111111"/>
            <w:sz w:val="22"/>
            <w:szCs w:val="22"/>
            <w:b w:val="0"/>
            <w:bCs w:val="0"/>
            <w:i w:val="0"/>
            <w:iCs w:val="0"/>
          </w:rPr>
          <w:t>1568- دیوان حقیقی گجراتی أو شعره‏</w:t>
        </w:r>
        <w:r>
          <w:tab/>
        </w:r>
        <w:r>
          <w:fldChar w:fldCharType="begin"/>
        </w:r>
        <w:r>
          <w:instrText xml:space="preserve">PAGEREF 1991 \h</w:instrText>
        </w:r>
        <w:r>
          <w:fldChar w:fldCharType="end"/>
        </w:r>
      </w:hyperlink>
    </w:p>
    <w:p>
      <w:pPr>
        <w:tabs>
          <w:tab w:val="right" w:leader="dot" w:pos="9062"/>
        </w:tabs>
        <w:ind w:left="440"/>
      </w:pPr>
      <w:hyperlink w:anchor="_Toc1992" w:history="1">
        <w:r>
          <w:rPr>
            <w:rFonts w:ascii="IRNazanin" w:hAnsi="IRNazanin" w:eastAsia="IRNazanin" w:cs="IRNazanin"/>
            <w:color w:val="111111"/>
            <w:sz w:val="22"/>
            <w:szCs w:val="22"/>
            <w:b w:val="0"/>
            <w:bCs w:val="0"/>
            <w:i w:val="0"/>
            <w:iCs w:val="0"/>
          </w:rPr>
          <w:t>1569- دیوان حکاک أصفهانی‏</w:t>
        </w:r>
        <w:r>
          <w:tab/>
        </w:r>
        <w:r>
          <w:fldChar w:fldCharType="begin"/>
        </w:r>
        <w:r>
          <w:instrText xml:space="preserve">PAGEREF 1992 \h</w:instrText>
        </w:r>
        <w:r>
          <w:fldChar w:fldCharType="end"/>
        </w:r>
      </w:hyperlink>
    </w:p>
    <w:p>
      <w:pPr>
        <w:tabs>
          <w:tab w:val="right" w:leader="dot" w:pos="9062"/>
        </w:tabs>
        <w:ind w:left="440"/>
      </w:pPr>
      <w:hyperlink w:anchor="_Toc1993" w:history="1">
        <w:r>
          <w:rPr>
            <w:rFonts w:ascii="IRNazanin" w:hAnsi="IRNazanin" w:eastAsia="IRNazanin" w:cs="IRNazanin"/>
            <w:color w:val="111111"/>
            <w:sz w:val="22"/>
            <w:szCs w:val="22"/>
            <w:b w:val="0"/>
            <w:bCs w:val="0"/>
            <w:i w:val="0"/>
            <w:iCs w:val="0"/>
          </w:rPr>
          <w:t>1570- دیوان حکاک شیرازی‏</w:t>
        </w:r>
        <w:r>
          <w:tab/>
        </w:r>
        <w:r>
          <w:fldChar w:fldCharType="begin"/>
        </w:r>
        <w:r>
          <w:instrText xml:space="preserve">PAGEREF 1993 \h</w:instrText>
        </w:r>
        <w:r>
          <w:fldChar w:fldCharType="end"/>
        </w:r>
      </w:hyperlink>
    </w:p>
    <w:p>
      <w:pPr>
        <w:tabs>
          <w:tab w:val="right" w:leader="dot" w:pos="9062"/>
        </w:tabs>
        <w:ind w:left="440"/>
      </w:pPr>
      <w:hyperlink w:anchor="_Toc1994" w:history="1">
        <w:r>
          <w:rPr>
            <w:rFonts w:ascii="IRNazanin" w:hAnsi="IRNazanin" w:eastAsia="IRNazanin" w:cs="IRNazanin"/>
            <w:color w:val="111111"/>
            <w:sz w:val="22"/>
            <w:szCs w:val="22"/>
            <w:b w:val="0"/>
            <w:bCs w:val="0"/>
            <w:i w:val="0"/>
            <w:iCs w:val="0"/>
          </w:rPr>
          <w:t>دیوان حکاک شیرازی‏</w:t>
        </w:r>
        <w:r>
          <w:tab/>
        </w:r>
        <w:r>
          <w:fldChar w:fldCharType="begin"/>
        </w:r>
        <w:r>
          <w:instrText xml:space="preserve">PAGEREF 1994 \h</w:instrText>
        </w:r>
        <w:r>
          <w:fldChar w:fldCharType="end"/>
        </w:r>
      </w:hyperlink>
    </w:p>
    <w:p>
      <w:pPr>
        <w:tabs>
          <w:tab w:val="right" w:leader="dot" w:pos="9062"/>
        </w:tabs>
        <w:ind w:left="440"/>
      </w:pPr>
      <w:hyperlink w:anchor="_Toc1995" w:history="1">
        <w:r>
          <w:rPr>
            <w:rFonts w:ascii="IRNazanin" w:hAnsi="IRNazanin" w:eastAsia="IRNazanin" w:cs="IRNazanin"/>
            <w:color w:val="111111"/>
            <w:sz w:val="22"/>
            <w:szCs w:val="22"/>
            <w:b w:val="0"/>
            <w:bCs w:val="0"/>
            <w:i w:val="0"/>
            <w:iCs w:val="0"/>
          </w:rPr>
          <w:t>1571- دیوان حکمی هندی أو شعره‏</w:t>
        </w:r>
        <w:r>
          <w:tab/>
        </w:r>
        <w:r>
          <w:fldChar w:fldCharType="begin"/>
        </w:r>
        <w:r>
          <w:instrText xml:space="preserve">PAGEREF 1995 \h</w:instrText>
        </w:r>
        <w:r>
          <w:fldChar w:fldCharType="end"/>
        </w:r>
      </w:hyperlink>
    </w:p>
    <w:p>
      <w:pPr>
        <w:tabs>
          <w:tab w:val="right" w:leader="dot" w:pos="9062"/>
        </w:tabs>
        <w:ind w:left="440"/>
      </w:pPr>
      <w:hyperlink w:anchor="_Toc1996" w:history="1">
        <w:r>
          <w:rPr>
            <w:rFonts w:ascii="IRNazanin" w:hAnsi="IRNazanin" w:eastAsia="IRNazanin" w:cs="IRNazanin"/>
            <w:color w:val="111111"/>
            <w:sz w:val="22"/>
            <w:szCs w:val="22"/>
            <w:b w:val="0"/>
            <w:bCs w:val="0"/>
            <w:i w:val="0"/>
            <w:iCs w:val="0"/>
          </w:rPr>
          <w:t>1572- دیوان الحکیم أبی الحسین الشیرازی أو شعره‏</w:t>
        </w:r>
        <w:r>
          <w:tab/>
        </w:r>
        <w:r>
          <w:fldChar w:fldCharType="begin"/>
        </w:r>
        <w:r>
          <w:instrText xml:space="preserve">PAGEREF 1996 \h</w:instrText>
        </w:r>
        <w:r>
          <w:fldChar w:fldCharType="end"/>
        </w:r>
      </w:hyperlink>
    </w:p>
    <w:p>
      <w:pPr>
        <w:tabs>
          <w:tab w:val="right" w:leader="dot" w:pos="9062"/>
        </w:tabs>
        <w:ind w:left="440"/>
      </w:pPr>
      <w:hyperlink w:anchor="_Toc1997" w:history="1">
        <w:r>
          <w:rPr>
            <w:rFonts w:ascii="IRNazanin" w:hAnsi="IRNazanin" w:eastAsia="IRNazanin" w:cs="IRNazanin"/>
            <w:color w:val="111111"/>
            <w:sz w:val="22"/>
            <w:szCs w:val="22"/>
            <w:b w:val="0"/>
            <w:bCs w:val="0"/>
            <w:i w:val="0"/>
            <w:iCs w:val="0"/>
          </w:rPr>
          <w:t>دیوان حکیم أبو طالب‏</w:t>
        </w:r>
        <w:r>
          <w:tab/>
        </w:r>
        <w:r>
          <w:fldChar w:fldCharType="begin"/>
        </w:r>
        <w:r>
          <w:instrText xml:space="preserve">PAGEREF 1997 \h</w:instrText>
        </w:r>
        <w:r>
          <w:fldChar w:fldCharType="end"/>
        </w:r>
      </w:hyperlink>
    </w:p>
    <w:p>
      <w:pPr>
        <w:tabs>
          <w:tab w:val="right" w:leader="dot" w:pos="9062"/>
        </w:tabs>
        <w:ind w:left="440"/>
      </w:pPr>
      <w:hyperlink w:anchor="_Toc1998" w:history="1">
        <w:r>
          <w:rPr>
            <w:rFonts w:ascii="IRNazanin" w:hAnsi="IRNazanin" w:eastAsia="IRNazanin" w:cs="IRNazanin"/>
            <w:color w:val="111111"/>
            <w:sz w:val="22"/>
            <w:szCs w:val="22"/>
            <w:b w:val="0"/>
            <w:bCs w:val="0"/>
            <w:i w:val="0"/>
            <w:iCs w:val="0"/>
          </w:rPr>
          <w:t>دیوان حکیم أبو الفتح لاهیجی‏</w:t>
        </w:r>
        <w:r>
          <w:tab/>
        </w:r>
        <w:r>
          <w:fldChar w:fldCharType="begin"/>
        </w:r>
        <w:r>
          <w:instrText xml:space="preserve">PAGEREF 1998 \h</w:instrText>
        </w:r>
        <w:r>
          <w:fldChar w:fldCharType="end"/>
        </w:r>
      </w:hyperlink>
    </w:p>
    <w:p>
      <w:pPr>
        <w:tabs>
          <w:tab w:val="right" w:leader="dot" w:pos="9062"/>
        </w:tabs>
        <w:ind w:left="440"/>
      </w:pPr>
      <w:hyperlink w:anchor="_Toc1999" w:history="1">
        <w:r>
          <w:rPr>
            <w:rFonts w:ascii="IRNazanin" w:hAnsi="IRNazanin" w:eastAsia="IRNazanin" w:cs="IRNazanin"/>
            <w:color w:val="111111"/>
            <w:sz w:val="22"/>
            <w:szCs w:val="22"/>
            <w:b w:val="0"/>
            <w:bCs w:val="0"/>
            <w:i w:val="0"/>
            <w:iCs w:val="0"/>
          </w:rPr>
          <w:t>دیوان حکیم أبو المکارم السرخسی‏</w:t>
        </w:r>
        <w:r>
          <w:tab/>
        </w:r>
        <w:r>
          <w:fldChar w:fldCharType="begin"/>
        </w:r>
        <w:r>
          <w:instrText xml:space="preserve">PAGEREF 1999 \h</w:instrText>
        </w:r>
        <w:r>
          <w:fldChar w:fldCharType="end"/>
        </w:r>
      </w:hyperlink>
    </w:p>
    <w:p>
      <w:pPr>
        <w:tabs>
          <w:tab w:val="right" w:leader="dot" w:pos="9062"/>
        </w:tabs>
        <w:ind w:left="440"/>
      </w:pPr>
      <w:hyperlink w:anchor="_Toc2000" w:history="1">
        <w:r>
          <w:rPr>
            <w:rFonts w:ascii="IRNazanin" w:hAnsi="IRNazanin" w:eastAsia="IRNazanin" w:cs="IRNazanin"/>
            <w:color w:val="111111"/>
            <w:sz w:val="22"/>
            <w:szCs w:val="22"/>
            <w:b w:val="0"/>
            <w:bCs w:val="0"/>
            <w:i w:val="0"/>
            <w:iCs w:val="0"/>
          </w:rPr>
          <w:t>1573- دیوان الحکیم أبی الهیثم‏</w:t>
        </w:r>
        <w:r>
          <w:tab/>
        </w:r>
        <w:r>
          <w:fldChar w:fldCharType="begin"/>
        </w:r>
        <w:r>
          <w:instrText xml:space="preserve">PAGEREF 2000 \h</w:instrText>
        </w:r>
        <w:r>
          <w:fldChar w:fldCharType="end"/>
        </w:r>
      </w:hyperlink>
    </w:p>
    <w:p>
      <w:pPr>
        <w:tabs>
          <w:tab w:val="right" w:leader="dot" w:pos="9062"/>
        </w:tabs>
        <w:ind w:left="440"/>
      </w:pPr>
      <w:hyperlink w:anchor="_Toc2001" w:history="1">
        <w:r>
          <w:rPr>
            <w:rFonts w:ascii="IRNazanin" w:hAnsi="IRNazanin" w:eastAsia="IRNazanin" w:cs="IRNazanin"/>
            <w:color w:val="111111"/>
            <w:sz w:val="22"/>
            <w:szCs w:val="22"/>
            <w:b w:val="0"/>
            <w:bCs w:val="0"/>
            <w:i w:val="0"/>
            <w:iCs w:val="0"/>
          </w:rPr>
          <w:t>1574- دیوان حکیم أردستانی أو شعره‏</w:t>
        </w:r>
        <w:r>
          <w:tab/>
        </w:r>
        <w:r>
          <w:fldChar w:fldCharType="begin"/>
        </w:r>
        <w:r>
          <w:instrText xml:space="preserve">PAGEREF 2001 \h</w:instrText>
        </w:r>
        <w:r>
          <w:fldChar w:fldCharType="end"/>
        </w:r>
      </w:hyperlink>
    </w:p>
    <w:p>
      <w:pPr>
        <w:tabs>
          <w:tab w:val="right" w:leader="dot" w:pos="9062"/>
        </w:tabs>
        <w:ind w:left="440"/>
      </w:pPr>
      <w:hyperlink w:anchor="_Toc2002" w:history="1">
        <w:r>
          <w:rPr>
            <w:rFonts w:ascii="IRNazanin" w:hAnsi="IRNazanin" w:eastAsia="IRNazanin" w:cs="IRNazanin"/>
            <w:color w:val="111111"/>
            <w:sz w:val="22"/>
            <w:szCs w:val="22"/>
            <w:b w:val="0"/>
            <w:bCs w:val="0"/>
            <w:i w:val="0"/>
            <w:iCs w:val="0"/>
          </w:rPr>
          <w:t>دیوان حکیم أشرفی سمرقندی‏</w:t>
        </w:r>
        <w:r>
          <w:tab/>
        </w:r>
        <w:r>
          <w:fldChar w:fldCharType="begin"/>
        </w:r>
        <w:r>
          <w:instrText xml:space="preserve">PAGEREF 2002 \h</w:instrText>
        </w:r>
        <w:r>
          <w:fldChar w:fldCharType="end"/>
        </w:r>
      </w:hyperlink>
    </w:p>
    <w:p>
      <w:pPr>
        <w:tabs>
          <w:tab w:val="right" w:leader="dot" w:pos="9062"/>
        </w:tabs>
        <w:ind w:left="440"/>
      </w:pPr>
      <w:hyperlink w:anchor="_Toc2003" w:history="1">
        <w:r>
          <w:rPr>
            <w:rFonts w:ascii="IRNazanin" w:hAnsi="IRNazanin" w:eastAsia="IRNazanin" w:cs="IRNazanin"/>
            <w:color w:val="111111"/>
            <w:sz w:val="22"/>
            <w:szCs w:val="22"/>
            <w:b w:val="0"/>
            <w:bCs w:val="0"/>
            <w:i w:val="0"/>
            <w:iCs w:val="0"/>
          </w:rPr>
          <w:t>دیوان حکیم أفسری ترمذی‏</w:t>
        </w:r>
        <w:r>
          <w:tab/>
        </w:r>
        <w:r>
          <w:fldChar w:fldCharType="begin"/>
        </w:r>
        <w:r>
          <w:instrText xml:space="preserve">PAGEREF 2003 \h</w:instrText>
        </w:r>
        <w:r>
          <w:fldChar w:fldCharType="end"/>
        </w:r>
      </w:hyperlink>
    </w:p>
    <w:p>
      <w:pPr>
        <w:tabs>
          <w:tab w:val="right" w:leader="dot" w:pos="9062"/>
        </w:tabs>
        <w:ind w:left="440"/>
      </w:pPr>
      <w:hyperlink w:anchor="_Toc2004" w:history="1">
        <w:r>
          <w:rPr>
            <w:rFonts w:ascii="IRNazanin" w:hAnsi="IRNazanin" w:eastAsia="IRNazanin" w:cs="IRNazanin"/>
            <w:color w:val="111111"/>
            <w:sz w:val="22"/>
            <w:szCs w:val="22"/>
            <w:b w:val="0"/>
            <w:bCs w:val="0"/>
            <w:i w:val="0"/>
            <w:iCs w:val="0"/>
          </w:rPr>
          <w:t>1575- دیوان حکیم إلهی أردبیلی أو شعره‏</w:t>
        </w:r>
        <w:r>
          <w:tab/>
        </w:r>
        <w:r>
          <w:fldChar w:fldCharType="begin"/>
        </w:r>
        <w:r>
          <w:instrText xml:space="preserve">PAGEREF 2004 \h</w:instrText>
        </w:r>
        <w:r>
          <w:fldChar w:fldCharType="end"/>
        </w:r>
      </w:hyperlink>
    </w:p>
    <w:p>
      <w:pPr>
        <w:tabs>
          <w:tab w:val="right" w:leader="dot" w:pos="9062"/>
        </w:tabs>
        <w:ind w:left="440"/>
      </w:pPr>
      <w:hyperlink w:anchor="_Toc2005" w:history="1">
        <w:r>
          <w:rPr>
            <w:rFonts w:ascii="IRNazanin" w:hAnsi="IRNazanin" w:eastAsia="IRNazanin" w:cs="IRNazanin"/>
            <w:color w:val="111111"/>
            <w:sz w:val="22"/>
            <w:szCs w:val="22"/>
            <w:b w:val="0"/>
            <w:bCs w:val="0"/>
            <w:i w:val="0"/>
            <w:iCs w:val="0"/>
          </w:rPr>
          <w:t>دیوان الحکیم أنوری‏</w:t>
        </w:r>
        <w:r>
          <w:tab/>
        </w:r>
        <w:r>
          <w:fldChar w:fldCharType="begin"/>
        </w:r>
        <w:r>
          <w:instrText xml:space="preserve">PAGEREF 2005 \h</w:instrText>
        </w:r>
        <w:r>
          <w:fldChar w:fldCharType="end"/>
        </w:r>
      </w:hyperlink>
    </w:p>
    <w:p>
      <w:pPr>
        <w:tabs>
          <w:tab w:val="right" w:leader="dot" w:pos="9062"/>
        </w:tabs>
        <w:ind w:left="440"/>
      </w:pPr>
      <w:hyperlink w:anchor="_Toc2006" w:history="1">
        <w:r>
          <w:rPr>
            <w:rFonts w:ascii="IRNazanin" w:hAnsi="IRNazanin" w:eastAsia="IRNazanin" w:cs="IRNazanin"/>
            <w:color w:val="111111"/>
            <w:sz w:val="22"/>
            <w:szCs w:val="22"/>
            <w:b w:val="0"/>
            <w:bCs w:val="0"/>
            <w:i w:val="0"/>
            <w:iCs w:val="0"/>
          </w:rPr>
          <w:t>دیوان حکیم باقر</w:t>
        </w:r>
        <w:r>
          <w:tab/>
        </w:r>
        <w:r>
          <w:fldChar w:fldCharType="begin"/>
        </w:r>
        <w:r>
          <w:instrText xml:space="preserve">PAGEREF 2006 \h</w:instrText>
        </w:r>
        <w:r>
          <w:fldChar w:fldCharType="end"/>
        </w:r>
      </w:hyperlink>
    </w:p>
    <w:p>
      <w:pPr>
        <w:tabs>
          <w:tab w:val="right" w:leader="dot" w:pos="9062"/>
        </w:tabs>
        <w:ind w:left="440"/>
      </w:pPr>
      <w:hyperlink w:anchor="_Toc2007" w:history="1">
        <w:r>
          <w:rPr>
            <w:rFonts w:ascii="IRNazanin" w:hAnsi="IRNazanin" w:eastAsia="IRNazanin" w:cs="IRNazanin"/>
            <w:color w:val="111111"/>
            <w:sz w:val="22"/>
            <w:szCs w:val="22"/>
            <w:b w:val="0"/>
            <w:bCs w:val="0"/>
            <w:i w:val="0"/>
            <w:iCs w:val="0"/>
          </w:rPr>
          <w:t>دیوان حکیم حاذق‏</w:t>
        </w:r>
        <w:r>
          <w:tab/>
        </w:r>
        <w:r>
          <w:fldChar w:fldCharType="begin"/>
        </w:r>
        <w:r>
          <w:instrText xml:space="preserve">PAGEREF 2007 \h</w:instrText>
        </w:r>
        <w:r>
          <w:fldChar w:fldCharType="end"/>
        </w:r>
      </w:hyperlink>
    </w:p>
    <w:p>
      <w:pPr>
        <w:tabs>
          <w:tab w:val="right" w:leader="dot" w:pos="9062"/>
        </w:tabs>
        <w:ind w:left="440"/>
      </w:pPr>
      <w:hyperlink w:anchor="_Toc2008" w:history="1">
        <w:r>
          <w:rPr>
            <w:rFonts w:ascii="IRNazanin" w:hAnsi="IRNazanin" w:eastAsia="IRNazanin" w:cs="IRNazanin"/>
            <w:color w:val="111111"/>
            <w:sz w:val="22"/>
            <w:szCs w:val="22"/>
            <w:b w:val="0"/>
            <w:bCs w:val="0"/>
            <w:i w:val="0"/>
            <w:iCs w:val="0"/>
          </w:rPr>
          <w:t>دیوان حکیم حاضری‏</w:t>
        </w:r>
        <w:r>
          <w:tab/>
        </w:r>
        <w:r>
          <w:fldChar w:fldCharType="begin"/>
        </w:r>
        <w:r>
          <w:instrText xml:space="preserve">PAGEREF 2008 \h</w:instrText>
        </w:r>
        <w:r>
          <w:fldChar w:fldCharType="end"/>
        </w:r>
      </w:hyperlink>
    </w:p>
    <w:p>
      <w:pPr>
        <w:tabs>
          <w:tab w:val="right" w:leader="dot" w:pos="9062"/>
        </w:tabs>
        <w:ind w:left="440"/>
      </w:pPr>
      <w:hyperlink w:anchor="_Toc2009" w:history="1">
        <w:r>
          <w:rPr>
            <w:rFonts w:ascii="IRNazanin" w:hAnsi="IRNazanin" w:eastAsia="IRNazanin" w:cs="IRNazanin"/>
            <w:color w:val="111111"/>
            <w:sz w:val="22"/>
            <w:szCs w:val="22"/>
            <w:b w:val="0"/>
            <w:bCs w:val="0"/>
            <w:i w:val="0"/>
            <w:iCs w:val="0"/>
          </w:rPr>
          <w:t>دیوان حکیم خباز</w:t>
        </w:r>
        <w:r>
          <w:tab/>
        </w:r>
        <w:r>
          <w:fldChar w:fldCharType="begin"/>
        </w:r>
        <w:r>
          <w:instrText xml:space="preserve">PAGEREF 2009 \h</w:instrText>
        </w:r>
        <w:r>
          <w:fldChar w:fldCharType="end"/>
        </w:r>
      </w:hyperlink>
    </w:p>
    <w:p>
      <w:pPr>
        <w:tabs>
          <w:tab w:val="right" w:leader="dot" w:pos="9062"/>
        </w:tabs>
        <w:ind w:left="440"/>
      </w:pPr>
      <w:hyperlink w:anchor="_Toc2010" w:history="1">
        <w:r>
          <w:rPr>
            <w:rFonts w:ascii="IRNazanin" w:hAnsi="IRNazanin" w:eastAsia="IRNazanin" w:cs="IRNazanin"/>
            <w:color w:val="111111"/>
            <w:sz w:val="22"/>
            <w:szCs w:val="22"/>
            <w:b w:val="0"/>
            <w:bCs w:val="0"/>
            <w:i w:val="0"/>
            <w:iCs w:val="0"/>
          </w:rPr>
          <w:t>دیوان حکیم رکنا</w:t>
        </w:r>
        <w:r>
          <w:tab/>
        </w:r>
        <w:r>
          <w:fldChar w:fldCharType="begin"/>
        </w:r>
        <w:r>
          <w:instrText xml:space="preserve">PAGEREF 2010 \h</w:instrText>
        </w:r>
        <w:r>
          <w:fldChar w:fldCharType="end"/>
        </w:r>
      </w:hyperlink>
    </w:p>
    <w:p>
      <w:pPr>
        <w:tabs>
          <w:tab w:val="right" w:leader="dot" w:pos="9062"/>
        </w:tabs>
        <w:ind w:left="440"/>
      </w:pPr>
      <w:hyperlink w:anchor="_Toc2011" w:history="1">
        <w:r>
          <w:rPr>
            <w:rFonts w:ascii="IRNazanin" w:hAnsi="IRNazanin" w:eastAsia="IRNazanin" w:cs="IRNazanin"/>
            <w:color w:val="111111"/>
            <w:sz w:val="22"/>
            <w:szCs w:val="22"/>
            <w:b w:val="0"/>
            <w:bCs w:val="0"/>
            <w:i w:val="0"/>
            <w:iCs w:val="0"/>
          </w:rPr>
          <w:t>1576- دیوان حکیم رکن الدین قمی أو شعره‏</w:t>
        </w:r>
        <w:r>
          <w:tab/>
        </w:r>
        <w:r>
          <w:fldChar w:fldCharType="begin"/>
        </w:r>
        <w:r>
          <w:instrText xml:space="preserve">PAGEREF 2011 \h</w:instrText>
        </w:r>
        <w:r>
          <w:fldChar w:fldCharType="end"/>
        </w:r>
      </w:hyperlink>
    </w:p>
    <w:p>
      <w:pPr>
        <w:tabs>
          <w:tab w:val="right" w:leader="dot" w:pos="9062"/>
        </w:tabs>
        <w:ind w:left="440"/>
      </w:pPr>
      <w:hyperlink w:anchor="_Toc2012" w:history="1">
        <w:r>
          <w:rPr>
            <w:rFonts w:ascii="IRNazanin" w:hAnsi="IRNazanin" w:eastAsia="IRNazanin" w:cs="IRNazanin"/>
            <w:color w:val="111111"/>
            <w:sz w:val="22"/>
            <w:szCs w:val="22"/>
            <w:b w:val="0"/>
            <w:bCs w:val="0"/>
            <w:i w:val="0"/>
            <w:iCs w:val="0"/>
          </w:rPr>
          <w:t>1577- دیوان الحکیم الساوجی‏</w:t>
        </w:r>
        <w:r>
          <w:tab/>
        </w:r>
        <w:r>
          <w:fldChar w:fldCharType="begin"/>
        </w:r>
        <w:r>
          <w:instrText xml:space="preserve">PAGEREF 2012 \h</w:instrText>
        </w:r>
        <w:r>
          <w:fldChar w:fldCharType="end"/>
        </w:r>
      </w:hyperlink>
    </w:p>
    <w:p>
      <w:pPr>
        <w:tabs>
          <w:tab w:val="right" w:leader="dot" w:pos="9062"/>
        </w:tabs>
        <w:ind w:left="440"/>
      </w:pPr>
      <w:hyperlink w:anchor="_Toc2013" w:history="1">
        <w:r>
          <w:rPr>
            <w:rFonts w:ascii="IRNazanin" w:hAnsi="IRNazanin" w:eastAsia="IRNazanin" w:cs="IRNazanin"/>
            <w:color w:val="111111"/>
            <w:sz w:val="22"/>
            <w:szCs w:val="22"/>
            <w:b w:val="0"/>
            <w:bCs w:val="0"/>
            <w:i w:val="0"/>
            <w:iCs w:val="0"/>
          </w:rPr>
          <w:t>1578- دیوان حکیم سدید قمی أو شعره‏</w:t>
        </w:r>
        <w:r>
          <w:tab/>
        </w:r>
        <w:r>
          <w:fldChar w:fldCharType="begin"/>
        </w:r>
        <w:r>
          <w:instrText xml:space="preserve">PAGEREF 2013 \h</w:instrText>
        </w:r>
        <w:r>
          <w:fldChar w:fldCharType="end"/>
        </w:r>
      </w:hyperlink>
    </w:p>
    <w:p>
      <w:pPr>
        <w:tabs>
          <w:tab w:val="right" w:leader="dot" w:pos="9062"/>
        </w:tabs>
        <w:ind w:left="440"/>
      </w:pPr>
      <w:hyperlink w:anchor="_Toc2014" w:history="1">
        <w:r>
          <w:rPr>
            <w:rFonts w:ascii="IRNazanin" w:hAnsi="IRNazanin" w:eastAsia="IRNazanin" w:cs="IRNazanin"/>
            <w:color w:val="111111"/>
            <w:sz w:val="22"/>
            <w:szCs w:val="22"/>
            <w:b w:val="0"/>
            <w:bCs w:val="0"/>
            <w:i w:val="0"/>
            <w:iCs w:val="0"/>
          </w:rPr>
          <w:t>1579- دیوان حکیم سوری‏</w:t>
        </w:r>
        <w:r>
          <w:tab/>
        </w:r>
        <w:r>
          <w:fldChar w:fldCharType="begin"/>
        </w:r>
        <w:r>
          <w:instrText xml:space="preserve">PAGEREF 2014 \h</w:instrText>
        </w:r>
        <w:r>
          <w:fldChar w:fldCharType="end"/>
        </w:r>
      </w:hyperlink>
    </w:p>
    <w:p>
      <w:pPr>
        <w:tabs>
          <w:tab w:val="right" w:leader="dot" w:pos="9062"/>
        </w:tabs>
        <w:ind w:left="440"/>
      </w:pPr>
      <w:hyperlink w:anchor="_Toc2015" w:history="1">
        <w:r>
          <w:rPr>
            <w:rFonts w:ascii="IRNazanin" w:hAnsi="IRNazanin" w:eastAsia="IRNazanin" w:cs="IRNazanin"/>
            <w:color w:val="111111"/>
            <w:sz w:val="22"/>
            <w:szCs w:val="22"/>
            <w:b w:val="0"/>
            <w:bCs w:val="0"/>
            <w:i w:val="0"/>
            <w:iCs w:val="0"/>
          </w:rPr>
          <w:t>دیوان حکیم سوزنی‏</w:t>
        </w:r>
        <w:r>
          <w:tab/>
        </w:r>
        <w:r>
          <w:fldChar w:fldCharType="begin"/>
        </w:r>
        <w:r>
          <w:instrText xml:space="preserve">PAGEREF 2015 \h</w:instrText>
        </w:r>
        <w:r>
          <w:fldChar w:fldCharType="end"/>
        </w:r>
      </w:hyperlink>
    </w:p>
    <w:p>
      <w:pPr>
        <w:tabs>
          <w:tab w:val="right" w:leader="dot" w:pos="9062"/>
        </w:tabs>
        <w:ind w:left="440"/>
      </w:pPr>
      <w:hyperlink w:anchor="_Toc2016" w:history="1">
        <w:r>
          <w:rPr>
            <w:rFonts w:ascii="IRNazanin" w:hAnsi="IRNazanin" w:eastAsia="IRNazanin" w:cs="IRNazanin"/>
            <w:color w:val="111111"/>
            <w:sz w:val="22"/>
            <w:szCs w:val="22"/>
            <w:b w:val="0"/>
            <w:bCs w:val="0"/>
            <w:i w:val="0"/>
            <w:iCs w:val="0"/>
          </w:rPr>
          <w:t>دیوان حکیم شاه رضا</w:t>
        </w:r>
        <w:r>
          <w:tab/>
        </w:r>
        <w:r>
          <w:fldChar w:fldCharType="begin"/>
        </w:r>
        <w:r>
          <w:instrText xml:space="preserve">PAGEREF 2016 \h</w:instrText>
        </w:r>
        <w:r>
          <w:fldChar w:fldCharType="end"/>
        </w:r>
      </w:hyperlink>
    </w:p>
    <w:p>
      <w:pPr>
        <w:tabs>
          <w:tab w:val="right" w:leader="dot" w:pos="9062"/>
        </w:tabs>
        <w:ind w:left="440"/>
      </w:pPr>
      <w:hyperlink w:anchor="_Toc2017" w:history="1">
        <w:r>
          <w:rPr>
            <w:rFonts w:ascii="IRNazanin" w:hAnsi="IRNazanin" w:eastAsia="IRNazanin" w:cs="IRNazanin"/>
            <w:color w:val="111111"/>
            <w:sz w:val="22"/>
            <w:szCs w:val="22"/>
            <w:b w:val="0"/>
            <w:bCs w:val="0"/>
            <w:i w:val="0"/>
            <w:iCs w:val="0"/>
          </w:rPr>
          <w:t>1580- دیوان حکیم شاه محمد قزوینی أو شعره‏</w:t>
        </w:r>
        <w:r>
          <w:tab/>
        </w:r>
        <w:r>
          <w:fldChar w:fldCharType="begin"/>
        </w:r>
        <w:r>
          <w:instrText xml:space="preserve">PAGEREF 2017 \h</w:instrText>
        </w:r>
        <w:r>
          <w:fldChar w:fldCharType="end"/>
        </w:r>
      </w:hyperlink>
    </w:p>
    <w:p>
      <w:pPr>
        <w:tabs>
          <w:tab w:val="right" w:leader="dot" w:pos="9062"/>
        </w:tabs>
        <w:ind w:left="440"/>
      </w:pPr>
      <w:hyperlink w:anchor="_Toc2018" w:history="1">
        <w:r>
          <w:rPr>
            <w:rFonts w:ascii="IRNazanin" w:hAnsi="IRNazanin" w:eastAsia="IRNazanin" w:cs="IRNazanin"/>
            <w:color w:val="111111"/>
            <w:sz w:val="22"/>
            <w:szCs w:val="22"/>
            <w:b w:val="0"/>
            <w:bCs w:val="0"/>
            <w:i w:val="0"/>
            <w:iCs w:val="0"/>
          </w:rPr>
          <w:t>دیوان حکیم شریف‏</w:t>
        </w:r>
        <w:r>
          <w:tab/>
        </w:r>
        <w:r>
          <w:fldChar w:fldCharType="begin"/>
        </w:r>
        <w:r>
          <w:instrText xml:space="preserve">PAGEREF 2018 \h</w:instrText>
        </w:r>
        <w:r>
          <w:fldChar w:fldCharType="end"/>
        </w:r>
      </w:hyperlink>
    </w:p>
    <w:p>
      <w:pPr>
        <w:tabs>
          <w:tab w:val="right" w:leader="dot" w:pos="9062"/>
        </w:tabs>
        <w:ind w:left="440"/>
      </w:pPr>
      <w:hyperlink w:anchor="_Toc2019" w:history="1">
        <w:r>
          <w:rPr>
            <w:rFonts w:ascii="IRNazanin" w:hAnsi="IRNazanin" w:eastAsia="IRNazanin" w:cs="IRNazanin"/>
            <w:color w:val="111111"/>
            <w:sz w:val="22"/>
            <w:szCs w:val="22"/>
            <w:b w:val="0"/>
            <w:bCs w:val="0"/>
            <w:i w:val="0"/>
            <w:iCs w:val="0"/>
          </w:rPr>
          <w:t>دیوان حکیم شفائی‏</w:t>
        </w:r>
        <w:r>
          <w:tab/>
        </w:r>
        <w:r>
          <w:fldChar w:fldCharType="begin"/>
        </w:r>
        <w:r>
          <w:instrText xml:space="preserve">PAGEREF 2019 \h</w:instrText>
        </w:r>
        <w:r>
          <w:fldChar w:fldCharType="end"/>
        </w:r>
      </w:hyperlink>
    </w:p>
    <w:p>
      <w:pPr>
        <w:tabs>
          <w:tab w:val="right" w:leader="dot" w:pos="9062"/>
        </w:tabs>
        <w:ind w:left="440"/>
      </w:pPr>
      <w:hyperlink w:anchor="_Toc2020" w:history="1">
        <w:r>
          <w:rPr>
            <w:rFonts w:ascii="IRNazanin" w:hAnsi="IRNazanin" w:eastAsia="IRNazanin" w:cs="IRNazanin"/>
            <w:color w:val="111111"/>
            <w:sz w:val="22"/>
            <w:szCs w:val="22"/>
            <w:b w:val="0"/>
            <w:bCs w:val="0"/>
            <w:i w:val="0"/>
            <w:iCs w:val="0"/>
          </w:rPr>
          <w:t>1581- دیوان حکیم شیرازی‏</w:t>
        </w:r>
        <w:r>
          <w:tab/>
        </w:r>
        <w:r>
          <w:fldChar w:fldCharType="begin"/>
        </w:r>
        <w:r>
          <w:instrText xml:space="preserve">PAGEREF 2020 \h</w:instrText>
        </w:r>
        <w:r>
          <w:fldChar w:fldCharType="end"/>
        </w:r>
      </w:hyperlink>
    </w:p>
    <w:p>
      <w:pPr>
        <w:tabs>
          <w:tab w:val="right" w:leader="dot" w:pos="9062"/>
        </w:tabs>
        <w:ind w:left="440"/>
      </w:pPr>
      <w:hyperlink w:anchor="_Toc2021" w:history="1">
        <w:r>
          <w:rPr>
            <w:rFonts w:ascii="IRNazanin" w:hAnsi="IRNazanin" w:eastAsia="IRNazanin" w:cs="IRNazanin"/>
            <w:color w:val="111111"/>
            <w:sz w:val="22"/>
            <w:szCs w:val="22"/>
            <w:b w:val="0"/>
            <w:bCs w:val="0"/>
            <w:i w:val="0"/>
            <w:iCs w:val="0"/>
          </w:rPr>
          <w:t>1582- دیوان حکیم شیرازی‏</w:t>
        </w:r>
        <w:r>
          <w:tab/>
        </w:r>
        <w:r>
          <w:fldChar w:fldCharType="begin"/>
        </w:r>
        <w:r>
          <w:instrText xml:space="preserve">PAGEREF 2021 \h</w:instrText>
        </w:r>
        <w:r>
          <w:fldChar w:fldCharType="end"/>
        </w:r>
      </w:hyperlink>
    </w:p>
    <w:p>
      <w:pPr>
        <w:tabs>
          <w:tab w:val="right" w:leader="dot" w:pos="9062"/>
        </w:tabs>
        <w:ind w:left="440"/>
      </w:pPr>
      <w:hyperlink w:anchor="_Toc2022" w:history="1">
        <w:r>
          <w:rPr>
            <w:rFonts w:ascii="IRNazanin" w:hAnsi="IRNazanin" w:eastAsia="IRNazanin" w:cs="IRNazanin"/>
            <w:color w:val="111111"/>
            <w:sz w:val="22"/>
            <w:szCs w:val="22"/>
            <w:b w:val="0"/>
            <w:bCs w:val="0"/>
            <w:i w:val="0"/>
            <w:iCs w:val="0"/>
          </w:rPr>
          <w:t>1583- دیوان حکیم صوفی شیرازی أو شعره‏</w:t>
        </w:r>
        <w:r>
          <w:tab/>
        </w:r>
        <w:r>
          <w:fldChar w:fldCharType="begin"/>
        </w:r>
        <w:r>
          <w:instrText xml:space="preserve">PAGEREF 2022 \h</w:instrText>
        </w:r>
        <w:r>
          <w:fldChar w:fldCharType="end"/>
        </w:r>
      </w:hyperlink>
    </w:p>
    <w:p>
      <w:pPr>
        <w:tabs>
          <w:tab w:val="right" w:leader="dot" w:pos="9062"/>
        </w:tabs>
        <w:ind w:left="440"/>
      </w:pPr>
      <w:hyperlink w:anchor="_Toc2023" w:history="1">
        <w:r>
          <w:rPr>
            <w:rFonts w:ascii="IRNazanin" w:hAnsi="IRNazanin" w:eastAsia="IRNazanin" w:cs="IRNazanin"/>
            <w:color w:val="111111"/>
            <w:sz w:val="22"/>
            <w:szCs w:val="22"/>
            <w:b w:val="0"/>
            <w:bCs w:val="0"/>
            <w:i w:val="0"/>
            <w:iCs w:val="0"/>
          </w:rPr>
          <w:t>دیوان الحکیم الطبری‏</w:t>
        </w:r>
        <w:r>
          <w:tab/>
        </w:r>
        <w:r>
          <w:fldChar w:fldCharType="begin"/>
        </w:r>
        <w:r>
          <w:instrText xml:space="preserve">PAGEREF 2023 \h</w:instrText>
        </w:r>
        <w:r>
          <w:fldChar w:fldCharType="end"/>
        </w:r>
      </w:hyperlink>
    </w:p>
    <w:p>
      <w:pPr>
        <w:tabs>
          <w:tab w:val="right" w:leader="dot" w:pos="9062"/>
        </w:tabs>
        <w:ind w:left="440"/>
      </w:pPr>
      <w:hyperlink w:anchor="_Toc2024" w:history="1">
        <w:r>
          <w:rPr>
            <w:rFonts w:ascii="IRNazanin" w:hAnsi="IRNazanin" w:eastAsia="IRNazanin" w:cs="IRNazanin"/>
            <w:color w:val="111111"/>
            <w:sz w:val="22"/>
            <w:szCs w:val="22"/>
            <w:b w:val="0"/>
            <w:bCs w:val="0"/>
            <w:i w:val="0"/>
            <w:iCs w:val="0"/>
          </w:rPr>
          <w:t>1584- دیوان حکیم عبد الله یزدی‏</w:t>
        </w:r>
        <w:r>
          <w:tab/>
        </w:r>
        <w:r>
          <w:fldChar w:fldCharType="begin"/>
        </w:r>
        <w:r>
          <w:instrText xml:space="preserve">PAGEREF 2024 \h</w:instrText>
        </w:r>
        <w:r>
          <w:fldChar w:fldCharType="end"/>
        </w:r>
      </w:hyperlink>
    </w:p>
    <w:p>
      <w:pPr>
        <w:tabs>
          <w:tab w:val="right" w:leader="dot" w:pos="9062"/>
        </w:tabs>
        <w:ind w:left="440"/>
      </w:pPr>
      <w:hyperlink w:anchor="_Toc2025" w:history="1">
        <w:r>
          <w:rPr>
            <w:rFonts w:ascii="IRNazanin" w:hAnsi="IRNazanin" w:eastAsia="IRNazanin" w:cs="IRNazanin"/>
            <w:color w:val="111111"/>
            <w:sz w:val="22"/>
            <w:szCs w:val="22"/>
            <w:b w:val="0"/>
            <w:bCs w:val="0"/>
            <w:i w:val="0"/>
            <w:iCs w:val="0"/>
          </w:rPr>
          <w:t>دیوان حکیم عبد الله کاشی‏</w:t>
        </w:r>
        <w:r>
          <w:tab/>
        </w:r>
        <w:r>
          <w:fldChar w:fldCharType="begin"/>
        </w:r>
        <w:r>
          <w:instrText xml:space="preserve">PAGEREF 2025 \h</w:instrText>
        </w:r>
        <w:r>
          <w:fldChar w:fldCharType="end"/>
        </w:r>
      </w:hyperlink>
    </w:p>
    <w:p>
      <w:pPr>
        <w:tabs>
          <w:tab w:val="right" w:leader="dot" w:pos="9062"/>
        </w:tabs>
        <w:ind w:left="440"/>
      </w:pPr>
      <w:hyperlink w:anchor="_Toc2026" w:history="1">
        <w:r>
          <w:rPr>
            <w:rFonts w:ascii="IRNazanin" w:hAnsi="IRNazanin" w:eastAsia="IRNazanin" w:cs="IRNazanin"/>
            <w:color w:val="111111"/>
            <w:sz w:val="22"/>
            <w:szCs w:val="22"/>
            <w:b w:val="0"/>
            <w:bCs w:val="0"/>
            <w:i w:val="0"/>
            <w:iCs w:val="0"/>
          </w:rPr>
          <w:t>دیوان حکیم غزنوی‏</w:t>
        </w:r>
        <w:r>
          <w:tab/>
        </w:r>
        <w:r>
          <w:fldChar w:fldCharType="begin"/>
        </w:r>
        <w:r>
          <w:instrText xml:space="preserve">PAGEREF 2026 \h</w:instrText>
        </w:r>
        <w:r>
          <w:fldChar w:fldCharType="end"/>
        </w:r>
      </w:hyperlink>
    </w:p>
    <w:p>
      <w:pPr>
        <w:tabs>
          <w:tab w:val="right" w:leader="dot" w:pos="9062"/>
        </w:tabs>
        <w:ind w:left="440"/>
      </w:pPr>
      <w:hyperlink w:anchor="_Toc2027" w:history="1">
        <w:r>
          <w:rPr>
            <w:rFonts w:ascii="IRNazanin" w:hAnsi="IRNazanin" w:eastAsia="IRNazanin" w:cs="IRNazanin"/>
            <w:color w:val="111111"/>
            <w:sz w:val="22"/>
            <w:szCs w:val="22"/>
            <w:b w:val="0"/>
            <w:bCs w:val="0"/>
            <w:i w:val="0"/>
            <w:iCs w:val="0"/>
          </w:rPr>
          <w:t>دیوان حکیم قبلی‏</w:t>
        </w:r>
        <w:r>
          <w:tab/>
        </w:r>
        <w:r>
          <w:fldChar w:fldCharType="begin"/>
        </w:r>
        <w:r>
          <w:instrText xml:space="preserve">PAGEREF 2027 \h</w:instrText>
        </w:r>
        <w:r>
          <w:fldChar w:fldCharType="end"/>
        </w:r>
      </w:hyperlink>
    </w:p>
    <w:p>
      <w:pPr>
        <w:tabs>
          <w:tab w:val="right" w:leader="dot" w:pos="9062"/>
        </w:tabs>
        <w:ind w:left="440"/>
      </w:pPr>
      <w:hyperlink w:anchor="_Toc2028" w:history="1">
        <w:r>
          <w:rPr>
            <w:rFonts w:ascii="IRNazanin" w:hAnsi="IRNazanin" w:eastAsia="IRNazanin" w:cs="IRNazanin"/>
            <w:color w:val="111111"/>
            <w:sz w:val="22"/>
            <w:szCs w:val="22"/>
            <w:b w:val="0"/>
            <w:bCs w:val="0"/>
            <w:i w:val="0"/>
            <w:iCs w:val="0"/>
          </w:rPr>
          <w:t>دیوان حکیم قطران‏</w:t>
        </w:r>
        <w:r>
          <w:tab/>
        </w:r>
        <w:r>
          <w:fldChar w:fldCharType="begin"/>
        </w:r>
        <w:r>
          <w:instrText xml:space="preserve">PAGEREF 2028 \h</w:instrText>
        </w:r>
        <w:r>
          <w:fldChar w:fldCharType="end"/>
        </w:r>
      </w:hyperlink>
    </w:p>
    <w:p>
      <w:pPr>
        <w:tabs>
          <w:tab w:val="right" w:leader="dot" w:pos="9062"/>
        </w:tabs>
        <w:ind w:left="440"/>
      </w:pPr>
      <w:hyperlink w:anchor="_Toc2029" w:history="1">
        <w:r>
          <w:rPr>
            <w:rFonts w:ascii="IRNazanin" w:hAnsi="IRNazanin" w:eastAsia="IRNazanin" w:cs="IRNazanin"/>
            <w:color w:val="111111"/>
            <w:sz w:val="22"/>
            <w:szCs w:val="22"/>
            <w:b w:val="0"/>
            <w:bCs w:val="0"/>
            <w:i w:val="0"/>
            <w:iCs w:val="0"/>
          </w:rPr>
          <w:t>دیوان حکیم کاشی‏</w:t>
        </w:r>
        <w:r>
          <w:tab/>
        </w:r>
        <w:r>
          <w:fldChar w:fldCharType="begin"/>
        </w:r>
        <w:r>
          <w:instrText xml:space="preserve">PAGEREF 2029 \h</w:instrText>
        </w:r>
        <w:r>
          <w:fldChar w:fldCharType="end"/>
        </w:r>
      </w:hyperlink>
    </w:p>
    <w:p>
      <w:pPr>
        <w:tabs>
          <w:tab w:val="right" w:leader="dot" w:pos="9062"/>
        </w:tabs>
        <w:ind w:left="440"/>
      </w:pPr>
      <w:hyperlink w:anchor="_Toc2030" w:history="1">
        <w:r>
          <w:rPr>
            <w:rFonts w:ascii="IRNazanin" w:hAnsi="IRNazanin" w:eastAsia="IRNazanin" w:cs="IRNazanin"/>
            <w:color w:val="111111"/>
            <w:sz w:val="22"/>
            <w:szCs w:val="22"/>
            <w:b w:val="0"/>
            <w:bCs w:val="0"/>
            <w:i w:val="0"/>
            <w:iCs w:val="0"/>
          </w:rPr>
          <w:t>دیوان حکیم کاشی‏</w:t>
        </w:r>
        <w:r>
          <w:tab/>
        </w:r>
        <w:r>
          <w:fldChar w:fldCharType="begin"/>
        </w:r>
        <w:r>
          <w:instrText xml:space="preserve">PAGEREF 2030 \h</w:instrText>
        </w:r>
        <w:r>
          <w:fldChar w:fldCharType="end"/>
        </w:r>
      </w:hyperlink>
    </w:p>
    <w:p>
      <w:pPr>
        <w:tabs>
          <w:tab w:val="right" w:leader="dot" w:pos="9062"/>
        </w:tabs>
        <w:ind w:left="440"/>
      </w:pPr>
      <w:hyperlink w:anchor="_Toc2031" w:history="1">
        <w:r>
          <w:rPr>
            <w:rFonts w:ascii="IRNazanin" w:hAnsi="IRNazanin" w:eastAsia="IRNazanin" w:cs="IRNazanin"/>
            <w:color w:val="111111"/>
            <w:sz w:val="22"/>
            <w:szCs w:val="22"/>
            <w:b w:val="0"/>
            <w:bCs w:val="0"/>
            <w:i w:val="0"/>
            <w:iCs w:val="0"/>
          </w:rPr>
          <w:t>دیوان حکیم کاظما</w:t>
        </w:r>
        <w:r>
          <w:tab/>
        </w:r>
        <w:r>
          <w:fldChar w:fldCharType="begin"/>
        </w:r>
        <w:r>
          <w:instrText xml:space="preserve">PAGEREF 2031 \h</w:instrText>
        </w:r>
        <w:r>
          <w:fldChar w:fldCharType="end"/>
        </w:r>
      </w:hyperlink>
    </w:p>
    <w:p>
      <w:pPr>
        <w:tabs>
          <w:tab w:val="right" w:leader="dot" w:pos="9062"/>
        </w:tabs>
        <w:ind w:left="440"/>
      </w:pPr>
      <w:hyperlink w:anchor="_Toc2032" w:history="1">
        <w:r>
          <w:rPr>
            <w:rFonts w:ascii="IRNazanin" w:hAnsi="IRNazanin" w:eastAsia="IRNazanin" w:cs="IRNazanin"/>
            <w:color w:val="111111"/>
            <w:sz w:val="22"/>
            <w:szCs w:val="22"/>
            <w:b w:val="0"/>
            <w:bCs w:val="0"/>
            <w:i w:val="0"/>
            <w:iCs w:val="0"/>
          </w:rPr>
          <w:t>دیوان حکیم گیلانی‏</w:t>
        </w:r>
        <w:r>
          <w:tab/>
        </w:r>
        <w:r>
          <w:fldChar w:fldCharType="begin"/>
        </w:r>
        <w:r>
          <w:instrText xml:space="preserve">PAGEREF 2032 \h</w:instrText>
        </w:r>
        <w:r>
          <w:fldChar w:fldCharType="end"/>
        </w:r>
      </w:hyperlink>
    </w:p>
    <w:p>
      <w:pPr>
        <w:tabs>
          <w:tab w:val="right" w:leader="dot" w:pos="9062"/>
        </w:tabs>
        <w:ind w:left="440"/>
      </w:pPr>
      <w:hyperlink w:anchor="_Toc2033" w:history="1">
        <w:r>
          <w:rPr>
            <w:rFonts w:ascii="IRNazanin" w:hAnsi="IRNazanin" w:eastAsia="IRNazanin" w:cs="IRNazanin"/>
            <w:color w:val="111111"/>
            <w:sz w:val="22"/>
            <w:szCs w:val="22"/>
            <w:b w:val="0"/>
            <w:bCs w:val="0"/>
            <w:i w:val="0"/>
            <w:iCs w:val="0"/>
          </w:rPr>
          <w:t>1585- دیوان حکیم نوری‏</w:t>
        </w:r>
        <w:r>
          <w:tab/>
        </w:r>
        <w:r>
          <w:fldChar w:fldCharType="begin"/>
        </w:r>
        <w:r>
          <w:instrText xml:space="preserve">PAGEREF 2033 \h</w:instrText>
        </w:r>
        <w:r>
          <w:fldChar w:fldCharType="end"/>
        </w:r>
      </w:hyperlink>
    </w:p>
    <w:p>
      <w:pPr>
        <w:tabs>
          <w:tab w:val="right" w:leader="dot" w:pos="9062"/>
        </w:tabs>
        <w:ind w:left="440"/>
      </w:pPr>
      <w:hyperlink w:anchor="_Toc2034" w:history="1">
        <w:r>
          <w:rPr>
            <w:rFonts w:ascii="IRNazanin" w:hAnsi="IRNazanin" w:eastAsia="IRNazanin" w:cs="IRNazanin"/>
            <w:color w:val="111111"/>
            <w:sz w:val="22"/>
            <w:szCs w:val="22"/>
            <w:b w:val="0"/>
            <w:bCs w:val="0"/>
            <w:i w:val="0"/>
            <w:iCs w:val="0"/>
          </w:rPr>
          <w:t>1586- دیوان حکیم هاشمی‏</w:t>
        </w:r>
        <w:r>
          <w:tab/>
        </w:r>
        <w:r>
          <w:fldChar w:fldCharType="begin"/>
        </w:r>
        <w:r>
          <w:instrText xml:space="preserve">PAGEREF 2034 \h</w:instrText>
        </w:r>
        <w:r>
          <w:fldChar w:fldCharType="end"/>
        </w:r>
      </w:hyperlink>
    </w:p>
    <w:p>
      <w:pPr>
        <w:tabs>
          <w:tab w:val="right" w:leader="dot" w:pos="9062"/>
        </w:tabs>
        <w:ind w:left="440"/>
      </w:pPr>
      <w:hyperlink w:anchor="_Toc2035" w:history="1">
        <w:r>
          <w:rPr>
            <w:rFonts w:ascii="IRNazanin" w:hAnsi="IRNazanin" w:eastAsia="IRNazanin" w:cs="IRNazanin"/>
            <w:color w:val="111111"/>
            <w:sz w:val="22"/>
            <w:szCs w:val="22"/>
            <w:b w:val="0"/>
            <w:bCs w:val="0"/>
            <w:i w:val="0"/>
            <w:iCs w:val="0"/>
          </w:rPr>
          <w:t>1587- دیوان حکیم یزدی أو شعره‏</w:t>
        </w:r>
        <w:r>
          <w:tab/>
        </w:r>
        <w:r>
          <w:fldChar w:fldCharType="begin"/>
        </w:r>
        <w:r>
          <w:instrText xml:space="preserve">PAGEREF 2035 \h</w:instrText>
        </w:r>
        <w:r>
          <w:fldChar w:fldCharType="end"/>
        </w:r>
      </w:hyperlink>
    </w:p>
    <w:p>
      <w:pPr>
        <w:tabs>
          <w:tab w:val="right" w:leader="dot" w:pos="9062"/>
        </w:tabs>
        <w:ind w:left="440"/>
      </w:pPr>
      <w:hyperlink w:anchor="_Toc2036" w:history="1">
        <w:r>
          <w:rPr>
            <w:rFonts w:ascii="IRNazanin" w:hAnsi="IRNazanin" w:eastAsia="IRNazanin" w:cs="IRNazanin"/>
            <w:color w:val="111111"/>
            <w:sz w:val="22"/>
            <w:szCs w:val="22"/>
            <w:b w:val="0"/>
            <w:bCs w:val="0"/>
            <w:i w:val="0"/>
            <w:iCs w:val="0"/>
          </w:rPr>
          <w:t>1588- دیوان حکیمی طبسی أو شعره‏</w:t>
        </w:r>
        <w:r>
          <w:tab/>
        </w:r>
        <w:r>
          <w:fldChar w:fldCharType="begin"/>
        </w:r>
        <w:r>
          <w:instrText xml:space="preserve">PAGEREF 2036 \h</w:instrText>
        </w:r>
        <w:r>
          <w:fldChar w:fldCharType="end"/>
        </w:r>
      </w:hyperlink>
    </w:p>
    <w:p>
      <w:pPr>
        <w:tabs>
          <w:tab w:val="right" w:leader="dot" w:pos="9062"/>
        </w:tabs>
        <w:ind w:left="440"/>
      </w:pPr>
      <w:hyperlink w:anchor="_Toc2037" w:history="1">
        <w:r>
          <w:rPr>
            <w:rFonts w:ascii="IRNazanin" w:hAnsi="IRNazanin" w:eastAsia="IRNazanin" w:cs="IRNazanin"/>
            <w:color w:val="111111"/>
            <w:sz w:val="22"/>
            <w:szCs w:val="22"/>
            <w:b w:val="0"/>
            <w:bCs w:val="0"/>
            <w:i w:val="0"/>
            <w:iCs w:val="0"/>
          </w:rPr>
          <w:t>دیوان حکیمی طبسی أو شعره‏</w:t>
        </w:r>
        <w:r>
          <w:tab/>
        </w:r>
        <w:r>
          <w:fldChar w:fldCharType="begin"/>
        </w:r>
        <w:r>
          <w:instrText xml:space="preserve">PAGEREF 2037 \h</w:instrText>
        </w:r>
        <w:r>
          <w:fldChar w:fldCharType="end"/>
        </w:r>
      </w:hyperlink>
    </w:p>
    <w:p>
      <w:pPr>
        <w:tabs>
          <w:tab w:val="right" w:leader="dot" w:pos="9062"/>
        </w:tabs>
        <w:ind w:left="440"/>
      </w:pPr>
      <w:hyperlink w:anchor="_Toc2038" w:history="1">
        <w:r>
          <w:rPr>
            <w:rFonts w:ascii="IRNazanin" w:hAnsi="IRNazanin" w:eastAsia="IRNazanin" w:cs="IRNazanin"/>
            <w:color w:val="111111"/>
            <w:sz w:val="22"/>
            <w:szCs w:val="22"/>
            <w:b w:val="0"/>
            <w:bCs w:val="0"/>
            <w:i w:val="0"/>
            <w:iCs w:val="0"/>
          </w:rPr>
          <w:t>1589- دیوان حلمی الأردبیلی أو شعره‏</w:t>
        </w:r>
        <w:r>
          <w:tab/>
        </w:r>
        <w:r>
          <w:fldChar w:fldCharType="begin"/>
        </w:r>
        <w:r>
          <w:instrText xml:space="preserve">PAGEREF 2038 \h</w:instrText>
        </w:r>
        <w:r>
          <w:fldChar w:fldCharType="end"/>
        </w:r>
      </w:hyperlink>
    </w:p>
    <w:p>
      <w:pPr>
        <w:tabs>
          <w:tab w:val="right" w:leader="dot" w:pos="9062"/>
        </w:tabs>
        <w:ind w:left="440"/>
      </w:pPr>
      <w:hyperlink w:anchor="_Toc2039" w:history="1">
        <w:r>
          <w:rPr>
            <w:rFonts w:ascii="IRNazanin" w:hAnsi="IRNazanin" w:eastAsia="IRNazanin" w:cs="IRNazanin"/>
            <w:color w:val="111111"/>
            <w:sz w:val="22"/>
            <w:szCs w:val="22"/>
            <w:b w:val="0"/>
            <w:bCs w:val="0"/>
            <w:i w:val="0"/>
            <w:iCs w:val="0"/>
          </w:rPr>
          <w:t>1590- دیوان حلمی أصفهانی أو شعره‏</w:t>
        </w:r>
        <w:r>
          <w:tab/>
        </w:r>
        <w:r>
          <w:fldChar w:fldCharType="begin"/>
        </w:r>
        <w:r>
          <w:instrText xml:space="preserve">PAGEREF 2039 \h</w:instrText>
        </w:r>
        <w:r>
          <w:fldChar w:fldCharType="end"/>
        </w:r>
      </w:hyperlink>
    </w:p>
    <w:p>
      <w:pPr>
        <w:tabs>
          <w:tab w:val="right" w:leader="dot" w:pos="9062"/>
        </w:tabs>
        <w:ind w:left="440"/>
      </w:pPr>
      <w:hyperlink w:anchor="_Toc2040" w:history="1">
        <w:r>
          <w:rPr>
            <w:rFonts w:ascii="IRNazanin" w:hAnsi="IRNazanin" w:eastAsia="IRNazanin" w:cs="IRNazanin"/>
            <w:color w:val="111111"/>
            <w:sz w:val="22"/>
            <w:szCs w:val="22"/>
            <w:b w:val="0"/>
            <w:bCs w:val="0"/>
            <w:i w:val="0"/>
            <w:iCs w:val="0"/>
          </w:rPr>
          <w:t>1591- دیوان حلمی شوشتری‏</w:t>
        </w:r>
        <w:r>
          <w:tab/>
        </w:r>
        <w:r>
          <w:fldChar w:fldCharType="begin"/>
        </w:r>
        <w:r>
          <w:instrText xml:space="preserve">PAGEREF 2040 \h</w:instrText>
        </w:r>
        <w:r>
          <w:fldChar w:fldCharType="end"/>
        </w:r>
      </w:hyperlink>
    </w:p>
    <w:p>
      <w:pPr>
        <w:tabs>
          <w:tab w:val="right" w:leader="dot" w:pos="9062"/>
        </w:tabs>
        <w:ind w:left="440"/>
      </w:pPr>
      <w:hyperlink w:anchor="_Toc2041" w:history="1">
        <w:r>
          <w:rPr>
            <w:rFonts w:ascii="IRNazanin" w:hAnsi="IRNazanin" w:eastAsia="IRNazanin" w:cs="IRNazanin"/>
            <w:color w:val="111111"/>
            <w:sz w:val="22"/>
            <w:szCs w:val="22"/>
            <w:b w:val="0"/>
            <w:bCs w:val="0"/>
            <w:i w:val="0"/>
            <w:iCs w:val="0"/>
          </w:rPr>
          <w:t>1592- دیوان حلمی کاشانی أو شعره‏</w:t>
        </w:r>
        <w:r>
          <w:tab/>
        </w:r>
        <w:r>
          <w:fldChar w:fldCharType="begin"/>
        </w:r>
        <w:r>
          <w:instrText xml:space="preserve">PAGEREF 2041 \h</w:instrText>
        </w:r>
        <w:r>
          <w:fldChar w:fldCharType="end"/>
        </w:r>
      </w:hyperlink>
    </w:p>
    <w:p>
      <w:pPr>
        <w:tabs>
          <w:tab w:val="right" w:leader="dot" w:pos="9062"/>
        </w:tabs>
        <w:ind w:left="440"/>
      </w:pPr>
      <w:hyperlink w:anchor="_Toc2042" w:history="1">
        <w:r>
          <w:rPr>
            <w:rFonts w:ascii="IRNazanin" w:hAnsi="IRNazanin" w:eastAsia="IRNazanin" w:cs="IRNazanin"/>
            <w:color w:val="111111"/>
            <w:sz w:val="22"/>
            <w:szCs w:val="22"/>
            <w:b w:val="0"/>
            <w:bCs w:val="0"/>
            <w:i w:val="0"/>
            <w:iCs w:val="0"/>
          </w:rPr>
          <w:t>1593- دیوان حلوائی أو شعره‏</w:t>
        </w:r>
        <w:r>
          <w:tab/>
        </w:r>
        <w:r>
          <w:fldChar w:fldCharType="begin"/>
        </w:r>
        <w:r>
          <w:instrText xml:space="preserve">PAGEREF 2042 \h</w:instrText>
        </w:r>
        <w:r>
          <w:fldChar w:fldCharType="end"/>
        </w:r>
      </w:hyperlink>
    </w:p>
    <w:p>
      <w:pPr>
        <w:tabs>
          <w:tab w:val="right" w:leader="dot" w:pos="9062"/>
        </w:tabs>
        <w:ind w:left="440"/>
      </w:pPr>
      <w:hyperlink w:anchor="_Toc2043" w:history="1">
        <w:r>
          <w:rPr>
            <w:rFonts w:ascii="IRNazanin" w:hAnsi="IRNazanin" w:eastAsia="IRNazanin" w:cs="IRNazanin"/>
            <w:color w:val="111111"/>
            <w:sz w:val="22"/>
            <w:szCs w:val="22"/>
            <w:b w:val="0"/>
            <w:bCs w:val="0"/>
            <w:i w:val="0"/>
            <w:iCs w:val="0"/>
          </w:rPr>
          <w:t>دیوان حلوائی أصفهانی‏</w:t>
        </w:r>
        <w:r>
          <w:tab/>
        </w:r>
        <w:r>
          <w:fldChar w:fldCharType="begin"/>
        </w:r>
        <w:r>
          <w:instrText xml:space="preserve">PAGEREF 2043 \h</w:instrText>
        </w:r>
        <w:r>
          <w:fldChar w:fldCharType="end"/>
        </w:r>
      </w:hyperlink>
    </w:p>
    <w:p>
      <w:pPr>
        <w:tabs>
          <w:tab w:val="right" w:leader="dot" w:pos="9062"/>
        </w:tabs>
        <w:ind w:left="440"/>
      </w:pPr>
      <w:hyperlink w:anchor="_Toc2044" w:history="1">
        <w:r>
          <w:rPr>
            <w:rFonts w:ascii="IRNazanin" w:hAnsi="IRNazanin" w:eastAsia="IRNazanin" w:cs="IRNazanin"/>
            <w:color w:val="111111"/>
            <w:sz w:val="22"/>
            <w:szCs w:val="22"/>
            <w:b w:val="0"/>
            <w:bCs w:val="0"/>
            <w:i w:val="0"/>
            <w:iCs w:val="0"/>
          </w:rPr>
          <w:t>دیوان مولانا حلوائی سمرقندی‏</w:t>
        </w:r>
        <w:r>
          <w:tab/>
        </w:r>
        <w:r>
          <w:fldChar w:fldCharType="begin"/>
        </w:r>
        <w:r>
          <w:instrText xml:space="preserve">PAGEREF 2044 \h</w:instrText>
        </w:r>
        <w:r>
          <w:fldChar w:fldCharType="end"/>
        </w:r>
      </w:hyperlink>
    </w:p>
    <w:p>
      <w:pPr>
        <w:tabs>
          <w:tab w:val="right" w:leader="dot" w:pos="9062"/>
        </w:tabs>
        <w:ind w:left="440"/>
      </w:pPr>
      <w:hyperlink w:anchor="_Toc2045" w:history="1">
        <w:r>
          <w:rPr>
            <w:rFonts w:ascii="IRNazanin" w:hAnsi="IRNazanin" w:eastAsia="IRNazanin" w:cs="IRNazanin"/>
            <w:color w:val="111111"/>
            <w:sz w:val="22"/>
            <w:szCs w:val="22"/>
            <w:b w:val="0"/>
            <w:bCs w:val="0"/>
            <w:i w:val="0"/>
            <w:iCs w:val="0"/>
          </w:rPr>
          <w:t>1594- دیوان حلوائی شیرازی أو شعره‏</w:t>
        </w:r>
        <w:r>
          <w:tab/>
        </w:r>
        <w:r>
          <w:fldChar w:fldCharType="begin"/>
        </w:r>
        <w:r>
          <w:instrText xml:space="preserve">PAGEREF 2045 \h</w:instrText>
        </w:r>
        <w:r>
          <w:fldChar w:fldCharType="end"/>
        </w:r>
      </w:hyperlink>
    </w:p>
    <w:p>
      <w:pPr>
        <w:tabs>
          <w:tab w:val="right" w:leader="dot" w:pos="9062"/>
        </w:tabs>
        <w:ind w:left="440"/>
      </w:pPr>
      <w:hyperlink w:anchor="_Toc2046" w:history="1">
        <w:r>
          <w:rPr>
            <w:rFonts w:ascii="IRNazanin" w:hAnsi="IRNazanin" w:eastAsia="IRNazanin" w:cs="IRNazanin"/>
            <w:color w:val="111111"/>
            <w:sz w:val="22"/>
            <w:szCs w:val="22"/>
            <w:b w:val="0"/>
            <w:bCs w:val="0"/>
            <w:i w:val="0"/>
            <w:iCs w:val="0"/>
          </w:rPr>
          <w:t>دیوان حلوائی هروی‏</w:t>
        </w:r>
        <w:r>
          <w:tab/>
        </w:r>
        <w:r>
          <w:fldChar w:fldCharType="begin"/>
        </w:r>
        <w:r>
          <w:instrText xml:space="preserve">PAGEREF 2046 \h</w:instrText>
        </w:r>
        <w:r>
          <w:fldChar w:fldCharType="end"/>
        </w:r>
      </w:hyperlink>
    </w:p>
    <w:p>
      <w:pPr>
        <w:tabs>
          <w:tab w:val="right" w:leader="dot" w:pos="9062"/>
        </w:tabs>
        <w:ind w:left="440"/>
      </w:pPr>
      <w:hyperlink w:anchor="_Toc2047" w:history="1">
        <w:r>
          <w:rPr>
            <w:rFonts w:ascii="IRNazanin" w:hAnsi="IRNazanin" w:eastAsia="IRNazanin" w:cs="IRNazanin"/>
            <w:color w:val="111111"/>
            <w:sz w:val="22"/>
            <w:szCs w:val="22"/>
            <w:b w:val="0"/>
            <w:bCs w:val="0"/>
            <w:i w:val="0"/>
            <w:iCs w:val="0"/>
          </w:rPr>
          <w:t>1595- دیوان حلیم سندی أو شعره‏</w:t>
        </w:r>
        <w:r>
          <w:tab/>
        </w:r>
        <w:r>
          <w:fldChar w:fldCharType="begin"/>
        </w:r>
        <w:r>
          <w:instrText xml:space="preserve">PAGEREF 2047 \h</w:instrText>
        </w:r>
        <w:r>
          <w:fldChar w:fldCharType="end"/>
        </w:r>
      </w:hyperlink>
    </w:p>
    <w:p>
      <w:pPr>
        <w:tabs>
          <w:tab w:val="right" w:leader="dot" w:pos="9062"/>
        </w:tabs>
        <w:ind w:left="440"/>
      </w:pPr>
      <w:hyperlink w:anchor="_Toc2048" w:history="1">
        <w:r>
          <w:rPr>
            <w:rFonts w:ascii="IRNazanin" w:hAnsi="IRNazanin" w:eastAsia="IRNazanin" w:cs="IRNazanin"/>
            <w:color w:val="111111"/>
            <w:sz w:val="22"/>
            <w:szCs w:val="22"/>
            <w:b w:val="0"/>
            <w:bCs w:val="0"/>
            <w:i w:val="0"/>
            <w:iCs w:val="0"/>
          </w:rPr>
          <w:t>1596- دیوان حلیمی شیروانی أو شعره‏</w:t>
        </w:r>
        <w:r>
          <w:tab/>
        </w:r>
        <w:r>
          <w:fldChar w:fldCharType="begin"/>
        </w:r>
        <w:r>
          <w:instrText xml:space="preserve">PAGEREF 2048 \h</w:instrText>
        </w:r>
        <w:r>
          <w:fldChar w:fldCharType="end"/>
        </w:r>
      </w:hyperlink>
    </w:p>
    <w:p>
      <w:pPr>
        <w:tabs>
          <w:tab w:val="right" w:leader="dot" w:pos="9062"/>
        </w:tabs>
        <w:ind w:left="440"/>
      </w:pPr>
      <w:hyperlink w:anchor="_Toc2049" w:history="1">
        <w:r>
          <w:rPr>
            <w:rFonts w:ascii="IRNazanin" w:hAnsi="IRNazanin" w:eastAsia="IRNazanin" w:cs="IRNazanin"/>
            <w:color w:val="111111"/>
            <w:sz w:val="22"/>
            <w:szCs w:val="22"/>
            <w:b w:val="0"/>
            <w:bCs w:val="0"/>
            <w:i w:val="0"/>
            <w:iCs w:val="0"/>
          </w:rPr>
          <w:t>1597- دیوان حلیمی طهرانی أو شعره‏</w:t>
        </w:r>
        <w:r>
          <w:tab/>
        </w:r>
        <w:r>
          <w:fldChar w:fldCharType="begin"/>
        </w:r>
        <w:r>
          <w:instrText xml:space="preserve">PAGEREF 2049 \h</w:instrText>
        </w:r>
        <w:r>
          <w:fldChar w:fldCharType="end"/>
        </w:r>
      </w:hyperlink>
    </w:p>
    <w:p>
      <w:pPr>
        <w:tabs>
          <w:tab w:val="right" w:leader="dot" w:pos="9062"/>
        </w:tabs>
        <w:ind w:left="440"/>
      </w:pPr>
      <w:hyperlink w:anchor="_Toc2050" w:history="1">
        <w:r>
          <w:rPr>
            <w:rFonts w:ascii="IRNazanin" w:hAnsi="IRNazanin" w:eastAsia="IRNazanin" w:cs="IRNazanin"/>
            <w:color w:val="111111"/>
            <w:sz w:val="22"/>
            <w:szCs w:val="22"/>
            <w:b w:val="0"/>
            <w:bCs w:val="0"/>
            <w:i w:val="0"/>
            <w:iCs w:val="0"/>
          </w:rPr>
          <w:t>1598- دیوان الشیخ حمادی الکواز</w:t>
        </w:r>
        <w:r>
          <w:tab/>
        </w:r>
        <w:r>
          <w:fldChar w:fldCharType="begin"/>
        </w:r>
        <w:r>
          <w:instrText xml:space="preserve">PAGEREF 2050 \h</w:instrText>
        </w:r>
        <w:r>
          <w:fldChar w:fldCharType="end"/>
        </w:r>
      </w:hyperlink>
    </w:p>
    <w:p>
      <w:pPr>
        <w:tabs>
          <w:tab w:val="right" w:leader="dot" w:pos="9062"/>
        </w:tabs>
        <w:ind w:left="440"/>
      </w:pPr>
      <w:hyperlink w:anchor="_Toc2051" w:history="1">
        <w:r>
          <w:rPr>
            <w:rFonts w:ascii="IRNazanin" w:hAnsi="IRNazanin" w:eastAsia="IRNazanin" w:cs="IRNazanin"/>
            <w:color w:val="111111"/>
            <w:sz w:val="22"/>
            <w:szCs w:val="22"/>
            <w:b w:val="0"/>
            <w:bCs w:val="0"/>
            <w:i w:val="0"/>
            <w:iCs w:val="0"/>
          </w:rPr>
          <w:t>1599- دیوان الشیخ حمادی نوح‏</w:t>
        </w:r>
        <w:r>
          <w:tab/>
        </w:r>
        <w:r>
          <w:fldChar w:fldCharType="begin"/>
        </w:r>
        <w:r>
          <w:instrText xml:space="preserve">PAGEREF 2051 \h</w:instrText>
        </w:r>
        <w:r>
          <w:fldChar w:fldCharType="end"/>
        </w:r>
      </w:hyperlink>
    </w:p>
    <w:p>
      <w:pPr>
        <w:tabs>
          <w:tab w:val="right" w:leader="dot" w:pos="9062"/>
        </w:tabs>
        <w:ind w:left="440"/>
      </w:pPr>
      <w:hyperlink w:anchor="_Toc2052" w:history="1">
        <w:r>
          <w:rPr>
            <w:rFonts w:ascii="IRNazanin" w:hAnsi="IRNazanin" w:eastAsia="IRNazanin" w:cs="IRNazanin"/>
            <w:color w:val="111111"/>
            <w:sz w:val="22"/>
            <w:szCs w:val="22"/>
            <w:b w:val="0"/>
            <w:bCs w:val="0"/>
            <w:i w:val="0"/>
            <w:iCs w:val="0"/>
          </w:rPr>
          <w:t>دیوان الحماسة</w:t>
        </w:r>
        <w:r>
          <w:tab/>
        </w:r>
        <w:r>
          <w:fldChar w:fldCharType="begin"/>
        </w:r>
        <w:r>
          <w:instrText xml:space="preserve">PAGEREF 2052 \h</w:instrText>
        </w:r>
        <w:r>
          <w:fldChar w:fldCharType="end"/>
        </w:r>
      </w:hyperlink>
    </w:p>
    <w:p>
      <w:pPr>
        <w:tabs>
          <w:tab w:val="right" w:leader="dot" w:pos="9062"/>
        </w:tabs>
        <w:ind w:left="440"/>
      </w:pPr>
      <w:hyperlink w:anchor="_Toc2053" w:history="1">
        <w:r>
          <w:rPr>
            <w:rFonts w:ascii="IRNazanin" w:hAnsi="IRNazanin" w:eastAsia="IRNazanin" w:cs="IRNazanin"/>
            <w:color w:val="111111"/>
            <w:sz w:val="22"/>
            <w:szCs w:val="22"/>
            <w:b w:val="0"/>
            <w:bCs w:val="0"/>
            <w:i w:val="0"/>
            <w:iCs w:val="0"/>
          </w:rPr>
          <w:t>1600- دیوان الحمانی أو شعره‏</w:t>
        </w:r>
        <w:r>
          <w:tab/>
        </w:r>
        <w:r>
          <w:fldChar w:fldCharType="begin"/>
        </w:r>
        <w:r>
          <w:instrText xml:space="preserve">PAGEREF 2053 \h</w:instrText>
        </w:r>
        <w:r>
          <w:fldChar w:fldCharType="end"/>
        </w:r>
      </w:hyperlink>
    </w:p>
    <w:p>
      <w:pPr>
        <w:tabs>
          <w:tab w:val="right" w:leader="dot" w:pos="9062"/>
        </w:tabs>
        <w:ind w:left="440"/>
      </w:pPr>
      <w:hyperlink w:anchor="_Toc2054" w:history="1">
        <w:r>
          <w:rPr>
            <w:rFonts w:ascii="IRNazanin" w:hAnsi="IRNazanin" w:eastAsia="IRNazanin" w:cs="IRNazanin"/>
            <w:color w:val="111111"/>
            <w:sz w:val="22"/>
            <w:szCs w:val="22"/>
            <w:b w:val="0"/>
            <w:bCs w:val="0"/>
            <w:i w:val="0"/>
            <w:iCs w:val="0"/>
          </w:rPr>
          <w:t>1601- دیوان المولی حمد الله الأردبیلی‏</w:t>
        </w:r>
        <w:r>
          <w:tab/>
        </w:r>
        <w:r>
          <w:fldChar w:fldCharType="begin"/>
        </w:r>
        <w:r>
          <w:instrText xml:space="preserve">PAGEREF 2054 \h</w:instrText>
        </w:r>
        <w:r>
          <w:fldChar w:fldCharType="end"/>
        </w:r>
      </w:hyperlink>
    </w:p>
    <w:p>
      <w:pPr>
        <w:tabs>
          <w:tab w:val="right" w:leader="dot" w:pos="9062"/>
        </w:tabs>
        <w:ind w:left="440"/>
      </w:pPr>
      <w:hyperlink w:anchor="_Toc2055" w:history="1">
        <w:r>
          <w:rPr>
            <w:rFonts w:ascii="IRNazanin" w:hAnsi="IRNazanin" w:eastAsia="IRNazanin" w:cs="IRNazanin"/>
            <w:color w:val="111111"/>
            <w:sz w:val="22"/>
            <w:szCs w:val="22"/>
            <w:b w:val="0"/>
            <w:bCs w:val="0"/>
            <w:i w:val="0"/>
            <w:iCs w:val="0"/>
          </w:rPr>
          <w:t>1602- دیوان مولانا حمد الله الرازی‏</w:t>
        </w:r>
        <w:r>
          <w:tab/>
        </w:r>
        <w:r>
          <w:fldChar w:fldCharType="begin"/>
        </w:r>
        <w:r>
          <w:instrText xml:space="preserve">PAGEREF 2055 \h</w:instrText>
        </w:r>
        <w:r>
          <w:fldChar w:fldCharType="end"/>
        </w:r>
      </w:hyperlink>
    </w:p>
    <w:p>
      <w:pPr>
        <w:tabs>
          <w:tab w:val="right" w:leader="dot" w:pos="9062"/>
        </w:tabs>
        <w:ind w:left="440"/>
      </w:pPr>
      <w:hyperlink w:anchor="_Toc2056" w:history="1">
        <w:r>
          <w:rPr>
            <w:rFonts w:ascii="IRNazanin" w:hAnsi="IRNazanin" w:eastAsia="IRNazanin" w:cs="IRNazanin"/>
            <w:color w:val="111111"/>
            <w:sz w:val="22"/>
            <w:szCs w:val="22"/>
            <w:b w:val="0"/>
            <w:bCs w:val="0"/>
            <w:i w:val="0"/>
            <w:iCs w:val="0"/>
          </w:rPr>
          <w:t>1603- دیوان حمدی أو شعره‏</w:t>
        </w:r>
        <w:r>
          <w:tab/>
        </w:r>
        <w:r>
          <w:fldChar w:fldCharType="begin"/>
        </w:r>
        <w:r>
          <w:instrText xml:space="preserve">PAGEREF 2056 \h</w:instrText>
        </w:r>
        <w:r>
          <w:fldChar w:fldCharType="end"/>
        </w:r>
      </w:hyperlink>
    </w:p>
    <w:p>
      <w:pPr>
        <w:tabs>
          <w:tab w:val="right" w:leader="dot" w:pos="9062"/>
        </w:tabs>
        <w:ind w:left="440"/>
      </w:pPr>
      <w:hyperlink w:anchor="_Toc2057" w:history="1">
        <w:r>
          <w:rPr>
            <w:rFonts w:ascii="IRNazanin" w:hAnsi="IRNazanin" w:eastAsia="IRNazanin" w:cs="IRNazanin"/>
            <w:color w:val="111111"/>
            <w:sz w:val="22"/>
            <w:szCs w:val="22"/>
            <w:b w:val="0"/>
            <w:bCs w:val="0"/>
            <w:i w:val="0"/>
            <w:iCs w:val="0"/>
          </w:rPr>
          <w:t>دیوان حمدی سیستانی‏</w:t>
        </w:r>
        <w:r>
          <w:tab/>
        </w:r>
        <w:r>
          <w:fldChar w:fldCharType="begin"/>
        </w:r>
        <w:r>
          <w:instrText xml:space="preserve">PAGEREF 2057 \h</w:instrText>
        </w:r>
        <w:r>
          <w:fldChar w:fldCharType="end"/>
        </w:r>
      </w:hyperlink>
    </w:p>
    <w:p>
      <w:pPr>
        <w:tabs>
          <w:tab w:val="right" w:leader="dot" w:pos="9062"/>
        </w:tabs>
        <w:ind w:left="440"/>
      </w:pPr>
      <w:hyperlink w:anchor="_Toc2058" w:history="1">
        <w:r>
          <w:rPr>
            <w:rFonts w:ascii="IRNazanin" w:hAnsi="IRNazanin" w:eastAsia="IRNazanin" w:cs="IRNazanin"/>
            <w:color w:val="111111"/>
            <w:sz w:val="22"/>
            <w:szCs w:val="22"/>
            <w:b w:val="0"/>
            <w:bCs w:val="0"/>
            <w:i w:val="0"/>
            <w:iCs w:val="0"/>
          </w:rPr>
          <w:t>1604- دیوان حمدی قزوینی أو شعره‏</w:t>
        </w:r>
        <w:r>
          <w:tab/>
        </w:r>
        <w:r>
          <w:fldChar w:fldCharType="begin"/>
        </w:r>
        <w:r>
          <w:instrText xml:space="preserve">PAGEREF 2058 \h</w:instrText>
        </w:r>
        <w:r>
          <w:fldChar w:fldCharType="end"/>
        </w:r>
      </w:hyperlink>
    </w:p>
    <w:p>
      <w:pPr>
        <w:tabs>
          <w:tab w:val="right" w:leader="dot" w:pos="9062"/>
        </w:tabs>
        <w:ind w:left="440"/>
      </w:pPr>
      <w:hyperlink w:anchor="_Toc2059" w:history="1">
        <w:r>
          <w:rPr>
            <w:rFonts w:ascii="IRNazanin" w:hAnsi="IRNazanin" w:eastAsia="IRNazanin" w:cs="IRNazanin"/>
            <w:color w:val="111111"/>
            <w:sz w:val="22"/>
            <w:szCs w:val="22"/>
            <w:b w:val="0"/>
            <w:bCs w:val="0"/>
            <w:i w:val="0"/>
            <w:iCs w:val="0"/>
          </w:rPr>
          <w:t>1605- دیوان حمدی کشمیری أو شعره‏</w:t>
        </w:r>
        <w:r>
          <w:tab/>
        </w:r>
        <w:r>
          <w:fldChar w:fldCharType="begin"/>
        </w:r>
        <w:r>
          <w:instrText xml:space="preserve">PAGEREF 2059 \h</w:instrText>
        </w:r>
        <w:r>
          <w:fldChar w:fldCharType="end"/>
        </w:r>
      </w:hyperlink>
    </w:p>
    <w:p>
      <w:pPr>
        <w:tabs>
          <w:tab w:val="right" w:leader="dot" w:pos="9062"/>
        </w:tabs>
        <w:ind w:left="440"/>
      </w:pPr>
      <w:hyperlink w:anchor="_Toc2060" w:history="1">
        <w:r>
          <w:rPr>
            <w:rFonts w:ascii="IRNazanin" w:hAnsi="IRNazanin" w:eastAsia="IRNazanin" w:cs="IRNazanin"/>
            <w:color w:val="111111"/>
            <w:sz w:val="22"/>
            <w:szCs w:val="22"/>
            <w:b w:val="0"/>
            <w:bCs w:val="0"/>
            <w:i w:val="0"/>
            <w:iCs w:val="0"/>
          </w:rPr>
          <w:t>دیوان حمزة سیستانی‏</w:t>
        </w:r>
        <w:r>
          <w:tab/>
        </w:r>
        <w:r>
          <w:fldChar w:fldCharType="begin"/>
        </w:r>
        <w:r>
          <w:instrText xml:space="preserve">PAGEREF 2060 \h</w:instrText>
        </w:r>
        <w:r>
          <w:fldChar w:fldCharType="end"/>
        </w:r>
      </w:hyperlink>
    </w:p>
    <w:p>
      <w:pPr>
        <w:tabs>
          <w:tab w:val="right" w:leader="dot" w:pos="9062"/>
        </w:tabs>
        <w:ind w:left="440"/>
      </w:pPr>
      <w:hyperlink w:anchor="_Toc2061" w:history="1">
        <w:r>
          <w:rPr>
            <w:rFonts w:ascii="IRNazanin" w:hAnsi="IRNazanin" w:eastAsia="IRNazanin" w:cs="IRNazanin"/>
            <w:color w:val="111111"/>
            <w:sz w:val="22"/>
            <w:szCs w:val="22"/>
            <w:b w:val="0"/>
            <w:bCs w:val="0"/>
            <w:i w:val="0"/>
            <w:iCs w:val="0"/>
          </w:rPr>
          <w:t>دیوان حمید همدانی‏</w:t>
        </w:r>
        <w:r>
          <w:tab/>
        </w:r>
        <w:r>
          <w:fldChar w:fldCharType="begin"/>
        </w:r>
        <w:r>
          <w:instrText xml:space="preserve">PAGEREF 2061 \h</w:instrText>
        </w:r>
        <w:r>
          <w:fldChar w:fldCharType="end"/>
        </w:r>
      </w:hyperlink>
    </w:p>
    <w:p>
      <w:pPr>
        <w:tabs>
          <w:tab w:val="right" w:leader="dot" w:pos="9062"/>
        </w:tabs>
        <w:ind w:left="440"/>
      </w:pPr>
      <w:hyperlink w:anchor="_Toc2062" w:history="1">
        <w:r>
          <w:rPr>
            <w:rFonts w:ascii="IRNazanin" w:hAnsi="IRNazanin" w:eastAsia="IRNazanin" w:cs="IRNazanin"/>
            <w:color w:val="111111"/>
            <w:sz w:val="22"/>
            <w:szCs w:val="22"/>
            <w:b w:val="0"/>
            <w:bCs w:val="0"/>
            <w:i w:val="0"/>
            <w:iCs w:val="0"/>
          </w:rPr>
          <w:t>دیوان حمید أردبیلی‏</w:t>
        </w:r>
        <w:r>
          <w:tab/>
        </w:r>
        <w:r>
          <w:fldChar w:fldCharType="begin"/>
        </w:r>
        <w:r>
          <w:instrText xml:space="preserve">PAGEREF 2062 \h</w:instrText>
        </w:r>
        <w:r>
          <w:fldChar w:fldCharType="end"/>
        </w:r>
      </w:hyperlink>
    </w:p>
    <w:p>
      <w:pPr>
        <w:tabs>
          <w:tab w:val="right" w:leader="dot" w:pos="9062"/>
        </w:tabs>
        <w:ind w:left="440"/>
      </w:pPr>
      <w:hyperlink w:anchor="_Toc2063" w:history="1">
        <w:r>
          <w:rPr>
            <w:rFonts w:ascii="IRNazanin" w:hAnsi="IRNazanin" w:eastAsia="IRNazanin" w:cs="IRNazanin"/>
            <w:color w:val="111111"/>
            <w:sz w:val="22"/>
            <w:szCs w:val="22"/>
            <w:b w:val="0"/>
            <w:bCs w:val="0"/>
            <w:i w:val="0"/>
            <w:iCs w:val="0"/>
          </w:rPr>
          <w:t>1606- دیوان حمید بخارائی أو شعره‏</w:t>
        </w:r>
        <w:r>
          <w:tab/>
        </w:r>
        <w:r>
          <w:fldChar w:fldCharType="begin"/>
        </w:r>
        <w:r>
          <w:instrText xml:space="preserve">PAGEREF 2063 \h</w:instrText>
        </w:r>
        <w:r>
          <w:fldChar w:fldCharType="end"/>
        </w:r>
      </w:hyperlink>
    </w:p>
    <w:p>
      <w:pPr>
        <w:tabs>
          <w:tab w:val="right" w:leader="dot" w:pos="9062"/>
        </w:tabs>
        <w:ind w:left="440"/>
      </w:pPr>
      <w:hyperlink w:anchor="_Toc2064" w:history="1">
        <w:r>
          <w:rPr>
            <w:rFonts w:ascii="IRNazanin" w:hAnsi="IRNazanin" w:eastAsia="IRNazanin" w:cs="IRNazanin"/>
            <w:color w:val="111111"/>
            <w:sz w:val="22"/>
            <w:szCs w:val="22"/>
            <w:b w:val="0"/>
            <w:bCs w:val="0"/>
            <w:i w:val="0"/>
            <w:iCs w:val="0"/>
          </w:rPr>
          <w:t>1607- دیوان حمید تبادکانی أو شعره‏</w:t>
        </w:r>
        <w:r>
          <w:tab/>
        </w:r>
        <w:r>
          <w:fldChar w:fldCharType="begin"/>
        </w:r>
        <w:r>
          <w:instrText xml:space="preserve">PAGEREF 2064 \h</w:instrText>
        </w:r>
        <w:r>
          <w:fldChar w:fldCharType="end"/>
        </w:r>
      </w:hyperlink>
    </w:p>
    <w:p>
      <w:pPr>
        <w:tabs>
          <w:tab w:val="right" w:leader="dot" w:pos="9062"/>
        </w:tabs>
        <w:ind w:left="440"/>
      </w:pPr>
      <w:hyperlink w:anchor="_Toc2065" w:history="1">
        <w:r>
          <w:rPr>
            <w:rFonts w:ascii="IRNazanin" w:hAnsi="IRNazanin" w:eastAsia="IRNazanin" w:cs="IRNazanin"/>
            <w:color w:val="111111"/>
            <w:sz w:val="22"/>
            <w:szCs w:val="22"/>
            <w:b w:val="0"/>
            <w:bCs w:val="0"/>
            <w:i w:val="0"/>
            <w:iCs w:val="0"/>
          </w:rPr>
          <w:t>1608- دیوان حمید کل أو شعره‏</w:t>
        </w:r>
        <w:r>
          <w:tab/>
        </w:r>
        <w:r>
          <w:fldChar w:fldCharType="begin"/>
        </w:r>
        <w:r>
          <w:instrText xml:space="preserve">PAGEREF 2065 \h</w:instrText>
        </w:r>
        <w:r>
          <w:fldChar w:fldCharType="end"/>
        </w:r>
      </w:hyperlink>
    </w:p>
    <w:p>
      <w:pPr>
        <w:tabs>
          <w:tab w:val="right" w:leader="dot" w:pos="9062"/>
        </w:tabs>
        <w:ind w:left="440"/>
      </w:pPr>
      <w:hyperlink w:anchor="_Toc2066" w:history="1">
        <w:r>
          <w:rPr>
            <w:rFonts w:ascii="IRNazanin" w:hAnsi="IRNazanin" w:eastAsia="IRNazanin" w:cs="IRNazanin"/>
            <w:color w:val="111111"/>
            <w:sz w:val="22"/>
            <w:szCs w:val="22"/>
            <w:b w:val="0"/>
            <w:bCs w:val="0"/>
            <w:i w:val="0"/>
            <w:iCs w:val="0"/>
          </w:rPr>
          <w:t>دیوان حمید معمایی‏</w:t>
        </w:r>
        <w:r>
          <w:tab/>
        </w:r>
        <w:r>
          <w:fldChar w:fldCharType="begin"/>
        </w:r>
        <w:r>
          <w:instrText xml:space="preserve">PAGEREF 2066 \h</w:instrText>
        </w:r>
        <w:r>
          <w:fldChar w:fldCharType="end"/>
        </w:r>
      </w:hyperlink>
    </w:p>
    <w:p>
      <w:pPr>
        <w:tabs>
          <w:tab w:val="right" w:leader="dot" w:pos="9062"/>
        </w:tabs>
        <w:ind w:left="440"/>
      </w:pPr>
      <w:hyperlink w:anchor="_Toc2067" w:history="1">
        <w:r>
          <w:rPr>
            <w:rFonts w:ascii="IRNazanin" w:hAnsi="IRNazanin" w:eastAsia="IRNazanin" w:cs="IRNazanin"/>
            <w:color w:val="111111"/>
            <w:sz w:val="22"/>
            <w:szCs w:val="22"/>
            <w:b w:val="0"/>
            <w:bCs w:val="0"/>
            <w:i w:val="0"/>
            <w:iCs w:val="0"/>
          </w:rPr>
          <w:t>1609- دیوان حمید ناگوری أو شعره‏</w:t>
        </w:r>
        <w:r>
          <w:tab/>
        </w:r>
        <w:r>
          <w:fldChar w:fldCharType="begin"/>
        </w:r>
        <w:r>
          <w:instrText xml:space="preserve">PAGEREF 2067 \h</w:instrText>
        </w:r>
        <w:r>
          <w:fldChar w:fldCharType="end"/>
        </w:r>
      </w:hyperlink>
    </w:p>
    <w:p>
      <w:pPr>
        <w:tabs>
          <w:tab w:val="right" w:leader="dot" w:pos="9062"/>
        </w:tabs>
        <w:ind w:left="440"/>
      </w:pPr>
      <w:hyperlink w:anchor="_Toc2068" w:history="1">
        <w:r>
          <w:rPr>
            <w:rFonts w:ascii="IRNazanin" w:hAnsi="IRNazanin" w:eastAsia="IRNazanin" w:cs="IRNazanin"/>
            <w:color w:val="111111"/>
            <w:sz w:val="22"/>
            <w:szCs w:val="22"/>
            <w:b w:val="0"/>
            <w:bCs w:val="0"/>
            <w:i w:val="0"/>
            <w:iCs w:val="0"/>
          </w:rPr>
          <w:t>1610- دیوان حمید همدانی‏</w:t>
        </w:r>
        <w:r>
          <w:tab/>
        </w:r>
        <w:r>
          <w:fldChar w:fldCharType="begin"/>
        </w:r>
        <w:r>
          <w:instrText xml:space="preserve">PAGEREF 2068 \h</w:instrText>
        </w:r>
        <w:r>
          <w:fldChar w:fldCharType="end"/>
        </w:r>
      </w:hyperlink>
    </w:p>
    <w:p>
      <w:pPr>
        <w:tabs>
          <w:tab w:val="right" w:leader="dot" w:pos="9062"/>
        </w:tabs>
        <w:ind w:left="440"/>
      </w:pPr>
      <w:hyperlink w:anchor="_Toc2069" w:history="1">
        <w:r>
          <w:rPr>
            <w:rFonts w:ascii="IRNazanin" w:hAnsi="IRNazanin" w:eastAsia="IRNazanin" w:cs="IRNazanin"/>
            <w:color w:val="111111"/>
            <w:sz w:val="22"/>
            <w:szCs w:val="22"/>
            <w:b w:val="0"/>
            <w:bCs w:val="0"/>
            <w:i w:val="0"/>
            <w:iCs w:val="0"/>
          </w:rPr>
          <w:t>1611- دیوان حمیدی بلخی‏</w:t>
        </w:r>
        <w:r>
          <w:tab/>
        </w:r>
        <w:r>
          <w:fldChar w:fldCharType="begin"/>
        </w:r>
        <w:r>
          <w:instrText xml:space="preserve">PAGEREF 2069 \h</w:instrText>
        </w:r>
        <w:r>
          <w:fldChar w:fldCharType="end"/>
        </w:r>
      </w:hyperlink>
    </w:p>
    <w:p>
      <w:pPr>
        <w:tabs>
          <w:tab w:val="right" w:leader="dot" w:pos="9062"/>
        </w:tabs>
        <w:ind w:left="440"/>
      </w:pPr>
      <w:hyperlink w:anchor="_Toc2070" w:history="1">
        <w:r>
          <w:rPr>
            <w:rFonts w:ascii="IRNazanin" w:hAnsi="IRNazanin" w:eastAsia="IRNazanin" w:cs="IRNazanin"/>
            <w:color w:val="111111"/>
            <w:sz w:val="22"/>
            <w:szCs w:val="22"/>
            <w:b w:val="0"/>
            <w:bCs w:val="0"/>
            <w:i w:val="0"/>
            <w:iCs w:val="0"/>
          </w:rPr>
          <w:t>1612- دیوان حمیدی شیرازی‏</w:t>
        </w:r>
        <w:r>
          <w:tab/>
        </w:r>
        <w:r>
          <w:fldChar w:fldCharType="begin"/>
        </w:r>
        <w:r>
          <w:instrText xml:space="preserve">PAGEREF 2070 \h</w:instrText>
        </w:r>
        <w:r>
          <w:fldChar w:fldCharType="end"/>
        </w:r>
      </w:hyperlink>
    </w:p>
    <w:p>
      <w:pPr>
        <w:tabs>
          <w:tab w:val="right" w:leader="dot" w:pos="9062"/>
        </w:tabs>
        <w:ind w:left="440"/>
      </w:pPr>
      <w:hyperlink w:anchor="_Toc2071" w:history="1">
        <w:r>
          <w:rPr>
            <w:rFonts w:ascii="IRNazanin" w:hAnsi="IRNazanin" w:eastAsia="IRNazanin" w:cs="IRNazanin"/>
            <w:color w:val="111111"/>
            <w:sz w:val="22"/>
            <w:szCs w:val="22"/>
            <w:b w:val="0"/>
            <w:bCs w:val="0"/>
            <w:i w:val="0"/>
            <w:iCs w:val="0"/>
          </w:rPr>
          <w:t>1613- دیوان حمیدی کشمیری أو شعره‏</w:t>
        </w:r>
        <w:r>
          <w:tab/>
        </w:r>
        <w:r>
          <w:fldChar w:fldCharType="begin"/>
        </w:r>
        <w:r>
          <w:instrText xml:space="preserve">PAGEREF 2071 \h</w:instrText>
        </w:r>
        <w:r>
          <w:fldChar w:fldCharType="end"/>
        </w:r>
      </w:hyperlink>
    </w:p>
    <w:p>
      <w:pPr>
        <w:tabs>
          <w:tab w:val="right" w:leader="dot" w:pos="9062"/>
        </w:tabs>
        <w:ind w:left="440"/>
      </w:pPr>
      <w:hyperlink w:anchor="_Toc2072" w:history="1">
        <w:r>
          <w:rPr>
            <w:rFonts w:ascii="IRNazanin" w:hAnsi="IRNazanin" w:eastAsia="IRNazanin" w:cs="IRNazanin"/>
            <w:color w:val="111111"/>
            <w:sz w:val="22"/>
            <w:szCs w:val="22"/>
            <w:b w:val="0"/>
            <w:bCs w:val="0"/>
            <w:i w:val="0"/>
            <w:iCs w:val="0"/>
          </w:rPr>
          <w:t>1614- دیوان حمیدی مازندرانی أو شعره‏</w:t>
        </w:r>
        <w:r>
          <w:tab/>
        </w:r>
        <w:r>
          <w:fldChar w:fldCharType="begin"/>
        </w:r>
        <w:r>
          <w:instrText xml:space="preserve">PAGEREF 2072 \h</w:instrText>
        </w:r>
        <w:r>
          <w:fldChar w:fldCharType="end"/>
        </w:r>
      </w:hyperlink>
    </w:p>
    <w:p>
      <w:pPr>
        <w:tabs>
          <w:tab w:val="right" w:leader="dot" w:pos="9062"/>
        </w:tabs>
        <w:ind w:left="440"/>
      </w:pPr>
      <w:hyperlink w:anchor="_Toc2073" w:history="1">
        <w:r>
          <w:rPr>
            <w:rFonts w:ascii="IRNazanin" w:hAnsi="IRNazanin" w:eastAsia="IRNazanin" w:cs="IRNazanin"/>
            <w:color w:val="111111"/>
            <w:sz w:val="22"/>
            <w:szCs w:val="22"/>
            <w:b w:val="0"/>
            <w:bCs w:val="0"/>
            <w:i w:val="0"/>
            <w:iCs w:val="0"/>
          </w:rPr>
          <w:t>1615- دیوان السید الحمیری‏</w:t>
        </w:r>
        <w:r>
          <w:tab/>
        </w:r>
        <w:r>
          <w:fldChar w:fldCharType="begin"/>
        </w:r>
        <w:r>
          <w:instrText xml:space="preserve">PAGEREF 2073 \h</w:instrText>
        </w:r>
        <w:r>
          <w:fldChar w:fldCharType="end"/>
        </w:r>
      </w:hyperlink>
    </w:p>
    <w:p>
      <w:pPr>
        <w:tabs>
          <w:tab w:val="right" w:leader="dot" w:pos="9062"/>
        </w:tabs>
        <w:ind w:left="440"/>
      </w:pPr>
      <w:hyperlink w:anchor="_Toc2074" w:history="1">
        <w:r>
          <w:rPr>
            <w:rFonts w:ascii="IRNazanin" w:hAnsi="IRNazanin" w:eastAsia="IRNazanin" w:cs="IRNazanin"/>
            <w:color w:val="111111"/>
            <w:sz w:val="22"/>
            <w:szCs w:val="22"/>
            <w:b w:val="0"/>
            <w:bCs w:val="0"/>
            <w:i w:val="0"/>
            <w:iCs w:val="0"/>
          </w:rPr>
          <w:t>1616- دیوان الحومانی‏</w:t>
        </w:r>
        <w:r>
          <w:tab/>
        </w:r>
        <w:r>
          <w:fldChar w:fldCharType="begin"/>
        </w:r>
        <w:r>
          <w:instrText xml:space="preserve">PAGEREF 2074 \h</w:instrText>
        </w:r>
        <w:r>
          <w:fldChar w:fldCharType="end"/>
        </w:r>
      </w:hyperlink>
    </w:p>
    <w:p>
      <w:pPr>
        <w:tabs>
          <w:tab w:val="right" w:leader="dot" w:pos="9062"/>
        </w:tabs>
        <w:ind w:left="440"/>
      </w:pPr>
      <w:hyperlink w:anchor="_Toc2075" w:history="1">
        <w:r>
          <w:rPr>
            <w:rFonts w:ascii="IRNazanin" w:hAnsi="IRNazanin" w:eastAsia="IRNazanin" w:cs="IRNazanin"/>
            <w:color w:val="111111"/>
            <w:sz w:val="22"/>
            <w:szCs w:val="22"/>
            <w:b w:val="0"/>
            <w:bCs w:val="0"/>
            <w:i w:val="0"/>
            <w:iCs w:val="0"/>
          </w:rPr>
          <w:t>دیوان الحویزی‏</w:t>
        </w:r>
        <w:r>
          <w:tab/>
        </w:r>
        <w:r>
          <w:fldChar w:fldCharType="begin"/>
        </w:r>
        <w:r>
          <w:instrText xml:space="preserve">PAGEREF 2075 \h</w:instrText>
        </w:r>
        <w:r>
          <w:fldChar w:fldCharType="end"/>
        </w:r>
      </w:hyperlink>
    </w:p>
    <w:p>
      <w:pPr>
        <w:tabs>
          <w:tab w:val="right" w:leader="dot" w:pos="9062"/>
        </w:tabs>
        <w:ind w:left="440"/>
      </w:pPr>
      <w:hyperlink w:anchor="_Toc2076" w:history="1">
        <w:r>
          <w:rPr>
            <w:rFonts w:ascii="IRNazanin" w:hAnsi="IRNazanin" w:eastAsia="IRNazanin" w:cs="IRNazanin"/>
            <w:color w:val="111111"/>
            <w:sz w:val="22"/>
            <w:szCs w:val="22"/>
            <w:b w:val="0"/>
            <w:bCs w:val="0"/>
            <w:i w:val="0"/>
            <w:iCs w:val="0"/>
          </w:rPr>
          <w:t>1617- دیوان حیا أکبرآبادی‏</w:t>
        </w:r>
        <w:r>
          <w:tab/>
        </w:r>
        <w:r>
          <w:fldChar w:fldCharType="begin"/>
        </w:r>
        <w:r>
          <w:instrText xml:space="preserve">PAGEREF 2076 \h</w:instrText>
        </w:r>
        <w:r>
          <w:fldChar w:fldCharType="end"/>
        </w:r>
      </w:hyperlink>
    </w:p>
    <w:p>
      <w:pPr>
        <w:tabs>
          <w:tab w:val="right" w:leader="dot" w:pos="9062"/>
        </w:tabs>
        <w:ind w:left="440"/>
      </w:pPr>
      <w:hyperlink w:anchor="_Toc2077" w:history="1">
        <w:r>
          <w:rPr>
            <w:rFonts w:ascii="IRNazanin" w:hAnsi="IRNazanin" w:eastAsia="IRNazanin" w:cs="IRNazanin"/>
            <w:color w:val="111111"/>
            <w:sz w:val="22"/>
            <w:szCs w:val="22"/>
            <w:b w:val="0"/>
            <w:bCs w:val="0"/>
            <w:i w:val="0"/>
            <w:iCs w:val="0"/>
          </w:rPr>
          <w:t>1618- دیوان حیاتی أو شعره‏</w:t>
        </w:r>
        <w:r>
          <w:tab/>
        </w:r>
        <w:r>
          <w:fldChar w:fldCharType="begin"/>
        </w:r>
        <w:r>
          <w:instrText xml:space="preserve">PAGEREF 2077 \h</w:instrText>
        </w:r>
        <w:r>
          <w:fldChar w:fldCharType="end"/>
        </w:r>
      </w:hyperlink>
    </w:p>
    <w:p>
      <w:pPr>
        <w:tabs>
          <w:tab w:val="right" w:leader="dot" w:pos="9062"/>
        </w:tabs>
        <w:ind w:left="440"/>
      </w:pPr>
      <w:hyperlink w:anchor="_Toc2078" w:history="1">
        <w:r>
          <w:rPr>
            <w:rFonts w:ascii="IRNazanin" w:hAnsi="IRNazanin" w:eastAsia="IRNazanin" w:cs="IRNazanin"/>
            <w:color w:val="111111"/>
            <w:sz w:val="22"/>
            <w:szCs w:val="22"/>
            <w:b w:val="0"/>
            <w:bCs w:val="0"/>
            <w:i w:val="0"/>
            <w:iCs w:val="0"/>
          </w:rPr>
          <w:t>1619- دیوان حیاتی کاشانی‏</w:t>
        </w:r>
        <w:r>
          <w:tab/>
        </w:r>
        <w:r>
          <w:fldChar w:fldCharType="begin"/>
        </w:r>
        <w:r>
          <w:instrText xml:space="preserve">PAGEREF 2078 \h</w:instrText>
        </w:r>
        <w:r>
          <w:fldChar w:fldCharType="end"/>
        </w:r>
      </w:hyperlink>
    </w:p>
    <w:p>
      <w:pPr>
        <w:tabs>
          <w:tab w:val="right" w:leader="dot" w:pos="9062"/>
        </w:tabs>
        <w:ind w:left="440"/>
      </w:pPr>
      <w:hyperlink w:anchor="_Toc2079" w:history="1">
        <w:r>
          <w:rPr>
            <w:rFonts w:ascii="IRNazanin" w:hAnsi="IRNazanin" w:eastAsia="IRNazanin" w:cs="IRNazanin"/>
            <w:color w:val="111111"/>
            <w:sz w:val="22"/>
            <w:szCs w:val="22"/>
            <w:b w:val="0"/>
            <w:bCs w:val="0"/>
            <w:i w:val="0"/>
            <w:iCs w:val="0"/>
          </w:rPr>
          <w:t>1620- دیوان حیاتی گیلانی أو شعره‏</w:t>
        </w:r>
        <w:r>
          <w:tab/>
        </w:r>
        <w:r>
          <w:fldChar w:fldCharType="begin"/>
        </w:r>
        <w:r>
          <w:instrText xml:space="preserve">PAGEREF 2079 \h</w:instrText>
        </w:r>
        <w:r>
          <w:fldChar w:fldCharType="end"/>
        </w:r>
      </w:hyperlink>
    </w:p>
    <w:p>
      <w:pPr>
        <w:tabs>
          <w:tab w:val="right" w:leader="dot" w:pos="9062"/>
        </w:tabs>
        <w:ind w:left="440"/>
      </w:pPr>
      <w:hyperlink w:anchor="_Toc2080" w:history="1">
        <w:r>
          <w:rPr>
            <w:rFonts w:ascii="IRNazanin" w:hAnsi="IRNazanin" w:eastAsia="IRNazanin" w:cs="IRNazanin"/>
            <w:color w:val="111111"/>
            <w:sz w:val="22"/>
            <w:szCs w:val="22"/>
            <w:b w:val="0"/>
            <w:bCs w:val="0"/>
            <w:i w:val="0"/>
            <w:iCs w:val="0"/>
          </w:rPr>
          <w:t>1621- دیوان حیدر ترک‏</w:t>
        </w:r>
        <w:r>
          <w:tab/>
        </w:r>
        <w:r>
          <w:fldChar w:fldCharType="begin"/>
        </w:r>
        <w:r>
          <w:instrText xml:space="preserve">PAGEREF 2080 \h</w:instrText>
        </w:r>
        <w:r>
          <w:fldChar w:fldCharType="end"/>
        </w:r>
      </w:hyperlink>
    </w:p>
    <w:p>
      <w:pPr>
        <w:tabs>
          <w:tab w:val="right" w:leader="dot" w:pos="9062"/>
        </w:tabs>
        <w:ind w:left="440"/>
      </w:pPr>
      <w:hyperlink w:anchor="_Toc2081" w:history="1">
        <w:r>
          <w:rPr>
            <w:rFonts w:ascii="IRNazanin" w:hAnsi="IRNazanin" w:eastAsia="IRNazanin" w:cs="IRNazanin"/>
            <w:color w:val="111111"/>
            <w:sz w:val="22"/>
            <w:szCs w:val="22"/>
            <w:b w:val="0"/>
            <w:bCs w:val="0"/>
            <w:i w:val="0"/>
            <w:iCs w:val="0"/>
          </w:rPr>
          <w:t>1622- دیوان حیدر تونیانی أو شعره‏</w:t>
        </w:r>
        <w:r>
          <w:tab/>
        </w:r>
        <w:r>
          <w:fldChar w:fldCharType="begin"/>
        </w:r>
        <w:r>
          <w:instrText xml:space="preserve">PAGEREF 2081 \h</w:instrText>
        </w:r>
        <w:r>
          <w:fldChar w:fldCharType="end"/>
        </w:r>
      </w:hyperlink>
    </w:p>
    <w:p>
      <w:pPr>
        <w:tabs>
          <w:tab w:val="right" w:leader="dot" w:pos="9062"/>
        </w:tabs>
        <w:ind w:left="440"/>
      </w:pPr>
      <w:hyperlink w:anchor="_Toc2082" w:history="1">
        <w:r>
          <w:rPr>
            <w:rFonts w:ascii="IRNazanin" w:hAnsi="IRNazanin" w:eastAsia="IRNazanin" w:cs="IRNazanin"/>
            <w:color w:val="111111"/>
            <w:sz w:val="22"/>
            <w:szCs w:val="22"/>
            <w:b w:val="0"/>
            <w:bCs w:val="0"/>
            <w:i w:val="0"/>
            <w:iCs w:val="0"/>
          </w:rPr>
          <w:t>1623- دیوان السید حیدر الحلی‏</w:t>
        </w:r>
        <w:r>
          <w:tab/>
        </w:r>
        <w:r>
          <w:fldChar w:fldCharType="begin"/>
        </w:r>
        <w:r>
          <w:instrText xml:space="preserve">PAGEREF 2082 \h</w:instrText>
        </w:r>
        <w:r>
          <w:fldChar w:fldCharType="end"/>
        </w:r>
      </w:hyperlink>
    </w:p>
    <w:p>
      <w:pPr>
        <w:tabs>
          <w:tab w:val="right" w:leader="dot" w:pos="9062"/>
        </w:tabs>
        <w:ind w:left="440"/>
      </w:pPr>
      <w:hyperlink w:anchor="_Toc2083" w:history="1">
        <w:r>
          <w:rPr>
            <w:rFonts w:ascii="IRNazanin" w:hAnsi="IRNazanin" w:eastAsia="IRNazanin" w:cs="IRNazanin"/>
            <w:color w:val="111111"/>
            <w:sz w:val="22"/>
            <w:szCs w:val="22"/>
            <w:b w:val="0"/>
            <w:bCs w:val="0"/>
            <w:i w:val="0"/>
            <w:iCs w:val="0"/>
          </w:rPr>
          <w:t>1624- دیوان حیدر طهماسبی کاشی أو شعره‏</w:t>
        </w:r>
        <w:r>
          <w:tab/>
        </w:r>
        <w:r>
          <w:fldChar w:fldCharType="begin"/>
        </w:r>
        <w:r>
          <w:instrText xml:space="preserve">PAGEREF 2083 \h</w:instrText>
        </w:r>
        <w:r>
          <w:fldChar w:fldCharType="end"/>
        </w:r>
      </w:hyperlink>
    </w:p>
    <w:p>
      <w:pPr>
        <w:tabs>
          <w:tab w:val="right" w:leader="dot" w:pos="9062"/>
        </w:tabs>
        <w:ind w:left="440"/>
      </w:pPr>
      <w:hyperlink w:anchor="_Toc2084" w:history="1">
        <w:r>
          <w:rPr>
            <w:rFonts w:ascii="IRNazanin" w:hAnsi="IRNazanin" w:eastAsia="IRNazanin" w:cs="IRNazanin"/>
            <w:color w:val="111111"/>
            <w:sz w:val="22"/>
            <w:szCs w:val="22"/>
            <w:b w:val="0"/>
            <w:bCs w:val="0"/>
            <w:i w:val="0"/>
            <w:iCs w:val="0"/>
          </w:rPr>
          <w:t>دیوان حیدر علی أردبیلی‏</w:t>
        </w:r>
        <w:r>
          <w:tab/>
        </w:r>
        <w:r>
          <w:fldChar w:fldCharType="begin"/>
        </w:r>
        <w:r>
          <w:instrText xml:space="preserve">PAGEREF 2084 \h</w:instrText>
        </w:r>
        <w:r>
          <w:fldChar w:fldCharType="end"/>
        </w:r>
      </w:hyperlink>
    </w:p>
    <w:p>
      <w:pPr>
        <w:tabs>
          <w:tab w:val="right" w:leader="dot" w:pos="9062"/>
        </w:tabs>
        <w:ind w:left="440"/>
      </w:pPr>
      <w:hyperlink w:anchor="_Toc2085" w:history="1">
        <w:r>
          <w:rPr>
            <w:rFonts w:ascii="IRNazanin" w:hAnsi="IRNazanin" w:eastAsia="IRNazanin" w:cs="IRNazanin"/>
            <w:color w:val="111111"/>
            <w:sz w:val="22"/>
            <w:szCs w:val="22"/>
            <w:b w:val="0"/>
            <w:bCs w:val="0"/>
            <w:i w:val="0"/>
            <w:iCs w:val="0"/>
          </w:rPr>
          <w:t>دیوان حیدر علی کشمیری‏</w:t>
        </w:r>
        <w:r>
          <w:tab/>
        </w:r>
        <w:r>
          <w:fldChar w:fldCharType="begin"/>
        </w:r>
        <w:r>
          <w:instrText xml:space="preserve">PAGEREF 2085 \h</w:instrText>
        </w:r>
        <w:r>
          <w:fldChar w:fldCharType="end"/>
        </w:r>
      </w:hyperlink>
    </w:p>
    <w:p>
      <w:pPr>
        <w:tabs>
          <w:tab w:val="right" w:leader="dot" w:pos="9062"/>
        </w:tabs>
        <w:ind w:left="440"/>
      </w:pPr>
      <w:hyperlink w:anchor="_Toc2086" w:history="1">
        <w:r>
          <w:rPr>
            <w:rFonts w:ascii="IRNazanin" w:hAnsi="IRNazanin" w:eastAsia="IRNazanin" w:cs="IRNazanin"/>
            <w:color w:val="111111"/>
            <w:sz w:val="22"/>
            <w:szCs w:val="22"/>
            <w:b w:val="0"/>
            <w:bCs w:val="0"/>
            <w:i w:val="0"/>
            <w:iCs w:val="0"/>
          </w:rPr>
          <w:t>دیوان حیدر علی کمالی أصفهانی‏</w:t>
        </w:r>
        <w:r>
          <w:tab/>
        </w:r>
        <w:r>
          <w:fldChar w:fldCharType="begin"/>
        </w:r>
        <w:r>
          <w:instrText xml:space="preserve">PAGEREF 2086 \h</w:instrText>
        </w:r>
        <w:r>
          <w:fldChar w:fldCharType="end"/>
        </w:r>
      </w:hyperlink>
    </w:p>
    <w:p>
      <w:pPr>
        <w:tabs>
          <w:tab w:val="right" w:leader="dot" w:pos="9062"/>
        </w:tabs>
        <w:ind w:left="440"/>
      </w:pPr>
      <w:hyperlink w:anchor="_Toc2087" w:history="1">
        <w:r>
          <w:rPr>
            <w:rFonts w:ascii="IRNazanin" w:hAnsi="IRNazanin" w:eastAsia="IRNazanin" w:cs="IRNazanin"/>
            <w:color w:val="111111"/>
            <w:sz w:val="22"/>
            <w:szCs w:val="22"/>
            <w:b w:val="0"/>
            <w:bCs w:val="0"/>
            <w:i w:val="0"/>
            <w:iCs w:val="0"/>
          </w:rPr>
          <w:t>1625- دیوان المیر حیدر الکاشی‏</w:t>
        </w:r>
        <w:r>
          <w:tab/>
        </w:r>
        <w:r>
          <w:fldChar w:fldCharType="begin"/>
        </w:r>
        <w:r>
          <w:instrText xml:space="preserve">PAGEREF 2087 \h</w:instrText>
        </w:r>
        <w:r>
          <w:fldChar w:fldCharType="end"/>
        </w:r>
      </w:hyperlink>
    </w:p>
    <w:p>
      <w:pPr>
        <w:tabs>
          <w:tab w:val="right" w:leader="dot" w:pos="9062"/>
        </w:tabs>
        <w:ind w:left="440"/>
      </w:pPr>
      <w:hyperlink w:anchor="_Toc2088" w:history="1">
        <w:r>
          <w:rPr>
            <w:rFonts w:ascii="IRNazanin" w:hAnsi="IRNazanin" w:eastAsia="IRNazanin" w:cs="IRNazanin"/>
            <w:color w:val="111111"/>
            <w:sz w:val="22"/>
            <w:szCs w:val="22"/>
            <w:b w:val="0"/>
            <w:bCs w:val="0"/>
            <w:i w:val="0"/>
            <w:iCs w:val="0"/>
          </w:rPr>
          <w:t>1626- دیوان میر حیدر کرهرودی أو شعره‏</w:t>
        </w:r>
        <w:r>
          <w:tab/>
        </w:r>
        <w:r>
          <w:fldChar w:fldCharType="begin"/>
        </w:r>
        <w:r>
          <w:instrText xml:space="preserve">PAGEREF 2088 \h</w:instrText>
        </w:r>
        <w:r>
          <w:fldChar w:fldCharType="end"/>
        </w:r>
      </w:hyperlink>
    </w:p>
    <w:p>
      <w:pPr>
        <w:tabs>
          <w:tab w:val="right" w:leader="dot" w:pos="9062"/>
        </w:tabs>
        <w:ind w:left="440"/>
      </w:pPr>
      <w:hyperlink w:anchor="_Toc2089" w:history="1">
        <w:r>
          <w:rPr>
            <w:rFonts w:ascii="IRNazanin" w:hAnsi="IRNazanin" w:eastAsia="IRNazanin" w:cs="IRNazanin"/>
            <w:color w:val="111111"/>
            <w:sz w:val="22"/>
            <w:szCs w:val="22"/>
            <w:b w:val="0"/>
            <w:bCs w:val="0"/>
            <w:i w:val="0"/>
            <w:iCs w:val="0"/>
          </w:rPr>
          <w:t>1627- دیوان حیدر کلیچه پز الهروی‏</w:t>
        </w:r>
        <w:r>
          <w:tab/>
        </w:r>
        <w:r>
          <w:fldChar w:fldCharType="begin"/>
        </w:r>
        <w:r>
          <w:instrText xml:space="preserve">PAGEREF 2089 \h</w:instrText>
        </w:r>
        <w:r>
          <w:fldChar w:fldCharType="end"/>
        </w:r>
      </w:hyperlink>
    </w:p>
    <w:p>
      <w:pPr>
        <w:tabs>
          <w:tab w:val="right" w:leader="dot" w:pos="9062"/>
        </w:tabs>
        <w:ind w:left="440"/>
      </w:pPr>
      <w:hyperlink w:anchor="_Toc2090" w:history="1">
        <w:r>
          <w:rPr>
            <w:rFonts w:ascii="IRNazanin" w:hAnsi="IRNazanin" w:eastAsia="IRNazanin" w:cs="IRNazanin"/>
            <w:color w:val="111111"/>
            <w:sz w:val="22"/>
            <w:szCs w:val="22"/>
            <w:b w:val="0"/>
            <w:bCs w:val="0"/>
            <w:i w:val="0"/>
            <w:iCs w:val="0"/>
          </w:rPr>
          <w:t>دیوان میر حیدر معمایی‏</w:t>
        </w:r>
        <w:r>
          <w:tab/>
        </w:r>
        <w:r>
          <w:fldChar w:fldCharType="begin"/>
        </w:r>
        <w:r>
          <w:instrText xml:space="preserve">PAGEREF 2090 \h</w:instrText>
        </w:r>
        <w:r>
          <w:fldChar w:fldCharType="end"/>
        </w:r>
      </w:hyperlink>
    </w:p>
    <w:p>
      <w:pPr>
        <w:tabs>
          <w:tab w:val="right" w:leader="dot" w:pos="9062"/>
        </w:tabs>
        <w:ind w:left="440"/>
      </w:pPr>
      <w:hyperlink w:anchor="_Toc2091" w:history="1">
        <w:r>
          <w:rPr>
            <w:rFonts w:ascii="IRNazanin" w:hAnsi="IRNazanin" w:eastAsia="IRNazanin" w:cs="IRNazanin"/>
            <w:color w:val="111111"/>
            <w:sz w:val="22"/>
            <w:szCs w:val="22"/>
            <w:b w:val="0"/>
            <w:bCs w:val="0"/>
            <w:i w:val="0"/>
            <w:iCs w:val="0"/>
          </w:rPr>
          <w:t>دیوان میر حیدر معمایی‏</w:t>
        </w:r>
        <w:r>
          <w:tab/>
        </w:r>
        <w:r>
          <w:fldChar w:fldCharType="begin"/>
        </w:r>
        <w:r>
          <w:instrText xml:space="preserve">PAGEREF 2091 \h</w:instrText>
        </w:r>
        <w:r>
          <w:fldChar w:fldCharType="end"/>
        </w:r>
      </w:hyperlink>
    </w:p>
    <w:p>
      <w:pPr>
        <w:tabs>
          <w:tab w:val="right" w:leader="dot" w:pos="9062"/>
        </w:tabs>
        <w:ind w:left="440"/>
      </w:pPr>
      <w:hyperlink w:anchor="_Toc2092" w:history="1">
        <w:r>
          <w:rPr>
            <w:rFonts w:ascii="IRNazanin" w:hAnsi="IRNazanin" w:eastAsia="IRNazanin" w:cs="IRNazanin"/>
            <w:color w:val="111111"/>
            <w:sz w:val="22"/>
            <w:szCs w:val="22"/>
            <w:b w:val="0"/>
            <w:bCs w:val="0"/>
            <w:i w:val="0"/>
            <w:iCs w:val="0"/>
          </w:rPr>
          <w:t>دیوان حیدر هروی‏</w:t>
        </w:r>
        <w:r>
          <w:tab/>
        </w:r>
        <w:r>
          <w:fldChar w:fldCharType="begin"/>
        </w:r>
        <w:r>
          <w:instrText xml:space="preserve">PAGEREF 2092 \h</w:instrText>
        </w:r>
        <w:r>
          <w:fldChar w:fldCharType="end"/>
        </w:r>
      </w:hyperlink>
    </w:p>
    <w:p>
      <w:pPr>
        <w:tabs>
          <w:tab w:val="right" w:leader="dot" w:pos="9062"/>
        </w:tabs>
        <w:ind w:left="440"/>
      </w:pPr>
      <w:hyperlink w:anchor="_Toc2093" w:history="1">
        <w:r>
          <w:rPr>
            <w:rFonts w:ascii="IRNazanin" w:hAnsi="IRNazanin" w:eastAsia="IRNazanin" w:cs="IRNazanin"/>
            <w:color w:val="111111"/>
            <w:sz w:val="22"/>
            <w:szCs w:val="22"/>
            <w:b w:val="0"/>
            <w:bCs w:val="0"/>
            <w:i w:val="0"/>
            <w:iCs w:val="0"/>
          </w:rPr>
          <w:t>1628- دیوان درویش حیدر الیزدی‏</w:t>
        </w:r>
        <w:r>
          <w:tab/>
        </w:r>
        <w:r>
          <w:fldChar w:fldCharType="begin"/>
        </w:r>
        <w:r>
          <w:instrText xml:space="preserve">PAGEREF 2093 \h</w:instrText>
        </w:r>
        <w:r>
          <w:fldChar w:fldCharType="end"/>
        </w:r>
      </w:hyperlink>
    </w:p>
    <w:p>
      <w:pPr>
        <w:tabs>
          <w:tab w:val="right" w:leader="dot" w:pos="9062"/>
        </w:tabs>
        <w:ind w:left="440"/>
      </w:pPr>
      <w:hyperlink w:anchor="_Toc2094" w:history="1">
        <w:r>
          <w:rPr>
            <w:rFonts w:ascii="IRNazanin" w:hAnsi="IRNazanin" w:eastAsia="IRNazanin" w:cs="IRNazanin"/>
            <w:color w:val="111111"/>
            <w:sz w:val="22"/>
            <w:szCs w:val="22"/>
            <w:b w:val="0"/>
            <w:bCs w:val="0"/>
            <w:i w:val="0"/>
            <w:iCs w:val="0"/>
          </w:rPr>
          <w:t>1629- دیوان حیدر یزدی أو شعره‏</w:t>
        </w:r>
        <w:r>
          <w:tab/>
        </w:r>
        <w:r>
          <w:fldChar w:fldCharType="begin"/>
        </w:r>
        <w:r>
          <w:instrText xml:space="preserve">PAGEREF 2094 \h</w:instrText>
        </w:r>
        <w:r>
          <w:fldChar w:fldCharType="end"/>
        </w:r>
      </w:hyperlink>
    </w:p>
    <w:p>
      <w:pPr>
        <w:tabs>
          <w:tab w:val="right" w:leader="dot" w:pos="9062"/>
        </w:tabs>
        <w:ind w:left="440"/>
      </w:pPr>
      <w:hyperlink w:anchor="_Toc2095" w:history="1">
        <w:r>
          <w:rPr>
            <w:rFonts w:ascii="IRNazanin" w:hAnsi="IRNazanin" w:eastAsia="IRNazanin" w:cs="IRNazanin"/>
            <w:color w:val="111111"/>
            <w:sz w:val="22"/>
            <w:szCs w:val="22"/>
            <w:b w:val="0"/>
            <w:bCs w:val="0"/>
            <w:i w:val="0"/>
            <w:iCs w:val="0"/>
          </w:rPr>
          <w:t>1630- دیوان حیدری یزدی أو شعره‏</w:t>
        </w:r>
        <w:r>
          <w:tab/>
        </w:r>
        <w:r>
          <w:fldChar w:fldCharType="begin"/>
        </w:r>
        <w:r>
          <w:instrText xml:space="preserve">PAGEREF 2095 \h</w:instrText>
        </w:r>
        <w:r>
          <w:fldChar w:fldCharType="end"/>
        </w:r>
      </w:hyperlink>
    </w:p>
    <w:p>
      <w:pPr>
        <w:tabs>
          <w:tab w:val="right" w:leader="dot" w:pos="9062"/>
        </w:tabs>
        <w:ind w:left="440"/>
      </w:pPr>
      <w:hyperlink w:anchor="_Toc2096" w:history="1">
        <w:r>
          <w:rPr>
            <w:rFonts w:ascii="IRNazanin" w:hAnsi="IRNazanin" w:eastAsia="IRNazanin" w:cs="IRNazanin"/>
            <w:color w:val="111111"/>
            <w:sz w:val="22"/>
            <w:szCs w:val="22"/>
            <w:b w:val="0"/>
            <w:bCs w:val="0"/>
            <w:i w:val="0"/>
            <w:iCs w:val="0"/>
          </w:rPr>
          <w:t>1631- دیوان حیدری تبریزی‏</w:t>
        </w:r>
        <w:r>
          <w:tab/>
        </w:r>
        <w:r>
          <w:fldChar w:fldCharType="begin"/>
        </w:r>
        <w:r>
          <w:instrText xml:space="preserve">PAGEREF 2096 \h</w:instrText>
        </w:r>
        <w:r>
          <w:fldChar w:fldCharType="end"/>
        </w:r>
      </w:hyperlink>
    </w:p>
    <w:p>
      <w:pPr>
        <w:tabs>
          <w:tab w:val="right" w:leader="dot" w:pos="9062"/>
        </w:tabs>
        <w:ind w:left="440"/>
      </w:pPr>
      <w:hyperlink w:anchor="_Toc2097" w:history="1">
        <w:r>
          <w:rPr>
            <w:rFonts w:ascii="IRNazanin" w:hAnsi="IRNazanin" w:eastAsia="IRNazanin" w:cs="IRNazanin"/>
            <w:color w:val="111111"/>
            <w:sz w:val="22"/>
            <w:szCs w:val="22"/>
            <w:b w:val="0"/>
            <w:bCs w:val="0"/>
            <w:i w:val="0"/>
            <w:iCs w:val="0"/>
          </w:rPr>
          <w:t>1632- دیوان حیدری سبزواری‏</w:t>
        </w:r>
        <w:r>
          <w:tab/>
        </w:r>
        <w:r>
          <w:fldChar w:fldCharType="begin"/>
        </w:r>
        <w:r>
          <w:instrText xml:space="preserve">PAGEREF 2097 \h</w:instrText>
        </w:r>
        <w:r>
          <w:fldChar w:fldCharType="end"/>
        </w:r>
      </w:hyperlink>
    </w:p>
    <w:p>
      <w:pPr>
        <w:tabs>
          <w:tab w:val="right" w:leader="dot" w:pos="9062"/>
        </w:tabs>
        <w:ind w:left="440"/>
      </w:pPr>
      <w:hyperlink w:anchor="_Toc2098" w:history="1">
        <w:r>
          <w:rPr>
            <w:rFonts w:ascii="IRNazanin" w:hAnsi="IRNazanin" w:eastAsia="IRNazanin" w:cs="IRNazanin"/>
            <w:color w:val="111111"/>
            <w:sz w:val="22"/>
            <w:szCs w:val="22"/>
            <w:b w:val="0"/>
            <w:bCs w:val="0"/>
            <w:i w:val="0"/>
            <w:iCs w:val="0"/>
          </w:rPr>
          <w:t>1633- دیوان حیدری ساوجبلاغی‏</w:t>
        </w:r>
        <w:r>
          <w:tab/>
        </w:r>
        <w:r>
          <w:fldChar w:fldCharType="begin"/>
        </w:r>
        <w:r>
          <w:instrText xml:space="preserve">PAGEREF 2098 \h</w:instrText>
        </w:r>
        <w:r>
          <w:fldChar w:fldCharType="end"/>
        </w:r>
      </w:hyperlink>
    </w:p>
    <w:p>
      <w:pPr>
        <w:tabs>
          <w:tab w:val="right" w:leader="dot" w:pos="9062"/>
        </w:tabs>
        <w:ind w:left="440"/>
      </w:pPr>
      <w:hyperlink w:anchor="_Toc2099" w:history="1">
        <w:r>
          <w:rPr>
            <w:rFonts w:ascii="IRNazanin" w:hAnsi="IRNazanin" w:eastAsia="IRNazanin" w:cs="IRNazanin"/>
            <w:color w:val="111111"/>
            <w:sz w:val="22"/>
            <w:szCs w:val="22"/>
            <w:b w:val="0"/>
            <w:bCs w:val="0"/>
            <w:i w:val="0"/>
            <w:iCs w:val="0"/>
          </w:rPr>
          <w:t>دیوان حیران‏</w:t>
        </w:r>
        <w:r>
          <w:tab/>
        </w:r>
        <w:r>
          <w:fldChar w:fldCharType="begin"/>
        </w:r>
        <w:r>
          <w:instrText xml:space="preserve">PAGEREF 2099 \h</w:instrText>
        </w:r>
        <w:r>
          <w:fldChar w:fldCharType="end"/>
        </w:r>
      </w:hyperlink>
    </w:p>
    <w:p>
      <w:pPr>
        <w:tabs>
          <w:tab w:val="right" w:leader="dot" w:pos="9062"/>
        </w:tabs>
        <w:ind w:left="440"/>
      </w:pPr>
      <w:hyperlink w:anchor="_Toc2100" w:history="1">
        <w:r>
          <w:rPr>
            <w:rFonts w:ascii="IRNazanin" w:hAnsi="IRNazanin" w:eastAsia="IRNazanin" w:cs="IRNazanin"/>
            <w:color w:val="111111"/>
            <w:sz w:val="22"/>
            <w:szCs w:val="22"/>
            <w:b w:val="0"/>
            <w:bCs w:val="0"/>
            <w:i w:val="0"/>
            <w:iCs w:val="0"/>
          </w:rPr>
          <w:t>1634- دیوان حیران أصفهانی أو شعره‏</w:t>
        </w:r>
        <w:r>
          <w:tab/>
        </w:r>
        <w:r>
          <w:fldChar w:fldCharType="begin"/>
        </w:r>
        <w:r>
          <w:instrText xml:space="preserve">PAGEREF 2100 \h</w:instrText>
        </w:r>
        <w:r>
          <w:fldChar w:fldCharType="end"/>
        </w:r>
      </w:hyperlink>
    </w:p>
    <w:p>
      <w:pPr>
        <w:tabs>
          <w:tab w:val="right" w:leader="dot" w:pos="9062"/>
        </w:tabs>
        <w:ind w:left="440"/>
      </w:pPr>
      <w:hyperlink w:anchor="_Toc2101" w:history="1">
        <w:r>
          <w:rPr>
            <w:rFonts w:ascii="IRNazanin" w:hAnsi="IRNazanin" w:eastAsia="IRNazanin" w:cs="IRNazanin"/>
            <w:color w:val="111111"/>
            <w:sz w:val="22"/>
            <w:szCs w:val="22"/>
            <w:b w:val="0"/>
            <w:bCs w:val="0"/>
            <w:i w:val="0"/>
            <w:iCs w:val="0"/>
          </w:rPr>
          <w:t>1635- دیوان حیران أفجة</w:t>
        </w:r>
        <w:r>
          <w:tab/>
        </w:r>
        <w:r>
          <w:fldChar w:fldCharType="begin"/>
        </w:r>
        <w:r>
          <w:instrText xml:space="preserve">PAGEREF 2101 \h</w:instrText>
        </w:r>
        <w:r>
          <w:fldChar w:fldCharType="end"/>
        </w:r>
      </w:hyperlink>
    </w:p>
    <w:p>
      <w:pPr>
        <w:tabs>
          <w:tab w:val="right" w:leader="dot" w:pos="9062"/>
        </w:tabs>
        <w:ind w:left="440"/>
      </w:pPr>
      <w:hyperlink w:anchor="_Toc2102" w:history="1">
        <w:r>
          <w:rPr>
            <w:rFonts w:ascii="IRNazanin" w:hAnsi="IRNazanin" w:eastAsia="IRNazanin" w:cs="IRNazanin"/>
            <w:color w:val="111111"/>
            <w:sz w:val="22"/>
            <w:szCs w:val="22"/>
            <w:b w:val="0"/>
            <w:bCs w:val="0"/>
            <w:i w:val="0"/>
            <w:iCs w:val="0"/>
          </w:rPr>
          <w:t>1636- دیوان حیران دنبلی‏</w:t>
        </w:r>
        <w:r>
          <w:tab/>
        </w:r>
        <w:r>
          <w:fldChar w:fldCharType="begin"/>
        </w:r>
        <w:r>
          <w:instrText xml:space="preserve">PAGEREF 2102 \h</w:instrText>
        </w:r>
        <w:r>
          <w:fldChar w:fldCharType="end"/>
        </w:r>
      </w:hyperlink>
    </w:p>
    <w:p>
      <w:pPr>
        <w:tabs>
          <w:tab w:val="right" w:leader="dot" w:pos="9062"/>
        </w:tabs>
        <w:ind w:left="440"/>
      </w:pPr>
      <w:hyperlink w:anchor="_Toc2103" w:history="1">
        <w:r>
          <w:rPr>
            <w:rFonts w:ascii="IRNazanin" w:hAnsi="IRNazanin" w:eastAsia="IRNazanin" w:cs="IRNazanin"/>
            <w:color w:val="111111"/>
            <w:sz w:val="22"/>
            <w:szCs w:val="22"/>
            <w:b w:val="0"/>
            <w:bCs w:val="0"/>
            <w:i w:val="0"/>
            <w:iCs w:val="0"/>
          </w:rPr>
          <w:t>1637- دیوان حیران کرد</w:t>
        </w:r>
        <w:r>
          <w:tab/>
        </w:r>
        <w:r>
          <w:fldChar w:fldCharType="begin"/>
        </w:r>
        <w:r>
          <w:instrText xml:space="preserve">PAGEREF 2103 \h</w:instrText>
        </w:r>
        <w:r>
          <w:fldChar w:fldCharType="end"/>
        </w:r>
      </w:hyperlink>
    </w:p>
    <w:p>
      <w:pPr>
        <w:tabs>
          <w:tab w:val="right" w:leader="dot" w:pos="9062"/>
        </w:tabs>
        <w:ind w:left="440"/>
      </w:pPr>
      <w:hyperlink w:anchor="_Toc2104" w:history="1">
        <w:r>
          <w:rPr>
            <w:rFonts w:ascii="IRNazanin" w:hAnsi="IRNazanin" w:eastAsia="IRNazanin" w:cs="IRNazanin"/>
            <w:color w:val="111111"/>
            <w:sz w:val="22"/>
            <w:szCs w:val="22"/>
            <w:b w:val="0"/>
            <w:bCs w:val="0"/>
            <w:i w:val="0"/>
            <w:iCs w:val="0"/>
          </w:rPr>
          <w:t>1638- دیوان حیران لکهنوی أو شعره‏</w:t>
        </w:r>
        <w:r>
          <w:tab/>
        </w:r>
        <w:r>
          <w:fldChar w:fldCharType="begin"/>
        </w:r>
        <w:r>
          <w:instrText xml:space="preserve">PAGEREF 2104 \h</w:instrText>
        </w:r>
        <w:r>
          <w:fldChar w:fldCharType="end"/>
        </w:r>
      </w:hyperlink>
    </w:p>
    <w:p>
      <w:pPr>
        <w:tabs>
          <w:tab w:val="right" w:leader="dot" w:pos="9062"/>
        </w:tabs>
        <w:ind w:left="440"/>
      </w:pPr>
      <w:hyperlink w:anchor="_Toc2105" w:history="1">
        <w:r>
          <w:rPr>
            <w:rFonts w:ascii="IRNazanin" w:hAnsi="IRNazanin" w:eastAsia="IRNazanin" w:cs="IRNazanin"/>
            <w:color w:val="111111"/>
            <w:sz w:val="22"/>
            <w:szCs w:val="22"/>
            <w:b w:val="0"/>
            <w:bCs w:val="0"/>
            <w:i w:val="0"/>
            <w:iCs w:val="0"/>
          </w:rPr>
          <w:t>1639- دیوان حیران هندی أو شعره‏</w:t>
        </w:r>
        <w:r>
          <w:tab/>
        </w:r>
        <w:r>
          <w:fldChar w:fldCharType="begin"/>
        </w:r>
        <w:r>
          <w:instrText xml:space="preserve">PAGEREF 2105 \h</w:instrText>
        </w:r>
        <w:r>
          <w:fldChar w:fldCharType="end"/>
        </w:r>
      </w:hyperlink>
    </w:p>
    <w:p>
      <w:pPr>
        <w:tabs>
          <w:tab w:val="right" w:leader="dot" w:pos="9062"/>
        </w:tabs>
        <w:ind w:left="440"/>
      </w:pPr>
      <w:hyperlink w:anchor="_Toc2106" w:history="1">
        <w:r>
          <w:rPr>
            <w:rFonts w:ascii="IRNazanin" w:hAnsi="IRNazanin" w:eastAsia="IRNazanin" w:cs="IRNazanin"/>
            <w:color w:val="111111"/>
            <w:sz w:val="22"/>
            <w:szCs w:val="22"/>
            <w:b w:val="0"/>
            <w:bCs w:val="0"/>
            <w:i w:val="0"/>
            <w:iCs w:val="0"/>
          </w:rPr>
          <w:t>1640- دیوان حیران یزدی أو شعره‏</w:t>
        </w:r>
        <w:r>
          <w:tab/>
        </w:r>
        <w:r>
          <w:fldChar w:fldCharType="begin"/>
        </w:r>
        <w:r>
          <w:instrText xml:space="preserve">PAGEREF 2106 \h</w:instrText>
        </w:r>
        <w:r>
          <w:fldChar w:fldCharType="end"/>
        </w:r>
      </w:hyperlink>
    </w:p>
    <w:p>
      <w:pPr>
        <w:tabs>
          <w:tab w:val="right" w:leader="dot" w:pos="9062"/>
        </w:tabs>
        <w:ind w:left="440"/>
      </w:pPr>
      <w:hyperlink w:anchor="_Toc2107" w:history="1">
        <w:r>
          <w:rPr>
            <w:rFonts w:ascii="IRNazanin" w:hAnsi="IRNazanin" w:eastAsia="IRNazanin" w:cs="IRNazanin"/>
            <w:color w:val="111111"/>
            <w:sz w:val="22"/>
            <w:szCs w:val="22"/>
            <w:b w:val="0"/>
            <w:bCs w:val="0"/>
            <w:i w:val="0"/>
            <w:iCs w:val="0"/>
          </w:rPr>
          <w:t>1641- دیوان حیران یزدی‏</w:t>
        </w:r>
        <w:r>
          <w:tab/>
        </w:r>
        <w:r>
          <w:fldChar w:fldCharType="begin"/>
        </w:r>
        <w:r>
          <w:instrText xml:space="preserve">PAGEREF 2107 \h</w:instrText>
        </w:r>
        <w:r>
          <w:fldChar w:fldCharType="end"/>
        </w:r>
      </w:hyperlink>
    </w:p>
    <w:p>
      <w:pPr>
        <w:tabs>
          <w:tab w:val="right" w:leader="dot" w:pos="9062"/>
        </w:tabs>
        <w:ind w:left="440"/>
      </w:pPr>
      <w:hyperlink w:anchor="_Toc2108" w:history="1">
        <w:r>
          <w:rPr>
            <w:rFonts w:ascii="IRNazanin" w:hAnsi="IRNazanin" w:eastAsia="IRNazanin" w:cs="IRNazanin"/>
            <w:color w:val="111111"/>
            <w:sz w:val="22"/>
            <w:szCs w:val="22"/>
            <w:b w:val="0"/>
            <w:bCs w:val="0"/>
            <w:i w:val="0"/>
            <w:iCs w:val="0"/>
          </w:rPr>
          <w:t>1642- دیوان حیرانی دهلوی‏</w:t>
        </w:r>
        <w:r>
          <w:tab/>
        </w:r>
        <w:r>
          <w:fldChar w:fldCharType="begin"/>
        </w:r>
        <w:r>
          <w:instrText xml:space="preserve">PAGEREF 2108 \h</w:instrText>
        </w:r>
        <w:r>
          <w:fldChar w:fldCharType="end"/>
        </w:r>
      </w:hyperlink>
    </w:p>
    <w:p>
      <w:pPr>
        <w:tabs>
          <w:tab w:val="right" w:leader="dot" w:pos="9062"/>
        </w:tabs>
        <w:ind w:left="440"/>
      </w:pPr>
      <w:hyperlink w:anchor="_Toc2109" w:history="1">
        <w:r>
          <w:rPr>
            <w:rFonts w:ascii="IRNazanin" w:hAnsi="IRNazanin" w:eastAsia="IRNazanin" w:cs="IRNazanin"/>
            <w:color w:val="111111"/>
            <w:sz w:val="22"/>
            <w:szCs w:val="22"/>
            <w:b w:val="0"/>
            <w:bCs w:val="0"/>
            <w:i w:val="0"/>
            <w:iCs w:val="0"/>
          </w:rPr>
          <w:t>1643- دیوان حیرانی رواسی‏</w:t>
        </w:r>
        <w:r>
          <w:tab/>
        </w:r>
        <w:r>
          <w:fldChar w:fldCharType="begin"/>
        </w:r>
        <w:r>
          <w:instrText xml:space="preserve">PAGEREF 2109 \h</w:instrText>
        </w:r>
        <w:r>
          <w:fldChar w:fldCharType="end"/>
        </w:r>
      </w:hyperlink>
    </w:p>
    <w:p>
      <w:pPr>
        <w:tabs>
          <w:tab w:val="right" w:leader="dot" w:pos="9062"/>
        </w:tabs>
        <w:ind w:left="440"/>
      </w:pPr>
      <w:hyperlink w:anchor="_Toc2110" w:history="1">
        <w:r>
          <w:rPr>
            <w:rFonts w:ascii="IRNazanin" w:hAnsi="IRNazanin" w:eastAsia="IRNazanin" w:cs="IRNazanin"/>
            <w:color w:val="111111"/>
            <w:sz w:val="22"/>
            <w:szCs w:val="22"/>
            <w:b w:val="0"/>
            <w:bCs w:val="0"/>
            <w:i w:val="0"/>
            <w:iCs w:val="0"/>
          </w:rPr>
          <w:t>1644- دیوان حیرانی قزوینی‏</w:t>
        </w:r>
        <w:r>
          <w:tab/>
        </w:r>
        <w:r>
          <w:fldChar w:fldCharType="begin"/>
        </w:r>
        <w:r>
          <w:instrText xml:space="preserve">PAGEREF 2110 \h</w:instrText>
        </w:r>
        <w:r>
          <w:fldChar w:fldCharType="end"/>
        </w:r>
      </w:hyperlink>
    </w:p>
    <w:p>
      <w:pPr>
        <w:tabs>
          <w:tab w:val="right" w:leader="dot" w:pos="9062"/>
        </w:tabs>
        <w:ind w:left="440"/>
      </w:pPr>
      <w:hyperlink w:anchor="_Toc2111" w:history="1">
        <w:r>
          <w:rPr>
            <w:rFonts w:ascii="IRNazanin" w:hAnsi="IRNazanin" w:eastAsia="IRNazanin" w:cs="IRNazanin"/>
            <w:color w:val="111111"/>
            <w:sz w:val="22"/>
            <w:szCs w:val="22"/>
            <w:b w:val="0"/>
            <w:bCs w:val="0"/>
            <w:i w:val="0"/>
            <w:iCs w:val="0"/>
          </w:rPr>
          <w:t>1645- دیوان حیرانی قمی‏</w:t>
        </w:r>
        <w:r>
          <w:tab/>
        </w:r>
        <w:r>
          <w:fldChar w:fldCharType="begin"/>
        </w:r>
        <w:r>
          <w:instrText xml:space="preserve">PAGEREF 2111 \h</w:instrText>
        </w:r>
        <w:r>
          <w:fldChar w:fldCharType="end"/>
        </w:r>
      </w:hyperlink>
    </w:p>
    <w:p>
      <w:pPr>
        <w:tabs>
          <w:tab w:val="right" w:leader="dot" w:pos="9062"/>
        </w:tabs>
        <w:ind w:left="440"/>
      </w:pPr>
      <w:hyperlink w:anchor="_Toc2112" w:history="1">
        <w:r>
          <w:rPr>
            <w:rFonts w:ascii="IRNazanin" w:hAnsi="IRNazanin" w:eastAsia="IRNazanin" w:cs="IRNazanin"/>
            <w:color w:val="111111"/>
            <w:sz w:val="22"/>
            <w:szCs w:val="22"/>
            <w:b w:val="0"/>
            <w:bCs w:val="0"/>
            <w:i w:val="0"/>
            <w:iCs w:val="0"/>
          </w:rPr>
          <w:t>دیوان حیرانی همدانی‏</w:t>
        </w:r>
        <w:r>
          <w:tab/>
        </w:r>
        <w:r>
          <w:fldChar w:fldCharType="begin"/>
        </w:r>
        <w:r>
          <w:instrText xml:space="preserve">PAGEREF 2112 \h</w:instrText>
        </w:r>
        <w:r>
          <w:fldChar w:fldCharType="end"/>
        </w:r>
      </w:hyperlink>
    </w:p>
    <w:p>
      <w:pPr>
        <w:tabs>
          <w:tab w:val="right" w:leader="dot" w:pos="9062"/>
        </w:tabs>
        <w:ind w:left="440"/>
      </w:pPr>
      <w:hyperlink w:anchor="_Toc2113" w:history="1">
        <w:r>
          <w:rPr>
            <w:rFonts w:ascii="IRNazanin" w:hAnsi="IRNazanin" w:eastAsia="IRNazanin" w:cs="IRNazanin"/>
            <w:color w:val="111111"/>
            <w:sz w:val="22"/>
            <w:szCs w:val="22"/>
            <w:b w:val="0"/>
            <w:bCs w:val="0"/>
            <w:i w:val="0"/>
            <w:iCs w:val="0"/>
          </w:rPr>
          <w:t>1646- دیوان حیرت‏</w:t>
        </w:r>
        <w:r>
          <w:tab/>
        </w:r>
        <w:r>
          <w:fldChar w:fldCharType="begin"/>
        </w:r>
        <w:r>
          <w:instrText xml:space="preserve">PAGEREF 2113 \h</w:instrText>
        </w:r>
        <w:r>
          <w:fldChar w:fldCharType="end"/>
        </w:r>
      </w:hyperlink>
    </w:p>
    <w:p>
      <w:pPr>
        <w:tabs>
          <w:tab w:val="right" w:leader="dot" w:pos="9062"/>
        </w:tabs>
        <w:ind w:left="440"/>
      </w:pPr>
      <w:hyperlink w:anchor="_Toc2114" w:history="1">
        <w:r>
          <w:rPr>
            <w:rFonts w:ascii="IRNazanin" w:hAnsi="IRNazanin" w:eastAsia="IRNazanin" w:cs="IRNazanin"/>
            <w:color w:val="111111"/>
            <w:sz w:val="22"/>
            <w:szCs w:val="22"/>
            <w:b w:val="0"/>
            <w:bCs w:val="0"/>
            <w:i w:val="0"/>
            <w:iCs w:val="0"/>
          </w:rPr>
          <w:t>1647- دیوان حیرت أصفهانی‏</w:t>
        </w:r>
        <w:r>
          <w:tab/>
        </w:r>
        <w:r>
          <w:fldChar w:fldCharType="begin"/>
        </w:r>
        <w:r>
          <w:instrText xml:space="preserve">PAGEREF 2114 \h</w:instrText>
        </w:r>
        <w:r>
          <w:fldChar w:fldCharType="end"/>
        </w:r>
      </w:hyperlink>
    </w:p>
    <w:p>
      <w:pPr>
        <w:tabs>
          <w:tab w:val="right" w:leader="dot" w:pos="9062"/>
        </w:tabs>
        <w:ind w:left="440"/>
      </w:pPr>
      <w:hyperlink w:anchor="_Toc2115" w:history="1">
        <w:r>
          <w:rPr>
            <w:rFonts w:ascii="IRNazanin" w:hAnsi="IRNazanin" w:eastAsia="IRNazanin" w:cs="IRNazanin"/>
            <w:color w:val="111111"/>
            <w:sz w:val="22"/>
            <w:szCs w:val="22"/>
            <w:b w:val="0"/>
            <w:bCs w:val="0"/>
            <w:i w:val="0"/>
            <w:iCs w:val="0"/>
          </w:rPr>
          <w:t>دیوان حیرت أصفهانی‏</w:t>
        </w:r>
        <w:r>
          <w:tab/>
        </w:r>
        <w:r>
          <w:fldChar w:fldCharType="begin"/>
        </w:r>
        <w:r>
          <w:instrText xml:space="preserve">PAGEREF 2115 \h</w:instrText>
        </w:r>
        <w:r>
          <w:fldChar w:fldCharType="end"/>
        </w:r>
      </w:hyperlink>
    </w:p>
    <w:p>
      <w:pPr>
        <w:tabs>
          <w:tab w:val="right" w:leader="dot" w:pos="9062"/>
        </w:tabs>
        <w:ind w:left="440"/>
      </w:pPr>
      <w:hyperlink w:anchor="_Toc2116" w:history="1">
        <w:r>
          <w:rPr>
            <w:rFonts w:ascii="IRNazanin" w:hAnsi="IRNazanin" w:eastAsia="IRNazanin" w:cs="IRNazanin"/>
            <w:color w:val="111111"/>
            <w:sz w:val="22"/>
            <w:szCs w:val="22"/>
            <w:b w:val="0"/>
            <w:bCs w:val="0"/>
            <w:i w:val="0"/>
            <w:iCs w:val="0"/>
          </w:rPr>
          <w:t>1648- دیوان حیرت تبریزی أو شعره‏</w:t>
        </w:r>
        <w:r>
          <w:tab/>
        </w:r>
        <w:r>
          <w:fldChar w:fldCharType="begin"/>
        </w:r>
        <w:r>
          <w:instrText xml:space="preserve">PAGEREF 2116 \h</w:instrText>
        </w:r>
        <w:r>
          <w:fldChar w:fldCharType="end"/>
        </w:r>
      </w:hyperlink>
    </w:p>
    <w:p>
      <w:pPr>
        <w:tabs>
          <w:tab w:val="right" w:leader="dot" w:pos="9062"/>
        </w:tabs>
        <w:ind w:left="440"/>
      </w:pPr>
      <w:hyperlink w:anchor="_Toc2117" w:history="1">
        <w:r>
          <w:rPr>
            <w:rFonts w:ascii="IRNazanin" w:hAnsi="IRNazanin" w:eastAsia="IRNazanin" w:cs="IRNazanin"/>
            <w:color w:val="111111"/>
            <w:sz w:val="22"/>
            <w:szCs w:val="22"/>
            <w:b w:val="0"/>
            <w:bCs w:val="0"/>
            <w:i w:val="0"/>
            <w:iCs w:val="0"/>
          </w:rPr>
          <w:t>1649- دیوان حیرت قاجار</w:t>
        </w:r>
        <w:r>
          <w:tab/>
        </w:r>
        <w:r>
          <w:fldChar w:fldCharType="begin"/>
        </w:r>
        <w:r>
          <w:instrText xml:space="preserve">PAGEREF 2117 \h</w:instrText>
        </w:r>
        <w:r>
          <w:fldChar w:fldCharType="end"/>
        </w:r>
      </w:hyperlink>
    </w:p>
    <w:p>
      <w:pPr>
        <w:tabs>
          <w:tab w:val="right" w:leader="dot" w:pos="9062"/>
        </w:tabs>
        <w:ind w:left="440"/>
      </w:pPr>
      <w:hyperlink w:anchor="_Toc2118" w:history="1">
        <w:r>
          <w:rPr>
            <w:rFonts w:ascii="IRNazanin" w:hAnsi="IRNazanin" w:eastAsia="IRNazanin" w:cs="IRNazanin"/>
            <w:color w:val="111111"/>
            <w:sz w:val="22"/>
            <w:szCs w:val="22"/>
            <w:b w:val="0"/>
            <w:bCs w:val="0"/>
            <w:i w:val="0"/>
            <w:iCs w:val="0"/>
          </w:rPr>
          <w:t>1650- دیوان حیرت هندی أو شعره‏</w:t>
        </w:r>
        <w:r>
          <w:tab/>
        </w:r>
        <w:r>
          <w:fldChar w:fldCharType="begin"/>
        </w:r>
        <w:r>
          <w:instrText xml:space="preserve">PAGEREF 2118 \h</w:instrText>
        </w:r>
        <w:r>
          <w:fldChar w:fldCharType="end"/>
        </w:r>
      </w:hyperlink>
    </w:p>
    <w:p>
      <w:pPr>
        <w:tabs>
          <w:tab w:val="right" w:leader="dot" w:pos="9062"/>
        </w:tabs>
        <w:ind w:left="440"/>
      </w:pPr>
      <w:hyperlink w:anchor="_Toc2119" w:history="1">
        <w:r>
          <w:rPr>
            <w:rFonts w:ascii="IRNazanin" w:hAnsi="IRNazanin" w:eastAsia="IRNazanin" w:cs="IRNazanin"/>
            <w:color w:val="111111"/>
            <w:sz w:val="22"/>
            <w:szCs w:val="22"/>
            <w:b w:val="0"/>
            <w:bCs w:val="0"/>
            <w:i w:val="0"/>
            <w:iCs w:val="0"/>
          </w:rPr>
          <w:t>1651- دیوان حیرتی‏</w:t>
        </w:r>
        <w:r>
          <w:tab/>
        </w:r>
        <w:r>
          <w:fldChar w:fldCharType="begin"/>
        </w:r>
        <w:r>
          <w:instrText xml:space="preserve">PAGEREF 2119 \h</w:instrText>
        </w:r>
        <w:r>
          <w:fldChar w:fldCharType="end"/>
        </w:r>
      </w:hyperlink>
    </w:p>
    <w:p>
      <w:pPr>
        <w:tabs>
          <w:tab w:val="right" w:leader="dot" w:pos="9062"/>
        </w:tabs>
        <w:ind w:left="440"/>
      </w:pPr>
      <w:hyperlink w:anchor="_Toc2120" w:history="1">
        <w:r>
          <w:rPr>
            <w:rFonts w:ascii="IRNazanin" w:hAnsi="IRNazanin" w:eastAsia="IRNazanin" w:cs="IRNazanin"/>
            <w:color w:val="111111"/>
            <w:sz w:val="22"/>
            <w:szCs w:val="22"/>
            <w:b w:val="0"/>
            <w:bCs w:val="0"/>
            <w:i w:val="0"/>
            <w:iCs w:val="0"/>
          </w:rPr>
          <w:t>1652- دیوان حیرتی أسترآبادی أو شعره‏</w:t>
        </w:r>
        <w:r>
          <w:tab/>
        </w:r>
        <w:r>
          <w:fldChar w:fldCharType="begin"/>
        </w:r>
        <w:r>
          <w:instrText xml:space="preserve">PAGEREF 2120 \h</w:instrText>
        </w:r>
        <w:r>
          <w:fldChar w:fldCharType="end"/>
        </w:r>
      </w:hyperlink>
    </w:p>
    <w:p>
      <w:pPr>
        <w:tabs>
          <w:tab w:val="right" w:leader="dot" w:pos="9062"/>
        </w:tabs>
        <w:ind w:left="440"/>
      </w:pPr>
      <w:hyperlink w:anchor="_Toc2121" w:history="1">
        <w:r>
          <w:rPr>
            <w:rFonts w:ascii="IRNazanin" w:hAnsi="IRNazanin" w:eastAsia="IRNazanin" w:cs="IRNazanin"/>
            <w:color w:val="111111"/>
            <w:sz w:val="22"/>
            <w:szCs w:val="22"/>
            <w:b w:val="0"/>
            <w:bCs w:val="0"/>
            <w:i w:val="0"/>
            <w:iCs w:val="0"/>
          </w:rPr>
          <w:t>دیوان حیرتی أصفهانی أو شعره‏</w:t>
        </w:r>
        <w:r>
          <w:tab/>
        </w:r>
        <w:r>
          <w:fldChar w:fldCharType="begin"/>
        </w:r>
        <w:r>
          <w:instrText xml:space="preserve">PAGEREF 2121 \h</w:instrText>
        </w:r>
        <w:r>
          <w:fldChar w:fldCharType="end"/>
        </w:r>
      </w:hyperlink>
    </w:p>
    <w:p>
      <w:pPr>
        <w:tabs>
          <w:tab w:val="right" w:leader="dot" w:pos="9062"/>
        </w:tabs>
        <w:ind w:left="440"/>
      </w:pPr>
      <w:hyperlink w:anchor="_Toc2122" w:history="1">
        <w:r>
          <w:rPr>
            <w:rFonts w:ascii="IRNazanin" w:hAnsi="IRNazanin" w:eastAsia="IRNazanin" w:cs="IRNazanin"/>
            <w:color w:val="111111"/>
            <w:sz w:val="22"/>
            <w:szCs w:val="22"/>
            <w:b w:val="0"/>
            <w:bCs w:val="0"/>
            <w:i w:val="0"/>
            <w:iCs w:val="0"/>
          </w:rPr>
          <w:t>1653- دیوان حیرتی بخاری أو شعره‏</w:t>
        </w:r>
        <w:r>
          <w:tab/>
        </w:r>
        <w:r>
          <w:fldChar w:fldCharType="begin"/>
        </w:r>
        <w:r>
          <w:instrText xml:space="preserve">PAGEREF 2122 \h</w:instrText>
        </w:r>
        <w:r>
          <w:fldChar w:fldCharType="end"/>
        </w:r>
      </w:hyperlink>
    </w:p>
    <w:p>
      <w:pPr>
        <w:tabs>
          <w:tab w:val="right" w:leader="dot" w:pos="9062"/>
        </w:tabs>
        <w:ind w:left="440"/>
      </w:pPr>
      <w:hyperlink w:anchor="_Toc2123" w:history="1">
        <w:r>
          <w:rPr>
            <w:rFonts w:ascii="IRNazanin" w:hAnsi="IRNazanin" w:eastAsia="IRNazanin" w:cs="IRNazanin"/>
            <w:color w:val="111111"/>
            <w:sz w:val="22"/>
            <w:szCs w:val="22"/>
            <w:b w:val="0"/>
            <w:bCs w:val="0"/>
            <w:i w:val="0"/>
            <w:iCs w:val="0"/>
          </w:rPr>
          <w:t>1654- دیوان حیرتی تبریزی أو شعره‏</w:t>
        </w:r>
        <w:r>
          <w:tab/>
        </w:r>
        <w:r>
          <w:fldChar w:fldCharType="begin"/>
        </w:r>
        <w:r>
          <w:instrText xml:space="preserve">PAGEREF 2123 \h</w:instrText>
        </w:r>
        <w:r>
          <w:fldChar w:fldCharType="end"/>
        </w:r>
      </w:hyperlink>
    </w:p>
    <w:p>
      <w:pPr>
        <w:tabs>
          <w:tab w:val="right" w:leader="dot" w:pos="9062"/>
        </w:tabs>
        <w:ind w:left="440"/>
      </w:pPr>
      <w:hyperlink w:anchor="_Toc2124" w:history="1">
        <w:r>
          <w:rPr>
            <w:rFonts w:ascii="IRNazanin" w:hAnsi="IRNazanin" w:eastAsia="IRNazanin" w:cs="IRNazanin"/>
            <w:color w:val="111111"/>
            <w:sz w:val="22"/>
            <w:szCs w:val="22"/>
            <w:b w:val="0"/>
            <w:bCs w:val="0"/>
            <w:i w:val="0"/>
            <w:iCs w:val="0"/>
          </w:rPr>
          <w:t>دیوان حیرتی تونی‏</w:t>
        </w:r>
        <w:r>
          <w:tab/>
        </w:r>
        <w:r>
          <w:fldChar w:fldCharType="begin"/>
        </w:r>
        <w:r>
          <w:instrText xml:space="preserve">PAGEREF 2124 \h</w:instrText>
        </w:r>
        <w:r>
          <w:fldChar w:fldCharType="end"/>
        </w:r>
      </w:hyperlink>
    </w:p>
    <w:p>
      <w:pPr>
        <w:tabs>
          <w:tab w:val="right" w:leader="dot" w:pos="9062"/>
        </w:tabs>
        <w:ind w:left="440"/>
      </w:pPr>
      <w:hyperlink w:anchor="_Toc2125" w:history="1">
        <w:r>
          <w:rPr>
            <w:rFonts w:ascii="IRNazanin" w:hAnsi="IRNazanin" w:eastAsia="IRNazanin" w:cs="IRNazanin"/>
            <w:color w:val="111111"/>
            <w:sz w:val="22"/>
            <w:szCs w:val="22"/>
            <w:b w:val="0"/>
            <w:bCs w:val="0"/>
            <w:i w:val="0"/>
            <w:iCs w:val="0"/>
          </w:rPr>
          <w:t>1655- دیوان المولی حیرتی قزوینی أو شعره‏</w:t>
        </w:r>
        <w:r>
          <w:tab/>
        </w:r>
        <w:r>
          <w:fldChar w:fldCharType="begin"/>
        </w:r>
        <w:r>
          <w:instrText xml:space="preserve">PAGEREF 2125 \h</w:instrText>
        </w:r>
        <w:r>
          <w:fldChar w:fldCharType="end"/>
        </w:r>
      </w:hyperlink>
    </w:p>
    <w:p>
      <w:pPr>
        <w:tabs>
          <w:tab w:val="right" w:leader="dot" w:pos="9062"/>
        </w:tabs>
        <w:ind w:left="440"/>
      </w:pPr>
      <w:hyperlink w:anchor="_Toc2126" w:history="1">
        <w:r>
          <w:rPr>
            <w:rFonts w:ascii="IRNazanin" w:hAnsi="IRNazanin" w:eastAsia="IRNazanin" w:cs="IRNazanin"/>
            <w:color w:val="111111"/>
            <w:sz w:val="22"/>
            <w:szCs w:val="22"/>
            <w:b w:val="0"/>
            <w:bCs w:val="0"/>
            <w:i w:val="0"/>
            <w:iCs w:val="0"/>
          </w:rPr>
          <w:t>1656- دیوان حیرتی هروی‏</w:t>
        </w:r>
        <w:r>
          <w:tab/>
        </w:r>
        <w:r>
          <w:fldChar w:fldCharType="begin"/>
        </w:r>
        <w:r>
          <w:instrText xml:space="preserve">PAGEREF 2126 \h</w:instrText>
        </w:r>
        <w:r>
          <w:fldChar w:fldCharType="end"/>
        </w:r>
      </w:hyperlink>
    </w:p>
    <w:p>
      <w:pPr>
        <w:tabs>
          <w:tab w:val="right" w:leader="dot" w:pos="9062"/>
        </w:tabs>
        <w:ind w:left="440"/>
      </w:pPr>
      <w:hyperlink w:anchor="_Toc2127" w:history="1">
        <w:r>
          <w:rPr>
            <w:rFonts w:ascii="IRNazanin" w:hAnsi="IRNazanin" w:eastAsia="IRNazanin" w:cs="IRNazanin"/>
            <w:color w:val="111111"/>
            <w:sz w:val="22"/>
            <w:szCs w:val="22"/>
            <w:b w:val="0"/>
            <w:bCs w:val="0"/>
            <w:i w:val="0"/>
            <w:iCs w:val="0"/>
          </w:rPr>
          <w:t>1657- دیوان حیص و بیص أو شعره‏</w:t>
        </w:r>
        <w:r>
          <w:tab/>
        </w:r>
        <w:r>
          <w:fldChar w:fldCharType="begin"/>
        </w:r>
        <w:r>
          <w:instrText xml:space="preserve">PAGEREF 2127 \h</w:instrText>
        </w:r>
        <w:r>
          <w:fldChar w:fldCharType="end"/>
        </w:r>
      </w:hyperlink>
    </w:p>
    <w:p>
      <w:pPr>
        <w:tabs>
          <w:tab w:val="right" w:leader="dot" w:pos="9062"/>
        </w:tabs>
        <w:ind w:left="440"/>
      </w:pPr>
      <w:hyperlink w:anchor="_Toc2128" w:history="1">
        <w:r>
          <w:rPr>
            <w:rFonts w:ascii="IRNazanin" w:hAnsi="IRNazanin" w:eastAsia="IRNazanin" w:cs="IRNazanin"/>
            <w:color w:val="111111"/>
            <w:sz w:val="22"/>
            <w:szCs w:val="22"/>
            <w:b w:val="0"/>
            <w:bCs w:val="0"/>
            <w:i w:val="0"/>
            <w:iCs w:val="0"/>
          </w:rPr>
          <w:t>1658- دیوان حیفی ساوجی أو شعره‏</w:t>
        </w:r>
        <w:r>
          <w:tab/>
        </w:r>
        <w:r>
          <w:fldChar w:fldCharType="begin"/>
        </w:r>
        <w:r>
          <w:instrText xml:space="preserve">PAGEREF 2128 \h</w:instrText>
        </w:r>
        <w:r>
          <w:fldChar w:fldCharType="end"/>
        </w:r>
      </w:hyperlink>
    </w:p>
    <w:p>
      <w:pPr>
        <w:tabs>
          <w:tab w:val="right" w:leader="dot" w:pos="9062"/>
        </w:tabs>
        <w:ind w:left="440"/>
      </w:pPr>
      <w:hyperlink w:anchor="_Toc2129" w:history="1">
        <w:r>
          <w:rPr>
            <w:rFonts w:ascii="IRNazanin" w:hAnsi="IRNazanin" w:eastAsia="IRNazanin" w:cs="IRNazanin"/>
            <w:color w:val="111111"/>
            <w:sz w:val="22"/>
            <w:szCs w:val="22"/>
            <w:b w:val="0"/>
            <w:bCs w:val="0"/>
            <w:i w:val="0"/>
            <w:iCs w:val="0"/>
          </w:rPr>
          <w:t>خ‏</w:t>
        </w:r>
        <w:r>
          <w:tab/>
        </w:r>
        <w:r>
          <w:fldChar w:fldCharType="begin"/>
        </w:r>
        <w:r>
          <w:instrText xml:space="preserve">PAGEREF 2129 \h</w:instrText>
        </w:r>
        <w:r>
          <w:fldChar w:fldCharType="end"/>
        </w:r>
      </w:hyperlink>
    </w:p>
    <w:p>
      <w:pPr>
        <w:tabs>
          <w:tab w:val="right" w:leader="dot" w:pos="9062"/>
        </w:tabs>
        <w:ind w:left="440"/>
      </w:pPr>
      <w:hyperlink w:anchor="_Toc2130" w:history="1">
        <w:r>
          <w:rPr>
            <w:rFonts w:ascii="IRNazanin" w:hAnsi="IRNazanin" w:eastAsia="IRNazanin" w:cs="IRNazanin"/>
            <w:color w:val="111111"/>
            <w:sz w:val="22"/>
            <w:szCs w:val="22"/>
            <w:b w:val="0"/>
            <w:bCs w:val="0"/>
            <w:i w:val="0"/>
            <w:iCs w:val="0"/>
          </w:rPr>
          <w:t>1659- دیوان خائف شیرازی‏</w:t>
        </w:r>
        <w:r>
          <w:tab/>
        </w:r>
        <w:r>
          <w:fldChar w:fldCharType="begin"/>
        </w:r>
        <w:r>
          <w:instrText xml:space="preserve">PAGEREF 2130 \h</w:instrText>
        </w:r>
        <w:r>
          <w:fldChar w:fldCharType="end"/>
        </w:r>
      </w:hyperlink>
    </w:p>
    <w:p>
      <w:pPr>
        <w:tabs>
          <w:tab w:val="right" w:leader="dot" w:pos="9062"/>
        </w:tabs>
        <w:ind w:left="440"/>
      </w:pPr>
      <w:hyperlink w:anchor="_Toc2131" w:history="1">
        <w:r>
          <w:rPr>
            <w:rFonts w:ascii="IRNazanin" w:hAnsi="IRNazanin" w:eastAsia="IRNazanin" w:cs="IRNazanin"/>
            <w:color w:val="111111"/>
            <w:sz w:val="22"/>
            <w:szCs w:val="22"/>
            <w:b w:val="0"/>
            <w:bCs w:val="0"/>
            <w:i w:val="0"/>
            <w:iCs w:val="0"/>
          </w:rPr>
          <w:t>1660- دیوان خائف قمی‏</w:t>
        </w:r>
        <w:r>
          <w:tab/>
        </w:r>
        <w:r>
          <w:fldChar w:fldCharType="begin"/>
        </w:r>
        <w:r>
          <w:instrText xml:space="preserve">PAGEREF 2131 \h</w:instrText>
        </w:r>
        <w:r>
          <w:fldChar w:fldCharType="end"/>
        </w:r>
      </w:hyperlink>
    </w:p>
    <w:p>
      <w:pPr>
        <w:tabs>
          <w:tab w:val="right" w:leader="dot" w:pos="9062"/>
        </w:tabs>
        <w:ind w:left="440"/>
      </w:pPr>
      <w:hyperlink w:anchor="_Toc2132" w:history="1">
        <w:r>
          <w:rPr>
            <w:rFonts w:ascii="IRNazanin" w:hAnsi="IRNazanin" w:eastAsia="IRNazanin" w:cs="IRNazanin"/>
            <w:color w:val="111111"/>
            <w:sz w:val="22"/>
            <w:szCs w:val="22"/>
            <w:b w:val="0"/>
            <w:bCs w:val="0"/>
            <w:i w:val="0"/>
            <w:iCs w:val="0"/>
          </w:rPr>
          <w:t>1661- دیوان خاتمی أصفهانی أو شعره‏</w:t>
        </w:r>
        <w:r>
          <w:tab/>
        </w:r>
        <w:r>
          <w:fldChar w:fldCharType="begin"/>
        </w:r>
        <w:r>
          <w:instrText xml:space="preserve">PAGEREF 2132 \h</w:instrText>
        </w:r>
        <w:r>
          <w:fldChar w:fldCharType="end"/>
        </w:r>
      </w:hyperlink>
    </w:p>
    <w:p>
      <w:pPr>
        <w:tabs>
          <w:tab w:val="right" w:leader="dot" w:pos="9062"/>
        </w:tabs>
        <w:ind w:left="440"/>
      </w:pPr>
      <w:hyperlink w:anchor="_Toc2133" w:history="1">
        <w:r>
          <w:rPr>
            <w:rFonts w:ascii="IRNazanin" w:hAnsi="IRNazanin" w:eastAsia="IRNazanin" w:cs="IRNazanin"/>
            <w:color w:val="111111"/>
            <w:sz w:val="22"/>
            <w:szCs w:val="22"/>
            <w:b w:val="0"/>
            <w:bCs w:val="0"/>
            <w:i w:val="0"/>
            <w:iCs w:val="0"/>
          </w:rPr>
          <w:t>1662- دیوان خاتمی تبریزی أو شعره‏</w:t>
        </w:r>
        <w:r>
          <w:tab/>
        </w:r>
        <w:r>
          <w:fldChar w:fldCharType="begin"/>
        </w:r>
        <w:r>
          <w:instrText xml:space="preserve">PAGEREF 2133 \h</w:instrText>
        </w:r>
        <w:r>
          <w:fldChar w:fldCharType="end"/>
        </w:r>
      </w:hyperlink>
    </w:p>
    <w:p>
      <w:pPr>
        <w:tabs>
          <w:tab w:val="right" w:leader="dot" w:pos="9062"/>
        </w:tabs>
        <w:ind w:left="440"/>
      </w:pPr>
      <w:hyperlink w:anchor="_Toc2134" w:history="1">
        <w:r>
          <w:rPr>
            <w:rFonts w:ascii="IRNazanin" w:hAnsi="IRNazanin" w:eastAsia="IRNazanin" w:cs="IRNazanin"/>
            <w:color w:val="111111"/>
            <w:sz w:val="22"/>
            <w:szCs w:val="22"/>
            <w:b w:val="0"/>
            <w:bCs w:val="0"/>
            <w:i w:val="0"/>
            <w:iCs w:val="0"/>
          </w:rPr>
          <w:t>1663- دیوان خاتمی تبریزی أو شعره‏</w:t>
        </w:r>
        <w:r>
          <w:tab/>
        </w:r>
        <w:r>
          <w:fldChar w:fldCharType="begin"/>
        </w:r>
        <w:r>
          <w:instrText xml:space="preserve">PAGEREF 2134 \h</w:instrText>
        </w:r>
        <w:r>
          <w:fldChar w:fldCharType="end"/>
        </w:r>
      </w:hyperlink>
    </w:p>
    <w:p>
      <w:pPr>
        <w:tabs>
          <w:tab w:val="right" w:leader="dot" w:pos="9062"/>
        </w:tabs>
        <w:ind w:left="440"/>
      </w:pPr>
      <w:hyperlink w:anchor="_Toc2135" w:history="1">
        <w:r>
          <w:rPr>
            <w:rFonts w:ascii="IRNazanin" w:hAnsi="IRNazanin" w:eastAsia="IRNazanin" w:cs="IRNazanin"/>
            <w:color w:val="111111"/>
            <w:sz w:val="22"/>
            <w:szCs w:val="22"/>
            <w:b w:val="0"/>
            <w:bCs w:val="0"/>
            <w:i w:val="0"/>
            <w:iCs w:val="0"/>
          </w:rPr>
          <w:t>دیوان خاتمی کسوئی‏</w:t>
        </w:r>
        <w:r>
          <w:tab/>
        </w:r>
        <w:r>
          <w:fldChar w:fldCharType="begin"/>
        </w:r>
        <w:r>
          <w:instrText xml:space="preserve">PAGEREF 2135 \h</w:instrText>
        </w:r>
        <w:r>
          <w:fldChar w:fldCharType="end"/>
        </w:r>
      </w:hyperlink>
    </w:p>
    <w:p>
      <w:pPr>
        <w:tabs>
          <w:tab w:val="right" w:leader="dot" w:pos="9062"/>
        </w:tabs>
        <w:ind w:left="440"/>
      </w:pPr>
      <w:hyperlink w:anchor="_Toc2136" w:history="1">
        <w:r>
          <w:rPr>
            <w:rFonts w:ascii="IRNazanin" w:hAnsi="IRNazanin" w:eastAsia="IRNazanin" w:cs="IRNazanin"/>
            <w:color w:val="111111"/>
            <w:sz w:val="22"/>
            <w:szCs w:val="22"/>
            <w:b w:val="0"/>
            <w:bCs w:val="0"/>
            <w:i w:val="0"/>
            <w:iCs w:val="0"/>
          </w:rPr>
          <w:t>1664- دیوان خاتمی مشهدی أو شعره‏</w:t>
        </w:r>
        <w:r>
          <w:tab/>
        </w:r>
        <w:r>
          <w:fldChar w:fldCharType="begin"/>
        </w:r>
        <w:r>
          <w:instrText xml:space="preserve">PAGEREF 2136 \h</w:instrText>
        </w:r>
        <w:r>
          <w:fldChar w:fldCharType="end"/>
        </w:r>
      </w:hyperlink>
    </w:p>
    <w:p>
      <w:pPr>
        <w:tabs>
          <w:tab w:val="right" w:leader="dot" w:pos="9062"/>
        </w:tabs>
        <w:ind w:left="440"/>
      </w:pPr>
      <w:hyperlink w:anchor="_Toc2137" w:history="1">
        <w:r>
          <w:rPr>
            <w:rFonts w:ascii="IRNazanin" w:hAnsi="IRNazanin" w:eastAsia="IRNazanin" w:cs="IRNazanin"/>
            <w:color w:val="111111"/>
            <w:sz w:val="22"/>
            <w:szCs w:val="22"/>
            <w:b w:val="0"/>
            <w:bCs w:val="0"/>
            <w:i w:val="0"/>
            <w:iCs w:val="0"/>
          </w:rPr>
          <w:t>1665- دیوان خاتمی هروی أو شعره‏</w:t>
        </w:r>
        <w:r>
          <w:tab/>
        </w:r>
        <w:r>
          <w:fldChar w:fldCharType="begin"/>
        </w:r>
        <w:r>
          <w:instrText xml:space="preserve">PAGEREF 2137 \h</w:instrText>
        </w:r>
        <w:r>
          <w:fldChar w:fldCharType="end"/>
        </w:r>
      </w:hyperlink>
    </w:p>
    <w:p>
      <w:pPr>
        <w:tabs>
          <w:tab w:val="right" w:leader="dot" w:pos="9062"/>
        </w:tabs>
        <w:ind w:left="440"/>
      </w:pPr>
      <w:hyperlink w:anchor="_Toc2138" w:history="1">
        <w:r>
          <w:rPr>
            <w:rFonts w:ascii="IRNazanin" w:hAnsi="IRNazanin" w:eastAsia="IRNazanin" w:cs="IRNazanin"/>
            <w:color w:val="111111"/>
            <w:sz w:val="22"/>
            <w:szCs w:val="22"/>
            <w:b w:val="0"/>
            <w:bCs w:val="0"/>
            <w:i w:val="0"/>
            <w:iCs w:val="0"/>
          </w:rPr>
          <w:t>دیوان خاتونی‏</w:t>
        </w:r>
        <w:r>
          <w:tab/>
        </w:r>
        <w:r>
          <w:fldChar w:fldCharType="begin"/>
        </w:r>
        <w:r>
          <w:instrText xml:space="preserve">PAGEREF 2138 \h</w:instrText>
        </w:r>
        <w:r>
          <w:fldChar w:fldCharType="end"/>
        </w:r>
      </w:hyperlink>
    </w:p>
    <w:p>
      <w:pPr>
        <w:tabs>
          <w:tab w:val="right" w:leader="dot" w:pos="9062"/>
        </w:tabs>
        <w:ind w:left="440"/>
      </w:pPr>
      <w:hyperlink w:anchor="_Toc2139" w:history="1">
        <w:r>
          <w:rPr>
            <w:rFonts w:ascii="IRNazanin" w:hAnsi="IRNazanin" w:eastAsia="IRNazanin" w:cs="IRNazanin"/>
            <w:color w:val="111111"/>
            <w:sz w:val="22"/>
            <w:szCs w:val="22"/>
            <w:b w:val="0"/>
            <w:bCs w:val="0"/>
            <w:i w:val="0"/>
            <w:iCs w:val="0"/>
          </w:rPr>
          <w:t>دیوان خواجه‏</w:t>
        </w:r>
        <w:r>
          <w:tab/>
        </w:r>
        <w:r>
          <w:fldChar w:fldCharType="begin"/>
        </w:r>
        <w:r>
          <w:instrText xml:space="preserve">PAGEREF 2139 \h</w:instrText>
        </w:r>
        <w:r>
          <w:fldChar w:fldCharType="end"/>
        </w:r>
      </w:hyperlink>
    </w:p>
    <w:p>
      <w:pPr>
        <w:tabs>
          <w:tab w:val="right" w:leader="dot" w:pos="9062"/>
        </w:tabs>
        <w:ind w:left="440"/>
      </w:pPr>
      <w:hyperlink w:anchor="_Toc2140" w:history="1">
        <w:r>
          <w:rPr>
            <w:rFonts w:ascii="IRNazanin" w:hAnsi="IRNazanin" w:eastAsia="IRNazanin" w:cs="IRNazanin"/>
            <w:color w:val="111111"/>
            <w:sz w:val="22"/>
            <w:szCs w:val="22"/>
            <w:b w:val="0"/>
            <w:bCs w:val="0"/>
            <w:i w:val="0"/>
            <w:iCs w:val="0"/>
          </w:rPr>
          <w:t>1666- دیوان خادم أصفهانی‏</w:t>
        </w:r>
        <w:r>
          <w:tab/>
        </w:r>
        <w:r>
          <w:fldChar w:fldCharType="begin"/>
        </w:r>
        <w:r>
          <w:instrText xml:space="preserve">PAGEREF 2140 \h</w:instrText>
        </w:r>
        <w:r>
          <w:fldChar w:fldCharType="end"/>
        </w:r>
      </w:hyperlink>
    </w:p>
    <w:p>
      <w:pPr>
        <w:tabs>
          <w:tab w:val="right" w:leader="dot" w:pos="9062"/>
        </w:tabs>
        <w:ind w:left="440"/>
      </w:pPr>
      <w:hyperlink w:anchor="_Toc2141" w:history="1">
        <w:r>
          <w:rPr>
            <w:rFonts w:ascii="IRNazanin" w:hAnsi="IRNazanin" w:eastAsia="IRNazanin" w:cs="IRNazanin"/>
            <w:color w:val="111111"/>
            <w:sz w:val="22"/>
            <w:szCs w:val="22"/>
            <w:b w:val="0"/>
            <w:bCs w:val="0"/>
            <w:i w:val="0"/>
            <w:iCs w:val="0"/>
          </w:rPr>
          <w:t>1667- دیوان خادم أصفهانی أو شعره‏</w:t>
        </w:r>
        <w:r>
          <w:tab/>
        </w:r>
        <w:r>
          <w:fldChar w:fldCharType="begin"/>
        </w:r>
        <w:r>
          <w:instrText xml:space="preserve">PAGEREF 2141 \h</w:instrText>
        </w:r>
        <w:r>
          <w:fldChar w:fldCharType="end"/>
        </w:r>
      </w:hyperlink>
    </w:p>
    <w:p>
      <w:pPr>
        <w:tabs>
          <w:tab w:val="right" w:leader="dot" w:pos="9062"/>
        </w:tabs>
        <w:ind w:left="440"/>
      </w:pPr>
      <w:hyperlink w:anchor="_Toc2142" w:history="1">
        <w:r>
          <w:rPr>
            <w:rFonts w:ascii="IRNazanin" w:hAnsi="IRNazanin" w:eastAsia="IRNazanin" w:cs="IRNazanin"/>
            <w:color w:val="111111"/>
            <w:sz w:val="22"/>
            <w:szCs w:val="22"/>
            <w:b w:val="0"/>
            <w:bCs w:val="0"/>
            <w:i w:val="0"/>
            <w:iCs w:val="0"/>
          </w:rPr>
          <w:t>دیوان خادم تبریزی‏</w:t>
        </w:r>
        <w:r>
          <w:tab/>
        </w:r>
        <w:r>
          <w:fldChar w:fldCharType="begin"/>
        </w:r>
        <w:r>
          <w:instrText xml:space="preserve">PAGEREF 2142 \h</w:instrText>
        </w:r>
        <w:r>
          <w:fldChar w:fldCharType="end"/>
        </w:r>
      </w:hyperlink>
    </w:p>
    <w:p>
      <w:pPr>
        <w:tabs>
          <w:tab w:val="right" w:leader="dot" w:pos="9062"/>
        </w:tabs>
        <w:ind w:left="440"/>
      </w:pPr>
      <w:hyperlink w:anchor="_Toc2143" w:history="1">
        <w:r>
          <w:rPr>
            <w:rFonts w:ascii="IRNazanin" w:hAnsi="IRNazanin" w:eastAsia="IRNazanin" w:cs="IRNazanin"/>
            <w:color w:val="111111"/>
            <w:sz w:val="22"/>
            <w:szCs w:val="22"/>
            <w:b w:val="0"/>
            <w:bCs w:val="0"/>
            <w:i w:val="0"/>
            <w:iCs w:val="0"/>
          </w:rPr>
          <w:t>1668- دیوان خادم دهلوی أو شعره‏</w:t>
        </w:r>
        <w:r>
          <w:tab/>
        </w:r>
        <w:r>
          <w:fldChar w:fldCharType="begin"/>
        </w:r>
        <w:r>
          <w:instrText xml:space="preserve">PAGEREF 2143 \h</w:instrText>
        </w:r>
        <w:r>
          <w:fldChar w:fldCharType="end"/>
        </w:r>
      </w:hyperlink>
    </w:p>
    <w:p>
      <w:pPr>
        <w:tabs>
          <w:tab w:val="right" w:leader="dot" w:pos="9062"/>
        </w:tabs>
        <w:ind w:left="440"/>
      </w:pPr>
      <w:hyperlink w:anchor="_Toc2144" w:history="1">
        <w:r>
          <w:rPr>
            <w:rFonts w:ascii="IRNazanin" w:hAnsi="IRNazanin" w:eastAsia="IRNazanin" w:cs="IRNazanin"/>
            <w:color w:val="111111"/>
            <w:sz w:val="22"/>
            <w:szCs w:val="22"/>
            <w:b w:val="0"/>
            <w:bCs w:val="0"/>
            <w:i w:val="0"/>
            <w:iCs w:val="0"/>
          </w:rPr>
          <w:t>دیوان خادم شیرازی‏</w:t>
        </w:r>
        <w:r>
          <w:tab/>
        </w:r>
        <w:r>
          <w:fldChar w:fldCharType="begin"/>
        </w:r>
        <w:r>
          <w:instrText xml:space="preserve">PAGEREF 2144 \h</w:instrText>
        </w:r>
        <w:r>
          <w:fldChar w:fldCharType="end"/>
        </w:r>
      </w:hyperlink>
    </w:p>
    <w:p>
      <w:pPr>
        <w:tabs>
          <w:tab w:val="right" w:leader="dot" w:pos="9062"/>
        </w:tabs>
        <w:ind w:left="440"/>
      </w:pPr>
      <w:hyperlink w:anchor="_Toc2145" w:history="1">
        <w:r>
          <w:rPr>
            <w:rFonts w:ascii="IRNazanin" w:hAnsi="IRNazanin" w:eastAsia="IRNazanin" w:cs="IRNazanin"/>
            <w:color w:val="111111"/>
            <w:sz w:val="22"/>
            <w:szCs w:val="22"/>
            <w:b w:val="0"/>
            <w:bCs w:val="0"/>
            <w:i w:val="0"/>
            <w:iCs w:val="0"/>
          </w:rPr>
          <w:t>1669- دیوان خادم عطار</w:t>
        </w:r>
        <w:r>
          <w:tab/>
        </w:r>
        <w:r>
          <w:fldChar w:fldCharType="begin"/>
        </w:r>
        <w:r>
          <w:instrText xml:space="preserve">PAGEREF 2145 \h</w:instrText>
        </w:r>
        <w:r>
          <w:fldChar w:fldCharType="end"/>
        </w:r>
      </w:hyperlink>
    </w:p>
    <w:p>
      <w:pPr>
        <w:tabs>
          <w:tab w:val="right" w:leader="dot" w:pos="9062"/>
        </w:tabs>
        <w:ind w:left="440"/>
      </w:pPr>
      <w:hyperlink w:anchor="_Toc2146" w:history="1">
        <w:r>
          <w:rPr>
            <w:rFonts w:ascii="IRNazanin" w:hAnsi="IRNazanin" w:eastAsia="IRNazanin" w:cs="IRNazanin"/>
            <w:color w:val="111111"/>
            <w:sz w:val="22"/>
            <w:szCs w:val="22"/>
            <w:b w:val="0"/>
            <w:bCs w:val="0"/>
            <w:i w:val="0"/>
            <w:iCs w:val="0"/>
          </w:rPr>
          <w:t>1670- دیوان خادم قمی أو شعره‏</w:t>
        </w:r>
        <w:r>
          <w:tab/>
        </w:r>
        <w:r>
          <w:fldChar w:fldCharType="begin"/>
        </w:r>
        <w:r>
          <w:instrText xml:space="preserve">PAGEREF 2146 \h</w:instrText>
        </w:r>
        <w:r>
          <w:fldChar w:fldCharType="end"/>
        </w:r>
      </w:hyperlink>
    </w:p>
    <w:p>
      <w:pPr>
        <w:tabs>
          <w:tab w:val="right" w:leader="dot" w:pos="9062"/>
        </w:tabs>
        <w:ind w:left="440"/>
      </w:pPr>
      <w:hyperlink w:anchor="_Toc2147" w:history="1">
        <w:r>
          <w:rPr>
            <w:rFonts w:ascii="IRNazanin" w:hAnsi="IRNazanin" w:eastAsia="IRNazanin" w:cs="IRNazanin"/>
            <w:color w:val="111111"/>
            <w:sz w:val="22"/>
            <w:szCs w:val="22"/>
            <w:b w:val="0"/>
            <w:bCs w:val="0"/>
            <w:i w:val="0"/>
            <w:iCs w:val="0"/>
          </w:rPr>
          <w:t>1671- دیوان خادم قیری‏</w:t>
        </w:r>
        <w:r>
          <w:tab/>
        </w:r>
        <w:r>
          <w:fldChar w:fldCharType="begin"/>
        </w:r>
        <w:r>
          <w:instrText xml:space="preserve">PAGEREF 2147 \h</w:instrText>
        </w:r>
        <w:r>
          <w:fldChar w:fldCharType="end"/>
        </w:r>
      </w:hyperlink>
    </w:p>
    <w:p>
      <w:pPr>
        <w:tabs>
          <w:tab w:val="right" w:leader="dot" w:pos="9062"/>
        </w:tabs>
        <w:ind w:left="440"/>
      </w:pPr>
      <w:hyperlink w:anchor="_Toc2148" w:history="1">
        <w:r>
          <w:rPr>
            <w:rFonts w:ascii="IRNazanin" w:hAnsi="IRNazanin" w:eastAsia="IRNazanin" w:cs="IRNazanin"/>
            <w:color w:val="111111"/>
            <w:sz w:val="22"/>
            <w:szCs w:val="22"/>
            <w:b w:val="0"/>
            <w:bCs w:val="0"/>
            <w:i w:val="0"/>
            <w:iCs w:val="0"/>
          </w:rPr>
          <w:t>1672- دیوان خادم کیتهلی أو شعره‏</w:t>
        </w:r>
        <w:r>
          <w:tab/>
        </w:r>
        <w:r>
          <w:fldChar w:fldCharType="begin"/>
        </w:r>
        <w:r>
          <w:instrText xml:space="preserve">PAGEREF 2148 \h</w:instrText>
        </w:r>
        <w:r>
          <w:fldChar w:fldCharType="end"/>
        </w:r>
      </w:hyperlink>
    </w:p>
    <w:p>
      <w:pPr>
        <w:tabs>
          <w:tab w:val="right" w:leader="dot" w:pos="9062"/>
        </w:tabs>
        <w:ind w:left="440"/>
      </w:pPr>
      <w:hyperlink w:anchor="_Toc2149" w:history="1">
        <w:r>
          <w:rPr>
            <w:rFonts w:ascii="IRNazanin" w:hAnsi="IRNazanin" w:eastAsia="IRNazanin" w:cs="IRNazanin"/>
            <w:color w:val="111111"/>
            <w:sz w:val="22"/>
            <w:szCs w:val="22"/>
            <w:b w:val="0"/>
            <w:bCs w:val="0"/>
            <w:i w:val="0"/>
            <w:iCs w:val="0"/>
          </w:rPr>
          <w:t>1673- دیوان خادم لکهنوی أو شعره‏</w:t>
        </w:r>
        <w:r>
          <w:tab/>
        </w:r>
        <w:r>
          <w:fldChar w:fldCharType="begin"/>
        </w:r>
        <w:r>
          <w:instrText xml:space="preserve">PAGEREF 2149 \h</w:instrText>
        </w:r>
        <w:r>
          <w:fldChar w:fldCharType="end"/>
        </w:r>
      </w:hyperlink>
    </w:p>
    <w:p>
      <w:pPr>
        <w:tabs>
          <w:tab w:val="right" w:leader="dot" w:pos="9062"/>
        </w:tabs>
        <w:ind w:left="440"/>
      </w:pPr>
      <w:hyperlink w:anchor="_Toc2150" w:history="1">
        <w:r>
          <w:rPr>
            <w:rFonts w:ascii="IRNazanin" w:hAnsi="IRNazanin" w:eastAsia="IRNazanin" w:cs="IRNazanin"/>
            <w:color w:val="111111"/>
            <w:sz w:val="22"/>
            <w:szCs w:val="22"/>
            <w:b w:val="0"/>
            <w:bCs w:val="0"/>
            <w:i w:val="0"/>
            <w:iCs w:val="0"/>
          </w:rPr>
          <w:t>1674- دیوان خادمی بغدادی أو شعره‏</w:t>
        </w:r>
        <w:r>
          <w:tab/>
        </w:r>
        <w:r>
          <w:fldChar w:fldCharType="begin"/>
        </w:r>
        <w:r>
          <w:instrText xml:space="preserve">PAGEREF 2150 \h</w:instrText>
        </w:r>
        <w:r>
          <w:fldChar w:fldCharType="end"/>
        </w:r>
      </w:hyperlink>
    </w:p>
    <w:p>
      <w:pPr>
        <w:tabs>
          <w:tab w:val="right" w:leader="dot" w:pos="9062"/>
        </w:tabs>
        <w:ind w:left="440"/>
      </w:pPr>
      <w:hyperlink w:anchor="_Toc2151" w:history="1">
        <w:r>
          <w:rPr>
            <w:rFonts w:ascii="IRNazanin" w:hAnsi="IRNazanin" w:eastAsia="IRNazanin" w:cs="IRNazanin"/>
            <w:color w:val="111111"/>
            <w:sz w:val="22"/>
            <w:szCs w:val="22"/>
            <w:b w:val="0"/>
            <w:bCs w:val="0"/>
            <w:i w:val="0"/>
            <w:iCs w:val="0"/>
          </w:rPr>
          <w:t>1675- دیوان خادمی خراسان أو شعره‏</w:t>
        </w:r>
        <w:r>
          <w:tab/>
        </w:r>
        <w:r>
          <w:fldChar w:fldCharType="begin"/>
        </w:r>
        <w:r>
          <w:instrText xml:space="preserve">PAGEREF 2151 \h</w:instrText>
        </w:r>
        <w:r>
          <w:fldChar w:fldCharType="end"/>
        </w:r>
      </w:hyperlink>
    </w:p>
    <w:p>
      <w:pPr>
        <w:tabs>
          <w:tab w:val="right" w:leader="dot" w:pos="9062"/>
        </w:tabs>
        <w:ind w:left="440"/>
      </w:pPr>
      <w:hyperlink w:anchor="_Toc2152" w:history="1">
        <w:r>
          <w:rPr>
            <w:rFonts w:ascii="IRNazanin" w:hAnsi="IRNazanin" w:eastAsia="IRNazanin" w:cs="IRNazanin"/>
            <w:color w:val="111111"/>
            <w:sz w:val="22"/>
            <w:szCs w:val="22"/>
            <w:b w:val="0"/>
            <w:bCs w:val="0"/>
            <w:i w:val="0"/>
            <w:iCs w:val="0"/>
          </w:rPr>
          <w:t>1676- دیوان خادمی قزوینی السلمانی‏</w:t>
        </w:r>
        <w:r>
          <w:tab/>
        </w:r>
        <w:r>
          <w:fldChar w:fldCharType="begin"/>
        </w:r>
        <w:r>
          <w:instrText xml:space="preserve">PAGEREF 2152 \h</w:instrText>
        </w:r>
        <w:r>
          <w:fldChar w:fldCharType="end"/>
        </w:r>
      </w:hyperlink>
    </w:p>
    <w:p>
      <w:pPr>
        <w:tabs>
          <w:tab w:val="right" w:leader="dot" w:pos="9062"/>
        </w:tabs>
        <w:ind w:left="440"/>
      </w:pPr>
      <w:hyperlink w:anchor="_Toc2153" w:history="1">
        <w:r>
          <w:rPr>
            <w:rFonts w:ascii="IRNazanin" w:hAnsi="IRNazanin" w:eastAsia="IRNazanin" w:cs="IRNazanin"/>
            <w:color w:val="111111"/>
            <w:sz w:val="22"/>
            <w:szCs w:val="22"/>
            <w:b w:val="0"/>
            <w:bCs w:val="0"/>
            <w:i w:val="0"/>
            <w:iCs w:val="0"/>
          </w:rPr>
          <w:t>دیوان خاری‏</w:t>
        </w:r>
        <w:r>
          <w:tab/>
        </w:r>
        <w:r>
          <w:fldChar w:fldCharType="begin"/>
        </w:r>
        <w:r>
          <w:instrText xml:space="preserve">PAGEREF 2153 \h</w:instrText>
        </w:r>
        <w:r>
          <w:fldChar w:fldCharType="end"/>
        </w:r>
      </w:hyperlink>
    </w:p>
    <w:p>
      <w:pPr>
        <w:tabs>
          <w:tab w:val="right" w:leader="dot" w:pos="9062"/>
        </w:tabs>
        <w:ind w:left="440"/>
      </w:pPr>
      <w:hyperlink w:anchor="_Toc2154" w:history="1">
        <w:r>
          <w:rPr>
            <w:rFonts w:ascii="IRNazanin" w:hAnsi="IRNazanin" w:eastAsia="IRNazanin" w:cs="IRNazanin"/>
            <w:color w:val="111111"/>
            <w:sz w:val="22"/>
            <w:szCs w:val="22"/>
            <w:b w:val="0"/>
            <w:bCs w:val="0"/>
            <w:i w:val="0"/>
            <w:iCs w:val="0"/>
          </w:rPr>
          <w:t>1677- دیوان خاری أصفهانی أو شعره‏</w:t>
        </w:r>
        <w:r>
          <w:tab/>
        </w:r>
        <w:r>
          <w:fldChar w:fldCharType="begin"/>
        </w:r>
        <w:r>
          <w:instrText xml:space="preserve">PAGEREF 2154 \h</w:instrText>
        </w:r>
        <w:r>
          <w:fldChar w:fldCharType="end"/>
        </w:r>
      </w:hyperlink>
    </w:p>
    <w:p>
      <w:pPr>
        <w:tabs>
          <w:tab w:val="right" w:leader="dot" w:pos="9062"/>
        </w:tabs>
        <w:ind w:left="440"/>
      </w:pPr>
      <w:hyperlink w:anchor="_Toc2155" w:history="1">
        <w:r>
          <w:rPr>
            <w:rFonts w:ascii="IRNazanin" w:hAnsi="IRNazanin" w:eastAsia="IRNazanin" w:cs="IRNazanin"/>
            <w:color w:val="111111"/>
            <w:sz w:val="22"/>
            <w:szCs w:val="22"/>
            <w:b w:val="0"/>
            <w:bCs w:val="0"/>
            <w:i w:val="0"/>
            <w:iCs w:val="0"/>
          </w:rPr>
          <w:t>1678- دیوان خازن تبریزی أو شعره‏</w:t>
        </w:r>
        <w:r>
          <w:tab/>
        </w:r>
        <w:r>
          <w:fldChar w:fldCharType="begin"/>
        </w:r>
        <w:r>
          <w:instrText xml:space="preserve">PAGEREF 2155 \h</w:instrText>
        </w:r>
        <w:r>
          <w:fldChar w:fldCharType="end"/>
        </w:r>
      </w:hyperlink>
    </w:p>
    <w:p>
      <w:pPr>
        <w:tabs>
          <w:tab w:val="right" w:leader="dot" w:pos="9062"/>
        </w:tabs>
        <w:ind w:left="440"/>
      </w:pPr>
      <w:hyperlink w:anchor="_Toc2156" w:history="1">
        <w:r>
          <w:rPr>
            <w:rFonts w:ascii="IRNazanin" w:hAnsi="IRNazanin" w:eastAsia="IRNazanin" w:cs="IRNazanin"/>
            <w:color w:val="111111"/>
            <w:sz w:val="22"/>
            <w:szCs w:val="22"/>
            <w:b w:val="0"/>
            <w:bCs w:val="0"/>
            <w:i w:val="0"/>
            <w:iCs w:val="0"/>
          </w:rPr>
          <w:t>1679- دیوان خازن تبریزی أو شعره‏</w:t>
        </w:r>
        <w:r>
          <w:tab/>
        </w:r>
        <w:r>
          <w:fldChar w:fldCharType="begin"/>
        </w:r>
        <w:r>
          <w:instrText xml:space="preserve">PAGEREF 2156 \h</w:instrText>
        </w:r>
        <w:r>
          <w:fldChar w:fldCharType="end"/>
        </w:r>
      </w:hyperlink>
    </w:p>
    <w:p>
      <w:pPr>
        <w:tabs>
          <w:tab w:val="right" w:leader="dot" w:pos="9062"/>
        </w:tabs>
        <w:ind w:left="440"/>
      </w:pPr>
      <w:hyperlink w:anchor="_Toc2157" w:history="1">
        <w:r>
          <w:rPr>
            <w:rFonts w:ascii="IRNazanin" w:hAnsi="IRNazanin" w:eastAsia="IRNazanin" w:cs="IRNazanin"/>
            <w:color w:val="111111"/>
            <w:sz w:val="22"/>
            <w:szCs w:val="22"/>
            <w:b w:val="0"/>
            <w:bCs w:val="0"/>
            <w:i w:val="0"/>
            <w:iCs w:val="0"/>
          </w:rPr>
          <w:t>دیوان خازن هندی‏</w:t>
        </w:r>
        <w:r>
          <w:tab/>
        </w:r>
        <w:r>
          <w:fldChar w:fldCharType="begin"/>
        </w:r>
        <w:r>
          <w:instrText xml:space="preserve">PAGEREF 2157 \h</w:instrText>
        </w:r>
        <w:r>
          <w:fldChar w:fldCharType="end"/>
        </w:r>
      </w:hyperlink>
    </w:p>
    <w:p>
      <w:pPr>
        <w:tabs>
          <w:tab w:val="right" w:leader="dot" w:pos="9062"/>
        </w:tabs>
        <w:ind w:left="440"/>
      </w:pPr>
      <w:hyperlink w:anchor="_Toc2158" w:history="1">
        <w:r>
          <w:rPr>
            <w:rFonts w:ascii="IRNazanin" w:hAnsi="IRNazanin" w:eastAsia="IRNazanin" w:cs="IRNazanin"/>
            <w:color w:val="111111"/>
            <w:sz w:val="22"/>
            <w:szCs w:val="22"/>
            <w:b w:val="0"/>
            <w:bCs w:val="0"/>
            <w:i w:val="0"/>
            <w:iCs w:val="0"/>
          </w:rPr>
          <w:t>1680- دیوان خاشع‏</w:t>
        </w:r>
        <w:r>
          <w:tab/>
        </w:r>
        <w:r>
          <w:fldChar w:fldCharType="begin"/>
        </w:r>
        <w:r>
          <w:instrText xml:space="preserve">PAGEREF 2158 \h</w:instrText>
        </w:r>
        <w:r>
          <w:fldChar w:fldCharType="end"/>
        </w:r>
      </w:hyperlink>
    </w:p>
    <w:p>
      <w:pPr>
        <w:tabs>
          <w:tab w:val="right" w:leader="dot" w:pos="9062"/>
        </w:tabs>
        <w:ind w:left="440"/>
      </w:pPr>
      <w:hyperlink w:anchor="_Toc2159" w:history="1">
        <w:r>
          <w:rPr>
            <w:rFonts w:ascii="IRNazanin" w:hAnsi="IRNazanin" w:eastAsia="IRNazanin" w:cs="IRNazanin"/>
            <w:color w:val="111111"/>
            <w:sz w:val="22"/>
            <w:szCs w:val="22"/>
            <w:b w:val="0"/>
            <w:bCs w:val="0"/>
            <w:i w:val="0"/>
            <w:iCs w:val="0"/>
          </w:rPr>
          <w:t>1681- دیوان خاصی أو شعره‏</w:t>
        </w:r>
        <w:r>
          <w:tab/>
        </w:r>
        <w:r>
          <w:fldChar w:fldCharType="begin"/>
        </w:r>
        <w:r>
          <w:instrText xml:space="preserve">PAGEREF 2159 \h</w:instrText>
        </w:r>
        <w:r>
          <w:fldChar w:fldCharType="end"/>
        </w:r>
      </w:hyperlink>
    </w:p>
    <w:p>
      <w:pPr>
        <w:tabs>
          <w:tab w:val="right" w:leader="dot" w:pos="9062"/>
        </w:tabs>
        <w:ind w:left="440"/>
      </w:pPr>
      <w:hyperlink w:anchor="_Toc2160" w:history="1">
        <w:r>
          <w:rPr>
            <w:rFonts w:ascii="IRNazanin" w:hAnsi="IRNazanin" w:eastAsia="IRNazanin" w:cs="IRNazanin"/>
            <w:color w:val="111111"/>
            <w:sz w:val="22"/>
            <w:szCs w:val="22"/>
            <w:b w:val="0"/>
            <w:bCs w:val="0"/>
            <w:i w:val="0"/>
            <w:iCs w:val="0"/>
          </w:rPr>
          <w:t>1682- دیوان خاطر أشرفی أو شعره‏</w:t>
        </w:r>
        <w:r>
          <w:tab/>
        </w:r>
        <w:r>
          <w:fldChar w:fldCharType="begin"/>
        </w:r>
        <w:r>
          <w:instrText xml:space="preserve">PAGEREF 2160 \h</w:instrText>
        </w:r>
        <w:r>
          <w:fldChar w:fldCharType="end"/>
        </w:r>
      </w:hyperlink>
    </w:p>
    <w:p>
      <w:pPr>
        <w:tabs>
          <w:tab w:val="right" w:leader="dot" w:pos="9062"/>
        </w:tabs>
        <w:ind w:left="440"/>
      </w:pPr>
      <w:hyperlink w:anchor="_Toc2161" w:history="1">
        <w:r>
          <w:rPr>
            <w:rFonts w:ascii="IRNazanin" w:hAnsi="IRNazanin" w:eastAsia="IRNazanin" w:cs="IRNazanin"/>
            <w:color w:val="111111"/>
            <w:sz w:val="22"/>
            <w:szCs w:val="22"/>
            <w:b w:val="0"/>
            <w:bCs w:val="0"/>
            <w:i w:val="0"/>
            <w:iCs w:val="0"/>
          </w:rPr>
          <w:t>1683- دیوان خاقان‏</w:t>
        </w:r>
        <w:r>
          <w:tab/>
        </w:r>
        <w:r>
          <w:fldChar w:fldCharType="begin"/>
        </w:r>
        <w:r>
          <w:instrText xml:space="preserve">PAGEREF 2161 \h</w:instrText>
        </w:r>
        <w:r>
          <w:fldChar w:fldCharType="end"/>
        </w:r>
      </w:hyperlink>
    </w:p>
    <w:p>
      <w:pPr>
        <w:tabs>
          <w:tab w:val="right" w:leader="dot" w:pos="9062"/>
        </w:tabs>
        <w:ind w:left="440"/>
      </w:pPr>
      <w:hyperlink w:anchor="_Toc2162" w:history="1">
        <w:r>
          <w:rPr>
            <w:rFonts w:ascii="IRNazanin" w:hAnsi="IRNazanin" w:eastAsia="IRNazanin" w:cs="IRNazanin"/>
            <w:color w:val="111111"/>
            <w:sz w:val="22"/>
            <w:szCs w:val="22"/>
            <w:b w:val="0"/>
            <w:bCs w:val="0"/>
            <w:i w:val="0"/>
            <w:iCs w:val="0"/>
          </w:rPr>
          <w:t>دیوان خاقانی الخلخالی‏</w:t>
        </w:r>
        <w:r>
          <w:tab/>
        </w:r>
        <w:r>
          <w:fldChar w:fldCharType="begin"/>
        </w:r>
        <w:r>
          <w:instrText xml:space="preserve">PAGEREF 2162 \h</w:instrText>
        </w:r>
        <w:r>
          <w:fldChar w:fldCharType="end"/>
        </w:r>
      </w:hyperlink>
    </w:p>
    <w:p>
      <w:pPr>
        <w:tabs>
          <w:tab w:val="right" w:leader="dot" w:pos="9062"/>
        </w:tabs>
        <w:ind w:left="440"/>
      </w:pPr>
      <w:hyperlink w:anchor="_Toc2163" w:history="1">
        <w:r>
          <w:rPr>
            <w:rFonts w:ascii="IRNazanin" w:hAnsi="IRNazanin" w:eastAsia="IRNazanin" w:cs="IRNazanin"/>
            <w:color w:val="111111"/>
            <w:sz w:val="22"/>
            <w:szCs w:val="22"/>
            <w:b w:val="0"/>
            <w:bCs w:val="0"/>
            <w:i w:val="0"/>
            <w:iCs w:val="0"/>
          </w:rPr>
          <w:t>1684- دیوان خاقانی شیروانی‏</w:t>
        </w:r>
        <w:r>
          <w:tab/>
        </w:r>
        <w:r>
          <w:fldChar w:fldCharType="begin"/>
        </w:r>
        <w:r>
          <w:instrText xml:space="preserve">PAGEREF 2163 \h</w:instrText>
        </w:r>
        <w:r>
          <w:fldChar w:fldCharType="end"/>
        </w:r>
      </w:hyperlink>
    </w:p>
    <w:p>
      <w:pPr>
        <w:tabs>
          <w:tab w:val="right" w:leader="dot" w:pos="9062"/>
        </w:tabs>
        <w:ind w:left="440"/>
      </w:pPr>
      <w:hyperlink w:anchor="_Toc2164" w:history="1">
        <w:r>
          <w:rPr>
            <w:rFonts w:ascii="IRNazanin" w:hAnsi="IRNazanin" w:eastAsia="IRNazanin" w:cs="IRNazanin"/>
            <w:color w:val="111111"/>
            <w:sz w:val="22"/>
            <w:szCs w:val="22"/>
            <w:b w:val="0"/>
            <w:bCs w:val="0"/>
            <w:i w:val="0"/>
            <w:iCs w:val="0"/>
          </w:rPr>
          <w:t>1685- دیوان خاقانی محلاتی‏</w:t>
        </w:r>
        <w:r>
          <w:tab/>
        </w:r>
        <w:r>
          <w:fldChar w:fldCharType="begin"/>
        </w:r>
        <w:r>
          <w:instrText xml:space="preserve">PAGEREF 2164 \h</w:instrText>
        </w:r>
        <w:r>
          <w:fldChar w:fldCharType="end"/>
        </w:r>
      </w:hyperlink>
    </w:p>
    <w:p>
      <w:pPr>
        <w:tabs>
          <w:tab w:val="right" w:leader="dot" w:pos="9062"/>
        </w:tabs>
        <w:ind w:left="440"/>
      </w:pPr>
      <w:hyperlink w:anchor="_Toc2165" w:history="1">
        <w:r>
          <w:rPr>
            <w:rFonts w:ascii="IRNazanin" w:hAnsi="IRNazanin" w:eastAsia="IRNazanin" w:cs="IRNazanin"/>
            <w:color w:val="111111"/>
            <w:sz w:val="22"/>
            <w:szCs w:val="22"/>
            <w:b w:val="0"/>
            <w:bCs w:val="0"/>
            <w:i w:val="0"/>
            <w:iCs w:val="0"/>
          </w:rPr>
          <w:t>1686- دیوان خاکی خراسانی‏</w:t>
        </w:r>
        <w:r>
          <w:tab/>
        </w:r>
        <w:r>
          <w:fldChar w:fldCharType="begin"/>
        </w:r>
        <w:r>
          <w:instrText xml:space="preserve">PAGEREF 2165 \h</w:instrText>
        </w:r>
        <w:r>
          <w:fldChar w:fldCharType="end"/>
        </w:r>
      </w:hyperlink>
    </w:p>
    <w:p>
      <w:pPr>
        <w:tabs>
          <w:tab w:val="right" w:leader="dot" w:pos="9062"/>
        </w:tabs>
        <w:ind w:left="440"/>
      </w:pPr>
      <w:hyperlink w:anchor="_Toc2166" w:history="1">
        <w:r>
          <w:rPr>
            <w:rFonts w:ascii="IRNazanin" w:hAnsi="IRNazanin" w:eastAsia="IRNazanin" w:cs="IRNazanin"/>
            <w:color w:val="111111"/>
            <w:sz w:val="22"/>
            <w:szCs w:val="22"/>
            <w:b w:val="0"/>
            <w:bCs w:val="0"/>
            <w:i w:val="0"/>
            <w:iCs w:val="0"/>
          </w:rPr>
          <w:t>1687- دیوان خاکی خراسانی‏</w:t>
        </w:r>
        <w:r>
          <w:tab/>
        </w:r>
        <w:r>
          <w:fldChar w:fldCharType="begin"/>
        </w:r>
        <w:r>
          <w:instrText xml:space="preserve">PAGEREF 2166 \h</w:instrText>
        </w:r>
        <w:r>
          <w:fldChar w:fldCharType="end"/>
        </w:r>
      </w:hyperlink>
    </w:p>
    <w:p>
      <w:pPr>
        <w:tabs>
          <w:tab w:val="right" w:leader="dot" w:pos="9062"/>
        </w:tabs>
        <w:ind w:left="440"/>
      </w:pPr>
      <w:hyperlink w:anchor="_Toc2167" w:history="1">
        <w:r>
          <w:rPr>
            <w:rFonts w:ascii="IRNazanin" w:hAnsi="IRNazanin" w:eastAsia="IRNazanin" w:cs="IRNazanin"/>
            <w:color w:val="111111"/>
            <w:sz w:val="22"/>
            <w:szCs w:val="22"/>
            <w:b w:val="0"/>
            <w:bCs w:val="0"/>
            <w:i w:val="0"/>
            <w:iCs w:val="0"/>
          </w:rPr>
          <w:t>1688- دیوان خاکی دهلوی أو شعره‏</w:t>
        </w:r>
        <w:r>
          <w:tab/>
        </w:r>
        <w:r>
          <w:fldChar w:fldCharType="begin"/>
        </w:r>
        <w:r>
          <w:instrText xml:space="preserve">PAGEREF 2167 \h</w:instrText>
        </w:r>
        <w:r>
          <w:fldChar w:fldCharType="end"/>
        </w:r>
      </w:hyperlink>
    </w:p>
    <w:p>
      <w:pPr>
        <w:tabs>
          <w:tab w:val="right" w:leader="dot" w:pos="9062"/>
        </w:tabs>
        <w:ind w:left="440"/>
      </w:pPr>
      <w:hyperlink w:anchor="_Toc2168" w:history="1">
        <w:r>
          <w:rPr>
            <w:rFonts w:ascii="IRNazanin" w:hAnsi="IRNazanin" w:eastAsia="IRNazanin" w:cs="IRNazanin"/>
            <w:color w:val="111111"/>
            <w:sz w:val="22"/>
            <w:szCs w:val="22"/>
            <w:b w:val="0"/>
            <w:bCs w:val="0"/>
            <w:i w:val="0"/>
            <w:iCs w:val="0"/>
          </w:rPr>
          <w:t>1689- دیوان خاکی شیرازی أو شعره‏</w:t>
        </w:r>
        <w:r>
          <w:tab/>
        </w:r>
        <w:r>
          <w:fldChar w:fldCharType="begin"/>
        </w:r>
        <w:r>
          <w:instrText xml:space="preserve">PAGEREF 2168 \h</w:instrText>
        </w:r>
        <w:r>
          <w:fldChar w:fldCharType="end"/>
        </w:r>
      </w:hyperlink>
    </w:p>
    <w:p>
      <w:pPr>
        <w:tabs>
          <w:tab w:val="right" w:leader="dot" w:pos="9062"/>
        </w:tabs>
        <w:ind w:left="440"/>
      </w:pPr>
      <w:hyperlink w:anchor="_Toc2169" w:history="1">
        <w:r>
          <w:rPr>
            <w:rFonts w:ascii="IRNazanin" w:hAnsi="IRNazanin" w:eastAsia="IRNazanin" w:cs="IRNazanin"/>
            <w:color w:val="111111"/>
            <w:sz w:val="22"/>
            <w:szCs w:val="22"/>
            <w:b w:val="0"/>
            <w:bCs w:val="0"/>
            <w:i w:val="0"/>
            <w:iCs w:val="0"/>
          </w:rPr>
          <w:t>1690- دیوان خاکی شیرازی‏</w:t>
        </w:r>
        <w:r>
          <w:tab/>
        </w:r>
        <w:r>
          <w:fldChar w:fldCharType="begin"/>
        </w:r>
        <w:r>
          <w:instrText xml:space="preserve">PAGEREF 2169 \h</w:instrText>
        </w:r>
        <w:r>
          <w:fldChar w:fldCharType="end"/>
        </w:r>
      </w:hyperlink>
    </w:p>
    <w:p>
      <w:pPr>
        <w:tabs>
          <w:tab w:val="right" w:leader="dot" w:pos="9062"/>
        </w:tabs>
        <w:ind w:left="440"/>
      </w:pPr>
      <w:hyperlink w:anchor="_Toc2170" w:history="1">
        <w:r>
          <w:rPr>
            <w:rFonts w:ascii="IRNazanin" w:hAnsi="IRNazanin" w:eastAsia="IRNazanin" w:cs="IRNazanin"/>
            <w:color w:val="111111"/>
            <w:sz w:val="22"/>
            <w:szCs w:val="22"/>
            <w:b w:val="0"/>
            <w:bCs w:val="0"/>
            <w:i w:val="0"/>
            <w:iCs w:val="0"/>
          </w:rPr>
          <w:t>1691- دیوان خاکی کاشغری أو شعره‏</w:t>
        </w:r>
        <w:r>
          <w:tab/>
        </w:r>
        <w:r>
          <w:fldChar w:fldCharType="begin"/>
        </w:r>
        <w:r>
          <w:instrText xml:space="preserve">PAGEREF 2170 \h</w:instrText>
        </w:r>
        <w:r>
          <w:fldChar w:fldCharType="end"/>
        </w:r>
      </w:hyperlink>
    </w:p>
    <w:p>
      <w:pPr>
        <w:tabs>
          <w:tab w:val="right" w:leader="dot" w:pos="9062"/>
        </w:tabs>
        <w:ind w:left="440"/>
      </w:pPr>
      <w:hyperlink w:anchor="_Toc2171" w:history="1">
        <w:r>
          <w:rPr>
            <w:rFonts w:ascii="IRNazanin" w:hAnsi="IRNazanin" w:eastAsia="IRNazanin" w:cs="IRNazanin"/>
            <w:color w:val="111111"/>
            <w:sz w:val="22"/>
            <w:szCs w:val="22"/>
            <w:b w:val="0"/>
            <w:bCs w:val="0"/>
            <w:i w:val="0"/>
            <w:iCs w:val="0"/>
          </w:rPr>
          <w:t>1692- دیوان مولانا خاکی کسوئی‏</w:t>
        </w:r>
        <w:r>
          <w:tab/>
        </w:r>
        <w:r>
          <w:fldChar w:fldCharType="begin"/>
        </w:r>
        <w:r>
          <w:instrText xml:space="preserve">PAGEREF 2171 \h</w:instrText>
        </w:r>
        <w:r>
          <w:fldChar w:fldCharType="end"/>
        </w:r>
      </w:hyperlink>
    </w:p>
    <w:p>
      <w:pPr>
        <w:tabs>
          <w:tab w:val="right" w:leader="dot" w:pos="9062"/>
        </w:tabs>
        <w:ind w:left="440"/>
      </w:pPr>
      <w:hyperlink w:anchor="_Toc2172" w:history="1">
        <w:r>
          <w:rPr>
            <w:rFonts w:ascii="IRNazanin" w:hAnsi="IRNazanin" w:eastAsia="IRNazanin" w:cs="IRNazanin"/>
            <w:color w:val="111111"/>
            <w:sz w:val="22"/>
            <w:szCs w:val="22"/>
            <w:b w:val="0"/>
            <w:bCs w:val="0"/>
            <w:i w:val="0"/>
            <w:iCs w:val="0"/>
          </w:rPr>
          <w:t>1693- دیوان خالد کرد</w:t>
        </w:r>
        <w:r>
          <w:tab/>
        </w:r>
        <w:r>
          <w:fldChar w:fldCharType="begin"/>
        </w:r>
        <w:r>
          <w:instrText xml:space="preserve">PAGEREF 2172 \h</w:instrText>
        </w:r>
        <w:r>
          <w:fldChar w:fldCharType="end"/>
        </w:r>
      </w:hyperlink>
    </w:p>
    <w:p>
      <w:pPr>
        <w:tabs>
          <w:tab w:val="right" w:leader="dot" w:pos="9062"/>
        </w:tabs>
        <w:ind w:left="440"/>
      </w:pPr>
      <w:hyperlink w:anchor="_Toc2173" w:history="1">
        <w:r>
          <w:rPr>
            <w:rFonts w:ascii="IRNazanin" w:hAnsi="IRNazanin" w:eastAsia="IRNazanin" w:cs="IRNazanin"/>
            <w:color w:val="111111"/>
            <w:sz w:val="22"/>
            <w:szCs w:val="22"/>
            <w:b w:val="0"/>
            <w:bCs w:val="0"/>
            <w:i w:val="0"/>
            <w:iCs w:val="0"/>
          </w:rPr>
          <w:t>1694- دیوان خالدی‏</w:t>
        </w:r>
        <w:r>
          <w:tab/>
        </w:r>
        <w:r>
          <w:fldChar w:fldCharType="begin"/>
        </w:r>
        <w:r>
          <w:instrText xml:space="preserve">PAGEREF 2173 \h</w:instrText>
        </w:r>
        <w:r>
          <w:fldChar w:fldCharType="end"/>
        </w:r>
      </w:hyperlink>
    </w:p>
    <w:p>
      <w:pPr>
        <w:tabs>
          <w:tab w:val="right" w:leader="dot" w:pos="9062"/>
        </w:tabs>
        <w:ind w:left="440"/>
      </w:pPr>
      <w:hyperlink w:anchor="_Toc2174" w:history="1">
        <w:r>
          <w:rPr>
            <w:rFonts w:ascii="IRNazanin" w:hAnsi="IRNazanin" w:eastAsia="IRNazanin" w:cs="IRNazanin"/>
            <w:color w:val="111111"/>
            <w:sz w:val="22"/>
            <w:szCs w:val="22"/>
            <w:b w:val="0"/>
            <w:bCs w:val="0"/>
            <w:i w:val="0"/>
            <w:iCs w:val="0"/>
          </w:rPr>
          <w:t>1695- دیوان الخالدیین‏</w:t>
        </w:r>
        <w:r>
          <w:tab/>
        </w:r>
        <w:r>
          <w:fldChar w:fldCharType="begin"/>
        </w:r>
        <w:r>
          <w:instrText xml:space="preserve">PAGEREF 2174 \h</w:instrText>
        </w:r>
        <w:r>
          <w:fldChar w:fldCharType="end"/>
        </w:r>
      </w:hyperlink>
    </w:p>
    <w:p>
      <w:pPr>
        <w:tabs>
          <w:tab w:val="right" w:leader="dot" w:pos="9062"/>
        </w:tabs>
        <w:ind w:left="440"/>
      </w:pPr>
      <w:hyperlink w:anchor="_Toc2175" w:history="1">
        <w:r>
          <w:rPr>
            <w:rFonts w:ascii="IRNazanin" w:hAnsi="IRNazanin" w:eastAsia="IRNazanin" w:cs="IRNazanin"/>
            <w:color w:val="111111"/>
            <w:sz w:val="22"/>
            <w:szCs w:val="22"/>
            <w:b w:val="0"/>
            <w:bCs w:val="0"/>
            <w:i w:val="0"/>
            <w:iCs w:val="0"/>
          </w:rPr>
          <w:t>1696- دیوان خالد القطیفی‏</w:t>
        </w:r>
        <w:r>
          <w:tab/>
        </w:r>
        <w:r>
          <w:fldChar w:fldCharType="begin"/>
        </w:r>
        <w:r>
          <w:instrText xml:space="preserve">PAGEREF 2175 \h</w:instrText>
        </w:r>
        <w:r>
          <w:fldChar w:fldCharType="end"/>
        </w:r>
      </w:hyperlink>
    </w:p>
    <w:p>
      <w:pPr>
        <w:tabs>
          <w:tab w:val="right" w:leader="dot" w:pos="9062"/>
        </w:tabs>
        <w:ind w:left="440"/>
      </w:pPr>
      <w:hyperlink w:anchor="_Toc2176" w:history="1">
        <w:r>
          <w:rPr>
            <w:rFonts w:ascii="IRNazanin" w:hAnsi="IRNazanin" w:eastAsia="IRNazanin" w:cs="IRNazanin"/>
            <w:color w:val="111111"/>
            <w:sz w:val="22"/>
            <w:szCs w:val="22"/>
            <w:b w:val="0"/>
            <w:bCs w:val="0"/>
            <w:i w:val="0"/>
            <w:iCs w:val="0"/>
          </w:rPr>
          <w:t>1697- دیوان خالص أصفهانی‏</w:t>
        </w:r>
        <w:r>
          <w:tab/>
        </w:r>
        <w:r>
          <w:fldChar w:fldCharType="begin"/>
        </w:r>
        <w:r>
          <w:instrText xml:space="preserve">PAGEREF 2176 \h</w:instrText>
        </w:r>
        <w:r>
          <w:fldChar w:fldCharType="end"/>
        </w:r>
      </w:hyperlink>
    </w:p>
    <w:p>
      <w:pPr>
        <w:tabs>
          <w:tab w:val="right" w:leader="dot" w:pos="9062"/>
        </w:tabs>
        <w:ind w:left="440"/>
      </w:pPr>
      <w:hyperlink w:anchor="_Toc2177" w:history="1">
        <w:r>
          <w:rPr>
            <w:rFonts w:ascii="IRNazanin" w:hAnsi="IRNazanin" w:eastAsia="IRNazanin" w:cs="IRNazanin"/>
            <w:color w:val="111111"/>
            <w:sz w:val="22"/>
            <w:szCs w:val="22"/>
            <w:b w:val="0"/>
            <w:bCs w:val="0"/>
            <w:i w:val="0"/>
            <w:iCs w:val="0"/>
          </w:rPr>
          <w:t>1698- دیوان خالص‏</w:t>
        </w:r>
        <w:r>
          <w:tab/>
        </w:r>
        <w:r>
          <w:fldChar w:fldCharType="begin"/>
        </w:r>
        <w:r>
          <w:instrText xml:space="preserve">PAGEREF 2177 \h</w:instrText>
        </w:r>
        <w:r>
          <w:fldChar w:fldCharType="end"/>
        </w:r>
      </w:hyperlink>
    </w:p>
    <w:p>
      <w:pPr>
        <w:tabs>
          <w:tab w:val="right" w:leader="dot" w:pos="9062"/>
        </w:tabs>
        <w:ind w:left="440"/>
      </w:pPr>
      <w:hyperlink w:anchor="_Toc2178" w:history="1">
        <w:r>
          <w:rPr>
            <w:rFonts w:ascii="IRNazanin" w:hAnsi="IRNazanin" w:eastAsia="IRNazanin" w:cs="IRNazanin"/>
            <w:color w:val="111111"/>
            <w:sz w:val="22"/>
            <w:szCs w:val="22"/>
            <w:b w:val="0"/>
            <w:bCs w:val="0"/>
            <w:i w:val="0"/>
            <w:iCs w:val="0"/>
          </w:rPr>
          <w:t>1699- دیوان خالص هانسوی أو شعره‏</w:t>
        </w:r>
        <w:r>
          <w:tab/>
        </w:r>
        <w:r>
          <w:fldChar w:fldCharType="begin"/>
        </w:r>
        <w:r>
          <w:instrText xml:space="preserve">PAGEREF 2178 \h</w:instrText>
        </w:r>
        <w:r>
          <w:fldChar w:fldCharType="end"/>
        </w:r>
      </w:hyperlink>
    </w:p>
    <w:p>
      <w:pPr>
        <w:tabs>
          <w:tab w:val="right" w:leader="dot" w:pos="9062"/>
        </w:tabs>
        <w:ind w:left="440"/>
      </w:pPr>
      <w:hyperlink w:anchor="_Toc2179" w:history="1">
        <w:r>
          <w:rPr>
            <w:rFonts w:ascii="IRNazanin" w:hAnsi="IRNazanin" w:eastAsia="IRNazanin" w:cs="IRNazanin"/>
            <w:color w:val="111111"/>
            <w:sz w:val="22"/>
            <w:szCs w:val="22"/>
            <w:b w:val="0"/>
            <w:bCs w:val="0"/>
            <w:i w:val="0"/>
            <w:iCs w:val="0"/>
          </w:rPr>
          <w:t>دیوان خالص هندی أو شعره‏</w:t>
        </w:r>
        <w:r>
          <w:tab/>
        </w:r>
        <w:r>
          <w:fldChar w:fldCharType="begin"/>
        </w:r>
        <w:r>
          <w:instrText xml:space="preserve">PAGEREF 2179 \h</w:instrText>
        </w:r>
        <w:r>
          <w:fldChar w:fldCharType="end"/>
        </w:r>
      </w:hyperlink>
    </w:p>
    <w:p>
      <w:pPr>
        <w:tabs>
          <w:tab w:val="right" w:leader="dot" w:pos="9062"/>
        </w:tabs>
        <w:ind w:left="440"/>
      </w:pPr>
      <w:hyperlink w:anchor="_Toc2180" w:history="1">
        <w:r>
          <w:rPr>
            <w:rFonts w:ascii="IRNazanin" w:hAnsi="IRNazanin" w:eastAsia="IRNazanin" w:cs="IRNazanin"/>
            <w:color w:val="111111"/>
            <w:sz w:val="22"/>
            <w:szCs w:val="22"/>
            <w:b w:val="0"/>
            <w:bCs w:val="0"/>
            <w:i w:val="0"/>
            <w:iCs w:val="0"/>
          </w:rPr>
          <w:t>1700- دیوان خالص یزدی أو شعره‏</w:t>
        </w:r>
        <w:r>
          <w:tab/>
        </w:r>
        <w:r>
          <w:fldChar w:fldCharType="begin"/>
        </w:r>
        <w:r>
          <w:instrText xml:space="preserve">PAGEREF 2180 \h</w:instrText>
        </w:r>
        <w:r>
          <w:fldChar w:fldCharType="end"/>
        </w:r>
      </w:hyperlink>
    </w:p>
    <w:p>
      <w:pPr>
        <w:tabs>
          <w:tab w:val="right" w:leader="dot" w:pos="9062"/>
        </w:tabs>
        <w:ind w:left="440"/>
      </w:pPr>
      <w:hyperlink w:anchor="_Toc2181" w:history="1">
        <w:r>
          <w:rPr>
            <w:rFonts w:ascii="IRNazanin" w:hAnsi="IRNazanin" w:eastAsia="IRNazanin" w:cs="IRNazanin"/>
            <w:color w:val="111111"/>
            <w:sz w:val="22"/>
            <w:szCs w:val="22"/>
            <w:b w:val="0"/>
            <w:bCs w:val="0"/>
            <w:i w:val="0"/>
            <w:iCs w:val="0"/>
          </w:rPr>
          <w:t>1701- دیوان خالص یزدی أو شعره‏</w:t>
        </w:r>
        <w:r>
          <w:tab/>
        </w:r>
        <w:r>
          <w:fldChar w:fldCharType="begin"/>
        </w:r>
        <w:r>
          <w:instrText xml:space="preserve">PAGEREF 2181 \h</w:instrText>
        </w:r>
        <w:r>
          <w:fldChar w:fldCharType="end"/>
        </w:r>
      </w:hyperlink>
    </w:p>
    <w:p>
      <w:pPr>
        <w:tabs>
          <w:tab w:val="right" w:leader="dot" w:pos="9062"/>
        </w:tabs>
        <w:ind w:left="440"/>
      </w:pPr>
      <w:hyperlink w:anchor="_Toc2182" w:history="1">
        <w:r>
          <w:rPr>
            <w:rFonts w:ascii="IRNazanin" w:hAnsi="IRNazanin" w:eastAsia="IRNazanin" w:cs="IRNazanin"/>
            <w:color w:val="111111"/>
            <w:sz w:val="22"/>
            <w:szCs w:val="22"/>
            <w:b w:val="0"/>
            <w:bCs w:val="0"/>
            <w:i w:val="0"/>
            <w:iCs w:val="0"/>
          </w:rPr>
          <w:t>1702- دیوان خالص یزدی أو شعره‏</w:t>
        </w:r>
        <w:r>
          <w:tab/>
        </w:r>
        <w:r>
          <w:fldChar w:fldCharType="begin"/>
        </w:r>
        <w:r>
          <w:instrText xml:space="preserve">PAGEREF 2182 \h</w:instrText>
        </w:r>
        <w:r>
          <w:fldChar w:fldCharType="end"/>
        </w:r>
      </w:hyperlink>
    </w:p>
    <w:p>
      <w:pPr>
        <w:tabs>
          <w:tab w:val="right" w:leader="dot" w:pos="9062"/>
        </w:tabs>
        <w:ind w:left="440"/>
      </w:pPr>
      <w:hyperlink w:anchor="_Toc2183" w:history="1">
        <w:r>
          <w:rPr>
            <w:rFonts w:ascii="IRNazanin" w:hAnsi="IRNazanin" w:eastAsia="IRNazanin" w:cs="IRNazanin"/>
            <w:color w:val="111111"/>
            <w:sz w:val="22"/>
            <w:szCs w:val="22"/>
            <w:b w:val="0"/>
            <w:bCs w:val="0"/>
            <w:i w:val="0"/>
            <w:iCs w:val="0"/>
          </w:rPr>
          <w:t>1703- دیوان خالصی تبریزی أو شعره‏</w:t>
        </w:r>
        <w:r>
          <w:tab/>
        </w:r>
        <w:r>
          <w:fldChar w:fldCharType="begin"/>
        </w:r>
        <w:r>
          <w:instrText xml:space="preserve">PAGEREF 2183 \h</w:instrText>
        </w:r>
        <w:r>
          <w:fldChar w:fldCharType="end"/>
        </w:r>
      </w:hyperlink>
    </w:p>
    <w:p>
      <w:pPr>
        <w:tabs>
          <w:tab w:val="right" w:leader="dot" w:pos="9062"/>
        </w:tabs>
        <w:ind w:left="440"/>
      </w:pPr>
      <w:hyperlink w:anchor="_Toc2184" w:history="1">
        <w:r>
          <w:rPr>
            <w:rFonts w:ascii="IRNazanin" w:hAnsi="IRNazanin" w:eastAsia="IRNazanin" w:cs="IRNazanin"/>
            <w:color w:val="111111"/>
            <w:sz w:val="22"/>
            <w:szCs w:val="22"/>
            <w:b w:val="0"/>
            <w:bCs w:val="0"/>
            <w:i w:val="0"/>
            <w:iCs w:val="0"/>
          </w:rPr>
          <w:t>1704- دیوان خاله بغدادی‏</w:t>
        </w:r>
        <w:r>
          <w:tab/>
        </w:r>
        <w:r>
          <w:fldChar w:fldCharType="begin"/>
        </w:r>
        <w:r>
          <w:instrText xml:space="preserve">PAGEREF 2184 \h</w:instrText>
        </w:r>
        <w:r>
          <w:fldChar w:fldCharType="end"/>
        </w:r>
      </w:hyperlink>
    </w:p>
    <w:p>
      <w:pPr>
        <w:tabs>
          <w:tab w:val="right" w:leader="dot" w:pos="9062"/>
        </w:tabs>
        <w:ind w:left="440"/>
      </w:pPr>
      <w:hyperlink w:anchor="_Toc2185" w:history="1">
        <w:r>
          <w:rPr>
            <w:rFonts w:ascii="IRNazanin" w:hAnsi="IRNazanin" w:eastAsia="IRNazanin" w:cs="IRNazanin"/>
            <w:color w:val="111111"/>
            <w:sz w:val="22"/>
            <w:szCs w:val="22"/>
            <w:b w:val="0"/>
            <w:bCs w:val="0"/>
            <w:i w:val="0"/>
            <w:iCs w:val="0"/>
          </w:rPr>
          <w:t>1705- دیوان خالی هندی أو شعره‏</w:t>
        </w:r>
        <w:r>
          <w:tab/>
        </w:r>
        <w:r>
          <w:fldChar w:fldCharType="begin"/>
        </w:r>
        <w:r>
          <w:instrText xml:space="preserve">PAGEREF 2185 \h</w:instrText>
        </w:r>
        <w:r>
          <w:fldChar w:fldCharType="end"/>
        </w:r>
      </w:hyperlink>
    </w:p>
    <w:p>
      <w:pPr>
        <w:tabs>
          <w:tab w:val="right" w:leader="dot" w:pos="9062"/>
        </w:tabs>
        <w:ind w:left="440"/>
      </w:pPr>
      <w:hyperlink w:anchor="_Toc2186" w:history="1">
        <w:r>
          <w:rPr>
            <w:rFonts w:ascii="IRNazanin" w:hAnsi="IRNazanin" w:eastAsia="IRNazanin" w:cs="IRNazanin"/>
            <w:color w:val="111111"/>
            <w:sz w:val="22"/>
            <w:szCs w:val="22"/>
            <w:b w:val="0"/>
            <w:bCs w:val="0"/>
            <w:i w:val="0"/>
            <w:iCs w:val="0"/>
          </w:rPr>
          <w:t>1706- دیوان خاموش‏</w:t>
        </w:r>
        <w:r>
          <w:tab/>
        </w:r>
        <w:r>
          <w:fldChar w:fldCharType="begin"/>
        </w:r>
        <w:r>
          <w:instrText xml:space="preserve">PAGEREF 2186 \h</w:instrText>
        </w:r>
        <w:r>
          <w:fldChar w:fldCharType="end"/>
        </w:r>
      </w:hyperlink>
    </w:p>
    <w:p>
      <w:pPr>
        <w:tabs>
          <w:tab w:val="right" w:leader="dot" w:pos="9062"/>
        </w:tabs>
        <w:ind w:left="440"/>
      </w:pPr>
      <w:hyperlink w:anchor="_Toc2187" w:history="1">
        <w:r>
          <w:rPr>
            <w:rFonts w:ascii="IRNazanin" w:hAnsi="IRNazanin" w:eastAsia="IRNazanin" w:cs="IRNazanin"/>
            <w:color w:val="111111"/>
            <w:sz w:val="22"/>
            <w:szCs w:val="22"/>
            <w:b w:val="0"/>
            <w:bCs w:val="0"/>
            <w:i w:val="0"/>
            <w:iCs w:val="0"/>
          </w:rPr>
          <w:t>دیوان خاموش بلخی‏</w:t>
        </w:r>
        <w:r>
          <w:tab/>
        </w:r>
        <w:r>
          <w:fldChar w:fldCharType="begin"/>
        </w:r>
        <w:r>
          <w:instrText xml:space="preserve">PAGEREF 2187 \h</w:instrText>
        </w:r>
        <w:r>
          <w:fldChar w:fldCharType="end"/>
        </w:r>
      </w:hyperlink>
    </w:p>
    <w:p>
      <w:pPr>
        <w:tabs>
          <w:tab w:val="right" w:leader="dot" w:pos="9062"/>
        </w:tabs>
        <w:ind w:left="440"/>
      </w:pPr>
      <w:hyperlink w:anchor="_Toc2188" w:history="1">
        <w:r>
          <w:rPr>
            <w:rFonts w:ascii="IRNazanin" w:hAnsi="IRNazanin" w:eastAsia="IRNazanin" w:cs="IRNazanin"/>
            <w:color w:val="111111"/>
            <w:sz w:val="22"/>
            <w:szCs w:val="22"/>
            <w:b w:val="0"/>
            <w:bCs w:val="0"/>
            <w:i w:val="0"/>
            <w:iCs w:val="0"/>
          </w:rPr>
          <w:t>دیوان خاموش شیرازی‏</w:t>
        </w:r>
        <w:r>
          <w:tab/>
        </w:r>
        <w:r>
          <w:fldChar w:fldCharType="begin"/>
        </w:r>
        <w:r>
          <w:instrText xml:space="preserve">PAGEREF 2188 \h</w:instrText>
        </w:r>
        <w:r>
          <w:fldChar w:fldCharType="end"/>
        </w:r>
      </w:hyperlink>
    </w:p>
    <w:p>
      <w:pPr>
        <w:tabs>
          <w:tab w:val="right" w:leader="dot" w:pos="9062"/>
        </w:tabs>
        <w:ind w:left="440"/>
      </w:pPr>
      <w:hyperlink w:anchor="_Toc2189" w:history="1">
        <w:r>
          <w:rPr>
            <w:rFonts w:ascii="IRNazanin" w:hAnsi="IRNazanin" w:eastAsia="IRNazanin" w:cs="IRNazanin"/>
            <w:color w:val="111111"/>
            <w:sz w:val="22"/>
            <w:szCs w:val="22"/>
            <w:b w:val="0"/>
            <w:bCs w:val="0"/>
            <w:i w:val="0"/>
            <w:iCs w:val="0"/>
          </w:rPr>
          <w:t>1707- دیوان خاموش شیرازی کاشانی أو شعره‏</w:t>
        </w:r>
        <w:r>
          <w:tab/>
        </w:r>
        <w:r>
          <w:fldChar w:fldCharType="begin"/>
        </w:r>
        <w:r>
          <w:instrText xml:space="preserve">PAGEREF 2189 \h</w:instrText>
        </w:r>
        <w:r>
          <w:fldChar w:fldCharType="end"/>
        </w:r>
      </w:hyperlink>
    </w:p>
    <w:p>
      <w:pPr>
        <w:tabs>
          <w:tab w:val="right" w:leader="dot" w:pos="9062"/>
        </w:tabs>
        <w:ind w:left="440"/>
      </w:pPr>
      <w:hyperlink w:anchor="_Toc2190" w:history="1">
        <w:r>
          <w:rPr>
            <w:rFonts w:ascii="IRNazanin" w:hAnsi="IRNazanin" w:eastAsia="IRNazanin" w:cs="IRNazanin"/>
            <w:color w:val="111111"/>
            <w:sz w:val="22"/>
            <w:szCs w:val="22"/>
            <w:b w:val="0"/>
            <w:bCs w:val="0"/>
            <w:i w:val="0"/>
            <w:iCs w:val="0"/>
          </w:rPr>
          <w:t>دیوان خاموش هندی أو شعره‏</w:t>
        </w:r>
        <w:r>
          <w:tab/>
        </w:r>
        <w:r>
          <w:fldChar w:fldCharType="begin"/>
        </w:r>
        <w:r>
          <w:instrText xml:space="preserve">PAGEREF 2190 \h</w:instrText>
        </w:r>
        <w:r>
          <w:fldChar w:fldCharType="end"/>
        </w:r>
      </w:hyperlink>
    </w:p>
    <w:p>
      <w:pPr>
        <w:tabs>
          <w:tab w:val="right" w:leader="dot" w:pos="9062"/>
        </w:tabs>
        <w:ind w:left="440"/>
      </w:pPr>
      <w:hyperlink w:anchor="_Toc2191" w:history="1">
        <w:r>
          <w:rPr>
            <w:rFonts w:ascii="IRNazanin" w:hAnsi="IRNazanin" w:eastAsia="IRNazanin" w:cs="IRNazanin"/>
            <w:color w:val="111111"/>
            <w:sz w:val="22"/>
            <w:szCs w:val="22"/>
            <w:b w:val="0"/>
            <w:bCs w:val="0"/>
            <w:i w:val="0"/>
            <w:iCs w:val="0"/>
          </w:rPr>
          <w:t>1708- دیوان خاموش هندی‏</w:t>
        </w:r>
        <w:r>
          <w:tab/>
        </w:r>
        <w:r>
          <w:fldChar w:fldCharType="begin"/>
        </w:r>
        <w:r>
          <w:instrText xml:space="preserve">PAGEREF 2191 \h</w:instrText>
        </w:r>
        <w:r>
          <w:fldChar w:fldCharType="end"/>
        </w:r>
      </w:hyperlink>
    </w:p>
    <w:p>
      <w:pPr>
        <w:tabs>
          <w:tab w:val="right" w:leader="dot" w:pos="9062"/>
        </w:tabs>
        <w:ind w:left="440"/>
      </w:pPr>
      <w:hyperlink w:anchor="_Toc2192" w:history="1">
        <w:r>
          <w:rPr>
            <w:rFonts w:ascii="IRNazanin" w:hAnsi="IRNazanin" w:eastAsia="IRNazanin" w:cs="IRNazanin"/>
            <w:color w:val="111111"/>
            <w:sz w:val="22"/>
            <w:szCs w:val="22"/>
            <w:b w:val="0"/>
            <w:bCs w:val="0"/>
            <w:i w:val="0"/>
            <w:iCs w:val="0"/>
          </w:rPr>
          <w:t>1709- دیوان خاموش یزدی الحائری الطویریجی، النجفی‏</w:t>
        </w:r>
        <w:r>
          <w:tab/>
        </w:r>
        <w:r>
          <w:fldChar w:fldCharType="begin"/>
        </w:r>
        <w:r>
          <w:instrText xml:space="preserve">PAGEREF 2192 \h</w:instrText>
        </w:r>
        <w:r>
          <w:fldChar w:fldCharType="end"/>
        </w:r>
      </w:hyperlink>
    </w:p>
    <w:p>
      <w:pPr>
        <w:tabs>
          <w:tab w:val="right" w:leader="dot" w:pos="9062"/>
        </w:tabs>
        <w:ind w:left="440"/>
      </w:pPr>
      <w:hyperlink w:anchor="_Toc2193" w:history="1">
        <w:r>
          <w:rPr>
            <w:rFonts w:ascii="IRNazanin" w:hAnsi="IRNazanin" w:eastAsia="IRNazanin" w:cs="IRNazanin"/>
            <w:color w:val="111111"/>
            <w:sz w:val="22"/>
            <w:szCs w:val="22"/>
            <w:b w:val="0"/>
            <w:bCs w:val="0"/>
            <w:i w:val="0"/>
            <w:iCs w:val="0"/>
          </w:rPr>
          <w:t>1710- دیوان خاموش یزدی أو شعره‏</w:t>
        </w:r>
        <w:r>
          <w:tab/>
        </w:r>
        <w:r>
          <w:fldChar w:fldCharType="begin"/>
        </w:r>
        <w:r>
          <w:instrText xml:space="preserve">PAGEREF 2193 \h</w:instrText>
        </w:r>
        <w:r>
          <w:fldChar w:fldCharType="end"/>
        </w:r>
      </w:hyperlink>
    </w:p>
    <w:p>
      <w:pPr>
        <w:tabs>
          <w:tab w:val="right" w:leader="dot" w:pos="9062"/>
        </w:tabs>
        <w:ind w:left="440"/>
      </w:pPr>
      <w:hyperlink w:anchor="_Toc2194" w:history="1">
        <w:r>
          <w:rPr>
            <w:rFonts w:ascii="IRNazanin" w:hAnsi="IRNazanin" w:eastAsia="IRNazanin" w:cs="IRNazanin"/>
            <w:color w:val="111111"/>
            <w:sz w:val="22"/>
            <w:szCs w:val="22"/>
            <w:b w:val="0"/>
            <w:bCs w:val="0"/>
            <w:i w:val="0"/>
            <w:iCs w:val="0"/>
          </w:rPr>
          <w:t>1711- دیوان خاموشی‏</w:t>
        </w:r>
        <w:r>
          <w:tab/>
        </w:r>
        <w:r>
          <w:fldChar w:fldCharType="begin"/>
        </w:r>
        <w:r>
          <w:instrText xml:space="preserve">PAGEREF 2194 \h</w:instrText>
        </w:r>
        <w:r>
          <w:fldChar w:fldCharType="end"/>
        </w:r>
      </w:hyperlink>
    </w:p>
    <w:p>
      <w:pPr>
        <w:tabs>
          <w:tab w:val="right" w:leader="dot" w:pos="9062"/>
        </w:tabs>
        <w:ind w:left="440"/>
      </w:pPr>
      <w:hyperlink w:anchor="_Toc2195" w:history="1">
        <w:r>
          <w:rPr>
            <w:rFonts w:ascii="IRNazanin" w:hAnsi="IRNazanin" w:eastAsia="IRNazanin" w:cs="IRNazanin"/>
            <w:color w:val="111111"/>
            <w:sz w:val="22"/>
            <w:szCs w:val="22"/>
            <w:b w:val="0"/>
            <w:bCs w:val="0"/>
            <w:i w:val="0"/>
            <w:iCs w:val="0"/>
          </w:rPr>
          <w:t>دیوان خان‏</w:t>
        </w:r>
        <w:r>
          <w:tab/>
        </w:r>
        <w:r>
          <w:fldChar w:fldCharType="begin"/>
        </w:r>
        <w:r>
          <w:instrText xml:space="preserve">PAGEREF 2195 \h</w:instrText>
        </w:r>
        <w:r>
          <w:fldChar w:fldCharType="end"/>
        </w:r>
      </w:hyperlink>
    </w:p>
    <w:p>
      <w:pPr>
        <w:tabs>
          <w:tab w:val="right" w:leader="dot" w:pos="9062"/>
        </w:tabs>
        <w:ind w:left="440"/>
      </w:pPr>
      <w:hyperlink w:anchor="_Toc2196" w:history="1">
        <w:r>
          <w:rPr>
            <w:rFonts w:ascii="IRNazanin" w:hAnsi="IRNazanin" w:eastAsia="IRNazanin" w:cs="IRNazanin"/>
            <w:color w:val="111111"/>
            <w:sz w:val="22"/>
            <w:szCs w:val="22"/>
            <w:b w:val="0"/>
            <w:bCs w:val="0"/>
            <w:i w:val="0"/>
            <w:iCs w:val="0"/>
          </w:rPr>
          <w:t>1712- دیوان خان أحمد پادشاه أو شعره‏</w:t>
        </w:r>
        <w:r>
          <w:tab/>
        </w:r>
        <w:r>
          <w:fldChar w:fldCharType="begin"/>
        </w:r>
        <w:r>
          <w:instrText xml:space="preserve">PAGEREF 2196 \h</w:instrText>
        </w:r>
        <w:r>
          <w:fldChar w:fldCharType="end"/>
        </w:r>
      </w:hyperlink>
    </w:p>
    <w:p>
      <w:pPr>
        <w:tabs>
          <w:tab w:val="right" w:leader="dot" w:pos="9062"/>
        </w:tabs>
        <w:ind w:left="440"/>
      </w:pPr>
      <w:hyperlink w:anchor="_Toc2197" w:history="1">
        <w:r>
          <w:rPr>
            <w:rFonts w:ascii="IRNazanin" w:hAnsi="IRNazanin" w:eastAsia="IRNazanin" w:cs="IRNazanin"/>
            <w:color w:val="111111"/>
            <w:sz w:val="22"/>
            <w:szCs w:val="22"/>
            <w:b w:val="0"/>
            <w:bCs w:val="0"/>
            <w:i w:val="0"/>
            <w:iCs w:val="0"/>
          </w:rPr>
          <w:t>دیوان خان حاتم‏</w:t>
        </w:r>
        <w:r>
          <w:tab/>
        </w:r>
        <w:r>
          <w:fldChar w:fldCharType="begin"/>
        </w:r>
        <w:r>
          <w:instrText xml:space="preserve">PAGEREF 2197 \h</w:instrText>
        </w:r>
        <w:r>
          <w:fldChar w:fldCharType="end"/>
        </w:r>
      </w:hyperlink>
    </w:p>
    <w:p>
      <w:pPr>
        <w:tabs>
          <w:tab w:val="right" w:leader="dot" w:pos="9062"/>
        </w:tabs>
        <w:ind w:left="440"/>
      </w:pPr>
      <w:hyperlink w:anchor="_Toc2198" w:history="1">
        <w:r>
          <w:rPr>
            <w:rFonts w:ascii="IRNazanin" w:hAnsi="IRNazanin" w:eastAsia="IRNazanin" w:cs="IRNazanin"/>
            <w:color w:val="111111"/>
            <w:sz w:val="22"/>
            <w:szCs w:val="22"/>
            <w:b w:val="0"/>
            <w:bCs w:val="0"/>
            <w:i w:val="0"/>
            <w:iCs w:val="0"/>
          </w:rPr>
          <w:t>دیوان خان خانان‏</w:t>
        </w:r>
        <w:r>
          <w:tab/>
        </w:r>
        <w:r>
          <w:fldChar w:fldCharType="begin"/>
        </w:r>
        <w:r>
          <w:instrText xml:space="preserve">PAGEREF 2198 \h</w:instrText>
        </w:r>
        <w:r>
          <w:fldChar w:fldCharType="end"/>
        </w:r>
      </w:hyperlink>
    </w:p>
    <w:p>
      <w:pPr>
        <w:tabs>
          <w:tab w:val="right" w:leader="dot" w:pos="9062"/>
        </w:tabs>
        <w:ind w:left="440"/>
      </w:pPr>
      <w:hyperlink w:anchor="_Toc2199" w:history="1">
        <w:r>
          <w:rPr>
            <w:rFonts w:ascii="IRNazanin" w:hAnsi="IRNazanin" w:eastAsia="IRNazanin" w:cs="IRNazanin"/>
            <w:color w:val="111111"/>
            <w:sz w:val="22"/>
            <w:szCs w:val="22"/>
            <w:b w:val="0"/>
            <w:bCs w:val="0"/>
            <w:i w:val="0"/>
            <w:iCs w:val="0"/>
          </w:rPr>
          <w:t>دیوان خان سهامی‏</w:t>
        </w:r>
        <w:r>
          <w:tab/>
        </w:r>
        <w:r>
          <w:fldChar w:fldCharType="begin"/>
        </w:r>
        <w:r>
          <w:instrText xml:space="preserve">PAGEREF 2199 \h</w:instrText>
        </w:r>
        <w:r>
          <w:fldChar w:fldCharType="end"/>
        </w:r>
      </w:hyperlink>
    </w:p>
    <w:p>
      <w:pPr>
        <w:tabs>
          <w:tab w:val="right" w:leader="dot" w:pos="9062"/>
        </w:tabs>
        <w:ind w:left="440"/>
      </w:pPr>
      <w:hyperlink w:anchor="_Toc2200" w:history="1">
        <w:r>
          <w:rPr>
            <w:rFonts w:ascii="IRNazanin" w:hAnsi="IRNazanin" w:eastAsia="IRNazanin" w:cs="IRNazanin"/>
            <w:color w:val="111111"/>
            <w:sz w:val="22"/>
            <w:szCs w:val="22"/>
            <w:b w:val="0"/>
            <w:bCs w:val="0"/>
            <w:i w:val="0"/>
            <w:iCs w:val="0"/>
          </w:rPr>
          <w:t>1713- دیوان خان عالم‏</w:t>
        </w:r>
        <w:r>
          <w:tab/>
        </w:r>
        <w:r>
          <w:fldChar w:fldCharType="begin"/>
        </w:r>
        <w:r>
          <w:instrText xml:space="preserve">PAGEREF 2200 \h</w:instrText>
        </w:r>
        <w:r>
          <w:fldChar w:fldCharType="end"/>
        </w:r>
      </w:hyperlink>
    </w:p>
    <w:p>
      <w:pPr>
        <w:tabs>
          <w:tab w:val="right" w:leader="dot" w:pos="9062"/>
        </w:tabs>
        <w:ind w:left="440"/>
      </w:pPr>
      <w:hyperlink w:anchor="_Toc2201" w:history="1">
        <w:r>
          <w:rPr>
            <w:rFonts w:ascii="IRNazanin" w:hAnsi="IRNazanin" w:eastAsia="IRNazanin" w:cs="IRNazanin"/>
            <w:color w:val="111111"/>
            <w:sz w:val="22"/>
            <w:szCs w:val="22"/>
            <w:b w:val="0"/>
            <w:bCs w:val="0"/>
            <w:i w:val="0"/>
            <w:iCs w:val="0"/>
          </w:rPr>
          <w:t>دیوان خانلار خان‏</w:t>
        </w:r>
        <w:r>
          <w:tab/>
        </w:r>
        <w:r>
          <w:fldChar w:fldCharType="begin"/>
        </w:r>
        <w:r>
          <w:instrText xml:space="preserve">PAGEREF 2201 \h</w:instrText>
        </w:r>
        <w:r>
          <w:fldChar w:fldCharType="end"/>
        </w:r>
      </w:hyperlink>
    </w:p>
    <w:p>
      <w:pPr>
        <w:tabs>
          <w:tab w:val="right" w:leader="dot" w:pos="9062"/>
        </w:tabs>
        <w:ind w:left="440"/>
      </w:pPr>
      <w:hyperlink w:anchor="_Toc2202" w:history="1">
        <w:r>
          <w:rPr>
            <w:rFonts w:ascii="IRNazanin" w:hAnsi="IRNazanin" w:eastAsia="IRNazanin" w:cs="IRNazanin"/>
            <w:color w:val="111111"/>
            <w:sz w:val="22"/>
            <w:szCs w:val="22"/>
            <w:b w:val="0"/>
            <w:bCs w:val="0"/>
            <w:i w:val="0"/>
            <w:iCs w:val="0"/>
          </w:rPr>
          <w:t>1714- دیوان خان میرزا أو شعره‏</w:t>
        </w:r>
        <w:r>
          <w:tab/>
        </w:r>
        <w:r>
          <w:fldChar w:fldCharType="begin"/>
        </w:r>
        <w:r>
          <w:instrText xml:space="preserve">PAGEREF 2202 \h</w:instrText>
        </w:r>
        <w:r>
          <w:fldChar w:fldCharType="end"/>
        </w:r>
      </w:hyperlink>
    </w:p>
    <w:p>
      <w:pPr>
        <w:tabs>
          <w:tab w:val="right" w:leader="dot" w:pos="9062"/>
        </w:tabs>
        <w:ind w:left="440"/>
      </w:pPr>
      <w:hyperlink w:anchor="_Toc2203" w:history="1">
        <w:r>
          <w:rPr>
            <w:rFonts w:ascii="IRNazanin" w:hAnsi="IRNazanin" w:eastAsia="IRNazanin" w:cs="IRNazanin"/>
            <w:color w:val="111111"/>
            <w:sz w:val="22"/>
            <w:szCs w:val="22"/>
            <w:b w:val="0"/>
            <w:bCs w:val="0"/>
            <w:i w:val="0"/>
            <w:iCs w:val="0"/>
          </w:rPr>
          <w:t>1715- دیوان خاور دنبلی‏</w:t>
        </w:r>
        <w:r>
          <w:tab/>
        </w:r>
        <w:r>
          <w:fldChar w:fldCharType="begin"/>
        </w:r>
        <w:r>
          <w:instrText xml:space="preserve">PAGEREF 2203 \h</w:instrText>
        </w:r>
        <w:r>
          <w:fldChar w:fldCharType="end"/>
        </w:r>
      </w:hyperlink>
    </w:p>
    <w:p>
      <w:pPr>
        <w:tabs>
          <w:tab w:val="right" w:leader="dot" w:pos="9062"/>
        </w:tabs>
        <w:ind w:left="440"/>
      </w:pPr>
      <w:hyperlink w:anchor="_Toc2204" w:history="1">
        <w:r>
          <w:rPr>
            <w:rFonts w:ascii="IRNazanin" w:hAnsi="IRNazanin" w:eastAsia="IRNazanin" w:cs="IRNazanin"/>
            <w:color w:val="111111"/>
            <w:sz w:val="22"/>
            <w:szCs w:val="22"/>
            <w:b w:val="0"/>
            <w:bCs w:val="0"/>
            <w:i w:val="0"/>
            <w:iCs w:val="0"/>
          </w:rPr>
          <w:t>1716- دیوان خاور قاجار</w:t>
        </w:r>
        <w:r>
          <w:tab/>
        </w:r>
        <w:r>
          <w:fldChar w:fldCharType="begin"/>
        </w:r>
        <w:r>
          <w:instrText xml:space="preserve">PAGEREF 2204 \h</w:instrText>
        </w:r>
        <w:r>
          <w:fldChar w:fldCharType="end"/>
        </w:r>
      </w:hyperlink>
    </w:p>
    <w:p>
      <w:pPr>
        <w:tabs>
          <w:tab w:val="right" w:leader="dot" w:pos="9062"/>
        </w:tabs>
        <w:ind w:left="440"/>
      </w:pPr>
      <w:hyperlink w:anchor="_Toc2205" w:history="1">
        <w:r>
          <w:rPr>
            <w:rFonts w:ascii="IRNazanin" w:hAnsi="IRNazanin" w:eastAsia="IRNazanin" w:cs="IRNazanin"/>
            <w:color w:val="111111"/>
            <w:sz w:val="22"/>
            <w:szCs w:val="22"/>
            <w:b w:val="0"/>
            <w:bCs w:val="0"/>
            <w:i w:val="0"/>
            <w:iCs w:val="0"/>
          </w:rPr>
          <w:t>1717- دیوان خاور کابلی أو شعره‏</w:t>
        </w:r>
        <w:r>
          <w:tab/>
        </w:r>
        <w:r>
          <w:fldChar w:fldCharType="begin"/>
        </w:r>
        <w:r>
          <w:instrText xml:space="preserve">PAGEREF 2205 \h</w:instrText>
        </w:r>
        <w:r>
          <w:fldChar w:fldCharType="end"/>
        </w:r>
      </w:hyperlink>
    </w:p>
    <w:p>
      <w:pPr>
        <w:tabs>
          <w:tab w:val="right" w:leader="dot" w:pos="9062"/>
        </w:tabs>
        <w:ind w:left="440"/>
      </w:pPr>
      <w:hyperlink w:anchor="_Toc2206" w:history="1">
        <w:r>
          <w:rPr>
            <w:rFonts w:ascii="IRNazanin" w:hAnsi="IRNazanin" w:eastAsia="IRNazanin" w:cs="IRNazanin"/>
            <w:color w:val="111111"/>
            <w:sz w:val="22"/>
            <w:szCs w:val="22"/>
            <w:b w:val="0"/>
            <w:bCs w:val="0"/>
            <w:i w:val="0"/>
            <w:iCs w:val="0"/>
          </w:rPr>
          <w:t>1718- دیوان خاور کردشتی‏</w:t>
        </w:r>
        <w:r>
          <w:tab/>
        </w:r>
        <w:r>
          <w:fldChar w:fldCharType="begin"/>
        </w:r>
        <w:r>
          <w:instrText xml:space="preserve">PAGEREF 2206 \h</w:instrText>
        </w:r>
        <w:r>
          <w:fldChar w:fldCharType="end"/>
        </w:r>
      </w:hyperlink>
    </w:p>
    <w:p>
      <w:pPr>
        <w:tabs>
          <w:tab w:val="right" w:leader="dot" w:pos="9062"/>
        </w:tabs>
        <w:ind w:left="440"/>
      </w:pPr>
      <w:hyperlink w:anchor="_Toc2207" w:history="1">
        <w:r>
          <w:rPr>
            <w:rFonts w:ascii="IRNazanin" w:hAnsi="IRNazanin" w:eastAsia="IRNazanin" w:cs="IRNazanin"/>
            <w:color w:val="111111"/>
            <w:sz w:val="22"/>
            <w:szCs w:val="22"/>
            <w:b w:val="0"/>
            <w:bCs w:val="0"/>
            <w:i w:val="0"/>
            <w:iCs w:val="0"/>
          </w:rPr>
          <w:t>دیوان خاوری أبیوردی‏</w:t>
        </w:r>
        <w:r>
          <w:tab/>
        </w:r>
        <w:r>
          <w:fldChar w:fldCharType="begin"/>
        </w:r>
        <w:r>
          <w:instrText xml:space="preserve">PAGEREF 2207 \h</w:instrText>
        </w:r>
        <w:r>
          <w:fldChar w:fldCharType="end"/>
        </w:r>
      </w:hyperlink>
    </w:p>
    <w:p>
      <w:pPr>
        <w:tabs>
          <w:tab w:val="right" w:leader="dot" w:pos="9062"/>
        </w:tabs>
        <w:ind w:left="440"/>
      </w:pPr>
      <w:hyperlink w:anchor="_Toc2208" w:history="1">
        <w:r>
          <w:rPr>
            <w:rFonts w:ascii="IRNazanin" w:hAnsi="IRNazanin" w:eastAsia="IRNazanin" w:cs="IRNazanin"/>
            <w:color w:val="111111"/>
            <w:sz w:val="22"/>
            <w:szCs w:val="22"/>
            <w:b w:val="0"/>
            <w:bCs w:val="0"/>
            <w:i w:val="0"/>
            <w:iCs w:val="0"/>
          </w:rPr>
          <w:t>دیوان خاوری أبیوردی‏</w:t>
        </w:r>
        <w:r>
          <w:tab/>
        </w:r>
        <w:r>
          <w:fldChar w:fldCharType="begin"/>
        </w:r>
        <w:r>
          <w:instrText xml:space="preserve">PAGEREF 2208 \h</w:instrText>
        </w:r>
        <w:r>
          <w:fldChar w:fldCharType="end"/>
        </w:r>
      </w:hyperlink>
    </w:p>
    <w:p>
      <w:pPr>
        <w:tabs>
          <w:tab w:val="right" w:leader="dot" w:pos="9062"/>
        </w:tabs>
        <w:ind w:left="440"/>
      </w:pPr>
      <w:hyperlink w:anchor="_Toc2209" w:history="1">
        <w:r>
          <w:rPr>
            <w:rFonts w:ascii="IRNazanin" w:hAnsi="IRNazanin" w:eastAsia="IRNazanin" w:cs="IRNazanin"/>
            <w:color w:val="111111"/>
            <w:sz w:val="22"/>
            <w:szCs w:val="22"/>
            <w:b w:val="0"/>
            <w:bCs w:val="0"/>
            <w:i w:val="0"/>
            <w:iCs w:val="0"/>
          </w:rPr>
          <w:t>1719- دیوان خاوری تبریزی‏</w:t>
        </w:r>
        <w:r>
          <w:tab/>
        </w:r>
        <w:r>
          <w:fldChar w:fldCharType="begin"/>
        </w:r>
        <w:r>
          <w:instrText xml:space="preserve">PAGEREF 2209 \h</w:instrText>
        </w:r>
        <w:r>
          <w:fldChar w:fldCharType="end"/>
        </w:r>
      </w:hyperlink>
    </w:p>
    <w:p>
      <w:pPr>
        <w:tabs>
          <w:tab w:val="right" w:leader="dot" w:pos="9062"/>
        </w:tabs>
        <w:ind w:left="440"/>
      </w:pPr>
      <w:hyperlink w:anchor="_Toc2210" w:history="1">
        <w:r>
          <w:rPr>
            <w:rFonts w:ascii="IRNazanin" w:hAnsi="IRNazanin" w:eastAsia="IRNazanin" w:cs="IRNazanin"/>
            <w:color w:val="111111"/>
            <w:sz w:val="22"/>
            <w:szCs w:val="22"/>
            <w:b w:val="0"/>
            <w:bCs w:val="0"/>
            <w:i w:val="0"/>
            <w:iCs w:val="0"/>
          </w:rPr>
          <w:t>1720- دیوان خاوری تونی أو شعره‏</w:t>
        </w:r>
        <w:r>
          <w:tab/>
        </w:r>
        <w:r>
          <w:fldChar w:fldCharType="begin"/>
        </w:r>
        <w:r>
          <w:instrText xml:space="preserve">PAGEREF 2210 \h</w:instrText>
        </w:r>
        <w:r>
          <w:fldChar w:fldCharType="end"/>
        </w:r>
      </w:hyperlink>
    </w:p>
    <w:p>
      <w:pPr>
        <w:tabs>
          <w:tab w:val="right" w:leader="dot" w:pos="9062"/>
        </w:tabs>
        <w:ind w:left="440"/>
      </w:pPr>
      <w:hyperlink w:anchor="_Toc2211" w:history="1">
        <w:r>
          <w:rPr>
            <w:rFonts w:ascii="IRNazanin" w:hAnsi="IRNazanin" w:eastAsia="IRNazanin" w:cs="IRNazanin"/>
            <w:color w:val="111111"/>
            <w:sz w:val="22"/>
            <w:szCs w:val="22"/>
            <w:b w:val="0"/>
            <w:bCs w:val="0"/>
            <w:i w:val="0"/>
            <w:iCs w:val="0"/>
          </w:rPr>
          <w:t>1721- دیوان خاوری سمرقندی أو شعره‏</w:t>
        </w:r>
        <w:r>
          <w:tab/>
        </w:r>
        <w:r>
          <w:fldChar w:fldCharType="begin"/>
        </w:r>
        <w:r>
          <w:instrText xml:space="preserve">PAGEREF 2211 \h</w:instrText>
        </w:r>
        <w:r>
          <w:fldChar w:fldCharType="end"/>
        </w:r>
      </w:hyperlink>
    </w:p>
    <w:p>
      <w:pPr>
        <w:tabs>
          <w:tab w:val="right" w:leader="dot" w:pos="9062"/>
        </w:tabs>
        <w:ind w:left="440"/>
      </w:pPr>
      <w:hyperlink w:anchor="_Toc2212" w:history="1">
        <w:r>
          <w:rPr>
            <w:rFonts w:ascii="IRNazanin" w:hAnsi="IRNazanin" w:eastAsia="IRNazanin" w:cs="IRNazanin"/>
            <w:color w:val="111111"/>
            <w:sz w:val="22"/>
            <w:szCs w:val="22"/>
            <w:b w:val="0"/>
            <w:bCs w:val="0"/>
            <w:i w:val="0"/>
            <w:iCs w:val="0"/>
          </w:rPr>
          <w:t>1722- دیوان خاوری سمنانی أو شعره‏</w:t>
        </w:r>
        <w:r>
          <w:tab/>
        </w:r>
        <w:r>
          <w:fldChar w:fldCharType="begin"/>
        </w:r>
        <w:r>
          <w:instrText xml:space="preserve">PAGEREF 2212 \h</w:instrText>
        </w:r>
        <w:r>
          <w:fldChar w:fldCharType="end"/>
        </w:r>
      </w:hyperlink>
    </w:p>
    <w:p>
      <w:pPr>
        <w:tabs>
          <w:tab w:val="right" w:leader="dot" w:pos="9062"/>
        </w:tabs>
        <w:ind w:left="440"/>
      </w:pPr>
      <w:hyperlink w:anchor="_Toc2213" w:history="1">
        <w:r>
          <w:rPr>
            <w:rFonts w:ascii="IRNazanin" w:hAnsi="IRNazanin" w:eastAsia="IRNazanin" w:cs="IRNazanin"/>
            <w:color w:val="111111"/>
            <w:sz w:val="22"/>
            <w:szCs w:val="22"/>
            <w:b w:val="0"/>
            <w:bCs w:val="0"/>
            <w:i w:val="0"/>
            <w:iCs w:val="0"/>
          </w:rPr>
          <w:t>1723- دیوان خاوری شیرازی‏</w:t>
        </w:r>
        <w:r>
          <w:tab/>
        </w:r>
        <w:r>
          <w:fldChar w:fldCharType="begin"/>
        </w:r>
        <w:r>
          <w:instrText xml:space="preserve">PAGEREF 2213 \h</w:instrText>
        </w:r>
        <w:r>
          <w:fldChar w:fldCharType="end"/>
        </w:r>
      </w:hyperlink>
    </w:p>
    <w:p>
      <w:pPr>
        <w:tabs>
          <w:tab w:val="right" w:leader="dot" w:pos="9062"/>
        </w:tabs>
        <w:ind w:left="440"/>
      </w:pPr>
      <w:hyperlink w:anchor="_Toc2214" w:history="1">
        <w:r>
          <w:rPr>
            <w:rFonts w:ascii="IRNazanin" w:hAnsi="IRNazanin" w:eastAsia="IRNazanin" w:cs="IRNazanin"/>
            <w:color w:val="111111"/>
            <w:sz w:val="22"/>
            <w:szCs w:val="22"/>
            <w:b w:val="0"/>
            <w:bCs w:val="0"/>
            <w:i w:val="0"/>
            <w:iCs w:val="0"/>
          </w:rPr>
          <w:t>دیوان خاوری لاهیجی‏</w:t>
        </w:r>
        <w:r>
          <w:tab/>
        </w:r>
        <w:r>
          <w:fldChar w:fldCharType="begin"/>
        </w:r>
        <w:r>
          <w:instrText xml:space="preserve">PAGEREF 2214 \h</w:instrText>
        </w:r>
        <w:r>
          <w:fldChar w:fldCharType="end"/>
        </w:r>
      </w:hyperlink>
    </w:p>
    <w:p>
      <w:pPr>
        <w:tabs>
          <w:tab w:val="right" w:leader="dot" w:pos="9062"/>
        </w:tabs>
        <w:ind w:left="440"/>
      </w:pPr>
      <w:hyperlink w:anchor="_Toc2215" w:history="1">
        <w:r>
          <w:rPr>
            <w:rFonts w:ascii="IRNazanin" w:hAnsi="IRNazanin" w:eastAsia="IRNazanin" w:cs="IRNazanin"/>
            <w:color w:val="111111"/>
            <w:sz w:val="22"/>
            <w:szCs w:val="22"/>
            <w:b w:val="0"/>
            <w:bCs w:val="0"/>
            <w:i w:val="0"/>
            <w:iCs w:val="0"/>
          </w:rPr>
          <w:t>1724- دیوان خاوری هروی أو شعره‏</w:t>
        </w:r>
        <w:r>
          <w:tab/>
        </w:r>
        <w:r>
          <w:fldChar w:fldCharType="begin"/>
        </w:r>
        <w:r>
          <w:instrText xml:space="preserve">PAGEREF 2215 \h</w:instrText>
        </w:r>
        <w:r>
          <w:fldChar w:fldCharType="end"/>
        </w:r>
      </w:hyperlink>
    </w:p>
    <w:p>
      <w:pPr>
        <w:tabs>
          <w:tab w:val="right" w:leader="dot" w:pos="9062"/>
        </w:tabs>
        <w:ind w:left="440"/>
      </w:pPr>
      <w:hyperlink w:anchor="_Toc2216" w:history="1">
        <w:r>
          <w:rPr>
            <w:rFonts w:ascii="IRNazanin" w:hAnsi="IRNazanin" w:eastAsia="IRNazanin" w:cs="IRNazanin"/>
            <w:color w:val="111111"/>
            <w:sz w:val="22"/>
            <w:szCs w:val="22"/>
            <w:b w:val="0"/>
            <w:bCs w:val="0"/>
            <w:i w:val="0"/>
            <w:iCs w:val="0"/>
          </w:rPr>
          <w:t>دیوان خواجه خاوند</w:t>
        </w:r>
        <w:r>
          <w:tab/>
        </w:r>
        <w:r>
          <w:fldChar w:fldCharType="begin"/>
        </w:r>
        <w:r>
          <w:instrText xml:space="preserve">PAGEREF 2216 \h</w:instrText>
        </w:r>
        <w:r>
          <w:fldChar w:fldCharType="end"/>
        </w:r>
      </w:hyperlink>
    </w:p>
    <w:p>
      <w:pPr>
        <w:tabs>
          <w:tab w:val="right" w:leader="dot" w:pos="9062"/>
        </w:tabs>
        <w:ind w:left="440"/>
      </w:pPr>
      <w:hyperlink w:anchor="_Toc2217" w:history="1">
        <w:r>
          <w:rPr>
            <w:rFonts w:ascii="IRNazanin" w:hAnsi="IRNazanin" w:eastAsia="IRNazanin" w:cs="IRNazanin"/>
            <w:color w:val="111111"/>
            <w:sz w:val="22"/>
            <w:szCs w:val="22"/>
            <w:b w:val="0"/>
            <w:bCs w:val="0"/>
            <w:i w:val="0"/>
            <w:iCs w:val="0"/>
          </w:rPr>
          <w:t>1725- دیوان السید خاوندشاه‏</w:t>
        </w:r>
        <w:r>
          <w:tab/>
        </w:r>
        <w:r>
          <w:fldChar w:fldCharType="begin"/>
        </w:r>
        <w:r>
          <w:instrText xml:space="preserve">PAGEREF 2217 \h</w:instrText>
        </w:r>
        <w:r>
          <w:fldChar w:fldCharType="end"/>
        </w:r>
      </w:hyperlink>
    </w:p>
    <w:p>
      <w:pPr>
        <w:tabs>
          <w:tab w:val="right" w:leader="dot" w:pos="9062"/>
        </w:tabs>
        <w:ind w:left="440"/>
      </w:pPr>
      <w:hyperlink w:anchor="_Toc2218" w:history="1">
        <w:r>
          <w:rPr>
            <w:rFonts w:ascii="IRNazanin" w:hAnsi="IRNazanin" w:eastAsia="IRNazanin" w:cs="IRNazanin"/>
            <w:color w:val="111111"/>
            <w:sz w:val="22"/>
            <w:szCs w:val="22"/>
            <w:b w:val="0"/>
            <w:bCs w:val="0"/>
            <w:i w:val="0"/>
            <w:iCs w:val="0"/>
          </w:rPr>
          <w:t>دیوان حکیم خباز</w:t>
        </w:r>
        <w:r>
          <w:tab/>
        </w:r>
        <w:r>
          <w:fldChar w:fldCharType="begin"/>
        </w:r>
        <w:r>
          <w:instrText xml:space="preserve">PAGEREF 2218 \h</w:instrText>
        </w:r>
        <w:r>
          <w:fldChar w:fldCharType="end"/>
        </w:r>
      </w:hyperlink>
    </w:p>
    <w:p>
      <w:pPr>
        <w:tabs>
          <w:tab w:val="right" w:leader="dot" w:pos="9062"/>
        </w:tabs>
        <w:ind w:left="440"/>
      </w:pPr>
      <w:hyperlink w:anchor="_Toc2219" w:history="1">
        <w:r>
          <w:rPr>
            <w:rFonts w:ascii="IRNazanin" w:hAnsi="IRNazanin" w:eastAsia="IRNazanin" w:cs="IRNazanin"/>
            <w:color w:val="111111"/>
            <w:sz w:val="22"/>
            <w:szCs w:val="22"/>
            <w:b w:val="0"/>
            <w:bCs w:val="0"/>
            <w:i w:val="0"/>
            <w:iCs w:val="0"/>
          </w:rPr>
          <w:t>1726- دیوان الخباز البلدی‏</w:t>
        </w:r>
        <w:r>
          <w:tab/>
        </w:r>
        <w:r>
          <w:fldChar w:fldCharType="begin"/>
        </w:r>
        <w:r>
          <w:instrText xml:space="preserve">PAGEREF 2219 \h</w:instrText>
        </w:r>
        <w:r>
          <w:fldChar w:fldCharType="end"/>
        </w:r>
      </w:hyperlink>
    </w:p>
    <w:p>
      <w:pPr>
        <w:tabs>
          <w:tab w:val="right" w:leader="dot" w:pos="9062"/>
        </w:tabs>
        <w:ind w:left="440"/>
      </w:pPr>
      <w:hyperlink w:anchor="_Toc2220" w:history="1">
        <w:r>
          <w:rPr>
            <w:rFonts w:ascii="IRNazanin" w:hAnsi="IRNazanin" w:eastAsia="IRNazanin" w:cs="IRNazanin"/>
            <w:color w:val="111111"/>
            <w:sz w:val="22"/>
            <w:szCs w:val="22"/>
            <w:b w:val="0"/>
            <w:bCs w:val="0"/>
            <w:i w:val="0"/>
            <w:iCs w:val="0"/>
          </w:rPr>
          <w:t>1727- دیوان خبازی نیشابوری أو شعره‏</w:t>
        </w:r>
        <w:r>
          <w:tab/>
        </w:r>
        <w:r>
          <w:fldChar w:fldCharType="begin"/>
        </w:r>
        <w:r>
          <w:instrText xml:space="preserve">PAGEREF 2220 \h</w:instrText>
        </w:r>
        <w:r>
          <w:fldChar w:fldCharType="end"/>
        </w:r>
      </w:hyperlink>
    </w:p>
    <w:p>
      <w:pPr>
        <w:tabs>
          <w:tab w:val="right" w:leader="dot" w:pos="9062"/>
        </w:tabs>
        <w:ind w:left="440"/>
      </w:pPr>
      <w:hyperlink w:anchor="_Toc2221" w:history="1">
        <w:r>
          <w:rPr>
            <w:rFonts w:ascii="IRNazanin" w:hAnsi="IRNazanin" w:eastAsia="IRNazanin" w:cs="IRNazanin"/>
            <w:color w:val="111111"/>
            <w:sz w:val="22"/>
            <w:szCs w:val="22"/>
            <w:b w:val="0"/>
            <w:bCs w:val="0"/>
            <w:i w:val="0"/>
            <w:iCs w:val="0"/>
          </w:rPr>
          <w:t>1728- دیوان الخبزارزی‏</w:t>
        </w:r>
        <w:r>
          <w:tab/>
        </w:r>
        <w:r>
          <w:fldChar w:fldCharType="begin"/>
        </w:r>
        <w:r>
          <w:instrText xml:space="preserve">PAGEREF 2221 \h</w:instrText>
        </w:r>
        <w:r>
          <w:fldChar w:fldCharType="end"/>
        </w:r>
      </w:hyperlink>
    </w:p>
    <w:p>
      <w:pPr>
        <w:tabs>
          <w:tab w:val="right" w:leader="dot" w:pos="9062"/>
        </w:tabs>
        <w:ind w:left="440"/>
      </w:pPr>
      <w:hyperlink w:anchor="_Toc2222" w:history="1">
        <w:r>
          <w:rPr>
            <w:rFonts w:ascii="IRNazanin" w:hAnsi="IRNazanin" w:eastAsia="IRNazanin" w:cs="IRNazanin"/>
            <w:color w:val="111111"/>
            <w:sz w:val="22"/>
            <w:szCs w:val="22"/>
            <w:b w:val="0"/>
            <w:bCs w:val="0"/>
            <w:i w:val="0"/>
            <w:iCs w:val="0"/>
          </w:rPr>
          <w:t>1729- دیوان خبوشانی‏</w:t>
        </w:r>
        <w:r>
          <w:tab/>
        </w:r>
        <w:r>
          <w:fldChar w:fldCharType="begin"/>
        </w:r>
        <w:r>
          <w:instrText xml:space="preserve">PAGEREF 2222 \h</w:instrText>
        </w:r>
        <w:r>
          <w:fldChar w:fldCharType="end"/>
        </w:r>
      </w:hyperlink>
    </w:p>
    <w:p>
      <w:pPr>
        <w:tabs>
          <w:tab w:val="right" w:leader="dot" w:pos="9062"/>
        </w:tabs>
        <w:ind w:left="440"/>
      </w:pPr>
      <w:hyperlink w:anchor="_Toc2223" w:history="1">
        <w:r>
          <w:rPr>
            <w:rFonts w:ascii="IRNazanin" w:hAnsi="IRNazanin" w:eastAsia="IRNazanin" w:cs="IRNazanin"/>
            <w:color w:val="111111"/>
            <w:sz w:val="22"/>
            <w:szCs w:val="22"/>
            <w:b w:val="0"/>
            <w:bCs w:val="0"/>
            <w:i w:val="0"/>
            <w:iCs w:val="0"/>
          </w:rPr>
          <w:t>دیوان ختائی‏</w:t>
        </w:r>
        <w:r>
          <w:tab/>
        </w:r>
        <w:r>
          <w:fldChar w:fldCharType="begin"/>
        </w:r>
        <w:r>
          <w:instrText xml:space="preserve">PAGEREF 2223 \h</w:instrText>
        </w:r>
        <w:r>
          <w:fldChar w:fldCharType="end"/>
        </w:r>
      </w:hyperlink>
    </w:p>
    <w:p>
      <w:pPr>
        <w:tabs>
          <w:tab w:val="right" w:leader="dot" w:pos="9062"/>
        </w:tabs>
        <w:ind w:left="440"/>
      </w:pPr>
      <w:hyperlink w:anchor="_Toc2224" w:history="1">
        <w:r>
          <w:rPr>
            <w:rFonts w:ascii="IRNazanin" w:hAnsi="IRNazanin" w:eastAsia="IRNazanin" w:cs="IRNazanin"/>
            <w:color w:val="111111"/>
            <w:sz w:val="22"/>
            <w:szCs w:val="22"/>
            <w:b w:val="0"/>
            <w:bCs w:val="0"/>
            <w:i w:val="0"/>
            <w:iCs w:val="0"/>
          </w:rPr>
          <w:t>دیوان ختمی‏</w:t>
        </w:r>
        <w:r>
          <w:tab/>
        </w:r>
        <w:r>
          <w:fldChar w:fldCharType="begin"/>
        </w:r>
        <w:r>
          <w:instrText xml:space="preserve">PAGEREF 2224 \h</w:instrText>
        </w:r>
        <w:r>
          <w:fldChar w:fldCharType="end"/>
        </w:r>
      </w:hyperlink>
    </w:p>
    <w:p>
      <w:pPr>
        <w:tabs>
          <w:tab w:val="right" w:leader="dot" w:pos="9062"/>
        </w:tabs>
        <w:ind w:left="440"/>
      </w:pPr>
      <w:hyperlink w:anchor="_Toc2225" w:history="1">
        <w:r>
          <w:rPr>
            <w:rFonts w:ascii="IRNazanin" w:hAnsi="IRNazanin" w:eastAsia="IRNazanin" w:cs="IRNazanin"/>
            <w:color w:val="111111"/>
            <w:sz w:val="22"/>
            <w:szCs w:val="22"/>
            <w:b w:val="0"/>
            <w:bCs w:val="0"/>
            <w:i w:val="0"/>
            <w:iCs w:val="0"/>
          </w:rPr>
          <w:t>1730- دیوان خجسته أصفهانی أو شعره‏</w:t>
        </w:r>
        <w:r>
          <w:tab/>
        </w:r>
        <w:r>
          <w:fldChar w:fldCharType="begin"/>
        </w:r>
        <w:r>
          <w:instrText xml:space="preserve">PAGEREF 2225 \h</w:instrText>
        </w:r>
        <w:r>
          <w:fldChar w:fldCharType="end"/>
        </w:r>
      </w:hyperlink>
    </w:p>
    <w:p>
      <w:pPr>
        <w:tabs>
          <w:tab w:val="right" w:leader="dot" w:pos="9062"/>
        </w:tabs>
        <w:ind w:left="440"/>
      </w:pPr>
      <w:hyperlink w:anchor="_Toc2226" w:history="1">
        <w:r>
          <w:rPr>
            <w:rFonts w:ascii="IRNazanin" w:hAnsi="IRNazanin" w:eastAsia="IRNazanin" w:cs="IRNazanin"/>
            <w:color w:val="111111"/>
            <w:sz w:val="22"/>
            <w:szCs w:val="22"/>
            <w:b w:val="0"/>
            <w:bCs w:val="0"/>
            <w:i w:val="0"/>
            <w:iCs w:val="0"/>
          </w:rPr>
          <w:t>1731- دیوان خجسته کاشانی‏</w:t>
        </w:r>
        <w:r>
          <w:tab/>
        </w:r>
        <w:r>
          <w:fldChar w:fldCharType="begin"/>
        </w:r>
        <w:r>
          <w:instrText xml:space="preserve">PAGEREF 2226 \h</w:instrText>
        </w:r>
        <w:r>
          <w:fldChar w:fldCharType="end"/>
        </w:r>
      </w:hyperlink>
    </w:p>
    <w:p>
      <w:pPr>
        <w:tabs>
          <w:tab w:val="right" w:leader="dot" w:pos="9062"/>
        </w:tabs>
        <w:ind w:left="440"/>
      </w:pPr>
      <w:hyperlink w:anchor="_Toc2227" w:history="1">
        <w:r>
          <w:rPr>
            <w:rFonts w:ascii="IRNazanin" w:hAnsi="IRNazanin" w:eastAsia="IRNazanin" w:cs="IRNazanin"/>
            <w:color w:val="111111"/>
            <w:sz w:val="22"/>
            <w:szCs w:val="22"/>
            <w:b w:val="0"/>
            <w:bCs w:val="0"/>
            <w:i w:val="0"/>
            <w:iCs w:val="0"/>
          </w:rPr>
          <w:t>دیوان خجندی‏</w:t>
        </w:r>
        <w:r>
          <w:tab/>
        </w:r>
        <w:r>
          <w:fldChar w:fldCharType="begin"/>
        </w:r>
        <w:r>
          <w:instrText xml:space="preserve">PAGEREF 2227 \h</w:instrText>
        </w:r>
        <w:r>
          <w:fldChar w:fldCharType="end"/>
        </w:r>
      </w:hyperlink>
    </w:p>
    <w:p>
      <w:pPr>
        <w:tabs>
          <w:tab w:val="right" w:leader="dot" w:pos="9062"/>
        </w:tabs>
        <w:ind w:left="440"/>
      </w:pPr>
      <w:hyperlink w:anchor="_Toc2228" w:history="1">
        <w:r>
          <w:rPr>
            <w:rFonts w:ascii="IRNazanin" w:hAnsi="IRNazanin" w:eastAsia="IRNazanin" w:cs="IRNazanin"/>
            <w:color w:val="111111"/>
            <w:sz w:val="22"/>
            <w:szCs w:val="22"/>
            <w:b w:val="0"/>
            <w:bCs w:val="0"/>
            <w:i w:val="0"/>
            <w:iCs w:val="0"/>
          </w:rPr>
          <w:t>1732- دیوان خجندی‏</w:t>
        </w:r>
        <w:r>
          <w:tab/>
        </w:r>
        <w:r>
          <w:fldChar w:fldCharType="begin"/>
        </w:r>
        <w:r>
          <w:instrText xml:space="preserve">PAGEREF 2228 \h</w:instrText>
        </w:r>
        <w:r>
          <w:fldChar w:fldCharType="end"/>
        </w:r>
      </w:hyperlink>
    </w:p>
    <w:p>
      <w:pPr>
        <w:tabs>
          <w:tab w:val="right" w:leader="dot" w:pos="9062"/>
        </w:tabs>
        <w:ind w:left="440"/>
      </w:pPr>
      <w:hyperlink w:anchor="_Toc2229" w:history="1">
        <w:r>
          <w:rPr>
            <w:rFonts w:ascii="IRNazanin" w:hAnsi="IRNazanin" w:eastAsia="IRNazanin" w:cs="IRNazanin"/>
            <w:color w:val="111111"/>
            <w:sz w:val="22"/>
            <w:szCs w:val="22"/>
            <w:b w:val="0"/>
            <w:bCs w:val="0"/>
            <w:i w:val="0"/>
            <w:iCs w:val="0"/>
          </w:rPr>
          <w:t>دیوان خدیجة داغستانی‏</w:t>
        </w:r>
        <w:r>
          <w:tab/>
        </w:r>
        <w:r>
          <w:fldChar w:fldCharType="begin"/>
        </w:r>
        <w:r>
          <w:instrText xml:space="preserve">PAGEREF 2229 \h</w:instrText>
        </w:r>
        <w:r>
          <w:fldChar w:fldCharType="end"/>
        </w:r>
      </w:hyperlink>
    </w:p>
    <w:p>
      <w:pPr>
        <w:tabs>
          <w:tab w:val="right" w:leader="dot" w:pos="9062"/>
        </w:tabs>
        <w:ind w:left="440"/>
      </w:pPr>
      <w:hyperlink w:anchor="_Toc2230" w:history="1">
        <w:r>
          <w:rPr>
            <w:rFonts w:ascii="IRNazanin" w:hAnsi="IRNazanin" w:eastAsia="IRNazanin" w:cs="IRNazanin"/>
            <w:color w:val="111111"/>
            <w:sz w:val="22"/>
            <w:szCs w:val="22"/>
            <w:b w:val="0"/>
            <w:bCs w:val="0"/>
            <w:i w:val="0"/>
            <w:iCs w:val="0"/>
          </w:rPr>
          <w:t>1733- دیوان خراسانی خان أو شعره‏</w:t>
        </w:r>
        <w:r>
          <w:tab/>
        </w:r>
        <w:r>
          <w:fldChar w:fldCharType="begin"/>
        </w:r>
        <w:r>
          <w:instrText xml:space="preserve">PAGEREF 2230 \h</w:instrText>
        </w:r>
        <w:r>
          <w:fldChar w:fldCharType="end"/>
        </w:r>
      </w:hyperlink>
    </w:p>
    <w:p>
      <w:pPr>
        <w:tabs>
          <w:tab w:val="right" w:leader="dot" w:pos="9062"/>
        </w:tabs>
        <w:ind w:left="440"/>
      </w:pPr>
      <w:hyperlink w:anchor="_Toc2231" w:history="1">
        <w:r>
          <w:rPr>
            <w:rFonts w:ascii="IRNazanin" w:hAnsi="IRNazanin" w:eastAsia="IRNazanin" w:cs="IRNazanin"/>
            <w:color w:val="111111"/>
            <w:sz w:val="22"/>
            <w:szCs w:val="22"/>
            <w:b w:val="0"/>
            <w:bCs w:val="0"/>
            <w:i w:val="0"/>
            <w:iCs w:val="0"/>
          </w:rPr>
          <w:t>1734- دیوان خرامی تبریزی أو شعره‏</w:t>
        </w:r>
        <w:r>
          <w:tab/>
        </w:r>
        <w:r>
          <w:fldChar w:fldCharType="begin"/>
        </w:r>
        <w:r>
          <w:instrText xml:space="preserve">PAGEREF 2231 \h</w:instrText>
        </w:r>
        <w:r>
          <w:fldChar w:fldCharType="end"/>
        </w:r>
      </w:hyperlink>
    </w:p>
    <w:p>
      <w:pPr>
        <w:tabs>
          <w:tab w:val="right" w:leader="dot" w:pos="9062"/>
        </w:tabs>
        <w:ind w:left="440"/>
      </w:pPr>
      <w:hyperlink w:anchor="_Toc2232" w:history="1">
        <w:r>
          <w:rPr>
            <w:rFonts w:ascii="IRNazanin" w:hAnsi="IRNazanin" w:eastAsia="IRNazanin" w:cs="IRNazanin"/>
            <w:color w:val="111111"/>
            <w:sz w:val="22"/>
            <w:szCs w:val="22"/>
            <w:b w:val="0"/>
            <w:bCs w:val="0"/>
            <w:i w:val="0"/>
            <w:iCs w:val="0"/>
          </w:rPr>
          <w:t>1735- دیوان خرد نوری‏</w:t>
        </w:r>
        <w:r>
          <w:tab/>
        </w:r>
        <w:r>
          <w:fldChar w:fldCharType="begin"/>
        </w:r>
        <w:r>
          <w:instrText xml:space="preserve">PAGEREF 2232 \h</w:instrText>
        </w:r>
        <w:r>
          <w:fldChar w:fldCharType="end"/>
        </w:r>
      </w:hyperlink>
    </w:p>
    <w:p>
      <w:pPr>
        <w:tabs>
          <w:tab w:val="right" w:leader="dot" w:pos="9062"/>
        </w:tabs>
        <w:ind w:left="440"/>
      </w:pPr>
      <w:hyperlink w:anchor="_Toc2233" w:history="1">
        <w:r>
          <w:rPr>
            <w:rFonts w:ascii="IRNazanin" w:hAnsi="IRNazanin" w:eastAsia="IRNazanin" w:cs="IRNazanin"/>
            <w:color w:val="111111"/>
            <w:sz w:val="22"/>
            <w:szCs w:val="22"/>
            <w:b w:val="0"/>
            <w:bCs w:val="0"/>
            <w:i w:val="0"/>
            <w:iCs w:val="0"/>
          </w:rPr>
          <w:t>1736- دیوان خرد بلخی أو شعره‏</w:t>
        </w:r>
        <w:r>
          <w:tab/>
        </w:r>
        <w:r>
          <w:fldChar w:fldCharType="begin"/>
        </w:r>
        <w:r>
          <w:instrText xml:space="preserve">PAGEREF 2233 \h</w:instrText>
        </w:r>
        <w:r>
          <w:fldChar w:fldCharType="end"/>
        </w:r>
      </w:hyperlink>
    </w:p>
    <w:p>
      <w:pPr>
        <w:tabs>
          <w:tab w:val="right" w:leader="dot" w:pos="9062"/>
        </w:tabs>
        <w:ind w:left="440"/>
      </w:pPr>
      <w:hyperlink w:anchor="_Toc2234" w:history="1">
        <w:r>
          <w:rPr>
            <w:rFonts w:ascii="IRNazanin" w:hAnsi="IRNazanin" w:eastAsia="IRNazanin" w:cs="IRNazanin"/>
            <w:color w:val="111111"/>
            <w:sz w:val="22"/>
            <w:szCs w:val="22"/>
            <w:b w:val="0"/>
            <w:bCs w:val="0"/>
            <w:i w:val="0"/>
            <w:iCs w:val="0"/>
          </w:rPr>
          <w:t>دیوان قاضی خرد سمرقندی‏</w:t>
        </w:r>
        <w:r>
          <w:tab/>
        </w:r>
        <w:r>
          <w:fldChar w:fldCharType="begin"/>
        </w:r>
        <w:r>
          <w:instrText xml:space="preserve">PAGEREF 2234 \h</w:instrText>
        </w:r>
        <w:r>
          <w:fldChar w:fldCharType="end"/>
        </w:r>
      </w:hyperlink>
    </w:p>
    <w:p>
      <w:pPr>
        <w:tabs>
          <w:tab w:val="right" w:leader="dot" w:pos="9062"/>
        </w:tabs>
        <w:ind w:left="440"/>
      </w:pPr>
      <w:hyperlink w:anchor="_Toc2235" w:history="1">
        <w:r>
          <w:rPr>
            <w:rFonts w:ascii="IRNazanin" w:hAnsi="IRNazanin" w:eastAsia="IRNazanin" w:cs="IRNazanin"/>
            <w:color w:val="111111"/>
            <w:sz w:val="22"/>
            <w:szCs w:val="22"/>
            <w:b w:val="0"/>
            <w:bCs w:val="0"/>
            <w:i w:val="0"/>
            <w:iCs w:val="0"/>
          </w:rPr>
          <w:t>1737- دیوان خرد لاهوری أو شعره‏</w:t>
        </w:r>
        <w:r>
          <w:tab/>
        </w:r>
        <w:r>
          <w:fldChar w:fldCharType="begin"/>
        </w:r>
        <w:r>
          <w:instrText xml:space="preserve">PAGEREF 2235 \h</w:instrText>
        </w:r>
        <w:r>
          <w:fldChar w:fldCharType="end"/>
        </w:r>
      </w:hyperlink>
    </w:p>
    <w:p>
      <w:pPr>
        <w:tabs>
          <w:tab w:val="right" w:leader="dot" w:pos="9062"/>
        </w:tabs>
        <w:ind w:left="440"/>
      </w:pPr>
      <w:hyperlink w:anchor="_Toc2236" w:history="1">
        <w:r>
          <w:rPr>
            <w:rFonts w:ascii="IRNazanin" w:hAnsi="IRNazanin" w:eastAsia="IRNazanin" w:cs="IRNazanin"/>
            <w:color w:val="111111"/>
            <w:sz w:val="22"/>
            <w:szCs w:val="22"/>
            <w:b w:val="0"/>
            <w:bCs w:val="0"/>
            <w:i w:val="0"/>
            <w:iCs w:val="0"/>
          </w:rPr>
          <w:t>دیوان خرده کاشانی‏</w:t>
        </w:r>
        <w:r>
          <w:tab/>
        </w:r>
        <w:r>
          <w:fldChar w:fldCharType="begin"/>
        </w:r>
        <w:r>
          <w:instrText xml:space="preserve">PAGEREF 2236 \h</w:instrText>
        </w:r>
        <w:r>
          <w:fldChar w:fldCharType="end"/>
        </w:r>
      </w:hyperlink>
    </w:p>
    <w:p>
      <w:pPr>
        <w:tabs>
          <w:tab w:val="right" w:leader="dot" w:pos="9062"/>
        </w:tabs>
        <w:ind w:left="440"/>
      </w:pPr>
      <w:hyperlink w:anchor="_Toc2237" w:history="1">
        <w:r>
          <w:rPr>
            <w:rFonts w:ascii="IRNazanin" w:hAnsi="IRNazanin" w:eastAsia="IRNazanin" w:cs="IRNazanin"/>
            <w:color w:val="111111"/>
            <w:sz w:val="22"/>
            <w:szCs w:val="22"/>
            <w:b w:val="0"/>
            <w:bCs w:val="0"/>
            <w:i w:val="0"/>
            <w:iCs w:val="0"/>
          </w:rPr>
          <w:t>دیوان الخرسان‏</w:t>
        </w:r>
        <w:r>
          <w:tab/>
        </w:r>
        <w:r>
          <w:fldChar w:fldCharType="begin"/>
        </w:r>
        <w:r>
          <w:instrText xml:space="preserve">PAGEREF 2237 \h</w:instrText>
        </w:r>
        <w:r>
          <w:fldChar w:fldCharType="end"/>
        </w:r>
      </w:hyperlink>
    </w:p>
    <w:p>
      <w:pPr>
        <w:tabs>
          <w:tab w:val="right" w:leader="dot" w:pos="9062"/>
        </w:tabs>
        <w:ind w:left="440"/>
      </w:pPr>
      <w:hyperlink w:anchor="_Toc2238" w:history="1">
        <w:r>
          <w:rPr>
            <w:rFonts w:ascii="IRNazanin" w:hAnsi="IRNazanin" w:eastAsia="IRNazanin" w:cs="IRNazanin"/>
            <w:color w:val="111111"/>
            <w:sz w:val="22"/>
            <w:szCs w:val="22"/>
            <w:b w:val="0"/>
            <w:bCs w:val="0"/>
            <w:i w:val="0"/>
            <w:iCs w:val="0"/>
          </w:rPr>
          <w:t>1738- دیوان خرسندی کازرونی‏</w:t>
        </w:r>
        <w:r>
          <w:tab/>
        </w:r>
        <w:r>
          <w:fldChar w:fldCharType="begin"/>
        </w:r>
        <w:r>
          <w:instrText xml:space="preserve">PAGEREF 2238 \h</w:instrText>
        </w:r>
        <w:r>
          <w:fldChar w:fldCharType="end"/>
        </w:r>
      </w:hyperlink>
    </w:p>
    <w:p>
      <w:pPr>
        <w:tabs>
          <w:tab w:val="right" w:leader="dot" w:pos="9062"/>
        </w:tabs>
        <w:ind w:left="440"/>
      </w:pPr>
      <w:hyperlink w:anchor="_Toc2239" w:history="1">
        <w:r>
          <w:rPr>
            <w:rFonts w:ascii="IRNazanin" w:hAnsi="IRNazanin" w:eastAsia="IRNazanin" w:cs="IRNazanin"/>
            <w:color w:val="111111"/>
            <w:sz w:val="22"/>
            <w:szCs w:val="22"/>
            <w:b w:val="0"/>
            <w:bCs w:val="0"/>
            <w:i w:val="0"/>
            <w:iCs w:val="0"/>
          </w:rPr>
          <w:t>دیوان خرقانی‏</w:t>
        </w:r>
        <w:r>
          <w:tab/>
        </w:r>
        <w:r>
          <w:fldChar w:fldCharType="begin"/>
        </w:r>
        <w:r>
          <w:instrText xml:space="preserve">PAGEREF 2239 \h</w:instrText>
        </w:r>
        <w:r>
          <w:fldChar w:fldCharType="end"/>
        </w:r>
      </w:hyperlink>
    </w:p>
    <w:p>
      <w:pPr>
        <w:tabs>
          <w:tab w:val="right" w:leader="dot" w:pos="9062"/>
        </w:tabs>
        <w:ind w:left="440"/>
      </w:pPr>
      <w:hyperlink w:anchor="_Toc2240" w:history="1">
        <w:r>
          <w:rPr>
            <w:rFonts w:ascii="IRNazanin" w:hAnsi="IRNazanin" w:eastAsia="IRNazanin" w:cs="IRNazanin"/>
            <w:color w:val="111111"/>
            <w:sz w:val="22"/>
            <w:szCs w:val="22"/>
            <w:b w:val="0"/>
            <w:bCs w:val="0"/>
            <w:i w:val="0"/>
            <w:iCs w:val="0"/>
          </w:rPr>
          <w:t>1739- دیوان خرم أصفهانی‏</w:t>
        </w:r>
        <w:r>
          <w:tab/>
        </w:r>
        <w:r>
          <w:fldChar w:fldCharType="begin"/>
        </w:r>
        <w:r>
          <w:instrText xml:space="preserve">PAGEREF 2240 \h</w:instrText>
        </w:r>
        <w:r>
          <w:fldChar w:fldCharType="end"/>
        </w:r>
      </w:hyperlink>
    </w:p>
    <w:p>
      <w:pPr>
        <w:tabs>
          <w:tab w:val="right" w:leader="dot" w:pos="9062"/>
        </w:tabs>
        <w:ind w:left="440"/>
      </w:pPr>
      <w:hyperlink w:anchor="_Toc2241" w:history="1">
        <w:r>
          <w:rPr>
            <w:rFonts w:ascii="IRNazanin" w:hAnsi="IRNazanin" w:eastAsia="IRNazanin" w:cs="IRNazanin"/>
            <w:color w:val="111111"/>
            <w:sz w:val="22"/>
            <w:szCs w:val="22"/>
            <w:b w:val="0"/>
            <w:bCs w:val="0"/>
            <w:i w:val="0"/>
            <w:iCs w:val="0"/>
          </w:rPr>
          <w:t>1740- دیوان خرم شیرازی أو شعره‏</w:t>
        </w:r>
        <w:r>
          <w:tab/>
        </w:r>
        <w:r>
          <w:fldChar w:fldCharType="begin"/>
        </w:r>
        <w:r>
          <w:instrText xml:space="preserve">PAGEREF 2241 \h</w:instrText>
        </w:r>
        <w:r>
          <w:fldChar w:fldCharType="end"/>
        </w:r>
      </w:hyperlink>
    </w:p>
    <w:p>
      <w:pPr>
        <w:tabs>
          <w:tab w:val="right" w:leader="dot" w:pos="9062"/>
        </w:tabs>
        <w:ind w:left="440"/>
      </w:pPr>
      <w:hyperlink w:anchor="_Toc2242" w:history="1">
        <w:r>
          <w:rPr>
            <w:rFonts w:ascii="IRNazanin" w:hAnsi="IRNazanin" w:eastAsia="IRNazanin" w:cs="IRNazanin"/>
            <w:color w:val="111111"/>
            <w:sz w:val="22"/>
            <w:szCs w:val="22"/>
            <w:b w:val="0"/>
            <w:bCs w:val="0"/>
            <w:i w:val="0"/>
            <w:iCs w:val="0"/>
          </w:rPr>
          <w:t>1741- دیوان خرم شیرازی‏</w:t>
        </w:r>
        <w:r>
          <w:tab/>
        </w:r>
        <w:r>
          <w:fldChar w:fldCharType="begin"/>
        </w:r>
        <w:r>
          <w:instrText xml:space="preserve">PAGEREF 2242 \h</w:instrText>
        </w:r>
        <w:r>
          <w:fldChar w:fldCharType="end"/>
        </w:r>
      </w:hyperlink>
    </w:p>
    <w:p>
      <w:pPr>
        <w:tabs>
          <w:tab w:val="right" w:leader="dot" w:pos="9062"/>
        </w:tabs>
        <w:ind w:left="440"/>
      </w:pPr>
      <w:hyperlink w:anchor="_Toc2243" w:history="1">
        <w:r>
          <w:rPr>
            <w:rFonts w:ascii="IRNazanin" w:hAnsi="IRNazanin" w:eastAsia="IRNazanin" w:cs="IRNazanin"/>
            <w:color w:val="111111"/>
            <w:sz w:val="22"/>
            <w:szCs w:val="22"/>
            <w:b w:val="0"/>
            <w:bCs w:val="0"/>
            <w:i w:val="0"/>
            <w:iCs w:val="0"/>
          </w:rPr>
          <w:t>1742- دیوان خرم شیرازی‏</w:t>
        </w:r>
        <w:r>
          <w:tab/>
        </w:r>
        <w:r>
          <w:fldChar w:fldCharType="begin"/>
        </w:r>
        <w:r>
          <w:instrText xml:space="preserve">PAGEREF 2243 \h</w:instrText>
        </w:r>
        <w:r>
          <w:fldChar w:fldCharType="end"/>
        </w:r>
      </w:hyperlink>
    </w:p>
    <w:p>
      <w:pPr>
        <w:tabs>
          <w:tab w:val="right" w:leader="dot" w:pos="9062"/>
        </w:tabs>
        <w:ind w:left="440"/>
      </w:pPr>
      <w:hyperlink w:anchor="_Toc2244" w:history="1">
        <w:r>
          <w:rPr>
            <w:rFonts w:ascii="IRNazanin" w:hAnsi="IRNazanin" w:eastAsia="IRNazanin" w:cs="IRNazanin"/>
            <w:color w:val="111111"/>
            <w:sz w:val="22"/>
            <w:szCs w:val="22"/>
            <w:b w:val="0"/>
            <w:bCs w:val="0"/>
            <w:i w:val="0"/>
            <w:iCs w:val="0"/>
          </w:rPr>
          <w:t>1743- دیوان خرم کردشتی القراچه‏داغی‏</w:t>
        </w:r>
        <w:r>
          <w:tab/>
        </w:r>
        <w:r>
          <w:fldChar w:fldCharType="begin"/>
        </w:r>
        <w:r>
          <w:instrText xml:space="preserve">PAGEREF 2244 \h</w:instrText>
        </w:r>
        <w:r>
          <w:fldChar w:fldCharType="end"/>
        </w:r>
      </w:hyperlink>
    </w:p>
    <w:p>
      <w:pPr>
        <w:tabs>
          <w:tab w:val="right" w:leader="dot" w:pos="9062"/>
        </w:tabs>
        <w:ind w:left="440"/>
      </w:pPr>
      <w:hyperlink w:anchor="_Toc2245" w:history="1">
        <w:r>
          <w:rPr>
            <w:rFonts w:ascii="IRNazanin" w:hAnsi="IRNazanin" w:eastAsia="IRNazanin" w:cs="IRNazanin"/>
            <w:color w:val="111111"/>
            <w:sz w:val="22"/>
            <w:szCs w:val="22"/>
            <w:b w:val="0"/>
            <w:bCs w:val="0"/>
            <w:i w:val="0"/>
            <w:iCs w:val="0"/>
          </w:rPr>
          <w:t>1744- دیوان خرم مازندرانی زانوسی‏</w:t>
        </w:r>
        <w:r>
          <w:tab/>
        </w:r>
        <w:r>
          <w:fldChar w:fldCharType="begin"/>
        </w:r>
        <w:r>
          <w:instrText xml:space="preserve">PAGEREF 2245 \h</w:instrText>
        </w:r>
        <w:r>
          <w:fldChar w:fldCharType="end"/>
        </w:r>
      </w:hyperlink>
    </w:p>
    <w:p>
      <w:pPr>
        <w:tabs>
          <w:tab w:val="right" w:leader="dot" w:pos="9062"/>
        </w:tabs>
        <w:ind w:left="440"/>
      </w:pPr>
      <w:hyperlink w:anchor="_Toc2246" w:history="1">
        <w:r>
          <w:rPr>
            <w:rFonts w:ascii="IRNazanin" w:hAnsi="IRNazanin" w:eastAsia="IRNazanin" w:cs="IRNazanin"/>
            <w:color w:val="111111"/>
            <w:sz w:val="22"/>
            <w:szCs w:val="22"/>
            <w:b w:val="0"/>
            <w:bCs w:val="0"/>
            <w:i w:val="0"/>
            <w:iCs w:val="0"/>
          </w:rPr>
          <w:t>1745- دیوان خرم مشهدی أو شعره‏</w:t>
        </w:r>
        <w:r>
          <w:tab/>
        </w:r>
        <w:r>
          <w:fldChar w:fldCharType="begin"/>
        </w:r>
        <w:r>
          <w:instrText xml:space="preserve">PAGEREF 2246 \h</w:instrText>
        </w:r>
        <w:r>
          <w:fldChar w:fldCharType="end"/>
        </w:r>
      </w:hyperlink>
    </w:p>
    <w:p>
      <w:pPr>
        <w:tabs>
          <w:tab w:val="right" w:leader="dot" w:pos="9062"/>
        </w:tabs>
        <w:ind w:left="440"/>
      </w:pPr>
      <w:hyperlink w:anchor="_Toc2247" w:history="1">
        <w:r>
          <w:rPr>
            <w:rFonts w:ascii="IRNazanin" w:hAnsi="IRNazanin" w:eastAsia="IRNazanin" w:cs="IRNazanin"/>
            <w:color w:val="111111"/>
            <w:sz w:val="22"/>
            <w:szCs w:val="22"/>
            <w:b w:val="0"/>
            <w:bCs w:val="0"/>
            <w:i w:val="0"/>
            <w:iCs w:val="0"/>
          </w:rPr>
          <w:t>1746- دیوان خرمی هروی أو شعره‏</w:t>
        </w:r>
        <w:r>
          <w:tab/>
        </w:r>
        <w:r>
          <w:fldChar w:fldCharType="begin"/>
        </w:r>
        <w:r>
          <w:instrText xml:space="preserve">PAGEREF 2247 \h</w:instrText>
        </w:r>
        <w:r>
          <w:fldChar w:fldCharType="end"/>
        </w:r>
      </w:hyperlink>
    </w:p>
    <w:p>
      <w:pPr>
        <w:tabs>
          <w:tab w:val="right" w:leader="dot" w:pos="9062"/>
        </w:tabs>
        <w:ind w:left="440"/>
      </w:pPr>
      <w:hyperlink w:anchor="_Toc2248" w:history="1">
        <w:r>
          <w:rPr>
            <w:rFonts w:ascii="IRNazanin" w:hAnsi="IRNazanin" w:eastAsia="IRNazanin" w:cs="IRNazanin"/>
            <w:color w:val="111111"/>
            <w:sz w:val="22"/>
            <w:szCs w:val="22"/>
            <w:b w:val="0"/>
            <w:bCs w:val="0"/>
            <w:i w:val="0"/>
            <w:iCs w:val="0"/>
          </w:rPr>
          <w:t>1747- دیوان مولانا خرمی‏</w:t>
        </w:r>
        <w:r>
          <w:tab/>
        </w:r>
        <w:r>
          <w:fldChar w:fldCharType="begin"/>
        </w:r>
        <w:r>
          <w:instrText xml:space="preserve">PAGEREF 2248 \h</w:instrText>
        </w:r>
        <w:r>
          <w:fldChar w:fldCharType="end"/>
        </w:r>
      </w:hyperlink>
    </w:p>
    <w:p>
      <w:pPr>
        <w:tabs>
          <w:tab w:val="right" w:leader="dot" w:pos="9062"/>
        </w:tabs>
        <w:ind w:left="440"/>
      </w:pPr>
      <w:hyperlink w:anchor="_Toc2249" w:history="1">
        <w:r>
          <w:rPr>
            <w:rFonts w:ascii="IRNazanin" w:hAnsi="IRNazanin" w:eastAsia="IRNazanin" w:cs="IRNazanin"/>
            <w:color w:val="111111"/>
            <w:sz w:val="22"/>
            <w:szCs w:val="22"/>
            <w:b w:val="0"/>
            <w:bCs w:val="0"/>
            <w:i w:val="0"/>
            <w:iCs w:val="0"/>
          </w:rPr>
          <w:t>1748- دیوان خروشی تبریزی أو شعره‏</w:t>
        </w:r>
        <w:r>
          <w:tab/>
        </w:r>
        <w:r>
          <w:fldChar w:fldCharType="begin"/>
        </w:r>
        <w:r>
          <w:instrText xml:space="preserve">PAGEREF 2249 \h</w:instrText>
        </w:r>
        <w:r>
          <w:fldChar w:fldCharType="end"/>
        </w:r>
      </w:hyperlink>
    </w:p>
    <w:p>
      <w:pPr>
        <w:tabs>
          <w:tab w:val="right" w:leader="dot" w:pos="9062"/>
        </w:tabs>
        <w:ind w:left="440"/>
      </w:pPr>
      <w:hyperlink w:anchor="_Toc2250" w:history="1">
        <w:r>
          <w:rPr>
            <w:rFonts w:ascii="IRNazanin" w:hAnsi="IRNazanin" w:eastAsia="IRNazanin" w:cs="IRNazanin"/>
            <w:color w:val="111111"/>
            <w:sz w:val="22"/>
            <w:szCs w:val="22"/>
            <w:b w:val="0"/>
            <w:bCs w:val="0"/>
            <w:i w:val="0"/>
            <w:iCs w:val="0"/>
          </w:rPr>
          <w:t>دیوان الخزاعی‏</w:t>
        </w:r>
        <w:r>
          <w:tab/>
        </w:r>
        <w:r>
          <w:fldChar w:fldCharType="begin"/>
        </w:r>
        <w:r>
          <w:instrText xml:space="preserve">PAGEREF 2250 \h</w:instrText>
        </w:r>
        <w:r>
          <w:fldChar w:fldCharType="end"/>
        </w:r>
      </w:hyperlink>
    </w:p>
    <w:p>
      <w:pPr>
        <w:tabs>
          <w:tab w:val="right" w:leader="dot" w:pos="9062"/>
        </w:tabs>
        <w:ind w:left="440"/>
      </w:pPr>
      <w:hyperlink w:anchor="_Toc2251" w:history="1">
        <w:r>
          <w:rPr>
            <w:rFonts w:ascii="IRNazanin" w:hAnsi="IRNazanin" w:eastAsia="IRNazanin" w:cs="IRNazanin"/>
            <w:color w:val="111111"/>
            <w:sz w:val="22"/>
            <w:szCs w:val="22"/>
            <w:b w:val="0"/>
            <w:bCs w:val="0"/>
            <w:i w:val="0"/>
            <w:iCs w:val="0"/>
          </w:rPr>
          <w:t>1749- دیوان مولانا خزانی سمرقندی أو شعره‏</w:t>
        </w:r>
        <w:r>
          <w:tab/>
        </w:r>
        <w:r>
          <w:fldChar w:fldCharType="begin"/>
        </w:r>
        <w:r>
          <w:instrText xml:space="preserve">PAGEREF 2251 \h</w:instrText>
        </w:r>
        <w:r>
          <w:fldChar w:fldCharType="end"/>
        </w:r>
      </w:hyperlink>
    </w:p>
    <w:p>
      <w:pPr>
        <w:tabs>
          <w:tab w:val="right" w:leader="dot" w:pos="9062"/>
        </w:tabs>
        <w:ind w:left="440"/>
      </w:pPr>
      <w:hyperlink w:anchor="_Toc2252" w:history="1">
        <w:r>
          <w:rPr>
            <w:rFonts w:ascii="IRNazanin" w:hAnsi="IRNazanin" w:eastAsia="IRNazanin" w:cs="IRNazanin"/>
            <w:color w:val="111111"/>
            <w:sz w:val="22"/>
            <w:szCs w:val="22"/>
            <w:b w:val="0"/>
            <w:bCs w:val="0"/>
            <w:i w:val="0"/>
            <w:iCs w:val="0"/>
          </w:rPr>
          <w:t>1750- دیوان خزانی قمی أو شعره‏</w:t>
        </w:r>
        <w:r>
          <w:tab/>
        </w:r>
        <w:r>
          <w:fldChar w:fldCharType="begin"/>
        </w:r>
        <w:r>
          <w:instrText xml:space="preserve">PAGEREF 2252 \h</w:instrText>
        </w:r>
        <w:r>
          <w:fldChar w:fldCharType="end"/>
        </w:r>
      </w:hyperlink>
    </w:p>
    <w:p>
      <w:pPr>
        <w:tabs>
          <w:tab w:val="right" w:leader="dot" w:pos="9062"/>
        </w:tabs>
        <w:ind w:left="440"/>
      </w:pPr>
      <w:hyperlink w:anchor="_Toc2253" w:history="1">
        <w:r>
          <w:rPr>
            <w:rFonts w:ascii="IRNazanin" w:hAnsi="IRNazanin" w:eastAsia="IRNazanin" w:cs="IRNazanin"/>
            <w:color w:val="111111"/>
            <w:sz w:val="22"/>
            <w:szCs w:val="22"/>
            <w:b w:val="0"/>
            <w:bCs w:val="0"/>
            <w:i w:val="0"/>
            <w:iCs w:val="0"/>
          </w:rPr>
          <w:t>1751- دیوان خسرو بن معین‏</w:t>
        </w:r>
        <w:r>
          <w:tab/>
        </w:r>
        <w:r>
          <w:fldChar w:fldCharType="begin"/>
        </w:r>
        <w:r>
          <w:instrText xml:space="preserve">PAGEREF 2253 \h</w:instrText>
        </w:r>
        <w:r>
          <w:fldChar w:fldCharType="end"/>
        </w:r>
      </w:hyperlink>
    </w:p>
    <w:p>
      <w:pPr>
        <w:tabs>
          <w:tab w:val="right" w:leader="dot" w:pos="9062"/>
        </w:tabs>
        <w:ind w:left="440"/>
      </w:pPr>
      <w:hyperlink w:anchor="_Toc2254" w:history="1">
        <w:r>
          <w:rPr>
            <w:rFonts w:ascii="IRNazanin" w:hAnsi="IRNazanin" w:eastAsia="IRNazanin" w:cs="IRNazanin"/>
            <w:color w:val="111111"/>
            <w:sz w:val="22"/>
            <w:szCs w:val="22"/>
            <w:b w:val="0"/>
            <w:bCs w:val="0"/>
            <w:i w:val="0"/>
            <w:iCs w:val="0"/>
          </w:rPr>
          <w:t>1752- دیوان الخسروانی‏</w:t>
        </w:r>
        <w:r>
          <w:tab/>
        </w:r>
        <w:r>
          <w:fldChar w:fldCharType="begin"/>
        </w:r>
        <w:r>
          <w:instrText xml:space="preserve">PAGEREF 2254 \h</w:instrText>
        </w:r>
        <w:r>
          <w:fldChar w:fldCharType="end"/>
        </w:r>
      </w:hyperlink>
    </w:p>
    <w:p>
      <w:pPr>
        <w:tabs>
          <w:tab w:val="right" w:leader="dot" w:pos="9062"/>
        </w:tabs>
        <w:ind w:left="440"/>
      </w:pPr>
      <w:hyperlink w:anchor="_Toc2255" w:history="1">
        <w:r>
          <w:rPr>
            <w:rFonts w:ascii="IRNazanin" w:hAnsi="IRNazanin" w:eastAsia="IRNazanin" w:cs="IRNazanin"/>
            <w:color w:val="111111"/>
            <w:sz w:val="22"/>
            <w:szCs w:val="22"/>
            <w:b w:val="0"/>
            <w:bCs w:val="0"/>
            <w:i w:val="0"/>
            <w:iCs w:val="0"/>
          </w:rPr>
          <w:t>1753- دیوان أمیر خسرو دهلوی‏</w:t>
        </w:r>
        <w:r>
          <w:tab/>
        </w:r>
        <w:r>
          <w:fldChar w:fldCharType="begin"/>
        </w:r>
        <w:r>
          <w:instrText xml:space="preserve">PAGEREF 2255 \h</w:instrText>
        </w:r>
        <w:r>
          <w:fldChar w:fldCharType="end"/>
        </w:r>
      </w:hyperlink>
    </w:p>
    <w:p>
      <w:pPr>
        <w:tabs>
          <w:tab w:val="right" w:leader="dot" w:pos="9062"/>
        </w:tabs>
        <w:ind w:left="440"/>
      </w:pPr>
      <w:hyperlink w:anchor="_Toc2256" w:history="1">
        <w:r>
          <w:rPr>
            <w:rFonts w:ascii="IRNazanin" w:hAnsi="IRNazanin" w:eastAsia="IRNazanin" w:cs="IRNazanin"/>
            <w:color w:val="111111"/>
            <w:sz w:val="22"/>
            <w:szCs w:val="22"/>
            <w:b w:val="0"/>
            <w:bCs w:val="0"/>
            <w:i w:val="0"/>
            <w:iCs w:val="0"/>
          </w:rPr>
          <w:t>1754- دیوان خسرو سمرقندی أو شعره‏</w:t>
        </w:r>
        <w:r>
          <w:tab/>
        </w:r>
        <w:r>
          <w:fldChar w:fldCharType="begin"/>
        </w:r>
        <w:r>
          <w:instrText xml:space="preserve">PAGEREF 2256 \h</w:instrText>
        </w:r>
        <w:r>
          <w:fldChar w:fldCharType="end"/>
        </w:r>
      </w:hyperlink>
    </w:p>
    <w:p>
      <w:pPr>
        <w:tabs>
          <w:tab w:val="right" w:leader="dot" w:pos="9062"/>
        </w:tabs>
        <w:ind w:left="440"/>
      </w:pPr>
      <w:hyperlink w:anchor="_Toc2257" w:history="1">
        <w:r>
          <w:rPr>
            <w:rFonts w:ascii="IRNazanin" w:hAnsi="IRNazanin" w:eastAsia="IRNazanin" w:cs="IRNazanin"/>
            <w:color w:val="111111"/>
            <w:sz w:val="22"/>
            <w:szCs w:val="22"/>
            <w:b w:val="0"/>
            <w:bCs w:val="0"/>
            <w:i w:val="0"/>
            <w:iCs w:val="0"/>
          </w:rPr>
          <w:t>1755- دیوان خسرو عراقی أو شعره‏</w:t>
        </w:r>
        <w:r>
          <w:tab/>
        </w:r>
        <w:r>
          <w:fldChar w:fldCharType="begin"/>
        </w:r>
        <w:r>
          <w:instrText xml:space="preserve">PAGEREF 2257 \h</w:instrText>
        </w:r>
        <w:r>
          <w:fldChar w:fldCharType="end"/>
        </w:r>
      </w:hyperlink>
    </w:p>
    <w:p>
      <w:pPr>
        <w:tabs>
          <w:tab w:val="right" w:leader="dot" w:pos="9062"/>
        </w:tabs>
        <w:ind w:left="440"/>
      </w:pPr>
      <w:hyperlink w:anchor="_Toc2258" w:history="1">
        <w:r>
          <w:rPr>
            <w:rFonts w:ascii="IRNazanin" w:hAnsi="IRNazanin" w:eastAsia="IRNazanin" w:cs="IRNazanin"/>
            <w:color w:val="111111"/>
            <w:sz w:val="22"/>
            <w:szCs w:val="22"/>
            <w:b w:val="0"/>
            <w:bCs w:val="0"/>
            <w:i w:val="0"/>
            <w:iCs w:val="0"/>
          </w:rPr>
          <w:t>دیوان خسرو قزوینی أو شعره‏</w:t>
        </w:r>
        <w:r>
          <w:tab/>
        </w:r>
        <w:r>
          <w:fldChar w:fldCharType="begin"/>
        </w:r>
        <w:r>
          <w:instrText xml:space="preserve">PAGEREF 2258 \h</w:instrText>
        </w:r>
        <w:r>
          <w:fldChar w:fldCharType="end"/>
        </w:r>
      </w:hyperlink>
    </w:p>
    <w:p>
      <w:pPr>
        <w:tabs>
          <w:tab w:val="right" w:leader="dot" w:pos="9062"/>
        </w:tabs>
        <w:ind w:left="440"/>
      </w:pPr>
      <w:hyperlink w:anchor="_Toc2259" w:history="1">
        <w:r>
          <w:rPr>
            <w:rFonts w:ascii="IRNazanin" w:hAnsi="IRNazanin" w:eastAsia="IRNazanin" w:cs="IRNazanin"/>
            <w:color w:val="111111"/>
            <w:sz w:val="22"/>
            <w:szCs w:val="22"/>
            <w:b w:val="0"/>
            <w:bCs w:val="0"/>
            <w:i w:val="0"/>
            <w:iCs w:val="0"/>
          </w:rPr>
          <w:t>1756- دیوان خسرو گرجی أو شعره‏</w:t>
        </w:r>
        <w:r>
          <w:tab/>
        </w:r>
        <w:r>
          <w:fldChar w:fldCharType="begin"/>
        </w:r>
        <w:r>
          <w:instrText xml:space="preserve">PAGEREF 2259 \h</w:instrText>
        </w:r>
        <w:r>
          <w:fldChar w:fldCharType="end"/>
        </w:r>
      </w:hyperlink>
    </w:p>
    <w:p>
      <w:pPr>
        <w:tabs>
          <w:tab w:val="right" w:leader="dot" w:pos="9062"/>
        </w:tabs>
        <w:ind w:left="440"/>
      </w:pPr>
      <w:hyperlink w:anchor="_Toc2260" w:history="1">
        <w:r>
          <w:rPr>
            <w:rFonts w:ascii="IRNazanin" w:hAnsi="IRNazanin" w:eastAsia="IRNazanin" w:cs="IRNazanin"/>
            <w:color w:val="111111"/>
            <w:sz w:val="22"/>
            <w:szCs w:val="22"/>
            <w:b w:val="0"/>
            <w:bCs w:val="0"/>
            <w:i w:val="0"/>
            <w:iCs w:val="0"/>
          </w:rPr>
          <w:t>دیوان خسرو یزدی‏</w:t>
        </w:r>
        <w:r>
          <w:tab/>
        </w:r>
        <w:r>
          <w:fldChar w:fldCharType="begin"/>
        </w:r>
        <w:r>
          <w:instrText xml:space="preserve">PAGEREF 2260 \h</w:instrText>
        </w:r>
        <w:r>
          <w:fldChar w:fldCharType="end"/>
        </w:r>
      </w:hyperlink>
    </w:p>
    <w:p>
      <w:pPr>
        <w:tabs>
          <w:tab w:val="right" w:leader="dot" w:pos="9062"/>
        </w:tabs>
        <w:ind w:left="440"/>
      </w:pPr>
      <w:hyperlink w:anchor="_Toc2261" w:history="1">
        <w:r>
          <w:rPr>
            <w:rFonts w:ascii="IRNazanin" w:hAnsi="IRNazanin" w:eastAsia="IRNazanin" w:cs="IRNazanin"/>
            <w:color w:val="111111"/>
            <w:sz w:val="22"/>
            <w:szCs w:val="22"/>
            <w:b w:val="0"/>
            <w:bCs w:val="0"/>
            <w:i w:val="0"/>
            <w:iCs w:val="0"/>
          </w:rPr>
          <w:t>دیوان خسروی بخارائی أو شعره‏</w:t>
        </w:r>
        <w:r>
          <w:tab/>
        </w:r>
        <w:r>
          <w:fldChar w:fldCharType="begin"/>
        </w:r>
        <w:r>
          <w:instrText xml:space="preserve">PAGEREF 2261 \h</w:instrText>
        </w:r>
        <w:r>
          <w:fldChar w:fldCharType="end"/>
        </w:r>
      </w:hyperlink>
    </w:p>
    <w:p>
      <w:pPr>
        <w:tabs>
          <w:tab w:val="right" w:leader="dot" w:pos="9062"/>
        </w:tabs>
        <w:ind w:left="440"/>
      </w:pPr>
      <w:hyperlink w:anchor="_Toc2262" w:history="1">
        <w:r>
          <w:rPr>
            <w:rFonts w:ascii="IRNazanin" w:hAnsi="IRNazanin" w:eastAsia="IRNazanin" w:cs="IRNazanin"/>
            <w:color w:val="111111"/>
            <w:sz w:val="22"/>
            <w:szCs w:val="22"/>
            <w:b w:val="0"/>
            <w:bCs w:val="0"/>
            <w:i w:val="0"/>
            <w:iCs w:val="0"/>
          </w:rPr>
          <w:t>1757- دیوان خسروی سرخسی أو شعره‏</w:t>
        </w:r>
        <w:r>
          <w:tab/>
        </w:r>
        <w:r>
          <w:fldChar w:fldCharType="begin"/>
        </w:r>
        <w:r>
          <w:instrText xml:space="preserve">PAGEREF 2262 \h</w:instrText>
        </w:r>
        <w:r>
          <w:fldChar w:fldCharType="end"/>
        </w:r>
      </w:hyperlink>
    </w:p>
    <w:p>
      <w:pPr>
        <w:tabs>
          <w:tab w:val="right" w:leader="dot" w:pos="9062"/>
        </w:tabs>
        <w:ind w:left="440"/>
      </w:pPr>
      <w:hyperlink w:anchor="_Toc2263" w:history="1">
        <w:r>
          <w:rPr>
            <w:rFonts w:ascii="IRNazanin" w:hAnsi="IRNazanin" w:eastAsia="IRNazanin" w:cs="IRNazanin"/>
            <w:color w:val="111111"/>
            <w:sz w:val="22"/>
            <w:szCs w:val="22"/>
            <w:b w:val="0"/>
            <w:bCs w:val="0"/>
            <w:i w:val="0"/>
            <w:iCs w:val="0"/>
          </w:rPr>
          <w:t>دیوان خسروی سمرقندی‏</w:t>
        </w:r>
        <w:r>
          <w:tab/>
        </w:r>
        <w:r>
          <w:fldChar w:fldCharType="begin"/>
        </w:r>
        <w:r>
          <w:instrText xml:space="preserve">PAGEREF 2263 \h</w:instrText>
        </w:r>
        <w:r>
          <w:fldChar w:fldCharType="end"/>
        </w:r>
      </w:hyperlink>
    </w:p>
    <w:p>
      <w:pPr>
        <w:tabs>
          <w:tab w:val="right" w:leader="dot" w:pos="9062"/>
        </w:tabs>
        <w:ind w:left="440"/>
      </w:pPr>
      <w:hyperlink w:anchor="_Toc2264" w:history="1">
        <w:r>
          <w:rPr>
            <w:rFonts w:ascii="IRNazanin" w:hAnsi="IRNazanin" w:eastAsia="IRNazanin" w:cs="IRNazanin"/>
            <w:color w:val="111111"/>
            <w:sz w:val="22"/>
            <w:szCs w:val="22"/>
            <w:b w:val="0"/>
            <w:bCs w:val="0"/>
            <w:i w:val="0"/>
            <w:iCs w:val="0"/>
          </w:rPr>
          <w:t>دیوان خسروی غزنوی‏</w:t>
        </w:r>
        <w:r>
          <w:tab/>
        </w:r>
        <w:r>
          <w:fldChar w:fldCharType="begin"/>
        </w:r>
        <w:r>
          <w:instrText xml:space="preserve">PAGEREF 2264 \h</w:instrText>
        </w:r>
        <w:r>
          <w:fldChar w:fldCharType="end"/>
        </w:r>
      </w:hyperlink>
    </w:p>
    <w:p>
      <w:pPr>
        <w:tabs>
          <w:tab w:val="right" w:leader="dot" w:pos="9062"/>
        </w:tabs>
        <w:ind w:left="440"/>
      </w:pPr>
      <w:hyperlink w:anchor="_Toc2265" w:history="1">
        <w:r>
          <w:rPr>
            <w:rFonts w:ascii="IRNazanin" w:hAnsi="IRNazanin" w:eastAsia="IRNazanin" w:cs="IRNazanin"/>
            <w:color w:val="111111"/>
            <w:sz w:val="22"/>
            <w:szCs w:val="22"/>
            <w:b w:val="0"/>
            <w:bCs w:val="0"/>
            <w:i w:val="0"/>
            <w:iCs w:val="0"/>
          </w:rPr>
          <w:t>1758- دیوان خسروی قاجار</w:t>
        </w:r>
        <w:r>
          <w:tab/>
        </w:r>
        <w:r>
          <w:fldChar w:fldCharType="begin"/>
        </w:r>
        <w:r>
          <w:instrText xml:space="preserve">PAGEREF 2265 \h</w:instrText>
        </w:r>
        <w:r>
          <w:fldChar w:fldCharType="end"/>
        </w:r>
      </w:hyperlink>
    </w:p>
    <w:p>
      <w:pPr>
        <w:tabs>
          <w:tab w:val="right" w:leader="dot" w:pos="9062"/>
        </w:tabs>
        <w:ind w:left="440"/>
      </w:pPr>
      <w:hyperlink w:anchor="_Toc2266" w:history="1">
        <w:r>
          <w:rPr>
            <w:rFonts w:ascii="IRNazanin" w:hAnsi="IRNazanin" w:eastAsia="IRNazanin" w:cs="IRNazanin"/>
            <w:color w:val="111111"/>
            <w:sz w:val="22"/>
            <w:szCs w:val="22"/>
            <w:b w:val="0"/>
            <w:bCs w:val="0"/>
            <w:i w:val="0"/>
            <w:iCs w:val="0"/>
          </w:rPr>
          <w:t>1759- دیوان خسروی الکرمانشاهی‏</w:t>
        </w:r>
        <w:r>
          <w:tab/>
        </w:r>
        <w:r>
          <w:fldChar w:fldCharType="begin"/>
        </w:r>
        <w:r>
          <w:instrText xml:space="preserve">PAGEREF 2266 \h</w:instrText>
        </w:r>
        <w:r>
          <w:fldChar w:fldCharType="end"/>
        </w:r>
      </w:hyperlink>
    </w:p>
    <w:p>
      <w:pPr>
        <w:tabs>
          <w:tab w:val="right" w:leader="dot" w:pos="9062"/>
        </w:tabs>
        <w:ind w:left="440"/>
      </w:pPr>
      <w:hyperlink w:anchor="_Toc2267" w:history="1">
        <w:r>
          <w:rPr>
            <w:rFonts w:ascii="IRNazanin" w:hAnsi="IRNazanin" w:eastAsia="IRNazanin" w:cs="IRNazanin"/>
            <w:color w:val="111111"/>
            <w:sz w:val="22"/>
            <w:szCs w:val="22"/>
            <w:b w:val="0"/>
            <w:bCs w:val="0"/>
            <w:i w:val="0"/>
            <w:iCs w:val="0"/>
          </w:rPr>
          <w:t>1760- دیوان خسروی گنابادی‏</w:t>
        </w:r>
        <w:r>
          <w:tab/>
        </w:r>
        <w:r>
          <w:fldChar w:fldCharType="begin"/>
        </w:r>
        <w:r>
          <w:instrText xml:space="preserve">PAGEREF 2267 \h</w:instrText>
        </w:r>
        <w:r>
          <w:fldChar w:fldCharType="end"/>
        </w:r>
      </w:hyperlink>
    </w:p>
    <w:p>
      <w:pPr>
        <w:tabs>
          <w:tab w:val="right" w:leader="dot" w:pos="9062"/>
        </w:tabs>
        <w:ind w:left="440"/>
      </w:pPr>
      <w:hyperlink w:anchor="_Toc2268" w:history="1">
        <w:r>
          <w:rPr>
            <w:rFonts w:ascii="IRNazanin" w:hAnsi="IRNazanin" w:eastAsia="IRNazanin" w:cs="IRNazanin"/>
            <w:color w:val="111111"/>
            <w:sz w:val="22"/>
            <w:szCs w:val="22"/>
            <w:b w:val="0"/>
            <w:bCs w:val="0"/>
            <w:i w:val="0"/>
            <w:iCs w:val="0"/>
          </w:rPr>
          <w:t>1761- دیوان ملا خسروی هروی‏</w:t>
        </w:r>
        <w:r>
          <w:tab/>
        </w:r>
        <w:r>
          <w:fldChar w:fldCharType="begin"/>
        </w:r>
        <w:r>
          <w:instrText xml:space="preserve">PAGEREF 2268 \h</w:instrText>
        </w:r>
        <w:r>
          <w:fldChar w:fldCharType="end"/>
        </w:r>
      </w:hyperlink>
    </w:p>
    <w:p>
      <w:pPr>
        <w:tabs>
          <w:tab w:val="right" w:leader="dot" w:pos="9062"/>
        </w:tabs>
        <w:ind w:left="440"/>
      </w:pPr>
      <w:hyperlink w:anchor="_Toc2269" w:history="1">
        <w:r>
          <w:rPr>
            <w:rFonts w:ascii="IRNazanin" w:hAnsi="IRNazanin" w:eastAsia="IRNazanin" w:cs="IRNazanin"/>
            <w:color w:val="111111"/>
            <w:sz w:val="22"/>
            <w:szCs w:val="22"/>
            <w:b w:val="0"/>
            <w:bCs w:val="0"/>
            <w:i w:val="0"/>
            <w:iCs w:val="0"/>
          </w:rPr>
          <w:t>1762- دیوان خشاب نیشابوری أو شعره‏</w:t>
        </w:r>
        <w:r>
          <w:tab/>
        </w:r>
        <w:r>
          <w:fldChar w:fldCharType="begin"/>
        </w:r>
        <w:r>
          <w:instrText xml:space="preserve">PAGEREF 2269 \h</w:instrText>
        </w:r>
        <w:r>
          <w:fldChar w:fldCharType="end"/>
        </w:r>
      </w:hyperlink>
    </w:p>
    <w:p>
      <w:pPr>
        <w:tabs>
          <w:tab w:val="right" w:leader="dot" w:pos="9062"/>
        </w:tabs>
        <w:ind w:left="440"/>
      </w:pPr>
      <w:hyperlink w:anchor="_Toc2270" w:history="1">
        <w:r>
          <w:rPr>
            <w:rFonts w:ascii="IRNazanin" w:hAnsi="IRNazanin" w:eastAsia="IRNazanin" w:cs="IRNazanin"/>
            <w:color w:val="111111"/>
            <w:sz w:val="22"/>
            <w:szCs w:val="22"/>
            <w:b w:val="0"/>
            <w:bCs w:val="0"/>
            <w:i w:val="0"/>
            <w:iCs w:val="0"/>
          </w:rPr>
          <w:t>1763- دیوان خشکناکه أو خشکنانچه‏</w:t>
        </w:r>
        <w:r>
          <w:tab/>
        </w:r>
        <w:r>
          <w:fldChar w:fldCharType="begin"/>
        </w:r>
        <w:r>
          <w:instrText xml:space="preserve">PAGEREF 2270 \h</w:instrText>
        </w:r>
        <w:r>
          <w:fldChar w:fldCharType="end"/>
        </w:r>
      </w:hyperlink>
    </w:p>
    <w:p>
      <w:pPr>
        <w:tabs>
          <w:tab w:val="right" w:leader="dot" w:pos="9062"/>
        </w:tabs>
        <w:ind w:left="440"/>
      </w:pPr>
      <w:hyperlink w:anchor="_Toc2271" w:history="1">
        <w:r>
          <w:rPr>
            <w:rFonts w:ascii="IRNazanin" w:hAnsi="IRNazanin" w:eastAsia="IRNazanin" w:cs="IRNazanin"/>
            <w:color w:val="111111"/>
            <w:sz w:val="22"/>
            <w:szCs w:val="22"/>
            <w:b w:val="0"/>
            <w:bCs w:val="0"/>
            <w:i w:val="0"/>
            <w:iCs w:val="0"/>
          </w:rPr>
          <w:t>1764- دیوان خصالی جغتائی أو شعره‏</w:t>
        </w:r>
        <w:r>
          <w:tab/>
        </w:r>
        <w:r>
          <w:fldChar w:fldCharType="begin"/>
        </w:r>
        <w:r>
          <w:instrText xml:space="preserve">PAGEREF 2271 \h</w:instrText>
        </w:r>
        <w:r>
          <w:fldChar w:fldCharType="end"/>
        </w:r>
      </w:hyperlink>
    </w:p>
    <w:p>
      <w:pPr>
        <w:tabs>
          <w:tab w:val="right" w:leader="dot" w:pos="9062"/>
        </w:tabs>
        <w:ind w:left="440"/>
      </w:pPr>
      <w:hyperlink w:anchor="_Toc2272" w:history="1">
        <w:r>
          <w:rPr>
            <w:rFonts w:ascii="IRNazanin" w:hAnsi="IRNazanin" w:eastAsia="IRNazanin" w:cs="IRNazanin"/>
            <w:color w:val="111111"/>
            <w:sz w:val="22"/>
            <w:szCs w:val="22"/>
            <w:b w:val="0"/>
            <w:bCs w:val="0"/>
            <w:i w:val="0"/>
            <w:iCs w:val="0"/>
          </w:rPr>
          <w:t>1765- دیوان خصالی کاشانی أو شعره‏</w:t>
        </w:r>
        <w:r>
          <w:tab/>
        </w:r>
        <w:r>
          <w:fldChar w:fldCharType="begin"/>
        </w:r>
        <w:r>
          <w:instrText xml:space="preserve">PAGEREF 2272 \h</w:instrText>
        </w:r>
        <w:r>
          <w:fldChar w:fldCharType="end"/>
        </w:r>
      </w:hyperlink>
    </w:p>
    <w:p>
      <w:pPr>
        <w:tabs>
          <w:tab w:val="right" w:leader="dot" w:pos="9062"/>
        </w:tabs>
        <w:ind w:left="440"/>
      </w:pPr>
      <w:hyperlink w:anchor="_Toc2273" w:history="1">
        <w:r>
          <w:rPr>
            <w:rFonts w:ascii="IRNazanin" w:hAnsi="IRNazanin" w:eastAsia="IRNazanin" w:cs="IRNazanin"/>
            <w:color w:val="111111"/>
            <w:sz w:val="22"/>
            <w:szCs w:val="22"/>
            <w:b w:val="0"/>
            <w:bCs w:val="0"/>
            <w:i w:val="0"/>
            <w:iCs w:val="0"/>
          </w:rPr>
          <w:t>1766- دیوان المیرزا خصمی أصفهانی‏</w:t>
        </w:r>
        <w:r>
          <w:tab/>
        </w:r>
        <w:r>
          <w:fldChar w:fldCharType="begin"/>
        </w:r>
        <w:r>
          <w:instrText xml:space="preserve">PAGEREF 2273 \h</w:instrText>
        </w:r>
        <w:r>
          <w:fldChar w:fldCharType="end"/>
        </w:r>
      </w:hyperlink>
    </w:p>
    <w:p>
      <w:pPr>
        <w:tabs>
          <w:tab w:val="right" w:leader="dot" w:pos="9062"/>
        </w:tabs>
        <w:ind w:left="440"/>
      </w:pPr>
      <w:hyperlink w:anchor="_Toc2274" w:history="1">
        <w:r>
          <w:rPr>
            <w:rFonts w:ascii="IRNazanin" w:hAnsi="IRNazanin" w:eastAsia="IRNazanin" w:cs="IRNazanin"/>
            <w:color w:val="111111"/>
            <w:sz w:val="22"/>
            <w:szCs w:val="22"/>
            <w:b w:val="0"/>
            <w:bCs w:val="0"/>
            <w:i w:val="0"/>
            <w:iCs w:val="0"/>
          </w:rPr>
          <w:t>1767- دیوان خضر خراسانی‏</w:t>
        </w:r>
        <w:r>
          <w:tab/>
        </w:r>
        <w:r>
          <w:fldChar w:fldCharType="begin"/>
        </w:r>
        <w:r>
          <w:instrText xml:space="preserve">PAGEREF 2274 \h</w:instrText>
        </w:r>
        <w:r>
          <w:fldChar w:fldCharType="end"/>
        </w:r>
      </w:hyperlink>
    </w:p>
    <w:p>
      <w:pPr>
        <w:tabs>
          <w:tab w:val="right" w:leader="dot" w:pos="9062"/>
        </w:tabs>
        <w:ind w:left="440"/>
      </w:pPr>
      <w:hyperlink w:anchor="_Toc2275" w:history="1">
        <w:r>
          <w:rPr>
            <w:rFonts w:ascii="IRNazanin" w:hAnsi="IRNazanin" w:eastAsia="IRNazanin" w:cs="IRNazanin"/>
            <w:color w:val="111111"/>
            <w:sz w:val="22"/>
            <w:szCs w:val="22"/>
            <w:b w:val="0"/>
            <w:bCs w:val="0"/>
            <w:i w:val="0"/>
            <w:iCs w:val="0"/>
          </w:rPr>
          <w:t>1768- دیوان خضر شاه أسترآبادی‏</w:t>
        </w:r>
        <w:r>
          <w:tab/>
        </w:r>
        <w:r>
          <w:fldChar w:fldCharType="begin"/>
        </w:r>
        <w:r>
          <w:instrText xml:space="preserve">PAGEREF 2275 \h</w:instrText>
        </w:r>
        <w:r>
          <w:fldChar w:fldCharType="end"/>
        </w:r>
      </w:hyperlink>
    </w:p>
    <w:p>
      <w:pPr>
        <w:tabs>
          <w:tab w:val="right" w:leader="dot" w:pos="9062"/>
        </w:tabs>
        <w:ind w:left="440"/>
      </w:pPr>
      <w:hyperlink w:anchor="_Toc2276" w:history="1">
        <w:r>
          <w:rPr>
            <w:rFonts w:ascii="IRNazanin" w:hAnsi="IRNazanin" w:eastAsia="IRNazanin" w:cs="IRNazanin"/>
            <w:color w:val="111111"/>
            <w:sz w:val="22"/>
            <w:szCs w:val="22"/>
            <w:b w:val="0"/>
            <w:bCs w:val="0"/>
            <w:i w:val="0"/>
            <w:iCs w:val="0"/>
          </w:rPr>
          <w:t>1769- دیوان السید خضر القزوینی‏</w:t>
        </w:r>
        <w:r>
          <w:tab/>
        </w:r>
        <w:r>
          <w:fldChar w:fldCharType="begin"/>
        </w:r>
        <w:r>
          <w:instrText xml:space="preserve">PAGEREF 2276 \h</w:instrText>
        </w:r>
        <w:r>
          <w:fldChar w:fldCharType="end"/>
        </w:r>
      </w:hyperlink>
    </w:p>
    <w:p>
      <w:pPr>
        <w:tabs>
          <w:tab w:val="right" w:leader="dot" w:pos="9062"/>
        </w:tabs>
        <w:ind w:left="440"/>
      </w:pPr>
      <w:hyperlink w:anchor="_Toc2277" w:history="1">
        <w:r>
          <w:rPr>
            <w:rFonts w:ascii="IRNazanin" w:hAnsi="IRNazanin" w:eastAsia="IRNazanin" w:cs="IRNazanin"/>
            <w:color w:val="111111"/>
            <w:sz w:val="22"/>
            <w:szCs w:val="22"/>
            <w:b w:val="0"/>
            <w:bCs w:val="0"/>
            <w:i w:val="0"/>
            <w:iCs w:val="0"/>
          </w:rPr>
          <w:t>1770- دیوان خضری‏</w:t>
        </w:r>
        <w:r>
          <w:tab/>
        </w:r>
        <w:r>
          <w:fldChar w:fldCharType="begin"/>
        </w:r>
        <w:r>
          <w:instrText xml:space="preserve">PAGEREF 2277 \h</w:instrText>
        </w:r>
        <w:r>
          <w:fldChar w:fldCharType="end"/>
        </w:r>
      </w:hyperlink>
    </w:p>
    <w:p>
      <w:pPr>
        <w:tabs>
          <w:tab w:val="right" w:leader="dot" w:pos="9062"/>
        </w:tabs>
        <w:ind w:left="440"/>
      </w:pPr>
      <w:hyperlink w:anchor="_Toc2278" w:history="1">
        <w:r>
          <w:rPr>
            <w:rFonts w:ascii="IRNazanin" w:hAnsi="IRNazanin" w:eastAsia="IRNazanin" w:cs="IRNazanin"/>
            <w:color w:val="111111"/>
            <w:sz w:val="22"/>
            <w:szCs w:val="22"/>
            <w:b w:val="0"/>
            <w:bCs w:val="0"/>
            <w:i w:val="0"/>
            <w:iCs w:val="0"/>
          </w:rPr>
          <w:t>1771- دیوان خضری أسترآبادی‏</w:t>
        </w:r>
        <w:r>
          <w:tab/>
        </w:r>
        <w:r>
          <w:fldChar w:fldCharType="begin"/>
        </w:r>
        <w:r>
          <w:instrText xml:space="preserve">PAGEREF 2278 \h</w:instrText>
        </w:r>
        <w:r>
          <w:fldChar w:fldCharType="end"/>
        </w:r>
      </w:hyperlink>
    </w:p>
    <w:p>
      <w:pPr>
        <w:tabs>
          <w:tab w:val="right" w:leader="dot" w:pos="9062"/>
        </w:tabs>
        <w:ind w:left="440"/>
      </w:pPr>
      <w:hyperlink w:anchor="_Toc2279" w:history="1">
        <w:r>
          <w:rPr>
            <w:rFonts w:ascii="IRNazanin" w:hAnsi="IRNazanin" w:eastAsia="IRNazanin" w:cs="IRNazanin"/>
            <w:color w:val="111111"/>
            <w:sz w:val="22"/>
            <w:szCs w:val="22"/>
            <w:b w:val="0"/>
            <w:bCs w:val="0"/>
            <w:i w:val="0"/>
            <w:iCs w:val="0"/>
          </w:rPr>
          <w:t>1772- دیوان خضری خوانساری‏</w:t>
        </w:r>
        <w:r>
          <w:tab/>
        </w:r>
        <w:r>
          <w:fldChar w:fldCharType="begin"/>
        </w:r>
        <w:r>
          <w:instrText xml:space="preserve">PAGEREF 2279 \h</w:instrText>
        </w:r>
        <w:r>
          <w:fldChar w:fldCharType="end"/>
        </w:r>
      </w:hyperlink>
    </w:p>
    <w:p>
      <w:pPr>
        <w:tabs>
          <w:tab w:val="right" w:leader="dot" w:pos="9062"/>
        </w:tabs>
        <w:ind w:left="440"/>
      </w:pPr>
      <w:hyperlink w:anchor="_Toc2280" w:history="1">
        <w:r>
          <w:rPr>
            <w:rFonts w:ascii="IRNazanin" w:hAnsi="IRNazanin" w:eastAsia="IRNazanin" w:cs="IRNazanin"/>
            <w:color w:val="111111"/>
            <w:sz w:val="22"/>
            <w:szCs w:val="22"/>
            <w:b w:val="0"/>
            <w:bCs w:val="0"/>
            <w:i w:val="0"/>
            <w:iCs w:val="0"/>
          </w:rPr>
          <w:t>1773- دیوان خضری القزوینی‏</w:t>
        </w:r>
        <w:r>
          <w:tab/>
        </w:r>
        <w:r>
          <w:fldChar w:fldCharType="begin"/>
        </w:r>
        <w:r>
          <w:instrText xml:space="preserve">PAGEREF 2280 \h</w:instrText>
        </w:r>
        <w:r>
          <w:fldChar w:fldCharType="end"/>
        </w:r>
      </w:hyperlink>
    </w:p>
    <w:p>
      <w:pPr>
        <w:tabs>
          <w:tab w:val="right" w:leader="dot" w:pos="9062"/>
        </w:tabs>
        <w:ind w:left="440"/>
      </w:pPr>
      <w:hyperlink w:anchor="_Toc2281" w:history="1">
        <w:r>
          <w:rPr>
            <w:rFonts w:ascii="IRNazanin" w:hAnsi="IRNazanin" w:eastAsia="IRNazanin" w:cs="IRNazanin"/>
            <w:color w:val="111111"/>
            <w:sz w:val="22"/>
            <w:szCs w:val="22"/>
            <w:b w:val="0"/>
            <w:bCs w:val="0"/>
            <w:i w:val="0"/>
            <w:iCs w:val="0"/>
          </w:rPr>
          <w:t>1774- دیوان خضری لاری‏</w:t>
        </w:r>
        <w:r>
          <w:tab/>
        </w:r>
        <w:r>
          <w:fldChar w:fldCharType="begin"/>
        </w:r>
        <w:r>
          <w:instrText xml:space="preserve">PAGEREF 2281 \h</w:instrText>
        </w:r>
        <w:r>
          <w:fldChar w:fldCharType="end"/>
        </w:r>
      </w:hyperlink>
    </w:p>
    <w:p>
      <w:pPr>
        <w:tabs>
          <w:tab w:val="right" w:leader="dot" w:pos="9062"/>
        </w:tabs>
        <w:ind w:left="440"/>
      </w:pPr>
      <w:hyperlink w:anchor="_Toc2282" w:history="1">
        <w:r>
          <w:rPr>
            <w:rFonts w:ascii="IRNazanin" w:hAnsi="IRNazanin" w:eastAsia="IRNazanin" w:cs="IRNazanin"/>
            <w:color w:val="111111"/>
            <w:sz w:val="22"/>
            <w:szCs w:val="22"/>
            <w:b w:val="0"/>
            <w:bCs w:val="0"/>
            <w:i w:val="0"/>
            <w:iCs w:val="0"/>
          </w:rPr>
          <w:t>1775- دیوان الخضری النجفی‏</w:t>
        </w:r>
        <w:r>
          <w:tab/>
        </w:r>
        <w:r>
          <w:fldChar w:fldCharType="begin"/>
        </w:r>
        <w:r>
          <w:instrText xml:space="preserve">PAGEREF 2282 \h</w:instrText>
        </w:r>
        <w:r>
          <w:fldChar w:fldCharType="end"/>
        </w:r>
      </w:hyperlink>
    </w:p>
    <w:p>
      <w:pPr>
        <w:tabs>
          <w:tab w:val="right" w:leader="dot" w:pos="9062"/>
        </w:tabs>
        <w:ind w:left="440"/>
      </w:pPr>
      <w:hyperlink w:anchor="_Toc2283" w:history="1">
        <w:r>
          <w:rPr>
            <w:rFonts w:ascii="IRNazanin" w:hAnsi="IRNazanin" w:eastAsia="IRNazanin" w:cs="IRNazanin"/>
            <w:color w:val="111111"/>
            <w:sz w:val="22"/>
            <w:szCs w:val="22"/>
            <w:b w:val="0"/>
            <w:bCs w:val="0"/>
            <w:i w:val="0"/>
            <w:iCs w:val="0"/>
          </w:rPr>
          <w:t>1776- دیوان خطاء شوشتری‏</w:t>
        </w:r>
        <w:r>
          <w:tab/>
        </w:r>
        <w:r>
          <w:fldChar w:fldCharType="begin"/>
        </w:r>
        <w:r>
          <w:instrText xml:space="preserve">PAGEREF 2283 \h</w:instrText>
        </w:r>
        <w:r>
          <w:fldChar w:fldCharType="end"/>
        </w:r>
      </w:hyperlink>
    </w:p>
    <w:p>
      <w:pPr>
        <w:tabs>
          <w:tab w:val="right" w:leader="dot" w:pos="9062"/>
        </w:tabs>
        <w:ind w:left="440"/>
      </w:pPr>
      <w:hyperlink w:anchor="_Toc2284" w:history="1">
        <w:r>
          <w:rPr>
            <w:rFonts w:ascii="IRNazanin" w:hAnsi="IRNazanin" w:eastAsia="IRNazanin" w:cs="IRNazanin"/>
            <w:color w:val="111111"/>
            <w:sz w:val="22"/>
            <w:szCs w:val="22"/>
            <w:b w:val="0"/>
            <w:bCs w:val="0"/>
            <w:i w:val="0"/>
            <w:iCs w:val="0"/>
          </w:rPr>
          <w:t>1777- دیوان خطائی‏</w:t>
        </w:r>
        <w:r>
          <w:tab/>
        </w:r>
        <w:r>
          <w:fldChar w:fldCharType="begin"/>
        </w:r>
        <w:r>
          <w:instrText xml:space="preserve">PAGEREF 2284 \h</w:instrText>
        </w:r>
        <w:r>
          <w:fldChar w:fldCharType="end"/>
        </w:r>
      </w:hyperlink>
    </w:p>
    <w:p>
      <w:pPr>
        <w:tabs>
          <w:tab w:val="right" w:leader="dot" w:pos="9062"/>
        </w:tabs>
        <w:ind w:left="440"/>
      </w:pPr>
      <w:hyperlink w:anchor="_Toc2285" w:history="1">
        <w:r>
          <w:rPr>
            <w:rFonts w:ascii="IRNazanin" w:hAnsi="IRNazanin" w:eastAsia="IRNazanin" w:cs="IRNazanin"/>
            <w:color w:val="111111"/>
            <w:sz w:val="22"/>
            <w:szCs w:val="22"/>
            <w:b w:val="0"/>
            <w:bCs w:val="0"/>
            <w:i w:val="0"/>
            <w:iCs w:val="0"/>
          </w:rPr>
          <w:t>1778- دیوان خطائی سمرقندی أو شعره‏</w:t>
        </w:r>
        <w:r>
          <w:tab/>
        </w:r>
        <w:r>
          <w:fldChar w:fldCharType="begin"/>
        </w:r>
        <w:r>
          <w:instrText xml:space="preserve">PAGEREF 2285 \h</w:instrText>
        </w:r>
        <w:r>
          <w:fldChar w:fldCharType="end"/>
        </w:r>
      </w:hyperlink>
    </w:p>
    <w:p>
      <w:pPr>
        <w:tabs>
          <w:tab w:val="right" w:leader="dot" w:pos="9062"/>
        </w:tabs>
        <w:ind w:left="440"/>
      </w:pPr>
      <w:hyperlink w:anchor="_Toc2286" w:history="1">
        <w:r>
          <w:rPr>
            <w:rFonts w:ascii="IRNazanin" w:hAnsi="IRNazanin" w:eastAsia="IRNazanin" w:cs="IRNazanin"/>
            <w:color w:val="111111"/>
            <w:sz w:val="22"/>
            <w:szCs w:val="22"/>
            <w:b w:val="0"/>
            <w:bCs w:val="0"/>
            <w:i w:val="0"/>
            <w:iCs w:val="0"/>
          </w:rPr>
          <w:t>1779- دیوان خطائی صفوی‏</w:t>
        </w:r>
        <w:r>
          <w:tab/>
        </w:r>
        <w:r>
          <w:fldChar w:fldCharType="begin"/>
        </w:r>
        <w:r>
          <w:instrText xml:space="preserve">PAGEREF 2286 \h</w:instrText>
        </w:r>
        <w:r>
          <w:fldChar w:fldCharType="end"/>
        </w:r>
      </w:hyperlink>
    </w:p>
    <w:p>
      <w:pPr>
        <w:tabs>
          <w:tab w:val="right" w:leader="dot" w:pos="9062"/>
        </w:tabs>
        <w:ind w:left="440"/>
      </w:pPr>
      <w:hyperlink w:anchor="_Toc2287" w:history="1">
        <w:r>
          <w:rPr>
            <w:rFonts w:ascii="IRNazanin" w:hAnsi="IRNazanin" w:eastAsia="IRNazanin" w:cs="IRNazanin"/>
            <w:color w:val="111111"/>
            <w:sz w:val="22"/>
            <w:szCs w:val="22"/>
            <w:b w:val="0"/>
            <w:bCs w:val="0"/>
            <w:i w:val="0"/>
            <w:iCs w:val="0"/>
          </w:rPr>
          <w:t>1780- دیوان خطائی گجراتی أو شعره‏</w:t>
        </w:r>
        <w:r>
          <w:tab/>
        </w:r>
        <w:r>
          <w:fldChar w:fldCharType="begin"/>
        </w:r>
        <w:r>
          <w:instrText xml:space="preserve">PAGEREF 2287 \h</w:instrText>
        </w:r>
        <w:r>
          <w:fldChar w:fldCharType="end"/>
        </w:r>
      </w:hyperlink>
    </w:p>
    <w:p>
      <w:pPr>
        <w:tabs>
          <w:tab w:val="right" w:leader="dot" w:pos="9062"/>
        </w:tabs>
        <w:ind w:left="440"/>
      </w:pPr>
      <w:hyperlink w:anchor="_Toc2288" w:history="1">
        <w:r>
          <w:rPr>
            <w:rFonts w:ascii="IRNazanin" w:hAnsi="IRNazanin" w:eastAsia="IRNazanin" w:cs="IRNazanin"/>
            <w:color w:val="111111"/>
            <w:sz w:val="22"/>
            <w:szCs w:val="22"/>
            <w:b w:val="0"/>
            <w:bCs w:val="0"/>
            <w:i w:val="0"/>
            <w:iCs w:val="0"/>
          </w:rPr>
          <w:t>1781- دیوان الخطائی الیزدی العقدائی‏</w:t>
        </w:r>
        <w:r>
          <w:tab/>
        </w:r>
        <w:r>
          <w:fldChar w:fldCharType="begin"/>
        </w:r>
        <w:r>
          <w:instrText xml:space="preserve">PAGEREF 2288 \h</w:instrText>
        </w:r>
        <w:r>
          <w:fldChar w:fldCharType="end"/>
        </w:r>
      </w:hyperlink>
    </w:p>
    <w:p>
      <w:pPr>
        <w:tabs>
          <w:tab w:val="right" w:leader="dot" w:pos="9062"/>
        </w:tabs>
        <w:ind w:left="440"/>
      </w:pPr>
      <w:hyperlink w:anchor="_Toc2289" w:history="1">
        <w:r>
          <w:rPr>
            <w:rFonts w:ascii="IRNazanin" w:hAnsi="IRNazanin" w:eastAsia="IRNazanin" w:cs="IRNazanin"/>
            <w:color w:val="111111"/>
            <w:sz w:val="22"/>
            <w:szCs w:val="22"/>
            <w:b w:val="0"/>
            <w:bCs w:val="0"/>
            <w:i w:val="0"/>
            <w:iCs w:val="0"/>
          </w:rPr>
          <w:t>دیوان الخطی‏</w:t>
        </w:r>
        <w:r>
          <w:tab/>
        </w:r>
        <w:r>
          <w:fldChar w:fldCharType="begin"/>
        </w:r>
        <w:r>
          <w:instrText xml:space="preserve">PAGEREF 2289 \h</w:instrText>
        </w:r>
        <w:r>
          <w:fldChar w:fldCharType="end"/>
        </w:r>
      </w:hyperlink>
    </w:p>
    <w:p>
      <w:pPr>
        <w:tabs>
          <w:tab w:val="right" w:leader="dot" w:pos="9062"/>
        </w:tabs>
        <w:ind w:left="440"/>
      </w:pPr>
      <w:hyperlink w:anchor="_Toc2290" w:history="1">
        <w:r>
          <w:rPr>
            <w:rFonts w:ascii="IRNazanin" w:hAnsi="IRNazanin" w:eastAsia="IRNazanin" w:cs="IRNazanin"/>
            <w:color w:val="111111"/>
            <w:sz w:val="22"/>
            <w:szCs w:val="22"/>
            <w:b w:val="0"/>
            <w:bCs w:val="0"/>
            <w:i w:val="0"/>
            <w:iCs w:val="0"/>
          </w:rPr>
          <w:t>دیوان الخطی‏</w:t>
        </w:r>
        <w:r>
          <w:tab/>
        </w:r>
        <w:r>
          <w:fldChar w:fldCharType="begin"/>
        </w:r>
        <w:r>
          <w:instrText xml:space="preserve">PAGEREF 2290 \h</w:instrText>
        </w:r>
        <w:r>
          <w:fldChar w:fldCharType="end"/>
        </w:r>
      </w:hyperlink>
    </w:p>
    <w:p>
      <w:pPr>
        <w:tabs>
          <w:tab w:val="right" w:leader="dot" w:pos="9062"/>
        </w:tabs>
        <w:ind w:left="440"/>
      </w:pPr>
      <w:hyperlink w:anchor="_Toc2291" w:history="1">
        <w:r>
          <w:rPr>
            <w:rFonts w:ascii="IRNazanin" w:hAnsi="IRNazanin" w:eastAsia="IRNazanin" w:cs="IRNazanin"/>
            <w:color w:val="111111"/>
            <w:sz w:val="22"/>
            <w:szCs w:val="22"/>
            <w:b w:val="0"/>
            <w:bCs w:val="0"/>
            <w:i w:val="0"/>
            <w:iCs w:val="0"/>
          </w:rPr>
          <w:t>1782- دیوان الخطیب التبریزی‏</w:t>
        </w:r>
        <w:r>
          <w:tab/>
        </w:r>
        <w:r>
          <w:fldChar w:fldCharType="begin"/>
        </w:r>
        <w:r>
          <w:instrText xml:space="preserve">PAGEREF 2291 \h</w:instrText>
        </w:r>
        <w:r>
          <w:fldChar w:fldCharType="end"/>
        </w:r>
      </w:hyperlink>
    </w:p>
    <w:p>
      <w:pPr>
        <w:tabs>
          <w:tab w:val="right" w:leader="dot" w:pos="9062"/>
        </w:tabs>
        <w:ind w:left="440"/>
      </w:pPr>
      <w:hyperlink w:anchor="_Toc2292" w:history="1">
        <w:r>
          <w:rPr>
            <w:rFonts w:ascii="IRNazanin" w:hAnsi="IRNazanin" w:eastAsia="IRNazanin" w:cs="IRNazanin"/>
            <w:color w:val="111111"/>
            <w:sz w:val="22"/>
            <w:szCs w:val="22"/>
            <w:b w:val="0"/>
            <w:bCs w:val="0"/>
            <w:i w:val="0"/>
            <w:iCs w:val="0"/>
          </w:rPr>
          <w:t>1783- دیوان الخطیب الخلخالی‏</w:t>
        </w:r>
        <w:r>
          <w:tab/>
        </w:r>
        <w:r>
          <w:fldChar w:fldCharType="begin"/>
        </w:r>
        <w:r>
          <w:instrText xml:space="preserve">PAGEREF 2292 \h</w:instrText>
        </w:r>
        <w:r>
          <w:fldChar w:fldCharType="end"/>
        </w:r>
      </w:hyperlink>
    </w:p>
    <w:p>
      <w:pPr>
        <w:tabs>
          <w:tab w:val="right" w:leader="dot" w:pos="9062"/>
        </w:tabs>
        <w:ind w:left="440"/>
      </w:pPr>
      <w:hyperlink w:anchor="_Toc2293" w:history="1">
        <w:r>
          <w:rPr>
            <w:rFonts w:ascii="IRNazanin" w:hAnsi="IRNazanin" w:eastAsia="IRNazanin" w:cs="IRNazanin"/>
            <w:color w:val="111111"/>
            <w:sz w:val="22"/>
            <w:szCs w:val="22"/>
            <w:b w:val="0"/>
            <w:bCs w:val="0"/>
            <w:i w:val="0"/>
            <w:iCs w:val="0"/>
          </w:rPr>
          <w:t>1784- دیوان الخطیبی الأرموی أو شعره‏</w:t>
        </w:r>
        <w:r>
          <w:tab/>
        </w:r>
        <w:r>
          <w:fldChar w:fldCharType="begin"/>
        </w:r>
        <w:r>
          <w:instrText xml:space="preserve">PAGEREF 2293 \h</w:instrText>
        </w:r>
        <w:r>
          <w:fldChar w:fldCharType="end"/>
        </w:r>
      </w:hyperlink>
    </w:p>
    <w:p>
      <w:pPr>
        <w:tabs>
          <w:tab w:val="right" w:leader="dot" w:pos="9062"/>
        </w:tabs>
        <w:ind w:left="440"/>
      </w:pPr>
      <w:hyperlink w:anchor="_Toc2294" w:history="1">
        <w:r>
          <w:rPr>
            <w:rFonts w:ascii="IRNazanin" w:hAnsi="IRNazanin" w:eastAsia="IRNazanin" w:cs="IRNazanin"/>
            <w:color w:val="111111"/>
            <w:sz w:val="22"/>
            <w:szCs w:val="22"/>
            <w:b w:val="0"/>
            <w:bCs w:val="0"/>
            <w:i w:val="0"/>
            <w:iCs w:val="0"/>
          </w:rPr>
          <w:t>1785- دیوان خطیر الدین الجرجانی أو شعره‏</w:t>
        </w:r>
        <w:r>
          <w:tab/>
        </w:r>
        <w:r>
          <w:fldChar w:fldCharType="begin"/>
        </w:r>
        <w:r>
          <w:instrText xml:space="preserve">PAGEREF 2294 \h</w:instrText>
        </w:r>
        <w:r>
          <w:fldChar w:fldCharType="end"/>
        </w:r>
      </w:hyperlink>
    </w:p>
    <w:p>
      <w:pPr>
        <w:tabs>
          <w:tab w:val="right" w:leader="dot" w:pos="9062"/>
        </w:tabs>
        <w:ind w:left="440"/>
      </w:pPr>
      <w:hyperlink w:anchor="_Toc2295" w:history="1">
        <w:r>
          <w:rPr>
            <w:rFonts w:ascii="IRNazanin" w:hAnsi="IRNazanin" w:eastAsia="IRNazanin" w:cs="IRNazanin"/>
            <w:color w:val="111111"/>
            <w:sz w:val="22"/>
            <w:szCs w:val="22"/>
            <w:b w:val="0"/>
            <w:bCs w:val="0"/>
            <w:i w:val="0"/>
            <w:iCs w:val="0"/>
          </w:rPr>
          <w:t>1786- دیوان الخفاجی‏</w:t>
        </w:r>
        <w:r>
          <w:tab/>
        </w:r>
        <w:r>
          <w:fldChar w:fldCharType="begin"/>
        </w:r>
        <w:r>
          <w:instrText xml:space="preserve">PAGEREF 2295 \h</w:instrText>
        </w:r>
        <w:r>
          <w:fldChar w:fldCharType="end"/>
        </w:r>
      </w:hyperlink>
    </w:p>
    <w:p>
      <w:pPr>
        <w:tabs>
          <w:tab w:val="right" w:leader="dot" w:pos="9062"/>
        </w:tabs>
        <w:ind w:left="440"/>
      </w:pPr>
      <w:hyperlink w:anchor="_Toc2296" w:history="1">
        <w:r>
          <w:rPr>
            <w:rFonts w:ascii="IRNazanin" w:hAnsi="IRNazanin" w:eastAsia="IRNazanin" w:cs="IRNazanin"/>
            <w:color w:val="111111"/>
            <w:sz w:val="22"/>
            <w:szCs w:val="22"/>
            <w:b w:val="0"/>
            <w:bCs w:val="0"/>
            <w:i w:val="0"/>
            <w:iCs w:val="0"/>
          </w:rPr>
          <w:t>1787- دیوان الخفاف أو شعره‏</w:t>
        </w:r>
        <w:r>
          <w:tab/>
        </w:r>
        <w:r>
          <w:fldChar w:fldCharType="begin"/>
        </w:r>
        <w:r>
          <w:instrText xml:space="preserve">PAGEREF 2296 \h</w:instrText>
        </w:r>
        <w:r>
          <w:fldChar w:fldCharType="end"/>
        </w:r>
      </w:hyperlink>
    </w:p>
    <w:p>
      <w:pPr>
        <w:tabs>
          <w:tab w:val="right" w:leader="dot" w:pos="9062"/>
        </w:tabs>
        <w:ind w:left="440"/>
      </w:pPr>
      <w:hyperlink w:anchor="_Toc2297" w:history="1">
        <w:r>
          <w:rPr>
            <w:rFonts w:ascii="IRNazanin" w:hAnsi="IRNazanin" w:eastAsia="IRNazanin" w:cs="IRNazanin"/>
            <w:color w:val="111111"/>
            <w:sz w:val="22"/>
            <w:szCs w:val="22"/>
            <w:b w:val="0"/>
            <w:bCs w:val="0"/>
            <w:i w:val="0"/>
            <w:iCs w:val="0"/>
          </w:rPr>
          <w:t>1788- دیوان خلاصی أو شعره‏</w:t>
        </w:r>
        <w:r>
          <w:tab/>
        </w:r>
        <w:r>
          <w:fldChar w:fldCharType="begin"/>
        </w:r>
        <w:r>
          <w:instrText xml:space="preserve">PAGEREF 2297 \h</w:instrText>
        </w:r>
        <w:r>
          <w:fldChar w:fldCharType="end"/>
        </w:r>
      </w:hyperlink>
    </w:p>
    <w:p>
      <w:pPr>
        <w:tabs>
          <w:tab w:val="right" w:leader="dot" w:pos="9062"/>
        </w:tabs>
        <w:ind w:left="440"/>
      </w:pPr>
      <w:hyperlink w:anchor="_Toc2298" w:history="1">
        <w:r>
          <w:rPr>
            <w:rFonts w:ascii="IRNazanin" w:hAnsi="IRNazanin" w:eastAsia="IRNazanin" w:cs="IRNazanin"/>
            <w:color w:val="111111"/>
            <w:sz w:val="22"/>
            <w:szCs w:val="22"/>
            <w:b w:val="0"/>
            <w:bCs w:val="0"/>
            <w:i w:val="0"/>
            <w:iCs w:val="0"/>
          </w:rPr>
          <w:t>دیوان خلاق المعانی‏</w:t>
        </w:r>
        <w:r>
          <w:tab/>
        </w:r>
        <w:r>
          <w:fldChar w:fldCharType="begin"/>
        </w:r>
        <w:r>
          <w:instrText xml:space="preserve">PAGEREF 2298 \h</w:instrText>
        </w:r>
        <w:r>
          <w:fldChar w:fldCharType="end"/>
        </w:r>
      </w:hyperlink>
    </w:p>
    <w:p>
      <w:pPr>
        <w:tabs>
          <w:tab w:val="right" w:leader="dot" w:pos="9062"/>
        </w:tabs>
        <w:ind w:left="440"/>
      </w:pPr>
      <w:hyperlink w:anchor="_Toc2299" w:history="1">
        <w:r>
          <w:rPr>
            <w:rFonts w:ascii="IRNazanin" w:hAnsi="IRNazanin" w:eastAsia="IRNazanin" w:cs="IRNazanin"/>
            <w:color w:val="111111"/>
            <w:sz w:val="22"/>
            <w:szCs w:val="22"/>
            <w:b w:val="0"/>
            <w:bCs w:val="0"/>
            <w:i w:val="0"/>
            <w:iCs w:val="0"/>
          </w:rPr>
          <w:t>دیوان الخلعی‏</w:t>
        </w:r>
        <w:r>
          <w:tab/>
        </w:r>
        <w:r>
          <w:fldChar w:fldCharType="begin"/>
        </w:r>
        <w:r>
          <w:instrText xml:space="preserve">PAGEREF 2299 \h</w:instrText>
        </w:r>
        <w:r>
          <w:fldChar w:fldCharType="end"/>
        </w:r>
      </w:hyperlink>
    </w:p>
    <w:p>
      <w:pPr>
        <w:tabs>
          <w:tab w:val="right" w:leader="dot" w:pos="9062"/>
        </w:tabs>
        <w:ind w:left="440"/>
      </w:pPr>
      <w:hyperlink w:anchor="_Toc2300" w:history="1">
        <w:r>
          <w:rPr>
            <w:rFonts w:ascii="IRNazanin" w:hAnsi="IRNazanin" w:eastAsia="IRNazanin" w:cs="IRNazanin"/>
            <w:color w:val="111111"/>
            <w:sz w:val="22"/>
            <w:szCs w:val="22"/>
            <w:b w:val="0"/>
            <w:bCs w:val="0"/>
            <w:i w:val="0"/>
            <w:iCs w:val="0"/>
          </w:rPr>
          <w:t>1789- دیوان مولانا خلف تبریزی‏</w:t>
        </w:r>
        <w:r>
          <w:tab/>
        </w:r>
        <w:r>
          <w:fldChar w:fldCharType="begin"/>
        </w:r>
        <w:r>
          <w:instrText xml:space="preserve">PAGEREF 2300 \h</w:instrText>
        </w:r>
        <w:r>
          <w:fldChar w:fldCharType="end"/>
        </w:r>
      </w:hyperlink>
    </w:p>
    <w:p>
      <w:pPr>
        <w:tabs>
          <w:tab w:val="right" w:leader="dot" w:pos="9062"/>
        </w:tabs>
        <w:ind w:left="440"/>
      </w:pPr>
      <w:hyperlink w:anchor="_Toc2301" w:history="1">
        <w:r>
          <w:rPr>
            <w:rFonts w:ascii="IRNazanin" w:hAnsi="IRNazanin" w:eastAsia="IRNazanin" w:cs="IRNazanin"/>
            <w:color w:val="111111"/>
            <w:sz w:val="22"/>
            <w:szCs w:val="22"/>
            <w:b w:val="0"/>
            <w:bCs w:val="0"/>
            <w:i w:val="0"/>
            <w:iCs w:val="0"/>
          </w:rPr>
          <w:t>1790- دیوان السید خلف المشعشعی‏</w:t>
        </w:r>
        <w:r>
          <w:tab/>
        </w:r>
        <w:r>
          <w:fldChar w:fldCharType="begin"/>
        </w:r>
        <w:r>
          <w:instrText xml:space="preserve">PAGEREF 2301 \h</w:instrText>
        </w:r>
        <w:r>
          <w:fldChar w:fldCharType="end"/>
        </w:r>
      </w:hyperlink>
    </w:p>
    <w:p>
      <w:pPr>
        <w:tabs>
          <w:tab w:val="right" w:leader="dot" w:pos="9062"/>
        </w:tabs>
        <w:ind w:left="440"/>
      </w:pPr>
      <w:hyperlink w:anchor="_Toc2302" w:history="1">
        <w:r>
          <w:rPr>
            <w:rFonts w:ascii="IRNazanin" w:hAnsi="IRNazanin" w:eastAsia="IRNazanin" w:cs="IRNazanin"/>
            <w:color w:val="111111"/>
            <w:sz w:val="22"/>
            <w:szCs w:val="22"/>
            <w:b w:val="0"/>
            <w:bCs w:val="0"/>
            <w:i w:val="0"/>
            <w:iCs w:val="0"/>
          </w:rPr>
          <w:t>1791- دیوان خلقی بخارائی أو شعره‏</w:t>
        </w:r>
        <w:r>
          <w:tab/>
        </w:r>
        <w:r>
          <w:fldChar w:fldCharType="begin"/>
        </w:r>
        <w:r>
          <w:instrText xml:space="preserve">PAGEREF 2302 \h</w:instrText>
        </w:r>
        <w:r>
          <w:fldChar w:fldCharType="end"/>
        </w:r>
      </w:hyperlink>
    </w:p>
    <w:p>
      <w:pPr>
        <w:tabs>
          <w:tab w:val="right" w:leader="dot" w:pos="9062"/>
        </w:tabs>
        <w:ind w:left="440"/>
      </w:pPr>
      <w:hyperlink w:anchor="_Toc2303" w:history="1">
        <w:r>
          <w:rPr>
            <w:rFonts w:ascii="IRNazanin" w:hAnsi="IRNazanin" w:eastAsia="IRNazanin" w:cs="IRNazanin"/>
            <w:color w:val="111111"/>
            <w:sz w:val="22"/>
            <w:szCs w:val="22"/>
            <w:b w:val="0"/>
            <w:bCs w:val="0"/>
            <w:i w:val="0"/>
            <w:iCs w:val="0"/>
          </w:rPr>
          <w:t>دیوان خلقی التبریزی‏</w:t>
        </w:r>
        <w:r>
          <w:tab/>
        </w:r>
        <w:r>
          <w:fldChar w:fldCharType="begin"/>
        </w:r>
        <w:r>
          <w:instrText xml:space="preserve">PAGEREF 2303 \h</w:instrText>
        </w:r>
        <w:r>
          <w:fldChar w:fldCharType="end"/>
        </w:r>
      </w:hyperlink>
    </w:p>
    <w:p>
      <w:pPr>
        <w:tabs>
          <w:tab w:val="right" w:leader="dot" w:pos="9062"/>
        </w:tabs>
        <w:ind w:left="440"/>
      </w:pPr>
      <w:hyperlink w:anchor="_Toc2304" w:history="1">
        <w:r>
          <w:rPr>
            <w:rFonts w:ascii="IRNazanin" w:hAnsi="IRNazanin" w:eastAsia="IRNazanin" w:cs="IRNazanin"/>
            <w:color w:val="111111"/>
            <w:sz w:val="22"/>
            <w:szCs w:val="22"/>
            <w:b w:val="0"/>
            <w:bCs w:val="0"/>
            <w:i w:val="0"/>
            <w:iCs w:val="0"/>
          </w:rPr>
          <w:t>1792- دیوان خلقی شوشتری أو شعره‏</w:t>
        </w:r>
        <w:r>
          <w:tab/>
        </w:r>
        <w:r>
          <w:fldChar w:fldCharType="begin"/>
        </w:r>
        <w:r>
          <w:instrText xml:space="preserve">PAGEREF 2304 \h</w:instrText>
        </w:r>
        <w:r>
          <w:fldChar w:fldCharType="end"/>
        </w:r>
      </w:hyperlink>
    </w:p>
    <w:p>
      <w:pPr>
        <w:tabs>
          <w:tab w:val="right" w:leader="dot" w:pos="9062"/>
        </w:tabs>
        <w:ind w:left="440"/>
      </w:pPr>
      <w:hyperlink w:anchor="_Toc2305" w:history="1">
        <w:r>
          <w:rPr>
            <w:rFonts w:ascii="IRNazanin" w:hAnsi="IRNazanin" w:eastAsia="IRNazanin" w:cs="IRNazanin"/>
            <w:color w:val="111111"/>
            <w:sz w:val="22"/>
            <w:szCs w:val="22"/>
            <w:b w:val="0"/>
            <w:bCs w:val="0"/>
            <w:i w:val="0"/>
            <w:iCs w:val="0"/>
          </w:rPr>
          <w:t>1793- دیوان خلقی طهرانی أو شعره‏</w:t>
        </w:r>
        <w:r>
          <w:tab/>
        </w:r>
        <w:r>
          <w:fldChar w:fldCharType="begin"/>
        </w:r>
        <w:r>
          <w:instrText xml:space="preserve">PAGEREF 2305 \h</w:instrText>
        </w:r>
        <w:r>
          <w:fldChar w:fldCharType="end"/>
        </w:r>
      </w:hyperlink>
    </w:p>
    <w:p>
      <w:pPr>
        <w:tabs>
          <w:tab w:val="right" w:leader="dot" w:pos="9062"/>
        </w:tabs>
        <w:ind w:left="440"/>
      </w:pPr>
      <w:hyperlink w:anchor="_Toc2306" w:history="1">
        <w:r>
          <w:rPr>
            <w:rFonts w:ascii="IRNazanin" w:hAnsi="IRNazanin" w:eastAsia="IRNazanin" w:cs="IRNazanin"/>
            <w:color w:val="111111"/>
            <w:sz w:val="22"/>
            <w:szCs w:val="22"/>
            <w:b w:val="0"/>
            <w:bCs w:val="0"/>
            <w:i w:val="0"/>
            <w:iCs w:val="0"/>
          </w:rPr>
          <w:t>1794- دیوان خلقی هروی‏</w:t>
        </w:r>
        <w:r>
          <w:tab/>
        </w:r>
        <w:r>
          <w:fldChar w:fldCharType="begin"/>
        </w:r>
        <w:r>
          <w:instrText xml:space="preserve">PAGEREF 2306 \h</w:instrText>
        </w:r>
        <w:r>
          <w:fldChar w:fldCharType="end"/>
        </w:r>
      </w:hyperlink>
    </w:p>
    <w:p>
      <w:pPr>
        <w:tabs>
          <w:tab w:val="right" w:leader="dot" w:pos="9062"/>
        </w:tabs>
        <w:ind w:left="440"/>
      </w:pPr>
      <w:hyperlink w:anchor="_Toc2307" w:history="1">
        <w:r>
          <w:rPr>
            <w:rFonts w:ascii="IRNazanin" w:hAnsi="IRNazanin" w:eastAsia="IRNazanin" w:cs="IRNazanin"/>
            <w:color w:val="111111"/>
            <w:sz w:val="22"/>
            <w:szCs w:val="22"/>
            <w:b w:val="0"/>
            <w:bCs w:val="0"/>
            <w:i w:val="0"/>
            <w:iCs w:val="0"/>
          </w:rPr>
          <w:t>1795- دیوان خلوتی تبریزی‏</w:t>
        </w:r>
        <w:r>
          <w:tab/>
        </w:r>
        <w:r>
          <w:fldChar w:fldCharType="begin"/>
        </w:r>
        <w:r>
          <w:instrText xml:space="preserve">PAGEREF 2307 \h</w:instrText>
        </w:r>
        <w:r>
          <w:fldChar w:fldCharType="end"/>
        </w:r>
      </w:hyperlink>
    </w:p>
    <w:p>
      <w:pPr>
        <w:tabs>
          <w:tab w:val="right" w:leader="dot" w:pos="9062"/>
        </w:tabs>
        <w:ind w:left="440"/>
      </w:pPr>
      <w:hyperlink w:anchor="_Toc2308" w:history="1">
        <w:r>
          <w:rPr>
            <w:rFonts w:ascii="IRNazanin" w:hAnsi="IRNazanin" w:eastAsia="IRNazanin" w:cs="IRNazanin"/>
            <w:color w:val="111111"/>
            <w:sz w:val="22"/>
            <w:szCs w:val="22"/>
            <w:b w:val="0"/>
            <w:bCs w:val="0"/>
            <w:i w:val="0"/>
            <w:iCs w:val="0"/>
          </w:rPr>
          <w:t>1796- دیوان خلوتی‏</w:t>
        </w:r>
        <w:r>
          <w:tab/>
        </w:r>
        <w:r>
          <w:fldChar w:fldCharType="begin"/>
        </w:r>
        <w:r>
          <w:instrText xml:space="preserve">PAGEREF 2308 \h</w:instrText>
        </w:r>
        <w:r>
          <w:fldChar w:fldCharType="end"/>
        </w:r>
      </w:hyperlink>
    </w:p>
    <w:p>
      <w:pPr>
        <w:tabs>
          <w:tab w:val="right" w:leader="dot" w:pos="9062"/>
        </w:tabs>
        <w:ind w:left="440"/>
      </w:pPr>
      <w:hyperlink w:anchor="_Toc2309" w:history="1">
        <w:r>
          <w:rPr>
            <w:rFonts w:ascii="IRNazanin" w:hAnsi="IRNazanin" w:eastAsia="IRNazanin" w:cs="IRNazanin"/>
            <w:color w:val="111111"/>
            <w:sz w:val="22"/>
            <w:szCs w:val="22"/>
            <w:b w:val="0"/>
            <w:bCs w:val="0"/>
            <w:i w:val="0"/>
            <w:iCs w:val="0"/>
          </w:rPr>
          <w:t>1797- دیوان خلوص چشتی‏</w:t>
        </w:r>
        <w:r>
          <w:tab/>
        </w:r>
        <w:r>
          <w:fldChar w:fldCharType="begin"/>
        </w:r>
        <w:r>
          <w:instrText xml:space="preserve">PAGEREF 2309 \h</w:instrText>
        </w:r>
        <w:r>
          <w:fldChar w:fldCharType="end"/>
        </w:r>
      </w:hyperlink>
    </w:p>
    <w:p>
      <w:pPr>
        <w:tabs>
          <w:tab w:val="right" w:leader="dot" w:pos="9062"/>
        </w:tabs>
        <w:ind w:left="440"/>
      </w:pPr>
      <w:hyperlink w:anchor="_Toc2310" w:history="1">
        <w:r>
          <w:rPr>
            <w:rFonts w:ascii="IRNazanin" w:hAnsi="IRNazanin" w:eastAsia="IRNazanin" w:cs="IRNazanin"/>
            <w:color w:val="111111"/>
            <w:sz w:val="22"/>
            <w:szCs w:val="22"/>
            <w:b w:val="0"/>
            <w:bCs w:val="0"/>
            <w:i w:val="0"/>
            <w:iCs w:val="0"/>
          </w:rPr>
          <w:t>1798- دیوان الخلیعی الخلعی‏</w:t>
        </w:r>
        <w:r>
          <w:tab/>
        </w:r>
        <w:r>
          <w:fldChar w:fldCharType="begin"/>
        </w:r>
        <w:r>
          <w:instrText xml:space="preserve">PAGEREF 2310 \h</w:instrText>
        </w:r>
        <w:r>
          <w:fldChar w:fldCharType="end"/>
        </w:r>
      </w:hyperlink>
    </w:p>
    <w:p>
      <w:pPr>
        <w:tabs>
          <w:tab w:val="right" w:leader="dot" w:pos="9062"/>
        </w:tabs>
        <w:ind w:left="440"/>
      </w:pPr>
      <w:hyperlink w:anchor="_Toc2311" w:history="1">
        <w:r>
          <w:rPr>
            <w:rFonts w:ascii="IRNazanin" w:hAnsi="IRNazanin" w:eastAsia="IRNazanin" w:cs="IRNazanin"/>
            <w:color w:val="111111"/>
            <w:sz w:val="22"/>
            <w:szCs w:val="22"/>
            <w:b w:val="0"/>
            <w:bCs w:val="0"/>
            <w:i w:val="0"/>
            <w:iCs w:val="0"/>
          </w:rPr>
          <w:t>1799- دیوان خلیفة أسد الله أصفهانی أو شعره‏</w:t>
        </w:r>
        <w:r>
          <w:tab/>
        </w:r>
        <w:r>
          <w:fldChar w:fldCharType="begin"/>
        </w:r>
        <w:r>
          <w:instrText xml:space="preserve">PAGEREF 2311 \h</w:instrText>
        </w:r>
        <w:r>
          <w:fldChar w:fldCharType="end"/>
        </w:r>
      </w:hyperlink>
    </w:p>
    <w:p>
      <w:pPr>
        <w:tabs>
          <w:tab w:val="right" w:leader="dot" w:pos="9062"/>
        </w:tabs>
        <w:ind w:left="440"/>
      </w:pPr>
      <w:hyperlink w:anchor="_Toc2312" w:history="1">
        <w:r>
          <w:rPr>
            <w:rFonts w:ascii="IRNazanin" w:hAnsi="IRNazanin" w:eastAsia="IRNazanin" w:cs="IRNazanin"/>
            <w:color w:val="111111"/>
            <w:sz w:val="22"/>
            <w:szCs w:val="22"/>
            <w:b w:val="0"/>
            <w:bCs w:val="0"/>
            <w:i w:val="0"/>
            <w:iCs w:val="0"/>
          </w:rPr>
          <w:t>1800- دیوان خلیفة الخلفائی‏</w:t>
        </w:r>
        <w:r>
          <w:tab/>
        </w:r>
        <w:r>
          <w:fldChar w:fldCharType="begin"/>
        </w:r>
        <w:r>
          <w:instrText xml:space="preserve">PAGEREF 2312 \h</w:instrText>
        </w:r>
        <w:r>
          <w:fldChar w:fldCharType="end"/>
        </w:r>
      </w:hyperlink>
    </w:p>
    <w:p>
      <w:pPr>
        <w:tabs>
          <w:tab w:val="right" w:leader="dot" w:pos="9062"/>
        </w:tabs>
        <w:ind w:left="440"/>
      </w:pPr>
      <w:hyperlink w:anchor="_Toc2313" w:history="1">
        <w:r>
          <w:rPr>
            <w:rFonts w:ascii="IRNazanin" w:hAnsi="IRNazanin" w:eastAsia="IRNazanin" w:cs="IRNazanin"/>
            <w:color w:val="111111"/>
            <w:sz w:val="22"/>
            <w:szCs w:val="22"/>
            <w:b w:val="0"/>
            <w:bCs w:val="0"/>
            <w:i w:val="0"/>
            <w:iCs w:val="0"/>
          </w:rPr>
          <w:t>1801- دیوان خلیفة سدید الگیلانی‏</w:t>
        </w:r>
        <w:r>
          <w:tab/>
        </w:r>
        <w:r>
          <w:fldChar w:fldCharType="begin"/>
        </w:r>
        <w:r>
          <w:instrText xml:space="preserve">PAGEREF 2313 \h</w:instrText>
        </w:r>
        <w:r>
          <w:fldChar w:fldCharType="end"/>
        </w:r>
      </w:hyperlink>
    </w:p>
    <w:p>
      <w:pPr>
        <w:tabs>
          <w:tab w:val="right" w:leader="dot" w:pos="9062"/>
        </w:tabs>
        <w:ind w:left="440"/>
      </w:pPr>
      <w:hyperlink w:anchor="_Toc2314" w:history="1">
        <w:r>
          <w:rPr>
            <w:rFonts w:ascii="IRNazanin" w:hAnsi="IRNazanin" w:eastAsia="IRNazanin" w:cs="IRNazanin"/>
            <w:color w:val="111111"/>
            <w:sz w:val="22"/>
            <w:szCs w:val="22"/>
            <w:b w:val="0"/>
            <w:bCs w:val="0"/>
            <w:i w:val="0"/>
            <w:iCs w:val="0"/>
          </w:rPr>
          <w:t>1802- دیوان خلیفة سلطان أو شعره‏</w:t>
        </w:r>
        <w:r>
          <w:tab/>
        </w:r>
        <w:r>
          <w:fldChar w:fldCharType="begin"/>
        </w:r>
        <w:r>
          <w:instrText xml:space="preserve">PAGEREF 2314 \h</w:instrText>
        </w:r>
        <w:r>
          <w:fldChar w:fldCharType="end"/>
        </w:r>
      </w:hyperlink>
    </w:p>
    <w:p>
      <w:pPr>
        <w:tabs>
          <w:tab w:val="right" w:leader="dot" w:pos="9062"/>
        </w:tabs>
        <w:ind w:left="440"/>
      </w:pPr>
      <w:hyperlink w:anchor="_Toc2315" w:history="1">
        <w:r>
          <w:rPr>
            <w:rFonts w:ascii="IRNazanin" w:hAnsi="IRNazanin" w:eastAsia="IRNazanin" w:cs="IRNazanin"/>
            <w:color w:val="111111"/>
            <w:sz w:val="22"/>
            <w:szCs w:val="22"/>
            <w:b w:val="0"/>
            <w:bCs w:val="0"/>
            <w:i w:val="0"/>
            <w:iCs w:val="0"/>
          </w:rPr>
          <w:t>دیوان خلیفة محمد</w:t>
        </w:r>
        <w:r>
          <w:tab/>
        </w:r>
        <w:r>
          <w:fldChar w:fldCharType="begin"/>
        </w:r>
        <w:r>
          <w:instrText xml:space="preserve">PAGEREF 2315 \h</w:instrText>
        </w:r>
        <w:r>
          <w:fldChar w:fldCharType="end"/>
        </w:r>
      </w:hyperlink>
    </w:p>
    <w:p>
      <w:pPr>
        <w:tabs>
          <w:tab w:val="right" w:leader="dot" w:pos="9062"/>
        </w:tabs>
        <w:ind w:left="440"/>
      </w:pPr>
      <w:hyperlink w:anchor="_Toc2316" w:history="1">
        <w:r>
          <w:rPr>
            <w:rFonts w:ascii="IRNazanin" w:hAnsi="IRNazanin" w:eastAsia="IRNazanin" w:cs="IRNazanin"/>
            <w:color w:val="111111"/>
            <w:sz w:val="22"/>
            <w:szCs w:val="22"/>
            <w:b w:val="0"/>
            <w:bCs w:val="0"/>
            <w:i w:val="0"/>
            <w:iCs w:val="0"/>
          </w:rPr>
          <w:t>1803- دیوان خلیفة میرک‏</w:t>
        </w:r>
        <w:r>
          <w:tab/>
        </w:r>
        <w:r>
          <w:fldChar w:fldCharType="begin"/>
        </w:r>
        <w:r>
          <w:instrText xml:space="preserve">PAGEREF 2316 \h</w:instrText>
        </w:r>
        <w:r>
          <w:fldChar w:fldCharType="end"/>
        </w:r>
      </w:hyperlink>
    </w:p>
    <w:p>
      <w:pPr>
        <w:tabs>
          <w:tab w:val="right" w:leader="dot" w:pos="9062"/>
        </w:tabs>
        <w:ind w:left="440"/>
      </w:pPr>
      <w:hyperlink w:anchor="_Toc2317" w:history="1">
        <w:r>
          <w:rPr>
            <w:rFonts w:ascii="IRNazanin" w:hAnsi="IRNazanin" w:eastAsia="IRNazanin" w:cs="IRNazanin"/>
            <w:color w:val="111111"/>
            <w:sz w:val="22"/>
            <w:szCs w:val="22"/>
            <w:b w:val="0"/>
            <w:bCs w:val="0"/>
            <w:i w:val="0"/>
            <w:iCs w:val="0"/>
          </w:rPr>
          <w:t>دیوان خلیل بن شاه نعمة الله الکرمانی‏</w:t>
        </w:r>
        <w:r>
          <w:tab/>
        </w:r>
        <w:r>
          <w:fldChar w:fldCharType="begin"/>
        </w:r>
        <w:r>
          <w:instrText xml:space="preserve">PAGEREF 2317 \h</w:instrText>
        </w:r>
        <w:r>
          <w:fldChar w:fldCharType="end"/>
        </w:r>
      </w:hyperlink>
    </w:p>
    <w:p>
      <w:pPr>
        <w:tabs>
          <w:tab w:val="right" w:leader="dot" w:pos="9062"/>
        </w:tabs>
        <w:ind w:left="440"/>
      </w:pPr>
      <w:hyperlink w:anchor="_Toc2318" w:history="1">
        <w:r>
          <w:rPr>
            <w:rFonts w:ascii="IRNazanin" w:hAnsi="IRNazanin" w:eastAsia="IRNazanin" w:cs="IRNazanin"/>
            <w:color w:val="111111"/>
            <w:sz w:val="22"/>
            <w:szCs w:val="22"/>
            <w:b w:val="0"/>
            <w:bCs w:val="0"/>
            <w:i w:val="0"/>
            <w:iCs w:val="0"/>
          </w:rPr>
          <w:t>1804- دیوان خلیل بیات أو شعره‏</w:t>
        </w:r>
        <w:r>
          <w:tab/>
        </w:r>
        <w:r>
          <w:fldChar w:fldCharType="begin"/>
        </w:r>
        <w:r>
          <w:instrText xml:space="preserve">PAGEREF 2318 \h</w:instrText>
        </w:r>
        <w:r>
          <w:fldChar w:fldCharType="end"/>
        </w:r>
      </w:hyperlink>
    </w:p>
    <w:p>
      <w:pPr>
        <w:tabs>
          <w:tab w:val="right" w:leader="dot" w:pos="9062"/>
        </w:tabs>
        <w:ind w:left="440"/>
      </w:pPr>
      <w:hyperlink w:anchor="_Toc2319" w:history="1">
        <w:r>
          <w:rPr>
            <w:rFonts w:ascii="IRNazanin" w:hAnsi="IRNazanin" w:eastAsia="IRNazanin" w:cs="IRNazanin"/>
            <w:color w:val="111111"/>
            <w:sz w:val="22"/>
            <w:szCs w:val="22"/>
            <w:b w:val="0"/>
            <w:bCs w:val="0"/>
            <w:i w:val="0"/>
            <w:iCs w:val="0"/>
          </w:rPr>
          <w:t>1805- دیوان خلیل تبریزی أو شعره‏</w:t>
        </w:r>
        <w:r>
          <w:tab/>
        </w:r>
        <w:r>
          <w:fldChar w:fldCharType="begin"/>
        </w:r>
        <w:r>
          <w:instrText xml:space="preserve">PAGEREF 2319 \h</w:instrText>
        </w:r>
        <w:r>
          <w:fldChar w:fldCharType="end"/>
        </w:r>
      </w:hyperlink>
    </w:p>
    <w:p>
      <w:pPr>
        <w:tabs>
          <w:tab w:val="right" w:leader="dot" w:pos="9062"/>
        </w:tabs>
        <w:ind w:left="440"/>
      </w:pPr>
      <w:hyperlink w:anchor="_Toc2320" w:history="1">
        <w:r>
          <w:rPr>
            <w:rFonts w:ascii="IRNazanin" w:hAnsi="IRNazanin" w:eastAsia="IRNazanin" w:cs="IRNazanin"/>
            <w:color w:val="111111"/>
            <w:sz w:val="22"/>
            <w:szCs w:val="22"/>
            <w:b w:val="0"/>
            <w:bCs w:val="0"/>
            <w:i w:val="0"/>
            <w:iCs w:val="0"/>
          </w:rPr>
          <w:t>1806- دیوان خلیل حلی أو شعره‏</w:t>
        </w:r>
        <w:r>
          <w:tab/>
        </w:r>
        <w:r>
          <w:fldChar w:fldCharType="begin"/>
        </w:r>
        <w:r>
          <w:instrText xml:space="preserve">PAGEREF 2320 \h</w:instrText>
        </w:r>
        <w:r>
          <w:fldChar w:fldCharType="end"/>
        </w:r>
      </w:hyperlink>
    </w:p>
    <w:p>
      <w:pPr>
        <w:tabs>
          <w:tab w:val="right" w:leader="dot" w:pos="9062"/>
        </w:tabs>
        <w:ind w:left="440"/>
      </w:pPr>
      <w:hyperlink w:anchor="_Toc2321" w:history="1">
        <w:r>
          <w:rPr>
            <w:rFonts w:ascii="IRNazanin" w:hAnsi="IRNazanin" w:eastAsia="IRNazanin" w:cs="IRNazanin"/>
            <w:color w:val="111111"/>
            <w:sz w:val="22"/>
            <w:szCs w:val="22"/>
            <w:b w:val="0"/>
            <w:bCs w:val="0"/>
            <w:i w:val="0"/>
            <w:iCs w:val="0"/>
          </w:rPr>
          <w:t>1807- دیوان خلیل خراسانی أو شعره‏</w:t>
        </w:r>
        <w:r>
          <w:tab/>
        </w:r>
        <w:r>
          <w:fldChar w:fldCharType="begin"/>
        </w:r>
        <w:r>
          <w:instrText xml:space="preserve">PAGEREF 2321 \h</w:instrText>
        </w:r>
        <w:r>
          <w:fldChar w:fldCharType="end"/>
        </w:r>
      </w:hyperlink>
    </w:p>
    <w:p>
      <w:pPr>
        <w:tabs>
          <w:tab w:val="right" w:leader="dot" w:pos="9062"/>
        </w:tabs>
        <w:ind w:left="440"/>
      </w:pPr>
      <w:hyperlink w:anchor="_Toc2322" w:history="1">
        <w:r>
          <w:rPr>
            <w:rFonts w:ascii="IRNazanin" w:hAnsi="IRNazanin" w:eastAsia="IRNazanin" w:cs="IRNazanin"/>
            <w:color w:val="111111"/>
            <w:sz w:val="22"/>
            <w:szCs w:val="22"/>
            <w:b w:val="0"/>
            <w:bCs w:val="0"/>
            <w:i w:val="0"/>
            <w:iCs w:val="0"/>
          </w:rPr>
          <w:t>1808- دیوان خلیل خلخالی أو شعره‏</w:t>
        </w:r>
        <w:r>
          <w:tab/>
        </w:r>
        <w:r>
          <w:fldChar w:fldCharType="begin"/>
        </w:r>
        <w:r>
          <w:instrText xml:space="preserve">PAGEREF 2322 \h</w:instrText>
        </w:r>
        <w:r>
          <w:fldChar w:fldCharType="end"/>
        </w:r>
      </w:hyperlink>
    </w:p>
    <w:p>
      <w:pPr>
        <w:tabs>
          <w:tab w:val="right" w:leader="dot" w:pos="9062"/>
        </w:tabs>
        <w:ind w:left="440"/>
      </w:pPr>
      <w:hyperlink w:anchor="_Toc2323" w:history="1">
        <w:r>
          <w:rPr>
            <w:rFonts w:ascii="IRNazanin" w:hAnsi="IRNazanin" w:eastAsia="IRNazanin" w:cs="IRNazanin"/>
            <w:color w:val="111111"/>
            <w:sz w:val="22"/>
            <w:szCs w:val="22"/>
            <w:b w:val="0"/>
            <w:bCs w:val="0"/>
            <w:i w:val="0"/>
            <w:iCs w:val="0"/>
          </w:rPr>
          <w:t>1809- دیوان خلیل سمرقندی‏</w:t>
        </w:r>
        <w:r>
          <w:tab/>
        </w:r>
        <w:r>
          <w:fldChar w:fldCharType="begin"/>
        </w:r>
        <w:r>
          <w:instrText xml:space="preserve">PAGEREF 2323 \h</w:instrText>
        </w:r>
        <w:r>
          <w:fldChar w:fldCharType="end"/>
        </w:r>
      </w:hyperlink>
    </w:p>
    <w:p>
      <w:pPr>
        <w:tabs>
          <w:tab w:val="right" w:leader="dot" w:pos="9062"/>
        </w:tabs>
        <w:ind w:left="440"/>
      </w:pPr>
      <w:hyperlink w:anchor="_Toc2324" w:history="1">
        <w:r>
          <w:rPr>
            <w:rFonts w:ascii="IRNazanin" w:hAnsi="IRNazanin" w:eastAsia="IRNazanin" w:cs="IRNazanin"/>
            <w:color w:val="111111"/>
            <w:sz w:val="22"/>
            <w:szCs w:val="22"/>
            <w:b w:val="0"/>
            <w:bCs w:val="0"/>
            <w:i w:val="0"/>
            <w:iCs w:val="0"/>
          </w:rPr>
          <w:t>1810- دیوان خلیل شوشتری أو شعره‏</w:t>
        </w:r>
        <w:r>
          <w:tab/>
        </w:r>
        <w:r>
          <w:fldChar w:fldCharType="begin"/>
        </w:r>
        <w:r>
          <w:instrText xml:space="preserve">PAGEREF 2324 \h</w:instrText>
        </w:r>
        <w:r>
          <w:fldChar w:fldCharType="end"/>
        </w:r>
      </w:hyperlink>
    </w:p>
    <w:p>
      <w:pPr>
        <w:tabs>
          <w:tab w:val="right" w:leader="dot" w:pos="9062"/>
        </w:tabs>
        <w:ind w:left="440"/>
      </w:pPr>
      <w:hyperlink w:anchor="_Toc2325" w:history="1">
        <w:r>
          <w:rPr>
            <w:rFonts w:ascii="IRNazanin" w:hAnsi="IRNazanin" w:eastAsia="IRNazanin" w:cs="IRNazanin"/>
            <w:color w:val="111111"/>
            <w:sz w:val="22"/>
            <w:szCs w:val="22"/>
            <w:b w:val="0"/>
            <w:bCs w:val="0"/>
            <w:i w:val="0"/>
            <w:iCs w:val="0"/>
          </w:rPr>
          <w:t>1811- دیوان خلیل طارخانی أو شعره‏</w:t>
        </w:r>
        <w:r>
          <w:tab/>
        </w:r>
        <w:r>
          <w:fldChar w:fldCharType="begin"/>
        </w:r>
        <w:r>
          <w:instrText xml:space="preserve">PAGEREF 2325 \h</w:instrText>
        </w:r>
        <w:r>
          <w:fldChar w:fldCharType="end"/>
        </w:r>
      </w:hyperlink>
    </w:p>
    <w:p>
      <w:pPr>
        <w:tabs>
          <w:tab w:val="right" w:leader="dot" w:pos="9062"/>
        </w:tabs>
        <w:ind w:left="440"/>
      </w:pPr>
      <w:hyperlink w:anchor="_Toc2326" w:history="1">
        <w:r>
          <w:rPr>
            <w:rFonts w:ascii="IRNazanin" w:hAnsi="IRNazanin" w:eastAsia="IRNazanin" w:cs="IRNazanin"/>
            <w:color w:val="111111"/>
            <w:sz w:val="22"/>
            <w:szCs w:val="22"/>
            <w:b w:val="0"/>
            <w:bCs w:val="0"/>
            <w:i w:val="0"/>
            <w:iCs w:val="0"/>
          </w:rPr>
          <w:t>1812- دیوان الخلیل العروضی النحوی‏</w:t>
        </w:r>
        <w:r>
          <w:tab/>
        </w:r>
        <w:r>
          <w:fldChar w:fldCharType="begin"/>
        </w:r>
        <w:r>
          <w:instrText xml:space="preserve">PAGEREF 2326 \h</w:instrText>
        </w:r>
        <w:r>
          <w:fldChar w:fldCharType="end"/>
        </w:r>
      </w:hyperlink>
    </w:p>
    <w:p>
      <w:pPr>
        <w:tabs>
          <w:tab w:val="right" w:leader="dot" w:pos="9062"/>
        </w:tabs>
        <w:ind w:left="440"/>
      </w:pPr>
      <w:hyperlink w:anchor="_Toc2327" w:history="1">
        <w:r>
          <w:rPr>
            <w:rFonts w:ascii="IRNazanin" w:hAnsi="IRNazanin" w:eastAsia="IRNazanin" w:cs="IRNazanin"/>
            <w:color w:val="111111"/>
            <w:sz w:val="22"/>
            <w:szCs w:val="22"/>
            <w:b w:val="0"/>
            <w:bCs w:val="0"/>
            <w:i w:val="0"/>
            <w:iCs w:val="0"/>
          </w:rPr>
          <w:t>1813- دیوان خلیل کاشانی‏</w:t>
        </w:r>
        <w:r>
          <w:tab/>
        </w:r>
        <w:r>
          <w:fldChar w:fldCharType="begin"/>
        </w:r>
        <w:r>
          <w:instrText xml:space="preserve">PAGEREF 2327 \h</w:instrText>
        </w:r>
        <w:r>
          <w:fldChar w:fldCharType="end"/>
        </w:r>
      </w:hyperlink>
    </w:p>
    <w:p>
      <w:pPr>
        <w:tabs>
          <w:tab w:val="right" w:leader="dot" w:pos="9062"/>
        </w:tabs>
        <w:ind w:left="440"/>
      </w:pPr>
      <w:hyperlink w:anchor="_Toc2328" w:history="1">
        <w:r>
          <w:rPr>
            <w:rFonts w:ascii="IRNazanin" w:hAnsi="IRNazanin" w:eastAsia="IRNazanin" w:cs="IRNazanin"/>
            <w:color w:val="111111"/>
            <w:sz w:val="22"/>
            <w:szCs w:val="22"/>
            <w:b w:val="0"/>
            <w:bCs w:val="0"/>
            <w:i w:val="0"/>
            <w:iCs w:val="0"/>
          </w:rPr>
          <w:t>1814- دیوان خلیل لاهیجی أو شعره‏</w:t>
        </w:r>
        <w:r>
          <w:tab/>
        </w:r>
        <w:r>
          <w:fldChar w:fldCharType="begin"/>
        </w:r>
        <w:r>
          <w:instrText xml:space="preserve">PAGEREF 2328 \h</w:instrText>
        </w:r>
        <w:r>
          <w:fldChar w:fldCharType="end"/>
        </w:r>
      </w:hyperlink>
    </w:p>
    <w:p>
      <w:pPr>
        <w:tabs>
          <w:tab w:val="right" w:leader="dot" w:pos="9062"/>
        </w:tabs>
        <w:ind w:left="440"/>
      </w:pPr>
      <w:hyperlink w:anchor="_Toc2329" w:history="1">
        <w:r>
          <w:rPr>
            <w:rFonts w:ascii="IRNazanin" w:hAnsi="IRNazanin" w:eastAsia="IRNazanin" w:cs="IRNazanin"/>
            <w:color w:val="111111"/>
            <w:sz w:val="22"/>
            <w:szCs w:val="22"/>
            <w:b w:val="0"/>
            <w:bCs w:val="0"/>
            <w:i w:val="0"/>
            <w:iCs w:val="0"/>
          </w:rPr>
          <w:t>1815- دیوان خلیل نخجوانی أو شعره‏</w:t>
        </w:r>
        <w:r>
          <w:tab/>
        </w:r>
        <w:r>
          <w:fldChar w:fldCharType="begin"/>
        </w:r>
        <w:r>
          <w:instrText xml:space="preserve">PAGEREF 2329 \h</w:instrText>
        </w:r>
        <w:r>
          <w:fldChar w:fldCharType="end"/>
        </w:r>
      </w:hyperlink>
    </w:p>
    <w:p>
      <w:pPr>
        <w:tabs>
          <w:tab w:val="right" w:leader="dot" w:pos="9062"/>
        </w:tabs>
        <w:ind w:left="440"/>
      </w:pPr>
      <w:hyperlink w:anchor="_Toc2330" w:history="1">
        <w:r>
          <w:rPr>
            <w:rFonts w:ascii="IRNazanin" w:hAnsi="IRNazanin" w:eastAsia="IRNazanin" w:cs="IRNazanin"/>
            <w:color w:val="111111"/>
            <w:sz w:val="22"/>
            <w:szCs w:val="22"/>
            <w:b w:val="0"/>
            <w:bCs w:val="0"/>
            <w:i w:val="0"/>
            <w:iCs w:val="0"/>
          </w:rPr>
          <w:t>1816- دیوان خلیل همدانی أو شعره‏</w:t>
        </w:r>
        <w:r>
          <w:tab/>
        </w:r>
        <w:r>
          <w:fldChar w:fldCharType="begin"/>
        </w:r>
        <w:r>
          <w:instrText xml:space="preserve">PAGEREF 2330 \h</w:instrText>
        </w:r>
        <w:r>
          <w:fldChar w:fldCharType="end"/>
        </w:r>
      </w:hyperlink>
    </w:p>
    <w:p>
      <w:pPr>
        <w:tabs>
          <w:tab w:val="right" w:leader="dot" w:pos="9062"/>
        </w:tabs>
        <w:ind w:left="440"/>
      </w:pPr>
      <w:hyperlink w:anchor="_Toc2331" w:history="1">
        <w:r>
          <w:rPr>
            <w:rFonts w:ascii="IRNazanin" w:hAnsi="IRNazanin" w:eastAsia="IRNazanin" w:cs="IRNazanin"/>
            <w:color w:val="111111"/>
            <w:sz w:val="22"/>
            <w:szCs w:val="22"/>
            <w:b w:val="0"/>
            <w:bCs w:val="0"/>
            <w:i w:val="0"/>
            <w:iCs w:val="0"/>
          </w:rPr>
          <w:t>1817- دیوان خلیل هندی أو شعره‏</w:t>
        </w:r>
        <w:r>
          <w:tab/>
        </w:r>
        <w:r>
          <w:fldChar w:fldCharType="begin"/>
        </w:r>
        <w:r>
          <w:instrText xml:space="preserve">PAGEREF 2331 \h</w:instrText>
        </w:r>
        <w:r>
          <w:fldChar w:fldCharType="end"/>
        </w:r>
      </w:hyperlink>
    </w:p>
    <w:p>
      <w:pPr>
        <w:tabs>
          <w:tab w:val="right" w:leader="dot" w:pos="9062"/>
        </w:tabs>
        <w:ind w:left="440"/>
      </w:pPr>
      <w:hyperlink w:anchor="_Toc2332" w:history="1">
        <w:r>
          <w:rPr>
            <w:rFonts w:ascii="IRNazanin" w:hAnsi="IRNazanin" w:eastAsia="IRNazanin" w:cs="IRNazanin"/>
            <w:color w:val="111111"/>
            <w:sz w:val="22"/>
            <w:szCs w:val="22"/>
            <w:b w:val="0"/>
            <w:bCs w:val="0"/>
            <w:i w:val="0"/>
            <w:iCs w:val="0"/>
          </w:rPr>
          <w:t>1818- دیوان خلیل هندی أو شعره‏</w:t>
        </w:r>
        <w:r>
          <w:tab/>
        </w:r>
        <w:r>
          <w:fldChar w:fldCharType="begin"/>
        </w:r>
        <w:r>
          <w:instrText xml:space="preserve">PAGEREF 2332 \h</w:instrText>
        </w:r>
        <w:r>
          <w:fldChar w:fldCharType="end"/>
        </w:r>
      </w:hyperlink>
    </w:p>
    <w:p>
      <w:pPr>
        <w:tabs>
          <w:tab w:val="right" w:leader="dot" w:pos="9062"/>
        </w:tabs>
        <w:ind w:left="440"/>
      </w:pPr>
      <w:hyperlink w:anchor="_Toc2333" w:history="1">
        <w:r>
          <w:rPr>
            <w:rFonts w:ascii="IRNazanin" w:hAnsi="IRNazanin" w:eastAsia="IRNazanin" w:cs="IRNazanin"/>
            <w:color w:val="111111"/>
            <w:sz w:val="22"/>
            <w:szCs w:val="22"/>
            <w:b w:val="0"/>
            <w:bCs w:val="0"/>
            <w:i w:val="0"/>
            <w:iCs w:val="0"/>
          </w:rPr>
          <w:t>دیوان خموش‏</w:t>
        </w:r>
        <w:r>
          <w:tab/>
        </w:r>
        <w:r>
          <w:fldChar w:fldCharType="begin"/>
        </w:r>
        <w:r>
          <w:instrText xml:space="preserve">PAGEREF 2333 \h</w:instrText>
        </w:r>
        <w:r>
          <w:fldChar w:fldCharType="end"/>
        </w:r>
      </w:hyperlink>
    </w:p>
    <w:p>
      <w:pPr>
        <w:tabs>
          <w:tab w:val="right" w:leader="dot" w:pos="9062"/>
        </w:tabs>
        <w:ind w:left="440"/>
      </w:pPr>
      <w:hyperlink w:anchor="_Toc2334" w:history="1">
        <w:r>
          <w:rPr>
            <w:rFonts w:ascii="IRNazanin" w:hAnsi="IRNazanin" w:eastAsia="IRNazanin" w:cs="IRNazanin"/>
            <w:color w:val="111111"/>
            <w:sz w:val="22"/>
            <w:szCs w:val="22"/>
            <w:b w:val="0"/>
            <w:bCs w:val="0"/>
            <w:i w:val="0"/>
            <w:iCs w:val="0"/>
          </w:rPr>
          <w:t>1819- دیوان خموش شیرازی‏</w:t>
        </w:r>
        <w:r>
          <w:tab/>
        </w:r>
        <w:r>
          <w:fldChar w:fldCharType="begin"/>
        </w:r>
        <w:r>
          <w:instrText xml:space="preserve">PAGEREF 2334 \h</w:instrText>
        </w:r>
        <w:r>
          <w:fldChar w:fldCharType="end"/>
        </w:r>
      </w:hyperlink>
    </w:p>
    <w:p>
      <w:pPr>
        <w:tabs>
          <w:tab w:val="right" w:leader="dot" w:pos="9062"/>
        </w:tabs>
        <w:ind w:left="440"/>
      </w:pPr>
      <w:hyperlink w:anchor="_Toc2335" w:history="1">
        <w:r>
          <w:rPr>
            <w:rFonts w:ascii="IRNazanin" w:hAnsi="IRNazanin" w:eastAsia="IRNazanin" w:cs="IRNazanin"/>
            <w:color w:val="111111"/>
            <w:sz w:val="22"/>
            <w:szCs w:val="22"/>
            <w:b w:val="0"/>
            <w:bCs w:val="0"/>
            <w:i w:val="0"/>
            <w:iCs w:val="0"/>
          </w:rPr>
          <w:t>1820- دیوان خموش طالقانی‏</w:t>
        </w:r>
        <w:r>
          <w:tab/>
        </w:r>
        <w:r>
          <w:fldChar w:fldCharType="begin"/>
        </w:r>
        <w:r>
          <w:instrText xml:space="preserve">PAGEREF 2335 \h</w:instrText>
        </w:r>
        <w:r>
          <w:fldChar w:fldCharType="end"/>
        </w:r>
      </w:hyperlink>
    </w:p>
    <w:p>
      <w:pPr>
        <w:tabs>
          <w:tab w:val="right" w:leader="dot" w:pos="9062"/>
        </w:tabs>
        <w:ind w:left="440"/>
      </w:pPr>
      <w:hyperlink w:anchor="_Toc2336" w:history="1">
        <w:r>
          <w:rPr>
            <w:rFonts w:ascii="IRNazanin" w:hAnsi="IRNazanin" w:eastAsia="IRNazanin" w:cs="IRNazanin"/>
            <w:color w:val="111111"/>
            <w:sz w:val="22"/>
            <w:szCs w:val="22"/>
            <w:b w:val="0"/>
            <w:bCs w:val="0"/>
            <w:i w:val="0"/>
            <w:iCs w:val="0"/>
          </w:rPr>
          <w:t>1821- دیوان خموش طهرانی‏</w:t>
        </w:r>
        <w:r>
          <w:tab/>
        </w:r>
        <w:r>
          <w:fldChar w:fldCharType="begin"/>
        </w:r>
        <w:r>
          <w:instrText xml:space="preserve">PAGEREF 2336 \h</w:instrText>
        </w:r>
        <w:r>
          <w:fldChar w:fldCharType="end"/>
        </w:r>
      </w:hyperlink>
    </w:p>
    <w:p>
      <w:pPr>
        <w:tabs>
          <w:tab w:val="right" w:leader="dot" w:pos="9062"/>
        </w:tabs>
        <w:ind w:left="440"/>
      </w:pPr>
      <w:hyperlink w:anchor="_Toc2337" w:history="1">
        <w:r>
          <w:rPr>
            <w:rFonts w:ascii="IRNazanin" w:hAnsi="IRNazanin" w:eastAsia="IRNazanin" w:cs="IRNazanin"/>
            <w:color w:val="111111"/>
            <w:sz w:val="22"/>
            <w:szCs w:val="22"/>
            <w:b w:val="0"/>
            <w:bCs w:val="0"/>
            <w:i w:val="0"/>
            <w:iCs w:val="0"/>
          </w:rPr>
          <w:t>1822- دیوان خموشی رازی أو شعره‏</w:t>
        </w:r>
        <w:r>
          <w:tab/>
        </w:r>
        <w:r>
          <w:fldChar w:fldCharType="begin"/>
        </w:r>
        <w:r>
          <w:instrText xml:space="preserve">PAGEREF 2337 \h</w:instrText>
        </w:r>
        <w:r>
          <w:fldChar w:fldCharType="end"/>
        </w:r>
      </w:hyperlink>
    </w:p>
    <w:p>
      <w:pPr>
        <w:tabs>
          <w:tab w:val="right" w:leader="dot" w:pos="9062"/>
        </w:tabs>
        <w:ind w:left="440"/>
      </w:pPr>
      <w:hyperlink w:anchor="_Toc2338" w:history="1">
        <w:r>
          <w:rPr>
            <w:rFonts w:ascii="IRNazanin" w:hAnsi="IRNazanin" w:eastAsia="IRNazanin" w:cs="IRNazanin"/>
            <w:color w:val="111111"/>
            <w:sz w:val="22"/>
            <w:szCs w:val="22"/>
            <w:b w:val="0"/>
            <w:bCs w:val="0"/>
            <w:i w:val="0"/>
            <w:iCs w:val="0"/>
          </w:rPr>
          <w:t>1823- دیوان السید خنجر أو شعره‏</w:t>
        </w:r>
        <w:r>
          <w:tab/>
        </w:r>
        <w:r>
          <w:fldChar w:fldCharType="begin"/>
        </w:r>
        <w:r>
          <w:instrText xml:space="preserve">PAGEREF 2338 \h</w:instrText>
        </w:r>
        <w:r>
          <w:fldChar w:fldCharType="end"/>
        </w:r>
      </w:hyperlink>
    </w:p>
    <w:p>
      <w:pPr>
        <w:tabs>
          <w:tab w:val="right" w:leader="dot" w:pos="9062"/>
        </w:tabs>
        <w:ind w:left="440"/>
      </w:pPr>
      <w:hyperlink w:anchor="_Toc2339" w:history="1">
        <w:r>
          <w:rPr>
            <w:rFonts w:ascii="IRNazanin" w:hAnsi="IRNazanin" w:eastAsia="IRNazanin" w:cs="IRNazanin"/>
            <w:color w:val="111111"/>
            <w:sz w:val="22"/>
            <w:szCs w:val="22"/>
            <w:b w:val="0"/>
            <w:bCs w:val="0"/>
            <w:i w:val="0"/>
            <w:iCs w:val="0"/>
          </w:rPr>
          <w:t>دیوان خندان‏</w:t>
        </w:r>
        <w:r>
          <w:tab/>
        </w:r>
        <w:r>
          <w:fldChar w:fldCharType="begin"/>
        </w:r>
        <w:r>
          <w:instrText xml:space="preserve">PAGEREF 2339 \h</w:instrText>
        </w:r>
        <w:r>
          <w:fldChar w:fldCharType="end"/>
        </w:r>
      </w:hyperlink>
    </w:p>
    <w:p>
      <w:pPr>
        <w:tabs>
          <w:tab w:val="right" w:leader="dot" w:pos="9062"/>
        </w:tabs>
        <w:ind w:left="440"/>
      </w:pPr>
      <w:hyperlink w:anchor="_Toc2340" w:history="1">
        <w:r>
          <w:rPr>
            <w:rFonts w:ascii="IRNazanin" w:hAnsi="IRNazanin" w:eastAsia="IRNazanin" w:cs="IRNazanin"/>
            <w:color w:val="111111"/>
            <w:sz w:val="22"/>
            <w:szCs w:val="22"/>
            <w:b w:val="0"/>
            <w:bCs w:val="0"/>
            <w:i w:val="0"/>
            <w:iCs w:val="0"/>
          </w:rPr>
          <w:t>1824- دیوان خواجو کرمانی‏</w:t>
        </w:r>
        <w:r>
          <w:tab/>
        </w:r>
        <w:r>
          <w:fldChar w:fldCharType="begin"/>
        </w:r>
        <w:r>
          <w:instrText xml:space="preserve">PAGEREF 2340 \h</w:instrText>
        </w:r>
        <w:r>
          <w:fldChar w:fldCharType="end"/>
        </w:r>
      </w:hyperlink>
    </w:p>
    <w:p>
      <w:pPr>
        <w:tabs>
          <w:tab w:val="right" w:leader="dot" w:pos="9062"/>
        </w:tabs>
        <w:ind w:left="440"/>
      </w:pPr>
      <w:hyperlink w:anchor="_Toc2341" w:history="1">
        <w:r>
          <w:rPr>
            <w:rFonts w:ascii="IRNazanin" w:hAnsi="IRNazanin" w:eastAsia="IRNazanin" w:cs="IRNazanin"/>
            <w:color w:val="111111"/>
            <w:sz w:val="22"/>
            <w:szCs w:val="22"/>
            <w:b w:val="0"/>
            <w:bCs w:val="0"/>
            <w:i w:val="0"/>
            <w:iCs w:val="0"/>
          </w:rPr>
          <w:t>1825- دیوان خواجوزاده کابلی أو شعره‏</w:t>
        </w:r>
        <w:r>
          <w:tab/>
        </w:r>
        <w:r>
          <w:fldChar w:fldCharType="begin"/>
        </w:r>
        <w:r>
          <w:instrText xml:space="preserve">PAGEREF 2341 \h</w:instrText>
        </w:r>
        <w:r>
          <w:fldChar w:fldCharType="end"/>
        </w:r>
      </w:hyperlink>
    </w:p>
    <w:p>
      <w:pPr>
        <w:tabs>
          <w:tab w:val="right" w:leader="dot" w:pos="9062"/>
        </w:tabs>
        <w:ind w:left="440"/>
      </w:pPr>
      <w:hyperlink w:anchor="_Toc2342" w:history="1">
        <w:r>
          <w:rPr>
            <w:rFonts w:ascii="IRNazanin" w:hAnsi="IRNazanin" w:eastAsia="IRNazanin" w:cs="IRNazanin"/>
            <w:color w:val="111111"/>
            <w:sz w:val="22"/>
            <w:szCs w:val="22"/>
            <w:b w:val="0"/>
            <w:bCs w:val="0"/>
            <w:i w:val="0"/>
            <w:iCs w:val="0"/>
          </w:rPr>
          <w:t>دیوان خواجه‏</w:t>
        </w:r>
        <w:r>
          <w:tab/>
        </w:r>
        <w:r>
          <w:fldChar w:fldCharType="begin"/>
        </w:r>
        <w:r>
          <w:instrText xml:space="preserve">PAGEREF 2342 \h</w:instrText>
        </w:r>
        <w:r>
          <w:fldChar w:fldCharType="end"/>
        </w:r>
      </w:hyperlink>
    </w:p>
    <w:p>
      <w:pPr>
        <w:tabs>
          <w:tab w:val="right" w:leader="dot" w:pos="9062"/>
        </w:tabs>
        <w:ind w:left="440"/>
      </w:pPr>
      <w:hyperlink w:anchor="_Toc2343" w:history="1">
        <w:r>
          <w:rPr>
            <w:rFonts w:ascii="IRNazanin" w:hAnsi="IRNazanin" w:eastAsia="IRNazanin" w:cs="IRNazanin"/>
            <w:color w:val="111111"/>
            <w:sz w:val="22"/>
            <w:szCs w:val="22"/>
            <w:b w:val="0"/>
            <w:bCs w:val="0"/>
            <w:i w:val="0"/>
            <w:iCs w:val="0"/>
          </w:rPr>
          <w:t>1826- دیوان خواجکی بلخی أو شعره‏</w:t>
        </w:r>
        <w:r>
          <w:tab/>
        </w:r>
        <w:r>
          <w:fldChar w:fldCharType="begin"/>
        </w:r>
        <w:r>
          <w:instrText xml:space="preserve">PAGEREF 2343 \h</w:instrText>
        </w:r>
        <w:r>
          <w:fldChar w:fldCharType="end"/>
        </w:r>
      </w:hyperlink>
    </w:p>
    <w:p>
      <w:pPr>
        <w:tabs>
          <w:tab w:val="right" w:leader="dot" w:pos="9062"/>
        </w:tabs>
        <w:ind w:left="440"/>
      </w:pPr>
      <w:hyperlink w:anchor="_Toc2344" w:history="1">
        <w:r>
          <w:rPr>
            <w:rFonts w:ascii="IRNazanin" w:hAnsi="IRNazanin" w:eastAsia="IRNazanin" w:cs="IRNazanin"/>
            <w:color w:val="111111"/>
            <w:sz w:val="22"/>
            <w:szCs w:val="22"/>
            <w:b w:val="0"/>
            <w:bCs w:val="0"/>
            <w:i w:val="0"/>
            <w:iCs w:val="0"/>
          </w:rPr>
          <w:t>دیوان خواجه آصفی‏</w:t>
        </w:r>
        <w:r>
          <w:tab/>
        </w:r>
        <w:r>
          <w:fldChar w:fldCharType="begin"/>
        </w:r>
        <w:r>
          <w:instrText xml:space="preserve">PAGEREF 2344 \h</w:instrText>
        </w:r>
        <w:r>
          <w:fldChar w:fldCharType="end"/>
        </w:r>
      </w:hyperlink>
    </w:p>
    <w:p>
      <w:pPr>
        <w:tabs>
          <w:tab w:val="right" w:leader="dot" w:pos="9062"/>
        </w:tabs>
        <w:ind w:left="440"/>
      </w:pPr>
      <w:hyperlink w:anchor="_Toc2345" w:history="1">
        <w:r>
          <w:rPr>
            <w:rFonts w:ascii="IRNazanin" w:hAnsi="IRNazanin" w:eastAsia="IRNazanin" w:cs="IRNazanin"/>
            <w:color w:val="111111"/>
            <w:sz w:val="22"/>
            <w:szCs w:val="22"/>
            <w:b w:val="0"/>
            <w:bCs w:val="0"/>
            <w:i w:val="0"/>
            <w:iCs w:val="0"/>
          </w:rPr>
          <w:t>1827- دیوان خواجه اختیار گنابادی‏</w:t>
        </w:r>
        <w:r>
          <w:tab/>
        </w:r>
        <w:r>
          <w:fldChar w:fldCharType="begin"/>
        </w:r>
        <w:r>
          <w:instrText xml:space="preserve">PAGEREF 2345 \h</w:instrText>
        </w:r>
        <w:r>
          <w:fldChar w:fldCharType="end"/>
        </w:r>
      </w:hyperlink>
    </w:p>
    <w:p>
      <w:pPr>
        <w:tabs>
          <w:tab w:val="right" w:leader="dot" w:pos="9062"/>
        </w:tabs>
        <w:ind w:left="440"/>
      </w:pPr>
      <w:hyperlink w:anchor="_Toc2346" w:history="1">
        <w:r>
          <w:rPr>
            <w:rFonts w:ascii="IRNazanin" w:hAnsi="IRNazanin" w:eastAsia="IRNazanin" w:cs="IRNazanin"/>
            <w:color w:val="111111"/>
            <w:sz w:val="22"/>
            <w:szCs w:val="22"/>
            <w:b w:val="0"/>
            <w:bCs w:val="0"/>
            <w:i w:val="0"/>
            <w:iCs w:val="0"/>
          </w:rPr>
          <w:t>1828- دیوان خواجه أصفهانی أو شعره‏</w:t>
        </w:r>
        <w:r>
          <w:tab/>
        </w:r>
        <w:r>
          <w:fldChar w:fldCharType="begin"/>
        </w:r>
        <w:r>
          <w:instrText xml:space="preserve">PAGEREF 2346 \h</w:instrText>
        </w:r>
        <w:r>
          <w:fldChar w:fldCharType="end"/>
        </w:r>
      </w:hyperlink>
    </w:p>
    <w:p>
      <w:pPr>
        <w:tabs>
          <w:tab w:val="right" w:leader="dot" w:pos="9062"/>
        </w:tabs>
        <w:ind w:left="440"/>
      </w:pPr>
      <w:hyperlink w:anchor="_Toc2347" w:history="1">
        <w:r>
          <w:rPr>
            <w:rFonts w:ascii="IRNazanin" w:hAnsi="IRNazanin" w:eastAsia="IRNazanin" w:cs="IRNazanin"/>
            <w:color w:val="111111"/>
            <w:sz w:val="22"/>
            <w:szCs w:val="22"/>
            <w:b w:val="0"/>
            <w:bCs w:val="0"/>
            <w:i w:val="0"/>
            <w:iCs w:val="0"/>
          </w:rPr>
          <w:t>1829- دیوان خواجه عبد الله أنصاری‏</w:t>
        </w:r>
        <w:r>
          <w:tab/>
        </w:r>
        <w:r>
          <w:fldChar w:fldCharType="begin"/>
        </w:r>
        <w:r>
          <w:instrText xml:space="preserve">PAGEREF 2347 \h</w:instrText>
        </w:r>
        <w:r>
          <w:fldChar w:fldCharType="end"/>
        </w:r>
      </w:hyperlink>
    </w:p>
    <w:p>
      <w:pPr>
        <w:tabs>
          <w:tab w:val="right" w:leader="dot" w:pos="9062"/>
        </w:tabs>
        <w:ind w:left="440"/>
      </w:pPr>
      <w:hyperlink w:anchor="_Toc2348" w:history="1">
        <w:r>
          <w:rPr>
            <w:rFonts w:ascii="IRNazanin" w:hAnsi="IRNazanin" w:eastAsia="IRNazanin" w:cs="IRNazanin"/>
            <w:color w:val="111111"/>
            <w:sz w:val="22"/>
            <w:szCs w:val="22"/>
            <w:b w:val="0"/>
            <w:bCs w:val="0"/>
            <w:i w:val="0"/>
            <w:iCs w:val="0"/>
          </w:rPr>
          <w:t>دیوان خواجه عصمت بخاری‏</w:t>
        </w:r>
        <w:r>
          <w:tab/>
        </w:r>
        <w:r>
          <w:fldChar w:fldCharType="begin"/>
        </w:r>
        <w:r>
          <w:instrText xml:space="preserve">PAGEREF 2348 \h</w:instrText>
        </w:r>
        <w:r>
          <w:fldChar w:fldCharType="end"/>
        </w:r>
      </w:hyperlink>
    </w:p>
    <w:p>
      <w:pPr>
        <w:tabs>
          <w:tab w:val="right" w:leader="dot" w:pos="9062"/>
        </w:tabs>
        <w:ind w:left="440"/>
      </w:pPr>
      <w:hyperlink w:anchor="_Toc2349" w:history="1">
        <w:r>
          <w:rPr>
            <w:rFonts w:ascii="IRNazanin" w:hAnsi="IRNazanin" w:eastAsia="IRNazanin" w:cs="IRNazanin"/>
            <w:color w:val="111111"/>
            <w:sz w:val="22"/>
            <w:szCs w:val="22"/>
            <w:b w:val="0"/>
            <w:bCs w:val="0"/>
            <w:i w:val="0"/>
            <w:iCs w:val="0"/>
          </w:rPr>
          <w:t>دیوان خواجه مسعود قمی‏</w:t>
        </w:r>
        <w:r>
          <w:tab/>
        </w:r>
        <w:r>
          <w:fldChar w:fldCharType="begin"/>
        </w:r>
        <w:r>
          <w:instrText xml:space="preserve">PAGEREF 2349 \h</w:instrText>
        </w:r>
        <w:r>
          <w:fldChar w:fldCharType="end"/>
        </w:r>
      </w:hyperlink>
    </w:p>
    <w:p>
      <w:pPr>
        <w:tabs>
          <w:tab w:val="right" w:leader="dot" w:pos="9062"/>
        </w:tabs>
        <w:ind w:left="440"/>
      </w:pPr>
      <w:hyperlink w:anchor="_Toc2350" w:history="1">
        <w:r>
          <w:rPr>
            <w:rFonts w:ascii="IRNazanin" w:hAnsi="IRNazanin" w:eastAsia="IRNazanin" w:cs="IRNazanin"/>
            <w:color w:val="111111"/>
            <w:sz w:val="22"/>
            <w:szCs w:val="22"/>
            <w:b w:val="0"/>
            <w:bCs w:val="0"/>
            <w:i w:val="0"/>
            <w:iCs w:val="0"/>
          </w:rPr>
          <w:t>1830- دیوان خواجه نصیر الدین طوسی‏</w:t>
        </w:r>
        <w:r>
          <w:tab/>
        </w:r>
        <w:r>
          <w:fldChar w:fldCharType="begin"/>
        </w:r>
        <w:r>
          <w:instrText xml:space="preserve">PAGEREF 2350 \h</w:instrText>
        </w:r>
        <w:r>
          <w:fldChar w:fldCharType="end"/>
        </w:r>
      </w:hyperlink>
    </w:p>
    <w:p>
      <w:pPr>
        <w:tabs>
          <w:tab w:val="right" w:leader="dot" w:pos="9062"/>
        </w:tabs>
        <w:ind w:left="440"/>
      </w:pPr>
      <w:hyperlink w:anchor="_Toc2351" w:history="1">
        <w:r>
          <w:rPr>
            <w:rFonts w:ascii="IRNazanin" w:hAnsi="IRNazanin" w:eastAsia="IRNazanin" w:cs="IRNazanin"/>
            <w:color w:val="111111"/>
            <w:sz w:val="22"/>
            <w:szCs w:val="22"/>
            <w:b w:val="0"/>
            <w:bCs w:val="0"/>
            <w:i w:val="0"/>
            <w:iCs w:val="0"/>
          </w:rPr>
          <w:t>دیوان خوارزمی‏</w:t>
        </w:r>
        <w:r>
          <w:tab/>
        </w:r>
        <w:r>
          <w:fldChar w:fldCharType="begin"/>
        </w:r>
        <w:r>
          <w:instrText xml:space="preserve">PAGEREF 2351 \h</w:instrText>
        </w:r>
        <w:r>
          <w:fldChar w:fldCharType="end"/>
        </w:r>
      </w:hyperlink>
    </w:p>
    <w:p>
      <w:pPr>
        <w:tabs>
          <w:tab w:val="right" w:leader="dot" w:pos="9062"/>
        </w:tabs>
        <w:ind w:left="440"/>
      </w:pPr>
      <w:hyperlink w:anchor="_Toc2352" w:history="1">
        <w:r>
          <w:rPr>
            <w:rFonts w:ascii="IRNazanin" w:hAnsi="IRNazanin" w:eastAsia="IRNazanin" w:cs="IRNazanin"/>
            <w:color w:val="111111"/>
            <w:sz w:val="22"/>
            <w:szCs w:val="22"/>
            <w:b w:val="0"/>
            <w:bCs w:val="0"/>
            <w:i w:val="0"/>
            <w:iCs w:val="0"/>
          </w:rPr>
          <w:t>1831- دیوان خواری تبریزی‏</w:t>
        </w:r>
        <w:r>
          <w:tab/>
        </w:r>
        <w:r>
          <w:fldChar w:fldCharType="begin"/>
        </w:r>
        <w:r>
          <w:instrText xml:space="preserve">PAGEREF 2352 \h</w:instrText>
        </w:r>
        <w:r>
          <w:fldChar w:fldCharType="end"/>
        </w:r>
      </w:hyperlink>
    </w:p>
    <w:p>
      <w:pPr>
        <w:tabs>
          <w:tab w:val="right" w:leader="dot" w:pos="9062"/>
        </w:tabs>
        <w:ind w:left="440"/>
      </w:pPr>
      <w:hyperlink w:anchor="_Toc2353" w:history="1">
        <w:r>
          <w:rPr>
            <w:rFonts w:ascii="IRNazanin" w:hAnsi="IRNazanin" w:eastAsia="IRNazanin" w:cs="IRNazanin"/>
            <w:color w:val="111111"/>
            <w:sz w:val="22"/>
            <w:szCs w:val="22"/>
            <w:b w:val="0"/>
            <w:bCs w:val="0"/>
            <w:i w:val="0"/>
            <w:iCs w:val="0"/>
          </w:rPr>
          <w:t>دیوان خواری رازی‏</w:t>
        </w:r>
        <w:r>
          <w:tab/>
        </w:r>
        <w:r>
          <w:fldChar w:fldCharType="begin"/>
        </w:r>
        <w:r>
          <w:instrText xml:space="preserve">PAGEREF 2353 \h</w:instrText>
        </w:r>
        <w:r>
          <w:fldChar w:fldCharType="end"/>
        </w:r>
      </w:hyperlink>
    </w:p>
    <w:p>
      <w:pPr>
        <w:tabs>
          <w:tab w:val="right" w:leader="dot" w:pos="9062"/>
        </w:tabs>
        <w:ind w:left="440"/>
      </w:pPr>
      <w:hyperlink w:anchor="_Toc2354" w:history="1">
        <w:r>
          <w:rPr>
            <w:rFonts w:ascii="IRNazanin" w:hAnsi="IRNazanin" w:eastAsia="IRNazanin" w:cs="IRNazanin"/>
            <w:color w:val="111111"/>
            <w:sz w:val="22"/>
            <w:szCs w:val="22"/>
            <w:b w:val="0"/>
            <w:bCs w:val="0"/>
            <w:i w:val="0"/>
            <w:iCs w:val="0"/>
          </w:rPr>
          <w:t>دیوان خوافی‏</w:t>
        </w:r>
        <w:r>
          <w:tab/>
        </w:r>
        <w:r>
          <w:fldChar w:fldCharType="begin"/>
        </w:r>
        <w:r>
          <w:instrText xml:space="preserve">PAGEREF 2354 \h</w:instrText>
        </w:r>
        <w:r>
          <w:fldChar w:fldCharType="end"/>
        </w:r>
      </w:hyperlink>
    </w:p>
    <w:p>
      <w:pPr>
        <w:tabs>
          <w:tab w:val="right" w:leader="dot" w:pos="9062"/>
        </w:tabs>
        <w:ind w:left="440"/>
      </w:pPr>
      <w:hyperlink w:anchor="_Toc2355" w:history="1">
        <w:r>
          <w:rPr>
            <w:rFonts w:ascii="IRNazanin" w:hAnsi="IRNazanin" w:eastAsia="IRNazanin" w:cs="IRNazanin"/>
            <w:color w:val="111111"/>
            <w:sz w:val="22"/>
            <w:szCs w:val="22"/>
            <w:b w:val="0"/>
            <w:bCs w:val="0"/>
            <w:i w:val="0"/>
            <w:iCs w:val="0"/>
          </w:rPr>
          <w:t>دیوان الخوافی‏</w:t>
        </w:r>
        <w:r>
          <w:tab/>
        </w:r>
        <w:r>
          <w:fldChar w:fldCharType="begin"/>
        </w:r>
        <w:r>
          <w:instrText xml:space="preserve">PAGEREF 2355 \h</w:instrText>
        </w:r>
        <w:r>
          <w:fldChar w:fldCharType="end"/>
        </w:r>
      </w:hyperlink>
    </w:p>
    <w:p>
      <w:pPr>
        <w:tabs>
          <w:tab w:val="right" w:leader="dot" w:pos="9062"/>
        </w:tabs>
        <w:ind w:left="440"/>
      </w:pPr>
      <w:hyperlink w:anchor="_Toc2356" w:history="1">
        <w:r>
          <w:rPr>
            <w:rFonts w:ascii="IRNazanin" w:hAnsi="IRNazanin" w:eastAsia="IRNazanin" w:cs="IRNazanin"/>
            <w:color w:val="111111"/>
            <w:sz w:val="22"/>
            <w:szCs w:val="22"/>
            <w:b w:val="0"/>
            <w:bCs w:val="0"/>
            <w:i w:val="0"/>
            <w:iCs w:val="0"/>
          </w:rPr>
          <w:t>1832- دیوان خواجه خواند سمرقندی أو شعره‏</w:t>
        </w:r>
        <w:r>
          <w:tab/>
        </w:r>
        <w:r>
          <w:fldChar w:fldCharType="begin"/>
        </w:r>
        <w:r>
          <w:instrText xml:space="preserve">PAGEREF 2356 \h</w:instrText>
        </w:r>
        <w:r>
          <w:fldChar w:fldCharType="end"/>
        </w:r>
      </w:hyperlink>
    </w:p>
    <w:p>
      <w:pPr>
        <w:tabs>
          <w:tab w:val="right" w:leader="dot" w:pos="9062"/>
        </w:tabs>
        <w:ind w:left="440"/>
      </w:pPr>
      <w:hyperlink w:anchor="_Toc2357" w:history="1">
        <w:r>
          <w:rPr>
            <w:rFonts w:ascii="IRNazanin" w:hAnsi="IRNazanin" w:eastAsia="IRNazanin" w:cs="IRNazanin"/>
            <w:color w:val="111111"/>
            <w:sz w:val="22"/>
            <w:szCs w:val="22"/>
            <w:b w:val="0"/>
            <w:bCs w:val="0"/>
            <w:i w:val="0"/>
            <w:iCs w:val="0"/>
          </w:rPr>
          <w:t>دیوان الخوانساری‏</w:t>
        </w:r>
        <w:r>
          <w:tab/>
        </w:r>
        <w:r>
          <w:fldChar w:fldCharType="begin"/>
        </w:r>
        <w:r>
          <w:instrText xml:space="preserve">PAGEREF 2357 \h</w:instrText>
        </w:r>
        <w:r>
          <w:fldChar w:fldCharType="end"/>
        </w:r>
      </w:hyperlink>
    </w:p>
    <w:p>
      <w:pPr>
        <w:tabs>
          <w:tab w:val="right" w:leader="dot" w:pos="9062"/>
        </w:tabs>
        <w:ind w:left="440"/>
      </w:pPr>
      <w:hyperlink w:anchor="_Toc2358" w:history="1">
        <w:r>
          <w:rPr>
            <w:rFonts w:ascii="IRNazanin" w:hAnsi="IRNazanin" w:eastAsia="IRNazanin" w:cs="IRNazanin"/>
            <w:color w:val="111111"/>
            <w:sz w:val="22"/>
            <w:szCs w:val="22"/>
            <w:b w:val="0"/>
            <w:bCs w:val="0"/>
            <w:i w:val="0"/>
            <w:iCs w:val="0"/>
          </w:rPr>
          <w:t>1833- دیوان مولانا میر خواند</w:t>
        </w:r>
        <w:r>
          <w:tab/>
        </w:r>
        <w:r>
          <w:fldChar w:fldCharType="begin"/>
        </w:r>
        <w:r>
          <w:instrText xml:space="preserve">PAGEREF 2358 \h</w:instrText>
        </w:r>
        <w:r>
          <w:fldChar w:fldCharType="end"/>
        </w:r>
      </w:hyperlink>
    </w:p>
    <w:p>
      <w:pPr>
        <w:tabs>
          <w:tab w:val="right" w:leader="dot" w:pos="9062"/>
        </w:tabs>
        <w:ind w:left="440"/>
      </w:pPr>
      <w:hyperlink w:anchor="_Toc2359" w:history="1">
        <w:r>
          <w:rPr>
            <w:rFonts w:ascii="IRNazanin" w:hAnsi="IRNazanin" w:eastAsia="IRNazanin" w:cs="IRNazanin"/>
            <w:color w:val="111111"/>
            <w:sz w:val="22"/>
            <w:szCs w:val="22"/>
            <w:b w:val="0"/>
            <w:bCs w:val="0"/>
            <w:i w:val="0"/>
            <w:iCs w:val="0"/>
          </w:rPr>
          <w:t>1834- دیوان السید الخواند میر أو شعره‏</w:t>
        </w:r>
        <w:r>
          <w:tab/>
        </w:r>
        <w:r>
          <w:fldChar w:fldCharType="begin"/>
        </w:r>
        <w:r>
          <w:instrText xml:space="preserve">PAGEREF 2359 \h</w:instrText>
        </w:r>
        <w:r>
          <w:fldChar w:fldCharType="end"/>
        </w:r>
      </w:hyperlink>
    </w:p>
    <w:p>
      <w:pPr>
        <w:tabs>
          <w:tab w:val="right" w:leader="dot" w:pos="9062"/>
        </w:tabs>
        <w:ind w:left="440"/>
      </w:pPr>
      <w:hyperlink w:anchor="_Toc2360" w:history="1">
        <w:r>
          <w:rPr>
            <w:rFonts w:ascii="IRNazanin" w:hAnsi="IRNazanin" w:eastAsia="IRNazanin" w:cs="IRNazanin"/>
            <w:color w:val="111111"/>
            <w:sz w:val="22"/>
            <w:szCs w:val="22"/>
            <w:b w:val="0"/>
            <w:bCs w:val="0"/>
            <w:i w:val="0"/>
            <w:iCs w:val="0"/>
          </w:rPr>
          <w:t>1835- دیوان الخواجة خورد بیلدار</w:t>
        </w:r>
        <w:r>
          <w:tab/>
        </w:r>
        <w:r>
          <w:fldChar w:fldCharType="begin"/>
        </w:r>
        <w:r>
          <w:instrText xml:space="preserve">PAGEREF 2360 \h</w:instrText>
        </w:r>
        <w:r>
          <w:fldChar w:fldCharType="end"/>
        </w:r>
      </w:hyperlink>
    </w:p>
    <w:p>
      <w:pPr>
        <w:tabs>
          <w:tab w:val="right" w:leader="dot" w:pos="9062"/>
        </w:tabs>
        <w:ind w:left="440"/>
      </w:pPr>
      <w:hyperlink w:anchor="_Toc2361" w:history="1">
        <w:r>
          <w:rPr>
            <w:rFonts w:ascii="IRNazanin" w:hAnsi="IRNazanin" w:eastAsia="IRNazanin" w:cs="IRNazanin"/>
            <w:color w:val="111111"/>
            <w:sz w:val="22"/>
            <w:szCs w:val="22"/>
            <w:b w:val="0"/>
            <w:bCs w:val="0"/>
            <w:i w:val="0"/>
            <w:iCs w:val="0"/>
          </w:rPr>
          <w:t>دیوان الخواجة خورد</w:t>
        </w:r>
        <w:r>
          <w:tab/>
        </w:r>
        <w:r>
          <w:fldChar w:fldCharType="begin"/>
        </w:r>
        <w:r>
          <w:instrText xml:space="preserve">PAGEREF 2361 \h</w:instrText>
        </w:r>
        <w:r>
          <w:fldChar w:fldCharType="end"/>
        </w:r>
      </w:hyperlink>
    </w:p>
    <w:p>
      <w:pPr>
        <w:tabs>
          <w:tab w:val="right" w:leader="dot" w:pos="9062"/>
        </w:tabs>
        <w:ind w:left="440"/>
      </w:pPr>
      <w:hyperlink w:anchor="_Toc2362" w:history="1">
        <w:r>
          <w:rPr>
            <w:rFonts w:ascii="IRNazanin" w:hAnsi="IRNazanin" w:eastAsia="IRNazanin" w:cs="IRNazanin"/>
            <w:color w:val="111111"/>
            <w:sz w:val="22"/>
            <w:szCs w:val="22"/>
            <w:b w:val="0"/>
            <w:bCs w:val="0"/>
            <w:i w:val="0"/>
            <w:iCs w:val="0"/>
          </w:rPr>
          <w:t>دیوان خوزانی‏</w:t>
        </w:r>
        <w:r>
          <w:tab/>
        </w:r>
        <w:r>
          <w:fldChar w:fldCharType="begin"/>
        </w:r>
        <w:r>
          <w:instrText xml:space="preserve">PAGEREF 2362 \h</w:instrText>
        </w:r>
        <w:r>
          <w:fldChar w:fldCharType="end"/>
        </w:r>
      </w:hyperlink>
    </w:p>
    <w:p>
      <w:pPr>
        <w:tabs>
          <w:tab w:val="right" w:leader="dot" w:pos="9062"/>
        </w:tabs>
        <w:ind w:left="440"/>
      </w:pPr>
      <w:hyperlink w:anchor="_Toc2363" w:history="1">
        <w:r>
          <w:rPr>
            <w:rFonts w:ascii="IRNazanin" w:hAnsi="IRNazanin" w:eastAsia="IRNazanin" w:cs="IRNazanin"/>
            <w:color w:val="111111"/>
            <w:sz w:val="22"/>
            <w:szCs w:val="22"/>
            <w:b w:val="0"/>
            <w:bCs w:val="0"/>
            <w:i w:val="0"/>
            <w:iCs w:val="0"/>
          </w:rPr>
          <w:t>1836- دیوان خوش‏تر أو شعره‏</w:t>
        </w:r>
        <w:r>
          <w:tab/>
        </w:r>
        <w:r>
          <w:fldChar w:fldCharType="begin"/>
        </w:r>
        <w:r>
          <w:instrText xml:space="preserve">PAGEREF 2363 \h</w:instrText>
        </w:r>
        <w:r>
          <w:fldChar w:fldCharType="end"/>
        </w:r>
      </w:hyperlink>
    </w:p>
    <w:p>
      <w:pPr>
        <w:tabs>
          <w:tab w:val="right" w:leader="dot" w:pos="9062"/>
        </w:tabs>
        <w:ind w:left="440"/>
      </w:pPr>
      <w:hyperlink w:anchor="_Toc2364" w:history="1">
        <w:r>
          <w:rPr>
            <w:rFonts w:ascii="IRNazanin" w:hAnsi="IRNazanin" w:eastAsia="IRNazanin" w:cs="IRNazanin"/>
            <w:color w:val="111111"/>
            <w:sz w:val="22"/>
            <w:szCs w:val="22"/>
            <w:b w:val="0"/>
            <w:bCs w:val="0"/>
            <w:i w:val="0"/>
            <w:iCs w:val="0"/>
          </w:rPr>
          <w:t>1837- دیوان خوش‏دل هندی‏</w:t>
        </w:r>
        <w:r>
          <w:tab/>
        </w:r>
        <w:r>
          <w:fldChar w:fldCharType="begin"/>
        </w:r>
        <w:r>
          <w:instrText xml:space="preserve">PAGEREF 2364 \h</w:instrText>
        </w:r>
        <w:r>
          <w:fldChar w:fldCharType="end"/>
        </w:r>
      </w:hyperlink>
    </w:p>
    <w:p>
      <w:pPr>
        <w:tabs>
          <w:tab w:val="right" w:leader="dot" w:pos="9062"/>
        </w:tabs>
        <w:ind w:left="440"/>
      </w:pPr>
      <w:hyperlink w:anchor="_Toc2365" w:history="1">
        <w:r>
          <w:rPr>
            <w:rFonts w:ascii="IRNazanin" w:hAnsi="IRNazanin" w:eastAsia="IRNazanin" w:cs="IRNazanin"/>
            <w:color w:val="111111"/>
            <w:sz w:val="22"/>
            <w:szCs w:val="22"/>
            <w:b w:val="0"/>
            <w:bCs w:val="0"/>
            <w:i w:val="0"/>
            <w:iCs w:val="0"/>
          </w:rPr>
          <w:t>1838- دیوان خوش‏دل هندی أو شعره‏</w:t>
        </w:r>
        <w:r>
          <w:tab/>
        </w:r>
        <w:r>
          <w:fldChar w:fldCharType="begin"/>
        </w:r>
        <w:r>
          <w:instrText xml:space="preserve">PAGEREF 2365 \h</w:instrText>
        </w:r>
        <w:r>
          <w:fldChar w:fldCharType="end"/>
        </w:r>
      </w:hyperlink>
    </w:p>
    <w:p>
      <w:pPr>
        <w:tabs>
          <w:tab w:val="right" w:leader="dot" w:pos="9062"/>
        </w:tabs>
        <w:ind w:left="440"/>
      </w:pPr>
      <w:hyperlink w:anchor="_Toc2366" w:history="1">
        <w:r>
          <w:rPr>
            <w:rFonts w:ascii="IRNazanin" w:hAnsi="IRNazanin" w:eastAsia="IRNazanin" w:cs="IRNazanin"/>
            <w:color w:val="111111"/>
            <w:sz w:val="22"/>
            <w:szCs w:val="22"/>
            <w:b w:val="0"/>
            <w:bCs w:val="0"/>
            <w:i w:val="0"/>
            <w:iCs w:val="0"/>
          </w:rPr>
          <w:t>1839- دیوان خوش‏گو هندی أو شعره‏</w:t>
        </w:r>
        <w:r>
          <w:tab/>
        </w:r>
        <w:r>
          <w:fldChar w:fldCharType="begin"/>
        </w:r>
        <w:r>
          <w:instrText xml:space="preserve">PAGEREF 2366 \h</w:instrText>
        </w:r>
        <w:r>
          <w:fldChar w:fldCharType="end"/>
        </w:r>
      </w:hyperlink>
    </w:p>
    <w:p>
      <w:pPr>
        <w:tabs>
          <w:tab w:val="right" w:leader="dot" w:pos="9062"/>
        </w:tabs>
        <w:ind w:left="440"/>
      </w:pPr>
      <w:hyperlink w:anchor="_Toc2367" w:history="1">
        <w:r>
          <w:rPr>
            <w:rFonts w:ascii="IRNazanin" w:hAnsi="IRNazanin" w:eastAsia="IRNazanin" w:cs="IRNazanin"/>
            <w:color w:val="111111"/>
            <w:sz w:val="22"/>
            <w:szCs w:val="22"/>
            <w:b w:val="0"/>
            <w:bCs w:val="0"/>
            <w:i w:val="0"/>
            <w:iCs w:val="0"/>
          </w:rPr>
          <w:t>1840- دیوان خوش‏نام أو شعره‏</w:t>
        </w:r>
        <w:r>
          <w:tab/>
        </w:r>
        <w:r>
          <w:fldChar w:fldCharType="begin"/>
        </w:r>
        <w:r>
          <w:instrText xml:space="preserve">PAGEREF 2367 \h</w:instrText>
        </w:r>
        <w:r>
          <w:fldChar w:fldCharType="end"/>
        </w:r>
      </w:hyperlink>
    </w:p>
    <w:p>
      <w:pPr>
        <w:tabs>
          <w:tab w:val="right" w:leader="dot" w:pos="9062"/>
        </w:tabs>
        <w:ind w:left="440"/>
      </w:pPr>
      <w:hyperlink w:anchor="_Toc2368" w:history="1">
        <w:r>
          <w:rPr>
            <w:rFonts w:ascii="IRNazanin" w:hAnsi="IRNazanin" w:eastAsia="IRNazanin" w:cs="IRNazanin"/>
            <w:color w:val="111111"/>
            <w:sz w:val="22"/>
            <w:szCs w:val="22"/>
            <w:b w:val="0"/>
            <w:bCs w:val="0"/>
            <w:i w:val="0"/>
            <w:iCs w:val="0"/>
          </w:rPr>
          <w:t>1841- دیوان خوشی شیرازی أو شعره‏</w:t>
        </w:r>
        <w:r>
          <w:tab/>
        </w:r>
        <w:r>
          <w:fldChar w:fldCharType="begin"/>
        </w:r>
        <w:r>
          <w:instrText xml:space="preserve">PAGEREF 2368 \h</w:instrText>
        </w:r>
        <w:r>
          <w:fldChar w:fldCharType="end"/>
        </w:r>
      </w:hyperlink>
    </w:p>
    <w:p>
      <w:pPr>
        <w:tabs>
          <w:tab w:val="right" w:leader="dot" w:pos="9062"/>
        </w:tabs>
        <w:ind w:left="440"/>
      </w:pPr>
      <w:hyperlink w:anchor="_Toc2369" w:history="1">
        <w:r>
          <w:rPr>
            <w:rFonts w:ascii="IRNazanin" w:hAnsi="IRNazanin" w:eastAsia="IRNazanin" w:cs="IRNazanin"/>
            <w:color w:val="111111"/>
            <w:sz w:val="22"/>
            <w:szCs w:val="22"/>
            <w:b w:val="0"/>
            <w:bCs w:val="0"/>
            <w:i w:val="0"/>
            <w:iCs w:val="0"/>
          </w:rPr>
          <w:t>1842- دیوان خوفی همدانی أو شعره‏</w:t>
        </w:r>
        <w:r>
          <w:tab/>
        </w:r>
        <w:r>
          <w:fldChar w:fldCharType="begin"/>
        </w:r>
        <w:r>
          <w:instrText xml:space="preserve">PAGEREF 2369 \h</w:instrText>
        </w:r>
        <w:r>
          <w:fldChar w:fldCharType="end"/>
        </w:r>
      </w:hyperlink>
    </w:p>
    <w:p>
      <w:pPr>
        <w:tabs>
          <w:tab w:val="right" w:leader="dot" w:pos="9062"/>
        </w:tabs>
        <w:ind w:left="440"/>
      </w:pPr>
      <w:hyperlink w:anchor="_Toc2370" w:history="1">
        <w:r>
          <w:rPr>
            <w:rFonts w:ascii="IRNazanin" w:hAnsi="IRNazanin" w:eastAsia="IRNazanin" w:cs="IRNazanin"/>
            <w:color w:val="111111"/>
            <w:sz w:val="22"/>
            <w:szCs w:val="22"/>
            <w:b w:val="0"/>
            <w:bCs w:val="0"/>
            <w:i w:val="0"/>
            <w:iCs w:val="0"/>
          </w:rPr>
          <w:t>1843- دیوان الخیابانی الهروی أو شعره‏</w:t>
        </w:r>
        <w:r>
          <w:tab/>
        </w:r>
        <w:r>
          <w:fldChar w:fldCharType="begin"/>
        </w:r>
        <w:r>
          <w:instrText xml:space="preserve">PAGEREF 2370 \h</w:instrText>
        </w:r>
        <w:r>
          <w:fldChar w:fldCharType="end"/>
        </w:r>
      </w:hyperlink>
    </w:p>
    <w:p>
      <w:pPr>
        <w:tabs>
          <w:tab w:val="right" w:leader="dot" w:pos="9062"/>
        </w:tabs>
        <w:ind w:left="440"/>
      </w:pPr>
      <w:hyperlink w:anchor="_Toc2371" w:history="1">
        <w:r>
          <w:rPr>
            <w:rFonts w:ascii="IRNazanin" w:hAnsi="IRNazanin" w:eastAsia="IRNazanin" w:cs="IRNazanin"/>
            <w:color w:val="111111"/>
            <w:sz w:val="22"/>
            <w:szCs w:val="22"/>
            <w:b w:val="0"/>
            <w:bCs w:val="0"/>
            <w:i w:val="0"/>
            <w:iCs w:val="0"/>
          </w:rPr>
          <w:t>دیوان خیابانی‏</w:t>
        </w:r>
        <w:r>
          <w:tab/>
        </w:r>
        <w:r>
          <w:fldChar w:fldCharType="begin"/>
        </w:r>
        <w:r>
          <w:instrText xml:space="preserve">PAGEREF 2371 \h</w:instrText>
        </w:r>
        <w:r>
          <w:fldChar w:fldCharType="end"/>
        </w:r>
      </w:hyperlink>
    </w:p>
    <w:p>
      <w:pPr>
        <w:tabs>
          <w:tab w:val="right" w:leader="dot" w:pos="9062"/>
        </w:tabs>
        <w:ind w:left="440"/>
      </w:pPr>
      <w:hyperlink w:anchor="_Toc2372" w:history="1">
        <w:r>
          <w:rPr>
            <w:rFonts w:ascii="IRNazanin" w:hAnsi="IRNazanin" w:eastAsia="IRNazanin" w:cs="IRNazanin"/>
            <w:color w:val="111111"/>
            <w:sz w:val="22"/>
            <w:szCs w:val="22"/>
            <w:b w:val="0"/>
            <w:bCs w:val="0"/>
            <w:i w:val="0"/>
            <w:iCs w:val="0"/>
          </w:rPr>
          <w:t>1844- دیوان خیال أصفهانی‏</w:t>
        </w:r>
        <w:r>
          <w:tab/>
        </w:r>
        <w:r>
          <w:fldChar w:fldCharType="begin"/>
        </w:r>
        <w:r>
          <w:instrText xml:space="preserve">PAGEREF 2372 \h</w:instrText>
        </w:r>
        <w:r>
          <w:fldChar w:fldCharType="end"/>
        </w:r>
      </w:hyperlink>
    </w:p>
    <w:p>
      <w:pPr>
        <w:tabs>
          <w:tab w:val="right" w:leader="dot" w:pos="9062"/>
        </w:tabs>
        <w:ind w:left="440"/>
      </w:pPr>
      <w:hyperlink w:anchor="_Toc2373" w:history="1">
        <w:r>
          <w:rPr>
            <w:rFonts w:ascii="IRNazanin" w:hAnsi="IRNazanin" w:eastAsia="IRNazanin" w:cs="IRNazanin"/>
            <w:color w:val="111111"/>
            <w:sz w:val="22"/>
            <w:szCs w:val="22"/>
            <w:b w:val="0"/>
            <w:bCs w:val="0"/>
            <w:i w:val="0"/>
            <w:iCs w:val="0"/>
          </w:rPr>
          <w:t>دیوان خیال شیرازی‏</w:t>
        </w:r>
        <w:r>
          <w:tab/>
        </w:r>
        <w:r>
          <w:fldChar w:fldCharType="begin"/>
        </w:r>
        <w:r>
          <w:instrText xml:space="preserve">PAGEREF 2373 \h</w:instrText>
        </w:r>
        <w:r>
          <w:fldChar w:fldCharType="end"/>
        </w:r>
      </w:hyperlink>
    </w:p>
    <w:p>
      <w:pPr>
        <w:tabs>
          <w:tab w:val="right" w:leader="dot" w:pos="9062"/>
        </w:tabs>
        <w:ind w:left="440"/>
      </w:pPr>
      <w:hyperlink w:anchor="_Toc2374" w:history="1">
        <w:r>
          <w:rPr>
            <w:rFonts w:ascii="IRNazanin" w:hAnsi="IRNazanin" w:eastAsia="IRNazanin" w:cs="IRNazanin"/>
            <w:color w:val="111111"/>
            <w:sz w:val="22"/>
            <w:szCs w:val="22"/>
            <w:b w:val="0"/>
            <w:bCs w:val="0"/>
            <w:i w:val="0"/>
            <w:iCs w:val="0"/>
          </w:rPr>
          <w:t>1845- دیوان خیالی بخاری‏</w:t>
        </w:r>
        <w:r>
          <w:tab/>
        </w:r>
        <w:r>
          <w:fldChar w:fldCharType="begin"/>
        </w:r>
        <w:r>
          <w:instrText xml:space="preserve">PAGEREF 2374 \h</w:instrText>
        </w:r>
        <w:r>
          <w:fldChar w:fldCharType="end"/>
        </w:r>
      </w:hyperlink>
    </w:p>
    <w:p>
      <w:pPr>
        <w:tabs>
          <w:tab w:val="right" w:leader="dot" w:pos="9062"/>
        </w:tabs>
        <w:ind w:left="440"/>
      </w:pPr>
      <w:hyperlink w:anchor="_Toc2375" w:history="1">
        <w:r>
          <w:rPr>
            <w:rFonts w:ascii="IRNazanin" w:hAnsi="IRNazanin" w:eastAsia="IRNazanin" w:cs="IRNazanin"/>
            <w:color w:val="111111"/>
            <w:sz w:val="22"/>
            <w:szCs w:val="22"/>
            <w:b w:val="0"/>
            <w:bCs w:val="0"/>
            <w:i w:val="0"/>
            <w:iCs w:val="0"/>
          </w:rPr>
          <w:t>1846- دیوان خیالی ترک‏</w:t>
        </w:r>
        <w:r>
          <w:tab/>
        </w:r>
        <w:r>
          <w:fldChar w:fldCharType="begin"/>
        </w:r>
        <w:r>
          <w:instrText xml:space="preserve">PAGEREF 2375 \h</w:instrText>
        </w:r>
        <w:r>
          <w:fldChar w:fldCharType="end"/>
        </w:r>
      </w:hyperlink>
    </w:p>
    <w:p>
      <w:pPr>
        <w:tabs>
          <w:tab w:val="right" w:leader="dot" w:pos="9062"/>
        </w:tabs>
        <w:ind w:left="440"/>
      </w:pPr>
      <w:hyperlink w:anchor="_Toc2376" w:history="1">
        <w:r>
          <w:rPr>
            <w:rFonts w:ascii="IRNazanin" w:hAnsi="IRNazanin" w:eastAsia="IRNazanin" w:cs="IRNazanin"/>
            <w:color w:val="111111"/>
            <w:sz w:val="22"/>
            <w:szCs w:val="22"/>
            <w:b w:val="0"/>
            <w:bCs w:val="0"/>
            <w:i w:val="0"/>
            <w:iCs w:val="0"/>
          </w:rPr>
          <w:t>دیوان خیالی خوارزمی‏</w:t>
        </w:r>
        <w:r>
          <w:tab/>
        </w:r>
        <w:r>
          <w:fldChar w:fldCharType="begin"/>
        </w:r>
        <w:r>
          <w:instrText xml:space="preserve">PAGEREF 2376 \h</w:instrText>
        </w:r>
        <w:r>
          <w:fldChar w:fldCharType="end"/>
        </w:r>
      </w:hyperlink>
    </w:p>
    <w:p>
      <w:pPr>
        <w:tabs>
          <w:tab w:val="right" w:leader="dot" w:pos="9062"/>
        </w:tabs>
        <w:ind w:left="440"/>
      </w:pPr>
      <w:hyperlink w:anchor="_Toc2377" w:history="1">
        <w:r>
          <w:rPr>
            <w:rFonts w:ascii="IRNazanin" w:hAnsi="IRNazanin" w:eastAsia="IRNazanin" w:cs="IRNazanin"/>
            <w:color w:val="111111"/>
            <w:sz w:val="22"/>
            <w:szCs w:val="22"/>
            <w:b w:val="0"/>
            <w:bCs w:val="0"/>
            <w:i w:val="0"/>
            <w:iCs w:val="0"/>
          </w:rPr>
          <w:t>دیوان خیالی فراهی‏</w:t>
        </w:r>
        <w:r>
          <w:tab/>
        </w:r>
        <w:r>
          <w:fldChar w:fldCharType="begin"/>
        </w:r>
        <w:r>
          <w:instrText xml:space="preserve">PAGEREF 2377 \h</w:instrText>
        </w:r>
        <w:r>
          <w:fldChar w:fldCharType="end"/>
        </w:r>
      </w:hyperlink>
    </w:p>
    <w:p>
      <w:pPr>
        <w:tabs>
          <w:tab w:val="right" w:leader="dot" w:pos="9062"/>
        </w:tabs>
        <w:ind w:left="440"/>
      </w:pPr>
      <w:hyperlink w:anchor="_Toc2378" w:history="1">
        <w:r>
          <w:rPr>
            <w:rFonts w:ascii="IRNazanin" w:hAnsi="IRNazanin" w:eastAsia="IRNazanin" w:cs="IRNazanin"/>
            <w:color w:val="111111"/>
            <w:sz w:val="22"/>
            <w:szCs w:val="22"/>
            <w:b w:val="0"/>
            <w:bCs w:val="0"/>
            <w:i w:val="0"/>
            <w:iCs w:val="0"/>
          </w:rPr>
          <w:t>1847- دیوان خیالی کاشانی‏</w:t>
        </w:r>
        <w:r>
          <w:tab/>
        </w:r>
        <w:r>
          <w:fldChar w:fldCharType="begin"/>
        </w:r>
        <w:r>
          <w:instrText xml:space="preserve">PAGEREF 2378 \h</w:instrText>
        </w:r>
        <w:r>
          <w:fldChar w:fldCharType="end"/>
        </w:r>
      </w:hyperlink>
    </w:p>
    <w:p>
      <w:pPr>
        <w:tabs>
          <w:tab w:val="right" w:leader="dot" w:pos="9062"/>
        </w:tabs>
        <w:ind w:left="440"/>
      </w:pPr>
      <w:hyperlink w:anchor="_Toc2379" w:history="1">
        <w:r>
          <w:rPr>
            <w:rFonts w:ascii="IRNazanin" w:hAnsi="IRNazanin" w:eastAsia="IRNazanin" w:cs="IRNazanin"/>
            <w:color w:val="111111"/>
            <w:sz w:val="22"/>
            <w:szCs w:val="22"/>
            <w:b w:val="0"/>
            <w:bCs w:val="0"/>
            <w:i w:val="0"/>
            <w:iCs w:val="0"/>
          </w:rPr>
          <w:t>1848- دیوان خیالی کشمیری أو شعره‏</w:t>
        </w:r>
        <w:r>
          <w:tab/>
        </w:r>
        <w:r>
          <w:fldChar w:fldCharType="begin"/>
        </w:r>
        <w:r>
          <w:instrText xml:space="preserve">PAGEREF 2379 \h</w:instrText>
        </w:r>
        <w:r>
          <w:fldChar w:fldCharType="end"/>
        </w:r>
      </w:hyperlink>
    </w:p>
    <w:p>
      <w:pPr>
        <w:tabs>
          <w:tab w:val="right" w:leader="dot" w:pos="9062"/>
        </w:tabs>
        <w:ind w:left="440"/>
      </w:pPr>
      <w:hyperlink w:anchor="_Toc2380" w:history="1">
        <w:r>
          <w:rPr>
            <w:rFonts w:ascii="IRNazanin" w:hAnsi="IRNazanin" w:eastAsia="IRNazanin" w:cs="IRNazanin"/>
            <w:color w:val="111111"/>
            <w:sz w:val="22"/>
            <w:szCs w:val="22"/>
            <w:b w:val="0"/>
            <w:bCs w:val="0"/>
            <w:i w:val="0"/>
            <w:iCs w:val="0"/>
          </w:rPr>
          <w:t>1849- دیوان خیالی لکهنوی‏</w:t>
        </w:r>
        <w:r>
          <w:tab/>
        </w:r>
        <w:r>
          <w:fldChar w:fldCharType="begin"/>
        </w:r>
        <w:r>
          <w:instrText xml:space="preserve">PAGEREF 2380 \h</w:instrText>
        </w:r>
        <w:r>
          <w:fldChar w:fldCharType="end"/>
        </w:r>
      </w:hyperlink>
    </w:p>
    <w:p>
      <w:pPr>
        <w:tabs>
          <w:tab w:val="right" w:leader="dot" w:pos="9062"/>
        </w:tabs>
        <w:ind w:left="440"/>
      </w:pPr>
      <w:hyperlink w:anchor="_Toc2381" w:history="1">
        <w:r>
          <w:rPr>
            <w:rFonts w:ascii="IRNazanin" w:hAnsi="IRNazanin" w:eastAsia="IRNazanin" w:cs="IRNazanin"/>
            <w:color w:val="111111"/>
            <w:sz w:val="22"/>
            <w:szCs w:val="22"/>
            <w:b w:val="0"/>
            <w:bCs w:val="0"/>
            <w:i w:val="0"/>
            <w:iCs w:val="0"/>
          </w:rPr>
          <w:t>دیوان خیالی هروی‏</w:t>
        </w:r>
        <w:r>
          <w:tab/>
        </w:r>
        <w:r>
          <w:fldChar w:fldCharType="begin"/>
        </w:r>
        <w:r>
          <w:instrText xml:space="preserve">PAGEREF 2381 \h</w:instrText>
        </w:r>
        <w:r>
          <w:fldChar w:fldCharType="end"/>
        </w:r>
      </w:hyperlink>
    </w:p>
    <w:p>
      <w:pPr>
        <w:tabs>
          <w:tab w:val="right" w:leader="dot" w:pos="9062"/>
        </w:tabs>
        <w:ind w:left="440"/>
      </w:pPr>
      <w:hyperlink w:anchor="_Toc2382" w:history="1">
        <w:r>
          <w:rPr>
            <w:rFonts w:ascii="IRNazanin" w:hAnsi="IRNazanin" w:eastAsia="IRNazanin" w:cs="IRNazanin"/>
            <w:color w:val="111111"/>
            <w:sz w:val="22"/>
            <w:szCs w:val="22"/>
            <w:b w:val="0"/>
            <w:bCs w:val="0"/>
            <w:i w:val="0"/>
            <w:iCs w:val="0"/>
          </w:rPr>
          <w:t>1850- دیوان خیام‏</w:t>
        </w:r>
        <w:r>
          <w:tab/>
        </w:r>
        <w:r>
          <w:fldChar w:fldCharType="begin"/>
        </w:r>
        <w:r>
          <w:instrText xml:space="preserve">PAGEREF 2382 \h</w:instrText>
        </w:r>
        <w:r>
          <w:fldChar w:fldCharType="end"/>
        </w:r>
      </w:hyperlink>
    </w:p>
    <w:p>
      <w:pPr>
        <w:tabs>
          <w:tab w:val="right" w:leader="dot" w:pos="9062"/>
        </w:tabs>
        <w:ind w:left="440"/>
      </w:pPr>
      <w:hyperlink w:anchor="_Toc2383" w:history="1">
        <w:r>
          <w:rPr>
            <w:rFonts w:ascii="IRNazanin" w:hAnsi="IRNazanin" w:eastAsia="IRNazanin" w:cs="IRNazanin"/>
            <w:color w:val="111111"/>
            <w:sz w:val="22"/>
            <w:szCs w:val="22"/>
            <w:b w:val="0"/>
            <w:bCs w:val="0"/>
            <w:i w:val="0"/>
            <w:iCs w:val="0"/>
          </w:rPr>
          <w:t>1851- دیوان خیر العلی‏</w:t>
        </w:r>
        <w:r>
          <w:tab/>
        </w:r>
        <w:r>
          <w:fldChar w:fldCharType="begin"/>
        </w:r>
        <w:r>
          <w:instrText xml:space="preserve">PAGEREF 2383 \h</w:instrText>
        </w:r>
        <w:r>
          <w:fldChar w:fldCharType="end"/>
        </w:r>
      </w:hyperlink>
    </w:p>
    <w:p>
      <w:pPr>
        <w:tabs>
          <w:tab w:val="right" w:leader="dot" w:pos="9062"/>
        </w:tabs>
        <w:ind w:left="440"/>
      </w:pPr>
      <w:hyperlink w:anchor="_Toc2384" w:history="1">
        <w:r>
          <w:rPr>
            <w:rFonts w:ascii="IRNazanin" w:hAnsi="IRNazanin" w:eastAsia="IRNazanin" w:cs="IRNazanin"/>
            <w:color w:val="111111"/>
            <w:sz w:val="22"/>
            <w:szCs w:val="22"/>
            <w:b w:val="0"/>
            <w:bCs w:val="0"/>
            <w:i w:val="0"/>
            <w:iCs w:val="0"/>
          </w:rPr>
          <w:t>1852- دیوان خیری تبریزی أو شعره‏</w:t>
        </w:r>
        <w:r>
          <w:tab/>
        </w:r>
        <w:r>
          <w:fldChar w:fldCharType="begin"/>
        </w:r>
        <w:r>
          <w:instrText xml:space="preserve">PAGEREF 2384 \h</w:instrText>
        </w:r>
        <w:r>
          <w:fldChar w:fldCharType="end"/>
        </w:r>
      </w:hyperlink>
    </w:p>
    <w:p>
      <w:pPr>
        <w:tabs>
          <w:tab w:val="right" w:leader="dot" w:pos="9062"/>
        </w:tabs>
        <w:ind w:left="440"/>
      </w:pPr>
      <w:hyperlink w:anchor="_Toc2385" w:history="1">
        <w:r>
          <w:rPr>
            <w:rFonts w:ascii="IRNazanin" w:hAnsi="IRNazanin" w:eastAsia="IRNazanin" w:cs="IRNazanin"/>
            <w:color w:val="111111"/>
            <w:sz w:val="22"/>
            <w:szCs w:val="22"/>
            <w:b w:val="0"/>
            <w:bCs w:val="0"/>
            <w:i w:val="0"/>
            <w:iCs w:val="0"/>
          </w:rPr>
          <w:t>دیوان خیری تربتی أو شعره‏</w:t>
        </w:r>
        <w:r>
          <w:tab/>
        </w:r>
        <w:r>
          <w:fldChar w:fldCharType="begin"/>
        </w:r>
        <w:r>
          <w:instrText xml:space="preserve">PAGEREF 2385 \h</w:instrText>
        </w:r>
        <w:r>
          <w:fldChar w:fldCharType="end"/>
        </w:r>
      </w:hyperlink>
    </w:p>
    <w:p>
      <w:pPr>
        <w:tabs>
          <w:tab w:val="right" w:leader="dot" w:pos="9062"/>
        </w:tabs>
        <w:ind w:left="440"/>
      </w:pPr>
      <w:hyperlink w:anchor="_Toc2386" w:history="1">
        <w:r>
          <w:rPr>
            <w:rFonts w:ascii="IRNazanin" w:hAnsi="IRNazanin" w:eastAsia="IRNazanin" w:cs="IRNazanin"/>
            <w:color w:val="111111"/>
            <w:sz w:val="22"/>
            <w:szCs w:val="22"/>
            <w:b w:val="0"/>
            <w:bCs w:val="0"/>
            <w:i w:val="0"/>
            <w:iCs w:val="0"/>
          </w:rPr>
          <w:t>1853- دیوان خیری خوارزمی أو شعره‏</w:t>
        </w:r>
        <w:r>
          <w:tab/>
        </w:r>
        <w:r>
          <w:fldChar w:fldCharType="begin"/>
        </w:r>
        <w:r>
          <w:instrText xml:space="preserve">PAGEREF 2386 \h</w:instrText>
        </w:r>
        <w:r>
          <w:fldChar w:fldCharType="end"/>
        </w:r>
      </w:hyperlink>
    </w:p>
    <w:p>
      <w:pPr>
        <w:tabs>
          <w:tab w:val="right" w:leader="dot" w:pos="9062"/>
        </w:tabs>
        <w:ind w:left="440"/>
      </w:pPr>
      <w:hyperlink w:anchor="_Toc2387" w:history="1">
        <w:r>
          <w:rPr>
            <w:rFonts w:ascii="IRNazanin" w:hAnsi="IRNazanin" w:eastAsia="IRNazanin" w:cs="IRNazanin"/>
            <w:color w:val="111111"/>
            <w:sz w:val="22"/>
            <w:szCs w:val="22"/>
            <w:b w:val="0"/>
            <w:bCs w:val="0"/>
            <w:i w:val="0"/>
            <w:iCs w:val="0"/>
          </w:rPr>
          <w:t>د</w:t>
        </w:r>
        <w:r>
          <w:tab/>
        </w:r>
        <w:r>
          <w:fldChar w:fldCharType="begin"/>
        </w:r>
        <w:r>
          <w:instrText xml:space="preserve">PAGEREF 2387 \h</w:instrText>
        </w:r>
        <w:r>
          <w:fldChar w:fldCharType="end"/>
        </w:r>
      </w:hyperlink>
    </w:p>
    <w:p>
      <w:pPr>
        <w:tabs>
          <w:tab w:val="right" w:leader="dot" w:pos="9062"/>
        </w:tabs>
        <w:ind w:left="440"/>
      </w:pPr>
      <w:hyperlink w:anchor="_Toc2388" w:history="1">
        <w:r>
          <w:rPr>
            <w:rFonts w:ascii="IRNazanin" w:hAnsi="IRNazanin" w:eastAsia="IRNazanin" w:cs="IRNazanin"/>
            <w:color w:val="111111"/>
            <w:sz w:val="22"/>
            <w:szCs w:val="22"/>
            <w:b w:val="0"/>
            <w:bCs w:val="0"/>
            <w:i w:val="0"/>
            <w:iCs w:val="0"/>
          </w:rPr>
          <w:t>1854- دیوان دائمی أسترآبادی أو شعره‏</w:t>
        </w:r>
        <w:r>
          <w:tab/>
        </w:r>
        <w:r>
          <w:fldChar w:fldCharType="begin"/>
        </w:r>
        <w:r>
          <w:instrText xml:space="preserve">PAGEREF 2388 \h</w:instrText>
        </w:r>
        <w:r>
          <w:fldChar w:fldCharType="end"/>
        </w:r>
      </w:hyperlink>
    </w:p>
    <w:p>
      <w:pPr>
        <w:tabs>
          <w:tab w:val="right" w:leader="dot" w:pos="9062"/>
        </w:tabs>
        <w:ind w:left="440"/>
      </w:pPr>
      <w:hyperlink w:anchor="_Toc2389" w:history="1">
        <w:r>
          <w:rPr>
            <w:rFonts w:ascii="IRNazanin" w:hAnsi="IRNazanin" w:eastAsia="IRNazanin" w:cs="IRNazanin"/>
            <w:color w:val="111111"/>
            <w:sz w:val="22"/>
            <w:szCs w:val="22"/>
            <w:b w:val="0"/>
            <w:bCs w:val="0"/>
            <w:i w:val="0"/>
            <w:iCs w:val="0"/>
          </w:rPr>
          <w:t>1855- دیوان دائمی أصفهانی أو شعره‏</w:t>
        </w:r>
        <w:r>
          <w:tab/>
        </w:r>
        <w:r>
          <w:fldChar w:fldCharType="begin"/>
        </w:r>
        <w:r>
          <w:instrText xml:space="preserve">PAGEREF 2389 \h</w:instrText>
        </w:r>
        <w:r>
          <w:fldChar w:fldCharType="end"/>
        </w:r>
      </w:hyperlink>
    </w:p>
    <w:p>
      <w:pPr>
        <w:tabs>
          <w:tab w:val="right" w:leader="dot" w:pos="9062"/>
        </w:tabs>
        <w:ind w:left="440"/>
      </w:pPr>
      <w:hyperlink w:anchor="_Toc2390" w:history="1">
        <w:r>
          <w:rPr>
            <w:rFonts w:ascii="IRNazanin" w:hAnsi="IRNazanin" w:eastAsia="IRNazanin" w:cs="IRNazanin"/>
            <w:color w:val="111111"/>
            <w:sz w:val="22"/>
            <w:szCs w:val="22"/>
            <w:b w:val="0"/>
            <w:bCs w:val="0"/>
            <w:i w:val="0"/>
            <w:iCs w:val="0"/>
          </w:rPr>
          <w:t>1856- دیوان دائمی سبزواری أو شعره‏</w:t>
        </w:r>
        <w:r>
          <w:tab/>
        </w:r>
        <w:r>
          <w:fldChar w:fldCharType="begin"/>
        </w:r>
        <w:r>
          <w:instrText xml:space="preserve">PAGEREF 2390 \h</w:instrText>
        </w:r>
        <w:r>
          <w:fldChar w:fldCharType="end"/>
        </w:r>
      </w:hyperlink>
    </w:p>
    <w:p>
      <w:pPr>
        <w:tabs>
          <w:tab w:val="right" w:leader="dot" w:pos="9062"/>
        </w:tabs>
        <w:ind w:left="440"/>
      </w:pPr>
      <w:hyperlink w:anchor="_Toc2391" w:history="1">
        <w:r>
          <w:rPr>
            <w:rFonts w:ascii="IRNazanin" w:hAnsi="IRNazanin" w:eastAsia="IRNazanin" w:cs="IRNazanin"/>
            <w:color w:val="111111"/>
            <w:sz w:val="22"/>
            <w:szCs w:val="22"/>
            <w:b w:val="0"/>
            <w:bCs w:val="0"/>
            <w:i w:val="0"/>
            <w:iCs w:val="0"/>
          </w:rPr>
          <w:t>دیوان دارا</w:t>
        </w:r>
        <w:r>
          <w:tab/>
        </w:r>
        <w:r>
          <w:fldChar w:fldCharType="begin"/>
        </w:r>
        <w:r>
          <w:instrText xml:space="preserve">PAGEREF 2391 \h</w:instrText>
        </w:r>
        <w:r>
          <w:fldChar w:fldCharType="end"/>
        </w:r>
      </w:hyperlink>
    </w:p>
    <w:p>
      <w:pPr>
        <w:tabs>
          <w:tab w:val="right" w:leader="dot" w:pos="9062"/>
        </w:tabs>
        <w:ind w:left="440"/>
      </w:pPr>
      <w:hyperlink w:anchor="_Toc2392" w:history="1">
        <w:r>
          <w:rPr>
            <w:rFonts w:ascii="IRNazanin" w:hAnsi="IRNazanin" w:eastAsia="IRNazanin" w:cs="IRNazanin"/>
            <w:color w:val="111111"/>
            <w:sz w:val="22"/>
            <w:szCs w:val="22"/>
            <w:b w:val="0"/>
            <w:bCs w:val="0"/>
            <w:i w:val="0"/>
            <w:iCs w:val="0"/>
          </w:rPr>
          <w:t>1857- دیوان دارائی رازی‏</w:t>
        </w:r>
        <w:r>
          <w:tab/>
        </w:r>
        <w:r>
          <w:fldChar w:fldCharType="begin"/>
        </w:r>
        <w:r>
          <w:instrText xml:space="preserve">PAGEREF 2392 \h</w:instrText>
        </w:r>
        <w:r>
          <w:fldChar w:fldCharType="end"/>
        </w:r>
      </w:hyperlink>
    </w:p>
    <w:p>
      <w:pPr>
        <w:tabs>
          <w:tab w:val="right" w:leader="dot" w:pos="9062"/>
        </w:tabs>
        <w:ind w:left="440"/>
      </w:pPr>
      <w:hyperlink w:anchor="_Toc2393" w:history="1">
        <w:r>
          <w:rPr>
            <w:rFonts w:ascii="IRNazanin" w:hAnsi="IRNazanin" w:eastAsia="IRNazanin" w:cs="IRNazanin"/>
            <w:color w:val="111111"/>
            <w:sz w:val="22"/>
            <w:szCs w:val="22"/>
            <w:b w:val="0"/>
            <w:bCs w:val="0"/>
            <w:i w:val="0"/>
            <w:iCs w:val="0"/>
          </w:rPr>
          <w:t>دیوان دارا شکوه‏</w:t>
        </w:r>
        <w:r>
          <w:tab/>
        </w:r>
        <w:r>
          <w:fldChar w:fldCharType="begin"/>
        </w:r>
        <w:r>
          <w:instrText xml:space="preserve">PAGEREF 2393 \h</w:instrText>
        </w:r>
        <w:r>
          <w:fldChar w:fldCharType="end"/>
        </w:r>
      </w:hyperlink>
    </w:p>
    <w:p>
      <w:pPr>
        <w:tabs>
          <w:tab w:val="right" w:leader="dot" w:pos="9062"/>
        </w:tabs>
        <w:ind w:left="440"/>
      </w:pPr>
      <w:hyperlink w:anchor="_Toc2394" w:history="1">
        <w:r>
          <w:rPr>
            <w:rFonts w:ascii="IRNazanin" w:hAnsi="IRNazanin" w:eastAsia="IRNazanin" w:cs="IRNazanin"/>
            <w:color w:val="111111"/>
            <w:sz w:val="22"/>
            <w:szCs w:val="22"/>
            <w:b w:val="0"/>
            <w:bCs w:val="0"/>
            <w:i w:val="0"/>
            <w:iCs w:val="0"/>
          </w:rPr>
          <w:t>1858- دیوان دارای قاجار</w:t>
        </w:r>
        <w:r>
          <w:tab/>
        </w:r>
        <w:r>
          <w:fldChar w:fldCharType="begin"/>
        </w:r>
        <w:r>
          <w:instrText xml:space="preserve">PAGEREF 2394 \h</w:instrText>
        </w:r>
        <w:r>
          <w:fldChar w:fldCharType="end"/>
        </w:r>
      </w:hyperlink>
    </w:p>
    <w:p>
      <w:pPr>
        <w:tabs>
          <w:tab w:val="right" w:leader="dot" w:pos="9062"/>
        </w:tabs>
        <w:ind w:left="440"/>
      </w:pPr>
      <w:hyperlink w:anchor="_Toc2395" w:history="1">
        <w:r>
          <w:rPr>
            <w:rFonts w:ascii="IRNazanin" w:hAnsi="IRNazanin" w:eastAsia="IRNazanin" w:cs="IRNazanin"/>
            <w:color w:val="111111"/>
            <w:sz w:val="22"/>
            <w:szCs w:val="22"/>
            <w:b w:val="0"/>
            <w:bCs w:val="0"/>
            <w:i w:val="0"/>
            <w:iCs w:val="0"/>
          </w:rPr>
          <w:t>دیوان دارای هروی‏</w:t>
        </w:r>
        <w:r>
          <w:tab/>
        </w:r>
        <w:r>
          <w:fldChar w:fldCharType="begin"/>
        </w:r>
        <w:r>
          <w:instrText xml:space="preserve">PAGEREF 2395 \h</w:instrText>
        </w:r>
        <w:r>
          <w:fldChar w:fldCharType="end"/>
        </w:r>
      </w:hyperlink>
    </w:p>
    <w:p>
      <w:pPr>
        <w:tabs>
          <w:tab w:val="right" w:leader="dot" w:pos="9062"/>
        </w:tabs>
        <w:ind w:left="440"/>
      </w:pPr>
      <w:hyperlink w:anchor="_Toc2396" w:history="1">
        <w:r>
          <w:rPr>
            <w:rFonts w:ascii="IRNazanin" w:hAnsi="IRNazanin" w:eastAsia="IRNazanin" w:cs="IRNazanin"/>
            <w:color w:val="111111"/>
            <w:sz w:val="22"/>
            <w:szCs w:val="22"/>
            <w:b w:val="0"/>
            <w:bCs w:val="0"/>
            <w:i w:val="0"/>
            <w:iCs w:val="0"/>
          </w:rPr>
          <w:t>1859- دیوان داعی أسترآبادی أو شعره‏</w:t>
        </w:r>
        <w:r>
          <w:tab/>
        </w:r>
        <w:r>
          <w:fldChar w:fldCharType="begin"/>
        </w:r>
        <w:r>
          <w:instrText xml:space="preserve">PAGEREF 2396 \h</w:instrText>
        </w:r>
        <w:r>
          <w:fldChar w:fldCharType="end"/>
        </w:r>
      </w:hyperlink>
    </w:p>
    <w:p>
      <w:pPr>
        <w:tabs>
          <w:tab w:val="right" w:leader="dot" w:pos="9062"/>
        </w:tabs>
        <w:ind w:left="440"/>
      </w:pPr>
      <w:hyperlink w:anchor="_Toc2397" w:history="1">
        <w:r>
          <w:rPr>
            <w:rFonts w:ascii="IRNazanin" w:hAnsi="IRNazanin" w:eastAsia="IRNazanin" w:cs="IRNazanin"/>
            <w:color w:val="111111"/>
            <w:sz w:val="22"/>
            <w:szCs w:val="22"/>
            <w:b w:val="0"/>
            <w:bCs w:val="0"/>
            <w:i w:val="0"/>
            <w:iCs w:val="0"/>
          </w:rPr>
          <w:t>1860- دیوان داعی أصفهانی‏</w:t>
        </w:r>
        <w:r>
          <w:tab/>
        </w:r>
        <w:r>
          <w:fldChar w:fldCharType="begin"/>
        </w:r>
        <w:r>
          <w:instrText xml:space="preserve">PAGEREF 2397 \h</w:instrText>
        </w:r>
        <w:r>
          <w:fldChar w:fldCharType="end"/>
        </w:r>
      </w:hyperlink>
    </w:p>
    <w:p>
      <w:pPr>
        <w:tabs>
          <w:tab w:val="right" w:leader="dot" w:pos="9062"/>
        </w:tabs>
        <w:ind w:left="440"/>
      </w:pPr>
      <w:hyperlink w:anchor="_Toc2398" w:history="1">
        <w:r>
          <w:rPr>
            <w:rFonts w:ascii="IRNazanin" w:hAnsi="IRNazanin" w:eastAsia="IRNazanin" w:cs="IRNazanin"/>
            <w:color w:val="111111"/>
            <w:sz w:val="22"/>
            <w:szCs w:val="22"/>
            <w:b w:val="0"/>
            <w:bCs w:val="0"/>
            <w:i w:val="0"/>
            <w:iCs w:val="0"/>
          </w:rPr>
          <w:t>1861- دیوان داعی أنجدانی تفرشی‏</w:t>
        </w:r>
        <w:r>
          <w:tab/>
        </w:r>
        <w:r>
          <w:fldChar w:fldCharType="begin"/>
        </w:r>
        <w:r>
          <w:instrText xml:space="preserve">PAGEREF 2398 \h</w:instrText>
        </w:r>
        <w:r>
          <w:fldChar w:fldCharType="end"/>
        </w:r>
      </w:hyperlink>
    </w:p>
    <w:p>
      <w:pPr>
        <w:tabs>
          <w:tab w:val="right" w:leader="dot" w:pos="9062"/>
        </w:tabs>
        <w:ind w:left="440"/>
      </w:pPr>
      <w:hyperlink w:anchor="_Toc2399" w:history="1">
        <w:r>
          <w:rPr>
            <w:rFonts w:ascii="IRNazanin" w:hAnsi="IRNazanin" w:eastAsia="IRNazanin" w:cs="IRNazanin"/>
            <w:color w:val="111111"/>
            <w:sz w:val="22"/>
            <w:szCs w:val="22"/>
            <w:b w:val="0"/>
            <w:bCs w:val="0"/>
            <w:i w:val="0"/>
            <w:iCs w:val="0"/>
          </w:rPr>
          <w:t>1862- دیوان داعی أنجدانی کاشانی أو شعره‏</w:t>
        </w:r>
        <w:r>
          <w:tab/>
        </w:r>
        <w:r>
          <w:fldChar w:fldCharType="begin"/>
        </w:r>
        <w:r>
          <w:instrText xml:space="preserve">PAGEREF 2399 \h</w:instrText>
        </w:r>
        <w:r>
          <w:fldChar w:fldCharType="end"/>
        </w:r>
      </w:hyperlink>
    </w:p>
    <w:p>
      <w:pPr>
        <w:tabs>
          <w:tab w:val="right" w:leader="dot" w:pos="9062"/>
        </w:tabs>
        <w:ind w:left="440"/>
      </w:pPr>
      <w:hyperlink w:anchor="_Toc2400" w:history="1">
        <w:r>
          <w:rPr>
            <w:rFonts w:ascii="IRNazanin" w:hAnsi="IRNazanin" w:eastAsia="IRNazanin" w:cs="IRNazanin"/>
            <w:color w:val="111111"/>
            <w:sz w:val="22"/>
            <w:szCs w:val="22"/>
            <w:b w:val="0"/>
            <w:bCs w:val="0"/>
            <w:i w:val="0"/>
            <w:iCs w:val="0"/>
          </w:rPr>
          <w:t>1863- دیوان داعی بغدادی‏</w:t>
        </w:r>
        <w:r>
          <w:tab/>
        </w:r>
        <w:r>
          <w:fldChar w:fldCharType="begin"/>
        </w:r>
        <w:r>
          <w:instrText xml:space="preserve">PAGEREF 2400 \h</w:instrText>
        </w:r>
        <w:r>
          <w:fldChar w:fldCharType="end"/>
        </w:r>
      </w:hyperlink>
    </w:p>
    <w:p>
      <w:pPr>
        <w:tabs>
          <w:tab w:val="right" w:leader="dot" w:pos="9062"/>
        </w:tabs>
        <w:ind w:left="440"/>
      </w:pPr>
      <w:hyperlink w:anchor="_Toc2401" w:history="1">
        <w:r>
          <w:rPr>
            <w:rFonts w:ascii="IRNazanin" w:hAnsi="IRNazanin" w:eastAsia="IRNazanin" w:cs="IRNazanin"/>
            <w:color w:val="111111"/>
            <w:sz w:val="22"/>
            <w:szCs w:val="22"/>
            <w:b w:val="0"/>
            <w:bCs w:val="0"/>
            <w:i w:val="0"/>
            <w:iCs w:val="0"/>
          </w:rPr>
          <w:t>1864- دیوان داعی دزفولی‏</w:t>
        </w:r>
        <w:r>
          <w:tab/>
        </w:r>
        <w:r>
          <w:fldChar w:fldCharType="begin"/>
        </w:r>
        <w:r>
          <w:instrText xml:space="preserve">PAGEREF 2401 \h</w:instrText>
        </w:r>
        <w:r>
          <w:fldChar w:fldCharType="end"/>
        </w:r>
      </w:hyperlink>
    </w:p>
    <w:p>
      <w:pPr>
        <w:tabs>
          <w:tab w:val="right" w:leader="dot" w:pos="9062"/>
        </w:tabs>
        <w:ind w:left="440"/>
      </w:pPr>
      <w:hyperlink w:anchor="_Toc2402" w:history="1">
        <w:r>
          <w:rPr>
            <w:rFonts w:ascii="IRNazanin" w:hAnsi="IRNazanin" w:eastAsia="IRNazanin" w:cs="IRNazanin"/>
            <w:color w:val="111111"/>
            <w:sz w:val="22"/>
            <w:szCs w:val="22"/>
            <w:b w:val="0"/>
            <w:bCs w:val="0"/>
            <w:i w:val="0"/>
            <w:iCs w:val="0"/>
          </w:rPr>
          <w:t>1865- دیوان داعی سرخسی‏</w:t>
        </w:r>
        <w:r>
          <w:tab/>
        </w:r>
        <w:r>
          <w:fldChar w:fldCharType="begin"/>
        </w:r>
        <w:r>
          <w:instrText xml:space="preserve">PAGEREF 2402 \h</w:instrText>
        </w:r>
        <w:r>
          <w:fldChar w:fldCharType="end"/>
        </w:r>
      </w:hyperlink>
    </w:p>
    <w:p>
      <w:pPr>
        <w:tabs>
          <w:tab w:val="right" w:leader="dot" w:pos="9062"/>
        </w:tabs>
        <w:ind w:left="440"/>
      </w:pPr>
      <w:hyperlink w:anchor="_Toc2403" w:history="1">
        <w:r>
          <w:rPr>
            <w:rFonts w:ascii="IRNazanin" w:hAnsi="IRNazanin" w:eastAsia="IRNazanin" w:cs="IRNazanin"/>
            <w:color w:val="111111"/>
            <w:sz w:val="22"/>
            <w:szCs w:val="22"/>
            <w:b w:val="0"/>
            <w:bCs w:val="0"/>
            <w:i w:val="0"/>
            <w:iCs w:val="0"/>
          </w:rPr>
          <w:t>1866- دیوان داعی الشیرازی‏</w:t>
        </w:r>
        <w:r>
          <w:tab/>
        </w:r>
        <w:r>
          <w:fldChar w:fldCharType="begin"/>
        </w:r>
        <w:r>
          <w:instrText xml:space="preserve">PAGEREF 2403 \h</w:instrText>
        </w:r>
        <w:r>
          <w:fldChar w:fldCharType="end"/>
        </w:r>
      </w:hyperlink>
    </w:p>
    <w:p>
      <w:pPr>
        <w:tabs>
          <w:tab w:val="right" w:leader="dot" w:pos="9062"/>
        </w:tabs>
        <w:ind w:left="440"/>
      </w:pPr>
      <w:hyperlink w:anchor="_Toc2404" w:history="1">
        <w:r>
          <w:rPr>
            <w:rFonts w:ascii="IRNazanin" w:hAnsi="IRNazanin" w:eastAsia="IRNazanin" w:cs="IRNazanin"/>
            <w:color w:val="111111"/>
            <w:sz w:val="22"/>
            <w:szCs w:val="22"/>
            <w:b w:val="0"/>
            <w:bCs w:val="0"/>
            <w:i w:val="0"/>
            <w:iCs w:val="0"/>
          </w:rPr>
          <w:t>1867- دیوان داغ هندی‏</w:t>
        </w:r>
        <w:r>
          <w:tab/>
        </w:r>
        <w:r>
          <w:fldChar w:fldCharType="begin"/>
        </w:r>
        <w:r>
          <w:instrText xml:space="preserve">PAGEREF 2404 \h</w:instrText>
        </w:r>
        <w:r>
          <w:fldChar w:fldCharType="end"/>
        </w:r>
      </w:hyperlink>
    </w:p>
    <w:p>
      <w:pPr>
        <w:tabs>
          <w:tab w:val="right" w:leader="dot" w:pos="9062"/>
        </w:tabs>
        <w:ind w:left="440"/>
      </w:pPr>
      <w:hyperlink w:anchor="_Toc2405" w:history="1">
        <w:r>
          <w:rPr>
            <w:rFonts w:ascii="IRNazanin" w:hAnsi="IRNazanin" w:eastAsia="IRNazanin" w:cs="IRNazanin"/>
            <w:color w:val="111111"/>
            <w:sz w:val="22"/>
            <w:szCs w:val="22"/>
            <w:b w:val="0"/>
            <w:bCs w:val="0"/>
            <w:i w:val="0"/>
            <w:iCs w:val="0"/>
          </w:rPr>
          <w:t>1868- دیوان دافع لاهیجی‏</w:t>
        </w:r>
        <w:r>
          <w:tab/>
        </w:r>
        <w:r>
          <w:fldChar w:fldCharType="begin"/>
        </w:r>
        <w:r>
          <w:instrText xml:space="preserve">PAGEREF 2405 \h</w:instrText>
        </w:r>
        <w:r>
          <w:fldChar w:fldCharType="end"/>
        </w:r>
      </w:hyperlink>
    </w:p>
    <w:p>
      <w:pPr>
        <w:tabs>
          <w:tab w:val="right" w:leader="dot" w:pos="9062"/>
        </w:tabs>
        <w:ind w:left="440"/>
      </w:pPr>
      <w:hyperlink w:anchor="_Toc2406" w:history="1">
        <w:r>
          <w:rPr>
            <w:rFonts w:ascii="IRNazanin" w:hAnsi="IRNazanin" w:eastAsia="IRNazanin" w:cs="IRNazanin"/>
            <w:color w:val="111111"/>
            <w:sz w:val="22"/>
            <w:szCs w:val="22"/>
            <w:b w:val="0"/>
            <w:bCs w:val="0"/>
            <w:i w:val="0"/>
            <w:iCs w:val="0"/>
          </w:rPr>
          <w:t>دیوان المیر الداماد</w:t>
        </w:r>
        <w:r>
          <w:tab/>
        </w:r>
        <w:r>
          <w:fldChar w:fldCharType="begin"/>
        </w:r>
        <w:r>
          <w:instrText xml:space="preserve">PAGEREF 2406 \h</w:instrText>
        </w:r>
        <w:r>
          <w:fldChar w:fldCharType="end"/>
        </w:r>
      </w:hyperlink>
    </w:p>
    <w:p>
      <w:pPr>
        <w:tabs>
          <w:tab w:val="right" w:leader="dot" w:pos="9062"/>
        </w:tabs>
        <w:ind w:left="440"/>
      </w:pPr>
      <w:hyperlink w:anchor="_Toc2407" w:history="1">
        <w:r>
          <w:rPr>
            <w:rFonts w:ascii="IRNazanin" w:hAnsi="IRNazanin" w:eastAsia="IRNazanin" w:cs="IRNazanin"/>
            <w:color w:val="111111"/>
            <w:sz w:val="22"/>
            <w:szCs w:val="22"/>
            <w:b w:val="0"/>
            <w:bCs w:val="0"/>
            <w:i w:val="0"/>
            <w:iCs w:val="0"/>
          </w:rPr>
          <w:t>دیوان دامی الأسترآبادی‏</w:t>
        </w:r>
        <w:r>
          <w:tab/>
        </w:r>
        <w:r>
          <w:fldChar w:fldCharType="begin"/>
        </w:r>
        <w:r>
          <w:instrText xml:space="preserve">PAGEREF 2407 \h</w:instrText>
        </w:r>
        <w:r>
          <w:fldChar w:fldCharType="end"/>
        </w:r>
      </w:hyperlink>
    </w:p>
    <w:p>
      <w:pPr>
        <w:tabs>
          <w:tab w:val="right" w:leader="dot" w:pos="9062"/>
        </w:tabs>
        <w:ind w:left="440"/>
      </w:pPr>
      <w:hyperlink w:anchor="_Toc2408" w:history="1">
        <w:r>
          <w:rPr>
            <w:rFonts w:ascii="IRNazanin" w:hAnsi="IRNazanin" w:eastAsia="IRNazanin" w:cs="IRNazanin"/>
            <w:color w:val="111111"/>
            <w:sz w:val="22"/>
            <w:szCs w:val="22"/>
            <w:b w:val="0"/>
            <w:bCs w:val="0"/>
            <w:i w:val="0"/>
            <w:iCs w:val="0"/>
          </w:rPr>
          <w:t>1869- دیوان دامی همدانی‏</w:t>
        </w:r>
        <w:r>
          <w:tab/>
        </w:r>
        <w:r>
          <w:fldChar w:fldCharType="begin"/>
        </w:r>
        <w:r>
          <w:instrText xml:space="preserve">PAGEREF 2408 \h</w:instrText>
        </w:r>
        <w:r>
          <w:fldChar w:fldCharType="end"/>
        </w:r>
      </w:hyperlink>
    </w:p>
    <w:p>
      <w:pPr>
        <w:tabs>
          <w:tab w:val="right" w:leader="dot" w:pos="9062"/>
        </w:tabs>
        <w:ind w:left="440"/>
      </w:pPr>
      <w:hyperlink w:anchor="_Toc2409" w:history="1">
        <w:r>
          <w:rPr>
            <w:rFonts w:ascii="IRNazanin" w:hAnsi="IRNazanin" w:eastAsia="IRNazanin" w:cs="IRNazanin"/>
            <w:color w:val="111111"/>
            <w:sz w:val="22"/>
            <w:szCs w:val="22"/>
            <w:b w:val="0"/>
            <w:bCs w:val="0"/>
            <w:i w:val="0"/>
            <w:iCs w:val="0"/>
          </w:rPr>
          <w:t>1870- دیوان دانای کشمیری‏</w:t>
        </w:r>
        <w:r>
          <w:tab/>
        </w:r>
        <w:r>
          <w:fldChar w:fldCharType="begin"/>
        </w:r>
        <w:r>
          <w:instrText xml:space="preserve">PAGEREF 2409 \h</w:instrText>
        </w:r>
        <w:r>
          <w:fldChar w:fldCharType="end"/>
        </w:r>
      </w:hyperlink>
    </w:p>
    <w:p>
      <w:pPr>
        <w:tabs>
          <w:tab w:val="right" w:leader="dot" w:pos="9062"/>
        </w:tabs>
        <w:ind w:left="440"/>
      </w:pPr>
      <w:hyperlink w:anchor="_Toc2410" w:history="1">
        <w:r>
          <w:rPr>
            <w:rFonts w:ascii="IRNazanin" w:hAnsi="IRNazanin" w:eastAsia="IRNazanin" w:cs="IRNazanin"/>
            <w:color w:val="111111"/>
            <w:sz w:val="22"/>
            <w:szCs w:val="22"/>
            <w:b w:val="0"/>
            <w:bCs w:val="0"/>
            <w:i w:val="0"/>
            <w:iCs w:val="0"/>
          </w:rPr>
          <w:t>1871- دیوان دانش أصفهانی‏</w:t>
        </w:r>
        <w:r>
          <w:tab/>
        </w:r>
        <w:r>
          <w:fldChar w:fldCharType="begin"/>
        </w:r>
        <w:r>
          <w:instrText xml:space="preserve">PAGEREF 2410 \h</w:instrText>
        </w:r>
        <w:r>
          <w:fldChar w:fldCharType="end"/>
        </w:r>
      </w:hyperlink>
    </w:p>
    <w:p>
      <w:pPr>
        <w:tabs>
          <w:tab w:val="right" w:leader="dot" w:pos="9062"/>
        </w:tabs>
        <w:ind w:left="440"/>
      </w:pPr>
      <w:hyperlink w:anchor="_Toc2411" w:history="1">
        <w:r>
          <w:rPr>
            <w:rFonts w:ascii="IRNazanin" w:hAnsi="IRNazanin" w:eastAsia="IRNazanin" w:cs="IRNazanin"/>
            <w:color w:val="111111"/>
            <w:sz w:val="22"/>
            <w:szCs w:val="22"/>
            <w:b w:val="0"/>
            <w:bCs w:val="0"/>
            <w:i w:val="0"/>
            <w:iCs w:val="0"/>
          </w:rPr>
          <w:t>1872- دیوان دانش التبریزی‏</w:t>
        </w:r>
        <w:r>
          <w:tab/>
        </w:r>
        <w:r>
          <w:fldChar w:fldCharType="begin"/>
        </w:r>
        <w:r>
          <w:instrText xml:space="preserve">PAGEREF 2411 \h</w:instrText>
        </w:r>
        <w:r>
          <w:fldChar w:fldCharType="end"/>
        </w:r>
      </w:hyperlink>
    </w:p>
    <w:p>
      <w:pPr>
        <w:tabs>
          <w:tab w:val="right" w:leader="dot" w:pos="9062"/>
        </w:tabs>
        <w:ind w:left="440"/>
      </w:pPr>
      <w:hyperlink w:anchor="_Toc2412" w:history="1">
        <w:r>
          <w:rPr>
            <w:rFonts w:ascii="IRNazanin" w:hAnsi="IRNazanin" w:eastAsia="IRNazanin" w:cs="IRNazanin"/>
            <w:color w:val="111111"/>
            <w:sz w:val="22"/>
            <w:szCs w:val="22"/>
            <w:b w:val="0"/>
            <w:bCs w:val="0"/>
            <w:i w:val="0"/>
            <w:iCs w:val="0"/>
          </w:rPr>
          <w:t>1873- دیوان دانش تبریزی‏</w:t>
        </w:r>
        <w:r>
          <w:tab/>
        </w:r>
        <w:r>
          <w:fldChar w:fldCharType="begin"/>
        </w:r>
        <w:r>
          <w:instrText xml:space="preserve">PAGEREF 2412 \h</w:instrText>
        </w:r>
        <w:r>
          <w:fldChar w:fldCharType="end"/>
        </w:r>
      </w:hyperlink>
    </w:p>
    <w:p>
      <w:pPr>
        <w:tabs>
          <w:tab w:val="right" w:leader="dot" w:pos="9062"/>
        </w:tabs>
        <w:ind w:left="440"/>
      </w:pPr>
      <w:hyperlink w:anchor="_Toc2413" w:history="1">
        <w:r>
          <w:rPr>
            <w:rFonts w:ascii="IRNazanin" w:hAnsi="IRNazanin" w:eastAsia="IRNazanin" w:cs="IRNazanin"/>
            <w:color w:val="111111"/>
            <w:sz w:val="22"/>
            <w:szCs w:val="22"/>
            <w:b w:val="0"/>
            <w:bCs w:val="0"/>
            <w:i w:val="0"/>
            <w:iCs w:val="0"/>
          </w:rPr>
          <w:t>1874- دیوان دانش التفریشی‏</w:t>
        </w:r>
        <w:r>
          <w:tab/>
        </w:r>
        <w:r>
          <w:fldChar w:fldCharType="begin"/>
        </w:r>
        <w:r>
          <w:instrText xml:space="preserve">PAGEREF 2413 \h</w:instrText>
        </w:r>
        <w:r>
          <w:fldChar w:fldCharType="end"/>
        </w:r>
      </w:hyperlink>
    </w:p>
    <w:p>
      <w:pPr>
        <w:tabs>
          <w:tab w:val="right" w:leader="dot" w:pos="9062"/>
        </w:tabs>
        <w:ind w:left="440"/>
      </w:pPr>
      <w:hyperlink w:anchor="_Toc2414" w:history="1">
        <w:r>
          <w:rPr>
            <w:rFonts w:ascii="IRNazanin" w:hAnsi="IRNazanin" w:eastAsia="IRNazanin" w:cs="IRNazanin"/>
            <w:color w:val="111111"/>
            <w:sz w:val="22"/>
            <w:szCs w:val="22"/>
            <w:b w:val="0"/>
            <w:bCs w:val="0"/>
            <w:i w:val="0"/>
            <w:iCs w:val="0"/>
          </w:rPr>
          <w:t>1875- دیوان دانش جعفری‏</w:t>
        </w:r>
        <w:r>
          <w:tab/>
        </w:r>
        <w:r>
          <w:fldChar w:fldCharType="begin"/>
        </w:r>
        <w:r>
          <w:instrText xml:space="preserve">PAGEREF 2414 \h</w:instrText>
        </w:r>
        <w:r>
          <w:fldChar w:fldCharType="end"/>
        </w:r>
      </w:hyperlink>
    </w:p>
    <w:p>
      <w:pPr>
        <w:tabs>
          <w:tab w:val="right" w:leader="dot" w:pos="9062"/>
        </w:tabs>
        <w:ind w:left="440"/>
      </w:pPr>
      <w:hyperlink w:anchor="_Toc2415" w:history="1">
        <w:r>
          <w:rPr>
            <w:rFonts w:ascii="IRNazanin" w:hAnsi="IRNazanin" w:eastAsia="IRNazanin" w:cs="IRNazanin"/>
            <w:color w:val="111111"/>
            <w:sz w:val="22"/>
            <w:szCs w:val="22"/>
            <w:b w:val="0"/>
            <w:bCs w:val="0"/>
            <w:i w:val="0"/>
            <w:iCs w:val="0"/>
          </w:rPr>
          <w:t>1876- دیوان دانش الرشتی‏</w:t>
        </w:r>
        <w:r>
          <w:tab/>
        </w:r>
        <w:r>
          <w:fldChar w:fldCharType="begin"/>
        </w:r>
        <w:r>
          <w:instrText xml:space="preserve">PAGEREF 2415 \h</w:instrText>
        </w:r>
        <w:r>
          <w:fldChar w:fldCharType="end"/>
        </w:r>
      </w:hyperlink>
    </w:p>
    <w:p>
      <w:pPr>
        <w:tabs>
          <w:tab w:val="right" w:leader="dot" w:pos="9062"/>
        </w:tabs>
        <w:ind w:left="440"/>
      </w:pPr>
      <w:hyperlink w:anchor="_Toc2416" w:history="1">
        <w:r>
          <w:rPr>
            <w:rFonts w:ascii="IRNazanin" w:hAnsi="IRNazanin" w:eastAsia="IRNazanin" w:cs="IRNazanin"/>
            <w:color w:val="111111"/>
            <w:sz w:val="22"/>
            <w:szCs w:val="22"/>
            <w:b w:val="0"/>
            <w:bCs w:val="0"/>
            <w:i w:val="0"/>
            <w:iCs w:val="0"/>
          </w:rPr>
          <w:t>دیوان دانش شوشتری‏</w:t>
        </w:r>
        <w:r>
          <w:tab/>
        </w:r>
        <w:r>
          <w:fldChar w:fldCharType="begin"/>
        </w:r>
        <w:r>
          <w:instrText xml:space="preserve">PAGEREF 2416 \h</w:instrText>
        </w:r>
        <w:r>
          <w:fldChar w:fldCharType="end"/>
        </w:r>
      </w:hyperlink>
    </w:p>
    <w:p>
      <w:pPr>
        <w:tabs>
          <w:tab w:val="right" w:leader="dot" w:pos="9062"/>
        </w:tabs>
        <w:ind w:left="440"/>
      </w:pPr>
      <w:hyperlink w:anchor="_Toc2417" w:history="1">
        <w:r>
          <w:rPr>
            <w:rFonts w:ascii="IRNazanin" w:hAnsi="IRNazanin" w:eastAsia="IRNazanin" w:cs="IRNazanin"/>
            <w:color w:val="111111"/>
            <w:sz w:val="22"/>
            <w:szCs w:val="22"/>
            <w:b w:val="0"/>
            <w:bCs w:val="0"/>
            <w:i w:val="0"/>
            <w:iCs w:val="0"/>
          </w:rPr>
          <w:t>1877- دیوان دانش الشیرازی‏</w:t>
        </w:r>
        <w:r>
          <w:tab/>
        </w:r>
        <w:r>
          <w:fldChar w:fldCharType="begin"/>
        </w:r>
        <w:r>
          <w:instrText xml:space="preserve">PAGEREF 2417 \h</w:instrText>
        </w:r>
        <w:r>
          <w:fldChar w:fldCharType="end"/>
        </w:r>
      </w:hyperlink>
    </w:p>
    <w:p>
      <w:pPr>
        <w:tabs>
          <w:tab w:val="right" w:leader="dot" w:pos="9062"/>
        </w:tabs>
        <w:ind w:left="440"/>
      </w:pPr>
      <w:hyperlink w:anchor="_Toc2418" w:history="1">
        <w:r>
          <w:rPr>
            <w:rFonts w:ascii="IRNazanin" w:hAnsi="IRNazanin" w:eastAsia="IRNazanin" w:cs="IRNazanin"/>
            <w:color w:val="111111"/>
            <w:sz w:val="22"/>
            <w:szCs w:val="22"/>
            <w:b w:val="0"/>
            <w:bCs w:val="0"/>
            <w:i w:val="0"/>
            <w:iCs w:val="0"/>
          </w:rPr>
          <w:t>1878- دیوان دانش قزوینی‏</w:t>
        </w:r>
        <w:r>
          <w:tab/>
        </w:r>
        <w:r>
          <w:fldChar w:fldCharType="begin"/>
        </w:r>
        <w:r>
          <w:instrText xml:space="preserve">PAGEREF 2418 \h</w:instrText>
        </w:r>
        <w:r>
          <w:fldChar w:fldCharType="end"/>
        </w:r>
      </w:hyperlink>
    </w:p>
    <w:p>
      <w:pPr>
        <w:tabs>
          <w:tab w:val="right" w:leader="dot" w:pos="9062"/>
        </w:tabs>
        <w:ind w:left="440"/>
      </w:pPr>
      <w:hyperlink w:anchor="_Toc2419" w:history="1">
        <w:r>
          <w:rPr>
            <w:rFonts w:ascii="IRNazanin" w:hAnsi="IRNazanin" w:eastAsia="IRNazanin" w:cs="IRNazanin"/>
            <w:color w:val="111111"/>
            <w:sz w:val="22"/>
            <w:szCs w:val="22"/>
            <w:b w:val="0"/>
            <w:bCs w:val="0"/>
            <w:i w:val="0"/>
            <w:iCs w:val="0"/>
          </w:rPr>
          <w:t>1879- دیوان دانش لکهنوی أو شعره‏</w:t>
        </w:r>
        <w:r>
          <w:tab/>
        </w:r>
        <w:r>
          <w:fldChar w:fldCharType="begin"/>
        </w:r>
        <w:r>
          <w:instrText xml:space="preserve">PAGEREF 2419 \h</w:instrText>
        </w:r>
        <w:r>
          <w:fldChar w:fldCharType="end"/>
        </w:r>
      </w:hyperlink>
    </w:p>
    <w:p>
      <w:pPr>
        <w:tabs>
          <w:tab w:val="right" w:leader="dot" w:pos="9062"/>
        </w:tabs>
        <w:ind w:left="440"/>
      </w:pPr>
      <w:hyperlink w:anchor="_Toc2420" w:history="1">
        <w:r>
          <w:rPr>
            <w:rFonts w:ascii="IRNazanin" w:hAnsi="IRNazanin" w:eastAsia="IRNazanin" w:cs="IRNazanin"/>
            <w:color w:val="111111"/>
            <w:sz w:val="22"/>
            <w:szCs w:val="22"/>
            <w:b w:val="0"/>
            <w:bCs w:val="0"/>
            <w:i w:val="0"/>
            <w:iCs w:val="0"/>
          </w:rPr>
          <w:t>دیوان دانش مازندرانی‏</w:t>
        </w:r>
        <w:r>
          <w:tab/>
        </w:r>
        <w:r>
          <w:fldChar w:fldCharType="begin"/>
        </w:r>
        <w:r>
          <w:instrText xml:space="preserve">PAGEREF 2420 \h</w:instrText>
        </w:r>
        <w:r>
          <w:fldChar w:fldCharType="end"/>
        </w:r>
      </w:hyperlink>
    </w:p>
    <w:p>
      <w:pPr>
        <w:tabs>
          <w:tab w:val="right" w:leader="dot" w:pos="9062"/>
        </w:tabs>
        <w:ind w:left="440"/>
      </w:pPr>
      <w:hyperlink w:anchor="_Toc2421" w:history="1">
        <w:r>
          <w:rPr>
            <w:rFonts w:ascii="IRNazanin" w:hAnsi="IRNazanin" w:eastAsia="IRNazanin" w:cs="IRNazanin"/>
            <w:color w:val="111111"/>
            <w:sz w:val="22"/>
            <w:szCs w:val="22"/>
            <w:b w:val="0"/>
            <w:bCs w:val="0"/>
            <w:i w:val="0"/>
            <w:iCs w:val="0"/>
          </w:rPr>
          <w:t>1880- دیوان دانش المشهدی‏</w:t>
        </w:r>
        <w:r>
          <w:tab/>
        </w:r>
        <w:r>
          <w:fldChar w:fldCharType="begin"/>
        </w:r>
        <w:r>
          <w:instrText xml:space="preserve">PAGEREF 2421 \h</w:instrText>
        </w:r>
        <w:r>
          <w:fldChar w:fldCharType="end"/>
        </w:r>
      </w:hyperlink>
    </w:p>
    <w:p>
      <w:pPr>
        <w:tabs>
          <w:tab w:val="right" w:leader="dot" w:pos="9062"/>
        </w:tabs>
        <w:ind w:left="440"/>
      </w:pPr>
      <w:hyperlink w:anchor="_Toc2422" w:history="1">
        <w:r>
          <w:rPr>
            <w:rFonts w:ascii="IRNazanin" w:hAnsi="IRNazanin" w:eastAsia="IRNazanin" w:cs="IRNazanin"/>
            <w:color w:val="111111"/>
            <w:sz w:val="22"/>
            <w:szCs w:val="22"/>
            <w:b w:val="0"/>
            <w:bCs w:val="0"/>
            <w:i w:val="0"/>
            <w:iCs w:val="0"/>
          </w:rPr>
          <w:t>دیوان دانشمند</w:t>
        </w:r>
        <w:r>
          <w:tab/>
        </w:r>
        <w:r>
          <w:fldChar w:fldCharType="begin"/>
        </w:r>
        <w:r>
          <w:instrText xml:space="preserve">PAGEREF 2422 \h</w:instrText>
        </w:r>
        <w:r>
          <w:fldChar w:fldCharType="end"/>
        </w:r>
      </w:hyperlink>
    </w:p>
    <w:p>
      <w:pPr>
        <w:tabs>
          <w:tab w:val="right" w:leader="dot" w:pos="9062"/>
        </w:tabs>
        <w:ind w:left="440"/>
      </w:pPr>
      <w:hyperlink w:anchor="_Toc2423" w:history="1">
        <w:r>
          <w:rPr>
            <w:rFonts w:ascii="IRNazanin" w:hAnsi="IRNazanin" w:eastAsia="IRNazanin" w:cs="IRNazanin"/>
            <w:color w:val="111111"/>
            <w:sz w:val="22"/>
            <w:szCs w:val="22"/>
            <w:b w:val="0"/>
            <w:bCs w:val="0"/>
            <w:i w:val="0"/>
            <w:iCs w:val="0"/>
          </w:rPr>
          <w:t>1881- دیوان دانه‏ای أو شعره‏</w:t>
        </w:r>
        <w:r>
          <w:tab/>
        </w:r>
        <w:r>
          <w:fldChar w:fldCharType="begin"/>
        </w:r>
        <w:r>
          <w:instrText xml:space="preserve">PAGEREF 2423 \h</w:instrText>
        </w:r>
        <w:r>
          <w:fldChar w:fldCharType="end"/>
        </w:r>
      </w:hyperlink>
    </w:p>
    <w:p>
      <w:pPr>
        <w:tabs>
          <w:tab w:val="right" w:leader="dot" w:pos="9062"/>
        </w:tabs>
        <w:ind w:left="440"/>
      </w:pPr>
      <w:hyperlink w:anchor="_Toc2424" w:history="1">
        <w:r>
          <w:rPr>
            <w:rFonts w:ascii="IRNazanin" w:hAnsi="IRNazanin" w:eastAsia="IRNazanin" w:cs="IRNazanin"/>
            <w:color w:val="111111"/>
            <w:sz w:val="22"/>
            <w:szCs w:val="22"/>
            <w:b w:val="0"/>
            <w:bCs w:val="0"/>
            <w:i w:val="0"/>
            <w:iCs w:val="0"/>
          </w:rPr>
          <w:t>دیوان داود بن القاسم‏</w:t>
        </w:r>
        <w:r>
          <w:tab/>
        </w:r>
        <w:r>
          <w:fldChar w:fldCharType="begin"/>
        </w:r>
        <w:r>
          <w:instrText xml:space="preserve">PAGEREF 2424 \h</w:instrText>
        </w:r>
        <w:r>
          <w:fldChar w:fldCharType="end"/>
        </w:r>
      </w:hyperlink>
    </w:p>
    <w:p>
      <w:pPr>
        <w:tabs>
          <w:tab w:val="right" w:leader="dot" w:pos="9062"/>
        </w:tabs>
        <w:ind w:left="440"/>
      </w:pPr>
      <w:hyperlink w:anchor="_Toc2425" w:history="1">
        <w:r>
          <w:rPr>
            <w:rFonts w:ascii="IRNazanin" w:hAnsi="IRNazanin" w:eastAsia="IRNazanin" w:cs="IRNazanin"/>
            <w:color w:val="111111"/>
            <w:sz w:val="22"/>
            <w:szCs w:val="22"/>
            <w:b w:val="0"/>
            <w:bCs w:val="0"/>
            <w:i w:val="0"/>
            <w:iCs w:val="0"/>
          </w:rPr>
          <w:t>1882- دیوان الملا داود الکعبی‏</w:t>
        </w:r>
        <w:r>
          <w:tab/>
        </w:r>
        <w:r>
          <w:fldChar w:fldCharType="begin"/>
        </w:r>
        <w:r>
          <w:instrText xml:space="preserve">PAGEREF 2425 \h</w:instrText>
        </w:r>
        <w:r>
          <w:fldChar w:fldCharType="end"/>
        </w:r>
      </w:hyperlink>
    </w:p>
    <w:p>
      <w:pPr>
        <w:tabs>
          <w:tab w:val="right" w:leader="dot" w:pos="9062"/>
        </w:tabs>
        <w:ind w:left="440"/>
      </w:pPr>
      <w:hyperlink w:anchor="_Toc2426" w:history="1">
        <w:r>
          <w:rPr>
            <w:rFonts w:ascii="IRNazanin" w:hAnsi="IRNazanin" w:eastAsia="IRNazanin" w:cs="IRNazanin"/>
            <w:color w:val="111111"/>
            <w:sz w:val="22"/>
            <w:szCs w:val="22"/>
            <w:b w:val="0"/>
            <w:bCs w:val="0"/>
            <w:i w:val="0"/>
            <w:iCs w:val="0"/>
          </w:rPr>
          <w:t>1883- دیوان داود الأصفهانی‏</w:t>
        </w:r>
        <w:r>
          <w:tab/>
        </w:r>
        <w:r>
          <w:fldChar w:fldCharType="begin"/>
        </w:r>
        <w:r>
          <w:instrText xml:space="preserve">PAGEREF 2426 \h</w:instrText>
        </w:r>
        <w:r>
          <w:fldChar w:fldCharType="end"/>
        </w:r>
      </w:hyperlink>
    </w:p>
    <w:p>
      <w:pPr>
        <w:tabs>
          <w:tab w:val="right" w:leader="dot" w:pos="9062"/>
        </w:tabs>
        <w:ind w:left="440"/>
      </w:pPr>
      <w:hyperlink w:anchor="_Toc2427" w:history="1">
        <w:r>
          <w:rPr>
            <w:rFonts w:ascii="IRNazanin" w:hAnsi="IRNazanin" w:eastAsia="IRNazanin" w:cs="IRNazanin"/>
            <w:color w:val="111111"/>
            <w:sz w:val="22"/>
            <w:szCs w:val="22"/>
            <w:b w:val="0"/>
            <w:bCs w:val="0"/>
            <w:i w:val="0"/>
            <w:iCs w:val="0"/>
          </w:rPr>
          <w:t>1884- دیوان محمد داود التویسرکانی‏</w:t>
        </w:r>
        <w:r>
          <w:tab/>
        </w:r>
        <w:r>
          <w:fldChar w:fldCharType="begin"/>
        </w:r>
        <w:r>
          <w:instrText xml:space="preserve">PAGEREF 2427 \h</w:instrText>
        </w:r>
        <w:r>
          <w:fldChar w:fldCharType="end"/>
        </w:r>
      </w:hyperlink>
    </w:p>
    <w:p>
      <w:pPr>
        <w:tabs>
          <w:tab w:val="right" w:leader="dot" w:pos="9062"/>
        </w:tabs>
        <w:ind w:left="440"/>
      </w:pPr>
      <w:hyperlink w:anchor="_Toc2428" w:history="1">
        <w:r>
          <w:rPr>
            <w:rFonts w:ascii="IRNazanin" w:hAnsi="IRNazanin" w:eastAsia="IRNazanin" w:cs="IRNazanin"/>
            <w:color w:val="111111"/>
            <w:sz w:val="22"/>
            <w:szCs w:val="22"/>
            <w:b w:val="0"/>
            <w:bCs w:val="0"/>
            <w:i w:val="0"/>
            <w:iCs w:val="0"/>
          </w:rPr>
          <w:t>1885- دیوان الشیخ داود الجد حفصی‏</w:t>
        </w:r>
        <w:r>
          <w:tab/>
        </w:r>
        <w:r>
          <w:fldChar w:fldCharType="begin"/>
        </w:r>
        <w:r>
          <w:instrText xml:space="preserve">PAGEREF 2428 \h</w:instrText>
        </w:r>
        <w:r>
          <w:fldChar w:fldCharType="end"/>
        </w:r>
      </w:hyperlink>
    </w:p>
    <w:p>
      <w:pPr>
        <w:tabs>
          <w:tab w:val="right" w:leader="dot" w:pos="9062"/>
        </w:tabs>
        <w:ind w:left="440"/>
      </w:pPr>
      <w:hyperlink w:anchor="_Toc2429" w:history="1">
        <w:r>
          <w:rPr>
            <w:rFonts w:ascii="IRNazanin" w:hAnsi="IRNazanin" w:eastAsia="IRNazanin" w:cs="IRNazanin"/>
            <w:color w:val="111111"/>
            <w:sz w:val="22"/>
            <w:szCs w:val="22"/>
            <w:b w:val="0"/>
            <w:bCs w:val="0"/>
            <w:i w:val="0"/>
            <w:iCs w:val="0"/>
          </w:rPr>
          <w:t>1886- دیوان داور شیرازی‏</w:t>
        </w:r>
        <w:r>
          <w:tab/>
        </w:r>
        <w:r>
          <w:fldChar w:fldCharType="begin"/>
        </w:r>
        <w:r>
          <w:instrText xml:space="preserve">PAGEREF 2429 \h</w:instrText>
        </w:r>
        <w:r>
          <w:fldChar w:fldCharType="end"/>
        </w:r>
      </w:hyperlink>
    </w:p>
    <w:p>
      <w:pPr>
        <w:tabs>
          <w:tab w:val="right" w:leader="dot" w:pos="9062"/>
        </w:tabs>
        <w:ind w:left="440"/>
      </w:pPr>
      <w:hyperlink w:anchor="_Toc2430" w:history="1">
        <w:r>
          <w:rPr>
            <w:rFonts w:ascii="IRNazanin" w:hAnsi="IRNazanin" w:eastAsia="IRNazanin" w:cs="IRNazanin"/>
            <w:color w:val="111111"/>
            <w:sz w:val="22"/>
            <w:szCs w:val="22"/>
            <w:b w:val="0"/>
            <w:bCs w:val="0"/>
            <w:i w:val="0"/>
            <w:iCs w:val="0"/>
          </w:rPr>
          <w:t>1887- دیوان داور قاجار أو شعره‏</w:t>
        </w:r>
        <w:r>
          <w:tab/>
        </w:r>
        <w:r>
          <w:fldChar w:fldCharType="begin"/>
        </w:r>
        <w:r>
          <w:instrText xml:space="preserve">PAGEREF 2430 \h</w:instrText>
        </w:r>
        <w:r>
          <w:fldChar w:fldCharType="end"/>
        </w:r>
      </w:hyperlink>
    </w:p>
    <w:p>
      <w:pPr>
        <w:tabs>
          <w:tab w:val="right" w:leader="dot" w:pos="9062"/>
        </w:tabs>
        <w:ind w:left="440"/>
      </w:pPr>
      <w:hyperlink w:anchor="_Toc2431" w:history="1">
        <w:r>
          <w:rPr>
            <w:rFonts w:ascii="IRNazanin" w:hAnsi="IRNazanin" w:eastAsia="IRNazanin" w:cs="IRNazanin"/>
            <w:color w:val="111111"/>
            <w:sz w:val="22"/>
            <w:szCs w:val="22"/>
            <w:b w:val="0"/>
            <w:bCs w:val="0"/>
            <w:i w:val="0"/>
            <w:iCs w:val="0"/>
          </w:rPr>
          <w:t>1888- دیوان داور همدانی‏</w:t>
        </w:r>
        <w:r>
          <w:tab/>
        </w:r>
        <w:r>
          <w:fldChar w:fldCharType="begin"/>
        </w:r>
        <w:r>
          <w:instrText xml:space="preserve">PAGEREF 2431 \h</w:instrText>
        </w:r>
        <w:r>
          <w:fldChar w:fldCharType="end"/>
        </w:r>
      </w:hyperlink>
    </w:p>
    <w:p>
      <w:pPr>
        <w:tabs>
          <w:tab w:val="right" w:leader="dot" w:pos="9062"/>
        </w:tabs>
        <w:ind w:left="440"/>
      </w:pPr>
      <w:hyperlink w:anchor="_Toc2432" w:history="1">
        <w:r>
          <w:rPr>
            <w:rFonts w:ascii="IRNazanin" w:hAnsi="IRNazanin" w:eastAsia="IRNazanin" w:cs="IRNazanin"/>
            <w:color w:val="111111"/>
            <w:sz w:val="22"/>
            <w:szCs w:val="22"/>
            <w:b w:val="0"/>
            <w:bCs w:val="0"/>
            <w:i w:val="0"/>
            <w:iCs w:val="0"/>
          </w:rPr>
          <w:t>1889- دیوان داوری آرانی‏</w:t>
        </w:r>
        <w:r>
          <w:tab/>
        </w:r>
        <w:r>
          <w:fldChar w:fldCharType="begin"/>
        </w:r>
        <w:r>
          <w:instrText xml:space="preserve">PAGEREF 2432 \h</w:instrText>
        </w:r>
        <w:r>
          <w:fldChar w:fldCharType="end"/>
        </w:r>
      </w:hyperlink>
    </w:p>
    <w:p>
      <w:pPr>
        <w:tabs>
          <w:tab w:val="right" w:leader="dot" w:pos="9062"/>
        </w:tabs>
        <w:ind w:left="440"/>
      </w:pPr>
      <w:hyperlink w:anchor="_Toc2433" w:history="1">
        <w:r>
          <w:rPr>
            <w:rFonts w:ascii="IRNazanin" w:hAnsi="IRNazanin" w:eastAsia="IRNazanin" w:cs="IRNazanin"/>
            <w:color w:val="111111"/>
            <w:sz w:val="22"/>
            <w:szCs w:val="22"/>
            <w:b w:val="0"/>
            <w:bCs w:val="0"/>
            <w:i w:val="0"/>
            <w:iCs w:val="0"/>
          </w:rPr>
          <w:t>1890- دیوان داوری شیرازی‏</w:t>
        </w:r>
        <w:r>
          <w:tab/>
        </w:r>
        <w:r>
          <w:fldChar w:fldCharType="begin"/>
        </w:r>
        <w:r>
          <w:instrText xml:space="preserve">PAGEREF 2433 \h</w:instrText>
        </w:r>
        <w:r>
          <w:fldChar w:fldCharType="end"/>
        </w:r>
      </w:hyperlink>
    </w:p>
    <w:p>
      <w:pPr>
        <w:tabs>
          <w:tab w:val="right" w:leader="dot" w:pos="9062"/>
        </w:tabs>
        <w:ind w:left="440"/>
      </w:pPr>
      <w:hyperlink w:anchor="_Toc2434" w:history="1">
        <w:r>
          <w:rPr>
            <w:rFonts w:ascii="IRNazanin" w:hAnsi="IRNazanin" w:eastAsia="IRNazanin" w:cs="IRNazanin"/>
            <w:color w:val="111111"/>
            <w:sz w:val="22"/>
            <w:szCs w:val="22"/>
            <w:b w:val="0"/>
            <w:bCs w:val="0"/>
            <w:i w:val="0"/>
            <w:iCs w:val="0"/>
          </w:rPr>
          <w:t>دیوان الدباس‏</w:t>
        </w:r>
        <w:r>
          <w:tab/>
        </w:r>
        <w:r>
          <w:fldChar w:fldCharType="begin"/>
        </w:r>
        <w:r>
          <w:instrText xml:space="preserve">PAGEREF 2434 \h</w:instrText>
        </w:r>
        <w:r>
          <w:fldChar w:fldCharType="end"/>
        </w:r>
      </w:hyperlink>
    </w:p>
    <w:p>
      <w:pPr>
        <w:tabs>
          <w:tab w:val="right" w:leader="dot" w:pos="9062"/>
        </w:tabs>
        <w:ind w:left="440"/>
      </w:pPr>
      <w:hyperlink w:anchor="_Toc2435" w:history="1">
        <w:r>
          <w:rPr>
            <w:rFonts w:ascii="IRNazanin" w:hAnsi="IRNazanin" w:eastAsia="IRNazanin" w:cs="IRNazanin"/>
            <w:color w:val="111111"/>
            <w:sz w:val="22"/>
            <w:szCs w:val="22"/>
            <w:b w:val="0"/>
            <w:bCs w:val="0"/>
            <w:i w:val="0"/>
            <w:iCs w:val="0"/>
          </w:rPr>
          <w:t>1891- دیوان دبیر لکهنوی‏</w:t>
        </w:r>
        <w:r>
          <w:tab/>
        </w:r>
        <w:r>
          <w:fldChar w:fldCharType="begin"/>
        </w:r>
        <w:r>
          <w:instrText xml:space="preserve">PAGEREF 2435 \h</w:instrText>
        </w:r>
        <w:r>
          <w:fldChar w:fldCharType="end"/>
        </w:r>
      </w:hyperlink>
    </w:p>
    <w:p>
      <w:pPr>
        <w:tabs>
          <w:tab w:val="right" w:leader="dot" w:pos="9062"/>
        </w:tabs>
        <w:ind w:left="440"/>
      </w:pPr>
      <w:hyperlink w:anchor="_Toc2436" w:history="1">
        <w:r>
          <w:rPr>
            <w:rFonts w:ascii="IRNazanin" w:hAnsi="IRNazanin" w:eastAsia="IRNazanin" w:cs="IRNazanin"/>
            <w:color w:val="111111"/>
            <w:sz w:val="22"/>
            <w:szCs w:val="22"/>
            <w:b w:val="0"/>
            <w:bCs w:val="0"/>
            <w:i w:val="0"/>
            <w:iCs w:val="0"/>
          </w:rPr>
          <w:t>1892- دیوان دبیر هندی أو شعره‏</w:t>
        </w:r>
        <w:r>
          <w:tab/>
        </w:r>
        <w:r>
          <w:fldChar w:fldCharType="begin"/>
        </w:r>
        <w:r>
          <w:instrText xml:space="preserve">PAGEREF 2436 \h</w:instrText>
        </w:r>
        <w:r>
          <w:fldChar w:fldCharType="end"/>
        </w:r>
      </w:hyperlink>
    </w:p>
    <w:p>
      <w:pPr>
        <w:tabs>
          <w:tab w:val="right" w:leader="dot" w:pos="9062"/>
        </w:tabs>
        <w:ind w:left="440"/>
      </w:pPr>
      <w:hyperlink w:anchor="_Toc2437" w:history="1">
        <w:r>
          <w:rPr>
            <w:rFonts w:ascii="IRNazanin" w:hAnsi="IRNazanin" w:eastAsia="IRNazanin" w:cs="IRNazanin"/>
            <w:color w:val="111111"/>
            <w:sz w:val="22"/>
            <w:szCs w:val="22"/>
            <w:b w:val="0"/>
            <w:bCs w:val="0"/>
            <w:i w:val="0"/>
            <w:iCs w:val="0"/>
          </w:rPr>
          <w:t>1893- دیوان دبیری أو شعره‏</w:t>
        </w:r>
        <w:r>
          <w:tab/>
        </w:r>
        <w:r>
          <w:fldChar w:fldCharType="begin"/>
        </w:r>
        <w:r>
          <w:instrText xml:space="preserve">PAGEREF 2437 \h</w:instrText>
        </w:r>
        <w:r>
          <w:fldChar w:fldCharType="end"/>
        </w:r>
      </w:hyperlink>
    </w:p>
    <w:p>
      <w:pPr>
        <w:tabs>
          <w:tab w:val="right" w:leader="dot" w:pos="9062"/>
        </w:tabs>
        <w:ind w:left="440"/>
      </w:pPr>
      <w:hyperlink w:anchor="_Toc2438" w:history="1">
        <w:r>
          <w:rPr>
            <w:rFonts w:ascii="IRNazanin" w:hAnsi="IRNazanin" w:eastAsia="IRNazanin" w:cs="IRNazanin"/>
            <w:color w:val="111111"/>
            <w:sz w:val="22"/>
            <w:szCs w:val="22"/>
            <w:b w:val="0"/>
            <w:bCs w:val="0"/>
            <w:i w:val="0"/>
            <w:iCs w:val="0"/>
          </w:rPr>
          <w:t>1894- دیوان الدجیلی‏</w:t>
        </w:r>
        <w:r>
          <w:tab/>
        </w:r>
        <w:r>
          <w:fldChar w:fldCharType="begin"/>
        </w:r>
        <w:r>
          <w:instrText xml:space="preserve">PAGEREF 2438 \h</w:instrText>
        </w:r>
        <w:r>
          <w:fldChar w:fldCharType="end"/>
        </w:r>
      </w:hyperlink>
    </w:p>
    <w:p>
      <w:pPr>
        <w:tabs>
          <w:tab w:val="right" w:leader="dot" w:pos="9062"/>
        </w:tabs>
        <w:ind w:left="440"/>
      </w:pPr>
      <w:hyperlink w:anchor="_Toc2439" w:history="1">
        <w:r>
          <w:rPr>
            <w:rFonts w:ascii="IRNazanin" w:hAnsi="IRNazanin" w:eastAsia="IRNazanin" w:cs="IRNazanin"/>
            <w:color w:val="111111"/>
            <w:sz w:val="22"/>
            <w:szCs w:val="22"/>
            <w:b w:val="0"/>
            <w:bCs w:val="0"/>
            <w:i w:val="0"/>
            <w:iCs w:val="0"/>
          </w:rPr>
          <w:t>1895- دیوان الدجیلی‏</w:t>
        </w:r>
        <w:r>
          <w:tab/>
        </w:r>
        <w:r>
          <w:fldChar w:fldCharType="begin"/>
        </w:r>
        <w:r>
          <w:instrText xml:space="preserve">PAGEREF 2439 \h</w:instrText>
        </w:r>
        <w:r>
          <w:fldChar w:fldCharType="end"/>
        </w:r>
      </w:hyperlink>
    </w:p>
    <w:p>
      <w:pPr>
        <w:tabs>
          <w:tab w:val="right" w:leader="dot" w:pos="9062"/>
        </w:tabs>
        <w:ind w:left="440"/>
      </w:pPr>
      <w:hyperlink w:anchor="_Toc2440" w:history="1">
        <w:r>
          <w:rPr>
            <w:rFonts w:ascii="IRNazanin" w:hAnsi="IRNazanin" w:eastAsia="IRNazanin" w:cs="IRNazanin"/>
            <w:color w:val="111111"/>
            <w:sz w:val="22"/>
            <w:szCs w:val="22"/>
            <w:b w:val="0"/>
            <w:bCs w:val="0"/>
            <w:i w:val="0"/>
            <w:iCs w:val="0"/>
          </w:rPr>
          <w:t>1896- دیوان الدجیلی‏</w:t>
        </w:r>
        <w:r>
          <w:tab/>
        </w:r>
        <w:r>
          <w:fldChar w:fldCharType="begin"/>
        </w:r>
        <w:r>
          <w:instrText xml:space="preserve">PAGEREF 2440 \h</w:instrText>
        </w:r>
        <w:r>
          <w:fldChar w:fldCharType="end"/>
        </w:r>
      </w:hyperlink>
    </w:p>
    <w:p>
      <w:pPr>
        <w:tabs>
          <w:tab w:val="right" w:leader="dot" w:pos="9062"/>
        </w:tabs>
        <w:ind w:left="440"/>
      </w:pPr>
      <w:hyperlink w:anchor="_Toc2441" w:history="1">
        <w:r>
          <w:rPr>
            <w:rFonts w:ascii="IRNazanin" w:hAnsi="IRNazanin" w:eastAsia="IRNazanin" w:cs="IRNazanin"/>
            <w:color w:val="111111"/>
            <w:sz w:val="22"/>
            <w:szCs w:val="22"/>
            <w:b w:val="0"/>
            <w:bCs w:val="0"/>
            <w:i w:val="0"/>
            <w:iCs w:val="0"/>
          </w:rPr>
          <w:t>1897- دیوان دخلی أصفهانی أو شعره‏</w:t>
        </w:r>
        <w:r>
          <w:tab/>
        </w:r>
        <w:r>
          <w:fldChar w:fldCharType="begin"/>
        </w:r>
        <w:r>
          <w:instrText xml:space="preserve">PAGEREF 2441 \h</w:instrText>
        </w:r>
        <w:r>
          <w:fldChar w:fldCharType="end"/>
        </w:r>
      </w:hyperlink>
    </w:p>
    <w:p>
      <w:pPr>
        <w:tabs>
          <w:tab w:val="right" w:leader="dot" w:pos="9062"/>
        </w:tabs>
        <w:ind w:left="440"/>
      </w:pPr>
      <w:hyperlink w:anchor="_Toc2442" w:history="1">
        <w:r>
          <w:rPr>
            <w:rFonts w:ascii="IRNazanin" w:hAnsi="IRNazanin" w:eastAsia="IRNazanin" w:cs="IRNazanin"/>
            <w:color w:val="111111"/>
            <w:sz w:val="22"/>
            <w:szCs w:val="22"/>
            <w:b w:val="0"/>
            <w:bCs w:val="0"/>
            <w:i w:val="0"/>
            <w:iCs w:val="0"/>
          </w:rPr>
          <w:t>1898- دیوان دخیل مراغه‏ای‏</w:t>
        </w:r>
        <w:r>
          <w:tab/>
        </w:r>
        <w:r>
          <w:fldChar w:fldCharType="begin"/>
        </w:r>
        <w:r>
          <w:instrText xml:space="preserve">PAGEREF 2442 \h</w:instrText>
        </w:r>
        <w:r>
          <w:fldChar w:fldCharType="end"/>
        </w:r>
      </w:hyperlink>
    </w:p>
    <w:p>
      <w:pPr>
        <w:tabs>
          <w:tab w:val="right" w:leader="dot" w:pos="9062"/>
        </w:tabs>
        <w:ind w:left="440"/>
      </w:pPr>
      <w:hyperlink w:anchor="_Toc2443" w:history="1">
        <w:r>
          <w:rPr>
            <w:rFonts w:ascii="IRNazanin" w:hAnsi="IRNazanin" w:eastAsia="IRNazanin" w:cs="IRNazanin"/>
            <w:color w:val="111111"/>
            <w:sz w:val="22"/>
            <w:szCs w:val="22"/>
            <w:b w:val="0"/>
            <w:bCs w:val="0"/>
            <w:i w:val="0"/>
            <w:iCs w:val="0"/>
          </w:rPr>
          <w:t>دیوان دخیل‏</w:t>
        </w:r>
        <w:r>
          <w:tab/>
        </w:r>
        <w:r>
          <w:fldChar w:fldCharType="begin"/>
        </w:r>
        <w:r>
          <w:instrText xml:space="preserve">PAGEREF 2443 \h</w:instrText>
        </w:r>
        <w:r>
          <w:fldChar w:fldCharType="end"/>
        </w:r>
      </w:hyperlink>
    </w:p>
    <w:p>
      <w:pPr>
        <w:tabs>
          <w:tab w:val="right" w:leader="dot" w:pos="9062"/>
        </w:tabs>
        <w:ind w:left="440"/>
      </w:pPr>
      <w:hyperlink w:anchor="_Toc2444" w:history="1">
        <w:r>
          <w:rPr>
            <w:rFonts w:ascii="IRNazanin" w:hAnsi="IRNazanin" w:eastAsia="IRNazanin" w:cs="IRNazanin"/>
            <w:color w:val="111111"/>
            <w:sz w:val="22"/>
            <w:szCs w:val="22"/>
            <w:b w:val="0"/>
            <w:bCs w:val="0"/>
            <w:i w:val="0"/>
            <w:iCs w:val="0"/>
          </w:rPr>
          <w:t>1899- دیوان دخیلی گیلانی‏</w:t>
        </w:r>
        <w:r>
          <w:tab/>
        </w:r>
        <w:r>
          <w:fldChar w:fldCharType="begin"/>
        </w:r>
        <w:r>
          <w:instrText xml:space="preserve">PAGEREF 2444 \h</w:instrText>
        </w:r>
        <w:r>
          <w:fldChar w:fldCharType="end"/>
        </w:r>
      </w:hyperlink>
    </w:p>
    <w:p>
      <w:pPr>
        <w:tabs>
          <w:tab w:val="right" w:leader="dot" w:pos="9062"/>
        </w:tabs>
        <w:ind w:left="440"/>
      </w:pPr>
      <w:hyperlink w:anchor="_Toc2445" w:history="1">
        <w:r>
          <w:rPr>
            <w:rFonts w:ascii="IRNazanin" w:hAnsi="IRNazanin" w:eastAsia="IRNazanin" w:cs="IRNazanin"/>
            <w:color w:val="111111"/>
            <w:sz w:val="22"/>
            <w:szCs w:val="22"/>
            <w:b w:val="0"/>
            <w:bCs w:val="0"/>
            <w:i w:val="0"/>
            <w:iCs w:val="0"/>
          </w:rPr>
          <w:t>1900- دیوان دردی أصفهانی أو شعره‏</w:t>
        </w:r>
        <w:r>
          <w:tab/>
        </w:r>
        <w:r>
          <w:fldChar w:fldCharType="begin"/>
        </w:r>
        <w:r>
          <w:instrText xml:space="preserve">PAGEREF 2445 \h</w:instrText>
        </w:r>
        <w:r>
          <w:fldChar w:fldCharType="end"/>
        </w:r>
      </w:hyperlink>
    </w:p>
    <w:p>
      <w:pPr>
        <w:tabs>
          <w:tab w:val="right" w:leader="dot" w:pos="9062"/>
        </w:tabs>
        <w:ind w:left="440"/>
      </w:pPr>
      <w:hyperlink w:anchor="_Toc2446" w:history="1">
        <w:r>
          <w:rPr>
            <w:rFonts w:ascii="IRNazanin" w:hAnsi="IRNazanin" w:eastAsia="IRNazanin" w:cs="IRNazanin"/>
            <w:color w:val="111111"/>
            <w:sz w:val="22"/>
            <w:szCs w:val="22"/>
            <w:b w:val="0"/>
            <w:bCs w:val="0"/>
            <w:i w:val="0"/>
            <w:iCs w:val="0"/>
          </w:rPr>
          <w:t>1901- دیوان دردی أفشار</w:t>
        </w:r>
        <w:r>
          <w:tab/>
        </w:r>
        <w:r>
          <w:fldChar w:fldCharType="begin"/>
        </w:r>
        <w:r>
          <w:instrText xml:space="preserve">PAGEREF 2446 \h</w:instrText>
        </w:r>
        <w:r>
          <w:fldChar w:fldCharType="end"/>
        </w:r>
      </w:hyperlink>
    </w:p>
    <w:p>
      <w:pPr>
        <w:tabs>
          <w:tab w:val="right" w:leader="dot" w:pos="9062"/>
        </w:tabs>
        <w:ind w:left="440"/>
      </w:pPr>
      <w:hyperlink w:anchor="_Toc2447" w:history="1">
        <w:r>
          <w:rPr>
            <w:rFonts w:ascii="IRNazanin" w:hAnsi="IRNazanin" w:eastAsia="IRNazanin" w:cs="IRNazanin"/>
            <w:color w:val="111111"/>
            <w:sz w:val="22"/>
            <w:szCs w:val="22"/>
            <w:b w:val="0"/>
            <w:bCs w:val="0"/>
            <w:i w:val="0"/>
            <w:iCs w:val="0"/>
          </w:rPr>
          <w:t>1902- دیوان دردی تویسرکانی‏</w:t>
        </w:r>
        <w:r>
          <w:tab/>
        </w:r>
        <w:r>
          <w:fldChar w:fldCharType="begin"/>
        </w:r>
        <w:r>
          <w:instrText xml:space="preserve">PAGEREF 2447 \h</w:instrText>
        </w:r>
        <w:r>
          <w:fldChar w:fldCharType="end"/>
        </w:r>
      </w:hyperlink>
    </w:p>
    <w:p>
      <w:pPr>
        <w:tabs>
          <w:tab w:val="right" w:leader="dot" w:pos="9062"/>
        </w:tabs>
        <w:ind w:left="440"/>
      </w:pPr>
      <w:hyperlink w:anchor="_Toc2448" w:history="1">
        <w:r>
          <w:rPr>
            <w:rFonts w:ascii="IRNazanin" w:hAnsi="IRNazanin" w:eastAsia="IRNazanin" w:cs="IRNazanin"/>
            <w:color w:val="111111"/>
            <w:sz w:val="22"/>
            <w:szCs w:val="22"/>
            <w:b w:val="0"/>
            <w:bCs w:val="0"/>
            <w:i w:val="0"/>
            <w:iCs w:val="0"/>
          </w:rPr>
          <w:t>1903- دیوان دردی سمرقندی‏</w:t>
        </w:r>
        <w:r>
          <w:tab/>
        </w:r>
        <w:r>
          <w:fldChar w:fldCharType="begin"/>
        </w:r>
        <w:r>
          <w:instrText xml:space="preserve">PAGEREF 2448 \h</w:instrText>
        </w:r>
        <w:r>
          <w:fldChar w:fldCharType="end"/>
        </w:r>
      </w:hyperlink>
    </w:p>
    <w:p>
      <w:pPr>
        <w:tabs>
          <w:tab w:val="right" w:leader="dot" w:pos="9062"/>
        </w:tabs>
        <w:ind w:left="440"/>
      </w:pPr>
      <w:hyperlink w:anchor="_Toc2449" w:history="1">
        <w:r>
          <w:rPr>
            <w:rFonts w:ascii="IRNazanin" w:hAnsi="IRNazanin" w:eastAsia="IRNazanin" w:cs="IRNazanin"/>
            <w:color w:val="111111"/>
            <w:sz w:val="22"/>
            <w:szCs w:val="22"/>
            <w:b w:val="0"/>
            <w:bCs w:val="0"/>
            <w:i w:val="0"/>
            <w:iCs w:val="0"/>
          </w:rPr>
          <w:t>1904- دیوان درر الجواهر</w:t>
        </w:r>
        <w:r>
          <w:tab/>
        </w:r>
        <w:r>
          <w:fldChar w:fldCharType="begin"/>
        </w:r>
        <w:r>
          <w:instrText xml:space="preserve">PAGEREF 2449 \h</w:instrText>
        </w:r>
        <w:r>
          <w:fldChar w:fldCharType="end"/>
        </w:r>
      </w:hyperlink>
    </w:p>
    <w:p>
      <w:pPr>
        <w:tabs>
          <w:tab w:val="right" w:leader="dot" w:pos="9062"/>
        </w:tabs>
        <w:ind w:left="440"/>
      </w:pPr>
      <w:hyperlink w:anchor="_Toc2450" w:history="1">
        <w:r>
          <w:rPr>
            <w:rFonts w:ascii="IRNazanin" w:hAnsi="IRNazanin" w:eastAsia="IRNazanin" w:cs="IRNazanin"/>
            <w:color w:val="111111"/>
            <w:sz w:val="22"/>
            <w:szCs w:val="22"/>
            <w:b w:val="0"/>
            <w:bCs w:val="0"/>
            <w:i w:val="0"/>
            <w:iCs w:val="0"/>
          </w:rPr>
          <w:t>دیوان درکانی‏</w:t>
        </w:r>
        <w:r>
          <w:tab/>
        </w:r>
        <w:r>
          <w:fldChar w:fldCharType="begin"/>
        </w:r>
        <w:r>
          <w:instrText xml:space="preserve">PAGEREF 2450 \h</w:instrText>
        </w:r>
        <w:r>
          <w:fldChar w:fldCharType="end"/>
        </w:r>
      </w:hyperlink>
    </w:p>
    <w:p>
      <w:pPr>
        <w:tabs>
          <w:tab w:val="right" w:leader="dot" w:pos="9062"/>
        </w:tabs>
        <w:ind w:left="440"/>
      </w:pPr>
      <w:hyperlink w:anchor="_Toc2451" w:history="1">
        <w:r>
          <w:rPr>
            <w:rFonts w:ascii="IRNazanin" w:hAnsi="IRNazanin" w:eastAsia="IRNazanin" w:cs="IRNazanin"/>
            <w:color w:val="111111"/>
            <w:sz w:val="22"/>
            <w:szCs w:val="22"/>
            <w:b w:val="0"/>
            <w:bCs w:val="0"/>
            <w:i w:val="0"/>
            <w:iCs w:val="0"/>
          </w:rPr>
          <w:t>1905- دیوان درکی قمی‏</w:t>
        </w:r>
        <w:r>
          <w:tab/>
        </w:r>
        <w:r>
          <w:fldChar w:fldCharType="begin"/>
        </w:r>
        <w:r>
          <w:instrText xml:space="preserve">PAGEREF 2451 \h</w:instrText>
        </w:r>
        <w:r>
          <w:fldChar w:fldCharType="end"/>
        </w:r>
      </w:hyperlink>
    </w:p>
    <w:p>
      <w:pPr>
        <w:tabs>
          <w:tab w:val="right" w:leader="dot" w:pos="9062"/>
        </w:tabs>
        <w:ind w:left="440"/>
      </w:pPr>
      <w:hyperlink w:anchor="_Toc2452" w:history="1">
        <w:r>
          <w:rPr>
            <w:rFonts w:ascii="IRNazanin" w:hAnsi="IRNazanin" w:eastAsia="IRNazanin" w:cs="IRNazanin"/>
            <w:color w:val="111111"/>
            <w:sz w:val="22"/>
            <w:szCs w:val="22"/>
            <w:b w:val="0"/>
            <w:bCs w:val="0"/>
            <w:i w:val="0"/>
            <w:iCs w:val="0"/>
          </w:rPr>
          <w:t>1906- دیوان درکی نهاوندی أو شعره‏</w:t>
        </w:r>
        <w:r>
          <w:tab/>
        </w:r>
        <w:r>
          <w:fldChar w:fldCharType="begin"/>
        </w:r>
        <w:r>
          <w:instrText xml:space="preserve">PAGEREF 2452 \h</w:instrText>
        </w:r>
        <w:r>
          <w:fldChar w:fldCharType="end"/>
        </w:r>
      </w:hyperlink>
    </w:p>
    <w:p>
      <w:pPr>
        <w:tabs>
          <w:tab w:val="right" w:leader="dot" w:pos="9062"/>
        </w:tabs>
        <w:ind w:left="440"/>
      </w:pPr>
      <w:hyperlink w:anchor="_Toc2453" w:history="1">
        <w:r>
          <w:rPr>
            <w:rFonts w:ascii="IRNazanin" w:hAnsi="IRNazanin" w:eastAsia="IRNazanin" w:cs="IRNazanin"/>
            <w:color w:val="111111"/>
            <w:sz w:val="22"/>
            <w:szCs w:val="22"/>
            <w:b w:val="0"/>
            <w:bCs w:val="0"/>
            <w:i w:val="0"/>
            <w:iCs w:val="0"/>
          </w:rPr>
          <w:t>1907- دیوان الدرمکی‏</w:t>
        </w:r>
        <w:r>
          <w:tab/>
        </w:r>
        <w:r>
          <w:fldChar w:fldCharType="begin"/>
        </w:r>
        <w:r>
          <w:instrText xml:space="preserve">PAGEREF 2453 \h</w:instrText>
        </w:r>
        <w:r>
          <w:fldChar w:fldCharType="end"/>
        </w:r>
      </w:hyperlink>
    </w:p>
    <w:p>
      <w:pPr>
        <w:tabs>
          <w:tab w:val="right" w:leader="dot" w:pos="9062"/>
        </w:tabs>
        <w:ind w:left="440"/>
      </w:pPr>
      <w:hyperlink w:anchor="_Toc2454" w:history="1">
        <w:r>
          <w:rPr>
            <w:rFonts w:ascii="IRNazanin" w:hAnsi="IRNazanin" w:eastAsia="IRNazanin" w:cs="IRNazanin"/>
            <w:color w:val="111111"/>
            <w:sz w:val="22"/>
            <w:szCs w:val="22"/>
            <w:b w:val="0"/>
            <w:bCs w:val="0"/>
            <w:i w:val="0"/>
            <w:iCs w:val="0"/>
          </w:rPr>
          <w:t>1908- دیوان درونی تبریزی‏</w:t>
        </w:r>
        <w:r>
          <w:tab/>
        </w:r>
        <w:r>
          <w:fldChar w:fldCharType="begin"/>
        </w:r>
        <w:r>
          <w:instrText xml:space="preserve">PAGEREF 2454 \h</w:instrText>
        </w:r>
        <w:r>
          <w:fldChar w:fldCharType="end"/>
        </w:r>
      </w:hyperlink>
    </w:p>
    <w:p>
      <w:pPr>
        <w:tabs>
          <w:tab w:val="right" w:leader="dot" w:pos="9062"/>
        </w:tabs>
        <w:ind w:left="440"/>
      </w:pPr>
      <w:hyperlink w:anchor="_Toc2455" w:history="1">
        <w:r>
          <w:rPr>
            <w:rFonts w:ascii="IRNazanin" w:hAnsi="IRNazanin" w:eastAsia="IRNazanin" w:cs="IRNazanin"/>
            <w:color w:val="111111"/>
            <w:sz w:val="22"/>
            <w:szCs w:val="22"/>
            <w:b w:val="0"/>
            <w:bCs w:val="0"/>
            <w:i w:val="0"/>
            <w:iCs w:val="0"/>
          </w:rPr>
          <w:t>1909- دیوان الخواجة درویش أو شعره‏</w:t>
        </w:r>
        <w:r>
          <w:tab/>
        </w:r>
        <w:r>
          <w:fldChar w:fldCharType="begin"/>
        </w:r>
        <w:r>
          <w:instrText xml:space="preserve">PAGEREF 2455 \h</w:instrText>
        </w:r>
        <w:r>
          <w:fldChar w:fldCharType="end"/>
        </w:r>
      </w:hyperlink>
    </w:p>
    <w:p>
      <w:pPr>
        <w:tabs>
          <w:tab w:val="right" w:leader="dot" w:pos="9062"/>
        </w:tabs>
        <w:ind w:left="440"/>
      </w:pPr>
      <w:hyperlink w:anchor="_Toc2456" w:history="1">
        <w:r>
          <w:rPr>
            <w:rFonts w:ascii="IRNazanin" w:hAnsi="IRNazanin" w:eastAsia="IRNazanin" w:cs="IRNazanin"/>
            <w:color w:val="111111"/>
            <w:sz w:val="22"/>
            <w:szCs w:val="22"/>
            <w:b w:val="0"/>
            <w:bCs w:val="0"/>
            <w:i w:val="0"/>
            <w:iCs w:val="0"/>
          </w:rPr>
          <w:t>1910- دیوان درویش‏</w:t>
        </w:r>
        <w:r>
          <w:tab/>
        </w:r>
        <w:r>
          <w:fldChar w:fldCharType="begin"/>
        </w:r>
        <w:r>
          <w:instrText xml:space="preserve">PAGEREF 2456 \h</w:instrText>
        </w:r>
        <w:r>
          <w:fldChar w:fldCharType="end"/>
        </w:r>
      </w:hyperlink>
    </w:p>
    <w:p>
      <w:pPr>
        <w:tabs>
          <w:tab w:val="right" w:leader="dot" w:pos="9062"/>
        </w:tabs>
        <w:ind w:left="440"/>
      </w:pPr>
      <w:hyperlink w:anchor="_Toc2457" w:history="1">
        <w:r>
          <w:rPr>
            <w:rFonts w:ascii="IRNazanin" w:hAnsi="IRNazanin" w:eastAsia="IRNazanin" w:cs="IRNazanin"/>
            <w:color w:val="111111"/>
            <w:sz w:val="22"/>
            <w:szCs w:val="22"/>
            <w:b w:val="0"/>
            <w:bCs w:val="0"/>
            <w:i w:val="0"/>
            <w:iCs w:val="0"/>
          </w:rPr>
          <w:t>1911- دیوان درویش أحمد خوانساری أو شعره‏</w:t>
        </w:r>
        <w:r>
          <w:tab/>
        </w:r>
        <w:r>
          <w:fldChar w:fldCharType="begin"/>
        </w:r>
        <w:r>
          <w:instrText xml:space="preserve">PAGEREF 2457 \h</w:instrText>
        </w:r>
        <w:r>
          <w:fldChar w:fldCharType="end"/>
        </w:r>
      </w:hyperlink>
    </w:p>
    <w:p>
      <w:pPr>
        <w:tabs>
          <w:tab w:val="right" w:leader="dot" w:pos="9062"/>
        </w:tabs>
        <w:ind w:left="440"/>
      </w:pPr>
      <w:hyperlink w:anchor="_Toc2458" w:history="1">
        <w:r>
          <w:rPr>
            <w:rFonts w:ascii="IRNazanin" w:hAnsi="IRNazanin" w:eastAsia="IRNazanin" w:cs="IRNazanin"/>
            <w:color w:val="111111"/>
            <w:sz w:val="22"/>
            <w:szCs w:val="22"/>
            <w:b w:val="0"/>
            <w:bCs w:val="0"/>
            <w:i w:val="0"/>
            <w:iCs w:val="0"/>
          </w:rPr>
          <w:t>دیوان درویش أشرف‏</w:t>
        </w:r>
        <w:r>
          <w:tab/>
        </w:r>
        <w:r>
          <w:fldChar w:fldCharType="begin"/>
        </w:r>
        <w:r>
          <w:instrText xml:space="preserve">PAGEREF 2458 \h</w:instrText>
        </w:r>
        <w:r>
          <w:fldChar w:fldCharType="end"/>
        </w:r>
      </w:hyperlink>
    </w:p>
    <w:p>
      <w:pPr>
        <w:tabs>
          <w:tab w:val="right" w:leader="dot" w:pos="9062"/>
        </w:tabs>
        <w:ind w:left="440"/>
      </w:pPr>
      <w:hyperlink w:anchor="_Toc2459" w:history="1">
        <w:r>
          <w:rPr>
            <w:rFonts w:ascii="IRNazanin" w:hAnsi="IRNazanin" w:eastAsia="IRNazanin" w:cs="IRNazanin"/>
            <w:color w:val="111111"/>
            <w:sz w:val="22"/>
            <w:szCs w:val="22"/>
            <w:b w:val="0"/>
            <w:bCs w:val="0"/>
            <w:i w:val="0"/>
            <w:iCs w:val="0"/>
          </w:rPr>
          <w:t>1912- دیوان درویش بلبل أو شعره‏</w:t>
        </w:r>
        <w:r>
          <w:tab/>
        </w:r>
        <w:r>
          <w:fldChar w:fldCharType="begin"/>
        </w:r>
        <w:r>
          <w:instrText xml:space="preserve">PAGEREF 2459 \h</w:instrText>
        </w:r>
        <w:r>
          <w:fldChar w:fldCharType="end"/>
        </w:r>
      </w:hyperlink>
    </w:p>
    <w:p>
      <w:pPr>
        <w:tabs>
          <w:tab w:val="right" w:leader="dot" w:pos="9062"/>
        </w:tabs>
        <w:ind w:left="440"/>
      </w:pPr>
      <w:hyperlink w:anchor="_Toc2460" w:history="1">
        <w:r>
          <w:rPr>
            <w:rFonts w:ascii="IRNazanin" w:hAnsi="IRNazanin" w:eastAsia="IRNazanin" w:cs="IRNazanin"/>
            <w:color w:val="111111"/>
            <w:sz w:val="22"/>
            <w:szCs w:val="22"/>
            <w:b w:val="0"/>
            <w:bCs w:val="0"/>
            <w:i w:val="0"/>
            <w:iCs w:val="0"/>
          </w:rPr>
          <w:t>1913- دیوان درویش بیک أو شعره‏</w:t>
        </w:r>
        <w:r>
          <w:tab/>
        </w:r>
        <w:r>
          <w:fldChar w:fldCharType="begin"/>
        </w:r>
        <w:r>
          <w:instrText xml:space="preserve">PAGEREF 2460 \h</w:instrText>
        </w:r>
        <w:r>
          <w:fldChar w:fldCharType="end"/>
        </w:r>
      </w:hyperlink>
    </w:p>
    <w:p>
      <w:pPr>
        <w:tabs>
          <w:tab w:val="right" w:leader="dot" w:pos="9062"/>
        </w:tabs>
        <w:ind w:left="440"/>
      </w:pPr>
      <w:hyperlink w:anchor="_Toc2461" w:history="1">
        <w:r>
          <w:rPr>
            <w:rFonts w:ascii="IRNazanin" w:hAnsi="IRNazanin" w:eastAsia="IRNazanin" w:cs="IRNazanin"/>
            <w:color w:val="111111"/>
            <w:sz w:val="22"/>
            <w:szCs w:val="22"/>
            <w:b w:val="0"/>
            <w:bCs w:val="0"/>
            <w:i w:val="0"/>
            <w:iCs w:val="0"/>
          </w:rPr>
          <w:t>1914- دیوان مولانا درویشی التربتی أو شعره‏</w:t>
        </w:r>
        <w:r>
          <w:tab/>
        </w:r>
        <w:r>
          <w:fldChar w:fldCharType="begin"/>
        </w:r>
        <w:r>
          <w:instrText xml:space="preserve">PAGEREF 2461 \h</w:instrText>
        </w:r>
        <w:r>
          <w:fldChar w:fldCharType="end"/>
        </w:r>
      </w:hyperlink>
    </w:p>
    <w:p>
      <w:pPr>
        <w:tabs>
          <w:tab w:val="right" w:leader="dot" w:pos="9062"/>
        </w:tabs>
        <w:ind w:left="440"/>
      </w:pPr>
      <w:hyperlink w:anchor="_Toc2462" w:history="1">
        <w:r>
          <w:rPr>
            <w:rFonts w:ascii="IRNazanin" w:hAnsi="IRNazanin" w:eastAsia="IRNazanin" w:cs="IRNazanin"/>
            <w:color w:val="111111"/>
            <w:sz w:val="22"/>
            <w:szCs w:val="22"/>
            <w:b w:val="0"/>
            <w:bCs w:val="0"/>
            <w:i w:val="0"/>
            <w:iCs w:val="0"/>
          </w:rPr>
          <w:t>1915- دیوان درویش حیدر أو شعره‏</w:t>
        </w:r>
        <w:r>
          <w:tab/>
        </w:r>
        <w:r>
          <w:fldChar w:fldCharType="begin"/>
        </w:r>
        <w:r>
          <w:instrText xml:space="preserve">PAGEREF 2462 \h</w:instrText>
        </w:r>
        <w:r>
          <w:fldChar w:fldCharType="end"/>
        </w:r>
      </w:hyperlink>
    </w:p>
    <w:p>
      <w:pPr>
        <w:tabs>
          <w:tab w:val="right" w:leader="dot" w:pos="9062"/>
        </w:tabs>
        <w:ind w:left="440"/>
      </w:pPr>
      <w:hyperlink w:anchor="_Toc2463" w:history="1">
        <w:r>
          <w:rPr>
            <w:rFonts w:ascii="IRNazanin" w:hAnsi="IRNazanin" w:eastAsia="IRNazanin" w:cs="IRNazanin"/>
            <w:color w:val="111111"/>
            <w:sz w:val="22"/>
            <w:szCs w:val="22"/>
            <w:b w:val="0"/>
            <w:bCs w:val="0"/>
            <w:i w:val="0"/>
            <w:iCs w:val="0"/>
          </w:rPr>
          <w:t>1916- دیوان درویش سرخسی أو شعره‏</w:t>
        </w:r>
        <w:r>
          <w:tab/>
        </w:r>
        <w:r>
          <w:fldChar w:fldCharType="begin"/>
        </w:r>
        <w:r>
          <w:instrText xml:space="preserve">PAGEREF 2463 \h</w:instrText>
        </w:r>
        <w:r>
          <w:fldChar w:fldCharType="end"/>
        </w:r>
      </w:hyperlink>
    </w:p>
    <w:p>
      <w:pPr>
        <w:tabs>
          <w:tab w:val="right" w:leader="dot" w:pos="9062"/>
        </w:tabs>
        <w:ind w:left="440"/>
      </w:pPr>
      <w:hyperlink w:anchor="_Toc2464" w:history="1">
        <w:r>
          <w:rPr>
            <w:rFonts w:ascii="IRNazanin" w:hAnsi="IRNazanin" w:eastAsia="IRNazanin" w:cs="IRNazanin"/>
            <w:color w:val="111111"/>
            <w:sz w:val="22"/>
            <w:szCs w:val="22"/>
            <w:b w:val="0"/>
            <w:bCs w:val="0"/>
            <w:i w:val="0"/>
            <w:iCs w:val="0"/>
          </w:rPr>
          <w:t>1917- دیوان درویش دهکی‏</w:t>
        </w:r>
        <w:r>
          <w:tab/>
        </w:r>
        <w:r>
          <w:fldChar w:fldCharType="begin"/>
        </w:r>
        <w:r>
          <w:instrText xml:space="preserve">PAGEREF 2464 \h</w:instrText>
        </w:r>
        <w:r>
          <w:fldChar w:fldCharType="end"/>
        </w:r>
      </w:hyperlink>
    </w:p>
    <w:p>
      <w:pPr>
        <w:tabs>
          <w:tab w:val="right" w:leader="dot" w:pos="9062"/>
        </w:tabs>
        <w:ind w:left="440"/>
      </w:pPr>
      <w:hyperlink w:anchor="_Toc2465" w:history="1">
        <w:r>
          <w:rPr>
            <w:rFonts w:ascii="IRNazanin" w:hAnsi="IRNazanin" w:eastAsia="IRNazanin" w:cs="IRNazanin"/>
            <w:color w:val="111111"/>
            <w:sz w:val="22"/>
            <w:szCs w:val="22"/>
            <w:b w:val="0"/>
            <w:bCs w:val="0"/>
            <w:i w:val="0"/>
            <w:iCs w:val="0"/>
          </w:rPr>
          <w:t>1918- دیوان درویش سهراب‏</w:t>
        </w:r>
        <w:r>
          <w:tab/>
        </w:r>
        <w:r>
          <w:fldChar w:fldCharType="begin"/>
        </w:r>
        <w:r>
          <w:instrText xml:space="preserve">PAGEREF 2465 \h</w:instrText>
        </w:r>
        <w:r>
          <w:fldChar w:fldCharType="end"/>
        </w:r>
      </w:hyperlink>
    </w:p>
    <w:p>
      <w:pPr>
        <w:tabs>
          <w:tab w:val="right" w:leader="dot" w:pos="9062"/>
        </w:tabs>
        <w:ind w:left="440"/>
      </w:pPr>
      <w:hyperlink w:anchor="_Toc2466" w:history="1">
        <w:r>
          <w:rPr>
            <w:rFonts w:ascii="IRNazanin" w:hAnsi="IRNazanin" w:eastAsia="IRNazanin" w:cs="IRNazanin"/>
            <w:color w:val="111111"/>
            <w:sz w:val="22"/>
            <w:szCs w:val="22"/>
            <w:b w:val="0"/>
            <w:bCs w:val="0"/>
            <w:i w:val="0"/>
            <w:iCs w:val="0"/>
          </w:rPr>
          <w:t>1919- دیوان درویش صادق أو شعره‏</w:t>
        </w:r>
        <w:r>
          <w:tab/>
        </w:r>
        <w:r>
          <w:fldChar w:fldCharType="begin"/>
        </w:r>
        <w:r>
          <w:instrText xml:space="preserve">PAGEREF 2466 \h</w:instrText>
        </w:r>
        <w:r>
          <w:fldChar w:fldCharType="end"/>
        </w:r>
      </w:hyperlink>
    </w:p>
    <w:p>
      <w:pPr>
        <w:tabs>
          <w:tab w:val="right" w:leader="dot" w:pos="9062"/>
        </w:tabs>
        <w:ind w:left="440"/>
      </w:pPr>
      <w:hyperlink w:anchor="_Toc2467" w:history="1">
        <w:r>
          <w:rPr>
            <w:rFonts w:ascii="IRNazanin" w:hAnsi="IRNazanin" w:eastAsia="IRNazanin" w:cs="IRNazanin"/>
            <w:color w:val="111111"/>
            <w:sz w:val="22"/>
            <w:szCs w:val="22"/>
            <w:b w:val="0"/>
            <w:bCs w:val="0"/>
            <w:i w:val="0"/>
            <w:iCs w:val="0"/>
          </w:rPr>
          <w:t>1920- دیوان درویش محمد صالح الأصفهانی أو شعره‏</w:t>
        </w:r>
        <w:r>
          <w:tab/>
        </w:r>
        <w:r>
          <w:fldChar w:fldCharType="begin"/>
        </w:r>
        <w:r>
          <w:instrText xml:space="preserve">PAGEREF 2467 \h</w:instrText>
        </w:r>
        <w:r>
          <w:fldChar w:fldCharType="end"/>
        </w:r>
      </w:hyperlink>
    </w:p>
    <w:p>
      <w:pPr>
        <w:tabs>
          <w:tab w:val="right" w:leader="dot" w:pos="9062"/>
        </w:tabs>
        <w:ind w:left="440"/>
      </w:pPr>
      <w:hyperlink w:anchor="_Toc2468" w:history="1">
        <w:r>
          <w:rPr>
            <w:rFonts w:ascii="IRNazanin" w:hAnsi="IRNazanin" w:eastAsia="IRNazanin" w:cs="IRNazanin"/>
            <w:color w:val="111111"/>
            <w:sz w:val="22"/>
            <w:szCs w:val="22"/>
            <w:b w:val="0"/>
            <w:bCs w:val="0"/>
            <w:i w:val="0"/>
            <w:iCs w:val="0"/>
          </w:rPr>
          <w:t>دیوان درویش عبد المجید الطالقانی‏</w:t>
        </w:r>
        <w:r>
          <w:tab/>
        </w:r>
        <w:r>
          <w:fldChar w:fldCharType="begin"/>
        </w:r>
        <w:r>
          <w:instrText xml:space="preserve">PAGEREF 2468 \h</w:instrText>
        </w:r>
        <w:r>
          <w:fldChar w:fldCharType="end"/>
        </w:r>
      </w:hyperlink>
    </w:p>
    <w:p>
      <w:pPr>
        <w:tabs>
          <w:tab w:val="right" w:leader="dot" w:pos="9062"/>
        </w:tabs>
        <w:ind w:left="440"/>
      </w:pPr>
      <w:hyperlink w:anchor="_Toc2469" w:history="1">
        <w:r>
          <w:rPr>
            <w:rFonts w:ascii="IRNazanin" w:hAnsi="IRNazanin" w:eastAsia="IRNazanin" w:cs="IRNazanin"/>
            <w:color w:val="111111"/>
            <w:sz w:val="22"/>
            <w:szCs w:val="22"/>
            <w:b w:val="0"/>
            <w:bCs w:val="0"/>
            <w:i w:val="0"/>
            <w:iCs w:val="0"/>
          </w:rPr>
          <w:t>دیوان درویش عزیز الله‏</w:t>
        </w:r>
        <w:r>
          <w:tab/>
        </w:r>
        <w:r>
          <w:fldChar w:fldCharType="begin"/>
        </w:r>
        <w:r>
          <w:instrText xml:space="preserve">PAGEREF 2469 \h</w:instrText>
        </w:r>
        <w:r>
          <w:fldChar w:fldCharType="end"/>
        </w:r>
      </w:hyperlink>
    </w:p>
    <w:p>
      <w:pPr>
        <w:tabs>
          <w:tab w:val="right" w:leader="dot" w:pos="9062"/>
        </w:tabs>
        <w:ind w:left="440"/>
      </w:pPr>
      <w:hyperlink w:anchor="_Toc2470" w:history="1">
        <w:r>
          <w:rPr>
            <w:rFonts w:ascii="IRNazanin" w:hAnsi="IRNazanin" w:eastAsia="IRNazanin" w:cs="IRNazanin"/>
            <w:color w:val="111111"/>
            <w:sz w:val="22"/>
            <w:szCs w:val="22"/>
            <w:b w:val="0"/>
            <w:bCs w:val="0"/>
            <w:i w:val="0"/>
            <w:iCs w:val="0"/>
          </w:rPr>
          <w:t>1921- دیوان مولانا درویش علی أو شعره‏</w:t>
        </w:r>
        <w:r>
          <w:tab/>
        </w:r>
        <w:r>
          <w:fldChar w:fldCharType="begin"/>
        </w:r>
        <w:r>
          <w:instrText xml:space="preserve">PAGEREF 2470 \h</w:instrText>
        </w:r>
        <w:r>
          <w:fldChar w:fldCharType="end"/>
        </w:r>
      </w:hyperlink>
    </w:p>
    <w:p>
      <w:pPr>
        <w:tabs>
          <w:tab w:val="right" w:leader="dot" w:pos="9062"/>
        </w:tabs>
        <w:ind w:left="440"/>
      </w:pPr>
      <w:hyperlink w:anchor="_Toc2471" w:history="1">
        <w:r>
          <w:rPr>
            <w:rFonts w:ascii="IRNazanin" w:hAnsi="IRNazanin" w:eastAsia="IRNazanin" w:cs="IRNazanin"/>
            <w:color w:val="111111"/>
            <w:sz w:val="22"/>
            <w:szCs w:val="22"/>
            <w:b w:val="0"/>
            <w:bCs w:val="0"/>
            <w:i w:val="0"/>
            <w:iCs w:val="0"/>
          </w:rPr>
          <w:t>1922- دیوان الخواجة درویش غیاث أو شعره‏</w:t>
        </w:r>
        <w:r>
          <w:tab/>
        </w:r>
        <w:r>
          <w:fldChar w:fldCharType="begin"/>
        </w:r>
        <w:r>
          <w:instrText xml:space="preserve">PAGEREF 2471 \h</w:instrText>
        </w:r>
        <w:r>
          <w:fldChar w:fldCharType="end"/>
        </w:r>
      </w:hyperlink>
    </w:p>
    <w:p>
      <w:pPr>
        <w:tabs>
          <w:tab w:val="right" w:leader="dot" w:pos="9062"/>
        </w:tabs>
        <w:ind w:left="440"/>
      </w:pPr>
      <w:hyperlink w:anchor="_Toc2472" w:history="1">
        <w:r>
          <w:rPr>
            <w:rFonts w:ascii="IRNazanin" w:hAnsi="IRNazanin" w:eastAsia="IRNazanin" w:cs="IRNazanin"/>
            <w:color w:val="111111"/>
            <w:sz w:val="22"/>
            <w:szCs w:val="22"/>
            <w:b w:val="0"/>
            <w:bCs w:val="0"/>
            <w:i w:val="0"/>
            <w:iCs w:val="0"/>
          </w:rPr>
          <w:t>1923- دیوان درویش قائنی أو شعره‏</w:t>
        </w:r>
        <w:r>
          <w:tab/>
        </w:r>
        <w:r>
          <w:fldChar w:fldCharType="begin"/>
        </w:r>
        <w:r>
          <w:instrText xml:space="preserve">PAGEREF 2472 \h</w:instrText>
        </w:r>
        <w:r>
          <w:fldChar w:fldCharType="end"/>
        </w:r>
      </w:hyperlink>
    </w:p>
    <w:p>
      <w:pPr>
        <w:tabs>
          <w:tab w:val="right" w:leader="dot" w:pos="9062"/>
        </w:tabs>
        <w:ind w:left="440"/>
      </w:pPr>
      <w:hyperlink w:anchor="_Toc2473" w:history="1">
        <w:r>
          <w:rPr>
            <w:rFonts w:ascii="IRNazanin" w:hAnsi="IRNazanin" w:eastAsia="IRNazanin" w:cs="IRNazanin"/>
            <w:color w:val="111111"/>
            <w:sz w:val="22"/>
            <w:szCs w:val="22"/>
            <w:b w:val="0"/>
            <w:bCs w:val="0"/>
            <w:i w:val="0"/>
            <w:iCs w:val="0"/>
          </w:rPr>
          <w:t>1924- دیوان درویش کاهن أو شعره‏</w:t>
        </w:r>
        <w:r>
          <w:tab/>
        </w:r>
        <w:r>
          <w:fldChar w:fldCharType="begin"/>
        </w:r>
        <w:r>
          <w:instrText xml:space="preserve">PAGEREF 2473 \h</w:instrText>
        </w:r>
        <w:r>
          <w:fldChar w:fldCharType="end"/>
        </w:r>
      </w:hyperlink>
    </w:p>
    <w:p>
      <w:pPr>
        <w:tabs>
          <w:tab w:val="right" w:leader="dot" w:pos="9062"/>
        </w:tabs>
        <w:ind w:left="440"/>
      </w:pPr>
      <w:hyperlink w:anchor="_Toc2474" w:history="1">
        <w:r>
          <w:rPr>
            <w:rFonts w:ascii="IRNazanin" w:hAnsi="IRNazanin" w:eastAsia="IRNazanin" w:cs="IRNazanin"/>
            <w:color w:val="111111"/>
            <w:sz w:val="22"/>
            <w:szCs w:val="22"/>
            <w:b w:val="0"/>
            <w:bCs w:val="0"/>
            <w:i w:val="0"/>
            <w:iCs w:val="0"/>
          </w:rPr>
          <w:t>دیوان درویش مجید طالقانی‏</w:t>
        </w:r>
        <w:r>
          <w:tab/>
        </w:r>
        <w:r>
          <w:fldChar w:fldCharType="begin"/>
        </w:r>
        <w:r>
          <w:instrText xml:space="preserve">PAGEREF 2474 \h</w:instrText>
        </w:r>
        <w:r>
          <w:fldChar w:fldCharType="end"/>
        </w:r>
      </w:hyperlink>
    </w:p>
    <w:p>
      <w:pPr>
        <w:tabs>
          <w:tab w:val="right" w:leader="dot" w:pos="9062"/>
        </w:tabs>
        <w:ind w:left="440"/>
      </w:pPr>
      <w:hyperlink w:anchor="_Toc2475" w:history="1">
        <w:r>
          <w:rPr>
            <w:rFonts w:ascii="IRNazanin" w:hAnsi="IRNazanin" w:eastAsia="IRNazanin" w:cs="IRNazanin"/>
            <w:color w:val="111111"/>
            <w:sz w:val="22"/>
            <w:szCs w:val="22"/>
            <w:b w:val="0"/>
            <w:bCs w:val="0"/>
            <w:i w:val="0"/>
            <w:iCs w:val="0"/>
          </w:rPr>
          <w:t>1925- دیوان ملا درویش محمد خراسانی أو شعره‏</w:t>
        </w:r>
        <w:r>
          <w:tab/>
        </w:r>
        <w:r>
          <w:fldChar w:fldCharType="begin"/>
        </w:r>
        <w:r>
          <w:instrText xml:space="preserve">PAGEREF 2475 \h</w:instrText>
        </w:r>
        <w:r>
          <w:fldChar w:fldCharType="end"/>
        </w:r>
      </w:hyperlink>
    </w:p>
    <w:p>
      <w:pPr>
        <w:tabs>
          <w:tab w:val="right" w:leader="dot" w:pos="9062"/>
        </w:tabs>
        <w:ind w:left="440"/>
      </w:pPr>
      <w:hyperlink w:anchor="_Toc2476" w:history="1">
        <w:r>
          <w:rPr>
            <w:rFonts w:ascii="IRNazanin" w:hAnsi="IRNazanin" w:eastAsia="IRNazanin" w:cs="IRNazanin"/>
            <w:color w:val="111111"/>
            <w:sz w:val="22"/>
            <w:szCs w:val="22"/>
            <w:b w:val="0"/>
            <w:bCs w:val="0"/>
            <w:i w:val="0"/>
            <w:iCs w:val="0"/>
          </w:rPr>
          <w:t>1926- دیوان درویش مشهدی أو شعره‏</w:t>
        </w:r>
        <w:r>
          <w:tab/>
        </w:r>
        <w:r>
          <w:fldChar w:fldCharType="begin"/>
        </w:r>
        <w:r>
          <w:instrText xml:space="preserve">PAGEREF 2476 \h</w:instrText>
        </w:r>
        <w:r>
          <w:fldChar w:fldCharType="end"/>
        </w:r>
      </w:hyperlink>
    </w:p>
    <w:p>
      <w:pPr>
        <w:tabs>
          <w:tab w:val="right" w:leader="dot" w:pos="9062"/>
        </w:tabs>
        <w:ind w:left="440"/>
      </w:pPr>
      <w:hyperlink w:anchor="_Toc2477" w:history="1">
        <w:r>
          <w:rPr>
            <w:rFonts w:ascii="IRNazanin" w:hAnsi="IRNazanin" w:eastAsia="IRNazanin" w:cs="IRNazanin"/>
            <w:color w:val="111111"/>
            <w:sz w:val="22"/>
            <w:szCs w:val="22"/>
            <w:b w:val="0"/>
            <w:bCs w:val="0"/>
            <w:i w:val="0"/>
            <w:iCs w:val="0"/>
          </w:rPr>
          <w:t>1927- دیوان درویش مقصود تیرگر</w:t>
        </w:r>
        <w:r>
          <w:tab/>
        </w:r>
        <w:r>
          <w:fldChar w:fldCharType="begin"/>
        </w:r>
        <w:r>
          <w:instrText xml:space="preserve">PAGEREF 2477 \h</w:instrText>
        </w:r>
        <w:r>
          <w:fldChar w:fldCharType="end"/>
        </w:r>
      </w:hyperlink>
    </w:p>
    <w:p>
      <w:pPr>
        <w:tabs>
          <w:tab w:val="right" w:leader="dot" w:pos="9062"/>
        </w:tabs>
        <w:ind w:left="440"/>
      </w:pPr>
      <w:hyperlink w:anchor="_Toc2478" w:history="1">
        <w:r>
          <w:rPr>
            <w:rFonts w:ascii="IRNazanin" w:hAnsi="IRNazanin" w:eastAsia="IRNazanin" w:cs="IRNazanin"/>
            <w:color w:val="111111"/>
            <w:sz w:val="22"/>
            <w:szCs w:val="22"/>
            <w:b w:val="0"/>
            <w:bCs w:val="0"/>
            <w:i w:val="0"/>
            <w:iCs w:val="0"/>
          </w:rPr>
          <w:t>دیوان درویش ناصر بخاری‏</w:t>
        </w:r>
        <w:r>
          <w:tab/>
        </w:r>
        <w:r>
          <w:fldChar w:fldCharType="begin"/>
        </w:r>
        <w:r>
          <w:instrText xml:space="preserve">PAGEREF 2478 \h</w:instrText>
        </w:r>
        <w:r>
          <w:fldChar w:fldCharType="end"/>
        </w:r>
      </w:hyperlink>
    </w:p>
    <w:p>
      <w:pPr>
        <w:tabs>
          <w:tab w:val="right" w:leader="dot" w:pos="9062"/>
        </w:tabs>
        <w:ind w:left="440"/>
      </w:pPr>
      <w:hyperlink w:anchor="_Toc2479" w:history="1">
        <w:r>
          <w:rPr>
            <w:rFonts w:ascii="IRNazanin" w:hAnsi="IRNazanin" w:eastAsia="IRNazanin" w:cs="IRNazanin"/>
            <w:color w:val="111111"/>
            <w:sz w:val="22"/>
            <w:szCs w:val="22"/>
            <w:b w:val="0"/>
            <w:bCs w:val="0"/>
            <w:i w:val="0"/>
            <w:iCs w:val="0"/>
          </w:rPr>
          <w:t>1928- دیوان درویش نصیرا القزوینی‏</w:t>
        </w:r>
        <w:r>
          <w:tab/>
        </w:r>
        <w:r>
          <w:fldChar w:fldCharType="begin"/>
        </w:r>
        <w:r>
          <w:instrText xml:space="preserve">PAGEREF 2479 \h</w:instrText>
        </w:r>
        <w:r>
          <w:fldChar w:fldCharType="end"/>
        </w:r>
      </w:hyperlink>
    </w:p>
    <w:p>
      <w:pPr>
        <w:tabs>
          <w:tab w:val="right" w:leader="dot" w:pos="9062"/>
        </w:tabs>
        <w:ind w:left="440"/>
      </w:pPr>
      <w:hyperlink w:anchor="_Toc2480" w:history="1">
        <w:r>
          <w:rPr>
            <w:rFonts w:ascii="IRNazanin" w:hAnsi="IRNazanin" w:eastAsia="IRNazanin" w:cs="IRNazanin"/>
            <w:color w:val="111111"/>
            <w:sz w:val="22"/>
            <w:szCs w:val="22"/>
            <w:b w:val="0"/>
            <w:bCs w:val="0"/>
            <w:i w:val="0"/>
            <w:iCs w:val="0"/>
          </w:rPr>
          <w:t>دیوان درویش محمد هاشم‏</w:t>
        </w:r>
        <w:r>
          <w:tab/>
        </w:r>
        <w:r>
          <w:fldChar w:fldCharType="begin"/>
        </w:r>
        <w:r>
          <w:instrText xml:space="preserve">PAGEREF 2480 \h</w:instrText>
        </w:r>
        <w:r>
          <w:fldChar w:fldCharType="end"/>
        </w:r>
      </w:hyperlink>
    </w:p>
    <w:p>
      <w:pPr>
        <w:tabs>
          <w:tab w:val="right" w:leader="dot" w:pos="9062"/>
        </w:tabs>
        <w:ind w:left="440"/>
      </w:pPr>
      <w:hyperlink w:anchor="_Toc2481" w:history="1">
        <w:r>
          <w:rPr>
            <w:rFonts w:ascii="IRNazanin" w:hAnsi="IRNazanin" w:eastAsia="IRNazanin" w:cs="IRNazanin"/>
            <w:color w:val="111111"/>
            <w:sz w:val="22"/>
            <w:szCs w:val="22"/>
            <w:b w:val="0"/>
            <w:bCs w:val="0"/>
            <w:i w:val="0"/>
            <w:iCs w:val="0"/>
          </w:rPr>
          <w:t>1929- دیوان درویش یوسف کشمیری أو شعره‏</w:t>
        </w:r>
        <w:r>
          <w:tab/>
        </w:r>
        <w:r>
          <w:fldChar w:fldCharType="begin"/>
        </w:r>
        <w:r>
          <w:instrText xml:space="preserve">PAGEREF 2481 \h</w:instrText>
        </w:r>
        <w:r>
          <w:fldChar w:fldCharType="end"/>
        </w:r>
      </w:hyperlink>
    </w:p>
    <w:p>
      <w:pPr>
        <w:tabs>
          <w:tab w:val="right" w:leader="dot" w:pos="9062"/>
        </w:tabs>
        <w:ind w:left="440"/>
      </w:pPr>
      <w:hyperlink w:anchor="_Toc2482" w:history="1">
        <w:r>
          <w:rPr>
            <w:rFonts w:ascii="IRNazanin" w:hAnsi="IRNazanin" w:eastAsia="IRNazanin" w:cs="IRNazanin"/>
            <w:color w:val="111111"/>
            <w:sz w:val="22"/>
            <w:szCs w:val="22"/>
            <w:b w:val="0"/>
            <w:bCs w:val="0"/>
            <w:i w:val="0"/>
            <w:iCs w:val="0"/>
          </w:rPr>
          <w:t>1930- دیوان درویش یوسف اللاری أو شعره‏</w:t>
        </w:r>
        <w:r>
          <w:tab/>
        </w:r>
        <w:r>
          <w:fldChar w:fldCharType="begin"/>
        </w:r>
        <w:r>
          <w:instrText xml:space="preserve">PAGEREF 2482 \h</w:instrText>
        </w:r>
        <w:r>
          <w:fldChar w:fldCharType="end"/>
        </w:r>
      </w:hyperlink>
    </w:p>
    <w:p>
      <w:pPr>
        <w:tabs>
          <w:tab w:val="right" w:leader="dot" w:pos="9062"/>
        </w:tabs>
        <w:ind w:left="440"/>
      </w:pPr>
      <w:hyperlink w:anchor="_Toc2483" w:history="1">
        <w:r>
          <w:rPr>
            <w:rFonts w:ascii="IRNazanin" w:hAnsi="IRNazanin" w:eastAsia="IRNazanin" w:cs="IRNazanin"/>
            <w:color w:val="111111"/>
            <w:sz w:val="22"/>
            <w:szCs w:val="22"/>
            <w:b w:val="0"/>
            <w:bCs w:val="0"/>
            <w:i w:val="0"/>
            <w:iCs w:val="0"/>
          </w:rPr>
          <w:t>1931- دیوان دریای چهار محالی أصفهانی‏</w:t>
        </w:r>
        <w:r>
          <w:tab/>
        </w:r>
        <w:r>
          <w:fldChar w:fldCharType="begin"/>
        </w:r>
        <w:r>
          <w:instrText xml:space="preserve">PAGEREF 2483 \h</w:instrText>
        </w:r>
        <w:r>
          <w:fldChar w:fldCharType="end"/>
        </w:r>
      </w:hyperlink>
    </w:p>
    <w:p>
      <w:pPr>
        <w:tabs>
          <w:tab w:val="right" w:leader="dot" w:pos="9062"/>
        </w:tabs>
        <w:ind w:left="440"/>
      </w:pPr>
      <w:hyperlink w:anchor="_Toc2484" w:history="1">
        <w:r>
          <w:rPr>
            <w:rFonts w:ascii="IRNazanin" w:hAnsi="IRNazanin" w:eastAsia="IRNazanin" w:cs="IRNazanin"/>
            <w:color w:val="111111"/>
            <w:sz w:val="22"/>
            <w:szCs w:val="22"/>
            <w:b w:val="0"/>
            <w:bCs w:val="0"/>
            <w:i w:val="0"/>
            <w:iCs w:val="0"/>
          </w:rPr>
          <w:t>1932- دیوان دری شوشتری أو شعره‏</w:t>
        </w:r>
        <w:r>
          <w:tab/>
        </w:r>
        <w:r>
          <w:fldChar w:fldCharType="begin"/>
        </w:r>
        <w:r>
          <w:instrText xml:space="preserve">PAGEREF 2484 \h</w:instrText>
        </w:r>
        <w:r>
          <w:fldChar w:fldCharType="end"/>
        </w:r>
      </w:hyperlink>
    </w:p>
    <w:p>
      <w:pPr>
        <w:tabs>
          <w:tab w:val="right" w:leader="dot" w:pos="9062"/>
        </w:tabs>
        <w:ind w:left="440"/>
      </w:pPr>
      <w:hyperlink w:anchor="_Toc2485" w:history="1">
        <w:r>
          <w:rPr>
            <w:rFonts w:ascii="IRNazanin" w:hAnsi="IRNazanin" w:eastAsia="IRNazanin" w:cs="IRNazanin"/>
            <w:color w:val="111111"/>
            <w:sz w:val="22"/>
            <w:szCs w:val="22"/>
            <w:b w:val="0"/>
            <w:bCs w:val="0"/>
            <w:i w:val="0"/>
            <w:iCs w:val="0"/>
          </w:rPr>
          <w:t>1933- دیوان دری کابلی أو شعره‏</w:t>
        </w:r>
        <w:r>
          <w:tab/>
        </w:r>
        <w:r>
          <w:fldChar w:fldCharType="begin"/>
        </w:r>
        <w:r>
          <w:instrText xml:space="preserve">PAGEREF 2485 \h</w:instrText>
        </w:r>
        <w:r>
          <w:fldChar w:fldCharType="end"/>
        </w:r>
      </w:hyperlink>
    </w:p>
    <w:p>
      <w:pPr>
        <w:tabs>
          <w:tab w:val="right" w:leader="dot" w:pos="9062"/>
        </w:tabs>
        <w:ind w:left="440"/>
      </w:pPr>
      <w:hyperlink w:anchor="_Toc2486" w:history="1">
        <w:r>
          <w:rPr>
            <w:rFonts w:ascii="IRNazanin" w:hAnsi="IRNazanin" w:eastAsia="IRNazanin" w:cs="IRNazanin"/>
            <w:color w:val="111111"/>
            <w:sz w:val="22"/>
            <w:szCs w:val="22"/>
            <w:b w:val="0"/>
            <w:bCs w:val="0"/>
            <w:i w:val="0"/>
            <w:iCs w:val="0"/>
          </w:rPr>
          <w:t>دیوان دستغیب شیرازی‏</w:t>
        </w:r>
        <w:r>
          <w:tab/>
        </w:r>
        <w:r>
          <w:fldChar w:fldCharType="begin"/>
        </w:r>
        <w:r>
          <w:instrText xml:space="preserve">PAGEREF 2486 \h</w:instrText>
        </w:r>
        <w:r>
          <w:fldChar w:fldCharType="end"/>
        </w:r>
      </w:hyperlink>
    </w:p>
    <w:p>
      <w:pPr>
        <w:tabs>
          <w:tab w:val="right" w:leader="dot" w:pos="9062"/>
        </w:tabs>
        <w:ind w:left="440"/>
      </w:pPr>
      <w:hyperlink w:anchor="_Toc2487" w:history="1">
        <w:r>
          <w:rPr>
            <w:rFonts w:ascii="IRNazanin" w:hAnsi="IRNazanin" w:eastAsia="IRNazanin" w:cs="IRNazanin"/>
            <w:color w:val="111111"/>
            <w:sz w:val="22"/>
            <w:szCs w:val="22"/>
            <w:b w:val="0"/>
            <w:bCs w:val="0"/>
            <w:i w:val="0"/>
            <w:iCs w:val="0"/>
          </w:rPr>
          <w:t>دیوان دستغیب‏</w:t>
        </w:r>
        <w:r>
          <w:tab/>
        </w:r>
        <w:r>
          <w:fldChar w:fldCharType="begin"/>
        </w:r>
        <w:r>
          <w:instrText xml:space="preserve">PAGEREF 2487 \h</w:instrText>
        </w:r>
        <w:r>
          <w:fldChar w:fldCharType="end"/>
        </w:r>
      </w:hyperlink>
    </w:p>
    <w:p>
      <w:pPr>
        <w:tabs>
          <w:tab w:val="right" w:leader="dot" w:pos="9062"/>
        </w:tabs>
        <w:ind w:left="440"/>
      </w:pPr>
      <w:hyperlink w:anchor="_Toc2488" w:history="1">
        <w:r>
          <w:rPr>
            <w:rFonts w:ascii="IRNazanin" w:hAnsi="IRNazanin" w:eastAsia="IRNazanin" w:cs="IRNazanin"/>
            <w:color w:val="111111"/>
            <w:sz w:val="22"/>
            <w:szCs w:val="22"/>
            <w:b w:val="0"/>
            <w:bCs w:val="0"/>
            <w:i w:val="0"/>
            <w:iCs w:val="0"/>
          </w:rPr>
          <w:t>1934- دیوان دستور</w:t>
        </w:r>
        <w:r>
          <w:tab/>
        </w:r>
        <w:r>
          <w:fldChar w:fldCharType="begin"/>
        </w:r>
        <w:r>
          <w:instrText xml:space="preserve">PAGEREF 2488 \h</w:instrText>
        </w:r>
        <w:r>
          <w:fldChar w:fldCharType="end"/>
        </w:r>
      </w:hyperlink>
    </w:p>
    <w:p>
      <w:pPr>
        <w:tabs>
          <w:tab w:val="right" w:leader="dot" w:pos="9062"/>
        </w:tabs>
        <w:ind w:left="440"/>
      </w:pPr>
      <w:hyperlink w:anchor="_Toc2489" w:history="1">
        <w:r>
          <w:rPr>
            <w:rFonts w:ascii="IRNazanin" w:hAnsi="IRNazanin" w:eastAsia="IRNazanin" w:cs="IRNazanin"/>
            <w:color w:val="111111"/>
            <w:sz w:val="22"/>
            <w:szCs w:val="22"/>
            <w:b w:val="0"/>
            <w:bCs w:val="0"/>
            <w:i w:val="0"/>
            <w:iCs w:val="0"/>
          </w:rPr>
          <w:t>دیوان دشت بیاضی‏</w:t>
        </w:r>
        <w:r>
          <w:tab/>
        </w:r>
        <w:r>
          <w:fldChar w:fldCharType="begin"/>
        </w:r>
        <w:r>
          <w:instrText xml:space="preserve">PAGEREF 2489 \h</w:instrText>
        </w:r>
        <w:r>
          <w:fldChar w:fldCharType="end"/>
        </w:r>
      </w:hyperlink>
    </w:p>
    <w:p>
      <w:pPr>
        <w:tabs>
          <w:tab w:val="right" w:leader="dot" w:pos="9062"/>
        </w:tabs>
        <w:ind w:left="440"/>
      </w:pPr>
      <w:hyperlink w:anchor="_Toc2490" w:history="1">
        <w:r>
          <w:rPr>
            <w:rFonts w:ascii="IRNazanin" w:hAnsi="IRNazanin" w:eastAsia="IRNazanin" w:cs="IRNazanin"/>
            <w:color w:val="111111"/>
            <w:sz w:val="22"/>
            <w:szCs w:val="22"/>
            <w:b w:val="0"/>
            <w:bCs w:val="0"/>
            <w:i w:val="0"/>
            <w:iCs w:val="0"/>
          </w:rPr>
          <w:t>دیوان الدشتکی‏</w:t>
        </w:r>
        <w:r>
          <w:tab/>
        </w:r>
        <w:r>
          <w:fldChar w:fldCharType="begin"/>
        </w:r>
        <w:r>
          <w:instrText xml:space="preserve">PAGEREF 2490 \h</w:instrText>
        </w:r>
        <w:r>
          <w:fldChar w:fldCharType="end"/>
        </w:r>
      </w:hyperlink>
    </w:p>
    <w:p>
      <w:pPr>
        <w:tabs>
          <w:tab w:val="right" w:leader="dot" w:pos="9062"/>
        </w:tabs>
        <w:ind w:left="440"/>
      </w:pPr>
      <w:hyperlink w:anchor="_Toc2491" w:history="1">
        <w:r>
          <w:rPr>
            <w:rFonts w:ascii="IRNazanin" w:hAnsi="IRNazanin" w:eastAsia="IRNazanin" w:cs="IRNazanin"/>
            <w:color w:val="111111"/>
            <w:sz w:val="22"/>
            <w:szCs w:val="22"/>
            <w:b w:val="0"/>
            <w:bCs w:val="0"/>
            <w:i w:val="0"/>
            <w:iCs w:val="0"/>
          </w:rPr>
          <w:t>1935- دیوان دشتی‏</w:t>
        </w:r>
        <w:r>
          <w:tab/>
        </w:r>
        <w:r>
          <w:fldChar w:fldCharType="begin"/>
        </w:r>
        <w:r>
          <w:instrText xml:space="preserve">PAGEREF 2491 \h</w:instrText>
        </w:r>
        <w:r>
          <w:fldChar w:fldCharType="end"/>
        </w:r>
      </w:hyperlink>
    </w:p>
    <w:p>
      <w:pPr>
        <w:tabs>
          <w:tab w:val="right" w:leader="dot" w:pos="9062"/>
        </w:tabs>
        <w:ind w:left="440"/>
      </w:pPr>
      <w:hyperlink w:anchor="_Toc2492" w:history="1">
        <w:r>
          <w:rPr>
            <w:rFonts w:ascii="IRNazanin" w:hAnsi="IRNazanin" w:eastAsia="IRNazanin" w:cs="IRNazanin"/>
            <w:color w:val="111111"/>
            <w:sz w:val="22"/>
            <w:szCs w:val="22"/>
            <w:b w:val="0"/>
            <w:bCs w:val="0"/>
            <w:i w:val="0"/>
            <w:iCs w:val="0"/>
          </w:rPr>
          <w:t>دیوان دشتی‏</w:t>
        </w:r>
        <w:r>
          <w:tab/>
        </w:r>
        <w:r>
          <w:fldChar w:fldCharType="begin"/>
        </w:r>
        <w:r>
          <w:instrText xml:space="preserve">PAGEREF 2492 \h</w:instrText>
        </w:r>
        <w:r>
          <w:fldChar w:fldCharType="end"/>
        </w:r>
      </w:hyperlink>
    </w:p>
    <w:p>
      <w:pPr>
        <w:tabs>
          <w:tab w:val="right" w:leader="dot" w:pos="9062"/>
        </w:tabs>
        <w:ind w:left="440"/>
      </w:pPr>
      <w:hyperlink w:anchor="_Toc2493" w:history="1">
        <w:r>
          <w:rPr>
            <w:rFonts w:ascii="IRNazanin" w:hAnsi="IRNazanin" w:eastAsia="IRNazanin" w:cs="IRNazanin"/>
            <w:color w:val="111111"/>
            <w:sz w:val="22"/>
            <w:szCs w:val="22"/>
            <w:b w:val="0"/>
            <w:bCs w:val="0"/>
            <w:i w:val="0"/>
            <w:iCs w:val="0"/>
          </w:rPr>
          <w:t>1936- دیوان دعائی خراسانی‏</w:t>
        </w:r>
        <w:r>
          <w:tab/>
        </w:r>
        <w:r>
          <w:fldChar w:fldCharType="begin"/>
        </w:r>
        <w:r>
          <w:instrText xml:space="preserve">PAGEREF 2493 \h</w:instrText>
        </w:r>
        <w:r>
          <w:fldChar w:fldCharType="end"/>
        </w:r>
      </w:hyperlink>
    </w:p>
    <w:p>
      <w:pPr>
        <w:tabs>
          <w:tab w:val="right" w:leader="dot" w:pos="9062"/>
        </w:tabs>
        <w:ind w:left="440"/>
      </w:pPr>
      <w:hyperlink w:anchor="_Toc2494" w:history="1">
        <w:r>
          <w:rPr>
            <w:rFonts w:ascii="IRNazanin" w:hAnsi="IRNazanin" w:eastAsia="IRNazanin" w:cs="IRNazanin"/>
            <w:color w:val="111111"/>
            <w:sz w:val="22"/>
            <w:szCs w:val="22"/>
            <w:b w:val="0"/>
            <w:bCs w:val="0"/>
            <w:i w:val="0"/>
            <w:iCs w:val="0"/>
          </w:rPr>
          <w:t>1937- دیوان دعائی دهلوی‏</w:t>
        </w:r>
        <w:r>
          <w:tab/>
        </w:r>
        <w:r>
          <w:fldChar w:fldCharType="begin"/>
        </w:r>
        <w:r>
          <w:instrText xml:space="preserve">PAGEREF 2494 \h</w:instrText>
        </w:r>
        <w:r>
          <w:fldChar w:fldCharType="end"/>
        </w:r>
      </w:hyperlink>
    </w:p>
    <w:p>
      <w:pPr>
        <w:tabs>
          <w:tab w:val="right" w:leader="dot" w:pos="9062"/>
        </w:tabs>
        <w:ind w:left="440"/>
      </w:pPr>
      <w:hyperlink w:anchor="_Toc2495" w:history="1">
        <w:r>
          <w:rPr>
            <w:rFonts w:ascii="IRNazanin" w:hAnsi="IRNazanin" w:eastAsia="IRNazanin" w:cs="IRNazanin"/>
            <w:color w:val="111111"/>
            <w:sz w:val="22"/>
            <w:szCs w:val="22"/>
            <w:b w:val="0"/>
            <w:bCs w:val="0"/>
            <w:i w:val="0"/>
            <w:iCs w:val="0"/>
          </w:rPr>
          <w:t>1938- دیوان دعبل الخزاعی‏</w:t>
        </w:r>
        <w:r>
          <w:tab/>
        </w:r>
        <w:r>
          <w:fldChar w:fldCharType="begin"/>
        </w:r>
        <w:r>
          <w:instrText xml:space="preserve">PAGEREF 2495 \h</w:instrText>
        </w:r>
        <w:r>
          <w:fldChar w:fldCharType="end"/>
        </w:r>
      </w:hyperlink>
    </w:p>
    <w:p>
      <w:pPr>
        <w:tabs>
          <w:tab w:val="right" w:leader="dot" w:pos="9062"/>
        </w:tabs>
        <w:ind w:left="440"/>
      </w:pPr>
      <w:hyperlink w:anchor="_Toc2496" w:history="1">
        <w:r>
          <w:rPr>
            <w:rFonts w:ascii="IRNazanin" w:hAnsi="IRNazanin" w:eastAsia="IRNazanin" w:cs="IRNazanin"/>
            <w:color w:val="111111"/>
            <w:sz w:val="22"/>
            <w:szCs w:val="22"/>
            <w:b w:val="0"/>
            <w:bCs w:val="0"/>
            <w:i w:val="0"/>
            <w:iCs w:val="0"/>
          </w:rPr>
          <w:t>1939- دیوان دعوی‏</w:t>
        </w:r>
        <w:r>
          <w:tab/>
        </w:r>
        <w:r>
          <w:fldChar w:fldCharType="begin"/>
        </w:r>
        <w:r>
          <w:instrText xml:space="preserve">PAGEREF 2496 \h</w:instrText>
        </w:r>
        <w:r>
          <w:fldChar w:fldCharType="end"/>
        </w:r>
      </w:hyperlink>
    </w:p>
    <w:p>
      <w:pPr>
        <w:tabs>
          <w:tab w:val="right" w:leader="dot" w:pos="9062"/>
        </w:tabs>
        <w:ind w:left="440"/>
      </w:pPr>
      <w:hyperlink w:anchor="_Toc2497" w:history="1">
        <w:r>
          <w:rPr>
            <w:rFonts w:ascii="IRNazanin" w:hAnsi="IRNazanin" w:eastAsia="IRNazanin" w:cs="IRNazanin"/>
            <w:color w:val="111111"/>
            <w:sz w:val="22"/>
            <w:szCs w:val="22"/>
            <w:b w:val="0"/>
            <w:bCs w:val="0"/>
            <w:i w:val="0"/>
            <w:iCs w:val="0"/>
          </w:rPr>
          <w:t>دیوان دقاق یزدی‏</w:t>
        </w:r>
        <w:r>
          <w:tab/>
        </w:r>
        <w:r>
          <w:fldChar w:fldCharType="begin"/>
        </w:r>
        <w:r>
          <w:instrText xml:space="preserve">PAGEREF 2497 \h</w:instrText>
        </w:r>
        <w:r>
          <w:fldChar w:fldCharType="end"/>
        </w:r>
      </w:hyperlink>
    </w:p>
    <w:p>
      <w:pPr>
        <w:tabs>
          <w:tab w:val="right" w:leader="dot" w:pos="9062"/>
        </w:tabs>
        <w:ind w:left="440"/>
      </w:pPr>
      <w:hyperlink w:anchor="_Toc2498" w:history="1">
        <w:r>
          <w:rPr>
            <w:rFonts w:ascii="IRNazanin" w:hAnsi="IRNazanin" w:eastAsia="IRNazanin" w:cs="IRNazanin"/>
            <w:color w:val="111111"/>
            <w:sz w:val="22"/>
            <w:szCs w:val="22"/>
            <w:b w:val="0"/>
            <w:bCs w:val="0"/>
            <w:i w:val="0"/>
            <w:iCs w:val="0"/>
          </w:rPr>
          <w:t>دیوان دقائق‏</w:t>
        </w:r>
        <w:r>
          <w:tab/>
        </w:r>
        <w:r>
          <w:fldChar w:fldCharType="begin"/>
        </w:r>
        <w:r>
          <w:instrText xml:space="preserve">PAGEREF 2498 \h</w:instrText>
        </w:r>
        <w:r>
          <w:fldChar w:fldCharType="end"/>
        </w:r>
      </w:hyperlink>
    </w:p>
    <w:p>
      <w:pPr>
        <w:tabs>
          <w:tab w:val="right" w:leader="dot" w:pos="9062"/>
        </w:tabs>
        <w:ind w:left="440"/>
      </w:pPr>
      <w:hyperlink w:anchor="_Toc2499" w:history="1">
        <w:r>
          <w:rPr>
            <w:rFonts w:ascii="IRNazanin" w:hAnsi="IRNazanin" w:eastAsia="IRNazanin" w:cs="IRNazanin"/>
            <w:color w:val="111111"/>
            <w:sz w:val="22"/>
            <w:szCs w:val="22"/>
            <w:b w:val="0"/>
            <w:bCs w:val="0"/>
            <w:i w:val="0"/>
            <w:iCs w:val="0"/>
          </w:rPr>
          <w:t>1940- دیوان دقائقی مروزی‏</w:t>
        </w:r>
        <w:r>
          <w:tab/>
        </w:r>
        <w:r>
          <w:fldChar w:fldCharType="begin"/>
        </w:r>
        <w:r>
          <w:instrText xml:space="preserve">PAGEREF 2499 \h</w:instrText>
        </w:r>
        <w:r>
          <w:fldChar w:fldCharType="end"/>
        </w:r>
      </w:hyperlink>
    </w:p>
    <w:p>
      <w:pPr>
        <w:tabs>
          <w:tab w:val="right" w:leader="dot" w:pos="9062"/>
        </w:tabs>
        <w:ind w:left="440"/>
      </w:pPr>
      <w:hyperlink w:anchor="_Toc2500" w:history="1">
        <w:r>
          <w:rPr>
            <w:rFonts w:ascii="IRNazanin" w:hAnsi="IRNazanin" w:eastAsia="IRNazanin" w:cs="IRNazanin"/>
            <w:color w:val="111111"/>
            <w:sz w:val="22"/>
            <w:szCs w:val="22"/>
            <w:b w:val="0"/>
            <w:bCs w:val="0"/>
            <w:i w:val="0"/>
            <w:iCs w:val="0"/>
          </w:rPr>
          <w:t>1941- دیوان دقت‏</w:t>
        </w:r>
        <w:r>
          <w:tab/>
        </w:r>
        <w:r>
          <w:fldChar w:fldCharType="begin"/>
        </w:r>
        <w:r>
          <w:instrText xml:space="preserve">PAGEREF 2500 \h</w:instrText>
        </w:r>
        <w:r>
          <w:fldChar w:fldCharType="end"/>
        </w:r>
      </w:hyperlink>
    </w:p>
    <w:p>
      <w:pPr>
        <w:tabs>
          <w:tab w:val="right" w:leader="dot" w:pos="9062"/>
        </w:tabs>
        <w:ind w:left="440"/>
      </w:pPr>
      <w:hyperlink w:anchor="_Toc2501" w:history="1">
        <w:r>
          <w:rPr>
            <w:rFonts w:ascii="IRNazanin" w:hAnsi="IRNazanin" w:eastAsia="IRNazanin" w:cs="IRNazanin"/>
            <w:color w:val="111111"/>
            <w:sz w:val="22"/>
            <w:szCs w:val="22"/>
            <w:b w:val="0"/>
            <w:bCs w:val="0"/>
            <w:i w:val="0"/>
            <w:iCs w:val="0"/>
          </w:rPr>
          <w:t>1942- دیوان دقیقی مروزی‏</w:t>
        </w:r>
        <w:r>
          <w:tab/>
        </w:r>
        <w:r>
          <w:fldChar w:fldCharType="begin"/>
        </w:r>
        <w:r>
          <w:instrText xml:space="preserve">PAGEREF 2501 \h</w:instrText>
        </w:r>
        <w:r>
          <w:fldChar w:fldCharType="end"/>
        </w:r>
      </w:hyperlink>
    </w:p>
    <w:p>
      <w:pPr>
        <w:tabs>
          <w:tab w:val="right" w:leader="dot" w:pos="9062"/>
        </w:tabs>
        <w:ind w:left="440"/>
      </w:pPr>
      <w:hyperlink w:anchor="_Toc2502" w:history="1">
        <w:r>
          <w:rPr>
            <w:rFonts w:ascii="IRNazanin" w:hAnsi="IRNazanin" w:eastAsia="IRNazanin" w:cs="IRNazanin"/>
            <w:color w:val="111111"/>
            <w:sz w:val="22"/>
            <w:szCs w:val="22"/>
            <w:b w:val="0"/>
            <w:bCs w:val="0"/>
            <w:i w:val="0"/>
            <w:iCs w:val="0"/>
          </w:rPr>
          <w:t>1943- دیوان دل هندی‏</w:t>
        </w:r>
        <w:r>
          <w:tab/>
        </w:r>
        <w:r>
          <w:fldChar w:fldCharType="begin"/>
        </w:r>
        <w:r>
          <w:instrText xml:space="preserve">PAGEREF 2502 \h</w:instrText>
        </w:r>
        <w:r>
          <w:fldChar w:fldCharType="end"/>
        </w:r>
      </w:hyperlink>
    </w:p>
    <w:p>
      <w:pPr>
        <w:tabs>
          <w:tab w:val="right" w:leader="dot" w:pos="9062"/>
        </w:tabs>
        <w:ind w:left="440"/>
      </w:pPr>
      <w:hyperlink w:anchor="_Toc2503" w:history="1">
        <w:r>
          <w:rPr>
            <w:rFonts w:ascii="IRNazanin" w:hAnsi="IRNazanin" w:eastAsia="IRNazanin" w:cs="IRNazanin"/>
            <w:color w:val="111111"/>
            <w:sz w:val="22"/>
            <w:szCs w:val="22"/>
            <w:b w:val="0"/>
            <w:bCs w:val="0"/>
            <w:i w:val="0"/>
            <w:iCs w:val="0"/>
          </w:rPr>
          <w:t>1944- دیوان دل أصفهانی أو شعره‏</w:t>
        </w:r>
        <w:r>
          <w:tab/>
        </w:r>
        <w:r>
          <w:fldChar w:fldCharType="begin"/>
        </w:r>
        <w:r>
          <w:instrText xml:space="preserve">PAGEREF 2503 \h</w:instrText>
        </w:r>
        <w:r>
          <w:fldChar w:fldCharType="end"/>
        </w:r>
      </w:hyperlink>
    </w:p>
    <w:p>
      <w:pPr>
        <w:tabs>
          <w:tab w:val="right" w:leader="dot" w:pos="9062"/>
        </w:tabs>
        <w:ind w:left="440"/>
      </w:pPr>
      <w:hyperlink w:anchor="_Toc2504" w:history="1">
        <w:r>
          <w:rPr>
            <w:rFonts w:ascii="IRNazanin" w:hAnsi="IRNazanin" w:eastAsia="IRNazanin" w:cs="IRNazanin"/>
            <w:color w:val="111111"/>
            <w:sz w:val="22"/>
            <w:szCs w:val="22"/>
            <w:b w:val="0"/>
            <w:bCs w:val="0"/>
            <w:i w:val="0"/>
            <w:iCs w:val="0"/>
          </w:rPr>
          <w:t>1945- دیوان المیر دلال‏</w:t>
        </w:r>
        <w:r>
          <w:tab/>
        </w:r>
        <w:r>
          <w:fldChar w:fldCharType="begin"/>
        </w:r>
        <w:r>
          <w:instrText xml:space="preserve">PAGEREF 2504 \h</w:instrText>
        </w:r>
        <w:r>
          <w:fldChar w:fldCharType="end"/>
        </w:r>
      </w:hyperlink>
    </w:p>
    <w:p>
      <w:pPr>
        <w:tabs>
          <w:tab w:val="right" w:leader="dot" w:pos="9062"/>
        </w:tabs>
        <w:ind w:left="440"/>
      </w:pPr>
      <w:hyperlink w:anchor="_Toc2505" w:history="1">
        <w:r>
          <w:rPr>
            <w:rFonts w:ascii="IRNazanin" w:hAnsi="IRNazanin" w:eastAsia="IRNazanin" w:cs="IRNazanin"/>
            <w:color w:val="111111"/>
            <w:sz w:val="22"/>
            <w:szCs w:val="22"/>
            <w:b w:val="0"/>
            <w:bCs w:val="0"/>
            <w:i w:val="0"/>
            <w:iCs w:val="0"/>
          </w:rPr>
          <w:t>1946- دیوان دلخون آذربایجانی‏</w:t>
        </w:r>
        <w:r>
          <w:tab/>
        </w:r>
        <w:r>
          <w:fldChar w:fldCharType="begin"/>
        </w:r>
        <w:r>
          <w:instrText xml:space="preserve">PAGEREF 2505 \h</w:instrText>
        </w:r>
        <w:r>
          <w:fldChar w:fldCharType="end"/>
        </w:r>
      </w:hyperlink>
    </w:p>
    <w:p>
      <w:pPr>
        <w:tabs>
          <w:tab w:val="right" w:leader="dot" w:pos="9062"/>
        </w:tabs>
        <w:ind w:left="440"/>
      </w:pPr>
      <w:hyperlink w:anchor="_Toc2506" w:history="1">
        <w:r>
          <w:rPr>
            <w:rFonts w:ascii="IRNazanin" w:hAnsi="IRNazanin" w:eastAsia="IRNazanin" w:cs="IRNazanin"/>
            <w:color w:val="111111"/>
            <w:sz w:val="22"/>
            <w:szCs w:val="22"/>
            <w:b w:val="0"/>
            <w:bCs w:val="0"/>
            <w:i w:val="0"/>
            <w:iCs w:val="0"/>
          </w:rPr>
          <w:t>1947- دیوان دلریش تبریزی‏</w:t>
        </w:r>
        <w:r>
          <w:tab/>
        </w:r>
        <w:r>
          <w:fldChar w:fldCharType="begin"/>
        </w:r>
        <w:r>
          <w:instrText xml:space="preserve">PAGEREF 2506 \h</w:instrText>
        </w:r>
        <w:r>
          <w:fldChar w:fldCharType="end"/>
        </w:r>
      </w:hyperlink>
    </w:p>
    <w:p>
      <w:pPr>
        <w:tabs>
          <w:tab w:val="right" w:leader="dot" w:pos="9062"/>
        </w:tabs>
        <w:ind w:left="440"/>
      </w:pPr>
      <w:hyperlink w:anchor="_Toc2507" w:history="1">
        <w:r>
          <w:rPr>
            <w:rFonts w:ascii="IRNazanin" w:hAnsi="IRNazanin" w:eastAsia="IRNazanin" w:cs="IRNazanin"/>
            <w:color w:val="111111"/>
            <w:sz w:val="22"/>
            <w:szCs w:val="22"/>
            <w:b w:val="0"/>
            <w:bCs w:val="0"/>
            <w:i w:val="0"/>
            <w:iCs w:val="0"/>
          </w:rPr>
          <w:t>1948- دیوان دلسوز تبریزی‏</w:t>
        </w:r>
        <w:r>
          <w:tab/>
        </w:r>
        <w:r>
          <w:fldChar w:fldCharType="begin"/>
        </w:r>
        <w:r>
          <w:instrText xml:space="preserve">PAGEREF 2507 \h</w:instrText>
        </w:r>
        <w:r>
          <w:fldChar w:fldCharType="end"/>
        </w:r>
      </w:hyperlink>
    </w:p>
    <w:p>
      <w:pPr>
        <w:tabs>
          <w:tab w:val="right" w:leader="dot" w:pos="9062"/>
        </w:tabs>
        <w:ind w:left="440"/>
      </w:pPr>
      <w:hyperlink w:anchor="_Toc2508" w:history="1">
        <w:r>
          <w:rPr>
            <w:rFonts w:ascii="IRNazanin" w:hAnsi="IRNazanin" w:eastAsia="IRNazanin" w:cs="IRNazanin"/>
            <w:color w:val="111111"/>
            <w:sz w:val="22"/>
            <w:szCs w:val="22"/>
            <w:b w:val="0"/>
            <w:bCs w:val="0"/>
            <w:i w:val="0"/>
            <w:iCs w:val="0"/>
          </w:rPr>
          <w:t>1949- دیوان دلگیر</w:t>
        </w:r>
        <w:r>
          <w:tab/>
        </w:r>
        <w:r>
          <w:fldChar w:fldCharType="begin"/>
        </w:r>
        <w:r>
          <w:instrText xml:space="preserve">PAGEREF 2508 \h</w:instrText>
        </w:r>
        <w:r>
          <w:fldChar w:fldCharType="end"/>
        </w:r>
      </w:hyperlink>
    </w:p>
    <w:p>
      <w:pPr>
        <w:tabs>
          <w:tab w:val="right" w:leader="dot" w:pos="9062"/>
        </w:tabs>
        <w:ind w:left="440"/>
      </w:pPr>
      <w:hyperlink w:anchor="_Toc2509" w:history="1">
        <w:r>
          <w:rPr>
            <w:rFonts w:ascii="IRNazanin" w:hAnsi="IRNazanin" w:eastAsia="IRNazanin" w:cs="IRNazanin"/>
            <w:color w:val="111111"/>
            <w:sz w:val="22"/>
            <w:szCs w:val="22"/>
            <w:b w:val="0"/>
            <w:bCs w:val="0"/>
            <w:i w:val="0"/>
            <w:iCs w:val="0"/>
          </w:rPr>
          <w:t>1950- دیوان دلیر هندی‏</w:t>
        </w:r>
        <w:r>
          <w:tab/>
        </w:r>
        <w:r>
          <w:fldChar w:fldCharType="begin"/>
        </w:r>
        <w:r>
          <w:instrText xml:space="preserve">PAGEREF 2509 \h</w:instrText>
        </w:r>
        <w:r>
          <w:fldChar w:fldCharType="end"/>
        </w:r>
      </w:hyperlink>
    </w:p>
    <w:p>
      <w:pPr>
        <w:tabs>
          <w:tab w:val="right" w:leader="dot" w:pos="9062"/>
        </w:tabs>
        <w:ind w:left="440"/>
      </w:pPr>
      <w:hyperlink w:anchor="_Toc2510" w:history="1">
        <w:r>
          <w:rPr>
            <w:rFonts w:ascii="IRNazanin" w:hAnsi="IRNazanin" w:eastAsia="IRNazanin" w:cs="IRNazanin"/>
            <w:color w:val="111111"/>
            <w:sz w:val="22"/>
            <w:szCs w:val="22"/>
            <w:b w:val="0"/>
            <w:bCs w:val="0"/>
            <w:i w:val="0"/>
            <w:iCs w:val="0"/>
          </w:rPr>
          <w:t>دیوان دلیری أصفهانی‏</w:t>
        </w:r>
        <w:r>
          <w:tab/>
        </w:r>
        <w:r>
          <w:fldChar w:fldCharType="begin"/>
        </w:r>
        <w:r>
          <w:instrText xml:space="preserve">PAGEREF 2510 \h</w:instrText>
        </w:r>
        <w:r>
          <w:fldChar w:fldCharType="end"/>
        </w:r>
      </w:hyperlink>
    </w:p>
    <w:p>
      <w:pPr>
        <w:tabs>
          <w:tab w:val="right" w:leader="dot" w:pos="9062"/>
        </w:tabs>
        <w:ind w:left="440"/>
      </w:pPr>
      <w:hyperlink w:anchor="_Toc2511" w:history="1">
        <w:r>
          <w:rPr>
            <w:rFonts w:ascii="IRNazanin" w:hAnsi="IRNazanin" w:eastAsia="IRNazanin" w:cs="IRNazanin"/>
            <w:color w:val="111111"/>
            <w:sz w:val="22"/>
            <w:szCs w:val="22"/>
            <w:b w:val="0"/>
            <w:bCs w:val="0"/>
            <w:i w:val="0"/>
            <w:iCs w:val="0"/>
          </w:rPr>
          <w:t>1951- دیوان دلیری هندی أو شعره‏</w:t>
        </w:r>
        <w:r>
          <w:tab/>
        </w:r>
        <w:r>
          <w:fldChar w:fldCharType="begin"/>
        </w:r>
        <w:r>
          <w:instrText xml:space="preserve">PAGEREF 2511 \h</w:instrText>
        </w:r>
        <w:r>
          <w:fldChar w:fldCharType="end"/>
        </w:r>
      </w:hyperlink>
    </w:p>
    <w:p>
      <w:pPr>
        <w:tabs>
          <w:tab w:val="right" w:leader="dot" w:pos="9062"/>
        </w:tabs>
        <w:ind w:left="440"/>
      </w:pPr>
      <w:hyperlink w:anchor="_Toc2512" w:history="1">
        <w:r>
          <w:rPr>
            <w:rFonts w:ascii="IRNazanin" w:hAnsi="IRNazanin" w:eastAsia="IRNazanin" w:cs="IRNazanin"/>
            <w:color w:val="111111"/>
            <w:sz w:val="22"/>
            <w:szCs w:val="22"/>
            <w:b w:val="0"/>
            <w:bCs w:val="0"/>
            <w:i w:val="0"/>
            <w:iCs w:val="0"/>
          </w:rPr>
          <w:t>1952- دیوان دلیل ایروانی‏</w:t>
        </w:r>
        <w:r>
          <w:tab/>
        </w:r>
        <w:r>
          <w:fldChar w:fldCharType="begin"/>
        </w:r>
        <w:r>
          <w:instrText xml:space="preserve">PAGEREF 2512 \h</w:instrText>
        </w:r>
        <w:r>
          <w:fldChar w:fldCharType="end"/>
        </w:r>
      </w:hyperlink>
    </w:p>
    <w:p>
      <w:pPr>
        <w:tabs>
          <w:tab w:val="right" w:leader="dot" w:pos="9062"/>
        </w:tabs>
        <w:ind w:left="440"/>
      </w:pPr>
      <w:hyperlink w:anchor="_Toc2513" w:history="1">
        <w:r>
          <w:rPr>
            <w:rFonts w:ascii="IRNazanin" w:hAnsi="IRNazanin" w:eastAsia="IRNazanin" w:cs="IRNazanin"/>
            <w:color w:val="111111"/>
            <w:sz w:val="22"/>
            <w:szCs w:val="22"/>
            <w:b w:val="0"/>
            <w:bCs w:val="0"/>
            <w:i w:val="0"/>
            <w:iCs w:val="0"/>
          </w:rPr>
          <w:t>1953- دیوان الدمستانی الصغیر</w:t>
        </w:r>
        <w:r>
          <w:tab/>
        </w:r>
        <w:r>
          <w:fldChar w:fldCharType="begin"/>
        </w:r>
        <w:r>
          <w:instrText xml:space="preserve">PAGEREF 2513 \h</w:instrText>
        </w:r>
        <w:r>
          <w:fldChar w:fldCharType="end"/>
        </w:r>
      </w:hyperlink>
    </w:p>
    <w:p>
      <w:pPr>
        <w:tabs>
          <w:tab w:val="right" w:leader="dot" w:pos="9062"/>
        </w:tabs>
        <w:ind w:left="440"/>
      </w:pPr>
      <w:hyperlink w:anchor="_Toc2514" w:history="1">
        <w:r>
          <w:rPr>
            <w:rFonts w:ascii="IRNazanin" w:hAnsi="IRNazanin" w:eastAsia="IRNazanin" w:cs="IRNazanin"/>
            <w:color w:val="111111"/>
            <w:sz w:val="22"/>
            <w:szCs w:val="22"/>
            <w:b w:val="0"/>
            <w:bCs w:val="0"/>
            <w:i w:val="0"/>
            <w:iCs w:val="0"/>
          </w:rPr>
          <w:t>1954- دیوان الدمستانی الکبیر</w:t>
        </w:r>
        <w:r>
          <w:tab/>
        </w:r>
        <w:r>
          <w:fldChar w:fldCharType="begin"/>
        </w:r>
        <w:r>
          <w:instrText xml:space="preserve">PAGEREF 2514 \h</w:instrText>
        </w:r>
        <w:r>
          <w:fldChar w:fldCharType="end"/>
        </w:r>
      </w:hyperlink>
    </w:p>
    <w:p>
      <w:pPr>
        <w:tabs>
          <w:tab w:val="right" w:leader="dot" w:pos="9062"/>
        </w:tabs>
        <w:ind w:left="440"/>
      </w:pPr>
      <w:hyperlink w:anchor="_Toc2515" w:history="1">
        <w:r>
          <w:rPr>
            <w:rFonts w:ascii="IRNazanin" w:hAnsi="IRNazanin" w:eastAsia="IRNazanin" w:cs="IRNazanin"/>
            <w:color w:val="111111"/>
            <w:sz w:val="22"/>
            <w:szCs w:val="22"/>
            <w:b w:val="0"/>
            <w:bCs w:val="0"/>
            <w:i w:val="0"/>
            <w:iCs w:val="0"/>
          </w:rPr>
          <w:t>دیوان دوائی شیرازی‏</w:t>
        </w:r>
        <w:r>
          <w:tab/>
        </w:r>
        <w:r>
          <w:fldChar w:fldCharType="begin"/>
        </w:r>
        <w:r>
          <w:instrText xml:space="preserve">PAGEREF 2515 \h</w:instrText>
        </w:r>
        <w:r>
          <w:fldChar w:fldCharType="end"/>
        </w:r>
      </w:hyperlink>
    </w:p>
    <w:p>
      <w:pPr>
        <w:tabs>
          <w:tab w:val="right" w:leader="dot" w:pos="9062"/>
        </w:tabs>
        <w:ind w:left="440"/>
      </w:pPr>
      <w:hyperlink w:anchor="_Toc2516" w:history="1">
        <w:r>
          <w:rPr>
            <w:rFonts w:ascii="IRNazanin" w:hAnsi="IRNazanin" w:eastAsia="IRNazanin" w:cs="IRNazanin"/>
            <w:color w:val="111111"/>
            <w:sz w:val="22"/>
            <w:szCs w:val="22"/>
            <w:b w:val="0"/>
            <w:bCs w:val="0"/>
            <w:i w:val="0"/>
            <w:iCs w:val="0"/>
          </w:rPr>
          <w:t>1955- دیوان دوائی سبزواری أو شعره‏</w:t>
        </w:r>
        <w:r>
          <w:tab/>
        </w:r>
        <w:r>
          <w:fldChar w:fldCharType="begin"/>
        </w:r>
        <w:r>
          <w:instrText xml:space="preserve">PAGEREF 2516 \h</w:instrText>
        </w:r>
        <w:r>
          <w:fldChar w:fldCharType="end"/>
        </w:r>
      </w:hyperlink>
    </w:p>
    <w:p>
      <w:pPr>
        <w:tabs>
          <w:tab w:val="right" w:leader="dot" w:pos="9062"/>
        </w:tabs>
        <w:ind w:left="440"/>
      </w:pPr>
      <w:hyperlink w:anchor="_Toc2517" w:history="1">
        <w:r>
          <w:rPr>
            <w:rFonts w:ascii="IRNazanin" w:hAnsi="IRNazanin" w:eastAsia="IRNazanin" w:cs="IRNazanin"/>
            <w:color w:val="111111"/>
            <w:sz w:val="22"/>
            <w:szCs w:val="22"/>
            <w:b w:val="0"/>
            <w:bCs w:val="0"/>
            <w:i w:val="0"/>
            <w:iCs w:val="0"/>
          </w:rPr>
          <w:t>1956- دیوان دوائی گیلانی أو شعره‏</w:t>
        </w:r>
        <w:r>
          <w:tab/>
        </w:r>
        <w:r>
          <w:fldChar w:fldCharType="begin"/>
        </w:r>
        <w:r>
          <w:instrText xml:space="preserve">PAGEREF 2517 \h</w:instrText>
        </w:r>
        <w:r>
          <w:fldChar w:fldCharType="end"/>
        </w:r>
      </w:hyperlink>
    </w:p>
    <w:p>
      <w:pPr>
        <w:tabs>
          <w:tab w:val="right" w:leader="dot" w:pos="9062"/>
        </w:tabs>
        <w:ind w:left="440"/>
      </w:pPr>
      <w:hyperlink w:anchor="_Toc2518" w:history="1">
        <w:r>
          <w:rPr>
            <w:rFonts w:ascii="IRNazanin" w:hAnsi="IRNazanin" w:eastAsia="IRNazanin" w:cs="IRNazanin"/>
            <w:color w:val="111111"/>
            <w:sz w:val="22"/>
            <w:szCs w:val="22"/>
            <w:b w:val="0"/>
            <w:bCs w:val="0"/>
            <w:i w:val="0"/>
            <w:iCs w:val="0"/>
          </w:rPr>
          <w:t>1957- دیوان الدوانی‏</w:t>
        </w:r>
        <w:r>
          <w:tab/>
        </w:r>
        <w:r>
          <w:fldChar w:fldCharType="begin"/>
        </w:r>
        <w:r>
          <w:instrText xml:space="preserve">PAGEREF 2518 \h</w:instrText>
        </w:r>
        <w:r>
          <w:fldChar w:fldCharType="end"/>
        </w:r>
      </w:hyperlink>
    </w:p>
    <w:p>
      <w:pPr>
        <w:tabs>
          <w:tab w:val="right" w:leader="dot" w:pos="9062"/>
        </w:tabs>
        <w:ind w:left="440"/>
      </w:pPr>
      <w:hyperlink w:anchor="_Toc2519" w:history="1">
        <w:r>
          <w:rPr>
            <w:rFonts w:ascii="IRNazanin" w:hAnsi="IRNazanin" w:eastAsia="IRNazanin" w:cs="IRNazanin"/>
            <w:color w:val="111111"/>
            <w:sz w:val="22"/>
            <w:szCs w:val="22"/>
            <w:b w:val="0"/>
            <w:bCs w:val="0"/>
            <w:i w:val="0"/>
            <w:iCs w:val="0"/>
          </w:rPr>
          <w:t>دیوان دوانی‏</w:t>
        </w:r>
        <w:r>
          <w:tab/>
        </w:r>
        <w:r>
          <w:fldChar w:fldCharType="begin"/>
        </w:r>
        <w:r>
          <w:instrText xml:space="preserve">PAGEREF 2519 \h</w:instrText>
        </w:r>
        <w:r>
          <w:fldChar w:fldCharType="end"/>
        </w:r>
      </w:hyperlink>
    </w:p>
    <w:p>
      <w:pPr>
        <w:tabs>
          <w:tab w:val="right" w:leader="dot" w:pos="9062"/>
        </w:tabs>
        <w:ind w:left="440"/>
      </w:pPr>
      <w:hyperlink w:anchor="_Toc2520" w:history="1">
        <w:r>
          <w:rPr>
            <w:rFonts w:ascii="IRNazanin" w:hAnsi="IRNazanin" w:eastAsia="IRNazanin" w:cs="IRNazanin"/>
            <w:color w:val="111111"/>
            <w:sz w:val="22"/>
            <w:szCs w:val="22"/>
            <w:b w:val="0"/>
            <w:bCs w:val="0"/>
            <w:i w:val="0"/>
            <w:iCs w:val="0"/>
          </w:rPr>
          <w:t>1958- دیوان دو پیازه أو شعره‏</w:t>
        </w:r>
        <w:r>
          <w:tab/>
        </w:r>
        <w:r>
          <w:fldChar w:fldCharType="begin"/>
        </w:r>
        <w:r>
          <w:instrText xml:space="preserve">PAGEREF 2520 \h</w:instrText>
        </w:r>
        <w:r>
          <w:fldChar w:fldCharType="end"/>
        </w:r>
      </w:hyperlink>
    </w:p>
    <w:p>
      <w:pPr>
        <w:tabs>
          <w:tab w:val="right" w:leader="dot" w:pos="9062"/>
        </w:tabs>
        <w:ind w:left="440"/>
      </w:pPr>
      <w:hyperlink w:anchor="_Toc2521" w:history="1">
        <w:r>
          <w:rPr>
            <w:rFonts w:ascii="IRNazanin" w:hAnsi="IRNazanin" w:eastAsia="IRNazanin" w:cs="IRNazanin"/>
            <w:color w:val="111111"/>
            <w:sz w:val="22"/>
            <w:szCs w:val="22"/>
            <w:b w:val="0"/>
            <w:bCs w:val="0"/>
            <w:i w:val="0"/>
            <w:iCs w:val="0"/>
          </w:rPr>
          <w:t>1959- دیوان دوری أصفهانی أو شعره‏</w:t>
        </w:r>
        <w:r>
          <w:tab/>
        </w:r>
        <w:r>
          <w:fldChar w:fldCharType="begin"/>
        </w:r>
        <w:r>
          <w:instrText xml:space="preserve">PAGEREF 2521 \h</w:instrText>
        </w:r>
        <w:r>
          <w:fldChar w:fldCharType="end"/>
        </w:r>
      </w:hyperlink>
    </w:p>
    <w:p>
      <w:pPr>
        <w:tabs>
          <w:tab w:val="right" w:leader="dot" w:pos="9062"/>
        </w:tabs>
        <w:ind w:left="440"/>
      </w:pPr>
      <w:hyperlink w:anchor="_Toc2522" w:history="1">
        <w:r>
          <w:rPr>
            <w:rFonts w:ascii="IRNazanin" w:hAnsi="IRNazanin" w:eastAsia="IRNazanin" w:cs="IRNazanin"/>
            <w:color w:val="111111"/>
            <w:sz w:val="22"/>
            <w:szCs w:val="22"/>
            <w:b w:val="0"/>
            <w:bCs w:val="0"/>
            <w:i w:val="0"/>
            <w:iCs w:val="0"/>
          </w:rPr>
          <w:t>1960- دیوان دوری هندی‏</w:t>
        </w:r>
        <w:r>
          <w:tab/>
        </w:r>
        <w:r>
          <w:fldChar w:fldCharType="begin"/>
        </w:r>
        <w:r>
          <w:instrText xml:space="preserve">PAGEREF 2522 \h</w:instrText>
        </w:r>
        <w:r>
          <w:fldChar w:fldCharType="end"/>
        </w:r>
      </w:hyperlink>
    </w:p>
    <w:p>
      <w:pPr>
        <w:tabs>
          <w:tab w:val="right" w:leader="dot" w:pos="9062"/>
        </w:tabs>
        <w:ind w:left="440"/>
      </w:pPr>
      <w:hyperlink w:anchor="_Toc2523" w:history="1">
        <w:r>
          <w:rPr>
            <w:rFonts w:ascii="IRNazanin" w:hAnsi="IRNazanin" w:eastAsia="IRNazanin" w:cs="IRNazanin"/>
            <w:color w:val="111111"/>
            <w:sz w:val="22"/>
            <w:szCs w:val="22"/>
            <w:b w:val="0"/>
            <w:bCs w:val="0"/>
            <w:i w:val="0"/>
            <w:iCs w:val="0"/>
          </w:rPr>
          <w:t>1961- دیوان الملا دوست إسفزاری أو شعره‏</w:t>
        </w:r>
        <w:r>
          <w:tab/>
        </w:r>
        <w:r>
          <w:fldChar w:fldCharType="begin"/>
        </w:r>
        <w:r>
          <w:instrText xml:space="preserve">PAGEREF 2523 \h</w:instrText>
        </w:r>
        <w:r>
          <w:fldChar w:fldCharType="end"/>
        </w:r>
      </w:hyperlink>
    </w:p>
    <w:p>
      <w:pPr>
        <w:tabs>
          <w:tab w:val="right" w:leader="dot" w:pos="9062"/>
        </w:tabs>
        <w:ind w:left="440"/>
      </w:pPr>
      <w:hyperlink w:anchor="_Toc2524" w:history="1">
        <w:r>
          <w:rPr>
            <w:rFonts w:ascii="IRNazanin" w:hAnsi="IRNazanin" w:eastAsia="IRNazanin" w:cs="IRNazanin"/>
            <w:color w:val="111111"/>
            <w:sz w:val="22"/>
            <w:szCs w:val="22"/>
            <w:b w:val="0"/>
            <w:bCs w:val="0"/>
            <w:i w:val="0"/>
            <w:iCs w:val="0"/>
          </w:rPr>
          <w:t>1962- دیوان دوست حسین أو شعره‏</w:t>
        </w:r>
        <w:r>
          <w:tab/>
        </w:r>
        <w:r>
          <w:fldChar w:fldCharType="begin"/>
        </w:r>
        <w:r>
          <w:instrText xml:space="preserve">PAGEREF 2524 \h</w:instrText>
        </w:r>
        <w:r>
          <w:fldChar w:fldCharType="end"/>
        </w:r>
      </w:hyperlink>
    </w:p>
    <w:p>
      <w:pPr>
        <w:tabs>
          <w:tab w:val="right" w:leader="dot" w:pos="9062"/>
        </w:tabs>
        <w:ind w:left="440"/>
      </w:pPr>
      <w:hyperlink w:anchor="_Toc2525" w:history="1">
        <w:r>
          <w:rPr>
            <w:rFonts w:ascii="IRNazanin" w:hAnsi="IRNazanin" w:eastAsia="IRNazanin" w:cs="IRNazanin"/>
            <w:color w:val="111111"/>
            <w:sz w:val="22"/>
            <w:szCs w:val="22"/>
            <w:b w:val="0"/>
            <w:bCs w:val="0"/>
            <w:i w:val="0"/>
            <w:iCs w:val="0"/>
          </w:rPr>
          <w:t>1963- دیوان دوست کشمیری أو شعره‏</w:t>
        </w:r>
        <w:r>
          <w:tab/>
        </w:r>
        <w:r>
          <w:fldChar w:fldCharType="begin"/>
        </w:r>
        <w:r>
          <w:instrText xml:space="preserve">PAGEREF 2525 \h</w:instrText>
        </w:r>
        <w:r>
          <w:fldChar w:fldCharType="end"/>
        </w:r>
      </w:hyperlink>
    </w:p>
    <w:p>
      <w:pPr>
        <w:tabs>
          <w:tab w:val="right" w:leader="dot" w:pos="9062"/>
        </w:tabs>
        <w:ind w:left="440"/>
      </w:pPr>
      <w:hyperlink w:anchor="_Toc2526" w:history="1">
        <w:r>
          <w:rPr>
            <w:rFonts w:ascii="IRNazanin" w:hAnsi="IRNazanin" w:eastAsia="IRNazanin" w:cs="IRNazanin"/>
            <w:color w:val="111111"/>
            <w:sz w:val="22"/>
            <w:szCs w:val="22"/>
            <w:b w:val="0"/>
            <w:bCs w:val="0"/>
            <w:i w:val="0"/>
            <w:iCs w:val="0"/>
          </w:rPr>
          <w:t>1964- دیوان دوست محمد هروی أو شعره‏</w:t>
        </w:r>
        <w:r>
          <w:tab/>
        </w:r>
        <w:r>
          <w:fldChar w:fldCharType="begin"/>
        </w:r>
        <w:r>
          <w:instrText xml:space="preserve">PAGEREF 2526 \h</w:instrText>
        </w:r>
        <w:r>
          <w:fldChar w:fldCharType="end"/>
        </w:r>
      </w:hyperlink>
    </w:p>
    <w:p>
      <w:pPr>
        <w:tabs>
          <w:tab w:val="right" w:leader="dot" w:pos="9062"/>
        </w:tabs>
        <w:ind w:left="440"/>
      </w:pPr>
      <w:hyperlink w:anchor="_Toc2527" w:history="1">
        <w:r>
          <w:rPr>
            <w:rFonts w:ascii="IRNazanin" w:hAnsi="IRNazanin" w:eastAsia="IRNazanin" w:cs="IRNazanin"/>
            <w:color w:val="111111"/>
            <w:sz w:val="22"/>
            <w:szCs w:val="22"/>
            <w:b w:val="0"/>
            <w:bCs w:val="0"/>
            <w:i w:val="0"/>
            <w:iCs w:val="0"/>
          </w:rPr>
          <w:t>دیوان دوست محمد حالی‏</w:t>
        </w:r>
        <w:r>
          <w:tab/>
        </w:r>
        <w:r>
          <w:fldChar w:fldCharType="begin"/>
        </w:r>
        <w:r>
          <w:instrText xml:space="preserve">PAGEREF 2527 \h</w:instrText>
        </w:r>
        <w:r>
          <w:fldChar w:fldCharType="end"/>
        </w:r>
      </w:hyperlink>
    </w:p>
    <w:p>
      <w:pPr>
        <w:tabs>
          <w:tab w:val="right" w:leader="dot" w:pos="9062"/>
        </w:tabs>
        <w:ind w:left="440"/>
      </w:pPr>
      <w:hyperlink w:anchor="_Toc2528" w:history="1">
        <w:r>
          <w:rPr>
            <w:rFonts w:ascii="IRNazanin" w:hAnsi="IRNazanin" w:eastAsia="IRNazanin" w:cs="IRNazanin"/>
            <w:color w:val="111111"/>
            <w:sz w:val="22"/>
            <w:szCs w:val="22"/>
            <w:b w:val="0"/>
            <w:bCs w:val="0"/>
            <w:i w:val="0"/>
            <w:iCs w:val="0"/>
          </w:rPr>
          <w:t>دیوان دوست محمد کوشوان‏</w:t>
        </w:r>
        <w:r>
          <w:tab/>
        </w:r>
        <w:r>
          <w:fldChar w:fldCharType="begin"/>
        </w:r>
        <w:r>
          <w:instrText xml:space="preserve">PAGEREF 2528 \h</w:instrText>
        </w:r>
        <w:r>
          <w:fldChar w:fldCharType="end"/>
        </w:r>
      </w:hyperlink>
    </w:p>
    <w:p>
      <w:pPr>
        <w:tabs>
          <w:tab w:val="right" w:leader="dot" w:pos="9062"/>
        </w:tabs>
        <w:ind w:left="440"/>
      </w:pPr>
      <w:hyperlink w:anchor="_Toc2529" w:history="1">
        <w:r>
          <w:rPr>
            <w:rFonts w:ascii="IRNazanin" w:hAnsi="IRNazanin" w:eastAsia="IRNazanin" w:cs="IRNazanin"/>
            <w:color w:val="111111"/>
            <w:sz w:val="22"/>
            <w:szCs w:val="22"/>
            <w:b w:val="0"/>
            <w:bCs w:val="0"/>
            <w:i w:val="0"/>
            <w:iCs w:val="0"/>
          </w:rPr>
          <w:t>1965- دیوان دوست هروی أو شعره‏</w:t>
        </w:r>
        <w:r>
          <w:tab/>
        </w:r>
        <w:r>
          <w:fldChar w:fldCharType="begin"/>
        </w:r>
        <w:r>
          <w:instrText xml:space="preserve">PAGEREF 2529 \h</w:instrText>
        </w:r>
        <w:r>
          <w:fldChar w:fldCharType="end"/>
        </w:r>
      </w:hyperlink>
    </w:p>
    <w:p>
      <w:pPr>
        <w:tabs>
          <w:tab w:val="right" w:leader="dot" w:pos="9062"/>
        </w:tabs>
        <w:ind w:left="440"/>
      </w:pPr>
      <w:hyperlink w:anchor="_Toc2530" w:history="1">
        <w:r>
          <w:rPr>
            <w:rFonts w:ascii="IRNazanin" w:hAnsi="IRNazanin" w:eastAsia="IRNazanin" w:cs="IRNazanin"/>
            <w:color w:val="111111"/>
            <w:sz w:val="22"/>
            <w:szCs w:val="22"/>
            <w:b w:val="0"/>
            <w:bCs w:val="0"/>
            <w:i w:val="0"/>
            <w:iCs w:val="0"/>
          </w:rPr>
          <w:t>1966- دیوان دوستاق‏</w:t>
        </w:r>
        <w:r>
          <w:tab/>
        </w:r>
        <w:r>
          <w:fldChar w:fldCharType="begin"/>
        </w:r>
        <w:r>
          <w:instrText xml:space="preserve">PAGEREF 2530 \h</w:instrText>
        </w:r>
        <w:r>
          <w:fldChar w:fldCharType="end"/>
        </w:r>
      </w:hyperlink>
    </w:p>
    <w:p>
      <w:pPr>
        <w:tabs>
          <w:tab w:val="right" w:leader="dot" w:pos="9062"/>
        </w:tabs>
        <w:ind w:left="440"/>
      </w:pPr>
      <w:hyperlink w:anchor="_Toc2531" w:history="1">
        <w:r>
          <w:rPr>
            <w:rFonts w:ascii="IRNazanin" w:hAnsi="IRNazanin" w:eastAsia="IRNazanin" w:cs="IRNazanin"/>
            <w:color w:val="111111"/>
            <w:sz w:val="22"/>
            <w:szCs w:val="22"/>
            <w:b w:val="0"/>
            <w:bCs w:val="0"/>
            <w:i w:val="0"/>
            <w:iCs w:val="0"/>
          </w:rPr>
          <w:t>دیوان دوش باف‏</w:t>
        </w:r>
        <w:r>
          <w:tab/>
        </w:r>
        <w:r>
          <w:fldChar w:fldCharType="begin"/>
        </w:r>
        <w:r>
          <w:instrText xml:space="preserve">PAGEREF 2531 \h</w:instrText>
        </w:r>
        <w:r>
          <w:fldChar w:fldCharType="end"/>
        </w:r>
      </w:hyperlink>
    </w:p>
    <w:p>
      <w:pPr>
        <w:tabs>
          <w:tab w:val="right" w:leader="dot" w:pos="9062"/>
        </w:tabs>
        <w:ind w:left="440"/>
      </w:pPr>
      <w:hyperlink w:anchor="_Toc2532" w:history="1">
        <w:r>
          <w:rPr>
            <w:rFonts w:ascii="IRNazanin" w:hAnsi="IRNazanin" w:eastAsia="IRNazanin" w:cs="IRNazanin"/>
            <w:color w:val="111111"/>
            <w:sz w:val="22"/>
            <w:szCs w:val="22"/>
            <w:b w:val="0"/>
            <w:bCs w:val="0"/>
            <w:i w:val="0"/>
            <w:iCs w:val="0"/>
          </w:rPr>
          <w:t>1967- دیوان دولت‏</w:t>
        </w:r>
        <w:r>
          <w:tab/>
        </w:r>
        <w:r>
          <w:fldChar w:fldCharType="begin"/>
        </w:r>
        <w:r>
          <w:instrText xml:space="preserve">PAGEREF 2532 \h</w:instrText>
        </w:r>
        <w:r>
          <w:fldChar w:fldCharType="end"/>
        </w:r>
      </w:hyperlink>
    </w:p>
    <w:p>
      <w:pPr>
        <w:tabs>
          <w:tab w:val="right" w:leader="dot" w:pos="9062"/>
        </w:tabs>
        <w:ind w:left="440"/>
      </w:pPr>
      <w:hyperlink w:anchor="_Toc2533" w:history="1">
        <w:r>
          <w:rPr>
            <w:rFonts w:ascii="IRNazanin" w:hAnsi="IRNazanin" w:eastAsia="IRNazanin" w:cs="IRNazanin"/>
            <w:color w:val="111111"/>
            <w:sz w:val="22"/>
            <w:szCs w:val="22"/>
            <w:b w:val="0"/>
            <w:bCs w:val="0"/>
            <w:i w:val="0"/>
            <w:iCs w:val="0"/>
          </w:rPr>
          <w:t>1968- دیوان دولت شاه سمرقندی أو شعره‏</w:t>
        </w:r>
        <w:r>
          <w:tab/>
        </w:r>
        <w:r>
          <w:fldChar w:fldCharType="begin"/>
        </w:r>
        <w:r>
          <w:instrText xml:space="preserve">PAGEREF 2533 \h</w:instrText>
        </w:r>
        <w:r>
          <w:fldChar w:fldCharType="end"/>
        </w:r>
      </w:hyperlink>
    </w:p>
    <w:p>
      <w:pPr>
        <w:tabs>
          <w:tab w:val="right" w:leader="dot" w:pos="9062"/>
        </w:tabs>
        <w:ind w:left="440"/>
      </w:pPr>
      <w:hyperlink w:anchor="_Toc2534" w:history="1">
        <w:r>
          <w:rPr>
            <w:rFonts w:ascii="IRNazanin" w:hAnsi="IRNazanin" w:eastAsia="IRNazanin" w:cs="IRNazanin"/>
            <w:color w:val="111111"/>
            <w:sz w:val="22"/>
            <w:szCs w:val="22"/>
            <w:b w:val="0"/>
            <w:bCs w:val="0"/>
            <w:i w:val="0"/>
            <w:iCs w:val="0"/>
          </w:rPr>
          <w:t>دیوان دهخدا رازی‏</w:t>
        </w:r>
        <w:r>
          <w:tab/>
        </w:r>
        <w:r>
          <w:fldChar w:fldCharType="begin"/>
        </w:r>
        <w:r>
          <w:instrText xml:space="preserve">PAGEREF 2534 \h</w:instrText>
        </w:r>
        <w:r>
          <w:fldChar w:fldCharType="end"/>
        </w:r>
      </w:hyperlink>
    </w:p>
    <w:p>
      <w:pPr>
        <w:tabs>
          <w:tab w:val="right" w:leader="dot" w:pos="9062"/>
        </w:tabs>
        <w:ind w:left="440"/>
      </w:pPr>
      <w:hyperlink w:anchor="_Toc2535" w:history="1">
        <w:r>
          <w:rPr>
            <w:rFonts w:ascii="IRNazanin" w:hAnsi="IRNazanin" w:eastAsia="IRNazanin" w:cs="IRNazanin"/>
            <w:color w:val="111111"/>
            <w:sz w:val="22"/>
            <w:szCs w:val="22"/>
            <w:b w:val="0"/>
            <w:bCs w:val="0"/>
            <w:i w:val="0"/>
            <w:iCs w:val="0"/>
          </w:rPr>
          <w:t>1969- دیوان دهخدا قزوینی‏</w:t>
        </w:r>
        <w:r>
          <w:tab/>
        </w:r>
        <w:r>
          <w:fldChar w:fldCharType="begin"/>
        </w:r>
        <w:r>
          <w:instrText xml:space="preserve">PAGEREF 2535 \h</w:instrText>
        </w:r>
        <w:r>
          <w:fldChar w:fldCharType="end"/>
        </w:r>
      </w:hyperlink>
    </w:p>
    <w:p>
      <w:pPr>
        <w:tabs>
          <w:tab w:val="right" w:leader="dot" w:pos="9062"/>
        </w:tabs>
        <w:ind w:left="440"/>
      </w:pPr>
      <w:hyperlink w:anchor="_Toc2536" w:history="1">
        <w:r>
          <w:rPr>
            <w:rFonts w:ascii="IRNazanin" w:hAnsi="IRNazanin" w:eastAsia="IRNazanin" w:cs="IRNazanin"/>
            <w:color w:val="111111"/>
            <w:sz w:val="22"/>
            <w:szCs w:val="22"/>
            <w:b w:val="0"/>
            <w:bCs w:val="0"/>
            <w:i w:val="0"/>
            <w:iCs w:val="0"/>
          </w:rPr>
          <w:t>دیوان دهدار</w:t>
        </w:r>
        <w:r>
          <w:tab/>
        </w:r>
        <w:r>
          <w:fldChar w:fldCharType="begin"/>
        </w:r>
        <w:r>
          <w:instrText xml:space="preserve">PAGEREF 2536 \h</w:instrText>
        </w:r>
        <w:r>
          <w:fldChar w:fldCharType="end"/>
        </w:r>
      </w:hyperlink>
    </w:p>
    <w:p>
      <w:pPr>
        <w:tabs>
          <w:tab w:val="right" w:leader="dot" w:pos="9062"/>
        </w:tabs>
        <w:ind w:left="440"/>
      </w:pPr>
      <w:hyperlink w:anchor="_Toc2537" w:history="1">
        <w:r>
          <w:rPr>
            <w:rFonts w:ascii="IRNazanin" w:hAnsi="IRNazanin" w:eastAsia="IRNazanin" w:cs="IRNazanin"/>
            <w:color w:val="111111"/>
            <w:sz w:val="22"/>
            <w:szCs w:val="22"/>
            <w:b w:val="0"/>
            <w:bCs w:val="0"/>
            <w:i w:val="0"/>
            <w:iCs w:val="0"/>
          </w:rPr>
          <w:t>1970- دیوان دهقان أصفهانی‏</w:t>
        </w:r>
        <w:r>
          <w:tab/>
        </w:r>
        <w:r>
          <w:fldChar w:fldCharType="begin"/>
        </w:r>
        <w:r>
          <w:instrText xml:space="preserve">PAGEREF 2537 \h</w:instrText>
        </w:r>
        <w:r>
          <w:fldChar w:fldCharType="end"/>
        </w:r>
      </w:hyperlink>
    </w:p>
    <w:p>
      <w:pPr>
        <w:tabs>
          <w:tab w:val="right" w:leader="dot" w:pos="9062"/>
        </w:tabs>
        <w:ind w:left="440"/>
      </w:pPr>
      <w:hyperlink w:anchor="_Toc2538" w:history="1">
        <w:r>
          <w:rPr>
            <w:rFonts w:ascii="IRNazanin" w:hAnsi="IRNazanin" w:eastAsia="IRNazanin" w:cs="IRNazanin"/>
            <w:color w:val="111111"/>
            <w:sz w:val="22"/>
            <w:szCs w:val="22"/>
            <w:b w:val="0"/>
            <w:bCs w:val="0"/>
            <w:i w:val="0"/>
            <w:iCs w:val="0"/>
          </w:rPr>
          <w:t>1971- دیوان دهقان رشتی‏</w:t>
        </w:r>
        <w:r>
          <w:tab/>
        </w:r>
        <w:r>
          <w:fldChar w:fldCharType="begin"/>
        </w:r>
        <w:r>
          <w:instrText xml:space="preserve">PAGEREF 2538 \h</w:instrText>
        </w:r>
        <w:r>
          <w:fldChar w:fldCharType="end"/>
        </w:r>
      </w:hyperlink>
    </w:p>
    <w:p>
      <w:pPr>
        <w:tabs>
          <w:tab w:val="right" w:leader="dot" w:pos="9062"/>
        </w:tabs>
        <w:ind w:left="440"/>
      </w:pPr>
      <w:hyperlink w:anchor="_Toc2539" w:history="1">
        <w:r>
          <w:rPr>
            <w:rFonts w:ascii="IRNazanin" w:hAnsi="IRNazanin" w:eastAsia="IRNazanin" w:cs="IRNazanin"/>
            <w:color w:val="111111"/>
            <w:sz w:val="22"/>
            <w:szCs w:val="22"/>
            <w:b w:val="0"/>
            <w:bCs w:val="0"/>
            <w:i w:val="0"/>
            <w:iCs w:val="0"/>
          </w:rPr>
          <w:t>دیوان دهقان قاجار</w:t>
        </w:r>
        <w:r>
          <w:tab/>
        </w:r>
        <w:r>
          <w:fldChar w:fldCharType="begin"/>
        </w:r>
        <w:r>
          <w:instrText xml:space="preserve">PAGEREF 2539 \h</w:instrText>
        </w:r>
        <w:r>
          <w:fldChar w:fldCharType="end"/>
        </w:r>
      </w:hyperlink>
    </w:p>
    <w:p>
      <w:pPr>
        <w:tabs>
          <w:tab w:val="right" w:leader="dot" w:pos="9062"/>
        </w:tabs>
        <w:ind w:left="440"/>
      </w:pPr>
      <w:hyperlink w:anchor="_Toc2540" w:history="1">
        <w:r>
          <w:rPr>
            <w:rFonts w:ascii="IRNazanin" w:hAnsi="IRNazanin" w:eastAsia="IRNazanin" w:cs="IRNazanin"/>
            <w:color w:val="111111"/>
            <w:sz w:val="22"/>
            <w:szCs w:val="22"/>
            <w:b w:val="0"/>
            <w:bCs w:val="0"/>
            <w:i w:val="0"/>
            <w:iCs w:val="0"/>
          </w:rPr>
          <w:t>1972- دیوان دهقانی رازی أو شعره‏</w:t>
        </w:r>
        <w:r>
          <w:tab/>
        </w:r>
        <w:r>
          <w:fldChar w:fldCharType="begin"/>
        </w:r>
        <w:r>
          <w:instrText xml:space="preserve">PAGEREF 2540 \h</w:instrText>
        </w:r>
        <w:r>
          <w:fldChar w:fldCharType="end"/>
        </w:r>
      </w:hyperlink>
    </w:p>
    <w:p>
      <w:pPr>
        <w:tabs>
          <w:tab w:val="right" w:leader="dot" w:pos="9062"/>
        </w:tabs>
        <w:ind w:left="440"/>
      </w:pPr>
      <w:hyperlink w:anchor="_Toc2541" w:history="1">
        <w:r>
          <w:rPr>
            <w:rFonts w:ascii="IRNazanin" w:hAnsi="IRNazanin" w:eastAsia="IRNazanin" w:cs="IRNazanin"/>
            <w:color w:val="111111"/>
            <w:sz w:val="22"/>
            <w:szCs w:val="22"/>
            <w:b w:val="0"/>
            <w:bCs w:val="0"/>
            <w:i w:val="0"/>
            <w:iCs w:val="0"/>
          </w:rPr>
          <w:t>دیوان دهکی‏</w:t>
        </w:r>
        <w:r>
          <w:tab/>
        </w:r>
        <w:r>
          <w:fldChar w:fldCharType="begin"/>
        </w:r>
        <w:r>
          <w:instrText xml:space="preserve">PAGEREF 2541 \h</w:instrText>
        </w:r>
        <w:r>
          <w:fldChar w:fldCharType="end"/>
        </w:r>
      </w:hyperlink>
    </w:p>
    <w:p>
      <w:pPr>
        <w:tabs>
          <w:tab w:val="right" w:leader="dot" w:pos="9062"/>
        </w:tabs>
        <w:ind w:left="440"/>
      </w:pPr>
      <w:hyperlink w:anchor="_Toc2542" w:history="1">
        <w:r>
          <w:rPr>
            <w:rFonts w:ascii="IRNazanin" w:hAnsi="IRNazanin" w:eastAsia="IRNazanin" w:cs="IRNazanin"/>
            <w:color w:val="111111"/>
            <w:sz w:val="22"/>
            <w:szCs w:val="22"/>
            <w:b w:val="0"/>
            <w:bCs w:val="0"/>
            <w:i w:val="0"/>
            <w:iCs w:val="0"/>
          </w:rPr>
          <w:t>دیوان دهلوی‏</w:t>
        </w:r>
        <w:r>
          <w:tab/>
        </w:r>
        <w:r>
          <w:fldChar w:fldCharType="begin"/>
        </w:r>
        <w:r>
          <w:instrText xml:space="preserve">PAGEREF 2542 \h</w:instrText>
        </w:r>
        <w:r>
          <w:fldChar w:fldCharType="end"/>
        </w:r>
      </w:hyperlink>
    </w:p>
    <w:p>
      <w:pPr>
        <w:tabs>
          <w:tab w:val="right" w:leader="dot" w:pos="9062"/>
        </w:tabs>
        <w:ind w:left="440"/>
      </w:pPr>
      <w:hyperlink w:anchor="_Toc2543" w:history="1">
        <w:r>
          <w:rPr>
            <w:rFonts w:ascii="IRNazanin" w:hAnsi="IRNazanin" w:eastAsia="IRNazanin" w:cs="IRNazanin"/>
            <w:color w:val="111111"/>
            <w:sz w:val="22"/>
            <w:szCs w:val="22"/>
            <w:b w:val="0"/>
            <w:bCs w:val="0"/>
            <w:i w:val="0"/>
            <w:iCs w:val="0"/>
          </w:rPr>
          <w:t>1973- دیوان دیباجی سمرقندی‏</w:t>
        </w:r>
        <w:r>
          <w:tab/>
        </w:r>
        <w:r>
          <w:fldChar w:fldCharType="begin"/>
        </w:r>
        <w:r>
          <w:instrText xml:space="preserve">PAGEREF 2543 \h</w:instrText>
        </w:r>
        <w:r>
          <w:fldChar w:fldCharType="end"/>
        </w:r>
      </w:hyperlink>
    </w:p>
    <w:p>
      <w:pPr>
        <w:tabs>
          <w:tab w:val="right" w:leader="dot" w:pos="9062"/>
        </w:tabs>
        <w:ind w:left="440"/>
      </w:pPr>
      <w:hyperlink w:anchor="_Toc2544" w:history="1">
        <w:r>
          <w:rPr>
            <w:rFonts w:ascii="IRNazanin" w:hAnsi="IRNazanin" w:eastAsia="IRNazanin" w:cs="IRNazanin"/>
            <w:color w:val="111111"/>
            <w:sz w:val="22"/>
            <w:szCs w:val="22"/>
            <w:b w:val="0"/>
            <w:bCs w:val="0"/>
            <w:i w:val="0"/>
            <w:iCs w:val="0"/>
          </w:rPr>
          <w:t>1974- دیوان دیده‏</w:t>
        </w:r>
        <w:r>
          <w:tab/>
        </w:r>
        <w:r>
          <w:fldChar w:fldCharType="begin"/>
        </w:r>
        <w:r>
          <w:instrText xml:space="preserve">PAGEREF 2544 \h</w:instrText>
        </w:r>
        <w:r>
          <w:fldChar w:fldCharType="end"/>
        </w:r>
      </w:hyperlink>
    </w:p>
    <w:p>
      <w:pPr>
        <w:tabs>
          <w:tab w:val="right" w:leader="dot" w:pos="9062"/>
        </w:tabs>
        <w:ind w:left="440"/>
      </w:pPr>
      <w:hyperlink w:anchor="_Toc2545" w:history="1">
        <w:r>
          <w:rPr>
            <w:rFonts w:ascii="IRNazanin" w:hAnsi="IRNazanin" w:eastAsia="IRNazanin" w:cs="IRNazanin"/>
            <w:color w:val="111111"/>
            <w:sz w:val="22"/>
            <w:szCs w:val="22"/>
            <w:b w:val="0"/>
            <w:bCs w:val="0"/>
            <w:i w:val="0"/>
            <w:iCs w:val="0"/>
          </w:rPr>
          <w:t>1975- دیوان دیری قمی أو شعره‏</w:t>
        </w:r>
        <w:r>
          <w:tab/>
        </w:r>
        <w:r>
          <w:fldChar w:fldCharType="begin"/>
        </w:r>
        <w:r>
          <w:instrText xml:space="preserve">PAGEREF 2545 \h</w:instrText>
        </w:r>
        <w:r>
          <w:fldChar w:fldCharType="end"/>
        </w:r>
      </w:hyperlink>
    </w:p>
    <w:p>
      <w:pPr>
        <w:tabs>
          <w:tab w:val="right" w:leader="dot" w:pos="9062"/>
        </w:tabs>
        <w:ind w:left="440"/>
      </w:pPr>
      <w:hyperlink w:anchor="_Toc2546" w:history="1">
        <w:r>
          <w:rPr>
            <w:rFonts w:ascii="IRNazanin" w:hAnsi="IRNazanin" w:eastAsia="IRNazanin" w:cs="IRNazanin"/>
            <w:color w:val="111111"/>
            <w:sz w:val="22"/>
            <w:szCs w:val="22"/>
            <w:b w:val="0"/>
            <w:bCs w:val="0"/>
            <w:i w:val="0"/>
            <w:iCs w:val="0"/>
          </w:rPr>
          <w:t>1976- دیوان دیری‏</w:t>
        </w:r>
        <w:r>
          <w:tab/>
        </w:r>
        <w:r>
          <w:fldChar w:fldCharType="begin"/>
        </w:r>
        <w:r>
          <w:instrText xml:space="preserve">PAGEREF 2546 \h</w:instrText>
        </w:r>
        <w:r>
          <w:fldChar w:fldCharType="end"/>
        </w:r>
      </w:hyperlink>
    </w:p>
    <w:p>
      <w:pPr>
        <w:tabs>
          <w:tab w:val="right" w:leader="dot" w:pos="9062"/>
        </w:tabs>
        <w:ind w:left="440"/>
      </w:pPr>
      <w:hyperlink w:anchor="_Toc2547" w:history="1">
        <w:r>
          <w:rPr>
            <w:rFonts w:ascii="IRNazanin" w:hAnsi="IRNazanin" w:eastAsia="IRNazanin" w:cs="IRNazanin"/>
            <w:color w:val="111111"/>
            <w:sz w:val="22"/>
            <w:szCs w:val="22"/>
            <w:b w:val="0"/>
            <w:bCs w:val="0"/>
            <w:i w:val="0"/>
            <w:iCs w:val="0"/>
          </w:rPr>
          <w:t>1977- دیوان دیک الجن‏</w:t>
        </w:r>
        <w:r>
          <w:tab/>
        </w:r>
        <w:r>
          <w:fldChar w:fldCharType="begin"/>
        </w:r>
        <w:r>
          <w:instrText xml:space="preserve">PAGEREF 2547 \h</w:instrText>
        </w:r>
        <w:r>
          <w:fldChar w:fldCharType="end"/>
        </w:r>
      </w:hyperlink>
    </w:p>
    <w:p>
      <w:pPr>
        <w:tabs>
          <w:tab w:val="right" w:leader="dot" w:pos="9062"/>
        </w:tabs>
        <w:ind w:left="440"/>
      </w:pPr>
      <w:hyperlink w:anchor="_Toc2548" w:history="1">
        <w:r>
          <w:rPr>
            <w:rFonts w:ascii="IRNazanin" w:hAnsi="IRNazanin" w:eastAsia="IRNazanin" w:cs="IRNazanin"/>
            <w:color w:val="111111"/>
            <w:sz w:val="22"/>
            <w:szCs w:val="22"/>
            <w:b w:val="0"/>
            <w:bCs w:val="0"/>
            <w:i w:val="0"/>
            <w:iCs w:val="0"/>
          </w:rPr>
          <w:t>1978- دیوان الدیلمی أو شعره‏</w:t>
        </w:r>
        <w:r>
          <w:tab/>
        </w:r>
        <w:r>
          <w:fldChar w:fldCharType="begin"/>
        </w:r>
        <w:r>
          <w:instrText xml:space="preserve">PAGEREF 2548 \h</w:instrText>
        </w:r>
        <w:r>
          <w:fldChar w:fldCharType="end"/>
        </w:r>
      </w:hyperlink>
    </w:p>
    <w:p>
      <w:pPr>
        <w:tabs>
          <w:tab w:val="right" w:leader="dot" w:pos="9062"/>
        </w:tabs>
        <w:ind w:left="440"/>
      </w:pPr>
      <w:hyperlink w:anchor="_Toc2549" w:history="1">
        <w:r>
          <w:rPr>
            <w:rFonts w:ascii="IRNazanin" w:hAnsi="IRNazanin" w:eastAsia="IRNazanin" w:cs="IRNazanin"/>
            <w:color w:val="111111"/>
            <w:sz w:val="22"/>
            <w:szCs w:val="22"/>
            <w:b w:val="0"/>
            <w:bCs w:val="0"/>
            <w:i w:val="0"/>
            <w:iCs w:val="0"/>
          </w:rPr>
          <w:t>دیوان الدیلمی‏</w:t>
        </w:r>
        <w:r>
          <w:tab/>
        </w:r>
        <w:r>
          <w:fldChar w:fldCharType="begin"/>
        </w:r>
        <w:r>
          <w:instrText xml:space="preserve">PAGEREF 2549 \h</w:instrText>
        </w:r>
        <w:r>
          <w:fldChar w:fldCharType="end"/>
        </w:r>
      </w:hyperlink>
    </w:p>
    <w:p>
      <w:pPr>
        <w:tabs>
          <w:tab w:val="right" w:leader="dot" w:pos="9062"/>
        </w:tabs>
        <w:ind w:left="440"/>
      </w:pPr>
      <w:hyperlink w:anchor="_Toc2550" w:history="1">
        <w:r>
          <w:rPr>
            <w:rFonts w:ascii="IRNazanin" w:hAnsi="IRNazanin" w:eastAsia="IRNazanin" w:cs="IRNazanin"/>
            <w:color w:val="111111"/>
            <w:sz w:val="22"/>
            <w:szCs w:val="22"/>
            <w:b w:val="0"/>
            <w:bCs w:val="0"/>
            <w:i w:val="0"/>
            <w:iCs w:val="0"/>
          </w:rPr>
          <w:t>دیوان دیوانه‏</w:t>
        </w:r>
        <w:r>
          <w:tab/>
        </w:r>
        <w:r>
          <w:fldChar w:fldCharType="begin"/>
        </w:r>
        <w:r>
          <w:instrText xml:space="preserve">PAGEREF 2550 \h</w:instrText>
        </w:r>
        <w:r>
          <w:fldChar w:fldCharType="end"/>
        </w:r>
      </w:hyperlink>
    </w:p>
    <w:p>
      <w:pPr>
        <w:tabs>
          <w:tab w:val="right" w:leader="dot" w:pos="9062"/>
        </w:tabs>
        <w:ind w:left="440"/>
      </w:pPr>
      <w:hyperlink w:anchor="_Toc2551" w:history="1">
        <w:r>
          <w:rPr>
            <w:rFonts w:ascii="IRNazanin" w:hAnsi="IRNazanin" w:eastAsia="IRNazanin" w:cs="IRNazanin"/>
            <w:color w:val="111111"/>
            <w:sz w:val="22"/>
            <w:szCs w:val="22"/>
            <w:b w:val="0"/>
            <w:bCs w:val="0"/>
            <w:i w:val="0"/>
            <w:iCs w:val="0"/>
          </w:rPr>
          <w:t>دیوان دیوانه‏</w:t>
        </w:r>
        <w:r>
          <w:tab/>
        </w:r>
        <w:r>
          <w:fldChar w:fldCharType="begin"/>
        </w:r>
        <w:r>
          <w:instrText xml:space="preserve">PAGEREF 2551 \h</w:instrText>
        </w:r>
        <w:r>
          <w:fldChar w:fldCharType="end"/>
        </w:r>
      </w:hyperlink>
    </w:p>
    <w:p>
      <w:pPr>
        <w:tabs>
          <w:tab w:val="right" w:leader="dot" w:pos="9062"/>
        </w:tabs>
        <w:ind w:left="440"/>
      </w:pPr>
      <w:hyperlink w:anchor="_Toc2552" w:history="1">
        <w:r>
          <w:rPr>
            <w:rFonts w:ascii="IRNazanin" w:hAnsi="IRNazanin" w:eastAsia="IRNazanin" w:cs="IRNazanin"/>
            <w:color w:val="111111"/>
            <w:sz w:val="22"/>
            <w:szCs w:val="22"/>
            <w:b w:val="0"/>
            <w:bCs w:val="0"/>
            <w:i w:val="0"/>
            <w:iCs w:val="0"/>
          </w:rPr>
          <w:t>1979- دیوان دیوانه آذربایجانی‏</w:t>
        </w:r>
        <w:r>
          <w:tab/>
        </w:r>
        <w:r>
          <w:fldChar w:fldCharType="begin"/>
        </w:r>
        <w:r>
          <w:instrText xml:space="preserve">PAGEREF 2552 \h</w:instrText>
        </w:r>
        <w:r>
          <w:fldChar w:fldCharType="end"/>
        </w:r>
      </w:hyperlink>
    </w:p>
    <w:p>
      <w:pPr>
        <w:tabs>
          <w:tab w:val="right" w:leader="dot" w:pos="9062"/>
        </w:tabs>
        <w:ind w:left="440"/>
      </w:pPr>
      <w:hyperlink w:anchor="_Toc2553" w:history="1">
        <w:r>
          <w:rPr>
            <w:rFonts w:ascii="IRNazanin" w:hAnsi="IRNazanin" w:eastAsia="IRNazanin" w:cs="IRNazanin"/>
            <w:color w:val="111111"/>
            <w:sz w:val="22"/>
            <w:szCs w:val="22"/>
            <w:b w:val="0"/>
            <w:bCs w:val="0"/>
            <w:i w:val="0"/>
            <w:iCs w:val="0"/>
          </w:rPr>
          <w:t>1980- دیوان دیوانه أصفهانی‏</w:t>
        </w:r>
        <w:r>
          <w:tab/>
        </w:r>
        <w:r>
          <w:fldChar w:fldCharType="begin"/>
        </w:r>
        <w:r>
          <w:instrText xml:space="preserve">PAGEREF 2553 \h</w:instrText>
        </w:r>
        <w:r>
          <w:fldChar w:fldCharType="end"/>
        </w:r>
      </w:hyperlink>
    </w:p>
    <w:p>
      <w:pPr>
        <w:tabs>
          <w:tab w:val="right" w:leader="dot" w:pos="9062"/>
        </w:tabs>
        <w:ind w:left="440"/>
      </w:pPr>
      <w:hyperlink w:anchor="_Toc2554" w:history="1">
        <w:r>
          <w:rPr>
            <w:rFonts w:ascii="IRNazanin" w:hAnsi="IRNazanin" w:eastAsia="IRNazanin" w:cs="IRNazanin"/>
            <w:color w:val="111111"/>
            <w:sz w:val="22"/>
            <w:szCs w:val="22"/>
            <w:b w:val="0"/>
            <w:bCs w:val="0"/>
            <w:i w:val="0"/>
            <w:iCs w:val="0"/>
          </w:rPr>
          <w:t>1981- دیوان دیوانه بغدادی أو شعره‏</w:t>
        </w:r>
        <w:r>
          <w:tab/>
        </w:r>
        <w:r>
          <w:fldChar w:fldCharType="begin"/>
        </w:r>
        <w:r>
          <w:instrText xml:space="preserve">PAGEREF 2554 \h</w:instrText>
        </w:r>
        <w:r>
          <w:fldChar w:fldCharType="end"/>
        </w:r>
      </w:hyperlink>
    </w:p>
    <w:p>
      <w:pPr>
        <w:tabs>
          <w:tab w:val="right" w:leader="dot" w:pos="9062"/>
        </w:tabs>
        <w:ind w:left="440"/>
      </w:pPr>
      <w:hyperlink w:anchor="_Toc2555" w:history="1">
        <w:r>
          <w:rPr>
            <w:rFonts w:ascii="IRNazanin" w:hAnsi="IRNazanin" w:eastAsia="IRNazanin" w:cs="IRNazanin"/>
            <w:color w:val="111111"/>
            <w:sz w:val="22"/>
            <w:szCs w:val="22"/>
            <w:b w:val="0"/>
            <w:bCs w:val="0"/>
            <w:i w:val="0"/>
            <w:iCs w:val="0"/>
          </w:rPr>
          <w:t>1982- دیوان دیوانه بلخی أو شعره‏</w:t>
        </w:r>
        <w:r>
          <w:tab/>
        </w:r>
        <w:r>
          <w:fldChar w:fldCharType="begin"/>
        </w:r>
        <w:r>
          <w:instrText xml:space="preserve">PAGEREF 2555 \h</w:instrText>
        </w:r>
        <w:r>
          <w:fldChar w:fldCharType="end"/>
        </w:r>
      </w:hyperlink>
    </w:p>
    <w:p>
      <w:pPr>
        <w:tabs>
          <w:tab w:val="right" w:leader="dot" w:pos="9062"/>
        </w:tabs>
        <w:ind w:left="440"/>
      </w:pPr>
      <w:hyperlink w:anchor="_Toc2556" w:history="1">
        <w:r>
          <w:rPr>
            <w:rFonts w:ascii="IRNazanin" w:hAnsi="IRNazanin" w:eastAsia="IRNazanin" w:cs="IRNazanin"/>
            <w:color w:val="111111"/>
            <w:sz w:val="22"/>
            <w:szCs w:val="22"/>
            <w:b w:val="0"/>
            <w:bCs w:val="0"/>
            <w:i w:val="0"/>
            <w:iCs w:val="0"/>
          </w:rPr>
          <w:t>1983- دیوان دیوانه پهلوان حسین أو شعره‏</w:t>
        </w:r>
        <w:r>
          <w:tab/>
        </w:r>
        <w:r>
          <w:fldChar w:fldCharType="begin"/>
        </w:r>
        <w:r>
          <w:instrText xml:space="preserve">PAGEREF 2556 \h</w:instrText>
        </w:r>
        <w:r>
          <w:fldChar w:fldCharType="end"/>
        </w:r>
      </w:hyperlink>
    </w:p>
    <w:p>
      <w:pPr>
        <w:tabs>
          <w:tab w:val="right" w:leader="dot" w:pos="9062"/>
        </w:tabs>
        <w:ind w:left="440"/>
      </w:pPr>
      <w:hyperlink w:anchor="_Toc2557" w:history="1">
        <w:r>
          <w:rPr>
            <w:rFonts w:ascii="IRNazanin" w:hAnsi="IRNazanin" w:eastAsia="IRNazanin" w:cs="IRNazanin"/>
            <w:color w:val="111111"/>
            <w:sz w:val="22"/>
            <w:szCs w:val="22"/>
            <w:b w:val="0"/>
            <w:bCs w:val="0"/>
            <w:i w:val="0"/>
            <w:iCs w:val="0"/>
          </w:rPr>
          <w:t>1984- دیوان دیوانه قمشهی‏</w:t>
        </w:r>
        <w:r>
          <w:tab/>
        </w:r>
        <w:r>
          <w:fldChar w:fldCharType="begin"/>
        </w:r>
        <w:r>
          <w:instrText xml:space="preserve">PAGEREF 2557 \h</w:instrText>
        </w:r>
        <w:r>
          <w:fldChar w:fldCharType="end"/>
        </w:r>
      </w:hyperlink>
    </w:p>
    <w:p>
      <w:pPr>
        <w:tabs>
          <w:tab w:val="right" w:leader="dot" w:pos="9062"/>
        </w:tabs>
        <w:ind w:left="440"/>
      </w:pPr>
      <w:hyperlink w:anchor="_Toc2558" w:history="1">
        <w:r>
          <w:rPr>
            <w:rFonts w:ascii="IRNazanin" w:hAnsi="IRNazanin" w:eastAsia="IRNazanin" w:cs="IRNazanin"/>
            <w:color w:val="111111"/>
            <w:sz w:val="22"/>
            <w:szCs w:val="22"/>
            <w:b w:val="0"/>
            <w:bCs w:val="0"/>
            <w:i w:val="0"/>
            <w:iCs w:val="0"/>
          </w:rPr>
          <w:t>1985- دیوان دیوانه مشهدی‏</w:t>
        </w:r>
        <w:r>
          <w:tab/>
        </w:r>
        <w:r>
          <w:fldChar w:fldCharType="begin"/>
        </w:r>
        <w:r>
          <w:instrText xml:space="preserve">PAGEREF 2558 \h</w:instrText>
        </w:r>
        <w:r>
          <w:fldChar w:fldCharType="end"/>
        </w:r>
      </w:hyperlink>
    </w:p>
    <w:p>
      <w:pPr>
        <w:tabs>
          <w:tab w:val="right" w:leader="dot" w:pos="9062"/>
        </w:tabs>
        <w:ind w:left="440"/>
      </w:pPr>
      <w:hyperlink w:anchor="_Toc2559" w:history="1">
        <w:r>
          <w:rPr>
            <w:rFonts w:ascii="IRNazanin" w:hAnsi="IRNazanin" w:eastAsia="IRNazanin" w:cs="IRNazanin"/>
            <w:color w:val="111111"/>
            <w:sz w:val="22"/>
            <w:szCs w:val="22"/>
            <w:b w:val="0"/>
            <w:bCs w:val="0"/>
            <w:i w:val="0"/>
            <w:iCs w:val="0"/>
          </w:rPr>
          <w:t>1986- دیوان دیوانه نقاش تبریزی أو شعره‏</w:t>
        </w:r>
        <w:r>
          <w:tab/>
        </w:r>
        <w:r>
          <w:fldChar w:fldCharType="begin"/>
        </w:r>
        <w:r>
          <w:instrText xml:space="preserve">PAGEREF 2559 \h</w:instrText>
        </w:r>
        <w:r>
          <w:fldChar w:fldCharType="end"/>
        </w:r>
      </w:hyperlink>
    </w:p>
    <w:p>
      <w:pPr>
        <w:tabs>
          <w:tab w:val="right" w:leader="dot" w:pos="9062"/>
        </w:tabs>
        <w:ind w:left="440"/>
      </w:pPr>
      <w:hyperlink w:anchor="_Toc2560" w:history="1">
        <w:r>
          <w:rPr>
            <w:rFonts w:ascii="IRNazanin" w:hAnsi="IRNazanin" w:eastAsia="IRNazanin" w:cs="IRNazanin"/>
            <w:color w:val="111111"/>
            <w:sz w:val="22"/>
            <w:szCs w:val="22"/>
            <w:b w:val="0"/>
            <w:bCs w:val="0"/>
            <w:i w:val="0"/>
            <w:iCs w:val="0"/>
          </w:rPr>
          <w:t>1987- دیوان دیوانه نیشابوری أو شعره‏</w:t>
        </w:r>
        <w:r>
          <w:tab/>
        </w:r>
        <w:r>
          <w:fldChar w:fldCharType="begin"/>
        </w:r>
        <w:r>
          <w:instrText xml:space="preserve">PAGEREF 2560 \h</w:instrText>
        </w:r>
        <w:r>
          <w:fldChar w:fldCharType="end"/>
        </w:r>
      </w:hyperlink>
    </w:p>
    <w:p>
      <w:pPr>
        <w:tabs>
          <w:tab w:val="right" w:leader="dot" w:pos="9062"/>
        </w:tabs>
        <w:ind w:left="440"/>
      </w:pPr>
      <w:hyperlink w:anchor="_Toc2561" w:history="1">
        <w:r>
          <w:rPr>
            <w:rFonts w:ascii="IRNazanin" w:hAnsi="IRNazanin" w:eastAsia="IRNazanin" w:cs="IRNazanin"/>
            <w:color w:val="111111"/>
            <w:sz w:val="22"/>
            <w:szCs w:val="22"/>
            <w:b w:val="0"/>
            <w:bCs w:val="0"/>
            <w:i w:val="0"/>
            <w:iCs w:val="0"/>
          </w:rPr>
          <w:t>1988- دیوان دیولی‏</w:t>
        </w:r>
        <w:r>
          <w:tab/>
        </w:r>
        <w:r>
          <w:fldChar w:fldCharType="begin"/>
        </w:r>
        <w:r>
          <w:instrText xml:space="preserve">PAGEREF 2561 \h</w:instrText>
        </w:r>
        <w:r>
          <w:fldChar w:fldCharType="end"/>
        </w:r>
      </w:hyperlink>
    </w:p>
    <w:p>
      <w:pPr>
        <w:tabs>
          <w:tab w:val="right" w:leader="dot" w:pos="9062"/>
        </w:tabs>
        <w:ind w:left="440"/>
      </w:pPr>
      <w:hyperlink w:anchor="_Toc2562" w:history="1">
        <w:r>
          <w:rPr>
            <w:rFonts w:ascii="IRNazanin" w:hAnsi="IRNazanin" w:eastAsia="IRNazanin" w:cs="IRNazanin"/>
            <w:color w:val="111111"/>
            <w:sz w:val="22"/>
            <w:szCs w:val="22"/>
            <w:b w:val="0"/>
            <w:bCs w:val="0"/>
            <w:i w:val="0"/>
            <w:iCs w:val="0"/>
          </w:rPr>
          <w:t>1989- دیوان دیهیم أصفهانی‏</w:t>
        </w:r>
        <w:r>
          <w:tab/>
        </w:r>
        <w:r>
          <w:fldChar w:fldCharType="begin"/>
        </w:r>
        <w:r>
          <w:instrText xml:space="preserve">PAGEREF 2562 \h</w:instrText>
        </w:r>
        <w:r>
          <w:fldChar w:fldCharType="end"/>
        </w:r>
      </w:hyperlink>
    </w:p>
    <w:p>
      <w:pPr>
        <w:tabs>
          <w:tab w:val="right" w:leader="dot" w:pos="9062"/>
        </w:tabs>
        <w:ind w:left="440"/>
      </w:pPr>
      <w:hyperlink w:anchor="_Toc2563" w:history="1">
        <w:r>
          <w:rPr>
            <w:rFonts w:ascii="IRNazanin" w:hAnsi="IRNazanin" w:eastAsia="IRNazanin" w:cs="IRNazanin"/>
            <w:color w:val="111111"/>
            <w:sz w:val="22"/>
            <w:szCs w:val="22"/>
            <w:b w:val="0"/>
            <w:bCs w:val="0"/>
            <w:i w:val="0"/>
            <w:iCs w:val="0"/>
          </w:rPr>
          <w:t>1990- دیوان دیهیم قزوینی أو شعره‏</w:t>
        </w:r>
        <w:r>
          <w:tab/>
        </w:r>
        <w:r>
          <w:fldChar w:fldCharType="begin"/>
        </w:r>
        <w:r>
          <w:instrText xml:space="preserve">PAGEREF 2563 \h</w:instrText>
        </w:r>
        <w:r>
          <w:fldChar w:fldCharType="end"/>
        </w:r>
      </w:hyperlink>
    </w:p>
    <w:p>
      <w:pPr>
        <w:tabs>
          <w:tab w:val="right" w:leader="dot" w:pos="9062"/>
        </w:tabs>
        <w:ind w:left="440"/>
      </w:pPr>
      <w:hyperlink w:anchor="_Toc2564" w:history="1">
        <w:r>
          <w:rPr>
            <w:rFonts w:ascii="IRNazanin" w:hAnsi="IRNazanin" w:eastAsia="IRNazanin" w:cs="IRNazanin"/>
            <w:color w:val="111111"/>
            <w:sz w:val="22"/>
            <w:szCs w:val="22"/>
            <w:b w:val="0"/>
            <w:bCs w:val="0"/>
            <w:i w:val="0"/>
            <w:iCs w:val="0"/>
          </w:rPr>
          <w:t>1991- دیوان دیهیم لاهیجانی‏</w:t>
        </w:r>
        <w:r>
          <w:tab/>
        </w:r>
        <w:r>
          <w:fldChar w:fldCharType="begin"/>
        </w:r>
        <w:r>
          <w:instrText xml:space="preserve">PAGEREF 2564 \h</w:instrText>
        </w:r>
        <w:r>
          <w:fldChar w:fldCharType="end"/>
        </w:r>
      </w:hyperlink>
    </w:p>
    <w:p>
      <w:pPr>
        <w:tabs>
          <w:tab w:val="right" w:leader="dot" w:pos="9062"/>
        </w:tabs>
        <w:ind w:left="220"/>
      </w:pPr>
      <w:hyperlink w:anchor="_Toc2565" w:history="1">
        <w:r>
          <w:rPr>
            <w:rFonts w:ascii="IRNazanin" w:hAnsi="IRNazanin" w:eastAsia="IRNazanin" w:cs="IRNazanin"/>
            <w:color w:val="111111"/>
            <w:sz w:val="22"/>
            <w:szCs w:val="22"/>
            <w:b w:val="0"/>
            <w:bCs w:val="0"/>
            <w:i w:val="0"/>
            <w:iCs w:val="0"/>
          </w:rPr>
          <w:t>الجزء الثانی</w:t>
        </w:r>
        <w:r>
          <w:tab/>
        </w:r>
        <w:r>
          <w:fldChar w:fldCharType="begin"/>
        </w:r>
        <w:r>
          <w:instrText xml:space="preserve">PAGEREF 2565 \h</w:instrText>
        </w:r>
        <w:r>
          <w:fldChar w:fldCharType="end"/>
        </w:r>
      </w:hyperlink>
    </w:p>
    <w:p>
      <w:pPr>
        <w:tabs>
          <w:tab w:val="right" w:leader="dot" w:pos="9062"/>
        </w:tabs>
        <w:ind w:left="440"/>
      </w:pPr>
      <w:hyperlink w:anchor="_Toc25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2566 \h</w:instrText>
        </w:r>
        <w:r>
          <w:fldChar w:fldCharType="end"/>
        </w:r>
      </w:hyperlink>
    </w:p>
    <w:p>
      <w:pPr>
        <w:tabs>
          <w:tab w:val="right" w:leader="dot" w:pos="9062"/>
        </w:tabs>
        <w:ind w:left="440"/>
      </w:pPr>
      <w:hyperlink w:anchor="_Toc2567" w:history="1">
        <w:r>
          <w:rPr>
            <w:rFonts w:ascii="IRNazanin" w:hAnsi="IRNazanin" w:eastAsia="IRNazanin" w:cs="IRNazanin"/>
            <w:color w:val="111111"/>
            <w:sz w:val="22"/>
            <w:szCs w:val="22"/>
            <w:b w:val="0"/>
            <w:bCs w:val="0"/>
            <w:i w:val="0"/>
            <w:iCs w:val="0"/>
          </w:rPr>
          <w:t>1992- دیوان ذاتی کبانی‏</w:t>
        </w:r>
        <w:r>
          <w:tab/>
        </w:r>
        <w:r>
          <w:fldChar w:fldCharType="begin"/>
        </w:r>
        <w:r>
          <w:instrText xml:space="preserve">PAGEREF 2567 \h</w:instrText>
        </w:r>
        <w:r>
          <w:fldChar w:fldCharType="end"/>
        </w:r>
      </w:hyperlink>
    </w:p>
    <w:p>
      <w:pPr>
        <w:tabs>
          <w:tab w:val="right" w:leader="dot" w:pos="9062"/>
        </w:tabs>
        <w:ind w:left="440"/>
      </w:pPr>
      <w:hyperlink w:anchor="_Toc2568" w:history="1">
        <w:r>
          <w:rPr>
            <w:rFonts w:ascii="IRNazanin" w:hAnsi="IRNazanin" w:eastAsia="IRNazanin" w:cs="IRNazanin"/>
            <w:color w:val="111111"/>
            <w:sz w:val="22"/>
            <w:szCs w:val="22"/>
            <w:b w:val="0"/>
            <w:bCs w:val="0"/>
            <w:i w:val="0"/>
            <w:iCs w:val="0"/>
          </w:rPr>
          <w:t>1993- دیوان ذاتی هروی أو شعره‏</w:t>
        </w:r>
        <w:r>
          <w:tab/>
        </w:r>
        <w:r>
          <w:fldChar w:fldCharType="begin"/>
        </w:r>
        <w:r>
          <w:instrText xml:space="preserve">PAGEREF 2568 \h</w:instrText>
        </w:r>
        <w:r>
          <w:fldChar w:fldCharType="end"/>
        </w:r>
      </w:hyperlink>
    </w:p>
    <w:p>
      <w:pPr>
        <w:tabs>
          <w:tab w:val="right" w:leader="dot" w:pos="9062"/>
        </w:tabs>
        <w:ind w:left="440"/>
      </w:pPr>
      <w:hyperlink w:anchor="_Toc2569" w:history="1">
        <w:r>
          <w:rPr>
            <w:rFonts w:ascii="IRNazanin" w:hAnsi="IRNazanin" w:eastAsia="IRNazanin" w:cs="IRNazanin"/>
            <w:color w:val="111111"/>
            <w:sz w:val="22"/>
            <w:szCs w:val="22"/>
            <w:b w:val="0"/>
            <w:bCs w:val="0"/>
            <w:i w:val="0"/>
            <w:iCs w:val="0"/>
          </w:rPr>
          <w:t>دیوان ذاکر</w:t>
        </w:r>
        <w:r>
          <w:tab/>
        </w:r>
        <w:r>
          <w:fldChar w:fldCharType="begin"/>
        </w:r>
        <w:r>
          <w:instrText xml:space="preserve">PAGEREF 2569 \h</w:instrText>
        </w:r>
        <w:r>
          <w:fldChar w:fldCharType="end"/>
        </w:r>
      </w:hyperlink>
    </w:p>
    <w:p>
      <w:pPr>
        <w:tabs>
          <w:tab w:val="right" w:leader="dot" w:pos="9062"/>
        </w:tabs>
        <w:ind w:left="440"/>
      </w:pPr>
      <w:hyperlink w:anchor="_Toc2570" w:history="1">
        <w:r>
          <w:rPr>
            <w:rFonts w:ascii="IRNazanin" w:hAnsi="IRNazanin" w:eastAsia="IRNazanin" w:cs="IRNazanin"/>
            <w:color w:val="111111"/>
            <w:sz w:val="22"/>
            <w:szCs w:val="22"/>
            <w:b w:val="0"/>
            <w:bCs w:val="0"/>
            <w:i w:val="0"/>
            <w:iCs w:val="0"/>
          </w:rPr>
          <w:t>1994- دیوان ذاکر کشمیری‏</w:t>
        </w:r>
        <w:r>
          <w:tab/>
        </w:r>
        <w:r>
          <w:fldChar w:fldCharType="begin"/>
        </w:r>
        <w:r>
          <w:instrText xml:space="preserve">PAGEREF 2570 \h</w:instrText>
        </w:r>
        <w:r>
          <w:fldChar w:fldCharType="end"/>
        </w:r>
      </w:hyperlink>
    </w:p>
    <w:p>
      <w:pPr>
        <w:tabs>
          <w:tab w:val="right" w:leader="dot" w:pos="9062"/>
        </w:tabs>
        <w:ind w:left="440"/>
      </w:pPr>
      <w:hyperlink w:anchor="_Toc2571" w:history="1">
        <w:r>
          <w:rPr>
            <w:rFonts w:ascii="IRNazanin" w:hAnsi="IRNazanin" w:eastAsia="IRNazanin" w:cs="IRNazanin"/>
            <w:color w:val="111111"/>
            <w:sz w:val="22"/>
            <w:szCs w:val="22"/>
            <w:b w:val="0"/>
            <w:bCs w:val="0"/>
            <w:i w:val="0"/>
            <w:iCs w:val="0"/>
          </w:rPr>
          <w:t>1995- دیوان ذاکر قراباغی‏</w:t>
        </w:r>
        <w:r>
          <w:tab/>
        </w:r>
        <w:r>
          <w:fldChar w:fldCharType="begin"/>
        </w:r>
        <w:r>
          <w:instrText xml:space="preserve">PAGEREF 2571 \h</w:instrText>
        </w:r>
        <w:r>
          <w:fldChar w:fldCharType="end"/>
        </w:r>
      </w:hyperlink>
    </w:p>
    <w:p>
      <w:pPr>
        <w:tabs>
          <w:tab w:val="right" w:leader="dot" w:pos="9062"/>
        </w:tabs>
        <w:ind w:left="440"/>
      </w:pPr>
      <w:hyperlink w:anchor="_Toc2572" w:history="1">
        <w:r>
          <w:rPr>
            <w:rFonts w:ascii="IRNazanin" w:hAnsi="IRNazanin" w:eastAsia="IRNazanin" w:cs="IRNazanin"/>
            <w:color w:val="111111"/>
            <w:sz w:val="22"/>
            <w:szCs w:val="22"/>
            <w:b w:val="0"/>
            <w:bCs w:val="0"/>
            <w:i w:val="0"/>
            <w:iCs w:val="0"/>
          </w:rPr>
          <w:t>1996- دیوان ذاکر الثانی‏</w:t>
        </w:r>
        <w:r>
          <w:tab/>
        </w:r>
        <w:r>
          <w:fldChar w:fldCharType="begin"/>
        </w:r>
        <w:r>
          <w:instrText xml:space="preserve">PAGEREF 2572 \h</w:instrText>
        </w:r>
        <w:r>
          <w:fldChar w:fldCharType="end"/>
        </w:r>
      </w:hyperlink>
    </w:p>
    <w:p>
      <w:pPr>
        <w:tabs>
          <w:tab w:val="right" w:leader="dot" w:pos="9062"/>
        </w:tabs>
        <w:ind w:left="440"/>
      </w:pPr>
      <w:hyperlink w:anchor="_Toc2573" w:history="1">
        <w:r>
          <w:rPr>
            <w:rFonts w:ascii="IRNazanin" w:hAnsi="IRNazanin" w:eastAsia="IRNazanin" w:cs="IRNazanin"/>
            <w:color w:val="111111"/>
            <w:sz w:val="22"/>
            <w:szCs w:val="22"/>
            <w:b w:val="0"/>
            <w:bCs w:val="0"/>
            <w:i w:val="0"/>
            <w:iCs w:val="0"/>
          </w:rPr>
          <w:t>1997- دیوان ذبیح گنجوی‏</w:t>
        </w:r>
        <w:r>
          <w:tab/>
        </w:r>
        <w:r>
          <w:fldChar w:fldCharType="begin"/>
        </w:r>
        <w:r>
          <w:instrText xml:space="preserve">PAGEREF 2573 \h</w:instrText>
        </w:r>
        <w:r>
          <w:fldChar w:fldCharType="end"/>
        </w:r>
      </w:hyperlink>
    </w:p>
    <w:p>
      <w:pPr>
        <w:tabs>
          <w:tab w:val="right" w:leader="dot" w:pos="9062"/>
        </w:tabs>
        <w:ind w:left="440"/>
      </w:pPr>
      <w:hyperlink w:anchor="_Toc2574" w:history="1">
        <w:r>
          <w:rPr>
            <w:rFonts w:ascii="IRNazanin" w:hAnsi="IRNazanin" w:eastAsia="IRNazanin" w:cs="IRNazanin"/>
            <w:color w:val="111111"/>
            <w:sz w:val="22"/>
            <w:szCs w:val="22"/>
            <w:b w:val="0"/>
            <w:bCs w:val="0"/>
            <w:i w:val="0"/>
            <w:iCs w:val="0"/>
          </w:rPr>
          <w:t>1998- دیوان ذبیح أصفهانی‏</w:t>
        </w:r>
        <w:r>
          <w:tab/>
        </w:r>
        <w:r>
          <w:fldChar w:fldCharType="begin"/>
        </w:r>
        <w:r>
          <w:instrText xml:space="preserve">PAGEREF 2574 \h</w:instrText>
        </w:r>
        <w:r>
          <w:fldChar w:fldCharType="end"/>
        </w:r>
      </w:hyperlink>
    </w:p>
    <w:p>
      <w:pPr>
        <w:tabs>
          <w:tab w:val="right" w:leader="dot" w:pos="9062"/>
        </w:tabs>
        <w:ind w:left="440"/>
      </w:pPr>
      <w:hyperlink w:anchor="_Toc2575" w:history="1">
        <w:r>
          <w:rPr>
            <w:rFonts w:ascii="IRNazanin" w:hAnsi="IRNazanin" w:eastAsia="IRNazanin" w:cs="IRNazanin"/>
            <w:color w:val="111111"/>
            <w:sz w:val="22"/>
            <w:szCs w:val="22"/>
            <w:b w:val="0"/>
            <w:bCs w:val="0"/>
            <w:i w:val="0"/>
            <w:iCs w:val="0"/>
          </w:rPr>
          <w:t>دیوان ذبیحی أصفهانی‏</w:t>
        </w:r>
        <w:r>
          <w:tab/>
        </w:r>
        <w:r>
          <w:fldChar w:fldCharType="begin"/>
        </w:r>
        <w:r>
          <w:instrText xml:space="preserve">PAGEREF 2575 \h</w:instrText>
        </w:r>
        <w:r>
          <w:fldChar w:fldCharType="end"/>
        </w:r>
      </w:hyperlink>
    </w:p>
    <w:p>
      <w:pPr>
        <w:tabs>
          <w:tab w:val="right" w:leader="dot" w:pos="9062"/>
        </w:tabs>
        <w:ind w:left="440"/>
      </w:pPr>
      <w:hyperlink w:anchor="_Toc2576" w:history="1">
        <w:r>
          <w:rPr>
            <w:rFonts w:ascii="IRNazanin" w:hAnsi="IRNazanin" w:eastAsia="IRNazanin" w:cs="IRNazanin"/>
            <w:color w:val="111111"/>
            <w:sz w:val="22"/>
            <w:szCs w:val="22"/>
            <w:b w:val="0"/>
            <w:bCs w:val="0"/>
            <w:i w:val="0"/>
            <w:iCs w:val="0"/>
          </w:rPr>
          <w:t>1999- دیوان ذبیحی أفشار</w:t>
        </w:r>
        <w:r>
          <w:tab/>
        </w:r>
        <w:r>
          <w:fldChar w:fldCharType="begin"/>
        </w:r>
        <w:r>
          <w:instrText xml:space="preserve">PAGEREF 2576 \h</w:instrText>
        </w:r>
        <w:r>
          <w:fldChar w:fldCharType="end"/>
        </w:r>
      </w:hyperlink>
    </w:p>
    <w:p>
      <w:pPr>
        <w:tabs>
          <w:tab w:val="right" w:leader="dot" w:pos="9062"/>
        </w:tabs>
        <w:ind w:left="440"/>
      </w:pPr>
      <w:hyperlink w:anchor="_Toc2577" w:history="1">
        <w:r>
          <w:rPr>
            <w:rFonts w:ascii="IRNazanin" w:hAnsi="IRNazanin" w:eastAsia="IRNazanin" w:cs="IRNazanin"/>
            <w:color w:val="111111"/>
            <w:sz w:val="22"/>
            <w:szCs w:val="22"/>
            <w:b w:val="0"/>
            <w:bCs w:val="0"/>
            <w:i w:val="0"/>
            <w:iCs w:val="0"/>
          </w:rPr>
          <w:t>2000- دیوان ذبیحی یزدی‏</w:t>
        </w:r>
        <w:r>
          <w:tab/>
        </w:r>
        <w:r>
          <w:fldChar w:fldCharType="begin"/>
        </w:r>
        <w:r>
          <w:instrText xml:space="preserve">PAGEREF 2577 \h</w:instrText>
        </w:r>
        <w:r>
          <w:fldChar w:fldCharType="end"/>
        </w:r>
      </w:hyperlink>
    </w:p>
    <w:p>
      <w:pPr>
        <w:tabs>
          <w:tab w:val="right" w:leader="dot" w:pos="9062"/>
        </w:tabs>
        <w:ind w:left="440"/>
      </w:pPr>
      <w:hyperlink w:anchor="_Toc2578" w:history="1">
        <w:r>
          <w:rPr>
            <w:rFonts w:ascii="IRNazanin" w:hAnsi="IRNazanin" w:eastAsia="IRNazanin" w:cs="IRNazanin"/>
            <w:color w:val="111111"/>
            <w:sz w:val="22"/>
            <w:szCs w:val="22"/>
            <w:b w:val="0"/>
            <w:bCs w:val="0"/>
            <w:i w:val="0"/>
            <w:iCs w:val="0"/>
          </w:rPr>
          <w:t>2001- دیوان ذرة</w:t>
        </w:r>
        <w:r>
          <w:tab/>
        </w:r>
        <w:r>
          <w:fldChar w:fldCharType="begin"/>
        </w:r>
        <w:r>
          <w:instrText xml:space="preserve">PAGEREF 2578 \h</w:instrText>
        </w:r>
        <w:r>
          <w:fldChar w:fldCharType="end"/>
        </w:r>
      </w:hyperlink>
    </w:p>
    <w:p>
      <w:pPr>
        <w:tabs>
          <w:tab w:val="right" w:leader="dot" w:pos="9062"/>
        </w:tabs>
        <w:ind w:left="440"/>
      </w:pPr>
      <w:hyperlink w:anchor="_Toc2579" w:history="1">
        <w:r>
          <w:rPr>
            <w:rFonts w:ascii="IRNazanin" w:hAnsi="IRNazanin" w:eastAsia="IRNazanin" w:cs="IRNazanin"/>
            <w:color w:val="111111"/>
            <w:sz w:val="22"/>
            <w:szCs w:val="22"/>
            <w:b w:val="0"/>
            <w:bCs w:val="0"/>
            <w:i w:val="0"/>
            <w:iCs w:val="0"/>
          </w:rPr>
          <w:t>2002- دیوان ذرة أصفهانی أو شعره‏</w:t>
        </w:r>
        <w:r>
          <w:tab/>
        </w:r>
        <w:r>
          <w:fldChar w:fldCharType="begin"/>
        </w:r>
        <w:r>
          <w:instrText xml:space="preserve">PAGEREF 2579 \h</w:instrText>
        </w:r>
        <w:r>
          <w:fldChar w:fldCharType="end"/>
        </w:r>
      </w:hyperlink>
    </w:p>
    <w:p>
      <w:pPr>
        <w:tabs>
          <w:tab w:val="right" w:leader="dot" w:pos="9062"/>
        </w:tabs>
        <w:ind w:left="440"/>
      </w:pPr>
      <w:hyperlink w:anchor="_Toc2580" w:history="1">
        <w:r>
          <w:rPr>
            <w:rFonts w:ascii="IRNazanin" w:hAnsi="IRNazanin" w:eastAsia="IRNazanin" w:cs="IRNazanin"/>
            <w:color w:val="111111"/>
            <w:sz w:val="22"/>
            <w:szCs w:val="22"/>
            <w:b w:val="0"/>
            <w:bCs w:val="0"/>
            <w:i w:val="0"/>
            <w:iCs w:val="0"/>
          </w:rPr>
          <w:t>2003- دیوان ذرة بلگرامی أو شعره‏</w:t>
        </w:r>
        <w:r>
          <w:tab/>
        </w:r>
        <w:r>
          <w:fldChar w:fldCharType="begin"/>
        </w:r>
        <w:r>
          <w:instrText xml:space="preserve">PAGEREF 2580 \h</w:instrText>
        </w:r>
        <w:r>
          <w:fldChar w:fldCharType="end"/>
        </w:r>
      </w:hyperlink>
    </w:p>
    <w:p>
      <w:pPr>
        <w:tabs>
          <w:tab w:val="right" w:leader="dot" w:pos="9062"/>
        </w:tabs>
        <w:ind w:left="440"/>
      </w:pPr>
      <w:hyperlink w:anchor="_Toc2581" w:history="1">
        <w:r>
          <w:rPr>
            <w:rFonts w:ascii="IRNazanin" w:hAnsi="IRNazanin" w:eastAsia="IRNazanin" w:cs="IRNazanin"/>
            <w:color w:val="111111"/>
            <w:sz w:val="22"/>
            <w:szCs w:val="22"/>
            <w:b w:val="0"/>
            <w:bCs w:val="0"/>
            <w:i w:val="0"/>
            <w:iCs w:val="0"/>
          </w:rPr>
          <w:t>2004- دیوان ذرة پنجابی‏</w:t>
        </w:r>
        <w:r>
          <w:tab/>
        </w:r>
        <w:r>
          <w:fldChar w:fldCharType="begin"/>
        </w:r>
        <w:r>
          <w:instrText xml:space="preserve">PAGEREF 2581 \h</w:instrText>
        </w:r>
        <w:r>
          <w:fldChar w:fldCharType="end"/>
        </w:r>
      </w:hyperlink>
    </w:p>
    <w:p>
      <w:pPr>
        <w:tabs>
          <w:tab w:val="right" w:leader="dot" w:pos="9062"/>
        </w:tabs>
        <w:ind w:left="440"/>
      </w:pPr>
      <w:hyperlink w:anchor="_Toc2582" w:history="1">
        <w:r>
          <w:rPr>
            <w:rFonts w:ascii="IRNazanin" w:hAnsi="IRNazanin" w:eastAsia="IRNazanin" w:cs="IRNazanin"/>
            <w:color w:val="111111"/>
            <w:sz w:val="22"/>
            <w:szCs w:val="22"/>
            <w:b w:val="0"/>
            <w:bCs w:val="0"/>
            <w:i w:val="0"/>
            <w:iCs w:val="0"/>
          </w:rPr>
          <w:t>2005- دیوان ذرة شیرازی أو شعره‏</w:t>
        </w:r>
        <w:r>
          <w:tab/>
        </w:r>
        <w:r>
          <w:fldChar w:fldCharType="begin"/>
        </w:r>
        <w:r>
          <w:instrText xml:space="preserve">PAGEREF 2582 \h</w:instrText>
        </w:r>
        <w:r>
          <w:fldChar w:fldCharType="end"/>
        </w:r>
      </w:hyperlink>
    </w:p>
    <w:p>
      <w:pPr>
        <w:tabs>
          <w:tab w:val="right" w:leader="dot" w:pos="9062"/>
        </w:tabs>
        <w:ind w:left="440"/>
      </w:pPr>
      <w:hyperlink w:anchor="_Toc2583" w:history="1">
        <w:r>
          <w:rPr>
            <w:rFonts w:ascii="IRNazanin" w:hAnsi="IRNazanin" w:eastAsia="IRNazanin" w:cs="IRNazanin"/>
            <w:color w:val="111111"/>
            <w:sz w:val="22"/>
            <w:szCs w:val="22"/>
            <w:b w:val="0"/>
            <w:bCs w:val="0"/>
            <w:i w:val="0"/>
            <w:iCs w:val="0"/>
          </w:rPr>
          <w:t>2006- دیوان ذکاء</w:t>
        </w:r>
        <w:r>
          <w:tab/>
        </w:r>
        <w:r>
          <w:fldChar w:fldCharType="begin"/>
        </w:r>
        <w:r>
          <w:instrText xml:space="preserve">PAGEREF 2583 \h</w:instrText>
        </w:r>
        <w:r>
          <w:fldChar w:fldCharType="end"/>
        </w:r>
      </w:hyperlink>
    </w:p>
    <w:p>
      <w:pPr>
        <w:tabs>
          <w:tab w:val="right" w:leader="dot" w:pos="9062"/>
        </w:tabs>
        <w:ind w:left="440"/>
      </w:pPr>
      <w:hyperlink w:anchor="_Toc2584" w:history="1">
        <w:r>
          <w:rPr>
            <w:rFonts w:ascii="IRNazanin" w:hAnsi="IRNazanin" w:eastAsia="IRNazanin" w:cs="IRNazanin"/>
            <w:color w:val="111111"/>
            <w:sz w:val="22"/>
            <w:szCs w:val="22"/>
            <w:b w:val="0"/>
            <w:bCs w:val="0"/>
            <w:i w:val="0"/>
            <w:iCs w:val="0"/>
          </w:rPr>
          <w:t>2007- دیوان ذکری أردبیلی‏</w:t>
        </w:r>
        <w:r>
          <w:tab/>
        </w:r>
        <w:r>
          <w:fldChar w:fldCharType="begin"/>
        </w:r>
        <w:r>
          <w:instrText xml:space="preserve">PAGEREF 2584 \h</w:instrText>
        </w:r>
        <w:r>
          <w:fldChar w:fldCharType="end"/>
        </w:r>
      </w:hyperlink>
    </w:p>
    <w:p>
      <w:pPr>
        <w:tabs>
          <w:tab w:val="right" w:leader="dot" w:pos="9062"/>
        </w:tabs>
        <w:ind w:left="440"/>
      </w:pPr>
      <w:hyperlink w:anchor="_Toc2585" w:history="1">
        <w:r>
          <w:rPr>
            <w:rFonts w:ascii="IRNazanin" w:hAnsi="IRNazanin" w:eastAsia="IRNazanin" w:cs="IRNazanin"/>
            <w:color w:val="111111"/>
            <w:sz w:val="22"/>
            <w:szCs w:val="22"/>
            <w:b w:val="0"/>
            <w:bCs w:val="0"/>
            <w:i w:val="0"/>
            <w:iCs w:val="0"/>
          </w:rPr>
          <w:t>دیوان ذکری کاشانی‏</w:t>
        </w:r>
        <w:r>
          <w:tab/>
        </w:r>
        <w:r>
          <w:fldChar w:fldCharType="begin"/>
        </w:r>
        <w:r>
          <w:instrText xml:space="preserve">PAGEREF 2585 \h</w:instrText>
        </w:r>
        <w:r>
          <w:fldChar w:fldCharType="end"/>
        </w:r>
      </w:hyperlink>
    </w:p>
    <w:p>
      <w:pPr>
        <w:tabs>
          <w:tab w:val="right" w:leader="dot" w:pos="9062"/>
        </w:tabs>
        <w:ind w:left="440"/>
      </w:pPr>
      <w:hyperlink w:anchor="_Toc2586" w:history="1">
        <w:r>
          <w:rPr>
            <w:rFonts w:ascii="IRNazanin" w:hAnsi="IRNazanin" w:eastAsia="IRNazanin" w:cs="IRNazanin"/>
            <w:color w:val="111111"/>
            <w:sz w:val="22"/>
            <w:szCs w:val="22"/>
            <w:b w:val="0"/>
            <w:bCs w:val="0"/>
            <w:i w:val="0"/>
            <w:iCs w:val="0"/>
          </w:rPr>
          <w:t>2008- دیوان ذکری کوزه‏کنانی‏</w:t>
        </w:r>
        <w:r>
          <w:tab/>
        </w:r>
        <w:r>
          <w:fldChar w:fldCharType="begin"/>
        </w:r>
        <w:r>
          <w:instrText xml:space="preserve">PAGEREF 2586 \h</w:instrText>
        </w:r>
        <w:r>
          <w:fldChar w:fldCharType="end"/>
        </w:r>
      </w:hyperlink>
    </w:p>
    <w:p>
      <w:pPr>
        <w:tabs>
          <w:tab w:val="right" w:leader="dot" w:pos="9062"/>
        </w:tabs>
        <w:ind w:left="440"/>
      </w:pPr>
      <w:hyperlink w:anchor="_Toc2587" w:history="1">
        <w:r>
          <w:rPr>
            <w:rFonts w:ascii="IRNazanin" w:hAnsi="IRNazanin" w:eastAsia="IRNazanin" w:cs="IRNazanin"/>
            <w:color w:val="111111"/>
            <w:sz w:val="22"/>
            <w:szCs w:val="22"/>
            <w:b w:val="0"/>
            <w:bCs w:val="0"/>
            <w:i w:val="0"/>
            <w:iCs w:val="0"/>
          </w:rPr>
          <w:t>دیوان ذکی</w:t>
        </w:r>
        <w:r>
          <w:tab/>
        </w:r>
        <w:r>
          <w:fldChar w:fldCharType="begin"/>
        </w:r>
        <w:r>
          <w:instrText xml:space="preserve">PAGEREF 2587 \h</w:instrText>
        </w:r>
        <w:r>
          <w:fldChar w:fldCharType="end"/>
        </w:r>
      </w:hyperlink>
    </w:p>
    <w:p>
      <w:pPr>
        <w:tabs>
          <w:tab w:val="right" w:leader="dot" w:pos="9062"/>
        </w:tabs>
        <w:ind w:left="440"/>
      </w:pPr>
      <w:hyperlink w:anchor="_Toc2588" w:history="1">
        <w:r>
          <w:rPr>
            <w:rFonts w:ascii="IRNazanin" w:hAnsi="IRNazanin" w:eastAsia="IRNazanin" w:cs="IRNazanin"/>
            <w:color w:val="111111"/>
            <w:sz w:val="22"/>
            <w:szCs w:val="22"/>
            <w:b w:val="0"/>
            <w:bCs w:val="0"/>
            <w:i w:val="0"/>
            <w:iCs w:val="0"/>
          </w:rPr>
          <w:t>2009- دیوان ذلیل آذربایجانی‏</w:t>
        </w:r>
        <w:r>
          <w:tab/>
        </w:r>
        <w:r>
          <w:fldChar w:fldCharType="begin"/>
        </w:r>
        <w:r>
          <w:instrText xml:space="preserve">PAGEREF 2588 \h</w:instrText>
        </w:r>
        <w:r>
          <w:fldChar w:fldCharType="end"/>
        </w:r>
      </w:hyperlink>
    </w:p>
    <w:p>
      <w:pPr>
        <w:tabs>
          <w:tab w:val="right" w:leader="dot" w:pos="9062"/>
        </w:tabs>
        <w:ind w:left="440"/>
      </w:pPr>
      <w:hyperlink w:anchor="_Toc2589" w:history="1">
        <w:r>
          <w:rPr>
            <w:rFonts w:ascii="IRNazanin" w:hAnsi="IRNazanin" w:eastAsia="IRNazanin" w:cs="IRNazanin"/>
            <w:color w:val="111111"/>
            <w:sz w:val="22"/>
            <w:szCs w:val="22"/>
            <w:b w:val="0"/>
            <w:bCs w:val="0"/>
            <w:i w:val="0"/>
            <w:iCs w:val="0"/>
          </w:rPr>
          <w:t>دیوان ذو الرئاستین‏</w:t>
        </w:r>
        <w:r>
          <w:tab/>
        </w:r>
        <w:r>
          <w:fldChar w:fldCharType="begin"/>
        </w:r>
        <w:r>
          <w:instrText xml:space="preserve">PAGEREF 2589 \h</w:instrText>
        </w:r>
        <w:r>
          <w:fldChar w:fldCharType="end"/>
        </w:r>
      </w:hyperlink>
    </w:p>
    <w:p>
      <w:pPr>
        <w:tabs>
          <w:tab w:val="right" w:leader="dot" w:pos="9062"/>
        </w:tabs>
        <w:ind w:left="440"/>
      </w:pPr>
      <w:hyperlink w:anchor="_Toc2590" w:history="1">
        <w:r>
          <w:rPr>
            <w:rFonts w:ascii="IRNazanin" w:hAnsi="IRNazanin" w:eastAsia="IRNazanin" w:cs="IRNazanin"/>
            <w:color w:val="111111"/>
            <w:sz w:val="22"/>
            <w:szCs w:val="22"/>
            <w:b w:val="0"/>
            <w:bCs w:val="0"/>
            <w:i w:val="0"/>
            <w:iCs w:val="0"/>
          </w:rPr>
          <w:t>2010- دیوان ذو الفقار شیروانی‏</w:t>
        </w:r>
        <w:r>
          <w:tab/>
        </w:r>
        <w:r>
          <w:fldChar w:fldCharType="begin"/>
        </w:r>
        <w:r>
          <w:instrText xml:space="preserve">PAGEREF 2590 \h</w:instrText>
        </w:r>
        <w:r>
          <w:fldChar w:fldCharType="end"/>
        </w:r>
      </w:hyperlink>
    </w:p>
    <w:p>
      <w:pPr>
        <w:tabs>
          <w:tab w:val="right" w:leader="dot" w:pos="9062"/>
        </w:tabs>
        <w:ind w:left="440"/>
      </w:pPr>
      <w:hyperlink w:anchor="_Toc2591" w:history="1">
        <w:r>
          <w:rPr>
            <w:rFonts w:ascii="IRNazanin" w:hAnsi="IRNazanin" w:eastAsia="IRNazanin" w:cs="IRNazanin"/>
            <w:color w:val="111111"/>
            <w:sz w:val="22"/>
            <w:szCs w:val="22"/>
            <w:b w:val="0"/>
            <w:bCs w:val="0"/>
            <w:i w:val="0"/>
            <w:iCs w:val="0"/>
          </w:rPr>
          <w:t>2011- دیوان ذوق کاکوری‏</w:t>
        </w:r>
        <w:r>
          <w:tab/>
        </w:r>
        <w:r>
          <w:fldChar w:fldCharType="begin"/>
        </w:r>
        <w:r>
          <w:instrText xml:space="preserve">PAGEREF 2591 \h</w:instrText>
        </w:r>
        <w:r>
          <w:fldChar w:fldCharType="end"/>
        </w:r>
      </w:hyperlink>
    </w:p>
    <w:p>
      <w:pPr>
        <w:tabs>
          <w:tab w:val="right" w:leader="dot" w:pos="9062"/>
        </w:tabs>
        <w:ind w:left="440"/>
      </w:pPr>
      <w:hyperlink w:anchor="_Toc2592" w:history="1">
        <w:r>
          <w:rPr>
            <w:rFonts w:ascii="IRNazanin" w:hAnsi="IRNazanin" w:eastAsia="IRNazanin" w:cs="IRNazanin"/>
            <w:color w:val="111111"/>
            <w:sz w:val="22"/>
            <w:szCs w:val="22"/>
            <w:b w:val="0"/>
            <w:bCs w:val="0"/>
            <w:i w:val="0"/>
            <w:iCs w:val="0"/>
          </w:rPr>
          <w:t>دیوان ذو القدر</w:t>
        </w:r>
        <w:r>
          <w:tab/>
        </w:r>
        <w:r>
          <w:fldChar w:fldCharType="begin"/>
        </w:r>
        <w:r>
          <w:instrText xml:space="preserve">PAGEREF 2592 \h</w:instrText>
        </w:r>
        <w:r>
          <w:fldChar w:fldCharType="end"/>
        </w:r>
      </w:hyperlink>
    </w:p>
    <w:p>
      <w:pPr>
        <w:tabs>
          <w:tab w:val="right" w:leader="dot" w:pos="9062"/>
        </w:tabs>
        <w:ind w:left="440"/>
      </w:pPr>
      <w:hyperlink w:anchor="_Toc2593" w:history="1">
        <w:r>
          <w:rPr>
            <w:rFonts w:ascii="IRNazanin" w:hAnsi="IRNazanin" w:eastAsia="IRNazanin" w:cs="IRNazanin"/>
            <w:color w:val="111111"/>
            <w:sz w:val="22"/>
            <w:szCs w:val="22"/>
            <w:b w:val="0"/>
            <w:bCs w:val="0"/>
            <w:i w:val="0"/>
            <w:iCs w:val="0"/>
          </w:rPr>
          <w:t>2012- دیوان ذوقی أردستانی‏</w:t>
        </w:r>
        <w:r>
          <w:tab/>
        </w:r>
        <w:r>
          <w:fldChar w:fldCharType="begin"/>
        </w:r>
        <w:r>
          <w:instrText xml:space="preserve">PAGEREF 2593 \h</w:instrText>
        </w:r>
        <w:r>
          <w:fldChar w:fldCharType="end"/>
        </w:r>
      </w:hyperlink>
    </w:p>
    <w:p>
      <w:pPr>
        <w:tabs>
          <w:tab w:val="right" w:leader="dot" w:pos="9062"/>
        </w:tabs>
        <w:ind w:left="440"/>
      </w:pPr>
      <w:hyperlink w:anchor="_Toc2594" w:history="1">
        <w:r>
          <w:rPr>
            <w:rFonts w:ascii="IRNazanin" w:hAnsi="IRNazanin" w:eastAsia="IRNazanin" w:cs="IRNazanin"/>
            <w:color w:val="111111"/>
            <w:sz w:val="22"/>
            <w:szCs w:val="22"/>
            <w:b w:val="0"/>
            <w:bCs w:val="0"/>
            <w:i w:val="0"/>
            <w:iCs w:val="0"/>
          </w:rPr>
          <w:t>2013- دیوان ذوقی أصفهانی‏</w:t>
        </w:r>
        <w:r>
          <w:tab/>
        </w:r>
        <w:r>
          <w:fldChar w:fldCharType="begin"/>
        </w:r>
        <w:r>
          <w:instrText xml:space="preserve">PAGEREF 2594 \h</w:instrText>
        </w:r>
        <w:r>
          <w:fldChar w:fldCharType="end"/>
        </w:r>
      </w:hyperlink>
    </w:p>
    <w:p>
      <w:pPr>
        <w:tabs>
          <w:tab w:val="right" w:leader="dot" w:pos="9062"/>
        </w:tabs>
        <w:ind w:left="440"/>
      </w:pPr>
      <w:hyperlink w:anchor="_Toc2595" w:history="1">
        <w:r>
          <w:rPr>
            <w:rFonts w:ascii="IRNazanin" w:hAnsi="IRNazanin" w:eastAsia="IRNazanin" w:cs="IRNazanin"/>
            <w:color w:val="111111"/>
            <w:sz w:val="22"/>
            <w:szCs w:val="22"/>
            <w:b w:val="0"/>
            <w:bCs w:val="0"/>
            <w:i w:val="0"/>
            <w:iCs w:val="0"/>
          </w:rPr>
          <w:t>2014- دیوان ذوقی تنکابنی أو شعره‏</w:t>
        </w:r>
        <w:r>
          <w:tab/>
        </w:r>
        <w:r>
          <w:fldChar w:fldCharType="begin"/>
        </w:r>
        <w:r>
          <w:instrText xml:space="preserve">PAGEREF 2595 \h</w:instrText>
        </w:r>
        <w:r>
          <w:fldChar w:fldCharType="end"/>
        </w:r>
      </w:hyperlink>
    </w:p>
    <w:p>
      <w:pPr>
        <w:tabs>
          <w:tab w:val="right" w:leader="dot" w:pos="9062"/>
        </w:tabs>
        <w:ind w:left="440"/>
      </w:pPr>
      <w:hyperlink w:anchor="_Toc2596" w:history="1">
        <w:r>
          <w:rPr>
            <w:rFonts w:ascii="IRNazanin" w:hAnsi="IRNazanin" w:eastAsia="IRNazanin" w:cs="IRNazanin"/>
            <w:color w:val="111111"/>
            <w:sz w:val="22"/>
            <w:szCs w:val="22"/>
            <w:b w:val="0"/>
            <w:bCs w:val="0"/>
            <w:i w:val="0"/>
            <w:iCs w:val="0"/>
          </w:rPr>
          <w:t>2015- دیوان ذوقی بسطامی خراسانی‏</w:t>
        </w:r>
        <w:r>
          <w:tab/>
        </w:r>
        <w:r>
          <w:fldChar w:fldCharType="begin"/>
        </w:r>
        <w:r>
          <w:instrText xml:space="preserve">PAGEREF 2596 \h</w:instrText>
        </w:r>
        <w:r>
          <w:fldChar w:fldCharType="end"/>
        </w:r>
      </w:hyperlink>
    </w:p>
    <w:p>
      <w:pPr>
        <w:tabs>
          <w:tab w:val="right" w:leader="dot" w:pos="9062"/>
        </w:tabs>
        <w:ind w:left="440"/>
      </w:pPr>
      <w:hyperlink w:anchor="_Toc2597" w:history="1">
        <w:r>
          <w:rPr>
            <w:rFonts w:ascii="IRNazanin" w:hAnsi="IRNazanin" w:eastAsia="IRNazanin" w:cs="IRNazanin"/>
            <w:color w:val="111111"/>
            <w:sz w:val="22"/>
            <w:szCs w:val="22"/>
            <w:b w:val="0"/>
            <w:bCs w:val="0"/>
            <w:i w:val="0"/>
            <w:iCs w:val="0"/>
          </w:rPr>
          <w:t>2016- دیوان ذوقی تونی أو شعره‏</w:t>
        </w:r>
        <w:r>
          <w:tab/>
        </w:r>
        <w:r>
          <w:fldChar w:fldCharType="begin"/>
        </w:r>
        <w:r>
          <w:instrText xml:space="preserve">PAGEREF 2597 \h</w:instrText>
        </w:r>
        <w:r>
          <w:fldChar w:fldCharType="end"/>
        </w:r>
      </w:hyperlink>
    </w:p>
    <w:p>
      <w:pPr>
        <w:tabs>
          <w:tab w:val="right" w:leader="dot" w:pos="9062"/>
        </w:tabs>
        <w:ind w:left="440"/>
      </w:pPr>
      <w:hyperlink w:anchor="_Toc2598" w:history="1">
        <w:r>
          <w:rPr>
            <w:rFonts w:ascii="IRNazanin" w:hAnsi="IRNazanin" w:eastAsia="IRNazanin" w:cs="IRNazanin"/>
            <w:color w:val="111111"/>
            <w:sz w:val="22"/>
            <w:szCs w:val="22"/>
            <w:b w:val="0"/>
            <w:bCs w:val="0"/>
            <w:i w:val="0"/>
            <w:iCs w:val="0"/>
          </w:rPr>
          <w:t>2017- دیوان ذوقی سمرقندی‏</w:t>
        </w:r>
        <w:r>
          <w:tab/>
        </w:r>
        <w:r>
          <w:fldChar w:fldCharType="begin"/>
        </w:r>
        <w:r>
          <w:instrText xml:space="preserve">PAGEREF 2598 \h</w:instrText>
        </w:r>
        <w:r>
          <w:fldChar w:fldCharType="end"/>
        </w:r>
      </w:hyperlink>
    </w:p>
    <w:p>
      <w:pPr>
        <w:tabs>
          <w:tab w:val="right" w:leader="dot" w:pos="9062"/>
        </w:tabs>
        <w:ind w:left="440"/>
      </w:pPr>
      <w:hyperlink w:anchor="_Toc2599" w:history="1">
        <w:r>
          <w:rPr>
            <w:rFonts w:ascii="IRNazanin" w:hAnsi="IRNazanin" w:eastAsia="IRNazanin" w:cs="IRNazanin"/>
            <w:color w:val="111111"/>
            <w:sz w:val="22"/>
            <w:szCs w:val="22"/>
            <w:b w:val="0"/>
            <w:bCs w:val="0"/>
            <w:i w:val="0"/>
            <w:iCs w:val="0"/>
          </w:rPr>
          <w:t>2018- دیوان ذوقی کاشانی‏</w:t>
        </w:r>
        <w:r>
          <w:tab/>
        </w:r>
        <w:r>
          <w:fldChar w:fldCharType="begin"/>
        </w:r>
        <w:r>
          <w:instrText xml:space="preserve">PAGEREF 2599 \h</w:instrText>
        </w:r>
        <w:r>
          <w:fldChar w:fldCharType="end"/>
        </w:r>
      </w:hyperlink>
    </w:p>
    <w:p>
      <w:pPr>
        <w:tabs>
          <w:tab w:val="right" w:leader="dot" w:pos="9062"/>
        </w:tabs>
        <w:ind w:left="440"/>
      </w:pPr>
      <w:hyperlink w:anchor="_Toc2600" w:history="1">
        <w:r>
          <w:rPr>
            <w:rFonts w:ascii="IRNazanin" w:hAnsi="IRNazanin" w:eastAsia="IRNazanin" w:cs="IRNazanin"/>
            <w:color w:val="111111"/>
            <w:sz w:val="22"/>
            <w:szCs w:val="22"/>
            <w:b w:val="0"/>
            <w:bCs w:val="0"/>
            <w:i w:val="0"/>
            <w:iCs w:val="0"/>
          </w:rPr>
          <w:t>2019- دیوان ذو النون قزوینی‏</w:t>
        </w:r>
        <w:r>
          <w:tab/>
        </w:r>
        <w:r>
          <w:fldChar w:fldCharType="begin"/>
        </w:r>
        <w:r>
          <w:instrText xml:space="preserve">PAGEREF 2600 \h</w:instrText>
        </w:r>
        <w:r>
          <w:fldChar w:fldCharType="end"/>
        </w:r>
      </w:hyperlink>
    </w:p>
    <w:p>
      <w:pPr>
        <w:tabs>
          <w:tab w:val="right" w:leader="dot" w:pos="9062"/>
        </w:tabs>
        <w:ind w:left="440"/>
      </w:pPr>
      <w:hyperlink w:anchor="_Toc2601" w:history="1">
        <w:r>
          <w:rPr>
            <w:rFonts w:ascii="IRNazanin" w:hAnsi="IRNazanin" w:eastAsia="IRNazanin" w:cs="IRNazanin"/>
            <w:color w:val="111111"/>
            <w:sz w:val="22"/>
            <w:szCs w:val="22"/>
            <w:b w:val="0"/>
            <w:bCs w:val="0"/>
            <w:i w:val="0"/>
            <w:iCs w:val="0"/>
          </w:rPr>
          <w:t>دیوان الذهبة</w:t>
        </w:r>
        <w:r>
          <w:tab/>
        </w:r>
        <w:r>
          <w:fldChar w:fldCharType="begin"/>
        </w:r>
        <w:r>
          <w:instrText xml:space="preserve">PAGEREF 2601 \h</w:instrText>
        </w:r>
        <w:r>
          <w:fldChar w:fldCharType="end"/>
        </w:r>
      </w:hyperlink>
    </w:p>
    <w:p>
      <w:pPr>
        <w:tabs>
          <w:tab w:val="right" w:leader="dot" w:pos="9062"/>
        </w:tabs>
        <w:ind w:left="440"/>
      </w:pPr>
      <w:hyperlink w:anchor="_Toc2602" w:history="1">
        <w:r>
          <w:rPr>
            <w:rFonts w:ascii="IRNazanin" w:hAnsi="IRNazanin" w:eastAsia="IRNazanin" w:cs="IRNazanin"/>
            <w:color w:val="111111"/>
            <w:sz w:val="22"/>
            <w:szCs w:val="22"/>
            <w:b w:val="0"/>
            <w:bCs w:val="0"/>
            <w:i w:val="0"/>
            <w:iCs w:val="0"/>
          </w:rPr>
          <w:t>دیوان الذهبی‏</w:t>
        </w:r>
        <w:r>
          <w:tab/>
        </w:r>
        <w:r>
          <w:fldChar w:fldCharType="begin"/>
        </w:r>
        <w:r>
          <w:instrText xml:space="preserve">PAGEREF 2602 \h</w:instrText>
        </w:r>
        <w:r>
          <w:fldChar w:fldCharType="end"/>
        </w:r>
      </w:hyperlink>
    </w:p>
    <w:p>
      <w:pPr>
        <w:tabs>
          <w:tab w:val="right" w:leader="dot" w:pos="9062"/>
        </w:tabs>
        <w:ind w:left="440"/>
      </w:pPr>
      <w:hyperlink w:anchor="_Toc2603" w:history="1">
        <w:r>
          <w:rPr>
            <w:rFonts w:ascii="IRNazanin" w:hAnsi="IRNazanin" w:eastAsia="IRNazanin" w:cs="IRNazanin"/>
            <w:color w:val="111111"/>
            <w:sz w:val="22"/>
            <w:szCs w:val="22"/>
            <w:b w:val="0"/>
            <w:bCs w:val="0"/>
            <w:i w:val="0"/>
            <w:iCs w:val="0"/>
          </w:rPr>
          <w:t>دیوان ذهبی شیرازی‏</w:t>
        </w:r>
        <w:r>
          <w:tab/>
        </w:r>
        <w:r>
          <w:fldChar w:fldCharType="begin"/>
        </w:r>
        <w:r>
          <w:instrText xml:space="preserve">PAGEREF 2603 \h</w:instrText>
        </w:r>
        <w:r>
          <w:fldChar w:fldCharType="end"/>
        </w:r>
      </w:hyperlink>
    </w:p>
    <w:p>
      <w:pPr>
        <w:tabs>
          <w:tab w:val="right" w:leader="dot" w:pos="9062"/>
        </w:tabs>
        <w:ind w:left="440"/>
      </w:pPr>
      <w:hyperlink w:anchor="_Toc2604" w:history="1">
        <w:r>
          <w:rPr>
            <w:rFonts w:ascii="IRNazanin" w:hAnsi="IRNazanin" w:eastAsia="IRNazanin" w:cs="IRNazanin"/>
            <w:color w:val="111111"/>
            <w:sz w:val="22"/>
            <w:szCs w:val="22"/>
            <w:b w:val="0"/>
            <w:bCs w:val="0"/>
            <w:i w:val="0"/>
            <w:iCs w:val="0"/>
          </w:rPr>
          <w:t>دیوان ذهبی کاشانی أو شعره‏</w:t>
        </w:r>
        <w:r>
          <w:tab/>
        </w:r>
        <w:r>
          <w:fldChar w:fldCharType="begin"/>
        </w:r>
        <w:r>
          <w:instrText xml:space="preserve">PAGEREF 2604 \h</w:instrText>
        </w:r>
        <w:r>
          <w:fldChar w:fldCharType="end"/>
        </w:r>
      </w:hyperlink>
    </w:p>
    <w:p>
      <w:pPr>
        <w:tabs>
          <w:tab w:val="right" w:leader="dot" w:pos="9062"/>
        </w:tabs>
        <w:ind w:left="440"/>
      </w:pPr>
      <w:hyperlink w:anchor="_Toc2605" w:history="1">
        <w:r>
          <w:rPr>
            <w:rFonts w:ascii="IRNazanin" w:hAnsi="IRNazanin" w:eastAsia="IRNazanin" w:cs="IRNazanin"/>
            <w:color w:val="111111"/>
            <w:sz w:val="22"/>
            <w:szCs w:val="22"/>
            <w:b w:val="0"/>
            <w:bCs w:val="0"/>
            <w:i w:val="0"/>
            <w:iCs w:val="0"/>
          </w:rPr>
          <w:t>2020- دیوان ذهنی بغدادی أو شعره‏</w:t>
        </w:r>
        <w:r>
          <w:tab/>
        </w:r>
        <w:r>
          <w:fldChar w:fldCharType="begin"/>
        </w:r>
        <w:r>
          <w:instrText xml:space="preserve">PAGEREF 2605 \h</w:instrText>
        </w:r>
        <w:r>
          <w:fldChar w:fldCharType="end"/>
        </w:r>
      </w:hyperlink>
    </w:p>
    <w:p>
      <w:pPr>
        <w:tabs>
          <w:tab w:val="right" w:leader="dot" w:pos="9062"/>
        </w:tabs>
        <w:ind w:left="440"/>
      </w:pPr>
      <w:hyperlink w:anchor="_Toc2606" w:history="1">
        <w:r>
          <w:rPr>
            <w:rFonts w:ascii="IRNazanin" w:hAnsi="IRNazanin" w:eastAsia="IRNazanin" w:cs="IRNazanin"/>
            <w:color w:val="111111"/>
            <w:sz w:val="22"/>
            <w:szCs w:val="22"/>
            <w:b w:val="0"/>
            <w:bCs w:val="0"/>
            <w:i w:val="0"/>
            <w:iCs w:val="0"/>
          </w:rPr>
          <w:t>2021- دیوان ذهنی تبریزی‏</w:t>
        </w:r>
        <w:r>
          <w:tab/>
        </w:r>
        <w:r>
          <w:fldChar w:fldCharType="begin"/>
        </w:r>
        <w:r>
          <w:instrText xml:space="preserve">PAGEREF 2606 \h</w:instrText>
        </w:r>
        <w:r>
          <w:fldChar w:fldCharType="end"/>
        </w:r>
      </w:hyperlink>
    </w:p>
    <w:p>
      <w:pPr>
        <w:tabs>
          <w:tab w:val="right" w:leader="dot" w:pos="9062"/>
        </w:tabs>
        <w:ind w:left="440"/>
      </w:pPr>
      <w:hyperlink w:anchor="_Toc2607" w:history="1">
        <w:r>
          <w:rPr>
            <w:rFonts w:ascii="IRNazanin" w:hAnsi="IRNazanin" w:eastAsia="IRNazanin" w:cs="IRNazanin"/>
            <w:color w:val="111111"/>
            <w:sz w:val="22"/>
            <w:szCs w:val="22"/>
            <w:b w:val="0"/>
            <w:bCs w:val="0"/>
            <w:i w:val="0"/>
            <w:iCs w:val="0"/>
          </w:rPr>
          <w:t>2022- دیوان ذهنی تبریزی‏</w:t>
        </w:r>
        <w:r>
          <w:tab/>
        </w:r>
        <w:r>
          <w:fldChar w:fldCharType="begin"/>
        </w:r>
        <w:r>
          <w:instrText xml:space="preserve">PAGEREF 2607 \h</w:instrText>
        </w:r>
        <w:r>
          <w:fldChar w:fldCharType="end"/>
        </w:r>
      </w:hyperlink>
    </w:p>
    <w:p>
      <w:pPr>
        <w:tabs>
          <w:tab w:val="right" w:leader="dot" w:pos="9062"/>
        </w:tabs>
        <w:ind w:left="440"/>
      </w:pPr>
      <w:hyperlink w:anchor="_Toc2608" w:history="1">
        <w:r>
          <w:rPr>
            <w:rFonts w:ascii="IRNazanin" w:hAnsi="IRNazanin" w:eastAsia="IRNazanin" w:cs="IRNazanin"/>
            <w:color w:val="111111"/>
            <w:sz w:val="22"/>
            <w:szCs w:val="22"/>
            <w:b w:val="0"/>
            <w:bCs w:val="0"/>
            <w:i w:val="0"/>
            <w:iCs w:val="0"/>
          </w:rPr>
          <w:t>2023- دیوان ملا ذهنی کابلی أو شعره‏</w:t>
        </w:r>
        <w:r>
          <w:tab/>
        </w:r>
        <w:r>
          <w:fldChar w:fldCharType="begin"/>
        </w:r>
        <w:r>
          <w:instrText xml:space="preserve">PAGEREF 2608 \h</w:instrText>
        </w:r>
        <w:r>
          <w:fldChar w:fldCharType="end"/>
        </w:r>
      </w:hyperlink>
    </w:p>
    <w:p>
      <w:pPr>
        <w:tabs>
          <w:tab w:val="right" w:leader="dot" w:pos="9062"/>
        </w:tabs>
        <w:ind w:left="440"/>
      </w:pPr>
      <w:hyperlink w:anchor="_Toc2609" w:history="1">
        <w:r>
          <w:rPr>
            <w:rFonts w:ascii="IRNazanin" w:hAnsi="IRNazanin" w:eastAsia="IRNazanin" w:cs="IRNazanin"/>
            <w:color w:val="111111"/>
            <w:sz w:val="22"/>
            <w:szCs w:val="22"/>
            <w:b w:val="0"/>
            <w:bCs w:val="0"/>
            <w:i w:val="0"/>
            <w:iCs w:val="0"/>
          </w:rPr>
          <w:t>2024- دیوان ذهنی کاشانی أو شعره‏</w:t>
        </w:r>
        <w:r>
          <w:tab/>
        </w:r>
        <w:r>
          <w:fldChar w:fldCharType="begin"/>
        </w:r>
        <w:r>
          <w:instrText xml:space="preserve">PAGEREF 2609 \h</w:instrText>
        </w:r>
        <w:r>
          <w:fldChar w:fldCharType="end"/>
        </w:r>
      </w:hyperlink>
    </w:p>
    <w:p>
      <w:pPr>
        <w:tabs>
          <w:tab w:val="right" w:leader="dot" w:pos="9062"/>
        </w:tabs>
        <w:ind w:left="440"/>
      </w:pPr>
      <w:hyperlink w:anchor="_Toc2610" w:history="1">
        <w:r>
          <w:rPr>
            <w:rFonts w:ascii="IRNazanin" w:hAnsi="IRNazanin" w:eastAsia="IRNazanin" w:cs="IRNazanin"/>
            <w:color w:val="111111"/>
            <w:sz w:val="22"/>
            <w:szCs w:val="22"/>
            <w:b w:val="0"/>
            <w:bCs w:val="0"/>
            <w:i w:val="0"/>
            <w:iCs w:val="0"/>
          </w:rPr>
          <w:t>2025- دیوان ذهنی کشمیری‏</w:t>
        </w:r>
        <w:r>
          <w:tab/>
        </w:r>
        <w:r>
          <w:fldChar w:fldCharType="begin"/>
        </w:r>
        <w:r>
          <w:instrText xml:space="preserve">PAGEREF 2610 \h</w:instrText>
        </w:r>
        <w:r>
          <w:fldChar w:fldCharType="end"/>
        </w:r>
      </w:hyperlink>
    </w:p>
    <w:p>
      <w:pPr>
        <w:tabs>
          <w:tab w:val="right" w:leader="dot" w:pos="9062"/>
        </w:tabs>
        <w:ind w:left="440"/>
      </w:pPr>
      <w:hyperlink w:anchor="_Toc2611" w:history="1">
        <w:r>
          <w:rPr>
            <w:rFonts w:ascii="IRNazanin" w:hAnsi="IRNazanin" w:eastAsia="IRNazanin" w:cs="IRNazanin"/>
            <w:color w:val="111111"/>
            <w:sz w:val="22"/>
            <w:szCs w:val="22"/>
            <w:b w:val="0"/>
            <w:bCs w:val="0"/>
            <w:i w:val="0"/>
            <w:iCs w:val="0"/>
          </w:rPr>
          <w:t>2026- دیوان ذهنی یزدی أو شعره‏</w:t>
        </w:r>
        <w:r>
          <w:tab/>
        </w:r>
        <w:r>
          <w:fldChar w:fldCharType="begin"/>
        </w:r>
        <w:r>
          <w:instrText xml:space="preserve">PAGEREF 2611 \h</w:instrText>
        </w:r>
        <w:r>
          <w:fldChar w:fldCharType="end"/>
        </w:r>
      </w:hyperlink>
    </w:p>
    <w:p>
      <w:pPr>
        <w:tabs>
          <w:tab w:val="right" w:leader="dot" w:pos="9062"/>
        </w:tabs>
        <w:ind w:left="440"/>
      </w:pPr>
      <w:hyperlink w:anchor="_Toc2612" w:history="1">
        <w:r>
          <w:rPr>
            <w:rFonts w:ascii="IRNazanin" w:hAnsi="IRNazanin" w:eastAsia="IRNazanin" w:cs="IRNazanin"/>
            <w:color w:val="111111"/>
            <w:sz w:val="22"/>
            <w:szCs w:val="22"/>
            <w:b w:val="0"/>
            <w:bCs w:val="0"/>
            <w:i w:val="0"/>
            <w:iCs w:val="0"/>
          </w:rPr>
          <w:t>2027- دیوان ذی الرمة</w:t>
        </w:r>
        <w:r>
          <w:tab/>
        </w:r>
        <w:r>
          <w:fldChar w:fldCharType="begin"/>
        </w:r>
        <w:r>
          <w:instrText xml:space="preserve">PAGEREF 2612 \h</w:instrText>
        </w:r>
        <w:r>
          <w:fldChar w:fldCharType="end"/>
        </w:r>
      </w:hyperlink>
    </w:p>
    <w:p>
      <w:pPr>
        <w:tabs>
          <w:tab w:val="right" w:leader="dot" w:pos="9062"/>
        </w:tabs>
        <w:ind w:left="440"/>
      </w:pPr>
      <w:hyperlink w:anchor="_Toc2613" w:history="1">
        <w:r>
          <w:rPr>
            <w:rFonts w:ascii="IRNazanin" w:hAnsi="IRNazanin" w:eastAsia="IRNazanin" w:cs="IRNazanin"/>
            <w:color w:val="111111"/>
            <w:sz w:val="22"/>
            <w:szCs w:val="22"/>
            <w:b w:val="0"/>
            <w:bCs w:val="0"/>
            <w:i w:val="0"/>
            <w:iCs w:val="0"/>
          </w:rPr>
          <w:t>دیوان ذی اللسانین‏</w:t>
        </w:r>
        <w:r>
          <w:tab/>
        </w:r>
        <w:r>
          <w:fldChar w:fldCharType="begin"/>
        </w:r>
        <w:r>
          <w:instrText xml:space="preserve">PAGEREF 2613 \h</w:instrText>
        </w:r>
        <w:r>
          <w:fldChar w:fldCharType="end"/>
        </w:r>
      </w:hyperlink>
    </w:p>
    <w:p>
      <w:pPr>
        <w:tabs>
          <w:tab w:val="right" w:leader="dot" w:pos="9062"/>
        </w:tabs>
        <w:ind w:left="440"/>
      </w:pPr>
      <w:hyperlink w:anchor="_Toc2614" w:history="1">
        <w:r>
          <w:rPr>
            <w:rFonts w:ascii="IRNazanin" w:hAnsi="IRNazanin" w:eastAsia="IRNazanin" w:cs="IRNazanin"/>
            <w:color w:val="111111"/>
            <w:sz w:val="22"/>
            <w:szCs w:val="22"/>
            <w:b w:val="0"/>
            <w:bCs w:val="0"/>
            <w:i w:val="0"/>
            <w:iCs w:val="0"/>
          </w:rPr>
          <w:t>ر</w:t>
        </w:r>
        <w:r>
          <w:tab/>
        </w:r>
        <w:r>
          <w:fldChar w:fldCharType="begin"/>
        </w:r>
        <w:r>
          <w:instrText xml:space="preserve">PAGEREF 2614 \h</w:instrText>
        </w:r>
        <w:r>
          <w:fldChar w:fldCharType="end"/>
        </w:r>
      </w:hyperlink>
    </w:p>
    <w:p>
      <w:pPr>
        <w:tabs>
          <w:tab w:val="right" w:leader="dot" w:pos="9062"/>
        </w:tabs>
        <w:ind w:left="440"/>
      </w:pPr>
      <w:hyperlink w:anchor="_Toc2615" w:history="1">
        <w:r>
          <w:rPr>
            <w:rFonts w:ascii="IRNazanin" w:hAnsi="IRNazanin" w:eastAsia="IRNazanin" w:cs="IRNazanin"/>
            <w:color w:val="111111"/>
            <w:sz w:val="22"/>
            <w:szCs w:val="22"/>
            <w:b w:val="0"/>
            <w:bCs w:val="0"/>
            <w:i w:val="0"/>
            <w:iCs w:val="0"/>
          </w:rPr>
          <w:t>دیوان رائج‏</w:t>
        </w:r>
        <w:r>
          <w:tab/>
        </w:r>
        <w:r>
          <w:fldChar w:fldCharType="begin"/>
        </w:r>
        <w:r>
          <w:instrText xml:space="preserve">PAGEREF 2615 \h</w:instrText>
        </w:r>
        <w:r>
          <w:fldChar w:fldCharType="end"/>
        </w:r>
      </w:hyperlink>
    </w:p>
    <w:p>
      <w:pPr>
        <w:tabs>
          <w:tab w:val="right" w:leader="dot" w:pos="9062"/>
        </w:tabs>
        <w:ind w:left="440"/>
      </w:pPr>
      <w:hyperlink w:anchor="_Toc2616" w:history="1">
        <w:r>
          <w:rPr>
            <w:rFonts w:ascii="IRNazanin" w:hAnsi="IRNazanin" w:eastAsia="IRNazanin" w:cs="IRNazanin"/>
            <w:color w:val="111111"/>
            <w:sz w:val="22"/>
            <w:szCs w:val="22"/>
            <w:b w:val="0"/>
            <w:bCs w:val="0"/>
            <w:i w:val="0"/>
            <w:iCs w:val="0"/>
          </w:rPr>
          <w:t>2028- دیوان رابط أردبیلی أو شعره‏</w:t>
        </w:r>
        <w:r>
          <w:tab/>
        </w:r>
        <w:r>
          <w:fldChar w:fldCharType="begin"/>
        </w:r>
        <w:r>
          <w:instrText xml:space="preserve">PAGEREF 2616 \h</w:instrText>
        </w:r>
        <w:r>
          <w:fldChar w:fldCharType="end"/>
        </w:r>
      </w:hyperlink>
    </w:p>
    <w:p>
      <w:pPr>
        <w:tabs>
          <w:tab w:val="right" w:leader="dot" w:pos="9062"/>
        </w:tabs>
        <w:ind w:left="440"/>
      </w:pPr>
      <w:hyperlink w:anchor="_Toc2617" w:history="1">
        <w:r>
          <w:rPr>
            <w:rFonts w:ascii="IRNazanin" w:hAnsi="IRNazanin" w:eastAsia="IRNazanin" w:cs="IRNazanin"/>
            <w:color w:val="111111"/>
            <w:sz w:val="22"/>
            <w:szCs w:val="22"/>
            <w:b w:val="0"/>
            <w:bCs w:val="0"/>
            <w:i w:val="0"/>
            <w:iCs w:val="0"/>
          </w:rPr>
          <w:t>2029- دیوان رابط أصفهانی أو شعره‏</w:t>
        </w:r>
        <w:r>
          <w:tab/>
        </w:r>
        <w:r>
          <w:fldChar w:fldCharType="begin"/>
        </w:r>
        <w:r>
          <w:instrText xml:space="preserve">PAGEREF 2617 \h</w:instrText>
        </w:r>
        <w:r>
          <w:fldChar w:fldCharType="end"/>
        </w:r>
      </w:hyperlink>
    </w:p>
    <w:p>
      <w:pPr>
        <w:tabs>
          <w:tab w:val="right" w:leader="dot" w:pos="9062"/>
        </w:tabs>
        <w:ind w:left="440"/>
      </w:pPr>
      <w:hyperlink w:anchor="_Toc2618" w:history="1">
        <w:r>
          <w:rPr>
            <w:rFonts w:ascii="IRNazanin" w:hAnsi="IRNazanin" w:eastAsia="IRNazanin" w:cs="IRNazanin"/>
            <w:color w:val="111111"/>
            <w:sz w:val="22"/>
            <w:szCs w:val="22"/>
            <w:b w:val="0"/>
            <w:bCs w:val="0"/>
            <w:i w:val="0"/>
            <w:iCs w:val="0"/>
          </w:rPr>
          <w:t>2030- دیوان رابعة بنت کعب البلخی أو شعرها</w:t>
        </w:r>
        <w:r>
          <w:tab/>
        </w:r>
        <w:r>
          <w:fldChar w:fldCharType="begin"/>
        </w:r>
        <w:r>
          <w:instrText xml:space="preserve">PAGEREF 2618 \h</w:instrText>
        </w:r>
        <w:r>
          <w:fldChar w:fldCharType="end"/>
        </w:r>
      </w:hyperlink>
    </w:p>
    <w:p>
      <w:pPr>
        <w:tabs>
          <w:tab w:val="right" w:leader="dot" w:pos="9062"/>
        </w:tabs>
        <w:ind w:left="440"/>
      </w:pPr>
      <w:hyperlink w:anchor="_Toc2619" w:history="1">
        <w:r>
          <w:rPr>
            <w:rFonts w:ascii="IRNazanin" w:hAnsi="IRNazanin" w:eastAsia="IRNazanin" w:cs="IRNazanin"/>
            <w:color w:val="111111"/>
            <w:sz w:val="22"/>
            <w:szCs w:val="22"/>
            <w:b w:val="0"/>
            <w:bCs w:val="0"/>
            <w:i w:val="0"/>
            <w:iCs w:val="0"/>
          </w:rPr>
          <w:t>2031- دیوان رابعة الشامیة أو شعرها</w:t>
        </w:r>
        <w:r>
          <w:tab/>
        </w:r>
        <w:r>
          <w:fldChar w:fldCharType="begin"/>
        </w:r>
        <w:r>
          <w:instrText xml:space="preserve">PAGEREF 2619 \h</w:instrText>
        </w:r>
        <w:r>
          <w:fldChar w:fldCharType="end"/>
        </w:r>
      </w:hyperlink>
    </w:p>
    <w:p>
      <w:pPr>
        <w:tabs>
          <w:tab w:val="right" w:leader="dot" w:pos="9062"/>
        </w:tabs>
        <w:ind w:left="440"/>
      </w:pPr>
      <w:hyperlink w:anchor="_Toc2620" w:history="1">
        <w:r>
          <w:rPr>
            <w:rFonts w:ascii="IRNazanin" w:hAnsi="IRNazanin" w:eastAsia="IRNazanin" w:cs="IRNazanin"/>
            <w:color w:val="111111"/>
            <w:sz w:val="22"/>
            <w:szCs w:val="22"/>
            <w:b w:val="0"/>
            <w:bCs w:val="0"/>
            <w:i w:val="0"/>
            <w:iCs w:val="0"/>
          </w:rPr>
          <w:t>2032- دیوان رابعة العدویة</w:t>
        </w:r>
        <w:r>
          <w:tab/>
        </w:r>
        <w:r>
          <w:fldChar w:fldCharType="begin"/>
        </w:r>
        <w:r>
          <w:instrText xml:space="preserve">PAGEREF 2620 \h</w:instrText>
        </w:r>
        <w:r>
          <w:fldChar w:fldCharType="end"/>
        </w:r>
      </w:hyperlink>
    </w:p>
    <w:p>
      <w:pPr>
        <w:tabs>
          <w:tab w:val="right" w:leader="dot" w:pos="9062"/>
        </w:tabs>
        <w:ind w:left="440"/>
      </w:pPr>
      <w:hyperlink w:anchor="_Toc2621" w:history="1">
        <w:r>
          <w:rPr>
            <w:rFonts w:ascii="IRNazanin" w:hAnsi="IRNazanin" w:eastAsia="IRNazanin" w:cs="IRNazanin"/>
            <w:color w:val="111111"/>
            <w:sz w:val="22"/>
            <w:szCs w:val="22"/>
            <w:b w:val="0"/>
            <w:bCs w:val="0"/>
            <w:i w:val="0"/>
            <w:iCs w:val="0"/>
          </w:rPr>
          <w:t>2033- دیوان راجه‏</w:t>
        </w:r>
        <w:r>
          <w:tab/>
        </w:r>
        <w:r>
          <w:fldChar w:fldCharType="begin"/>
        </w:r>
        <w:r>
          <w:instrText xml:space="preserve">PAGEREF 2621 \h</w:instrText>
        </w:r>
        <w:r>
          <w:fldChar w:fldCharType="end"/>
        </w:r>
      </w:hyperlink>
    </w:p>
    <w:p>
      <w:pPr>
        <w:tabs>
          <w:tab w:val="right" w:leader="dot" w:pos="9062"/>
        </w:tabs>
        <w:ind w:left="440"/>
      </w:pPr>
      <w:hyperlink w:anchor="_Toc2622" w:history="1">
        <w:r>
          <w:rPr>
            <w:rFonts w:ascii="IRNazanin" w:hAnsi="IRNazanin" w:eastAsia="IRNazanin" w:cs="IRNazanin"/>
            <w:color w:val="111111"/>
            <w:sz w:val="22"/>
            <w:szCs w:val="22"/>
            <w:b w:val="0"/>
            <w:bCs w:val="0"/>
            <w:i w:val="0"/>
            <w:iCs w:val="0"/>
          </w:rPr>
          <w:t>2034- دیوان راجی تبریزی‏</w:t>
        </w:r>
        <w:r>
          <w:tab/>
        </w:r>
        <w:r>
          <w:fldChar w:fldCharType="begin"/>
        </w:r>
        <w:r>
          <w:instrText xml:space="preserve">PAGEREF 2622 \h</w:instrText>
        </w:r>
        <w:r>
          <w:fldChar w:fldCharType="end"/>
        </w:r>
      </w:hyperlink>
    </w:p>
    <w:p>
      <w:pPr>
        <w:tabs>
          <w:tab w:val="right" w:leader="dot" w:pos="9062"/>
        </w:tabs>
        <w:ind w:left="440"/>
      </w:pPr>
      <w:hyperlink w:anchor="_Toc2623" w:history="1">
        <w:r>
          <w:rPr>
            <w:rFonts w:ascii="IRNazanin" w:hAnsi="IRNazanin" w:eastAsia="IRNazanin" w:cs="IRNazanin"/>
            <w:color w:val="111111"/>
            <w:sz w:val="22"/>
            <w:szCs w:val="22"/>
            <w:b w:val="0"/>
            <w:bCs w:val="0"/>
            <w:i w:val="0"/>
            <w:iCs w:val="0"/>
          </w:rPr>
          <w:t>2035- دیوان راجی سدهی‏</w:t>
        </w:r>
        <w:r>
          <w:tab/>
        </w:r>
        <w:r>
          <w:fldChar w:fldCharType="begin"/>
        </w:r>
        <w:r>
          <w:instrText xml:space="preserve">PAGEREF 2623 \h</w:instrText>
        </w:r>
        <w:r>
          <w:fldChar w:fldCharType="end"/>
        </w:r>
      </w:hyperlink>
    </w:p>
    <w:p>
      <w:pPr>
        <w:tabs>
          <w:tab w:val="right" w:leader="dot" w:pos="9062"/>
        </w:tabs>
        <w:ind w:left="440"/>
      </w:pPr>
      <w:hyperlink w:anchor="_Toc2624" w:history="1">
        <w:r>
          <w:rPr>
            <w:rFonts w:ascii="IRNazanin" w:hAnsi="IRNazanin" w:eastAsia="IRNazanin" w:cs="IRNazanin"/>
            <w:color w:val="111111"/>
            <w:sz w:val="22"/>
            <w:szCs w:val="22"/>
            <w:b w:val="0"/>
            <w:bCs w:val="0"/>
            <w:i w:val="0"/>
            <w:iCs w:val="0"/>
          </w:rPr>
          <w:t>2036- دیوان راجی کرمانی‏</w:t>
        </w:r>
        <w:r>
          <w:tab/>
        </w:r>
        <w:r>
          <w:fldChar w:fldCharType="begin"/>
        </w:r>
        <w:r>
          <w:instrText xml:space="preserve">PAGEREF 2624 \h</w:instrText>
        </w:r>
        <w:r>
          <w:fldChar w:fldCharType="end"/>
        </w:r>
      </w:hyperlink>
    </w:p>
    <w:p>
      <w:pPr>
        <w:tabs>
          <w:tab w:val="right" w:leader="dot" w:pos="9062"/>
        </w:tabs>
        <w:ind w:left="440"/>
      </w:pPr>
      <w:hyperlink w:anchor="_Toc2625" w:history="1">
        <w:r>
          <w:rPr>
            <w:rFonts w:ascii="IRNazanin" w:hAnsi="IRNazanin" w:eastAsia="IRNazanin" w:cs="IRNazanin"/>
            <w:color w:val="111111"/>
            <w:sz w:val="22"/>
            <w:szCs w:val="22"/>
            <w:b w:val="0"/>
            <w:bCs w:val="0"/>
            <w:i w:val="0"/>
            <w:iCs w:val="0"/>
          </w:rPr>
          <w:t>2037- دیوان راز أصفهانی‏</w:t>
        </w:r>
        <w:r>
          <w:tab/>
        </w:r>
        <w:r>
          <w:fldChar w:fldCharType="begin"/>
        </w:r>
        <w:r>
          <w:instrText xml:space="preserve">PAGEREF 2625 \h</w:instrText>
        </w:r>
        <w:r>
          <w:fldChar w:fldCharType="end"/>
        </w:r>
      </w:hyperlink>
    </w:p>
    <w:p>
      <w:pPr>
        <w:tabs>
          <w:tab w:val="right" w:leader="dot" w:pos="9062"/>
        </w:tabs>
        <w:ind w:left="440"/>
      </w:pPr>
      <w:hyperlink w:anchor="_Toc2626" w:history="1">
        <w:r>
          <w:rPr>
            <w:rFonts w:ascii="IRNazanin" w:hAnsi="IRNazanin" w:eastAsia="IRNazanin" w:cs="IRNazanin"/>
            <w:color w:val="111111"/>
            <w:sz w:val="22"/>
            <w:szCs w:val="22"/>
            <w:b w:val="0"/>
            <w:bCs w:val="0"/>
            <w:i w:val="0"/>
            <w:iCs w:val="0"/>
          </w:rPr>
          <w:t>2038- دیوان راز شیرازی ذهبی‏</w:t>
        </w:r>
        <w:r>
          <w:tab/>
        </w:r>
        <w:r>
          <w:fldChar w:fldCharType="begin"/>
        </w:r>
        <w:r>
          <w:instrText xml:space="preserve">PAGEREF 2626 \h</w:instrText>
        </w:r>
        <w:r>
          <w:fldChar w:fldCharType="end"/>
        </w:r>
      </w:hyperlink>
    </w:p>
    <w:p>
      <w:pPr>
        <w:tabs>
          <w:tab w:val="right" w:leader="dot" w:pos="9062"/>
        </w:tabs>
        <w:ind w:left="440"/>
      </w:pPr>
      <w:hyperlink w:anchor="_Toc2627" w:history="1">
        <w:r>
          <w:rPr>
            <w:rFonts w:ascii="IRNazanin" w:hAnsi="IRNazanin" w:eastAsia="IRNazanin" w:cs="IRNazanin"/>
            <w:color w:val="111111"/>
            <w:sz w:val="22"/>
            <w:szCs w:val="22"/>
            <w:b w:val="0"/>
            <w:bCs w:val="0"/>
            <w:i w:val="0"/>
            <w:iCs w:val="0"/>
          </w:rPr>
          <w:t>دیوان رازی‏</w:t>
        </w:r>
        <w:r>
          <w:tab/>
        </w:r>
        <w:r>
          <w:fldChar w:fldCharType="begin"/>
        </w:r>
        <w:r>
          <w:instrText xml:space="preserve">PAGEREF 2627 \h</w:instrText>
        </w:r>
        <w:r>
          <w:fldChar w:fldCharType="end"/>
        </w:r>
      </w:hyperlink>
    </w:p>
    <w:p>
      <w:pPr>
        <w:tabs>
          <w:tab w:val="right" w:leader="dot" w:pos="9062"/>
        </w:tabs>
        <w:ind w:left="440"/>
      </w:pPr>
      <w:hyperlink w:anchor="_Toc2628" w:history="1">
        <w:r>
          <w:rPr>
            <w:rFonts w:ascii="IRNazanin" w:hAnsi="IRNazanin" w:eastAsia="IRNazanin" w:cs="IRNazanin"/>
            <w:color w:val="111111"/>
            <w:sz w:val="22"/>
            <w:szCs w:val="22"/>
            <w:b w:val="0"/>
            <w:bCs w:val="0"/>
            <w:i w:val="0"/>
            <w:iCs w:val="0"/>
          </w:rPr>
          <w:t>2039- دیوان رازی أصفهانی أو شعره‏</w:t>
        </w:r>
        <w:r>
          <w:tab/>
        </w:r>
        <w:r>
          <w:fldChar w:fldCharType="begin"/>
        </w:r>
        <w:r>
          <w:instrText xml:space="preserve">PAGEREF 2628 \h</w:instrText>
        </w:r>
        <w:r>
          <w:fldChar w:fldCharType="end"/>
        </w:r>
      </w:hyperlink>
    </w:p>
    <w:p>
      <w:pPr>
        <w:tabs>
          <w:tab w:val="right" w:leader="dot" w:pos="9062"/>
        </w:tabs>
        <w:ind w:left="440"/>
      </w:pPr>
      <w:hyperlink w:anchor="_Toc2629" w:history="1">
        <w:r>
          <w:rPr>
            <w:rFonts w:ascii="IRNazanin" w:hAnsi="IRNazanin" w:eastAsia="IRNazanin" w:cs="IRNazanin"/>
            <w:color w:val="111111"/>
            <w:sz w:val="22"/>
            <w:szCs w:val="22"/>
            <w:b w:val="0"/>
            <w:bCs w:val="0"/>
            <w:i w:val="0"/>
            <w:iCs w:val="0"/>
          </w:rPr>
          <w:t>2040- دیوان رازی بغدادی أو شعره‏</w:t>
        </w:r>
        <w:r>
          <w:tab/>
        </w:r>
        <w:r>
          <w:fldChar w:fldCharType="begin"/>
        </w:r>
        <w:r>
          <w:instrText xml:space="preserve">PAGEREF 2629 \h</w:instrText>
        </w:r>
        <w:r>
          <w:fldChar w:fldCharType="end"/>
        </w:r>
      </w:hyperlink>
    </w:p>
    <w:p>
      <w:pPr>
        <w:tabs>
          <w:tab w:val="right" w:leader="dot" w:pos="9062"/>
        </w:tabs>
        <w:ind w:left="440"/>
      </w:pPr>
      <w:hyperlink w:anchor="_Toc2630" w:history="1">
        <w:r>
          <w:rPr>
            <w:rFonts w:ascii="IRNazanin" w:hAnsi="IRNazanin" w:eastAsia="IRNazanin" w:cs="IRNazanin"/>
            <w:color w:val="111111"/>
            <w:sz w:val="22"/>
            <w:szCs w:val="22"/>
            <w:b w:val="0"/>
            <w:bCs w:val="0"/>
            <w:i w:val="0"/>
            <w:iCs w:val="0"/>
          </w:rPr>
          <w:t>دیوان رازی تبریزی‏</w:t>
        </w:r>
        <w:r>
          <w:tab/>
        </w:r>
        <w:r>
          <w:fldChar w:fldCharType="begin"/>
        </w:r>
        <w:r>
          <w:instrText xml:space="preserve">PAGEREF 2630 \h</w:instrText>
        </w:r>
        <w:r>
          <w:fldChar w:fldCharType="end"/>
        </w:r>
      </w:hyperlink>
    </w:p>
    <w:p>
      <w:pPr>
        <w:tabs>
          <w:tab w:val="right" w:leader="dot" w:pos="9062"/>
        </w:tabs>
        <w:ind w:left="440"/>
      </w:pPr>
      <w:hyperlink w:anchor="_Toc2631" w:history="1">
        <w:r>
          <w:rPr>
            <w:rFonts w:ascii="IRNazanin" w:hAnsi="IRNazanin" w:eastAsia="IRNazanin" w:cs="IRNazanin"/>
            <w:color w:val="111111"/>
            <w:sz w:val="22"/>
            <w:szCs w:val="22"/>
            <w:b w:val="0"/>
            <w:bCs w:val="0"/>
            <w:i w:val="0"/>
            <w:iCs w:val="0"/>
          </w:rPr>
          <w:t>2041- دیوان رازی سبزواری أو شعره‏</w:t>
        </w:r>
        <w:r>
          <w:tab/>
        </w:r>
        <w:r>
          <w:fldChar w:fldCharType="begin"/>
        </w:r>
        <w:r>
          <w:instrText xml:space="preserve">PAGEREF 2631 \h</w:instrText>
        </w:r>
        <w:r>
          <w:fldChar w:fldCharType="end"/>
        </w:r>
      </w:hyperlink>
    </w:p>
    <w:p>
      <w:pPr>
        <w:tabs>
          <w:tab w:val="right" w:leader="dot" w:pos="9062"/>
        </w:tabs>
        <w:ind w:left="440"/>
      </w:pPr>
      <w:hyperlink w:anchor="_Toc2632" w:history="1">
        <w:r>
          <w:rPr>
            <w:rFonts w:ascii="IRNazanin" w:hAnsi="IRNazanin" w:eastAsia="IRNazanin" w:cs="IRNazanin"/>
            <w:color w:val="111111"/>
            <w:sz w:val="22"/>
            <w:szCs w:val="22"/>
            <w:b w:val="0"/>
            <w:bCs w:val="0"/>
            <w:i w:val="0"/>
            <w:iCs w:val="0"/>
          </w:rPr>
          <w:t>2042- دیوان رازی شوشتری‏</w:t>
        </w:r>
        <w:r>
          <w:tab/>
        </w:r>
        <w:r>
          <w:fldChar w:fldCharType="begin"/>
        </w:r>
        <w:r>
          <w:instrText xml:space="preserve">PAGEREF 2632 \h</w:instrText>
        </w:r>
        <w:r>
          <w:fldChar w:fldCharType="end"/>
        </w:r>
      </w:hyperlink>
    </w:p>
    <w:p>
      <w:pPr>
        <w:tabs>
          <w:tab w:val="right" w:leader="dot" w:pos="9062"/>
        </w:tabs>
        <w:ind w:left="440"/>
      </w:pPr>
      <w:hyperlink w:anchor="_Toc2633" w:history="1">
        <w:r>
          <w:rPr>
            <w:rFonts w:ascii="IRNazanin" w:hAnsi="IRNazanin" w:eastAsia="IRNazanin" w:cs="IRNazanin"/>
            <w:color w:val="111111"/>
            <w:sz w:val="22"/>
            <w:szCs w:val="22"/>
            <w:b w:val="0"/>
            <w:bCs w:val="0"/>
            <w:i w:val="0"/>
            <w:iCs w:val="0"/>
          </w:rPr>
          <w:t>2043- دیوان رازی هندی‏</w:t>
        </w:r>
        <w:r>
          <w:tab/>
        </w:r>
        <w:r>
          <w:fldChar w:fldCharType="begin"/>
        </w:r>
        <w:r>
          <w:instrText xml:space="preserve">PAGEREF 2633 \h</w:instrText>
        </w:r>
        <w:r>
          <w:fldChar w:fldCharType="end"/>
        </w:r>
      </w:hyperlink>
    </w:p>
    <w:p>
      <w:pPr>
        <w:tabs>
          <w:tab w:val="right" w:leader="dot" w:pos="9062"/>
        </w:tabs>
        <w:ind w:left="440"/>
      </w:pPr>
      <w:hyperlink w:anchor="_Toc2634" w:history="1">
        <w:r>
          <w:rPr>
            <w:rFonts w:ascii="IRNazanin" w:hAnsi="IRNazanin" w:eastAsia="IRNazanin" w:cs="IRNazanin"/>
            <w:color w:val="111111"/>
            <w:sz w:val="22"/>
            <w:szCs w:val="22"/>
            <w:b w:val="0"/>
            <w:bCs w:val="0"/>
            <w:i w:val="0"/>
            <w:iCs w:val="0"/>
          </w:rPr>
          <w:t>2044- دیوان راستی تبریزی أو شعره‏</w:t>
        </w:r>
        <w:r>
          <w:tab/>
        </w:r>
        <w:r>
          <w:fldChar w:fldCharType="begin"/>
        </w:r>
        <w:r>
          <w:instrText xml:space="preserve">PAGEREF 2634 \h</w:instrText>
        </w:r>
        <w:r>
          <w:fldChar w:fldCharType="end"/>
        </w:r>
      </w:hyperlink>
    </w:p>
    <w:p>
      <w:pPr>
        <w:tabs>
          <w:tab w:val="right" w:leader="dot" w:pos="9062"/>
        </w:tabs>
        <w:ind w:left="440"/>
      </w:pPr>
      <w:hyperlink w:anchor="_Toc2635" w:history="1">
        <w:r>
          <w:rPr>
            <w:rFonts w:ascii="IRNazanin" w:hAnsi="IRNazanin" w:eastAsia="IRNazanin" w:cs="IRNazanin"/>
            <w:color w:val="111111"/>
            <w:sz w:val="22"/>
            <w:szCs w:val="22"/>
            <w:b w:val="0"/>
            <w:bCs w:val="0"/>
            <w:i w:val="0"/>
            <w:iCs w:val="0"/>
          </w:rPr>
          <w:t>2045- دیوان راسخ سرهندی‏</w:t>
        </w:r>
        <w:r>
          <w:tab/>
        </w:r>
        <w:r>
          <w:fldChar w:fldCharType="begin"/>
        </w:r>
        <w:r>
          <w:instrText xml:space="preserve">PAGEREF 2635 \h</w:instrText>
        </w:r>
        <w:r>
          <w:fldChar w:fldCharType="end"/>
        </w:r>
      </w:hyperlink>
    </w:p>
    <w:p>
      <w:pPr>
        <w:tabs>
          <w:tab w:val="right" w:leader="dot" w:pos="9062"/>
        </w:tabs>
        <w:ind w:left="440"/>
      </w:pPr>
      <w:hyperlink w:anchor="_Toc2636" w:history="1">
        <w:r>
          <w:rPr>
            <w:rFonts w:ascii="IRNazanin" w:hAnsi="IRNazanin" w:eastAsia="IRNazanin" w:cs="IRNazanin"/>
            <w:color w:val="111111"/>
            <w:sz w:val="22"/>
            <w:szCs w:val="22"/>
            <w:b w:val="0"/>
            <w:bCs w:val="0"/>
            <w:i w:val="0"/>
            <w:iCs w:val="0"/>
          </w:rPr>
          <w:t>2046- دیوان راشد دهلوی أو شعره‏</w:t>
        </w:r>
        <w:r>
          <w:tab/>
        </w:r>
        <w:r>
          <w:fldChar w:fldCharType="begin"/>
        </w:r>
        <w:r>
          <w:instrText xml:space="preserve">PAGEREF 2636 \h</w:instrText>
        </w:r>
        <w:r>
          <w:fldChar w:fldCharType="end"/>
        </w:r>
      </w:hyperlink>
    </w:p>
    <w:p>
      <w:pPr>
        <w:tabs>
          <w:tab w:val="right" w:leader="dot" w:pos="9062"/>
        </w:tabs>
        <w:ind w:left="440"/>
      </w:pPr>
      <w:hyperlink w:anchor="_Toc2637" w:history="1">
        <w:r>
          <w:rPr>
            <w:rFonts w:ascii="IRNazanin" w:hAnsi="IRNazanin" w:eastAsia="IRNazanin" w:cs="IRNazanin"/>
            <w:color w:val="111111"/>
            <w:sz w:val="22"/>
            <w:szCs w:val="22"/>
            <w:b w:val="0"/>
            <w:bCs w:val="0"/>
            <w:i w:val="0"/>
            <w:iCs w:val="0"/>
          </w:rPr>
          <w:t>2047- دیوان راضی أصفهانی‏</w:t>
        </w:r>
        <w:r>
          <w:tab/>
        </w:r>
        <w:r>
          <w:fldChar w:fldCharType="begin"/>
        </w:r>
        <w:r>
          <w:instrText xml:space="preserve">PAGEREF 2637 \h</w:instrText>
        </w:r>
        <w:r>
          <w:fldChar w:fldCharType="end"/>
        </w:r>
      </w:hyperlink>
    </w:p>
    <w:p>
      <w:pPr>
        <w:tabs>
          <w:tab w:val="right" w:leader="dot" w:pos="9062"/>
        </w:tabs>
        <w:ind w:left="440"/>
      </w:pPr>
      <w:hyperlink w:anchor="_Toc2638" w:history="1">
        <w:r>
          <w:rPr>
            <w:rFonts w:ascii="IRNazanin" w:hAnsi="IRNazanin" w:eastAsia="IRNazanin" w:cs="IRNazanin"/>
            <w:color w:val="111111"/>
            <w:sz w:val="22"/>
            <w:szCs w:val="22"/>
            <w:b w:val="0"/>
            <w:bCs w:val="0"/>
            <w:i w:val="0"/>
            <w:iCs w:val="0"/>
          </w:rPr>
          <w:t>2048- دیوان راضی تبریزی‏</w:t>
        </w:r>
        <w:r>
          <w:tab/>
        </w:r>
        <w:r>
          <w:fldChar w:fldCharType="begin"/>
        </w:r>
        <w:r>
          <w:instrText xml:space="preserve">PAGEREF 2638 \h</w:instrText>
        </w:r>
        <w:r>
          <w:fldChar w:fldCharType="end"/>
        </w:r>
      </w:hyperlink>
    </w:p>
    <w:p>
      <w:pPr>
        <w:tabs>
          <w:tab w:val="right" w:leader="dot" w:pos="9062"/>
        </w:tabs>
        <w:ind w:left="440"/>
      </w:pPr>
      <w:hyperlink w:anchor="_Toc2639" w:history="1">
        <w:r>
          <w:rPr>
            <w:rFonts w:ascii="IRNazanin" w:hAnsi="IRNazanin" w:eastAsia="IRNazanin" w:cs="IRNazanin"/>
            <w:color w:val="111111"/>
            <w:sz w:val="22"/>
            <w:szCs w:val="22"/>
            <w:b w:val="0"/>
            <w:bCs w:val="0"/>
            <w:i w:val="0"/>
            <w:iCs w:val="0"/>
          </w:rPr>
          <w:t>2049- دیوان السید راضی القزوینی‏</w:t>
        </w:r>
        <w:r>
          <w:tab/>
        </w:r>
        <w:r>
          <w:fldChar w:fldCharType="begin"/>
        </w:r>
        <w:r>
          <w:instrText xml:space="preserve">PAGEREF 2639 \h</w:instrText>
        </w:r>
        <w:r>
          <w:fldChar w:fldCharType="end"/>
        </w:r>
      </w:hyperlink>
    </w:p>
    <w:p>
      <w:pPr>
        <w:tabs>
          <w:tab w:val="right" w:leader="dot" w:pos="9062"/>
        </w:tabs>
        <w:ind w:left="440"/>
      </w:pPr>
      <w:hyperlink w:anchor="_Toc2640" w:history="1">
        <w:r>
          <w:rPr>
            <w:rFonts w:ascii="IRNazanin" w:hAnsi="IRNazanin" w:eastAsia="IRNazanin" w:cs="IRNazanin"/>
            <w:color w:val="111111"/>
            <w:sz w:val="22"/>
            <w:szCs w:val="22"/>
            <w:b w:val="0"/>
            <w:bCs w:val="0"/>
            <w:i w:val="0"/>
            <w:iCs w:val="0"/>
          </w:rPr>
          <w:t>2050- دیوان راضی کشمیری‏</w:t>
        </w:r>
        <w:r>
          <w:tab/>
        </w:r>
        <w:r>
          <w:fldChar w:fldCharType="begin"/>
        </w:r>
        <w:r>
          <w:instrText xml:space="preserve">PAGEREF 2640 \h</w:instrText>
        </w:r>
        <w:r>
          <w:fldChar w:fldCharType="end"/>
        </w:r>
      </w:hyperlink>
    </w:p>
    <w:p>
      <w:pPr>
        <w:tabs>
          <w:tab w:val="right" w:leader="dot" w:pos="9062"/>
        </w:tabs>
        <w:ind w:left="440"/>
      </w:pPr>
      <w:hyperlink w:anchor="_Toc2641" w:history="1">
        <w:r>
          <w:rPr>
            <w:rFonts w:ascii="IRNazanin" w:hAnsi="IRNazanin" w:eastAsia="IRNazanin" w:cs="IRNazanin"/>
            <w:color w:val="111111"/>
            <w:sz w:val="22"/>
            <w:szCs w:val="22"/>
            <w:b w:val="0"/>
            <w:bCs w:val="0"/>
            <w:i w:val="0"/>
            <w:iCs w:val="0"/>
          </w:rPr>
          <w:t>2051- دیوان راغب أردبیلی أو شعره‏</w:t>
        </w:r>
        <w:r>
          <w:tab/>
        </w:r>
        <w:r>
          <w:fldChar w:fldCharType="begin"/>
        </w:r>
        <w:r>
          <w:instrText xml:space="preserve">PAGEREF 2641 \h</w:instrText>
        </w:r>
        <w:r>
          <w:fldChar w:fldCharType="end"/>
        </w:r>
      </w:hyperlink>
    </w:p>
    <w:p>
      <w:pPr>
        <w:tabs>
          <w:tab w:val="right" w:leader="dot" w:pos="9062"/>
        </w:tabs>
        <w:ind w:left="440"/>
      </w:pPr>
      <w:hyperlink w:anchor="_Toc2642" w:history="1">
        <w:r>
          <w:rPr>
            <w:rFonts w:ascii="IRNazanin" w:hAnsi="IRNazanin" w:eastAsia="IRNazanin" w:cs="IRNazanin"/>
            <w:color w:val="111111"/>
            <w:sz w:val="22"/>
            <w:szCs w:val="22"/>
            <w:b w:val="0"/>
            <w:bCs w:val="0"/>
            <w:i w:val="0"/>
            <w:iCs w:val="0"/>
          </w:rPr>
          <w:t>2052- دیوان راغب تبریزی أو شعره‏</w:t>
        </w:r>
        <w:r>
          <w:tab/>
        </w:r>
        <w:r>
          <w:fldChar w:fldCharType="begin"/>
        </w:r>
        <w:r>
          <w:instrText xml:space="preserve">PAGEREF 2642 \h</w:instrText>
        </w:r>
        <w:r>
          <w:fldChar w:fldCharType="end"/>
        </w:r>
      </w:hyperlink>
    </w:p>
    <w:p>
      <w:pPr>
        <w:tabs>
          <w:tab w:val="right" w:leader="dot" w:pos="9062"/>
        </w:tabs>
        <w:ind w:left="440"/>
      </w:pPr>
      <w:hyperlink w:anchor="_Toc2643" w:history="1">
        <w:r>
          <w:rPr>
            <w:rFonts w:ascii="IRNazanin" w:hAnsi="IRNazanin" w:eastAsia="IRNazanin" w:cs="IRNazanin"/>
            <w:color w:val="111111"/>
            <w:sz w:val="22"/>
            <w:szCs w:val="22"/>
            <w:b w:val="0"/>
            <w:bCs w:val="0"/>
            <w:i w:val="0"/>
            <w:iCs w:val="0"/>
          </w:rPr>
          <w:t>2053- دیوان راغب تبریزی أو شعره‏</w:t>
        </w:r>
        <w:r>
          <w:tab/>
        </w:r>
        <w:r>
          <w:fldChar w:fldCharType="begin"/>
        </w:r>
        <w:r>
          <w:instrText xml:space="preserve">PAGEREF 2643 \h</w:instrText>
        </w:r>
        <w:r>
          <w:fldChar w:fldCharType="end"/>
        </w:r>
      </w:hyperlink>
    </w:p>
    <w:p>
      <w:pPr>
        <w:tabs>
          <w:tab w:val="right" w:leader="dot" w:pos="9062"/>
        </w:tabs>
        <w:ind w:left="440"/>
      </w:pPr>
      <w:hyperlink w:anchor="_Toc2644" w:history="1">
        <w:r>
          <w:rPr>
            <w:rFonts w:ascii="IRNazanin" w:hAnsi="IRNazanin" w:eastAsia="IRNazanin" w:cs="IRNazanin"/>
            <w:color w:val="111111"/>
            <w:sz w:val="22"/>
            <w:szCs w:val="22"/>
            <w:b w:val="0"/>
            <w:bCs w:val="0"/>
            <w:i w:val="0"/>
            <w:iCs w:val="0"/>
          </w:rPr>
          <w:t>2054- دیوان راغب شیرازی أو شعره‏</w:t>
        </w:r>
        <w:r>
          <w:tab/>
        </w:r>
        <w:r>
          <w:fldChar w:fldCharType="begin"/>
        </w:r>
        <w:r>
          <w:instrText xml:space="preserve">PAGEREF 2644 \h</w:instrText>
        </w:r>
        <w:r>
          <w:fldChar w:fldCharType="end"/>
        </w:r>
      </w:hyperlink>
    </w:p>
    <w:p>
      <w:pPr>
        <w:tabs>
          <w:tab w:val="right" w:leader="dot" w:pos="9062"/>
        </w:tabs>
        <w:ind w:left="440"/>
      </w:pPr>
      <w:hyperlink w:anchor="_Toc2645" w:history="1">
        <w:r>
          <w:rPr>
            <w:rFonts w:ascii="IRNazanin" w:hAnsi="IRNazanin" w:eastAsia="IRNazanin" w:cs="IRNazanin"/>
            <w:color w:val="111111"/>
            <w:sz w:val="22"/>
            <w:szCs w:val="22"/>
            <w:b w:val="0"/>
            <w:bCs w:val="0"/>
            <w:i w:val="0"/>
            <w:iCs w:val="0"/>
          </w:rPr>
          <w:t>2055- دیوان راغب کاشانی‏</w:t>
        </w:r>
        <w:r>
          <w:tab/>
        </w:r>
        <w:r>
          <w:fldChar w:fldCharType="begin"/>
        </w:r>
        <w:r>
          <w:instrText xml:space="preserve">PAGEREF 2645 \h</w:instrText>
        </w:r>
        <w:r>
          <w:fldChar w:fldCharType="end"/>
        </w:r>
      </w:hyperlink>
    </w:p>
    <w:p>
      <w:pPr>
        <w:tabs>
          <w:tab w:val="right" w:leader="dot" w:pos="9062"/>
        </w:tabs>
        <w:ind w:left="440"/>
      </w:pPr>
      <w:hyperlink w:anchor="_Toc2646" w:history="1">
        <w:r>
          <w:rPr>
            <w:rFonts w:ascii="IRNazanin" w:hAnsi="IRNazanin" w:eastAsia="IRNazanin" w:cs="IRNazanin"/>
            <w:color w:val="111111"/>
            <w:sz w:val="22"/>
            <w:szCs w:val="22"/>
            <w:b w:val="0"/>
            <w:bCs w:val="0"/>
            <w:i w:val="0"/>
            <w:iCs w:val="0"/>
          </w:rPr>
          <w:t>2056- دیوان راغب لکهنوی أو شعره‏</w:t>
        </w:r>
        <w:r>
          <w:tab/>
        </w:r>
        <w:r>
          <w:fldChar w:fldCharType="begin"/>
        </w:r>
        <w:r>
          <w:instrText xml:space="preserve">PAGEREF 2646 \h</w:instrText>
        </w:r>
        <w:r>
          <w:fldChar w:fldCharType="end"/>
        </w:r>
      </w:hyperlink>
    </w:p>
    <w:p>
      <w:pPr>
        <w:tabs>
          <w:tab w:val="right" w:leader="dot" w:pos="9062"/>
        </w:tabs>
        <w:ind w:left="440"/>
      </w:pPr>
      <w:hyperlink w:anchor="_Toc2647" w:history="1">
        <w:r>
          <w:rPr>
            <w:rFonts w:ascii="IRNazanin" w:hAnsi="IRNazanin" w:eastAsia="IRNazanin" w:cs="IRNazanin"/>
            <w:color w:val="111111"/>
            <w:sz w:val="22"/>
            <w:szCs w:val="22"/>
            <w:b w:val="0"/>
            <w:bCs w:val="0"/>
            <w:i w:val="0"/>
            <w:iCs w:val="0"/>
          </w:rPr>
          <w:t>2057- دیوان راغب هندی‏</w:t>
        </w:r>
        <w:r>
          <w:tab/>
        </w:r>
        <w:r>
          <w:fldChar w:fldCharType="begin"/>
        </w:r>
        <w:r>
          <w:instrText xml:space="preserve">PAGEREF 2647 \h</w:instrText>
        </w:r>
        <w:r>
          <w:fldChar w:fldCharType="end"/>
        </w:r>
      </w:hyperlink>
    </w:p>
    <w:p>
      <w:pPr>
        <w:tabs>
          <w:tab w:val="right" w:leader="dot" w:pos="9062"/>
        </w:tabs>
        <w:ind w:left="440"/>
      </w:pPr>
      <w:hyperlink w:anchor="_Toc2648" w:history="1">
        <w:r>
          <w:rPr>
            <w:rFonts w:ascii="IRNazanin" w:hAnsi="IRNazanin" w:eastAsia="IRNazanin" w:cs="IRNazanin"/>
            <w:color w:val="111111"/>
            <w:sz w:val="22"/>
            <w:szCs w:val="22"/>
            <w:b w:val="0"/>
            <w:bCs w:val="0"/>
            <w:i w:val="0"/>
            <w:iCs w:val="0"/>
          </w:rPr>
          <w:t>2058- دیوان راغب یزدی أو شعره‏</w:t>
        </w:r>
        <w:r>
          <w:tab/>
        </w:r>
        <w:r>
          <w:fldChar w:fldCharType="begin"/>
        </w:r>
        <w:r>
          <w:instrText xml:space="preserve">PAGEREF 2648 \h</w:instrText>
        </w:r>
        <w:r>
          <w:fldChar w:fldCharType="end"/>
        </w:r>
      </w:hyperlink>
    </w:p>
    <w:p>
      <w:pPr>
        <w:tabs>
          <w:tab w:val="right" w:leader="dot" w:pos="9062"/>
        </w:tabs>
        <w:ind w:left="440"/>
      </w:pPr>
      <w:hyperlink w:anchor="_Toc2649" w:history="1">
        <w:r>
          <w:rPr>
            <w:rFonts w:ascii="IRNazanin" w:hAnsi="IRNazanin" w:eastAsia="IRNazanin" w:cs="IRNazanin"/>
            <w:color w:val="111111"/>
            <w:sz w:val="22"/>
            <w:szCs w:val="22"/>
            <w:b w:val="0"/>
            <w:bCs w:val="0"/>
            <w:i w:val="0"/>
            <w:iCs w:val="0"/>
          </w:rPr>
          <w:t>2059- دیوان رأفت شوشتری أو شعره‏</w:t>
        </w:r>
        <w:r>
          <w:tab/>
        </w:r>
        <w:r>
          <w:fldChar w:fldCharType="begin"/>
        </w:r>
        <w:r>
          <w:instrText xml:space="preserve">PAGEREF 2649 \h</w:instrText>
        </w:r>
        <w:r>
          <w:fldChar w:fldCharType="end"/>
        </w:r>
      </w:hyperlink>
    </w:p>
    <w:p>
      <w:pPr>
        <w:tabs>
          <w:tab w:val="right" w:leader="dot" w:pos="9062"/>
        </w:tabs>
        <w:ind w:left="440"/>
      </w:pPr>
      <w:hyperlink w:anchor="_Toc2650" w:history="1">
        <w:r>
          <w:rPr>
            <w:rFonts w:ascii="IRNazanin" w:hAnsi="IRNazanin" w:eastAsia="IRNazanin" w:cs="IRNazanin"/>
            <w:color w:val="111111"/>
            <w:sz w:val="22"/>
            <w:szCs w:val="22"/>
            <w:b w:val="0"/>
            <w:bCs w:val="0"/>
            <w:i w:val="0"/>
            <w:iCs w:val="0"/>
          </w:rPr>
          <w:t>2060- دیوان رأفت لکهنوی أو شعره‏</w:t>
        </w:r>
        <w:r>
          <w:tab/>
        </w:r>
        <w:r>
          <w:fldChar w:fldCharType="begin"/>
        </w:r>
        <w:r>
          <w:instrText xml:space="preserve">PAGEREF 2650 \h</w:instrText>
        </w:r>
        <w:r>
          <w:fldChar w:fldCharType="end"/>
        </w:r>
      </w:hyperlink>
    </w:p>
    <w:p>
      <w:pPr>
        <w:tabs>
          <w:tab w:val="right" w:leader="dot" w:pos="9062"/>
        </w:tabs>
        <w:ind w:left="440"/>
      </w:pPr>
      <w:hyperlink w:anchor="_Toc2651" w:history="1">
        <w:r>
          <w:rPr>
            <w:rFonts w:ascii="IRNazanin" w:hAnsi="IRNazanin" w:eastAsia="IRNazanin" w:cs="IRNazanin"/>
            <w:color w:val="111111"/>
            <w:sz w:val="22"/>
            <w:szCs w:val="22"/>
            <w:b w:val="0"/>
            <w:bCs w:val="0"/>
            <w:i w:val="0"/>
            <w:iCs w:val="0"/>
          </w:rPr>
          <w:t>2061- دیوان رافع کشمیری أو شعره‏</w:t>
        </w:r>
        <w:r>
          <w:tab/>
        </w:r>
        <w:r>
          <w:fldChar w:fldCharType="begin"/>
        </w:r>
        <w:r>
          <w:instrText xml:space="preserve">PAGEREF 2651 \h</w:instrText>
        </w:r>
        <w:r>
          <w:fldChar w:fldCharType="end"/>
        </w:r>
      </w:hyperlink>
    </w:p>
    <w:p>
      <w:pPr>
        <w:tabs>
          <w:tab w:val="right" w:leader="dot" w:pos="9062"/>
        </w:tabs>
        <w:ind w:left="440"/>
      </w:pPr>
      <w:hyperlink w:anchor="_Toc2652" w:history="1">
        <w:r>
          <w:rPr>
            <w:rFonts w:ascii="IRNazanin" w:hAnsi="IRNazanin" w:eastAsia="IRNazanin" w:cs="IRNazanin"/>
            <w:color w:val="111111"/>
            <w:sz w:val="22"/>
            <w:szCs w:val="22"/>
            <w:b w:val="0"/>
            <w:bCs w:val="0"/>
            <w:i w:val="0"/>
            <w:iCs w:val="0"/>
          </w:rPr>
          <w:t>2062- دیوان رافع هندی أو شعره‏</w:t>
        </w:r>
        <w:r>
          <w:tab/>
        </w:r>
        <w:r>
          <w:fldChar w:fldCharType="begin"/>
        </w:r>
        <w:r>
          <w:instrText xml:space="preserve">PAGEREF 2652 \h</w:instrText>
        </w:r>
        <w:r>
          <w:fldChar w:fldCharType="end"/>
        </w:r>
      </w:hyperlink>
    </w:p>
    <w:p>
      <w:pPr>
        <w:tabs>
          <w:tab w:val="right" w:leader="dot" w:pos="9062"/>
        </w:tabs>
        <w:ind w:left="440"/>
      </w:pPr>
      <w:hyperlink w:anchor="_Toc2653" w:history="1">
        <w:r>
          <w:rPr>
            <w:rFonts w:ascii="IRNazanin" w:hAnsi="IRNazanin" w:eastAsia="IRNazanin" w:cs="IRNazanin"/>
            <w:color w:val="111111"/>
            <w:sz w:val="22"/>
            <w:szCs w:val="22"/>
            <w:b w:val="0"/>
            <w:bCs w:val="0"/>
            <w:i w:val="0"/>
            <w:iCs w:val="0"/>
          </w:rPr>
          <w:t>دیوان رافع یزدی أو شعره‏</w:t>
        </w:r>
        <w:r>
          <w:tab/>
        </w:r>
        <w:r>
          <w:fldChar w:fldCharType="begin"/>
        </w:r>
        <w:r>
          <w:instrText xml:space="preserve">PAGEREF 2653 \h</w:instrText>
        </w:r>
        <w:r>
          <w:fldChar w:fldCharType="end"/>
        </w:r>
      </w:hyperlink>
    </w:p>
    <w:p>
      <w:pPr>
        <w:tabs>
          <w:tab w:val="right" w:leader="dot" w:pos="9062"/>
        </w:tabs>
        <w:ind w:left="440"/>
      </w:pPr>
      <w:hyperlink w:anchor="_Toc2654" w:history="1">
        <w:r>
          <w:rPr>
            <w:rFonts w:ascii="IRNazanin" w:hAnsi="IRNazanin" w:eastAsia="IRNazanin" w:cs="IRNazanin"/>
            <w:color w:val="111111"/>
            <w:sz w:val="22"/>
            <w:szCs w:val="22"/>
            <w:b w:val="0"/>
            <w:bCs w:val="0"/>
            <w:i w:val="0"/>
            <w:iCs w:val="0"/>
          </w:rPr>
          <w:t>2063- دیوان رافعی أسفراینی أو شعره‏</w:t>
        </w:r>
        <w:r>
          <w:tab/>
        </w:r>
        <w:r>
          <w:fldChar w:fldCharType="begin"/>
        </w:r>
        <w:r>
          <w:instrText xml:space="preserve">PAGEREF 2654 \h</w:instrText>
        </w:r>
        <w:r>
          <w:fldChar w:fldCharType="end"/>
        </w:r>
      </w:hyperlink>
    </w:p>
    <w:p>
      <w:pPr>
        <w:tabs>
          <w:tab w:val="right" w:leader="dot" w:pos="9062"/>
        </w:tabs>
        <w:ind w:left="440"/>
      </w:pPr>
      <w:hyperlink w:anchor="_Toc2655" w:history="1">
        <w:r>
          <w:rPr>
            <w:rFonts w:ascii="IRNazanin" w:hAnsi="IRNazanin" w:eastAsia="IRNazanin" w:cs="IRNazanin"/>
            <w:color w:val="111111"/>
            <w:sz w:val="22"/>
            <w:szCs w:val="22"/>
            <w:b w:val="0"/>
            <w:bCs w:val="0"/>
            <w:i w:val="0"/>
            <w:iCs w:val="0"/>
          </w:rPr>
          <w:t>دیوان رافعی قزوینی‏</w:t>
        </w:r>
        <w:r>
          <w:tab/>
        </w:r>
        <w:r>
          <w:fldChar w:fldCharType="begin"/>
        </w:r>
        <w:r>
          <w:instrText xml:space="preserve">PAGEREF 2655 \h</w:instrText>
        </w:r>
        <w:r>
          <w:fldChar w:fldCharType="end"/>
        </w:r>
      </w:hyperlink>
    </w:p>
    <w:p>
      <w:pPr>
        <w:tabs>
          <w:tab w:val="right" w:leader="dot" w:pos="9062"/>
        </w:tabs>
        <w:ind w:left="440"/>
      </w:pPr>
      <w:hyperlink w:anchor="_Toc2656" w:history="1">
        <w:r>
          <w:rPr>
            <w:rFonts w:ascii="IRNazanin" w:hAnsi="IRNazanin" w:eastAsia="IRNazanin" w:cs="IRNazanin"/>
            <w:color w:val="111111"/>
            <w:sz w:val="22"/>
            <w:szCs w:val="22"/>
            <w:b w:val="0"/>
            <w:bCs w:val="0"/>
            <w:i w:val="0"/>
            <w:iCs w:val="0"/>
          </w:rPr>
          <w:t>2064- دیوان رافعی النیشابوری أو شعره‏</w:t>
        </w:r>
        <w:r>
          <w:tab/>
        </w:r>
        <w:r>
          <w:fldChar w:fldCharType="begin"/>
        </w:r>
        <w:r>
          <w:instrText xml:space="preserve">PAGEREF 2656 \h</w:instrText>
        </w:r>
        <w:r>
          <w:fldChar w:fldCharType="end"/>
        </w:r>
      </w:hyperlink>
    </w:p>
    <w:p>
      <w:pPr>
        <w:tabs>
          <w:tab w:val="right" w:leader="dot" w:pos="9062"/>
        </w:tabs>
        <w:ind w:left="440"/>
      </w:pPr>
      <w:hyperlink w:anchor="_Toc2657" w:history="1">
        <w:r>
          <w:rPr>
            <w:rFonts w:ascii="IRNazanin" w:hAnsi="IRNazanin" w:eastAsia="IRNazanin" w:cs="IRNazanin"/>
            <w:color w:val="111111"/>
            <w:sz w:val="22"/>
            <w:szCs w:val="22"/>
            <w:b w:val="0"/>
            <w:bCs w:val="0"/>
            <w:i w:val="0"/>
            <w:iCs w:val="0"/>
          </w:rPr>
          <w:t>2065- دیوان راقم بخاری أو شعره‏</w:t>
        </w:r>
        <w:r>
          <w:tab/>
        </w:r>
        <w:r>
          <w:fldChar w:fldCharType="begin"/>
        </w:r>
        <w:r>
          <w:instrText xml:space="preserve">PAGEREF 2657 \h</w:instrText>
        </w:r>
        <w:r>
          <w:fldChar w:fldCharType="end"/>
        </w:r>
      </w:hyperlink>
    </w:p>
    <w:p>
      <w:pPr>
        <w:tabs>
          <w:tab w:val="right" w:leader="dot" w:pos="9062"/>
        </w:tabs>
        <w:ind w:left="440"/>
      </w:pPr>
      <w:hyperlink w:anchor="_Toc2658" w:history="1">
        <w:r>
          <w:rPr>
            <w:rFonts w:ascii="IRNazanin" w:hAnsi="IRNazanin" w:eastAsia="IRNazanin" w:cs="IRNazanin"/>
            <w:color w:val="111111"/>
            <w:sz w:val="22"/>
            <w:szCs w:val="22"/>
            <w:b w:val="0"/>
            <w:bCs w:val="0"/>
            <w:i w:val="0"/>
            <w:iCs w:val="0"/>
          </w:rPr>
          <w:t>2066- دیوان راقم مشهدی‏</w:t>
        </w:r>
        <w:r>
          <w:tab/>
        </w:r>
        <w:r>
          <w:fldChar w:fldCharType="begin"/>
        </w:r>
        <w:r>
          <w:instrText xml:space="preserve">PAGEREF 2658 \h</w:instrText>
        </w:r>
        <w:r>
          <w:fldChar w:fldCharType="end"/>
        </w:r>
      </w:hyperlink>
    </w:p>
    <w:p>
      <w:pPr>
        <w:tabs>
          <w:tab w:val="right" w:leader="dot" w:pos="9062"/>
        </w:tabs>
        <w:ind w:left="440"/>
      </w:pPr>
      <w:hyperlink w:anchor="_Toc2659" w:history="1">
        <w:r>
          <w:rPr>
            <w:rFonts w:ascii="IRNazanin" w:hAnsi="IRNazanin" w:eastAsia="IRNazanin" w:cs="IRNazanin"/>
            <w:color w:val="111111"/>
            <w:sz w:val="22"/>
            <w:szCs w:val="22"/>
            <w:b w:val="0"/>
            <w:bCs w:val="0"/>
            <w:i w:val="0"/>
            <w:iCs w:val="0"/>
          </w:rPr>
          <w:t>2067- دیوان راقم مشهدی‏</w:t>
        </w:r>
        <w:r>
          <w:tab/>
        </w:r>
        <w:r>
          <w:fldChar w:fldCharType="begin"/>
        </w:r>
        <w:r>
          <w:instrText xml:space="preserve">PAGEREF 2659 \h</w:instrText>
        </w:r>
        <w:r>
          <w:fldChar w:fldCharType="end"/>
        </w:r>
      </w:hyperlink>
    </w:p>
    <w:p>
      <w:pPr>
        <w:tabs>
          <w:tab w:val="right" w:leader="dot" w:pos="9062"/>
        </w:tabs>
        <w:ind w:left="440"/>
      </w:pPr>
      <w:hyperlink w:anchor="_Toc2660" w:history="1">
        <w:r>
          <w:rPr>
            <w:rFonts w:ascii="IRNazanin" w:hAnsi="IRNazanin" w:eastAsia="IRNazanin" w:cs="IRNazanin"/>
            <w:color w:val="111111"/>
            <w:sz w:val="22"/>
            <w:szCs w:val="22"/>
            <w:b w:val="0"/>
            <w:bCs w:val="0"/>
            <w:i w:val="0"/>
            <w:iCs w:val="0"/>
          </w:rPr>
          <w:t>2068- دیوان رامش کازرونی‏</w:t>
        </w:r>
        <w:r>
          <w:tab/>
        </w:r>
        <w:r>
          <w:fldChar w:fldCharType="begin"/>
        </w:r>
        <w:r>
          <w:instrText xml:space="preserve">PAGEREF 2660 \h</w:instrText>
        </w:r>
        <w:r>
          <w:fldChar w:fldCharType="end"/>
        </w:r>
      </w:hyperlink>
    </w:p>
    <w:p>
      <w:pPr>
        <w:tabs>
          <w:tab w:val="right" w:leader="dot" w:pos="9062"/>
        </w:tabs>
        <w:ind w:left="440"/>
      </w:pPr>
      <w:hyperlink w:anchor="_Toc2661" w:history="1">
        <w:r>
          <w:rPr>
            <w:rFonts w:ascii="IRNazanin" w:hAnsi="IRNazanin" w:eastAsia="IRNazanin" w:cs="IRNazanin"/>
            <w:color w:val="111111"/>
            <w:sz w:val="22"/>
            <w:szCs w:val="22"/>
            <w:b w:val="0"/>
            <w:bCs w:val="0"/>
            <w:i w:val="0"/>
            <w:iCs w:val="0"/>
          </w:rPr>
          <w:t>2069- دیوان رامی الأردوبادی‏</w:t>
        </w:r>
        <w:r>
          <w:tab/>
        </w:r>
        <w:r>
          <w:fldChar w:fldCharType="begin"/>
        </w:r>
        <w:r>
          <w:instrText xml:space="preserve">PAGEREF 2661 \h</w:instrText>
        </w:r>
        <w:r>
          <w:fldChar w:fldCharType="end"/>
        </w:r>
      </w:hyperlink>
    </w:p>
    <w:p>
      <w:pPr>
        <w:tabs>
          <w:tab w:val="right" w:leader="dot" w:pos="9062"/>
        </w:tabs>
        <w:ind w:left="440"/>
      </w:pPr>
      <w:hyperlink w:anchor="_Toc2662" w:history="1">
        <w:r>
          <w:rPr>
            <w:rFonts w:ascii="IRNazanin" w:hAnsi="IRNazanin" w:eastAsia="IRNazanin" w:cs="IRNazanin"/>
            <w:color w:val="111111"/>
            <w:sz w:val="22"/>
            <w:szCs w:val="22"/>
            <w:b w:val="0"/>
            <w:bCs w:val="0"/>
            <w:i w:val="0"/>
            <w:iCs w:val="0"/>
          </w:rPr>
          <w:t>دیوان رامی تبریزی‏</w:t>
        </w:r>
        <w:r>
          <w:tab/>
        </w:r>
        <w:r>
          <w:fldChar w:fldCharType="begin"/>
        </w:r>
        <w:r>
          <w:instrText xml:space="preserve">PAGEREF 2662 \h</w:instrText>
        </w:r>
        <w:r>
          <w:fldChar w:fldCharType="end"/>
        </w:r>
      </w:hyperlink>
    </w:p>
    <w:p>
      <w:pPr>
        <w:tabs>
          <w:tab w:val="right" w:leader="dot" w:pos="9062"/>
        </w:tabs>
        <w:ind w:left="440"/>
      </w:pPr>
      <w:hyperlink w:anchor="_Toc2663" w:history="1">
        <w:r>
          <w:rPr>
            <w:rFonts w:ascii="IRNazanin" w:hAnsi="IRNazanin" w:eastAsia="IRNazanin" w:cs="IRNazanin"/>
            <w:color w:val="111111"/>
            <w:sz w:val="22"/>
            <w:szCs w:val="22"/>
            <w:b w:val="0"/>
            <w:bCs w:val="0"/>
            <w:i w:val="0"/>
            <w:iCs w:val="0"/>
          </w:rPr>
          <w:t>2070- دیوان رامی هندی‏</w:t>
        </w:r>
        <w:r>
          <w:tab/>
        </w:r>
        <w:r>
          <w:fldChar w:fldCharType="begin"/>
        </w:r>
        <w:r>
          <w:instrText xml:space="preserve">PAGEREF 2663 \h</w:instrText>
        </w:r>
        <w:r>
          <w:fldChar w:fldCharType="end"/>
        </w:r>
      </w:hyperlink>
    </w:p>
    <w:p>
      <w:pPr>
        <w:tabs>
          <w:tab w:val="right" w:leader="dot" w:pos="9062"/>
        </w:tabs>
        <w:ind w:left="440"/>
      </w:pPr>
      <w:hyperlink w:anchor="_Toc2664" w:history="1">
        <w:r>
          <w:rPr>
            <w:rFonts w:ascii="IRNazanin" w:hAnsi="IRNazanin" w:eastAsia="IRNazanin" w:cs="IRNazanin"/>
            <w:color w:val="111111"/>
            <w:sz w:val="22"/>
            <w:szCs w:val="22"/>
            <w:b w:val="0"/>
            <w:bCs w:val="0"/>
            <w:i w:val="0"/>
            <w:iCs w:val="0"/>
          </w:rPr>
          <w:t>2071- دیوان رامی یزدی أو شعره‏</w:t>
        </w:r>
        <w:r>
          <w:tab/>
        </w:r>
        <w:r>
          <w:fldChar w:fldCharType="begin"/>
        </w:r>
        <w:r>
          <w:instrText xml:space="preserve">PAGEREF 2664 \h</w:instrText>
        </w:r>
        <w:r>
          <w:fldChar w:fldCharType="end"/>
        </w:r>
      </w:hyperlink>
    </w:p>
    <w:p>
      <w:pPr>
        <w:tabs>
          <w:tab w:val="right" w:leader="dot" w:pos="9062"/>
        </w:tabs>
        <w:ind w:left="440"/>
      </w:pPr>
      <w:hyperlink w:anchor="_Toc2665" w:history="1">
        <w:r>
          <w:rPr>
            <w:rFonts w:ascii="IRNazanin" w:hAnsi="IRNazanin" w:eastAsia="IRNazanin" w:cs="IRNazanin"/>
            <w:color w:val="111111"/>
            <w:sz w:val="22"/>
            <w:szCs w:val="22"/>
            <w:b w:val="0"/>
            <w:bCs w:val="0"/>
            <w:i w:val="0"/>
            <w:iCs w:val="0"/>
          </w:rPr>
          <w:t>2072- دیوان رامین‏</w:t>
        </w:r>
        <w:r>
          <w:tab/>
        </w:r>
        <w:r>
          <w:fldChar w:fldCharType="begin"/>
        </w:r>
        <w:r>
          <w:instrText xml:space="preserve">PAGEREF 2665 \h</w:instrText>
        </w:r>
        <w:r>
          <w:fldChar w:fldCharType="end"/>
        </w:r>
      </w:hyperlink>
    </w:p>
    <w:p>
      <w:pPr>
        <w:tabs>
          <w:tab w:val="right" w:leader="dot" w:pos="9062"/>
        </w:tabs>
        <w:ind w:left="440"/>
      </w:pPr>
      <w:hyperlink w:anchor="_Toc2666" w:history="1">
        <w:r>
          <w:rPr>
            <w:rFonts w:ascii="IRNazanin" w:hAnsi="IRNazanin" w:eastAsia="IRNazanin" w:cs="IRNazanin"/>
            <w:color w:val="111111"/>
            <w:sz w:val="22"/>
            <w:szCs w:val="22"/>
            <w:b w:val="0"/>
            <w:bCs w:val="0"/>
            <w:i w:val="0"/>
            <w:iCs w:val="0"/>
          </w:rPr>
          <w:t>2073- دیوان الراوندی‏</w:t>
        </w:r>
        <w:r>
          <w:tab/>
        </w:r>
        <w:r>
          <w:fldChar w:fldCharType="begin"/>
        </w:r>
        <w:r>
          <w:instrText xml:space="preserve">PAGEREF 2666 \h</w:instrText>
        </w:r>
        <w:r>
          <w:fldChar w:fldCharType="end"/>
        </w:r>
      </w:hyperlink>
    </w:p>
    <w:p>
      <w:pPr>
        <w:tabs>
          <w:tab w:val="right" w:leader="dot" w:pos="9062"/>
        </w:tabs>
        <w:ind w:left="440"/>
      </w:pPr>
      <w:hyperlink w:anchor="_Toc2667" w:history="1">
        <w:r>
          <w:rPr>
            <w:rFonts w:ascii="IRNazanin" w:hAnsi="IRNazanin" w:eastAsia="IRNazanin" w:cs="IRNazanin"/>
            <w:color w:val="111111"/>
            <w:sz w:val="22"/>
            <w:szCs w:val="22"/>
            <w:b w:val="0"/>
            <w:bCs w:val="0"/>
            <w:i w:val="0"/>
            <w:iCs w:val="0"/>
          </w:rPr>
          <w:t>2074- دیوان راوی گروسی‏</w:t>
        </w:r>
        <w:r>
          <w:tab/>
        </w:r>
        <w:r>
          <w:fldChar w:fldCharType="begin"/>
        </w:r>
        <w:r>
          <w:instrText xml:space="preserve">PAGEREF 2667 \h</w:instrText>
        </w:r>
        <w:r>
          <w:fldChar w:fldCharType="end"/>
        </w:r>
      </w:hyperlink>
    </w:p>
    <w:p>
      <w:pPr>
        <w:tabs>
          <w:tab w:val="right" w:leader="dot" w:pos="9062"/>
        </w:tabs>
        <w:ind w:left="440"/>
      </w:pPr>
      <w:hyperlink w:anchor="_Toc2668" w:history="1">
        <w:r>
          <w:rPr>
            <w:rFonts w:ascii="IRNazanin" w:hAnsi="IRNazanin" w:eastAsia="IRNazanin" w:cs="IRNazanin"/>
            <w:color w:val="111111"/>
            <w:sz w:val="22"/>
            <w:szCs w:val="22"/>
            <w:b w:val="0"/>
            <w:bCs w:val="0"/>
            <w:i w:val="0"/>
            <w:iCs w:val="0"/>
          </w:rPr>
          <w:t>2075- دیوان راهب أصفهانی‏</w:t>
        </w:r>
        <w:r>
          <w:tab/>
        </w:r>
        <w:r>
          <w:fldChar w:fldCharType="begin"/>
        </w:r>
        <w:r>
          <w:instrText xml:space="preserve">PAGEREF 2668 \h</w:instrText>
        </w:r>
        <w:r>
          <w:fldChar w:fldCharType="end"/>
        </w:r>
      </w:hyperlink>
    </w:p>
    <w:p>
      <w:pPr>
        <w:tabs>
          <w:tab w:val="right" w:leader="dot" w:pos="9062"/>
        </w:tabs>
        <w:ind w:left="440"/>
      </w:pPr>
      <w:hyperlink w:anchor="_Toc2669" w:history="1">
        <w:r>
          <w:rPr>
            <w:rFonts w:ascii="IRNazanin" w:hAnsi="IRNazanin" w:eastAsia="IRNazanin" w:cs="IRNazanin"/>
            <w:color w:val="111111"/>
            <w:sz w:val="22"/>
            <w:szCs w:val="22"/>
            <w:b w:val="0"/>
            <w:bCs w:val="0"/>
            <w:i w:val="0"/>
            <w:iCs w:val="0"/>
          </w:rPr>
          <w:t>2076- دیوان راهب أصفهانی‏</w:t>
        </w:r>
        <w:r>
          <w:tab/>
        </w:r>
        <w:r>
          <w:fldChar w:fldCharType="begin"/>
        </w:r>
        <w:r>
          <w:instrText xml:space="preserve">PAGEREF 2669 \h</w:instrText>
        </w:r>
        <w:r>
          <w:fldChar w:fldCharType="end"/>
        </w:r>
      </w:hyperlink>
    </w:p>
    <w:p>
      <w:pPr>
        <w:tabs>
          <w:tab w:val="right" w:leader="dot" w:pos="9062"/>
        </w:tabs>
        <w:ind w:left="440"/>
      </w:pPr>
      <w:hyperlink w:anchor="_Toc2670" w:history="1">
        <w:r>
          <w:rPr>
            <w:rFonts w:ascii="IRNazanin" w:hAnsi="IRNazanin" w:eastAsia="IRNazanin" w:cs="IRNazanin"/>
            <w:color w:val="111111"/>
            <w:sz w:val="22"/>
            <w:szCs w:val="22"/>
            <w:b w:val="0"/>
            <w:bCs w:val="0"/>
            <w:i w:val="0"/>
            <w:iCs w:val="0"/>
          </w:rPr>
          <w:t>دیوان راهب أصفهانی المال میری‏</w:t>
        </w:r>
        <w:r>
          <w:tab/>
        </w:r>
        <w:r>
          <w:fldChar w:fldCharType="begin"/>
        </w:r>
        <w:r>
          <w:instrText xml:space="preserve">PAGEREF 2670 \h</w:instrText>
        </w:r>
        <w:r>
          <w:fldChar w:fldCharType="end"/>
        </w:r>
      </w:hyperlink>
    </w:p>
    <w:p>
      <w:pPr>
        <w:tabs>
          <w:tab w:val="right" w:leader="dot" w:pos="9062"/>
        </w:tabs>
        <w:ind w:left="440"/>
      </w:pPr>
      <w:hyperlink w:anchor="_Toc2671" w:history="1">
        <w:r>
          <w:rPr>
            <w:rFonts w:ascii="IRNazanin" w:hAnsi="IRNazanin" w:eastAsia="IRNazanin" w:cs="IRNazanin"/>
            <w:color w:val="111111"/>
            <w:sz w:val="22"/>
            <w:szCs w:val="22"/>
            <w:b w:val="0"/>
            <w:bCs w:val="0"/>
            <w:i w:val="0"/>
            <w:iCs w:val="0"/>
          </w:rPr>
          <w:t>2077- دیوان راهب گیلانی أو شعره‏</w:t>
        </w:r>
        <w:r>
          <w:tab/>
        </w:r>
        <w:r>
          <w:fldChar w:fldCharType="begin"/>
        </w:r>
        <w:r>
          <w:instrText xml:space="preserve">PAGEREF 2671 \h</w:instrText>
        </w:r>
        <w:r>
          <w:fldChar w:fldCharType="end"/>
        </w:r>
      </w:hyperlink>
    </w:p>
    <w:p>
      <w:pPr>
        <w:tabs>
          <w:tab w:val="right" w:leader="dot" w:pos="9062"/>
        </w:tabs>
        <w:ind w:left="440"/>
      </w:pPr>
      <w:hyperlink w:anchor="_Toc2672" w:history="1">
        <w:r>
          <w:rPr>
            <w:rFonts w:ascii="IRNazanin" w:hAnsi="IRNazanin" w:eastAsia="IRNazanin" w:cs="IRNazanin"/>
            <w:color w:val="111111"/>
            <w:sz w:val="22"/>
            <w:szCs w:val="22"/>
            <w:b w:val="0"/>
            <w:bCs w:val="0"/>
            <w:i w:val="0"/>
            <w:iCs w:val="0"/>
          </w:rPr>
          <w:t>دیوان راهب هروی‏</w:t>
        </w:r>
        <w:r>
          <w:tab/>
        </w:r>
        <w:r>
          <w:fldChar w:fldCharType="begin"/>
        </w:r>
        <w:r>
          <w:instrText xml:space="preserve">PAGEREF 2672 \h</w:instrText>
        </w:r>
        <w:r>
          <w:fldChar w:fldCharType="end"/>
        </w:r>
      </w:hyperlink>
    </w:p>
    <w:p>
      <w:pPr>
        <w:tabs>
          <w:tab w:val="right" w:leader="dot" w:pos="9062"/>
        </w:tabs>
        <w:ind w:left="440"/>
      </w:pPr>
      <w:hyperlink w:anchor="_Toc2673" w:history="1">
        <w:r>
          <w:rPr>
            <w:rFonts w:ascii="IRNazanin" w:hAnsi="IRNazanin" w:eastAsia="IRNazanin" w:cs="IRNazanin"/>
            <w:color w:val="111111"/>
            <w:sz w:val="22"/>
            <w:szCs w:val="22"/>
            <w:b w:val="0"/>
            <w:bCs w:val="0"/>
            <w:i w:val="0"/>
            <w:iCs w:val="0"/>
          </w:rPr>
          <w:t>دیوان راهبی غضنفر</w:t>
        </w:r>
        <w:r>
          <w:tab/>
        </w:r>
        <w:r>
          <w:fldChar w:fldCharType="begin"/>
        </w:r>
        <w:r>
          <w:instrText xml:space="preserve">PAGEREF 2673 \h</w:instrText>
        </w:r>
        <w:r>
          <w:fldChar w:fldCharType="end"/>
        </w:r>
      </w:hyperlink>
    </w:p>
    <w:p>
      <w:pPr>
        <w:tabs>
          <w:tab w:val="right" w:leader="dot" w:pos="9062"/>
        </w:tabs>
        <w:ind w:left="440"/>
      </w:pPr>
      <w:hyperlink w:anchor="_Toc2674" w:history="1">
        <w:r>
          <w:rPr>
            <w:rFonts w:ascii="IRNazanin" w:hAnsi="IRNazanin" w:eastAsia="IRNazanin" w:cs="IRNazanin"/>
            <w:color w:val="111111"/>
            <w:sz w:val="22"/>
            <w:szCs w:val="22"/>
            <w:b w:val="0"/>
            <w:bCs w:val="0"/>
            <w:i w:val="0"/>
            <w:iCs w:val="0"/>
          </w:rPr>
          <w:t>2078- دیوان رائج الهندی السیالکوتی‏</w:t>
        </w:r>
        <w:r>
          <w:tab/>
        </w:r>
        <w:r>
          <w:fldChar w:fldCharType="begin"/>
        </w:r>
        <w:r>
          <w:instrText xml:space="preserve">PAGEREF 2674 \h</w:instrText>
        </w:r>
        <w:r>
          <w:fldChar w:fldCharType="end"/>
        </w:r>
      </w:hyperlink>
    </w:p>
    <w:p>
      <w:pPr>
        <w:tabs>
          <w:tab w:val="right" w:leader="dot" w:pos="9062"/>
        </w:tabs>
        <w:ind w:left="440"/>
      </w:pPr>
      <w:hyperlink w:anchor="_Toc2675" w:history="1">
        <w:r>
          <w:rPr>
            <w:rFonts w:ascii="IRNazanin" w:hAnsi="IRNazanin" w:eastAsia="IRNazanin" w:cs="IRNazanin"/>
            <w:color w:val="111111"/>
            <w:sz w:val="22"/>
            <w:szCs w:val="22"/>
            <w:b w:val="0"/>
            <w:bCs w:val="0"/>
            <w:i w:val="0"/>
            <w:iCs w:val="0"/>
          </w:rPr>
          <w:t>2079- دیوان ملا رئیس شاختی أو شعره‏</w:t>
        </w:r>
        <w:r>
          <w:tab/>
        </w:r>
        <w:r>
          <w:fldChar w:fldCharType="begin"/>
        </w:r>
        <w:r>
          <w:instrText xml:space="preserve">PAGEREF 2675 \h</w:instrText>
        </w:r>
        <w:r>
          <w:fldChar w:fldCharType="end"/>
        </w:r>
      </w:hyperlink>
    </w:p>
    <w:p>
      <w:pPr>
        <w:tabs>
          <w:tab w:val="right" w:leader="dot" w:pos="9062"/>
        </w:tabs>
        <w:ind w:left="440"/>
      </w:pPr>
      <w:hyperlink w:anchor="_Toc2676" w:history="1">
        <w:r>
          <w:rPr>
            <w:rFonts w:ascii="IRNazanin" w:hAnsi="IRNazanin" w:eastAsia="IRNazanin" w:cs="IRNazanin"/>
            <w:color w:val="111111"/>
            <w:sz w:val="22"/>
            <w:szCs w:val="22"/>
            <w:b w:val="0"/>
            <w:bCs w:val="0"/>
            <w:i w:val="0"/>
            <w:iCs w:val="0"/>
          </w:rPr>
          <w:t>دیوان شیخ الرئیس أبو الحسن میرزا</w:t>
        </w:r>
        <w:r>
          <w:tab/>
        </w:r>
        <w:r>
          <w:fldChar w:fldCharType="begin"/>
        </w:r>
        <w:r>
          <w:instrText xml:space="preserve">PAGEREF 2676 \h</w:instrText>
        </w:r>
        <w:r>
          <w:fldChar w:fldCharType="end"/>
        </w:r>
      </w:hyperlink>
    </w:p>
    <w:p>
      <w:pPr>
        <w:tabs>
          <w:tab w:val="right" w:leader="dot" w:pos="9062"/>
        </w:tabs>
        <w:ind w:left="440"/>
      </w:pPr>
      <w:hyperlink w:anchor="_Toc2677" w:history="1">
        <w:r>
          <w:rPr>
            <w:rFonts w:ascii="IRNazanin" w:hAnsi="IRNazanin" w:eastAsia="IRNazanin" w:cs="IRNazanin"/>
            <w:color w:val="111111"/>
            <w:sz w:val="22"/>
            <w:szCs w:val="22"/>
            <w:b w:val="0"/>
            <w:bCs w:val="0"/>
            <w:i w:val="0"/>
            <w:iCs w:val="0"/>
          </w:rPr>
          <w:t>دیوان شیخ الرئیس أبو علی‏</w:t>
        </w:r>
        <w:r>
          <w:tab/>
        </w:r>
        <w:r>
          <w:fldChar w:fldCharType="begin"/>
        </w:r>
        <w:r>
          <w:instrText xml:space="preserve">PAGEREF 2677 \h</w:instrText>
        </w:r>
        <w:r>
          <w:fldChar w:fldCharType="end"/>
        </w:r>
      </w:hyperlink>
    </w:p>
    <w:p>
      <w:pPr>
        <w:tabs>
          <w:tab w:val="right" w:leader="dot" w:pos="9062"/>
        </w:tabs>
        <w:ind w:left="440"/>
      </w:pPr>
      <w:hyperlink w:anchor="_Toc2678" w:history="1">
        <w:r>
          <w:rPr>
            <w:rFonts w:ascii="IRNazanin" w:hAnsi="IRNazanin" w:eastAsia="IRNazanin" w:cs="IRNazanin"/>
            <w:color w:val="111111"/>
            <w:sz w:val="22"/>
            <w:szCs w:val="22"/>
            <w:b w:val="0"/>
            <w:bCs w:val="0"/>
            <w:i w:val="0"/>
            <w:iCs w:val="0"/>
          </w:rPr>
          <w:t>دیوان رئیس نور الدین هرمزی‏</w:t>
        </w:r>
        <w:r>
          <w:tab/>
        </w:r>
        <w:r>
          <w:fldChar w:fldCharType="begin"/>
        </w:r>
        <w:r>
          <w:instrText xml:space="preserve">PAGEREF 2678 \h</w:instrText>
        </w:r>
        <w:r>
          <w:fldChar w:fldCharType="end"/>
        </w:r>
      </w:hyperlink>
    </w:p>
    <w:p>
      <w:pPr>
        <w:tabs>
          <w:tab w:val="right" w:leader="dot" w:pos="9062"/>
        </w:tabs>
        <w:ind w:left="440"/>
      </w:pPr>
      <w:hyperlink w:anchor="_Toc2679" w:history="1">
        <w:r>
          <w:rPr>
            <w:rFonts w:ascii="IRNazanin" w:hAnsi="IRNazanin" w:eastAsia="IRNazanin" w:cs="IRNazanin"/>
            <w:color w:val="111111"/>
            <w:sz w:val="22"/>
            <w:szCs w:val="22"/>
            <w:b w:val="0"/>
            <w:bCs w:val="0"/>
            <w:i w:val="0"/>
            <w:iCs w:val="0"/>
          </w:rPr>
          <w:t>2080- دیوان شیخ رباعی مشهدی‏</w:t>
        </w:r>
        <w:r>
          <w:tab/>
        </w:r>
        <w:r>
          <w:fldChar w:fldCharType="begin"/>
        </w:r>
        <w:r>
          <w:instrText xml:space="preserve">PAGEREF 2679 \h</w:instrText>
        </w:r>
        <w:r>
          <w:fldChar w:fldCharType="end"/>
        </w:r>
      </w:hyperlink>
    </w:p>
    <w:p>
      <w:pPr>
        <w:tabs>
          <w:tab w:val="right" w:leader="dot" w:pos="9062"/>
        </w:tabs>
        <w:ind w:left="440"/>
      </w:pPr>
      <w:hyperlink w:anchor="_Toc2680" w:history="1">
        <w:r>
          <w:rPr>
            <w:rFonts w:ascii="IRNazanin" w:hAnsi="IRNazanin" w:eastAsia="IRNazanin" w:cs="IRNazanin"/>
            <w:color w:val="111111"/>
            <w:sz w:val="22"/>
            <w:szCs w:val="22"/>
            <w:b w:val="0"/>
            <w:bCs w:val="0"/>
            <w:i w:val="0"/>
            <w:iCs w:val="0"/>
          </w:rPr>
          <w:t>دیوان رباعی همدانی‏</w:t>
        </w:r>
        <w:r>
          <w:tab/>
        </w:r>
        <w:r>
          <w:fldChar w:fldCharType="begin"/>
        </w:r>
        <w:r>
          <w:instrText xml:space="preserve">PAGEREF 2680 \h</w:instrText>
        </w:r>
        <w:r>
          <w:fldChar w:fldCharType="end"/>
        </w:r>
      </w:hyperlink>
    </w:p>
    <w:p>
      <w:pPr>
        <w:tabs>
          <w:tab w:val="right" w:leader="dot" w:pos="9062"/>
        </w:tabs>
        <w:ind w:left="440"/>
      </w:pPr>
      <w:hyperlink w:anchor="_Toc2681" w:history="1">
        <w:r>
          <w:rPr>
            <w:rFonts w:ascii="IRNazanin" w:hAnsi="IRNazanin" w:eastAsia="IRNazanin" w:cs="IRNazanin"/>
            <w:color w:val="111111"/>
            <w:sz w:val="22"/>
            <w:szCs w:val="22"/>
            <w:b w:val="0"/>
            <w:bCs w:val="0"/>
            <w:i w:val="0"/>
            <w:iCs w:val="0"/>
          </w:rPr>
          <w:t>2081- دیوان ربانی گرگانی‏</w:t>
        </w:r>
        <w:r>
          <w:tab/>
        </w:r>
        <w:r>
          <w:fldChar w:fldCharType="begin"/>
        </w:r>
        <w:r>
          <w:instrText xml:space="preserve">PAGEREF 2681 \h</w:instrText>
        </w:r>
        <w:r>
          <w:fldChar w:fldCharType="end"/>
        </w:r>
      </w:hyperlink>
    </w:p>
    <w:p>
      <w:pPr>
        <w:tabs>
          <w:tab w:val="right" w:leader="dot" w:pos="9062"/>
        </w:tabs>
        <w:ind w:left="440"/>
      </w:pPr>
      <w:hyperlink w:anchor="_Toc2682" w:history="1">
        <w:r>
          <w:rPr>
            <w:rFonts w:ascii="IRNazanin" w:hAnsi="IRNazanin" w:eastAsia="IRNazanin" w:cs="IRNazanin"/>
            <w:color w:val="111111"/>
            <w:sz w:val="22"/>
            <w:szCs w:val="22"/>
            <w:b w:val="0"/>
            <w:bCs w:val="0"/>
            <w:i w:val="0"/>
            <w:iCs w:val="0"/>
          </w:rPr>
          <w:t>2082- دیوان ربیعا بلخی أو شعره‏</w:t>
        </w:r>
        <w:r>
          <w:tab/>
        </w:r>
        <w:r>
          <w:fldChar w:fldCharType="begin"/>
        </w:r>
        <w:r>
          <w:instrText xml:space="preserve">PAGEREF 2682 \h</w:instrText>
        </w:r>
        <w:r>
          <w:fldChar w:fldCharType="end"/>
        </w:r>
      </w:hyperlink>
    </w:p>
    <w:p>
      <w:pPr>
        <w:tabs>
          <w:tab w:val="right" w:leader="dot" w:pos="9062"/>
        </w:tabs>
        <w:ind w:left="440"/>
      </w:pPr>
      <w:hyperlink w:anchor="_Toc2683" w:history="1">
        <w:r>
          <w:rPr>
            <w:rFonts w:ascii="IRNazanin" w:hAnsi="IRNazanin" w:eastAsia="IRNazanin" w:cs="IRNazanin"/>
            <w:color w:val="111111"/>
            <w:sz w:val="22"/>
            <w:szCs w:val="22"/>
            <w:b w:val="0"/>
            <w:bCs w:val="0"/>
            <w:i w:val="0"/>
            <w:iCs w:val="0"/>
          </w:rPr>
          <w:t>2083- دیوان ربیع خوانساری أو شعره‏</w:t>
        </w:r>
        <w:r>
          <w:tab/>
        </w:r>
        <w:r>
          <w:fldChar w:fldCharType="begin"/>
        </w:r>
        <w:r>
          <w:instrText xml:space="preserve">PAGEREF 2683 \h</w:instrText>
        </w:r>
        <w:r>
          <w:fldChar w:fldCharType="end"/>
        </w:r>
      </w:hyperlink>
    </w:p>
    <w:p>
      <w:pPr>
        <w:tabs>
          <w:tab w:val="right" w:leader="dot" w:pos="9062"/>
        </w:tabs>
        <w:ind w:left="440"/>
      </w:pPr>
      <w:hyperlink w:anchor="_Toc2684" w:history="1">
        <w:r>
          <w:rPr>
            <w:rFonts w:ascii="IRNazanin" w:hAnsi="IRNazanin" w:eastAsia="IRNazanin" w:cs="IRNazanin"/>
            <w:color w:val="111111"/>
            <w:sz w:val="22"/>
            <w:szCs w:val="22"/>
            <w:b w:val="0"/>
            <w:bCs w:val="0"/>
            <w:i w:val="0"/>
            <w:iCs w:val="0"/>
          </w:rPr>
          <w:t>2084- دیوان ربیع کابلی أو شعره‏</w:t>
        </w:r>
        <w:r>
          <w:tab/>
        </w:r>
        <w:r>
          <w:fldChar w:fldCharType="begin"/>
        </w:r>
        <w:r>
          <w:instrText xml:space="preserve">PAGEREF 2684 \h</w:instrText>
        </w:r>
        <w:r>
          <w:fldChar w:fldCharType="end"/>
        </w:r>
      </w:hyperlink>
    </w:p>
    <w:p>
      <w:pPr>
        <w:tabs>
          <w:tab w:val="right" w:leader="dot" w:pos="9062"/>
        </w:tabs>
        <w:ind w:left="440"/>
      </w:pPr>
      <w:hyperlink w:anchor="_Toc2685" w:history="1">
        <w:r>
          <w:rPr>
            <w:rFonts w:ascii="IRNazanin" w:hAnsi="IRNazanin" w:eastAsia="IRNazanin" w:cs="IRNazanin"/>
            <w:color w:val="111111"/>
            <w:sz w:val="22"/>
            <w:szCs w:val="22"/>
            <w:b w:val="0"/>
            <w:bCs w:val="0"/>
            <w:i w:val="0"/>
            <w:iCs w:val="0"/>
          </w:rPr>
          <w:t>2085- دیوان ربیع گرگانی مازندرانی‏</w:t>
        </w:r>
        <w:r>
          <w:tab/>
        </w:r>
        <w:r>
          <w:fldChar w:fldCharType="begin"/>
        </w:r>
        <w:r>
          <w:instrText xml:space="preserve">PAGEREF 2685 \h</w:instrText>
        </w:r>
        <w:r>
          <w:fldChar w:fldCharType="end"/>
        </w:r>
      </w:hyperlink>
    </w:p>
    <w:p>
      <w:pPr>
        <w:tabs>
          <w:tab w:val="right" w:leader="dot" w:pos="9062"/>
        </w:tabs>
        <w:ind w:left="440"/>
      </w:pPr>
      <w:hyperlink w:anchor="_Toc2686" w:history="1">
        <w:r>
          <w:rPr>
            <w:rFonts w:ascii="IRNazanin" w:hAnsi="IRNazanin" w:eastAsia="IRNazanin" w:cs="IRNazanin"/>
            <w:color w:val="111111"/>
            <w:sz w:val="22"/>
            <w:szCs w:val="22"/>
            <w:b w:val="0"/>
            <w:bCs w:val="0"/>
            <w:i w:val="0"/>
            <w:iCs w:val="0"/>
          </w:rPr>
          <w:t>2086- دیوان الربیعی النجفی‏</w:t>
        </w:r>
        <w:r>
          <w:tab/>
        </w:r>
        <w:r>
          <w:fldChar w:fldCharType="begin"/>
        </w:r>
        <w:r>
          <w:instrText xml:space="preserve">PAGEREF 2686 \h</w:instrText>
        </w:r>
        <w:r>
          <w:fldChar w:fldCharType="end"/>
        </w:r>
      </w:hyperlink>
    </w:p>
    <w:p>
      <w:pPr>
        <w:tabs>
          <w:tab w:val="right" w:leader="dot" w:pos="9062"/>
        </w:tabs>
        <w:ind w:left="440"/>
      </w:pPr>
      <w:hyperlink w:anchor="_Toc2687" w:history="1">
        <w:r>
          <w:rPr>
            <w:rFonts w:ascii="IRNazanin" w:hAnsi="IRNazanin" w:eastAsia="IRNazanin" w:cs="IRNazanin"/>
            <w:color w:val="111111"/>
            <w:sz w:val="22"/>
            <w:szCs w:val="22"/>
            <w:b w:val="0"/>
            <w:bCs w:val="0"/>
            <w:i w:val="0"/>
            <w:iCs w:val="0"/>
          </w:rPr>
          <w:t>2087- دیوان رجاء زفره‏ای الأصفهانی‏</w:t>
        </w:r>
        <w:r>
          <w:tab/>
        </w:r>
        <w:r>
          <w:fldChar w:fldCharType="begin"/>
        </w:r>
        <w:r>
          <w:instrText xml:space="preserve">PAGEREF 2687 \h</w:instrText>
        </w:r>
        <w:r>
          <w:fldChar w:fldCharType="end"/>
        </w:r>
      </w:hyperlink>
    </w:p>
    <w:p>
      <w:pPr>
        <w:tabs>
          <w:tab w:val="right" w:leader="dot" w:pos="9062"/>
        </w:tabs>
        <w:ind w:left="440"/>
      </w:pPr>
      <w:hyperlink w:anchor="_Toc2688" w:history="1">
        <w:r>
          <w:rPr>
            <w:rFonts w:ascii="IRNazanin" w:hAnsi="IRNazanin" w:eastAsia="IRNazanin" w:cs="IRNazanin"/>
            <w:color w:val="111111"/>
            <w:sz w:val="22"/>
            <w:szCs w:val="22"/>
            <w:b w:val="0"/>
            <w:bCs w:val="0"/>
            <w:i w:val="0"/>
            <w:iCs w:val="0"/>
          </w:rPr>
          <w:t>2088- دیوان رجاء غزنوی‏</w:t>
        </w:r>
        <w:r>
          <w:tab/>
        </w:r>
        <w:r>
          <w:fldChar w:fldCharType="begin"/>
        </w:r>
        <w:r>
          <w:instrText xml:space="preserve">PAGEREF 2688 \h</w:instrText>
        </w:r>
        <w:r>
          <w:fldChar w:fldCharType="end"/>
        </w:r>
      </w:hyperlink>
    </w:p>
    <w:p>
      <w:pPr>
        <w:tabs>
          <w:tab w:val="right" w:leader="dot" w:pos="9062"/>
        </w:tabs>
        <w:ind w:left="440"/>
      </w:pPr>
      <w:hyperlink w:anchor="_Toc2689" w:history="1">
        <w:r>
          <w:rPr>
            <w:rFonts w:ascii="IRNazanin" w:hAnsi="IRNazanin" w:eastAsia="IRNazanin" w:cs="IRNazanin"/>
            <w:color w:val="111111"/>
            <w:sz w:val="22"/>
            <w:szCs w:val="22"/>
            <w:b w:val="0"/>
            <w:bCs w:val="0"/>
            <w:i w:val="0"/>
            <w:iCs w:val="0"/>
          </w:rPr>
          <w:t>2089- دیوان رجائی أصفهانی أو شعره‏</w:t>
        </w:r>
        <w:r>
          <w:tab/>
        </w:r>
        <w:r>
          <w:fldChar w:fldCharType="begin"/>
        </w:r>
        <w:r>
          <w:instrText xml:space="preserve">PAGEREF 2689 \h</w:instrText>
        </w:r>
        <w:r>
          <w:fldChar w:fldCharType="end"/>
        </w:r>
      </w:hyperlink>
    </w:p>
    <w:p>
      <w:pPr>
        <w:tabs>
          <w:tab w:val="right" w:leader="dot" w:pos="9062"/>
        </w:tabs>
        <w:ind w:left="440"/>
      </w:pPr>
      <w:hyperlink w:anchor="_Toc2690" w:history="1">
        <w:r>
          <w:rPr>
            <w:rFonts w:ascii="IRNazanin" w:hAnsi="IRNazanin" w:eastAsia="IRNazanin" w:cs="IRNazanin"/>
            <w:color w:val="111111"/>
            <w:sz w:val="22"/>
            <w:szCs w:val="22"/>
            <w:b w:val="0"/>
            <w:bCs w:val="0"/>
            <w:i w:val="0"/>
            <w:iCs w:val="0"/>
          </w:rPr>
          <w:t>2090- دیوان رجائی الأصفهانی أو شعره‏</w:t>
        </w:r>
        <w:r>
          <w:tab/>
        </w:r>
        <w:r>
          <w:fldChar w:fldCharType="begin"/>
        </w:r>
        <w:r>
          <w:instrText xml:space="preserve">PAGEREF 2690 \h</w:instrText>
        </w:r>
        <w:r>
          <w:fldChar w:fldCharType="end"/>
        </w:r>
      </w:hyperlink>
    </w:p>
    <w:p>
      <w:pPr>
        <w:tabs>
          <w:tab w:val="right" w:leader="dot" w:pos="9062"/>
        </w:tabs>
        <w:ind w:left="440"/>
      </w:pPr>
      <w:hyperlink w:anchor="_Toc2691" w:history="1">
        <w:r>
          <w:rPr>
            <w:rFonts w:ascii="IRNazanin" w:hAnsi="IRNazanin" w:eastAsia="IRNazanin" w:cs="IRNazanin"/>
            <w:color w:val="111111"/>
            <w:sz w:val="22"/>
            <w:szCs w:val="22"/>
            <w:b w:val="0"/>
            <w:bCs w:val="0"/>
            <w:i w:val="0"/>
            <w:iCs w:val="0"/>
          </w:rPr>
          <w:t>2091- دیوان رجائی شیرازی‏</w:t>
        </w:r>
        <w:r>
          <w:tab/>
        </w:r>
        <w:r>
          <w:fldChar w:fldCharType="begin"/>
        </w:r>
        <w:r>
          <w:instrText xml:space="preserve">PAGEREF 2691 \h</w:instrText>
        </w:r>
        <w:r>
          <w:fldChar w:fldCharType="end"/>
        </w:r>
      </w:hyperlink>
    </w:p>
    <w:p>
      <w:pPr>
        <w:tabs>
          <w:tab w:val="right" w:leader="dot" w:pos="9062"/>
        </w:tabs>
        <w:ind w:left="440"/>
      </w:pPr>
      <w:hyperlink w:anchor="_Toc2692" w:history="1">
        <w:r>
          <w:rPr>
            <w:rFonts w:ascii="IRNazanin" w:hAnsi="IRNazanin" w:eastAsia="IRNazanin" w:cs="IRNazanin"/>
            <w:color w:val="111111"/>
            <w:sz w:val="22"/>
            <w:szCs w:val="22"/>
            <w:b w:val="0"/>
            <w:bCs w:val="0"/>
            <w:i w:val="0"/>
            <w:iCs w:val="0"/>
          </w:rPr>
          <w:t>2092- دیوان رجائی هروی أو شعره‏</w:t>
        </w:r>
        <w:r>
          <w:tab/>
        </w:r>
        <w:r>
          <w:fldChar w:fldCharType="begin"/>
        </w:r>
        <w:r>
          <w:instrText xml:space="preserve">PAGEREF 2692 \h</w:instrText>
        </w:r>
        <w:r>
          <w:fldChar w:fldCharType="end"/>
        </w:r>
      </w:hyperlink>
    </w:p>
    <w:p>
      <w:pPr>
        <w:tabs>
          <w:tab w:val="right" w:leader="dot" w:pos="9062"/>
        </w:tabs>
        <w:ind w:left="440"/>
      </w:pPr>
      <w:hyperlink w:anchor="_Toc2693" w:history="1">
        <w:r>
          <w:rPr>
            <w:rFonts w:ascii="IRNazanin" w:hAnsi="IRNazanin" w:eastAsia="IRNazanin" w:cs="IRNazanin"/>
            <w:color w:val="111111"/>
            <w:sz w:val="22"/>
            <w:szCs w:val="22"/>
            <w:b w:val="0"/>
            <w:bCs w:val="0"/>
            <w:i w:val="0"/>
            <w:iCs w:val="0"/>
          </w:rPr>
          <w:t>دیوان الشیخ رجب البرسی الحروفی‏</w:t>
        </w:r>
        <w:r>
          <w:tab/>
        </w:r>
        <w:r>
          <w:fldChar w:fldCharType="begin"/>
        </w:r>
        <w:r>
          <w:instrText xml:space="preserve">PAGEREF 2693 \h</w:instrText>
        </w:r>
        <w:r>
          <w:fldChar w:fldCharType="end"/>
        </w:r>
      </w:hyperlink>
    </w:p>
    <w:p>
      <w:pPr>
        <w:tabs>
          <w:tab w:val="right" w:leader="dot" w:pos="9062"/>
        </w:tabs>
        <w:ind w:left="440"/>
      </w:pPr>
      <w:hyperlink w:anchor="_Toc2694" w:history="1">
        <w:r>
          <w:rPr>
            <w:rFonts w:ascii="IRNazanin" w:hAnsi="IRNazanin" w:eastAsia="IRNazanin" w:cs="IRNazanin"/>
            <w:color w:val="111111"/>
            <w:sz w:val="22"/>
            <w:szCs w:val="22"/>
            <w:b w:val="0"/>
            <w:bCs w:val="0"/>
            <w:i w:val="0"/>
            <w:iCs w:val="0"/>
          </w:rPr>
          <w:t>دیوان الملا رجب علی التبریزی‏</w:t>
        </w:r>
        <w:r>
          <w:tab/>
        </w:r>
        <w:r>
          <w:fldChar w:fldCharType="begin"/>
        </w:r>
        <w:r>
          <w:instrText xml:space="preserve">PAGEREF 2694 \h</w:instrText>
        </w:r>
        <w:r>
          <w:fldChar w:fldCharType="end"/>
        </w:r>
      </w:hyperlink>
    </w:p>
    <w:p>
      <w:pPr>
        <w:tabs>
          <w:tab w:val="right" w:leader="dot" w:pos="9062"/>
        </w:tabs>
        <w:ind w:left="440"/>
      </w:pPr>
      <w:hyperlink w:anchor="_Toc2695" w:history="1">
        <w:r>
          <w:rPr>
            <w:rFonts w:ascii="IRNazanin" w:hAnsi="IRNazanin" w:eastAsia="IRNazanin" w:cs="IRNazanin"/>
            <w:color w:val="111111"/>
            <w:sz w:val="22"/>
            <w:szCs w:val="22"/>
            <w:b w:val="0"/>
            <w:bCs w:val="0"/>
            <w:i w:val="0"/>
            <w:iCs w:val="0"/>
          </w:rPr>
          <w:t>2093- دیوان رجوی‏</w:t>
        </w:r>
        <w:r>
          <w:tab/>
        </w:r>
        <w:r>
          <w:fldChar w:fldCharType="begin"/>
        </w:r>
        <w:r>
          <w:instrText xml:space="preserve">PAGEREF 2695 \h</w:instrText>
        </w:r>
        <w:r>
          <w:fldChar w:fldCharType="end"/>
        </w:r>
      </w:hyperlink>
    </w:p>
    <w:p>
      <w:pPr>
        <w:tabs>
          <w:tab w:val="right" w:leader="dot" w:pos="9062"/>
        </w:tabs>
        <w:ind w:left="440"/>
      </w:pPr>
      <w:hyperlink w:anchor="_Toc2696" w:history="1">
        <w:r>
          <w:rPr>
            <w:rFonts w:ascii="IRNazanin" w:hAnsi="IRNazanin" w:eastAsia="IRNazanin" w:cs="IRNazanin"/>
            <w:color w:val="111111"/>
            <w:sz w:val="22"/>
            <w:szCs w:val="22"/>
            <w:b w:val="0"/>
            <w:bCs w:val="0"/>
            <w:i w:val="0"/>
            <w:iCs w:val="0"/>
          </w:rPr>
          <w:t>2094- دیوان رحمت أصفهانی أو شعره‏</w:t>
        </w:r>
        <w:r>
          <w:tab/>
        </w:r>
        <w:r>
          <w:fldChar w:fldCharType="begin"/>
        </w:r>
        <w:r>
          <w:instrText xml:space="preserve">PAGEREF 2696 \h</w:instrText>
        </w:r>
        <w:r>
          <w:fldChar w:fldCharType="end"/>
        </w:r>
      </w:hyperlink>
    </w:p>
    <w:p>
      <w:pPr>
        <w:tabs>
          <w:tab w:val="right" w:leader="dot" w:pos="9062"/>
        </w:tabs>
        <w:ind w:left="440"/>
      </w:pPr>
      <w:hyperlink w:anchor="_Toc2697" w:history="1">
        <w:r>
          <w:rPr>
            <w:rFonts w:ascii="IRNazanin" w:hAnsi="IRNazanin" w:eastAsia="IRNazanin" w:cs="IRNazanin"/>
            <w:color w:val="111111"/>
            <w:sz w:val="22"/>
            <w:szCs w:val="22"/>
            <w:b w:val="0"/>
            <w:bCs w:val="0"/>
            <w:i w:val="0"/>
            <w:iCs w:val="0"/>
          </w:rPr>
          <w:t>دیوان رحمت خان‏</w:t>
        </w:r>
        <w:r>
          <w:tab/>
        </w:r>
        <w:r>
          <w:fldChar w:fldCharType="begin"/>
        </w:r>
        <w:r>
          <w:instrText xml:space="preserve">PAGEREF 2697 \h</w:instrText>
        </w:r>
        <w:r>
          <w:fldChar w:fldCharType="end"/>
        </w:r>
      </w:hyperlink>
    </w:p>
    <w:p>
      <w:pPr>
        <w:tabs>
          <w:tab w:val="right" w:leader="dot" w:pos="9062"/>
        </w:tabs>
        <w:ind w:left="440"/>
      </w:pPr>
      <w:hyperlink w:anchor="_Toc2698" w:history="1">
        <w:r>
          <w:rPr>
            <w:rFonts w:ascii="IRNazanin" w:hAnsi="IRNazanin" w:eastAsia="IRNazanin" w:cs="IRNazanin"/>
            <w:color w:val="111111"/>
            <w:sz w:val="22"/>
            <w:szCs w:val="22"/>
            <w:b w:val="0"/>
            <w:bCs w:val="0"/>
            <w:i w:val="0"/>
            <w:iCs w:val="0"/>
          </w:rPr>
          <w:t>2095- دیوان رحمت شیرازی أو شعره‏</w:t>
        </w:r>
        <w:r>
          <w:tab/>
        </w:r>
        <w:r>
          <w:fldChar w:fldCharType="begin"/>
        </w:r>
        <w:r>
          <w:instrText xml:space="preserve">PAGEREF 2698 \h</w:instrText>
        </w:r>
        <w:r>
          <w:fldChar w:fldCharType="end"/>
        </w:r>
      </w:hyperlink>
    </w:p>
    <w:p>
      <w:pPr>
        <w:tabs>
          <w:tab w:val="right" w:leader="dot" w:pos="9062"/>
        </w:tabs>
        <w:ind w:left="440"/>
      </w:pPr>
      <w:hyperlink w:anchor="_Toc2699" w:history="1">
        <w:r>
          <w:rPr>
            <w:rFonts w:ascii="IRNazanin" w:hAnsi="IRNazanin" w:eastAsia="IRNazanin" w:cs="IRNazanin"/>
            <w:color w:val="111111"/>
            <w:sz w:val="22"/>
            <w:szCs w:val="22"/>
            <w:b w:val="0"/>
            <w:bCs w:val="0"/>
            <w:i w:val="0"/>
            <w:iCs w:val="0"/>
          </w:rPr>
          <w:t>2096- دیوان رحمت شیرازی‏</w:t>
        </w:r>
        <w:r>
          <w:tab/>
        </w:r>
        <w:r>
          <w:fldChar w:fldCharType="begin"/>
        </w:r>
        <w:r>
          <w:instrText xml:space="preserve">PAGEREF 2699 \h</w:instrText>
        </w:r>
        <w:r>
          <w:fldChar w:fldCharType="end"/>
        </w:r>
      </w:hyperlink>
    </w:p>
    <w:p>
      <w:pPr>
        <w:tabs>
          <w:tab w:val="right" w:leader="dot" w:pos="9062"/>
        </w:tabs>
        <w:ind w:left="440"/>
      </w:pPr>
      <w:hyperlink w:anchor="_Toc2700" w:history="1">
        <w:r>
          <w:rPr>
            <w:rFonts w:ascii="IRNazanin" w:hAnsi="IRNazanin" w:eastAsia="IRNazanin" w:cs="IRNazanin"/>
            <w:color w:val="111111"/>
            <w:sz w:val="22"/>
            <w:szCs w:val="22"/>
            <w:b w:val="0"/>
            <w:bCs w:val="0"/>
            <w:i w:val="0"/>
            <w:iCs w:val="0"/>
          </w:rPr>
          <w:t>2097- دیوان رحمت علی شاه‏</w:t>
        </w:r>
        <w:r>
          <w:tab/>
        </w:r>
        <w:r>
          <w:fldChar w:fldCharType="begin"/>
        </w:r>
        <w:r>
          <w:instrText xml:space="preserve">PAGEREF 2700 \h</w:instrText>
        </w:r>
        <w:r>
          <w:fldChar w:fldCharType="end"/>
        </w:r>
      </w:hyperlink>
    </w:p>
    <w:p>
      <w:pPr>
        <w:tabs>
          <w:tab w:val="right" w:leader="dot" w:pos="9062"/>
        </w:tabs>
        <w:ind w:left="440"/>
      </w:pPr>
      <w:hyperlink w:anchor="_Toc2701" w:history="1">
        <w:r>
          <w:rPr>
            <w:rFonts w:ascii="IRNazanin" w:hAnsi="IRNazanin" w:eastAsia="IRNazanin" w:cs="IRNazanin"/>
            <w:color w:val="111111"/>
            <w:sz w:val="22"/>
            <w:szCs w:val="22"/>
            <w:b w:val="0"/>
            <w:bCs w:val="0"/>
            <w:i w:val="0"/>
            <w:iCs w:val="0"/>
          </w:rPr>
          <w:t>2098- دیوان رحمتی تبریزی‏</w:t>
        </w:r>
        <w:r>
          <w:tab/>
        </w:r>
        <w:r>
          <w:fldChar w:fldCharType="begin"/>
        </w:r>
        <w:r>
          <w:instrText xml:space="preserve">PAGEREF 2701 \h</w:instrText>
        </w:r>
        <w:r>
          <w:fldChar w:fldCharType="end"/>
        </w:r>
      </w:hyperlink>
    </w:p>
    <w:p>
      <w:pPr>
        <w:tabs>
          <w:tab w:val="right" w:leader="dot" w:pos="9062"/>
        </w:tabs>
        <w:ind w:left="440"/>
      </w:pPr>
      <w:hyperlink w:anchor="_Toc2702" w:history="1">
        <w:r>
          <w:rPr>
            <w:rFonts w:ascii="IRNazanin" w:hAnsi="IRNazanin" w:eastAsia="IRNazanin" w:cs="IRNazanin"/>
            <w:color w:val="111111"/>
            <w:sz w:val="22"/>
            <w:szCs w:val="22"/>
            <w:b w:val="0"/>
            <w:bCs w:val="0"/>
            <w:i w:val="0"/>
            <w:iCs w:val="0"/>
          </w:rPr>
          <w:t>2099- دیوان رحمی بخاری أو شعره‏</w:t>
        </w:r>
        <w:r>
          <w:tab/>
        </w:r>
        <w:r>
          <w:fldChar w:fldCharType="begin"/>
        </w:r>
        <w:r>
          <w:instrText xml:space="preserve">PAGEREF 2702 \h</w:instrText>
        </w:r>
        <w:r>
          <w:fldChar w:fldCharType="end"/>
        </w:r>
      </w:hyperlink>
    </w:p>
    <w:p>
      <w:pPr>
        <w:tabs>
          <w:tab w:val="right" w:leader="dot" w:pos="9062"/>
        </w:tabs>
        <w:ind w:left="440"/>
      </w:pPr>
      <w:hyperlink w:anchor="_Toc2703" w:history="1">
        <w:r>
          <w:rPr>
            <w:rFonts w:ascii="IRNazanin" w:hAnsi="IRNazanin" w:eastAsia="IRNazanin" w:cs="IRNazanin"/>
            <w:color w:val="111111"/>
            <w:sz w:val="22"/>
            <w:szCs w:val="22"/>
            <w:b w:val="0"/>
            <w:bCs w:val="0"/>
            <w:i w:val="0"/>
            <w:iCs w:val="0"/>
          </w:rPr>
          <w:t>2100- دیوان رحمی لاهیجی أو شعره‏</w:t>
        </w:r>
        <w:r>
          <w:tab/>
        </w:r>
        <w:r>
          <w:fldChar w:fldCharType="begin"/>
        </w:r>
        <w:r>
          <w:instrText xml:space="preserve">PAGEREF 2703 \h</w:instrText>
        </w:r>
        <w:r>
          <w:fldChar w:fldCharType="end"/>
        </w:r>
      </w:hyperlink>
    </w:p>
    <w:p>
      <w:pPr>
        <w:tabs>
          <w:tab w:val="right" w:leader="dot" w:pos="9062"/>
        </w:tabs>
        <w:ind w:left="440"/>
      </w:pPr>
      <w:hyperlink w:anchor="_Toc2704" w:history="1">
        <w:r>
          <w:rPr>
            <w:rFonts w:ascii="IRNazanin" w:hAnsi="IRNazanin" w:eastAsia="IRNazanin" w:cs="IRNazanin"/>
            <w:color w:val="111111"/>
            <w:sz w:val="22"/>
            <w:szCs w:val="22"/>
            <w:b w:val="0"/>
            <w:bCs w:val="0"/>
            <w:i w:val="0"/>
            <w:iCs w:val="0"/>
          </w:rPr>
          <w:t>2101- دیوان رحمی أصفهانی أو شعره‏</w:t>
        </w:r>
        <w:r>
          <w:tab/>
        </w:r>
        <w:r>
          <w:fldChar w:fldCharType="begin"/>
        </w:r>
        <w:r>
          <w:instrText xml:space="preserve">PAGEREF 2704 \h</w:instrText>
        </w:r>
        <w:r>
          <w:fldChar w:fldCharType="end"/>
        </w:r>
      </w:hyperlink>
    </w:p>
    <w:p>
      <w:pPr>
        <w:tabs>
          <w:tab w:val="right" w:leader="dot" w:pos="9062"/>
        </w:tabs>
        <w:ind w:left="440"/>
      </w:pPr>
      <w:hyperlink w:anchor="_Toc2705" w:history="1">
        <w:r>
          <w:rPr>
            <w:rFonts w:ascii="IRNazanin" w:hAnsi="IRNazanin" w:eastAsia="IRNazanin" w:cs="IRNazanin"/>
            <w:color w:val="111111"/>
            <w:sz w:val="22"/>
            <w:szCs w:val="22"/>
            <w:b w:val="0"/>
            <w:bCs w:val="0"/>
            <w:i w:val="0"/>
            <w:iCs w:val="0"/>
          </w:rPr>
          <w:t>دیوان رحیم أصفهانی‏</w:t>
        </w:r>
        <w:r>
          <w:tab/>
        </w:r>
        <w:r>
          <w:fldChar w:fldCharType="begin"/>
        </w:r>
        <w:r>
          <w:instrText xml:space="preserve">PAGEREF 2705 \h</w:instrText>
        </w:r>
        <w:r>
          <w:fldChar w:fldCharType="end"/>
        </w:r>
      </w:hyperlink>
    </w:p>
    <w:p>
      <w:pPr>
        <w:tabs>
          <w:tab w:val="right" w:leader="dot" w:pos="9062"/>
        </w:tabs>
        <w:ind w:left="440"/>
      </w:pPr>
      <w:hyperlink w:anchor="_Toc2706" w:history="1">
        <w:r>
          <w:rPr>
            <w:rFonts w:ascii="IRNazanin" w:hAnsi="IRNazanin" w:eastAsia="IRNazanin" w:cs="IRNazanin"/>
            <w:color w:val="111111"/>
            <w:sz w:val="22"/>
            <w:szCs w:val="22"/>
            <w:b w:val="0"/>
            <w:bCs w:val="0"/>
            <w:i w:val="0"/>
            <w:iCs w:val="0"/>
          </w:rPr>
          <w:t>دیوان رحیم هندی‏</w:t>
        </w:r>
        <w:r>
          <w:tab/>
        </w:r>
        <w:r>
          <w:fldChar w:fldCharType="begin"/>
        </w:r>
        <w:r>
          <w:instrText xml:space="preserve">PAGEREF 2706 \h</w:instrText>
        </w:r>
        <w:r>
          <w:fldChar w:fldCharType="end"/>
        </w:r>
      </w:hyperlink>
    </w:p>
    <w:p>
      <w:pPr>
        <w:tabs>
          <w:tab w:val="right" w:leader="dot" w:pos="9062"/>
        </w:tabs>
        <w:ind w:left="440"/>
      </w:pPr>
      <w:hyperlink w:anchor="_Toc2707" w:history="1">
        <w:r>
          <w:rPr>
            <w:rFonts w:ascii="IRNazanin" w:hAnsi="IRNazanin" w:eastAsia="IRNazanin" w:cs="IRNazanin"/>
            <w:color w:val="111111"/>
            <w:sz w:val="22"/>
            <w:szCs w:val="22"/>
            <w:b w:val="0"/>
            <w:bCs w:val="0"/>
            <w:i w:val="0"/>
            <w:iCs w:val="0"/>
          </w:rPr>
          <w:t>2102- دیوان رحیمی‏</w:t>
        </w:r>
        <w:r>
          <w:tab/>
        </w:r>
        <w:r>
          <w:fldChar w:fldCharType="begin"/>
        </w:r>
        <w:r>
          <w:instrText xml:space="preserve">PAGEREF 2707 \h</w:instrText>
        </w:r>
        <w:r>
          <w:fldChar w:fldCharType="end"/>
        </w:r>
      </w:hyperlink>
    </w:p>
    <w:p>
      <w:pPr>
        <w:tabs>
          <w:tab w:val="right" w:leader="dot" w:pos="9062"/>
        </w:tabs>
        <w:ind w:left="440"/>
      </w:pPr>
      <w:hyperlink w:anchor="_Toc2708" w:history="1">
        <w:r>
          <w:rPr>
            <w:rFonts w:ascii="IRNazanin" w:hAnsi="IRNazanin" w:eastAsia="IRNazanin" w:cs="IRNazanin"/>
            <w:color w:val="111111"/>
            <w:sz w:val="22"/>
            <w:szCs w:val="22"/>
            <w:b w:val="0"/>
            <w:bCs w:val="0"/>
            <w:i w:val="0"/>
            <w:iCs w:val="0"/>
          </w:rPr>
          <w:t>2103- دیوان رحیمی تونی أو شعره‏</w:t>
        </w:r>
        <w:r>
          <w:tab/>
        </w:r>
        <w:r>
          <w:fldChar w:fldCharType="begin"/>
        </w:r>
        <w:r>
          <w:instrText xml:space="preserve">PAGEREF 2708 \h</w:instrText>
        </w:r>
        <w:r>
          <w:fldChar w:fldCharType="end"/>
        </w:r>
      </w:hyperlink>
    </w:p>
    <w:p>
      <w:pPr>
        <w:tabs>
          <w:tab w:val="right" w:leader="dot" w:pos="9062"/>
        </w:tabs>
        <w:ind w:left="440"/>
      </w:pPr>
      <w:hyperlink w:anchor="_Toc2709" w:history="1">
        <w:r>
          <w:rPr>
            <w:rFonts w:ascii="IRNazanin" w:hAnsi="IRNazanin" w:eastAsia="IRNazanin" w:cs="IRNazanin"/>
            <w:color w:val="111111"/>
            <w:sz w:val="22"/>
            <w:szCs w:val="22"/>
            <w:b w:val="0"/>
            <w:bCs w:val="0"/>
            <w:i w:val="0"/>
            <w:iCs w:val="0"/>
          </w:rPr>
          <w:t>2104- دیوان رحیمی طهرانی أو شعره‏</w:t>
        </w:r>
        <w:r>
          <w:tab/>
        </w:r>
        <w:r>
          <w:fldChar w:fldCharType="begin"/>
        </w:r>
        <w:r>
          <w:instrText xml:space="preserve">PAGEREF 2709 \h</w:instrText>
        </w:r>
        <w:r>
          <w:fldChar w:fldCharType="end"/>
        </w:r>
      </w:hyperlink>
    </w:p>
    <w:p>
      <w:pPr>
        <w:tabs>
          <w:tab w:val="right" w:leader="dot" w:pos="9062"/>
        </w:tabs>
        <w:ind w:left="440"/>
      </w:pPr>
      <w:hyperlink w:anchor="_Toc2710" w:history="1">
        <w:r>
          <w:rPr>
            <w:rFonts w:ascii="IRNazanin" w:hAnsi="IRNazanin" w:eastAsia="IRNazanin" w:cs="IRNazanin"/>
            <w:color w:val="111111"/>
            <w:sz w:val="22"/>
            <w:szCs w:val="22"/>
            <w:b w:val="0"/>
            <w:bCs w:val="0"/>
            <w:i w:val="0"/>
            <w:iCs w:val="0"/>
          </w:rPr>
          <w:t>2105- دیوان رحیمی هندی‏</w:t>
        </w:r>
        <w:r>
          <w:tab/>
        </w:r>
        <w:r>
          <w:fldChar w:fldCharType="begin"/>
        </w:r>
        <w:r>
          <w:instrText xml:space="preserve">PAGEREF 2710 \h</w:instrText>
        </w:r>
        <w:r>
          <w:fldChar w:fldCharType="end"/>
        </w:r>
      </w:hyperlink>
    </w:p>
    <w:p>
      <w:pPr>
        <w:tabs>
          <w:tab w:val="right" w:leader="dot" w:pos="9062"/>
        </w:tabs>
        <w:ind w:left="440"/>
      </w:pPr>
      <w:hyperlink w:anchor="_Toc2711" w:history="1">
        <w:r>
          <w:rPr>
            <w:rFonts w:ascii="IRNazanin" w:hAnsi="IRNazanin" w:eastAsia="IRNazanin" w:cs="IRNazanin"/>
            <w:color w:val="111111"/>
            <w:sz w:val="22"/>
            <w:szCs w:val="22"/>
            <w:b w:val="0"/>
            <w:bCs w:val="0"/>
            <w:i w:val="0"/>
            <w:iCs w:val="0"/>
          </w:rPr>
          <w:t>2106- دیوان رزمی‏</w:t>
        </w:r>
        <w:r>
          <w:tab/>
        </w:r>
        <w:r>
          <w:fldChar w:fldCharType="begin"/>
        </w:r>
        <w:r>
          <w:instrText xml:space="preserve">PAGEREF 2711 \h</w:instrText>
        </w:r>
        <w:r>
          <w:fldChar w:fldCharType="end"/>
        </w:r>
      </w:hyperlink>
    </w:p>
    <w:p>
      <w:pPr>
        <w:tabs>
          <w:tab w:val="right" w:leader="dot" w:pos="9062"/>
        </w:tabs>
        <w:ind w:left="440"/>
      </w:pPr>
      <w:hyperlink w:anchor="_Toc2712" w:history="1">
        <w:r>
          <w:rPr>
            <w:rFonts w:ascii="IRNazanin" w:hAnsi="IRNazanin" w:eastAsia="IRNazanin" w:cs="IRNazanin"/>
            <w:color w:val="111111"/>
            <w:sz w:val="22"/>
            <w:szCs w:val="22"/>
            <w:b w:val="0"/>
            <w:bCs w:val="0"/>
            <w:i w:val="0"/>
            <w:iCs w:val="0"/>
          </w:rPr>
          <w:t>2107- دیوان رسا شاه‏جهان‏آبادی أو شعره‏</w:t>
        </w:r>
        <w:r>
          <w:tab/>
        </w:r>
        <w:r>
          <w:fldChar w:fldCharType="begin"/>
        </w:r>
        <w:r>
          <w:instrText xml:space="preserve">PAGEREF 2712 \h</w:instrText>
        </w:r>
        <w:r>
          <w:fldChar w:fldCharType="end"/>
        </w:r>
      </w:hyperlink>
    </w:p>
    <w:p>
      <w:pPr>
        <w:tabs>
          <w:tab w:val="right" w:leader="dot" w:pos="9062"/>
        </w:tabs>
        <w:ind w:left="440"/>
      </w:pPr>
      <w:hyperlink w:anchor="_Toc2713" w:history="1">
        <w:r>
          <w:rPr>
            <w:rFonts w:ascii="IRNazanin" w:hAnsi="IRNazanin" w:eastAsia="IRNazanin" w:cs="IRNazanin"/>
            <w:color w:val="111111"/>
            <w:sz w:val="22"/>
            <w:szCs w:val="22"/>
            <w:b w:val="0"/>
            <w:bCs w:val="0"/>
            <w:i w:val="0"/>
            <w:iCs w:val="0"/>
          </w:rPr>
          <w:t>2108- دیوان رسا أکبرآبادی أو شعره‏</w:t>
        </w:r>
        <w:r>
          <w:tab/>
        </w:r>
        <w:r>
          <w:fldChar w:fldCharType="begin"/>
        </w:r>
        <w:r>
          <w:instrText xml:space="preserve">PAGEREF 2713 \h</w:instrText>
        </w:r>
        <w:r>
          <w:fldChar w:fldCharType="end"/>
        </w:r>
      </w:hyperlink>
    </w:p>
    <w:p>
      <w:pPr>
        <w:tabs>
          <w:tab w:val="right" w:leader="dot" w:pos="9062"/>
        </w:tabs>
        <w:ind w:left="440"/>
      </w:pPr>
      <w:hyperlink w:anchor="_Toc2714" w:history="1">
        <w:r>
          <w:rPr>
            <w:rFonts w:ascii="IRNazanin" w:hAnsi="IRNazanin" w:eastAsia="IRNazanin" w:cs="IRNazanin"/>
            <w:color w:val="111111"/>
            <w:sz w:val="22"/>
            <w:szCs w:val="22"/>
            <w:b w:val="0"/>
            <w:bCs w:val="0"/>
            <w:i w:val="0"/>
            <w:iCs w:val="0"/>
          </w:rPr>
          <w:t>2109- دیوان رستم بیک أو شعره‏</w:t>
        </w:r>
        <w:r>
          <w:tab/>
        </w:r>
        <w:r>
          <w:fldChar w:fldCharType="begin"/>
        </w:r>
        <w:r>
          <w:instrText xml:space="preserve">PAGEREF 2714 \h</w:instrText>
        </w:r>
        <w:r>
          <w:fldChar w:fldCharType="end"/>
        </w:r>
      </w:hyperlink>
    </w:p>
    <w:p>
      <w:pPr>
        <w:tabs>
          <w:tab w:val="right" w:leader="dot" w:pos="9062"/>
        </w:tabs>
        <w:ind w:left="440"/>
      </w:pPr>
      <w:hyperlink w:anchor="_Toc2715" w:history="1">
        <w:r>
          <w:rPr>
            <w:rFonts w:ascii="IRNazanin" w:hAnsi="IRNazanin" w:eastAsia="IRNazanin" w:cs="IRNazanin"/>
            <w:color w:val="111111"/>
            <w:sz w:val="22"/>
            <w:szCs w:val="22"/>
            <w:b w:val="0"/>
            <w:bCs w:val="0"/>
            <w:i w:val="0"/>
            <w:iCs w:val="0"/>
          </w:rPr>
          <w:t>2110- دیوان رستم خوریانی‏</w:t>
        </w:r>
        <w:r>
          <w:tab/>
        </w:r>
        <w:r>
          <w:fldChar w:fldCharType="begin"/>
        </w:r>
        <w:r>
          <w:instrText xml:space="preserve">PAGEREF 2715 \h</w:instrText>
        </w:r>
        <w:r>
          <w:fldChar w:fldCharType="end"/>
        </w:r>
      </w:hyperlink>
    </w:p>
    <w:p>
      <w:pPr>
        <w:tabs>
          <w:tab w:val="right" w:leader="dot" w:pos="9062"/>
        </w:tabs>
        <w:ind w:left="440"/>
      </w:pPr>
      <w:hyperlink w:anchor="_Toc2716" w:history="1">
        <w:r>
          <w:rPr>
            <w:rFonts w:ascii="IRNazanin" w:hAnsi="IRNazanin" w:eastAsia="IRNazanin" w:cs="IRNazanin"/>
            <w:color w:val="111111"/>
            <w:sz w:val="22"/>
            <w:szCs w:val="22"/>
            <w:b w:val="0"/>
            <w:bCs w:val="0"/>
            <w:i w:val="0"/>
            <w:iCs w:val="0"/>
          </w:rPr>
          <w:t>2111- دیوان رستم خان الشیبانی أو شعره‏</w:t>
        </w:r>
        <w:r>
          <w:tab/>
        </w:r>
        <w:r>
          <w:fldChar w:fldCharType="begin"/>
        </w:r>
        <w:r>
          <w:instrText xml:space="preserve">PAGEREF 2716 \h</w:instrText>
        </w:r>
        <w:r>
          <w:fldChar w:fldCharType="end"/>
        </w:r>
      </w:hyperlink>
    </w:p>
    <w:p>
      <w:pPr>
        <w:tabs>
          <w:tab w:val="right" w:leader="dot" w:pos="9062"/>
        </w:tabs>
        <w:ind w:left="440"/>
      </w:pPr>
      <w:hyperlink w:anchor="_Toc2717" w:history="1">
        <w:r>
          <w:rPr>
            <w:rFonts w:ascii="IRNazanin" w:hAnsi="IRNazanin" w:eastAsia="IRNazanin" w:cs="IRNazanin"/>
            <w:color w:val="111111"/>
            <w:sz w:val="22"/>
            <w:szCs w:val="22"/>
            <w:b w:val="0"/>
            <w:bCs w:val="0"/>
            <w:i w:val="0"/>
            <w:iCs w:val="0"/>
          </w:rPr>
          <w:t>دیوان رستم داری،</w:t>
        </w:r>
        <w:r>
          <w:tab/>
        </w:r>
        <w:r>
          <w:fldChar w:fldCharType="begin"/>
        </w:r>
        <w:r>
          <w:instrText xml:space="preserve">PAGEREF 2717 \h</w:instrText>
        </w:r>
        <w:r>
          <w:fldChar w:fldCharType="end"/>
        </w:r>
      </w:hyperlink>
    </w:p>
    <w:p>
      <w:pPr>
        <w:tabs>
          <w:tab w:val="right" w:leader="dot" w:pos="9062"/>
        </w:tabs>
        <w:ind w:left="440"/>
      </w:pPr>
      <w:hyperlink w:anchor="_Toc2718" w:history="1">
        <w:r>
          <w:rPr>
            <w:rFonts w:ascii="IRNazanin" w:hAnsi="IRNazanin" w:eastAsia="IRNazanin" w:cs="IRNazanin"/>
            <w:color w:val="111111"/>
            <w:sz w:val="22"/>
            <w:szCs w:val="22"/>
            <w:b w:val="0"/>
            <w:bCs w:val="0"/>
            <w:i w:val="0"/>
            <w:iCs w:val="0"/>
          </w:rPr>
          <w:t>2112- دیوان میر رستم علی أو شعره‏</w:t>
        </w:r>
        <w:r>
          <w:tab/>
        </w:r>
        <w:r>
          <w:fldChar w:fldCharType="begin"/>
        </w:r>
        <w:r>
          <w:instrText xml:space="preserve">PAGEREF 2718 \h</w:instrText>
        </w:r>
        <w:r>
          <w:fldChar w:fldCharType="end"/>
        </w:r>
      </w:hyperlink>
    </w:p>
    <w:p>
      <w:pPr>
        <w:tabs>
          <w:tab w:val="right" w:leader="dot" w:pos="9062"/>
        </w:tabs>
        <w:ind w:left="440"/>
      </w:pPr>
      <w:hyperlink w:anchor="_Toc2719" w:history="1">
        <w:r>
          <w:rPr>
            <w:rFonts w:ascii="IRNazanin" w:hAnsi="IRNazanin" w:eastAsia="IRNazanin" w:cs="IRNazanin"/>
            <w:color w:val="111111"/>
            <w:sz w:val="22"/>
            <w:szCs w:val="22"/>
            <w:b w:val="0"/>
            <w:bCs w:val="0"/>
            <w:i w:val="0"/>
            <w:iCs w:val="0"/>
          </w:rPr>
          <w:t>2113- دیوان رسمی سمرقندی أو شعره‏</w:t>
        </w:r>
        <w:r>
          <w:tab/>
        </w:r>
        <w:r>
          <w:fldChar w:fldCharType="begin"/>
        </w:r>
        <w:r>
          <w:instrText xml:space="preserve">PAGEREF 2719 \h</w:instrText>
        </w:r>
        <w:r>
          <w:fldChar w:fldCharType="end"/>
        </w:r>
      </w:hyperlink>
    </w:p>
    <w:p>
      <w:pPr>
        <w:tabs>
          <w:tab w:val="right" w:leader="dot" w:pos="9062"/>
        </w:tabs>
        <w:ind w:left="440"/>
      </w:pPr>
      <w:hyperlink w:anchor="_Toc2720" w:history="1">
        <w:r>
          <w:rPr>
            <w:rFonts w:ascii="IRNazanin" w:hAnsi="IRNazanin" w:eastAsia="IRNazanin" w:cs="IRNazanin"/>
            <w:color w:val="111111"/>
            <w:sz w:val="22"/>
            <w:szCs w:val="22"/>
            <w:b w:val="0"/>
            <w:bCs w:val="0"/>
            <w:i w:val="0"/>
            <w:iCs w:val="0"/>
          </w:rPr>
          <w:t>دیوان رسمی لاهیجی‏</w:t>
        </w:r>
        <w:r>
          <w:tab/>
        </w:r>
        <w:r>
          <w:fldChar w:fldCharType="begin"/>
        </w:r>
        <w:r>
          <w:instrText xml:space="preserve">PAGEREF 2720 \h</w:instrText>
        </w:r>
        <w:r>
          <w:fldChar w:fldCharType="end"/>
        </w:r>
      </w:hyperlink>
    </w:p>
    <w:p>
      <w:pPr>
        <w:tabs>
          <w:tab w:val="right" w:leader="dot" w:pos="9062"/>
        </w:tabs>
        <w:ind w:left="440"/>
      </w:pPr>
      <w:hyperlink w:anchor="_Toc2721" w:history="1">
        <w:r>
          <w:rPr>
            <w:rFonts w:ascii="IRNazanin" w:hAnsi="IRNazanin" w:eastAsia="IRNazanin" w:cs="IRNazanin"/>
            <w:color w:val="111111"/>
            <w:sz w:val="22"/>
            <w:szCs w:val="22"/>
            <w:b w:val="0"/>
            <w:bCs w:val="0"/>
            <w:i w:val="0"/>
            <w:iCs w:val="0"/>
          </w:rPr>
          <w:t>2114- دیوان رسمی میانجی أو شعره‏</w:t>
        </w:r>
        <w:r>
          <w:tab/>
        </w:r>
        <w:r>
          <w:fldChar w:fldCharType="begin"/>
        </w:r>
        <w:r>
          <w:instrText xml:space="preserve">PAGEREF 2721 \h</w:instrText>
        </w:r>
        <w:r>
          <w:fldChar w:fldCharType="end"/>
        </w:r>
      </w:hyperlink>
    </w:p>
    <w:p>
      <w:pPr>
        <w:tabs>
          <w:tab w:val="right" w:leader="dot" w:pos="9062"/>
        </w:tabs>
        <w:ind w:left="440"/>
      </w:pPr>
      <w:hyperlink w:anchor="_Toc2722" w:history="1">
        <w:r>
          <w:rPr>
            <w:rFonts w:ascii="IRNazanin" w:hAnsi="IRNazanin" w:eastAsia="IRNazanin" w:cs="IRNazanin"/>
            <w:color w:val="111111"/>
            <w:sz w:val="22"/>
            <w:szCs w:val="22"/>
            <w:b w:val="0"/>
            <w:bCs w:val="0"/>
            <w:i w:val="0"/>
            <w:iCs w:val="0"/>
          </w:rPr>
          <w:t>2115- دیوان رسمی یزدی أو شعره‏</w:t>
        </w:r>
        <w:r>
          <w:tab/>
        </w:r>
        <w:r>
          <w:fldChar w:fldCharType="begin"/>
        </w:r>
        <w:r>
          <w:instrText xml:space="preserve">PAGEREF 2722 \h</w:instrText>
        </w:r>
        <w:r>
          <w:fldChar w:fldCharType="end"/>
        </w:r>
      </w:hyperlink>
    </w:p>
    <w:p>
      <w:pPr>
        <w:tabs>
          <w:tab w:val="right" w:leader="dot" w:pos="9062"/>
        </w:tabs>
        <w:ind w:left="440"/>
      </w:pPr>
      <w:hyperlink w:anchor="_Toc2723" w:history="1">
        <w:r>
          <w:rPr>
            <w:rFonts w:ascii="IRNazanin" w:hAnsi="IRNazanin" w:eastAsia="IRNazanin" w:cs="IRNazanin"/>
            <w:color w:val="111111"/>
            <w:sz w:val="22"/>
            <w:szCs w:val="22"/>
            <w:b w:val="0"/>
            <w:bCs w:val="0"/>
            <w:i w:val="0"/>
            <w:iCs w:val="0"/>
          </w:rPr>
          <w:t>2116- دیوان رسوا شیرازی أو شعره‏</w:t>
        </w:r>
        <w:r>
          <w:tab/>
        </w:r>
        <w:r>
          <w:fldChar w:fldCharType="begin"/>
        </w:r>
        <w:r>
          <w:instrText xml:space="preserve">PAGEREF 2723 \h</w:instrText>
        </w:r>
        <w:r>
          <w:fldChar w:fldCharType="end"/>
        </w:r>
      </w:hyperlink>
    </w:p>
    <w:p>
      <w:pPr>
        <w:tabs>
          <w:tab w:val="right" w:leader="dot" w:pos="9062"/>
        </w:tabs>
        <w:ind w:left="440"/>
      </w:pPr>
      <w:hyperlink w:anchor="_Toc2724" w:history="1">
        <w:r>
          <w:rPr>
            <w:rFonts w:ascii="IRNazanin" w:hAnsi="IRNazanin" w:eastAsia="IRNazanin" w:cs="IRNazanin"/>
            <w:color w:val="111111"/>
            <w:sz w:val="22"/>
            <w:szCs w:val="22"/>
            <w:b w:val="0"/>
            <w:bCs w:val="0"/>
            <w:i w:val="0"/>
            <w:iCs w:val="0"/>
          </w:rPr>
          <w:t>2117- دیوان رسوا هندی‏</w:t>
        </w:r>
        <w:r>
          <w:tab/>
        </w:r>
        <w:r>
          <w:fldChar w:fldCharType="begin"/>
        </w:r>
        <w:r>
          <w:instrText xml:space="preserve">PAGEREF 2724 \h</w:instrText>
        </w:r>
        <w:r>
          <w:fldChar w:fldCharType="end"/>
        </w:r>
      </w:hyperlink>
    </w:p>
    <w:p>
      <w:pPr>
        <w:tabs>
          <w:tab w:val="right" w:leader="dot" w:pos="9062"/>
        </w:tabs>
        <w:ind w:left="440"/>
      </w:pPr>
      <w:hyperlink w:anchor="_Toc2725" w:history="1">
        <w:r>
          <w:rPr>
            <w:rFonts w:ascii="IRNazanin" w:hAnsi="IRNazanin" w:eastAsia="IRNazanin" w:cs="IRNazanin"/>
            <w:color w:val="111111"/>
            <w:sz w:val="22"/>
            <w:szCs w:val="22"/>
            <w:b w:val="0"/>
            <w:bCs w:val="0"/>
            <w:i w:val="0"/>
            <w:iCs w:val="0"/>
          </w:rPr>
          <w:t>2118- دیوان رسوائی همدانی أو شعره‏</w:t>
        </w:r>
        <w:r>
          <w:tab/>
        </w:r>
        <w:r>
          <w:fldChar w:fldCharType="begin"/>
        </w:r>
        <w:r>
          <w:instrText xml:space="preserve">PAGEREF 2725 \h</w:instrText>
        </w:r>
        <w:r>
          <w:fldChar w:fldCharType="end"/>
        </w:r>
      </w:hyperlink>
    </w:p>
    <w:p>
      <w:pPr>
        <w:tabs>
          <w:tab w:val="right" w:leader="dot" w:pos="9062"/>
        </w:tabs>
        <w:ind w:left="440"/>
      </w:pPr>
      <w:hyperlink w:anchor="_Toc2726" w:history="1">
        <w:r>
          <w:rPr>
            <w:rFonts w:ascii="IRNazanin" w:hAnsi="IRNazanin" w:eastAsia="IRNazanin" w:cs="IRNazanin"/>
            <w:color w:val="111111"/>
            <w:sz w:val="22"/>
            <w:szCs w:val="22"/>
            <w:b w:val="0"/>
            <w:bCs w:val="0"/>
            <w:i w:val="0"/>
            <w:iCs w:val="0"/>
          </w:rPr>
          <w:t>2119- دیوان رسول‏</w:t>
        </w:r>
        <w:r>
          <w:tab/>
        </w:r>
        <w:r>
          <w:fldChar w:fldCharType="begin"/>
        </w:r>
        <w:r>
          <w:instrText xml:space="preserve">PAGEREF 2726 \h</w:instrText>
        </w:r>
        <w:r>
          <w:fldChar w:fldCharType="end"/>
        </w:r>
      </w:hyperlink>
    </w:p>
    <w:p>
      <w:pPr>
        <w:tabs>
          <w:tab w:val="right" w:leader="dot" w:pos="9062"/>
        </w:tabs>
        <w:ind w:left="440"/>
      </w:pPr>
      <w:hyperlink w:anchor="_Toc2727" w:history="1">
        <w:r>
          <w:rPr>
            <w:rFonts w:ascii="IRNazanin" w:hAnsi="IRNazanin" w:eastAsia="IRNazanin" w:cs="IRNazanin"/>
            <w:color w:val="111111"/>
            <w:sz w:val="22"/>
            <w:szCs w:val="22"/>
            <w:b w:val="0"/>
            <w:bCs w:val="0"/>
            <w:i w:val="0"/>
            <w:iCs w:val="0"/>
          </w:rPr>
          <w:t>2120- دیوان رشحه أصفهانی‏</w:t>
        </w:r>
        <w:r>
          <w:tab/>
        </w:r>
        <w:r>
          <w:fldChar w:fldCharType="begin"/>
        </w:r>
        <w:r>
          <w:instrText xml:space="preserve">PAGEREF 2727 \h</w:instrText>
        </w:r>
        <w:r>
          <w:fldChar w:fldCharType="end"/>
        </w:r>
      </w:hyperlink>
    </w:p>
    <w:p>
      <w:pPr>
        <w:tabs>
          <w:tab w:val="right" w:leader="dot" w:pos="9062"/>
        </w:tabs>
        <w:ind w:left="440"/>
      </w:pPr>
      <w:hyperlink w:anchor="_Toc2728" w:history="1">
        <w:r>
          <w:rPr>
            <w:rFonts w:ascii="IRNazanin" w:hAnsi="IRNazanin" w:eastAsia="IRNazanin" w:cs="IRNazanin"/>
            <w:color w:val="111111"/>
            <w:sz w:val="22"/>
            <w:szCs w:val="22"/>
            <w:b w:val="0"/>
            <w:bCs w:val="0"/>
            <w:i w:val="0"/>
            <w:iCs w:val="0"/>
          </w:rPr>
          <w:t>2121- دیوان رشحه أصفهانی‏</w:t>
        </w:r>
        <w:r>
          <w:tab/>
        </w:r>
        <w:r>
          <w:fldChar w:fldCharType="begin"/>
        </w:r>
        <w:r>
          <w:instrText xml:space="preserve">PAGEREF 2728 \h</w:instrText>
        </w:r>
        <w:r>
          <w:fldChar w:fldCharType="end"/>
        </w:r>
      </w:hyperlink>
    </w:p>
    <w:p>
      <w:pPr>
        <w:tabs>
          <w:tab w:val="right" w:leader="dot" w:pos="9062"/>
        </w:tabs>
        <w:ind w:left="440"/>
      </w:pPr>
      <w:hyperlink w:anchor="_Toc2729" w:history="1">
        <w:r>
          <w:rPr>
            <w:rFonts w:ascii="IRNazanin" w:hAnsi="IRNazanin" w:eastAsia="IRNazanin" w:cs="IRNazanin"/>
            <w:color w:val="111111"/>
            <w:sz w:val="22"/>
            <w:szCs w:val="22"/>
            <w:b w:val="0"/>
            <w:bCs w:val="0"/>
            <w:i w:val="0"/>
            <w:iCs w:val="0"/>
          </w:rPr>
          <w:t>دیوان رشحه شیرازی‏</w:t>
        </w:r>
        <w:r>
          <w:tab/>
        </w:r>
        <w:r>
          <w:fldChar w:fldCharType="begin"/>
        </w:r>
        <w:r>
          <w:instrText xml:space="preserve">PAGEREF 2729 \h</w:instrText>
        </w:r>
        <w:r>
          <w:fldChar w:fldCharType="end"/>
        </w:r>
      </w:hyperlink>
    </w:p>
    <w:p>
      <w:pPr>
        <w:tabs>
          <w:tab w:val="right" w:leader="dot" w:pos="9062"/>
        </w:tabs>
        <w:ind w:left="440"/>
      </w:pPr>
      <w:hyperlink w:anchor="_Toc2730" w:history="1">
        <w:r>
          <w:rPr>
            <w:rFonts w:ascii="IRNazanin" w:hAnsi="IRNazanin" w:eastAsia="IRNazanin" w:cs="IRNazanin"/>
            <w:color w:val="111111"/>
            <w:sz w:val="22"/>
            <w:szCs w:val="22"/>
            <w:b w:val="0"/>
            <w:bCs w:val="0"/>
            <w:i w:val="0"/>
            <w:iCs w:val="0"/>
          </w:rPr>
          <w:t>2122- دیوان رشدی بافقی یزدی أو شعره‏</w:t>
        </w:r>
        <w:r>
          <w:tab/>
        </w:r>
        <w:r>
          <w:fldChar w:fldCharType="begin"/>
        </w:r>
        <w:r>
          <w:instrText xml:space="preserve">PAGEREF 2730 \h</w:instrText>
        </w:r>
        <w:r>
          <w:fldChar w:fldCharType="end"/>
        </w:r>
      </w:hyperlink>
    </w:p>
    <w:p>
      <w:pPr>
        <w:tabs>
          <w:tab w:val="right" w:leader="dot" w:pos="9062"/>
        </w:tabs>
        <w:ind w:left="440"/>
      </w:pPr>
      <w:hyperlink w:anchor="_Toc2731" w:history="1">
        <w:r>
          <w:rPr>
            <w:rFonts w:ascii="IRNazanin" w:hAnsi="IRNazanin" w:eastAsia="IRNazanin" w:cs="IRNazanin"/>
            <w:color w:val="111111"/>
            <w:sz w:val="22"/>
            <w:szCs w:val="22"/>
            <w:b w:val="0"/>
            <w:bCs w:val="0"/>
            <w:i w:val="0"/>
            <w:iCs w:val="0"/>
          </w:rPr>
          <w:t>2123- دیوان رشدی رستمداری أو شعره‏</w:t>
        </w:r>
        <w:r>
          <w:tab/>
        </w:r>
        <w:r>
          <w:fldChar w:fldCharType="begin"/>
        </w:r>
        <w:r>
          <w:instrText xml:space="preserve">PAGEREF 2731 \h</w:instrText>
        </w:r>
        <w:r>
          <w:fldChar w:fldCharType="end"/>
        </w:r>
      </w:hyperlink>
    </w:p>
    <w:p>
      <w:pPr>
        <w:tabs>
          <w:tab w:val="right" w:leader="dot" w:pos="9062"/>
        </w:tabs>
        <w:ind w:left="440"/>
      </w:pPr>
      <w:hyperlink w:anchor="_Toc2732" w:history="1">
        <w:r>
          <w:rPr>
            <w:rFonts w:ascii="IRNazanin" w:hAnsi="IRNazanin" w:eastAsia="IRNazanin" w:cs="IRNazanin"/>
            <w:color w:val="111111"/>
            <w:sz w:val="22"/>
            <w:szCs w:val="22"/>
            <w:b w:val="0"/>
            <w:bCs w:val="0"/>
            <w:i w:val="0"/>
            <w:iCs w:val="0"/>
          </w:rPr>
          <w:t>2124- دیوان رشدی زواره‏ئی أو شعره‏</w:t>
        </w:r>
        <w:r>
          <w:tab/>
        </w:r>
        <w:r>
          <w:fldChar w:fldCharType="begin"/>
        </w:r>
        <w:r>
          <w:instrText xml:space="preserve">PAGEREF 2732 \h</w:instrText>
        </w:r>
        <w:r>
          <w:fldChar w:fldCharType="end"/>
        </w:r>
      </w:hyperlink>
    </w:p>
    <w:p>
      <w:pPr>
        <w:tabs>
          <w:tab w:val="right" w:leader="dot" w:pos="9062"/>
        </w:tabs>
        <w:ind w:left="440"/>
      </w:pPr>
      <w:hyperlink w:anchor="_Toc2733" w:history="1">
        <w:r>
          <w:rPr>
            <w:rFonts w:ascii="IRNazanin" w:hAnsi="IRNazanin" w:eastAsia="IRNazanin" w:cs="IRNazanin"/>
            <w:color w:val="111111"/>
            <w:sz w:val="22"/>
            <w:szCs w:val="22"/>
            <w:b w:val="0"/>
            <w:bCs w:val="0"/>
            <w:i w:val="0"/>
            <w:iCs w:val="0"/>
          </w:rPr>
          <w:t>2125- دیوان رشکی سبزواری أو شعره‏</w:t>
        </w:r>
        <w:r>
          <w:tab/>
        </w:r>
        <w:r>
          <w:fldChar w:fldCharType="begin"/>
        </w:r>
        <w:r>
          <w:instrText xml:space="preserve">PAGEREF 2733 \h</w:instrText>
        </w:r>
        <w:r>
          <w:fldChar w:fldCharType="end"/>
        </w:r>
      </w:hyperlink>
    </w:p>
    <w:p>
      <w:pPr>
        <w:tabs>
          <w:tab w:val="right" w:leader="dot" w:pos="9062"/>
        </w:tabs>
        <w:ind w:left="440"/>
      </w:pPr>
      <w:hyperlink w:anchor="_Toc2734" w:history="1">
        <w:r>
          <w:rPr>
            <w:rFonts w:ascii="IRNazanin" w:hAnsi="IRNazanin" w:eastAsia="IRNazanin" w:cs="IRNazanin"/>
            <w:color w:val="111111"/>
            <w:sz w:val="22"/>
            <w:szCs w:val="22"/>
            <w:b w:val="0"/>
            <w:bCs w:val="0"/>
            <w:i w:val="0"/>
            <w:iCs w:val="0"/>
          </w:rPr>
          <w:t>2126- دیوان رشکی قمی‏</w:t>
        </w:r>
        <w:r>
          <w:tab/>
        </w:r>
        <w:r>
          <w:fldChar w:fldCharType="begin"/>
        </w:r>
        <w:r>
          <w:instrText xml:space="preserve">PAGEREF 2734 \h</w:instrText>
        </w:r>
        <w:r>
          <w:fldChar w:fldCharType="end"/>
        </w:r>
      </w:hyperlink>
    </w:p>
    <w:p>
      <w:pPr>
        <w:tabs>
          <w:tab w:val="right" w:leader="dot" w:pos="9062"/>
        </w:tabs>
        <w:ind w:left="440"/>
      </w:pPr>
      <w:hyperlink w:anchor="_Toc2735" w:history="1">
        <w:r>
          <w:rPr>
            <w:rFonts w:ascii="IRNazanin" w:hAnsi="IRNazanin" w:eastAsia="IRNazanin" w:cs="IRNazanin"/>
            <w:color w:val="111111"/>
            <w:sz w:val="22"/>
            <w:szCs w:val="22"/>
            <w:b w:val="0"/>
            <w:bCs w:val="0"/>
            <w:i w:val="0"/>
            <w:iCs w:val="0"/>
          </w:rPr>
          <w:t>2127- دیوان رشکی همدانی أو شعره‏</w:t>
        </w:r>
        <w:r>
          <w:tab/>
        </w:r>
        <w:r>
          <w:fldChar w:fldCharType="begin"/>
        </w:r>
        <w:r>
          <w:instrText xml:space="preserve">PAGEREF 2735 \h</w:instrText>
        </w:r>
        <w:r>
          <w:fldChar w:fldCharType="end"/>
        </w:r>
      </w:hyperlink>
    </w:p>
    <w:p>
      <w:pPr>
        <w:tabs>
          <w:tab w:val="right" w:leader="dot" w:pos="9062"/>
        </w:tabs>
        <w:ind w:left="440"/>
      </w:pPr>
      <w:hyperlink w:anchor="_Toc2736" w:history="1">
        <w:r>
          <w:rPr>
            <w:rFonts w:ascii="IRNazanin" w:hAnsi="IRNazanin" w:eastAsia="IRNazanin" w:cs="IRNazanin"/>
            <w:color w:val="111111"/>
            <w:sz w:val="22"/>
            <w:szCs w:val="22"/>
            <w:b w:val="0"/>
            <w:bCs w:val="0"/>
            <w:i w:val="0"/>
            <w:iCs w:val="0"/>
          </w:rPr>
          <w:t>2128- دیوان رشید شوشتری أو شعره‏</w:t>
        </w:r>
        <w:r>
          <w:tab/>
        </w:r>
        <w:r>
          <w:fldChar w:fldCharType="begin"/>
        </w:r>
        <w:r>
          <w:instrText xml:space="preserve">PAGEREF 2736 \h</w:instrText>
        </w:r>
        <w:r>
          <w:fldChar w:fldCharType="end"/>
        </w:r>
      </w:hyperlink>
    </w:p>
    <w:p>
      <w:pPr>
        <w:tabs>
          <w:tab w:val="right" w:leader="dot" w:pos="9062"/>
        </w:tabs>
        <w:ind w:left="440"/>
      </w:pPr>
      <w:hyperlink w:anchor="_Toc2737" w:history="1">
        <w:r>
          <w:rPr>
            <w:rFonts w:ascii="IRNazanin" w:hAnsi="IRNazanin" w:eastAsia="IRNazanin" w:cs="IRNazanin"/>
            <w:color w:val="111111"/>
            <w:sz w:val="22"/>
            <w:szCs w:val="22"/>
            <w:b w:val="0"/>
            <w:bCs w:val="0"/>
            <w:i w:val="0"/>
            <w:iCs w:val="0"/>
          </w:rPr>
          <w:t>2129- دیوان رشیدی تبریزی أو شعره‏</w:t>
        </w:r>
        <w:r>
          <w:tab/>
        </w:r>
        <w:r>
          <w:fldChar w:fldCharType="begin"/>
        </w:r>
        <w:r>
          <w:instrText xml:space="preserve">PAGEREF 2737 \h</w:instrText>
        </w:r>
        <w:r>
          <w:fldChar w:fldCharType="end"/>
        </w:r>
      </w:hyperlink>
    </w:p>
    <w:p>
      <w:pPr>
        <w:tabs>
          <w:tab w:val="right" w:leader="dot" w:pos="9062"/>
        </w:tabs>
        <w:ind w:left="440"/>
      </w:pPr>
      <w:hyperlink w:anchor="_Toc2738" w:history="1">
        <w:r>
          <w:rPr>
            <w:rFonts w:ascii="IRNazanin" w:hAnsi="IRNazanin" w:eastAsia="IRNazanin" w:cs="IRNazanin"/>
            <w:color w:val="111111"/>
            <w:sz w:val="22"/>
            <w:szCs w:val="22"/>
            <w:b w:val="0"/>
            <w:bCs w:val="0"/>
            <w:i w:val="0"/>
            <w:iCs w:val="0"/>
          </w:rPr>
          <w:t>2130- دیوان رشیدی قزوینی أو شعره‏</w:t>
        </w:r>
        <w:r>
          <w:tab/>
        </w:r>
        <w:r>
          <w:fldChar w:fldCharType="begin"/>
        </w:r>
        <w:r>
          <w:instrText xml:space="preserve">PAGEREF 2738 \h</w:instrText>
        </w:r>
        <w:r>
          <w:fldChar w:fldCharType="end"/>
        </w:r>
      </w:hyperlink>
    </w:p>
    <w:p>
      <w:pPr>
        <w:tabs>
          <w:tab w:val="right" w:leader="dot" w:pos="9062"/>
        </w:tabs>
        <w:ind w:left="440"/>
      </w:pPr>
      <w:hyperlink w:anchor="_Toc2739" w:history="1">
        <w:r>
          <w:rPr>
            <w:rFonts w:ascii="IRNazanin" w:hAnsi="IRNazanin" w:eastAsia="IRNazanin" w:cs="IRNazanin"/>
            <w:color w:val="111111"/>
            <w:sz w:val="22"/>
            <w:szCs w:val="22"/>
            <w:b w:val="0"/>
            <w:bCs w:val="0"/>
            <w:i w:val="0"/>
            <w:iCs w:val="0"/>
          </w:rPr>
          <w:t>2131- دیوان رشید بن بنجیر الشیرازی‏</w:t>
        </w:r>
        <w:r>
          <w:tab/>
        </w:r>
        <w:r>
          <w:fldChar w:fldCharType="begin"/>
        </w:r>
        <w:r>
          <w:instrText xml:space="preserve">PAGEREF 2739 \h</w:instrText>
        </w:r>
        <w:r>
          <w:fldChar w:fldCharType="end"/>
        </w:r>
      </w:hyperlink>
    </w:p>
    <w:p>
      <w:pPr>
        <w:tabs>
          <w:tab w:val="right" w:leader="dot" w:pos="9062"/>
        </w:tabs>
        <w:ind w:left="440"/>
      </w:pPr>
      <w:hyperlink w:anchor="_Toc2740" w:history="1">
        <w:r>
          <w:rPr>
            <w:rFonts w:ascii="IRNazanin" w:hAnsi="IRNazanin" w:eastAsia="IRNazanin" w:cs="IRNazanin"/>
            <w:color w:val="111111"/>
            <w:sz w:val="22"/>
            <w:szCs w:val="22"/>
            <w:b w:val="0"/>
            <w:bCs w:val="0"/>
            <w:i w:val="0"/>
            <w:iCs w:val="0"/>
          </w:rPr>
          <w:t>2131- دیوان رشید إسفزاری أو شعره‏</w:t>
        </w:r>
        <w:r>
          <w:tab/>
        </w:r>
        <w:r>
          <w:fldChar w:fldCharType="begin"/>
        </w:r>
        <w:r>
          <w:instrText xml:space="preserve">PAGEREF 2740 \h</w:instrText>
        </w:r>
        <w:r>
          <w:fldChar w:fldCharType="end"/>
        </w:r>
      </w:hyperlink>
    </w:p>
    <w:p>
      <w:pPr>
        <w:tabs>
          <w:tab w:val="right" w:leader="dot" w:pos="9062"/>
        </w:tabs>
        <w:ind w:left="440"/>
      </w:pPr>
      <w:hyperlink w:anchor="_Toc2741" w:history="1">
        <w:r>
          <w:rPr>
            <w:rFonts w:ascii="IRNazanin" w:hAnsi="IRNazanin" w:eastAsia="IRNazanin" w:cs="IRNazanin"/>
            <w:color w:val="111111"/>
            <w:sz w:val="22"/>
            <w:szCs w:val="22"/>
            <w:b w:val="0"/>
            <w:bCs w:val="0"/>
            <w:i w:val="0"/>
            <w:iCs w:val="0"/>
          </w:rPr>
          <w:t>دیوان رشید أفشار أو شعره‏</w:t>
        </w:r>
        <w:r>
          <w:tab/>
        </w:r>
        <w:r>
          <w:fldChar w:fldCharType="begin"/>
        </w:r>
        <w:r>
          <w:instrText xml:space="preserve">PAGEREF 2741 \h</w:instrText>
        </w:r>
        <w:r>
          <w:fldChar w:fldCharType="end"/>
        </w:r>
      </w:hyperlink>
    </w:p>
    <w:p>
      <w:pPr>
        <w:tabs>
          <w:tab w:val="right" w:leader="dot" w:pos="9062"/>
        </w:tabs>
        <w:ind w:left="440"/>
      </w:pPr>
      <w:hyperlink w:anchor="_Toc2742" w:history="1">
        <w:r>
          <w:rPr>
            <w:rFonts w:ascii="IRNazanin" w:hAnsi="IRNazanin" w:eastAsia="IRNazanin" w:cs="IRNazanin"/>
            <w:color w:val="111111"/>
            <w:sz w:val="22"/>
            <w:szCs w:val="22"/>
            <w:b w:val="0"/>
            <w:bCs w:val="0"/>
            <w:i w:val="0"/>
            <w:iCs w:val="0"/>
          </w:rPr>
          <w:t>2132- دیوان رشید جغتائی‏</w:t>
        </w:r>
        <w:r>
          <w:tab/>
        </w:r>
        <w:r>
          <w:fldChar w:fldCharType="begin"/>
        </w:r>
        <w:r>
          <w:instrText xml:space="preserve">PAGEREF 2742 \h</w:instrText>
        </w:r>
        <w:r>
          <w:fldChar w:fldCharType="end"/>
        </w:r>
      </w:hyperlink>
    </w:p>
    <w:p>
      <w:pPr>
        <w:tabs>
          <w:tab w:val="right" w:leader="dot" w:pos="9062"/>
        </w:tabs>
        <w:ind w:left="440"/>
      </w:pPr>
      <w:hyperlink w:anchor="_Toc2743" w:history="1">
        <w:r>
          <w:rPr>
            <w:rFonts w:ascii="IRNazanin" w:hAnsi="IRNazanin" w:eastAsia="IRNazanin" w:cs="IRNazanin"/>
            <w:color w:val="111111"/>
            <w:sz w:val="22"/>
            <w:szCs w:val="22"/>
            <w:b w:val="0"/>
            <w:bCs w:val="0"/>
            <w:i w:val="0"/>
            <w:iCs w:val="0"/>
          </w:rPr>
          <w:t>2133- دیوان رشید ختنی أو شعره‏</w:t>
        </w:r>
        <w:r>
          <w:tab/>
        </w:r>
        <w:r>
          <w:fldChar w:fldCharType="begin"/>
        </w:r>
        <w:r>
          <w:instrText xml:space="preserve">PAGEREF 2743 \h</w:instrText>
        </w:r>
        <w:r>
          <w:fldChar w:fldCharType="end"/>
        </w:r>
      </w:hyperlink>
    </w:p>
    <w:p>
      <w:pPr>
        <w:tabs>
          <w:tab w:val="right" w:leader="dot" w:pos="9062"/>
        </w:tabs>
        <w:ind w:left="440"/>
      </w:pPr>
      <w:hyperlink w:anchor="_Toc2744" w:history="1">
        <w:r>
          <w:rPr>
            <w:rFonts w:ascii="IRNazanin" w:hAnsi="IRNazanin" w:eastAsia="IRNazanin" w:cs="IRNazanin"/>
            <w:color w:val="111111"/>
            <w:sz w:val="22"/>
            <w:szCs w:val="22"/>
            <w:b w:val="0"/>
            <w:bCs w:val="0"/>
            <w:i w:val="0"/>
            <w:iCs w:val="0"/>
          </w:rPr>
          <w:t>2134- دیوان رشید کازرونی أو شعره‏</w:t>
        </w:r>
        <w:r>
          <w:tab/>
        </w:r>
        <w:r>
          <w:fldChar w:fldCharType="begin"/>
        </w:r>
        <w:r>
          <w:instrText xml:space="preserve">PAGEREF 2744 \h</w:instrText>
        </w:r>
        <w:r>
          <w:fldChar w:fldCharType="end"/>
        </w:r>
      </w:hyperlink>
    </w:p>
    <w:p>
      <w:pPr>
        <w:tabs>
          <w:tab w:val="right" w:leader="dot" w:pos="9062"/>
        </w:tabs>
        <w:ind w:left="440"/>
      </w:pPr>
      <w:hyperlink w:anchor="_Toc2745" w:history="1">
        <w:r>
          <w:rPr>
            <w:rFonts w:ascii="IRNazanin" w:hAnsi="IRNazanin" w:eastAsia="IRNazanin" w:cs="IRNazanin"/>
            <w:color w:val="111111"/>
            <w:sz w:val="22"/>
            <w:szCs w:val="22"/>
            <w:b w:val="0"/>
            <w:bCs w:val="0"/>
            <w:i w:val="0"/>
            <w:iCs w:val="0"/>
          </w:rPr>
          <w:t>2135- دیوان رشید کاشانی‏</w:t>
        </w:r>
        <w:r>
          <w:tab/>
        </w:r>
        <w:r>
          <w:fldChar w:fldCharType="begin"/>
        </w:r>
        <w:r>
          <w:instrText xml:space="preserve">PAGEREF 2745 \h</w:instrText>
        </w:r>
        <w:r>
          <w:fldChar w:fldCharType="end"/>
        </w:r>
      </w:hyperlink>
    </w:p>
    <w:p>
      <w:pPr>
        <w:tabs>
          <w:tab w:val="right" w:leader="dot" w:pos="9062"/>
        </w:tabs>
        <w:ind w:left="440"/>
      </w:pPr>
      <w:hyperlink w:anchor="_Toc2746" w:history="1">
        <w:r>
          <w:rPr>
            <w:rFonts w:ascii="IRNazanin" w:hAnsi="IRNazanin" w:eastAsia="IRNazanin" w:cs="IRNazanin"/>
            <w:color w:val="111111"/>
            <w:sz w:val="22"/>
            <w:szCs w:val="22"/>
            <w:b w:val="0"/>
            <w:bCs w:val="0"/>
            <w:i w:val="0"/>
            <w:iCs w:val="0"/>
          </w:rPr>
          <w:t>دیوان رشید وطواط</w:t>
        </w:r>
        <w:r>
          <w:tab/>
        </w:r>
        <w:r>
          <w:fldChar w:fldCharType="begin"/>
        </w:r>
        <w:r>
          <w:instrText xml:space="preserve">PAGEREF 2746 \h</w:instrText>
        </w:r>
        <w:r>
          <w:fldChar w:fldCharType="end"/>
        </w:r>
      </w:hyperlink>
    </w:p>
    <w:p>
      <w:pPr>
        <w:tabs>
          <w:tab w:val="right" w:leader="dot" w:pos="9062"/>
        </w:tabs>
        <w:ind w:left="440"/>
      </w:pPr>
      <w:hyperlink w:anchor="_Toc2747" w:history="1">
        <w:r>
          <w:rPr>
            <w:rFonts w:ascii="IRNazanin" w:hAnsi="IRNazanin" w:eastAsia="IRNazanin" w:cs="IRNazanin"/>
            <w:color w:val="111111"/>
            <w:sz w:val="22"/>
            <w:szCs w:val="22"/>
            <w:b w:val="0"/>
            <w:bCs w:val="0"/>
            <w:i w:val="0"/>
            <w:iCs w:val="0"/>
          </w:rPr>
          <w:t>2136- دیوان رشید الهمدانی‏</w:t>
        </w:r>
        <w:r>
          <w:tab/>
        </w:r>
        <w:r>
          <w:fldChar w:fldCharType="begin"/>
        </w:r>
        <w:r>
          <w:instrText xml:space="preserve">PAGEREF 2747 \h</w:instrText>
        </w:r>
        <w:r>
          <w:fldChar w:fldCharType="end"/>
        </w:r>
      </w:hyperlink>
    </w:p>
    <w:p>
      <w:pPr>
        <w:tabs>
          <w:tab w:val="right" w:leader="dot" w:pos="9062"/>
        </w:tabs>
        <w:ind w:left="440"/>
      </w:pPr>
      <w:hyperlink w:anchor="_Toc2748" w:history="1">
        <w:r>
          <w:rPr>
            <w:rFonts w:ascii="IRNazanin" w:hAnsi="IRNazanin" w:eastAsia="IRNazanin" w:cs="IRNazanin"/>
            <w:color w:val="111111"/>
            <w:sz w:val="22"/>
            <w:szCs w:val="22"/>
            <w:b w:val="0"/>
            <w:bCs w:val="0"/>
            <w:i w:val="0"/>
            <w:iCs w:val="0"/>
          </w:rPr>
          <w:t>2137- دیوان رشیدی أو شعره‏</w:t>
        </w:r>
        <w:r>
          <w:tab/>
        </w:r>
        <w:r>
          <w:fldChar w:fldCharType="begin"/>
        </w:r>
        <w:r>
          <w:instrText xml:space="preserve">PAGEREF 2748 \h</w:instrText>
        </w:r>
        <w:r>
          <w:fldChar w:fldCharType="end"/>
        </w:r>
      </w:hyperlink>
    </w:p>
    <w:p>
      <w:pPr>
        <w:tabs>
          <w:tab w:val="right" w:leader="dot" w:pos="9062"/>
        </w:tabs>
        <w:ind w:left="440"/>
      </w:pPr>
      <w:hyperlink w:anchor="_Toc2749" w:history="1">
        <w:r>
          <w:rPr>
            <w:rFonts w:ascii="IRNazanin" w:hAnsi="IRNazanin" w:eastAsia="IRNazanin" w:cs="IRNazanin"/>
            <w:color w:val="111111"/>
            <w:sz w:val="22"/>
            <w:szCs w:val="22"/>
            <w:b w:val="0"/>
            <w:bCs w:val="0"/>
            <w:i w:val="0"/>
            <w:iCs w:val="0"/>
          </w:rPr>
          <w:t>2138- دیوان رشید یاسمی‏</w:t>
        </w:r>
        <w:r>
          <w:tab/>
        </w:r>
        <w:r>
          <w:fldChar w:fldCharType="begin"/>
        </w:r>
        <w:r>
          <w:instrText xml:space="preserve">PAGEREF 2749 \h</w:instrText>
        </w:r>
        <w:r>
          <w:fldChar w:fldCharType="end"/>
        </w:r>
      </w:hyperlink>
    </w:p>
    <w:p>
      <w:pPr>
        <w:tabs>
          <w:tab w:val="right" w:leader="dot" w:pos="9062"/>
        </w:tabs>
        <w:ind w:left="440"/>
      </w:pPr>
      <w:hyperlink w:anchor="_Toc2750" w:history="1">
        <w:r>
          <w:rPr>
            <w:rFonts w:ascii="IRNazanin" w:hAnsi="IRNazanin" w:eastAsia="IRNazanin" w:cs="IRNazanin"/>
            <w:color w:val="111111"/>
            <w:sz w:val="22"/>
            <w:szCs w:val="22"/>
            <w:b w:val="0"/>
            <w:bCs w:val="0"/>
            <w:i w:val="0"/>
            <w:iCs w:val="0"/>
          </w:rPr>
          <w:t>2139- دیوان رشیدی سمرقندی‏</w:t>
        </w:r>
        <w:r>
          <w:tab/>
        </w:r>
        <w:r>
          <w:fldChar w:fldCharType="begin"/>
        </w:r>
        <w:r>
          <w:instrText xml:space="preserve">PAGEREF 2750 \h</w:instrText>
        </w:r>
        <w:r>
          <w:fldChar w:fldCharType="end"/>
        </w:r>
      </w:hyperlink>
    </w:p>
    <w:p>
      <w:pPr>
        <w:tabs>
          <w:tab w:val="right" w:leader="dot" w:pos="9062"/>
        </w:tabs>
        <w:ind w:left="440"/>
      </w:pPr>
      <w:hyperlink w:anchor="_Toc2751" w:history="1">
        <w:r>
          <w:rPr>
            <w:rFonts w:ascii="IRNazanin" w:hAnsi="IRNazanin" w:eastAsia="IRNazanin" w:cs="IRNazanin"/>
            <w:color w:val="111111"/>
            <w:sz w:val="22"/>
            <w:szCs w:val="22"/>
            <w:b w:val="0"/>
            <w:bCs w:val="0"/>
            <w:i w:val="0"/>
            <w:iCs w:val="0"/>
          </w:rPr>
          <w:t>2140- دیوان رشیدی أصفهانی أو شعره‏</w:t>
        </w:r>
        <w:r>
          <w:tab/>
        </w:r>
        <w:r>
          <w:fldChar w:fldCharType="begin"/>
        </w:r>
        <w:r>
          <w:instrText xml:space="preserve">PAGEREF 2751 \h</w:instrText>
        </w:r>
        <w:r>
          <w:fldChar w:fldCharType="end"/>
        </w:r>
      </w:hyperlink>
    </w:p>
    <w:p>
      <w:pPr>
        <w:tabs>
          <w:tab w:val="right" w:leader="dot" w:pos="9062"/>
        </w:tabs>
        <w:ind w:left="440"/>
      </w:pPr>
      <w:hyperlink w:anchor="_Toc2752" w:history="1">
        <w:r>
          <w:rPr>
            <w:rFonts w:ascii="IRNazanin" w:hAnsi="IRNazanin" w:eastAsia="IRNazanin" w:cs="IRNazanin"/>
            <w:color w:val="111111"/>
            <w:sz w:val="22"/>
            <w:szCs w:val="22"/>
            <w:b w:val="0"/>
            <w:bCs w:val="0"/>
            <w:i w:val="0"/>
            <w:iCs w:val="0"/>
          </w:rPr>
          <w:t>2141- دیوان رشیدی عباسی‏</w:t>
        </w:r>
        <w:r>
          <w:tab/>
        </w:r>
        <w:r>
          <w:fldChar w:fldCharType="begin"/>
        </w:r>
        <w:r>
          <w:instrText xml:space="preserve">PAGEREF 2752 \h</w:instrText>
        </w:r>
        <w:r>
          <w:fldChar w:fldCharType="end"/>
        </w:r>
      </w:hyperlink>
    </w:p>
    <w:p>
      <w:pPr>
        <w:tabs>
          <w:tab w:val="right" w:leader="dot" w:pos="9062"/>
        </w:tabs>
        <w:ind w:left="440"/>
      </w:pPr>
      <w:hyperlink w:anchor="_Toc2753" w:history="1">
        <w:r>
          <w:rPr>
            <w:rFonts w:ascii="IRNazanin" w:hAnsi="IRNazanin" w:eastAsia="IRNazanin" w:cs="IRNazanin"/>
            <w:color w:val="111111"/>
            <w:sz w:val="22"/>
            <w:szCs w:val="22"/>
            <w:b w:val="0"/>
            <w:bCs w:val="0"/>
            <w:i w:val="0"/>
            <w:iCs w:val="0"/>
          </w:rPr>
          <w:t>2142- دیوان رشیدی کرمانی أو شعره‏</w:t>
        </w:r>
        <w:r>
          <w:tab/>
        </w:r>
        <w:r>
          <w:fldChar w:fldCharType="begin"/>
        </w:r>
        <w:r>
          <w:instrText xml:space="preserve">PAGEREF 2753 \h</w:instrText>
        </w:r>
        <w:r>
          <w:fldChar w:fldCharType="end"/>
        </w:r>
      </w:hyperlink>
    </w:p>
    <w:p>
      <w:pPr>
        <w:tabs>
          <w:tab w:val="right" w:leader="dot" w:pos="9062"/>
        </w:tabs>
        <w:ind w:left="440"/>
      </w:pPr>
      <w:hyperlink w:anchor="_Toc2754" w:history="1">
        <w:r>
          <w:rPr>
            <w:rFonts w:ascii="IRNazanin" w:hAnsi="IRNazanin" w:eastAsia="IRNazanin" w:cs="IRNazanin"/>
            <w:color w:val="111111"/>
            <w:sz w:val="22"/>
            <w:szCs w:val="22"/>
            <w:b w:val="0"/>
            <w:bCs w:val="0"/>
            <w:i w:val="0"/>
            <w:iCs w:val="0"/>
          </w:rPr>
          <w:t>2143- دیوان الرصافی البغدادی‏</w:t>
        </w:r>
        <w:r>
          <w:tab/>
        </w:r>
        <w:r>
          <w:fldChar w:fldCharType="begin"/>
        </w:r>
        <w:r>
          <w:instrText xml:space="preserve">PAGEREF 2754 \h</w:instrText>
        </w:r>
        <w:r>
          <w:fldChar w:fldCharType="end"/>
        </w:r>
      </w:hyperlink>
    </w:p>
    <w:p>
      <w:pPr>
        <w:tabs>
          <w:tab w:val="right" w:leader="dot" w:pos="9062"/>
        </w:tabs>
        <w:ind w:left="440"/>
      </w:pPr>
      <w:hyperlink w:anchor="_Toc2755" w:history="1">
        <w:r>
          <w:rPr>
            <w:rFonts w:ascii="IRNazanin" w:hAnsi="IRNazanin" w:eastAsia="IRNazanin" w:cs="IRNazanin"/>
            <w:color w:val="111111"/>
            <w:sz w:val="22"/>
            <w:szCs w:val="22"/>
            <w:b w:val="0"/>
            <w:bCs w:val="0"/>
            <w:i w:val="0"/>
            <w:iCs w:val="0"/>
          </w:rPr>
          <w:t>دیوان الشیخ محمد رضا الأزری‏</w:t>
        </w:r>
        <w:r>
          <w:tab/>
        </w:r>
        <w:r>
          <w:fldChar w:fldCharType="begin"/>
        </w:r>
        <w:r>
          <w:instrText xml:space="preserve">PAGEREF 2755 \h</w:instrText>
        </w:r>
        <w:r>
          <w:fldChar w:fldCharType="end"/>
        </w:r>
      </w:hyperlink>
    </w:p>
    <w:p>
      <w:pPr>
        <w:tabs>
          <w:tab w:val="right" w:leader="dot" w:pos="9062"/>
        </w:tabs>
        <w:ind w:left="440"/>
      </w:pPr>
      <w:hyperlink w:anchor="_Toc2756" w:history="1">
        <w:r>
          <w:rPr>
            <w:rFonts w:ascii="IRNazanin" w:hAnsi="IRNazanin" w:eastAsia="IRNazanin" w:cs="IRNazanin"/>
            <w:color w:val="111111"/>
            <w:sz w:val="22"/>
            <w:szCs w:val="22"/>
            <w:b w:val="0"/>
            <w:bCs w:val="0"/>
            <w:i w:val="0"/>
            <w:iCs w:val="0"/>
          </w:rPr>
          <w:t>دیوان رضا أصفهانی‏</w:t>
        </w:r>
        <w:r>
          <w:tab/>
        </w:r>
        <w:r>
          <w:fldChar w:fldCharType="begin"/>
        </w:r>
        <w:r>
          <w:instrText xml:space="preserve">PAGEREF 2756 \h</w:instrText>
        </w:r>
        <w:r>
          <w:fldChar w:fldCharType="end"/>
        </w:r>
      </w:hyperlink>
    </w:p>
    <w:p>
      <w:pPr>
        <w:tabs>
          <w:tab w:val="right" w:leader="dot" w:pos="9062"/>
        </w:tabs>
        <w:ind w:left="440"/>
      </w:pPr>
      <w:hyperlink w:anchor="_Toc2757" w:history="1">
        <w:r>
          <w:rPr>
            <w:rFonts w:ascii="IRNazanin" w:hAnsi="IRNazanin" w:eastAsia="IRNazanin" w:cs="IRNazanin"/>
            <w:color w:val="111111"/>
            <w:sz w:val="22"/>
            <w:szCs w:val="22"/>
            <w:b w:val="0"/>
            <w:bCs w:val="0"/>
            <w:i w:val="0"/>
            <w:iCs w:val="0"/>
          </w:rPr>
          <w:t>دیوان رضا أصفهانی‏</w:t>
        </w:r>
        <w:r>
          <w:tab/>
        </w:r>
        <w:r>
          <w:fldChar w:fldCharType="begin"/>
        </w:r>
        <w:r>
          <w:instrText xml:space="preserve">PAGEREF 2757 \h</w:instrText>
        </w:r>
        <w:r>
          <w:fldChar w:fldCharType="end"/>
        </w:r>
      </w:hyperlink>
    </w:p>
    <w:p>
      <w:pPr>
        <w:tabs>
          <w:tab w:val="right" w:leader="dot" w:pos="9062"/>
        </w:tabs>
        <w:ind w:left="440"/>
      </w:pPr>
      <w:hyperlink w:anchor="_Toc2758" w:history="1">
        <w:r>
          <w:rPr>
            <w:rFonts w:ascii="IRNazanin" w:hAnsi="IRNazanin" w:eastAsia="IRNazanin" w:cs="IRNazanin"/>
            <w:color w:val="111111"/>
            <w:sz w:val="22"/>
            <w:szCs w:val="22"/>
            <w:b w:val="0"/>
            <w:bCs w:val="0"/>
            <w:i w:val="0"/>
            <w:iCs w:val="0"/>
          </w:rPr>
          <w:t>2144- دیوان رضا أصفهانی أو شعره‏</w:t>
        </w:r>
        <w:r>
          <w:tab/>
        </w:r>
        <w:r>
          <w:fldChar w:fldCharType="begin"/>
        </w:r>
        <w:r>
          <w:instrText xml:space="preserve">PAGEREF 2758 \h</w:instrText>
        </w:r>
        <w:r>
          <w:fldChar w:fldCharType="end"/>
        </w:r>
      </w:hyperlink>
    </w:p>
    <w:p>
      <w:pPr>
        <w:tabs>
          <w:tab w:val="right" w:leader="dot" w:pos="9062"/>
        </w:tabs>
        <w:ind w:left="440"/>
      </w:pPr>
      <w:hyperlink w:anchor="_Toc2759" w:history="1">
        <w:r>
          <w:rPr>
            <w:rFonts w:ascii="IRNazanin" w:hAnsi="IRNazanin" w:eastAsia="IRNazanin" w:cs="IRNazanin"/>
            <w:color w:val="111111"/>
            <w:sz w:val="22"/>
            <w:szCs w:val="22"/>
            <w:b w:val="0"/>
            <w:bCs w:val="0"/>
            <w:i w:val="0"/>
            <w:iCs w:val="0"/>
          </w:rPr>
          <w:t>2145- دیوان الشیخ محمد رضا الأصفهانی‏</w:t>
        </w:r>
        <w:r>
          <w:tab/>
        </w:r>
        <w:r>
          <w:fldChar w:fldCharType="begin"/>
        </w:r>
        <w:r>
          <w:instrText xml:space="preserve">PAGEREF 2759 \h</w:instrText>
        </w:r>
        <w:r>
          <w:fldChar w:fldCharType="end"/>
        </w:r>
      </w:hyperlink>
    </w:p>
    <w:p>
      <w:pPr>
        <w:tabs>
          <w:tab w:val="right" w:leader="dot" w:pos="9062"/>
        </w:tabs>
        <w:ind w:left="440"/>
      </w:pPr>
      <w:hyperlink w:anchor="_Toc2760" w:history="1">
        <w:r>
          <w:rPr>
            <w:rFonts w:ascii="IRNazanin" w:hAnsi="IRNazanin" w:eastAsia="IRNazanin" w:cs="IRNazanin"/>
            <w:color w:val="111111"/>
            <w:sz w:val="22"/>
            <w:szCs w:val="22"/>
            <w:b w:val="0"/>
            <w:bCs w:val="0"/>
            <w:i w:val="0"/>
            <w:iCs w:val="0"/>
          </w:rPr>
          <w:t>2146- دیوان رضا أصفهانی أو شعره‏</w:t>
        </w:r>
        <w:r>
          <w:tab/>
        </w:r>
        <w:r>
          <w:fldChar w:fldCharType="begin"/>
        </w:r>
        <w:r>
          <w:instrText xml:space="preserve">PAGEREF 2760 \h</w:instrText>
        </w:r>
        <w:r>
          <w:fldChar w:fldCharType="end"/>
        </w:r>
      </w:hyperlink>
    </w:p>
    <w:p>
      <w:pPr>
        <w:tabs>
          <w:tab w:val="right" w:leader="dot" w:pos="9062"/>
        </w:tabs>
        <w:ind w:left="440"/>
      </w:pPr>
      <w:hyperlink w:anchor="_Toc2761" w:history="1">
        <w:r>
          <w:rPr>
            <w:rFonts w:ascii="IRNazanin" w:hAnsi="IRNazanin" w:eastAsia="IRNazanin" w:cs="IRNazanin"/>
            <w:color w:val="111111"/>
            <w:sz w:val="22"/>
            <w:szCs w:val="22"/>
            <w:b w:val="0"/>
            <w:bCs w:val="0"/>
            <w:i w:val="0"/>
            <w:iCs w:val="0"/>
          </w:rPr>
          <w:t>2147- دیوان رضا أصفهانی أو شعره‏</w:t>
        </w:r>
        <w:r>
          <w:tab/>
        </w:r>
        <w:r>
          <w:fldChar w:fldCharType="begin"/>
        </w:r>
        <w:r>
          <w:instrText xml:space="preserve">PAGEREF 2761 \h</w:instrText>
        </w:r>
        <w:r>
          <w:fldChar w:fldCharType="end"/>
        </w:r>
      </w:hyperlink>
    </w:p>
    <w:p>
      <w:pPr>
        <w:tabs>
          <w:tab w:val="right" w:leader="dot" w:pos="9062"/>
        </w:tabs>
        <w:ind w:left="440"/>
      </w:pPr>
      <w:hyperlink w:anchor="_Toc2762" w:history="1">
        <w:r>
          <w:rPr>
            <w:rFonts w:ascii="IRNazanin" w:hAnsi="IRNazanin" w:eastAsia="IRNazanin" w:cs="IRNazanin"/>
            <w:color w:val="111111"/>
            <w:sz w:val="22"/>
            <w:szCs w:val="22"/>
            <w:b w:val="0"/>
            <w:bCs w:val="0"/>
            <w:i w:val="0"/>
            <w:iCs w:val="0"/>
          </w:rPr>
          <w:t>2148- دیوان رضا بلگرامی أو شعره‏</w:t>
        </w:r>
        <w:r>
          <w:tab/>
        </w:r>
        <w:r>
          <w:fldChar w:fldCharType="begin"/>
        </w:r>
        <w:r>
          <w:instrText xml:space="preserve">PAGEREF 2762 \h</w:instrText>
        </w:r>
        <w:r>
          <w:fldChar w:fldCharType="end"/>
        </w:r>
      </w:hyperlink>
    </w:p>
    <w:p>
      <w:pPr>
        <w:tabs>
          <w:tab w:val="right" w:leader="dot" w:pos="9062"/>
        </w:tabs>
        <w:ind w:left="440"/>
      </w:pPr>
      <w:hyperlink w:anchor="_Toc2763" w:history="1">
        <w:r>
          <w:rPr>
            <w:rFonts w:ascii="IRNazanin" w:hAnsi="IRNazanin" w:eastAsia="IRNazanin" w:cs="IRNazanin"/>
            <w:color w:val="111111"/>
            <w:sz w:val="22"/>
            <w:szCs w:val="22"/>
            <w:b w:val="0"/>
            <w:bCs w:val="0"/>
            <w:i w:val="0"/>
            <w:iCs w:val="0"/>
          </w:rPr>
          <w:t>2149- دیوان محمد رضا پاشا</w:t>
        </w:r>
        <w:r>
          <w:tab/>
        </w:r>
        <w:r>
          <w:fldChar w:fldCharType="begin"/>
        </w:r>
        <w:r>
          <w:instrText xml:space="preserve">PAGEREF 2763 \h</w:instrText>
        </w:r>
        <w:r>
          <w:fldChar w:fldCharType="end"/>
        </w:r>
      </w:hyperlink>
    </w:p>
    <w:p>
      <w:pPr>
        <w:tabs>
          <w:tab w:val="right" w:leader="dot" w:pos="9062"/>
        </w:tabs>
        <w:ind w:left="440"/>
      </w:pPr>
      <w:hyperlink w:anchor="_Toc2764" w:history="1">
        <w:r>
          <w:rPr>
            <w:rFonts w:ascii="IRNazanin" w:hAnsi="IRNazanin" w:eastAsia="IRNazanin" w:cs="IRNazanin"/>
            <w:color w:val="111111"/>
            <w:sz w:val="22"/>
            <w:szCs w:val="22"/>
            <w:b w:val="0"/>
            <w:bCs w:val="0"/>
            <w:i w:val="0"/>
            <w:iCs w:val="0"/>
          </w:rPr>
          <w:t>دیوان رضا تبریزی‏</w:t>
        </w:r>
        <w:r>
          <w:tab/>
        </w:r>
        <w:r>
          <w:fldChar w:fldCharType="begin"/>
        </w:r>
        <w:r>
          <w:instrText xml:space="preserve">PAGEREF 2764 \h</w:instrText>
        </w:r>
        <w:r>
          <w:fldChar w:fldCharType="end"/>
        </w:r>
      </w:hyperlink>
    </w:p>
    <w:p>
      <w:pPr>
        <w:tabs>
          <w:tab w:val="right" w:leader="dot" w:pos="9062"/>
        </w:tabs>
        <w:ind w:left="440"/>
      </w:pPr>
      <w:hyperlink w:anchor="_Toc2765" w:history="1">
        <w:r>
          <w:rPr>
            <w:rFonts w:ascii="IRNazanin" w:hAnsi="IRNazanin" w:eastAsia="IRNazanin" w:cs="IRNazanin"/>
            <w:color w:val="111111"/>
            <w:sz w:val="22"/>
            <w:szCs w:val="22"/>
            <w:b w:val="0"/>
            <w:bCs w:val="0"/>
            <w:i w:val="0"/>
            <w:iCs w:val="0"/>
          </w:rPr>
          <w:t>2150- دیوان رضا جوینی أو شعره‏</w:t>
        </w:r>
        <w:r>
          <w:tab/>
        </w:r>
        <w:r>
          <w:fldChar w:fldCharType="begin"/>
        </w:r>
        <w:r>
          <w:instrText xml:space="preserve">PAGEREF 2765 \h</w:instrText>
        </w:r>
        <w:r>
          <w:fldChar w:fldCharType="end"/>
        </w:r>
      </w:hyperlink>
    </w:p>
    <w:p>
      <w:pPr>
        <w:tabs>
          <w:tab w:val="right" w:leader="dot" w:pos="9062"/>
        </w:tabs>
        <w:ind w:left="440"/>
      </w:pPr>
      <w:hyperlink w:anchor="_Toc2766" w:history="1">
        <w:r>
          <w:rPr>
            <w:rFonts w:ascii="IRNazanin" w:hAnsi="IRNazanin" w:eastAsia="IRNazanin" w:cs="IRNazanin"/>
            <w:color w:val="111111"/>
            <w:sz w:val="22"/>
            <w:szCs w:val="22"/>
            <w:b w:val="0"/>
            <w:bCs w:val="0"/>
            <w:i w:val="0"/>
            <w:iCs w:val="0"/>
          </w:rPr>
          <w:t>2151- دیوان الشیخ محمد رضا الخالصی‏</w:t>
        </w:r>
        <w:r>
          <w:tab/>
        </w:r>
        <w:r>
          <w:fldChar w:fldCharType="begin"/>
        </w:r>
        <w:r>
          <w:instrText xml:space="preserve">PAGEREF 2766 \h</w:instrText>
        </w:r>
        <w:r>
          <w:fldChar w:fldCharType="end"/>
        </w:r>
      </w:hyperlink>
    </w:p>
    <w:p>
      <w:pPr>
        <w:tabs>
          <w:tab w:val="right" w:leader="dot" w:pos="9062"/>
        </w:tabs>
        <w:ind w:left="440"/>
      </w:pPr>
      <w:hyperlink w:anchor="_Toc2767" w:history="1">
        <w:r>
          <w:rPr>
            <w:rFonts w:ascii="IRNazanin" w:hAnsi="IRNazanin" w:eastAsia="IRNazanin" w:cs="IRNazanin"/>
            <w:color w:val="111111"/>
            <w:sz w:val="22"/>
            <w:szCs w:val="22"/>
            <w:b w:val="0"/>
            <w:bCs w:val="0"/>
            <w:i w:val="0"/>
            <w:iCs w:val="0"/>
          </w:rPr>
          <w:t>دیوان رضا خراسانی‏</w:t>
        </w:r>
        <w:r>
          <w:tab/>
        </w:r>
        <w:r>
          <w:fldChar w:fldCharType="begin"/>
        </w:r>
        <w:r>
          <w:instrText xml:space="preserve">PAGEREF 2767 \h</w:instrText>
        </w:r>
        <w:r>
          <w:fldChar w:fldCharType="end"/>
        </w:r>
      </w:hyperlink>
    </w:p>
    <w:p>
      <w:pPr>
        <w:tabs>
          <w:tab w:val="right" w:leader="dot" w:pos="9062"/>
        </w:tabs>
        <w:ind w:left="440"/>
      </w:pPr>
      <w:hyperlink w:anchor="_Toc2768" w:history="1">
        <w:r>
          <w:rPr>
            <w:rFonts w:ascii="IRNazanin" w:hAnsi="IRNazanin" w:eastAsia="IRNazanin" w:cs="IRNazanin"/>
            <w:color w:val="111111"/>
            <w:sz w:val="22"/>
            <w:szCs w:val="22"/>
            <w:b w:val="0"/>
            <w:bCs w:val="0"/>
            <w:i w:val="0"/>
            <w:iCs w:val="0"/>
          </w:rPr>
          <w:t>2152- دیوان الشیخ محمد رضا الخزاعی‏</w:t>
        </w:r>
        <w:r>
          <w:tab/>
        </w:r>
        <w:r>
          <w:fldChar w:fldCharType="begin"/>
        </w:r>
        <w:r>
          <w:instrText xml:space="preserve">PAGEREF 2768 \h</w:instrText>
        </w:r>
        <w:r>
          <w:fldChar w:fldCharType="end"/>
        </w:r>
      </w:hyperlink>
    </w:p>
    <w:p>
      <w:pPr>
        <w:tabs>
          <w:tab w:val="right" w:leader="dot" w:pos="9062"/>
        </w:tabs>
        <w:ind w:left="440"/>
      </w:pPr>
      <w:hyperlink w:anchor="_Toc2769" w:history="1">
        <w:r>
          <w:rPr>
            <w:rFonts w:ascii="IRNazanin" w:hAnsi="IRNazanin" w:eastAsia="IRNazanin" w:cs="IRNazanin"/>
            <w:color w:val="111111"/>
            <w:sz w:val="22"/>
            <w:szCs w:val="22"/>
            <w:b w:val="0"/>
            <w:bCs w:val="0"/>
            <w:i w:val="0"/>
            <w:iCs w:val="0"/>
          </w:rPr>
          <w:t>2153- دیوان السید رضا الخطیب‏</w:t>
        </w:r>
        <w:r>
          <w:tab/>
        </w:r>
        <w:r>
          <w:fldChar w:fldCharType="begin"/>
        </w:r>
        <w:r>
          <w:instrText xml:space="preserve">PAGEREF 2769 \h</w:instrText>
        </w:r>
        <w:r>
          <w:fldChar w:fldCharType="end"/>
        </w:r>
      </w:hyperlink>
    </w:p>
    <w:p>
      <w:pPr>
        <w:tabs>
          <w:tab w:val="right" w:leader="dot" w:pos="9062"/>
        </w:tabs>
        <w:ind w:left="440"/>
      </w:pPr>
      <w:hyperlink w:anchor="_Toc2770" w:history="1">
        <w:r>
          <w:rPr>
            <w:rFonts w:ascii="IRNazanin" w:hAnsi="IRNazanin" w:eastAsia="IRNazanin" w:cs="IRNazanin"/>
            <w:color w:val="111111"/>
            <w:sz w:val="22"/>
            <w:szCs w:val="22"/>
            <w:b w:val="0"/>
            <w:bCs w:val="0"/>
            <w:i w:val="0"/>
            <w:iCs w:val="0"/>
          </w:rPr>
          <w:t>2154- دیوان أستاذ محمد رضا خوانساری أو شعره‏</w:t>
        </w:r>
        <w:r>
          <w:tab/>
        </w:r>
        <w:r>
          <w:fldChar w:fldCharType="begin"/>
        </w:r>
        <w:r>
          <w:instrText xml:space="preserve">PAGEREF 2770 \h</w:instrText>
        </w:r>
        <w:r>
          <w:fldChar w:fldCharType="end"/>
        </w:r>
      </w:hyperlink>
    </w:p>
    <w:p>
      <w:pPr>
        <w:tabs>
          <w:tab w:val="right" w:leader="dot" w:pos="9062"/>
        </w:tabs>
        <w:ind w:left="440"/>
      </w:pPr>
      <w:hyperlink w:anchor="_Toc2771" w:history="1">
        <w:r>
          <w:rPr>
            <w:rFonts w:ascii="IRNazanin" w:hAnsi="IRNazanin" w:eastAsia="IRNazanin" w:cs="IRNazanin"/>
            <w:color w:val="111111"/>
            <w:sz w:val="22"/>
            <w:szCs w:val="22"/>
            <w:b w:val="0"/>
            <w:bCs w:val="0"/>
            <w:i w:val="0"/>
            <w:iCs w:val="0"/>
          </w:rPr>
          <w:t>2155- دیوان الشیخ محمد رضا الدزفولی الکاظمی‏</w:t>
        </w:r>
        <w:r>
          <w:tab/>
        </w:r>
        <w:r>
          <w:fldChar w:fldCharType="begin"/>
        </w:r>
        <w:r>
          <w:instrText xml:space="preserve">PAGEREF 2771 \h</w:instrText>
        </w:r>
        <w:r>
          <w:fldChar w:fldCharType="end"/>
        </w:r>
      </w:hyperlink>
    </w:p>
    <w:p>
      <w:pPr>
        <w:tabs>
          <w:tab w:val="right" w:leader="dot" w:pos="9062"/>
        </w:tabs>
        <w:ind w:left="440"/>
      </w:pPr>
      <w:hyperlink w:anchor="_Toc2772" w:history="1">
        <w:r>
          <w:rPr>
            <w:rFonts w:ascii="IRNazanin" w:hAnsi="IRNazanin" w:eastAsia="IRNazanin" w:cs="IRNazanin"/>
            <w:color w:val="111111"/>
            <w:sz w:val="22"/>
            <w:szCs w:val="22"/>
            <w:b w:val="0"/>
            <w:bCs w:val="0"/>
            <w:i w:val="0"/>
            <w:iCs w:val="0"/>
          </w:rPr>
          <w:t>2156- دیوان رضا دهلوی أو شعره‏</w:t>
        </w:r>
        <w:r>
          <w:tab/>
        </w:r>
        <w:r>
          <w:fldChar w:fldCharType="begin"/>
        </w:r>
        <w:r>
          <w:instrText xml:space="preserve">PAGEREF 2772 \h</w:instrText>
        </w:r>
        <w:r>
          <w:fldChar w:fldCharType="end"/>
        </w:r>
      </w:hyperlink>
    </w:p>
    <w:p>
      <w:pPr>
        <w:tabs>
          <w:tab w:val="right" w:leader="dot" w:pos="9062"/>
        </w:tabs>
        <w:ind w:left="440"/>
      </w:pPr>
      <w:hyperlink w:anchor="_Toc2773" w:history="1">
        <w:r>
          <w:rPr>
            <w:rFonts w:ascii="IRNazanin" w:hAnsi="IRNazanin" w:eastAsia="IRNazanin" w:cs="IRNazanin"/>
            <w:color w:val="111111"/>
            <w:sz w:val="22"/>
            <w:szCs w:val="22"/>
            <w:b w:val="0"/>
            <w:bCs w:val="0"/>
            <w:i w:val="0"/>
            <w:iCs w:val="0"/>
          </w:rPr>
          <w:t>2157- دیوان رضا رازی نوربخشی‏</w:t>
        </w:r>
        <w:r>
          <w:tab/>
        </w:r>
        <w:r>
          <w:fldChar w:fldCharType="begin"/>
        </w:r>
        <w:r>
          <w:instrText xml:space="preserve">PAGEREF 2773 \h</w:instrText>
        </w:r>
        <w:r>
          <w:fldChar w:fldCharType="end"/>
        </w:r>
      </w:hyperlink>
    </w:p>
    <w:p>
      <w:pPr>
        <w:tabs>
          <w:tab w:val="right" w:leader="dot" w:pos="9062"/>
        </w:tabs>
        <w:ind w:left="440"/>
      </w:pPr>
      <w:hyperlink w:anchor="_Toc2774" w:history="1">
        <w:r>
          <w:rPr>
            <w:rFonts w:ascii="IRNazanin" w:hAnsi="IRNazanin" w:eastAsia="IRNazanin" w:cs="IRNazanin"/>
            <w:color w:val="111111"/>
            <w:sz w:val="22"/>
            <w:szCs w:val="22"/>
            <w:b w:val="0"/>
            <w:bCs w:val="0"/>
            <w:i w:val="0"/>
            <w:iCs w:val="0"/>
          </w:rPr>
          <w:t>دیوان رضا رضوی‏</w:t>
        </w:r>
        <w:r>
          <w:tab/>
        </w:r>
        <w:r>
          <w:fldChar w:fldCharType="begin"/>
        </w:r>
        <w:r>
          <w:instrText xml:space="preserve">PAGEREF 2774 \h</w:instrText>
        </w:r>
        <w:r>
          <w:fldChar w:fldCharType="end"/>
        </w:r>
      </w:hyperlink>
    </w:p>
    <w:p>
      <w:pPr>
        <w:tabs>
          <w:tab w:val="right" w:leader="dot" w:pos="9062"/>
        </w:tabs>
        <w:ind w:left="440"/>
      </w:pPr>
      <w:hyperlink w:anchor="_Toc2775" w:history="1">
        <w:r>
          <w:rPr>
            <w:rFonts w:ascii="IRNazanin" w:hAnsi="IRNazanin" w:eastAsia="IRNazanin" w:cs="IRNazanin"/>
            <w:color w:val="111111"/>
            <w:sz w:val="22"/>
            <w:szCs w:val="22"/>
            <w:b w:val="0"/>
            <w:bCs w:val="0"/>
            <w:i w:val="0"/>
            <w:iCs w:val="0"/>
          </w:rPr>
          <w:t>دیوان رضا سارو خواجه‏</w:t>
        </w:r>
        <w:r>
          <w:tab/>
        </w:r>
        <w:r>
          <w:fldChar w:fldCharType="begin"/>
        </w:r>
        <w:r>
          <w:instrText xml:space="preserve">PAGEREF 2775 \h</w:instrText>
        </w:r>
        <w:r>
          <w:fldChar w:fldCharType="end"/>
        </w:r>
      </w:hyperlink>
    </w:p>
    <w:p>
      <w:pPr>
        <w:tabs>
          <w:tab w:val="right" w:leader="dot" w:pos="9062"/>
        </w:tabs>
        <w:ind w:left="440"/>
      </w:pPr>
      <w:hyperlink w:anchor="_Toc2776" w:history="1">
        <w:r>
          <w:rPr>
            <w:rFonts w:ascii="IRNazanin" w:hAnsi="IRNazanin" w:eastAsia="IRNazanin" w:cs="IRNazanin"/>
            <w:color w:val="111111"/>
            <w:sz w:val="22"/>
            <w:szCs w:val="22"/>
            <w:b w:val="0"/>
            <w:bCs w:val="0"/>
            <w:i w:val="0"/>
            <w:iCs w:val="0"/>
          </w:rPr>
          <w:t>2158- دیوان رضا سبزواری أو شعره‏</w:t>
        </w:r>
        <w:r>
          <w:tab/>
        </w:r>
        <w:r>
          <w:fldChar w:fldCharType="begin"/>
        </w:r>
        <w:r>
          <w:instrText xml:space="preserve">PAGEREF 2776 \h</w:instrText>
        </w:r>
        <w:r>
          <w:fldChar w:fldCharType="end"/>
        </w:r>
      </w:hyperlink>
    </w:p>
    <w:p>
      <w:pPr>
        <w:tabs>
          <w:tab w:val="right" w:leader="dot" w:pos="9062"/>
        </w:tabs>
        <w:ind w:left="440"/>
      </w:pPr>
      <w:hyperlink w:anchor="_Toc2777" w:history="1">
        <w:r>
          <w:rPr>
            <w:rFonts w:ascii="IRNazanin" w:hAnsi="IRNazanin" w:eastAsia="IRNazanin" w:cs="IRNazanin"/>
            <w:color w:val="111111"/>
            <w:sz w:val="22"/>
            <w:szCs w:val="22"/>
            <w:b w:val="0"/>
            <w:bCs w:val="0"/>
            <w:i w:val="0"/>
            <w:iCs w:val="0"/>
          </w:rPr>
          <w:t>2159- دیوان رضا سمنانی أو شعره‏</w:t>
        </w:r>
        <w:r>
          <w:tab/>
        </w:r>
        <w:r>
          <w:fldChar w:fldCharType="begin"/>
        </w:r>
        <w:r>
          <w:instrText xml:space="preserve">PAGEREF 2777 \h</w:instrText>
        </w:r>
        <w:r>
          <w:fldChar w:fldCharType="end"/>
        </w:r>
      </w:hyperlink>
    </w:p>
    <w:p>
      <w:pPr>
        <w:tabs>
          <w:tab w:val="right" w:leader="dot" w:pos="9062"/>
        </w:tabs>
        <w:ind w:left="440"/>
      </w:pPr>
      <w:hyperlink w:anchor="_Toc2778" w:history="1">
        <w:r>
          <w:rPr>
            <w:rFonts w:ascii="IRNazanin" w:hAnsi="IRNazanin" w:eastAsia="IRNazanin" w:cs="IRNazanin"/>
            <w:color w:val="111111"/>
            <w:sz w:val="22"/>
            <w:szCs w:val="22"/>
            <w:b w:val="0"/>
            <w:bCs w:val="0"/>
            <w:i w:val="0"/>
            <w:iCs w:val="0"/>
          </w:rPr>
          <w:t>2160- دیوان رضا شوشتری‏</w:t>
        </w:r>
        <w:r>
          <w:tab/>
        </w:r>
        <w:r>
          <w:fldChar w:fldCharType="begin"/>
        </w:r>
        <w:r>
          <w:instrText xml:space="preserve">PAGEREF 2778 \h</w:instrText>
        </w:r>
        <w:r>
          <w:fldChar w:fldCharType="end"/>
        </w:r>
      </w:hyperlink>
    </w:p>
    <w:p>
      <w:pPr>
        <w:tabs>
          <w:tab w:val="right" w:leader="dot" w:pos="9062"/>
        </w:tabs>
        <w:ind w:left="440"/>
      </w:pPr>
      <w:hyperlink w:anchor="_Toc2779" w:history="1">
        <w:r>
          <w:rPr>
            <w:rFonts w:ascii="IRNazanin" w:hAnsi="IRNazanin" w:eastAsia="IRNazanin" w:cs="IRNazanin"/>
            <w:color w:val="111111"/>
            <w:sz w:val="22"/>
            <w:szCs w:val="22"/>
            <w:b w:val="0"/>
            <w:bCs w:val="0"/>
            <w:i w:val="0"/>
            <w:iCs w:val="0"/>
          </w:rPr>
          <w:t>2161- دیوان رضا شیرازی أو شعره‏</w:t>
        </w:r>
        <w:r>
          <w:tab/>
        </w:r>
        <w:r>
          <w:fldChar w:fldCharType="begin"/>
        </w:r>
        <w:r>
          <w:instrText xml:space="preserve">PAGEREF 2779 \h</w:instrText>
        </w:r>
        <w:r>
          <w:fldChar w:fldCharType="end"/>
        </w:r>
      </w:hyperlink>
    </w:p>
    <w:p>
      <w:pPr>
        <w:tabs>
          <w:tab w:val="right" w:leader="dot" w:pos="9062"/>
        </w:tabs>
        <w:ind w:left="440"/>
      </w:pPr>
      <w:hyperlink w:anchor="_Toc2780" w:history="1">
        <w:r>
          <w:rPr>
            <w:rFonts w:ascii="IRNazanin" w:hAnsi="IRNazanin" w:eastAsia="IRNazanin" w:cs="IRNazanin"/>
            <w:color w:val="111111"/>
            <w:sz w:val="22"/>
            <w:szCs w:val="22"/>
            <w:b w:val="0"/>
            <w:bCs w:val="0"/>
            <w:i w:val="0"/>
            <w:iCs w:val="0"/>
          </w:rPr>
          <w:t>2162- دیوان رضا عظیم‏آبادی‏</w:t>
        </w:r>
        <w:r>
          <w:tab/>
        </w:r>
        <w:r>
          <w:fldChar w:fldCharType="begin"/>
        </w:r>
        <w:r>
          <w:instrText xml:space="preserve">PAGEREF 2780 \h</w:instrText>
        </w:r>
        <w:r>
          <w:fldChar w:fldCharType="end"/>
        </w:r>
      </w:hyperlink>
    </w:p>
    <w:p>
      <w:pPr>
        <w:tabs>
          <w:tab w:val="right" w:leader="dot" w:pos="9062"/>
        </w:tabs>
        <w:ind w:left="440"/>
      </w:pPr>
      <w:hyperlink w:anchor="_Toc2781" w:history="1">
        <w:r>
          <w:rPr>
            <w:rFonts w:ascii="IRNazanin" w:hAnsi="IRNazanin" w:eastAsia="IRNazanin" w:cs="IRNazanin"/>
            <w:color w:val="111111"/>
            <w:sz w:val="22"/>
            <w:szCs w:val="22"/>
            <w:b w:val="0"/>
            <w:bCs w:val="0"/>
            <w:i w:val="0"/>
            <w:iCs w:val="0"/>
          </w:rPr>
          <w:t>2163- دیوان رضا علی شاه دکنی‏</w:t>
        </w:r>
        <w:r>
          <w:tab/>
        </w:r>
        <w:r>
          <w:fldChar w:fldCharType="begin"/>
        </w:r>
        <w:r>
          <w:instrText xml:space="preserve">PAGEREF 2781 \h</w:instrText>
        </w:r>
        <w:r>
          <w:fldChar w:fldCharType="end"/>
        </w:r>
      </w:hyperlink>
    </w:p>
    <w:p>
      <w:pPr>
        <w:tabs>
          <w:tab w:val="right" w:leader="dot" w:pos="9062"/>
        </w:tabs>
        <w:ind w:left="440"/>
      </w:pPr>
      <w:hyperlink w:anchor="_Toc2782" w:history="1">
        <w:r>
          <w:rPr>
            <w:rFonts w:ascii="IRNazanin" w:hAnsi="IRNazanin" w:eastAsia="IRNazanin" w:cs="IRNazanin"/>
            <w:color w:val="111111"/>
            <w:sz w:val="22"/>
            <w:szCs w:val="22"/>
            <w:b w:val="0"/>
            <w:bCs w:val="0"/>
            <w:i w:val="0"/>
            <w:iCs w:val="0"/>
          </w:rPr>
          <w:t>2164- دیوان رضا علی شاه هروی‏</w:t>
        </w:r>
        <w:r>
          <w:tab/>
        </w:r>
        <w:r>
          <w:fldChar w:fldCharType="begin"/>
        </w:r>
        <w:r>
          <w:instrText xml:space="preserve">PAGEREF 2782 \h</w:instrText>
        </w:r>
        <w:r>
          <w:fldChar w:fldCharType="end"/>
        </w:r>
      </w:hyperlink>
    </w:p>
    <w:p>
      <w:pPr>
        <w:tabs>
          <w:tab w:val="right" w:leader="dot" w:pos="9062"/>
        </w:tabs>
        <w:ind w:left="440"/>
      </w:pPr>
      <w:hyperlink w:anchor="_Toc2783" w:history="1">
        <w:r>
          <w:rPr>
            <w:rFonts w:ascii="IRNazanin" w:hAnsi="IRNazanin" w:eastAsia="IRNazanin" w:cs="IRNazanin"/>
            <w:color w:val="111111"/>
            <w:sz w:val="22"/>
            <w:szCs w:val="22"/>
            <w:b w:val="0"/>
            <w:bCs w:val="0"/>
            <w:i w:val="0"/>
            <w:iCs w:val="0"/>
          </w:rPr>
          <w:t>2165- دیوان رضا قزوینی أو شعره‏</w:t>
        </w:r>
        <w:r>
          <w:tab/>
        </w:r>
        <w:r>
          <w:fldChar w:fldCharType="begin"/>
        </w:r>
        <w:r>
          <w:instrText xml:space="preserve">PAGEREF 2783 \h</w:instrText>
        </w:r>
        <w:r>
          <w:fldChar w:fldCharType="end"/>
        </w:r>
      </w:hyperlink>
    </w:p>
    <w:p>
      <w:pPr>
        <w:tabs>
          <w:tab w:val="right" w:leader="dot" w:pos="9062"/>
        </w:tabs>
        <w:ind w:left="440"/>
      </w:pPr>
      <w:hyperlink w:anchor="_Toc2784" w:history="1">
        <w:r>
          <w:rPr>
            <w:rFonts w:ascii="IRNazanin" w:hAnsi="IRNazanin" w:eastAsia="IRNazanin" w:cs="IRNazanin"/>
            <w:color w:val="111111"/>
            <w:sz w:val="22"/>
            <w:szCs w:val="22"/>
            <w:b w:val="0"/>
            <w:bCs w:val="0"/>
            <w:i w:val="0"/>
            <w:iCs w:val="0"/>
          </w:rPr>
          <w:t>2166- دیوان رضا قلی همدانی أو شعره‏</w:t>
        </w:r>
        <w:r>
          <w:tab/>
        </w:r>
        <w:r>
          <w:fldChar w:fldCharType="begin"/>
        </w:r>
        <w:r>
          <w:instrText xml:space="preserve">PAGEREF 2784 \h</w:instrText>
        </w:r>
        <w:r>
          <w:fldChar w:fldCharType="end"/>
        </w:r>
      </w:hyperlink>
    </w:p>
    <w:p>
      <w:pPr>
        <w:tabs>
          <w:tab w:val="right" w:leader="dot" w:pos="9062"/>
        </w:tabs>
        <w:ind w:left="440"/>
      </w:pPr>
      <w:hyperlink w:anchor="_Toc2785" w:history="1">
        <w:r>
          <w:rPr>
            <w:rFonts w:ascii="IRNazanin" w:hAnsi="IRNazanin" w:eastAsia="IRNazanin" w:cs="IRNazanin"/>
            <w:color w:val="111111"/>
            <w:sz w:val="22"/>
            <w:szCs w:val="22"/>
            <w:b w:val="0"/>
            <w:bCs w:val="0"/>
            <w:i w:val="0"/>
            <w:iCs w:val="0"/>
          </w:rPr>
          <w:t>دیوان رضا قلی خان‏</w:t>
        </w:r>
        <w:r>
          <w:tab/>
        </w:r>
        <w:r>
          <w:fldChar w:fldCharType="begin"/>
        </w:r>
        <w:r>
          <w:instrText xml:space="preserve">PAGEREF 2785 \h</w:instrText>
        </w:r>
        <w:r>
          <w:fldChar w:fldCharType="end"/>
        </w:r>
      </w:hyperlink>
    </w:p>
    <w:p>
      <w:pPr>
        <w:tabs>
          <w:tab w:val="right" w:leader="dot" w:pos="9062"/>
        </w:tabs>
        <w:ind w:left="440"/>
      </w:pPr>
      <w:hyperlink w:anchor="_Toc2786" w:history="1">
        <w:r>
          <w:rPr>
            <w:rFonts w:ascii="IRNazanin" w:hAnsi="IRNazanin" w:eastAsia="IRNazanin" w:cs="IRNazanin"/>
            <w:color w:val="111111"/>
            <w:sz w:val="22"/>
            <w:szCs w:val="22"/>
            <w:b w:val="0"/>
            <w:bCs w:val="0"/>
            <w:i w:val="0"/>
            <w:iCs w:val="0"/>
          </w:rPr>
          <w:t>2167- دیوان محمد رضا قمشهی‏</w:t>
        </w:r>
        <w:r>
          <w:tab/>
        </w:r>
        <w:r>
          <w:fldChar w:fldCharType="begin"/>
        </w:r>
        <w:r>
          <w:instrText xml:space="preserve">PAGEREF 2786 \h</w:instrText>
        </w:r>
        <w:r>
          <w:fldChar w:fldCharType="end"/>
        </w:r>
      </w:hyperlink>
    </w:p>
    <w:p>
      <w:pPr>
        <w:tabs>
          <w:tab w:val="right" w:leader="dot" w:pos="9062"/>
        </w:tabs>
        <w:ind w:left="440"/>
      </w:pPr>
      <w:hyperlink w:anchor="_Toc2787" w:history="1">
        <w:r>
          <w:rPr>
            <w:rFonts w:ascii="IRNazanin" w:hAnsi="IRNazanin" w:eastAsia="IRNazanin" w:cs="IRNazanin"/>
            <w:color w:val="111111"/>
            <w:sz w:val="22"/>
            <w:szCs w:val="22"/>
            <w:b w:val="0"/>
            <w:bCs w:val="0"/>
            <w:i w:val="0"/>
            <w:iCs w:val="0"/>
          </w:rPr>
          <w:t>2168- دیوان میرزا محمد رضا قمی‏</w:t>
        </w:r>
        <w:r>
          <w:tab/>
        </w:r>
        <w:r>
          <w:fldChar w:fldCharType="begin"/>
        </w:r>
        <w:r>
          <w:instrText xml:space="preserve">PAGEREF 2787 \h</w:instrText>
        </w:r>
        <w:r>
          <w:fldChar w:fldCharType="end"/>
        </w:r>
      </w:hyperlink>
    </w:p>
    <w:p>
      <w:pPr>
        <w:tabs>
          <w:tab w:val="right" w:leader="dot" w:pos="9062"/>
        </w:tabs>
        <w:ind w:left="440"/>
      </w:pPr>
      <w:hyperlink w:anchor="_Toc2788" w:history="1">
        <w:r>
          <w:rPr>
            <w:rFonts w:ascii="IRNazanin" w:hAnsi="IRNazanin" w:eastAsia="IRNazanin" w:cs="IRNazanin"/>
            <w:color w:val="111111"/>
            <w:sz w:val="22"/>
            <w:szCs w:val="22"/>
            <w:b w:val="0"/>
            <w:bCs w:val="0"/>
            <w:i w:val="0"/>
            <w:iCs w:val="0"/>
          </w:rPr>
          <w:t>دیوان ملا رضا کاشانی‏</w:t>
        </w:r>
        <w:r>
          <w:tab/>
        </w:r>
        <w:r>
          <w:fldChar w:fldCharType="begin"/>
        </w:r>
        <w:r>
          <w:instrText xml:space="preserve">PAGEREF 2788 \h</w:instrText>
        </w:r>
        <w:r>
          <w:fldChar w:fldCharType="end"/>
        </w:r>
      </w:hyperlink>
    </w:p>
    <w:p>
      <w:pPr>
        <w:tabs>
          <w:tab w:val="right" w:leader="dot" w:pos="9062"/>
        </w:tabs>
        <w:ind w:left="440"/>
      </w:pPr>
      <w:hyperlink w:anchor="_Toc2789" w:history="1">
        <w:r>
          <w:rPr>
            <w:rFonts w:ascii="IRNazanin" w:hAnsi="IRNazanin" w:eastAsia="IRNazanin" w:cs="IRNazanin"/>
            <w:color w:val="111111"/>
            <w:sz w:val="22"/>
            <w:szCs w:val="22"/>
            <w:b w:val="0"/>
            <w:bCs w:val="0"/>
            <w:i w:val="0"/>
            <w:iCs w:val="0"/>
          </w:rPr>
          <w:t>2169- دیوان رضا کشمیری أو شعره‏</w:t>
        </w:r>
        <w:r>
          <w:tab/>
        </w:r>
        <w:r>
          <w:fldChar w:fldCharType="begin"/>
        </w:r>
        <w:r>
          <w:instrText xml:space="preserve">PAGEREF 2789 \h</w:instrText>
        </w:r>
        <w:r>
          <w:fldChar w:fldCharType="end"/>
        </w:r>
      </w:hyperlink>
    </w:p>
    <w:p>
      <w:pPr>
        <w:tabs>
          <w:tab w:val="right" w:leader="dot" w:pos="9062"/>
        </w:tabs>
        <w:ind w:left="440"/>
      </w:pPr>
      <w:hyperlink w:anchor="_Toc2790" w:history="1">
        <w:r>
          <w:rPr>
            <w:rFonts w:ascii="IRNazanin" w:hAnsi="IRNazanin" w:eastAsia="IRNazanin" w:cs="IRNazanin"/>
            <w:color w:val="111111"/>
            <w:sz w:val="22"/>
            <w:szCs w:val="22"/>
            <w:b w:val="0"/>
            <w:bCs w:val="0"/>
            <w:i w:val="0"/>
            <w:iCs w:val="0"/>
          </w:rPr>
          <w:t>2170- دیوان رضا لاهیجی أو شعره‏</w:t>
        </w:r>
        <w:r>
          <w:tab/>
        </w:r>
        <w:r>
          <w:fldChar w:fldCharType="begin"/>
        </w:r>
        <w:r>
          <w:instrText xml:space="preserve">PAGEREF 2790 \h</w:instrText>
        </w:r>
        <w:r>
          <w:fldChar w:fldCharType="end"/>
        </w:r>
      </w:hyperlink>
    </w:p>
    <w:p>
      <w:pPr>
        <w:tabs>
          <w:tab w:val="right" w:leader="dot" w:pos="9062"/>
        </w:tabs>
        <w:ind w:left="440"/>
      </w:pPr>
      <w:hyperlink w:anchor="_Toc2791" w:history="1">
        <w:r>
          <w:rPr>
            <w:rFonts w:ascii="IRNazanin" w:hAnsi="IRNazanin" w:eastAsia="IRNazanin" w:cs="IRNazanin"/>
            <w:color w:val="111111"/>
            <w:sz w:val="22"/>
            <w:szCs w:val="22"/>
            <w:b w:val="0"/>
            <w:bCs w:val="0"/>
            <w:i w:val="0"/>
            <w:iCs w:val="0"/>
          </w:rPr>
          <w:t>2171- دیوان رضا مشهدی أو شعره‏</w:t>
        </w:r>
        <w:r>
          <w:tab/>
        </w:r>
        <w:r>
          <w:fldChar w:fldCharType="begin"/>
        </w:r>
        <w:r>
          <w:instrText xml:space="preserve">PAGEREF 2791 \h</w:instrText>
        </w:r>
        <w:r>
          <w:fldChar w:fldCharType="end"/>
        </w:r>
      </w:hyperlink>
    </w:p>
    <w:p>
      <w:pPr>
        <w:tabs>
          <w:tab w:val="right" w:leader="dot" w:pos="9062"/>
        </w:tabs>
        <w:ind w:left="440"/>
      </w:pPr>
      <w:hyperlink w:anchor="_Toc2792" w:history="1">
        <w:r>
          <w:rPr>
            <w:rFonts w:ascii="IRNazanin" w:hAnsi="IRNazanin" w:eastAsia="IRNazanin" w:cs="IRNazanin"/>
            <w:color w:val="111111"/>
            <w:sz w:val="22"/>
            <w:szCs w:val="22"/>
            <w:b w:val="0"/>
            <w:bCs w:val="0"/>
            <w:i w:val="0"/>
            <w:iCs w:val="0"/>
          </w:rPr>
          <w:t>2172- دیوان الشیخ محمد رضا النحوی‏</w:t>
        </w:r>
        <w:r>
          <w:tab/>
        </w:r>
        <w:r>
          <w:fldChar w:fldCharType="begin"/>
        </w:r>
        <w:r>
          <w:instrText xml:space="preserve">PAGEREF 2792 \h</w:instrText>
        </w:r>
        <w:r>
          <w:fldChar w:fldCharType="end"/>
        </w:r>
      </w:hyperlink>
    </w:p>
    <w:p>
      <w:pPr>
        <w:tabs>
          <w:tab w:val="right" w:leader="dot" w:pos="9062"/>
        </w:tabs>
        <w:ind w:left="440"/>
      </w:pPr>
      <w:hyperlink w:anchor="_Toc2793" w:history="1">
        <w:r>
          <w:rPr>
            <w:rFonts w:ascii="IRNazanin" w:hAnsi="IRNazanin" w:eastAsia="IRNazanin" w:cs="IRNazanin"/>
            <w:color w:val="111111"/>
            <w:sz w:val="22"/>
            <w:szCs w:val="22"/>
            <w:b w:val="0"/>
            <w:bCs w:val="0"/>
            <w:i w:val="0"/>
            <w:iCs w:val="0"/>
          </w:rPr>
          <w:t>2173- دیوان رضا نور نعمةاللهی‏</w:t>
        </w:r>
        <w:r>
          <w:tab/>
        </w:r>
        <w:r>
          <w:fldChar w:fldCharType="begin"/>
        </w:r>
        <w:r>
          <w:instrText xml:space="preserve">PAGEREF 2793 \h</w:instrText>
        </w:r>
        <w:r>
          <w:fldChar w:fldCharType="end"/>
        </w:r>
      </w:hyperlink>
    </w:p>
    <w:p>
      <w:pPr>
        <w:tabs>
          <w:tab w:val="right" w:leader="dot" w:pos="9062"/>
        </w:tabs>
        <w:ind w:left="440"/>
      </w:pPr>
      <w:hyperlink w:anchor="_Toc2794" w:history="1">
        <w:r>
          <w:rPr>
            <w:rFonts w:ascii="IRNazanin" w:hAnsi="IRNazanin" w:eastAsia="IRNazanin" w:cs="IRNazanin"/>
            <w:color w:val="111111"/>
            <w:sz w:val="22"/>
            <w:szCs w:val="22"/>
            <w:b w:val="0"/>
            <w:bCs w:val="0"/>
            <w:i w:val="0"/>
            <w:iCs w:val="0"/>
          </w:rPr>
          <w:t>دیوان رضا الهروی‏</w:t>
        </w:r>
        <w:r>
          <w:tab/>
        </w:r>
        <w:r>
          <w:fldChar w:fldCharType="begin"/>
        </w:r>
        <w:r>
          <w:instrText xml:space="preserve">PAGEREF 2794 \h</w:instrText>
        </w:r>
        <w:r>
          <w:fldChar w:fldCharType="end"/>
        </w:r>
      </w:hyperlink>
    </w:p>
    <w:p>
      <w:pPr>
        <w:tabs>
          <w:tab w:val="right" w:leader="dot" w:pos="9062"/>
        </w:tabs>
        <w:ind w:left="440"/>
      </w:pPr>
      <w:hyperlink w:anchor="_Toc2795" w:history="1">
        <w:r>
          <w:rPr>
            <w:rFonts w:ascii="IRNazanin" w:hAnsi="IRNazanin" w:eastAsia="IRNazanin" w:cs="IRNazanin"/>
            <w:color w:val="111111"/>
            <w:sz w:val="22"/>
            <w:szCs w:val="22"/>
            <w:b w:val="0"/>
            <w:bCs w:val="0"/>
            <w:i w:val="0"/>
            <w:iCs w:val="0"/>
          </w:rPr>
          <w:t>2174- دیوان المیرزا محمد رضا الهمدانی‏</w:t>
        </w:r>
        <w:r>
          <w:tab/>
        </w:r>
        <w:r>
          <w:fldChar w:fldCharType="begin"/>
        </w:r>
        <w:r>
          <w:instrText xml:space="preserve">PAGEREF 2795 \h</w:instrText>
        </w:r>
        <w:r>
          <w:fldChar w:fldCharType="end"/>
        </w:r>
      </w:hyperlink>
    </w:p>
    <w:p>
      <w:pPr>
        <w:tabs>
          <w:tab w:val="right" w:leader="dot" w:pos="9062"/>
        </w:tabs>
        <w:ind w:left="440"/>
      </w:pPr>
      <w:hyperlink w:anchor="_Toc2796" w:history="1">
        <w:r>
          <w:rPr>
            <w:rFonts w:ascii="IRNazanin" w:hAnsi="IRNazanin" w:eastAsia="IRNazanin" w:cs="IRNazanin"/>
            <w:color w:val="111111"/>
            <w:sz w:val="22"/>
            <w:szCs w:val="22"/>
            <w:b w:val="0"/>
            <w:bCs w:val="0"/>
            <w:i w:val="0"/>
            <w:iCs w:val="0"/>
          </w:rPr>
          <w:t>2175- دیوان محمد رضا بیک همدانی أو شعره‏</w:t>
        </w:r>
        <w:r>
          <w:tab/>
        </w:r>
        <w:r>
          <w:fldChar w:fldCharType="begin"/>
        </w:r>
        <w:r>
          <w:instrText xml:space="preserve">PAGEREF 2796 \h</w:instrText>
        </w:r>
        <w:r>
          <w:fldChar w:fldCharType="end"/>
        </w:r>
      </w:hyperlink>
    </w:p>
    <w:p>
      <w:pPr>
        <w:tabs>
          <w:tab w:val="right" w:leader="dot" w:pos="9062"/>
        </w:tabs>
        <w:ind w:left="440"/>
      </w:pPr>
      <w:hyperlink w:anchor="_Toc2797" w:history="1">
        <w:r>
          <w:rPr>
            <w:rFonts w:ascii="IRNazanin" w:hAnsi="IRNazanin" w:eastAsia="IRNazanin" w:cs="IRNazanin"/>
            <w:color w:val="111111"/>
            <w:sz w:val="22"/>
            <w:szCs w:val="22"/>
            <w:b w:val="0"/>
            <w:bCs w:val="0"/>
            <w:i w:val="0"/>
            <w:iCs w:val="0"/>
          </w:rPr>
          <w:t>2176- دیوان السید رضا الهندی‏</w:t>
        </w:r>
        <w:r>
          <w:tab/>
        </w:r>
        <w:r>
          <w:fldChar w:fldCharType="begin"/>
        </w:r>
        <w:r>
          <w:instrText xml:space="preserve">PAGEREF 2797 \h</w:instrText>
        </w:r>
        <w:r>
          <w:fldChar w:fldCharType="end"/>
        </w:r>
      </w:hyperlink>
    </w:p>
    <w:p>
      <w:pPr>
        <w:tabs>
          <w:tab w:val="right" w:leader="dot" w:pos="9062"/>
        </w:tabs>
        <w:ind w:left="440"/>
      </w:pPr>
      <w:hyperlink w:anchor="_Toc2798" w:history="1">
        <w:r>
          <w:rPr>
            <w:rFonts w:ascii="IRNazanin" w:hAnsi="IRNazanin" w:eastAsia="IRNazanin" w:cs="IRNazanin"/>
            <w:color w:val="111111"/>
            <w:sz w:val="22"/>
            <w:szCs w:val="22"/>
            <w:b w:val="0"/>
            <w:bCs w:val="0"/>
            <w:i w:val="0"/>
            <w:iCs w:val="0"/>
          </w:rPr>
          <w:t>2177- دیوان رضا هندی أو شعره‏</w:t>
        </w:r>
        <w:r>
          <w:tab/>
        </w:r>
        <w:r>
          <w:fldChar w:fldCharType="begin"/>
        </w:r>
        <w:r>
          <w:instrText xml:space="preserve">PAGEREF 2798 \h</w:instrText>
        </w:r>
        <w:r>
          <w:fldChar w:fldCharType="end"/>
        </w:r>
      </w:hyperlink>
    </w:p>
    <w:p>
      <w:pPr>
        <w:tabs>
          <w:tab w:val="right" w:leader="dot" w:pos="9062"/>
        </w:tabs>
        <w:ind w:left="440"/>
      </w:pPr>
      <w:hyperlink w:anchor="_Toc2799" w:history="1">
        <w:r>
          <w:rPr>
            <w:rFonts w:ascii="IRNazanin" w:hAnsi="IRNazanin" w:eastAsia="IRNazanin" w:cs="IRNazanin"/>
            <w:color w:val="111111"/>
            <w:sz w:val="22"/>
            <w:szCs w:val="22"/>
            <w:b w:val="0"/>
            <w:bCs w:val="0"/>
            <w:i w:val="0"/>
            <w:iCs w:val="0"/>
          </w:rPr>
          <w:t>2178- دیوان رضائی أصفهانی أو شعره‏</w:t>
        </w:r>
        <w:r>
          <w:tab/>
        </w:r>
        <w:r>
          <w:fldChar w:fldCharType="begin"/>
        </w:r>
        <w:r>
          <w:instrText xml:space="preserve">PAGEREF 2799 \h</w:instrText>
        </w:r>
        <w:r>
          <w:fldChar w:fldCharType="end"/>
        </w:r>
      </w:hyperlink>
    </w:p>
    <w:p>
      <w:pPr>
        <w:tabs>
          <w:tab w:val="right" w:leader="dot" w:pos="9062"/>
        </w:tabs>
        <w:ind w:left="440"/>
      </w:pPr>
      <w:hyperlink w:anchor="_Toc2800" w:history="1">
        <w:r>
          <w:rPr>
            <w:rFonts w:ascii="IRNazanin" w:hAnsi="IRNazanin" w:eastAsia="IRNazanin" w:cs="IRNazanin"/>
            <w:color w:val="111111"/>
            <w:sz w:val="22"/>
            <w:szCs w:val="22"/>
            <w:b w:val="0"/>
            <w:bCs w:val="0"/>
            <w:i w:val="0"/>
            <w:iCs w:val="0"/>
          </w:rPr>
          <w:t>2179- دیوان رضائی بخاری أو شعره‏</w:t>
        </w:r>
        <w:r>
          <w:tab/>
        </w:r>
        <w:r>
          <w:fldChar w:fldCharType="begin"/>
        </w:r>
        <w:r>
          <w:instrText xml:space="preserve">PAGEREF 2800 \h</w:instrText>
        </w:r>
        <w:r>
          <w:fldChar w:fldCharType="end"/>
        </w:r>
      </w:hyperlink>
    </w:p>
    <w:p>
      <w:pPr>
        <w:tabs>
          <w:tab w:val="right" w:leader="dot" w:pos="9062"/>
        </w:tabs>
        <w:ind w:left="440"/>
      </w:pPr>
      <w:hyperlink w:anchor="_Toc2801" w:history="1">
        <w:r>
          <w:rPr>
            <w:rFonts w:ascii="IRNazanin" w:hAnsi="IRNazanin" w:eastAsia="IRNazanin" w:cs="IRNazanin"/>
            <w:color w:val="111111"/>
            <w:sz w:val="22"/>
            <w:szCs w:val="22"/>
            <w:b w:val="0"/>
            <w:bCs w:val="0"/>
            <w:i w:val="0"/>
            <w:iCs w:val="0"/>
          </w:rPr>
          <w:t>2180- دیوان رضائی تبریزی‏</w:t>
        </w:r>
        <w:r>
          <w:tab/>
        </w:r>
        <w:r>
          <w:fldChar w:fldCharType="begin"/>
        </w:r>
        <w:r>
          <w:instrText xml:space="preserve">PAGEREF 2801 \h</w:instrText>
        </w:r>
        <w:r>
          <w:fldChar w:fldCharType="end"/>
        </w:r>
      </w:hyperlink>
    </w:p>
    <w:p>
      <w:pPr>
        <w:tabs>
          <w:tab w:val="right" w:leader="dot" w:pos="9062"/>
        </w:tabs>
        <w:ind w:left="440"/>
      </w:pPr>
      <w:hyperlink w:anchor="_Toc2802" w:history="1">
        <w:r>
          <w:rPr>
            <w:rFonts w:ascii="IRNazanin" w:hAnsi="IRNazanin" w:eastAsia="IRNazanin" w:cs="IRNazanin"/>
            <w:color w:val="111111"/>
            <w:sz w:val="22"/>
            <w:szCs w:val="22"/>
            <w:b w:val="0"/>
            <w:bCs w:val="0"/>
            <w:i w:val="0"/>
            <w:iCs w:val="0"/>
          </w:rPr>
          <w:t>2181- دیوان رضائی تتوی‏</w:t>
        </w:r>
        <w:r>
          <w:tab/>
        </w:r>
        <w:r>
          <w:fldChar w:fldCharType="begin"/>
        </w:r>
        <w:r>
          <w:instrText xml:space="preserve">PAGEREF 2802 \h</w:instrText>
        </w:r>
        <w:r>
          <w:fldChar w:fldCharType="end"/>
        </w:r>
      </w:hyperlink>
    </w:p>
    <w:p>
      <w:pPr>
        <w:tabs>
          <w:tab w:val="right" w:leader="dot" w:pos="9062"/>
        </w:tabs>
        <w:ind w:left="440"/>
      </w:pPr>
      <w:hyperlink w:anchor="_Toc2803" w:history="1">
        <w:r>
          <w:rPr>
            <w:rFonts w:ascii="IRNazanin" w:hAnsi="IRNazanin" w:eastAsia="IRNazanin" w:cs="IRNazanin"/>
            <w:color w:val="111111"/>
            <w:sz w:val="22"/>
            <w:szCs w:val="22"/>
            <w:b w:val="0"/>
            <w:bCs w:val="0"/>
            <w:i w:val="0"/>
            <w:iCs w:val="0"/>
          </w:rPr>
          <w:t>2182- دیوان رضائی دارابجردی أو شعره‏</w:t>
        </w:r>
        <w:r>
          <w:tab/>
        </w:r>
        <w:r>
          <w:fldChar w:fldCharType="begin"/>
        </w:r>
        <w:r>
          <w:instrText xml:space="preserve">PAGEREF 2803 \h</w:instrText>
        </w:r>
        <w:r>
          <w:fldChar w:fldCharType="end"/>
        </w:r>
      </w:hyperlink>
    </w:p>
    <w:p>
      <w:pPr>
        <w:tabs>
          <w:tab w:val="right" w:leader="dot" w:pos="9062"/>
        </w:tabs>
        <w:ind w:left="440"/>
      </w:pPr>
      <w:hyperlink w:anchor="_Toc2804" w:history="1">
        <w:r>
          <w:rPr>
            <w:rFonts w:ascii="IRNazanin" w:hAnsi="IRNazanin" w:eastAsia="IRNazanin" w:cs="IRNazanin"/>
            <w:color w:val="111111"/>
            <w:sz w:val="22"/>
            <w:szCs w:val="22"/>
            <w:b w:val="0"/>
            <w:bCs w:val="0"/>
            <w:i w:val="0"/>
            <w:iCs w:val="0"/>
          </w:rPr>
          <w:t>دیوان رضائی رازی‏</w:t>
        </w:r>
        <w:r>
          <w:tab/>
        </w:r>
        <w:r>
          <w:fldChar w:fldCharType="begin"/>
        </w:r>
        <w:r>
          <w:instrText xml:space="preserve">PAGEREF 2804 \h</w:instrText>
        </w:r>
        <w:r>
          <w:fldChar w:fldCharType="end"/>
        </w:r>
      </w:hyperlink>
    </w:p>
    <w:p>
      <w:pPr>
        <w:tabs>
          <w:tab w:val="right" w:leader="dot" w:pos="9062"/>
        </w:tabs>
        <w:ind w:left="440"/>
      </w:pPr>
      <w:hyperlink w:anchor="_Toc2805" w:history="1">
        <w:r>
          <w:rPr>
            <w:rFonts w:ascii="IRNazanin" w:hAnsi="IRNazanin" w:eastAsia="IRNazanin" w:cs="IRNazanin"/>
            <w:color w:val="111111"/>
            <w:sz w:val="22"/>
            <w:szCs w:val="22"/>
            <w:b w:val="0"/>
            <w:bCs w:val="0"/>
            <w:i w:val="0"/>
            <w:iCs w:val="0"/>
          </w:rPr>
          <w:t>2183- دیوان رضائی رشتی أو شعره‏</w:t>
        </w:r>
        <w:r>
          <w:tab/>
        </w:r>
        <w:r>
          <w:fldChar w:fldCharType="begin"/>
        </w:r>
        <w:r>
          <w:instrText xml:space="preserve">PAGEREF 2805 \h</w:instrText>
        </w:r>
        <w:r>
          <w:fldChar w:fldCharType="end"/>
        </w:r>
      </w:hyperlink>
    </w:p>
    <w:p>
      <w:pPr>
        <w:tabs>
          <w:tab w:val="right" w:leader="dot" w:pos="9062"/>
        </w:tabs>
        <w:ind w:left="440"/>
      </w:pPr>
      <w:hyperlink w:anchor="_Toc2806" w:history="1">
        <w:r>
          <w:rPr>
            <w:rFonts w:ascii="IRNazanin" w:hAnsi="IRNazanin" w:eastAsia="IRNazanin" w:cs="IRNazanin"/>
            <w:color w:val="111111"/>
            <w:sz w:val="22"/>
            <w:szCs w:val="22"/>
            <w:b w:val="0"/>
            <w:bCs w:val="0"/>
            <w:i w:val="0"/>
            <w:iCs w:val="0"/>
          </w:rPr>
          <w:t>دیوان رضائی رضوی‏</w:t>
        </w:r>
        <w:r>
          <w:tab/>
        </w:r>
        <w:r>
          <w:fldChar w:fldCharType="begin"/>
        </w:r>
        <w:r>
          <w:instrText xml:space="preserve">PAGEREF 2806 \h</w:instrText>
        </w:r>
        <w:r>
          <w:fldChar w:fldCharType="end"/>
        </w:r>
      </w:hyperlink>
    </w:p>
    <w:p>
      <w:pPr>
        <w:tabs>
          <w:tab w:val="right" w:leader="dot" w:pos="9062"/>
        </w:tabs>
        <w:ind w:left="440"/>
      </w:pPr>
      <w:hyperlink w:anchor="_Toc2807" w:history="1">
        <w:r>
          <w:rPr>
            <w:rFonts w:ascii="IRNazanin" w:hAnsi="IRNazanin" w:eastAsia="IRNazanin" w:cs="IRNazanin"/>
            <w:color w:val="111111"/>
            <w:sz w:val="22"/>
            <w:szCs w:val="22"/>
            <w:b w:val="0"/>
            <w:bCs w:val="0"/>
            <w:i w:val="0"/>
            <w:iCs w:val="0"/>
          </w:rPr>
          <w:t>دیوان رضائی کاشی أو شعره‏</w:t>
        </w:r>
        <w:r>
          <w:tab/>
        </w:r>
        <w:r>
          <w:fldChar w:fldCharType="begin"/>
        </w:r>
        <w:r>
          <w:instrText xml:space="preserve">PAGEREF 2807 \h</w:instrText>
        </w:r>
        <w:r>
          <w:fldChar w:fldCharType="end"/>
        </w:r>
      </w:hyperlink>
    </w:p>
    <w:p>
      <w:pPr>
        <w:tabs>
          <w:tab w:val="right" w:leader="dot" w:pos="9062"/>
        </w:tabs>
        <w:ind w:left="440"/>
      </w:pPr>
      <w:hyperlink w:anchor="_Toc2808" w:history="1">
        <w:r>
          <w:rPr>
            <w:rFonts w:ascii="IRNazanin" w:hAnsi="IRNazanin" w:eastAsia="IRNazanin" w:cs="IRNazanin"/>
            <w:color w:val="111111"/>
            <w:sz w:val="22"/>
            <w:szCs w:val="22"/>
            <w:b w:val="0"/>
            <w:bCs w:val="0"/>
            <w:i w:val="0"/>
            <w:iCs w:val="0"/>
          </w:rPr>
          <w:t>2184- دیوان رضائی کاشی‏</w:t>
        </w:r>
        <w:r>
          <w:tab/>
        </w:r>
        <w:r>
          <w:fldChar w:fldCharType="begin"/>
        </w:r>
        <w:r>
          <w:instrText xml:space="preserve">PAGEREF 2808 \h</w:instrText>
        </w:r>
        <w:r>
          <w:fldChar w:fldCharType="end"/>
        </w:r>
      </w:hyperlink>
    </w:p>
    <w:p>
      <w:pPr>
        <w:tabs>
          <w:tab w:val="right" w:leader="dot" w:pos="9062"/>
        </w:tabs>
        <w:ind w:left="440"/>
      </w:pPr>
      <w:hyperlink w:anchor="_Toc2809" w:history="1">
        <w:r>
          <w:rPr>
            <w:rFonts w:ascii="IRNazanin" w:hAnsi="IRNazanin" w:eastAsia="IRNazanin" w:cs="IRNazanin"/>
            <w:color w:val="111111"/>
            <w:sz w:val="22"/>
            <w:szCs w:val="22"/>
            <w:b w:val="0"/>
            <w:bCs w:val="0"/>
            <w:i w:val="0"/>
            <w:iCs w:val="0"/>
          </w:rPr>
          <w:t>2185- دیوان رضائی گنگ أو شعره‏</w:t>
        </w:r>
        <w:r>
          <w:tab/>
        </w:r>
        <w:r>
          <w:fldChar w:fldCharType="begin"/>
        </w:r>
        <w:r>
          <w:instrText xml:space="preserve">PAGEREF 2809 \h</w:instrText>
        </w:r>
        <w:r>
          <w:fldChar w:fldCharType="end"/>
        </w:r>
      </w:hyperlink>
    </w:p>
    <w:p>
      <w:pPr>
        <w:tabs>
          <w:tab w:val="right" w:leader="dot" w:pos="9062"/>
        </w:tabs>
        <w:ind w:left="440"/>
      </w:pPr>
      <w:hyperlink w:anchor="_Toc2810" w:history="1">
        <w:r>
          <w:rPr>
            <w:rFonts w:ascii="IRNazanin" w:hAnsi="IRNazanin" w:eastAsia="IRNazanin" w:cs="IRNazanin"/>
            <w:color w:val="111111"/>
            <w:sz w:val="22"/>
            <w:szCs w:val="22"/>
            <w:b w:val="0"/>
            <w:bCs w:val="0"/>
            <w:i w:val="0"/>
            <w:iCs w:val="0"/>
          </w:rPr>
          <w:t>2186- دیوان رضائی مازندرانی‏</w:t>
        </w:r>
        <w:r>
          <w:tab/>
        </w:r>
        <w:r>
          <w:fldChar w:fldCharType="begin"/>
        </w:r>
        <w:r>
          <w:instrText xml:space="preserve">PAGEREF 2810 \h</w:instrText>
        </w:r>
        <w:r>
          <w:fldChar w:fldCharType="end"/>
        </w:r>
      </w:hyperlink>
    </w:p>
    <w:p>
      <w:pPr>
        <w:tabs>
          <w:tab w:val="right" w:leader="dot" w:pos="9062"/>
        </w:tabs>
        <w:ind w:left="440"/>
      </w:pPr>
      <w:hyperlink w:anchor="_Toc2811" w:history="1">
        <w:r>
          <w:rPr>
            <w:rFonts w:ascii="IRNazanin" w:hAnsi="IRNazanin" w:eastAsia="IRNazanin" w:cs="IRNazanin"/>
            <w:color w:val="111111"/>
            <w:sz w:val="22"/>
            <w:szCs w:val="22"/>
            <w:b w:val="0"/>
            <w:bCs w:val="0"/>
            <w:i w:val="0"/>
            <w:iCs w:val="0"/>
          </w:rPr>
          <w:t>2187- دیوان رضائی مشهدی أو شعره‏</w:t>
        </w:r>
        <w:r>
          <w:tab/>
        </w:r>
        <w:r>
          <w:fldChar w:fldCharType="begin"/>
        </w:r>
        <w:r>
          <w:instrText xml:space="preserve">PAGEREF 2811 \h</w:instrText>
        </w:r>
        <w:r>
          <w:fldChar w:fldCharType="end"/>
        </w:r>
      </w:hyperlink>
    </w:p>
    <w:p>
      <w:pPr>
        <w:tabs>
          <w:tab w:val="right" w:leader="dot" w:pos="9062"/>
        </w:tabs>
        <w:ind w:left="440"/>
      </w:pPr>
      <w:hyperlink w:anchor="_Toc2812" w:history="1">
        <w:r>
          <w:rPr>
            <w:rFonts w:ascii="IRNazanin" w:hAnsi="IRNazanin" w:eastAsia="IRNazanin" w:cs="IRNazanin"/>
            <w:color w:val="111111"/>
            <w:sz w:val="22"/>
            <w:szCs w:val="22"/>
            <w:b w:val="0"/>
            <w:bCs w:val="0"/>
            <w:i w:val="0"/>
            <w:iCs w:val="0"/>
          </w:rPr>
          <w:t>2188- دیوان رضوان‏</w:t>
        </w:r>
        <w:r>
          <w:tab/>
        </w:r>
        <w:r>
          <w:fldChar w:fldCharType="begin"/>
        </w:r>
        <w:r>
          <w:instrText xml:space="preserve">PAGEREF 2812 \h</w:instrText>
        </w:r>
        <w:r>
          <w:fldChar w:fldCharType="end"/>
        </w:r>
      </w:hyperlink>
    </w:p>
    <w:p>
      <w:pPr>
        <w:tabs>
          <w:tab w:val="right" w:leader="dot" w:pos="9062"/>
        </w:tabs>
        <w:ind w:left="440"/>
      </w:pPr>
      <w:hyperlink w:anchor="_Toc2813" w:history="1">
        <w:r>
          <w:rPr>
            <w:rFonts w:ascii="IRNazanin" w:hAnsi="IRNazanin" w:eastAsia="IRNazanin" w:cs="IRNazanin"/>
            <w:color w:val="111111"/>
            <w:sz w:val="22"/>
            <w:szCs w:val="22"/>
            <w:b w:val="0"/>
            <w:bCs w:val="0"/>
            <w:i w:val="0"/>
            <w:iCs w:val="0"/>
          </w:rPr>
          <w:t>2189- دیوان رضوان شیرازی‏</w:t>
        </w:r>
        <w:r>
          <w:tab/>
        </w:r>
        <w:r>
          <w:fldChar w:fldCharType="begin"/>
        </w:r>
        <w:r>
          <w:instrText xml:space="preserve">PAGEREF 2813 \h</w:instrText>
        </w:r>
        <w:r>
          <w:fldChar w:fldCharType="end"/>
        </w:r>
      </w:hyperlink>
    </w:p>
    <w:p>
      <w:pPr>
        <w:tabs>
          <w:tab w:val="right" w:leader="dot" w:pos="9062"/>
        </w:tabs>
        <w:ind w:left="440"/>
      </w:pPr>
      <w:hyperlink w:anchor="_Toc2814" w:history="1">
        <w:r>
          <w:rPr>
            <w:rFonts w:ascii="IRNazanin" w:hAnsi="IRNazanin" w:eastAsia="IRNazanin" w:cs="IRNazanin"/>
            <w:color w:val="111111"/>
            <w:sz w:val="22"/>
            <w:szCs w:val="22"/>
            <w:b w:val="0"/>
            <w:bCs w:val="0"/>
            <w:i w:val="0"/>
            <w:iCs w:val="0"/>
          </w:rPr>
          <w:t>2190- دیوان رضوان قاجار</w:t>
        </w:r>
        <w:r>
          <w:tab/>
        </w:r>
        <w:r>
          <w:fldChar w:fldCharType="begin"/>
        </w:r>
        <w:r>
          <w:instrText xml:space="preserve">PAGEREF 2814 \h</w:instrText>
        </w:r>
        <w:r>
          <w:fldChar w:fldCharType="end"/>
        </w:r>
      </w:hyperlink>
    </w:p>
    <w:p>
      <w:pPr>
        <w:tabs>
          <w:tab w:val="right" w:leader="dot" w:pos="9062"/>
        </w:tabs>
        <w:ind w:left="440"/>
      </w:pPr>
      <w:hyperlink w:anchor="_Toc2815" w:history="1">
        <w:r>
          <w:rPr>
            <w:rFonts w:ascii="IRNazanin" w:hAnsi="IRNazanin" w:eastAsia="IRNazanin" w:cs="IRNazanin"/>
            <w:color w:val="111111"/>
            <w:sz w:val="22"/>
            <w:szCs w:val="22"/>
            <w:b w:val="0"/>
            <w:bCs w:val="0"/>
            <w:i w:val="0"/>
            <w:iCs w:val="0"/>
          </w:rPr>
          <w:t>2191- دیوان رضوان کرندی‏</w:t>
        </w:r>
        <w:r>
          <w:tab/>
        </w:r>
        <w:r>
          <w:fldChar w:fldCharType="begin"/>
        </w:r>
        <w:r>
          <w:instrText xml:space="preserve">PAGEREF 2815 \h</w:instrText>
        </w:r>
        <w:r>
          <w:fldChar w:fldCharType="end"/>
        </w:r>
      </w:hyperlink>
    </w:p>
    <w:p>
      <w:pPr>
        <w:tabs>
          <w:tab w:val="right" w:leader="dot" w:pos="9062"/>
        </w:tabs>
        <w:ind w:left="440"/>
      </w:pPr>
      <w:hyperlink w:anchor="_Toc2816" w:history="1">
        <w:r>
          <w:rPr>
            <w:rFonts w:ascii="IRNazanin" w:hAnsi="IRNazanin" w:eastAsia="IRNazanin" w:cs="IRNazanin"/>
            <w:color w:val="111111"/>
            <w:sz w:val="22"/>
            <w:szCs w:val="22"/>
            <w:b w:val="0"/>
            <w:bCs w:val="0"/>
            <w:i w:val="0"/>
            <w:iCs w:val="0"/>
          </w:rPr>
          <w:t>2192- دیوان رضوان لاهوری‏</w:t>
        </w:r>
        <w:r>
          <w:tab/>
        </w:r>
        <w:r>
          <w:fldChar w:fldCharType="begin"/>
        </w:r>
        <w:r>
          <w:instrText xml:space="preserve">PAGEREF 2816 \h</w:instrText>
        </w:r>
        <w:r>
          <w:fldChar w:fldCharType="end"/>
        </w:r>
      </w:hyperlink>
    </w:p>
    <w:p>
      <w:pPr>
        <w:tabs>
          <w:tab w:val="right" w:leader="dot" w:pos="9062"/>
        </w:tabs>
        <w:ind w:left="440"/>
      </w:pPr>
      <w:hyperlink w:anchor="_Toc2817" w:history="1">
        <w:r>
          <w:rPr>
            <w:rFonts w:ascii="IRNazanin" w:hAnsi="IRNazanin" w:eastAsia="IRNazanin" w:cs="IRNazanin"/>
            <w:color w:val="111111"/>
            <w:sz w:val="22"/>
            <w:szCs w:val="22"/>
            <w:b w:val="0"/>
            <w:bCs w:val="0"/>
            <w:i w:val="0"/>
            <w:iCs w:val="0"/>
          </w:rPr>
          <w:t>2193- دیوان رضوانی فسوی‏</w:t>
        </w:r>
        <w:r>
          <w:tab/>
        </w:r>
        <w:r>
          <w:fldChar w:fldCharType="begin"/>
        </w:r>
        <w:r>
          <w:instrText xml:space="preserve">PAGEREF 2817 \h</w:instrText>
        </w:r>
        <w:r>
          <w:fldChar w:fldCharType="end"/>
        </w:r>
      </w:hyperlink>
    </w:p>
    <w:p>
      <w:pPr>
        <w:tabs>
          <w:tab w:val="right" w:leader="dot" w:pos="9062"/>
        </w:tabs>
        <w:ind w:left="440"/>
      </w:pPr>
      <w:hyperlink w:anchor="_Toc2818" w:history="1">
        <w:r>
          <w:rPr>
            <w:rFonts w:ascii="IRNazanin" w:hAnsi="IRNazanin" w:eastAsia="IRNazanin" w:cs="IRNazanin"/>
            <w:color w:val="111111"/>
            <w:sz w:val="22"/>
            <w:szCs w:val="22"/>
            <w:b w:val="0"/>
            <w:bCs w:val="0"/>
            <w:i w:val="0"/>
            <w:iCs w:val="0"/>
          </w:rPr>
          <w:t>2194- دیوان رضوانی یزدی‏</w:t>
        </w:r>
        <w:r>
          <w:tab/>
        </w:r>
        <w:r>
          <w:fldChar w:fldCharType="begin"/>
        </w:r>
        <w:r>
          <w:instrText xml:space="preserve">PAGEREF 2818 \h</w:instrText>
        </w:r>
        <w:r>
          <w:fldChar w:fldCharType="end"/>
        </w:r>
      </w:hyperlink>
    </w:p>
    <w:p>
      <w:pPr>
        <w:tabs>
          <w:tab w:val="right" w:leader="dot" w:pos="9062"/>
        </w:tabs>
        <w:ind w:left="440"/>
      </w:pPr>
      <w:hyperlink w:anchor="_Toc2819" w:history="1">
        <w:r>
          <w:rPr>
            <w:rFonts w:ascii="IRNazanin" w:hAnsi="IRNazanin" w:eastAsia="IRNazanin" w:cs="IRNazanin"/>
            <w:color w:val="111111"/>
            <w:sz w:val="22"/>
            <w:szCs w:val="22"/>
            <w:b w:val="0"/>
            <w:bCs w:val="0"/>
            <w:i w:val="0"/>
            <w:iCs w:val="0"/>
          </w:rPr>
          <w:t>2195- دیوان رضی آرتیمانی‏</w:t>
        </w:r>
        <w:r>
          <w:tab/>
        </w:r>
        <w:r>
          <w:fldChar w:fldCharType="begin"/>
        </w:r>
        <w:r>
          <w:instrText xml:space="preserve">PAGEREF 2819 \h</w:instrText>
        </w:r>
        <w:r>
          <w:fldChar w:fldCharType="end"/>
        </w:r>
      </w:hyperlink>
    </w:p>
    <w:p>
      <w:pPr>
        <w:tabs>
          <w:tab w:val="right" w:leader="dot" w:pos="9062"/>
        </w:tabs>
        <w:ind w:left="440"/>
      </w:pPr>
      <w:hyperlink w:anchor="_Toc2820" w:history="1">
        <w:r>
          <w:rPr>
            <w:rFonts w:ascii="IRNazanin" w:hAnsi="IRNazanin" w:eastAsia="IRNazanin" w:cs="IRNazanin"/>
            <w:color w:val="111111"/>
            <w:sz w:val="22"/>
            <w:szCs w:val="22"/>
            <w:b w:val="0"/>
            <w:bCs w:val="0"/>
            <w:i w:val="0"/>
            <w:iCs w:val="0"/>
          </w:rPr>
          <w:t>2196- دیوان رضی أصفهانی أو شعره‏</w:t>
        </w:r>
        <w:r>
          <w:tab/>
        </w:r>
        <w:r>
          <w:fldChar w:fldCharType="begin"/>
        </w:r>
        <w:r>
          <w:instrText xml:space="preserve">PAGEREF 2820 \h</w:instrText>
        </w:r>
        <w:r>
          <w:fldChar w:fldCharType="end"/>
        </w:r>
      </w:hyperlink>
    </w:p>
    <w:p>
      <w:pPr>
        <w:tabs>
          <w:tab w:val="right" w:leader="dot" w:pos="9062"/>
        </w:tabs>
        <w:ind w:left="440"/>
      </w:pPr>
      <w:hyperlink w:anchor="_Toc2821" w:history="1">
        <w:r>
          <w:rPr>
            <w:rFonts w:ascii="IRNazanin" w:hAnsi="IRNazanin" w:eastAsia="IRNazanin" w:cs="IRNazanin"/>
            <w:color w:val="111111"/>
            <w:sz w:val="22"/>
            <w:szCs w:val="22"/>
            <w:b w:val="0"/>
            <w:bCs w:val="0"/>
            <w:i w:val="0"/>
            <w:iCs w:val="0"/>
          </w:rPr>
          <w:t>2197- دیوان الرضی البغدادی‏</w:t>
        </w:r>
        <w:r>
          <w:tab/>
        </w:r>
        <w:r>
          <w:fldChar w:fldCharType="begin"/>
        </w:r>
        <w:r>
          <w:instrText xml:space="preserve">PAGEREF 2821 \h</w:instrText>
        </w:r>
        <w:r>
          <w:fldChar w:fldCharType="end"/>
        </w:r>
      </w:hyperlink>
    </w:p>
    <w:p>
      <w:pPr>
        <w:tabs>
          <w:tab w:val="right" w:leader="dot" w:pos="9062"/>
        </w:tabs>
        <w:ind w:left="440"/>
      </w:pPr>
      <w:hyperlink w:anchor="_Toc2822" w:history="1">
        <w:r>
          <w:rPr>
            <w:rFonts w:ascii="IRNazanin" w:hAnsi="IRNazanin" w:eastAsia="IRNazanin" w:cs="IRNazanin"/>
            <w:color w:val="111111"/>
            <w:sz w:val="22"/>
            <w:szCs w:val="22"/>
            <w:b w:val="0"/>
            <w:bCs w:val="0"/>
            <w:i w:val="0"/>
            <w:iCs w:val="0"/>
          </w:rPr>
          <w:t>دیوان رضی تبریزی‏</w:t>
        </w:r>
        <w:r>
          <w:tab/>
        </w:r>
        <w:r>
          <w:fldChar w:fldCharType="begin"/>
        </w:r>
        <w:r>
          <w:instrText xml:space="preserve">PAGEREF 2822 \h</w:instrText>
        </w:r>
        <w:r>
          <w:fldChar w:fldCharType="end"/>
        </w:r>
      </w:hyperlink>
    </w:p>
    <w:p>
      <w:pPr>
        <w:tabs>
          <w:tab w:val="right" w:leader="dot" w:pos="9062"/>
        </w:tabs>
        <w:ind w:left="440"/>
      </w:pPr>
      <w:hyperlink w:anchor="_Toc2823" w:history="1">
        <w:r>
          <w:rPr>
            <w:rFonts w:ascii="IRNazanin" w:hAnsi="IRNazanin" w:eastAsia="IRNazanin" w:cs="IRNazanin"/>
            <w:color w:val="111111"/>
            <w:sz w:val="22"/>
            <w:szCs w:val="22"/>
            <w:b w:val="0"/>
            <w:bCs w:val="0"/>
            <w:i w:val="0"/>
            <w:iCs w:val="0"/>
          </w:rPr>
          <w:t>دیوان الرضی التستری‏</w:t>
        </w:r>
        <w:r>
          <w:tab/>
        </w:r>
        <w:r>
          <w:fldChar w:fldCharType="begin"/>
        </w:r>
        <w:r>
          <w:instrText xml:space="preserve">PAGEREF 2823 \h</w:instrText>
        </w:r>
        <w:r>
          <w:fldChar w:fldCharType="end"/>
        </w:r>
      </w:hyperlink>
    </w:p>
    <w:p>
      <w:pPr>
        <w:tabs>
          <w:tab w:val="right" w:leader="dot" w:pos="9062"/>
        </w:tabs>
        <w:ind w:left="440"/>
      </w:pPr>
      <w:hyperlink w:anchor="_Toc2824" w:history="1">
        <w:r>
          <w:rPr>
            <w:rFonts w:ascii="IRNazanin" w:hAnsi="IRNazanin" w:eastAsia="IRNazanin" w:cs="IRNazanin"/>
            <w:color w:val="111111"/>
            <w:sz w:val="22"/>
            <w:szCs w:val="22"/>
            <w:b w:val="0"/>
            <w:bCs w:val="0"/>
            <w:i w:val="0"/>
            <w:iCs w:val="0"/>
          </w:rPr>
          <w:t>2198- دیوان رضی خراسانی‏</w:t>
        </w:r>
        <w:r>
          <w:tab/>
        </w:r>
        <w:r>
          <w:fldChar w:fldCharType="begin"/>
        </w:r>
        <w:r>
          <w:instrText xml:space="preserve">PAGEREF 2824 \h</w:instrText>
        </w:r>
        <w:r>
          <w:fldChar w:fldCharType="end"/>
        </w:r>
      </w:hyperlink>
    </w:p>
    <w:p>
      <w:pPr>
        <w:tabs>
          <w:tab w:val="right" w:leader="dot" w:pos="9062"/>
        </w:tabs>
        <w:ind w:left="440"/>
      </w:pPr>
      <w:hyperlink w:anchor="_Toc2825" w:history="1">
        <w:r>
          <w:rPr>
            <w:rFonts w:ascii="IRNazanin" w:hAnsi="IRNazanin" w:eastAsia="IRNazanin" w:cs="IRNazanin"/>
            <w:color w:val="111111"/>
            <w:sz w:val="22"/>
            <w:szCs w:val="22"/>
            <w:b w:val="0"/>
            <w:bCs w:val="0"/>
            <w:i w:val="0"/>
            <w:iCs w:val="0"/>
          </w:rPr>
          <w:t>دیوان رضی الدین بابا</w:t>
        </w:r>
        <w:r>
          <w:tab/>
        </w:r>
        <w:r>
          <w:fldChar w:fldCharType="begin"/>
        </w:r>
        <w:r>
          <w:instrText xml:space="preserve">PAGEREF 2825 \h</w:instrText>
        </w:r>
        <w:r>
          <w:fldChar w:fldCharType="end"/>
        </w:r>
      </w:hyperlink>
    </w:p>
    <w:p>
      <w:pPr>
        <w:tabs>
          <w:tab w:val="right" w:leader="dot" w:pos="9062"/>
        </w:tabs>
        <w:ind w:left="440"/>
      </w:pPr>
      <w:hyperlink w:anchor="_Toc2826" w:history="1">
        <w:r>
          <w:rPr>
            <w:rFonts w:ascii="IRNazanin" w:hAnsi="IRNazanin" w:eastAsia="IRNazanin" w:cs="IRNazanin"/>
            <w:color w:val="111111"/>
            <w:sz w:val="22"/>
            <w:szCs w:val="22"/>
            <w:b w:val="0"/>
            <w:bCs w:val="0"/>
            <w:i w:val="0"/>
            <w:iCs w:val="0"/>
          </w:rPr>
          <w:t>دیوان رضی الدین الخشاب النیشابوری أو الکاشانی‏</w:t>
        </w:r>
        <w:r>
          <w:tab/>
        </w:r>
        <w:r>
          <w:fldChar w:fldCharType="begin"/>
        </w:r>
        <w:r>
          <w:instrText xml:space="preserve">PAGEREF 2826 \h</w:instrText>
        </w:r>
        <w:r>
          <w:fldChar w:fldCharType="end"/>
        </w:r>
      </w:hyperlink>
    </w:p>
    <w:p>
      <w:pPr>
        <w:tabs>
          <w:tab w:val="right" w:leader="dot" w:pos="9062"/>
        </w:tabs>
        <w:ind w:left="440"/>
      </w:pPr>
      <w:hyperlink w:anchor="_Toc2827" w:history="1">
        <w:r>
          <w:rPr>
            <w:rFonts w:ascii="IRNazanin" w:hAnsi="IRNazanin" w:eastAsia="IRNazanin" w:cs="IRNazanin"/>
            <w:color w:val="111111"/>
            <w:sz w:val="22"/>
            <w:szCs w:val="22"/>
            <w:b w:val="0"/>
            <w:bCs w:val="0"/>
            <w:i w:val="0"/>
            <w:iCs w:val="0"/>
          </w:rPr>
          <w:t>دیوان رضی الدین الغزنوی‏</w:t>
        </w:r>
        <w:r>
          <w:tab/>
        </w:r>
        <w:r>
          <w:fldChar w:fldCharType="begin"/>
        </w:r>
        <w:r>
          <w:instrText xml:space="preserve">PAGEREF 2827 \h</w:instrText>
        </w:r>
        <w:r>
          <w:fldChar w:fldCharType="end"/>
        </w:r>
      </w:hyperlink>
    </w:p>
    <w:p>
      <w:pPr>
        <w:tabs>
          <w:tab w:val="right" w:leader="dot" w:pos="9062"/>
        </w:tabs>
        <w:ind w:left="440"/>
      </w:pPr>
      <w:hyperlink w:anchor="_Toc2828" w:history="1">
        <w:r>
          <w:rPr>
            <w:rFonts w:ascii="IRNazanin" w:hAnsi="IRNazanin" w:eastAsia="IRNazanin" w:cs="IRNazanin"/>
            <w:color w:val="111111"/>
            <w:sz w:val="22"/>
            <w:szCs w:val="22"/>
            <w:b w:val="0"/>
            <w:bCs w:val="0"/>
            <w:i w:val="0"/>
            <w:iCs w:val="0"/>
          </w:rPr>
          <w:t>2199- دیوان رضی الدین النیسابوری‏</w:t>
        </w:r>
        <w:r>
          <w:tab/>
        </w:r>
        <w:r>
          <w:fldChar w:fldCharType="begin"/>
        </w:r>
        <w:r>
          <w:instrText xml:space="preserve">PAGEREF 2828 \h</w:instrText>
        </w:r>
        <w:r>
          <w:fldChar w:fldCharType="end"/>
        </w:r>
      </w:hyperlink>
    </w:p>
    <w:p>
      <w:pPr>
        <w:tabs>
          <w:tab w:val="right" w:leader="dot" w:pos="9062"/>
        </w:tabs>
        <w:ind w:left="440"/>
      </w:pPr>
      <w:hyperlink w:anchor="_Toc2829" w:history="1">
        <w:r>
          <w:rPr>
            <w:rFonts w:ascii="IRNazanin" w:hAnsi="IRNazanin" w:eastAsia="IRNazanin" w:cs="IRNazanin"/>
            <w:color w:val="111111"/>
            <w:sz w:val="22"/>
            <w:szCs w:val="22"/>
            <w:b w:val="0"/>
            <w:bCs w:val="0"/>
            <w:i w:val="0"/>
            <w:iCs w:val="0"/>
          </w:rPr>
          <w:t>دیوان رضی شریفی‏</w:t>
        </w:r>
        <w:r>
          <w:tab/>
        </w:r>
        <w:r>
          <w:fldChar w:fldCharType="begin"/>
        </w:r>
        <w:r>
          <w:instrText xml:space="preserve">PAGEREF 2829 \h</w:instrText>
        </w:r>
        <w:r>
          <w:fldChar w:fldCharType="end"/>
        </w:r>
      </w:hyperlink>
    </w:p>
    <w:p>
      <w:pPr>
        <w:tabs>
          <w:tab w:val="right" w:leader="dot" w:pos="9062"/>
        </w:tabs>
        <w:ind w:left="440"/>
      </w:pPr>
      <w:hyperlink w:anchor="_Toc2830" w:history="1">
        <w:r>
          <w:rPr>
            <w:rFonts w:ascii="IRNazanin" w:hAnsi="IRNazanin" w:eastAsia="IRNazanin" w:cs="IRNazanin"/>
            <w:color w:val="111111"/>
            <w:sz w:val="22"/>
            <w:szCs w:val="22"/>
            <w:b w:val="0"/>
            <w:bCs w:val="0"/>
            <w:i w:val="0"/>
            <w:iCs w:val="0"/>
          </w:rPr>
          <w:t>دیوان رضی شوشتری‏</w:t>
        </w:r>
        <w:r>
          <w:tab/>
        </w:r>
        <w:r>
          <w:fldChar w:fldCharType="begin"/>
        </w:r>
        <w:r>
          <w:instrText xml:space="preserve">PAGEREF 2830 \h</w:instrText>
        </w:r>
        <w:r>
          <w:fldChar w:fldCharType="end"/>
        </w:r>
      </w:hyperlink>
    </w:p>
    <w:p>
      <w:pPr>
        <w:tabs>
          <w:tab w:val="right" w:leader="dot" w:pos="9062"/>
        </w:tabs>
        <w:ind w:left="440"/>
      </w:pPr>
      <w:hyperlink w:anchor="_Toc2831" w:history="1">
        <w:r>
          <w:rPr>
            <w:rFonts w:ascii="IRNazanin" w:hAnsi="IRNazanin" w:eastAsia="IRNazanin" w:cs="IRNazanin"/>
            <w:color w:val="111111"/>
            <w:sz w:val="22"/>
            <w:szCs w:val="22"/>
            <w:b w:val="0"/>
            <w:bCs w:val="0"/>
            <w:i w:val="0"/>
            <w:iCs w:val="0"/>
          </w:rPr>
          <w:t>2200- دیوان رضی شیرازی أو شعره‏</w:t>
        </w:r>
        <w:r>
          <w:tab/>
        </w:r>
        <w:r>
          <w:fldChar w:fldCharType="begin"/>
        </w:r>
        <w:r>
          <w:instrText xml:space="preserve">PAGEREF 2831 \h</w:instrText>
        </w:r>
        <w:r>
          <w:fldChar w:fldCharType="end"/>
        </w:r>
      </w:hyperlink>
    </w:p>
    <w:p>
      <w:pPr>
        <w:tabs>
          <w:tab w:val="right" w:leader="dot" w:pos="9062"/>
        </w:tabs>
        <w:ind w:left="440"/>
      </w:pPr>
      <w:hyperlink w:anchor="_Toc2832" w:history="1">
        <w:r>
          <w:rPr>
            <w:rFonts w:ascii="IRNazanin" w:hAnsi="IRNazanin" w:eastAsia="IRNazanin" w:cs="IRNazanin"/>
            <w:color w:val="111111"/>
            <w:sz w:val="22"/>
            <w:szCs w:val="22"/>
            <w:b w:val="0"/>
            <w:bCs w:val="0"/>
            <w:i w:val="0"/>
            <w:iCs w:val="0"/>
          </w:rPr>
          <w:t>2201- دیوان الآقا رضی القزوینی‏</w:t>
        </w:r>
        <w:r>
          <w:tab/>
        </w:r>
        <w:r>
          <w:fldChar w:fldCharType="begin"/>
        </w:r>
        <w:r>
          <w:instrText xml:space="preserve">PAGEREF 2832 \h</w:instrText>
        </w:r>
        <w:r>
          <w:fldChar w:fldCharType="end"/>
        </w:r>
      </w:hyperlink>
    </w:p>
    <w:p>
      <w:pPr>
        <w:tabs>
          <w:tab w:val="right" w:leader="dot" w:pos="9062"/>
        </w:tabs>
        <w:ind w:left="440"/>
      </w:pPr>
      <w:hyperlink w:anchor="_Toc2833" w:history="1">
        <w:r>
          <w:rPr>
            <w:rFonts w:ascii="IRNazanin" w:hAnsi="IRNazanin" w:eastAsia="IRNazanin" w:cs="IRNazanin"/>
            <w:color w:val="111111"/>
            <w:sz w:val="22"/>
            <w:szCs w:val="22"/>
            <w:b w:val="0"/>
            <w:bCs w:val="0"/>
            <w:i w:val="0"/>
            <w:iCs w:val="0"/>
          </w:rPr>
          <w:t>دیوان رضی القزوینی أو شعره‏</w:t>
        </w:r>
        <w:r>
          <w:tab/>
        </w:r>
        <w:r>
          <w:fldChar w:fldCharType="begin"/>
        </w:r>
        <w:r>
          <w:instrText xml:space="preserve">PAGEREF 2833 \h</w:instrText>
        </w:r>
        <w:r>
          <w:fldChar w:fldCharType="end"/>
        </w:r>
      </w:hyperlink>
    </w:p>
    <w:p>
      <w:pPr>
        <w:tabs>
          <w:tab w:val="right" w:leader="dot" w:pos="9062"/>
        </w:tabs>
        <w:ind w:left="440"/>
      </w:pPr>
      <w:hyperlink w:anchor="_Toc2834" w:history="1">
        <w:r>
          <w:rPr>
            <w:rFonts w:ascii="IRNazanin" w:hAnsi="IRNazanin" w:eastAsia="IRNazanin" w:cs="IRNazanin"/>
            <w:color w:val="111111"/>
            <w:sz w:val="22"/>
            <w:szCs w:val="22"/>
            <w:b w:val="0"/>
            <w:bCs w:val="0"/>
            <w:i w:val="0"/>
            <w:iCs w:val="0"/>
          </w:rPr>
          <w:t>2202- دیوان آقا رضی قمی‏</w:t>
        </w:r>
        <w:r>
          <w:tab/>
        </w:r>
        <w:r>
          <w:fldChar w:fldCharType="begin"/>
        </w:r>
        <w:r>
          <w:instrText xml:space="preserve">PAGEREF 2834 \h</w:instrText>
        </w:r>
        <w:r>
          <w:fldChar w:fldCharType="end"/>
        </w:r>
      </w:hyperlink>
    </w:p>
    <w:p>
      <w:pPr>
        <w:tabs>
          <w:tab w:val="right" w:leader="dot" w:pos="9062"/>
        </w:tabs>
        <w:ind w:left="440"/>
      </w:pPr>
      <w:hyperlink w:anchor="_Toc2835" w:history="1">
        <w:r>
          <w:rPr>
            <w:rFonts w:ascii="IRNazanin" w:hAnsi="IRNazanin" w:eastAsia="IRNazanin" w:cs="IRNazanin"/>
            <w:color w:val="111111"/>
            <w:sz w:val="22"/>
            <w:szCs w:val="22"/>
            <w:b w:val="0"/>
            <w:bCs w:val="0"/>
            <w:i w:val="0"/>
            <w:iCs w:val="0"/>
          </w:rPr>
          <w:t>دیوان محمد رضی کشمیری‏</w:t>
        </w:r>
        <w:r>
          <w:tab/>
        </w:r>
        <w:r>
          <w:fldChar w:fldCharType="begin"/>
        </w:r>
        <w:r>
          <w:instrText xml:space="preserve">PAGEREF 2835 \h</w:instrText>
        </w:r>
        <w:r>
          <w:fldChar w:fldCharType="end"/>
        </w:r>
      </w:hyperlink>
    </w:p>
    <w:p>
      <w:pPr>
        <w:tabs>
          <w:tab w:val="right" w:leader="dot" w:pos="9062"/>
        </w:tabs>
        <w:ind w:left="440"/>
      </w:pPr>
      <w:hyperlink w:anchor="_Toc2836" w:history="1">
        <w:r>
          <w:rPr>
            <w:rFonts w:ascii="IRNazanin" w:hAnsi="IRNazanin" w:eastAsia="IRNazanin" w:cs="IRNazanin"/>
            <w:color w:val="111111"/>
            <w:sz w:val="22"/>
            <w:szCs w:val="22"/>
            <w:b w:val="0"/>
            <w:bCs w:val="0"/>
            <w:i w:val="0"/>
            <w:iCs w:val="0"/>
          </w:rPr>
          <w:t>2203- دیوان رضی لالا أو شعره‏</w:t>
        </w:r>
        <w:r>
          <w:tab/>
        </w:r>
        <w:r>
          <w:fldChar w:fldCharType="begin"/>
        </w:r>
        <w:r>
          <w:instrText xml:space="preserve">PAGEREF 2836 \h</w:instrText>
        </w:r>
        <w:r>
          <w:fldChar w:fldCharType="end"/>
        </w:r>
      </w:hyperlink>
    </w:p>
    <w:p>
      <w:pPr>
        <w:tabs>
          <w:tab w:val="right" w:leader="dot" w:pos="9062"/>
        </w:tabs>
        <w:ind w:left="440"/>
      </w:pPr>
      <w:hyperlink w:anchor="_Toc2837" w:history="1">
        <w:r>
          <w:rPr>
            <w:rFonts w:ascii="IRNazanin" w:hAnsi="IRNazanin" w:eastAsia="IRNazanin" w:cs="IRNazanin"/>
            <w:color w:val="111111"/>
            <w:sz w:val="22"/>
            <w:szCs w:val="22"/>
            <w:b w:val="0"/>
            <w:bCs w:val="0"/>
            <w:i w:val="0"/>
            <w:iCs w:val="0"/>
          </w:rPr>
          <w:t>2204- دیوان آقا رضی لاهیجی‏</w:t>
        </w:r>
        <w:r>
          <w:tab/>
        </w:r>
        <w:r>
          <w:fldChar w:fldCharType="begin"/>
        </w:r>
        <w:r>
          <w:instrText xml:space="preserve">PAGEREF 2837 \h</w:instrText>
        </w:r>
        <w:r>
          <w:fldChar w:fldCharType="end"/>
        </w:r>
      </w:hyperlink>
    </w:p>
    <w:p>
      <w:pPr>
        <w:tabs>
          <w:tab w:val="right" w:leader="dot" w:pos="9062"/>
        </w:tabs>
        <w:ind w:left="440"/>
      </w:pPr>
      <w:hyperlink w:anchor="_Toc2838" w:history="1">
        <w:r>
          <w:rPr>
            <w:rFonts w:ascii="IRNazanin" w:hAnsi="IRNazanin" w:eastAsia="IRNazanin" w:cs="IRNazanin"/>
            <w:color w:val="111111"/>
            <w:sz w:val="22"/>
            <w:szCs w:val="22"/>
            <w:b w:val="0"/>
            <w:bCs w:val="0"/>
            <w:i w:val="0"/>
            <w:iCs w:val="0"/>
          </w:rPr>
          <w:t>دیوان رضی مشهدی‏</w:t>
        </w:r>
        <w:r>
          <w:tab/>
        </w:r>
        <w:r>
          <w:fldChar w:fldCharType="begin"/>
        </w:r>
        <w:r>
          <w:instrText xml:space="preserve">PAGEREF 2838 \h</w:instrText>
        </w:r>
        <w:r>
          <w:fldChar w:fldCharType="end"/>
        </w:r>
      </w:hyperlink>
    </w:p>
    <w:p>
      <w:pPr>
        <w:tabs>
          <w:tab w:val="right" w:leader="dot" w:pos="9062"/>
        </w:tabs>
        <w:ind w:left="440"/>
      </w:pPr>
      <w:hyperlink w:anchor="_Toc2839" w:history="1">
        <w:r>
          <w:rPr>
            <w:rFonts w:ascii="IRNazanin" w:hAnsi="IRNazanin" w:eastAsia="IRNazanin" w:cs="IRNazanin"/>
            <w:color w:val="111111"/>
            <w:sz w:val="22"/>
            <w:szCs w:val="22"/>
            <w:b w:val="0"/>
            <w:bCs w:val="0"/>
            <w:i w:val="0"/>
            <w:iCs w:val="0"/>
          </w:rPr>
          <w:t>دیوان رضی نیشابوری‏</w:t>
        </w:r>
        <w:r>
          <w:tab/>
        </w:r>
        <w:r>
          <w:fldChar w:fldCharType="begin"/>
        </w:r>
        <w:r>
          <w:instrText xml:space="preserve">PAGEREF 2839 \h</w:instrText>
        </w:r>
        <w:r>
          <w:fldChar w:fldCharType="end"/>
        </w:r>
      </w:hyperlink>
    </w:p>
    <w:p>
      <w:pPr>
        <w:tabs>
          <w:tab w:val="right" w:leader="dot" w:pos="9062"/>
        </w:tabs>
        <w:ind w:left="440"/>
      </w:pPr>
      <w:hyperlink w:anchor="_Toc2840" w:history="1">
        <w:r>
          <w:rPr>
            <w:rFonts w:ascii="IRNazanin" w:hAnsi="IRNazanin" w:eastAsia="IRNazanin" w:cs="IRNazanin"/>
            <w:color w:val="111111"/>
            <w:sz w:val="22"/>
            <w:szCs w:val="22"/>
            <w:b w:val="0"/>
            <w:bCs w:val="0"/>
            <w:i w:val="0"/>
            <w:iCs w:val="0"/>
          </w:rPr>
          <w:t>دیوان رضی همدانی‏</w:t>
        </w:r>
        <w:r>
          <w:tab/>
        </w:r>
        <w:r>
          <w:fldChar w:fldCharType="begin"/>
        </w:r>
        <w:r>
          <w:instrText xml:space="preserve">PAGEREF 2840 \h</w:instrText>
        </w:r>
        <w:r>
          <w:fldChar w:fldCharType="end"/>
        </w:r>
      </w:hyperlink>
    </w:p>
    <w:p>
      <w:pPr>
        <w:tabs>
          <w:tab w:val="right" w:leader="dot" w:pos="9062"/>
        </w:tabs>
        <w:ind w:left="440"/>
      </w:pPr>
      <w:hyperlink w:anchor="_Toc2841" w:history="1">
        <w:r>
          <w:rPr>
            <w:rFonts w:ascii="IRNazanin" w:hAnsi="IRNazanin" w:eastAsia="IRNazanin" w:cs="IRNazanin"/>
            <w:color w:val="111111"/>
            <w:sz w:val="22"/>
            <w:szCs w:val="22"/>
            <w:b w:val="0"/>
            <w:bCs w:val="0"/>
            <w:i w:val="0"/>
            <w:iCs w:val="0"/>
          </w:rPr>
          <w:t>2205- دیوان رعدی آذرخشی تبریزی‏</w:t>
        </w:r>
        <w:r>
          <w:tab/>
        </w:r>
        <w:r>
          <w:fldChar w:fldCharType="begin"/>
        </w:r>
        <w:r>
          <w:instrText xml:space="preserve">PAGEREF 2841 \h</w:instrText>
        </w:r>
        <w:r>
          <w:fldChar w:fldCharType="end"/>
        </w:r>
      </w:hyperlink>
    </w:p>
    <w:p>
      <w:pPr>
        <w:tabs>
          <w:tab w:val="right" w:leader="dot" w:pos="9062"/>
        </w:tabs>
        <w:ind w:left="440"/>
      </w:pPr>
      <w:hyperlink w:anchor="_Toc2842" w:history="1">
        <w:r>
          <w:rPr>
            <w:rFonts w:ascii="IRNazanin" w:hAnsi="IRNazanin" w:eastAsia="IRNazanin" w:cs="IRNazanin"/>
            <w:color w:val="111111"/>
            <w:sz w:val="22"/>
            <w:szCs w:val="22"/>
            <w:b w:val="0"/>
            <w:bCs w:val="0"/>
            <w:i w:val="0"/>
            <w:iCs w:val="0"/>
          </w:rPr>
          <w:t>2206- دیوان رعد هندی‏</w:t>
        </w:r>
        <w:r>
          <w:tab/>
        </w:r>
        <w:r>
          <w:fldChar w:fldCharType="begin"/>
        </w:r>
        <w:r>
          <w:instrText xml:space="preserve">PAGEREF 2842 \h</w:instrText>
        </w:r>
        <w:r>
          <w:fldChar w:fldCharType="end"/>
        </w:r>
      </w:hyperlink>
    </w:p>
    <w:p>
      <w:pPr>
        <w:tabs>
          <w:tab w:val="right" w:leader="dot" w:pos="9062"/>
        </w:tabs>
        <w:ind w:left="440"/>
      </w:pPr>
      <w:hyperlink w:anchor="_Toc2843" w:history="1">
        <w:r>
          <w:rPr>
            <w:rFonts w:ascii="IRNazanin" w:hAnsi="IRNazanin" w:eastAsia="IRNazanin" w:cs="IRNazanin"/>
            <w:color w:val="111111"/>
            <w:sz w:val="22"/>
            <w:szCs w:val="22"/>
            <w:b w:val="0"/>
            <w:bCs w:val="0"/>
            <w:i w:val="0"/>
            <w:iCs w:val="0"/>
          </w:rPr>
          <w:t>2207- دیوان رعنای أصفهانی أو شعره‏</w:t>
        </w:r>
        <w:r>
          <w:tab/>
        </w:r>
        <w:r>
          <w:fldChar w:fldCharType="begin"/>
        </w:r>
        <w:r>
          <w:instrText xml:space="preserve">PAGEREF 2843 \h</w:instrText>
        </w:r>
        <w:r>
          <w:fldChar w:fldCharType="end"/>
        </w:r>
      </w:hyperlink>
    </w:p>
    <w:p>
      <w:pPr>
        <w:tabs>
          <w:tab w:val="right" w:leader="dot" w:pos="9062"/>
        </w:tabs>
        <w:ind w:left="440"/>
      </w:pPr>
      <w:hyperlink w:anchor="_Toc2844" w:history="1">
        <w:r>
          <w:rPr>
            <w:rFonts w:ascii="IRNazanin" w:hAnsi="IRNazanin" w:eastAsia="IRNazanin" w:cs="IRNazanin"/>
            <w:color w:val="111111"/>
            <w:sz w:val="22"/>
            <w:szCs w:val="22"/>
            <w:b w:val="0"/>
            <w:bCs w:val="0"/>
            <w:i w:val="0"/>
            <w:iCs w:val="0"/>
          </w:rPr>
          <w:t>2208- دیوان رغمی هروی‏</w:t>
        </w:r>
        <w:r>
          <w:tab/>
        </w:r>
        <w:r>
          <w:fldChar w:fldCharType="begin"/>
        </w:r>
        <w:r>
          <w:instrText xml:space="preserve">PAGEREF 2844 \h</w:instrText>
        </w:r>
        <w:r>
          <w:fldChar w:fldCharType="end"/>
        </w:r>
      </w:hyperlink>
    </w:p>
    <w:p>
      <w:pPr>
        <w:tabs>
          <w:tab w:val="right" w:leader="dot" w:pos="9062"/>
        </w:tabs>
        <w:ind w:left="440"/>
      </w:pPr>
      <w:hyperlink w:anchor="_Toc2845" w:history="1">
        <w:r>
          <w:rPr>
            <w:rFonts w:ascii="IRNazanin" w:hAnsi="IRNazanin" w:eastAsia="IRNazanin" w:cs="IRNazanin"/>
            <w:color w:val="111111"/>
            <w:sz w:val="22"/>
            <w:szCs w:val="22"/>
            <w:b w:val="0"/>
            <w:bCs w:val="0"/>
            <w:i w:val="0"/>
            <w:iCs w:val="0"/>
          </w:rPr>
          <w:t>2209- دیوان الرفاء</w:t>
        </w:r>
        <w:r>
          <w:tab/>
        </w:r>
        <w:r>
          <w:fldChar w:fldCharType="begin"/>
        </w:r>
        <w:r>
          <w:instrText xml:space="preserve">PAGEREF 2845 \h</w:instrText>
        </w:r>
        <w:r>
          <w:fldChar w:fldCharType="end"/>
        </w:r>
      </w:hyperlink>
    </w:p>
    <w:p>
      <w:pPr>
        <w:tabs>
          <w:tab w:val="right" w:leader="dot" w:pos="9062"/>
        </w:tabs>
        <w:ind w:left="440"/>
      </w:pPr>
      <w:hyperlink w:anchor="_Toc2846" w:history="1">
        <w:r>
          <w:rPr>
            <w:rFonts w:ascii="IRNazanin" w:hAnsi="IRNazanin" w:eastAsia="IRNazanin" w:cs="IRNazanin"/>
            <w:color w:val="111111"/>
            <w:sz w:val="22"/>
            <w:szCs w:val="22"/>
            <w:b w:val="0"/>
            <w:bCs w:val="0"/>
            <w:i w:val="0"/>
            <w:iCs w:val="0"/>
          </w:rPr>
          <w:t>2210- دیوان رفاهی‏</w:t>
        </w:r>
        <w:r>
          <w:tab/>
        </w:r>
        <w:r>
          <w:fldChar w:fldCharType="begin"/>
        </w:r>
        <w:r>
          <w:instrText xml:space="preserve">PAGEREF 2846 \h</w:instrText>
        </w:r>
        <w:r>
          <w:fldChar w:fldCharType="end"/>
        </w:r>
      </w:hyperlink>
    </w:p>
    <w:p>
      <w:pPr>
        <w:tabs>
          <w:tab w:val="right" w:leader="dot" w:pos="9062"/>
        </w:tabs>
        <w:ind w:left="440"/>
      </w:pPr>
      <w:hyperlink w:anchor="_Toc2847" w:history="1">
        <w:r>
          <w:rPr>
            <w:rFonts w:ascii="IRNazanin" w:hAnsi="IRNazanin" w:eastAsia="IRNazanin" w:cs="IRNazanin"/>
            <w:color w:val="111111"/>
            <w:sz w:val="22"/>
            <w:szCs w:val="22"/>
            <w:b w:val="0"/>
            <w:bCs w:val="0"/>
            <w:i w:val="0"/>
            <w:iCs w:val="0"/>
          </w:rPr>
          <w:t>2211- دیوان ملا رفعا بخاری أو شعره‏</w:t>
        </w:r>
        <w:r>
          <w:tab/>
        </w:r>
        <w:r>
          <w:fldChar w:fldCharType="begin"/>
        </w:r>
        <w:r>
          <w:instrText xml:space="preserve">PAGEREF 2847 \h</w:instrText>
        </w:r>
        <w:r>
          <w:fldChar w:fldCharType="end"/>
        </w:r>
      </w:hyperlink>
    </w:p>
    <w:p>
      <w:pPr>
        <w:tabs>
          <w:tab w:val="right" w:leader="dot" w:pos="9062"/>
        </w:tabs>
        <w:ind w:left="440"/>
      </w:pPr>
      <w:hyperlink w:anchor="_Toc2848" w:history="1">
        <w:r>
          <w:rPr>
            <w:rFonts w:ascii="IRNazanin" w:hAnsi="IRNazanin" w:eastAsia="IRNazanin" w:cs="IRNazanin"/>
            <w:color w:val="111111"/>
            <w:sz w:val="22"/>
            <w:szCs w:val="22"/>
            <w:b w:val="0"/>
            <w:bCs w:val="0"/>
            <w:i w:val="0"/>
            <w:iCs w:val="0"/>
          </w:rPr>
          <w:t>2212- دیوان رفعت أصفهانی أو شعره‏</w:t>
        </w:r>
        <w:r>
          <w:tab/>
        </w:r>
        <w:r>
          <w:fldChar w:fldCharType="begin"/>
        </w:r>
        <w:r>
          <w:instrText xml:space="preserve">PAGEREF 2848 \h</w:instrText>
        </w:r>
        <w:r>
          <w:fldChar w:fldCharType="end"/>
        </w:r>
      </w:hyperlink>
    </w:p>
    <w:p>
      <w:pPr>
        <w:tabs>
          <w:tab w:val="right" w:leader="dot" w:pos="9062"/>
        </w:tabs>
        <w:ind w:left="440"/>
      </w:pPr>
      <w:hyperlink w:anchor="_Toc2849" w:history="1">
        <w:r>
          <w:rPr>
            <w:rFonts w:ascii="IRNazanin" w:hAnsi="IRNazanin" w:eastAsia="IRNazanin" w:cs="IRNazanin"/>
            <w:color w:val="111111"/>
            <w:sz w:val="22"/>
            <w:szCs w:val="22"/>
            <w:b w:val="0"/>
            <w:bCs w:val="0"/>
            <w:i w:val="0"/>
            <w:iCs w:val="0"/>
          </w:rPr>
          <w:t>2213- دیوان رفعت رامپوری‏</w:t>
        </w:r>
        <w:r>
          <w:tab/>
        </w:r>
        <w:r>
          <w:fldChar w:fldCharType="begin"/>
        </w:r>
        <w:r>
          <w:instrText xml:space="preserve">PAGEREF 2849 \h</w:instrText>
        </w:r>
        <w:r>
          <w:fldChar w:fldCharType="end"/>
        </w:r>
      </w:hyperlink>
    </w:p>
    <w:p>
      <w:pPr>
        <w:tabs>
          <w:tab w:val="right" w:leader="dot" w:pos="9062"/>
        </w:tabs>
        <w:ind w:left="440"/>
      </w:pPr>
      <w:hyperlink w:anchor="_Toc2850" w:history="1">
        <w:r>
          <w:rPr>
            <w:rFonts w:ascii="IRNazanin" w:hAnsi="IRNazanin" w:eastAsia="IRNazanin" w:cs="IRNazanin"/>
            <w:color w:val="111111"/>
            <w:sz w:val="22"/>
            <w:szCs w:val="22"/>
            <w:b w:val="0"/>
            <w:bCs w:val="0"/>
            <w:i w:val="0"/>
            <w:iCs w:val="0"/>
          </w:rPr>
          <w:t>2214- دیوان رفعت فیروزآبادی أو شعره‏</w:t>
        </w:r>
        <w:r>
          <w:tab/>
        </w:r>
        <w:r>
          <w:fldChar w:fldCharType="begin"/>
        </w:r>
        <w:r>
          <w:instrText xml:space="preserve">PAGEREF 2850 \h</w:instrText>
        </w:r>
        <w:r>
          <w:fldChar w:fldCharType="end"/>
        </w:r>
      </w:hyperlink>
    </w:p>
    <w:p>
      <w:pPr>
        <w:tabs>
          <w:tab w:val="right" w:leader="dot" w:pos="9062"/>
        </w:tabs>
        <w:ind w:left="440"/>
      </w:pPr>
      <w:hyperlink w:anchor="_Toc2851" w:history="1">
        <w:r>
          <w:rPr>
            <w:rFonts w:ascii="IRNazanin" w:hAnsi="IRNazanin" w:eastAsia="IRNazanin" w:cs="IRNazanin"/>
            <w:color w:val="111111"/>
            <w:sz w:val="22"/>
            <w:szCs w:val="22"/>
            <w:b w:val="0"/>
            <w:bCs w:val="0"/>
            <w:i w:val="0"/>
            <w:iCs w:val="0"/>
          </w:rPr>
          <w:t>2215- دیوان رفعت قاجار أو شعره‏</w:t>
        </w:r>
        <w:r>
          <w:tab/>
        </w:r>
        <w:r>
          <w:fldChar w:fldCharType="begin"/>
        </w:r>
        <w:r>
          <w:instrText xml:space="preserve">PAGEREF 2851 \h</w:instrText>
        </w:r>
        <w:r>
          <w:fldChar w:fldCharType="end"/>
        </w:r>
      </w:hyperlink>
    </w:p>
    <w:p>
      <w:pPr>
        <w:tabs>
          <w:tab w:val="right" w:leader="dot" w:pos="9062"/>
        </w:tabs>
        <w:ind w:left="440"/>
      </w:pPr>
      <w:hyperlink w:anchor="_Toc2852" w:history="1">
        <w:r>
          <w:rPr>
            <w:rFonts w:ascii="IRNazanin" w:hAnsi="IRNazanin" w:eastAsia="IRNazanin" w:cs="IRNazanin"/>
            <w:color w:val="111111"/>
            <w:sz w:val="22"/>
            <w:szCs w:val="22"/>
            <w:b w:val="0"/>
            <w:bCs w:val="0"/>
            <w:i w:val="0"/>
            <w:iCs w:val="0"/>
          </w:rPr>
          <w:t>2216- دیوان رفعت هندی‏</w:t>
        </w:r>
        <w:r>
          <w:tab/>
        </w:r>
        <w:r>
          <w:fldChar w:fldCharType="begin"/>
        </w:r>
        <w:r>
          <w:instrText xml:space="preserve">PAGEREF 2852 \h</w:instrText>
        </w:r>
        <w:r>
          <w:fldChar w:fldCharType="end"/>
        </w:r>
      </w:hyperlink>
    </w:p>
    <w:p>
      <w:pPr>
        <w:tabs>
          <w:tab w:val="right" w:leader="dot" w:pos="9062"/>
        </w:tabs>
        <w:ind w:left="440"/>
      </w:pPr>
      <w:hyperlink w:anchor="_Toc2853" w:history="1">
        <w:r>
          <w:rPr>
            <w:rFonts w:ascii="IRNazanin" w:hAnsi="IRNazanin" w:eastAsia="IRNazanin" w:cs="IRNazanin"/>
            <w:color w:val="111111"/>
            <w:sz w:val="22"/>
            <w:szCs w:val="22"/>
            <w:b w:val="0"/>
            <w:bCs w:val="0"/>
            <w:i w:val="0"/>
            <w:iCs w:val="0"/>
          </w:rPr>
          <w:t>2217- دیوان رفعت هندی‏</w:t>
        </w:r>
        <w:r>
          <w:tab/>
        </w:r>
        <w:r>
          <w:fldChar w:fldCharType="begin"/>
        </w:r>
        <w:r>
          <w:instrText xml:space="preserve">PAGEREF 2853 \h</w:instrText>
        </w:r>
        <w:r>
          <w:fldChar w:fldCharType="end"/>
        </w:r>
      </w:hyperlink>
    </w:p>
    <w:p>
      <w:pPr>
        <w:tabs>
          <w:tab w:val="right" w:leader="dot" w:pos="9062"/>
        </w:tabs>
        <w:ind w:left="440"/>
      </w:pPr>
      <w:hyperlink w:anchor="_Toc2854" w:history="1">
        <w:r>
          <w:rPr>
            <w:rFonts w:ascii="IRNazanin" w:hAnsi="IRNazanin" w:eastAsia="IRNazanin" w:cs="IRNazanin"/>
            <w:color w:val="111111"/>
            <w:sz w:val="22"/>
            <w:szCs w:val="22"/>
            <w:b w:val="0"/>
            <w:bCs w:val="0"/>
            <w:i w:val="0"/>
            <w:iCs w:val="0"/>
          </w:rPr>
          <w:t>2218- دیوان ملا رفعتی تبریزی‏</w:t>
        </w:r>
        <w:r>
          <w:tab/>
        </w:r>
        <w:r>
          <w:fldChar w:fldCharType="begin"/>
        </w:r>
        <w:r>
          <w:instrText xml:space="preserve">PAGEREF 2854 \h</w:instrText>
        </w:r>
        <w:r>
          <w:fldChar w:fldCharType="end"/>
        </w:r>
      </w:hyperlink>
    </w:p>
    <w:p>
      <w:pPr>
        <w:tabs>
          <w:tab w:val="right" w:leader="dot" w:pos="9062"/>
        </w:tabs>
        <w:ind w:left="440"/>
      </w:pPr>
      <w:hyperlink w:anchor="_Toc2855" w:history="1">
        <w:r>
          <w:rPr>
            <w:rFonts w:ascii="IRNazanin" w:hAnsi="IRNazanin" w:eastAsia="IRNazanin" w:cs="IRNazanin"/>
            <w:color w:val="111111"/>
            <w:sz w:val="22"/>
            <w:szCs w:val="22"/>
            <w:b w:val="0"/>
            <w:bCs w:val="0"/>
            <w:i w:val="0"/>
            <w:iCs w:val="0"/>
          </w:rPr>
          <w:t>2219- دیوان مولانا رفقی‏</w:t>
        </w:r>
        <w:r>
          <w:tab/>
        </w:r>
        <w:r>
          <w:fldChar w:fldCharType="begin"/>
        </w:r>
        <w:r>
          <w:instrText xml:space="preserve">PAGEREF 2855 \h</w:instrText>
        </w:r>
        <w:r>
          <w:fldChar w:fldCharType="end"/>
        </w:r>
      </w:hyperlink>
    </w:p>
    <w:p>
      <w:pPr>
        <w:tabs>
          <w:tab w:val="right" w:leader="dot" w:pos="9062"/>
        </w:tabs>
        <w:ind w:left="440"/>
      </w:pPr>
      <w:hyperlink w:anchor="_Toc2856" w:history="1">
        <w:r>
          <w:rPr>
            <w:rFonts w:ascii="IRNazanin" w:hAnsi="IRNazanin" w:eastAsia="IRNazanin" w:cs="IRNazanin"/>
            <w:color w:val="111111"/>
            <w:sz w:val="22"/>
            <w:szCs w:val="22"/>
            <w:b w:val="0"/>
            <w:bCs w:val="0"/>
            <w:i w:val="0"/>
            <w:iCs w:val="0"/>
          </w:rPr>
          <w:t>2220- دیوان رفیعا نائینی أصفهانی‏</w:t>
        </w:r>
        <w:r>
          <w:tab/>
        </w:r>
        <w:r>
          <w:fldChar w:fldCharType="begin"/>
        </w:r>
        <w:r>
          <w:instrText xml:space="preserve">PAGEREF 2856 \h</w:instrText>
        </w:r>
        <w:r>
          <w:fldChar w:fldCharType="end"/>
        </w:r>
      </w:hyperlink>
    </w:p>
    <w:p>
      <w:pPr>
        <w:tabs>
          <w:tab w:val="right" w:leader="dot" w:pos="9062"/>
        </w:tabs>
        <w:ind w:left="440"/>
      </w:pPr>
      <w:hyperlink w:anchor="_Toc2857" w:history="1">
        <w:r>
          <w:rPr>
            <w:rFonts w:ascii="IRNazanin" w:hAnsi="IRNazanin" w:eastAsia="IRNazanin" w:cs="IRNazanin"/>
            <w:color w:val="111111"/>
            <w:sz w:val="22"/>
            <w:szCs w:val="22"/>
            <w:b w:val="0"/>
            <w:bCs w:val="0"/>
            <w:i w:val="0"/>
            <w:iCs w:val="0"/>
          </w:rPr>
          <w:t>دیوان رفیعا نائینی أو شعره‏</w:t>
        </w:r>
        <w:r>
          <w:tab/>
        </w:r>
        <w:r>
          <w:fldChar w:fldCharType="begin"/>
        </w:r>
        <w:r>
          <w:instrText xml:space="preserve">PAGEREF 2857 \h</w:instrText>
        </w:r>
        <w:r>
          <w:fldChar w:fldCharType="end"/>
        </w:r>
      </w:hyperlink>
    </w:p>
    <w:p>
      <w:pPr>
        <w:tabs>
          <w:tab w:val="right" w:leader="dot" w:pos="9062"/>
        </w:tabs>
        <w:ind w:left="440"/>
      </w:pPr>
      <w:hyperlink w:anchor="_Toc2858" w:history="1">
        <w:r>
          <w:rPr>
            <w:rFonts w:ascii="IRNazanin" w:hAnsi="IRNazanin" w:eastAsia="IRNazanin" w:cs="IRNazanin"/>
            <w:color w:val="111111"/>
            <w:sz w:val="22"/>
            <w:szCs w:val="22"/>
            <w:b w:val="0"/>
            <w:bCs w:val="0"/>
            <w:i w:val="0"/>
            <w:iCs w:val="0"/>
          </w:rPr>
          <w:t>2221- دیوان رفیع آمدی‏</w:t>
        </w:r>
        <w:r>
          <w:tab/>
        </w:r>
        <w:r>
          <w:fldChar w:fldCharType="begin"/>
        </w:r>
        <w:r>
          <w:instrText xml:space="preserve">PAGEREF 2858 \h</w:instrText>
        </w:r>
        <w:r>
          <w:fldChar w:fldCharType="end"/>
        </w:r>
      </w:hyperlink>
    </w:p>
    <w:p>
      <w:pPr>
        <w:tabs>
          <w:tab w:val="right" w:leader="dot" w:pos="9062"/>
        </w:tabs>
        <w:ind w:left="440"/>
      </w:pPr>
      <w:hyperlink w:anchor="_Toc2859" w:history="1">
        <w:r>
          <w:rPr>
            <w:rFonts w:ascii="IRNazanin" w:hAnsi="IRNazanin" w:eastAsia="IRNazanin" w:cs="IRNazanin"/>
            <w:color w:val="111111"/>
            <w:sz w:val="22"/>
            <w:szCs w:val="22"/>
            <w:b w:val="0"/>
            <w:bCs w:val="0"/>
            <w:i w:val="0"/>
            <w:iCs w:val="0"/>
          </w:rPr>
          <w:t>2222- دیوان رفیع الدین الأبهری القزوینی‏</w:t>
        </w:r>
        <w:r>
          <w:tab/>
        </w:r>
        <w:r>
          <w:fldChar w:fldCharType="begin"/>
        </w:r>
        <w:r>
          <w:instrText xml:space="preserve">PAGEREF 2859 \h</w:instrText>
        </w:r>
        <w:r>
          <w:fldChar w:fldCharType="end"/>
        </w:r>
      </w:hyperlink>
    </w:p>
    <w:p>
      <w:pPr>
        <w:tabs>
          <w:tab w:val="right" w:leader="dot" w:pos="9062"/>
        </w:tabs>
        <w:ind w:left="440"/>
      </w:pPr>
      <w:hyperlink w:anchor="_Toc2860" w:history="1">
        <w:r>
          <w:rPr>
            <w:rFonts w:ascii="IRNazanin" w:hAnsi="IRNazanin" w:eastAsia="IRNazanin" w:cs="IRNazanin"/>
            <w:color w:val="111111"/>
            <w:sz w:val="22"/>
            <w:szCs w:val="22"/>
            <w:b w:val="0"/>
            <w:bCs w:val="0"/>
            <w:i w:val="0"/>
            <w:iCs w:val="0"/>
          </w:rPr>
          <w:t>2223- دیوان رفیع الدین البکرانی أو شعره‏</w:t>
        </w:r>
        <w:r>
          <w:tab/>
        </w:r>
        <w:r>
          <w:fldChar w:fldCharType="begin"/>
        </w:r>
        <w:r>
          <w:instrText xml:space="preserve">PAGEREF 2860 \h</w:instrText>
        </w:r>
        <w:r>
          <w:fldChar w:fldCharType="end"/>
        </w:r>
      </w:hyperlink>
    </w:p>
    <w:p>
      <w:pPr>
        <w:tabs>
          <w:tab w:val="right" w:leader="dot" w:pos="9062"/>
        </w:tabs>
        <w:ind w:left="440"/>
      </w:pPr>
      <w:hyperlink w:anchor="_Toc2861" w:history="1">
        <w:r>
          <w:rPr>
            <w:rFonts w:ascii="IRNazanin" w:hAnsi="IRNazanin" w:eastAsia="IRNazanin" w:cs="IRNazanin"/>
            <w:color w:val="111111"/>
            <w:sz w:val="22"/>
            <w:szCs w:val="22"/>
            <w:b w:val="0"/>
            <w:bCs w:val="0"/>
            <w:i w:val="0"/>
            <w:iCs w:val="0"/>
          </w:rPr>
          <w:t>2224- دیوان میر رفیع دستور</w:t>
        </w:r>
        <w:r>
          <w:tab/>
        </w:r>
        <w:r>
          <w:fldChar w:fldCharType="begin"/>
        </w:r>
        <w:r>
          <w:instrText xml:space="preserve">PAGEREF 2861 \h</w:instrText>
        </w:r>
        <w:r>
          <w:fldChar w:fldCharType="end"/>
        </w:r>
      </w:hyperlink>
    </w:p>
    <w:p>
      <w:pPr>
        <w:tabs>
          <w:tab w:val="right" w:leader="dot" w:pos="9062"/>
        </w:tabs>
        <w:ind w:left="440"/>
      </w:pPr>
      <w:hyperlink w:anchor="_Toc2862" w:history="1">
        <w:r>
          <w:rPr>
            <w:rFonts w:ascii="IRNazanin" w:hAnsi="IRNazanin" w:eastAsia="IRNazanin" w:cs="IRNazanin"/>
            <w:color w:val="111111"/>
            <w:sz w:val="22"/>
            <w:szCs w:val="22"/>
            <w:b w:val="0"/>
            <w:bCs w:val="0"/>
            <w:i w:val="0"/>
            <w:iCs w:val="0"/>
          </w:rPr>
          <w:t>دیوان میرزا رفیع الدین رفعت‏</w:t>
        </w:r>
        <w:r>
          <w:tab/>
        </w:r>
        <w:r>
          <w:fldChar w:fldCharType="begin"/>
        </w:r>
        <w:r>
          <w:instrText xml:space="preserve">PAGEREF 2862 \h</w:instrText>
        </w:r>
        <w:r>
          <w:fldChar w:fldCharType="end"/>
        </w:r>
      </w:hyperlink>
    </w:p>
    <w:p>
      <w:pPr>
        <w:tabs>
          <w:tab w:val="right" w:leader="dot" w:pos="9062"/>
        </w:tabs>
        <w:ind w:left="440"/>
      </w:pPr>
      <w:hyperlink w:anchor="_Toc2863" w:history="1">
        <w:r>
          <w:rPr>
            <w:rFonts w:ascii="IRNazanin" w:hAnsi="IRNazanin" w:eastAsia="IRNazanin" w:cs="IRNazanin"/>
            <w:color w:val="111111"/>
            <w:sz w:val="22"/>
            <w:szCs w:val="22"/>
            <w:b w:val="0"/>
            <w:bCs w:val="0"/>
            <w:i w:val="0"/>
            <w:iCs w:val="0"/>
          </w:rPr>
          <w:t>2225- دیوان رفیع الدین کرمانی‏</w:t>
        </w:r>
        <w:r>
          <w:tab/>
        </w:r>
        <w:r>
          <w:fldChar w:fldCharType="begin"/>
        </w:r>
        <w:r>
          <w:instrText xml:space="preserve">PAGEREF 2863 \h</w:instrText>
        </w:r>
        <w:r>
          <w:fldChar w:fldCharType="end"/>
        </w:r>
      </w:hyperlink>
    </w:p>
    <w:p>
      <w:pPr>
        <w:tabs>
          <w:tab w:val="right" w:leader="dot" w:pos="9062"/>
        </w:tabs>
        <w:ind w:left="440"/>
      </w:pPr>
      <w:hyperlink w:anchor="_Toc2864" w:history="1">
        <w:r>
          <w:rPr>
            <w:rFonts w:ascii="IRNazanin" w:hAnsi="IRNazanin" w:eastAsia="IRNazanin" w:cs="IRNazanin"/>
            <w:color w:val="111111"/>
            <w:sz w:val="22"/>
            <w:szCs w:val="22"/>
            <w:b w:val="0"/>
            <w:bCs w:val="0"/>
            <w:i w:val="0"/>
            <w:iCs w:val="0"/>
          </w:rPr>
          <w:t>2226- دیوان رفیع الدین لنبانی‏</w:t>
        </w:r>
        <w:r>
          <w:tab/>
        </w:r>
        <w:r>
          <w:fldChar w:fldCharType="begin"/>
        </w:r>
        <w:r>
          <w:instrText xml:space="preserve">PAGEREF 2864 \h</w:instrText>
        </w:r>
        <w:r>
          <w:fldChar w:fldCharType="end"/>
        </w:r>
      </w:hyperlink>
    </w:p>
    <w:p>
      <w:pPr>
        <w:tabs>
          <w:tab w:val="right" w:leader="dot" w:pos="9062"/>
        </w:tabs>
        <w:ind w:left="440"/>
      </w:pPr>
      <w:hyperlink w:anchor="_Toc2865" w:history="1">
        <w:r>
          <w:rPr>
            <w:rFonts w:ascii="IRNazanin" w:hAnsi="IRNazanin" w:eastAsia="IRNazanin" w:cs="IRNazanin"/>
            <w:color w:val="111111"/>
            <w:sz w:val="22"/>
            <w:szCs w:val="22"/>
            <w:b w:val="0"/>
            <w:bCs w:val="0"/>
            <w:i w:val="0"/>
            <w:iCs w:val="0"/>
          </w:rPr>
          <w:t>2227- دیوان رفیع الدین النسوی‏</w:t>
        </w:r>
        <w:r>
          <w:tab/>
        </w:r>
        <w:r>
          <w:fldChar w:fldCharType="begin"/>
        </w:r>
        <w:r>
          <w:instrText xml:space="preserve">PAGEREF 2865 \h</w:instrText>
        </w:r>
        <w:r>
          <w:fldChar w:fldCharType="end"/>
        </w:r>
      </w:hyperlink>
    </w:p>
    <w:p>
      <w:pPr>
        <w:tabs>
          <w:tab w:val="right" w:leader="dot" w:pos="9062"/>
        </w:tabs>
        <w:ind w:left="440"/>
      </w:pPr>
      <w:hyperlink w:anchor="_Toc2866" w:history="1">
        <w:r>
          <w:rPr>
            <w:rFonts w:ascii="IRNazanin" w:hAnsi="IRNazanin" w:eastAsia="IRNazanin" w:cs="IRNazanin"/>
            <w:color w:val="111111"/>
            <w:sz w:val="22"/>
            <w:szCs w:val="22"/>
            <w:b w:val="0"/>
            <w:bCs w:val="0"/>
            <w:i w:val="0"/>
            <w:iCs w:val="0"/>
          </w:rPr>
          <w:t>2228- دیوان رفیع الدین النیشابوری‏</w:t>
        </w:r>
        <w:r>
          <w:tab/>
        </w:r>
        <w:r>
          <w:fldChar w:fldCharType="begin"/>
        </w:r>
        <w:r>
          <w:instrText xml:space="preserve">PAGEREF 2866 \h</w:instrText>
        </w:r>
        <w:r>
          <w:fldChar w:fldCharType="end"/>
        </w:r>
      </w:hyperlink>
    </w:p>
    <w:p>
      <w:pPr>
        <w:tabs>
          <w:tab w:val="right" w:leader="dot" w:pos="9062"/>
        </w:tabs>
        <w:ind w:left="440"/>
      </w:pPr>
      <w:hyperlink w:anchor="_Toc2867" w:history="1">
        <w:r>
          <w:rPr>
            <w:rFonts w:ascii="IRNazanin" w:hAnsi="IRNazanin" w:eastAsia="IRNazanin" w:cs="IRNazanin"/>
            <w:color w:val="111111"/>
            <w:sz w:val="22"/>
            <w:szCs w:val="22"/>
            <w:b w:val="0"/>
            <w:bCs w:val="0"/>
            <w:i w:val="0"/>
            <w:iCs w:val="0"/>
          </w:rPr>
          <w:t>2229- دیوان المیرزا رفیع الصدر الشهرستانی‏</w:t>
        </w:r>
        <w:r>
          <w:tab/>
        </w:r>
        <w:r>
          <w:fldChar w:fldCharType="begin"/>
        </w:r>
        <w:r>
          <w:instrText xml:space="preserve">PAGEREF 2867 \h</w:instrText>
        </w:r>
        <w:r>
          <w:fldChar w:fldCharType="end"/>
        </w:r>
      </w:hyperlink>
    </w:p>
    <w:p>
      <w:pPr>
        <w:tabs>
          <w:tab w:val="right" w:leader="dot" w:pos="9062"/>
        </w:tabs>
        <w:ind w:left="440"/>
      </w:pPr>
      <w:hyperlink w:anchor="_Toc2868" w:history="1">
        <w:r>
          <w:rPr>
            <w:rFonts w:ascii="IRNazanin" w:hAnsi="IRNazanin" w:eastAsia="IRNazanin" w:cs="IRNazanin"/>
            <w:color w:val="111111"/>
            <w:sz w:val="22"/>
            <w:szCs w:val="22"/>
            <w:b w:val="0"/>
            <w:bCs w:val="0"/>
            <w:i w:val="0"/>
            <w:iCs w:val="0"/>
          </w:rPr>
          <w:t>دیوان رفیع شیرازی‏</w:t>
        </w:r>
        <w:r>
          <w:tab/>
        </w:r>
        <w:r>
          <w:fldChar w:fldCharType="begin"/>
        </w:r>
        <w:r>
          <w:instrText xml:space="preserve">PAGEREF 2868 \h</w:instrText>
        </w:r>
        <w:r>
          <w:fldChar w:fldCharType="end"/>
        </w:r>
      </w:hyperlink>
    </w:p>
    <w:p>
      <w:pPr>
        <w:tabs>
          <w:tab w:val="right" w:leader="dot" w:pos="9062"/>
        </w:tabs>
        <w:ind w:left="440"/>
      </w:pPr>
      <w:hyperlink w:anchor="_Toc2869" w:history="1">
        <w:r>
          <w:rPr>
            <w:rFonts w:ascii="IRNazanin" w:hAnsi="IRNazanin" w:eastAsia="IRNazanin" w:cs="IRNazanin"/>
            <w:color w:val="111111"/>
            <w:sz w:val="22"/>
            <w:szCs w:val="22"/>
            <w:b w:val="0"/>
            <w:bCs w:val="0"/>
            <w:i w:val="0"/>
            <w:iCs w:val="0"/>
          </w:rPr>
          <w:t>2230- دیوان رفیع قزوینی‏</w:t>
        </w:r>
        <w:r>
          <w:tab/>
        </w:r>
        <w:r>
          <w:fldChar w:fldCharType="begin"/>
        </w:r>
        <w:r>
          <w:instrText xml:space="preserve">PAGEREF 2869 \h</w:instrText>
        </w:r>
        <w:r>
          <w:fldChar w:fldCharType="end"/>
        </w:r>
      </w:hyperlink>
    </w:p>
    <w:p>
      <w:pPr>
        <w:tabs>
          <w:tab w:val="right" w:leader="dot" w:pos="9062"/>
        </w:tabs>
        <w:ind w:left="440"/>
      </w:pPr>
      <w:hyperlink w:anchor="_Toc2870" w:history="1">
        <w:r>
          <w:rPr>
            <w:rFonts w:ascii="IRNazanin" w:hAnsi="IRNazanin" w:eastAsia="IRNazanin" w:cs="IRNazanin"/>
            <w:color w:val="111111"/>
            <w:sz w:val="22"/>
            <w:szCs w:val="22"/>
            <w:b w:val="0"/>
            <w:bCs w:val="0"/>
            <w:i w:val="0"/>
            <w:iCs w:val="0"/>
          </w:rPr>
          <w:t>دیوان رفیع قزوینی‏</w:t>
        </w:r>
        <w:r>
          <w:tab/>
        </w:r>
        <w:r>
          <w:fldChar w:fldCharType="begin"/>
        </w:r>
        <w:r>
          <w:instrText xml:space="preserve">PAGEREF 2870 \h</w:instrText>
        </w:r>
        <w:r>
          <w:fldChar w:fldCharType="end"/>
        </w:r>
      </w:hyperlink>
    </w:p>
    <w:p>
      <w:pPr>
        <w:tabs>
          <w:tab w:val="right" w:leader="dot" w:pos="9062"/>
        </w:tabs>
        <w:ind w:left="440"/>
      </w:pPr>
      <w:hyperlink w:anchor="_Toc2871" w:history="1">
        <w:r>
          <w:rPr>
            <w:rFonts w:ascii="IRNazanin" w:hAnsi="IRNazanin" w:eastAsia="IRNazanin" w:cs="IRNazanin"/>
            <w:color w:val="111111"/>
            <w:sz w:val="22"/>
            <w:szCs w:val="22"/>
            <w:b w:val="0"/>
            <w:bCs w:val="0"/>
            <w:i w:val="0"/>
            <w:iCs w:val="0"/>
          </w:rPr>
          <w:t>2231- دیوان رفیع گنجوی أو شعره‏</w:t>
        </w:r>
        <w:r>
          <w:tab/>
        </w:r>
        <w:r>
          <w:fldChar w:fldCharType="begin"/>
        </w:r>
        <w:r>
          <w:instrText xml:space="preserve">PAGEREF 2871 \h</w:instrText>
        </w:r>
        <w:r>
          <w:fldChar w:fldCharType="end"/>
        </w:r>
      </w:hyperlink>
    </w:p>
    <w:p>
      <w:pPr>
        <w:tabs>
          <w:tab w:val="right" w:leader="dot" w:pos="9062"/>
        </w:tabs>
        <w:ind w:left="440"/>
      </w:pPr>
      <w:hyperlink w:anchor="_Toc2872" w:history="1">
        <w:r>
          <w:rPr>
            <w:rFonts w:ascii="IRNazanin" w:hAnsi="IRNazanin" w:eastAsia="IRNazanin" w:cs="IRNazanin"/>
            <w:color w:val="111111"/>
            <w:sz w:val="22"/>
            <w:szCs w:val="22"/>
            <w:b w:val="0"/>
            <w:bCs w:val="0"/>
            <w:i w:val="0"/>
            <w:iCs w:val="0"/>
          </w:rPr>
          <w:t>2232- دیوان رفیع مرزبان أو شعره‏</w:t>
        </w:r>
        <w:r>
          <w:tab/>
        </w:r>
        <w:r>
          <w:fldChar w:fldCharType="begin"/>
        </w:r>
        <w:r>
          <w:instrText xml:space="preserve">PAGEREF 2872 \h</w:instrText>
        </w:r>
        <w:r>
          <w:fldChar w:fldCharType="end"/>
        </w:r>
      </w:hyperlink>
    </w:p>
    <w:p>
      <w:pPr>
        <w:tabs>
          <w:tab w:val="right" w:leader="dot" w:pos="9062"/>
        </w:tabs>
        <w:ind w:left="440"/>
      </w:pPr>
      <w:hyperlink w:anchor="_Toc2873" w:history="1">
        <w:r>
          <w:rPr>
            <w:rFonts w:ascii="IRNazanin" w:hAnsi="IRNazanin" w:eastAsia="IRNazanin" w:cs="IRNazanin"/>
            <w:color w:val="111111"/>
            <w:sz w:val="22"/>
            <w:szCs w:val="22"/>
            <w:b w:val="0"/>
            <w:bCs w:val="0"/>
            <w:i w:val="0"/>
            <w:iCs w:val="0"/>
          </w:rPr>
          <w:t>دیوان رفیع مشهدی‏</w:t>
        </w:r>
        <w:r>
          <w:tab/>
        </w:r>
        <w:r>
          <w:fldChar w:fldCharType="begin"/>
        </w:r>
        <w:r>
          <w:instrText xml:space="preserve">PAGEREF 2873 \h</w:instrText>
        </w:r>
        <w:r>
          <w:fldChar w:fldCharType="end"/>
        </w:r>
      </w:hyperlink>
    </w:p>
    <w:p>
      <w:pPr>
        <w:tabs>
          <w:tab w:val="right" w:leader="dot" w:pos="9062"/>
        </w:tabs>
        <w:ind w:left="440"/>
      </w:pPr>
      <w:hyperlink w:anchor="_Toc2874" w:history="1">
        <w:r>
          <w:rPr>
            <w:rFonts w:ascii="IRNazanin" w:hAnsi="IRNazanin" w:eastAsia="IRNazanin" w:cs="IRNazanin"/>
            <w:color w:val="111111"/>
            <w:sz w:val="22"/>
            <w:szCs w:val="22"/>
            <w:b w:val="0"/>
            <w:bCs w:val="0"/>
            <w:i w:val="0"/>
            <w:iCs w:val="0"/>
          </w:rPr>
          <w:t>دیوان رفیع مشهدی‏</w:t>
        </w:r>
        <w:r>
          <w:tab/>
        </w:r>
        <w:r>
          <w:fldChar w:fldCharType="begin"/>
        </w:r>
        <w:r>
          <w:instrText xml:space="preserve">PAGEREF 2874 \h</w:instrText>
        </w:r>
        <w:r>
          <w:fldChar w:fldCharType="end"/>
        </w:r>
      </w:hyperlink>
    </w:p>
    <w:p>
      <w:pPr>
        <w:tabs>
          <w:tab w:val="right" w:leader="dot" w:pos="9062"/>
        </w:tabs>
        <w:ind w:left="440"/>
      </w:pPr>
      <w:hyperlink w:anchor="_Toc2875" w:history="1">
        <w:r>
          <w:rPr>
            <w:rFonts w:ascii="IRNazanin" w:hAnsi="IRNazanin" w:eastAsia="IRNazanin" w:cs="IRNazanin"/>
            <w:color w:val="111111"/>
            <w:sz w:val="22"/>
            <w:szCs w:val="22"/>
            <w:b w:val="0"/>
            <w:bCs w:val="0"/>
            <w:i w:val="0"/>
            <w:iCs w:val="0"/>
          </w:rPr>
          <w:t>2233- دیوان رفیعی أصفهانی أو شعره‏</w:t>
        </w:r>
        <w:r>
          <w:tab/>
        </w:r>
        <w:r>
          <w:fldChar w:fldCharType="begin"/>
        </w:r>
        <w:r>
          <w:instrText xml:space="preserve">PAGEREF 2875 \h</w:instrText>
        </w:r>
        <w:r>
          <w:fldChar w:fldCharType="end"/>
        </w:r>
      </w:hyperlink>
    </w:p>
    <w:p>
      <w:pPr>
        <w:tabs>
          <w:tab w:val="right" w:leader="dot" w:pos="9062"/>
        </w:tabs>
        <w:ind w:left="440"/>
      </w:pPr>
      <w:hyperlink w:anchor="_Toc2876" w:history="1">
        <w:r>
          <w:rPr>
            <w:rFonts w:ascii="IRNazanin" w:hAnsi="IRNazanin" w:eastAsia="IRNazanin" w:cs="IRNazanin"/>
            <w:color w:val="111111"/>
            <w:sz w:val="22"/>
            <w:szCs w:val="22"/>
            <w:b w:val="0"/>
            <w:bCs w:val="0"/>
            <w:i w:val="0"/>
            <w:iCs w:val="0"/>
          </w:rPr>
          <w:t>2234- دیوان رفیعی کاشانی‏</w:t>
        </w:r>
        <w:r>
          <w:tab/>
        </w:r>
        <w:r>
          <w:fldChar w:fldCharType="begin"/>
        </w:r>
        <w:r>
          <w:instrText xml:space="preserve">PAGEREF 2876 \h</w:instrText>
        </w:r>
        <w:r>
          <w:fldChar w:fldCharType="end"/>
        </w:r>
      </w:hyperlink>
    </w:p>
    <w:p>
      <w:pPr>
        <w:tabs>
          <w:tab w:val="right" w:leader="dot" w:pos="9062"/>
        </w:tabs>
        <w:ind w:left="440"/>
      </w:pPr>
      <w:hyperlink w:anchor="_Toc2877" w:history="1">
        <w:r>
          <w:rPr>
            <w:rFonts w:ascii="IRNazanin" w:hAnsi="IRNazanin" w:eastAsia="IRNazanin" w:cs="IRNazanin"/>
            <w:color w:val="111111"/>
            <w:sz w:val="22"/>
            <w:szCs w:val="22"/>
            <w:b w:val="0"/>
            <w:bCs w:val="0"/>
            <w:i w:val="0"/>
            <w:iCs w:val="0"/>
          </w:rPr>
          <w:t>2235- دیوان رفیق أصفهانی‏</w:t>
        </w:r>
        <w:r>
          <w:tab/>
        </w:r>
        <w:r>
          <w:fldChar w:fldCharType="begin"/>
        </w:r>
        <w:r>
          <w:instrText xml:space="preserve">PAGEREF 2877 \h</w:instrText>
        </w:r>
        <w:r>
          <w:fldChar w:fldCharType="end"/>
        </w:r>
      </w:hyperlink>
    </w:p>
    <w:p>
      <w:pPr>
        <w:tabs>
          <w:tab w:val="right" w:leader="dot" w:pos="9062"/>
        </w:tabs>
        <w:ind w:left="440"/>
      </w:pPr>
      <w:hyperlink w:anchor="_Toc2878" w:history="1">
        <w:r>
          <w:rPr>
            <w:rFonts w:ascii="IRNazanin" w:hAnsi="IRNazanin" w:eastAsia="IRNazanin" w:cs="IRNazanin"/>
            <w:color w:val="111111"/>
            <w:sz w:val="22"/>
            <w:szCs w:val="22"/>
            <w:b w:val="0"/>
            <w:bCs w:val="0"/>
            <w:i w:val="0"/>
            <w:iCs w:val="0"/>
          </w:rPr>
          <w:t>2236- دیوان مولانا رفیقی أو شعره‏</w:t>
        </w:r>
        <w:r>
          <w:tab/>
        </w:r>
        <w:r>
          <w:fldChar w:fldCharType="begin"/>
        </w:r>
        <w:r>
          <w:instrText xml:space="preserve">PAGEREF 2878 \h</w:instrText>
        </w:r>
        <w:r>
          <w:fldChar w:fldCharType="end"/>
        </w:r>
      </w:hyperlink>
    </w:p>
    <w:p>
      <w:pPr>
        <w:tabs>
          <w:tab w:val="right" w:leader="dot" w:pos="9062"/>
        </w:tabs>
        <w:ind w:left="440"/>
      </w:pPr>
      <w:hyperlink w:anchor="_Toc2879" w:history="1">
        <w:r>
          <w:rPr>
            <w:rFonts w:ascii="IRNazanin" w:hAnsi="IRNazanin" w:eastAsia="IRNazanin" w:cs="IRNazanin"/>
            <w:color w:val="111111"/>
            <w:sz w:val="22"/>
            <w:szCs w:val="22"/>
            <w:b w:val="0"/>
            <w:bCs w:val="0"/>
            <w:i w:val="0"/>
            <w:iCs w:val="0"/>
          </w:rPr>
          <w:t>2237- دیوان رفیقی آملی أو شعره‏</w:t>
        </w:r>
        <w:r>
          <w:tab/>
        </w:r>
        <w:r>
          <w:fldChar w:fldCharType="begin"/>
        </w:r>
        <w:r>
          <w:instrText xml:space="preserve">PAGEREF 2879 \h</w:instrText>
        </w:r>
        <w:r>
          <w:fldChar w:fldCharType="end"/>
        </w:r>
      </w:hyperlink>
    </w:p>
    <w:p>
      <w:pPr>
        <w:tabs>
          <w:tab w:val="right" w:leader="dot" w:pos="9062"/>
        </w:tabs>
        <w:ind w:left="440"/>
      </w:pPr>
      <w:hyperlink w:anchor="_Toc2880" w:history="1">
        <w:r>
          <w:rPr>
            <w:rFonts w:ascii="IRNazanin" w:hAnsi="IRNazanin" w:eastAsia="IRNazanin" w:cs="IRNazanin"/>
            <w:color w:val="111111"/>
            <w:sz w:val="22"/>
            <w:szCs w:val="22"/>
            <w:b w:val="0"/>
            <w:bCs w:val="0"/>
            <w:i w:val="0"/>
            <w:iCs w:val="0"/>
          </w:rPr>
          <w:t>2238- دیوان رفیقی أصفهانی أو شعره‏</w:t>
        </w:r>
        <w:r>
          <w:tab/>
        </w:r>
        <w:r>
          <w:fldChar w:fldCharType="begin"/>
        </w:r>
        <w:r>
          <w:instrText xml:space="preserve">PAGEREF 2880 \h</w:instrText>
        </w:r>
        <w:r>
          <w:fldChar w:fldCharType="end"/>
        </w:r>
      </w:hyperlink>
    </w:p>
    <w:p>
      <w:pPr>
        <w:tabs>
          <w:tab w:val="right" w:leader="dot" w:pos="9062"/>
        </w:tabs>
        <w:ind w:left="440"/>
      </w:pPr>
      <w:hyperlink w:anchor="_Toc2881" w:history="1">
        <w:r>
          <w:rPr>
            <w:rFonts w:ascii="IRNazanin" w:hAnsi="IRNazanin" w:eastAsia="IRNazanin" w:cs="IRNazanin"/>
            <w:color w:val="111111"/>
            <w:sz w:val="22"/>
            <w:szCs w:val="22"/>
            <w:b w:val="0"/>
            <w:bCs w:val="0"/>
            <w:i w:val="0"/>
            <w:iCs w:val="0"/>
          </w:rPr>
          <w:t>2239- دیوان رفیقی تبریزی أو شعره‏</w:t>
        </w:r>
        <w:r>
          <w:tab/>
        </w:r>
        <w:r>
          <w:fldChar w:fldCharType="begin"/>
        </w:r>
        <w:r>
          <w:instrText xml:space="preserve">PAGEREF 2881 \h</w:instrText>
        </w:r>
        <w:r>
          <w:fldChar w:fldCharType="end"/>
        </w:r>
      </w:hyperlink>
    </w:p>
    <w:p>
      <w:pPr>
        <w:tabs>
          <w:tab w:val="right" w:leader="dot" w:pos="9062"/>
        </w:tabs>
        <w:ind w:left="440"/>
      </w:pPr>
      <w:hyperlink w:anchor="_Toc2882" w:history="1">
        <w:r>
          <w:rPr>
            <w:rFonts w:ascii="IRNazanin" w:hAnsi="IRNazanin" w:eastAsia="IRNazanin" w:cs="IRNazanin"/>
            <w:color w:val="111111"/>
            <w:sz w:val="22"/>
            <w:szCs w:val="22"/>
            <w:b w:val="0"/>
            <w:bCs w:val="0"/>
            <w:i w:val="0"/>
            <w:iCs w:val="0"/>
          </w:rPr>
          <w:t>2240- دیوان رفیقی تفریشی أو شعره‏</w:t>
        </w:r>
        <w:r>
          <w:tab/>
        </w:r>
        <w:r>
          <w:fldChar w:fldCharType="begin"/>
        </w:r>
        <w:r>
          <w:instrText xml:space="preserve">PAGEREF 2882 \h</w:instrText>
        </w:r>
        <w:r>
          <w:fldChar w:fldCharType="end"/>
        </w:r>
      </w:hyperlink>
    </w:p>
    <w:p>
      <w:pPr>
        <w:tabs>
          <w:tab w:val="right" w:leader="dot" w:pos="9062"/>
        </w:tabs>
        <w:ind w:left="440"/>
      </w:pPr>
      <w:hyperlink w:anchor="_Toc2883" w:history="1">
        <w:r>
          <w:rPr>
            <w:rFonts w:ascii="IRNazanin" w:hAnsi="IRNazanin" w:eastAsia="IRNazanin" w:cs="IRNazanin"/>
            <w:color w:val="111111"/>
            <w:sz w:val="22"/>
            <w:szCs w:val="22"/>
            <w:b w:val="0"/>
            <w:bCs w:val="0"/>
            <w:i w:val="0"/>
            <w:iCs w:val="0"/>
          </w:rPr>
          <w:t>دیوان رفیعی کاشی‏</w:t>
        </w:r>
        <w:r>
          <w:tab/>
        </w:r>
        <w:r>
          <w:fldChar w:fldCharType="begin"/>
        </w:r>
        <w:r>
          <w:instrText xml:space="preserve">PAGEREF 2883 \h</w:instrText>
        </w:r>
        <w:r>
          <w:fldChar w:fldCharType="end"/>
        </w:r>
      </w:hyperlink>
    </w:p>
    <w:p>
      <w:pPr>
        <w:tabs>
          <w:tab w:val="right" w:leader="dot" w:pos="9062"/>
        </w:tabs>
        <w:ind w:left="440"/>
      </w:pPr>
      <w:hyperlink w:anchor="_Toc2884" w:history="1">
        <w:r>
          <w:rPr>
            <w:rFonts w:ascii="IRNazanin" w:hAnsi="IRNazanin" w:eastAsia="IRNazanin" w:cs="IRNazanin"/>
            <w:color w:val="111111"/>
            <w:sz w:val="22"/>
            <w:szCs w:val="22"/>
            <w:b w:val="0"/>
            <w:bCs w:val="0"/>
            <w:i w:val="0"/>
            <w:iCs w:val="0"/>
          </w:rPr>
          <w:t>2241- دیوان رفیقی همدانی أو شعره‏</w:t>
        </w:r>
        <w:r>
          <w:tab/>
        </w:r>
        <w:r>
          <w:fldChar w:fldCharType="begin"/>
        </w:r>
        <w:r>
          <w:instrText xml:space="preserve">PAGEREF 2884 \h</w:instrText>
        </w:r>
        <w:r>
          <w:fldChar w:fldCharType="end"/>
        </w:r>
      </w:hyperlink>
    </w:p>
    <w:p>
      <w:pPr>
        <w:tabs>
          <w:tab w:val="right" w:leader="dot" w:pos="9062"/>
        </w:tabs>
        <w:ind w:left="440"/>
      </w:pPr>
      <w:hyperlink w:anchor="_Toc2885" w:history="1">
        <w:r>
          <w:rPr>
            <w:rFonts w:ascii="IRNazanin" w:hAnsi="IRNazanin" w:eastAsia="IRNazanin" w:cs="IRNazanin"/>
            <w:color w:val="111111"/>
            <w:sz w:val="22"/>
            <w:szCs w:val="22"/>
            <w:b w:val="0"/>
            <w:bCs w:val="0"/>
            <w:i w:val="0"/>
            <w:iCs w:val="0"/>
          </w:rPr>
          <w:t>2242- دیوان رقمی تربتی أو شعره‏</w:t>
        </w:r>
        <w:r>
          <w:tab/>
        </w:r>
        <w:r>
          <w:fldChar w:fldCharType="begin"/>
        </w:r>
        <w:r>
          <w:instrText xml:space="preserve">PAGEREF 2885 \h</w:instrText>
        </w:r>
        <w:r>
          <w:fldChar w:fldCharType="end"/>
        </w:r>
      </w:hyperlink>
    </w:p>
    <w:p>
      <w:pPr>
        <w:tabs>
          <w:tab w:val="right" w:leader="dot" w:pos="9062"/>
        </w:tabs>
        <w:ind w:left="440"/>
      </w:pPr>
      <w:hyperlink w:anchor="_Toc2886" w:history="1">
        <w:r>
          <w:rPr>
            <w:rFonts w:ascii="IRNazanin" w:hAnsi="IRNazanin" w:eastAsia="IRNazanin" w:cs="IRNazanin"/>
            <w:color w:val="111111"/>
            <w:sz w:val="22"/>
            <w:szCs w:val="22"/>
            <w:b w:val="0"/>
            <w:bCs w:val="0"/>
            <w:i w:val="0"/>
            <w:iCs w:val="0"/>
          </w:rPr>
          <w:t>دیوان رکنا کاشانی‏</w:t>
        </w:r>
        <w:r>
          <w:tab/>
        </w:r>
        <w:r>
          <w:fldChar w:fldCharType="begin"/>
        </w:r>
        <w:r>
          <w:instrText xml:space="preserve">PAGEREF 2886 \h</w:instrText>
        </w:r>
        <w:r>
          <w:fldChar w:fldCharType="end"/>
        </w:r>
      </w:hyperlink>
    </w:p>
    <w:p>
      <w:pPr>
        <w:tabs>
          <w:tab w:val="right" w:leader="dot" w:pos="9062"/>
        </w:tabs>
        <w:ind w:left="440"/>
      </w:pPr>
      <w:hyperlink w:anchor="_Toc2887" w:history="1">
        <w:r>
          <w:rPr>
            <w:rFonts w:ascii="IRNazanin" w:hAnsi="IRNazanin" w:eastAsia="IRNazanin" w:cs="IRNazanin"/>
            <w:color w:val="111111"/>
            <w:sz w:val="22"/>
            <w:szCs w:val="22"/>
            <w:b w:val="0"/>
            <w:bCs w:val="0"/>
            <w:i w:val="0"/>
            <w:iCs w:val="0"/>
          </w:rPr>
          <w:t>دیوان رکن الدین رازی‏</w:t>
        </w:r>
        <w:r>
          <w:tab/>
        </w:r>
        <w:r>
          <w:fldChar w:fldCharType="begin"/>
        </w:r>
        <w:r>
          <w:instrText xml:space="preserve">PAGEREF 2887 \h</w:instrText>
        </w:r>
        <w:r>
          <w:fldChar w:fldCharType="end"/>
        </w:r>
      </w:hyperlink>
    </w:p>
    <w:p>
      <w:pPr>
        <w:tabs>
          <w:tab w:val="right" w:leader="dot" w:pos="9062"/>
        </w:tabs>
        <w:ind w:left="440"/>
      </w:pPr>
      <w:hyperlink w:anchor="_Toc2888" w:history="1">
        <w:r>
          <w:rPr>
            <w:rFonts w:ascii="IRNazanin" w:hAnsi="IRNazanin" w:eastAsia="IRNazanin" w:cs="IRNazanin"/>
            <w:color w:val="111111"/>
            <w:sz w:val="22"/>
            <w:szCs w:val="22"/>
            <w:b w:val="0"/>
            <w:bCs w:val="0"/>
            <w:i w:val="0"/>
            <w:iCs w:val="0"/>
          </w:rPr>
          <w:t>2243- دیوان رکن الدین زیارتگاهی أو شعره‏</w:t>
        </w:r>
        <w:r>
          <w:tab/>
        </w:r>
        <w:r>
          <w:fldChar w:fldCharType="begin"/>
        </w:r>
        <w:r>
          <w:instrText xml:space="preserve">PAGEREF 2888 \h</w:instrText>
        </w:r>
        <w:r>
          <w:fldChar w:fldCharType="end"/>
        </w:r>
      </w:hyperlink>
    </w:p>
    <w:p>
      <w:pPr>
        <w:tabs>
          <w:tab w:val="right" w:leader="dot" w:pos="9062"/>
        </w:tabs>
        <w:ind w:left="440"/>
      </w:pPr>
      <w:hyperlink w:anchor="_Toc2889" w:history="1">
        <w:r>
          <w:rPr>
            <w:rFonts w:ascii="IRNazanin" w:hAnsi="IRNazanin" w:eastAsia="IRNazanin" w:cs="IRNazanin"/>
            <w:color w:val="111111"/>
            <w:sz w:val="22"/>
            <w:szCs w:val="22"/>
            <w:b w:val="0"/>
            <w:bCs w:val="0"/>
            <w:i w:val="0"/>
            <w:iCs w:val="0"/>
          </w:rPr>
          <w:t>دیوان رکن الدین سمنانی‏</w:t>
        </w:r>
        <w:r>
          <w:tab/>
        </w:r>
        <w:r>
          <w:fldChar w:fldCharType="begin"/>
        </w:r>
        <w:r>
          <w:instrText xml:space="preserve">PAGEREF 2889 \h</w:instrText>
        </w:r>
        <w:r>
          <w:fldChar w:fldCharType="end"/>
        </w:r>
      </w:hyperlink>
    </w:p>
    <w:p>
      <w:pPr>
        <w:tabs>
          <w:tab w:val="right" w:leader="dot" w:pos="9062"/>
        </w:tabs>
        <w:ind w:left="440"/>
      </w:pPr>
      <w:hyperlink w:anchor="_Toc2890" w:history="1">
        <w:r>
          <w:rPr>
            <w:rFonts w:ascii="IRNazanin" w:hAnsi="IRNazanin" w:eastAsia="IRNazanin" w:cs="IRNazanin"/>
            <w:color w:val="111111"/>
            <w:sz w:val="22"/>
            <w:szCs w:val="22"/>
            <w:b w:val="0"/>
            <w:bCs w:val="0"/>
            <w:i w:val="0"/>
            <w:iCs w:val="0"/>
          </w:rPr>
          <w:t>2244- دیوان رکن الدین قبائی‏</w:t>
        </w:r>
        <w:r>
          <w:tab/>
        </w:r>
        <w:r>
          <w:fldChar w:fldCharType="begin"/>
        </w:r>
        <w:r>
          <w:instrText xml:space="preserve">PAGEREF 2890 \h</w:instrText>
        </w:r>
        <w:r>
          <w:fldChar w:fldCharType="end"/>
        </w:r>
      </w:hyperlink>
    </w:p>
    <w:p>
      <w:pPr>
        <w:tabs>
          <w:tab w:val="right" w:leader="dot" w:pos="9062"/>
        </w:tabs>
        <w:ind w:left="440"/>
      </w:pPr>
      <w:hyperlink w:anchor="_Toc2891" w:history="1">
        <w:r>
          <w:rPr>
            <w:rFonts w:ascii="IRNazanin" w:hAnsi="IRNazanin" w:eastAsia="IRNazanin" w:cs="IRNazanin"/>
            <w:color w:val="111111"/>
            <w:sz w:val="22"/>
            <w:szCs w:val="22"/>
            <w:b w:val="0"/>
            <w:bCs w:val="0"/>
            <w:i w:val="0"/>
            <w:iCs w:val="0"/>
          </w:rPr>
          <w:t>دیوان رکن الدین قمی‏</w:t>
        </w:r>
        <w:r>
          <w:tab/>
        </w:r>
        <w:r>
          <w:fldChar w:fldCharType="begin"/>
        </w:r>
        <w:r>
          <w:instrText xml:space="preserve">PAGEREF 2891 \h</w:instrText>
        </w:r>
        <w:r>
          <w:fldChar w:fldCharType="end"/>
        </w:r>
      </w:hyperlink>
    </w:p>
    <w:p>
      <w:pPr>
        <w:tabs>
          <w:tab w:val="right" w:leader="dot" w:pos="9062"/>
        </w:tabs>
        <w:ind w:left="440"/>
      </w:pPr>
      <w:hyperlink w:anchor="_Toc2892" w:history="1">
        <w:r>
          <w:rPr>
            <w:rFonts w:ascii="IRNazanin" w:hAnsi="IRNazanin" w:eastAsia="IRNazanin" w:cs="IRNazanin"/>
            <w:color w:val="111111"/>
            <w:sz w:val="22"/>
            <w:szCs w:val="22"/>
            <w:b w:val="0"/>
            <w:bCs w:val="0"/>
            <w:i w:val="0"/>
            <w:iCs w:val="0"/>
          </w:rPr>
          <w:t>2245- دیوان رکن الدین قمی‏</w:t>
        </w:r>
        <w:r>
          <w:tab/>
        </w:r>
        <w:r>
          <w:fldChar w:fldCharType="begin"/>
        </w:r>
        <w:r>
          <w:instrText xml:space="preserve">PAGEREF 2892 \h</w:instrText>
        </w:r>
        <w:r>
          <w:fldChar w:fldCharType="end"/>
        </w:r>
      </w:hyperlink>
    </w:p>
    <w:p>
      <w:pPr>
        <w:tabs>
          <w:tab w:val="right" w:leader="dot" w:pos="9062"/>
        </w:tabs>
        <w:ind w:left="440"/>
      </w:pPr>
      <w:hyperlink w:anchor="_Toc2893" w:history="1">
        <w:r>
          <w:rPr>
            <w:rFonts w:ascii="IRNazanin" w:hAnsi="IRNazanin" w:eastAsia="IRNazanin" w:cs="IRNazanin"/>
            <w:color w:val="111111"/>
            <w:sz w:val="22"/>
            <w:szCs w:val="22"/>
            <w:b w:val="0"/>
            <w:bCs w:val="0"/>
            <w:i w:val="0"/>
            <w:iCs w:val="0"/>
          </w:rPr>
          <w:t>دیوان رکن الدین کاشی‏</w:t>
        </w:r>
        <w:r>
          <w:tab/>
        </w:r>
        <w:r>
          <w:fldChar w:fldCharType="begin"/>
        </w:r>
        <w:r>
          <w:instrText xml:space="preserve">PAGEREF 2893 \h</w:instrText>
        </w:r>
        <w:r>
          <w:fldChar w:fldCharType="end"/>
        </w:r>
      </w:hyperlink>
    </w:p>
    <w:p>
      <w:pPr>
        <w:tabs>
          <w:tab w:val="right" w:leader="dot" w:pos="9062"/>
        </w:tabs>
        <w:ind w:left="440"/>
      </w:pPr>
      <w:hyperlink w:anchor="_Toc2894" w:history="1">
        <w:r>
          <w:rPr>
            <w:rFonts w:ascii="IRNazanin" w:hAnsi="IRNazanin" w:eastAsia="IRNazanin" w:cs="IRNazanin"/>
            <w:color w:val="111111"/>
            <w:sz w:val="22"/>
            <w:szCs w:val="22"/>
            <w:b w:val="0"/>
            <w:bCs w:val="0"/>
            <w:i w:val="0"/>
            <w:iCs w:val="0"/>
          </w:rPr>
          <w:t>دیوان رکن الدین مکرانی‏</w:t>
        </w:r>
        <w:r>
          <w:tab/>
        </w:r>
        <w:r>
          <w:fldChar w:fldCharType="begin"/>
        </w:r>
        <w:r>
          <w:instrText xml:space="preserve">PAGEREF 2894 \h</w:instrText>
        </w:r>
        <w:r>
          <w:fldChar w:fldCharType="end"/>
        </w:r>
      </w:hyperlink>
    </w:p>
    <w:p>
      <w:pPr>
        <w:tabs>
          <w:tab w:val="right" w:leader="dot" w:pos="9062"/>
        </w:tabs>
        <w:ind w:left="440"/>
      </w:pPr>
      <w:hyperlink w:anchor="_Toc2895" w:history="1">
        <w:r>
          <w:rPr>
            <w:rFonts w:ascii="IRNazanin" w:hAnsi="IRNazanin" w:eastAsia="IRNazanin" w:cs="IRNazanin"/>
            <w:color w:val="111111"/>
            <w:sz w:val="22"/>
            <w:szCs w:val="22"/>
            <w:b w:val="0"/>
            <w:bCs w:val="0"/>
            <w:i w:val="0"/>
            <w:iCs w:val="0"/>
          </w:rPr>
          <w:t>دیوان رکن سمنانی‏</w:t>
        </w:r>
        <w:r>
          <w:tab/>
        </w:r>
        <w:r>
          <w:fldChar w:fldCharType="begin"/>
        </w:r>
        <w:r>
          <w:instrText xml:space="preserve">PAGEREF 2895 \h</w:instrText>
        </w:r>
        <w:r>
          <w:fldChar w:fldCharType="end"/>
        </w:r>
      </w:hyperlink>
    </w:p>
    <w:p>
      <w:pPr>
        <w:tabs>
          <w:tab w:val="right" w:leader="dot" w:pos="9062"/>
        </w:tabs>
        <w:ind w:left="440"/>
      </w:pPr>
      <w:hyperlink w:anchor="_Toc2896" w:history="1">
        <w:r>
          <w:rPr>
            <w:rFonts w:ascii="IRNazanin" w:hAnsi="IRNazanin" w:eastAsia="IRNazanin" w:cs="IRNazanin"/>
            <w:color w:val="111111"/>
            <w:sz w:val="22"/>
            <w:szCs w:val="22"/>
            <w:b w:val="0"/>
            <w:bCs w:val="0"/>
            <w:i w:val="0"/>
            <w:iCs w:val="0"/>
          </w:rPr>
          <w:t>2246- دیوان رکن سمنانی‏</w:t>
        </w:r>
        <w:r>
          <w:tab/>
        </w:r>
        <w:r>
          <w:fldChar w:fldCharType="begin"/>
        </w:r>
        <w:r>
          <w:instrText xml:space="preserve">PAGEREF 2896 \h</w:instrText>
        </w:r>
        <w:r>
          <w:fldChar w:fldCharType="end"/>
        </w:r>
      </w:hyperlink>
    </w:p>
    <w:p>
      <w:pPr>
        <w:tabs>
          <w:tab w:val="right" w:leader="dot" w:pos="9062"/>
        </w:tabs>
        <w:ind w:left="440"/>
      </w:pPr>
      <w:hyperlink w:anchor="_Toc2897" w:history="1">
        <w:r>
          <w:rPr>
            <w:rFonts w:ascii="IRNazanin" w:hAnsi="IRNazanin" w:eastAsia="IRNazanin" w:cs="IRNazanin"/>
            <w:color w:val="111111"/>
            <w:sz w:val="22"/>
            <w:szCs w:val="22"/>
            <w:b w:val="0"/>
            <w:bCs w:val="0"/>
            <w:i w:val="0"/>
            <w:iCs w:val="0"/>
          </w:rPr>
          <w:t>2247- دیوان رکن کرمانی‏</w:t>
        </w:r>
        <w:r>
          <w:tab/>
        </w:r>
        <w:r>
          <w:fldChar w:fldCharType="begin"/>
        </w:r>
        <w:r>
          <w:instrText xml:space="preserve">PAGEREF 2897 \h</w:instrText>
        </w:r>
        <w:r>
          <w:fldChar w:fldCharType="end"/>
        </w:r>
      </w:hyperlink>
    </w:p>
    <w:p>
      <w:pPr>
        <w:tabs>
          <w:tab w:val="right" w:leader="dot" w:pos="9062"/>
        </w:tabs>
        <w:ind w:left="440"/>
      </w:pPr>
      <w:hyperlink w:anchor="_Toc2898" w:history="1">
        <w:r>
          <w:rPr>
            <w:rFonts w:ascii="IRNazanin" w:hAnsi="IRNazanin" w:eastAsia="IRNazanin" w:cs="IRNazanin"/>
            <w:color w:val="111111"/>
            <w:sz w:val="22"/>
            <w:szCs w:val="22"/>
            <w:b w:val="0"/>
            <w:bCs w:val="0"/>
            <w:i w:val="0"/>
            <w:iCs w:val="0"/>
          </w:rPr>
          <w:t>2248- دیوان ملا رکنی نیشابوری أو شعره‏</w:t>
        </w:r>
        <w:r>
          <w:tab/>
        </w:r>
        <w:r>
          <w:fldChar w:fldCharType="begin"/>
        </w:r>
        <w:r>
          <w:instrText xml:space="preserve">PAGEREF 2898 \h</w:instrText>
        </w:r>
        <w:r>
          <w:fldChar w:fldCharType="end"/>
        </w:r>
      </w:hyperlink>
    </w:p>
    <w:p>
      <w:pPr>
        <w:tabs>
          <w:tab w:val="right" w:leader="dot" w:pos="9062"/>
        </w:tabs>
        <w:ind w:left="440"/>
      </w:pPr>
      <w:hyperlink w:anchor="_Toc2899" w:history="1">
        <w:r>
          <w:rPr>
            <w:rFonts w:ascii="IRNazanin" w:hAnsi="IRNazanin" w:eastAsia="IRNazanin" w:cs="IRNazanin"/>
            <w:color w:val="111111"/>
            <w:sz w:val="22"/>
            <w:szCs w:val="22"/>
            <w:b w:val="0"/>
            <w:bCs w:val="0"/>
            <w:i w:val="0"/>
            <w:iCs w:val="0"/>
          </w:rPr>
          <w:t>2249- دیوان رمزی أصفهانی أو شعره‏</w:t>
        </w:r>
        <w:r>
          <w:tab/>
        </w:r>
        <w:r>
          <w:fldChar w:fldCharType="begin"/>
        </w:r>
        <w:r>
          <w:instrText xml:space="preserve">PAGEREF 2899 \h</w:instrText>
        </w:r>
        <w:r>
          <w:fldChar w:fldCharType="end"/>
        </w:r>
      </w:hyperlink>
    </w:p>
    <w:p>
      <w:pPr>
        <w:tabs>
          <w:tab w:val="right" w:leader="dot" w:pos="9062"/>
        </w:tabs>
        <w:ind w:left="440"/>
      </w:pPr>
      <w:hyperlink w:anchor="_Toc2900" w:history="1">
        <w:r>
          <w:rPr>
            <w:rFonts w:ascii="IRNazanin" w:hAnsi="IRNazanin" w:eastAsia="IRNazanin" w:cs="IRNazanin"/>
            <w:color w:val="111111"/>
            <w:sz w:val="22"/>
            <w:szCs w:val="22"/>
            <w:b w:val="0"/>
            <w:bCs w:val="0"/>
            <w:i w:val="0"/>
            <w:iCs w:val="0"/>
          </w:rPr>
          <w:t>2250- دیوان رمزی تبریزی أو شعره‏</w:t>
        </w:r>
        <w:r>
          <w:tab/>
        </w:r>
        <w:r>
          <w:fldChar w:fldCharType="begin"/>
        </w:r>
        <w:r>
          <w:instrText xml:space="preserve">PAGEREF 2900 \h</w:instrText>
        </w:r>
        <w:r>
          <w:fldChar w:fldCharType="end"/>
        </w:r>
      </w:hyperlink>
    </w:p>
    <w:p>
      <w:pPr>
        <w:tabs>
          <w:tab w:val="right" w:leader="dot" w:pos="9062"/>
        </w:tabs>
        <w:ind w:left="440"/>
      </w:pPr>
      <w:hyperlink w:anchor="_Toc2901" w:history="1">
        <w:r>
          <w:rPr>
            <w:rFonts w:ascii="IRNazanin" w:hAnsi="IRNazanin" w:eastAsia="IRNazanin" w:cs="IRNazanin"/>
            <w:color w:val="111111"/>
            <w:sz w:val="22"/>
            <w:szCs w:val="22"/>
            <w:b w:val="0"/>
            <w:bCs w:val="0"/>
            <w:i w:val="0"/>
            <w:iCs w:val="0"/>
          </w:rPr>
          <w:t>2251- دیوان رمزی کاشانی‏</w:t>
        </w:r>
        <w:r>
          <w:tab/>
        </w:r>
        <w:r>
          <w:fldChar w:fldCharType="begin"/>
        </w:r>
        <w:r>
          <w:instrText xml:space="preserve">PAGEREF 2901 \h</w:instrText>
        </w:r>
        <w:r>
          <w:fldChar w:fldCharType="end"/>
        </w:r>
      </w:hyperlink>
    </w:p>
    <w:p>
      <w:pPr>
        <w:tabs>
          <w:tab w:val="right" w:leader="dot" w:pos="9062"/>
        </w:tabs>
        <w:ind w:left="440"/>
      </w:pPr>
      <w:hyperlink w:anchor="_Toc2902" w:history="1">
        <w:r>
          <w:rPr>
            <w:rFonts w:ascii="IRNazanin" w:hAnsi="IRNazanin" w:eastAsia="IRNazanin" w:cs="IRNazanin"/>
            <w:color w:val="111111"/>
            <w:sz w:val="22"/>
            <w:szCs w:val="22"/>
            <w:b w:val="0"/>
            <w:bCs w:val="0"/>
            <w:i w:val="0"/>
            <w:iCs w:val="0"/>
          </w:rPr>
          <w:t>2252- دیوان رمزی همدانی أو شعره‏</w:t>
        </w:r>
        <w:r>
          <w:tab/>
        </w:r>
        <w:r>
          <w:fldChar w:fldCharType="begin"/>
        </w:r>
        <w:r>
          <w:instrText xml:space="preserve">PAGEREF 2902 \h</w:instrText>
        </w:r>
        <w:r>
          <w:fldChar w:fldCharType="end"/>
        </w:r>
      </w:hyperlink>
    </w:p>
    <w:p>
      <w:pPr>
        <w:tabs>
          <w:tab w:val="right" w:leader="dot" w:pos="9062"/>
        </w:tabs>
        <w:ind w:left="440"/>
      </w:pPr>
      <w:hyperlink w:anchor="_Toc2903" w:history="1">
        <w:r>
          <w:rPr>
            <w:rFonts w:ascii="IRNazanin" w:hAnsi="IRNazanin" w:eastAsia="IRNazanin" w:cs="IRNazanin"/>
            <w:color w:val="111111"/>
            <w:sz w:val="22"/>
            <w:szCs w:val="22"/>
            <w:b w:val="0"/>
            <w:bCs w:val="0"/>
            <w:i w:val="0"/>
            <w:iCs w:val="0"/>
          </w:rPr>
          <w:t>2253- دیوان رمزی هندی‏</w:t>
        </w:r>
        <w:r>
          <w:tab/>
        </w:r>
        <w:r>
          <w:fldChar w:fldCharType="begin"/>
        </w:r>
        <w:r>
          <w:instrText xml:space="preserve">PAGEREF 2903 \h</w:instrText>
        </w:r>
        <w:r>
          <w:fldChar w:fldCharType="end"/>
        </w:r>
      </w:hyperlink>
    </w:p>
    <w:p>
      <w:pPr>
        <w:tabs>
          <w:tab w:val="right" w:leader="dot" w:pos="9062"/>
        </w:tabs>
        <w:ind w:left="440"/>
      </w:pPr>
      <w:hyperlink w:anchor="_Toc2904" w:history="1">
        <w:r>
          <w:rPr>
            <w:rFonts w:ascii="IRNazanin" w:hAnsi="IRNazanin" w:eastAsia="IRNazanin" w:cs="IRNazanin"/>
            <w:color w:val="111111"/>
            <w:sz w:val="22"/>
            <w:szCs w:val="22"/>
            <w:b w:val="0"/>
            <w:bCs w:val="0"/>
            <w:i w:val="0"/>
            <w:iCs w:val="0"/>
          </w:rPr>
          <w:t>دیوان مولانا رمضان‏</w:t>
        </w:r>
        <w:r>
          <w:tab/>
        </w:r>
        <w:r>
          <w:fldChar w:fldCharType="begin"/>
        </w:r>
        <w:r>
          <w:instrText xml:space="preserve">PAGEREF 2904 \h</w:instrText>
        </w:r>
        <w:r>
          <w:fldChar w:fldCharType="end"/>
        </w:r>
      </w:hyperlink>
    </w:p>
    <w:p>
      <w:pPr>
        <w:tabs>
          <w:tab w:val="right" w:leader="dot" w:pos="9062"/>
        </w:tabs>
        <w:ind w:left="440"/>
      </w:pPr>
      <w:hyperlink w:anchor="_Toc2905" w:history="1">
        <w:r>
          <w:rPr>
            <w:rFonts w:ascii="IRNazanin" w:hAnsi="IRNazanin" w:eastAsia="IRNazanin" w:cs="IRNazanin"/>
            <w:color w:val="111111"/>
            <w:sz w:val="22"/>
            <w:szCs w:val="22"/>
            <w:b w:val="0"/>
            <w:bCs w:val="0"/>
            <w:i w:val="0"/>
            <w:iCs w:val="0"/>
          </w:rPr>
          <w:t>2254- دیوان رند</w:t>
        </w:r>
        <w:r>
          <w:tab/>
        </w:r>
        <w:r>
          <w:fldChar w:fldCharType="begin"/>
        </w:r>
        <w:r>
          <w:instrText xml:space="preserve">PAGEREF 2905 \h</w:instrText>
        </w:r>
        <w:r>
          <w:fldChar w:fldCharType="end"/>
        </w:r>
      </w:hyperlink>
    </w:p>
    <w:p>
      <w:pPr>
        <w:tabs>
          <w:tab w:val="right" w:leader="dot" w:pos="9062"/>
        </w:tabs>
        <w:ind w:left="440"/>
      </w:pPr>
      <w:hyperlink w:anchor="_Toc2906" w:history="1">
        <w:r>
          <w:rPr>
            <w:rFonts w:ascii="IRNazanin" w:hAnsi="IRNazanin" w:eastAsia="IRNazanin" w:cs="IRNazanin"/>
            <w:color w:val="111111"/>
            <w:sz w:val="22"/>
            <w:szCs w:val="22"/>
            <w:b w:val="0"/>
            <w:bCs w:val="0"/>
            <w:i w:val="0"/>
            <w:iCs w:val="0"/>
          </w:rPr>
          <w:t>2255- دیوان رندی البغدادی‏</w:t>
        </w:r>
        <w:r>
          <w:tab/>
        </w:r>
        <w:r>
          <w:fldChar w:fldCharType="begin"/>
        </w:r>
        <w:r>
          <w:instrText xml:space="preserve">PAGEREF 2906 \h</w:instrText>
        </w:r>
        <w:r>
          <w:fldChar w:fldCharType="end"/>
        </w:r>
      </w:hyperlink>
    </w:p>
    <w:p>
      <w:pPr>
        <w:tabs>
          <w:tab w:val="right" w:leader="dot" w:pos="9062"/>
        </w:tabs>
        <w:ind w:left="440"/>
      </w:pPr>
      <w:hyperlink w:anchor="_Toc2907" w:history="1">
        <w:r>
          <w:rPr>
            <w:rFonts w:ascii="IRNazanin" w:hAnsi="IRNazanin" w:eastAsia="IRNazanin" w:cs="IRNazanin"/>
            <w:color w:val="111111"/>
            <w:sz w:val="22"/>
            <w:szCs w:val="22"/>
            <w:b w:val="0"/>
            <w:bCs w:val="0"/>
            <w:i w:val="0"/>
            <w:iCs w:val="0"/>
          </w:rPr>
          <w:t>2256- دیوان رنگین دهلوی‏</w:t>
        </w:r>
        <w:r>
          <w:tab/>
        </w:r>
        <w:r>
          <w:fldChar w:fldCharType="begin"/>
        </w:r>
        <w:r>
          <w:instrText xml:space="preserve">PAGEREF 2907 \h</w:instrText>
        </w:r>
        <w:r>
          <w:fldChar w:fldCharType="end"/>
        </w:r>
      </w:hyperlink>
    </w:p>
    <w:p>
      <w:pPr>
        <w:tabs>
          <w:tab w:val="right" w:leader="dot" w:pos="9062"/>
        </w:tabs>
        <w:ind w:left="440"/>
      </w:pPr>
      <w:hyperlink w:anchor="_Toc2908" w:history="1">
        <w:r>
          <w:rPr>
            <w:rFonts w:ascii="IRNazanin" w:hAnsi="IRNazanin" w:eastAsia="IRNazanin" w:cs="IRNazanin"/>
            <w:color w:val="111111"/>
            <w:sz w:val="22"/>
            <w:szCs w:val="22"/>
            <w:b w:val="0"/>
            <w:bCs w:val="0"/>
            <w:i w:val="0"/>
            <w:iCs w:val="0"/>
          </w:rPr>
          <w:t>2257- دیوان روانی أکبرآبادی أو شعره‏</w:t>
        </w:r>
        <w:r>
          <w:tab/>
        </w:r>
        <w:r>
          <w:fldChar w:fldCharType="begin"/>
        </w:r>
        <w:r>
          <w:instrText xml:space="preserve">PAGEREF 2908 \h</w:instrText>
        </w:r>
        <w:r>
          <w:fldChar w:fldCharType="end"/>
        </w:r>
      </w:hyperlink>
    </w:p>
    <w:p>
      <w:pPr>
        <w:tabs>
          <w:tab w:val="right" w:leader="dot" w:pos="9062"/>
        </w:tabs>
        <w:ind w:left="440"/>
      </w:pPr>
      <w:hyperlink w:anchor="_Toc2909" w:history="1">
        <w:r>
          <w:rPr>
            <w:rFonts w:ascii="IRNazanin" w:hAnsi="IRNazanin" w:eastAsia="IRNazanin" w:cs="IRNazanin"/>
            <w:color w:val="111111"/>
            <w:sz w:val="22"/>
            <w:szCs w:val="22"/>
            <w:b w:val="0"/>
            <w:bCs w:val="0"/>
            <w:i w:val="0"/>
            <w:iCs w:val="0"/>
          </w:rPr>
          <w:t>دیوان روح‏</w:t>
        </w:r>
        <w:r>
          <w:tab/>
        </w:r>
        <w:r>
          <w:fldChar w:fldCharType="begin"/>
        </w:r>
        <w:r>
          <w:instrText xml:space="preserve">PAGEREF 2909 \h</w:instrText>
        </w:r>
        <w:r>
          <w:fldChar w:fldCharType="end"/>
        </w:r>
      </w:hyperlink>
    </w:p>
    <w:p>
      <w:pPr>
        <w:tabs>
          <w:tab w:val="right" w:leader="dot" w:pos="9062"/>
        </w:tabs>
        <w:ind w:left="440"/>
      </w:pPr>
      <w:hyperlink w:anchor="_Toc2910" w:history="1">
        <w:r>
          <w:rPr>
            <w:rFonts w:ascii="IRNazanin" w:hAnsi="IRNazanin" w:eastAsia="IRNazanin" w:cs="IRNazanin"/>
            <w:color w:val="111111"/>
            <w:sz w:val="22"/>
            <w:szCs w:val="22"/>
            <w:b w:val="0"/>
            <w:bCs w:val="0"/>
            <w:i w:val="0"/>
            <w:iCs w:val="0"/>
          </w:rPr>
          <w:t>2258- دیوان روحانی‏</w:t>
        </w:r>
        <w:r>
          <w:tab/>
        </w:r>
        <w:r>
          <w:fldChar w:fldCharType="begin"/>
        </w:r>
        <w:r>
          <w:instrText xml:space="preserve">PAGEREF 2910 \h</w:instrText>
        </w:r>
        <w:r>
          <w:fldChar w:fldCharType="end"/>
        </w:r>
      </w:hyperlink>
    </w:p>
    <w:p>
      <w:pPr>
        <w:tabs>
          <w:tab w:val="right" w:leader="dot" w:pos="9062"/>
        </w:tabs>
        <w:ind w:left="440"/>
      </w:pPr>
      <w:hyperlink w:anchor="_Toc2911" w:history="1">
        <w:r>
          <w:rPr>
            <w:rFonts w:ascii="IRNazanin" w:hAnsi="IRNazanin" w:eastAsia="IRNazanin" w:cs="IRNazanin"/>
            <w:color w:val="111111"/>
            <w:sz w:val="22"/>
            <w:szCs w:val="22"/>
            <w:b w:val="0"/>
            <w:bCs w:val="0"/>
            <w:i w:val="0"/>
            <w:iCs w:val="0"/>
          </w:rPr>
          <w:t>2259- دیوان روحانی تبریزی أو شعره‏</w:t>
        </w:r>
        <w:r>
          <w:tab/>
        </w:r>
        <w:r>
          <w:fldChar w:fldCharType="begin"/>
        </w:r>
        <w:r>
          <w:instrText xml:space="preserve">PAGEREF 2911 \h</w:instrText>
        </w:r>
        <w:r>
          <w:fldChar w:fldCharType="end"/>
        </w:r>
      </w:hyperlink>
    </w:p>
    <w:p>
      <w:pPr>
        <w:tabs>
          <w:tab w:val="right" w:leader="dot" w:pos="9062"/>
        </w:tabs>
        <w:ind w:left="440"/>
      </w:pPr>
      <w:hyperlink w:anchor="_Toc2912" w:history="1">
        <w:r>
          <w:rPr>
            <w:rFonts w:ascii="IRNazanin" w:hAnsi="IRNazanin" w:eastAsia="IRNazanin" w:cs="IRNazanin"/>
            <w:color w:val="111111"/>
            <w:sz w:val="22"/>
            <w:szCs w:val="22"/>
            <w:b w:val="0"/>
            <w:bCs w:val="0"/>
            <w:i w:val="0"/>
            <w:iCs w:val="0"/>
          </w:rPr>
          <w:t>2260- دیوان روحانی سمرقندی أو شعره‏</w:t>
        </w:r>
        <w:r>
          <w:tab/>
        </w:r>
        <w:r>
          <w:fldChar w:fldCharType="begin"/>
        </w:r>
        <w:r>
          <w:instrText xml:space="preserve">PAGEREF 2912 \h</w:instrText>
        </w:r>
        <w:r>
          <w:fldChar w:fldCharType="end"/>
        </w:r>
      </w:hyperlink>
    </w:p>
    <w:p>
      <w:pPr>
        <w:tabs>
          <w:tab w:val="right" w:leader="dot" w:pos="9062"/>
        </w:tabs>
        <w:ind w:left="440"/>
      </w:pPr>
      <w:hyperlink w:anchor="_Toc2913" w:history="1">
        <w:r>
          <w:rPr>
            <w:rFonts w:ascii="IRNazanin" w:hAnsi="IRNazanin" w:eastAsia="IRNazanin" w:cs="IRNazanin"/>
            <w:color w:val="111111"/>
            <w:sz w:val="22"/>
            <w:szCs w:val="22"/>
            <w:b w:val="0"/>
            <w:bCs w:val="0"/>
            <w:i w:val="0"/>
            <w:iCs w:val="0"/>
          </w:rPr>
          <w:t>2261- دیوان روحانی شیرازی‏</w:t>
        </w:r>
        <w:r>
          <w:tab/>
        </w:r>
        <w:r>
          <w:fldChar w:fldCharType="begin"/>
        </w:r>
        <w:r>
          <w:instrText xml:space="preserve">PAGEREF 2913 \h</w:instrText>
        </w:r>
        <w:r>
          <w:fldChar w:fldCharType="end"/>
        </w:r>
      </w:hyperlink>
    </w:p>
    <w:p>
      <w:pPr>
        <w:tabs>
          <w:tab w:val="right" w:leader="dot" w:pos="9062"/>
        </w:tabs>
        <w:ind w:left="440"/>
      </w:pPr>
      <w:hyperlink w:anchor="_Toc2914" w:history="1">
        <w:r>
          <w:rPr>
            <w:rFonts w:ascii="IRNazanin" w:hAnsi="IRNazanin" w:eastAsia="IRNazanin" w:cs="IRNazanin"/>
            <w:color w:val="111111"/>
            <w:sz w:val="22"/>
            <w:szCs w:val="22"/>
            <w:b w:val="0"/>
            <w:bCs w:val="0"/>
            <w:i w:val="0"/>
            <w:iCs w:val="0"/>
          </w:rPr>
          <w:t>2262- دیوان روح الأمین‏</w:t>
        </w:r>
        <w:r>
          <w:tab/>
        </w:r>
        <w:r>
          <w:fldChar w:fldCharType="begin"/>
        </w:r>
        <w:r>
          <w:instrText xml:space="preserve">PAGEREF 2914 \h</w:instrText>
        </w:r>
        <w:r>
          <w:fldChar w:fldCharType="end"/>
        </w:r>
      </w:hyperlink>
    </w:p>
    <w:p>
      <w:pPr>
        <w:tabs>
          <w:tab w:val="right" w:leader="dot" w:pos="9062"/>
        </w:tabs>
        <w:ind w:left="440"/>
      </w:pPr>
      <w:hyperlink w:anchor="_Toc2915" w:history="1">
        <w:r>
          <w:rPr>
            <w:rFonts w:ascii="IRNazanin" w:hAnsi="IRNazanin" w:eastAsia="IRNazanin" w:cs="IRNazanin"/>
            <w:color w:val="111111"/>
            <w:sz w:val="22"/>
            <w:szCs w:val="22"/>
            <w:b w:val="0"/>
            <w:bCs w:val="0"/>
            <w:i w:val="0"/>
            <w:iCs w:val="0"/>
          </w:rPr>
          <w:t>2263- دیوان روح الأمین البلگرامی‏</w:t>
        </w:r>
        <w:r>
          <w:tab/>
        </w:r>
        <w:r>
          <w:fldChar w:fldCharType="begin"/>
        </w:r>
        <w:r>
          <w:instrText xml:space="preserve">PAGEREF 2915 \h</w:instrText>
        </w:r>
        <w:r>
          <w:fldChar w:fldCharType="end"/>
        </w:r>
      </w:hyperlink>
    </w:p>
    <w:p>
      <w:pPr>
        <w:tabs>
          <w:tab w:val="right" w:leader="dot" w:pos="9062"/>
        </w:tabs>
        <w:ind w:left="440"/>
      </w:pPr>
      <w:hyperlink w:anchor="_Toc2916" w:history="1">
        <w:r>
          <w:rPr>
            <w:rFonts w:ascii="IRNazanin" w:hAnsi="IRNazanin" w:eastAsia="IRNazanin" w:cs="IRNazanin"/>
            <w:color w:val="111111"/>
            <w:sz w:val="22"/>
            <w:szCs w:val="22"/>
            <w:b w:val="0"/>
            <w:bCs w:val="0"/>
            <w:i w:val="0"/>
            <w:iCs w:val="0"/>
          </w:rPr>
          <w:t>2264- دیوان روح عطار شیرازی‏</w:t>
        </w:r>
        <w:r>
          <w:tab/>
        </w:r>
        <w:r>
          <w:fldChar w:fldCharType="begin"/>
        </w:r>
        <w:r>
          <w:instrText xml:space="preserve">PAGEREF 2916 \h</w:instrText>
        </w:r>
        <w:r>
          <w:fldChar w:fldCharType="end"/>
        </w:r>
      </w:hyperlink>
    </w:p>
    <w:p>
      <w:pPr>
        <w:tabs>
          <w:tab w:val="right" w:leader="dot" w:pos="9062"/>
        </w:tabs>
        <w:ind w:left="440"/>
      </w:pPr>
      <w:hyperlink w:anchor="_Toc2917" w:history="1">
        <w:r>
          <w:rPr>
            <w:rFonts w:ascii="IRNazanin" w:hAnsi="IRNazanin" w:eastAsia="IRNazanin" w:cs="IRNazanin"/>
            <w:color w:val="111111"/>
            <w:sz w:val="22"/>
            <w:szCs w:val="22"/>
            <w:b w:val="0"/>
            <w:bCs w:val="0"/>
            <w:i w:val="0"/>
            <w:iCs w:val="0"/>
          </w:rPr>
          <w:t>دیوان قاضی روح الله قزوینی‏</w:t>
        </w:r>
        <w:r>
          <w:tab/>
        </w:r>
        <w:r>
          <w:fldChar w:fldCharType="begin"/>
        </w:r>
        <w:r>
          <w:instrText xml:space="preserve">PAGEREF 2917 \h</w:instrText>
        </w:r>
        <w:r>
          <w:fldChar w:fldCharType="end"/>
        </w:r>
      </w:hyperlink>
    </w:p>
    <w:p>
      <w:pPr>
        <w:tabs>
          <w:tab w:val="right" w:leader="dot" w:pos="9062"/>
        </w:tabs>
        <w:ind w:left="440"/>
      </w:pPr>
      <w:hyperlink w:anchor="_Toc2918" w:history="1">
        <w:r>
          <w:rPr>
            <w:rFonts w:ascii="IRNazanin" w:hAnsi="IRNazanin" w:eastAsia="IRNazanin" w:cs="IRNazanin"/>
            <w:color w:val="111111"/>
            <w:sz w:val="22"/>
            <w:szCs w:val="22"/>
            <w:b w:val="0"/>
            <w:bCs w:val="0"/>
            <w:i w:val="0"/>
            <w:iCs w:val="0"/>
          </w:rPr>
          <w:t>2265- دیوان روحی أو شعره‏</w:t>
        </w:r>
        <w:r>
          <w:tab/>
        </w:r>
        <w:r>
          <w:fldChar w:fldCharType="begin"/>
        </w:r>
        <w:r>
          <w:instrText xml:space="preserve">PAGEREF 2918 \h</w:instrText>
        </w:r>
        <w:r>
          <w:fldChar w:fldCharType="end"/>
        </w:r>
      </w:hyperlink>
    </w:p>
    <w:p>
      <w:pPr>
        <w:tabs>
          <w:tab w:val="right" w:leader="dot" w:pos="9062"/>
        </w:tabs>
        <w:ind w:left="440"/>
      </w:pPr>
      <w:hyperlink w:anchor="_Toc2919" w:history="1">
        <w:r>
          <w:rPr>
            <w:rFonts w:ascii="IRNazanin" w:hAnsi="IRNazanin" w:eastAsia="IRNazanin" w:cs="IRNazanin"/>
            <w:color w:val="111111"/>
            <w:sz w:val="22"/>
            <w:szCs w:val="22"/>
            <w:b w:val="0"/>
            <w:bCs w:val="0"/>
            <w:i w:val="0"/>
            <w:iCs w:val="0"/>
          </w:rPr>
          <w:t>2266- دیوان روحی بخارائی أو شعره‏</w:t>
        </w:r>
        <w:r>
          <w:tab/>
        </w:r>
        <w:r>
          <w:fldChar w:fldCharType="begin"/>
        </w:r>
        <w:r>
          <w:instrText xml:space="preserve">PAGEREF 2919 \h</w:instrText>
        </w:r>
        <w:r>
          <w:fldChar w:fldCharType="end"/>
        </w:r>
      </w:hyperlink>
    </w:p>
    <w:p>
      <w:pPr>
        <w:tabs>
          <w:tab w:val="right" w:leader="dot" w:pos="9062"/>
        </w:tabs>
        <w:ind w:left="440"/>
      </w:pPr>
      <w:hyperlink w:anchor="_Toc2920" w:history="1">
        <w:r>
          <w:rPr>
            <w:rFonts w:ascii="IRNazanin" w:hAnsi="IRNazanin" w:eastAsia="IRNazanin" w:cs="IRNazanin"/>
            <w:color w:val="111111"/>
            <w:sz w:val="22"/>
            <w:szCs w:val="22"/>
            <w:b w:val="0"/>
            <w:bCs w:val="0"/>
            <w:i w:val="0"/>
            <w:iCs w:val="0"/>
          </w:rPr>
          <w:t>2267- دیوان روحی أنار جانی‏</w:t>
        </w:r>
        <w:r>
          <w:tab/>
        </w:r>
        <w:r>
          <w:fldChar w:fldCharType="begin"/>
        </w:r>
        <w:r>
          <w:instrText xml:space="preserve">PAGEREF 2920 \h</w:instrText>
        </w:r>
        <w:r>
          <w:fldChar w:fldCharType="end"/>
        </w:r>
      </w:hyperlink>
    </w:p>
    <w:p>
      <w:pPr>
        <w:tabs>
          <w:tab w:val="right" w:leader="dot" w:pos="9062"/>
        </w:tabs>
        <w:ind w:left="440"/>
      </w:pPr>
      <w:hyperlink w:anchor="_Toc2921" w:history="1">
        <w:r>
          <w:rPr>
            <w:rFonts w:ascii="IRNazanin" w:hAnsi="IRNazanin" w:eastAsia="IRNazanin" w:cs="IRNazanin"/>
            <w:color w:val="111111"/>
            <w:sz w:val="22"/>
            <w:szCs w:val="22"/>
            <w:b w:val="0"/>
            <w:bCs w:val="0"/>
            <w:i w:val="0"/>
            <w:iCs w:val="0"/>
          </w:rPr>
          <w:t>2268- دیوان روحی بغدادی‏</w:t>
        </w:r>
        <w:r>
          <w:tab/>
        </w:r>
        <w:r>
          <w:fldChar w:fldCharType="begin"/>
        </w:r>
        <w:r>
          <w:instrText xml:space="preserve">PAGEREF 2921 \h</w:instrText>
        </w:r>
        <w:r>
          <w:fldChar w:fldCharType="end"/>
        </w:r>
      </w:hyperlink>
    </w:p>
    <w:p>
      <w:pPr>
        <w:tabs>
          <w:tab w:val="right" w:leader="dot" w:pos="9062"/>
        </w:tabs>
        <w:ind w:left="440"/>
      </w:pPr>
      <w:hyperlink w:anchor="_Toc2922" w:history="1">
        <w:r>
          <w:rPr>
            <w:rFonts w:ascii="IRNazanin" w:hAnsi="IRNazanin" w:eastAsia="IRNazanin" w:cs="IRNazanin"/>
            <w:color w:val="111111"/>
            <w:sz w:val="22"/>
            <w:szCs w:val="22"/>
            <w:b w:val="0"/>
            <w:bCs w:val="0"/>
            <w:i w:val="0"/>
            <w:iCs w:val="0"/>
          </w:rPr>
          <w:t>2269- دیوان روحی تبریزی أو شعره‏</w:t>
        </w:r>
        <w:r>
          <w:tab/>
        </w:r>
        <w:r>
          <w:fldChar w:fldCharType="begin"/>
        </w:r>
        <w:r>
          <w:instrText xml:space="preserve">PAGEREF 2922 \h</w:instrText>
        </w:r>
        <w:r>
          <w:fldChar w:fldCharType="end"/>
        </w:r>
      </w:hyperlink>
    </w:p>
    <w:p>
      <w:pPr>
        <w:tabs>
          <w:tab w:val="right" w:leader="dot" w:pos="9062"/>
        </w:tabs>
        <w:ind w:left="440"/>
      </w:pPr>
      <w:hyperlink w:anchor="_Toc2923" w:history="1">
        <w:r>
          <w:rPr>
            <w:rFonts w:ascii="IRNazanin" w:hAnsi="IRNazanin" w:eastAsia="IRNazanin" w:cs="IRNazanin"/>
            <w:color w:val="111111"/>
            <w:sz w:val="22"/>
            <w:szCs w:val="22"/>
            <w:b w:val="0"/>
            <w:bCs w:val="0"/>
            <w:i w:val="0"/>
            <w:iCs w:val="0"/>
          </w:rPr>
          <w:t>2270- دیوان روحی خراسانی‏</w:t>
        </w:r>
        <w:r>
          <w:tab/>
        </w:r>
        <w:r>
          <w:fldChar w:fldCharType="begin"/>
        </w:r>
        <w:r>
          <w:instrText xml:space="preserve">PAGEREF 2923 \h</w:instrText>
        </w:r>
        <w:r>
          <w:fldChar w:fldCharType="end"/>
        </w:r>
      </w:hyperlink>
    </w:p>
    <w:p>
      <w:pPr>
        <w:tabs>
          <w:tab w:val="right" w:leader="dot" w:pos="9062"/>
        </w:tabs>
        <w:ind w:left="440"/>
      </w:pPr>
      <w:hyperlink w:anchor="_Toc2924" w:history="1">
        <w:r>
          <w:rPr>
            <w:rFonts w:ascii="IRNazanin" w:hAnsi="IRNazanin" w:eastAsia="IRNazanin" w:cs="IRNazanin"/>
            <w:color w:val="111111"/>
            <w:sz w:val="22"/>
            <w:szCs w:val="22"/>
            <w:b w:val="0"/>
            <w:bCs w:val="0"/>
            <w:i w:val="0"/>
            <w:iCs w:val="0"/>
          </w:rPr>
          <w:t>2271- دیوان روحی رازی‏</w:t>
        </w:r>
        <w:r>
          <w:tab/>
        </w:r>
        <w:r>
          <w:fldChar w:fldCharType="begin"/>
        </w:r>
        <w:r>
          <w:instrText xml:space="preserve">PAGEREF 2924 \h</w:instrText>
        </w:r>
        <w:r>
          <w:fldChar w:fldCharType="end"/>
        </w:r>
      </w:hyperlink>
    </w:p>
    <w:p>
      <w:pPr>
        <w:tabs>
          <w:tab w:val="right" w:leader="dot" w:pos="9062"/>
        </w:tabs>
        <w:ind w:left="440"/>
      </w:pPr>
      <w:hyperlink w:anchor="_Toc2925" w:history="1">
        <w:r>
          <w:rPr>
            <w:rFonts w:ascii="IRNazanin" w:hAnsi="IRNazanin" w:eastAsia="IRNazanin" w:cs="IRNazanin"/>
            <w:color w:val="111111"/>
            <w:sz w:val="22"/>
            <w:szCs w:val="22"/>
            <w:b w:val="0"/>
            <w:bCs w:val="0"/>
            <w:i w:val="0"/>
            <w:iCs w:val="0"/>
          </w:rPr>
          <w:t>2272- دیوان روحی رنبیری‏</w:t>
        </w:r>
        <w:r>
          <w:tab/>
        </w:r>
        <w:r>
          <w:fldChar w:fldCharType="begin"/>
        </w:r>
        <w:r>
          <w:instrText xml:space="preserve">PAGEREF 2925 \h</w:instrText>
        </w:r>
        <w:r>
          <w:fldChar w:fldCharType="end"/>
        </w:r>
      </w:hyperlink>
    </w:p>
    <w:p>
      <w:pPr>
        <w:tabs>
          <w:tab w:val="right" w:leader="dot" w:pos="9062"/>
        </w:tabs>
        <w:ind w:left="440"/>
      </w:pPr>
      <w:hyperlink w:anchor="_Toc2926" w:history="1">
        <w:r>
          <w:rPr>
            <w:rFonts w:ascii="IRNazanin" w:hAnsi="IRNazanin" w:eastAsia="IRNazanin" w:cs="IRNazanin"/>
            <w:color w:val="111111"/>
            <w:sz w:val="22"/>
            <w:szCs w:val="22"/>
            <w:b w:val="0"/>
            <w:bCs w:val="0"/>
            <w:i w:val="0"/>
            <w:iCs w:val="0"/>
          </w:rPr>
          <w:t>2273- دیوان روحی ساوجی أو شعره‏</w:t>
        </w:r>
        <w:r>
          <w:tab/>
        </w:r>
        <w:r>
          <w:fldChar w:fldCharType="begin"/>
        </w:r>
        <w:r>
          <w:instrText xml:space="preserve">PAGEREF 2926 \h</w:instrText>
        </w:r>
        <w:r>
          <w:fldChar w:fldCharType="end"/>
        </w:r>
      </w:hyperlink>
    </w:p>
    <w:p>
      <w:pPr>
        <w:tabs>
          <w:tab w:val="right" w:leader="dot" w:pos="9062"/>
        </w:tabs>
        <w:ind w:left="440"/>
      </w:pPr>
      <w:hyperlink w:anchor="_Toc2927" w:history="1">
        <w:r>
          <w:rPr>
            <w:rFonts w:ascii="IRNazanin" w:hAnsi="IRNazanin" w:eastAsia="IRNazanin" w:cs="IRNazanin"/>
            <w:color w:val="111111"/>
            <w:sz w:val="22"/>
            <w:szCs w:val="22"/>
            <w:b w:val="0"/>
            <w:bCs w:val="0"/>
            <w:i w:val="0"/>
            <w:iCs w:val="0"/>
          </w:rPr>
          <w:t>2274- دیوان روحی سمرقندی أو شعره‏</w:t>
        </w:r>
        <w:r>
          <w:tab/>
        </w:r>
        <w:r>
          <w:fldChar w:fldCharType="begin"/>
        </w:r>
        <w:r>
          <w:instrText xml:space="preserve">PAGEREF 2927 \h</w:instrText>
        </w:r>
        <w:r>
          <w:fldChar w:fldCharType="end"/>
        </w:r>
      </w:hyperlink>
    </w:p>
    <w:p>
      <w:pPr>
        <w:tabs>
          <w:tab w:val="right" w:leader="dot" w:pos="9062"/>
        </w:tabs>
        <w:ind w:left="440"/>
      </w:pPr>
      <w:hyperlink w:anchor="_Toc2928" w:history="1">
        <w:r>
          <w:rPr>
            <w:rFonts w:ascii="IRNazanin" w:hAnsi="IRNazanin" w:eastAsia="IRNazanin" w:cs="IRNazanin"/>
            <w:color w:val="111111"/>
            <w:sz w:val="22"/>
            <w:szCs w:val="22"/>
            <w:b w:val="0"/>
            <w:bCs w:val="0"/>
            <w:i w:val="0"/>
            <w:iCs w:val="0"/>
          </w:rPr>
          <w:t>دیوان روحی سمرقندی‏</w:t>
        </w:r>
        <w:r>
          <w:tab/>
        </w:r>
        <w:r>
          <w:fldChar w:fldCharType="begin"/>
        </w:r>
        <w:r>
          <w:instrText xml:space="preserve">PAGEREF 2928 \h</w:instrText>
        </w:r>
        <w:r>
          <w:fldChar w:fldCharType="end"/>
        </w:r>
      </w:hyperlink>
    </w:p>
    <w:p>
      <w:pPr>
        <w:tabs>
          <w:tab w:val="right" w:leader="dot" w:pos="9062"/>
        </w:tabs>
        <w:ind w:left="440"/>
      </w:pPr>
      <w:hyperlink w:anchor="_Toc2929" w:history="1">
        <w:r>
          <w:rPr>
            <w:rFonts w:ascii="IRNazanin" w:hAnsi="IRNazanin" w:eastAsia="IRNazanin" w:cs="IRNazanin"/>
            <w:color w:val="111111"/>
            <w:sz w:val="22"/>
            <w:szCs w:val="22"/>
            <w:b w:val="0"/>
            <w:bCs w:val="0"/>
            <w:i w:val="0"/>
            <w:iCs w:val="0"/>
          </w:rPr>
          <w:t>2275- دیوان روحی شارستانی‏</w:t>
        </w:r>
        <w:r>
          <w:tab/>
        </w:r>
        <w:r>
          <w:fldChar w:fldCharType="begin"/>
        </w:r>
        <w:r>
          <w:instrText xml:space="preserve">PAGEREF 2929 \h</w:instrText>
        </w:r>
        <w:r>
          <w:fldChar w:fldCharType="end"/>
        </w:r>
      </w:hyperlink>
    </w:p>
    <w:p>
      <w:pPr>
        <w:tabs>
          <w:tab w:val="right" w:leader="dot" w:pos="9062"/>
        </w:tabs>
        <w:ind w:left="440"/>
      </w:pPr>
      <w:hyperlink w:anchor="_Toc2930" w:history="1">
        <w:r>
          <w:rPr>
            <w:rFonts w:ascii="IRNazanin" w:hAnsi="IRNazanin" w:eastAsia="IRNazanin" w:cs="IRNazanin"/>
            <w:color w:val="111111"/>
            <w:sz w:val="22"/>
            <w:szCs w:val="22"/>
            <w:b w:val="0"/>
            <w:bCs w:val="0"/>
            <w:i w:val="0"/>
            <w:iCs w:val="0"/>
          </w:rPr>
          <w:t>2276- دیوان روحی کرمانی أو شعره‏</w:t>
        </w:r>
        <w:r>
          <w:tab/>
        </w:r>
        <w:r>
          <w:fldChar w:fldCharType="begin"/>
        </w:r>
        <w:r>
          <w:instrText xml:space="preserve">PAGEREF 2930 \h</w:instrText>
        </w:r>
        <w:r>
          <w:fldChar w:fldCharType="end"/>
        </w:r>
      </w:hyperlink>
    </w:p>
    <w:p>
      <w:pPr>
        <w:tabs>
          <w:tab w:val="right" w:leader="dot" w:pos="9062"/>
        </w:tabs>
        <w:ind w:left="440"/>
      </w:pPr>
      <w:hyperlink w:anchor="_Toc2931" w:history="1">
        <w:r>
          <w:rPr>
            <w:rFonts w:ascii="IRNazanin" w:hAnsi="IRNazanin" w:eastAsia="IRNazanin" w:cs="IRNazanin"/>
            <w:color w:val="111111"/>
            <w:sz w:val="22"/>
            <w:szCs w:val="22"/>
            <w:b w:val="0"/>
            <w:bCs w:val="0"/>
            <w:i w:val="0"/>
            <w:iCs w:val="0"/>
          </w:rPr>
          <w:t>2277- دیوان روحی همدانی أو شعره‏</w:t>
        </w:r>
        <w:r>
          <w:tab/>
        </w:r>
        <w:r>
          <w:fldChar w:fldCharType="begin"/>
        </w:r>
        <w:r>
          <w:instrText xml:space="preserve">PAGEREF 2931 \h</w:instrText>
        </w:r>
        <w:r>
          <w:fldChar w:fldCharType="end"/>
        </w:r>
      </w:hyperlink>
    </w:p>
    <w:p>
      <w:pPr>
        <w:tabs>
          <w:tab w:val="right" w:leader="dot" w:pos="9062"/>
        </w:tabs>
        <w:ind w:left="440"/>
      </w:pPr>
      <w:hyperlink w:anchor="_Toc2932" w:history="1">
        <w:r>
          <w:rPr>
            <w:rFonts w:ascii="IRNazanin" w:hAnsi="IRNazanin" w:eastAsia="IRNazanin" w:cs="IRNazanin"/>
            <w:color w:val="111111"/>
            <w:sz w:val="22"/>
            <w:szCs w:val="22"/>
            <w:b w:val="0"/>
            <w:bCs w:val="0"/>
            <w:i w:val="0"/>
            <w:iCs w:val="0"/>
          </w:rPr>
          <w:t>2278- دیوان رودکی بخاری‏</w:t>
        </w:r>
        <w:r>
          <w:tab/>
        </w:r>
        <w:r>
          <w:fldChar w:fldCharType="begin"/>
        </w:r>
        <w:r>
          <w:instrText xml:space="preserve">PAGEREF 2932 \h</w:instrText>
        </w:r>
        <w:r>
          <w:fldChar w:fldCharType="end"/>
        </w:r>
      </w:hyperlink>
    </w:p>
    <w:p>
      <w:pPr>
        <w:tabs>
          <w:tab w:val="right" w:leader="dot" w:pos="9062"/>
        </w:tabs>
        <w:ind w:left="440"/>
      </w:pPr>
      <w:hyperlink w:anchor="_Toc2933" w:history="1">
        <w:r>
          <w:rPr>
            <w:rFonts w:ascii="IRNazanin" w:hAnsi="IRNazanin" w:eastAsia="IRNazanin" w:cs="IRNazanin"/>
            <w:color w:val="111111"/>
            <w:sz w:val="22"/>
            <w:szCs w:val="22"/>
            <w:b w:val="0"/>
            <w:bCs w:val="0"/>
            <w:i w:val="0"/>
            <w:iCs w:val="0"/>
          </w:rPr>
          <w:t>2279- دیوان روزبه أو شعرها</w:t>
        </w:r>
        <w:r>
          <w:tab/>
        </w:r>
        <w:r>
          <w:fldChar w:fldCharType="begin"/>
        </w:r>
        <w:r>
          <w:instrText xml:space="preserve">PAGEREF 2933 \h</w:instrText>
        </w:r>
        <w:r>
          <w:fldChar w:fldCharType="end"/>
        </w:r>
      </w:hyperlink>
    </w:p>
    <w:p>
      <w:pPr>
        <w:tabs>
          <w:tab w:val="right" w:leader="dot" w:pos="9062"/>
        </w:tabs>
        <w:ind w:left="440"/>
      </w:pPr>
      <w:hyperlink w:anchor="_Toc2934" w:history="1">
        <w:r>
          <w:rPr>
            <w:rFonts w:ascii="IRNazanin" w:hAnsi="IRNazanin" w:eastAsia="IRNazanin" w:cs="IRNazanin"/>
            <w:color w:val="111111"/>
            <w:sz w:val="22"/>
            <w:szCs w:val="22"/>
            <w:b w:val="0"/>
            <w:bCs w:val="0"/>
            <w:i w:val="0"/>
            <w:iCs w:val="0"/>
          </w:rPr>
          <w:t>2280- دیوان روزبهان النسوی‏</w:t>
        </w:r>
        <w:r>
          <w:tab/>
        </w:r>
        <w:r>
          <w:fldChar w:fldCharType="begin"/>
        </w:r>
        <w:r>
          <w:instrText xml:space="preserve">PAGEREF 2934 \h</w:instrText>
        </w:r>
        <w:r>
          <w:fldChar w:fldCharType="end"/>
        </w:r>
      </w:hyperlink>
    </w:p>
    <w:p>
      <w:pPr>
        <w:tabs>
          <w:tab w:val="right" w:leader="dot" w:pos="9062"/>
        </w:tabs>
        <w:ind w:left="440"/>
      </w:pPr>
      <w:hyperlink w:anchor="_Toc2935" w:history="1">
        <w:r>
          <w:rPr>
            <w:rFonts w:ascii="IRNazanin" w:hAnsi="IRNazanin" w:eastAsia="IRNazanin" w:cs="IRNazanin"/>
            <w:color w:val="111111"/>
            <w:sz w:val="22"/>
            <w:szCs w:val="22"/>
            <w:b w:val="0"/>
            <w:bCs w:val="0"/>
            <w:i w:val="0"/>
            <w:iCs w:val="0"/>
          </w:rPr>
          <w:t>2281- دیوان روشن أصفهانی‏</w:t>
        </w:r>
        <w:r>
          <w:tab/>
        </w:r>
        <w:r>
          <w:fldChar w:fldCharType="begin"/>
        </w:r>
        <w:r>
          <w:instrText xml:space="preserve">PAGEREF 2935 \h</w:instrText>
        </w:r>
        <w:r>
          <w:fldChar w:fldCharType="end"/>
        </w:r>
      </w:hyperlink>
    </w:p>
    <w:p>
      <w:pPr>
        <w:tabs>
          <w:tab w:val="right" w:leader="dot" w:pos="9062"/>
        </w:tabs>
        <w:ind w:left="440"/>
      </w:pPr>
      <w:hyperlink w:anchor="_Toc2936" w:history="1">
        <w:r>
          <w:rPr>
            <w:rFonts w:ascii="IRNazanin" w:hAnsi="IRNazanin" w:eastAsia="IRNazanin" w:cs="IRNazanin"/>
            <w:color w:val="111111"/>
            <w:sz w:val="22"/>
            <w:szCs w:val="22"/>
            <w:b w:val="0"/>
            <w:bCs w:val="0"/>
            <w:i w:val="0"/>
            <w:iCs w:val="0"/>
          </w:rPr>
          <w:t>2282- دیوان روشن أصفهانی‏</w:t>
        </w:r>
        <w:r>
          <w:tab/>
        </w:r>
        <w:r>
          <w:fldChar w:fldCharType="begin"/>
        </w:r>
        <w:r>
          <w:instrText xml:space="preserve">PAGEREF 2936 \h</w:instrText>
        </w:r>
        <w:r>
          <w:fldChar w:fldCharType="end"/>
        </w:r>
      </w:hyperlink>
    </w:p>
    <w:p>
      <w:pPr>
        <w:tabs>
          <w:tab w:val="right" w:leader="dot" w:pos="9062"/>
        </w:tabs>
        <w:ind w:left="440"/>
      </w:pPr>
      <w:hyperlink w:anchor="_Toc2937" w:history="1">
        <w:r>
          <w:rPr>
            <w:rFonts w:ascii="IRNazanin" w:hAnsi="IRNazanin" w:eastAsia="IRNazanin" w:cs="IRNazanin"/>
            <w:color w:val="111111"/>
            <w:sz w:val="22"/>
            <w:szCs w:val="22"/>
            <w:b w:val="0"/>
            <w:bCs w:val="0"/>
            <w:i w:val="0"/>
            <w:iCs w:val="0"/>
          </w:rPr>
          <w:t>2283- دیوان روشن ضمیر أو شعره‏</w:t>
        </w:r>
        <w:r>
          <w:tab/>
        </w:r>
        <w:r>
          <w:fldChar w:fldCharType="begin"/>
        </w:r>
        <w:r>
          <w:instrText xml:space="preserve">PAGEREF 2937 \h</w:instrText>
        </w:r>
        <w:r>
          <w:fldChar w:fldCharType="end"/>
        </w:r>
      </w:hyperlink>
    </w:p>
    <w:p>
      <w:pPr>
        <w:tabs>
          <w:tab w:val="right" w:leader="dot" w:pos="9062"/>
        </w:tabs>
        <w:ind w:left="440"/>
      </w:pPr>
      <w:hyperlink w:anchor="_Toc2938" w:history="1">
        <w:r>
          <w:rPr>
            <w:rFonts w:ascii="IRNazanin" w:hAnsi="IRNazanin" w:eastAsia="IRNazanin" w:cs="IRNazanin"/>
            <w:color w:val="111111"/>
            <w:sz w:val="22"/>
            <w:szCs w:val="22"/>
            <w:b w:val="0"/>
            <w:bCs w:val="0"/>
            <w:i w:val="0"/>
            <w:iCs w:val="0"/>
          </w:rPr>
          <w:t>2284- دیوان روشندل شهر کردی‏</w:t>
        </w:r>
        <w:r>
          <w:tab/>
        </w:r>
        <w:r>
          <w:fldChar w:fldCharType="begin"/>
        </w:r>
        <w:r>
          <w:instrText xml:space="preserve">PAGEREF 2938 \h</w:instrText>
        </w:r>
        <w:r>
          <w:fldChar w:fldCharType="end"/>
        </w:r>
      </w:hyperlink>
    </w:p>
    <w:p>
      <w:pPr>
        <w:tabs>
          <w:tab w:val="right" w:leader="dot" w:pos="9062"/>
        </w:tabs>
        <w:ind w:left="440"/>
      </w:pPr>
      <w:hyperlink w:anchor="_Toc2939" w:history="1">
        <w:r>
          <w:rPr>
            <w:rFonts w:ascii="IRNazanin" w:hAnsi="IRNazanin" w:eastAsia="IRNazanin" w:cs="IRNazanin"/>
            <w:color w:val="111111"/>
            <w:sz w:val="22"/>
            <w:szCs w:val="22"/>
            <w:b w:val="0"/>
            <w:bCs w:val="0"/>
            <w:i w:val="0"/>
            <w:iCs w:val="0"/>
          </w:rPr>
          <w:t>2285- دیوان روشنی بغدادی‏</w:t>
        </w:r>
        <w:r>
          <w:tab/>
        </w:r>
        <w:r>
          <w:fldChar w:fldCharType="begin"/>
        </w:r>
        <w:r>
          <w:instrText xml:space="preserve">PAGEREF 2939 \h</w:instrText>
        </w:r>
        <w:r>
          <w:fldChar w:fldCharType="end"/>
        </w:r>
      </w:hyperlink>
    </w:p>
    <w:p>
      <w:pPr>
        <w:tabs>
          <w:tab w:val="right" w:leader="dot" w:pos="9062"/>
        </w:tabs>
        <w:ind w:left="440"/>
      </w:pPr>
      <w:hyperlink w:anchor="_Toc2940" w:history="1">
        <w:r>
          <w:rPr>
            <w:rFonts w:ascii="IRNazanin" w:hAnsi="IRNazanin" w:eastAsia="IRNazanin" w:cs="IRNazanin"/>
            <w:color w:val="111111"/>
            <w:sz w:val="22"/>
            <w:szCs w:val="22"/>
            <w:b w:val="0"/>
            <w:bCs w:val="0"/>
            <w:i w:val="0"/>
            <w:iCs w:val="0"/>
          </w:rPr>
          <w:t>دیوان روشنی تبریزی‏</w:t>
        </w:r>
        <w:r>
          <w:tab/>
        </w:r>
        <w:r>
          <w:fldChar w:fldCharType="begin"/>
        </w:r>
        <w:r>
          <w:instrText xml:space="preserve">PAGEREF 2940 \h</w:instrText>
        </w:r>
        <w:r>
          <w:fldChar w:fldCharType="end"/>
        </w:r>
      </w:hyperlink>
    </w:p>
    <w:p>
      <w:pPr>
        <w:tabs>
          <w:tab w:val="right" w:leader="dot" w:pos="9062"/>
        </w:tabs>
        <w:ind w:left="440"/>
      </w:pPr>
      <w:hyperlink w:anchor="_Toc2941" w:history="1">
        <w:r>
          <w:rPr>
            <w:rFonts w:ascii="IRNazanin" w:hAnsi="IRNazanin" w:eastAsia="IRNazanin" w:cs="IRNazanin"/>
            <w:color w:val="111111"/>
            <w:sz w:val="22"/>
            <w:szCs w:val="22"/>
            <w:b w:val="0"/>
            <w:bCs w:val="0"/>
            <w:i w:val="0"/>
            <w:iCs w:val="0"/>
          </w:rPr>
          <w:t>2286- دیوان روشنی همدانی أو شعره‏</w:t>
        </w:r>
        <w:r>
          <w:tab/>
        </w:r>
        <w:r>
          <w:fldChar w:fldCharType="begin"/>
        </w:r>
        <w:r>
          <w:instrText xml:space="preserve">PAGEREF 2941 \h</w:instrText>
        </w:r>
        <w:r>
          <w:fldChar w:fldCharType="end"/>
        </w:r>
      </w:hyperlink>
    </w:p>
    <w:p>
      <w:pPr>
        <w:tabs>
          <w:tab w:val="right" w:leader="dot" w:pos="9062"/>
        </w:tabs>
        <w:ind w:left="440"/>
      </w:pPr>
      <w:hyperlink w:anchor="_Toc2942" w:history="1">
        <w:r>
          <w:rPr>
            <w:rFonts w:ascii="IRNazanin" w:hAnsi="IRNazanin" w:eastAsia="IRNazanin" w:cs="IRNazanin"/>
            <w:color w:val="111111"/>
            <w:sz w:val="22"/>
            <w:szCs w:val="22"/>
            <w:b w:val="0"/>
            <w:bCs w:val="0"/>
            <w:i w:val="0"/>
            <w:iCs w:val="0"/>
          </w:rPr>
          <w:t>2287- دیوان روغنی أسترآبادی أو شعره‏</w:t>
        </w:r>
        <w:r>
          <w:tab/>
        </w:r>
        <w:r>
          <w:fldChar w:fldCharType="begin"/>
        </w:r>
        <w:r>
          <w:instrText xml:space="preserve">PAGEREF 2942 \h</w:instrText>
        </w:r>
        <w:r>
          <w:fldChar w:fldCharType="end"/>
        </w:r>
      </w:hyperlink>
    </w:p>
    <w:p>
      <w:pPr>
        <w:tabs>
          <w:tab w:val="right" w:leader="dot" w:pos="9062"/>
        </w:tabs>
        <w:ind w:left="440"/>
      </w:pPr>
      <w:hyperlink w:anchor="_Toc2943" w:history="1">
        <w:r>
          <w:rPr>
            <w:rFonts w:ascii="IRNazanin" w:hAnsi="IRNazanin" w:eastAsia="IRNazanin" w:cs="IRNazanin"/>
            <w:color w:val="111111"/>
            <w:sz w:val="22"/>
            <w:szCs w:val="22"/>
            <w:b w:val="0"/>
            <w:bCs w:val="0"/>
            <w:i w:val="0"/>
            <w:iCs w:val="0"/>
          </w:rPr>
          <w:t>دیوان رومی‏</w:t>
        </w:r>
        <w:r>
          <w:tab/>
        </w:r>
        <w:r>
          <w:fldChar w:fldCharType="begin"/>
        </w:r>
        <w:r>
          <w:instrText xml:space="preserve">PAGEREF 2943 \h</w:instrText>
        </w:r>
        <w:r>
          <w:fldChar w:fldCharType="end"/>
        </w:r>
      </w:hyperlink>
    </w:p>
    <w:p>
      <w:pPr>
        <w:tabs>
          <w:tab w:val="right" w:leader="dot" w:pos="9062"/>
        </w:tabs>
        <w:ind w:left="440"/>
      </w:pPr>
      <w:hyperlink w:anchor="_Toc2944" w:history="1">
        <w:r>
          <w:rPr>
            <w:rFonts w:ascii="IRNazanin" w:hAnsi="IRNazanin" w:eastAsia="IRNazanin" w:cs="IRNazanin"/>
            <w:color w:val="111111"/>
            <w:sz w:val="22"/>
            <w:szCs w:val="22"/>
            <w:b w:val="0"/>
            <w:bCs w:val="0"/>
            <w:i w:val="0"/>
            <w:iCs w:val="0"/>
          </w:rPr>
          <w:t>2288- دیوان رومی آذربایجانی أو شعره‏</w:t>
        </w:r>
        <w:r>
          <w:tab/>
        </w:r>
        <w:r>
          <w:fldChar w:fldCharType="begin"/>
        </w:r>
        <w:r>
          <w:instrText xml:space="preserve">PAGEREF 2944 \h</w:instrText>
        </w:r>
        <w:r>
          <w:fldChar w:fldCharType="end"/>
        </w:r>
      </w:hyperlink>
    </w:p>
    <w:p>
      <w:pPr>
        <w:tabs>
          <w:tab w:val="right" w:leader="dot" w:pos="9062"/>
        </w:tabs>
        <w:ind w:left="440"/>
      </w:pPr>
      <w:hyperlink w:anchor="_Toc2945" w:history="1">
        <w:r>
          <w:rPr>
            <w:rFonts w:ascii="IRNazanin" w:hAnsi="IRNazanin" w:eastAsia="IRNazanin" w:cs="IRNazanin"/>
            <w:color w:val="111111"/>
            <w:sz w:val="22"/>
            <w:szCs w:val="22"/>
            <w:b w:val="0"/>
            <w:bCs w:val="0"/>
            <w:i w:val="0"/>
            <w:iCs w:val="0"/>
          </w:rPr>
          <w:t>دیوان الرومی‏</w:t>
        </w:r>
        <w:r>
          <w:tab/>
        </w:r>
        <w:r>
          <w:fldChar w:fldCharType="begin"/>
        </w:r>
        <w:r>
          <w:instrText xml:space="preserve">PAGEREF 2945 \h</w:instrText>
        </w:r>
        <w:r>
          <w:fldChar w:fldCharType="end"/>
        </w:r>
      </w:hyperlink>
    </w:p>
    <w:p>
      <w:pPr>
        <w:tabs>
          <w:tab w:val="right" w:leader="dot" w:pos="9062"/>
        </w:tabs>
        <w:ind w:left="440"/>
      </w:pPr>
      <w:hyperlink w:anchor="_Toc2946" w:history="1">
        <w:r>
          <w:rPr>
            <w:rFonts w:ascii="IRNazanin" w:hAnsi="IRNazanin" w:eastAsia="IRNazanin" w:cs="IRNazanin"/>
            <w:color w:val="111111"/>
            <w:sz w:val="22"/>
            <w:szCs w:val="22"/>
            <w:b w:val="0"/>
            <w:bCs w:val="0"/>
            <w:i w:val="0"/>
            <w:iCs w:val="0"/>
          </w:rPr>
          <w:t>2289- دیوان رونق برهان‏پوری أو شعره‏</w:t>
        </w:r>
        <w:r>
          <w:tab/>
        </w:r>
        <w:r>
          <w:fldChar w:fldCharType="begin"/>
        </w:r>
        <w:r>
          <w:instrText xml:space="preserve">PAGEREF 2946 \h</w:instrText>
        </w:r>
        <w:r>
          <w:fldChar w:fldCharType="end"/>
        </w:r>
      </w:hyperlink>
    </w:p>
    <w:p>
      <w:pPr>
        <w:tabs>
          <w:tab w:val="right" w:leader="dot" w:pos="9062"/>
        </w:tabs>
        <w:ind w:left="440"/>
      </w:pPr>
      <w:hyperlink w:anchor="_Toc2947" w:history="1">
        <w:r>
          <w:rPr>
            <w:rFonts w:ascii="IRNazanin" w:hAnsi="IRNazanin" w:eastAsia="IRNazanin" w:cs="IRNazanin"/>
            <w:color w:val="111111"/>
            <w:sz w:val="22"/>
            <w:szCs w:val="22"/>
            <w:b w:val="0"/>
            <w:bCs w:val="0"/>
            <w:i w:val="0"/>
            <w:iCs w:val="0"/>
          </w:rPr>
          <w:t>2290- دیوان رونق تبریزی أو شعره‏</w:t>
        </w:r>
        <w:r>
          <w:tab/>
        </w:r>
        <w:r>
          <w:fldChar w:fldCharType="begin"/>
        </w:r>
        <w:r>
          <w:instrText xml:space="preserve">PAGEREF 2947 \h</w:instrText>
        </w:r>
        <w:r>
          <w:fldChar w:fldCharType="end"/>
        </w:r>
      </w:hyperlink>
    </w:p>
    <w:p>
      <w:pPr>
        <w:tabs>
          <w:tab w:val="right" w:leader="dot" w:pos="9062"/>
        </w:tabs>
        <w:ind w:left="440"/>
      </w:pPr>
      <w:hyperlink w:anchor="_Toc2948" w:history="1">
        <w:r>
          <w:rPr>
            <w:rFonts w:ascii="IRNazanin" w:hAnsi="IRNazanin" w:eastAsia="IRNazanin" w:cs="IRNazanin"/>
            <w:color w:val="111111"/>
            <w:sz w:val="22"/>
            <w:szCs w:val="22"/>
            <w:b w:val="0"/>
            <w:bCs w:val="0"/>
            <w:i w:val="0"/>
            <w:iCs w:val="0"/>
          </w:rPr>
          <w:t>2291- دیوان رونق شوشتری‏</w:t>
        </w:r>
        <w:r>
          <w:tab/>
        </w:r>
        <w:r>
          <w:fldChar w:fldCharType="begin"/>
        </w:r>
        <w:r>
          <w:instrText xml:space="preserve">PAGEREF 2948 \h</w:instrText>
        </w:r>
        <w:r>
          <w:fldChar w:fldCharType="end"/>
        </w:r>
      </w:hyperlink>
    </w:p>
    <w:p>
      <w:pPr>
        <w:tabs>
          <w:tab w:val="right" w:leader="dot" w:pos="9062"/>
        </w:tabs>
        <w:ind w:left="440"/>
      </w:pPr>
      <w:hyperlink w:anchor="_Toc2949" w:history="1">
        <w:r>
          <w:rPr>
            <w:rFonts w:ascii="IRNazanin" w:hAnsi="IRNazanin" w:eastAsia="IRNazanin" w:cs="IRNazanin"/>
            <w:color w:val="111111"/>
            <w:sz w:val="22"/>
            <w:szCs w:val="22"/>
            <w:b w:val="0"/>
            <w:bCs w:val="0"/>
            <w:i w:val="0"/>
            <w:iCs w:val="0"/>
          </w:rPr>
          <w:t>2292- دیوان رونق کرمانی‏</w:t>
        </w:r>
        <w:r>
          <w:tab/>
        </w:r>
        <w:r>
          <w:fldChar w:fldCharType="begin"/>
        </w:r>
        <w:r>
          <w:instrText xml:space="preserve">PAGEREF 2949 \h</w:instrText>
        </w:r>
        <w:r>
          <w:fldChar w:fldCharType="end"/>
        </w:r>
      </w:hyperlink>
    </w:p>
    <w:p>
      <w:pPr>
        <w:tabs>
          <w:tab w:val="right" w:leader="dot" w:pos="9062"/>
        </w:tabs>
        <w:ind w:left="440"/>
      </w:pPr>
      <w:hyperlink w:anchor="_Toc2950" w:history="1">
        <w:r>
          <w:rPr>
            <w:rFonts w:ascii="IRNazanin" w:hAnsi="IRNazanin" w:eastAsia="IRNazanin" w:cs="IRNazanin"/>
            <w:color w:val="111111"/>
            <w:sz w:val="22"/>
            <w:szCs w:val="22"/>
            <w:b w:val="0"/>
            <w:bCs w:val="0"/>
            <w:i w:val="0"/>
            <w:iCs w:val="0"/>
          </w:rPr>
          <w:t>2293- دیوان رونق لکهنوی‏</w:t>
        </w:r>
        <w:r>
          <w:tab/>
        </w:r>
        <w:r>
          <w:fldChar w:fldCharType="begin"/>
        </w:r>
        <w:r>
          <w:instrText xml:space="preserve">PAGEREF 2950 \h</w:instrText>
        </w:r>
        <w:r>
          <w:fldChar w:fldCharType="end"/>
        </w:r>
      </w:hyperlink>
    </w:p>
    <w:p>
      <w:pPr>
        <w:tabs>
          <w:tab w:val="right" w:leader="dot" w:pos="9062"/>
        </w:tabs>
        <w:ind w:left="440"/>
      </w:pPr>
      <w:hyperlink w:anchor="_Toc2951" w:history="1">
        <w:r>
          <w:rPr>
            <w:rFonts w:ascii="IRNazanin" w:hAnsi="IRNazanin" w:eastAsia="IRNazanin" w:cs="IRNazanin"/>
            <w:color w:val="111111"/>
            <w:sz w:val="22"/>
            <w:szCs w:val="22"/>
            <w:b w:val="0"/>
            <w:bCs w:val="0"/>
            <w:i w:val="0"/>
            <w:iCs w:val="0"/>
          </w:rPr>
          <w:t>2294- دیوان رونق لکهنوی أو شعره‏</w:t>
        </w:r>
        <w:r>
          <w:tab/>
        </w:r>
        <w:r>
          <w:fldChar w:fldCharType="begin"/>
        </w:r>
        <w:r>
          <w:instrText xml:space="preserve">PAGEREF 2951 \h</w:instrText>
        </w:r>
        <w:r>
          <w:fldChar w:fldCharType="end"/>
        </w:r>
      </w:hyperlink>
    </w:p>
    <w:p>
      <w:pPr>
        <w:tabs>
          <w:tab w:val="right" w:leader="dot" w:pos="9062"/>
        </w:tabs>
        <w:ind w:left="440"/>
      </w:pPr>
      <w:hyperlink w:anchor="_Toc2952" w:history="1">
        <w:r>
          <w:rPr>
            <w:rFonts w:ascii="IRNazanin" w:hAnsi="IRNazanin" w:eastAsia="IRNazanin" w:cs="IRNazanin"/>
            <w:color w:val="111111"/>
            <w:sz w:val="22"/>
            <w:szCs w:val="22"/>
            <w:b w:val="0"/>
            <w:bCs w:val="0"/>
            <w:i w:val="0"/>
            <w:iCs w:val="0"/>
          </w:rPr>
          <w:t>2295- دیوان رونق هندی أو شعره‏</w:t>
        </w:r>
        <w:r>
          <w:tab/>
        </w:r>
        <w:r>
          <w:fldChar w:fldCharType="begin"/>
        </w:r>
        <w:r>
          <w:instrText xml:space="preserve">PAGEREF 2952 \h</w:instrText>
        </w:r>
        <w:r>
          <w:fldChar w:fldCharType="end"/>
        </w:r>
      </w:hyperlink>
    </w:p>
    <w:p>
      <w:pPr>
        <w:tabs>
          <w:tab w:val="right" w:leader="dot" w:pos="9062"/>
        </w:tabs>
        <w:ind w:left="440"/>
      </w:pPr>
      <w:hyperlink w:anchor="_Toc2953" w:history="1">
        <w:r>
          <w:rPr>
            <w:rFonts w:ascii="IRNazanin" w:hAnsi="IRNazanin" w:eastAsia="IRNazanin" w:cs="IRNazanin"/>
            <w:color w:val="111111"/>
            <w:sz w:val="22"/>
            <w:szCs w:val="22"/>
            <w:b w:val="0"/>
            <w:bCs w:val="0"/>
            <w:i w:val="0"/>
            <w:iCs w:val="0"/>
          </w:rPr>
          <w:t>2296- دیوان رونقی بافقی أو شعره‏</w:t>
        </w:r>
        <w:r>
          <w:tab/>
        </w:r>
        <w:r>
          <w:fldChar w:fldCharType="begin"/>
        </w:r>
        <w:r>
          <w:instrText xml:space="preserve">PAGEREF 2953 \h</w:instrText>
        </w:r>
        <w:r>
          <w:fldChar w:fldCharType="end"/>
        </w:r>
      </w:hyperlink>
    </w:p>
    <w:p>
      <w:pPr>
        <w:tabs>
          <w:tab w:val="right" w:leader="dot" w:pos="9062"/>
        </w:tabs>
        <w:ind w:left="440"/>
      </w:pPr>
      <w:hyperlink w:anchor="_Toc2954" w:history="1">
        <w:r>
          <w:rPr>
            <w:rFonts w:ascii="IRNazanin" w:hAnsi="IRNazanin" w:eastAsia="IRNazanin" w:cs="IRNazanin"/>
            <w:color w:val="111111"/>
            <w:sz w:val="22"/>
            <w:szCs w:val="22"/>
            <w:b w:val="0"/>
            <w:bCs w:val="0"/>
            <w:i w:val="0"/>
            <w:iCs w:val="0"/>
          </w:rPr>
          <w:t>2297- دیوان رونقی بخاری أو شعره‏</w:t>
        </w:r>
        <w:r>
          <w:tab/>
        </w:r>
        <w:r>
          <w:fldChar w:fldCharType="begin"/>
        </w:r>
        <w:r>
          <w:instrText xml:space="preserve">PAGEREF 2954 \h</w:instrText>
        </w:r>
        <w:r>
          <w:fldChar w:fldCharType="end"/>
        </w:r>
      </w:hyperlink>
    </w:p>
    <w:p>
      <w:pPr>
        <w:tabs>
          <w:tab w:val="right" w:leader="dot" w:pos="9062"/>
        </w:tabs>
        <w:ind w:left="440"/>
      </w:pPr>
      <w:hyperlink w:anchor="_Toc2955" w:history="1">
        <w:r>
          <w:rPr>
            <w:rFonts w:ascii="IRNazanin" w:hAnsi="IRNazanin" w:eastAsia="IRNazanin" w:cs="IRNazanin"/>
            <w:color w:val="111111"/>
            <w:sz w:val="22"/>
            <w:szCs w:val="22"/>
            <w:b w:val="0"/>
            <w:bCs w:val="0"/>
            <w:i w:val="0"/>
            <w:iCs w:val="0"/>
          </w:rPr>
          <w:t>2298- دیوان ملا رونقی همدانی‏</w:t>
        </w:r>
        <w:r>
          <w:tab/>
        </w:r>
        <w:r>
          <w:fldChar w:fldCharType="begin"/>
        </w:r>
        <w:r>
          <w:instrText xml:space="preserve">PAGEREF 2955 \h</w:instrText>
        </w:r>
        <w:r>
          <w:fldChar w:fldCharType="end"/>
        </w:r>
      </w:hyperlink>
    </w:p>
    <w:p>
      <w:pPr>
        <w:tabs>
          <w:tab w:val="right" w:leader="dot" w:pos="9062"/>
        </w:tabs>
        <w:ind w:left="440"/>
      </w:pPr>
      <w:hyperlink w:anchor="_Toc2956" w:history="1">
        <w:r>
          <w:rPr>
            <w:rFonts w:ascii="IRNazanin" w:hAnsi="IRNazanin" w:eastAsia="IRNazanin" w:cs="IRNazanin"/>
            <w:color w:val="111111"/>
            <w:sz w:val="22"/>
            <w:szCs w:val="22"/>
            <w:b w:val="0"/>
            <w:bCs w:val="0"/>
            <w:i w:val="0"/>
            <w:iCs w:val="0"/>
          </w:rPr>
          <w:t>دیوان رونی‏</w:t>
        </w:r>
        <w:r>
          <w:tab/>
        </w:r>
        <w:r>
          <w:fldChar w:fldCharType="begin"/>
        </w:r>
        <w:r>
          <w:instrText xml:space="preserve">PAGEREF 2956 \h</w:instrText>
        </w:r>
        <w:r>
          <w:fldChar w:fldCharType="end"/>
        </w:r>
      </w:hyperlink>
    </w:p>
    <w:p>
      <w:pPr>
        <w:tabs>
          <w:tab w:val="right" w:leader="dot" w:pos="9062"/>
        </w:tabs>
        <w:ind w:left="440"/>
      </w:pPr>
      <w:hyperlink w:anchor="_Toc2957" w:history="1">
        <w:r>
          <w:rPr>
            <w:rFonts w:ascii="IRNazanin" w:hAnsi="IRNazanin" w:eastAsia="IRNazanin" w:cs="IRNazanin"/>
            <w:color w:val="111111"/>
            <w:sz w:val="22"/>
            <w:szCs w:val="22"/>
            <w:b w:val="0"/>
            <w:bCs w:val="0"/>
            <w:i w:val="0"/>
            <w:iCs w:val="0"/>
          </w:rPr>
          <w:t>2299- دیوان رهائی خوافی‏</w:t>
        </w:r>
        <w:r>
          <w:tab/>
        </w:r>
        <w:r>
          <w:fldChar w:fldCharType="begin"/>
        </w:r>
        <w:r>
          <w:instrText xml:space="preserve">PAGEREF 2957 \h</w:instrText>
        </w:r>
        <w:r>
          <w:fldChar w:fldCharType="end"/>
        </w:r>
      </w:hyperlink>
    </w:p>
    <w:p>
      <w:pPr>
        <w:tabs>
          <w:tab w:val="right" w:leader="dot" w:pos="9062"/>
        </w:tabs>
        <w:ind w:left="440"/>
      </w:pPr>
      <w:hyperlink w:anchor="_Toc2958" w:history="1">
        <w:r>
          <w:rPr>
            <w:rFonts w:ascii="IRNazanin" w:hAnsi="IRNazanin" w:eastAsia="IRNazanin" w:cs="IRNazanin"/>
            <w:color w:val="111111"/>
            <w:sz w:val="22"/>
            <w:szCs w:val="22"/>
            <w:b w:val="0"/>
            <w:bCs w:val="0"/>
            <w:i w:val="0"/>
            <w:iCs w:val="0"/>
          </w:rPr>
          <w:t>2300- دیوان رهائی سبزواری أو شعره‏</w:t>
        </w:r>
        <w:r>
          <w:tab/>
        </w:r>
        <w:r>
          <w:fldChar w:fldCharType="begin"/>
        </w:r>
        <w:r>
          <w:instrText xml:space="preserve">PAGEREF 2958 \h</w:instrText>
        </w:r>
        <w:r>
          <w:fldChar w:fldCharType="end"/>
        </w:r>
      </w:hyperlink>
    </w:p>
    <w:p>
      <w:pPr>
        <w:tabs>
          <w:tab w:val="right" w:leader="dot" w:pos="9062"/>
        </w:tabs>
        <w:ind w:left="440"/>
      </w:pPr>
      <w:hyperlink w:anchor="_Toc2959" w:history="1">
        <w:r>
          <w:rPr>
            <w:rFonts w:ascii="IRNazanin" w:hAnsi="IRNazanin" w:eastAsia="IRNazanin" w:cs="IRNazanin"/>
            <w:color w:val="111111"/>
            <w:sz w:val="22"/>
            <w:szCs w:val="22"/>
            <w:b w:val="0"/>
            <w:bCs w:val="0"/>
            <w:i w:val="0"/>
            <w:iCs w:val="0"/>
          </w:rPr>
          <w:t>2301- دیوان رهائی تورانی أو شعره‏</w:t>
        </w:r>
        <w:r>
          <w:tab/>
        </w:r>
        <w:r>
          <w:fldChar w:fldCharType="begin"/>
        </w:r>
        <w:r>
          <w:instrText xml:space="preserve">PAGEREF 2959 \h</w:instrText>
        </w:r>
        <w:r>
          <w:fldChar w:fldCharType="end"/>
        </w:r>
      </w:hyperlink>
    </w:p>
    <w:p>
      <w:pPr>
        <w:tabs>
          <w:tab w:val="right" w:leader="dot" w:pos="9062"/>
        </w:tabs>
        <w:ind w:left="440"/>
      </w:pPr>
      <w:hyperlink w:anchor="_Toc2960" w:history="1">
        <w:r>
          <w:rPr>
            <w:rFonts w:ascii="IRNazanin" w:hAnsi="IRNazanin" w:eastAsia="IRNazanin" w:cs="IRNazanin"/>
            <w:color w:val="111111"/>
            <w:sz w:val="22"/>
            <w:szCs w:val="22"/>
            <w:b w:val="0"/>
            <w:bCs w:val="0"/>
            <w:i w:val="0"/>
            <w:iCs w:val="0"/>
          </w:rPr>
          <w:t>2302- دیوان رهائی ما وراء النهری أو شعره‏</w:t>
        </w:r>
        <w:r>
          <w:tab/>
        </w:r>
        <w:r>
          <w:fldChar w:fldCharType="begin"/>
        </w:r>
        <w:r>
          <w:instrText xml:space="preserve">PAGEREF 2960 \h</w:instrText>
        </w:r>
        <w:r>
          <w:fldChar w:fldCharType="end"/>
        </w:r>
      </w:hyperlink>
    </w:p>
    <w:p>
      <w:pPr>
        <w:tabs>
          <w:tab w:val="right" w:leader="dot" w:pos="9062"/>
        </w:tabs>
        <w:ind w:left="440"/>
      </w:pPr>
      <w:hyperlink w:anchor="_Toc2961" w:history="1">
        <w:r>
          <w:rPr>
            <w:rFonts w:ascii="IRNazanin" w:hAnsi="IRNazanin" w:eastAsia="IRNazanin" w:cs="IRNazanin"/>
            <w:color w:val="111111"/>
            <w:sz w:val="22"/>
            <w:szCs w:val="22"/>
            <w:b w:val="0"/>
            <w:bCs w:val="0"/>
            <w:i w:val="0"/>
            <w:iCs w:val="0"/>
          </w:rPr>
          <w:t>2303- دیوان رهبان أصفهانی أو شعره‏</w:t>
        </w:r>
        <w:r>
          <w:tab/>
        </w:r>
        <w:r>
          <w:fldChar w:fldCharType="begin"/>
        </w:r>
        <w:r>
          <w:instrText xml:space="preserve">PAGEREF 2961 \h</w:instrText>
        </w:r>
        <w:r>
          <w:fldChar w:fldCharType="end"/>
        </w:r>
      </w:hyperlink>
    </w:p>
    <w:p>
      <w:pPr>
        <w:tabs>
          <w:tab w:val="right" w:leader="dot" w:pos="9062"/>
        </w:tabs>
        <w:ind w:left="440"/>
      </w:pPr>
      <w:hyperlink w:anchor="_Toc2962" w:history="1">
        <w:r>
          <w:rPr>
            <w:rFonts w:ascii="IRNazanin" w:hAnsi="IRNazanin" w:eastAsia="IRNazanin" w:cs="IRNazanin"/>
            <w:color w:val="111111"/>
            <w:sz w:val="22"/>
            <w:szCs w:val="22"/>
            <w:b w:val="0"/>
            <w:bCs w:val="0"/>
            <w:i w:val="0"/>
            <w:iCs w:val="0"/>
          </w:rPr>
          <w:t>دیوان رهبری أصفهانی أو شعره‏</w:t>
        </w:r>
        <w:r>
          <w:tab/>
        </w:r>
        <w:r>
          <w:fldChar w:fldCharType="begin"/>
        </w:r>
        <w:r>
          <w:instrText xml:space="preserve">PAGEREF 2962 \h</w:instrText>
        </w:r>
        <w:r>
          <w:fldChar w:fldCharType="end"/>
        </w:r>
      </w:hyperlink>
    </w:p>
    <w:p>
      <w:pPr>
        <w:tabs>
          <w:tab w:val="right" w:leader="dot" w:pos="9062"/>
        </w:tabs>
        <w:ind w:left="440"/>
      </w:pPr>
      <w:hyperlink w:anchor="_Toc2963" w:history="1">
        <w:r>
          <w:rPr>
            <w:rFonts w:ascii="IRNazanin" w:hAnsi="IRNazanin" w:eastAsia="IRNazanin" w:cs="IRNazanin"/>
            <w:color w:val="111111"/>
            <w:sz w:val="22"/>
            <w:szCs w:val="22"/>
            <w:b w:val="0"/>
            <w:bCs w:val="0"/>
            <w:i w:val="0"/>
            <w:iCs w:val="0"/>
          </w:rPr>
          <w:t>دیوان رهی أصفهانی‏</w:t>
        </w:r>
        <w:r>
          <w:tab/>
        </w:r>
        <w:r>
          <w:fldChar w:fldCharType="begin"/>
        </w:r>
        <w:r>
          <w:instrText xml:space="preserve">PAGEREF 2963 \h</w:instrText>
        </w:r>
        <w:r>
          <w:fldChar w:fldCharType="end"/>
        </w:r>
      </w:hyperlink>
    </w:p>
    <w:p>
      <w:pPr>
        <w:tabs>
          <w:tab w:val="right" w:leader="dot" w:pos="9062"/>
        </w:tabs>
        <w:ind w:left="440"/>
      </w:pPr>
      <w:hyperlink w:anchor="_Toc2964" w:history="1">
        <w:r>
          <w:rPr>
            <w:rFonts w:ascii="IRNazanin" w:hAnsi="IRNazanin" w:eastAsia="IRNazanin" w:cs="IRNazanin"/>
            <w:color w:val="111111"/>
            <w:sz w:val="22"/>
            <w:szCs w:val="22"/>
            <w:b w:val="0"/>
            <w:bCs w:val="0"/>
            <w:i w:val="0"/>
            <w:iCs w:val="0"/>
          </w:rPr>
          <w:t>2304- دیوان رهی أصفهانی أو شعره‏</w:t>
        </w:r>
        <w:r>
          <w:tab/>
        </w:r>
        <w:r>
          <w:fldChar w:fldCharType="begin"/>
        </w:r>
        <w:r>
          <w:instrText xml:space="preserve">PAGEREF 2964 \h</w:instrText>
        </w:r>
        <w:r>
          <w:fldChar w:fldCharType="end"/>
        </w:r>
      </w:hyperlink>
    </w:p>
    <w:p>
      <w:pPr>
        <w:tabs>
          <w:tab w:val="right" w:leader="dot" w:pos="9062"/>
        </w:tabs>
        <w:ind w:left="440"/>
      </w:pPr>
      <w:hyperlink w:anchor="_Toc2965" w:history="1">
        <w:r>
          <w:rPr>
            <w:rFonts w:ascii="IRNazanin" w:hAnsi="IRNazanin" w:eastAsia="IRNazanin" w:cs="IRNazanin"/>
            <w:color w:val="111111"/>
            <w:sz w:val="22"/>
            <w:szCs w:val="22"/>
            <w:b w:val="0"/>
            <w:bCs w:val="0"/>
            <w:i w:val="0"/>
            <w:iCs w:val="0"/>
          </w:rPr>
          <w:t>2305- دیوان رهی أصفهانی أو شعره‏</w:t>
        </w:r>
        <w:r>
          <w:tab/>
        </w:r>
        <w:r>
          <w:fldChar w:fldCharType="begin"/>
        </w:r>
        <w:r>
          <w:instrText xml:space="preserve">PAGEREF 2965 \h</w:instrText>
        </w:r>
        <w:r>
          <w:fldChar w:fldCharType="end"/>
        </w:r>
      </w:hyperlink>
    </w:p>
    <w:p>
      <w:pPr>
        <w:tabs>
          <w:tab w:val="right" w:leader="dot" w:pos="9062"/>
        </w:tabs>
        <w:ind w:left="440"/>
      </w:pPr>
      <w:hyperlink w:anchor="_Toc2966" w:history="1">
        <w:r>
          <w:rPr>
            <w:rFonts w:ascii="IRNazanin" w:hAnsi="IRNazanin" w:eastAsia="IRNazanin" w:cs="IRNazanin"/>
            <w:color w:val="111111"/>
            <w:sz w:val="22"/>
            <w:szCs w:val="22"/>
            <w:b w:val="0"/>
            <w:bCs w:val="0"/>
            <w:i w:val="0"/>
            <w:iCs w:val="0"/>
          </w:rPr>
          <w:t>دیوان رهی ترکمان‏</w:t>
        </w:r>
        <w:r>
          <w:tab/>
        </w:r>
        <w:r>
          <w:fldChar w:fldCharType="begin"/>
        </w:r>
        <w:r>
          <w:instrText xml:space="preserve">PAGEREF 2966 \h</w:instrText>
        </w:r>
        <w:r>
          <w:fldChar w:fldCharType="end"/>
        </w:r>
      </w:hyperlink>
    </w:p>
    <w:p>
      <w:pPr>
        <w:tabs>
          <w:tab w:val="right" w:leader="dot" w:pos="9062"/>
        </w:tabs>
        <w:ind w:left="440"/>
      </w:pPr>
      <w:hyperlink w:anchor="_Toc2967" w:history="1">
        <w:r>
          <w:rPr>
            <w:rFonts w:ascii="IRNazanin" w:hAnsi="IRNazanin" w:eastAsia="IRNazanin" w:cs="IRNazanin"/>
            <w:color w:val="111111"/>
            <w:sz w:val="22"/>
            <w:szCs w:val="22"/>
            <w:b w:val="0"/>
            <w:bCs w:val="0"/>
            <w:i w:val="0"/>
            <w:iCs w:val="0"/>
          </w:rPr>
          <w:t>2306- دیوان رهی خراسانی أو شعره‏</w:t>
        </w:r>
        <w:r>
          <w:tab/>
        </w:r>
        <w:r>
          <w:fldChar w:fldCharType="begin"/>
        </w:r>
        <w:r>
          <w:instrText xml:space="preserve">PAGEREF 2967 \h</w:instrText>
        </w:r>
        <w:r>
          <w:fldChar w:fldCharType="end"/>
        </w:r>
      </w:hyperlink>
    </w:p>
    <w:p>
      <w:pPr>
        <w:tabs>
          <w:tab w:val="right" w:leader="dot" w:pos="9062"/>
        </w:tabs>
        <w:ind w:left="440"/>
      </w:pPr>
      <w:hyperlink w:anchor="_Toc2968" w:history="1">
        <w:r>
          <w:rPr>
            <w:rFonts w:ascii="IRNazanin" w:hAnsi="IRNazanin" w:eastAsia="IRNazanin" w:cs="IRNazanin"/>
            <w:color w:val="111111"/>
            <w:sz w:val="22"/>
            <w:szCs w:val="22"/>
            <w:b w:val="0"/>
            <w:bCs w:val="0"/>
            <w:i w:val="0"/>
            <w:iCs w:val="0"/>
          </w:rPr>
          <w:t>2307- دیوان رهی شاملو</w:t>
        </w:r>
        <w:r>
          <w:tab/>
        </w:r>
        <w:r>
          <w:fldChar w:fldCharType="begin"/>
        </w:r>
        <w:r>
          <w:instrText xml:space="preserve">PAGEREF 2968 \h</w:instrText>
        </w:r>
        <w:r>
          <w:fldChar w:fldCharType="end"/>
        </w:r>
      </w:hyperlink>
    </w:p>
    <w:p>
      <w:pPr>
        <w:tabs>
          <w:tab w:val="right" w:leader="dot" w:pos="9062"/>
        </w:tabs>
        <w:ind w:left="440"/>
      </w:pPr>
      <w:hyperlink w:anchor="_Toc2969" w:history="1">
        <w:r>
          <w:rPr>
            <w:rFonts w:ascii="IRNazanin" w:hAnsi="IRNazanin" w:eastAsia="IRNazanin" w:cs="IRNazanin"/>
            <w:color w:val="111111"/>
            <w:sz w:val="22"/>
            <w:szCs w:val="22"/>
            <w:b w:val="0"/>
            <w:bCs w:val="0"/>
            <w:i w:val="0"/>
            <w:iCs w:val="0"/>
          </w:rPr>
          <w:t>دیوان رهی شیرازی‏</w:t>
        </w:r>
        <w:r>
          <w:tab/>
        </w:r>
        <w:r>
          <w:fldChar w:fldCharType="begin"/>
        </w:r>
        <w:r>
          <w:instrText xml:space="preserve">PAGEREF 2969 \h</w:instrText>
        </w:r>
        <w:r>
          <w:fldChar w:fldCharType="end"/>
        </w:r>
      </w:hyperlink>
    </w:p>
    <w:p>
      <w:pPr>
        <w:tabs>
          <w:tab w:val="right" w:leader="dot" w:pos="9062"/>
        </w:tabs>
        <w:ind w:left="440"/>
      </w:pPr>
      <w:hyperlink w:anchor="_Toc2970" w:history="1">
        <w:r>
          <w:rPr>
            <w:rFonts w:ascii="IRNazanin" w:hAnsi="IRNazanin" w:eastAsia="IRNazanin" w:cs="IRNazanin"/>
            <w:color w:val="111111"/>
            <w:sz w:val="22"/>
            <w:szCs w:val="22"/>
            <w:b w:val="0"/>
            <w:bCs w:val="0"/>
            <w:i w:val="0"/>
            <w:iCs w:val="0"/>
          </w:rPr>
          <w:t>2308- دیوان رهی قاضی أو شعره‏</w:t>
        </w:r>
        <w:r>
          <w:tab/>
        </w:r>
        <w:r>
          <w:fldChar w:fldCharType="begin"/>
        </w:r>
        <w:r>
          <w:instrText xml:space="preserve">PAGEREF 2970 \h</w:instrText>
        </w:r>
        <w:r>
          <w:fldChar w:fldCharType="end"/>
        </w:r>
      </w:hyperlink>
    </w:p>
    <w:p>
      <w:pPr>
        <w:tabs>
          <w:tab w:val="right" w:leader="dot" w:pos="9062"/>
        </w:tabs>
        <w:ind w:left="440"/>
      </w:pPr>
      <w:hyperlink w:anchor="_Toc2971" w:history="1">
        <w:r>
          <w:rPr>
            <w:rFonts w:ascii="IRNazanin" w:hAnsi="IRNazanin" w:eastAsia="IRNazanin" w:cs="IRNazanin"/>
            <w:color w:val="111111"/>
            <w:sz w:val="22"/>
            <w:szCs w:val="22"/>
            <w:b w:val="0"/>
            <w:bCs w:val="0"/>
            <w:i w:val="0"/>
            <w:iCs w:val="0"/>
          </w:rPr>
          <w:t>2309- دیوان رهی معیری‏</w:t>
        </w:r>
        <w:r>
          <w:tab/>
        </w:r>
        <w:r>
          <w:fldChar w:fldCharType="begin"/>
        </w:r>
        <w:r>
          <w:instrText xml:space="preserve">PAGEREF 2971 \h</w:instrText>
        </w:r>
        <w:r>
          <w:fldChar w:fldCharType="end"/>
        </w:r>
      </w:hyperlink>
    </w:p>
    <w:p>
      <w:pPr>
        <w:tabs>
          <w:tab w:val="right" w:leader="dot" w:pos="9062"/>
        </w:tabs>
        <w:ind w:left="440"/>
      </w:pPr>
      <w:hyperlink w:anchor="_Toc2972" w:history="1">
        <w:r>
          <w:rPr>
            <w:rFonts w:ascii="IRNazanin" w:hAnsi="IRNazanin" w:eastAsia="IRNazanin" w:cs="IRNazanin"/>
            <w:color w:val="111111"/>
            <w:sz w:val="22"/>
            <w:szCs w:val="22"/>
            <w:b w:val="0"/>
            <w:bCs w:val="0"/>
            <w:i w:val="0"/>
            <w:iCs w:val="0"/>
          </w:rPr>
          <w:t>2310- دیوان رهین لکهنوی‏</w:t>
        </w:r>
        <w:r>
          <w:tab/>
        </w:r>
        <w:r>
          <w:fldChar w:fldCharType="begin"/>
        </w:r>
        <w:r>
          <w:instrText xml:space="preserve">PAGEREF 2972 \h</w:instrText>
        </w:r>
        <w:r>
          <w:fldChar w:fldCharType="end"/>
        </w:r>
      </w:hyperlink>
    </w:p>
    <w:p>
      <w:pPr>
        <w:tabs>
          <w:tab w:val="right" w:leader="dot" w:pos="9062"/>
        </w:tabs>
        <w:ind w:left="440"/>
      </w:pPr>
      <w:hyperlink w:anchor="_Toc2973" w:history="1">
        <w:r>
          <w:rPr>
            <w:rFonts w:ascii="IRNazanin" w:hAnsi="IRNazanin" w:eastAsia="IRNazanin" w:cs="IRNazanin"/>
            <w:color w:val="111111"/>
            <w:sz w:val="22"/>
            <w:szCs w:val="22"/>
            <w:b w:val="0"/>
            <w:bCs w:val="0"/>
            <w:i w:val="0"/>
            <w:iCs w:val="0"/>
          </w:rPr>
          <w:t>2311- دیوان ریاض همدانی‏</w:t>
        </w:r>
        <w:r>
          <w:tab/>
        </w:r>
        <w:r>
          <w:fldChar w:fldCharType="begin"/>
        </w:r>
        <w:r>
          <w:instrText xml:space="preserve">PAGEREF 2973 \h</w:instrText>
        </w:r>
        <w:r>
          <w:fldChar w:fldCharType="end"/>
        </w:r>
      </w:hyperlink>
    </w:p>
    <w:p>
      <w:pPr>
        <w:tabs>
          <w:tab w:val="right" w:leader="dot" w:pos="9062"/>
        </w:tabs>
        <w:ind w:left="440"/>
      </w:pPr>
      <w:hyperlink w:anchor="_Toc2974" w:history="1">
        <w:r>
          <w:rPr>
            <w:rFonts w:ascii="IRNazanin" w:hAnsi="IRNazanin" w:eastAsia="IRNazanin" w:cs="IRNazanin"/>
            <w:color w:val="111111"/>
            <w:sz w:val="22"/>
            <w:szCs w:val="22"/>
            <w:b w:val="0"/>
            <w:bCs w:val="0"/>
            <w:i w:val="0"/>
            <w:iCs w:val="0"/>
          </w:rPr>
          <w:t>2312- دیوان ریاضی زاوه‏ای‏</w:t>
        </w:r>
        <w:r>
          <w:tab/>
        </w:r>
        <w:r>
          <w:fldChar w:fldCharType="begin"/>
        </w:r>
        <w:r>
          <w:instrText xml:space="preserve">PAGEREF 2974 \h</w:instrText>
        </w:r>
        <w:r>
          <w:fldChar w:fldCharType="end"/>
        </w:r>
      </w:hyperlink>
    </w:p>
    <w:p>
      <w:pPr>
        <w:tabs>
          <w:tab w:val="right" w:leader="dot" w:pos="9062"/>
        </w:tabs>
        <w:ind w:left="440"/>
      </w:pPr>
      <w:hyperlink w:anchor="_Toc2975" w:history="1">
        <w:r>
          <w:rPr>
            <w:rFonts w:ascii="IRNazanin" w:hAnsi="IRNazanin" w:eastAsia="IRNazanin" w:cs="IRNazanin"/>
            <w:color w:val="111111"/>
            <w:sz w:val="22"/>
            <w:szCs w:val="22"/>
            <w:b w:val="0"/>
            <w:bCs w:val="0"/>
            <w:i w:val="0"/>
            <w:iCs w:val="0"/>
          </w:rPr>
          <w:t>2313- دیوان ریاضی سمرقندی‏</w:t>
        </w:r>
        <w:r>
          <w:tab/>
        </w:r>
        <w:r>
          <w:fldChar w:fldCharType="begin"/>
        </w:r>
        <w:r>
          <w:instrText xml:space="preserve">PAGEREF 2975 \h</w:instrText>
        </w:r>
        <w:r>
          <w:fldChar w:fldCharType="end"/>
        </w:r>
      </w:hyperlink>
    </w:p>
    <w:p>
      <w:pPr>
        <w:tabs>
          <w:tab w:val="right" w:leader="dot" w:pos="9062"/>
        </w:tabs>
        <w:ind w:left="440"/>
      </w:pPr>
      <w:hyperlink w:anchor="_Toc2976" w:history="1">
        <w:r>
          <w:rPr>
            <w:rFonts w:ascii="IRNazanin" w:hAnsi="IRNazanin" w:eastAsia="IRNazanin" w:cs="IRNazanin"/>
            <w:color w:val="111111"/>
            <w:sz w:val="22"/>
            <w:szCs w:val="22"/>
            <w:b w:val="0"/>
            <w:bCs w:val="0"/>
            <w:i w:val="0"/>
            <w:iCs w:val="0"/>
          </w:rPr>
          <w:t>دیوان ریاضی کشمیری‏</w:t>
        </w:r>
        <w:r>
          <w:tab/>
        </w:r>
        <w:r>
          <w:fldChar w:fldCharType="begin"/>
        </w:r>
        <w:r>
          <w:instrText xml:space="preserve">PAGEREF 2976 \h</w:instrText>
        </w:r>
        <w:r>
          <w:fldChar w:fldCharType="end"/>
        </w:r>
      </w:hyperlink>
    </w:p>
    <w:p>
      <w:pPr>
        <w:tabs>
          <w:tab w:val="right" w:leader="dot" w:pos="9062"/>
        </w:tabs>
        <w:ind w:left="440"/>
      </w:pPr>
      <w:hyperlink w:anchor="_Toc2977" w:history="1">
        <w:r>
          <w:rPr>
            <w:rFonts w:ascii="IRNazanin" w:hAnsi="IRNazanin" w:eastAsia="IRNazanin" w:cs="IRNazanin"/>
            <w:color w:val="111111"/>
            <w:sz w:val="22"/>
            <w:szCs w:val="22"/>
            <w:b w:val="0"/>
            <w:bCs w:val="0"/>
            <w:i w:val="0"/>
            <w:iCs w:val="0"/>
          </w:rPr>
          <w:t>2314- دیوان ریاضی لاهوری أو شعره‏</w:t>
        </w:r>
        <w:r>
          <w:tab/>
        </w:r>
        <w:r>
          <w:fldChar w:fldCharType="begin"/>
        </w:r>
        <w:r>
          <w:instrText xml:space="preserve">PAGEREF 2977 \h</w:instrText>
        </w:r>
        <w:r>
          <w:fldChar w:fldCharType="end"/>
        </w:r>
      </w:hyperlink>
    </w:p>
    <w:p>
      <w:pPr>
        <w:tabs>
          <w:tab w:val="right" w:leader="dot" w:pos="9062"/>
        </w:tabs>
        <w:ind w:left="440"/>
      </w:pPr>
      <w:hyperlink w:anchor="_Toc2978" w:history="1">
        <w:r>
          <w:rPr>
            <w:rFonts w:ascii="IRNazanin" w:hAnsi="IRNazanin" w:eastAsia="IRNazanin" w:cs="IRNazanin"/>
            <w:color w:val="111111"/>
            <w:sz w:val="22"/>
            <w:szCs w:val="22"/>
            <w:b w:val="0"/>
            <w:bCs w:val="0"/>
            <w:i w:val="0"/>
            <w:iCs w:val="0"/>
          </w:rPr>
          <w:t>2315- دیوان ریاضی هروی‏</w:t>
        </w:r>
        <w:r>
          <w:tab/>
        </w:r>
        <w:r>
          <w:fldChar w:fldCharType="begin"/>
        </w:r>
        <w:r>
          <w:instrText xml:space="preserve">PAGEREF 2978 \h</w:instrText>
        </w:r>
        <w:r>
          <w:fldChar w:fldCharType="end"/>
        </w:r>
      </w:hyperlink>
    </w:p>
    <w:p>
      <w:pPr>
        <w:tabs>
          <w:tab w:val="right" w:leader="dot" w:pos="9062"/>
        </w:tabs>
        <w:ind w:left="440"/>
      </w:pPr>
      <w:hyperlink w:anchor="_Toc2979" w:history="1">
        <w:r>
          <w:rPr>
            <w:rFonts w:ascii="IRNazanin" w:hAnsi="IRNazanin" w:eastAsia="IRNazanin" w:cs="IRNazanin"/>
            <w:color w:val="111111"/>
            <w:sz w:val="22"/>
            <w:szCs w:val="22"/>
            <w:b w:val="0"/>
            <w:bCs w:val="0"/>
            <w:i w:val="0"/>
            <w:iCs w:val="0"/>
          </w:rPr>
          <w:t>2316- دیوان ریحان أصفهانی‏</w:t>
        </w:r>
        <w:r>
          <w:tab/>
        </w:r>
        <w:r>
          <w:fldChar w:fldCharType="begin"/>
        </w:r>
        <w:r>
          <w:instrText xml:space="preserve">PAGEREF 2979 \h</w:instrText>
        </w:r>
        <w:r>
          <w:fldChar w:fldCharType="end"/>
        </w:r>
      </w:hyperlink>
    </w:p>
    <w:p>
      <w:pPr>
        <w:tabs>
          <w:tab w:val="right" w:leader="dot" w:pos="9062"/>
        </w:tabs>
        <w:ind w:left="440"/>
      </w:pPr>
      <w:hyperlink w:anchor="_Toc2980" w:history="1">
        <w:r>
          <w:rPr>
            <w:rFonts w:ascii="IRNazanin" w:hAnsi="IRNazanin" w:eastAsia="IRNazanin" w:cs="IRNazanin"/>
            <w:color w:val="111111"/>
            <w:sz w:val="22"/>
            <w:szCs w:val="22"/>
            <w:b w:val="0"/>
            <w:bCs w:val="0"/>
            <w:i w:val="0"/>
            <w:iCs w:val="0"/>
          </w:rPr>
          <w:t>2317- دیوان ریحان طوسی أو شعره‏</w:t>
        </w:r>
        <w:r>
          <w:tab/>
        </w:r>
        <w:r>
          <w:fldChar w:fldCharType="begin"/>
        </w:r>
        <w:r>
          <w:instrText xml:space="preserve">PAGEREF 2980 \h</w:instrText>
        </w:r>
        <w:r>
          <w:fldChar w:fldCharType="end"/>
        </w:r>
      </w:hyperlink>
    </w:p>
    <w:p>
      <w:pPr>
        <w:tabs>
          <w:tab w:val="right" w:leader="dot" w:pos="9062"/>
        </w:tabs>
        <w:ind w:left="440"/>
      </w:pPr>
      <w:hyperlink w:anchor="_Toc2981" w:history="1">
        <w:r>
          <w:rPr>
            <w:rFonts w:ascii="IRNazanin" w:hAnsi="IRNazanin" w:eastAsia="IRNazanin" w:cs="IRNazanin"/>
            <w:color w:val="111111"/>
            <w:sz w:val="22"/>
            <w:szCs w:val="22"/>
            <w:b w:val="0"/>
            <w:bCs w:val="0"/>
            <w:i w:val="0"/>
            <w:iCs w:val="0"/>
          </w:rPr>
          <w:t>دیوان ریگستان‏</w:t>
        </w:r>
        <w:r>
          <w:tab/>
        </w:r>
        <w:r>
          <w:fldChar w:fldCharType="begin"/>
        </w:r>
        <w:r>
          <w:instrText xml:space="preserve">PAGEREF 2981 \h</w:instrText>
        </w:r>
        <w:r>
          <w:fldChar w:fldCharType="end"/>
        </w:r>
      </w:hyperlink>
    </w:p>
    <w:p>
      <w:pPr>
        <w:tabs>
          <w:tab w:val="right" w:leader="dot" w:pos="9062"/>
        </w:tabs>
        <w:ind w:left="440"/>
      </w:pPr>
      <w:hyperlink w:anchor="_Toc2982" w:history="1">
        <w:r>
          <w:rPr>
            <w:rFonts w:ascii="IRNazanin" w:hAnsi="IRNazanin" w:eastAsia="IRNazanin" w:cs="IRNazanin"/>
            <w:color w:val="111111"/>
            <w:sz w:val="22"/>
            <w:szCs w:val="22"/>
            <w:b w:val="0"/>
            <w:bCs w:val="0"/>
            <w:i w:val="0"/>
            <w:iCs w:val="0"/>
          </w:rPr>
          <w:t>2318- دیوان ریگی‏</w:t>
        </w:r>
        <w:r>
          <w:tab/>
        </w:r>
        <w:r>
          <w:fldChar w:fldCharType="begin"/>
        </w:r>
        <w:r>
          <w:instrText xml:space="preserve">PAGEREF 2982 \h</w:instrText>
        </w:r>
        <w:r>
          <w:fldChar w:fldCharType="end"/>
        </w:r>
      </w:hyperlink>
    </w:p>
    <w:p>
      <w:pPr>
        <w:tabs>
          <w:tab w:val="right" w:leader="dot" w:pos="9062"/>
        </w:tabs>
        <w:ind w:left="440"/>
      </w:pPr>
      <w:hyperlink w:anchor="_Toc2983" w:history="1">
        <w:r>
          <w:rPr>
            <w:rFonts w:ascii="IRNazanin" w:hAnsi="IRNazanin" w:eastAsia="IRNazanin" w:cs="IRNazanin"/>
            <w:color w:val="111111"/>
            <w:sz w:val="22"/>
            <w:szCs w:val="22"/>
            <w:b w:val="0"/>
            <w:bCs w:val="0"/>
            <w:i w:val="0"/>
            <w:iCs w:val="0"/>
          </w:rPr>
          <w:t>ز</w:t>
        </w:r>
        <w:r>
          <w:tab/>
        </w:r>
        <w:r>
          <w:fldChar w:fldCharType="begin"/>
        </w:r>
        <w:r>
          <w:instrText xml:space="preserve">PAGEREF 2983 \h</w:instrText>
        </w:r>
        <w:r>
          <w:fldChar w:fldCharType="end"/>
        </w:r>
      </w:hyperlink>
    </w:p>
    <w:p>
      <w:pPr>
        <w:tabs>
          <w:tab w:val="right" w:leader="dot" w:pos="9062"/>
        </w:tabs>
        <w:ind w:left="440"/>
      </w:pPr>
      <w:hyperlink w:anchor="_Toc2984" w:history="1">
        <w:r>
          <w:rPr>
            <w:rFonts w:ascii="IRNazanin" w:hAnsi="IRNazanin" w:eastAsia="IRNazanin" w:cs="IRNazanin"/>
            <w:color w:val="111111"/>
            <w:sz w:val="22"/>
            <w:szCs w:val="22"/>
            <w:b w:val="0"/>
            <w:bCs w:val="0"/>
            <w:i w:val="0"/>
            <w:iCs w:val="0"/>
          </w:rPr>
          <w:t>دیوان زائر</w:t>
        </w:r>
        <w:r>
          <w:tab/>
        </w:r>
        <w:r>
          <w:fldChar w:fldCharType="begin"/>
        </w:r>
        <w:r>
          <w:instrText xml:space="preserve">PAGEREF 2984 \h</w:instrText>
        </w:r>
        <w:r>
          <w:fldChar w:fldCharType="end"/>
        </w:r>
      </w:hyperlink>
    </w:p>
    <w:p>
      <w:pPr>
        <w:tabs>
          <w:tab w:val="right" w:leader="dot" w:pos="9062"/>
        </w:tabs>
        <w:ind w:left="440"/>
      </w:pPr>
      <w:hyperlink w:anchor="_Toc2985" w:history="1">
        <w:r>
          <w:rPr>
            <w:rFonts w:ascii="IRNazanin" w:hAnsi="IRNazanin" w:eastAsia="IRNazanin" w:cs="IRNazanin"/>
            <w:color w:val="111111"/>
            <w:sz w:val="22"/>
            <w:szCs w:val="22"/>
            <w:b w:val="0"/>
            <w:bCs w:val="0"/>
            <w:i w:val="0"/>
            <w:iCs w:val="0"/>
          </w:rPr>
          <w:t>2319- دیوان زاجری أو شعره‏</w:t>
        </w:r>
        <w:r>
          <w:tab/>
        </w:r>
        <w:r>
          <w:fldChar w:fldCharType="begin"/>
        </w:r>
        <w:r>
          <w:instrText xml:space="preserve">PAGEREF 2985 \h</w:instrText>
        </w:r>
        <w:r>
          <w:fldChar w:fldCharType="end"/>
        </w:r>
      </w:hyperlink>
    </w:p>
    <w:p>
      <w:pPr>
        <w:tabs>
          <w:tab w:val="right" w:leader="dot" w:pos="9062"/>
        </w:tabs>
        <w:ind w:left="440"/>
      </w:pPr>
      <w:hyperlink w:anchor="_Toc2986" w:history="1">
        <w:r>
          <w:rPr>
            <w:rFonts w:ascii="IRNazanin" w:hAnsi="IRNazanin" w:eastAsia="IRNazanin" w:cs="IRNazanin"/>
            <w:color w:val="111111"/>
            <w:sz w:val="22"/>
            <w:szCs w:val="22"/>
            <w:b w:val="0"/>
            <w:bCs w:val="0"/>
            <w:i w:val="0"/>
            <w:iCs w:val="0"/>
          </w:rPr>
          <w:t>2320- دیوان زاری أو شعره‏</w:t>
        </w:r>
        <w:r>
          <w:tab/>
        </w:r>
        <w:r>
          <w:fldChar w:fldCharType="begin"/>
        </w:r>
        <w:r>
          <w:instrText xml:space="preserve">PAGEREF 2986 \h</w:instrText>
        </w:r>
        <w:r>
          <w:fldChar w:fldCharType="end"/>
        </w:r>
      </w:hyperlink>
    </w:p>
    <w:p>
      <w:pPr>
        <w:tabs>
          <w:tab w:val="right" w:leader="dot" w:pos="9062"/>
        </w:tabs>
        <w:ind w:left="440"/>
      </w:pPr>
      <w:hyperlink w:anchor="_Toc2987" w:history="1">
        <w:r>
          <w:rPr>
            <w:rFonts w:ascii="IRNazanin" w:hAnsi="IRNazanin" w:eastAsia="IRNazanin" w:cs="IRNazanin"/>
            <w:color w:val="111111"/>
            <w:sz w:val="22"/>
            <w:szCs w:val="22"/>
            <w:b w:val="0"/>
            <w:bCs w:val="0"/>
            <w:i w:val="0"/>
            <w:iCs w:val="0"/>
          </w:rPr>
          <w:t>2321- دیوان زاری أو شعره‏</w:t>
        </w:r>
        <w:r>
          <w:tab/>
        </w:r>
        <w:r>
          <w:fldChar w:fldCharType="begin"/>
        </w:r>
        <w:r>
          <w:instrText xml:space="preserve">PAGEREF 2987 \h</w:instrText>
        </w:r>
        <w:r>
          <w:fldChar w:fldCharType="end"/>
        </w:r>
      </w:hyperlink>
    </w:p>
    <w:p>
      <w:pPr>
        <w:tabs>
          <w:tab w:val="right" w:leader="dot" w:pos="9062"/>
        </w:tabs>
        <w:ind w:left="440"/>
      </w:pPr>
      <w:hyperlink w:anchor="_Toc2988" w:history="1">
        <w:r>
          <w:rPr>
            <w:rFonts w:ascii="IRNazanin" w:hAnsi="IRNazanin" w:eastAsia="IRNazanin" w:cs="IRNazanin"/>
            <w:color w:val="111111"/>
            <w:sz w:val="22"/>
            <w:szCs w:val="22"/>
            <w:b w:val="0"/>
            <w:bCs w:val="0"/>
            <w:i w:val="0"/>
            <w:iCs w:val="0"/>
          </w:rPr>
          <w:t>دیوان زاری شیرازی أو شعره‏</w:t>
        </w:r>
        <w:r>
          <w:tab/>
        </w:r>
        <w:r>
          <w:fldChar w:fldCharType="begin"/>
        </w:r>
        <w:r>
          <w:instrText xml:space="preserve">PAGEREF 2988 \h</w:instrText>
        </w:r>
        <w:r>
          <w:fldChar w:fldCharType="end"/>
        </w:r>
      </w:hyperlink>
    </w:p>
    <w:p>
      <w:pPr>
        <w:tabs>
          <w:tab w:val="right" w:leader="dot" w:pos="9062"/>
        </w:tabs>
        <w:ind w:left="440"/>
      </w:pPr>
      <w:hyperlink w:anchor="_Toc2989" w:history="1">
        <w:r>
          <w:rPr>
            <w:rFonts w:ascii="IRNazanin" w:hAnsi="IRNazanin" w:eastAsia="IRNazanin" w:cs="IRNazanin"/>
            <w:color w:val="111111"/>
            <w:sz w:val="22"/>
            <w:szCs w:val="22"/>
            <w:b w:val="0"/>
            <w:bCs w:val="0"/>
            <w:i w:val="0"/>
            <w:iCs w:val="0"/>
          </w:rPr>
          <w:t>2322- دیوان زاری مشهدی أو شعره‏</w:t>
        </w:r>
        <w:r>
          <w:tab/>
        </w:r>
        <w:r>
          <w:fldChar w:fldCharType="begin"/>
        </w:r>
        <w:r>
          <w:instrText xml:space="preserve">PAGEREF 2989 \h</w:instrText>
        </w:r>
        <w:r>
          <w:fldChar w:fldCharType="end"/>
        </w:r>
      </w:hyperlink>
    </w:p>
    <w:p>
      <w:pPr>
        <w:tabs>
          <w:tab w:val="right" w:leader="dot" w:pos="9062"/>
        </w:tabs>
        <w:ind w:left="440"/>
      </w:pPr>
      <w:hyperlink w:anchor="_Toc2990" w:history="1">
        <w:r>
          <w:rPr>
            <w:rFonts w:ascii="IRNazanin" w:hAnsi="IRNazanin" w:eastAsia="IRNazanin" w:cs="IRNazanin"/>
            <w:color w:val="111111"/>
            <w:sz w:val="22"/>
            <w:szCs w:val="22"/>
            <w:b w:val="0"/>
            <w:bCs w:val="0"/>
            <w:i w:val="0"/>
            <w:iCs w:val="0"/>
          </w:rPr>
          <w:t>دیوان زاکانی‏</w:t>
        </w:r>
        <w:r>
          <w:tab/>
        </w:r>
        <w:r>
          <w:fldChar w:fldCharType="begin"/>
        </w:r>
        <w:r>
          <w:instrText xml:space="preserve">PAGEREF 2990 \h</w:instrText>
        </w:r>
        <w:r>
          <w:fldChar w:fldCharType="end"/>
        </w:r>
      </w:hyperlink>
    </w:p>
    <w:p>
      <w:pPr>
        <w:tabs>
          <w:tab w:val="right" w:leader="dot" w:pos="9062"/>
        </w:tabs>
        <w:ind w:left="440"/>
      </w:pPr>
      <w:hyperlink w:anchor="_Toc2991" w:history="1">
        <w:r>
          <w:rPr>
            <w:rFonts w:ascii="IRNazanin" w:hAnsi="IRNazanin" w:eastAsia="IRNazanin" w:cs="IRNazanin"/>
            <w:color w:val="111111"/>
            <w:sz w:val="22"/>
            <w:szCs w:val="22"/>
            <w:b w:val="0"/>
            <w:bCs w:val="0"/>
            <w:i w:val="0"/>
            <w:iCs w:val="0"/>
          </w:rPr>
          <w:t>2323- دیوان مولانا زاهد</w:t>
        </w:r>
        <w:r>
          <w:tab/>
        </w:r>
        <w:r>
          <w:fldChar w:fldCharType="begin"/>
        </w:r>
        <w:r>
          <w:instrText xml:space="preserve">PAGEREF 2991 \h</w:instrText>
        </w:r>
        <w:r>
          <w:fldChar w:fldCharType="end"/>
        </w:r>
      </w:hyperlink>
    </w:p>
    <w:p>
      <w:pPr>
        <w:tabs>
          <w:tab w:val="right" w:leader="dot" w:pos="9062"/>
        </w:tabs>
        <w:ind w:left="440"/>
      </w:pPr>
      <w:hyperlink w:anchor="_Toc2992" w:history="1">
        <w:r>
          <w:rPr>
            <w:rFonts w:ascii="IRNazanin" w:hAnsi="IRNazanin" w:eastAsia="IRNazanin" w:cs="IRNazanin"/>
            <w:color w:val="111111"/>
            <w:sz w:val="22"/>
            <w:szCs w:val="22"/>
            <w:b w:val="0"/>
            <w:bCs w:val="0"/>
            <w:i w:val="0"/>
            <w:iCs w:val="0"/>
          </w:rPr>
          <w:t>2324- دیوان زاهد الآذربایجانی‏</w:t>
        </w:r>
        <w:r>
          <w:tab/>
        </w:r>
        <w:r>
          <w:fldChar w:fldCharType="begin"/>
        </w:r>
        <w:r>
          <w:instrText xml:space="preserve">PAGEREF 2992 \h</w:instrText>
        </w:r>
        <w:r>
          <w:fldChar w:fldCharType="end"/>
        </w:r>
      </w:hyperlink>
    </w:p>
    <w:p>
      <w:pPr>
        <w:tabs>
          <w:tab w:val="right" w:leader="dot" w:pos="9062"/>
        </w:tabs>
        <w:ind w:left="440"/>
      </w:pPr>
      <w:hyperlink w:anchor="_Toc2993" w:history="1">
        <w:r>
          <w:rPr>
            <w:rFonts w:ascii="IRNazanin" w:hAnsi="IRNazanin" w:eastAsia="IRNazanin" w:cs="IRNazanin"/>
            <w:color w:val="111111"/>
            <w:sz w:val="22"/>
            <w:szCs w:val="22"/>
            <w:b w:val="0"/>
            <w:bCs w:val="0"/>
            <w:i w:val="0"/>
            <w:iCs w:val="0"/>
          </w:rPr>
          <w:t>2325- دیوان زاهد الأصفهانی التبریزی‏</w:t>
        </w:r>
        <w:r>
          <w:tab/>
        </w:r>
        <w:r>
          <w:fldChar w:fldCharType="begin"/>
        </w:r>
        <w:r>
          <w:instrText xml:space="preserve">PAGEREF 2993 \h</w:instrText>
        </w:r>
        <w:r>
          <w:fldChar w:fldCharType="end"/>
        </w:r>
      </w:hyperlink>
    </w:p>
    <w:p>
      <w:pPr>
        <w:tabs>
          <w:tab w:val="right" w:leader="dot" w:pos="9062"/>
        </w:tabs>
        <w:ind w:left="440"/>
      </w:pPr>
      <w:hyperlink w:anchor="_Toc2994" w:history="1">
        <w:r>
          <w:rPr>
            <w:rFonts w:ascii="IRNazanin" w:hAnsi="IRNazanin" w:eastAsia="IRNazanin" w:cs="IRNazanin"/>
            <w:color w:val="111111"/>
            <w:sz w:val="22"/>
            <w:szCs w:val="22"/>
            <w:b w:val="0"/>
            <w:bCs w:val="0"/>
            <w:i w:val="0"/>
            <w:iCs w:val="0"/>
          </w:rPr>
          <w:t>2326- دیوان زاهد التبریزی‏</w:t>
        </w:r>
        <w:r>
          <w:tab/>
        </w:r>
        <w:r>
          <w:fldChar w:fldCharType="begin"/>
        </w:r>
        <w:r>
          <w:instrText xml:space="preserve">PAGEREF 2994 \h</w:instrText>
        </w:r>
        <w:r>
          <w:fldChar w:fldCharType="end"/>
        </w:r>
      </w:hyperlink>
    </w:p>
    <w:p>
      <w:pPr>
        <w:tabs>
          <w:tab w:val="right" w:leader="dot" w:pos="9062"/>
        </w:tabs>
        <w:ind w:left="440"/>
      </w:pPr>
      <w:hyperlink w:anchor="_Toc2995" w:history="1">
        <w:r>
          <w:rPr>
            <w:rFonts w:ascii="IRNazanin" w:hAnsi="IRNazanin" w:eastAsia="IRNazanin" w:cs="IRNazanin"/>
            <w:color w:val="111111"/>
            <w:sz w:val="22"/>
            <w:szCs w:val="22"/>
            <w:b w:val="0"/>
            <w:bCs w:val="0"/>
            <w:i w:val="0"/>
            <w:iCs w:val="0"/>
          </w:rPr>
          <w:t>2327- دیوان زاهد فراهی أو شعره‏</w:t>
        </w:r>
        <w:r>
          <w:tab/>
        </w:r>
        <w:r>
          <w:fldChar w:fldCharType="begin"/>
        </w:r>
        <w:r>
          <w:instrText xml:space="preserve">PAGEREF 2995 \h</w:instrText>
        </w:r>
        <w:r>
          <w:fldChar w:fldCharType="end"/>
        </w:r>
      </w:hyperlink>
    </w:p>
    <w:p>
      <w:pPr>
        <w:tabs>
          <w:tab w:val="right" w:leader="dot" w:pos="9062"/>
        </w:tabs>
        <w:ind w:left="440"/>
      </w:pPr>
      <w:hyperlink w:anchor="_Toc2996" w:history="1">
        <w:r>
          <w:rPr>
            <w:rFonts w:ascii="IRNazanin" w:hAnsi="IRNazanin" w:eastAsia="IRNazanin" w:cs="IRNazanin"/>
            <w:color w:val="111111"/>
            <w:sz w:val="22"/>
            <w:szCs w:val="22"/>
            <w:b w:val="0"/>
            <w:bCs w:val="0"/>
            <w:i w:val="0"/>
            <w:iCs w:val="0"/>
          </w:rPr>
          <w:t>2328- دیوان زاهد گیلانی‏</w:t>
        </w:r>
        <w:r>
          <w:tab/>
        </w:r>
        <w:r>
          <w:fldChar w:fldCharType="begin"/>
        </w:r>
        <w:r>
          <w:instrText xml:space="preserve">PAGEREF 2996 \h</w:instrText>
        </w:r>
        <w:r>
          <w:fldChar w:fldCharType="end"/>
        </w:r>
      </w:hyperlink>
    </w:p>
    <w:p>
      <w:pPr>
        <w:tabs>
          <w:tab w:val="right" w:leader="dot" w:pos="9062"/>
        </w:tabs>
        <w:ind w:left="440"/>
      </w:pPr>
      <w:hyperlink w:anchor="_Toc2997" w:history="1">
        <w:r>
          <w:rPr>
            <w:rFonts w:ascii="IRNazanin" w:hAnsi="IRNazanin" w:eastAsia="IRNazanin" w:cs="IRNazanin"/>
            <w:color w:val="111111"/>
            <w:sz w:val="22"/>
            <w:szCs w:val="22"/>
            <w:b w:val="0"/>
            <w:bCs w:val="0"/>
            <w:i w:val="0"/>
            <w:iCs w:val="0"/>
          </w:rPr>
          <w:t>دیوان زاهدی‏</w:t>
        </w:r>
        <w:r>
          <w:tab/>
        </w:r>
        <w:r>
          <w:fldChar w:fldCharType="begin"/>
        </w:r>
        <w:r>
          <w:instrText xml:space="preserve">PAGEREF 2997 \h</w:instrText>
        </w:r>
        <w:r>
          <w:fldChar w:fldCharType="end"/>
        </w:r>
      </w:hyperlink>
    </w:p>
    <w:p>
      <w:pPr>
        <w:tabs>
          <w:tab w:val="right" w:leader="dot" w:pos="9062"/>
        </w:tabs>
        <w:ind w:left="440"/>
      </w:pPr>
      <w:hyperlink w:anchor="_Toc2998" w:history="1">
        <w:r>
          <w:rPr>
            <w:rFonts w:ascii="IRNazanin" w:hAnsi="IRNazanin" w:eastAsia="IRNazanin" w:cs="IRNazanin"/>
            <w:color w:val="111111"/>
            <w:sz w:val="22"/>
            <w:szCs w:val="22"/>
            <w:b w:val="0"/>
            <w:bCs w:val="0"/>
            <w:i w:val="0"/>
            <w:iCs w:val="0"/>
          </w:rPr>
          <w:t>2329- دیوان زاهدی گیلانی أو شعره‏</w:t>
        </w:r>
        <w:r>
          <w:tab/>
        </w:r>
        <w:r>
          <w:fldChar w:fldCharType="begin"/>
        </w:r>
        <w:r>
          <w:instrText xml:space="preserve">PAGEREF 2998 \h</w:instrText>
        </w:r>
        <w:r>
          <w:fldChar w:fldCharType="end"/>
        </w:r>
      </w:hyperlink>
    </w:p>
    <w:p>
      <w:pPr>
        <w:tabs>
          <w:tab w:val="right" w:leader="dot" w:pos="9062"/>
        </w:tabs>
        <w:ind w:left="440"/>
      </w:pPr>
      <w:hyperlink w:anchor="_Toc2999" w:history="1">
        <w:r>
          <w:rPr>
            <w:rFonts w:ascii="IRNazanin" w:hAnsi="IRNazanin" w:eastAsia="IRNazanin" w:cs="IRNazanin"/>
            <w:color w:val="111111"/>
            <w:sz w:val="22"/>
            <w:szCs w:val="22"/>
            <w:b w:val="0"/>
            <w:bCs w:val="0"/>
            <w:i w:val="0"/>
            <w:iCs w:val="0"/>
          </w:rPr>
          <w:t>2330- دیوان الزاهی‏</w:t>
        </w:r>
        <w:r>
          <w:tab/>
        </w:r>
        <w:r>
          <w:fldChar w:fldCharType="begin"/>
        </w:r>
        <w:r>
          <w:instrText xml:space="preserve">PAGEREF 2999 \h</w:instrText>
        </w:r>
        <w:r>
          <w:fldChar w:fldCharType="end"/>
        </w:r>
      </w:hyperlink>
    </w:p>
    <w:p>
      <w:pPr>
        <w:tabs>
          <w:tab w:val="right" w:leader="dot" w:pos="9062"/>
        </w:tabs>
        <w:ind w:left="440"/>
      </w:pPr>
      <w:hyperlink w:anchor="_Toc3000" w:history="1">
        <w:r>
          <w:rPr>
            <w:rFonts w:ascii="IRNazanin" w:hAnsi="IRNazanin" w:eastAsia="IRNazanin" w:cs="IRNazanin"/>
            <w:color w:val="111111"/>
            <w:sz w:val="22"/>
            <w:szCs w:val="22"/>
            <w:b w:val="0"/>
            <w:bCs w:val="0"/>
            <w:i w:val="0"/>
            <w:iCs w:val="0"/>
          </w:rPr>
          <w:t>2331- دیوان زائر دامغانی أو شعره‏</w:t>
        </w:r>
        <w:r>
          <w:tab/>
        </w:r>
        <w:r>
          <w:fldChar w:fldCharType="begin"/>
        </w:r>
        <w:r>
          <w:instrText xml:space="preserve">PAGEREF 3000 \h</w:instrText>
        </w:r>
        <w:r>
          <w:fldChar w:fldCharType="end"/>
        </w:r>
      </w:hyperlink>
    </w:p>
    <w:p>
      <w:pPr>
        <w:tabs>
          <w:tab w:val="right" w:leader="dot" w:pos="9062"/>
        </w:tabs>
        <w:ind w:left="440"/>
      </w:pPr>
      <w:hyperlink w:anchor="_Toc3001" w:history="1">
        <w:r>
          <w:rPr>
            <w:rFonts w:ascii="IRNazanin" w:hAnsi="IRNazanin" w:eastAsia="IRNazanin" w:cs="IRNazanin"/>
            <w:color w:val="111111"/>
            <w:sz w:val="22"/>
            <w:szCs w:val="22"/>
            <w:b w:val="0"/>
            <w:bCs w:val="0"/>
            <w:i w:val="0"/>
            <w:iCs w:val="0"/>
          </w:rPr>
          <w:t>2332- دیوان زائر شوشتری‏</w:t>
        </w:r>
        <w:r>
          <w:tab/>
        </w:r>
        <w:r>
          <w:fldChar w:fldCharType="begin"/>
        </w:r>
        <w:r>
          <w:instrText xml:space="preserve">PAGEREF 3001 \h</w:instrText>
        </w:r>
        <w:r>
          <w:fldChar w:fldCharType="end"/>
        </w:r>
      </w:hyperlink>
    </w:p>
    <w:p>
      <w:pPr>
        <w:tabs>
          <w:tab w:val="right" w:leader="dot" w:pos="9062"/>
        </w:tabs>
        <w:ind w:left="440"/>
      </w:pPr>
      <w:hyperlink w:anchor="_Toc3002" w:history="1">
        <w:r>
          <w:rPr>
            <w:rFonts w:ascii="IRNazanin" w:hAnsi="IRNazanin" w:eastAsia="IRNazanin" w:cs="IRNazanin"/>
            <w:color w:val="111111"/>
            <w:sz w:val="22"/>
            <w:szCs w:val="22"/>
            <w:b w:val="0"/>
            <w:bCs w:val="0"/>
            <w:i w:val="0"/>
            <w:iCs w:val="0"/>
          </w:rPr>
          <w:t>2333- دیوان زائر همدانی أو شعره‏</w:t>
        </w:r>
        <w:r>
          <w:tab/>
        </w:r>
        <w:r>
          <w:fldChar w:fldCharType="begin"/>
        </w:r>
        <w:r>
          <w:instrText xml:space="preserve">PAGEREF 3002 \h</w:instrText>
        </w:r>
        <w:r>
          <w:fldChar w:fldCharType="end"/>
        </w:r>
      </w:hyperlink>
    </w:p>
    <w:p>
      <w:pPr>
        <w:tabs>
          <w:tab w:val="right" w:leader="dot" w:pos="9062"/>
        </w:tabs>
        <w:ind w:left="440"/>
      </w:pPr>
      <w:hyperlink w:anchor="_Toc3003" w:history="1">
        <w:r>
          <w:rPr>
            <w:rFonts w:ascii="IRNazanin" w:hAnsi="IRNazanin" w:eastAsia="IRNazanin" w:cs="IRNazanin"/>
            <w:color w:val="111111"/>
            <w:sz w:val="22"/>
            <w:szCs w:val="22"/>
            <w:b w:val="0"/>
            <w:bCs w:val="0"/>
            <w:i w:val="0"/>
            <w:iCs w:val="0"/>
          </w:rPr>
          <w:t>2334- دیوان زائر هندی أو شعره‏</w:t>
        </w:r>
        <w:r>
          <w:tab/>
        </w:r>
        <w:r>
          <w:fldChar w:fldCharType="begin"/>
        </w:r>
        <w:r>
          <w:instrText xml:space="preserve">PAGEREF 3003 \h</w:instrText>
        </w:r>
        <w:r>
          <w:fldChar w:fldCharType="end"/>
        </w:r>
      </w:hyperlink>
    </w:p>
    <w:p>
      <w:pPr>
        <w:tabs>
          <w:tab w:val="right" w:leader="dot" w:pos="9062"/>
        </w:tabs>
        <w:ind w:left="440"/>
      </w:pPr>
      <w:hyperlink w:anchor="_Toc3004" w:history="1">
        <w:r>
          <w:rPr>
            <w:rFonts w:ascii="IRNazanin" w:hAnsi="IRNazanin" w:eastAsia="IRNazanin" w:cs="IRNazanin"/>
            <w:color w:val="111111"/>
            <w:sz w:val="22"/>
            <w:szCs w:val="22"/>
            <w:b w:val="0"/>
            <w:bCs w:val="0"/>
            <w:i w:val="0"/>
            <w:iCs w:val="0"/>
          </w:rPr>
          <w:t>2335- دیوان زائر هندی‏</w:t>
        </w:r>
        <w:r>
          <w:tab/>
        </w:r>
        <w:r>
          <w:fldChar w:fldCharType="begin"/>
        </w:r>
        <w:r>
          <w:instrText xml:space="preserve">PAGEREF 3004 \h</w:instrText>
        </w:r>
        <w:r>
          <w:fldChar w:fldCharType="end"/>
        </w:r>
      </w:hyperlink>
    </w:p>
    <w:p>
      <w:pPr>
        <w:tabs>
          <w:tab w:val="right" w:leader="dot" w:pos="9062"/>
        </w:tabs>
        <w:ind w:left="440"/>
      </w:pPr>
      <w:hyperlink w:anchor="_Toc3005" w:history="1">
        <w:r>
          <w:rPr>
            <w:rFonts w:ascii="IRNazanin" w:hAnsi="IRNazanin" w:eastAsia="IRNazanin" w:cs="IRNazanin"/>
            <w:color w:val="111111"/>
            <w:sz w:val="22"/>
            <w:szCs w:val="22"/>
            <w:b w:val="0"/>
            <w:bCs w:val="0"/>
            <w:i w:val="0"/>
            <w:iCs w:val="0"/>
          </w:rPr>
          <w:t>2336- دیوان زائری أصفهانی‏</w:t>
        </w:r>
        <w:r>
          <w:tab/>
        </w:r>
        <w:r>
          <w:fldChar w:fldCharType="begin"/>
        </w:r>
        <w:r>
          <w:instrText xml:space="preserve">PAGEREF 3005 \h</w:instrText>
        </w:r>
        <w:r>
          <w:fldChar w:fldCharType="end"/>
        </w:r>
      </w:hyperlink>
    </w:p>
    <w:p>
      <w:pPr>
        <w:tabs>
          <w:tab w:val="right" w:leader="dot" w:pos="9062"/>
        </w:tabs>
        <w:ind w:left="440"/>
      </w:pPr>
      <w:hyperlink w:anchor="_Toc3006" w:history="1">
        <w:r>
          <w:rPr>
            <w:rFonts w:ascii="IRNazanin" w:hAnsi="IRNazanin" w:eastAsia="IRNazanin" w:cs="IRNazanin"/>
            <w:color w:val="111111"/>
            <w:sz w:val="22"/>
            <w:szCs w:val="22"/>
            <w:b w:val="0"/>
            <w:bCs w:val="0"/>
            <w:i w:val="0"/>
            <w:iCs w:val="0"/>
          </w:rPr>
          <w:t>دیوان زبانی یزدی أو شعره‏</w:t>
        </w:r>
        <w:r>
          <w:tab/>
        </w:r>
        <w:r>
          <w:fldChar w:fldCharType="begin"/>
        </w:r>
        <w:r>
          <w:instrText xml:space="preserve">PAGEREF 3006 \h</w:instrText>
        </w:r>
        <w:r>
          <w:fldChar w:fldCharType="end"/>
        </w:r>
      </w:hyperlink>
    </w:p>
    <w:p>
      <w:pPr>
        <w:tabs>
          <w:tab w:val="right" w:leader="dot" w:pos="9062"/>
        </w:tabs>
        <w:ind w:left="440"/>
      </w:pPr>
      <w:hyperlink w:anchor="_Toc3007" w:history="1">
        <w:r>
          <w:rPr>
            <w:rFonts w:ascii="IRNazanin" w:hAnsi="IRNazanin" w:eastAsia="IRNazanin" w:cs="IRNazanin"/>
            <w:color w:val="111111"/>
            <w:sz w:val="22"/>
            <w:szCs w:val="22"/>
            <w:b w:val="0"/>
            <w:bCs w:val="0"/>
            <w:i w:val="0"/>
            <w:iCs w:val="0"/>
          </w:rPr>
          <w:t>دیوان زبیدة</w:t>
        </w:r>
        <w:r>
          <w:tab/>
        </w:r>
        <w:r>
          <w:fldChar w:fldCharType="begin"/>
        </w:r>
        <w:r>
          <w:instrText xml:space="preserve">PAGEREF 3007 \h</w:instrText>
        </w:r>
        <w:r>
          <w:fldChar w:fldCharType="end"/>
        </w:r>
      </w:hyperlink>
    </w:p>
    <w:p>
      <w:pPr>
        <w:tabs>
          <w:tab w:val="right" w:leader="dot" w:pos="9062"/>
        </w:tabs>
        <w:ind w:left="440"/>
      </w:pPr>
      <w:hyperlink w:anchor="_Toc3008" w:history="1">
        <w:r>
          <w:rPr>
            <w:rFonts w:ascii="IRNazanin" w:hAnsi="IRNazanin" w:eastAsia="IRNazanin" w:cs="IRNazanin"/>
            <w:color w:val="111111"/>
            <w:sz w:val="22"/>
            <w:szCs w:val="22"/>
            <w:b w:val="0"/>
            <w:bCs w:val="0"/>
            <w:i w:val="0"/>
            <w:iCs w:val="0"/>
          </w:rPr>
          <w:t>2337- دیوان زجری أو شعره‏</w:t>
        </w:r>
        <w:r>
          <w:tab/>
        </w:r>
        <w:r>
          <w:fldChar w:fldCharType="begin"/>
        </w:r>
        <w:r>
          <w:instrText xml:space="preserve">PAGEREF 3008 \h</w:instrText>
        </w:r>
        <w:r>
          <w:fldChar w:fldCharType="end"/>
        </w:r>
      </w:hyperlink>
    </w:p>
    <w:p>
      <w:pPr>
        <w:tabs>
          <w:tab w:val="right" w:leader="dot" w:pos="9062"/>
        </w:tabs>
        <w:ind w:left="440"/>
      </w:pPr>
      <w:hyperlink w:anchor="_Toc3009" w:history="1">
        <w:r>
          <w:rPr>
            <w:rFonts w:ascii="IRNazanin" w:hAnsi="IRNazanin" w:eastAsia="IRNazanin" w:cs="IRNazanin"/>
            <w:color w:val="111111"/>
            <w:sz w:val="22"/>
            <w:szCs w:val="22"/>
            <w:b w:val="0"/>
            <w:bCs w:val="0"/>
            <w:i w:val="0"/>
            <w:iCs w:val="0"/>
          </w:rPr>
          <w:t>2338- دیوان زخمی هندی‏</w:t>
        </w:r>
        <w:r>
          <w:tab/>
        </w:r>
        <w:r>
          <w:fldChar w:fldCharType="begin"/>
        </w:r>
        <w:r>
          <w:instrText xml:space="preserve">PAGEREF 3009 \h</w:instrText>
        </w:r>
        <w:r>
          <w:fldChar w:fldCharType="end"/>
        </w:r>
      </w:hyperlink>
    </w:p>
    <w:p>
      <w:pPr>
        <w:tabs>
          <w:tab w:val="right" w:leader="dot" w:pos="9062"/>
        </w:tabs>
        <w:ind w:left="440"/>
      </w:pPr>
      <w:hyperlink w:anchor="_Toc3010" w:history="1">
        <w:r>
          <w:rPr>
            <w:rFonts w:ascii="IRNazanin" w:hAnsi="IRNazanin" w:eastAsia="IRNazanin" w:cs="IRNazanin"/>
            <w:color w:val="111111"/>
            <w:sz w:val="22"/>
            <w:szCs w:val="22"/>
            <w:b w:val="0"/>
            <w:bCs w:val="0"/>
            <w:i w:val="0"/>
            <w:iCs w:val="0"/>
          </w:rPr>
          <w:t>دیوان زرد تبریزی‏</w:t>
        </w:r>
        <w:r>
          <w:tab/>
        </w:r>
        <w:r>
          <w:fldChar w:fldCharType="begin"/>
        </w:r>
        <w:r>
          <w:instrText xml:space="preserve">PAGEREF 3010 \h</w:instrText>
        </w:r>
        <w:r>
          <w:fldChar w:fldCharType="end"/>
        </w:r>
      </w:hyperlink>
    </w:p>
    <w:p>
      <w:pPr>
        <w:tabs>
          <w:tab w:val="right" w:leader="dot" w:pos="9062"/>
        </w:tabs>
        <w:ind w:left="440"/>
      </w:pPr>
      <w:hyperlink w:anchor="_Toc3011" w:history="1">
        <w:r>
          <w:rPr>
            <w:rFonts w:ascii="IRNazanin" w:hAnsi="IRNazanin" w:eastAsia="IRNazanin" w:cs="IRNazanin"/>
            <w:color w:val="111111"/>
            <w:sz w:val="22"/>
            <w:szCs w:val="22"/>
            <w:b w:val="0"/>
            <w:bCs w:val="0"/>
            <w:i w:val="0"/>
            <w:iCs w:val="0"/>
          </w:rPr>
          <w:t>2339- دیوان زرکش أو شعره‏</w:t>
        </w:r>
        <w:r>
          <w:tab/>
        </w:r>
        <w:r>
          <w:fldChar w:fldCharType="begin"/>
        </w:r>
        <w:r>
          <w:instrText xml:space="preserve">PAGEREF 3011 \h</w:instrText>
        </w:r>
        <w:r>
          <w:fldChar w:fldCharType="end"/>
        </w:r>
      </w:hyperlink>
    </w:p>
    <w:p>
      <w:pPr>
        <w:tabs>
          <w:tab w:val="right" w:leader="dot" w:pos="9062"/>
        </w:tabs>
        <w:ind w:left="440"/>
      </w:pPr>
      <w:hyperlink w:anchor="_Toc3012" w:history="1">
        <w:r>
          <w:rPr>
            <w:rFonts w:ascii="IRNazanin" w:hAnsi="IRNazanin" w:eastAsia="IRNazanin" w:cs="IRNazanin"/>
            <w:color w:val="111111"/>
            <w:sz w:val="22"/>
            <w:szCs w:val="22"/>
            <w:b w:val="0"/>
            <w:bCs w:val="0"/>
            <w:i w:val="0"/>
            <w:iCs w:val="0"/>
          </w:rPr>
          <w:t>2340- دیوان زرکش رشتی أو شعره‏</w:t>
        </w:r>
        <w:r>
          <w:tab/>
        </w:r>
        <w:r>
          <w:fldChar w:fldCharType="begin"/>
        </w:r>
        <w:r>
          <w:instrText xml:space="preserve">PAGEREF 3012 \h</w:instrText>
        </w:r>
        <w:r>
          <w:fldChar w:fldCharType="end"/>
        </w:r>
      </w:hyperlink>
    </w:p>
    <w:p>
      <w:pPr>
        <w:tabs>
          <w:tab w:val="right" w:leader="dot" w:pos="9062"/>
        </w:tabs>
        <w:ind w:left="440"/>
      </w:pPr>
      <w:hyperlink w:anchor="_Toc3013" w:history="1">
        <w:r>
          <w:rPr>
            <w:rFonts w:ascii="IRNazanin" w:hAnsi="IRNazanin" w:eastAsia="IRNazanin" w:cs="IRNazanin"/>
            <w:color w:val="111111"/>
            <w:sz w:val="22"/>
            <w:szCs w:val="22"/>
            <w:b w:val="0"/>
            <w:bCs w:val="0"/>
            <w:i w:val="0"/>
            <w:iCs w:val="0"/>
          </w:rPr>
          <w:t>2341- دیوان زرکش یزدی أو شعره‏</w:t>
        </w:r>
        <w:r>
          <w:tab/>
        </w:r>
        <w:r>
          <w:fldChar w:fldCharType="begin"/>
        </w:r>
        <w:r>
          <w:instrText xml:space="preserve">PAGEREF 3013 \h</w:instrText>
        </w:r>
        <w:r>
          <w:fldChar w:fldCharType="end"/>
        </w:r>
      </w:hyperlink>
    </w:p>
    <w:p>
      <w:pPr>
        <w:tabs>
          <w:tab w:val="right" w:leader="dot" w:pos="9062"/>
        </w:tabs>
        <w:ind w:left="440"/>
      </w:pPr>
      <w:hyperlink w:anchor="_Toc3014" w:history="1">
        <w:r>
          <w:rPr>
            <w:rFonts w:ascii="IRNazanin" w:hAnsi="IRNazanin" w:eastAsia="IRNazanin" w:cs="IRNazanin"/>
            <w:color w:val="111111"/>
            <w:sz w:val="22"/>
            <w:szCs w:val="22"/>
            <w:b w:val="0"/>
            <w:bCs w:val="0"/>
            <w:i w:val="0"/>
            <w:iCs w:val="0"/>
          </w:rPr>
          <w:t>2342- دیوان زرکوب أصفهانی أو شعره‏</w:t>
        </w:r>
        <w:r>
          <w:tab/>
        </w:r>
        <w:r>
          <w:fldChar w:fldCharType="begin"/>
        </w:r>
        <w:r>
          <w:instrText xml:space="preserve">PAGEREF 3014 \h</w:instrText>
        </w:r>
        <w:r>
          <w:fldChar w:fldCharType="end"/>
        </w:r>
      </w:hyperlink>
    </w:p>
    <w:p>
      <w:pPr>
        <w:tabs>
          <w:tab w:val="right" w:leader="dot" w:pos="9062"/>
        </w:tabs>
        <w:ind w:left="440"/>
      </w:pPr>
      <w:hyperlink w:anchor="_Toc3015" w:history="1">
        <w:r>
          <w:rPr>
            <w:rFonts w:ascii="IRNazanin" w:hAnsi="IRNazanin" w:eastAsia="IRNazanin" w:cs="IRNazanin"/>
            <w:color w:val="111111"/>
            <w:sz w:val="22"/>
            <w:szCs w:val="22"/>
            <w:b w:val="0"/>
            <w:bCs w:val="0"/>
            <w:i w:val="0"/>
            <w:iCs w:val="0"/>
          </w:rPr>
          <w:t>2343- دیوان زرکوب تبریزی‏</w:t>
        </w:r>
        <w:r>
          <w:tab/>
        </w:r>
        <w:r>
          <w:fldChar w:fldCharType="begin"/>
        </w:r>
        <w:r>
          <w:instrText xml:space="preserve">PAGEREF 3015 \h</w:instrText>
        </w:r>
        <w:r>
          <w:fldChar w:fldCharType="end"/>
        </w:r>
      </w:hyperlink>
    </w:p>
    <w:p>
      <w:pPr>
        <w:tabs>
          <w:tab w:val="right" w:leader="dot" w:pos="9062"/>
        </w:tabs>
        <w:ind w:left="440"/>
      </w:pPr>
      <w:hyperlink w:anchor="_Toc3016" w:history="1">
        <w:r>
          <w:rPr>
            <w:rFonts w:ascii="IRNazanin" w:hAnsi="IRNazanin" w:eastAsia="IRNazanin" w:cs="IRNazanin"/>
            <w:color w:val="111111"/>
            <w:sz w:val="22"/>
            <w:szCs w:val="22"/>
            <w:b w:val="0"/>
            <w:bCs w:val="0"/>
            <w:i w:val="0"/>
            <w:iCs w:val="0"/>
          </w:rPr>
          <w:t>دیوان زرگر أصفهانی‏</w:t>
        </w:r>
        <w:r>
          <w:tab/>
        </w:r>
        <w:r>
          <w:fldChar w:fldCharType="begin"/>
        </w:r>
        <w:r>
          <w:instrText xml:space="preserve">PAGEREF 3016 \h</w:instrText>
        </w:r>
        <w:r>
          <w:fldChar w:fldCharType="end"/>
        </w:r>
      </w:hyperlink>
    </w:p>
    <w:p>
      <w:pPr>
        <w:tabs>
          <w:tab w:val="right" w:leader="dot" w:pos="9062"/>
        </w:tabs>
        <w:ind w:left="440"/>
      </w:pPr>
      <w:hyperlink w:anchor="_Toc3017" w:history="1">
        <w:r>
          <w:rPr>
            <w:rFonts w:ascii="IRNazanin" w:hAnsi="IRNazanin" w:eastAsia="IRNazanin" w:cs="IRNazanin"/>
            <w:color w:val="111111"/>
            <w:sz w:val="22"/>
            <w:szCs w:val="22"/>
            <w:b w:val="0"/>
            <w:bCs w:val="0"/>
            <w:i w:val="0"/>
            <w:iCs w:val="0"/>
          </w:rPr>
          <w:t>دیوان زرگر أصفهانی‏</w:t>
        </w:r>
        <w:r>
          <w:tab/>
        </w:r>
        <w:r>
          <w:fldChar w:fldCharType="begin"/>
        </w:r>
        <w:r>
          <w:instrText xml:space="preserve">PAGEREF 3017 \h</w:instrText>
        </w:r>
        <w:r>
          <w:fldChar w:fldCharType="end"/>
        </w:r>
      </w:hyperlink>
    </w:p>
    <w:p>
      <w:pPr>
        <w:tabs>
          <w:tab w:val="right" w:leader="dot" w:pos="9062"/>
        </w:tabs>
        <w:ind w:left="440"/>
      </w:pPr>
      <w:hyperlink w:anchor="_Toc3018" w:history="1">
        <w:r>
          <w:rPr>
            <w:rFonts w:ascii="IRNazanin" w:hAnsi="IRNazanin" w:eastAsia="IRNazanin" w:cs="IRNazanin"/>
            <w:color w:val="111111"/>
            <w:sz w:val="22"/>
            <w:szCs w:val="22"/>
            <w:b w:val="0"/>
            <w:bCs w:val="0"/>
            <w:i w:val="0"/>
            <w:iCs w:val="0"/>
          </w:rPr>
          <w:t>2344- دیوان زرگر أصفهانی‏</w:t>
        </w:r>
        <w:r>
          <w:tab/>
        </w:r>
        <w:r>
          <w:fldChar w:fldCharType="begin"/>
        </w:r>
        <w:r>
          <w:instrText xml:space="preserve">PAGEREF 3018 \h</w:instrText>
        </w:r>
        <w:r>
          <w:fldChar w:fldCharType="end"/>
        </w:r>
      </w:hyperlink>
    </w:p>
    <w:p>
      <w:pPr>
        <w:tabs>
          <w:tab w:val="right" w:leader="dot" w:pos="9062"/>
        </w:tabs>
        <w:ind w:left="440"/>
      </w:pPr>
      <w:hyperlink w:anchor="_Toc3019" w:history="1">
        <w:r>
          <w:rPr>
            <w:rFonts w:ascii="IRNazanin" w:hAnsi="IRNazanin" w:eastAsia="IRNazanin" w:cs="IRNazanin"/>
            <w:color w:val="111111"/>
            <w:sz w:val="22"/>
            <w:szCs w:val="22"/>
            <w:b w:val="0"/>
            <w:bCs w:val="0"/>
            <w:i w:val="0"/>
            <w:iCs w:val="0"/>
          </w:rPr>
          <w:t>2345- دیوان زرگر تبریزی‏</w:t>
        </w:r>
        <w:r>
          <w:tab/>
        </w:r>
        <w:r>
          <w:fldChar w:fldCharType="begin"/>
        </w:r>
        <w:r>
          <w:instrText xml:space="preserve">PAGEREF 3019 \h</w:instrText>
        </w:r>
        <w:r>
          <w:fldChar w:fldCharType="end"/>
        </w:r>
      </w:hyperlink>
    </w:p>
    <w:p>
      <w:pPr>
        <w:tabs>
          <w:tab w:val="right" w:leader="dot" w:pos="9062"/>
        </w:tabs>
        <w:ind w:left="440"/>
      </w:pPr>
      <w:hyperlink w:anchor="_Toc3020" w:history="1">
        <w:r>
          <w:rPr>
            <w:rFonts w:ascii="IRNazanin" w:hAnsi="IRNazanin" w:eastAsia="IRNazanin" w:cs="IRNazanin"/>
            <w:color w:val="111111"/>
            <w:sz w:val="22"/>
            <w:szCs w:val="22"/>
            <w:b w:val="0"/>
            <w:bCs w:val="0"/>
            <w:i w:val="0"/>
            <w:iCs w:val="0"/>
          </w:rPr>
          <w:t>2346- دیوان زرگر رشتی‏</w:t>
        </w:r>
        <w:r>
          <w:tab/>
        </w:r>
        <w:r>
          <w:fldChar w:fldCharType="begin"/>
        </w:r>
        <w:r>
          <w:instrText xml:space="preserve">PAGEREF 3020 \h</w:instrText>
        </w:r>
        <w:r>
          <w:fldChar w:fldCharType="end"/>
        </w:r>
      </w:hyperlink>
    </w:p>
    <w:p>
      <w:pPr>
        <w:tabs>
          <w:tab w:val="right" w:leader="dot" w:pos="9062"/>
        </w:tabs>
        <w:ind w:left="440"/>
      </w:pPr>
      <w:hyperlink w:anchor="_Toc3021" w:history="1">
        <w:r>
          <w:rPr>
            <w:rFonts w:ascii="IRNazanin" w:hAnsi="IRNazanin" w:eastAsia="IRNazanin" w:cs="IRNazanin"/>
            <w:color w:val="111111"/>
            <w:sz w:val="22"/>
            <w:szCs w:val="22"/>
            <w:b w:val="0"/>
            <w:bCs w:val="0"/>
            <w:i w:val="0"/>
            <w:iCs w:val="0"/>
          </w:rPr>
          <w:t>2347- دیوان زکریا ملتانی أو شعره‏</w:t>
        </w:r>
        <w:r>
          <w:tab/>
        </w:r>
        <w:r>
          <w:fldChar w:fldCharType="begin"/>
        </w:r>
        <w:r>
          <w:instrText xml:space="preserve">PAGEREF 3021 \h</w:instrText>
        </w:r>
        <w:r>
          <w:fldChar w:fldCharType="end"/>
        </w:r>
      </w:hyperlink>
    </w:p>
    <w:p>
      <w:pPr>
        <w:tabs>
          <w:tab w:val="right" w:leader="dot" w:pos="9062"/>
        </w:tabs>
        <w:ind w:left="440"/>
      </w:pPr>
      <w:hyperlink w:anchor="_Toc3022" w:history="1">
        <w:r>
          <w:rPr>
            <w:rFonts w:ascii="IRNazanin" w:hAnsi="IRNazanin" w:eastAsia="IRNazanin" w:cs="IRNazanin"/>
            <w:color w:val="111111"/>
            <w:sz w:val="22"/>
            <w:szCs w:val="22"/>
            <w:b w:val="0"/>
            <w:bCs w:val="0"/>
            <w:i w:val="0"/>
            <w:iCs w:val="0"/>
          </w:rPr>
          <w:t>2348- دیوان زکی‏</w:t>
        </w:r>
        <w:r>
          <w:tab/>
        </w:r>
        <w:r>
          <w:fldChar w:fldCharType="begin"/>
        </w:r>
        <w:r>
          <w:instrText xml:space="preserve">PAGEREF 3022 \h</w:instrText>
        </w:r>
        <w:r>
          <w:fldChar w:fldCharType="end"/>
        </w:r>
      </w:hyperlink>
    </w:p>
    <w:p>
      <w:pPr>
        <w:tabs>
          <w:tab w:val="right" w:leader="dot" w:pos="9062"/>
        </w:tabs>
        <w:ind w:left="440"/>
      </w:pPr>
      <w:hyperlink w:anchor="_Toc3023" w:history="1">
        <w:r>
          <w:rPr>
            <w:rFonts w:ascii="IRNazanin" w:hAnsi="IRNazanin" w:eastAsia="IRNazanin" w:cs="IRNazanin"/>
            <w:color w:val="111111"/>
            <w:sz w:val="22"/>
            <w:szCs w:val="22"/>
            <w:b w:val="0"/>
            <w:bCs w:val="0"/>
            <w:i w:val="0"/>
            <w:iCs w:val="0"/>
          </w:rPr>
          <w:t>2349- دیوان زکی شیرازی أو شعره‏</w:t>
        </w:r>
        <w:r>
          <w:tab/>
        </w:r>
        <w:r>
          <w:fldChar w:fldCharType="begin"/>
        </w:r>
        <w:r>
          <w:instrText xml:space="preserve">PAGEREF 3023 \h</w:instrText>
        </w:r>
        <w:r>
          <w:fldChar w:fldCharType="end"/>
        </w:r>
      </w:hyperlink>
    </w:p>
    <w:p>
      <w:pPr>
        <w:tabs>
          <w:tab w:val="right" w:leader="dot" w:pos="9062"/>
        </w:tabs>
        <w:ind w:left="440"/>
      </w:pPr>
      <w:hyperlink w:anchor="_Toc3024" w:history="1">
        <w:r>
          <w:rPr>
            <w:rFonts w:ascii="IRNazanin" w:hAnsi="IRNazanin" w:eastAsia="IRNazanin" w:cs="IRNazanin"/>
            <w:color w:val="111111"/>
            <w:sz w:val="22"/>
            <w:szCs w:val="22"/>
            <w:b w:val="0"/>
            <w:bCs w:val="0"/>
            <w:i w:val="0"/>
            <w:iCs w:val="0"/>
          </w:rPr>
          <w:t>2350- دیوان زکی کاشغری‏</w:t>
        </w:r>
        <w:r>
          <w:tab/>
        </w:r>
        <w:r>
          <w:fldChar w:fldCharType="begin"/>
        </w:r>
        <w:r>
          <w:instrText xml:space="preserve">PAGEREF 3024 \h</w:instrText>
        </w:r>
        <w:r>
          <w:fldChar w:fldCharType="end"/>
        </w:r>
      </w:hyperlink>
    </w:p>
    <w:p>
      <w:pPr>
        <w:tabs>
          <w:tab w:val="right" w:leader="dot" w:pos="9062"/>
        </w:tabs>
        <w:ind w:left="440"/>
      </w:pPr>
      <w:hyperlink w:anchor="_Toc3025" w:history="1">
        <w:r>
          <w:rPr>
            <w:rFonts w:ascii="IRNazanin" w:hAnsi="IRNazanin" w:eastAsia="IRNazanin" w:cs="IRNazanin"/>
            <w:color w:val="111111"/>
            <w:sz w:val="22"/>
            <w:szCs w:val="22"/>
            <w:b w:val="0"/>
            <w:bCs w:val="0"/>
            <w:i w:val="0"/>
            <w:iCs w:val="0"/>
          </w:rPr>
          <w:t>دیوان زکی مشهدی‏</w:t>
        </w:r>
        <w:r>
          <w:tab/>
        </w:r>
        <w:r>
          <w:fldChar w:fldCharType="begin"/>
        </w:r>
        <w:r>
          <w:instrText xml:space="preserve">PAGEREF 3025 \h</w:instrText>
        </w:r>
        <w:r>
          <w:fldChar w:fldCharType="end"/>
        </w:r>
      </w:hyperlink>
    </w:p>
    <w:p>
      <w:pPr>
        <w:tabs>
          <w:tab w:val="right" w:leader="dot" w:pos="9062"/>
        </w:tabs>
        <w:ind w:left="440"/>
      </w:pPr>
      <w:hyperlink w:anchor="_Toc3026" w:history="1">
        <w:r>
          <w:rPr>
            <w:rFonts w:ascii="IRNazanin" w:hAnsi="IRNazanin" w:eastAsia="IRNazanin" w:cs="IRNazanin"/>
            <w:color w:val="111111"/>
            <w:sz w:val="22"/>
            <w:szCs w:val="22"/>
            <w:b w:val="0"/>
            <w:bCs w:val="0"/>
            <w:i w:val="0"/>
            <w:iCs w:val="0"/>
          </w:rPr>
          <w:t>2351- دیوان زکی مرادآبادی أو شعره‏</w:t>
        </w:r>
        <w:r>
          <w:tab/>
        </w:r>
        <w:r>
          <w:fldChar w:fldCharType="begin"/>
        </w:r>
        <w:r>
          <w:instrText xml:space="preserve">PAGEREF 3026 \h</w:instrText>
        </w:r>
        <w:r>
          <w:fldChar w:fldCharType="end"/>
        </w:r>
      </w:hyperlink>
    </w:p>
    <w:p>
      <w:pPr>
        <w:tabs>
          <w:tab w:val="right" w:leader="dot" w:pos="9062"/>
        </w:tabs>
        <w:ind w:left="440"/>
      </w:pPr>
      <w:hyperlink w:anchor="_Toc3027" w:history="1">
        <w:r>
          <w:rPr>
            <w:rFonts w:ascii="IRNazanin" w:hAnsi="IRNazanin" w:eastAsia="IRNazanin" w:cs="IRNazanin"/>
            <w:color w:val="111111"/>
            <w:sz w:val="22"/>
            <w:szCs w:val="22"/>
            <w:b w:val="0"/>
            <w:bCs w:val="0"/>
            <w:i w:val="0"/>
            <w:iCs w:val="0"/>
          </w:rPr>
          <w:t>2352- دیوان زکی همدانی‏</w:t>
        </w:r>
        <w:r>
          <w:tab/>
        </w:r>
        <w:r>
          <w:fldChar w:fldCharType="begin"/>
        </w:r>
        <w:r>
          <w:instrText xml:space="preserve">PAGEREF 3027 \h</w:instrText>
        </w:r>
        <w:r>
          <w:fldChar w:fldCharType="end"/>
        </w:r>
      </w:hyperlink>
    </w:p>
    <w:p>
      <w:pPr>
        <w:tabs>
          <w:tab w:val="right" w:leader="dot" w:pos="9062"/>
        </w:tabs>
        <w:ind w:left="440"/>
      </w:pPr>
      <w:hyperlink w:anchor="_Toc3028" w:history="1">
        <w:r>
          <w:rPr>
            <w:rFonts w:ascii="IRNazanin" w:hAnsi="IRNazanin" w:eastAsia="IRNazanin" w:cs="IRNazanin"/>
            <w:color w:val="111111"/>
            <w:sz w:val="22"/>
            <w:szCs w:val="22"/>
            <w:b w:val="0"/>
            <w:bCs w:val="0"/>
            <w:i w:val="0"/>
            <w:iCs w:val="0"/>
          </w:rPr>
          <w:t>2353- دیوان زکی همدانی‏</w:t>
        </w:r>
        <w:r>
          <w:tab/>
        </w:r>
        <w:r>
          <w:fldChar w:fldCharType="begin"/>
        </w:r>
        <w:r>
          <w:instrText xml:space="preserve">PAGEREF 3028 \h</w:instrText>
        </w:r>
        <w:r>
          <w:fldChar w:fldCharType="end"/>
        </w:r>
      </w:hyperlink>
    </w:p>
    <w:p>
      <w:pPr>
        <w:tabs>
          <w:tab w:val="right" w:leader="dot" w:pos="9062"/>
        </w:tabs>
        <w:ind w:left="440"/>
      </w:pPr>
      <w:hyperlink w:anchor="_Toc3029" w:history="1">
        <w:r>
          <w:rPr>
            <w:rFonts w:ascii="IRNazanin" w:hAnsi="IRNazanin" w:eastAsia="IRNazanin" w:cs="IRNazanin"/>
            <w:color w:val="111111"/>
            <w:sz w:val="22"/>
            <w:szCs w:val="22"/>
            <w:b w:val="0"/>
            <w:bCs w:val="0"/>
            <w:i w:val="0"/>
            <w:iCs w:val="0"/>
          </w:rPr>
          <w:t>2354- دیوان زکیا یزدی أو شعره‏</w:t>
        </w:r>
        <w:r>
          <w:tab/>
        </w:r>
        <w:r>
          <w:fldChar w:fldCharType="begin"/>
        </w:r>
        <w:r>
          <w:instrText xml:space="preserve">PAGEREF 3029 \h</w:instrText>
        </w:r>
        <w:r>
          <w:fldChar w:fldCharType="end"/>
        </w:r>
      </w:hyperlink>
    </w:p>
    <w:p>
      <w:pPr>
        <w:tabs>
          <w:tab w:val="right" w:leader="dot" w:pos="9062"/>
        </w:tabs>
        <w:ind w:left="440"/>
      </w:pPr>
      <w:hyperlink w:anchor="_Toc3030" w:history="1">
        <w:r>
          <w:rPr>
            <w:rFonts w:ascii="IRNazanin" w:hAnsi="IRNazanin" w:eastAsia="IRNazanin" w:cs="IRNazanin"/>
            <w:color w:val="111111"/>
            <w:sz w:val="22"/>
            <w:szCs w:val="22"/>
            <w:b w:val="0"/>
            <w:bCs w:val="0"/>
            <w:i w:val="0"/>
            <w:iCs w:val="0"/>
          </w:rPr>
          <w:t>2355- دیوان زلالی تبریزی أو شعره‏</w:t>
        </w:r>
        <w:r>
          <w:tab/>
        </w:r>
        <w:r>
          <w:fldChar w:fldCharType="begin"/>
        </w:r>
        <w:r>
          <w:instrText xml:space="preserve">PAGEREF 3030 \h</w:instrText>
        </w:r>
        <w:r>
          <w:fldChar w:fldCharType="end"/>
        </w:r>
      </w:hyperlink>
    </w:p>
    <w:p>
      <w:pPr>
        <w:tabs>
          <w:tab w:val="right" w:leader="dot" w:pos="9062"/>
        </w:tabs>
        <w:ind w:left="440"/>
      </w:pPr>
      <w:hyperlink w:anchor="_Toc3031" w:history="1">
        <w:r>
          <w:rPr>
            <w:rFonts w:ascii="IRNazanin" w:hAnsi="IRNazanin" w:eastAsia="IRNazanin" w:cs="IRNazanin"/>
            <w:color w:val="111111"/>
            <w:sz w:val="22"/>
            <w:szCs w:val="22"/>
            <w:b w:val="0"/>
            <w:bCs w:val="0"/>
            <w:i w:val="0"/>
            <w:iCs w:val="0"/>
          </w:rPr>
          <w:t>2356- دیوان زلالی خوارزمی‏</w:t>
        </w:r>
        <w:r>
          <w:tab/>
        </w:r>
        <w:r>
          <w:fldChar w:fldCharType="begin"/>
        </w:r>
        <w:r>
          <w:instrText xml:space="preserve">PAGEREF 3031 \h</w:instrText>
        </w:r>
        <w:r>
          <w:fldChar w:fldCharType="end"/>
        </w:r>
      </w:hyperlink>
    </w:p>
    <w:p>
      <w:pPr>
        <w:tabs>
          <w:tab w:val="right" w:leader="dot" w:pos="9062"/>
        </w:tabs>
        <w:ind w:left="440"/>
      </w:pPr>
      <w:hyperlink w:anchor="_Toc3032" w:history="1">
        <w:r>
          <w:rPr>
            <w:rFonts w:ascii="IRNazanin" w:hAnsi="IRNazanin" w:eastAsia="IRNazanin" w:cs="IRNazanin"/>
            <w:color w:val="111111"/>
            <w:sz w:val="22"/>
            <w:szCs w:val="22"/>
            <w:b w:val="0"/>
            <w:bCs w:val="0"/>
            <w:i w:val="0"/>
            <w:iCs w:val="0"/>
          </w:rPr>
          <w:t>2357- دیوان زلالی خوانساری‏</w:t>
        </w:r>
        <w:r>
          <w:tab/>
        </w:r>
        <w:r>
          <w:fldChar w:fldCharType="begin"/>
        </w:r>
        <w:r>
          <w:instrText xml:space="preserve">PAGEREF 3032 \h</w:instrText>
        </w:r>
        <w:r>
          <w:fldChar w:fldCharType="end"/>
        </w:r>
      </w:hyperlink>
    </w:p>
    <w:p>
      <w:pPr>
        <w:tabs>
          <w:tab w:val="right" w:leader="dot" w:pos="9062"/>
        </w:tabs>
        <w:ind w:left="440"/>
      </w:pPr>
      <w:hyperlink w:anchor="_Toc3033" w:history="1">
        <w:r>
          <w:rPr>
            <w:rFonts w:ascii="IRNazanin" w:hAnsi="IRNazanin" w:eastAsia="IRNazanin" w:cs="IRNazanin"/>
            <w:color w:val="111111"/>
            <w:sz w:val="22"/>
            <w:szCs w:val="22"/>
            <w:b w:val="0"/>
            <w:bCs w:val="0"/>
            <w:i w:val="0"/>
            <w:iCs w:val="0"/>
          </w:rPr>
          <w:t>2358- دیوان زلالی درویش أو شعره‏</w:t>
        </w:r>
        <w:r>
          <w:tab/>
        </w:r>
        <w:r>
          <w:fldChar w:fldCharType="begin"/>
        </w:r>
        <w:r>
          <w:instrText xml:space="preserve">PAGEREF 3033 \h</w:instrText>
        </w:r>
        <w:r>
          <w:fldChar w:fldCharType="end"/>
        </w:r>
      </w:hyperlink>
    </w:p>
    <w:p>
      <w:pPr>
        <w:tabs>
          <w:tab w:val="right" w:leader="dot" w:pos="9062"/>
        </w:tabs>
        <w:ind w:left="440"/>
      </w:pPr>
      <w:hyperlink w:anchor="_Toc3034" w:history="1">
        <w:r>
          <w:rPr>
            <w:rFonts w:ascii="IRNazanin" w:hAnsi="IRNazanin" w:eastAsia="IRNazanin" w:cs="IRNazanin"/>
            <w:color w:val="111111"/>
            <w:sz w:val="22"/>
            <w:szCs w:val="22"/>
            <w:b w:val="0"/>
            <w:bCs w:val="0"/>
            <w:i w:val="0"/>
            <w:iCs w:val="0"/>
          </w:rPr>
          <w:t>2359- دیوان زلالی شیرازی أو شعره‏</w:t>
        </w:r>
        <w:r>
          <w:tab/>
        </w:r>
        <w:r>
          <w:fldChar w:fldCharType="begin"/>
        </w:r>
        <w:r>
          <w:instrText xml:space="preserve">PAGEREF 3034 \h</w:instrText>
        </w:r>
        <w:r>
          <w:fldChar w:fldCharType="end"/>
        </w:r>
      </w:hyperlink>
    </w:p>
    <w:p>
      <w:pPr>
        <w:tabs>
          <w:tab w:val="right" w:leader="dot" w:pos="9062"/>
        </w:tabs>
        <w:ind w:left="440"/>
      </w:pPr>
      <w:hyperlink w:anchor="_Toc3035" w:history="1">
        <w:r>
          <w:rPr>
            <w:rFonts w:ascii="IRNazanin" w:hAnsi="IRNazanin" w:eastAsia="IRNazanin" w:cs="IRNazanin"/>
            <w:color w:val="111111"/>
            <w:sz w:val="22"/>
            <w:szCs w:val="22"/>
            <w:b w:val="0"/>
            <w:bCs w:val="0"/>
            <w:i w:val="0"/>
            <w:iCs w:val="0"/>
          </w:rPr>
          <w:t>2360- دیوان زلالی شیروانی‏</w:t>
        </w:r>
        <w:r>
          <w:tab/>
        </w:r>
        <w:r>
          <w:fldChar w:fldCharType="begin"/>
        </w:r>
        <w:r>
          <w:instrText xml:space="preserve">PAGEREF 3035 \h</w:instrText>
        </w:r>
        <w:r>
          <w:fldChar w:fldCharType="end"/>
        </w:r>
      </w:hyperlink>
    </w:p>
    <w:p>
      <w:pPr>
        <w:tabs>
          <w:tab w:val="right" w:leader="dot" w:pos="9062"/>
        </w:tabs>
        <w:ind w:left="440"/>
      </w:pPr>
      <w:hyperlink w:anchor="_Toc3036" w:history="1">
        <w:r>
          <w:rPr>
            <w:rFonts w:ascii="IRNazanin" w:hAnsi="IRNazanin" w:eastAsia="IRNazanin" w:cs="IRNazanin"/>
            <w:color w:val="111111"/>
            <w:sz w:val="22"/>
            <w:szCs w:val="22"/>
            <w:b w:val="0"/>
            <w:bCs w:val="0"/>
            <w:i w:val="0"/>
            <w:iCs w:val="0"/>
          </w:rPr>
          <w:t>2361- دیوان زلالی گیلانی أو شعره‏</w:t>
        </w:r>
        <w:r>
          <w:tab/>
        </w:r>
        <w:r>
          <w:fldChar w:fldCharType="begin"/>
        </w:r>
        <w:r>
          <w:instrText xml:space="preserve">PAGEREF 3036 \h</w:instrText>
        </w:r>
        <w:r>
          <w:fldChar w:fldCharType="end"/>
        </w:r>
      </w:hyperlink>
    </w:p>
    <w:p>
      <w:pPr>
        <w:tabs>
          <w:tab w:val="right" w:leader="dot" w:pos="9062"/>
        </w:tabs>
        <w:ind w:left="440"/>
      </w:pPr>
      <w:hyperlink w:anchor="_Toc3037" w:history="1">
        <w:r>
          <w:rPr>
            <w:rFonts w:ascii="IRNazanin" w:hAnsi="IRNazanin" w:eastAsia="IRNazanin" w:cs="IRNazanin"/>
            <w:color w:val="111111"/>
            <w:sz w:val="22"/>
            <w:szCs w:val="22"/>
            <w:b w:val="0"/>
            <w:bCs w:val="0"/>
            <w:i w:val="0"/>
            <w:iCs w:val="0"/>
          </w:rPr>
          <w:t>2362- دیوان زلالی لاری أو شعره‏</w:t>
        </w:r>
        <w:r>
          <w:tab/>
        </w:r>
        <w:r>
          <w:fldChar w:fldCharType="begin"/>
        </w:r>
        <w:r>
          <w:instrText xml:space="preserve">PAGEREF 3037 \h</w:instrText>
        </w:r>
        <w:r>
          <w:fldChar w:fldCharType="end"/>
        </w:r>
      </w:hyperlink>
    </w:p>
    <w:p>
      <w:pPr>
        <w:tabs>
          <w:tab w:val="right" w:leader="dot" w:pos="9062"/>
        </w:tabs>
        <w:ind w:left="440"/>
      </w:pPr>
      <w:hyperlink w:anchor="_Toc3038" w:history="1">
        <w:r>
          <w:rPr>
            <w:rFonts w:ascii="IRNazanin" w:hAnsi="IRNazanin" w:eastAsia="IRNazanin" w:cs="IRNazanin"/>
            <w:color w:val="111111"/>
            <w:sz w:val="22"/>
            <w:szCs w:val="22"/>
            <w:b w:val="0"/>
            <w:bCs w:val="0"/>
            <w:i w:val="0"/>
            <w:iCs w:val="0"/>
          </w:rPr>
          <w:t>2363- دیوان زلالی هروی أو شعره‏</w:t>
        </w:r>
        <w:r>
          <w:tab/>
        </w:r>
        <w:r>
          <w:fldChar w:fldCharType="begin"/>
        </w:r>
        <w:r>
          <w:instrText xml:space="preserve">PAGEREF 3038 \h</w:instrText>
        </w:r>
        <w:r>
          <w:fldChar w:fldCharType="end"/>
        </w:r>
      </w:hyperlink>
    </w:p>
    <w:p>
      <w:pPr>
        <w:tabs>
          <w:tab w:val="right" w:leader="dot" w:pos="9062"/>
        </w:tabs>
        <w:ind w:left="440"/>
      </w:pPr>
      <w:hyperlink w:anchor="_Toc3039" w:history="1">
        <w:r>
          <w:rPr>
            <w:rFonts w:ascii="IRNazanin" w:hAnsi="IRNazanin" w:eastAsia="IRNazanin" w:cs="IRNazanin"/>
            <w:color w:val="111111"/>
            <w:sz w:val="22"/>
            <w:szCs w:val="22"/>
            <w:b w:val="0"/>
            <w:bCs w:val="0"/>
            <w:i w:val="0"/>
            <w:iCs w:val="0"/>
          </w:rPr>
          <w:t>دیوان زمانا حنا تراش‏</w:t>
        </w:r>
        <w:r>
          <w:tab/>
        </w:r>
        <w:r>
          <w:fldChar w:fldCharType="begin"/>
        </w:r>
        <w:r>
          <w:instrText xml:space="preserve">PAGEREF 3039 \h</w:instrText>
        </w:r>
        <w:r>
          <w:fldChar w:fldCharType="end"/>
        </w:r>
      </w:hyperlink>
    </w:p>
    <w:p>
      <w:pPr>
        <w:tabs>
          <w:tab w:val="right" w:leader="dot" w:pos="9062"/>
        </w:tabs>
        <w:ind w:left="440"/>
      </w:pPr>
      <w:hyperlink w:anchor="_Toc3040" w:history="1">
        <w:r>
          <w:rPr>
            <w:rFonts w:ascii="IRNazanin" w:hAnsi="IRNazanin" w:eastAsia="IRNazanin" w:cs="IRNazanin"/>
            <w:color w:val="111111"/>
            <w:sz w:val="22"/>
            <w:szCs w:val="22"/>
            <w:b w:val="0"/>
            <w:bCs w:val="0"/>
            <w:i w:val="0"/>
            <w:iCs w:val="0"/>
          </w:rPr>
          <w:t>2364- دیوان زمانا لاهیجی أو شعره‏</w:t>
        </w:r>
        <w:r>
          <w:tab/>
        </w:r>
        <w:r>
          <w:fldChar w:fldCharType="begin"/>
        </w:r>
        <w:r>
          <w:instrText xml:space="preserve">PAGEREF 3040 \h</w:instrText>
        </w:r>
        <w:r>
          <w:fldChar w:fldCharType="end"/>
        </w:r>
      </w:hyperlink>
    </w:p>
    <w:p>
      <w:pPr>
        <w:tabs>
          <w:tab w:val="right" w:leader="dot" w:pos="9062"/>
        </w:tabs>
        <w:ind w:left="440"/>
      </w:pPr>
      <w:hyperlink w:anchor="_Toc3041" w:history="1">
        <w:r>
          <w:rPr>
            <w:rFonts w:ascii="IRNazanin" w:hAnsi="IRNazanin" w:eastAsia="IRNazanin" w:cs="IRNazanin"/>
            <w:color w:val="111111"/>
            <w:sz w:val="22"/>
            <w:szCs w:val="22"/>
            <w:b w:val="0"/>
            <w:bCs w:val="0"/>
            <w:i w:val="0"/>
            <w:iCs w:val="0"/>
          </w:rPr>
          <w:t>2365- دیوان زمانای نقاش أو شعره‏</w:t>
        </w:r>
        <w:r>
          <w:tab/>
        </w:r>
        <w:r>
          <w:fldChar w:fldCharType="begin"/>
        </w:r>
        <w:r>
          <w:instrText xml:space="preserve">PAGEREF 3041 \h</w:instrText>
        </w:r>
        <w:r>
          <w:fldChar w:fldCharType="end"/>
        </w:r>
      </w:hyperlink>
    </w:p>
    <w:p>
      <w:pPr>
        <w:tabs>
          <w:tab w:val="right" w:leader="dot" w:pos="9062"/>
        </w:tabs>
        <w:ind w:left="440"/>
      </w:pPr>
      <w:hyperlink w:anchor="_Toc3042" w:history="1">
        <w:r>
          <w:rPr>
            <w:rFonts w:ascii="IRNazanin" w:hAnsi="IRNazanin" w:eastAsia="IRNazanin" w:cs="IRNazanin"/>
            <w:color w:val="111111"/>
            <w:sz w:val="22"/>
            <w:szCs w:val="22"/>
            <w:b w:val="0"/>
            <w:bCs w:val="0"/>
            <w:i w:val="0"/>
            <w:iCs w:val="0"/>
          </w:rPr>
          <w:t>دیوان زمان أصفهانی‏</w:t>
        </w:r>
        <w:r>
          <w:tab/>
        </w:r>
        <w:r>
          <w:fldChar w:fldCharType="begin"/>
        </w:r>
        <w:r>
          <w:instrText xml:space="preserve">PAGEREF 3042 \h</w:instrText>
        </w:r>
        <w:r>
          <w:fldChar w:fldCharType="end"/>
        </w:r>
      </w:hyperlink>
    </w:p>
    <w:p>
      <w:pPr>
        <w:tabs>
          <w:tab w:val="right" w:leader="dot" w:pos="9062"/>
        </w:tabs>
        <w:ind w:left="440"/>
      </w:pPr>
      <w:hyperlink w:anchor="_Toc3043" w:history="1">
        <w:r>
          <w:rPr>
            <w:rFonts w:ascii="IRNazanin" w:hAnsi="IRNazanin" w:eastAsia="IRNazanin" w:cs="IRNazanin"/>
            <w:color w:val="111111"/>
            <w:sz w:val="22"/>
            <w:szCs w:val="22"/>
            <w:b w:val="0"/>
            <w:bCs w:val="0"/>
            <w:i w:val="0"/>
            <w:iCs w:val="0"/>
          </w:rPr>
          <w:t>2366- دیوان محمد زمان بندگانی‏</w:t>
        </w:r>
        <w:r>
          <w:tab/>
        </w:r>
        <w:r>
          <w:fldChar w:fldCharType="begin"/>
        </w:r>
        <w:r>
          <w:instrText xml:space="preserve">PAGEREF 3043 \h</w:instrText>
        </w:r>
        <w:r>
          <w:fldChar w:fldCharType="end"/>
        </w:r>
      </w:hyperlink>
    </w:p>
    <w:p>
      <w:pPr>
        <w:tabs>
          <w:tab w:val="right" w:leader="dot" w:pos="9062"/>
        </w:tabs>
        <w:ind w:left="440"/>
      </w:pPr>
      <w:hyperlink w:anchor="_Toc3044" w:history="1">
        <w:r>
          <w:rPr>
            <w:rFonts w:ascii="IRNazanin" w:hAnsi="IRNazanin" w:eastAsia="IRNazanin" w:cs="IRNazanin"/>
            <w:color w:val="111111"/>
            <w:sz w:val="22"/>
            <w:szCs w:val="22"/>
            <w:b w:val="0"/>
            <w:bCs w:val="0"/>
            <w:i w:val="0"/>
            <w:iCs w:val="0"/>
          </w:rPr>
          <w:t>دیوان محمد زمان بیک الأردبیلی‏</w:t>
        </w:r>
        <w:r>
          <w:tab/>
        </w:r>
        <w:r>
          <w:fldChar w:fldCharType="begin"/>
        </w:r>
        <w:r>
          <w:instrText xml:space="preserve">PAGEREF 3044 \h</w:instrText>
        </w:r>
        <w:r>
          <w:fldChar w:fldCharType="end"/>
        </w:r>
      </w:hyperlink>
    </w:p>
    <w:p>
      <w:pPr>
        <w:tabs>
          <w:tab w:val="right" w:leader="dot" w:pos="9062"/>
        </w:tabs>
        <w:ind w:left="440"/>
      </w:pPr>
      <w:hyperlink w:anchor="_Toc3045" w:history="1">
        <w:r>
          <w:rPr>
            <w:rFonts w:ascii="IRNazanin" w:hAnsi="IRNazanin" w:eastAsia="IRNazanin" w:cs="IRNazanin"/>
            <w:color w:val="111111"/>
            <w:sz w:val="22"/>
            <w:szCs w:val="22"/>
            <w:b w:val="0"/>
            <w:bCs w:val="0"/>
            <w:i w:val="0"/>
            <w:iCs w:val="0"/>
          </w:rPr>
          <w:t>2367- دیوان المیر محمد زمان الرضوی أو شعره‏</w:t>
        </w:r>
        <w:r>
          <w:tab/>
        </w:r>
        <w:r>
          <w:fldChar w:fldCharType="begin"/>
        </w:r>
        <w:r>
          <w:instrText xml:space="preserve">PAGEREF 3045 \h</w:instrText>
        </w:r>
        <w:r>
          <w:fldChar w:fldCharType="end"/>
        </w:r>
      </w:hyperlink>
    </w:p>
    <w:p>
      <w:pPr>
        <w:tabs>
          <w:tab w:val="right" w:leader="dot" w:pos="9062"/>
        </w:tabs>
        <w:ind w:left="440"/>
      </w:pPr>
      <w:hyperlink w:anchor="_Toc3046" w:history="1">
        <w:r>
          <w:rPr>
            <w:rFonts w:ascii="IRNazanin" w:hAnsi="IRNazanin" w:eastAsia="IRNazanin" w:cs="IRNazanin"/>
            <w:color w:val="111111"/>
            <w:sz w:val="22"/>
            <w:szCs w:val="22"/>
            <w:b w:val="0"/>
            <w:bCs w:val="0"/>
            <w:i w:val="0"/>
            <w:iCs w:val="0"/>
          </w:rPr>
          <w:t>دیوان آقا زمان زرکش الأصفهانی‏</w:t>
        </w:r>
        <w:r>
          <w:tab/>
        </w:r>
        <w:r>
          <w:fldChar w:fldCharType="begin"/>
        </w:r>
        <w:r>
          <w:instrText xml:space="preserve">PAGEREF 3046 \h</w:instrText>
        </w:r>
        <w:r>
          <w:fldChar w:fldCharType="end"/>
        </w:r>
      </w:hyperlink>
    </w:p>
    <w:p>
      <w:pPr>
        <w:tabs>
          <w:tab w:val="right" w:leader="dot" w:pos="9062"/>
        </w:tabs>
        <w:ind w:left="440"/>
      </w:pPr>
      <w:hyperlink w:anchor="_Toc3047" w:history="1">
        <w:r>
          <w:rPr>
            <w:rFonts w:ascii="IRNazanin" w:hAnsi="IRNazanin" w:eastAsia="IRNazanin" w:cs="IRNazanin"/>
            <w:color w:val="111111"/>
            <w:sz w:val="22"/>
            <w:szCs w:val="22"/>
            <w:b w:val="0"/>
            <w:bCs w:val="0"/>
            <w:i w:val="0"/>
            <w:iCs w:val="0"/>
          </w:rPr>
          <w:t>2368- دیوان حاج زمان الشیرازی الکفاش‏</w:t>
        </w:r>
        <w:r>
          <w:tab/>
        </w:r>
        <w:r>
          <w:fldChar w:fldCharType="begin"/>
        </w:r>
        <w:r>
          <w:instrText xml:space="preserve">PAGEREF 3047 \h</w:instrText>
        </w:r>
        <w:r>
          <w:fldChar w:fldCharType="end"/>
        </w:r>
      </w:hyperlink>
    </w:p>
    <w:p>
      <w:pPr>
        <w:tabs>
          <w:tab w:val="right" w:leader="dot" w:pos="9062"/>
        </w:tabs>
        <w:ind w:left="440"/>
      </w:pPr>
      <w:hyperlink w:anchor="_Toc3048" w:history="1">
        <w:r>
          <w:rPr>
            <w:rFonts w:ascii="IRNazanin" w:hAnsi="IRNazanin" w:eastAsia="IRNazanin" w:cs="IRNazanin"/>
            <w:color w:val="111111"/>
            <w:sz w:val="22"/>
            <w:szCs w:val="22"/>
            <w:b w:val="0"/>
            <w:bCs w:val="0"/>
            <w:i w:val="0"/>
            <w:iCs w:val="0"/>
          </w:rPr>
          <w:t>دیوان زمان لاهوری‏</w:t>
        </w:r>
        <w:r>
          <w:tab/>
        </w:r>
        <w:r>
          <w:fldChar w:fldCharType="begin"/>
        </w:r>
        <w:r>
          <w:instrText xml:space="preserve">PAGEREF 3048 \h</w:instrText>
        </w:r>
        <w:r>
          <w:fldChar w:fldCharType="end"/>
        </w:r>
      </w:hyperlink>
    </w:p>
    <w:p>
      <w:pPr>
        <w:tabs>
          <w:tab w:val="right" w:leader="dot" w:pos="9062"/>
        </w:tabs>
        <w:ind w:left="440"/>
      </w:pPr>
      <w:hyperlink w:anchor="_Toc3049" w:history="1">
        <w:r>
          <w:rPr>
            <w:rFonts w:ascii="IRNazanin" w:hAnsi="IRNazanin" w:eastAsia="IRNazanin" w:cs="IRNazanin"/>
            <w:color w:val="111111"/>
            <w:sz w:val="22"/>
            <w:szCs w:val="22"/>
            <w:b w:val="0"/>
            <w:bCs w:val="0"/>
            <w:i w:val="0"/>
            <w:iCs w:val="0"/>
          </w:rPr>
          <w:t>دیوان آقا زمان لنجانی‏</w:t>
        </w:r>
        <w:r>
          <w:tab/>
        </w:r>
        <w:r>
          <w:fldChar w:fldCharType="begin"/>
        </w:r>
        <w:r>
          <w:instrText xml:space="preserve">PAGEREF 3049 \h</w:instrText>
        </w:r>
        <w:r>
          <w:fldChar w:fldCharType="end"/>
        </w:r>
      </w:hyperlink>
    </w:p>
    <w:p>
      <w:pPr>
        <w:tabs>
          <w:tab w:val="right" w:leader="dot" w:pos="9062"/>
        </w:tabs>
        <w:ind w:left="440"/>
      </w:pPr>
      <w:hyperlink w:anchor="_Toc3050" w:history="1">
        <w:r>
          <w:rPr>
            <w:rFonts w:ascii="IRNazanin" w:hAnsi="IRNazanin" w:eastAsia="IRNazanin" w:cs="IRNazanin"/>
            <w:color w:val="111111"/>
            <w:sz w:val="22"/>
            <w:szCs w:val="22"/>
            <w:b w:val="0"/>
            <w:bCs w:val="0"/>
            <w:i w:val="0"/>
            <w:iCs w:val="0"/>
          </w:rPr>
          <w:t>2369- دیوان زمانی آملی أو شعره‏</w:t>
        </w:r>
        <w:r>
          <w:tab/>
        </w:r>
        <w:r>
          <w:fldChar w:fldCharType="begin"/>
        </w:r>
        <w:r>
          <w:instrText xml:space="preserve">PAGEREF 3050 \h</w:instrText>
        </w:r>
        <w:r>
          <w:fldChar w:fldCharType="end"/>
        </w:r>
      </w:hyperlink>
    </w:p>
    <w:p>
      <w:pPr>
        <w:tabs>
          <w:tab w:val="right" w:leader="dot" w:pos="9062"/>
        </w:tabs>
        <w:ind w:left="440"/>
      </w:pPr>
      <w:hyperlink w:anchor="_Toc3051" w:history="1">
        <w:r>
          <w:rPr>
            <w:rFonts w:ascii="IRNazanin" w:hAnsi="IRNazanin" w:eastAsia="IRNazanin" w:cs="IRNazanin"/>
            <w:color w:val="111111"/>
            <w:sz w:val="22"/>
            <w:szCs w:val="22"/>
            <w:b w:val="0"/>
            <w:bCs w:val="0"/>
            <w:i w:val="0"/>
            <w:iCs w:val="0"/>
          </w:rPr>
          <w:t>دیوان زمانی أردستانی‏</w:t>
        </w:r>
        <w:r>
          <w:tab/>
        </w:r>
        <w:r>
          <w:fldChar w:fldCharType="begin"/>
        </w:r>
        <w:r>
          <w:instrText xml:space="preserve">PAGEREF 3051 \h</w:instrText>
        </w:r>
        <w:r>
          <w:fldChar w:fldCharType="end"/>
        </w:r>
      </w:hyperlink>
    </w:p>
    <w:p>
      <w:pPr>
        <w:tabs>
          <w:tab w:val="right" w:leader="dot" w:pos="9062"/>
        </w:tabs>
        <w:ind w:left="440"/>
      </w:pPr>
      <w:hyperlink w:anchor="_Toc3052" w:history="1">
        <w:r>
          <w:rPr>
            <w:rFonts w:ascii="IRNazanin" w:hAnsi="IRNazanin" w:eastAsia="IRNazanin" w:cs="IRNazanin"/>
            <w:color w:val="111111"/>
            <w:sz w:val="22"/>
            <w:szCs w:val="22"/>
            <w:b w:val="0"/>
            <w:bCs w:val="0"/>
            <w:i w:val="0"/>
            <w:iCs w:val="0"/>
          </w:rPr>
          <w:t>2370- دیوان زمانی سیستانی أو شعره‏</w:t>
        </w:r>
        <w:r>
          <w:tab/>
        </w:r>
        <w:r>
          <w:fldChar w:fldCharType="begin"/>
        </w:r>
        <w:r>
          <w:instrText xml:space="preserve">PAGEREF 3052 \h</w:instrText>
        </w:r>
        <w:r>
          <w:fldChar w:fldCharType="end"/>
        </w:r>
      </w:hyperlink>
    </w:p>
    <w:p>
      <w:pPr>
        <w:tabs>
          <w:tab w:val="right" w:leader="dot" w:pos="9062"/>
        </w:tabs>
        <w:ind w:left="440"/>
      </w:pPr>
      <w:hyperlink w:anchor="_Toc3053" w:history="1">
        <w:r>
          <w:rPr>
            <w:rFonts w:ascii="IRNazanin" w:hAnsi="IRNazanin" w:eastAsia="IRNazanin" w:cs="IRNazanin"/>
            <w:color w:val="111111"/>
            <w:sz w:val="22"/>
            <w:szCs w:val="22"/>
            <w:b w:val="0"/>
            <w:bCs w:val="0"/>
            <w:i w:val="0"/>
            <w:iCs w:val="0"/>
          </w:rPr>
          <w:t>دیوان زمانی لاهیجی‏</w:t>
        </w:r>
        <w:r>
          <w:tab/>
        </w:r>
        <w:r>
          <w:fldChar w:fldCharType="begin"/>
        </w:r>
        <w:r>
          <w:instrText xml:space="preserve">PAGEREF 3053 \h</w:instrText>
        </w:r>
        <w:r>
          <w:fldChar w:fldCharType="end"/>
        </w:r>
      </w:hyperlink>
    </w:p>
    <w:p>
      <w:pPr>
        <w:tabs>
          <w:tab w:val="right" w:leader="dot" w:pos="9062"/>
        </w:tabs>
        <w:ind w:left="440"/>
      </w:pPr>
      <w:hyperlink w:anchor="_Toc3054" w:history="1">
        <w:r>
          <w:rPr>
            <w:rFonts w:ascii="IRNazanin" w:hAnsi="IRNazanin" w:eastAsia="IRNazanin" w:cs="IRNazanin"/>
            <w:color w:val="111111"/>
            <w:sz w:val="22"/>
            <w:szCs w:val="22"/>
            <w:b w:val="0"/>
            <w:bCs w:val="0"/>
            <w:i w:val="0"/>
            <w:iCs w:val="0"/>
          </w:rPr>
          <w:t>2371- دیوان زمانی یزدی‏</w:t>
        </w:r>
        <w:r>
          <w:tab/>
        </w:r>
        <w:r>
          <w:fldChar w:fldCharType="begin"/>
        </w:r>
        <w:r>
          <w:instrText xml:space="preserve">PAGEREF 3054 \h</w:instrText>
        </w:r>
        <w:r>
          <w:fldChar w:fldCharType="end"/>
        </w:r>
      </w:hyperlink>
    </w:p>
    <w:p>
      <w:pPr>
        <w:tabs>
          <w:tab w:val="right" w:leader="dot" w:pos="9062"/>
        </w:tabs>
        <w:ind w:left="440"/>
      </w:pPr>
      <w:hyperlink w:anchor="_Toc3055" w:history="1">
        <w:r>
          <w:rPr>
            <w:rFonts w:ascii="IRNazanin" w:hAnsi="IRNazanin" w:eastAsia="IRNazanin" w:cs="IRNazanin"/>
            <w:color w:val="111111"/>
            <w:sz w:val="22"/>
            <w:szCs w:val="22"/>
            <w:b w:val="0"/>
            <w:bCs w:val="0"/>
            <w:i w:val="0"/>
            <w:iCs w:val="0"/>
          </w:rPr>
          <w:t>دیوان زنده پیل‏</w:t>
        </w:r>
        <w:r>
          <w:tab/>
        </w:r>
        <w:r>
          <w:fldChar w:fldCharType="begin"/>
        </w:r>
        <w:r>
          <w:instrText xml:space="preserve">PAGEREF 3055 \h</w:instrText>
        </w:r>
        <w:r>
          <w:fldChar w:fldCharType="end"/>
        </w:r>
      </w:hyperlink>
    </w:p>
    <w:p>
      <w:pPr>
        <w:tabs>
          <w:tab w:val="right" w:leader="dot" w:pos="9062"/>
        </w:tabs>
        <w:ind w:left="440"/>
      </w:pPr>
      <w:hyperlink w:anchor="_Toc3056" w:history="1">
        <w:r>
          <w:rPr>
            <w:rFonts w:ascii="IRNazanin" w:hAnsi="IRNazanin" w:eastAsia="IRNazanin" w:cs="IRNazanin"/>
            <w:color w:val="111111"/>
            <w:sz w:val="22"/>
            <w:szCs w:val="22"/>
            <w:b w:val="0"/>
            <w:bCs w:val="0"/>
            <w:i w:val="0"/>
            <w:iCs w:val="0"/>
          </w:rPr>
          <w:t>2372- دیوان زنده دل ساوجی أو شعره‏</w:t>
        </w:r>
        <w:r>
          <w:tab/>
        </w:r>
        <w:r>
          <w:fldChar w:fldCharType="begin"/>
        </w:r>
        <w:r>
          <w:instrText xml:space="preserve">PAGEREF 3056 \h</w:instrText>
        </w:r>
        <w:r>
          <w:fldChar w:fldCharType="end"/>
        </w:r>
      </w:hyperlink>
    </w:p>
    <w:p>
      <w:pPr>
        <w:tabs>
          <w:tab w:val="right" w:leader="dot" w:pos="9062"/>
        </w:tabs>
        <w:ind w:left="440"/>
      </w:pPr>
      <w:hyperlink w:anchor="_Toc3057" w:history="1">
        <w:r>
          <w:rPr>
            <w:rFonts w:ascii="IRNazanin" w:hAnsi="IRNazanin" w:eastAsia="IRNazanin" w:cs="IRNazanin"/>
            <w:color w:val="111111"/>
            <w:sz w:val="22"/>
            <w:szCs w:val="22"/>
            <w:b w:val="0"/>
            <w:bCs w:val="0"/>
            <w:i w:val="0"/>
            <w:iCs w:val="0"/>
          </w:rPr>
          <w:t>2373- دیوان زنگی شیرازی أو شعره‏</w:t>
        </w:r>
        <w:r>
          <w:tab/>
        </w:r>
        <w:r>
          <w:fldChar w:fldCharType="begin"/>
        </w:r>
        <w:r>
          <w:instrText xml:space="preserve">PAGEREF 3057 \h</w:instrText>
        </w:r>
        <w:r>
          <w:fldChar w:fldCharType="end"/>
        </w:r>
      </w:hyperlink>
    </w:p>
    <w:p>
      <w:pPr>
        <w:tabs>
          <w:tab w:val="right" w:leader="dot" w:pos="9062"/>
        </w:tabs>
        <w:ind w:left="440"/>
      </w:pPr>
      <w:hyperlink w:anchor="_Toc3058" w:history="1">
        <w:r>
          <w:rPr>
            <w:rFonts w:ascii="IRNazanin" w:hAnsi="IRNazanin" w:eastAsia="IRNazanin" w:cs="IRNazanin"/>
            <w:color w:val="111111"/>
            <w:sz w:val="22"/>
            <w:szCs w:val="22"/>
            <w:b w:val="0"/>
            <w:bCs w:val="0"/>
            <w:i w:val="0"/>
            <w:iCs w:val="0"/>
          </w:rPr>
          <w:t>دیوان زنگنه‏</w:t>
        </w:r>
        <w:r>
          <w:tab/>
        </w:r>
        <w:r>
          <w:fldChar w:fldCharType="begin"/>
        </w:r>
        <w:r>
          <w:instrText xml:space="preserve">PAGEREF 3058 \h</w:instrText>
        </w:r>
        <w:r>
          <w:fldChar w:fldCharType="end"/>
        </w:r>
      </w:hyperlink>
    </w:p>
    <w:p>
      <w:pPr>
        <w:tabs>
          <w:tab w:val="right" w:leader="dot" w:pos="9062"/>
        </w:tabs>
        <w:ind w:left="440"/>
      </w:pPr>
      <w:hyperlink w:anchor="_Toc3059" w:history="1">
        <w:r>
          <w:rPr>
            <w:rFonts w:ascii="IRNazanin" w:hAnsi="IRNazanin" w:eastAsia="IRNazanin" w:cs="IRNazanin"/>
            <w:color w:val="111111"/>
            <w:sz w:val="22"/>
            <w:szCs w:val="22"/>
            <w:b w:val="0"/>
            <w:bCs w:val="0"/>
            <w:i w:val="0"/>
            <w:iCs w:val="0"/>
          </w:rPr>
          <w:t>دیوان زنوزی‏</w:t>
        </w:r>
        <w:r>
          <w:tab/>
        </w:r>
        <w:r>
          <w:fldChar w:fldCharType="begin"/>
        </w:r>
        <w:r>
          <w:instrText xml:space="preserve">PAGEREF 3059 \h</w:instrText>
        </w:r>
        <w:r>
          <w:fldChar w:fldCharType="end"/>
        </w:r>
      </w:hyperlink>
    </w:p>
    <w:p>
      <w:pPr>
        <w:tabs>
          <w:tab w:val="right" w:leader="dot" w:pos="9062"/>
        </w:tabs>
        <w:ind w:left="440"/>
      </w:pPr>
      <w:hyperlink w:anchor="_Toc3060" w:history="1">
        <w:r>
          <w:rPr>
            <w:rFonts w:ascii="IRNazanin" w:hAnsi="IRNazanin" w:eastAsia="IRNazanin" w:cs="IRNazanin"/>
            <w:color w:val="111111"/>
            <w:sz w:val="22"/>
            <w:szCs w:val="22"/>
            <w:b w:val="0"/>
            <w:bCs w:val="0"/>
            <w:i w:val="0"/>
            <w:iCs w:val="0"/>
          </w:rPr>
          <w:t>2374- دیوان زیادی أو شعره‏</w:t>
        </w:r>
        <w:r>
          <w:tab/>
        </w:r>
        <w:r>
          <w:fldChar w:fldCharType="begin"/>
        </w:r>
        <w:r>
          <w:instrText xml:space="preserve">PAGEREF 3060 \h</w:instrText>
        </w:r>
        <w:r>
          <w:fldChar w:fldCharType="end"/>
        </w:r>
      </w:hyperlink>
    </w:p>
    <w:p>
      <w:pPr>
        <w:tabs>
          <w:tab w:val="right" w:leader="dot" w:pos="9062"/>
        </w:tabs>
        <w:ind w:left="440"/>
      </w:pPr>
      <w:hyperlink w:anchor="_Toc3061" w:history="1">
        <w:r>
          <w:rPr>
            <w:rFonts w:ascii="IRNazanin" w:hAnsi="IRNazanin" w:eastAsia="IRNazanin" w:cs="IRNazanin"/>
            <w:color w:val="111111"/>
            <w:sz w:val="22"/>
            <w:szCs w:val="22"/>
            <w:b w:val="0"/>
            <w:bCs w:val="0"/>
            <w:i w:val="0"/>
            <w:iCs w:val="0"/>
          </w:rPr>
          <w:t>2375- دیوان زیانی أو شعره‏</w:t>
        </w:r>
        <w:r>
          <w:tab/>
        </w:r>
        <w:r>
          <w:fldChar w:fldCharType="begin"/>
        </w:r>
        <w:r>
          <w:instrText xml:space="preserve">PAGEREF 3061 \h</w:instrText>
        </w:r>
        <w:r>
          <w:fldChar w:fldCharType="end"/>
        </w:r>
      </w:hyperlink>
    </w:p>
    <w:p>
      <w:pPr>
        <w:tabs>
          <w:tab w:val="right" w:leader="dot" w:pos="9062"/>
        </w:tabs>
        <w:ind w:left="440"/>
      </w:pPr>
      <w:hyperlink w:anchor="_Toc3062" w:history="1">
        <w:r>
          <w:rPr>
            <w:rFonts w:ascii="IRNazanin" w:hAnsi="IRNazanin" w:eastAsia="IRNazanin" w:cs="IRNazanin"/>
            <w:color w:val="111111"/>
            <w:sz w:val="22"/>
            <w:szCs w:val="22"/>
            <w:b w:val="0"/>
            <w:bCs w:val="0"/>
            <w:i w:val="0"/>
            <w:iCs w:val="0"/>
          </w:rPr>
          <w:t>2376- دیوان زیب النساء</w:t>
        </w:r>
        <w:r>
          <w:tab/>
        </w:r>
        <w:r>
          <w:fldChar w:fldCharType="begin"/>
        </w:r>
        <w:r>
          <w:instrText xml:space="preserve">PAGEREF 3062 \h</w:instrText>
        </w:r>
        <w:r>
          <w:fldChar w:fldCharType="end"/>
        </w:r>
      </w:hyperlink>
    </w:p>
    <w:p>
      <w:pPr>
        <w:tabs>
          <w:tab w:val="right" w:leader="dot" w:pos="9062"/>
        </w:tabs>
        <w:ind w:left="440"/>
      </w:pPr>
      <w:hyperlink w:anchor="_Toc3063" w:history="1">
        <w:r>
          <w:rPr>
            <w:rFonts w:ascii="IRNazanin" w:hAnsi="IRNazanin" w:eastAsia="IRNazanin" w:cs="IRNazanin"/>
            <w:color w:val="111111"/>
            <w:sz w:val="22"/>
            <w:szCs w:val="22"/>
            <w:b w:val="0"/>
            <w:bCs w:val="0"/>
            <w:i w:val="0"/>
            <w:iCs w:val="0"/>
          </w:rPr>
          <w:t>2377- دیوان مولانا زیبایی أو شعره‏</w:t>
        </w:r>
        <w:r>
          <w:tab/>
        </w:r>
        <w:r>
          <w:fldChar w:fldCharType="begin"/>
        </w:r>
        <w:r>
          <w:instrText xml:space="preserve">PAGEREF 3063 \h</w:instrText>
        </w:r>
        <w:r>
          <w:fldChar w:fldCharType="end"/>
        </w:r>
      </w:hyperlink>
    </w:p>
    <w:p>
      <w:pPr>
        <w:tabs>
          <w:tab w:val="right" w:leader="dot" w:pos="9062"/>
        </w:tabs>
        <w:ind w:left="440"/>
      </w:pPr>
      <w:hyperlink w:anchor="_Toc3064" w:history="1">
        <w:r>
          <w:rPr>
            <w:rFonts w:ascii="IRNazanin" w:hAnsi="IRNazanin" w:eastAsia="IRNazanin" w:cs="IRNazanin"/>
            <w:color w:val="111111"/>
            <w:sz w:val="22"/>
            <w:szCs w:val="22"/>
            <w:b w:val="0"/>
            <w:bCs w:val="0"/>
            <w:i w:val="0"/>
            <w:iCs w:val="0"/>
          </w:rPr>
          <w:t>2378- دیوان زیبق أو شعره‏</w:t>
        </w:r>
        <w:r>
          <w:tab/>
        </w:r>
        <w:r>
          <w:fldChar w:fldCharType="begin"/>
        </w:r>
        <w:r>
          <w:instrText xml:space="preserve">PAGEREF 3064 \h</w:instrText>
        </w:r>
        <w:r>
          <w:fldChar w:fldCharType="end"/>
        </w:r>
      </w:hyperlink>
    </w:p>
    <w:p>
      <w:pPr>
        <w:tabs>
          <w:tab w:val="right" w:leader="dot" w:pos="9062"/>
        </w:tabs>
        <w:ind w:left="440"/>
      </w:pPr>
      <w:hyperlink w:anchor="_Toc3065" w:history="1">
        <w:r>
          <w:rPr>
            <w:rFonts w:ascii="IRNazanin" w:hAnsi="IRNazanin" w:eastAsia="IRNazanin" w:cs="IRNazanin"/>
            <w:color w:val="111111"/>
            <w:sz w:val="22"/>
            <w:szCs w:val="22"/>
            <w:b w:val="0"/>
            <w:bCs w:val="0"/>
            <w:i w:val="0"/>
            <w:iCs w:val="0"/>
          </w:rPr>
          <w:t>2379- دیوان زیرک أو شعره‏</w:t>
        </w:r>
        <w:r>
          <w:tab/>
        </w:r>
        <w:r>
          <w:fldChar w:fldCharType="begin"/>
        </w:r>
        <w:r>
          <w:instrText xml:space="preserve">PAGEREF 3065 \h</w:instrText>
        </w:r>
        <w:r>
          <w:fldChar w:fldCharType="end"/>
        </w:r>
      </w:hyperlink>
    </w:p>
    <w:p>
      <w:pPr>
        <w:tabs>
          <w:tab w:val="right" w:leader="dot" w:pos="9062"/>
        </w:tabs>
        <w:ind w:left="440"/>
      </w:pPr>
      <w:hyperlink w:anchor="_Toc3066" w:history="1">
        <w:r>
          <w:rPr>
            <w:rFonts w:ascii="IRNazanin" w:hAnsi="IRNazanin" w:eastAsia="IRNazanin" w:cs="IRNazanin"/>
            <w:color w:val="111111"/>
            <w:sz w:val="22"/>
            <w:szCs w:val="22"/>
            <w:b w:val="0"/>
            <w:bCs w:val="0"/>
            <w:i w:val="0"/>
            <w:iCs w:val="0"/>
          </w:rPr>
          <w:t>2380- دیوان مولانا زین کیسه دوز أو شعره‏</w:t>
        </w:r>
        <w:r>
          <w:tab/>
        </w:r>
        <w:r>
          <w:fldChar w:fldCharType="begin"/>
        </w:r>
        <w:r>
          <w:instrText xml:space="preserve">PAGEREF 3066 \h</w:instrText>
        </w:r>
        <w:r>
          <w:fldChar w:fldCharType="end"/>
        </w:r>
      </w:hyperlink>
    </w:p>
    <w:p>
      <w:pPr>
        <w:tabs>
          <w:tab w:val="right" w:leader="dot" w:pos="9062"/>
        </w:tabs>
        <w:ind w:left="440"/>
      </w:pPr>
      <w:hyperlink w:anchor="_Toc3067" w:history="1">
        <w:r>
          <w:rPr>
            <w:rFonts w:ascii="IRNazanin" w:hAnsi="IRNazanin" w:eastAsia="IRNazanin" w:cs="IRNazanin"/>
            <w:color w:val="111111"/>
            <w:sz w:val="22"/>
            <w:szCs w:val="22"/>
            <w:b w:val="0"/>
            <w:bCs w:val="0"/>
            <w:i w:val="0"/>
            <w:iCs w:val="0"/>
          </w:rPr>
          <w:t>2381- دیوان میرزا زین نطنزی أو شعره‏</w:t>
        </w:r>
        <w:r>
          <w:tab/>
        </w:r>
        <w:r>
          <w:fldChar w:fldCharType="begin"/>
        </w:r>
        <w:r>
          <w:instrText xml:space="preserve">PAGEREF 3067 \h</w:instrText>
        </w:r>
        <w:r>
          <w:fldChar w:fldCharType="end"/>
        </w:r>
      </w:hyperlink>
    </w:p>
    <w:p>
      <w:pPr>
        <w:tabs>
          <w:tab w:val="right" w:leader="dot" w:pos="9062"/>
        </w:tabs>
        <w:ind w:left="440"/>
      </w:pPr>
      <w:hyperlink w:anchor="_Toc3068" w:history="1">
        <w:r>
          <w:rPr>
            <w:rFonts w:ascii="IRNazanin" w:hAnsi="IRNazanin" w:eastAsia="IRNazanin" w:cs="IRNazanin"/>
            <w:color w:val="111111"/>
            <w:sz w:val="22"/>
            <w:szCs w:val="22"/>
            <w:b w:val="0"/>
            <w:bCs w:val="0"/>
            <w:i w:val="0"/>
            <w:iCs w:val="0"/>
          </w:rPr>
          <w:t>2382- دیوان زینبی علوی محمودی أو شعره‏</w:t>
        </w:r>
        <w:r>
          <w:tab/>
        </w:r>
        <w:r>
          <w:fldChar w:fldCharType="begin"/>
        </w:r>
        <w:r>
          <w:instrText xml:space="preserve">PAGEREF 3068 \h</w:instrText>
        </w:r>
        <w:r>
          <w:fldChar w:fldCharType="end"/>
        </w:r>
      </w:hyperlink>
    </w:p>
    <w:p>
      <w:pPr>
        <w:tabs>
          <w:tab w:val="right" w:leader="dot" w:pos="9062"/>
        </w:tabs>
        <w:ind w:left="440"/>
      </w:pPr>
      <w:hyperlink w:anchor="_Toc3069" w:history="1">
        <w:r>
          <w:rPr>
            <w:rFonts w:ascii="IRNazanin" w:hAnsi="IRNazanin" w:eastAsia="IRNazanin" w:cs="IRNazanin"/>
            <w:color w:val="111111"/>
            <w:sz w:val="22"/>
            <w:szCs w:val="22"/>
            <w:b w:val="0"/>
            <w:bCs w:val="0"/>
            <w:i w:val="0"/>
            <w:iCs w:val="0"/>
          </w:rPr>
          <w:t>2383- دیوان زینتی أصفهانی أو شعره‏</w:t>
        </w:r>
        <w:r>
          <w:tab/>
        </w:r>
        <w:r>
          <w:fldChar w:fldCharType="begin"/>
        </w:r>
        <w:r>
          <w:instrText xml:space="preserve">PAGEREF 3069 \h</w:instrText>
        </w:r>
        <w:r>
          <w:fldChar w:fldCharType="end"/>
        </w:r>
      </w:hyperlink>
    </w:p>
    <w:p>
      <w:pPr>
        <w:tabs>
          <w:tab w:val="right" w:leader="dot" w:pos="9062"/>
        </w:tabs>
        <w:ind w:left="440"/>
      </w:pPr>
      <w:hyperlink w:anchor="_Toc3070" w:history="1">
        <w:r>
          <w:rPr>
            <w:rFonts w:ascii="IRNazanin" w:hAnsi="IRNazanin" w:eastAsia="IRNazanin" w:cs="IRNazanin"/>
            <w:color w:val="111111"/>
            <w:sz w:val="22"/>
            <w:szCs w:val="22"/>
            <w:b w:val="0"/>
            <w:bCs w:val="0"/>
            <w:i w:val="0"/>
            <w:iCs w:val="0"/>
          </w:rPr>
          <w:t>2384- دیوان زینتی سبزواری أو شعره‏</w:t>
        </w:r>
        <w:r>
          <w:tab/>
        </w:r>
        <w:r>
          <w:fldChar w:fldCharType="begin"/>
        </w:r>
        <w:r>
          <w:instrText xml:space="preserve">PAGEREF 3070 \h</w:instrText>
        </w:r>
        <w:r>
          <w:fldChar w:fldCharType="end"/>
        </w:r>
      </w:hyperlink>
    </w:p>
    <w:p>
      <w:pPr>
        <w:tabs>
          <w:tab w:val="right" w:leader="dot" w:pos="9062"/>
        </w:tabs>
        <w:ind w:left="440"/>
      </w:pPr>
      <w:hyperlink w:anchor="_Toc3071" w:history="1">
        <w:r>
          <w:rPr>
            <w:rFonts w:ascii="IRNazanin" w:hAnsi="IRNazanin" w:eastAsia="IRNazanin" w:cs="IRNazanin"/>
            <w:color w:val="111111"/>
            <w:sz w:val="22"/>
            <w:szCs w:val="22"/>
            <w:b w:val="0"/>
            <w:bCs w:val="0"/>
            <w:i w:val="0"/>
            <w:iCs w:val="0"/>
          </w:rPr>
          <w:t>2385- دیوان زینتی مشهدی أو شعره‏</w:t>
        </w:r>
        <w:r>
          <w:tab/>
        </w:r>
        <w:r>
          <w:fldChar w:fldCharType="begin"/>
        </w:r>
        <w:r>
          <w:instrText xml:space="preserve">PAGEREF 3071 \h</w:instrText>
        </w:r>
        <w:r>
          <w:fldChar w:fldCharType="end"/>
        </w:r>
      </w:hyperlink>
    </w:p>
    <w:p>
      <w:pPr>
        <w:tabs>
          <w:tab w:val="right" w:leader="dot" w:pos="9062"/>
        </w:tabs>
        <w:ind w:left="440"/>
      </w:pPr>
      <w:hyperlink w:anchor="_Toc3072" w:history="1">
        <w:r>
          <w:rPr>
            <w:rFonts w:ascii="IRNazanin" w:hAnsi="IRNazanin" w:eastAsia="IRNazanin" w:cs="IRNazanin"/>
            <w:color w:val="111111"/>
            <w:sz w:val="22"/>
            <w:szCs w:val="22"/>
            <w:b w:val="0"/>
            <w:bCs w:val="0"/>
            <w:i w:val="0"/>
            <w:iCs w:val="0"/>
          </w:rPr>
          <w:t>دیوان زین الدین أسترآبادی‏</w:t>
        </w:r>
        <w:r>
          <w:tab/>
        </w:r>
        <w:r>
          <w:fldChar w:fldCharType="begin"/>
        </w:r>
        <w:r>
          <w:instrText xml:space="preserve">PAGEREF 3072 \h</w:instrText>
        </w:r>
        <w:r>
          <w:fldChar w:fldCharType="end"/>
        </w:r>
      </w:hyperlink>
    </w:p>
    <w:p>
      <w:pPr>
        <w:tabs>
          <w:tab w:val="right" w:leader="dot" w:pos="9062"/>
        </w:tabs>
        <w:ind w:left="440"/>
      </w:pPr>
      <w:hyperlink w:anchor="_Toc3073" w:history="1">
        <w:r>
          <w:rPr>
            <w:rFonts w:ascii="IRNazanin" w:hAnsi="IRNazanin" w:eastAsia="IRNazanin" w:cs="IRNazanin"/>
            <w:color w:val="111111"/>
            <w:sz w:val="22"/>
            <w:szCs w:val="22"/>
            <w:b w:val="0"/>
            <w:bCs w:val="0"/>
            <w:i w:val="0"/>
            <w:iCs w:val="0"/>
          </w:rPr>
          <w:t>2386- دیوان زین الدین تایبادی أو شعره‏</w:t>
        </w:r>
        <w:r>
          <w:tab/>
        </w:r>
        <w:r>
          <w:fldChar w:fldCharType="begin"/>
        </w:r>
        <w:r>
          <w:instrText xml:space="preserve">PAGEREF 3073 \h</w:instrText>
        </w:r>
        <w:r>
          <w:fldChar w:fldCharType="end"/>
        </w:r>
      </w:hyperlink>
    </w:p>
    <w:p>
      <w:pPr>
        <w:tabs>
          <w:tab w:val="right" w:leader="dot" w:pos="9062"/>
        </w:tabs>
        <w:ind w:left="440"/>
      </w:pPr>
      <w:hyperlink w:anchor="_Toc3074" w:history="1">
        <w:r>
          <w:rPr>
            <w:rFonts w:ascii="IRNazanin" w:hAnsi="IRNazanin" w:eastAsia="IRNazanin" w:cs="IRNazanin"/>
            <w:color w:val="111111"/>
            <w:sz w:val="22"/>
            <w:szCs w:val="22"/>
            <w:b w:val="0"/>
            <w:bCs w:val="0"/>
            <w:i w:val="0"/>
            <w:iCs w:val="0"/>
          </w:rPr>
          <w:t>2387- دیوان زین الدین أصفهانی أو شعره‏</w:t>
        </w:r>
        <w:r>
          <w:tab/>
        </w:r>
        <w:r>
          <w:fldChar w:fldCharType="begin"/>
        </w:r>
        <w:r>
          <w:instrText xml:space="preserve">PAGEREF 3074 \h</w:instrText>
        </w:r>
        <w:r>
          <w:fldChar w:fldCharType="end"/>
        </w:r>
      </w:hyperlink>
    </w:p>
    <w:p>
      <w:pPr>
        <w:tabs>
          <w:tab w:val="right" w:leader="dot" w:pos="9062"/>
        </w:tabs>
        <w:ind w:left="440"/>
      </w:pPr>
      <w:hyperlink w:anchor="_Toc3075" w:history="1">
        <w:r>
          <w:rPr>
            <w:rFonts w:ascii="IRNazanin" w:hAnsi="IRNazanin" w:eastAsia="IRNazanin" w:cs="IRNazanin"/>
            <w:color w:val="111111"/>
            <w:sz w:val="22"/>
            <w:szCs w:val="22"/>
            <w:b w:val="0"/>
            <w:bCs w:val="0"/>
            <w:i w:val="0"/>
            <w:iCs w:val="0"/>
          </w:rPr>
          <w:t>2388- دیوان شیخ زین الدین خوافی خراسانی أو شعره‏</w:t>
        </w:r>
        <w:r>
          <w:tab/>
        </w:r>
        <w:r>
          <w:fldChar w:fldCharType="begin"/>
        </w:r>
        <w:r>
          <w:instrText xml:space="preserve">PAGEREF 3075 \h</w:instrText>
        </w:r>
        <w:r>
          <w:fldChar w:fldCharType="end"/>
        </w:r>
      </w:hyperlink>
    </w:p>
    <w:p>
      <w:pPr>
        <w:tabs>
          <w:tab w:val="right" w:leader="dot" w:pos="9062"/>
        </w:tabs>
        <w:ind w:left="440"/>
      </w:pPr>
      <w:hyperlink w:anchor="_Toc3076" w:history="1">
        <w:r>
          <w:rPr>
            <w:rFonts w:ascii="IRNazanin" w:hAnsi="IRNazanin" w:eastAsia="IRNazanin" w:cs="IRNazanin"/>
            <w:color w:val="111111"/>
            <w:sz w:val="22"/>
            <w:szCs w:val="22"/>
            <w:b w:val="0"/>
            <w:bCs w:val="0"/>
            <w:i w:val="0"/>
            <w:iCs w:val="0"/>
          </w:rPr>
          <w:t>2389- دیوان زین الدین خبوشانی‏</w:t>
        </w:r>
        <w:r>
          <w:tab/>
        </w:r>
        <w:r>
          <w:fldChar w:fldCharType="begin"/>
        </w:r>
        <w:r>
          <w:instrText xml:space="preserve">PAGEREF 3076 \h</w:instrText>
        </w:r>
        <w:r>
          <w:fldChar w:fldCharType="end"/>
        </w:r>
      </w:hyperlink>
    </w:p>
    <w:p>
      <w:pPr>
        <w:tabs>
          <w:tab w:val="right" w:leader="dot" w:pos="9062"/>
        </w:tabs>
        <w:ind w:left="440"/>
      </w:pPr>
      <w:hyperlink w:anchor="_Toc3077" w:history="1">
        <w:r>
          <w:rPr>
            <w:rFonts w:ascii="IRNazanin" w:hAnsi="IRNazanin" w:eastAsia="IRNazanin" w:cs="IRNazanin"/>
            <w:color w:val="111111"/>
            <w:sz w:val="22"/>
            <w:szCs w:val="22"/>
            <w:b w:val="0"/>
            <w:bCs w:val="0"/>
            <w:i w:val="0"/>
            <w:iCs w:val="0"/>
          </w:rPr>
          <w:t>دیوان زین الدین السکزی السیستانی‏</w:t>
        </w:r>
        <w:r>
          <w:tab/>
        </w:r>
        <w:r>
          <w:fldChar w:fldCharType="begin"/>
        </w:r>
        <w:r>
          <w:instrText xml:space="preserve">PAGEREF 3077 \h</w:instrText>
        </w:r>
        <w:r>
          <w:fldChar w:fldCharType="end"/>
        </w:r>
      </w:hyperlink>
    </w:p>
    <w:p>
      <w:pPr>
        <w:tabs>
          <w:tab w:val="right" w:leader="dot" w:pos="9062"/>
        </w:tabs>
        <w:ind w:left="440"/>
      </w:pPr>
      <w:hyperlink w:anchor="_Toc3078" w:history="1">
        <w:r>
          <w:rPr>
            <w:rFonts w:ascii="IRNazanin" w:hAnsi="IRNazanin" w:eastAsia="IRNazanin" w:cs="IRNazanin"/>
            <w:color w:val="111111"/>
            <w:sz w:val="22"/>
            <w:szCs w:val="22"/>
            <w:b w:val="0"/>
            <w:bCs w:val="0"/>
            <w:i w:val="0"/>
            <w:iCs w:val="0"/>
          </w:rPr>
          <w:t>دیوان ملا زین الدین علی‏</w:t>
        </w:r>
        <w:r>
          <w:tab/>
        </w:r>
        <w:r>
          <w:fldChar w:fldCharType="begin"/>
        </w:r>
        <w:r>
          <w:instrText xml:space="preserve">PAGEREF 3078 \h</w:instrText>
        </w:r>
        <w:r>
          <w:fldChar w:fldCharType="end"/>
        </w:r>
      </w:hyperlink>
    </w:p>
    <w:p>
      <w:pPr>
        <w:tabs>
          <w:tab w:val="right" w:leader="dot" w:pos="9062"/>
        </w:tabs>
        <w:ind w:left="440"/>
      </w:pPr>
      <w:hyperlink w:anchor="_Toc3079" w:history="1">
        <w:r>
          <w:rPr>
            <w:rFonts w:ascii="IRNazanin" w:hAnsi="IRNazanin" w:eastAsia="IRNazanin" w:cs="IRNazanin"/>
            <w:color w:val="111111"/>
            <w:sz w:val="22"/>
            <w:szCs w:val="22"/>
            <w:b w:val="0"/>
            <w:bCs w:val="0"/>
            <w:i w:val="0"/>
            <w:iCs w:val="0"/>
          </w:rPr>
          <w:t>2390- دیوان الشیخ زین الدین‏</w:t>
        </w:r>
        <w:r>
          <w:tab/>
        </w:r>
        <w:r>
          <w:fldChar w:fldCharType="begin"/>
        </w:r>
        <w:r>
          <w:instrText xml:space="preserve">PAGEREF 3079 \h</w:instrText>
        </w:r>
        <w:r>
          <w:fldChar w:fldCharType="end"/>
        </w:r>
      </w:hyperlink>
    </w:p>
    <w:p>
      <w:pPr>
        <w:tabs>
          <w:tab w:val="right" w:leader="dot" w:pos="9062"/>
        </w:tabs>
        <w:ind w:left="440"/>
      </w:pPr>
      <w:hyperlink w:anchor="_Toc3080" w:history="1">
        <w:r>
          <w:rPr>
            <w:rFonts w:ascii="IRNazanin" w:hAnsi="IRNazanin" w:eastAsia="IRNazanin" w:cs="IRNazanin"/>
            <w:color w:val="111111"/>
            <w:sz w:val="22"/>
            <w:szCs w:val="22"/>
            <w:b w:val="0"/>
            <w:bCs w:val="0"/>
            <w:i w:val="0"/>
            <w:iCs w:val="0"/>
          </w:rPr>
          <w:t>2391- دیوان زین الدین النسوی أو شعره‏</w:t>
        </w:r>
        <w:r>
          <w:tab/>
        </w:r>
        <w:r>
          <w:fldChar w:fldCharType="begin"/>
        </w:r>
        <w:r>
          <w:instrText xml:space="preserve">PAGEREF 3080 \h</w:instrText>
        </w:r>
        <w:r>
          <w:fldChar w:fldCharType="end"/>
        </w:r>
      </w:hyperlink>
    </w:p>
    <w:p>
      <w:pPr>
        <w:tabs>
          <w:tab w:val="right" w:leader="dot" w:pos="9062"/>
        </w:tabs>
        <w:ind w:left="440"/>
      </w:pPr>
      <w:hyperlink w:anchor="_Toc3081" w:history="1">
        <w:r>
          <w:rPr>
            <w:rFonts w:ascii="IRNazanin" w:hAnsi="IRNazanin" w:eastAsia="IRNazanin" w:cs="IRNazanin"/>
            <w:color w:val="111111"/>
            <w:sz w:val="22"/>
            <w:szCs w:val="22"/>
            <w:b w:val="0"/>
            <w:bCs w:val="0"/>
            <w:i w:val="0"/>
            <w:iCs w:val="0"/>
          </w:rPr>
          <w:t>2392- دیوان میرزا زین العابدین أو شعره‏</w:t>
        </w:r>
        <w:r>
          <w:tab/>
        </w:r>
        <w:r>
          <w:fldChar w:fldCharType="begin"/>
        </w:r>
        <w:r>
          <w:instrText xml:space="preserve">PAGEREF 3081 \h</w:instrText>
        </w:r>
        <w:r>
          <w:fldChar w:fldCharType="end"/>
        </w:r>
      </w:hyperlink>
    </w:p>
    <w:p>
      <w:pPr>
        <w:tabs>
          <w:tab w:val="right" w:leader="dot" w:pos="9062"/>
        </w:tabs>
        <w:ind w:left="440"/>
      </w:pPr>
      <w:hyperlink w:anchor="_Toc3082" w:history="1">
        <w:r>
          <w:rPr>
            <w:rFonts w:ascii="IRNazanin" w:hAnsi="IRNazanin" w:eastAsia="IRNazanin" w:cs="IRNazanin"/>
            <w:color w:val="111111"/>
            <w:sz w:val="22"/>
            <w:szCs w:val="22"/>
            <w:b w:val="0"/>
            <w:bCs w:val="0"/>
            <w:i w:val="0"/>
            <w:iCs w:val="0"/>
          </w:rPr>
          <w:t>دیوان میرزا زین العابدین‏</w:t>
        </w:r>
        <w:r>
          <w:tab/>
        </w:r>
        <w:r>
          <w:fldChar w:fldCharType="begin"/>
        </w:r>
        <w:r>
          <w:instrText xml:space="preserve">PAGEREF 3082 \h</w:instrText>
        </w:r>
        <w:r>
          <w:fldChar w:fldCharType="end"/>
        </w:r>
      </w:hyperlink>
    </w:p>
    <w:p>
      <w:pPr>
        <w:tabs>
          <w:tab w:val="right" w:leader="dot" w:pos="9062"/>
        </w:tabs>
        <w:ind w:left="440"/>
      </w:pPr>
      <w:hyperlink w:anchor="_Toc3083" w:history="1">
        <w:r>
          <w:rPr>
            <w:rFonts w:ascii="IRNazanin" w:hAnsi="IRNazanin" w:eastAsia="IRNazanin" w:cs="IRNazanin"/>
            <w:color w:val="111111"/>
            <w:sz w:val="22"/>
            <w:szCs w:val="22"/>
            <w:b w:val="0"/>
            <w:bCs w:val="0"/>
            <w:i w:val="0"/>
            <w:iCs w:val="0"/>
          </w:rPr>
          <w:t>2393- دیوان المولی زین العابدین تکلو خان‏</w:t>
        </w:r>
        <w:r>
          <w:tab/>
        </w:r>
        <w:r>
          <w:fldChar w:fldCharType="begin"/>
        </w:r>
        <w:r>
          <w:instrText xml:space="preserve">PAGEREF 3083 \h</w:instrText>
        </w:r>
        <w:r>
          <w:fldChar w:fldCharType="end"/>
        </w:r>
      </w:hyperlink>
    </w:p>
    <w:p>
      <w:pPr>
        <w:tabs>
          <w:tab w:val="right" w:leader="dot" w:pos="9062"/>
        </w:tabs>
        <w:ind w:left="440"/>
      </w:pPr>
      <w:hyperlink w:anchor="_Toc3084" w:history="1">
        <w:r>
          <w:rPr>
            <w:rFonts w:ascii="IRNazanin" w:hAnsi="IRNazanin" w:eastAsia="IRNazanin" w:cs="IRNazanin"/>
            <w:color w:val="111111"/>
            <w:sz w:val="22"/>
            <w:szCs w:val="22"/>
            <w:b w:val="0"/>
            <w:bCs w:val="0"/>
            <w:i w:val="0"/>
            <w:iCs w:val="0"/>
          </w:rPr>
          <w:t>2394- دیوان الشیخ زین العابدین‏</w:t>
        </w:r>
        <w:r>
          <w:tab/>
        </w:r>
        <w:r>
          <w:fldChar w:fldCharType="begin"/>
        </w:r>
        <w:r>
          <w:instrText xml:space="preserve">PAGEREF 3084 \h</w:instrText>
        </w:r>
        <w:r>
          <w:fldChar w:fldCharType="end"/>
        </w:r>
      </w:hyperlink>
    </w:p>
    <w:p>
      <w:pPr>
        <w:tabs>
          <w:tab w:val="right" w:leader="dot" w:pos="9062"/>
        </w:tabs>
        <w:ind w:left="440"/>
      </w:pPr>
      <w:hyperlink w:anchor="_Toc3085" w:history="1">
        <w:r>
          <w:rPr>
            <w:rFonts w:ascii="IRNazanin" w:hAnsi="IRNazanin" w:eastAsia="IRNazanin" w:cs="IRNazanin"/>
            <w:color w:val="111111"/>
            <w:sz w:val="22"/>
            <w:szCs w:val="22"/>
            <w:b w:val="0"/>
            <w:bCs w:val="0"/>
            <w:i w:val="0"/>
            <w:iCs w:val="0"/>
          </w:rPr>
          <w:t>دیوان زین العابدین الخورانی‏</w:t>
        </w:r>
        <w:r>
          <w:tab/>
        </w:r>
        <w:r>
          <w:fldChar w:fldCharType="begin"/>
        </w:r>
        <w:r>
          <w:instrText xml:space="preserve">PAGEREF 3085 \h</w:instrText>
        </w:r>
        <w:r>
          <w:fldChar w:fldCharType="end"/>
        </w:r>
      </w:hyperlink>
    </w:p>
    <w:p>
      <w:pPr>
        <w:tabs>
          <w:tab w:val="right" w:leader="dot" w:pos="9062"/>
        </w:tabs>
        <w:ind w:left="440"/>
      </w:pPr>
      <w:hyperlink w:anchor="_Toc3086" w:history="1">
        <w:r>
          <w:rPr>
            <w:rFonts w:ascii="IRNazanin" w:hAnsi="IRNazanin" w:eastAsia="IRNazanin" w:cs="IRNazanin"/>
            <w:color w:val="111111"/>
            <w:sz w:val="22"/>
            <w:szCs w:val="22"/>
            <w:b w:val="0"/>
            <w:bCs w:val="0"/>
            <w:i w:val="0"/>
            <w:iCs w:val="0"/>
          </w:rPr>
          <w:t>دیوان الحاج زین العابدین الشروانی‏</w:t>
        </w:r>
        <w:r>
          <w:tab/>
        </w:r>
        <w:r>
          <w:fldChar w:fldCharType="begin"/>
        </w:r>
        <w:r>
          <w:instrText xml:space="preserve">PAGEREF 3086 \h</w:instrText>
        </w:r>
        <w:r>
          <w:fldChar w:fldCharType="end"/>
        </w:r>
      </w:hyperlink>
    </w:p>
    <w:p>
      <w:pPr>
        <w:tabs>
          <w:tab w:val="right" w:leader="dot" w:pos="9062"/>
        </w:tabs>
        <w:ind w:left="440"/>
      </w:pPr>
      <w:hyperlink w:anchor="_Toc3087" w:history="1">
        <w:r>
          <w:rPr>
            <w:rFonts w:ascii="IRNazanin" w:hAnsi="IRNazanin" w:eastAsia="IRNazanin" w:cs="IRNazanin"/>
            <w:color w:val="111111"/>
            <w:sz w:val="22"/>
            <w:szCs w:val="22"/>
            <w:b w:val="0"/>
            <w:bCs w:val="0"/>
            <w:i w:val="0"/>
            <w:iCs w:val="0"/>
          </w:rPr>
          <w:t>2395- دیوان المیرزا زین العابدین الشهرستانی أو شعره‏</w:t>
        </w:r>
        <w:r>
          <w:tab/>
        </w:r>
        <w:r>
          <w:fldChar w:fldCharType="begin"/>
        </w:r>
        <w:r>
          <w:instrText xml:space="preserve">PAGEREF 3087 \h</w:instrText>
        </w:r>
        <w:r>
          <w:fldChar w:fldCharType="end"/>
        </w:r>
      </w:hyperlink>
    </w:p>
    <w:p>
      <w:pPr>
        <w:tabs>
          <w:tab w:val="right" w:leader="dot" w:pos="9062"/>
        </w:tabs>
        <w:ind w:left="440"/>
      </w:pPr>
      <w:hyperlink w:anchor="_Toc3088" w:history="1">
        <w:r>
          <w:rPr>
            <w:rFonts w:ascii="IRNazanin" w:hAnsi="IRNazanin" w:eastAsia="IRNazanin" w:cs="IRNazanin"/>
            <w:color w:val="111111"/>
            <w:sz w:val="22"/>
            <w:szCs w:val="22"/>
            <w:b w:val="0"/>
            <w:bCs w:val="0"/>
            <w:i w:val="0"/>
            <w:iCs w:val="0"/>
          </w:rPr>
          <w:t>2396- دیوان میرزا زین العابدین منشی الممالک أو شعره‏</w:t>
        </w:r>
        <w:r>
          <w:tab/>
        </w:r>
        <w:r>
          <w:fldChar w:fldCharType="begin"/>
        </w:r>
        <w:r>
          <w:instrText xml:space="preserve">PAGEREF 3088 \h</w:instrText>
        </w:r>
        <w:r>
          <w:fldChar w:fldCharType="end"/>
        </w:r>
      </w:hyperlink>
    </w:p>
    <w:p>
      <w:pPr>
        <w:tabs>
          <w:tab w:val="right" w:leader="dot" w:pos="9062"/>
        </w:tabs>
        <w:ind w:left="440"/>
      </w:pPr>
      <w:hyperlink w:anchor="_Toc3089" w:history="1">
        <w:r>
          <w:rPr>
            <w:rFonts w:ascii="IRNazanin" w:hAnsi="IRNazanin" w:eastAsia="IRNazanin" w:cs="IRNazanin"/>
            <w:color w:val="111111"/>
            <w:sz w:val="22"/>
            <w:szCs w:val="22"/>
            <w:b w:val="0"/>
            <w:bCs w:val="0"/>
            <w:i w:val="0"/>
            <w:iCs w:val="0"/>
          </w:rPr>
          <w:t>2397- دیوان زینل بیک أو شعره‏</w:t>
        </w:r>
        <w:r>
          <w:tab/>
        </w:r>
        <w:r>
          <w:fldChar w:fldCharType="begin"/>
        </w:r>
        <w:r>
          <w:instrText xml:space="preserve">PAGEREF 3089 \h</w:instrText>
        </w:r>
        <w:r>
          <w:fldChar w:fldCharType="end"/>
        </w:r>
      </w:hyperlink>
    </w:p>
    <w:p>
      <w:pPr>
        <w:tabs>
          <w:tab w:val="right" w:leader="dot" w:pos="9062"/>
        </w:tabs>
        <w:ind w:left="440"/>
      </w:pPr>
      <w:hyperlink w:anchor="_Toc3090" w:history="1">
        <w:r>
          <w:rPr>
            <w:rFonts w:ascii="IRNazanin" w:hAnsi="IRNazanin" w:eastAsia="IRNazanin" w:cs="IRNazanin"/>
            <w:color w:val="111111"/>
            <w:sz w:val="22"/>
            <w:szCs w:val="22"/>
            <w:b w:val="0"/>
            <w:bCs w:val="0"/>
            <w:i w:val="0"/>
            <w:iCs w:val="0"/>
          </w:rPr>
          <w:t>2398- دیوان زینی سیاه‏</w:t>
        </w:r>
        <w:r>
          <w:tab/>
        </w:r>
        <w:r>
          <w:fldChar w:fldCharType="begin"/>
        </w:r>
        <w:r>
          <w:instrText xml:space="preserve">PAGEREF 3090 \h</w:instrText>
        </w:r>
        <w:r>
          <w:fldChar w:fldCharType="end"/>
        </w:r>
      </w:hyperlink>
    </w:p>
    <w:p>
      <w:pPr>
        <w:tabs>
          <w:tab w:val="right" w:leader="dot" w:pos="9062"/>
        </w:tabs>
        <w:ind w:left="440"/>
      </w:pPr>
      <w:hyperlink w:anchor="_Toc3091" w:history="1">
        <w:r>
          <w:rPr>
            <w:rFonts w:ascii="IRNazanin" w:hAnsi="IRNazanin" w:eastAsia="IRNazanin" w:cs="IRNazanin"/>
            <w:color w:val="111111"/>
            <w:sz w:val="22"/>
            <w:szCs w:val="22"/>
            <w:b w:val="0"/>
            <w:bCs w:val="0"/>
            <w:i w:val="0"/>
            <w:iCs w:val="0"/>
          </w:rPr>
          <w:t>2399- دیوان زینی لاهیجانی أو شعره‏</w:t>
        </w:r>
        <w:r>
          <w:tab/>
        </w:r>
        <w:r>
          <w:fldChar w:fldCharType="begin"/>
        </w:r>
        <w:r>
          <w:instrText xml:space="preserve">PAGEREF 3091 \h</w:instrText>
        </w:r>
        <w:r>
          <w:fldChar w:fldCharType="end"/>
        </w:r>
      </w:hyperlink>
    </w:p>
    <w:p>
      <w:pPr>
        <w:tabs>
          <w:tab w:val="right" w:leader="dot" w:pos="9062"/>
        </w:tabs>
        <w:ind w:left="440"/>
      </w:pPr>
      <w:hyperlink w:anchor="_Toc3092" w:history="1">
        <w:r>
          <w:rPr>
            <w:rFonts w:ascii="IRNazanin" w:hAnsi="IRNazanin" w:eastAsia="IRNazanin" w:cs="IRNazanin"/>
            <w:color w:val="111111"/>
            <w:sz w:val="22"/>
            <w:szCs w:val="22"/>
            <w:b w:val="0"/>
            <w:bCs w:val="0"/>
            <w:i w:val="0"/>
            <w:iCs w:val="0"/>
          </w:rPr>
          <w:t>2400- دیوان الزینی النجفی‏</w:t>
        </w:r>
        <w:r>
          <w:tab/>
        </w:r>
        <w:r>
          <w:fldChar w:fldCharType="begin"/>
        </w:r>
        <w:r>
          <w:instrText xml:space="preserve">PAGEREF 3092 \h</w:instrText>
        </w:r>
        <w:r>
          <w:fldChar w:fldCharType="end"/>
        </w:r>
      </w:hyperlink>
    </w:p>
    <w:p>
      <w:pPr>
        <w:tabs>
          <w:tab w:val="right" w:leader="dot" w:pos="9062"/>
        </w:tabs>
        <w:ind w:left="440"/>
      </w:pPr>
      <w:hyperlink w:anchor="_Toc3093" w:history="1">
        <w:r>
          <w:rPr>
            <w:rFonts w:ascii="IRNazanin" w:hAnsi="IRNazanin" w:eastAsia="IRNazanin" w:cs="IRNazanin"/>
            <w:color w:val="111111"/>
            <w:sz w:val="22"/>
            <w:szCs w:val="22"/>
            <w:b w:val="0"/>
            <w:bCs w:val="0"/>
            <w:i w:val="0"/>
            <w:iCs w:val="0"/>
          </w:rPr>
          <w:t>2401- دیوان زینی مشهدی‏</w:t>
        </w:r>
        <w:r>
          <w:tab/>
        </w:r>
        <w:r>
          <w:fldChar w:fldCharType="begin"/>
        </w:r>
        <w:r>
          <w:instrText xml:space="preserve">PAGEREF 3093 \h</w:instrText>
        </w:r>
        <w:r>
          <w:fldChar w:fldCharType="end"/>
        </w:r>
      </w:hyperlink>
    </w:p>
    <w:p>
      <w:pPr>
        <w:tabs>
          <w:tab w:val="right" w:leader="dot" w:pos="9062"/>
        </w:tabs>
        <w:ind w:left="440"/>
      </w:pPr>
      <w:hyperlink w:anchor="_Toc3094" w:history="1">
        <w:r>
          <w:rPr>
            <w:rFonts w:ascii="IRNazanin" w:hAnsi="IRNazanin" w:eastAsia="IRNazanin" w:cs="IRNazanin"/>
            <w:color w:val="111111"/>
            <w:sz w:val="22"/>
            <w:szCs w:val="22"/>
            <w:b w:val="0"/>
            <w:bCs w:val="0"/>
            <w:i w:val="0"/>
            <w:iCs w:val="0"/>
          </w:rPr>
          <w:t>2402- دیوان زیور یزدی أو شعره‏</w:t>
        </w:r>
        <w:r>
          <w:tab/>
        </w:r>
        <w:r>
          <w:fldChar w:fldCharType="begin"/>
        </w:r>
        <w:r>
          <w:instrText xml:space="preserve">PAGEREF 3094 \h</w:instrText>
        </w:r>
        <w:r>
          <w:fldChar w:fldCharType="end"/>
        </w:r>
      </w:hyperlink>
    </w:p>
    <w:p>
      <w:pPr>
        <w:tabs>
          <w:tab w:val="right" w:leader="dot" w:pos="9062"/>
        </w:tabs>
        <w:ind w:left="440"/>
      </w:pPr>
      <w:hyperlink w:anchor="_Toc3095" w:history="1">
        <w:r>
          <w:rPr>
            <w:rFonts w:ascii="IRNazanin" w:hAnsi="IRNazanin" w:eastAsia="IRNazanin" w:cs="IRNazanin"/>
            <w:color w:val="111111"/>
            <w:sz w:val="22"/>
            <w:szCs w:val="22"/>
            <w:b w:val="0"/>
            <w:bCs w:val="0"/>
            <w:i w:val="0"/>
            <w:iCs w:val="0"/>
          </w:rPr>
          <w:t>ژ</w:t>
        </w:r>
        <w:r>
          <w:tab/>
        </w:r>
        <w:r>
          <w:fldChar w:fldCharType="begin"/>
        </w:r>
        <w:r>
          <w:instrText xml:space="preserve">PAGEREF 3095 \h</w:instrText>
        </w:r>
        <w:r>
          <w:fldChar w:fldCharType="end"/>
        </w:r>
      </w:hyperlink>
    </w:p>
    <w:p>
      <w:pPr>
        <w:tabs>
          <w:tab w:val="right" w:leader="dot" w:pos="9062"/>
        </w:tabs>
        <w:ind w:left="440"/>
      </w:pPr>
      <w:hyperlink w:anchor="_Toc3096" w:history="1">
        <w:r>
          <w:rPr>
            <w:rFonts w:ascii="IRNazanin" w:hAnsi="IRNazanin" w:eastAsia="IRNazanin" w:cs="IRNazanin"/>
            <w:color w:val="111111"/>
            <w:sz w:val="22"/>
            <w:szCs w:val="22"/>
            <w:b w:val="0"/>
            <w:bCs w:val="0"/>
            <w:i w:val="0"/>
            <w:iCs w:val="0"/>
          </w:rPr>
          <w:t>2403- دیوان ژاله سلطانی‏</w:t>
        </w:r>
        <w:r>
          <w:tab/>
        </w:r>
        <w:r>
          <w:fldChar w:fldCharType="begin"/>
        </w:r>
        <w:r>
          <w:instrText xml:space="preserve">PAGEREF 3096 \h</w:instrText>
        </w:r>
        <w:r>
          <w:fldChar w:fldCharType="end"/>
        </w:r>
      </w:hyperlink>
    </w:p>
    <w:p>
      <w:pPr>
        <w:tabs>
          <w:tab w:val="right" w:leader="dot" w:pos="9062"/>
        </w:tabs>
        <w:ind w:left="440"/>
      </w:pPr>
      <w:hyperlink w:anchor="_Toc3097" w:history="1">
        <w:r>
          <w:rPr>
            <w:rFonts w:ascii="IRNazanin" w:hAnsi="IRNazanin" w:eastAsia="IRNazanin" w:cs="IRNazanin"/>
            <w:color w:val="111111"/>
            <w:sz w:val="22"/>
            <w:szCs w:val="22"/>
            <w:b w:val="0"/>
            <w:bCs w:val="0"/>
            <w:i w:val="0"/>
            <w:iCs w:val="0"/>
          </w:rPr>
          <w:t>دیوان ژنده پیل‏</w:t>
        </w:r>
        <w:r>
          <w:tab/>
        </w:r>
        <w:r>
          <w:fldChar w:fldCharType="begin"/>
        </w:r>
        <w:r>
          <w:instrText xml:space="preserve">PAGEREF 3097 \h</w:instrText>
        </w:r>
        <w:r>
          <w:fldChar w:fldCharType="end"/>
        </w:r>
      </w:hyperlink>
    </w:p>
    <w:p>
      <w:pPr>
        <w:tabs>
          <w:tab w:val="right" w:leader="dot" w:pos="9062"/>
        </w:tabs>
        <w:ind w:left="440"/>
      </w:pPr>
      <w:hyperlink w:anchor="_Toc3098" w:history="1">
        <w:r>
          <w:rPr>
            <w:rFonts w:ascii="IRNazanin" w:hAnsi="IRNazanin" w:eastAsia="IRNazanin" w:cs="IRNazanin"/>
            <w:color w:val="111111"/>
            <w:sz w:val="22"/>
            <w:szCs w:val="22"/>
            <w:b w:val="0"/>
            <w:bCs w:val="0"/>
            <w:i w:val="0"/>
            <w:iCs w:val="0"/>
          </w:rPr>
          <w:t>2404- دیوان ژولیده شیرازی‏</w:t>
        </w:r>
        <w:r>
          <w:tab/>
        </w:r>
        <w:r>
          <w:fldChar w:fldCharType="begin"/>
        </w:r>
        <w:r>
          <w:instrText xml:space="preserve">PAGEREF 3098 \h</w:instrText>
        </w:r>
        <w:r>
          <w:fldChar w:fldCharType="end"/>
        </w:r>
      </w:hyperlink>
    </w:p>
    <w:p>
      <w:pPr>
        <w:tabs>
          <w:tab w:val="right" w:leader="dot" w:pos="9062"/>
        </w:tabs>
        <w:ind w:left="440"/>
      </w:pPr>
      <w:hyperlink w:anchor="_Toc3099" w:history="1">
        <w:r>
          <w:rPr>
            <w:rFonts w:ascii="IRNazanin" w:hAnsi="IRNazanin" w:eastAsia="IRNazanin" w:cs="IRNazanin"/>
            <w:color w:val="111111"/>
            <w:sz w:val="22"/>
            <w:szCs w:val="22"/>
            <w:b w:val="0"/>
            <w:bCs w:val="0"/>
            <w:i w:val="0"/>
            <w:iCs w:val="0"/>
          </w:rPr>
          <w:t>س‏</w:t>
        </w:r>
        <w:r>
          <w:tab/>
        </w:r>
        <w:r>
          <w:fldChar w:fldCharType="begin"/>
        </w:r>
        <w:r>
          <w:instrText xml:space="preserve">PAGEREF 3099 \h</w:instrText>
        </w:r>
        <w:r>
          <w:fldChar w:fldCharType="end"/>
        </w:r>
      </w:hyperlink>
    </w:p>
    <w:p>
      <w:pPr>
        <w:tabs>
          <w:tab w:val="right" w:leader="dot" w:pos="9062"/>
        </w:tabs>
        <w:ind w:left="440"/>
      </w:pPr>
      <w:hyperlink w:anchor="_Toc3100" w:history="1">
        <w:r>
          <w:rPr>
            <w:rFonts w:ascii="IRNazanin" w:hAnsi="IRNazanin" w:eastAsia="IRNazanin" w:cs="IRNazanin"/>
            <w:color w:val="111111"/>
            <w:sz w:val="22"/>
            <w:szCs w:val="22"/>
            <w:b w:val="0"/>
            <w:bCs w:val="0"/>
            <w:i w:val="0"/>
            <w:iCs w:val="0"/>
          </w:rPr>
          <w:t>دیوان سائر</w:t>
        </w:r>
        <w:r>
          <w:tab/>
        </w:r>
        <w:r>
          <w:fldChar w:fldCharType="begin"/>
        </w:r>
        <w:r>
          <w:instrText xml:space="preserve">PAGEREF 3100 \h</w:instrText>
        </w:r>
        <w:r>
          <w:fldChar w:fldCharType="end"/>
        </w:r>
      </w:hyperlink>
    </w:p>
    <w:p>
      <w:pPr>
        <w:tabs>
          <w:tab w:val="right" w:leader="dot" w:pos="9062"/>
        </w:tabs>
        <w:ind w:left="440"/>
      </w:pPr>
      <w:hyperlink w:anchor="_Toc3101" w:history="1">
        <w:r>
          <w:rPr>
            <w:rFonts w:ascii="IRNazanin" w:hAnsi="IRNazanin" w:eastAsia="IRNazanin" w:cs="IRNazanin"/>
            <w:color w:val="111111"/>
            <w:sz w:val="22"/>
            <w:szCs w:val="22"/>
            <w:b w:val="0"/>
            <w:bCs w:val="0"/>
            <w:i w:val="0"/>
            <w:iCs w:val="0"/>
          </w:rPr>
          <w:t>دیوان سائل‏</w:t>
        </w:r>
        <w:r>
          <w:tab/>
        </w:r>
        <w:r>
          <w:fldChar w:fldCharType="begin"/>
        </w:r>
        <w:r>
          <w:instrText xml:space="preserve">PAGEREF 3101 \h</w:instrText>
        </w:r>
        <w:r>
          <w:fldChar w:fldCharType="end"/>
        </w:r>
      </w:hyperlink>
    </w:p>
    <w:p>
      <w:pPr>
        <w:tabs>
          <w:tab w:val="right" w:leader="dot" w:pos="9062"/>
        </w:tabs>
        <w:ind w:left="440"/>
      </w:pPr>
      <w:hyperlink w:anchor="_Toc3102" w:history="1">
        <w:r>
          <w:rPr>
            <w:rFonts w:ascii="IRNazanin" w:hAnsi="IRNazanin" w:eastAsia="IRNazanin" w:cs="IRNazanin"/>
            <w:color w:val="111111"/>
            <w:sz w:val="22"/>
            <w:szCs w:val="22"/>
            <w:b w:val="0"/>
            <w:bCs w:val="0"/>
            <w:i w:val="0"/>
            <w:iCs w:val="0"/>
          </w:rPr>
          <w:t>2405- دیوان سابق ترک‏</w:t>
        </w:r>
        <w:r>
          <w:tab/>
        </w:r>
        <w:r>
          <w:fldChar w:fldCharType="begin"/>
        </w:r>
        <w:r>
          <w:instrText xml:space="preserve">PAGEREF 3102 \h</w:instrText>
        </w:r>
        <w:r>
          <w:fldChar w:fldCharType="end"/>
        </w:r>
      </w:hyperlink>
    </w:p>
    <w:p>
      <w:pPr>
        <w:tabs>
          <w:tab w:val="right" w:leader="dot" w:pos="9062"/>
        </w:tabs>
        <w:ind w:left="440"/>
      </w:pPr>
      <w:hyperlink w:anchor="_Toc3103" w:history="1">
        <w:r>
          <w:rPr>
            <w:rFonts w:ascii="IRNazanin" w:hAnsi="IRNazanin" w:eastAsia="IRNazanin" w:cs="IRNazanin"/>
            <w:color w:val="111111"/>
            <w:sz w:val="22"/>
            <w:szCs w:val="22"/>
            <w:b w:val="0"/>
            <w:bCs w:val="0"/>
            <w:i w:val="0"/>
            <w:iCs w:val="0"/>
          </w:rPr>
          <w:t>2406- دیوان سابق مازندرانی أو شعره‏</w:t>
        </w:r>
        <w:r>
          <w:tab/>
        </w:r>
        <w:r>
          <w:fldChar w:fldCharType="begin"/>
        </w:r>
        <w:r>
          <w:instrText xml:space="preserve">PAGEREF 3103 \h</w:instrText>
        </w:r>
        <w:r>
          <w:fldChar w:fldCharType="end"/>
        </w:r>
      </w:hyperlink>
    </w:p>
    <w:p>
      <w:pPr>
        <w:tabs>
          <w:tab w:val="right" w:leader="dot" w:pos="9062"/>
        </w:tabs>
        <w:ind w:left="440"/>
      </w:pPr>
      <w:hyperlink w:anchor="_Toc3104" w:history="1">
        <w:r>
          <w:rPr>
            <w:rFonts w:ascii="IRNazanin" w:hAnsi="IRNazanin" w:eastAsia="IRNazanin" w:cs="IRNazanin"/>
            <w:color w:val="111111"/>
            <w:sz w:val="22"/>
            <w:szCs w:val="22"/>
            <w:b w:val="0"/>
            <w:bCs w:val="0"/>
            <w:i w:val="0"/>
            <w:iCs w:val="0"/>
          </w:rPr>
          <w:t>2407- دیوان ساحری ترک أو شعره‏</w:t>
        </w:r>
        <w:r>
          <w:tab/>
        </w:r>
        <w:r>
          <w:fldChar w:fldCharType="begin"/>
        </w:r>
        <w:r>
          <w:instrText xml:space="preserve">PAGEREF 3104 \h</w:instrText>
        </w:r>
        <w:r>
          <w:fldChar w:fldCharType="end"/>
        </w:r>
      </w:hyperlink>
    </w:p>
    <w:p>
      <w:pPr>
        <w:tabs>
          <w:tab w:val="right" w:leader="dot" w:pos="9062"/>
        </w:tabs>
        <w:ind w:left="440"/>
      </w:pPr>
      <w:hyperlink w:anchor="_Toc3105" w:history="1">
        <w:r>
          <w:rPr>
            <w:rFonts w:ascii="IRNazanin" w:hAnsi="IRNazanin" w:eastAsia="IRNazanin" w:cs="IRNazanin"/>
            <w:color w:val="111111"/>
            <w:sz w:val="22"/>
            <w:szCs w:val="22"/>
            <w:b w:val="0"/>
            <w:bCs w:val="0"/>
            <w:i w:val="0"/>
            <w:iCs w:val="0"/>
          </w:rPr>
          <w:t>2408- دیوان ساحری تونی أو شعره‏</w:t>
        </w:r>
        <w:r>
          <w:tab/>
        </w:r>
        <w:r>
          <w:fldChar w:fldCharType="begin"/>
        </w:r>
        <w:r>
          <w:instrText xml:space="preserve">PAGEREF 3105 \h</w:instrText>
        </w:r>
        <w:r>
          <w:fldChar w:fldCharType="end"/>
        </w:r>
      </w:hyperlink>
    </w:p>
    <w:p>
      <w:pPr>
        <w:tabs>
          <w:tab w:val="right" w:leader="dot" w:pos="9062"/>
        </w:tabs>
        <w:ind w:left="440"/>
      </w:pPr>
      <w:hyperlink w:anchor="_Toc3106" w:history="1">
        <w:r>
          <w:rPr>
            <w:rFonts w:ascii="IRNazanin" w:hAnsi="IRNazanin" w:eastAsia="IRNazanin" w:cs="IRNazanin"/>
            <w:color w:val="111111"/>
            <w:sz w:val="22"/>
            <w:szCs w:val="22"/>
            <w:b w:val="0"/>
            <w:bCs w:val="0"/>
            <w:i w:val="0"/>
            <w:iCs w:val="0"/>
          </w:rPr>
          <w:t>دیوان سادات حسینی غوری‏</w:t>
        </w:r>
        <w:r>
          <w:tab/>
        </w:r>
        <w:r>
          <w:fldChar w:fldCharType="begin"/>
        </w:r>
        <w:r>
          <w:instrText xml:space="preserve">PAGEREF 3106 \h</w:instrText>
        </w:r>
        <w:r>
          <w:fldChar w:fldCharType="end"/>
        </w:r>
      </w:hyperlink>
    </w:p>
    <w:p>
      <w:pPr>
        <w:tabs>
          <w:tab w:val="right" w:leader="dot" w:pos="9062"/>
        </w:tabs>
        <w:ind w:left="440"/>
      </w:pPr>
      <w:hyperlink w:anchor="_Toc3107" w:history="1">
        <w:r>
          <w:rPr>
            <w:rFonts w:ascii="IRNazanin" w:hAnsi="IRNazanin" w:eastAsia="IRNazanin" w:cs="IRNazanin"/>
            <w:color w:val="111111"/>
            <w:sz w:val="22"/>
            <w:szCs w:val="22"/>
            <w:b w:val="0"/>
            <w:bCs w:val="0"/>
            <w:i w:val="0"/>
            <w:iCs w:val="0"/>
          </w:rPr>
          <w:t>2409- دیوان سادات سمرقندی أو شعره‏</w:t>
        </w:r>
        <w:r>
          <w:tab/>
        </w:r>
        <w:r>
          <w:fldChar w:fldCharType="begin"/>
        </w:r>
        <w:r>
          <w:instrText xml:space="preserve">PAGEREF 3107 \h</w:instrText>
        </w:r>
        <w:r>
          <w:fldChar w:fldCharType="end"/>
        </w:r>
      </w:hyperlink>
    </w:p>
    <w:p>
      <w:pPr>
        <w:tabs>
          <w:tab w:val="right" w:leader="dot" w:pos="9062"/>
        </w:tabs>
        <w:ind w:left="440"/>
      </w:pPr>
      <w:hyperlink w:anchor="_Toc3108" w:history="1">
        <w:r>
          <w:rPr>
            <w:rFonts w:ascii="IRNazanin" w:hAnsi="IRNazanin" w:eastAsia="IRNazanin" w:cs="IRNazanin"/>
            <w:color w:val="111111"/>
            <w:sz w:val="22"/>
            <w:szCs w:val="22"/>
            <w:b w:val="0"/>
            <w:bCs w:val="0"/>
            <w:i w:val="0"/>
            <w:iCs w:val="0"/>
          </w:rPr>
          <w:t>دیوان سارو خواجه‏</w:t>
        </w:r>
        <w:r>
          <w:tab/>
        </w:r>
        <w:r>
          <w:fldChar w:fldCharType="begin"/>
        </w:r>
        <w:r>
          <w:instrText xml:space="preserve">PAGEREF 3108 \h</w:instrText>
        </w:r>
        <w:r>
          <w:fldChar w:fldCharType="end"/>
        </w:r>
      </w:hyperlink>
    </w:p>
    <w:p>
      <w:pPr>
        <w:tabs>
          <w:tab w:val="right" w:leader="dot" w:pos="9062"/>
        </w:tabs>
        <w:ind w:left="440"/>
      </w:pPr>
      <w:hyperlink w:anchor="_Toc3109" w:history="1">
        <w:r>
          <w:rPr>
            <w:rFonts w:ascii="IRNazanin" w:hAnsi="IRNazanin" w:eastAsia="IRNazanin" w:cs="IRNazanin"/>
            <w:color w:val="111111"/>
            <w:sz w:val="22"/>
            <w:szCs w:val="22"/>
            <w:b w:val="0"/>
            <w:bCs w:val="0"/>
            <w:i w:val="0"/>
            <w:iCs w:val="0"/>
          </w:rPr>
          <w:t>2410- دیوان ساری‏</w:t>
        </w:r>
        <w:r>
          <w:tab/>
        </w:r>
        <w:r>
          <w:fldChar w:fldCharType="begin"/>
        </w:r>
        <w:r>
          <w:instrText xml:space="preserve">PAGEREF 3109 \h</w:instrText>
        </w:r>
        <w:r>
          <w:fldChar w:fldCharType="end"/>
        </w:r>
      </w:hyperlink>
    </w:p>
    <w:p>
      <w:pPr>
        <w:tabs>
          <w:tab w:val="right" w:leader="dot" w:pos="9062"/>
        </w:tabs>
        <w:ind w:left="440"/>
      </w:pPr>
      <w:hyperlink w:anchor="_Toc3110" w:history="1">
        <w:r>
          <w:rPr>
            <w:rFonts w:ascii="IRNazanin" w:hAnsi="IRNazanin" w:eastAsia="IRNazanin" w:cs="IRNazanin"/>
            <w:color w:val="111111"/>
            <w:sz w:val="22"/>
            <w:szCs w:val="22"/>
            <w:b w:val="0"/>
            <w:bCs w:val="0"/>
            <w:i w:val="0"/>
            <w:iCs w:val="0"/>
          </w:rPr>
          <w:t>2411- دیوان ساطع‏</w:t>
        </w:r>
        <w:r>
          <w:tab/>
        </w:r>
        <w:r>
          <w:fldChar w:fldCharType="begin"/>
        </w:r>
        <w:r>
          <w:instrText xml:space="preserve">PAGEREF 3110 \h</w:instrText>
        </w:r>
        <w:r>
          <w:fldChar w:fldCharType="end"/>
        </w:r>
      </w:hyperlink>
    </w:p>
    <w:p>
      <w:pPr>
        <w:tabs>
          <w:tab w:val="right" w:leader="dot" w:pos="9062"/>
        </w:tabs>
        <w:ind w:left="440"/>
      </w:pPr>
      <w:hyperlink w:anchor="_Toc3111" w:history="1">
        <w:r>
          <w:rPr>
            <w:rFonts w:ascii="IRNazanin" w:hAnsi="IRNazanin" w:eastAsia="IRNazanin" w:cs="IRNazanin"/>
            <w:color w:val="111111"/>
            <w:sz w:val="22"/>
            <w:szCs w:val="22"/>
            <w:b w:val="0"/>
            <w:bCs w:val="0"/>
            <w:i w:val="0"/>
            <w:iCs w:val="0"/>
          </w:rPr>
          <w:t>2412- دیوان ساعی‏</w:t>
        </w:r>
        <w:r>
          <w:tab/>
        </w:r>
        <w:r>
          <w:fldChar w:fldCharType="begin"/>
        </w:r>
        <w:r>
          <w:instrText xml:space="preserve">PAGEREF 3111 \h</w:instrText>
        </w:r>
        <w:r>
          <w:fldChar w:fldCharType="end"/>
        </w:r>
      </w:hyperlink>
    </w:p>
    <w:p>
      <w:pPr>
        <w:tabs>
          <w:tab w:val="right" w:leader="dot" w:pos="9062"/>
        </w:tabs>
        <w:ind w:left="440"/>
      </w:pPr>
      <w:hyperlink w:anchor="_Toc3112" w:history="1">
        <w:r>
          <w:rPr>
            <w:rFonts w:ascii="IRNazanin" w:hAnsi="IRNazanin" w:eastAsia="IRNazanin" w:cs="IRNazanin"/>
            <w:color w:val="111111"/>
            <w:sz w:val="22"/>
            <w:szCs w:val="22"/>
            <w:b w:val="0"/>
            <w:bCs w:val="0"/>
            <w:i w:val="0"/>
            <w:iCs w:val="0"/>
          </w:rPr>
          <w:t>2413- دیوان ساغر</w:t>
        </w:r>
        <w:r>
          <w:tab/>
        </w:r>
        <w:r>
          <w:fldChar w:fldCharType="begin"/>
        </w:r>
        <w:r>
          <w:instrText xml:space="preserve">PAGEREF 3112 \h</w:instrText>
        </w:r>
        <w:r>
          <w:fldChar w:fldCharType="end"/>
        </w:r>
      </w:hyperlink>
    </w:p>
    <w:p>
      <w:pPr>
        <w:tabs>
          <w:tab w:val="right" w:leader="dot" w:pos="9062"/>
        </w:tabs>
        <w:ind w:left="440"/>
      </w:pPr>
      <w:hyperlink w:anchor="_Toc3113" w:history="1">
        <w:r>
          <w:rPr>
            <w:rFonts w:ascii="IRNazanin" w:hAnsi="IRNazanin" w:eastAsia="IRNazanin" w:cs="IRNazanin"/>
            <w:color w:val="111111"/>
            <w:sz w:val="22"/>
            <w:szCs w:val="22"/>
            <w:b w:val="0"/>
            <w:bCs w:val="0"/>
            <w:i w:val="0"/>
            <w:iCs w:val="0"/>
          </w:rPr>
          <w:t>2414- دیوان ساغر الأصفهانی أو شعره‏</w:t>
        </w:r>
        <w:r>
          <w:tab/>
        </w:r>
        <w:r>
          <w:fldChar w:fldCharType="begin"/>
        </w:r>
        <w:r>
          <w:instrText xml:space="preserve">PAGEREF 3113 \h</w:instrText>
        </w:r>
        <w:r>
          <w:fldChar w:fldCharType="end"/>
        </w:r>
      </w:hyperlink>
    </w:p>
    <w:p>
      <w:pPr>
        <w:tabs>
          <w:tab w:val="right" w:leader="dot" w:pos="9062"/>
        </w:tabs>
        <w:ind w:left="440"/>
      </w:pPr>
      <w:hyperlink w:anchor="_Toc3114" w:history="1">
        <w:r>
          <w:rPr>
            <w:rFonts w:ascii="IRNazanin" w:hAnsi="IRNazanin" w:eastAsia="IRNazanin" w:cs="IRNazanin"/>
            <w:color w:val="111111"/>
            <w:sz w:val="22"/>
            <w:szCs w:val="22"/>
            <w:b w:val="0"/>
            <w:bCs w:val="0"/>
            <w:i w:val="0"/>
            <w:iCs w:val="0"/>
          </w:rPr>
          <w:t>2415- دیوان ساغر سرابی أو شعره‏</w:t>
        </w:r>
        <w:r>
          <w:tab/>
        </w:r>
        <w:r>
          <w:fldChar w:fldCharType="begin"/>
        </w:r>
        <w:r>
          <w:instrText xml:space="preserve">PAGEREF 3114 \h</w:instrText>
        </w:r>
        <w:r>
          <w:fldChar w:fldCharType="end"/>
        </w:r>
      </w:hyperlink>
    </w:p>
    <w:p>
      <w:pPr>
        <w:tabs>
          <w:tab w:val="right" w:leader="dot" w:pos="9062"/>
        </w:tabs>
        <w:ind w:left="440"/>
      </w:pPr>
      <w:hyperlink w:anchor="_Toc3115" w:history="1">
        <w:r>
          <w:rPr>
            <w:rFonts w:ascii="IRNazanin" w:hAnsi="IRNazanin" w:eastAsia="IRNazanin" w:cs="IRNazanin"/>
            <w:color w:val="111111"/>
            <w:sz w:val="22"/>
            <w:szCs w:val="22"/>
            <w:b w:val="0"/>
            <w:bCs w:val="0"/>
            <w:i w:val="0"/>
            <w:iCs w:val="0"/>
          </w:rPr>
          <w:t>2416- دیوان ساغر شیرازی‏</w:t>
        </w:r>
        <w:r>
          <w:tab/>
        </w:r>
        <w:r>
          <w:fldChar w:fldCharType="begin"/>
        </w:r>
        <w:r>
          <w:instrText xml:space="preserve">PAGEREF 3115 \h</w:instrText>
        </w:r>
        <w:r>
          <w:fldChar w:fldCharType="end"/>
        </w:r>
      </w:hyperlink>
    </w:p>
    <w:p>
      <w:pPr>
        <w:tabs>
          <w:tab w:val="right" w:leader="dot" w:pos="9062"/>
        </w:tabs>
        <w:ind w:left="440"/>
      </w:pPr>
      <w:hyperlink w:anchor="_Toc3116" w:history="1">
        <w:r>
          <w:rPr>
            <w:rFonts w:ascii="IRNazanin" w:hAnsi="IRNazanin" w:eastAsia="IRNazanin" w:cs="IRNazanin"/>
            <w:color w:val="111111"/>
            <w:sz w:val="22"/>
            <w:szCs w:val="22"/>
            <w:b w:val="0"/>
            <w:bCs w:val="0"/>
            <w:i w:val="0"/>
            <w:iCs w:val="0"/>
          </w:rPr>
          <w:t>2417- دیوان ساغری أو شعره‏</w:t>
        </w:r>
        <w:r>
          <w:tab/>
        </w:r>
        <w:r>
          <w:fldChar w:fldCharType="begin"/>
        </w:r>
        <w:r>
          <w:instrText xml:space="preserve">PAGEREF 3116 \h</w:instrText>
        </w:r>
        <w:r>
          <w:fldChar w:fldCharType="end"/>
        </w:r>
      </w:hyperlink>
    </w:p>
    <w:p>
      <w:pPr>
        <w:tabs>
          <w:tab w:val="right" w:leader="dot" w:pos="9062"/>
        </w:tabs>
        <w:ind w:left="440"/>
      </w:pPr>
      <w:hyperlink w:anchor="_Toc3117" w:history="1">
        <w:r>
          <w:rPr>
            <w:rFonts w:ascii="IRNazanin" w:hAnsi="IRNazanin" w:eastAsia="IRNazanin" w:cs="IRNazanin"/>
            <w:color w:val="111111"/>
            <w:sz w:val="22"/>
            <w:szCs w:val="22"/>
            <w:b w:val="0"/>
            <w:bCs w:val="0"/>
            <w:i w:val="0"/>
            <w:iCs w:val="0"/>
          </w:rPr>
          <w:t>2418- دیوان ساغری کاشانی أو شعره‏</w:t>
        </w:r>
        <w:r>
          <w:tab/>
        </w:r>
        <w:r>
          <w:fldChar w:fldCharType="begin"/>
        </w:r>
        <w:r>
          <w:instrText xml:space="preserve">PAGEREF 3117 \h</w:instrText>
        </w:r>
        <w:r>
          <w:fldChar w:fldCharType="end"/>
        </w:r>
      </w:hyperlink>
    </w:p>
    <w:p>
      <w:pPr>
        <w:tabs>
          <w:tab w:val="right" w:leader="dot" w:pos="9062"/>
        </w:tabs>
        <w:ind w:left="440"/>
      </w:pPr>
      <w:hyperlink w:anchor="_Toc3118" w:history="1">
        <w:r>
          <w:rPr>
            <w:rFonts w:ascii="IRNazanin" w:hAnsi="IRNazanin" w:eastAsia="IRNazanin" w:cs="IRNazanin"/>
            <w:color w:val="111111"/>
            <w:sz w:val="22"/>
            <w:szCs w:val="22"/>
            <w:b w:val="0"/>
            <w:bCs w:val="0"/>
            <w:i w:val="0"/>
            <w:iCs w:val="0"/>
          </w:rPr>
          <w:t>2419- ساقی أصفهانی أو شعره‏</w:t>
        </w:r>
        <w:r>
          <w:tab/>
        </w:r>
        <w:r>
          <w:fldChar w:fldCharType="begin"/>
        </w:r>
        <w:r>
          <w:instrText xml:space="preserve">PAGEREF 3118 \h</w:instrText>
        </w:r>
        <w:r>
          <w:fldChar w:fldCharType="end"/>
        </w:r>
      </w:hyperlink>
    </w:p>
    <w:p>
      <w:pPr>
        <w:tabs>
          <w:tab w:val="right" w:leader="dot" w:pos="9062"/>
        </w:tabs>
        <w:ind w:left="440"/>
      </w:pPr>
      <w:hyperlink w:anchor="_Toc3119" w:history="1">
        <w:r>
          <w:rPr>
            <w:rFonts w:ascii="IRNazanin" w:hAnsi="IRNazanin" w:eastAsia="IRNazanin" w:cs="IRNazanin"/>
            <w:color w:val="111111"/>
            <w:sz w:val="22"/>
            <w:szCs w:val="22"/>
            <w:b w:val="0"/>
            <w:bCs w:val="0"/>
            <w:i w:val="0"/>
            <w:iCs w:val="0"/>
          </w:rPr>
          <w:t>2420- دیوان ساقی بخشی أو شعره‏</w:t>
        </w:r>
        <w:r>
          <w:tab/>
        </w:r>
        <w:r>
          <w:fldChar w:fldCharType="begin"/>
        </w:r>
        <w:r>
          <w:instrText xml:space="preserve">PAGEREF 3119 \h</w:instrText>
        </w:r>
        <w:r>
          <w:fldChar w:fldCharType="end"/>
        </w:r>
      </w:hyperlink>
    </w:p>
    <w:p>
      <w:pPr>
        <w:tabs>
          <w:tab w:val="right" w:leader="dot" w:pos="9062"/>
        </w:tabs>
        <w:ind w:left="440"/>
      </w:pPr>
      <w:hyperlink w:anchor="_Toc3120" w:history="1">
        <w:r>
          <w:rPr>
            <w:rFonts w:ascii="IRNazanin" w:hAnsi="IRNazanin" w:eastAsia="IRNazanin" w:cs="IRNazanin"/>
            <w:color w:val="111111"/>
            <w:sz w:val="22"/>
            <w:szCs w:val="22"/>
            <w:b w:val="0"/>
            <w:bCs w:val="0"/>
            <w:i w:val="0"/>
            <w:iCs w:val="0"/>
          </w:rPr>
          <w:t>2421- دیوان ساقی جزائری أو شعره‏</w:t>
        </w:r>
        <w:r>
          <w:tab/>
        </w:r>
        <w:r>
          <w:fldChar w:fldCharType="begin"/>
        </w:r>
        <w:r>
          <w:instrText xml:space="preserve">PAGEREF 3120 \h</w:instrText>
        </w:r>
        <w:r>
          <w:fldChar w:fldCharType="end"/>
        </w:r>
      </w:hyperlink>
    </w:p>
    <w:p>
      <w:pPr>
        <w:tabs>
          <w:tab w:val="right" w:leader="dot" w:pos="9062"/>
        </w:tabs>
        <w:ind w:left="440"/>
      </w:pPr>
      <w:hyperlink w:anchor="_Toc3121" w:history="1">
        <w:r>
          <w:rPr>
            <w:rFonts w:ascii="IRNazanin" w:hAnsi="IRNazanin" w:eastAsia="IRNazanin" w:cs="IRNazanin"/>
            <w:color w:val="111111"/>
            <w:sz w:val="22"/>
            <w:szCs w:val="22"/>
            <w:b w:val="0"/>
            <w:bCs w:val="0"/>
            <w:i w:val="0"/>
            <w:iCs w:val="0"/>
          </w:rPr>
          <w:t>2422- دیوان ساقی خراسانی‏</w:t>
        </w:r>
        <w:r>
          <w:tab/>
        </w:r>
        <w:r>
          <w:fldChar w:fldCharType="begin"/>
        </w:r>
        <w:r>
          <w:instrText xml:space="preserve">PAGEREF 3121 \h</w:instrText>
        </w:r>
        <w:r>
          <w:fldChar w:fldCharType="end"/>
        </w:r>
      </w:hyperlink>
    </w:p>
    <w:p>
      <w:pPr>
        <w:tabs>
          <w:tab w:val="right" w:leader="dot" w:pos="9062"/>
        </w:tabs>
        <w:ind w:left="440"/>
      </w:pPr>
      <w:hyperlink w:anchor="_Toc3122" w:history="1">
        <w:r>
          <w:rPr>
            <w:rFonts w:ascii="IRNazanin" w:hAnsi="IRNazanin" w:eastAsia="IRNazanin" w:cs="IRNazanin"/>
            <w:color w:val="111111"/>
            <w:sz w:val="22"/>
            <w:szCs w:val="22"/>
            <w:b w:val="0"/>
            <w:bCs w:val="0"/>
            <w:i w:val="0"/>
            <w:iCs w:val="0"/>
          </w:rPr>
          <w:t>دیوان ساقی قزوینی‏</w:t>
        </w:r>
        <w:r>
          <w:tab/>
        </w:r>
        <w:r>
          <w:fldChar w:fldCharType="begin"/>
        </w:r>
        <w:r>
          <w:instrText xml:space="preserve">PAGEREF 3122 \h</w:instrText>
        </w:r>
        <w:r>
          <w:fldChar w:fldCharType="end"/>
        </w:r>
      </w:hyperlink>
    </w:p>
    <w:p>
      <w:pPr>
        <w:tabs>
          <w:tab w:val="right" w:leader="dot" w:pos="9062"/>
        </w:tabs>
        <w:ind w:left="440"/>
      </w:pPr>
      <w:hyperlink w:anchor="_Toc3123" w:history="1">
        <w:r>
          <w:rPr>
            <w:rFonts w:ascii="IRNazanin" w:hAnsi="IRNazanin" w:eastAsia="IRNazanin" w:cs="IRNazanin"/>
            <w:color w:val="111111"/>
            <w:sz w:val="22"/>
            <w:szCs w:val="22"/>
            <w:b w:val="0"/>
            <w:bCs w:val="0"/>
            <w:i w:val="0"/>
            <w:iCs w:val="0"/>
          </w:rPr>
          <w:t>2423- دیوان ساقی هروی أو شعره‏</w:t>
        </w:r>
        <w:r>
          <w:tab/>
        </w:r>
        <w:r>
          <w:fldChar w:fldCharType="begin"/>
        </w:r>
        <w:r>
          <w:instrText xml:space="preserve">PAGEREF 3123 \h</w:instrText>
        </w:r>
        <w:r>
          <w:fldChar w:fldCharType="end"/>
        </w:r>
      </w:hyperlink>
    </w:p>
    <w:p>
      <w:pPr>
        <w:tabs>
          <w:tab w:val="right" w:leader="dot" w:pos="9062"/>
        </w:tabs>
        <w:ind w:left="440"/>
      </w:pPr>
      <w:hyperlink w:anchor="_Toc3124" w:history="1">
        <w:r>
          <w:rPr>
            <w:rFonts w:ascii="IRNazanin" w:hAnsi="IRNazanin" w:eastAsia="IRNazanin" w:cs="IRNazanin"/>
            <w:color w:val="111111"/>
            <w:sz w:val="22"/>
            <w:szCs w:val="22"/>
            <w:b w:val="0"/>
            <w:bCs w:val="0"/>
            <w:i w:val="0"/>
            <w:iCs w:val="0"/>
          </w:rPr>
          <w:t>2424- دیوان ساکت أصفهانی‏</w:t>
        </w:r>
        <w:r>
          <w:tab/>
        </w:r>
        <w:r>
          <w:fldChar w:fldCharType="begin"/>
        </w:r>
        <w:r>
          <w:instrText xml:space="preserve">PAGEREF 3124 \h</w:instrText>
        </w:r>
        <w:r>
          <w:fldChar w:fldCharType="end"/>
        </w:r>
      </w:hyperlink>
    </w:p>
    <w:p>
      <w:pPr>
        <w:tabs>
          <w:tab w:val="right" w:leader="dot" w:pos="9062"/>
        </w:tabs>
        <w:ind w:left="440"/>
      </w:pPr>
      <w:hyperlink w:anchor="_Toc3125" w:history="1">
        <w:r>
          <w:rPr>
            <w:rFonts w:ascii="IRNazanin" w:hAnsi="IRNazanin" w:eastAsia="IRNazanin" w:cs="IRNazanin"/>
            <w:color w:val="111111"/>
            <w:sz w:val="22"/>
            <w:szCs w:val="22"/>
            <w:b w:val="0"/>
            <w:bCs w:val="0"/>
            <w:i w:val="0"/>
            <w:iCs w:val="0"/>
          </w:rPr>
          <w:t>2425- دیوان ساکت تبریزی‏</w:t>
        </w:r>
        <w:r>
          <w:tab/>
        </w:r>
        <w:r>
          <w:fldChar w:fldCharType="begin"/>
        </w:r>
        <w:r>
          <w:instrText xml:space="preserve">PAGEREF 3125 \h</w:instrText>
        </w:r>
        <w:r>
          <w:fldChar w:fldCharType="end"/>
        </w:r>
      </w:hyperlink>
    </w:p>
    <w:p>
      <w:pPr>
        <w:tabs>
          <w:tab w:val="right" w:leader="dot" w:pos="9062"/>
        </w:tabs>
        <w:ind w:left="440"/>
      </w:pPr>
      <w:hyperlink w:anchor="_Toc3126" w:history="1">
        <w:r>
          <w:rPr>
            <w:rFonts w:ascii="IRNazanin" w:hAnsi="IRNazanin" w:eastAsia="IRNazanin" w:cs="IRNazanin"/>
            <w:color w:val="111111"/>
            <w:sz w:val="22"/>
            <w:szCs w:val="22"/>
            <w:b w:val="0"/>
            <w:bCs w:val="0"/>
            <w:i w:val="0"/>
            <w:iCs w:val="0"/>
          </w:rPr>
          <w:t>2426- دیوان ساکت شیرازی أو شعره‏</w:t>
        </w:r>
        <w:r>
          <w:tab/>
        </w:r>
        <w:r>
          <w:fldChar w:fldCharType="begin"/>
        </w:r>
        <w:r>
          <w:instrText xml:space="preserve">PAGEREF 3126 \h</w:instrText>
        </w:r>
        <w:r>
          <w:fldChar w:fldCharType="end"/>
        </w:r>
      </w:hyperlink>
    </w:p>
    <w:p>
      <w:pPr>
        <w:tabs>
          <w:tab w:val="right" w:leader="dot" w:pos="9062"/>
        </w:tabs>
        <w:ind w:left="440"/>
      </w:pPr>
      <w:hyperlink w:anchor="_Toc3127" w:history="1">
        <w:r>
          <w:rPr>
            <w:rFonts w:ascii="IRNazanin" w:hAnsi="IRNazanin" w:eastAsia="IRNazanin" w:cs="IRNazanin"/>
            <w:color w:val="111111"/>
            <w:sz w:val="22"/>
            <w:szCs w:val="22"/>
            <w:b w:val="0"/>
            <w:bCs w:val="0"/>
            <w:i w:val="0"/>
            <w:iCs w:val="0"/>
          </w:rPr>
          <w:t>2427- دیوان ساکت یزدی أو شعره‏</w:t>
        </w:r>
        <w:r>
          <w:tab/>
        </w:r>
        <w:r>
          <w:fldChar w:fldCharType="begin"/>
        </w:r>
        <w:r>
          <w:instrText xml:space="preserve">PAGEREF 3127 \h</w:instrText>
        </w:r>
        <w:r>
          <w:fldChar w:fldCharType="end"/>
        </w:r>
      </w:hyperlink>
    </w:p>
    <w:p>
      <w:pPr>
        <w:tabs>
          <w:tab w:val="right" w:leader="dot" w:pos="9062"/>
        </w:tabs>
        <w:ind w:left="440"/>
      </w:pPr>
      <w:hyperlink w:anchor="_Toc3128" w:history="1">
        <w:r>
          <w:rPr>
            <w:rFonts w:ascii="IRNazanin" w:hAnsi="IRNazanin" w:eastAsia="IRNazanin" w:cs="IRNazanin"/>
            <w:color w:val="111111"/>
            <w:sz w:val="22"/>
            <w:szCs w:val="22"/>
            <w:b w:val="0"/>
            <w:bCs w:val="0"/>
            <w:i w:val="0"/>
            <w:iCs w:val="0"/>
          </w:rPr>
          <w:t>2428- دیوان ساکتی قمی أو شعره‏</w:t>
        </w:r>
        <w:r>
          <w:tab/>
        </w:r>
        <w:r>
          <w:fldChar w:fldCharType="begin"/>
        </w:r>
        <w:r>
          <w:instrText xml:space="preserve">PAGEREF 3128 \h</w:instrText>
        </w:r>
        <w:r>
          <w:fldChar w:fldCharType="end"/>
        </w:r>
      </w:hyperlink>
    </w:p>
    <w:p>
      <w:pPr>
        <w:tabs>
          <w:tab w:val="right" w:leader="dot" w:pos="9062"/>
        </w:tabs>
        <w:ind w:left="440"/>
      </w:pPr>
      <w:hyperlink w:anchor="_Toc3129" w:history="1">
        <w:r>
          <w:rPr>
            <w:rFonts w:ascii="IRNazanin" w:hAnsi="IRNazanin" w:eastAsia="IRNazanin" w:cs="IRNazanin"/>
            <w:color w:val="111111"/>
            <w:sz w:val="22"/>
            <w:szCs w:val="22"/>
            <w:b w:val="0"/>
            <w:bCs w:val="0"/>
            <w:i w:val="0"/>
            <w:iCs w:val="0"/>
          </w:rPr>
          <w:t>2429- دیوان ساکن شاه‏جهان‏آبادی أو شعره‏</w:t>
        </w:r>
        <w:r>
          <w:tab/>
        </w:r>
        <w:r>
          <w:fldChar w:fldCharType="begin"/>
        </w:r>
        <w:r>
          <w:instrText xml:space="preserve">PAGEREF 3129 \h</w:instrText>
        </w:r>
        <w:r>
          <w:fldChar w:fldCharType="end"/>
        </w:r>
      </w:hyperlink>
    </w:p>
    <w:p>
      <w:pPr>
        <w:tabs>
          <w:tab w:val="right" w:leader="dot" w:pos="9062"/>
        </w:tabs>
        <w:ind w:left="440"/>
      </w:pPr>
      <w:hyperlink w:anchor="_Toc3130" w:history="1">
        <w:r>
          <w:rPr>
            <w:rFonts w:ascii="IRNazanin" w:hAnsi="IRNazanin" w:eastAsia="IRNazanin" w:cs="IRNazanin"/>
            <w:color w:val="111111"/>
            <w:sz w:val="22"/>
            <w:szCs w:val="22"/>
            <w:b w:val="0"/>
            <w:bCs w:val="0"/>
            <w:i w:val="0"/>
            <w:iCs w:val="0"/>
          </w:rPr>
          <w:t>2430- دیوان المولی ساکنی سمرقندی أو شعره‏</w:t>
        </w:r>
        <w:r>
          <w:tab/>
        </w:r>
        <w:r>
          <w:fldChar w:fldCharType="begin"/>
        </w:r>
        <w:r>
          <w:instrText xml:space="preserve">PAGEREF 3130 \h</w:instrText>
        </w:r>
        <w:r>
          <w:fldChar w:fldCharType="end"/>
        </w:r>
      </w:hyperlink>
    </w:p>
    <w:p>
      <w:pPr>
        <w:tabs>
          <w:tab w:val="right" w:leader="dot" w:pos="9062"/>
        </w:tabs>
        <w:ind w:left="440"/>
      </w:pPr>
      <w:hyperlink w:anchor="_Toc3131" w:history="1">
        <w:r>
          <w:rPr>
            <w:rFonts w:ascii="IRNazanin" w:hAnsi="IRNazanin" w:eastAsia="IRNazanin" w:cs="IRNazanin"/>
            <w:color w:val="111111"/>
            <w:sz w:val="22"/>
            <w:szCs w:val="22"/>
            <w:b w:val="0"/>
            <w:bCs w:val="0"/>
            <w:i w:val="0"/>
            <w:iCs w:val="0"/>
          </w:rPr>
          <w:t>2431- دیوان سالک أو شعره‏</w:t>
        </w:r>
        <w:r>
          <w:tab/>
        </w:r>
        <w:r>
          <w:fldChar w:fldCharType="begin"/>
        </w:r>
        <w:r>
          <w:instrText xml:space="preserve">PAGEREF 3131 \h</w:instrText>
        </w:r>
        <w:r>
          <w:fldChar w:fldCharType="end"/>
        </w:r>
      </w:hyperlink>
    </w:p>
    <w:p>
      <w:pPr>
        <w:tabs>
          <w:tab w:val="right" w:leader="dot" w:pos="9062"/>
        </w:tabs>
        <w:ind w:left="440"/>
      </w:pPr>
      <w:hyperlink w:anchor="_Toc3132" w:history="1">
        <w:r>
          <w:rPr>
            <w:rFonts w:ascii="IRNazanin" w:hAnsi="IRNazanin" w:eastAsia="IRNazanin" w:cs="IRNazanin"/>
            <w:color w:val="111111"/>
            <w:sz w:val="22"/>
            <w:szCs w:val="22"/>
            <w:b w:val="0"/>
            <w:bCs w:val="0"/>
            <w:i w:val="0"/>
            <w:iCs w:val="0"/>
          </w:rPr>
          <w:t>2432- دیوان سالک أردوبادی أو شعره‏</w:t>
        </w:r>
        <w:r>
          <w:tab/>
        </w:r>
        <w:r>
          <w:fldChar w:fldCharType="begin"/>
        </w:r>
        <w:r>
          <w:instrText xml:space="preserve">PAGEREF 3132 \h</w:instrText>
        </w:r>
        <w:r>
          <w:fldChar w:fldCharType="end"/>
        </w:r>
      </w:hyperlink>
    </w:p>
    <w:p>
      <w:pPr>
        <w:tabs>
          <w:tab w:val="right" w:leader="dot" w:pos="9062"/>
        </w:tabs>
        <w:ind w:left="440"/>
      </w:pPr>
      <w:hyperlink w:anchor="_Toc3133" w:history="1">
        <w:r>
          <w:rPr>
            <w:rFonts w:ascii="IRNazanin" w:hAnsi="IRNazanin" w:eastAsia="IRNazanin" w:cs="IRNazanin"/>
            <w:color w:val="111111"/>
            <w:sz w:val="22"/>
            <w:szCs w:val="22"/>
            <w:b w:val="0"/>
            <w:bCs w:val="0"/>
            <w:i w:val="0"/>
            <w:iCs w:val="0"/>
          </w:rPr>
          <w:t>دیوان سالک أصفهانی‏</w:t>
        </w:r>
        <w:r>
          <w:tab/>
        </w:r>
        <w:r>
          <w:fldChar w:fldCharType="begin"/>
        </w:r>
        <w:r>
          <w:instrText xml:space="preserve">PAGEREF 3133 \h</w:instrText>
        </w:r>
        <w:r>
          <w:fldChar w:fldCharType="end"/>
        </w:r>
      </w:hyperlink>
    </w:p>
    <w:p>
      <w:pPr>
        <w:tabs>
          <w:tab w:val="right" w:leader="dot" w:pos="9062"/>
        </w:tabs>
        <w:ind w:left="440"/>
      </w:pPr>
      <w:hyperlink w:anchor="_Toc3134" w:history="1">
        <w:r>
          <w:rPr>
            <w:rFonts w:ascii="IRNazanin" w:hAnsi="IRNazanin" w:eastAsia="IRNazanin" w:cs="IRNazanin"/>
            <w:color w:val="111111"/>
            <w:sz w:val="22"/>
            <w:szCs w:val="22"/>
            <w:b w:val="0"/>
            <w:bCs w:val="0"/>
            <w:i w:val="0"/>
            <w:iCs w:val="0"/>
          </w:rPr>
          <w:t>دیوان سالک أصفهانی‏</w:t>
        </w:r>
        <w:r>
          <w:tab/>
        </w:r>
        <w:r>
          <w:fldChar w:fldCharType="begin"/>
        </w:r>
        <w:r>
          <w:instrText xml:space="preserve">PAGEREF 3134 \h</w:instrText>
        </w:r>
        <w:r>
          <w:fldChar w:fldCharType="end"/>
        </w:r>
      </w:hyperlink>
    </w:p>
    <w:p>
      <w:pPr>
        <w:tabs>
          <w:tab w:val="right" w:leader="dot" w:pos="9062"/>
        </w:tabs>
        <w:ind w:left="440"/>
      </w:pPr>
      <w:hyperlink w:anchor="_Toc3135" w:history="1">
        <w:r>
          <w:rPr>
            <w:rFonts w:ascii="IRNazanin" w:hAnsi="IRNazanin" w:eastAsia="IRNazanin" w:cs="IRNazanin"/>
            <w:color w:val="111111"/>
            <w:sz w:val="22"/>
            <w:szCs w:val="22"/>
            <w:b w:val="0"/>
            <w:bCs w:val="0"/>
            <w:i w:val="0"/>
            <w:iCs w:val="0"/>
          </w:rPr>
          <w:t>2433- دیوان سالک أصفهانی أو شعره‏</w:t>
        </w:r>
        <w:r>
          <w:tab/>
        </w:r>
        <w:r>
          <w:fldChar w:fldCharType="begin"/>
        </w:r>
        <w:r>
          <w:instrText xml:space="preserve">PAGEREF 3135 \h</w:instrText>
        </w:r>
        <w:r>
          <w:fldChar w:fldCharType="end"/>
        </w:r>
      </w:hyperlink>
    </w:p>
    <w:p>
      <w:pPr>
        <w:tabs>
          <w:tab w:val="right" w:leader="dot" w:pos="9062"/>
        </w:tabs>
        <w:ind w:left="440"/>
      </w:pPr>
      <w:hyperlink w:anchor="_Toc3136" w:history="1">
        <w:r>
          <w:rPr>
            <w:rFonts w:ascii="IRNazanin" w:hAnsi="IRNazanin" w:eastAsia="IRNazanin" w:cs="IRNazanin"/>
            <w:color w:val="111111"/>
            <w:sz w:val="22"/>
            <w:szCs w:val="22"/>
            <w:b w:val="0"/>
            <w:bCs w:val="0"/>
            <w:i w:val="0"/>
            <w:iCs w:val="0"/>
          </w:rPr>
          <w:t>2434- دیوان سالک بروجنی‏</w:t>
        </w:r>
        <w:r>
          <w:tab/>
        </w:r>
        <w:r>
          <w:fldChar w:fldCharType="begin"/>
        </w:r>
        <w:r>
          <w:instrText xml:space="preserve">PAGEREF 3136 \h</w:instrText>
        </w:r>
        <w:r>
          <w:fldChar w:fldCharType="end"/>
        </w:r>
      </w:hyperlink>
    </w:p>
    <w:p>
      <w:pPr>
        <w:tabs>
          <w:tab w:val="right" w:leader="dot" w:pos="9062"/>
        </w:tabs>
        <w:ind w:left="440"/>
      </w:pPr>
      <w:hyperlink w:anchor="_Toc3137" w:history="1">
        <w:r>
          <w:rPr>
            <w:rFonts w:ascii="IRNazanin" w:hAnsi="IRNazanin" w:eastAsia="IRNazanin" w:cs="IRNazanin"/>
            <w:color w:val="111111"/>
            <w:sz w:val="22"/>
            <w:szCs w:val="22"/>
            <w:b w:val="0"/>
            <w:bCs w:val="0"/>
            <w:i w:val="0"/>
            <w:iCs w:val="0"/>
          </w:rPr>
          <w:t>2435- دیوان سالک پیر أصفهانی أو شعره‏</w:t>
        </w:r>
        <w:r>
          <w:tab/>
        </w:r>
        <w:r>
          <w:fldChar w:fldCharType="begin"/>
        </w:r>
        <w:r>
          <w:instrText xml:space="preserve">PAGEREF 3137 \h</w:instrText>
        </w:r>
        <w:r>
          <w:fldChar w:fldCharType="end"/>
        </w:r>
      </w:hyperlink>
    </w:p>
    <w:p>
      <w:pPr>
        <w:tabs>
          <w:tab w:val="right" w:leader="dot" w:pos="9062"/>
        </w:tabs>
        <w:ind w:left="440"/>
      </w:pPr>
      <w:hyperlink w:anchor="_Toc3138" w:history="1">
        <w:r>
          <w:rPr>
            <w:rFonts w:ascii="IRNazanin" w:hAnsi="IRNazanin" w:eastAsia="IRNazanin" w:cs="IRNazanin"/>
            <w:color w:val="111111"/>
            <w:sz w:val="22"/>
            <w:szCs w:val="22"/>
            <w:b w:val="0"/>
            <w:bCs w:val="0"/>
            <w:i w:val="0"/>
            <w:iCs w:val="0"/>
          </w:rPr>
          <w:t>2436- دیوان سالک تبریزی‏</w:t>
        </w:r>
        <w:r>
          <w:tab/>
        </w:r>
        <w:r>
          <w:fldChar w:fldCharType="begin"/>
        </w:r>
        <w:r>
          <w:instrText xml:space="preserve">PAGEREF 3138 \h</w:instrText>
        </w:r>
        <w:r>
          <w:fldChar w:fldCharType="end"/>
        </w:r>
      </w:hyperlink>
    </w:p>
    <w:p>
      <w:pPr>
        <w:tabs>
          <w:tab w:val="right" w:leader="dot" w:pos="9062"/>
        </w:tabs>
        <w:ind w:left="440"/>
      </w:pPr>
      <w:hyperlink w:anchor="_Toc3139" w:history="1">
        <w:r>
          <w:rPr>
            <w:rFonts w:ascii="IRNazanin" w:hAnsi="IRNazanin" w:eastAsia="IRNazanin" w:cs="IRNazanin"/>
            <w:color w:val="111111"/>
            <w:sz w:val="22"/>
            <w:szCs w:val="22"/>
            <w:b w:val="0"/>
            <w:bCs w:val="0"/>
            <w:i w:val="0"/>
            <w:iCs w:val="0"/>
          </w:rPr>
          <w:t>دیوان سالک الحموئی‏</w:t>
        </w:r>
        <w:r>
          <w:tab/>
        </w:r>
        <w:r>
          <w:fldChar w:fldCharType="begin"/>
        </w:r>
        <w:r>
          <w:instrText xml:space="preserve">PAGEREF 3139 \h</w:instrText>
        </w:r>
        <w:r>
          <w:fldChar w:fldCharType="end"/>
        </w:r>
      </w:hyperlink>
    </w:p>
    <w:p>
      <w:pPr>
        <w:tabs>
          <w:tab w:val="right" w:leader="dot" w:pos="9062"/>
        </w:tabs>
        <w:ind w:left="440"/>
      </w:pPr>
      <w:hyperlink w:anchor="_Toc3140" w:history="1">
        <w:r>
          <w:rPr>
            <w:rFonts w:ascii="IRNazanin" w:hAnsi="IRNazanin" w:eastAsia="IRNazanin" w:cs="IRNazanin"/>
            <w:color w:val="111111"/>
            <w:sz w:val="22"/>
            <w:szCs w:val="22"/>
            <w:b w:val="0"/>
            <w:bCs w:val="0"/>
            <w:i w:val="0"/>
            <w:iCs w:val="0"/>
          </w:rPr>
          <w:t>2437- دیوان سالک خوی‏</w:t>
        </w:r>
        <w:r>
          <w:tab/>
        </w:r>
        <w:r>
          <w:fldChar w:fldCharType="begin"/>
        </w:r>
        <w:r>
          <w:instrText xml:space="preserve">PAGEREF 3140 \h</w:instrText>
        </w:r>
        <w:r>
          <w:fldChar w:fldCharType="end"/>
        </w:r>
      </w:hyperlink>
    </w:p>
    <w:p>
      <w:pPr>
        <w:tabs>
          <w:tab w:val="right" w:leader="dot" w:pos="9062"/>
        </w:tabs>
        <w:ind w:left="440"/>
      </w:pPr>
      <w:hyperlink w:anchor="_Toc3141" w:history="1">
        <w:r>
          <w:rPr>
            <w:rFonts w:ascii="IRNazanin" w:hAnsi="IRNazanin" w:eastAsia="IRNazanin" w:cs="IRNazanin"/>
            <w:color w:val="111111"/>
            <w:sz w:val="22"/>
            <w:szCs w:val="22"/>
            <w:b w:val="0"/>
            <w:bCs w:val="0"/>
            <w:i w:val="0"/>
            <w:iCs w:val="0"/>
          </w:rPr>
          <w:t>2438- دیوان سالک شیرازی أو شعره‏</w:t>
        </w:r>
        <w:r>
          <w:tab/>
        </w:r>
        <w:r>
          <w:fldChar w:fldCharType="begin"/>
        </w:r>
        <w:r>
          <w:instrText xml:space="preserve">PAGEREF 3141 \h</w:instrText>
        </w:r>
        <w:r>
          <w:fldChar w:fldCharType="end"/>
        </w:r>
      </w:hyperlink>
    </w:p>
    <w:p>
      <w:pPr>
        <w:tabs>
          <w:tab w:val="right" w:leader="dot" w:pos="9062"/>
        </w:tabs>
        <w:ind w:left="440"/>
      </w:pPr>
      <w:hyperlink w:anchor="_Toc3142" w:history="1">
        <w:r>
          <w:rPr>
            <w:rFonts w:ascii="IRNazanin" w:hAnsi="IRNazanin" w:eastAsia="IRNazanin" w:cs="IRNazanin"/>
            <w:color w:val="111111"/>
            <w:sz w:val="22"/>
            <w:szCs w:val="22"/>
            <w:b w:val="0"/>
            <w:bCs w:val="0"/>
            <w:i w:val="0"/>
            <w:iCs w:val="0"/>
          </w:rPr>
          <w:t>2439- دیوان سالک قزوینی‏</w:t>
        </w:r>
        <w:r>
          <w:tab/>
        </w:r>
        <w:r>
          <w:fldChar w:fldCharType="begin"/>
        </w:r>
        <w:r>
          <w:instrText xml:space="preserve">PAGEREF 3142 \h</w:instrText>
        </w:r>
        <w:r>
          <w:fldChar w:fldCharType="end"/>
        </w:r>
      </w:hyperlink>
    </w:p>
    <w:p>
      <w:pPr>
        <w:tabs>
          <w:tab w:val="right" w:leader="dot" w:pos="9062"/>
        </w:tabs>
        <w:ind w:left="440"/>
      </w:pPr>
      <w:hyperlink w:anchor="_Toc3143" w:history="1">
        <w:r>
          <w:rPr>
            <w:rFonts w:ascii="IRNazanin" w:hAnsi="IRNazanin" w:eastAsia="IRNazanin" w:cs="IRNazanin"/>
            <w:color w:val="111111"/>
            <w:sz w:val="22"/>
            <w:szCs w:val="22"/>
            <w:b w:val="0"/>
            <w:bCs w:val="0"/>
            <w:i w:val="0"/>
            <w:iCs w:val="0"/>
          </w:rPr>
          <w:t>2440- دیوان سالک کاشانی‏</w:t>
        </w:r>
        <w:r>
          <w:tab/>
        </w:r>
        <w:r>
          <w:fldChar w:fldCharType="begin"/>
        </w:r>
        <w:r>
          <w:instrText xml:space="preserve">PAGEREF 3143 \h</w:instrText>
        </w:r>
        <w:r>
          <w:fldChar w:fldCharType="end"/>
        </w:r>
      </w:hyperlink>
    </w:p>
    <w:p>
      <w:pPr>
        <w:tabs>
          <w:tab w:val="right" w:leader="dot" w:pos="9062"/>
        </w:tabs>
        <w:ind w:left="440"/>
      </w:pPr>
      <w:hyperlink w:anchor="_Toc3144" w:history="1">
        <w:r>
          <w:rPr>
            <w:rFonts w:ascii="IRNazanin" w:hAnsi="IRNazanin" w:eastAsia="IRNazanin" w:cs="IRNazanin"/>
            <w:color w:val="111111"/>
            <w:sz w:val="22"/>
            <w:szCs w:val="22"/>
            <w:b w:val="0"/>
            <w:bCs w:val="0"/>
            <w:i w:val="0"/>
            <w:iCs w:val="0"/>
          </w:rPr>
          <w:t>2441- دیوان سالک کاشانی أو شعره‏</w:t>
        </w:r>
        <w:r>
          <w:tab/>
        </w:r>
        <w:r>
          <w:fldChar w:fldCharType="begin"/>
        </w:r>
        <w:r>
          <w:instrText xml:space="preserve">PAGEREF 3144 \h</w:instrText>
        </w:r>
        <w:r>
          <w:fldChar w:fldCharType="end"/>
        </w:r>
      </w:hyperlink>
    </w:p>
    <w:p>
      <w:pPr>
        <w:tabs>
          <w:tab w:val="right" w:leader="dot" w:pos="9062"/>
        </w:tabs>
        <w:ind w:left="440"/>
      </w:pPr>
      <w:hyperlink w:anchor="_Toc3145" w:history="1">
        <w:r>
          <w:rPr>
            <w:rFonts w:ascii="IRNazanin" w:hAnsi="IRNazanin" w:eastAsia="IRNazanin" w:cs="IRNazanin"/>
            <w:color w:val="111111"/>
            <w:sz w:val="22"/>
            <w:szCs w:val="22"/>
            <w:b w:val="0"/>
            <w:bCs w:val="0"/>
            <w:i w:val="0"/>
            <w:iCs w:val="0"/>
          </w:rPr>
          <w:t>2442- دیوان سالک نائنی أو شعره‏</w:t>
        </w:r>
        <w:r>
          <w:tab/>
        </w:r>
        <w:r>
          <w:fldChar w:fldCharType="begin"/>
        </w:r>
        <w:r>
          <w:instrText xml:space="preserve">PAGEREF 3145 \h</w:instrText>
        </w:r>
        <w:r>
          <w:fldChar w:fldCharType="end"/>
        </w:r>
      </w:hyperlink>
    </w:p>
    <w:p>
      <w:pPr>
        <w:tabs>
          <w:tab w:val="right" w:leader="dot" w:pos="9062"/>
        </w:tabs>
        <w:ind w:left="440"/>
      </w:pPr>
      <w:hyperlink w:anchor="_Toc3146" w:history="1">
        <w:r>
          <w:rPr>
            <w:rFonts w:ascii="IRNazanin" w:hAnsi="IRNazanin" w:eastAsia="IRNazanin" w:cs="IRNazanin"/>
            <w:color w:val="111111"/>
            <w:sz w:val="22"/>
            <w:szCs w:val="22"/>
            <w:b w:val="0"/>
            <w:bCs w:val="0"/>
            <w:i w:val="0"/>
            <w:iCs w:val="0"/>
          </w:rPr>
          <w:t>2443- دیوان سالک یزدی أو شعره‏</w:t>
        </w:r>
        <w:r>
          <w:tab/>
        </w:r>
        <w:r>
          <w:fldChar w:fldCharType="begin"/>
        </w:r>
        <w:r>
          <w:instrText xml:space="preserve">PAGEREF 3146 \h</w:instrText>
        </w:r>
        <w:r>
          <w:fldChar w:fldCharType="end"/>
        </w:r>
      </w:hyperlink>
    </w:p>
    <w:p>
      <w:pPr>
        <w:tabs>
          <w:tab w:val="right" w:leader="dot" w:pos="9062"/>
        </w:tabs>
        <w:ind w:left="440"/>
      </w:pPr>
      <w:hyperlink w:anchor="_Toc3147" w:history="1">
        <w:r>
          <w:rPr>
            <w:rFonts w:ascii="IRNazanin" w:hAnsi="IRNazanin" w:eastAsia="IRNazanin" w:cs="IRNazanin"/>
            <w:color w:val="111111"/>
            <w:sz w:val="22"/>
            <w:szCs w:val="22"/>
            <w:b w:val="0"/>
            <w:bCs w:val="0"/>
            <w:i w:val="0"/>
            <w:iCs w:val="0"/>
          </w:rPr>
          <w:t>2444- دیوان سالک یزدی‏</w:t>
        </w:r>
        <w:r>
          <w:tab/>
        </w:r>
        <w:r>
          <w:fldChar w:fldCharType="begin"/>
        </w:r>
        <w:r>
          <w:instrText xml:space="preserve">PAGEREF 3147 \h</w:instrText>
        </w:r>
        <w:r>
          <w:fldChar w:fldCharType="end"/>
        </w:r>
      </w:hyperlink>
    </w:p>
    <w:p>
      <w:pPr>
        <w:tabs>
          <w:tab w:val="right" w:leader="dot" w:pos="9062"/>
        </w:tabs>
        <w:ind w:left="440"/>
      </w:pPr>
      <w:hyperlink w:anchor="_Toc3148" w:history="1">
        <w:r>
          <w:rPr>
            <w:rFonts w:ascii="IRNazanin" w:hAnsi="IRNazanin" w:eastAsia="IRNazanin" w:cs="IRNazanin"/>
            <w:color w:val="111111"/>
            <w:sz w:val="22"/>
            <w:szCs w:val="22"/>
            <w:b w:val="0"/>
            <w:bCs w:val="0"/>
            <w:i w:val="0"/>
            <w:iCs w:val="0"/>
          </w:rPr>
          <w:t>2445- دیوان سالم أردبیلی أو شعره‏</w:t>
        </w:r>
        <w:r>
          <w:tab/>
        </w:r>
        <w:r>
          <w:fldChar w:fldCharType="begin"/>
        </w:r>
        <w:r>
          <w:instrText xml:space="preserve">PAGEREF 3148 \h</w:instrText>
        </w:r>
        <w:r>
          <w:fldChar w:fldCharType="end"/>
        </w:r>
      </w:hyperlink>
    </w:p>
    <w:p>
      <w:pPr>
        <w:tabs>
          <w:tab w:val="right" w:leader="dot" w:pos="9062"/>
        </w:tabs>
        <w:ind w:left="440"/>
      </w:pPr>
      <w:hyperlink w:anchor="_Toc3149" w:history="1">
        <w:r>
          <w:rPr>
            <w:rFonts w:ascii="IRNazanin" w:hAnsi="IRNazanin" w:eastAsia="IRNazanin" w:cs="IRNazanin"/>
            <w:color w:val="111111"/>
            <w:sz w:val="22"/>
            <w:szCs w:val="22"/>
            <w:b w:val="0"/>
            <w:bCs w:val="0"/>
            <w:i w:val="0"/>
            <w:iCs w:val="0"/>
          </w:rPr>
          <w:t>2446- دیوان سالم أصفهانی أو شعره‏</w:t>
        </w:r>
        <w:r>
          <w:tab/>
        </w:r>
        <w:r>
          <w:fldChar w:fldCharType="begin"/>
        </w:r>
        <w:r>
          <w:instrText xml:space="preserve">PAGEREF 3149 \h</w:instrText>
        </w:r>
        <w:r>
          <w:fldChar w:fldCharType="end"/>
        </w:r>
      </w:hyperlink>
    </w:p>
    <w:p>
      <w:pPr>
        <w:tabs>
          <w:tab w:val="right" w:leader="dot" w:pos="9062"/>
        </w:tabs>
        <w:ind w:left="440"/>
      </w:pPr>
      <w:hyperlink w:anchor="_Toc3150" w:history="1">
        <w:r>
          <w:rPr>
            <w:rFonts w:ascii="IRNazanin" w:hAnsi="IRNazanin" w:eastAsia="IRNazanin" w:cs="IRNazanin"/>
            <w:color w:val="111111"/>
            <w:sz w:val="22"/>
            <w:szCs w:val="22"/>
            <w:b w:val="0"/>
            <w:bCs w:val="0"/>
            <w:i w:val="0"/>
            <w:iCs w:val="0"/>
          </w:rPr>
          <w:t>دیوان سالم بلگرامی‏</w:t>
        </w:r>
        <w:r>
          <w:tab/>
        </w:r>
        <w:r>
          <w:fldChar w:fldCharType="begin"/>
        </w:r>
        <w:r>
          <w:instrText xml:space="preserve">PAGEREF 3150 \h</w:instrText>
        </w:r>
        <w:r>
          <w:fldChar w:fldCharType="end"/>
        </w:r>
      </w:hyperlink>
    </w:p>
    <w:p>
      <w:pPr>
        <w:tabs>
          <w:tab w:val="right" w:leader="dot" w:pos="9062"/>
        </w:tabs>
        <w:ind w:left="440"/>
      </w:pPr>
      <w:hyperlink w:anchor="_Toc3151" w:history="1">
        <w:r>
          <w:rPr>
            <w:rFonts w:ascii="IRNazanin" w:hAnsi="IRNazanin" w:eastAsia="IRNazanin" w:cs="IRNazanin"/>
            <w:color w:val="111111"/>
            <w:sz w:val="22"/>
            <w:szCs w:val="22"/>
            <w:b w:val="0"/>
            <w:bCs w:val="0"/>
            <w:i w:val="0"/>
            <w:iCs w:val="0"/>
          </w:rPr>
          <w:t>2447- دیوان سالم تبریزی‏</w:t>
        </w:r>
        <w:r>
          <w:tab/>
        </w:r>
        <w:r>
          <w:fldChar w:fldCharType="begin"/>
        </w:r>
        <w:r>
          <w:instrText xml:space="preserve">PAGEREF 3151 \h</w:instrText>
        </w:r>
        <w:r>
          <w:fldChar w:fldCharType="end"/>
        </w:r>
      </w:hyperlink>
    </w:p>
    <w:p>
      <w:pPr>
        <w:tabs>
          <w:tab w:val="right" w:leader="dot" w:pos="9062"/>
        </w:tabs>
        <w:ind w:left="440"/>
      </w:pPr>
      <w:hyperlink w:anchor="_Toc3152" w:history="1">
        <w:r>
          <w:rPr>
            <w:rFonts w:ascii="IRNazanin" w:hAnsi="IRNazanin" w:eastAsia="IRNazanin" w:cs="IRNazanin"/>
            <w:color w:val="111111"/>
            <w:sz w:val="22"/>
            <w:szCs w:val="22"/>
            <w:b w:val="0"/>
            <w:bCs w:val="0"/>
            <w:i w:val="0"/>
            <w:iCs w:val="0"/>
          </w:rPr>
          <w:t>دیوان سالم ترکمان‏</w:t>
        </w:r>
        <w:r>
          <w:tab/>
        </w:r>
        <w:r>
          <w:fldChar w:fldCharType="begin"/>
        </w:r>
        <w:r>
          <w:instrText xml:space="preserve">PAGEREF 3152 \h</w:instrText>
        </w:r>
        <w:r>
          <w:fldChar w:fldCharType="end"/>
        </w:r>
      </w:hyperlink>
    </w:p>
    <w:p>
      <w:pPr>
        <w:tabs>
          <w:tab w:val="right" w:leader="dot" w:pos="9062"/>
        </w:tabs>
        <w:ind w:left="440"/>
      </w:pPr>
      <w:hyperlink w:anchor="_Toc3153" w:history="1">
        <w:r>
          <w:rPr>
            <w:rFonts w:ascii="IRNazanin" w:hAnsi="IRNazanin" w:eastAsia="IRNazanin" w:cs="IRNazanin"/>
            <w:color w:val="111111"/>
            <w:sz w:val="22"/>
            <w:szCs w:val="22"/>
            <w:b w:val="0"/>
            <w:bCs w:val="0"/>
            <w:i w:val="0"/>
            <w:iCs w:val="0"/>
          </w:rPr>
          <w:t>دیوان سالم شیرازی‏</w:t>
        </w:r>
        <w:r>
          <w:tab/>
        </w:r>
        <w:r>
          <w:fldChar w:fldCharType="begin"/>
        </w:r>
        <w:r>
          <w:instrText xml:space="preserve">PAGEREF 3153 \h</w:instrText>
        </w:r>
        <w:r>
          <w:fldChar w:fldCharType="end"/>
        </w:r>
      </w:hyperlink>
    </w:p>
    <w:p>
      <w:pPr>
        <w:tabs>
          <w:tab w:val="right" w:leader="dot" w:pos="9062"/>
        </w:tabs>
        <w:ind w:left="440"/>
      </w:pPr>
      <w:hyperlink w:anchor="_Toc3154" w:history="1">
        <w:r>
          <w:rPr>
            <w:rFonts w:ascii="IRNazanin" w:hAnsi="IRNazanin" w:eastAsia="IRNazanin" w:cs="IRNazanin"/>
            <w:color w:val="111111"/>
            <w:sz w:val="22"/>
            <w:szCs w:val="22"/>
            <w:b w:val="0"/>
            <w:bCs w:val="0"/>
            <w:i w:val="0"/>
            <w:iCs w:val="0"/>
          </w:rPr>
          <w:t>2448- دیوان سالم کاشانی أو شعره‏</w:t>
        </w:r>
        <w:r>
          <w:tab/>
        </w:r>
        <w:r>
          <w:fldChar w:fldCharType="begin"/>
        </w:r>
        <w:r>
          <w:instrText xml:space="preserve">PAGEREF 3154 \h</w:instrText>
        </w:r>
        <w:r>
          <w:fldChar w:fldCharType="end"/>
        </w:r>
      </w:hyperlink>
    </w:p>
    <w:p>
      <w:pPr>
        <w:tabs>
          <w:tab w:val="right" w:leader="dot" w:pos="9062"/>
        </w:tabs>
        <w:ind w:left="440"/>
      </w:pPr>
      <w:hyperlink w:anchor="_Toc3155" w:history="1">
        <w:r>
          <w:rPr>
            <w:rFonts w:ascii="IRNazanin" w:hAnsi="IRNazanin" w:eastAsia="IRNazanin" w:cs="IRNazanin"/>
            <w:color w:val="111111"/>
            <w:sz w:val="22"/>
            <w:szCs w:val="22"/>
            <w:b w:val="0"/>
            <w:bCs w:val="0"/>
            <w:i w:val="0"/>
            <w:iCs w:val="0"/>
          </w:rPr>
          <w:t>2449- دیوان سالم کشمیری أو شعره‏</w:t>
        </w:r>
        <w:r>
          <w:tab/>
        </w:r>
        <w:r>
          <w:fldChar w:fldCharType="begin"/>
        </w:r>
        <w:r>
          <w:instrText xml:space="preserve">PAGEREF 3155 \h</w:instrText>
        </w:r>
        <w:r>
          <w:fldChar w:fldCharType="end"/>
        </w:r>
      </w:hyperlink>
    </w:p>
    <w:p>
      <w:pPr>
        <w:tabs>
          <w:tab w:val="right" w:leader="dot" w:pos="9062"/>
        </w:tabs>
        <w:ind w:left="440"/>
      </w:pPr>
      <w:hyperlink w:anchor="_Toc3156" w:history="1">
        <w:r>
          <w:rPr>
            <w:rFonts w:ascii="IRNazanin" w:hAnsi="IRNazanin" w:eastAsia="IRNazanin" w:cs="IRNazanin"/>
            <w:color w:val="111111"/>
            <w:sz w:val="22"/>
            <w:szCs w:val="22"/>
            <w:b w:val="0"/>
            <w:bCs w:val="0"/>
            <w:i w:val="0"/>
            <w:iCs w:val="0"/>
          </w:rPr>
          <w:t>دیوان سالم کشمیری‏</w:t>
        </w:r>
        <w:r>
          <w:tab/>
        </w:r>
        <w:r>
          <w:fldChar w:fldCharType="begin"/>
        </w:r>
        <w:r>
          <w:instrText xml:space="preserve">PAGEREF 3156 \h</w:instrText>
        </w:r>
        <w:r>
          <w:fldChar w:fldCharType="end"/>
        </w:r>
      </w:hyperlink>
    </w:p>
    <w:p>
      <w:pPr>
        <w:tabs>
          <w:tab w:val="right" w:leader="dot" w:pos="9062"/>
        </w:tabs>
        <w:ind w:left="440"/>
      </w:pPr>
      <w:hyperlink w:anchor="_Toc3157" w:history="1">
        <w:r>
          <w:rPr>
            <w:rFonts w:ascii="IRNazanin" w:hAnsi="IRNazanin" w:eastAsia="IRNazanin" w:cs="IRNazanin"/>
            <w:color w:val="111111"/>
            <w:sz w:val="22"/>
            <w:szCs w:val="22"/>
            <w:b w:val="0"/>
            <w:bCs w:val="0"/>
            <w:i w:val="0"/>
            <w:iCs w:val="0"/>
          </w:rPr>
          <w:t>دیوان سالمی تفرشی‏</w:t>
        </w:r>
        <w:r>
          <w:tab/>
        </w:r>
        <w:r>
          <w:fldChar w:fldCharType="begin"/>
        </w:r>
        <w:r>
          <w:instrText xml:space="preserve">PAGEREF 3157 \h</w:instrText>
        </w:r>
        <w:r>
          <w:fldChar w:fldCharType="end"/>
        </w:r>
      </w:hyperlink>
    </w:p>
    <w:p>
      <w:pPr>
        <w:tabs>
          <w:tab w:val="right" w:leader="dot" w:pos="9062"/>
        </w:tabs>
        <w:ind w:left="440"/>
      </w:pPr>
      <w:hyperlink w:anchor="_Toc3158" w:history="1">
        <w:r>
          <w:rPr>
            <w:rFonts w:ascii="IRNazanin" w:hAnsi="IRNazanin" w:eastAsia="IRNazanin" w:cs="IRNazanin"/>
            <w:color w:val="111111"/>
            <w:sz w:val="22"/>
            <w:szCs w:val="22"/>
            <w:b w:val="0"/>
            <w:bCs w:val="0"/>
            <w:i w:val="0"/>
            <w:iCs w:val="0"/>
          </w:rPr>
          <w:t>2450- دیوان سالمی خراسانی أو شعره‏</w:t>
        </w:r>
        <w:r>
          <w:tab/>
        </w:r>
        <w:r>
          <w:fldChar w:fldCharType="begin"/>
        </w:r>
        <w:r>
          <w:instrText xml:space="preserve">PAGEREF 3158 \h</w:instrText>
        </w:r>
        <w:r>
          <w:fldChar w:fldCharType="end"/>
        </w:r>
      </w:hyperlink>
    </w:p>
    <w:p>
      <w:pPr>
        <w:tabs>
          <w:tab w:val="right" w:leader="dot" w:pos="9062"/>
        </w:tabs>
        <w:ind w:left="440"/>
      </w:pPr>
      <w:hyperlink w:anchor="_Toc3159" w:history="1">
        <w:r>
          <w:rPr>
            <w:rFonts w:ascii="IRNazanin" w:hAnsi="IRNazanin" w:eastAsia="IRNazanin" w:cs="IRNazanin"/>
            <w:color w:val="111111"/>
            <w:sz w:val="22"/>
            <w:szCs w:val="22"/>
            <w:b w:val="0"/>
            <w:bCs w:val="0"/>
            <w:i w:val="0"/>
            <w:iCs w:val="0"/>
          </w:rPr>
          <w:t>2451- دیوان سامانی بختیاری‏</w:t>
        </w:r>
        <w:r>
          <w:tab/>
        </w:r>
        <w:r>
          <w:fldChar w:fldCharType="begin"/>
        </w:r>
        <w:r>
          <w:instrText xml:space="preserve">PAGEREF 3159 \h</w:instrText>
        </w:r>
        <w:r>
          <w:fldChar w:fldCharType="end"/>
        </w:r>
      </w:hyperlink>
    </w:p>
    <w:p>
      <w:pPr>
        <w:tabs>
          <w:tab w:val="right" w:leader="dot" w:pos="9062"/>
        </w:tabs>
        <w:ind w:left="440"/>
      </w:pPr>
      <w:hyperlink w:anchor="_Toc3160" w:history="1">
        <w:r>
          <w:rPr>
            <w:rFonts w:ascii="IRNazanin" w:hAnsi="IRNazanin" w:eastAsia="IRNazanin" w:cs="IRNazanin"/>
            <w:color w:val="111111"/>
            <w:sz w:val="22"/>
            <w:szCs w:val="22"/>
            <w:b w:val="0"/>
            <w:bCs w:val="0"/>
            <w:i w:val="0"/>
            <w:iCs w:val="0"/>
          </w:rPr>
          <w:t>2452- دیوان سامانی بخاری أو شعره‏</w:t>
        </w:r>
        <w:r>
          <w:tab/>
        </w:r>
        <w:r>
          <w:fldChar w:fldCharType="begin"/>
        </w:r>
        <w:r>
          <w:instrText xml:space="preserve">PAGEREF 3160 \h</w:instrText>
        </w:r>
        <w:r>
          <w:fldChar w:fldCharType="end"/>
        </w:r>
      </w:hyperlink>
    </w:p>
    <w:p>
      <w:pPr>
        <w:tabs>
          <w:tab w:val="right" w:leader="dot" w:pos="9062"/>
        </w:tabs>
        <w:ind w:left="440"/>
      </w:pPr>
      <w:hyperlink w:anchor="_Toc3161" w:history="1">
        <w:r>
          <w:rPr>
            <w:rFonts w:ascii="IRNazanin" w:hAnsi="IRNazanin" w:eastAsia="IRNazanin" w:cs="IRNazanin"/>
            <w:color w:val="111111"/>
            <w:sz w:val="22"/>
            <w:szCs w:val="22"/>
            <w:b w:val="0"/>
            <w:bCs w:val="0"/>
            <w:i w:val="0"/>
            <w:iCs w:val="0"/>
          </w:rPr>
          <w:t>2453- دیوان سامانی جونپوری أو شعره‏</w:t>
        </w:r>
        <w:r>
          <w:tab/>
        </w:r>
        <w:r>
          <w:fldChar w:fldCharType="begin"/>
        </w:r>
        <w:r>
          <w:instrText xml:space="preserve">PAGEREF 3161 \h</w:instrText>
        </w:r>
        <w:r>
          <w:fldChar w:fldCharType="end"/>
        </w:r>
      </w:hyperlink>
    </w:p>
    <w:p>
      <w:pPr>
        <w:tabs>
          <w:tab w:val="right" w:leader="dot" w:pos="9062"/>
        </w:tabs>
        <w:ind w:left="440"/>
      </w:pPr>
      <w:hyperlink w:anchor="_Toc3162" w:history="1">
        <w:r>
          <w:rPr>
            <w:rFonts w:ascii="IRNazanin" w:hAnsi="IRNazanin" w:eastAsia="IRNazanin" w:cs="IRNazanin"/>
            <w:color w:val="111111"/>
            <w:sz w:val="22"/>
            <w:szCs w:val="22"/>
            <w:b w:val="0"/>
            <w:bCs w:val="0"/>
            <w:i w:val="0"/>
            <w:iCs w:val="0"/>
          </w:rPr>
          <w:t>2454- دیوان سامانی شیرازی‏</w:t>
        </w:r>
        <w:r>
          <w:tab/>
        </w:r>
        <w:r>
          <w:fldChar w:fldCharType="begin"/>
        </w:r>
        <w:r>
          <w:instrText xml:space="preserve">PAGEREF 3162 \h</w:instrText>
        </w:r>
        <w:r>
          <w:fldChar w:fldCharType="end"/>
        </w:r>
      </w:hyperlink>
    </w:p>
    <w:p>
      <w:pPr>
        <w:tabs>
          <w:tab w:val="right" w:leader="dot" w:pos="9062"/>
        </w:tabs>
        <w:ind w:left="440"/>
      </w:pPr>
      <w:hyperlink w:anchor="_Toc3163" w:history="1">
        <w:r>
          <w:rPr>
            <w:rFonts w:ascii="IRNazanin" w:hAnsi="IRNazanin" w:eastAsia="IRNazanin" w:cs="IRNazanin"/>
            <w:color w:val="111111"/>
            <w:sz w:val="22"/>
            <w:szCs w:val="22"/>
            <w:b w:val="0"/>
            <w:bCs w:val="0"/>
            <w:i w:val="0"/>
            <w:iCs w:val="0"/>
          </w:rPr>
          <w:t>2455- دیوان سامری تبریزی أو شعره‏</w:t>
        </w:r>
        <w:r>
          <w:tab/>
        </w:r>
        <w:r>
          <w:fldChar w:fldCharType="begin"/>
        </w:r>
        <w:r>
          <w:instrText xml:space="preserve">PAGEREF 3163 \h</w:instrText>
        </w:r>
        <w:r>
          <w:fldChar w:fldCharType="end"/>
        </w:r>
      </w:hyperlink>
    </w:p>
    <w:p>
      <w:pPr>
        <w:tabs>
          <w:tab w:val="right" w:leader="dot" w:pos="9062"/>
        </w:tabs>
        <w:ind w:left="440"/>
      </w:pPr>
      <w:hyperlink w:anchor="_Toc3164" w:history="1">
        <w:r>
          <w:rPr>
            <w:rFonts w:ascii="IRNazanin" w:hAnsi="IRNazanin" w:eastAsia="IRNazanin" w:cs="IRNazanin"/>
            <w:color w:val="111111"/>
            <w:sz w:val="22"/>
            <w:szCs w:val="22"/>
            <w:b w:val="0"/>
            <w:bCs w:val="0"/>
            <w:i w:val="0"/>
            <w:iCs w:val="0"/>
          </w:rPr>
          <w:t>دیوان سامعا تبریزی‏</w:t>
        </w:r>
        <w:r>
          <w:tab/>
        </w:r>
        <w:r>
          <w:fldChar w:fldCharType="begin"/>
        </w:r>
        <w:r>
          <w:instrText xml:space="preserve">PAGEREF 3164 \h</w:instrText>
        </w:r>
        <w:r>
          <w:fldChar w:fldCharType="end"/>
        </w:r>
      </w:hyperlink>
    </w:p>
    <w:p>
      <w:pPr>
        <w:tabs>
          <w:tab w:val="right" w:leader="dot" w:pos="9062"/>
        </w:tabs>
        <w:ind w:left="440"/>
      </w:pPr>
      <w:hyperlink w:anchor="_Toc3165" w:history="1">
        <w:r>
          <w:rPr>
            <w:rFonts w:ascii="IRNazanin" w:hAnsi="IRNazanin" w:eastAsia="IRNazanin" w:cs="IRNazanin"/>
            <w:color w:val="111111"/>
            <w:sz w:val="22"/>
            <w:szCs w:val="22"/>
            <w:b w:val="0"/>
            <w:bCs w:val="0"/>
            <w:i w:val="0"/>
            <w:iCs w:val="0"/>
          </w:rPr>
          <w:t>2456- دیوان سامعا مازندرانی أو شعره‏</w:t>
        </w:r>
        <w:r>
          <w:tab/>
        </w:r>
        <w:r>
          <w:fldChar w:fldCharType="begin"/>
        </w:r>
        <w:r>
          <w:instrText xml:space="preserve">PAGEREF 3165 \h</w:instrText>
        </w:r>
        <w:r>
          <w:fldChar w:fldCharType="end"/>
        </w:r>
      </w:hyperlink>
    </w:p>
    <w:p>
      <w:pPr>
        <w:tabs>
          <w:tab w:val="right" w:leader="dot" w:pos="9062"/>
        </w:tabs>
        <w:ind w:left="440"/>
      </w:pPr>
      <w:hyperlink w:anchor="_Toc3166" w:history="1">
        <w:r>
          <w:rPr>
            <w:rFonts w:ascii="IRNazanin" w:hAnsi="IRNazanin" w:eastAsia="IRNazanin" w:cs="IRNazanin"/>
            <w:color w:val="111111"/>
            <w:sz w:val="22"/>
            <w:szCs w:val="22"/>
            <w:b w:val="0"/>
            <w:bCs w:val="0"/>
            <w:i w:val="0"/>
            <w:iCs w:val="0"/>
          </w:rPr>
          <w:t>2457- دیوان سامعا همدانی أو شعره‏</w:t>
        </w:r>
        <w:r>
          <w:tab/>
        </w:r>
        <w:r>
          <w:fldChar w:fldCharType="begin"/>
        </w:r>
        <w:r>
          <w:instrText xml:space="preserve">PAGEREF 3166 \h</w:instrText>
        </w:r>
        <w:r>
          <w:fldChar w:fldCharType="end"/>
        </w:r>
      </w:hyperlink>
    </w:p>
    <w:p>
      <w:pPr>
        <w:tabs>
          <w:tab w:val="right" w:leader="dot" w:pos="9062"/>
        </w:tabs>
        <w:ind w:left="440"/>
      </w:pPr>
      <w:hyperlink w:anchor="_Toc3167" w:history="1">
        <w:r>
          <w:rPr>
            <w:rFonts w:ascii="IRNazanin" w:hAnsi="IRNazanin" w:eastAsia="IRNazanin" w:cs="IRNazanin"/>
            <w:color w:val="111111"/>
            <w:sz w:val="22"/>
            <w:szCs w:val="22"/>
            <w:b w:val="0"/>
            <w:bCs w:val="0"/>
            <w:i w:val="0"/>
            <w:iCs w:val="0"/>
          </w:rPr>
          <w:t>2458- دیوان سامع شوشتری‏</w:t>
        </w:r>
        <w:r>
          <w:tab/>
        </w:r>
        <w:r>
          <w:fldChar w:fldCharType="begin"/>
        </w:r>
        <w:r>
          <w:instrText xml:space="preserve">PAGEREF 3167 \h</w:instrText>
        </w:r>
        <w:r>
          <w:fldChar w:fldCharType="end"/>
        </w:r>
      </w:hyperlink>
    </w:p>
    <w:p>
      <w:pPr>
        <w:tabs>
          <w:tab w:val="right" w:leader="dot" w:pos="9062"/>
        </w:tabs>
        <w:ind w:left="440"/>
      </w:pPr>
      <w:hyperlink w:anchor="_Toc3168" w:history="1">
        <w:r>
          <w:rPr>
            <w:rFonts w:ascii="IRNazanin" w:hAnsi="IRNazanin" w:eastAsia="IRNazanin" w:cs="IRNazanin"/>
            <w:color w:val="111111"/>
            <w:sz w:val="22"/>
            <w:szCs w:val="22"/>
            <w:b w:val="0"/>
            <w:bCs w:val="0"/>
            <w:i w:val="0"/>
            <w:iCs w:val="0"/>
          </w:rPr>
          <w:t>2459- دیوان سامعی هندی‏</w:t>
        </w:r>
        <w:r>
          <w:tab/>
        </w:r>
        <w:r>
          <w:fldChar w:fldCharType="begin"/>
        </w:r>
        <w:r>
          <w:instrText xml:space="preserve">PAGEREF 3168 \h</w:instrText>
        </w:r>
        <w:r>
          <w:fldChar w:fldCharType="end"/>
        </w:r>
      </w:hyperlink>
    </w:p>
    <w:p>
      <w:pPr>
        <w:tabs>
          <w:tab w:val="right" w:leader="dot" w:pos="9062"/>
        </w:tabs>
        <w:ind w:left="440"/>
      </w:pPr>
      <w:hyperlink w:anchor="_Toc3169" w:history="1">
        <w:r>
          <w:rPr>
            <w:rFonts w:ascii="IRNazanin" w:hAnsi="IRNazanin" w:eastAsia="IRNazanin" w:cs="IRNazanin"/>
            <w:color w:val="111111"/>
            <w:sz w:val="22"/>
            <w:szCs w:val="22"/>
            <w:b w:val="0"/>
            <w:bCs w:val="0"/>
            <w:i w:val="0"/>
            <w:iCs w:val="0"/>
          </w:rPr>
          <w:t>دیوان سام نیشابوری‏</w:t>
        </w:r>
        <w:r>
          <w:tab/>
        </w:r>
        <w:r>
          <w:fldChar w:fldCharType="begin"/>
        </w:r>
        <w:r>
          <w:instrText xml:space="preserve">PAGEREF 3169 \h</w:instrText>
        </w:r>
        <w:r>
          <w:fldChar w:fldCharType="end"/>
        </w:r>
      </w:hyperlink>
    </w:p>
    <w:p>
      <w:pPr>
        <w:tabs>
          <w:tab w:val="right" w:leader="dot" w:pos="9062"/>
        </w:tabs>
        <w:ind w:left="440"/>
      </w:pPr>
      <w:hyperlink w:anchor="_Toc3170" w:history="1">
        <w:r>
          <w:rPr>
            <w:rFonts w:ascii="IRNazanin" w:hAnsi="IRNazanin" w:eastAsia="IRNazanin" w:cs="IRNazanin"/>
            <w:color w:val="111111"/>
            <w:sz w:val="22"/>
            <w:szCs w:val="22"/>
            <w:b w:val="0"/>
            <w:bCs w:val="0"/>
            <w:i w:val="0"/>
            <w:iCs w:val="0"/>
          </w:rPr>
          <w:t>دیوان سامی أصفهانی‏</w:t>
        </w:r>
        <w:r>
          <w:tab/>
        </w:r>
        <w:r>
          <w:fldChar w:fldCharType="begin"/>
        </w:r>
        <w:r>
          <w:instrText xml:space="preserve">PAGEREF 3170 \h</w:instrText>
        </w:r>
        <w:r>
          <w:fldChar w:fldCharType="end"/>
        </w:r>
      </w:hyperlink>
    </w:p>
    <w:p>
      <w:pPr>
        <w:tabs>
          <w:tab w:val="right" w:leader="dot" w:pos="9062"/>
        </w:tabs>
        <w:ind w:left="440"/>
      </w:pPr>
      <w:hyperlink w:anchor="_Toc3171" w:history="1">
        <w:r>
          <w:rPr>
            <w:rFonts w:ascii="IRNazanin" w:hAnsi="IRNazanin" w:eastAsia="IRNazanin" w:cs="IRNazanin"/>
            <w:color w:val="111111"/>
            <w:sz w:val="22"/>
            <w:szCs w:val="22"/>
            <w:b w:val="0"/>
            <w:bCs w:val="0"/>
            <w:i w:val="0"/>
            <w:iCs w:val="0"/>
          </w:rPr>
          <w:t>2460- دیوان سامی چرکسی‏</w:t>
        </w:r>
        <w:r>
          <w:tab/>
        </w:r>
        <w:r>
          <w:fldChar w:fldCharType="begin"/>
        </w:r>
        <w:r>
          <w:instrText xml:space="preserve">PAGEREF 3171 \h</w:instrText>
        </w:r>
        <w:r>
          <w:fldChar w:fldCharType="end"/>
        </w:r>
      </w:hyperlink>
    </w:p>
    <w:p>
      <w:pPr>
        <w:tabs>
          <w:tab w:val="right" w:leader="dot" w:pos="9062"/>
        </w:tabs>
        <w:ind w:left="440"/>
      </w:pPr>
      <w:hyperlink w:anchor="_Toc3172" w:history="1">
        <w:r>
          <w:rPr>
            <w:rFonts w:ascii="IRNazanin" w:hAnsi="IRNazanin" w:eastAsia="IRNazanin" w:cs="IRNazanin"/>
            <w:color w:val="111111"/>
            <w:sz w:val="22"/>
            <w:szCs w:val="22"/>
            <w:b w:val="0"/>
            <w:bCs w:val="0"/>
            <w:i w:val="0"/>
            <w:iCs w:val="0"/>
          </w:rPr>
          <w:t>دیوان سامی خراسانی‏</w:t>
        </w:r>
        <w:r>
          <w:tab/>
        </w:r>
        <w:r>
          <w:fldChar w:fldCharType="begin"/>
        </w:r>
        <w:r>
          <w:instrText xml:space="preserve">PAGEREF 3172 \h</w:instrText>
        </w:r>
        <w:r>
          <w:fldChar w:fldCharType="end"/>
        </w:r>
      </w:hyperlink>
    </w:p>
    <w:p>
      <w:pPr>
        <w:tabs>
          <w:tab w:val="right" w:leader="dot" w:pos="9062"/>
        </w:tabs>
        <w:ind w:left="440"/>
      </w:pPr>
      <w:hyperlink w:anchor="_Toc3173" w:history="1">
        <w:r>
          <w:rPr>
            <w:rFonts w:ascii="IRNazanin" w:hAnsi="IRNazanin" w:eastAsia="IRNazanin" w:cs="IRNazanin"/>
            <w:color w:val="111111"/>
            <w:sz w:val="22"/>
            <w:szCs w:val="22"/>
            <w:b w:val="0"/>
            <w:bCs w:val="0"/>
            <w:i w:val="0"/>
            <w:iCs w:val="0"/>
          </w:rPr>
          <w:t>دیوان سامی دامغانی‏</w:t>
        </w:r>
        <w:r>
          <w:tab/>
        </w:r>
        <w:r>
          <w:fldChar w:fldCharType="begin"/>
        </w:r>
        <w:r>
          <w:instrText xml:space="preserve">PAGEREF 3173 \h</w:instrText>
        </w:r>
        <w:r>
          <w:fldChar w:fldCharType="end"/>
        </w:r>
      </w:hyperlink>
    </w:p>
    <w:p>
      <w:pPr>
        <w:tabs>
          <w:tab w:val="right" w:leader="dot" w:pos="9062"/>
        </w:tabs>
        <w:ind w:left="440"/>
      </w:pPr>
      <w:hyperlink w:anchor="_Toc3174" w:history="1">
        <w:r>
          <w:rPr>
            <w:rFonts w:ascii="IRNazanin" w:hAnsi="IRNazanin" w:eastAsia="IRNazanin" w:cs="IRNazanin"/>
            <w:color w:val="111111"/>
            <w:sz w:val="22"/>
            <w:szCs w:val="22"/>
            <w:b w:val="0"/>
            <w:bCs w:val="0"/>
            <w:i w:val="0"/>
            <w:iCs w:val="0"/>
          </w:rPr>
          <w:t>2461- دیوان سامی صفوی‏</w:t>
        </w:r>
        <w:r>
          <w:tab/>
        </w:r>
        <w:r>
          <w:fldChar w:fldCharType="begin"/>
        </w:r>
        <w:r>
          <w:instrText xml:space="preserve">PAGEREF 3174 \h</w:instrText>
        </w:r>
        <w:r>
          <w:fldChar w:fldCharType="end"/>
        </w:r>
      </w:hyperlink>
    </w:p>
    <w:p>
      <w:pPr>
        <w:tabs>
          <w:tab w:val="right" w:leader="dot" w:pos="9062"/>
        </w:tabs>
        <w:ind w:left="440"/>
      </w:pPr>
      <w:hyperlink w:anchor="_Toc3175" w:history="1">
        <w:r>
          <w:rPr>
            <w:rFonts w:ascii="IRNazanin" w:hAnsi="IRNazanin" w:eastAsia="IRNazanin" w:cs="IRNazanin"/>
            <w:color w:val="111111"/>
            <w:sz w:val="22"/>
            <w:szCs w:val="22"/>
            <w:b w:val="0"/>
            <w:bCs w:val="0"/>
            <w:i w:val="0"/>
            <w:iCs w:val="0"/>
          </w:rPr>
          <w:t>2462- دیوان سامی قزوینی أو شعره‏</w:t>
        </w:r>
        <w:r>
          <w:tab/>
        </w:r>
        <w:r>
          <w:fldChar w:fldCharType="begin"/>
        </w:r>
        <w:r>
          <w:instrText xml:space="preserve">PAGEREF 3175 \h</w:instrText>
        </w:r>
        <w:r>
          <w:fldChar w:fldCharType="end"/>
        </w:r>
      </w:hyperlink>
    </w:p>
    <w:p>
      <w:pPr>
        <w:tabs>
          <w:tab w:val="right" w:leader="dot" w:pos="9062"/>
        </w:tabs>
        <w:ind w:left="440"/>
      </w:pPr>
      <w:hyperlink w:anchor="_Toc3176" w:history="1">
        <w:r>
          <w:rPr>
            <w:rFonts w:ascii="IRNazanin" w:hAnsi="IRNazanin" w:eastAsia="IRNazanin" w:cs="IRNazanin"/>
            <w:color w:val="111111"/>
            <w:sz w:val="22"/>
            <w:szCs w:val="22"/>
            <w:b w:val="0"/>
            <w:bCs w:val="0"/>
            <w:i w:val="0"/>
            <w:iCs w:val="0"/>
          </w:rPr>
          <w:t>2463- دیوان سامی لاهوری أو شعره‏</w:t>
        </w:r>
        <w:r>
          <w:tab/>
        </w:r>
        <w:r>
          <w:fldChar w:fldCharType="begin"/>
        </w:r>
        <w:r>
          <w:instrText xml:space="preserve">PAGEREF 3176 \h</w:instrText>
        </w:r>
        <w:r>
          <w:fldChar w:fldCharType="end"/>
        </w:r>
      </w:hyperlink>
    </w:p>
    <w:p>
      <w:pPr>
        <w:tabs>
          <w:tab w:val="right" w:leader="dot" w:pos="9062"/>
        </w:tabs>
        <w:ind w:left="440"/>
      </w:pPr>
      <w:hyperlink w:anchor="_Toc3177" w:history="1">
        <w:r>
          <w:rPr>
            <w:rFonts w:ascii="IRNazanin" w:hAnsi="IRNazanin" w:eastAsia="IRNazanin" w:cs="IRNazanin"/>
            <w:color w:val="111111"/>
            <w:sz w:val="22"/>
            <w:szCs w:val="22"/>
            <w:b w:val="0"/>
            <w:bCs w:val="0"/>
            <w:i w:val="0"/>
            <w:iCs w:val="0"/>
          </w:rPr>
          <w:t>دیوان سامی میانجی‏</w:t>
        </w:r>
        <w:r>
          <w:tab/>
        </w:r>
        <w:r>
          <w:fldChar w:fldCharType="begin"/>
        </w:r>
        <w:r>
          <w:instrText xml:space="preserve">PAGEREF 3177 \h</w:instrText>
        </w:r>
        <w:r>
          <w:fldChar w:fldCharType="end"/>
        </w:r>
      </w:hyperlink>
    </w:p>
    <w:p>
      <w:pPr>
        <w:tabs>
          <w:tab w:val="right" w:leader="dot" w:pos="9062"/>
        </w:tabs>
        <w:ind w:left="440"/>
      </w:pPr>
      <w:hyperlink w:anchor="_Toc3178" w:history="1">
        <w:r>
          <w:rPr>
            <w:rFonts w:ascii="IRNazanin" w:hAnsi="IRNazanin" w:eastAsia="IRNazanin" w:cs="IRNazanin"/>
            <w:color w:val="111111"/>
            <w:sz w:val="22"/>
            <w:szCs w:val="22"/>
            <w:b w:val="0"/>
            <w:bCs w:val="0"/>
            <w:i w:val="0"/>
            <w:iCs w:val="0"/>
          </w:rPr>
          <w:t>2464- دیوان سامی نیشابوری أو شعره‏</w:t>
        </w:r>
        <w:r>
          <w:tab/>
        </w:r>
        <w:r>
          <w:fldChar w:fldCharType="begin"/>
        </w:r>
        <w:r>
          <w:instrText xml:space="preserve">PAGEREF 3178 \h</w:instrText>
        </w:r>
        <w:r>
          <w:fldChar w:fldCharType="end"/>
        </w:r>
      </w:hyperlink>
    </w:p>
    <w:p>
      <w:pPr>
        <w:tabs>
          <w:tab w:val="right" w:leader="dot" w:pos="9062"/>
        </w:tabs>
        <w:ind w:left="440"/>
      </w:pPr>
      <w:hyperlink w:anchor="_Toc3179" w:history="1">
        <w:r>
          <w:rPr>
            <w:rFonts w:ascii="IRNazanin" w:hAnsi="IRNazanin" w:eastAsia="IRNazanin" w:cs="IRNazanin"/>
            <w:color w:val="111111"/>
            <w:sz w:val="22"/>
            <w:szCs w:val="22"/>
            <w:b w:val="0"/>
            <w:bCs w:val="0"/>
            <w:i w:val="0"/>
            <w:iCs w:val="0"/>
          </w:rPr>
          <w:t>دیوان سامی هندی‏</w:t>
        </w:r>
        <w:r>
          <w:tab/>
        </w:r>
        <w:r>
          <w:fldChar w:fldCharType="begin"/>
        </w:r>
        <w:r>
          <w:instrText xml:space="preserve">PAGEREF 3179 \h</w:instrText>
        </w:r>
        <w:r>
          <w:fldChar w:fldCharType="end"/>
        </w:r>
      </w:hyperlink>
    </w:p>
    <w:p>
      <w:pPr>
        <w:tabs>
          <w:tab w:val="right" w:leader="dot" w:pos="9062"/>
        </w:tabs>
        <w:ind w:left="440"/>
      </w:pPr>
      <w:hyperlink w:anchor="_Toc3180" w:history="1">
        <w:r>
          <w:rPr>
            <w:rFonts w:ascii="IRNazanin" w:hAnsi="IRNazanin" w:eastAsia="IRNazanin" w:cs="IRNazanin"/>
            <w:color w:val="111111"/>
            <w:sz w:val="22"/>
            <w:szCs w:val="22"/>
            <w:b w:val="0"/>
            <w:bCs w:val="0"/>
            <w:i w:val="0"/>
            <w:iCs w:val="0"/>
          </w:rPr>
          <w:t>2465- دیوان سامی هزار جریبی‏</w:t>
        </w:r>
        <w:r>
          <w:tab/>
        </w:r>
        <w:r>
          <w:fldChar w:fldCharType="begin"/>
        </w:r>
        <w:r>
          <w:instrText xml:space="preserve">PAGEREF 3180 \h</w:instrText>
        </w:r>
        <w:r>
          <w:fldChar w:fldCharType="end"/>
        </w:r>
      </w:hyperlink>
    </w:p>
    <w:p>
      <w:pPr>
        <w:tabs>
          <w:tab w:val="right" w:leader="dot" w:pos="9062"/>
        </w:tabs>
        <w:ind w:left="440"/>
      </w:pPr>
      <w:hyperlink w:anchor="_Toc3181" w:history="1">
        <w:r>
          <w:rPr>
            <w:rFonts w:ascii="IRNazanin" w:hAnsi="IRNazanin" w:eastAsia="IRNazanin" w:cs="IRNazanin"/>
            <w:color w:val="111111"/>
            <w:sz w:val="22"/>
            <w:szCs w:val="22"/>
            <w:b w:val="0"/>
            <w:bCs w:val="0"/>
            <w:i w:val="0"/>
            <w:iCs w:val="0"/>
          </w:rPr>
          <w:t>2466- دیوان سایر أردوبادی أو شعره‏</w:t>
        </w:r>
        <w:r>
          <w:tab/>
        </w:r>
        <w:r>
          <w:fldChar w:fldCharType="begin"/>
        </w:r>
        <w:r>
          <w:instrText xml:space="preserve">PAGEREF 3181 \h</w:instrText>
        </w:r>
        <w:r>
          <w:fldChar w:fldCharType="end"/>
        </w:r>
      </w:hyperlink>
    </w:p>
    <w:p>
      <w:pPr>
        <w:tabs>
          <w:tab w:val="right" w:leader="dot" w:pos="9062"/>
        </w:tabs>
        <w:ind w:left="440"/>
      </w:pPr>
      <w:hyperlink w:anchor="_Toc3182" w:history="1">
        <w:r>
          <w:rPr>
            <w:rFonts w:ascii="IRNazanin" w:hAnsi="IRNazanin" w:eastAsia="IRNazanin" w:cs="IRNazanin"/>
            <w:color w:val="111111"/>
            <w:sz w:val="22"/>
            <w:szCs w:val="22"/>
            <w:b w:val="0"/>
            <w:bCs w:val="0"/>
            <w:i w:val="0"/>
            <w:iCs w:val="0"/>
          </w:rPr>
          <w:t>دیوان سایر تبریزی أو شعره‏</w:t>
        </w:r>
        <w:r>
          <w:tab/>
        </w:r>
        <w:r>
          <w:fldChar w:fldCharType="begin"/>
        </w:r>
        <w:r>
          <w:instrText xml:space="preserve">PAGEREF 3182 \h</w:instrText>
        </w:r>
        <w:r>
          <w:fldChar w:fldCharType="end"/>
        </w:r>
      </w:hyperlink>
    </w:p>
    <w:p>
      <w:pPr>
        <w:tabs>
          <w:tab w:val="right" w:leader="dot" w:pos="9062"/>
        </w:tabs>
        <w:ind w:left="440"/>
      </w:pPr>
      <w:hyperlink w:anchor="_Toc3183" w:history="1">
        <w:r>
          <w:rPr>
            <w:rFonts w:ascii="IRNazanin" w:hAnsi="IRNazanin" w:eastAsia="IRNazanin" w:cs="IRNazanin"/>
            <w:color w:val="111111"/>
            <w:sz w:val="22"/>
            <w:szCs w:val="22"/>
            <w:b w:val="0"/>
            <w:bCs w:val="0"/>
            <w:i w:val="0"/>
            <w:iCs w:val="0"/>
          </w:rPr>
          <w:t>2467- دیوان سایر تفریشی أو شعره‏</w:t>
        </w:r>
        <w:r>
          <w:tab/>
        </w:r>
        <w:r>
          <w:fldChar w:fldCharType="begin"/>
        </w:r>
        <w:r>
          <w:instrText xml:space="preserve">PAGEREF 3183 \h</w:instrText>
        </w:r>
        <w:r>
          <w:fldChar w:fldCharType="end"/>
        </w:r>
      </w:hyperlink>
    </w:p>
    <w:p>
      <w:pPr>
        <w:tabs>
          <w:tab w:val="right" w:leader="dot" w:pos="9062"/>
        </w:tabs>
        <w:ind w:left="440"/>
      </w:pPr>
      <w:hyperlink w:anchor="_Toc3184" w:history="1">
        <w:r>
          <w:rPr>
            <w:rFonts w:ascii="IRNazanin" w:hAnsi="IRNazanin" w:eastAsia="IRNazanin" w:cs="IRNazanin"/>
            <w:color w:val="111111"/>
            <w:sz w:val="22"/>
            <w:szCs w:val="22"/>
            <w:b w:val="0"/>
            <w:bCs w:val="0"/>
            <w:i w:val="0"/>
            <w:iCs w:val="0"/>
          </w:rPr>
          <w:t>2468- دیوان سایر مشهدی‏</w:t>
        </w:r>
        <w:r>
          <w:tab/>
        </w:r>
        <w:r>
          <w:fldChar w:fldCharType="begin"/>
        </w:r>
        <w:r>
          <w:instrText xml:space="preserve">PAGEREF 3184 \h</w:instrText>
        </w:r>
        <w:r>
          <w:fldChar w:fldCharType="end"/>
        </w:r>
      </w:hyperlink>
    </w:p>
    <w:p>
      <w:pPr>
        <w:tabs>
          <w:tab w:val="right" w:leader="dot" w:pos="9062"/>
        </w:tabs>
        <w:ind w:left="440"/>
      </w:pPr>
      <w:hyperlink w:anchor="_Toc3185" w:history="1">
        <w:r>
          <w:rPr>
            <w:rFonts w:ascii="IRNazanin" w:hAnsi="IRNazanin" w:eastAsia="IRNazanin" w:cs="IRNazanin"/>
            <w:color w:val="111111"/>
            <w:sz w:val="22"/>
            <w:szCs w:val="22"/>
            <w:b w:val="0"/>
            <w:bCs w:val="0"/>
            <w:i w:val="0"/>
            <w:iCs w:val="0"/>
          </w:rPr>
          <w:t>دیوان ساوجی‏</w:t>
        </w:r>
        <w:r>
          <w:tab/>
        </w:r>
        <w:r>
          <w:fldChar w:fldCharType="begin"/>
        </w:r>
        <w:r>
          <w:instrText xml:space="preserve">PAGEREF 3185 \h</w:instrText>
        </w:r>
        <w:r>
          <w:fldChar w:fldCharType="end"/>
        </w:r>
      </w:hyperlink>
    </w:p>
    <w:p>
      <w:pPr>
        <w:tabs>
          <w:tab w:val="right" w:leader="dot" w:pos="9062"/>
        </w:tabs>
        <w:ind w:left="440"/>
      </w:pPr>
      <w:hyperlink w:anchor="_Toc3186" w:history="1">
        <w:r>
          <w:rPr>
            <w:rFonts w:ascii="IRNazanin" w:hAnsi="IRNazanin" w:eastAsia="IRNazanin" w:cs="IRNazanin"/>
            <w:color w:val="111111"/>
            <w:sz w:val="22"/>
            <w:szCs w:val="22"/>
            <w:b w:val="0"/>
            <w:bCs w:val="0"/>
            <w:i w:val="0"/>
            <w:iCs w:val="0"/>
          </w:rPr>
          <w:t>2469- دیوان ساوجی هندی‏</w:t>
        </w:r>
        <w:r>
          <w:tab/>
        </w:r>
        <w:r>
          <w:fldChar w:fldCharType="begin"/>
        </w:r>
        <w:r>
          <w:instrText xml:space="preserve">PAGEREF 3186 \h</w:instrText>
        </w:r>
        <w:r>
          <w:fldChar w:fldCharType="end"/>
        </w:r>
      </w:hyperlink>
    </w:p>
    <w:p>
      <w:pPr>
        <w:tabs>
          <w:tab w:val="right" w:leader="dot" w:pos="9062"/>
        </w:tabs>
        <w:ind w:left="440"/>
      </w:pPr>
      <w:hyperlink w:anchor="_Toc3187" w:history="1">
        <w:r>
          <w:rPr>
            <w:rFonts w:ascii="IRNazanin" w:hAnsi="IRNazanin" w:eastAsia="IRNazanin" w:cs="IRNazanin"/>
            <w:color w:val="111111"/>
            <w:sz w:val="22"/>
            <w:szCs w:val="22"/>
            <w:b w:val="0"/>
            <w:bCs w:val="0"/>
            <w:i w:val="0"/>
            <w:iCs w:val="0"/>
          </w:rPr>
          <w:t>2470- دیوان سائل أصفهانی‏</w:t>
        </w:r>
        <w:r>
          <w:tab/>
        </w:r>
        <w:r>
          <w:fldChar w:fldCharType="begin"/>
        </w:r>
        <w:r>
          <w:instrText xml:space="preserve">PAGEREF 3187 \h</w:instrText>
        </w:r>
        <w:r>
          <w:fldChar w:fldCharType="end"/>
        </w:r>
      </w:hyperlink>
    </w:p>
    <w:p>
      <w:pPr>
        <w:tabs>
          <w:tab w:val="right" w:leader="dot" w:pos="9062"/>
        </w:tabs>
        <w:ind w:left="440"/>
      </w:pPr>
      <w:hyperlink w:anchor="_Toc3188" w:history="1">
        <w:r>
          <w:rPr>
            <w:rFonts w:ascii="IRNazanin" w:hAnsi="IRNazanin" w:eastAsia="IRNazanin" w:cs="IRNazanin"/>
            <w:color w:val="111111"/>
            <w:sz w:val="22"/>
            <w:szCs w:val="22"/>
            <w:b w:val="0"/>
            <w:bCs w:val="0"/>
            <w:i w:val="0"/>
            <w:iCs w:val="0"/>
          </w:rPr>
          <w:t>2471- دیوان سائل بختیاری أو شعره‏</w:t>
        </w:r>
        <w:r>
          <w:tab/>
        </w:r>
        <w:r>
          <w:fldChar w:fldCharType="begin"/>
        </w:r>
        <w:r>
          <w:instrText xml:space="preserve">PAGEREF 3188 \h</w:instrText>
        </w:r>
        <w:r>
          <w:fldChar w:fldCharType="end"/>
        </w:r>
      </w:hyperlink>
    </w:p>
    <w:p>
      <w:pPr>
        <w:tabs>
          <w:tab w:val="right" w:leader="dot" w:pos="9062"/>
        </w:tabs>
        <w:ind w:left="440"/>
      </w:pPr>
      <w:hyperlink w:anchor="_Toc3189" w:history="1">
        <w:r>
          <w:rPr>
            <w:rFonts w:ascii="IRNazanin" w:hAnsi="IRNazanin" w:eastAsia="IRNazanin" w:cs="IRNazanin"/>
            <w:color w:val="111111"/>
            <w:sz w:val="22"/>
            <w:szCs w:val="22"/>
            <w:b w:val="0"/>
            <w:bCs w:val="0"/>
            <w:i w:val="0"/>
            <w:iCs w:val="0"/>
          </w:rPr>
          <w:t>دیوان سائل دماوندی‏</w:t>
        </w:r>
        <w:r>
          <w:tab/>
        </w:r>
        <w:r>
          <w:fldChar w:fldCharType="begin"/>
        </w:r>
        <w:r>
          <w:instrText xml:space="preserve">PAGEREF 3189 \h</w:instrText>
        </w:r>
        <w:r>
          <w:fldChar w:fldCharType="end"/>
        </w:r>
      </w:hyperlink>
    </w:p>
    <w:p>
      <w:pPr>
        <w:tabs>
          <w:tab w:val="right" w:leader="dot" w:pos="9062"/>
        </w:tabs>
        <w:ind w:left="440"/>
      </w:pPr>
      <w:hyperlink w:anchor="_Toc3190" w:history="1">
        <w:r>
          <w:rPr>
            <w:rFonts w:ascii="IRNazanin" w:hAnsi="IRNazanin" w:eastAsia="IRNazanin" w:cs="IRNazanin"/>
            <w:color w:val="111111"/>
            <w:sz w:val="22"/>
            <w:szCs w:val="22"/>
            <w:b w:val="0"/>
            <w:bCs w:val="0"/>
            <w:i w:val="0"/>
            <w:iCs w:val="0"/>
          </w:rPr>
          <w:t>دیوان سائل رازی‏</w:t>
        </w:r>
        <w:r>
          <w:tab/>
        </w:r>
        <w:r>
          <w:fldChar w:fldCharType="begin"/>
        </w:r>
        <w:r>
          <w:instrText xml:space="preserve">PAGEREF 3190 \h</w:instrText>
        </w:r>
        <w:r>
          <w:fldChar w:fldCharType="end"/>
        </w:r>
      </w:hyperlink>
    </w:p>
    <w:p>
      <w:pPr>
        <w:tabs>
          <w:tab w:val="right" w:leader="dot" w:pos="9062"/>
        </w:tabs>
        <w:ind w:left="440"/>
      </w:pPr>
      <w:hyperlink w:anchor="_Toc3191" w:history="1">
        <w:r>
          <w:rPr>
            <w:rFonts w:ascii="IRNazanin" w:hAnsi="IRNazanin" w:eastAsia="IRNazanin" w:cs="IRNazanin"/>
            <w:color w:val="111111"/>
            <w:sz w:val="22"/>
            <w:szCs w:val="22"/>
            <w:b w:val="0"/>
            <w:bCs w:val="0"/>
            <w:i w:val="0"/>
            <w:iCs w:val="0"/>
          </w:rPr>
          <w:t>2472- دیوان سائل شیرازی‏</w:t>
        </w:r>
        <w:r>
          <w:tab/>
        </w:r>
        <w:r>
          <w:fldChar w:fldCharType="begin"/>
        </w:r>
        <w:r>
          <w:instrText xml:space="preserve">PAGEREF 3191 \h</w:instrText>
        </w:r>
        <w:r>
          <w:fldChar w:fldCharType="end"/>
        </w:r>
      </w:hyperlink>
    </w:p>
    <w:p>
      <w:pPr>
        <w:tabs>
          <w:tab w:val="right" w:leader="dot" w:pos="9062"/>
        </w:tabs>
        <w:ind w:left="440"/>
      </w:pPr>
      <w:hyperlink w:anchor="_Toc3192" w:history="1">
        <w:r>
          <w:rPr>
            <w:rFonts w:ascii="IRNazanin" w:hAnsi="IRNazanin" w:eastAsia="IRNazanin" w:cs="IRNazanin"/>
            <w:color w:val="111111"/>
            <w:sz w:val="22"/>
            <w:szCs w:val="22"/>
            <w:b w:val="0"/>
            <w:bCs w:val="0"/>
            <w:i w:val="0"/>
            <w:iCs w:val="0"/>
          </w:rPr>
          <w:t>2473- دیوان سائل کاشانی‏</w:t>
        </w:r>
        <w:r>
          <w:tab/>
        </w:r>
        <w:r>
          <w:fldChar w:fldCharType="begin"/>
        </w:r>
        <w:r>
          <w:instrText xml:space="preserve">PAGEREF 3192 \h</w:instrText>
        </w:r>
        <w:r>
          <w:fldChar w:fldCharType="end"/>
        </w:r>
      </w:hyperlink>
    </w:p>
    <w:p>
      <w:pPr>
        <w:tabs>
          <w:tab w:val="right" w:leader="dot" w:pos="9062"/>
        </w:tabs>
        <w:ind w:left="440"/>
      </w:pPr>
      <w:hyperlink w:anchor="_Toc3193" w:history="1">
        <w:r>
          <w:rPr>
            <w:rFonts w:ascii="IRNazanin" w:hAnsi="IRNazanin" w:eastAsia="IRNazanin" w:cs="IRNazanin"/>
            <w:color w:val="111111"/>
            <w:sz w:val="22"/>
            <w:szCs w:val="22"/>
            <w:b w:val="0"/>
            <w:bCs w:val="0"/>
            <w:i w:val="0"/>
            <w:iCs w:val="0"/>
          </w:rPr>
          <w:t>دیوان سائل نهاوندی‏</w:t>
        </w:r>
        <w:r>
          <w:tab/>
        </w:r>
        <w:r>
          <w:fldChar w:fldCharType="begin"/>
        </w:r>
        <w:r>
          <w:instrText xml:space="preserve">PAGEREF 3193 \h</w:instrText>
        </w:r>
        <w:r>
          <w:fldChar w:fldCharType="end"/>
        </w:r>
      </w:hyperlink>
    </w:p>
    <w:p>
      <w:pPr>
        <w:tabs>
          <w:tab w:val="right" w:leader="dot" w:pos="9062"/>
        </w:tabs>
        <w:ind w:left="440"/>
      </w:pPr>
      <w:hyperlink w:anchor="_Toc3194" w:history="1">
        <w:r>
          <w:rPr>
            <w:rFonts w:ascii="IRNazanin" w:hAnsi="IRNazanin" w:eastAsia="IRNazanin" w:cs="IRNazanin"/>
            <w:color w:val="111111"/>
            <w:sz w:val="22"/>
            <w:szCs w:val="22"/>
            <w:b w:val="0"/>
            <w:bCs w:val="0"/>
            <w:i w:val="0"/>
            <w:iCs w:val="0"/>
          </w:rPr>
          <w:t>2474- دیوان سائل همدانی‏</w:t>
        </w:r>
        <w:r>
          <w:tab/>
        </w:r>
        <w:r>
          <w:fldChar w:fldCharType="begin"/>
        </w:r>
        <w:r>
          <w:instrText xml:space="preserve">PAGEREF 3194 \h</w:instrText>
        </w:r>
        <w:r>
          <w:fldChar w:fldCharType="end"/>
        </w:r>
      </w:hyperlink>
    </w:p>
    <w:p>
      <w:pPr>
        <w:tabs>
          <w:tab w:val="right" w:leader="dot" w:pos="9062"/>
        </w:tabs>
        <w:ind w:left="440"/>
      </w:pPr>
      <w:hyperlink w:anchor="_Toc3195" w:history="1">
        <w:r>
          <w:rPr>
            <w:rFonts w:ascii="IRNazanin" w:hAnsi="IRNazanin" w:eastAsia="IRNazanin" w:cs="IRNazanin"/>
            <w:color w:val="111111"/>
            <w:sz w:val="22"/>
            <w:szCs w:val="22"/>
            <w:b w:val="0"/>
            <w:bCs w:val="0"/>
            <w:i w:val="0"/>
            <w:iCs w:val="0"/>
          </w:rPr>
          <w:t>2475- دیوان سائلی جوینی‏</w:t>
        </w:r>
        <w:r>
          <w:tab/>
        </w:r>
        <w:r>
          <w:fldChar w:fldCharType="begin"/>
        </w:r>
        <w:r>
          <w:instrText xml:space="preserve">PAGEREF 3195 \h</w:instrText>
        </w:r>
        <w:r>
          <w:fldChar w:fldCharType="end"/>
        </w:r>
      </w:hyperlink>
    </w:p>
    <w:p>
      <w:pPr>
        <w:tabs>
          <w:tab w:val="right" w:leader="dot" w:pos="9062"/>
        </w:tabs>
        <w:ind w:left="440"/>
      </w:pPr>
      <w:hyperlink w:anchor="_Toc3196" w:history="1">
        <w:r>
          <w:rPr>
            <w:rFonts w:ascii="IRNazanin" w:hAnsi="IRNazanin" w:eastAsia="IRNazanin" w:cs="IRNazanin"/>
            <w:color w:val="111111"/>
            <w:sz w:val="22"/>
            <w:szCs w:val="22"/>
            <w:b w:val="0"/>
            <w:bCs w:val="0"/>
            <w:i w:val="0"/>
            <w:iCs w:val="0"/>
          </w:rPr>
          <w:t>دیوان سائلی خراسانی‏</w:t>
        </w:r>
        <w:r>
          <w:tab/>
        </w:r>
        <w:r>
          <w:fldChar w:fldCharType="begin"/>
        </w:r>
        <w:r>
          <w:instrText xml:space="preserve">PAGEREF 3196 \h</w:instrText>
        </w:r>
        <w:r>
          <w:fldChar w:fldCharType="end"/>
        </w:r>
      </w:hyperlink>
    </w:p>
    <w:p>
      <w:pPr>
        <w:tabs>
          <w:tab w:val="right" w:leader="dot" w:pos="9062"/>
        </w:tabs>
        <w:ind w:left="440"/>
      </w:pPr>
      <w:hyperlink w:anchor="_Toc3197" w:history="1">
        <w:r>
          <w:rPr>
            <w:rFonts w:ascii="IRNazanin" w:hAnsi="IRNazanin" w:eastAsia="IRNazanin" w:cs="IRNazanin"/>
            <w:color w:val="111111"/>
            <w:sz w:val="22"/>
            <w:szCs w:val="22"/>
            <w:b w:val="0"/>
            <w:bCs w:val="0"/>
            <w:i w:val="0"/>
            <w:iCs w:val="0"/>
          </w:rPr>
          <w:t>2476- دیوان سائلی طهرانی أو شعره‏</w:t>
        </w:r>
        <w:r>
          <w:tab/>
        </w:r>
        <w:r>
          <w:fldChar w:fldCharType="begin"/>
        </w:r>
        <w:r>
          <w:instrText xml:space="preserve">PAGEREF 3197 \h</w:instrText>
        </w:r>
        <w:r>
          <w:fldChar w:fldCharType="end"/>
        </w:r>
      </w:hyperlink>
    </w:p>
    <w:p>
      <w:pPr>
        <w:tabs>
          <w:tab w:val="right" w:leader="dot" w:pos="9062"/>
        </w:tabs>
        <w:ind w:left="440"/>
      </w:pPr>
      <w:hyperlink w:anchor="_Toc3198" w:history="1">
        <w:r>
          <w:rPr>
            <w:rFonts w:ascii="IRNazanin" w:hAnsi="IRNazanin" w:eastAsia="IRNazanin" w:cs="IRNazanin"/>
            <w:color w:val="111111"/>
            <w:sz w:val="22"/>
            <w:szCs w:val="22"/>
            <w:b w:val="0"/>
            <w:bCs w:val="0"/>
            <w:i w:val="0"/>
            <w:iCs w:val="0"/>
          </w:rPr>
          <w:t>2477- دیوان سائلی عراقی أو شعره‏</w:t>
        </w:r>
        <w:r>
          <w:tab/>
        </w:r>
        <w:r>
          <w:fldChar w:fldCharType="begin"/>
        </w:r>
        <w:r>
          <w:instrText xml:space="preserve">PAGEREF 3198 \h</w:instrText>
        </w:r>
        <w:r>
          <w:fldChar w:fldCharType="end"/>
        </w:r>
      </w:hyperlink>
    </w:p>
    <w:p>
      <w:pPr>
        <w:tabs>
          <w:tab w:val="right" w:leader="dot" w:pos="9062"/>
        </w:tabs>
        <w:ind w:left="440"/>
      </w:pPr>
      <w:hyperlink w:anchor="_Toc3199" w:history="1">
        <w:r>
          <w:rPr>
            <w:rFonts w:ascii="IRNazanin" w:hAnsi="IRNazanin" w:eastAsia="IRNazanin" w:cs="IRNazanin"/>
            <w:color w:val="111111"/>
            <w:sz w:val="22"/>
            <w:szCs w:val="22"/>
            <w:b w:val="0"/>
            <w:bCs w:val="0"/>
            <w:i w:val="0"/>
            <w:iCs w:val="0"/>
          </w:rPr>
          <w:t>2478- دیوان سائلی قرشی‏</w:t>
        </w:r>
        <w:r>
          <w:tab/>
        </w:r>
        <w:r>
          <w:fldChar w:fldCharType="begin"/>
        </w:r>
        <w:r>
          <w:instrText xml:space="preserve">PAGEREF 3199 \h</w:instrText>
        </w:r>
        <w:r>
          <w:fldChar w:fldCharType="end"/>
        </w:r>
      </w:hyperlink>
    </w:p>
    <w:p>
      <w:pPr>
        <w:tabs>
          <w:tab w:val="right" w:leader="dot" w:pos="9062"/>
        </w:tabs>
        <w:ind w:left="440"/>
      </w:pPr>
      <w:hyperlink w:anchor="_Toc3200" w:history="1">
        <w:r>
          <w:rPr>
            <w:rFonts w:ascii="IRNazanin" w:hAnsi="IRNazanin" w:eastAsia="IRNazanin" w:cs="IRNazanin"/>
            <w:color w:val="111111"/>
            <w:sz w:val="22"/>
            <w:szCs w:val="22"/>
            <w:b w:val="0"/>
            <w:bCs w:val="0"/>
            <w:i w:val="0"/>
            <w:iCs w:val="0"/>
          </w:rPr>
          <w:t>2479- دیوان سائلی قزوینی أو شعره‏</w:t>
        </w:r>
        <w:r>
          <w:tab/>
        </w:r>
        <w:r>
          <w:fldChar w:fldCharType="begin"/>
        </w:r>
        <w:r>
          <w:instrText xml:space="preserve">PAGEREF 3200 \h</w:instrText>
        </w:r>
        <w:r>
          <w:fldChar w:fldCharType="end"/>
        </w:r>
      </w:hyperlink>
    </w:p>
    <w:p>
      <w:pPr>
        <w:tabs>
          <w:tab w:val="right" w:leader="dot" w:pos="9062"/>
        </w:tabs>
        <w:ind w:left="440"/>
      </w:pPr>
      <w:hyperlink w:anchor="_Toc3201" w:history="1">
        <w:r>
          <w:rPr>
            <w:rFonts w:ascii="IRNazanin" w:hAnsi="IRNazanin" w:eastAsia="IRNazanin" w:cs="IRNazanin"/>
            <w:color w:val="111111"/>
            <w:sz w:val="22"/>
            <w:szCs w:val="22"/>
            <w:b w:val="0"/>
            <w:bCs w:val="0"/>
            <w:i w:val="0"/>
            <w:iCs w:val="0"/>
          </w:rPr>
          <w:t>2480- دیوان سائلی هراتی أو شعره‏</w:t>
        </w:r>
        <w:r>
          <w:tab/>
        </w:r>
        <w:r>
          <w:fldChar w:fldCharType="begin"/>
        </w:r>
        <w:r>
          <w:instrText xml:space="preserve">PAGEREF 3201 \h</w:instrText>
        </w:r>
        <w:r>
          <w:fldChar w:fldCharType="end"/>
        </w:r>
      </w:hyperlink>
    </w:p>
    <w:p>
      <w:pPr>
        <w:tabs>
          <w:tab w:val="right" w:leader="dot" w:pos="9062"/>
        </w:tabs>
        <w:ind w:left="440"/>
      </w:pPr>
      <w:hyperlink w:anchor="_Toc3202" w:history="1">
        <w:r>
          <w:rPr>
            <w:rFonts w:ascii="IRNazanin" w:hAnsi="IRNazanin" w:eastAsia="IRNazanin" w:cs="IRNazanin"/>
            <w:color w:val="111111"/>
            <w:sz w:val="22"/>
            <w:szCs w:val="22"/>
            <w:b w:val="0"/>
            <w:bCs w:val="0"/>
            <w:i w:val="0"/>
            <w:iCs w:val="0"/>
          </w:rPr>
          <w:t>2481- دیوان السبتی الکبیری‏</w:t>
        </w:r>
        <w:r>
          <w:tab/>
        </w:r>
        <w:r>
          <w:fldChar w:fldCharType="begin"/>
        </w:r>
        <w:r>
          <w:instrText xml:space="preserve">PAGEREF 3202 \h</w:instrText>
        </w:r>
        <w:r>
          <w:fldChar w:fldCharType="end"/>
        </w:r>
      </w:hyperlink>
    </w:p>
    <w:p>
      <w:pPr>
        <w:tabs>
          <w:tab w:val="right" w:leader="dot" w:pos="9062"/>
        </w:tabs>
        <w:ind w:left="440"/>
      </w:pPr>
      <w:hyperlink w:anchor="_Toc3203" w:history="1">
        <w:r>
          <w:rPr>
            <w:rFonts w:ascii="IRNazanin" w:hAnsi="IRNazanin" w:eastAsia="IRNazanin" w:cs="IRNazanin"/>
            <w:color w:val="111111"/>
            <w:sz w:val="22"/>
            <w:szCs w:val="22"/>
            <w:b w:val="0"/>
            <w:bCs w:val="0"/>
            <w:i w:val="0"/>
            <w:iCs w:val="0"/>
          </w:rPr>
          <w:t>2482- دیوان السبتی‏</w:t>
        </w:r>
        <w:r>
          <w:tab/>
        </w:r>
        <w:r>
          <w:fldChar w:fldCharType="begin"/>
        </w:r>
        <w:r>
          <w:instrText xml:space="preserve">PAGEREF 3203 \h</w:instrText>
        </w:r>
        <w:r>
          <w:fldChar w:fldCharType="end"/>
        </w:r>
      </w:hyperlink>
    </w:p>
    <w:p>
      <w:pPr>
        <w:tabs>
          <w:tab w:val="right" w:leader="dot" w:pos="9062"/>
        </w:tabs>
        <w:ind w:left="440"/>
      </w:pPr>
      <w:hyperlink w:anchor="_Toc3204" w:history="1">
        <w:r>
          <w:rPr>
            <w:rFonts w:ascii="IRNazanin" w:hAnsi="IRNazanin" w:eastAsia="IRNazanin" w:cs="IRNazanin"/>
            <w:color w:val="111111"/>
            <w:sz w:val="22"/>
            <w:szCs w:val="22"/>
            <w:b w:val="0"/>
            <w:bCs w:val="0"/>
            <w:i w:val="0"/>
            <w:iCs w:val="0"/>
          </w:rPr>
          <w:t>2483- دیوان السبتی الصغیر</w:t>
        </w:r>
        <w:r>
          <w:tab/>
        </w:r>
        <w:r>
          <w:fldChar w:fldCharType="begin"/>
        </w:r>
        <w:r>
          <w:instrText xml:space="preserve">PAGEREF 3204 \h</w:instrText>
        </w:r>
        <w:r>
          <w:fldChar w:fldCharType="end"/>
        </w:r>
      </w:hyperlink>
    </w:p>
    <w:p>
      <w:pPr>
        <w:tabs>
          <w:tab w:val="right" w:leader="dot" w:pos="9062"/>
        </w:tabs>
        <w:ind w:left="440"/>
      </w:pPr>
      <w:hyperlink w:anchor="_Toc3205" w:history="1">
        <w:r>
          <w:rPr>
            <w:rFonts w:ascii="IRNazanin" w:hAnsi="IRNazanin" w:eastAsia="IRNazanin" w:cs="IRNazanin"/>
            <w:color w:val="111111"/>
            <w:sz w:val="22"/>
            <w:szCs w:val="22"/>
            <w:b w:val="0"/>
            <w:bCs w:val="0"/>
            <w:i w:val="0"/>
            <w:iCs w:val="0"/>
          </w:rPr>
          <w:t>2484- دیوان السبتی أیضا</w:t>
        </w:r>
        <w:r>
          <w:tab/>
        </w:r>
        <w:r>
          <w:fldChar w:fldCharType="begin"/>
        </w:r>
        <w:r>
          <w:instrText xml:space="preserve">PAGEREF 3205 \h</w:instrText>
        </w:r>
        <w:r>
          <w:fldChar w:fldCharType="end"/>
        </w:r>
      </w:hyperlink>
    </w:p>
    <w:p>
      <w:pPr>
        <w:tabs>
          <w:tab w:val="right" w:leader="dot" w:pos="9062"/>
        </w:tabs>
        <w:ind w:left="440"/>
      </w:pPr>
      <w:hyperlink w:anchor="_Toc3206" w:history="1">
        <w:r>
          <w:rPr>
            <w:rFonts w:ascii="IRNazanin" w:hAnsi="IRNazanin" w:eastAsia="IRNazanin" w:cs="IRNazanin"/>
            <w:color w:val="111111"/>
            <w:sz w:val="22"/>
            <w:szCs w:val="22"/>
            <w:b w:val="0"/>
            <w:bCs w:val="0"/>
            <w:i w:val="0"/>
            <w:iCs w:val="0"/>
          </w:rPr>
          <w:t>2485- دیوان سبحانی‏</w:t>
        </w:r>
        <w:r>
          <w:tab/>
        </w:r>
        <w:r>
          <w:fldChar w:fldCharType="begin"/>
        </w:r>
        <w:r>
          <w:instrText xml:space="preserve">PAGEREF 3206 \h</w:instrText>
        </w:r>
        <w:r>
          <w:fldChar w:fldCharType="end"/>
        </w:r>
      </w:hyperlink>
    </w:p>
    <w:p>
      <w:pPr>
        <w:tabs>
          <w:tab w:val="right" w:leader="dot" w:pos="9062"/>
        </w:tabs>
        <w:ind w:left="440"/>
      </w:pPr>
      <w:hyperlink w:anchor="_Toc3207" w:history="1">
        <w:r>
          <w:rPr>
            <w:rFonts w:ascii="IRNazanin" w:hAnsi="IRNazanin" w:eastAsia="IRNazanin" w:cs="IRNazanin"/>
            <w:color w:val="111111"/>
            <w:sz w:val="22"/>
            <w:szCs w:val="22"/>
            <w:b w:val="0"/>
            <w:bCs w:val="0"/>
            <w:i w:val="0"/>
            <w:iCs w:val="0"/>
          </w:rPr>
          <w:t>دیوان سبحانی شوشتری‏</w:t>
        </w:r>
        <w:r>
          <w:tab/>
        </w:r>
        <w:r>
          <w:fldChar w:fldCharType="begin"/>
        </w:r>
        <w:r>
          <w:instrText xml:space="preserve">PAGEREF 3207 \h</w:instrText>
        </w:r>
        <w:r>
          <w:fldChar w:fldCharType="end"/>
        </w:r>
      </w:hyperlink>
    </w:p>
    <w:p>
      <w:pPr>
        <w:tabs>
          <w:tab w:val="right" w:leader="dot" w:pos="9062"/>
        </w:tabs>
        <w:ind w:left="440"/>
      </w:pPr>
      <w:hyperlink w:anchor="_Toc3208" w:history="1">
        <w:r>
          <w:rPr>
            <w:rFonts w:ascii="IRNazanin" w:hAnsi="IRNazanin" w:eastAsia="IRNazanin" w:cs="IRNazanin"/>
            <w:color w:val="111111"/>
            <w:sz w:val="22"/>
            <w:szCs w:val="22"/>
            <w:b w:val="0"/>
            <w:bCs w:val="0"/>
            <w:i w:val="0"/>
            <w:iCs w:val="0"/>
          </w:rPr>
          <w:t>دیوان سبط ابن التعاویذی‏</w:t>
        </w:r>
        <w:r>
          <w:tab/>
        </w:r>
        <w:r>
          <w:fldChar w:fldCharType="begin"/>
        </w:r>
        <w:r>
          <w:instrText xml:space="preserve">PAGEREF 3208 \h</w:instrText>
        </w:r>
        <w:r>
          <w:fldChar w:fldCharType="end"/>
        </w:r>
      </w:hyperlink>
    </w:p>
    <w:p>
      <w:pPr>
        <w:tabs>
          <w:tab w:val="right" w:leader="dot" w:pos="9062"/>
        </w:tabs>
        <w:ind w:left="440"/>
      </w:pPr>
      <w:hyperlink w:anchor="_Toc3209" w:history="1">
        <w:r>
          <w:rPr>
            <w:rFonts w:ascii="IRNazanin" w:hAnsi="IRNazanin" w:eastAsia="IRNazanin" w:cs="IRNazanin"/>
            <w:color w:val="111111"/>
            <w:sz w:val="22"/>
            <w:szCs w:val="22"/>
            <w:b w:val="0"/>
            <w:bCs w:val="0"/>
            <w:i w:val="0"/>
            <w:iCs w:val="0"/>
          </w:rPr>
          <w:t>دیوان سبقت دهلوی‏</w:t>
        </w:r>
        <w:r>
          <w:tab/>
        </w:r>
        <w:r>
          <w:fldChar w:fldCharType="begin"/>
        </w:r>
        <w:r>
          <w:instrText xml:space="preserve">PAGEREF 3209 \h</w:instrText>
        </w:r>
        <w:r>
          <w:fldChar w:fldCharType="end"/>
        </w:r>
      </w:hyperlink>
    </w:p>
    <w:p>
      <w:pPr>
        <w:tabs>
          <w:tab w:val="right" w:leader="dot" w:pos="9062"/>
        </w:tabs>
        <w:ind w:left="440"/>
      </w:pPr>
      <w:hyperlink w:anchor="_Toc3210" w:history="1">
        <w:r>
          <w:rPr>
            <w:rFonts w:ascii="IRNazanin" w:hAnsi="IRNazanin" w:eastAsia="IRNazanin" w:cs="IRNazanin"/>
            <w:color w:val="111111"/>
            <w:sz w:val="22"/>
            <w:szCs w:val="22"/>
            <w:b w:val="0"/>
            <w:bCs w:val="0"/>
            <w:i w:val="0"/>
            <w:iCs w:val="0"/>
          </w:rPr>
          <w:t>2486- دیوان سبقت لکهنوی‏</w:t>
        </w:r>
        <w:r>
          <w:tab/>
        </w:r>
        <w:r>
          <w:fldChar w:fldCharType="begin"/>
        </w:r>
        <w:r>
          <w:instrText xml:space="preserve">PAGEREF 3210 \h</w:instrText>
        </w:r>
        <w:r>
          <w:fldChar w:fldCharType="end"/>
        </w:r>
      </w:hyperlink>
    </w:p>
    <w:p>
      <w:pPr>
        <w:tabs>
          <w:tab w:val="right" w:leader="dot" w:pos="9062"/>
        </w:tabs>
        <w:ind w:left="440"/>
      </w:pPr>
      <w:hyperlink w:anchor="_Toc3211" w:history="1">
        <w:r>
          <w:rPr>
            <w:rFonts w:ascii="IRNazanin" w:hAnsi="IRNazanin" w:eastAsia="IRNazanin" w:cs="IRNazanin"/>
            <w:color w:val="111111"/>
            <w:sz w:val="22"/>
            <w:szCs w:val="22"/>
            <w:b w:val="0"/>
            <w:bCs w:val="0"/>
            <w:i w:val="0"/>
            <w:iCs w:val="0"/>
          </w:rPr>
          <w:t>2487- دیوان سپاهی أو شعره‏</w:t>
        </w:r>
        <w:r>
          <w:tab/>
        </w:r>
        <w:r>
          <w:fldChar w:fldCharType="begin"/>
        </w:r>
        <w:r>
          <w:instrText xml:space="preserve">PAGEREF 3211 \h</w:instrText>
        </w:r>
        <w:r>
          <w:fldChar w:fldCharType="end"/>
        </w:r>
      </w:hyperlink>
    </w:p>
    <w:p>
      <w:pPr>
        <w:tabs>
          <w:tab w:val="right" w:leader="dot" w:pos="9062"/>
        </w:tabs>
        <w:ind w:left="440"/>
      </w:pPr>
      <w:hyperlink w:anchor="_Toc3212" w:history="1">
        <w:r>
          <w:rPr>
            <w:rFonts w:ascii="IRNazanin" w:hAnsi="IRNazanin" w:eastAsia="IRNazanin" w:cs="IRNazanin"/>
            <w:color w:val="111111"/>
            <w:sz w:val="22"/>
            <w:szCs w:val="22"/>
            <w:b w:val="0"/>
            <w:bCs w:val="0"/>
            <w:i w:val="0"/>
            <w:iCs w:val="0"/>
          </w:rPr>
          <w:t>2488- دیوان سپاهی أندجانی أو شعره‏</w:t>
        </w:r>
        <w:r>
          <w:tab/>
        </w:r>
        <w:r>
          <w:fldChar w:fldCharType="begin"/>
        </w:r>
        <w:r>
          <w:instrText xml:space="preserve">PAGEREF 3212 \h</w:instrText>
        </w:r>
        <w:r>
          <w:fldChar w:fldCharType="end"/>
        </w:r>
      </w:hyperlink>
    </w:p>
    <w:p>
      <w:pPr>
        <w:tabs>
          <w:tab w:val="right" w:leader="dot" w:pos="9062"/>
        </w:tabs>
        <w:ind w:left="440"/>
      </w:pPr>
      <w:hyperlink w:anchor="_Toc3213" w:history="1">
        <w:r>
          <w:rPr>
            <w:rFonts w:ascii="IRNazanin" w:hAnsi="IRNazanin" w:eastAsia="IRNazanin" w:cs="IRNazanin"/>
            <w:color w:val="111111"/>
            <w:sz w:val="22"/>
            <w:szCs w:val="22"/>
            <w:b w:val="0"/>
            <w:bCs w:val="0"/>
            <w:i w:val="0"/>
            <w:iCs w:val="0"/>
          </w:rPr>
          <w:t>2489- دیوان سپاهی هروی أو شعره‏</w:t>
        </w:r>
        <w:r>
          <w:tab/>
        </w:r>
        <w:r>
          <w:fldChar w:fldCharType="begin"/>
        </w:r>
        <w:r>
          <w:instrText xml:space="preserve">PAGEREF 3213 \h</w:instrText>
        </w:r>
        <w:r>
          <w:fldChar w:fldCharType="end"/>
        </w:r>
      </w:hyperlink>
    </w:p>
    <w:p>
      <w:pPr>
        <w:tabs>
          <w:tab w:val="right" w:leader="dot" w:pos="9062"/>
        </w:tabs>
        <w:ind w:left="440"/>
      </w:pPr>
      <w:hyperlink w:anchor="_Toc3214" w:history="1">
        <w:r>
          <w:rPr>
            <w:rFonts w:ascii="IRNazanin" w:hAnsi="IRNazanin" w:eastAsia="IRNazanin" w:cs="IRNazanin"/>
            <w:color w:val="111111"/>
            <w:sz w:val="22"/>
            <w:szCs w:val="22"/>
            <w:b w:val="0"/>
            <w:bCs w:val="0"/>
            <w:i w:val="0"/>
            <w:iCs w:val="0"/>
          </w:rPr>
          <w:t>2490- دیوان سپنتای أصفهانی‏</w:t>
        </w:r>
        <w:r>
          <w:tab/>
        </w:r>
        <w:r>
          <w:fldChar w:fldCharType="begin"/>
        </w:r>
        <w:r>
          <w:instrText xml:space="preserve">PAGEREF 3214 \h</w:instrText>
        </w:r>
        <w:r>
          <w:fldChar w:fldCharType="end"/>
        </w:r>
      </w:hyperlink>
    </w:p>
    <w:p>
      <w:pPr>
        <w:tabs>
          <w:tab w:val="right" w:leader="dot" w:pos="9062"/>
        </w:tabs>
        <w:ind w:left="440"/>
      </w:pPr>
      <w:hyperlink w:anchor="_Toc3215" w:history="1">
        <w:r>
          <w:rPr>
            <w:rFonts w:ascii="IRNazanin" w:hAnsi="IRNazanin" w:eastAsia="IRNazanin" w:cs="IRNazanin"/>
            <w:color w:val="111111"/>
            <w:sz w:val="22"/>
            <w:szCs w:val="22"/>
            <w:b w:val="0"/>
            <w:bCs w:val="0"/>
            <w:i w:val="0"/>
            <w:iCs w:val="0"/>
          </w:rPr>
          <w:t>2491- دیوان سپهر بخارائی أو شعره‏</w:t>
        </w:r>
        <w:r>
          <w:tab/>
        </w:r>
        <w:r>
          <w:fldChar w:fldCharType="begin"/>
        </w:r>
        <w:r>
          <w:instrText xml:space="preserve">PAGEREF 3215 \h</w:instrText>
        </w:r>
        <w:r>
          <w:fldChar w:fldCharType="end"/>
        </w:r>
      </w:hyperlink>
    </w:p>
    <w:p>
      <w:pPr>
        <w:tabs>
          <w:tab w:val="right" w:leader="dot" w:pos="9062"/>
        </w:tabs>
        <w:ind w:left="440"/>
      </w:pPr>
      <w:hyperlink w:anchor="_Toc3216" w:history="1">
        <w:r>
          <w:rPr>
            <w:rFonts w:ascii="IRNazanin" w:hAnsi="IRNazanin" w:eastAsia="IRNazanin" w:cs="IRNazanin"/>
            <w:color w:val="111111"/>
            <w:sz w:val="22"/>
            <w:szCs w:val="22"/>
            <w:b w:val="0"/>
            <w:bCs w:val="0"/>
            <w:i w:val="0"/>
            <w:iCs w:val="0"/>
          </w:rPr>
          <w:t>2492- دیوان سپهر ثانی‏</w:t>
        </w:r>
        <w:r>
          <w:tab/>
        </w:r>
        <w:r>
          <w:fldChar w:fldCharType="begin"/>
        </w:r>
        <w:r>
          <w:instrText xml:space="preserve">PAGEREF 3216 \h</w:instrText>
        </w:r>
        <w:r>
          <w:fldChar w:fldCharType="end"/>
        </w:r>
      </w:hyperlink>
    </w:p>
    <w:p>
      <w:pPr>
        <w:tabs>
          <w:tab w:val="right" w:leader="dot" w:pos="9062"/>
        </w:tabs>
        <w:ind w:left="440"/>
      </w:pPr>
      <w:hyperlink w:anchor="_Toc3217" w:history="1">
        <w:r>
          <w:rPr>
            <w:rFonts w:ascii="IRNazanin" w:hAnsi="IRNazanin" w:eastAsia="IRNazanin" w:cs="IRNazanin"/>
            <w:color w:val="111111"/>
            <w:sz w:val="22"/>
            <w:szCs w:val="22"/>
            <w:b w:val="0"/>
            <w:bCs w:val="0"/>
            <w:i w:val="0"/>
            <w:iCs w:val="0"/>
          </w:rPr>
          <w:t>2493- دیوان سپهر کاشانی‏</w:t>
        </w:r>
        <w:r>
          <w:tab/>
        </w:r>
        <w:r>
          <w:fldChar w:fldCharType="begin"/>
        </w:r>
        <w:r>
          <w:instrText xml:space="preserve">PAGEREF 3217 \h</w:instrText>
        </w:r>
        <w:r>
          <w:fldChar w:fldCharType="end"/>
        </w:r>
      </w:hyperlink>
    </w:p>
    <w:p>
      <w:pPr>
        <w:tabs>
          <w:tab w:val="right" w:leader="dot" w:pos="9062"/>
        </w:tabs>
        <w:ind w:left="440"/>
      </w:pPr>
      <w:hyperlink w:anchor="_Toc3218" w:history="1">
        <w:r>
          <w:rPr>
            <w:rFonts w:ascii="IRNazanin" w:hAnsi="IRNazanin" w:eastAsia="IRNazanin" w:cs="IRNazanin"/>
            <w:color w:val="111111"/>
            <w:sz w:val="22"/>
            <w:szCs w:val="22"/>
            <w:b w:val="0"/>
            <w:bCs w:val="0"/>
            <w:i w:val="0"/>
            <w:iCs w:val="0"/>
          </w:rPr>
          <w:t>2494- دیوان سپهری‏</w:t>
        </w:r>
        <w:r>
          <w:tab/>
        </w:r>
        <w:r>
          <w:fldChar w:fldCharType="begin"/>
        </w:r>
        <w:r>
          <w:instrText xml:space="preserve">PAGEREF 3218 \h</w:instrText>
        </w:r>
        <w:r>
          <w:fldChar w:fldCharType="end"/>
        </w:r>
      </w:hyperlink>
    </w:p>
    <w:p>
      <w:pPr>
        <w:tabs>
          <w:tab w:val="right" w:leader="dot" w:pos="9062"/>
        </w:tabs>
        <w:ind w:left="440"/>
      </w:pPr>
      <w:hyperlink w:anchor="_Toc3219" w:history="1">
        <w:r>
          <w:rPr>
            <w:rFonts w:ascii="IRNazanin" w:hAnsi="IRNazanin" w:eastAsia="IRNazanin" w:cs="IRNazanin"/>
            <w:color w:val="111111"/>
            <w:sz w:val="22"/>
            <w:szCs w:val="22"/>
            <w:b w:val="0"/>
            <w:bCs w:val="0"/>
            <w:i w:val="0"/>
            <w:iCs w:val="0"/>
          </w:rPr>
          <w:t>2495- دیوان سپهری زوارجی‏</w:t>
        </w:r>
        <w:r>
          <w:tab/>
        </w:r>
        <w:r>
          <w:fldChar w:fldCharType="begin"/>
        </w:r>
        <w:r>
          <w:instrText xml:space="preserve">PAGEREF 3219 \h</w:instrText>
        </w:r>
        <w:r>
          <w:fldChar w:fldCharType="end"/>
        </w:r>
      </w:hyperlink>
    </w:p>
    <w:p>
      <w:pPr>
        <w:tabs>
          <w:tab w:val="right" w:leader="dot" w:pos="9062"/>
        </w:tabs>
        <w:ind w:left="440"/>
      </w:pPr>
      <w:hyperlink w:anchor="_Toc3220" w:history="1">
        <w:r>
          <w:rPr>
            <w:rFonts w:ascii="IRNazanin" w:hAnsi="IRNazanin" w:eastAsia="IRNazanin" w:cs="IRNazanin"/>
            <w:color w:val="111111"/>
            <w:sz w:val="22"/>
            <w:szCs w:val="22"/>
            <w:b w:val="0"/>
            <w:bCs w:val="0"/>
            <w:i w:val="0"/>
            <w:iCs w:val="0"/>
          </w:rPr>
          <w:t>2496- دیوان سپهری هندی‏</w:t>
        </w:r>
        <w:r>
          <w:tab/>
        </w:r>
        <w:r>
          <w:fldChar w:fldCharType="begin"/>
        </w:r>
        <w:r>
          <w:instrText xml:space="preserve">PAGEREF 3220 \h</w:instrText>
        </w:r>
        <w:r>
          <w:fldChar w:fldCharType="end"/>
        </w:r>
      </w:hyperlink>
    </w:p>
    <w:p>
      <w:pPr>
        <w:tabs>
          <w:tab w:val="right" w:leader="dot" w:pos="9062"/>
        </w:tabs>
        <w:ind w:left="440"/>
      </w:pPr>
      <w:hyperlink w:anchor="_Toc3221" w:history="1">
        <w:r>
          <w:rPr>
            <w:rFonts w:ascii="IRNazanin" w:hAnsi="IRNazanin" w:eastAsia="IRNazanin" w:cs="IRNazanin"/>
            <w:color w:val="111111"/>
            <w:sz w:val="22"/>
            <w:szCs w:val="22"/>
            <w:b w:val="0"/>
            <w:bCs w:val="0"/>
            <w:i w:val="0"/>
            <w:iCs w:val="0"/>
          </w:rPr>
          <w:t>2497- دیوان ستار تبریزی‏</w:t>
        </w:r>
        <w:r>
          <w:tab/>
        </w:r>
        <w:r>
          <w:fldChar w:fldCharType="begin"/>
        </w:r>
        <w:r>
          <w:instrText xml:space="preserve">PAGEREF 3221 \h</w:instrText>
        </w:r>
        <w:r>
          <w:fldChar w:fldCharType="end"/>
        </w:r>
      </w:hyperlink>
    </w:p>
    <w:p>
      <w:pPr>
        <w:tabs>
          <w:tab w:val="right" w:leader="dot" w:pos="9062"/>
        </w:tabs>
        <w:ind w:left="440"/>
      </w:pPr>
      <w:hyperlink w:anchor="_Toc3222" w:history="1">
        <w:r>
          <w:rPr>
            <w:rFonts w:ascii="IRNazanin" w:hAnsi="IRNazanin" w:eastAsia="IRNazanin" w:cs="IRNazanin"/>
            <w:color w:val="111111"/>
            <w:sz w:val="22"/>
            <w:szCs w:val="22"/>
            <w:b w:val="0"/>
            <w:bCs w:val="0"/>
            <w:i w:val="0"/>
            <w:iCs w:val="0"/>
          </w:rPr>
          <w:t>2498- دیوان ستاک یزدی‏</w:t>
        </w:r>
        <w:r>
          <w:tab/>
        </w:r>
        <w:r>
          <w:fldChar w:fldCharType="begin"/>
        </w:r>
        <w:r>
          <w:instrText xml:space="preserve">PAGEREF 3222 \h</w:instrText>
        </w:r>
        <w:r>
          <w:fldChar w:fldCharType="end"/>
        </w:r>
      </w:hyperlink>
    </w:p>
    <w:p>
      <w:pPr>
        <w:tabs>
          <w:tab w:val="right" w:leader="dot" w:pos="9062"/>
        </w:tabs>
        <w:ind w:left="440"/>
      </w:pPr>
      <w:hyperlink w:anchor="_Toc3223" w:history="1">
        <w:r>
          <w:rPr>
            <w:rFonts w:ascii="IRNazanin" w:hAnsi="IRNazanin" w:eastAsia="IRNazanin" w:cs="IRNazanin"/>
            <w:color w:val="111111"/>
            <w:sz w:val="22"/>
            <w:szCs w:val="22"/>
            <w:b w:val="0"/>
            <w:bCs w:val="0"/>
            <w:i w:val="0"/>
            <w:iCs w:val="0"/>
          </w:rPr>
          <w:t>2499- دیوان السجاد</w:t>
        </w:r>
        <w:r>
          <w:tab/>
        </w:r>
        <w:r>
          <w:fldChar w:fldCharType="begin"/>
        </w:r>
        <w:r>
          <w:instrText xml:space="preserve">PAGEREF 3223 \h</w:instrText>
        </w:r>
        <w:r>
          <w:fldChar w:fldCharType="end"/>
        </w:r>
      </w:hyperlink>
    </w:p>
    <w:p>
      <w:pPr>
        <w:tabs>
          <w:tab w:val="right" w:leader="dot" w:pos="9062"/>
        </w:tabs>
        <w:ind w:left="440"/>
      </w:pPr>
      <w:hyperlink w:anchor="_Toc3224" w:history="1">
        <w:r>
          <w:rPr>
            <w:rFonts w:ascii="IRNazanin" w:hAnsi="IRNazanin" w:eastAsia="IRNazanin" w:cs="IRNazanin"/>
            <w:color w:val="111111"/>
            <w:sz w:val="22"/>
            <w:szCs w:val="22"/>
            <w:b w:val="0"/>
            <w:bCs w:val="0"/>
            <w:i w:val="0"/>
            <w:iCs w:val="0"/>
          </w:rPr>
          <w:t>2500- دیوان سجادی بروجردی‏</w:t>
        </w:r>
        <w:r>
          <w:tab/>
        </w:r>
        <w:r>
          <w:fldChar w:fldCharType="begin"/>
        </w:r>
        <w:r>
          <w:instrText xml:space="preserve">PAGEREF 3224 \h</w:instrText>
        </w:r>
        <w:r>
          <w:fldChar w:fldCharType="end"/>
        </w:r>
      </w:hyperlink>
    </w:p>
    <w:p>
      <w:pPr>
        <w:tabs>
          <w:tab w:val="right" w:leader="dot" w:pos="9062"/>
        </w:tabs>
        <w:ind w:left="440"/>
      </w:pPr>
      <w:hyperlink w:anchor="_Toc3225" w:history="1">
        <w:r>
          <w:rPr>
            <w:rFonts w:ascii="IRNazanin" w:hAnsi="IRNazanin" w:eastAsia="IRNazanin" w:cs="IRNazanin"/>
            <w:color w:val="111111"/>
            <w:sz w:val="22"/>
            <w:szCs w:val="22"/>
            <w:b w:val="0"/>
            <w:bCs w:val="0"/>
            <w:i w:val="0"/>
            <w:iCs w:val="0"/>
          </w:rPr>
          <w:t>2501- دیوان سجاوندی‏</w:t>
        </w:r>
        <w:r>
          <w:tab/>
        </w:r>
        <w:r>
          <w:fldChar w:fldCharType="begin"/>
        </w:r>
        <w:r>
          <w:instrText xml:space="preserve">PAGEREF 3225 \h</w:instrText>
        </w:r>
        <w:r>
          <w:fldChar w:fldCharType="end"/>
        </w:r>
      </w:hyperlink>
    </w:p>
    <w:p>
      <w:pPr>
        <w:tabs>
          <w:tab w:val="right" w:leader="dot" w:pos="9062"/>
        </w:tabs>
        <w:ind w:left="440"/>
      </w:pPr>
      <w:hyperlink w:anchor="_Toc3226" w:history="1">
        <w:r>
          <w:rPr>
            <w:rFonts w:ascii="IRNazanin" w:hAnsi="IRNazanin" w:eastAsia="IRNazanin" w:cs="IRNazanin"/>
            <w:color w:val="111111"/>
            <w:sz w:val="22"/>
            <w:szCs w:val="22"/>
            <w:b w:val="0"/>
            <w:bCs w:val="0"/>
            <w:i w:val="0"/>
            <w:iCs w:val="0"/>
          </w:rPr>
          <w:t>2502- دیوان سجودی سمرقندی أو شعره‏</w:t>
        </w:r>
        <w:r>
          <w:tab/>
        </w:r>
        <w:r>
          <w:fldChar w:fldCharType="begin"/>
        </w:r>
        <w:r>
          <w:instrText xml:space="preserve">PAGEREF 3226 \h</w:instrText>
        </w:r>
        <w:r>
          <w:fldChar w:fldCharType="end"/>
        </w:r>
      </w:hyperlink>
    </w:p>
    <w:p>
      <w:pPr>
        <w:tabs>
          <w:tab w:val="right" w:leader="dot" w:pos="9062"/>
        </w:tabs>
        <w:ind w:left="440"/>
      </w:pPr>
      <w:hyperlink w:anchor="_Toc3227" w:history="1">
        <w:r>
          <w:rPr>
            <w:rFonts w:ascii="IRNazanin" w:hAnsi="IRNazanin" w:eastAsia="IRNazanin" w:cs="IRNazanin"/>
            <w:color w:val="111111"/>
            <w:sz w:val="22"/>
            <w:szCs w:val="22"/>
            <w:b w:val="0"/>
            <w:bCs w:val="0"/>
            <w:i w:val="0"/>
            <w:iCs w:val="0"/>
          </w:rPr>
          <w:t>2503- دیوان سحاب الأردوبادی الأصفهانی‏</w:t>
        </w:r>
        <w:r>
          <w:tab/>
        </w:r>
        <w:r>
          <w:fldChar w:fldCharType="begin"/>
        </w:r>
        <w:r>
          <w:instrText xml:space="preserve">PAGEREF 3227 \h</w:instrText>
        </w:r>
        <w:r>
          <w:fldChar w:fldCharType="end"/>
        </w:r>
      </w:hyperlink>
    </w:p>
    <w:p>
      <w:pPr>
        <w:tabs>
          <w:tab w:val="right" w:leader="dot" w:pos="9062"/>
        </w:tabs>
        <w:ind w:left="440"/>
      </w:pPr>
      <w:hyperlink w:anchor="_Toc3228" w:history="1">
        <w:r>
          <w:rPr>
            <w:rFonts w:ascii="IRNazanin" w:hAnsi="IRNazanin" w:eastAsia="IRNazanin" w:cs="IRNazanin"/>
            <w:color w:val="111111"/>
            <w:sz w:val="22"/>
            <w:szCs w:val="22"/>
            <w:b w:val="0"/>
            <w:bCs w:val="0"/>
            <w:i w:val="0"/>
            <w:iCs w:val="0"/>
          </w:rPr>
          <w:t>2504- دیوان سحاب تفریشی أو شعره‏</w:t>
        </w:r>
        <w:r>
          <w:tab/>
        </w:r>
        <w:r>
          <w:fldChar w:fldCharType="begin"/>
        </w:r>
        <w:r>
          <w:instrText xml:space="preserve">PAGEREF 3228 \h</w:instrText>
        </w:r>
        <w:r>
          <w:fldChar w:fldCharType="end"/>
        </w:r>
      </w:hyperlink>
    </w:p>
    <w:p>
      <w:pPr>
        <w:tabs>
          <w:tab w:val="right" w:leader="dot" w:pos="9062"/>
        </w:tabs>
        <w:ind w:left="440"/>
      </w:pPr>
      <w:hyperlink w:anchor="_Toc3229" w:history="1">
        <w:r>
          <w:rPr>
            <w:rFonts w:ascii="IRNazanin" w:hAnsi="IRNazanin" w:eastAsia="IRNazanin" w:cs="IRNazanin"/>
            <w:color w:val="111111"/>
            <w:sz w:val="22"/>
            <w:szCs w:val="22"/>
            <w:b w:val="0"/>
            <w:bCs w:val="0"/>
            <w:i w:val="0"/>
            <w:iCs w:val="0"/>
          </w:rPr>
          <w:t>2505- دیوان سحاب سامانی‏</w:t>
        </w:r>
        <w:r>
          <w:tab/>
        </w:r>
        <w:r>
          <w:fldChar w:fldCharType="begin"/>
        </w:r>
        <w:r>
          <w:instrText xml:space="preserve">PAGEREF 3229 \h</w:instrText>
        </w:r>
        <w:r>
          <w:fldChar w:fldCharType="end"/>
        </w:r>
      </w:hyperlink>
    </w:p>
    <w:p>
      <w:pPr>
        <w:tabs>
          <w:tab w:val="right" w:leader="dot" w:pos="9062"/>
        </w:tabs>
        <w:ind w:left="440"/>
      </w:pPr>
      <w:hyperlink w:anchor="_Toc3230" w:history="1">
        <w:r>
          <w:rPr>
            <w:rFonts w:ascii="IRNazanin" w:hAnsi="IRNazanin" w:eastAsia="IRNazanin" w:cs="IRNazanin"/>
            <w:color w:val="111111"/>
            <w:sz w:val="22"/>
            <w:szCs w:val="22"/>
            <w:b w:val="0"/>
            <w:bCs w:val="0"/>
            <w:i w:val="0"/>
            <w:iCs w:val="0"/>
          </w:rPr>
          <w:t>2506- دیوان سحاب همدانی‏</w:t>
        </w:r>
        <w:r>
          <w:tab/>
        </w:r>
        <w:r>
          <w:fldChar w:fldCharType="begin"/>
        </w:r>
        <w:r>
          <w:instrText xml:space="preserve">PAGEREF 3230 \h</w:instrText>
        </w:r>
        <w:r>
          <w:fldChar w:fldCharType="end"/>
        </w:r>
      </w:hyperlink>
    </w:p>
    <w:p>
      <w:pPr>
        <w:tabs>
          <w:tab w:val="right" w:leader="dot" w:pos="9062"/>
        </w:tabs>
        <w:ind w:left="440"/>
      </w:pPr>
      <w:hyperlink w:anchor="_Toc3231" w:history="1">
        <w:r>
          <w:rPr>
            <w:rFonts w:ascii="IRNazanin" w:hAnsi="IRNazanin" w:eastAsia="IRNazanin" w:cs="IRNazanin"/>
            <w:color w:val="111111"/>
            <w:sz w:val="22"/>
            <w:szCs w:val="22"/>
            <w:b w:val="0"/>
            <w:bCs w:val="0"/>
            <w:i w:val="0"/>
            <w:iCs w:val="0"/>
          </w:rPr>
          <w:t>2507- دیوان سحابی أسترآبادی‏</w:t>
        </w:r>
        <w:r>
          <w:tab/>
        </w:r>
        <w:r>
          <w:fldChar w:fldCharType="begin"/>
        </w:r>
        <w:r>
          <w:instrText xml:space="preserve">PAGEREF 3231 \h</w:instrText>
        </w:r>
        <w:r>
          <w:fldChar w:fldCharType="end"/>
        </w:r>
      </w:hyperlink>
    </w:p>
    <w:p>
      <w:pPr>
        <w:tabs>
          <w:tab w:val="right" w:leader="dot" w:pos="9062"/>
        </w:tabs>
        <w:ind w:left="440"/>
      </w:pPr>
      <w:hyperlink w:anchor="_Toc3232" w:history="1">
        <w:r>
          <w:rPr>
            <w:rFonts w:ascii="IRNazanin" w:hAnsi="IRNazanin" w:eastAsia="IRNazanin" w:cs="IRNazanin"/>
            <w:color w:val="111111"/>
            <w:sz w:val="22"/>
            <w:szCs w:val="22"/>
            <w:b w:val="0"/>
            <w:bCs w:val="0"/>
            <w:i w:val="0"/>
            <w:iCs w:val="0"/>
          </w:rPr>
          <w:t>دیوان سحابی شوشتری‏</w:t>
        </w:r>
        <w:r>
          <w:tab/>
        </w:r>
        <w:r>
          <w:fldChar w:fldCharType="begin"/>
        </w:r>
        <w:r>
          <w:instrText xml:space="preserve">PAGEREF 3232 \h</w:instrText>
        </w:r>
        <w:r>
          <w:fldChar w:fldCharType="end"/>
        </w:r>
      </w:hyperlink>
    </w:p>
    <w:p>
      <w:pPr>
        <w:tabs>
          <w:tab w:val="right" w:leader="dot" w:pos="9062"/>
        </w:tabs>
        <w:ind w:left="440"/>
      </w:pPr>
      <w:hyperlink w:anchor="_Toc3233" w:history="1">
        <w:r>
          <w:rPr>
            <w:rFonts w:ascii="IRNazanin" w:hAnsi="IRNazanin" w:eastAsia="IRNazanin" w:cs="IRNazanin"/>
            <w:color w:val="111111"/>
            <w:sz w:val="22"/>
            <w:szCs w:val="22"/>
            <w:b w:val="0"/>
            <w:bCs w:val="0"/>
            <w:i w:val="0"/>
            <w:iCs w:val="0"/>
          </w:rPr>
          <w:t>دیوان سحابی نجفی‏</w:t>
        </w:r>
        <w:r>
          <w:tab/>
        </w:r>
        <w:r>
          <w:fldChar w:fldCharType="begin"/>
        </w:r>
        <w:r>
          <w:instrText xml:space="preserve">PAGEREF 3233 \h</w:instrText>
        </w:r>
        <w:r>
          <w:fldChar w:fldCharType="end"/>
        </w:r>
      </w:hyperlink>
    </w:p>
    <w:p>
      <w:pPr>
        <w:tabs>
          <w:tab w:val="right" w:leader="dot" w:pos="9062"/>
        </w:tabs>
        <w:ind w:left="440"/>
      </w:pPr>
      <w:hyperlink w:anchor="_Toc3234" w:history="1">
        <w:r>
          <w:rPr>
            <w:rFonts w:ascii="IRNazanin" w:hAnsi="IRNazanin" w:eastAsia="IRNazanin" w:cs="IRNazanin"/>
            <w:color w:val="111111"/>
            <w:sz w:val="22"/>
            <w:szCs w:val="22"/>
            <w:b w:val="0"/>
            <w:bCs w:val="0"/>
            <w:i w:val="0"/>
            <w:iCs w:val="0"/>
          </w:rPr>
          <w:t>2508- دیوان سحری خوانساری‏</w:t>
        </w:r>
        <w:r>
          <w:tab/>
        </w:r>
        <w:r>
          <w:fldChar w:fldCharType="begin"/>
        </w:r>
        <w:r>
          <w:instrText xml:space="preserve">PAGEREF 3234 \h</w:instrText>
        </w:r>
        <w:r>
          <w:fldChar w:fldCharType="end"/>
        </w:r>
      </w:hyperlink>
    </w:p>
    <w:p>
      <w:pPr>
        <w:tabs>
          <w:tab w:val="right" w:leader="dot" w:pos="9062"/>
        </w:tabs>
        <w:ind w:left="440"/>
      </w:pPr>
      <w:hyperlink w:anchor="_Toc3235" w:history="1">
        <w:r>
          <w:rPr>
            <w:rFonts w:ascii="IRNazanin" w:hAnsi="IRNazanin" w:eastAsia="IRNazanin" w:cs="IRNazanin"/>
            <w:color w:val="111111"/>
            <w:sz w:val="22"/>
            <w:szCs w:val="22"/>
            <w:b w:val="0"/>
            <w:bCs w:val="0"/>
            <w:i w:val="0"/>
            <w:iCs w:val="0"/>
          </w:rPr>
          <w:t>2509- دیوان سحری زواره‏ئی أو شعره‏</w:t>
        </w:r>
        <w:r>
          <w:tab/>
        </w:r>
        <w:r>
          <w:fldChar w:fldCharType="begin"/>
        </w:r>
        <w:r>
          <w:instrText xml:space="preserve">PAGEREF 3235 \h</w:instrText>
        </w:r>
        <w:r>
          <w:fldChar w:fldCharType="end"/>
        </w:r>
      </w:hyperlink>
    </w:p>
    <w:p>
      <w:pPr>
        <w:tabs>
          <w:tab w:val="right" w:leader="dot" w:pos="9062"/>
        </w:tabs>
        <w:ind w:left="440"/>
      </w:pPr>
      <w:hyperlink w:anchor="_Toc3236" w:history="1">
        <w:r>
          <w:rPr>
            <w:rFonts w:ascii="IRNazanin" w:hAnsi="IRNazanin" w:eastAsia="IRNazanin" w:cs="IRNazanin"/>
            <w:color w:val="111111"/>
            <w:sz w:val="22"/>
            <w:szCs w:val="22"/>
            <w:b w:val="0"/>
            <w:bCs w:val="0"/>
            <w:i w:val="0"/>
            <w:iCs w:val="0"/>
          </w:rPr>
          <w:t>2510- دیوان ملا سحری طهرانی‏</w:t>
        </w:r>
        <w:r>
          <w:tab/>
        </w:r>
        <w:r>
          <w:fldChar w:fldCharType="begin"/>
        </w:r>
        <w:r>
          <w:instrText xml:space="preserve">PAGEREF 3236 \h</w:instrText>
        </w:r>
        <w:r>
          <w:fldChar w:fldCharType="end"/>
        </w:r>
      </w:hyperlink>
    </w:p>
    <w:p>
      <w:pPr>
        <w:tabs>
          <w:tab w:val="right" w:leader="dot" w:pos="9062"/>
        </w:tabs>
        <w:ind w:left="440"/>
      </w:pPr>
      <w:hyperlink w:anchor="_Toc3237" w:history="1">
        <w:r>
          <w:rPr>
            <w:rFonts w:ascii="IRNazanin" w:hAnsi="IRNazanin" w:eastAsia="IRNazanin" w:cs="IRNazanin"/>
            <w:color w:val="111111"/>
            <w:sz w:val="22"/>
            <w:szCs w:val="22"/>
            <w:b w:val="0"/>
            <w:bCs w:val="0"/>
            <w:i w:val="0"/>
            <w:iCs w:val="0"/>
          </w:rPr>
          <w:t>2511- دیوان سحیم‏</w:t>
        </w:r>
        <w:r>
          <w:tab/>
        </w:r>
        <w:r>
          <w:fldChar w:fldCharType="begin"/>
        </w:r>
        <w:r>
          <w:instrText xml:space="preserve">PAGEREF 3237 \h</w:instrText>
        </w:r>
        <w:r>
          <w:fldChar w:fldCharType="end"/>
        </w:r>
      </w:hyperlink>
    </w:p>
    <w:p>
      <w:pPr>
        <w:tabs>
          <w:tab w:val="right" w:leader="dot" w:pos="9062"/>
        </w:tabs>
        <w:ind w:left="440"/>
      </w:pPr>
      <w:hyperlink w:anchor="_Toc3238" w:history="1">
        <w:r>
          <w:rPr>
            <w:rFonts w:ascii="IRNazanin" w:hAnsi="IRNazanin" w:eastAsia="IRNazanin" w:cs="IRNazanin"/>
            <w:color w:val="111111"/>
            <w:sz w:val="22"/>
            <w:szCs w:val="22"/>
            <w:b w:val="0"/>
            <w:bCs w:val="0"/>
            <w:i w:val="0"/>
            <w:iCs w:val="0"/>
          </w:rPr>
          <w:t>2512- دیوان سخای أصفهانی‏</w:t>
        </w:r>
        <w:r>
          <w:tab/>
        </w:r>
        <w:r>
          <w:fldChar w:fldCharType="begin"/>
        </w:r>
        <w:r>
          <w:instrText xml:space="preserve">PAGEREF 3238 \h</w:instrText>
        </w:r>
        <w:r>
          <w:fldChar w:fldCharType="end"/>
        </w:r>
      </w:hyperlink>
    </w:p>
    <w:p>
      <w:pPr>
        <w:tabs>
          <w:tab w:val="right" w:leader="dot" w:pos="9062"/>
        </w:tabs>
        <w:ind w:left="440"/>
      </w:pPr>
      <w:hyperlink w:anchor="_Toc3239" w:history="1">
        <w:r>
          <w:rPr>
            <w:rFonts w:ascii="IRNazanin" w:hAnsi="IRNazanin" w:eastAsia="IRNazanin" w:cs="IRNazanin"/>
            <w:color w:val="111111"/>
            <w:sz w:val="22"/>
            <w:szCs w:val="22"/>
            <w:b w:val="0"/>
            <w:bCs w:val="0"/>
            <w:i w:val="0"/>
            <w:iCs w:val="0"/>
          </w:rPr>
          <w:t>2513- دیوان سخای لاری‏</w:t>
        </w:r>
        <w:r>
          <w:tab/>
        </w:r>
        <w:r>
          <w:fldChar w:fldCharType="begin"/>
        </w:r>
        <w:r>
          <w:instrText xml:space="preserve">PAGEREF 3239 \h</w:instrText>
        </w:r>
        <w:r>
          <w:fldChar w:fldCharType="end"/>
        </w:r>
      </w:hyperlink>
    </w:p>
    <w:p>
      <w:pPr>
        <w:tabs>
          <w:tab w:val="right" w:leader="dot" w:pos="9062"/>
        </w:tabs>
        <w:ind w:left="440"/>
      </w:pPr>
      <w:hyperlink w:anchor="_Toc3240" w:history="1">
        <w:r>
          <w:rPr>
            <w:rFonts w:ascii="IRNazanin" w:hAnsi="IRNazanin" w:eastAsia="IRNazanin" w:cs="IRNazanin"/>
            <w:color w:val="111111"/>
            <w:sz w:val="22"/>
            <w:szCs w:val="22"/>
            <w:b w:val="0"/>
            <w:bCs w:val="0"/>
            <w:i w:val="0"/>
            <w:iCs w:val="0"/>
          </w:rPr>
          <w:t>2514- دیوان سخن أکبرآبادی أو شعره‏</w:t>
        </w:r>
        <w:r>
          <w:tab/>
        </w:r>
        <w:r>
          <w:fldChar w:fldCharType="begin"/>
        </w:r>
        <w:r>
          <w:instrText xml:space="preserve">PAGEREF 3240 \h</w:instrText>
        </w:r>
        <w:r>
          <w:fldChar w:fldCharType="end"/>
        </w:r>
      </w:hyperlink>
    </w:p>
    <w:p>
      <w:pPr>
        <w:tabs>
          <w:tab w:val="right" w:leader="dot" w:pos="9062"/>
        </w:tabs>
        <w:ind w:left="440"/>
      </w:pPr>
      <w:hyperlink w:anchor="_Toc3241" w:history="1">
        <w:r>
          <w:rPr>
            <w:rFonts w:ascii="IRNazanin" w:hAnsi="IRNazanin" w:eastAsia="IRNazanin" w:cs="IRNazanin"/>
            <w:color w:val="111111"/>
            <w:sz w:val="22"/>
            <w:szCs w:val="22"/>
            <w:b w:val="0"/>
            <w:bCs w:val="0"/>
            <w:i w:val="0"/>
            <w:iCs w:val="0"/>
          </w:rPr>
          <w:t>2515- دیوان سخن أصفهانی‏</w:t>
        </w:r>
        <w:r>
          <w:tab/>
        </w:r>
        <w:r>
          <w:fldChar w:fldCharType="begin"/>
        </w:r>
        <w:r>
          <w:instrText xml:space="preserve">PAGEREF 3241 \h</w:instrText>
        </w:r>
        <w:r>
          <w:fldChar w:fldCharType="end"/>
        </w:r>
      </w:hyperlink>
    </w:p>
    <w:p>
      <w:pPr>
        <w:tabs>
          <w:tab w:val="right" w:leader="dot" w:pos="9062"/>
        </w:tabs>
        <w:ind w:left="440"/>
      </w:pPr>
      <w:hyperlink w:anchor="_Toc3242" w:history="1">
        <w:r>
          <w:rPr>
            <w:rFonts w:ascii="IRNazanin" w:hAnsi="IRNazanin" w:eastAsia="IRNazanin" w:cs="IRNazanin"/>
            <w:color w:val="111111"/>
            <w:sz w:val="22"/>
            <w:szCs w:val="22"/>
            <w:b w:val="0"/>
            <w:bCs w:val="0"/>
            <w:i w:val="0"/>
            <w:iCs w:val="0"/>
          </w:rPr>
          <w:t>2516- دیوان سخن شیرازی أو شعره‏</w:t>
        </w:r>
        <w:r>
          <w:tab/>
        </w:r>
        <w:r>
          <w:fldChar w:fldCharType="begin"/>
        </w:r>
        <w:r>
          <w:instrText xml:space="preserve">PAGEREF 3242 \h</w:instrText>
        </w:r>
        <w:r>
          <w:fldChar w:fldCharType="end"/>
        </w:r>
      </w:hyperlink>
    </w:p>
    <w:p>
      <w:pPr>
        <w:tabs>
          <w:tab w:val="right" w:leader="dot" w:pos="9062"/>
        </w:tabs>
        <w:ind w:left="440"/>
      </w:pPr>
      <w:hyperlink w:anchor="_Toc3243" w:history="1">
        <w:r>
          <w:rPr>
            <w:rFonts w:ascii="IRNazanin" w:hAnsi="IRNazanin" w:eastAsia="IRNazanin" w:cs="IRNazanin"/>
            <w:color w:val="111111"/>
            <w:sz w:val="22"/>
            <w:szCs w:val="22"/>
            <w:b w:val="0"/>
            <w:bCs w:val="0"/>
            <w:i w:val="0"/>
            <w:iCs w:val="0"/>
          </w:rPr>
          <w:t>2517- دیوان سخی کرمانی أو شعره‏</w:t>
        </w:r>
        <w:r>
          <w:tab/>
        </w:r>
        <w:r>
          <w:fldChar w:fldCharType="begin"/>
        </w:r>
        <w:r>
          <w:instrText xml:space="preserve">PAGEREF 3243 \h</w:instrText>
        </w:r>
        <w:r>
          <w:fldChar w:fldCharType="end"/>
        </w:r>
      </w:hyperlink>
    </w:p>
    <w:p>
      <w:pPr>
        <w:tabs>
          <w:tab w:val="right" w:leader="dot" w:pos="9062"/>
        </w:tabs>
        <w:ind w:left="440"/>
      </w:pPr>
      <w:hyperlink w:anchor="_Toc3244" w:history="1">
        <w:r>
          <w:rPr>
            <w:rFonts w:ascii="IRNazanin" w:hAnsi="IRNazanin" w:eastAsia="IRNazanin" w:cs="IRNazanin"/>
            <w:color w:val="111111"/>
            <w:sz w:val="22"/>
            <w:szCs w:val="22"/>
            <w:b w:val="0"/>
            <w:bCs w:val="0"/>
            <w:i w:val="0"/>
            <w:iCs w:val="0"/>
          </w:rPr>
          <w:t>2518- دیوان سخنور بلگرامی أو شعره‏</w:t>
        </w:r>
        <w:r>
          <w:tab/>
        </w:r>
        <w:r>
          <w:fldChar w:fldCharType="begin"/>
        </w:r>
        <w:r>
          <w:instrText xml:space="preserve">PAGEREF 3244 \h</w:instrText>
        </w:r>
        <w:r>
          <w:fldChar w:fldCharType="end"/>
        </w:r>
      </w:hyperlink>
    </w:p>
    <w:p>
      <w:pPr>
        <w:tabs>
          <w:tab w:val="right" w:leader="dot" w:pos="9062"/>
        </w:tabs>
        <w:ind w:left="440"/>
      </w:pPr>
      <w:hyperlink w:anchor="_Toc3245" w:history="1">
        <w:r>
          <w:rPr>
            <w:rFonts w:ascii="IRNazanin" w:hAnsi="IRNazanin" w:eastAsia="IRNazanin" w:cs="IRNazanin"/>
            <w:color w:val="111111"/>
            <w:sz w:val="22"/>
            <w:szCs w:val="22"/>
            <w:b w:val="0"/>
            <w:bCs w:val="0"/>
            <w:i w:val="0"/>
            <w:iCs w:val="0"/>
          </w:rPr>
          <w:t>2519- دیوان سدید أعور</w:t>
        </w:r>
        <w:r>
          <w:tab/>
        </w:r>
        <w:r>
          <w:fldChar w:fldCharType="begin"/>
        </w:r>
        <w:r>
          <w:instrText xml:space="preserve">PAGEREF 3245 \h</w:instrText>
        </w:r>
        <w:r>
          <w:fldChar w:fldCharType="end"/>
        </w:r>
      </w:hyperlink>
    </w:p>
    <w:p>
      <w:pPr>
        <w:tabs>
          <w:tab w:val="right" w:leader="dot" w:pos="9062"/>
        </w:tabs>
        <w:ind w:left="440"/>
      </w:pPr>
      <w:hyperlink w:anchor="_Toc3246" w:history="1">
        <w:r>
          <w:rPr>
            <w:rFonts w:ascii="IRNazanin" w:hAnsi="IRNazanin" w:eastAsia="IRNazanin" w:cs="IRNazanin"/>
            <w:color w:val="111111"/>
            <w:sz w:val="22"/>
            <w:szCs w:val="22"/>
            <w:b w:val="0"/>
            <w:bCs w:val="0"/>
            <w:i w:val="0"/>
            <w:iCs w:val="0"/>
          </w:rPr>
          <w:t>2520- دیوان سدید بیهقی أو شعره‏</w:t>
        </w:r>
        <w:r>
          <w:tab/>
        </w:r>
        <w:r>
          <w:fldChar w:fldCharType="begin"/>
        </w:r>
        <w:r>
          <w:instrText xml:space="preserve">PAGEREF 3246 \h</w:instrText>
        </w:r>
        <w:r>
          <w:fldChar w:fldCharType="end"/>
        </w:r>
      </w:hyperlink>
    </w:p>
    <w:p>
      <w:pPr>
        <w:tabs>
          <w:tab w:val="right" w:leader="dot" w:pos="9062"/>
        </w:tabs>
        <w:ind w:left="440"/>
      </w:pPr>
      <w:hyperlink w:anchor="_Toc3247" w:history="1">
        <w:r>
          <w:rPr>
            <w:rFonts w:ascii="IRNazanin" w:hAnsi="IRNazanin" w:eastAsia="IRNazanin" w:cs="IRNazanin"/>
            <w:color w:val="111111"/>
            <w:sz w:val="22"/>
            <w:szCs w:val="22"/>
            <w:b w:val="0"/>
            <w:bCs w:val="0"/>
            <w:i w:val="0"/>
            <w:iCs w:val="0"/>
          </w:rPr>
          <w:t>2521- دیوان سدید قزوینی أو شعره‏</w:t>
        </w:r>
        <w:r>
          <w:tab/>
        </w:r>
        <w:r>
          <w:fldChar w:fldCharType="begin"/>
        </w:r>
        <w:r>
          <w:instrText xml:space="preserve">PAGEREF 3247 \h</w:instrText>
        </w:r>
        <w:r>
          <w:fldChar w:fldCharType="end"/>
        </w:r>
      </w:hyperlink>
    </w:p>
    <w:p>
      <w:pPr>
        <w:tabs>
          <w:tab w:val="right" w:leader="dot" w:pos="9062"/>
        </w:tabs>
        <w:ind w:left="440"/>
      </w:pPr>
      <w:hyperlink w:anchor="_Toc3248" w:history="1">
        <w:r>
          <w:rPr>
            <w:rFonts w:ascii="IRNazanin" w:hAnsi="IRNazanin" w:eastAsia="IRNazanin" w:cs="IRNazanin"/>
            <w:color w:val="111111"/>
            <w:sz w:val="22"/>
            <w:szCs w:val="22"/>
            <w:b w:val="0"/>
            <w:bCs w:val="0"/>
            <w:i w:val="0"/>
            <w:iCs w:val="0"/>
          </w:rPr>
          <w:t>دیوان سدید قمی‏</w:t>
        </w:r>
        <w:r>
          <w:tab/>
        </w:r>
        <w:r>
          <w:fldChar w:fldCharType="begin"/>
        </w:r>
        <w:r>
          <w:instrText xml:space="preserve">PAGEREF 3248 \h</w:instrText>
        </w:r>
        <w:r>
          <w:fldChar w:fldCharType="end"/>
        </w:r>
      </w:hyperlink>
    </w:p>
    <w:p>
      <w:pPr>
        <w:tabs>
          <w:tab w:val="right" w:leader="dot" w:pos="9062"/>
        </w:tabs>
        <w:ind w:left="440"/>
      </w:pPr>
      <w:hyperlink w:anchor="_Toc3249" w:history="1">
        <w:r>
          <w:rPr>
            <w:rFonts w:ascii="IRNazanin" w:hAnsi="IRNazanin" w:eastAsia="IRNazanin" w:cs="IRNazanin"/>
            <w:color w:val="111111"/>
            <w:sz w:val="22"/>
            <w:szCs w:val="22"/>
            <w:b w:val="0"/>
            <w:bCs w:val="0"/>
            <w:i w:val="0"/>
            <w:iCs w:val="0"/>
          </w:rPr>
          <w:t>2522- دیوان سدید طبیب گیلانی‏</w:t>
        </w:r>
        <w:r>
          <w:tab/>
        </w:r>
        <w:r>
          <w:fldChar w:fldCharType="begin"/>
        </w:r>
        <w:r>
          <w:instrText xml:space="preserve">PAGEREF 3249 \h</w:instrText>
        </w:r>
        <w:r>
          <w:fldChar w:fldCharType="end"/>
        </w:r>
      </w:hyperlink>
    </w:p>
    <w:p>
      <w:pPr>
        <w:tabs>
          <w:tab w:val="right" w:leader="dot" w:pos="9062"/>
        </w:tabs>
        <w:ind w:left="440"/>
      </w:pPr>
      <w:hyperlink w:anchor="_Toc3250" w:history="1">
        <w:r>
          <w:rPr>
            <w:rFonts w:ascii="IRNazanin" w:hAnsi="IRNazanin" w:eastAsia="IRNazanin" w:cs="IRNazanin"/>
            <w:color w:val="111111"/>
            <w:sz w:val="22"/>
            <w:szCs w:val="22"/>
            <w:b w:val="0"/>
            <w:bCs w:val="0"/>
            <w:i w:val="0"/>
            <w:iCs w:val="0"/>
          </w:rPr>
          <w:t>2523- دیوان سرابی‏</w:t>
        </w:r>
        <w:r>
          <w:tab/>
        </w:r>
        <w:r>
          <w:fldChar w:fldCharType="begin"/>
        </w:r>
        <w:r>
          <w:instrText xml:space="preserve">PAGEREF 3250 \h</w:instrText>
        </w:r>
        <w:r>
          <w:fldChar w:fldCharType="end"/>
        </w:r>
      </w:hyperlink>
    </w:p>
    <w:p>
      <w:pPr>
        <w:tabs>
          <w:tab w:val="right" w:leader="dot" w:pos="9062"/>
        </w:tabs>
        <w:ind w:left="440"/>
      </w:pPr>
      <w:hyperlink w:anchor="_Toc3251" w:history="1">
        <w:r>
          <w:rPr>
            <w:rFonts w:ascii="IRNazanin" w:hAnsi="IRNazanin" w:eastAsia="IRNazanin" w:cs="IRNazanin"/>
            <w:color w:val="111111"/>
            <w:sz w:val="22"/>
            <w:szCs w:val="22"/>
            <w:b w:val="0"/>
            <w:bCs w:val="0"/>
            <w:i w:val="0"/>
            <w:iCs w:val="0"/>
          </w:rPr>
          <w:t>2524- دیوان سراجا أصفهانی‏</w:t>
        </w:r>
        <w:r>
          <w:tab/>
        </w:r>
        <w:r>
          <w:fldChar w:fldCharType="begin"/>
        </w:r>
        <w:r>
          <w:instrText xml:space="preserve">PAGEREF 3251 \h</w:instrText>
        </w:r>
        <w:r>
          <w:fldChar w:fldCharType="end"/>
        </w:r>
      </w:hyperlink>
    </w:p>
    <w:p>
      <w:pPr>
        <w:tabs>
          <w:tab w:val="right" w:leader="dot" w:pos="9062"/>
        </w:tabs>
        <w:ind w:left="440"/>
      </w:pPr>
      <w:hyperlink w:anchor="_Toc3252" w:history="1">
        <w:r>
          <w:rPr>
            <w:rFonts w:ascii="IRNazanin" w:hAnsi="IRNazanin" w:eastAsia="IRNazanin" w:cs="IRNazanin"/>
            <w:color w:val="111111"/>
            <w:sz w:val="22"/>
            <w:szCs w:val="22"/>
            <w:b w:val="0"/>
            <w:bCs w:val="0"/>
            <w:i w:val="0"/>
            <w:iCs w:val="0"/>
          </w:rPr>
          <w:t>دیوان سراجا حکاک الأصفهانی‏</w:t>
        </w:r>
        <w:r>
          <w:tab/>
        </w:r>
        <w:r>
          <w:fldChar w:fldCharType="begin"/>
        </w:r>
        <w:r>
          <w:instrText xml:space="preserve">PAGEREF 3252 \h</w:instrText>
        </w:r>
        <w:r>
          <w:fldChar w:fldCharType="end"/>
        </w:r>
      </w:hyperlink>
    </w:p>
    <w:p>
      <w:pPr>
        <w:tabs>
          <w:tab w:val="right" w:leader="dot" w:pos="9062"/>
        </w:tabs>
        <w:ind w:left="440"/>
      </w:pPr>
      <w:hyperlink w:anchor="_Toc3253" w:history="1">
        <w:r>
          <w:rPr>
            <w:rFonts w:ascii="IRNazanin" w:hAnsi="IRNazanin" w:eastAsia="IRNazanin" w:cs="IRNazanin"/>
            <w:color w:val="111111"/>
            <w:sz w:val="22"/>
            <w:szCs w:val="22"/>
            <w:b w:val="0"/>
            <w:bCs w:val="0"/>
            <w:i w:val="0"/>
            <w:iCs w:val="0"/>
          </w:rPr>
          <w:t>2525- دیوان سراجا نقاش أو شعره‏</w:t>
        </w:r>
        <w:r>
          <w:tab/>
        </w:r>
        <w:r>
          <w:fldChar w:fldCharType="begin"/>
        </w:r>
        <w:r>
          <w:instrText xml:space="preserve">PAGEREF 3253 \h</w:instrText>
        </w:r>
        <w:r>
          <w:fldChar w:fldCharType="end"/>
        </w:r>
      </w:hyperlink>
    </w:p>
    <w:p>
      <w:pPr>
        <w:tabs>
          <w:tab w:val="right" w:leader="dot" w:pos="9062"/>
        </w:tabs>
        <w:ind w:left="440"/>
      </w:pPr>
      <w:hyperlink w:anchor="_Toc3254" w:history="1">
        <w:r>
          <w:rPr>
            <w:rFonts w:ascii="IRNazanin" w:hAnsi="IRNazanin" w:eastAsia="IRNazanin" w:cs="IRNazanin"/>
            <w:color w:val="111111"/>
            <w:sz w:val="22"/>
            <w:szCs w:val="22"/>
            <w:b w:val="0"/>
            <w:bCs w:val="0"/>
            <w:i w:val="0"/>
            <w:iCs w:val="0"/>
          </w:rPr>
          <w:t>دیوان سراج آرزو</w:t>
        </w:r>
        <w:r>
          <w:tab/>
        </w:r>
        <w:r>
          <w:fldChar w:fldCharType="begin"/>
        </w:r>
        <w:r>
          <w:instrText xml:space="preserve">PAGEREF 3254 \h</w:instrText>
        </w:r>
        <w:r>
          <w:fldChar w:fldCharType="end"/>
        </w:r>
      </w:hyperlink>
    </w:p>
    <w:p>
      <w:pPr>
        <w:tabs>
          <w:tab w:val="right" w:leader="dot" w:pos="9062"/>
        </w:tabs>
        <w:ind w:left="440"/>
      </w:pPr>
      <w:hyperlink w:anchor="_Toc3255" w:history="1">
        <w:r>
          <w:rPr>
            <w:rFonts w:ascii="IRNazanin" w:hAnsi="IRNazanin" w:eastAsia="IRNazanin" w:cs="IRNazanin"/>
            <w:color w:val="111111"/>
            <w:sz w:val="22"/>
            <w:szCs w:val="22"/>
            <w:b w:val="0"/>
            <w:bCs w:val="0"/>
            <w:i w:val="0"/>
            <w:iCs w:val="0"/>
          </w:rPr>
          <w:t>2526- دیوان سراج أروسانی أو شعره‏</w:t>
        </w:r>
        <w:r>
          <w:tab/>
        </w:r>
        <w:r>
          <w:fldChar w:fldCharType="begin"/>
        </w:r>
        <w:r>
          <w:instrText xml:space="preserve">PAGEREF 3255 \h</w:instrText>
        </w:r>
        <w:r>
          <w:fldChar w:fldCharType="end"/>
        </w:r>
      </w:hyperlink>
    </w:p>
    <w:p>
      <w:pPr>
        <w:tabs>
          <w:tab w:val="right" w:leader="dot" w:pos="9062"/>
        </w:tabs>
        <w:ind w:left="440"/>
      </w:pPr>
      <w:hyperlink w:anchor="_Toc3256" w:history="1">
        <w:r>
          <w:rPr>
            <w:rFonts w:ascii="IRNazanin" w:hAnsi="IRNazanin" w:eastAsia="IRNazanin" w:cs="IRNazanin"/>
            <w:color w:val="111111"/>
            <w:sz w:val="22"/>
            <w:szCs w:val="22"/>
            <w:b w:val="0"/>
            <w:bCs w:val="0"/>
            <w:i w:val="0"/>
            <w:iCs w:val="0"/>
          </w:rPr>
          <w:t>2527- دیوان سراج اورنگ‏آبادی أو شعره‏</w:t>
        </w:r>
        <w:r>
          <w:tab/>
        </w:r>
        <w:r>
          <w:fldChar w:fldCharType="begin"/>
        </w:r>
        <w:r>
          <w:instrText xml:space="preserve">PAGEREF 3256 \h</w:instrText>
        </w:r>
        <w:r>
          <w:fldChar w:fldCharType="end"/>
        </w:r>
      </w:hyperlink>
    </w:p>
    <w:p>
      <w:pPr>
        <w:tabs>
          <w:tab w:val="right" w:leader="dot" w:pos="9062"/>
        </w:tabs>
        <w:ind w:left="440"/>
      </w:pPr>
      <w:hyperlink w:anchor="_Toc3257" w:history="1">
        <w:r>
          <w:rPr>
            <w:rFonts w:ascii="IRNazanin" w:hAnsi="IRNazanin" w:eastAsia="IRNazanin" w:cs="IRNazanin"/>
            <w:color w:val="111111"/>
            <w:sz w:val="22"/>
            <w:szCs w:val="22"/>
            <w:b w:val="0"/>
            <w:bCs w:val="0"/>
            <w:i w:val="0"/>
            <w:iCs w:val="0"/>
          </w:rPr>
          <w:t>2528- دیوان سراج بلخی‏</w:t>
        </w:r>
        <w:r>
          <w:tab/>
        </w:r>
        <w:r>
          <w:fldChar w:fldCharType="begin"/>
        </w:r>
        <w:r>
          <w:instrText xml:space="preserve">PAGEREF 3257 \h</w:instrText>
        </w:r>
        <w:r>
          <w:fldChar w:fldCharType="end"/>
        </w:r>
      </w:hyperlink>
    </w:p>
    <w:p>
      <w:pPr>
        <w:tabs>
          <w:tab w:val="right" w:leader="dot" w:pos="9062"/>
        </w:tabs>
        <w:ind w:left="440"/>
      </w:pPr>
      <w:hyperlink w:anchor="_Toc3258" w:history="1">
        <w:r>
          <w:rPr>
            <w:rFonts w:ascii="IRNazanin" w:hAnsi="IRNazanin" w:eastAsia="IRNazanin" w:cs="IRNazanin"/>
            <w:color w:val="111111"/>
            <w:sz w:val="22"/>
            <w:szCs w:val="22"/>
            <w:b w:val="0"/>
            <w:bCs w:val="0"/>
            <w:i w:val="0"/>
            <w:iCs w:val="0"/>
          </w:rPr>
          <w:t>2529- دیوان سراج الدین سکزی‏</w:t>
        </w:r>
        <w:r>
          <w:tab/>
        </w:r>
        <w:r>
          <w:fldChar w:fldCharType="begin"/>
        </w:r>
        <w:r>
          <w:instrText xml:space="preserve">PAGEREF 3258 \h</w:instrText>
        </w:r>
        <w:r>
          <w:fldChar w:fldCharType="end"/>
        </w:r>
      </w:hyperlink>
    </w:p>
    <w:p>
      <w:pPr>
        <w:tabs>
          <w:tab w:val="right" w:leader="dot" w:pos="9062"/>
        </w:tabs>
        <w:ind w:left="440"/>
      </w:pPr>
      <w:hyperlink w:anchor="_Toc3259" w:history="1">
        <w:r>
          <w:rPr>
            <w:rFonts w:ascii="IRNazanin" w:hAnsi="IRNazanin" w:eastAsia="IRNazanin" w:cs="IRNazanin"/>
            <w:color w:val="111111"/>
            <w:sz w:val="22"/>
            <w:szCs w:val="22"/>
            <w:b w:val="0"/>
            <w:bCs w:val="0"/>
            <w:i w:val="0"/>
            <w:iCs w:val="0"/>
          </w:rPr>
          <w:t>دیوان سراج الدین غزنوی‏</w:t>
        </w:r>
        <w:r>
          <w:tab/>
        </w:r>
        <w:r>
          <w:fldChar w:fldCharType="begin"/>
        </w:r>
        <w:r>
          <w:instrText xml:space="preserve">PAGEREF 3259 \h</w:instrText>
        </w:r>
        <w:r>
          <w:fldChar w:fldCharType="end"/>
        </w:r>
      </w:hyperlink>
    </w:p>
    <w:p>
      <w:pPr>
        <w:tabs>
          <w:tab w:val="right" w:leader="dot" w:pos="9062"/>
        </w:tabs>
        <w:ind w:left="440"/>
      </w:pPr>
      <w:hyperlink w:anchor="_Toc3260" w:history="1">
        <w:r>
          <w:rPr>
            <w:rFonts w:ascii="IRNazanin" w:hAnsi="IRNazanin" w:eastAsia="IRNazanin" w:cs="IRNazanin"/>
            <w:color w:val="111111"/>
            <w:sz w:val="22"/>
            <w:szCs w:val="22"/>
            <w:b w:val="0"/>
            <w:bCs w:val="0"/>
            <w:i w:val="0"/>
            <w:iCs w:val="0"/>
          </w:rPr>
          <w:t>2530- دیوان سراج سبزواری أو شعره‏</w:t>
        </w:r>
        <w:r>
          <w:tab/>
        </w:r>
        <w:r>
          <w:fldChar w:fldCharType="begin"/>
        </w:r>
        <w:r>
          <w:instrText xml:space="preserve">PAGEREF 3260 \h</w:instrText>
        </w:r>
        <w:r>
          <w:fldChar w:fldCharType="end"/>
        </w:r>
      </w:hyperlink>
    </w:p>
    <w:p>
      <w:pPr>
        <w:tabs>
          <w:tab w:val="right" w:leader="dot" w:pos="9062"/>
        </w:tabs>
        <w:ind w:left="440"/>
      </w:pPr>
      <w:hyperlink w:anchor="_Toc3261" w:history="1">
        <w:r>
          <w:rPr>
            <w:rFonts w:ascii="IRNazanin" w:hAnsi="IRNazanin" w:eastAsia="IRNazanin" w:cs="IRNazanin"/>
            <w:color w:val="111111"/>
            <w:sz w:val="22"/>
            <w:szCs w:val="22"/>
            <w:b w:val="0"/>
            <w:bCs w:val="0"/>
            <w:i w:val="0"/>
            <w:iCs w:val="0"/>
          </w:rPr>
          <w:t>دیوان سراج سکزی‏</w:t>
        </w:r>
        <w:r>
          <w:tab/>
        </w:r>
        <w:r>
          <w:fldChar w:fldCharType="begin"/>
        </w:r>
        <w:r>
          <w:instrText xml:space="preserve">PAGEREF 3261 \h</w:instrText>
        </w:r>
        <w:r>
          <w:fldChar w:fldCharType="end"/>
        </w:r>
      </w:hyperlink>
    </w:p>
    <w:p>
      <w:pPr>
        <w:tabs>
          <w:tab w:val="right" w:leader="dot" w:pos="9062"/>
        </w:tabs>
        <w:ind w:left="440"/>
      </w:pPr>
      <w:hyperlink w:anchor="_Toc3262" w:history="1">
        <w:r>
          <w:rPr>
            <w:rFonts w:ascii="IRNazanin" w:hAnsi="IRNazanin" w:eastAsia="IRNazanin" w:cs="IRNazanin"/>
            <w:color w:val="111111"/>
            <w:sz w:val="22"/>
            <w:szCs w:val="22"/>
            <w:b w:val="0"/>
            <w:bCs w:val="0"/>
            <w:i w:val="0"/>
            <w:iCs w:val="0"/>
          </w:rPr>
          <w:t>2531- دیوان سراج سمرقندی أو شعره‏</w:t>
        </w:r>
        <w:r>
          <w:tab/>
        </w:r>
        <w:r>
          <w:fldChar w:fldCharType="begin"/>
        </w:r>
        <w:r>
          <w:instrText xml:space="preserve">PAGEREF 3262 \h</w:instrText>
        </w:r>
        <w:r>
          <w:fldChar w:fldCharType="end"/>
        </w:r>
      </w:hyperlink>
    </w:p>
    <w:p>
      <w:pPr>
        <w:tabs>
          <w:tab w:val="right" w:leader="dot" w:pos="9062"/>
        </w:tabs>
        <w:ind w:left="440"/>
      </w:pPr>
      <w:hyperlink w:anchor="_Toc3263" w:history="1">
        <w:r>
          <w:rPr>
            <w:rFonts w:ascii="IRNazanin" w:hAnsi="IRNazanin" w:eastAsia="IRNazanin" w:cs="IRNazanin"/>
            <w:color w:val="111111"/>
            <w:sz w:val="22"/>
            <w:szCs w:val="22"/>
            <w:b w:val="0"/>
            <w:bCs w:val="0"/>
            <w:i w:val="0"/>
            <w:iCs w:val="0"/>
          </w:rPr>
          <w:t>دیوان سراج الشعراء</w:t>
        </w:r>
        <w:r>
          <w:tab/>
        </w:r>
        <w:r>
          <w:fldChar w:fldCharType="begin"/>
        </w:r>
        <w:r>
          <w:instrText xml:space="preserve">PAGEREF 3263 \h</w:instrText>
        </w:r>
        <w:r>
          <w:fldChar w:fldCharType="end"/>
        </w:r>
      </w:hyperlink>
    </w:p>
    <w:p>
      <w:pPr>
        <w:tabs>
          <w:tab w:val="right" w:leader="dot" w:pos="9062"/>
        </w:tabs>
        <w:ind w:left="440"/>
      </w:pPr>
      <w:hyperlink w:anchor="_Toc3264" w:history="1">
        <w:r>
          <w:rPr>
            <w:rFonts w:ascii="IRNazanin" w:hAnsi="IRNazanin" w:eastAsia="IRNazanin" w:cs="IRNazanin"/>
            <w:color w:val="111111"/>
            <w:sz w:val="22"/>
            <w:szCs w:val="22"/>
            <w:b w:val="0"/>
            <w:bCs w:val="0"/>
            <w:i w:val="0"/>
            <w:iCs w:val="0"/>
          </w:rPr>
          <w:t>دیوان سراج قزوینی‏</w:t>
        </w:r>
        <w:r>
          <w:tab/>
        </w:r>
        <w:r>
          <w:fldChar w:fldCharType="begin"/>
        </w:r>
        <w:r>
          <w:instrText xml:space="preserve">PAGEREF 3264 \h</w:instrText>
        </w:r>
        <w:r>
          <w:fldChar w:fldCharType="end"/>
        </w:r>
      </w:hyperlink>
    </w:p>
    <w:p>
      <w:pPr>
        <w:tabs>
          <w:tab w:val="right" w:leader="dot" w:pos="9062"/>
        </w:tabs>
        <w:ind w:left="440"/>
      </w:pPr>
      <w:hyperlink w:anchor="_Toc3265" w:history="1">
        <w:r>
          <w:rPr>
            <w:rFonts w:ascii="IRNazanin" w:hAnsi="IRNazanin" w:eastAsia="IRNazanin" w:cs="IRNazanin"/>
            <w:color w:val="111111"/>
            <w:sz w:val="22"/>
            <w:szCs w:val="22"/>
            <w:b w:val="0"/>
            <w:bCs w:val="0"/>
            <w:i w:val="0"/>
            <w:iCs w:val="0"/>
          </w:rPr>
          <w:t>2532- دیوان سراج قمری‏</w:t>
        </w:r>
        <w:r>
          <w:tab/>
        </w:r>
        <w:r>
          <w:fldChar w:fldCharType="begin"/>
        </w:r>
        <w:r>
          <w:instrText xml:space="preserve">PAGEREF 3265 \h</w:instrText>
        </w:r>
        <w:r>
          <w:fldChar w:fldCharType="end"/>
        </w:r>
      </w:hyperlink>
    </w:p>
    <w:p>
      <w:pPr>
        <w:tabs>
          <w:tab w:val="right" w:leader="dot" w:pos="9062"/>
        </w:tabs>
        <w:ind w:left="440"/>
      </w:pPr>
      <w:hyperlink w:anchor="_Toc3266" w:history="1">
        <w:r>
          <w:rPr>
            <w:rFonts w:ascii="IRNazanin" w:hAnsi="IRNazanin" w:eastAsia="IRNazanin" w:cs="IRNazanin"/>
            <w:color w:val="111111"/>
            <w:sz w:val="22"/>
            <w:szCs w:val="22"/>
            <w:b w:val="0"/>
            <w:bCs w:val="0"/>
            <w:i w:val="0"/>
            <w:iCs w:val="0"/>
          </w:rPr>
          <w:t>دیوان سراج لاهوری‏</w:t>
        </w:r>
        <w:r>
          <w:tab/>
        </w:r>
        <w:r>
          <w:fldChar w:fldCharType="begin"/>
        </w:r>
        <w:r>
          <w:instrText xml:space="preserve">PAGEREF 3266 \h</w:instrText>
        </w:r>
        <w:r>
          <w:fldChar w:fldCharType="end"/>
        </w:r>
      </w:hyperlink>
    </w:p>
    <w:p>
      <w:pPr>
        <w:tabs>
          <w:tab w:val="right" w:leader="dot" w:pos="9062"/>
        </w:tabs>
        <w:ind w:left="440"/>
      </w:pPr>
      <w:hyperlink w:anchor="_Toc3267" w:history="1">
        <w:r>
          <w:rPr>
            <w:rFonts w:ascii="IRNazanin" w:hAnsi="IRNazanin" w:eastAsia="IRNazanin" w:cs="IRNazanin"/>
            <w:color w:val="111111"/>
            <w:sz w:val="22"/>
            <w:szCs w:val="22"/>
            <w:b w:val="0"/>
            <w:bCs w:val="0"/>
            <w:i w:val="0"/>
            <w:iCs w:val="0"/>
          </w:rPr>
          <w:t>دیوان سراج یزدی‏</w:t>
        </w:r>
        <w:r>
          <w:tab/>
        </w:r>
        <w:r>
          <w:fldChar w:fldCharType="begin"/>
        </w:r>
        <w:r>
          <w:instrText xml:space="preserve">PAGEREF 3267 \h</w:instrText>
        </w:r>
        <w:r>
          <w:fldChar w:fldCharType="end"/>
        </w:r>
      </w:hyperlink>
    </w:p>
    <w:p>
      <w:pPr>
        <w:tabs>
          <w:tab w:val="right" w:leader="dot" w:pos="9062"/>
        </w:tabs>
        <w:ind w:left="440"/>
      </w:pPr>
      <w:hyperlink w:anchor="_Toc3268" w:history="1">
        <w:r>
          <w:rPr>
            <w:rFonts w:ascii="IRNazanin" w:hAnsi="IRNazanin" w:eastAsia="IRNazanin" w:cs="IRNazanin"/>
            <w:color w:val="111111"/>
            <w:sz w:val="22"/>
            <w:szCs w:val="22"/>
            <w:b w:val="0"/>
            <w:bCs w:val="0"/>
            <w:i w:val="0"/>
            <w:iCs w:val="0"/>
          </w:rPr>
          <w:t>دیوان سراج هندی‏</w:t>
        </w:r>
        <w:r>
          <w:tab/>
        </w:r>
        <w:r>
          <w:fldChar w:fldCharType="begin"/>
        </w:r>
        <w:r>
          <w:instrText xml:space="preserve">PAGEREF 3268 \h</w:instrText>
        </w:r>
        <w:r>
          <w:fldChar w:fldCharType="end"/>
        </w:r>
      </w:hyperlink>
    </w:p>
    <w:p>
      <w:pPr>
        <w:tabs>
          <w:tab w:val="right" w:leader="dot" w:pos="9062"/>
        </w:tabs>
        <w:ind w:left="440"/>
      </w:pPr>
      <w:hyperlink w:anchor="_Toc3269" w:history="1">
        <w:r>
          <w:rPr>
            <w:rFonts w:ascii="IRNazanin" w:hAnsi="IRNazanin" w:eastAsia="IRNazanin" w:cs="IRNazanin"/>
            <w:color w:val="111111"/>
            <w:sz w:val="22"/>
            <w:szCs w:val="22"/>
            <w:b w:val="0"/>
            <w:bCs w:val="0"/>
            <w:i w:val="0"/>
            <w:iCs w:val="0"/>
          </w:rPr>
          <w:t>2533- دیوان سراجی أو شعره‏</w:t>
        </w:r>
        <w:r>
          <w:tab/>
        </w:r>
        <w:r>
          <w:fldChar w:fldCharType="begin"/>
        </w:r>
        <w:r>
          <w:instrText xml:space="preserve">PAGEREF 3269 \h</w:instrText>
        </w:r>
        <w:r>
          <w:fldChar w:fldCharType="end"/>
        </w:r>
      </w:hyperlink>
    </w:p>
    <w:p>
      <w:pPr>
        <w:tabs>
          <w:tab w:val="right" w:leader="dot" w:pos="9062"/>
        </w:tabs>
        <w:ind w:left="440"/>
      </w:pPr>
      <w:hyperlink w:anchor="_Toc3270" w:history="1">
        <w:r>
          <w:rPr>
            <w:rFonts w:ascii="IRNazanin" w:hAnsi="IRNazanin" w:eastAsia="IRNazanin" w:cs="IRNazanin"/>
            <w:color w:val="111111"/>
            <w:sz w:val="22"/>
            <w:szCs w:val="22"/>
            <w:b w:val="0"/>
            <w:bCs w:val="0"/>
            <w:i w:val="0"/>
            <w:iCs w:val="0"/>
          </w:rPr>
          <w:t>2534- دیوان سراجی خراسانی‏</w:t>
        </w:r>
        <w:r>
          <w:tab/>
        </w:r>
        <w:r>
          <w:fldChar w:fldCharType="begin"/>
        </w:r>
        <w:r>
          <w:instrText xml:space="preserve">PAGEREF 3270 \h</w:instrText>
        </w:r>
        <w:r>
          <w:fldChar w:fldCharType="end"/>
        </w:r>
      </w:hyperlink>
    </w:p>
    <w:p>
      <w:pPr>
        <w:tabs>
          <w:tab w:val="right" w:leader="dot" w:pos="9062"/>
        </w:tabs>
        <w:ind w:left="440"/>
      </w:pPr>
      <w:hyperlink w:anchor="_Toc3271" w:history="1">
        <w:r>
          <w:rPr>
            <w:rFonts w:ascii="IRNazanin" w:hAnsi="IRNazanin" w:eastAsia="IRNazanin" w:cs="IRNazanin"/>
            <w:color w:val="111111"/>
            <w:sz w:val="22"/>
            <w:szCs w:val="22"/>
            <w:b w:val="0"/>
            <w:bCs w:val="0"/>
            <w:i w:val="0"/>
            <w:iCs w:val="0"/>
          </w:rPr>
          <w:t>دیوان سراجی قزوینی‏</w:t>
        </w:r>
        <w:r>
          <w:tab/>
        </w:r>
        <w:r>
          <w:fldChar w:fldCharType="begin"/>
        </w:r>
        <w:r>
          <w:instrText xml:space="preserve">PAGEREF 3271 \h</w:instrText>
        </w:r>
        <w:r>
          <w:fldChar w:fldCharType="end"/>
        </w:r>
      </w:hyperlink>
    </w:p>
    <w:p>
      <w:pPr>
        <w:tabs>
          <w:tab w:val="right" w:leader="dot" w:pos="9062"/>
        </w:tabs>
        <w:ind w:left="440"/>
      </w:pPr>
      <w:hyperlink w:anchor="_Toc3272" w:history="1">
        <w:r>
          <w:rPr>
            <w:rFonts w:ascii="IRNazanin" w:hAnsi="IRNazanin" w:eastAsia="IRNazanin" w:cs="IRNazanin"/>
            <w:color w:val="111111"/>
            <w:sz w:val="22"/>
            <w:szCs w:val="22"/>
            <w:b w:val="0"/>
            <w:bCs w:val="0"/>
            <w:i w:val="0"/>
            <w:iCs w:val="0"/>
          </w:rPr>
          <w:t>2535- دیوان سرافراز سمرقندی أو شعره‏</w:t>
        </w:r>
        <w:r>
          <w:tab/>
        </w:r>
        <w:r>
          <w:fldChar w:fldCharType="begin"/>
        </w:r>
        <w:r>
          <w:instrText xml:space="preserve">PAGEREF 3272 \h</w:instrText>
        </w:r>
        <w:r>
          <w:fldChar w:fldCharType="end"/>
        </w:r>
      </w:hyperlink>
    </w:p>
    <w:p>
      <w:pPr>
        <w:tabs>
          <w:tab w:val="right" w:leader="dot" w:pos="9062"/>
        </w:tabs>
        <w:ind w:left="440"/>
      </w:pPr>
      <w:hyperlink w:anchor="_Toc3273" w:history="1">
        <w:r>
          <w:rPr>
            <w:rFonts w:ascii="IRNazanin" w:hAnsi="IRNazanin" w:eastAsia="IRNazanin" w:cs="IRNazanin"/>
            <w:color w:val="111111"/>
            <w:sz w:val="22"/>
            <w:szCs w:val="22"/>
            <w:b w:val="0"/>
            <w:bCs w:val="0"/>
            <w:i w:val="0"/>
            <w:iCs w:val="0"/>
          </w:rPr>
          <w:t>2536- دیوان سرباز</w:t>
        </w:r>
        <w:r>
          <w:tab/>
        </w:r>
        <w:r>
          <w:fldChar w:fldCharType="begin"/>
        </w:r>
        <w:r>
          <w:instrText xml:space="preserve">PAGEREF 3273 \h</w:instrText>
        </w:r>
        <w:r>
          <w:fldChar w:fldCharType="end"/>
        </w:r>
      </w:hyperlink>
    </w:p>
    <w:p>
      <w:pPr>
        <w:tabs>
          <w:tab w:val="right" w:leader="dot" w:pos="9062"/>
        </w:tabs>
        <w:ind w:left="440"/>
      </w:pPr>
      <w:hyperlink w:anchor="_Toc3274" w:history="1">
        <w:r>
          <w:rPr>
            <w:rFonts w:ascii="IRNazanin" w:hAnsi="IRNazanin" w:eastAsia="IRNazanin" w:cs="IRNazanin"/>
            <w:color w:val="111111"/>
            <w:sz w:val="22"/>
            <w:szCs w:val="22"/>
            <w:b w:val="0"/>
            <w:bCs w:val="0"/>
            <w:i w:val="0"/>
            <w:iCs w:val="0"/>
          </w:rPr>
          <w:t>2537- دیوان سید سر برهنه أو شعره‏</w:t>
        </w:r>
        <w:r>
          <w:tab/>
        </w:r>
        <w:r>
          <w:fldChar w:fldCharType="begin"/>
        </w:r>
        <w:r>
          <w:instrText xml:space="preserve">PAGEREF 3274 \h</w:instrText>
        </w:r>
        <w:r>
          <w:fldChar w:fldCharType="end"/>
        </w:r>
      </w:hyperlink>
    </w:p>
    <w:p>
      <w:pPr>
        <w:tabs>
          <w:tab w:val="right" w:leader="dot" w:pos="9062"/>
        </w:tabs>
        <w:ind w:left="440"/>
      </w:pPr>
      <w:hyperlink w:anchor="_Toc3275" w:history="1">
        <w:r>
          <w:rPr>
            <w:rFonts w:ascii="IRNazanin" w:hAnsi="IRNazanin" w:eastAsia="IRNazanin" w:cs="IRNazanin"/>
            <w:color w:val="111111"/>
            <w:sz w:val="22"/>
            <w:szCs w:val="22"/>
            <w:b w:val="0"/>
            <w:bCs w:val="0"/>
            <w:i w:val="0"/>
            <w:iCs w:val="0"/>
          </w:rPr>
          <w:t>2538- دیوان سرتیپ‏</w:t>
        </w:r>
        <w:r>
          <w:tab/>
        </w:r>
        <w:r>
          <w:fldChar w:fldCharType="begin"/>
        </w:r>
        <w:r>
          <w:instrText xml:space="preserve">PAGEREF 3275 \h</w:instrText>
        </w:r>
        <w:r>
          <w:fldChar w:fldCharType="end"/>
        </w:r>
      </w:hyperlink>
    </w:p>
    <w:p>
      <w:pPr>
        <w:tabs>
          <w:tab w:val="right" w:leader="dot" w:pos="9062"/>
        </w:tabs>
        <w:ind w:left="440"/>
      </w:pPr>
      <w:hyperlink w:anchor="_Toc3276" w:history="1">
        <w:r>
          <w:rPr>
            <w:rFonts w:ascii="IRNazanin" w:hAnsi="IRNazanin" w:eastAsia="IRNazanin" w:cs="IRNazanin"/>
            <w:color w:val="111111"/>
            <w:sz w:val="22"/>
            <w:szCs w:val="22"/>
            <w:b w:val="0"/>
            <w:bCs w:val="0"/>
            <w:i w:val="0"/>
            <w:iCs w:val="0"/>
          </w:rPr>
          <w:t>2539- دیوان سرحدی بختیاری القهفرخی الأصفهانی‏</w:t>
        </w:r>
        <w:r>
          <w:tab/>
        </w:r>
        <w:r>
          <w:fldChar w:fldCharType="begin"/>
        </w:r>
        <w:r>
          <w:instrText xml:space="preserve">PAGEREF 3276 \h</w:instrText>
        </w:r>
        <w:r>
          <w:fldChar w:fldCharType="end"/>
        </w:r>
      </w:hyperlink>
    </w:p>
    <w:p>
      <w:pPr>
        <w:tabs>
          <w:tab w:val="right" w:leader="dot" w:pos="9062"/>
        </w:tabs>
        <w:ind w:left="440"/>
      </w:pPr>
      <w:hyperlink w:anchor="_Toc3277" w:history="1">
        <w:r>
          <w:rPr>
            <w:rFonts w:ascii="IRNazanin" w:hAnsi="IRNazanin" w:eastAsia="IRNazanin" w:cs="IRNazanin"/>
            <w:color w:val="111111"/>
            <w:sz w:val="22"/>
            <w:szCs w:val="22"/>
            <w:b w:val="0"/>
            <w:bCs w:val="0"/>
            <w:i w:val="0"/>
            <w:iCs w:val="0"/>
          </w:rPr>
          <w:t>2540- دیوان سرخوش أصفهانی‏</w:t>
        </w:r>
        <w:r>
          <w:tab/>
        </w:r>
        <w:r>
          <w:fldChar w:fldCharType="begin"/>
        </w:r>
        <w:r>
          <w:instrText xml:space="preserve">PAGEREF 3277 \h</w:instrText>
        </w:r>
        <w:r>
          <w:fldChar w:fldCharType="end"/>
        </w:r>
      </w:hyperlink>
    </w:p>
    <w:p>
      <w:pPr>
        <w:tabs>
          <w:tab w:val="right" w:leader="dot" w:pos="9062"/>
        </w:tabs>
        <w:ind w:left="440"/>
      </w:pPr>
      <w:hyperlink w:anchor="_Toc3278" w:history="1">
        <w:r>
          <w:rPr>
            <w:rFonts w:ascii="IRNazanin" w:hAnsi="IRNazanin" w:eastAsia="IRNazanin" w:cs="IRNazanin"/>
            <w:color w:val="111111"/>
            <w:sz w:val="22"/>
            <w:szCs w:val="22"/>
            <w:b w:val="0"/>
            <w:bCs w:val="0"/>
            <w:i w:val="0"/>
            <w:iCs w:val="0"/>
          </w:rPr>
          <w:t>2541- دیوان سرخوش تفرشی‏</w:t>
        </w:r>
        <w:r>
          <w:tab/>
        </w:r>
        <w:r>
          <w:fldChar w:fldCharType="begin"/>
        </w:r>
        <w:r>
          <w:instrText xml:space="preserve">PAGEREF 3278 \h</w:instrText>
        </w:r>
        <w:r>
          <w:fldChar w:fldCharType="end"/>
        </w:r>
      </w:hyperlink>
    </w:p>
    <w:p>
      <w:pPr>
        <w:tabs>
          <w:tab w:val="right" w:leader="dot" w:pos="9062"/>
        </w:tabs>
        <w:ind w:left="440"/>
      </w:pPr>
      <w:hyperlink w:anchor="_Toc3279" w:history="1">
        <w:r>
          <w:rPr>
            <w:rFonts w:ascii="IRNazanin" w:hAnsi="IRNazanin" w:eastAsia="IRNazanin" w:cs="IRNazanin"/>
            <w:color w:val="111111"/>
            <w:sz w:val="22"/>
            <w:szCs w:val="22"/>
            <w:b w:val="0"/>
            <w:bCs w:val="0"/>
            <w:i w:val="0"/>
            <w:iCs w:val="0"/>
          </w:rPr>
          <w:t>2542- دیوان سرخوش لاهوری‏</w:t>
        </w:r>
        <w:r>
          <w:tab/>
        </w:r>
        <w:r>
          <w:fldChar w:fldCharType="begin"/>
        </w:r>
        <w:r>
          <w:instrText xml:space="preserve">PAGEREF 3279 \h</w:instrText>
        </w:r>
        <w:r>
          <w:fldChar w:fldCharType="end"/>
        </w:r>
      </w:hyperlink>
    </w:p>
    <w:p>
      <w:pPr>
        <w:tabs>
          <w:tab w:val="right" w:leader="dot" w:pos="9062"/>
        </w:tabs>
        <w:ind w:left="440"/>
      </w:pPr>
      <w:hyperlink w:anchor="_Toc3280" w:history="1">
        <w:r>
          <w:rPr>
            <w:rFonts w:ascii="IRNazanin" w:hAnsi="IRNazanin" w:eastAsia="IRNazanin" w:cs="IRNazanin"/>
            <w:color w:val="111111"/>
            <w:sz w:val="22"/>
            <w:szCs w:val="22"/>
            <w:b w:val="0"/>
            <w:bCs w:val="0"/>
            <w:i w:val="0"/>
            <w:iCs w:val="0"/>
          </w:rPr>
          <w:t>2543- دیوان سرشار القفقازی‏</w:t>
        </w:r>
        <w:r>
          <w:tab/>
        </w:r>
        <w:r>
          <w:fldChar w:fldCharType="begin"/>
        </w:r>
        <w:r>
          <w:instrText xml:space="preserve">PAGEREF 3280 \h</w:instrText>
        </w:r>
        <w:r>
          <w:fldChar w:fldCharType="end"/>
        </w:r>
      </w:hyperlink>
    </w:p>
    <w:p>
      <w:pPr>
        <w:tabs>
          <w:tab w:val="right" w:leader="dot" w:pos="9062"/>
        </w:tabs>
        <w:ind w:left="440"/>
      </w:pPr>
      <w:hyperlink w:anchor="_Toc3281" w:history="1">
        <w:r>
          <w:rPr>
            <w:rFonts w:ascii="IRNazanin" w:hAnsi="IRNazanin" w:eastAsia="IRNazanin" w:cs="IRNazanin"/>
            <w:color w:val="111111"/>
            <w:sz w:val="22"/>
            <w:szCs w:val="22"/>
            <w:b w:val="0"/>
            <w:bCs w:val="0"/>
            <w:i w:val="0"/>
            <w:iCs w:val="0"/>
          </w:rPr>
          <w:t>2544- دیوان سرشار کاکوروی‏</w:t>
        </w:r>
        <w:r>
          <w:tab/>
        </w:r>
        <w:r>
          <w:fldChar w:fldCharType="begin"/>
        </w:r>
        <w:r>
          <w:instrText xml:space="preserve">PAGEREF 3281 \h</w:instrText>
        </w:r>
        <w:r>
          <w:fldChar w:fldCharType="end"/>
        </w:r>
      </w:hyperlink>
    </w:p>
    <w:p>
      <w:pPr>
        <w:tabs>
          <w:tab w:val="right" w:leader="dot" w:pos="9062"/>
        </w:tabs>
        <w:ind w:left="440"/>
      </w:pPr>
      <w:hyperlink w:anchor="_Toc3282" w:history="1">
        <w:r>
          <w:rPr>
            <w:rFonts w:ascii="IRNazanin" w:hAnsi="IRNazanin" w:eastAsia="IRNazanin" w:cs="IRNazanin"/>
            <w:color w:val="111111"/>
            <w:sz w:val="22"/>
            <w:szCs w:val="22"/>
            <w:b w:val="0"/>
            <w:bCs w:val="0"/>
            <w:i w:val="0"/>
            <w:iCs w:val="0"/>
          </w:rPr>
          <w:t>2545- دیوان سرشکی کابلی أو شعره‏</w:t>
        </w:r>
        <w:r>
          <w:tab/>
        </w:r>
        <w:r>
          <w:fldChar w:fldCharType="begin"/>
        </w:r>
        <w:r>
          <w:instrText xml:space="preserve">PAGEREF 3282 \h</w:instrText>
        </w:r>
        <w:r>
          <w:fldChar w:fldCharType="end"/>
        </w:r>
      </w:hyperlink>
    </w:p>
    <w:p>
      <w:pPr>
        <w:tabs>
          <w:tab w:val="right" w:leader="dot" w:pos="9062"/>
        </w:tabs>
        <w:ind w:left="440"/>
      </w:pPr>
      <w:hyperlink w:anchor="_Toc3283" w:history="1">
        <w:r>
          <w:rPr>
            <w:rFonts w:ascii="IRNazanin" w:hAnsi="IRNazanin" w:eastAsia="IRNazanin" w:cs="IRNazanin"/>
            <w:color w:val="111111"/>
            <w:sz w:val="22"/>
            <w:szCs w:val="22"/>
            <w:b w:val="0"/>
            <w:bCs w:val="0"/>
            <w:i w:val="0"/>
            <w:iCs w:val="0"/>
          </w:rPr>
          <w:t>2546- دیوان سرعت مازندرانی‏</w:t>
        </w:r>
        <w:r>
          <w:tab/>
        </w:r>
        <w:r>
          <w:fldChar w:fldCharType="begin"/>
        </w:r>
        <w:r>
          <w:instrText xml:space="preserve">PAGEREF 3283 \h</w:instrText>
        </w:r>
        <w:r>
          <w:fldChar w:fldCharType="end"/>
        </w:r>
      </w:hyperlink>
    </w:p>
    <w:p>
      <w:pPr>
        <w:tabs>
          <w:tab w:val="right" w:leader="dot" w:pos="9062"/>
        </w:tabs>
        <w:ind w:left="440"/>
      </w:pPr>
      <w:hyperlink w:anchor="_Toc3284" w:history="1">
        <w:r>
          <w:rPr>
            <w:rFonts w:ascii="IRNazanin" w:hAnsi="IRNazanin" w:eastAsia="IRNazanin" w:cs="IRNazanin"/>
            <w:color w:val="111111"/>
            <w:sz w:val="22"/>
            <w:szCs w:val="22"/>
            <w:b w:val="0"/>
            <w:bCs w:val="0"/>
            <w:i w:val="0"/>
            <w:iCs w:val="0"/>
          </w:rPr>
          <w:t>دیوان سرکای بخاری‏</w:t>
        </w:r>
        <w:r>
          <w:tab/>
        </w:r>
        <w:r>
          <w:fldChar w:fldCharType="begin"/>
        </w:r>
        <w:r>
          <w:instrText xml:space="preserve">PAGEREF 3284 \h</w:instrText>
        </w:r>
        <w:r>
          <w:fldChar w:fldCharType="end"/>
        </w:r>
      </w:hyperlink>
    </w:p>
    <w:p>
      <w:pPr>
        <w:tabs>
          <w:tab w:val="right" w:leader="dot" w:pos="9062"/>
        </w:tabs>
        <w:ind w:left="440"/>
      </w:pPr>
      <w:hyperlink w:anchor="_Toc3285" w:history="1">
        <w:r>
          <w:rPr>
            <w:rFonts w:ascii="IRNazanin" w:hAnsi="IRNazanin" w:eastAsia="IRNazanin" w:cs="IRNazanin"/>
            <w:color w:val="111111"/>
            <w:sz w:val="22"/>
            <w:szCs w:val="22"/>
            <w:b w:val="0"/>
            <w:bCs w:val="0"/>
            <w:i w:val="0"/>
            <w:iCs w:val="0"/>
          </w:rPr>
          <w:t>2547- دیوان سرگشته أصفهانی گرجی‏</w:t>
        </w:r>
        <w:r>
          <w:tab/>
        </w:r>
        <w:r>
          <w:fldChar w:fldCharType="begin"/>
        </w:r>
        <w:r>
          <w:instrText xml:space="preserve">PAGEREF 3285 \h</w:instrText>
        </w:r>
        <w:r>
          <w:fldChar w:fldCharType="end"/>
        </w:r>
      </w:hyperlink>
    </w:p>
    <w:p>
      <w:pPr>
        <w:tabs>
          <w:tab w:val="right" w:leader="dot" w:pos="9062"/>
        </w:tabs>
        <w:ind w:left="440"/>
      </w:pPr>
      <w:hyperlink w:anchor="_Toc3286" w:history="1">
        <w:r>
          <w:rPr>
            <w:rFonts w:ascii="IRNazanin" w:hAnsi="IRNazanin" w:eastAsia="IRNazanin" w:cs="IRNazanin"/>
            <w:color w:val="111111"/>
            <w:sz w:val="22"/>
            <w:szCs w:val="22"/>
            <w:b w:val="0"/>
            <w:bCs w:val="0"/>
            <w:i w:val="0"/>
            <w:iCs w:val="0"/>
          </w:rPr>
          <w:t>2548- دیوان سرمد</w:t>
        </w:r>
        <w:r>
          <w:tab/>
        </w:r>
        <w:r>
          <w:fldChar w:fldCharType="begin"/>
        </w:r>
        <w:r>
          <w:instrText xml:space="preserve">PAGEREF 3286 \h</w:instrText>
        </w:r>
        <w:r>
          <w:fldChar w:fldCharType="end"/>
        </w:r>
      </w:hyperlink>
    </w:p>
    <w:p>
      <w:pPr>
        <w:tabs>
          <w:tab w:val="right" w:leader="dot" w:pos="9062"/>
        </w:tabs>
        <w:ind w:left="440"/>
      </w:pPr>
      <w:hyperlink w:anchor="_Toc3287" w:history="1">
        <w:r>
          <w:rPr>
            <w:rFonts w:ascii="IRNazanin" w:hAnsi="IRNazanin" w:eastAsia="IRNazanin" w:cs="IRNazanin"/>
            <w:color w:val="111111"/>
            <w:sz w:val="22"/>
            <w:szCs w:val="22"/>
            <w:b w:val="0"/>
            <w:bCs w:val="0"/>
            <w:i w:val="0"/>
            <w:iCs w:val="0"/>
          </w:rPr>
          <w:t>2549- دیوان سرمد کاشی‏</w:t>
        </w:r>
        <w:r>
          <w:tab/>
        </w:r>
        <w:r>
          <w:fldChar w:fldCharType="begin"/>
        </w:r>
        <w:r>
          <w:instrText xml:space="preserve">PAGEREF 3287 \h</w:instrText>
        </w:r>
        <w:r>
          <w:fldChar w:fldCharType="end"/>
        </w:r>
      </w:hyperlink>
    </w:p>
    <w:p>
      <w:pPr>
        <w:tabs>
          <w:tab w:val="right" w:leader="dot" w:pos="9062"/>
        </w:tabs>
        <w:ind w:left="440"/>
      </w:pPr>
      <w:hyperlink w:anchor="_Toc3288" w:history="1">
        <w:r>
          <w:rPr>
            <w:rFonts w:ascii="IRNazanin" w:hAnsi="IRNazanin" w:eastAsia="IRNazanin" w:cs="IRNazanin"/>
            <w:color w:val="111111"/>
            <w:sz w:val="22"/>
            <w:szCs w:val="22"/>
            <w:b w:val="0"/>
            <w:bCs w:val="0"/>
            <w:i w:val="0"/>
            <w:iCs w:val="0"/>
          </w:rPr>
          <w:t>2550- دیوان سرمدی أصفهانی أو شعره‏</w:t>
        </w:r>
        <w:r>
          <w:tab/>
        </w:r>
        <w:r>
          <w:fldChar w:fldCharType="begin"/>
        </w:r>
        <w:r>
          <w:instrText xml:space="preserve">PAGEREF 3288 \h</w:instrText>
        </w:r>
        <w:r>
          <w:fldChar w:fldCharType="end"/>
        </w:r>
      </w:hyperlink>
    </w:p>
    <w:p>
      <w:pPr>
        <w:tabs>
          <w:tab w:val="right" w:leader="dot" w:pos="9062"/>
        </w:tabs>
        <w:ind w:left="440"/>
      </w:pPr>
      <w:hyperlink w:anchor="_Toc3289" w:history="1">
        <w:r>
          <w:rPr>
            <w:rFonts w:ascii="IRNazanin" w:hAnsi="IRNazanin" w:eastAsia="IRNazanin" w:cs="IRNazanin"/>
            <w:color w:val="111111"/>
            <w:sz w:val="22"/>
            <w:szCs w:val="22"/>
            <w:b w:val="0"/>
            <w:bCs w:val="0"/>
            <w:i w:val="0"/>
            <w:iCs w:val="0"/>
          </w:rPr>
          <w:t>2551- دیوان سرمست کفری أو شعره‏</w:t>
        </w:r>
        <w:r>
          <w:tab/>
        </w:r>
        <w:r>
          <w:fldChar w:fldCharType="begin"/>
        </w:r>
        <w:r>
          <w:instrText xml:space="preserve">PAGEREF 3289 \h</w:instrText>
        </w:r>
        <w:r>
          <w:fldChar w:fldCharType="end"/>
        </w:r>
      </w:hyperlink>
    </w:p>
    <w:p>
      <w:pPr>
        <w:tabs>
          <w:tab w:val="right" w:leader="dot" w:pos="9062"/>
        </w:tabs>
        <w:ind w:left="440"/>
      </w:pPr>
      <w:hyperlink w:anchor="_Toc3290" w:history="1">
        <w:r>
          <w:rPr>
            <w:rFonts w:ascii="IRNazanin" w:hAnsi="IRNazanin" w:eastAsia="IRNazanin" w:cs="IRNazanin"/>
            <w:color w:val="111111"/>
            <w:sz w:val="22"/>
            <w:szCs w:val="22"/>
            <w:b w:val="0"/>
            <w:bCs w:val="0"/>
            <w:i w:val="0"/>
            <w:iCs w:val="0"/>
          </w:rPr>
          <w:t>دیوان سرمست‏</w:t>
        </w:r>
        <w:r>
          <w:tab/>
        </w:r>
        <w:r>
          <w:fldChar w:fldCharType="begin"/>
        </w:r>
        <w:r>
          <w:instrText xml:space="preserve">PAGEREF 3290 \h</w:instrText>
        </w:r>
        <w:r>
          <w:fldChar w:fldCharType="end"/>
        </w:r>
      </w:hyperlink>
    </w:p>
    <w:p>
      <w:pPr>
        <w:tabs>
          <w:tab w:val="right" w:leader="dot" w:pos="9062"/>
        </w:tabs>
        <w:ind w:left="440"/>
      </w:pPr>
      <w:hyperlink w:anchor="_Toc3291" w:history="1">
        <w:r>
          <w:rPr>
            <w:rFonts w:ascii="IRNazanin" w:hAnsi="IRNazanin" w:eastAsia="IRNazanin" w:cs="IRNazanin"/>
            <w:color w:val="111111"/>
            <w:sz w:val="22"/>
            <w:szCs w:val="22"/>
            <w:b w:val="0"/>
            <w:bCs w:val="0"/>
            <w:i w:val="0"/>
            <w:iCs w:val="0"/>
          </w:rPr>
          <w:t>2552- دیوان سرود رشتی أو شعره‏</w:t>
        </w:r>
        <w:r>
          <w:tab/>
        </w:r>
        <w:r>
          <w:fldChar w:fldCharType="begin"/>
        </w:r>
        <w:r>
          <w:instrText xml:space="preserve">PAGEREF 3291 \h</w:instrText>
        </w:r>
        <w:r>
          <w:fldChar w:fldCharType="end"/>
        </w:r>
      </w:hyperlink>
    </w:p>
    <w:p>
      <w:pPr>
        <w:tabs>
          <w:tab w:val="right" w:leader="dot" w:pos="9062"/>
        </w:tabs>
        <w:ind w:left="440"/>
      </w:pPr>
      <w:hyperlink w:anchor="_Toc3292" w:history="1">
        <w:r>
          <w:rPr>
            <w:rFonts w:ascii="IRNazanin" w:hAnsi="IRNazanin" w:eastAsia="IRNazanin" w:cs="IRNazanin"/>
            <w:color w:val="111111"/>
            <w:sz w:val="22"/>
            <w:szCs w:val="22"/>
            <w:b w:val="0"/>
            <w:bCs w:val="0"/>
            <w:i w:val="0"/>
            <w:iCs w:val="0"/>
          </w:rPr>
          <w:t>2553- دیوان سرودی خراسانی أو شعره‏</w:t>
        </w:r>
        <w:r>
          <w:tab/>
        </w:r>
        <w:r>
          <w:fldChar w:fldCharType="begin"/>
        </w:r>
        <w:r>
          <w:instrText xml:space="preserve">PAGEREF 3292 \h</w:instrText>
        </w:r>
        <w:r>
          <w:fldChar w:fldCharType="end"/>
        </w:r>
      </w:hyperlink>
    </w:p>
    <w:p>
      <w:pPr>
        <w:tabs>
          <w:tab w:val="right" w:leader="dot" w:pos="9062"/>
        </w:tabs>
        <w:ind w:left="440"/>
      </w:pPr>
      <w:hyperlink w:anchor="_Toc3293" w:history="1">
        <w:r>
          <w:rPr>
            <w:rFonts w:ascii="IRNazanin" w:hAnsi="IRNazanin" w:eastAsia="IRNazanin" w:cs="IRNazanin"/>
            <w:color w:val="111111"/>
            <w:sz w:val="22"/>
            <w:szCs w:val="22"/>
            <w:b w:val="0"/>
            <w:bCs w:val="0"/>
            <w:i w:val="0"/>
            <w:iCs w:val="0"/>
          </w:rPr>
          <w:t>2554- دیوان سرودی الخوانساری‏</w:t>
        </w:r>
        <w:r>
          <w:tab/>
        </w:r>
        <w:r>
          <w:fldChar w:fldCharType="begin"/>
        </w:r>
        <w:r>
          <w:instrText xml:space="preserve">PAGEREF 3293 \h</w:instrText>
        </w:r>
        <w:r>
          <w:fldChar w:fldCharType="end"/>
        </w:r>
      </w:hyperlink>
    </w:p>
    <w:p>
      <w:pPr>
        <w:tabs>
          <w:tab w:val="right" w:leader="dot" w:pos="9062"/>
        </w:tabs>
        <w:ind w:left="440"/>
      </w:pPr>
      <w:hyperlink w:anchor="_Toc3294" w:history="1">
        <w:r>
          <w:rPr>
            <w:rFonts w:ascii="IRNazanin" w:hAnsi="IRNazanin" w:eastAsia="IRNazanin" w:cs="IRNazanin"/>
            <w:color w:val="111111"/>
            <w:sz w:val="22"/>
            <w:szCs w:val="22"/>
            <w:b w:val="0"/>
            <w:bCs w:val="0"/>
            <w:i w:val="0"/>
            <w:iCs w:val="0"/>
          </w:rPr>
          <w:t>2555- دیوان سرودی قمی‏</w:t>
        </w:r>
        <w:r>
          <w:tab/>
        </w:r>
        <w:r>
          <w:fldChar w:fldCharType="begin"/>
        </w:r>
        <w:r>
          <w:instrText xml:space="preserve">PAGEREF 3294 \h</w:instrText>
        </w:r>
        <w:r>
          <w:fldChar w:fldCharType="end"/>
        </w:r>
      </w:hyperlink>
    </w:p>
    <w:p>
      <w:pPr>
        <w:tabs>
          <w:tab w:val="right" w:leader="dot" w:pos="9062"/>
        </w:tabs>
        <w:ind w:left="440"/>
      </w:pPr>
      <w:hyperlink w:anchor="_Toc3295" w:history="1">
        <w:r>
          <w:rPr>
            <w:rFonts w:ascii="IRNazanin" w:hAnsi="IRNazanin" w:eastAsia="IRNazanin" w:cs="IRNazanin"/>
            <w:color w:val="111111"/>
            <w:sz w:val="22"/>
            <w:szCs w:val="22"/>
            <w:b w:val="0"/>
            <w:bCs w:val="0"/>
            <w:i w:val="0"/>
            <w:iCs w:val="0"/>
          </w:rPr>
          <w:t>2556- دیوان سرور خوانساری‏</w:t>
        </w:r>
        <w:r>
          <w:tab/>
        </w:r>
        <w:r>
          <w:fldChar w:fldCharType="begin"/>
        </w:r>
        <w:r>
          <w:instrText xml:space="preserve">PAGEREF 3295 \h</w:instrText>
        </w:r>
        <w:r>
          <w:fldChar w:fldCharType="end"/>
        </w:r>
      </w:hyperlink>
    </w:p>
    <w:p>
      <w:pPr>
        <w:tabs>
          <w:tab w:val="right" w:leader="dot" w:pos="9062"/>
        </w:tabs>
        <w:ind w:left="440"/>
      </w:pPr>
      <w:hyperlink w:anchor="_Toc3296" w:history="1">
        <w:r>
          <w:rPr>
            <w:rFonts w:ascii="IRNazanin" w:hAnsi="IRNazanin" w:eastAsia="IRNazanin" w:cs="IRNazanin"/>
            <w:color w:val="111111"/>
            <w:sz w:val="22"/>
            <w:szCs w:val="22"/>
            <w:b w:val="0"/>
            <w:bCs w:val="0"/>
            <w:i w:val="0"/>
            <w:iCs w:val="0"/>
          </w:rPr>
          <w:t>2557- دیوان سرور شاه جهان‏پوری‏</w:t>
        </w:r>
        <w:r>
          <w:tab/>
        </w:r>
        <w:r>
          <w:fldChar w:fldCharType="begin"/>
        </w:r>
        <w:r>
          <w:instrText xml:space="preserve">PAGEREF 3296 \h</w:instrText>
        </w:r>
        <w:r>
          <w:fldChar w:fldCharType="end"/>
        </w:r>
      </w:hyperlink>
    </w:p>
    <w:p>
      <w:pPr>
        <w:tabs>
          <w:tab w:val="right" w:leader="dot" w:pos="9062"/>
        </w:tabs>
        <w:ind w:left="440"/>
      </w:pPr>
      <w:hyperlink w:anchor="_Toc3297" w:history="1">
        <w:r>
          <w:rPr>
            <w:rFonts w:ascii="IRNazanin" w:hAnsi="IRNazanin" w:eastAsia="IRNazanin" w:cs="IRNazanin"/>
            <w:color w:val="111111"/>
            <w:sz w:val="22"/>
            <w:szCs w:val="22"/>
            <w:b w:val="0"/>
            <w:bCs w:val="0"/>
            <w:i w:val="0"/>
            <w:iCs w:val="0"/>
          </w:rPr>
          <w:t>2558- دیوان سرور شاه نعمةاللهی أو شعره‏</w:t>
        </w:r>
        <w:r>
          <w:tab/>
        </w:r>
        <w:r>
          <w:fldChar w:fldCharType="begin"/>
        </w:r>
        <w:r>
          <w:instrText xml:space="preserve">PAGEREF 3297 \h</w:instrText>
        </w:r>
        <w:r>
          <w:fldChar w:fldCharType="end"/>
        </w:r>
      </w:hyperlink>
    </w:p>
    <w:p>
      <w:pPr>
        <w:tabs>
          <w:tab w:val="right" w:leader="dot" w:pos="9062"/>
        </w:tabs>
        <w:ind w:left="440"/>
      </w:pPr>
      <w:hyperlink w:anchor="_Toc3298" w:history="1">
        <w:r>
          <w:rPr>
            <w:rFonts w:ascii="IRNazanin" w:hAnsi="IRNazanin" w:eastAsia="IRNazanin" w:cs="IRNazanin"/>
            <w:color w:val="111111"/>
            <w:sz w:val="22"/>
            <w:szCs w:val="22"/>
            <w:b w:val="0"/>
            <w:bCs w:val="0"/>
            <w:i w:val="0"/>
            <w:iCs w:val="0"/>
          </w:rPr>
          <w:t>2559- دیوان سرور شیرازی أو شعره‏</w:t>
        </w:r>
        <w:r>
          <w:tab/>
        </w:r>
        <w:r>
          <w:fldChar w:fldCharType="begin"/>
        </w:r>
        <w:r>
          <w:instrText xml:space="preserve">PAGEREF 3298 \h</w:instrText>
        </w:r>
        <w:r>
          <w:fldChar w:fldCharType="end"/>
        </w:r>
      </w:hyperlink>
    </w:p>
    <w:p>
      <w:pPr>
        <w:tabs>
          <w:tab w:val="right" w:leader="dot" w:pos="9062"/>
        </w:tabs>
        <w:ind w:left="440"/>
      </w:pPr>
      <w:hyperlink w:anchor="_Toc3299" w:history="1">
        <w:r>
          <w:rPr>
            <w:rFonts w:ascii="IRNazanin" w:hAnsi="IRNazanin" w:eastAsia="IRNazanin" w:cs="IRNazanin"/>
            <w:color w:val="111111"/>
            <w:sz w:val="22"/>
            <w:szCs w:val="22"/>
            <w:b w:val="0"/>
            <w:bCs w:val="0"/>
            <w:i w:val="0"/>
            <w:iCs w:val="0"/>
          </w:rPr>
          <w:t>2560- دیوان سروری کابلی أو شعره‏</w:t>
        </w:r>
        <w:r>
          <w:tab/>
        </w:r>
        <w:r>
          <w:fldChar w:fldCharType="begin"/>
        </w:r>
        <w:r>
          <w:instrText xml:space="preserve">PAGEREF 3299 \h</w:instrText>
        </w:r>
        <w:r>
          <w:fldChar w:fldCharType="end"/>
        </w:r>
      </w:hyperlink>
    </w:p>
    <w:p>
      <w:pPr>
        <w:tabs>
          <w:tab w:val="right" w:leader="dot" w:pos="9062"/>
        </w:tabs>
        <w:ind w:left="440"/>
      </w:pPr>
      <w:hyperlink w:anchor="_Toc3300" w:history="1">
        <w:r>
          <w:rPr>
            <w:rFonts w:ascii="IRNazanin" w:hAnsi="IRNazanin" w:eastAsia="IRNazanin" w:cs="IRNazanin"/>
            <w:color w:val="111111"/>
            <w:sz w:val="22"/>
            <w:szCs w:val="22"/>
            <w:b w:val="0"/>
            <w:bCs w:val="0"/>
            <w:i w:val="0"/>
            <w:iCs w:val="0"/>
          </w:rPr>
          <w:t>2561- دیوان سروری کاشانی‏</w:t>
        </w:r>
        <w:r>
          <w:tab/>
        </w:r>
        <w:r>
          <w:fldChar w:fldCharType="begin"/>
        </w:r>
        <w:r>
          <w:instrText xml:space="preserve">PAGEREF 3300 \h</w:instrText>
        </w:r>
        <w:r>
          <w:fldChar w:fldCharType="end"/>
        </w:r>
      </w:hyperlink>
    </w:p>
    <w:p>
      <w:pPr>
        <w:tabs>
          <w:tab w:val="right" w:leader="dot" w:pos="9062"/>
        </w:tabs>
        <w:ind w:left="440"/>
      </w:pPr>
      <w:hyperlink w:anchor="_Toc3301" w:history="1">
        <w:r>
          <w:rPr>
            <w:rFonts w:ascii="IRNazanin" w:hAnsi="IRNazanin" w:eastAsia="IRNazanin" w:cs="IRNazanin"/>
            <w:color w:val="111111"/>
            <w:sz w:val="22"/>
            <w:szCs w:val="22"/>
            <w:b w:val="0"/>
            <w:bCs w:val="0"/>
            <w:i w:val="0"/>
            <w:iCs w:val="0"/>
          </w:rPr>
          <w:t>2562- دیوان سروری لکهنوی‏</w:t>
        </w:r>
        <w:r>
          <w:tab/>
        </w:r>
        <w:r>
          <w:fldChar w:fldCharType="begin"/>
        </w:r>
        <w:r>
          <w:instrText xml:space="preserve">PAGEREF 3301 \h</w:instrText>
        </w:r>
        <w:r>
          <w:fldChar w:fldCharType="end"/>
        </w:r>
      </w:hyperlink>
    </w:p>
    <w:p>
      <w:pPr>
        <w:tabs>
          <w:tab w:val="right" w:leader="dot" w:pos="9062"/>
        </w:tabs>
        <w:ind w:left="440"/>
      </w:pPr>
      <w:hyperlink w:anchor="_Toc3302" w:history="1">
        <w:r>
          <w:rPr>
            <w:rFonts w:ascii="IRNazanin" w:hAnsi="IRNazanin" w:eastAsia="IRNazanin" w:cs="IRNazanin"/>
            <w:color w:val="111111"/>
            <w:sz w:val="22"/>
            <w:szCs w:val="22"/>
            <w:b w:val="0"/>
            <w:bCs w:val="0"/>
            <w:i w:val="0"/>
            <w:iCs w:val="0"/>
          </w:rPr>
          <w:t>2563- دیوان سروری هندی أو شعره‏</w:t>
        </w:r>
        <w:r>
          <w:tab/>
        </w:r>
        <w:r>
          <w:fldChar w:fldCharType="begin"/>
        </w:r>
        <w:r>
          <w:instrText xml:space="preserve">PAGEREF 3302 \h</w:instrText>
        </w:r>
        <w:r>
          <w:fldChar w:fldCharType="end"/>
        </w:r>
      </w:hyperlink>
    </w:p>
    <w:p>
      <w:pPr>
        <w:tabs>
          <w:tab w:val="right" w:leader="dot" w:pos="9062"/>
        </w:tabs>
        <w:ind w:left="440"/>
      </w:pPr>
      <w:hyperlink w:anchor="_Toc3303" w:history="1">
        <w:r>
          <w:rPr>
            <w:rFonts w:ascii="IRNazanin" w:hAnsi="IRNazanin" w:eastAsia="IRNazanin" w:cs="IRNazanin"/>
            <w:color w:val="111111"/>
            <w:sz w:val="22"/>
            <w:szCs w:val="22"/>
            <w:b w:val="0"/>
            <w:bCs w:val="0"/>
            <w:i w:val="0"/>
            <w:iCs w:val="0"/>
          </w:rPr>
          <w:t>2564- دیوان سروری هندی‏</w:t>
        </w:r>
        <w:r>
          <w:tab/>
        </w:r>
        <w:r>
          <w:fldChar w:fldCharType="begin"/>
        </w:r>
        <w:r>
          <w:instrText xml:space="preserve">PAGEREF 3303 \h</w:instrText>
        </w:r>
        <w:r>
          <w:fldChar w:fldCharType="end"/>
        </w:r>
      </w:hyperlink>
    </w:p>
    <w:p>
      <w:pPr>
        <w:tabs>
          <w:tab w:val="right" w:leader="dot" w:pos="9062"/>
        </w:tabs>
        <w:ind w:left="440"/>
      </w:pPr>
      <w:hyperlink w:anchor="_Toc3304" w:history="1">
        <w:r>
          <w:rPr>
            <w:rFonts w:ascii="IRNazanin" w:hAnsi="IRNazanin" w:eastAsia="IRNazanin" w:cs="IRNazanin"/>
            <w:color w:val="111111"/>
            <w:sz w:val="22"/>
            <w:szCs w:val="22"/>
            <w:b w:val="0"/>
            <w:bCs w:val="0"/>
            <w:i w:val="0"/>
            <w:iCs w:val="0"/>
          </w:rPr>
          <w:t>2565- دیوان سروش أصفهانی‏</w:t>
        </w:r>
        <w:r>
          <w:tab/>
        </w:r>
        <w:r>
          <w:fldChar w:fldCharType="begin"/>
        </w:r>
        <w:r>
          <w:instrText xml:space="preserve">PAGEREF 3304 \h</w:instrText>
        </w:r>
        <w:r>
          <w:fldChar w:fldCharType="end"/>
        </w:r>
      </w:hyperlink>
    </w:p>
    <w:p>
      <w:pPr>
        <w:tabs>
          <w:tab w:val="right" w:leader="dot" w:pos="9062"/>
        </w:tabs>
        <w:ind w:left="440"/>
      </w:pPr>
      <w:hyperlink w:anchor="_Toc3305" w:history="1">
        <w:r>
          <w:rPr>
            <w:rFonts w:ascii="IRNazanin" w:hAnsi="IRNazanin" w:eastAsia="IRNazanin" w:cs="IRNazanin"/>
            <w:color w:val="111111"/>
            <w:sz w:val="22"/>
            <w:szCs w:val="22"/>
            <w:b w:val="0"/>
            <w:bCs w:val="0"/>
            <w:i w:val="0"/>
            <w:iCs w:val="0"/>
          </w:rPr>
          <w:t>2566- دیوان سروش تفرشی‏</w:t>
        </w:r>
        <w:r>
          <w:tab/>
        </w:r>
        <w:r>
          <w:fldChar w:fldCharType="begin"/>
        </w:r>
        <w:r>
          <w:instrText xml:space="preserve">PAGEREF 3305 \h</w:instrText>
        </w:r>
        <w:r>
          <w:fldChar w:fldCharType="end"/>
        </w:r>
      </w:hyperlink>
    </w:p>
    <w:p>
      <w:pPr>
        <w:tabs>
          <w:tab w:val="right" w:leader="dot" w:pos="9062"/>
        </w:tabs>
        <w:ind w:left="440"/>
      </w:pPr>
      <w:hyperlink w:anchor="_Toc3306" w:history="1">
        <w:r>
          <w:rPr>
            <w:rFonts w:ascii="IRNazanin" w:hAnsi="IRNazanin" w:eastAsia="IRNazanin" w:cs="IRNazanin"/>
            <w:color w:val="111111"/>
            <w:sz w:val="22"/>
            <w:szCs w:val="22"/>
            <w:b w:val="0"/>
            <w:bCs w:val="0"/>
            <w:i w:val="0"/>
            <w:iCs w:val="0"/>
          </w:rPr>
          <w:t>2567- دیوان سروشی أو شعره‏</w:t>
        </w:r>
        <w:r>
          <w:tab/>
        </w:r>
        <w:r>
          <w:fldChar w:fldCharType="begin"/>
        </w:r>
        <w:r>
          <w:instrText xml:space="preserve">PAGEREF 3306 \h</w:instrText>
        </w:r>
        <w:r>
          <w:fldChar w:fldCharType="end"/>
        </w:r>
      </w:hyperlink>
    </w:p>
    <w:p>
      <w:pPr>
        <w:tabs>
          <w:tab w:val="right" w:leader="dot" w:pos="9062"/>
        </w:tabs>
        <w:ind w:left="440"/>
      </w:pPr>
      <w:hyperlink w:anchor="_Toc3307" w:history="1">
        <w:r>
          <w:rPr>
            <w:rFonts w:ascii="IRNazanin" w:hAnsi="IRNazanin" w:eastAsia="IRNazanin" w:cs="IRNazanin"/>
            <w:color w:val="111111"/>
            <w:sz w:val="22"/>
            <w:szCs w:val="22"/>
            <w:b w:val="0"/>
            <w:bCs w:val="0"/>
            <w:i w:val="0"/>
            <w:iCs w:val="0"/>
          </w:rPr>
          <w:t>2568- دیوان المولی سروی بیرجندی أو شعره‏</w:t>
        </w:r>
        <w:r>
          <w:tab/>
        </w:r>
        <w:r>
          <w:fldChar w:fldCharType="begin"/>
        </w:r>
        <w:r>
          <w:instrText xml:space="preserve">PAGEREF 3307 \h</w:instrText>
        </w:r>
        <w:r>
          <w:fldChar w:fldCharType="end"/>
        </w:r>
      </w:hyperlink>
    </w:p>
    <w:p>
      <w:pPr>
        <w:tabs>
          <w:tab w:val="right" w:leader="dot" w:pos="9062"/>
        </w:tabs>
        <w:ind w:left="440"/>
      </w:pPr>
      <w:hyperlink w:anchor="_Toc3308" w:history="1">
        <w:r>
          <w:rPr>
            <w:rFonts w:ascii="IRNazanin" w:hAnsi="IRNazanin" w:eastAsia="IRNazanin" w:cs="IRNazanin"/>
            <w:color w:val="111111"/>
            <w:sz w:val="22"/>
            <w:szCs w:val="22"/>
            <w:b w:val="0"/>
            <w:bCs w:val="0"/>
            <w:i w:val="0"/>
            <w:iCs w:val="0"/>
          </w:rPr>
          <w:t>دیوان المولی سروی الخراسانی‏</w:t>
        </w:r>
        <w:r>
          <w:tab/>
        </w:r>
        <w:r>
          <w:fldChar w:fldCharType="begin"/>
        </w:r>
        <w:r>
          <w:instrText xml:space="preserve">PAGEREF 3308 \h</w:instrText>
        </w:r>
        <w:r>
          <w:fldChar w:fldCharType="end"/>
        </w:r>
      </w:hyperlink>
    </w:p>
    <w:p>
      <w:pPr>
        <w:tabs>
          <w:tab w:val="right" w:leader="dot" w:pos="9062"/>
        </w:tabs>
        <w:ind w:left="440"/>
      </w:pPr>
      <w:hyperlink w:anchor="_Toc3309" w:history="1">
        <w:r>
          <w:rPr>
            <w:rFonts w:ascii="IRNazanin" w:hAnsi="IRNazanin" w:eastAsia="IRNazanin" w:cs="IRNazanin"/>
            <w:color w:val="111111"/>
            <w:sz w:val="22"/>
            <w:szCs w:val="22"/>
            <w:b w:val="0"/>
            <w:bCs w:val="0"/>
            <w:i w:val="0"/>
            <w:iCs w:val="0"/>
          </w:rPr>
          <w:t>2569- دیوان سرهنگ أو شعره‏</w:t>
        </w:r>
        <w:r>
          <w:tab/>
        </w:r>
        <w:r>
          <w:fldChar w:fldCharType="begin"/>
        </w:r>
        <w:r>
          <w:instrText xml:space="preserve">PAGEREF 3309 \h</w:instrText>
        </w:r>
        <w:r>
          <w:fldChar w:fldCharType="end"/>
        </w:r>
      </w:hyperlink>
    </w:p>
    <w:p>
      <w:pPr>
        <w:tabs>
          <w:tab w:val="right" w:leader="dot" w:pos="9062"/>
        </w:tabs>
        <w:ind w:left="440"/>
      </w:pPr>
      <w:hyperlink w:anchor="_Toc3310" w:history="1">
        <w:r>
          <w:rPr>
            <w:rFonts w:ascii="IRNazanin" w:hAnsi="IRNazanin" w:eastAsia="IRNazanin" w:cs="IRNazanin"/>
            <w:color w:val="111111"/>
            <w:sz w:val="22"/>
            <w:szCs w:val="22"/>
            <w:b w:val="0"/>
            <w:bCs w:val="0"/>
            <w:i w:val="0"/>
            <w:iCs w:val="0"/>
          </w:rPr>
          <w:t>2570- دیوان سرهنگ تبریزی‏</w:t>
        </w:r>
        <w:r>
          <w:tab/>
        </w:r>
        <w:r>
          <w:fldChar w:fldCharType="begin"/>
        </w:r>
        <w:r>
          <w:instrText xml:space="preserve">PAGEREF 3310 \h</w:instrText>
        </w:r>
        <w:r>
          <w:fldChar w:fldCharType="end"/>
        </w:r>
      </w:hyperlink>
    </w:p>
    <w:p>
      <w:pPr>
        <w:tabs>
          <w:tab w:val="right" w:leader="dot" w:pos="9062"/>
        </w:tabs>
        <w:ind w:left="440"/>
      </w:pPr>
      <w:hyperlink w:anchor="_Toc3311" w:history="1">
        <w:r>
          <w:rPr>
            <w:rFonts w:ascii="IRNazanin" w:hAnsi="IRNazanin" w:eastAsia="IRNazanin" w:cs="IRNazanin"/>
            <w:color w:val="111111"/>
            <w:sz w:val="22"/>
            <w:szCs w:val="22"/>
            <w:b w:val="0"/>
            <w:bCs w:val="0"/>
            <w:i w:val="0"/>
            <w:iCs w:val="0"/>
          </w:rPr>
          <w:t>2571- دیوان سری پوده‏ای‏</w:t>
        </w:r>
        <w:r>
          <w:tab/>
        </w:r>
        <w:r>
          <w:fldChar w:fldCharType="begin"/>
        </w:r>
        <w:r>
          <w:instrText xml:space="preserve">PAGEREF 3311 \h</w:instrText>
        </w:r>
        <w:r>
          <w:fldChar w:fldCharType="end"/>
        </w:r>
      </w:hyperlink>
    </w:p>
    <w:p>
      <w:pPr>
        <w:tabs>
          <w:tab w:val="right" w:leader="dot" w:pos="9062"/>
        </w:tabs>
        <w:ind w:left="440"/>
      </w:pPr>
      <w:hyperlink w:anchor="_Toc3312" w:history="1">
        <w:r>
          <w:rPr>
            <w:rFonts w:ascii="IRNazanin" w:hAnsi="IRNazanin" w:eastAsia="IRNazanin" w:cs="IRNazanin"/>
            <w:color w:val="111111"/>
            <w:sz w:val="22"/>
            <w:szCs w:val="22"/>
            <w:b w:val="0"/>
            <w:bCs w:val="0"/>
            <w:i w:val="0"/>
            <w:iCs w:val="0"/>
          </w:rPr>
          <w:t>2572- دیوان مولانا سری ترشیزی أو شعره‏</w:t>
        </w:r>
        <w:r>
          <w:tab/>
        </w:r>
        <w:r>
          <w:fldChar w:fldCharType="begin"/>
        </w:r>
        <w:r>
          <w:instrText xml:space="preserve">PAGEREF 3312 \h</w:instrText>
        </w:r>
        <w:r>
          <w:fldChar w:fldCharType="end"/>
        </w:r>
      </w:hyperlink>
    </w:p>
    <w:p>
      <w:pPr>
        <w:tabs>
          <w:tab w:val="right" w:leader="dot" w:pos="9062"/>
        </w:tabs>
        <w:ind w:left="440"/>
      </w:pPr>
      <w:hyperlink w:anchor="_Toc3313" w:history="1">
        <w:r>
          <w:rPr>
            <w:rFonts w:ascii="IRNazanin" w:hAnsi="IRNazanin" w:eastAsia="IRNazanin" w:cs="IRNazanin"/>
            <w:color w:val="111111"/>
            <w:sz w:val="22"/>
            <w:szCs w:val="22"/>
            <w:b w:val="0"/>
            <w:bCs w:val="0"/>
            <w:i w:val="0"/>
            <w:iCs w:val="0"/>
          </w:rPr>
          <w:t>دیوان سری الرفاء</w:t>
        </w:r>
        <w:r>
          <w:tab/>
        </w:r>
        <w:r>
          <w:fldChar w:fldCharType="begin"/>
        </w:r>
        <w:r>
          <w:instrText xml:space="preserve">PAGEREF 3313 \h</w:instrText>
        </w:r>
        <w:r>
          <w:fldChar w:fldCharType="end"/>
        </w:r>
      </w:hyperlink>
    </w:p>
    <w:p>
      <w:pPr>
        <w:tabs>
          <w:tab w:val="right" w:leader="dot" w:pos="9062"/>
        </w:tabs>
        <w:ind w:left="440"/>
      </w:pPr>
      <w:hyperlink w:anchor="_Toc3314" w:history="1">
        <w:r>
          <w:rPr>
            <w:rFonts w:ascii="IRNazanin" w:hAnsi="IRNazanin" w:eastAsia="IRNazanin" w:cs="IRNazanin"/>
            <w:color w:val="111111"/>
            <w:sz w:val="22"/>
            <w:szCs w:val="22"/>
            <w:b w:val="0"/>
            <w:bCs w:val="0"/>
            <w:i w:val="0"/>
            <w:iCs w:val="0"/>
          </w:rPr>
          <w:t>2573- دیوان سعادت أصفهانی‏</w:t>
        </w:r>
        <w:r>
          <w:tab/>
        </w:r>
        <w:r>
          <w:fldChar w:fldCharType="begin"/>
        </w:r>
        <w:r>
          <w:instrText xml:space="preserve">PAGEREF 3314 \h</w:instrText>
        </w:r>
        <w:r>
          <w:fldChar w:fldCharType="end"/>
        </w:r>
      </w:hyperlink>
    </w:p>
    <w:p>
      <w:pPr>
        <w:tabs>
          <w:tab w:val="right" w:leader="dot" w:pos="9062"/>
        </w:tabs>
        <w:ind w:left="440"/>
      </w:pPr>
      <w:hyperlink w:anchor="_Toc3315" w:history="1">
        <w:r>
          <w:rPr>
            <w:rFonts w:ascii="IRNazanin" w:hAnsi="IRNazanin" w:eastAsia="IRNazanin" w:cs="IRNazanin"/>
            <w:color w:val="111111"/>
            <w:sz w:val="22"/>
            <w:szCs w:val="22"/>
            <w:b w:val="0"/>
            <w:bCs w:val="0"/>
            <w:i w:val="0"/>
            <w:iCs w:val="0"/>
          </w:rPr>
          <w:t>2574- دیوان میر سعادت لاهوری أو شعره‏</w:t>
        </w:r>
        <w:r>
          <w:tab/>
        </w:r>
        <w:r>
          <w:fldChar w:fldCharType="begin"/>
        </w:r>
        <w:r>
          <w:instrText xml:space="preserve">PAGEREF 3315 \h</w:instrText>
        </w:r>
        <w:r>
          <w:fldChar w:fldCharType="end"/>
        </w:r>
      </w:hyperlink>
    </w:p>
    <w:p>
      <w:pPr>
        <w:tabs>
          <w:tab w:val="right" w:leader="dot" w:pos="9062"/>
        </w:tabs>
        <w:ind w:left="440"/>
      </w:pPr>
      <w:hyperlink w:anchor="_Toc3316" w:history="1">
        <w:r>
          <w:rPr>
            <w:rFonts w:ascii="IRNazanin" w:hAnsi="IRNazanin" w:eastAsia="IRNazanin" w:cs="IRNazanin"/>
            <w:color w:val="111111"/>
            <w:sz w:val="22"/>
            <w:szCs w:val="22"/>
            <w:b w:val="0"/>
            <w:bCs w:val="0"/>
            <w:i w:val="0"/>
            <w:iCs w:val="0"/>
          </w:rPr>
          <w:t>2575- دیوان سعدای أردستانی أو شعره‏</w:t>
        </w:r>
        <w:r>
          <w:tab/>
        </w:r>
        <w:r>
          <w:fldChar w:fldCharType="begin"/>
        </w:r>
        <w:r>
          <w:instrText xml:space="preserve">PAGEREF 3316 \h</w:instrText>
        </w:r>
        <w:r>
          <w:fldChar w:fldCharType="end"/>
        </w:r>
      </w:hyperlink>
    </w:p>
    <w:p>
      <w:pPr>
        <w:tabs>
          <w:tab w:val="right" w:leader="dot" w:pos="9062"/>
        </w:tabs>
        <w:ind w:left="440"/>
      </w:pPr>
      <w:hyperlink w:anchor="_Toc3317" w:history="1">
        <w:r>
          <w:rPr>
            <w:rFonts w:ascii="IRNazanin" w:hAnsi="IRNazanin" w:eastAsia="IRNazanin" w:cs="IRNazanin"/>
            <w:color w:val="111111"/>
            <w:sz w:val="22"/>
            <w:szCs w:val="22"/>
            <w:b w:val="0"/>
            <w:bCs w:val="0"/>
            <w:i w:val="0"/>
            <w:iCs w:val="0"/>
          </w:rPr>
          <w:t>2576- دیوان سعد بخاری‏</w:t>
        </w:r>
        <w:r>
          <w:tab/>
        </w:r>
        <w:r>
          <w:fldChar w:fldCharType="begin"/>
        </w:r>
        <w:r>
          <w:instrText xml:space="preserve">PAGEREF 3317 \h</w:instrText>
        </w:r>
        <w:r>
          <w:fldChar w:fldCharType="end"/>
        </w:r>
      </w:hyperlink>
    </w:p>
    <w:p>
      <w:pPr>
        <w:tabs>
          <w:tab w:val="right" w:leader="dot" w:pos="9062"/>
        </w:tabs>
        <w:ind w:left="440"/>
      </w:pPr>
      <w:hyperlink w:anchor="_Toc3318" w:history="1">
        <w:r>
          <w:rPr>
            <w:rFonts w:ascii="IRNazanin" w:hAnsi="IRNazanin" w:eastAsia="IRNazanin" w:cs="IRNazanin"/>
            <w:color w:val="111111"/>
            <w:sz w:val="22"/>
            <w:szCs w:val="22"/>
            <w:b w:val="0"/>
            <w:bCs w:val="0"/>
            <w:i w:val="0"/>
            <w:iCs w:val="0"/>
          </w:rPr>
          <w:t>2577- دیوان سعد بها جامی أو شعره‏</w:t>
        </w:r>
        <w:r>
          <w:tab/>
        </w:r>
        <w:r>
          <w:fldChar w:fldCharType="begin"/>
        </w:r>
        <w:r>
          <w:instrText xml:space="preserve">PAGEREF 3318 \h</w:instrText>
        </w:r>
        <w:r>
          <w:fldChar w:fldCharType="end"/>
        </w:r>
      </w:hyperlink>
    </w:p>
    <w:p>
      <w:pPr>
        <w:tabs>
          <w:tab w:val="right" w:leader="dot" w:pos="9062"/>
        </w:tabs>
        <w:ind w:left="440"/>
      </w:pPr>
      <w:hyperlink w:anchor="_Toc3319" w:history="1">
        <w:r>
          <w:rPr>
            <w:rFonts w:ascii="IRNazanin" w:hAnsi="IRNazanin" w:eastAsia="IRNazanin" w:cs="IRNazanin"/>
            <w:color w:val="111111"/>
            <w:sz w:val="22"/>
            <w:szCs w:val="22"/>
            <w:b w:val="0"/>
            <w:bCs w:val="0"/>
            <w:i w:val="0"/>
            <w:iCs w:val="0"/>
          </w:rPr>
          <w:t>2578- دیوان سعد تبریزی أو شعره‏</w:t>
        </w:r>
        <w:r>
          <w:tab/>
        </w:r>
        <w:r>
          <w:fldChar w:fldCharType="begin"/>
        </w:r>
        <w:r>
          <w:instrText xml:space="preserve">PAGEREF 3319 \h</w:instrText>
        </w:r>
        <w:r>
          <w:fldChar w:fldCharType="end"/>
        </w:r>
      </w:hyperlink>
    </w:p>
    <w:p>
      <w:pPr>
        <w:tabs>
          <w:tab w:val="right" w:leader="dot" w:pos="9062"/>
        </w:tabs>
        <w:ind w:left="440"/>
      </w:pPr>
      <w:hyperlink w:anchor="_Toc3320" w:history="1">
        <w:r>
          <w:rPr>
            <w:rFonts w:ascii="IRNazanin" w:hAnsi="IRNazanin" w:eastAsia="IRNazanin" w:cs="IRNazanin"/>
            <w:color w:val="111111"/>
            <w:sz w:val="22"/>
            <w:szCs w:val="22"/>
            <w:b w:val="0"/>
            <w:bCs w:val="0"/>
            <w:i w:val="0"/>
            <w:iCs w:val="0"/>
          </w:rPr>
          <w:t>دیوان سعد تهرانی‏</w:t>
        </w:r>
        <w:r>
          <w:tab/>
        </w:r>
        <w:r>
          <w:fldChar w:fldCharType="begin"/>
        </w:r>
        <w:r>
          <w:instrText xml:space="preserve">PAGEREF 3320 \h</w:instrText>
        </w:r>
        <w:r>
          <w:fldChar w:fldCharType="end"/>
        </w:r>
      </w:hyperlink>
    </w:p>
    <w:p>
      <w:pPr>
        <w:tabs>
          <w:tab w:val="right" w:leader="dot" w:pos="9062"/>
        </w:tabs>
        <w:ind w:left="440"/>
      </w:pPr>
      <w:hyperlink w:anchor="_Toc3321" w:history="1">
        <w:r>
          <w:rPr>
            <w:rFonts w:ascii="IRNazanin" w:hAnsi="IRNazanin" w:eastAsia="IRNazanin" w:cs="IRNazanin"/>
            <w:color w:val="111111"/>
            <w:sz w:val="22"/>
            <w:szCs w:val="22"/>
            <w:b w:val="0"/>
            <w:bCs w:val="0"/>
            <w:i w:val="0"/>
            <w:iCs w:val="0"/>
          </w:rPr>
          <w:t>2579- دیوان سعد تونی أو شعره‏</w:t>
        </w:r>
        <w:r>
          <w:tab/>
        </w:r>
        <w:r>
          <w:fldChar w:fldCharType="begin"/>
        </w:r>
        <w:r>
          <w:instrText xml:space="preserve">PAGEREF 3321 \h</w:instrText>
        </w:r>
        <w:r>
          <w:fldChar w:fldCharType="end"/>
        </w:r>
      </w:hyperlink>
    </w:p>
    <w:p>
      <w:pPr>
        <w:tabs>
          <w:tab w:val="right" w:leader="dot" w:pos="9062"/>
        </w:tabs>
        <w:ind w:left="440"/>
      </w:pPr>
      <w:hyperlink w:anchor="_Toc3322" w:history="1">
        <w:r>
          <w:rPr>
            <w:rFonts w:ascii="IRNazanin" w:hAnsi="IRNazanin" w:eastAsia="IRNazanin" w:cs="IRNazanin"/>
            <w:color w:val="111111"/>
            <w:sz w:val="22"/>
            <w:szCs w:val="22"/>
            <w:b w:val="0"/>
            <w:bCs w:val="0"/>
            <w:i w:val="0"/>
            <w:iCs w:val="0"/>
          </w:rPr>
          <w:t>دیوان سعد جامی‏</w:t>
        </w:r>
        <w:r>
          <w:tab/>
        </w:r>
        <w:r>
          <w:fldChar w:fldCharType="begin"/>
        </w:r>
        <w:r>
          <w:instrText xml:space="preserve">PAGEREF 3322 \h</w:instrText>
        </w:r>
        <w:r>
          <w:fldChar w:fldCharType="end"/>
        </w:r>
      </w:hyperlink>
    </w:p>
    <w:p>
      <w:pPr>
        <w:tabs>
          <w:tab w:val="right" w:leader="dot" w:pos="9062"/>
        </w:tabs>
        <w:ind w:left="440"/>
      </w:pPr>
      <w:hyperlink w:anchor="_Toc3323" w:history="1">
        <w:r>
          <w:rPr>
            <w:rFonts w:ascii="IRNazanin" w:hAnsi="IRNazanin" w:eastAsia="IRNazanin" w:cs="IRNazanin"/>
            <w:color w:val="111111"/>
            <w:sz w:val="22"/>
            <w:szCs w:val="22"/>
            <w:b w:val="0"/>
            <w:bCs w:val="0"/>
            <w:i w:val="0"/>
            <w:iCs w:val="0"/>
          </w:rPr>
          <w:t>دیوان سعد حموی‏</w:t>
        </w:r>
        <w:r>
          <w:tab/>
        </w:r>
        <w:r>
          <w:fldChar w:fldCharType="begin"/>
        </w:r>
        <w:r>
          <w:instrText xml:space="preserve">PAGEREF 3323 \h</w:instrText>
        </w:r>
        <w:r>
          <w:fldChar w:fldCharType="end"/>
        </w:r>
      </w:hyperlink>
    </w:p>
    <w:p>
      <w:pPr>
        <w:tabs>
          <w:tab w:val="right" w:leader="dot" w:pos="9062"/>
        </w:tabs>
        <w:ind w:left="440"/>
      </w:pPr>
      <w:hyperlink w:anchor="_Toc3324" w:history="1">
        <w:r>
          <w:rPr>
            <w:rFonts w:ascii="IRNazanin" w:hAnsi="IRNazanin" w:eastAsia="IRNazanin" w:cs="IRNazanin"/>
            <w:color w:val="111111"/>
            <w:sz w:val="22"/>
            <w:szCs w:val="22"/>
            <w:b w:val="0"/>
            <w:bCs w:val="0"/>
            <w:i w:val="0"/>
            <w:iCs w:val="0"/>
          </w:rPr>
          <w:t>دیوان سعد دهلوی‏</w:t>
        </w:r>
        <w:r>
          <w:tab/>
        </w:r>
        <w:r>
          <w:fldChar w:fldCharType="begin"/>
        </w:r>
        <w:r>
          <w:instrText xml:space="preserve">PAGEREF 3324 \h</w:instrText>
        </w:r>
        <w:r>
          <w:fldChar w:fldCharType="end"/>
        </w:r>
      </w:hyperlink>
    </w:p>
    <w:p>
      <w:pPr>
        <w:tabs>
          <w:tab w:val="right" w:leader="dot" w:pos="9062"/>
        </w:tabs>
        <w:ind w:left="440"/>
      </w:pPr>
      <w:hyperlink w:anchor="_Toc3325" w:history="1">
        <w:r>
          <w:rPr>
            <w:rFonts w:ascii="IRNazanin" w:hAnsi="IRNazanin" w:eastAsia="IRNazanin" w:cs="IRNazanin"/>
            <w:color w:val="111111"/>
            <w:sz w:val="22"/>
            <w:szCs w:val="22"/>
            <w:b w:val="0"/>
            <w:bCs w:val="0"/>
            <w:i w:val="0"/>
            <w:iCs w:val="0"/>
          </w:rPr>
          <w:t>2580- دیوان سعد الدین الحموی أو شعره‏</w:t>
        </w:r>
        <w:r>
          <w:tab/>
        </w:r>
        <w:r>
          <w:fldChar w:fldCharType="begin"/>
        </w:r>
        <w:r>
          <w:instrText xml:space="preserve">PAGEREF 3325 \h</w:instrText>
        </w:r>
        <w:r>
          <w:fldChar w:fldCharType="end"/>
        </w:r>
      </w:hyperlink>
    </w:p>
    <w:p>
      <w:pPr>
        <w:tabs>
          <w:tab w:val="right" w:leader="dot" w:pos="9062"/>
        </w:tabs>
        <w:ind w:left="440"/>
      </w:pPr>
      <w:hyperlink w:anchor="_Toc3326" w:history="1">
        <w:r>
          <w:rPr>
            <w:rFonts w:ascii="IRNazanin" w:hAnsi="IRNazanin" w:eastAsia="IRNazanin" w:cs="IRNazanin"/>
            <w:color w:val="111111"/>
            <w:sz w:val="22"/>
            <w:szCs w:val="22"/>
            <w:b w:val="0"/>
            <w:bCs w:val="0"/>
            <w:i w:val="0"/>
            <w:iCs w:val="0"/>
          </w:rPr>
          <w:t>2581- دیوان سعد الدین خلیفة دهلوی أو شعره‏</w:t>
        </w:r>
        <w:r>
          <w:tab/>
        </w:r>
        <w:r>
          <w:fldChar w:fldCharType="begin"/>
        </w:r>
        <w:r>
          <w:instrText xml:space="preserve">PAGEREF 3326 \h</w:instrText>
        </w:r>
        <w:r>
          <w:fldChar w:fldCharType="end"/>
        </w:r>
      </w:hyperlink>
    </w:p>
    <w:p>
      <w:pPr>
        <w:tabs>
          <w:tab w:val="right" w:leader="dot" w:pos="9062"/>
        </w:tabs>
        <w:ind w:left="440"/>
      </w:pPr>
      <w:hyperlink w:anchor="_Toc3327" w:history="1">
        <w:r>
          <w:rPr>
            <w:rFonts w:ascii="IRNazanin" w:hAnsi="IRNazanin" w:eastAsia="IRNazanin" w:cs="IRNazanin"/>
            <w:color w:val="111111"/>
            <w:sz w:val="22"/>
            <w:szCs w:val="22"/>
            <w:b w:val="0"/>
            <w:bCs w:val="0"/>
            <w:i w:val="0"/>
            <w:iCs w:val="0"/>
          </w:rPr>
          <w:t>دیوان سعد شیرازی‏</w:t>
        </w:r>
        <w:r>
          <w:tab/>
        </w:r>
        <w:r>
          <w:fldChar w:fldCharType="begin"/>
        </w:r>
        <w:r>
          <w:instrText xml:space="preserve">PAGEREF 3327 \h</w:instrText>
        </w:r>
        <w:r>
          <w:fldChar w:fldCharType="end"/>
        </w:r>
      </w:hyperlink>
    </w:p>
    <w:p>
      <w:pPr>
        <w:tabs>
          <w:tab w:val="right" w:leader="dot" w:pos="9062"/>
        </w:tabs>
        <w:ind w:left="440"/>
      </w:pPr>
      <w:hyperlink w:anchor="_Toc3328" w:history="1">
        <w:r>
          <w:rPr>
            <w:rFonts w:ascii="IRNazanin" w:hAnsi="IRNazanin" w:eastAsia="IRNazanin" w:cs="IRNazanin"/>
            <w:color w:val="111111"/>
            <w:sz w:val="22"/>
            <w:szCs w:val="22"/>
            <w:b w:val="0"/>
            <w:bCs w:val="0"/>
            <w:i w:val="0"/>
            <w:iCs w:val="0"/>
          </w:rPr>
          <w:t>2582- دیوان سعد گل أو شعره‏</w:t>
        </w:r>
        <w:r>
          <w:tab/>
        </w:r>
        <w:r>
          <w:fldChar w:fldCharType="begin"/>
        </w:r>
        <w:r>
          <w:instrText xml:space="preserve">PAGEREF 3328 \h</w:instrText>
        </w:r>
        <w:r>
          <w:fldChar w:fldCharType="end"/>
        </w:r>
      </w:hyperlink>
    </w:p>
    <w:p>
      <w:pPr>
        <w:tabs>
          <w:tab w:val="right" w:leader="dot" w:pos="9062"/>
        </w:tabs>
        <w:ind w:left="440"/>
      </w:pPr>
      <w:hyperlink w:anchor="_Toc3329" w:history="1">
        <w:r>
          <w:rPr>
            <w:rFonts w:ascii="IRNazanin" w:hAnsi="IRNazanin" w:eastAsia="IRNazanin" w:cs="IRNazanin"/>
            <w:color w:val="111111"/>
            <w:sz w:val="22"/>
            <w:szCs w:val="22"/>
            <w:b w:val="0"/>
            <w:bCs w:val="0"/>
            <w:i w:val="0"/>
            <w:iCs w:val="0"/>
          </w:rPr>
          <w:t>2583- دیوان سعد هروی أو شعره‏</w:t>
        </w:r>
        <w:r>
          <w:tab/>
        </w:r>
        <w:r>
          <w:fldChar w:fldCharType="begin"/>
        </w:r>
        <w:r>
          <w:instrText xml:space="preserve">PAGEREF 3329 \h</w:instrText>
        </w:r>
        <w:r>
          <w:fldChar w:fldCharType="end"/>
        </w:r>
      </w:hyperlink>
    </w:p>
    <w:p>
      <w:pPr>
        <w:tabs>
          <w:tab w:val="right" w:leader="dot" w:pos="9062"/>
        </w:tabs>
        <w:ind w:left="440"/>
      </w:pPr>
      <w:hyperlink w:anchor="_Toc3330" w:history="1">
        <w:r>
          <w:rPr>
            <w:rFonts w:ascii="IRNazanin" w:hAnsi="IRNazanin" w:eastAsia="IRNazanin" w:cs="IRNazanin"/>
            <w:color w:val="111111"/>
            <w:sz w:val="22"/>
            <w:szCs w:val="22"/>
            <w:b w:val="0"/>
            <w:bCs w:val="0"/>
            <w:i w:val="0"/>
            <w:iCs w:val="0"/>
          </w:rPr>
          <w:t>دیوان سعدی أردستانی‏</w:t>
        </w:r>
        <w:r>
          <w:tab/>
        </w:r>
        <w:r>
          <w:fldChar w:fldCharType="begin"/>
        </w:r>
        <w:r>
          <w:instrText xml:space="preserve">PAGEREF 3330 \h</w:instrText>
        </w:r>
        <w:r>
          <w:fldChar w:fldCharType="end"/>
        </w:r>
      </w:hyperlink>
    </w:p>
    <w:p>
      <w:pPr>
        <w:tabs>
          <w:tab w:val="right" w:leader="dot" w:pos="9062"/>
        </w:tabs>
        <w:ind w:left="440"/>
      </w:pPr>
      <w:hyperlink w:anchor="_Toc3331" w:history="1">
        <w:r>
          <w:rPr>
            <w:rFonts w:ascii="IRNazanin" w:hAnsi="IRNazanin" w:eastAsia="IRNazanin" w:cs="IRNazanin"/>
            <w:color w:val="111111"/>
            <w:sz w:val="22"/>
            <w:szCs w:val="22"/>
            <w:b w:val="0"/>
            <w:bCs w:val="0"/>
            <w:i w:val="0"/>
            <w:iCs w:val="0"/>
          </w:rPr>
          <w:t>2584- دیوان سعدی شیرازی‏</w:t>
        </w:r>
        <w:r>
          <w:tab/>
        </w:r>
        <w:r>
          <w:fldChar w:fldCharType="begin"/>
        </w:r>
        <w:r>
          <w:instrText xml:space="preserve">PAGEREF 3331 \h</w:instrText>
        </w:r>
        <w:r>
          <w:fldChar w:fldCharType="end"/>
        </w:r>
      </w:hyperlink>
    </w:p>
    <w:p>
      <w:pPr>
        <w:tabs>
          <w:tab w:val="right" w:leader="dot" w:pos="9062"/>
        </w:tabs>
        <w:ind w:left="440"/>
      </w:pPr>
      <w:hyperlink w:anchor="_Toc3332" w:history="1">
        <w:r>
          <w:rPr>
            <w:rFonts w:ascii="IRNazanin" w:hAnsi="IRNazanin" w:eastAsia="IRNazanin" w:cs="IRNazanin"/>
            <w:color w:val="111111"/>
            <w:sz w:val="22"/>
            <w:szCs w:val="22"/>
            <w:b w:val="0"/>
            <w:bCs w:val="0"/>
            <w:i w:val="0"/>
            <w:iCs w:val="0"/>
          </w:rPr>
          <w:t>2585- دیوان سعدی مشهدی أو شعره‏</w:t>
        </w:r>
        <w:r>
          <w:tab/>
        </w:r>
        <w:r>
          <w:fldChar w:fldCharType="begin"/>
        </w:r>
        <w:r>
          <w:instrText xml:space="preserve">PAGEREF 3332 \h</w:instrText>
        </w:r>
        <w:r>
          <w:fldChar w:fldCharType="end"/>
        </w:r>
      </w:hyperlink>
    </w:p>
    <w:p>
      <w:pPr>
        <w:tabs>
          <w:tab w:val="right" w:leader="dot" w:pos="9062"/>
        </w:tabs>
        <w:ind w:left="440"/>
      </w:pPr>
      <w:hyperlink w:anchor="_Toc3333" w:history="1">
        <w:r>
          <w:rPr>
            <w:rFonts w:ascii="IRNazanin" w:hAnsi="IRNazanin" w:eastAsia="IRNazanin" w:cs="IRNazanin"/>
            <w:color w:val="111111"/>
            <w:sz w:val="22"/>
            <w:szCs w:val="22"/>
            <w:b w:val="0"/>
            <w:bCs w:val="0"/>
            <w:i w:val="0"/>
            <w:iCs w:val="0"/>
          </w:rPr>
          <w:t>دیوان سعید أردستانی‏</w:t>
        </w:r>
        <w:r>
          <w:tab/>
        </w:r>
        <w:r>
          <w:fldChar w:fldCharType="begin"/>
        </w:r>
        <w:r>
          <w:instrText xml:space="preserve">PAGEREF 3333 \h</w:instrText>
        </w:r>
        <w:r>
          <w:fldChar w:fldCharType="end"/>
        </w:r>
      </w:hyperlink>
    </w:p>
    <w:p>
      <w:pPr>
        <w:tabs>
          <w:tab w:val="right" w:leader="dot" w:pos="9062"/>
        </w:tabs>
        <w:ind w:left="440"/>
      </w:pPr>
      <w:hyperlink w:anchor="_Toc3334" w:history="1">
        <w:r>
          <w:rPr>
            <w:rFonts w:ascii="IRNazanin" w:hAnsi="IRNazanin" w:eastAsia="IRNazanin" w:cs="IRNazanin"/>
            <w:color w:val="111111"/>
            <w:sz w:val="22"/>
            <w:szCs w:val="22"/>
            <w:b w:val="0"/>
            <w:bCs w:val="0"/>
            <w:i w:val="0"/>
            <w:iCs w:val="0"/>
          </w:rPr>
          <w:t>دیوان سعید أشرف‏</w:t>
        </w:r>
        <w:r>
          <w:tab/>
        </w:r>
        <w:r>
          <w:fldChar w:fldCharType="begin"/>
        </w:r>
        <w:r>
          <w:instrText xml:space="preserve">PAGEREF 3334 \h</w:instrText>
        </w:r>
        <w:r>
          <w:fldChar w:fldCharType="end"/>
        </w:r>
      </w:hyperlink>
    </w:p>
    <w:p>
      <w:pPr>
        <w:tabs>
          <w:tab w:val="right" w:leader="dot" w:pos="9062"/>
        </w:tabs>
        <w:ind w:left="440"/>
      </w:pPr>
      <w:hyperlink w:anchor="_Toc3335" w:history="1">
        <w:r>
          <w:rPr>
            <w:rFonts w:ascii="IRNazanin" w:hAnsi="IRNazanin" w:eastAsia="IRNazanin" w:cs="IRNazanin"/>
            <w:color w:val="111111"/>
            <w:sz w:val="22"/>
            <w:szCs w:val="22"/>
            <w:b w:val="0"/>
            <w:bCs w:val="0"/>
            <w:i w:val="0"/>
            <w:iCs w:val="0"/>
          </w:rPr>
          <w:t>2586- دیوان سعید تبریزی أو شعره‏</w:t>
        </w:r>
        <w:r>
          <w:tab/>
        </w:r>
        <w:r>
          <w:fldChar w:fldCharType="begin"/>
        </w:r>
        <w:r>
          <w:instrText xml:space="preserve">PAGEREF 3335 \h</w:instrText>
        </w:r>
        <w:r>
          <w:fldChar w:fldCharType="end"/>
        </w:r>
      </w:hyperlink>
    </w:p>
    <w:p>
      <w:pPr>
        <w:tabs>
          <w:tab w:val="right" w:leader="dot" w:pos="9062"/>
        </w:tabs>
        <w:ind w:left="440"/>
      </w:pPr>
      <w:hyperlink w:anchor="_Toc3336" w:history="1">
        <w:r>
          <w:rPr>
            <w:rFonts w:ascii="IRNazanin" w:hAnsi="IRNazanin" w:eastAsia="IRNazanin" w:cs="IRNazanin"/>
            <w:color w:val="111111"/>
            <w:sz w:val="22"/>
            <w:szCs w:val="22"/>
            <w:b w:val="0"/>
            <w:bCs w:val="0"/>
            <w:i w:val="0"/>
            <w:iCs w:val="0"/>
          </w:rPr>
          <w:t>دیوان السید سعید الحبوبی‏</w:t>
        </w:r>
        <w:r>
          <w:tab/>
        </w:r>
        <w:r>
          <w:fldChar w:fldCharType="begin"/>
        </w:r>
        <w:r>
          <w:instrText xml:space="preserve">PAGEREF 3336 \h</w:instrText>
        </w:r>
        <w:r>
          <w:fldChar w:fldCharType="end"/>
        </w:r>
      </w:hyperlink>
    </w:p>
    <w:p>
      <w:pPr>
        <w:tabs>
          <w:tab w:val="right" w:leader="dot" w:pos="9062"/>
        </w:tabs>
        <w:ind w:left="440"/>
      </w:pPr>
      <w:hyperlink w:anchor="_Toc3337" w:history="1">
        <w:r>
          <w:rPr>
            <w:rFonts w:ascii="IRNazanin" w:hAnsi="IRNazanin" w:eastAsia="IRNazanin" w:cs="IRNazanin"/>
            <w:color w:val="111111"/>
            <w:sz w:val="22"/>
            <w:szCs w:val="22"/>
            <w:b w:val="0"/>
            <w:bCs w:val="0"/>
            <w:i w:val="0"/>
            <w:iCs w:val="0"/>
          </w:rPr>
          <w:t>2587- دیوان سعید خوارزمی أو شعره‏</w:t>
        </w:r>
        <w:r>
          <w:tab/>
        </w:r>
        <w:r>
          <w:fldChar w:fldCharType="begin"/>
        </w:r>
        <w:r>
          <w:instrText xml:space="preserve">PAGEREF 3337 \h</w:instrText>
        </w:r>
        <w:r>
          <w:fldChar w:fldCharType="end"/>
        </w:r>
      </w:hyperlink>
    </w:p>
    <w:p>
      <w:pPr>
        <w:tabs>
          <w:tab w:val="right" w:leader="dot" w:pos="9062"/>
        </w:tabs>
        <w:ind w:left="440"/>
      </w:pPr>
      <w:hyperlink w:anchor="_Toc3338" w:history="1">
        <w:r>
          <w:rPr>
            <w:rFonts w:ascii="IRNazanin" w:hAnsi="IRNazanin" w:eastAsia="IRNazanin" w:cs="IRNazanin"/>
            <w:color w:val="111111"/>
            <w:sz w:val="22"/>
            <w:szCs w:val="22"/>
            <w:b w:val="0"/>
            <w:bCs w:val="0"/>
            <w:i w:val="0"/>
            <w:iCs w:val="0"/>
          </w:rPr>
          <w:t>2588- دیوان سعید الدین لاری‏</w:t>
        </w:r>
        <w:r>
          <w:tab/>
        </w:r>
        <w:r>
          <w:fldChar w:fldCharType="begin"/>
        </w:r>
        <w:r>
          <w:instrText xml:space="preserve">PAGEREF 3338 \h</w:instrText>
        </w:r>
        <w:r>
          <w:fldChar w:fldCharType="end"/>
        </w:r>
      </w:hyperlink>
    </w:p>
    <w:p>
      <w:pPr>
        <w:tabs>
          <w:tab w:val="right" w:leader="dot" w:pos="9062"/>
        </w:tabs>
        <w:ind w:left="440"/>
      </w:pPr>
      <w:hyperlink w:anchor="_Toc3339" w:history="1">
        <w:r>
          <w:rPr>
            <w:rFonts w:ascii="IRNazanin" w:hAnsi="IRNazanin" w:eastAsia="IRNazanin" w:cs="IRNazanin"/>
            <w:color w:val="111111"/>
            <w:sz w:val="22"/>
            <w:szCs w:val="22"/>
            <w:b w:val="0"/>
            <w:bCs w:val="0"/>
            <w:i w:val="0"/>
            <w:iCs w:val="0"/>
          </w:rPr>
          <w:t>2589- دیوان سعید سبزواری أو شعره‏</w:t>
        </w:r>
        <w:r>
          <w:tab/>
        </w:r>
        <w:r>
          <w:fldChar w:fldCharType="begin"/>
        </w:r>
        <w:r>
          <w:instrText xml:space="preserve">PAGEREF 3339 \h</w:instrText>
        </w:r>
        <w:r>
          <w:fldChar w:fldCharType="end"/>
        </w:r>
      </w:hyperlink>
    </w:p>
    <w:p>
      <w:pPr>
        <w:tabs>
          <w:tab w:val="right" w:leader="dot" w:pos="9062"/>
        </w:tabs>
        <w:ind w:left="440"/>
      </w:pPr>
      <w:hyperlink w:anchor="_Toc3340" w:history="1">
        <w:r>
          <w:rPr>
            <w:rFonts w:ascii="IRNazanin" w:hAnsi="IRNazanin" w:eastAsia="IRNazanin" w:cs="IRNazanin"/>
            <w:color w:val="111111"/>
            <w:sz w:val="22"/>
            <w:szCs w:val="22"/>
            <w:b w:val="0"/>
            <w:bCs w:val="0"/>
            <w:i w:val="0"/>
            <w:iCs w:val="0"/>
          </w:rPr>
          <w:t>2590- دیوان سعید سیاه أو شعره‏</w:t>
        </w:r>
        <w:r>
          <w:tab/>
        </w:r>
        <w:r>
          <w:fldChar w:fldCharType="begin"/>
        </w:r>
        <w:r>
          <w:instrText xml:space="preserve">PAGEREF 3340 \h</w:instrText>
        </w:r>
        <w:r>
          <w:fldChar w:fldCharType="end"/>
        </w:r>
      </w:hyperlink>
    </w:p>
    <w:p>
      <w:pPr>
        <w:tabs>
          <w:tab w:val="right" w:leader="dot" w:pos="9062"/>
        </w:tabs>
        <w:ind w:left="440"/>
      </w:pPr>
      <w:hyperlink w:anchor="_Toc3341" w:history="1">
        <w:r>
          <w:rPr>
            <w:rFonts w:ascii="IRNazanin" w:hAnsi="IRNazanin" w:eastAsia="IRNazanin" w:cs="IRNazanin"/>
            <w:color w:val="111111"/>
            <w:sz w:val="22"/>
            <w:szCs w:val="22"/>
            <w:b w:val="0"/>
            <w:bCs w:val="0"/>
            <w:i w:val="0"/>
            <w:iCs w:val="0"/>
          </w:rPr>
          <w:t>دیوان سعید شیرازی‏</w:t>
        </w:r>
        <w:r>
          <w:tab/>
        </w:r>
        <w:r>
          <w:fldChar w:fldCharType="begin"/>
        </w:r>
        <w:r>
          <w:instrText xml:space="preserve">PAGEREF 3341 \h</w:instrText>
        </w:r>
        <w:r>
          <w:fldChar w:fldCharType="end"/>
        </w:r>
      </w:hyperlink>
    </w:p>
    <w:p>
      <w:pPr>
        <w:tabs>
          <w:tab w:val="right" w:leader="dot" w:pos="9062"/>
        </w:tabs>
        <w:ind w:left="440"/>
      </w:pPr>
      <w:hyperlink w:anchor="_Toc3342" w:history="1">
        <w:r>
          <w:rPr>
            <w:rFonts w:ascii="IRNazanin" w:hAnsi="IRNazanin" w:eastAsia="IRNazanin" w:cs="IRNazanin"/>
            <w:color w:val="111111"/>
            <w:sz w:val="22"/>
            <w:szCs w:val="22"/>
            <w:b w:val="0"/>
            <w:bCs w:val="0"/>
            <w:i w:val="0"/>
            <w:iCs w:val="0"/>
          </w:rPr>
          <w:t>2591- دیوان سعید الطائی‏</w:t>
        </w:r>
        <w:r>
          <w:tab/>
        </w:r>
        <w:r>
          <w:fldChar w:fldCharType="begin"/>
        </w:r>
        <w:r>
          <w:instrText xml:space="preserve">PAGEREF 3342 \h</w:instrText>
        </w:r>
        <w:r>
          <w:fldChar w:fldCharType="end"/>
        </w:r>
      </w:hyperlink>
    </w:p>
    <w:p>
      <w:pPr>
        <w:tabs>
          <w:tab w:val="right" w:leader="dot" w:pos="9062"/>
        </w:tabs>
        <w:ind w:left="440"/>
      </w:pPr>
      <w:hyperlink w:anchor="_Toc3343" w:history="1">
        <w:r>
          <w:rPr>
            <w:rFonts w:ascii="IRNazanin" w:hAnsi="IRNazanin" w:eastAsia="IRNazanin" w:cs="IRNazanin"/>
            <w:color w:val="111111"/>
            <w:sz w:val="22"/>
            <w:szCs w:val="22"/>
            <w:b w:val="0"/>
            <w:bCs w:val="0"/>
            <w:i w:val="0"/>
            <w:iCs w:val="0"/>
          </w:rPr>
          <w:t>2592- دیوان سعید عظیم‏آبادی‏</w:t>
        </w:r>
        <w:r>
          <w:tab/>
        </w:r>
        <w:r>
          <w:fldChar w:fldCharType="begin"/>
        </w:r>
        <w:r>
          <w:instrText xml:space="preserve">PAGEREF 3343 \h</w:instrText>
        </w:r>
        <w:r>
          <w:fldChar w:fldCharType="end"/>
        </w:r>
      </w:hyperlink>
    </w:p>
    <w:p>
      <w:pPr>
        <w:tabs>
          <w:tab w:val="right" w:leader="dot" w:pos="9062"/>
        </w:tabs>
        <w:ind w:left="440"/>
      </w:pPr>
      <w:hyperlink w:anchor="_Toc3344" w:history="1">
        <w:r>
          <w:rPr>
            <w:rFonts w:ascii="IRNazanin" w:hAnsi="IRNazanin" w:eastAsia="IRNazanin" w:cs="IRNazanin"/>
            <w:color w:val="111111"/>
            <w:sz w:val="22"/>
            <w:szCs w:val="22"/>
            <w:b w:val="0"/>
            <w:bCs w:val="0"/>
            <w:i w:val="0"/>
            <w:iCs w:val="0"/>
          </w:rPr>
          <w:t>2593- دیوان سعید قرشی‏</w:t>
        </w:r>
        <w:r>
          <w:tab/>
        </w:r>
        <w:r>
          <w:fldChar w:fldCharType="begin"/>
        </w:r>
        <w:r>
          <w:instrText xml:space="preserve">PAGEREF 3344 \h</w:instrText>
        </w:r>
        <w:r>
          <w:fldChar w:fldCharType="end"/>
        </w:r>
      </w:hyperlink>
    </w:p>
    <w:p>
      <w:pPr>
        <w:tabs>
          <w:tab w:val="right" w:leader="dot" w:pos="9062"/>
        </w:tabs>
        <w:ind w:left="440"/>
      </w:pPr>
      <w:hyperlink w:anchor="_Toc3345" w:history="1">
        <w:r>
          <w:rPr>
            <w:rFonts w:ascii="IRNazanin" w:hAnsi="IRNazanin" w:eastAsia="IRNazanin" w:cs="IRNazanin"/>
            <w:color w:val="111111"/>
            <w:sz w:val="22"/>
            <w:szCs w:val="22"/>
            <w:b w:val="0"/>
            <w:bCs w:val="0"/>
            <w:i w:val="0"/>
            <w:iCs w:val="0"/>
          </w:rPr>
          <w:t>2594- دیوان سعید قصاب‏</w:t>
        </w:r>
        <w:r>
          <w:tab/>
        </w:r>
        <w:r>
          <w:fldChar w:fldCharType="begin"/>
        </w:r>
        <w:r>
          <w:instrText xml:space="preserve">PAGEREF 3345 \h</w:instrText>
        </w:r>
        <w:r>
          <w:fldChar w:fldCharType="end"/>
        </w:r>
      </w:hyperlink>
    </w:p>
    <w:p>
      <w:pPr>
        <w:tabs>
          <w:tab w:val="right" w:leader="dot" w:pos="9062"/>
        </w:tabs>
        <w:ind w:left="440"/>
      </w:pPr>
      <w:hyperlink w:anchor="_Toc3346" w:history="1">
        <w:r>
          <w:rPr>
            <w:rFonts w:ascii="IRNazanin" w:hAnsi="IRNazanin" w:eastAsia="IRNazanin" w:cs="IRNazanin"/>
            <w:color w:val="111111"/>
            <w:sz w:val="22"/>
            <w:szCs w:val="22"/>
            <w:b w:val="0"/>
            <w:bCs w:val="0"/>
            <w:i w:val="0"/>
            <w:iCs w:val="0"/>
          </w:rPr>
          <w:t>2595- دیوان سعید قمی أو شعره‏</w:t>
        </w:r>
        <w:r>
          <w:tab/>
        </w:r>
        <w:r>
          <w:fldChar w:fldCharType="begin"/>
        </w:r>
        <w:r>
          <w:instrText xml:space="preserve">PAGEREF 3346 \h</w:instrText>
        </w:r>
        <w:r>
          <w:fldChar w:fldCharType="end"/>
        </w:r>
      </w:hyperlink>
    </w:p>
    <w:p>
      <w:pPr>
        <w:tabs>
          <w:tab w:val="right" w:leader="dot" w:pos="9062"/>
        </w:tabs>
        <w:ind w:left="440"/>
      </w:pPr>
      <w:hyperlink w:anchor="_Toc3347" w:history="1">
        <w:r>
          <w:rPr>
            <w:rFonts w:ascii="IRNazanin" w:hAnsi="IRNazanin" w:eastAsia="IRNazanin" w:cs="IRNazanin"/>
            <w:color w:val="111111"/>
            <w:sz w:val="22"/>
            <w:szCs w:val="22"/>
            <w:b w:val="0"/>
            <w:bCs w:val="0"/>
            <w:i w:val="0"/>
            <w:iCs w:val="0"/>
          </w:rPr>
          <w:t>2596- دیوان سعید قمی‏</w:t>
        </w:r>
        <w:r>
          <w:tab/>
        </w:r>
        <w:r>
          <w:fldChar w:fldCharType="begin"/>
        </w:r>
        <w:r>
          <w:instrText xml:space="preserve">PAGEREF 3347 \h</w:instrText>
        </w:r>
        <w:r>
          <w:fldChar w:fldCharType="end"/>
        </w:r>
      </w:hyperlink>
    </w:p>
    <w:p>
      <w:pPr>
        <w:tabs>
          <w:tab w:val="right" w:leader="dot" w:pos="9062"/>
        </w:tabs>
        <w:ind w:left="440"/>
      </w:pPr>
      <w:hyperlink w:anchor="_Toc3348" w:history="1">
        <w:r>
          <w:rPr>
            <w:rFonts w:ascii="IRNazanin" w:hAnsi="IRNazanin" w:eastAsia="IRNazanin" w:cs="IRNazanin"/>
            <w:color w:val="111111"/>
            <w:sz w:val="22"/>
            <w:szCs w:val="22"/>
            <w:b w:val="0"/>
            <w:bCs w:val="0"/>
            <w:i w:val="0"/>
            <w:iCs w:val="0"/>
          </w:rPr>
          <w:t>2597- دیوان میرزا سعید قومشهی‏</w:t>
        </w:r>
        <w:r>
          <w:tab/>
        </w:r>
        <w:r>
          <w:fldChar w:fldCharType="begin"/>
        </w:r>
        <w:r>
          <w:instrText xml:space="preserve">PAGEREF 3348 \h</w:instrText>
        </w:r>
        <w:r>
          <w:fldChar w:fldCharType="end"/>
        </w:r>
      </w:hyperlink>
    </w:p>
    <w:p>
      <w:pPr>
        <w:tabs>
          <w:tab w:val="right" w:leader="dot" w:pos="9062"/>
        </w:tabs>
        <w:ind w:left="440"/>
      </w:pPr>
      <w:hyperlink w:anchor="_Toc3349" w:history="1">
        <w:r>
          <w:rPr>
            <w:rFonts w:ascii="IRNazanin" w:hAnsi="IRNazanin" w:eastAsia="IRNazanin" w:cs="IRNazanin"/>
            <w:color w:val="111111"/>
            <w:sz w:val="22"/>
            <w:szCs w:val="22"/>
            <w:b w:val="0"/>
            <w:bCs w:val="0"/>
            <w:i w:val="0"/>
            <w:iCs w:val="0"/>
          </w:rPr>
          <w:t>2598- دیوان المیر سعید الکابلی أو شعره‏</w:t>
        </w:r>
        <w:r>
          <w:tab/>
        </w:r>
        <w:r>
          <w:fldChar w:fldCharType="begin"/>
        </w:r>
        <w:r>
          <w:instrText xml:space="preserve">PAGEREF 3349 \h</w:instrText>
        </w:r>
        <w:r>
          <w:fldChar w:fldCharType="end"/>
        </w:r>
      </w:hyperlink>
    </w:p>
    <w:p>
      <w:pPr>
        <w:tabs>
          <w:tab w:val="right" w:leader="dot" w:pos="9062"/>
        </w:tabs>
        <w:ind w:left="440"/>
      </w:pPr>
      <w:hyperlink w:anchor="_Toc3350" w:history="1">
        <w:r>
          <w:rPr>
            <w:rFonts w:ascii="IRNazanin" w:hAnsi="IRNazanin" w:eastAsia="IRNazanin" w:cs="IRNazanin"/>
            <w:color w:val="111111"/>
            <w:sz w:val="22"/>
            <w:szCs w:val="22"/>
            <w:b w:val="0"/>
            <w:bCs w:val="0"/>
            <w:i w:val="0"/>
            <w:iCs w:val="0"/>
          </w:rPr>
          <w:t>دیوان سعید کاشی‏</w:t>
        </w:r>
        <w:r>
          <w:tab/>
        </w:r>
        <w:r>
          <w:fldChar w:fldCharType="begin"/>
        </w:r>
        <w:r>
          <w:instrText xml:space="preserve">PAGEREF 3350 \h</w:instrText>
        </w:r>
        <w:r>
          <w:fldChar w:fldCharType="end"/>
        </w:r>
      </w:hyperlink>
    </w:p>
    <w:p>
      <w:pPr>
        <w:tabs>
          <w:tab w:val="right" w:leader="dot" w:pos="9062"/>
        </w:tabs>
        <w:ind w:left="440"/>
      </w:pPr>
      <w:hyperlink w:anchor="_Toc3351" w:history="1">
        <w:r>
          <w:rPr>
            <w:rFonts w:ascii="IRNazanin" w:hAnsi="IRNazanin" w:eastAsia="IRNazanin" w:cs="IRNazanin"/>
            <w:color w:val="111111"/>
            <w:sz w:val="22"/>
            <w:szCs w:val="22"/>
            <w:b w:val="0"/>
            <w:bCs w:val="0"/>
            <w:i w:val="0"/>
            <w:iCs w:val="0"/>
          </w:rPr>
          <w:t>2599- دیوان سعید کاکوری أو شعره‏</w:t>
        </w:r>
        <w:r>
          <w:tab/>
        </w:r>
        <w:r>
          <w:fldChar w:fldCharType="begin"/>
        </w:r>
        <w:r>
          <w:instrText xml:space="preserve">PAGEREF 3351 \h</w:instrText>
        </w:r>
        <w:r>
          <w:fldChar w:fldCharType="end"/>
        </w:r>
      </w:hyperlink>
    </w:p>
    <w:p>
      <w:pPr>
        <w:tabs>
          <w:tab w:val="right" w:leader="dot" w:pos="9062"/>
        </w:tabs>
        <w:ind w:left="440"/>
      </w:pPr>
      <w:hyperlink w:anchor="_Toc3352" w:history="1">
        <w:r>
          <w:rPr>
            <w:rFonts w:ascii="IRNazanin" w:hAnsi="IRNazanin" w:eastAsia="IRNazanin" w:cs="IRNazanin"/>
            <w:color w:val="111111"/>
            <w:sz w:val="22"/>
            <w:szCs w:val="22"/>
            <w:b w:val="0"/>
            <w:bCs w:val="0"/>
            <w:i w:val="0"/>
            <w:iCs w:val="0"/>
          </w:rPr>
          <w:t>2600- دیوان سعید کشمیری أو شعره‏</w:t>
        </w:r>
        <w:r>
          <w:tab/>
        </w:r>
        <w:r>
          <w:fldChar w:fldCharType="begin"/>
        </w:r>
        <w:r>
          <w:instrText xml:space="preserve">PAGEREF 3352 \h</w:instrText>
        </w:r>
        <w:r>
          <w:fldChar w:fldCharType="end"/>
        </w:r>
      </w:hyperlink>
    </w:p>
    <w:p>
      <w:pPr>
        <w:tabs>
          <w:tab w:val="right" w:leader="dot" w:pos="9062"/>
        </w:tabs>
        <w:ind w:left="440"/>
      </w:pPr>
      <w:hyperlink w:anchor="_Toc3353" w:history="1">
        <w:r>
          <w:rPr>
            <w:rFonts w:ascii="IRNazanin" w:hAnsi="IRNazanin" w:eastAsia="IRNazanin" w:cs="IRNazanin"/>
            <w:color w:val="111111"/>
            <w:sz w:val="22"/>
            <w:szCs w:val="22"/>
            <w:b w:val="0"/>
            <w:bCs w:val="0"/>
            <w:i w:val="0"/>
            <w:iCs w:val="0"/>
          </w:rPr>
          <w:t>دیوان سعید گوینده‏</w:t>
        </w:r>
        <w:r>
          <w:tab/>
        </w:r>
        <w:r>
          <w:fldChar w:fldCharType="begin"/>
        </w:r>
        <w:r>
          <w:instrText xml:space="preserve">PAGEREF 3353 \h</w:instrText>
        </w:r>
        <w:r>
          <w:fldChar w:fldCharType="end"/>
        </w:r>
      </w:hyperlink>
    </w:p>
    <w:p>
      <w:pPr>
        <w:tabs>
          <w:tab w:val="right" w:leader="dot" w:pos="9062"/>
        </w:tabs>
        <w:ind w:left="440"/>
      </w:pPr>
      <w:hyperlink w:anchor="_Toc3354" w:history="1">
        <w:r>
          <w:rPr>
            <w:rFonts w:ascii="IRNazanin" w:hAnsi="IRNazanin" w:eastAsia="IRNazanin" w:cs="IRNazanin"/>
            <w:color w:val="111111"/>
            <w:sz w:val="22"/>
            <w:szCs w:val="22"/>
            <w:b w:val="0"/>
            <w:bCs w:val="0"/>
            <w:i w:val="0"/>
            <w:iCs w:val="0"/>
          </w:rPr>
          <w:t>2601- دیوان سعید لاهیجی أو شعره‏</w:t>
        </w:r>
        <w:r>
          <w:tab/>
        </w:r>
        <w:r>
          <w:fldChar w:fldCharType="begin"/>
        </w:r>
        <w:r>
          <w:instrText xml:space="preserve">PAGEREF 3354 \h</w:instrText>
        </w:r>
        <w:r>
          <w:fldChar w:fldCharType="end"/>
        </w:r>
      </w:hyperlink>
    </w:p>
    <w:p>
      <w:pPr>
        <w:tabs>
          <w:tab w:val="right" w:leader="dot" w:pos="9062"/>
        </w:tabs>
        <w:ind w:left="440"/>
      </w:pPr>
      <w:hyperlink w:anchor="_Toc3355" w:history="1">
        <w:r>
          <w:rPr>
            <w:rFonts w:ascii="IRNazanin" w:hAnsi="IRNazanin" w:eastAsia="IRNazanin" w:cs="IRNazanin"/>
            <w:color w:val="111111"/>
            <w:sz w:val="22"/>
            <w:szCs w:val="22"/>
            <w:b w:val="0"/>
            <w:bCs w:val="0"/>
            <w:i w:val="0"/>
            <w:iCs w:val="0"/>
          </w:rPr>
          <w:t>دیوان سعید مازندرانی‏</w:t>
        </w:r>
        <w:r>
          <w:tab/>
        </w:r>
        <w:r>
          <w:fldChar w:fldCharType="begin"/>
        </w:r>
        <w:r>
          <w:instrText xml:space="preserve">PAGEREF 3355 \h</w:instrText>
        </w:r>
        <w:r>
          <w:fldChar w:fldCharType="end"/>
        </w:r>
      </w:hyperlink>
    </w:p>
    <w:p>
      <w:pPr>
        <w:tabs>
          <w:tab w:val="right" w:leader="dot" w:pos="9062"/>
        </w:tabs>
        <w:ind w:left="440"/>
      </w:pPr>
      <w:hyperlink w:anchor="_Toc3356" w:history="1">
        <w:r>
          <w:rPr>
            <w:rFonts w:ascii="IRNazanin" w:hAnsi="IRNazanin" w:eastAsia="IRNazanin" w:cs="IRNazanin"/>
            <w:color w:val="111111"/>
            <w:sz w:val="22"/>
            <w:szCs w:val="22"/>
            <w:b w:val="0"/>
            <w:bCs w:val="0"/>
            <w:i w:val="0"/>
            <w:iCs w:val="0"/>
          </w:rPr>
          <w:t>دیوان سعید ملتانی‏</w:t>
        </w:r>
        <w:r>
          <w:tab/>
        </w:r>
        <w:r>
          <w:fldChar w:fldCharType="begin"/>
        </w:r>
        <w:r>
          <w:instrText xml:space="preserve">PAGEREF 3356 \h</w:instrText>
        </w:r>
        <w:r>
          <w:fldChar w:fldCharType="end"/>
        </w:r>
      </w:hyperlink>
    </w:p>
    <w:p>
      <w:pPr>
        <w:tabs>
          <w:tab w:val="right" w:leader="dot" w:pos="9062"/>
        </w:tabs>
        <w:ind w:left="440"/>
      </w:pPr>
      <w:hyperlink w:anchor="_Toc3357" w:history="1">
        <w:r>
          <w:rPr>
            <w:rFonts w:ascii="IRNazanin" w:hAnsi="IRNazanin" w:eastAsia="IRNazanin" w:cs="IRNazanin"/>
            <w:color w:val="111111"/>
            <w:sz w:val="22"/>
            <w:szCs w:val="22"/>
            <w:b w:val="0"/>
            <w:bCs w:val="0"/>
            <w:i w:val="0"/>
            <w:iCs w:val="0"/>
          </w:rPr>
          <w:t>دیوان سعید نفیسی‏</w:t>
        </w:r>
        <w:r>
          <w:tab/>
        </w:r>
        <w:r>
          <w:fldChar w:fldCharType="begin"/>
        </w:r>
        <w:r>
          <w:instrText xml:space="preserve">PAGEREF 3357 \h</w:instrText>
        </w:r>
        <w:r>
          <w:fldChar w:fldCharType="end"/>
        </w:r>
      </w:hyperlink>
    </w:p>
    <w:p>
      <w:pPr>
        <w:tabs>
          <w:tab w:val="right" w:leader="dot" w:pos="9062"/>
        </w:tabs>
        <w:ind w:left="440"/>
      </w:pPr>
      <w:hyperlink w:anchor="_Toc3358" w:history="1">
        <w:r>
          <w:rPr>
            <w:rFonts w:ascii="IRNazanin" w:hAnsi="IRNazanin" w:eastAsia="IRNazanin" w:cs="IRNazanin"/>
            <w:color w:val="111111"/>
            <w:sz w:val="22"/>
            <w:szCs w:val="22"/>
            <w:b w:val="0"/>
            <w:bCs w:val="0"/>
            <w:i w:val="0"/>
            <w:iCs w:val="0"/>
          </w:rPr>
          <w:t>2602- دیوان سعید نقشبند أو شعره‏</w:t>
        </w:r>
        <w:r>
          <w:tab/>
        </w:r>
        <w:r>
          <w:fldChar w:fldCharType="begin"/>
        </w:r>
        <w:r>
          <w:instrText xml:space="preserve">PAGEREF 3358 \h</w:instrText>
        </w:r>
        <w:r>
          <w:fldChar w:fldCharType="end"/>
        </w:r>
      </w:hyperlink>
    </w:p>
    <w:p>
      <w:pPr>
        <w:tabs>
          <w:tab w:val="right" w:leader="dot" w:pos="9062"/>
        </w:tabs>
        <w:ind w:left="440"/>
      </w:pPr>
      <w:hyperlink w:anchor="_Toc3359" w:history="1">
        <w:r>
          <w:rPr>
            <w:rFonts w:ascii="IRNazanin" w:hAnsi="IRNazanin" w:eastAsia="IRNazanin" w:cs="IRNazanin"/>
            <w:color w:val="111111"/>
            <w:sz w:val="22"/>
            <w:szCs w:val="22"/>
            <w:b w:val="0"/>
            <w:bCs w:val="0"/>
            <w:i w:val="0"/>
            <w:iCs w:val="0"/>
          </w:rPr>
          <w:t>2603- دیوان سعید وزیر أو شعره‏</w:t>
        </w:r>
        <w:r>
          <w:tab/>
        </w:r>
        <w:r>
          <w:fldChar w:fldCharType="begin"/>
        </w:r>
        <w:r>
          <w:instrText xml:space="preserve">PAGEREF 3359 \h</w:instrText>
        </w:r>
        <w:r>
          <w:fldChar w:fldCharType="end"/>
        </w:r>
      </w:hyperlink>
    </w:p>
    <w:p>
      <w:pPr>
        <w:tabs>
          <w:tab w:val="right" w:leader="dot" w:pos="9062"/>
        </w:tabs>
        <w:ind w:left="440"/>
      </w:pPr>
      <w:hyperlink w:anchor="_Toc3360" w:history="1">
        <w:r>
          <w:rPr>
            <w:rFonts w:ascii="IRNazanin" w:hAnsi="IRNazanin" w:eastAsia="IRNazanin" w:cs="IRNazanin"/>
            <w:color w:val="111111"/>
            <w:sz w:val="22"/>
            <w:szCs w:val="22"/>
            <w:b w:val="0"/>
            <w:bCs w:val="0"/>
            <w:i w:val="0"/>
            <w:iCs w:val="0"/>
          </w:rPr>
          <w:t>2604- دیوان سعید هروی أو شعره‏</w:t>
        </w:r>
        <w:r>
          <w:tab/>
        </w:r>
        <w:r>
          <w:fldChar w:fldCharType="begin"/>
        </w:r>
        <w:r>
          <w:instrText xml:space="preserve">PAGEREF 3360 \h</w:instrText>
        </w:r>
        <w:r>
          <w:fldChar w:fldCharType="end"/>
        </w:r>
      </w:hyperlink>
    </w:p>
    <w:p>
      <w:pPr>
        <w:tabs>
          <w:tab w:val="right" w:leader="dot" w:pos="9062"/>
        </w:tabs>
        <w:ind w:left="440"/>
      </w:pPr>
      <w:hyperlink w:anchor="_Toc3361" w:history="1">
        <w:r>
          <w:rPr>
            <w:rFonts w:ascii="IRNazanin" w:hAnsi="IRNazanin" w:eastAsia="IRNazanin" w:cs="IRNazanin"/>
            <w:color w:val="111111"/>
            <w:sz w:val="22"/>
            <w:szCs w:val="22"/>
            <w:b w:val="0"/>
            <w:bCs w:val="0"/>
            <w:i w:val="0"/>
            <w:iCs w:val="0"/>
          </w:rPr>
          <w:t>2605- دیوان سعید همدانی أو شعره‏</w:t>
        </w:r>
        <w:r>
          <w:tab/>
        </w:r>
        <w:r>
          <w:fldChar w:fldCharType="begin"/>
        </w:r>
        <w:r>
          <w:instrText xml:space="preserve">PAGEREF 3361 \h</w:instrText>
        </w:r>
        <w:r>
          <w:fldChar w:fldCharType="end"/>
        </w:r>
      </w:hyperlink>
    </w:p>
    <w:p>
      <w:pPr>
        <w:tabs>
          <w:tab w:val="right" w:leader="dot" w:pos="9062"/>
        </w:tabs>
        <w:ind w:left="440"/>
      </w:pPr>
      <w:hyperlink w:anchor="_Toc3362" w:history="1">
        <w:r>
          <w:rPr>
            <w:rFonts w:ascii="IRNazanin" w:hAnsi="IRNazanin" w:eastAsia="IRNazanin" w:cs="IRNazanin"/>
            <w:color w:val="111111"/>
            <w:sz w:val="22"/>
            <w:szCs w:val="22"/>
            <w:b w:val="0"/>
            <w:bCs w:val="0"/>
            <w:i w:val="0"/>
            <w:iCs w:val="0"/>
          </w:rPr>
          <w:t>دیوان سعید یزدی‏</w:t>
        </w:r>
        <w:r>
          <w:tab/>
        </w:r>
        <w:r>
          <w:fldChar w:fldCharType="begin"/>
        </w:r>
        <w:r>
          <w:instrText xml:space="preserve">PAGEREF 3362 \h</w:instrText>
        </w:r>
        <w:r>
          <w:fldChar w:fldCharType="end"/>
        </w:r>
      </w:hyperlink>
    </w:p>
    <w:p>
      <w:pPr>
        <w:tabs>
          <w:tab w:val="right" w:leader="dot" w:pos="9062"/>
        </w:tabs>
        <w:ind w:left="440"/>
      </w:pPr>
      <w:hyperlink w:anchor="_Toc3363" w:history="1">
        <w:r>
          <w:rPr>
            <w:rFonts w:ascii="IRNazanin" w:hAnsi="IRNazanin" w:eastAsia="IRNazanin" w:cs="IRNazanin"/>
            <w:color w:val="111111"/>
            <w:sz w:val="22"/>
            <w:szCs w:val="22"/>
            <w:b w:val="0"/>
            <w:bCs w:val="0"/>
            <w:i w:val="0"/>
            <w:iCs w:val="0"/>
          </w:rPr>
          <w:t>2606- دیوان میرزا سعید یزدی أو شعره‏</w:t>
        </w:r>
        <w:r>
          <w:tab/>
        </w:r>
        <w:r>
          <w:fldChar w:fldCharType="begin"/>
        </w:r>
        <w:r>
          <w:instrText xml:space="preserve">PAGEREF 3363 \h</w:instrText>
        </w:r>
        <w:r>
          <w:fldChar w:fldCharType="end"/>
        </w:r>
      </w:hyperlink>
    </w:p>
    <w:p>
      <w:pPr>
        <w:tabs>
          <w:tab w:val="right" w:leader="dot" w:pos="9062"/>
        </w:tabs>
        <w:ind w:left="440"/>
      </w:pPr>
      <w:hyperlink w:anchor="_Toc3364" w:history="1">
        <w:r>
          <w:rPr>
            <w:rFonts w:ascii="IRNazanin" w:hAnsi="IRNazanin" w:eastAsia="IRNazanin" w:cs="IRNazanin"/>
            <w:color w:val="111111"/>
            <w:sz w:val="22"/>
            <w:szCs w:val="22"/>
            <w:b w:val="0"/>
            <w:bCs w:val="0"/>
            <w:i w:val="0"/>
            <w:iCs w:val="0"/>
          </w:rPr>
          <w:t>2607- دیوان سعیدی بدخشی أو شعره‏</w:t>
        </w:r>
        <w:r>
          <w:tab/>
        </w:r>
        <w:r>
          <w:fldChar w:fldCharType="begin"/>
        </w:r>
        <w:r>
          <w:instrText xml:space="preserve">PAGEREF 3364 \h</w:instrText>
        </w:r>
        <w:r>
          <w:fldChar w:fldCharType="end"/>
        </w:r>
      </w:hyperlink>
    </w:p>
    <w:p>
      <w:pPr>
        <w:tabs>
          <w:tab w:val="right" w:leader="dot" w:pos="9062"/>
        </w:tabs>
        <w:ind w:left="440"/>
      </w:pPr>
      <w:hyperlink w:anchor="_Toc3365" w:history="1">
        <w:r>
          <w:rPr>
            <w:rFonts w:ascii="IRNazanin" w:hAnsi="IRNazanin" w:eastAsia="IRNazanin" w:cs="IRNazanin"/>
            <w:color w:val="111111"/>
            <w:sz w:val="22"/>
            <w:szCs w:val="22"/>
            <w:b w:val="0"/>
            <w:bCs w:val="0"/>
            <w:i w:val="0"/>
            <w:iCs w:val="0"/>
          </w:rPr>
          <w:t>دیوان سعیدی کاسه‏گر أو شعره‏</w:t>
        </w:r>
        <w:r>
          <w:tab/>
        </w:r>
        <w:r>
          <w:fldChar w:fldCharType="begin"/>
        </w:r>
        <w:r>
          <w:instrText xml:space="preserve">PAGEREF 3365 \h</w:instrText>
        </w:r>
        <w:r>
          <w:fldChar w:fldCharType="end"/>
        </w:r>
      </w:hyperlink>
    </w:p>
    <w:p>
      <w:pPr>
        <w:tabs>
          <w:tab w:val="right" w:leader="dot" w:pos="9062"/>
        </w:tabs>
        <w:ind w:left="440"/>
      </w:pPr>
      <w:hyperlink w:anchor="_Toc3366" w:history="1">
        <w:r>
          <w:rPr>
            <w:rFonts w:ascii="IRNazanin" w:hAnsi="IRNazanin" w:eastAsia="IRNazanin" w:cs="IRNazanin"/>
            <w:color w:val="111111"/>
            <w:sz w:val="22"/>
            <w:szCs w:val="22"/>
            <w:b w:val="0"/>
            <w:bCs w:val="0"/>
            <w:i w:val="0"/>
            <w:iCs w:val="0"/>
          </w:rPr>
          <w:t>2608- دیوان سفیر فاریابی أو شعره‏</w:t>
        </w:r>
        <w:r>
          <w:tab/>
        </w:r>
        <w:r>
          <w:fldChar w:fldCharType="begin"/>
        </w:r>
        <w:r>
          <w:instrText xml:space="preserve">PAGEREF 3366 \h</w:instrText>
        </w:r>
        <w:r>
          <w:fldChar w:fldCharType="end"/>
        </w:r>
      </w:hyperlink>
    </w:p>
    <w:p>
      <w:pPr>
        <w:tabs>
          <w:tab w:val="right" w:leader="dot" w:pos="9062"/>
        </w:tabs>
        <w:ind w:left="440"/>
      </w:pPr>
      <w:hyperlink w:anchor="_Toc3367" w:history="1">
        <w:r>
          <w:rPr>
            <w:rFonts w:ascii="IRNazanin" w:hAnsi="IRNazanin" w:eastAsia="IRNazanin" w:cs="IRNazanin"/>
            <w:color w:val="111111"/>
            <w:sz w:val="22"/>
            <w:szCs w:val="22"/>
            <w:b w:val="0"/>
            <w:bCs w:val="0"/>
            <w:i w:val="0"/>
            <w:iCs w:val="0"/>
          </w:rPr>
          <w:t>2609- دیوان سقا</w:t>
        </w:r>
        <w:r>
          <w:tab/>
        </w:r>
        <w:r>
          <w:fldChar w:fldCharType="begin"/>
        </w:r>
        <w:r>
          <w:instrText xml:space="preserve">PAGEREF 3367 \h</w:instrText>
        </w:r>
        <w:r>
          <w:fldChar w:fldCharType="end"/>
        </w:r>
      </w:hyperlink>
    </w:p>
    <w:p>
      <w:pPr>
        <w:tabs>
          <w:tab w:val="right" w:leader="dot" w:pos="9062"/>
        </w:tabs>
        <w:ind w:left="440"/>
      </w:pPr>
      <w:hyperlink w:anchor="_Toc3368" w:history="1">
        <w:r>
          <w:rPr>
            <w:rFonts w:ascii="IRNazanin" w:hAnsi="IRNazanin" w:eastAsia="IRNazanin" w:cs="IRNazanin"/>
            <w:color w:val="111111"/>
            <w:sz w:val="22"/>
            <w:szCs w:val="22"/>
            <w:b w:val="0"/>
            <w:bCs w:val="0"/>
            <w:i w:val="0"/>
            <w:iCs w:val="0"/>
          </w:rPr>
          <w:t>2610- دیوان سقیما آباده‏ای أو شعره‏</w:t>
        </w:r>
        <w:r>
          <w:tab/>
        </w:r>
        <w:r>
          <w:fldChar w:fldCharType="begin"/>
        </w:r>
        <w:r>
          <w:instrText xml:space="preserve">PAGEREF 3368 \h</w:instrText>
        </w:r>
        <w:r>
          <w:fldChar w:fldCharType="end"/>
        </w:r>
      </w:hyperlink>
    </w:p>
    <w:p>
      <w:pPr>
        <w:tabs>
          <w:tab w:val="right" w:leader="dot" w:pos="9062"/>
        </w:tabs>
        <w:ind w:left="440"/>
      </w:pPr>
      <w:hyperlink w:anchor="_Toc3369" w:history="1">
        <w:r>
          <w:rPr>
            <w:rFonts w:ascii="IRNazanin" w:hAnsi="IRNazanin" w:eastAsia="IRNazanin" w:cs="IRNazanin"/>
            <w:color w:val="111111"/>
            <w:sz w:val="22"/>
            <w:szCs w:val="22"/>
            <w:b w:val="0"/>
            <w:bCs w:val="0"/>
            <w:i w:val="0"/>
            <w:iCs w:val="0"/>
          </w:rPr>
          <w:t>دیوان سکاکی‏</w:t>
        </w:r>
        <w:r>
          <w:tab/>
        </w:r>
        <w:r>
          <w:fldChar w:fldCharType="begin"/>
        </w:r>
        <w:r>
          <w:instrText xml:space="preserve">PAGEREF 3369 \h</w:instrText>
        </w:r>
        <w:r>
          <w:fldChar w:fldCharType="end"/>
        </w:r>
      </w:hyperlink>
    </w:p>
    <w:p>
      <w:pPr>
        <w:tabs>
          <w:tab w:val="right" w:leader="dot" w:pos="9062"/>
        </w:tabs>
        <w:ind w:left="440"/>
      </w:pPr>
      <w:hyperlink w:anchor="_Toc3370" w:history="1">
        <w:r>
          <w:rPr>
            <w:rFonts w:ascii="IRNazanin" w:hAnsi="IRNazanin" w:eastAsia="IRNazanin" w:cs="IRNazanin"/>
            <w:color w:val="111111"/>
            <w:sz w:val="22"/>
            <w:szCs w:val="22"/>
            <w:b w:val="0"/>
            <w:bCs w:val="0"/>
            <w:i w:val="0"/>
            <w:iCs w:val="0"/>
          </w:rPr>
          <w:t>2611- دیوان سکاکی الماوراءالنهری‏</w:t>
        </w:r>
        <w:r>
          <w:tab/>
        </w:r>
        <w:r>
          <w:fldChar w:fldCharType="begin"/>
        </w:r>
        <w:r>
          <w:instrText xml:space="preserve">PAGEREF 3370 \h</w:instrText>
        </w:r>
        <w:r>
          <w:fldChar w:fldCharType="end"/>
        </w:r>
      </w:hyperlink>
    </w:p>
    <w:p>
      <w:pPr>
        <w:tabs>
          <w:tab w:val="right" w:leader="dot" w:pos="9062"/>
        </w:tabs>
        <w:ind w:left="440"/>
      </w:pPr>
      <w:hyperlink w:anchor="_Toc3371" w:history="1">
        <w:r>
          <w:rPr>
            <w:rFonts w:ascii="IRNazanin" w:hAnsi="IRNazanin" w:eastAsia="IRNazanin" w:cs="IRNazanin"/>
            <w:color w:val="111111"/>
            <w:sz w:val="22"/>
            <w:szCs w:val="22"/>
            <w:b w:val="0"/>
            <w:bCs w:val="0"/>
            <w:i w:val="0"/>
            <w:iCs w:val="0"/>
          </w:rPr>
          <w:t>2612- دیوان سکوت شیرازی أو شعره‏</w:t>
        </w:r>
        <w:r>
          <w:tab/>
        </w:r>
        <w:r>
          <w:fldChar w:fldCharType="begin"/>
        </w:r>
        <w:r>
          <w:instrText xml:space="preserve">PAGEREF 3371 \h</w:instrText>
        </w:r>
        <w:r>
          <w:fldChar w:fldCharType="end"/>
        </w:r>
      </w:hyperlink>
    </w:p>
    <w:p>
      <w:pPr>
        <w:tabs>
          <w:tab w:val="right" w:leader="dot" w:pos="9062"/>
        </w:tabs>
        <w:ind w:left="440"/>
      </w:pPr>
      <w:hyperlink w:anchor="_Toc3372" w:history="1">
        <w:r>
          <w:rPr>
            <w:rFonts w:ascii="IRNazanin" w:hAnsi="IRNazanin" w:eastAsia="IRNazanin" w:cs="IRNazanin"/>
            <w:color w:val="111111"/>
            <w:sz w:val="22"/>
            <w:szCs w:val="22"/>
            <w:b w:val="0"/>
            <w:bCs w:val="0"/>
            <w:i w:val="0"/>
            <w:iCs w:val="0"/>
          </w:rPr>
          <w:t>2613- دیوان سگ أو شعره‏</w:t>
        </w:r>
        <w:r>
          <w:tab/>
        </w:r>
        <w:r>
          <w:fldChar w:fldCharType="begin"/>
        </w:r>
        <w:r>
          <w:instrText xml:space="preserve">PAGEREF 3372 \h</w:instrText>
        </w:r>
        <w:r>
          <w:fldChar w:fldCharType="end"/>
        </w:r>
      </w:hyperlink>
    </w:p>
    <w:p>
      <w:pPr>
        <w:tabs>
          <w:tab w:val="right" w:leader="dot" w:pos="9062"/>
        </w:tabs>
        <w:ind w:left="440"/>
      </w:pPr>
      <w:hyperlink w:anchor="_Toc3373" w:history="1">
        <w:r>
          <w:rPr>
            <w:rFonts w:ascii="IRNazanin" w:hAnsi="IRNazanin" w:eastAsia="IRNazanin" w:cs="IRNazanin"/>
            <w:color w:val="111111"/>
            <w:sz w:val="22"/>
            <w:szCs w:val="22"/>
            <w:b w:val="0"/>
            <w:bCs w:val="0"/>
            <w:i w:val="0"/>
            <w:iCs w:val="0"/>
          </w:rPr>
          <w:t>2614- دیوان القاضی سلام الله الکاشی أو شعره‏</w:t>
        </w:r>
        <w:r>
          <w:tab/>
        </w:r>
        <w:r>
          <w:fldChar w:fldCharType="begin"/>
        </w:r>
        <w:r>
          <w:instrText xml:space="preserve">PAGEREF 3373 \h</w:instrText>
        </w:r>
        <w:r>
          <w:fldChar w:fldCharType="end"/>
        </w:r>
      </w:hyperlink>
    </w:p>
    <w:p>
      <w:pPr>
        <w:tabs>
          <w:tab w:val="right" w:leader="dot" w:pos="9062"/>
        </w:tabs>
        <w:ind w:left="440"/>
      </w:pPr>
      <w:hyperlink w:anchor="_Toc3374" w:history="1">
        <w:r>
          <w:rPr>
            <w:rFonts w:ascii="IRNazanin" w:hAnsi="IRNazanin" w:eastAsia="IRNazanin" w:cs="IRNazanin"/>
            <w:color w:val="111111"/>
            <w:sz w:val="22"/>
            <w:szCs w:val="22"/>
            <w:b w:val="0"/>
            <w:bCs w:val="0"/>
            <w:i w:val="0"/>
            <w:iCs w:val="0"/>
          </w:rPr>
          <w:t>2615- دیوان مولانا سلامی أو شعره‏</w:t>
        </w:r>
        <w:r>
          <w:tab/>
        </w:r>
        <w:r>
          <w:fldChar w:fldCharType="begin"/>
        </w:r>
        <w:r>
          <w:instrText xml:space="preserve">PAGEREF 3374 \h</w:instrText>
        </w:r>
        <w:r>
          <w:fldChar w:fldCharType="end"/>
        </w:r>
      </w:hyperlink>
    </w:p>
    <w:p>
      <w:pPr>
        <w:tabs>
          <w:tab w:val="right" w:leader="dot" w:pos="9062"/>
        </w:tabs>
        <w:ind w:left="440"/>
      </w:pPr>
      <w:hyperlink w:anchor="_Toc3375" w:history="1">
        <w:r>
          <w:rPr>
            <w:rFonts w:ascii="IRNazanin" w:hAnsi="IRNazanin" w:eastAsia="IRNazanin" w:cs="IRNazanin"/>
            <w:color w:val="111111"/>
            <w:sz w:val="22"/>
            <w:szCs w:val="22"/>
            <w:b w:val="0"/>
            <w:bCs w:val="0"/>
            <w:i w:val="0"/>
            <w:iCs w:val="0"/>
          </w:rPr>
          <w:t>2616- دیوان سلامی أردبیلی أو شعره‏</w:t>
        </w:r>
        <w:r>
          <w:tab/>
        </w:r>
        <w:r>
          <w:fldChar w:fldCharType="begin"/>
        </w:r>
        <w:r>
          <w:instrText xml:space="preserve">PAGEREF 3375 \h</w:instrText>
        </w:r>
        <w:r>
          <w:fldChar w:fldCharType="end"/>
        </w:r>
      </w:hyperlink>
    </w:p>
    <w:p>
      <w:pPr>
        <w:tabs>
          <w:tab w:val="right" w:leader="dot" w:pos="9062"/>
        </w:tabs>
        <w:ind w:left="440"/>
      </w:pPr>
      <w:hyperlink w:anchor="_Toc3376" w:history="1">
        <w:r>
          <w:rPr>
            <w:rFonts w:ascii="IRNazanin" w:hAnsi="IRNazanin" w:eastAsia="IRNazanin" w:cs="IRNazanin"/>
            <w:color w:val="111111"/>
            <w:sz w:val="22"/>
            <w:szCs w:val="22"/>
            <w:b w:val="0"/>
            <w:bCs w:val="0"/>
            <w:i w:val="0"/>
            <w:iCs w:val="0"/>
          </w:rPr>
          <w:t>2617- دیوان سلامی أصفهانی أو شعره‏</w:t>
        </w:r>
        <w:r>
          <w:tab/>
        </w:r>
        <w:r>
          <w:fldChar w:fldCharType="begin"/>
        </w:r>
        <w:r>
          <w:instrText xml:space="preserve">PAGEREF 3376 \h</w:instrText>
        </w:r>
        <w:r>
          <w:fldChar w:fldCharType="end"/>
        </w:r>
      </w:hyperlink>
    </w:p>
    <w:p>
      <w:pPr>
        <w:tabs>
          <w:tab w:val="right" w:leader="dot" w:pos="9062"/>
        </w:tabs>
        <w:ind w:left="440"/>
      </w:pPr>
      <w:hyperlink w:anchor="_Toc3377" w:history="1">
        <w:r>
          <w:rPr>
            <w:rFonts w:ascii="IRNazanin" w:hAnsi="IRNazanin" w:eastAsia="IRNazanin" w:cs="IRNazanin"/>
            <w:color w:val="111111"/>
            <w:sz w:val="22"/>
            <w:szCs w:val="22"/>
            <w:b w:val="0"/>
            <w:bCs w:val="0"/>
            <w:i w:val="0"/>
            <w:iCs w:val="0"/>
          </w:rPr>
          <w:t>2618- دیوان السلامی البغدادی‏</w:t>
        </w:r>
        <w:r>
          <w:tab/>
        </w:r>
        <w:r>
          <w:fldChar w:fldCharType="begin"/>
        </w:r>
        <w:r>
          <w:instrText xml:space="preserve">PAGEREF 3377 \h</w:instrText>
        </w:r>
        <w:r>
          <w:fldChar w:fldCharType="end"/>
        </w:r>
      </w:hyperlink>
    </w:p>
    <w:p>
      <w:pPr>
        <w:tabs>
          <w:tab w:val="right" w:leader="dot" w:pos="9062"/>
        </w:tabs>
        <w:ind w:left="440"/>
      </w:pPr>
      <w:hyperlink w:anchor="_Toc3378" w:history="1">
        <w:r>
          <w:rPr>
            <w:rFonts w:ascii="IRNazanin" w:hAnsi="IRNazanin" w:eastAsia="IRNazanin" w:cs="IRNazanin"/>
            <w:color w:val="111111"/>
            <w:sz w:val="22"/>
            <w:szCs w:val="22"/>
            <w:b w:val="0"/>
            <w:bCs w:val="0"/>
            <w:i w:val="0"/>
            <w:iCs w:val="0"/>
          </w:rPr>
          <w:t>2619- دیوان سلامی هروی أو شعره‏</w:t>
        </w:r>
        <w:r>
          <w:tab/>
        </w:r>
        <w:r>
          <w:fldChar w:fldCharType="begin"/>
        </w:r>
        <w:r>
          <w:instrText xml:space="preserve">PAGEREF 3378 \h</w:instrText>
        </w:r>
        <w:r>
          <w:fldChar w:fldCharType="end"/>
        </w:r>
      </w:hyperlink>
    </w:p>
    <w:p>
      <w:pPr>
        <w:tabs>
          <w:tab w:val="right" w:leader="dot" w:pos="9062"/>
        </w:tabs>
        <w:ind w:left="440"/>
      </w:pPr>
      <w:hyperlink w:anchor="_Toc3379" w:history="1">
        <w:r>
          <w:rPr>
            <w:rFonts w:ascii="IRNazanin" w:hAnsi="IRNazanin" w:eastAsia="IRNazanin" w:cs="IRNazanin"/>
            <w:color w:val="111111"/>
            <w:sz w:val="22"/>
            <w:szCs w:val="22"/>
            <w:b w:val="0"/>
            <w:bCs w:val="0"/>
            <w:i w:val="0"/>
            <w:iCs w:val="0"/>
          </w:rPr>
          <w:t>2620- دیوان سلجوق شاه أو شعره‏</w:t>
        </w:r>
        <w:r>
          <w:tab/>
        </w:r>
        <w:r>
          <w:fldChar w:fldCharType="begin"/>
        </w:r>
        <w:r>
          <w:instrText xml:space="preserve">PAGEREF 3379 \h</w:instrText>
        </w:r>
        <w:r>
          <w:fldChar w:fldCharType="end"/>
        </w:r>
      </w:hyperlink>
    </w:p>
    <w:p>
      <w:pPr>
        <w:tabs>
          <w:tab w:val="right" w:leader="dot" w:pos="9062"/>
        </w:tabs>
        <w:ind w:left="440"/>
      </w:pPr>
      <w:hyperlink w:anchor="_Toc3380" w:history="1">
        <w:r>
          <w:rPr>
            <w:rFonts w:ascii="IRNazanin" w:hAnsi="IRNazanin" w:eastAsia="IRNazanin" w:cs="IRNazanin"/>
            <w:color w:val="111111"/>
            <w:sz w:val="22"/>
            <w:szCs w:val="22"/>
            <w:b w:val="0"/>
            <w:bCs w:val="0"/>
            <w:i w:val="0"/>
            <w:iCs w:val="0"/>
          </w:rPr>
          <w:t>2621- دیوان سلطان أصفهانی أو شعره‏</w:t>
        </w:r>
        <w:r>
          <w:tab/>
        </w:r>
        <w:r>
          <w:fldChar w:fldCharType="begin"/>
        </w:r>
        <w:r>
          <w:instrText xml:space="preserve">PAGEREF 3380 \h</w:instrText>
        </w:r>
        <w:r>
          <w:fldChar w:fldCharType="end"/>
        </w:r>
      </w:hyperlink>
    </w:p>
    <w:p>
      <w:pPr>
        <w:tabs>
          <w:tab w:val="right" w:leader="dot" w:pos="9062"/>
        </w:tabs>
        <w:ind w:left="440"/>
      </w:pPr>
      <w:hyperlink w:anchor="_Toc3381" w:history="1">
        <w:r>
          <w:rPr>
            <w:rFonts w:ascii="IRNazanin" w:hAnsi="IRNazanin" w:eastAsia="IRNazanin" w:cs="IRNazanin"/>
            <w:color w:val="111111"/>
            <w:sz w:val="22"/>
            <w:szCs w:val="22"/>
            <w:b w:val="0"/>
            <w:bCs w:val="0"/>
            <w:i w:val="0"/>
            <w:iCs w:val="0"/>
          </w:rPr>
          <w:t>دیوان سلطان بابر</w:t>
        </w:r>
        <w:r>
          <w:tab/>
        </w:r>
        <w:r>
          <w:fldChar w:fldCharType="begin"/>
        </w:r>
        <w:r>
          <w:instrText xml:space="preserve">PAGEREF 3381 \h</w:instrText>
        </w:r>
        <w:r>
          <w:fldChar w:fldCharType="end"/>
        </w:r>
      </w:hyperlink>
    </w:p>
    <w:p>
      <w:pPr>
        <w:tabs>
          <w:tab w:val="right" w:leader="dot" w:pos="9062"/>
        </w:tabs>
        <w:ind w:left="440"/>
      </w:pPr>
      <w:hyperlink w:anchor="_Toc3382" w:history="1">
        <w:r>
          <w:rPr>
            <w:rFonts w:ascii="IRNazanin" w:hAnsi="IRNazanin" w:eastAsia="IRNazanin" w:cs="IRNazanin"/>
            <w:color w:val="111111"/>
            <w:sz w:val="22"/>
            <w:szCs w:val="22"/>
            <w:b w:val="0"/>
            <w:bCs w:val="0"/>
            <w:i w:val="0"/>
            <w:iCs w:val="0"/>
          </w:rPr>
          <w:t>دیوان سلطان بدیع الزمان‏</w:t>
        </w:r>
        <w:r>
          <w:tab/>
        </w:r>
        <w:r>
          <w:fldChar w:fldCharType="begin"/>
        </w:r>
        <w:r>
          <w:instrText xml:space="preserve">PAGEREF 3382 \h</w:instrText>
        </w:r>
        <w:r>
          <w:fldChar w:fldCharType="end"/>
        </w:r>
      </w:hyperlink>
    </w:p>
    <w:p>
      <w:pPr>
        <w:tabs>
          <w:tab w:val="right" w:leader="dot" w:pos="9062"/>
        </w:tabs>
        <w:ind w:left="440"/>
      </w:pPr>
      <w:hyperlink w:anchor="_Toc3383" w:history="1">
        <w:r>
          <w:rPr>
            <w:rFonts w:ascii="IRNazanin" w:hAnsi="IRNazanin" w:eastAsia="IRNazanin" w:cs="IRNazanin"/>
            <w:color w:val="111111"/>
            <w:sz w:val="22"/>
            <w:szCs w:val="22"/>
            <w:b w:val="0"/>
            <w:bCs w:val="0"/>
            <w:i w:val="0"/>
            <w:iCs w:val="0"/>
          </w:rPr>
          <w:t>دیوان سلطان جابری أو شعره‏</w:t>
        </w:r>
        <w:r>
          <w:tab/>
        </w:r>
        <w:r>
          <w:fldChar w:fldCharType="begin"/>
        </w:r>
        <w:r>
          <w:instrText xml:space="preserve">PAGEREF 3383 \h</w:instrText>
        </w:r>
        <w:r>
          <w:fldChar w:fldCharType="end"/>
        </w:r>
      </w:hyperlink>
    </w:p>
    <w:p>
      <w:pPr>
        <w:tabs>
          <w:tab w:val="right" w:leader="dot" w:pos="9062"/>
        </w:tabs>
        <w:ind w:left="440"/>
      </w:pPr>
      <w:hyperlink w:anchor="_Toc3384" w:history="1">
        <w:r>
          <w:rPr>
            <w:rFonts w:ascii="IRNazanin" w:hAnsi="IRNazanin" w:eastAsia="IRNazanin" w:cs="IRNazanin"/>
            <w:color w:val="111111"/>
            <w:sz w:val="22"/>
            <w:szCs w:val="22"/>
            <w:b w:val="0"/>
            <w:bCs w:val="0"/>
            <w:i w:val="0"/>
            <w:iCs w:val="0"/>
          </w:rPr>
          <w:t>دیوان سلطان حسن کیا</w:t>
        </w:r>
        <w:r>
          <w:tab/>
        </w:r>
        <w:r>
          <w:fldChar w:fldCharType="begin"/>
        </w:r>
        <w:r>
          <w:instrText xml:space="preserve">PAGEREF 3384 \h</w:instrText>
        </w:r>
        <w:r>
          <w:fldChar w:fldCharType="end"/>
        </w:r>
      </w:hyperlink>
    </w:p>
    <w:p>
      <w:pPr>
        <w:tabs>
          <w:tab w:val="right" w:leader="dot" w:pos="9062"/>
        </w:tabs>
        <w:ind w:left="440"/>
      </w:pPr>
      <w:hyperlink w:anchor="_Toc3385" w:history="1">
        <w:r>
          <w:rPr>
            <w:rFonts w:ascii="IRNazanin" w:hAnsi="IRNazanin" w:eastAsia="IRNazanin" w:cs="IRNazanin"/>
            <w:color w:val="111111"/>
            <w:sz w:val="22"/>
            <w:szCs w:val="22"/>
            <w:b w:val="0"/>
            <w:bCs w:val="0"/>
            <w:i w:val="0"/>
            <w:iCs w:val="0"/>
          </w:rPr>
          <w:t>دیوان سلطان حسین بایقرا</w:t>
        </w:r>
        <w:r>
          <w:tab/>
        </w:r>
        <w:r>
          <w:fldChar w:fldCharType="begin"/>
        </w:r>
        <w:r>
          <w:instrText xml:space="preserve">PAGEREF 3385 \h</w:instrText>
        </w:r>
        <w:r>
          <w:fldChar w:fldCharType="end"/>
        </w:r>
      </w:hyperlink>
    </w:p>
    <w:p>
      <w:pPr>
        <w:tabs>
          <w:tab w:val="right" w:leader="dot" w:pos="9062"/>
        </w:tabs>
        <w:ind w:left="440"/>
      </w:pPr>
      <w:hyperlink w:anchor="_Toc3386" w:history="1">
        <w:r>
          <w:rPr>
            <w:rFonts w:ascii="IRNazanin" w:hAnsi="IRNazanin" w:eastAsia="IRNazanin" w:cs="IRNazanin"/>
            <w:color w:val="111111"/>
            <w:sz w:val="22"/>
            <w:szCs w:val="22"/>
            <w:b w:val="0"/>
            <w:bCs w:val="0"/>
            <w:i w:val="0"/>
            <w:iCs w:val="0"/>
          </w:rPr>
          <w:t>دیوان سلطان الخطاطین‏</w:t>
        </w:r>
        <w:r>
          <w:tab/>
        </w:r>
        <w:r>
          <w:fldChar w:fldCharType="begin"/>
        </w:r>
        <w:r>
          <w:instrText xml:space="preserve">PAGEREF 3386 \h</w:instrText>
        </w:r>
        <w:r>
          <w:fldChar w:fldCharType="end"/>
        </w:r>
      </w:hyperlink>
    </w:p>
    <w:p>
      <w:pPr>
        <w:tabs>
          <w:tab w:val="right" w:leader="dot" w:pos="9062"/>
        </w:tabs>
        <w:ind w:left="440"/>
      </w:pPr>
      <w:hyperlink w:anchor="_Toc3387" w:history="1">
        <w:r>
          <w:rPr>
            <w:rFonts w:ascii="IRNazanin" w:hAnsi="IRNazanin" w:eastAsia="IRNazanin" w:cs="IRNazanin"/>
            <w:color w:val="111111"/>
            <w:sz w:val="22"/>
            <w:szCs w:val="22"/>
            <w:b w:val="0"/>
            <w:bCs w:val="0"/>
            <w:i w:val="0"/>
            <w:iCs w:val="0"/>
          </w:rPr>
          <w:t>دیوان سلطان خدیجة</w:t>
        </w:r>
        <w:r>
          <w:tab/>
        </w:r>
        <w:r>
          <w:fldChar w:fldCharType="begin"/>
        </w:r>
        <w:r>
          <w:instrText xml:space="preserve">PAGEREF 3387 \h</w:instrText>
        </w:r>
        <w:r>
          <w:fldChar w:fldCharType="end"/>
        </w:r>
      </w:hyperlink>
    </w:p>
    <w:p>
      <w:pPr>
        <w:tabs>
          <w:tab w:val="right" w:leader="dot" w:pos="9062"/>
        </w:tabs>
        <w:ind w:left="440"/>
      </w:pPr>
      <w:hyperlink w:anchor="_Toc3388" w:history="1">
        <w:r>
          <w:rPr>
            <w:rFonts w:ascii="IRNazanin" w:hAnsi="IRNazanin" w:eastAsia="IRNazanin" w:cs="IRNazanin"/>
            <w:color w:val="111111"/>
            <w:sz w:val="22"/>
            <w:szCs w:val="22"/>
            <w:b w:val="0"/>
            <w:bCs w:val="0"/>
            <w:i w:val="0"/>
            <w:iCs w:val="0"/>
          </w:rPr>
          <w:t>2622- دیوان سلطان داغستانی أو شعرها</w:t>
        </w:r>
        <w:r>
          <w:tab/>
        </w:r>
        <w:r>
          <w:fldChar w:fldCharType="begin"/>
        </w:r>
        <w:r>
          <w:instrText xml:space="preserve">PAGEREF 3388 \h</w:instrText>
        </w:r>
        <w:r>
          <w:fldChar w:fldCharType="end"/>
        </w:r>
      </w:hyperlink>
    </w:p>
    <w:p>
      <w:pPr>
        <w:tabs>
          <w:tab w:val="right" w:leader="dot" w:pos="9062"/>
        </w:tabs>
        <w:ind w:left="440"/>
      </w:pPr>
      <w:hyperlink w:anchor="_Toc3389" w:history="1">
        <w:r>
          <w:rPr>
            <w:rFonts w:ascii="IRNazanin" w:hAnsi="IRNazanin" w:eastAsia="IRNazanin" w:cs="IRNazanin"/>
            <w:color w:val="111111"/>
            <w:sz w:val="22"/>
            <w:szCs w:val="22"/>
            <w:b w:val="0"/>
            <w:bCs w:val="0"/>
            <w:i w:val="0"/>
            <w:iCs w:val="0"/>
          </w:rPr>
          <w:t>2623- دیوان السلطان سلغر شاه أو شعره‏</w:t>
        </w:r>
        <w:r>
          <w:tab/>
        </w:r>
        <w:r>
          <w:fldChar w:fldCharType="begin"/>
        </w:r>
        <w:r>
          <w:instrText xml:space="preserve">PAGEREF 3389 \h</w:instrText>
        </w:r>
        <w:r>
          <w:fldChar w:fldCharType="end"/>
        </w:r>
      </w:hyperlink>
    </w:p>
    <w:p>
      <w:pPr>
        <w:tabs>
          <w:tab w:val="right" w:leader="dot" w:pos="9062"/>
        </w:tabs>
        <w:ind w:left="440"/>
      </w:pPr>
      <w:hyperlink w:anchor="_Toc3390" w:history="1">
        <w:r>
          <w:rPr>
            <w:rFonts w:ascii="IRNazanin" w:hAnsi="IRNazanin" w:eastAsia="IRNazanin" w:cs="IRNazanin"/>
            <w:color w:val="111111"/>
            <w:sz w:val="22"/>
            <w:szCs w:val="22"/>
            <w:b w:val="0"/>
            <w:bCs w:val="0"/>
            <w:i w:val="0"/>
            <w:iCs w:val="0"/>
          </w:rPr>
          <w:t>2624- دیوان سلطان سلکی أو شعره‏</w:t>
        </w:r>
        <w:r>
          <w:tab/>
        </w:r>
        <w:r>
          <w:fldChar w:fldCharType="begin"/>
        </w:r>
        <w:r>
          <w:instrText xml:space="preserve">PAGEREF 3390 \h</w:instrText>
        </w:r>
        <w:r>
          <w:fldChar w:fldCharType="end"/>
        </w:r>
      </w:hyperlink>
    </w:p>
    <w:p>
      <w:pPr>
        <w:tabs>
          <w:tab w:val="right" w:leader="dot" w:pos="9062"/>
        </w:tabs>
        <w:ind w:left="440"/>
      </w:pPr>
      <w:hyperlink w:anchor="_Toc3391" w:history="1">
        <w:r>
          <w:rPr>
            <w:rFonts w:ascii="IRNazanin" w:hAnsi="IRNazanin" w:eastAsia="IRNazanin" w:cs="IRNazanin"/>
            <w:color w:val="111111"/>
            <w:sz w:val="22"/>
            <w:szCs w:val="22"/>
            <w:b w:val="0"/>
            <w:bCs w:val="0"/>
            <w:i w:val="0"/>
            <w:iCs w:val="0"/>
          </w:rPr>
          <w:t>دیوان السلطان سلیمان‏</w:t>
        </w:r>
        <w:r>
          <w:tab/>
        </w:r>
        <w:r>
          <w:fldChar w:fldCharType="begin"/>
        </w:r>
        <w:r>
          <w:instrText xml:space="preserve">PAGEREF 3391 \h</w:instrText>
        </w:r>
        <w:r>
          <w:fldChar w:fldCharType="end"/>
        </w:r>
      </w:hyperlink>
    </w:p>
    <w:p>
      <w:pPr>
        <w:tabs>
          <w:tab w:val="right" w:leader="dot" w:pos="9062"/>
        </w:tabs>
        <w:ind w:left="440"/>
      </w:pPr>
      <w:hyperlink w:anchor="_Toc3392" w:history="1">
        <w:r>
          <w:rPr>
            <w:rFonts w:ascii="IRNazanin" w:hAnsi="IRNazanin" w:eastAsia="IRNazanin" w:cs="IRNazanin"/>
            <w:color w:val="111111"/>
            <w:sz w:val="22"/>
            <w:szCs w:val="22"/>
            <w:b w:val="0"/>
            <w:bCs w:val="0"/>
            <w:i w:val="0"/>
            <w:iCs w:val="0"/>
          </w:rPr>
          <w:t>دیوان السلطان سنجر</w:t>
        </w:r>
        <w:r>
          <w:tab/>
        </w:r>
        <w:r>
          <w:fldChar w:fldCharType="begin"/>
        </w:r>
        <w:r>
          <w:instrText xml:space="preserve">PAGEREF 3392 \h</w:instrText>
        </w:r>
        <w:r>
          <w:fldChar w:fldCharType="end"/>
        </w:r>
      </w:hyperlink>
    </w:p>
    <w:p>
      <w:pPr>
        <w:tabs>
          <w:tab w:val="right" w:leader="dot" w:pos="9062"/>
        </w:tabs>
        <w:ind w:left="440"/>
      </w:pPr>
      <w:hyperlink w:anchor="_Toc3393" w:history="1">
        <w:r>
          <w:rPr>
            <w:rFonts w:ascii="IRNazanin" w:hAnsi="IRNazanin" w:eastAsia="IRNazanin" w:cs="IRNazanin"/>
            <w:color w:val="111111"/>
            <w:sz w:val="22"/>
            <w:szCs w:val="22"/>
            <w:b w:val="0"/>
            <w:bCs w:val="0"/>
            <w:i w:val="0"/>
            <w:iCs w:val="0"/>
          </w:rPr>
          <w:t>2625- دیوان السید سلطان الشدقمی أو شعره‏</w:t>
        </w:r>
        <w:r>
          <w:tab/>
        </w:r>
        <w:r>
          <w:fldChar w:fldCharType="begin"/>
        </w:r>
        <w:r>
          <w:instrText xml:space="preserve">PAGEREF 3393 \h</w:instrText>
        </w:r>
        <w:r>
          <w:fldChar w:fldCharType="end"/>
        </w:r>
      </w:hyperlink>
    </w:p>
    <w:p>
      <w:pPr>
        <w:tabs>
          <w:tab w:val="right" w:leader="dot" w:pos="9062"/>
        </w:tabs>
        <w:ind w:left="440"/>
      </w:pPr>
      <w:hyperlink w:anchor="_Toc3394" w:history="1">
        <w:r>
          <w:rPr>
            <w:rFonts w:ascii="IRNazanin" w:hAnsi="IRNazanin" w:eastAsia="IRNazanin" w:cs="IRNazanin"/>
            <w:color w:val="111111"/>
            <w:sz w:val="22"/>
            <w:szCs w:val="22"/>
            <w:b w:val="0"/>
            <w:bCs w:val="0"/>
            <w:i w:val="0"/>
            <w:iCs w:val="0"/>
          </w:rPr>
          <w:t>2626- دیوان السلطان شاه الخوارزمی أو شعره‏</w:t>
        </w:r>
        <w:r>
          <w:tab/>
        </w:r>
        <w:r>
          <w:fldChar w:fldCharType="begin"/>
        </w:r>
        <w:r>
          <w:instrText xml:space="preserve">PAGEREF 3394 \h</w:instrText>
        </w:r>
        <w:r>
          <w:fldChar w:fldCharType="end"/>
        </w:r>
      </w:hyperlink>
    </w:p>
    <w:p>
      <w:pPr>
        <w:tabs>
          <w:tab w:val="right" w:leader="dot" w:pos="9062"/>
        </w:tabs>
        <w:ind w:left="440"/>
      </w:pPr>
      <w:hyperlink w:anchor="_Toc3395" w:history="1">
        <w:r>
          <w:rPr>
            <w:rFonts w:ascii="IRNazanin" w:hAnsi="IRNazanin" w:eastAsia="IRNazanin" w:cs="IRNazanin"/>
            <w:color w:val="111111"/>
            <w:sz w:val="22"/>
            <w:szCs w:val="22"/>
            <w:b w:val="0"/>
            <w:bCs w:val="0"/>
            <w:i w:val="0"/>
            <w:iCs w:val="0"/>
          </w:rPr>
          <w:t>2627 دیوان السلطان عبد الله أو شعره‏</w:t>
        </w:r>
        <w:r>
          <w:tab/>
        </w:r>
        <w:r>
          <w:fldChar w:fldCharType="begin"/>
        </w:r>
        <w:r>
          <w:instrText xml:space="preserve">PAGEREF 3395 \h</w:instrText>
        </w:r>
        <w:r>
          <w:fldChar w:fldCharType="end"/>
        </w:r>
      </w:hyperlink>
    </w:p>
    <w:p>
      <w:pPr>
        <w:tabs>
          <w:tab w:val="right" w:leader="dot" w:pos="9062"/>
        </w:tabs>
        <w:ind w:left="440"/>
      </w:pPr>
      <w:hyperlink w:anchor="_Toc3396" w:history="1">
        <w:r>
          <w:rPr>
            <w:rFonts w:ascii="IRNazanin" w:hAnsi="IRNazanin" w:eastAsia="IRNazanin" w:cs="IRNazanin"/>
            <w:color w:val="111111"/>
            <w:sz w:val="22"/>
            <w:szCs w:val="22"/>
            <w:b w:val="0"/>
            <w:bCs w:val="0"/>
            <w:i w:val="0"/>
            <w:iCs w:val="0"/>
          </w:rPr>
          <w:t>دیوان سلطان العلماء</w:t>
        </w:r>
        <w:r>
          <w:tab/>
        </w:r>
        <w:r>
          <w:fldChar w:fldCharType="begin"/>
        </w:r>
        <w:r>
          <w:instrText xml:space="preserve">PAGEREF 3396 \h</w:instrText>
        </w:r>
        <w:r>
          <w:fldChar w:fldCharType="end"/>
        </w:r>
      </w:hyperlink>
    </w:p>
    <w:p>
      <w:pPr>
        <w:tabs>
          <w:tab w:val="right" w:leader="dot" w:pos="9062"/>
        </w:tabs>
        <w:ind w:left="440"/>
      </w:pPr>
      <w:hyperlink w:anchor="_Toc3397" w:history="1">
        <w:r>
          <w:rPr>
            <w:rFonts w:ascii="IRNazanin" w:hAnsi="IRNazanin" w:eastAsia="IRNazanin" w:cs="IRNazanin"/>
            <w:color w:val="111111"/>
            <w:sz w:val="22"/>
            <w:szCs w:val="22"/>
            <w:b w:val="0"/>
            <w:bCs w:val="0"/>
            <w:i w:val="0"/>
            <w:iCs w:val="0"/>
          </w:rPr>
          <w:t>دیوان سلطان علی أوبهی‏</w:t>
        </w:r>
        <w:r>
          <w:tab/>
        </w:r>
        <w:r>
          <w:fldChar w:fldCharType="begin"/>
        </w:r>
        <w:r>
          <w:instrText xml:space="preserve">PAGEREF 3397 \h</w:instrText>
        </w:r>
        <w:r>
          <w:fldChar w:fldCharType="end"/>
        </w:r>
      </w:hyperlink>
    </w:p>
    <w:p>
      <w:pPr>
        <w:tabs>
          <w:tab w:val="right" w:leader="dot" w:pos="9062"/>
        </w:tabs>
        <w:ind w:left="440"/>
      </w:pPr>
      <w:hyperlink w:anchor="_Toc3398" w:history="1">
        <w:r>
          <w:rPr>
            <w:rFonts w:ascii="IRNazanin" w:hAnsi="IRNazanin" w:eastAsia="IRNazanin" w:cs="IRNazanin"/>
            <w:color w:val="111111"/>
            <w:sz w:val="22"/>
            <w:szCs w:val="22"/>
            <w:b w:val="0"/>
            <w:bCs w:val="0"/>
            <w:i w:val="0"/>
            <w:iCs w:val="0"/>
          </w:rPr>
          <w:t>دیوان سلطان علی بیگ‏</w:t>
        </w:r>
        <w:r>
          <w:tab/>
        </w:r>
        <w:r>
          <w:fldChar w:fldCharType="begin"/>
        </w:r>
        <w:r>
          <w:instrText xml:space="preserve">PAGEREF 3398 \h</w:instrText>
        </w:r>
        <w:r>
          <w:fldChar w:fldCharType="end"/>
        </w:r>
      </w:hyperlink>
    </w:p>
    <w:p>
      <w:pPr>
        <w:tabs>
          <w:tab w:val="right" w:leader="dot" w:pos="9062"/>
        </w:tabs>
        <w:ind w:left="440"/>
      </w:pPr>
      <w:hyperlink w:anchor="_Toc3399" w:history="1">
        <w:r>
          <w:rPr>
            <w:rFonts w:ascii="IRNazanin" w:hAnsi="IRNazanin" w:eastAsia="IRNazanin" w:cs="IRNazanin"/>
            <w:color w:val="111111"/>
            <w:sz w:val="22"/>
            <w:szCs w:val="22"/>
            <w:b w:val="0"/>
            <w:bCs w:val="0"/>
            <w:i w:val="0"/>
            <w:iCs w:val="0"/>
          </w:rPr>
          <w:t>دیوان سلطان علی شاملو</w:t>
        </w:r>
        <w:r>
          <w:tab/>
        </w:r>
        <w:r>
          <w:fldChar w:fldCharType="begin"/>
        </w:r>
        <w:r>
          <w:instrText xml:space="preserve">PAGEREF 3399 \h</w:instrText>
        </w:r>
        <w:r>
          <w:fldChar w:fldCharType="end"/>
        </w:r>
      </w:hyperlink>
    </w:p>
    <w:p>
      <w:pPr>
        <w:tabs>
          <w:tab w:val="right" w:leader="dot" w:pos="9062"/>
        </w:tabs>
        <w:ind w:left="440"/>
      </w:pPr>
      <w:hyperlink w:anchor="_Toc3400" w:history="1">
        <w:r>
          <w:rPr>
            <w:rFonts w:ascii="IRNazanin" w:hAnsi="IRNazanin" w:eastAsia="IRNazanin" w:cs="IRNazanin"/>
            <w:color w:val="111111"/>
            <w:sz w:val="22"/>
            <w:szCs w:val="22"/>
            <w:b w:val="0"/>
            <w:bCs w:val="0"/>
            <w:i w:val="0"/>
            <w:iCs w:val="0"/>
          </w:rPr>
          <w:t>دیوان سلطان علی قائنی أو شعره‏</w:t>
        </w:r>
        <w:r>
          <w:tab/>
        </w:r>
        <w:r>
          <w:fldChar w:fldCharType="begin"/>
        </w:r>
        <w:r>
          <w:instrText xml:space="preserve">PAGEREF 3400 \h</w:instrText>
        </w:r>
        <w:r>
          <w:fldChar w:fldCharType="end"/>
        </w:r>
      </w:hyperlink>
    </w:p>
    <w:p>
      <w:pPr>
        <w:tabs>
          <w:tab w:val="right" w:leader="dot" w:pos="9062"/>
        </w:tabs>
        <w:ind w:left="440"/>
      </w:pPr>
      <w:hyperlink w:anchor="_Toc3401" w:history="1">
        <w:r>
          <w:rPr>
            <w:rFonts w:ascii="IRNazanin" w:hAnsi="IRNazanin" w:eastAsia="IRNazanin" w:cs="IRNazanin"/>
            <w:color w:val="111111"/>
            <w:sz w:val="22"/>
            <w:szCs w:val="22"/>
            <w:b w:val="0"/>
            <w:bCs w:val="0"/>
            <w:i w:val="0"/>
            <w:iCs w:val="0"/>
          </w:rPr>
          <w:t>دیوان سلطان علی کاتب‏</w:t>
        </w:r>
        <w:r>
          <w:tab/>
        </w:r>
        <w:r>
          <w:fldChar w:fldCharType="begin"/>
        </w:r>
        <w:r>
          <w:instrText xml:space="preserve">PAGEREF 3401 \h</w:instrText>
        </w:r>
        <w:r>
          <w:fldChar w:fldCharType="end"/>
        </w:r>
      </w:hyperlink>
    </w:p>
    <w:p>
      <w:pPr>
        <w:tabs>
          <w:tab w:val="right" w:leader="dot" w:pos="9062"/>
        </w:tabs>
        <w:ind w:left="440"/>
      </w:pPr>
      <w:hyperlink w:anchor="_Toc3402" w:history="1">
        <w:r>
          <w:rPr>
            <w:rFonts w:ascii="IRNazanin" w:hAnsi="IRNazanin" w:eastAsia="IRNazanin" w:cs="IRNazanin"/>
            <w:color w:val="111111"/>
            <w:sz w:val="22"/>
            <w:szCs w:val="22"/>
            <w:b w:val="0"/>
            <w:bCs w:val="0"/>
            <w:i w:val="0"/>
            <w:iCs w:val="0"/>
          </w:rPr>
          <w:t>دیوان سلطان علی مشهدی‏</w:t>
        </w:r>
        <w:r>
          <w:tab/>
        </w:r>
        <w:r>
          <w:fldChar w:fldCharType="begin"/>
        </w:r>
        <w:r>
          <w:instrText xml:space="preserve">PAGEREF 3402 \h</w:instrText>
        </w:r>
        <w:r>
          <w:fldChar w:fldCharType="end"/>
        </w:r>
      </w:hyperlink>
    </w:p>
    <w:p>
      <w:pPr>
        <w:tabs>
          <w:tab w:val="right" w:leader="dot" w:pos="9062"/>
        </w:tabs>
        <w:ind w:left="440"/>
      </w:pPr>
      <w:hyperlink w:anchor="_Toc3403" w:history="1">
        <w:r>
          <w:rPr>
            <w:rFonts w:ascii="IRNazanin" w:hAnsi="IRNazanin" w:eastAsia="IRNazanin" w:cs="IRNazanin"/>
            <w:color w:val="111111"/>
            <w:sz w:val="22"/>
            <w:szCs w:val="22"/>
            <w:b w:val="0"/>
            <w:bCs w:val="0"/>
            <w:i w:val="0"/>
            <w:iCs w:val="0"/>
          </w:rPr>
          <w:t>دیوان مولانا سلطان علی الهروی‏</w:t>
        </w:r>
        <w:r>
          <w:tab/>
        </w:r>
        <w:r>
          <w:fldChar w:fldCharType="begin"/>
        </w:r>
        <w:r>
          <w:instrText xml:space="preserve">PAGEREF 3403 \h</w:instrText>
        </w:r>
        <w:r>
          <w:fldChar w:fldCharType="end"/>
        </w:r>
      </w:hyperlink>
    </w:p>
    <w:p>
      <w:pPr>
        <w:tabs>
          <w:tab w:val="right" w:leader="dot" w:pos="9062"/>
        </w:tabs>
        <w:ind w:left="440"/>
      </w:pPr>
      <w:hyperlink w:anchor="_Toc3404" w:history="1">
        <w:r>
          <w:rPr>
            <w:rFonts w:ascii="IRNazanin" w:hAnsi="IRNazanin" w:eastAsia="IRNazanin" w:cs="IRNazanin"/>
            <w:color w:val="111111"/>
            <w:sz w:val="22"/>
            <w:szCs w:val="22"/>
            <w:b w:val="0"/>
            <w:bCs w:val="0"/>
            <w:i w:val="0"/>
            <w:iCs w:val="0"/>
          </w:rPr>
          <w:t>2628- دیوان سلطان قاجار</w:t>
        </w:r>
        <w:r>
          <w:tab/>
        </w:r>
        <w:r>
          <w:fldChar w:fldCharType="begin"/>
        </w:r>
        <w:r>
          <w:instrText xml:space="preserve">PAGEREF 3404 \h</w:instrText>
        </w:r>
        <w:r>
          <w:fldChar w:fldCharType="end"/>
        </w:r>
      </w:hyperlink>
    </w:p>
    <w:p>
      <w:pPr>
        <w:tabs>
          <w:tab w:val="right" w:leader="dot" w:pos="9062"/>
        </w:tabs>
        <w:ind w:left="440"/>
      </w:pPr>
      <w:hyperlink w:anchor="_Toc3405" w:history="1">
        <w:r>
          <w:rPr>
            <w:rFonts w:ascii="IRNazanin" w:hAnsi="IRNazanin" w:eastAsia="IRNazanin" w:cs="IRNazanin"/>
            <w:color w:val="111111"/>
            <w:sz w:val="22"/>
            <w:szCs w:val="22"/>
            <w:b w:val="0"/>
            <w:bCs w:val="0"/>
            <w:i w:val="0"/>
            <w:iCs w:val="0"/>
          </w:rPr>
          <w:t>2629- دیوان سلطان قاجار أو شعرها</w:t>
        </w:r>
        <w:r>
          <w:tab/>
        </w:r>
        <w:r>
          <w:fldChar w:fldCharType="begin"/>
        </w:r>
        <w:r>
          <w:instrText xml:space="preserve">PAGEREF 3405 \h</w:instrText>
        </w:r>
        <w:r>
          <w:fldChar w:fldCharType="end"/>
        </w:r>
      </w:hyperlink>
    </w:p>
    <w:p>
      <w:pPr>
        <w:tabs>
          <w:tab w:val="right" w:leader="dot" w:pos="9062"/>
        </w:tabs>
        <w:ind w:left="440"/>
      </w:pPr>
      <w:hyperlink w:anchor="_Toc3406" w:history="1">
        <w:r>
          <w:rPr>
            <w:rFonts w:ascii="IRNazanin" w:hAnsi="IRNazanin" w:eastAsia="IRNazanin" w:cs="IRNazanin"/>
            <w:color w:val="111111"/>
            <w:sz w:val="22"/>
            <w:szCs w:val="22"/>
            <w:b w:val="0"/>
            <w:bCs w:val="0"/>
            <w:i w:val="0"/>
            <w:iCs w:val="0"/>
          </w:rPr>
          <w:t>2630- دیوان سلطان قمی أو شعره‏</w:t>
        </w:r>
        <w:r>
          <w:tab/>
        </w:r>
        <w:r>
          <w:fldChar w:fldCharType="begin"/>
        </w:r>
        <w:r>
          <w:instrText xml:space="preserve">PAGEREF 3406 \h</w:instrText>
        </w:r>
        <w:r>
          <w:fldChar w:fldCharType="end"/>
        </w:r>
      </w:hyperlink>
    </w:p>
    <w:p>
      <w:pPr>
        <w:tabs>
          <w:tab w:val="right" w:leader="dot" w:pos="9062"/>
        </w:tabs>
        <w:ind w:left="440"/>
      </w:pPr>
      <w:hyperlink w:anchor="_Toc3407" w:history="1">
        <w:r>
          <w:rPr>
            <w:rFonts w:ascii="IRNazanin" w:hAnsi="IRNazanin" w:eastAsia="IRNazanin" w:cs="IRNazanin"/>
            <w:color w:val="111111"/>
            <w:sz w:val="22"/>
            <w:szCs w:val="22"/>
            <w:b w:val="0"/>
            <w:bCs w:val="0"/>
            <w:i w:val="0"/>
            <w:iCs w:val="0"/>
          </w:rPr>
          <w:t>دیوان سلطان کرمانشاهی‏</w:t>
        </w:r>
        <w:r>
          <w:tab/>
        </w:r>
        <w:r>
          <w:fldChar w:fldCharType="begin"/>
        </w:r>
        <w:r>
          <w:instrText xml:space="preserve">PAGEREF 3407 \h</w:instrText>
        </w:r>
        <w:r>
          <w:fldChar w:fldCharType="end"/>
        </w:r>
      </w:hyperlink>
    </w:p>
    <w:p>
      <w:pPr>
        <w:tabs>
          <w:tab w:val="right" w:leader="dot" w:pos="9062"/>
        </w:tabs>
        <w:ind w:left="440"/>
      </w:pPr>
      <w:hyperlink w:anchor="_Toc3408" w:history="1">
        <w:r>
          <w:rPr>
            <w:rFonts w:ascii="IRNazanin" w:hAnsi="IRNazanin" w:eastAsia="IRNazanin" w:cs="IRNazanin"/>
            <w:color w:val="111111"/>
            <w:sz w:val="22"/>
            <w:szCs w:val="22"/>
            <w:b w:val="0"/>
            <w:bCs w:val="0"/>
            <w:i w:val="0"/>
            <w:iCs w:val="0"/>
          </w:rPr>
          <w:t>2631- دیوان سلطان کیا أو شعره‏</w:t>
        </w:r>
        <w:r>
          <w:tab/>
        </w:r>
        <w:r>
          <w:fldChar w:fldCharType="begin"/>
        </w:r>
        <w:r>
          <w:instrText xml:space="preserve">PAGEREF 3408 \h</w:instrText>
        </w:r>
        <w:r>
          <w:fldChar w:fldCharType="end"/>
        </w:r>
      </w:hyperlink>
    </w:p>
    <w:p>
      <w:pPr>
        <w:tabs>
          <w:tab w:val="right" w:leader="dot" w:pos="9062"/>
        </w:tabs>
        <w:ind w:left="440"/>
      </w:pPr>
      <w:hyperlink w:anchor="_Toc3409" w:history="1">
        <w:r>
          <w:rPr>
            <w:rFonts w:ascii="IRNazanin" w:hAnsi="IRNazanin" w:eastAsia="IRNazanin" w:cs="IRNazanin"/>
            <w:color w:val="111111"/>
            <w:sz w:val="22"/>
            <w:szCs w:val="22"/>
            <w:b w:val="0"/>
            <w:bCs w:val="0"/>
            <w:i w:val="0"/>
            <w:iCs w:val="0"/>
          </w:rPr>
          <w:t>2632- دیوان سلطان محمد أسترآبادی أو شعره‏</w:t>
        </w:r>
        <w:r>
          <w:tab/>
        </w:r>
        <w:r>
          <w:fldChar w:fldCharType="begin"/>
        </w:r>
        <w:r>
          <w:instrText xml:space="preserve">PAGEREF 3409 \h</w:instrText>
        </w:r>
        <w:r>
          <w:fldChar w:fldCharType="end"/>
        </w:r>
      </w:hyperlink>
    </w:p>
    <w:p>
      <w:pPr>
        <w:tabs>
          <w:tab w:val="right" w:leader="dot" w:pos="9062"/>
        </w:tabs>
        <w:ind w:left="440"/>
      </w:pPr>
      <w:hyperlink w:anchor="_Toc3410" w:history="1">
        <w:r>
          <w:rPr>
            <w:rFonts w:ascii="IRNazanin" w:hAnsi="IRNazanin" w:eastAsia="IRNazanin" w:cs="IRNazanin"/>
            <w:color w:val="111111"/>
            <w:sz w:val="22"/>
            <w:szCs w:val="22"/>
            <w:b w:val="0"/>
            <w:bCs w:val="0"/>
            <w:i w:val="0"/>
            <w:iCs w:val="0"/>
          </w:rPr>
          <w:t>دیوان سلطان محمد أسترآبادی الکاشانی‏</w:t>
        </w:r>
        <w:r>
          <w:tab/>
        </w:r>
        <w:r>
          <w:fldChar w:fldCharType="begin"/>
        </w:r>
        <w:r>
          <w:instrText xml:space="preserve">PAGEREF 3410 \h</w:instrText>
        </w:r>
        <w:r>
          <w:fldChar w:fldCharType="end"/>
        </w:r>
      </w:hyperlink>
    </w:p>
    <w:p>
      <w:pPr>
        <w:tabs>
          <w:tab w:val="right" w:leader="dot" w:pos="9062"/>
        </w:tabs>
        <w:ind w:left="440"/>
      </w:pPr>
      <w:hyperlink w:anchor="_Toc3411" w:history="1">
        <w:r>
          <w:rPr>
            <w:rFonts w:ascii="IRNazanin" w:hAnsi="IRNazanin" w:eastAsia="IRNazanin" w:cs="IRNazanin"/>
            <w:color w:val="111111"/>
            <w:sz w:val="22"/>
            <w:szCs w:val="22"/>
            <w:b w:val="0"/>
            <w:bCs w:val="0"/>
            <w:i w:val="0"/>
            <w:iCs w:val="0"/>
          </w:rPr>
          <w:t>2633- دیوان سلطان محمد خندان أو شعره‏</w:t>
        </w:r>
        <w:r>
          <w:tab/>
        </w:r>
        <w:r>
          <w:fldChar w:fldCharType="begin"/>
        </w:r>
        <w:r>
          <w:instrText xml:space="preserve">PAGEREF 3411 \h</w:instrText>
        </w:r>
        <w:r>
          <w:fldChar w:fldCharType="end"/>
        </w:r>
      </w:hyperlink>
    </w:p>
    <w:p>
      <w:pPr>
        <w:tabs>
          <w:tab w:val="right" w:leader="dot" w:pos="9062"/>
        </w:tabs>
        <w:ind w:left="440"/>
      </w:pPr>
      <w:hyperlink w:anchor="_Toc3412" w:history="1">
        <w:r>
          <w:rPr>
            <w:rFonts w:ascii="IRNazanin" w:hAnsi="IRNazanin" w:eastAsia="IRNazanin" w:cs="IRNazanin"/>
            <w:color w:val="111111"/>
            <w:sz w:val="22"/>
            <w:szCs w:val="22"/>
            <w:b w:val="0"/>
            <w:bCs w:val="0"/>
            <w:i w:val="0"/>
            <w:iCs w:val="0"/>
          </w:rPr>
          <w:t>دیوان سلطان محمد سبزواری‏</w:t>
        </w:r>
        <w:r>
          <w:tab/>
        </w:r>
        <w:r>
          <w:fldChar w:fldCharType="begin"/>
        </w:r>
        <w:r>
          <w:instrText xml:space="preserve">PAGEREF 3412 \h</w:instrText>
        </w:r>
        <w:r>
          <w:fldChar w:fldCharType="end"/>
        </w:r>
      </w:hyperlink>
    </w:p>
    <w:p>
      <w:pPr>
        <w:tabs>
          <w:tab w:val="right" w:leader="dot" w:pos="9062"/>
        </w:tabs>
        <w:ind w:left="440"/>
      </w:pPr>
      <w:hyperlink w:anchor="_Toc3413" w:history="1">
        <w:r>
          <w:rPr>
            <w:rFonts w:ascii="IRNazanin" w:hAnsi="IRNazanin" w:eastAsia="IRNazanin" w:cs="IRNazanin"/>
            <w:color w:val="111111"/>
            <w:sz w:val="22"/>
            <w:szCs w:val="22"/>
            <w:b w:val="0"/>
            <w:bCs w:val="0"/>
            <w:i w:val="0"/>
            <w:iCs w:val="0"/>
          </w:rPr>
          <w:t>2634- دیوان سلطان محمد سلجوقی أو شعره‏</w:t>
        </w:r>
        <w:r>
          <w:tab/>
        </w:r>
        <w:r>
          <w:fldChar w:fldCharType="begin"/>
        </w:r>
        <w:r>
          <w:instrText xml:space="preserve">PAGEREF 3413 \h</w:instrText>
        </w:r>
        <w:r>
          <w:fldChar w:fldCharType="end"/>
        </w:r>
      </w:hyperlink>
    </w:p>
    <w:p>
      <w:pPr>
        <w:tabs>
          <w:tab w:val="right" w:leader="dot" w:pos="9062"/>
        </w:tabs>
        <w:ind w:left="440"/>
      </w:pPr>
      <w:hyperlink w:anchor="_Toc3414" w:history="1">
        <w:r>
          <w:rPr>
            <w:rFonts w:ascii="IRNazanin" w:hAnsi="IRNazanin" w:eastAsia="IRNazanin" w:cs="IRNazanin"/>
            <w:color w:val="111111"/>
            <w:sz w:val="22"/>
            <w:szCs w:val="22"/>
            <w:b w:val="0"/>
            <w:bCs w:val="0"/>
            <w:i w:val="0"/>
            <w:iCs w:val="0"/>
          </w:rPr>
          <w:t>2635- دیوان سلطان محمد شارختی هروی أو شعره‏</w:t>
        </w:r>
        <w:r>
          <w:tab/>
        </w:r>
        <w:r>
          <w:fldChar w:fldCharType="begin"/>
        </w:r>
        <w:r>
          <w:instrText xml:space="preserve">PAGEREF 3414 \h</w:instrText>
        </w:r>
        <w:r>
          <w:fldChar w:fldCharType="end"/>
        </w:r>
      </w:hyperlink>
    </w:p>
    <w:p>
      <w:pPr>
        <w:tabs>
          <w:tab w:val="right" w:leader="dot" w:pos="9062"/>
        </w:tabs>
        <w:ind w:left="440"/>
      </w:pPr>
      <w:hyperlink w:anchor="_Toc3415" w:history="1">
        <w:r>
          <w:rPr>
            <w:rFonts w:ascii="IRNazanin" w:hAnsi="IRNazanin" w:eastAsia="IRNazanin" w:cs="IRNazanin"/>
            <w:color w:val="111111"/>
            <w:sz w:val="22"/>
            <w:szCs w:val="22"/>
            <w:b w:val="0"/>
            <w:bCs w:val="0"/>
            <w:i w:val="0"/>
            <w:iCs w:val="0"/>
          </w:rPr>
          <w:t>2636- دیوان سلطان محمد میرزا أو شعره‏</w:t>
        </w:r>
        <w:r>
          <w:tab/>
        </w:r>
        <w:r>
          <w:fldChar w:fldCharType="begin"/>
        </w:r>
        <w:r>
          <w:instrText xml:space="preserve">PAGEREF 3415 \h</w:instrText>
        </w:r>
        <w:r>
          <w:fldChar w:fldCharType="end"/>
        </w:r>
      </w:hyperlink>
    </w:p>
    <w:p>
      <w:pPr>
        <w:tabs>
          <w:tab w:val="right" w:leader="dot" w:pos="9062"/>
        </w:tabs>
        <w:ind w:left="440"/>
      </w:pPr>
      <w:hyperlink w:anchor="_Toc3416" w:history="1">
        <w:r>
          <w:rPr>
            <w:rFonts w:ascii="IRNazanin" w:hAnsi="IRNazanin" w:eastAsia="IRNazanin" w:cs="IRNazanin"/>
            <w:color w:val="111111"/>
            <w:sz w:val="22"/>
            <w:szCs w:val="22"/>
            <w:b w:val="0"/>
            <w:bCs w:val="0"/>
            <w:i w:val="0"/>
            <w:iCs w:val="0"/>
          </w:rPr>
          <w:t>2637- دیوان سلطان محمود میرزا أو شعره‏</w:t>
        </w:r>
        <w:r>
          <w:tab/>
        </w:r>
        <w:r>
          <w:fldChar w:fldCharType="begin"/>
        </w:r>
        <w:r>
          <w:instrText xml:space="preserve">PAGEREF 3416 \h</w:instrText>
        </w:r>
        <w:r>
          <w:fldChar w:fldCharType="end"/>
        </w:r>
      </w:hyperlink>
    </w:p>
    <w:p>
      <w:pPr>
        <w:tabs>
          <w:tab w:val="right" w:leader="dot" w:pos="9062"/>
        </w:tabs>
        <w:ind w:left="440"/>
      </w:pPr>
      <w:hyperlink w:anchor="_Toc3417" w:history="1">
        <w:r>
          <w:rPr>
            <w:rFonts w:ascii="IRNazanin" w:hAnsi="IRNazanin" w:eastAsia="IRNazanin" w:cs="IRNazanin"/>
            <w:color w:val="111111"/>
            <w:sz w:val="22"/>
            <w:szCs w:val="22"/>
            <w:b w:val="0"/>
            <w:bCs w:val="0"/>
            <w:i w:val="0"/>
            <w:iCs w:val="0"/>
          </w:rPr>
          <w:t>2638- دیوان سلطان محمود أو شعره‏</w:t>
        </w:r>
        <w:r>
          <w:tab/>
        </w:r>
        <w:r>
          <w:fldChar w:fldCharType="begin"/>
        </w:r>
        <w:r>
          <w:instrText xml:space="preserve">PAGEREF 3417 \h</w:instrText>
        </w:r>
        <w:r>
          <w:fldChar w:fldCharType="end"/>
        </w:r>
      </w:hyperlink>
    </w:p>
    <w:p>
      <w:pPr>
        <w:tabs>
          <w:tab w:val="right" w:leader="dot" w:pos="9062"/>
        </w:tabs>
        <w:ind w:left="440"/>
      </w:pPr>
      <w:hyperlink w:anchor="_Toc3418" w:history="1">
        <w:r>
          <w:rPr>
            <w:rFonts w:ascii="IRNazanin" w:hAnsi="IRNazanin" w:eastAsia="IRNazanin" w:cs="IRNazanin"/>
            <w:color w:val="111111"/>
            <w:sz w:val="22"/>
            <w:szCs w:val="22"/>
            <w:b w:val="0"/>
            <w:bCs w:val="0"/>
            <w:i w:val="0"/>
            <w:iCs w:val="0"/>
          </w:rPr>
          <w:t>دیوان السلطان مسعود</w:t>
        </w:r>
        <w:r>
          <w:tab/>
        </w:r>
        <w:r>
          <w:fldChar w:fldCharType="begin"/>
        </w:r>
        <w:r>
          <w:instrText xml:space="preserve">PAGEREF 3418 \h</w:instrText>
        </w:r>
        <w:r>
          <w:fldChar w:fldCharType="end"/>
        </w:r>
      </w:hyperlink>
    </w:p>
    <w:p>
      <w:pPr>
        <w:tabs>
          <w:tab w:val="right" w:leader="dot" w:pos="9062"/>
        </w:tabs>
        <w:ind w:left="440"/>
      </w:pPr>
      <w:hyperlink w:anchor="_Toc3419" w:history="1">
        <w:r>
          <w:rPr>
            <w:rFonts w:ascii="IRNazanin" w:hAnsi="IRNazanin" w:eastAsia="IRNazanin" w:cs="IRNazanin"/>
            <w:color w:val="111111"/>
            <w:sz w:val="22"/>
            <w:szCs w:val="22"/>
            <w:b w:val="0"/>
            <w:bCs w:val="0"/>
            <w:i w:val="0"/>
            <w:iCs w:val="0"/>
          </w:rPr>
          <w:t>دیوان سلطان مشهدی‏</w:t>
        </w:r>
        <w:r>
          <w:tab/>
        </w:r>
        <w:r>
          <w:fldChar w:fldCharType="begin"/>
        </w:r>
        <w:r>
          <w:instrText xml:space="preserve">PAGEREF 3419 \h</w:instrText>
        </w:r>
        <w:r>
          <w:fldChar w:fldCharType="end"/>
        </w:r>
      </w:hyperlink>
    </w:p>
    <w:p>
      <w:pPr>
        <w:tabs>
          <w:tab w:val="right" w:leader="dot" w:pos="9062"/>
        </w:tabs>
        <w:ind w:left="440"/>
      </w:pPr>
      <w:hyperlink w:anchor="_Toc3420" w:history="1">
        <w:r>
          <w:rPr>
            <w:rFonts w:ascii="IRNazanin" w:hAnsi="IRNazanin" w:eastAsia="IRNazanin" w:cs="IRNazanin"/>
            <w:color w:val="111111"/>
            <w:sz w:val="22"/>
            <w:szCs w:val="22"/>
            <w:b w:val="0"/>
            <w:bCs w:val="0"/>
            <w:i w:val="0"/>
            <w:iCs w:val="0"/>
          </w:rPr>
          <w:t>2639- دیوان سلطان مصطفی میرزا أو شعره‏</w:t>
        </w:r>
        <w:r>
          <w:tab/>
        </w:r>
        <w:r>
          <w:fldChar w:fldCharType="begin"/>
        </w:r>
        <w:r>
          <w:instrText xml:space="preserve">PAGEREF 3420 \h</w:instrText>
        </w:r>
        <w:r>
          <w:fldChar w:fldCharType="end"/>
        </w:r>
      </w:hyperlink>
    </w:p>
    <w:p>
      <w:pPr>
        <w:tabs>
          <w:tab w:val="right" w:leader="dot" w:pos="9062"/>
        </w:tabs>
        <w:ind w:left="440"/>
      </w:pPr>
      <w:hyperlink w:anchor="_Toc3421" w:history="1">
        <w:r>
          <w:rPr>
            <w:rFonts w:ascii="IRNazanin" w:hAnsi="IRNazanin" w:eastAsia="IRNazanin" w:cs="IRNazanin"/>
            <w:color w:val="111111"/>
            <w:sz w:val="22"/>
            <w:szCs w:val="22"/>
            <w:b w:val="0"/>
            <w:bCs w:val="0"/>
            <w:i w:val="0"/>
            <w:iCs w:val="0"/>
          </w:rPr>
          <w:t>دیوان سلطان ولد</w:t>
        </w:r>
        <w:r>
          <w:tab/>
        </w:r>
        <w:r>
          <w:fldChar w:fldCharType="begin"/>
        </w:r>
        <w:r>
          <w:instrText xml:space="preserve">PAGEREF 3421 \h</w:instrText>
        </w:r>
        <w:r>
          <w:fldChar w:fldCharType="end"/>
        </w:r>
      </w:hyperlink>
    </w:p>
    <w:p>
      <w:pPr>
        <w:tabs>
          <w:tab w:val="right" w:leader="dot" w:pos="9062"/>
        </w:tabs>
        <w:ind w:left="440"/>
      </w:pPr>
      <w:hyperlink w:anchor="_Toc3422" w:history="1">
        <w:r>
          <w:rPr>
            <w:rFonts w:ascii="IRNazanin" w:hAnsi="IRNazanin" w:eastAsia="IRNazanin" w:cs="IRNazanin"/>
            <w:color w:val="111111"/>
            <w:sz w:val="22"/>
            <w:szCs w:val="22"/>
            <w:b w:val="0"/>
            <w:bCs w:val="0"/>
            <w:i w:val="0"/>
            <w:iCs w:val="0"/>
          </w:rPr>
          <w:t>2640- دیوان سلطان ولی أو شعره‏</w:t>
        </w:r>
        <w:r>
          <w:tab/>
        </w:r>
        <w:r>
          <w:fldChar w:fldCharType="begin"/>
        </w:r>
        <w:r>
          <w:instrText xml:space="preserve">PAGEREF 3422 \h</w:instrText>
        </w:r>
        <w:r>
          <w:fldChar w:fldCharType="end"/>
        </w:r>
      </w:hyperlink>
    </w:p>
    <w:p>
      <w:pPr>
        <w:tabs>
          <w:tab w:val="right" w:leader="dot" w:pos="9062"/>
        </w:tabs>
        <w:ind w:left="440"/>
      </w:pPr>
      <w:hyperlink w:anchor="_Toc3423" w:history="1">
        <w:r>
          <w:rPr>
            <w:rFonts w:ascii="IRNazanin" w:hAnsi="IRNazanin" w:eastAsia="IRNazanin" w:cs="IRNazanin"/>
            <w:color w:val="111111"/>
            <w:sz w:val="22"/>
            <w:szCs w:val="22"/>
            <w:b w:val="0"/>
            <w:bCs w:val="0"/>
            <w:i w:val="0"/>
            <w:iCs w:val="0"/>
          </w:rPr>
          <w:t>2641- دیوان سلطان هندی‏</w:t>
        </w:r>
        <w:r>
          <w:tab/>
        </w:r>
        <w:r>
          <w:fldChar w:fldCharType="begin"/>
        </w:r>
        <w:r>
          <w:instrText xml:space="preserve">PAGEREF 3423 \h</w:instrText>
        </w:r>
        <w:r>
          <w:fldChar w:fldCharType="end"/>
        </w:r>
      </w:hyperlink>
    </w:p>
    <w:p>
      <w:pPr>
        <w:tabs>
          <w:tab w:val="right" w:leader="dot" w:pos="9062"/>
        </w:tabs>
        <w:ind w:left="440"/>
      </w:pPr>
      <w:hyperlink w:anchor="_Toc3424" w:history="1">
        <w:r>
          <w:rPr>
            <w:rFonts w:ascii="IRNazanin" w:hAnsi="IRNazanin" w:eastAsia="IRNazanin" w:cs="IRNazanin"/>
            <w:color w:val="111111"/>
            <w:sz w:val="22"/>
            <w:szCs w:val="22"/>
            <w:b w:val="0"/>
            <w:bCs w:val="0"/>
            <w:i w:val="0"/>
            <w:iCs w:val="0"/>
          </w:rPr>
          <w:t>2642- دیوان سلطانی بختیاری الکرمانشاهانی الکلهری‏</w:t>
        </w:r>
        <w:r>
          <w:tab/>
        </w:r>
        <w:r>
          <w:fldChar w:fldCharType="begin"/>
        </w:r>
        <w:r>
          <w:instrText xml:space="preserve">PAGEREF 3424 \h</w:instrText>
        </w:r>
        <w:r>
          <w:fldChar w:fldCharType="end"/>
        </w:r>
      </w:hyperlink>
    </w:p>
    <w:p>
      <w:pPr>
        <w:tabs>
          <w:tab w:val="right" w:leader="dot" w:pos="9062"/>
        </w:tabs>
        <w:ind w:left="440"/>
      </w:pPr>
      <w:hyperlink w:anchor="_Toc3425" w:history="1">
        <w:r>
          <w:rPr>
            <w:rFonts w:ascii="IRNazanin" w:hAnsi="IRNazanin" w:eastAsia="IRNazanin" w:cs="IRNazanin"/>
            <w:color w:val="111111"/>
            <w:sz w:val="22"/>
            <w:szCs w:val="22"/>
            <w:b w:val="0"/>
            <w:bCs w:val="0"/>
            <w:i w:val="0"/>
            <w:iCs w:val="0"/>
          </w:rPr>
          <w:t>دیوان سلطانی کلهر</w:t>
        </w:r>
        <w:r>
          <w:tab/>
        </w:r>
        <w:r>
          <w:fldChar w:fldCharType="begin"/>
        </w:r>
        <w:r>
          <w:instrText xml:space="preserve">PAGEREF 3425 \h</w:instrText>
        </w:r>
        <w:r>
          <w:fldChar w:fldCharType="end"/>
        </w:r>
      </w:hyperlink>
    </w:p>
    <w:p>
      <w:pPr>
        <w:tabs>
          <w:tab w:val="right" w:leader="dot" w:pos="9062"/>
        </w:tabs>
        <w:ind w:left="440"/>
      </w:pPr>
      <w:hyperlink w:anchor="_Toc3426" w:history="1">
        <w:r>
          <w:rPr>
            <w:rFonts w:ascii="IRNazanin" w:hAnsi="IRNazanin" w:eastAsia="IRNazanin" w:cs="IRNazanin"/>
            <w:color w:val="111111"/>
            <w:sz w:val="22"/>
            <w:szCs w:val="22"/>
            <w:b w:val="0"/>
            <w:bCs w:val="0"/>
            <w:i w:val="0"/>
            <w:iCs w:val="0"/>
          </w:rPr>
          <w:t>2643- دیوان سلطانی مازندرانی أو شعره‏</w:t>
        </w:r>
        <w:r>
          <w:tab/>
        </w:r>
        <w:r>
          <w:fldChar w:fldCharType="begin"/>
        </w:r>
        <w:r>
          <w:instrText xml:space="preserve">PAGEREF 3426 \h</w:instrText>
        </w:r>
        <w:r>
          <w:fldChar w:fldCharType="end"/>
        </w:r>
      </w:hyperlink>
    </w:p>
    <w:p>
      <w:pPr>
        <w:tabs>
          <w:tab w:val="right" w:leader="dot" w:pos="9062"/>
        </w:tabs>
        <w:ind w:left="440"/>
      </w:pPr>
      <w:hyperlink w:anchor="_Toc3427" w:history="1">
        <w:r>
          <w:rPr>
            <w:rFonts w:ascii="IRNazanin" w:hAnsi="IRNazanin" w:eastAsia="IRNazanin" w:cs="IRNazanin"/>
            <w:color w:val="111111"/>
            <w:sz w:val="22"/>
            <w:szCs w:val="22"/>
            <w:b w:val="0"/>
            <w:bCs w:val="0"/>
            <w:i w:val="0"/>
            <w:iCs w:val="0"/>
          </w:rPr>
          <w:t>دیوان سلغر</w:t>
        </w:r>
        <w:r>
          <w:tab/>
        </w:r>
        <w:r>
          <w:fldChar w:fldCharType="begin"/>
        </w:r>
        <w:r>
          <w:instrText xml:space="preserve">PAGEREF 3427 \h</w:instrText>
        </w:r>
        <w:r>
          <w:fldChar w:fldCharType="end"/>
        </w:r>
      </w:hyperlink>
    </w:p>
    <w:p>
      <w:pPr>
        <w:tabs>
          <w:tab w:val="right" w:leader="dot" w:pos="9062"/>
        </w:tabs>
        <w:ind w:left="440"/>
      </w:pPr>
      <w:hyperlink w:anchor="_Toc3428" w:history="1">
        <w:r>
          <w:rPr>
            <w:rFonts w:ascii="IRNazanin" w:hAnsi="IRNazanin" w:eastAsia="IRNazanin" w:cs="IRNazanin"/>
            <w:color w:val="111111"/>
            <w:sz w:val="22"/>
            <w:szCs w:val="22"/>
            <w:b w:val="0"/>
            <w:bCs w:val="0"/>
            <w:i w:val="0"/>
            <w:iCs w:val="0"/>
          </w:rPr>
          <w:t>2644- دیوان سلمان أصفهانی‏</w:t>
        </w:r>
        <w:r>
          <w:tab/>
        </w:r>
        <w:r>
          <w:fldChar w:fldCharType="begin"/>
        </w:r>
        <w:r>
          <w:instrText xml:space="preserve">PAGEREF 3428 \h</w:instrText>
        </w:r>
        <w:r>
          <w:fldChar w:fldCharType="end"/>
        </w:r>
      </w:hyperlink>
    </w:p>
    <w:p>
      <w:pPr>
        <w:tabs>
          <w:tab w:val="right" w:leader="dot" w:pos="9062"/>
        </w:tabs>
        <w:ind w:left="440"/>
      </w:pPr>
      <w:hyperlink w:anchor="_Toc3429" w:history="1">
        <w:r>
          <w:rPr>
            <w:rFonts w:ascii="IRNazanin" w:hAnsi="IRNazanin" w:eastAsia="IRNazanin" w:cs="IRNazanin"/>
            <w:color w:val="111111"/>
            <w:sz w:val="22"/>
            <w:szCs w:val="22"/>
            <w:b w:val="0"/>
            <w:bCs w:val="0"/>
            <w:i w:val="0"/>
            <w:iCs w:val="0"/>
          </w:rPr>
          <w:t>2645- دیوان سلمان ساوجی‏</w:t>
        </w:r>
        <w:r>
          <w:tab/>
        </w:r>
        <w:r>
          <w:fldChar w:fldCharType="begin"/>
        </w:r>
        <w:r>
          <w:instrText xml:space="preserve">PAGEREF 3429 \h</w:instrText>
        </w:r>
        <w:r>
          <w:fldChar w:fldCharType="end"/>
        </w:r>
      </w:hyperlink>
    </w:p>
    <w:p>
      <w:pPr>
        <w:tabs>
          <w:tab w:val="right" w:leader="dot" w:pos="9062"/>
        </w:tabs>
        <w:ind w:left="440"/>
      </w:pPr>
      <w:hyperlink w:anchor="_Toc3430" w:history="1">
        <w:r>
          <w:rPr>
            <w:rFonts w:ascii="IRNazanin" w:hAnsi="IRNazanin" w:eastAsia="IRNazanin" w:cs="IRNazanin"/>
            <w:color w:val="111111"/>
            <w:sz w:val="22"/>
            <w:szCs w:val="22"/>
            <w:b w:val="0"/>
            <w:bCs w:val="0"/>
            <w:i w:val="0"/>
            <w:iCs w:val="0"/>
          </w:rPr>
          <w:t>2646- دیوان سلوکی‏</w:t>
        </w:r>
        <w:r>
          <w:tab/>
        </w:r>
        <w:r>
          <w:fldChar w:fldCharType="begin"/>
        </w:r>
        <w:r>
          <w:instrText xml:space="preserve">PAGEREF 3430 \h</w:instrText>
        </w:r>
        <w:r>
          <w:fldChar w:fldCharType="end"/>
        </w:r>
      </w:hyperlink>
    </w:p>
    <w:p>
      <w:pPr>
        <w:tabs>
          <w:tab w:val="right" w:leader="dot" w:pos="9062"/>
        </w:tabs>
        <w:ind w:left="440"/>
      </w:pPr>
      <w:hyperlink w:anchor="_Toc3431" w:history="1">
        <w:r>
          <w:rPr>
            <w:rFonts w:ascii="IRNazanin" w:hAnsi="IRNazanin" w:eastAsia="IRNazanin" w:cs="IRNazanin"/>
            <w:color w:val="111111"/>
            <w:sz w:val="22"/>
            <w:szCs w:val="22"/>
            <w:b w:val="0"/>
            <w:bCs w:val="0"/>
            <w:i w:val="0"/>
            <w:iCs w:val="0"/>
          </w:rPr>
          <w:t>2647- دیوان سلیم بهوپالی أو شعره‏</w:t>
        </w:r>
        <w:r>
          <w:tab/>
        </w:r>
        <w:r>
          <w:fldChar w:fldCharType="begin"/>
        </w:r>
        <w:r>
          <w:instrText xml:space="preserve">PAGEREF 3431 \h</w:instrText>
        </w:r>
        <w:r>
          <w:fldChar w:fldCharType="end"/>
        </w:r>
      </w:hyperlink>
    </w:p>
    <w:p>
      <w:pPr>
        <w:tabs>
          <w:tab w:val="right" w:leader="dot" w:pos="9062"/>
        </w:tabs>
        <w:ind w:left="440"/>
      </w:pPr>
      <w:hyperlink w:anchor="_Toc3432" w:history="1">
        <w:r>
          <w:rPr>
            <w:rFonts w:ascii="IRNazanin" w:hAnsi="IRNazanin" w:eastAsia="IRNazanin" w:cs="IRNazanin"/>
            <w:color w:val="111111"/>
            <w:sz w:val="22"/>
            <w:szCs w:val="22"/>
            <w:b w:val="0"/>
            <w:bCs w:val="0"/>
            <w:i w:val="0"/>
            <w:iCs w:val="0"/>
          </w:rPr>
          <w:t>2648- دیوان سلیم شاملو</w:t>
        </w:r>
        <w:r>
          <w:tab/>
        </w:r>
        <w:r>
          <w:fldChar w:fldCharType="begin"/>
        </w:r>
        <w:r>
          <w:instrText xml:space="preserve">PAGEREF 3432 \h</w:instrText>
        </w:r>
        <w:r>
          <w:fldChar w:fldCharType="end"/>
        </w:r>
      </w:hyperlink>
    </w:p>
    <w:p>
      <w:pPr>
        <w:tabs>
          <w:tab w:val="right" w:leader="dot" w:pos="9062"/>
        </w:tabs>
        <w:ind w:left="440"/>
      </w:pPr>
      <w:hyperlink w:anchor="_Toc3433" w:history="1">
        <w:r>
          <w:rPr>
            <w:rFonts w:ascii="IRNazanin" w:hAnsi="IRNazanin" w:eastAsia="IRNazanin" w:cs="IRNazanin"/>
            <w:color w:val="111111"/>
            <w:sz w:val="22"/>
            <w:szCs w:val="22"/>
            <w:b w:val="0"/>
            <w:bCs w:val="0"/>
            <w:i w:val="0"/>
            <w:iCs w:val="0"/>
          </w:rPr>
          <w:t>2649- دیوان سلیم طهرانی‏</w:t>
        </w:r>
        <w:r>
          <w:tab/>
        </w:r>
        <w:r>
          <w:fldChar w:fldCharType="begin"/>
        </w:r>
        <w:r>
          <w:instrText xml:space="preserve">PAGEREF 3433 \h</w:instrText>
        </w:r>
        <w:r>
          <w:fldChar w:fldCharType="end"/>
        </w:r>
      </w:hyperlink>
    </w:p>
    <w:p>
      <w:pPr>
        <w:tabs>
          <w:tab w:val="right" w:leader="dot" w:pos="9062"/>
        </w:tabs>
        <w:ind w:left="440"/>
      </w:pPr>
      <w:hyperlink w:anchor="_Toc3434" w:history="1">
        <w:r>
          <w:rPr>
            <w:rFonts w:ascii="IRNazanin" w:hAnsi="IRNazanin" w:eastAsia="IRNazanin" w:cs="IRNazanin"/>
            <w:color w:val="111111"/>
            <w:sz w:val="22"/>
            <w:szCs w:val="22"/>
            <w:b w:val="0"/>
            <w:bCs w:val="0"/>
            <w:i w:val="0"/>
            <w:iCs w:val="0"/>
          </w:rPr>
          <w:t>دیوان سلیم عثمانی‏</w:t>
        </w:r>
        <w:r>
          <w:tab/>
        </w:r>
        <w:r>
          <w:fldChar w:fldCharType="begin"/>
        </w:r>
        <w:r>
          <w:instrText xml:space="preserve">PAGEREF 3434 \h</w:instrText>
        </w:r>
        <w:r>
          <w:fldChar w:fldCharType="end"/>
        </w:r>
      </w:hyperlink>
    </w:p>
    <w:p>
      <w:pPr>
        <w:tabs>
          <w:tab w:val="right" w:leader="dot" w:pos="9062"/>
        </w:tabs>
        <w:ind w:left="440"/>
      </w:pPr>
      <w:hyperlink w:anchor="_Toc3435" w:history="1">
        <w:r>
          <w:rPr>
            <w:rFonts w:ascii="IRNazanin" w:hAnsi="IRNazanin" w:eastAsia="IRNazanin" w:cs="IRNazanin"/>
            <w:color w:val="111111"/>
            <w:sz w:val="22"/>
            <w:szCs w:val="22"/>
            <w:b w:val="0"/>
            <w:bCs w:val="0"/>
            <w:i w:val="0"/>
            <w:iCs w:val="0"/>
          </w:rPr>
          <w:t>2650- دیوان سلیم کردستانی أو شعره‏</w:t>
        </w:r>
        <w:r>
          <w:tab/>
        </w:r>
        <w:r>
          <w:fldChar w:fldCharType="begin"/>
        </w:r>
        <w:r>
          <w:instrText xml:space="preserve">PAGEREF 3435 \h</w:instrText>
        </w:r>
        <w:r>
          <w:fldChar w:fldCharType="end"/>
        </w:r>
      </w:hyperlink>
    </w:p>
    <w:p>
      <w:pPr>
        <w:tabs>
          <w:tab w:val="right" w:leader="dot" w:pos="9062"/>
        </w:tabs>
        <w:ind w:left="440"/>
      </w:pPr>
      <w:hyperlink w:anchor="_Toc3436" w:history="1">
        <w:r>
          <w:rPr>
            <w:rFonts w:ascii="IRNazanin" w:hAnsi="IRNazanin" w:eastAsia="IRNazanin" w:cs="IRNazanin"/>
            <w:color w:val="111111"/>
            <w:sz w:val="22"/>
            <w:szCs w:val="22"/>
            <w:b w:val="0"/>
            <w:bCs w:val="0"/>
            <w:i w:val="0"/>
            <w:iCs w:val="0"/>
          </w:rPr>
          <w:t>2651- دیوان سلیم همدانی أو شعره‏</w:t>
        </w:r>
        <w:r>
          <w:tab/>
        </w:r>
        <w:r>
          <w:fldChar w:fldCharType="begin"/>
        </w:r>
        <w:r>
          <w:instrText xml:space="preserve">PAGEREF 3436 \h</w:instrText>
        </w:r>
        <w:r>
          <w:fldChar w:fldCharType="end"/>
        </w:r>
      </w:hyperlink>
    </w:p>
    <w:p>
      <w:pPr>
        <w:tabs>
          <w:tab w:val="right" w:leader="dot" w:pos="9062"/>
        </w:tabs>
        <w:ind w:left="440"/>
      </w:pPr>
      <w:hyperlink w:anchor="_Toc3437" w:history="1">
        <w:r>
          <w:rPr>
            <w:rFonts w:ascii="IRNazanin" w:hAnsi="IRNazanin" w:eastAsia="IRNazanin" w:cs="IRNazanin"/>
            <w:color w:val="111111"/>
            <w:sz w:val="22"/>
            <w:szCs w:val="22"/>
            <w:b w:val="0"/>
            <w:bCs w:val="0"/>
            <w:i w:val="0"/>
            <w:iCs w:val="0"/>
          </w:rPr>
          <w:t>2652- دیوان سلیما</w:t>
        </w:r>
        <w:r>
          <w:tab/>
        </w:r>
        <w:r>
          <w:fldChar w:fldCharType="begin"/>
        </w:r>
        <w:r>
          <w:instrText xml:space="preserve">PAGEREF 3437 \h</w:instrText>
        </w:r>
        <w:r>
          <w:fldChar w:fldCharType="end"/>
        </w:r>
      </w:hyperlink>
    </w:p>
    <w:p>
      <w:pPr>
        <w:tabs>
          <w:tab w:val="right" w:leader="dot" w:pos="9062"/>
        </w:tabs>
        <w:ind w:left="440"/>
      </w:pPr>
      <w:hyperlink w:anchor="_Toc3438" w:history="1">
        <w:r>
          <w:rPr>
            <w:rFonts w:ascii="IRNazanin" w:hAnsi="IRNazanin" w:eastAsia="IRNazanin" w:cs="IRNazanin"/>
            <w:color w:val="111111"/>
            <w:sz w:val="22"/>
            <w:szCs w:val="22"/>
            <w:b w:val="0"/>
            <w:bCs w:val="0"/>
            <w:i w:val="0"/>
            <w:iCs w:val="0"/>
          </w:rPr>
          <w:t>2653- دیوان سلیما طهرانی أو شعره‏</w:t>
        </w:r>
        <w:r>
          <w:tab/>
        </w:r>
        <w:r>
          <w:fldChar w:fldCharType="begin"/>
        </w:r>
        <w:r>
          <w:instrText xml:space="preserve">PAGEREF 3438 \h</w:instrText>
        </w:r>
        <w:r>
          <w:fldChar w:fldCharType="end"/>
        </w:r>
      </w:hyperlink>
    </w:p>
    <w:p>
      <w:pPr>
        <w:tabs>
          <w:tab w:val="right" w:leader="dot" w:pos="9062"/>
        </w:tabs>
        <w:ind w:left="440"/>
      </w:pPr>
      <w:hyperlink w:anchor="_Toc3439" w:history="1">
        <w:r>
          <w:rPr>
            <w:rFonts w:ascii="IRNazanin" w:hAnsi="IRNazanin" w:eastAsia="IRNazanin" w:cs="IRNazanin"/>
            <w:color w:val="111111"/>
            <w:sz w:val="22"/>
            <w:szCs w:val="22"/>
            <w:b w:val="0"/>
            <w:bCs w:val="0"/>
            <w:i w:val="0"/>
            <w:iCs w:val="0"/>
          </w:rPr>
          <w:t>دیوان سلیمان‏</w:t>
        </w:r>
        <w:r>
          <w:tab/>
        </w:r>
        <w:r>
          <w:fldChar w:fldCharType="begin"/>
        </w:r>
        <w:r>
          <w:instrText xml:space="preserve">PAGEREF 3439 \h</w:instrText>
        </w:r>
        <w:r>
          <w:fldChar w:fldCharType="end"/>
        </w:r>
      </w:hyperlink>
    </w:p>
    <w:p>
      <w:pPr>
        <w:tabs>
          <w:tab w:val="right" w:leader="dot" w:pos="9062"/>
        </w:tabs>
        <w:ind w:left="440"/>
      </w:pPr>
      <w:hyperlink w:anchor="_Toc3440" w:history="1">
        <w:r>
          <w:rPr>
            <w:rFonts w:ascii="IRNazanin" w:hAnsi="IRNazanin" w:eastAsia="IRNazanin" w:cs="IRNazanin"/>
            <w:color w:val="111111"/>
            <w:sz w:val="22"/>
            <w:szCs w:val="22"/>
            <w:b w:val="0"/>
            <w:bCs w:val="0"/>
            <w:i w:val="0"/>
            <w:iCs w:val="0"/>
          </w:rPr>
          <w:t>2654- دیوان سلیمان بن أبی سهل‏</w:t>
        </w:r>
        <w:r>
          <w:tab/>
        </w:r>
        <w:r>
          <w:fldChar w:fldCharType="begin"/>
        </w:r>
        <w:r>
          <w:instrText xml:space="preserve">PAGEREF 3440 \h</w:instrText>
        </w:r>
        <w:r>
          <w:fldChar w:fldCharType="end"/>
        </w:r>
      </w:hyperlink>
    </w:p>
    <w:p>
      <w:pPr>
        <w:tabs>
          <w:tab w:val="right" w:leader="dot" w:pos="9062"/>
        </w:tabs>
        <w:ind w:left="440"/>
      </w:pPr>
      <w:hyperlink w:anchor="_Toc3441" w:history="1">
        <w:r>
          <w:rPr>
            <w:rFonts w:ascii="IRNazanin" w:hAnsi="IRNazanin" w:eastAsia="IRNazanin" w:cs="IRNazanin"/>
            <w:color w:val="111111"/>
            <w:sz w:val="22"/>
            <w:szCs w:val="22"/>
            <w:b w:val="0"/>
            <w:bCs w:val="0"/>
            <w:i w:val="0"/>
            <w:iCs w:val="0"/>
          </w:rPr>
          <w:t>2655- دیوان سلیمان بیک أو شعره‏</w:t>
        </w:r>
        <w:r>
          <w:tab/>
        </w:r>
        <w:r>
          <w:fldChar w:fldCharType="begin"/>
        </w:r>
        <w:r>
          <w:instrText xml:space="preserve">PAGEREF 3441 \h</w:instrText>
        </w:r>
        <w:r>
          <w:fldChar w:fldCharType="end"/>
        </w:r>
      </w:hyperlink>
    </w:p>
    <w:p>
      <w:pPr>
        <w:tabs>
          <w:tab w:val="right" w:leader="dot" w:pos="9062"/>
        </w:tabs>
        <w:ind w:left="440"/>
      </w:pPr>
      <w:hyperlink w:anchor="_Toc3442" w:history="1">
        <w:r>
          <w:rPr>
            <w:rFonts w:ascii="IRNazanin" w:hAnsi="IRNazanin" w:eastAsia="IRNazanin" w:cs="IRNazanin"/>
            <w:color w:val="111111"/>
            <w:sz w:val="22"/>
            <w:szCs w:val="22"/>
            <w:b w:val="0"/>
            <w:bCs w:val="0"/>
            <w:i w:val="0"/>
            <w:iCs w:val="0"/>
          </w:rPr>
          <w:t>2656- دیوان سلیمان ترکمان أو شعره‏</w:t>
        </w:r>
        <w:r>
          <w:tab/>
        </w:r>
        <w:r>
          <w:fldChar w:fldCharType="begin"/>
        </w:r>
        <w:r>
          <w:instrText xml:space="preserve">PAGEREF 3442 \h</w:instrText>
        </w:r>
        <w:r>
          <w:fldChar w:fldCharType="end"/>
        </w:r>
      </w:hyperlink>
    </w:p>
    <w:p>
      <w:pPr>
        <w:tabs>
          <w:tab w:val="right" w:leader="dot" w:pos="9062"/>
        </w:tabs>
        <w:ind w:left="440"/>
      </w:pPr>
      <w:hyperlink w:anchor="_Toc3443" w:history="1">
        <w:r>
          <w:rPr>
            <w:rFonts w:ascii="IRNazanin" w:hAnsi="IRNazanin" w:eastAsia="IRNazanin" w:cs="IRNazanin"/>
            <w:color w:val="111111"/>
            <w:sz w:val="22"/>
            <w:szCs w:val="22"/>
            <w:b w:val="0"/>
            <w:bCs w:val="0"/>
            <w:i w:val="0"/>
            <w:iCs w:val="0"/>
          </w:rPr>
          <w:t>2657- دیوان المولی سلیمان التستری‏</w:t>
        </w:r>
        <w:r>
          <w:tab/>
        </w:r>
        <w:r>
          <w:fldChar w:fldCharType="begin"/>
        </w:r>
        <w:r>
          <w:instrText xml:space="preserve">PAGEREF 3443 \h</w:instrText>
        </w:r>
        <w:r>
          <w:fldChar w:fldCharType="end"/>
        </w:r>
      </w:hyperlink>
    </w:p>
    <w:p>
      <w:pPr>
        <w:tabs>
          <w:tab w:val="right" w:leader="dot" w:pos="9062"/>
        </w:tabs>
        <w:ind w:left="440"/>
      </w:pPr>
      <w:hyperlink w:anchor="_Toc3444" w:history="1">
        <w:r>
          <w:rPr>
            <w:rFonts w:ascii="IRNazanin" w:hAnsi="IRNazanin" w:eastAsia="IRNazanin" w:cs="IRNazanin"/>
            <w:color w:val="111111"/>
            <w:sz w:val="22"/>
            <w:szCs w:val="22"/>
            <w:b w:val="0"/>
            <w:bCs w:val="0"/>
            <w:i w:val="0"/>
            <w:iCs w:val="0"/>
          </w:rPr>
          <w:t>2658- دیوان السید سلیمان الحلی‏</w:t>
        </w:r>
        <w:r>
          <w:tab/>
        </w:r>
        <w:r>
          <w:fldChar w:fldCharType="begin"/>
        </w:r>
        <w:r>
          <w:instrText xml:space="preserve">PAGEREF 3444 \h</w:instrText>
        </w:r>
        <w:r>
          <w:fldChar w:fldCharType="end"/>
        </w:r>
      </w:hyperlink>
    </w:p>
    <w:p>
      <w:pPr>
        <w:tabs>
          <w:tab w:val="right" w:leader="dot" w:pos="9062"/>
        </w:tabs>
        <w:ind w:left="440"/>
      </w:pPr>
      <w:hyperlink w:anchor="_Toc3445" w:history="1">
        <w:r>
          <w:rPr>
            <w:rFonts w:ascii="IRNazanin" w:hAnsi="IRNazanin" w:eastAsia="IRNazanin" w:cs="IRNazanin"/>
            <w:color w:val="111111"/>
            <w:sz w:val="22"/>
            <w:szCs w:val="22"/>
            <w:b w:val="0"/>
            <w:bCs w:val="0"/>
            <w:i w:val="0"/>
            <w:iCs w:val="0"/>
          </w:rPr>
          <w:t>2659- دیوان سلیمان الخزاعی أو شعره‏</w:t>
        </w:r>
        <w:r>
          <w:tab/>
        </w:r>
        <w:r>
          <w:fldChar w:fldCharType="begin"/>
        </w:r>
        <w:r>
          <w:instrText xml:space="preserve">PAGEREF 3445 \h</w:instrText>
        </w:r>
        <w:r>
          <w:fldChar w:fldCharType="end"/>
        </w:r>
      </w:hyperlink>
    </w:p>
    <w:p>
      <w:pPr>
        <w:tabs>
          <w:tab w:val="right" w:leader="dot" w:pos="9062"/>
        </w:tabs>
        <w:ind w:left="440"/>
      </w:pPr>
      <w:hyperlink w:anchor="_Toc3446" w:history="1">
        <w:r>
          <w:rPr>
            <w:rFonts w:ascii="IRNazanin" w:hAnsi="IRNazanin" w:eastAsia="IRNazanin" w:cs="IRNazanin"/>
            <w:color w:val="111111"/>
            <w:sz w:val="22"/>
            <w:szCs w:val="22"/>
            <w:b w:val="0"/>
            <w:bCs w:val="0"/>
            <w:i w:val="0"/>
            <w:iCs w:val="0"/>
          </w:rPr>
          <w:t>2660- دیوان سلیمان شاه میرزا أو شعره‏</w:t>
        </w:r>
        <w:r>
          <w:tab/>
        </w:r>
        <w:r>
          <w:fldChar w:fldCharType="begin"/>
        </w:r>
        <w:r>
          <w:instrText xml:space="preserve">PAGEREF 3446 \h</w:instrText>
        </w:r>
        <w:r>
          <w:fldChar w:fldCharType="end"/>
        </w:r>
      </w:hyperlink>
    </w:p>
    <w:p>
      <w:pPr>
        <w:tabs>
          <w:tab w:val="right" w:leader="dot" w:pos="9062"/>
        </w:tabs>
        <w:ind w:left="440"/>
      </w:pPr>
      <w:hyperlink w:anchor="_Toc3447" w:history="1">
        <w:r>
          <w:rPr>
            <w:rFonts w:ascii="IRNazanin" w:hAnsi="IRNazanin" w:eastAsia="IRNazanin" w:cs="IRNazanin"/>
            <w:color w:val="111111"/>
            <w:sz w:val="22"/>
            <w:szCs w:val="22"/>
            <w:b w:val="0"/>
            <w:bCs w:val="0"/>
            <w:i w:val="0"/>
            <w:iCs w:val="0"/>
          </w:rPr>
          <w:t>دیوان سلیمان طهرانی‏</w:t>
        </w:r>
        <w:r>
          <w:tab/>
        </w:r>
        <w:r>
          <w:fldChar w:fldCharType="begin"/>
        </w:r>
        <w:r>
          <w:instrText xml:space="preserve">PAGEREF 3447 \h</w:instrText>
        </w:r>
        <w:r>
          <w:fldChar w:fldCharType="end"/>
        </w:r>
      </w:hyperlink>
    </w:p>
    <w:p>
      <w:pPr>
        <w:tabs>
          <w:tab w:val="right" w:leader="dot" w:pos="9062"/>
        </w:tabs>
        <w:ind w:left="440"/>
      </w:pPr>
      <w:hyperlink w:anchor="_Toc3448" w:history="1">
        <w:r>
          <w:rPr>
            <w:rFonts w:ascii="IRNazanin" w:hAnsi="IRNazanin" w:eastAsia="IRNazanin" w:cs="IRNazanin"/>
            <w:color w:val="111111"/>
            <w:sz w:val="22"/>
            <w:szCs w:val="22"/>
            <w:b w:val="0"/>
            <w:bCs w:val="0"/>
            <w:i w:val="0"/>
            <w:iCs w:val="0"/>
          </w:rPr>
          <w:t>2661- دیوان سلیمان ظاهر العاملی النبطی‏</w:t>
        </w:r>
        <w:r>
          <w:tab/>
        </w:r>
        <w:r>
          <w:fldChar w:fldCharType="begin"/>
        </w:r>
        <w:r>
          <w:instrText xml:space="preserve">PAGEREF 3448 \h</w:instrText>
        </w:r>
        <w:r>
          <w:fldChar w:fldCharType="end"/>
        </w:r>
      </w:hyperlink>
    </w:p>
    <w:p>
      <w:pPr>
        <w:tabs>
          <w:tab w:val="right" w:leader="dot" w:pos="9062"/>
        </w:tabs>
        <w:ind w:left="440"/>
      </w:pPr>
      <w:hyperlink w:anchor="_Toc3449" w:history="1">
        <w:r>
          <w:rPr>
            <w:rFonts w:ascii="IRNazanin" w:hAnsi="IRNazanin" w:eastAsia="IRNazanin" w:cs="IRNazanin"/>
            <w:color w:val="111111"/>
            <w:sz w:val="22"/>
            <w:szCs w:val="22"/>
            <w:b w:val="0"/>
            <w:bCs w:val="0"/>
            <w:i w:val="0"/>
            <w:iCs w:val="0"/>
          </w:rPr>
          <w:t>2662- دیوان سلطان سلیمان خان عثمانی أو شعره‏</w:t>
        </w:r>
        <w:r>
          <w:tab/>
        </w:r>
        <w:r>
          <w:fldChar w:fldCharType="begin"/>
        </w:r>
        <w:r>
          <w:instrText xml:space="preserve">PAGEREF 3449 \h</w:instrText>
        </w:r>
        <w:r>
          <w:fldChar w:fldCharType="end"/>
        </w:r>
      </w:hyperlink>
    </w:p>
    <w:p>
      <w:pPr>
        <w:tabs>
          <w:tab w:val="right" w:leader="dot" w:pos="9062"/>
        </w:tabs>
        <w:ind w:left="440"/>
      </w:pPr>
      <w:hyperlink w:anchor="_Toc3450" w:history="1">
        <w:r>
          <w:rPr>
            <w:rFonts w:ascii="IRNazanin" w:hAnsi="IRNazanin" w:eastAsia="IRNazanin" w:cs="IRNazanin"/>
            <w:color w:val="111111"/>
            <w:sz w:val="22"/>
            <w:szCs w:val="22"/>
            <w:b w:val="0"/>
            <w:bCs w:val="0"/>
            <w:i w:val="0"/>
            <w:iCs w:val="0"/>
          </w:rPr>
          <w:t>2663- دیوان الشیخ سلیمان الماحوزی‏</w:t>
        </w:r>
        <w:r>
          <w:tab/>
        </w:r>
        <w:r>
          <w:fldChar w:fldCharType="begin"/>
        </w:r>
        <w:r>
          <w:instrText xml:space="preserve">PAGEREF 3450 \h</w:instrText>
        </w:r>
        <w:r>
          <w:fldChar w:fldCharType="end"/>
        </w:r>
      </w:hyperlink>
    </w:p>
    <w:p>
      <w:pPr>
        <w:tabs>
          <w:tab w:val="right" w:leader="dot" w:pos="9062"/>
        </w:tabs>
        <w:ind w:left="440"/>
      </w:pPr>
      <w:hyperlink w:anchor="_Toc3451" w:history="1">
        <w:r>
          <w:rPr>
            <w:rFonts w:ascii="IRNazanin" w:hAnsi="IRNazanin" w:eastAsia="IRNazanin" w:cs="IRNazanin"/>
            <w:color w:val="111111"/>
            <w:sz w:val="22"/>
            <w:szCs w:val="22"/>
            <w:b w:val="0"/>
            <w:bCs w:val="0"/>
            <w:i w:val="0"/>
            <w:iCs w:val="0"/>
          </w:rPr>
          <w:t>2664- دیوان الشیخ سلیمان الماحوزی‏</w:t>
        </w:r>
        <w:r>
          <w:tab/>
        </w:r>
        <w:r>
          <w:fldChar w:fldCharType="begin"/>
        </w:r>
        <w:r>
          <w:instrText xml:space="preserve">PAGEREF 3451 \h</w:instrText>
        </w:r>
        <w:r>
          <w:fldChar w:fldCharType="end"/>
        </w:r>
      </w:hyperlink>
    </w:p>
    <w:p>
      <w:pPr>
        <w:tabs>
          <w:tab w:val="right" w:leader="dot" w:pos="9062"/>
        </w:tabs>
        <w:ind w:left="440"/>
      </w:pPr>
      <w:hyperlink w:anchor="_Toc3452" w:history="1">
        <w:r>
          <w:rPr>
            <w:rFonts w:ascii="IRNazanin" w:hAnsi="IRNazanin" w:eastAsia="IRNazanin" w:cs="IRNazanin"/>
            <w:color w:val="111111"/>
            <w:sz w:val="22"/>
            <w:szCs w:val="22"/>
            <w:b w:val="0"/>
            <w:bCs w:val="0"/>
            <w:i w:val="0"/>
            <w:iCs w:val="0"/>
          </w:rPr>
          <w:t>2665- دیوان السید سلیمان النجفی‏</w:t>
        </w:r>
        <w:r>
          <w:tab/>
        </w:r>
        <w:r>
          <w:fldChar w:fldCharType="begin"/>
        </w:r>
        <w:r>
          <w:instrText xml:space="preserve">PAGEREF 3452 \h</w:instrText>
        </w:r>
        <w:r>
          <w:fldChar w:fldCharType="end"/>
        </w:r>
      </w:hyperlink>
    </w:p>
    <w:p>
      <w:pPr>
        <w:tabs>
          <w:tab w:val="right" w:leader="dot" w:pos="9062"/>
        </w:tabs>
        <w:ind w:left="440"/>
      </w:pPr>
      <w:hyperlink w:anchor="_Toc3453" w:history="1">
        <w:r>
          <w:rPr>
            <w:rFonts w:ascii="IRNazanin" w:hAnsi="IRNazanin" w:eastAsia="IRNazanin" w:cs="IRNazanin"/>
            <w:color w:val="111111"/>
            <w:sz w:val="22"/>
            <w:szCs w:val="22"/>
            <w:b w:val="0"/>
            <w:bCs w:val="0"/>
            <w:i w:val="0"/>
            <w:iCs w:val="0"/>
          </w:rPr>
          <w:t>2666- دیوان سلیمانی أو شعره‏</w:t>
        </w:r>
        <w:r>
          <w:tab/>
        </w:r>
        <w:r>
          <w:fldChar w:fldCharType="begin"/>
        </w:r>
        <w:r>
          <w:instrText xml:space="preserve">PAGEREF 3453 \h</w:instrText>
        </w:r>
        <w:r>
          <w:fldChar w:fldCharType="end"/>
        </w:r>
      </w:hyperlink>
    </w:p>
    <w:p>
      <w:pPr>
        <w:tabs>
          <w:tab w:val="right" w:leader="dot" w:pos="9062"/>
        </w:tabs>
        <w:ind w:left="440"/>
      </w:pPr>
      <w:hyperlink w:anchor="_Toc3454" w:history="1">
        <w:r>
          <w:rPr>
            <w:rFonts w:ascii="IRNazanin" w:hAnsi="IRNazanin" w:eastAsia="IRNazanin" w:cs="IRNazanin"/>
            <w:color w:val="111111"/>
            <w:sz w:val="22"/>
            <w:szCs w:val="22"/>
            <w:b w:val="0"/>
            <w:bCs w:val="0"/>
            <w:i w:val="0"/>
            <w:iCs w:val="0"/>
          </w:rPr>
          <w:t>2667- دیوان سلیمی أو شعره‏</w:t>
        </w:r>
        <w:r>
          <w:tab/>
        </w:r>
        <w:r>
          <w:fldChar w:fldCharType="begin"/>
        </w:r>
        <w:r>
          <w:instrText xml:space="preserve">PAGEREF 3454 \h</w:instrText>
        </w:r>
        <w:r>
          <w:fldChar w:fldCharType="end"/>
        </w:r>
      </w:hyperlink>
    </w:p>
    <w:p>
      <w:pPr>
        <w:tabs>
          <w:tab w:val="right" w:leader="dot" w:pos="9062"/>
        </w:tabs>
        <w:ind w:left="440"/>
      </w:pPr>
      <w:hyperlink w:anchor="_Toc3455" w:history="1">
        <w:r>
          <w:rPr>
            <w:rFonts w:ascii="IRNazanin" w:hAnsi="IRNazanin" w:eastAsia="IRNazanin" w:cs="IRNazanin"/>
            <w:color w:val="111111"/>
            <w:sz w:val="22"/>
            <w:szCs w:val="22"/>
            <w:b w:val="0"/>
            <w:bCs w:val="0"/>
            <w:i w:val="0"/>
            <w:iCs w:val="0"/>
          </w:rPr>
          <w:t>2668- دیوان سلیمی تونی‏</w:t>
        </w:r>
        <w:r>
          <w:tab/>
        </w:r>
        <w:r>
          <w:fldChar w:fldCharType="begin"/>
        </w:r>
        <w:r>
          <w:instrText xml:space="preserve">PAGEREF 3455 \h</w:instrText>
        </w:r>
        <w:r>
          <w:fldChar w:fldCharType="end"/>
        </w:r>
      </w:hyperlink>
    </w:p>
    <w:p>
      <w:pPr>
        <w:tabs>
          <w:tab w:val="right" w:leader="dot" w:pos="9062"/>
        </w:tabs>
        <w:ind w:left="440"/>
      </w:pPr>
      <w:hyperlink w:anchor="_Toc3456" w:history="1">
        <w:r>
          <w:rPr>
            <w:rFonts w:ascii="IRNazanin" w:hAnsi="IRNazanin" w:eastAsia="IRNazanin" w:cs="IRNazanin"/>
            <w:color w:val="111111"/>
            <w:sz w:val="22"/>
            <w:szCs w:val="22"/>
            <w:b w:val="0"/>
            <w:bCs w:val="0"/>
            <w:i w:val="0"/>
            <w:iCs w:val="0"/>
          </w:rPr>
          <w:t>2669- دیوان سلیمی تهرانی‏</w:t>
        </w:r>
        <w:r>
          <w:tab/>
        </w:r>
        <w:r>
          <w:fldChar w:fldCharType="begin"/>
        </w:r>
        <w:r>
          <w:instrText xml:space="preserve">PAGEREF 3456 \h</w:instrText>
        </w:r>
        <w:r>
          <w:fldChar w:fldCharType="end"/>
        </w:r>
      </w:hyperlink>
    </w:p>
    <w:p>
      <w:pPr>
        <w:tabs>
          <w:tab w:val="right" w:leader="dot" w:pos="9062"/>
        </w:tabs>
        <w:ind w:left="440"/>
      </w:pPr>
      <w:hyperlink w:anchor="_Toc3457" w:history="1">
        <w:r>
          <w:rPr>
            <w:rFonts w:ascii="IRNazanin" w:hAnsi="IRNazanin" w:eastAsia="IRNazanin" w:cs="IRNazanin"/>
            <w:color w:val="111111"/>
            <w:sz w:val="22"/>
            <w:szCs w:val="22"/>
            <w:b w:val="0"/>
            <w:bCs w:val="0"/>
            <w:i w:val="0"/>
            <w:iCs w:val="0"/>
          </w:rPr>
          <w:t>2670- دیوان سلیمی عثمانی‏</w:t>
        </w:r>
        <w:r>
          <w:tab/>
        </w:r>
        <w:r>
          <w:fldChar w:fldCharType="begin"/>
        </w:r>
        <w:r>
          <w:instrText xml:space="preserve">PAGEREF 3457 \h</w:instrText>
        </w:r>
        <w:r>
          <w:fldChar w:fldCharType="end"/>
        </w:r>
      </w:hyperlink>
    </w:p>
    <w:p>
      <w:pPr>
        <w:tabs>
          <w:tab w:val="right" w:leader="dot" w:pos="9062"/>
        </w:tabs>
        <w:ind w:left="440"/>
      </w:pPr>
      <w:hyperlink w:anchor="_Toc3458" w:history="1">
        <w:r>
          <w:rPr>
            <w:rFonts w:ascii="IRNazanin" w:hAnsi="IRNazanin" w:eastAsia="IRNazanin" w:cs="IRNazanin"/>
            <w:color w:val="111111"/>
            <w:sz w:val="22"/>
            <w:szCs w:val="22"/>
            <w:b w:val="0"/>
            <w:bCs w:val="0"/>
            <w:i w:val="0"/>
            <w:iCs w:val="0"/>
          </w:rPr>
          <w:t>2671- دیوان سلیمی فیروزکوهی أو شعره‏</w:t>
        </w:r>
        <w:r>
          <w:tab/>
        </w:r>
        <w:r>
          <w:fldChar w:fldCharType="begin"/>
        </w:r>
        <w:r>
          <w:instrText xml:space="preserve">PAGEREF 3458 \h</w:instrText>
        </w:r>
        <w:r>
          <w:fldChar w:fldCharType="end"/>
        </w:r>
      </w:hyperlink>
    </w:p>
    <w:p>
      <w:pPr>
        <w:tabs>
          <w:tab w:val="right" w:leader="dot" w:pos="9062"/>
        </w:tabs>
        <w:ind w:left="440"/>
      </w:pPr>
      <w:hyperlink w:anchor="_Toc3459" w:history="1">
        <w:r>
          <w:rPr>
            <w:rFonts w:ascii="IRNazanin" w:hAnsi="IRNazanin" w:eastAsia="IRNazanin" w:cs="IRNazanin"/>
            <w:color w:val="111111"/>
            <w:sz w:val="22"/>
            <w:szCs w:val="22"/>
            <w:b w:val="0"/>
            <w:bCs w:val="0"/>
            <w:i w:val="0"/>
            <w:iCs w:val="0"/>
          </w:rPr>
          <w:t>2672- دیوان سمائی کحال أو شعره‏</w:t>
        </w:r>
        <w:r>
          <w:tab/>
        </w:r>
        <w:r>
          <w:fldChar w:fldCharType="begin"/>
        </w:r>
        <w:r>
          <w:instrText xml:space="preserve">PAGEREF 3459 \h</w:instrText>
        </w:r>
        <w:r>
          <w:fldChar w:fldCharType="end"/>
        </w:r>
      </w:hyperlink>
    </w:p>
    <w:p>
      <w:pPr>
        <w:tabs>
          <w:tab w:val="right" w:leader="dot" w:pos="9062"/>
        </w:tabs>
        <w:ind w:left="440"/>
      </w:pPr>
      <w:hyperlink w:anchor="_Toc3460" w:history="1">
        <w:r>
          <w:rPr>
            <w:rFonts w:ascii="IRNazanin" w:hAnsi="IRNazanin" w:eastAsia="IRNazanin" w:cs="IRNazanin"/>
            <w:color w:val="111111"/>
            <w:sz w:val="22"/>
            <w:szCs w:val="22"/>
            <w:b w:val="0"/>
            <w:bCs w:val="0"/>
            <w:i w:val="0"/>
            <w:iCs w:val="0"/>
          </w:rPr>
          <w:t>2673- دیوان سمائی مروزی أو شعره‏</w:t>
        </w:r>
        <w:r>
          <w:tab/>
        </w:r>
        <w:r>
          <w:fldChar w:fldCharType="begin"/>
        </w:r>
        <w:r>
          <w:instrText xml:space="preserve">PAGEREF 3460 \h</w:instrText>
        </w:r>
        <w:r>
          <w:fldChar w:fldCharType="end"/>
        </w:r>
      </w:hyperlink>
    </w:p>
    <w:p>
      <w:pPr>
        <w:tabs>
          <w:tab w:val="right" w:leader="dot" w:pos="9062"/>
        </w:tabs>
        <w:ind w:left="440"/>
      </w:pPr>
      <w:hyperlink w:anchor="_Toc3461" w:history="1">
        <w:r>
          <w:rPr>
            <w:rFonts w:ascii="IRNazanin" w:hAnsi="IRNazanin" w:eastAsia="IRNazanin" w:cs="IRNazanin"/>
            <w:color w:val="111111"/>
            <w:sz w:val="22"/>
            <w:szCs w:val="22"/>
            <w:b w:val="0"/>
            <w:bCs w:val="0"/>
            <w:i w:val="0"/>
            <w:iCs w:val="0"/>
          </w:rPr>
          <w:t>2674- دیوان السماوی‏</w:t>
        </w:r>
        <w:r>
          <w:tab/>
        </w:r>
        <w:r>
          <w:fldChar w:fldCharType="begin"/>
        </w:r>
        <w:r>
          <w:instrText xml:space="preserve">PAGEREF 3461 \h</w:instrText>
        </w:r>
        <w:r>
          <w:fldChar w:fldCharType="end"/>
        </w:r>
      </w:hyperlink>
    </w:p>
    <w:p>
      <w:pPr>
        <w:tabs>
          <w:tab w:val="right" w:leader="dot" w:pos="9062"/>
        </w:tabs>
        <w:ind w:left="440"/>
      </w:pPr>
      <w:hyperlink w:anchor="_Toc3462" w:history="1">
        <w:r>
          <w:rPr>
            <w:rFonts w:ascii="IRNazanin" w:hAnsi="IRNazanin" w:eastAsia="IRNazanin" w:cs="IRNazanin"/>
            <w:color w:val="111111"/>
            <w:sz w:val="22"/>
            <w:szCs w:val="22"/>
            <w:b w:val="0"/>
            <w:bCs w:val="0"/>
            <w:i w:val="0"/>
            <w:iCs w:val="0"/>
          </w:rPr>
          <w:t>2675- دیوان السماهیجی‏</w:t>
        </w:r>
        <w:r>
          <w:tab/>
        </w:r>
        <w:r>
          <w:fldChar w:fldCharType="begin"/>
        </w:r>
        <w:r>
          <w:instrText xml:space="preserve">PAGEREF 3462 \h</w:instrText>
        </w:r>
        <w:r>
          <w:fldChar w:fldCharType="end"/>
        </w:r>
      </w:hyperlink>
    </w:p>
    <w:p>
      <w:pPr>
        <w:tabs>
          <w:tab w:val="right" w:leader="dot" w:pos="9062"/>
        </w:tabs>
        <w:ind w:left="440"/>
      </w:pPr>
      <w:hyperlink w:anchor="_Toc3463" w:history="1">
        <w:r>
          <w:rPr>
            <w:rFonts w:ascii="IRNazanin" w:hAnsi="IRNazanin" w:eastAsia="IRNazanin" w:cs="IRNazanin"/>
            <w:color w:val="111111"/>
            <w:sz w:val="22"/>
            <w:szCs w:val="22"/>
            <w:b w:val="0"/>
            <w:bCs w:val="0"/>
            <w:i w:val="0"/>
            <w:iCs w:val="0"/>
          </w:rPr>
          <w:t>2676- دیوان سمر</w:t>
        </w:r>
        <w:r>
          <w:tab/>
        </w:r>
        <w:r>
          <w:fldChar w:fldCharType="begin"/>
        </w:r>
        <w:r>
          <w:instrText xml:space="preserve">PAGEREF 3463 \h</w:instrText>
        </w:r>
        <w:r>
          <w:fldChar w:fldCharType="end"/>
        </w:r>
      </w:hyperlink>
    </w:p>
    <w:p>
      <w:pPr>
        <w:tabs>
          <w:tab w:val="right" w:leader="dot" w:pos="9062"/>
        </w:tabs>
        <w:ind w:left="440"/>
      </w:pPr>
      <w:hyperlink w:anchor="_Toc3464" w:history="1">
        <w:r>
          <w:rPr>
            <w:rFonts w:ascii="IRNazanin" w:hAnsi="IRNazanin" w:eastAsia="IRNazanin" w:cs="IRNazanin"/>
            <w:color w:val="111111"/>
            <w:sz w:val="22"/>
            <w:szCs w:val="22"/>
            <w:b w:val="0"/>
            <w:bCs w:val="0"/>
            <w:i w:val="0"/>
            <w:iCs w:val="0"/>
          </w:rPr>
          <w:t>دیوان السمری أو شعره‏</w:t>
        </w:r>
        <w:r>
          <w:tab/>
        </w:r>
        <w:r>
          <w:fldChar w:fldCharType="begin"/>
        </w:r>
        <w:r>
          <w:instrText xml:space="preserve">PAGEREF 3464 \h</w:instrText>
        </w:r>
        <w:r>
          <w:fldChar w:fldCharType="end"/>
        </w:r>
      </w:hyperlink>
    </w:p>
    <w:p>
      <w:pPr>
        <w:tabs>
          <w:tab w:val="right" w:leader="dot" w:pos="9062"/>
        </w:tabs>
        <w:ind w:left="440"/>
      </w:pPr>
      <w:hyperlink w:anchor="_Toc3465" w:history="1">
        <w:r>
          <w:rPr>
            <w:rFonts w:ascii="IRNazanin" w:hAnsi="IRNazanin" w:eastAsia="IRNazanin" w:cs="IRNazanin"/>
            <w:color w:val="111111"/>
            <w:sz w:val="22"/>
            <w:szCs w:val="22"/>
            <w:b w:val="0"/>
            <w:bCs w:val="0"/>
            <w:i w:val="0"/>
            <w:iCs w:val="0"/>
          </w:rPr>
          <w:t>2677- دیوان سمطوری الأردبیلی أو شعره‏</w:t>
        </w:r>
        <w:r>
          <w:tab/>
        </w:r>
        <w:r>
          <w:fldChar w:fldCharType="begin"/>
        </w:r>
        <w:r>
          <w:instrText xml:space="preserve">PAGEREF 3465 \h</w:instrText>
        </w:r>
        <w:r>
          <w:fldChar w:fldCharType="end"/>
        </w:r>
      </w:hyperlink>
    </w:p>
    <w:p>
      <w:pPr>
        <w:tabs>
          <w:tab w:val="right" w:leader="dot" w:pos="9062"/>
        </w:tabs>
        <w:ind w:left="440"/>
      </w:pPr>
      <w:hyperlink w:anchor="_Toc3466" w:history="1">
        <w:r>
          <w:rPr>
            <w:rFonts w:ascii="IRNazanin" w:hAnsi="IRNazanin" w:eastAsia="IRNazanin" w:cs="IRNazanin"/>
            <w:color w:val="111111"/>
            <w:sz w:val="22"/>
            <w:szCs w:val="22"/>
            <w:b w:val="0"/>
            <w:bCs w:val="0"/>
            <w:i w:val="0"/>
            <w:iCs w:val="0"/>
          </w:rPr>
          <w:t>2678- دیوان سمندر بواناتی أو شعره‏</w:t>
        </w:r>
        <w:r>
          <w:tab/>
        </w:r>
        <w:r>
          <w:fldChar w:fldCharType="begin"/>
        </w:r>
        <w:r>
          <w:instrText xml:space="preserve">PAGEREF 3466 \h</w:instrText>
        </w:r>
        <w:r>
          <w:fldChar w:fldCharType="end"/>
        </w:r>
      </w:hyperlink>
    </w:p>
    <w:p>
      <w:pPr>
        <w:tabs>
          <w:tab w:val="right" w:leader="dot" w:pos="9062"/>
        </w:tabs>
        <w:ind w:left="440"/>
      </w:pPr>
      <w:hyperlink w:anchor="_Toc3467" w:history="1">
        <w:r>
          <w:rPr>
            <w:rFonts w:ascii="IRNazanin" w:hAnsi="IRNazanin" w:eastAsia="IRNazanin" w:cs="IRNazanin"/>
            <w:color w:val="111111"/>
            <w:sz w:val="22"/>
            <w:szCs w:val="22"/>
            <w:b w:val="0"/>
            <w:bCs w:val="0"/>
            <w:i w:val="0"/>
            <w:iCs w:val="0"/>
          </w:rPr>
          <w:t>2679- دیوان سمندر گیلانی أو شعره‏</w:t>
        </w:r>
        <w:r>
          <w:tab/>
        </w:r>
        <w:r>
          <w:fldChar w:fldCharType="begin"/>
        </w:r>
        <w:r>
          <w:instrText xml:space="preserve">PAGEREF 3467 \h</w:instrText>
        </w:r>
        <w:r>
          <w:fldChar w:fldCharType="end"/>
        </w:r>
      </w:hyperlink>
    </w:p>
    <w:p>
      <w:pPr>
        <w:tabs>
          <w:tab w:val="right" w:leader="dot" w:pos="9062"/>
        </w:tabs>
        <w:ind w:left="440"/>
      </w:pPr>
      <w:hyperlink w:anchor="_Toc3468" w:history="1">
        <w:r>
          <w:rPr>
            <w:rFonts w:ascii="IRNazanin" w:hAnsi="IRNazanin" w:eastAsia="IRNazanin" w:cs="IRNazanin"/>
            <w:color w:val="111111"/>
            <w:sz w:val="22"/>
            <w:szCs w:val="22"/>
            <w:b w:val="0"/>
            <w:bCs w:val="0"/>
            <w:i w:val="0"/>
            <w:iCs w:val="0"/>
          </w:rPr>
          <w:t>2680- دیوان سموری سجزی أو شعره‏</w:t>
        </w:r>
        <w:r>
          <w:tab/>
        </w:r>
        <w:r>
          <w:fldChar w:fldCharType="begin"/>
        </w:r>
        <w:r>
          <w:instrText xml:space="preserve">PAGEREF 3468 \h</w:instrText>
        </w:r>
        <w:r>
          <w:fldChar w:fldCharType="end"/>
        </w:r>
      </w:hyperlink>
    </w:p>
    <w:p>
      <w:pPr>
        <w:tabs>
          <w:tab w:val="right" w:leader="dot" w:pos="9062"/>
        </w:tabs>
        <w:ind w:left="440"/>
      </w:pPr>
      <w:hyperlink w:anchor="_Toc3469" w:history="1">
        <w:r>
          <w:rPr>
            <w:rFonts w:ascii="IRNazanin" w:hAnsi="IRNazanin" w:eastAsia="IRNazanin" w:cs="IRNazanin"/>
            <w:color w:val="111111"/>
            <w:sz w:val="22"/>
            <w:szCs w:val="22"/>
            <w:b w:val="0"/>
            <w:bCs w:val="0"/>
            <w:i w:val="0"/>
            <w:iCs w:val="0"/>
          </w:rPr>
          <w:t>2681- دیوان سموی تبریزی أو شعره‏</w:t>
        </w:r>
        <w:r>
          <w:tab/>
        </w:r>
        <w:r>
          <w:fldChar w:fldCharType="begin"/>
        </w:r>
        <w:r>
          <w:instrText xml:space="preserve">PAGEREF 3469 \h</w:instrText>
        </w:r>
        <w:r>
          <w:fldChar w:fldCharType="end"/>
        </w:r>
      </w:hyperlink>
    </w:p>
    <w:p>
      <w:pPr>
        <w:tabs>
          <w:tab w:val="right" w:leader="dot" w:pos="9062"/>
        </w:tabs>
        <w:ind w:left="440"/>
      </w:pPr>
      <w:hyperlink w:anchor="_Toc3470" w:history="1">
        <w:r>
          <w:rPr>
            <w:rFonts w:ascii="IRNazanin" w:hAnsi="IRNazanin" w:eastAsia="IRNazanin" w:cs="IRNazanin"/>
            <w:color w:val="111111"/>
            <w:sz w:val="22"/>
            <w:szCs w:val="22"/>
            <w:b w:val="0"/>
            <w:bCs w:val="0"/>
            <w:i w:val="0"/>
            <w:iCs w:val="0"/>
          </w:rPr>
          <w:t>دیوان خواجه سمیع‏</w:t>
        </w:r>
        <w:r>
          <w:tab/>
        </w:r>
        <w:r>
          <w:fldChar w:fldCharType="begin"/>
        </w:r>
        <w:r>
          <w:instrText xml:space="preserve">PAGEREF 3470 \h</w:instrText>
        </w:r>
        <w:r>
          <w:fldChar w:fldCharType="end"/>
        </w:r>
      </w:hyperlink>
    </w:p>
    <w:p>
      <w:pPr>
        <w:tabs>
          <w:tab w:val="right" w:leader="dot" w:pos="9062"/>
        </w:tabs>
        <w:ind w:left="440"/>
      </w:pPr>
      <w:hyperlink w:anchor="_Toc3471" w:history="1">
        <w:r>
          <w:rPr>
            <w:rFonts w:ascii="IRNazanin" w:hAnsi="IRNazanin" w:eastAsia="IRNazanin" w:cs="IRNazanin"/>
            <w:color w:val="111111"/>
            <w:sz w:val="22"/>
            <w:szCs w:val="22"/>
            <w:b w:val="0"/>
            <w:bCs w:val="0"/>
            <w:i w:val="0"/>
            <w:iCs w:val="0"/>
          </w:rPr>
          <w:t>2682- دیوان سمیعی أو شعره‏</w:t>
        </w:r>
        <w:r>
          <w:tab/>
        </w:r>
        <w:r>
          <w:fldChar w:fldCharType="begin"/>
        </w:r>
        <w:r>
          <w:instrText xml:space="preserve">PAGEREF 3471 \h</w:instrText>
        </w:r>
        <w:r>
          <w:fldChar w:fldCharType="end"/>
        </w:r>
      </w:hyperlink>
    </w:p>
    <w:p>
      <w:pPr>
        <w:tabs>
          <w:tab w:val="right" w:leader="dot" w:pos="9062"/>
        </w:tabs>
        <w:ind w:left="440"/>
      </w:pPr>
      <w:hyperlink w:anchor="_Toc3472" w:history="1">
        <w:r>
          <w:rPr>
            <w:rFonts w:ascii="IRNazanin" w:hAnsi="IRNazanin" w:eastAsia="IRNazanin" w:cs="IRNazanin"/>
            <w:color w:val="111111"/>
            <w:sz w:val="22"/>
            <w:szCs w:val="22"/>
            <w:b w:val="0"/>
            <w:bCs w:val="0"/>
            <w:i w:val="0"/>
            <w:iCs w:val="0"/>
          </w:rPr>
          <w:t>دیوان سنائی حروفی‏</w:t>
        </w:r>
        <w:r>
          <w:tab/>
        </w:r>
        <w:r>
          <w:fldChar w:fldCharType="begin"/>
        </w:r>
        <w:r>
          <w:instrText xml:space="preserve">PAGEREF 3472 \h</w:instrText>
        </w:r>
        <w:r>
          <w:fldChar w:fldCharType="end"/>
        </w:r>
      </w:hyperlink>
    </w:p>
    <w:p>
      <w:pPr>
        <w:tabs>
          <w:tab w:val="right" w:leader="dot" w:pos="9062"/>
        </w:tabs>
        <w:ind w:left="440"/>
      </w:pPr>
      <w:hyperlink w:anchor="_Toc3473" w:history="1">
        <w:r>
          <w:rPr>
            <w:rFonts w:ascii="IRNazanin" w:hAnsi="IRNazanin" w:eastAsia="IRNazanin" w:cs="IRNazanin"/>
            <w:color w:val="111111"/>
            <w:sz w:val="22"/>
            <w:szCs w:val="22"/>
            <w:b w:val="0"/>
            <w:bCs w:val="0"/>
            <w:i w:val="0"/>
            <w:iCs w:val="0"/>
          </w:rPr>
          <w:t>2683- دیوان سنائی غزنوی‏</w:t>
        </w:r>
        <w:r>
          <w:tab/>
        </w:r>
        <w:r>
          <w:fldChar w:fldCharType="begin"/>
        </w:r>
        <w:r>
          <w:instrText xml:space="preserve">PAGEREF 3473 \h</w:instrText>
        </w:r>
        <w:r>
          <w:fldChar w:fldCharType="end"/>
        </w:r>
      </w:hyperlink>
    </w:p>
    <w:p>
      <w:pPr>
        <w:tabs>
          <w:tab w:val="right" w:leader="dot" w:pos="9062"/>
        </w:tabs>
        <w:ind w:left="440"/>
      </w:pPr>
      <w:hyperlink w:anchor="_Toc3474" w:history="1">
        <w:r>
          <w:rPr>
            <w:rFonts w:ascii="IRNazanin" w:hAnsi="IRNazanin" w:eastAsia="IRNazanin" w:cs="IRNazanin"/>
            <w:color w:val="111111"/>
            <w:sz w:val="22"/>
            <w:szCs w:val="22"/>
            <w:b w:val="0"/>
            <w:bCs w:val="0"/>
            <w:i w:val="0"/>
            <w:iCs w:val="0"/>
          </w:rPr>
          <w:t>2684- دیوان سنای أصفهانی‏</w:t>
        </w:r>
        <w:r>
          <w:tab/>
        </w:r>
        <w:r>
          <w:fldChar w:fldCharType="begin"/>
        </w:r>
        <w:r>
          <w:instrText xml:space="preserve">PAGEREF 3474 \h</w:instrText>
        </w:r>
        <w:r>
          <w:fldChar w:fldCharType="end"/>
        </w:r>
      </w:hyperlink>
    </w:p>
    <w:p>
      <w:pPr>
        <w:tabs>
          <w:tab w:val="right" w:leader="dot" w:pos="9062"/>
        </w:tabs>
        <w:ind w:left="440"/>
      </w:pPr>
      <w:hyperlink w:anchor="_Toc3475" w:history="1">
        <w:r>
          <w:rPr>
            <w:rFonts w:ascii="IRNazanin" w:hAnsi="IRNazanin" w:eastAsia="IRNazanin" w:cs="IRNazanin"/>
            <w:color w:val="111111"/>
            <w:sz w:val="22"/>
            <w:szCs w:val="22"/>
            <w:b w:val="0"/>
            <w:bCs w:val="0"/>
            <w:i w:val="0"/>
            <w:iCs w:val="0"/>
          </w:rPr>
          <w:t>2685- دیوان سنای هندی أو شعره‏</w:t>
        </w:r>
        <w:r>
          <w:tab/>
        </w:r>
        <w:r>
          <w:fldChar w:fldCharType="begin"/>
        </w:r>
        <w:r>
          <w:instrText xml:space="preserve">PAGEREF 3475 \h</w:instrText>
        </w:r>
        <w:r>
          <w:fldChar w:fldCharType="end"/>
        </w:r>
      </w:hyperlink>
    </w:p>
    <w:p>
      <w:pPr>
        <w:tabs>
          <w:tab w:val="right" w:leader="dot" w:pos="9062"/>
        </w:tabs>
        <w:ind w:left="440"/>
      </w:pPr>
      <w:hyperlink w:anchor="_Toc3476" w:history="1">
        <w:r>
          <w:rPr>
            <w:rFonts w:ascii="IRNazanin" w:hAnsi="IRNazanin" w:eastAsia="IRNazanin" w:cs="IRNazanin"/>
            <w:color w:val="111111"/>
            <w:sz w:val="22"/>
            <w:szCs w:val="22"/>
            <w:b w:val="0"/>
            <w:bCs w:val="0"/>
            <w:i w:val="0"/>
            <w:iCs w:val="0"/>
          </w:rPr>
          <w:t>2686- دیوان السنجاری‏</w:t>
        </w:r>
        <w:r>
          <w:tab/>
        </w:r>
        <w:r>
          <w:fldChar w:fldCharType="begin"/>
        </w:r>
        <w:r>
          <w:instrText xml:space="preserve">PAGEREF 3476 \h</w:instrText>
        </w:r>
        <w:r>
          <w:fldChar w:fldCharType="end"/>
        </w:r>
      </w:hyperlink>
    </w:p>
    <w:p>
      <w:pPr>
        <w:tabs>
          <w:tab w:val="right" w:leader="dot" w:pos="9062"/>
        </w:tabs>
        <w:ind w:left="440"/>
      </w:pPr>
      <w:hyperlink w:anchor="_Toc3477" w:history="1">
        <w:r>
          <w:rPr>
            <w:rFonts w:ascii="IRNazanin" w:hAnsi="IRNazanin" w:eastAsia="IRNazanin" w:cs="IRNazanin"/>
            <w:color w:val="111111"/>
            <w:sz w:val="22"/>
            <w:szCs w:val="22"/>
            <w:b w:val="0"/>
            <w:bCs w:val="0"/>
            <w:i w:val="0"/>
            <w:iCs w:val="0"/>
          </w:rPr>
          <w:t>دیوان سنجانی‏</w:t>
        </w:r>
        <w:r>
          <w:tab/>
        </w:r>
        <w:r>
          <w:fldChar w:fldCharType="begin"/>
        </w:r>
        <w:r>
          <w:instrText xml:space="preserve">PAGEREF 3477 \h</w:instrText>
        </w:r>
        <w:r>
          <w:fldChar w:fldCharType="end"/>
        </w:r>
      </w:hyperlink>
    </w:p>
    <w:p>
      <w:pPr>
        <w:tabs>
          <w:tab w:val="right" w:leader="dot" w:pos="9062"/>
        </w:tabs>
        <w:ind w:left="440"/>
      </w:pPr>
      <w:hyperlink w:anchor="_Toc3478" w:history="1">
        <w:r>
          <w:rPr>
            <w:rFonts w:ascii="IRNazanin" w:hAnsi="IRNazanin" w:eastAsia="IRNazanin" w:cs="IRNazanin"/>
            <w:color w:val="111111"/>
            <w:sz w:val="22"/>
            <w:szCs w:val="22"/>
            <w:b w:val="0"/>
            <w:bCs w:val="0"/>
            <w:i w:val="0"/>
            <w:iCs w:val="0"/>
          </w:rPr>
          <w:t>2687- دیوان سنجانی أو قاضی سنجانی‏</w:t>
        </w:r>
        <w:r>
          <w:tab/>
        </w:r>
        <w:r>
          <w:fldChar w:fldCharType="begin"/>
        </w:r>
        <w:r>
          <w:instrText xml:space="preserve">PAGEREF 3478 \h</w:instrText>
        </w:r>
        <w:r>
          <w:fldChar w:fldCharType="end"/>
        </w:r>
      </w:hyperlink>
    </w:p>
    <w:p>
      <w:pPr>
        <w:tabs>
          <w:tab w:val="right" w:leader="dot" w:pos="9062"/>
        </w:tabs>
        <w:ind w:left="440"/>
      </w:pPr>
      <w:hyperlink w:anchor="_Toc3479" w:history="1">
        <w:r>
          <w:rPr>
            <w:rFonts w:ascii="IRNazanin" w:hAnsi="IRNazanin" w:eastAsia="IRNazanin" w:cs="IRNazanin"/>
            <w:color w:val="111111"/>
            <w:sz w:val="22"/>
            <w:szCs w:val="22"/>
            <w:b w:val="0"/>
            <w:bCs w:val="0"/>
            <w:i w:val="0"/>
            <w:iCs w:val="0"/>
          </w:rPr>
          <w:t>دیوان سنجر</w:t>
        </w:r>
        <w:r>
          <w:tab/>
        </w:r>
        <w:r>
          <w:fldChar w:fldCharType="begin"/>
        </w:r>
        <w:r>
          <w:instrText xml:space="preserve">PAGEREF 3479 \h</w:instrText>
        </w:r>
        <w:r>
          <w:fldChar w:fldCharType="end"/>
        </w:r>
      </w:hyperlink>
    </w:p>
    <w:p>
      <w:pPr>
        <w:tabs>
          <w:tab w:val="right" w:leader="dot" w:pos="9062"/>
        </w:tabs>
        <w:ind w:left="440"/>
      </w:pPr>
      <w:hyperlink w:anchor="_Toc3480" w:history="1">
        <w:r>
          <w:rPr>
            <w:rFonts w:ascii="IRNazanin" w:hAnsi="IRNazanin" w:eastAsia="IRNazanin" w:cs="IRNazanin"/>
            <w:color w:val="111111"/>
            <w:sz w:val="22"/>
            <w:szCs w:val="22"/>
            <w:b w:val="0"/>
            <w:bCs w:val="0"/>
            <w:i w:val="0"/>
            <w:iCs w:val="0"/>
          </w:rPr>
          <w:t>2688- دیوان سنجر کاشانی‏</w:t>
        </w:r>
        <w:r>
          <w:tab/>
        </w:r>
        <w:r>
          <w:fldChar w:fldCharType="begin"/>
        </w:r>
        <w:r>
          <w:instrText xml:space="preserve">PAGEREF 3480 \h</w:instrText>
        </w:r>
        <w:r>
          <w:fldChar w:fldCharType="end"/>
        </w:r>
      </w:hyperlink>
    </w:p>
    <w:p>
      <w:pPr>
        <w:tabs>
          <w:tab w:val="right" w:leader="dot" w:pos="9062"/>
        </w:tabs>
        <w:ind w:left="440"/>
      </w:pPr>
      <w:hyperlink w:anchor="_Toc3481" w:history="1">
        <w:r>
          <w:rPr>
            <w:rFonts w:ascii="IRNazanin" w:hAnsi="IRNazanin" w:eastAsia="IRNazanin" w:cs="IRNazanin"/>
            <w:color w:val="111111"/>
            <w:sz w:val="22"/>
            <w:szCs w:val="22"/>
            <w:b w:val="0"/>
            <w:bCs w:val="0"/>
            <w:i w:val="0"/>
            <w:iCs w:val="0"/>
          </w:rPr>
          <w:t>2689- دیوان سنجری‏</w:t>
        </w:r>
        <w:r>
          <w:tab/>
        </w:r>
        <w:r>
          <w:fldChar w:fldCharType="begin"/>
        </w:r>
        <w:r>
          <w:instrText xml:space="preserve">PAGEREF 3481 \h</w:instrText>
        </w:r>
        <w:r>
          <w:fldChar w:fldCharType="end"/>
        </w:r>
      </w:hyperlink>
    </w:p>
    <w:p>
      <w:pPr>
        <w:tabs>
          <w:tab w:val="right" w:leader="dot" w:pos="9062"/>
        </w:tabs>
        <w:ind w:left="440"/>
      </w:pPr>
      <w:hyperlink w:anchor="_Toc3482" w:history="1">
        <w:r>
          <w:rPr>
            <w:rFonts w:ascii="IRNazanin" w:hAnsi="IRNazanin" w:eastAsia="IRNazanin" w:cs="IRNazanin"/>
            <w:color w:val="111111"/>
            <w:sz w:val="22"/>
            <w:szCs w:val="22"/>
            <w:b w:val="0"/>
            <w:bCs w:val="0"/>
            <w:i w:val="0"/>
            <w:iCs w:val="0"/>
          </w:rPr>
          <w:t>2690- دیوان سنجری خراسانی أو شعره‏</w:t>
        </w:r>
        <w:r>
          <w:tab/>
        </w:r>
        <w:r>
          <w:fldChar w:fldCharType="begin"/>
        </w:r>
        <w:r>
          <w:instrText xml:space="preserve">PAGEREF 3482 \h</w:instrText>
        </w:r>
        <w:r>
          <w:fldChar w:fldCharType="end"/>
        </w:r>
      </w:hyperlink>
    </w:p>
    <w:p>
      <w:pPr>
        <w:tabs>
          <w:tab w:val="right" w:leader="dot" w:pos="9062"/>
        </w:tabs>
        <w:ind w:left="440"/>
      </w:pPr>
      <w:hyperlink w:anchor="_Toc3483" w:history="1">
        <w:r>
          <w:rPr>
            <w:rFonts w:ascii="IRNazanin" w:hAnsi="IRNazanin" w:eastAsia="IRNazanin" w:cs="IRNazanin"/>
            <w:color w:val="111111"/>
            <w:sz w:val="22"/>
            <w:szCs w:val="22"/>
            <w:b w:val="0"/>
            <w:bCs w:val="0"/>
            <w:i w:val="0"/>
            <w:iCs w:val="0"/>
          </w:rPr>
          <w:t>2691- دیوان سنجری سمرقندی‏</w:t>
        </w:r>
        <w:r>
          <w:tab/>
        </w:r>
        <w:r>
          <w:fldChar w:fldCharType="begin"/>
        </w:r>
        <w:r>
          <w:instrText xml:space="preserve">PAGEREF 3483 \h</w:instrText>
        </w:r>
        <w:r>
          <w:fldChar w:fldCharType="end"/>
        </w:r>
      </w:hyperlink>
    </w:p>
    <w:p>
      <w:pPr>
        <w:tabs>
          <w:tab w:val="right" w:leader="dot" w:pos="9062"/>
        </w:tabs>
        <w:ind w:left="440"/>
      </w:pPr>
      <w:hyperlink w:anchor="_Toc3484" w:history="1">
        <w:r>
          <w:rPr>
            <w:rFonts w:ascii="IRNazanin" w:hAnsi="IRNazanin" w:eastAsia="IRNazanin" w:cs="IRNazanin"/>
            <w:color w:val="111111"/>
            <w:sz w:val="22"/>
            <w:szCs w:val="22"/>
            <w:b w:val="0"/>
            <w:bCs w:val="0"/>
            <w:i w:val="0"/>
            <w:iCs w:val="0"/>
          </w:rPr>
          <w:t>2692- دیوان میر سند کاشانی‏</w:t>
        </w:r>
        <w:r>
          <w:tab/>
        </w:r>
        <w:r>
          <w:fldChar w:fldCharType="begin"/>
        </w:r>
        <w:r>
          <w:instrText xml:space="preserve">PAGEREF 3484 \h</w:instrText>
        </w:r>
        <w:r>
          <w:fldChar w:fldCharType="end"/>
        </w:r>
      </w:hyperlink>
    </w:p>
    <w:p>
      <w:pPr>
        <w:tabs>
          <w:tab w:val="right" w:leader="dot" w:pos="9062"/>
        </w:tabs>
        <w:ind w:left="440"/>
      </w:pPr>
      <w:hyperlink w:anchor="_Toc3485" w:history="1">
        <w:r>
          <w:rPr>
            <w:rFonts w:ascii="IRNazanin" w:hAnsi="IRNazanin" w:eastAsia="IRNazanin" w:cs="IRNazanin"/>
            <w:color w:val="111111"/>
            <w:sz w:val="22"/>
            <w:szCs w:val="22"/>
            <w:b w:val="0"/>
            <w:bCs w:val="0"/>
            <w:i w:val="0"/>
            <w:iCs w:val="0"/>
          </w:rPr>
          <w:t>دیوان سنگ‏ریزه أو شعره‏</w:t>
        </w:r>
        <w:r>
          <w:tab/>
        </w:r>
        <w:r>
          <w:fldChar w:fldCharType="begin"/>
        </w:r>
        <w:r>
          <w:instrText xml:space="preserve">PAGEREF 3485 \h</w:instrText>
        </w:r>
        <w:r>
          <w:fldChar w:fldCharType="end"/>
        </w:r>
      </w:hyperlink>
    </w:p>
    <w:p>
      <w:pPr>
        <w:tabs>
          <w:tab w:val="right" w:leader="dot" w:pos="9062"/>
        </w:tabs>
        <w:ind w:left="440"/>
      </w:pPr>
      <w:hyperlink w:anchor="_Toc3486" w:history="1">
        <w:r>
          <w:rPr>
            <w:rFonts w:ascii="IRNazanin" w:hAnsi="IRNazanin" w:eastAsia="IRNazanin" w:cs="IRNazanin"/>
            <w:color w:val="111111"/>
            <w:sz w:val="22"/>
            <w:szCs w:val="22"/>
            <w:b w:val="0"/>
            <w:bCs w:val="0"/>
            <w:i w:val="0"/>
            <w:iCs w:val="0"/>
          </w:rPr>
          <w:t>2693- دیوان سنگلاخ خراسانی‏</w:t>
        </w:r>
        <w:r>
          <w:tab/>
        </w:r>
        <w:r>
          <w:fldChar w:fldCharType="begin"/>
        </w:r>
        <w:r>
          <w:instrText xml:space="preserve">PAGEREF 3486 \h</w:instrText>
        </w:r>
        <w:r>
          <w:fldChar w:fldCharType="end"/>
        </w:r>
      </w:hyperlink>
    </w:p>
    <w:p>
      <w:pPr>
        <w:tabs>
          <w:tab w:val="right" w:leader="dot" w:pos="9062"/>
        </w:tabs>
        <w:ind w:left="440"/>
      </w:pPr>
      <w:hyperlink w:anchor="_Toc3487" w:history="1">
        <w:r>
          <w:rPr>
            <w:rFonts w:ascii="IRNazanin" w:hAnsi="IRNazanin" w:eastAsia="IRNazanin" w:cs="IRNazanin"/>
            <w:color w:val="111111"/>
            <w:sz w:val="22"/>
            <w:szCs w:val="22"/>
            <w:b w:val="0"/>
            <w:bCs w:val="0"/>
            <w:i w:val="0"/>
            <w:iCs w:val="0"/>
          </w:rPr>
          <w:t>2694- دیوان سودایی أبیوردی‏</w:t>
        </w:r>
        <w:r>
          <w:tab/>
        </w:r>
        <w:r>
          <w:fldChar w:fldCharType="begin"/>
        </w:r>
        <w:r>
          <w:instrText xml:space="preserve">PAGEREF 3487 \h</w:instrText>
        </w:r>
        <w:r>
          <w:fldChar w:fldCharType="end"/>
        </w:r>
      </w:hyperlink>
    </w:p>
    <w:p>
      <w:pPr>
        <w:tabs>
          <w:tab w:val="right" w:leader="dot" w:pos="9062"/>
        </w:tabs>
        <w:ind w:left="440"/>
      </w:pPr>
      <w:hyperlink w:anchor="_Toc3488" w:history="1">
        <w:r>
          <w:rPr>
            <w:rFonts w:ascii="IRNazanin" w:hAnsi="IRNazanin" w:eastAsia="IRNazanin" w:cs="IRNazanin"/>
            <w:color w:val="111111"/>
            <w:sz w:val="22"/>
            <w:szCs w:val="22"/>
            <w:b w:val="0"/>
            <w:bCs w:val="0"/>
            <w:i w:val="0"/>
            <w:iCs w:val="0"/>
          </w:rPr>
          <w:t>2695- دیوان سودایی أصفهانی‏</w:t>
        </w:r>
        <w:r>
          <w:tab/>
        </w:r>
        <w:r>
          <w:fldChar w:fldCharType="begin"/>
        </w:r>
        <w:r>
          <w:instrText xml:space="preserve">PAGEREF 3488 \h</w:instrText>
        </w:r>
        <w:r>
          <w:fldChar w:fldCharType="end"/>
        </w:r>
      </w:hyperlink>
    </w:p>
    <w:p>
      <w:pPr>
        <w:tabs>
          <w:tab w:val="right" w:leader="dot" w:pos="9062"/>
        </w:tabs>
        <w:ind w:left="440"/>
      </w:pPr>
      <w:hyperlink w:anchor="_Toc3489" w:history="1">
        <w:r>
          <w:rPr>
            <w:rFonts w:ascii="IRNazanin" w:hAnsi="IRNazanin" w:eastAsia="IRNazanin" w:cs="IRNazanin"/>
            <w:color w:val="111111"/>
            <w:sz w:val="22"/>
            <w:szCs w:val="22"/>
            <w:b w:val="0"/>
            <w:bCs w:val="0"/>
            <w:i w:val="0"/>
            <w:iCs w:val="0"/>
          </w:rPr>
          <w:t>2696- دیوان سودای گجراتی أو شعره‏</w:t>
        </w:r>
        <w:r>
          <w:tab/>
        </w:r>
        <w:r>
          <w:fldChar w:fldCharType="begin"/>
        </w:r>
        <w:r>
          <w:instrText xml:space="preserve">PAGEREF 3489 \h</w:instrText>
        </w:r>
        <w:r>
          <w:fldChar w:fldCharType="end"/>
        </w:r>
      </w:hyperlink>
    </w:p>
    <w:p>
      <w:pPr>
        <w:tabs>
          <w:tab w:val="right" w:leader="dot" w:pos="9062"/>
        </w:tabs>
        <w:ind w:left="440"/>
      </w:pPr>
      <w:hyperlink w:anchor="_Toc3490" w:history="1">
        <w:r>
          <w:rPr>
            <w:rFonts w:ascii="IRNazanin" w:hAnsi="IRNazanin" w:eastAsia="IRNazanin" w:cs="IRNazanin"/>
            <w:color w:val="111111"/>
            <w:sz w:val="22"/>
            <w:szCs w:val="22"/>
            <w:b w:val="0"/>
            <w:bCs w:val="0"/>
            <w:i w:val="0"/>
            <w:iCs w:val="0"/>
          </w:rPr>
          <w:t>2697- دیوان سودای هندی‏</w:t>
        </w:r>
        <w:r>
          <w:tab/>
        </w:r>
        <w:r>
          <w:fldChar w:fldCharType="begin"/>
        </w:r>
        <w:r>
          <w:instrText xml:space="preserve">PAGEREF 3490 \h</w:instrText>
        </w:r>
        <w:r>
          <w:fldChar w:fldCharType="end"/>
        </w:r>
      </w:hyperlink>
    </w:p>
    <w:p>
      <w:pPr>
        <w:tabs>
          <w:tab w:val="right" w:leader="dot" w:pos="9062"/>
        </w:tabs>
        <w:ind w:left="440"/>
      </w:pPr>
      <w:hyperlink w:anchor="_Toc3491" w:history="1">
        <w:r>
          <w:rPr>
            <w:rFonts w:ascii="IRNazanin" w:hAnsi="IRNazanin" w:eastAsia="IRNazanin" w:cs="IRNazanin"/>
            <w:color w:val="111111"/>
            <w:sz w:val="22"/>
            <w:szCs w:val="22"/>
            <w:b w:val="0"/>
            <w:bCs w:val="0"/>
            <w:i w:val="0"/>
            <w:iCs w:val="0"/>
          </w:rPr>
          <w:t>دیوان سوری‏</w:t>
        </w:r>
        <w:r>
          <w:tab/>
        </w:r>
        <w:r>
          <w:fldChar w:fldCharType="begin"/>
        </w:r>
        <w:r>
          <w:instrText xml:space="preserve">PAGEREF 3491 \h</w:instrText>
        </w:r>
        <w:r>
          <w:fldChar w:fldCharType="end"/>
        </w:r>
      </w:hyperlink>
    </w:p>
    <w:p>
      <w:pPr>
        <w:tabs>
          <w:tab w:val="right" w:leader="dot" w:pos="9062"/>
        </w:tabs>
        <w:ind w:left="440"/>
      </w:pPr>
      <w:hyperlink w:anchor="_Toc3492" w:history="1">
        <w:r>
          <w:rPr>
            <w:rFonts w:ascii="IRNazanin" w:hAnsi="IRNazanin" w:eastAsia="IRNazanin" w:cs="IRNazanin"/>
            <w:color w:val="111111"/>
            <w:sz w:val="22"/>
            <w:szCs w:val="22"/>
            <w:b w:val="0"/>
            <w:bCs w:val="0"/>
            <w:i w:val="0"/>
            <w:iCs w:val="0"/>
          </w:rPr>
          <w:t>2698- دیوان سوزنی سمرقندی‏</w:t>
        </w:r>
        <w:r>
          <w:tab/>
        </w:r>
        <w:r>
          <w:fldChar w:fldCharType="begin"/>
        </w:r>
        <w:r>
          <w:instrText xml:space="preserve">PAGEREF 3492 \h</w:instrText>
        </w:r>
        <w:r>
          <w:fldChar w:fldCharType="end"/>
        </w:r>
      </w:hyperlink>
    </w:p>
    <w:p>
      <w:pPr>
        <w:tabs>
          <w:tab w:val="right" w:leader="dot" w:pos="9062"/>
        </w:tabs>
        <w:ind w:left="440"/>
      </w:pPr>
      <w:hyperlink w:anchor="_Toc3493" w:history="1">
        <w:r>
          <w:rPr>
            <w:rFonts w:ascii="IRNazanin" w:hAnsi="IRNazanin" w:eastAsia="IRNazanin" w:cs="IRNazanin"/>
            <w:color w:val="111111"/>
            <w:sz w:val="22"/>
            <w:szCs w:val="22"/>
            <w:b w:val="0"/>
            <w:bCs w:val="0"/>
            <w:i w:val="0"/>
            <w:iCs w:val="0"/>
          </w:rPr>
          <w:t>دیوان سوزی أصفهانی‏</w:t>
        </w:r>
        <w:r>
          <w:tab/>
        </w:r>
        <w:r>
          <w:fldChar w:fldCharType="begin"/>
        </w:r>
        <w:r>
          <w:instrText xml:space="preserve">PAGEREF 3493 \h</w:instrText>
        </w:r>
        <w:r>
          <w:fldChar w:fldCharType="end"/>
        </w:r>
      </w:hyperlink>
    </w:p>
    <w:p>
      <w:pPr>
        <w:tabs>
          <w:tab w:val="right" w:leader="dot" w:pos="9062"/>
        </w:tabs>
        <w:ind w:left="440"/>
      </w:pPr>
      <w:hyperlink w:anchor="_Toc3494" w:history="1">
        <w:r>
          <w:rPr>
            <w:rFonts w:ascii="IRNazanin" w:hAnsi="IRNazanin" w:eastAsia="IRNazanin" w:cs="IRNazanin"/>
            <w:color w:val="111111"/>
            <w:sz w:val="22"/>
            <w:szCs w:val="22"/>
            <w:b w:val="0"/>
            <w:bCs w:val="0"/>
            <w:i w:val="0"/>
            <w:iCs w:val="0"/>
          </w:rPr>
          <w:t>2699- دیوان سوزی بخاری أو شعره‏</w:t>
        </w:r>
        <w:r>
          <w:tab/>
        </w:r>
        <w:r>
          <w:fldChar w:fldCharType="begin"/>
        </w:r>
        <w:r>
          <w:instrText xml:space="preserve">PAGEREF 3494 \h</w:instrText>
        </w:r>
        <w:r>
          <w:fldChar w:fldCharType="end"/>
        </w:r>
      </w:hyperlink>
    </w:p>
    <w:p>
      <w:pPr>
        <w:tabs>
          <w:tab w:val="right" w:leader="dot" w:pos="9062"/>
        </w:tabs>
        <w:ind w:left="440"/>
      </w:pPr>
      <w:hyperlink w:anchor="_Toc3495" w:history="1">
        <w:r>
          <w:rPr>
            <w:rFonts w:ascii="IRNazanin" w:hAnsi="IRNazanin" w:eastAsia="IRNazanin" w:cs="IRNazanin"/>
            <w:color w:val="111111"/>
            <w:sz w:val="22"/>
            <w:szCs w:val="22"/>
            <w:b w:val="0"/>
            <w:bCs w:val="0"/>
            <w:i w:val="0"/>
            <w:iCs w:val="0"/>
          </w:rPr>
          <w:t>2700- دیوان سوزی ساوجی‏</w:t>
        </w:r>
        <w:r>
          <w:tab/>
        </w:r>
        <w:r>
          <w:fldChar w:fldCharType="begin"/>
        </w:r>
        <w:r>
          <w:instrText xml:space="preserve">PAGEREF 3495 \h</w:instrText>
        </w:r>
        <w:r>
          <w:fldChar w:fldCharType="end"/>
        </w:r>
      </w:hyperlink>
    </w:p>
    <w:p>
      <w:pPr>
        <w:tabs>
          <w:tab w:val="right" w:leader="dot" w:pos="9062"/>
        </w:tabs>
        <w:ind w:left="440"/>
      </w:pPr>
      <w:hyperlink w:anchor="_Toc3496" w:history="1">
        <w:r>
          <w:rPr>
            <w:rFonts w:ascii="IRNazanin" w:hAnsi="IRNazanin" w:eastAsia="IRNazanin" w:cs="IRNazanin"/>
            <w:color w:val="111111"/>
            <w:sz w:val="22"/>
            <w:szCs w:val="22"/>
            <w:b w:val="0"/>
            <w:bCs w:val="0"/>
            <w:i w:val="0"/>
            <w:iCs w:val="0"/>
          </w:rPr>
          <w:t>دیوان سوزی هندی‏</w:t>
        </w:r>
        <w:r>
          <w:tab/>
        </w:r>
        <w:r>
          <w:fldChar w:fldCharType="begin"/>
        </w:r>
        <w:r>
          <w:instrText xml:space="preserve">PAGEREF 3496 \h</w:instrText>
        </w:r>
        <w:r>
          <w:fldChar w:fldCharType="end"/>
        </w:r>
      </w:hyperlink>
    </w:p>
    <w:p>
      <w:pPr>
        <w:tabs>
          <w:tab w:val="right" w:leader="dot" w:pos="9062"/>
        </w:tabs>
        <w:ind w:left="440"/>
      </w:pPr>
      <w:hyperlink w:anchor="_Toc3497" w:history="1">
        <w:r>
          <w:rPr>
            <w:rFonts w:ascii="IRNazanin" w:hAnsi="IRNazanin" w:eastAsia="IRNazanin" w:cs="IRNazanin"/>
            <w:color w:val="111111"/>
            <w:sz w:val="22"/>
            <w:szCs w:val="22"/>
            <w:b w:val="0"/>
            <w:bCs w:val="0"/>
            <w:i w:val="0"/>
            <w:iCs w:val="0"/>
          </w:rPr>
          <w:t>2701- دیوان سوسنی أو شعره‏</w:t>
        </w:r>
        <w:r>
          <w:tab/>
        </w:r>
        <w:r>
          <w:fldChar w:fldCharType="begin"/>
        </w:r>
        <w:r>
          <w:instrText xml:space="preserve">PAGEREF 3497 \h</w:instrText>
        </w:r>
        <w:r>
          <w:fldChar w:fldCharType="end"/>
        </w:r>
      </w:hyperlink>
    </w:p>
    <w:p>
      <w:pPr>
        <w:tabs>
          <w:tab w:val="right" w:leader="dot" w:pos="9062"/>
        </w:tabs>
        <w:ind w:left="440"/>
      </w:pPr>
      <w:hyperlink w:anchor="_Toc3498" w:history="1">
        <w:r>
          <w:rPr>
            <w:rFonts w:ascii="IRNazanin" w:hAnsi="IRNazanin" w:eastAsia="IRNazanin" w:cs="IRNazanin"/>
            <w:color w:val="111111"/>
            <w:sz w:val="22"/>
            <w:szCs w:val="22"/>
            <w:b w:val="0"/>
            <w:bCs w:val="0"/>
            <w:i w:val="0"/>
            <w:iCs w:val="0"/>
          </w:rPr>
          <w:t>2702- دیوان سوسنی بیک أو شعره‏</w:t>
        </w:r>
        <w:r>
          <w:tab/>
        </w:r>
        <w:r>
          <w:fldChar w:fldCharType="begin"/>
        </w:r>
        <w:r>
          <w:instrText xml:space="preserve">PAGEREF 3498 \h</w:instrText>
        </w:r>
        <w:r>
          <w:fldChar w:fldCharType="end"/>
        </w:r>
      </w:hyperlink>
    </w:p>
    <w:p>
      <w:pPr>
        <w:tabs>
          <w:tab w:val="right" w:leader="dot" w:pos="9062"/>
        </w:tabs>
        <w:ind w:left="440"/>
      </w:pPr>
      <w:hyperlink w:anchor="_Toc3499" w:history="1">
        <w:r>
          <w:rPr>
            <w:rFonts w:ascii="IRNazanin" w:hAnsi="IRNazanin" w:eastAsia="IRNazanin" w:cs="IRNazanin"/>
            <w:color w:val="111111"/>
            <w:sz w:val="22"/>
            <w:szCs w:val="22"/>
            <w:b w:val="0"/>
            <w:bCs w:val="0"/>
            <w:i w:val="0"/>
            <w:iCs w:val="0"/>
          </w:rPr>
          <w:t>2703- دیوان السوسی‏</w:t>
        </w:r>
        <w:r>
          <w:tab/>
        </w:r>
        <w:r>
          <w:fldChar w:fldCharType="begin"/>
        </w:r>
        <w:r>
          <w:instrText xml:space="preserve">PAGEREF 3499 \h</w:instrText>
        </w:r>
        <w:r>
          <w:fldChar w:fldCharType="end"/>
        </w:r>
      </w:hyperlink>
    </w:p>
    <w:p>
      <w:pPr>
        <w:tabs>
          <w:tab w:val="right" w:leader="dot" w:pos="9062"/>
        </w:tabs>
        <w:ind w:left="440"/>
      </w:pPr>
      <w:hyperlink w:anchor="_Toc3500" w:history="1">
        <w:r>
          <w:rPr>
            <w:rFonts w:ascii="IRNazanin" w:hAnsi="IRNazanin" w:eastAsia="IRNazanin" w:cs="IRNazanin"/>
            <w:color w:val="111111"/>
            <w:sz w:val="22"/>
            <w:szCs w:val="22"/>
            <w:b w:val="0"/>
            <w:bCs w:val="0"/>
            <w:i w:val="0"/>
            <w:iCs w:val="0"/>
          </w:rPr>
          <w:t>2704- دیوان سها تبریزی‏</w:t>
        </w:r>
        <w:r>
          <w:tab/>
        </w:r>
        <w:r>
          <w:fldChar w:fldCharType="begin"/>
        </w:r>
        <w:r>
          <w:instrText xml:space="preserve">PAGEREF 3500 \h</w:instrText>
        </w:r>
        <w:r>
          <w:fldChar w:fldCharType="end"/>
        </w:r>
      </w:hyperlink>
    </w:p>
    <w:p>
      <w:pPr>
        <w:tabs>
          <w:tab w:val="right" w:leader="dot" w:pos="9062"/>
        </w:tabs>
        <w:ind w:left="440"/>
      </w:pPr>
      <w:hyperlink w:anchor="_Toc3501" w:history="1">
        <w:r>
          <w:rPr>
            <w:rFonts w:ascii="IRNazanin" w:hAnsi="IRNazanin" w:eastAsia="IRNazanin" w:cs="IRNazanin"/>
            <w:color w:val="111111"/>
            <w:sz w:val="22"/>
            <w:szCs w:val="22"/>
            <w:b w:val="0"/>
            <w:bCs w:val="0"/>
            <w:i w:val="0"/>
            <w:iCs w:val="0"/>
          </w:rPr>
          <w:t>2705- دیوان سها شیرازی‏</w:t>
        </w:r>
        <w:r>
          <w:tab/>
        </w:r>
        <w:r>
          <w:fldChar w:fldCharType="begin"/>
        </w:r>
        <w:r>
          <w:instrText xml:space="preserve">PAGEREF 3501 \h</w:instrText>
        </w:r>
        <w:r>
          <w:fldChar w:fldCharType="end"/>
        </w:r>
      </w:hyperlink>
    </w:p>
    <w:p>
      <w:pPr>
        <w:tabs>
          <w:tab w:val="right" w:leader="dot" w:pos="9062"/>
        </w:tabs>
        <w:ind w:left="440"/>
      </w:pPr>
      <w:hyperlink w:anchor="_Toc3502" w:history="1">
        <w:r>
          <w:rPr>
            <w:rFonts w:ascii="IRNazanin" w:hAnsi="IRNazanin" w:eastAsia="IRNazanin" w:cs="IRNazanin"/>
            <w:color w:val="111111"/>
            <w:sz w:val="22"/>
            <w:szCs w:val="22"/>
            <w:b w:val="0"/>
            <w:bCs w:val="0"/>
            <w:i w:val="0"/>
            <w:iCs w:val="0"/>
          </w:rPr>
          <w:t>2706- دیوان سها شیرازی‏</w:t>
        </w:r>
        <w:r>
          <w:tab/>
        </w:r>
        <w:r>
          <w:fldChar w:fldCharType="begin"/>
        </w:r>
        <w:r>
          <w:instrText xml:space="preserve">PAGEREF 3502 \h</w:instrText>
        </w:r>
        <w:r>
          <w:fldChar w:fldCharType="end"/>
        </w:r>
      </w:hyperlink>
    </w:p>
    <w:p>
      <w:pPr>
        <w:tabs>
          <w:tab w:val="right" w:leader="dot" w:pos="9062"/>
        </w:tabs>
        <w:ind w:left="440"/>
      </w:pPr>
      <w:hyperlink w:anchor="_Toc3503" w:history="1">
        <w:r>
          <w:rPr>
            <w:rFonts w:ascii="IRNazanin" w:hAnsi="IRNazanin" w:eastAsia="IRNazanin" w:cs="IRNazanin"/>
            <w:color w:val="111111"/>
            <w:sz w:val="22"/>
            <w:szCs w:val="22"/>
            <w:b w:val="0"/>
            <w:bCs w:val="0"/>
            <w:i w:val="0"/>
            <w:iCs w:val="0"/>
          </w:rPr>
          <w:t>2707- دیوان سهائی ما وراء النهری‏</w:t>
        </w:r>
        <w:r>
          <w:tab/>
        </w:r>
        <w:r>
          <w:fldChar w:fldCharType="begin"/>
        </w:r>
        <w:r>
          <w:instrText xml:space="preserve">PAGEREF 3503 \h</w:instrText>
        </w:r>
        <w:r>
          <w:fldChar w:fldCharType="end"/>
        </w:r>
      </w:hyperlink>
    </w:p>
    <w:p>
      <w:pPr>
        <w:tabs>
          <w:tab w:val="right" w:leader="dot" w:pos="9062"/>
        </w:tabs>
        <w:ind w:left="440"/>
      </w:pPr>
      <w:hyperlink w:anchor="_Toc3504" w:history="1">
        <w:r>
          <w:rPr>
            <w:rFonts w:ascii="IRNazanin" w:hAnsi="IRNazanin" w:eastAsia="IRNazanin" w:cs="IRNazanin"/>
            <w:color w:val="111111"/>
            <w:sz w:val="22"/>
            <w:szCs w:val="22"/>
            <w:b w:val="0"/>
            <w:bCs w:val="0"/>
            <w:i w:val="0"/>
            <w:iCs w:val="0"/>
          </w:rPr>
          <w:t>2708- دیوان سهامی‏</w:t>
        </w:r>
        <w:r>
          <w:tab/>
        </w:r>
        <w:r>
          <w:fldChar w:fldCharType="begin"/>
        </w:r>
        <w:r>
          <w:instrText xml:space="preserve">PAGEREF 3504 \h</w:instrText>
        </w:r>
        <w:r>
          <w:fldChar w:fldCharType="end"/>
        </w:r>
      </w:hyperlink>
    </w:p>
    <w:p>
      <w:pPr>
        <w:tabs>
          <w:tab w:val="right" w:leader="dot" w:pos="9062"/>
        </w:tabs>
        <w:ind w:left="440"/>
      </w:pPr>
      <w:hyperlink w:anchor="_Toc3505" w:history="1">
        <w:r>
          <w:rPr>
            <w:rFonts w:ascii="IRNazanin" w:hAnsi="IRNazanin" w:eastAsia="IRNazanin" w:cs="IRNazanin"/>
            <w:color w:val="111111"/>
            <w:sz w:val="22"/>
            <w:szCs w:val="22"/>
            <w:b w:val="0"/>
            <w:bCs w:val="0"/>
            <w:i w:val="0"/>
            <w:iCs w:val="0"/>
          </w:rPr>
          <w:t>2709- دیوان سهراب بیک أو شعره‏</w:t>
        </w:r>
        <w:r>
          <w:tab/>
        </w:r>
        <w:r>
          <w:fldChar w:fldCharType="begin"/>
        </w:r>
        <w:r>
          <w:instrText xml:space="preserve">PAGEREF 3505 \h</w:instrText>
        </w:r>
        <w:r>
          <w:fldChar w:fldCharType="end"/>
        </w:r>
      </w:hyperlink>
    </w:p>
    <w:p>
      <w:pPr>
        <w:tabs>
          <w:tab w:val="right" w:leader="dot" w:pos="9062"/>
        </w:tabs>
        <w:ind w:left="440"/>
      </w:pPr>
      <w:hyperlink w:anchor="_Toc3506" w:history="1">
        <w:r>
          <w:rPr>
            <w:rFonts w:ascii="IRNazanin" w:hAnsi="IRNazanin" w:eastAsia="IRNazanin" w:cs="IRNazanin"/>
            <w:color w:val="111111"/>
            <w:sz w:val="22"/>
            <w:szCs w:val="22"/>
            <w:b w:val="0"/>
            <w:bCs w:val="0"/>
            <w:i w:val="0"/>
            <w:iCs w:val="0"/>
          </w:rPr>
          <w:t>2710- دیوان سهروردی أو شعره‏</w:t>
        </w:r>
        <w:r>
          <w:tab/>
        </w:r>
        <w:r>
          <w:fldChar w:fldCharType="begin"/>
        </w:r>
        <w:r>
          <w:instrText xml:space="preserve">PAGEREF 3506 \h</w:instrText>
        </w:r>
        <w:r>
          <w:fldChar w:fldCharType="end"/>
        </w:r>
      </w:hyperlink>
    </w:p>
    <w:p>
      <w:pPr>
        <w:tabs>
          <w:tab w:val="right" w:leader="dot" w:pos="9062"/>
        </w:tabs>
        <w:ind w:left="440"/>
      </w:pPr>
      <w:hyperlink w:anchor="_Toc3507" w:history="1">
        <w:r>
          <w:rPr>
            <w:rFonts w:ascii="IRNazanin" w:hAnsi="IRNazanin" w:eastAsia="IRNazanin" w:cs="IRNazanin"/>
            <w:color w:val="111111"/>
            <w:sz w:val="22"/>
            <w:szCs w:val="22"/>
            <w:b w:val="0"/>
            <w:bCs w:val="0"/>
            <w:i w:val="0"/>
            <w:iCs w:val="0"/>
          </w:rPr>
          <w:t>2711- دیوان سهمی بخاری أو شعره‏</w:t>
        </w:r>
        <w:r>
          <w:tab/>
        </w:r>
        <w:r>
          <w:fldChar w:fldCharType="begin"/>
        </w:r>
        <w:r>
          <w:instrText xml:space="preserve">PAGEREF 3507 \h</w:instrText>
        </w:r>
        <w:r>
          <w:fldChar w:fldCharType="end"/>
        </w:r>
      </w:hyperlink>
    </w:p>
    <w:p>
      <w:pPr>
        <w:tabs>
          <w:tab w:val="right" w:leader="dot" w:pos="9062"/>
        </w:tabs>
        <w:ind w:left="440"/>
      </w:pPr>
      <w:hyperlink w:anchor="_Toc3508" w:history="1">
        <w:r>
          <w:rPr>
            <w:rFonts w:ascii="IRNazanin" w:hAnsi="IRNazanin" w:eastAsia="IRNazanin" w:cs="IRNazanin"/>
            <w:color w:val="111111"/>
            <w:sz w:val="22"/>
            <w:szCs w:val="22"/>
            <w:b w:val="0"/>
            <w:bCs w:val="0"/>
            <w:i w:val="0"/>
            <w:iCs w:val="0"/>
          </w:rPr>
          <w:t>2712- دیوان سهوی تبریزی أو شعره‏</w:t>
        </w:r>
        <w:r>
          <w:tab/>
        </w:r>
        <w:r>
          <w:fldChar w:fldCharType="begin"/>
        </w:r>
        <w:r>
          <w:instrText xml:space="preserve">PAGEREF 3508 \h</w:instrText>
        </w:r>
        <w:r>
          <w:fldChar w:fldCharType="end"/>
        </w:r>
      </w:hyperlink>
    </w:p>
    <w:p>
      <w:pPr>
        <w:tabs>
          <w:tab w:val="right" w:leader="dot" w:pos="9062"/>
        </w:tabs>
        <w:ind w:left="440"/>
      </w:pPr>
      <w:hyperlink w:anchor="_Toc3509" w:history="1">
        <w:r>
          <w:rPr>
            <w:rFonts w:ascii="IRNazanin" w:hAnsi="IRNazanin" w:eastAsia="IRNazanin" w:cs="IRNazanin"/>
            <w:color w:val="111111"/>
            <w:sz w:val="22"/>
            <w:szCs w:val="22"/>
            <w:b w:val="0"/>
            <w:bCs w:val="0"/>
            <w:i w:val="0"/>
            <w:iCs w:val="0"/>
          </w:rPr>
          <w:t>2713- دیوان سهیلی أو شعره‏</w:t>
        </w:r>
        <w:r>
          <w:tab/>
        </w:r>
        <w:r>
          <w:fldChar w:fldCharType="begin"/>
        </w:r>
        <w:r>
          <w:instrText xml:space="preserve">PAGEREF 3509 \h</w:instrText>
        </w:r>
        <w:r>
          <w:fldChar w:fldCharType="end"/>
        </w:r>
      </w:hyperlink>
    </w:p>
    <w:p>
      <w:pPr>
        <w:tabs>
          <w:tab w:val="right" w:leader="dot" w:pos="9062"/>
        </w:tabs>
        <w:ind w:left="440"/>
      </w:pPr>
      <w:hyperlink w:anchor="_Toc3510" w:history="1">
        <w:r>
          <w:rPr>
            <w:rFonts w:ascii="IRNazanin" w:hAnsi="IRNazanin" w:eastAsia="IRNazanin" w:cs="IRNazanin"/>
            <w:color w:val="111111"/>
            <w:sz w:val="22"/>
            <w:szCs w:val="22"/>
            <w:b w:val="0"/>
            <w:bCs w:val="0"/>
            <w:i w:val="0"/>
            <w:iCs w:val="0"/>
          </w:rPr>
          <w:t>2714- دیوان سهیلی تبریزی‏</w:t>
        </w:r>
        <w:r>
          <w:tab/>
        </w:r>
        <w:r>
          <w:fldChar w:fldCharType="begin"/>
        </w:r>
        <w:r>
          <w:instrText xml:space="preserve">PAGEREF 3510 \h</w:instrText>
        </w:r>
        <w:r>
          <w:fldChar w:fldCharType="end"/>
        </w:r>
      </w:hyperlink>
    </w:p>
    <w:p>
      <w:pPr>
        <w:tabs>
          <w:tab w:val="right" w:leader="dot" w:pos="9062"/>
        </w:tabs>
        <w:ind w:left="440"/>
      </w:pPr>
      <w:hyperlink w:anchor="_Toc3511" w:history="1">
        <w:r>
          <w:rPr>
            <w:rFonts w:ascii="IRNazanin" w:hAnsi="IRNazanin" w:eastAsia="IRNazanin" w:cs="IRNazanin"/>
            <w:color w:val="111111"/>
            <w:sz w:val="22"/>
            <w:szCs w:val="22"/>
            <w:b w:val="0"/>
            <w:bCs w:val="0"/>
            <w:i w:val="0"/>
            <w:iCs w:val="0"/>
          </w:rPr>
          <w:t>2715- دیوان سهیلی جغتائی‏</w:t>
        </w:r>
        <w:r>
          <w:tab/>
        </w:r>
        <w:r>
          <w:fldChar w:fldCharType="begin"/>
        </w:r>
        <w:r>
          <w:instrText xml:space="preserve">PAGEREF 3511 \h</w:instrText>
        </w:r>
        <w:r>
          <w:fldChar w:fldCharType="end"/>
        </w:r>
      </w:hyperlink>
    </w:p>
    <w:p>
      <w:pPr>
        <w:tabs>
          <w:tab w:val="right" w:leader="dot" w:pos="9062"/>
        </w:tabs>
        <w:ind w:left="440"/>
      </w:pPr>
      <w:hyperlink w:anchor="_Toc3512" w:history="1">
        <w:r>
          <w:rPr>
            <w:rFonts w:ascii="IRNazanin" w:hAnsi="IRNazanin" w:eastAsia="IRNazanin" w:cs="IRNazanin"/>
            <w:color w:val="111111"/>
            <w:sz w:val="22"/>
            <w:szCs w:val="22"/>
            <w:b w:val="0"/>
            <w:bCs w:val="0"/>
            <w:i w:val="0"/>
            <w:iCs w:val="0"/>
          </w:rPr>
          <w:t>2716- دیوان سهیلی خوانساری أو شعره‏</w:t>
        </w:r>
        <w:r>
          <w:tab/>
        </w:r>
        <w:r>
          <w:fldChar w:fldCharType="begin"/>
        </w:r>
        <w:r>
          <w:instrText xml:space="preserve">PAGEREF 3512 \h</w:instrText>
        </w:r>
        <w:r>
          <w:fldChar w:fldCharType="end"/>
        </w:r>
      </w:hyperlink>
    </w:p>
    <w:p>
      <w:pPr>
        <w:tabs>
          <w:tab w:val="right" w:leader="dot" w:pos="9062"/>
        </w:tabs>
        <w:ind w:left="440"/>
      </w:pPr>
      <w:hyperlink w:anchor="_Toc3513" w:history="1">
        <w:r>
          <w:rPr>
            <w:rFonts w:ascii="IRNazanin" w:hAnsi="IRNazanin" w:eastAsia="IRNazanin" w:cs="IRNazanin"/>
            <w:color w:val="111111"/>
            <w:sz w:val="22"/>
            <w:szCs w:val="22"/>
            <w:b w:val="0"/>
            <w:bCs w:val="0"/>
            <w:i w:val="0"/>
            <w:iCs w:val="0"/>
          </w:rPr>
          <w:t>2717- دیوان سیادت لاهوری‏</w:t>
        </w:r>
        <w:r>
          <w:tab/>
        </w:r>
        <w:r>
          <w:fldChar w:fldCharType="begin"/>
        </w:r>
        <w:r>
          <w:instrText xml:space="preserve">PAGEREF 3513 \h</w:instrText>
        </w:r>
        <w:r>
          <w:fldChar w:fldCharType="end"/>
        </w:r>
      </w:hyperlink>
    </w:p>
    <w:p>
      <w:pPr>
        <w:tabs>
          <w:tab w:val="right" w:leader="dot" w:pos="9062"/>
        </w:tabs>
        <w:ind w:left="440"/>
      </w:pPr>
      <w:hyperlink w:anchor="_Toc3514" w:history="1">
        <w:r>
          <w:rPr>
            <w:rFonts w:ascii="IRNazanin" w:hAnsi="IRNazanin" w:eastAsia="IRNazanin" w:cs="IRNazanin"/>
            <w:color w:val="111111"/>
            <w:sz w:val="22"/>
            <w:szCs w:val="22"/>
            <w:b w:val="0"/>
            <w:bCs w:val="0"/>
            <w:i w:val="0"/>
            <w:iCs w:val="0"/>
          </w:rPr>
          <w:t>دیوان سیار</w:t>
        </w:r>
        <w:r>
          <w:tab/>
        </w:r>
        <w:r>
          <w:fldChar w:fldCharType="begin"/>
        </w:r>
        <w:r>
          <w:instrText xml:space="preserve">PAGEREF 3514 \h</w:instrText>
        </w:r>
        <w:r>
          <w:fldChar w:fldCharType="end"/>
        </w:r>
      </w:hyperlink>
    </w:p>
    <w:p>
      <w:pPr>
        <w:tabs>
          <w:tab w:val="right" w:leader="dot" w:pos="9062"/>
        </w:tabs>
        <w:ind w:left="440"/>
      </w:pPr>
      <w:hyperlink w:anchor="_Toc3515" w:history="1">
        <w:r>
          <w:rPr>
            <w:rFonts w:ascii="IRNazanin" w:hAnsi="IRNazanin" w:eastAsia="IRNazanin" w:cs="IRNazanin"/>
            <w:color w:val="111111"/>
            <w:sz w:val="22"/>
            <w:szCs w:val="22"/>
            <w:b w:val="0"/>
            <w:bCs w:val="0"/>
            <w:i w:val="0"/>
            <w:iCs w:val="0"/>
          </w:rPr>
          <w:t>2718- دیوان سیار أصفهانی‏</w:t>
        </w:r>
        <w:r>
          <w:tab/>
        </w:r>
        <w:r>
          <w:fldChar w:fldCharType="begin"/>
        </w:r>
        <w:r>
          <w:instrText xml:space="preserve">PAGEREF 3515 \h</w:instrText>
        </w:r>
        <w:r>
          <w:fldChar w:fldCharType="end"/>
        </w:r>
      </w:hyperlink>
    </w:p>
    <w:p>
      <w:pPr>
        <w:tabs>
          <w:tab w:val="right" w:leader="dot" w:pos="9062"/>
        </w:tabs>
        <w:ind w:left="440"/>
      </w:pPr>
      <w:hyperlink w:anchor="_Toc3516" w:history="1">
        <w:r>
          <w:rPr>
            <w:rFonts w:ascii="IRNazanin" w:hAnsi="IRNazanin" w:eastAsia="IRNazanin" w:cs="IRNazanin"/>
            <w:color w:val="111111"/>
            <w:sz w:val="22"/>
            <w:szCs w:val="22"/>
            <w:b w:val="0"/>
            <w:bCs w:val="0"/>
            <w:i w:val="0"/>
            <w:iCs w:val="0"/>
          </w:rPr>
          <w:t>2719- دیوان سیار أصفهانی أو شعره‏</w:t>
        </w:r>
        <w:r>
          <w:tab/>
        </w:r>
        <w:r>
          <w:fldChar w:fldCharType="begin"/>
        </w:r>
        <w:r>
          <w:instrText xml:space="preserve">PAGEREF 3516 \h</w:instrText>
        </w:r>
        <w:r>
          <w:fldChar w:fldCharType="end"/>
        </w:r>
      </w:hyperlink>
    </w:p>
    <w:p>
      <w:pPr>
        <w:tabs>
          <w:tab w:val="right" w:leader="dot" w:pos="9062"/>
        </w:tabs>
        <w:ind w:left="440"/>
      </w:pPr>
      <w:hyperlink w:anchor="_Toc3517" w:history="1">
        <w:r>
          <w:rPr>
            <w:rFonts w:ascii="IRNazanin" w:hAnsi="IRNazanin" w:eastAsia="IRNazanin" w:cs="IRNazanin"/>
            <w:color w:val="111111"/>
            <w:sz w:val="22"/>
            <w:szCs w:val="22"/>
            <w:b w:val="0"/>
            <w:bCs w:val="0"/>
            <w:i w:val="0"/>
            <w:iCs w:val="0"/>
          </w:rPr>
          <w:t>2720- دیوان سیارة أصفهانی‏</w:t>
        </w:r>
        <w:r>
          <w:tab/>
        </w:r>
        <w:r>
          <w:fldChar w:fldCharType="begin"/>
        </w:r>
        <w:r>
          <w:instrText xml:space="preserve">PAGEREF 3517 \h</w:instrText>
        </w:r>
        <w:r>
          <w:fldChar w:fldCharType="end"/>
        </w:r>
      </w:hyperlink>
    </w:p>
    <w:p>
      <w:pPr>
        <w:tabs>
          <w:tab w:val="right" w:leader="dot" w:pos="9062"/>
        </w:tabs>
        <w:ind w:left="440"/>
      </w:pPr>
      <w:hyperlink w:anchor="_Toc3518" w:history="1">
        <w:r>
          <w:rPr>
            <w:rFonts w:ascii="IRNazanin" w:hAnsi="IRNazanin" w:eastAsia="IRNazanin" w:cs="IRNazanin"/>
            <w:color w:val="111111"/>
            <w:sz w:val="22"/>
            <w:szCs w:val="22"/>
            <w:b w:val="0"/>
            <w:bCs w:val="0"/>
            <w:i w:val="0"/>
            <w:iCs w:val="0"/>
          </w:rPr>
          <w:t>2721- دیوان سیارة بختیاری أو شعره‏</w:t>
        </w:r>
        <w:r>
          <w:tab/>
        </w:r>
        <w:r>
          <w:fldChar w:fldCharType="begin"/>
        </w:r>
        <w:r>
          <w:instrText xml:space="preserve">PAGEREF 3518 \h</w:instrText>
        </w:r>
        <w:r>
          <w:fldChar w:fldCharType="end"/>
        </w:r>
      </w:hyperlink>
    </w:p>
    <w:p>
      <w:pPr>
        <w:tabs>
          <w:tab w:val="right" w:leader="dot" w:pos="9062"/>
        </w:tabs>
        <w:ind w:left="440"/>
      </w:pPr>
      <w:hyperlink w:anchor="_Toc3519" w:history="1">
        <w:r>
          <w:rPr>
            <w:rFonts w:ascii="IRNazanin" w:hAnsi="IRNazanin" w:eastAsia="IRNazanin" w:cs="IRNazanin"/>
            <w:color w:val="111111"/>
            <w:sz w:val="22"/>
            <w:szCs w:val="22"/>
            <w:b w:val="0"/>
            <w:bCs w:val="0"/>
            <w:i w:val="0"/>
            <w:iCs w:val="0"/>
          </w:rPr>
          <w:t>2722- دیوان سیاسی أصفهانی‏</w:t>
        </w:r>
        <w:r>
          <w:tab/>
        </w:r>
        <w:r>
          <w:fldChar w:fldCharType="begin"/>
        </w:r>
        <w:r>
          <w:instrText xml:space="preserve">PAGEREF 3519 \h</w:instrText>
        </w:r>
        <w:r>
          <w:fldChar w:fldCharType="end"/>
        </w:r>
      </w:hyperlink>
    </w:p>
    <w:p>
      <w:pPr>
        <w:tabs>
          <w:tab w:val="right" w:leader="dot" w:pos="9062"/>
        </w:tabs>
        <w:ind w:left="440"/>
      </w:pPr>
      <w:hyperlink w:anchor="_Toc3520" w:history="1">
        <w:r>
          <w:rPr>
            <w:rFonts w:ascii="IRNazanin" w:hAnsi="IRNazanin" w:eastAsia="IRNazanin" w:cs="IRNazanin"/>
            <w:color w:val="111111"/>
            <w:sz w:val="22"/>
            <w:szCs w:val="22"/>
            <w:b w:val="0"/>
            <w:bCs w:val="0"/>
            <w:i w:val="0"/>
            <w:iCs w:val="0"/>
          </w:rPr>
          <w:t>2723- دیوان سیاف شیرازی‏</w:t>
        </w:r>
        <w:r>
          <w:tab/>
        </w:r>
        <w:r>
          <w:fldChar w:fldCharType="begin"/>
        </w:r>
        <w:r>
          <w:instrText xml:space="preserve">PAGEREF 3520 \h</w:instrText>
        </w:r>
        <w:r>
          <w:fldChar w:fldCharType="end"/>
        </w:r>
      </w:hyperlink>
    </w:p>
    <w:p>
      <w:pPr>
        <w:tabs>
          <w:tab w:val="right" w:leader="dot" w:pos="9062"/>
        </w:tabs>
        <w:ind w:left="440"/>
      </w:pPr>
      <w:hyperlink w:anchor="_Toc3521" w:history="1">
        <w:r>
          <w:rPr>
            <w:rFonts w:ascii="IRNazanin" w:hAnsi="IRNazanin" w:eastAsia="IRNazanin" w:cs="IRNazanin"/>
            <w:color w:val="111111"/>
            <w:sz w:val="22"/>
            <w:szCs w:val="22"/>
            <w:b w:val="0"/>
            <w:bCs w:val="0"/>
            <w:i w:val="0"/>
            <w:iCs w:val="0"/>
          </w:rPr>
          <w:t>دیوان سیاه‏پوش‏</w:t>
        </w:r>
        <w:r>
          <w:tab/>
        </w:r>
        <w:r>
          <w:fldChar w:fldCharType="begin"/>
        </w:r>
        <w:r>
          <w:instrText xml:space="preserve">PAGEREF 3521 \h</w:instrText>
        </w:r>
        <w:r>
          <w:fldChar w:fldCharType="end"/>
        </w:r>
      </w:hyperlink>
    </w:p>
    <w:p>
      <w:pPr>
        <w:tabs>
          <w:tab w:val="right" w:leader="dot" w:pos="9062"/>
        </w:tabs>
        <w:ind w:left="440"/>
      </w:pPr>
      <w:hyperlink w:anchor="_Toc3522" w:history="1">
        <w:r>
          <w:rPr>
            <w:rFonts w:ascii="IRNazanin" w:hAnsi="IRNazanin" w:eastAsia="IRNazanin" w:cs="IRNazanin"/>
            <w:color w:val="111111"/>
            <w:sz w:val="22"/>
            <w:szCs w:val="22"/>
            <w:b w:val="0"/>
            <w:bCs w:val="0"/>
            <w:i w:val="0"/>
            <w:iCs w:val="0"/>
          </w:rPr>
          <w:t>دیوان سیاه‏پوش‏</w:t>
        </w:r>
        <w:r>
          <w:tab/>
        </w:r>
        <w:r>
          <w:fldChar w:fldCharType="begin"/>
        </w:r>
        <w:r>
          <w:instrText xml:space="preserve">PAGEREF 3522 \h</w:instrText>
        </w:r>
        <w:r>
          <w:fldChar w:fldCharType="end"/>
        </w:r>
      </w:hyperlink>
    </w:p>
    <w:p>
      <w:pPr>
        <w:tabs>
          <w:tab w:val="right" w:leader="dot" w:pos="9062"/>
        </w:tabs>
        <w:ind w:left="440"/>
      </w:pPr>
      <w:hyperlink w:anchor="_Toc3523" w:history="1">
        <w:r>
          <w:rPr>
            <w:rFonts w:ascii="IRNazanin" w:hAnsi="IRNazanin" w:eastAsia="IRNazanin" w:cs="IRNazanin"/>
            <w:color w:val="111111"/>
            <w:sz w:val="22"/>
            <w:szCs w:val="22"/>
            <w:b w:val="0"/>
            <w:bCs w:val="0"/>
            <w:i w:val="0"/>
            <w:iCs w:val="0"/>
          </w:rPr>
          <w:t>دیوان سیاه دانی أو شعره‏</w:t>
        </w:r>
        <w:r>
          <w:tab/>
        </w:r>
        <w:r>
          <w:fldChar w:fldCharType="begin"/>
        </w:r>
        <w:r>
          <w:instrText xml:space="preserve">PAGEREF 3523 \h</w:instrText>
        </w:r>
        <w:r>
          <w:fldChar w:fldCharType="end"/>
        </w:r>
      </w:hyperlink>
    </w:p>
    <w:p>
      <w:pPr>
        <w:tabs>
          <w:tab w:val="right" w:leader="dot" w:pos="9062"/>
        </w:tabs>
        <w:ind w:left="440"/>
      </w:pPr>
      <w:hyperlink w:anchor="_Toc3524" w:history="1">
        <w:r>
          <w:rPr>
            <w:rFonts w:ascii="IRNazanin" w:hAnsi="IRNazanin" w:eastAsia="IRNazanin" w:cs="IRNazanin"/>
            <w:color w:val="111111"/>
            <w:sz w:val="22"/>
            <w:szCs w:val="22"/>
            <w:b w:val="0"/>
            <w:bCs w:val="0"/>
            <w:i w:val="0"/>
            <w:iCs w:val="0"/>
          </w:rPr>
          <w:t>دیوان سیاهی اندجانی‏</w:t>
        </w:r>
        <w:r>
          <w:tab/>
        </w:r>
        <w:r>
          <w:fldChar w:fldCharType="begin"/>
        </w:r>
        <w:r>
          <w:instrText xml:space="preserve">PAGEREF 3524 \h</w:instrText>
        </w:r>
        <w:r>
          <w:fldChar w:fldCharType="end"/>
        </w:r>
      </w:hyperlink>
    </w:p>
    <w:p>
      <w:pPr>
        <w:tabs>
          <w:tab w:val="right" w:leader="dot" w:pos="9062"/>
        </w:tabs>
        <w:ind w:left="440"/>
      </w:pPr>
      <w:hyperlink w:anchor="_Toc3525" w:history="1">
        <w:r>
          <w:rPr>
            <w:rFonts w:ascii="IRNazanin" w:hAnsi="IRNazanin" w:eastAsia="IRNazanin" w:cs="IRNazanin"/>
            <w:color w:val="111111"/>
            <w:sz w:val="22"/>
            <w:szCs w:val="22"/>
            <w:b w:val="0"/>
            <w:bCs w:val="0"/>
            <w:i w:val="0"/>
            <w:iCs w:val="0"/>
          </w:rPr>
          <w:t>دیوان سیبک‏</w:t>
        </w:r>
        <w:r>
          <w:tab/>
        </w:r>
        <w:r>
          <w:fldChar w:fldCharType="begin"/>
        </w:r>
        <w:r>
          <w:instrText xml:space="preserve">PAGEREF 3525 \h</w:instrText>
        </w:r>
        <w:r>
          <w:fldChar w:fldCharType="end"/>
        </w:r>
      </w:hyperlink>
    </w:p>
    <w:p>
      <w:pPr>
        <w:tabs>
          <w:tab w:val="right" w:leader="dot" w:pos="9062"/>
        </w:tabs>
        <w:ind w:left="440"/>
      </w:pPr>
      <w:hyperlink w:anchor="_Toc3526" w:history="1">
        <w:r>
          <w:rPr>
            <w:rFonts w:ascii="IRNazanin" w:hAnsi="IRNazanin" w:eastAsia="IRNazanin" w:cs="IRNazanin"/>
            <w:color w:val="111111"/>
            <w:sz w:val="22"/>
            <w:szCs w:val="22"/>
            <w:b w:val="0"/>
            <w:bCs w:val="0"/>
            <w:i w:val="0"/>
            <w:iCs w:val="0"/>
          </w:rPr>
          <w:t>دیوان سیبویه الثانی‏</w:t>
        </w:r>
        <w:r>
          <w:tab/>
        </w:r>
        <w:r>
          <w:fldChar w:fldCharType="begin"/>
        </w:r>
        <w:r>
          <w:instrText xml:space="preserve">PAGEREF 3526 \h</w:instrText>
        </w:r>
        <w:r>
          <w:fldChar w:fldCharType="end"/>
        </w:r>
      </w:hyperlink>
    </w:p>
    <w:p>
      <w:pPr>
        <w:tabs>
          <w:tab w:val="right" w:leader="dot" w:pos="9062"/>
        </w:tabs>
        <w:ind w:left="440"/>
      </w:pPr>
      <w:hyperlink w:anchor="_Toc3527" w:history="1">
        <w:r>
          <w:rPr>
            <w:rFonts w:ascii="IRNazanin" w:hAnsi="IRNazanin" w:eastAsia="IRNazanin" w:cs="IRNazanin"/>
            <w:color w:val="111111"/>
            <w:sz w:val="22"/>
            <w:szCs w:val="22"/>
            <w:b w:val="0"/>
            <w:bCs w:val="0"/>
            <w:i w:val="0"/>
            <w:iCs w:val="0"/>
          </w:rPr>
          <w:t>2724- دیوان سیحون یزدی أو شعره‏</w:t>
        </w:r>
        <w:r>
          <w:tab/>
        </w:r>
        <w:r>
          <w:fldChar w:fldCharType="begin"/>
        </w:r>
        <w:r>
          <w:instrText xml:space="preserve">PAGEREF 3527 \h</w:instrText>
        </w:r>
        <w:r>
          <w:fldChar w:fldCharType="end"/>
        </w:r>
      </w:hyperlink>
    </w:p>
    <w:p>
      <w:pPr>
        <w:tabs>
          <w:tab w:val="right" w:leader="dot" w:pos="9062"/>
        </w:tabs>
        <w:ind w:left="440"/>
      </w:pPr>
      <w:hyperlink w:anchor="_Toc3528" w:history="1">
        <w:r>
          <w:rPr>
            <w:rFonts w:ascii="IRNazanin" w:hAnsi="IRNazanin" w:eastAsia="IRNazanin" w:cs="IRNazanin"/>
            <w:color w:val="111111"/>
            <w:sz w:val="22"/>
            <w:szCs w:val="22"/>
            <w:b w:val="0"/>
            <w:bCs w:val="0"/>
            <w:i w:val="0"/>
            <w:iCs w:val="0"/>
          </w:rPr>
          <w:t>2725- دیوان السید آقائی‏</w:t>
        </w:r>
        <w:r>
          <w:tab/>
        </w:r>
        <w:r>
          <w:fldChar w:fldCharType="begin"/>
        </w:r>
        <w:r>
          <w:instrText xml:space="preserve">PAGEREF 3528 \h</w:instrText>
        </w:r>
        <w:r>
          <w:fldChar w:fldCharType="end"/>
        </w:r>
      </w:hyperlink>
    </w:p>
    <w:p>
      <w:pPr>
        <w:tabs>
          <w:tab w:val="right" w:leader="dot" w:pos="9062"/>
        </w:tabs>
        <w:ind w:left="440"/>
      </w:pPr>
      <w:hyperlink w:anchor="_Toc3529" w:history="1">
        <w:r>
          <w:rPr>
            <w:rFonts w:ascii="IRNazanin" w:hAnsi="IRNazanin" w:eastAsia="IRNazanin" w:cs="IRNazanin"/>
            <w:color w:val="111111"/>
            <w:sz w:val="22"/>
            <w:szCs w:val="22"/>
            <w:b w:val="0"/>
            <w:bCs w:val="0"/>
            <w:i w:val="0"/>
            <w:iCs w:val="0"/>
          </w:rPr>
          <w:t>دیوان سید أصفهانی‏</w:t>
        </w:r>
        <w:r>
          <w:tab/>
        </w:r>
        <w:r>
          <w:fldChar w:fldCharType="begin"/>
        </w:r>
        <w:r>
          <w:instrText xml:space="preserve">PAGEREF 3529 \h</w:instrText>
        </w:r>
        <w:r>
          <w:fldChar w:fldCharType="end"/>
        </w:r>
      </w:hyperlink>
    </w:p>
    <w:p>
      <w:pPr>
        <w:tabs>
          <w:tab w:val="right" w:leader="dot" w:pos="9062"/>
        </w:tabs>
        <w:ind w:left="440"/>
      </w:pPr>
      <w:hyperlink w:anchor="_Toc3530" w:history="1">
        <w:r>
          <w:rPr>
            <w:rFonts w:ascii="IRNazanin" w:hAnsi="IRNazanin" w:eastAsia="IRNazanin" w:cs="IRNazanin"/>
            <w:color w:val="111111"/>
            <w:sz w:val="22"/>
            <w:szCs w:val="22"/>
            <w:b w:val="0"/>
            <w:bCs w:val="0"/>
            <w:i w:val="0"/>
            <w:iCs w:val="0"/>
          </w:rPr>
          <w:t>2726- دیوان سید أصفهانی أو شعره‏</w:t>
        </w:r>
        <w:r>
          <w:tab/>
        </w:r>
        <w:r>
          <w:fldChar w:fldCharType="begin"/>
        </w:r>
        <w:r>
          <w:instrText xml:space="preserve">PAGEREF 3530 \h</w:instrText>
        </w:r>
        <w:r>
          <w:fldChar w:fldCharType="end"/>
        </w:r>
      </w:hyperlink>
    </w:p>
    <w:p>
      <w:pPr>
        <w:tabs>
          <w:tab w:val="right" w:leader="dot" w:pos="9062"/>
        </w:tabs>
        <w:ind w:left="440"/>
      </w:pPr>
      <w:hyperlink w:anchor="_Toc3531" w:history="1">
        <w:r>
          <w:rPr>
            <w:rFonts w:ascii="IRNazanin" w:hAnsi="IRNazanin" w:eastAsia="IRNazanin" w:cs="IRNazanin"/>
            <w:color w:val="111111"/>
            <w:sz w:val="22"/>
            <w:szCs w:val="22"/>
            <w:b w:val="0"/>
            <w:bCs w:val="0"/>
            <w:i w:val="0"/>
            <w:iCs w:val="0"/>
          </w:rPr>
          <w:t>2727- دیوان سید أصفهانی‏</w:t>
        </w:r>
        <w:r>
          <w:tab/>
        </w:r>
        <w:r>
          <w:fldChar w:fldCharType="begin"/>
        </w:r>
        <w:r>
          <w:instrText xml:space="preserve">PAGEREF 3531 \h</w:instrText>
        </w:r>
        <w:r>
          <w:fldChar w:fldCharType="end"/>
        </w:r>
      </w:hyperlink>
    </w:p>
    <w:p>
      <w:pPr>
        <w:tabs>
          <w:tab w:val="right" w:leader="dot" w:pos="9062"/>
        </w:tabs>
        <w:ind w:left="440"/>
      </w:pPr>
      <w:hyperlink w:anchor="_Toc3532" w:history="1">
        <w:r>
          <w:rPr>
            <w:rFonts w:ascii="IRNazanin" w:hAnsi="IRNazanin" w:eastAsia="IRNazanin" w:cs="IRNazanin"/>
            <w:color w:val="111111"/>
            <w:sz w:val="22"/>
            <w:szCs w:val="22"/>
            <w:b w:val="0"/>
            <w:bCs w:val="0"/>
            <w:i w:val="0"/>
            <w:iCs w:val="0"/>
          </w:rPr>
          <w:t>2728- دیوان سید تبریزی أو شعره‏</w:t>
        </w:r>
        <w:r>
          <w:tab/>
        </w:r>
        <w:r>
          <w:fldChar w:fldCharType="begin"/>
        </w:r>
        <w:r>
          <w:instrText xml:space="preserve">PAGEREF 3532 \h</w:instrText>
        </w:r>
        <w:r>
          <w:fldChar w:fldCharType="end"/>
        </w:r>
      </w:hyperlink>
    </w:p>
    <w:p>
      <w:pPr>
        <w:tabs>
          <w:tab w:val="right" w:leader="dot" w:pos="9062"/>
        </w:tabs>
        <w:ind w:left="440"/>
      </w:pPr>
      <w:hyperlink w:anchor="_Toc3533" w:history="1">
        <w:r>
          <w:rPr>
            <w:rFonts w:ascii="IRNazanin" w:hAnsi="IRNazanin" w:eastAsia="IRNazanin" w:cs="IRNazanin"/>
            <w:color w:val="111111"/>
            <w:sz w:val="22"/>
            <w:szCs w:val="22"/>
            <w:b w:val="0"/>
            <w:bCs w:val="0"/>
            <w:i w:val="0"/>
            <w:iCs w:val="0"/>
          </w:rPr>
          <w:t>دیوان سید جواهر رقم‏</w:t>
        </w:r>
        <w:r>
          <w:tab/>
        </w:r>
        <w:r>
          <w:fldChar w:fldCharType="begin"/>
        </w:r>
        <w:r>
          <w:instrText xml:space="preserve">PAGEREF 3533 \h</w:instrText>
        </w:r>
        <w:r>
          <w:fldChar w:fldCharType="end"/>
        </w:r>
      </w:hyperlink>
    </w:p>
    <w:p>
      <w:pPr>
        <w:tabs>
          <w:tab w:val="right" w:leader="dot" w:pos="9062"/>
        </w:tabs>
        <w:ind w:left="440"/>
      </w:pPr>
      <w:hyperlink w:anchor="_Toc3534" w:history="1">
        <w:r>
          <w:rPr>
            <w:rFonts w:ascii="IRNazanin" w:hAnsi="IRNazanin" w:eastAsia="IRNazanin" w:cs="IRNazanin"/>
            <w:color w:val="111111"/>
            <w:sz w:val="22"/>
            <w:szCs w:val="22"/>
            <w:b w:val="0"/>
            <w:bCs w:val="0"/>
            <w:i w:val="0"/>
            <w:iCs w:val="0"/>
          </w:rPr>
          <w:t>دیوان السید الحمیری‏</w:t>
        </w:r>
        <w:r>
          <w:tab/>
        </w:r>
        <w:r>
          <w:fldChar w:fldCharType="begin"/>
        </w:r>
        <w:r>
          <w:instrText xml:space="preserve">PAGEREF 3534 \h</w:instrText>
        </w:r>
        <w:r>
          <w:fldChar w:fldCharType="end"/>
        </w:r>
      </w:hyperlink>
    </w:p>
    <w:p>
      <w:pPr>
        <w:tabs>
          <w:tab w:val="right" w:leader="dot" w:pos="9062"/>
        </w:tabs>
        <w:ind w:left="440"/>
      </w:pPr>
      <w:hyperlink w:anchor="_Toc3535" w:history="1">
        <w:r>
          <w:rPr>
            <w:rFonts w:ascii="IRNazanin" w:hAnsi="IRNazanin" w:eastAsia="IRNazanin" w:cs="IRNazanin"/>
            <w:color w:val="111111"/>
            <w:sz w:val="22"/>
            <w:szCs w:val="22"/>
            <w:b w:val="0"/>
            <w:bCs w:val="0"/>
            <w:i w:val="0"/>
            <w:iCs w:val="0"/>
          </w:rPr>
          <w:t>2729- دیوان سیدزاده منشی أو شعره‏</w:t>
        </w:r>
        <w:r>
          <w:tab/>
        </w:r>
        <w:r>
          <w:fldChar w:fldCharType="begin"/>
        </w:r>
        <w:r>
          <w:instrText xml:space="preserve">PAGEREF 3535 \h</w:instrText>
        </w:r>
        <w:r>
          <w:fldChar w:fldCharType="end"/>
        </w:r>
      </w:hyperlink>
    </w:p>
    <w:p>
      <w:pPr>
        <w:tabs>
          <w:tab w:val="right" w:leader="dot" w:pos="9062"/>
        </w:tabs>
        <w:ind w:left="440"/>
      </w:pPr>
      <w:hyperlink w:anchor="_Toc3536" w:history="1">
        <w:r>
          <w:rPr>
            <w:rFonts w:ascii="IRNazanin" w:hAnsi="IRNazanin" w:eastAsia="IRNazanin" w:cs="IRNazanin"/>
            <w:color w:val="111111"/>
            <w:sz w:val="22"/>
            <w:szCs w:val="22"/>
            <w:b w:val="0"/>
            <w:bCs w:val="0"/>
            <w:i w:val="0"/>
            <w:iCs w:val="0"/>
          </w:rPr>
          <w:t>2730- دیوان سید سوراتی أو شعره‏</w:t>
        </w:r>
        <w:r>
          <w:tab/>
        </w:r>
        <w:r>
          <w:fldChar w:fldCharType="begin"/>
        </w:r>
        <w:r>
          <w:instrText xml:space="preserve">PAGEREF 3536 \h</w:instrText>
        </w:r>
        <w:r>
          <w:fldChar w:fldCharType="end"/>
        </w:r>
      </w:hyperlink>
    </w:p>
    <w:p>
      <w:pPr>
        <w:tabs>
          <w:tab w:val="right" w:leader="dot" w:pos="9062"/>
        </w:tabs>
        <w:ind w:left="440"/>
      </w:pPr>
      <w:hyperlink w:anchor="_Toc3537" w:history="1">
        <w:r>
          <w:rPr>
            <w:rFonts w:ascii="IRNazanin" w:hAnsi="IRNazanin" w:eastAsia="IRNazanin" w:cs="IRNazanin"/>
            <w:color w:val="111111"/>
            <w:sz w:val="22"/>
            <w:szCs w:val="22"/>
            <w:b w:val="0"/>
            <w:bCs w:val="0"/>
            <w:i w:val="0"/>
            <w:iCs w:val="0"/>
          </w:rPr>
          <w:t>2731- دیوان سید شاه عبد العظیمی أو شعره‏</w:t>
        </w:r>
        <w:r>
          <w:tab/>
        </w:r>
        <w:r>
          <w:fldChar w:fldCharType="begin"/>
        </w:r>
        <w:r>
          <w:instrText xml:space="preserve">PAGEREF 3537 \h</w:instrText>
        </w:r>
        <w:r>
          <w:fldChar w:fldCharType="end"/>
        </w:r>
      </w:hyperlink>
    </w:p>
    <w:p>
      <w:pPr>
        <w:tabs>
          <w:tab w:val="right" w:leader="dot" w:pos="9062"/>
        </w:tabs>
        <w:ind w:left="440"/>
      </w:pPr>
      <w:hyperlink w:anchor="_Toc3538" w:history="1">
        <w:r>
          <w:rPr>
            <w:rFonts w:ascii="IRNazanin" w:hAnsi="IRNazanin" w:eastAsia="IRNazanin" w:cs="IRNazanin"/>
            <w:color w:val="111111"/>
            <w:sz w:val="22"/>
            <w:szCs w:val="22"/>
            <w:b w:val="0"/>
            <w:bCs w:val="0"/>
            <w:i w:val="0"/>
            <w:iCs w:val="0"/>
          </w:rPr>
          <w:t>2732- دیوان سید شوشتری‏</w:t>
        </w:r>
        <w:r>
          <w:tab/>
        </w:r>
        <w:r>
          <w:fldChar w:fldCharType="begin"/>
        </w:r>
        <w:r>
          <w:instrText xml:space="preserve">PAGEREF 3538 \h</w:instrText>
        </w:r>
        <w:r>
          <w:fldChar w:fldCharType="end"/>
        </w:r>
      </w:hyperlink>
    </w:p>
    <w:p>
      <w:pPr>
        <w:tabs>
          <w:tab w:val="right" w:leader="dot" w:pos="9062"/>
        </w:tabs>
        <w:ind w:left="440"/>
      </w:pPr>
      <w:hyperlink w:anchor="_Toc3539" w:history="1">
        <w:r>
          <w:rPr>
            <w:rFonts w:ascii="IRNazanin" w:hAnsi="IRNazanin" w:eastAsia="IRNazanin" w:cs="IRNazanin"/>
            <w:color w:val="111111"/>
            <w:sz w:val="22"/>
            <w:szCs w:val="22"/>
            <w:b w:val="0"/>
            <w:bCs w:val="0"/>
            <w:i w:val="0"/>
            <w:iCs w:val="0"/>
          </w:rPr>
          <w:t>2733- دیوان سید شیروانی‏</w:t>
        </w:r>
        <w:r>
          <w:tab/>
        </w:r>
        <w:r>
          <w:fldChar w:fldCharType="begin"/>
        </w:r>
        <w:r>
          <w:instrText xml:space="preserve">PAGEREF 3539 \h</w:instrText>
        </w:r>
        <w:r>
          <w:fldChar w:fldCharType="end"/>
        </w:r>
      </w:hyperlink>
    </w:p>
    <w:p>
      <w:pPr>
        <w:tabs>
          <w:tab w:val="right" w:leader="dot" w:pos="9062"/>
        </w:tabs>
        <w:ind w:left="440"/>
      </w:pPr>
      <w:hyperlink w:anchor="_Toc3540" w:history="1">
        <w:r>
          <w:rPr>
            <w:rFonts w:ascii="IRNazanin" w:hAnsi="IRNazanin" w:eastAsia="IRNazanin" w:cs="IRNazanin"/>
            <w:color w:val="111111"/>
            <w:sz w:val="22"/>
            <w:szCs w:val="22"/>
            <w:b w:val="0"/>
            <w:bCs w:val="0"/>
            <w:i w:val="0"/>
            <w:iCs w:val="0"/>
          </w:rPr>
          <w:t>دیوان السید علی خان المدنی‏</w:t>
        </w:r>
        <w:r>
          <w:tab/>
        </w:r>
        <w:r>
          <w:fldChar w:fldCharType="begin"/>
        </w:r>
        <w:r>
          <w:instrText xml:space="preserve">PAGEREF 3540 \h</w:instrText>
        </w:r>
        <w:r>
          <w:fldChar w:fldCharType="end"/>
        </w:r>
      </w:hyperlink>
    </w:p>
    <w:p>
      <w:pPr>
        <w:tabs>
          <w:tab w:val="right" w:leader="dot" w:pos="9062"/>
        </w:tabs>
        <w:ind w:left="440"/>
      </w:pPr>
      <w:hyperlink w:anchor="_Toc3541" w:history="1">
        <w:r>
          <w:rPr>
            <w:rFonts w:ascii="IRNazanin" w:hAnsi="IRNazanin" w:eastAsia="IRNazanin" w:cs="IRNazanin"/>
            <w:color w:val="111111"/>
            <w:sz w:val="22"/>
            <w:szCs w:val="22"/>
            <w:b w:val="0"/>
            <w:bCs w:val="0"/>
            <w:i w:val="0"/>
            <w:iCs w:val="0"/>
          </w:rPr>
          <w:t>2734- دیوان سید فرخ‏آبادی أو شعره‏</w:t>
        </w:r>
        <w:r>
          <w:tab/>
        </w:r>
        <w:r>
          <w:fldChar w:fldCharType="begin"/>
        </w:r>
        <w:r>
          <w:instrText xml:space="preserve">PAGEREF 3541 \h</w:instrText>
        </w:r>
        <w:r>
          <w:fldChar w:fldCharType="end"/>
        </w:r>
      </w:hyperlink>
    </w:p>
    <w:p>
      <w:pPr>
        <w:tabs>
          <w:tab w:val="right" w:leader="dot" w:pos="9062"/>
        </w:tabs>
        <w:ind w:left="440"/>
      </w:pPr>
      <w:hyperlink w:anchor="_Toc3542" w:history="1">
        <w:r>
          <w:rPr>
            <w:rFonts w:ascii="IRNazanin" w:hAnsi="IRNazanin" w:eastAsia="IRNazanin" w:cs="IRNazanin"/>
            <w:color w:val="111111"/>
            <w:sz w:val="22"/>
            <w:szCs w:val="22"/>
            <w:b w:val="0"/>
            <w:bCs w:val="0"/>
            <w:i w:val="0"/>
            <w:iCs w:val="0"/>
          </w:rPr>
          <w:t>2735- دیوان سید قلمدانی أو شعره‏</w:t>
        </w:r>
        <w:r>
          <w:tab/>
        </w:r>
        <w:r>
          <w:fldChar w:fldCharType="begin"/>
        </w:r>
        <w:r>
          <w:instrText xml:space="preserve">PAGEREF 3542 \h</w:instrText>
        </w:r>
        <w:r>
          <w:fldChar w:fldCharType="end"/>
        </w:r>
      </w:hyperlink>
    </w:p>
    <w:p>
      <w:pPr>
        <w:tabs>
          <w:tab w:val="right" w:leader="dot" w:pos="9062"/>
        </w:tabs>
        <w:ind w:left="440"/>
      </w:pPr>
      <w:hyperlink w:anchor="_Toc3543" w:history="1">
        <w:r>
          <w:rPr>
            <w:rFonts w:ascii="IRNazanin" w:hAnsi="IRNazanin" w:eastAsia="IRNazanin" w:cs="IRNazanin"/>
            <w:color w:val="111111"/>
            <w:sz w:val="22"/>
            <w:szCs w:val="22"/>
            <w:b w:val="0"/>
            <w:bCs w:val="0"/>
            <w:i w:val="0"/>
            <w:iCs w:val="0"/>
          </w:rPr>
          <w:t>دیوان سید قهستانی‏</w:t>
        </w:r>
        <w:r>
          <w:tab/>
        </w:r>
        <w:r>
          <w:fldChar w:fldCharType="begin"/>
        </w:r>
        <w:r>
          <w:instrText xml:space="preserve">PAGEREF 3543 \h</w:instrText>
        </w:r>
        <w:r>
          <w:fldChar w:fldCharType="end"/>
        </w:r>
      </w:hyperlink>
    </w:p>
    <w:p>
      <w:pPr>
        <w:tabs>
          <w:tab w:val="right" w:leader="dot" w:pos="9062"/>
        </w:tabs>
        <w:ind w:left="440"/>
      </w:pPr>
      <w:hyperlink w:anchor="_Toc3544" w:history="1">
        <w:r>
          <w:rPr>
            <w:rFonts w:ascii="IRNazanin" w:hAnsi="IRNazanin" w:eastAsia="IRNazanin" w:cs="IRNazanin"/>
            <w:color w:val="111111"/>
            <w:sz w:val="22"/>
            <w:szCs w:val="22"/>
            <w:b w:val="0"/>
            <w:bCs w:val="0"/>
            <w:i w:val="0"/>
            <w:iCs w:val="0"/>
          </w:rPr>
          <w:t>دیوان سید کاشانی‏</w:t>
        </w:r>
        <w:r>
          <w:tab/>
        </w:r>
        <w:r>
          <w:fldChar w:fldCharType="begin"/>
        </w:r>
        <w:r>
          <w:instrText xml:space="preserve">PAGEREF 3544 \h</w:instrText>
        </w:r>
        <w:r>
          <w:fldChar w:fldCharType="end"/>
        </w:r>
      </w:hyperlink>
    </w:p>
    <w:p>
      <w:pPr>
        <w:tabs>
          <w:tab w:val="right" w:leader="dot" w:pos="9062"/>
        </w:tabs>
        <w:ind w:left="440"/>
      </w:pPr>
      <w:hyperlink w:anchor="_Toc3545" w:history="1">
        <w:r>
          <w:rPr>
            <w:rFonts w:ascii="IRNazanin" w:hAnsi="IRNazanin" w:eastAsia="IRNazanin" w:cs="IRNazanin"/>
            <w:color w:val="111111"/>
            <w:sz w:val="22"/>
            <w:szCs w:val="22"/>
            <w:b w:val="0"/>
            <w:bCs w:val="0"/>
            <w:i w:val="0"/>
            <w:iCs w:val="0"/>
          </w:rPr>
          <w:t>2736- دیوان سید کشمیری أو شعره‏</w:t>
        </w:r>
        <w:r>
          <w:tab/>
        </w:r>
        <w:r>
          <w:fldChar w:fldCharType="begin"/>
        </w:r>
        <w:r>
          <w:instrText xml:space="preserve">PAGEREF 3545 \h</w:instrText>
        </w:r>
        <w:r>
          <w:fldChar w:fldCharType="end"/>
        </w:r>
      </w:hyperlink>
    </w:p>
    <w:p>
      <w:pPr>
        <w:tabs>
          <w:tab w:val="right" w:leader="dot" w:pos="9062"/>
        </w:tabs>
        <w:ind w:left="440"/>
      </w:pPr>
      <w:hyperlink w:anchor="_Toc3546" w:history="1">
        <w:r>
          <w:rPr>
            <w:rFonts w:ascii="IRNazanin" w:hAnsi="IRNazanin" w:eastAsia="IRNazanin" w:cs="IRNazanin"/>
            <w:color w:val="111111"/>
            <w:sz w:val="22"/>
            <w:szCs w:val="22"/>
            <w:b w:val="0"/>
            <w:bCs w:val="0"/>
            <w:i w:val="0"/>
            <w:iCs w:val="0"/>
          </w:rPr>
          <w:t>دیوان سید گیسو دراز</w:t>
        </w:r>
        <w:r>
          <w:tab/>
        </w:r>
        <w:r>
          <w:fldChar w:fldCharType="begin"/>
        </w:r>
        <w:r>
          <w:instrText xml:space="preserve">PAGEREF 3546 \h</w:instrText>
        </w:r>
        <w:r>
          <w:fldChar w:fldCharType="end"/>
        </w:r>
      </w:hyperlink>
    </w:p>
    <w:p>
      <w:pPr>
        <w:tabs>
          <w:tab w:val="right" w:leader="dot" w:pos="9062"/>
        </w:tabs>
        <w:ind w:left="440"/>
      </w:pPr>
      <w:hyperlink w:anchor="_Toc3547" w:history="1">
        <w:r>
          <w:rPr>
            <w:rFonts w:ascii="IRNazanin" w:hAnsi="IRNazanin" w:eastAsia="IRNazanin" w:cs="IRNazanin"/>
            <w:color w:val="111111"/>
            <w:sz w:val="22"/>
            <w:szCs w:val="22"/>
            <w:b w:val="0"/>
            <w:bCs w:val="0"/>
            <w:i w:val="0"/>
            <w:iCs w:val="0"/>
          </w:rPr>
          <w:t>2737- دیوان سید میرزا جندقی‏</w:t>
        </w:r>
        <w:r>
          <w:tab/>
        </w:r>
        <w:r>
          <w:fldChar w:fldCharType="begin"/>
        </w:r>
        <w:r>
          <w:instrText xml:space="preserve">PAGEREF 3547 \h</w:instrText>
        </w:r>
        <w:r>
          <w:fldChar w:fldCharType="end"/>
        </w:r>
      </w:hyperlink>
    </w:p>
    <w:p>
      <w:pPr>
        <w:tabs>
          <w:tab w:val="right" w:leader="dot" w:pos="9062"/>
        </w:tabs>
        <w:ind w:left="440"/>
      </w:pPr>
      <w:hyperlink w:anchor="_Toc3548" w:history="1">
        <w:r>
          <w:rPr>
            <w:rFonts w:ascii="IRNazanin" w:hAnsi="IRNazanin" w:eastAsia="IRNazanin" w:cs="IRNazanin"/>
            <w:color w:val="111111"/>
            <w:sz w:val="22"/>
            <w:szCs w:val="22"/>
            <w:b w:val="0"/>
            <w:bCs w:val="0"/>
            <w:i w:val="0"/>
            <w:iCs w:val="0"/>
          </w:rPr>
          <w:t>2738- دیوان سیرتی قزوینی‏</w:t>
        </w:r>
        <w:r>
          <w:tab/>
        </w:r>
        <w:r>
          <w:fldChar w:fldCharType="begin"/>
        </w:r>
        <w:r>
          <w:instrText xml:space="preserve">PAGEREF 3548 \h</w:instrText>
        </w:r>
        <w:r>
          <w:fldChar w:fldCharType="end"/>
        </w:r>
      </w:hyperlink>
    </w:p>
    <w:p>
      <w:pPr>
        <w:tabs>
          <w:tab w:val="right" w:leader="dot" w:pos="9062"/>
        </w:tabs>
        <w:ind w:left="440"/>
      </w:pPr>
      <w:hyperlink w:anchor="_Toc3549" w:history="1">
        <w:r>
          <w:rPr>
            <w:rFonts w:ascii="IRNazanin" w:hAnsi="IRNazanin" w:eastAsia="IRNazanin" w:cs="IRNazanin"/>
            <w:color w:val="111111"/>
            <w:sz w:val="22"/>
            <w:szCs w:val="22"/>
            <w:b w:val="0"/>
            <w:bCs w:val="0"/>
            <w:i w:val="0"/>
            <w:iCs w:val="0"/>
          </w:rPr>
          <w:t>2739- دیوان سیری أسترآبادی البسمه‏چی أو شعره‏</w:t>
        </w:r>
        <w:r>
          <w:tab/>
        </w:r>
        <w:r>
          <w:fldChar w:fldCharType="begin"/>
        </w:r>
        <w:r>
          <w:instrText xml:space="preserve">PAGEREF 3549 \h</w:instrText>
        </w:r>
        <w:r>
          <w:fldChar w:fldCharType="end"/>
        </w:r>
      </w:hyperlink>
    </w:p>
    <w:p>
      <w:pPr>
        <w:tabs>
          <w:tab w:val="right" w:leader="dot" w:pos="9062"/>
        </w:tabs>
        <w:ind w:left="440"/>
      </w:pPr>
      <w:hyperlink w:anchor="_Toc3550" w:history="1">
        <w:r>
          <w:rPr>
            <w:rFonts w:ascii="IRNazanin" w:hAnsi="IRNazanin" w:eastAsia="IRNazanin" w:cs="IRNazanin"/>
            <w:color w:val="111111"/>
            <w:sz w:val="22"/>
            <w:szCs w:val="22"/>
            <w:b w:val="0"/>
            <w:bCs w:val="0"/>
            <w:i w:val="0"/>
            <w:iCs w:val="0"/>
          </w:rPr>
          <w:t>2740- دیوان ملا سیری جرفادقانی أو شعره‏</w:t>
        </w:r>
        <w:r>
          <w:tab/>
        </w:r>
        <w:r>
          <w:fldChar w:fldCharType="begin"/>
        </w:r>
        <w:r>
          <w:instrText xml:space="preserve">PAGEREF 3550 \h</w:instrText>
        </w:r>
        <w:r>
          <w:fldChar w:fldCharType="end"/>
        </w:r>
      </w:hyperlink>
    </w:p>
    <w:p>
      <w:pPr>
        <w:tabs>
          <w:tab w:val="right" w:leader="dot" w:pos="9062"/>
        </w:tabs>
        <w:ind w:left="440"/>
      </w:pPr>
      <w:hyperlink w:anchor="_Toc3551" w:history="1">
        <w:r>
          <w:rPr>
            <w:rFonts w:ascii="IRNazanin" w:hAnsi="IRNazanin" w:eastAsia="IRNazanin" w:cs="IRNazanin"/>
            <w:color w:val="111111"/>
            <w:sz w:val="22"/>
            <w:szCs w:val="22"/>
            <w:b w:val="0"/>
            <w:bCs w:val="0"/>
            <w:i w:val="0"/>
            <w:iCs w:val="0"/>
          </w:rPr>
          <w:t>2741- دیوان سیری رازی النوربخشی‏</w:t>
        </w:r>
        <w:r>
          <w:tab/>
        </w:r>
        <w:r>
          <w:fldChar w:fldCharType="begin"/>
        </w:r>
        <w:r>
          <w:instrText xml:space="preserve">PAGEREF 3551 \h</w:instrText>
        </w:r>
        <w:r>
          <w:fldChar w:fldCharType="end"/>
        </w:r>
      </w:hyperlink>
    </w:p>
    <w:p>
      <w:pPr>
        <w:tabs>
          <w:tab w:val="right" w:leader="dot" w:pos="9062"/>
        </w:tabs>
        <w:ind w:left="440"/>
      </w:pPr>
      <w:hyperlink w:anchor="_Toc3552" w:history="1">
        <w:r>
          <w:rPr>
            <w:rFonts w:ascii="IRNazanin" w:hAnsi="IRNazanin" w:eastAsia="IRNazanin" w:cs="IRNazanin"/>
            <w:color w:val="111111"/>
            <w:sz w:val="22"/>
            <w:szCs w:val="22"/>
            <w:b w:val="0"/>
            <w:bCs w:val="0"/>
            <w:i w:val="0"/>
            <w:iCs w:val="0"/>
          </w:rPr>
          <w:t>دیوان سیری طهرانی‏</w:t>
        </w:r>
        <w:r>
          <w:tab/>
        </w:r>
        <w:r>
          <w:fldChar w:fldCharType="begin"/>
        </w:r>
        <w:r>
          <w:instrText xml:space="preserve">PAGEREF 3552 \h</w:instrText>
        </w:r>
        <w:r>
          <w:fldChar w:fldCharType="end"/>
        </w:r>
      </w:hyperlink>
    </w:p>
    <w:p>
      <w:pPr>
        <w:tabs>
          <w:tab w:val="right" w:leader="dot" w:pos="9062"/>
        </w:tabs>
        <w:ind w:left="440"/>
      </w:pPr>
      <w:hyperlink w:anchor="_Toc3553" w:history="1">
        <w:r>
          <w:rPr>
            <w:rFonts w:ascii="IRNazanin" w:hAnsi="IRNazanin" w:eastAsia="IRNazanin" w:cs="IRNazanin"/>
            <w:color w:val="111111"/>
            <w:sz w:val="22"/>
            <w:szCs w:val="22"/>
            <w:b w:val="0"/>
            <w:bCs w:val="0"/>
            <w:i w:val="0"/>
            <w:iCs w:val="0"/>
          </w:rPr>
          <w:t>2742- دیوان سیری غزنوی أو شعره‏</w:t>
        </w:r>
        <w:r>
          <w:tab/>
        </w:r>
        <w:r>
          <w:fldChar w:fldCharType="begin"/>
        </w:r>
        <w:r>
          <w:instrText xml:space="preserve">PAGEREF 3553 \h</w:instrText>
        </w:r>
        <w:r>
          <w:fldChar w:fldCharType="end"/>
        </w:r>
      </w:hyperlink>
    </w:p>
    <w:p>
      <w:pPr>
        <w:tabs>
          <w:tab w:val="right" w:leader="dot" w:pos="9062"/>
        </w:tabs>
        <w:ind w:left="440"/>
      </w:pPr>
      <w:hyperlink w:anchor="_Toc3554" w:history="1">
        <w:r>
          <w:rPr>
            <w:rFonts w:ascii="IRNazanin" w:hAnsi="IRNazanin" w:eastAsia="IRNazanin" w:cs="IRNazanin"/>
            <w:color w:val="111111"/>
            <w:sz w:val="22"/>
            <w:szCs w:val="22"/>
            <w:b w:val="0"/>
            <w:bCs w:val="0"/>
            <w:i w:val="0"/>
            <w:iCs w:val="0"/>
          </w:rPr>
          <w:t>دیوان سیری قزوینی‏</w:t>
        </w:r>
        <w:r>
          <w:tab/>
        </w:r>
        <w:r>
          <w:fldChar w:fldCharType="begin"/>
        </w:r>
        <w:r>
          <w:instrText xml:space="preserve">PAGEREF 3554 \h</w:instrText>
        </w:r>
        <w:r>
          <w:fldChar w:fldCharType="end"/>
        </w:r>
      </w:hyperlink>
    </w:p>
    <w:p>
      <w:pPr>
        <w:tabs>
          <w:tab w:val="right" w:leader="dot" w:pos="9062"/>
        </w:tabs>
        <w:ind w:left="440"/>
      </w:pPr>
      <w:hyperlink w:anchor="_Toc3555" w:history="1">
        <w:r>
          <w:rPr>
            <w:rFonts w:ascii="IRNazanin" w:hAnsi="IRNazanin" w:eastAsia="IRNazanin" w:cs="IRNazanin"/>
            <w:color w:val="111111"/>
            <w:sz w:val="22"/>
            <w:szCs w:val="22"/>
            <w:b w:val="0"/>
            <w:bCs w:val="0"/>
            <w:i w:val="0"/>
            <w:iCs w:val="0"/>
          </w:rPr>
          <w:t>2743- دیوان ملا سیری مروزی أو شعره‏</w:t>
        </w:r>
        <w:r>
          <w:tab/>
        </w:r>
        <w:r>
          <w:fldChar w:fldCharType="begin"/>
        </w:r>
        <w:r>
          <w:instrText xml:space="preserve">PAGEREF 3555 \h</w:instrText>
        </w:r>
        <w:r>
          <w:fldChar w:fldCharType="end"/>
        </w:r>
      </w:hyperlink>
    </w:p>
    <w:p>
      <w:pPr>
        <w:tabs>
          <w:tab w:val="right" w:leader="dot" w:pos="9062"/>
        </w:tabs>
        <w:ind w:left="440"/>
      </w:pPr>
      <w:hyperlink w:anchor="_Toc3556" w:history="1">
        <w:r>
          <w:rPr>
            <w:rFonts w:ascii="IRNazanin" w:hAnsi="IRNazanin" w:eastAsia="IRNazanin" w:cs="IRNazanin"/>
            <w:color w:val="111111"/>
            <w:sz w:val="22"/>
            <w:szCs w:val="22"/>
            <w:b w:val="0"/>
            <w:bCs w:val="0"/>
            <w:i w:val="0"/>
            <w:iCs w:val="0"/>
          </w:rPr>
          <w:t>2744- دیوان سیری مشهدی أو شعره‏</w:t>
        </w:r>
        <w:r>
          <w:tab/>
        </w:r>
        <w:r>
          <w:fldChar w:fldCharType="begin"/>
        </w:r>
        <w:r>
          <w:instrText xml:space="preserve">PAGEREF 3556 \h</w:instrText>
        </w:r>
        <w:r>
          <w:fldChar w:fldCharType="end"/>
        </w:r>
      </w:hyperlink>
    </w:p>
    <w:p>
      <w:pPr>
        <w:tabs>
          <w:tab w:val="right" w:leader="dot" w:pos="9062"/>
        </w:tabs>
        <w:ind w:left="440"/>
      </w:pPr>
      <w:hyperlink w:anchor="_Toc3557" w:history="1">
        <w:r>
          <w:rPr>
            <w:rFonts w:ascii="IRNazanin" w:hAnsi="IRNazanin" w:eastAsia="IRNazanin" w:cs="IRNazanin"/>
            <w:color w:val="111111"/>
            <w:sz w:val="22"/>
            <w:szCs w:val="22"/>
            <w:b w:val="0"/>
            <w:bCs w:val="0"/>
            <w:i w:val="0"/>
            <w:iCs w:val="0"/>
          </w:rPr>
          <w:t>2745- دیوان سیف إسفرنگ‏</w:t>
        </w:r>
        <w:r>
          <w:tab/>
        </w:r>
        <w:r>
          <w:fldChar w:fldCharType="begin"/>
        </w:r>
        <w:r>
          <w:instrText xml:space="preserve">PAGEREF 3557 \h</w:instrText>
        </w:r>
        <w:r>
          <w:fldChar w:fldCharType="end"/>
        </w:r>
      </w:hyperlink>
    </w:p>
    <w:p>
      <w:pPr>
        <w:tabs>
          <w:tab w:val="right" w:leader="dot" w:pos="9062"/>
        </w:tabs>
        <w:ind w:left="440"/>
      </w:pPr>
      <w:hyperlink w:anchor="_Toc3558" w:history="1">
        <w:r>
          <w:rPr>
            <w:rFonts w:ascii="IRNazanin" w:hAnsi="IRNazanin" w:eastAsia="IRNazanin" w:cs="IRNazanin"/>
            <w:color w:val="111111"/>
            <w:sz w:val="22"/>
            <w:szCs w:val="22"/>
            <w:b w:val="0"/>
            <w:bCs w:val="0"/>
            <w:i w:val="0"/>
            <w:iCs w:val="0"/>
          </w:rPr>
          <w:t>2746- دیوان سیف أصفهانی أو شعره‏</w:t>
        </w:r>
        <w:r>
          <w:tab/>
        </w:r>
        <w:r>
          <w:fldChar w:fldCharType="begin"/>
        </w:r>
        <w:r>
          <w:instrText xml:space="preserve">PAGEREF 3558 \h</w:instrText>
        </w:r>
        <w:r>
          <w:fldChar w:fldCharType="end"/>
        </w:r>
      </w:hyperlink>
    </w:p>
    <w:p>
      <w:pPr>
        <w:tabs>
          <w:tab w:val="right" w:leader="dot" w:pos="9062"/>
        </w:tabs>
        <w:ind w:left="440"/>
      </w:pPr>
      <w:hyperlink w:anchor="_Toc3559" w:history="1">
        <w:r>
          <w:rPr>
            <w:rFonts w:ascii="IRNazanin" w:hAnsi="IRNazanin" w:eastAsia="IRNazanin" w:cs="IRNazanin"/>
            <w:color w:val="111111"/>
            <w:sz w:val="22"/>
            <w:szCs w:val="22"/>
            <w:b w:val="0"/>
            <w:bCs w:val="0"/>
            <w:i w:val="0"/>
            <w:iCs w:val="0"/>
          </w:rPr>
          <w:t>دیوان سیف أعرج‏</w:t>
        </w:r>
        <w:r>
          <w:tab/>
        </w:r>
        <w:r>
          <w:fldChar w:fldCharType="begin"/>
        </w:r>
        <w:r>
          <w:instrText xml:space="preserve">PAGEREF 3559 \h</w:instrText>
        </w:r>
        <w:r>
          <w:fldChar w:fldCharType="end"/>
        </w:r>
      </w:hyperlink>
    </w:p>
    <w:p>
      <w:pPr>
        <w:tabs>
          <w:tab w:val="right" w:leader="dot" w:pos="9062"/>
        </w:tabs>
        <w:ind w:left="440"/>
      </w:pPr>
      <w:hyperlink w:anchor="_Toc3560" w:history="1">
        <w:r>
          <w:rPr>
            <w:rFonts w:ascii="IRNazanin" w:hAnsi="IRNazanin" w:eastAsia="IRNazanin" w:cs="IRNazanin"/>
            <w:color w:val="111111"/>
            <w:sz w:val="22"/>
            <w:szCs w:val="22"/>
            <w:b w:val="0"/>
            <w:bCs w:val="0"/>
            <w:i w:val="0"/>
            <w:iCs w:val="0"/>
          </w:rPr>
          <w:t>2747- دیوان سیف باخرزی‏</w:t>
        </w:r>
        <w:r>
          <w:tab/>
        </w:r>
        <w:r>
          <w:fldChar w:fldCharType="begin"/>
        </w:r>
        <w:r>
          <w:instrText xml:space="preserve">PAGEREF 3560 \h</w:instrText>
        </w:r>
        <w:r>
          <w:fldChar w:fldCharType="end"/>
        </w:r>
      </w:hyperlink>
    </w:p>
    <w:p>
      <w:pPr>
        <w:tabs>
          <w:tab w:val="right" w:leader="dot" w:pos="9062"/>
        </w:tabs>
        <w:ind w:left="440"/>
      </w:pPr>
      <w:hyperlink w:anchor="_Toc3561" w:history="1">
        <w:r>
          <w:rPr>
            <w:rFonts w:ascii="IRNazanin" w:hAnsi="IRNazanin" w:eastAsia="IRNazanin" w:cs="IRNazanin"/>
            <w:color w:val="111111"/>
            <w:sz w:val="22"/>
            <w:szCs w:val="22"/>
            <w:b w:val="0"/>
            <w:bCs w:val="0"/>
            <w:i w:val="0"/>
            <w:iCs w:val="0"/>
          </w:rPr>
          <w:t>2748- دیوان سیف تبریزی أو شعره‏</w:t>
        </w:r>
        <w:r>
          <w:tab/>
        </w:r>
        <w:r>
          <w:fldChar w:fldCharType="begin"/>
        </w:r>
        <w:r>
          <w:instrText xml:space="preserve">PAGEREF 3561 \h</w:instrText>
        </w:r>
        <w:r>
          <w:fldChar w:fldCharType="end"/>
        </w:r>
      </w:hyperlink>
    </w:p>
    <w:p>
      <w:pPr>
        <w:tabs>
          <w:tab w:val="right" w:leader="dot" w:pos="9062"/>
        </w:tabs>
        <w:ind w:left="440"/>
      </w:pPr>
      <w:hyperlink w:anchor="_Toc3562" w:history="1">
        <w:r>
          <w:rPr>
            <w:rFonts w:ascii="IRNazanin" w:hAnsi="IRNazanin" w:eastAsia="IRNazanin" w:cs="IRNazanin"/>
            <w:color w:val="111111"/>
            <w:sz w:val="22"/>
            <w:szCs w:val="22"/>
            <w:b w:val="0"/>
            <w:bCs w:val="0"/>
            <w:i w:val="0"/>
            <w:iCs w:val="0"/>
          </w:rPr>
          <w:t>دیوان سیف الدین‏</w:t>
        </w:r>
        <w:r>
          <w:tab/>
        </w:r>
        <w:r>
          <w:fldChar w:fldCharType="begin"/>
        </w:r>
        <w:r>
          <w:instrText xml:space="preserve">PAGEREF 3562 \h</w:instrText>
        </w:r>
        <w:r>
          <w:fldChar w:fldCharType="end"/>
        </w:r>
      </w:hyperlink>
    </w:p>
    <w:p>
      <w:pPr>
        <w:tabs>
          <w:tab w:val="right" w:leader="dot" w:pos="9062"/>
        </w:tabs>
        <w:ind w:left="440"/>
      </w:pPr>
      <w:hyperlink w:anchor="_Toc3563" w:history="1">
        <w:r>
          <w:rPr>
            <w:rFonts w:ascii="IRNazanin" w:hAnsi="IRNazanin" w:eastAsia="IRNazanin" w:cs="IRNazanin"/>
            <w:color w:val="111111"/>
            <w:sz w:val="22"/>
            <w:szCs w:val="22"/>
            <w:b w:val="0"/>
            <w:bCs w:val="0"/>
            <w:i w:val="0"/>
            <w:iCs w:val="0"/>
          </w:rPr>
          <w:t>2749- دیوان سیف الدین دبیر أو شعره‏</w:t>
        </w:r>
        <w:r>
          <w:tab/>
        </w:r>
        <w:r>
          <w:fldChar w:fldCharType="begin"/>
        </w:r>
        <w:r>
          <w:instrText xml:space="preserve">PAGEREF 3563 \h</w:instrText>
        </w:r>
        <w:r>
          <w:fldChar w:fldCharType="end"/>
        </w:r>
      </w:hyperlink>
    </w:p>
    <w:p>
      <w:pPr>
        <w:tabs>
          <w:tab w:val="right" w:leader="dot" w:pos="9062"/>
        </w:tabs>
        <w:ind w:left="440"/>
      </w:pPr>
      <w:hyperlink w:anchor="_Toc3564" w:history="1">
        <w:r>
          <w:rPr>
            <w:rFonts w:ascii="IRNazanin" w:hAnsi="IRNazanin" w:eastAsia="IRNazanin" w:cs="IRNazanin"/>
            <w:color w:val="111111"/>
            <w:sz w:val="22"/>
            <w:szCs w:val="22"/>
            <w:b w:val="0"/>
            <w:bCs w:val="0"/>
            <w:i w:val="0"/>
            <w:iCs w:val="0"/>
          </w:rPr>
          <w:t>2750- دیوان سیف هندی أو شعره‏</w:t>
        </w:r>
        <w:r>
          <w:tab/>
        </w:r>
        <w:r>
          <w:fldChar w:fldCharType="begin"/>
        </w:r>
        <w:r>
          <w:instrText xml:space="preserve">PAGEREF 3564 \h</w:instrText>
        </w:r>
        <w:r>
          <w:fldChar w:fldCharType="end"/>
        </w:r>
      </w:hyperlink>
    </w:p>
    <w:p>
      <w:pPr>
        <w:tabs>
          <w:tab w:val="right" w:leader="dot" w:pos="9062"/>
        </w:tabs>
        <w:ind w:left="440"/>
      </w:pPr>
      <w:hyperlink w:anchor="_Toc3565" w:history="1">
        <w:r>
          <w:rPr>
            <w:rFonts w:ascii="IRNazanin" w:hAnsi="IRNazanin" w:eastAsia="IRNazanin" w:cs="IRNazanin"/>
            <w:color w:val="111111"/>
            <w:sz w:val="22"/>
            <w:szCs w:val="22"/>
            <w:b w:val="0"/>
            <w:bCs w:val="0"/>
            <w:i w:val="0"/>
            <w:iCs w:val="0"/>
          </w:rPr>
          <w:t>2751- دیوان سیفی آشوری‏</w:t>
        </w:r>
        <w:r>
          <w:tab/>
        </w:r>
        <w:r>
          <w:fldChar w:fldCharType="begin"/>
        </w:r>
        <w:r>
          <w:instrText xml:space="preserve">PAGEREF 3565 \h</w:instrText>
        </w:r>
        <w:r>
          <w:fldChar w:fldCharType="end"/>
        </w:r>
      </w:hyperlink>
    </w:p>
    <w:p>
      <w:pPr>
        <w:tabs>
          <w:tab w:val="right" w:leader="dot" w:pos="9062"/>
        </w:tabs>
        <w:ind w:left="440"/>
      </w:pPr>
      <w:hyperlink w:anchor="_Toc3566" w:history="1">
        <w:r>
          <w:rPr>
            <w:rFonts w:ascii="IRNazanin" w:hAnsi="IRNazanin" w:eastAsia="IRNazanin" w:cs="IRNazanin"/>
            <w:color w:val="111111"/>
            <w:sz w:val="22"/>
            <w:szCs w:val="22"/>
            <w:b w:val="0"/>
            <w:bCs w:val="0"/>
            <w:i w:val="0"/>
            <w:iCs w:val="0"/>
          </w:rPr>
          <w:t>2752- دیوان سیفی بخاری‏</w:t>
        </w:r>
        <w:r>
          <w:tab/>
        </w:r>
        <w:r>
          <w:fldChar w:fldCharType="begin"/>
        </w:r>
        <w:r>
          <w:instrText xml:space="preserve">PAGEREF 3566 \h</w:instrText>
        </w:r>
        <w:r>
          <w:fldChar w:fldCharType="end"/>
        </w:r>
      </w:hyperlink>
    </w:p>
    <w:p>
      <w:pPr>
        <w:tabs>
          <w:tab w:val="right" w:leader="dot" w:pos="9062"/>
        </w:tabs>
        <w:ind w:left="440"/>
      </w:pPr>
      <w:hyperlink w:anchor="_Toc3567" w:history="1">
        <w:r>
          <w:rPr>
            <w:rFonts w:ascii="IRNazanin" w:hAnsi="IRNazanin" w:eastAsia="IRNazanin" w:cs="IRNazanin"/>
            <w:color w:val="111111"/>
            <w:sz w:val="22"/>
            <w:szCs w:val="22"/>
            <w:b w:val="0"/>
            <w:bCs w:val="0"/>
            <w:i w:val="0"/>
            <w:iCs w:val="0"/>
          </w:rPr>
          <w:t>2753- دیوان سیفی ترمذی‏</w:t>
        </w:r>
        <w:r>
          <w:tab/>
        </w:r>
        <w:r>
          <w:fldChar w:fldCharType="begin"/>
        </w:r>
        <w:r>
          <w:instrText xml:space="preserve">PAGEREF 3567 \h</w:instrText>
        </w:r>
        <w:r>
          <w:fldChar w:fldCharType="end"/>
        </w:r>
      </w:hyperlink>
    </w:p>
    <w:p>
      <w:pPr>
        <w:tabs>
          <w:tab w:val="right" w:leader="dot" w:pos="9062"/>
        </w:tabs>
        <w:ind w:left="440"/>
      </w:pPr>
      <w:hyperlink w:anchor="_Toc3568" w:history="1">
        <w:r>
          <w:rPr>
            <w:rFonts w:ascii="IRNazanin" w:hAnsi="IRNazanin" w:eastAsia="IRNazanin" w:cs="IRNazanin"/>
            <w:color w:val="111111"/>
            <w:sz w:val="22"/>
            <w:szCs w:val="22"/>
            <w:b w:val="0"/>
            <w:bCs w:val="0"/>
            <w:i w:val="0"/>
            <w:iCs w:val="0"/>
          </w:rPr>
          <w:t>2754- دیوان سیفی خراسانی‏</w:t>
        </w:r>
        <w:r>
          <w:tab/>
        </w:r>
        <w:r>
          <w:fldChar w:fldCharType="begin"/>
        </w:r>
        <w:r>
          <w:instrText xml:space="preserve">PAGEREF 3568 \h</w:instrText>
        </w:r>
        <w:r>
          <w:fldChar w:fldCharType="end"/>
        </w:r>
      </w:hyperlink>
    </w:p>
    <w:p>
      <w:pPr>
        <w:tabs>
          <w:tab w:val="right" w:leader="dot" w:pos="9062"/>
        </w:tabs>
        <w:ind w:left="440"/>
      </w:pPr>
      <w:hyperlink w:anchor="_Toc3569" w:history="1">
        <w:r>
          <w:rPr>
            <w:rFonts w:ascii="IRNazanin" w:hAnsi="IRNazanin" w:eastAsia="IRNazanin" w:cs="IRNazanin"/>
            <w:color w:val="111111"/>
            <w:sz w:val="22"/>
            <w:szCs w:val="22"/>
            <w:b w:val="0"/>
            <w:bCs w:val="0"/>
            <w:i w:val="0"/>
            <w:iCs w:val="0"/>
          </w:rPr>
          <w:t>2755- دیوان سیفی ساوجی أو شعره‏</w:t>
        </w:r>
        <w:r>
          <w:tab/>
        </w:r>
        <w:r>
          <w:fldChar w:fldCharType="begin"/>
        </w:r>
        <w:r>
          <w:instrText xml:space="preserve">PAGEREF 3569 \h</w:instrText>
        </w:r>
        <w:r>
          <w:fldChar w:fldCharType="end"/>
        </w:r>
      </w:hyperlink>
    </w:p>
    <w:p>
      <w:pPr>
        <w:tabs>
          <w:tab w:val="right" w:leader="dot" w:pos="9062"/>
        </w:tabs>
        <w:ind w:left="440"/>
      </w:pPr>
      <w:hyperlink w:anchor="_Toc3570" w:history="1">
        <w:r>
          <w:rPr>
            <w:rFonts w:ascii="IRNazanin" w:hAnsi="IRNazanin" w:eastAsia="IRNazanin" w:cs="IRNazanin"/>
            <w:color w:val="111111"/>
            <w:sz w:val="22"/>
            <w:szCs w:val="22"/>
            <w:b w:val="0"/>
            <w:bCs w:val="0"/>
            <w:i w:val="0"/>
            <w:iCs w:val="0"/>
          </w:rPr>
          <w:t>دیوان سیفی عروض‏</w:t>
        </w:r>
        <w:r>
          <w:tab/>
        </w:r>
        <w:r>
          <w:fldChar w:fldCharType="begin"/>
        </w:r>
        <w:r>
          <w:instrText xml:space="preserve">PAGEREF 3570 \h</w:instrText>
        </w:r>
        <w:r>
          <w:fldChar w:fldCharType="end"/>
        </w:r>
      </w:hyperlink>
    </w:p>
    <w:p>
      <w:pPr>
        <w:tabs>
          <w:tab w:val="right" w:leader="dot" w:pos="9062"/>
        </w:tabs>
        <w:ind w:left="440"/>
      </w:pPr>
      <w:hyperlink w:anchor="_Toc3571" w:history="1">
        <w:r>
          <w:rPr>
            <w:rFonts w:ascii="IRNazanin" w:hAnsi="IRNazanin" w:eastAsia="IRNazanin" w:cs="IRNazanin"/>
            <w:color w:val="111111"/>
            <w:sz w:val="22"/>
            <w:szCs w:val="22"/>
            <w:b w:val="0"/>
            <w:bCs w:val="0"/>
            <w:i w:val="0"/>
            <w:iCs w:val="0"/>
          </w:rPr>
          <w:t>2756- دیوان السیفی القزوینی‏</w:t>
        </w:r>
        <w:r>
          <w:tab/>
        </w:r>
        <w:r>
          <w:fldChar w:fldCharType="begin"/>
        </w:r>
        <w:r>
          <w:instrText xml:space="preserve">PAGEREF 3571 \h</w:instrText>
        </w:r>
        <w:r>
          <w:fldChar w:fldCharType="end"/>
        </w:r>
      </w:hyperlink>
    </w:p>
    <w:p>
      <w:pPr>
        <w:tabs>
          <w:tab w:val="right" w:leader="dot" w:pos="9062"/>
        </w:tabs>
        <w:ind w:left="440"/>
      </w:pPr>
      <w:hyperlink w:anchor="_Toc3572" w:history="1">
        <w:r>
          <w:rPr>
            <w:rFonts w:ascii="IRNazanin" w:hAnsi="IRNazanin" w:eastAsia="IRNazanin" w:cs="IRNazanin"/>
            <w:color w:val="111111"/>
            <w:sz w:val="22"/>
            <w:szCs w:val="22"/>
            <w:b w:val="0"/>
            <w:bCs w:val="0"/>
            <w:i w:val="0"/>
            <w:iCs w:val="0"/>
          </w:rPr>
          <w:t>2757- دیوان سیفی نیشابوری‏</w:t>
        </w:r>
        <w:r>
          <w:tab/>
        </w:r>
        <w:r>
          <w:fldChar w:fldCharType="begin"/>
        </w:r>
        <w:r>
          <w:instrText xml:space="preserve">PAGEREF 3572 \h</w:instrText>
        </w:r>
        <w:r>
          <w:fldChar w:fldCharType="end"/>
        </w:r>
      </w:hyperlink>
    </w:p>
    <w:p>
      <w:pPr>
        <w:tabs>
          <w:tab w:val="right" w:leader="dot" w:pos="9062"/>
        </w:tabs>
        <w:ind w:left="440"/>
      </w:pPr>
      <w:hyperlink w:anchor="_Toc3573" w:history="1">
        <w:r>
          <w:rPr>
            <w:rFonts w:ascii="IRNazanin" w:hAnsi="IRNazanin" w:eastAsia="IRNazanin" w:cs="IRNazanin"/>
            <w:color w:val="111111"/>
            <w:sz w:val="22"/>
            <w:szCs w:val="22"/>
            <w:b w:val="0"/>
            <w:bCs w:val="0"/>
            <w:i w:val="0"/>
            <w:iCs w:val="0"/>
          </w:rPr>
          <w:t>2758- دیوان سیفی هروی‏</w:t>
        </w:r>
        <w:r>
          <w:tab/>
        </w:r>
        <w:r>
          <w:fldChar w:fldCharType="begin"/>
        </w:r>
        <w:r>
          <w:instrText xml:space="preserve">PAGEREF 3573 \h</w:instrText>
        </w:r>
        <w:r>
          <w:fldChar w:fldCharType="end"/>
        </w:r>
      </w:hyperlink>
    </w:p>
    <w:p>
      <w:pPr>
        <w:tabs>
          <w:tab w:val="right" w:leader="dot" w:pos="9062"/>
        </w:tabs>
        <w:ind w:left="440"/>
      </w:pPr>
      <w:hyperlink w:anchor="_Toc3574" w:history="1">
        <w:r>
          <w:rPr>
            <w:rFonts w:ascii="IRNazanin" w:hAnsi="IRNazanin" w:eastAsia="IRNazanin" w:cs="IRNazanin"/>
            <w:color w:val="111111"/>
            <w:sz w:val="22"/>
            <w:szCs w:val="22"/>
            <w:b w:val="0"/>
            <w:bCs w:val="0"/>
            <w:i w:val="0"/>
            <w:iCs w:val="0"/>
          </w:rPr>
          <w:t>2759- دیوان سیلی بلخی أو شعره‏</w:t>
        </w:r>
        <w:r>
          <w:tab/>
        </w:r>
        <w:r>
          <w:fldChar w:fldCharType="begin"/>
        </w:r>
        <w:r>
          <w:instrText xml:space="preserve">PAGEREF 3574 \h</w:instrText>
        </w:r>
        <w:r>
          <w:fldChar w:fldCharType="end"/>
        </w:r>
      </w:hyperlink>
    </w:p>
    <w:p>
      <w:pPr>
        <w:tabs>
          <w:tab w:val="right" w:leader="dot" w:pos="9062"/>
        </w:tabs>
        <w:ind w:left="440"/>
      </w:pPr>
      <w:hyperlink w:anchor="_Toc3575" w:history="1">
        <w:r>
          <w:rPr>
            <w:rFonts w:ascii="IRNazanin" w:hAnsi="IRNazanin" w:eastAsia="IRNazanin" w:cs="IRNazanin"/>
            <w:color w:val="111111"/>
            <w:sz w:val="22"/>
            <w:szCs w:val="22"/>
            <w:b w:val="0"/>
            <w:bCs w:val="0"/>
            <w:i w:val="0"/>
            <w:iCs w:val="0"/>
          </w:rPr>
          <w:t>2760- دیوان سیما طالخانی‏</w:t>
        </w:r>
        <w:r>
          <w:tab/>
        </w:r>
        <w:r>
          <w:fldChar w:fldCharType="begin"/>
        </w:r>
        <w:r>
          <w:instrText xml:space="preserve">PAGEREF 3575 \h</w:instrText>
        </w:r>
        <w:r>
          <w:fldChar w:fldCharType="end"/>
        </w:r>
      </w:hyperlink>
    </w:p>
    <w:p>
      <w:pPr>
        <w:tabs>
          <w:tab w:val="right" w:leader="dot" w:pos="9062"/>
        </w:tabs>
        <w:ind w:left="440"/>
      </w:pPr>
      <w:hyperlink w:anchor="_Toc3576" w:history="1">
        <w:r>
          <w:rPr>
            <w:rFonts w:ascii="IRNazanin" w:hAnsi="IRNazanin" w:eastAsia="IRNazanin" w:cs="IRNazanin"/>
            <w:color w:val="111111"/>
            <w:sz w:val="22"/>
            <w:szCs w:val="22"/>
            <w:b w:val="0"/>
            <w:bCs w:val="0"/>
            <w:i w:val="0"/>
            <w:iCs w:val="0"/>
          </w:rPr>
          <w:t>2761- دیوان سیمائی مشهدی‏</w:t>
        </w:r>
        <w:r>
          <w:tab/>
        </w:r>
        <w:r>
          <w:fldChar w:fldCharType="begin"/>
        </w:r>
        <w:r>
          <w:instrText xml:space="preserve">PAGEREF 3576 \h</w:instrText>
        </w:r>
        <w:r>
          <w:fldChar w:fldCharType="end"/>
        </w:r>
      </w:hyperlink>
    </w:p>
    <w:p>
      <w:pPr>
        <w:tabs>
          <w:tab w:val="right" w:leader="dot" w:pos="9062"/>
        </w:tabs>
        <w:ind w:left="440"/>
      </w:pPr>
      <w:hyperlink w:anchor="_Toc3577" w:history="1">
        <w:r>
          <w:rPr>
            <w:rFonts w:ascii="IRNazanin" w:hAnsi="IRNazanin" w:eastAsia="IRNazanin" w:cs="IRNazanin"/>
            <w:color w:val="111111"/>
            <w:sz w:val="22"/>
            <w:szCs w:val="22"/>
            <w:b w:val="0"/>
            <w:bCs w:val="0"/>
            <w:i w:val="0"/>
            <w:iCs w:val="0"/>
          </w:rPr>
          <w:t>دیوان سیمی بغدادی‏</w:t>
        </w:r>
        <w:r>
          <w:tab/>
        </w:r>
        <w:r>
          <w:fldChar w:fldCharType="begin"/>
        </w:r>
        <w:r>
          <w:instrText xml:space="preserve">PAGEREF 3577 \h</w:instrText>
        </w:r>
        <w:r>
          <w:fldChar w:fldCharType="end"/>
        </w:r>
      </w:hyperlink>
    </w:p>
    <w:p>
      <w:pPr>
        <w:tabs>
          <w:tab w:val="right" w:leader="dot" w:pos="9062"/>
        </w:tabs>
        <w:ind w:left="440"/>
      </w:pPr>
      <w:hyperlink w:anchor="_Toc3578" w:history="1">
        <w:r>
          <w:rPr>
            <w:rFonts w:ascii="IRNazanin" w:hAnsi="IRNazanin" w:eastAsia="IRNazanin" w:cs="IRNazanin"/>
            <w:color w:val="111111"/>
            <w:sz w:val="22"/>
            <w:szCs w:val="22"/>
            <w:b w:val="0"/>
            <w:bCs w:val="0"/>
            <w:i w:val="0"/>
            <w:iCs w:val="0"/>
          </w:rPr>
          <w:t>2762- دیوان سیمی نیشابوری‏</w:t>
        </w:r>
        <w:r>
          <w:tab/>
        </w:r>
        <w:r>
          <w:fldChar w:fldCharType="begin"/>
        </w:r>
        <w:r>
          <w:instrText xml:space="preserve">PAGEREF 3578 \h</w:instrText>
        </w:r>
        <w:r>
          <w:fldChar w:fldCharType="end"/>
        </w:r>
      </w:hyperlink>
    </w:p>
    <w:p>
      <w:pPr>
        <w:tabs>
          <w:tab w:val="right" w:leader="dot" w:pos="9062"/>
        </w:tabs>
        <w:ind w:left="440"/>
      </w:pPr>
      <w:hyperlink w:anchor="_Toc3579" w:history="1">
        <w:r>
          <w:rPr>
            <w:rFonts w:ascii="IRNazanin" w:hAnsi="IRNazanin" w:eastAsia="IRNazanin" w:cs="IRNazanin"/>
            <w:color w:val="111111"/>
            <w:sz w:val="22"/>
            <w:szCs w:val="22"/>
            <w:b w:val="0"/>
            <w:bCs w:val="0"/>
            <w:i w:val="0"/>
            <w:iCs w:val="0"/>
          </w:rPr>
          <w:t>2763- دیوان سیمین بهبهانی‏</w:t>
        </w:r>
        <w:r>
          <w:tab/>
        </w:r>
        <w:r>
          <w:fldChar w:fldCharType="begin"/>
        </w:r>
        <w:r>
          <w:instrText xml:space="preserve">PAGEREF 3579 \h</w:instrText>
        </w:r>
        <w:r>
          <w:fldChar w:fldCharType="end"/>
        </w:r>
      </w:hyperlink>
    </w:p>
    <w:p>
      <w:pPr>
        <w:tabs>
          <w:tab w:val="right" w:leader="dot" w:pos="9062"/>
        </w:tabs>
        <w:ind w:left="440"/>
      </w:pPr>
      <w:hyperlink w:anchor="_Toc3580" w:history="1">
        <w:r>
          <w:rPr>
            <w:rFonts w:ascii="IRNazanin" w:hAnsi="IRNazanin" w:eastAsia="IRNazanin" w:cs="IRNazanin"/>
            <w:color w:val="111111"/>
            <w:sz w:val="22"/>
            <w:szCs w:val="22"/>
            <w:b w:val="0"/>
            <w:bCs w:val="0"/>
            <w:i w:val="0"/>
            <w:iCs w:val="0"/>
          </w:rPr>
          <w:t>2764- دیوان سینا أصفهانی‏</w:t>
        </w:r>
        <w:r>
          <w:tab/>
        </w:r>
        <w:r>
          <w:fldChar w:fldCharType="begin"/>
        </w:r>
        <w:r>
          <w:instrText xml:space="preserve">PAGEREF 3580 \h</w:instrText>
        </w:r>
        <w:r>
          <w:fldChar w:fldCharType="end"/>
        </w:r>
      </w:hyperlink>
    </w:p>
    <w:p>
      <w:pPr>
        <w:tabs>
          <w:tab w:val="right" w:leader="dot" w:pos="9062"/>
        </w:tabs>
        <w:ind w:left="440"/>
      </w:pPr>
      <w:hyperlink w:anchor="_Toc3581" w:history="1">
        <w:r>
          <w:rPr>
            <w:rFonts w:ascii="IRNazanin" w:hAnsi="IRNazanin" w:eastAsia="IRNazanin" w:cs="IRNazanin"/>
            <w:color w:val="111111"/>
            <w:sz w:val="22"/>
            <w:szCs w:val="22"/>
            <w:b w:val="0"/>
            <w:bCs w:val="0"/>
            <w:i w:val="0"/>
            <w:iCs w:val="0"/>
          </w:rPr>
          <w:t>2765- دیوان سینا کرمانی‏</w:t>
        </w:r>
        <w:r>
          <w:tab/>
        </w:r>
        <w:r>
          <w:fldChar w:fldCharType="begin"/>
        </w:r>
        <w:r>
          <w:instrText xml:space="preserve">PAGEREF 3581 \h</w:instrText>
        </w:r>
        <w:r>
          <w:fldChar w:fldCharType="end"/>
        </w:r>
      </w:hyperlink>
    </w:p>
    <w:p>
      <w:pPr>
        <w:tabs>
          <w:tab w:val="right" w:leader="dot" w:pos="9062"/>
        </w:tabs>
        <w:ind w:left="440"/>
      </w:pPr>
      <w:hyperlink w:anchor="_Toc3582" w:history="1">
        <w:r>
          <w:rPr>
            <w:rFonts w:ascii="IRNazanin" w:hAnsi="IRNazanin" w:eastAsia="IRNazanin" w:cs="IRNazanin"/>
            <w:color w:val="111111"/>
            <w:sz w:val="22"/>
            <w:szCs w:val="22"/>
            <w:b w:val="0"/>
            <w:bCs w:val="0"/>
            <w:i w:val="0"/>
            <w:iCs w:val="0"/>
          </w:rPr>
          <w:t>ش‏</w:t>
        </w:r>
        <w:r>
          <w:tab/>
        </w:r>
        <w:r>
          <w:fldChar w:fldCharType="begin"/>
        </w:r>
        <w:r>
          <w:instrText xml:space="preserve">PAGEREF 3582 \h</w:instrText>
        </w:r>
        <w:r>
          <w:fldChar w:fldCharType="end"/>
        </w:r>
      </w:hyperlink>
    </w:p>
    <w:p>
      <w:pPr>
        <w:tabs>
          <w:tab w:val="right" w:leader="dot" w:pos="9062"/>
        </w:tabs>
        <w:ind w:left="440"/>
      </w:pPr>
      <w:hyperlink w:anchor="_Toc3583" w:history="1">
        <w:r>
          <w:rPr>
            <w:rFonts w:ascii="IRNazanin" w:hAnsi="IRNazanin" w:eastAsia="IRNazanin" w:cs="IRNazanin"/>
            <w:color w:val="111111"/>
            <w:sz w:val="22"/>
            <w:szCs w:val="22"/>
            <w:b w:val="0"/>
            <w:bCs w:val="0"/>
            <w:i w:val="0"/>
            <w:iCs w:val="0"/>
          </w:rPr>
          <w:t>دیوان شائق‏</w:t>
        </w:r>
        <w:r>
          <w:tab/>
        </w:r>
        <w:r>
          <w:fldChar w:fldCharType="begin"/>
        </w:r>
        <w:r>
          <w:instrText xml:space="preserve">PAGEREF 3583 \h</w:instrText>
        </w:r>
        <w:r>
          <w:fldChar w:fldCharType="end"/>
        </w:r>
      </w:hyperlink>
    </w:p>
    <w:p>
      <w:pPr>
        <w:tabs>
          <w:tab w:val="right" w:leader="dot" w:pos="9062"/>
        </w:tabs>
        <w:ind w:left="440"/>
      </w:pPr>
      <w:hyperlink w:anchor="_Toc3584" w:history="1">
        <w:r>
          <w:rPr>
            <w:rFonts w:ascii="IRNazanin" w:hAnsi="IRNazanin" w:eastAsia="IRNazanin" w:cs="IRNazanin"/>
            <w:color w:val="111111"/>
            <w:sz w:val="22"/>
            <w:szCs w:val="22"/>
            <w:b w:val="0"/>
            <w:bCs w:val="0"/>
            <w:i w:val="0"/>
            <w:iCs w:val="0"/>
          </w:rPr>
          <w:t>دیوان شاپور</w:t>
        </w:r>
        <w:r>
          <w:tab/>
        </w:r>
        <w:r>
          <w:fldChar w:fldCharType="begin"/>
        </w:r>
        <w:r>
          <w:instrText xml:space="preserve">PAGEREF 3584 \h</w:instrText>
        </w:r>
        <w:r>
          <w:fldChar w:fldCharType="end"/>
        </w:r>
      </w:hyperlink>
    </w:p>
    <w:p>
      <w:pPr>
        <w:tabs>
          <w:tab w:val="right" w:leader="dot" w:pos="9062"/>
        </w:tabs>
        <w:ind w:left="440"/>
      </w:pPr>
      <w:hyperlink w:anchor="_Toc3585" w:history="1">
        <w:r>
          <w:rPr>
            <w:rFonts w:ascii="IRNazanin" w:hAnsi="IRNazanin" w:eastAsia="IRNazanin" w:cs="IRNazanin"/>
            <w:color w:val="111111"/>
            <w:sz w:val="22"/>
            <w:szCs w:val="22"/>
            <w:b w:val="0"/>
            <w:bCs w:val="0"/>
            <w:i w:val="0"/>
            <w:iCs w:val="0"/>
          </w:rPr>
          <w:t>2766- دیوان شاپور رازی‏</w:t>
        </w:r>
        <w:r>
          <w:tab/>
        </w:r>
        <w:r>
          <w:fldChar w:fldCharType="begin"/>
        </w:r>
        <w:r>
          <w:instrText xml:space="preserve">PAGEREF 3585 \h</w:instrText>
        </w:r>
        <w:r>
          <w:fldChar w:fldCharType="end"/>
        </w:r>
      </w:hyperlink>
    </w:p>
    <w:p>
      <w:pPr>
        <w:tabs>
          <w:tab w:val="right" w:leader="dot" w:pos="9062"/>
        </w:tabs>
        <w:ind w:left="440"/>
      </w:pPr>
      <w:hyperlink w:anchor="_Toc3586" w:history="1">
        <w:r>
          <w:rPr>
            <w:rFonts w:ascii="IRNazanin" w:hAnsi="IRNazanin" w:eastAsia="IRNazanin" w:cs="IRNazanin"/>
            <w:color w:val="111111"/>
            <w:sz w:val="22"/>
            <w:szCs w:val="22"/>
            <w:b w:val="0"/>
            <w:bCs w:val="0"/>
            <w:i w:val="0"/>
            <w:iCs w:val="0"/>
          </w:rPr>
          <w:t>2767- دیوان شاپور قاجار أو شعره‏</w:t>
        </w:r>
        <w:r>
          <w:tab/>
        </w:r>
        <w:r>
          <w:fldChar w:fldCharType="begin"/>
        </w:r>
        <w:r>
          <w:instrText xml:space="preserve">PAGEREF 3586 \h</w:instrText>
        </w:r>
        <w:r>
          <w:fldChar w:fldCharType="end"/>
        </w:r>
      </w:hyperlink>
    </w:p>
    <w:p>
      <w:pPr>
        <w:tabs>
          <w:tab w:val="right" w:leader="dot" w:pos="9062"/>
        </w:tabs>
        <w:ind w:left="440"/>
      </w:pPr>
      <w:hyperlink w:anchor="_Toc3587" w:history="1">
        <w:r>
          <w:rPr>
            <w:rFonts w:ascii="IRNazanin" w:hAnsi="IRNazanin" w:eastAsia="IRNazanin" w:cs="IRNazanin"/>
            <w:color w:val="111111"/>
            <w:sz w:val="22"/>
            <w:szCs w:val="22"/>
            <w:b w:val="0"/>
            <w:bCs w:val="0"/>
            <w:i w:val="0"/>
            <w:iCs w:val="0"/>
          </w:rPr>
          <w:t>2768- دیوان شاپور کاشانی‏</w:t>
        </w:r>
        <w:r>
          <w:tab/>
        </w:r>
        <w:r>
          <w:fldChar w:fldCharType="begin"/>
        </w:r>
        <w:r>
          <w:instrText xml:space="preserve">PAGEREF 3587 \h</w:instrText>
        </w:r>
        <w:r>
          <w:fldChar w:fldCharType="end"/>
        </w:r>
      </w:hyperlink>
    </w:p>
    <w:p>
      <w:pPr>
        <w:tabs>
          <w:tab w:val="right" w:leader="dot" w:pos="9062"/>
        </w:tabs>
        <w:ind w:left="440"/>
      </w:pPr>
      <w:hyperlink w:anchor="_Toc3588" w:history="1">
        <w:r>
          <w:rPr>
            <w:rFonts w:ascii="IRNazanin" w:hAnsi="IRNazanin" w:eastAsia="IRNazanin" w:cs="IRNazanin"/>
            <w:color w:val="111111"/>
            <w:sz w:val="22"/>
            <w:szCs w:val="22"/>
            <w:b w:val="0"/>
            <w:bCs w:val="0"/>
            <w:i w:val="0"/>
            <w:iCs w:val="0"/>
          </w:rPr>
          <w:t>دیوان شاپور نیشابوری‏</w:t>
        </w:r>
        <w:r>
          <w:tab/>
        </w:r>
        <w:r>
          <w:fldChar w:fldCharType="begin"/>
        </w:r>
        <w:r>
          <w:instrText xml:space="preserve">PAGEREF 3588 \h</w:instrText>
        </w:r>
        <w:r>
          <w:fldChar w:fldCharType="end"/>
        </w:r>
      </w:hyperlink>
    </w:p>
    <w:p>
      <w:pPr>
        <w:tabs>
          <w:tab w:val="right" w:leader="dot" w:pos="9062"/>
        </w:tabs>
        <w:ind w:left="440"/>
      </w:pPr>
      <w:hyperlink w:anchor="_Toc3589" w:history="1">
        <w:r>
          <w:rPr>
            <w:rFonts w:ascii="IRNazanin" w:hAnsi="IRNazanin" w:eastAsia="IRNazanin" w:cs="IRNazanin"/>
            <w:color w:val="111111"/>
            <w:sz w:val="22"/>
            <w:szCs w:val="22"/>
            <w:b w:val="0"/>
            <w:bCs w:val="0"/>
            <w:i w:val="0"/>
            <w:iCs w:val="0"/>
          </w:rPr>
          <w:t>2769- دیوان الشاخوری أو شعره‏</w:t>
        </w:r>
        <w:r>
          <w:tab/>
        </w:r>
        <w:r>
          <w:fldChar w:fldCharType="begin"/>
        </w:r>
        <w:r>
          <w:instrText xml:space="preserve">PAGEREF 3589 \h</w:instrText>
        </w:r>
        <w:r>
          <w:fldChar w:fldCharType="end"/>
        </w:r>
      </w:hyperlink>
    </w:p>
    <w:p>
      <w:pPr>
        <w:tabs>
          <w:tab w:val="right" w:leader="dot" w:pos="9062"/>
        </w:tabs>
        <w:ind w:left="440"/>
      </w:pPr>
      <w:hyperlink w:anchor="_Toc3590" w:history="1">
        <w:r>
          <w:rPr>
            <w:rFonts w:ascii="IRNazanin" w:hAnsi="IRNazanin" w:eastAsia="IRNazanin" w:cs="IRNazanin"/>
            <w:color w:val="111111"/>
            <w:sz w:val="22"/>
            <w:szCs w:val="22"/>
            <w:b w:val="0"/>
            <w:bCs w:val="0"/>
            <w:i w:val="0"/>
            <w:iCs w:val="0"/>
          </w:rPr>
          <w:t>2770- دیوان الشاخوری أو شعره‏</w:t>
        </w:r>
        <w:r>
          <w:tab/>
        </w:r>
        <w:r>
          <w:fldChar w:fldCharType="begin"/>
        </w:r>
        <w:r>
          <w:instrText xml:space="preserve">PAGEREF 3590 \h</w:instrText>
        </w:r>
        <w:r>
          <w:fldChar w:fldCharType="end"/>
        </w:r>
      </w:hyperlink>
    </w:p>
    <w:p>
      <w:pPr>
        <w:tabs>
          <w:tab w:val="right" w:leader="dot" w:pos="9062"/>
        </w:tabs>
        <w:ind w:left="440"/>
      </w:pPr>
      <w:hyperlink w:anchor="_Toc3591" w:history="1">
        <w:r>
          <w:rPr>
            <w:rFonts w:ascii="IRNazanin" w:hAnsi="IRNazanin" w:eastAsia="IRNazanin" w:cs="IRNazanin"/>
            <w:color w:val="111111"/>
            <w:sz w:val="22"/>
            <w:szCs w:val="22"/>
            <w:b w:val="0"/>
            <w:bCs w:val="0"/>
            <w:i w:val="0"/>
            <w:iCs w:val="0"/>
          </w:rPr>
          <w:t>دیوان شاداب‏</w:t>
        </w:r>
        <w:r>
          <w:tab/>
        </w:r>
        <w:r>
          <w:fldChar w:fldCharType="begin"/>
        </w:r>
        <w:r>
          <w:instrText xml:space="preserve">PAGEREF 3591 \h</w:instrText>
        </w:r>
        <w:r>
          <w:fldChar w:fldCharType="end"/>
        </w:r>
      </w:hyperlink>
    </w:p>
    <w:p>
      <w:pPr>
        <w:tabs>
          <w:tab w:val="right" w:leader="dot" w:pos="9062"/>
        </w:tabs>
        <w:ind w:left="440"/>
      </w:pPr>
      <w:hyperlink w:anchor="_Toc3592" w:history="1">
        <w:r>
          <w:rPr>
            <w:rFonts w:ascii="IRNazanin" w:hAnsi="IRNazanin" w:eastAsia="IRNazanin" w:cs="IRNazanin"/>
            <w:color w:val="111111"/>
            <w:sz w:val="22"/>
            <w:szCs w:val="22"/>
            <w:b w:val="0"/>
            <w:bCs w:val="0"/>
            <w:i w:val="0"/>
            <w:iCs w:val="0"/>
          </w:rPr>
          <w:t>2771- دیوان شادابی جونپوری أو شعره‏</w:t>
        </w:r>
        <w:r>
          <w:tab/>
        </w:r>
        <w:r>
          <w:fldChar w:fldCharType="begin"/>
        </w:r>
        <w:r>
          <w:instrText xml:space="preserve">PAGEREF 3592 \h</w:instrText>
        </w:r>
        <w:r>
          <w:fldChar w:fldCharType="end"/>
        </w:r>
      </w:hyperlink>
    </w:p>
    <w:p>
      <w:pPr>
        <w:tabs>
          <w:tab w:val="right" w:leader="dot" w:pos="9062"/>
        </w:tabs>
        <w:ind w:left="440"/>
      </w:pPr>
      <w:hyperlink w:anchor="_Toc3593" w:history="1">
        <w:r>
          <w:rPr>
            <w:rFonts w:ascii="IRNazanin" w:hAnsi="IRNazanin" w:eastAsia="IRNazanin" w:cs="IRNazanin"/>
            <w:color w:val="111111"/>
            <w:sz w:val="22"/>
            <w:szCs w:val="22"/>
            <w:b w:val="0"/>
            <w:bCs w:val="0"/>
            <w:i w:val="0"/>
            <w:iCs w:val="0"/>
          </w:rPr>
          <w:t>2772- دیوان شادمان أصفهانی‏</w:t>
        </w:r>
        <w:r>
          <w:tab/>
        </w:r>
        <w:r>
          <w:fldChar w:fldCharType="begin"/>
        </w:r>
        <w:r>
          <w:instrText xml:space="preserve">PAGEREF 3593 \h</w:instrText>
        </w:r>
        <w:r>
          <w:fldChar w:fldCharType="end"/>
        </w:r>
      </w:hyperlink>
    </w:p>
    <w:p>
      <w:pPr>
        <w:tabs>
          <w:tab w:val="right" w:leader="dot" w:pos="9062"/>
        </w:tabs>
        <w:ind w:left="440"/>
      </w:pPr>
      <w:hyperlink w:anchor="_Toc3594" w:history="1">
        <w:r>
          <w:rPr>
            <w:rFonts w:ascii="IRNazanin" w:hAnsi="IRNazanin" w:eastAsia="IRNazanin" w:cs="IRNazanin"/>
            <w:color w:val="111111"/>
            <w:sz w:val="22"/>
            <w:szCs w:val="22"/>
            <w:b w:val="0"/>
            <w:bCs w:val="0"/>
            <w:i w:val="0"/>
            <w:iCs w:val="0"/>
          </w:rPr>
          <w:t>2773- دیوان شادمان گکهر</w:t>
        </w:r>
        <w:r>
          <w:tab/>
        </w:r>
        <w:r>
          <w:fldChar w:fldCharType="begin"/>
        </w:r>
        <w:r>
          <w:instrText xml:space="preserve">PAGEREF 3594 \h</w:instrText>
        </w:r>
        <w:r>
          <w:fldChar w:fldCharType="end"/>
        </w:r>
      </w:hyperlink>
    </w:p>
    <w:p>
      <w:pPr>
        <w:tabs>
          <w:tab w:val="right" w:leader="dot" w:pos="9062"/>
        </w:tabs>
        <w:ind w:left="440"/>
      </w:pPr>
      <w:hyperlink w:anchor="_Toc3595" w:history="1">
        <w:r>
          <w:rPr>
            <w:rFonts w:ascii="IRNazanin" w:hAnsi="IRNazanin" w:eastAsia="IRNazanin" w:cs="IRNazanin"/>
            <w:color w:val="111111"/>
            <w:sz w:val="22"/>
            <w:szCs w:val="22"/>
            <w:b w:val="0"/>
            <w:bCs w:val="0"/>
            <w:i w:val="0"/>
            <w:iCs w:val="0"/>
          </w:rPr>
          <w:t>2774- دیوان شادی هروی أو شعره‏</w:t>
        </w:r>
        <w:r>
          <w:tab/>
        </w:r>
        <w:r>
          <w:fldChar w:fldCharType="begin"/>
        </w:r>
        <w:r>
          <w:instrText xml:space="preserve">PAGEREF 3595 \h</w:instrText>
        </w:r>
        <w:r>
          <w:fldChar w:fldCharType="end"/>
        </w:r>
      </w:hyperlink>
    </w:p>
    <w:p>
      <w:pPr>
        <w:tabs>
          <w:tab w:val="right" w:leader="dot" w:pos="9062"/>
        </w:tabs>
        <w:ind w:left="440"/>
      </w:pPr>
      <w:hyperlink w:anchor="_Toc3596" w:history="1">
        <w:r>
          <w:rPr>
            <w:rFonts w:ascii="IRNazanin" w:hAnsi="IRNazanin" w:eastAsia="IRNazanin" w:cs="IRNazanin"/>
            <w:color w:val="111111"/>
            <w:sz w:val="22"/>
            <w:szCs w:val="22"/>
            <w:b w:val="0"/>
            <w:bCs w:val="0"/>
            <w:i w:val="0"/>
            <w:iCs w:val="0"/>
          </w:rPr>
          <w:t>2775- دیوان شارق بروجنی البختیاری‏</w:t>
        </w:r>
        <w:r>
          <w:tab/>
        </w:r>
        <w:r>
          <w:fldChar w:fldCharType="begin"/>
        </w:r>
        <w:r>
          <w:instrText xml:space="preserve">PAGEREF 3596 \h</w:instrText>
        </w:r>
        <w:r>
          <w:fldChar w:fldCharType="end"/>
        </w:r>
      </w:hyperlink>
    </w:p>
    <w:p>
      <w:pPr>
        <w:tabs>
          <w:tab w:val="right" w:leader="dot" w:pos="9062"/>
        </w:tabs>
        <w:ind w:left="440"/>
      </w:pPr>
      <w:hyperlink w:anchor="_Toc3597" w:history="1">
        <w:r>
          <w:rPr>
            <w:rFonts w:ascii="IRNazanin" w:hAnsi="IRNazanin" w:eastAsia="IRNazanin" w:cs="IRNazanin"/>
            <w:color w:val="111111"/>
            <w:sz w:val="22"/>
            <w:szCs w:val="22"/>
            <w:b w:val="0"/>
            <w:bCs w:val="0"/>
            <w:i w:val="0"/>
            <w:iCs w:val="0"/>
          </w:rPr>
          <w:t>2776- دیوان شارق یزدی أو شعره‏</w:t>
        </w:r>
        <w:r>
          <w:tab/>
        </w:r>
        <w:r>
          <w:fldChar w:fldCharType="begin"/>
        </w:r>
        <w:r>
          <w:instrText xml:space="preserve">PAGEREF 3597 \h</w:instrText>
        </w:r>
        <w:r>
          <w:fldChar w:fldCharType="end"/>
        </w:r>
      </w:hyperlink>
    </w:p>
    <w:p>
      <w:pPr>
        <w:tabs>
          <w:tab w:val="right" w:leader="dot" w:pos="9062"/>
        </w:tabs>
        <w:ind w:left="440"/>
      </w:pPr>
      <w:hyperlink w:anchor="_Toc3598" w:history="1">
        <w:r>
          <w:rPr>
            <w:rFonts w:ascii="IRNazanin" w:hAnsi="IRNazanin" w:eastAsia="IRNazanin" w:cs="IRNazanin"/>
            <w:color w:val="111111"/>
            <w:sz w:val="22"/>
            <w:szCs w:val="22"/>
            <w:b w:val="0"/>
            <w:bCs w:val="0"/>
            <w:i w:val="0"/>
            <w:iCs w:val="0"/>
          </w:rPr>
          <w:t>دیوان شاطر عباس‏</w:t>
        </w:r>
        <w:r>
          <w:tab/>
        </w:r>
        <w:r>
          <w:fldChar w:fldCharType="begin"/>
        </w:r>
        <w:r>
          <w:instrText xml:space="preserve">PAGEREF 3598 \h</w:instrText>
        </w:r>
        <w:r>
          <w:fldChar w:fldCharType="end"/>
        </w:r>
      </w:hyperlink>
    </w:p>
    <w:p>
      <w:pPr>
        <w:tabs>
          <w:tab w:val="right" w:leader="dot" w:pos="9062"/>
        </w:tabs>
        <w:ind w:left="440"/>
      </w:pPr>
      <w:hyperlink w:anchor="_Toc3599" w:history="1">
        <w:r>
          <w:rPr>
            <w:rFonts w:ascii="IRNazanin" w:hAnsi="IRNazanin" w:eastAsia="IRNazanin" w:cs="IRNazanin"/>
            <w:color w:val="111111"/>
            <w:sz w:val="22"/>
            <w:szCs w:val="22"/>
            <w:b w:val="0"/>
            <w:bCs w:val="0"/>
            <w:i w:val="0"/>
            <w:iCs w:val="0"/>
          </w:rPr>
          <w:t>2777- دیوان شاعر بلگرامی‏</w:t>
        </w:r>
        <w:r>
          <w:tab/>
        </w:r>
        <w:r>
          <w:fldChar w:fldCharType="begin"/>
        </w:r>
        <w:r>
          <w:instrText xml:space="preserve">PAGEREF 3599 \h</w:instrText>
        </w:r>
        <w:r>
          <w:fldChar w:fldCharType="end"/>
        </w:r>
      </w:hyperlink>
    </w:p>
    <w:p>
      <w:pPr>
        <w:tabs>
          <w:tab w:val="right" w:leader="dot" w:pos="9062"/>
        </w:tabs>
        <w:ind w:left="440"/>
      </w:pPr>
      <w:hyperlink w:anchor="_Toc3600" w:history="1">
        <w:r>
          <w:rPr>
            <w:rFonts w:ascii="IRNazanin" w:hAnsi="IRNazanin" w:eastAsia="IRNazanin" w:cs="IRNazanin"/>
            <w:color w:val="111111"/>
            <w:sz w:val="22"/>
            <w:szCs w:val="22"/>
            <w:b w:val="0"/>
            <w:bCs w:val="0"/>
            <w:i w:val="0"/>
            <w:iCs w:val="0"/>
          </w:rPr>
          <w:t>2778- دیوان شاعر شاه‏جهانی أو شعره‏</w:t>
        </w:r>
        <w:r>
          <w:tab/>
        </w:r>
        <w:r>
          <w:fldChar w:fldCharType="begin"/>
        </w:r>
        <w:r>
          <w:instrText xml:space="preserve">PAGEREF 3600 \h</w:instrText>
        </w:r>
        <w:r>
          <w:fldChar w:fldCharType="end"/>
        </w:r>
      </w:hyperlink>
    </w:p>
    <w:p>
      <w:pPr>
        <w:tabs>
          <w:tab w:val="right" w:leader="dot" w:pos="9062"/>
        </w:tabs>
        <w:ind w:left="440"/>
      </w:pPr>
      <w:hyperlink w:anchor="_Toc3601" w:history="1">
        <w:r>
          <w:rPr>
            <w:rFonts w:ascii="IRNazanin" w:hAnsi="IRNazanin" w:eastAsia="IRNazanin" w:cs="IRNazanin"/>
            <w:color w:val="111111"/>
            <w:sz w:val="22"/>
            <w:szCs w:val="22"/>
            <w:b w:val="0"/>
            <w:bCs w:val="0"/>
            <w:i w:val="0"/>
            <w:iCs w:val="0"/>
          </w:rPr>
          <w:t>دیوان شاعر الفلاسفة</w:t>
        </w:r>
        <w:r>
          <w:tab/>
        </w:r>
        <w:r>
          <w:fldChar w:fldCharType="begin"/>
        </w:r>
        <w:r>
          <w:instrText xml:space="preserve">PAGEREF 3601 \h</w:instrText>
        </w:r>
        <w:r>
          <w:fldChar w:fldCharType="end"/>
        </w:r>
      </w:hyperlink>
    </w:p>
    <w:p>
      <w:pPr>
        <w:tabs>
          <w:tab w:val="right" w:leader="dot" w:pos="9062"/>
        </w:tabs>
        <w:ind w:left="440"/>
      </w:pPr>
      <w:hyperlink w:anchor="_Toc3602" w:history="1">
        <w:r>
          <w:rPr>
            <w:rFonts w:ascii="IRNazanin" w:hAnsi="IRNazanin" w:eastAsia="IRNazanin" w:cs="IRNazanin"/>
            <w:color w:val="111111"/>
            <w:sz w:val="22"/>
            <w:szCs w:val="22"/>
            <w:b w:val="0"/>
            <w:bCs w:val="0"/>
            <w:i w:val="0"/>
            <w:iCs w:val="0"/>
          </w:rPr>
          <w:t>2779- دیوان شافی حیدرآبادی أو شعره‏</w:t>
        </w:r>
        <w:r>
          <w:tab/>
        </w:r>
        <w:r>
          <w:fldChar w:fldCharType="begin"/>
        </w:r>
        <w:r>
          <w:instrText xml:space="preserve">PAGEREF 3602 \h</w:instrText>
        </w:r>
        <w:r>
          <w:fldChar w:fldCharType="end"/>
        </w:r>
      </w:hyperlink>
    </w:p>
    <w:p>
      <w:pPr>
        <w:tabs>
          <w:tab w:val="right" w:leader="dot" w:pos="9062"/>
        </w:tabs>
        <w:ind w:left="440"/>
      </w:pPr>
      <w:hyperlink w:anchor="_Toc3603" w:history="1">
        <w:r>
          <w:rPr>
            <w:rFonts w:ascii="IRNazanin" w:hAnsi="IRNazanin" w:eastAsia="IRNazanin" w:cs="IRNazanin"/>
            <w:color w:val="111111"/>
            <w:sz w:val="22"/>
            <w:szCs w:val="22"/>
            <w:b w:val="0"/>
            <w:bCs w:val="0"/>
            <w:i w:val="0"/>
            <w:iCs w:val="0"/>
          </w:rPr>
          <w:t>2780- دیوان شاکر أصفهانی أو شعره‏</w:t>
        </w:r>
        <w:r>
          <w:tab/>
        </w:r>
        <w:r>
          <w:fldChar w:fldCharType="begin"/>
        </w:r>
        <w:r>
          <w:instrText xml:space="preserve">PAGEREF 3603 \h</w:instrText>
        </w:r>
        <w:r>
          <w:fldChar w:fldCharType="end"/>
        </w:r>
      </w:hyperlink>
    </w:p>
    <w:p>
      <w:pPr>
        <w:tabs>
          <w:tab w:val="right" w:leader="dot" w:pos="9062"/>
        </w:tabs>
        <w:ind w:left="440"/>
      </w:pPr>
      <w:hyperlink w:anchor="_Toc3604" w:history="1">
        <w:r>
          <w:rPr>
            <w:rFonts w:ascii="IRNazanin" w:hAnsi="IRNazanin" w:eastAsia="IRNazanin" w:cs="IRNazanin"/>
            <w:color w:val="111111"/>
            <w:sz w:val="22"/>
            <w:szCs w:val="22"/>
            <w:b w:val="0"/>
            <w:bCs w:val="0"/>
            <w:i w:val="0"/>
            <w:iCs w:val="0"/>
          </w:rPr>
          <w:t>2781- دیوان شاکر تبریزی أو شعره‏</w:t>
        </w:r>
        <w:r>
          <w:tab/>
        </w:r>
        <w:r>
          <w:fldChar w:fldCharType="begin"/>
        </w:r>
        <w:r>
          <w:instrText xml:space="preserve">PAGEREF 3604 \h</w:instrText>
        </w:r>
        <w:r>
          <w:fldChar w:fldCharType="end"/>
        </w:r>
      </w:hyperlink>
    </w:p>
    <w:p>
      <w:pPr>
        <w:tabs>
          <w:tab w:val="right" w:leader="dot" w:pos="9062"/>
        </w:tabs>
        <w:ind w:left="440"/>
      </w:pPr>
      <w:hyperlink w:anchor="_Toc3605" w:history="1">
        <w:r>
          <w:rPr>
            <w:rFonts w:ascii="IRNazanin" w:hAnsi="IRNazanin" w:eastAsia="IRNazanin" w:cs="IRNazanin"/>
            <w:color w:val="111111"/>
            <w:sz w:val="22"/>
            <w:szCs w:val="22"/>
            <w:b w:val="0"/>
            <w:bCs w:val="0"/>
            <w:i w:val="0"/>
            <w:iCs w:val="0"/>
          </w:rPr>
          <w:t>دیوان شاکر تبریزی‏</w:t>
        </w:r>
        <w:r>
          <w:tab/>
        </w:r>
        <w:r>
          <w:fldChar w:fldCharType="begin"/>
        </w:r>
        <w:r>
          <w:instrText xml:space="preserve">PAGEREF 3605 \h</w:instrText>
        </w:r>
        <w:r>
          <w:fldChar w:fldCharType="end"/>
        </w:r>
      </w:hyperlink>
    </w:p>
    <w:p>
      <w:pPr>
        <w:tabs>
          <w:tab w:val="right" w:leader="dot" w:pos="9062"/>
        </w:tabs>
        <w:ind w:left="440"/>
      </w:pPr>
      <w:hyperlink w:anchor="_Toc3606" w:history="1">
        <w:r>
          <w:rPr>
            <w:rFonts w:ascii="IRNazanin" w:hAnsi="IRNazanin" w:eastAsia="IRNazanin" w:cs="IRNazanin"/>
            <w:color w:val="111111"/>
            <w:sz w:val="22"/>
            <w:szCs w:val="22"/>
            <w:b w:val="0"/>
            <w:bCs w:val="0"/>
            <w:i w:val="0"/>
            <w:iCs w:val="0"/>
          </w:rPr>
          <w:t>2782- دیوان شاکر دزفولی أو شعره‏</w:t>
        </w:r>
        <w:r>
          <w:tab/>
        </w:r>
        <w:r>
          <w:fldChar w:fldCharType="begin"/>
        </w:r>
        <w:r>
          <w:instrText xml:space="preserve">PAGEREF 3606 \h</w:instrText>
        </w:r>
        <w:r>
          <w:fldChar w:fldCharType="end"/>
        </w:r>
      </w:hyperlink>
    </w:p>
    <w:p>
      <w:pPr>
        <w:tabs>
          <w:tab w:val="right" w:leader="dot" w:pos="9062"/>
        </w:tabs>
        <w:ind w:left="440"/>
      </w:pPr>
      <w:hyperlink w:anchor="_Toc3607" w:history="1">
        <w:r>
          <w:rPr>
            <w:rFonts w:ascii="IRNazanin" w:hAnsi="IRNazanin" w:eastAsia="IRNazanin" w:cs="IRNazanin"/>
            <w:color w:val="111111"/>
            <w:sz w:val="22"/>
            <w:szCs w:val="22"/>
            <w:b w:val="0"/>
            <w:bCs w:val="0"/>
            <w:i w:val="0"/>
            <w:iCs w:val="0"/>
          </w:rPr>
          <w:t>2783- دیوان شاکر طهرانی أو شعره‏</w:t>
        </w:r>
        <w:r>
          <w:tab/>
        </w:r>
        <w:r>
          <w:fldChar w:fldCharType="begin"/>
        </w:r>
        <w:r>
          <w:instrText xml:space="preserve">PAGEREF 3607 \h</w:instrText>
        </w:r>
        <w:r>
          <w:fldChar w:fldCharType="end"/>
        </w:r>
      </w:hyperlink>
    </w:p>
    <w:p>
      <w:pPr>
        <w:tabs>
          <w:tab w:val="right" w:leader="dot" w:pos="9062"/>
        </w:tabs>
        <w:ind w:left="440"/>
      </w:pPr>
      <w:hyperlink w:anchor="_Toc3608" w:history="1">
        <w:r>
          <w:rPr>
            <w:rFonts w:ascii="IRNazanin" w:hAnsi="IRNazanin" w:eastAsia="IRNazanin" w:cs="IRNazanin"/>
            <w:color w:val="111111"/>
            <w:sz w:val="22"/>
            <w:szCs w:val="22"/>
            <w:b w:val="0"/>
            <w:bCs w:val="0"/>
            <w:i w:val="0"/>
            <w:iCs w:val="0"/>
          </w:rPr>
          <w:t>2784- دیوان شاکر هندی أو شعره‏</w:t>
        </w:r>
        <w:r>
          <w:tab/>
        </w:r>
        <w:r>
          <w:fldChar w:fldCharType="begin"/>
        </w:r>
        <w:r>
          <w:instrText xml:space="preserve">PAGEREF 3608 \h</w:instrText>
        </w:r>
        <w:r>
          <w:fldChar w:fldCharType="end"/>
        </w:r>
      </w:hyperlink>
    </w:p>
    <w:p>
      <w:pPr>
        <w:tabs>
          <w:tab w:val="right" w:leader="dot" w:pos="9062"/>
        </w:tabs>
        <w:ind w:left="440"/>
      </w:pPr>
      <w:hyperlink w:anchor="_Toc3609" w:history="1">
        <w:r>
          <w:rPr>
            <w:rFonts w:ascii="IRNazanin" w:hAnsi="IRNazanin" w:eastAsia="IRNazanin" w:cs="IRNazanin"/>
            <w:color w:val="111111"/>
            <w:sz w:val="22"/>
            <w:szCs w:val="22"/>
            <w:b w:val="0"/>
            <w:bCs w:val="0"/>
            <w:i w:val="0"/>
            <w:iCs w:val="0"/>
          </w:rPr>
          <w:t>2785- دیوان شاکرة هندیة</w:t>
        </w:r>
        <w:r>
          <w:tab/>
        </w:r>
        <w:r>
          <w:fldChar w:fldCharType="begin"/>
        </w:r>
        <w:r>
          <w:instrText xml:space="preserve">PAGEREF 3609 \h</w:instrText>
        </w:r>
        <w:r>
          <w:fldChar w:fldCharType="end"/>
        </w:r>
      </w:hyperlink>
    </w:p>
    <w:p>
      <w:pPr>
        <w:tabs>
          <w:tab w:val="right" w:leader="dot" w:pos="9062"/>
        </w:tabs>
        <w:ind w:left="440"/>
      </w:pPr>
      <w:hyperlink w:anchor="_Toc3610" w:history="1">
        <w:r>
          <w:rPr>
            <w:rFonts w:ascii="IRNazanin" w:hAnsi="IRNazanin" w:eastAsia="IRNazanin" w:cs="IRNazanin"/>
            <w:color w:val="111111"/>
            <w:sz w:val="22"/>
            <w:szCs w:val="22"/>
            <w:b w:val="0"/>
            <w:bCs w:val="0"/>
            <w:i w:val="0"/>
            <w:iCs w:val="0"/>
          </w:rPr>
          <w:t>دیوان شاملو قیصر</w:t>
        </w:r>
        <w:r>
          <w:tab/>
        </w:r>
        <w:r>
          <w:fldChar w:fldCharType="begin"/>
        </w:r>
        <w:r>
          <w:instrText xml:space="preserve">PAGEREF 3610 \h</w:instrText>
        </w:r>
        <w:r>
          <w:fldChar w:fldCharType="end"/>
        </w:r>
      </w:hyperlink>
    </w:p>
    <w:p>
      <w:pPr>
        <w:tabs>
          <w:tab w:val="right" w:leader="dot" w:pos="9062"/>
        </w:tabs>
        <w:ind w:left="440"/>
      </w:pPr>
      <w:hyperlink w:anchor="_Toc3611" w:history="1">
        <w:r>
          <w:rPr>
            <w:rFonts w:ascii="IRNazanin" w:hAnsi="IRNazanin" w:eastAsia="IRNazanin" w:cs="IRNazanin"/>
            <w:color w:val="111111"/>
            <w:sz w:val="22"/>
            <w:szCs w:val="22"/>
            <w:b w:val="0"/>
            <w:bCs w:val="0"/>
            <w:i w:val="0"/>
            <w:iCs w:val="0"/>
          </w:rPr>
          <w:t>دیوان شاملو مرتضی‏</w:t>
        </w:r>
        <w:r>
          <w:tab/>
        </w:r>
        <w:r>
          <w:fldChar w:fldCharType="begin"/>
        </w:r>
        <w:r>
          <w:instrText xml:space="preserve">PAGEREF 3611 \h</w:instrText>
        </w:r>
        <w:r>
          <w:fldChar w:fldCharType="end"/>
        </w:r>
      </w:hyperlink>
    </w:p>
    <w:p>
      <w:pPr>
        <w:tabs>
          <w:tab w:val="right" w:leader="dot" w:pos="9062"/>
        </w:tabs>
        <w:ind w:left="440"/>
      </w:pPr>
      <w:hyperlink w:anchor="_Toc3612" w:history="1">
        <w:r>
          <w:rPr>
            <w:rFonts w:ascii="IRNazanin" w:hAnsi="IRNazanin" w:eastAsia="IRNazanin" w:cs="IRNazanin"/>
            <w:color w:val="111111"/>
            <w:sz w:val="22"/>
            <w:szCs w:val="22"/>
            <w:b w:val="0"/>
            <w:bCs w:val="0"/>
            <w:i w:val="0"/>
            <w:iCs w:val="0"/>
          </w:rPr>
          <w:t>دیوان شاملو ولی قلی‏</w:t>
        </w:r>
        <w:r>
          <w:tab/>
        </w:r>
        <w:r>
          <w:fldChar w:fldCharType="begin"/>
        </w:r>
        <w:r>
          <w:instrText xml:space="preserve">PAGEREF 3612 \h</w:instrText>
        </w:r>
        <w:r>
          <w:fldChar w:fldCharType="end"/>
        </w:r>
      </w:hyperlink>
    </w:p>
    <w:p>
      <w:pPr>
        <w:tabs>
          <w:tab w:val="right" w:leader="dot" w:pos="9062"/>
        </w:tabs>
        <w:ind w:left="440"/>
      </w:pPr>
      <w:hyperlink w:anchor="_Toc3613" w:history="1">
        <w:r>
          <w:rPr>
            <w:rFonts w:ascii="IRNazanin" w:hAnsi="IRNazanin" w:eastAsia="IRNazanin" w:cs="IRNazanin"/>
            <w:color w:val="111111"/>
            <w:sz w:val="22"/>
            <w:szCs w:val="22"/>
            <w:b w:val="0"/>
            <w:bCs w:val="0"/>
            <w:i w:val="0"/>
            <w:iCs w:val="0"/>
          </w:rPr>
          <w:t>دیوان شاملو هروی‏</w:t>
        </w:r>
        <w:r>
          <w:tab/>
        </w:r>
        <w:r>
          <w:fldChar w:fldCharType="begin"/>
        </w:r>
        <w:r>
          <w:instrText xml:space="preserve">PAGEREF 3613 \h</w:instrText>
        </w:r>
        <w:r>
          <w:fldChar w:fldCharType="end"/>
        </w:r>
      </w:hyperlink>
    </w:p>
    <w:p>
      <w:pPr>
        <w:tabs>
          <w:tab w:val="right" w:leader="dot" w:pos="9062"/>
        </w:tabs>
        <w:ind w:left="440"/>
      </w:pPr>
      <w:hyperlink w:anchor="_Toc3614" w:history="1">
        <w:r>
          <w:rPr>
            <w:rFonts w:ascii="IRNazanin" w:hAnsi="IRNazanin" w:eastAsia="IRNazanin" w:cs="IRNazanin"/>
            <w:color w:val="111111"/>
            <w:sz w:val="22"/>
            <w:szCs w:val="22"/>
            <w:b w:val="0"/>
            <w:bCs w:val="0"/>
            <w:i w:val="0"/>
            <w:iCs w:val="0"/>
          </w:rPr>
          <w:t>2786- دیوان شاملی أو شعره‏</w:t>
        </w:r>
        <w:r>
          <w:tab/>
        </w:r>
        <w:r>
          <w:fldChar w:fldCharType="begin"/>
        </w:r>
        <w:r>
          <w:instrText xml:space="preserve">PAGEREF 3614 \h</w:instrText>
        </w:r>
        <w:r>
          <w:fldChar w:fldCharType="end"/>
        </w:r>
      </w:hyperlink>
    </w:p>
    <w:p>
      <w:pPr>
        <w:tabs>
          <w:tab w:val="right" w:leader="dot" w:pos="9062"/>
        </w:tabs>
        <w:ind w:left="440"/>
      </w:pPr>
      <w:hyperlink w:anchor="_Toc3615" w:history="1">
        <w:r>
          <w:rPr>
            <w:rFonts w:ascii="IRNazanin" w:hAnsi="IRNazanin" w:eastAsia="IRNazanin" w:cs="IRNazanin"/>
            <w:color w:val="111111"/>
            <w:sz w:val="22"/>
            <w:szCs w:val="22"/>
            <w:b w:val="0"/>
            <w:bCs w:val="0"/>
            <w:i w:val="0"/>
            <w:iCs w:val="0"/>
          </w:rPr>
          <w:t>2787- دیوان شامی دامغانی أو شعره‏</w:t>
        </w:r>
        <w:r>
          <w:tab/>
        </w:r>
        <w:r>
          <w:fldChar w:fldCharType="begin"/>
        </w:r>
        <w:r>
          <w:instrText xml:space="preserve">PAGEREF 3615 \h</w:instrText>
        </w:r>
        <w:r>
          <w:fldChar w:fldCharType="end"/>
        </w:r>
      </w:hyperlink>
    </w:p>
    <w:p>
      <w:pPr>
        <w:tabs>
          <w:tab w:val="right" w:leader="dot" w:pos="9062"/>
        </w:tabs>
        <w:ind w:left="440"/>
      </w:pPr>
      <w:hyperlink w:anchor="_Toc3616" w:history="1">
        <w:r>
          <w:rPr>
            <w:rFonts w:ascii="IRNazanin" w:hAnsi="IRNazanin" w:eastAsia="IRNazanin" w:cs="IRNazanin"/>
            <w:color w:val="111111"/>
            <w:sz w:val="22"/>
            <w:szCs w:val="22"/>
            <w:b w:val="0"/>
            <w:bCs w:val="0"/>
            <w:i w:val="0"/>
            <w:iCs w:val="0"/>
          </w:rPr>
          <w:t>2788- دیوان شانی تکلو</w:t>
        </w:r>
        <w:r>
          <w:tab/>
        </w:r>
        <w:r>
          <w:fldChar w:fldCharType="begin"/>
        </w:r>
        <w:r>
          <w:instrText xml:space="preserve">PAGEREF 3616 \h</w:instrText>
        </w:r>
        <w:r>
          <w:fldChar w:fldCharType="end"/>
        </w:r>
      </w:hyperlink>
    </w:p>
    <w:p>
      <w:pPr>
        <w:tabs>
          <w:tab w:val="right" w:leader="dot" w:pos="9062"/>
        </w:tabs>
        <w:ind w:left="440"/>
      </w:pPr>
      <w:hyperlink w:anchor="_Toc3617" w:history="1">
        <w:r>
          <w:rPr>
            <w:rFonts w:ascii="IRNazanin" w:hAnsi="IRNazanin" w:eastAsia="IRNazanin" w:cs="IRNazanin"/>
            <w:color w:val="111111"/>
            <w:sz w:val="22"/>
            <w:szCs w:val="22"/>
            <w:b w:val="0"/>
            <w:bCs w:val="0"/>
            <w:i w:val="0"/>
            <w:iCs w:val="0"/>
          </w:rPr>
          <w:t>2789- دیوان شانی شبستری أو شعره‏</w:t>
        </w:r>
        <w:r>
          <w:tab/>
        </w:r>
        <w:r>
          <w:fldChar w:fldCharType="begin"/>
        </w:r>
        <w:r>
          <w:instrText xml:space="preserve">PAGEREF 3617 \h</w:instrText>
        </w:r>
        <w:r>
          <w:fldChar w:fldCharType="end"/>
        </w:r>
      </w:hyperlink>
    </w:p>
    <w:p>
      <w:pPr>
        <w:tabs>
          <w:tab w:val="right" w:leader="dot" w:pos="9062"/>
        </w:tabs>
        <w:ind w:left="440"/>
      </w:pPr>
      <w:hyperlink w:anchor="_Toc3618" w:history="1">
        <w:r>
          <w:rPr>
            <w:rFonts w:ascii="IRNazanin" w:hAnsi="IRNazanin" w:eastAsia="IRNazanin" w:cs="IRNazanin"/>
            <w:color w:val="111111"/>
            <w:sz w:val="22"/>
            <w:szCs w:val="22"/>
            <w:b w:val="0"/>
            <w:bCs w:val="0"/>
            <w:i w:val="0"/>
            <w:iCs w:val="0"/>
          </w:rPr>
          <w:t>دیوان شاه‏آفرین هندی‏</w:t>
        </w:r>
        <w:r>
          <w:tab/>
        </w:r>
        <w:r>
          <w:fldChar w:fldCharType="begin"/>
        </w:r>
        <w:r>
          <w:instrText xml:space="preserve">PAGEREF 3618 \h</w:instrText>
        </w:r>
        <w:r>
          <w:fldChar w:fldCharType="end"/>
        </w:r>
      </w:hyperlink>
    </w:p>
    <w:p>
      <w:pPr>
        <w:tabs>
          <w:tab w:val="right" w:leader="dot" w:pos="9062"/>
        </w:tabs>
        <w:ind w:left="440"/>
      </w:pPr>
      <w:hyperlink w:anchor="_Toc3619" w:history="1">
        <w:r>
          <w:rPr>
            <w:rFonts w:ascii="IRNazanin" w:hAnsi="IRNazanin" w:eastAsia="IRNazanin" w:cs="IRNazanin"/>
            <w:color w:val="111111"/>
            <w:sz w:val="22"/>
            <w:szCs w:val="22"/>
            <w:b w:val="0"/>
            <w:bCs w:val="0"/>
            <w:i w:val="0"/>
            <w:iCs w:val="0"/>
          </w:rPr>
          <w:t>دیوان شاه إسماعیل صفوی‏</w:t>
        </w:r>
        <w:r>
          <w:tab/>
        </w:r>
        <w:r>
          <w:fldChar w:fldCharType="begin"/>
        </w:r>
        <w:r>
          <w:instrText xml:space="preserve">PAGEREF 3619 \h</w:instrText>
        </w:r>
        <w:r>
          <w:fldChar w:fldCharType="end"/>
        </w:r>
      </w:hyperlink>
    </w:p>
    <w:p>
      <w:pPr>
        <w:tabs>
          <w:tab w:val="right" w:leader="dot" w:pos="9062"/>
        </w:tabs>
        <w:ind w:left="440"/>
      </w:pPr>
      <w:hyperlink w:anchor="_Toc3620" w:history="1">
        <w:r>
          <w:rPr>
            <w:rFonts w:ascii="IRNazanin" w:hAnsi="IRNazanin" w:eastAsia="IRNazanin" w:cs="IRNazanin"/>
            <w:color w:val="111111"/>
            <w:sz w:val="22"/>
            <w:szCs w:val="22"/>
            <w:b w:val="0"/>
            <w:bCs w:val="0"/>
            <w:i w:val="0"/>
            <w:iCs w:val="0"/>
          </w:rPr>
          <w:t>دیوان شاه بابا أصفهانی‏</w:t>
        </w:r>
        <w:r>
          <w:tab/>
        </w:r>
        <w:r>
          <w:fldChar w:fldCharType="begin"/>
        </w:r>
        <w:r>
          <w:instrText xml:space="preserve">PAGEREF 3620 \h</w:instrText>
        </w:r>
        <w:r>
          <w:fldChar w:fldCharType="end"/>
        </w:r>
      </w:hyperlink>
    </w:p>
    <w:p>
      <w:pPr>
        <w:tabs>
          <w:tab w:val="right" w:leader="dot" w:pos="9062"/>
        </w:tabs>
        <w:ind w:left="440"/>
      </w:pPr>
      <w:hyperlink w:anchor="_Toc3621" w:history="1">
        <w:r>
          <w:rPr>
            <w:rFonts w:ascii="IRNazanin" w:hAnsi="IRNazanin" w:eastAsia="IRNazanin" w:cs="IRNazanin"/>
            <w:color w:val="111111"/>
            <w:sz w:val="22"/>
            <w:szCs w:val="22"/>
            <w:b w:val="0"/>
            <w:bCs w:val="0"/>
            <w:i w:val="0"/>
            <w:iCs w:val="0"/>
          </w:rPr>
          <w:t>2790- دیوان شاهباز تبریزی أو شعره‏</w:t>
        </w:r>
        <w:r>
          <w:tab/>
        </w:r>
        <w:r>
          <w:fldChar w:fldCharType="begin"/>
        </w:r>
        <w:r>
          <w:instrText xml:space="preserve">PAGEREF 3621 \h</w:instrText>
        </w:r>
        <w:r>
          <w:fldChar w:fldCharType="end"/>
        </w:r>
      </w:hyperlink>
    </w:p>
    <w:p>
      <w:pPr>
        <w:tabs>
          <w:tab w:val="right" w:leader="dot" w:pos="9062"/>
        </w:tabs>
        <w:ind w:left="440"/>
      </w:pPr>
      <w:hyperlink w:anchor="_Toc3622" w:history="1">
        <w:r>
          <w:rPr>
            <w:rFonts w:ascii="IRNazanin" w:hAnsi="IRNazanin" w:eastAsia="IRNazanin" w:cs="IRNazanin"/>
            <w:color w:val="111111"/>
            <w:sz w:val="22"/>
            <w:szCs w:val="22"/>
            <w:b w:val="0"/>
            <w:bCs w:val="0"/>
            <w:i w:val="0"/>
            <w:iCs w:val="0"/>
          </w:rPr>
          <w:t>دیوان شاه باقر کاشی أو شعره‏</w:t>
        </w:r>
        <w:r>
          <w:tab/>
        </w:r>
        <w:r>
          <w:fldChar w:fldCharType="begin"/>
        </w:r>
        <w:r>
          <w:instrText xml:space="preserve">PAGEREF 3622 \h</w:instrText>
        </w:r>
        <w:r>
          <w:fldChar w:fldCharType="end"/>
        </w:r>
      </w:hyperlink>
    </w:p>
    <w:p>
      <w:pPr>
        <w:tabs>
          <w:tab w:val="right" w:leader="dot" w:pos="9062"/>
        </w:tabs>
        <w:ind w:left="440"/>
      </w:pPr>
      <w:hyperlink w:anchor="_Toc3623" w:history="1">
        <w:r>
          <w:rPr>
            <w:rFonts w:ascii="IRNazanin" w:hAnsi="IRNazanin" w:eastAsia="IRNazanin" w:cs="IRNazanin"/>
            <w:color w:val="111111"/>
            <w:sz w:val="22"/>
            <w:szCs w:val="22"/>
            <w:b w:val="0"/>
            <w:bCs w:val="0"/>
            <w:i w:val="0"/>
            <w:iCs w:val="0"/>
          </w:rPr>
          <w:t>2791- دیوان شاه باقر لاری أو شعره‏</w:t>
        </w:r>
        <w:r>
          <w:tab/>
        </w:r>
        <w:r>
          <w:fldChar w:fldCharType="begin"/>
        </w:r>
        <w:r>
          <w:instrText xml:space="preserve">PAGEREF 3623 \h</w:instrText>
        </w:r>
        <w:r>
          <w:fldChar w:fldCharType="end"/>
        </w:r>
      </w:hyperlink>
    </w:p>
    <w:p>
      <w:pPr>
        <w:tabs>
          <w:tab w:val="right" w:leader="dot" w:pos="9062"/>
        </w:tabs>
        <w:ind w:left="440"/>
      </w:pPr>
      <w:hyperlink w:anchor="_Toc3624" w:history="1">
        <w:r>
          <w:rPr>
            <w:rFonts w:ascii="IRNazanin" w:hAnsi="IRNazanin" w:eastAsia="IRNazanin" w:cs="IRNazanin"/>
            <w:color w:val="111111"/>
            <w:sz w:val="22"/>
            <w:szCs w:val="22"/>
            <w:b w:val="0"/>
            <w:bCs w:val="0"/>
            <w:i w:val="0"/>
            <w:iCs w:val="0"/>
          </w:rPr>
          <w:t>دیوان شاه بدخشان‏</w:t>
        </w:r>
        <w:r>
          <w:tab/>
        </w:r>
        <w:r>
          <w:fldChar w:fldCharType="begin"/>
        </w:r>
        <w:r>
          <w:instrText xml:space="preserve">PAGEREF 3624 \h</w:instrText>
        </w:r>
        <w:r>
          <w:fldChar w:fldCharType="end"/>
        </w:r>
      </w:hyperlink>
    </w:p>
    <w:p>
      <w:pPr>
        <w:tabs>
          <w:tab w:val="right" w:leader="dot" w:pos="9062"/>
        </w:tabs>
        <w:ind w:left="440"/>
      </w:pPr>
      <w:hyperlink w:anchor="_Toc3625" w:history="1">
        <w:r>
          <w:rPr>
            <w:rFonts w:ascii="IRNazanin" w:hAnsi="IRNazanin" w:eastAsia="IRNazanin" w:cs="IRNazanin"/>
            <w:color w:val="111111"/>
            <w:sz w:val="22"/>
            <w:szCs w:val="22"/>
            <w:b w:val="0"/>
            <w:bCs w:val="0"/>
            <w:i w:val="0"/>
            <w:iCs w:val="0"/>
          </w:rPr>
          <w:t>2792- دیوان شاه بدخشانی‏</w:t>
        </w:r>
        <w:r>
          <w:tab/>
        </w:r>
        <w:r>
          <w:fldChar w:fldCharType="begin"/>
        </w:r>
        <w:r>
          <w:instrText xml:space="preserve">PAGEREF 3625 \h</w:instrText>
        </w:r>
        <w:r>
          <w:fldChar w:fldCharType="end"/>
        </w:r>
      </w:hyperlink>
    </w:p>
    <w:p>
      <w:pPr>
        <w:tabs>
          <w:tab w:val="right" w:leader="dot" w:pos="9062"/>
        </w:tabs>
        <w:ind w:left="440"/>
      </w:pPr>
      <w:hyperlink w:anchor="_Toc3626" w:history="1">
        <w:r>
          <w:rPr>
            <w:rFonts w:ascii="IRNazanin" w:hAnsi="IRNazanin" w:eastAsia="IRNazanin" w:cs="IRNazanin"/>
            <w:color w:val="111111"/>
            <w:sz w:val="22"/>
            <w:szCs w:val="22"/>
            <w:b w:val="0"/>
            <w:bCs w:val="0"/>
            <w:i w:val="0"/>
            <w:iCs w:val="0"/>
          </w:rPr>
          <w:t>دیوان شاهپور</w:t>
        </w:r>
        <w:r>
          <w:tab/>
        </w:r>
        <w:r>
          <w:fldChar w:fldCharType="begin"/>
        </w:r>
        <w:r>
          <w:instrText xml:space="preserve">PAGEREF 3626 \h</w:instrText>
        </w:r>
        <w:r>
          <w:fldChar w:fldCharType="end"/>
        </w:r>
      </w:hyperlink>
    </w:p>
    <w:p>
      <w:pPr>
        <w:tabs>
          <w:tab w:val="right" w:leader="dot" w:pos="9062"/>
        </w:tabs>
        <w:ind w:left="440"/>
      </w:pPr>
      <w:hyperlink w:anchor="_Toc3627" w:history="1">
        <w:r>
          <w:rPr>
            <w:rFonts w:ascii="IRNazanin" w:hAnsi="IRNazanin" w:eastAsia="IRNazanin" w:cs="IRNazanin"/>
            <w:color w:val="111111"/>
            <w:sz w:val="22"/>
            <w:szCs w:val="22"/>
            <w:b w:val="0"/>
            <w:bCs w:val="0"/>
            <w:i w:val="0"/>
            <w:iCs w:val="0"/>
          </w:rPr>
          <w:t>دیوان شاهپور أشهری‏</w:t>
        </w:r>
        <w:r>
          <w:tab/>
        </w:r>
        <w:r>
          <w:fldChar w:fldCharType="begin"/>
        </w:r>
        <w:r>
          <w:instrText xml:space="preserve">PAGEREF 3627 \h</w:instrText>
        </w:r>
        <w:r>
          <w:fldChar w:fldCharType="end"/>
        </w:r>
      </w:hyperlink>
    </w:p>
    <w:p>
      <w:pPr>
        <w:tabs>
          <w:tab w:val="right" w:leader="dot" w:pos="9062"/>
        </w:tabs>
        <w:ind w:left="440"/>
      </w:pPr>
      <w:hyperlink w:anchor="_Toc3628" w:history="1">
        <w:r>
          <w:rPr>
            <w:rFonts w:ascii="IRNazanin" w:hAnsi="IRNazanin" w:eastAsia="IRNazanin" w:cs="IRNazanin"/>
            <w:color w:val="111111"/>
            <w:sz w:val="22"/>
            <w:szCs w:val="22"/>
            <w:b w:val="0"/>
            <w:bCs w:val="0"/>
            <w:i w:val="0"/>
            <w:iCs w:val="0"/>
          </w:rPr>
          <w:t>2793- دیوان شاهپور نیشابوری أو شعره‏</w:t>
        </w:r>
        <w:r>
          <w:tab/>
        </w:r>
        <w:r>
          <w:fldChar w:fldCharType="begin"/>
        </w:r>
        <w:r>
          <w:instrText xml:space="preserve">PAGEREF 3628 \h</w:instrText>
        </w:r>
        <w:r>
          <w:fldChar w:fldCharType="end"/>
        </w:r>
      </w:hyperlink>
    </w:p>
    <w:p>
      <w:pPr>
        <w:tabs>
          <w:tab w:val="right" w:leader="dot" w:pos="9062"/>
        </w:tabs>
        <w:ind w:left="440"/>
      </w:pPr>
      <w:hyperlink w:anchor="_Toc3629" w:history="1">
        <w:r>
          <w:rPr>
            <w:rFonts w:ascii="IRNazanin" w:hAnsi="IRNazanin" w:eastAsia="IRNazanin" w:cs="IRNazanin"/>
            <w:color w:val="111111"/>
            <w:sz w:val="22"/>
            <w:szCs w:val="22"/>
            <w:b w:val="0"/>
            <w:bCs w:val="0"/>
            <w:i w:val="0"/>
            <w:iCs w:val="0"/>
          </w:rPr>
          <w:t>2794- دیوان شاه تراب کاکوروی‏</w:t>
        </w:r>
        <w:r>
          <w:tab/>
        </w:r>
        <w:r>
          <w:fldChar w:fldCharType="begin"/>
        </w:r>
        <w:r>
          <w:instrText xml:space="preserve">PAGEREF 3629 \h</w:instrText>
        </w:r>
        <w:r>
          <w:fldChar w:fldCharType="end"/>
        </w:r>
      </w:hyperlink>
    </w:p>
    <w:p>
      <w:pPr>
        <w:tabs>
          <w:tab w:val="right" w:leader="dot" w:pos="9062"/>
        </w:tabs>
        <w:ind w:left="440"/>
      </w:pPr>
      <w:hyperlink w:anchor="_Toc3630" w:history="1">
        <w:r>
          <w:rPr>
            <w:rFonts w:ascii="IRNazanin" w:hAnsi="IRNazanin" w:eastAsia="IRNazanin" w:cs="IRNazanin"/>
            <w:color w:val="111111"/>
            <w:sz w:val="22"/>
            <w:szCs w:val="22"/>
            <w:b w:val="0"/>
            <w:bCs w:val="0"/>
            <w:i w:val="0"/>
            <w:iCs w:val="0"/>
          </w:rPr>
          <w:t>دیوان شاه تقی میرزا</w:t>
        </w:r>
        <w:r>
          <w:tab/>
        </w:r>
        <w:r>
          <w:fldChar w:fldCharType="begin"/>
        </w:r>
        <w:r>
          <w:instrText xml:space="preserve">PAGEREF 3630 \h</w:instrText>
        </w:r>
        <w:r>
          <w:fldChar w:fldCharType="end"/>
        </w:r>
      </w:hyperlink>
    </w:p>
    <w:p>
      <w:pPr>
        <w:tabs>
          <w:tab w:val="right" w:leader="dot" w:pos="9062"/>
        </w:tabs>
        <w:ind w:left="440"/>
      </w:pPr>
      <w:hyperlink w:anchor="_Toc3631" w:history="1">
        <w:r>
          <w:rPr>
            <w:rFonts w:ascii="IRNazanin" w:hAnsi="IRNazanin" w:eastAsia="IRNazanin" w:cs="IRNazanin"/>
            <w:color w:val="111111"/>
            <w:sz w:val="22"/>
            <w:szCs w:val="22"/>
            <w:b w:val="0"/>
            <w:bCs w:val="0"/>
            <w:i w:val="0"/>
            <w:iCs w:val="0"/>
          </w:rPr>
          <w:t>2795- دیوان شاه‏جهان بیگم أو شعرها</w:t>
        </w:r>
        <w:r>
          <w:tab/>
        </w:r>
        <w:r>
          <w:fldChar w:fldCharType="begin"/>
        </w:r>
        <w:r>
          <w:instrText xml:space="preserve">PAGEREF 3631 \h</w:instrText>
        </w:r>
        <w:r>
          <w:fldChar w:fldCharType="end"/>
        </w:r>
      </w:hyperlink>
    </w:p>
    <w:p>
      <w:pPr>
        <w:tabs>
          <w:tab w:val="right" w:leader="dot" w:pos="9062"/>
        </w:tabs>
        <w:ind w:left="440"/>
      </w:pPr>
      <w:hyperlink w:anchor="_Toc3632" w:history="1">
        <w:r>
          <w:rPr>
            <w:rFonts w:ascii="IRNazanin" w:hAnsi="IRNazanin" w:eastAsia="IRNazanin" w:cs="IRNazanin"/>
            <w:color w:val="111111"/>
            <w:sz w:val="22"/>
            <w:szCs w:val="22"/>
            <w:b w:val="0"/>
            <w:bCs w:val="0"/>
            <w:i w:val="0"/>
            <w:iCs w:val="0"/>
          </w:rPr>
          <w:t>2796- دیوان شاه حسین أردوبادی أو شعره‏</w:t>
        </w:r>
        <w:r>
          <w:tab/>
        </w:r>
        <w:r>
          <w:fldChar w:fldCharType="begin"/>
        </w:r>
        <w:r>
          <w:instrText xml:space="preserve">PAGEREF 3632 \h</w:instrText>
        </w:r>
        <w:r>
          <w:fldChar w:fldCharType="end"/>
        </w:r>
      </w:hyperlink>
    </w:p>
    <w:p>
      <w:pPr>
        <w:tabs>
          <w:tab w:val="right" w:leader="dot" w:pos="9062"/>
        </w:tabs>
        <w:ind w:left="440"/>
      </w:pPr>
      <w:hyperlink w:anchor="_Toc3633" w:history="1">
        <w:r>
          <w:rPr>
            <w:rFonts w:ascii="IRNazanin" w:hAnsi="IRNazanin" w:eastAsia="IRNazanin" w:cs="IRNazanin"/>
            <w:color w:val="111111"/>
            <w:sz w:val="22"/>
            <w:szCs w:val="22"/>
            <w:b w:val="0"/>
            <w:bCs w:val="0"/>
            <w:i w:val="0"/>
            <w:iCs w:val="0"/>
          </w:rPr>
          <w:t>2797- دیوان شاه حسین أصفهانی أو شعره‏</w:t>
        </w:r>
        <w:r>
          <w:tab/>
        </w:r>
        <w:r>
          <w:fldChar w:fldCharType="begin"/>
        </w:r>
        <w:r>
          <w:instrText xml:space="preserve">PAGEREF 3633 \h</w:instrText>
        </w:r>
        <w:r>
          <w:fldChar w:fldCharType="end"/>
        </w:r>
      </w:hyperlink>
    </w:p>
    <w:p>
      <w:pPr>
        <w:tabs>
          <w:tab w:val="right" w:leader="dot" w:pos="9062"/>
        </w:tabs>
        <w:ind w:left="440"/>
      </w:pPr>
      <w:hyperlink w:anchor="_Toc3634" w:history="1">
        <w:r>
          <w:rPr>
            <w:rFonts w:ascii="IRNazanin" w:hAnsi="IRNazanin" w:eastAsia="IRNazanin" w:cs="IRNazanin"/>
            <w:color w:val="111111"/>
            <w:sz w:val="22"/>
            <w:szCs w:val="22"/>
            <w:b w:val="0"/>
            <w:bCs w:val="0"/>
            <w:i w:val="0"/>
            <w:iCs w:val="0"/>
          </w:rPr>
          <w:t>دیوان شاه حسین أوبهی‏</w:t>
        </w:r>
        <w:r>
          <w:tab/>
        </w:r>
        <w:r>
          <w:fldChar w:fldCharType="begin"/>
        </w:r>
        <w:r>
          <w:instrText xml:space="preserve">PAGEREF 3634 \h</w:instrText>
        </w:r>
        <w:r>
          <w:fldChar w:fldCharType="end"/>
        </w:r>
      </w:hyperlink>
    </w:p>
    <w:p>
      <w:pPr>
        <w:tabs>
          <w:tab w:val="right" w:leader="dot" w:pos="9062"/>
        </w:tabs>
        <w:ind w:left="440"/>
      </w:pPr>
      <w:hyperlink w:anchor="_Toc3635" w:history="1">
        <w:r>
          <w:rPr>
            <w:rFonts w:ascii="IRNazanin" w:hAnsi="IRNazanin" w:eastAsia="IRNazanin" w:cs="IRNazanin"/>
            <w:color w:val="111111"/>
            <w:sz w:val="22"/>
            <w:szCs w:val="22"/>
            <w:b w:val="0"/>
            <w:bCs w:val="0"/>
            <w:i w:val="0"/>
            <w:iCs w:val="0"/>
          </w:rPr>
          <w:t>دیوان شاه حسین خراسانی‏</w:t>
        </w:r>
        <w:r>
          <w:tab/>
        </w:r>
        <w:r>
          <w:fldChar w:fldCharType="begin"/>
        </w:r>
        <w:r>
          <w:instrText xml:space="preserve">PAGEREF 3635 \h</w:instrText>
        </w:r>
        <w:r>
          <w:fldChar w:fldCharType="end"/>
        </w:r>
      </w:hyperlink>
    </w:p>
    <w:p>
      <w:pPr>
        <w:tabs>
          <w:tab w:val="right" w:leader="dot" w:pos="9062"/>
        </w:tabs>
        <w:ind w:left="440"/>
      </w:pPr>
      <w:hyperlink w:anchor="_Toc3636" w:history="1">
        <w:r>
          <w:rPr>
            <w:rFonts w:ascii="IRNazanin" w:hAnsi="IRNazanin" w:eastAsia="IRNazanin" w:cs="IRNazanin"/>
            <w:color w:val="111111"/>
            <w:sz w:val="22"/>
            <w:szCs w:val="22"/>
            <w:b w:val="0"/>
            <w:bCs w:val="0"/>
            <w:i w:val="0"/>
            <w:iCs w:val="0"/>
          </w:rPr>
          <w:t>دیوان شاه حسین ساقی أصفهانی‏</w:t>
        </w:r>
        <w:r>
          <w:tab/>
        </w:r>
        <w:r>
          <w:fldChar w:fldCharType="begin"/>
        </w:r>
        <w:r>
          <w:instrText xml:space="preserve">PAGEREF 3636 \h</w:instrText>
        </w:r>
        <w:r>
          <w:fldChar w:fldCharType="end"/>
        </w:r>
      </w:hyperlink>
    </w:p>
    <w:p>
      <w:pPr>
        <w:tabs>
          <w:tab w:val="right" w:leader="dot" w:pos="9062"/>
        </w:tabs>
        <w:ind w:left="440"/>
      </w:pPr>
      <w:hyperlink w:anchor="_Toc3637" w:history="1">
        <w:r>
          <w:rPr>
            <w:rFonts w:ascii="IRNazanin" w:hAnsi="IRNazanin" w:eastAsia="IRNazanin" w:cs="IRNazanin"/>
            <w:color w:val="111111"/>
            <w:sz w:val="22"/>
            <w:szCs w:val="22"/>
            <w:b w:val="0"/>
            <w:bCs w:val="0"/>
            <w:i w:val="0"/>
            <w:iCs w:val="0"/>
          </w:rPr>
          <w:t>2798- دیوان شاه دارابجردی‏</w:t>
        </w:r>
        <w:r>
          <w:tab/>
        </w:r>
        <w:r>
          <w:fldChar w:fldCharType="begin"/>
        </w:r>
        <w:r>
          <w:instrText xml:space="preserve">PAGEREF 3637 \h</w:instrText>
        </w:r>
        <w:r>
          <w:fldChar w:fldCharType="end"/>
        </w:r>
      </w:hyperlink>
    </w:p>
    <w:p>
      <w:pPr>
        <w:tabs>
          <w:tab w:val="right" w:leader="dot" w:pos="9062"/>
        </w:tabs>
        <w:ind w:left="440"/>
      </w:pPr>
      <w:hyperlink w:anchor="_Toc3638" w:history="1">
        <w:r>
          <w:rPr>
            <w:rFonts w:ascii="IRNazanin" w:hAnsi="IRNazanin" w:eastAsia="IRNazanin" w:cs="IRNazanin"/>
            <w:color w:val="111111"/>
            <w:sz w:val="22"/>
            <w:szCs w:val="22"/>
            <w:b w:val="0"/>
            <w:bCs w:val="0"/>
            <w:i w:val="0"/>
            <w:iCs w:val="0"/>
          </w:rPr>
          <w:t>2799- دیوان شاهدای گیلانی أو شعره‏</w:t>
        </w:r>
        <w:r>
          <w:tab/>
        </w:r>
        <w:r>
          <w:fldChar w:fldCharType="begin"/>
        </w:r>
        <w:r>
          <w:instrText xml:space="preserve">PAGEREF 3638 \h</w:instrText>
        </w:r>
        <w:r>
          <w:fldChar w:fldCharType="end"/>
        </w:r>
      </w:hyperlink>
    </w:p>
    <w:p>
      <w:pPr>
        <w:tabs>
          <w:tab w:val="right" w:leader="dot" w:pos="9062"/>
        </w:tabs>
        <w:ind w:left="440"/>
      </w:pPr>
      <w:hyperlink w:anchor="_Toc3639" w:history="1">
        <w:r>
          <w:rPr>
            <w:rFonts w:ascii="IRNazanin" w:hAnsi="IRNazanin" w:eastAsia="IRNazanin" w:cs="IRNazanin"/>
            <w:color w:val="111111"/>
            <w:sz w:val="22"/>
            <w:szCs w:val="22"/>
            <w:b w:val="0"/>
            <w:bCs w:val="0"/>
            <w:i w:val="0"/>
            <w:iCs w:val="0"/>
          </w:rPr>
          <w:t>دیوان شاه داعی شیرازی‏</w:t>
        </w:r>
        <w:r>
          <w:tab/>
        </w:r>
        <w:r>
          <w:fldChar w:fldCharType="begin"/>
        </w:r>
        <w:r>
          <w:instrText xml:space="preserve">PAGEREF 3639 \h</w:instrText>
        </w:r>
        <w:r>
          <w:fldChar w:fldCharType="end"/>
        </w:r>
      </w:hyperlink>
    </w:p>
    <w:p>
      <w:pPr>
        <w:tabs>
          <w:tab w:val="right" w:leader="dot" w:pos="9062"/>
        </w:tabs>
        <w:ind w:left="440"/>
      </w:pPr>
      <w:hyperlink w:anchor="_Toc3640" w:history="1">
        <w:r>
          <w:rPr>
            <w:rFonts w:ascii="IRNazanin" w:hAnsi="IRNazanin" w:eastAsia="IRNazanin" w:cs="IRNazanin"/>
            <w:color w:val="111111"/>
            <w:sz w:val="22"/>
            <w:szCs w:val="22"/>
            <w:b w:val="0"/>
            <w:bCs w:val="0"/>
            <w:i w:val="0"/>
            <w:iCs w:val="0"/>
          </w:rPr>
          <w:t>2800- دیوان شاهد شیرازی أو شعره‏</w:t>
        </w:r>
        <w:r>
          <w:tab/>
        </w:r>
        <w:r>
          <w:fldChar w:fldCharType="begin"/>
        </w:r>
        <w:r>
          <w:instrText xml:space="preserve">PAGEREF 3640 \h</w:instrText>
        </w:r>
        <w:r>
          <w:fldChar w:fldCharType="end"/>
        </w:r>
      </w:hyperlink>
    </w:p>
    <w:p>
      <w:pPr>
        <w:tabs>
          <w:tab w:val="right" w:leader="dot" w:pos="9062"/>
        </w:tabs>
        <w:ind w:left="440"/>
      </w:pPr>
      <w:hyperlink w:anchor="_Toc3641" w:history="1">
        <w:r>
          <w:rPr>
            <w:rFonts w:ascii="IRNazanin" w:hAnsi="IRNazanin" w:eastAsia="IRNazanin" w:cs="IRNazanin"/>
            <w:color w:val="111111"/>
            <w:sz w:val="22"/>
            <w:szCs w:val="22"/>
            <w:b w:val="0"/>
            <w:bCs w:val="0"/>
            <w:i w:val="0"/>
            <w:iCs w:val="0"/>
          </w:rPr>
          <w:t>2801- دیوان شاهدی بلگرامی‏</w:t>
        </w:r>
        <w:r>
          <w:tab/>
        </w:r>
        <w:r>
          <w:fldChar w:fldCharType="begin"/>
        </w:r>
        <w:r>
          <w:instrText xml:space="preserve">PAGEREF 3641 \h</w:instrText>
        </w:r>
        <w:r>
          <w:fldChar w:fldCharType="end"/>
        </w:r>
      </w:hyperlink>
    </w:p>
    <w:p>
      <w:pPr>
        <w:tabs>
          <w:tab w:val="right" w:leader="dot" w:pos="9062"/>
        </w:tabs>
        <w:ind w:left="440"/>
      </w:pPr>
      <w:hyperlink w:anchor="_Toc3642" w:history="1">
        <w:r>
          <w:rPr>
            <w:rFonts w:ascii="IRNazanin" w:hAnsi="IRNazanin" w:eastAsia="IRNazanin" w:cs="IRNazanin"/>
            <w:color w:val="111111"/>
            <w:sz w:val="22"/>
            <w:szCs w:val="22"/>
            <w:b w:val="0"/>
            <w:bCs w:val="0"/>
            <w:i w:val="0"/>
            <w:iCs w:val="0"/>
          </w:rPr>
          <w:t>2802- دیوان شاهدی دده‏</w:t>
        </w:r>
        <w:r>
          <w:tab/>
        </w:r>
        <w:r>
          <w:fldChar w:fldCharType="begin"/>
        </w:r>
        <w:r>
          <w:instrText xml:space="preserve">PAGEREF 3642 \h</w:instrText>
        </w:r>
        <w:r>
          <w:fldChar w:fldCharType="end"/>
        </w:r>
      </w:hyperlink>
    </w:p>
    <w:p>
      <w:pPr>
        <w:tabs>
          <w:tab w:val="right" w:leader="dot" w:pos="9062"/>
        </w:tabs>
        <w:ind w:left="440"/>
      </w:pPr>
      <w:hyperlink w:anchor="_Toc3643" w:history="1">
        <w:r>
          <w:rPr>
            <w:rFonts w:ascii="IRNazanin" w:hAnsi="IRNazanin" w:eastAsia="IRNazanin" w:cs="IRNazanin"/>
            <w:color w:val="111111"/>
            <w:sz w:val="22"/>
            <w:szCs w:val="22"/>
            <w:b w:val="0"/>
            <w:bCs w:val="0"/>
            <w:i w:val="0"/>
            <w:iCs w:val="0"/>
          </w:rPr>
          <w:t>2803- دیوان شاهدی نیشابوری أو شعره‏</w:t>
        </w:r>
        <w:r>
          <w:tab/>
        </w:r>
        <w:r>
          <w:fldChar w:fldCharType="begin"/>
        </w:r>
        <w:r>
          <w:instrText xml:space="preserve">PAGEREF 3643 \h</w:instrText>
        </w:r>
        <w:r>
          <w:fldChar w:fldCharType="end"/>
        </w:r>
      </w:hyperlink>
    </w:p>
    <w:p>
      <w:pPr>
        <w:tabs>
          <w:tab w:val="right" w:leader="dot" w:pos="9062"/>
        </w:tabs>
        <w:ind w:left="440"/>
      </w:pPr>
      <w:hyperlink w:anchor="_Toc3644" w:history="1">
        <w:r>
          <w:rPr>
            <w:rFonts w:ascii="IRNazanin" w:hAnsi="IRNazanin" w:eastAsia="IRNazanin" w:cs="IRNazanin"/>
            <w:color w:val="111111"/>
            <w:sz w:val="22"/>
            <w:szCs w:val="22"/>
            <w:b w:val="0"/>
            <w:bCs w:val="0"/>
            <w:i w:val="0"/>
            <w:iCs w:val="0"/>
          </w:rPr>
          <w:t>2804- دیوان شاه رشید کاشی‏</w:t>
        </w:r>
        <w:r>
          <w:tab/>
        </w:r>
        <w:r>
          <w:fldChar w:fldCharType="begin"/>
        </w:r>
        <w:r>
          <w:instrText xml:space="preserve">PAGEREF 3644 \h</w:instrText>
        </w:r>
        <w:r>
          <w:fldChar w:fldCharType="end"/>
        </w:r>
      </w:hyperlink>
    </w:p>
    <w:p>
      <w:pPr>
        <w:tabs>
          <w:tab w:val="right" w:leader="dot" w:pos="9062"/>
        </w:tabs>
        <w:ind w:left="440"/>
      </w:pPr>
      <w:hyperlink w:anchor="_Toc3645" w:history="1">
        <w:r>
          <w:rPr>
            <w:rFonts w:ascii="IRNazanin" w:hAnsi="IRNazanin" w:eastAsia="IRNazanin" w:cs="IRNazanin"/>
            <w:color w:val="111111"/>
            <w:sz w:val="22"/>
            <w:szCs w:val="22"/>
            <w:b w:val="0"/>
            <w:bCs w:val="0"/>
            <w:i w:val="0"/>
            <w:iCs w:val="0"/>
          </w:rPr>
          <w:t>دیوان شاه رضا</w:t>
        </w:r>
        <w:r>
          <w:tab/>
        </w:r>
        <w:r>
          <w:fldChar w:fldCharType="begin"/>
        </w:r>
        <w:r>
          <w:instrText xml:space="preserve">PAGEREF 3645 \h</w:instrText>
        </w:r>
        <w:r>
          <w:fldChar w:fldCharType="end"/>
        </w:r>
      </w:hyperlink>
    </w:p>
    <w:p>
      <w:pPr>
        <w:tabs>
          <w:tab w:val="right" w:leader="dot" w:pos="9062"/>
        </w:tabs>
        <w:ind w:left="440"/>
      </w:pPr>
      <w:hyperlink w:anchor="_Toc3646" w:history="1">
        <w:r>
          <w:rPr>
            <w:rFonts w:ascii="IRNazanin" w:hAnsi="IRNazanin" w:eastAsia="IRNazanin" w:cs="IRNazanin"/>
            <w:color w:val="111111"/>
            <w:sz w:val="22"/>
            <w:szCs w:val="22"/>
            <w:b w:val="0"/>
            <w:bCs w:val="0"/>
            <w:i w:val="0"/>
            <w:iCs w:val="0"/>
          </w:rPr>
          <w:t>2805- دیوان شاه سنجان أو شعره‏</w:t>
        </w:r>
        <w:r>
          <w:tab/>
        </w:r>
        <w:r>
          <w:fldChar w:fldCharType="begin"/>
        </w:r>
        <w:r>
          <w:instrText xml:space="preserve">PAGEREF 3646 \h</w:instrText>
        </w:r>
        <w:r>
          <w:fldChar w:fldCharType="end"/>
        </w:r>
      </w:hyperlink>
    </w:p>
    <w:p>
      <w:pPr>
        <w:tabs>
          <w:tab w:val="right" w:leader="dot" w:pos="9062"/>
        </w:tabs>
        <w:ind w:left="440"/>
      </w:pPr>
      <w:hyperlink w:anchor="_Toc3647" w:history="1">
        <w:r>
          <w:rPr>
            <w:rFonts w:ascii="IRNazanin" w:hAnsi="IRNazanin" w:eastAsia="IRNazanin" w:cs="IRNazanin"/>
            <w:color w:val="111111"/>
            <w:sz w:val="22"/>
            <w:szCs w:val="22"/>
            <w:b w:val="0"/>
            <w:bCs w:val="0"/>
            <w:i w:val="0"/>
            <w:iCs w:val="0"/>
          </w:rPr>
          <w:t>دیوان شاه سنجان الخوافی‏</w:t>
        </w:r>
        <w:r>
          <w:tab/>
        </w:r>
        <w:r>
          <w:fldChar w:fldCharType="begin"/>
        </w:r>
        <w:r>
          <w:instrText xml:space="preserve">PAGEREF 3647 \h</w:instrText>
        </w:r>
        <w:r>
          <w:fldChar w:fldCharType="end"/>
        </w:r>
      </w:hyperlink>
    </w:p>
    <w:p>
      <w:pPr>
        <w:tabs>
          <w:tab w:val="right" w:leader="dot" w:pos="9062"/>
        </w:tabs>
        <w:ind w:left="440"/>
      </w:pPr>
      <w:hyperlink w:anchor="_Toc3648" w:history="1">
        <w:r>
          <w:rPr>
            <w:rFonts w:ascii="IRNazanin" w:hAnsi="IRNazanin" w:eastAsia="IRNazanin" w:cs="IRNazanin"/>
            <w:color w:val="111111"/>
            <w:sz w:val="22"/>
            <w:szCs w:val="22"/>
            <w:b w:val="0"/>
            <w:bCs w:val="0"/>
            <w:i w:val="0"/>
            <w:iCs w:val="0"/>
          </w:rPr>
          <w:t>2806- دیوان شاه شجاع‏</w:t>
        </w:r>
        <w:r>
          <w:tab/>
        </w:r>
        <w:r>
          <w:fldChar w:fldCharType="begin"/>
        </w:r>
        <w:r>
          <w:instrText xml:space="preserve">PAGEREF 3648 \h</w:instrText>
        </w:r>
        <w:r>
          <w:fldChar w:fldCharType="end"/>
        </w:r>
      </w:hyperlink>
    </w:p>
    <w:p>
      <w:pPr>
        <w:tabs>
          <w:tab w:val="right" w:leader="dot" w:pos="9062"/>
        </w:tabs>
        <w:ind w:left="440"/>
      </w:pPr>
      <w:hyperlink w:anchor="_Toc3649" w:history="1">
        <w:r>
          <w:rPr>
            <w:rFonts w:ascii="IRNazanin" w:hAnsi="IRNazanin" w:eastAsia="IRNazanin" w:cs="IRNazanin"/>
            <w:color w:val="111111"/>
            <w:sz w:val="22"/>
            <w:szCs w:val="22"/>
            <w:b w:val="0"/>
            <w:bCs w:val="0"/>
            <w:i w:val="0"/>
            <w:iCs w:val="0"/>
          </w:rPr>
          <w:t>2807- دیوان شاه شروان أو شعره‏</w:t>
        </w:r>
        <w:r>
          <w:tab/>
        </w:r>
        <w:r>
          <w:fldChar w:fldCharType="begin"/>
        </w:r>
        <w:r>
          <w:instrText xml:space="preserve">PAGEREF 3649 \h</w:instrText>
        </w:r>
        <w:r>
          <w:fldChar w:fldCharType="end"/>
        </w:r>
      </w:hyperlink>
    </w:p>
    <w:p>
      <w:pPr>
        <w:tabs>
          <w:tab w:val="right" w:leader="dot" w:pos="9062"/>
        </w:tabs>
        <w:ind w:left="440"/>
      </w:pPr>
      <w:hyperlink w:anchor="_Toc3650" w:history="1">
        <w:r>
          <w:rPr>
            <w:rFonts w:ascii="IRNazanin" w:hAnsi="IRNazanin" w:eastAsia="IRNazanin" w:cs="IRNazanin"/>
            <w:color w:val="111111"/>
            <w:sz w:val="22"/>
            <w:szCs w:val="22"/>
            <w:b w:val="0"/>
            <w:bCs w:val="0"/>
            <w:i w:val="0"/>
            <w:iCs w:val="0"/>
          </w:rPr>
          <w:t>دیوان شاه شیرازی‏</w:t>
        </w:r>
        <w:r>
          <w:tab/>
        </w:r>
        <w:r>
          <w:fldChar w:fldCharType="begin"/>
        </w:r>
        <w:r>
          <w:instrText xml:space="preserve">PAGEREF 3650 \h</w:instrText>
        </w:r>
        <w:r>
          <w:fldChar w:fldCharType="end"/>
        </w:r>
      </w:hyperlink>
    </w:p>
    <w:p>
      <w:pPr>
        <w:tabs>
          <w:tab w:val="right" w:leader="dot" w:pos="9062"/>
        </w:tabs>
        <w:ind w:left="440"/>
      </w:pPr>
      <w:hyperlink w:anchor="_Toc3651" w:history="1">
        <w:r>
          <w:rPr>
            <w:rFonts w:ascii="IRNazanin" w:hAnsi="IRNazanin" w:eastAsia="IRNazanin" w:cs="IRNazanin"/>
            <w:color w:val="111111"/>
            <w:sz w:val="22"/>
            <w:szCs w:val="22"/>
            <w:b w:val="0"/>
            <w:bCs w:val="0"/>
            <w:i w:val="0"/>
            <w:iCs w:val="0"/>
          </w:rPr>
          <w:t>2808- دیوان شاه صدر دیلمی أو شعره‏</w:t>
        </w:r>
        <w:r>
          <w:tab/>
        </w:r>
        <w:r>
          <w:fldChar w:fldCharType="begin"/>
        </w:r>
        <w:r>
          <w:instrText xml:space="preserve">PAGEREF 3651 \h</w:instrText>
        </w:r>
        <w:r>
          <w:fldChar w:fldCharType="end"/>
        </w:r>
      </w:hyperlink>
    </w:p>
    <w:p>
      <w:pPr>
        <w:tabs>
          <w:tab w:val="right" w:leader="dot" w:pos="9062"/>
        </w:tabs>
        <w:ind w:left="440"/>
      </w:pPr>
      <w:hyperlink w:anchor="_Toc3652" w:history="1">
        <w:r>
          <w:rPr>
            <w:rFonts w:ascii="IRNazanin" w:hAnsi="IRNazanin" w:eastAsia="IRNazanin" w:cs="IRNazanin"/>
            <w:color w:val="111111"/>
            <w:sz w:val="22"/>
            <w:szCs w:val="22"/>
            <w:b w:val="0"/>
            <w:bCs w:val="0"/>
            <w:i w:val="0"/>
            <w:iCs w:val="0"/>
          </w:rPr>
          <w:t>دیوان شاه صفی صفوی‏</w:t>
        </w:r>
        <w:r>
          <w:tab/>
        </w:r>
        <w:r>
          <w:fldChar w:fldCharType="begin"/>
        </w:r>
        <w:r>
          <w:instrText xml:space="preserve">PAGEREF 3652 \h</w:instrText>
        </w:r>
        <w:r>
          <w:fldChar w:fldCharType="end"/>
        </w:r>
      </w:hyperlink>
    </w:p>
    <w:p>
      <w:pPr>
        <w:tabs>
          <w:tab w:val="right" w:leader="dot" w:pos="9062"/>
        </w:tabs>
        <w:ind w:left="440"/>
      </w:pPr>
      <w:hyperlink w:anchor="_Toc3653" w:history="1">
        <w:r>
          <w:rPr>
            <w:rFonts w:ascii="IRNazanin" w:hAnsi="IRNazanin" w:eastAsia="IRNazanin" w:cs="IRNazanin"/>
            <w:color w:val="111111"/>
            <w:sz w:val="22"/>
            <w:szCs w:val="22"/>
            <w:b w:val="0"/>
            <w:bCs w:val="0"/>
            <w:i w:val="0"/>
            <w:iCs w:val="0"/>
          </w:rPr>
          <w:t>دیوان شاه صفی نوربخشی‏</w:t>
        </w:r>
        <w:r>
          <w:tab/>
        </w:r>
        <w:r>
          <w:fldChar w:fldCharType="begin"/>
        </w:r>
        <w:r>
          <w:instrText xml:space="preserve">PAGEREF 3653 \h</w:instrText>
        </w:r>
        <w:r>
          <w:fldChar w:fldCharType="end"/>
        </w:r>
      </w:hyperlink>
    </w:p>
    <w:p>
      <w:pPr>
        <w:tabs>
          <w:tab w:val="right" w:leader="dot" w:pos="9062"/>
        </w:tabs>
        <w:ind w:left="440"/>
      </w:pPr>
      <w:hyperlink w:anchor="_Toc3654" w:history="1">
        <w:r>
          <w:rPr>
            <w:rFonts w:ascii="IRNazanin" w:hAnsi="IRNazanin" w:eastAsia="IRNazanin" w:cs="IRNazanin"/>
            <w:color w:val="111111"/>
            <w:sz w:val="22"/>
            <w:szCs w:val="22"/>
            <w:b w:val="0"/>
            <w:bCs w:val="0"/>
            <w:i w:val="0"/>
            <w:iCs w:val="0"/>
          </w:rPr>
          <w:t>2809- دیوان شاه طاهر أنجدانی‏</w:t>
        </w:r>
        <w:r>
          <w:tab/>
        </w:r>
        <w:r>
          <w:fldChar w:fldCharType="begin"/>
        </w:r>
        <w:r>
          <w:instrText xml:space="preserve">PAGEREF 3654 \h</w:instrText>
        </w:r>
        <w:r>
          <w:fldChar w:fldCharType="end"/>
        </w:r>
      </w:hyperlink>
    </w:p>
    <w:p>
      <w:pPr>
        <w:tabs>
          <w:tab w:val="right" w:leader="dot" w:pos="9062"/>
        </w:tabs>
        <w:ind w:left="440"/>
      </w:pPr>
      <w:hyperlink w:anchor="_Toc3655" w:history="1">
        <w:r>
          <w:rPr>
            <w:rFonts w:ascii="IRNazanin" w:hAnsi="IRNazanin" w:eastAsia="IRNazanin" w:cs="IRNazanin"/>
            <w:color w:val="111111"/>
            <w:sz w:val="22"/>
            <w:szCs w:val="22"/>
            <w:b w:val="0"/>
            <w:bCs w:val="0"/>
            <w:i w:val="0"/>
            <w:iCs w:val="0"/>
          </w:rPr>
          <w:t>دیوان شاه طبیب هروی‏</w:t>
        </w:r>
        <w:r>
          <w:tab/>
        </w:r>
        <w:r>
          <w:fldChar w:fldCharType="begin"/>
        </w:r>
        <w:r>
          <w:instrText xml:space="preserve">PAGEREF 3655 \h</w:instrText>
        </w:r>
        <w:r>
          <w:fldChar w:fldCharType="end"/>
        </w:r>
      </w:hyperlink>
    </w:p>
    <w:p>
      <w:pPr>
        <w:tabs>
          <w:tab w:val="right" w:leader="dot" w:pos="9062"/>
        </w:tabs>
        <w:ind w:left="440"/>
      </w:pPr>
      <w:hyperlink w:anchor="_Toc3656" w:history="1">
        <w:r>
          <w:rPr>
            <w:rFonts w:ascii="IRNazanin" w:hAnsi="IRNazanin" w:eastAsia="IRNazanin" w:cs="IRNazanin"/>
            <w:color w:val="111111"/>
            <w:sz w:val="22"/>
            <w:szCs w:val="22"/>
            <w:b w:val="0"/>
            <w:bCs w:val="0"/>
            <w:i w:val="0"/>
            <w:iCs w:val="0"/>
          </w:rPr>
          <w:t>دیوان شاه عادل‏</w:t>
        </w:r>
        <w:r>
          <w:tab/>
        </w:r>
        <w:r>
          <w:fldChar w:fldCharType="begin"/>
        </w:r>
        <w:r>
          <w:instrText xml:space="preserve">PAGEREF 3656 \h</w:instrText>
        </w:r>
        <w:r>
          <w:fldChar w:fldCharType="end"/>
        </w:r>
      </w:hyperlink>
    </w:p>
    <w:p>
      <w:pPr>
        <w:tabs>
          <w:tab w:val="right" w:leader="dot" w:pos="9062"/>
        </w:tabs>
        <w:ind w:left="440"/>
      </w:pPr>
      <w:hyperlink w:anchor="_Toc3657" w:history="1">
        <w:r>
          <w:rPr>
            <w:rFonts w:ascii="IRNazanin" w:hAnsi="IRNazanin" w:eastAsia="IRNazanin" w:cs="IRNazanin"/>
            <w:color w:val="111111"/>
            <w:sz w:val="22"/>
            <w:szCs w:val="22"/>
            <w:b w:val="0"/>
            <w:bCs w:val="0"/>
            <w:i w:val="0"/>
            <w:iCs w:val="0"/>
          </w:rPr>
          <w:t>دیوان شاه عباس‏</w:t>
        </w:r>
        <w:r>
          <w:tab/>
        </w:r>
        <w:r>
          <w:fldChar w:fldCharType="begin"/>
        </w:r>
        <w:r>
          <w:instrText xml:space="preserve">PAGEREF 3657 \h</w:instrText>
        </w:r>
        <w:r>
          <w:fldChar w:fldCharType="end"/>
        </w:r>
      </w:hyperlink>
    </w:p>
    <w:p>
      <w:pPr>
        <w:tabs>
          <w:tab w:val="right" w:leader="dot" w:pos="9062"/>
        </w:tabs>
        <w:ind w:left="440"/>
      </w:pPr>
      <w:hyperlink w:anchor="_Toc3658" w:history="1">
        <w:r>
          <w:rPr>
            <w:rFonts w:ascii="IRNazanin" w:hAnsi="IRNazanin" w:eastAsia="IRNazanin" w:cs="IRNazanin"/>
            <w:color w:val="111111"/>
            <w:sz w:val="22"/>
            <w:szCs w:val="22"/>
            <w:b w:val="0"/>
            <w:bCs w:val="0"/>
            <w:i w:val="0"/>
            <w:iCs w:val="0"/>
          </w:rPr>
          <w:t>دیوان شاه عنایت الله‏</w:t>
        </w:r>
        <w:r>
          <w:tab/>
        </w:r>
        <w:r>
          <w:fldChar w:fldCharType="begin"/>
        </w:r>
        <w:r>
          <w:instrText xml:space="preserve">PAGEREF 3658 \h</w:instrText>
        </w:r>
        <w:r>
          <w:fldChar w:fldCharType="end"/>
        </w:r>
      </w:hyperlink>
    </w:p>
    <w:p>
      <w:pPr>
        <w:tabs>
          <w:tab w:val="right" w:leader="dot" w:pos="9062"/>
        </w:tabs>
        <w:ind w:left="440"/>
      </w:pPr>
      <w:hyperlink w:anchor="_Toc3659" w:history="1">
        <w:r>
          <w:rPr>
            <w:rFonts w:ascii="IRNazanin" w:hAnsi="IRNazanin" w:eastAsia="IRNazanin" w:cs="IRNazanin"/>
            <w:color w:val="111111"/>
            <w:sz w:val="22"/>
            <w:szCs w:val="22"/>
            <w:b w:val="0"/>
            <w:bCs w:val="0"/>
            <w:i w:val="0"/>
            <w:iCs w:val="0"/>
          </w:rPr>
          <w:t>دیوان شاهفور أشهری‏</w:t>
        </w:r>
        <w:r>
          <w:tab/>
        </w:r>
        <w:r>
          <w:fldChar w:fldCharType="begin"/>
        </w:r>
        <w:r>
          <w:instrText xml:space="preserve">PAGEREF 3659 \h</w:instrText>
        </w:r>
        <w:r>
          <w:fldChar w:fldCharType="end"/>
        </w:r>
      </w:hyperlink>
    </w:p>
    <w:p>
      <w:pPr>
        <w:tabs>
          <w:tab w:val="right" w:leader="dot" w:pos="9062"/>
        </w:tabs>
        <w:ind w:left="440"/>
      </w:pPr>
      <w:hyperlink w:anchor="_Toc3660" w:history="1">
        <w:r>
          <w:rPr>
            <w:rFonts w:ascii="IRNazanin" w:hAnsi="IRNazanin" w:eastAsia="IRNazanin" w:cs="IRNazanin"/>
            <w:color w:val="111111"/>
            <w:sz w:val="22"/>
            <w:szCs w:val="22"/>
            <w:b w:val="0"/>
            <w:bCs w:val="0"/>
            <w:i w:val="0"/>
            <w:iCs w:val="0"/>
          </w:rPr>
          <w:t>دیوان شاه غریب میرزا</w:t>
        </w:r>
        <w:r>
          <w:tab/>
        </w:r>
        <w:r>
          <w:fldChar w:fldCharType="begin"/>
        </w:r>
        <w:r>
          <w:instrText xml:space="preserve">PAGEREF 3660 \h</w:instrText>
        </w:r>
        <w:r>
          <w:fldChar w:fldCharType="end"/>
        </w:r>
      </w:hyperlink>
    </w:p>
    <w:p>
      <w:pPr>
        <w:tabs>
          <w:tab w:val="right" w:leader="dot" w:pos="9062"/>
        </w:tabs>
        <w:ind w:left="440"/>
      </w:pPr>
      <w:hyperlink w:anchor="_Toc3661" w:history="1">
        <w:r>
          <w:rPr>
            <w:rFonts w:ascii="IRNazanin" w:hAnsi="IRNazanin" w:eastAsia="IRNazanin" w:cs="IRNazanin"/>
            <w:color w:val="111111"/>
            <w:sz w:val="22"/>
            <w:szCs w:val="22"/>
            <w:b w:val="0"/>
            <w:bCs w:val="0"/>
            <w:i w:val="0"/>
            <w:iCs w:val="0"/>
          </w:rPr>
          <w:t>دیوان شاه قاسم الأنوار</w:t>
        </w:r>
        <w:r>
          <w:tab/>
        </w:r>
        <w:r>
          <w:fldChar w:fldCharType="begin"/>
        </w:r>
        <w:r>
          <w:instrText xml:space="preserve">PAGEREF 3661 \h</w:instrText>
        </w:r>
        <w:r>
          <w:fldChar w:fldCharType="end"/>
        </w:r>
      </w:hyperlink>
    </w:p>
    <w:p>
      <w:pPr>
        <w:tabs>
          <w:tab w:val="right" w:leader="dot" w:pos="9062"/>
        </w:tabs>
        <w:ind w:left="440"/>
      </w:pPr>
      <w:hyperlink w:anchor="_Toc3662" w:history="1">
        <w:r>
          <w:rPr>
            <w:rFonts w:ascii="IRNazanin" w:hAnsi="IRNazanin" w:eastAsia="IRNazanin" w:cs="IRNazanin"/>
            <w:color w:val="111111"/>
            <w:sz w:val="22"/>
            <w:szCs w:val="22"/>
            <w:b w:val="0"/>
            <w:bCs w:val="0"/>
            <w:i w:val="0"/>
            <w:iCs w:val="0"/>
          </w:rPr>
          <w:t>دیوان شاه قاسم بدلا</w:t>
        </w:r>
        <w:r>
          <w:tab/>
        </w:r>
        <w:r>
          <w:fldChar w:fldCharType="begin"/>
        </w:r>
        <w:r>
          <w:instrText xml:space="preserve">PAGEREF 3662 \h</w:instrText>
        </w:r>
        <w:r>
          <w:fldChar w:fldCharType="end"/>
        </w:r>
      </w:hyperlink>
    </w:p>
    <w:p>
      <w:pPr>
        <w:tabs>
          <w:tab w:val="right" w:leader="dot" w:pos="9062"/>
        </w:tabs>
        <w:ind w:left="440"/>
      </w:pPr>
      <w:hyperlink w:anchor="_Toc3663" w:history="1">
        <w:r>
          <w:rPr>
            <w:rFonts w:ascii="IRNazanin" w:hAnsi="IRNazanin" w:eastAsia="IRNazanin" w:cs="IRNazanin"/>
            <w:color w:val="111111"/>
            <w:sz w:val="22"/>
            <w:szCs w:val="22"/>
            <w:b w:val="0"/>
            <w:bCs w:val="0"/>
            <w:i w:val="0"/>
            <w:iCs w:val="0"/>
          </w:rPr>
          <w:t>2810- دیوان شاه قاضی أو شعره‏</w:t>
        </w:r>
        <w:r>
          <w:tab/>
        </w:r>
        <w:r>
          <w:fldChar w:fldCharType="begin"/>
        </w:r>
        <w:r>
          <w:instrText xml:space="preserve">PAGEREF 3663 \h</w:instrText>
        </w:r>
        <w:r>
          <w:fldChar w:fldCharType="end"/>
        </w:r>
      </w:hyperlink>
    </w:p>
    <w:p>
      <w:pPr>
        <w:tabs>
          <w:tab w:val="right" w:leader="dot" w:pos="9062"/>
        </w:tabs>
        <w:ind w:left="440"/>
      </w:pPr>
      <w:hyperlink w:anchor="_Toc3664" w:history="1">
        <w:r>
          <w:rPr>
            <w:rFonts w:ascii="IRNazanin" w:hAnsi="IRNazanin" w:eastAsia="IRNazanin" w:cs="IRNazanin"/>
            <w:color w:val="111111"/>
            <w:sz w:val="22"/>
            <w:szCs w:val="22"/>
            <w:b w:val="0"/>
            <w:bCs w:val="0"/>
            <w:i w:val="0"/>
            <w:iCs w:val="0"/>
          </w:rPr>
          <w:t>2811- دیوان شاه قلی خلخالی أو شعره‏</w:t>
        </w:r>
        <w:r>
          <w:tab/>
        </w:r>
        <w:r>
          <w:fldChar w:fldCharType="begin"/>
        </w:r>
        <w:r>
          <w:instrText xml:space="preserve">PAGEREF 3664 \h</w:instrText>
        </w:r>
        <w:r>
          <w:fldChar w:fldCharType="end"/>
        </w:r>
      </w:hyperlink>
    </w:p>
    <w:p>
      <w:pPr>
        <w:tabs>
          <w:tab w:val="right" w:leader="dot" w:pos="9062"/>
        </w:tabs>
        <w:ind w:left="440"/>
      </w:pPr>
      <w:hyperlink w:anchor="_Toc3665" w:history="1">
        <w:r>
          <w:rPr>
            <w:rFonts w:ascii="IRNazanin" w:hAnsi="IRNazanin" w:eastAsia="IRNazanin" w:cs="IRNazanin"/>
            <w:color w:val="111111"/>
            <w:sz w:val="22"/>
            <w:szCs w:val="22"/>
            <w:b w:val="0"/>
            <w:bCs w:val="0"/>
            <w:i w:val="0"/>
            <w:iCs w:val="0"/>
          </w:rPr>
          <w:t>دیوان شاه کبود جامه‏</w:t>
        </w:r>
        <w:r>
          <w:tab/>
        </w:r>
        <w:r>
          <w:fldChar w:fldCharType="begin"/>
        </w:r>
        <w:r>
          <w:instrText xml:space="preserve">PAGEREF 3665 \h</w:instrText>
        </w:r>
        <w:r>
          <w:fldChar w:fldCharType="end"/>
        </w:r>
      </w:hyperlink>
    </w:p>
    <w:p>
      <w:pPr>
        <w:tabs>
          <w:tab w:val="right" w:leader="dot" w:pos="9062"/>
        </w:tabs>
        <w:ind w:left="440"/>
      </w:pPr>
      <w:hyperlink w:anchor="_Toc3666" w:history="1">
        <w:r>
          <w:rPr>
            <w:rFonts w:ascii="IRNazanin" w:hAnsi="IRNazanin" w:eastAsia="IRNazanin" w:cs="IRNazanin"/>
            <w:color w:val="111111"/>
            <w:sz w:val="22"/>
            <w:szCs w:val="22"/>
            <w:b w:val="0"/>
            <w:bCs w:val="0"/>
            <w:i w:val="0"/>
            <w:iCs w:val="0"/>
          </w:rPr>
          <w:t>دیوان شاه کرم خوانساری‏</w:t>
        </w:r>
        <w:r>
          <w:tab/>
        </w:r>
        <w:r>
          <w:fldChar w:fldCharType="begin"/>
        </w:r>
        <w:r>
          <w:instrText xml:space="preserve">PAGEREF 3666 \h</w:instrText>
        </w:r>
        <w:r>
          <w:fldChar w:fldCharType="end"/>
        </w:r>
      </w:hyperlink>
    </w:p>
    <w:p>
      <w:pPr>
        <w:tabs>
          <w:tab w:val="right" w:leader="dot" w:pos="9062"/>
        </w:tabs>
        <w:ind w:left="440"/>
      </w:pPr>
      <w:hyperlink w:anchor="_Toc3667" w:history="1">
        <w:r>
          <w:rPr>
            <w:rFonts w:ascii="IRNazanin" w:hAnsi="IRNazanin" w:eastAsia="IRNazanin" w:cs="IRNazanin"/>
            <w:color w:val="111111"/>
            <w:sz w:val="22"/>
            <w:szCs w:val="22"/>
            <w:b w:val="0"/>
            <w:bCs w:val="0"/>
            <w:i w:val="0"/>
            <w:iCs w:val="0"/>
          </w:rPr>
          <w:t>2812- دیوان شاهکی أصفهانی أو شعره‏</w:t>
        </w:r>
        <w:r>
          <w:tab/>
        </w:r>
        <w:r>
          <w:fldChar w:fldCharType="begin"/>
        </w:r>
        <w:r>
          <w:instrText xml:space="preserve">PAGEREF 3667 \h</w:instrText>
        </w:r>
        <w:r>
          <w:fldChar w:fldCharType="end"/>
        </w:r>
      </w:hyperlink>
    </w:p>
    <w:p>
      <w:pPr>
        <w:tabs>
          <w:tab w:val="right" w:leader="dot" w:pos="9062"/>
        </w:tabs>
        <w:ind w:left="440"/>
      </w:pPr>
      <w:hyperlink w:anchor="_Toc3668" w:history="1">
        <w:r>
          <w:rPr>
            <w:rFonts w:ascii="IRNazanin" w:hAnsi="IRNazanin" w:eastAsia="IRNazanin" w:cs="IRNazanin"/>
            <w:color w:val="111111"/>
            <w:sz w:val="22"/>
            <w:szCs w:val="22"/>
            <w:b w:val="0"/>
            <w:bCs w:val="0"/>
            <w:i w:val="0"/>
            <w:iCs w:val="0"/>
          </w:rPr>
          <w:t>2813- دیوان شاهکی قمی أو شعره‏</w:t>
        </w:r>
        <w:r>
          <w:tab/>
        </w:r>
        <w:r>
          <w:fldChar w:fldCharType="begin"/>
        </w:r>
        <w:r>
          <w:instrText xml:space="preserve">PAGEREF 3668 \h</w:instrText>
        </w:r>
        <w:r>
          <w:fldChar w:fldCharType="end"/>
        </w:r>
      </w:hyperlink>
    </w:p>
    <w:p>
      <w:pPr>
        <w:tabs>
          <w:tab w:val="right" w:leader="dot" w:pos="9062"/>
        </w:tabs>
        <w:ind w:left="440"/>
      </w:pPr>
      <w:hyperlink w:anchor="_Toc3669" w:history="1">
        <w:r>
          <w:rPr>
            <w:rFonts w:ascii="IRNazanin" w:hAnsi="IRNazanin" w:eastAsia="IRNazanin" w:cs="IRNazanin"/>
            <w:color w:val="111111"/>
            <w:sz w:val="22"/>
            <w:szCs w:val="22"/>
            <w:b w:val="0"/>
            <w:bCs w:val="0"/>
            <w:i w:val="0"/>
            <w:iCs w:val="0"/>
          </w:rPr>
          <w:t>دیوان شاه ملا</w:t>
        </w:r>
        <w:r>
          <w:tab/>
        </w:r>
        <w:r>
          <w:fldChar w:fldCharType="begin"/>
        </w:r>
        <w:r>
          <w:instrText xml:space="preserve">PAGEREF 3669 \h</w:instrText>
        </w:r>
        <w:r>
          <w:fldChar w:fldCharType="end"/>
        </w:r>
      </w:hyperlink>
    </w:p>
    <w:p>
      <w:pPr>
        <w:tabs>
          <w:tab w:val="right" w:leader="dot" w:pos="9062"/>
        </w:tabs>
        <w:ind w:left="440"/>
      </w:pPr>
      <w:hyperlink w:anchor="_Toc3670" w:history="1">
        <w:r>
          <w:rPr>
            <w:rFonts w:ascii="IRNazanin" w:hAnsi="IRNazanin" w:eastAsia="IRNazanin" w:cs="IRNazanin"/>
            <w:color w:val="111111"/>
            <w:sz w:val="22"/>
            <w:szCs w:val="22"/>
            <w:b w:val="0"/>
            <w:bCs w:val="0"/>
            <w:i w:val="0"/>
            <w:iCs w:val="0"/>
          </w:rPr>
          <w:t>دیوان شاه محمد دارابی‏</w:t>
        </w:r>
        <w:r>
          <w:tab/>
        </w:r>
        <w:r>
          <w:fldChar w:fldCharType="begin"/>
        </w:r>
        <w:r>
          <w:instrText xml:space="preserve">PAGEREF 3670 \h</w:instrText>
        </w:r>
        <w:r>
          <w:fldChar w:fldCharType="end"/>
        </w:r>
      </w:hyperlink>
    </w:p>
    <w:p>
      <w:pPr>
        <w:tabs>
          <w:tab w:val="right" w:leader="dot" w:pos="9062"/>
        </w:tabs>
        <w:ind w:left="440"/>
      </w:pPr>
      <w:hyperlink w:anchor="_Toc3671" w:history="1">
        <w:r>
          <w:rPr>
            <w:rFonts w:ascii="IRNazanin" w:hAnsi="IRNazanin" w:eastAsia="IRNazanin" w:cs="IRNazanin"/>
            <w:color w:val="111111"/>
            <w:sz w:val="22"/>
            <w:szCs w:val="22"/>
            <w:b w:val="0"/>
            <w:bCs w:val="0"/>
            <w:i w:val="0"/>
            <w:iCs w:val="0"/>
          </w:rPr>
          <w:t>دیوان شاه محمد شیرازی‏</w:t>
        </w:r>
        <w:r>
          <w:tab/>
        </w:r>
        <w:r>
          <w:fldChar w:fldCharType="begin"/>
        </w:r>
        <w:r>
          <w:instrText xml:space="preserve">PAGEREF 3671 \h</w:instrText>
        </w:r>
        <w:r>
          <w:fldChar w:fldCharType="end"/>
        </w:r>
      </w:hyperlink>
    </w:p>
    <w:p>
      <w:pPr>
        <w:tabs>
          <w:tab w:val="right" w:leader="dot" w:pos="9062"/>
        </w:tabs>
        <w:ind w:left="440"/>
      </w:pPr>
      <w:hyperlink w:anchor="_Toc3672" w:history="1">
        <w:r>
          <w:rPr>
            <w:rFonts w:ascii="IRNazanin" w:hAnsi="IRNazanin" w:eastAsia="IRNazanin" w:cs="IRNazanin"/>
            <w:color w:val="111111"/>
            <w:sz w:val="22"/>
            <w:szCs w:val="22"/>
            <w:b w:val="0"/>
            <w:bCs w:val="0"/>
            <w:i w:val="0"/>
            <w:iCs w:val="0"/>
          </w:rPr>
          <w:t>دیوان شاه محمود فیروزآبادی‏</w:t>
        </w:r>
        <w:r>
          <w:tab/>
        </w:r>
        <w:r>
          <w:fldChar w:fldCharType="begin"/>
        </w:r>
        <w:r>
          <w:instrText xml:space="preserve">PAGEREF 3672 \h</w:instrText>
        </w:r>
        <w:r>
          <w:fldChar w:fldCharType="end"/>
        </w:r>
      </w:hyperlink>
    </w:p>
    <w:p>
      <w:pPr>
        <w:tabs>
          <w:tab w:val="right" w:leader="dot" w:pos="9062"/>
        </w:tabs>
        <w:ind w:left="440"/>
      </w:pPr>
      <w:hyperlink w:anchor="_Toc3673" w:history="1">
        <w:r>
          <w:rPr>
            <w:rFonts w:ascii="IRNazanin" w:hAnsi="IRNazanin" w:eastAsia="IRNazanin" w:cs="IRNazanin"/>
            <w:color w:val="111111"/>
            <w:sz w:val="22"/>
            <w:szCs w:val="22"/>
            <w:b w:val="0"/>
            <w:bCs w:val="0"/>
            <w:i w:val="0"/>
            <w:iCs w:val="0"/>
          </w:rPr>
          <w:t>دیوان شاه محمود نیشابوری‏</w:t>
        </w:r>
        <w:r>
          <w:tab/>
        </w:r>
        <w:r>
          <w:fldChar w:fldCharType="begin"/>
        </w:r>
        <w:r>
          <w:instrText xml:space="preserve">PAGEREF 3673 \h</w:instrText>
        </w:r>
        <w:r>
          <w:fldChar w:fldCharType="end"/>
        </w:r>
      </w:hyperlink>
    </w:p>
    <w:p>
      <w:pPr>
        <w:tabs>
          <w:tab w:val="right" w:leader="dot" w:pos="9062"/>
        </w:tabs>
        <w:ind w:left="440"/>
      </w:pPr>
      <w:hyperlink w:anchor="_Toc3674" w:history="1">
        <w:r>
          <w:rPr>
            <w:rFonts w:ascii="IRNazanin" w:hAnsi="IRNazanin" w:eastAsia="IRNazanin" w:cs="IRNazanin"/>
            <w:color w:val="111111"/>
            <w:sz w:val="22"/>
            <w:szCs w:val="22"/>
            <w:b w:val="0"/>
            <w:bCs w:val="0"/>
            <w:i w:val="0"/>
            <w:iCs w:val="0"/>
          </w:rPr>
          <w:t>دیوان شاه مراد</w:t>
        </w:r>
        <w:r>
          <w:tab/>
        </w:r>
        <w:r>
          <w:fldChar w:fldCharType="begin"/>
        </w:r>
        <w:r>
          <w:instrText xml:space="preserve">PAGEREF 3674 \h</w:instrText>
        </w:r>
        <w:r>
          <w:fldChar w:fldCharType="end"/>
        </w:r>
      </w:hyperlink>
    </w:p>
    <w:p>
      <w:pPr>
        <w:tabs>
          <w:tab w:val="right" w:leader="dot" w:pos="9062"/>
        </w:tabs>
        <w:ind w:left="440"/>
      </w:pPr>
      <w:hyperlink w:anchor="_Toc3675" w:history="1">
        <w:r>
          <w:rPr>
            <w:rFonts w:ascii="IRNazanin" w:hAnsi="IRNazanin" w:eastAsia="IRNazanin" w:cs="IRNazanin"/>
            <w:color w:val="111111"/>
            <w:sz w:val="22"/>
            <w:szCs w:val="22"/>
            <w:b w:val="0"/>
            <w:bCs w:val="0"/>
            <w:i w:val="0"/>
            <w:iCs w:val="0"/>
          </w:rPr>
          <w:t>دیوان المیر شاه مرتضی‏</w:t>
        </w:r>
        <w:r>
          <w:tab/>
        </w:r>
        <w:r>
          <w:fldChar w:fldCharType="begin"/>
        </w:r>
        <w:r>
          <w:instrText xml:space="preserve">PAGEREF 3675 \h</w:instrText>
        </w:r>
        <w:r>
          <w:fldChar w:fldCharType="end"/>
        </w:r>
      </w:hyperlink>
    </w:p>
    <w:p>
      <w:pPr>
        <w:tabs>
          <w:tab w:val="right" w:leader="dot" w:pos="9062"/>
        </w:tabs>
        <w:ind w:left="440"/>
      </w:pPr>
      <w:hyperlink w:anchor="_Toc3676" w:history="1">
        <w:r>
          <w:rPr>
            <w:rFonts w:ascii="IRNazanin" w:hAnsi="IRNazanin" w:eastAsia="IRNazanin" w:cs="IRNazanin"/>
            <w:color w:val="111111"/>
            <w:sz w:val="22"/>
            <w:szCs w:val="22"/>
            <w:b w:val="0"/>
            <w:bCs w:val="0"/>
            <w:i w:val="0"/>
            <w:iCs w:val="0"/>
          </w:rPr>
          <w:t>دیوان شاه معصوم‏</w:t>
        </w:r>
        <w:r>
          <w:tab/>
        </w:r>
        <w:r>
          <w:fldChar w:fldCharType="begin"/>
        </w:r>
        <w:r>
          <w:instrText xml:space="preserve">PAGEREF 3676 \h</w:instrText>
        </w:r>
        <w:r>
          <w:fldChar w:fldCharType="end"/>
        </w:r>
      </w:hyperlink>
    </w:p>
    <w:p>
      <w:pPr>
        <w:tabs>
          <w:tab w:val="right" w:leader="dot" w:pos="9062"/>
        </w:tabs>
        <w:ind w:left="440"/>
      </w:pPr>
      <w:hyperlink w:anchor="_Toc3677" w:history="1">
        <w:r>
          <w:rPr>
            <w:rFonts w:ascii="IRNazanin" w:hAnsi="IRNazanin" w:eastAsia="IRNazanin" w:cs="IRNazanin"/>
            <w:color w:val="111111"/>
            <w:sz w:val="22"/>
            <w:szCs w:val="22"/>
            <w:b w:val="0"/>
            <w:bCs w:val="0"/>
            <w:i w:val="0"/>
            <w:iCs w:val="0"/>
          </w:rPr>
          <w:t>2814- دیوان شاه معصوم لاری أو شعره‏</w:t>
        </w:r>
        <w:r>
          <w:tab/>
        </w:r>
        <w:r>
          <w:fldChar w:fldCharType="begin"/>
        </w:r>
        <w:r>
          <w:instrText xml:space="preserve">PAGEREF 3677 \h</w:instrText>
        </w:r>
        <w:r>
          <w:fldChar w:fldCharType="end"/>
        </w:r>
      </w:hyperlink>
    </w:p>
    <w:p>
      <w:pPr>
        <w:tabs>
          <w:tab w:val="right" w:leader="dot" w:pos="9062"/>
        </w:tabs>
        <w:ind w:left="440"/>
      </w:pPr>
      <w:hyperlink w:anchor="_Toc3678" w:history="1">
        <w:r>
          <w:rPr>
            <w:rFonts w:ascii="IRNazanin" w:hAnsi="IRNazanin" w:eastAsia="IRNazanin" w:cs="IRNazanin"/>
            <w:color w:val="111111"/>
            <w:sz w:val="22"/>
            <w:szCs w:val="22"/>
            <w:b w:val="0"/>
            <w:bCs w:val="0"/>
            <w:i w:val="0"/>
            <w:iCs w:val="0"/>
          </w:rPr>
          <w:t>2815- دیوان شاهمیر الدیلمی أو شعره‏</w:t>
        </w:r>
        <w:r>
          <w:tab/>
        </w:r>
        <w:r>
          <w:fldChar w:fldCharType="begin"/>
        </w:r>
        <w:r>
          <w:instrText xml:space="preserve">PAGEREF 3678 \h</w:instrText>
        </w:r>
        <w:r>
          <w:fldChar w:fldCharType="end"/>
        </w:r>
      </w:hyperlink>
    </w:p>
    <w:p>
      <w:pPr>
        <w:tabs>
          <w:tab w:val="right" w:leader="dot" w:pos="9062"/>
        </w:tabs>
        <w:ind w:left="440"/>
      </w:pPr>
      <w:hyperlink w:anchor="_Toc3679" w:history="1">
        <w:r>
          <w:rPr>
            <w:rFonts w:ascii="IRNazanin" w:hAnsi="IRNazanin" w:eastAsia="IRNazanin" w:cs="IRNazanin"/>
            <w:color w:val="111111"/>
            <w:sz w:val="22"/>
            <w:szCs w:val="22"/>
            <w:b w:val="0"/>
            <w:bCs w:val="0"/>
            <w:i w:val="0"/>
            <w:iCs w:val="0"/>
          </w:rPr>
          <w:t>2816- دیوان شاهمیر عبد العظیمی أو شعره‏</w:t>
        </w:r>
        <w:r>
          <w:tab/>
        </w:r>
        <w:r>
          <w:fldChar w:fldCharType="begin"/>
        </w:r>
        <w:r>
          <w:instrText xml:space="preserve">PAGEREF 3679 \h</w:instrText>
        </w:r>
        <w:r>
          <w:fldChar w:fldCharType="end"/>
        </w:r>
      </w:hyperlink>
    </w:p>
    <w:p>
      <w:pPr>
        <w:tabs>
          <w:tab w:val="right" w:leader="dot" w:pos="9062"/>
        </w:tabs>
        <w:ind w:left="440"/>
      </w:pPr>
      <w:hyperlink w:anchor="_Toc3680" w:history="1">
        <w:r>
          <w:rPr>
            <w:rFonts w:ascii="IRNazanin" w:hAnsi="IRNazanin" w:eastAsia="IRNazanin" w:cs="IRNazanin"/>
            <w:color w:val="111111"/>
            <w:sz w:val="22"/>
            <w:szCs w:val="22"/>
            <w:b w:val="0"/>
            <w:bCs w:val="0"/>
            <w:i w:val="0"/>
            <w:iCs w:val="0"/>
          </w:rPr>
          <w:t>دیوان شاهمیر قزوینی‏</w:t>
        </w:r>
        <w:r>
          <w:tab/>
        </w:r>
        <w:r>
          <w:fldChar w:fldCharType="begin"/>
        </w:r>
        <w:r>
          <w:instrText xml:space="preserve">PAGEREF 3680 \h</w:instrText>
        </w:r>
        <w:r>
          <w:fldChar w:fldCharType="end"/>
        </w:r>
      </w:hyperlink>
    </w:p>
    <w:p>
      <w:pPr>
        <w:tabs>
          <w:tab w:val="right" w:leader="dot" w:pos="9062"/>
        </w:tabs>
        <w:ind w:left="440"/>
      </w:pPr>
      <w:hyperlink w:anchor="_Toc3681" w:history="1">
        <w:r>
          <w:rPr>
            <w:rFonts w:ascii="IRNazanin" w:hAnsi="IRNazanin" w:eastAsia="IRNazanin" w:cs="IRNazanin"/>
            <w:color w:val="111111"/>
            <w:sz w:val="22"/>
            <w:szCs w:val="22"/>
            <w:b w:val="0"/>
            <w:bCs w:val="0"/>
            <w:i w:val="0"/>
            <w:iCs w:val="0"/>
          </w:rPr>
          <w:t>2817- دیوان شاهمیر قمی أو شعره‏</w:t>
        </w:r>
        <w:r>
          <w:tab/>
        </w:r>
        <w:r>
          <w:fldChar w:fldCharType="begin"/>
        </w:r>
        <w:r>
          <w:instrText xml:space="preserve">PAGEREF 3681 \h</w:instrText>
        </w:r>
        <w:r>
          <w:fldChar w:fldCharType="end"/>
        </w:r>
      </w:hyperlink>
    </w:p>
    <w:p>
      <w:pPr>
        <w:tabs>
          <w:tab w:val="right" w:leader="dot" w:pos="9062"/>
        </w:tabs>
        <w:ind w:left="440"/>
      </w:pPr>
      <w:hyperlink w:anchor="_Toc3682" w:history="1">
        <w:r>
          <w:rPr>
            <w:rFonts w:ascii="IRNazanin" w:hAnsi="IRNazanin" w:eastAsia="IRNazanin" w:cs="IRNazanin"/>
            <w:color w:val="111111"/>
            <w:sz w:val="22"/>
            <w:szCs w:val="22"/>
            <w:b w:val="0"/>
            <w:bCs w:val="0"/>
            <w:i w:val="0"/>
            <w:iCs w:val="0"/>
          </w:rPr>
          <w:t>دیوان شاهمیر همدانی‏</w:t>
        </w:r>
        <w:r>
          <w:tab/>
        </w:r>
        <w:r>
          <w:fldChar w:fldCharType="begin"/>
        </w:r>
        <w:r>
          <w:instrText xml:space="preserve">PAGEREF 3682 \h</w:instrText>
        </w:r>
        <w:r>
          <w:fldChar w:fldCharType="end"/>
        </w:r>
      </w:hyperlink>
    </w:p>
    <w:p>
      <w:pPr>
        <w:tabs>
          <w:tab w:val="right" w:leader="dot" w:pos="9062"/>
        </w:tabs>
        <w:ind w:left="440"/>
      </w:pPr>
      <w:hyperlink w:anchor="_Toc3683" w:history="1">
        <w:r>
          <w:rPr>
            <w:rFonts w:ascii="IRNazanin" w:hAnsi="IRNazanin" w:eastAsia="IRNazanin" w:cs="IRNazanin"/>
            <w:color w:val="111111"/>
            <w:sz w:val="22"/>
            <w:szCs w:val="22"/>
            <w:b w:val="0"/>
            <w:bCs w:val="0"/>
            <w:i w:val="0"/>
            <w:iCs w:val="0"/>
          </w:rPr>
          <w:t>2818- دیوان شاه نظر القومشهی‏</w:t>
        </w:r>
        <w:r>
          <w:tab/>
        </w:r>
        <w:r>
          <w:fldChar w:fldCharType="begin"/>
        </w:r>
        <w:r>
          <w:instrText xml:space="preserve">PAGEREF 3683 \h</w:instrText>
        </w:r>
        <w:r>
          <w:fldChar w:fldCharType="end"/>
        </w:r>
      </w:hyperlink>
    </w:p>
    <w:p>
      <w:pPr>
        <w:tabs>
          <w:tab w:val="right" w:leader="dot" w:pos="9062"/>
        </w:tabs>
        <w:ind w:left="440"/>
      </w:pPr>
      <w:hyperlink w:anchor="_Toc3684" w:history="1">
        <w:r>
          <w:rPr>
            <w:rFonts w:ascii="IRNazanin" w:hAnsi="IRNazanin" w:eastAsia="IRNazanin" w:cs="IRNazanin"/>
            <w:color w:val="111111"/>
            <w:sz w:val="22"/>
            <w:szCs w:val="22"/>
            <w:b w:val="0"/>
            <w:bCs w:val="0"/>
            <w:i w:val="0"/>
            <w:iCs w:val="0"/>
          </w:rPr>
          <w:t>دیوان شاه نعمة الله‏</w:t>
        </w:r>
        <w:r>
          <w:tab/>
        </w:r>
        <w:r>
          <w:fldChar w:fldCharType="begin"/>
        </w:r>
        <w:r>
          <w:instrText xml:space="preserve">PAGEREF 3684 \h</w:instrText>
        </w:r>
        <w:r>
          <w:fldChar w:fldCharType="end"/>
        </w:r>
      </w:hyperlink>
    </w:p>
    <w:p>
      <w:pPr>
        <w:tabs>
          <w:tab w:val="right" w:leader="dot" w:pos="9062"/>
        </w:tabs>
        <w:ind w:left="440"/>
      </w:pPr>
      <w:hyperlink w:anchor="_Toc3685" w:history="1">
        <w:r>
          <w:rPr>
            <w:rFonts w:ascii="IRNazanin" w:hAnsi="IRNazanin" w:eastAsia="IRNazanin" w:cs="IRNazanin"/>
            <w:color w:val="111111"/>
            <w:sz w:val="22"/>
            <w:szCs w:val="22"/>
            <w:b w:val="0"/>
            <w:bCs w:val="0"/>
            <w:i w:val="0"/>
            <w:iCs w:val="0"/>
          </w:rPr>
          <w:t>2819- دیوان شاه نیاز هندی‏</w:t>
        </w:r>
        <w:r>
          <w:tab/>
        </w:r>
        <w:r>
          <w:fldChar w:fldCharType="begin"/>
        </w:r>
        <w:r>
          <w:instrText xml:space="preserve">PAGEREF 3685 \h</w:instrText>
        </w:r>
        <w:r>
          <w:fldChar w:fldCharType="end"/>
        </w:r>
      </w:hyperlink>
    </w:p>
    <w:p>
      <w:pPr>
        <w:tabs>
          <w:tab w:val="right" w:leader="dot" w:pos="9062"/>
        </w:tabs>
        <w:ind w:left="440"/>
      </w:pPr>
      <w:hyperlink w:anchor="_Toc3686" w:history="1">
        <w:r>
          <w:rPr>
            <w:rFonts w:ascii="IRNazanin" w:hAnsi="IRNazanin" w:eastAsia="IRNazanin" w:cs="IRNazanin"/>
            <w:color w:val="111111"/>
            <w:sz w:val="22"/>
            <w:szCs w:val="22"/>
            <w:b w:val="0"/>
            <w:bCs w:val="0"/>
            <w:i w:val="0"/>
            <w:iCs w:val="0"/>
          </w:rPr>
          <w:t>2820- دیوان شاهوردی بیک أو شعره‏</w:t>
        </w:r>
        <w:r>
          <w:tab/>
        </w:r>
        <w:r>
          <w:fldChar w:fldCharType="begin"/>
        </w:r>
        <w:r>
          <w:instrText xml:space="preserve">PAGEREF 3686 \h</w:instrText>
        </w:r>
        <w:r>
          <w:fldChar w:fldCharType="end"/>
        </w:r>
      </w:hyperlink>
    </w:p>
    <w:p>
      <w:pPr>
        <w:tabs>
          <w:tab w:val="right" w:leader="dot" w:pos="9062"/>
        </w:tabs>
        <w:ind w:left="440"/>
      </w:pPr>
      <w:hyperlink w:anchor="_Toc3687" w:history="1">
        <w:r>
          <w:rPr>
            <w:rFonts w:ascii="IRNazanin" w:hAnsi="IRNazanin" w:eastAsia="IRNazanin" w:cs="IRNazanin"/>
            <w:color w:val="111111"/>
            <w:sz w:val="22"/>
            <w:szCs w:val="22"/>
            <w:b w:val="0"/>
            <w:bCs w:val="0"/>
            <w:i w:val="0"/>
            <w:iCs w:val="0"/>
          </w:rPr>
          <w:t>2821- دیوان شاه ولی أو شعره‏</w:t>
        </w:r>
        <w:r>
          <w:tab/>
        </w:r>
        <w:r>
          <w:fldChar w:fldCharType="begin"/>
        </w:r>
        <w:r>
          <w:instrText xml:space="preserve">PAGEREF 3687 \h</w:instrText>
        </w:r>
        <w:r>
          <w:fldChar w:fldCharType="end"/>
        </w:r>
      </w:hyperlink>
    </w:p>
    <w:p>
      <w:pPr>
        <w:tabs>
          <w:tab w:val="right" w:leader="dot" w:pos="9062"/>
        </w:tabs>
        <w:ind w:left="440"/>
      </w:pPr>
      <w:hyperlink w:anchor="_Toc3688" w:history="1">
        <w:r>
          <w:rPr>
            <w:rFonts w:ascii="IRNazanin" w:hAnsi="IRNazanin" w:eastAsia="IRNazanin" w:cs="IRNazanin"/>
            <w:color w:val="111111"/>
            <w:sz w:val="22"/>
            <w:szCs w:val="22"/>
            <w:b w:val="0"/>
            <w:bCs w:val="0"/>
            <w:i w:val="0"/>
            <w:iCs w:val="0"/>
          </w:rPr>
          <w:t>دیوان شاه هندی‏</w:t>
        </w:r>
        <w:r>
          <w:tab/>
        </w:r>
        <w:r>
          <w:fldChar w:fldCharType="begin"/>
        </w:r>
        <w:r>
          <w:instrText xml:space="preserve">PAGEREF 3688 \h</w:instrText>
        </w:r>
        <w:r>
          <w:fldChar w:fldCharType="end"/>
        </w:r>
      </w:hyperlink>
    </w:p>
    <w:p>
      <w:pPr>
        <w:tabs>
          <w:tab w:val="right" w:leader="dot" w:pos="9062"/>
        </w:tabs>
        <w:ind w:left="440"/>
      </w:pPr>
      <w:hyperlink w:anchor="_Toc3689" w:history="1">
        <w:r>
          <w:rPr>
            <w:rFonts w:ascii="IRNazanin" w:hAnsi="IRNazanin" w:eastAsia="IRNazanin" w:cs="IRNazanin"/>
            <w:color w:val="111111"/>
            <w:sz w:val="22"/>
            <w:szCs w:val="22"/>
            <w:b w:val="0"/>
            <w:bCs w:val="0"/>
            <w:i w:val="0"/>
            <w:iCs w:val="0"/>
          </w:rPr>
          <w:t>2822- دیوان شاهی آکری‏</w:t>
        </w:r>
        <w:r>
          <w:tab/>
        </w:r>
        <w:r>
          <w:fldChar w:fldCharType="begin"/>
        </w:r>
        <w:r>
          <w:instrText xml:space="preserve">PAGEREF 3689 \h</w:instrText>
        </w:r>
        <w:r>
          <w:fldChar w:fldCharType="end"/>
        </w:r>
      </w:hyperlink>
    </w:p>
    <w:p>
      <w:pPr>
        <w:tabs>
          <w:tab w:val="right" w:leader="dot" w:pos="9062"/>
        </w:tabs>
        <w:ind w:left="440"/>
      </w:pPr>
      <w:hyperlink w:anchor="_Toc3690" w:history="1">
        <w:r>
          <w:rPr>
            <w:rFonts w:ascii="IRNazanin" w:hAnsi="IRNazanin" w:eastAsia="IRNazanin" w:cs="IRNazanin"/>
            <w:color w:val="111111"/>
            <w:sz w:val="22"/>
            <w:szCs w:val="22"/>
            <w:b w:val="0"/>
            <w:bCs w:val="0"/>
            <w:i w:val="0"/>
            <w:iCs w:val="0"/>
          </w:rPr>
          <w:t>2823- دیوان شاهی سبزواری‏</w:t>
        </w:r>
        <w:r>
          <w:tab/>
        </w:r>
        <w:r>
          <w:fldChar w:fldCharType="begin"/>
        </w:r>
        <w:r>
          <w:instrText xml:space="preserve">PAGEREF 3690 \h</w:instrText>
        </w:r>
        <w:r>
          <w:fldChar w:fldCharType="end"/>
        </w:r>
      </w:hyperlink>
    </w:p>
    <w:p>
      <w:pPr>
        <w:tabs>
          <w:tab w:val="right" w:leader="dot" w:pos="9062"/>
        </w:tabs>
        <w:ind w:left="440"/>
      </w:pPr>
      <w:hyperlink w:anchor="_Toc3691" w:history="1">
        <w:r>
          <w:rPr>
            <w:rFonts w:ascii="IRNazanin" w:hAnsi="IRNazanin" w:eastAsia="IRNazanin" w:cs="IRNazanin"/>
            <w:color w:val="111111"/>
            <w:sz w:val="22"/>
            <w:szCs w:val="22"/>
            <w:b w:val="0"/>
            <w:bCs w:val="0"/>
            <w:i w:val="0"/>
            <w:iCs w:val="0"/>
          </w:rPr>
          <w:t>2824- دیوان شاهین أصفهانی‏</w:t>
        </w:r>
        <w:r>
          <w:tab/>
        </w:r>
        <w:r>
          <w:fldChar w:fldCharType="begin"/>
        </w:r>
        <w:r>
          <w:instrText xml:space="preserve">PAGEREF 3691 \h</w:instrText>
        </w:r>
        <w:r>
          <w:fldChar w:fldCharType="end"/>
        </w:r>
      </w:hyperlink>
    </w:p>
    <w:p>
      <w:pPr>
        <w:tabs>
          <w:tab w:val="right" w:leader="dot" w:pos="9062"/>
        </w:tabs>
        <w:ind w:left="440"/>
      </w:pPr>
      <w:hyperlink w:anchor="_Toc3692" w:history="1">
        <w:r>
          <w:rPr>
            <w:rFonts w:ascii="IRNazanin" w:hAnsi="IRNazanin" w:eastAsia="IRNazanin" w:cs="IRNazanin"/>
            <w:color w:val="111111"/>
            <w:sz w:val="22"/>
            <w:szCs w:val="22"/>
            <w:b w:val="0"/>
            <w:bCs w:val="0"/>
            <w:i w:val="0"/>
            <w:iCs w:val="0"/>
          </w:rPr>
          <w:t>2825- دیوان شاهین فراهانی أو شعرها</w:t>
        </w:r>
        <w:r>
          <w:tab/>
        </w:r>
        <w:r>
          <w:fldChar w:fldCharType="begin"/>
        </w:r>
        <w:r>
          <w:instrText xml:space="preserve">PAGEREF 3692 \h</w:instrText>
        </w:r>
        <w:r>
          <w:fldChar w:fldCharType="end"/>
        </w:r>
      </w:hyperlink>
    </w:p>
    <w:p>
      <w:pPr>
        <w:tabs>
          <w:tab w:val="right" w:leader="dot" w:pos="9062"/>
        </w:tabs>
        <w:ind w:left="440"/>
      </w:pPr>
      <w:hyperlink w:anchor="_Toc3693" w:history="1">
        <w:r>
          <w:rPr>
            <w:rFonts w:ascii="IRNazanin" w:hAnsi="IRNazanin" w:eastAsia="IRNazanin" w:cs="IRNazanin"/>
            <w:color w:val="111111"/>
            <w:sz w:val="22"/>
            <w:szCs w:val="22"/>
            <w:b w:val="0"/>
            <w:bCs w:val="0"/>
            <w:i w:val="0"/>
            <w:iCs w:val="0"/>
          </w:rPr>
          <w:t>2826- دیوان شاهین کاشانی أو شعره‏</w:t>
        </w:r>
        <w:r>
          <w:tab/>
        </w:r>
        <w:r>
          <w:fldChar w:fldCharType="begin"/>
        </w:r>
        <w:r>
          <w:instrText xml:space="preserve">PAGEREF 3693 \h</w:instrText>
        </w:r>
        <w:r>
          <w:fldChar w:fldCharType="end"/>
        </w:r>
      </w:hyperlink>
    </w:p>
    <w:p>
      <w:pPr>
        <w:tabs>
          <w:tab w:val="right" w:leader="dot" w:pos="9062"/>
        </w:tabs>
        <w:ind w:left="440"/>
      </w:pPr>
      <w:hyperlink w:anchor="_Toc3694" w:history="1">
        <w:r>
          <w:rPr>
            <w:rFonts w:ascii="IRNazanin" w:hAnsi="IRNazanin" w:eastAsia="IRNazanin" w:cs="IRNazanin"/>
            <w:color w:val="111111"/>
            <w:sz w:val="22"/>
            <w:szCs w:val="22"/>
            <w:b w:val="0"/>
            <w:bCs w:val="0"/>
            <w:i w:val="0"/>
            <w:iCs w:val="0"/>
          </w:rPr>
          <w:t>2827- دیوان شایان کرمانشاهی أو شعره‏</w:t>
        </w:r>
        <w:r>
          <w:tab/>
        </w:r>
        <w:r>
          <w:fldChar w:fldCharType="begin"/>
        </w:r>
        <w:r>
          <w:instrText xml:space="preserve">PAGEREF 3694 \h</w:instrText>
        </w:r>
        <w:r>
          <w:fldChar w:fldCharType="end"/>
        </w:r>
      </w:hyperlink>
    </w:p>
    <w:p>
      <w:pPr>
        <w:tabs>
          <w:tab w:val="right" w:leader="dot" w:pos="9062"/>
        </w:tabs>
        <w:ind w:left="440"/>
      </w:pPr>
      <w:hyperlink w:anchor="_Toc3695" w:history="1">
        <w:r>
          <w:rPr>
            <w:rFonts w:ascii="IRNazanin" w:hAnsi="IRNazanin" w:eastAsia="IRNazanin" w:cs="IRNazanin"/>
            <w:color w:val="111111"/>
            <w:sz w:val="22"/>
            <w:szCs w:val="22"/>
            <w:b w:val="0"/>
            <w:bCs w:val="0"/>
            <w:i w:val="0"/>
            <w:iCs w:val="0"/>
          </w:rPr>
          <w:t>2828- دیوان شایق آذربایجانی أو شعره‏</w:t>
        </w:r>
        <w:r>
          <w:tab/>
        </w:r>
        <w:r>
          <w:fldChar w:fldCharType="begin"/>
        </w:r>
        <w:r>
          <w:instrText xml:space="preserve">PAGEREF 3695 \h</w:instrText>
        </w:r>
        <w:r>
          <w:fldChar w:fldCharType="end"/>
        </w:r>
      </w:hyperlink>
    </w:p>
    <w:p>
      <w:pPr>
        <w:tabs>
          <w:tab w:val="right" w:leader="dot" w:pos="9062"/>
        </w:tabs>
        <w:ind w:left="440"/>
      </w:pPr>
      <w:hyperlink w:anchor="_Toc3696" w:history="1">
        <w:r>
          <w:rPr>
            <w:rFonts w:ascii="IRNazanin" w:hAnsi="IRNazanin" w:eastAsia="IRNazanin" w:cs="IRNazanin"/>
            <w:color w:val="111111"/>
            <w:sz w:val="22"/>
            <w:szCs w:val="22"/>
            <w:b w:val="0"/>
            <w:bCs w:val="0"/>
            <w:i w:val="0"/>
            <w:iCs w:val="0"/>
          </w:rPr>
          <w:t>2829- دیوان شایق أصفهانی‏</w:t>
        </w:r>
        <w:r>
          <w:tab/>
        </w:r>
        <w:r>
          <w:fldChar w:fldCharType="begin"/>
        </w:r>
        <w:r>
          <w:instrText xml:space="preserve">PAGEREF 3696 \h</w:instrText>
        </w:r>
        <w:r>
          <w:fldChar w:fldCharType="end"/>
        </w:r>
      </w:hyperlink>
    </w:p>
    <w:p>
      <w:pPr>
        <w:tabs>
          <w:tab w:val="right" w:leader="dot" w:pos="9062"/>
        </w:tabs>
        <w:ind w:left="440"/>
      </w:pPr>
      <w:hyperlink w:anchor="_Toc3697" w:history="1">
        <w:r>
          <w:rPr>
            <w:rFonts w:ascii="IRNazanin" w:hAnsi="IRNazanin" w:eastAsia="IRNazanin" w:cs="IRNazanin"/>
            <w:color w:val="111111"/>
            <w:sz w:val="22"/>
            <w:szCs w:val="22"/>
            <w:b w:val="0"/>
            <w:bCs w:val="0"/>
            <w:i w:val="0"/>
            <w:iCs w:val="0"/>
          </w:rPr>
          <w:t>2830- دیوان شایق أصفهانی‏</w:t>
        </w:r>
        <w:r>
          <w:tab/>
        </w:r>
        <w:r>
          <w:fldChar w:fldCharType="begin"/>
        </w:r>
        <w:r>
          <w:instrText xml:space="preserve">PAGEREF 3697 \h</w:instrText>
        </w:r>
        <w:r>
          <w:fldChar w:fldCharType="end"/>
        </w:r>
      </w:hyperlink>
    </w:p>
    <w:p>
      <w:pPr>
        <w:tabs>
          <w:tab w:val="right" w:leader="dot" w:pos="9062"/>
        </w:tabs>
        <w:ind w:left="440"/>
      </w:pPr>
      <w:hyperlink w:anchor="_Toc3698" w:history="1">
        <w:r>
          <w:rPr>
            <w:rFonts w:ascii="IRNazanin" w:hAnsi="IRNazanin" w:eastAsia="IRNazanin" w:cs="IRNazanin"/>
            <w:color w:val="111111"/>
            <w:sz w:val="22"/>
            <w:szCs w:val="22"/>
            <w:b w:val="0"/>
            <w:bCs w:val="0"/>
            <w:i w:val="0"/>
            <w:iCs w:val="0"/>
          </w:rPr>
          <w:t>2831- دیوان شایق سنندجی أو شعره‏</w:t>
        </w:r>
        <w:r>
          <w:tab/>
        </w:r>
        <w:r>
          <w:fldChar w:fldCharType="begin"/>
        </w:r>
        <w:r>
          <w:instrText xml:space="preserve">PAGEREF 3698 \h</w:instrText>
        </w:r>
        <w:r>
          <w:fldChar w:fldCharType="end"/>
        </w:r>
      </w:hyperlink>
    </w:p>
    <w:p>
      <w:pPr>
        <w:tabs>
          <w:tab w:val="right" w:leader="dot" w:pos="9062"/>
        </w:tabs>
        <w:ind w:left="440"/>
      </w:pPr>
      <w:hyperlink w:anchor="_Toc3699" w:history="1">
        <w:r>
          <w:rPr>
            <w:rFonts w:ascii="IRNazanin" w:hAnsi="IRNazanin" w:eastAsia="IRNazanin" w:cs="IRNazanin"/>
            <w:color w:val="111111"/>
            <w:sz w:val="22"/>
            <w:szCs w:val="22"/>
            <w:b w:val="0"/>
            <w:bCs w:val="0"/>
            <w:i w:val="0"/>
            <w:iCs w:val="0"/>
          </w:rPr>
          <w:t>2832- دیوان شایق لرستانی‏</w:t>
        </w:r>
        <w:r>
          <w:tab/>
        </w:r>
        <w:r>
          <w:fldChar w:fldCharType="begin"/>
        </w:r>
        <w:r>
          <w:instrText xml:space="preserve">PAGEREF 3699 \h</w:instrText>
        </w:r>
        <w:r>
          <w:fldChar w:fldCharType="end"/>
        </w:r>
      </w:hyperlink>
    </w:p>
    <w:p>
      <w:pPr>
        <w:tabs>
          <w:tab w:val="right" w:leader="dot" w:pos="9062"/>
        </w:tabs>
        <w:ind w:left="440"/>
      </w:pPr>
      <w:hyperlink w:anchor="_Toc3700" w:history="1">
        <w:r>
          <w:rPr>
            <w:rFonts w:ascii="IRNazanin" w:hAnsi="IRNazanin" w:eastAsia="IRNazanin" w:cs="IRNazanin"/>
            <w:color w:val="111111"/>
            <w:sz w:val="22"/>
            <w:szCs w:val="22"/>
            <w:b w:val="0"/>
            <w:bCs w:val="0"/>
            <w:i w:val="0"/>
            <w:iCs w:val="0"/>
          </w:rPr>
          <w:t>2833- دیوان شائق نائینی أو شعره‏</w:t>
        </w:r>
        <w:r>
          <w:tab/>
        </w:r>
        <w:r>
          <w:fldChar w:fldCharType="begin"/>
        </w:r>
        <w:r>
          <w:instrText xml:space="preserve">PAGEREF 3700 \h</w:instrText>
        </w:r>
        <w:r>
          <w:fldChar w:fldCharType="end"/>
        </w:r>
      </w:hyperlink>
    </w:p>
    <w:p>
      <w:pPr>
        <w:tabs>
          <w:tab w:val="right" w:leader="dot" w:pos="9062"/>
        </w:tabs>
        <w:ind w:left="440"/>
      </w:pPr>
      <w:hyperlink w:anchor="_Toc3701" w:history="1">
        <w:r>
          <w:rPr>
            <w:rFonts w:ascii="IRNazanin" w:hAnsi="IRNazanin" w:eastAsia="IRNazanin" w:cs="IRNazanin"/>
            <w:color w:val="111111"/>
            <w:sz w:val="22"/>
            <w:szCs w:val="22"/>
            <w:b w:val="0"/>
            <w:bCs w:val="0"/>
            <w:i w:val="0"/>
            <w:iCs w:val="0"/>
          </w:rPr>
          <w:t>2834- دیوان شایق هندی أو شعره‏</w:t>
        </w:r>
        <w:r>
          <w:tab/>
        </w:r>
        <w:r>
          <w:fldChar w:fldCharType="begin"/>
        </w:r>
        <w:r>
          <w:instrText xml:space="preserve">PAGEREF 3701 \h</w:instrText>
        </w:r>
        <w:r>
          <w:fldChar w:fldCharType="end"/>
        </w:r>
      </w:hyperlink>
    </w:p>
    <w:p>
      <w:pPr>
        <w:tabs>
          <w:tab w:val="right" w:leader="dot" w:pos="9062"/>
        </w:tabs>
        <w:ind w:left="440"/>
      </w:pPr>
      <w:hyperlink w:anchor="_Toc3702" w:history="1">
        <w:r>
          <w:rPr>
            <w:rFonts w:ascii="IRNazanin" w:hAnsi="IRNazanin" w:eastAsia="IRNazanin" w:cs="IRNazanin"/>
            <w:color w:val="111111"/>
            <w:sz w:val="22"/>
            <w:szCs w:val="22"/>
            <w:b w:val="0"/>
            <w:bCs w:val="0"/>
            <w:i w:val="0"/>
            <w:iCs w:val="0"/>
          </w:rPr>
          <w:t>دیوان شایق یزدی‏</w:t>
        </w:r>
        <w:r>
          <w:tab/>
        </w:r>
        <w:r>
          <w:fldChar w:fldCharType="begin"/>
        </w:r>
        <w:r>
          <w:instrText xml:space="preserve">PAGEREF 3702 \h</w:instrText>
        </w:r>
        <w:r>
          <w:fldChar w:fldCharType="end"/>
        </w:r>
      </w:hyperlink>
    </w:p>
    <w:p>
      <w:pPr>
        <w:tabs>
          <w:tab w:val="right" w:leader="dot" w:pos="9062"/>
        </w:tabs>
        <w:ind w:left="440"/>
      </w:pPr>
      <w:hyperlink w:anchor="_Toc3703" w:history="1">
        <w:r>
          <w:rPr>
            <w:rFonts w:ascii="IRNazanin" w:hAnsi="IRNazanin" w:eastAsia="IRNazanin" w:cs="IRNazanin"/>
            <w:color w:val="111111"/>
            <w:sz w:val="22"/>
            <w:szCs w:val="22"/>
            <w:b w:val="0"/>
            <w:bCs w:val="0"/>
            <w:i w:val="0"/>
            <w:iCs w:val="0"/>
          </w:rPr>
          <w:t>2835- دیوان شباب أصفهانی أو شعره‏</w:t>
        </w:r>
        <w:r>
          <w:tab/>
        </w:r>
        <w:r>
          <w:fldChar w:fldCharType="begin"/>
        </w:r>
        <w:r>
          <w:instrText xml:space="preserve">PAGEREF 3703 \h</w:instrText>
        </w:r>
        <w:r>
          <w:fldChar w:fldCharType="end"/>
        </w:r>
      </w:hyperlink>
    </w:p>
    <w:p>
      <w:pPr>
        <w:tabs>
          <w:tab w:val="right" w:leader="dot" w:pos="9062"/>
        </w:tabs>
        <w:ind w:left="440"/>
      </w:pPr>
      <w:hyperlink w:anchor="_Toc3704" w:history="1">
        <w:r>
          <w:rPr>
            <w:rFonts w:ascii="IRNazanin" w:hAnsi="IRNazanin" w:eastAsia="IRNazanin" w:cs="IRNazanin"/>
            <w:color w:val="111111"/>
            <w:sz w:val="22"/>
            <w:szCs w:val="22"/>
            <w:b w:val="0"/>
            <w:bCs w:val="0"/>
            <w:i w:val="0"/>
            <w:iCs w:val="0"/>
          </w:rPr>
          <w:t>2836- دیوان شباب رامینی أو شعره‏</w:t>
        </w:r>
        <w:r>
          <w:tab/>
        </w:r>
        <w:r>
          <w:fldChar w:fldCharType="begin"/>
        </w:r>
        <w:r>
          <w:instrText xml:space="preserve">PAGEREF 3704 \h</w:instrText>
        </w:r>
        <w:r>
          <w:fldChar w:fldCharType="end"/>
        </w:r>
      </w:hyperlink>
    </w:p>
    <w:p>
      <w:pPr>
        <w:tabs>
          <w:tab w:val="right" w:leader="dot" w:pos="9062"/>
        </w:tabs>
        <w:ind w:left="440"/>
      </w:pPr>
      <w:hyperlink w:anchor="_Toc3705" w:history="1">
        <w:r>
          <w:rPr>
            <w:rFonts w:ascii="IRNazanin" w:hAnsi="IRNazanin" w:eastAsia="IRNazanin" w:cs="IRNazanin"/>
            <w:color w:val="111111"/>
            <w:sz w:val="22"/>
            <w:szCs w:val="22"/>
            <w:b w:val="0"/>
            <w:bCs w:val="0"/>
            <w:i w:val="0"/>
            <w:iCs w:val="0"/>
          </w:rPr>
          <w:t>2837- دیوان شباب شوشتری‏</w:t>
        </w:r>
        <w:r>
          <w:tab/>
        </w:r>
        <w:r>
          <w:fldChar w:fldCharType="begin"/>
        </w:r>
        <w:r>
          <w:instrText xml:space="preserve">PAGEREF 3705 \h</w:instrText>
        </w:r>
        <w:r>
          <w:fldChar w:fldCharType="end"/>
        </w:r>
      </w:hyperlink>
    </w:p>
    <w:p>
      <w:pPr>
        <w:tabs>
          <w:tab w:val="right" w:leader="dot" w:pos="9062"/>
        </w:tabs>
        <w:ind w:left="440"/>
      </w:pPr>
      <w:hyperlink w:anchor="_Toc3706" w:history="1">
        <w:r>
          <w:rPr>
            <w:rFonts w:ascii="IRNazanin" w:hAnsi="IRNazanin" w:eastAsia="IRNazanin" w:cs="IRNazanin"/>
            <w:color w:val="111111"/>
            <w:sz w:val="22"/>
            <w:szCs w:val="22"/>
            <w:b w:val="0"/>
            <w:bCs w:val="0"/>
            <w:i w:val="0"/>
            <w:iCs w:val="0"/>
          </w:rPr>
          <w:t>2838- دیوان شباب قندهاری‏</w:t>
        </w:r>
        <w:r>
          <w:tab/>
        </w:r>
        <w:r>
          <w:fldChar w:fldCharType="begin"/>
        </w:r>
        <w:r>
          <w:instrText xml:space="preserve">PAGEREF 3706 \h</w:instrText>
        </w:r>
        <w:r>
          <w:fldChar w:fldCharType="end"/>
        </w:r>
      </w:hyperlink>
    </w:p>
    <w:p>
      <w:pPr>
        <w:tabs>
          <w:tab w:val="right" w:leader="dot" w:pos="9062"/>
        </w:tabs>
        <w:ind w:left="440"/>
      </w:pPr>
      <w:hyperlink w:anchor="_Toc3707" w:history="1">
        <w:r>
          <w:rPr>
            <w:rFonts w:ascii="IRNazanin" w:hAnsi="IRNazanin" w:eastAsia="IRNazanin" w:cs="IRNazanin"/>
            <w:color w:val="111111"/>
            <w:sz w:val="22"/>
            <w:szCs w:val="22"/>
            <w:b w:val="0"/>
            <w:bCs w:val="0"/>
            <w:i w:val="0"/>
            <w:iCs w:val="0"/>
          </w:rPr>
          <w:t>2839- دیوان شباب کرمانشاهی‏</w:t>
        </w:r>
        <w:r>
          <w:tab/>
        </w:r>
        <w:r>
          <w:fldChar w:fldCharType="begin"/>
        </w:r>
        <w:r>
          <w:instrText xml:space="preserve">PAGEREF 3707 \h</w:instrText>
        </w:r>
        <w:r>
          <w:fldChar w:fldCharType="end"/>
        </w:r>
      </w:hyperlink>
    </w:p>
    <w:p>
      <w:pPr>
        <w:tabs>
          <w:tab w:val="right" w:leader="dot" w:pos="9062"/>
        </w:tabs>
        <w:ind w:left="440"/>
      </w:pPr>
      <w:hyperlink w:anchor="_Toc3708" w:history="1">
        <w:r>
          <w:rPr>
            <w:rFonts w:ascii="IRNazanin" w:hAnsi="IRNazanin" w:eastAsia="IRNazanin" w:cs="IRNazanin"/>
            <w:color w:val="111111"/>
            <w:sz w:val="22"/>
            <w:szCs w:val="22"/>
            <w:b w:val="0"/>
            <w:bCs w:val="0"/>
            <w:i w:val="0"/>
            <w:iCs w:val="0"/>
          </w:rPr>
          <w:t>2840- دیوان شباهنگ طهرانی‏</w:t>
        </w:r>
        <w:r>
          <w:tab/>
        </w:r>
        <w:r>
          <w:fldChar w:fldCharType="begin"/>
        </w:r>
        <w:r>
          <w:instrText xml:space="preserve">PAGEREF 3708 \h</w:instrText>
        </w:r>
        <w:r>
          <w:fldChar w:fldCharType="end"/>
        </w:r>
      </w:hyperlink>
    </w:p>
    <w:p>
      <w:pPr>
        <w:tabs>
          <w:tab w:val="right" w:leader="dot" w:pos="9062"/>
        </w:tabs>
        <w:ind w:left="440"/>
      </w:pPr>
      <w:hyperlink w:anchor="_Toc3709" w:history="1">
        <w:r>
          <w:rPr>
            <w:rFonts w:ascii="IRNazanin" w:hAnsi="IRNazanin" w:eastAsia="IRNazanin" w:cs="IRNazanin"/>
            <w:color w:val="111111"/>
            <w:sz w:val="22"/>
            <w:szCs w:val="22"/>
            <w:b w:val="0"/>
            <w:bCs w:val="0"/>
            <w:i w:val="0"/>
            <w:iCs w:val="0"/>
          </w:rPr>
          <w:t>2841- دیوان الشبر</w:t>
        </w:r>
        <w:r>
          <w:tab/>
        </w:r>
        <w:r>
          <w:fldChar w:fldCharType="begin"/>
        </w:r>
        <w:r>
          <w:instrText xml:space="preserve">PAGEREF 3709 \h</w:instrText>
        </w:r>
        <w:r>
          <w:fldChar w:fldCharType="end"/>
        </w:r>
      </w:hyperlink>
    </w:p>
    <w:p>
      <w:pPr>
        <w:tabs>
          <w:tab w:val="right" w:leader="dot" w:pos="9062"/>
        </w:tabs>
        <w:ind w:left="440"/>
      </w:pPr>
      <w:hyperlink w:anchor="_Toc3710" w:history="1">
        <w:r>
          <w:rPr>
            <w:rFonts w:ascii="IRNazanin" w:hAnsi="IRNazanin" w:eastAsia="IRNazanin" w:cs="IRNazanin"/>
            <w:color w:val="111111"/>
            <w:sz w:val="22"/>
            <w:szCs w:val="22"/>
            <w:b w:val="0"/>
            <w:bCs w:val="0"/>
            <w:i w:val="0"/>
            <w:iCs w:val="0"/>
          </w:rPr>
          <w:t>دیوان شبستان خیال‏</w:t>
        </w:r>
        <w:r>
          <w:tab/>
        </w:r>
        <w:r>
          <w:fldChar w:fldCharType="begin"/>
        </w:r>
        <w:r>
          <w:instrText xml:space="preserve">PAGEREF 3710 \h</w:instrText>
        </w:r>
        <w:r>
          <w:fldChar w:fldCharType="end"/>
        </w:r>
      </w:hyperlink>
    </w:p>
    <w:p>
      <w:pPr>
        <w:tabs>
          <w:tab w:val="right" w:leader="dot" w:pos="9062"/>
        </w:tabs>
        <w:ind w:left="440"/>
      </w:pPr>
      <w:hyperlink w:anchor="_Toc3711" w:history="1">
        <w:r>
          <w:rPr>
            <w:rFonts w:ascii="IRNazanin" w:hAnsi="IRNazanin" w:eastAsia="IRNazanin" w:cs="IRNazanin"/>
            <w:color w:val="111111"/>
            <w:sz w:val="22"/>
            <w:szCs w:val="22"/>
            <w:b w:val="0"/>
            <w:bCs w:val="0"/>
            <w:i w:val="0"/>
            <w:iCs w:val="0"/>
          </w:rPr>
          <w:t>2842- دیوان شبستری‏</w:t>
        </w:r>
        <w:r>
          <w:tab/>
        </w:r>
        <w:r>
          <w:fldChar w:fldCharType="begin"/>
        </w:r>
        <w:r>
          <w:instrText xml:space="preserve">PAGEREF 3711 \h</w:instrText>
        </w:r>
        <w:r>
          <w:fldChar w:fldCharType="end"/>
        </w:r>
      </w:hyperlink>
    </w:p>
    <w:p>
      <w:pPr>
        <w:tabs>
          <w:tab w:val="right" w:leader="dot" w:pos="9062"/>
        </w:tabs>
        <w:ind w:left="440"/>
      </w:pPr>
      <w:hyperlink w:anchor="_Toc3712" w:history="1">
        <w:r>
          <w:rPr>
            <w:rFonts w:ascii="IRNazanin" w:hAnsi="IRNazanin" w:eastAsia="IRNazanin" w:cs="IRNazanin"/>
            <w:color w:val="111111"/>
            <w:sz w:val="22"/>
            <w:szCs w:val="22"/>
            <w:b w:val="0"/>
            <w:bCs w:val="0"/>
            <w:i w:val="0"/>
            <w:iCs w:val="0"/>
          </w:rPr>
          <w:t>2843- دیوان شبستری‏</w:t>
        </w:r>
        <w:r>
          <w:tab/>
        </w:r>
        <w:r>
          <w:fldChar w:fldCharType="begin"/>
        </w:r>
        <w:r>
          <w:instrText xml:space="preserve">PAGEREF 3712 \h</w:instrText>
        </w:r>
        <w:r>
          <w:fldChar w:fldCharType="end"/>
        </w:r>
      </w:hyperlink>
    </w:p>
    <w:p>
      <w:pPr>
        <w:tabs>
          <w:tab w:val="right" w:leader="dot" w:pos="9062"/>
        </w:tabs>
        <w:ind w:left="440"/>
      </w:pPr>
      <w:hyperlink w:anchor="_Toc3713" w:history="1">
        <w:r>
          <w:rPr>
            <w:rFonts w:ascii="IRNazanin" w:hAnsi="IRNazanin" w:eastAsia="IRNazanin" w:cs="IRNazanin"/>
            <w:color w:val="111111"/>
            <w:sz w:val="22"/>
            <w:szCs w:val="22"/>
            <w:b w:val="0"/>
            <w:bCs w:val="0"/>
            <w:i w:val="0"/>
            <w:iCs w:val="0"/>
          </w:rPr>
          <w:t>2844- دیوان شبیب‏</w:t>
        </w:r>
        <w:r>
          <w:tab/>
        </w:r>
        <w:r>
          <w:fldChar w:fldCharType="begin"/>
        </w:r>
        <w:r>
          <w:instrText xml:space="preserve">PAGEREF 3713 \h</w:instrText>
        </w:r>
        <w:r>
          <w:fldChar w:fldCharType="end"/>
        </w:r>
      </w:hyperlink>
    </w:p>
    <w:p>
      <w:pPr>
        <w:tabs>
          <w:tab w:val="right" w:leader="dot" w:pos="9062"/>
        </w:tabs>
        <w:ind w:left="440"/>
      </w:pPr>
      <w:hyperlink w:anchor="_Toc3714" w:history="1">
        <w:r>
          <w:rPr>
            <w:rFonts w:ascii="IRNazanin" w:hAnsi="IRNazanin" w:eastAsia="IRNazanin" w:cs="IRNazanin"/>
            <w:color w:val="111111"/>
            <w:sz w:val="22"/>
            <w:szCs w:val="22"/>
            <w:b w:val="0"/>
            <w:bCs w:val="0"/>
            <w:i w:val="0"/>
            <w:iCs w:val="0"/>
          </w:rPr>
          <w:t>2845- دیوان الشبیبی الصغیر</w:t>
        </w:r>
        <w:r>
          <w:tab/>
        </w:r>
        <w:r>
          <w:fldChar w:fldCharType="begin"/>
        </w:r>
        <w:r>
          <w:instrText xml:space="preserve">PAGEREF 3714 \h</w:instrText>
        </w:r>
        <w:r>
          <w:fldChar w:fldCharType="end"/>
        </w:r>
      </w:hyperlink>
    </w:p>
    <w:p>
      <w:pPr>
        <w:tabs>
          <w:tab w:val="right" w:leader="dot" w:pos="9062"/>
        </w:tabs>
        <w:ind w:left="440"/>
      </w:pPr>
      <w:hyperlink w:anchor="_Toc3715" w:history="1">
        <w:r>
          <w:rPr>
            <w:rFonts w:ascii="IRNazanin" w:hAnsi="IRNazanin" w:eastAsia="IRNazanin" w:cs="IRNazanin"/>
            <w:color w:val="111111"/>
            <w:sz w:val="22"/>
            <w:szCs w:val="22"/>
            <w:b w:val="0"/>
            <w:bCs w:val="0"/>
            <w:i w:val="0"/>
            <w:iCs w:val="0"/>
          </w:rPr>
          <w:t>2846- دیوان الشبیبی الکبیر</w:t>
        </w:r>
        <w:r>
          <w:tab/>
        </w:r>
        <w:r>
          <w:fldChar w:fldCharType="begin"/>
        </w:r>
        <w:r>
          <w:instrText xml:space="preserve">PAGEREF 3715 \h</w:instrText>
        </w:r>
        <w:r>
          <w:fldChar w:fldCharType="end"/>
        </w:r>
      </w:hyperlink>
    </w:p>
    <w:p>
      <w:pPr>
        <w:tabs>
          <w:tab w:val="right" w:leader="dot" w:pos="9062"/>
        </w:tabs>
        <w:ind w:left="440"/>
      </w:pPr>
      <w:hyperlink w:anchor="_Toc3716" w:history="1">
        <w:r>
          <w:rPr>
            <w:rFonts w:ascii="IRNazanin" w:hAnsi="IRNazanin" w:eastAsia="IRNazanin" w:cs="IRNazanin"/>
            <w:color w:val="111111"/>
            <w:sz w:val="22"/>
            <w:szCs w:val="22"/>
            <w:b w:val="0"/>
            <w:bCs w:val="0"/>
            <w:i w:val="0"/>
            <w:iCs w:val="0"/>
          </w:rPr>
          <w:t>2847- دیوان شتاب أو شعره‏</w:t>
        </w:r>
        <w:r>
          <w:tab/>
        </w:r>
        <w:r>
          <w:fldChar w:fldCharType="begin"/>
        </w:r>
        <w:r>
          <w:instrText xml:space="preserve">PAGEREF 3716 \h</w:instrText>
        </w:r>
        <w:r>
          <w:fldChar w:fldCharType="end"/>
        </w:r>
      </w:hyperlink>
    </w:p>
    <w:p>
      <w:pPr>
        <w:tabs>
          <w:tab w:val="right" w:leader="dot" w:pos="9062"/>
        </w:tabs>
        <w:ind w:left="440"/>
      </w:pPr>
      <w:hyperlink w:anchor="_Toc3717" w:history="1">
        <w:r>
          <w:rPr>
            <w:rFonts w:ascii="IRNazanin" w:hAnsi="IRNazanin" w:eastAsia="IRNazanin" w:cs="IRNazanin"/>
            <w:color w:val="111111"/>
            <w:sz w:val="22"/>
            <w:szCs w:val="22"/>
            <w:b w:val="0"/>
            <w:bCs w:val="0"/>
            <w:i w:val="0"/>
            <w:iCs w:val="0"/>
          </w:rPr>
          <w:t>2848- دیوان شجاع أصفهانی أو شعره‏</w:t>
        </w:r>
        <w:r>
          <w:tab/>
        </w:r>
        <w:r>
          <w:fldChar w:fldCharType="begin"/>
        </w:r>
        <w:r>
          <w:instrText xml:space="preserve">PAGEREF 3717 \h</w:instrText>
        </w:r>
        <w:r>
          <w:fldChar w:fldCharType="end"/>
        </w:r>
      </w:hyperlink>
    </w:p>
    <w:p>
      <w:pPr>
        <w:tabs>
          <w:tab w:val="right" w:leader="dot" w:pos="9062"/>
        </w:tabs>
        <w:ind w:left="440"/>
      </w:pPr>
      <w:hyperlink w:anchor="_Toc3718" w:history="1">
        <w:r>
          <w:rPr>
            <w:rFonts w:ascii="IRNazanin" w:hAnsi="IRNazanin" w:eastAsia="IRNazanin" w:cs="IRNazanin"/>
            <w:color w:val="111111"/>
            <w:sz w:val="22"/>
            <w:szCs w:val="22"/>
            <w:b w:val="0"/>
            <w:bCs w:val="0"/>
            <w:i w:val="0"/>
            <w:iCs w:val="0"/>
          </w:rPr>
          <w:t>2849- دیوان شجاع سیستانی أو شعره‏</w:t>
        </w:r>
        <w:r>
          <w:tab/>
        </w:r>
        <w:r>
          <w:fldChar w:fldCharType="begin"/>
        </w:r>
        <w:r>
          <w:instrText xml:space="preserve">PAGEREF 3718 \h</w:instrText>
        </w:r>
        <w:r>
          <w:fldChar w:fldCharType="end"/>
        </w:r>
      </w:hyperlink>
    </w:p>
    <w:p>
      <w:pPr>
        <w:tabs>
          <w:tab w:val="right" w:leader="dot" w:pos="9062"/>
        </w:tabs>
        <w:ind w:left="440"/>
      </w:pPr>
      <w:hyperlink w:anchor="_Toc3719" w:history="1">
        <w:r>
          <w:rPr>
            <w:rFonts w:ascii="IRNazanin" w:hAnsi="IRNazanin" w:eastAsia="IRNazanin" w:cs="IRNazanin"/>
            <w:color w:val="111111"/>
            <w:sz w:val="22"/>
            <w:szCs w:val="22"/>
            <w:b w:val="0"/>
            <w:bCs w:val="0"/>
            <w:i w:val="0"/>
            <w:iCs w:val="0"/>
          </w:rPr>
          <w:t>2850- دیوان شجاع شیرازی‏</w:t>
        </w:r>
        <w:r>
          <w:tab/>
        </w:r>
        <w:r>
          <w:fldChar w:fldCharType="begin"/>
        </w:r>
        <w:r>
          <w:instrText xml:space="preserve">PAGEREF 3719 \h</w:instrText>
        </w:r>
        <w:r>
          <w:fldChar w:fldCharType="end"/>
        </w:r>
      </w:hyperlink>
    </w:p>
    <w:p>
      <w:pPr>
        <w:tabs>
          <w:tab w:val="right" w:leader="dot" w:pos="9062"/>
        </w:tabs>
        <w:ind w:left="440"/>
      </w:pPr>
      <w:hyperlink w:anchor="_Toc3720" w:history="1">
        <w:r>
          <w:rPr>
            <w:rFonts w:ascii="IRNazanin" w:hAnsi="IRNazanin" w:eastAsia="IRNazanin" w:cs="IRNazanin"/>
            <w:color w:val="111111"/>
            <w:sz w:val="22"/>
            <w:szCs w:val="22"/>
            <w:b w:val="0"/>
            <w:bCs w:val="0"/>
            <w:i w:val="0"/>
            <w:iCs w:val="0"/>
          </w:rPr>
          <w:t>2851- دیوان شجاع قاجار أو شعره‏</w:t>
        </w:r>
        <w:r>
          <w:tab/>
        </w:r>
        <w:r>
          <w:fldChar w:fldCharType="begin"/>
        </w:r>
        <w:r>
          <w:instrText xml:space="preserve">PAGEREF 3720 \h</w:instrText>
        </w:r>
        <w:r>
          <w:fldChar w:fldCharType="end"/>
        </w:r>
      </w:hyperlink>
    </w:p>
    <w:p>
      <w:pPr>
        <w:tabs>
          <w:tab w:val="right" w:leader="dot" w:pos="9062"/>
        </w:tabs>
        <w:ind w:left="440"/>
      </w:pPr>
      <w:hyperlink w:anchor="_Toc3721" w:history="1">
        <w:r>
          <w:rPr>
            <w:rFonts w:ascii="IRNazanin" w:hAnsi="IRNazanin" w:eastAsia="IRNazanin" w:cs="IRNazanin"/>
            <w:color w:val="111111"/>
            <w:sz w:val="22"/>
            <w:szCs w:val="22"/>
            <w:b w:val="0"/>
            <w:bCs w:val="0"/>
            <w:i w:val="0"/>
            <w:iCs w:val="0"/>
          </w:rPr>
          <w:t>2852- دیوان شجاع کاشی أو شعره‏</w:t>
        </w:r>
        <w:r>
          <w:tab/>
        </w:r>
        <w:r>
          <w:fldChar w:fldCharType="begin"/>
        </w:r>
        <w:r>
          <w:instrText xml:space="preserve">PAGEREF 3721 \h</w:instrText>
        </w:r>
        <w:r>
          <w:fldChar w:fldCharType="end"/>
        </w:r>
      </w:hyperlink>
    </w:p>
    <w:p>
      <w:pPr>
        <w:tabs>
          <w:tab w:val="right" w:leader="dot" w:pos="9062"/>
        </w:tabs>
        <w:ind w:left="440"/>
      </w:pPr>
      <w:hyperlink w:anchor="_Toc3722" w:history="1">
        <w:r>
          <w:rPr>
            <w:rFonts w:ascii="IRNazanin" w:hAnsi="IRNazanin" w:eastAsia="IRNazanin" w:cs="IRNazanin"/>
            <w:color w:val="111111"/>
            <w:sz w:val="22"/>
            <w:szCs w:val="22"/>
            <w:b w:val="0"/>
            <w:bCs w:val="0"/>
            <w:i w:val="0"/>
            <w:iCs w:val="0"/>
          </w:rPr>
          <w:t>دیوان شجاع نائنی‏</w:t>
        </w:r>
        <w:r>
          <w:tab/>
        </w:r>
        <w:r>
          <w:fldChar w:fldCharType="begin"/>
        </w:r>
        <w:r>
          <w:instrText xml:space="preserve">PAGEREF 3722 \h</w:instrText>
        </w:r>
        <w:r>
          <w:fldChar w:fldCharType="end"/>
        </w:r>
      </w:hyperlink>
    </w:p>
    <w:p>
      <w:pPr>
        <w:tabs>
          <w:tab w:val="right" w:leader="dot" w:pos="9062"/>
        </w:tabs>
        <w:ind w:left="440"/>
      </w:pPr>
      <w:hyperlink w:anchor="_Toc3723" w:history="1">
        <w:r>
          <w:rPr>
            <w:rFonts w:ascii="IRNazanin" w:hAnsi="IRNazanin" w:eastAsia="IRNazanin" w:cs="IRNazanin"/>
            <w:color w:val="111111"/>
            <w:sz w:val="22"/>
            <w:szCs w:val="22"/>
            <w:b w:val="0"/>
            <w:bCs w:val="0"/>
            <w:i w:val="0"/>
            <w:iCs w:val="0"/>
          </w:rPr>
          <w:t>2853- دیوان شجاعی دماوندی أو شعره‏</w:t>
        </w:r>
        <w:r>
          <w:tab/>
        </w:r>
        <w:r>
          <w:fldChar w:fldCharType="begin"/>
        </w:r>
        <w:r>
          <w:instrText xml:space="preserve">PAGEREF 3723 \h</w:instrText>
        </w:r>
        <w:r>
          <w:fldChar w:fldCharType="end"/>
        </w:r>
      </w:hyperlink>
    </w:p>
    <w:p>
      <w:pPr>
        <w:tabs>
          <w:tab w:val="right" w:leader="dot" w:pos="9062"/>
        </w:tabs>
        <w:ind w:left="440"/>
      </w:pPr>
      <w:hyperlink w:anchor="_Toc3724" w:history="1">
        <w:r>
          <w:rPr>
            <w:rFonts w:ascii="IRNazanin" w:hAnsi="IRNazanin" w:eastAsia="IRNazanin" w:cs="IRNazanin"/>
            <w:color w:val="111111"/>
            <w:sz w:val="22"/>
            <w:szCs w:val="22"/>
            <w:b w:val="0"/>
            <w:bCs w:val="0"/>
            <w:i w:val="0"/>
            <w:iCs w:val="0"/>
          </w:rPr>
          <w:t>2854- دیوان شجاعی مشهدی أو شعره‏</w:t>
        </w:r>
        <w:r>
          <w:tab/>
        </w:r>
        <w:r>
          <w:fldChar w:fldCharType="begin"/>
        </w:r>
        <w:r>
          <w:instrText xml:space="preserve">PAGEREF 3724 \h</w:instrText>
        </w:r>
        <w:r>
          <w:fldChar w:fldCharType="end"/>
        </w:r>
      </w:hyperlink>
    </w:p>
    <w:p>
      <w:pPr>
        <w:tabs>
          <w:tab w:val="right" w:leader="dot" w:pos="9062"/>
        </w:tabs>
        <w:ind w:left="440"/>
      </w:pPr>
      <w:hyperlink w:anchor="_Toc3725" w:history="1">
        <w:r>
          <w:rPr>
            <w:rFonts w:ascii="IRNazanin" w:hAnsi="IRNazanin" w:eastAsia="IRNazanin" w:cs="IRNazanin"/>
            <w:color w:val="111111"/>
            <w:sz w:val="22"/>
            <w:szCs w:val="22"/>
            <w:b w:val="0"/>
            <w:bCs w:val="0"/>
            <w:i w:val="0"/>
            <w:iCs w:val="0"/>
          </w:rPr>
          <w:t>2855- دیوان شحنة خراسانی‏</w:t>
        </w:r>
        <w:r>
          <w:tab/>
        </w:r>
        <w:r>
          <w:fldChar w:fldCharType="begin"/>
        </w:r>
        <w:r>
          <w:instrText xml:space="preserve">PAGEREF 3725 \h</w:instrText>
        </w:r>
        <w:r>
          <w:fldChar w:fldCharType="end"/>
        </w:r>
      </w:hyperlink>
    </w:p>
    <w:p>
      <w:pPr>
        <w:tabs>
          <w:tab w:val="right" w:leader="dot" w:pos="9062"/>
        </w:tabs>
        <w:ind w:left="440"/>
      </w:pPr>
      <w:hyperlink w:anchor="_Toc3726" w:history="1">
        <w:r>
          <w:rPr>
            <w:rFonts w:ascii="IRNazanin" w:hAnsi="IRNazanin" w:eastAsia="IRNazanin" w:cs="IRNazanin"/>
            <w:color w:val="111111"/>
            <w:sz w:val="22"/>
            <w:szCs w:val="22"/>
            <w:b w:val="0"/>
            <w:bCs w:val="0"/>
            <w:i w:val="0"/>
            <w:iCs w:val="0"/>
          </w:rPr>
          <w:t>2856- دیوان شحنة کاشانی أو شعره‏</w:t>
        </w:r>
        <w:r>
          <w:tab/>
        </w:r>
        <w:r>
          <w:fldChar w:fldCharType="begin"/>
        </w:r>
        <w:r>
          <w:instrText xml:space="preserve">PAGEREF 3726 \h</w:instrText>
        </w:r>
        <w:r>
          <w:fldChar w:fldCharType="end"/>
        </w:r>
      </w:hyperlink>
    </w:p>
    <w:p>
      <w:pPr>
        <w:tabs>
          <w:tab w:val="right" w:leader="dot" w:pos="9062"/>
        </w:tabs>
        <w:ind w:left="440"/>
      </w:pPr>
      <w:hyperlink w:anchor="_Toc3727" w:history="1">
        <w:r>
          <w:rPr>
            <w:rFonts w:ascii="IRNazanin" w:hAnsi="IRNazanin" w:eastAsia="IRNazanin" w:cs="IRNazanin"/>
            <w:color w:val="111111"/>
            <w:sz w:val="22"/>
            <w:szCs w:val="22"/>
            <w:b w:val="0"/>
            <w:bCs w:val="0"/>
            <w:i w:val="0"/>
            <w:iCs w:val="0"/>
          </w:rPr>
          <w:t>دیوان شحنة مازندرانی‏</w:t>
        </w:r>
        <w:r>
          <w:tab/>
        </w:r>
        <w:r>
          <w:fldChar w:fldCharType="begin"/>
        </w:r>
        <w:r>
          <w:instrText xml:space="preserve">PAGEREF 3727 \h</w:instrText>
        </w:r>
        <w:r>
          <w:fldChar w:fldCharType="end"/>
        </w:r>
      </w:hyperlink>
    </w:p>
    <w:p>
      <w:pPr>
        <w:tabs>
          <w:tab w:val="right" w:leader="dot" w:pos="9062"/>
        </w:tabs>
        <w:ind w:left="440"/>
      </w:pPr>
      <w:hyperlink w:anchor="_Toc3728" w:history="1">
        <w:r>
          <w:rPr>
            <w:rFonts w:ascii="IRNazanin" w:hAnsi="IRNazanin" w:eastAsia="IRNazanin" w:cs="IRNazanin"/>
            <w:color w:val="111111"/>
            <w:sz w:val="22"/>
            <w:szCs w:val="22"/>
            <w:b w:val="0"/>
            <w:bCs w:val="0"/>
            <w:i w:val="0"/>
            <w:iCs w:val="0"/>
          </w:rPr>
          <w:t>2857- دیوان الشدقمی‏</w:t>
        </w:r>
        <w:r>
          <w:tab/>
        </w:r>
        <w:r>
          <w:fldChar w:fldCharType="begin"/>
        </w:r>
        <w:r>
          <w:instrText xml:space="preserve">PAGEREF 3728 \h</w:instrText>
        </w:r>
        <w:r>
          <w:fldChar w:fldCharType="end"/>
        </w:r>
      </w:hyperlink>
    </w:p>
    <w:p>
      <w:pPr>
        <w:tabs>
          <w:tab w:val="right" w:leader="dot" w:pos="9062"/>
        </w:tabs>
        <w:ind w:left="440"/>
      </w:pPr>
      <w:hyperlink w:anchor="_Toc3729" w:history="1">
        <w:r>
          <w:rPr>
            <w:rFonts w:ascii="IRNazanin" w:hAnsi="IRNazanin" w:eastAsia="IRNazanin" w:cs="IRNazanin"/>
            <w:color w:val="111111"/>
            <w:sz w:val="22"/>
            <w:szCs w:val="22"/>
            <w:b w:val="0"/>
            <w:bCs w:val="0"/>
            <w:i w:val="0"/>
            <w:iCs w:val="0"/>
          </w:rPr>
          <w:t>دیوان الشذرات‏</w:t>
        </w:r>
        <w:r>
          <w:tab/>
        </w:r>
        <w:r>
          <w:fldChar w:fldCharType="begin"/>
        </w:r>
        <w:r>
          <w:instrText xml:space="preserve">PAGEREF 3729 \h</w:instrText>
        </w:r>
        <w:r>
          <w:fldChar w:fldCharType="end"/>
        </w:r>
      </w:hyperlink>
    </w:p>
    <w:p>
      <w:pPr>
        <w:tabs>
          <w:tab w:val="right" w:leader="dot" w:pos="9062"/>
        </w:tabs>
        <w:ind w:left="440"/>
      </w:pPr>
      <w:hyperlink w:anchor="_Toc3730" w:history="1">
        <w:r>
          <w:rPr>
            <w:rFonts w:ascii="IRNazanin" w:hAnsi="IRNazanin" w:eastAsia="IRNazanin" w:cs="IRNazanin"/>
            <w:color w:val="111111"/>
            <w:sz w:val="22"/>
            <w:szCs w:val="22"/>
            <w:b w:val="0"/>
            <w:bCs w:val="0"/>
            <w:i w:val="0"/>
            <w:iCs w:val="0"/>
          </w:rPr>
          <w:t>2858- دیوان شراری أسترآبادی أو شعره‏</w:t>
        </w:r>
        <w:r>
          <w:tab/>
        </w:r>
        <w:r>
          <w:fldChar w:fldCharType="begin"/>
        </w:r>
        <w:r>
          <w:instrText xml:space="preserve">PAGEREF 3730 \h</w:instrText>
        </w:r>
        <w:r>
          <w:fldChar w:fldCharType="end"/>
        </w:r>
      </w:hyperlink>
    </w:p>
    <w:p>
      <w:pPr>
        <w:tabs>
          <w:tab w:val="right" w:leader="dot" w:pos="9062"/>
        </w:tabs>
        <w:ind w:left="440"/>
      </w:pPr>
      <w:hyperlink w:anchor="_Toc3731" w:history="1">
        <w:r>
          <w:rPr>
            <w:rFonts w:ascii="IRNazanin" w:hAnsi="IRNazanin" w:eastAsia="IRNazanin" w:cs="IRNazanin"/>
            <w:color w:val="111111"/>
            <w:sz w:val="22"/>
            <w:szCs w:val="22"/>
            <w:b w:val="0"/>
            <w:bCs w:val="0"/>
            <w:i w:val="0"/>
            <w:iCs w:val="0"/>
          </w:rPr>
          <w:t>2859- دیوان شراری همدانی‏</w:t>
        </w:r>
        <w:r>
          <w:tab/>
        </w:r>
        <w:r>
          <w:fldChar w:fldCharType="begin"/>
        </w:r>
        <w:r>
          <w:instrText xml:space="preserve">PAGEREF 3731 \h</w:instrText>
        </w:r>
        <w:r>
          <w:fldChar w:fldCharType="end"/>
        </w:r>
      </w:hyperlink>
    </w:p>
    <w:p>
      <w:pPr>
        <w:tabs>
          <w:tab w:val="right" w:leader="dot" w:pos="9062"/>
        </w:tabs>
        <w:ind w:left="440"/>
      </w:pPr>
      <w:hyperlink w:anchor="_Toc3732" w:history="1">
        <w:r>
          <w:rPr>
            <w:rFonts w:ascii="IRNazanin" w:hAnsi="IRNazanin" w:eastAsia="IRNazanin" w:cs="IRNazanin"/>
            <w:color w:val="111111"/>
            <w:sz w:val="22"/>
            <w:szCs w:val="22"/>
            <w:b w:val="0"/>
            <w:bCs w:val="0"/>
            <w:i w:val="0"/>
            <w:iCs w:val="0"/>
          </w:rPr>
          <w:t>2860- دیوان شربتی أو شعره‏</w:t>
        </w:r>
        <w:r>
          <w:tab/>
        </w:r>
        <w:r>
          <w:fldChar w:fldCharType="begin"/>
        </w:r>
        <w:r>
          <w:instrText xml:space="preserve">PAGEREF 3732 \h</w:instrText>
        </w:r>
        <w:r>
          <w:fldChar w:fldCharType="end"/>
        </w:r>
      </w:hyperlink>
    </w:p>
    <w:p>
      <w:pPr>
        <w:tabs>
          <w:tab w:val="right" w:leader="dot" w:pos="9062"/>
        </w:tabs>
        <w:ind w:left="440"/>
      </w:pPr>
      <w:hyperlink w:anchor="_Toc3733" w:history="1">
        <w:r>
          <w:rPr>
            <w:rFonts w:ascii="IRNazanin" w:hAnsi="IRNazanin" w:eastAsia="IRNazanin" w:cs="IRNazanin"/>
            <w:color w:val="111111"/>
            <w:sz w:val="22"/>
            <w:szCs w:val="22"/>
            <w:b w:val="0"/>
            <w:bCs w:val="0"/>
            <w:i w:val="0"/>
            <w:iCs w:val="0"/>
          </w:rPr>
          <w:t>2861- دیوان شرر بیگدلی‏</w:t>
        </w:r>
        <w:r>
          <w:tab/>
        </w:r>
        <w:r>
          <w:fldChar w:fldCharType="begin"/>
        </w:r>
        <w:r>
          <w:instrText xml:space="preserve">PAGEREF 3733 \h</w:instrText>
        </w:r>
        <w:r>
          <w:fldChar w:fldCharType="end"/>
        </w:r>
      </w:hyperlink>
    </w:p>
    <w:p>
      <w:pPr>
        <w:tabs>
          <w:tab w:val="right" w:leader="dot" w:pos="9062"/>
        </w:tabs>
        <w:ind w:left="440"/>
      </w:pPr>
      <w:hyperlink w:anchor="_Toc3734" w:history="1">
        <w:r>
          <w:rPr>
            <w:rFonts w:ascii="IRNazanin" w:hAnsi="IRNazanin" w:eastAsia="IRNazanin" w:cs="IRNazanin"/>
            <w:color w:val="111111"/>
            <w:sz w:val="22"/>
            <w:szCs w:val="22"/>
            <w:b w:val="0"/>
            <w:bCs w:val="0"/>
            <w:i w:val="0"/>
            <w:iCs w:val="0"/>
          </w:rPr>
          <w:t>2862- دیوان شرر خراسانی أو شعره‏</w:t>
        </w:r>
        <w:r>
          <w:tab/>
        </w:r>
        <w:r>
          <w:fldChar w:fldCharType="begin"/>
        </w:r>
        <w:r>
          <w:instrText xml:space="preserve">PAGEREF 3734 \h</w:instrText>
        </w:r>
        <w:r>
          <w:fldChar w:fldCharType="end"/>
        </w:r>
      </w:hyperlink>
    </w:p>
    <w:p>
      <w:pPr>
        <w:tabs>
          <w:tab w:val="right" w:leader="dot" w:pos="9062"/>
        </w:tabs>
        <w:ind w:left="440"/>
      </w:pPr>
      <w:hyperlink w:anchor="_Toc3735" w:history="1">
        <w:r>
          <w:rPr>
            <w:rFonts w:ascii="IRNazanin" w:hAnsi="IRNazanin" w:eastAsia="IRNazanin" w:cs="IRNazanin"/>
            <w:color w:val="111111"/>
            <w:sz w:val="22"/>
            <w:szCs w:val="22"/>
            <w:b w:val="0"/>
            <w:bCs w:val="0"/>
            <w:i w:val="0"/>
            <w:iCs w:val="0"/>
          </w:rPr>
          <w:t>2863- دیوان شرر شیرازی أو شعره‏</w:t>
        </w:r>
        <w:r>
          <w:tab/>
        </w:r>
        <w:r>
          <w:fldChar w:fldCharType="begin"/>
        </w:r>
        <w:r>
          <w:instrText xml:space="preserve">PAGEREF 3735 \h</w:instrText>
        </w:r>
        <w:r>
          <w:fldChar w:fldCharType="end"/>
        </w:r>
      </w:hyperlink>
    </w:p>
    <w:p>
      <w:pPr>
        <w:tabs>
          <w:tab w:val="right" w:leader="dot" w:pos="9062"/>
        </w:tabs>
        <w:ind w:left="440"/>
      </w:pPr>
      <w:hyperlink w:anchor="_Toc3736" w:history="1">
        <w:r>
          <w:rPr>
            <w:rFonts w:ascii="IRNazanin" w:hAnsi="IRNazanin" w:eastAsia="IRNazanin" w:cs="IRNazanin"/>
            <w:color w:val="111111"/>
            <w:sz w:val="22"/>
            <w:szCs w:val="22"/>
            <w:b w:val="0"/>
            <w:bCs w:val="0"/>
            <w:i w:val="0"/>
            <w:iCs w:val="0"/>
          </w:rPr>
          <w:t>دیوان شرر قمی‏</w:t>
        </w:r>
        <w:r>
          <w:tab/>
        </w:r>
        <w:r>
          <w:fldChar w:fldCharType="begin"/>
        </w:r>
        <w:r>
          <w:instrText xml:space="preserve">PAGEREF 3736 \h</w:instrText>
        </w:r>
        <w:r>
          <w:fldChar w:fldCharType="end"/>
        </w:r>
      </w:hyperlink>
    </w:p>
    <w:p>
      <w:pPr>
        <w:tabs>
          <w:tab w:val="right" w:leader="dot" w:pos="9062"/>
        </w:tabs>
        <w:ind w:left="440"/>
      </w:pPr>
      <w:hyperlink w:anchor="_Toc3737" w:history="1">
        <w:r>
          <w:rPr>
            <w:rFonts w:ascii="IRNazanin" w:hAnsi="IRNazanin" w:eastAsia="IRNazanin" w:cs="IRNazanin"/>
            <w:color w:val="111111"/>
            <w:sz w:val="22"/>
            <w:szCs w:val="22"/>
            <w:b w:val="0"/>
            <w:bCs w:val="0"/>
            <w:i w:val="0"/>
            <w:iCs w:val="0"/>
          </w:rPr>
          <w:t>2864- دیوان شرر قمی أو شعره‏</w:t>
        </w:r>
        <w:r>
          <w:tab/>
        </w:r>
        <w:r>
          <w:fldChar w:fldCharType="begin"/>
        </w:r>
        <w:r>
          <w:instrText xml:space="preserve">PAGEREF 3737 \h</w:instrText>
        </w:r>
        <w:r>
          <w:fldChar w:fldCharType="end"/>
        </w:r>
      </w:hyperlink>
    </w:p>
    <w:p>
      <w:pPr>
        <w:tabs>
          <w:tab w:val="right" w:leader="dot" w:pos="9062"/>
        </w:tabs>
        <w:ind w:left="440"/>
      </w:pPr>
      <w:hyperlink w:anchor="_Toc3738" w:history="1">
        <w:r>
          <w:rPr>
            <w:rFonts w:ascii="IRNazanin" w:hAnsi="IRNazanin" w:eastAsia="IRNazanin" w:cs="IRNazanin"/>
            <w:color w:val="111111"/>
            <w:sz w:val="22"/>
            <w:szCs w:val="22"/>
            <w:b w:val="0"/>
            <w:bCs w:val="0"/>
            <w:i w:val="0"/>
            <w:iCs w:val="0"/>
          </w:rPr>
          <w:t>2865- دیوان شرطی قزوینی أو شعره‏</w:t>
        </w:r>
        <w:r>
          <w:tab/>
        </w:r>
        <w:r>
          <w:fldChar w:fldCharType="begin"/>
        </w:r>
        <w:r>
          <w:instrText xml:space="preserve">PAGEREF 3738 \h</w:instrText>
        </w:r>
        <w:r>
          <w:fldChar w:fldCharType="end"/>
        </w:r>
      </w:hyperlink>
    </w:p>
    <w:p>
      <w:pPr>
        <w:tabs>
          <w:tab w:val="right" w:leader="dot" w:pos="9062"/>
        </w:tabs>
        <w:ind w:left="440"/>
      </w:pPr>
      <w:hyperlink w:anchor="_Toc3739" w:history="1">
        <w:r>
          <w:rPr>
            <w:rFonts w:ascii="IRNazanin" w:hAnsi="IRNazanin" w:eastAsia="IRNazanin" w:cs="IRNazanin"/>
            <w:color w:val="111111"/>
            <w:sz w:val="22"/>
            <w:szCs w:val="22"/>
            <w:b w:val="0"/>
            <w:bCs w:val="0"/>
            <w:i w:val="0"/>
            <w:iCs w:val="0"/>
          </w:rPr>
          <w:t>دیوان شرف أصفهانی‏</w:t>
        </w:r>
        <w:r>
          <w:tab/>
        </w:r>
        <w:r>
          <w:fldChar w:fldCharType="begin"/>
        </w:r>
        <w:r>
          <w:instrText xml:space="preserve">PAGEREF 3739 \h</w:instrText>
        </w:r>
        <w:r>
          <w:fldChar w:fldCharType="end"/>
        </w:r>
      </w:hyperlink>
    </w:p>
    <w:p>
      <w:pPr>
        <w:tabs>
          <w:tab w:val="right" w:leader="dot" w:pos="9062"/>
        </w:tabs>
        <w:ind w:left="440"/>
      </w:pPr>
      <w:hyperlink w:anchor="_Toc3740" w:history="1">
        <w:r>
          <w:rPr>
            <w:rFonts w:ascii="IRNazanin" w:hAnsi="IRNazanin" w:eastAsia="IRNazanin" w:cs="IRNazanin"/>
            <w:color w:val="111111"/>
            <w:sz w:val="22"/>
            <w:szCs w:val="22"/>
            <w:b w:val="0"/>
            <w:bCs w:val="0"/>
            <w:i w:val="0"/>
            <w:iCs w:val="0"/>
          </w:rPr>
          <w:t>2866- دیوان شرف بافقی‏</w:t>
        </w:r>
        <w:r>
          <w:tab/>
        </w:r>
        <w:r>
          <w:fldChar w:fldCharType="begin"/>
        </w:r>
        <w:r>
          <w:instrText xml:space="preserve">PAGEREF 3740 \h</w:instrText>
        </w:r>
        <w:r>
          <w:fldChar w:fldCharType="end"/>
        </w:r>
      </w:hyperlink>
    </w:p>
    <w:p>
      <w:pPr>
        <w:tabs>
          <w:tab w:val="right" w:leader="dot" w:pos="9062"/>
        </w:tabs>
        <w:ind w:left="440"/>
      </w:pPr>
      <w:hyperlink w:anchor="_Toc3741" w:history="1">
        <w:r>
          <w:rPr>
            <w:rFonts w:ascii="IRNazanin" w:hAnsi="IRNazanin" w:eastAsia="IRNazanin" w:cs="IRNazanin"/>
            <w:color w:val="111111"/>
            <w:sz w:val="22"/>
            <w:szCs w:val="22"/>
            <w:b w:val="0"/>
            <w:bCs w:val="0"/>
            <w:i w:val="0"/>
            <w:iCs w:val="0"/>
          </w:rPr>
          <w:t>2867- دیوان شرف تبریزی‏</w:t>
        </w:r>
        <w:r>
          <w:tab/>
        </w:r>
        <w:r>
          <w:fldChar w:fldCharType="begin"/>
        </w:r>
        <w:r>
          <w:instrText xml:space="preserve">PAGEREF 3741 \h</w:instrText>
        </w:r>
        <w:r>
          <w:fldChar w:fldCharType="end"/>
        </w:r>
      </w:hyperlink>
    </w:p>
    <w:p>
      <w:pPr>
        <w:tabs>
          <w:tab w:val="right" w:leader="dot" w:pos="9062"/>
        </w:tabs>
        <w:ind w:left="440"/>
      </w:pPr>
      <w:hyperlink w:anchor="_Toc3742" w:history="1">
        <w:r>
          <w:rPr>
            <w:rFonts w:ascii="IRNazanin" w:hAnsi="IRNazanin" w:eastAsia="IRNazanin" w:cs="IRNazanin"/>
            <w:color w:val="111111"/>
            <w:sz w:val="22"/>
            <w:szCs w:val="22"/>
            <w:b w:val="0"/>
            <w:bCs w:val="0"/>
            <w:i w:val="0"/>
            <w:iCs w:val="0"/>
          </w:rPr>
          <w:t>2868- دیوان شرف تبریزی أو شعره‏</w:t>
        </w:r>
        <w:r>
          <w:tab/>
        </w:r>
        <w:r>
          <w:fldChar w:fldCharType="begin"/>
        </w:r>
        <w:r>
          <w:instrText xml:space="preserve">PAGEREF 3742 \h</w:instrText>
        </w:r>
        <w:r>
          <w:fldChar w:fldCharType="end"/>
        </w:r>
      </w:hyperlink>
    </w:p>
    <w:p>
      <w:pPr>
        <w:tabs>
          <w:tab w:val="right" w:leader="dot" w:pos="9062"/>
        </w:tabs>
        <w:ind w:left="440"/>
      </w:pPr>
      <w:hyperlink w:anchor="_Toc3743" w:history="1">
        <w:r>
          <w:rPr>
            <w:rFonts w:ascii="IRNazanin" w:hAnsi="IRNazanin" w:eastAsia="IRNazanin" w:cs="IRNazanin"/>
            <w:color w:val="111111"/>
            <w:sz w:val="22"/>
            <w:szCs w:val="22"/>
            <w:b w:val="0"/>
            <w:bCs w:val="0"/>
            <w:i w:val="0"/>
            <w:iCs w:val="0"/>
          </w:rPr>
          <w:t>دیوان شرف تبریزی‏</w:t>
        </w:r>
        <w:r>
          <w:tab/>
        </w:r>
        <w:r>
          <w:fldChar w:fldCharType="begin"/>
        </w:r>
        <w:r>
          <w:instrText xml:space="preserve">PAGEREF 3743 \h</w:instrText>
        </w:r>
        <w:r>
          <w:fldChar w:fldCharType="end"/>
        </w:r>
      </w:hyperlink>
    </w:p>
    <w:p>
      <w:pPr>
        <w:tabs>
          <w:tab w:val="right" w:leader="dot" w:pos="9062"/>
        </w:tabs>
        <w:ind w:left="440"/>
      </w:pPr>
      <w:hyperlink w:anchor="_Toc3744" w:history="1">
        <w:r>
          <w:rPr>
            <w:rFonts w:ascii="IRNazanin" w:hAnsi="IRNazanin" w:eastAsia="IRNazanin" w:cs="IRNazanin"/>
            <w:color w:val="111111"/>
            <w:sz w:val="22"/>
            <w:szCs w:val="22"/>
            <w:b w:val="0"/>
            <w:bCs w:val="0"/>
            <w:i w:val="0"/>
            <w:iCs w:val="0"/>
          </w:rPr>
          <w:t>2869- دیوان الشرف الجد حفصی أو شعره‏</w:t>
        </w:r>
        <w:r>
          <w:tab/>
        </w:r>
        <w:r>
          <w:fldChar w:fldCharType="begin"/>
        </w:r>
        <w:r>
          <w:instrText xml:space="preserve">PAGEREF 3744 \h</w:instrText>
        </w:r>
        <w:r>
          <w:fldChar w:fldCharType="end"/>
        </w:r>
      </w:hyperlink>
    </w:p>
    <w:p>
      <w:pPr>
        <w:tabs>
          <w:tab w:val="right" w:leader="dot" w:pos="9062"/>
        </w:tabs>
        <w:ind w:left="440"/>
      </w:pPr>
      <w:hyperlink w:anchor="_Toc3745" w:history="1">
        <w:r>
          <w:rPr>
            <w:rFonts w:ascii="IRNazanin" w:hAnsi="IRNazanin" w:eastAsia="IRNazanin" w:cs="IRNazanin"/>
            <w:color w:val="111111"/>
            <w:sz w:val="22"/>
            <w:szCs w:val="22"/>
            <w:b w:val="0"/>
            <w:bCs w:val="0"/>
            <w:i w:val="0"/>
            <w:iCs w:val="0"/>
          </w:rPr>
          <w:t>دیوان شرف‏جهان قزوینی‏</w:t>
        </w:r>
        <w:r>
          <w:tab/>
        </w:r>
        <w:r>
          <w:fldChar w:fldCharType="begin"/>
        </w:r>
        <w:r>
          <w:instrText xml:space="preserve">PAGEREF 3745 \h</w:instrText>
        </w:r>
        <w:r>
          <w:fldChar w:fldCharType="end"/>
        </w:r>
      </w:hyperlink>
    </w:p>
    <w:p>
      <w:pPr>
        <w:tabs>
          <w:tab w:val="right" w:leader="dot" w:pos="9062"/>
        </w:tabs>
        <w:ind w:left="440"/>
      </w:pPr>
      <w:hyperlink w:anchor="_Toc3746" w:history="1">
        <w:r>
          <w:rPr>
            <w:rFonts w:ascii="IRNazanin" w:hAnsi="IRNazanin" w:eastAsia="IRNazanin" w:cs="IRNazanin"/>
            <w:color w:val="111111"/>
            <w:sz w:val="22"/>
            <w:szCs w:val="22"/>
            <w:b w:val="0"/>
            <w:bCs w:val="0"/>
            <w:i w:val="0"/>
            <w:iCs w:val="0"/>
          </w:rPr>
          <w:t>2870- دیوان شرف خراسانی‏</w:t>
        </w:r>
        <w:r>
          <w:tab/>
        </w:r>
        <w:r>
          <w:fldChar w:fldCharType="begin"/>
        </w:r>
        <w:r>
          <w:instrText xml:space="preserve">PAGEREF 3746 \h</w:instrText>
        </w:r>
        <w:r>
          <w:fldChar w:fldCharType="end"/>
        </w:r>
      </w:hyperlink>
    </w:p>
    <w:p>
      <w:pPr>
        <w:tabs>
          <w:tab w:val="right" w:leader="dot" w:pos="9062"/>
        </w:tabs>
        <w:ind w:left="440"/>
      </w:pPr>
      <w:hyperlink w:anchor="_Toc3747" w:history="1">
        <w:r>
          <w:rPr>
            <w:rFonts w:ascii="IRNazanin" w:hAnsi="IRNazanin" w:eastAsia="IRNazanin" w:cs="IRNazanin"/>
            <w:color w:val="111111"/>
            <w:sz w:val="22"/>
            <w:szCs w:val="22"/>
            <w:b w:val="0"/>
            <w:bCs w:val="0"/>
            <w:i w:val="0"/>
            <w:iCs w:val="0"/>
          </w:rPr>
          <w:t>دیوان شرف خیابانی‏</w:t>
        </w:r>
        <w:r>
          <w:tab/>
        </w:r>
        <w:r>
          <w:fldChar w:fldCharType="begin"/>
        </w:r>
        <w:r>
          <w:instrText xml:space="preserve">PAGEREF 3747 \h</w:instrText>
        </w:r>
        <w:r>
          <w:fldChar w:fldCharType="end"/>
        </w:r>
      </w:hyperlink>
    </w:p>
    <w:p>
      <w:pPr>
        <w:tabs>
          <w:tab w:val="right" w:leader="dot" w:pos="9062"/>
        </w:tabs>
        <w:ind w:left="440"/>
      </w:pPr>
      <w:hyperlink w:anchor="_Toc3748" w:history="1">
        <w:r>
          <w:rPr>
            <w:rFonts w:ascii="IRNazanin" w:hAnsi="IRNazanin" w:eastAsia="IRNazanin" w:cs="IRNazanin"/>
            <w:color w:val="111111"/>
            <w:sz w:val="22"/>
            <w:szCs w:val="22"/>
            <w:b w:val="0"/>
            <w:bCs w:val="0"/>
            <w:i w:val="0"/>
            <w:iCs w:val="0"/>
          </w:rPr>
          <w:t>دیوان شرف الدین أصفهانی‏</w:t>
        </w:r>
        <w:r>
          <w:tab/>
        </w:r>
        <w:r>
          <w:fldChar w:fldCharType="begin"/>
        </w:r>
        <w:r>
          <w:instrText xml:space="preserve">PAGEREF 3748 \h</w:instrText>
        </w:r>
        <w:r>
          <w:fldChar w:fldCharType="end"/>
        </w:r>
      </w:hyperlink>
    </w:p>
    <w:p>
      <w:pPr>
        <w:tabs>
          <w:tab w:val="right" w:leader="dot" w:pos="9062"/>
        </w:tabs>
        <w:ind w:left="440"/>
      </w:pPr>
      <w:hyperlink w:anchor="_Toc3749" w:history="1">
        <w:r>
          <w:rPr>
            <w:rFonts w:ascii="IRNazanin" w:hAnsi="IRNazanin" w:eastAsia="IRNazanin" w:cs="IRNazanin"/>
            <w:color w:val="111111"/>
            <w:sz w:val="22"/>
            <w:szCs w:val="22"/>
            <w:b w:val="0"/>
            <w:bCs w:val="0"/>
            <w:i w:val="0"/>
            <w:iCs w:val="0"/>
          </w:rPr>
          <w:t>دیوان شرف الدین بافقی‏</w:t>
        </w:r>
        <w:r>
          <w:tab/>
        </w:r>
        <w:r>
          <w:fldChar w:fldCharType="begin"/>
        </w:r>
        <w:r>
          <w:instrText xml:space="preserve">PAGEREF 3749 \h</w:instrText>
        </w:r>
        <w:r>
          <w:fldChar w:fldCharType="end"/>
        </w:r>
      </w:hyperlink>
    </w:p>
    <w:p>
      <w:pPr>
        <w:tabs>
          <w:tab w:val="right" w:leader="dot" w:pos="9062"/>
        </w:tabs>
        <w:ind w:left="440"/>
      </w:pPr>
      <w:hyperlink w:anchor="_Toc3750" w:history="1">
        <w:r>
          <w:rPr>
            <w:rFonts w:ascii="IRNazanin" w:hAnsi="IRNazanin" w:eastAsia="IRNazanin" w:cs="IRNazanin"/>
            <w:color w:val="111111"/>
            <w:sz w:val="22"/>
            <w:szCs w:val="22"/>
            <w:b w:val="0"/>
            <w:bCs w:val="0"/>
            <w:i w:val="0"/>
            <w:iCs w:val="0"/>
          </w:rPr>
          <w:t>دیوان شرف الدین تبریزی‏</w:t>
        </w:r>
        <w:r>
          <w:tab/>
        </w:r>
        <w:r>
          <w:fldChar w:fldCharType="begin"/>
        </w:r>
        <w:r>
          <w:instrText xml:space="preserve">PAGEREF 3750 \h</w:instrText>
        </w:r>
        <w:r>
          <w:fldChar w:fldCharType="end"/>
        </w:r>
      </w:hyperlink>
    </w:p>
    <w:p>
      <w:pPr>
        <w:tabs>
          <w:tab w:val="right" w:leader="dot" w:pos="9062"/>
        </w:tabs>
        <w:ind w:left="440"/>
      </w:pPr>
      <w:hyperlink w:anchor="_Toc3751" w:history="1">
        <w:r>
          <w:rPr>
            <w:rFonts w:ascii="IRNazanin" w:hAnsi="IRNazanin" w:eastAsia="IRNazanin" w:cs="IRNazanin"/>
            <w:color w:val="111111"/>
            <w:sz w:val="22"/>
            <w:szCs w:val="22"/>
            <w:b w:val="0"/>
            <w:bCs w:val="0"/>
            <w:i w:val="0"/>
            <w:iCs w:val="0"/>
          </w:rPr>
          <w:t>2871- دیوان شرف الدین حسین أو شعره‏</w:t>
        </w:r>
        <w:r>
          <w:tab/>
        </w:r>
        <w:r>
          <w:fldChar w:fldCharType="begin"/>
        </w:r>
        <w:r>
          <w:instrText xml:space="preserve">PAGEREF 3751 \h</w:instrText>
        </w:r>
        <w:r>
          <w:fldChar w:fldCharType="end"/>
        </w:r>
      </w:hyperlink>
    </w:p>
    <w:p>
      <w:pPr>
        <w:tabs>
          <w:tab w:val="right" w:leader="dot" w:pos="9062"/>
        </w:tabs>
        <w:ind w:left="440"/>
      </w:pPr>
      <w:hyperlink w:anchor="_Toc3752" w:history="1">
        <w:r>
          <w:rPr>
            <w:rFonts w:ascii="IRNazanin" w:hAnsi="IRNazanin" w:eastAsia="IRNazanin" w:cs="IRNazanin"/>
            <w:color w:val="111111"/>
            <w:sz w:val="22"/>
            <w:szCs w:val="22"/>
            <w:b w:val="0"/>
            <w:bCs w:val="0"/>
            <w:i w:val="0"/>
            <w:iCs w:val="0"/>
          </w:rPr>
          <w:t>دیوان شرف الدین سبزواری‏</w:t>
        </w:r>
        <w:r>
          <w:tab/>
        </w:r>
        <w:r>
          <w:fldChar w:fldCharType="begin"/>
        </w:r>
        <w:r>
          <w:instrText xml:space="preserve">PAGEREF 3752 \h</w:instrText>
        </w:r>
        <w:r>
          <w:fldChar w:fldCharType="end"/>
        </w:r>
      </w:hyperlink>
    </w:p>
    <w:p>
      <w:pPr>
        <w:tabs>
          <w:tab w:val="right" w:leader="dot" w:pos="9062"/>
        </w:tabs>
        <w:ind w:left="440"/>
      </w:pPr>
      <w:hyperlink w:anchor="_Toc3753" w:history="1">
        <w:r>
          <w:rPr>
            <w:rFonts w:ascii="IRNazanin" w:hAnsi="IRNazanin" w:eastAsia="IRNazanin" w:cs="IRNazanin"/>
            <w:color w:val="111111"/>
            <w:sz w:val="22"/>
            <w:szCs w:val="22"/>
            <w:b w:val="0"/>
            <w:bCs w:val="0"/>
            <w:i w:val="0"/>
            <w:iCs w:val="0"/>
          </w:rPr>
          <w:t>دیوان شرف الدین شفروه‏</w:t>
        </w:r>
        <w:r>
          <w:tab/>
        </w:r>
        <w:r>
          <w:fldChar w:fldCharType="begin"/>
        </w:r>
        <w:r>
          <w:instrText xml:space="preserve">PAGEREF 3753 \h</w:instrText>
        </w:r>
        <w:r>
          <w:fldChar w:fldCharType="end"/>
        </w:r>
      </w:hyperlink>
    </w:p>
    <w:p>
      <w:pPr>
        <w:tabs>
          <w:tab w:val="right" w:leader="dot" w:pos="9062"/>
        </w:tabs>
        <w:ind w:left="440"/>
      </w:pPr>
      <w:hyperlink w:anchor="_Toc3754" w:history="1">
        <w:r>
          <w:rPr>
            <w:rFonts w:ascii="IRNazanin" w:hAnsi="IRNazanin" w:eastAsia="IRNazanin" w:cs="IRNazanin"/>
            <w:color w:val="111111"/>
            <w:sz w:val="22"/>
            <w:szCs w:val="22"/>
            <w:b w:val="0"/>
            <w:bCs w:val="0"/>
            <w:i w:val="0"/>
            <w:iCs w:val="0"/>
          </w:rPr>
          <w:t>دیوان شرف الدین عراقی‏</w:t>
        </w:r>
        <w:r>
          <w:tab/>
        </w:r>
        <w:r>
          <w:fldChar w:fldCharType="begin"/>
        </w:r>
        <w:r>
          <w:instrText xml:space="preserve">PAGEREF 3754 \h</w:instrText>
        </w:r>
        <w:r>
          <w:fldChar w:fldCharType="end"/>
        </w:r>
      </w:hyperlink>
    </w:p>
    <w:p>
      <w:pPr>
        <w:tabs>
          <w:tab w:val="right" w:leader="dot" w:pos="9062"/>
        </w:tabs>
        <w:ind w:left="440"/>
      </w:pPr>
      <w:hyperlink w:anchor="_Toc3755" w:history="1">
        <w:r>
          <w:rPr>
            <w:rFonts w:ascii="IRNazanin" w:hAnsi="IRNazanin" w:eastAsia="IRNazanin" w:cs="IRNazanin"/>
            <w:color w:val="111111"/>
            <w:sz w:val="22"/>
            <w:szCs w:val="22"/>
            <w:b w:val="0"/>
            <w:bCs w:val="0"/>
            <w:i w:val="0"/>
            <w:iCs w:val="0"/>
          </w:rPr>
          <w:t>دیوان شرف الدین علی‏</w:t>
        </w:r>
        <w:r>
          <w:tab/>
        </w:r>
        <w:r>
          <w:fldChar w:fldCharType="begin"/>
        </w:r>
        <w:r>
          <w:instrText xml:space="preserve">PAGEREF 3755 \h</w:instrText>
        </w:r>
        <w:r>
          <w:fldChar w:fldCharType="end"/>
        </w:r>
      </w:hyperlink>
    </w:p>
    <w:p>
      <w:pPr>
        <w:tabs>
          <w:tab w:val="right" w:leader="dot" w:pos="9062"/>
        </w:tabs>
        <w:ind w:left="440"/>
      </w:pPr>
      <w:hyperlink w:anchor="_Toc3756" w:history="1">
        <w:r>
          <w:rPr>
            <w:rFonts w:ascii="IRNazanin" w:hAnsi="IRNazanin" w:eastAsia="IRNazanin" w:cs="IRNazanin"/>
            <w:color w:val="111111"/>
            <w:sz w:val="22"/>
            <w:szCs w:val="22"/>
            <w:b w:val="0"/>
            <w:bCs w:val="0"/>
            <w:i w:val="0"/>
            <w:iCs w:val="0"/>
          </w:rPr>
          <w:t>دیوان شرف الدین فراهی‏</w:t>
        </w:r>
        <w:r>
          <w:tab/>
        </w:r>
        <w:r>
          <w:fldChar w:fldCharType="begin"/>
        </w:r>
        <w:r>
          <w:instrText xml:space="preserve">PAGEREF 3756 \h</w:instrText>
        </w:r>
        <w:r>
          <w:fldChar w:fldCharType="end"/>
        </w:r>
      </w:hyperlink>
    </w:p>
    <w:p>
      <w:pPr>
        <w:tabs>
          <w:tab w:val="right" w:leader="dot" w:pos="9062"/>
        </w:tabs>
        <w:ind w:left="440"/>
      </w:pPr>
      <w:hyperlink w:anchor="_Toc3757" w:history="1">
        <w:r>
          <w:rPr>
            <w:rFonts w:ascii="IRNazanin" w:hAnsi="IRNazanin" w:eastAsia="IRNazanin" w:cs="IRNazanin"/>
            <w:color w:val="111111"/>
            <w:sz w:val="22"/>
            <w:szCs w:val="22"/>
            <w:b w:val="0"/>
            <w:bCs w:val="0"/>
            <w:i w:val="0"/>
            <w:iCs w:val="0"/>
          </w:rPr>
          <w:t>دیوان شرف الدین قلندر</w:t>
        </w:r>
        <w:r>
          <w:tab/>
        </w:r>
        <w:r>
          <w:fldChar w:fldCharType="begin"/>
        </w:r>
        <w:r>
          <w:instrText xml:space="preserve">PAGEREF 3757 \h</w:instrText>
        </w:r>
        <w:r>
          <w:fldChar w:fldCharType="end"/>
        </w:r>
      </w:hyperlink>
    </w:p>
    <w:p>
      <w:pPr>
        <w:tabs>
          <w:tab w:val="right" w:leader="dot" w:pos="9062"/>
        </w:tabs>
        <w:ind w:left="440"/>
      </w:pPr>
      <w:hyperlink w:anchor="_Toc3758" w:history="1">
        <w:r>
          <w:rPr>
            <w:rFonts w:ascii="IRNazanin" w:hAnsi="IRNazanin" w:eastAsia="IRNazanin" w:cs="IRNazanin"/>
            <w:color w:val="111111"/>
            <w:sz w:val="22"/>
            <w:szCs w:val="22"/>
            <w:b w:val="0"/>
            <w:bCs w:val="0"/>
            <w:i w:val="0"/>
            <w:iCs w:val="0"/>
          </w:rPr>
          <w:t>دیوان شرف الدین کرمانی‏</w:t>
        </w:r>
        <w:r>
          <w:tab/>
        </w:r>
        <w:r>
          <w:fldChar w:fldCharType="begin"/>
        </w:r>
        <w:r>
          <w:instrText xml:space="preserve">PAGEREF 3758 \h</w:instrText>
        </w:r>
        <w:r>
          <w:fldChar w:fldCharType="end"/>
        </w:r>
      </w:hyperlink>
    </w:p>
    <w:p>
      <w:pPr>
        <w:tabs>
          <w:tab w:val="right" w:leader="dot" w:pos="9062"/>
        </w:tabs>
        <w:ind w:left="440"/>
      </w:pPr>
      <w:hyperlink w:anchor="_Toc3759" w:history="1">
        <w:r>
          <w:rPr>
            <w:rFonts w:ascii="IRNazanin" w:hAnsi="IRNazanin" w:eastAsia="IRNazanin" w:cs="IRNazanin"/>
            <w:color w:val="111111"/>
            <w:sz w:val="22"/>
            <w:szCs w:val="22"/>
            <w:b w:val="0"/>
            <w:bCs w:val="0"/>
            <w:i w:val="0"/>
            <w:iCs w:val="0"/>
          </w:rPr>
          <w:t>دیوان شرف الدین منیری‏</w:t>
        </w:r>
        <w:r>
          <w:tab/>
        </w:r>
        <w:r>
          <w:fldChar w:fldCharType="begin"/>
        </w:r>
        <w:r>
          <w:instrText xml:space="preserve">PAGEREF 3759 \h</w:instrText>
        </w:r>
        <w:r>
          <w:fldChar w:fldCharType="end"/>
        </w:r>
      </w:hyperlink>
    </w:p>
    <w:p>
      <w:pPr>
        <w:tabs>
          <w:tab w:val="right" w:leader="dot" w:pos="9062"/>
        </w:tabs>
        <w:ind w:left="440"/>
      </w:pPr>
      <w:hyperlink w:anchor="_Toc3760" w:history="1">
        <w:r>
          <w:rPr>
            <w:rFonts w:ascii="IRNazanin" w:hAnsi="IRNazanin" w:eastAsia="IRNazanin" w:cs="IRNazanin"/>
            <w:color w:val="111111"/>
            <w:sz w:val="22"/>
            <w:szCs w:val="22"/>
            <w:b w:val="0"/>
            <w:bCs w:val="0"/>
            <w:i w:val="0"/>
            <w:iCs w:val="0"/>
          </w:rPr>
          <w:t>دیوان شرف رامی‏</w:t>
        </w:r>
        <w:r>
          <w:tab/>
        </w:r>
        <w:r>
          <w:fldChar w:fldCharType="begin"/>
        </w:r>
        <w:r>
          <w:instrText xml:space="preserve">PAGEREF 3760 \h</w:instrText>
        </w:r>
        <w:r>
          <w:fldChar w:fldCharType="end"/>
        </w:r>
      </w:hyperlink>
    </w:p>
    <w:p>
      <w:pPr>
        <w:tabs>
          <w:tab w:val="right" w:leader="dot" w:pos="9062"/>
        </w:tabs>
        <w:ind w:left="440"/>
      </w:pPr>
      <w:hyperlink w:anchor="_Toc3761" w:history="1">
        <w:r>
          <w:rPr>
            <w:rFonts w:ascii="IRNazanin" w:hAnsi="IRNazanin" w:eastAsia="IRNazanin" w:cs="IRNazanin"/>
            <w:color w:val="111111"/>
            <w:sz w:val="22"/>
            <w:szCs w:val="22"/>
            <w:b w:val="0"/>
            <w:bCs w:val="0"/>
            <w:i w:val="0"/>
            <w:iCs w:val="0"/>
          </w:rPr>
          <w:t>دیوان شرف رضائی‏</w:t>
        </w:r>
        <w:r>
          <w:tab/>
        </w:r>
        <w:r>
          <w:fldChar w:fldCharType="begin"/>
        </w:r>
        <w:r>
          <w:instrText xml:space="preserve">PAGEREF 3761 \h</w:instrText>
        </w:r>
        <w:r>
          <w:fldChar w:fldCharType="end"/>
        </w:r>
      </w:hyperlink>
    </w:p>
    <w:p>
      <w:pPr>
        <w:tabs>
          <w:tab w:val="right" w:leader="dot" w:pos="9062"/>
        </w:tabs>
        <w:ind w:left="440"/>
      </w:pPr>
      <w:hyperlink w:anchor="_Toc3762" w:history="1">
        <w:r>
          <w:rPr>
            <w:rFonts w:ascii="IRNazanin" w:hAnsi="IRNazanin" w:eastAsia="IRNazanin" w:cs="IRNazanin"/>
            <w:color w:val="111111"/>
            <w:sz w:val="22"/>
            <w:szCs w:val="22"/>
            <w:b w:val="0"/>
            <w:bCs w:val="0"/>
            <w:i w:val="0"/>
            <w:iCs w:val="0"/>
          </w:rPr>
          <w:t>2872- دیوان شرف زرد التبریزی‏</w:t>
        </w:r>
        <w:r>
          <w:tab/>
        </w:r>
        <w:r>
          <w:fldChar w:fldCharType="begin"/>
        </w:r>
        <w:r>
          <w:instrText xml:space="preserve">PAGEREF 3762 \h</w:instrText>
        </w:r>
        <w:r>
          <w:fldChar w:fldCharType="end"/>
        </w:r>
      </w:hyperlink>
    </w:p>
    <w:p>
      <w:pPr>
        <w:tabs>
          <w:tab w:val="right" w:leader="dot" w:pos="9062"/>
        </w:tabs>
        <w:ind w:left="440"/>
      </w:pPr>
      <w:hyperlink w:anchor="_Toc3763" w:history="1">
        <w:r>
          <w:rPr>
            <w:rFonts w:ascii="IRNazanin" w:hAnsi="IRNazanin" w:eastAsia="IRNazanin" w:cs="IRNazanin"/>
            <w:color w:val="111111"/>
            <w:sz w:val="22"/>
            <w:szCs w:val="22"/>
            <w:b w:val="0"/>
            <w:bCs w:val="0"/>
            <w:i w:val="0"/>
            <w:iCs w:val="0"/>
          </w:rPr>
          <w:t>دیوان شرف سبزواری‏</w:t>
        </w:r>
        <w:r>
          <w:tab/>
        </w:r>
        <w:r>
          <w:fldChar w:fldCharType="begin"/>
        </w:r>
        <w:r>
          <w:instrText xml:space="preserve">PAGEREF 3763 \h</w:instrText>
        </w:r>
        <w:r>
          <w:fldChar w:fldCharType="end"/>
        </w:r>
      </w:hyperlink>
    </w:p>
    <w:p>
      <w:pPr>
        <w:tabs>
          <w:tab w:val="right" w:leader="dot" w:pos="9062"/>
        </w:tabs>
        <w:ind w:left="440"/>
      </w:pPr>
      <w:hyperlink w:anchor="_Toc3764" w:history="1">
        <w:r>
          <w:rPr>
            <w:rFonts w:ascii="IRNazanin" w:hAnsi="IRNazanin" w:eastAsia="IRNazanin" w:cs="IRNazanin"/>
            <w:color w:val="111111"/>
            <w:sz w:val="22"/>
            <w:szCs w:val="22"/>
            <w:b w:val="0"/>
            <w:bCs w:val="0"/>
            <w:i w:val="0"/>
            <w:iCs w:val="0"/>
          </w:rPr>
          <w:t>2873- دیوان شرف شفروه‏</w:t>
        </w:r>
        <w:r>
          <w:tab/>
        </w:r>
        <w:r>
          <w:fldChar w:fldCharType="begin"/>
        </w:r>
        <w:r>
          <w:instrText xml:space="preserve">PAGEREF 3764 \h</w:instrText>
        </w:r>
        <w:r>
          <w:fldChar w:fldCharType="end"/>
        </w:r>
      </w:hyperlink>
    </w:p>
    <w:p>
      <w:pPr>
        <w:tabs>
          <w:tab w:val="right" w:leader="dot" w:pos="9062"/>
        </w:tabs>
        <w:ind w:left="440"/>
      </w:pPr>
      <w:hyperlink w:anchor="_Toc3765" w:history="1">
        <w:r>
          <w:rPr>
            <w:rFonts w:ascii="IRNazanin" w:hAnsi="IRNazanin" w:eastAsia="IRNazanin" w:cs="IRNazanin"/>
            <w:color w:val="111111"/>
            <w:sz w:val="22"/>
            <w:szCs w:val="22"/>
            <w:b w:val="0"/>
            <w:bCs w:val="0"/>
            <w:i w:val="0"/>
            <w:iCs w:val="0"/>
          </w:rPr>
          <w:t>2874- دیوان شرف شیرازی أو شعره‏</w:t>
        </w:r>
        <w:r>
          <w:tab/>
        </w:r>
        <w:r>
          <w:fldChar w:fldCharType="begin"/>
        </w:r>
        <w:r>
          <w:instrText xml:space="preserve">PAGEREF 3765 \h</w:instrText>
        </w:r>
        <w:r>
          <w:fldChar w:fldCharType="end"/>
        </w:r>
      </w:hyperlink>
    </w:p>
    <w:p>
      <w:pPr>
        <w:tabs>
          <w:tab w:val="right" w:leader="dot" w:pos="9062"/>
        </w:tabs>
        <w:ind w:left="440"/>
      </w:pPr>
      <w:hyperlink w:anchor="_Toc3766" w:history="1">
        <w:r>
          <w:rPr>
            <w:rFonts w:ascii="IRNazanin" w:hAnsi="IRNazanin" w:eastAsia="IRNazanin" w:cs="IRNazanin"/>
            <w:color w:val="111111"/>
            <w:sz w:val="22"/>
            <w:szCs w:val="22"/>
            <w:b w:val="0"/>
            <w:bCs w:val="0"/>
            <w:i w:val="0"/>
            <w:iCs w:val="0"/>
          </w:rPr>
          <w:t>دیوان شرف شیرازی‏</w:t>
        </w:r>
        <w:r>
          <w:tab/>
        </w:r>
        <w:r>
          <w:fldChar w:fldCharType="begin"/>
        </w:r>
        <w:r>
          <w:instrText xml:space="preserve">PAGEREF 3766 \h</w:instrText>
        </w:r>
        <w:r>
          <w:fldChar w:fldCharType="end"/>
        </w:r>
      </w:hyperlink>
    </w:p>
    <w:p>
      <w:pPr>
        <w:tabs>
          <w:tab w:val="right" w:leader="dot" w:pos="9062"/>
        </w:tabs>
        <w:ind w:left="440"/>
      </w:pPr>
      <w:hyperlink w:anchor="_Toc3767" w:history="1">
        <w:r>
          <w:rPr>
            <w:rFonts w:ascii="IRNazanin" w:hAnsi="IRNazanin" w:eastAsia="IRNazanin" w:cs="IRNazanin"/>
            <w:color w:val="111111"/>
            <w:sz w:val="22"/>
            <w:szCs w:val="22"/>
            <w:b w:val="0"/>
            <w:bCs w:val="0"/>
            <w:i w:val="0"/>
            <w:iCs w:val="0"/>
          </w:rPr>
          <w:t>دیوان شرف طوسی أو شعره‏</w:t>
        </w:r>
        <w:r>
          <w:tab/>
        </w:r>
        <w:r>
          <w:fldChar w:fldCharType="begin"/>
        </w:r>
        <w:r>
          <w:instrText xml:space="preserve">PAGEREF 3767 \h</w:instrText>
        </w:r>
        <w:r>
          <w:fldChar w:fldCharType="end"/>
        </w:r>
      </w:hyperlink>
    </w:p>
    <w:p>
      <w:pPr>
        <w:tabs>
          <w:tab w:val="right" w:leader="dot" w:pos="9062"/>
        </w:tabs>
        <w:ind w:left="440"/>
      </w:pPr>
      <w:hyperlink w:anchor="_Toc3768" w:history="1">
        <w:r>
          <w:rPr>
            <w:rFonts w:ascii="IRNazanin" w:hAnsi="IRNazanin" w:eastAsia="IRNazanin" w:cs="IRNazanin"/>
            <w:color w:val="111111"/>
            <w:sz w:val="22"/>
            <w:szCs w:val="22"/>
            <w:b w:val="0"/>
            <w:bCs w:val="0"/>
            <w:i w:val="0"/>
            <w:iCs w:val="0"/>
          </w:rPr>
          <w:t>دیوان شرف عراقی‏</w:t>
        </w:r>
        <w:r>
          <w:tab/>
        </w:r>
        <w:r>
          <w:fldChar w:fldCharType="begin"/>
        </w:r>
        <w:r>
          <w:instrText xml:space="preserve">PAGEREF 3768 \h</w:instrText>
        </w:r>
        <w:r>
          <w:fldChar w:fldCharType="end"/>
        </w:r>
      </w:hyperlink>
    </w:p>
    <w:p>
      <w:pPr>
        <w:tabs>
          <w:tab w:val="right" w:leader="dot" w:pos="9062"/>
        </w:tabs>
        <w:ind w:left="440"/>
      </w:pPr>
      <w:hyperlink w:anchor="_Toc3769" w:history="1">
        <w:r>
          <w:rPr>
            <w:rFonts w:ascii="IRNazanin" w:hAnsi="IRNazanin" w:eastAsia="IRNazanin" w:cs="IRNazanin"/>
            <w:color w:val="111111"/>
            <w:sz w:val="22"/>
            <w:szCs w:val="22"/>
            <w:b w:val="0"/>
            <w:bCs w:val="0"/>
            <w:i w:val="0"/>
            <w:iCs w:val="0"/>
          </w:rPr>
          <w:t>2875- دیوان شرف غزنوی أو شعره‏</w:t>
        </w:r>
        <w:r>
          <w:tab/>
        </w:r>
        <w:r>
          <w:fldChar w:fldCharType="begin"/>
        </w:r>
        <w:r>
          <w:instrText xml:space="preserve">PAGEREF 3769 \h</w:instrText>
        </w:r>
        <w:r>
          <w:fldChar w:fldCharType="end"/>
        </w:r>
      </w:hyperlink>
    </w:p>
    <w:p>
      <w:pPr>
        <w:tabs>
          <w:tab w:val="right" w:leader="dot" w:pos="9062"/>
        </w:tabs>
        <w:ind w:left="440"/>
      </w:pPr>
      <w:hyperlink w:anchor="_Toc3770" w:history="1">
        <w:r>
          <w:rPr>
            <w:rFonts w:ascii="IRNazanin" w:hAnsi="IRNazanin" w:eastAsia="IRNazanin" w:cs="IRNazanin"/>
            <w:color w:val="111111"/>
            <w:sz w:val="22"/>
            <w:szCs w:val="22"/>
            <w:b w:val="0"/>
            <w:bCs w:val="0"/>
            <w:i w:val="0"/>
            <w:iCs w:val="0"/>
          </w:rPr>
          <w:t>2876- دیوان شرف فراهی‏</w:t>
        </w:r>
        <w:r>
          <w:tab/>
        </w:r>
        <w:r>
          <w:fldChar w:fldCharType="begin"/>
        </w:r>
        <w:r>
          <w:instrText xml:space="preserve">PAGEREF 3770 \h</w:instrText>
        </w:r>
        <w:r>
          <w:fldChar w:fldCharType="end"/>
        </w:r>
      </w:hyperlink>
    </w:p>
    <w:p>
      <w:pPr>
        <w:tabs>
          <w:tab w:val="right" w:leader="dot" w:pos="9062"/>
        </w:tabs>
        <w:ind w:left="440"/>
      </w:pPr>
      <w:hyperlink w:anchor="_Toc3771" w:history="1">
        <w:r>
          <w:rPr>
            <w:rFonts w:ascii="IRNazanin" w:hAnsi="IRNazanin" w:eastAsia="IRNazanin" w:cs="IRNazanin"/>
            <w:color w:val="111111"/>
            <w:sz w:val="22"/>
            <w:szCs w:val="22"/>
            <w:b w:val="0"/>
            <w:bCs w:val="0"/>
            <w:i w:val="0"/>
            <w:iCs w:val="0"/>
          </w:rPr>
          <w:t>2877- دیوان شرف قزوینی‏</w:t>
        </w:r>
        <w:r>
          <w:tab/>
        </w:r>
        <w:r>
          <w:fldChar w:fldCharType="begin"/>
        </w:r>
        <w:r>
          <w:instrText xml:space="preserve">PAGEREF 3771 \h</w:instrText>
        </w:r>
        <w:r>
          <w:fldChar w:fldCharType="end"/>
        </w:r>
      </w:hyperlink>
    </w:p>
    <w:p>
      <w:pPr>
        <w:tabs>
          <w:tab w:val="right" w:leader="dot" w:pos="9062"/>
        </w:tabs>
        <w:ind w:left="440"/>
      </w:pPr>
      <w:hyperlink w:anchor="_Toc3772" w:history="1">
        <w:r>
          <w:rPr>
            <w:rFonts w:ascii="IRNazanin" w:hAnsi="IRNazanin" w:eastAsia="IRNazanin" w:cs="IRNazanin"/>
            <w:color w:val="111111"/>
            <w:sz w:val="22"/>
            <w:szCs w:val="22"/>
            <w:b w:val="0"/>
            <w:bCs w:val="0"/>
            <w:i w:val="0"/>
            <w:iCs w:val="0"/>
          </w:rPr>
          <w:t>2878- دیوان شرف قزوینی‏</w:t>
        </w:r>
        <w:r>
          <w:tab/>
        </w:r>
        <w:r>
          <w:fldChar w:fldCharType="begin"/>
        </w:r>
        <w:r>
          <w:instrText xml:space="preserve">PAGEREF 3772 \h</w:instrText>
        </w:r>
        <w:r>
          <w:fldChar w:fldCharType="end"/>
        </w:r>
      </w:hyperlink>
    </w:p>
    <w:p>
      <w:pPr>
        <w:tabs>
          <w:tab w:val="right" w:leader="dot" w:pos="9062"/>
        </w:tabs>
        <w:ind w:left="440"/>
      </w:pPr>
      <w:hyperlink w:anchor="_Toc3773" w:history="1">
        <w:r>
          <w:rPr>
            <w:rFonts w:ascii="IRNazanin" w:hAnsi="IRNazanin" w:eastAsia="IRNazanin" w:cs="IRNazanin"/>
            <w:color w:val="111111"/>
            <w:sz w:val="22"/>
            <w:szCs w:val="22"/>
            <w:b w:val="0"/>
            <w:bCs w:val="0"/>
            <w:i w:val="0"/>
            <w:iCs w:val="0"/>
          </w:rPr>
          <w:t>2879- دیوان شرف قلندر أو شعره‏</w:t>
        </w:r>
        <w:r>
          <w:tab/>
        </w:r>
        <w:r>
          <w:fldChar w:fldCharType="begin"/>
        </w:r>
        <w:r>
          <w:instrText xml:space="preserve">PAGEREF 3773 \h</w:instrText>
        </w:r>
        <w:r>
          <w:fldChar w:fldCharType="end"/>
        </w:r>
      </w:hyperlink>
    </w:p>
    <w:p>
      <w:pPr>
        <w:tabs>
          <w:tab w:val="right" w:leader="dot" w:pos="9062"/>
        </w:tabs>
        <w:ind w:left="440"/>
      </w:pPr>
      <w:hyperlink w:anchor="_Toc3774" w:history="1">
        <w:r>
          <w:rPr>
            <w:rFonts w:ascii="IRNazanin" w:hAnsi="IRNazanin" w:eastAsia="IRNazanin" w:cs="IRNazanin"/>
            <w:color w:val="111111"/>
            <w:sz w:val="22"/>
            <w:szCs w:val="22"/>
            <w:b w:val="0"/>
            <w:bCs w:val="0"/>
            <w:i w:val="0"/>
            <w:iCs w:val="0"/>
          </w:rPr>
          <w:t>2880- دیوان شرف کرمانی‏</w:t>
        </w:r>
        <w:r>
          <w:tab/>
        </w:r>
        <w:r>
          <w:fldChar w:fldCharType="begin"/>
        </w:r>
        <w:r>
          <w:instrText xml:space="preserve">PAGEREF 3774 \h</w:instrText>
        </w:r>
        <w:r>
          <w:fldChar w:fldCharType="end"/>
        </w:r>
      </w:hyperlink>
    </w:p>
    <w:p>
      <w:pPr>
        <w:tabs>
          <w:tab w:val="right" w:leader="dot" w:pos="9062"/>
        </w:tabs>
        <w:ind w:left="440"/>
      </w:pPr>
      <w:hyperlink w:anchor="_Toc3775" w:history="1">
        <w:r>
          <w:rPr>
            <w:rFonts w:ascii="IRNazanin" w:hAnsi="IRNazanin" w:eastAsia="IRNazanin" w:cs="IRNazanin"/>
            <w:color w:val="111111"/>
            <w:sz w:val="22"/>
            <w:szCs w:val="22"/>
            <w:b w:val="0"/>
            <w:bCs w:val="0"/>
            <w:i w:val="0"/>
            <w:iCs w:val="0"/>
          </w:rPr>
          <w:t>2881- دیوان شرف معرف‏</w:t>
        </w:r>
        <w:r>
          <w:tab/>
        </w:r>
        <w:r>
          <w:fldChar w:fldCharType="begin"/>
        </w:r>
        <w:r>
          <w:instrText xml:space="preserve">PAGEREF 3775 \h</w:instrText>
        </w:r>
        <w:r>
          <w:fldChar w:fldCharType="end"/>
        </w:r>
      </w:hyperlink>
    </w:p>
    <w:p>
      <w:pPr>
        <w:tabs>
          <w:tab w:val="right" w:leader="dot" w:pos="9062"/>
        </w:tabs>
        <w:ind w:left="440"/>
      </w:pPr>
      <w:hyperlink w:anchor="_Toc3776" w:history="1">
        <w:r>
          <w:rPr>
            <w:rFonts w:ascii="IRNazanin" w:hAnsi="IRNazanin" w:eastAsia="IRNazanin" w:cs="IRNazanin"/>
            <w:color w:val="111111"/>
            <w:sz w:val="22"/>
            <w:szCs w:val="22"/>
            <w:b w:val="0"/>
            <w:bCs w:val="0"/>
            <w:i w:val="0"/>
            <w:iCs w:val="0"/>
          </w:rPr>
          <w:t>دیوان شرف منیری‏</w:t>
        </w:r>
        <w:r>
          <w:tab/>
        </w:r>
        <w:r>
          <w:fldChar w:fldCharType="begin"/>
        </w:r>
        <w:r>
          <w:instrText xml:space="preserve">PAGEREF 3776 \h</w:instrText>
        </w:r>
        <w:r>
          <w:fldChar w:fldCharType="end"/>
        </w:r>
      </w:hyperlink>
    </w:p>
    <w:p>
      <w:pPr>
        <w:tabs>
          <w:tab w:val="right" w:leader="dot" w:pos="9062"/>
        </w:tabs>
        <w:ind w:left="440"/>
      </w:pPr>
      <w:hyperlink w:anchor="_Toc3777" w:history="1">
        <w:r>
          <w:rPr>
            <w:rFonts w:ascii="IRNazanin" w:hAnsi="IRNazanin" w:eastAsia="IRNazanin" w:cs="IRNazanin"/>
            <w:color w:val="111111"/>
            <w:sz w:val="22"/>
            <w:szCs w:val="22"/>
            <w:b w:val="0"/>
            <w:bCs w:val="0"/>
            <w:i w:val="0"/>
            <w:iCs w:val="0"/>
          </w:rPr>
          <w:t>2882- دیوان شرف الملک نسوی‏</w:t>
        </w:r>
        <w:r>
          <w:tab/>
        </w:r>
        <w:r>
          <w:fldChar w:fldCharType="begin"/>
        </w:r>
        <w:r>
          <w:instrText xml:space="preserve">PAGEREF 3777 \h</w:instrText>
        </w:r>
        <w:r>
          <w:fldChar w:fldCharType="end"/>
        </w:r>
      </w:hyperlink>
    </w:p>
    <w:p>
      <w:pPr>
        <w:tabs>
          <w:tab w:val="right" w:leader="dot" w:pos="9062"/>
        </w:tabs>
        <w:ind w:left="440"/>
      </w:pPr>
      <w:hyperlink w:anchor="_Toc3778" w:history="1">
        <w:r>
          <w:rPr>
            <w:rFonts w:ascii="IRNazanin" w:hAnsi="IRNazanin" w:eastAsia="IRNazanin" w:cs="IRNazanin"/>
            <w:color w:val="111111"/>
            <w:sz w:val="22"/>
            <w:szCs w:val="22"/>
            <w:b w:val="0"/>
            <w:bCs w:val="0"/>
            <w:i w:val="0"/>
            <w:iCs w:val="0"/>
          </w:rPr>
          <w:t>دیوان شرف یزدی‏</w:t>
        </w:r>
        <w:r>
          <w:tab/>
        </w:r>
        <w:r>
          <w:fldChar w:fldCharType="begin"/>
        </w:r>
        <w:r>
          <w:instrText xml:space="preserve">PAGEREF 3778 \h</w:instrText>
        </w:r>
        <w:r>
          <w:fldChar w:fldCharType="end"/>
        </w:r>
      </w:hyperlink>
    </w:p>
    <w:p>
      <w:pPr>
        <w:tabs>
          <w:tab w:val="right" w:leader="dot" w:pos="9062"/>
        </w:tabs>
        <w:ind w:left="440"/>
      </w:pPr>
      <w:hyperlink w:anchor="_Toc3779" w:history="1">
        <w:r>
          <w:rPr>
            <w:rFonts w:ascii="IRNazanin" w:hAnsi="IRNazanin" w:eastAsia="IRNazanin" w:cs="IRNazanin"/>
            <w:color w:val="111111"/>
            <w:sz w:val="22"/>
            <w:szCs w:val="22"/>
            <w:b w:val="0"/>
            <w:bCs w:val="0"/>
            <w:i w:val="0"/>
            <w:iCs w:val="0"/>
          </w:rPr>
          <w:t>2883- دیوان شرف یزدی‏</w:t>
        </w:r>
        <w:r>
          <w:tab/>
        </w:r>
        <w:r>
          <w:fldChar w:fldCharType="begin"/>
        </w:r>
        <w:r>
          <w:instrText xml:space="preserve">PAGEREF 3779 \h</w:instrText>
        </w:r>
        <w:r>
          <w:fldChar w:fldCharType="end"/>
        </w:r>
      </w:hyperlink>
    </w:p>
    <w:p>
      <w:pPr>
        <w:tabs>
          <w:tab w:val="right" w:leader="dot" w:pos="9062"/>
        </w:tabs>
        <w:ind w:left="440"/>
      </w:pPr>
      <w:hyperlink w:anchor="_Toc3780" w:history="1">
        <w:r>
          <w:rPr>
            <w:rFonts w:ascii="IRNazanin" w:hAnsi="IRNazanin" w:eastAsia="IRNazanin" w:cs="IRNazanin"/>
            <w:color w:val="111111"/>
            <w:sz w:val="22"/>
            <w:szCs w:val="22"/>
            <w:b w:val="0"/>
            <w:bCs w:val="0"/>
            <w:i w:val="0"/>
            <w:iCs w:val="0"/>
          </w:rPr>
          <w:t>2884- دیوان شرفی یزدی أو شعره‏</w:t>
        </w:r>
        <w:r>
          <w:tab/>
        </w:r>
        <w:r>
          <w:fldChar w:fldCharType="begin"/>
        </w:r>
        <w:r>
          <w:instrText xml:space="preserve">PAGEREF 3780 \h</w:instrText>
        </w:r>
        <w:r>
          <w:fldChar w:fldCharType="end"/>
        </w:r>
      </w:hyperlink>
    </w:p>
    <w:p>
      <w:pPr>
        <w:tabs>
          <w:tab w:val="right" w:leader="dot" w:pos="9062"/>
        </w:tabs>
        <w:ind w:left="440"/>
      </w:pPr>
      <w:hyperlink w:anchor="_Toc3781" w:history="1">
        <w:r>
          <w:rPr>
            <w:rFonts w:ascii="IRNazanin" w:hAnsi="IRNazanin" w:eastAsia="IRNazanin" w:cs="IRNazanin"/>
            <w:color w:val="111111"/>
            <w:sz w:val="22"/>
            <w:szCs w:val="22"/>
            <w:b w:val="0"/>
            <w:bCs w:val="0"/>
            <w:i w:val="0"/>
            <w:iCs w:val="0"/>
          </w:rPr>
          <w:t>دیوان الشرق الکلبی‏</w:t>
        </w:r>
        <w:r>
          <w:tab/>
        </w:r>
        <w:r>
          <w:fldChar w:fldCharType="begin"/>
        </w:r>
        <w:r>
          <w:instrText xml:space="preserve">PAGEREF 3781 \h</w:instrText>
        </w:r>
        <w:r>
          <w:fldChar w:fldCharType="end"/>
        </w:r>
      </w:hyperlink>
    </w:p>
    <w:p>
      <w:pPr>
        <w:tabs>
          <w:tab w:val="right" w:leader="dot" w:pos="9062"/>
        </w:tabs>
        <w:ind w:left="440"/>
      </w:pPr>
      <w:hyperlink w:anchor="_Toc3782" w:history="1">
        <w:r>
          <w:rPr>
            <w:rFonts w:ascii="IRNazanin" w:hAnsi="IRNazanin" w:eastAsia="IRNazanin" w:cs="IRNazanin"/>
            <w:color w:val="111111"/>
            <w:sz w:val="22"/>
            <w:szCs w:val="22"/>
            <w:b w:val="0"/>
            <w:bCs w:val="0"/>
            <w:i w:val="0"/>
            <w:iCs w:val="0"/>
          </w:rPr>
          <w:t>2885- دیوان شرق هندی لکهنوی‏</w:t>
        </w:r>
        <w:r>
          <w:tab/>
        </w:r>
        <w:r>
          <w:fldChar w:fldCharType="begin"/>
        </w:r>
        <w:r>
          <w:instrText xml:space="preserve">PAGEREF 3782 \h</w:instrText>
        </w:r>
        <w:r>
          <w:fldChar w:fldCharType="end"/>
        </w:r>
      </w:hyperlink>
    </w:p>
    <w:p>
      <w:pPr>
        <w:tabs>
          <w:tab w:val="right" w:leader="dot" w:pos="9062"/>
        </w:tabs>
        <w:ind w:left="440"/>
      </w:pPr>
      <w:hyperlink w:anchor="_Toc3783" w:history="1">
        <w:r>
          <w:rPr>
            <w:rFonts w:ascii="IRNazanin" w:hAnsi="IRNazanin" w:eastAsia="IRNazanin" w:cs="IRNazanin"/>
            <w:color w:val="111111"/>
            <w:sz w:val="22"/>
            <w:szCs w:val="22"/>
            <w:b w:val="0"/>
            <w:bCs w:val="0"/>
            <w:i w:val="0"/>
            <w:iCs w:val="0"/>
          </w:rPr>
          <w:t>دیوان شرقی قزوینی أو شعره‏</w:t>
        </w:r>
        <w:r>
          <w:tab/>
        </w:r>
        <w:r>
          <w:fldChar w:fldCharType="begin"/>
        </w:r>
        <w:r>
          <w:instrText xml:space="preserve">PAGEREF 3783 \h</w:instrText>
        </w:r>
        <w:r>
          <w:fldChar w:fldCharType="end"/>
        </w:r>
      </w:hyperlink>
    </w:p>
    <w:p>
      <w:pPr>
        <w:tabs>
          <w:tab w:val="right" w:leader="dot" w:pos="9062"/>
        </w:tabs>
        <w:ind w:left="440"/>
      </w:pPr>
      <w:hyperlink w:anchor="_Toc3784" w:history="1">
        <w:r>
          <w:rPr>
            <w:rFonts w:ascii="IRNazanin" w:hAnsi="IRNazanin" w:eastAsia="IRNazanin" w:cs="IRNazanin"/>
            <w:color w:val="111111"/>
            <w:sz w:val="22"/>
            <w:szCs w:val="22"/>
            <w:b w:val="0"/>
            <w:bCs w:val="0"/>
            <w:i w:val="0"/>
            <w:iCs w:val="0"/>
          </w:rPr>
          <w:t>2886- دیوان الشرقی الصغیر</w:t>
        </w:r>
        <w:r>
          <w:tab/>
        </w:r>
        <w:r>
          <w:fldChar w:fldCharType="begin"/>
        </w:r>
        <w:r>
          <w:instrText xml:space="preserve">PAGEREF 3784 \h</w:instrText>
        </w:r>
        <w:r>
          <w:fldChar w:fldCharType="end"/>
        </w:r>
      </w:hyperlink>
    </w:p>
    <w:p>
      <w:pPr>
        <w:tabs>
          <w:tab w:val="right" w:leader="dot" w:pos="9062"/>
        </w:tabs>
        <w:ind w:left="440"/>
      </w:pPr>
      <w:hyperlink w:anchor="_Toc3785" w:history="1">
        <w:r>
          <w:rPr>
            <w:rFonts w:ascii="IRNazanin" w:hAnsi="IRNazanin" w:eastAsia="IRNazanin" w:cs="IRNazanin"/>
            <w:color w:val="111111"/>
            <w:sz w:val="22"/>
            <w:szCs w:val="22"/>
            <w:b w:val="0"/>
            <w:bCs w:val="0"/>
            <w:i w:val="0"/>
            <w:iCs w:val="0"/>
          </w:rPr>
          <w:t>2887- دیوان الشرقی الکبیر</w:t>
        </w:r>
        <w:r>
          <w:tab/>
        </w:r>
        <w:r>
          <w:fldChar w:fldCharType="begin"/>
        </w:r>
        <w:r>
          <w:instrText xml:space="preserve">PAGEREF 3785 \h</w:instrText>
        </w:r>
        <w:r>
          <w:fldChar w:fldCharType="end"/>
        </w:r>
      </w:hyperlink>
    </w:p>
    <w:p>
      <w:pPr>
        <w:tabs>
          <w:tab w:val="right" w:leader="dot" w:pos="9062"/>
        </w:tabs>
        <w:ind w:left="440"/>
      </w:pPr>
      <w:hyperlink w:anchor="_Toc3786" w:history="1">
        <w:r>
          <w:rPr>
            <w:rFonts w:ascii="IRNazanin" w:hAnsi="IRNazanin" w:eastAsia="IRNazanin" w:cs="IRNazanin"/>
            <w:color w:val="111111"/>
            <w:sz w:val="22"/>
            <w:szCs w:val="22"/>
            <w:b w:val="0"/>
            <w:bCs w:val="0"/>
            <w:i w:val="0"/>
            <w:iCs w:val="0"/>
          </w:rPr>
          <w:t>دیوان شرقی یزدی‏</w:t>
        </w:r>
        <w:r>
          <w:tab/>
        </w:r>
        <w:r>
          <w:fldChar w:fldCharType="begin"/>
        </w:r>
        <w:r>
          <w:instrText xml:space="preserve">PAGEREF 3786 \h</w:instrText>
        </w:r>
        <w:r>
          <w:fldChar w:fldCharType="end"/>
        </w:r>
      </w:hyperlink>
    </w:p>
    <w:p>
      <w:pPr>
        <w:tabs>
          <w:tab w:val="right" w:leader="dot" w:pos="9062"/>
        </w:tabs>
        <w:ind w:left="440"/>
      </w:pPr>
      <w:hyperlink w:anchor="_Toc3787" w:history="1">
        <w:r>
          <w:rPr>
            <w:rFonts w:ascii="IRNazanin" w:hAnsi="IRNazanin" w:eastAsia="IRNazanin" w:cs="IRNazanin"/>
            <w:color w:val="111111"/>
            <w:sz w:val="22"/>
            <w:szCs w:val="22"/>
            <w:b w:val="0"/>
            <w:bCs w:val="0"/>
            <w:i w:val="0"/>
            <w:iCs w:val="0"/>
          </w:rPr>
          <w:t>2888- دیوان شرمی قزوینی‏</w:t>
        </w:r>
        <w:r>
          <w:tab/>
        </w:r>
        <w:r>
          <w:fldChar w:fldCharType="begin"/>
        </w:r>
        <w:r>
          <w:instrText xml:space="preserve">PAGEREF 3787 \h</w:instrText>
        </w:r>
        <w:r>
          <w:fldChar w:fldCharType="end"/>
        </w:r>
      </w:hyperlink>
    </w:p>
    <w:p>
      <w:pPr>
        <w:tabs>
          <w:tab w:val="right" w:leader="dot" w:pos="9062"/>
        </w:tabs>
        <w:ind w:left="440"/>
      </w:pPr>
      <w:hyperlink w:anchor="_Toc3788" w:history="1">
        <w:r>
          <w:rPr>
            <w:rFonts w:ascii="IRNazanin" w:hAnsi="IRNazanin" w:eastAsia="IRNazanin" w:cs="IRNazanin"/>
            <w:color w:val="111111"/>
            <w:sz w:val="22"/>
            <w:szCs w:val="22"/>
            <w:b w:val="0"/>
            <w:bCs w:val="0"/>
            <w:i w:val="0"/>
            <w:iCs w:val="0"/>
          </w:rPr>
          <w:t>دیوان الشروقی‏</w:t>
        </w:r>
        <w:r>
          <w:tab/>
        </w:r>
        <w:r>
          <w:fldChar w:fldCharType="begin"/>
        </w:r>
        <w:r>
          <w:instrText xml:space="preserve">PAGEREF 3788 \h</w:instrText>
        </w:r>
        <w:r>
          <w:fldChar w:fldCharType="end"/>
        </w:r>
      </w:hyperlink>
    </w:p>
    <w:p>
      <w:pPr>
        <w:tabs>
          <w:tab w:val="right" w:leader="dot" w:pos="9062"/>
        </w:tabs>
        <w:ind w:left="440"/>
      </w:pPr>
      <w:hyperlink w:anchor="_Toc3789" w:history="1">
        <w:r>
          <w:rPr>
            <w:rFonts w:ascii="IRNazanin" w:hAnsi="IRNazanin" w:eastAsia="IRNazanin" w:cs="IRNazanin"/>
            <w:color w:val="111111"/>
            <w:sz w:val="22"/>
            <w:szCs w:val="22"/>
            <w:b w:val="0"/>
            <w:bCs w:val="0"/>
            <w:i w:val="0"/>
            <w:iCs w:val="0"/>
          </w:rPr>
          <w:t>2889- دیوان الشروقی‏</w:t>
        </w:r>
        <w:r>
          <w:tab/>
        </w:r>
        <w:r>
          <w:fldChar w:fldCharType="begin"/>
        </w:r>
        <w:r>
          <w:instrText xml:space="preserve">PAGEREF 3789 \h</w:instrText>
        </w:r>
        <w:r>
          <w:fldChar w:fldCharType="end"/>
        </w:r>
      </w:hyperlink>
    </w:p>
    <w:p>
      <w:pPr>
        <w:tabs>
          <w:tab w:val="right" w:leader="dot" w:pos="9062"/>
        </w:tabs>
        <w:ind w:left="440"/>
      </w:pPr>
      <w:hyperlink w:anchor="_Toc3790" w:history="1">
        <w:r>
          <w:rPr>
            <w:rFonts w:ascii="IRNazanin" w:hAnsi="IRNazanin" w:eastAsia="IRNazanin" w:cs="IRNazanin"/>
            <w:color w:val="111111"/>
            <w:sz w:val="22"/>
            <w:szCs w:val="22"/>
            <w:b w:val="0"/>
            <w:bCs w:val="0"/>
            <w:i w:val="0"/>
            <w:iCs w:val="0"/>
          </w:rPr>
          <w:t>2890- دیوان شریعت طالخونچه‏</w:t>
        </w:r>
        <w:r>
          <w:tab/>
        </w:r>
        <w:r>
          <w:fldChar w:fldCharType="begin"/>
        </w:r>
        <w:r>
          <w:instrText xml:space="preserve">PAGEREF 3790 \h</w:instrText>
        </w:r>
        <w:r>
          <w:fldChar w:fldCharType="end"/>
        </w:r>
      </w:hyperlink>
    </w:p>
    <w:p>
      <w:pPr>
        <w:tabs>
          <w:tab w:val="right" w:leader="dot" w:pos="9062"/>
        </w:tabs>
        <w:ind w:left="440"/>
      </w:pPr>
      <w:hyperlink w:anchor="_Toc3791" w:history="1">
        <w:r>
          <w:rPr>
            <w:rFonts w:ascii="IRNazanin" w:hAnsi="IRNazanin" w:eastAsia="IRNazanin" w:cs="IRNazanin"/>
            <w:color w:val="111111"/>
            <w:sz w:val="22"/>
            <w:szCs w:val="22"/>
            <w:b w:val="0"/>
            <w:bCs w:val="0"/>
            <w:i w:val="0"/>
            <w:iCs w:val="0"/>
          </w:rPr>
          <w:t>دیوان شریفا</w:t>
        </w:r>
        <w:r>
          <w:tab/>
        </w:r>
        <w:r>
          <w:fldChar w:fldCharType="begin"/>
        </w:r>
        <w:r>
          <w:instrText xml:space="preserve">PAGEREF 3791 \h</w:instrText>
        </w:r>
        <w:r>
          <w:fldChar w:fldCharType="end"/>
        </w:r>
      </w:hyperlink>
    </w:p>
    <w:p>
      <w:pPr>
        <w:tabs>
          <w:tab w:val="right" w:leader="dot" w:pos="9062"/>
        </w:tabs>
        <w:ind w:left="440"/>
      </w:pPr>
      <w:hyperlink w:anchor="_Toc3792" w:history="1">
        <w:r>
          <w:rPr>
            <w:rFonts w:ascii="IRNazanin" w:hAnsi="IRNazanin" w:eastAsia="IRNazanin" w:cs="IRNazanin"/>
            <w:color w:val="111111"/>
            <w:sz w:val="22"/>
            <w:szCs w:val="22"/>
            <w:b w:val="0"/>
            <w:bCs w:val="0"/>
            <w:i w:val="0"/>
            <w:iCs w:val="0"/>
          </w:rPr>
          <w:t>2891- دیوان شریف آملی أو شعره‏</w:t>
        </w:r>
        <w:r>
          <w:tab/>
        </w:r>
        <w:r>
          <w:fldChar w:fldCharType="begin"/>
        </w:r>
        <w:r>
          <w:instrText xml:space="preserve">PAGEREF 3792 \h</w:instrText>
        </w:r>
        <w:r>
          <w:fldChar w:fldCharType="end"/>
        </w:r>
      </w:hyperlink>
    </w:p>
    <w:p>
      <w:pPr>
        <w:tabs>
          <w:tab w:val="right" w:leader="dot" w:pos="9062"/>
        </w:tabs>
        <w:ind w:left="440"/>
      </w:pPr>
      <w:hyperlink w:anchor="_Toc3793" w:history="1">
        <w:r>
          <w:rPr>
            <w:rFonts w:ascii="IRNazanin" w:hAnsi="IRNazanin" w:eastAsia="IRNazanin" w:cs="IRNazanin"/>
            <w:color w:val="111111"/>
            <w:sz w:val="22"/>
            <w:szCs w:val="22"/>
            <w:b w:val="0"/>
            <w:bCs w:val="0"/>
            <w:i w:val="0"/>
            <w:iCs w:val="0"/>
          </w:rPr>
          <w:t>2892- دیوان شریف آملی أو شعره‏</w:t>
        </w:r>
        <w:r>
          <w:tab/>
        </w:r>
        <w:r>
          <w:fldChar w:fldCharType="begin"/>
        </w:r>
        <w:r>
          <w:instrText xml:space="preserve">PAGEREF 3793 \h</w:instrText>
        </w:r>
        <w:r>
          <w:fldChar w:fldCharType="end"/>
        </w:r>
      </w:hyperlink>
    </w:p>
    <w:p>
      <w:pPr>
        <w:tabs>
          <w:tab w:val="right" w:leader="dot" w:pos="9062"/>
        </w:tabs>
        <w:ind w:left="440"/>
      </w:pPr>
      <w:hyperlink w:anchor="_Toc3794" w:history="1">
        <w:r>
          <w:rPr>
            <w:rFonts w:ascii="IRNazanin" w:hAnsi="IRNazanin" w:eastAsia="IRNazanin" w:cs="IRNazanin"/>
            <w:color w:val="111111"/>
            <w:sz w:val="22"/>
            <w:szCs w:val="22"/>
            <w:b w:val="0"/>
            <w:bCs w:val="0"/>
            <w:i w:val="0"/>
            <w:iCs w:val="0"/>
          </w:rPr>
          <w:t>دیوان الشریف ابن طباطبا الأصفهانی‏</w:t>
        </w:r>
        <w:r>
          <w:tab/>
        </w:r>
        <w:r>
          <w:fldChar w:fldCharType="begin"/>
        </w:r>
        <w:r>
          <w:instrText xml:space="preserve">PAGEREF 3794 \h</w:instrText>
        </w:r>
        <w:r>
          <w:fldChar w:fldCharType="end"/>
        </w:r>
      </w:hyperlink>
    </w:p>
    <w:p>
      <w:pPr>
        <w:tabs>
          <w:tab w:val="right" w:leader="dot" w:pos="9062"/>
        </w:tabs>
        <w:ind w:left="440"/>
      </w:pPr>
      <w:hyperlink w:anchor="_Toc3795" w:history="1">
        <w:r>
          <w:rPr>
            <w:rFonts w:ascii="IRNazanin" w:hAnsi="IRNazanin" w:eastAsia="IRNazanin" w:cs="IRNazanin"/>
            <w:color w:val="111111"/>
            <w:sz w:val="22"/>
            <w:szCs w:val="22"/>
            <w:b w:val="0"/>
            <w:bCs w:val="0"/>
            <w:i w:val="0"/>
            <w:iCs w:val="0"/>
          </w:rPr>
          <w:t>دیوان شریف أصفهانی‏</w:t>
        </w:r>
        <w:r>
          <w:tab/>
        </w:r>
        <w:r>
          <w:fldChar w:fldCharType="begin"/>
        </w:r>
        <w:r>
          <w:instrText xml:space="preserve">PAGEREF 3795 \h</w:instrText>
        </w:r>
        <w:r>
          <w:fldChar w:fldCharType="end"/>
        </w:r>
      </w:hyperlink>
    </w:p>
    <w:p>
      <w:pPr>
        <w:tabs>
          <w:tab w:val="right" w:leader="dot" w:pos="9062"/>
        </w:tabs>
        <w:ind w:left="440"/>
      </w:pPr>
      <w:hyperlink w:anchor="_Toc3796" w:history="1">
        <w:r>
          <w:rPr>
            <w:rFonts w:ascii="IRNazanin" w:hAnsi="IRNazanin" w:eastAsia="IRNazanin" w:cs="IRNazanin"/>
            <w:color w:val="111111"/>
            <w:sz w:val="22"/>
            <w:szCs w:val="22"/>
            <w:b w:val="0"/>
            <w:bCs w:val="0"/>
            <w:i w:val="0"/>
            <w:iCs w:val="0"/>
          </w:rPr>
          <w:t>دیوان شریف أصفهانی‏</w:t>
        </w:r>
        <w:r>
          <w:tab/>
        </w:r>
        <w:r>
          <w:fldChar w:fldCharType="begin"/>
        </w:r>
        <w:r>
          <w:instrText xml:space="preserve">PAGEREF 3796 \h</w:instrText>
        </w:r>
        <w:r>
          <w:fldChar w:fldCharType="end"/>
        </w:r>
      </w:hyperlink>
    </w:p>
    <w:p>
      <w:pPr>
        <w:tabs>
          <w:tab w:val="right" w:leader="dot" w:pos="9062"/>
        </w:tabs>
        <w:ind w:left="440"/>
      </w:pPr>
      <w:hyperlink w:anchor="_Toc3797" w:history="1">
        <w:r>
          <w:rPr>
            <w:rFonts w:ascii="IRNazanin" w:hAnsi="IRNazanin" w:eastAsia="IRNazanin" w:cs="IRNazanin"/>
            <w:color w:val="111111"/>
            <w:sz w:val="22"/>
            <w:szCs w:val="22"/>
            <w:b w:val="0"/>
            <w:bCs w:val="0"/>
            <w:i w:val="0"/>
            <w:iCs w:val="0"/>
          </w:rPr>
          <w:t>دیوان شریف أصفهانی‏</w:t>
        </w:r>
        <w:r>
          <w:tab/>
        </w:r>
        <w:r>
          <w:fldChar w:fldCharType="begin"/>
        </w:r>
        <w:r>
          <w:instrText xml:space="preserve">PAGEREF 3797 \h</w:instrText>
        </w:r>
        <w:r>
          <w:fldChar w:fldCharType="end"/>
        </w:r>
      </w:hyperlink>
    </w:p>
    <w:p>
      <w:pPr>
        <w:tabs>
          <w:tab w:val="right" w:leader="dot" w:pos="9062"/>
        </w:tabs>
        <w:ind w:left="440"/>
      </w:pPr>
      <w:hyperlink w:anchor="_Toc3798" w:history="1">
        <w:r>
          <w:rPr>
            <w:rFonts w:ascii="IRNazanin" w:hAnsi="IRNazanin" w:eastAsia="IRNazanin" w:cs="IRNazanin"/>
            <w:color w:val="111111"/>
            <w:sz w:val="22"/>
            <w:szCs w:val="22"/>
            <w:b w:val="0"/>
            <w:bCs w:val="0"/>
            <w:i w:val="0"/>
            <w:iCs w:val="0"/>
          </w:rPr>
          <w:t>دیوان شریف أصفهانی‏</w:t>
        </w:r>
        <w:r>
          <w:tab/>
        </w:r>
        <w:r>
          <w:fldChar w:fldCharType="begin"/>
        </w:r>
        <w:r>
          <w:instrText xml:space="preserve">PAGEREF 3798 \h</w:instrText>
        </w:r>
        <w:r>
          <w:fldChar w:fldCharType="end"/>
        </w:r>
      </w:hyperlink>
    </w:p>
    <w:p>
      <w:pPr>
        <w:tabs>
          <w:tab w:val="right" w:leader="dot" w:pos="9062"/>
        </w:tabs>
        <w:ind w:left="440"/>
      </w:pPr>
      <w:hyperlink w:anchor="_Toc3799" w:history="1">
        <w:r>
          <w:rPr>
            <w:rFonts w:ascii="IRNazanin" w:hAnsi="IRNazanin" w:eastAsia="IRNazanin" w:cs="IRNazanin"/>
            <w:color w:val="111111"/>
            <w:sz w:val="22"/>
            <w:szCs w:val="22"/>
            <w:b w:val="0"/>
            <w:bCs w:val="0"/>
            <w:i w:val="0"/>
            <w:iCs w:val="0"/>
          </w:rPr>
          <w:t>دیوان شریف باقی‏</w:t>
        </w:r>
        <w:r>
          <w:tab/>
        </w:r>
        <w:r>
          <w:fldChar w:fldCharType="begin"/>
        </w:r>
        <w:r>
          <w:instrText xml:space="preserve">PAGEREF 3799 \h</w:instrText>
        </w:r>
        <w:r>
          <w:fldChar w:fldCharType="end"/>
        </w:r>
      </w:hyperlink>
    </w:p>
    <w:p>
      <w:pPr>
        <w:tabs>
          <w:tab w:val="right" w:leader="dot" w:pos="9062"/>
        </w:tabs>
        <w:ind w:left="440"/>
      </w:pPr>
      <w:hyperlink w:anchor="_Toc3800" w:history="1">
        <w:r>
          <w:rPr>
            <w:rFonts w:ascii="IRNazanin" w:hAnsi="IRNazanin" w:eastAsia="IRNazanin" w:cs="IRNazanin"/>
            <w:color w:val="111111"/>
            <w:sz w:val="22"/>
            <w:szCs w:val="22"/>
            <w:b w:val="0"/>
            <w:bCs w:val="0"/>
            <w:i w:val="0"/>
            <w:iCs w:val="0"/>
          </w:rPr>
          <w:t>2893- دیوان شریف بخاری أو شعره‏</w:t>
        </w:r>
        <w:r>
          <w:tab/>
        </w:r>
        <w:r>
          <w:fldChar w:fldCharType="begin"/>
        </w:r>
        <w:r>
          <w:instrText xml:space="preserve">PAGEREF 3800 \h</w:instrText>
        </w:r>
        <w:r>
          <w:fldChar w:fldCharType="end"/>
        </w:r>
      </w:hyperlink>
    </w:p>
    <w:p>
      <w:pPr>
        <w:tabs>
          <w:tab w:val="right" w:leader="dot" w:pos="9062"/>
        </w:tabs>
        <w:ind w:left="440"/>
      </w:pPr>
      <w:hyperlink w:anchor="_Toc3801" w:history="1">
        <w:r>
          <w:rPr>
            <w:rFonts w:ascii="IRNazanin" w:hAnsi="IRNazanin" w:eastAsia="IRNazanin" w:cs="IRNazanin"/>
            <w:color w:val="111111"/>
            <w:sz w:val="22"/>
            <w:szCs w:val="22"/>
            <w:b w:val="0"/>
            <w:bCs w:val="0"/>
            <w:i w:val="0"/>
            <w:iCs w:val="0"/>
          </w:rPr>
          <w:t>2894- دیوان شریف بلخی أو شعره‏</w:t>
        </w:r>
        <w:r>
          <w:tab/>
        </w:r>
        <w:r>
          <w:fldChar w:fldCharType="begin"/>
        </w:r>
        <w:r>
          <w:instrText xml:space="preserve">PAGEREF 3801 \h</w:instrText>
        </w:r>
        <w:r>
          <w:fldChar w:fldCharType="end"/>
        </w:r>
      </w:hyperlink>
    </w:p>
    <w:p>
      <w:pPr>
        <w:tabs>
          <w:tab w:val="right" w:leader="dot" w:pos="9062"/>
        </w:tabs>
        <w:ind w:left="440"/>
      </w:pPr>
      <w:hyperlink w:anchor="_Toc3802" w:history="1">
        <w:r>
          <w:rPr>
            <w:rFonts w:ascii="IRNazanin" w:hAnsi="IRNazanin" w:eastAsia="IRNazanin" w:cs="IRNazanin"/>
            <w:color w:val="111111"/>
            <w:sz w:val="22"/>
            <w:szCs w:val="22"/>
            <w:b w:val="0"/>
            <w:bCs w:val="0"/>
            <w:i w:val="0"/>
            <w:iCs w:val="0"/>
          </w:rPr>
          <w:t>دیوان شریف تبریزی‏</w:t>
        </w:r>
        <w:r>
          <w:tab/>
        </w:r>
        <w:r>
          <w:fldChar w:fldCharType="begin"/>
        </w:r>
        <w:r>
          <w:instrText xml:space="preserve">PAGEREF 3802 \h</w:instrText>
        </w:r>
        <w:r>
          <w:fldChar w:fldCharType="end"/>
        </w:r>
      </w:hyperlink>
    </w:p>
    <w:p>
      <w:pPr>
        <w:tabs>
          <w:tab w:val="right" w:leader="dot" w:pos="9062"/>
        </w:tabs>
        <w:ind w:left="440"/>
      </w:pPr>
      <w:hyperlink w:anchor="_Toc3803" w:history="1">
        <w:r>
          <w:rPr>
            <w:rFonts w:ascii="IRNazanin" w:hAnsi="IRNazanin" w:eastAsia="IRNazanin" w:cs="IRNazanin"/>
            <w:color w:val="111111"/>
            <w:sz w:val="22"/>
            <w:szCs w:val="22"/>
            <w:b w:val="0"/>
            <w:bCs w:val="0"/>
            <w:i w:val="0"/>
            <w:iCs w:val="0"/>
          </w:rPr>
          <w:t>2895- دیوان شریف تبریزی‏</w:t>
        </w:r>
        <w:r>
          <w:tab/>
        </w:r>
        <w:r>
          <w:fldChar w:fldCharType="begin"/>
        </w:r>
        <w:r>
          <w:instrText xml:space="preserve">PAGEREF 3803 \h</w:instrText>
        </w:r>
        <w:r>
          <w:fldChar w:fldCharType="end"/>
        </w:r>
      </w:hyperlink>
    </w:p>
    <w:p>
      <w:pPr>
        <w:tabs>
          <w:tab w:val="right" w:leader="dot" w:pos="9062"/>
        </w:tabs>
        <w:ind w:left="440"/>
      </w:pPr>
      <w:hyperlink w:anchor="_Toc3804" w:history="1">
        <w:r>
          <w:rPr>
            <w:rFonts w:ascii="IRNazanin" w:hAnsi="IRNazanin" w:eastAsia="IRNazanin" w:cs="IRNazanin"/>
            <w:color w:val="111111"/>
            <w:sz w:val="22"/>
            <w:szCs w:val="22"/>
            <w:b w:val="0"/>
            <w:bCs w:val="0"/>
            <w:i w:val="0"/>
            <w:iCs w:val="0"/>
          </w:rPr>
          <w:t>2896- دیوان شریف ترشیزی أو شعره‏</w:t>
        </w:r>
        <w:r>
          <w:tab/>
        </w:r>
        <w:r>
          <w:fldChar w:fldCharType="begin"/>
        </w:r>
        <w:r>
          <w:instrText xml:space="preserve">PAGEREF 3804 \h</w:instrText>
        </w:r>
        <w:r>
          <w:fldChar w:fldCharType="end"/>
        </w:r>
      </w:hyperlink>
    </w:p>
    <w:p>
      <w:pPr>
        <w:tabs>
          <w:tab w:val="right" w:leader="dot" w:pos="9062"/>
        </w:tabs>
        <w:ind w:left="440"/>
      </w:pPr>
      <w:hyperlink w:anchor="_Toc3805" w:history="1">
        <w:r>
          <w:rPr>
            <w:rFonts w:ascii="IRNazanin" w:hAnsi="IRNazanin" w:eastAsia="IRNazanin" w:cs="IRNazanin"/>
            <w:color w:val="111111"/>
            <w:sz w:val="22"/>
            <w:szCs w:val="22"/>
            <w:b w:val="0"/>
            <w:bCs w:val="0"/>
            <w:i w:val="0"/>
            <w:iCs w:val="0"/>
          </w:rPr>
          <w:t>دیوان شریف ثالث‏</w:t>
        </w:r>
        <w:r>
          <w:tab/>
        </w:r>
        <w:r>
          <w:fldChar w:fldCharType="begin"/>
        </w:r>
        <w:r>
          <w:instrText xml:space="preserve">PAGEREF 3805 \h</w:instrText>
        </w:r>
        <w:r>
          <w:fldChar w:fldCharType="end"/>
        </w:r>
      </w:hyperlink>
    </w:p>
    <w:p>
      <w:pPr>
        <w:tabs>
          <w:tab w:val="right" w:leader="dot" w:pos="9062"/>
        </w:tabs>
        <w:ind w:left="440"/>
      </w:pPr>
      <w:hyperlink w:anchor="_Toc3806" w:history="1">
        <w:r>
          <w:rPr>
            <w:rFonts w:ascii="IRNazanin" w:hAnsi="IRNazanin" w:eastAsia="IRNazanin" w:cs="IRNazanin"/>
            <w:color w:val="111111"/>
            <w:sz w:val="22"/>
            <w:szCs w:val="22"/>
            <w:b w:val="0"/>
            <w:bCs w:val="0"/>
            <w:i w:val="0"/>
            <w:iCs w:val="0"/>
          </w:rPr>
          <w:t>2897- دیوان شریف ثانی أو شعره‏</w:t>
        </w:r>
        <w:r>
          <w:tab/>
        </w:r>
        <w:r>
          <w:fldChar w:fldCharType="begin"/>
        </w:r>
        <w:r>
          <w:instrText xml:space="preserve">PAGEREF 3806 \h</w:instrText>
        </w:r>
        <w:r>
          <w:fldChar w:fldCharType="end"/>
        </w:r>
      </w:hyperlink>
    </w:p>
    <w:p>
      <w:pPr>
        <w:tabs>
          <w:tab w:val="right" w:leader="dot" w:pos="9062"/>
        </w:tabs>
        <w:ind w:left="440"/>
      </w:pPr>
      <w:hyperlink w:anchor="_Toc3807" w:history="1">
        <w:r>
          <w:rPr>
            <w:rFonts w:ascii="IRNazanin" w:hAnsi="IRNazanin" w:eastAsia="IRNazanin" w:cs="IRNazanin"/>
            <w:color w:val="111111"/>
            <w:sz w:val="22"/>
            <w:szCs w:val="22"/>
            <w:b w:val="0"/>
            <w:bCs w:val="0"/>
            <w:i w:val="0"/>
            <w:iCs w:val="0"/>
          </w:rPr>
          <w:t>دیوان الشریف الجامعی‏</w:t>
        </w:r>
        <w:r>
          <w:tab/>
        </w:r>
        <w:r>
          <w:fldChar w:fldCharType="begin"/>
        </w:r>
        <w:r>
          <w:instrText xml:space="preserve">PAGEREF 3807 \h</w:instrText>
        </w:r>
        <w:r>
          <w:fldChar w:fldCharType="end"/>
        </w:r>
      </w:hyperlink>
    </w:p>
    <w:p>
      <w:pPr>
        <w:tabs>
          <w:tab w:val="right" w:leader="dot" w:pos="9062"/>
        </w:tabs>
        <w:ind w:left="440"/>
      </w:pPr>
      <w:hyperlink w:anchor="_Toc3808" w:history="1">
        <w:r>
          <w:rPr>
            <w:rFonts w:ascii="IRNazanin" w:hAnsi="IRNazanin" w:eastAsia="IRNazanin" w:cs="IRNazanin"/>
            <w:color w:val="111111"/>
            <w:sz w:val="22"/>
            <w:szCs w:val="22"/>
            <w:b w:val="0"/>
            <w:bCs w:val="0"/>
            <w:i w:val="0"/>
            <w:iCs w:val="0"/>
          </w:rPr>
          <w:t>2898- دیوان الشریف الجرجانی أو شعره‏</w:t>
        </w:r>
        <w:r>
          <w:tab/>
        </w:r>
        <w:r>
          <w:fldChar w:fldCharType="begin"/>
        </w:r>
        <w:r>
          <w:instrText xml:space="preserve">PAGEREF 3808 \h</w:instrText>
        </w:r>
        <w:r>
          <w:fldChar w:fldCharType="end"/>
        </w:r>
      </w:hyperlink>
    </w:p>
    <w:p>
      <w:pPr>
        <w:tabs>
          <w:tab w:val="right" w:leader="dot" w:pos="9062"/>
        </w:tabs>
        <w:ind w:left="440"/>
      </w:pPr>
      <w:hyperlink w:anchor="_Toc3809" w:history="1">
        <w:r>
          <w:rPr>
            <w:rFonts w:ascii="IRNazanin" w:hAnsi="IRNazanin" w:eastAsia="IRNazanin" w:cs="IRNazanin"/>
            <w:color w:val="111111"/>
            <w:sz w:val="22"/>
            <w:szCs w:val="22"/>
            <w:b w:val="0"/>
            <w:bCs w:val="0"/>
            <w:i w:val="0"/>
            <w:iCs w:val="0"/>
          </w:rPr>
          <w:t>2899- دیوان شریف حکیم‏</w:t>
        </w:r>
        <w:r>
          <w:tab/>
        </w:r>
        <w:r>
          <w:fldChar w:fldCharType="begin"/>
        </w:r>
        <w:r>
          <w:instrText xml:space="preserve">PAGEREF 3809 \h</w:instrText>
        </w:r>
        <w:r>
          <w:fldChar w:fldCharType="end"/>
        </w:r>
      </w:hyperlink>
    </w:p>
    <w:p>
      <w:pPr>
        <w:tabs>
          <w:tab w:val="right" w:leader="dot" w:pos="9062"/>
        </w:tabs>
        <w:ind w:left="440"/>
      </w:pPr>
      <w:hyperlink w:anchor="_Toc3810" w:history="1">
        <w:r>
          <w:rPr>
            <w:rFonts w:ascii="IRNazanin" w:hAnsi="IRNazanin" w:eastAsia="IRNazanin" w:cs="IRNazanin"/>
            <w:color w:val="111111"/>
            <w:sz w:val="22"/>
            <w:szCs w:val="22"/>
            <w:b w:val="0"/>
            <w:bCs w:val="0"/>
            <w:i w:val="0"/>
            <w:iCs w:val="0"/>
          </w:rPr>
          <w:t>2900- دیوان شریف سبزواری أو شعره‏</w:t>
        </w:r>
        <w:r>
          <w:tab/>
        </w:r>
        <w:r>
          <w:fldChar w:fldCharType="begin"/>
        </w:r>
        <w:r>
          <w:instrText xml:space="preserve">PAGEREF 3810 \h</w:instrText>
        </w:r>
        <w:r>
          <w:fldChar w:fldCharType="end"/>
        </w:r>
      </w:hyperlink>
    </w:p>
    <w:p>
      <w:pPr>
        <w:tabs>
          <w:tab w:val="right" w:leader="dot" w:pos="9062"/>
        </w:tabs>
        <w:ind w:left="440"/>
      </w:pPr>
      <w:hyperlink w:anchor="_Toc3811" w:history="1">
        <w:r>
          <w:rPr>
            <w:rFonts w:ascii="IRNazanin" w:hAnsi="IRNazanin" w:eastAsia="IRNazanin" w:cs="IRNazanin"/>
            <w:color w:val="111111"/>
            <w:sz w:val="22"/>
            <w:szCs w:val="22"/>
            <w:b w:val="0"/>
            <w:bCs w:val="0"/>
            <w:i w:val="0"/>
            <w:iCs w:val="0"/>
          </w:rPr>
          <w:t>دیوان الشریف الرضی‏</w:t>
        </w:r>
        <w:r>
          <w:tab/>
        </w:r>
        <w:r>
          <w:fldChar w:fldCharType="begin"/>
        </w:r>
        <w:r>
          <w:instrText xml:space="preserve">PAGEREF 3811 \h</w:instrText>
        </w:r>
        <w:r>
          <w:fldChar w:fldCharType="end"/>
        </w:r>
      </w:hyperlink>
    </w:p>
    <w:p>
      <w:pPr>
        <w:tabs>
          <w:tab w:val="right" w:leader="dot" w:pos="9062"/>
        </w:tabs>
        <w:ind w:left="440"/>
      </w:pPr>
      <w:hyperlink w:anchor="_Toc3812" w:history="1">
        <w:r>
          <w:rPr>
            <w:rFonts w:ascii="IRNazanin" w:hAnsi="IRNazanin" w:eastAsia="IRNazanin" w:cs="IRNazanin"/>
            <w:color w:val="111111"/>
            <w:sz w:val="22"/>
            <w:szCs w:val="22"/>
            <w:b w:val="0"/>
            <w:bCs w:val="0"/>
            <w:i w:val="0"/>
            <w:iCs w:val="0"/>
          </w:rPr>
          <w:t>دیوان شریف سرمدی‏</w:t>
        </w:r>
        <w:r>
          <w:tab/>
        </w:r>
        <w:r>
          <w:fldChar w:fldCharType="begin"/>
        </w:r>
        <w:r>
          <w:instrText xml:space="preserve">PAGEREF 3812 \h</w:instrText>
        </w:r>
        <w:r>
          <w:fldChar w:fldCharType="end"/>
        </w:r>
      </w:hyperlink>
    </w:p>
    <w:p>
      <w:pPr>
        <w:tabs>
          <w:tab w:val="right" w:leader="dot" w:pos="9062"/>
        </w:tabs>
        <w:ind w:left="440"/>
      </w:pPr>
      <w:hyperlink w:anchor="_Toc3813" w:history="1">
        <w:r>
          <w:rPr>
            <w:rFonts w:ascii="IRNazanin" w:hAnsi="IRNazanin" w:eastAsia="IRNazanin" w:cs="IRNazanin"/>
            <w:color w:val="111111"/>
            <w:sz w:val="22"/>
            <w:szCs w:val="22"/>
            <w:b w:val="0"/>
            <w:bCs w:val="0"/>
            <w:i w:val="0"/>
            <w:iCs w:val="0"/>
          </w:rPr>
          <w:t>دیوان شریف سمرقندی‏</w:t>
        </w:r>
        <w:r>
          <w:tab/>
        </w:r>
        <w:r>
          <w:fldChar w:fldCharType="begin"/>
        </w:r>
        <w:r>
          <w:instrText xml:space="preserve">PAGEREF 3813 \h</w:instrText>
        </w:r>
        <w:r>
          <w:fldChar w:fldCharType="end"/>
        </w:r>
      </w:hyperlink>
    </w:p>
    <w:p>
      <w:pPr>
        <w:tabs>
          <w:tab w:val="right" w:leader="dot" w:pos="9062"/>
        </w:tabs>
        <w:ind w:left="440"/>
      </w:pPr>
      <w:hyperlink w:anchor="_Toc3814" w:history="1">
        <w:r>
          <w:rPr>
            <w:rFonts w:ascii="IRNazanin" w:hAnsi="IRNazanin" w:eastAsia="IRNazanin" w:cs="IRNazanin"/>
            <w:color w:val="111111"/>
            <w:sz w:val="22"/>
            <w:szCs w:val="22"/>
            <w:b w:val="0"/>
            <w:bCs w:val="0"/>
            <w:i w:val="0"/>
            <w:iCs w:val="0"/>
          </w:rPr>
          <w:t>دیوان شریف شیرازی‏</w:t>
        </w:r>
        <w:r>
          <w:tab/>
        </w:r>
        <w:r>
          <w:fldChar w:fldCharType="begin"/>
        </w:r>
        <w:r>
          <w:instrText xml:space="preserve">PAGEREF 3814 \h</w:instrText>
        </w:r>
        <w:r>
          <w:fldChar w:fldCharType="end"/>
        </w:r>
      </w:hyperlink>
    </w:p>
    <w:p>
      <w:pPr>
        <w:tabs>
          <w:tab w:val="right" w:leader="dot" w:pos="9062"/>
        </w:tabs>
        <w:ind w:left="440"/>
      </w:pPr>
      <w:hyperlink w:anchor="_Toc3815" w:history="1">
        <w:r>
          <w:rPr>
            <w:rFonts w:ascii="IRNazanin" w:hAnsi="IRNazanin" w:eastAsia="IRNazanin" w:cs="IRNazanin"/>
            <w:color w:val="111111"/>
            <w:sz w:val="22"/>
            <w:szCs w:val="22"/>
            <w:b w:val="0"/>
            <w:bCs w:val="0"/>
            <w:i w:val="0"/>
            <w:iCs w:val="0"/>
          </w:rPr>
          <w:t>دیوان شریف شیرازی‏</w:t>
        </w:r>
        <w:r>
          <w:tab/>
        </w:r>
        <w:r>
          <w:fldChar w:fldCharType="begin"/>
        </w:r>
        <w:r>
          <w:instrText xml:space="preserve">PAGEREF 3815 \h</w:instrText>
        </w:r>
        <w:r>
          <w:fldChar w:fldCharType="end"/>
        </w:r>
      </w:hyperlink>
    </w:p>
    <w:p>
      <w:pPr>
        <w:tabs>
          <w:tab w:val="right" w:leader="dot" w:pos="9062"/>
        </w:tabs>
        <w:ind w:left="440"/>
      </w:pPr>
      <w:hyperlink w:anchor="_Toc3816" w:history="1">
        <w:r>
          <w:rPr>
            <w:rFonts w:ascii="IRNazanin" w:hAnsi="IRNazanin" w:eastAsia="IRNazanin" w:cs="IRNazanin"/>
            <w:color w:val="111111"/>
            <w:sz w:val="22"/>
            <w:szCs w:val="22"/>
            <w:b w:val="0"/>
            <w:bCs w:val="0"/>
            <w:i w:val="0"/>
            <w:iCs w:val="0"/>
          </w:rPr>
          <w:t>دیوان شریف شیرازی‏</w:t>
        </w:r>
        <w:r>
          <w:tab/>
        </w:r>
        <w:r>
          <w:fldChar w:fldCharType="begin"/>
        </w:r>
        <w:r>
          <w:instrText xml:space="preserve">PAGEREF 3816 \h</w:instrText>
        </w:r>
        <w:r>
          <w:fldChar w:fldCharType="end"/>
        </w:r>
      </w:hyperlink>
    </w:p>
    <w:p>
      <w:pPr>
        <w:tabs>
          <w:tab w:val="right" w:leader="dot" w:pos="9062"/>
        </w:tabs>
        <w:ind w:left="440"/>
      </w:pPr>
      <w:hyperlink w:anchor="_Toc3817" w:history="1">
        <w:r>
          <w:rPr>
            <w:rFonts w:ascii="IRNazanin" w:hAnsi="IRNazanin" w:eastAsia="IRNazanin" w:cs="IRNazanin"/>
            <w:color w:val="111111"/>
            <w:sz w:val="22"/>
            <w:szCs w:val="22"/>
            <w:b w:val="0"/>
            <w:bCs w:val="0"/>
            <w:i w:val="0"/>
            <w:iCs w:val="0"/>
          </w:rPr>
          <w:t>2901- دیوان شریف شیرازی أو شعره‏</w:t>
        </w:r>
        <w:r>
          <w:tab/>
        </w:r>
        <w:r>
          <w:fldChar w:fldCharType="begin"/>
        </w:r>
        <w:r>
          <w:instrText xml:space="preserve">PAGEREF 3817 \h</w:instrText>
        </w:r>
        <w:r>
          <w:fldChar w:fldCharType="end"/>
        </w:r>
      </w:hyperlink>
    </w:p>
    <w:p>
      <w:pPr>
        <w:tabs>
          <w:tab w:val="right" w:leader="dot" w:pos="9062"/>
        </w:tabs>
        <w:ind w:left="440"/>
      </w:pPr>
      <w:hyperlink w:anchor="_Toc3818" w:history="1">
        <w:r>
          <w:rPr>
            <w:rFonts w:ascii="IRNazanin" w:hAnsi="IRNazanin" w:eastAsia="IRNazanin" w:cs="IRNazanin"/>
            <w:color w:val="111111"/>
            <w:sz w:val="22"/>
            <w:szCs w:val="22"/>
            <w:b w:val="0"/>
            <w:bCs w:val="0"/>
            <w:i w:val="0"/>
            <w:iCs w:val="0"/>
          </w:rPr>
          <w:t>2902- دیوان شریف شیرازی أو شعره‏</w:t>
        </w:r>
        <w:r>
          <w:tab/>
        </w:r>
        <w:r>
          <w:fldChar w:fldCharType="begin"/>
        </w:r>
        <w:r>
          <w:instrText xml:space="preserve">PAGEREF 3818 \h</w:instrText>
        </w:r>
        <w:r>
          <w:fldChar w:fldCharType="end"/>
        </w:r>
      </w:hyperlink>
    </w:p>
    <w:p>
      <w:pPr>
        <w:tabs>
          <w:tab w:val="right" w:leader="dot" w:pos="9062"/>
        </w:tabs>
        <w:ind w:left="440"/>
      </w:pPr>
      <w:hyperlink w:anchor="_Toc3819" w:history="1">
        <w:r>
          <w:rPr>
            <w:rFonts w:ascii="IRNazanin" w:hAnsi="IRNazanin" w:eastAsia="IRNazanin" w:cs="IRNazanin"/>
            <w:color w:val="111111"/>
            <w:sz w:val="22"/>
            <w:szCs w:val="22"/>
            <w:b w:val="0"/>
            <w:bCs w:val="0"/>
            <w:i w:val="0"/>
            <w:iCs w:val="0"/>
          </w:rPr>
          <w:t>2903- دیوان شریف شیرازی أو شعره‏</w:t>
        </w:r>
        <w:r>
          <w:tab/>
        </w:r>
        <w:r>
          <w:fldChar w:fldCharType="begin"/>
        </w:r>
        <w:r>
          <w:instrText xml:space="preserve">PAGEREF 3819 \h</w:instrText>
        </w:r>
        <w:r>
          <w:fldChar w:fldCharType="end"/>
        </w:r>
      </w:hyperlink>
    </w:p>
    <w:p>
      <w:pPr>
        <w:tabs>
          <w:tab w:val="right" w:leader="dot" w:pos="9062"/>
        </w:tabs>
        <w:ind w:left="440"/>
      </w:pPr>
      <w:hyperlink w:anchor="_Toc3820" w:history="1">
        <w:r>
          <w:rPr>
            <w:rFonts w:ascii="IRNazanin" w:hAnsi="IRNazanin" w:eastAsia="IRNazanin" w:cs="IRNazanin"/>
            <w:color w:val="111111"/>
            <w:sz w:val="22"/>
            <w:szCs w:val="22"/>
            <w:b w:val="0"/>
            <w:bCs w:val="0"/>
            <w:i w:val="0"/>
            <w:iCs w:val="0"/>
          </w:rPr>
          <w:t>دیوان شریف طهرانی‏</w:t>
        </w:r>
        <w:r>
          <w:tab/>
        </w:r>
        <w:r>
          <w:fldChar w:fldCharType="begin"/>
        </w:r>
        <w:r>
          <w:instrText xml:space="preserve">PAGEREF 3820 \h</w:instrText>
        </w:r>
        <w:r>
          <w:fldChar w:fldCharType="end"/>
        </w:r>
      </w:hyperlink>
    </w:p>
    <w:p>
      <w:pPr>
        <w:tabs>
          <w:tab w:val="right" w:leader="dot" w:pos="9062"/>
        </w:tabs>
        <w:ind w:left="440"/>
      </w:pPr>
      <w:hyperlink w:anchor="_Toc3821" w:history="1">
        <w:r>
          <w:rPr>
            <w:rFonts w:ascii="IRNazanin" w:hAnsi="IRNazanin" w:eastAsia="IRNazanin" w:cs="IRNazanin"/>
            <w:color w:val="111111"/>
            <w:sz w:val="22"/>
            <w:szCs w:val="22"/>
            <w:b w:val="0"/>
            <w:bCs w:val="0"/>
            <w:i w:val="0"/>
            <w:iCs w:val="0"/>
          </w:rPr>
          <w:t>دیوان شریف طهرانی‏</w:t>
        </w:r>
        <w:r>
          <w:tab/>
        </w:r>
        <w:r>
          <w:fldChar w:fldCharType="begin"/>
        </w:r>
        <w:r>
          <w:instrText xml:space="preserve">PAGEREF 3821 \h</w:instrText>
        </w:r>
        <w:r>
          <w:fldChar w:fldCharType="end"/>
        </w:r>
      </w:hyperlink>
    </w:p>
    <w:p>
      <w:pPr>
        <w:tabs>
          <w:tab w:val="right" w:leader="dot" w:pos="9062"/>
        </w:tabs>
        <w:ind w:left="440"/>
      </w:pPr>
      <w:hyperlink w:anchor="_Toc3822" w:history="1">
        <w:r>
          <w:rPr>
            <w:rFonts w:ascii="IRNazanin" w:hAnsi="IRNazanin" w:eastAsia="IRNazanin" w:cs="IRNazanin"/>
            <w:color w:val="111111"/>
            <w:sz w:val="22"/>
            <w:szCs w:val="22"/>
            <w:b w:val="0"/>
            <w:bCs w:val="0"/>
            <w:i w:val="0"/>
            <w:iCs w:val="0"/>
          </w:rPr>
          <w:t>دیوان شریف طهرانی‏</w:t>
        </w:r>
        <w:r>
          <w:tab/>
        </w:r>
        <w:r>
          <w:fldChar w:fldCharType="begin"/>
        </w:r>
        <w:r>
          <w:instrText xml:space="preserve">PAGEREF 3822 \h</w:instrText>
        </w:r>
        <w:r>
          <w:fldChar w:fldCharType="end"/>
        </w:r>
      </w:hyperlink>
    </w:p>
    <w:p>
      <w:pPr>
        <w:tabs>
          <w:tab w:val="right" w:leader="dot" w:pos="9062"/>
        </w:tabs>
        <w:ind w:left="440"/>
      </w:pPr>
      <w:hyperlink w:anchor="_Toc3823" w:history="1">
        <w:r>
          <w:rPr>
            <w:rFonts w:ascii="IRNazanin" w:hAnsi="IRNazanin" w:eastAsia="IRNazanin" w:cs="IRNazanin"/>
            <w:color w:val="111111"/>
            <w:sz w:val="22"/>
            <w:szCs w:val="22"/>
            <w:b w:val="0"/>
            <w:bCs w:val="0"/>
            <w:i w:val="0"/>
            <w:iCs w:val="0"/>
          </w:rPr>
          <w:t>2904- دیوان الشریف العقیلی‏</w:t>
        </w:r>
        <w:r>
          <w:tab/>
        </w:r>
        <w:r>
          <w:fldChar w:fldCharType="begin"/>
        </w:r>
        <w:r>
          <w:instrText xml:space="preserve">PAGEREF 3823 \h</w:instrText>
        </w:r>
        <w:r>
          <w:fldChar w:fldCharType="end"/>
        </w:r>
      </w:hyperlink>
    </w:p>
    <w:p>
      <w:pPr>
        <w:tabs>
          <w:tab w:val="right" w:leader="dot" w:pos="9062"/>
        </w:tabs>
        <w:ind w:left="440"/>
      </w:pPr>
      <w:hyperlink w:anchor="_Toc3824" w:history="1">
        <w:r>
          <w:rPr>
            <w:rFonts w:ascii="IRNazanin" w:hAnsi="IRNazanin" w:eastAsia="IRNazanin" w:cs="IRNazanin"/>
            <w:color w:val="111111"/>
            <w:sz w:val="22"/>
            <w:szCs w:val="22"/>
            <w:b w:val="0"/>
            <w:bCs w:val="0"/>
            <w:i w:val="0"/>
            <w:iCs w:val="0"/>
          </w:rPr>
          <w:t>دیوان شریف فارسی‏</w:t>
        </w:r>
        <w:r>
          <w:tab/>
        </w:r>
        <w:r>
          <w:fldChar w:fldCharType="begin"/>
        </w:r>
        <w:r>
          <w:instrText xml:space="preserve">PAGEREF 3824 \h</w:instrText>
        </w:r>
        <w:r>
          <w:fldChar w:fldCharType="end"/>
        </w:r>
      </w:hyperlink>
    </w:p>
    <w:p>
      <w:pPr>
        <w:tabs>
          <w:tab w:val="right" w:leader="dot" w:pos="9062"/>
        </w:tabs>
        <w:ind w:left="440"/>
      </w:pPr>
      <w:hyperlink w:anchor="_Toc3825" w:history="1">
        <w:r>
          <w:rPr>
            <w:rFonts w:ascii="IRNazanin" w:hAnsi="IRNazanin" w:eastAsia="IRNazanin" w:cs="IRNazanin"/>
            <w:color w:val="111111"/>
            <w:sz w:val="22"/>
            <w:szCs w:val="22"/>
            <w:b w:val="0"/>
            <w:bCs w:val="0"/>
            <w:i w:val="0"/>
            <w:iCs w:val="0"/>
          </w:rPr>
          <w:t>2905- دیوان شریف کاشانی‏</w:t>
        </w:r>
        <w:r>
          <w:tab/>
        </w:r>
        <w:r>
          <w:fldChar w:fldCharType="begin"/>
        </w:r>
        <w:r>
          <w:instrText xml:space="preserve">PAGEREF 3825 \h</w:instrText>
        </w:r>
        <w:r>
          <w:fldChar w:fldCharType="end"/>
        </w:r>
      </w:hyperlink>
    </w:p>
    <w:p>
      <w:pPr>
        <w:tabs>
          <w:tab w:val="right" w:leader="dot" w:pos="9062"/>
        </w:tabs>
        <w:ind w:left="440"/>
      </w:pPr>
      <w:hyperlink w:anchor="_Toc3826" w:history="1">
        <w:r>
          <w:rPr>
            <w:rFonts w:ascii="IRNazanin" w:hAnsi="IRNazanin" w:eastAsia="IRNazanin" w:cs="IRNazanin"/>
            <w:color w:val="111111"/>
            <w:sz w:val="22"/>
            <w:szCs w:val="22"/>
            <w:b w:val="0"/>
            <w:bCs w:val="0"/>
            <w:i w:val="0"/>
            <w:iCs w:val="0"/>
          </w:rPr>
          <w:t>2906- دیوان الشریف الکاظمی‏</w:t>
        </w:r>
        <w:r>
          <w:tab/>
        </w:r>
        <w:r>
          <w:fldChar w:fldCharType="begin"/>
        </w:r>
        <w:r>
          <w:instrText xml:space="preserve">PAGEREF 3826 \h</w:instrText>
        </w:r>
        <w:r>
          <w:fldChar w:fldCharType="end"/>
        </w:r>
      </w:hyperlink>
    </w:p>
    <w:p>
      <w:pPr>
        <w:tabs>
          <w:tab w:val="right" w:leader="dot" w:pos="9062"/>
        </w:tabs>
        <w:ind w:left="440"/>
      </w:pPr>
      <w:hyperlink w:anchor="_Toc3827" w:history="1">
        <w:r>
          <w:rPr>
            <w:rFonts w:ascii="IRNazanin" w:hAnsi="IRNazanin" w:eastAsia="IRNazanin" w:cs="IRNazanin"/>
            <w:color w:val="111111"/>
            <w:sz w:val="22"/>
            <w:szCs w:val="22"/>
            <w:b w:val="0"/>
            <w:bCs w:val="0"/>
            <w:i w:val="0"/>
            <w:iCs w:val="0"/>
          </w:rPr>
          <w:t>2907- دیوان الشیخ شریف محیی الدین الجامعی‏</w:t>
        </w:r>
        <w:r>
          <w:tab/>
        </w:r>
        <w:r>
          <w:fldChar w:fldCharType="begin"/>
        </w:r>
        <w:r>
          <w:instrText xml:space="preserve">PAGEREF 3827 \h</w:instrText>
        </w:r>
        <w:r>
          <w:fldChar w:fldCharType="end"/>
        </w:r>
      </w:hyperlink>
    </w:p>
    <w:p>
      <w:pPr>
        <w:tabs>
          <w:tab w:val="right" w:leader="dot" w:pos="9062"/>
        </w:tabs>
        <w:ind w:left="440"/>
      </w:pPr>
      <w:hyperlink w:anchor="_Toc3828" w:history="1">
        <w:r>
          <w:rPr>
            <w:rFonts w:ascii="IRNazanin" w:hAnsi="IRNazanin" w:eastAsia="IRNazanin" w:cs="IRNazanin"/>
            <w:color w:val="111111"/>
            <w:sz w:val="22"/>
            <w:szCs w:val="22"/>
            <w:b w:val="0"/>
            <w:bCs w:val="0"/>
            <w:i w:val="0"/>
            <w:iCs w:val="0"/>
          </w:rPr>
          <w:t>دیوان الشریف المرتضی‏</w:t>
        </w:r>
        <w:r>
          <w:tab/>
        </w:r>
        <w:r>
          <w:fldChar w:fldCharType="begin"/>
        </w:r>
        <w:r>
          <w:instrText xml:space="preserve">PAGEREF 3828 \h</w:instrText>
        </w:r>
        <w:r>
          <w:fldChar w:fldCharType="end"/>
        </w:r>
      </w:hyperlink>
    </w:p>
    <w:p>
      <w:pPr>
        <w:tabs>
          <w:tab w:val="right" w:leader="dot" w:pos="9062"/>
        </w:tabs>
        <w:ind w:left="440"/>
      </w:pPr>
      <w:hyperlink w:anchor="_Toc3829" w:history="1">
        <w:r>
          <w:rPr>
            <w:rFonts w:ascii="IRNazanin" w:hAnsi="IRNazanin" w:eastAsia="IRNazanin" w:cs="IRNazanin"/>
            <w:color w:val="111111"/>
            <w:sz w:val="22"/>
            <w:szCs w:val="22"/>
            <w:b w:val="0"/>
            <w:bCs w:val="0"/>
            <w:i w:val="0"/>
            <w:iCs w:val="0"/>
          </w:rPr>
          <w:t>دیوان شریف مشهدی‏</w:t>
        </w:r>
        <w:r>
          <w:tab/>
        </w:r>
        <w:r>
          <w:fldChar w:fldCharType="begin"/>
        </w:r>
        <w:r>
          <w:instrText xml:space="preserve">PAGEREF 3829 \h</w:instrText>
        </w:r>
        <w:r>
          <w:fldChar w:fldCharType="end"/>
        </w:r>
      </w:hyperlink>
    </w:p>
    <w:p>
      <w:pPr>
        <w:tabs>
          <w:tab w:val="right" w:leader="dot" w:pos="9062"/>
        </w:tabs>
        <w:ind w:left="440"/>
      </w:pPr>
      <w:hyperlink w:anchor="_Toc3830" w:history="1">
        <w:r>
          <w:rPr>
            <w:rFonts w:ascii="IRNazanin" w:hAnsi="IRNazanin" w:eastAsia="IRNazanin" w:cs="IRNazanin"/>
            <w:color w:val="111111"/>
            <w:sz w:val="22"/>
            <w:szCs w:val="22"/>
            <w:b w:val="0"/>
            <w:bCs w:val="0"/>
            <w:i w:val="0"/>
            <w:iCs w:val="0"/>
          </w:rPr>
          <w:t>2908- دیوان شریف معمایی أو شعره‏</w:t>
        </w:r>
        <w:r>
          <w:tab/>
        </w:r>
        <w:r>
          <w:fldChar w:fldCharType="begin"/>
        </w:r>
        <w:r>
          <w:instrText xml:space="preserve">PAGEREF 3830 \h</w:instrText>
        </w:r>
        <w:r>
          <w:fldChar w:fldCharType="end"/>
        </w:r>
      </w:hyperlink>
    </w:p>
    <w:p>
      <w:pPr>
        <w:tabs>
          <w:tab w:val="right" w:leader="dot" w:pos="9062"/>
        </w:tabs>
        <w:ind w:left="440"/>
      </w:pPr>
      <w:hyperlink w:anchor="_Toc3831" w:history="1">
        <w:r>
          <w:rPr>
            <w:rFonts w:ascii="IRNazanin" w:hAnsi="IRNazanin" w:eastAsia="IRNazanin" w:cs="IRNazanin"/>
            <w:color w:val="111111"/>
            <w:sz w:val="22"/>
            <w:szCs w:val="22"/>
            <w:b w:val="0"/>
            <w:bCs w:val="0"/>
            <w:i w:val="0"/>
            <w:iCs w:val="0"/>
          </w:rPr>
          <w:t>2909- دیوان الشیخ شریف النجفی‏</w:t>
        </w:r>
        <w:r>
          <w:tab/>
        </w:r>
        <w:r>
          <w:fldChar w:fldCharType="begin"/>
        </w:r>
        <w:r>
          <w:instrText xml:space="preserve">PAGEREF 3831 \h</w:instrText>
        </w:r>
        <w:r>
          <w:fldChar w:fldCharType="end"/>
        </w:r>
      </w:hyperlink>
    </w:p>
    <w:p>
      <w:pPr>
        <w:tabs>
          <w:tab w:val="right" w:leader="dot" w:pos="9062"/>
        </w:tabs>
        <w:ind w:left="440"/>
      </w:pPr>
      <w:hyperlink w:anchor="_Toc3832" w:history="1">
        <w:r>
          <w:rPr>
            <w:rFonts w:ascii="IRNazanin" w:hAnsi="IRNazanin" w:eastAsia="IRNazanin" w:cs="IRNazanin"/>
            <w:color w:val="111111"/>
            <w:sz w:val="22"/>
            <w:szCs w:val="22"/>
            <w:b w:val="0"/>
            <w:bCs w:val="0"/>
            <w:i w:val="0"/>
            <w:iCs w:val="0"/>
          </w:rPr>
          <w:t>2910- دیوان شریف ورنوسفادرانی‏</w:t>
        </w:r>
        <w:r>
          <w:tab/>
        </w:r>
        <w:r>
          <w:fldChar w:fldCharType="begin"/>
        </w:r>
        <w:r>
          <w:instrText xml:space="preserve">PAGEREF 3832 \h</w:instrText>
        </w:r>
        <w:r>
          <w:fldChar w:fldCharType="end"/>
        </w:r>
      </w:hyperlink>
    </w:p>
    <w:p>
      <w:pPr>
        <w:tabs>
          <w:tab w:val="right" w:leader="dot" w:pos="9062"/>
        </w:tabs>
        <w:ind w:left="440"/>
      </w:pPr>
      <w:hyperlink w:anchor="_Toc3833" w:history="1">
        <w:r>
          <w:rPr>
            <w:rFonts w:ascii="IRNazanin" w:hAnsi="IRNazanin" w:eastAsia="IRNazanin" w:cs="IRNazanin"/>
            <w:color w:val="111111"/>
            <w:sz w:val="22"/>
            <w:szCs w:val="22"/>
            <w:b w:val="0"/>
            <w:bCs w:val="0"/>
            <w:i w:val="0"/>
            <w:iCs w:val="0"/>
          </w:rPr>
          <w:t>دیوان شریفی بدخشانی‏</w:t>
        </w:r>
        <w:r>
          <w:tab/>
        </w:r>
        <w:r>
          <w:fldChar w:fldCharType="begin"/>
        </w:r>
        <w:r>
          <w:instrText xml:space="preserve">PAGEREF 3833 \h</w:instrText>
        </w:r>
        <w:r>
          <w:fldChar w:fldCharType="end"/>
        </w:r>
      </w:hyperlink>
    </w:p>
    <w:p>
      <w:pPr>
        <w:tabs>
          <w:tab w:val="right" w:leader="dot" w:pos="9062"/>
        </w:tabs>
        <w:ind w:left="440"/>
      </w:pPr>
      <w:hyperlink w:anchor="_Toc3834" w:history="1">
        <w:r>
          <w:rPr>
            <w:rFonts w:ascii="IRNazanin" w:hAnsi="IRNazanin" w:eastAsia="IRNazanin" w:cs="IRNazanin"/>
            <w:color w:val="111111"/>
            <w:sz w:val="22"/>
            <w:szCs w:val="22"/>
            <w:b w:val="0"/>
            <w:bCs w:val="0"/>
            <w:i w:val="0"/>
            <w:iCs w:val="0"/>
          </w:rPr>
          <w:t>2911- دیوان شریفی بلخی‏</w:t>
        </w:r>
        <w:r>
          <w:tab/>
        </w:r>
        <w:r>
          <w:fldChar w:fldCharType="begin"/>
        </w:r>
        <w:r>
          <w:instrText xml:space="preserve">PAGEREF 3834 \h</w:instrText>
        </w:r>
        <w:r>
          <w:fldChar w:fldCharType="end"/>
        </w:r>
      </w:hyperlink>
    </w:p>
    <w:p>
      <w:pPr>
        <w:tabs>
          <w:tab w:val="right" w:leader="dot" w:pos="9062"/>
        </w:tabs>
        <w:ind w:left="440"/>
      </w:pPr>
      <w:hyperlink w:anchor="_Toc3835" w:history="1">
        <w:r>
          <w:rPr>
            <w:rFonts w:ascii="IRNazanin" w:hAnsi="IRNazanin" w:eastAsia="IRNazanin" w:cs="IRNazanin"/>
            <w:color w:val="111111"/>
            <w:sz w:val="22"/>
            <w:szCs w:val="22"/>
            <w:b w:val="0"/>
            <w:bCs w:val="0"/>
            <w:i w:val="0"/>
            <w:iCs w:val="0"/>
          </w:rPr>
          <w:t>2912- دیوان شریفی تبریزی أو شعره‏</w:t>
        </w:r>
        <w:r>
          <w:tab/>
        </w:r>
        <w:r>
          <w:fldChar w:fldCharType="begin"/>
        </w:r>
        <w:r>
          <w:instrText xml:space="preserve">PAGEREF 3835 \h</w:instrText>
        </w:r>
        <w:r>
          <w:fldChar w:fldCharType="end"/>
        </w:r>
      </w:hyperlink>
    </w:p>
    <w:p>
      <w:pPr>
        <w:tabs>
          <w:tab w:val="right" w:leader="dot" w:pos="9062"/>
        </w:tabs>
        <w:ind w:left="440"/>
      </w:pPr>
      <w:hyperlink w:anchor="_Toc3836" w:history="1">
        <w:r>
          <w:rPr>
            <w:rFonts w:ascii="IRNazanin" w:hAnsi="IRNazanin" w:eastAsia="IRNazanin" w:cs="IRNazanin"/>
            <w:color w:val="111111"/>
            <w:sz w:val="22"/>
            <w:szCs w:val="22"/>
            <w:b w:val="0"/>
            <w:bCs w:val="0"/>
            <w:i w:val="0"/>
            <w:iCs w:val="0"/>
          </w:rPr>
          <w:t>2913- دیوان شریفی شیرازی‏</w:t>
        </w:r>
        <w:r>
          <w:tab/>
        </w:r>
        <w:r>
          <w:fldChar w:fldCharType="begin"/>
        </w:r>
        <w:r>
          <w:instrText xml:space="preserve">PAGEREF 3836 \h</w:instrText>
        </w:r>
        <w:r>
          <w:fldChar w:fldCharType="end"/>
        </w:r>
      </w:hyperlink>
    </w:p>
    <w:p>
      <w:pPr>
        <w:tabs>
          <w:tab w:val="right" w:leader="dot" w:pos="9062"/>
        </w:tabs>
        <w:ind w:left="440"/>
      </w:pPr>
      <w:hyperlink w:anchor="_Toc3837" w:history="1">
        <w:r>
          <w:rPr>
            <w:rFonts w:ascii="IRNazanin" w:hAnsi="IRNazanin" w:eastAsia="IRNazanin" w:cs="IRNazanin"/>
            <w:color w:val="111111"/>
            <w:sz w:val="22"/>
            <w:szCs w:val="22"/>
            <w:b w:val="0"/>
            <w:bCs w:val="0"/>
            <w:i w:val="0"/>
            <w:iCs w:val="0"/>
          </w:rPr>
          <w:t>دیوان شریفی شیرازی‏</w:t>
        </w:r>
        <w:r>
          <w:tab/>
        </w:r>
        <w:r>
          <w:fldChar w:fldCharType="begin"/>
        </w:r>
        <w:r>
          <w:instrText xml:space="preserve">PAGEREF 3837 \h</w:instrText>
        </w:r>
        <w:r>
          <w:fldChar w:fldCharType="end"/>
        </w:r>
      </w:hyperlink>
    </w:p>
    <w:p>
      <w:pPr>
        <w:tabs>
          <w:tab w:val="right" w:leader="dot" w:pos="9062"/>
        </w:tabs>
        <w:ind w:left="440"/>
      </w:pPr>
      <w:hyperlink w:anchor="_Toc3838" w:history="1">
        <w:r>
          <w:rPr>
            <w:rFonts w:ascii="IRNazanin" w:hAnsi="IRNazanin" w:eastAsia="IRNazanin" w:cs="IRNazanin"/>
            <w:color w:val="111111"/>
            <w:sz w:val="22"/>
            <w:szCs w:val="22"/>
            <w:b w:val="0"/>
            <w:bCs w:val="0"/>
            <w:i w:val="0"/>
            <w:iCs w:val="0"/>
          </w:rPr>
          <w:t>دیوان شریفی شیرازی‏</w:t>
        </w:r>
        <w:r>
          <w:tab/>
        </w:r>
        <w:r>
          <w:fldChar w:fldCharType="begin"/>
        </w:r>
        <w:r>
          <w:instrText xml:space="preserve">PAGEREF 3838 \h</w:instrText>
        </w:r>
        <w:r>
          <w:fldChar w:fldCharType="end"/>
        </w:r>
      </w:hyperlink>
    </w:p>
    <w:p>
      <w:pPr>
        <w:tabs>
          <w:tab w:val="right" w:leader="dot" w:pos="9062"/>
        </w:tabs>
        <w:ind w:left="440"/>
      </w:pPr>
      <w:hyperlink w:anchor="_Toc3839" w:history="1">
        <w:r>
          <w:rPr>
            <w:rFonts w:ascii="IRNazanin" w:hAnsi="IRNazanin" w:eastAsia="IRNazanin" w:cs="IRNazanin"/>
            <w:color w:val="111111"/>
            <w:sz w:val="22"/>
            <w:szCs w:val="22"/>
            <w:b w:val="0"/>
            <w:bCs w:val="0"/>
            <w:i w:val="0"/>
            <w:iCs w:val="0"/>
          </w:rPr>
          <w:t>2914- دیوان شریفی شیرازی أو شعره‏</w:t>
        </w:r>
        <w:r>
          <w:tab/>
        </w:r>
        <w:r>
          <w:fldChar w:fldCharType="begin"/>
        </w:r>
        <w:r>
          <w:instrText xml:space="preserve">PAGEREF 3839 \h</w:instrText>
        </w:r>
        <w:r>
          <w:fldChar w:fldCharType="end"/>
        </w:r>
      </w:hyperlink>
    </w:p>
    <w:p>
      <w:pPr>
        <w:tabs>
          <w:tab w:val="right" w:leader="dot" w:pos="9062"/>
        </w:tabs>
        <w:ind w:left="440"/>
      </w:pPr>
      <w:hyperlink w:anchor="_Toc3840" w:history="1">
        <w:r>
          <w:rPr>
            <w:rFonts w:ascii="IRNazanin" w:hAnsi="IRNazanin" w:eastAsia="IRNazanin" w:cs="IRNazanin"/>
            <w:color w:val="111111"/>
            <w:sz w:val="22"/>
            <w:szCs w:val="22"/>
            <w:b w:val="0"/>
            <w:bCs w:val="0"/>
            <w:i w:val="0"/>
            <w:iCs w:val="0"/>
          </w:rPr>
          <w:t>2915- دیوان شریفی الکرمانی أو شعره‏</w:t>
        </w:r>
        <w:r>
          <w:tab/>
        </w:r>
        <w:r>
          <w:fldChar w:fldCharType="begin"/>
        </w:r>
        <w:r>
          <w:instrText xml:space="preserve">PAGEREF 3840 \h</w:instrText>
        </w:r>
        <w:r>
          <w:fldChar w:fldCharType="end"/>
        </w:r>
      </w:hyperlink>
    </w:p>
    <w:p>
      <w:pPr>
        <w:tabs>
          <w:tab w:val="right" w:leader="dot" w:pos="9062"/>
        </w:tabs>
        <w:ind w:left="440"/>
      </w:pPr>
      <w:hyperlink w:anchor="_Toc3841" w:history="1">
        <w:r>
          <w:rPr>
            <w:rFonts w:ascii="IRNazanin" w:hAnsi="IRNazanin" w:eastAsia="IRNazanin" w:cs="IRNazanin"/>
            <w:color w:val="111111"/>
            <w:sz w:val="22"/>
            <w:szCs w:val="22"/>
            <w:b w:val="0"/>
            <w:bCs w:val="0"/>
            <w:i w:val="0"/>
            <w:iCs w:val="0"/>
          </w:rPr>
          <w:t>2916- دیوان شریفی مشهدی أو شعره‏</w:t>
        </w:r>
        <w:r>
          <w:tab/>
        </w:r>
        <w:r>
          <w:fldChar w:fldCharType="begin"/>
        </w:r>
        <w:r>
          <w:instrText xml:space="preserve">PAGEREF 3841 \h</w:instrText>
        </w:r>
        <w:r>
          <w:fldChar w:fldCharType="end"/>
        </w:r>
      </w:hyperlink>
    </w:p>
    <w:p>
      <w:pPr>
        <w:tabs>
          <w:tab w:val="right" w:leader="dot" w:pos="9062"/>
        </w:tabs>
        <w:ind w:left="440"/>
      </w:pPr>
      <w:hyperlink w:anchor="_Toc3842" w:history="1">
        <w:r>
          <w:rPr>
            <w:rFonts w:ascii="IRNazanin" w:hAnsi="IRNazanin" w:eastAsia="IRNazanin" w:cs="IRNazanin"/>
            <w:color w:val="111111"/>
            <w:sz w:val="22"/>
            <w:szCs w:val="22"/>
            <w:b w:val="0"/>
            <w:bCs w:val="0"/>
            <w:i w:val="0"/>
            <w:iCs w:val="0"/>
          </w:rPr>
          <w:t>دیوان شصت کله‏</w:t>
        </w:r>
        <w:r>
          <w:tab/>
        </w:r>
        <w:r>
          <w:fldChar w:fldCharType="begin"/>
        </w:r>
        <w:r>
          <w:instrText xml:space="preserve">PAGEREF 3842 \h</w:instrText>
        </w:r>
        <w:r>
          <w:fldChar w:fldCharType="end"/>
        </w:r>
      </w:hyperlink>
    </w:p>
    <w:p>
      <w:pPr>
        <w:tabs>
          <w:tab w:val="right" w:leader="dot" w:pos="9062"/>
        </w:tabs>
        <w:ind w:left="440"/>
      </w:pPr>
      <w:hyperlink w:anchor="_Toc3843" w:history="1">
        <w:r>
          <w:rPr>
            <w:rFonts w:ascii="IRNazanin" w:hAnsi="IRNazanin" w:eastAsia="IRNazanin" w:cs="IRNazanin"/>
            <w:color w:val="111111"/>
            <w:sz w:val="22"/>
            <w:szCs w:val="22"/>
            <w:b w:val="0"/>
            <w:bCs w:val="0"/>
            <w:i w:val="0"/>
            <w:iCs w:val="0"/>
          </w:rPr>
          <w:t>2917- دیوان شصت کله أو شعره‏</w:t>
        </w:r>
        <w:r>
          <w:tab/>
        </w:r>
        <w:r>
          <w:fldChar w:fldCharType="begin"/>
        </w:r>
        <w:r>
          <w:instrText xml:space="preserve">PAGEREF 3843 \h</w:instrText>
        </w:r>
        <w:r>
          <w:fldChar w:fldCharType="end"/>
        </w:r>
      </w:hyperlink>
    </w:p>
    <w:p>
      <w:pPr>
        <w:tabs>
          <w:tab w:val="right" w:leader="dot" w:pos="9062"/>
        </w:tabs>
        <w:ind w:left="440"/>
      </w:pPr>
      <w:hyperlink w:anchor="_Toc3844" w:history="1">
        <w:r>
          <w:rPr>
            <w:rFonts w:ascii="IRNazanin" w:hAnsi="IRNazanin" w:eastAsia="IRNazanin" w:cs="IRNazanin"/>
            <w:color w:val="111111"/>
            <w:sz w:val="22"/>
            <w:szCs w:val="22"/>
            <w:b w:val="0"/>
            <w:bCs w:val="0"/>
            <w:i w:val="0"/>
            <w:iCs w:val="0"/>
          </w:rPr>
          <w:t>دیوان الشطاح‏</w:t>
        </w:r>
        <w:r>
          <w:tab/>
        </w:r>
        <w:r>
          <w:fldChar w:fldCharType="begin"/>
        </w:r>
        <w:r>
          <w:instrText xml:space="preserve">PAGEREF 3844 \h</w:instrText>
        </w:r>
        <w:r>
          <w:fldChar w:fldCharType="end"/>
        </w:r>
      </w:hyperlink>
    </w:p>
    <w:p>
      <w:pPr>
        <w:tabs>
          <w:tab w:val="right" w:leader="dot" w:pos="9062"/>
        </w:tabs>
        <w:ind w:left="440"/>
      </w:pPr>
      <w:hyperlink w:anchor="_Toc3845" w:history="1">
        <w:r>
          <w:rPr>
            <w:rFonts w:ascii="IRNazanin" w:hAnsi="IRNazanin" w:eastAsia="IRNazanin" w:cs="IRNazanin"/>
            <w:color w:val="111111"/>
            <w:sz w:val="22"/>
            <w:szCs w:val="22"/>
            <w:b w:val="0"/>
            <w:bCs w:val="0"/>
            <w:i w:val="0"/>
            <w:iCs w:val="0"/>
          </w:rPr>
          <w:t>2918- دیوان شطرنجی سمرقندی أو شعره‏</w:t>
        </w:r>
        <w:r>
          <w:tab/>
        </w:r>
        <w:r>
          <w:fldChar w:fldCharType="begin"/>
        </w:r>
        <w:r>
          <w:instrText xml:space="preserve">PAGEREF 3845 \h</w:instrText>
        </w:r>
        <w:r>
          <w:fldChar w:fldCharType="end"/>
        </w:r>
      </w:hyperlink>
    </w:p>
    <w:p>
      <w:pPr>
        <w:tabs>
          <w:tab w:val="right" w:leader="dot" w:pos="9062"/>
        </w:tabs>
        <w:ind w:left="440"/>
      </w:pPr>
      <w:hyperlink w:anchor="_Toc3846" w:history="1">
        <w:r>
          <w:rPr>
            <w:rFonts w:ascii="IRNazanin" w:hAnsi="IRNazanin" w:eastAsia="IRNazanin" w:cs="IRNazanin"/>
            <w:color w:val="111111"/>
            <w:sz w:val="22"/>
            <w:szCs w:val="22"/>
            <w:b w:val="0"/>
            <w:bCs w:val="0"/>
            <w:i w:val="0"/>
            <w:iCs w:val="0"/>
          </w:rPr>
          <w:t>2919- دیوان شعاع أصفهانی‏</w:t>
        </w:r>
        <w:r>
          <w:tab/>
        </w:r>
        <w:r>
          <w:fldChar w:fldCharType="begin"/>
        </w:r>
        <w:r>
          <w:instrText xml:space="preserve">PAGEREF 3846 \h</w:instrText>
        </w:r>
        <w:r>
          <w:fldChar w:fldCharType="end"/>
        </w:r>
      </w:hyperlink>
    </w:p>
    <w:p>
      <w:pPr>
        <w:tabs>
          <w:tab w:val="right" w:leader="dot" w:pos="9062"/>
        </w:tabs>
        <w:ind w:left="440"/>
      </w:pPr>
      <w:hyperlink w:anchor="_Toc3847" w:history="1">
        <w:r>
          <w:rPr>
            <w:rFonts w:ascii="IRNazanin" w:hAnsi="IRNazanin" w:eastAsia="IRNazanin" w:cs="IRNazanin"/>
            <w:color w:val="111111"/>
            <w:sz w:val="22"/>
            <w:szCs w:val="22"/>
            <w:b w:val="0"/>
            <w:bCs w:val="0"/>
            <w:i w:val="0"/>
            <w:iCs w:val="0"/>
          </w:rPr>
          <w:t>2920- دیوان شعاع شیرازی‏</w:t>
        </w:r>
        <w:r>
          <w:tab/>
        </w:r>
        <w:r>
          <w:fldChar w:fldCharType="begin"/>
        </w:r>
        <w:r>
          <w:instrText xml:space="preserve">PAGEREF 3847 \h</w:instrText>
        </w:r>
        <w:r>
          <w:fldChar w:fldCharType="end"/>
        </w:r>
      </w:hyperlink>
    </w:p>
    <w:p>
      <w:pPr>
        <w:tabs>
          <w:tab w:val="right" w:leader="dot" w:pos="9062"/>
        </w:tabs>
        <w:ind w:left="440"/>
      </w:pPr>
      <w:hyperlink w:anchor="_Toc3848" w:history="1">
        <w:r>
          <w:rPr>
            <w:rFonts w:ascii="IRNazanin" w:hAnsi="IRNazanin" w:eastAsia="IRNazanin" w:cs="IRNazanin"/>
            <w:color w:val="111111"/>
            <w:sz w:val="22"/>
            <w:szCs w:val="22"/>
            <w:b w:val="0"/>
            <w:bCs w:val="0"/>
            <w:i w:val="0"/>
            <w:iCs w:val="0"/>
          </w:rPr>
          <w:t>2921- دیوان شعاعی قاجار</w:t>
        </w:r>
        <w:r>
          <w:tab/>
        </w:r>
        <w:r>
          <w:fldChar w:fldCharType="begin"/>
        </w:r>
        <w:r>
          <w:instrText xml:space="preserve">PAGEREF 3848 \h</w:instrText>
        </w:r>
        <w:r>
          <w:fldChar w:fldCharType="end"/>
        </w:r>
      </w:hyperlink>
    </w:p>
    <w:p>
      <w:pPr>
        <w:tabs>
          <w:tab w:val="right" w:leader="dot" w:pos="9062"/>
        </w:tabs>
        <w:ind w:left="440"/>
      </w:pPr>
      <w:hyperlink w:anchor="_Toc3849" w:history="1">
        <w:r>
          <w:rPr>
            <w:rFonts w:ascii="IRNazanin" w:hAnsi="IRNazanin" w:eastAsia="IRNazanin" w:cs="IRNazanin"/>
            <w:color w:val="111111"/>
            <w:sz w:val="22"/>
            <w:szCs w:val="22"/>
            <w:b w:val="0"/>
            <w:bCs w:val="0"/>
            <w:i w:val="0"/>
            <w:iCs w:val="0"/>
          </w:rPr>
          <w:t>2922- دیوان شعبان‏</w:t>
        </w:r>
        <w:r>
          <w:tab/>
        </w:r>
        <w:r>
          <w:fldChar w:fldCharType="begin"/>
        </w:r>
        <w:r>
          <w:instrText xml:space="preserve">PAGEREF 3849 \h</w:instrText>
        </w:r>
        <w:r>
          <w:fldChar w:fldCharType="end"/>
        </w:r>
      </w:hyperlink>
    </w:p>
    <w:p>
      <w:pPr>
        <w:tabs>
          <w:tab w:val="right" w:leader="dot" w:pos="9062"/>
        </w:tabs>
        <w:ind w:left="440"/>
      </w:pPr>
      <w:hyperlink w:anchor="_Toc3850" w:history="1">
        <w:r>
          <w:rPr>
            <w:rFonts w:ascii="IRNazanin" w:hAnsi="IRNazanin" w:eastAsia="IRNazanin" w:cs="IRNazanin"/>
            <w:color w:val="111111"/>
            <w:sz w:val="22"/>
            <w:szCs w:val="22"/>
            <w:b w:val="0"/>
            <w:bCs w:val="0"/>
            <w:i w:val="0"/>
            <w:iCs w:val="0"/>
          </w:rPr>
          <w:t>2923- دیوان شعری‏</w:t>
        </w:r>
        <w:r>
          <w:tab/>
        </w:r>
        <w:r>
          <w:fldChar w:fldCharType="begin"/>
        </w:r>
        <w:r>
          <w:instrText xml:space="preserve">PAGEREF 3850 \h</w:instrText>
        </w:r>
        <w:r>
          <w:fldChar w:fldCharType="end"/>
        </w:r>
      </w:hyperlink>
    </w:p>
    <w:p>
      <w:pPr>
        <w:tabs>
          <w:tab w:val="right" w:leader="dot" w:pos="9062"/>
        </w:tabs>
        <w:ind w:left="440"/>
      </w:pPr>
      <w:hyperlink w:anchor="_Toc3851" w:history="1">
        <w:r>
          <w:rPr>
            <w:rFonts w:ascii="IRNazanin" w:hAnsi="IRNazanin" w:eastAsia="IRNazanin" w:cs="IRNazanin"/>
            <w:color w:val="111111"/>
            <w:sz w:val="22"/>
            <w:szCs w:val="22"/>
            <w:b w:val="0"/>
            <w:bCs w:val="0"/>
            <w:i w:val="0"/>
            <w:iCs w:val="0"/>
          </w:rPr>
          <w:t>2924- دیوان شعری أصفهانی‏</w:t>
        </w:r>
        <w:r>
          <w:tab/>
        </w:r>
        <w:r>
          <w:fldChar w:fldCharType="begin"/>
        </w:r>
        <w:r>
          <w:instrText xml:space="preserve">PAGEREF 3851 \h</w:instrText>
        </w:r>
        <w:r>
          <w:fldChar w:fldCharType="end"/>
        </w:r>
      </w:hyperlink>
    </w:p>
    <w:p>
      <w:pPr>
        <w:tabs>
          <w:tab w:val="right" w:leader="dot" w:pos="9062"/>
        </w:tabs>
        <w:ind w:left="440"/>
      </w:pPr>
      <w:hyperlink w:anchor="_Toc3852" w:history="1">
        <w:r>
          <w:rPr>
            <w:rFonts w:ascii="IRNazanin" w:hAnsi="IRNazanin" w:eastAsia="IRNazanin" w:cs="IRNazanin"/>
            <w:color w:val="111111"/>
            <w:sz w:val="22"/>
            <w:szCs w:val="22"/>
            <w:b w:val="0"/>
            <w:bCs w:val="0"/>
            <w:i w:val="0"/>
            <w:iCs w:val="0"/>
          </w:rPr>
          <w:t>2925- دیوان شعری شیرازی أو شعره‏</w:t>
        </w:r>
        <w:r>
          <w:tab/>
        </w:r>
        <w:r>
          <w:fldChar w:fldCharType="begin"/>
        </w:r>
        <w:r>
          <w:instrText xml:space="preserve">PAGEREF 3852 \h</w:instrText>
        </w:r>
        <w:r>
          <w:fldChar w:fldCharType="end"/>
        </w:r>
      </w:hyperlink>
    </w:p>
    <w:p>
      <w:pPr>
        <w:tabs>
          <w:tab w:val="right" w:leader="dot" w:pos="9062"/>
        </w:tabs>
        <w:ind w:left="440"/>
      </w:pPr>
      <w:hyperlink w:anchor="_Toc3853" w:history="1">
        <w:r>
          <w:rPr>
            <w:rFonts w:ascii="IRNazanin" w:hAnsi="IRNazanin" w:eastAsia="IRNazanin" w:cs="IRNazanin"/>
            <w:color w:val="111111"/>
            <w:sz w:val="22"/>
            <w:szCs w:val="22"/>
            <w:b w:val="0"/>
            <w:bCs w:val="0"/>
            <w:i w:val="0"/>
            <w:iCs w:val="0"/>
          </w:rPr>
          <w:t>2926- دیوان شعری کشمیری‏</w:t>
        </w:r>
        <w:r>
          <w:tab/>
        </w:r>
        <w:r>
          <w:fldChar w:fldCharType="begin"/>
        </w:r>
        <w:r>
          <w:instrText xml:space="preserve">PAGEREF 3853 \h</w:instrText>
        </w:r>
        <w:r>
          <w:fldChar w:fldCharType="end"/>
        </w:r>
      </w:hyperlink>
    </w:p>
    <w:p>
      <w:pPr>
        <w:tabs>
          <w:tab w:val="right" w:leader="dot" w:pos="9062"/>
        </w:tabs>
        <w:ind w:left="440"/>
      </w:pPr>
      <w:hyperlink w:anchor="_Toc3854" w:history="1">
        <w:r>
          <w:rPr>
            <w:rFonts w:ascii="IRNazanin" w:hAnsi="IRNazanin" w:eastAsia="IRNazanin" w:cs="IRNazanin"/>
            <w:color w:val="111111"/>
            <w:sz w:val="22"/>
            <w:szCs w:val="22"/>
            <w:b w:val="0"/>
            <w:bCs w:val="0"/>
            <w:i w:val="0"/>
            <w:iCs w:val="0"/>
          </w:rPr>
          <w:t>2927- دیوان شعری یزدی‏</w:t>
        </w:r>
        <w:r>
          <w:tab/>
        </w:r>
        <w:r>
          <w:fldChar w:fldCharType="begin"/>
        </w:r>
        <w:r>
          <w:instrText xml:space="preserve">PAGEREF 3854 \h</w:instrText>
        </w:r>
        <w:r>
          <w:fldChar w:fldCharType="end"/>
        </w:r>
      </w:hyperlink>
    </w:p>
    <w:p>
      <w:pPr>
        <w:tabs>
          <w:tab w:val="right" w:leader="dot" w:pos="9062"/>
        </w:tabs>
        <w:ind w:left="440"/>
      </w:pPr>
      <w:hyperlink w:anchor="_Toc3855" w:history="1">
        <w:r>
          <w:rPr>
            <w:rFonts w:ascii="IRNazanin" w:hAnsi="IRNazanin" w:eastAsia="IRNazanin" w:cs="IRNazanin"/>
            <w:color w:val="111111"/>
            <w:sz w:val="22"/>
            <w:szCs w:val="22"/>
            <w:b w:val="0"/>
            <w:bCs w:val="0"/>
            <w:i w:val="0"/>
            <w:iCs w:val="0"/>
          </w:rPr>
          <w:t>2928- دیوان شعف قمی‏</w:t>
        </w:r>
        <w:r>
          <w:tab/>
        </w:r>
        <w:r>
          <w:fldChar w:fldCharType="begin"/>
        </w:r>
        <w:r>
          <w:instrText xml:space="preserve">PAGEREF 3855 \h</w:instrText>
        </w:r>
        <w:r>
          <w:fldChar w:fldCharType="end"/>
        </w:r>
      </w:hyperlink>
    </w:p>
    <w:p>
      <w:pPr>
        <w:tabs>
          <w:tab w:val="right" w:leader="dot" w:pos="9062"/>
        </w:tabs>
        <w:ind w:left="440"/>
      </w:pPr>
      <w:hyperlink w:anchor="_Toc3856" w:history="1">
        <w:r>
          <w:rPr>
            <w:rFonts w:ascii="IRNazanin" w:hAnsi="IRNazanin" w:eastAsia="IRNazanin" w:cs="IRNazanin"/>
            <w:color w:val="111111"/>
            <w:sz w:val="22"/>
            <w:szCs w:val="22"/>
            <w:b w:val="0"/>
            <w:bCs w:val="0"/>
            <w:i w:val="0"/>
            <w:iCs w:val="0"/>
          </w:rPr>
          <w:t>2929- دیوان شعلة أصفهانی‏</w:t>
        </w:r>
        <w:r>
          <w:tab/>
        </w:r>
        <w:r>
          <w:fldChar w:fldCharType="begin"/>
        </w:r>
        <w:r>
          <w:instrText xml:space="preserve">PAGEREF 3856 \h</w:instrText>
        </w:r>
        <w:r>
          <w:fldChar w:fldCharType="end"/>
        </w:r>
      </w:hyperlink>
    </w:p>
    <w:p>
      <w:pPr>
        <w:tabs>
          <w:tab w:val="right" w:leader="dot" w:pos="9062"/>
        </w:tabs>
        <w:ind w:left="440"/>
      </w:pPr>
      <w:hyperlink w:anchor="_Toc3857" w:history="1">
        <w:r>
          <w:rPr>
            <w:rFonts w:ascii="IRNazanin" w:hAnsi="IRNazanin" w:eastAsia="IRNazanin" w:cs="IRNazanin"/>
            <w:color w:val="111111"/>
            <w:sz w:val="22"/>
            <w:szCs w:val="22"/>
            <w:b w:val="0"/>
            <w:bCs w:val="0"/>
            <w:i w:val="0"/>
            <w:iCs w:val="0"/>
          </w:rPr>
          <w:t>2930- دیوان شعلة تبریزی‏</w:t>
        </w:r>
        <w:r>
          <w:tab/>
        </w:r>
        <w:r>
          <w:fldChar w:fldCharType="begin"/>
        </w:r>
        <w:r>
          <w:instrText xml:space="preserve">PAGEREF 3857 \h</w:instrText>
        </w:r>
        <w:r>
          <w:fldChar w:fldCharType="end"/>
        </w:r>
      </w:hyperlink>
    </w:p>
    <w:p>
      <w:pPr>
        <w:tabs>
          <w:tab w:val="right" w:leader="dot" w:pos="9062"/>
        </w:tabs>
        <w:ind w:left="440"/>
      </w:pPr>
      <w:hyperlink w:anchor="_Toc3858" w:history="1">
        <w:r>
          <w:rPr>
            <w:rFonts w:ascii="IRNazanin" w:hAnsi="IRNazanin" w:eastAsia="IRNazanin" w:cs="IRNazanin"/>
            <w:color w:val="111111"/>
            <w:sz w:val="22"/>
            <w:szCs w:val="22"/>
            <w:b w:val="0"/>
            <w:bCs w:val="0"/>
            <w:i w:val="0"/>
            <w:iCs w:val="0"/>
          </w:rPr>
          <w:t>2931- دیوان شعلة دهلوی‏</w:t>
        </w:r>
        <w:r>
          <w:tab/>
        </w:r>
        <w:r>
          <w:fldChar w:fldCharType="begin"/>
        </w:r>
        <w:r>
          <w:instrText xml:space="preserve">PAGEREF 3858 \h</w:instrText>
        </w:r>
        <w:r>
          <w:fldChar w:fldCharType="end"/>
        </w:r>
      </w:hyperlink>
    </w:p>
    <w:p>
      <w:pPr>
        <w:tabs>
          <w:tab w:val="right" w:leader="dot" w:pos="9062"/>
        </w:tabs>
        <w:ind w:left="440"/>
      </w:pPr>
      <w:hyperlink w:anchor="_Toc3859" w:history="1">
        <w:r>
          <w:rPr>
            <w:rFonts w:ascii="IRNazanin" w:hAnsi="IRNazanin" w:eastAsia="IRNazanin" w:cs="IRNazanin"/>
            <w:color w:val="111111"/>
            <w:sz w:val="22"/>
            <w:szCs w:val="22"/>
            <w:b w:val="0"/>
            <w:bCs w:val="0"/>
            <w:i w:val="0"/>
            <w:iCs w:val="0"/>
          </w:rPr>
          <w:t>2932- دیوان شعلة شیرازی أو شعره‏</w:t>
        </w:r>
        <w:r>
          <w:tab/>
        </w:r>
        <w:r>
          <w:fldChar w:fldCharType="begin"/>
        </w:r>
        <w:r>
          <w:instrText xml:space="preserve">PAGEREF 3859 \h</w:instrText>
        </w:r>
        <w:r>
          <w:fldChar w:fldCharType="end"/>
        </w:r>
      </w:hyperlink>
    </w:p>
    <w:p>
      <w:pPr>
        <w:tabs>
          <w:tab w:val="right" w:leader="dot" w:pos="9062"/>
        </w:tabs>
        <w:ind w:left="440"/>
      </w:pPr>
      <w:hyperlink w:anchor="_Toc3860" w:history="1">
        <w:r>
          <w:rPr>
            <w:rFonts w:ascii="IRNazanin" w:hAnsi="IRNazanin" w:eastAsia="IRNazanin" w:cs="IRNazanin"/>
            <w:color w:val="111111"/>
            <w:sz w:val="22"/>
            <w:szCs w:val="22"/>
            <w:b w:val="0"/>
            <w:bCs w:val="0"/>
            <w:i w:val="0"/>
            <w:iCs w:val="0"/>
          </w:rPr>
          <w:t>2933- دیوان شعلة گلپایگانی‏</w:t>
        </w:r>
        <w:r>
          <w:tab/>
        </w:r>
        <w:r>
          <w:fldChar w:fldCharType="begin"/>
        </w:r>
        <w:r>
          <w:instrText xml:space="preserve">PAGEREF 3860 \h</w:instrText>
        </w:r>
        <w:r>
          <w:fldChar w:fldCharType="end"/>
        </w:r>
      </w:hyperlink>
    </w:p>
    <w:p>
      <w:pPr>
        <w:tabs>
          <w:tab w:val="right" w:leader="dot" w:pos="9062"/>
        </w:tabs>
        <w:ind w:left="440"/>
      </w:pPr>
      <w:hyperlink w:anchor="_Toc3861" w:history="1">
        <w:r>
          <w:rPr>
            <w:rFonts w:ascii="IRNazanin" w:hAnsi="IRNazanin" w:eastAsia="IRNazanin" w:cs="IRNazanin"/>
            <w:color w:val="111111"/>
            <w:sz w:val="22"/>
            <w:szCs w:val="22"/>
            <w:b w:val="0"/>
            <w:bCs w:val="0"/>
            <w:i w:val="0"/>
            <w:iCs w:val="0"/>
          </w:rPr>
          <w:t>2934- دیوان شعوری تبریزی أو شعره‏</w:t>
        </w:r>
        <w:r>
          <w:tab/>
        </w:r>
        <w:r>
          <w:fldChar w:fldCharType="begin"/>
        </w:r>
        <w:r>
          <w:instrText xml:space="preserve">PAGEREF 3861 \h</w:instrText>
        </w:r>
        <w:r>
          <w:fldChar w:fldCharType="end"/>
        </w:r>
      </w:hyperlink>
    </w:p>
    <w:p>
      <w:pPr>
        <w:tabs>
          <w:tab w:val="right" w:leader="dot" w:pos="9062"/>
        </w:tabs>
        <w:ind w:left="440"/>
      </w:pPr>
      <w:hyperlink w:anchor="_Toc3862" w:history="1">
        <w:r>
          <w:rPr>
            <w:rFonts w:ascii="IRNazanin" w:hAnsi="IRNazanin" w:eastAsia="IRNazanin" w:cs="IRNazanin"/>
            <w:color w:val="111111"/>
            <w:sz w:val="22"/>
            <w:szCs w:val="22"/>
            <w:b w:val="0"/>
            <w:bCs w:val="0"/>
            <w:i w:val="0"/>
            <w:iCs w:val="0"/>
          </w:rPr>
          <w:t>2935- دیوان شعوری کاشی‏</w:t>
        </w:r>
        <w:r>
          <w:tab/>
        </w:r>
        <w:r>
          <w:fldChar w:fldCharType="begin"/>
        </w:r>
        <w:r>
          <w:instrText xml:space="preserve">PAGEREF 3862 \h</w:instrText>
        </w:r>
        <w:r>
          <w:fldChar w:fldCharType="end"/>
        </w:r>
      </w:hyperlink>
    </w:p>
    <w:p>
      <w:pPr>
        <w:tabs>
          <w:tab w:val="right" w:leader="dot" w:pos="9062"/>
        </w:tabs>
        <w:ind w:left="440"/>
      </w:pPr>
      <w:hyperlink w:anchor="_Toc3863" w:history="1">
        <w:r>
          <w:rPr>
            <w:rFonts w:ascii="IRNazanin" w:hAnsi="IRNazanin" w:eastAsia="IRNazanin" w:cs="IRNazanin"/>
            <w:color w:val="111111"/>
            <w:sz w:val="22"/>
            <w:szCs w:val="22"/>
            <w:b w:val="0"/>
            <w:bCs w:val="0"/>
            <w:i w:val="0"/>
            <w:iCs w:val="0"/>
          </w:rPr>
          <w:t>2936- دیوان شعوری مشهدی أو شعره‏</w:t>
        </w:r>
        <w:r>
          <w:tab/>
        </w:r>
        <w:r>
          <w:fldChar w:fldCharType="begin"/>
        </w:r>
        <w:r>
          <w:instrText xml:space="preserve">PAGEREF 3863 \h</w:instrText>
        </w:r>
        <w:r>
          <w:fldChar w:fldCharType="end"/>
        </w:r>
      </w:hyperlink>
    </w:p>
    <w:p>
      <w:pPr>
        <w:tabs>
          <w:tab w:val="right" w:leader="dot" w:pos="9062"/>
        </w:tabs>
        <w:ind w:left="440"/>
      </w:pPr>
      <w:hyperlink w:anchor="_Toc3864" w:history="1">
        <w:r>
          <w:rPr>
            <w:rFonts w:ascii="IRNazanin" w:hAnsi="IRNazanin" w:eastAsia="IRNazanin" w:cs="IRNazanin"/>
            <w:color w:val="111111"/>
            <w:sz w:val="22"/>
            <w:szCs w:val="22"/>
            <w:b w:val="0"/>
            <w:bCs w:val="0"/>
            <w:i w:val="0"/>
            <w:iCs w:val="0"/>
          </w:rPr>
          <w:t>2937- دیوان شعوری هروی‏</w:t>
        </w:r>
        <w:r>
          <w:tab/>
        </w:r>
        <w:r>
          <w:fldChar w:fldCharType="begin"/>
        </w:r>
        <w:r>
          <w:instrText xml:space="preserve">PAGEREF 3864 \h</w:instrText>
        </w:r>
        <w:r>
          <w:fldChar w:fldCharType="end"/>
        </w:r>
      </w:hyperlink>
    </w:p>
    <w:p>
      <w:pPr>
        <w:tabs>
          <w:tab w:val="right" w:leader="dot" w:pos="9062"/>
        </w:tabs>
        <w:ind w:left="440"/>
      </w:pPr>
      <w:hyperlink w:anchor="_Toc3865" w:history="1">
        <w:r>
          <w:rPr>
            <w:rFonts w:ascii="IRNazanin" w:hAnsi="IRNazanin" w:eastAsia="IRNazanin" w:cs="IRNazanin"/>
            <w:color w:val="111111"/>
            <w:sz w:val="22"/>
            <w:szCs w:val="22"/>
            <w:b w:val="0"/>
            <w:bCs w:val="0"/>
            <w:i w:val="0"/>
            <w:iCs w:val="0"/>
          </w:rPr>
          <w:t>2938- دیوان شعیب جوشقانی‏</w:t>
        </w:r>
        <w:r>
          <w:tab/>
        </w:r>
        <w:r>
          <w:fldChar w:fldCharType="begin"/>
        </w:r>
        <w:r>
          <w:instrText xml:space="preserve">PAGEREF 3865 \h</w:instrText>
        </w:r>
        <w:r>
          <w:fldChar w:fldCharType="end"/>
        </w:r>
      </w:hyperlink>
    </w:p>
    <w:p>
      <w:pPr>
        <w:tabs>
          <w:tab w:val="right" w:leader="dot" w:pos="9062"/>
        </w:tabs>
        <w:ind w:left="440"/>
      </w:pPr>
      <w:hyperlink w:anchor="_Toc3866" w:history="1">
        <w:r>
          <w:rPr>
            <w:rFonts w:ascii="IRNazanin" w:hAnsi="IRNazanin" w:eastAsia="IRNazanin" w:cs="IRNazanin"/>
            <w:color w:val="111111"/>
            <w:sz w:val="22"/>
            <w:szCs w:val="22"/>
            <w:b w:val="0"/>
            <w:bCs w:val="0"/>
            <w:i w:val="0"/>
            <w:iCs w:val="0"/>
          </w:rPr>
          <w:t>2939- دیوان شعیبا خوانساری‏</w:t>
        </w:r>
        <w:r>
          <w:tab/>
        </w:r>
        <w:r>
          <w:fldChar w:fldCharType="begin"/>
        </w:r>
        <w:r>
          <w:instrText xml:space="preserve">PAGEREF 3866 \h</w:instrText>
        </w:r>
        <w:r>
          <w:fldChar w:fldCharType="end"/>
        </w:r>
      </w:hyperlink>
    </w:p>
    <w:p>
      <w:pPr>
        <w:tabs>
          <w:tab w:val="right" w:leader="dot" w:pos="9062"/>
        </w:tabs>
        <w:ind w:left="440"/>
      </w:pPr>
      <w:hyperlink w:anchor="_Toc3867" w:history="1">
        <w:r>
          <w:rPr>
            <w:rFonts w:ascii="IRNazanin" w:hAnsi="IRNazanin" w:eastAsia="IRNazanin" w:cs="IRNazanin"/>
            <w:color w:val="111111"/>
            <w:sz w:val="22"/>
            <w:szCs w:val="22"/>
            <w:b w:val="0"/>
            <w:bCs w:val="0"/>
            <w:i w:val="0"/>
            <w:iCs w:val="0"/>
          </w:rPr>
          <w:t>2940- دیوان شغال أو شعره‏</w:t>
        </w:r>
        <w:r>
          <w:tab/>
        </w:r>
        <w:r>
          <w:fldChar w:fldCharType="begin"/>
        </w:r>
        <w:r>
          <w:instrText xml:space="preserve">PAGEREF 3867 \h</w:instrText>
        </w:r>
        <w:r>
          <w:fldChar w:fldCharType="end"/>
        </w:r>
      </w:hyperlink>
    </w:p>
    <w:p>
      <w:pPr>
        <w:tabs>
          <w:tab w:val="right" w:leader="dot" w:pos="9062"/>
        </w:tabs>
        <w:ind w:left="440"/>
      </w:pPr>
      <w:hyperlink w:anchor="_Toc3868" w:history="1">
        <w:r>
          <w:rPr>
            <w:rFonts w:ascii="IRNazanin" w:hAnsi="IRNazanin" w:eastAsia="IRNazanin" w:cs="IRNazanin"/>
            <w:color w:val="111111"/>
            <w:sz w:val="22"/>
            <w:szCs w:val="22"/>
            <w:b w:val="0"/>
            <w:bCs w:val="0"/>
            <w:i w:val="0"/>
            <w:iCs w:val="0"/>
          </w:rPr>
          <w:t>2941- دیوان شفائی‏</w:t>
        </w:r>
        <w:r>
          <w:tab/>
        </w:r>
        <w:r>
          <w:fldChar w:fldCharType="begin"/>
        </w:r>
        <w:r>
          <w:instrText xml:space="preserve">PAGEREF 3868 \h</w:instrText>
        </w:r>
        <w:r>
          <w:fldChar w:fldCharType="end"/>
        </w:r>
      </w:hyperlink>
    </w:p>
    <w:p>
      <w:pPr>
        <w:tabs>
          <w:tab w:val="right" w:leader="dot" w:pos="9062"/>
        </w:tabs>
        <w:ind w:left="440"/>
      </w:pPr>
      <w:hyperlink w:anchor="_Toc3869" w:history="1">
        <w:r>
          <w:rPr>
            <w:rFonts w:ascii="IRNazanin" w:hAnsi="IRNazanin" w:eastAsia="IRNazanin" w:cs="IRNazanin"/>
            <w:color w:val="111111"/>
            <w:sz w:val="22"/>
            <w:szCs w:val="22"/>
            <w:b w:val="0"/>
            <w:bCs w:val="0"/>
            <w:i w:val="0"/>
            <w:iCs w:val="0"/>
          </w:rPr>
          <w:t>2942- دیوان شفائی‏</w:t>
        </w:r>
        <w:r>
          <w:tab/>
        </w:r>
        <w:r>
          <w:fldChar w:fldCharType="begin"/>
        </w:r>
        <w:r>
          <w:instrText xml:space="preserve">PAGEREF 3869 \h</w:instrText>
        </w:r>
        <w:r>
          <w:fldChar w:fldCharType="end"/>
        </w:r>
      </w:hyperlink>
    </w:p>
    <w:p>
      <w:pPr>
        <w:tabs>
          <w:tab w:val="right" w:leader="dot" w:pos="9062"/>
        </w:tabs>
        <w:ind w:left="440"/>
      </w:pPr>
      <w:hyperlink w:anchor="_Toc3870" w:history="1">
        <w:r>
          <w:rPr>
            <w:rFonts w:ascii="IRNazanin" w:hAnsi="IRNazanin" w:eastAsia="IRNazanin" w:cs="IRNazanin"/>
            <w:color w:val="111111"/>
            <w:sz w:val="22"/>
            <w:szCs w:val="22"/>
            <w:b w:val="0"/>
            <w:bCs w:val="0"/>
            <w:i w:val="0"/>
            <w:iCs w:val="0"/>
          </w:rPr>
          <w:t>دیوان شفائی محلاتی‏</w:t>
        </w:r>
        <w:r>
          <w:tab/>
        </w:r>
        <w:r>
          <w:fldChar w:fldCharType="begin"/>
        </w:r>
        <w:r>
          <w:instrText xml:space="preserve">PAGEREF 3870 \h</w:instrText>
        </w:r>
        <w:r>
          <w:fldChar w:fldCharType="end"/>
        </w:r>
      </w:hyperlink>
    </w:p>
    <w:p>
      <w:pPr>
        <w:tabs>
          <w:tab w:val="right" w:leader="dot" w:pos="9062"/>
        </w:tabs>
        <w:ind w:left="440"/>
      </w:pPr>
      <w:hyperlink w:anchor="_Toc3871" w:history="1">
        <w:r>
          <w:rPr>
            <w:rFonts w:ascii="IRNazanin" w:hAnsi="IRNazanin" w:eastAsia="IRNazanin" w:cs="IRNazanin"/>
            <w:color w:val="111111"/>
            <w:sz w:val="22"/>
            <w:szCs w:val="22"/>
            <w:b w:val="0"/>
            <w:bCs w:val="0"/>
            <w:i w:val="0"/>
            <w:iCs w:val="0"/>
          </w:rPr>
          <w:t>2943- دیوان شفای تبریزی‏</w:t>
        </w:r>
        <w:r>
          <w:tab/>
        </w:r>
        <w:r>
          <w:fldChar w:fldCharType="begin"/>
        </w:r>
        <w:r>
          <w:instrText xml:space="preserve">PAGEREF 3871 \h</w:instrText>
        </w:r>
        <w:r>
          <w:fldChar w:fldCharType="end"/>
        </w:r>
      </w:hyperlink>
    </w:p>
    <w:p>
      <w:pPr>
        <w:tabs>
          <w:tab w:val="right" w:leader="dot" w:pos="9062"/>
        </w:tabs>
        <w:ind w:left="440"/>
      </w:pPr>
      <w:hyperlink w:anchor="_Toc3872" w:history="1">
        <w:r>
          <w:rPr>
            <w:rFonts w:ascii="IRNazanin" w:hAnsi="IRNazanin" w:eastAsia="IRNazanin" w:cs="IRNazanin"/>
            <w:color w:val="111111"/>
            <w:sz w:val="22"/>
            <w:szCs w:val="22"/>
            <w:b w:val="0"/>
            <w:bCs w:val="0"/>
            <w:i w:val="0"/>
            <w:iCs w:val="0"/>
          </w:rPr>
          <w:t>دیوان شفروه‏</w:t>
        </w:r>
        <w:r>
          <w:tab/>
        </w:r>
        <w:r>
          <w:fldChar w:fldCharType="begin"/>
        </w:r>
        <w:r>
          <w:instrText xml:space="preserve">PAGEREF 3872 \h</w:instrText>
        </w:r>
        <w:r>
          <w:fldChar w:fldCharType="end"/>
        </w:r>
      </w:hyperlink>
    </w:p>
    <w:p>
      <w:pPr>
        <w:tabs>
          <w:tab w:val="right" w:leader="dot" w:pos="9062"/>
        </w:tabs>
        <w:ind w:left="440"/>
      </w:pPr>
      <w:hyperlink w:anchor="_Toc3873" w:history="1">
        <w:r>
          <w:rPr>
            <w:rFonts w:ascii="IRNazanin" w:hAnsi="IRNazanin" w:eastAsia="IRNazanin" w:cs="IRNazanin"/>
            <w:color w:val="111111"/>
            <w:sz w:val="22"/>
            <w:szCs w:val="22"/>
            <w:b w:val="0"/>
            <w:bCs w:val="0"/>
            <w:i w:val="0"/>
            <w:iCs w:val="0"/>
          </w:rPr>
          <w:t>دیوان شفروه‏</w:t>
        </w:r>
        <w:r>
          <w:tab/>
        </w:r>
        <w:r>
          <w:fldChar w:fldCharType="begin"/>
        </w:r>
        <w:r>
          <w:instrText xml:space="preserve">PAGEREF 3873 \h</w:instrText>
        </w:r>
        <w:r>
          <w:fldChar w:fldCharType="end"/>
        </w:r>
      </w:hyperlink>
    </w:p>
    <w:p>
      <w:pPr>
        <w:tabs>
          <w:tab w:val="right" w:leader="dot" w:pos="9062"/>
        </w:tabs>
        <w:ind w:left="440"/>
      </w:pPr>
      <w:hyperlink w:anchor="_Toc3874" w:history="1">
        <w:r>
          <w:rPr>
            <w:rFonts w:ascii="IRNazanin" w:hAnsi="IRNazanin" w:eastAsia="IRNazanin" w:cs="IRNazanin"/>
            <w:color w:val="111111"/>
            <w:sz w:val="22"/>
            <w:szCs w:val="22"/>
            <w:b w:val="0"/>
            <w:bCs w:val="0"/>
            <w:i w:val="0"/>
            <w:iCs w:val="0"/>
          </w:rPr>
          <w:t>2944- دیوان شفق أو شعره‏</w:t>
        </w:r>
        <w:r>
          <w:tab/>
        </w:r>
        <w:r>
          <w:fldChar w:fldCharType="begin"/>
        </w:r>
        <w:r>
          <w:instrText xml:space="preserve">PAGEREF 3874 \h</w:instrText>
        </w:r>
        <w:r>
          <w:fldChar w:fldCharType="end"/>
        </w:r>
      </w:hyperlink>
    </w:p>
    <w:p>
      <w:pPr>
        <w:tabs>
          <w:tab w:val="right" w:leader="dot" w:pos="9062"/>
        </w:tabs>
        <w:ind w:left="440"/>
      </w:pPr>
      <w:hyperlink w:anchor="_Toc3875" w:history="1">
        <w:r>
          <w:rPr>
            <w:rFonts w:ascii="IRNazanin" w:hAnsi="IRNazanin" w:eastAsia="IRNazanin" w:cs="IRNazanin"/>
            <w:color w:val="111111"/>
            <w:sz w:val="22"/>
            <w:szCs w:val="22"/>
            <w:b w:val="0"/>
            <w:bCs w:val="0"/>
            <w:i w:val="0"/>
            <w:iCs w:val="0"/>
          </w:rPr>
          <w:t>2945- دیوان شفق قمی أو شعره‏</w:t>
        </w:r>
        <w:r>
          <w:tab/>
        </w:r>
        <w:r>
          <w:fldChar w:fldCharType="begin"/>
        </w:r>
        <w:r>
          <w:instrText xml:space="preserve">PAGEREF 3875 \h</w:instrText>
        </w:r>
        <w:r>
          <w:fldChar w:fldCharType="end"/>
        </w:r>
      </w:hyperlink>
    </w:p>
    <w:p>
      <w:pPr>
        <w:tabs>
          <w:tab w:val="right" w:leader="dot" w:pos="9062"/>
        </w:tabs>
        <w:ind w:left="440"/>
      </w:pPr>
      <w:hyperlink w:anchor="_Toc3876" w:history="1">
        <w:r>
          <w:rPr>
            <w:rFonts w:ascii="IRNazanin" w:hAnsi="IRNazanin" w:eastAsia="IRNazanin" w:cs="IRNazanin"/>
            <w:color w:val="111111"/>
            <w:sz w:val="22"/>
            <w:szCs w:val="22"/>
            <w:b w:val="0"/>
            <w:bCs w:val="0"/>
            <w:i w:val="0"/>
            <w:iCs w:val="0"/>
          </w:rPr>
          <w:t>2946- دیوان شفیعای أثر</w:t>
        </w:r>
        <w:r>
          <w:tab/>
        </w:r>
        <w:r>
          <w:fldChar w:fldCharType="begin"/>
        </w:r>
        <w:r>
          <w:instrText xml:space="preserve">PAGEREF 3876 \h</w:instrText>
        </w:r>
        <w:r>
          <w:fldChar w:fldCharType="end"/>
        </w:r>
      </w:hyperlink>
    </w:p>
    <w:p>
      <w:pPr>
        <w:tabs>
          <w:tab w:val="right" w:leader="dot" w:pos="9062"/>
        </w:tabs>
        <w:ind w:left="440"/>
      </w:pPr>
      <w:hyperlink w:anchor="_Toc3877" w:history="1">
        <w:r>
          <w:rPr>
            <w:rFonts w:ascii="IRNazanin" w:hAnsi="IRNazanin" w:eastAsia="IRNazanin" w:cs="IRNazanin"/>
            <w:color w:val="111111"/>
            <w:sz w:val="22"/>
            <w:szCs w:val="22"/>
            <w:b w:val="0"/>
            <w:bCs w:val="0"/>
            <w:i w:val="0"/>
            <w:iCs w:val="0"/>
          </w:rPr>
          <w:t>2947- دیوان شفیعای خراسانی أو شعره‏</w:t>
        </w:r>
        <w:r>
          <w:tab/>
        </w:r>
        <w:r>
          <w:fldChar w:fldCharType="begin"/>
        </w:r>
        <w:r>
          <w:instrText xml:space="preserve">PAGEREF 3877 \h</w:instrText>
        </w:r>
        <w:r>
          <w:fldChar w:fldCharType="end"/>
        </w:r>
      </w:hyperlink>
    </w:p>
    <w:p>
      <w:pPr>
        <w:tabs>
          <w:tab w:val="right" w:leader="dot" w:pos="9062"/>
        </w:tabs>
        <w:ind w:left="440"/>
      </w:pPr>
      <w:hyperlink w:anchor="_Toc3878" w:history="1">
        <w:r>
          <w:rPr>
            <w:rFonts w:ascii="IRNazanin" w:hAnsi="IRNazanin" w:eastAsia="IRNazanin" w:cs="IRNazanin"/>
            <w:color w:val="111111"/>
            <w:sz w:val="22"/>
            <w:szCs w:val="22"/>
            <w:b w:val="0"/>
            <w:bCs w:val="0"/>
            <w:i w:val="0"/>
            <w:iCs w:val="0"/>
          </w:rPr>
          <w:t>دیوان شفیعای شیرازی‏</w:t>
        </w:r>
        <w:r>
          <w:tab/>
        </w:r>
        <w:r>
          <w:fldChar w:fldCharType="begin"/>
        </w:r>
        <w:r>
          <w:instrText xml:space="preserve">PAGEREF 3878 \h</w:instrText>
        </w:r>
        <w:r>
          <w:fldChar w:fldCharType="end"/>
        </w:r>
      </w:hyperlink>
    </w:p>
    <w:p>
      <w:pPr>
        <w:tabs>
          <w:tab w:val="right" w:leader="dot" w:pos="9062"/>
        </w:tabs>
        <w:ind w:left="440"/>
      </w:pPr>
      <w:hyperlink w:anchor="_Toc3879" w:history="1">
        <w:r>
          <w:rPr>
            <w:rFonts w:ascii="IRNazanin" w:hAnsi="IRNazanin" w:eastAsia="IRNazanin" w:cs="IRNazanin"/>
            <w:color w:val="111111"/>
            <w:sz w:val="22"/>
            <w:szCs w:val="22"/>
            <w:b w:val="0"/>
            <w:bCs w:val="0"/>
            <w:i w:val="0"/>
            <w:iCs w:val="0"/>
          </w:rPr>
          <w:t>دیوان شفیعای لاری‏</w:t>
        </w:r>
        <w:r>
          <w:tab/>
        </w:r>
        <w:r>
          <w:fldChar w:fldCharType="begin"/>
        </w:r>
        <w:r>
          <w:instrText xml:space="preserve">PAGEREF 3879 \h</w:instrText>
        </w:r>
        <w:r>
          <w:fldChar w:fldCharType="end"/>
        </w:r>
      </w:hyperlink>
    </w:p>
    <w:p>
      <w:pPr>
        <w:tabs>
          <w:tab w:val="right" w:leader="dot" w:pos="9062"/>
        </w:tabs>
        <w:ind w:left="440"/>
      </w:pPr>
      <w:hyperlink w:anchor="_Toc3880" w:history="1">
        <w:r>
          <w:rPr>
            <w:rFonts w:ascii="IRNazanin" w:hAnsi="IRNazanin" w:eastAsia="IRNazanin" w:cs="IRNazanin"/>
            <w:color w:val="111111"/>
            <w:sz w:val="22"/>
            <w:szCs w:val="22"/>
            <w:b w:val="0"/>
            <w:bCs w:val="0"/>
            <w:i w:val="0"/>
            <w:iCs w:val="0"/>
          </w:rPr>
          <w:t>2948- دیوان شفیعای هروی أو شعره‏</w:t>
        </w:r>
        <w:r>
          <w:tab/>
        </w:r>
        <w:r>
          <w:fldChar w:fldCharType="begin"/>
        </w:r>
        <w:r>
          <w:instrText xml:space="preserve">PAGEREF 3880 \h</w:instrText>
        </w:r>
        <w:r>
          <w:fldChar w:fldCharType="end"/>
        </w:r>
      </w:hyperlink>
    </w:p>
    <w:p>
      <w:pPr>
        <w:tabs>
          <w:tab w:val="right" w:leader="dot" w:pos="9062"/>
        </w:tabs>
        <w:ind w:left="440"/>
      </w:pPr>
      <w:hyperlink w:anchor="_Toc3881" w:history="1">
        <w:r>
          <w:rPr>
            <w:rFonts w:ascii="IRNazanin" w:hAnsi="IRNazanin" w:eastAsia="IRNazanin" w:cs="IRNazanin"/>
            <w:color w:val="111111"/>
            <w:sz w:val="22"/>
            <w:szCs w:val="22"/>
            <w:b w:val="0"/>
            <w:bCs w:val="0"/>
            <w:i w:val="0"/>
            <w:iCs w:val="0"/>
          </w:rPr>
          <w:t>دیوان شفیع بخاری‏</w:t>
        </w:r>
        <w:r>
          <w:tab/>
        </w:r>
        <w:r>
          <w:fldChar w:fldCharType="begin"/>
        </w:r>
        <w:r>
          <w:instrText xml:space="preserve">PAGEREF 3881 \h</w:instrText>
        </w:r>
        <w:r>
          <w:fldChar w:fldCharType="end"/>
        </w:r>
      </w:hyperlink>
    </w:p>
    <w:p>
      <w:pPr>
        <w:tabs>
          <w:tab w:val="right" w:leader="dot" w:pos="9062"/>
        </w:tabs>
        <w:ind w:left="440"/>
      </w:pPr>
      <w:hyperlink w:anchor="_Toc3882" w:history="1">
        <w:r>
          <w:rPr>
            <w:rFonts w:ascii="IRNazanin" w:hAnsi="IRNazanin" w:eastAsia="IRNazanin" w:cs="IRNazanin"/>
            <w:color w:val="111111"/>
            <w:sz w:val="22"/>
            <w:szCs w:val="22"/>
            <w:b w:val="0"/>
            <w:bCs w:val="0"/>
            <w:i w:val="0"/>
            <w:iCs w:val="0"/>
          </w:rPr>
          <w:t>2949- دیوان میرزا شفیع تبریزی أو شعره‏</w:t>
        </w:r>
        <w:r>
          <w:tab/>
        </w:r>
        <w:r>
          <w:fldChar w:fldCharType="begin"/>
        </w:r>
        <w:r>
          <w:instrText xml:space="preserve">PAGEREF 3882 \h</w:instrText>
        </w:r>
        <w:r>
          <w:fldChar w:fldCharType="end"/>
        </w:r>
      </w:hyperlink>
    </w:p>
    <w:p>
      <w:pPr>
        <w:tabs>
          <w:tab w:val="right" w:leader="dot" w:pos="9062"/>
        </w:tabs>
        <w:ind w:left="440"/>
      </w:pPr>
      <w:hyperlink w:anchor="_Toc3883" w:history="1">
        <w:r>
          <w:rPr>
            <w:rFonts w:ascii="IRNazanin" w:hAnsi="IRNazanin" w:eastAsia="IRNazanin" w:cs="IRNazanin"/>
            <w:color w:val="111111"/>
            <w:sz w:val="22"/>
            <w:szCs w:val="22"/>
            <w:b w:val="0"/>
            <w:bCs w:val="0"/>
            <w:i w:val="0"/>
            <w:iCs w:val="0"/>
          </w:rPr>
          <w:t>2950- دیوان محمد شفیع رشتی أو شعره‏</w:t>
        </w:r>
        <w:r>
          <w:tab/>
        </w:r>
        <w:r>
          <w:fldChar w:fldCharType="begin"/>
        </w:r>
        <w:r>
          <w:instrText xml:space="preserve">PAGEREF 3883 \h</w:instrText>
        </w:r>
        <w:r>
          <w:fldChar w:fldCharType="end"/>
        </w:r>
      </w:hyperlink>
    </w:p>
    <w:p>
      <w:pPr>
        <w:tabs>
          <w:tab w:val="right" w:leader="dot" w:pos="9062"/>
        </w:tabs>
        <w:ind w:left="440"/>
      </w:pPr>
      <w:hyperlink w:anchor="_Toc3884" w:history="1">
        <w:r>
          <w:rPr>
            <w:rFonts w:ascii="IRNazanin" w:hAnsi="IRNazanin" w:eastAsia="IRNazanin" w:cs="IRNazanin"/>
            <w:color w:val="111111"/>
            <w:sz w:val="22"/>
            <w:szCs w:val="22"/>
            <w:b w:val="0"/>
            <w:bCs w:val="0"/>
            <w:i w:val="0"/>
            <w:iCs w:val="0"/>
          </w:rPr>
          <w:t>دیوان شفیع شیرازی‏</w:t>
        </w:r>
        <w:r>
          <w:tab/>
        </w:r>
        <w:r>
          <w:fldChar w:fldCharType="begin"/>
        </w:r>
        <w:r>
          <w:instrText xml:space="preserve">PAGEREF 3884 \h</w:instrText>
        </w:r>
        <w:r>
          <w:fldChar w:fldCharType="end"/>
        </w:r>
      </w:hyperlink>
    </w:p>
    <w:p>
      <w:pPr>
        <w:tabs>
          <w:tab w:val="right" w:leader="dot" w:pos="9062"/>
        </w:tabs>
        <w:ind w:left="440"/>
      </w:pPr>
      <w:hyperlink w:anchor="_Toc3885" w:history="1">
        <w:r>
          <w:rPr>
            <w:rFonts w:ascii="IRNazanin" w:hAnsi="IRNazanin" w:eastAsia="IRNazanin" w:cs="IRNazanin"/>
            <w:color w:val="111111"/>
            <w:sz w:val="22"/>
            <w:szCs w:val="22"/>
            <w:b w:val="0"/>
            <w:bCs w:val="0"/>
            <w:i w:val="0"/>
            <w:iCs w:val="0"/>
          </w:rPr>
          <w:t>2951- دیوان شفیع قزوینی أو شعره‏</w:t>
        </w:r>
        <w:r>
          <w:tab/>
        </w:r>
        <w:r>
          <w:fldChar w:fldCharType="begin"/>
        </w:r>
        <w:r>
          <w:instrText xml:space="preserve">PAGEREF 3885 \h</w:instrText>
        </w:r>
        <w:r>
          <w:fldChar w:fldCharType="end"/>
        </w:r>
      </w:hyperlink>
    </w:p>
    <w:p>
      <w:pPr>
        <w:tabs>
          <w:tab w:val="right" w:leader="dot" w:pos="9062"/>
        </w:tabs>
        <w:ind w:left="440"/>
      </w:pPr>
      <w:hyperlink w:anchor="_Toc3886" w:history="1">
        <w:r>
          <w:rPr>
            <w:rFonts w:ascii="IRNazanin" w:hAnsi="IRNazanin" w:eastAsia="IRNazanin" w:cs="IRNazanin"/>
            <w:color w:val="111111"/>
            <w:sz w:val="22"/>
            <w:szCs w:val="22"/>
            <w:b w:val="0"/>
            <w:bCs w:val="0"/>
            <w:i w:val="0"/>
            <w:iCs w:val="0"/>
          </w:rPr>
          <w:t>2952- دیوان شفیع مازندرانی أو شعره‏</w:t>
        </w:r>
        <w:r>
          <w:tab/>
        </w:r>
        <w:r>
          <w:fldChar w:fldCharType="begin"/>
        </w:r>
        <w:r>
          <w:instrText xml:space="preserve">PAGEREF 3886 \h</w:instrText>
        </w:r>
        <w:r>
          <w:fldChar w:fldCharType="end"/>
        </w:r>
      </w:hyperlink>
    </w:p>
    <w:p>
      <w:pPr>
        <w:tabs>
          <w:tab w:val="right" w:leader="dot" w:pos="9062"/>
        </w:tabs>
        <w:ind w:left="440"/>
      </w:pPr>
      <w:hyperlink w:anchor="_Toc3887" w:history="1">
        <w:r>
          <w:rPr>
            <w:rFonts w:ascii="IRNazanin" w:hAnsi="IRNazanin" w:eastAsia="IRNazanin" w:cs="IRNazanin"/>
            <w:color w:val="111111"/>
            <w:sz w:val="22"/>
            <w:szCs w:val="22"/>
            <w:b w:val="0"/>
            <w:bCs w:val="0"/>
            <w:i w:val="0"/>
            <w:iCs w:val="0"/>
          </w:rPr>
          <w:t>2953- دیوان شفیعی أردوبادی أو شعره‏</w:t>
        </w:r>
        <w:r>
          <w:tab/>
        </w:r>
        <w:r>
          <w:fldChar w:fldCharType="begin"/>
        </w:r>
        <w:r>
          <w:instrText xml:space="preserve">PAGEREF 3887 \h</w:instrText>
        </w:r>
        <w:r>
          <w:fldChar w:fldCharType="end"/>
        </w:r>
      </w:hyperlink>
    </w:p>
    <w:p>
      <w:pPr>
        <w:tabs>
          <w:tab w:val="right" w:leader="dot" w:pos="9062"/>
        </w:tabs>
        <w:ind w:left="440"/>
      </w:pPr>
      <w:hyperlink w:anchor="_Toc3888" w:history="1">
        <w:r>
          <w:rPr>
            <w:rFonts w:ascii="IRNazanin" w:hAnsi="IRNazanin" w:eastAsia="IRNazanin" w:cs="IRNazanin"/>
            <w:color w:val="111111"/>
            <w:sz w:val="22"/>
            <w:szCs w:val="22"/>
            <w:b w:val="0"/>
            <w:bCs w:val="0"/>
            <w:i w:val="0"/>
            <w:iCs w:val="0"/>
          </w:rPr>
          <w:t>2954- دیوان شفیعی أصفهانی‏</w:t>
        </w:r>
        <w:r>
          <w:tab/>
        </w:r>
        <w:r>
          <w:fldChar w:fldCharType="begin"/>
        </w:r>
        <w:r>
          <w:instrText xml:space="preserve">PAGEREF 3888 \h</w:instrText>
        </w:r>
        <w:r>
          <w:fldChar w:fldCharType="end"/>
        </w:r>
      </w:hyperlink>
    </w:p>
    <w:p>
      <w:pPr>
        <w:tabs>
          <w:tab w:val="right" w:leader="dot" w:pos="9062"/>
        </w:tabs>
        <w:ind w:left="440"/>
      </w:pPr>
      <w:hyperlink w:anchor="_Toc3889" w:history="1">
        <w:r>
          <w:rPr>
            <w:rFonts w:ascii="IRNazanin" w:hAnsi="IRNazanin" w:eastAsia="IRNazanin" w:cs="IRNazanin"/>
            <w:color w:val="111111"/>
            <w:sz w:val="22"/>
            <w:szCs w:val="22"/>
            <w:b w:val="0"/>
            <w:bCs w:val="0"/>
            <w:i w:val="0"/>
            <w:iCs w:val="0"/>
          </w:rPr>
          <w:t>2955- دیوان شفیعی أصفهانی‏</w:t>
        </w:r>
        <w:r>
          <w:tab/>
        </w:r>
        <w:r>
          <w:fldChar w:fldCharType="begin"/>
        </w:r>
        <w:r>
          <w:instrText xml:space="preserve">PAGEREF 3889 \h</w:instrText>
        </w:r>
        <w:r>
          <w:fldChar w:fldCharType="end"/>
        </w:r>
      </w:hyperlink>
    </w:p>
    <w:p>
      <w:pPr>
        <w:tabs>
          <w:tab w:val="right" w:leader="dot" w:pos="9062"/>
        </w:tabs>
        <w:ind w:left="440"/>
      </w:pPr>
      <w:hyperlink w:anchor="_Toc3890" w:history="1">
        <w:r>
          <w:rPr>
            <w:rFonts w:ascii="IRNazanin" w:hAnsi="IRNazanin" w:eastAsia="IRNazanin" w:cs="IRNazanin"/>
            <w:color w:val="111111"/>
            <w:sz w:val="22"/>
            <w:szCs w:val="22"/>
            <w:b w:val="0"/>
            <w:bCs w:val="0"/>
            <w:i w:val="0"/>
            <w:iCs w:val="0"/>
          </w:rPr>
          <w:t>2956- دیوان شفیعی بخارائی أو شعره‏</w:t>
        </w:r>
        <w:r>
          <w:tab/>
        </w:r>
        <w:r>
          <w:fldChar w:fldCharType="begin"/>
        </w:r>
        <w:r>
          <w:instrText xml:space="preserve">PAGEREF 3890 \h</w:instrText>
        </w:r>
        <w:r>
          <w:fldChar w:fldCharType="end"/>
        </w:r>
      </w:hyperlink>
    </w:p>
    <w:p>
      <w:pPr>
        <w:tabs>
          <w:tab w:val="right" w:leader="dot" w:pos="9062"/>
        </w:tabs>
        <w:ind w:left="440"/>
      </w:pPr>
      <w:hyperlink w:anchor="_Toc3891" w:history="1">
        <w:r>
          <w:rPr>
            <w:rFonts w:ascii="IRNazanin" w:hAnsi="IRNazanin" w:eastAsia="IRNazanin" w:cs="IRNazanin"/>
            <w:color w:val="111111"/>
            <w:sz w:val="22"/>
            <w:szCs w:val="22"/>
            <w:b w:val="0"/>
            <w:bCs w:val="0"/>
            <w:i w:val="0"/>
            <w:iCs w:val="0"/>
          </w:rPr>
          <w:t>2957- دیوان شفیعی گیلانی أو شعره‏</w:t>
        </w:r>
        <w:r>
          <w:tab/>
        </w:r>
        <w:r>
          <w:fldChar w:fldCharType="begin"/>
        </w:r>
        <w:r>
          <w:instrText xml:space="preserve">PAGEREF 3891 \h</w:instrText>
        </w:r>
        <w:r>
          <w:fldChar w:fldCharType="end"/>
        </w:r>
      </w:hyperlink>
    </w:p>
    <w:p>
      <w:pPr>
        <w:tabs>
          <w:tab w:val="right" w:leader="dot" w:pos="9062"/>
        </w:tabs>
        <w:ind w:left="440"/>
      </w:pPr>
      <w:hyperlink w:anchor="_Toc3892" w:history="1">
        <w:r>
          <w:rPr>
            <w:rFonts w:ascii="IRNazanin" w:hAnsi="IRNazanin" w:eastAsia="IRNazanin" w:cs="IRNazanin"/>
            <w:color w:val="111111"/>
            <w:sz w:val="22"/>
            <w:szCs w:val="22"/>
            <w:b w:val="0"/>
            <w:bCs w:val="0"/>
            <w:i w:val="0"/>
            <w:iCs w:val="0"/>
          </w:rPr>
          <w:t>2958- دیوان شفیعی مشهدی أو شعره‏</w:t>
        </w:r>
        <w:r>
          <w:tab/>
        </w:r>
        <w:r>
          <w:fldChar w:fldCharType="begin"/>
        </w:r>
        <w:r>
          <w:instrText xml:space="preserve">PAGEREF 3892 \h</w:instrText>
        </w:r>
        <w:r>
          <w:fldChar w:fldCharType="end"/>
        </w:r>
      </w:hyperlink>
    </w:p>
    <w:p>
      <w:pPr>
        <w:tabs>
          <w:tab w:val="right" w:leader="dot" w:pos="9062"/>
        </w:tabs>
        <w:ind w:left="440"/>
      </w:pPr>
      <w:hyperlink w:anchor="_Toc3893" w:history="1">
        <w:r>
          <w:rPr>
            <w:rFonts w:ascii="IRNazanin" w:hAnsi="IRNazanin" w:eastAsia="IRNazanin" w:cs="IRNazanin"/>
            <w:color w:val="111111"/>
            <w:sz w:val="22"/>
            <w:szCs w:val="22"/>
            <w:b w:val="0"/>
            <w:bCs w:val="0"/>
            <w:i w:val="0"/>
            <w:iCs w:val="0"/>
          </w:rPr>
          <w:t>2959- دیوان شفیعی نیشابوری‏</w:t>
        </w:r>
        <w:r>
          <w:tab/>
        </w:r>
        <w:r>
          <w:fldChar w:fldCharType="begin"/>
        </w:r>
        <w:r>
          <w:instrText xml:space="preserve">PAGEREF 3893 \h</w:instrText>
        </w:r>
        <w:r>
          <w:fldChar w:fldCharType="end"/>
        </w:r>
      </w:hyperlink>
    </w:p>
    <w:p>
      <w:pPr>
        <w:tabs>
          <w:tab w:val="right" w:leader="dot" w:pos="9062"/>
        </w:tabs>
        <w:ind w:left="440"/>
      </w:pPr>
      <w:hyperlink w:anchor="_Toc3894" w:history="1">
        <w:r>
          <w:rPr>
            <w:rFonts w:ascii="IRNazanin" w:hAnsi="IRNazanin" w:eastAsia="IRNazanin" w:cs="IRNazanin"/>
            <w:color w:val="111111"/>
            <w:sz w:val="22"/>
            <w:szCs w:val="22"/>
            <w:b w:val="0"/>
            <w:bCs w:val="0"/>
            <w:i w:val="0"/>
            <w:iCs w:val="0"/>
          </w:rPr>
          <w:t>2960- دیوان شفیق‏</w:t>
        </w:r>
        <w:r>
          <w:tab/>
        </w:r>
        <w:r>
          <w:fldChar w:fldCharType="begin"/>
        </w:r>
        <w:r>
          <w:instrText xml:space="preserve">PAGEREF 3894 \h</w:instrText>
        </w:r>
        <w:r>
          <w:fldChar w:fldCharType="end"/>
        </w:r>
      </w:hyperlink>
    </w:p>
    <w:p>
      <w:pPr>
        <w:tabs>
          <w:tab w:val="right" w:leader="dot" w:pos="9062"/>
        </w:tabs>
        <w:ind w:left="440"/>
      </w:pPr>
      <w:hyperlink w:anchor="_Toc3895" w:history="1">
        <w:r>
          <w:rPr>
            <w:rFonts w:ascii="IRNazanin" w:hAnsi="IRNazanin" w:eastAsia="IRNazanin" w:cs="IRNazanin"/>
            <w:color w:val="111111"/>
            <w:sz w:val="22"/>
            <w:szCs w:val="22"/>
            <w:b w:val="0"/>
            <w:bCs w:val="0"/>
            <w:i w:val="0"/>
            <w:iCs w:val="0"/>
          </w:rPr>
          <w:t>دیوان شفیهنی‏</w:t>
        </w:r>
        <w:r>
          <w:tab/>
        </w:r>
        <w:r>
          <w:fldChar w:fldCharType="begin"/>
        </w:r>
        <w:r>
          <w:instrText xml:space="preserve">PAGEREF 3895 \h</w:instrText>
        </w:r>
        <w:r>
          <w:fldChar w:fldCharType="end"/>
        </w:r>
      </w:hyperlink>
    </w:p>
    <w:p>
      <w:pPr>
        <w:tabs>
          <w:tab w:val="right" w:leader="dot" w:pos="9062"/>
        </w:tabs>
        <w:ind w:left="440"/>
      </w:pPr>
      <w:hyperlink w:anchor="_Toc3896" w:history="1">
        <w:r>
          <w:rPr>
            <w:rFonts w:ascii="IRNazanin" w:hAnsi="IRNazanin" w:eastAsia="IRNazanin" w:cs="IRNazanin"/>
            <w:color w:val="111111"/>
            <w:sz w:val="22"/>
            <w:szCs w:val="22"/>
            <w:b w:val="0"/>
            <w:bCs w:val="0"/>
            <w:i w:val="0"/>
            <w:iCs w:val="0"/>
          </w:rPr>
          <w:t>دیوان شفیقی أردوبادی‏</w:t>
        </w:r>
        <w:r>
          <w:tab/>
        </w:r>
        <w:r>
          <w:fldChar w:fldCharType="begin"/>
        </w:r>
        <w:r>
          <w:instrText xml:space="preserve">PAGEREF 3896 \h</w:instrText>
        </w:r>
        <w:r>
          <w:fldChar w:fldCharType="end"/>
        </w:r>
      </w:hyperlink>
    </w:p>
    <w:p>
      <w:pPr>
        <w:tabs>
          <w:tab w:val="right" w:leader="dot" w:pos="9062"/>
        </w:tabs>
        <w:ind w:left="440"/>
      </w:pPr>
      <w:hyperlink w:anchor="_Toc3897" w:history="1">
        <w:r>
          <w:rPr>
            <w:rFonts w:ascii="IRNazanin" w:hAnsi="IRNazanin" w:eastAsia="IRNazanin" w:cs="IRNazanin"/>
            <w:color w:val="111111"/>
            <w:sz w:val="22"/>
            <w:szCs w:val="22"/>
            <w:b w:val="0"/>
            <w:bCs w:val="0"/>
            <w:i w:val="0"/>
            <w:iCs w:val="0"/>
          </w:rPr>
          <w:t>2961- دیوان شفیقی گیلانی أو شعره‏</w:t>
        </w:r>
        <w:r>
          <w:tab/>
        </w:r>
        <w:r>
          <w:fldChar w:fldCharType="begin"/>
        </w:r>
        <w:r>
          <w:instrText xml:space="preserve">PAGEREF 3897 \h</w:instrText>
        </w:r>
        <w:r>
          <w:fldChar w:fldCharType="end"/>
        </w:r>
      </w:hyperlink>
    </w:p>
    <w:p>
      <w:pPr>
        <w:tabs>
          <w:tab w:val="right" w:leader="dot" w:pos="9062"/>
        </w:tabs>
        <w:ind w:left="440"/>
      </w:pPr>
      <w:hyperlink w:anchor="_Toc3898" w:history="1">
        <w:r>
          <w:rPr>
            <w:rFonts w:ascii="IRNazanin" w:hAnsi="IRNazanin" w:eastAsia="IRNazanin" w:cs="IRNazanin"/>
            <w:color w:val="111111"/>
            <w:sz w:val="22"/>
            <w:szCs w:val="22"/>
            <w:b w:val="0"/>
            <w:bCs w:val="0"/>
            <w:i w:val="0"/>
            <w:iCs w:val="0"/>
          </w:rPr>
          <w:t>2962- دیوان شقاقی تبریزی‏</w:t>
        </w:r>
        <w:r>
          <w:tab/>
        </w:r>
        <w:r>
          <w:fldChar w:fldCharType="begin"/>
        </w:r>
        <w:r>
          <w:instrText xml:space="preserve">PAGEREF 3898 \h</w:instrText>
        </w:r>
        <w:r>
          <w:fldChar w:fldCharType="end"/>
        </w:r>
      </w:hyperlink>
    </w:p>
    <w:p>
      <w:pPr>
        <w:tabs>
          <w:tab w:val="right" w:leader="dot" w:pos="9062"/>
        </w:tabs>
        <w:ind w:left="440"/>
      </w:pPr>
      <w:hyperlink w:anchor="_Toc3899" w:history="1">
        <w:r>
          <w:rPr>
            <w:rFonts w:ascii="IRNazanin" w:hAnsi="IRNazanin" w:eastAsia="IRNazanin" w:cs="IRNazanin"/>
            <w:color w:val="111111"/>
            <w:sz w:val="22"/>
            <w:szCs w:val="22"/>
            <w:b w:val="0"/>
            <w:bCs w:val="0"/>
            <w:i w:val="0"/>
            <w:iCs w:val="0"/>
          </w:rPr>
          <w:t>دیوان شقیق بلخی أو شعره‏</w:t>
        </w:r>
        <w:r>
          <w:tab/>
        </w:r>
        <w:r>
          <w:fldChar w:fldCharType="begin"/>
        </w:r>
        <w:r>
          <w:instrText xml:space="preserve">PAGEREF 3899 \h</w:instrText>
        </w:r>
        <w:r>
          <w:fldChar w:fldCharType="end"/>
        </w:r>
      </w:hyperlink>
    </w:p>
    <w:p>
      <w:pPr>
        <w:tabs>
          <w:tab w:val="right" w:leader="dot" w:pos="9062"/>
        </w:tabs>
        <w:ind w:left="440"/>
      </w:pPr>
      <w:hyperlink w:anchor="_Toc3900" w:history="1">
        <w:r>
          <w:rPr>
            <w:rFonts w:ascii="IRNazanin" w:hAnsi="IRNazanin" w:eastAsia="IRNazanin" w:cs="IRNazanin"/>
            <w:color w:val="111111"/>
            <w:sz w:val="22"/>
            <w:szCs w:val="22"/>
            <w:b w:val="0"/>
            <w:bCs w:val="0"/>
            <w:i w:val="0"/>
            <w:iCs w:val="0"/>
          </w:rPr>
          <w:t>2963- دیوان شکر</w:t>
        </w:r>
        <w:r>
          <w:tab/>
        </w:r>
        <w:r>
          <w:fldChar w:fldCharType="begin"/>
        </w:r>
        <w:r>
          <w:instrText xml:space="preserve">PAGEREF 3900 \h</w:instrText>
        </w:r>
        <w:r>
          <w:fldChar w:fldCharType="end"/>
        </w:r>
      </w:hyperlink>
    </w:p>
    <w:p>
      <w:pPr>
        <w:tabs>
          <w:tab w:val="right" w:leader="dot" w:pos="9062"/>
        </w:tabs>
        <w:ind w:left="440"/>
      </w:pPr>
      <w:hyperlink w:anchor="_Toc3901" w:history="1">
        <w:r>
          <w:rPr>
            <w:rFonts w:ascii="IRNazanin" w:hAnsi="IRNazanin" w:eastAsia="IRNazanin" w:cs="IRNazanin"/>
            <w:color w:val="111111"/>
            <w:sz w:val="22"/>
            <w:szCs w:val="22"/>
            <w:b w:val="0"/>
            <w:bCs w:val="0"/>
            <w:i w:val="0"/>
            <w:iCs w:val="0"/>
          </w:rPr>
          <w:t>2964- دیوان شکر</w:t>
        </w:r>
        <w:r>
          <w:tab/>
        </w:r>
        <w:r>
          <w:fldChar w:fldCharType="begin"/>
        </w:r>
        <w:r>
          <w:instrText xml:space="preserve">PAGEREF 3901 \h</w:instrText>
        </w:r>
        <w:r>
          <w:fldChar w:fldCharType="end"/>
        </w:r>
      </w:hyperlink>
    </w:p>
    <w:p>
      <w:pPr>
        <w:tabs>
          <w:tab w:val="right" w:leader="dot" w:pos="9062"/>
        </w:tabs>
        <w:ind w:left="440"/>
      </w:pPr>
      <w:hyperlink w:anchor="_Toc3902" w:history="1">
        <w:r>
          <w:rPr>
            <w:rFonts w:ascii="IRNazanin" w:hAnsi="IRNazanin" w:eastAsia="IRNazanin" w:cs="IRNazanin"/>
            <w:color w:val="111111"/>
            <w:sz w:val="22"/>
            <w:szCs w:val="22"/>
            <w:b w:val="0"/>
            <w:bCs w:val="0"/>
            <w:i w:val="0"/>
            <w:iCs w:val="0"/>
          </w:rPr>
          <w:t>2965- دیوان شکر ریز أو شعره‏</w:t>
        </w:r>
        <w:r>
          <w:tab/>
        </w:r>
        <w:r>
          <w:fldChar w:fldCharType="begin"/>
        </w:r>
        <w:r>
          <w:instrText xml:space="preserve">PAGEREF 3902 \h</w:instrText>
        </w:r>
        <w:r>
          <w:fldChar w:fldCharType="end"/>
        </w:r>
      </w:hyperlink>
    </w:p>
    <w:p>
      <w:pPr>
        <w:tabs>
          <w:tab w:val="right" w:leader="dot" w:pos="9062"/>
        </w:tabs>
        <w:ind w:left="440"/>
      </w:pPr>
      <w:hyperlink w:anchor="_Toc3903" w:history="1">
        <w:r>
          <w:rPr>
            <w:rFonts w:ascii="IRNazanin" w:hAnsi="IRNazanin" w:eastAsia="IRNazanin" w:cs="IRNazanin"/>
            <w:color w:val="111111"/>
            <w:sz w:val="22"/>
            <w:szCs w:val="22"/>
            <w:b w:val="0"/>
            <w:bCs w:val="0"/>
            <w:i w:val="0"/>
            <w:iCs w:val="0"/>
          </w:rPr>
          <w:t>2966- دیوان شکر گنج‏</w:t>
        </w:r>
        <w:r>
          <w:tab/>
        </w:r>
        <w:r>
          <w:fldChar w:fldCharType="begin"/>
        </w:r>
        <w:r>
          <w:instrText xml:space="preserve">PAGEREF 3903 \h</w:instrText>
        </w:r>
        <w:r>
          <w:fldChar w:fldCharType="end"/>
        </w:r>
      </w:hyperlink>
    </w:p>
    <w:p>
      <w:pPr>
        <w:tabs>
          <w:tab w:val="right" w:leader="dot" w:pos="9062"/>
        </w:tabs>
        <w:ind w:left="440"/>
      </w:pPr>
      <w:hyperlink w:anchor="_Toc3904" w:history="1">
        <w:r>
          <w:rPr>
            <w:rFonts w:ascii="IRNazanin" w:hAnsi="IRNazanin" w:eastAsia="IRNazanin" w:cs="IRNazanin"/>
            <w:color w:val="111111"/>
            <w:sz w:val="22"/>
            <w:szCs w:val="22"/>
            <w:b w:val="0"/>
            <w:bCs w:val="0"/>
            <w:i w:val="0"/>
            <w:iCs w:val="0"/>
          </w:rPr>
          <w:t>دیوان شکر المذاقین‏</w:t>
        </w:r>
        <w:r>
          <w:tab/>
        </w:r>
        <w:r>
          <w:fldChar w:fldCharType="begin"/>
        </w:r>
        <w:r>
          <w:instrText xml:space="preserve">PAGEREF 3904 \h</w:instrText>
        </w:r>
        <w:r>
          <w:fldChar w:fldCharType="end"/>
        </w:r>
      </w:hyperlink>
    </w:p>
    <w:p>
      <w:pPr>
        <w:tabs>
          <w:tab w:val="right" w:leader="dot" w:pos="9062"/>
        </w:tabs>
        <w:ind w:left="440"/>
      </w:pPr>
      <w:hyperlink w:anchor="_Toc3905" w:history="1">
        <w:r>
          <w:rPr>
            <w:rFonts w:ascii="IRNazanin" w:hAnsi="IRNazanin" w:eastAsia="IRNazanin" w:cs="IRNazanin"/>
            <w:color w:val="111111"/>
            <w:sz w:val="22"/>
            <w:szCs w:val="22"/>
            <w:b w:val="0"/>
            <w:bCs w:val="0"/>
            <w:i w:val="0"/>
            <w:iCs w:val="0"/>
          </w:rPr>
          <w:t>2967- دیوان شکری شیرازی أو شعره‏</w:t>
        </w:r>
        <w:r>
          <w:tab/>
        </w:r>
        <w:r>
          <w:fldChar w:fldCharType="begin"/>
        </w:r>
        <w:r>
          <w:instrText xml:space="preserve">PAGEREF 3905 \h</w:instrText>
        </w:r>
        <w:r>
          <w:fldChar w:fldCharType="end"/>
        </w:r>
      </w:hyperlink>
    </w:p>
    <w:p>
      <w:pPr>
        <w:tabs>
          <w:tab w:val="right" w:leader="dot" w:pos="9062"/>
        </w:tabs>
        <w:ind w:left="440"/>
      </w:pPr>
      <w:hyperlink w:anchor="_Toc3906" w:history="1">
        <w:r>
          <w:rPr>
            <w:rFonts w:ascii="IRNazanin" w:hAnsi="IRNazanin" w:eastAsia="IRNazanin" w:cs="IRNazanin"/>
            <w:color w:val="111111"/>
            <w:sz w:val="22"/>
            <w:szCs w:val="22"/>
            <w:b w:val="0"/>
            <w:bCs w:val="0"/>
            <w:i w:val="0"/>
            <w:iCs w:val="0"/>
          </w:rPr>
          <w:t>2968- دیوان شکری هروی أو شعره‏</w:t>
        </w:r>
        <w:r>
          <w:tab/>
        </w:r>
        <w:r>
          <w:fldChar w:fldCharType="begin"/>
        </w:r>
        <w:r>
          <w:instrText xml:space="preserve">PAGEREF 3906 \h</w:instrText>
        </w:r>
        <w:r>
          <w:fldChar w:fldCharType="end"/>
        </w:r>
      </w:hyperlink>
    </w:p>
    <w:p>
      <w:pPr>
        <w:tabs>
          <w:tab w:val="right" w:leader="dot" w:pos="9062"/>
        </w:tabs>
        <w:ind w:left="440"/>
      </w:pPr>
      <w:hyperlink w:anchor="_Toc3907" w:history="1">
        <w:r>
          <w:rPr>
            <w:rFonts w:ascii="IRNazanin" w:hAnsi="IRNazanin" w:eastAsia="IRNazanin" w:cs="IRNazanin"/>
            <w:color w:val="111111"/>
            <w:sz w:val="22"/>
            <w:szCs w:val="22"/>
            <w:b w:val="0"/>
            <w:bCs w:val="0"/>
            <w:i w:val="0"/>
            <w:iCs w:val="0"/>
          </w:rPr>
          <w:t>دیوان شکری همدانی‏</w:t>
        </w:r>
        <w:r>
          <w:tab/>
        </w:r>
        <w:r>
          <w:fldChar w:fldCharType="begin"/>
        </w:r>
        <w:r>
          <w:instrText xml:space="preserve">PAGEREF 3907 \h</w:instrText>
        </w:r>
        <w:r>
          <w:fldChar w:fldCharType="end"/>
        </w:r>
      </w:hyperlink>
    </w:p>
    <w:p>
      <w:pPr>
        <w:tabs>
          <w:tab w:val="right" w:leader="dot" w:pos="9062"/>
        </w:tabs>
        <w:ind w:left="440"/>
      </w:pPr>
      <w:hyperlink w:anchor="_Toc3908" w:history="1">
        <w:r>
          <w:rPr>
            <w:rFonts w:ascii="IRNazanin" w:hAnsi="IRNazanin" w:eastAsia="IRNazanin" w:cs="IRNazanin"/>
            <w:color w:val="111111"/>
            <w:sz w:val="22"/>
            <w:szCs w:val="22"/>
            <w:b w:val="0"/>
            <w:bCs w:val="0"/>
            <w:i w:val="0"/>
            <w:iCs w:val="0"/>
          </w:rPr>
          <w:t>2969- دیوان شکسته‏</w:t>
        </w:r>
        <w:r>
          <w:tab/>
        </w:r>
        <w:r>
          <w:fldChar w:fldCharType="begin"/>
        </w:r>
        <w:r>
          <w:instrText xml:space="preserve">PAGEREF 3908 \h</w:instrText>
        </w:r>
        <w:r>
          <w:fldChar w:fldCharType="end"/>
        </w:r>
      </w:hyperlink>
    </w:p>
    <w:p>
      <w:pPr>
        <w:tabs>
          <w:tab w:val="right" w:leader="dot" w:pos="9062"/>
        </w:tabs>
        <w:ind w:left="440"/>
      </w:pPr>
      <w:hyperlink w:anchor="_Toc3909" w:history="1">
        <w:r>
          <w:rPr>
            <w:rFonts w:ascii="IRNazanin" w:hAnsi="IRNazanin" w:eastAsia="IRNazanin" w:cs="IRNazanin"/>
            <w:color w:val="111111"/>
            <w:sz w:val="22"/>
            <w:szCs w:val="22"/>
            <w:b w:val="0"/>
            <w:bCs w:val="0"/>
            <w:i w:val="0"/>
            <w:iCs w:val="0"/>
          </w:rPr>
          <w:t>2970- دیوان شکسته کابلی أو شعره‏</w:t>
        </w:r>
        <w:r>
          <w:tab/>
        </w:r>
        <w:r>
          <w:fldChar w:fldCharType="begin"/>
        </w:r>
        <w:r>
          <w:instrText xml:space="preserve">PAGEREF 3909 \h</w:instrText>
        </w:r>
        <w:r>
          <w:fldChar w:fldCharType="end"/>
        </w:r>
      </w:hyperlink>
    </w:p>
    <w:p>
      <w:pPr>
        <w:tabs>
          <w:tab w:val="right" w:leader="dot" w:pos="9062"/>
        </w:tabs>
        <w:ind w:left="440"/>
      </w:pPr>
      <w:hyperlink w:anchor="_Toc3910" w:history="1">
        <w:r>
          <w:rPr>
            <w:rFonts w:ascii="IRNazanin" w:hAnsi="IRNazanin" w:eastAsia="IRNazanin" w:cs="IRNazanin"/>
            <w:color w:val="111111"/>
            <w:sz w:val="22"/>
            <w:szCs w:val="22"/>
            <w:b w:val="0"/>
            <w:bCs w:val="0"/>
            <w:i w:val="0"/>
            <w:iCs w:val="0"/>
          </w:rPr>
          <w:t>2971- دیوان شکونی جرفادقانی أو شعره‏</w:t>
        </w:r>
        <w:r>
          <w:tab/>
        </w:r>
        <w:r>
          <w:fldChar w:fldCharType="begin"/>
        </w:r>
        <w:r>
          <w:instrText xml:space="preserve">PAGEREF 3910 \h</w:instrText>
        </w:r>
        <w:r>
          <w:fldChar w:fldCharType="end"/>
        </w:r>
      </w:hyperlink>
    </w:p>
    <w:p>
      <w:pPr>
        <w:tabs>
          <w:tab w:val="right" w:leader="dot" w:pos="9062"/>
        </w:tabs>
        <w:ind w:left="440"/>
      </w:pPr>
      <w:hyperlink w:anchor="_Toc3911" w:history="1">
        <w:r>
          <w:rPr>
            <w:rFonts w:ascii="IRNazanin" w:hAnsi="IRNazanin" w:eastAsia="IRNazanin" w:cs="IRNazanin"/>
            <w:color w:val="111111"/>
            <w:sz w:val="22"/>
            <w:szCs w:val="22"/>
            <w:b w:val="0"/>
            <w:bCs w:val="0"/>
            <w:i w:val="0"/>
            <w:iCs w:val="0"/>
          </w:rPr>
          <w:t>2972- دیوان شکوه شیرازی‏</w:t>
        </w:r>
        <w:r>
          <w:tab/>
        </w:r>
        <w:r>
          <w:fldChar w:fldCharType="begin"/>
        </w:r>
        <w:r>
          <w:instrText xml:space="preserve">PAGEREF 3911 \h</w:instrText>
        </w:r>
        <w:r>
          <w:fldChar w:fldCharType="end"/>
        </w:r>
      </w:hyperlink>
    </w:p>
    <w:p>
      <w:pPr>
        <w:tabs>
          <w:tab w:val="right" w:leader="dot" w:pos="9062"/>
        </w:tabs>
        <w:ind w:left="440"/>
      </w:pPr>
      <w:hyperlink w:anchor="_Toc3912" w:history="1">
        <w:r>
          <w:rPr>
            <w:rFonts w:ascii="IRNazanin" w:hAnsi="IRNazanin" w:eastAsia="IRNazanin" w:cs="IRNazanin"/>
            <w:color w:val="111111"/>
            <w:sz w:val="22"/>
            <w:szCs w:val="22"/>
            <w:b w:val="0"/>
            <w:bCs w:val="0"/>
            <w:i w:val="0"/>
            <w:iCs w:val="0"/>
          </w:rPr>
          <w:t>2973- دیوان شکوهی تبریزی‏</w:t>
        </w:r>
        <w:r>
          <w:tab/>
        </w:r>
        <w:r>
          <w:fldChar w:fldCharType="begin"/>
        </w:r>
        <w:r>
          <w:instrText xml:space="preserve">PAGEREF 3912 \h</w:instrText>
        </w:r>
        <w:r>
          <w:fldChar w:fldCharType="end"/>
        </w:r>
      </w:hyperlink>
    </w:p>
    <w:p>
      <w:pPr>
        <w:tabs>
          <w:tab w:val="right" w:leader="dot" w:pos="9062"/>
        </w:tabs>
        <w:ind w:left="440"/>
      </w:pPr>
      <w:hyperlink w:anchor="_Toc3913" w:history="1">
        <w:r>
          <w:rPr>
            <w:rFonts w:ascii="IRNazanin" w:hAnsi="IRNazanin" w:eastAsia="IRNazanin" w:cs="IRNazanin"/>
            <w:color w:val="111111"/>
            <w:sz w:val="22"/>
            <w:szCs w:val="22"/>
            <w:b w:val="0"/>
            <w:bCs w:val="0"/>
            <w:i w:val="0"/>
            <w:iCs w:val="0"/>
          </w:rPr>
          <w:t>2974- دیوان ملا شکوهی همدانی أو شعره‏</w:t>
        </w:r>
        <w:r>
          <w:tab/>
        </w:r>
        <w:r>
          <w:fldChar w:fldCharType="begin"/>
        </w:r>
        <w:r>
          <w:instrText xml:space="preserve">PAGEREF 3913 \h</w:instrText>
        </w:r>
        <w:r>
          <w:fldChar w:fldCharType="end"/>
        </w:r>
      </w:hyperlink>
    </w:p>
    <w:p>
      <w:pPr>
        <w:tabs>
          <w:tab w:val="right" w:leader="dot" w:pos="9062"/>
        </w:tabs>
        <w:ind w:left="440"/>
      </w:pPr>
      <w:hyperlink w:anchor="_Toc3914" w:history="1">
        <w:r>
          <w:rPr>
            <w:rFonts w:ascii="IRNazanin" w:hAnsi="IRNazanin" w:eastAsia="IRNazanin" w:cs="IRNazanin"/>
            <w:color w:val="111111"/>
            <w:sz w:val="22"/>
            <w:szCs w:val="22"/>
            <w:b w:val="0"/>
            <w:bCs w:val="0"/>
            <w:i w:val="0"/>
            <w:iCs w:val="0"/>
          </w:rPr>
          <w:t>2975- دیوان شکوهی یزدی أو شعره‏</w:t>
        </w:r>
        <w:r>
          <w:tab/>
        </w:r>
        <w:r>
          <w:fldChar w:fldCharType="begin"/>
        </w:r>
        <w:r>
          <w:instrText xml:space="preserve">PAGEREF 3914 \h</w:instrText>
        </w:r>
        <w:r>
          <w:fldChar w:fldCharType="end"/>
        </w:r>
      </w:hyperlink>
    </w:p>
    <w:p>
      <w:pPr>
        <w:tabs>
          <w:tab w:val="right" w:leader="dot" w:pos="9062"/>
        </w:tabs>
        <w:ind w:left="440"/>
      </w:pPr>
      <w:hyperlink w:anchor="_Toc3915" w:history="1">
        <w:r>
          <w:rPr>
            <w:rFonts w:ascii="IRNazanin" w:hAnsi="IRNazanin" w:eastAsia="IRNazanin" w:cs="IRNazanin"/>
            <w:color w:val="111111"/>
            <w:sz w:val="22"/>
            <w:szCs w:val="22"/>
            <w:b w:val="0"/>
            <w:bCs w:val="0"/>
            <w:i w:val="0"/>
            <w:iCs w:val="0"/>
          </w:rPr>
          <w:t>2976- دیوان شکیب أصفهانی‏</w:t>
        </w:r>
        <w:r>
          <w:tab/>
        </w:r>
        <w:r>
          <w:fldChar w:fldCharType="begin"/>
        </w:r>
        <w:r>
          <w:instrText xml:space="preserve">PAGEREF 3915 \h</w:instrText>
        </w:r>
        <w:r>
          <w:fldChar w:fldCharType="end"/>
        </w:r>
      </w:hyperlink>
    </w:p>
    <w:p>
      <w:pPr>
        <w:tabs>
          <w:tab w:val="right" w:leader="dot" w:pos="9062"/>
        </w:tabs>
        <w:ind w:left="440"/>
      </w:pPr>
      <w:hyperlink w:anchor="_Toc3916" w:history="1">
        <w:r>
          <w:rPr>
            <w:rFonts w:ascii="IRNazanin" w:hAnsi="IRNazanin" w:eastAsia="IRNazanin" w:cs="IRNazanin"/>
            <w:color w:val="111111"/>
            <w:sz w:val="22"/>
            <w:szCs w:val="22"/>
            <w:b w:val="0"/>
            <w:bCs w:val="0"/>
            <w:i w:val="0"/>
            <w:iCs w:val="0"/>
          </w:rPr>
          <w:t>2977- دیوان شکیب أصفهانی أو شعره‏</w:t>
        </w:r>
        <w:r>
          <w:tab/>
        </w:r>
        <w:r>
          <w:fldChar w:fldCharType="begin"/>
        </w:r>
        <w:r>
          <w:instrText xml:space="preserve">PAGEREF 3916 \h</w:instrText>
        </w:r>
        <w:r>
          <w:fldChar w:fldCharType="end"/>
        </w:r>
      </w:hyperlink>
    </w:p>
    <w:p>
      <w:pPr>
        <w:tabs>
          <w:tab w:val="right" w:leader="dot" w:pos="9062"/>
        </w:tabs>
        <w:ind w:left="440"/>
      </w:pPr>
      <w:hyperlink w:anchor="_Toc3917" w:history="1">
        <w:r>
          <w:rPr>
            <w:rFonts w:ascii="IRNazanin" w:hAnsi="IRNazanin" w:eastAsia="IRNazanin" w:cs="IRNazanin"/>
            <w:color w:val="111111"/>
            <w:sz w:val="22"/>
            <w:szCs w:val="22"/>
            <w:b w:val="0"/>
            <w:bCs w:val="0"/>
            <w:i w:val="0"/>
            <w:iCs w:val="0"/>
          </w:rPr>
          <w:t>2978- دیوان شکیب شیرازی أو شعره‏</w:t>
        </w:r>
        <w:r>
          <w:tab/>
        </w:r>
        <w:r>
          <w:fldChar w:fldCharType="begin"/>
        </w:r>
        <w:r>
          <w:instrText xml:space="preserve">PAGEREF 3917 \h</w:instrText>
        </w:r>
        <w:r>
          <w:fldChar w:fldCharType="end"/>
        </w:r>
      </w:hyperlink>
    </w:p>
    <w:p>
      <w:pPr>
        <w:tabs>
          <w:tab w:val="right" w:leader="dot" w:pos="9062"/>
        </w:tabs>
        <w:ind w:left="440"/>
      </w:pPr>
      <w:hyperlink w:anchor="_Toc3918" w:history="1">
        <w:r>
          <w:rPr>
            <w:rFonts w:ascii="IRNazanin" w:hAnsi="IRNazanin" w:eastAsia="IRNazanin" w:cs="IRNazanin"/>
            <w:color w:val="111111"/>
            <w:sz w:val="22"/>
            <w:szCs w:val="22"/>
            <w:b w:val="0"/>
            <w:bCs w:val="0"/>
            <w:i w:val="0"/>
            <w:iCs w:val="0"/>
          </w:rPr>
          <w:t>2979- دیوان شکیب شیرازی أو شعره‏</w:t>
        </w:r>
        <w:r>
          <w:tab/>
        </w:r>
        <w:r>
          <w:fldChar w:fldCharType="begin"/>
        </w:r>
        <w:r>
          <w:instrText xml:space="preserve">PAGEREF 3918 \h</w:instrText>
        </w:r>
        <w:r>
          <w:fldChar w:fldCharType="end"/>
        </w:r>
      </w:hyperlink>
    </w:p>
    <w:p>
      <w:pPr>
        <w:tabs>
          <w:tab w:val="right" w:leader="dot" w:pos="9062"/>
        </w:tabs>
        <w:ind w:left="440"/>
      </w:pPr>
      <w:hyperlink w:anchor="_Toc3919" w:history="1">
        <w:r>
          <w:rPr>
            <w:rFonts w:ascii="IRNazanin" w:hAnsi="IRNazanin" w:eastAsia="IRNazanin" w:cs="IRNazanin"/>
            <w:color w:val="111111"/>
            <w:sz w:val="22"/>
            <w:szCs w:val="22"/>
            <w:b w:val="0"/>
            <w:bCs w:val="0"/>
            <w:i w:val="0"/>
            <w:iCs w:val="0"/>
          </w:rPr>
          <w:t>2980- دیوان شکیبی أصفهانی‏</w:t>
        </w:r>
        <w:r>
          <w:tab/>
        </w:r>
        <w:r>
          <w:fldChar w:fldCharType="begin"/>
        </w:r>
        <w:r>
          <w:instrText xml:space="preserve">PAGEREF 3919 \h</w:instrText>
        </w:r>
        <w:r>
          <w:fldChar w:fldCharType="end"/>
        </w:r>
      </w:hyperlink>
    </w:p>
    <w:p>
      <w:pPr>
        <w:tabs>
          <w:tab w:val="right" w:leader="dot" w:pos="9062"/>
        </w:tabs>
        <w:ind w:left="440"/>
      </w:pPr>
      <w:hyperlink w:anchor="_Toc3920" w:history="1">
        <w:r>
          <w:rPr>
            <w:rFonts w:ascii="IRNazanin" w:hAnsi="IRNazanin" w:eastAsia="IRNazanin" w:cs="IRNazanin"/>
            <w:color w:val="111111"/>
            <w:sz w:val="22"/>
            <w:szCs w:val="22"/>
            <w:b w:val="0"/>
            <w:bCs w:val="0"/>
            <w:i w:val="0"/>
            <w:iCs w:val="0"/>
          </w:rPr>
          <w:t>2981- دیوان شکیبی تبریزی أو شعره‏</w:t>
        </w:r>
        <w:r>
          <w:tab/>
        </w:r>
        <w:r>
          <w:fldChar w:fldCharType="begin"/>
        </w:r>
        <w:r>
          <w:instrText xml:space="preserve">PAGEREF 3920 \h</w:instrText>
        </w:r>
        <w:r>
          <w:fldChar w:fldCharType="end"/>
        </w:r>
      </w:hyperlink>
    </w:p>
    <w:p>
      <w:pPr>
        <w:tabs>
          <w:tab w:val="right" w:leader="dot" w:pos="9062"/>
        </w:tabs>
        <w:ind w:left="440"/>
      </w:pPr>
      <w:hyperlink w:anchor="_Toc3921" w:history="1">
        <w:r>
          <w:rPr>
            <w:rFonts w:ascii="IRNazanin" w:hAnsi="IRNazanin" w:eastAsia="IRNazanin" w:cs="IRNazanin"/>
            <w:color w:val="111111"/>
            <w:sz w:val="22"/>
            <w:szCs w:val="22"/>
            <w:b w:val="0"/>
            <w:bCs w:val="0"/>
            <w:i w:val="0"/>
            <w:iCs w:val="0"/>
          </w:rPr>
          <w:t>2982- دیوان شمالی دهستانی الخراسانی‏</w:t>
        </w:r>
        <w:r>
          <w:tab/>
        </w:r>
        <w:r>
          <w:fldChar w:fldCharType="begin"/>
        </w:r>
        <w:r>
          <w:instrText xml:space="preserve">PAGEREF 3921 \h</w:instrText>
        </w:r>
        <w:r>
          <w:fldChar w:fldCharType="end"/>
        </w:r>
      </w:hyperlink>
    </w:p>
    <w:p>
      <w:pPr>
        <w:tabs>
          <w:tab w:val="right" w:leader="dot" w:pos="9062"/>
        </w:tabs>
        <w:ind w:left="440"/>
      </w:pPr>
      <w:hyperlink w:anchor="_Toc3922" w:history="1">
        <w:r>
          <w:rPr>
            <w:rFonts w:ascii="IRNazanin" w:hAnsi="IRNazanin" w:eastAsia="IRNazanin" w:cs="IRNazanin"/>
            <w:color w:val="111111"/>
            <w:sz w:val="22"/>
            <w:szCs w:val="22"/>
            <w:b w:val="0"/>
            <w:bCs w:val="0"/>
            <w:i w:val="0"/>
            <w:iCs w:val="0"/>
          </w:rPr>
          <w:t>2983- دیوان شمخال بیک أو شعره‏</w:t>
        </w:r>
        <w:r>
          <w:tab/>
        </w:r>
        <w:r>
          <w:fldChar w:fldCharType="begin"/>
        </w:r>
        <w:r>
          <w:instrText xml:space="preserve">PAGEREF 3922 \h</w:instrText>
        </w:r>
        <w:r>
          <w:fldChar w:fldCharType="end"/>
        </w:r>
      </w:hyperlink>
    </w:p>
    <w:p>
      <w:pPr>
        <w:tabs>
          <w:tab w:val="right" w:leader="dot" w:pos="9062"/>
        </w:tabs>
        <w:ind w:left="440"/>
      </w:pPr>
      <w:hyperlink w:anchor="_Toc3923" w:history="1">
        <w:r>
          <w:rPr>
            <w:rFonts w:ascii="IRNazanin" w:hAnsi="IRNazanin" w:eastAsia="IRNazanin" w:cs="IRNazanin"/>
            <w:color w:val="111111"/>
            <w:sz w:val="22"/>
            <w:szCs w:val="22"/>
            <w:b w:val="0"/>
            <w:bCs w:val="0"/>
            <w:i w:val="0"/>
            <w:iCs w:val="0"/>
          </w:rPr>
          <w:t>دیوان شمسا</w:t>
        </w:r>
        <w:r>
          <w:tab/>
        </w:r>
        <w:r>
          <w:fldChar w:fldCharType="begin"/>
        </w:r>
        <w:r>
          <w:instrText xml:space="preserve">PAGEREF 3923 \h</w:instrText>
        </w:r>
        <w:r>
          <w:fldChar w:fldCharType="end"/>
        </w:r>
      </w:hyperlink>
    </w:p>
    <w:p>
      <w:pPr>
        <w:tabs>
          <w:tab w:val="right" w:leader="dot" w:pos="9062"/>
        </w:tabs>
        <w:ind w:left="440"/>
      </w:pPr>
      <w:hyperlink w:anchor="_Toc3924" w:history="1">
        <w:r>
          <w:rPr>
            <w:rFonts w:ascii="IRNazanin" w:hAnsi="IRNazanin" w:eastAsia="IRNazanin" w:cs="IRNazanin"/>
            <w:color w:val="111111"/>
            <w:sz w:val="22"/>
            <w:szCs w:val="22"/>
            <w:b w:val="0"/>
            <w:bCs w:val="0"/>
            <w:i w:val="0"/>
            <w:iCs w:val="0"/>
          </w:rPr>
          <w:t>2984- دیوان شمسای گیلانی أو شعره‏</w:t>
        </w:r>
        <w:r>
          <w:tab/>
        </w:r>
        <w:r>
          <w:fldChar w:fldCharType="begin"/>
        </w:r>
        <w:r>
          <w:instrText xml:space="preserve">PAGEREF 3924 \h</w:instrText>
        </w:r>
        <w:r>
          <w:fldChar w:fldCharType="end"/>
        </w:r>
      </w:hyperlink>
    </w:p>
    <w:p>
      <w:pPr>
        <w:tabs>
          <w:tab w:val="right" w:leader="dot" w:pos="9062"/>
        </w:tabs>
        <w:ind w:left="440"/>
      </w:pPr>
      <w:hyperlink w:anchor="_Toc3925" w:history="1">
        <w:r>
          <w:rPr>
            <w:rFonts w:ascii="IRNazanin" w:hAnsi="IRNazanin" w:eastAsia="IRNazanin" w:cs="IRNazanin"/>
            <w:color w:val="111111"/>
            <w:sz w:val="22"/>
            <w:szCs w:val="22"/>
            <w:b w:val="0"/>
            <w:bCs w:val="0"/>
            <w:i w:val="0"/>
            <w:iCs w:val="0"/>
          </w:rPr>
          <w:t>دیوان شمسای قمی‏</w:t>
        </w:r>
        <w:r>
          <w:tab/>
        </w:r>
        <w:r>
          <w:fldChar w:fldCharType="begin"/>
        </w:r>
        <w:r>
          <w:instrText xml:space="preserve">PAGEREF 3925 \h</w:instrText>
        </w:r>
        <w:r>
          <w:fldChar w:fldCharType="end"/>
        </w:r>
      </w:hyperlink>
    </w:p>
    <w:p>
      <w:pPr>
        <w:tabs>
          <w:tab w:val="right" w:leader="dot" w:pos="9062"/>
        </w:tabs>
        <w:ind w:left="440"/>
      </w:pPr>
      <w:hyperlink w:anchor="_Toc3926" w:history="1">
        <w:r>
          <w:rPr>
            <w:rFonts w:ascii="IRNazanin" w:hAnsi="IRNazanin" w:eastAsia="IRNazanin" w:cs="IRNazanin"/>
            <w:color w:val="111111"/>
            <w:sz w:val="22"/>
            <w:szCs w:val="22"/>
            <w:b w:val="0"/>
            <w:bCs w:val="0"/>
            <w:i w:val="0"/>
            <w:iCs w:val="0"/>
          </w:rPr>
          <w:t>2985- دیوان شمس الأدباء</w:t>
        </w:r>
        <w:r>
          <w:tab/>
        </w:r>
        <w:r>
          <w:fldChar w:fldCharType="begin"/>
        </w:r>
        <w:r>
          <w:instrText xml:space="preserve">PAGEREF 3926 \h</w:instrText>
        </w:r>
        <w:r>
          <w:fldChar w:fldCharType="end"/>
        </w:r>
      </w:hyperlink>
    </w:p>
    <w:p>
      <w:pPr>
        <w:tabs>
          <w:tab w:val="right" w:leader="dot" w:pos="9062"/>
        </w:tabs>
        <w:ind w:left="440"/>
      </w:pPr>
      <w:hyperlink w:anchor="_Toc3927" w:history="1">
        <w:r>
          <w:rPr>
            <w:rFonts w:ascii="IRNazanin" w:hAnsi="IRNazanin" w:eastAsia="IRNazanin" w:cs="IRNazanin"/>
            <w:color w:val="111111"/>
            <w:sz w:val="22"/>
            <w:szCs w:val="22"/>
            <w:b w:val="0"/>
            <w:bCs w:val="0"/>
            <w:i w:val="0"/>
            <w:iCs w:val="0"/>
          </w:rPr>
          <w:t>دیوان شمس اندجانی‏</w:t>
        </w:r>
        <w:r>
          <w:tab/>
        </w:r>
        <w:r>
          <w:fldChar w:fldCharType="begin"/>
        </w:r>
        <w:r>
          <w:instrText xml:space="preserve">PAGEREF 3927 \h</w:instrText>
        </w:r>
        <w:r>
          <w:fldChar w:fldCharType="end"/>
        </w:r>
      </w:hyperlink>
    </w:p>
    <w:p>
      <w:pPr>
        <w:tabs>
          <w:tab w:val="right" w:leader="dot" w:pos="9062"/>
        </w:tabs>
        <w:ind w:left="440"/>
      </w:pPr>
      <w:hyperlink w:anchor="_Toc3928" w:history="1">
        <w:r>
          <w:rPr>
            <w:rFonts w:ascii="IRNazanin" w:hAnsi="IRNazanin" w:eastAsia="IRNazanin" w:cs="IRNazanin"/>
            <w:color w:val="111111"/>
            <w:sz w:val="22"/>
            <w:szCs w:val="22"/>
            <w:b w:val="0"/>
            <w:bCs w:val="0"/>
            <w:i w:val="0"/>
            <w:iCs w:val="0"/>
          </w:rPr>
          <w:t>دیوان شمس أصفهانی‏</w:t>
        </w:r>
        <w:r>
          <w:tab/>
        </w:r>
        <w:r>
          <w:fldChar w:fldCharType="begin"/>
        </w:r>
        <w:r>
          <w:instrText xml:space="preserve">PAGEREF 3928 \h</w:instrText>
        </w:r>
        <w:r>
          <w:fldChar w:fldCharType="end"/>
        </w:r>
      </w:hyperlink>
    </w:p>
    <w:p>
      <w:pPr>
        <w:tabs>
          <w:tab w:val="right" w:leader="dot" w:pos="9062"/>
        </w:tabs>
        <w:ind w:left="440"/>
      </w:pPr>
      <w:hyperlink w:anchor="_Toc3929" w:history="1">
        <w:r>
          <w:rPr>
            <w:rFonts w:ascii="IRNazanin" w:hAnsi="IRNazanin" w:eastAsia="IRNazanin" w:cs="IRNazanin"/>
            <w:color w:val="111111"/>
            <w:sz w:val="22"/>
            <w:szCs w:val="22"/>
            <w:b w:val="0"/>
            <w:bCs w:val="0"/>
            <w:i w:val="0"/>
            <w:iCs w:val="0"/>
          </w:rPr>
          <w:t>2986- دیوان شمس أعرج أو شعره‏</w:t>
        </w:r>
        <w:r>
          <w:tab/>
        </w:r>
        <w:r>
          <w:fldChar w:fldCharType="begin"/>
        </w:r>
        <w:r>
          <w:instrText xml:space="preserve">PAGEREF 3929 \h</w:instrText>
        </w:r>
        <w:r>
          <w:fldChar w:fldCharType="end"/>
        </w:r>
      </w:hyperlink>
    </w:p>
    <w:p>
      <w:pPr>
        <w:tabs>
          <w:tab w:val="right" w:leader="dot" w:pos="9062"/>
        </w:tabs>
        <w:ind w:left="440"/>
      </w:pPr>
      <w:hyperlink w:anchor="_Toc3930" w:history="1">
        <w:r>
          <w:rPr>
            <w:rFonts w:ascii="IRNazanin" w:hAnsi="IRNazanin" w:eastAsia="IRNazanin" w:cs="IRNazanin"/>
            <w:color w:val="111111"/>
            <w:sz w:val="22"/>
            <w:szCs w:val="22"/>
            <w:b w:val="0"/>
            <w:bCs w:val="0"/>
            <w:i w:val="0"/>
            <w:iCs w:val="0"/>
          </w:rPr>
          <w:t>دیوان شمس أورجندی أو شعره‏</w:t>
        </w:r>
        <w:r>
          <w:tab/>
        </w:r>
        <w:r>
          <w:fldChar w:fldCharType="begin"/>
        </w:r>
        <w:r>
          <w:instrText xml:space="preserve">PAGEREF 3930 \h</w:instrText>
        </w:r>
        <w:r>
          <w:fldChar w:fldCharType="end"/>
        </w:r>
      </w:hyperlink>
    </w:p>
    <w:p>
      <w:pPr>
        <w:tabs>
          <w:tab w:val="right" w:leader="dot" w:pos="9062"/>
        </w:tabs>
        <w:ind w:left="440"/>
      </w:pPr>
      <w:hyperlink w:anchor="_Toc3931" w:history="1">
        <w:r>
          <w:rPr>
            <w:rFonts w:ascii="IRNazanin" w:hAnsi="IRNazanin" w:eastAsia="IRNazanin" w:cs="IRNazanin"/>
            <w:color w:val="111111"/>
            <w:sz w:val="22"/>
            <w:szCs w:val="22"/>
            <w:b w:val="0"/>
            <w:bCs w:val="0"/>
            <w:i w:val="0"/>
            <w:iCs w:val="0"/>
          </w:rPr>
          <w:t>2987- دیوان شمس بخاری أو شعره‏</w:t>
        </w:r>
        <w:r>
          <w:tab/>
        </w:r>
        <w:r>
          <w:fldChar w:fldCharType="begin"/>
        </w:r>
        <w:r>
          <w:instrText xml:space="preserve">PAGEREF 3931 \h</w:instrText>
        </w:r>
        <w:r>
          <w:fldChar w:fldCharType="end"/>
        </w:r>
      </w:hyperlink>
    </w:p>
    <w:p>
      <w:pPr>
        <w:tabs>
          <w:tab w:val="right" w:leader="dot" w:pos="9062"/>
        </w:tabs>
        <w:ind w:left="440"/>
      </w:pPr>
      <w:hyperlink w:anchor="_Toc3932" w:history="1">
        <w:r>
          <w:rPr>
            <w:rFonts w:ascii="IRNazanin" w:hAnsi="IRNazanin" w:eastAsia="IRNazanin" w:cs="IRNazanin"/>
            <w:color w:val="111111"/>
            <w:sz w:val="22"/>
            <w:szCs w:val="22"/>
            <w:b w:val="0"/>
            <w:bCs w:val="0"/>
            <w:i w:val="0"/>
            <w:iCs w:val="0"/>
          </w:rPr>
          <w:t>2988- دیوان شمس بروجنی‏</w:t>
        </w:r>
        <w:r>
          <w:tab/>
        </w:r>
        <w:r>
          <w:fldChar w:fldCharType="begin"/>
        </w:r>
        <w:r>
          <w:instrText xml:space="preserve">PAGEREF 3932 \h</w:instrText>
        </w:r>
        <w:r>
          <w:fldChar w:fldCharType="end"/>
        </w:r>
      </w:hyperlink>
    </w:p>
    <w:p>
      <w:pPr>
        <w:tabs>
          <w:tab w:val="right" w:leader="dot" w:pos="9062"/>
        </w:tabs>
        <w:ind w:left="440"/>
      </w:pPr>
      <w:hyperlink w:anchor="_Toc3933" w:history="1">
        <w:r>
          <w:rPr>
            <w:rFonts w:ascii="IRNazanin" w:hAnsi="IRNazanin" w:eastAsia="IRNazanin" w:cs="IRNazanin"/>
            <w:color w:val="111111"/>
            <w:sz w:val="22"/>
            <w:szCs w:val="22"/>
            <w:b w:val="0"/>
            <w:bCs w:val="0"/>
            <w:i w:val="0"/>
            <w:iCs w:val="0"/>
          </w:rPr>
          <w:t>دیوان شمس بلخی‏</w:t>
        </w:r>
        <w:r>
          <w:tab/>
        </w:r>
        <w:r>
          <w:fldChar w:fldCharType="begin"/>
        </w:r>
        <w:r>
          <w:instrText xml:space="preserve">PAGEREF 3933 \h</w:instrText>
        </w:r>
        <w:r>
          <w:fldChar w:fldCharType="end"/>
        </w:r>
      </w:hyperlink>
    </w:p>
    <w:p>
      <w:pPr>
        <w:tabs>
          <w:tab w:val="right" w:leader="dot" w:pos="9062"/>
        </w:tabs>
        <w:ind w:left="440"/>
      </w:pPr>
      <w:hyperlink w:anchor="_Toc3934" w:history="1">
        <w:r>
          <w:rPr>
            <w:rFonts w:ascii="IRNazanin" w:hAnsi="IRNazanin" w:eastAsia="IRNazanin" w:cs="IRNazanin"/>
            <w:color w:val="111111"/>
            <w:sz w:val="22"/>
            <w:szCs w:val="22"/>
            <w:b w:val="0"/>
            <w:bCs w:val="0"/>
            <w:i w:val="0"/>
            <w:iCs w:val="0"/>
          </w:rPr>
          <w:t>2989- دیوان شمس تبریزی‏</w:t>
        </w:r>
        <w:r>
          <w:tab/>
        </w:r>
        <w:r>
          <w:fldChar w:fldCharType="begin"/>
        </w:r>
        <w:r>
          <w:instrText xml:space="preserve">PAGEREF 3934 \h</w:instrText>
        </w:r>
        <w:r>
          <w:fldChar w:fldCharType="end"/>
        </w:r>
      </w:hyperlink>
    </w:p>
    <w:p>
      <w:pPr>
        <w:tabs>
          <w:tab w:val="right" w:leader="dot" w:pos="9062"/>
        </w:tabs>
        <w:ind w:left="440"/>
      </w:pPr>
      <w:hyperlink w:anchor="_Toc3935" w:history="1">
        <w:r>
          <w:rPr>
            <w:rFonts w:ascii="IRNazanin" w:hAnsi="IRNazanin" w:eastAsia="IRNazanin" w:cs="IRNazanin"/>
            <w:color w:val="111111"/>
            <w:sz w:val="22"/>
            <w:szCs w:val="22"/>
            <w:b w:val="0"/>
            <w:bCs w:val="0"/>
            <w:i w:val="0"/>
            <w:iCs w:val="0"/>
          </w:rPr>
          <w:t>2990- دیوان شمس الجوینی الصغیر أو شعره‏</w:t>
        </w:r>
        <w:r>
          <w:tab/>
        </w:r>
        <w:r>
          <w:fldChar w:fldCharType="begin"/>
        </w:r>
        <w:r>
          <w:instrText xml:space="preserve">PAGEREF 3935 \h</w:instrText>
        </w:r>
        <w:r>
          <w:fldChar w:fldCharType="end"/>
        </w:r>
      </w:hyperlink>
    </w:p>
    <w:p>
      <w:pPr>
        <w:tabs>
          <w:tab w:val="right" w:leader="dot" w:pos="9062"/>
        </w:tabs>
        <w:ind w:left="440"/>
      </w:pPr>
      <w:hyperlink w:anchor="_Toc3936" w:history="1">
        <w:r>
          <w:rPr>
            <w:rFonts w:ascii="IRNazanin" w:hAnsi="IRNazanin" w:eastAsia="IRNazanin" w:cs="IRNazanin"/>
            <w:color w:val="111111"/>
            <w:sz w:val="22"/>
            <w:szCs w:val="22"/>
            <w:b w:val="0"/>
            <w:bCs w:val="0"/>
            <w:i w:val="0"/>
            <w:iCs w:val="0"/>
          </w:rPr>
          <w:t>2991- دیوان شمس الجوینی الکبیر أو شعره‏</w:t>
        </w:r>
        <w:r>
          <w:tab/>
        </w:r>
        <w:r>
          <w:fldChar w:fldCharType="begin"/>
        </w:r>
        <w:r>
          <w:instrText xml:space="preserve">PAGEREF 3936 \h</w:instrText>
        </w:r>
        <w:r>
          <w:fldChar w:fldCharType="end"/>
        </w:r>
      </w:hyperlink>
    </w:p>
    <w:p>
      <w:pPr>
        <w:tabs>
          <w:tab w:val="right" w:leader="dot" w:pos="9062"/>
        </w:tabs>
        <w:ind w:left="440"/>
      </w:pPr>
      <w:hyperlink w:anchor="_Toc3937" w:history="1">
        <w:r>
          <w:rPr>
            <w:rFonts w:ascii="IRNazanin" w:hAnsi="IRNazanin" w:eastAsia="IRNazanin" w:cs="IRNazanin"/>
            <w:color w:val="111111"/>
            <w:sz w:val="22"/>
            <w:szCs w:val="22"/>
            <w:b w:val="0"/>
            <w:bCs w:val="0"/>
            <w:i w:val="0"/>
            <w:iCs w:val="0"/>
          </w:rPr>
          <w:t>دیوان شمس الحکماء</w:t>
        </w:r>
        <w:r>
          <w:tab/>
        </w:r>
        <w:r>
          <w:fldChar w:fldCharType="begin"/>
        </w:r>
        <w:r>
          <w:instrText xml:space="preserve">PAGEREF 3937 \h</w:instrText>
        </w:r>
        <w:r>
          <w:fldChar w:fldCharType="end"/>
        </w:r>
      </w:hyperlink>
    </w:p>
    <w:p>
      <w:pPr>
        <w:tabs>
          <w:tab w:val="right" w:leader="dot" w:pos="9062"/>
        </w:tabs>
        <w:ind w:left="440"/>
      </w:pPr>
      <w:hyperlink w:anchor="_Toc3938" w:history="1">
        <w:r>
          <w:rPr>
            <w:rFonts w:ascii="IRNazanin" w:hAnsi="IRNazanin" w:eastAsia="IRNazanin" w:cs="IRNazanin"/>
            <w:color w:val="111111"/>
            <w:sz w:val="22"/>
            <w:szCs w:val="22"/>
            <w:b w:val="0"/>
            <w:bCs w:val="0"/>
            <w:i w:val="0"/>
            <w:iCs w:val="0"/>
          </w:rPr>
          <w:t>دیوان شمس خراسانی‏</w:t>
        </w:r>
        <w:r>
          <w:tab/>
        </w:r>
        <w:r>
          <w:fldChar w:fldCharType="begin"/>
        </w:r>
        <w:r>
          <w:instrText xml:space="preserve">PAGEREF 3938 \h</w:instrText>
        </w:r>
        <w:r>
          <w:fldChar w:fldCharType="end"/>
        </w:r>
      </w:hyperlink>
    </w:p>
    <w:p>
      <w:pPr>
        <w:tabs>
          <w:tab w:val="right" w:leader="dot" w:pos="9062"/>
        </w:tabs>
        <w:ind w:left="440"/>
      </w:pPr>
      <w:hyperlink w:anchor="_Toc3939" w:history="1">
        <w:r>
          <w:rPr>
            <w:rFonts w:ascii="IRNazanin" w:hAnsi="IRNazanin" w:eastAsia="IRNazanin" w:cs="IRNazanin"/>
            <w:color w:val="111111"/>
            <w:sz w:val="22"/>
            <w:szCs w:val="22"/>
            <w:b w:val="0"/>
            <w:bCs w:val="0"/>
            <w:i w:val="0"/>
            <w:iCs w:val="0"/>
          </w:rPr>
          <w:t>دیوان شمس الدین أورجندی‏</w:t>
        </w:r>
        <w:r>
          <w:tab/>
        </w:r>
        <w:r>
          <w:fldChar w:fldCharType="begin"/>
        </w:r>
        <w:r>
          <w:instrText xml:space="preserve">PAGEREF 3939 \h</w:instrText>
        </w:r>
        <w:r>
          <w:fldChar w:fldCharType="end"/>
        </w:r>
      </w:hyperlink>
    </w:p>
    <w:p>
      <w:pPr>
        <w:tabs>
          <w:tab w:val="right" w:leader="dot" w:pos="9062"/>
        </w:tabs>
        <w:ind w:left="440"/>
      </w:pPr>
      <w:hyperlink w:anchor="_Toc3940" w:history="1">
        <w:r>
          <w:rPr>
            <w:rFonts w:ascii="IRNazanin" w:hAnsi="IRNazanin" w:eastAsia="IRNazanin" w:cs="IRNazanin"/>
            <w:color w:val="111111"/>
            <w:sz w:val="22"/>
            <w:szCs w:val="22"/>
            <w:b w:val="0"/>
            <w:bCs w:val="0"/>
            <w:i w:val="0"/>
            <w:iCs w:val="0"/>
          </w:rPr>
          <w:t>دیوان شمس الدین بخاری‏</w:t>
        </w:r>
        <w:r>
          <w:tab/>
        </w:r>
        <w:r>
          <w:fldChar w:fldCharType="begin"/>
        </w:r>
        <w:r>
          <w:instrText xml:space="preserve">PAGEREF 3940 \h</w:instrText>
        </w:r>
        <w:r>
          <w:fldChar w:fldCharType="end"/>
        </w:r>
      </w:hyperlink>
    </w:p>
    <w:p>
      <w:pPr>
        <w:tabs>
          <w:tab w:val="right" w:leader="dot" w:pos="9062"/>
        </w:tabs>
        <w:ind w:left="440"/>
      </w:pPr>
      <w:hyperlink w:anchor="_Toc3941" w:history="1">
        <w:r>
          <w:rPr>
            <w:rFonts w:ascii="IRNazanin" w:hAnsi="IRNazanin" w:eastAsia="IRNazanin" w:cs="IRNazanin"/>
            <w:color w:val="111111"/>
            <w:sz w:val="22"/>
            <w:szCs w:val="22"/>
            <w:b w:val="0"/>
            <w:bCs w:val="0"/>
            <w:i w:val="0"/>
            <w:iCs w:val="0"/>
          </w:rPr>
          <w:t>دیوان شمس الدین بردعی‏</w:t>
        </w:r>
        <w:r>
          <w:tab/>
        </w:r>
        <w:r>
          <w:fldChar w:fldCharType="begin"/>
        </w:r>
        <w:r>
          <w:instrText xml:space="preserve">PAGEREF 3941 \h</w:instrText>
        </w:r>
        <w:r>
          <w:fldChar w:fldCharType="end"/>
        </w:r>
      </w:hyperlink>
    </w:p>
    <w:p>
      <w:pPr>
        <w:tabs>
          <w:tab w:val="right" w:leader="dot" w:pos="9062"/>
        </w:tabs>
        <w:ind w:left="440"/>
      </w:pPr>
      <w:hyperlink w:anchor="_Toc3942" w:history="1">
        <w:r>
          <w:rPr>
            <w:rFonts w:ascii="IRNazanin" w:hAnsi="IRNazanin" w:eastAsia="IRNazanin" w:cs="IRNazanin"/>
            <w:color w:val="111111"/>
            <w:sz w:val="22"/>
            <w:szCs w:val="22"/>
            <w:b w:val="0"/>
            <w:bCs w:val="0"/>
            <w:i w:val="0"/>
            <w:iCs w:val="0"/>
          </w:rPr>
          <w:t>دیوان شمس الدین تبریزی‏</w:t>
        </w:r>
        <w:r>
          <w:tab/>
        </w:r>
        <w:r>
          <w:fldChar w:fldCharType="begin"/>
        </w:r>
        <w:r>
          <w:instrText xml:space="preserve">PAGEREF 3942 \h</w:instrText>
        </w:r>
        <w:r>
          <w:fldChar w:fldCharType="end"/>
        </w:r>
      </w:hyperlink>
    </w:p>
    <w:p>
      <w:pPr>
        <w:tabs>
          <w:tab w:val="right" w:leader="dot" w:pos="9062"/>
        </w:tabs>
        <w:ind w:left="440"/>
      </w:pPr>
      <w:hyperlink w:anchor="_Toc3943" w:history="1">
        <w:r>
          <w:rPr>
            <w:rFonts w:ascii="IRNazanin" w:hAnsi="IRNazanin" w:eastAsia="IRNazanin" w:cs="IRNazanin"/>
            <w:color w:val="111111"/>
            <w:sz w:val="22"/>
            <w:szCs w:val="22"/>
            <w:b w:val="0"/>
            <w:bCs w:val="0"/>
            <w:i w:val="0"/>
            <w:iCs w:val="0"/>
          </w:rPr>
          <w:t>دیوان شمس الدین جاسبی‏</w:t>
        </w:r>
        <w:r>
          <w:tab/>
        </w:r>
        <w:r>
          <w:fldChar w:fldCharType="begin"/>
        </w:r>
        <w:r>
          <w:instrText xml:space="preserve">PAGEREF 3943 \h</w:instrText>
        </w:r>
        <w:r>
          <w:fldChar w:fldCharType="end"/>
        </w:r>
      </w:hyperlink>
    </w:p>
    <w:p>
      <w:pPr>
        <w:tabs>
          <w:tab w:val="right" w:leader="dot" w:pos="9062"/>
        </w:tabs>
        <w:ind w:left="440"/>
      </w:pPr>
      <w:hyperlink w:anchor="_Toc3944" w:history="1">
        <w:r>
          <w:rPr>
            <w:rFonts w:ascii="IRNazanin" w:hAnsi="IRNazanin" w:eastAsia="IRNazanin" w:cs="IRNazanin"/>
            <w:color w:val="111111"/>
            <w:sz w:val="22"/>
            <w:szCs w:val="22"/>
            <w:b w:val="0"/>
            <w:bCs w:val="0"/>
            <w:i w:val="0"/>
            <w:iCs w:val="0"/>
          </w:rPr>
          <w:t>دیوان شمس الدین الجرجانی‏</w:t>
        </w:r>
        <w:r>
          <w:tab/>
        </w:r>
        <w:r>
          <w:fldChar w:fldCharType="begin"/>
        </w:r>
        <w:r>
          <w:instrText xml:space="preserve">PAGEREF 3944 \h</w:instrText>
        </w:r>
        <w:r>
          <w:fldChar w:fldCharType="end"/>
        </w:r>
      </w:hyperlink>
    </w:p>
    <w:p>
      <w:pPr>
        <w:tabs>
          <w:tab w:val="right" w:leader="dot" w:pos="9062"/>
        </w:tabs>
        <w:ind w:left="440"/>
      </w:pPr>
      <w:hyperlink w:anchor="_Toc3945" w:history="1">
        <w:r>
          <w:rPr>
            <w:rFonts w:ascii="IRNazanin" w:hAnsi="IRNazanin" w:eastAsia="IRNazanin" w:cs="IRNazanin"/>
            <w:color w:val="111111"/>
            <w:sz w:val="22"/>
            <w:szCs w:val="22"/>
            <w:b w:val="0"/>
            <w:bCs w:val="0"/>
            <w:i w:val="0"/>
            <w:iCs w:val="0"/>
          </w:rPr>
          <w:t>دیوان شمس الدین الجوینی‏</w:t>
        </w:r>
        <w:r>
          <w:tab/>
        </w:r>
        <w:r>
          <w:fldChar w:fldCharType="begin"/>
        </w:r>
        <w:r>
          <w:instrText xml:space="preserve">PAGEREF 3945 \h</w:instrText>
        </w:r>
        <w:r>
          <w:fldChar w:fldCharType="end"/>
        </w:r>
      </w:hyperlink>
    </w:p>
    <w:p>
      <w:pPr>
        <w:tabs>
          <w:tab w:val="right" w:leader="dot" w:pos="9062"/>
        </w:tabs>
        <w:ind w:left="440"/>
      </w:pPr>
      <w:hyperlink w:anchor="_Toc3946" w:history="1">
        <w:r>
          <w:rPr>
            <w:rFonts w:ascii="IRNazanin" w:hAnsi="IRNazanin" w:eastAsia="IRNazanin" w:cs="IRNazanin"/>
            <w:color w:val="111111"/>
            <w:sz w:val="22"/>
            <w:szCs w:val="22"/>
            <w:b w:val="0"/>
            <w:bCs w:val="0"/>
            <w:i w:val="0"/>
            <w:iCs w:val="0"/>
          </w:rPr>
          <w:t>دیوان شمس الدین خالد</w:t>
        </w:r>
        <w:r>
          <w:tab/>
        </w:r>
        <w:r>
          <w:fldChar w:fldCharType="begin"/>
        </w:r>
        <w:r>
          <w:instrText xml:space="preserve">PAGEREF 3946 \h</w:instrText>
        </w:r>
        <w:r>
          <w:fldChar w:fldCharType="end"/>
        </w:r>
      </w:hyperlink>
    </w:p>
    <w:p>
      <w:pPr>
        <w:tabs>
          <w:tab w:val="right" w:leader="dot" w:pos="9062"/>
        </w:tabs>
        <w:ind w:left="440"/>
      </w:pPr>
      <w:hyperlink w:anchor="_Toc3947" w:history="1">
        <w:r>
          <w:rPr>
            <w:rFonts w:ascii="IRNazanin" w:hAnsi="IRNazanin" w:eastAsia="IRNazanin" w:cs="IRNazanin"/>
            <w:color w:val="111111"/>
            <w:sz w:val="22"/>
            <w:szCs w:val="22"/>
            <w:b w:val="0"/>
            <w:bCs w:val="0"/>
            <w:i w:val="0"/>
            <w:iCs w:val="0"/>
          </w:rPr>
          <w:t>2992- دیوان شمس الدین شهرستانی أو شعره‏</w:t>
        </w:r>
        <w:r>
          <w:tab/>
        </w:r>
        <w:r>
          <w:fldChar w:fldCharType="begin"/>
        </w:r>
        <w:r>
          <w:instrText xml:space="preserve">PAGEREF 3947 \h</w:instrText>
        </w:r>
        <w:r>
          <w:fldChar w:fldCharType="end"/>
        </w:r>
      </w:hyperlink>
    </w:p>
    <w:p>
      <w:pPr>
        <w:tabs>
          <w:tab w:val="right" w:leader="dot" w:pos="9062"/>
        </w:tabs>
        <w:ind w:left="440"/>
      </w:pPr>
      <w:hyperlink w:anchor="_Toc3948" w:history="1">
        <w:r>
          <w:rPr>
            <w:rFonts w:ascii="IRNazanin" w:hAnsi="IRNazanin" w:eastAsia="IRNazanin" w:cs="IRNazanin"/>
            <w:color w:val="111111"/>
            <w:sz w:val="22"/>
            <w:szCs w:val="22"/>
            <w:b w:val="0"/>
            <w:bCs w:val="0"/>
            <w:i w:val="0"/>
            <w:iCs w:val="0"/>
          </w:rPr>
          <w:t>دیوان شمس الدین الطبسی‏</w:t>
        </w:r>
        <w:r>
          <w:tab/>
        </w:r>
        <w:r>
          <w:fldChar w:fldCharType="begin"/>
        </w:r>
        <w:r>
          <w:instrText xml:space="preserve">PAGEREF 3948 \h</w:instrText>
        </w:r>
        <w:r>
          <w:fldChar w:fldCharType="end"/>
        </w:r>
      </w:hyperlink>
    </w:p>
    <w:p>
      <w:pPr>
        <w:tabs>
          <w:tab w:val="right" w:leader="dot" w:pos="9062"/>
        </w:tabs>
        <w:ind w:left="440"/>
      </w:pPr>
      <w:hyperlink w:anchor="_Toc3949" w:history="1">
        <w:r>
          <w:rPr>
            <w:rFonts w:ascii="IRNazanin" w:hAnsi="IRNazanin" w:eastAsia="IRNazanin" w:cs="IRNazanin"/>
            <w:color w:val="111111"/>
            <w:sz w:val="22"/>
            <w:szCs w:val="22"/>
            <w:b w:val="0"/>
            <w:bCs w:val="0"/>
            <w:i w:val="0"/>
            <w:iCs w:val="0"/>
          </w:rPr>
          <w:t>دیوان شمس الدین فقیر</w:t>
        </w:r>
        <w:r>
          <w:tab/>
        </w:r>
        <w:r>
          <w:fldChar w:fldCharType="begin"/>
        </w:r>
        <w:r>
          <w:instrText xml:space="preserve">PAGEREF 3949 \h</w:instrText>
        </w:r>
        <w:r>
          <w:fldChar w:fldCharType="end"/>
        </w:r>
      </w:hyperlink>
    </w:p>
    <w:p>
      <w:pPr>
        <w:tabs>
          <w:tab w:val="right" w:leader="dot" w:pos="9062"/>
        </w:tabs>
        <w:ind w:left="440"/>
      </w:pPr>
      <w:hyperlink w:anchor="_Toc3950" w:history="1">
        <w:r>
          <w:rPr>
            <w:rFonts w:ascii="IRNazanin" w:hAnsi="IRNazanin" w:eastAsia="IRNazanin" w:cs="IRNazanin"/>
            <w:color w:val="111111"/>
            <w:sz w:val="22"/>
            <w:szCs w:val="22"/>
            <w:b w:val="0"/>
            <w:bCs w:val="0"/>
            <w:i w:val="0"/>
            <w:iCs w:val="0"/>
          </w:rPr>
          <w:t>دیوان شمس الدین القاضی‏</w:t>
        </w:r>
        <w:r>
          <w:tab/>
        </w:r>
        <w:r>
          <w:fldChar w:fldCharType="begin"/>
        </w:r>
        <w:r>
          <w:instrText xml:space="preserve">PAGEREF 3950 \h</w:instrText>
        </w:r>
        <w:r>
          <w:fldChar w:fldCharType="end"/>
        </w:r>
      </w:hyperlink>
    </w:p>
    <w:p>
      <w:pPr>
        <w:tabs>
          <w:tab w:val="right" w:leader="dot" w:pos="9062"/>
        </w:tabs>
        <w:ind w:left="440"/>
      </w:pPr>
      <w:hyperlink w:anchor="_Toc3951" w:history="1">
        <w:r>
          <w:rPr>
            <w:rFonts w:ascii="IRNazanin" w:hAnsi="IRNazanin" w:eastAsia="IRNazanin" w:cs="IRNazanin"/>
            <w:color w:val="111111"/>
            <w:sz w:val="22"/>
            <w:szCs w:val="22"/>
            <w:b w:val="0"/>
            <w:bCs w:val="0"/>
            <w:i w:val="0"/>
            <w:iCs w:val="0"/>
          </w:rPr>
          <w:t>2993- دیوان شمس الدین قمی أو شعره‏</w:t>
        </w:r>
        <w:r>
          <w:tab/>
        </w:r>
        <w:r>
          <w:fldChar w:fldCharType="begin"/>
        </w:r>
        <w:r>
          <w:instrText xml:space="preserve">PAGEREF 3951 \h</w:instrText>
        </w:r>
        <w:r>
          <w:fldChar w:fldCharType="end"/>
        </w:r>
      </w:hyperlink>
    </w:p>
    <w:p>
      <w:pPr>
        <w:tabs>
          <w:tab w:val="right" w:leader="dot" w:pos="9062"/>
        </w:tabs>
        <w:ind w:left="440"/>
      </w:pPr>
      <w:hyperlink w:anchor="_Toc3952" w:history="1">
        <w:r>
          <w:rPr>
            <w:rFonts w:ascii="IRNazanin" w:hAnsi="IRNazanin" w:eastAsia="IRNazanin" w:cs="IRNazanin"/>
            <w:color w:val="111111"/>
            <w:sz w:val="22"/>
            <w:szCs w:val="22"/>
            <w:b w:val="0"/>
            <w:bCs w:val="0"/>
            <w:i w:val="0"/>
            <w:iCs w:val="0"/>
          </w:rPr>
          <w:t>2994- دیوان شمس الدین قواس أو شعره‏</w:t>
        </w:r>
        <w:r>
          <w:tab/>
        </w:r>
        <w:r>
          <w:fldChar w:fldCharType="begin"/>
        </w:r>
        <w:r>
          <w:instrText xml:space="preserve">PAGEREF 3952 \h</w:instrText>
        </w:r>
        <w:r>
          <w:fldChar w:fldCharType="end"/>
        </w:r>
      </w:hyperlink>
    </w:p>
    <w:p>
      <w:pPr>
        <w:tabs>
          <w:tab w:val="right" w:leader="dot" w:pos="9062"/>
        </w:tabs>
        <w:ind w:left="440"/>
      </w:pPr>
      <w:hyperlink w:anchor="_Toc3953" w:history="1">
        <w:r>
          <w:rPr>
            <w:rFonts w:ascii="IRNazanin" w:hAnsi="IRNazanin" w:eastAsia="IRNazanin" w:cs="IRNazanin"/>
            <w:color w:val="111111"/>
            <w:sz w:val="22"/>
            <w:szCs w:val="22"/>
            <w:b w:val="0"/>
            <w:bCs w:val="0"/>
            <w:i w:val="0"/>
            <w:iCs w:val="0"/>
          </w:rPr>
          <w:t>2995- دیوان شمس الدین کاشی أو شعره‏</w:t>
        </w:r>
        <w:r>
          <w:tab/>
        </w:r>
        <w:r>
          <w:fldChar w:fldCharType="begin"/>
        </w:r>
        <w:r>
          <w:instrText xml:space="preserve">PAGEREF 3953 \h</w:instrText>
        </w:r>
        <w:r>
          <w:fldChar w:fldCharType="end"/>
        </w:r>
      </w:hyperlink>
    </w:p>
    <w:p>
      <w:pPr>
        <w:tabs>
          <w:tab w:val="right" w:leader="dot" w:pos="9062"/>
        </w:tabs>
        <w:ind w:left="440"/>
      </w:pPr>
      <w:hyperlink w:anchor="_Toc3954" w:history="1">
        <w:r>
          <w:rPr>
            <w:rFonts w:ascii="IRNazanin" w:hAnsi="IRNazanin" w:eastAsia="IRNazanin" w:cs="IRNazanin"/>
            <w:color w:val="111111"/>
            <w:sz w:val="22"/>
            <w:szCs w:val="22"/>
            <w:b w:val="0"/>
            <w:bCs w:val="0"/>
            <w:i w:val="0"/>
            <w:iCs w:val="0"/>
          </w:rPr>
          <w:t>2996- دیوان شمس الدین کاشی‏</w:t>
        </w:r>
        <w:r>
          <w:tab/>
        </w:r>
        <w:r>
          <w:fldChar w:fldCharType="begin"/>
        </w:r>
        <w:r>
          <w:instrText xml:space="preserve">PAGEREF 3954 \h</w:instrText>
        </w:r>
        <w:r>
          <w:fldChar w:fldCharType="end"/>
        </w:r>
      </w:hyperlink>
    </w:p>
    <w:p>
      <w:pPr>
        <w:tabs>
          <w:tab w:val="right" w:leader="dot" w:pos="9062"/>
        </w:tabs>
        <w:ind w:left="440"/>
      </w:pPr>
      <w:hyperlink w:anchor="_Toc3955" w:history="1">
        <w:r>
          <w:rPr>
            <w:rFonts w:ascii="IRNazanin" w:hAnsi="IRNazanin" w:eastAsia="IRNazanin" w:cs="IRNazanin"/>
            <w:color w:val="111111"/>
            <w:sz w:val="22"/>
            <w:szCs w:val="22"/>
            <w:b w:val="0"/>
            <w:bCs w:val="0"/>
            <w:i w:val="0"/>
            <w:iCs w:val="0"/>
          </w:rPr>
          <w:t>2997- دیوان شمس الدین کرت أو شعره‏</w:t>
        </w:r>
        <w:r>
          <w:tab/>
        </w:r>
        <w:r>
          <w:fldChar w:fldCharType="begin"/>
        </w:r>
        <w:r>
          <w:instrText xml:space="preserve">PAGEREF 3955 \h</w:instrText>
        </w:r>
        <w:r>
          <w:fldChar w:fldCharType="end"/>
        </w:r>
      </w:hyperlink>
    </w:p>
    <w:p>
      <w:pPr>
        <w:tabs>
          <w:tab w:val="right" w:leader="dot" w:pos="9062"/>
        </w:tabs>
        <w:ind w:left="440"/>
      </w:pPr>
      <w:hyperlink w:anchor="_Toc3956" w:history="1">
        <w:r>
          <w:rPr>
            <w:rFonts w:ascii="IRNazanin" w:hAnsi="IRNazanin" w:eastAsia="IRNazanin" w:cs="IRNazanin"/>
            <w:color w:val="111111"/>
            <w:sz w:val="22"/>
            <w:szCs w:val="22"/>
            <w:b w:val="0"/>
            <w:bCs w:val="0"/>
            <w:i w:val="0"/>
            <w:iCs w:val="0"/>
          </w:rPr>
          <w:t>2998- دیوان شمس الدین کرمانی أو شعره‏</w:t>
        </w:r>
        <w:r>
          <w:tab/>
        </w:r>
        <w:r>
          <w:fldChar w:fldCharType="begin"/>
        </w:r>
        <w:r>
          <w:instrText xml:space="preserve">PAGEREF 3956 \h</w:instrText>
        </w:r>
        <w:r>
          <w:fldChar w:fldCharType="end"/>
        </w:r>
      </w:hyperlink>
    </w:p>
    <w:p>
      <w:pPr>
        <w:tabs>
          <w:tab w:val="right" w:leader="dot" w:pos="9062"/>
        </w:tabs>
        <w:ind w:left="440"/>
      </w:pPr>
      <w:hyperlink w:anchor="_Toc3957" w:history="1">
        <w:r>
          <w:rPr>
            <w:rFonts w:ascii="IRNazanin" w:hAnsi="IRNazanin" w:eastAsia="IRNazanin" w:cs="IRNazanin"/>
            <w:color w:val="111111"/>
            <w:sz w:val="22"/>
            <w:szCs w:val="22"/>
            <w:b w:val="0"/>
            <w:bCs w:val="0"/>
            <w:i w:val="0"/>
            <w:iCs w:val="0"/>
          </w:rPr>
          <w:t>2999- دیوان شمس الدین الکوفی‏</w:t>
        </w:r>
        <w:r>
          <w:tab/>
        </w:r>
        <w:r>
          <w:fldChar w:fldCharType="begin"/>
        </w:r>
        <w:r>
          <w:instrText xml:space="preserve">PAGEREF 3957 \h</w:instrText>
        </w:r>
        <w:r>
          <w:fldChar w:fldCharType="end"/>
        </w:r>
      </w:hyperlink>
    </w:p>
    <w:p>
      <w:pPr>
        <w:tabs>
          <w:tab w:val="right" w:leader="dot" w:pos="9062"/>
        </w:tabs>
        <w:ind w:left="440"/>
      </w:pPr>
      <w:hyperlink w:anchor="_Toc3958" w:history="1">
        <w:r>
          <w:rPr>
            <w:rFonts w:ascii="IRNazanin" w:hAnsi="IRNazanin" w:eastAsia="IRNazanin" w:cs="IRNazanin"/>
            <w:color w:val="111111"/>
            <w:sz w:val="22"/>
            <w:szCs w:val="22"/>
            <w:b w:val="0"/>
            <w:bCs w:val="0"/>
            <w:i w:val="0"/>
            <w:iCs w:val="0"/>
          </w:rPr>
          <w:t>دیوان شمس الدین گیلانی‏</w:t>
        </w:r>
        <w:r>
          <w:tab/>
        </w:r>
        <w:r>
          <w:fldChar w:fldCharType="begin"/>
        </w:r>
        <w:r>
          <w:instrText xml:space="preserve">PAGEREF 3958 \h</w:instrText>
        </w:r>
        <w:r>
          <w:fldChar w:fldCharType="end"/>
        </w:r>
      </w:hyperlink>
    </w:p>
    <w:p>
      <w:pPr>
        <w:tabs>
          <w:tab w:val="right" w:leader="dot" w:pos="9062"/>
        </w:tabs>
        <w:ind w:left="440"/>
      </w:pPr>
      <w:hyperlink w:anchor="_Toc3959" w:history="1">
        <w:r>
          <w:rPr>
            <w:rFonts w:ascii="IRNazanin" w:hAnsi="IRNazanin" w:eastAsia="IRNazanin" w:cs="IRNazanin"/>
            <w:color w:val="111111"/>
            <w:sz w:val="22"/>
            <w:szCs w:val="22"/>
            <w:b w:val="0"/>
            <w:bCs w:val="0"/>
            <w:i w:val="0"/>
            <w:iCs w:val="0"/>
          </w:rPr>
          <w:t>دیوان شمس الدین گیلانی‏</w:t>
        </w:r>
        <w:r>
          <w:tab/>
        </w:r>
        <w:r>
          <w:fldChar w:fldCharType="begin"/>
        </w:r>
        <w:r>
          <w:instrText xml:space="preserve">PAGEREF 3959 \h</w:instrText>
        </w:r>
        <w:r>
          <w:fldChar w:fldCharType="end"/>
        </w:r>
      </w:hyperlink>
    </w:p>
    <w:p>
      <w:pPr>
        <w:tabs>
          <w:tab w:val="right" w:leader="dot" w:pos="9062"/>
        </w:tabs>
        <w:ind w:left="440"/>
      </w:pPr>
      <w:hyperlink w:anchor="_Toc3960" w:history="1">
        <w:r>
          <w:rPr>
            <w:rFonts w:ascii="IRNazanin" w:hAnsi="IRNazanin" w:eastAsia="IRNazanin" w:cs="IRNazanin"/>
            <w:color w:val="111111"/>
            <w:sz w:val="22"/>
            <w:szCs w:val="22"/>
            <w:b w:val="0"/>
            <w:bCs w:val="0"/>
            <w:i w:val="0"/>
            <w:iCs w:val="0"/>
          </w:rPr>
          <w:t>دیوان شمس الدین لاهیجی‏</w:t>
        </w:r>
        <w:r>
          <w:tab/>
        </w:r>
        <w:r>
          <w:fldChar w:fldCharType="begin"/>
        </w:r>
        <w:r>
          <w:instrText xml:space="preserve">PAGEREF 3960 \h</w:instrText>
        </w:r>
        <w:r>
          <w:fldChar w:fldCharType="end"/>
        </w:r>
      </w:hyperlink>
    </w:p>
    <w:p>
      <w:pPr>
        <w:tabs>
          <w:tab w:val="right" w:leader="dot" w:pos="9062"/>
        </w:tabs>
        <w:ind w:left="440"/>
      </w:pPr>
      <w:hyperlink w:anchor="_Toc3961" w:history="1">
        <w:r>
          <w:rPr>
            <w:rFonts w:ascii="IRNazanin" w:hAnsi="IRNazanin" w:eastAsia="IRNazanin" w:cs="IRNazanin"/>
            <w:color w:val="111111"/>
            <w:sz w:val="22"/>
            <w:szCs w:val="22"/>
            <w:b w:val="0"/>
            <w:bCs w:val="0"/>
            <w:i w:val="0"/>
            <w:iCs w:val="0"/>
          </w:rPr>
          <w:t>دیوان شمس الدین لاهیجی‏</w:t>
        </w:r>
        <w:r>
          <w:tab/>
        </w:r>
        <w:r>
          <w:fldChar w:fldCharType="begin"/>
        </w:r>
        <w:r>
          <w:instrText xml:space="preserve">PAGEREF 3961 \h</w:instrText>
        </w:r>
        <w:r>
          <w:fldChar w:fldCharType="end"/>
        </w:r>
      </w:hyperlink>
    </w:p>
    <w:p>
      <w:pPr>
        <w:tabs>
          <w:tab w:val="right" w:leader="dot" w:pos="9062"/>
        </w:tabs>
        <w:ind w:left="440"/>
      </w:pPr>
      <w:hyperlink w:anchor="_Toc3962" w:history="1">
        <w:r>
          <w:rPr>
            <w:rFonts w:ascii="IRNazanin" w:hAnsi="IRNazanin" w:eastAsia="IRNazanin" w:cs="IRNazanin"/>
            <w:color w:val="111111"/>
            <w:sz w:val="22"/>
            <w:szCs w:val="22"/>
            <w:b w:val="0"/>
            <w:bCs w:val="0"/>
            <w:i w:val="0"/>
            <w:iCs w:val="0"/>
          </w:rPr>
          <w:t>دیوان شمس الدین لطیفی‏</w:t>
        </w:r>
        <w:r>
          <w:tab/>
        </w:r>
        <w:r>
          <w:fldChar w:fldCharType="begin"/>
        </w:r>
        <w:r>
          <w:instrText xml:space="preserve">PAGEREF 3962 \h</w:instrText>
        </w:r>
        <w:r>
          <w:fldChar w:fldCharType="end"/>
        </w:r>
      </w:hyperlink>
    </w:p>
    <w:p>
      <w:pPr>
        <w:tabs>
          <w:tab w:val="right" w:leader="dot" w:pos="9062"/>
        </w:tabs>
        <w:ind w:left="440"/>
      </w:pPr>
      <w:hyperlink w:anchor="_Toc3963" w:history="1">
        <w:r>
          <w:rPr>
            <w:rFonts w:ascii="IRNazanin" w:hAnsi="IRNazanin" w:eastAsia="IRNazanin" w:cs="IRNazanin"/>
            <w:color w:val="111111"/>
            <w:sz w:val="22"/>
            <w:szCs w:val="22"/>
            <w:b w:val="0"/>
            <w:bCs w:val="0"/>
            <w:i w:val="0"/>
            <w:iCs w:val="0"/>
          </w:rPr>
          <w:t>3000- دیوان شمس الدین معلم‏</w:t>
        </w:r>
        <w:r>
          <w:tab/>
        </w:r>
        <w:r>
          <w:fldChar w:fldCharType="begin"/>
        </w:r>
        <w:r>
          <w:instrText xml:space="preserve">PAGEREF 3963 \h</w:instrText>
        </w:r>
        <w:r>
          <w:fldChar w:fldCharType="end"/>
        </w:r>
      </w:hyperlink>
    </w:p>
    <w:p>
      <w:pPr>
        <w:tabs>
          <w:tab w:val="right" w:leader="dot" w:pos="9062"/>
        </w:tabs>
        <w:ind w:left="440"/>
      </w:pPr>
      <w:hyperlink w:anchor="_Toc3964" w:history="1">
        <w:r>
          <w:rPr>
            <w:rFonts w:ascii="IRNazanin" w:hAnsi="IRNazanin" w:eastAsia="IRNazanin" w:cs="IRNazanin"/>
            <w:color w:val="111111"/>
            <w:sz w:val="22"/>
            <w:szCs w:val="22"/>
            <w:b w:val="0"/>
            <w:bCs w:val="0"/>
            <w:i w:val="0"/>
            <w:iCs w:val="0"/>
          </w:rPr>
          <w:t>3001- دیوان شمس ساوه‏ئی أو شعره‏</w:t>
        </w:r>
        <w:r>
          <w:tab/>
        </w:r>
        <w:r>
          <w:fldChar w:fldCharType="begin"/>
        </w:r>
        <w:r>
          <w:instrText xml:space="preserve">PAGEREF 3964 \h</w:instrText>
        </w:r>
        <w:r>
          <w:fldChar w:fldCharType="end"/>
        </w:r>
      </w:hyperlink>
    </w:p>
    <w:p>
      <w:pPr>
        <w:tabs>
          <w:tab w:val="right" w:leader="dot" w:pos="9062"/>
        </w:tabs>
        <w:ind w:left="440"/>
      </w:pPr>
      <w:hyperlink w:anchor="_Toc3965" w:history="1">
        <w:r>
          <w:rPr>
            <w:rFonts w:ascii="IRNazanin" w:hAnsi="IRNazanin" w:eastAsia="IRNazanin" w:cs="IRNazanin"/>
            <w:color w:val="111111"/>
            <w:sz w:val="22"/>
            <w:szCs w:val="22"/>
            <w:b w:val="0"/>
            <w:bCs w:val="0"/>
            <w:i w:val="0"/>
            <w:iCs w:val="0"/>
          </w:rPr>
          <w:t>دیوان شمس السمرقندی‏</w:t>
        </w:r>
        <w:r>
          <w:tab/>
        </w:r>
        <w:r>
          <w:fldChar w:fldCharType="begin"/>
        </w:r>
        <w:r>
          <w:instrText xml:space="preserve">PAGEREF 3965 \h</w:instrText>
        </w:r>
        <w:r>
          <w:fldChar w:fldCharType="end"/>
        </w:r>
      </w:hyperlink>
    </w:p>
    <w:p>
      <w:pPr>
        <w:tabs>
          <w:tab w:val="right" w:leader="dot" w:pos="9062"/>
        </w:tabs>
        <w:ind w:left="440"/>
      </w:pPr>
      <w:hyperlink w:anchor="_Toc3966" w:history="1">
        <w:r>
          <w:rPr>
            <w:rFonts w:ascii="IRNazanin" w:hAnsi="IRNazanin" w:eastAsia="IRNazanin" w:cs="IRNazanin"/>
            <w:color w:val="111111"/>
            <w:sz w:val="22"/>
            <w:szCs w:val="22"/>
            <w:b w:val="0"/>
            <w:bCs w:val="0"/>
            <w:i w:val="0"/>
            <w:iCs w:val="0"/>
          </w:rPr>
          <w:t>دیوان شمس سمرقندی‏</w:t>
        </w:r>
        <w:r>
          <w:tab/>
        </w:r>
        <w:r>
          <w:fldChar w:fldCharType="begin"/>
        </w:r>
        <w:r>
          <w:instrText xml:space="preserve">PAGEREF 3966 \h</w:instrText>
        </w:r>
        <w:r>
          <w:fldChar w:fldCharType="end"/>
        </w:r>
      </w:hyperlink>
    </w:p>
    <w:p>
      <w:pPr>
        <w:tabs>
          <w:tab w:val="right" w:leader="dot" w:pos="9062"/>
        </w:tabs>
        <w:ind w:left="440"/>
      </w:pPr>
      <w:hyperlink w:anchor="_Toc3967" w:history="1">
        <w:r>
          <w:rPr>
            <w:rFonts w:ascii="IRNazanin" w:hAnsi="IRNazanin" w:eastAsia="IRNazanin" w:cs="IRNazanin"/>
            <w:color w:val="111111"/>
            <w:sz w:val="22"/>
            <w:szCs w:val="22"/>
            <w:b w:val="0"/>
            <w:bCs w:val="0"/>
            <w:i w:val="0"/>
            <w:iCs w:val="0"/>
          </w:rPr>
          <w:t>3002- دیوان شمس شیرازی أو شعره‏</w:t>
        </w:r>
        <w:r>
          <w:tab/>
        </w:r>
        <w:r>
          <w:fldChar w:fldCharType="begin"/>
        </w:r>
        <w:r>
          <w:instrText xml:space="preserve">PAGEREF 3967 \h</w:instrText>
        </w:r>
        <w:r>
          <w:fldChar w:fldCharType="end"/>
        </w:r>
      </w:hyperlink>
    </w:p>
    <w:p>
      <w:pPr>
        <w:tabs>
          <w:tab w:val="right" w:leader="dot" w:pos="9062"/>
        </w:tabs>
        <w:ind w:left="440"/>
      </w:pPr>
      <w:hyperlink w:anchor="_Toc3968" w:history="1">
        <w:r>
          <w:rPr>
            <w:rFonts w:ascii="IRNazanin" w:hAnsi="IRNazanin" w:eastAsia="IRNazanin" w:cs="IRNazanin"/>
            <w:color w:val="111111"/>
            <w:sz w:val="22"/>
            <w:szCs w:val="22"/>
            <w:b w:val="0"/>
            <w:bCs w:val="0"/>
            <w:i w:val="0"/>
            <w:iCs w:val="0"/>
          </w:rPr>
          <w:t>3003- دیوان شمس شیرازی أو شعره‏</w:t>
        </w:r>
        <w:r>
          <w:tab/>
        </w:r>
        <w:r>
          <w:fldChar w:fldCharType="begin"/>
        </w:r>
        <w:r>
          <w:instrText xml:space="preserve">PAGEREF 3968 \h</w:instrText>
        </w:r>
        <w:r>
          <w:fldChar w:fldCharType="end"/>
        </w:r>
      </w:hyperlink>
    </w:p>
    <w:p>
      <w:pPr>
        <w:tabs>
          <w:tab w:val="right" w:leader="dot" w:pos="9062"/>
        </w:tabs>
        <w:ind w:left="440"/>
      </w:pPr>
      <w:hyperlink w:anchor="_Toc3969" w:history="1">
        <w:r>
          <w:rPr>
            <w:rFonts w:ascii="IRNazanin" w:hAnsi="IRNazanin" w:eastAsia="IRNazanin" w:cs="IRNazanin"/>
            <w:color w:val="111111"/>
            <w:sz w:val="22"/>
            <w:szCs w:val="22"/>
            <w:b w:val="0"/>
            <w:bCs w:val="0"/>
            <w:i w:val="0"/>
            <w:iCs w:val="0"/>
          </w:rPr>
          <w:t>3004- دیوان شمس طبسی‏</w:t>
        </w:r>
        <w:r>
          <w:tab/>
        </w:r>
        <w:r>
          <w:fldChar w:fldCharType="begin"/>
        </w:r>
        <w:r>
          <w:instrText xml:space="preserve">PAGEREF 3969 \h</w:instrText>
        </w:r>
        <w:r>
          <w:fldChar w:fldCharType="end"/>
        </w:r>
      </w:hyperlink>
    </w:p>
    <w:p>
      <w:pPr>
        <w:tabs>
          <w:tab w:val="right" w:leader="dot" w:pos="9062"/>
        </w:tabs>
        <w:ind w:left="440"/>
      </w:pPr>
      <w:hyperlink w:anchor="_Toc3970" w:history="1">
        <w:r>
          <w:rPr>
            <w:rFonts w:ascii="IRNazanin" w:hAnsi="IRNazanin" w:eastAsia="IRNazanin" w:cs="IRNazanin"/>
            <w:color w:val="111111"/>
            <w:sz w:val="22"/>
            <w:szCs w:val="22"/>
            <w:b w:val="0"/>
            <w:bCs w:val="0"/>
            <w:i w:val="0"/>
            <w:iCs w:val="0"/>
          </w:rPr>
          <w:t>دیوان شمس کاشی‏</w:t>
        </w:r>
        <w:r>
          <w:tab/>
        </w:r>
        <w:r>
          <w:fldChar w:fldCharType="begin"/>
        </w:r>
        <w:r>
          <w:instrText xml:space="preserve">PAGEREF 3970 \h</w:instrText>
        </w:r>
        <w:r>
          <w:fldChar w:fldCharType="end"/>
        </w:r>
      </w:hyperlink>
    </w:p>
    <w:p>
      <w:pPr>
        <w:tabs>
          <w:tab w:val="right" w:leader="dot" w:pos="9062"/>
        </w:tabs>
        <w:ind w:left="440"/>
      </w:pPr>
      <w:hyperlink w:anchor="_Toc3971" w:history="1">
        <w:r>
          <w:rPr>
            <w:rFonts w:ascii="IRNazanin" w:hAnsi="IRNazanin" w:eastAsia="IRNazanin" w:cs="IRNazanin"/>
            <w:color w:val="111111"/>
            <w:sz w:val="22"/>
            <w:szCs w:val="22"/>
            <w:b w:val="0"/>
            <w:bCs w:val="0"/>
            <w:i w:val="0"/>
            <w:iCs w:val="0"/>
          </w:rPr>
          <w:t>3005- دیوان شمس فخری‏</w:t>
        </w:r>
        <w:r>
          <w:tab/>
        </w:r>
        <w:r>
          <w:fldChar w:fldCharType="begin"/>
        </w:r>
        <w:r>
          <w:instrText xml:space="preserve">PAGEREF 3971 \h</w:instrText>
        </w:r>
        <w:r>
          <w:fldChar w:fldCharType="end"/>
        </w:r>
      </w:hyperlink>
    </w:p>
    <w:p>
      <w:pPr>
        <w:tabs>
          <w:tab w:val="right" w:leader="dot" w:pos="9062"/>
        </w:tabs>
        <w:ind w:left="440"/>
      </w:pPr>
      <w:hyperlink w:anchor="_Toc3972" w:history="1">
        <w:r>
          <w:rPr>
            <w:rFonts w:ascii="IRNazanin" w:hAnsi="IRNazanin" w:eastAsia="IRNazanin" w:cs="IRNazanin"/>
            <w:color w:val="111111"/>
            <w:sz w:val="22"/>
            <w:szCs w:val="22"/>
            <w:b w:val="0"/>
            <w:bCs w:val="0"/>
            <w:i w:val="0"/>
            <w:iCs w:val="0"/>
          </w:rPr>
          <w:t>3006- دیوان شمس قیس رازی أو شعره‏</w:t>
        </w:r>
        <w:r>
          <w:tab/>
        </w:r>
        <w:r>
          <w:fldChar w:fldCharType="begin"/>
        </w:r>
        <w:r>
          <w:instrText xml:space="preserve">PAGEREF 3972 \h</w:instrText>
        </w:r>
        <w:r>
          <w:fldChar w:fldCharType="end"/>
        </w:r>
      </w:hyperlink>
    </w:p>
    <w:p>
      <w:pPr>
        <w:tabs>
          <w:tab w:val="right" w:leader="dot" w:pos="9062"/>
        </w:tabs>
        <w:ind w:left="440"/>
      </w:pPr>
      <w:hyperlink w:anchor="_Toc3973" w:history="1">
        <w:r>
          <w:rPr>
            <w:rFonts w:ascii="IRNazanin" w:hAnsi="IRNazanin" w:eastAsia="IRNazanin" w:cs="IRNazanin"/>
            <w:color w:val="111111"/>
            <w:sz w:val="22"/>
            <w:szCs w:val="22"/>
            <w:b w:val="0"/>
            <w:bCs w:val="0"/>
            <w:i w:val="0"/>
            <w:iCs w:val="0"/>
          </w:rPr>
          <w:t>3007- دیوان شمس گلپایگانی‏</w:t>
        </w:r>
        <w:r>
          <w:tab/>
        </w:r>
        <w:r>
          <w:fldChar w:fldCharType="begin"/>
        </w:r>
        <w:r>
          <w:instrText xml:space="preserve">PAGEREF 3973 \h</w:instrText>
        </w:r>
        <w:r>
          <w:fldChar w:fldCharType="end"/>
        </w:r>
      </w:hyperlink>
    </w:p>
    <w:p>
      <w:pPr>
        <w:tabs>
          <w:tab w:val="right" w:leader="dot" w:pos="9062"/>
        </w:tabs>
        <w:ind w:left="440"/>
      </w:pPr>
      <w:hyperlink w:anchor="_Toc3974" w:history="1">
        <w:r>
          <w:rPr>
            <w:rFonts w:ascii="IRNazanin" w:hAnsi="IRNazanin" w:eastAsia="IRNazanin" w:cs="IRNazanin"/>
            <w:color w:val="111111"/>
            <w:sz w:val="22"/>
            <w:szCs w:val="22"/>
            <w:b w:val="0"/>
            <w:bCs w:val="0"/>
            <w:i w:val="0"/>
            <w:iCs w:val="0"/>
          </w:rPr>
          <w:t>دیوان شمس گیلانی‏</w:t>
        </w:r>
        <w:r>
          <w:tab/>
        </w:r>
        <w:r>
          <w:fldChar w:fldCharType="begin"/>
        </w:r>
        <w:r>
          <w:instrText xml:space="preserve">PAGEREF 3974 \h</w:instrText>
        </w:r>
        <w:r>
          <w:fldChar w:fldCharType="end"/>
        </w:r>
      </w:hyperlink>
    </w:p>
    <w:p>
      <w:pPr>
        <w:tabs>
          <w:tab w:val="right" w:leader="dot" w:pos="9062"/>
        </w:tabs>
        <w:ind w:left="440"/>
      </w:pPr>
      <w:hyperlink w:anchor="_Toc3975" w:history="1">
        <w:r>
          <w:rPr>
            <w:rFonts w:ascii="IRNazanin" w:hAnsi="IRNazanin" w:eastAsia="IRNazanin" w:cs="IRNazanin"/>
            <w:color w:val="111111"/>
            <w:sz w:val="22"/>
            <w:szCs w:val="22"/>
            <w:b w:val="0"/>
            <w:bCs w:val="0"/>
            <w:i w:val="0"/>
            <w:iCs w:val="0"/>
          </w:rPr>
          <w:t>3008- دیوان شمس مشرقی‏</w:t>
        </w:r>
        <w:r>
          <w:tab/>
        </w:r>
        <w:r>
          <w:fldChar w:fldCharType="begin"/>
        </w:r>
        <w:r>
          <w:instrText xml:space="preserve">PAGEREF 3975 \h</w:instrText>
        </w:r>
        <w:r>
          <w:fldChar w:fldCharType="end"/>
        </w:r>
      </w:hyperlink>
    </w:p>
    <w:p>
      <w:pPr>
        <w:tabs>
          <w:tab w:val="right" w:leader="dot" w:pos="9062"/>
        </w:tabs>
        <w:ind w:left="440"/>
      </w:pPr>
      <w:hyperlink w:anchor="_Toc3976" w:history="1">
        <w:r>
          <w:rPr>
            <w:rFonts w:ascii="IRNazanin" w:hAnsi="IRNazanin" w:eastAsia="IRNazanin" w:cs="IRNazanin"/>
            <w:color w:val="111111"/>
            <w:sz w:val="22"/>
            <w:szCs w:val="22"/>
            <w:b w:val="0"/>
            <w:bCs w:val="0"/>
            <w:i w:val="0"/>
            <w:iCs w:val="0"/>
          </w:rPr>
          <w:t>دیوان شمس المعالی‏</w:t>
        </w:r>
        <w:r>
          <w:tab/>
        </w:r>
        <w:r>
          <w:fldChar w:fldCharType="begin"/>
        </w:r>
        <w:r>
          <w:instrText xml:space="preserve">PAGEREF 3976 \h</w:instrText>
        </w:r>
        <w:r>
          <w:fldChar w:fldCharType="end"/>
        </w:r>
      </w:hyperlink>
    </w:p>
    <w:p>
      <w:pPr>
        <w:tabs>
          <w:tab w:val="right" w:leader="dot" w:pos="9062"/>
        </w:tabs>
        <w:ind w:left="440"/>
      </w:pPr>
      <w:hyperlink w:anchor="_Toc3977" w:history="1">
        <w:r>
          <w:rPr>
            <w:rFonts w:ascii="IRNazanin" w:hAnsi="IRNazanin" w:eastAsia="IRNazanin" w:cs="IRNazanin"/>
            <w:color w:val="111111"/>
            <w:sz w:val="22"/>
            <w:szCs w:val="22"/>
            <w:b w:val="0"/>
            <w:bCs w:val="0"/>
            <w:i w:val="0"/>
            <w:iCs w:val="0"/>
          </w:rPr>
          <w:t>دیوان شمس مغربی‏</w:t>
        </w:r>
        <w:r>
          <w:tab/>
        </w:r>
        <w:r>
          <w:fldChar w:fldCharType="begin"/>
        </w:r>
        <w:r>
          <w:instrText xml:space="preserve">PAGEREF 3977 \h</w:instrText>
        </w:r>
        <w:r>
          <w:fldChar w:fldCharType="end"/>
        </w:r>
      </w:hyperlink>
    </w:p>
    <w:p>
      <w:pPr>
        <w:tabs>
          <w:tab w:val="right" w:leader="dot" w:pos="9062"/>
        </w:tabs>
        <w:ind w:left="440"/>
      </w:pPr>
      <w:hyperlink w:anchor="_Toc3978" w:history="1">
        <w:r>
          <w:rPr>
            <w:rFonts w:ascii="IRNazanin" w:hAnsi="IRNazanin" w:eastAsia="IRNazanin" w:cs="IRNazanin"/>
            <w:color w:val="111111"/>
            <w:sz w:val="22"/>
            <w:szCs w:val="22"/>
            <w:b w:val="0"/>
            <w:bCs w:val="0"/>
            <w:i w:val="0"/>
            <w:iCs w:val="0"/>
          </w:rPr>
          <w:t>3009- دیوان شمس منشی أو شعره‏</w:t>
        </w:r>
        <w:r>
          <w:tab/>
        </w:r>
        <w:r>
          <w:fldChar w:fldCharType="begin"/>
        </w:r>
        <w:r>
          <w:instrText xml:space="preserve">PAGEREF 3978 \h</w:instrText>
        </w:r>
        <w:r>
          <w:fldChar w:fldCharType="end"/>
        </w:r>
      </w:hyperlink>
    </w:p>
    <w:p>
      <w:pPr>
        <w:tabs>
          <w:tab w:val="right" w:leader="dot" w:pos="9062"/>
        </w:tabs>
        <w:ind w:left="440"/>
      </w:pPr>
      <w:hyperlink w:anchor="_Toc3979" w:history="1">
        <w:r>
          <w:rPr>
            <w:rFonts w:ascii="IRNazanin" w:hAnsi="IRNazanin" w:eastAsia="IRNazanin" w:cs="IRNazanin"/>
            <w:color w:val="111111"/>
            <w:sz w:val="22"/>
            <w:szCs w:val="22"/>
            <w:b w:val="0"/>
            <w:bCs w:val="0"/>
            <w:i w:val="0"/>
            <w:iCs w:val="0"/>
          </w:rPr>
          <w:t>3010- دیوان شمس نسائی‏</w:t>
        </w:r>
        <w:r>
          <w:tab/>
        </w:r>
        <w:r>
          <w:fldChar w:fldCharType="begin"/>
        </w:r>
        <w:r>
          <w:instrText xml:space="preserve">PAGEREF 3979 \h</w:instrText>
        </w:r>
        <w:r>
          <w:fldChar w:fldCharType="end"/>
        </w:r>
      </w:hyperlink>
    </w:p>
    <w:p>
      <w:pPr>
        <w:tabs>
          <w:tab w:val="right" w:leader="dot" w:pos="9062"/>
        </w:tabs>
        <w:ind w:left="440"/>
      </w:pPr>
      <w:hyperlink w:anchor="_Toc3980" w:history="1">
        <w:r>
          <w:rPr>
            <w:rFonts w:ascii="IRNazanin" w:hAnsi="IRNazanin" w:eastAsia="IRNazanin" w:cs="IRNazanin"/>
            <w:color w:val="111111"/>
            <w:sz w:val="22"/>
            <w:szCs w:val="22"/>
            <w:b w:val="0"/>
            <w:bCs w:val="0"/>
            <w:i w:val="0"/>
            <w:iCs w:val="0"/>
          </w:rPr>
          <w:t>دیوان شمس نیشابوری‏</w:t>
        </w:r>
        <w:r>
          <w:tab/>
        </w:r>
        <w:r>
          <w:fldChar w:fldCharType="begin"/>
        </w:r>
        <w:r>
          <w:instrText xml:space="preserve">PAGEREF 3980 \h</w:instrText>
        </w:r>
        <w:r>
          <w:fldChar w:fldCharType="end"/>
        </w:r>
      </w:hyperlink>
    </w:p>
    <w:p>
      <w:pPr>
        <w:tabs>
          <w:tab w:val="right" w:leader="dot" w:pos="9062"/>
        </w:tabs>
        <w:ind w:left="440"/>
      </w:pPr>
      <w:hyperlink w:anchor="_Toc3981" w:history="1">
        <w:r>
          <w:rPr>
            <w:rFonts w:ascii="IRNazanin" w:hAnsi="IRNazanin" w:eastAsia="IRNazanin" w:cs="IRNazanin"/>
            <w:color w:val="111111"/>
            <w:sz w:val="22"/>
            <w:szCs w:val="22"/>
            <w:b w:val="0"/>
            <w:bCs w:val="0"/>
            <w:i w:val="0"/>
            <w:iCs w:val="0"/>
          </w:rPr>
          <w:t>3011- دیوان شمس هروی‏</w:t>
        </w:r>
        <w:r>
          <w:tab/>
        </w:r>
        <w:r>
          <w:fldChar w:fldCharType="begin"/>
        </w:r>
        <w:r>
          <w:instrText xml:space="preserve">PAGEREF 3981 \h</w:instrText>
        </w:r>
        <w:r>
          <w:fldChar w:fldCharType="end"/>
        </w:r>
      </w:hyperlink>
    </w:p>
    <w:p>
      <w:pPr>
        <w:tabs>
          <w:tab w:val="right" w:leader="dot" w:pos="9062"/>
        </w:tabs>
        <w:ind w:left="440"/>
      </w:pPr>
      <w:hyperlink w:anchor="_Toc3982" w:history="1">
        <w:r>
          <w:rPr>
            <w:rFonts w:ascii="IRNazanin" w:hAnsi="IRNazanin" w:eastAsia="IRNazanin" w:cs="IRNazanin"/>
            <w:color w:val="111111"/>
            <w:sz w:val="22"/>
            <w:szCs w:val="22"/>
            <w:b w:val="0"/>
            <w:bCs w:val="0"/>
            <w:i w:val="0"/>
            <w:iCs w:val="0"/>
          </w:rPr>
          <w:t>3012- دیوان شمسی أو شعره‏</w:t>
        </w:r>
        <w:r>
          <w:tab/>
        </w:r>
        <w:r>
          <w:fldChar w:fldCharType="begin"/>
        </w:r>
        <w:r>
          <w:instrText xml:space="preserve">PAGEREF 3982 \h</w:instrText>
        </w:r>
        <w:r>
          <w:fldChar w:fldCharType="end"/>
        </w:r>
      </w:hyperlink>
    </w:p>
    <w:p>
      <w:pPr>
        <w:tabs>
          <w:tab w:val="right" w:leader="dot" w:pos="9062"/>
        </w:tabs>
        <w:ind w:left="440"/>
      </w:pPr>
      <w:hyperlink w:anchor="_Toc3983" w:history="1">
        <w:r>
          <w:rPr>
            <w:rFonts w:ascii="IRNazanin" w:hAnsi="IRNazanin" w:eastAsia="IRNazanin" w:cs="IRNazanin"/>
            <w:color w:val="111111"/>
            <w:sz w:val="22"/>
            <w:szCs w:val="22"/>
            <w:b w:val="0"/>
            <w:bCs w:val="0"/>
            <w:i w:val="0"/>
            <w:iCs w:val="0"/>
          </w:rPr>
          <w:t>3013- دیوان شمسی أو شعره‏</w:t>
        </w:r>
        <w:r>
          <w:tab/>
        </w:r>
        <w:r>
          <w:fldChar w:fldCharType="begin"/>
        </w:r>
        <w:r>
          <w:instrText xml:space="preserve">PAGEREF 3983 \h</w:instrText>
        </w:r>
        <w:r>
          <w:fldChar w:fldCharType="end"/>
        </w:r>
      </w:hyperlink>
    </w:p>
    <w:p>
      <w:pPr>
        <w:tabs>
          <w:tab w:val="right" w:leader="dot" w:pos="9062"/>
        </w:tabs>
        <w:ind w:left="440"/>
      </w:pPr>
      <w:hyperlink w:anchor="_Toc3984" w:history="1">
        <w:r>
          <w:rPr>
            <w:rFonts w:ascii="IRNazanin" w:hAnsi="IRNazanin" w:eastAsia="IRNazanin" w:cs="IRNazanin"/>
            <w:color w:val="111111"/>
            <w:sz w:val="22"/>
            <w:szCs w:val="22"/>
            <w:b w:val="0"/>
            <w:bCs w:val="0"/>
            <w:i w:val="0"/>
            <w:iCs w:val="0"/>
          </w:rPr>
          <w:t>3014- دیوان شمسی بدخشانی‏</w:t>
        </w:r>
        <w:r>
          <w:tab/>
        </w:r>
        <w:r>
          <w:fldChar w:fldCharType="begin"/>
        </w:r>
        <w:r>
          <w:instrText xml:space="preserve">PAGEREF 3984 \h</w:instrText>
        </w:r>
        <w:r>
          <w:fldChar w:fldCharType="end"/>
        </w:r>
      </w:hyperlink>
    </w:p>
    <w:p>
      <w:pPr>
        <w:tabs>
          <w:tab w:val="right" w:leader="dot" w:pos="9062"/>
        </w:tabs>
        <w:ind w:left="440"/>
      </w:pPr>
      <w:hyperlink w:anchor="_Toc3985" w:history="1">
        <w:r>
          <w:rPr>
            <w:rFonts w:ascii="IRNazanin" w:hAnsi="IRNazanin" w:eastAsia="IRNazanin" w:cs="IRNazanin"/>
            <w:color w:val="111111"/>
            <w:sz w:val="22"/>
            <w:szCs w:val="22"/>
            <w:b w:val="0"/>
            <w:bCs w:val="0"/>
            <w:i w:val="0"/>
            <w:iCs w:val="0"/>
          </w:rPr>
          <w:t>3015- دیوان شمسی بغدادی‏</w:t>
        </w:r>
        <w:r>
          <w:tab/>
        </w:r>
        <w:r>
          <w:fldChar w:fldCharType="begin"/>
        </w:r>
        <w:r>
          <w:instrText xml:space="preserve">PAGEREF 3985 \h</w:instrText>
        </w:r>
        <w:r>
          <w:fldChar w:fldCharType="end"/>
        </w:r>
      </w:hyperlink>
    </w:p>
    <w:p>
      <w:pPr>
        <w:tabs>
          <w:tab w:val="right" w:leader="dot" w:pos="9062"/>
        </w:tabs>
        <w:ind w:left="440"/>
      </w:pPr>
      <w:hyperlink w:anchor="_Toc3986" w:history="1">
        <w:r>
          <w:rPr>
            <w:rFonts w:ascii="IRNazanin" w:hAnsi="IRNazanin" w:eastAsia="IRNazanin" w:cs="IRNazanin"/>
            <w:color w:val="111111"/>
            <w:sz w:val="22"/>
            <w:szCs w:val="22"/>
            <w:b w:val="0"/>
            <w:bCs w:val="0"/>
            <w:i w:val="0"/>
            <w:iCs w:val="0"/>
          </w:rPr>
          <w:t>3016- دیوان شمسی شیروانی أو شعره‏</w:t>
        </w:r>
        <w:r>
          <w:tab/>
        </w:r>
        <w:r>
          <w:fldChar w:fldCharType="begin"/>
        </w:r>
        <w:r>
          <w:instrText xml:space="preserve">PAGEREF 3986 \h</w:instrText>
        </w:r>
        <w:r>
          <w:fldChar w:fldCharType="end"/>
        </w:r>
      </w:hyperlink>
    </w:p>
    <w:p>
      <w:pPr>
        <w:tabs>
          <w:tab w:val="right" w:leader="dot" w:pos="9062"/>
        </w:tabs>
        <w:ind w:left="440"/>
      </w:pPr>
      <w:hyperlink w:anchor="_Toc3987" w:history="1">
        <w:r>
          <w:rPr>
            <w:rFonts w:ascii="IRNazanin" w:hAnsi="IRNazanin" w:eastAsia="IRNazanin" w:cs="IRNazanin"/>
            <w:color w:val="111111"/>
            <w:sz w:val="22"/>
            <w:szCs w:val="22"/>
            <w:b w:val="0"/>
            <w:bCs w:val="0"/>
            <w:i w:val="0"/>
            <w:iCs w:val="0"/>
          </w:rPr>
          <w:t>3017- دیوان شمسی همدانی أو شعره‏</w:t>
        </w:r>
        <w:r>
          <w:tab/>
        </w:r>
        <w:r>
          <w:fldChar w:fldCharType="begin"/>
        </w:r>
        <w:r>
          <w:instrText xml:space="preserve">PAGEREF 3987 \h</w:instrText>
        </w:r>
        <w:r>
          <w:fldChar w:fldCharType="end"/>
        </w:r>
      </w:hyperlink>
    </w:p>
    <w:p>
      <w:pPr>
        <w:tabs>
          <w:tab w:val="right" w:leader="dot" w:pos="9062"/>
        </w:tabs>
        <w:ind w:left="440"/>
      </w:pPr>
      <w:hyperlink w:anchor="_Toc3988" w:history="1">
        <w:r>
          <w:rPr>
            <w:rFonts w:ascii="IRNazanin" w:hAnsi="IRNazanin" w:eastAsia="IRNazanin" w:cs="IRNazanin"/>
            <w:color w:val="111111"/>
            <w:sz w:val="22"/>
            <w:szCs w:val="22"/>
            <w:b w:val="0"/>
            <w:bCs w:val="0"/>
            <w:i w:val="0"/>
            <w:iCs w:val="0"/>
          </w:rPr>
          <w:t>3018- دیوان شمعی همدانی أو شعره‏</w:t>
        </w:r>
        <w:r>
          <w:tab/>
        </w:r>
        <w:r>
          <w:fldChar w:fldCharType="begin"/>
        </w:r>
        <w:r>
          <w:instrText xml:space="preserve">PAGEREF 3988 \h</w:instrText>
        </w:r>
        <w:r>
          <w:fldChar w:fldCharType="end"/>
        </w:r>
      </w:hyperlink>
    </w:p>
    <w:p>
      <w:pPr>
        <w:tabs>
          <w:tab w:val="right" w:leader="dot" w:pos="9062"/>
        </w:tabs>
        <w:ind w:left="440"/>
      </w:pPr>
      <w:hyperlink w:anchor="_Toc3989" w:history="1">
        <w:r>
          <w:rPr>
            <w:rFonts w:ascii="IRNazanin" w:hAnsi="IRNazanin" w:eastAsia="IRNazanin" w:cs="IRNazanin"/>
            <w:color w:val="111111"/>
            <w:sz w:val="22"/>
            <w:szCs w:val="22"/>
            <w:b w:val="0"/>
            <w:bCs w:val="0"/>
            <w:i w:val="0"/>
            <w:iCs w:val="0"/>
          </w:rPr>
          <w:t>دیوان شمیم أصفهانی‏</w:t>
        </w:r>
        <w:r>
          <w:tab/>
        </w:r>
        <w:r>
          <w:fldChar w:fldCharType="begin"/>
        </w:r>
        <w:r>
          <w:instrText xml:space="preserve">PAGEREF 3989 \h</w:instrText>
        </w:r>
        <w:r>
          <w:fldChar w:fldCharType="end"/>
        </w:r>
      </w:hyperlink>
    </w:p>
    <w:p>
      <w:pPr>
        <w:tabs>
          <w:tab w:val="right" w:leader="dot" w:pos="9062"/>
        </w:tabs>
        <w:ind w:left="440"/>
      </w:pPr>
      <w:hyperlink w:anchor="_Toc3990" w:history="1">
        <w:r>
          <w:rPr>
            <w:rFonts w:ascii="IRNazanin" w:hAnsi="IRNazanin" w:eastAsia="IRNazanin" w:cs="IRNazanin"/>
            <w:color w:val="111111"/>
            <w:sz w:val="22"/>
            <w:szCs w:val="22"/>
            <w:b w:val="0"/>
            <w:bCs w:val="0"/>
            <w:i w:val="0"/>
            <w:iCs w:val="0"/>
          </w:rPr>
          <w:t>3019- دیوان شمیم شیرازی‏</w:t>
        </w:r>
        <w:r>
          <w:tab/>
        </w:r>
        <w:r>
          <w:fldChar w:fldCharType="begin"/>
        </w:r>
        <w:r>
          <w:instrText xml:space="preserve">PAGEREF 3990 \h</w:instrText>
        </w:r>
        <w:r>
          <w:fldChar w:fldCharType="end"/>
        </w:r>
      </w:hyperlink>
    </w:p>
    <w:p>
      <w:pPr>
        <w:tabs>
          <w:tab w:val="right" w:leader="dot" w:pos="9062"/>
        </w:tabs>
        <w:ind w:left="440"/>
      </w:pPr>
      <w:hyperlink w:anchor="_Toc3991" w:history="1">
        <w:r>
          <w:rPr>
            <w:rFonts w:ascii="IRNazanin" w:hAnsi="IRNazanin" w:eastAsia="IRNazanin" w:cs="IRNazanin"/>
            <w:color w:val="111111"/>
            <w:sz w:val="22"/>
            <w:szCs w:val="22"/>
            <w:b w:val="0"/>
            <w:bCs w:val="0"/>
            <w:i w:val="0"/>
            <w:iCs w:val="0"/>
          </w:rPr>
          <w:t>3020- دیوان شمیم شیرازی‏</w:t>
        </w:r>
        <w:r>
          <w:tab/>
        </w:r>
        <w:r>
          <w:fldChar w:fldCharType="begin"/>
        </w:r>
        <w:r>
          <w:instrText xml:space="preserve">PAGEREF 3991 \h</w:instrText>
        </w:r>
        <w:r>
          <w:fldChar w:fldCharType="end"/>
        </w:r>
      </w:hyperlink>
    </w:p>
    <w:p>
      <w:pPr>
        <w:tabs>
          <w:tab w:val="right" w:leader="dot" w:pos="9062"/>
        </w:tabs>
        <w:ind w:left="440"/>
      </w:pPr>
      <w:hyperlink w:anchor="_Toc3992" w:history="1">
        <w:r>
          <w:rPr>
            <w:rFonts w:ascii="IRNazanin" w:hAnsi="IRNazanin" w:eastAsia="IRNazanin" w:cs="IRNazanin"/>
            <w:color w:val="111111"/>
            <w:sz w:val="22"/>
            <w:szCs w:val="22"/>
            <w:b w:val="0"/>
            <w:bCs w:val="0"/>
            <w:i w:val="0"/>
            <w:iCs w:val="0"/>
          </w:rPr>
          <w:t>3021- دیوان شواء</w:t>
        </w:r>
        <w:r>
          <w:tab/>
        </w:r>
        <w:r>
          <w:fldChar w:fldCharType="begin"/>
        </w:r>
        <w:r>
          <w:instrText xml:space="preserve">PAGEREF 3992 \h</w:instrText>
        </w:r>
        <w:r>
          <w:fldChar w:fldCharType="end"/>
        </w:r>
      </w:hyperlink>
    </w:p>
    <w:p>
      <w:pPr>
        <w:tabs>
          <w:tab w:val="right" w:leader="dot" w:pos="9062"/>
        </w:tabs>
        <w:ind w:left="440"/>
      </w:pPr>
      <w:hyperlink w:anchor="_Toc3993" w:history="1">
        <w:r>
          <w:rPr>
            <w:rFonts w:ascii="IRNazanin" w:hAnsi="IRNazanin" w:eastAsia="IRNazanin" w:cs="IRNazanin"/>
            <w:color w:val="111111"/>
            <w:sz w:val="22"/>
            <w:szCs w:val="22"/>
            <w:b w:val="0"/>
            <w:bCs w:val="0"/>
            <w:i w:val="0"/>
            <w:iCs w:val="0"/>
          </w:rPr>
          <w:t>3022- دیوان شوخی خوانساری أو شعره‏</w:t>
        </w:r>
        <w:r>
          <w:tab/>
        </w:r>
        <w:r>
          <w:fldChar w:fldCharType="begin"/>
        </w:r>
        <w:r>
          <w:instrText xml:space="preserve">PAGEREF 3993 \h</w:instrText>
        </w:r>
        <w:r>
          <w:fldChar w:fldCharType="end"/>
        </w:r>
      </w:hyperlink>
    </w:p>
    <w:p>
      <w:pPr>
        <w:tabs>
          <w:tab w:val="right" w:leader="dot" w:pos="9062"/>
        </w:tabs>
        <w:ind w:left="440"/>
      </w:pPr>
      <w:hyperlink w:anchor="_Toc3994" w:history="1">
        <w:r>
          <w:rPr>
            <w:rFonts w:ascii="IRNazanin" w:hAnsi="IRNazanin" w:eastAsia="IRNazanin" w:cs="IRNazanin"/>
            <w:color w:val="111111"/>
            <w:sz w:val="22"/>
            <w:szCs w:val="22"/>
            <w:b w:val="0"/>
            <w:bCs w:val="0"/>
            <w:i w:val="0"/>
            <w:iCs w:val="0"/>
          </w:rPr>
          <w:t>3023- دیوان شوخی هروی أو شعره‏</w:t>
        </w:r>
        <w:r>
          <w:tab/>
        </w:r>
        <w:r>
          <w:fldChar w:fldCharType="begin"/>
        </w:r>
        <w:r>
          <w:instrText xml:space="preserve">PAGEREF 3994 \h</w:instrText>
        </w:r>
        <w:r>
          <w:fldChar w:fldCharType="end"/>
        </w:r>
      </w:hyperlink>
    </w:p>
    <w:p>
      <w:pPr>
        <w:tabs>
          <w:tab w:val="right" w:leader="dot" w:pos="9062"/>
        </w:tabs>
        <w:ind w:left="440"/>
      </w:pPr>
      <w:hyperlink w:anchor="_Toc3995" w:history="1">
        <w:r>
          <w:rPr>
            <w:rFonts w:ascii="IRNazanin" w:hAnsi="IRNazanin" w:eastAsia="IRNazanin" w:cs="IRNazanin"/>
            <w:color w:val="111111"/>
            <w:sz w:val="22"/>
            <w:szCs w:val="22"/>
            <w:b w:val="0"/>
            <w:bCs w:val="0"/>
            <w:i w:val="0"/>
            <w:iCs w:val="0"/>
          </w:rPr>
          <w:t>3024- دیوان شوخی یزدی أو شعره‏</w:t>
        </w:r>
        <w:r>
          <w:tab/>
        </w:r>
        <w:r>
          <w:fldChar w:fldCharType="begin"/>
        </w:r>
        <w:r>
          <w:instrText xml:space="preserve">PAGEREF 3995 \h</w:instrText>
        </w:r>
        <w:r>
          <w:fldChar w:fldCharType="end"/>
        </w:r>
      </w:hyperlink>
    </w:p>
    <w:p>
      <w:pPr>
        <w:tabs>
          <w:tab w:val="right" w:leader="dot" w:pos="9062"/>
        </w:tabs>
        <w:ind w:left="440"/>
      </w:pPr>
      <w:hyperlink w:anchor="_Toc3996" w:history="1">
        <w:r>
          <w:rPr>
            <w:rFonts w:ascii="IRNazanin" w:hAnsi="IRNazanin" w:eastAsia="IRNazanin" w:cs="IRNazanin"/>
            <w:color w:val="111111"/>
            <w:sz w:val="22"/>
            <w:szCs w:val="22"/>
            <w:b w:val="0"/>
            <w:bCs w:val="0"/>
            <w:i w:val="0"/>
            <w:iCs w:val="0"/>
          </w:rPr>
          <w:t>3025- دیوان شورش أو شعره‏</w:t>
        </w:r>
        <w:r>
          <w:tab/>
        </w:r>
        <w:r>
          <w:fldChar w:fldCharType="begin"/>
        </w:r>
        <w:r>
          <w:instrText xml:space="preserve">PAGEREF 3996 \h</w:instrText>
        </w:r>
        <w:r>
          <w:fldChar w:fldCharType="end"/>
        </w:r>
      </w:hyperlink>
    </w:p>
    <w:p>
      <w:pPr>
        <w:tabs>
          <w:tab w:val="right" w:leader="dot" w:pos="9062"/>
        </w:tabs>
        <w:ind w:left="440"/>
      </w:pPr>
      <w:hyperlink w:anchor="_Toc3997" w:history="1">
        <w:r>
          <w:rPr>
            <w:rFonts w:ascii="IRNazanin" w:hAnsi="IRNazanin" w:eastAsia="IRNazanin" w:cs="IRNazanin"/>
            <w:color w:val="111111"/>
            <w:sz w:val="22"/>
            <w:szCs w:val="22"/>
            <w:b w:val="0"/>
            <w:bCs w:val="0"/>
            <w:i w:val="0"/>
            <w:iCs w:val="0"/>
          </w:rPr>
          <w:t>3026- دیوان شورش عشق‏</w:t>
        </w:r>
        <w:r>
          <w:tab/>
        </w:r>
        <w:r>
          <w:fldChar w:fldCharType="begin"/>
        </w:r>
        <w:r>
          <w:instrText xml:space="preserve">PAGEREF 3997 \h</w:instrText>
        </w:r>
        <w:r>
          <w:fldChar w:fldCharType="end"/>
        </w:r>
      </w:hyperlink>
    </w:p>
    <w:p>
      <w:pPr>
        <w:tabs>
          <w:tab w:val="right" w:leader="dot" w:pos="9062"/>
        </w:tabs>
        <w:ind w:left="440"/>
      </w:pPr>
      <w:hyperlink w:anchor="_Toc3998" w:history="1">
        <w:r>
          <w:rPr>
            <w:rFonts w:ascii="IRNazanin" w:hAnsi="IRNazanin" w:eastAsia="IRNazanin" w:cs="IRNazanin"/>
            <w:color w:val="111111"/>
            <w:sz w:val="22"/>
            <w:szCs w:val="22"/>
            <w:b w:val="0"/>
            <w:bCs w:val="0"/>
            <w:i w:val="0"/>
            <w:iCs w:val="0"/>
          </w:rPr>
          <w:t>3027- دیوان شورش شیرازی أو شعره‏</w:t>
        </w:r>
        <w:r>
          <w:tab/>
        </w:r>
        <w:r>
          <w:fldChar w:fldCharType="begin"/>
        </w:r>
        <w:r>
          <w:instrText xml:space="preserve">PAGEREF 3998 \h</w:instrText>
        </w:r>
        <w:r>
          <w:fldChar w:fldCharType="end"/>
        </w:r>
      </w:hyperlink>
    </w:p>
    <w:p>
      <w:pPr>
        <w:tabs>
          <w:tab w:val="right" w:leader="dot" w:pos="9062"/>
        </w:tabs>
        <w:ind w:left="440"/>
      </w:pPr>
      <w:hyperlink w:anchor="_Toc3999" w:history="1">
        <w:r>
          <w:rPr>
            <w:rFonts w:ascii="IRNazanin" w:hAnsi="IRNazanin" w:eastAsia="IRNazanin" w:cs="IRNazanin"/>
            <w:color w:val="111111"/>
            <w:sz w:val="22"/>
            <w:szCs w:val="22"/>
            <w:b w:val="0"/>
            <w:bCs w:val="0"/>
            <w:i w:val="0"/>
            <w:iCs w:val="0"/>
          </w:rPr>
          <w:t>3028- دیوان شورش لکهنوی أو شعره‏</w:t>
        </w:r>
        <w:r>
          <w:tab/>
        </w:r>
        <w:r>
          <w:fldChar w:fldCharType="begin"/>
        </w:r>
        <w:r>
          <w:instrText xml:space="preserve">PAGEREF 3999 \h</w:instrText>
        </w:r>
        <w:r>
          <w:fldChar w:fldCharType="end"/>
        </w:r>
      </w:hyperlink>
    </w:p>
    <w:p>
      <w:pPr>
        <w:tabs>
          <w:tab w:val="right" w:leader="dot" w:pos="9062"/>
        </w:tabs>
        <w:ind w:left="440"/>
      </w:pPr>
      <w:hyperlink w:anchor="_Toc4000" w:history="1">
        <w:r>
          <w:rPr>
            <w:rFonts w:ascii="IRNazanin" w:hAnsi="IRNazanin" w:eastAsia="IRNazanin" w:cs="IRNazanin"/>
            <w:color w:val="111111"/>
            <w:sz w:val="22"/>
            <w:szCs w:val="22"/>
            <w:b w:val="0"/>
            <w:bCs w:val="0"/>
            <w:i w:val="0"/>
            <w:iCs w:val="0"/>
          </w:rPr>
          <w:t>3029- دیوان شوری أصفهانی‏</w:t>
        </w:r>
        <w:r>
          <w:tab/>
        </w:r>
        <w:r>
          <w:fldChar w:fldCharType="begin"/>
        </w:r>
        <w:r>
          <w:instrText xml:space="preserve">PAGEREF 4000 \h</w:instrText>
        </w:r>
        <w:r>
          <w:fldChar w:fldCharType="end"/>
        </w:r>
      </w:hyperlink>
    </w:p>
    <w:p>
      <w:pPr>
        <w:tabs>
          <w:tab w:val="right" w:leader="dot" w:pos="9062"/>
        </w:tabs>
        <w:ind w:left="440"/>
      </w:pPr>
      <w:hyperlink w:anchor="_Toc4001" w:history="1">
        <w:r>
          <w:rPr>
            <w:rFonts w:ascii="IRNazanin" w:hAnsi="IRNazanin" w:eastAsia="IRNazanin" w:cs="IRNazanin"/>
            <w:color w:val="111111"/>
            <w:sz w:val="22"/>
            <w:szCs w:val="22"/>
            <w:b w:val="0"/>
            <w:bCs w:val="0"/>
            <w:i w:val="0"/>
            <w:iCs w:val="0"/>
          </w:rPr>
          <w:t>دیوان شوریده‏</w:t>
        </w:r>
        <w:r>
          <w:tab/>
        </w:r>
        <w:r>
          <w:fldChar w:fldCharType="begin"/>
        </w:r>
        <w:r>
          <w:instrText xml:space="preserve">PAGEREF 4001 \h</w:instrText>
        </w:r>
        <w:r>
          <w:fldChar w:fldCharType="end"/>
        </w:r>
      </w:hyperlink>
    </w:p>
    <w:p>
      <w:pPr>
        <w:tabs>
          <w:tab w:val="right" w:leader="dot" w:pos="9062"/>
        </w:tabs>
        <w:ind w:left="440"/>
      </w:pPr>
      <w:hyperlink w:anchor="_Toc4002" w:history="1">
        <w:r>
          <w:rPr>
            <w:rFonts w:ascii="IRNazanin" w:hAnsi="IRNazanin" w:eastAsia="IRNazanin" w:cs="IRNazanin"/>
            <w:color w:val="111111"/>
            <w:sz w:val="22"/>
            <w:szCs w:val="22"/>
            <w:b w:val="0"/>
            <w:bCs w:val="0"/>
            <w:i w:val="0"/>
            <w:iCs w:val="0"/>
          </w:rPr>
          <w:t>3030- دیوان شوریده‏</w:t>
        </w:r>
        <w:r>
          <w:tab/>
        </w:r>
        <w:r>
          <w:fldChar w:fldCharType="begin"/>
        </w:r>
        <w:r>
          <w:instrText xml:space="preserve">PAGEREF 4002 \h</w:instrText>
        </w:r>
        <w:r>
          <w:fldChar w:fldCharType="end"/>
        </w:r>
      </w:hyperlink>
    </w:p>
    <w:p>
      <w:pPr>
        <w:tabs>
          <w:tab w:val="right" w:leader="dot" w:pos="9062"/>
        </w:tabs>
        <w:ind w:left="440"/>
      </w:pPr>
      <w:hyperlink w:anchor="_Toc4003" w:history="1">
        <w:r>
          <w:rPr>
            <w:rFonts w:ascii="IRNazanin" w:hAnsi="IRNazanin" w:eastAsia="IRNazanin" w:cs="IRNazanin"/>
            <w:color w:val="111111"/>
            <w:sz w:val="22"/>
            <w:szCs w:val="22"/>
            <w:b w:val="0"/>
            <w:bCs w:val="0"/>
            <w:i w:val="0"/>
            <w:iCs w:val="0"/>
          </w:rPr>
          <w:t>3031- دیوان شوق أکبرآبادی‏</w:t>
        </w:r>
        <w:r>
          <w:tab/>
        </w:r>
        <w:r>
          <w:fldChar w:fldCharType="begin"/>
        </w:r>
        <w:r>
          <w:instrText xml:space="preserve">PAGEREF 4003 \h</w:instrText>
        </w:r>
        <w:r>
          <w:fldChar w:fldCharType="end"/>
        </w:r>
      </w:hyperlink>
    </w:p>
    <w:p>
      <w:pPr>
        <w:tabs>
          <w:tab w:val="right" w:leader="dot" w:pos="9062"/>
        </w:tabs>
        <w:ind w:left="440"/>
      </w:pPr>
      <w:hyperlink w:anchor="_Toc4004" w:history="1">
        <w:r>
          <w:rPr>
            <w:rFonts w:ascii="IRNazanin" w:hAnsi="IRNazanin" w:eastAsia="IRNazanin" w:cs="IRNazanin"/>
            <w:color w:val="111111"/>
            <w:sz w:val="22"/>
            <w:szCs w:val="22"/>
            <w:b w:val="0"/>
            <w:bCs w:val="0"/>
            <w:i w:val="0"/>
            <w:iCs w:val="0"/>
          </w:rPr>
          <w:t>دیوان شوق حیدرآبادی‏</w:t>
        </w:r>
        <w:r>
          <w:tab/>
        </w:r>
        <w:r>
          <w:fldChar w:fldCharType="begin"/>
        </w:r>
        <w:r>
          <w:instrText xml:space="preserve">PAGEREF 4004 \h</w:instrText>
        </w:r>
        <w:r>
          <w:fldChar w:fldCharType="end"/>
        </w:r>
      </w:hyperlink>
    </w:p>
    <w:p>
      <w:pPr>
        <w:tabs>
          <w:tab w:val="right" w:leader="dot" w:pos="9062"/>
        </w:tabs>
        <w:ind w:left="440"/>
      </w:pPr>
      <w:hyperlink w:anchor="_Toc4005" w:history="1">
        <w:r>
          <w:rPr>
            <w:rFonts w:ascii="IRNazanin" w:hAnsi="IRNazanin" w:eastAsia="IRNazanin" w:cs="IRNazanin"/>
            <w:color w:val="111111"/>
            <w:sz w:val="22"/>
            <w:szCs w:val="22"/>
            <w:b w:val="0"/>
            <w:bCs w:val="0"/>
            <w:i w:val="0"/>
            <w:iCs w:val="0"/>
          </w:rPr>
          <w:t>3032- دیوان شوق کاکوری أو شعره‏</w:t>
        </w:r>
        <w:r>
          <w:tab/>
        </w:r>
        <w:r>
          <w:fldChar w:fldCharType="begin"/>
        </w:r>
        <w:r>
          <w:instrText xml:space="preserve">PAGEREF 4005 \h</w:instrText>
        </w:r>
        <w:r>
          <w:fldChar w:fldCharType="end"/>
        </w:r>
      </w:hyperlink>
    </w:p>
    <w:p>
      <w:pPr>
        <w:tabs>
          <w:tab w:val="right" w:leader="dot" w:pos="9062"/>
        </w:tabs>
        <w:ind w:left="440"/>
      </w:pPr>
      <w:hyperlink w:anchor="_Toc4006" w:history="1">
        <w:r>
          <w:rPr>
            <w:rFonts w:ascii="IRNazanin" w:hAnsi="IRNazanin" w:eastAsia="IRNazanin" w:cs="IRNazanin"/>
            <w:color w:val="111111"/>
            <w:sz w:val="22"/>
            <w:szCs w:val="22"/>
            <w:b w:val="0"/>
            <w:bCs w:val="0"/>
            <w:i w:val="0"/>
            <w:iCs w:val="0"/>
          </w:rPr>
          <w:t>3033- دیوان شوقی أردستانی أو شعره‏</w:t>
        </w:r>
        <w:r>
          <w:tab/>
        </w:r>
        <w:r>
          <w:fldChar w:fldCharType="begin"/>
        </w:r>
        <w:r>
          <w:instrText xml:space="preserve">PAGEREF 4006 \h</w:instrText>
        </w:r>
        <w:r>
          <w:fldChar w:fldCharType="end"/>
        </w:r>
      </w:hyperlink>
    </w:p>
    <w:p>
      <w:pPr>
        <w:tabs>
          <w:tab w:val="right" w:leader="dot" w:pos="9062"/>
        </w:tabs>
        <w:ind w:left="440"/>
      </w:pPr>
      <w:hyperlink w:anchor="_Toc4007" w:history="1">
        <w:r>
          <w:rPr>
            <w:rFonts w:ascii="IRNazanin" w:hAnsi="IRNazanin" w:eastAsia="IRNazanin" w:cs="IRNazanin"/>
            <w:color w:val="111111"/>
            <w:sz w:val="22"/>
            <w:szCs w:val="22"/>
            <w:b w:val="0"/>
            <w:bCs w:val="0"/>
            <w:i w:val="0"/>
            <w:iCs w:val="0"/>
          </w:rPr>
          <w:t>3034- دیوان شوقی أصفهانی‏</w:t>
        </w:r>
        <w:r>
          <w:tab/>
        </w:r>
        <w:r>
          <w:fldChar w:fldCharType="begin"/>
        </w:r>
        <w:r>
          <w:instrText xml:space="preserve">PAGEREF 4007 \h</w:instrText>
        </w:r>
        <w:r>
          <w:fldChar w:fldCharType="end"/>
        </w:r>
      </w:hyperlink>
    </w:p>
    <w:p>
      <w:pPr>
        <w:tabs>
          <w:tab w:val="right" w:leader="dot" w:pos="9062"/>
        </w:tabs>
        <w:ind w:left="440"/>
      </w:pPr>
      <w:hyperlink w:anchor="_Toc4008" w:history="1">
        <w:r>
          <w:rPr>
            <w:rFonts w:ascii="IRNazanin" w:hAnsi="IRNazanin" w:eastAsia="IRNazanin" w:cs="IRNazanin"/>
            <w:color w:val="111111"/>
            <w:sz w:val="22"/>
            <w:szCs w:val="22"/>
            <w:b w:val="0"/>
            <w:bCs w:val="0"/>
            <w:i w:val="0"/>
            <w:iCs w:val="0"/>
          </w:rPr>
          <w:t>3035- دیوان شوقی تبریزی‏</w:t>
        </w:r>
        <w:r>
          <w:tab/>
        </w:r>
        <w:r>
          <w:fldChar w:fldCharType="begin"/>
        </w:r>
        <w:r>
          <w:instrText xml:space="preserve">PAGEREF 4008 \h</w:instrText>
        </w:r>
        <w:r>
          <w:fldChar w:fldCharType="end"/>
        </w:r>
      </w:hyperlink>
    </w:p>
    <w:p>
      <w:pPr>
        <w:tabs>
          <w:tab w:val="right" w:leader="dot" w:pos="9062"/>
        </w:tabs>
        <w:ind w:left="440"/>
      </w:pPr>
      <w:hyperlink w:anchor="_Toc4009" w:history="1">
        <w:r>
          <w:rPr>
            <w:rFonts w:ascii="IRNazanin" w:hAnsi="IRNazanin" w:eastAsia="IRNazanin" w:cs="IRNazanin"/>
            <w:color w:val="111111"/>
            <w:sz w:val="22"/>
            <w:szCs w:val="22"/>
            <w:b w:val="0"/>
            <w:bCs w:val="0"/>
            <w:i w:val="0"/>
            <w:iCs w:val="0"/>
          </w:rPr>
          <w:t>3036- دیوان شوقی تفرشی أو شعره‏</w:t>
        </w:r>
        <w:r>
          <w:tab/>
        </w:r>
        <w:r>
          <w:fldChar w:fldCharType="begin"/>
        </w:r>
        <w:r>
          <w:instrText xml:space="preserve">PAGEREF 4009 \h</w:instrText>
        </w:r>
        <w:r>
          <w:fldChar w:fldCharType="end"/>
        </w:r>
      </w:hyperlink>
    </w:p>
    <w:p>
      <w:pPr>
        <w:tabs>
          <w:tab w:val="right" w:leader="dot" w:pos="9062"/>
        </w:tabs>
        <w:ind w:left="440"/>
      </w:pPr>
      <w:hyperlink w:anchor="_Toc4010" w:history="1">
        <w:r>
          <w:rPr>
            <w:rFonts w:ascii="IRNazanin" w:hAnsi="IRNazanin" w:eastAsia="IRNazanin" w:cs="IRNazanin"/>
            <w:color w:val="111111"/>
            <w:sz w:val="22"/>
            <w:szCs w:val="22"/>
            <w:b w:val="0"/>
            <w:bCs w:val="0"/>
            <w:i w:val="0"/>
            <w:iCs w:val="0"/>
          </w:rPr>
          <w:t>3037- دیوان شوقی خبوشانی أو شعره‏</w:t>
        </w:r>
        <w:r>
          <w:tab/>
        </w:r>
        <w:r>
          <w:fldChar w:fldCharType="begin"/>
        </w:r>
        <w:r>
          <w:instrText xml:space="preserve">PAGEREF 4010 \h</w:instrText>
        </w:r>
        <w:r>
          <w:fldChar w:fldCharType="end"/>
        </w:r>
      </w:hyperlink>
    </w:p>
    <w:p>
      <w:pPr>
        <w:tabs>
          <w:tab w:val="right" w:leader="dot" w:pos="9062"/>
        </w:tabs>
        <w:ind w:left="440"/>
      </w:pPr>
      <w:hyperlink w:anchor="_Toc4011" w:history="1">
        <w:r>
          <w:rPr>
            <w:rFonts w:ascii="IRNazanin" w:hAnsi="IRNazanin" w:eastAsia="IRNazanin" w:cs="IRNazanin"/>
            <w:color w:val="111111"/>
            <w:sz w:val="22"/>
            <w:szCs w:val="22"/>
            <w:b w:val="0"/>
            <w:bCs w:val="0"/>
            <w:i w:val="0"/>
            <w:iCs w:val="0"/>
          </w:rPr>
          <w:t>3038- دیوان شوقی خراسانی‏</w:t>
        </w:r>
        <w:r>
          <w:tab/>
        </w:r>
        <w:r>
          <w:fldChar w:fldCharType="begin"/>
        </w:r>
        <w:r>
          <w:instrText xml:space="preserve">PAGEREF 4011 \h</w:instrText>
        </w:r>
        <w:r>
          <w:fldChar w:fldCharType="end"/>
        </w:r>
      </w:hyperlink>
    </w:p>
    <w:p>
      <w:pPr>
        <w:tabs>
          <w:tab w:val="right" w:leader="dot" w:pos="9062"/>
        </w:tabs>
        <w:ind w:left="440"/>
      </w:pPr>
      <w:hyperlink w:anchor="_Toc4012" w:history="1">
        <w:r>
          <w:rPr>
            <w:rFonts w:ascii="IRNazanin" w:hAnsi="IRNazanin" w:eastAsia="IRNazanin" w:cs="IRNazanin"/>
            <w:color w:val="111111"/>
            <w:sz w:val="22"/>
            <w:szCs w:val="22"/>
            <w:b w:val="0"/>
            <w:bCs w:val="0"/>
            <w:i w:val="0"/>
            <w:iCs w:val="0"/>
          </w:rPr>
          <w:t>3039- دیوان شوقی خوارزمی أو شعره‏</w:t>
        </w:r>
        <w:r>
          <w:tab/>
        </w:r>
        <w:r>
          <w:fldChar w:fldCharType="begin"/>
        </w:r>
        <w:r>
          <w:instrText xml:space="preserve">PAGEREF 4012 \h</w:instrText>
        </w:r>
        <w:r>
          <w:fldChar w:fldCharType="end"/>
        </w:r>
      </w:hyperlink>
    </w:p>
    <w:p>
      <w:pPr>
        <w:tabs>
          <w:tab w:val="right" w:leader="dot" w:pos="9062"/>
        </w:tabs>
        <w:ind w:left="440"/>
      </w:pPr>
      <w:hyperlink w:anchor="_Toc4013" w:history="1">
        <w:r>
          <w:rPr>
            <w:rFonts w:ascii="IRNazanin" w:hAnsi="IRNazanin" w:eastAsia="IRNazanin" w:cs="IRNazanin"/>
            <w:color w:val="111111"/>
            <w:sz w:val="22"/>
            <w:szCs w:val="22"/>
            <w:b w:val="0"/>
            <w:bCs w:val="0"/>
            <w:i w:val="0"/>
            <w:iCs w:val="0"/>
          </w:rPr>
          <w:t>3040- دیوان شوقی دارابجردی أو شعره‏</w:t>
        </w:r>
        <w:r>
          <w:tab/>
        </w:r>
        <w:r>
          <w:fldChar w:fldCharType="begin"/>
        </w:r>
        <w:r>
          <w:instrText xml:space="preserve">PAGEREF 4013 \h</w:instrText>
        </w:r>
        <w:r>
          <w:fldChar w:fldCharType="end"/>
        </w:r>
      </w:hyperlink>
    </w:p>
    <w:p>
      <w:pPr>
        <w:tabs>
          <w:tab w:val="right" w:leader="dot" w:pos="9062"/>
        </w:tabs>
        <w:ind w:left="440"/>
      </w:pPr>
      <w:hyperlink w:anchor="_Toc4014" w:history="1">
        <w:r>
          <w:rPr>
            <w:rFonts w:ascii="IRNazanin" w:hAnsi="IRNazanin" w:eastAsia="IRNazanin" w:cs="IRNazanin"/>
            <w:color w:val="111111"/>
            <w:sz w:val="22"/>
            <w:szCs w:val="22"/>
            <w:b w:val="0"/>
            <w:bCs w:val="0"/>
            <w:i w:val="0"/>
            <w:iCs w:val="0"/>
          </w:rPr>
          <w:t>3041- دیوان شوقی ساوجی‏</w:t>
        </w:r>
        <w:r>
          <w:tab/>
        </w:r>
        <w:r>
          <w:fldChar w:fldCharType="begin"/>
        </w:r>
        <w:r>
          <w:instrText xml:space="preserve">PAGEREF 4014 \h</w:instrText>
        </w:r>
        <w:r>
          <w:fldChar w:fldCharType="end"/>
        </w:r>
      </w:hyperlink>
    </w:p>
    <w:p>
      <w:pPr>
        <w:tabs>
          <w:tab w:val="right" w:leader="dot" w:pos="9062"/>
        </w:tabs>
        <w:ind w:left="440"/>
      </w:pPr>
      <w:hyperlink w:anchor="_Toc4015" w:history="1">
        <w:r>
          <w:rPr>
            <w:rFonts w:ascii="IRNazanin" w:hAnsi="IRNazanin" w:eastAsia="IRNazanin" w:cs="IRNazanin"/>
            <w:color w:val="111111"/>
            <w:sz w:val="22"/>
            <w:szCs w:val="22"/>
            <w:b w:val="0"/>
            <w:bCs w:val="0"/>
            <w:i w:val="0"/>
            <w:iCs w:val="0"/>
          </w:rPr>
          <w:t>3042- دیوان شوقی شوشتری أو شعره‏</w:t>
        </w:r>
        <w:r>
          <w:tab/>
        </w:r>
        <w:r>
          <w:fldChar w:fldCharType="begin"/>
        </w:r>
        <w:r>
          <w:instrText xml:space="preserve">PAGEREF 4015 \h</w:instrText>
        </w:r>
        <w:r>
          <w:fldChar w:fldCharType="end"/>
        </w:r>
      </w:hyperlink>
    </w:p>
    <w:p>
      <w:pPr>
        <w:tabs>
          <w:tab w:val="right" w:leader="dot" w:pos="9062"/>
        </w:tabs>
        <w:ind w:left="440"/>
      </w:pPr>
      <w:hyperlink w:anchor="_Toc4016" w:history="1">
        <w:r>
          <w:rPr>
            <w:rFonts w:ascii="IRNazanin" w:hAnsi="IRNazanin" w:eastAsia="IRNazanin" w:cs="IRNazanin"/>
            <w:color w:val="111111"/>
            <w:sz w:val="22"/>
            <w:szCs w:val="22"/>
            <w:b w:val="0"/>
            <w:bCs w:val="0"/>
            <w:i w:val="0"/>
            <w:iCs w:val="0"/>
          </w:rPr>
          <w:t>3043- دیوان شوقی شیرازی أو شعره‏</w:t>
        </w:r>
        <w:r>
          <w:tab/>
        </w:r>
        <w:r>
          <w:fldChar w:fldCharType="begin"/>
        </w:r>
        <w:r>
          <w:instrText xml:space="preserve">PAGEREF 4016 \h</w:instrText>
        </w:r>
        <w:r>
          <w:fldChar w:fldCharType="end"/>
        </w:r>
      </w:hyperlink>
    </w:p>
    <w:p>
      <w:pPr>
        <w:tabs>
          <w:tab w:val="right" w:leader="dot" w:pos="9062"/>
        </w:tabs>
        <w:ind w:left="440"/>
      </w:pPr>
      <w:hyperlink w:anchor="_Toc4017" w:history="1">
        <w:r>
          <w:rPr>
            <w:rFonts w:ascii="IRNazanin" w:hAnsi="IRNazanin" w:eastAsia="IRNazanin" w:cs="IRNazanin"/>
            <w:color w:val="111111"/>
            <w:sz w:val="22"/>
            <w:szCs w:val="22"/>
            <w:b w:val="0"/>
            <w:bCs w:val="0"/>
            <w:i w:val="0"/>
            <w:iCs w:val="0"/>
          </w:rPr>
          <w:t>3044- دیوان شوقی عراقی‏</w:t>
        </w:r>
        <w:r>
          <w:tab/>
        </w:r>
        <w:r>
          <w:fldChar w:fldCharType="begin"/>
        </w:r>
        <w:r>
          <w:instrText xml:space="preserve">PAGEREF 4017 \h</w:instrText>
        </w:r>
        <w:r>
          <w:fldChar w:fldCharType="end"/>
        </w:r>
      </w:hyperlink>
    </w:p>
    <w:p>
      <w:pPr>
        <w:tabs>
          <w:tab w:val="right" w:leader="dot" w:pos="9062"/>
        </w:tabs>
        <w:ind w:left="440"/>
      </w:pPr>
      <w:hyperlink w:anchor="_Toc4018" w:history="1">
        <w:r>
          <w:rPr>
            <w:rFonts w:ascii="IRNazanin" w:hAnsi="IRNazanin" w:eastAsia="IRNazanin" w:cs="IRNazanin"/>
            <w:color w:val="111111"/>
            <w:sz w:val="22"/>
            <w:szCs w:val="22"/>
            <w:b w:val="0"/>
            <w:bCs w:val="0"/>
            <w:i w:val="0"/>
            <w:iCs w:val="0"/>
          </w:rPr>
          <w:t>3045- دیوان شوقی کاشانی أو شعره‏</w:t>
        </w:r>
        <w:r>
          <w:tab/>
        </w:r>
        <w:r>
          <w:fldChar w:fldCharType="begin"/>
        </w:r>
        <w:r>
          <w:instrText xml:space="preserve">PAGEREF 4018 \h</w:instrText>
        </w:r>
        <w:r>
          <w:fldChar w:fldCharType="end"/>
        </w:r>
      </w:hyperlink>
    </w:p>
    <w:p>
      <w:pPr>
        <w:tabs>
          <w:tab w:val="right" w:leader="dot" w:pos="9062"/>
        </w:tabs>
        <w:ind w:left="440"/>
      </w:pPr>
      <w:hyperlink w:anchor="_Toc4019" w:history="1">
        <w:r>
          <w:rPr>
            <w:rFonts w:ascii="IRNazanin" w:hAnsi="IRNazanin" w:eastAsia="IRNazanin" w:cs="IRNazanin"/>
            <w:color w:val="111111"/>
            <w:sz w:val="22"/>
            <w:szCs w:val="22"/>
            <w:b w:val="0"/>
            <w:bCs w:val="0"/>
            <w:i w:val="0"/>
            <w:iCs w:val="0"/>
          </w:rPr>
          <w:t>3046- دیوان شوقی همدانی أو شعره‏</w:t>
        </w:r>
        <w:r>
          <w:tab/>
        </w:r>
        <w:r>
          <w:fldChar w:fldCharType="begin"/>
        </w:r>
        <w:r>
          <w:instrText xml:space="preserve">PAGEREF 4019 \h</w:instrText>
        </w:r>
        <w:r>
          <w:fldChar w:fldCharType="end"/>
        </w:r>
      </w:hyperlink>
    </w:p>
    <w:p>
      <w:pPr>
        <w:tabs>
          <w:tab w:val="right" w:leader="dot" w:pos="9062"/>
        </w:tabs>
        <w:ind w:left="440"/>
      </w:pPr>
      <w:hyperlink w:anchor="_Toc4020" w:history="1">
        <w:r>
          <w:rPr>
            <w:rFonts w:ascii="IRNazanin" w:hAnsi="IRNazanin" w:eastAsia="IRNazanin" w:cs="IRNazanin"/>
            <w:color w:val="111111"/>
            <w:sz w:val="22"/>
            <w:szCs w:val="22"/>
            <w:b w:val="0"/>
            <w:bCs w:val="0"/>
            <w:i w:val="0"/>
            <w:iCs w:val="0"/>
          </w:rPr>
          <w:t>3047- دیوان شوقی یزدی أو شعره‏</w:t>
        </w:r>
        <w:r>
          <w:tab/>
        </w:r>
        <w:r>
          <w:fldChar w:fldCharType="begin"/>
        </w:r>
        <w:r>
          <w:instrText xml:space="preserve">PAGEREF 4020 \h</w:instrText>
        </w:r>
        <w:r>
          <w:fldChar w:fldCharType="end"/>
        </w:r>
      </w:hyperlink>
    </w:p>
    <w:p>
      <w:pPr>
        <w:tabs>
          <w:tab w:val="right" w:leader="dot" w:pos="9062"/>
        </w:tabs>
        <w:ind w:left="440"/>
      </w:pPr>
      <w:hyperlink w:anchor="_Toc4021" w:history="1">
        <w:r>
          <w:rPr>
            <w:rFonts w:ascii="IRNazanin" w:hAnsi="IRNazanin" w:eastAsia="IRNazanin" w:cs="IRNazanin"/>
            <w:color w:val="111111"/>
            <w:sz w:val="22"/>
            <w:szCs w:val="22"/>
            <w:b w:val="0"/>
            <w:bCs w:val="0"/>
            <w:i w:val="0"/>
            <w:iCs w:val="0"/>
          </w:rPr>
          <w:t>3048- دیوان شوقی یزدی أو شعره‏</w:t>
        </w:r>
        <w:r>
          <w:tab/>
        </w:r>
        <w:r>
          <w:fldChar w:fldCharType="begin"/>
        </w:r>
        <w:r>
          <w:instrText xml:space="preserve">PAGEREF 4021 \h</w:instrText>
        </w:r>
        <w:r>
          <w:fldChar w:fldCharType="end"/>
        </w:r>
      </w:hyperlink>
    </w:p>
    <w:p>
      <w:pPr>
        <w:tabs>
          <w:tab w:val="right" w:leader="dot" w:pos="9062"/>
        </w:tabs>
        <w:ind w:left="440"/>
      </w:pPr>
      <w:hyperlink w:anchor="_Toc4022" w:history="1">
        <w:r>
          <w:rPr>
            <w:rFonts w:ascii="IRNazanin" w:hAnsi="IRNazanin" w:eastAsia="IRNazanin" w:cs="IRNazanin"/>
            <w:color w:val="111111"/>
            <w:sz w:val="22"/>
            <w:szCs w:val="22"/>
            <w:b w:val="0"/>
            <w:bCs w:val="0"/>
            <w:i w:val="0"/>
            <w:iCs w:val="0"/>
          </w:rPr>
          <w:t>3049- دیوان شوکت بخاری‏</w:t>
        </w:r>
        <w:r>
          <w:tab/>
        </w:r>
        <w:r>
          <w:fldChar w:fldCharType="begin"/>
        </w:r>
        <w:r>
          <w:instrText xml:space="preserve">PAGEREF 4022 \h</w:instrText>
        </w:r>
        <w:r>
          <w:fldChar w:fldCharType="end"/>
        </w:r>
      </w:hyperlink>
    </w:p>
    <w:p>
      <w:pPr>
        <w:tabs>
          <w:tab w:val="right" w:leader="dot" w:pos="9062"/>
        </w:tabs>
        <w:ind w:left="440"/>
      </w:pPr>
      <w:hyperlink w:anchor="_Toc4023" w:history="1">
        <w:r>
          <w:rPr>
            <w:rFonts w:ascii="IRNazanin" w:hAnsi="IRNazanin" w:eastAsia="IRNazanin" w:cs="IRNazanin"/>
            <w:color w:val="111111"/>
            <w:sz w:val="22"/>
            <w:szCs w:val="22"/>
            <w:b w:val="0"/>
            <w:bCs w:val="0"/>
            <w:i w:val="0"/>
            <w:iCs w:val="0"/>
          </w:rPr>
          <w:t>دیوان شوکت بلگرامی‏</w:t>
        </w:r>
        <w:r>
          <w:tab/>
        </w:r>
        <w:r>
          <w:fldChar w:fldCharType="begin"/>
        </w:r>
        <w:r>
          <w:instrText xml:space="preserve">PAGEREF 4023 \h</w:instrText>
        </w:r>
        <w:r>
          <w:fldChar w:fldCharType="end"/>
        </w:r>
      </w:hyperlink>
    </w:p>
    <w:p>
      <w:pPr>
        <w:tabs>
          <w:tab w:val="right" w:leader="dot" w:pos="9062"/>
        </w:tabs>
        <w:ind w:left="440"/>
      </w:pPr>
      <w:hyperlink w:anchor="_Toc4024" w:history="1">
        <w:r>
          <w:rPr>
            <w:rFonts w:ascii="IRNazanin" w:hAnsi="IRNazanin" w:eastAsia="IRNazanin" w:cs="IRNazanin"/>
            <w:color w:val="111111"/>
            <w:sz w:val="22"/>
            <w:szCs w:val="22"/>
            <w:b w:val="0"/>
            <w:bCs w:val="0"/>
            <w:i w:val="0"/>
            <w:iCs w:val="0"/>
          </w:rPr>
          <w:t>3050- دیوان شوکت شیرازی‏</w:t>
        </w:r>
        <w:r>
          <w:tab/>
        </w:r>
        <w:r>
          <w:fldChar w:fldCharType="begin"/>
        </w:r>
        <w:r>
          <w:instrText xml:space="preserve">PAGEREF 4024 \h</w:instrText>
        </w:r>
        <w:r>
          <w:fldChar w:fldCharType="end"/>
        </w:r>
      </w:hyperlink>
    </w:p>
    <w:p>
      <w:pPr>
        <w:tabs>
          <w:tab w:val="right" w:leader="dot" w:pos="9062"/>
        </w:tabs>
        <w:ind w:left="440"/>
      </w:pPr>
      <w:hyperlink w:anchor="_Toc4025" w:history="1">
        <w:r>
          <w:rPr>
            <w:rFonts w:ascii="IRNazanin" w:hAnsi="IRNazanin" w:eastAsia="IRNazanin" w:cs="IRNazanin"/>
            <w:color w:val="111111"/>
            <w:sz w:val="22"/>
            <w:szCs w:val="22"/>
            <w:b w:val="0"/>
            <w:bCs w:val="0"/>
            <w:i w:val="0"/>
            <w:iCs w:val="0"/>
          </w:rPr>
          <w:t>3051- دیوان شوکت قاجار أو شعره‏</w:t>
        </w:r>
        <w:r>
          <w:tab/>
        </w:r>
        <w:r>
          <w:fldChar w:fldCharType="begin"/>
        </w:r>
        <w:r>
          <w:instrText xml:space="preserve">PAGEREF 4025 \h</w:instrText>
        </w:r>
        <w:r>
          <w:fldChar w:fldCharType="end"/>
        </w:r>
      </w:hyperlink>
    </w:p>
    <w:p>
      <w:pPr>
        <w:tabs>
          <w:tab w:val="right" w:leader="dot" w:pos="9062"/>
        </w:tabs>
        <w:ind w:left="440"/>
      </w:pPr>
      <w:hyperlink w:anchor="_Toc4026" w:history="1">
        <w:r>
          <w:rPr>
            <w:rFonts w:ascii="IRNazanin" w:hAnsi="IRNazanin" w:eastAsia="IRNazanin" w:cs="IRNazanin"/>
            <w:color w:val="111111"/>
            <w:sz w:val="22"/>
            <w:szCs w:val="22"/>
            <w:b w:val="0"/>
            <w:bCs w:val="0"/>
            <w:i w:val="0"/>
            <w:iCs w:val="0"/>
          </w:rPr>
          <w:t>3052- دیوان شوکت قاجار أو شعره‏</w:t>
        </w:r>
        <w:r>
          <w:tab/>
        </w:r>
        <w:r>
          <w:fldChar w:fldCharType="begin"/>
        </w:r>
        <w:r>
          <w:instrText xml:space="preserve">PAGEREF 4026 \h</w:instrText>
        </w:r>
        <w:r>
          <w:fldChar w:fldCharType="end"/>
        </w:r>
      </w:hyperlink>
    </w:p>
    <w:p>
      <w:pPr>
        <w:tabs>
          <w:tab w:val="right" w:leader="dot" w:pos="9062"/>
        </w:tabs>
        <w:ind w:left="440"/>
      </w:pPr>
      <w:hyperlink w:anchor="_Toc4027" w:history="1">
        <w:r>
          <w:rPr>
            <w:rFonts w:ascii="IRNazanin" w:hAnsi="IRNazanin" w:eastAsia="IRNazanin" w:cs="IRNazanin"/>
            <w:color w:val="111111"/>
            <w:sz w:val="22"/>
            <w:szCs w:val="22"/>
            <w:b w:val="0"/>
            <w:bCs w:val="0"/>
            <w:i w:val="0"/>
            <w:iCs w:val="0"/>
          </w:rPr>
          <w:t>3053- دیوان شوکت یزدی‏</w:t>
        </w:r>
        <w:r>
          <w:tab/>
        </w:r>
        <w:r>
          <w:fldChar w:fldCharType="begin"/>
        </w:r>
        <w:r>
          <w:instrText xml:space="preserve">PAGEREF 4027 \h</w:instrText>
        </w:r>
        <w:r>
          <w:fldChar w:fldCharType="end"/>
        </w:r>
      </w:hyperlink>
    </w:p>
    <w:p>
      <w:pPr>
        <w:tabs>
          <w:tab w:val="right" w:leader="dot" w:pos="9062"/>
        </w:tabs>
        <w:ind w:left="440"/>
      </w:pPr>
      <w:hyperlink w:anchor="_Toc4028" w:history="1">
        <w:r>
          <w:rPr>
            <w:rFonts w:ascii="IRNazanin" w:hAnsi="IRNazanin" w:eastAsia="IRNazanin" w:cs="IRNazanin"/>
            <w:color w:val="111111"/>
            <w:sz w:val="22"/>
            <w:szCs w:val="22"/>
            <w:b w:val="0"/>
            <w:bCs w:val="0"/>
            <w:i w:val="0"/>
            <w:iCs w:val="0"/>
          </w:rPr>
          <w:t>3054- دیوان شوکتی أصفهانی أو شعره‏</w:t>
        </w:r>
        <w:r>
          <w:tab/>
        </w:r>
        <w:r>
          <w:fldChar w:fldCharType="begin"/>
        </w:r>
        <w:r>
          <w:instrText xml:space="preserve">PAGEREF 4028 \h</w:instrText>
        </w:r>
        <w:r>
          <w:fldChar w:fldCharType="end"/>
        </w:r>
      </w:hyperlink>
    </w:p>
    <w:p>
      <w:pPr>
        <w:tabs>
          <w:tab w:val="right" w:leader="dot" w:pos="9062"/>
        </w:tabs>
        <w:ind w:left="440"/>
      </w:pPr>
      <w:hyperlink w:anchor="_Toc4029" w:history="1">
        <w:r>
          <w:rPr>
            <w:rFonts w:ascii="IRNazanin" w:hAnsi="IRNazanin" w:eastAsia="IRNazanin" w:cs="IRNazanin"/>
            <w:color w:val="111111"/>
            <w:sz w:val="22"/>
            <w:szCs w:val="22"/>
            <w:b w:val="0"/>
            <w:bCs w:val="0"/>
            <w:i w:val="0"/>
            <w:iCs w:val="0"/>
          </w:rPr>
          <w:t>دیوان شهاب‏</w:t>
        </w:r>
        <w:r>
          <w:tab/>
        </w:r>
        <w:r>
          <w:fldChar w:fldCharType="begin"/>
        </w:r>
        <w:r>
          <w:instrText xml:space="preserve">PAGEREF 4029 \h</w:instrText>
        </w:r>
        <w:r>
          <w:fldChar w:fldCharType="end"/>
        </w:r>
      </w:hyperlink>
    </w:p>
    <w:p>
      <w:pPr>
        <w:tabs>
          <w:tab w:val="right" w:leader="dot" w:pos="9062"/>
        </w:tabs>
        <w:ind w:left="440"/>
      </w:pPr>
      <w:hyperlink w:anchor="_Toc4030" w:history="1">
        <w:r>
          <w:rPr>
            <w:rFonts w:ascii="IRNazanin" w:hAnsi="IRNazanin" w:eastAsia="IRNazanin" w:cs="IRNazanin"/>
            <w:color w:val="111111"/>
            <w:sz w:val="22"/>
            <w:szCs w:val="22"/>
            <w:b w:val="0"/>
            <w:bCs w:val="0"/>
            <w:i w:val="0"/>
            <w:iCs w:val="0"/>
          </w:rPr>
          <w:t>3055- دیوان شهاب أبیوردی‏</w:t>
        </w:r>
        <w:r>
          <w:tab/>
        </w:r>
        <w:r>
          <w:fldChar w:fldCharType="begin"/>
        </w:r>
        <w:r>
          <w:instrText xml:space="preserve">PAGEREF 4030 \h</w:instrText>
        </w:r>
        <w:r>
          <w:fldChar w:fldCharType="end"/>
        </w:r>
      </w:hyperlink>
    </w:p>
    <w:p>
      <w:pPr>
        <w:tabs>
          <w:tab w:val="right" w:leader="dot" w:pos="9062"/>
        </w:tabs>
        <w:ind w:left="440"/>
      </w:pPr>
      <w:hyperlink w:anchor="_Toc4031" w:history="1">
        <w:r>
          <w:rPr>
            <w:rFonts w:ascii="IRNazanin" w:hAnsi="IRNazanin" w:eastAsia="IRNazanin" w:cs="IRNazanin"/>
            <w:color w:val="111111"/>
            <w:sz w:val="22"/>
            <w:szCs w:val="22"/>
            <w:b w:val="0"/>
            <w:bCs w:val="0"/>
            <w:i w:val="0"/>
            <w:iCs w:val="0"/>
          </w:rPr>
          <w:t>3056- دیوان شهاب أرسنجانی أو شعره‏</w:t>
        </w:r>
        <w:r>
          <w:tab/>
        </w:r>
        <w:r>
          <w:fldChar w:fldCharType="begin"/>
        </w:r>
        <w:r>
          <w:instrText xml:space="preserve">PAGEREF 4031 \h</w:instrText>
        </w:r>
        <w:r>
          <w:fldChar w:fldCharType="end"/>
        </w:r>
      </w:hyperlink>
    </w:p>
    <w:p>
      <w:pPr>
        <w:tabs>
          <w:tab w:val="right" w:leader="dot" w:pos="9062"/>
        </w:tabs>
        <w:ind w:left="440"/>
      </w:pPr>
      <w:hyperlink w:anchor="_Toc4032" w:history="1">
        <w:r>
          <w:rPr>
            <w:rFonts w:ascii="IRNazanin" w:hAnsi="IRNazanin" w:eastAsia="IRNazanin" w:cs="IRNazanin"/>
            <w:color w:val="111111"/>
            <w:sz w:val="22"/>
            <w:szCs w:val="22"/>
            <w:b w:val="0"/>
            <w:bCs w:val="0"/>
            <w:i w:val="0"/>
            <w:iCs w:val="0"/>
          </w:rPr>
          <w:t>3057- دیوان شهاب أصفهانی‏</w:t>
        </w:r>
        <w:r>
          <w:tab/>
        </w:r>
        <w:r>
          <w:fldChar w:fldCharType="begin"/>
        </w:r>
        <w:r>
          <w:instrText xml:space="preserve">PAGEREF 4032 \h</w:instrText>
        </w:r>
        <w:r>
          <w:fldChar w:fldCharType="end"/>
        </w:r>
      </w:hyperlink>
    </w:p>
    <w:p>
      <w:pPr>
        <w:tabs>
          <w:tab w:val="right" w:leader="dot" w:pos="9062"/>
        </w:tabs>
        <w:ind w:left="440"/>
      </w:pPr>
      <w:hyperlink w:anchor="_Toc4033" w:history="1">
        <w:r>
          <w:rPr>
            <w:rFonts w:ascii="IRNazanin" w:hAnsi="IRNazanin" w:eastAsia="IRNazanin" w:cs="IRNazanin"/>
            <w:color w:val="111111"/>
            <w:sz w:val="22"/>
            <w:szCs w:val="22"/>
            <w:b w:val="0"/>
            <w:bCs w:val="0"/>
            <w:i w:val="0"/>
            <w:iCs w:val="0"/>
          </w:rPr>
          <w:t>3058- دیوان شهاب أصفهانی أو شعره‏</w:t>
        </w:r>
        <w:r>
          <w:tab/>
        </w:r>
        <w:r>
          <w:fldChar w:fldCharType="begin"/>
        </w:r>
        <w:r>
          <w:instrText xml:space="preserve">PAGEREF 4033 \h</w:instrText>
        </w:r>
        <w:r>
          <w:fldChar w:fldCharType="end"/>
        </w:r>
      </w:hyperlink>
    </w:p>
    <w:p>
      <w:pPr>
        <w:tabs>
          <w:tab w:val="right" w:leader="dot" w:pos="9062"/>
        </w:tabs>
        <w:ind w:left="440"/>
      </w:pPr>
      <w:hyperlink w:anchor="_Toc4034" w:history="1">
        <w:r>
          <w:rPr>
            <w:rFonts w:ascii="IRNazanin" w:hAnsi="IRNazanin" w:eastAsia="IRNazanin" w:cs="IRNazanin"/>
            <w:color w:val="111111"/>
            <w:sz w:val="22"/>
            <w:szCs w:val="22"/>
            <w:b w:val="0"/>
            <w:bCs w:val="0"/>
            <w:i w:val="0"/>
            <w:iCs w:val="0"/>
          </w:rPr>
          <w:t>3059- دیوان شهاب باخرزی‏</w:t>
        </w:r>
        <w:r>
          <w:tab/>
        </w:r>
        <w:r>
          <w:fldChar w:fldCharType="begin"/>
        </w:r>
        <w:r>
          <w:instrText xml:space="preserve">PAGEREF 4034 \h</w:instrText>
        </w:r>
        <w:r>
          <w:fldChar w:fldCharType="end"/>
        </w:r>
      </w:hyperlink>
    </w:p>
    <w:p>
      <w:pPr>
        <w:tabs>
          <w:tab w:val="right" w:leader="dot" w:pos="9062"/>
        </w:tabs>
        <w:ind w:left="440"/>
      </w:pPr>
      <w:hyperlink w:anchor="_Toc4035" w:history="1">
        <w:r>
          <w:rPr>
            <w:rFonts w:ascii="IRNazanin" w:hAnsi="IRNazanin" w:eastAsia="IRNazanin" w:cs="IRNazanin"/>
            <w:color w:val="111111"/>
            <w:sz w:val="22"/>
            <w:szCs w:val="22"/>
            <w:b w:val="0"/>
            <w:bCs w:val="0"/>
            <w:i w:val="0"/>
            <w:iCs w:val="0"/>
          </w:rPr>
          <w:t>دیوان شهاب بخاری‏</w:t>
        </w:r>
        <w:r>
          <w:tab/>
        </w:r>
        <w:r>
          <w:fldChar w:fldCharType="begin"/>
        </w:r>
        <w:r>
          <w:instrText xml:space="preserve">PAGEREF 4035 \h</w:instrText>
        </w:r>
        <w:r>
          <w:fldChar w:fldCharType="end"/>
        </w:r>
      </w:hyperlink>
    </w:p>
    <w:p>
      <w:pPr>
        <w:tabs>
          <w:tab w:val="right" w:leader="dot" w:pos="9062"/>
        </w:tabs>
        <w:ind w:left="440"/>
      </w:pPr>
      <w:hyperlink w:anchor="_Toc4036" w:history="1">
        <w:r>
          <w:rPr>
            <w:rFonts w:ascii="IRNazanin" w:hAnsi="IRNazanin" w:eastAsia="IRNazanin" w:cs="IRNazanin"/>
            <w:color w:val="111111"/>
            <w:sz w:val="22"/>
            <w:szCs w:val="22"/>
            <w:b w:val="0"/>
            <w:bCs w:val="0"/>
            <w:i w:val="0"/>
            <w:iCs w:val="0"/>
          </w:rPr>
          <w:t>3060- دیوان شهاب تبریزی‏</w:t>
        </w:r>
        <w:r>
          <w:tab/>
        </w:r>
        <w:r>
          <w:fldChar w:fldCharType="begin"/>
        </w:r>
        <w:r>
          <w:instrText xml:space="preserve">PAGEREF 4036 \h</w:instrText>
        </w:r>
        <w:r>
          <w:fldChar w:fldCharType="end"/>
        </w:r>
      </w:hyperlink>
    </w:p>
    <w:p>
      <w:pPr>
        <w:tabs>
          <w:tab w:val="right" w:leader="dot" w:pos="9062"/>
        </w:tabs>
        <w:ind w:left="440"/>
      </w:pPr>
      <w:hyperlink w:anchor="_Toc4037" w:history="1">
        <w:r>
          <w:rPr>
            <w:rFonts w:ascii="IRNazanin" w:hAnsi="IRNazanin" w:eastAsia="IRNazanin" w:cs="IRNazanin"/>
            <w:color w:val="111111"/>
            <w:sz w:val="22"/>
            <w:szCs w:val="22"/>
            <w:b w:val="0"/>
            <w:bCs w:val="0"/>
            <w:i w:val="0"/>
            <w:iCs w:val="0"/>
          </w:rPr>
          <w:t>3061- دیوان شهاب ترشیزی أو شعره‏</w:t>
        </w:r>
        <w:r>
          <w:tab/>
        </w:r>
        <w:r>
          <w:fldChar w:fldCharType="begin"/>
        </w:r>
        <w:r>
          <w:instrText xml:space="preserve">PAGEREF 4037 \h</w:instrText>
        </w:r>
        <w:r>
          <w:fldChar w:fldCharType="end"/>
        </w:r>
      </w:hyperlink>
    </w:p>
    <w:p>
      <w:pPr>
        <w:tabs>
          <w:tab w:val="right" w:leader="dot" w:pos="9062"/>
        </w:tabs>
        <w:ind w:left="440"/>
      </w:pPr>
      <w:hyperlink w:anchor="_Toc4038" w:history="1">
        <w:r>
          <w:rPr>
            <w:rFonts w:ascii="IRNazanin" w:hAnsi="IRNazanin" w:eastAsia="IRNazanin" w:cs="IRNazanin"/>
            <w:color w:val="111111"/>
            <w:sz w:val="22"/>
            <w:szCs w:val="22"/>
            <w:b w:val="0"/>
            <w:bCs w:val="0"/>
            <w:i w:val="0"/>
            <w:iCs w:val="0"/>
          </w:rPr>
          <w:t>3062- دیوان شهاب ترشیزی‏</w:t>
        </w:r>
        <w:r>
          <w:tab/>
        </w:r>
        <w:r>
          <w:fldChar w:fldCharType="begin"/>
        </w:r>
        <w:r>
          <w:instrText xml:space="preserve">PAGEREF 4038 \h</w:instrText>
        </w:r>
        <w:r>
          <w:fldChar w:fldCharType="end"/>
        </w:r>
      </w:hyperlink>
    </w:p>
    <w:p>
      <w:pPr>
        <w:tabs>
          <w:tab w:val="right" w:leader="dot" w:pos="9062"/>
        </w:tabs>
        <w:ind w:left="440"/>
      </w:pPr>
      <w:hyperlink w:anchor="_Toc4039" w:history="1">
        <w:r>
          <w:rPr>
            <w:rFonts w:ascii="IRNazanin" w:hAnsi="IRNazanin" w:eastAsia="IRNazanin" w:cs="IRNazanin"/>
            <w:color w:val="111111"/>
            <w:sz w:val="22"/>
            <w:szCs w:val="22"/>
            <w:b w:val="0"/>
            <w:bCs w:val="0"/>
            <w:i w:val="0"/>
            <w:iCs w:val="0"/>
          </w:rPr>
          <w:t>دیوان الشهاب الحویزی‏</w:t>
        </w:r>
        <w:r>
          <w:tab/>
        </w:r>
        <w:r>
          <w:fldChar w:fldCharType="begin"/>
        </w:r>
        <w:r>
          <w:instrText xml:space="preserve">PAGEREF 4039 \h</w:instrText>
        </w:r>
        <w:r>
          <w:fldChar w:fldCharType="end"/>
        </w:r>
      </w:hyperlink>
    </w:p>
    <w:p>
      <w:pPr>
        <w:tabs>
          <w:tab w:val="right" w:leader="dot" w:pos="9062"/>
        </w:tabs>
        <w:ind w:left="440"/>
      </w:pPr>
      <w:hyperlink w:anchor="_Toc4040" w:history="1">
        <w:r>
          <w:rPr>
            <w:rFonts w:ascii="IRNazanin" w:hAnsi="IRNazanin" w:eastAsia="IRNazanin" w:cs="IRNazanin"/>
            <w:color w:val="111111"/>
            <w:sz w:val="22"/>
            <w:szCs w:val="22"/>
            <w:b w:val="0"/>
            <w:bCs w:val="0"/>
            <w:i w:val="0"/>
            <w:iCs w:val="0"/>
          </w:rPr>
          <w:t>دیوان شهاب خراسانی‏</w:t>
        </w:r>
        <w:r>
          <w:tab/>
        </w:r>
        <w:r>
          <w:fldChar w:fldCharType="begin"/>
        </w:r>
        <w:r>
          <w:instrText xml:space="preserve">PAGEREF 4040 \h</w:instrText>
        </w:r>
        <w:r>
          <w:fldChar w:fldCharType="end"/>
        </w:r>
      </w:hyperlink>
    </w:p>
    <w:p>
      <w:pPr>
        <w:tabs>
          <w:tab w:val="right" w:leader="dot" w:pos="9062"/>
        </w:tabs>
        <w:ind w:left="440"/>
      </w:pPr>
      <w:hyperlink w:anchor="_Toc4041" w:history="1">
        <w:r>
          <w:rPr>
            <w:rFonts w:ascii="IRNazanin" w:hAnsi="IRNazanin" w:eastAsia="IRNazanin" w:cs="IRNazanin"/>
            <w:color w:val="111111"/>
            <w:sz w:val="22"/>
            <w:szCs w:val="22"/>
            <w:b w:val="0"/>
            <w:bCs w:val="0"/>
            <w:i w:val="0"/>
            <w:iCs w:val="0"/>
          </w:rPr>
          <w:t>3063- دیوان شهاب دولت‏آبادی‏</w:t>
        </w:r>
        <w:r>
          <w:tab/>
        </w:r>
        <w:r>
          <w:fldChar w:fldCharType="begin"/>
        </w:r>
        <w:r>
          <w:instrText xml:space="preserve">PAGEREF 4041 \h</w:instrText>
        </w:r>
        <w:r>
          <w:fldChar w:fldCharType="end"/>
        </w:r>
      </w:hyperlink>
    </w:p>
    <w:p>
      <w:pPr>
        <w:tabs>
          <w:tab w:val="right" w:leader="dot" w:pos="9062"/>
        </w:tabs>
        <w:ind w:left="440"/>
      </w:pPr>
      <w:hyperlink w:anchor="_Toc4042" w:history="1">
        <w:r>
          <w:rPr>
            <w:rFonts w:ascii="IRNazanin" w:hAnsi="IRNazanin" w:eastAsia="IRNazanin" w:cs="IRNazanin"/>
            <w:color w:val="111111"/>
            <w:sz w:val="22"/>
            <w:szCs w:val="22"/>
            <w:b w:val="0"/>
            <w:bCs w:val="0"/>
            <w:i w:val="0"/>
            <w:iCs w:val="0"/>
          </w:rPr>
          <w:t>دیوان شهاب الدین‏</w:t>
        </w:r>
        <w:r>
          <w:tab/>
        </w:r>
        <w:r>
          <w:fldChar w:fldCharType="begin"/>
        </w:r>
        <w:r>
          <w:instrText xml:space="preserve">PAGEREF 4042 \h</w:instrText>
        </w:r>
        <w:r>
          <w:fldChar w:fldCharType="end"/>
        </w:r>
      </w:hyperlink>
    </w:p>
    <w:p>
      <w:pPr>
        <w:tabs>
          <w:tab w:val="right" w:leader="dot" w:pos="9062"/>
        </w:tabs>
        <w:ind w:left="440"/>
      </w:pPr>
      <w:hyperlink w:anchor="_Toc4043" w:history="1">
        <w:r>
          <w:rPr>
            <w:rFonts w:ascii="IRNazanin" w:hAnsi="IRNazanin" w:eastAsia="IRNazanin" w:cs="IRNazanin"/>
            <w:color w:val="111111"/>
            <w:sz w:val="22"/>
            <w:szCs w:val="22"/>
            <w:b w:val="0"/>
            <w:bCs w:val="0"/>
            <w:i w:val="0"/>
            <w:iCs w:val="0"/>
          </w:rPr>
          <w:t>3064- دیوان شهاب الدین استیفائی أو شعره‏</w:t>
        </w:r>
        <w:r>
          <w:tab/>
        </w:r>
        <w:r>
          <w:fldChar w:fldCharType="begin"/>
        </w:r>
        <w:r>
          <w:instrText xml:space="preserve">PAGEREF 4043 \h</w:instrText>
        </w:r>
        <w:r>
          <w:fldChar w:fldCharType="end"/>
        </w:r>
      </w:hyperlink>
    </w:p>
    <w:p>
      <w:pPr>
        <w:tabs>
          <w:tab w:val="right" w:leader="dot" w:pos="9062"/>
        </w:tabs>
        <w:ind w:left="440"/>
      </w:pPr>
      <w:hyperlink w:anchor="_Toc4044" w:history="1">
        <w:r>
          <w:rPr>
            <w:rFonts w:ascii="IRNazanin" w:hAnsi="IRNazanin" w:eastAsia="IRNazanin" w:cs="IRNazanin"/>
            <w:color w:val="111111"/>
            <w:sz w:val="22"/>
            <w:szCs w:val="22"/>
            <w:b w:val="0"/>
            <w:bCs w:val="0"/>
            <w:i w:val="0"/>
            <w:iCs w:val="0"/>
          </w:rPr>
          <w:t>3065- دیوان شهاب الدین بخاری أو شعره‏</w:t>
        </w:r>
        <w:r>
          <w:tab/>
        </w:r>
        <w:r>
          <w:fldChar w:fldCharType="begin"/>
        </w:r>
        <w:r>
          <w:instrText xml:space="preserve">PAGEREF 4044 \h</w:instrText>
        </w:r>
        <w:r>
          <w:fldChar w:fldCharType="end"/>
        </w:r>
      </w:hyperlink>
    </w:p>
    <w:p>
      <w:pPr>
        <w:tabs>
          <w:tab w:val="right" w:leader="dot" w:pos="9062"/>
        </w:tabs>
        <w:ind w:left="440"/>
      </w:pPr>
      <w:hyperlink w:anchor="_Toc4045" w:history="1">
        <w:r>
          <w:rPr>
            <w:rFonts w:ascii="IRNazanin" w:hAnsi="IRNazanin" w:eastAsia="IRNazanin" w:cs="IRNazanin"/>
            <w:color w:val="111111"/>
            <w:sz w:val="22"/>
            <w:szCs w:val="22"/>
            <w:b w:val="0"/>
            <w:bCs w:val="0"/>
            <w:i w:val="0"/>
            <w:iCs w:val="0"/>
          </w:rPr>
          <w:t>دیوان شهاب الدین جمندی‏</w:t>
        </w:r>
        <w:r>
          <w:tab/>
        </w:r>
        <w:r>
          <w:fldChar w:fldCharType="begin"/>
        </w:r>
        <w:r>
          <w:instrText xml:space="preserve">PAGEREF 4045 \h</w:instrText>
        </w:r>
        <w:r>
          <w:fldChar w:fldCharType="end"/>
        </w:r>
      </w:hyperlink>
    </w:p>
    <w:p>
      <w:pPr>
        <w:tabs>
          <w:tab w:val="right" w:leader="dot" w:pos="9062"/>
        </w:tabs>
        <w:ind w:left="440"/>
      </w:pPr>
      <w:hyperlink w:anchor="_Toc4046" w:history="1">
        <w:r>
          <w:rPr>
            <w:rFonts w:ascii="IRNazanin" w:hAnsi="IRNazanin" w:eastAsia="IRNazanin" w:cs="IRNazanin"/>
            <w:color w:val="111111"/>
            <w:sz w:val="22"/>
            <w:szCs w:val="22"/>
            <w:b w:val="0"/>
            <w:bCs w:val="0"/>
            <w:i w:val="0"/>
            <w:iCs w:val="0"/>
          </w:rPr>
          <w:t>دیوان شهاب الدین الحویزی‏</w:t>
        </w:r>
        <w:r>
          <w:tab/>
        </w:r>
        <w:r>
          <w:fldChar w:fldCharType="begin"/>
        </w:r>
        <w:r>
          <w:instrText xml:space="preserve">PAGEREF 4046 \h</w:instrText>
        </w:r>
        <w:r>
          <w:fldChar w:fldCharType="end"/>
        </w:r>
      </w:hyperlink>
    </w:p>
    <w:p>
      <w:pPr>
        <w:tabs>
          <w:tab w:val="right" w:leader="dot" w:pos="9062"/>
        </w:tabs>
        <w:ind w:left="440"/>
      </w:pPr>
      <w:hyperlink w:anchor="_Toc4047" w:history="1">
        <w:r>
          <w:rPr>
            <w:rFonts w:ascii="IRNazanin" w:hAnsi="IRNazanin" w:eastAsia="IRNazanin" w:cs="IRNazanin"/>
            <w:color w:val="111111"/>
            <w:sz w:val="22"/>
            <w:szCs w:val="22"/>
            <w:b w:val="0"/>
            <w:bCs w:val="0"/>
            <w:i w:val="0"/>
            <w:iCs w:val="0"/>
          </w:rPr>
          <w:t>دیوان شهاب الدین خاندار</w:t>
        </w:r>
        <w:r>
          <w:tab/>
        </w:r>
        <w:r>
          <w:fldChar w:fldCharType="begin"/>
        </w:r>
        <w:r>
          <w:instrText xml:space="preserve">PAGEREF 4047 \h</w:instrText>
        </w:r>
        <w:r>
          <w:fldChar w:fldCharType="end"/>
        </w:r>
      </w:hyperlink>
    </w:p>
    <w:p>
      <w:pPr>
        <w:tabs>
          <w:tab w:val="right" w:leader="dot" w:pos="9062"/>
        </w:tabs>
        <w:ind w:left="440"/>
      </w:pPr>
      <w:hyperlink w:anchor="_Toc4048" w:history="1">
        <w:r>
          <w:rPr>
            <w:rFonts w:ascii="IRNazanin" w:hAnsi="IRNazanin" w:eastAsia="IRNazanin" w:cs="IRNazanin"/>
            <w:color w:val="111111"/>
            <w:sz w:val="22"/>
            <w:szCs w:val="22"/>
            <w:b w:val="0"/>
            <w:bCs w:val="0"/>
            <w:i w:val="0"/>
            <w:iCs w:val="0"/>
          </w:rPr>
          <w:t>3066- دیوان شهاب الدین الرازی أو شعره‏</w:t>
        </w:r>
        <w:r>
          <w:tab/>
        </w:r>
        <w:r>
          <w:fldChar w:fldCharType="begin"/>
        </w:r>
        <w:r>
          <w:instrText xml:space="preserve">PAGEREF 4048 \h</w:instrText>
        </w:r>
        <w:r>
          <w:fldChar w:fldCharType="end"/>
        </w:r>
      </w:hyperlink>
    </w:p>
    <w:p>
      <w:pPr>
        <w:tabs>
          <w:tab w:val="right" w:leader="dot" w:pos="9062"/>
        </w:tabs>
        <w:ind w:left="440"/>
      </w:pPr>
      <w:hyperlink w:anchor="_Toc4049" w:history="1">
        <w:r>
          <w:rPr>
            <w:rFonts w:ascii="IRNazanin" w:hAnsi="IRNazanin" w:eastAsia="IRNazanin" w:cs="IRNazanin"/>
            <w:color w:val="111111"/>
            <w:sz w:val="22"/>
            <w:szCs w:val="22"/>
            <w:b w:val="0"/>
            <w:bCs w:val="0"/>
            <w:i w:val="0"/>
            <w:iCs w:val="0"/>
          </w:rPr>
          <w:t>3067- دیوان شهاب الدین السهروردی أو شعره‏</w:t>
        </w:r>
        <w:r>
          <w:tab/>
        </w:r>
        <w:r>
          <w:fldChar w:fldCharType="begin"/>
        </w:r>
        <w:r>
          <w:instrText xml:space="preserve">PAGEREF 4049 \h</w:instrText>
        </w:r>
        <w:r>
          <w:fldChar w:fldCharType="end"/>
        </w:r>
      </w:hyperlink>
    </w:p>
    <w:p>
      <w:pPr>
        <w:tabs>
          <w:tab w:val="right" w:leader="dot" w:pos="9062"/>
        </w:tabs>
        <w:ind w:left="440"/>
      </w:pPr>
      <w:hyperlink w:anchor="_Toc4050" w:history="1">
        <w:r>
          <w:rPr>
            <w:rFonts w:ascii="IRNazanin" w:hAnsi="IRNazanin" w:eastAsia="IRNazanin" w:cs="IRNazanin"/>
            <w:color w:val="111111"/>
            <w:sz w:val="22"/>
            <w:szCs w:val="22"/>
            <w:b w:val="0"/>
            <w:bCs w:val="0"/>
            <w:i w:val="0"/>
            <w:iCs w:val="0"/>
          </w:rPr>
          <w:t>دیوان شهاب الدین السهروردی‏</w:t>
        </w:r>
        <w:r>
          <w:tab/>
        </w:r>
        <w:r>
          <w:fldChar w:fldCharType="begin"/>
        </w:r>
        <w:r>
          <w:instrText xml:space="preserve">PAGEREF 4050 \h</w:instrText>
        </w:r>
        <w:r>
          <w:fldChar w:fldCharType="end"/>
        </w:r>
      </w:hyperlink>
    </w:p>
    <w:p>
      <w:pPr>
        <w:tabs>
          <w:tab w:val="right" w:leader="dot" w:pos="9062"/>
        </w:tabs>
        <w:ind w:left="440"/>
      </w:pPr>
      <w:hyperlink w:anchor="_Toc4051" w:history="1">
        <w:r>
          <w:rPr>
            <w:rFonts w:ascii="IRNazanin" w:hAnsi="IRNazanin" w:eastAsia="IRNazanin" w:cs="IRNazanin"/>
            <w:color w:val="111111"/>
            <w:sz w:val="22"/>
            <w:szCs w:val="22"/>
            <w:b w:val="0"/>
            <w:bCs w:val="0"/>
            <w:i w:val="0"/>
            <w:iCs w:val="0"/>
          </w:rPr>
          <w:t>3068- دیوان شهاب الدین طبیب‏</w:t>
        </w:r>
        <w:r>
          <w:tab/>
        </w:r>
        <w:r>
          <w:fldChar w:fldCharType="begin"/>
        </w:r>
        <w:r>
          <w:instrText xml:space="preserve">PAGEREF 4051 \h</w:instrText>
        </w:r>
        <w:r>
          <w:fldChar w:fldCharType="end"/>
        </w:r>
      </w:hyperlink>
    </w:p>
    <w:p>
      <w:pPr>
        <w:tabs>
          <w:tab w:val="right" w:leader="dot" w:pos="9062"/>
        </w:tabs>
        <w:ind w:left="440"/>
      </w:pPr>
      <w:hyperlink w:anchor="_Toc4052" w:history="1">
        <w:r>
          <w:rPr>
            <w:rFonts w:ascii="IRNazanin" w:hAnsi="IRNazanin" w:eastAsia="IRNazanin" w:cs="IRNazanin"/>
            <w:color w:val="111111"/>
            <w:sz w:val="22"/>
            <w:szCs w:val="22"/>
            <w:b w:val="0"/>
            <w:bCs w:val="0"/>
            <w:i w:val="0"/>
            <w:iCs w:val="0"/>
          </w:rPr>
          <w:t>3069- دیوان شهاب الدین طلحة</w:t>
        </w:r>
        <w:r>
          <w:tab/>
        </w:r>
        <w:r>
          <w:fldChar w:fldCharType="begin"/>
        </w:r>
        <w:r>
          <w:instrText xml:space="preserve">PAGEREF 4052 \h</w:instrText>
        </w:r>
        <w:r>
          <w:fldChar w:fldCharType="end"/>
        </w:r>
      </w:hyperlink>
    </w:p>
    <w:p>
      <w:pPr>
        <w:tabs>
          <w:tab w:val="right" w:leader="dot" w:pos="9062"/>
        </w:tabs>
        <w:ind w:left="440"/>
      </w:pPr>
      <w:hyperlink w:anchor="_Toc4053" w:history="1">
        <w:r>
          <w:rPr>
            <w:rFonts w:ascii="IRNazanin" w:hAnsi="IRNazanin" w:eastAsia="IRNazanin" w:cs="IRNazanin"/>
            <w:color w:val="111111"/>
            <w:sz w:val="22"/>
            <w:szCs w:val="22"/>
            <w:b w:val="0"/>
            <w:bCs w:val="0"/>
            <w:i w:val="0"/>
            <w:iCs w:val="0"/>
          </w:rPr>
          <w:t>دیوان شهاب الدین العارف‏</w:t>
        </w:r>
        <w:r>
          <w:tab/>
        </w:r>
        <w:r>
          <w:fldChar w:fldCharType="begin"/>
        </w:r>
        <w:r>
          <w:instrText xml:space="preserve">PAGEREF 4053 \h</w:instrText>
        </w:r>
        <w:r>
          <w:fldChar w:fldCharType="end"/>
        </w:r>
      </w:hyperlink>
    </w:p>
    <w:p>
      <w:pPr>
        <w:tabs>
          <w:tab w:val="right" w:leader="dot" w:pos="9062"/>
        </w:tabs>
        <w:ind w:left="440"/>
      </w:pPr>
      <w:hyperlink w:anchor="_Toc4054" w:history="1">
        <w:r>
          <w:rPr>
            <w:rFonts w:ascii="IRNazanin" w:hAnsi="IRNazanin" w:eastAsia="IRNazanin" w:cs="IRNazanin"/>
            <w:color w:val="111111"/>
            <w:sz w:val="22"/>
            <w:szCs w:val="22"/>
            <w:b w:val="0"/>
            <w:bCs w:val="0"/>
            <w:i w:val="0"/>
            <w:iCs w:val="0"/>
          </w:rPr>
          <w:t>دیوان شهاب الدین عمر</w:t>
        </w:r>
        <w:r>
          <w:tab/>
        </w:r>
        <w:r>
          <w:fldChar w:fldCharType="begin"/>
        </w:r>
        <w:r>
          <w:instrText xml:space="preserve">PAGEREF 4054 \h</w:instrText>
        </w:r>
        <w:r>
          <w:fldChar w:fldCharType="end"/>
        </w:r>
      </w:hyperlink>
    </w:p>
    <w:p>
      <w:pPr>
        <w:tabs>
          <w:tab w:val="right" w:leader="dot" w:pos="9062"/>
        </w:tabs>
        <w:ind w:left="440"/>
      </w:pPr>
      <w:hyperlink w:anchor="_Toc4055" w:history="1">
        <w:r>
          <w:rPr>
            <w:rFonts w:ascii="IRNazanin" w:hAnsi="IRNazanin" w:eastAsia="IRNazanin" w:cs="IRNazanin"/>
            <w:color w:val="111111"/>
            <w:sz w:val="22"/>
            <w:szCs w:val="22"/>
            <w:b w:val="0"/>
            <w:bCs w:val="0"/>
            <w:i w:val="0"/>
            <w:iCs w:val="0"/>
          </w:rPr>
          <w:t>3070- دیوان شهاب الدین غزنوی أو شعره‏</w:t>
        </w:r>
        <w:r>
          <w:tab/>
        </w:r>
        <w:r>
          <w:fldChar w:fldCharType="begin"/>
        </w:r>
        <w:r>
          <w:instrText xml:space="preserve">PAGEREF 4055 \h</w:instrText>
        </w:r>
        <w:r>
          <w:fldChar w:fldCharType="end"/>
        </w:r>
      </w:hyperlink>
    </w:p>
    <w:p>
      <w:pPr>
        <w:tabs>
          <w:tab w:val="right" w:leader="dot" w:pos="9062"/>
        </w:tabs>
        <w:ind w:left="440"/>
      </w:pPr>
      <w:hyperlink w:anchor="_Toc4056" w:history="1">
        <w:r>
          <w:rPr>
            <w:rFonts w:ascii="IRNazanin" w:hAnsi="IRNazanin" w:eastAsia="IRNazanin" w:cs="IRNazanin"/>
            <w:color w:val="111111"/>
            <w:sz w:val="22"/>
            <w:szCs w:val="22"/>
            <w:b w:val="0"/>
            <w:bCs w:val="0"/>
            <w:i w:val="0"/>
            <w:iCs w:val="0"/>
          </w:rPr>
          <w:t>3071- دیوان شهاب الدین مدارانی‏</w:t>
        </w:r>
        <w:r>
          <w:tab/>
        </w:r>
        <w:r>
          <w:fldChar w:fldCharType="begin"/>
        </w:r>
        <w:r>
          <w:instrText xml:space="preserve">PAGEREF 4056 \h</w:instrText>
        </w:r>
        <w:r>
          <w:fldChar w:fldCharType="end"/>
        </w:r>
      </w:hyperlink>
    </w:p>
    <w:p>
      <w:pPr>
        <w:tabs>
          <w:tab w:val="right" w:leader="dot" w:pos="9062"/>
        </w:tabs>
        <w:ind w:left="440"/>
      </w:pPr>
      <w:hyperlink w:anchor="_Toc4057" w:history="1">
        <w:r>
          <w:rPr>
            <w:rFonts w:ascii="IRNazanin" w:hAnsi="IRNazanin" w:eastAsia="IRNazanin" w:cs="IRNazanin"/>
            <w:color w:val="111111"/>
            <w:sz w:val="22"/>
            <w:szCs w:val="22"/>
            <w:b w:val="0"/>
            <w:bCs w:val="0"/>
            <w:i w:val="0"/>
            <w:iCs w:val="0"/>
          </w:rPr>
          <w:t>3072- دیوان شهاب الدین الملکی أو شعره‏</w:t>
        </w:r>
        <w:r>
          <w:tab/>
        </w:r>
        <w:r>
          <w:fldChar w:fldCharType="begin"/>
        </w:r>
        <w:r>
          <w:instrText xml:space="preserve">PAGEREF 4057 \h</w:instrText>
        </w:r>
        <w:r>
          <w:fldChar w:fldCharType="end"/>
        </w:r>
      </w:hyperlink>
    </w:p>
    <w:p>
      <w:pPr>
        <w:tabs>
          <w:tab w:val="right" w:leader="dot" w:pos="9062"/>
        </w:tabs>
        <w:ind w:left="440"/>
      </w:pPr>
      <w:hyperlink w:anchor="_Toc4058" w:history="1">
        <w:r>
          <w:rPr>
            <w:rFonts w:ascii="IRNazanin" w:hAnsi="IRNazanin" w:eastAsia="IRNazanin" w:cs="IRNazanin"/>
            <w:color w:val="111111"/>
            <w:sz w:val="22"/>
            <w:szCs w:val="22"/>
            <w:b w:val="0"/>
            <w:bCs w:val="0"/>
            <w:i w:val="0"/>
            <w:iCs w:val="0"/>
          </w:rPr>
          <w:t>3073- دیوان شهاب زوزنی‏</w:t>
        </w:r>
        <w:r>
          <w:tab/>
        </w:r>
        <w:r>
          <w:fldChar w:fldCharType="begin"/>
        </w:r>
        <w:r>
          <w:instrText xml:space="preserve">PAGEREF 4058 \h</w:instrText>
        </w:r>
        <w:r>
          <w:fldChar w:fldCharType="end"/>
        </w:r>
      </w:hyperlink>
    </w:p>
    <w:p>
      <w:pPr>
        <w:tabs>
          <w:tab w:val="right" w:leader="dot" w:pos="9062"/>
        </w:tabs>
        <w:ind w:left="440"/>
      </w:pPr>
      <w:hyperlink w:anchor="_Toc4059" w:history="1">
        <w:r>
          <w:rPr>
            <w:rFonts w:ascii="IRNazanin" w:hAnsi="IRNazanin" w:eastAsia="IRNazanin" w:cs="IRNazanin"/>
            <w:color w:val="111111"/>
            <w:sz w:val="22"/>
            <w:szCs w:val="22"/>
            <w:b w:val="0"/>
            <w:bCs w:val="0"/>
            <w:i w:val="0"/>
            <w:iCs w:val="0"/>
          </w:rPr>
          <w:t>3074- دیوان شهاب ساوجی‏</w:t>
        </w:r>
        <w:r>
          <w:tab/>
        </w:r>
        <w:r>
          <w:fldChar w:fldCharType="begin"/>
        </w:r>
        <w:r>
          <w:instrText xml:space="preserve">PAGEREF 4059 \h</w:instrText>
        </w:r>
        <w:r>
          <w:fldChar w:fldCharType="end"/>
        </w:r>
      </w:hyperlink>
    </w:p>
    <w:p>
      <w:pPr>
        <w:tabs>
          <w:tab w:val="right" w:leader="dot" w:pos="9062"/>
        </w:tabs>
        <w:ind w:left="440"/>
      </w:pPr>
      <w:hyperlink w:anchor="_Toc4060" w:history="1">
        <w:r>
          <w:rPr>
            <w:rFonts w:ascii="IRNazanin" w:hAnsi="IRNazanin" w:eastAsia="IRNazanin" w:cs="IRNazanin"/>
            <w:color w:val="111111"/>
            <w:sz w:val="22"/>
            <w:szCs w:val="22"/>
            <w:b w:val="0"/>
            <w:bCs w:val="0"/>
            <w:i w:val="0"/>
            <w:iCs w:val="0"/>
          </w:rPr>
          <w:t>3075- دیوان شهاب ساوجی‏</w:t>
        </w:r>
        <w:r>
          <w:tab/>
        </w:r>
        <w:r>
          <w:fldChar w:fldCharType="begin"/>
        </w:r>
        <w:r>
          <w:instrText xml:space="preserve">PAGEREF 4060 \h</w:instrText>
        </w:r>
        <w:r>
          <w:fldChar w:fldCharType="end"/>
        </w:r>
      </w:hyperlink>
    </w:p>
    <w:p>
      <w:pPr>
        <w:tabs>
          <w:tab w:val="right" w:leader="dot" w:pos="9062"/>
        </w:tabs>
        <w:ind w:left="440"/>
      </w:pPr>
      <w:hyperlink w:anchor="_Toc4061" w:history="1">
        <w:r>
          <w:rPr>
            <w:rFonts w:ascii="IRNazanin" w:hAnsi="IRNazanin" w:eastAsia="IRNazanin" w:cs="IRNazanin"/>
            <w:color w:val="111111"/>
            <w:sz w:val="22"/>
            <w:szCs w:val="22"/>
            <w:b w:val="0"/>
            <w:bCs w:val="0"/>
            <w:i w:val="0"/>
            <w:iCs w:val="0"/>
          </w:rPr>
          <w:t>3076- دیوان شهاب سمرقندی‏</w:t>
        </w:r>
        <w:r>
          <w:tab/>
        </w:r>
        <w:r>
          <w:fldChar w:fldCharType="begin"/>
        </w:r>
        <w:r>
          <w:instrText xml:space="preserve">PAGEREF 4061 \h</w:instrText>
        </w:r>
        <w:r>
          <w:fldChar w:fldCharType="end"/>
        </w:r>
      </w:hyperlink>
    </w:p>
    <w:p>
      <w:pPr>
        <w:tabs>
          <w:tab w:val="right" w:leader="dot" w:pos="9062"/>
        </w:tabs>
        <w:ind w:left="440"/>
      </w:pPr>
      <w:hyperlink w:anchor="_Toc4062" w:history="1">
        <w:r>
          <w:rPr>
            <w:rFonts w:ascii="IRNazanin" w:hAnsi="IRNazanin" w:eastAsia="IRNazanin" w:cs="IRNazanin"/>
            <w:color w:val="111111"/>
            <w:sz w:val="22"/>
            <w:szCs w:val="22"/>
            <w:b w:val="0"/>
            <w:bCs w:val="0"/>
            <w:i w:val="0"/>
            <w:iCs w:val="0"/>
          </w:rPr>
          <w:t>دیوان شهاب شیرازی‏</w:t>
        </w:r>
        <w:r>
          <w:tab/>
        </w:r>
        <w:r>
          <w:fldChar w:fldCharType="begin"/>
        </w:r>
        <w:r>
          <w:instrText xml:space="preserve">PAGEREF 4062 \h</w:instrText>
        </w:r>
        <w:r>
          <w:fldChar w:fldCharType="end"/>
        </w:r>
      </w:hyperlink>
    </w:p>
    <w:p>
      <w:pPr>
        <w:tabs>
          <w:tab w:val="right" w:leader="dot" w:pos="9062"/>
        </w:tabs>
        <w:ind w:left="440"/>
      </w:pPr>
      <w:hyperlink w:anchor="_Toc4063" w:history="1">
        <w:r>
          <w:rPr>
            <w:rFonts w:ascii="IRNazanin" w:hAnsi="IRNazanin" w:eastAsia="IRNazanin" w:cs="IRNazanin"/>
            <w:color w:val="111111"/>
            <w:sz w:val="22"/>
            <w:szCs w:val="22"/>
            <w:b w:val="0"/>
            <w:bCs w:val="0"/>
            <w:i w:val="0"/>
            <w:iCs w:val="0"/>
          </w:rPr>
          <w:t>3077- دیوان شهاب کرمانی‏</w:t>
        </w:r>
        <w:r>
          <w:tab/>
        </w:r>
        <w:r>
          <w:fldChar w:fldCharType="begin"/>
        </w:r>
        <w:r>
          <w:instrText xml:space="preserve">PAGEREF 4063 \h</w:instrText>
        </w:r>
        <w:r>
          <w:fldChar w:fldCharType="end"/>
        </w:r>
      </w:hyperlink>
    </w:p>
    <w:p>
      <w:pPr>
        <w:tabs>
          <w:tab w:val="right" w:leader="dot" w:pos="9062"/>
        </w:tabs>
        <w:ind w:left="440"/>
      </w:pPr>
      <w:hyperlink w:anchor="_Toc4064" w:history="1">
        <w:r>
          <w:rPr>
            <w:rFonts w:ascii="IRNazanin" w:hAnsi="IRNazanin" w:eastAsia="IRNazanin" w:cs="IRNazanin"/>
            <w:color w:val="111111"/>
            <w:sz w:val="22"/>
            <w:szCs w:val="22"/>
            <w:b w:val="0"/>
            <w:bCs w:val="0"/>
            <w:i w:val="0"/>
            <w:iCs w:val="0"/>
          </w:rPr>
          <w:t>دیوان شهاب لرستانی‏</w:t>
        </w:r>
        <w:r>
          <w:tab/>
        </w:r>
        <w:r>
          <w:fldChar w:fldCharType="begin"/>
        </w:r>
        <w:r>
          <w:instrText xml:space="preserve">PAGEREF 4064 \h</w:instrText>
        </w:r>
        <w:r>
          <w:fldChar w:fldCharType="end"/>
        </w:r>
      </w:hyperlink>
    </w:p>
    <w:p>
      <w:pPr>
        <w:tabs>
          <w:tab w:val="right" w:leader="dot" w:pos="9062"/>
        </w:tabs>
        <w:ind w:left="440"/>
      </w:pPr>
      <w:hyperlink w:anchor="_Toc4065" w:history="1">
        <w:r>
          <w:rPr>
            <w:rFonts w:ascii="IRNazanin" w:hAnsi="IRNazanin" w:eastAsia="IRNazanin" w:cs="IRNazanin"/>
            <w:color w:val="111111"/>
            <w:sz w:val="22"/>
            <w:szCs w:val="22"/>
            <w:b w:val="0"/>
            <w:bCs w:val="0"/>
            <w:i w:val="0"/>
            <w:iCs w:val="0"/>
          </w:rPr>
          <w:t>3078- دیوان شهاب مازندرانی‏</w:t>
        </w:r>
        <w:r>
          <w:tab/>
        </w:r>
        <w:r>
          <w:fldChar w:fldCharType="begin"/>
        </w:r>
        <w:r>
          <w:instrText xml:space="preserve">PAGEREF 4065 \h</w:instrText>
        </w:r>
        <w:r>
          <w:fldChar w:fldCharType="end"/>
        </w:r>
      </w:hyperlink>
    </w:p>
    <w:p>
      <w:pPr>
        <w:tabs>
          <w:tab w:val="right" w:leader="dot" w:pos="9062"/>
        </w:tabs>
        <w:ind w:left="440"/>
      </w:pPr>
      <w:hyperlink w:anchor="_Toc4066" w:history="1">
        <w:r>
          <w:rPr>
            <w:rFonts w:ascii="IRNazanin" w:hAnsi="IRNazanin" w:eastAsia="IRNazanin" w:cs="IRNazanin"/>
            <w:color w:val="111111"/>
            <w:sz w:val="22"/>
            <w:szCs w:val="22"/>
            <w:b w:val="0"/>
            <w:bCs w:val="0"/>
            <w:i w:val="0"/>
            <w:iCs w:val="0"/>
          </w:rPr>
          <w:t>3079- دیوان شهاب مرندی أو شعره‏</w:t>
        </w:r>
        <w:r>
          <w:tab/>
        </w:r>
        <w:r>
          <w:fldChar w:fldCharType="begin"/>
        </w:r>
        <w:r>
          <w:instrText xml:space="preserve">PAGEREF 4066 \h</w:instrText>
        </w:r>
        <w:r>
          <w:fldChar w:fldCharType="end"/>
        </w:r>
      </w:hyperlink>
    </w:p>
    <w:p>
      <w:pPr>
        <w:tabs>
          <w:tab w:val="right" w:leader="dot" w:pos="9062"/>
        </w:tabs>
        <w:ind w:left="440"/>
      </w:pPr>
      <w:hyperlink w:anchor="_Toc4067" w:history="1">
        <w:r>
          <w:rPr>
            <w:rFonts w:ascii="IRNazanin" w:hAnsi="IRNazanin" w:eastAsia="IRNazanin" w:cs="IRNazanin"/>
            <w:color w:val="111111"/>
            <w:sz w:val="22"/>
            <w:szCs w:val="22"/>
            <w:b w:val="0"/>
            <w:bCs w:val="0"/>
            <w:i w:val="0"/>
            <w:iCs w:val="0"/>
          </w:rPr>
          <w:t>دیوان شهاب معمایی‏</w:t>
        </w:r>
        <w:r>
          <w:tab/>
        </w:r>
        <w:r>
          <w:fldChar w:fldCharType="begin"/>
        </w:r>
        <w:r>
          <w:instrText xml:space="preserve">PAGEREF 4067 \h</w:instrText>
        </w:r>
        <w:r>
          <w:fldChar w:fldCharType="end"/>
        </w:r>
      </w:hyperlink>
    </w:p>
    <w:p>
      <w:pPr>
        <w:tabs>
          <w:tab w:val="right" w:leader="dot" w:pos="9062"/>
        </w:tabs>
        <w:ind w:left="440"/>
      </w:pPr>
      <w:hyperlink w:anchor="_Toc4068" w:history="1">
        <w:r>
          <w:rPr>
            <w:rFonts w:ascii="IRNazanin" w:hAnsi="IRNazanin" w:eastAsia="IRNazanin" w:cs="IRNazanin"/>
            <w:color w:val="111111"/>
            <w:sz w:val="22"/>
            <w:szCs w:val="22"/>
            <w:b w:val="0"/>
            <w:bCs w:val="0"/>
            <w:i w:val="0"/>
            <w:iCs w:val="0"/>
          </w:rPr>
          <w:t>دیوان شهاب مؤید</w:t>
        </w:r>
        <w:r>
          <w:tab/>
        </w:r>
        <w:r>
          <w:fldChar w:fldCharType="begin"/>
        </w:r>
        <w:r>
          <w:instrText xml:space="preserve">PAGEREF 4068 \h</w:instrText>
        </w:r>
        <w:r>
          <w:fldChar w:fldCharType="end"/>
        </w:r>
      </w:hyperlink>
    </w:p>
    <w:p>
      <w:pPr>
        <w:tabs>
          <w:tab w:val="right" w:leader="dot" w:pos="9062"/>
        </w:tabs>
        <w:ind w:left="440"/>
      </w:pPr>
      <w:hyperlink w:anchor="_Toc4069" w:history="1">
        <w:r>
          <w:rPr>
            <w:rFonts w:ascii="IRNazanin" w:hAnsi="IRNazanin" w:eastAsia="IRNazanin" w:cs="IRNazanin"/>
            <w:color w:val="111111"/>
            <w:sz w:val="22"/>
            <w:szCs w:val="22"/>
            <w:b w:val="0"/>
            <w:bCs w:val="0"/>
            <w:i w:val="0"/>
            <w:iCs w:val="0"/>
          </w:rPr>
          <w:t>دیوان شهاب نسفی‏</w:t>
        </w:r>
        <w:r>
          <w:tab/>
        </w:r>
        <w:r>
          <w:fldChar w:fldCharType="begin"/>
        </w:r>
        <w:r>
          <w:instrText xml:space="preserve">PAGEREF 4069 \h</w:instrText>
        </w:r>
        <w:r>
          <w:fldChar w:fldCharType="end"/>
        </w:r>
      </w:hyperlink>
    </w:p>
    <w:p>
      <w:pPr>
        <w:tabs>
          <w:tab w:val="right" w:leader="dot" w:pos="9062"/>
        </w:tabs>
        <w:ind w:left="440"/>
      </w:pPr>
      <w:hyperlink w:anchor="_Toc4070" w:history="1">
        <w:r>
          <w:rPr>
            <w:rFonts w:ascii="IRNazanin" w:hAnsi="IRNazanin" w:eastAsia="IRNazanin" w:cs="IRNazanin"/>
            <w:color w:val="111111"/>
            <w:sz w:val="22"/>
            <w:szCs w:val="22"/>
            <w:b w:val="0"/>
            <w:bCs w:val="0"/>
            <w:i w:val="0"/>
            <w:iCs w:val="0"/>
          </w:rPr>
          <w:t>دیوان شهاب هروی المعمائی‏</w:t>
        </w:r>
        <w:r>
          <w:tab/>
        </w:r>
        <w:r>
          <w:fldChar w:fldCharType="begin"/>
        </w:r>
        <w:r>
          <w:instrText xml:space="preserve">PAGEREF 4070 \h</w:instrText>
        </w:r>
        <w:r>
          <w:fldChar w:fldCharType="end"/>
        </w:r>
      </w:hyperlink>
    </w:p>
    <w:p>
      <w:pPr>
        <w:tabs>
          <w:tab w:val="right" w:leader="dot" w:pos="9062"/>
        </w:tabs>
        <w:ind w:left="440"/>
      </w:pPr>
      <w:hyperlink w:anchor="_Toc4071" w:history="1">
        <w:r>
          <w:rPr>
            <w:rFonts w:ascii="IRNazanin" w:hAnsi="IRNazanin" w:eastAsia="IRNazanin" w:cs="IRNazanin"/>
            <w:color w:val="111111"/>
            <w:sz w:val="22"/>
            <w:szCs w:val="22"/>
            <w:b w:val="0"/>
            <w:bCs w:val="0"/>
            <w:i w:val="0"/>
            <w:iCs w:val="0"/>
          </w:rPr>
          <w:t>3080- دیوان شهاب همام أو شعره‏</w:t>
        </w:r>
        <w:r>
          <w:tab/>
        </w:r>
        <w:r>
          <w:fldChar w:fldCharType="begin"/>
        </w:r>
        <w:r>
          <w:instrText xml:space="preserve">PAGEREF 4071 \h</w:instrText>
        </w:r>
        <w:r>
          <w:fldChar w:fldCharType="end"/>
        </w:r>
      </w:hyperlink>
    </w:p>
    <w:p>
      <w:pPr>
        <w:tabs>
          <w:tab w:val="right" w:leader="dot" w:pos="9062"/>
        </w:tabs>
        <w:ind w:left="440"/>
      </w:pPr>
      <w:hyperlink w:anchor="_Toc4072" w:history="1">
        <w:r>
          <w:rPr>
            <w:rFonts w:ascii="IRNazanin" w:hAnsi="IRNazanin" w:eastAsia="IRNazanin" w:cs="IRNazanin"/>
            <w:color w:val="111111"/>
            <w:sz w:val="22"/>
            <w:szCs w:val="22"/>
            <w:b w:val="0"/>
            <w:bCs w:val="0"/>
            <w:i w:val="0"/>
            <w:iCs w:val="0"/>
          </w:rPr>
          <w:t>3081- دیوان شهاب همدانی أو شعره‏</w:t>
        </w:r>
        <w:r>
          <w:tab/>
        </w:r>
        <w:r>
          <w:fldChar w:fldCharType="begin"/>
        </w:r>
        <w:r>
          <w:instrText xml:space="preserve">PAGEREF 4072 \h</w:instrText>
        </w:r>
        <w:r>
          <w:fldChar w:fldCharType="end"/>
        </w:r>
      </w:hyperlink>
    </w:p>
    <w:p>
      <w:pPr>
        <w:tabs>
          <w:tab w:val="right" w:leader="dot" w:pos="9062"/>
        </w:tabs>
        <w:ind w:left="440"/>
      </w:pPr>
      <w:hyperlink w:anchor="_Toc4073" w:history="1">
        <w:r>
          <w:rPr>
            <w:rFonts w:ascii="IRNazanin" w:hAnsi="IRNazanin" w:eastAsia="IRNazanin" w:cs="IRNazanin"/>
            <w:color w:val="111111"/>
            <w:sz w:val="22"/>
            <w:szCs w:val="22"/>
            <w:b w:val="0"/>
            <w:bCs w:val="0"/>
            <w:i w:val="0"/>
            <w:iCs w:val="0"/>
          </w:rPr>
          <w:t>3082- دیوان شهاب هندی‏</w:t>
        </w:r>
        <w:r>
          <w:tab/>
        </w:r>
        <w:r>
          <w:fldChar w:fldCharType="begin"/>
        </w:r>
        <w:r>
          <w:instrText xml:space="preserve">PAGEREF 4073 \h</w:instrText>
        </w:r>
        <w:r>
          <w:fldChar w:fldCharType="end"/>
        </w:r>
      </w:hyperlink>
    </w:p>
    <w:p>
      <w:pPr>
        <w:tabs>
          <w:tab w:val="right" w:leader="dot" w:pos="9062"/>
        </w:tabs>
        <w:ind w:left="440"/>
      </w:pPr>
      <w:hyperlink w:anchor="_Toc4074" w:history="1">
        <w:r>
          <w:rPr>
            <w:rFonts w:ascii="IRNazanin" w:hAnsi="IRNazanin" w:eastAsia="IRNazanin" w:cs="IRNazanin"/>
            <w:color w:val="111111"/>
            <w:sz w:val="22"/>
            <w:szCs w:val="22"/>
            <w:b w:val="0"/>
            <w:bCs w:val="0"/>
            <w:i w:val="0"/>
            <w:iCs w:val="0"/>
          </w:rPr>
          <w:t>3083- دیوان شهابی ترشیزی‏</w:t>
        </w:r>
        <w:r>
          <w:tab/>
        </w:r>
        <w:r>
          <w:fldChar w:fldCharType="begin"/>
        </w:r>
        <w:r>
          <w:instrText xml:space="preserve">PAGEREF 4074 \h</w:instrText>
        </w:r>
        <w:r>
          <w:fldChar w:fldCharType="end"/>
        </w:r>
      </w:hyperlink>
    </w:p>
    <w:p>
      <w:pPr>
        <w:tabs>
          <w:tab w:val="right" w:leader="dot" w:pos="9062"/>
        </w:tabs>
        <w:ind w:left="440"/>
      </w:pPr>
      <w:hyperlink w:anchor="_Toc4075" w:history="1">
        <w:r>
          <w:rPr>
            <w:rFonts w:ascii="IRNazanin" w:hAnsi="IRNazanin" w:eastAsia="IRNazanin" w:cs="IRNazanin"/>
            <w:color w:val="111111"/>
            <w:sz w:val="22"/>
            <w:szCs w:val="22"/>
            <w:b w:val="0"/>
            <w:bCs w:val="0"/>
            <w:i w:val="0"/>
            <w:iCs w:val="0"/>
          </w:rPr>
          <w:t>3084- دیوان شهابی خجندی أو شعره‏</w:t>
        </w:r>
        <w:r>
          <w:tab/>
        </w:r>
        <w:r>
          <w:fldChar w:fldCharType="begin"/>
        </w:r>
        <w:r>
          <w:instrText xml:space="preserve">PAGEREF 4075 \h</w:instrText>
        </w:r>
        <w:r>
          <w:fldChar w:fldCharType="end"/>
        </w:r>
      </w:hyperlink>
    </w:p>
    <w:p>
      <w:pPr>
        <w:tabs>
          <w:tab w:val="right" w:leader="dot" w:pos="9062"/>
        </w:tabs>
        <w:ind w:left="440"/>
      </w:pPr>
      <w:hyperlink w:anchor="_Toc4076" w:history="1">
        <w:r>
          <w:rPr>
            <w:rFonts w:ascii="IRNazanin" w:hAnsi="IRNazanin" w:eastAsia="IRNazanin" w:cs="IRNazanin"/>
            <w:color w:val="111111"/>
            <w:sz w:val="22"/>
            <w:szCs w:val="22"/>
            <w:b w:val="0"/>
            <w:bCs w:val="0"/>
            <w:i w:val="0"/>
            <w:iCs w:val="0"/>
          </w:rPr>
          <w:t>دیوان شهابی سمرقندی‏</w:t>
        </w:r>
        <w:r>
          <w:tab/>
        </w:r>
        <w:r>
          <w:fldChar w:fldCharType="begin"/>
        </w:r>
        <w:r>
          <w:instrText xml:space="preserve">PAGEREF 4076 \h</w:instrText>
        </w:r>
        <w:r>
          <w:fldChar w:fldCharType="end"/>
        </w:r>
      </w:hyperlink>
    </w:p>
    <w:p>
      <w:pPr>
        <w:tabs>
          <w:tab w:val="right" w:leader="dot" w:pos="9062"/>
        </w:tabs>
        <w:ind w:left="440"/>
      </w:pPr>
      <w:hyperlink w:anchor="_Toc4077" w:history="1">
        <w:r>
          <w:rPr>
            <w:rFonts w:ascii="IRNazanin" w:hAnsi="IRNazanin" w:eastAsia="IRNazanin" w:cs="IRNazanin"/>
            <w:color w:val="111111"/>
            <w:sz w:val="22"/>
            <w:szCs w:val="22"/>
            <w:b w:val="0"/>
            <w:bCs w:val="0"/>
            <w:i w:val="0"/>
            <w:iCs w:val="0"/>
          </w:rPr>
          <w:t>دیوان شهابی غزال‏</w:t>
        </w:r>
        <w:r>
          <w:tab/>
        </w:r>
        <w:r>
          <w:fldChar w:fldCharType="begin"/>
        </w:r>
        <w:r>
          <w:instrText xml:space="preserve">PAGEREF 4077 \h</w:instrText>
        </w:r>
        <w:r>
          <w:fldChar w:fldCharType="end"/>
        </w:r>
      </w:hyperlink>
    </w:p>
    <w:p>
      <w:pPr>
        <w:tabs>
          <w:tab w:val="right" w:leader="dot" w:pos="9062"/>
        </w:tabs>
        <w:ind w:left="440"/>
      </w:pPr>
      <w:hyperlink w:anchor="_Toc4078" w:history="1">
        <w:r>
          <w:rPr>
            <w:rFonts w:ascii="IRNazanin" w:hAnsi="IRNazanin" w:eastAsia="IRNazanin" w:cs="IRNazanin"/>
            <w:color w:val="111111"/>
            <w:sz w:val="22"/>
            <w:szCs w:val="22"/>
            <w:b w:val="0"/>
            <w:bCs w:val="0"/>
            <w:i w:val="0"/>
            <w:iCs w:val="0"/>
          </w:rPr>
          <w:t>3085- دیوان شهابی قزوینی‏</w:t>
        </w:r>
        <w:r>
          <w:tab/>
        </w:r>
        <w:r>
          <w:fldChar w:fldCharType="begin"/>
        </w:r>
        <w:r>
          <w:instrText xml:space="preserve">PAGEREF 4078 \h</w:instrText>
        </w:r>
        <w:r>
          <w:fldChar w:fldCharType="end"/>
        </w:r>
      </w:hyperlink>
    </w:p>
    <w:p>
      <w:pPr>
        <w:tabs>
          <w:tab w:val="right" w:leader="dot" w:pos="9062"/>
        </w:tabs>
        <w:ind w:left="440"/>
      </w:pPr>
      <w:hyperlink w:anchor="_Toc4079" w:history="1">
        <w:r>
          <w:rPr>
            <w:rFonts w:ascii="IRNazanin" w:hAnsi="IRNazanin" w:eastAsia="IRNazanin" w:cs="IRNazanin"/>
            <w:color w:val="111111"/>
            <w:sz w:val="22"/>
            <w:szCs w:val="22"/>
            <w:b w:val="0"/>
            <w:bCs w:val="0"/>
            <w:i w:val="0"/>
            <w:iCs w:val="0"/>
          </w:rPr>
          <w:t>3086- دیوان شهابی هروی‏</w:t>
        </w:r>
        <w:r>
          <w:tab/>
        </w:r>
        <w:r>
          <w:fldChar w:fldCharType="begin"/>
        </w:r>
        <w:r>
          <w:instrText xml:space="preserve">PAGEREF 4079 \h</w:instrText>
        </w:r>
        <w:r>
          <w:fldChar w:fldCharType="end"/>
        </w:r>
      </w:hyperlink>
    </w:p>
    <w:p>
      <w:pPr>
        <w:tabs>
          <w:tab w:val="right" w:leader="dot" w:pos="9062"/>
        </w:tabs>
        <w:ind w:left="440"/>
      </w:pPr>
      <w:hyperlink w:anchor="_Toc4080" w:history="1">
        <w:r>
          <w:rPr>
            <w:rFonts w:ascii="IRNazanin" w:hAnsi="IRNazanin" w:eastAsia="IRNazanin" w:cs="IRNazanin"/>
            <w:color w:val="111111"/>
            <w:sz w:val="22"/>
            <w:szCs w:val="22"/>
            <w:b w:val="0"/>
            <w:bCs w:val="0"/>
            <w:i w:val="0"/>
            <w:iCs w:val="0"/>
          </w:rPr>
          <w:t>3087- دیوان شهباز أو شعرها</w:t>
        </w:r>
        <w:r>
          <w:tab/>
        </w:r>
        <w:r>
          <w:fldChar w:fldCharType="begin"/>
        </w:r>
        <w:r>
          <w:instrText xml:space="preserve">PAGEREF 4080 \h</w:instrText>
        </w:r>
        <w:r>
          <w:fldChar w:fldCharType="end"/>
        </w:r>
      </w:hyperlink>
    </w:p>
    <w:p>
      <w:pPr>
        <w:tabs>
          <w:tab w:val="right" w:leader="dot" w:pos="9062"/>
        </w:tabs>
        <w:ind w:left="440"/>
      </w:pPr>
      <w:hyperlink w:anchor="_Toc4081" w:history="1">
        <w:r>
          <w:rPr>
            <w:rFonts w:ascii="IRNazanin" w:hAnsi="IRNazanin" w:eastAsia="IRNazanin" w:cs="IRNazanin"/>
            <w:color w:val="111111"/>
            <w:sz w:val="22"/>
            <w:szCs w:val="22"/>
            <w:b w:val="0"/>
            <w:bCs w:val="0"/>
            <w:i w:val="0"/>
            <w:iCs w:val="0"/>
          </w:rPr>
          <w:t>دیوان شهر آشور</w:t>
        </w:r>
        <w:r>
          <w:tab/>
        </w:r>
        <w:r>
          <w:fldChar w:fldCharType="begin"/>
        </w:r>
        <w:r>
          <w:instrText xml:space="preserve">PAGEREF 4081 \h</w:instrText>
        </w:r>
        <w:r>
          <w:fldChar w:fldCharType="end"/>
        </w:r>
      </w:hyperlink>
    </w:p>
    <w:p>
      <w:pPr>
        <w:tabs>
          <w:tab w:val="right" w:leader="dot" w:pos="9062"/>
        </w:tabs>
        <w:ind w:left="440"/>
      </w:pPr>
      <w:hyperlink w:anchor="_Toc4082" w:history="1">
        <w:r>
          <w:rPr>
            <w:rFonts w:ascii="IRNazanin" w:hAnsi="IRNazanin" w:eastAsia="IRNazanin" w:cs="IRNazanin"/>
            <w:color w:val="111111"/>
            <w:sz w:val="22"/>
            <w:szCs w:val="22"/>
            <w:b w:val="0"/>
            <w:bCs w:val="0"/>
            <w:i w:val="0"/>
            <w:iCs w:val="0"/>
          </w:rPr>
          <w:t>3088- دیوان شهرت شیرازی‏</w:t>
        </w:r>
        <w:r>
          <w:tab/>
        </w:r>
        <w:r>
          <w:fldChar w:fldCharType="begin"/>
        </w:r>
        <w:r>
          <w:instrText xml:space="preserve">PAGEREF 4082 \h</w:instrText>
        </w:r>
        <w:r>
          <w:fldChar w:fldCharType="end"/>
        </w:r>
      </w:hyperlink>
    </w:p>
    <w:p>
      <w:pPr>
        <w:tabs>
          <w:tab w:val="right" w:leader="dot" w:pos="9062"/>
        </w:tabs>
        <w:ind w:left="440"/>
      </w:pPr>
      <w:hyperlink w:anchor="_Toc4083" w:history="1">
        <w:r>
          <w:rPr>
            <w:rFonts w:ascii="IRNazanin" w:hAnsi="IRNazanin" w:eastAsia="IRNazanin" w:cs="IRNazanin"/>
            <w:color w:val="111111"/>
            <w:sz w:val="22"/>
            <w:szCs w:val="22"/>
            <w:b w:val="0"/>
            <w:bCs w:val="0"/>
            <w:i w:val="0"/>
            <w:iCs w:val="0"/>
          </w:rPr>
          <w:t>3089- دیوان شهرت لکهنوی أو شعره‏</w:t>
        </w:r>
        <w:r>
          <w:tab/>
        </w:r>
        <w:r>
          <w:fldChar w:fldCharType="begin"/>
        </w:r>
        <w:r>
          <w:instrText xml:space="preserve">PAGEREF 4083 \h</w:instrText>
        </w:r>
        <w:r>
          <w:fldChar w:fldCharType="end"/>
        </w:r>
      </w:hyperlink>
    </w:p>
    <w:p>
      <w:pPr>
        <w:tabs>
          <w:tab w:val="right" w:leader="dot" w:pos="9062"/>
        </w:tabs>
        <w:ind w:left="440"/>
      </w:pPr>
      <w:hyperlink w:anchor="_Toc4084" w:history="1">
        <w:r>
          <w:rPr>
            <w:rFonts w:ascii="IRNazanin" w:hAnsi="IRNazanin" w:eastAsia="IRNazanin" w:cs="IRNazanin"/>
            <w:color w:val="111111"/>
            <w:sz w:val="22"/>
            <w:szCs w:val="22"/>
            <w:b w:val="0"/>
            <w:bCs w:val="0"/>
            <w:i w:val="0"/>
            <w:iCs w:val="0"/>
          </w:rPr>
          <w:t>3090- دیوان شهرة قاجار</w:t>
        </w:r>
        <w:r>
          <w:tab/>
        </w:r>
        <w:r>
          <w:fldChar w:fldCharType="begin"/>
        </w:r>
        <w:r>
          <w:instrText xml:space="preserve">PAGEREF 4084 \h</w:instrText>
        </w:r>
        <w:r>
          <w:fldChar w:fldCharType="end"/>
        </w:r>
      </w:hyperlink>
    </w:p>
    <w:p>
      <w:pPr>
        <w:tabs>
          <w:tab w:val="right" w:leader="dot" w:pos="9062"/>
        </w:tabs>
        <w:ind w:left="440"/>
      </w:pPr>
      <w:hyperlink w:anchor="_Toc4085" w:history="1">
        <w:r>
          <w:rPr>
            <w:rFonts w:ascii="IRNazanin" w:hAnsi="IRNazanin" w:eastAsia="IRNazanin" w:cs="IRNazanin"/>
            <w:color w:val="111111"/>
            <w:sz w:val="22"/>
            <w:szCs w:val="22"/>
            <w:b w:val="0"/>
            <w:bCs w:val="0"/>
            <w:i w:val="0"/>
            <w:iCs w:val="0"/>
          </w:rPr>
          <w:t>3091- دیوان شهرة قمی‏</w:t>
        </w:r>
        <w:r>
          <w:tab/>
        </w:r>
        <w:r>
          <w:fldChar w:fldCharType="begin"/>
        </w:r>
        <w:r>
          <w:instrText xml:space="preserve">PAGEREF 4085 \h</w:instrText>
        </w:r>
        <w:r>
          <w:fldChar w:fldCharType="end"/>
        </w:r>
      </w:hyperlink>
    </w:p>
    <w:p>
      <w:pPr>
        <w:tabs>
          <w:tab w:val="right" w:leader="dot" w:pos="9062"/>
        </w:tabs>
        <w:ind w:left="440"/>
      </w:pPr>
      <w:hyperlink w:anchor="_Toc4086" w:history="1">
        <w:r>
          <w:rPr>
            <w:rFonts w:ascii="IRNazanin" w:hAnsi="IRNazanin" w:eastAsia="IRNazanin" w:cs="IRNazanin"/>
            <w:color w:val="111111"/>
            <w:sz w:val="22"/>
            <w:szCs w:val="22"/>
            <w:b w:val="0"/>
            <w:bCs w:val="0"/>
            <w:i w:val="0"/>
            <w:iCs w:val="0"/>
          </w:rPr>
          <w:t>3092- دیوان شهریار أو شعره‏</w:t>
        </w:r>
        <w:r>
          <w:tab/>
        </w:r>
        <w:r>
          <w:fldChar w:fldCharType="begin"/>
        </w:r>
        <w:r>
          <w:instrText xml:space="preserve">PAGEREF 4086 \h</w:instrText>
        </w:r>
        <w:r>
          <w:fldChar w:fldCharType="end"/>
        </w:r>
      </w:hyperlink>
    </w:p>
    <w:p>
      <w:pPr>
        <w:tabs>
          <w:tab w:val="right" w:leader="dot" w:pos="9062"/>
        </w:tabs>
        <w:ind w:left="440"/>
      </w:pPr>
      <w:hyperlink w:anchor="_Toc4087" w:history="1">
        <w:r>
          <w:rPr>
            <w:rFonts w:ascii="IRNazanin" w:hAnsi="IRNazanin" w:eastAsia="IRNazanin" w:cs="IRNazanin"/>
            <w:color w:val="111111"/>
            <w:sz w:val="22"/>
            <w:szCs w:val="22"/>
            <w:b w:val="0"/>
            <w:bCs w:val="0"/>
            <w:i w:val="0"/>
            <w:iCs w:val="0"/>
          </w:rPr>
          <w:t>3093- دیوان شهریار تبریزی‏</w:t>
        </w:r>
        <w:r>
          <w:tab/>
        </w:r>
        <w:r>
          <w:fldChar w:fldCharType="begin"/>
        </w:r>
        <w:r>
          <w:instrText xml:space="preserve">PAGEREF 4087 \h</w:instrText>
        </w:r>
        <w:r>
          <w:fldChar w:fldCharType="end"/>
        </w:r>
      </w:hyperlink>
    </w:p>
    <w:p>
      <w:pPr>
        <w:tabs>
          <w:tab w:val="right" w:leader="dot" w:pos="9062"/>
        </w:tabs>
        <w:ind w:left="440"/>
      </w:pPr>
      <w:hyperlink w:anchor="_Toc4088" w:history="1">
        <w:r>
          <w:rPr>
            <w:rFonts w:ascii="IRNazanin" w:hAnsi="IRNazanin" w:eastAsia="IRNazanin" w:cs="IRNazanin"/>
            <w:color w:val="111111"/>
            <w:sz w:val="22"/>
            <w:szCs w:val="22"/>
            <w:b w:val="0"/>
            <w:bCs w:val="0"/>
            <w:i w:val="0"/>
            <w:iCs w:val="0"/>
          </w:rPr>
          <w:t>دیوان شهریاری‏</w:t>
        </w:r>
        <w:r>
          <w:tab/>
        </w:r>
        <w:r>
          <w:fldChar w:fldCharType="begin"/>
        </w:r>
        <w:r>
          <w:instrText xml:space="preserve">PAGEREF 4088 \h</w:instrText>
        </w:r>
        <w:r>
          <w:fldChar w:fldCharType="end"/>
        </w:r>
      </w:hyperlink>
    </w:p>
    <w:p>
      <w:pPr>
        <w:tabs>
          <w:tab w:val="right" w:leader="dot" w:pos="9062"/>
        </w:tabs>
        <w:ind w:left="440"/>
      </w:pPr>
      <w:hyperlink w:anchor="_Toc4089" w:history="1">
        <w:r>
          <w:rPr>
            <w:rFonts w:ascii="IRNazanin" w:hAnsi="IRNazanin" w:eastAsia="IRNazanin" w:cs="IRNazanin"/>
            <w:color w:val="111111"/>
            <w:sz w:val="22"/>
            <w:szCs w:val="22"/>
            <w:b w:val="0"/>
            <w:bCs w:val="0"/>
            <w:i w:val="0"/>
            <w:iCs w:val="0"/>
          </w:rPr>
          <w:t>3094- دیوان شهریاری خراسانی أو شعره‏</w:t>
        </w:r>
        <w:r>
          <w:tab/>
        </w:r>
        <w:r>
          <w:fldChar w:fldCharType="begin"/>
        </w:r>
        <w:r>
          <w:instrText xml:space="preserve">PAGEREF 4089 \h</w:instrText>
        </w:r>
        <w:r>
          <w:fldChar w:fldCharType="end"/>
        </w:r>
      </w:hyperlink>
    </w:p>
    <w:p>
      <w:pPr>
        <w:tabs>
          <w:tab w:val="right" w:leader="dot" w:pos="9062"/>
        </w:tabs>
        <w:ind w:left="440"/>
      </w:pPr>
      <w:hyperlink w:anchor="_Toc4090" w:history="1">
        <w:r>
          <w:rPr>
            <w:rFonts w:ascii="IRNazanin" w:hAnsi="IRNazanin" w:eastAsia="IRNazanin" w:cs="IRNazanin"/>
            <w:color w:val="111111"/>
            <w:sz w:val="22"/>
            <w:szCs w:val="22"/>
            <w:b w:val="0"/>
            <w:bCs w:val="0"/>
            <w:i w:val="0"/>
            <w:iCs w:val="0"/>
          </w:rPr>
          <w:t>3095- دیوان شهرین أصفهانی‏</w:t>
        </w:r>
        <w:r>
          <w:tab/>
        </w:r>
        <w:r>
          <w:fldChar w:fldCharType="begin"/>
        </w:r>
        <w:r>
          <w:instrText xml:space="preserve">PAGEREF 4090 \h</w:instrText>
        </w:r>
        <w:r>
          <w:fldChar w:fldCharType="end"/>
        </w:r>
      </w:hyperlink>
    </w:p>
    <w:p>
      <w:pPr>
        <w:tabs>
          <w:tab w:val="right" w:leader="dot" w:pos="9062"/>
        </w:tabs>
        <w:ind w:left="440"/>
      </w:pPr>
      <w:hyperlink w:anchor="_Toc4091" w:history="1">
        <w:r>
          <w:rPr>
            <w:rFonts w:ascii="IRNazanin" w:hAnsi="IRNazanin" w:eastAsia="IRNazanin" w:cs="IRNazanin"/>
            <w:color w:val="111111"/>
            <w:sz w:val="22"/>
            <w:szCs w:val="22"/>
            <w:b w:val="0"/>
            <w:bCs w:val="0"/>
            <w:i w:val="0"/>
            <w:iCs w:val="0"/>
          </w:rPr>
          <w:t>دیوان شهسوار بیگ‏</w:t>
        </w:r>
        <w:r>
          <w:tab/>
        </w:r>
        <w:r>
          <w:fldChar w:fldCharType="begin"/>
        </w:r>
        <w:r>
          <w:instrText xml:space="preserve">PAGEREF 4091 \h</w:instrText>
        </w:r>
        <w:r>
          <w:fldChar w:fldCharType="end"/>
        </w:r>
      </w:hyperlink>
    </w:p>
    <w:p>
      <w:pPr>
        <w:tabs>
          <w:tab w:val="right" w:leader="dot" w:pos="9062"/>
        </w:tabs>
        <w:ind w:left="440"/>
      </w:pPr>
      <w:hyperlink w:anchor="_Toc4092" w:history="1">
        <w:r>
          <w:rPr>
            <w:rFonts w:ascii="IRNazanin" w:hAnsi="IRNazanin" w:eastAsia="IRNazanin" w:cs="IRNazanin"/>
            <w:color w:val="111111"/>
            <w:sz w:val="22"/>
            <w:szCs w:val="22"/>
            <w:b w:val="0"/>
            <w:bCs w:val="0"/>
            <w:i w:val="0"/>
            <w:iCs w:val="0"/>
          </w:rPr>
          <w:t>دیوان شهشهانی‏</w:t>
        </w:r>
        <w:r>
          <w:tab/>
        </w:r>
        <w:r>
          <w:fldChar w:fldCharType="begin"/>
        </w:r>
        <w:r>
          <w:instrText xml:space="preserve">PAGEREF 4092 \h</w:instrText>
        </w:r>
        <w:r>
          <w:fldChar w:fldCharType="end"/>
        </w:r>
      </w:hyperlink>
    </w:p>
    <w:p>
      <w:pPr>
        <w:tabs>
          <w:tab w:val="right" w:leader="dot" w:pos="9062"/>
        </w:tabs>
        <w:ind w:left="440"/>
      </w:pPr>
      <w:hyperlink w:anchor="_Toc4093" w:history="1">
        <w:r>
          <w:rPr>
            <w:rFonts w:ascii="IRNazanin" w:hAnsi="IRNazanin" w:eastAsia="IRNazanin" w:cs="IRNazanin"/>
            <w:color w:val="111111"/>
            <w:sz w:val="22"/>
            <w:szCs w:val="22"/>
            <w:b w:val="0"/>
            <w:bCs w:val="0"/>
            <w:i w:val="0"/>
            <w:iCs w:val="0"/>
          </w:rPr>
          <w:t>دیوان شهفینی‏</w:t>
        </w:r>
        <w:r>
          <w:tab/>
        </w:r>
        <w:r>
          <w:fldChar w:fldCharType="begin"/>
        </w:r>
        <w:r>
          <w:instrText xml:space="preserve">PAGEREF 4093 \h</w:instrText>
        </w:r>
        <w:r>
          <w:fldChar w:fldCharType="end"/>
        </w:r>
      </w:hyperlink>
    </w:p>
    <w:p>
      <w:pPr>
        <w:tabs>
          <w:tab w:val="right" w:leader="dot" w:pos="9062"/>
        </w:tabs>
        <w:ind w:left="440"/>
      </w:pPr>
      <w:hyperlink w:anchor="_Toc4094" w:history="1">
        <w:r>
          <w:rPr>
            <w:rFonts w:ascii="IRNazanin" w:hAnsi="IRNazanin" w:eastAsia="IRNazanin" w:cs="IRNazanin"/>
            <w:color w:val="111111"/>
            <w:sz w:val="22"/>
            <w:szCs w:val="22"/>
            <w:b w:val="0"/>
            <w:bCs w:val="0"/>
            <w:i w:val="0"/>
            <w:iCs w:val="0"/>
          </w:rPr>
          <w:t>3096- دیوان شهلای یزدی‏</w:t>
        </w:r>
        <w:r>
          <w:tab/>
        </w:r>
        <w:r>
          <w:fldChar w:fldCharType="begin"/>
        </w:r>
        <w:r>
          <w:instrText xml:space="preserve">PAGEREF 4094 \h</w:instrText>
        </w:r>
        <w:r>
          <w:fldChar w:fldCharType="end"/>
        </w:r>
      </w:hyperlink>
    </w:p>
    <w:p>
      <w:pPr>
        <w:tabs>
          <w:tab w:val="right" w:leader="dot" w:pos="9062"/>
        </w:tabs>
        <w:ind w:left="440"/>
      </w:pPr>
      <w:hyperlink w:anchor="_Toc4095" w:history="1">
        <w:r>
          <w:rPr>
            <w:rFonts w:ascii="IRNazanin" w:hAnsi="IRNazanin" w:eastAsia="IRNazanin" w:cs="IRNazanin"/>
            <w:color w:val="111111"/>
            <w:sz w:val="22"/>
            <w:szCs w:val="22"/>
            <w:b w:val="0"/>
            <w:bCs w:val="0"/>
            <w:i w:val="0"/>
            <w:iCs w:val="0"/>
          </w:rPr>
          <w:t>3097- دیوان شهناز</w:t>
        </w:r>
        <w:r>
          <w:tab/>
        </w:r>
        <w:r>
          <w:fldChar w:fldCharType="begin"/>
        </w:r>
        <w:r>
          <w:instrText xml:space="preserve">PAGEREF 4095 \h</w:instrText>
        </w:r>
        <w:r>
          <w:fldChar w:fldCharType="end"/>
        </w:r>
      </w:hyperlink>
    </w:p>
    <w:p>
      <w:pPr>
        <w:tabs>
          <w:tab w:val="right" w:leader="dot" w:pos="9062"/>
        </w:tabs>
        <w:ind w:left="440"/>
      </w:pPr>
      <w:hyperlink w:anchor="_Toc4096" w:history="1">
        <w:r>
          <w:rPr>
            <w:rFonts w:ascii="IRNazanin" w:hAnsi="IRNazanin" w:eastAsia="IRNazanin" w:cs="IRNazanin"/>
            <w:color w:val="111111"/>
            <w:sz w:val="22"/>
            <w:szCs w:val="22"/>
            <w:b w:val="0"/>
            <w:bCs w:val="0"/>
            <w:i w:val="0"/>
            <w:iCs w:val="0"/>
          </w:rPr>
          <w:t>3098- دیوان شهناز أعلامی‏</w:t>
        </w:r>
        <w:r>
          <w:tab/>
        </w:r>
        <w:r>
          <w:fldChar w:fldCharType="begin"/>
        </w:r>
        <w:r>
          <w:instrText xml:space="preserve">PAGEREF 4096 \h</w:instrText>
        </w:r>
        <w:r>
          <w:fldChar w:fldCharType="end"/>
        </w:r>
      </w:hyperlink>
    </w:p>
    <w:p>
      <w:pPr>
        <w:tabs>
          <w:tab w:val="right" w:leader="dot" w:pos="9062"/>
        </w:tabs>
        <w:ind w:left="440"/>
      </w:pPr>
      <w:hyperlink w:anchor="_Toc4097" w:history="1">
        <w:r>
          <w:rPr>
            <w:rFonts w:ascii="IRNazanin" w:hAnsi="IRNazanin" w:eastAsia="IRNazanin" w:cs="IRNazanin"/>
            <w:color w:val="111111"/>
            <w:sz w:val="22"/>
            <w:szCs w:val="22"/>
            <w:b w:val="0"/>
            <w:bCs w:val="0"/>
            <w:i w:val="0"/>
            <w:iCs w:val="0"/>
          </w:rPr>
          <w:t>3099- دیوان شهناز نائنی أو شعره‏</w:t>
        </w:r>
        <w:r>
          <w:tab/>
        </w:r>
        <w:r>
          <w:fldChar w:fldCharType="begin"/>
        </w:r>
        <w:r>
          <w:instrText xml:space="preserve">PAGEREF 4097 \h</w:instrText>
        </w:r>
        <w:r>
          <w:fldChar w:fldCharType="end"/>
        </w:r>
      </w:hyperlink>
    </w:p>
    <w:p>
      <w:pPr>
        <w:tabs>
          <w:tab w:val="right" w:leader="dot" w:pos="9062"/>
        </w:tabs>
        <w:ind w:left="440"/>
      </w:pPr>
      <w:hyperlink w:anchor="_Toc4098" w:history="1">
        <w:r>
          <w:rPr>
            <w:rFonts w:ascii="IRNazanin" w:hAnsi="IRNazanin" w:eastAsia="IRNazanin" w:cs="IRNazanin"/>
            <w:color w:val="111111"/>
            <w:sz w:val="22"/>
            <w:szCs w:val="22"/>
            <w:b w:val="0"/>
            <w:bCs w:val="0"/>
            <w:i w:val="0"/>
            <w:iCs w:val="0"/>
          </w:rPr>
          <w:t>3100- دیوان شهودی أصفهانی أو شعره‏</w:t>
        </w:r>
        <w:r>
          <w:tab/>
        </w:r>
        <w:r>
          <w:fldChar w:fldCharType="begin"/>
        </w:r>
        <w:r>
          <w:instrText xml:space="preserve">PAGEREF 4098 \h</w:instrText>
        </w:r>
        <w:r>
          <w:fldChar w:fldCharType="end"/>
        </w:r>
      </w:hyperlink>
    </w:p>
    <w:p>
      <w:pPr>
        <w:tabs>
          <w:tab w:val="right" w:leader="dot" w:pos="9062"/>
        </w:tabs>
        <w:ind w:left="440"/>
      </w:pPr>
      <w:hyperlink w:anchor="_Toc4099" w:history="1">
        <w:r>
          <w:rPr>
            <w:rFonts w:ascii="IRNazanin" w:hAnsi="IRNazanin" w:eastAsia="IRNazanin" w:cs="IRNazanin"/>
            <w:color w:val="111111"/>
            <w:sz w:val="22"/>
            <w:szCs w:val="22"/>
            <w:b w:val="0"/>
            <w:bCs w:val="0"/>
            <w:i w:val="0"/>
            <w:iCs w:val="0"/>
          </w:rPr>
          <w:t>3101- دیوان شهودی سبزواری أو شعره‏</w:t>
        </w:r>
        <w:r>
          <w:tab/>
        </w:r>
        <w:r>
          <w:fldChar w:fldCharType="begin"/>
        </w:r>
        <w:r>
          <w:instrText xml:space="preserve">PAGEREF 4099 \h</w:instrText>
        </w:r>
        <w:r>
          <w:fldChar w:fldCharType="end"/>
        </w:r>
      </w:hyperlink>
    </w:p>
    <w:p>
      <w:pPr>
        <w:tabs>
          <w:tab w:val="right" w:leader="dot" w:pos="9062"/>
        </w:tabs>
        <w:ind w:left="440"/>
      </w:pPr>
      <w:hyperlink w:anchor="_Toc4100" w:history="1">
        <w:r>
          <w:rPr>
            <w:rFonts w:ascii="IRNazanin" w:hAnsi="IRNazanin" w:eastAsia="IRNazanin" w:cs="IRNazanin"/>
            <w:color w:val="111111"/>
            <w:sz w:val="22"/>
            <w:szCs w:val="22"/>
            <w:b w:val="0"/>
            <w:bCs w:val="0"/>
            <w:i w:val="0"/>
            <w:iCs w:val="0"/>
          </w:rPr>
          <w:t>3102- دیوان شهودی لاهیجی‏</w:t>
        </w:r>
        <w:r>
          <w:tab/>
        </w:r>
        <w:r>
          <w:fldChar w:fldCharType="begin"/>
        </w:r>
        <w:r>
          <w:instrText xml:space="preserve">PAGEREF 4100 \h</w:instrText>
        </w:r>
        <w:r>
          <w:fldChar w:fldCharType="end"/>
        </w:r>
      </w:hyperlink>
    </w:p>
    <w:p>
      <w:pPr>
        <w:tabs>
          <w:tab w:val="right" w:leader="dot" w:pos="9062"/>
        </w:tabs>
        <w:ind w:left="440"/>
      </w:pPr>
      <w:hyperlink w:anchor="_Toc4101" w:history="1">
        <w:r>
          <w:rPr>
            <w:rFonts w:ascii="IRNazanin" w:hAnsi="IRNazanin" w:eastAsia="IRNazanin" w:cs="IRNazanin"/>
            <w:color w:val="111111"/>
            <w:sz w:val="22"/>
            <w:szCs w:val="22"/>
            <w:b w:val="0"/>
            <w:bCs w:val="0"/>
            <w:i w:val="0"/>
            <w:iCs w:val="0"/>
          </w:rPr>
          <w:t>3103- دیوان شهودی یزدی‏</w:t>
        </w:r>
        <w:r>
          <w:tab/>
        </w:r>
        <w:r>
          <w:fldChar w:fldCharType="begin"/>
        </w:r>
        <w:r>
          <w:instrText xml:space="preserve">PAGEREF 4101 \h</w:instrText>
        </w:r>
        <w:r>
          <w:fldChar w:fldCharType="end"/>
        </w:r>
      </w:hyperlink>
    </w:p>
    <w:p>
      <w:pPr>
        <w:tabs>
          <w:tab w:val="right" w:leader="dot" w:pos="9062"/>
        </w:tabs>
        <w:ind w:left="440"/>
      </w:pPr>
      <w:hyperlink w:anchor="_Toc4102" w:history="1">
        <w:r>
          <w:rPr>
            <w:rFonts w:ascii="IRNazanin" w:hAnsi="IRNazanin" w:eastAsia="IRNazanin" w:cs="IRNazanin"/>
            <w:color w:val="111111"/>
            <w:sz w:val="22"/>
            <w:szCs w:val="22"/>
            <w:b w:val="0"/>
            <w:bCs w:val="0"/>
            <w:i w:val="0"/>
            <w:iCs w:val="0"/>
          </w:rPr>
          <w:t>3104- دیوان شهی شیرازی أو شعره‏</w:t>
        </w:r>
        <w:r>
          <w:tab/>
        </w:r>
        <w:r>
          <w:fldChar w:fldCharType="begin"/>
        </w:r>
        <w:r>
          <w:instrText xml:space="preserve">PAGEREF 4102 \h</w:instrText>
        </w:r>
        <w:r>
          <w:fldChar w:fldCharType="end"/>
        </w:r>
      </w:hyperlink>
    </w:p>
    <w:p>
      <w:pPr>
        <w:tabs>
          <w:tab w:val="right" w:leader="dot" w:pos="9062"/>
        </w:tabs>
        <w:ind w:left="440"/>
      </w:pPr>
      <w:hyperlink w:anchor="_Toc4103" w:history="1">
        <w:r>
          <w:rPr>
            <w:rFonts w:ascii="IRNazanin" w:hAnsi="IRNazanin" w:eastAsia="IRNazanin" w:cs="IRNazanin"/>
            <w:color w:val="111111"/>
            <w:sz w:val="22"/>
            <w:szCs w:val="22"/>
            <w:b w:val="0"/>
            <w:bCs w:val="0"/>
            <w:i w:val="0"/>
            <w:iCs w:val="0"/>
          </w:rPr>
          <w:t>3105- دیوان الشهید الأول‏</w:t>
        </w:r>
        <w:r>
          <w:tab/>
        </w:r>
        <w:r>
          <w:fldChar w:fldCharType="begin"/>
        </w:r>
        <w:r>
          <w:instrText xml:space="preserve">PAGEREF 4103 \h</w:instrText>
        </w:r>
        <w:r>
          <w:fldChar w:fldCharType="end"/>
        </w:r>
      </w:hyperlink>
    </w:p>
    <w:p>
      <w:pPr>
        <w:tabs>
          <w:tab w:val="right" w:leader="dot" w:pos="9062"/>
        </w:tabs>
        <w:ind w:left="440"/>
      </w:pPr>
      <w:hyperlink w:anchor="_Toc4104" w:history="1">
        <w:r>
          <w:rPr>
            <w:rFonts w:ascii="IRNazanin" w:hAnsi="IRNazanin" w:eastAsia="IRNazanin" w:cs="IRNazanin"/>
            <w:color w:val="111111"/>
            <w:sz w:val="22"/>
            <w:szCs w:val="22"/>
            <w:b w:val="0"/>
            <w:bCs w:val="0"/>
            <w:i w:val="0"/>
            <w:iCs w:val="0"/>
          </w:rPr>
          <w:t>3106- دیوان شهید بلخی‏</w:t>
        </w:r>
        <w:r>
          <w:tab/>
        </w:r>
        <w:r>
          <w:fldChar w:fldCharType="begin"/>
        </w:r>
        <w:r>
          <w:instrText xml:space="preserve">PAGEREF 4104 \h</w:instrText>
        </w:r>
        <w:r>
          <w:fldChar w:fldCharType="end"/>
        </w:r>
      </w:hyperlink>
    </w:p>
    <w:p>
      <w:pPr>
        <w:tabs>
          <w:tab w:val="right" w:leader="dot" w:pos="9062"/>
        </w:tabs>
        <w:ind w:left="440"/>
      </w:pPr>
      <w:hyperlink w:anchor="_Toc4105" w:history="1">
        <w:r>
          <w:rPr>
            <w:rFonts w:ascii="IRNazanin" w:hAnsi="IRNazanin" w:eastAsia="IRNazanin" w:cs="IRNazanin"/>
            <w:color w:val="111111"/>
            <w:sz w:val="22"/>
            <w:szCs w:val="22"/>
            <w:b w:val="0"/>
            <w:bCs w:val="0"/>
            <w:i w:val="0"/>
            <w:iCs w:val="0"/>
          </w:rPr>
          <w:t>3107- دیوان شهید دزفولی أو شعره‏</w:t>
        </w:r>
        <w:r>
          <w:tab/>
        </w:r>
        <w:r>
          <w:fldChar w:fldCharType="begin"/>
        </w:r>
        <w:r>
          <w:instrText xml:space="preserve">PAGEREF 4105 \h</w:instrText>
        </w:r>
        <w:r>
          <w:fldChar w:fldCharType="end"/>
        </w:r>
      </w:hyperlink>
    </w:p>
    <w:p>
      <w:pPr>
        <w:tabs>
          <w:tab w:val="right" w:leader="dot" w:pos="9062"/>
        </w:tabs>
        <w:ind w:left="440"/>
      </w:pPr>
      <w:hyperlink w:anchor="_Toc4106" w:history="1">
        <w:r>
          <w:rPr>
            <w:rFonts w:ascii="IRNazanin" w:hAnsi="IRNazanin" w:eastAsia="IRNazanin" w:cs="IRNazanin"/>
            <w:color w:val="111111"/>
            <w:sz w:val="22"/>
            <w:szCs w:val="22"/>
            <w:b w:val="0"/>
            <w:bCs w:val="0"/>
            <w:i w:val="0"/>
            <w:iCs w:val="0"/>
          </w:rPr>
          <w:t>3108- دیوان شهید شیرازی أو شعره‏</w:t>
        </w:r>
        <w:r>
          <w:tab/>
        </w:r>
        <w:r>
          <w:fldChar w:fldCharType="begin"/>
        </w:r>
        <w:r>
          <w:instrText xml:space="preserve">PAGEREF 4106 \h</w:instrText>
        </w:r>
        <w:r>
          <w:fldChar w:fldCharType="end"/>
        </w:r>
      </w:hyperlink>
    </w:p>
    <w:p>
      <w:pPr>
        <w:tabs>
          <w:tab w:val="right" w:leader="dot" w:pos="9062"/>
        </w:tabs>
        <w:ind w:left="440"/>
      </w:pPr>
      <w:hyperlink w:anchor="_Toc4107" w:history="1">
        <w:r>
          <w:rPr>
            <w:rFonts w:ascii="IRNazanin" w:hAnsi="IRNazanin" w:eastAsia="IRNazanin" w:cs="IRNazanin"/>
            <w:color w:val="111111"/>
            <w:sz w:val="22"/>
            <w:szCs w:val="22"/>
            <w:b w:val="0"/>
            <w:bCs w:val="0"/>
            <w:i w:val="0"/>
            <w:iCs w:val="0"/>
          </w:rPr>
          <w:t>3109- دیوان شهید قمی‏</w:t>
        </w:r>
        <w:r>
          <w:tab/>
        </w:r>
        <w:r>
          <w:fldChar w:fldCharType="begin"/>
        </w:r>
        <w:r>
          <w:instrText xml:space="preserve">PAGEREF 4107 \h</w:instrText>
        </w:r>
        <w:r>
          <w:fldChar w:fldCharType="end"/>
        </w:r>
      </w:hyperlink>
    </w:p>
    <w:p>
      <w:pPr>
        <w:tabs>
          <w:tab w:val="right" w:leader="dot" w:pos="9062"/>
        </w:tabs>
        <w:ind w:left="440"/>
      </w:pPr>
      <w:hyperlink w:anchor="_Toc4108" w:history="1">
        <w:r>
          <w:rPr>
            <w:rFonts w:ascii="IRNazanin" w:hAnsi="IRNazanin" w:eastAsia="IRNazanin" w:cs="IRNazanin"/>
            <w:color w:val="111111"/>
            <w:sz w:val="22"/>
            <w:szCs w:val="22"/>
            <w:b w:val="0"/>
            <w:bCs w:val="0"/>
            <w:i w:val="0"/>
            <w:iCs w:val="0"/>
          </w:rPr>
          <w:t>3110- دیوان شهید لاهیجانی‏</w:t>
        </w:r>
        <w:r>
          <w:tab/>
        </w:r>
        <w:r>
          <w:fldChar w:fldCharType="begin"/>
        </w:r>
        <w:r>
          <w:instrText xml:space="preserve">PAGEREF 4108 \h</w:instrText>
        </w:r>
        <w:r>
          <w:fldChar w:fldCharType="end"/>
        </w:r>
      </w:hyperlink>
    </w:p>
    <w:p>
      <w:pPr>
        <w:tabs>
          <w:tab w:val="right" w:leader="dot" w:pos="9062"/>
        </w:tabs>
        <w:ind w:left="440"/>
      </w:pPr>
      <w:hyperlink w:anchor="_Toc4109" w:history="1">
        <w:r>
          <w:rPr>
            <w:rFonts w:ascii="IRNazanin" w:hAnsi="IRNazanin" w:eastAsia="IRNazanin" w:cs="IRNazanin"/>
            <w:color w:val="111111"/>
            <w:sz w:val="22"/>
            <w:szCs w:val="22"/>
            <w:b w:val="0"/>
            <w:bCs w:val="0"/>
            <w:i w:val="0"/>
            <w:iCs w:val="0"/>
          </w:rPr>
          <w:t>3111- دیوان شهید لاهوری أو شعره‏</w:t>
        </w:r>
        <w:r>
          <w:tab/>
        </w:r>
        <w:r>
          <w:fldChar w:fldCharType="begin"/>
        </w:r>
        <w:r>
          <w:instrText xml:space="preserve">PAGEREF 4109 \h</w:instrText>
        </w:r>
        <w:r>
          <w:fldChar w:fldCharType="end"/>
        </w:r>
      </w:hyperlink>
    </w:p>
    <w:p>
      <w:pPr>
        <w:tabs>
          <w:tab w:val="right" w:leader="dot" w:pos="9062"/>
        </w:tabs>
        <w:ind w:left="440"/>
      </w:pPr>
      <w:hyperlink w:anchor="_Toc4110" w:history="1">
        <w:r>
          <w:rPr>
            <w:rFonts w:ascii="IRNazanin" w:hAnsi="IRNazanin" w:eastAsia="IRNazanin" w:cs="IRNazanin"/>
            <w:color w:val="111111"/>
            <w:sz w:val="22"/>
            <w:szCs w:val="22"/>
            <w:b w:val="0"/>
            <w:bCs w:val="0"/>
            <w:i w:val="0"/>
            <w:iCs w:val="0"/>
          </w:rPr>
          <w:t>3112- دیوان شهیدی بختیاری‏</w:t>
        </w:r>
        <w:r>
          <w:tab/>
        </w:r>
        <w:r>
          <w:fldChar w:fldCharType="begin"/>
        </w:r>
        <w:r>
          <w:instrText xml:space="preserve">PAGEREF 4110 \h</w:instrText>
        </w:r>
        <w:r>
          <w:fldChar w:fldCharType="end"/>
        </w:r>
      </w:hyperlink>
    </w:p>
    <w:p>
      <w:pPr>
        <w:tabs>
          <w:tab w:val="right" w:leader="dot" w:pos="9062"/>
        </w:tabs>
        <w:ind w:left="440"/>
      </w:pPr>
      <w:hyperlink w:anchor="_Toc4111" w:history="1">
        <w:r>
          <w:rPr>
            <w:rFonts w:ascii="IRNazanin" w:hAnsi="IRNazanin" w:eastAsia="IRNazanin" w:cs="IRNazanin"/>
            <w:color w:val="111111"/>
            <w:sz w:val="22"/>
            <w:szCs w:val="22"/>
            <w:b w:val="0"/>
            <w:bCs w:val="0"/>
            <w:i w:val="0"/>
            <w:iCs w:val="0"/>
          </w:rPr>
          <w:t>3113- دیوان شهیدی خراسانی‏</w:t>
        </w:r>
        <w:r>
          <w:tab/>
        </w:r>
        <w:r>
          <w:fldChar w:fldCharType="begin"/>
        </w:r>
        <w:r>
          <w:instrText xml:space="preserve">PAGEREF 4111 \h</w:instrText>
        </w:r>
        <w:r>
          <w:fldChar w:fldCharType="end"/>
        </w:r>
      </w:hyperlink>
    </w:p>
    <w:p>
      <w:pPr>
        <w:tabs>
          <w:tab w:val="right" w:leader="dot" w:pos="9062"/>
        </w:tabs>
        <w:ind w:left="440"/>
      </w:pPr>
      <w:hyperlink w:anchor="_Toc4112" w:history="1">
        <w:r>
          <w:rPr>
            <w:rFonts w:ascii="IRNazanin" w:hAnsi="IRNazanin" w:eastAsia="IRNazanin" w:cs="IRNazanin"/>
            <w:color w:val="111111"/>
            <w:sz w:val="22"/>
            <w:szCs w:val="22"/>
            <w:b w:val="0"/>
            <w:bCs w:val="0"/>
            <w:i w:val="0"/>
            <w:iCs w:val="0"/>
          </w:rPr>
          <w:t>3114- دیوان شهیدی قمی‏</w:t>
        </w:r>
        <w:r>
          <w:tab/>
        </w:r>
        <w:r>
          <w:fldChar w:fldCharType="begin"/>
        </w:r>
        <w:r>
          <w:instrText xml:space="preserve">PAGEREF 4112 \h</w:instrText>
        </w:r>
        <w:r>
          <w:fldChar w:fldCharType="end"/>
        </w:r>
      </w:hyperlink>
    </w:p>
    <w:p>
      <w:pPr>
        <w:tabs>
          <w:tab w:val="right" w:leader="dot" w:pos="9062"/>
        </w:tabs>
        <w:ind w:left="440"/>
      </w:pPr>
      <w:hyperlink w:anchor="_Toc4113" w:history="1">
        <w:r>
          <w:rPr>
            <w:rFonts w:ascii="IRNazanin" w:hAnsi="IRNazanin" w:eastAsia="IRNazanin" w:cs="IRNazanin"/>
            <w:color w:val="111111"/>
            <w:sz w:val="22"/>
            <w:szCs w:val="22"/>
            <w:b w:val="0"/>
            <w:bCs w:val="0"/>
            <w:i w:val="0"/>
            <w:iCs w:val="0"/>
          </w:rPr>
          <w:t>3115- دیوان شهیر رامپوری أو شعره‏</w:t>
        </w:r>
        <w:r>
          <w:tab/>
        </w:r>
        <w:r>
          <w:fldChar w:fldCharType="begin"/>
        </w:r>
        <w:r>
          <w:instrText xml:space="preserve">PAGEREF 4113 \h</w:instrText>
        </w:r>
        <w:r>
          <w:fldChar w:fldCharType="end"/>
        </w:r>
      </w:hyperlink>
    </w:p>
    <w:p>
      <w:pPr>
        <w:tabs>
          <w:tab w:val="right" w:leader="dot" w:pos="9062"/>
        </w:tabs>
        <w:ind w:left="440"/>
      </w:pPr>
      <w:hyperlink w:anchor="_Toc4114" w:history="1">
        <w:r>
          <w:rPr>
            <w:rFonts w:ascii="IRNazanin" w:hAnsi="IRNazanin" w:eastAsia="IRNazanin" w:cs="IRNazanin"/>
            <w:color w:val="111111"/>
            <w:sz w:val="22"/>
            <w:szCs w:val="22"/>
            <w:b w:val="0"/>
            <w:bCs w:val="0"/>
            <w:i w:val="0"/>
            <w:iCs w:val="0"/>
          </w:rPr>
          <w:t>3116- دیوان شهی شیرازی أو شعره‏</w:t>
        </w:r>
        <w:r>
          <w:tab/>
        </w:r>
        <w:r>
          <w:fldChar w:fldCharType="begin"/>
        </w:r>
        <w:r>
          <w:instrText xml:space="preserve">PAGEREF 4114 \h</w:instrText>
        </w:r>
        <w:r>
          <w:fldChar w:fldCharType="end"/>
        </w:r>
      </w:hyperlink>
    </w:p>
    <w:p>
      <w:pPr>
        <w:tabs>
          <w:tab w:val="right" w:leader="dot" w:pos="9062"/>
        </w:tabs>
        <w:ind w:left="440"/>
      </w:pPr>
      <w:hyperlink w:anchor="_Toc4115" w:history="1">
        <w:r>
          <w:rPr>
            <w:rFonts w:ascii="IRNazanin" w:hAnsi="IRNazanin" w:eastAsia="IRNazanin" w:cs="IRNazanin"/>
            <w:color w:val="111111"/>
            <w:sz w:val="22"/>
            <w:szCs w:val="22"/>
            <w:b w:val="0"/>
            <w:bCs w:val="0"/>
            <w:i w:val="0"/>
            <w:iCs w:val="0"/>
          </w:rPr>
          <w:t>3117- دیوان الشهیفنی‏</w:t>
        </w:r>
        <w:r>
          <w:tab/>
        </w:r>
        <w:r>
          <w:fldChar w:fldCharType="begin"/>
        </w:r>
        <w:r>
          <w:instrText xml:space="preserve">PAGEREF 4115 \h</w:instrText>
        </w:r>
        <w:r>
          <w:fldChar w:fldCharType="end"/>
        </w:r>
      </w:hyperlink>
    </w:p>
    <w:p>
      <w:pPr>
        <w:tabs>
          <w:tab w:val="right" w:leader="dot" w:pos="9062"/>
        </w:tabs>
        <w:ind w:left="440"/>
      </w:pPr>
      <w:hyperlink w:anchor="_Toc4116" w:history="1">
        <w:r>
          <w:rPr>
            <w:rFonts w:ascii="IRNazanin" w:hAnsi="IRNazanin" w:eastAsia="IRNazanin" w:cs="IRNazanin"/>
            <w:color w:val="111111"/>
            <w:sz w:val="22"/>
            <w:szCs w:val="22"/>
            <w:b w:val="0"/>
            <w:bCs w:val="0"/>
            <w:i w:val="0"/>
            <w:iCs w:val="0"/>
          </w:rPr>
          <w:t>3118- دیوان شیبانی کاشانی‏</w:t>
        </w:r>
        <w:r>
          <w:tab/>
        </w:r>
        <w:r>
          <w:fldChar w:fldCharType="begin"/>
        </w:r>
        <w:r>
          <w:instrText xml:space="preserve">PAGEREF 4116 \h</w:instrText>
        </w:r>
        <w:r>
          <w:fldChar w:fldCharType="end"/>
        </w:r>
      </w:hyperlink>
    </w:p>
    <w:p>
      <w:pPr>
        <w:tabs>
          <w:tab w:val="right" w:leader="dot" w:pos="9062"/>
        </w:tabs>
        <w:ind w:left="440"/>
      </w:pPr>
      <w:hyperlink w:anchor="_Toc4117" w:history="1">
        <w:r>
          <w:rPr>
            <w:rFonts w:ascii="IRNazanin" w:hAnsi="IRNazanin" w:eastAsia="IRNazanin" w:cs="IRNazanin"/>
            <w:color w:val="111111"/>
            <w:sz w:val="22"/>
            <w:szCs w:val="22"/>
            <w:b w:val="0"/>
            <w:bCs w:val="0"/>
            <w:i w:val="0"/>
            <w:iCs w:val="0"/>
          </w:rPr>
          <w:t>3119- دیوان شیبک خان‏</w:t>
        </w:r>
        <w:r>
          <w:tab/>
        </w:r>
        <w:r>
          <w:fldChar w:fldCharType="begin"/>
        </w:r>
        <w:r>
          <w:instrText xml:space="preserve">PAGEREF 4117 \h</w:instrText>
        </w:r>
        <w:r>
          <w:fldChar w:fldCharType="end"/>
        </w:r>
      </w:hyperlink>
    </w:p>
    <w:p>
      <w:pPr>
        <w:tabs>
          <w:tab w:val="right" w:leader="dot" w:pos="9062"/>
        </w:tabs>
        <w:ind w:left="440"/>
      </w:pPr>
      <w:hyperlink w:anchor="_Toc4118" w:history="1">
        <w:r>
          <w:rPr>
            <w:rFonts w:ascii="IRNazanin" w:hAnsi="IRNazanin" w:eastAsia="IRNazanin" w:cs="IRNazanin"/>
            <w:color w:val="111111"/>
            <w:sz w:val="22"/>
            <w:szCs w:val="22"/>
            <w:b w:val="0"/>
            <w:bCs w:val="0"/>
            <w:i w:val="0"/>
            <w:iCs w:val="0"/>
          </w:rPr>
          <w:t>دیوان شیخ آذری أسفراینی‏</w:t>
        </w:r>
        <w:r>
          <w:tab/>
        </w:r>
        <w:r>
          <w:fldChar w:fldCharType="begin"/>
        </w:r>
        <w:r>
          <w:instrText xml:space="preserve">PAGEREF 4118 \h</w:instrText>
        </w:r>
        <w:r>
          <w:fldChar w:fldCharType="end"/>
        </w:r>
      </w:hyperlink>
    </w:p>
    <w:p>
      <w:pPr>
        <w:tabs>
          <w:tab w:val="right" w:leader="dot" w:pos="9062"/>
        </w:tabs>
        <w:ind w:left="440"/>
      </w:pPr>
      <w:hyperlink w:anchor="_Toc4119" w:history="1">
        <w:r>
          <w:rPr>
            <w:rFonts w:ascii="IRNazanin" w:hAnsi="IRNazanin" w:eastAsia="IRNazanin" w:cs="IRNazanin"/>
            <w:color w:val="111111"/>
            <w:sz w:val="22"/>
            <w:szCs w:val="22"/>
            <w:b w:val="0"/>
            <w:bCs w:val="0"/>
            <w:i w:val="0"/>
            <w:iCs w:val="0"/>
          </w:rPr>
          <w:t>دیوان شیخ أبو الحسن خرقانی‏</w:t>
        </w:r>
        <w:r>
          <w:tab/>
        </w:r>
        <w:r>
          <w:fldChar w:fldCharType="begin"/>
        </w:r>
        <w:r>
          <w:instrText xml:space="preserve">PAGEREF 4119 \h</w:instrText>
        </w:r>
        <w:r>
          <w:fldChar w:fldCharType="end"/>
        </w:r>
      </w:hyperlink>
    </w:p>
    <w:p>
      <w:pPr>
        <w:tabs>
          <w:tab w:val="right" w:leader="dot" w:pos="9062"/>
        </w:tabs>
        <w:ind w:left="440"/>
      </w:pPr>
      <w:hyperlink w:anchor="_Toc4120" w:history="1">
        <w:r>
          <w:rPr>
            <w:rFonts w:ascii="IRNazanin" w:hAnsi="IRNazanin" w:eastAsia="IRNazanin" w:cs="IRNazanin"/>
            <w:color w:val="111111"/>
            <w:sz w:val="22"/>
            <w:szCs w:val="22"/>
            <w:b w:val="0"/>
            <w:bCs w:val="0"/>
            <w:i w:val="0"/>
            <w:iCs w:val="0"/>
          </w:rPr>
          <w:t>دیوان الشیخ أبی سعید أبی الخیر</w:t>
        </w:r>
        <w:r>
          <w:tab/>
        </w:r>
        <w:r>
          <w:fldChar w:fldCharType="begin"/>
        </w:r>
        <w:r>
          <w:instrText xml:space="preserve">PAGEREF 4120 \h</w:instrText>
        </w:r>
        <w:r>
          <w:fldChar w:fldCharType="end"/>
        </w:r>
      </w:hyperlink>
    </w:p>
    <w:p>
      <w:pPr>
        <w:tabs>
          <w:tab w:val="right" w:leader="dot" w:pos="9062"/>
        </w:tabs>
        <w:ind w:left="440"/>
      </w:pPr>
      <w:hyperlink w:anchor="_Toc4121" w:history="1">
        <w:r>
          <w:rPr>
            <w:rFonts w:ascii="IRNazanin" w:hAnsi="IRNazanin" w:eastAsia="IRNazanin" w:cs="IRNazanin"/>
            <w:color w:val="111111"/>
            <w:sz w:val="22"/>
            <w:szCs w:val="22"/>
            <w:b w:val="0"/>
            <w:bCs w:val="0"/>
            <w:i w:val="0"/>
            <w:iCs w:val="0"/>
          </w:rPr>
          <w:t>دیوان شیخ الإسلام بخاری‏</w:t>
        </w:r>
        <w:r>
          <w:tab/>
        </w:r>
        <w:r>
          <w:fldChar w:fldCharType="begin"/>
        </w:r>
        <w:r>
          <w:instrText xml:space="preserve">PAGEREF 4121 \h</w:instrText>
        </w:r>
        <w:r>
          <w:fldChar w:fldCharType="end"/>
        </w:r>
      </w:hyperlink>
    </w:p>
    <w:p>
      <w:pPr>
        <w:tabs>
          <w:tab w:val="right" w:leader="dot" w:pos="9062"/>
        </w:tabs>
        <w:ind w:left="440"/>
      </w:pPr>
      <w:hyperlink w:anchor="_Toc4122" w:history="1">
        <w:r>
          <w:rPr>
            <w:rFonts w:ascii="IRNazanin" w:hAnsi="IRNazanin" w:eastAsia="IRNazanin" w:cs="IRNazanin"/>
            <w:color w:val="111111"/>
            <w:sz w:val="22"/>
            <w:szCs w:val="22"/>
            <w:b w:val="0"/>
            <w:bCs w:val="0"/>
            <w:i w:val="0"/>
            <w:iCs w:val="0"/>
          </w:rPr>
          <w:t>دیوان شیخ الإسلامی‏</w:t>
        </w:r>
        <w:r>
          <w:tab/>
        </w:r>
        <w:r>
          <w:fldChar w:fldCharType="begin"/>
        </w:r>
        <w:r>
          <w:instrText xml:space="preserve">PAGEREF 4122 \h</w:instrText>
        </w:r>
        <w:r>
          <w:fldChar w:fldCharType="end"/>
        </w:r>
      </w:hyperlink>
    </w:p>
    <w:p>
      <w:pPr>
        <w:tabs>
          <w:tab w:val="right" w:leader="dot" w:pos="9062"/>
        </w:tabs>
        <w:ind w:left="440"/>
      </w:pPr>
      <w:hyperlink w:anchor="_Toc4123" w:history="1">
        <w:r>
          <w:rPr>
            <w:rFonts w:ascii="IRNazanin" w:hAnsi="IRNazanin" w:eastAsia="IRNazanin" w:cs="IRNazanin"/>
            <w:color w:val="111111"/>
            <w:sz w:val="22"/>
            <w:szCs w:val="22"/>
            <w:b w:val="0"/>
            <w:bCs w:val="0"/>
            <w:i w:val="0"/>
            <w:iCs w:val="0"/>
          </w:rPr>
          <w:t>دیوان الشیخ جمال الدین البروجردی‏</w:t>
        </w:r>
        <w:r>
          <w:tab/>
        </w:r>
        <w:r>
          <w:fldChar w:fldCharType="begin"/>
        </w:r>
        <w:r>
          <w:instrText xml:space="preserve">PAGEREF 4123 \h</w:instrText>
        </w:r>
        <w:r>
          <w:fldChar w:fldCharType="end"/>
        </w:r>
      </w:hyperlink>
    </w:p>
    <w:p>
      <w:pPr>
        <w:tabs>
          <w:tab w:val="right" w:leader="dot" w:pos="9062"/>
        </w:tabs>
        <w:ind w:left="440"/>
      </w:pPr>
      <w:hyperlink w:anchor="_Toc4124" w:history="1">
        <w:r>
          <w:rPr>
            <w:rFonts w:ascii="IRNazanin" w:hAnsi="IRNazanin" w:eastAsia="IRNazanin" w:cs="IRNazanin"/>
            <w:color w:val="111111"/>
            <w:sz w:val="22"/>
            <w:szCs w:val="22"/>
            <w:b w:val="0"/>
            <w:bCs w:val="0"/>
            <w:i w:val="0"/>
            <w:iCs w:val="0"/>
          </w:rPr>
          <w:t>دیوان الشیخ الحر</w:t>
        </w:r>
        <w:r>
          <w:tab/>
        </w:r>
        <w:r>
          <w:fldChar w:fldCharType="begin"/>
        </w:r>
        <w:r>
          <w:instrText xml:space="preserve">PAGEREF 4124 \h</w:instrText>
        </w:r>
        <w:r>
          <w:fldChar w:fldCharType="end"/>
        </w:r>
      </w:hyperlink>
    </w:p>
    <w:p>
      <w:pPr>
        <w:tabs>
          <w:tab w:val="right" w:leader="dot" w:pos="9062"/>
        </w:tabs>
        <w:ind w:left="440"/>
      </w:pPr>
      <w:hyperlink w:anchor="_Toc4125" w:history="1">
        <w:r>
          <w:rPr>
            <w:rFonts w:ascii="IRNazanin" w:hAnsi="IRNazanin" w:eastAsia="IRNazanin" w:cs="IRNazanin"/>
            <w:color w:val="111111"/>
            <w:sz w:val="22"/>
            <w:szCs w:val="22"/>
            <w:b w:val="0"/>
            <w:bCs w:val="0"/>
            <w:i w:val="0"/>
            <w:iCs w:val="0"/>
          </w:rPr>
          <w:t>دیوان شیخ ذو النون القزوینی‏</w:t>
        </w:r>
        <w:r>
          <w:tab/>
        </w:r>
        <w:r>
          <w:fldChar w:fldCharType="begin"/>
        </w:r>
        <w:r>
          <w:instrText xml:space="preserve">PAGEREF 4125 \h</w:instrText>
        </w:r>
        <w:r>
          <w:fldChar w:fldCharType="end"/>
        </w:r>
      </w:hyperlink>
    </w:p>
    <w:p>
      <w:pPr>
        <w:tabs>
          <w:tab w:val="right" w:leader="dot" w:pos="9062"/>
        </w:tabs>
        <w:ind w:left="440"/>
      </w:pPr>
      <w:hyperlink w:anchor="_Toc4126" w:history="1">
        <w:r>
          <w:rPr>
            <w:rFonts w:ascii="IRNazanin" w:hAnsi="IRNazanin" w:eastAsia="IRNazanin" w:cs="IRNazanin"/>
            <w:color w:val="111111"/>
            <w:sz w:val="22"/>
            <w:szCs w:val="22"/>
            <w:b w:val="0"/>
            <w:bCs w:val="0"/>
            <w:i w:val="0"/>
            <w:iCs w:val="0"/>
          </w:rPr>
          <w:t>دیوان شیخ الرئیس‏</w:t>
        </w:r>
        <w:r>
          <w:tab/>
        </w:r>
        <w:r>
          <w:fldChar w:fldCharType="begin"/>
        </w:r>
        <w:r>
          <w:instrText xml:space="preserve">PAGEREF 4126 \h</w:instrText>
        </w:r>
        <w:r>
          <w:fldChar w:fldCharType="end"/>
        </w:r>
      </w:hyperlink>
    </w:p>
    <w:p>
      <w:pPr>
        <w:tabs>
          <w:tab w:val="right" w:leader="dot" w:pos="9062"/>
        </w:tabs>
        <w:ind w:left="440"/>
      </w:pPr>
      <w:hyperlink w:anchor="_Toc4127" w:history="1">
        <w:r>
          <w:rPr>
            <w:rFonts w:ascii="IRNazanin" w:hAnsi="IRNazanin" w:eastAsia="IRNazanin" w:cs="IRNazanin"/>
            <w:color w:val="111111"/>
            <w:sz w:val="22"/>
            <w:szCs w:val="22"/>
            <w:b w:val="0"/>
            <w:bCs w:val="0"/>
            <w:i w:val="0"/>
            <w:iCs w:val="0"/>
          </w:rPr>
          <w:t>دیوان شیخ الرئیس‏</w:t>
        </w:r>
        <w:r>
          <w:tab/>
        </w:r>
        <w:r>
          <w:fldChar w:fldCharType="begin"/>
        </w:r>
        <w:r>
          <w:instrText xml:space="preserve">PAGEREF 4127 \h</w:instrText>
        </w:r>
        <w:r>
          <w:fldChar w:fldCharType="end"/>
        </w:r>
      </w:hyperlink>
    </w:p>
    <w:p>
      <w:pPr>
        <w:tabs>
          <w:tab w:val="right" w:leader="dot" w:pos="9062"/>
        </w:tabs>
        <w:ind w:left="440"/>
      </w:pPr>
      <w:hyperlink w:anchor="_Toc4128" w:history="1">
        <w:r>
          <w:rPr>
            <w:rFonts w:ascii="IRNazanin" w:hAnsi="IRNazanin" w:eastAsia="IRNazanin" w:cs="IRNazanin"/>
            <w:color w:val="111111"/>
            <w:sz w:val="22"/>
            <w:szCs w:val="22"/>
            <w:b w:val="0"/>
            <w:bCs w:val="0"/>
            <w:i w:val="0"/>
            <w:iCs w:val="0"/>
          </w:rPr>
          <w:t>دیوان شیخ رباعی‏</w:t>
        </w:r>
        <w:r>
          <w:tab/>
        </w:r>
        <w:r>
          <w:fldChar w:fldCharType="begin"/>
        </w:r>
        <w:r>
          <w:instrText xml:space="preserve">PAGEREF 4128 \h</w:instrText>
        </w:r>
        <w:r>
          <w:fldChar w:fldCharType="end"/>
        </w:r>
      </w:hyperlink>
    </w:p>
    <w:p>
      <w:pPr>
        <w:tabs>
          <w:tab w:val="right" w:leader="dot" w:pos="9062"/>
        </w:tabs>
        <w:ind w:left="440"/>
      </w:pPr>
      <w:hyperlink w:anchor="_Toc4129" w:history="1">
        <w:r>
          <w:rPr>
            <w:rFonts w:ascii="IRNazanin" w:hAnsi="IRNazanin" w:eastAsia="IRNazanin" w:cs="IRNazanin"/>
            <w:color w:val="111111"/>
            <w:sz w:val="22"/>
            <w:szCs w:val="22"/>
            <w:b w:val="0"/>
            <w:bCs w:val="0"/>
            <w:i w:val="0"/>
            <w:iCs w:val="0"/>
          </w:rPr>
          <w:t>دیوان شیخ‏زاده‏</w:t>
        </w:r>
        <w:r>
          <w:tab/>
        </w:r>
        <w:r>
          <w:fldChar w:fldCharType="begin"/>
        </w:r>
        <w:r>
          <w:instrText xml:space="preserve">PAGEREF 4129 \h</w:instrText>
        </w:r>
        <w:r>
          <w:fldChar w:fldCharType="end"/>
        </w:r>
      </w:hyperlink>
    </w:p>
    <w:p>
      <w:pPr>
        <w:tabs>
          <w:tab w:val="right" w:leader="dot" w:pos="9062"/>
        </w:tabs>
        <w:ind w:left="440"/>
      </w:pPr>
      <w:hyperlink w:anchor="_Toc4130" w:history="1">
        <w:r>
          <w:rPr>
            <w:rFonts w:ascii="IRNazanin" w:hAnsi="IRNazanin" w:eastAsia="IRNazanin" w:cs="IRNazanin"/>
            <w:color w:val="111111"/>
            <w:sz w:val="22"/>
            <w:szCs w:val="22"/>
            <w:b w:val="0"/>
            <w:bCs w:val="0"/>
            <w:i w:val="0"/>
            <w:iCs w:val="0"/>
          </w:rPr>
          <w:t>3120- دیوان شیخ‏زاده الأنصاری‏</w:t>
        </w:r>
        <w:r>
          <w:tab/>
        </w:r>
        <w:r>
          <w:fldChar w:fldCharType="begin"/>
        </w:r>
        <w:r>
          <w:instrText xml:space="preserve">PAGEREF 4130 \h</w:instrText>
        </w:r>
        <w:r>
          <w:fldChar w:fldCharType="end"/>
        </w:r>
      </w:hyperlink>
    </w:p>
    <w:p>
      <w:pPr>
        <w:tabs>
          <w:tab w:val="right" w:leader="dot" w:pos="9062"/>
        </w:tabs>
        <w:ind w:left="440"/>
      </w:pPr>
      <w:hyperlink w:anchor="_Toc4131" w:history="1">
        <w:r>
          <w:rPr>
            <w:rFonts w:ascii="IRNazanin" w:hAnsi="IRNazanin" w:eastAsia="IRNazanin" w:cs="IRNazanin"/>
            <w:color w:val="111111"/>
            <w:sz w:val="22"/>
            <w:szCs w:val="22"/>
            <w:b w:val="0"/>
            <w:bCs w:val="0"/>
            <w:i w:val="0"/>
            <w:iCs w:val="0"/>
          </w:rPr>
          <w:t>3121- دیوان شیخ‏زاده پورانی‏</w:t>
        </w:r>
        <w:r>
          <w:tab/>
        </w:r>
        <w:r>
          <w:fldChar w:fldCharType="begin"/>
        </w:r>
        <w:r>
          <w:instrText xml:space="preserve">PAGEREF 4131 \h</w:instrText>
        </w:r>
        <w:r>
          <w:fldChar w:fldCharType="end"/>
        </w:r>
      </w:hyperlink>
    </w:p>
    <w:p>
      <w:pPr>
        <w:tabs>
          <w:tab w:val="right" w:leader="dot" w:pos="9062"/>
        </w:tabs>
        <w:ind w:left="440"/>
      </w:pPr>
      <w:hyperlink w:anchor="_Toc4132" w:history="1">
        <w:r>
          <w:rPr>
            <w:rFonts w:ascii="IRNazanin" w:hAnsi="IRNazanin" w:eastAsia="IRNazanin" w:cs="IRNazanin"/>
            <w:color w:val="111111"/>
            <w:sz w:val="22"/>
            <w:szCs w:val="22"/>
            <w:b w:val="0"/>
            <w:bCs w:val="0"/>
            <w:i w:val="0"/>
            <w:iCs w:val="0"/>
          </w:rPr>
          <w:t>دیوان شیخ‏زاده لاهیجی‏</w:t>
        </w:r>
        <w:r>
          <w:tab/>
        </w:r>
        <w:r>
          <w:fldChar w:fldCharType="begin"/>
        </w:r>
        <w:r>
          <w:instrText xml:space="preserve">PAGEREF 4132 \h</w:instrText>
        </w:r>
        <w:r>
          <w:fldChar w:fldCharType="end"/>
        </w:r>
      </w:hyperlink>
    </w:p>
    <w:p>
      <w:pPr>
        <w:tabs>
          <w:tab w:val="right" w:leader="dot" w:pos="9062"/>
        </w:tabs>
        <w:ind w:left="440"/>
      </w:pPr>
      <w:hyperlink w:anchor="_Toc4133" w:history="1">
        <w:r>
          <w:rPr>
            <w:rFonts w:ascii="IRNazanin" w:hAnsi="IRNazanin" w:eastAsia="IRNazanin" w:cs="IRNazanin"/>
            <w:color w:val="111111"/>
            <w:sz w:val="22"/>
            <w:szCs w:val="22"/>
            <w:b w:val="0"/>
            <w:bCs w:val="0"/>
            <w:i w:val="0"/>
            <w:iCs w:val="0"/>
          </w:rPr>
          <w:t>3122- دیوان شیخ‏زاده زوزنی‏</w:t>
        </w:r>
        <w:r>
          <w:tab/>
        </w:r>
        <w:r>
          <w:fldChar w:fldCharType="begin"/>
        </w:r>
        <w:r>
          <w:instrText xml:space="preserve">PAGEREF 4133 \h</w:instrText>
        </w:r>
        <w:r>
          <w:fldChar w:fldCharType="end"/>
        </w:r>
      </w:hyperlink>
    </w:p>
    <w:p>
      <w:pPr>
        <w:tabs>
          <w:tab w:val="right" w:leader="dot" w:pos="9062"/>
        </w:tabs>
        <w:ind w:left="440"/>
      </w:pPr>
      <w:hyperlink w:anchor="_Toc4134" w:history="1">
        <w:r>
          <w:rPr>
            <w:rFonts w:ascii="IRNazanin" w:hAnsi="IRNazanin" w:eastAsia="IRNazanin" w:cs="IRNazanin"/>
            <w:color w:val="111111"/>
            <w:sz w:val="22"/>
            <w:szCs w:val="22"/>
            <w:b w:val="0"/>
            <w:bCs w:val="0"/>
            <w:i w:val="0"/>
            <w:iCs w:val="0"/>
          </w:rPr>
          <w:t>دیوان شیخ شطاح‏</w:t>
        </w:r>
        <w:r>
          <w:tab/>
        </w:r>
        <w:r>
          <w:fldChar w:fldCharType="begin"/>
        </w:r>
        <w:r>
          <w:instrText xml:space="preserve">PAGEREF 4134 \h</w:instrText>
        </w:r>
        <w:r>
          <w:fldChar w:fldCharType="end"/>
        </w:r>
      </w:hyperlink>
    </w:p>
    <w:p>
      <w:pPr>
        <w:tabs>
          <w:tab w:val="right" w:leader="dot" w:pos="9062"/>
        </w:tabs>
        <w:ind w:left="440"/>
      </w:pPr>
      <w:hyperlink w:anchor="_Toc4135" w:history="1">
        <w:r>
          <w:rPr>
            <w:rFonts w:ascii="IRNazanin" w:hAnsi="IRNazanin" w:eastAsia="IRNazanin" w:cs="IRNazanin"/>
            <w:color w:val="111111"/>
            <w:sz w:val="22"/>
            <w:szCs w:val="22"/>
            <w:b w:val="0"/>
            <w:bCs w:val="0"/>
            <w:i w:val="0"/>
            <w:iCs w:val="0"/>
          </w:rPr>
          <w:t>دیوان شیخ صفی‏</w:t>
        </w:r>
        <w:r>
          <w:tab/>
        </w:r>
        <w:r>
          <w:fldChar w:fldCharType="begin"/>
        </w:r>
        <w:r>
          <w:instrText xml:space="preserve">PAGEREF 4135 \h</w:instrText>
        </w:r>
        <w:r>
          <w:fldChar w:fldCharType="end"/>
        </w:r>
      </w:hyperlink>
    </w:p>
    <w:p>
      <w:pPr>
        <w:tabs>
          <w:tab w:val="right" w:leader="dot" w:pos="9062"/>
        </w:tabs>
        <w:ind w:left="440"/>
      </w:pPr>
      <w:hyperlink w:anchor="_Toc4136" w:history="1">
        <w:r>
          <w:rPr>
            <w:rFonts w:ascii="IRNazanin" w:hAnsi="IRNazanin" w:eastAsia="IRNazanin" w:cs="IRNazanin"/>
            <w:color w:val="111111"/>
            <w:sz w:val="22"/>
            <w:szCs w:val="22"/>
            <w:b w:val="0"/>
            <w:bCs w:val="0"/>
            <w:i w:val="0"/>
            <w:iCs w:val="0"/>
          </w:rPr>
          <w:t>دیوان شیخ علاء الدولة رازی‏</w:t>
        </w:r>
        <w:r>
          <w:tab/>
        </w:r>
        <w:r>
          <w:fldChar w:fldCharType="begin"/>
        </w:r>
        <w:r>
          <w:instrText xml:space="preserve">PAGEREF 4136 \h</w:instrText>
        </w:r>
        <w:r>
          <w:fldChar w:fldCharType="end"/>
        </w:r>
      </w:hyperlink>
    </w:p>
    <w:p>
      <w:pPr>
        <w:tabs>
          <w:tab w:val="right" w:leader="dot" w:pos="9062"/>
        </w:tabs>
        <w:ind w:left="440"/>
      </w:pPr>
      <w:hyperlink w:anchor="_Toc4137" w:history="1">
        <w:r>
          <w:rPr>
            <w:rFonts w:ascii="IRNazanin" w:hAnsi="IRNazanin" w:eastAsia="IRNazanin" w:cs="IRNazanin"/>
            <w:color w:val="111111"/>
            <w:sz w:val="22"/>
            <w:szCs w:val="22"/>
            <w:b w:val="0"/>
            <w:bCs w:val="0"/>
            <w:i w:val="0"/>
            <w:iCs w:val="0"/>
          </w:rPr>
          <w:t>دیوان شیخ علاء الدولة سمنانی‏</w:t>
        </w:r>
        <w:r>
          <w:tab/>
        </w:r>
        <w:r>
          <w:fldChar w:fldCharType="begin"/>
        </w:r>
        <w:r>
          <w:instrText xml:space="preserve">PAGEREF 4137 \h</w:instrText>
        </w:r>
        <w:r>
          <w:fldChar w:fldCharType="end"/>
        </w:r>
      </w:hyperlink>
    </w:p>
    <w:p>
      <w:pPr>
        <w:tabs>
          <w:tab w:val="right" w:leader="dot" w:pos="9062"/>
        </w:tabs>
        <w:ind w:left="440"/>
      </w:pPr>
      <w:hyperlink w:anchor="_Toc4138" w:history="1">
        <w:r>
          <w:rPr>
            <w:rFonts w:ascii="IRNazanin" w:hAnsi="IRNazanin" w:eastAsia="IRNazanin" w:cs="IRNazanin"/>
            <w:color w:val="111111"/>
            <w:sz w:val="22"/>
            <w:szCs w:val="22"/>
            <w:b w:val="0"/>
            <w:bCs w:val="0"/>
            <w:i w:val="0"/>
            <w:iCs w:val="0"/>
          </w:rPr>
          <w:t>دیوان شیخ کمال دیلمی‏</w:t>
        </w:r>
        <w:r>
          <w:tab/>
        </w:r>
        <w:r>
          <w:fldChar w:fldCharType="begin"/>
        </w:r>
        <w:r>
          <w:instrText xml:space="preserve">PAGEREF 4138 \h</w:instrText>
        </w:r>
        <w:r>
          <w:fldChar w:fldCharType="end"/>
        </w:r>
      </w:hyperlink>
    </w:p>
    <w:p>
      <w:pPr>
        <w:tabs>
          <w:tab w:val="right" w:leader="dot" w:pos="9062"/>
        </w:tabs>
        <w:ind w:left="440"/>
      </w:pPr>
      <w:hyperlink w:anchor="_Toc4139" w:history="1">
        <w:r>
          <w:rPr>
            <w:rFonts w:ascii="IRNazanin" w:hAnsi="IRNazanin" w:eastAsia="IRNazanin" w:cs="IRNazanin"/>
            <w:color w:val="111111"/>
            <w:sz w:val="22"/>
            <w:szCs w:val="22"/>
            <w:b w:val="0"/>
            <w:bCs w:val="0"/>
            <w:i w:val="0"/>
            <w:iCs w:val="0"/>
          </w:rPr>
          <w:t>دیوان شیخ کمال سبزواری‏</w:t>
        </w:r>
        <w:r>
          <w:tab/>
        </w:r>
        <w:r>
          <w:fldChar w:fldCharType="begin"/>
        </w:r>
        <w:r>
          <w:instrText xml:space="preserve">PAGEREF 4139 \h</w:instrText>
        </w:r>
        <w:r>
          <w:fldChar w:fldCharType="end"/>
        </w:r>
      </w:hyperlink>
    </w:p>
    <w:p>
      <w:pPr>
        <w:tabs>
          <w:tab w:val="right" w:leader="dot" w:pos="9062"/>
        </w:tabs>
        <w:ind w:left="440"/>
      </w:pPr>
      <w:hyperlink w:anchor="_Toc4140" w:history="1">
        <w:r>
          <w:rPr>
            <w:rFonts w:ascii="IRNazanin" w:hAnsi="IRNazanin" w:eastAsia="IRNazanin" w:cs="IRNazanin"/>
            <w:color w:val="111111"/>
            <w:sz w:val="22"/>
            <w:szCs w:val="22"/>
            <w:b w:val="0"/>
            <w:bCs w:val="0"/>
            <w:i w:val="0"/>
            <w:iCs w:val="0"/>
          </w:rPr>
          <w:t>دیوان شیخم جغتائی‏</w:t>
        </w:r>
        <w:r>
          <w:tab/>
        </w:r>
        <w:r>
          <w:fldChar w:fldCharType="begin"/>
        </w:r>
        <w:r>
          <w:instrText xml:space="preserve">PAGEREF 4140 \h</w:instrText>
        </w:r>
        <w:r>
          <w:fldChar w:fldCharType="end"/>
        </w:r>
      </w:hyperlink>
    </w:p>
    <w:p>
      <w:pPr>
        <w:tabs>
          <w:tab w:val="right" w:leader="dot" w:pos="9062"/>
        </w:tabs>
        <w:ind w:left="440"/>
      </w:pPr>
      <w:hyperlink w:anchor="_Toc4141" w:history="1">
        <w:r>
          <w:rPr>
            <w:rFonts w:ascii="IRNazanin" w:hAnsi="IRNazanin" w:eastAsia="IRNazanin" w:cs="IRNazanin"/>
            <w:color w:val="111111"/>
            <w:sz w:val="22"/>
            <w:szCs w:val="22"/>
            <w:b w:val="0"/>
            <w:bCs w:val="0"/>
            <w:i w:val="0"/>
            <w:iCs w:val="0"/>
          </w:rPr>
          <w:t>3123- دیوان الخواجة شیخ محمد المستوفی‏</w:t>
        </w:r>
        <w:r>
          <w:tab/>
        </w:r>
        <w:r>
          <w:fldChar w:fldCharType="begin"/>
        </w:r>
        <w:r>
          <w:instrText xml:space="preserve">PAGEREF 4141 \h</w:instrText>
        </w:r>
        <w:r>
          <w:fldChar w:fldCharType="end"/>
        </w:r>
      </w:hyperlink>
    </w:p>
    <w:p>
      <w:pPr>
        <w:tabs>
          <w:tab w:val="right" w:leader="dot" w:pos="9062"/>
        </w:tabs>
        <w:ind w:left="440"/>
      </w:pPr>
      <w:hyperlink w:anchor="_Toc4142" w:history="1">
        <w:r>
          <w:rPr>
            <w:rFonts w:ascii="IRNazanin" w:hAnsi="IRNazanin" w:eastAsia="IRNazanin" w:cs="IRNazanin"/>
            <w:color w:val="111111"/>
            <w:sz w:val="22"/>
            <w:szCs w:val="22"/>
            <w:b w:val="0"/>
            <w:bCs w:val="0"/>
            <w:i w:val="0"/>
            <w:iCs w:val="0"/>
          </w:rPr>
          <w:t>3124- دیوان شیخ نجم ساوجی‏</w:t>
        </w:r>
        <w:r>
          <w:tab/>
        </w:r>
        <w:r>
          <w:fldChar w:fldCharType="begin"/>
        </w:r>
        <w:r>
          <w:instrText xml:space="preserve">PAGEREF 4142 \h</w:instrText>
        </w:r>
        <w:r>
          <w:fldChar w:fldCharType="end"/>
        </w:r>
      </w:hyperlink>
    </w:p>
    <w:p>
      <w:pPr>
        <w:tabs>
          <w:tab w:val="right" w:leader="dot" w:pos="9062"/>
        </w:tabs>
        <w:ind w:left="440"/>
      </w:pPr>
      <w:hyperlink w:anchor="_Toc4143" w:history="1">
        <w:r>
          <w:rPr>
            <w:rFonts w:ascii="IRNazanin" w:hAnsi="IRNazanin" w:eastAsia="IRNazanin" w:cs="IRNazanin"/>
            <w:color w:val="111111"/>
            <w:sz w:val="22"/>
            <w:szCs w:val="22"/>
            <w:b w:val="0"/>
            <w:bCs w:val="0"/>
            <w:i w:val="0"/>
            <w:iCs w:val="0"/>
          </w:rPr>
          <w:t>3125- دیوان شیخی أردبیلی أو شعره‏</w:t>
        </w:r>
        <w:r>
          <w:tab/>
        </w:r>
        <w:r>
          <w:fldChar w:fldCharType="begin"/>
        </w:r>
        <w:r>
          <w:instrText xml:space="preserve">PAGEREF 4143 \h</w:instrText>
        </w:r>
        <w:r>
          <w:fldChar w:fldCharType="end"/>
        </w:r>
      </w:hyperlink>
    </w:p>
    <w:p>
      <w:pPr>
        <w:tabs>
          <w:tab w:val="right" w:leader="dot" w:pos="9062"/>
        </w:tabs>
        <w:ind w:left="440"/>
      </w:pPr>
      <w:hyperlink w:anchor="_Toc4144" w:history="1">
        <w:r>
          <w:rPr>
            <w:rFonts w:ascii="IRNazanin" w:hAnsi="IRNazanin" w:eastAsia="IRNazanin" w:cs="IRNazanin"/>
            <w:color w:val="111111"/>
            <w:sz w:val="22"/>
            <w:szCs w:val="22"/>
            <w:b w:val="0"/>
            <w:bCs w:val="0"/>
            <w:i w:val="0"/>
            <w:iCs w:val="0"/>
          </w:rPr>
          <w:t>3126- دیوان شیخی طبسی أو شعره‏</w:t>
        </w:r>
        <w:r>
          <w:tab/>
        </w:r>
        <w:r>
          <w:fldChar w:fldCharType="begin"/>
        </w:r>
        <w:r>
          <w:instrText xml:space="preserve">PAGEREF 4144 \h</w:instrText>
        </w:r>
        <w:r>
          <w:fldChar w:fldCharType="end"/>
        </w:r>
      </w:hyperlink>
    </w:p>
    <w:p>
      <w:pPr>
        <w:tabs>
          <w:tab w:val="right" w:leader="dot" w:pos="9062"/>
        </w:tabs>
        <w:ind w:left="440"/>
      </w:pPr>
      <w:hyperlink w:anchor="_Toc4145" w:history="1">
        <w:r>
          <w:rPr>
            <w:rFonts w:ascii="IRNazanin" w:hAnsi="IRNazanin" w:eastAsia="IRNazanin" w:cs="IRNazanin"/>
            <w:color w:val="111111"/>
            <w:sz w:val="22"/>
            <w:szCs w:val="22"/>
            <w:b w:val="0"/>
            <w:bCs w:val="0"/>
            <w:i w:val="0"/>
            <w:iCs w:val="0"/>
          </w:rPr>
          <w:t>دیوان شیخی فوشنجی‏</w:t>
        </w:r>
        <w:r>
          <w:tab/>
        </w:r>
        <w:r>
          <w:fldChar w:fldCharType="begin"/>
        </w:r>
        <w:r>
          <w:instrText xml:space="preserve">PAGEREF 4145 \h</w:instrText>
        </w:r>
        <w:r>
          <w:fldChar w:fldCharType="end"/>
        </w:r>
      </w:hyperlink>
    </w:p>
    <w:p>
      <w:pPr>
        <w:tabs>
          <w:tab w:val="right" w:leader="dot" w:pos="9062"/>
        </w:tabs>
        <w:ind w:left="440"/>
      </w:pPr>
      <w:hyperlink w:anchor="_Toc4146" w:history="1">
        <w:r>
          <w:rPr>
            <w:rFonts w:ascii="IRNazanin" w:hAnsi="IRNazanin" w:eastAsia="IRNazanin" w:cs="IRNazanin"/>
            <w:color w:val="111111"/>
            <w:sz w:val="22"/>
            <w:szCs w:val="22"/>
            <w:b w:val="0"/>
            <w:bCs w:val="0"/>
            <w:i w:val="0"/>
            <w:iCs w:val="0"/>
          </w:rPr>
          <w:t>دیوان شیخی قهستانی‏</w:t>
        </w:r>
        <w:r>
          <w:tab/>
        </w:r>
        <w:r>
          <w:fldChar w:fldCharType="begin"/>
        </w:r>
        <w:r>
          <w:instrText xml:space="preserve">PAGEREF 4146 \h</w:instrText>
        </w:r>
        <w:r>
          <w:fldChar w:fldCharType="end"/>
        </w:r>
      </w:hyperlink>
    </w:p>
    <w:p>
      <w:pPr>
        <w:tabs>
          <w:tab w:val="right" w:leader="dot" w:pos="9062"/>
        </w:tabs>
        <w:ind w:left="440"/>
      </w:pPr>
      <w:hyperlink w:anchor="_Toc4147" w:history="1">
        <w:r>
          <w:rPr>
            <w:rFonts w:ascii="IRNazanin" w:hAnsi="IRNazanin" w:eastAsia="IRNazanin" w:cs="IRNazanin"/>
            <w:color w:val="111111"/>
            <w:sz w:val="22"/>
            <w:szCs w:val="22"/>
            <w:b w:val="0"/>
            <w:bCs w:val="0"/>
            <w:i w:val="0"/>
            <w:iCs w:val="0"/>
          </w:rPr>
          <w:t>3127- دیوان شیخی کرمانی‏</w:t>
        </w:r>
        <w:r>
          <w:tab/>
        </w:r>
        <w:r>
          <w:fldChar w:fldCharType="begin"/>
        </w:r>
        <w:r>
          <w:instrText xml:space="preserve">PAGEREF 4147 \h</w:instrText>
        </w:r>
        <w:r>
          <w:fldChar w:fldCharType="end"/>
        </w:r>
      </w:hyperlink>
    </w:p>
    <w:p>
      <w:pPr>
        <w:tabs>
          <w:tab w:val="right" w:leader="dot" w:pos="9062"/>
        </w:tabs>
        <w:ind w:left="440"/>
      </w:pPr>
      <w:hyperlink w:anchor="_Toc4148" w:history="1">
        <w:r>
          <w:rPr>
            <w:rFonts w:ascii="IRNazanin" w:hAnsi="IRNazanin" w:eastAsia="IRNazanin" w:cs="IRNazanin"/>
            <w:color w:val="111111"/>
            <w:sz w:val="22"/>
            <w:szCs w:val="22"/>
            <w:b w:val="0"/>
            <w:bCs w:val="0"/>
            <w:i w:val="0"/>
            <w:iCs w:val="0"/>
          </w:rPr>
          <w:t>3128- دیوان شیخی هروی یزدی‏</w:t>
        </w:r>
        <w:r>
          <w:tab/>
        </w:r>
        <w:r>
          <w:fldChar w:fldCharType="begin"/>
        </w:r>
        <w:r>
          <w:instrText xml:space="preserve">PAGEREF 4148 \h</w:instrText>
        </w:r>
        <w:r>
          <w:fldChar w:fldCharType="end"/>
        </w:r>
      </w:hyperlink>
    </w:p>
    <w:p>
      <w:pPr>
        <w:tabs>
          <w:tab w:val="right" w:leader="dot" w:pos="9062"/>
        </w:tabs>
        <w:ind w:left="440"/>
      </w:pPr>
      <w:hyperlink w:anchor="_Toc4149" w:history="1">
        <w:r>
          <w:rPr>
            <w:rFonts w:ascii="IRNazanin" w:hAnsi="IRNazanin" w:eastAsia="IRNazanin" w:cs="IRNazanin"/>
            <w:color w:val="111111"/>
            <w:sz w:val="22"/>
            <w:szCs w:val="22"/>
            <w:b w:val="0"/>
            <w:bCs w:val="0"/>
            <w:i w:val="0"/>
            <w:iCs w:val="0"/>
          </w:rPr>
          <w:t>3129- دیوان شیدای أردکانی أو شعره‏</w:t>
        </w:r>
        <w:r>
          <w:tab/>
        </w:r>
        <w:r>
          <w:fldChar w:fldCharType="begin"/>
        </w:r>
        <w:r>
          <w:instrText xml:space="preserve">PAGEREF 4149 \h</w:instrText>
        </w:r>
        <w:r>
          <w:fldChar w:fldCharType="end"/>
        </w:r>
      </w:hyperlink>
    </w:p>
    <w:p>
      <w:pPr>
        <w:tabs>
          <w:tab w:val="right" w:leader="dot" w:pos="9062"/>
        </w:tabs>
        <w:ind w:left="440"/>
      </w:pPr>
      <w:hyperlink w:anchor="_Toc4150" w:history="1">
        <w:r>
          <w:rPr>
            <w:rFonts w:ascii="IRNazanin" w:hAnsi="IRNazanin" w:eastAsia="IRNazanin" w:cs="IRNazanin"/>
            <w:color w:val="111111"/>
            <w:sz w:val="22"/>
            <w:szCs w:val="22"/>
            <w:b w:val="0"/>
            <w:bCs w:val="0"/>
            <w:i w:val="0"/>
            <w:iCs w:val="0"/>
          </w:rPr>
          <w:t>3130- دیوان شیدای أصفهانی‏</w:t>
        </w:r>
        <w:r>
          <w:tab/>
        </w:r>
        <w:r>
          <w:fldChar w:fldCharType="begin"/>
        </w:r>
        <w:r>
          <w:instrText xml:space="preserve">PAGEREF 4150 \h</w:instrText>
        </w:r>
        <w:r>
          <w:fldChar w:fldCharType="end"/>
        </w:r>
      </w:hyperlink>
    </w:p>
    <w:p>
      <w:pPr>
        <w:tabs>
          <w:tab w:val="right" w:leader="dot" w:pos="9062"/>
        </w:tabs>
        <w:ind w:left="440"/>
      </w:pPr>
      <w:hyperlink w:anchor="_Toc4151" w:history="1">
        <w:r>
          <w:rPr>
            <w:rFonts w:ascii="IRNazanin" w:hAnsi="IRNazanin" w:eastAsia="IRNazanin" w:cs="IRNazanin"/>
            <w:color w:val="111111"/>
            <w:sz w:val="22"/>
            <w:szCs w:val="22"/>
            <w:b w:val="0"/>
            <w:bCs w:val="0"/>
            <w:i w:val="0"/>
            <w:iCs w:val="0"/>
          </w:rPr>
          <w:t>3131- دیوان شیدای أصفهانی‏</w:t>
        </w:r>
        <w:r>
          <w:tab/>
        </w:r>
        <w:r>
          <w:fldChar w:fldCharType="begin"/>
        </w:r>
        <w:r>
          <w:instrText xml:space="preserve">PAGEREF 4151 \h</w:instrText>
        </w:r>
        <w:r>
          <w:fldChar w:fldCharType="end"/>
        </w:r>
      </w:hyperlink>
    </w:p>
    <w:p>
      <w:pPr>
        <w:tabs>
          <w:tab w:val="right" w:leader="dot" w:pos="9062"/>
        </w:tabs>
        <w:ind w:left="440"/>
      </w:pPr>
      <w:hyperlink w:anchor="_Toc4152" w:history="1">
        <w:r>
          <w:rPr>
            <w:rFonts w:ascii="IRNazanin" w:hAnsi="IRNazanin" w:eastAsia="IRNazanin" w:cs="IRNazanin"/>
            <w:color w:val="111111"/>
            <w:sz w:val="22"/>
            <w:szCs w:val="22"/>
            <w:b w:val="0"/>
            <w:bCs w:val="0"/>
            <w:i w:val="0"/>
            <w:iCs w:val="0"/>
          </w:rPr>
          <w:t>3132- دیوان شیدای أصفهانی‏</w:t>
        </w:r>
        <w:r>
          <w:tab/>
        </w:r>
        <w:r>
          <w:fldChar w:fldCharType="begin"/>
        </w:r>
        <w:r>
          <w:instrText xml:space="preserve">PAGEREF 4152 \h</w:instrText>
        </w:r>
        <w:r>
          <w:fldChar w:fldCharType="end"/>
        </w:r>
      </w:hyperlink>
    </w:p>
    <w:p>
      <w:pPr>
        <w:tabs>
          <w:tab w:val="right" w:leader="dot" w:pos="9062"/>
        </w:tabs>
        <w:ind w:left="440"/>
      </w:pPr>
      <w:hyperlink w:anchor="_Toc4153" w:history="1">
        <w:r>
          <w:rPr>
            <w:rFonts w:ascii="IRNazanin" w:hAnsi="IRNazanin" w:eastAsia="IRNazanin" w:cs="IRNazanin"/>
            <w:color w:val="111111"/>
            <w:sz w:val="22"/>
            <w:szCs w:val="22"/>
            <w:b w:val="0"/>
            <w:bCs w:val="0"/>
            <w:i w:val="0"/>
            <w:iCs w:val="0"/>
          </w:rPr>
          <w:t>3133- دیوان شیدای أکبرآبادی‏</w:t>
        </w:r>
        <w:r>
          <w:tab/>
        </w:r>
        <w:r>
          <w:fldChar w:fldCharType="begin"/>
        </w:r>
        <w:r>
          <w:instrText xml:space="preserve">PAGEREF 4153 \h</w:instrText>
        </w:r>
        <w:r>
          <w:fldChar w:fldCharType="end"/>
        </w:r>
      </w:hyperlink>
    </w:p>
    <w:p>
      <w:pPr>
        <w:tabs>
          <w:tab w:val="right" w:leader="dot" w:pos="9062"/>
        </w:tabs>
        <w:ind w:left="440"/>
      </w:pPr>
      <w:hyperlink w:anchor="_Toc4154" w:history="1">
        <w:r>
          <w:rPr>
            <w:rFonts w:ascii="IRNazanin" w:hAnsi="IRNazanin" w:eastAsia="IRNazanin" w:cs="IRNazanin"/>
            <w:color w:val="111111"/>
            <w:sz w:val="22"/>
            <w:szCs w:val="22"/>
            <w:b w:val="0"/>
            <w:bCs w:val="0"/>
            <w:i w:val="0"/>
            <w:iCs w:val="0"/>
          </w:rPr>
          <w:t>3134- دیوان شیدای تبریزی‏</w:t>
        </w:r>
        <w:r>
          <w:tab/>
        </w:r>
        <w:r>
          <w:fldChar w:fldCharType="begin"/>
        </w:r>
        <w:r>
          <w:instrText xml:space="preserve">PAGEREF 4154 \h</w:instrText>
        </w:r>
        <w:r>
          <w:fldChar w:fldCharType="end"/>
        </w:r>
      </w:hyperlink>
    </w:p>
    <w:p>
      <w:pPr>
        <w:tabs>
          <w:tab w:val="right" w:leader="dot" w:pos="9062"/>
        </w:tabs>
        <w:ind w:left="440"/>
      </w:pPr>
      <w:hyperlink w:anchor="_Toc4155" w:history="1">
        <w:r>
          <w:rPr>
            <w:rFonts w:ascii="IRNazanin" w:hAnsi="IRNazanin" w:eastAsia="IRNazanin" w:cs="IRNazanin"/>
            <w:color w:val="111111"/>
            <w:sz w:val="22"/>
            <w:szCs w:val="22"/>
            <w:b w:val="0"/>
            <w:bCs w:val="0"/>
            <w:i w:val="0"/>
            <w:iCs w:val="0"/>
          </w:rPr>
          <w:t>3135- دیوان شیدای تویسرکانی أو شعره‏</w:t>
        </w:r>
        <w:r>
          <w:tab/>
        </w:r>
        <w:r>
          <w:fldChar w:fldCharType="begin"/>
        </w:r>
        <w:r>
          <w:instrText xml:space="preserve">PAGEREF 4155 \h</w:instrText>
        </w:r>
        <w:r>
          <w:fldChar w:fldCharType="end"/>
        </w:r>
      </w:hyperlink>
    </w:p>
    <w:p>
      <w:pPr>
        <w:tabs>
          <w:tab w:val="right" w:leader="dot" w:pos="9062"/>
        </w:tabs>
        <w:ind w:left="440"/>
      </w:pPr>
      <w:hyperlink w:anchor="_Toc4156" w:history="1">
        <w:r>
          <w:rPr>
            <w:rFonts w:ascii="IRNazanin" w:hAnsi="IRNazanin" w:eastAsia="IRNazanin" w:cs="IRNazanin"/>
            <w:color w:val="111111"/>
            <w:sz w:val="22"/>
            <w:szCs w:val="22"/>
            <w:b w:val="0"/>
            <w:bCs w:val="0"/>
            <w:i w:val="0"/>
            <w:iCs w:val="0"/>
          </w:rPr>
          <w:t>دیوان شیدای چلبی‏</w:t>
        </w:r>
        <w:r>
          <w:tab/>
        </w:r>
        <w:r>
          <w:fldChar w:fldCharType="begin"/>
        </w:r>
        <w:r>
          <w:instrText xml:space="preserve">PAGEREF 4156 \h</w:instrText>
        </w:r>
        <w:r>
          <w:fldChar w:fldCharType="end"/>
        </w:r>
      </w:hyperlink>
    </w:p>
    <w:p>
      <w:pPr>
        <w:tabs>
          <w:tab w:val="right" w:leader="dot" w:pos="9062"/>
        </w:tabs>
        <w:ind w:left="440"/>
      </w:pPr>
      <w:hyperlink w:anchor="_Toc4157" w:history="1">
        <w:r>
          <w:rPr>
            <w:rFonts w:ascii="IRNazanin" w:hAnsi="IRNazanin" w:eastAsia="IRNazanin" w:cs="IRNazanin"/>
            <w:color w:val="111111"/>
            <w:sz w:val="22"/>
            <w:szCs w:val="22"/>
            <w:b w:val="0"/>
            <w:bCs w:val="0"/>
            <w:i w:val="0"/>
            <w:iCs w:val="0"/>
          </w:rPr>
          <w:t>3136- دیوان شیدای شبستری أو شعره‏</w:t>
        </w:r>
        <w:r>
          <w:tab/>
        </w:r>
        <w:r>
          <w:fldChar w:fldCharType="begin"/>
        </w:r>
        <w:r>
          <w:instrText xml:space="preserve">PAGEREF 4157 \h</w:instrText>
        </w:r>
        <w:r>
          <w:fldChar w:fldCharType="end"/>
        </w:r>
      </w:hyperlink>
    </w:p>
    <w:p>
      <w:pPr>
        <w:tabs>
          <w:tab w:val="right" w:leader="dot" w:pos="9062"/>
        </w:tabs>
        <w:ind w:left="440"/>
      </w:pPr>
      <w:hyperlink w:anchor="_Toc4158" w:history="1">
        <w:r>
          <w:rPr>
            <w:rFonts w:ascii="IRNazanin" w:hAnsi="IRNazanin" w:eastAsia="IRNazanin" w:cs="IRNazanin"/>
            <w:color w:val="111111"/>
            <w:sz w:val="22"/>
            <w:szCs w:val="22"/>
            <w:b w:val="0"/>
            <w:bCs w:val="0"/>
            <w:i w:val="0"/>
            <w:iCs w:val="0"/>
          </w:rPr>
          <w:t>دیوان شیدای علامة</w:t>
        </w:r>
        <w:r>
          <w:tab/>
        </w:r>
        <w:r>
          <w:fldChar w:fldCharType="begin"/>
        </w:r>
        <w:r>
          <w:instrText xml:space="preserve">PAGEREF 4158 \h</w:instrText>
        </w:r>
        <w:r>
          <w:fldChar w:fldCharType="end"/>
        </w:r>
      </w:hyperlink>
    </w:p>
    <w:p>
      <w:pPr>
        <w:tabs>
          <w:tab w:val="right" w:leader="dot" w:pos="9062"/>
        </w:tabs>
        <w:ind w:left="440"/>
      </w:pPr>
      <w:hyperlink w:anchor="_Toc4159" w:history="1">
        <w:r>
          <w:rPr>
            <w:rFonts w:ascii="IRNazanin" w:hAnsi="IRNazanin" w:eastAsia="IRNazanin" w:cs="IRNazanin"/>
            <w:color w:val="111111"/>
            <w:sz w:val="22"/>
            <w:szCs w:val="22"/>
            <w:b w:val="0"/>
            <w:bCs w:val="0"/>
            <w:i w:val="0"/>
            <w:iCs w:val="0"/>
          </w:rPr>
          <w:t>3137- دیوان شیدای کردستانی‏</w:t>
        </w:r>
        <w:r>
          <w:tab/>
        </w:r>
        <w:r>
          <w:fldChar w:fldCharType="begin"/>
        </w:r>
        <w:r>
          <w:instrText xml:space="preserve">PAGEREF 4159 \h</w:instrText>
        </w:r>
        <w:r>
          <w:fldChar w:fldCharType="end"/>
        </w:r>
      </w:hyperlink>
    </w:p>
    <w:p>
      <w:pPr>
        <w:tabs>
          <w:tab w:val="right" w:leader="dot" w:pos="9062"/>
        </w:tabs>
        <w:ind w:left="440"/>
      </w:pPr>
      <w:hyperlink w:anchor="_Toc4160" w:history="1">
        <w:r>
          <w:rPr>
            <w:rFonts w:ascii="IRNazanin" w:hAnsi="IRNazanin" w:eastAsia="IRNazanin" w:cs="IRNazanin"/>
            <w:color w:val="111111"/>
            <w:sz w:val="22"/>
            <w:szCs w:val="22"/>
            <w:b w:val="0"/>
            <w:bCs w:val="0"/>
            <w:i w:val="0"/>
            <w:iCs w:val="0"/>
          </w:rPr>
          <w:t>3138- دیوان شیدای نسفی‏</w:t>
        </w:r>
        <w:r>
          <w:tab/>
        </w:r>
        <w:r>
          <w:fldChar w:fldCharType="begin"/>
        </w:r>
        <w:r>
          <w:instrText xml:space="preserve">PAGEREF 4160 \h</w:instrText>
        </w:r>
        <w:r>
          <w:fldChar w:fldCharType="end"/>
        </w:r>
      </w:hyperlink>
    </w:p>
    <w:p>
      <w:pPr>
        <w:tabs>
          <w:tab w:val="right" w:leader="dot" w:pos="9062"/>
        </w:tabs>
        <w:ind w:left="440"/>
      </w:pPr>
      <w:hyperlink w:anchor="_Toc4161" w:history="1">
        <w:r>
          <w:rPr>
            <w:rFonts w:ascii="IRNazanin" w:hAnsi="IRNazanin" w:eastAsia="IRNazanin" w:cs="IRNazanin"/>
            <w:color w:val="111111"/>
            <w:sz w:val="22"/>
            <w:szCs w:val="22"/>
            <w:b w:val="0"/>
            <w:bCs w:val="0"/>
            <w:i w:val="0"/>
            <w:iCs w:val="0"/>
          </w:rPr>
          <w:t>3139- دیوان شیدای همدانی أو شعره‏</w:t>
        </w:r>
        <w:r>
          <w:tab/>
        </w:r>
        <w:r>
          <w:fldChar w:fldCharType="begin"/>
        </w:r>
        <w:r>
          <w:instrText xml:space="preserve">PAGEREF 4161 \h</w:instrText>
        </w:r>
        <w:r>
          <w:fldChar w:fldCharType="end"/>
        </w:r>
      </w:hyperlink>
    </w:p>
    <w:p>
      <w:pPr>
        <w:tabs>
          <w:tab w:val="right" w:leader="dot" w:pos="9062"/>
        </w:tabs>
        <w:ind w:left="440"/>
      </w:pPr>
      <w:hyperlink w:anchor="_Toc4162" w:history="1">
        <w:r>
          <w:rPr>
            <w:rFonts w:ascii="IRNazanin" w:hAnsi="IRNazanin" w:eastAsia="IRNazanin" w:cs="IRNazanin"/>
            <w:color w:val="111111"/>
            <w:sz w:val="22"/>
            <w:szCs w:val="22"/>
            <w:b w:val="0"/>
            <w:bCs w:val="0"/>
            <w:i w:val="0"/>
            <w:iCs w:val="0"/>
          </w:rPr>
          <w:t>دیوان شیدای هندی‏</w:t>
        </w:r>
        <w:r>
          <w:tab/>
        </w:r>
        <w:r>
          <w:fldChar w:fldCharType="begin"/>
        </w:r>
        <w:r>
          <w:instrText xml:space="preserve">PAGEREF 4162 \h</w:instrText>
        </w:r>
        <w:r>
          <w:fldChar w:fldCharType="end"/>
        </w:r>
      </w:hyperlink>
    </w:p>
    <w:p>
      <w:pPr>
        <w:tabs>
          <w:tab w:val="right" w:leader="dot" w:pos="9062"/>
        </w:tabs>
        <w:ind w:left="440"/>
      </w:pPr>
      <w:hyperlink w:anchor="_Toc4163" w:history="1">
        <w:r>
          <w:rPr>
            <w:rFonts w:ascii="IRNazanin" w:hAnsi="IRNazanin" w:eastAsia="IRNazanin" w:cs="IRNazanin"/>
            <w:color w:val="111111"/>
            <w:sz w:val="22"/>
            <w:szCs w:val="22"/>
            <w:b w:val="0"/>
            <w:bCs w:val="0"/>
            <w:i w:val="0"/>
            <w:iCs w:val="0"/>
          </w:rPr>
          <w:t>3140- دیوان شیدای یزدی‏</w:t>
        </w:r>
        <w:r>
          <w:tab/>
        </w:r>
        <w:r>
          <w:fldChar w:fldCharType="begin"/>
        </w:r>
        <w:r>
          <w:instrText xml:space="preserve">PAGEREF 4163 \h</w:instrText>
        </w:r>
        <w:r>
          <w:fldChar w:fldCharType="end"/>
        </w:r>
      </w:hyperlink>
    </w:p>
    <w:p>
      <w:pPr>
        <w:tabs>
          <w:tab w:val="right" w:leader="dot" w:pos="9062"/>
        </w:tabs>
        <w:ind w:left="440"/>
      </w:pPr>
      <w:hyperlink w:anchor="_Toc4164" w:history="1">
        <w:r>
          <w:rPr>
            <w:rFonts w:ascii="IRNazanin" w:hAnsi="IRNazanin" w:eastAsia="IRNazanin" w:cs="IRNazanin"/>
            <w:color w:val="111111"/>
            <w:sz w:val="22"/>
            <w:szCs w:val="22"/>
            <w:b w:val="0"/>
            <w:bCs w:val="0"/>
            <w:i w:val="0"/>
            <w:iCs w:val="0"/>
          </w:rPr>
          <w:t>دیوان شیر خان أو شعره‏</w:t>
        </w:r>
        <w:r>
          <w:tab/>
        </w:r>
        <w:r>
          <w:fldChar w:fldCharType="begin"/>
        </w:r>
        <w:r>
          <w:instrText xml:space="preserve">PAGEREF 4164 \h</w:instrText>
        </w:r>
        <w:r>
          <w:fldChar w:fldCharType="end"/>
        </w:r>
      </w:hyperlink>
    </w:p>
    <w:p>
      <w:pPr>
        <w:tabs>
          <w:tab w:val="right" w:leader="dot" w:pos="9062"/>
        </w:tabs>
        <w:ind w:left="440"/>
      </w:pPr>
      <w:hyperlink w:anchor="_Toc4165" w:history="1">
        <w:r>
          <w:rPr>
            <w:rFonts w:ascii="IRNazanin" w:hAnsi="IRNazanin" w:eastAsia="IRNazanin" w:cs="IRNazanin"/>
            <w:color w:val="111111"/>
            <w:sz w:val="22"/>
            <w:szCs w:val="22"/>
            <w:b w:val="0"/>
            <w:bCs w:val="0"/>
            <w:i w:val="0"/>
            <w:iCs w:val="0"/>
          </w:rPr>
          <w:t>3141- دیوان شیر علی أو شعره‏</w:t>
        </w:r>
        <w:r>
          <w:tab/>
        </w:r>
        <w:r>
          <w:fldChar w:fldCharType="begin"/>
        </w:r>
        <w:r>
          <w:instrText xml:space="preserve">PAGEREF 4165 \h</w:instrText>
        </w:r>
        <w:r>
          <w:fldChar w:fldCharType="end"/>
        </w:r>
      </w:hyperlink>
    </w:p>
    <w:p>
      <w:pPr>
        <w:tabs>
          <w:tab w:val="right" w:leader="dot" w:pos="9062"/>
        </w:tabs>
        <w:ind w:left="440"/>
      </w:pPr>
      <w:hyperlink w:anchor="_Toc4166" w:history="1">
        <w:r>
          <w:rPr>
            <w:rFonts w:ascii="IRNazanin" w:hAnsi="IRNazanin" w:eastAsia="IRNazanin" w:cs="IRNazanin"/>
            <w:color w:val="111111"/>
            <w:sz w:val="22"/>
            <w:szCs w:val="22"/>
            <w:b w:val="0"/>
            <w:bCs w:val="0"/>
            <w:i w:val="0"/>
            <w:iCs w:val="0"/>
          </w:rPr>
          <w:t>دیوان شیر مردان‏</w:t>
        </w:r>
        <w:r>
          <w:tab/>
        </w:r>
        <w:r>
          <w:fldChar w:fldCharType="begin"/>
        </w:r>
        <w:r>
          <w:instrText xml:space="preserve">PAGEREF 4166 \h</w:instrText>
        </w:r>
        <w:r>
          <w:fldChar w:fldCharType="end"/>
        </w:r>
      </w:hyperlink>
    </w:p>
    <w:p>
      <w:pPr>
        <w:tabs>
          <w:tab w:val="right" w:leader="dot" w:pos="9062"/>
        </w:tabs>
        <w:ind w:left="440"/>
      </w:pPr>
      <w:hyperlink w:anchor="_Toc4167" w:history="1">
        <w:r>
          <w:rPr>
            <w:rFonts w:ascii="IRNazanin" w:hAnsi="IRNazanin" w:eastAsia="IRNazanin" w:cs="IRNazanin"/>
            <w:color w:val="111111"/>
            <w:sz w:val="22"/>
            <w:szCs w:val="22"/>
            <w:b w:val="0"/>
            <w:bCs w:val="0"/>
            <w:i w:val="0"/>
            <w:iCs w:val="0"/>
          </w:rPr>
          <w:t>دیوان شیروانی‏</w:t>
        </w:r>
        <w:r>
          <w:tab/>
        </w:r>
        <w:r>
          <w:fldChar w:fldCharType="begin"/>
        </w:r>
        <w:r>
          <w:instrText xml:space="preserve">PAGEREF 4167 \h</w:instrText>
        </w:r>
        <w:r>
          <w:fldChar w:fldCharType="end"/>
        </w:r>
      </w:hyperlink>
    </w:p>
    <w:p>
      <w:pPr>
        <w:tabs>
          <w:tab w:val="right" w:leader="dot" w:pos="9062"/>
        </w:tabs>
        <w:ind w:left="440"/>
      </w:pPr>
      <w:hyperlink w:anchor="_Toc4168" w:history="1">
        <w:r>
          <w:rPr>
            <w:rFonts w:ascii="IRNazanin" w:hAnsi="IRNazanin" w:eastAsia="IRNazanin" w:cs="IRNazanin"/>
            <w:color w:val="111111"/>
            <w:sz w:val="22"/>
            <w:szCs w:val="22"/>
            <w:b w:val="0"/>
            <w:bCs w:val="0"/>
            <w:i w:val="0"/>
            <w:iCs w:val="0"/>
          </w:rPr>
          <w:t>3142- دیوان شیری لاهوری أو شعره‏</w:t>
        </w:r>
        <w:r>
          <w:tab/>
        </w:r>
        <w:r>
          <w:fldChar w:fldCharType="begin"/>
        </w:r>
        <w:r>
          <w:instrText xml:space="preserve">PAGEREF 4168 \h</w:instrText>
        </w:r>
        <w:r>
          <w:fldChar w:fldCharType="end"/>
        </w:r>
      </w:hyperlink>
    </w:p>
    <w:p>
      <w:pPr>
        <w:tabs>
          <w:tab w:val="right" w:leader="dot" w:pos="9062"/>
        </w:tabs>
        <w:ind w:left="440"/>
      </w:pPr>
      <w:hyperlink w:anchor="_Toc4169" w:history="1">
        <w:r>
          <w:rPr>
            <w:rFonts w:ascii="IRNazanin" w:hAnsi="IRNazanin" w:eastAsia="IRNazanin" w:cs="IRNazanin"/>
            <w:color w:val="111111"/>
            <w:sz w:val="22"/>
            <w:szCs w:val="22"/>
            <w:b w:val="0"/>
            <w:bCs w:val="0"/>
            <w:i w:val="0"/>
            <w:iCs w:val="0"/>
          </w:rPr>
          <w:t>دیوان شیرین مغربی‏</w:t>
        </w:r>
        <w:r>
          <w:tab/>
        </w:r>
        <w:r>
          <w:fldChar w:fldCharType="begin"/>
        </w:r>
        <w:r>
          <w:instrText xml:space="preserve">PAGEREF 4169 \h</w:instrText>
        </w:r>
        <w:r>
          <w:fldChar w:fldCharType="end"/>
        </w:r>
      </w:hyperlink>
    </w:p>
    <w:p>
      <w:pPr>
        <w:tabs>
          <w:tab w:val="right" w:leader="dot" w:pos="9062"/>
        </w:tabs>
        <w:ind w:left="440"/>
      </w:pPr>
      <w:hyperlink w:anchor="_Toc4170" w:history="1">
        <w:r>
          <w:rPr>
            <w:rFonts w:ascii="IRNazanin" w:hAnsi="IRNazanin" w:eastAsia="IRNazanin" w:cs="IRNazanin"/>
            <w:color w:val="111111"/>
            <w:sz w:val="22"/>
            <w:szCs w:val="22"/>
            <w:b w:val="0"/>
            <w:bCs w:val="0"/>
            <w:i w:val="0"/>
            <w:iCs w:val="0"/>
          </w:rPr>
          <w:t>دیوان شیشه‏گر</w:t>
        </w:r>
        <w:r>
          <w:tab/>
        </w:r>
        <w:r>
          <w:fldChar w:fldCharType="begin"/>
        </w:r>
        <w:r>
          <w:instrText xml:space="preserve">PAGEREF 4170 \h</w:instrText>
        </w:r>
        <w:r>
          <w:fldChar w:fldCharType="end"/>
        </w:r>
      </w:hyperlink>
    </w:p>
    <w:p>
      <w:pPr>
        <w:tabs>
          <w:tab w:val="right" w:leader="dot" w:pos="9062"/>
        </w:tabs>
        <w:ind w:left="440"/>
      </w:pPr>
      <w:hyperlink w:anchor="_Toc4171" w:history="1">
        <w:r>
          <w:rPr>
            <w:rFonts w:ascii="IRNazanin" w:hAnsi="IRNazanin" w:eastAsia="IRNazanin" w:cs="IRNazanin"/>
            <w:color w:val="111111"/>
            <w:sz w:val="22"/>
            <w:szCs w:val="22"/>
            <w:b w:val="0"/>
            <w:bCs w:val="0"/>
            <w:i w:val="0"/>
            <w:iCs w:val="0"/>
          </w:rPr>
          <w:t>3143- دیوان شیفته همدانی أو شعره‏</w:t>
        </w:r>
        <w:r>
          <w:tab/>
        </w:r>
        <w:r>
          <w:fldChar w:fldCharType="begin"/>
        </w:r>
        <w:r>
          <w:instrText xml:space="preserve">PAGEREF 4171 \h</w:instrText>
        </w:r>
        <w:r>
          <w:fldChar w:fldCharType="end"/>
        </w:r>
      </w:hyperlink>
    </w:p>
    <w:p>
      <w:pPr>
        <w:tabs>
          <w:tab w:val="right" w:leader="dot" w:pos="9062"/>
        </w:tabs>
        <w:ind w:left="440"/>
      </w:pPr>
      <w:hyperlink w:anchor="_Toc4172" w:history="1">
        <w:r>
          <w:rPr>
            <w:rFonts w:ascii="IRNazanin" w:hAnsi="IRNazanin" w:eastAsia="IRNazanin" w:cs="IRNazanin"/>
            <w:color w:val="111111"/>
            <w:sz w:val="22"/>
            <w:szCs w:val="22"/>
            <w:b w:val="0"/>
            <w:bCs w:val="0"/>
            <w:i w:val="0"/>
            <w:iCs w:val="0"/>
          </w:rPr>
          <w:t>3144- دیوان شیوای سدهی‏</w:t>
        </w:r>
        <w:r>
          <w:tab/>
        </w:r>
        <w:r>
          <w:fldChar w:fldCharType="begin"/>
        </w:r>
        <w:r>
          <w:instrText xml:space="preserve">PAGEREF 4172 \h</w:instrText>
        </w:r>
        <w:r>
          <w:fldChar w:fldCharType="end"/>
        </w:r>
      </w:hyperlink>
    </w:p>
    <w:p>
      <w:pPr>
        <w:tabs>
          <w:tab w:val="right" w:leader="dot" w:pos="9062"/>
        </w:tabs>
        <w:ind w:left="440"/>
      </w:pPr>
      <w:hyperlink w:anchor="_Toc4173" w:history="1">
        <w:r>
          <w:rPr>
            <w:rFonts w:ascii="IRNazanin" w:hAnsi="IRNazanin" w:eastAsia="IRNazanin" w:cs="IRNazanin"/>
            <w:color w:val="111111"/>
            <w:sz w:val="22"/>
            <w:szCs w:val="22"/>
            <w:b w:val="0"/>
            <w:bCs w:val="0"/>
            <w:i w:val="0"/>
            <w:iCs w:val="0"/>
          </w:rPr>
          <w:t>3145- دیوان شیوای شیرازی‏</w:t>
        </w:r>
        <w:r>
          <w:tab/>
        </w:r>
        <w:r>
          <w:fldChar w:fldCharType="begin"/>
        </w:r>
        <w:r>
          <w:instrText xml:space="preserve">PAGEREF 4173 \h</w:instrText>
        </w:r>
        <w:r>
          <w:fldChar w:fldCharType="end"/>
        </w:r>
      </w:hyperlink>
    </w:p>
    <w:p>
      <w:pPr>
        <w:tabs>
          <w:tab w:val="right" w:leader="dot" w:pos="9062"/>
        </w:tabs>
        <w:ind w:left="440"/>
      </w:pPr>
      <w:hyperlink w:anchor="_Toc4174" w:history="1">
        <w:r>
          <w:rPr>
            <w:rFonts w:ascii="IRNazanin" w:hAnsi="IRNazanin" w:eastAsia="IRNazanin" w:cs="IRNazanin"/>
            <w:color w:val="111111"/>
            <w:sz w:val="22"/>
            <w:szCs w:val="22"/>
            <w:b w:val="0"/>
            <w:bCs w:val="0"/>
            <w:i w:val="0"/>
            <w:iCs w:val="0"/>
          </w:rPr>
          <w:t>3146- دیوان شیوای همدانی أو شعره‏</w:t>
        </w:r>
        <w:r>
          <w:tab/>
        </w:r>
        <w:r>
          <w:fldChar w:fldCharType="begin"/>
        </w:r>
        <w:r>
          <w:instrText xml:space="preserve">PAGEREF 4174 \h</w:instrText>
        </w:r>
        <w:r>
          <w:fldChar w:fldCharType="end"/>
        </w:r>
      </w:hyperlink>
    </w:p>
    <w:p>
      <w:pPr>
        <w:tabs>
          <w:tab w:val="right" w:leader="dot" w:pos="9062"/>
        </w:tabs>
        <w:ind w:left="440"/>
      </w:pPr>
      <w:hyperlink w:anchor="_Toc4175" w:history="1">
        <w:r>
          <w:rPr>
            <w:rFonts w:ascii="IRNazanin" w:hAnsi="IRNazanin" w:eastAsia="IRNazanin" w:cs="IRNazanin"/>
            <w:color w:val="111111"/>
            <w:sz w:val="22"/>
            <w:szCs w:val="22"/>
            <w:b w:val="0"/>
            <w:bCs w:val="0"/>
            <w:i w:val="0"/>
            <w:iCs w:val="0"/>
          </w:rPr>
          <w:t>3147- دیوان شیونی قاینی أو شعره‏</w:t>
        </w:r>
        <w:r>
          <w:tab/>
        </w:r>
        <w:r>
          <w:fldChar w:fldCharType="begin"/>
        </w:r>
        <w:r>
          <w:instrText xml:space="preserve">PAGEREF 4175 \h</w:instrText>
        </w:r>
        <w:r>
          <w:fldChar w:fldCharType="end"/>
        </w:r>
      </w:hyperlink>
    </w:p>
    <w:p>
      <w:pPr>
        <w:tabs>
          <w:tab w:val="right" w:leader="dot" w:pos="9062"/>
        </w:tabs>
        <w:ind w:left="440"/>
      </w:pPr>
      <w:hyperlink w:anchor="_Toc4176" w:history="1">
        <w:r>
          <w:rPr>
            <w:rFonts w:ascii="IRNazanin" w:hAnsi="IRNazanin" w:eastAsia="IRNazanin" w:cs="IRNazanin"/>
            <w:color w:val="111111"/>
            <w:sz w:val="22"/>
            <w:szCs w:val="22"/>
            <w:b w:val="0"/>
            <w:bCs w:val="0"/>
            <w:i w:val="0"/>
            <w:iCs w:val="0"/>
          </w:rPr>
          <w:t>ص‏</w:t>
        </w:r>
        <w:r>
          <w:tab/>
        </w:r>
        <w:r>
          <w:fldChar w:fldCharType="begin"/>
        </w:r>
        <w:r>
          <w:instrText xml:space="preserve">PAGEREF 4176 \h</w:instrText>
        </w:r>
        <w:r>
          <w:fldChar w:fldCharType="end"/>
        </w:r>
      </w:hyperlink>
    </w:p>
    <w:p>
      <w:pPr>
        <w:tabs>
          <w:tab w:val="right" w:leader="dot" w:pos="9062"/>
        </w:tabs>
        <w:ind w:left="440"/>
      </w:pPr>
      <w:hyperlink w:anchor="_Toc4177" w:history="1">
        <w:r>
          <w:rPr>
            <w:rFonts w:ascii="IRNazanin" w:hAnsi="IRNazanin" w:eastAsia="IRNazanin" w:cs="IRNazanin"/>
            <w:color w:val="111111"/>
            <w:sz w:val="22"/>
            <w:szCs w:val="22"/>
            <w:b w:val="0"/>
            <w:bCs w:val="0"/>
            <w:i w:val="0"/>
            <w:iCs w:val="0"/>
          </w:rPr>
          <w:t>3148- دیوان صائب أصفهانی‏</w:t>
        </w:r>
        <w:r>
          <w:tab/>
        </w:r>
        <w:r>
          <w:fldChar w:fldCharType="begin"/>
        </w:r>
        <w:r>
          <w:instrText xml:space="preserve">PAGEREF 4177 \h</w:instrText>
        </w:r>
        <w:r>
          <w:fldChar w:fldCharType="end"/>
        </w:r>
      </w:hyperlink>
    </w:p>
    <w:p>
      <w:pPr>
        <w:tabs>
          <w:tab w:val="right" w:leader="dot" w:pos="9062"/>
        </w:tabs>
        <w:ind w:left="440"/>
      </w:pPr>
      <w:hyperlink w:anchor="_Toc4178" w:history="1">
        <w:r>
          <w:rPr>
            <w:rFonts w:ascii="IRNazanin" w:hAnsi="IRNazanin" w:eastAsia="IRNazanin" w:cs="IRNazanin"/>
            <w:color w:val="111111"/>
            <w:sz w:val="22"/>
            <w:szCs w:val="22"/>
            <w:b w:val="0"/>
            <w:bCs w:val="0"/>
            <w:i w:val="0"/>
            <w:iCs w:val="0"/>
          </w:rPr>
          <w:t>3149- دیوان صائب شیرازی‏</w:t>
        </w:r>
        <w:r>
          <w:tab/>
        </w:r>
        <w:r>
          <w:fldChar w:fldCharType="begin"/>
        </w:r>
        <w:r>
          <w:instrText xml:space="preserve">PAGEREF 4178 \h</w:instrText>
        </w:r>
        <w:r>
          <w:fldChar w:fldCharType="end"/>
        </w:r>
      </w:hyperlink>
    </w:p>
    <w:p>
      <w:pPr>
        <w:tabs>
          <w:tab w:val="right" w:leader="dot" w:pos="9062"/>
        </w:tabs>
        <w:ind w:left="440"/>
      </w:pPr>
      <w:hyperlink w:anchor="_Toc4179" w:history="1">
        <w:r>
          <w:rPr>
            <w:rFonts w:ascii="IRNazanin" w:hAnsi="IRNazanin" w:eastAsia="IRNazanin" w:cs="IRNazanin"/>
            <w:color w:val="111111"/>
            <w:sz w:val="22"/>
            <w:szCs w:val="22"/>
            <w:b w:val="0"/>
            <w:bCs w:val="0"/>
            <w:i w:val="0"/>
            <w:iCs w:val="0"/>
          </w:rPr>
          <w:t>دیوان صائب هندی‏</w:t>
        </w:r>
        <w:r>
          <w:tab/>
        </w:r>
        <w:r>
          <w:fldChar w:fldCharType="begin"/>
        </w:r>
        <w:r>
          <w:instrText xml:space="preserve">PAGEREF 4179 \h</w:instrText>
        </w:r>
        <w:r>
          <w:fldChar w:fldCharType="end"/>
        </w:r>
      </w:hyperlink>
    </w:p>
    <w:p>
      <w:pPr>
        <w:tabs>
          <w:tab w:val="right" w:leader="dot" w:pos="9062"/>
        </w:tabs>
        <w:ind w:left="440"/>
      </w:pPr>
      <w:hyperlink w:anchor="_Toc4180" w:history="1">
        <w:r>
          <w:rPr>
            <w:rFonts w:ascii="IRNazanin" w:hAnsi="IRNazanin" w:eastAsia="IRNazanin" w:cs="IRNazanin"/>
            <w:color w:val="111111"/>
            <w:sz w:val="22"/>
            <w:szCs w:val="22"/>
            <w:b w:val="0"/>
            <w:bCs w:val="0"/>
            <w:i w:val="0"/>
            <w:iCs w:val="0"/>
          </w:rPr>
          <w:t>3150- دیوان صائغ خراسانی أو شعره‏</w:t>
        </w:r>
        <w:r>
          <w:tab/>
        </w:r>
        <w:r>
          <w:fldChar w:fldCharType="begin"/>
        </w:r>
        <w:r>
          <w:instrText xml:space="preserve">PAGEREF 4180 \h</w:instrText>
        </w:r>
        <w:r>
          <w:fldChar w:fldCharType="end"/>
        </w:r>
      </w:hyperlink>
    </w:p>
    <w:p>
      <w:pPr>
        <w:tabs>
          <w:tab w:val="right" w:leader="dot" w:pos="9062"/>
        </w:tabs>
        <w:ind w:left="440"/>
      </w:pPr>
      <w:hyperlink w:anchor="_Toc4181" w:history="1">
        <w:r>
          <w:rPr>
            <w:rFonts w:ascii="IRNazanin" w:hAnsi="IRNazanin" w:eastAsia="IRNazanin" w:cs="IRNazanin"/>
            <w:color w:val="111111"/>
            <w:sz w:val="22"/>
            <w:szCs w:val="22"/>
            <w:b w:val="0"/>
            <w:bCs w:val="0"/>
            <w:i w:val="0"/>
            <w:iCs w:val="0"/>
          </w:rPr>
          <w:t>3151- دیوان الصائغ الرامهرمزی أو شعره‏</w:t>
        </w:r>
        <w:r>
          <w:tab/>
        </w:r>
        <w:r>
          <w:fldChar w:fldCharType="begin"/>
        </w:r>
        <w:r>
          <w:instrText xml:space="preserve">PAGEREF 4181 \h</w:instrText>
        </w:r>
        <w:r>
          <w:fldChar w:fldCharType="end"/>
        </w:r>
      </w:hyperlink>
    </w:p>
    <w:p>
      <w:pPr>
        <w:tabs>
          <w:tab w:val="right" w:leader="dot" w:pos="9062"/>
        </w:tabs>
        <w:ind w:left="440"/>
      </w:pPr>
      <w:hyperlink w:anchor="_Toc4182" w:history="1">
        <w:r>
          <w:rPr>
            <w:rFonts w:ascii="IRNazanin" w:hAnsi="IRNazanin" w:eastAsia="IRNazanin" w:cs="IRNazanin"/>
            <w:color w:val="111111"/>
            <w:sz w:val="22"/>
            <w:szCs w:val="22"/>
            <w:b w:val="0"/>
            <w:bCs w:val="0"/>
            <w:i w:val="0"/>
            <w:iCs w:val="0"/>
          </w:rPr>
          <w:t>3152- دیوان صائغ هروی أو شعره‏</w:t>
        </w:r>
        <w:r>
          <w:tab/>
        </w:r>
        <w:r>
          <w:fldChar w:fldCharType="begin"/>
        </w:r>
        <w:r>
          <w:instrText xml:space="preserve">PAGEREF 4182 \h</w:instrText>
        </w:r>
        <w:r>
          <w:fldChar w:fldCharType="end"/>
        </w:r>
      </w:hyperlink>
    </w:p>
    <w:p>
      <w:pPr>
        <w:tabs>
          <w:tab w:val="right" w:leader="dot" w:pos="9062"/>
        </w:tabs>
        <w:ind w:left="440"/>
      </w:pPr>
      <w:hyperlink w:anchor="_Toc4183" w:history="1">
        <w:r>
          <w:rPr>
            <w:rFonts w:ascii="IRNazanin" w:hAnsi="IRNazanin" w:eastAsia="IRNazanin" w:cs="IRNazanin"/>
            <w:color w:val="111111"/>
            <w:sz w:val="22"/>
            <w:szCs w:val="22"/>
            <w:b w:val="0"/>
            <w:bCs w:val="0"/>
            <w:i w:val="0"/>
            <w:iCs w:val="0"/>
          </w:rPr>
          <w:t>دیوان صائن ترکة</w:t>
        </w:r>
        <w:r>
          <w:tab/>
        </w:r>
        <w:r>
          <w:fldChar w:fldCharType="begin"/>
        </w:r>
        <w:r>
          <w:instrText xml:space="preserve">PAGEREF 4183 \h</w:instrText>
        </w:r>
        <w:r>
          <w:fldChar w:fldCharType="end"/>
        </w:r>
      </w:hyperlink>
    </w:p>
    <w:p>
      <w:pPr>
        <w:tabs>
          <w:tab w:val="right" w:leader="dot" w:pos="9062"/>
        </w:tabs>
        <w:ind w:left="440"/>
      </w:pPr>
      <w:hyperlink w:anchor="_Toc4184" w:history="1">
        <w:r>
          <w:rPr>
            <w:rFonts w:ascii="IRNazanin" w:hAnsi="IRNazanin" w:eastAsia="IRNazanin" w:cs="IRNazanin"/>
            <w:color w:val="111111"/>
            <w:sz w:val="22"/>
            <w:szCs w:val="22"/>
            <w:b w:val="0"/>
            <w:bCs w:val="0"/>
            <w:i w:val="0"/>
            <w:iCs w:val="0"/>
          </w:rPr>
          <w:t>3153- دیوان صائن الدین أصفهانی أو شعره‏</w:t>
        </w:r>
        <w:r>
          <w:tab/>
        </w:r>
        <w:r>
          <w:fldChar w:fldCharType="begin"/>
        </w:r>
        <w:r>
          <w:instrText xml:space="preserve">PAGEREF 4184 \h</w:instrText>
        </w:r>
        <w:r>
          <w:fldChar w:fldCharType="end"/>
        </w:r>
      </w:hyperlink>
    </w:p>
    <w:p>
      <w:pPr>
        <w:tabs>
          <w:tab w:val="right" w:leader="dot" w:pos="9062"/>
        </w:tabs>
        <w:ind w:left="440"/>
      </w:pPr>
      <w:hyperlink w:anchor="_Toc4185" w:history="1">
        <w:r>
          <w:rPr>
            <w:rFonts w:ascii="IRNazanin" w:hAnsi="IRNazanin" w:eastAsia="IRNazanin" w:cs="IRNazanin"/>
            <w:color w:val="111111"/>
            <w:sz w:val="22"/>
            <w:szCs w:val="22"/>
            <w:b w:val="0"/>
            <w:bCs w:val="0"/>
            <w:i w:val="0"/>
            <w:iCs w:val="0"/>
          </w:rPr>
          <w:t>3154- دیوان صائن الدین یحیی أو شعره‏</w:t>
        </w:r>
        <w:r>
          <w:tab/>
        </w:r>
        <w:r>
          <w:fldChar w:fldCharType="begin"/>
        </w:r>
        <w:r>
          <w:instrText xml:space="preserve">PAGEREF 4185 \h</w:instrText>
        </w:r>
        <w:r>
          <w:fldChar w:fldCharType="end"/>
        </w:r>
      </w:hyperlink>
    </w:p>
    <w:p>
      <w:pPr>
        <w:tabs>
          <w:tab w:val="right" w:leader="dot" w:pos="9062"/>
        </w:tabs>
        <w:ind w:left="440"/>
      </w:pPr>
      <w:hyperlink w:anchor="_Toc4186" w:history="1">
        <w:r>
          <w:rPr>
            <w:rFonts w:ascii="IRNazanin" w:hAnsi="IRNazanin" w:eastAsia="IRNazanin" w:cs="IRNazanin"/>
            <w:color w:val="111111"/>
            <w:sz w:val="22"/>
            <w:szCs w:val="22"/>
            <w:b w:val="0"/>
            <w:bCs w:val="0"/>
            <w:i w:val="0"/>
            <w:iCs w:val="0"/>
          </w:rPr>
          <w:t>دیوان صائن سمنانی‏</w:t>
        </w:r>
        <w:r>
          <w:tab/>
        </w:r>
        <w:r>
          <w:fldChar w:fldCharType="begin"/>
        </w:r>
        <w:r>
          <w:instrText xml:space="preserve">PAGEREF 4186 \h</w:instrText>
        </w:r>
        <w:r>
          <w:fldChar w:fldCharType="end"/>
        </w:r>
      </w:hyperlink>
    </w:p>
    <w:p>
      <w:pPr>
        <w:tabs>
          <w:tab w:val="right" w:leader="dot" w:pos="9062"/>
        </w:tabs>
        <w:ind w:left="440"/>
      </w:pPr>
      <w:hyperlink w:anchor="_Toc4187" w:history="1">
        <w:r>
          <w:rPr>
            <w:rFonts w:ascii="IRNazanin" w:hAnsi="IRNazanin" w:eastAsia="IRNazanin" w:cs="IRNazanin"/>
            <w:color w:val="111111"/>
            <w:sz w:val="22"/>
            <w:szCs w:val="22"/>
            <w:b w:val="0"/>
            <w:bCs w:val="0"/>
            <w:i w:val="0"/>
            <w:iCs w:val="0"/>
          </w:rPr>
          <w:t>دیوان صائن شیرازی‏</w:t>
        </w:r>
        <w:r>
          <w:tab/>
        </w:r>
        <w:r>
          <w:fldChar w:fldCharType="begin"/>
        </w:r>
        <w:r>
          <w:instrText xml:space="preserve">PAGEREF 4187 \h</w:instrText>
        </w:r>
        <w:r>
          <w:fldChar w:fldCharType="end"/>
        </w:r>
      </w:hyperlink>
    </w:p>
    <w:p>
      <w:pPr>
        <w:tabs>
          <w:tab w:val="right" w:leader="dot" w:pos="9062"/>
        </w:tabs>
        <w:ind w:left="440"/>
      </w:pPr>
      <w:hyperlink w:anchor="_Toc4188" w:history="1">
        <w:r>
          <w:rPr>
            <w:rFonts w:ascii="IRNazanin" w:hAnsi="IRNazanin" w:eastAsia="IRNazanin" w:cs="IRNazanin"/>
            <w:color w:val="111111"/>
            <w:sz w:val="22"/>
            <w:szCs w:val="22"/>
            <w:b w:val="0"/>
            <w:bCs w:val="0"/>
            <w:i w:val="0"/>
            <w:iCs w:val="0"/>
          </w:rPr>
          <w:t>دیوان صائن هروی‏</w:t>
        </w:r>
        <w:r>
          <w:tab/>
        </w:r>
        <w:r>
          <w:fldChar w:fldCharType="begin"/>
        </w:r>
        <w:r>
          <w:instrText xml:space="preserve">PAGEREF 4188 \h</w:instrText>
        </w:r>
        <w:r>
          <w:fldChar w:fldCharType="end"/>
        </w:r>
      </w:hyperlink>
    </w:p>
    <w:p>
      <w:pPr>
        <w:tabs>
          <w:tab w:val="right" w:leader="dot" w:pos="9062"/>
        </w:tabs>
        <w:ind w:left="440"/>
      </w:pPr>
      <w:hyperlink w:anchor="_Toc4189" w:history="1">
        <w:r>
          <w:rPr>
            <w:rFonts w:ascii="IRNazanin" w:hAnsi="IRNazanin" w:eastAsia="IRNazanin" w:cs="IRNazanin"/>
            <w:color w:val="111111"/>
            <w:sz w:val="22"/>
            <w:szCs w:val="22"/>
            <w:b w:val="0"/>
            <w:bCs w:val="0"/>
            <w:i w:val="0"/>
            <w:iCs w:val="0"/>
          </w:rPr>
          <w:t>3155- دیوان صابر آیینه‏ساز أو شعره‏</w:t>
        </w:r>
        <w:r>
          <w:tab/>
        </w:r>
        <w:r>
          <w:fldChar w:fldCharType="begin"/>
        </w:r>
        <w:r>
          <w:instrText xml:space="preserve">PAGEREF 4189 \h</w:instrText>
        </w:r>
        <w:r>
          <w:fldChar w:fldCharType="end"/>
        </w:r>
      </w:hyperlink>
    </w:p>
    <w:p>
      <w:pPr>
        <w:tabs>
          <w:tab w:val="right" w:leader="dot" w:pos="9062"/>
        </w:tabs>
        <w:ind w:left="440"/>
      </w:pPr>
      <w:hyperlink w:anchor="_Toc4190" w:history="1">
        <w:r>
          <w:rPr>
            <w:rFonts w:ascii="IRNazanin" w:hAnsi="IRNazanin" w:eastAsia="IRNazanin" w:cs="IRNazanin"/>
            <w:color w:val="111111"/>
            <w:sz w:val="22"/>
            <w:szCs w:val="22"/>
            <w:b w:val="0"/>
            <w:bCs w:val="0"/>
            <w:i w:val="0"/>
            <w:iCs w:val="0"/>
          </w:rPr>
          <w:t>دیوان صابر أصفهانی‏</w:t>
        </w:r>
        <w:r>
          <w:tab/>
        </w:r>
        <w:r>
          <w:fldChar w:fldCharType="begin"/>
        </w:r>
        <w:r>
          <w:instrText xml:space="preserve">PAGEREF 4190 \h</w:instrText>
        </w:r>
        <w:r>
          <w:fldChar w:fldCharType="end"/>
        </w:r>
      </w:hyperlink>
    </w:p>
    <w:p>
      <w:pPr>
        <w:tabs>
          <w:tab w:val="right" w:leader="dot" w:pos="9062"/>
        </w:tabs>
        <w:ind w:left="440"/>
      </w:pPr>
      <w:hyperlink w:anchor="_Toc4191" w:history="1">
        <w:r>
          <w:rPr>
            <w:rFonts w:ascii="IRNazanin" w:hAnsi="IRNazanin" w:eastAsia="IRNazanin" w:cs="IRNazanin"/>
            <w:color w:val="111111"/>
            <w:sz w:val="22"/>
            <w:szCs w:val="22"/>
            <w:b w:val="0"/>
            <w:bCs w:val="0"/>
            <w:i w:val="0"/>
            <w:iCs w:val="0"/>
          </w:rPr>
          <w:t>3156- دیوان صابر تبریزی‏</w:t>
        </w:r>
        <w:r>
          <w:tab/>
        </w:r>
        <w:r>
          <w:fldChar w:fldCharType="begin"/>
        </w:r>
        <w:r>
          <w:instrText xml:space="preserve">PAGEREF 4191 \h</w:instrText>
        </w:r>
        <w:r>
          <w:fldChar w:fldCharType="end"/>
        </w:r>
      </w:hyperlink>
    </w:p>
    <w:p>
      <w:pPr>
        <w:tabs>
          <w:tab w:val="right" w:leader="dot" w:pos="9062"/>
        </w:tabs>
        <w:ind w:left="440"/>
      </w:pPr>
      <w:hyperlink w:anchor="_Toc4192" w:history="1">
        <w:r>
          <w:rPr>
            <w:rFonts w:ascii="IRNazanin" w:hAnsi="IRNazanin" w:eastAsia="IRNazanin" w:cs="IRNazanin"/>
            <w:color w:val="111111"/>
            <w:sz w:val="22"/>
            <w:szCs w:val="22"/>
            <w:b w:val="0"/>
            <w:bCs w:val="0"/>
            <w:i w:val="0"/>
            <w:iCs w:val="0"/>
          </w:rPr>
          <w:t>3157- دیوان صابر ترمذی‏</w:t>
        </w:r>
        <w:r>
          <w:tab/>
        </w:r>
        <w:r>
          <w:fldChar w:fldCharType="begin"/>
        </w:r>
        <w:r>
          <w:instrText xml:space="preserve">PAGEREF 4192 \h</w:instrText>
        </w:r>
        <w:r>
          <w:fldChar w:fldCharType="end"/>
        </w:r>
      </w:hyperlink>
    </w:p>
    <w:p>
      <w:pPr>
        <w:tabs>
          <w:tab w:val="right" w:leader="dot" w:pos="9062"/>
        </w:tabs>
        <w:ind w:left="440"/>
      </w:pPr>
      <w:hyperlink w:anchor="_Toc4193" w:history="1">
        <w:r>
          <w:rPr>
            <w:rFonts w:ascii="IRNazanin" w:hAnsi="IRNazanin" w:eastAsia="IRNazanin" w:cs="IRNazanin"/>
            <w:color w:val="111111"/>
            <w:sz w:val="22"/>
            <w:szCs w:val="22"/>
            <w:b w:val="0"/>
            <w:bCs w:val="0"/>
            <w:i w:val="0"/>
            <w:iCs w:val="0"/>
          </w:rPr>
          <w:t>3158- دیوان صابر دیلمقانی أو شعره‏</w:t>
        </w:r>
        <w:r>
          <w:tab/>
        </w:r>
        <w:r>
          <w:fldChar w:fldCharType="begin"/>
        </w:r>
        <w:r>
          <w:instrText xml:space="preserve">PAGEREF 4193 \h</w:instrText>
        </w:r>
        <w:r>
          <w:fldChar w:fldCharType="end"/>
        </w:r>
      </w:hyperlink>
    </w:p>
    <w:p>
      <w:pPr>
        <w:tabs>
          <w:tab w:val="right" w:leader="dot" w:pos="9062"/>
        </w:tabs>
        <w:ind w:left="440"/>
      </w:pPr>
      <w:hyperlink w:anchor="_Toc4194" w:history="1">
        <w:r>
          <w:rPr>
            <w:rFonts w:ascii="IRNazanin" w:hAnsi="IRNazanin" w:eastAsia="IRNazanin" w:cs="IRNazanin"/>
            <w:color w:val="111111"/>
            <w:sz w:val="22"/>
            <w:szCs w:val="22"/>
            <w:b w:val="0"/>
            <w:bCs w:val="0"/>
            <w:i w:val="0"/>
            <w:iCs w:val="0"/>
          </w:rPr>
          <w:t>3159- دیوان صابر رازی أو شعره‏</w:t>
        </w:r>
        <w:r>
          <w:tab/>
        </w:r>
        <w:r>
          <w:fldChar w:fldCharType="begin"/>
        </w:r>
        <w:r>
          <w:instrText xml:space="preserve">PAGEREF 4194 \h</w:instrText>
        </w:r>
        <w:r>
          <w:fldChar w:fldCharType="end"/>
        </w:r>
      </w:hyperlink>
    </w:p>
    <w:p>
      <w:pPr>
        <w:tabs>
          <w:tab w:val="right" w:leader="dot" w:pos="9062"/>
        </w:tabs>
        <w:ind w:left="440"/>
      </w:pPr>
      <w:hyperlink w:anchor="_Toc4195" w:history="1">
        <w:r>
          <w:rPr>
            <w:rFonts w:ascii="IRNazanin" w:hAnsi="IRNazanin" w:eastAsia="IRNazanin" w:cs="IRNazanin"/>
            <w:color w:val="111111"/>
            <w:sz w:val="22"/>
            <w:szCs w:val="22"/>
            <w:b w:val="0"/>
            <w:bCs w:val="0"/>
            <w:i w:val="0"/>
            <w:iCs w:val="0"/>
          </w:rPr>
          <w:t>3160- دیوان صابر زواره‏ئی أو شعره‏</w:t>
        </w:r>
        <w:r>
          <w:tab/>
        </w:r>
        <w:r>
          <w:fldChar w:fldCharType="begin"/>
        </w:r>
        <w:r>
          <w:instrText xml:space="preserve">PAGEREF 4195 \h</w:instrText>
        </w:r>
        <w:r>
          <w:fldChar w:fldCharType="end"/>
        </w:r>
      </w:hyperlink>
    </w:p>
    <w:p>
      <w:pPr>
        <w:tabs>
          <w:tab w:val="right" w:leader="dot" w:pos="9062"/>
        </w:tabs>
        <w:ind w:left="440"/>
      </w:pPr>
      <w:hyperlink w:anchor="_Toc4196" w:history="1">
        <w:r>
          <w:rPr>
            <w:rFonts w:ascii="IRNazanin" w:hAnsi="IRNazanin" w:eastAsia="IRNazanin" w:cs="IRNazanin"/>
            <w:color w:val="111111"/>
            <w:sz w:val="22"/>
            <w:szCs w:val="22"/>
            <w:b w:val="0"/>
            <w:bCs w:val="0"/>
            <w:i w:val="0"/>
            <w:iCs w:val="0"/>
          </w:rPr>
          <w:t>3161- دیوان صابر سمرقندی أو شعره‏</w:t>
        </w:r>
        <w:r>
          <w:tab/>
        </w:r>
        <w:r>
          <w:fldChar w:fldCharType="begin"/>
        </w:r>
        <w:r>
          <w:instrText xml:space="preserve">PAGEREF 4196 \h</w:instrText>
        </w:r>
        <w:r>
          <w:fldChar w:fldCharType="end"/>
        </w:r>
      </w:hyperlink>
    </w:p>
    <w:p>
      <w:pPr>
        <w:tabs>
          <w:tab w:val="right" w:leader="dot" w:pos="9062"/>
        </w:tabs>
        <w:ind w:left="440"/>
      </w:pPr>
      <w:hyperlink w:anchor="_Toc4197" w:history="1">
        <w:r>
          <w:rPr>
            <w:rFonts w:ascii="IRNazanin" w:hAnsi="IRNazanin" w:eastAsia="IRNazanin" w:cs="IRNazanin"/>
            <w:color w:val="111111"/>
            <w:sz w:val="22"/>
            <w:szCs w:val="22"/>
            <w:b w:val="0"/>
            <w:bCs w:val="0"/>
            <w:i w:val="0"/>
            <w:iCs w:val="0"/>
          </w:rPr>
          <w:t>3162- دیوان صابر شماخی‏</w:t>
        </w:r>
        <w:r>
          <w:tab/>
        </w:r>
        <w:r>
          <w:fldChar w:fldCharType="begin"/>
        </w:r>
        <w:r>
          <w:instrText xml:space="preserve">PAGEREF 4197 \h</w:instrText>
        </w:r>
        <w:r>
          <w:fldChar w:fldCharType="end"/>
        </w:r>
      </w:hyperlink>
    </w:p>
    <w:p>
      <w:pPr>
        <w:tabs>
          <w:tab w:val="right" w:leader="dot" w:pos="9062"/>
        </w:tabs>
        <w:ind w:left="440"/>
      </w:pPr>
      <w:hyperlink w:anchor="_Toc4198" w:history="1">
        <w:r>
          <w:rPr>
            <w:rFonts w:ascii="IRNazanin" w:hAnsi="IRNazanin" w:eastAsia="IRNazanin" w:cs="IRNazanin"/>
            <w:color w:val="111111"/>
            <w:sz w:val="22"/>
            <w:szCs w:val="22"/>
            <w:b w:val="0"/>
            <w:bCs w:val="0"/>
            <w:i w:val="0"/>
            <w:iCs w:val="0"/>
          </w:rPr>
          <w:t>3163- دیوان صابر شیرازی أو شعره‏</w:t>
        </w:r>
        <w:r>
          <w:tab/>
        </w:r>
        <w:r>
          <w:fldChar w:fldCharType="begin"/>
        </w:r>
        <w:r>
          <w:instrText xml:space="preserve">PAGEREF 4198 \h</w:instrText>
        </w:r>
        <w:r>
          <w:fldChar w:fldCharType="end"/>
        </w:r>
      </w:hyperlink>
    </w:p>
    <w:p>
      <w:pPr>
        <w:tabs>
          <w:tab w:val="right" w:leader="dot" w:pos="9062"/>
        </w:tabs>
        <w:ind w:left="440"/>
      </w:pPr>
      <w:hyperlink w:anchor="_Toc4199" w:history="1">
        <w:r>
          <w:rPr>
            <w:rFonts w:ascii="IRNazanin" w:hAnsi="IRNazanin" w:eastAsia="IRNazanin" w:cs="IRNazanin"/>
            <w:color w:val="111111"/>
            <w:sz w:val="22"/>
            <w:szCs w:val="22"/>
            <w:b w:val="0"/>
            <w:bCs w:val="0"/>
            <w:i w:val="0"/>
            <w:iCs w:val="0"/>
          </w:rPr>
          <w:t>3164- دیوان صابر شیرازی‏</w:t>
        </w:r>
        <w:r>
          <w:tab/>
        </w:r>
        <w:r>
          <w:fldChar w:fldCharType="begin"/>
        </w:r>
        <w:r>
          <w:instrText xml:space="preserve">PAGEREF 4199 \h</w:instrText>
        </w:r>
        <w:r>
          <w:fldChar w:fldCharType="end"/>
        </w:r>
      </w:hyperlink>
    </w:p>
    <w:p>
      <w:pPr>
        <w:tabs>
          <w:tab w:val="right" w:leader="dot" w:pos="9062"/>
        </w:tabs>
        <w:ind w:left="440"/>
      </w:pPr>
      <w:hyperlink w:anchor="_Toc4200" w:history="1">
        <w:r>
          <w:rPr>
            <w:rFonts w:ascii="IRNazanin" w:hAnsi="IRNazanin" w:eastAsia="IRNazanin" w:cs="IRNazanin"/>
            <w:color w:val="111111"/>
            <w:sz w:val="22"/>
            <w:szCs w:val="22"/>
            <w:b w:val="0"/>
            <w:bCs w:val="0"/>
            <w:i w:val="0"/>
            <w:iCs w:val="0"/>
          </w:rPr>
          <w:t>3165- دیوان صابر لاهیجی أو شعره‏</w:t>
        </w:r>
        <w:r>
          <w:tab/>
        </w:r>
        <w:r>
          <w:fldChar w:fldCharType="begin"/>
        </w:r>
        <w:r>
          <w:instrText xml:space="preserve">PAGEREF 4200 \h</w:instrText>
        </w:r>
        <w:r>
          <w:fldChar w:fldCharType="end"/>
        </w:r>
      </w:hyperlink>
    </w:p>
    <w:p>
      <w:pPr>
        <w:tabs>
          <w:tab w:val="right" w:leader="dot" w:pos="9062"/>
        </w:tabs>
        <w:ind w:left="440"/>
      </w:pPr>
      <w:hyperlink w:anchor="_Toc4201" w:history="1">
        <w:r>
          <w:rPr>
            <w:rFonts w:ascii="IRNazanin" w:hAnsi="IRNazanin" w:eastAsia="IRNazanin" w:cs="IRNazanin"/>
            <w:color w:val="111111"/>
            <w:sz w:val="22"/>
            <w:szCs w:val="22"/>
            <w:b w:val="0"/>
            <w:bCs w:val="0"/>
            <w:i w:val="0"/>
            <w:iCs w:val="0"/>
          </w:rPr>
          <w:t>3166- دیوان صابر مشهدی أو شعره‏</w:t>
        </w:r>
        <w:r>
          <w:tab/>
        </w:r>
        <w:r>
          <w:fldChar w:fldCharType="begin"/>
        </w:r>
        <w:r>
          <w:instrText xml:space="preserve">PAGEREF 4201 \h</w:instrText>
        </w:r>
        <w:r>
          <w:fldChar w:fldCharType="end"/>
        </w:r>
      </w:hyperlink>
    </w:p>
    <w:p>
      <w:pPr>
        <w:tabs>
          <w:tab w:val="right" w:leader="dot" w:pos="9062"/>
        </w:tabs>
        <w:ind w:left="440"/>
      </w:pPr>
      <w:hyperlink w:anchor="_Toc4202" w:history="1">
        <w:r>
          <w:rPr>
            <w:rFonts w:ascii="IRNazanin" w:hAnsi="IRNazanin" w:eastAsia="IRNazanin" w:cs="IRNazanin"/>
            <w:color w:val="111111"/>
            <w:sz w:val="22"/>
            <w:szCs w:val="22"/>
            <w:b w:val="0"/>
            <w:bCs w:val="0"/>
            <w:i w:val="0"/>
            <w:iCs w:val="0"/>
          </w:rPr>
          <w:t>3167- دیوان صابر همدانی أو شعره‏</w:t>
        </w:r>
        <w:r>
          <w:tab/>
        </w:r>
        <w:r>
          <w:fldChar w:fldCharType="begin"/>
        </w:r>
        <w:r>
          <w:instrText xml:space="preserve">PAGEREF 4202 \h</w:instrText>
        </w:r>
        <w:r>
          <w:fldChar w:fldCharType="end"/>
        </w:r>
      </w:hyperlink>
    </w:p>
    <w:p>
      <w:pPr>
        <w:tabs>
          <w:tab w:val="right" w:leader="dot" w:pos="9062"/>
        </w:tabs>
        <w:ind w:left="440"/>
      </w:pPr>
      <w:hyperlink w:anchor="_Toc4203" w:history="1">
        <w:r>
          <w:rPr>
            <w:rFonts w:ascii="IRNazanin" w:hAnsi="IRNazanin" w:eastAsia="IRNazanin" w:cs="IRNazanin"/>
            <w:color w:val="111111"/>
            <w:sz w:val="22"/>
            <w:szCs w:val="22"/>
            <w:b w:val="0"/>
            <w:bCs w:val="0"/>
            <w:i w:val="0"/>
            <w:iCs w:val="0"/>
          </w:rPr>
          <w:t>3168- دیوان صابری أو شعره‏</w:t>
        </w:r>
        <w:r>
          <w:tab/>
        </w:r>
        <w:r>
          <w:fldChar w:fldCharType="begin"/>
        </w:r>
        <w:r>
          <w:instrText xml:space="preserve">PAGEREF 4203 \h</w:instrText>
        </w:r>
        <w:r>
          <w:fldChar w:fldCharType="end"/>
        </w:r>
      </w:hyperlink>
    </w:p>
    <w:p>
      <w:pPr>
        <w:tabs>
          <w:tab w:val="right" w:leader="dot" w:pos="9062"/>
        </w:tabs>
        <w:ind w:left="440"/>
      </w:pPr>
      <w:hyperlink w:anchor="_Toc4204" w:history="1">
        <w:r>
          <w:rPr>
            <w:rFonts w:ascii="IRNazanin" w:hAnsi="IRNazanin" w:eastAsia="IRNazanin" w:cs="IRNazanin"/>
            <w:color w:val="111111"/>
            <w:sz w:val="22"/>
            <w:szCs w:val="22"/>
            <w:b w:val="0"/>
            <w:bCs w:val="0"/>
            <w:i w:val="0"/>
            <w:iCs w:val="0"/>
          </w:rPr>
          <w:t>3169- دیوان صابر یزدی‏</w:t>
        </w:r>
        <w:r>
          <w:tab/>
        </w:r>
        <w:r>
          <w:fldChar w:fldCharType="begin"/>
        </w:r>
        <w:r>
          <w:instrText xml:space="preserve">PAGEREF 4204 \h</w:instrText>
        </w:r>
        <w:r>
          <w:fldChar w:fldCharType="end"/>
        </w:r>
      </w:hyperlink>
    </w:p>
    <w:p>
      <w:pPr>
        <w:tabs>
          <w:tab w:val="right" w:leader="dot" w:pos="9062"/>
        </w:tabs>
        <w:ind w:left="440"/>
      </w:pPr>
      <w:hyperlink w:anchor="_Toc4205" w:history="1">
        <w:r>
          <w:rPr>
            <w:rFonts w:ascii="IRNazanin" w:hAnsi="IRNazanin" w:eastAsia="IRNazanin" w:cs="IRNazanin"/>
            <w:color w:val="111111"/>
            <w:sz w:val="22"/>
            <w:szCs w:val="22"/>
            <w:b w:val="0"/>
            <w:bCs w:val="0"/>
            <w:i w:val="0"/>
            <w:iCs w:val="0"/>
          </w:rPr>
          <w:t>دیوان صابونی قزوینی‏</w:t>
        </w:r>
        <w:r>
          <w:tab/>
        </w:r>
        <w:r>
          <w:fldChar w:fldCharType="begin"/>
        </w:r>
        <w:r>
          <w:instrText xml:space="preserve">PAGEREF 4205 \h</w:instrText>
        </w:r>
        <w:r>
          <w:fldChar w:fldCharType="end"/>
        </w:r>
      </w:hyperlink>
    </w:p>
    <w:p>
      <w:pPr>
        <w:tabs>
          <w:tab w:val="right" w:leader="dot" w:pos="9062"/>
        </w:tabs>
        <w:ind w:left="440"/>
      </w:pPr>
      <w:hyperlink w:anchor="_Toc4206" w:history="1">
        <w:r>
          <w:rPr>
            <w:rFonts w:ascii="IRNazanin" w:hAnsi="IRNazanin" w:eastAsia="IRNazanin" w:cs="IRNazanin"/>
            <w:color w:val="111111"/>
            <w:sz w:val="22"/>
            <w:szCs w:val="22"/>
            <w:b w:val="0"/>
            <w:bCs w:val="0"/>
            <w:i w:val="0"/>
            <w:iCs w:val="0"/>
          </w:rPr>
          <w:t>3170- دیوان صابونی همدانی‏</w:t>
        </w:r>
        <w:r>
          <w:tab/>
        </w:r>
        <w:r>
          <w:fldChar w:fldCharType="begin"/>
        </w:r>
        <w:r>
          <w:instrText xml:space="preserve">PAGEREF 4206 \h</w:instrText>
        </w:r>
        <w:r>
          <w:fldChar w:fldCharType="end"/>
        </w:r>
      </w:hyperlink>
    </w:p>
    <w:p>
      <w:pPr>
        <w:tabs>
          <w:tab w:val="right" w:leader="dot" w:pos="9062"/>
        </w:tabs>
        <w:ind w:left="440"/>
      </w:pPr>
      <w:hyperlink w:anchor="_Toc4207" w:history="1">
        <w:r>
          <w:rPr>
            <w:rFonts w:ascii="IRNazanin" w:hAnsi="IRNazanin" w:eastAsia="IRNazanin" w:cs="IRNazanin"/>
            <w:color w:val="111111"/>
            <w:sz w:val="22"/>
            <w:szCs w:val="22"/>
            <w:b w:val="0"/>
            <w:bCs w:val="0"/>
            <w:i w:val="0"/>
            <w:iCs w:val="0"/>
          </w:rPr>
          <w:t>دیوان الصاحب ابن عباد</w:t>
        </w:r>
        <w:r>
          <w:tab/>
        </w:r>
        <w:r>
          <w:fldChar w:fldCharType="begin"/>
        </w:r>
        <w:r>
          <w:instrText xml:space="preserve">PAGEREF 4207 \h</w:instrText>
        </w:r>
        <w:r>
          <w:fldChar w:fldCharType="end"/>
        </w:r>
      </w:hyperlink>
    </w:p>
    <w:p>
      <w:pPr>
        <w:tabs>
          <w:tab w:val="right" w:leader="dot" w:pos="9062"/>
        </w:tabs>
        <w:ind w:left="440"/>
      </w:pPr>
      <w:hyperlink w:anchor="_Toc4208" w:history="1">
        <w:r>
          <w:rPr>
            <w:rFonts w:ascii="IRNazanin" w:hAnsi="IRNazanin" w:eastAsia="IRNazanin" w:cs="IRNazanin"/>
            <w:color w:val="111111"/>
            <w:sz w:val="22"/>
            <w:szCs w:val="22"/>
            <w:b w:val="0"/>
            <w:bCs w:val="0"/>
            <w:i w:val="0"/>
            <w:iCs w:val="0"/>
          </w:rPr>
          <w:t>دیوان صاحب أسترآبادی‏</w:t>
        </w:r>
        <w:r>
          <w:tab/>
        </w:r>
        <w:r>
          <w:fldChar w:fldCharType="begin"/>
        </w:r>
        <w:r>
          <w:instrText xml:space="preserve">PAGEREF 4208 \h</w:instrText>
        </w:r>
        <w:r>
          <w:fldChar w:fldCharType="end"/>
        </w:r>
      </w:hyperlink>
    </w:p>
    <w:p>
      <w:pPr>
        <w:tabs>
          <w:tab w:val="right" w:leader="dot" w:pos="9062"/>
        </w:tabs>
        <w:ind w:left="440"/>
      </w:pPr>
      <w:hyperlink w:anchor="_Toc4209" w:history="1">
        <w:r>
          <w:rPr>
            <w:rFonts w:ascii="IRNazanin" w:hAnsi="IRNazanin" w:eastAsia="IRNazanin" w:cs="IRNazanin"/>
            <w:color w:val="111111"/>
            <w:sz w:val="22"/>
            <w:szCs w:val="22"/>
            <w:b w:val="0"/>
            <w:bCs w:val="0"/>
            <w:i w:val="0"/>
            <w:iCs w:val="0"/>
          </w:rPr>
          <w:t>دیوان الصاحب الاستیفائی‏</w:t>
        </w:r>
        <w:r>
          <w:tab/>
        </w:r>
        <w:r>
          <w:fldChar w:fldCharType="begin"/>
        </w:r>
        <w:r>
          <w:instrText xml:space="preserve">PAGEREF 4209 \h</w:instrText>
        </w:r>
        <w:r>
          <w:fldChar w:fldCharType="end"/>
        </w:r>
      </w:hyperlink>
    </w:p>
    <w:p>
      <w:pPr>
        <w:tabs>
          <w:tab w:val="right" w:leader="dot" w:pos="9062"/>
        </w:tabs>
        <w:ind w:left="440"/>
      </w:pPr>
      <w:hyperlink w:anchor="_Toc4210" w:history="1">
        <w:r>
          <w:rPr>
            <w:rFonts w:ascii="IRNazanin" w:hAnsi="IRNazanin" w:eastAsia="IRNazanin" w:cs="IRNazanin"/>
            <w:color w:val="111111"/>
            <w:sz w:val="22"/>
            <w:szCs w:val="22"/>
            <w:b w:val="0"/>
            <w:bCs w:val="0"/>
            <w:i w:val="0"/>
            <w:iCs w:val="0"/>
          </w:rPr>
          <w:t>دیوان صاحب بلخی‏</w:t>
        </w:r>
        <w:r>
          <w:tab/>
        </w:r>
        <w:r>
          <w:fldChar w:fldCharType="begin"/>
        </w:r>
        <w:r>
          <w:instrText xml:space="preserve">PAGEREF 4210 \h</w:instrText>
        </w:r>
        <w:r>
          <w:fldChar w:fldCharType="end"/>
        </w:r>
      </w:hyperlink>
    </w:p>
    <w:p>
      <w:pPr>
        <w:tabs>
          <w:tab w:val="right" w:leader="dot" w:pos="9062"/>
        </w:tabs>
        <w:ind w:left="440"/>
      </w:pPr>
      <w:hyperlink w:anchor="_Toc4211" w:history="1">
        <w:r>
          <w:rPr>
            <w:rFonts w:ascii="IRNazanin" w:hAnsi="IRNazanin" w:eastAsia="IRNazanin" w:cs="IRNazanin"/>
            <w:color w:val="111111"/>
            <w:sz w:val="22"/>
            <w:szCs w:val="22"/>
            <w:b w:val="0"/>
            <w:bCs w:val="0"/>
            <w:i w:val="0"/>
            <w:iCs w:val="0"/>
          </w:rPr>
          <w:t>دیوان صاحب بلگرامی‏</w:t>
        </w:r>
        <w:r>
          <w:tab/>
        </w:r>
        <w:r>
          <w:fldChar w:fldCharType="begin"/>
        </w:r>
        <w:r>
          <w:instrText xml:space="preserve">PAGEREF 4211 \h</w:instrText>
        </w:r>
        <w:r>
          <w:fldChar w:fldCharType="end"/>
        </w:r>
      </w:hyperlink>
    </w:p>
    <w:p>
      <w:pPr>
        <w:tabs>
          <w:tab w:val="right" w:leader="dot" w:pos="9062"/>
        </w:tabs>
        <w:ind w:left="440"/>
      </w:pPr>
      <w:hyperlink w:anchor="_Toc4212" w:history="1">
        <w:r>
          <w:rPr>
            <w:rFonts w:ascii="IRNazanin" w:hAnsi="IRNazanin" w:eastAsia="IRNazanin" w:cs="IRNazanin"/>
            <w:color w:val="111111"/>
            <w:sz w:val="22"/>
            <w:szCs w:val="22"/>
            <w:b w:val="0"/>
            <w:bCs w:val="0"/>
            <w:i w:val="0"/>
            <w:iCs w:val="0"/>
          </w:rPr>
          <w:t>دیوان صاحب دارا</w:t>
        </w:r>
        <w:r>
          <w:tab/>
        </w:r>
        <w:r>
          <w:fldChar w:fldCharType="begin"/>
        </w:r>
        <w:r>
          <w:instrText xml:space="preserve">PAGEREF 4212 \h</w:instrText>
        </w:r>
        <w:r>
          <w:fldChar w:fldCharType="end"/>
        </w:r>
      </w:hyperlink>
    </w:p>
    <w:p>
      <w:pPr>
        <w:tabs>
          <w:tab w:val="right" w:leader="dot" w:pos="9062"/>
        </w:tabs>
        <w:ind w:left="440"/>
      </w:pPr>
      <w:hyperlink w:anchor="_Toc4213" w:history="1">
        <w:r>
          <w:rPr>
            <w:rFonts w:ascii="IRNazanin" w:hAnsi="IRNazanin" w:eastAsia="IRNazanin" w:cs="IRNazanin"/>
            <w:color w:val="111111"/>
            <w:sz w:val="22"/>
            <w:szCs w:val="22"/>
            <w:b w:val="0"/>
            <w:bCs w:val="0"/>
            <w:i w:val="0"/>
            <w:iCs w:val="0"/>
          </w:rPr>
          <w:t>دیوان الصاحب الدیلمی‏</w:t>
        </w:r>
        <w:r>
          <w:tab/>
        </w:r>
        <w:r>
          <w:fldChar w:fldCharType="begin"/>
        </w:r>
        <w:r>
          <w:instrText xml:space="preserve">PAGEREF 4213 \h</w:instrText>
        </w:r>
        <w:r>
          <w:fldChar w:fldCharType="end"/>
        </w:r>
      </w:hyperlink>
    </w:p>
    <w:p>
      <w:pPr>
        <w:tabs>
          <w:tab w:val="right" w:leader="dot" w:pos="9062"/>
        </w:tabs>
        <w:ind w:left="440"/>
      </w:pPr>
      <w:hyperlink w:anchor="_Toc4214" w:history="1">
        <w:r>
          <w:rPr>
            <w:rFonts w:ascii="IRNazanin" w:hAnsi="IRNazanin" w:eastAsia="IRNazanin" w:cs="IRNazanin"/>
            <w:color w:val="111111"/>
            <w:sz w:val="22"/>
            <w:szCs w:val="22"/>
            <w:b w:val="0"/>
            <w:bCs w:val="0"/>
            <w:i w:val="0"/>
            <w:iCs w:val="0"/>
          </w:rPr>
          <w:t>3171- دیوان صاحب دیوان جوینی أو شعره‏</w:t>
        </w:r>
        <w:r>
          <w:tab/>
        </w:r>
        <w:r>
          <w:fldChar w:fldCharType="begin"/>
        </w:r>
        <w:r>
          <w:instrText xml:space="preserve">PAGEREF 4214 \h</w:instrText>
        </w:r>
        <w:r>
          <w:fldChar w:fldCharType="end"/>
        </w:r>
      </w:hyperlink>
    </w:p>
    <w:p>
      <w:pPr>
        <w:tabs>
          <w:tab w:val="right" w:leader="dot" w:pos="9062"/>
        </w:tabs>
        <w:ind w:left="440"/>
      </w:pPr>
      <w:hyperlink w:anchor="_Toc4215" w:history="1">
        <w:r>
          <w:rPr>
            <w:rFonts w:ascii="IRNazanin" w:hAnsi="IRNazanin" w:eastAsia="IRNazanin" w:cs="IRNazanin"/>
            <w:color w:val="111111"/>
            <w:sz w:val="22"/>
            <w:szCs w:val="22"/>
            <w:b w:val="0"/>
            <w:bCs w:val="0"/>
            <w:i w:val="0"/>
            <w:iCs w:val="0"/>
          </w:rPr>
          <w:t>دیوان صاحب دیوان علی‏آبادی‏</w:t>
        </w:r>
        <w:r>
          <w:tab/>
        </w:r>
        <w:r>
          <w:fldChar w:fldCharType="begin"/>
        </w:r>
        <w:r>
          <w:instrText xml:space="preserve">PAGEREF 4215 \h</w:instrText>
        </w:r>
        <w:r>
          <w:fldChar w:fldCharType="end"/>
        </w:r>
      </w:hyperlink>
    </w:p>
    <w:p>
      <w:pPr>
        <w:tabs>
          <w:tab w:val="right" w:leader="dot" w:pos="9062"/>
        </w:tabs>
        <w:ind w:left="440"/>
      </w:pPr>
      <w:hyperlink w:anchor="_Toc4216" w:history="1">
        <w:r>
          <w:rPr>
            <w:rFonts w:ascii="IRNazanin" w:hAnsi="IRNazanin" w:eastAsia="IRNazanin" w:cs="IRNazanin"/>
            <w:color w:val="111111"/>
            <w:sz w:val="22"/>
            <w:szCs w:val="22"/>
            <w:b w:val="0"/>
            <w:bCs w:val="0"/>
            <w:i w:val="0"/>
            <w:iCs w:val="0"/>
          </w:rPr>
          <w:t>دیوان صاحب دیوان مازندرانی‏</w:t>
        </w:r>
        <w:r>
          <w:tab/>
        </w:r>
        <w:r>
          <w:fldChar w:fldCharType="begin"/>
        </w:r>
        <w:r>
          <w:instrText xml:space="preserve">PAGEREF 4216 \h</w:instrText>
        </w:r>
        <w:r>
          <w:fldChar w:fldCharType="end"/>
        </w:r>
      </w:hyperlink>
    </w:p>
    <w:p>
      <w:pPr>
        <w:tabs>
          <w:tab w:val="right" w:leader="dot" w:pos="9062"/>
        </w:tabs>
        <w:ind w:left="440"/>
      </w:pPr>
      <w:hyperlink w:anchor="_Toc4217" w:history="1">
        <w:r>
          <w:rPr>
            <w:rFonts w:ascii="IRNazanin" w:hAnsi="IRNazanin" w:eastAsia="IRNazanin" w:cs="IRNazanin"/>
            <w:color w:val="111111"/>
            <w:sz w:val="22"/>
            <w:szCs w:val="22"/>
            <w:b w:val="0"/>
            <w:bCs w:val="0"/>
            <w:i w:val="0"/>
            <w:iCs w:val="0"/>
          </w:rPr>
          <w:t>3172- دیوان صاحب رام‏</w:t>
        </w:r>
        <w:r>
          <w:tab/>
        </w:r>
        <w:r>
          <w:fldChar w:fldCharType="begin"/>
        </w:r>
        <w:r>
          <w:instrText xml:space="preserve">PAGEREF 4217 \h</w:instrText>
        </w:r>
        <w:r>
          <w:fldChar w:fldCharType="end"/>
        </w:r>
      </w:hyperlink>
    </w:p>
    <w:p>
      <w:pPr>
        <w:tabs>
          <w:tab w:val="right" w:leader="dot" w:pos="9062"/>
        </w:tabs>
        <w:ind w:left="440"/>
      </w:pPr>
      <w:hyperlink w:anchor="_Toc4218" w:history="1">
        <w:r>
          <w:rPr>
            <w:rFonts w:ascii="IRNazanin" w:hAnsi="IRNazanin" w:eastAsia="IRNazanin" w:cs="IRNazanin"/>
            <w:color w:val="111111"/>
            <w:sz w:val="22"/>
            <w:szCs w:val="22"/>
            <w:b w:val="0"/>
            <w:bCs w:val="0"/>
            <w:i w:val="0"/>
            <w:iCs w:val="0"/>
          </w:rPr>
          <w:t>3173- دیوان صاحب الروضات‏</w:t>
        </w:r>
        <w:r>
          <w:tab/>
        </w:r>
        <w:r>
          <w:fldChar w:fldCharType="begin"/>
        </w:r>
        <w:r>
          <w:instrText xml:space="preserve">PAGEREF 4218 \h</w:instrText>
        </w:r>
        <w:r>
          <w:fldChar w:fldCharType="end"/>
        </w:r>
      </w:hyperlink>
    </w:p>
    <w:p>
      <w:pPr>
        <w:tabs>
          <w:tab w:val="right" w:leader="dot" w:pos="9062"/>
        </w:tabs>
        <w:ind w:left="440"/>
      </w:pPr>
      <w:hyperlink w:anchor="_Toc4219" w:history="1">
        <w:r>
          <w:rPr>
            <w:rFonts w:ascii="IRNazanin" w:hAnsi="IRNazanin" w:eastAsia="IRNazanin" w:cs="IRNazanin"/>
            <w:color w:val="111111"/>
            <w:sz w:val="22"/>
            <w:szCs w:val="22"/>
            <w:b w:val="0"/>
            <w:bCs w:val="0"/>
            <w:i w:val="0"/>
            <w:iCs w:val="0"/>
          </w:rPr>
          <w:t>3174- دیوان صاحب الزنج‏</w:t>
        </w:r>
        <w:r>
          <w:tab/>
        </w:r>
        <w:r>
          <w:fldChar w:fldCharType="begin"/>
        </w:r>
        <w:r>
          <w:instrText xml:space="preserve">PAGEREF 4219 \h</w:instrText>
        </w:r>
        <w:r>
          <w:fldChar w:fldCharType="end"/>
        </w:r>
      </w:hyperlink>
    </w:p>
    <w:p>
      <w:pPr>
        <w:tabs>
          <w:tab w:val="right" w:leader="dot" w:pos="9062"/>
        </w:tabs>
        <w:ind w:left="440"/>
      </w:pPr>
      <w:hyperlink w:anchor="_Toc4220" w:history="1">
        <w:r>
          <w:rPr>
            <w:rFonts w:ascii="IRNazanin" w:hAnsi="IRNazanin" w:eastAsia="IRNazanin" w:cs="IRNazanin"/>
            <w:color w:val="111111"/>
            <w:sz w:val="22"/>
            <w:szCs w:val="22"/>
            <w:b w:val="0"/>
            <w:bCs w:val="0"/>
            <w:i w:val="0"/>
            <w:iCs w:val="0"/>
          </w:rPr>
          <w:t>3175- دیوان صاحب علی‏آبادی‏</w:t>
        </w:r>
        <w:r>
          <w:tab/>
        </w:r>
        <w:r>
          <w:fldChar w:fldCharType="begin"/>
        </w:r>
        <w:r>
          <w:instrText xml:space="preserve">PAGEREF 4220 \h</w:instrText>
        </w:r>
        <w:r>
          <w:fldChar w:fldCharType="end"/>
        </w:r>
      </w:hyperlink>
    </w:p>
    <w:p>
      <w:pPr>
        <w:tabs>
          <w:tab w:val="right" w:leader="dot" w:pos="9062"/>
        </w:tabs>
        <w:ind w:left="440"/>
      </w:pPr>
      <w:hyperlink w:anchor="_Toc4221" w:history="1">
        <w:r>
          <w:rPr>
            <w:rFonts w:ascii="IRNazanin" w:hAnsi="IRNazanin" w:eastAsia="IRNazanin" w:cs="IRNazanin"/>
            <w:color w:val="111111"/>
            <w:sz w:val="22"/>
            <w:szCs w:val="22"/>
            <w:b w:val="0"/>
            <w:bCs w:val="0"/>
            <w:i w:val="0"/>
            <w:iCs w:val="0"/>
          </w:rPr>
          <w:t>3176- دیوان صاحب قران بلگرامی‏</w:t>
        </w:r>
        <w:r>
          <w:tab/>
        </w:r>
        <w:r>
          <w:fldChar w:fldCharType="begin"/>
        </w:r>
        <w:r>
          <w:instrText xml:space="preserve">PAGEREF 4221 \h</w:instrText>
        </w:r>
        <w:r>
          <w:fldChar w:fldCharType="end"/>
        </w:r>
      </w:hyperlink>
    </w:p>
    <w:p>
      <w:pPr>
        <w:tabs>
          <w:tab w:val="right" w:leader="dot" w:pos="9062"/>
        </w:tabs>
        <w:ind w:left="440"/>
      </w:pPr>
      <w:hyperlink w:anchor="_Toc4222" w:history="1">
        <w:r>
          <w:rPr>
            <w:rFonts w:ascii="IRNazanin" w:hAnsi="IRNazanin" w:eastAsia="IRNazanin" w:cs="IRNazanin"/>
            <w:color w:val="111111"/>
            <w:sz w:val="22"/>
            <w:szCs w:val="22"/>
            <w:b w:val="0"/>
            <w:bCs w:val="0"/>
            <w:i w:val="0"/>
            <w:iCs w:val="0"/>
          </w:rPr>
          <w:t>دیوان صاحب قران گورکانی‏</w:t>
        </w:r>
        <w:r>
          <w:tab/>
        </w:r>
        <w:r>
          <w:fldChar w:fldCharType="begin"/>
        </w:r>
        <w:r>
          <w:instrText xml:space="preserve">PAGEREF 4222 \h</w:instrText>
        </w:r>
        <w:r>
          <w:fldChar w:fldCharType="end"/>
        </w:r>
      </w:hyperlink>
    </w:p>
    <w:p>
      <w:pPr>
        <w:tabs>
          <w:tab w:val="right" w:leader="dot" w:pos="9062"/>
        </w:tabs>
        <w:ind w:left="440"/>
      </w:pPr>
      <w:hyperlink w:anchor="_Toc4223" w:history="1">
        <w:r>
          <w:rPr>
            <w:rFonts w:ascii="IRNazanin" w:hAnsi="IRNazanin" w:eastAsia="IRNazanin" w:cs="IRNazanin"/>
            <w:color w:val="111111"/>
            <w:sz w:val="22"/>
            <w:szCs w:val="22"/>
            <w:b w:val="0"/>
            <w:bCs w:val="0"/>
            <w:i w:val="0"/>
            <w:iCs w:val="0"/>
          </w:rPr>
          <w:t>3177- دیوان صاحب کاشانی أو شعره‏</w:t>
        </w:r>
        <w:r>
          <w:tab/>
        </w:r>
        <w:r>
          <w:fldChar w:fldCharType="begin"/>
        </w:r>
        <w:r>
          <w:instrText xml:space="preserve">PAGEREF 4223 \h</w:instrText>
        </w:r>
        <w:r>
          <w:fldChar w:fldCharType="end"/>
        </w:r>
      </w:hyperlink>
    </w:p>
    <w:p>
      <w:pPr>
        <w:tabs>
          <w:tab w:val="right" w:leader="dot" w:pos="9062"/>
        </w:tabs>
        <w:ind w:left="440"/>
      </w:pPr>
      <w:hyperlink w:anchor="_Toc4224" w:history="1">
        <w:r>
          <w:rPr>
            <w:rFonts w:ascii="IRNazanin" w:hAnsi="IRNazanin" w:eastAsia="IRNazanin" w:cs="IRNazanin"/>
            <w:color w:val="111111"/>
            <w:sz w:val="22"/>
            <w:szCs w:val="22"/>
            <w:b w:val="0"/>
            <w:bCs w:val="0"/>
            <w:i w:val="0"/>
            <w:iCs w:val="0"/>
          </w:rPr>
          <w:t>3178- دیوان صاحب کبود جامه‏</w:t>
        </w:r>
        <w:r>
          <w:tab/>
        </w:r>
        <w:r>
          <w:fldChar w:fldCharType="begin"/>
        </w:r>
        <w:r>
          <w:instrText xml:space="preserve">PAGEREF 4224 \h</w:instrText>
        </w:r>
        <w:r>
          <w:fldChar w:fldCharType="end"/>
        </w:r>
      </w:hyperlink>
    </w:p>
    <w:p>
      <w:pPr>
        <w:tabs>
          <w:tab w:val="right" w:leader="dot" w:pos="9062"/>
        </w:tabs>
        <w:ind w:left="440"/>
      </w:pPr>
      <w:hyperlink w:anchor="_Toc4225" w:history="1">
        <w:r>
          <w:rPr>
            <w:rFonts w:ascii="IRNazanin" w:hAnsi="IRNazanin" w:eastAsia="IRNazanin" w:cs="IRNazanin"/>
            <w:color w:val="111111"/>
            <w:sz w:val="22"/>
            <w:szCs w:val="22"/>
            <w:b w:val="0"/>
            <w:bCs w:val="0"/>
            <w:i w:val="0"/>
            <w:iCs w:val="0"/>
          </w:rPr>
          <w:t>دیوان صاحب مازندرانی‏</w:t>
        </w:r>
        <w:r>
          <w:tab/>
        </w:r>
        <w:r>
          <w:fldChar w:fldCharType="begin"/>
        </w:r>
        <w:r>
          <w:instrText xml:space="preserve">PAGEREF 4225 \h</w:instrText>
        </w:r>
        <w:r>
          <w:fldChar w:fldCharType="end"/>
        </w:r>
      </w:hyperlink>
    </w:p>
    <w:p>
      <w:pPr>
        <w:tabs>
          <w:tab w:val="right" w:leader="dot" w:pos="9062"/>
        </w:tabs>
        <w:ind w:left="440"/>
      </w:pPr>
      <w:hyperlink w:anchor="_Toc4226" w:history="1">
        <w:r>
          <w:rPr>
            <w:rFonts w:ascii="IRNazanin" w:hAnsi="IRNazanin" w:eastAsia="IRNazanin" w:cs="IRNazanin"/>
            <w:color w:val="111111"/>
            <w:sz w:val="22"/>
            <w:szCs w:val="22"/>
            <w:b w:val="0"/>
            <w:bCs w:val="0"/>
            <w:i w:val="0"/>
            <w:iCs w:val="0"/>
          </w:rPr>
          <w:t>3179- دیوان صاحب مشهدی أو شعره‏</w:t>
        </w:r>
        <w:r>
          <w:tab/>
        </w:r>
        <w:r>
          <w:fldChar w:fldCharType="begin"/>
        </w:r>
        <w:r>
          <w:instrText xml:space="preserve">PAGEREF 4226 \h</w:instrText>
        </w:r>
        <w:r>
          <w:fldChar w:fldCharType="end"/>
        </w:r>
      </w:hyperlink>
    </w:p>
    <w:p>
      <w:pPr>
        <w:tabs>
          <w:tab w:val="right" w:leader="dot" w:pos="9062"/>
        </w:tabs>
        <w:ind w:left="440"/>
      </w:pPr>
      <w:hyperlink w:anchor="_Toc4227" w:history="1">
        <w:r>
          <w:rPr>
            <w:rFonts w:ascii="IRNazanin" w:hAnsi="IRNazanin" w:eastAsia="IRNazanin" w:cs="IRNazanin"/>
            <w:color w:val="111111"/>
            <w:sz w:val="22"/>
            <w:szCs w:val="22"/>
            <w:b w:val="0"/>
            <w:bCs w:val="0"/>
            <w:i w:val="0"/>
            <w:iCs w:val="0"/>
          </w:rPr>
          <w:t>دیوان صاحب المعالم‏</w:t>
        </w:r>
        <w:r>
          <w:tab/>
        </w:r>
        <w:r>
          <w:fldChar w:fldCharType="begin"/>
        </w:r>
        <w:r>
          <w:instrText xml:space="preserve">PAGEREF 4227 \h</w:instrText>
        </w:r>
        <w:r>
          <w:fldChar w:fldCharType="end"/>
        </w:r>
      </w:hyperlink>
    </w:p>
    <w:p>
      <w:pPr>
        <w:tabs>
          <w:tab w:val="right" w:leader="dot" w:pos="9062"/>
        </w:tabs>
        <w:ind w:left="440"/>
      </w:pPr>
      <w:hyperlink w:anchor="_Toc4228" w:history="1">
        <w:r>
          <w:rPr>
            <w:rFonts w:ascii="IRNazanin" w:hAnsi="IRNazanin" w:eastAsia="IRNazanin" w:cs="IRNazanin"/>
            <w:color w:val="111111"/>
            <w:sz w:val="22"/>
            <w:szCs w:val="22"/>
            <w:b w:val="0"/>
            <w:bCs w:val="0"/>
            <w:i w:val="0"/>
            <w:iCs w:val="0"/>
          </w:rPr>
          <w:t>3180- دیوان الصاحب الوزیر إسماعیل ابن عباد</w:t>
        </w:r>
        <w:r>
          <w:tab/>
        </w:r>
        <w:r>
          <w:fldChar w:fldCharType="begin"/>
        </w:r>
        <w:r>
          <w:instrText xml:space="preserve">PAGEREF 4228 \h</w:instrText>
        </w:r>
        <w:r>
          <w:fldChar w:fldCharType="end"/>
        </w:r>
      </w:hyperlink>
    </w:p>
    <w:p>
      <w:pPr>
        <w:tabs>
          <w:tab w:val="right" w:leader="dot" w:pos="9062"/>
        </w:tabs>
        <w:ind w:left="440"/>
      </w:pPr>
      <w:hyperlink w:anchor="_Toc4229" w:history="1">
        <w:r>
          <w:rPr>
            <w:rFonts w:ascii="IRNazanin" w:hAnsi="IRNazanin" w:eastAsia="IRNazanin" w:cs="IRNazanin"/>
            <w:color w:val="111111"/>
            <w:sz w:val="22"/>
            <w:szCs w:val="22"/>
            <w:b w:val="0"/>
            <w:bCs w:val="0"/>
            <w:i w:val="0"/>
            <w:iCs w:val="0"/>
          </w:rPr>
          <w:t>دیوان صاحب هروی‏</w:t>
        </w:r>
        <w:r>
          <w:tab/>
        </w:r>
        <w:r>
          <w:fldChar w:fldCharType="begin"/>
        </w:r>
        <w:r>
          <w:instrText xml:space="preserve">PAGEREF 4229 \h</w:instrText>
        </w:r>
        <w:r>
          <w:fldChar w:fldCharType="end"/>
        </w:r>
      </w:hyperlink>
    </w:p>
    <w:p>
      <w:pPr>
        <w:tabs>
          <w:tab w:val="right" w:leader="dot" w:pos="9062"/>
        </w:tabs>
        <w:ind w:left="440"/>
      </w:pPr>
      <w:hyperlink w:anchor="_Toc4230" w:history="1">
        <w:r>
          <w:rPr>
            <w:rFonts w:ascii="IRNazanin" w:hAnsi="IRNazanin" w:eastAsia="IRNazanin" w:cs="IRNazanin"/>
            <w:color w:val="111111"/>
            <w:sz w:val="22"/>
            <w:szCs w:val="22"/>
            <w:b w:val="0"/>
            <w:bCs w:val="0"/>
            <w:i w:val="0"/>
            <w:iCs w:val="0"/>
          </w:rPr>
          <w:t>دیوان صادرات‏</w:t>
        </w:r>
        <w:r>
          <w:tab/>
        </w:r>
        <w:r>
          <w:fldChar w:fldCharType="begin"/>
        </w:r>
        <w:r>
          <w:instrText xml:space="preserve">PAGEREF 4230 \h</w:instrText>
        </w:r>
        <w:r>
          <w:fldChar w:fldCharType="end"/>
        </w:r>
      </w:hyperlink>
    </w:p>
    <w:p>
      <w:pPr>
        <w:tabs>
          <w:tab w:val="right" w:leader="dot" w:pos="9062"/>
        </w:tabs>
        <w:ind w:left="440"/>
      </w:pPr>
      <w:hyperlink w:anchor="_Toc4231" w:history="1">
        <w:r>
          <w:rPr>
            <w:rFonts w:ascii="IRNazanin" w:hAnsi="IRNazanin" w:eastAsia="IRNazanin" w:cs="IRNazanin"/>
            <w:color w:val="111111"/>
            <w:sz w:val="22"/>
            <w:szCs w:val="22"/>
            <w:b w:val="0"/>
            <w:bCs w:val="0"/>
            <w:i w:val="0"/>
            <w:iCs w:val="0"/>
          </w:rPr>
          <w:t>3181- دیوان صادق آذربایجانی أو شعره‏</w:t>
        </w:r>
        <w:r>
          <w:tab/>
        </w:r>
        <w:r>
          <w:fldChar w:fldCharType="begin"/>
        </w:r>
        <w:r>
          <w:instrText xml:space="preserve">PAGEREF 4231 \h</w:instrText>
        </w:r>
        <w:r>
          <w:fldChar w:fldCharType="end"/>
        </w:r>
      </w:hyperlink>
    </w:p>
    <w:p>
      <w:pPr>
        <w:tabs>
          <w:tab w:val="right" w:leader="dot" w:pos="9062"/>
        </w:tabs>
        <w:ind w:left="440"/>
      </w:pPr>
      <w:hyperlink w:anchor="_Toc4232" w:history="1">
        <w:r>
          <w:rPr>
            <w:rFonts w:ascii="IRNazanin" w:hAnsi="IRNazanin" w:eastAsia="IRNazanin" w:cs="IRNazanin"/>
            <w:color w:val="111111"/>
            <w:sz w:val="22"/>
            <w:szCs w:val="22"/>
            <w:b w:val="0"/>
            <w:bCs w:val="0"/>
            <w:i w:val="0"/>
            <w:iCs w:val="0"/>
          </w:rPr>
          <w:t>3182- دیوان صادق آذربایجانی‏</w:t>
        </w:r>
        <w:r>
          <w:tab/>
        </w:r>
        <w:r>
          <w:fldChar w:fldCharType="begin"/>
        </w:r>
        <w:r>
          <w:instrText xml:space="preserve">PAGEREF 4232 \h</w:instrText>
        </w:r>
        <w:r>
          <w:fldChar w:fldCharType="end"/>
        </w:r>
      </w:hyperlink>
    </w:p>
    <w:p>
      <w:pPr>
        <w:tabs>
          <w:tab w:val="right" w:leader="dot" w:pos="9062"/>
        </w:tabs>
        <w:ind w:left="440"/>
      </w:pPr>
      <w:hyperlink w:anchor="_Toc4233" w:history="1">
        <w:r>
          <w:rPr>
            <w:rFonts w:ascii="IRNazanin" w:hAnsi="IRNazanin" w:eastAsia="IRNazanin" w:cs="IRNazanin"/>
            <w:color w:val="111111"/>
            <w:sz w:val="22"/>
            <w:szCs w:val="22"/>
            <w:b w:val="0"/>
            <w:bCs w:val="0"/>
            <w:i w:val="0"/>
            <w:iCs w:val="0"/>
          </w:rPr>
          <w:t>3183- دیوان صادق أردوبادی‏</w:t>
        </w:r>
        <w:r>
          <w:tab/>
        </w:r>
        <w:r>
          <w:fldChar w:fldCharType="begin"/>
        </w:r>
        <w:r>
          <w:instrText xml:space="preserve">PAGEREF 4233 \h</w:instrText>
        </w:r>
        <w:r>
          <w:fldChar w:fldCharType="end"/>
        </w:r>
      </w:hyperlink>
    </w:p>
    <w:p>
      <w:pPr>
        <w:tabs>
          <w:tab w:val="right" w:leader="dot" w:pos="9062"/>
        </w:tabs>
        <w:ind w:left="440"/>
      </w:pPr>
      <w:hyperlink w:anchor="_Toc4234" w:history="1">
        <w:r>
          <w:rPr>
            <w:rFonts w:ascii="IRNazanin" w:hAnsi="IRNazanin" w:eastAsia="IRNazanin" w:cs="IRNazanin"/>
            <w:color w:val="111111"/>
            <w:sz w:val="22"/>
            <w:szCs w:val="22"/>
            <w:b w:val="0"/>
            <w:bCs w:val="0"/>
            <w:i w:val="0"/>
            <w:iCs w:val="0"/>
          </w:rPr>
          <w:t>دیوان صادق أصفهانی‏</w:t>
        </w:r>
        <w:r>
          <w:tab/>
        </w:r>
        <w:r>
          <w:fldChar w:fldCharType="begin"/>
        </w:r>
        <w:r>
          <w:instrText xml:space="preserve">PAGEREF 4234 \h</w:instrText>
        </w:r>
        <w:r>
          <w:fldChar w:fldCharType="end"/>
        </w:r>
      </w:hyperlink>
    </w:p>
    <w:p>
      <w:pPr>
        <w:tabs>
          <w:tab w:val="right" w:leader="dot" w:pos="9062"/>
        </w:tabs>
        <w:ind w:left="440"/>
      </w:pPr>
      <w:hyperlink w:anchor="_Toc4235" w:history="1">
        <w:r>
          <w:rPr>
            <w:rFonts w:ascii="IRNazanin" w:hAnsi="IRNazanin" w:eastAsia="IRNazanin" w:cs="IRNazanin"/>
            <w:color w:val="111111"/>
            <w:sz w:val="22"/>
            <w:szCs w:val="22"/>
            <w:b w:val="0"/>
            <w:bCs w:val="0"/>
            <w:i w:val="0"/>
            <w:iCs w:val="0"/>
          </w:rPr>
          <w:t>دیوان صادق أفشار</w:t>
        </w:r>
        <w:r>
          <w:tab/>
        </w:r>
        <w:r>
          <w:fldChar w:fldCharType="begin"/>
        </w:r>
        <w:r>
          <w:instrText xml:space="preserve">PAGEREF 4235 \h</w:instrText>
        </w:r>
        <w:r>
          <w:fldChar w:fldCharType="end"/>
        </w:r>
      </w:hyperlink>
    </w:p>
    <w:p>
      <w:pPr>
        <w:tabs>
          <w:tab w:val="right" w:leader="dot" w:pos="9062"/>
        </w:tabs>
        <w:ind w:left="440"/>
      </w:pPr>
      <w:hyperlink w:anchor="_Toc4236" w:history="1">
        <w:r>
          <w:rPr>
            <w:rFonts w:ascii="IRNazanin" w:hAnsi="IRNazanin" w:eastAsia="IRNazanin" w:cs="IRNazanin"/>
            <w:color w:val="111111"/>
            <w:sz w:val="22"/>
            <w:szCs w:val="22"/>
            <w:b w:val="0"/>
            <w:bCs w:val="0"/>
            <w:i w:val="0"/>
            <w:iCs w:val="0"/>
          </w:rPr>
          <w:t>3184- دیوان صادق بروجردی أو شعره‏</w:t>
        </w:r>
        <w:r>
          <w:tab/>
        </w:r>
        <w:r>
          <w:fldChar w:fldCharType="begin"/>
        </w:r>
        <w:r>
          <w:instrText xml:space="preserve">PAGEREF 4236 \h</w:instrText>
        </w:r>
        <w:r>
          <w:fldChar w:fldCharType="end"/>
        </w:r>
      </w:hyperlink>
    </w:p>
    <w:p>
      <w:pPr>
        <w:tabs>
          <w:tab w:val="right" w:leader="dot" w:pos="9062"/>
        </w:tabs>
        <w:ind w:left="440"/>
      </w:pPr>
      <w:hyperlink w:anchor="_Toc4237" w:history="1">
        <w:r>
          <w:rPr>
            <w:rFonts w:ascii="IRNazanin" w:hAnsi="IRNazanin" w:eastAsia="IRNazanin" w:cs="IRNazanin"/>
            <w:color w:val="111111"/>
            <w:sz w:val="22"/>
            <w:szCs w:val="22"/>
            <w:b w:val="0"/>
            <w:bCs w:val="0"/>
            <w:i w:val="0"/>
            <w:iCs w:val="0"/>
          </w:rPr>
          <w:t>دیوان صادق بلیانی‏</w:t>
        </w:r>
        <w:r>
          <w:tab/>
        </w:r>
        <w:r>
          <w:fldChar w:fldCharType="begin"/>
        </w:r>
        <w:r>
          <w:instrText xml:space="preserve">PAGEREF 4237 \h</w:instrText>
        </w:r>
        <w:r>
          <w:fldChar w:fldCharType="end"/>
        </w:r>
      </w:hyperlink>
    </w:p>
    <w:p>
      <w:pPr>
        <w:tabs>
          <w:tab w:val="right" w:leader="dot" w:pos="9062"/>
        </w:tabs>
        <w:ind w:left="440"/>
      </w:pPr>
      <w:hyperlink w:anchor="_Toc4238" w:history="1">
        <w:r>
          <w:rPr>
            <w:rFonts w:ascii="IRNazanin" w:hAnsi="IRNazanin" w:eastAsia="IRNazanin" w:cs="IRNazanin"/>
            <w:color w:val="111111"/>
            <w:sz w:val="22"/>
            <w:szCs w:val="22"/>
            <w:b w:val="0"/>
            <w:bCs w:val="0"/>
            <w:i w:val="0"/>
            <w:iCs w:val="0"/>
          </w:rPr>
          <w:t>3185- دیوان صادق بیدگلی أو شعره‏</w:t>
        </w:r>
        <w:r>
          <w:tab/>
        </w:r>
        <w:r>
          <w:fldChar w:fldCharType="begin"/>
        </w:r>
        <w:r>
          <w:instrText xml:space="preserve">PAGEREF 4238 \h</w:instrText>
        </w:r>
        <w:r>
          <w:fldChar w:fldCharType="end"/>
        </w:r>
      </w:hyperlink>
    </w:p>
    <w:p>
      <w:pPr>
        <w:tabs>
          <w:tab w:val="right" w:leader="dot" w:pos="9062"/>
        </w:tabs>
        <w:ind w:left="440"/>
      </w:pPr>
      <w:hyperlink w:anchor="_Toc4239" w:history="1">
        <w:r>
          <w:rPr>
            <w:rFonts w:ascii="IRNazanin" w:hAnsi="IRNazanin" w:eastAsia="IRNazanin" w:cs="IRNazanin"/>
            <w:color w:val="111111"/>
            <w:sz w:val="22"/>
            <w:szCs w:val="22"/>
            <w:b w:val="0"/>
            <w:bCs w:val="0"/>
            <w:i w:val="0"/>
            <w:iCs w:val="0"/>
          </w:rPr>
          <w:t>دیوان صادق بیک‏</w:t>
        </w:r>
        <w:r>
          <w:tab/>
        </w:r>
        <w:r>
          <w:fldChar w:fldCharType="begin"/>
        </w:r>
        <w:r>
          <w:instrText xml:space="preserve">PAGEREF 4239 \h</w:instrText>
        </w:r>
        <w:r>
          <w:fldChar w:fldCharType="end"/>
        </w:r>
      </w:hyperlink>
    </w:p>
    <w:p>
      <w:pPr>
        <w:tabs>
          <w:tab w:val="right" w:leader="dot" w:pos="9062"/>
        </w:tabs>
        <w:ind w:left="440"/>
      </w:pPr>
      <w:hyperlink w:anchor="_Toc4240" w:history="1">
        <w:r>
          <w:rPr>
            <w:rFonts w:ascii="IRNazanin" w:hAnsi="IRNazanin" w:eastAsia="IRNazanin" w:cs="IRNazanin"/>
            <w:color w:val="111111"/>
            <w:sz w:val="22"/>
            <w:szCs w:val="22"/>
            <w:b w:val="0"/>
            <w:bCs w:val="0"/>
            <w:i w:val="0"/>
            <w:iCs w:val="0"/>
          </w:rPr>
          <w:t>3186- دیوان صادق تفرشی‏</w:t>
        </w:r>
        <w:r>
          <w:tab/>
        </w:r>
        <w:r>
          <w:fldChar w:fldCharType="begin"/>
        </w:r>
        <w:r>
          <w:instrText xml:space="preserve">PAGEREF 4240 \h</w:instrText>
        </w:r>
        <w:r>
          <w:fldChar w:fldCharType="end"/>
        </w:r>
      </w:hyperlink>
    </w:p>
    <w:p>
      <w:pPr>
        <w:tabs>
          <w:tab w:val="right" w:leader="dot" w:pos="9062"/>
        </w:tabs>
        <w:ind w:left="440"/>
      </w:pPr>
      <w:hyperlink w:anchor="_Toc4241" w:history="1">
        <w:r>
          <w:rPr>
            <w:rFonts w:ascii="IRNazanin" w:hAnsi="IRNazanin" w:eastAsia="IRNazanin" w:cs="IRNazanin"/>
            <w:color w:val="111111"/>
            <w:sz w:val="22"/>
            <w:szCs w:val="22"/>
            <w:b w:val="0"/>
            <w:bCs w:val="0"/>
            <w:i w:val="0"/>
            <w:iCs w:val="0"/>
          </w:rPr>
          <w:t>3187- دیوان صادق تویسرکانی أو شعره‏</w:t>
        </w:r>
        <w:r>
          <w:tab/>
        </w:r>
        <w:r>
          <w:fldChar w:fldCharType="begin"/>
        </w:r>
        <w:r>
          <w:instrText xml:space="preserve">PAGEREF 4241 \h</w:instrText>
        </w:r>
        <w:r>
          <w:fldChar w:fldCharType="end"/>
        </w:r>
      </w:hyperlink>
    </w:p>
    <w:p>
      <w:pPr>
        <w:tabs>
          <w:tab w:val="right" w:leader="dot" w:pos="9062"/>
        </w:tabs>
        <w:ind w:left="440"/>
      </w:pPr>
      <w:hyperlink w:anchor="_Toc4242" w:history="1">
        <w:r>
          <w:rPr>
            <w:rFonts w:ascii="IRNazanin" w:hAnsi="IRNazanin" w:eastAsia="IRNazanin" w:cs="IRNazanin"/>
            <w:color w:val="111111"/>
            <w:sz w:val="22"/>
            <w:szCs w:val="22"/>
            <w:b w:val="0"/>
            <w:bCs w:val="0"/>
            <w:i w:val="0"/>
            <w:iCs w:val="0"/>
          </w:rPr>
          <w:t>3188- دیوان صادق دستغیب‏</w:t>
        </w:r>
        <w:r>
          <w:tab/>
        </w:r>
        <w:r>
          <w:fldChar w:fldCharType="begin"/>
        </w:r>
        <w:r>
          <w:instrText xml:space="preserve">PAGEREF 4242 \h</w:instrText>
        </w:r>
        <w:r>
          <w:fldChar w:fldCharType="end"/>
        </w:r>
      </w:hyperlink>
    </w:p>
    <w:p>
      <w:pPr>
        <w:tabs>
          <w:tab w:val="right" w:leader="dot" w:pos="9062"/>
        </w:tabs>
        <w:ind w:left="440"/>
      </w:pPr>
      <w:hyperlink w:anchor="_Toc4243" w:history="1">
        <w:r>
          <w:rPr>
            <w:rFonts w:ascii="IRNazanin" w:hAnsi="IRNazanin" w:eastAsia="IRNazanin" w:cs="IRNazanin"/>
            <w:color w:val="111111"/>
            <w:sz w:val="22"/>
            <w:szCs w:val="22"/>
            <w:b w:val="0"/>
            <w:bCs w:val="0"/>
            <w:i w:val="0"/>
            <w:iCs w:val="0"/>
          </w:rPr>
          <w:t>دیوان صادق رازی‏</w:t>
        </w:r>
        <w:r>
          <w:tab/>
        </w:r>
        <w:r>
          <w:fldChar w:fldCharType="begin"/>
        </w:r>
        <w:r>
          <w:instrText xml:space="preserve">PAGEREF 4243 \h</w:instrText>
        </w:r>
        <w:r>
          <w:fldChar w:fldCharType="end"/>
        </w:r>
      </w:hyperlink>
    </w:p>
    <w:p>
      <w:pPr>
        <w:tabs>
          <w:tab w:val="right" w:leader="dot" w:pos="9062"/>
        </w:tabs>
        <w:ind w:left="440"/>
      </w:pPr>
      <w:hyperlink w:anchor="_Toc4244" w:history="1">
        <w:r>
          <w:rPr>
            <w:rFonts w:ascii="IRNazanin" w:hAnsi="IRNazanin" w:eastAsia="IRNazanin" w:cs="IRNazanin"/>
            <w:color w:val="111111"/>
            <w:sz w:val="22"/>
            <w:szCs w:val="22"/>
            <w:b w:val="0"/>
            <w:bCs w:val="0"/>
            <w:i w:val="0"/>
            <w:iCs w:val="0"/>
          </w:rPr>
          <w:t>3189- دیوان صادق رازی‏</w:t>
        </w:r>
        <w:r>
          <w:tab/>
        </w:r>
        <w:r>
          <w:fldChar w:fldCharType="begin"/>
        </w:r>
        <w:r>
          <w:instrText xml:space="preserve">PAGEREF 4244 \h</w:instrText>
        </w:r>
        <w:r>
          <w:fldChar w:fldCharType="end"/>
        </w:r>
      </w:hyperlink>
    </w:p>
    <w:p>
      <w:pPr>
        <w:tabs>
          <w:tab w:val="right" w:leader="dot" w:pos="9062"/>
        </w:tabs>
        <w:ind w:left="440"/>
      </w:pPr>
      <w:hyperlink w:anchor="_Toc4245" w:history="1">
        <w:r>
          <w:rPr>
            <w:rFonts w:ascii="IRNazanin" w:hAnsi="IRNazanin" w:eastAsia="IRNazanin" w:cs="IRNazanin"/>
            <w:color w:val="111111"/>
            <w:sz w:val="22"/>
            <w:szCs w:val="22"/>
            <w:b w:val="0"/>
            <w:bCs w:val="0"/>
            <w:i w:val="0"/>
            <w:iCs w:val="0"/>
          </w:rPr>
          <w:t>3190- دیوان صادق سمرقندی أو شعره‏</w:t>
        </w:r>
        <w:r>
          <w:tab/>
        </w:r>
        <w:r>
          <w:fldChar w:fldCharType="begin"/>
        </w:r>
        <w:r>
          <w:instrText xml:space="preserve">PAGEREF 4245 \h</w:instrText>
        </w:r>
        <w:r>
          <w:fldChar w:fldCharType="end"/>
        </w:r>
      </w:hyperlink>
    </w:p>
    <w:p>
      <w:pPr>
        <w:tabs>
          <w:tab w:val="right" w:leader="dot" w:pos="9062"/>
        </w:tabs>
        <w:ind w:left="440"/>
      </w:pPr>
      <w:hyperlink w:anchor="_Toc4246" w:history="1">
        <w:r>
          <w:rPr>
            <w:rFonts w:ascii="IRNazanin" w:hAnsi="IRNazanin" w:eastAsia="IRNazanin" w:cs="IRNazanin"/>
            <w:color w:val="111111"/>
            <w:sz w:val="22"/>
            <w:szCs w:val="22"/>
            <w:b w:val="0"/>
            <w:bCs w:val="0"/>
            <w:i w:val="0"/>
            <w:iCs w:val="0"/>
          </w:rPr>
          <w:t>دیوان صادق سبزواری‏</w:t>
        </w:r>
        <w:r>
          <w:tab/>
        </w:r>
        <w:r>
          <w:fldChar w:fldCharType="begin"/>
        </w:r>
        <w:r>
          <w:instrText xml:space="preserve">PAGEREF 4246 \h</w:instrText>
        </w:r>
        <w:r>
          <w:fldChar w:fldCharType="end"/>
        </w:r>
      </w:hyperlink>
    </w:p>
    <w:p>
      <w:pPr>
        <w:tabs>
          <w:tab w:val="right" w:leader="dot" w:pos="9062"/>
        </w:tabs>
        <w:ind w:left="440"/>
      </w:pPr>
      <w:hyperlink w:anchor="_Toc4247" w:history="1">
        <w:r>
          <w:rPr>
            <w:rFonts w:ascii="IRNazanin" w:hAnsi="IRNazanin" w:eastAsia="IRNazanin" w:cs="IRNazanin"/>
            <w:color w:val="111111"/>
            <w:sz w:val="22"/>
            <w:szCs w:val="22"/>
            <w:b w:val="0"/>
            <w:bCs w:val="0"/>
            <w:i w:val="0"/>
            <w:iCs w:val="0"/>
          </w:rPr>
          <w:t>3191- دیوان صادق شیرازی أو شعره‏</w:t>
        </w:r>
        <w:r>
          <w:tab/>
        </w:r>
        <w:r>
          <w:fldChar w:fldCharType="begin"/>
        </w:r>
        <w:r>
          <w:instrText xml:space="preserve">PAGEREF 4247 \h</w:instrText>
        </w:r>
        <w:r>
          <w:fldChar w:fldCharType="end"/>
        </w:r>
      </w:hyperlink>
    </w:p>
    <w:p>
      <w:pPr>
        <w:tabs>
          <w:tab w:val="right" w:leader="dot" w:pos="9062"/>
        </w:tabs>
        <w:ind w:left="440"/>
      </w:pPr>
      <w:hyperlink w:anchor="_Toc4248" w:history="1">
        <w:r>
          <w:rPr>
            <w:rFonts w:ascii="IRNazanin" w:hAnsi="IRNazanin" w:eastAsia="IRNazanin" w:cs="IRNazanin"/>
            <w:color w:val="111111"/>
            <w:sz w:val="22"/>
            <w:szCs w:val="22"/>
            <w:b w:val="0"/>
            <w:bCs w:val="0"/>
            <w:i w:val="0"/>
            <w:iCs w:val="0"/>
          </w:rPr>
          <w:t>دیوان صادق شیرازی أو شعره‏</w:t>
        </w:r>
        <w:r>
          <w:tab/>
        </w:r>
        <w:r>
          <w:fldChar w:fldCharType="begin"/>
        </w:r>
        <w:r>
          <w:instrText xml:space="preserve">PAGEREF 4248 \h</w:instrText>
        </w:r>
        <w:r>
          <w:fldChar w:fldCharType="end"/>
        </w:r>
      </w:hyperlink>
    </w:p>
    <w:p>
      <w:pPr>
        <w:tabs>
          <w:tab w:val="right" w:leader="dot" w:pos="9062"/>
        </w:tabs>
        <w:ind w:left="440"/>
      </w:pPr>
      <w:hyperlink w:anchor="_Toc4249" w:history="1">
        <w:r>
          <w:rPr>
            <w:rFonts w:ascii="IRNazanin" w:hAnsi="IRNazanin" w:eastAsia="IRNazanin" w:cs="IRNazanin"/>
            <w:color w:val="111111"/>
            <w:sz w:val="22"/>
            <w:szCs w:val="22"/>
            <w:b w:val="0"/>
            <w:bCs w:val="0"/>
            <w:i w:val="0"/>
            <w:iCs w:val="0"/>
          </w:rPr>
          <w:t>3192- دیوان صادق طهرانی‏</w:t>
        </w:r>
        <w:r>
          <w:tab/>
        </w:r>
        <w:r>
          <w:fldChar w:fldCharType="begin"/>
        </w:r>
        <w:r>
          <w:instrText xml:space="preserve">PAGEREF 4249 \h</w:instrText>
        </w:r>
        <w:r>
          <w:fldChar w:fldCharType="end"/>
        </w:r>
      </w:hyperlink>
    </w:p>
    <w:p>
      <w:pPr>
        <w:tabs>
          <w:tab w:val="right" w:leader="dot" w:pos="9062"/>
        </w:tabs>
        <w:ind w:left="440"/>
      </w:pPr>
      <w:hyperlink w:anchor="_Toc4250" w:history="1">
        <w:r>
          <w:rPr>
            <w:rFonts w:ascii="IRNazanin" w:hAnsi="IRNazanin" w:eastAsia="IRNazanin" w:cs="IRNazanin"/>
            <w:color w:val="111111"/>
            <w:sz w:val="22"/>
            <w:szCs w:val="22"/>
            <w:b w:val="0"/>
            <w:bCs w:val="0"/>
            <w:i w:val="0"/>
            <w:iCs w:val="0"/>
          </w:rPr>
          <w:t>دیوان صادق طهرانی‏</w:t>
        </w:r>
        <w:r>
          <w:tab/>
        </w:r>
        <w:r>
          <w:fldChar w:fldCharType="begin"/>
        </w:r>
        <w:r>
          <w:instrText xml:space="preserve">PAGEREF 4250 \h</w:instrText>
        </w:r>
        <w:r>
          <w:fldChar w:fldCharType="end"/>
        </w:r>
      </w:hyperlink>
    </w:p>
    <w:p>
      <w:pPr>
        <w:tabs>
          <w:tab w:val="right" w:leader="dot" w:pos="9062"/>
        </w:tabs>
        <w:ind w:left="440"/>
      </w:pPr>
      <w:hyperlink w:anchor="_Toc4251" w:history="1">
        <w:r>
          <w:rPr>
            <w:rFonts w:ascii="IRNazanin" w:hAnsi="IRNazanin" w:eastAsia="IRNazanin" w:cs="IRNazanin"/>
            <w:color w:val="111111"/>
            <w:sz w:val="22"/>
            <w:szCs w:val="22"/>
            <w:b w:val="0"/>
            <w:bCs w:val="0"/>
            <w:i w:val="0"/>
            <w:iCs w:val="0"/>
          </w:rPr>
          <w:t>3193- دیوان السید صادق الفحام‏</w:t>
        </w:r>
        <w:r>
          <w:tab/>
        </w:r>
        <w:r>
          <w:fldChar w:fldCharType="begin"/>
        </w:r>
        <w:r>
          <w:instrText xml:space="preserve">PAGEREF 4251 \h</w:instrText>
        </w:r>
        <w:r>
          <w:fldChar w:fldCharType="end"/>
        </w:r>
      </w:hyperlink>
    </w:p>
    <w:p>
      <w:pPr>
        <w:tabs>
          <w:tab w:val="right" w:leader="dot" w:pos="9062"/>
        </w:tabs>
        <w:ind w:left="440"/>
      </w:pPr>
      <w:hyperlink w:anchor="_Toc4252" w:history="1">
        <w:r>
          <w:rPr>
            <w:rFonts w:ascii="IRNazanin" w:hAnsi="IRNazanin" w:eastAsia="IRNazanin" w:cs="IRNazanin"/>
            <w:color w:val="111111"/>
            <w:sz w:val="22"/>
            <w:szCs w:val="22"/>
            <w:b w:val="0"/>
            <w:bCs w:val="0"/>
            <w:i w:val="0"/>
            <w:iCs w:val="0"/>
          </w:rPr>
          <w:t>دیوان صادق فراهانی‏</w:t>
        </w:r>
        <w:r>
          <w:tab/>
        </w:r>
        <w:r>
          <w:fldChar w:fldCharType="begin"/>
        </w:r>
        <w:r>
          <w:instrText xml:space="preserve">PAGEREF 4252 \h</w:instrText>
        </w:r>
        <w:r>
          <w:fldChar w:fldCharType="end"/>
        </w:r>
      </w:hyperlink>
    </w:p>
    <w:p>
      <w:pPr>
        <w:tabs>
          <w:tab w:val="right" w:leader="dot" w:pos="9062"/>
        </w:tabs>
        <w:ind w:left="440"/>
      </w:pPr>
      <w:hyperlink w:anchor="_Toc4253" w:history="1">
        <w:r>
          <w:rPr>
            <w:rFonts w:ascii="IRNazanin" w:hAnsi="IRNazanin" w:eastAsia="IRNazanin" w:cs="IRNazanin"/>
            <w:color w:val="111111"/>
            <w:sz w:val="22"/>
            <w:szCs w:val="22"/>
            <w:b w:val="0"/>
            <w:bCs w:val="0"/>
            <w:i w:val="0"/>
            <w:iCs w:val="0"/>
          </w:rPr>
          <w:t>دیوان صادق کاشانی‏</w:t>
        </w:r>
        <w:r>
          <w:tab/>
        </w:r>
        <w:r>
          <w:fldChar w:fldCharType="begin"/>
        </w:r>
        <w:r>
          <w:instrText xml:space="preserve">PAGEREF 4253 \h</w:instrText>
        </w:r>
        <w:r>
          <w:fldChar w:fldCharType="end"/>
        </w:r>
      </w:hyperlink>
    </w:p>
    <w:p>
      <w:pPr>
        <w:tabs>
          <w:tab w:val="right" w:leader="dot" w:pos="9062"/>
        </w:tabs>
        <w:ind w:left="440"/>
      </w:pPr>
      <w:hyperlink w:anchor="_Toc4254" w:history="1">
        <w:r>
          <w:rPr>
            <w:rFonts w:ascii="IRNazanin" w:hAnsi="IRNazanin" w:eastAsia="IRNazanin" w:cs="IRNazanin"/>
            <w:color w:val="111111"/>
            <w:sz w:val="22"/>
            <w:szCs w:val="22"/>
            <w:b w:val="0"/>
            <w:bCs w:val="0"/>
            <w:i w:val="0"/>
            <w:iCs w:val="0"/>
          </w:rPr>
          <w:t>دیوان صادق کتاب دار</w:t>
        </w:r>
        <w:r>
          <w:tab/>
        </w:r>
        <w:r>
          <w:fldChar w:fldCharType="begin"/>
        </w:r>
        <w:r>
          <w:instrText xml:space="preserve">PAGEREF 4254 \h</w:instrText>
        </w:r>
        <w:r>
          <w:fldChar w:fldCharType="end"/>
        </w:r>
      </w:hyperlink>
    </w:p>
    <w:p>
      <w:pPr>
        <w:tabs>
          <w:tab w:val="right" w:leader="dot" w:pos="9062"/>
        </w:tabs>
        <w:ind w:left="440"/>
      </w:pPr>
      <w:hyperlink w:anchor="_Toc4255" w:history="1">
        <w:r>
          <w:rPr>
            <w:rFonts w:ascii="IRNazanin" w:hAnsi="IRNazanin" w:eastAsia="IRNazanin" w:cs="IRNazanin"/>
            <w:color w:val="111111"/>
            <w:sz w:val="22"/>
            <w:szCs w:val="22"/>
            <w:b w:val="0"/>
            <w:bCs w:val="0"/>
            <w:i w:val="0"/>
            <w:iCs w:val="0"/>
          </w:rPr>
          <w:t>3194- دیوان صادق گاو أو شعره‏</w:t>
        </w:r>
        <w:r>
          <w:tab/>
        </w:r>
        <w:r>
          <w:fldChar w:fldCharType="begin"/>
        </w:r>
        <w:r>
          <w:instrText xml:space="preserve">PAGEREF 4255 \h</w:instrText>
        </w:r>
        <w:r>
          <w:fldChar w:fldCharType="end"/>
        </w:r>
      </w:hyperlink>
    </w:p>
    <w:p>
      <w:pPr>
        <w:tabs>
          <w:tab w:val="right" w:leader="dot" w:pos="9062"/>
        </w:tabs>
        <w:ind w:left="440"/>
      </w:pPr>
      <w:hyperlink w:anchor="_Toc4256" w:history="1">
        <w:r>
          <w:rPr>
            <w:rFonts w:ascii="IRNazanin" w:hAnsi="IRNazanin" w:eastAsia="IRNazanin" w:cs="IRNazanin"/>
            <w:color w:val="111111"/>
            <w:sz w:val="22"/>
            <w:szCs w:val="22"/>
            <w:b w:val="0"/>
            <w:bCs w:val="0"/>
            <w:i w:val="0"/>
            <w:iCs w:val="0"/>
          </w:rPr>
          <w:t>3195- دیوان صادق گویا أو شعره‏</w:t>
        </w:r>
        <w:r>
          <w:tab/>
        </w:r>
        <w:r>
          <w:fldChar w:fldCharType="begin"/>
        </w:r>
        <w:r>
          <w:instrText xml:space="preserve">PAGEREF 4256 \h</w:instrText>
        </w:r>
        <w:r>
          <w:fldChar w:fldCharType="end"/>
        </w:r>
      </w:hyperlink>
    </w:p>
    <w:p>
      <w:pPr>
        <w:tabs>
          <w:tab w:val="right" w:leader="dot" w:pos="9062"/>
        </w:tabs>
        <w:ind w:left="440"/>
      </w:pPr>
      <w:hyperlink w:anchor="_Toc4257" w:history="1">
        <w:r>
          <w:rPr>
            <w:rFonts w:ascii="IRNazanin" w:hAnsi="IRNazanin" w:eastAsia="IRNazanin" w:cs="IRNazanin"/>
            <w:color w:val="111111"/>
            <w:sz w:val="22"/>
            <w:szCs w:val="22"/>
            <w:b w:val="0"/>
            <w:bCs w:val="0"/>
            <w:i w:val="0"/>
            <w:iCs w:val="0"/>
          </w:rPr>
          <w:t>دیوان صادق الملائکة</w:t>
        </w:r>
        <w:r>
          <w:tab/>
        </w:r>
        <w:r>
          <w:fldChar w:fldCharType="begin"/>
        </w:r>
        <w:r>
          <w:instrText xml:space="preserve">PAGEREF 4257 \h</w:instrText>
        </w:r>
        <w:r>
          <w:fldChar w:fldCharType="end"/>
        </w:r>
      </w:hyperlink>
    </w:p>
    <w:p>
      <w:pPr>
        <w:tabs>
          <w:tab w:val="right" w:leader="dot" w:pos="9062"/>
        </w:tabs>
        <w:ind w:left="440"/>
      </w:pPr>
      <w:hyperlink w:anchor="_Toc4258" w:history="1">
        <w:r>
          <w:rPr>
            <w:rFonts w:ascii="IRNazanin" w:hAnsi="IRNazanin" w:eastAsia="IRNazanin" w:cs="IRNazanin"/>
            <w:color w:val="111111"/>
            <w:sz w:val="22"/>
            <w:szCs w:val="22"/>
            <w:b w:val="0"/>
            <w:bCs w:val="0"/>
            <w:i w:val="0"/>
            <w:iCs w:val="0"/>
          </w:rPr>
          <w:t>3196- دیوان صادق ملا رجب الأصفهانی‏</w:t>
        </w:r>
        <w:r>
          <w:tab/>
        </w:r>
        <w:r>
          <w:fldChar w:fldCharType="begin"/>
        </w:r>
        <w:r>
          <w:instrText xml:space="preserve">PAGEREF 4258 \h</w:instrText>
        </w:r>
        <w:r>
          <w:fldChar w:fldCharType="end"/>
        </w:r>
      </w:hyperlink>
    </w:p>
    <w:p>
      <w:pPr>
        <w:tabs>
          <w:tab w:val="right" w:leader="dot" w:pos="9062"/>
        </w:tabs>
        <w:ind w:left="440"/>
      </w:pPr>
      <w:hyperlink w:anchor="_Toc4259" w:history="1">
        <w:r>
          <w:rPr>
            <w:rFonts w:ascii="IRNazanin" w:hAnsi="IRNazanin" w:eastAsia="IRNazanin" w:cs="IRNazanin"/>
            <w:color w:val="111111"/>
            <w:sz w:val="22"/>
            <w:szCs w:val="22"/>
            <w:b w:val="0"/>
            <w:bCs w:val="0"/>
            <w:i w:val="0"/>
            <w:iCs w:val="0"/>
          </w:rPr>
          <w:t>3197- دیوان صادق منشی الممالک أو شعره‏</w:t>
        </w:r>
        <w:r>
          <w:tab/>
        </w:r>
        <w:r>
          <w:fldChar w:fldCharType="begin"/>
        </w:r>
        <w:r>
          <w:instrText xml:space="preserve">PAGEREF 4259 \h</w:instrText>
        </w:r>
        <w:r>
          <w:fldChar w:fldCharType="end"/>
        </w:r>
      </w:hyperlink>
    </w:p>
    <w:p>
      <w:pPr>
        <w:tabs>
          <w:tab w:val="right" w:leader="dot" w:pos="9062"/>
        </w:tabs>
        <w:ind w:left="440"/>
      </w:pPr>
      <w:hyperlink w:anchor="_Toc4260" w:history="1">
        <w:r>
          <w:rPr>
            <w:rFonts w:ascii="IRNazanin" w:hAnsi="IRNazanin" w:eastAsia="IRNazanin" w:cs="IRNazanin"/>
            <w:color w:val="111111"/>
            <w:sz w:val="22"/>
            <w:szCs w:val="22"/>
            <w:b w:val="0"/>
            <w:bCs w:val="0"/>
            <w:i w:val="0"/>
            <w:iCs w:val="0"/>
          </w:rPr>
          <w:t>3198- دیوان میرزا محمد صادق موسوی‏</w:t>
        </w:r>
        <w:r>
          <w:tab/>
        </w:r>
        <w:r>
          <w:fldChar w:fldCharType="begin"/>
        </w:r>
        <w:r>
          <w:instrText xml:space="preserve">PAGEREF 4260 \h</w:instrText>
        </w:r>
        <w:r>
          <w:fldChar w:fldCharType="end"/>
        </w:r>
      </w:hyperlink>
    </w:p>
    <w:p>
      <w:pPr>
        <w:tabs>
          <w:tab w:val="right" w:leader="dot" w:pos="9062"/>
        </w:tabs>
        <w:ind w:left="440"/>
      </w:pPr>
      <w:hyperlink w:anchor="_Toc4261" w:history="1">
        <w:r>
          <w:rPr>
            <w:rFonts w:ascii="IRNazanin" w:hAnsi="IRNazanin" w:eastAsia="IRNazanin" w:cs="IRNazanin"/>
            <w:color w:val="111111"/>
            <w:sz w:val="22"/>
            <w:szCs w:val="22"/>
            <w:b w:val="0"/>
            <w:bCs w:val="0"/>
            <w:i w:val="0"/>
            <w:iCs w:val="0"/>
          </w:rPr>
          <w:t>دیوان صادق مینا</w:t>
        </w:r>
        <w:r>
          <w:tab/>
        </w:r>
        <w:r>
          <w:fldChar w:fldCharType="begin"/>
        </w:r>
        <w:r>
          <w:instrText xml:space="preserve">PAGEREF 4261 \h</w:instrText>
        </w:r>
        <w:r>
          <w:fldChar w:fldCharType="end"/>
        </w:r>
      </w:hyperlink>
    </w:p>
    <w:p>
      <w:pPr>
        <w:tabs>
          <w:tab w:val="right" w:leader="dot" w:pos="9062"/>
        </w:tabs>
        <w:ind w:left="440"/>
      </w:pPr>
      <w:hyperlink w:anchor="_Toc4262" w:history="1">
        <w:r>
          <w:rPr>
            <w:rFonts w:ascii="IRNazanin" w:hAnsi="IRNazanin" w:eastAsia="IRNazanin" w:cs="IRNazanin"/>
            <w:color w:val="111111"/>
            <w:sz w:val="22"/>
            <w:szCs w:val="22"/>
            <w:b w:val="0"/>
            <w:bCs w:val="0"/>
            <w:i w:val="0"/>
            <w:iCs w:val="0"/>
          </w:rPr>
          <w:t>3199- دیوان صادق هندی‏</w:t>
        </w:r>
        <w:r>
          <w:tab/>
        </w:r>
        <w:r>
          <w:fldChar w:fldCharType="begin"/>
        </w:r>
        <w:r>
          <w:instrText xml:space="preserve">PAGEREF 4262 \h</w:instrText>
        </w:r>
        <w:r>
          <w:fldChar w:fldCharType="end"/>
        </w:r>
      </w:hyperlink>
    </w:p>
    <w:p>
      <w:pPr>
        <w:tabs>
          <w:tab w:val="right" w:leader="dot" w:pos="9062"/>
        </w:tabs>
        <w:ind w:left="440"/>
      </w:pPr>
      <w:hyperlink w:anchor="_Toc4263" w:history="1">
        <w:r>
          <w:rPr>
            <w:rFonts w:ascii="IRNazanin" w:hAnsi="IRNazanin" w:eastAsia="IRNazanin" w:cs="IRNazanin"/>
            <w:color w:val="111111"/>
            <w:sz w:val="22"/>
            <w:szCs w:val="22"/>
            <w:b w:val="0"/>
            <w:bCs w:val="0"/>
            <w:i w:val="0"/>
            <w:iCs w:val="0"/>
          </w:rPr>
          <w:t>دیوان صادقی أصفهانی‏</w:t>
        </w:r>
        <w:r>
          <w:tab/>
        </w:r>
        <w:r>
          <w:fldChar w:fldCharType="begin"/>
        </w:r>
        <w:r>
          <w:instrText xml:space="preserve">PAGEREF 4263 \h</w:instrText>
        </w:r>
        <w:r>
          <w:fldChar w:fldCharType="end"/>
        </w:r>
      </w:hyperlink>
    </w:p>
    <w:p>
      <w:pPr>
        <w:tabs>
          <w:tab w:val="right" w:leader="dot" w:pos="9062"/>
        </w:tabs>
        <w:ind w:left="440"/>
      </w:pPr>
      <w:hyperlink w:anchor="_Toc4264" w:history="1">
        <w:r>
          <w:rPr>
            <w:rFonts w:ascii="IRNazanin" w:hAnsi="IRNazanin" w:eastAsia="IRNazanin" w:cs="IRNazanin"/>
            <w:color w:val="111111"/>
            <w:sz w:val="22"/>
            <w:szCs w:val="22"/>
            <w:b w:val="0"/>
            <w:bCs w:val="0"/>
            <w:i w:val="0"/>
            <w:iCs w:val="0"/>
          </w:rPr>
          <w:t>دیوان صادقی أفشار</w:t>
        </w:r>
        <w:r>
          <w:tab/>
        </w:r>
        <w:r>
          <w:fldChar w:fldCharType="begin"/>
        </w:r>
        <w:r>
          <w:instrText xml:space="preserve">PAGEREF 4264 \h</w:instrText>
        </w:r>
        <w:r>
          <w:fldChar w:fldCharType="end"/>
        </w:r>
      </w:hyperlink>
    </w:p>
    <w:p>
      <w:pPr>
        <w:tabs>
          <w:tab w:val="right" w:leader="dot" w:pos="9062"/>
        </w:tabs>
        <w:ind w:left="440"/>
      </w:pPr>
      <w:hyperlink w:anchor="_Toc4265" w:history="1">
        <w:r>
          <w:rPr>
            <w:rFonts w:ascii="IRNazanin" w:hAnsi="IRNazanin" w:eastAsia="IRNazanin" w:cs="IRNazanin"/>
            <w:color w:val="111111"/>
            <w:sz w:val="22"/>
            <w:szCs w:val="22"/>
            <w:b w:val="0"/>
            <w:bCs w:val="0"/>
            <w:i w:val="0"/>
            <w:iCs w:val="0"/>
          </w:rPr>
          <w:t>دیوان صادقی تبریزی‏</w:t>
        </w:r>
        <w:r>
          <w:tab/>
        </w:r>
        <w:r>
          <w:fldChar w:fldCharType="begin"/>
        </w:r>
        <w:r>
          <w:instrText xml:space="preserve">PAGEREF 4265 \h</w:instrText>
        </w:r>
        <w:r>
          <w:fldChar w:fldCharType="end"/>
        </w:r>
      </w:hyperlink>
    </w:p>
    <w:p>
      <w:pPr>
        <w:tabs>
          <w:tab w:val="right" w:leader="dot" w:pos="9062"/>
        </w:tabs>
        <w:ind w:left="440"/>
      </w:pPr>
      <w:hyperlink w:anchor="_Toc4266" w:history="1">
        <w:r>
          <w:rPr>
            <w:rFonts w:ascii="IRNazanin" w:hAnsi="IRNazanin" w:eastAsia="IRNazanin" w:cs="IRNazanin"/>
            <w:color w:val="111111"/>
            <w:sz w:val="22"/>
            <w:szCs w:val="22"/>
            <w:b w:val="0"/>
            <w:bCs w:val="0"/>
            <w:i w:val="0"/>
            <w:iCs w:val="0"/>
          </w:rPr>
          <w:t>3200- دیوان صادقی قاینی أو شعره‏</w:t>
        </w:r>
        <w:r>
          <w:tab/>
        </w:r>
        <w:r>
          <w:fldChar w:fldCharType="begin"/>
        </w:r>
        <w:r>
          <w:instrText xml:space="preserve">PAGEREF 4266 \h</w:instrText>
        </w:r>
        <w:r>
          <w:fldChar w:fldCharType="end"/>
        </w:r>
      </w:hyperlink>
    </w:p>
    <w:p>
      <w:pPr>
        <w:tabs>
          <w:tab w:val="right" w:leader="dot" w:pos="9062"/>
        </w:tabs>
        <w:ind w:left="440"/>
      </w:pPr>
      <w:hyperlink w:anchor="_Toc4267" w:history="1">
        <w:r>
          <w:rPr>
            <w:rFonts w:ascii="IRNazanin" w:hAnsi="IRNazanin" w:eastAsia="IRNazanin" w:cs="IRNazanin"/>
            <w:color w:val="111111"/>
            <w:sz w:val="22"/>
            <w:szCs w:val="22"/>
            <w:b w:val="0"/>
            <w:bCs w:val="0"/>
            <w:i w:val="0"/>
            <w:iCs w:val="0"/>
          </w:rPr>
          <w:t>3201- دیوان صادقی کتاب دار</w:t>
        </w:r>
        <w:r>
          <w:tab/>
        </w:r>
        <w:r>
          <w:fldChar w:fldCharType="begin"/>
        </w:r>
        <w:r>
          <w:instrText xml:space="preserve">PAGEREF 4267 \h</w:instrText>
        </w:r>
        <w:r>
          <w:fldChar w:fldCharType="end"/>
        </w:r>
      </w:hyperlink>
    </w:p>
    <w:p>
      <w:pPr>
        <w:tabs>
          <w:tab w:val="right" w:leader="dot" w:pos="9062"/>
        </w:tabs>
        <w:ind w:left="440"/>
      </w:pPr>
      <w:hyperlink w:anchor="_Toc4268" w:history="1">
        <w:r>
          <w:rPr>
            <w:rFonts w:ascii="IRNazanin" w:hAnsi="IRNazanin" w:eastAsia="IRNazanin" w:cs="IRNazanin"/>
            <w:color w:val="111111"/>
            <w:sz w:val="22"/>
            <w:szCs w:val="22"/>
            <w:b w:val="0"/>
            <w:bCs w:val="0"/>
            <w:i w:val="0"/>
            <w:iCs w:val="0"/>
          </w:rPr>
          <w:t>3202- دیوان صادقی مینا</w:t>
        </w:r>
        <w:r>
          <w:tab/>
        </w:r>
        <w:r>
          <w:fldChar w:fldCharType="begin"/>
        </w:r>
        <w:r>
          <w:instrText xml:space="preserve">PAGEREF 4268 \h</w:instrText>
        </w:r>
        <w:r>
          <w:fldChar w:fldCharType="end"/>
        </w:r>
      </w:hyperlink>
    </w:p>
    <w:p>
      <w:pPr>
        <w:tabs>
          <w:tab w:val="right" w:leader="dot" w:pos="9062"/>
        </w:tabs>
        <w:ind w:left="440"/>
      </w:pPr>
      <w:hyperlink w:anchor="_Toc4269" w:history="1">
        <w:r>
          <w:rPr>
            <w:rFonts w:ascii="IRNazanin" w:hAnsi="IRNazanin" w:eastAsia="IRNazanin" w:cs="IRNazanin"/>
            <w:color w:val="111111"/>
            <w:sz w:val="22"/>
            <w:szCs w:val="22"/>
            <w:b w:val="0"/>
            <w:bCs w:val="0"/>
            <w:i w:val="0"/>
            <w:iCs w:val="0"/>
          </w:rPr>
          <w:t>دیوان صادقی نقاش‏</w:t>
        </w:r>
        <w:r>
          <w:tab/>
        </w:r>
        <w:r>
          <w:fldChar w:fldCharType="begin"/>
        </w:r>
        <w:r>
          <w:instrText xml:space="preserve">PAGEREF 4269 \h</w:instrText>
        </w:r>
        <w:r>
          <w:fldChar w:fldCharType="end"/>
        </w:r>
      </w:hyperlink>
    </w:p>
    <w:p>
      <w:pPr>
        <w:tabs>
          <w:tab w:val="right" w:leader="dot" w:pos="9062"/>
        </w:tabs>
        <w:ind w:left="440"/>
      </w:pPr>
      <w:hyperlink w:anchor="_Toc4270" w:history="1">
        <w:r>
          <w:rPr>
            <w:rFonts w:ascii="IRNazanin" w:hAnsi="IRNazanin" w:eastAsia="IRNazanin" w:cs="IRNazanin"/>
            <w:color w:val="111111"/>
            <w:sz w:val="22"/>
            <w:szCs w:val="22"/>
            <w:b w:val="0"/>
            <w:bCs w:val="0"/>
            <w:i w:val="0"/>
            <w:iCs w:val="0"/>
          </w:rPr>
          <w:t>3203- دیوان صادقی هراتی أو شعره‏</w:t>
        </w:r>
        <w:r>
          <w:tab/>
        </w:r>
        <w:r>
          <w:fldChar w:fldCharType="begin"/>
        </w:r>
        <w:r>
          <w:instrText xml:space="preserve">PAGEREF 4270 \h</w:instrText>
        </w:r>
        <w:r>
          <w:fldChar w:fldCharType="end"/>
        </w:r>
      </w:hyperlink>
    </w:p>
    <w:p>
      <w:pPr>
        <w:tabs>
          <w:tab w:val="right" w:leader="dot" w:pos="9062"/>
        </w:tabs>
        <w:ind w:left="440"/>
      </w:pPr>
      <w:hyperlink w:anchor="_Toc4271" w:history="1">
        <w:r>
          <w:rPr>
            <w:rFonts w:ascii="IRNazanin" w:hAnsi="IRNazanin" w:eastAsia="IRNazanin" w:cs="IRNazanin"/>
            <w:color w:val="111111"/>
            <w:sz w:val="22"/>
            <w:szCs w:val="22"/>
            <w:b w:val="0"/>
            <w:bCs w:val="0"/>
            <w:i w:val="0"/>
            <w:iCs w:val="0"/>
          </w:rPr>
          <w:t>3204- دیوان صادقیة</w:t>
        </w:r>
        <w:r>
          <w:tab/>
        </w:r>
        <w:r>
          <w:fldChar w:fldCharType="begin"/>
        </w:r>
        <w:r>
          <w:instrText xml:space="preserve">PAGEREF 4271 \h</w:instrText>
        </w:r>
        <w:r>
          <w:fldChar w:fldCharType="end"/>
        </w:r>
      </w:hyperlink>
    </w:p>
    <w:p>
      <w:pPr>
        <w:tabs>
          <w:tab w:val="right" w:leader="dot" w:pos="9062"/>
        </w:tabs>
        <w:ind w:left="440"/>
      </w:pPr>
      <w:hyperlink w:anchor="_Toc4272" w:history="1">
        <w:r>
          <w:rPr>
            <w:rFonts w:ascii="IRNazanin" w:hAnsi="IRNazanin" w:eastAsia="IRNazanin" w:cs="IRNazanin"/>
            <w:color w:val="111111"/>
            <w:sz w:val="22"/>
            <w:szCs w:val="22"/>
            <w:b w:val="0"/>
            <w:bCs w:val="0"/>
            <w:i w:val="0"/>
            <w:iCs w:val="0"/>
          </w:rPr>
          <w:t>3205- دیوان صارم أو شعره‏</w:t>
        </w:r>
        <w:r>
          <w:tab/>
        </w:r>
        <w:r>
          <w:fldChar w:fldCharType="begin"/>
        </w:r>
        <w:r>
          <w:instrText xml:space="preserve">PAGEREF 4272 \h</w:instrText>
        </w:r>
        <w:r>
          <w:fldChar w:fldCharType="end"/>
        </w:r>
      </w:hyperlink>
    </w:p>
    <w:p>
      <w:pPr>
        <w:tabs>
          <w:tab w:val="right" w:leader="dot" w:pos="9062"/>
        </w:tabs>
        <w:ind w:left="440"/>
      </w:pPr>
      <w:hyperlink w:anchor="_Toc4273" w:history="1">
        <w:r>
          <w:rPr>
            <w:rFonts w:ascii="IRNazanin" w:hAnsi="IRNazanin" w:eastAsia="IRNazanin" w:cs="IRNazanin"/>
            <w:color w:val="111111"/>
            <w:sz w:val="22"/>
            <w:szCs w:val="22"/>
            <w:b w:val="0"/>
            <w:bCs w:val="0"/>
            <w:i w:val="0"/>
            <w:iCs w:val="0"/>
          </w:rPr>
          <w:t>3206- دیوان صارم الدین‏</w:t>
        </w:r>
        <w:r>
          <w:tab/>
        </w:r>
        <w:r>
          <w:fldChar w:fldCharType="begin"/>
        </w:r>
        <w:r>
          <w:instrText xml:space="preserve">PAGEREF 4273 \h</w:instrText>
        </w:r>
        <w:r>
          <w:fldChar w:fldCharType="end"/>
        </w:r>
      </w:hyperlink>
    </w:p>
    <w:p>
      <w:pPr>
        <w:tabs>
          <w:tab w:val="right" w:leader="dot" w:pos="9062"/>
        </w:tabs>
        <w:ind w:left="440"/>
      </w:pPr>
      <w:hyperlink w:anchor="_Toc4274" w:history="1">
        <w:r>
          <w:rPr>
            <w:rFonts w:ascii="IRNazanin" w:hAnsi="IRNazanin" w:eastAsia="IRNazanin" w:cs="IRNazanin"/>
            <w:color w:val="111111"/>
            <w:sz w:val="22"/>
            <w:szCs w:val="22"/>
            <w:b w:val="0"/>
            <w:bCs w:val="0"/>
            <w:i w:val="0"/>
            <w:iCs w:val="0"/>
          </w:rPr>
          <w:t>3207- دیوان صاعد خبوشانی‏</w:t>
        </w:r>
        <w:r>
          <w:tab/>
        </w:r>
        <w:r>
          <w:fldChar w:fldCharType="begin"/>
        </w:r>
        <w:r>
          <w:instrText xml:space="preserve">PAGEREF 4274 \h</w:instrText>
        </w:r>
        <w:r>
          <w:fldChar w:fldCharType="end"/>
        </w:r>
      </w:hyperlink>
    </w:p>
    <w:p>
      <w:pPr>
        <w:tabs>
          <w:tab w:val="right" w:leader="dot" w:pos="9062"/>
        </w:tabs>
        <w:ind w:left="440"/>
      </w:pPr>
      <w:hyperlink w:anchor="_Toc4275" w:history="1">
        <w:r>
          <w:rPr>
            <w:rFonts w:ascii="IRNazanin" w:hAnsi="IRNazanin" w:eastAsia="IRNazanin" w:cs="IRNazanin"/>
            <w:color w:val="111111"/>
            <w:sz w:val="22"/>
            <w:szCs w:val="22"/>
            <w:b w:val="0"/>
            <w:bCs w:val="0"/>
            <w:i w:val="0"/>
            <w:iCs w:val="0"/>
          </w:rPr>
          <w:t>3208- دیوان صاعد الشیرازی‏</w:t>
        </w:r>
        <w:r>
          <w:tab/>
        </w:r>
        <w:r>
          <w:fldChar w:fldCharType="begin"/>
        </w:r>
        <w:r>
          <w:instrText xml:space="preserve">PAGEREF 4275 \h</w:instrText>
        </w:r>
        <w:r>
          <w:fldChar w:fldCharType="end"/>
        </w:r>
      </w:hyperlink>
    </w:p>
    <w:p>
      <w:pPr>
        <w:tabs>
          <w:tab w:val="right" w:leader="dot" w:pos="9062"/>
        </w:tabs>
        <w:ind w:left="440"/>
      </w:pPr>
      <w:hyperlink w:anchor="_Toc4276" w:history="1">
        <w:r>
          <w:rPr>
            <w:rFonts w:ascii="IRNazanin" w:hAnsi="IRNazanin" w:eastAsia="IRNazanin" w:cs="IRNazanin"/>
            <w:color w:val="111111"/>
            <w:sz w:val="22"/>
            <w:szCs w:val="22"/>
            <w:b w:val="0"/>
            <w:bCs w:val="0"/>
            <w:i w:val="0"/>
            <w:iCs w:val="0"/>
          </w:rPr>
          <w:t>3209- دیوان صاعدی خبوشانی‏</w:t>
        </w:r>
        <w:r>
          <w:tab/>
        </w:r>
        <w:r>
          <w:fldChar w:fldCharType="begin"/>
        </w:r>
        <w:r>
          <w:instrText xml:space="preserve">PAGEREF 4276 \h</w:instrText>
        </w:r>
        <w:r>
          <w:fldChar w:fldCharType="end"/>
        </w:r>
      </w:hyperlink>
    </w:p>
    <w:p>
      <w:pPr>
        <w:tabs>
          <w:tab w:val="right" w:leader="dot" w:pos="9062"/>
        </w:tabs>
        <w:ind w:left="440"/>
      </w:pPr>
      <w:hyperlink w:anchor="_Toc4277" w:history="1">
        <w:r>
          <w:rPr>
            <w:rFonts w:ascii="IRNazanin" w:hAnsi="IRNazanin" w:eastAsia="IRNazanin" w:cs="IRNazanin"/>
            <w:color w:val="111111"/>
            <w:sz w:val="22"/>
            <w:szCs w:val="22"/>
            <w:b w:val="0"/>
            <w:bCs w:val="0"/>
            <w:i w:val="0"/>
            <w:iCs w:val="0"/>
          </w:rPr>
          <w:t>3210- دیوان صافی‏</w:t>
        </w:r>
        <w:r>
          <w:tab/>
        </w:r>
        <w:r>
          <w:fldChar w:fldCharType="begin"/>
        </w:r>
        <w:r>
          <w:instrText xml:space="preserve">PAGEREF 4277 \h</w:instrText>
        </w:r>
        <w:r>
          <w:fldChar w:fldCharType="end"/>
        </w:r>
      </w:hyperlink>
    </w:p>
    <w:p>
      <w:pPr>
        <w:tabs>
          <w:tab w:val="right" w:leader="dot" w:pos="9062"/>
        </w:tabs>
        <w:ind w:left="440"/>
      </w:pPr>
      <w:hyperlink w:anchor="_Toc4278" w:history="1">
        <w:r>
          <w:rPr>
            <w:rFonts w:ascii="IRNazanin" w:hAnsi="IRNazanin" w:eastAsia="IRNazanin" w:cs="IRNazanin"/>
            <w:color w:val="111111"/>
            <w:sz w:val="22"/>
            <w:szCs w:val="22"/>
            <w:b w:val="0"/>
            <w:bCs w:val="0"/>
            <w:i w:val="0"/>
            <w:iCs w:val="0"/>
          </w:rPr>
          <w:t>3211- دیوان صافی أردوبادی أو شعره‏</w:t>
        </w:r>
        <w:r>
          <w:tab/>
        </w:r>
        <w:r>
          <w:fldChar w:fldCharType="begin"/>
        </w:r>
        <w:r>
          <w:instrText xml:space="preserve">PAGEREF 4278 \h</w:instrText>
        </w:r>
        <w:r>
          <w:fldChar w:fldCharType="end"/>
        </w:r>
      </w:hyperlink>
    </w:p>
    <w:p>
      <w:pPr>
        <w:tabs>
          <w:tab w:val="right" w:leader="dot" w:pos="9062"/>
        </w:tabs>
        <w:ind w:left="440"/>
      </w:pPr>
      <w:hyperlink w:anchor="_Toc4279" w:history="1">
        <w:r>
          <w:rPr>
            <w:rFonts w:ascii="IRNazanin" w:hAnsi="IRNazanin" w:eastAsia="IRNazanin" w:cs="IRNazanin"/>
            <w:color w:val="111111"/>
            <w:sz w:val="22"/>
            <w:szCs w:val="22"/>
            <w:b w:val="0"/>
            <w:bCs w:val="0"/>
            <w:i w:val="0"/>
            <w:iCs w:val="0"/>
          </w:rPr>
          <w:t>3212- دیوان صافی أصفهانی‏</w:t>
        </w:r>
        <w:r>
          <w:tab/>
        </w:r>
        <w:r>
          <w:fldChar w:fldCharType="begin"/>
        </w:r>
        <w:r>
          <w:instrText xml:space="preserve">PAGEREF 4279 \h</w:instrText>
        </w:r>
        <w:r>
          <w:fldChar w:fldCharType="end"/>
        </w:r>
      </w:hyperlink>
    </w:p>
    <w:p>
      <w:pPr>
        <w:tabs>
          <w:tab w:val="right" w:leader="dot" w:pos="9062"/>
        </w:tabs>
        <w:ind w:left="440"/>
      </w:pPr>
      <w:hyperlink w:anchor="_Toc4280" w:history="1">
        <w:r>
          <w:rPr>
            <w:rFonts w:ascii="IRNazanin" w:hAnsi="IRNazanin" w:eastAsia="IRNazanin" w:cs="IRNazanin"/>
            <w:color w:val="111111"/>
            <w:sz w:val="22"/>
            <w:szCs w:val="22"/>
            <w:b w:val="0"/>
            <w:bCs w:val="0"/>
            <w:i w:val="0"/>
            <w:iCs w:val="0"/>
          </w:rPr>
          <w:t>دیوان صافی أصفهانی‏</w:t>
        </w:r>
        <w:r>
          <w:tab/>
        </w:r>
        <w:r>
          <w:fldChar w:fldCharType="begin"/>
        </w:r>
        <w:r>
          <w:instrText xml:space="preserve">PAGEREF 4280 \h</w:instrText>
        </w:r>
        <w:r>
          <w:fldChar w:fldCharType="end"/>
        </w:r>
      </w:hyperlink>
    </w:p>
    <w:p>
      <w:pPr>
        <w:tabs>
          <w:tab w:val="right" w:leader="dot" w:pos="9062"/>
        </w:tabs>
        <w:ind w:left="440"/>
      </w:pPr>
      <w:hyperlink w:anchor="_Toc4281" w:history="1">
        <w:r>
          <w:rPr>
            <w:rFonts w:ascii="IRNazanin" w:hAnsi="IRNazanin" w:eastAsia="IRNazanin" w:cs="IRNazanin"/>
            <w:color w:val="111111"/>
            <w:sz w:val="22"/>
            <w:szCs w:val="22"/>
            <w:b w:val="0"/>
            <w:bCs w:val="0"/>
            <w:i w:val="0"/>
            <w:iCs w:val="0"/>
          </w:rPr>
          <w:t>3213- دیوان صافی أصفهانی أو شعره‏</w:t>
        </w:r>
        <w:r>
          <w:tab/>
        </w:r>
        <w:r>
          <w:fldChar w:fldCharType="begin"/>
        </w:r>
        <w:r>
          <w:instrText xml:space="preserve">PAGEREF 4281 \h</w:instrText>
        </w:r>
        <w:r>
          <w:fldChar w:fldCharType="end"/>
        </w:r>
      </w:hyperlink>
    </w:p>
    <w:p>
      <w:pPr>
        <w:tabs>
          <w:tab w:val="right" w:leader="dot" w:pos="9062"/>
        </w:tabs>
        <w:ind w:left="440"/>
      </w:pPr>
      <w:hyperlink w:anchor="_Toc4282" w:history="1">
        <w:r>
          <w:rPr>
            <w:rFonts w:ascii="IRNazanin" w:hAnsi="IRNazanin" w:eastAsia="IRNazanin" w:cs="IRNazanin"/>
            <w:color w:val="111111"/>
            <w:sz w:val="22"/>
            <w:szCs w:val="22"/>
            <w:b w:val="0"/>
            <w:bCs w:val="0"/>
            <w:i w:val="0"/>
            <w:iCs w:val="0"/>
          </w:rPr>
          <w:t>3214- دیوان صافی تبریزی‏</w:t>
        </w:r>
        <w:r>
          <w:tab/>
        </w:r>
        <w:r>
          <w:fldChar w:fldCharType="begin"/>
        </w:r>
        <w:r>
          <w:instrText xml:space="preserve">PAGEREF 4282 \h</w:instrText>
        </w:r>
        <w:r>
          <w:fldChar w:fldCharType="end"/>
        </w:r>
      </w:hyperlink>
    </w:p>
    <w:p>
      <w:pPr>
        <w:tabs>
          <w:tab w:val="right" w:leader="dot" w:pos="9062"/>
        </w:tabs>
        <w:ind w:left="440"/>
      </w:pPr>
      <w:hyperlink w:anchor="_Toc4283" w:history="1">
        <w:r>
          <w:rPr>
            <w:rFonts w:ascii="IRNazanin" w:hAnsi="IRNazanin" w:eastAsia="IRNazanin" w:cs="IRNazanin"/>
            <w:color w:val="111111"/>
            <w:sz w:val="22"/>
            <w:szCs w:val="22"/>
            <w:b w:val="0"/>
            <w:bCs w:val="0"/>
            <w:i w:val="0"/>
            <w:iCs w:val="0"/>
          </w:rPr>
          <w:t>دیوان صافی تبریزی‏</w:t>
        </w:r>
        <w:r>
          <w:tab/>
        </w:r>
        <w:r>
          <w:fldChar w:fldCharType="begin"/>
        </w:r>
        <w:r>
          <w:instrText xml:space="preserve">PAGEREF 4283 \h</w:instrText>
        </w:r>
        <w:r>
          <w:fldChar w:fldCharType="end"/>
        </w:r>
      </w:hyperlink>
    </w:p>
    <w:p>
      <w:pPr>
        <w:tabs>
          <w:tab w:val="right" w:leader="dot" w:pos="9062"/>
        </w:tabs>
        <w:ind w:left="440"/>
      </w:pPr>
      <w:hyperlink w:anchor="_Toc4284" w:history="1">
        <w:r>
          <w:rPr>
            <w:rFonts w:ascii="IRNazanin" w:hAnsi="IRNazanin" w:eastAsia="IRNazanin" w:cs="IRNazanin"/>
            <w:color w:val="111111"/>
            <w:sz w:val="22"/>
            <w:szCs w:val="22"/>
            <w:b w:val="0"/>
            <w:bCs w:val="0"/>
            <w:i w:val="0"/>
            <w:iCs w:val="0"/>
          </w:rPr>
          <w:t>دیوان صافی توزپوش‏</w:t>
        </w:r>
        <w:r>
          <w:tab/>
        </w:r>
        <w:r>
          <w:fldChar w:fldCharType="begin"/>
        </w:r>
        <w:r>
          <w:instrText xml:space="preserve">PAGEREF 4284 \h</w:instrText>
        </w:r>
        <w:r>
          <w:fldChar w:fldCharType="end"/>
        </w:r>
      </w:hyperlink>
    </w:p>
    <w:p>
      <w:pPr>
        <w:tabs>
          <w:tab w:val="right" w:leader="dot" w:pos="9062"/>
        </w:tabs>
        <w:ind w:left="440"/>
      </w:pPr>
      <w:hyperlink w:anchor="_Toc4285" w:history="1">
        <w:r>
          <w:rPr>
            <w:rFonts w:ascii="IRNazanin" w:hAnsi="IRNazanin" w:eastAsia="IRNazanin" w:cs="IRNazanin"/>
            <w:color w:val="111111"/>
            <w:sz w:val="22"/>
            <w:szCs w:val="22"/>
            <w:b w:val="0"/>
            <w:bCs w:val="0"/>
            <w:i w:val="0"/>
            <w:iCs w:val="0"/>
          </w:rPr>
          <w:t>3215- دیوان صافی خراسانی أو شعره‏</w:t>
        </w:r>
        <w:r>
          <w:tab/>
        </w:r>
        <w:r>
          <w:fldChar w:fldCharType="begin"/>
        </w:r>
        <w:r>
          <w:instrText xml:space="preserve">PAGEREF 4285 \h</w:instrText>
        </w:r>
        <w:r>
          <w:fldChar w:fldCharType="end"/>
        </w:r>
      </w:hyperlink>
    </w:p>
    <w:p>
      <w:pPr>
        <w:tabs>
          <w:tab w:val="right" w:leader="dot" w:pos="9062"/>
        </w:tabs>
        <w:ind w:left="440"/>
      </w:pPr>
      <w:hyperlink w:anchor="_Toc4286" w:history="1">
        <w:r>
          <w:rPr>
            <w:rFonts w:ascii="IRNazanin" w:hAnsi="IRNazanin" w:eastAsia="IRNazanin" w:cs="IRNazanin"/>
            <w:color w:val="111111"/>
            <w:sz w:val="22"/>
            <w:szCs w:val="22"/>
            <w:b w:val="0"/>
            <w:bCs w:val="0"/>
            <w:i w:val="0"/>
            <w:iCs w:val="0"/>
          </w:rPr>
          <w:t>3216- دیوان صافی خلخالی‏</w:t>
        </w:r>
        <w:r>
          <w:tab/>
        </w:r>
        <w:r>
          <w:fldChar w:fldCharType="begin"/>
        </w:r>
        <w:r>
          <w:instrText xml:space="preserve">PAGEREF 4286 \h</w:instrText>
        </w:r>
        <w:r>
          <w:fldChar w:fldCharType="end"/>
        </w:r>
      </w:hyperlink>
    </w:p>
    <w:p>
      <w:pPr>
        <w:tabs>
          <w:tab w:val="right" w:leader="dot" w:pos="9062"/>
        </w:tabs>
        <w:ind w:left="440"/>
      </w:pPr>
      <w:hyperlink w:anchor="_Toc4287" w:history="1">
        <w:r>
          <w:rPr>
            <w:rFonts w:ascii="IRNazanin" w:hAnsi="IRNazanin" w:eastAsia="IRNazanin" w:cs="IRNazanin"/>
            <w:color w:val="111111"/>
            <w:sz w:val="22"/>
            <w:szCs w:val="22"/>
            <w:b w:val="0"/>
            <w:bCs w:val="0"/>
            <w:i w:val="0"/>
            <w:iCs w:val="0"/>
          </w:rPr>
          <w:t>3217- دیوان صافی شیرازی‏</w:t>
        </w:r>
        <w:r>
          <w:tab/>
        </w:r>
        <w:r>
          <w:fldChar w:fldCharType="begin"/>
        </w:r>
        <w:r>
          <w:instrText xml:space="preserve">PAGEREF 4287 \h</w:instrText>
        </w:r>
        <w:r>
          <w:fldChar w:fldCharType="end"/>
        </w:r>
      </w:hyperlink>
    </w:p>
    <w:p>
      <w:pPr>
        <w:tabs>
          <w:tab w:val="right" w:leader="dot" w:pos="9062"/>
        </w:tabs>
        <w:ind w:left="440"/>
      </w:pPr>
      <w:hyperlink w:anchor="_Toc4288" w:history="1">
        <w:r>
          <w:rPr>
            <w:rFonts w:ascii="IRNazanin" w:hAnsi="IRNazanin" w:eastAsia="IRNazanin" w:cs="IRNazanin"/>
            <w:color w:val="111111"/>
            <w:sz w:val="22"/>
            <w:szCs w:val="22"/>
            <w:b w:val="0"/>
            <w:bCs w:val="0"/>
            <w:i w:val="0"/>
            <w:iCs w:val="0"/>
          </w:rPr>
          <w:t>3218- دیوان صافی قمی أو شعره‏</w:t>
        </w:r>
        <w:r>
          <w:tab/>
        </w:r>
        <w:r>
          <w:fldChar w:fldCharType="begin"/>
        </w:r>
        <w:r>
          <w:instrText xml:space="preserve">PAGEREF 4288 \h</w:instrText>
        </w:r>
        <w:r>
          <w:fldChar w:fldCharType="end"/>
        </w:r>
      </w:hyperlink>
    </w:p>
    <w:p>
      <w:pPr>
        <w:tabs>
          <w:tab w:val="right" w:leader="dot" w:pos="9062"/>
        </w:tabs>
        <w:ind w:left="440"/>
      </w:pPr>
      <w:hyperlink w:anchor="_Toc4289" w:history="1">
        <w:r>
          <w:rPr>
            <w:rFonts w:ascii="IRNazanin" w:hAnsi="IRNazanin" w:eastAsia="IRNazanin" w:cs="IRNazanin"/>
            <w:color w:val="111111"/>
            <w:sz w:val="22"/>
            <w:szCs w:val="22"/>
            <w:b w:val="0"/>
            <w:bCs w:val="0"/>
            <w:i w:val="0"/>
            <w:iCs w:val="0"/>
          </w:rPr>
          <w:t>دیوان صافی کازرونی‏</w:t>
        </w:r>
        <w:r>
          <w:tab/>
        </w:r>
        <w:r>
          <w:fldChar w:fldCharType="begin"/>
        </w:r>
        <w:r>
          <w:instrText xml:space="preserve">PAGEREF 4289 \h</w:instrText>
        </w:r>
        <w:r>
          <w:fldChar w:fldCharType="end"/>
        </w:r>
      </w:hyperlink>
    </w:p>
    <w:p>
      <w:pPr>
        <w:tabs>
          <w:tab w:val="right" w:leader="dot" w:pos="9062"/>
        </w:tabs>
        <w:ind w:left="440"/>
      </w:pPr>
      <w:hyperlink w:anchor="_Toc4290" w:history="1">
        <w:r>
          <w:rPr>
            <w:rFonts w:ascii="IRNazanin" w:hAnsi="IRNazanin" w:eastAsia="IRNazanin" w:cs="IRNazanin"/>
            <w:color w:val="111111"/>
            <w:sz w:val="22"/>
            <w:szCs w:val="22"/>
            <w:b w:val="0"/>
            <w:bCs w:val="0"/>
            <w:i w:val="0"/>
            <w:iCs w:val="0"/>
          </w:rPr>
          <w:t>3219- دیوان صافی گلپایگانی‏</w:t>
        </w:r>
        <w:r>
          <w:tab/>
        </w:r>
        <w:r>
          <w:fldChar w:fldCharType="begin"/>
        </w:r>
        <w:r>
          <w:instrText xml:space="preserve">PAGEREF 4290 \h</w:instrText>
        </w:r>
        <w:r>
          <w:fldChar w:fldCharType="end"/>
        </w:r>
      </w:hyperlink>
    </w:p>
    <w:p>
      <w:pPr>
        <w:tabs>
          <w:tab w:val="right" w:leader="dot" w:pos="9062"/>
        </w:tabs>
        <w:ind w:left="440"/>
      </w:pPr>
      <w:hyperlink w:anchor="_Toc4291" w:history="1">
        <w:r>
          <w:rPr>
            <w:rFonts w:ascii="IRNazanin" w:hAnsi="IRNazanin" w:eastAsia="IRNazanin" w:cs="IRNazanin"/>
            <w:color w:val="111111"/>
            <w:sz w:val="22"/>
            <w:szCs w:val="22"/>
            <w:b w:val="0"/>
            <w:bCs w:val="0"/>
            <w:i w:val="0"/>
            <w:iCs w:val="0"/>
          </w:rPr>
          <w:t>دیوان صافی مراغی‏</w:t>
        </w:r>
        <w:r>
          <w:tab/>
        </w:r>
        <w:r>
          <w:fldChar w:fldCharType="begin"/>
        </w:r>
        <w:r>
          <w:instrText xml:space="preserve">PAGEREF 4291 \h</w:instrText>
        </w:r>
        <w:r>
          <w:fldChar w:fldCharType="end"/>
        </w:r>
      </w:hyperlink>
    </w:p>
    <w:p>
      <w:pPr>
        <w:tabs>
          <w:tab w:val="right" w:leader="dot" w:pos="9062"/>
        </w:tabs>
        <w:ind w:left="440"/>
      </w:pPr>
      <w:hyperlink w:anchor="_Toc4292" w:history="1">
        <w:r>
          <w:rPr>
            <w:rFonts w:ascii="IRNazanin" w:hAnsi="IRNazanin" w:eastAsia="IRNazanin" w:cs="IRNazanin"/>
            <w:color w:val="111111"/>
            <w:sz w:val="22"/>
            <w:szCs w:val="22"/>
            <w:b w:val="0"/>
            <w:bCs w:val="0"/>
            <w:i w:val="0"/>
            <w:iCs w:val="0"/>
          </w:rPr>
          <w:t>دیوان الصافی النجفی‏</w:t>
        </w:r>
        <w:r>
          <w:tab/>
        </w:r>
        <w:r>
          <w:fldChar w:fldCharType="begin"/>
        </w:r>
        <w:r>
          <w:instrText xml:space="preserve">PAGEREF 4292 \h</w:instrText>
        </w:r>
        <w:r>
          <w:fldChar w:fldCharType="end"/>
        </w:r>
      </w:hyperlink>
    </w:p>
    <w:p>
      <w:pPr>
        <w:tabs>
          <w:tab w:val="right" w:leader="dot" w:pos="9062"/>
        </w:tabs>
        <w:ind w:left="440"/>
      </w:pPr>
      <w:hyperlink w:anchor="_Toc4293" w:history="1">
        <w:r>
          <w:rPr>
            <w:rFonts w:ascii="IRNazanin" w:hAnsi="IRNazanin" w:eastAsia="IRNazanin" w:cs="IRNazanin"/>
            <w:color w:val="111111"/>
            <w:sz w:val="22"/>
            <w:szCs w:val="22"/>
            <w:b w:val="0"/>
            <w:bCs w:val="0"/>
            <w:i w:val="0"/>
            <w:iCs w:val="0"/>
          </w:rPr>
          <w:t>دیوان صافی هروی‏</w:t>
        </w:r>
        <w:r>
          <w:tab/>
        </w:r>
        <w:r>
          <w:fldChar w:fldCharType="begin"/>
        </w:r>
        <w:r>
          <w:instrText xml:space="preserve">PAGEREF 4293 \h</w:instrText>
        </w:r>
        <w:r>
          <w:fldChar w:fldCharType="end"/>
        </w:r>
      </w:hyperlink>
    </w:p>
    <w:p>
      <w:pPr>
        <w:tabs>
          <w:tab w:val="right" w:leader="dot" w:pos="9062"/>
        </w:tabs>
        <w:ind w:left="440"/>
      </w:pPr>
      <w:hyperlink w:anchor="_Toc4294" w:history="1">
        <w:r>
          <w:rPr>
            <w:rFonts w:ascii="IRNazanin" w:hAnsi="IRNazanin" w:eastAsia="IRNazanin" w:cs="IRNazanin"/>
            <w:color w:val="111111"/>
            <w:sz w:val="22"/>
            <w:szCs w:val="22"/>
            <w:b w:val="0"/>
            <w:bCs w:val="0"/>
            <w:i w:val="0"/>
            <w:iCs w:val="0"/>
          </w:rPr>
          <w:t>3220- دیوان صالح‏</w:t>
        </w:r>
        <w:r>
          <w:tab/>
        </w:r>
        <w:r>
          <w:fldChar w:fldCharType="begin"/>
        </w:r>
        <w:r>
          <w:instrText xml:space="preserve">PAGEREF 4294 \h</w:instrText>
        </w:r>
        <w:r>
          <w:fldChar w:fldCharType="end"/>
        </w:r>
      </w:hyperlink>
    </w:p>
    <w:p>
      <w:pPr>
        <w:tabs>
          <w:tab w:val="right" w:leader="dot" w:pos="9062"/>
        </w:tabs>
        <w:ind w:left="440"/>
      </w:pPr>
      <w:hyperlink w:anchor="_Toc4295" w:history="1">
        <w:r>
          <w:rPr>
            <w:rFonts w:ascii="IRNazanin" w:hAnsi="IRNazanin" w:eastAsia="IRNazanin" w:cs="IRNazanin"/>
            <w:color w:val="111111"/>
            <w:sz w:val="22"/>
            <w:szCs w:val="22"/>
            <w:b w:val="0"/>
            <w:bCs w:val="0"/>
            <w:i w:val="0"/>
            <w:iCs w:val="0"/>
          </w:rPr>
          <w:t>دیوان صالحای مشهدی أو شعره‏</w:t>
        </w:r>
        <w:r>
          <w:tab/>
        </w:r>
        <w:r>
          <w:fldChar w:fldCharType="begin"/>
        </w:r>
        <w:r>
          <w:instrText xml:space="preserve">PAGEREF 4295 \h</w:instrText>
        </w:r>
        <w:r>
          <w:fldChar w:fldCharType="end"/>
        </w:r>
      </w:hyperlink>
    </w:p>
    <w:p>
      <w:pPr>
        <w:tabs>
          <w:tab w:val="right" w:leader="dot" w:pos="9062"/>
        </w:tabs>
        <w:ind w:left="440"/>
      </w:pPr>
      <w:hyperlink w:anchor="_Toc4296" w:history="1">
        <w:r>
          <w:rPr>
            <w:rFonts w:ascii="IRNazanin" w:hAnsi="IRNazanin" w:eastAsia="IRNazanin" w:cs="IRNazanin"/>
            <w:color w:val="111111"/>
            <w:sz w:val="22"/>
            <w:szCs w:val="22"/>
            <w:b w:val="0"/>
            <w:bCs w:val="0"/>
            <w:i w:val="0"/>
            <w:iCs w:val="0"/>
          </w:rPr>
          <w:t>دیوان صالح أصفهانی‏</w:t>
        </w:r>
        <w:r>
          <w:tab/>
        </w:r>
        <w:r>
          <w:fldChar w:fldCharType="begin"/>
        </w:r>
        <w:r>
          <w:instrText xml:space="preserve">PAGEREF 4296 \h</w:instrText>
        </w:r>
        <w:r>
          <w:fldChar w:fldCharType="end"/>
        </w:r>
      </w:hyperlink>
    </w:p>
    <w:p>
      <w:pPr>
        <w:tabs>
          <w:tab w:val="right" w:leader="dot" w:pos="9062"/>
        </w:tabs>
        <w:ind w:left="440"/>
      </w:pPr>
      <w:hyperlink w:anchor="_Toc4297" w:history="1">
        <w:r>
          <w:rPr>
            <w:rFonts w:ascii="IRNazanin" w:hAnsi="IRNazanin" w:eastAsia="IRNazanin" w:cs="IRNazanin"/>
            <w:color w:val="111111"/>
            <w:sz w:val="22"/>
            <w:szCs w:val="22"/>
            <w:b w:val="0"/>
            <w:bCs w:val="0"/>
            <w:i w:val="0"/>
            <w:iCs w:val="0"/>
          </w:rPr>
          <w:t>دیوان صالح أصفهانی أو شعره‏</w:t>
        </w:r>
        <w:r>
          <w:tab/>
        </w:r>
        <w:r>
          <w:fldChar w:fldCharType="begin"/>
        </w:r>
        <w:r>
          <w:instrText xml:space="preserve">PAGEREF 4297 \h</w:instrText>
        </w:r>
        <w:r>
          <w:fldChar w:fldCharType="end"/>
        </w:r>
      </w:hyperlink>
    </w:p>
    <w:p>
      <w:pPr>
        <w:tabs>
          <w:tab w:val="right" w:leader="dot" w:pos="9062"/>
        </w:tabs>
        <w:ind w:left="440"/>
      </w:pPr>
      <w:hyperlink w:anchor="_Toc4298" w:history="1">
        <w:r>
          <w:rPr>
            <w:rFonts w:ascii="IRNazanin" w:hAnsi="IRNazanin" w:eastAsia="IRNazanin" w:cs="IRNazanin"/>
            <w:color w:val="111111"/>
            <w:sz w:val="22"/>
            <w:szCs w:val="22"/>
            <w:b w:val="0"/>
            <w:bCs w:val="0"/>
            <w:i w:val="0"/>
            <w:iCs w:val="0"/>
          </w:rPr>
          <w:t>3221- دیوان صالح أصفهانی أو شعره‏</w:t>
        </w:r>
        <w:r>
          <w:tab/>
        </w:r>
        <w:r>
          <w:fldChar w:fldCharType="begin"/>
        </w:r>
        <w:r>
          <w:instrText xml:space="preserve">PAGEREF 4298 \h</w:instrText>
        </w:r>
        <w:r>
          <w:fldChar w:fldCharType="end"/>
        </w:r>
      </w:hyperlink>
    </w:p>
    <w:p>
      <w:pPr>
        <w:tabs>
          <w:tab w:val="right" w:leader="dot" w:pos="9062"/>
        </w:tabs>
        <w:ind w:left="440"/>
      </w:pPr>
      <w:hyperlink w:anchor="_Toc4299" w:history="1">
        <w:r>
          <w:rPr>
            <w:rFonts w:ascii="IRNazanin" w:hAnsi="IRNazanin" w:eastAsia="IRNazanin" w:cs="IRNazanin"/>
            <w:color w:val="111111"/>
            <w:sz w:val="22"/>
            <w:szCs w:val="22"/>
            <w:b w:val="0"/>
            <w:bCs w:val="0"/>
            <w:i w:val="0"/>
            <w:iCs w:val="0"/>
          </w:rPr>
          <w:t>3222- دیوان صالح باکوئی أو شعره‏</w:t>
        </w:r>
        <w:r>
          <w:tab/>
        </w:r>
        <w:r>
          <w:fldChar w:fldCharType="begin"/>
        </w:r>
        <w:r>
          <w:instrText xml:space="preserve">PAGEREF 4299 \h</w:instrText>
        </w:r>
        <w:r>
          <w:fldChar w:fldCharType="end"/>
        </w:r>
      </w:hyperlink>
    </w:p>
    <w:p>
      <w:pPr>
        <w:tabs>
          <w:tab w:val="right" w:leader="dot" w:pos="9062"/>
        </w:tabs>
        <w:ind w:left="440"/>
      </w:pPr>
      <w:hyperlink w:anchor="_Toc4300" w:history="1">
        <w:r>
          <w:rPr>
            <w:rFonts w:ascii="IRNazanin" w:hAnsi="IRNazanin" w:eastAsia="IRNazanin" w:cs="IRNazanin"/>
            <w:color w:val="111111"/>
            <w:sz w:val="22"/>
            <w:szCs w:val="22"/>
            <w:b w:val="0"/>
            <w:bCs w:val="0"/>
            <w:i w:val="0"/>
            <w:iCs w:val="0"/>
          </w:rPr>
          <w:t>3223- دیوان صالح البحرانی‏</w:t>
        </w:r>
        <w:r>
          <w:tab/>
        </w:r>
        <w:r>
          <w:fldChar w:fldCharType="begin"/>
        </w:r>
        <w:r>
          <w:instrText xml:space="preserve">PAGEREF 4300 \h</w:instrText>
        </w:r>
        <w:r>
          <w:fldChar w:fldCharType="end"/>
        </w:r>
      </w:hyperlink>
    </w:p>
    <w:p>
      <w:pPr>
        <w:tabs>
          <w:tab w:val="right" w:leader="dot" w:pos="9062"/>
        </w:tabs>
        <w:ind w:left="440"/>
      </w:pPr>
      <w:hyperlink w:anchor="_Toc4301" w:history="1">
        <w:r>
          <w:rPr>
            <w:rFonts w:ascii="IRNazanin" w:hAnsi="IRNazanin" w:eastAsia="IRNazanin" w:cs="IRNazanin"/>
            <w:color w:val="111111"/>
            <w:sz w:val="22"/>
            <w:szCs w:val="22"/>
            <w:b w:val="0"/>
            <w:bCs w:val="0"/>
            <w:i w:val="0"/>
            <w:iCs w:val="0"/>
          </w:rPr>
          <w:t>3224- دیوان صالح بدخشانی أو شعره‏</w:t>
        </w:r>
        <w:r>
          <w:tab/>
        </w:r>
        <w:r>
          <w:fldChar w:fldCharType="begin"/>
        </w:r>
        <w:r>
          <w:instrText xml:space="preserve">PAGEREF 4301 \h</w:instrText>
        </w:r>
        <w:r>
          <w:fldChar w:fldCharType="end"/>
        </w:r>
      </w:hyperlink>
    </w:p>
    <w:p>
      <w:pPr>
        <w:tabs>
          <w:tab w:val="right" w:leader="dot" w:pos="9062"/>
        </w:tabs>
        <w:ind w:left="440"/>
      </w:pPr>
      <w:hyperlink w:anchor="_Toc4302" w:history="1">
        <w:r>
          <w:rPr>
            <w:rFonts w:ascii="IRNazanin" w:hAnsi="IRNazanin" w:eastAsia="IRNazanin" w:cs="IRNazanin"/>
            <w:color w:val="111111"/>
            <w:sz w:val="22"/>
            <w:szCs w:val="22"/>
            <w:b w:val="0"/>
            <w:bCs w:val="0"/>
            <w:i w:val="0"/>
            <w:iCs w:val="0"/>
          </w:rPr>
          <w:t>3225- دیوان صالح بروجردی أو شعره‏</w:t>
        </w:r>
        <w:r>
          <w:tab/>
        </w:r>
        <w:r>
          <w:fldChar w:fldCharType="begin"/>
        </w:r>
        <w:r>
          <w:instrText xml:space="preserve">PAGEREF 4302 \h</w:instrText>
        </w:r>
        <w:r>
          <w:fldChar w:fldCharType="end"/>
        </w:r>
      </w:hyperlink>
    </w:p>
    <w:p>
      <w:pPr>
        <w:tabs>
          <w:tab w:val="right" w:leader="dot" w:pos="9062"/>
        </w:tabs>
        <w:ind w:left="440"/>
      </w:pPr>
      <w:hyperlink w:anchor="_Toc4303" w:history="1">
        <w:r>
          <w:rPr>
            <w:rFonts w:ascii="IRNazanin" w:hAnsi="IRNazanin" w:eastAsia="IRNazanin" w:cs="IRNazanin"/>
            <w:color w:val="111111"/>
            <w:sz w:val="22"/>
            <w:szCs w:val="22"/>
            <w:b w:val="0"/>
            <w:bCs w:val="0"/>
            <w:i w:val="0"/>
            <w:iCs w:val="0"/>
          </w:rPr>
          <w:t>3226- دیوان صالح بیگ أو شعره‏</w:t>
        </w:r>
        <w:r>
          <w:tab/>
        </w:r>
        <w:r>
          <w:fldChar w:fldCharType="begin"/>
        </w:r>
        <w:r>
          <w:instrText xml:space="preserve">PAGEREF 4303 \h</w:instrText>
        </w:r>
        <w:r>
          <w:fldChar w:fldCharType="end"/>
        </w:r>
      </w:hyperlink>
    </w:p>
    <w:p>
      <w:pPr>
        <w:tabs>
          <w:tab w:val="right" w:leader="dot" w:pos="9062"/>
        </w:tabs>
        <w:ind w:left="440"/>
      </w:pPr>
      <w:hyperlink w:anchor="_Toc4304" w:history="1">
        <w:r>
          <w:rPr>
            <w:rFonts w:ascii="IRNazanin" w:hAnsi="IRNazanin" w:eastAsia="IRNazanin" w:cs="IRNazanin"/>
            <w:color w:val="111111"/>
            <w:sz w:val="22"/>
            <w:szCs w:val="22"/>
            <w:b w:val="0"/>
            <w:bCs w:val="0"/>
            <w:i w:val="0"/>
            <w:iCs w:val="0"/>
          </w:rPr>
          <w:t>3227- دیوان صالح بیک أو شعره‏</w:t>
        </w:r>
        <w:r>
          <w:tab/>
        </w:r>
        <w:r>
          <w:fldChar w:fldCharType="begin"/>
        </w:r>
        <w:r>
          <w:instrText xml:space="preserve">PAGEREF 4304 \h</w:instrText>
        </w:r>
        <w:r>
          <w:fldChar w:fldCharType="end"/>
        </w:r>
      </w:hyperlink>
    </w:p>
    <w:p>
      <w:pPr>
        <w:tabs>
          <w:tab w:val="right" w:leader="dot" w:pos="9062"/>
        </w:tabs>
        <w:ind w:left="440"/>
      </w:pPr>
      <w:hyperlink w:anchor="_Toc4305" w:history="1">
        <w:r>
          <w:rPr>
            <w:rFonts w:ascii="IRNazanin" w:hAnsi="IRNazanin" w:eastAsia="IRNazanin" w:cs="IRNazanin"/>
            <w:color w:val="111111"/>
            <w:sz w:val="22"/>
            <w:szCs w:val="22"/>
            <w:b w:val="0"/>
            <w:bCs w:val="0"/>
            <w:i w:val="0"/>
            <w:iCs w:val="0"/>
          </w:rPr>
          <w:t>دیوان صالح تبریزی‏</w:t>
        </w:r>
        <w:r>
          <w:tab/>
        </w:r>
        <w:r>
          <w:fldChar w:fldCharType="begin"/>
        </w:r>
        <w:r>
          <w:instrText xml:space="preserve">PAGEREF 4305 \h</w:instrText>
        </w:r>
        <w:r>
          <w:fldChar w:fldCharType="end"/>
        </w:r>
      </w:hyperlink>
    </w:p>
    <w:p>
      <w:pPr>
        <w:tabs>
          <w:tab w:val="right" w:leader="dot" w:pos="9062"/>
        </w:tabs>
        <w:ind w:left="440"/>
      </w:pPr>
      <w:hyperlink w:anchor="_Toc4306" w:history="1">
        <w:r>
          <w:rPr>
            <w:rFonts w:ascii="IRNazanin" w:hAnsi="IRNazanin" w:eastAsia="IRNazanin" w:cs="IRNazanin"/>
            <w:color w:val="111111"/>
            <w:sz w:val="22"/>
            <w:szCs w:val="22"/>
            <w:b w:val="0"/>
            <w:bCs w:val="0"/>
            <w:i w:val="0"/>
            <w:iCs w:val="0"/>
          </w:rPr>
          <w:t>3228- دیوان صالح تبریزی‏</w:t>
        </w:r>
        <w:r>
          <w:tab/>
        </w:r>
        <w:r>
          <w:fldChar w:fldCharType="begin"/>
        </w:r>
        <w:r>
          <w:instrText xml:space="preserve">PAGEREF 4306 \h</w:instrText>
        </w:r>
        <w:r>
          <w:fldChar w:fldCharType="end"/>
        </w:r>
      </w:hyperlink>
    </w:p>
    <w:p>
      <w:pPr>
        <w:tabs>
          <w:tab w:val="right" w:leader="dot" w:pos="9062"/>
        </w:tabs>
        <w:ind w:left="440"/>
      </w:pPr>
      <w:hyperlink w:anchor="_Toc4307" w:history="1">
        <w:r>
          <w:rPr>
            <w:rFonts w:ascii="IRNazanin" w:hAnsi="IRNazanin" w:eastAsia="IRNazanin" w:cs="IRNazanin"/>
            <w:color w:val="111111"/>
            <w:sz w:val="22"/>
            <w:szCs w:val="22"/>
            <w:b w:val="0"/>
            <w:bCs w:val="0"/>
            <w:i w:val="0"/>
            <w:iCs w:val="0"/>
          </w:rPr>
          <w:t>3229- دیوان صالح تبریزی أو شعره‏</w:t>
        </w:r>
        <w:r>
          <w:tab/>
        </w:r>
        <w:r>
          <w:fldChar w:fldCharType="begin"/>
        </w:r>
        <w:r>
          <w:instrText xml:space="preserve">PAGEREF 4307 \h</w:instrText>
        </w:r>
        <w:r>
          <w:fldChar w:fldCharType="end"/>
        </w:r>
      </w:hyperlink>
    </w:p>
    <w:p>
      <w:pPr>
        <w:tabs>
          <w:tab w:val="right" w:leader="dot" w:pos="9062"/>
        </w:tabs>
        <w:ind w:left="440"/>
      </w:pPr>
      <w:hyperlink w:anchor="_Toc4308" w:history="1">
        <w:r>
          <w:rPr>
            <w:rFonts w:ascii="IRNazanin" w:hAnsi="IRNazanin" w:eastAsia="IRNazanin" w:cs="IRNazanin"/>
            <w:color w:val="111111"/>
            <w:sz w:val="22"/>
            <w:szCs w:val="22"/>
            <w:b w:val="0"/>
            <w:bCs w:val="0"/>
            <w:i w:val="0"/>
            <w:iCs w:val="0"/>
          </w:rPr>
          <w:t>3230- دیوان صالح ترکمان أو شعره‏</w:t>
        </w:r>
        <w:r>
          <w:tab/>
        </w:r>
        <w:r>
          <w:fldChar w:fldCharType="begin"/>
        </w:r>
        <w:r>
          <w:instrText xml:space="preserve">PAGEREF 4308 \h</w:instrText>
        </w:r>
        <w:r>
          <w:fldChar w:fldCharType="end"/>
        </w:r>
      </w:hyperlink>
    </w:p>
    <w:p>
      <w:pPr>
        <w:tabs>
          <w:tab w:val="right" w:leader="dot" w:pos="9062"/>
        </w:tabs>
        <w:ind w:left="440"/>
      </w:pPr>
      <w:hyperlink w:anchor="_Toc4309" w:history="1">
        <w:r>
          <w:rPr>
            <w:rFonts w:ascii="IRNazanin" w:hAnsi="IRNazanin" w:eastAsia="IRNazanin" w:cs="IRNazanin"/>
            <w:color w:val="111111"/>
            <w:sz w:val="22"/>
            <w:szCs w:val="22"/>
            <w:b w:val="0"/>
            <w:bCs w:val="0"/>
            <w:i w:val="0"/>
            <w:iCs w:val="0"/>
          </w:rPr>
          <w:t>3231- دیوان الشیخ صالح التمیمی‏</w:t>
        </w:r>
        <w:r>
          <w:tab/>
        </w:r>
        <w:r>
          <w:fldChar w:fldCharType="begin"/>
        </w:r>
        <w:r>
          <w:instrText xml:space="preserve">PAGEREF 4309 \h</w:instrText>
        </w:r>
        <w:r>
          <w:fldChar w:fldCharType="end"/>
        </w:r>
      </w:hyperlink>
    </w:p>
    <w:p>
      <w:pPr>
        <w:tabs>
          <w:tab w:val="right" w:leader="dot" w:pos="9062"/>
        </w:tabs>
        <w:ind w:left="440"/>
      </w:pPr>
      <w:hyperlink w:anchor="_Toc4310" w:history="1">
        <w:r>
          <w:rPr>
            <w:rFonts w:ascii="IRNazanin" w:hAnsi="IRNazanin" w:eastAsia="IRNazanin" w:cs="IRNazanin"/>
            <w:color w:val="111111"/>
            <w:sz w:val="22"/>
            <w:szCs w:val="22"/>
            <w:b w:val="0"/>
            <w:bCs w:val="0"/>
            <w:i w:val="0"/>
            <w:iCs w:val="0"/>
          </w:rPr>
          <w:t>3232- دیوان الشیخ محمد صالح الجامعی‏</w:t>
        </w:r>
        <w:r>
          <w:tab/>
        </w:r>
        <w:r>
          <w:fldChar w:fldCharType="begin"/>
        </w:r>
        <w:r>
          <w:instrText xml:space="preserve">PAGEREF 4310 \h</w:instrText>
        </w:r>
        <w:r>
          <w:fldChar w:fldCharType="end"/>
        </w:r>
      </w:hyperlink>
    </w:p>
    <w:p>
      <w:pPr>
        <w:tabs>
          <w:tab w:val="right" w:leader="dot" w:pos="9062"/>
        </w:tabs>
        <w:ind w:left="440"/>
      </w:pPr>
      <w:hyperlink w:anchor="_Toc4311" w:history="1">
        <w:r>
          <w:rPr>
            <w:rFonts w:ascii="IRNazanin" w:hAnsi="IRNazanin" w:eastAsia="IRNazanin" w:cs="IRNazanin"/>
            <w:color w:val="111111"/>
            <w:sz w:val="22"/>
            <w:szCs w:val="22"/>
            <w:b w:val="0"/>
            <w:bCs w:val="0"/>
            <w:i w:val="0"/>
            <w:iCs w:val="0"/>
          </w:rPr>
          <w:t>3233- دیوان صالح جغتائی أو شعره‏</w:t>
        </w:r>
        <w:r>
          <w:tab/>
        </w:r>
        <w:r>
          <w:fldChar w:fldCharType="begin"/>
        </w:r>
        <w:r>
          <w:instrText xml:space="preserve">PAGEREF 4311 \h</w:instrText>
        </w:r>
        <w:r>
          <w:fldChar w:fldCharType="end"/>
        </w:r>
      </w:hyperlink>
    </w:p>
    <w:p>
      <w:pPr>
        <w:tabs>
          <w:tab w:val="right" w:leader="dot" w:pos="9062"/>
        </w:tabs>
        <w:ind w:left="440"/>
      </w:pPr>
      <w:hyperlink w:anchor="_Toc4312" w:history="1">
        <w:r>
          <w:rPr>
            <w:rFonts w:ascii="IRNazanin" w:hAnsi="IRNazanin" w:eastAsia="IRNazanin" w:cs="IRNazanin"/>
            <w:color w:val="111111"/>
            <w:sz w:val="22"/>
            <w:szCs w:val="22"/>
            <w:b w:val="0"/>
            <w:bCs w:val="0"/>
            <w:i w:val="0"/>
            <w:iCs w:val="0"/>
          </w:rPr>
          <w:t>دیوان صالح خاموش‏</w:t>
        </w:r>
        <w:r>
          <w:tab/>
        </w:r>
        <w:r>
          <w:fldChar w:fldCharType="begin"/>
        </w:r>
        <w:r>
          <w:instrText xml:space="preserve">PAGEREF 4312 \h</w:instrText>
        </w:r>
        <w:r>
          <w:fldChar w:fldCharType="end"/>
        </w:r>
      </w:hyperlink>
    </w:p>
    <w:p>
      <w:pPr>
        <w:tabs>
          <w:tab w:val="right" w:leader="dot" w:pos="9062"/>
        </w:tabs>
        <w:ind w:left="440"/>
      </w:pPr>
      <w:hyperlink w:anchor="_Toc4313" w:history="1">
        <w:r>
          <w:rPr>
            <w:rFonts w:ascii="IRNazanin" w:hAnsi="IRNazanin" w:eastAsia="IRNazanin" w:cs="IRNazanin"/>
            <w:color w:val="111111"/>
            <w:sz w:val="22"/>
            <w:szCs w:val="22"/>
            <w:b w:val="0"/>
            <w:bCs w:val="0"/>
            <w:i w:val="0"/>
            <w:iCs w:val="0"/>
          </w:rPr>
          <w:t>3234- دیوان صالح خراسانی أو شعره‏</w:t>
        </w:r>
        <w:r>
          <w:tab/>
        </w:r>
        <w:r>
          <w:fldChar w:fldCharType="begin"/>
        </w:r>
        <w:r>
          <w:instrText xml:space="preserve">PAGEREF 4313 \h</w:instrText>
        </w:r>
        <w:r>
          <w:fldChar w:fldCharType="end"/>
        </w:r>
      </w:hyperlink>
    </w:p>
    <w:p>
      <w:pPr>
        <w:tabs>
          <w:tab w:val="right" w:leader="dot" w:pos="9062"/>
        </w:tabs>
        <w:ind w:left="440"/>
      </w:pPr>
      <w:hyperlink w:anchor="_Toc4314" w:history="1">
        <w:r>
          <w:rPr>
            <w:rFonts w:ascii="IRNazanin" w:hAnsi="IRNazanin" w:eastAsia="IRNazanin" w:cs="IRNazanin"/>
            <w:color w:val="111111"/>
            <w:sz w:val="22"/>
            <w:szCs w:val="22"/>
            <w:b w:val="0"/>
            <w:bCs w:val="0"/>
            <w:i w:val="0"/>
            <w:iCs w:val="0"/>
          </w:rPr>
          <w:t>دیوان صالح الستری‏</w:t>
        </w:r>
        <w:r>
          <w:tab/>
        </w:r>
        <w:r>
          <w:fldChar w:fldCharType="begin"/>
        </w:r>
        <w:r>
          <w:instrText xml:space="preserve">PAGEREF 4314 \h</w:instrText>
        </w:r>
        <w:r>
          <w:fldChar w:fldCharType="end"/>
        </w:r>
      </w:hyperlink>
    </w:p>
    <w:p>
      <w:pPr>
        <w:tabs>
          <w:tab w:val="right" w:leader="dot" w:pos="9062"/>
        </w:tabs>
        <w:ind w:left="440"/>
      </w:pPr>
      <w:hyperlink w:anchor="_Toc4315" w:history="1">
        <w:r>
          <w:rPr>
            <w:rFonts w:ascii="IRNazanin" w:hAnsi="IRNazanin" w:eastAsia="IRNazanin" w:cs="IRNazanin"/>
            <w:color w:val="111111"/>
            <w:sz w:val="22"/>
            <w:szCs w:val="22"/>
            <w:b w:val="0"/>
            <w:bCs w:val="0"/>
            <w:i w:val="0"/>
            <w:iCs w:val="0"/>
          </w:rPr>
          <w:t>دیوان صالح سیار</w:t>
        </w:r>
        <w:r>
          <w:tab/>
        </w:r>
        <w:r>
          <w:fldChar w:fldCharType="begin"/>
        </w:r>
        <w:r>
          <w:instrText xml:space="preserve">PAGEREF 4315 \h</w:instrText>
        </w:r>
        <w:r>
          <w:fldChar w:fldCharType="end"/>
        </w:r>
      </w:hyperlink>
    </w:p>
    <w:p>
      <w:pPr>
        <w:tabs>
          <w:tab w:val="right" w:leader="dot" w:pos="9062"/>
        </w:tabs>
        <w:ind w:left="440"/>
      </w:pPr>
      <w:hyperlink w:anchor="_Toc4316" w:history="1">
        <w:r>
          <w:rPr>
            <w:rFonts w:ascii="IRNazanin" w:hAnsi="IRNazanin" w:eastAsia="IRNazanin" w:cs="IRNazanin"/>
            <w:color w:val="111111"/>
            <w:sz w:val="22"/>
            <w:szCs w:val="22"/>
            <w:b w:val="0"/>
            <w:bCs w:val="0"/>
            <w:i w:val="0"/>
            <w:iCs w:val="0"/>
          </w:rPr>
          <w:t>3235- دیوان صالح شوشتری أو شعره‏</w:t>
        </w:r>
        <w:r>
          <w:tab/>
        </w:r>
        <w:r>
          <w:fldChar w:fldCharType="begin"/>
        </w:r>
        <w:r>
          <w:instrText xml:space="preserve">PAGEREF 4316 \h</w:instrText>
        </w:r>
        <w:r>
          <w:fldChar w:fldCharType="end"/>
        </w:r>
      </w:hyperlink>
    </w:p>
    <w:p>
      <w:pPr>
        <w:tabs>
          <w:tab w:val="right" w:leader="dot" w:pos="9062"/>
        </w:tabs>
        <w:ind w:left="440"/>
      </w:pPr>
      <w:hyperlink w:anchor="_Toc4317" w:history="1">
        <w:r>
          <w:rPr>
            <w:rFonts w:ascii="IRNazanin" w:hAnsi="IRNazanin" w:eastAsia="IRNazanin" w:cs="IRNazanin"/>
            <w:color w:val="111111"/>
            <w:sz w:val="22"/>
            <w:szCs w:val="22"/>
            <w:b w:val="0"/>
            <w:bCs w:val="0"/>
            <w:i w:val="0"/>
            <w:iCs w:val="0"/>
          </w:rPr>
          <w:t>3236- دیوان محمد صالح شیرازی أو شعره‏</w:t>
        </w:r>
        <w:r>
          <w:tab/>
        </w:r>
        <w:r>
          <w:fldChar w:fldCharType="begin"/>
        </w:r>
        <w:r>
          <w:instrText xml:space="preserve">PAGEREF 4317 \h</w:instrText>
        </w:r>
        <w:r>
          <w:fldChar w:fldCharType="end"/>
        </w:r>
      </w:hyperlink>
    </w:p>
    <w:p>
      <w:pPr>
        <w:tabs>
          <w:tab w:val="right" w:leader="dot" w:pos="9062"/>
        </w:tabs>
        <w:ind w:left="440"/>
      </w:pPr>
      <w:hyperlink w:anchor="_Toc4318" w:history="1">
        <w:r>
          <w:rPr>
            <w:rFonts w:ascii="IRNazanin" w:hAnsi="IRNazanin" w:eastAsia="IRNazanin" w:cs="IRNazanin"/>
            <w:color w:val="111111"/>
            <w:sz w:val="22"/>
            <w:szCs w:val="22"/>
            <w:b w:val="0"/>
            <w:bCs w:val="0"/>
            <w:i w:val="0"/>
            <w:iCs w:val="0"/>
          </w:rPr>
          <w:t>3237- دیوان صالح صوفی أو شعره‏</w:t>
        </w:r>
        <w:r>
          <w:tab/>
        </w:r>
        <w:r>
          <w:fldChar w:fldCharType="begin"/>
        </w:r>
        <w:r>
          <w:instrText xml:space="preserve">PAGEREF 4318 \h</w:instrText>
        </w:r>
        <w:r>
          <w:fldChar w:fldCharType="end"/>
        </w:r>
      </w:hyperlink>
    </w:p>
    <w:p>
      <w:pPr>
        <w:tabs>
          <w:tab w:val="right" w:leader="dot" w:pos="9062"/>
        </w:tabs>
        <w:ind w:left="440"/>
      </w:pPr>
      <w:hyperlink w:anchor="_Toc4319" w:history="1">
        <w:r>
          <w:rPr>
            <w:rFonts w:ascii="IRNazanin" w:hAnsi="IRNazanin" w:eastAsia="IRNazanin" w:cs="IRNazanin"/>
            <w:color w:val="111111"/>
            <w:sz w:val="22"/>
            <w:szCs w:val="22"/>
            <w:b w:val="0"/>
            <w:bCs w:val="0"/>
            <w:i w:val="0"/>
            <w:iCs w:val="0"/>
          </w:rPr>
          <w:t>3238- دیوان السید صالح القزوینی النجفی‏</w:t>
        </w:r>
        <w:r>
          <w:tab/>
        </w:r>
        <w:r>
          <w:fldChar w:fldCharType="begin"/>
        </w:r>
        <w:r>
          <w:instrText xml:space="preserve">PAGEREF 4319 \h</w:instrText>
        </w:r>
        <w:r>
          <w:fldChar w:fldCharType="end"/>
        </w:r>
      </w:hyperlink>
    </w:p>
    <w:p>
      <w:pPr>
        <w:tabs>
          <w:tab w:val="right" w:leader="dot" w:pos="9062"/>
        </w:tabs>
        <w:ind w:left="440"/>
      </w:pPr>
      <w:hyperlink w:anchor="_Toc4320" w:history="1">
        <w:r>
          <w:rPr>
            <w:rFonts w:ascii="IRNazanin" w:hAnsi="IRNazanin" w:eastAsia="IRNazanin" w:cs="IRNazanin"/>
            <w:color w:val="111111"/>
            <w:sz w:val="22"/>
            <w:szCs w:val="22"/>
            <w:b w:val="0"/>
            <w:bCs w:val="0"/>
            <w:i w:val="0"/>
            <w:iCs w:val="0"/>
          </w:rPr>
          <w:t>دیوان صالح کابلی‏</w:t>
        </w:r>
        <w:r>
          <w:tab/>
        </w:r>
        <w:r>
          <w:fldChar w:fldCharType="begin"/>
        </w:r>
        <w:r>
          <w:instrText xml:space="preserve">PAGEREF 4320 \h</w:instrText>
        </w:r>
        <w:r>
          <w:fldChar w:fldCharType="end"/>
        </w:r>
      </w:hyperlink>
    </w:p>
    <w:p>
      <w:pPr>
        <w:tabs>
          <w:tab w:val="right" w:leader="dot" w:pos="9062"/>
        </w:tabs>
        <w:ind w:left="440"/>
      </w:pPr>
      <w:hyperlink w:anchor="_Toc4321" w:history="1">
        <w:r>
          <w:rPr>
            <w:rFonts w:ascii="IRNazanin" w:hAnsi="IRNazanin" w:eastAsia="IRNazanin" w:cs="IRNazanin"/>
            <w:color w:val="111111"/>
            <w:sz w:val="22"/>
            <w:szCs w:val="22"/>
            <w:b w:val="0"/>
            <w:bCs w:val="0"/>
            <w:i w:val="0"/>
            <w:iCs w:val="0"/>
          </w:rPr>
          <w:t>3239- دیوان صالح کاشی أو شعره‏</w:t>
        </w:r>
        <w:r>
          <w:tab/>
        </w:r>
        <w:r>
          <w:fldChar w:fldCharType="begin"/>
        </w:r>
        <w:r>
          <w:instrText xml:space="preserve">PAGEREF 4321 \h</w:instrText>
        </w:r>
        <w:r>
          <w:fldChar w:fldCharType="end"/>
        </w:r>
      </w:hyperlink>
    </w:p>
    <w:p>
      <w:pPr>
        <w:tabs>
          <w:tab w:val="right" w:leader="dot" w:pos="9062"/>
        </w:tabs>
        <w:ind w:left="440"/>
      </w:pPr>
      <w:hyperlink w:anchor="_Toc4322" w:history="1">
        <w:r>
          <w:rPr>
            <w:rFonts w:ascii="IRNazanin" w:hAnsi="IRNazanin" w:eastAsia="IRNazanin" w:cs="IRNazanin"/>
            <w:color w:val="111111"/>
            <w:sz w:val="22"/>
            <w:szCs w:val="22"/>
            <w:b w:val="0"/>
            <w:bCs w:val="0"/>
            <w:i w:val="0"/>
            <w:iCs w:val="0"/>
          </w:rPr>
          <w:t>3240- دیوان الشیخ صالح الکواز</w:t>
        </w:r>
        <w:r>
          <w:tab/>
        </w:r>
        <w:r>
          <w:fldChar w:fldCharType="begin"/>
        </w:r>
        <w:r>
          <w:instrText xml:space="preserve">PAGEREF 4322 \h</w:instrText>
        </w:r>
        <w:r>
          <w:fldChar w:fldCharType="end"/>
        </w:r>
      </w:hyperlink>
    </w:p>
    <w:p>
      <w:pPr>
        <w:tabs>
          <w:tab w:val="right" w:leader="dot" w:pos="9062"/>
        </w:tabs>
        <w:ind w:left="440"/>
      </w:pPr>
      <w:hyperlink w:anchor="_Toc4323" w:history="1">
        <w:r>
          <w:rPr>
            <w:rFonts w:ascii="IRNazanin" w:hAnsi="IRNazanin" w:eastAsia="IRNazanin" w:cs="IRNazanin"/>
            <w:color w:val="111111"/>
            <w:sz w:val="22"/>
            <w:szCs w:val="22"/>
            <w:b w:val="0"/>
            <w:bCs w:val="0"/>
            <w:i w:val="0"/>
            <w:iCs w:val="0"/>
          </w:rPr>
          <w:t>دیوان صالح لاهیجی‏</w:t>
        </w:r>
        <w:r>
          <w:tab/>
        </w:r>
        <w:r>
          <w:fldChar w:fldCharType="begin"/>
        </w:r>
        <w:r>
          <w:instrText xml:space="preserve">PAGEREF 4323 \h</w:instrText>
        </w:r>
        <w:r>
          <w:fldChar w:fldCharType="end"/>
        </w:r>
      </w:hyperlink>
    </w:p>
    <w:p>
      <w:pPr>
        <w:tabs>
          <w:tab w:val="right" w:leader="dot" w:pos="9062"/>
        </w:tabs>
        <w:ind w:left="440"/>
      </w:pPr>
      <w:hyperlink w:anchor="_Toc4324" w:history="1">
        <w:r>
          <w:rPr>
            <w:rFonts w:ascii="IRNazanin" w:hAnsi="IRNazanin" w:eastAsia="IRNazanin" w:cs="IRNazanin"/>
            <w:color w:val="111111"/>
            <w:sz w:val="22"/>
            <w:szCs w:val="22"/>
            <w:b w:val="0"/>
            <w:bCs w:val="0"/>
            <w:i w:val="0"/>
            <w:iCs w:val="0"/>
          </w:rPr>
          <w:t>3241- دیوان الشیخ محمد صالح المازندرانی‏</w:t>
        </w:r>
        <w:r>
          <w:tab/>
        </w:r>
        <w:r>
          <w:fldChar w:fldCharType="begin"/>
        </w:r>
        <w:r>
          <w:instrText xml:space="preserve">PAGEREF 4324 \h</w:instrText>
        </w:r>
        <w:r>
          <w:fldChar w:fldCharType="end"/>
        </w:r>
      </w:hyperlink>
    </w:p>
    <w:p>
      <w:pPr>
        <w:tabs>
          <w:tab w:val="right" w:leader="dot" w:pos="9062"/>
        </w:tabs>
        <w:ind w:left="440"/>
      </w:pPr>
      <w:hyperlink w:anchor="_Toc4325" w:history="1">
        <w:r>
          <w:rPr>
            <w:rFonts w:ascii="IRNazanin" w:hAnsi="IRNazanin" w:eastAsia="IRNazanin" w:cs="IRNazanin"/>
            <w:color w:val="111111"/>
            <w:sz w:val="22"/>
            <w:szCs w:val="22"/>
            <w:b w:val="0"/>
            <w:bCs w:val="0"/>
            <w:i w:val="0"/>
            <w:iCs w:val="0"/>
          </w:rPr>
          <w:t>3242- دیوان الشیخ محمد صالح‏</w:t>
        </w:r>
        <w:r>
          <w:tab/>
        </w:r>
        <w:r>
          <w:fldChar w:fldCharType="begin"/>
        </w:r>
        <w:r>
          <w:instrText xml:space="preserve">PAGEREF 4325 \h</w:instrText>
        </w:r>
        <w:r>
          <w:fldChar w:fldCharType="end"/>
        </w:r>
      </w:hyperlink>
    </w:p>
    <w:p>
      <w:pPr>
        <w:tabs>
          <w:tab w:val="right" w:leader="dot" w:pos="9062"/>
        </w:tabs>
        <w:ind w:left="440"/>
      </w:pPr>
      <w:hyperlink w:anchor="_Toc4326" w:history="1">
        <w:r>
          <w:rPr>
            <w:rFonts w:ascii="IRNazanin" w:hAnsi="IRNazanin" w:eastAsia="IRNazanin" w:cs="IRNazanin"/>
            <w:color w:val="111111"/>
            <w:sz w:val="22"/>
            <w:szCs w:val="22"/>
            <w:b w:val="0"/>
            <w:bCs w:val="0"/>
            <w:i w:val="0"/>
            <w:iCs w:val="0"/>
          </w:rPr>
          <w:t>دیوان صالح مشهدی أو شعره‏</w:t>
        </w:r>
        <w:r>
          <w:tab/>
        </w:r>
        <w:r>
          <w:fldChar w:fldCharType="begin"/>
        </w:r>
        <w:r>
          <w:instrText xml:space="preserve">PAGEREF 4326 \h</w:instrText>
        </w:r>
        <w:r>
          <w:fldChar w:fldCharType="end"/>
        </w:r>
      </w:hyperlink>
    </w:p>
    <w:p>
      <w:pPr>
        <w:tabs>
          <w:tab w:val="right" w:leader="dot" w:pos="9062"/>
        </w:tabs>
        <w:ind w:left="440"/>
      </w:pPr>
      <w:hyperlink w:anchor="_Toc4327" w:history="1">
        <w:r>
          <w:rPr>
            <w:rFonts w:ascii="IRNazanin" w:hAnsi="IRNazanin" w:eastAsia="IRNazanin" w:cs="IRNazanin"/>
            <w:color w:val="111111"/>
            <w:sz w:val="22"/>
            <w:szCs w:val="22"/>
            <w:b w:val="0"/>
            <w:bCs w:val="0"/>
            <w:i w:val="0"/>
            <w:iCs w:val="0"/>
          </w:rPr>
          <w:t>3243- دیوان صالح ملهم أو شعره‏</w:t>
        </w:r>
        <w:r>
          <w:tab/>
        </w:r>
        <w:r>
          <w:fldChar w:fldCharType="begin"/>
        </w:r>
        <w:r>
          <w:instrText xml:space="preserve">PAGEREF 4327 \h</w:instrText>
        </w:r>
        <w:r>
          <w:fldChar w:fldCharType="end"/>
        </w:r>
      </w:hyperlink>
    </w:p>
    <w:p>
      <w:pPr>
        <w:tabs>
          <w:tab w:val="right" w:leader="dot" w:pos="9062"/>
        </w:tabs>
        <w:ind w:left="440"/>
      </w:pPr>
      <w:hyperlink w:anchor="_Toc4328" w:history="1">
        <w:r>
          <w:rPr>
            <w:rFonts w:ascii="IRNazanin" w:hAnsi="IRNazanin" w:eastAsia="IRNazanin" w:cs="IRNazanin"/>
            <w:color w:val="111111"/>
            <w:sz w:val="22"/>
            <w:szCs w:val="22"/>
            <w:b w:val="0"/>
            <w:bCs w:val="0"/>
            <w:i w:val="0"/>
            <w:iCs w:val="0"/>
          </w:rPr>
          <w:t>3244- دیوان صالح منشی أو شعره‏</w:t>
        </w:r>
        <w:r>
          <w:tab/>
        </w:r>
        <w:r>
          <w:fldChar w:fldCharType="begin"/>
        </w:r>
        <w:r>
          <w:instrText xml:space="preserve">PAGEREF 4328 \h</w:instrText>
        </w:r>
        <w:r>
          <w:fldChar w:fldCharType="end"/>
        </w:r>
      </w:hyperlink>
    </w:p>
    <w:p>
      <w:pPr>
        <w:tabs>
          <w:tab w:val="right" w:leader="dot" w:pos="9062"/>
        </w:tabs>
        <w:ind w:left="440"/>
      </w:pPr>
      <w:hyperlink w:anchor="_Toc4329" w:history="1">
        <w:r>
          <w:rPr>
            <w:rFonts w:ascii="IRNazanin" w:hAnsi="IRNazanin" w:eastAsia="IRNazanin" w:cs="IRNazanin"/>
            <w:color w:val="111111"/>
            <w:sz w:val="22"/>
            <w:szCs w:val="22"/>
            <w:b w:val="0"/>
            <w:bCs w:val="0"/>
            <w:i w:val="0"/>
            <w:iCs w:val="0"/>
          </w:rPr>
          <w:t>3245- دیوان صالح نصرآبادی‏</w:t>
        </w:r>
        <w:r>
          <w:tab/>
        </w:r>
        <w:r>
          <w:fldChar w:fldCharType="begin"/>
        </w:r>
        <w:r>
          <w:instrText xml:space="preserve">PAGEREF 4329 \h</w:instrText>
        </w:r>
        <w:r>
          <w:fldChar w:fldCharType="end"/>
        </w:r>
      </w:hyperlink>
    </w:p>
    <w:p>
      <w:pPr>
        <w:tabs>
          <w:tab w:val="right" w:leader="dot" w:pos="9062"/>
        </w:tabs>
        <w:ind w:left="440"/>
      </w:pPr>
      <w:hyperlink w:anchor="_Toc4330" w:history="1">
        <w:r>
          <w:rPr>
            <w:rFonts w:ascii="IRNazanin" w:hAnsi="IRNazanin" w:eastAsia="IRNazanin" w:cs="IRNazanin"/>
            <w:color w:val="111111"/>
            <w:sz w:val="22"/>
            <w:szCs w:val="22"/>
            <w:b w:val="0"/>
            <w:bCs w:val="0"/>
            <w:i w:val="0"/>
            <w:iCs w:val="0"/>
          </w:rPr>
          <w:t>دیوان صالح هروی‏</w:t>
        </w:r>
        <w:r>
          <w:tab/>
        </w:r>
        <w:r>
          <w:fldChar w:fldCharType="begin"/>
        </w:r>
        <w:r>
          <w:instrText xml:space="preserve">PAGEREF 4330 \h</w:instrText>
        </w:r>
        <w:r>
          <w:fldChar w:fldCharType="end"/>
        </w:r>
      </w:hyperlink>
    </w:p>
    <w:p>
      <w:pPr>
        <w:tabs>
          <w:tab w:val="right" w:leader="dot" w:pos="9062"/>
        </w:tabs>
        <w:ind w:left="440"/>
      </w:pPr>
      <w:hyperlink w:anchor="_Toc4331" w:history="1">
        <w:r>
          <w:rPr>
            <w:rFonts w:ascii="IRNazanin" w:hAnsi="IRNazanin" w:eastAsia="IRNazanin" w:cs="IRNazanin"/>
            <w:color w:val="111111"/>
            <w:sz w:val="22"/>
            <w:szCs w:val="22"/>
            <w:b w:val="0"/>
            <w:bCs w:val="0"/>
            <w:i w:val="0"/>
            <w:iCs w:val="0"/>
          </w:rPr>
          <w:t>دیوان صالحی خراسانی‏</w:t>
        </w:r>
        <w:r>
          <w:tab/>
        </w:r>
        <w:r>
          <w:fldChar w:fldCharType="begin"/>
        </w:r>
        <w:r>
          <w:instrText xml:space="preserve">PAGEREF 4331 \h</w:instrText>
        </w:r>
        <w:r>
          <w:fldChar w:fldCharType="end"/>
        </w:r>
      </w:hyperlink>
    </w:p>
    <w:p>
      <w:pPr>
        <w:tabs>
          <w:tab w:val="right" w:leader="dot" w:pos="9062"/>
        </w:tabs>
        <w:ind w:left="440"/>
      </w:pPr>
      <w:hyperlink w:anchor="_Toc4332" w:history="1">
        <w:r>
          <w:rPr>
            <w:rFonts w:ascii="IRNazanin" w:hAnsi="IRNazanin" w:eastAsia="IRNazanin" w:cs="IRNazanin"/>
            <w:color w:val="111111"/>
            <w:sz w:val="22"/>
            <w:szCs w:val="22"/>
            <w:b w:val="0"/>
            <w:bCs w:val="0"/>
            <w:i w:val="0"/>
            <w:iCs w:val="0"/>
          </w:rPr>
          <w:t>دیوان صالحی کتاب دار</w:t>
        </w:r>
        <w:r>
          <w:tab/>
        </w:r>
        <w:r>
          <w:fldChar w:fldCharType="begin"/>
        </w:r>
        <w:r>
          <w:instrText xml:space="preserve">PAGEREF 4332 \h</w:instrText>
        </w:r>
        <w:r>
          <w:fldChar w:fldCharType="end"/>
        </w:r>
      </w:hyperlink>
    </w:p>
    <w:p>
      <w:pPr>
        <w:tabs>
          <w:tab w:val="right" w:leader="dot" w:pos="9062"/>
        </w:tabs>
        <w:ind w:left="440"/>
      </w:pPr>
      <w:hyperlink w:anchor="_Toc4333" w:history="1">
        <w:r>
          <w:rPr>
            <w:rFonts w:ascii="IRNazanin" w:hAnsi="IRNazanin" w:eastAsia="IRNazanin" w:cs="IRNazanin"/>
            <w:color w:val="111111"/>
            <w:sz w:val="22"/>
            <w:szCs w:val="22"/>
            <w:b w:val="0"/>
            <w:bCs w:val="0"/>
            <w:i w:val="0"/>
            <w:iCs w:val="0"/>
          </w:rPr>
          <w:t>دیوان صالحی کرمانی‏</w:t>
        </w:r>
        <w:r>
          <w:tab/>
        </w:r>
        <w:r>
          <w:fldChar w:fldCharType="begin"/>
        </w:r>
        <w:r>
          <w:instrText xml:space="preserve">PAGEREF 4333 \h</w:instrText>
        </w:r>
        <w:r>
          <w:fldChar w:fldCharType="end"/>
        </w:r>
      </w:hyperlink>
    </w:p>
    <w:p>
      <w:pPr>
        <w:tabs>
          <w:tab w:val="right" w:leader="dot" w:pos="9062"/>
        </w:tabs>
        <w:ind w:left="440"/>
      </w:pPr>
      <w:hyperlink w:anchor="_Toc4334" w:history="1">
        <w:r>
          <w:rPr>
            <w:rFonts w:ascii="IRNazanin" w:hAnsi="IRNazanin" w:eastAsia="IRNazanin" w:cs="IRNazanin"/>
            <w:color w:val="111111"/>
            <w:sz w:val="22"/>
            <w:szCs w:val="22"/>
            <w:b w:val="0"/>
            <w:bCs w:val="0"/>
            <w:i w:val="0"/>
            <w:iCs w:val="0"/>
          </w:rPr>
          <w:t>3246- دیوان صالحی مشهدی أو شعره‏</w:t>
        </w:r>
        <w:r>
          <w:tab/>
        </w:r>
        <w:r>
          <w:fldChar w:fldCharType="begin"/>
        </w:r>
        <w:r>
          <w:instrText xml:space="preserve">PAGEREF 4334 \h</w:instrText>
        </w:r>
        <w:r>
          <w:fldChar w:fldCharType="end"/>
        </w:r>
      </w:hyperlink>
    </w:p>
    <w:p>
      <w:pPr>
        <w:tabs>
          <w:tab w:val="right" w:leader="dot" w:pos="9062"/>
        </w:tabs>
        <w:ind w:left="440"/>
      </w:pPr>
      <w:hyperlink w:anchor="_Toc4335" w:history="1">
        <w:r>
          <w:rPr>
            <w:rFonts w:ascii="IRNazanin" w:hAnsi="IRNazanin" w:eastAsia="IRNazanin" w:cs="IRNazanin"/>
            <w:color w:val="111111"/>
            <w:sz w:val="22"/>
            <w:szCs w:val="22"/>
            <w:b w:val="0"/>
            <w:bCs w:val="0"/>
            <w:i w:val="0"/>
            <w:iCs w:val="0"/>
          </w:rPr>
          <w:t>3247- دیوان صالی أردستانی أو شعره‏</w:t>
        </w:r>
        <w:r>
          <w:tab/>
        </w:r>
        <w:r>
          <w:fldChar w:fldCharType="begin"/>
        </w:r>
        <w:r>
          <w:instrText xml:space="preserve">PAGEREF 4335 \h</w:instrText>
        </w:r>
        <w:r>
          <w:fldChar w:fldCharType="end"/>
        </w:r>
      </w:hyperlink>
    </w:p>
    <w:p>
      <w:pPr>
        <w:tabs>
          <w:tab w:val="right" w:leader="dot" w:pos="9062"/>
        </w:tabs>
        <w:ind w:left="440"/>
      </w:pPr>
      <w:hyperlink w:anchor="_Toc4336" w:history="1">
        <w:r>
          <w:rPr>
            <w:rFonts w:ascii="IRNazanin" w:hAnsi="IRNazanin" w:eastAsia="IRNazanin" w:cs="IRNazanin"/>
            <w:color w:val="111111"/>
            <w:sz w:val="22"/>
            <w:szCs w:val="22"/>
            <w:b w:val="0"/>
            <w:bCs w:val="0"/>
            <w:i w:val="0"/>
            <w:iCs w:val="0"/>
          </w:rPr>
          <w:t>3248- دیوان صامت أصفهانی‏</w:t>
        </w:r>
        <w:r>
          <w:tab/>
        </w:r>
        <w:r>
          <w:fldChar w:fldCharType="begin"/>
        </w:r>
        <w:r>
          <w:instrText xml:space="preserve">PAGEREF 4336 \h</w:instrText>
        </w:r>
        <w:r>
          <w:fldChar w:fldCharType="end"/>
        </w:r>
      </w:hyperlink>
    </w:p>
    <w:p>
      <w:pPr>
        <w:tabs>
          <w:tab w:val="right" w:leader="dot" w:pos="9062"/>
        </w:tabs>
        <w:ind w:left="440"/>
      </w:pPr>
      <w:hyperlink w:anchor="_Toc4337" w:history="1">
        <w:r>
          <w:rPr>
            <w:rFonts w:ascii="IRNazanin" w:hAnsi="IRNazanin" w:eastAsia="IRNazanin" w:cs="IRNazanin"/>
            <w:color w:val="111111"/>
            <w:sz w:val="22"/>
            <w:szCs w:val="22"/>
            <w:b w:val="0"/>
            <w:bCs w:val="0"/>
            <w:i w:val="0"/>
            <w:iCs w:val="0"/>
          </w:rPr>
          <w:t>3249- دیوان صامت بروجردی‏</w:t>
        </w:r>
        <w:r>
          <w:tab/>
        </w:r>
        <w:r>
          <w:fldChar w:fldCharType="begin"/>
        </w:r>
        <w:r>
          <w:instrText xml:space="preserve">PAGEREF 4337 \h</w:instrText>
        </w:r>
        <w:r>
          <w:fldChar w:fldCharType="end"/>
        </w:r>
      </w:hyperlink>
    </w:p>
    <w:p>
      <w:pPr>
        <w:tabs>
          <w:tab w:val="right" w:leader="dot" w:pos="9062"/>
        </w:tabs>
        <w:ind w:left="440"/>
      </w:pPr>
      <w:hyperlink w:anchor="_Toc4338" w:history="1">
        <w:r>
          <w:rPr>
            <w:rFonts w:ascii="IRNazanin" w:hAnsi="IRNazanin" w:eastAsia="IRNazanin" w:cs="IRNazanin"/>
            <w:color w:val="111111"/>
            <w:sz w:val="22"/>
            <w:szCs w:val="22"/>
            <w:b w:val="0"/>
            <w:bCs w:val="0"/>
            <w:i w:val="0"/>
            <w:iCs w:val="0"/>
          </w:rPr>
          <w:t>3250- دیوان صانع بلگرامی أو شعره‏</w:t>
        </w:r>
        <w:r>
          <w:tab/>
        </w:r>
        <w:r>
          <w:fldChar w:fldCharType="begin"/>
        </w:r>
        <w:r>
          <w:instrText xml:space="preserve">PAGEREF 4338 \h</w:instrText>
        </w:r>
        <w:r>
          <w:fldChar w:fldCharType="end"/>
        </w:r>
      </w:hyperlink>
    </w:p>
    <w:p>
      <w:pPr>
        <w:tabs>
          <w:tab w:val="right" w:leader="dot" w:pos="9062"/>
        </w:tabs>
        <w:ind w:left="440"/>
      </w:pPr>
      <w:hyperlink w:anchor="_Toc4339" w:history="1">
        <w:r>
          <w:rPr>
            <w:rFonts w:ascii="IRNazanin" w:hAnsi="IRNazanin" w:eastAsia="IRNazanin" w:cs="IRNazanin"/>
            <w:color w:val="111111"/>
            <w:sz w:val="22"/>
            <w:szCs w:val="22"/>
            <w:b w:val="0"/>
            <w:bCs w:val="0"/>
            <w:i w:val="0"/>
            <w:iCs w:val="0"/>
          </w:rPr>
          <w:t>3251- دیوان صانع شاه‏جهان‏آبادی أو شعره‏</w:t>
        </w:r>
        <w:r>
          <w:tab/>
        </w:r>
        <w:r>
          <w:fldChar w:fldCharType="begin"/>
        </w:r>
        <w:r>
          <w:instrText xml:space="preserve">PAGEREF 4339 \h</w:instrText>
        </w:r>
        <w:r>
          <w:fldChar w:fldCharType="end"/>
        </w:r>
      </w:hyperlink>
    </w:p>
    <w:p>
      <w:pPr>
        <w:tabs>
          <w:tab w:val="right" w:leader="dot" w:pos="9062"/>
        </w:tabs>
        <w:ind w:left="440"/>
      </w:pPr>
      <w:hyperlink w:anchor="_Toc4340" w:history="1">
        <w:r>
          <w:rPr>
            <w:rFonts w:ascii="IRNazanin" w:hAnsi="IRNazanin" w:eastAsia="IRNazanin" w:cs="IRNazanin"/>
            <w:color w:val="111111"/>
            <w:sz w:val="22"/>
            <w:szCs w:val="22"/>
            <w:b w:val="0"/>
            <w:bCs w:val="0"/>
            <w:i w:val="0"/>
            <w:iCs w:val="0"/>
          </w:rPr>
          <w:t>3252- دیوان صانعی أو شعره‏</w:t>
        </w:r>
        <w:r>
          <w:tab/>
        </w:r>
        <w:r>
          <w:fldChar w:fldCharType="begin"/>
        </w:r>
        <w:r>
          <w:instrText xml:space="preserve">PAGEREF 4340 \h</w:instrText>
        </w:r>
        <w:r>
          <w:fldChar w:fldCharType="end"/>
        </w:r>
      </w:hyperlink>
    </w:p>
    <w:p>
      <w:pPr>
        <w:tabs>
          <w:tab w:val="right" w:leader="dot" w:pos="9062"/>
        </w:tabs>
        <w:ind w:left="440"/>
      </w:pPr>
      <w:hyperlink w:anchor="_Toc4341" w:history="1">
        <w:r>
          <w:rPr>
            <w:rFonts w:ascii="IRNazanin" w:hAnsi="IRNazanin" w:eastAsia="IRNazanin" w:cs="IRNazanin"/>
            <w:color w:val="111111"/>
            <w:sz w:val="22"/>
            <w:szCs w:val="22"/>
            <w:b w:val="0"/>
            <w:bCs w:val="0"/>
            <w:i w:val="0"/>
            <w:iCs w:val="0"/>
          </w:rPr>
          <w:t>3253- دیوان صانعی باخرزی أو شعره‏</w:t>
        </w:r>
        <w:r>
          <w:tab/>
        </w:r>
        <w:r>
          <w:fldChar w:fldCharType="begin"/>
        </w:r>
        <w:r>
          <w:instrText xml:space="preserve">PAGEREF 4341 \h</w:instrText>
        </w:r>
        <w:r>
          <w:fldChar w:fldCharType="end"/>
        </w:r>
      </w:hyperlink>
    </w:p>
    <w:p>
      <w:pPr>
        <w:tabs>
          <w:tab w:val="right" w:leader="dot" w:pos="9062"/>
        </w:tabs>
        <w:ind w:left="440"/>
      </w:pPr>
      <w:hyperlink w:anchor="_Toc4342" w:history="1">
        <w:r>
          <w:rPr>
            <w:rFonts w:ascii="IRNazanin" w:hAnsi="IRNazanin" w:eastAsia="IRNazanin" w:cs="IRNazanin"/>
            <w:color w:val="111111"/>
            <w:sz w:val="22"/>
            <w:szCs w:val="22"/>
            <w:b w:val="0"/>
            <w:bCs w:val="0"/>
            <w:i w:val="0"/>
            <w:iCs w:val="0"/>
          </w:rPr>
          <w:t>دیوان صائغ‏</w:t>
        </w:r>
        <w:r>
          <w:tab/>
        </w:r>
        <w:r>
          <w:fldChar w:fldCharType="begin"/>
        </w:r>
        <w:r>
          <w:instrText xml:space="preserve">PAGEREF 4342 \h</w:instrText>
        </w:r>
        <w:r>
          <w:fldChar w:fldCharType="end"/>
        </w:r>
      </w:hyperlink>
    </w:p>
    <w:p>
      <w:pPr>
        <w:tabs>
          <w:tab w:val="right" w:leader="dot" w:pos="9062"/>
        </w:tabs>
        <w:ind w:left="440"/>
      </w:pPr>
      <w:hyperlink w:anchor="_Toc4343" w:history="1">
        <w:r>
          <w:rPr>
            <w:rFonts w:ascii="IRNazanin" w:hAnsi="IRNazanin" w:eastAsia="IRNazanin" w:cs="IRNazanin"/>
            <w:color w:val="111111"/>
            <w:sz w:val="22"/>
            <w:szCs w:val="22"/>
            <w:b w:val="0"/>
            <w:bCs w:val="0"/>
            <w:i w:val="0"/>
            <w:iCs w:val="0"/>
          </w:rPr>
          <w:t>دیوان صائن‏</w:t>
        </w:r>
        <w:r>
          <w:tab/>
        </w:r>
        <w:r>
          <w:fldChar w:fldCharType="begin"/>
        </w:r>
        <w:r>
          <w:instrText xml:space="preserve">PAGEREF 4343 \h</w:instrText>
        </w:r>
        <w:r>
          <w:fldChar w:fldCharType="end"/>
        </w:r>
      </w:hyperlink>
    </w:p>
    <w:p>
      <w:pPr>
        <w:tabs>
          <w:tab w:val="right" w:leader="dot" w:pos="9062"/>
        </w:tabs>
        <w:ind w:left="440"/>
      </w:pPr>
      <w:hyperlink w:anchor="_Toc4344" w:history="1">
        <w:r>
          <w:rPr>
            <w:rFonts w:ascii="IRNazanin" w:hAnsi="IRNazanin" w:eastAsia="IRNazanin" w:cs="IRNazanin"/>
            <w:color w:val="111111"/>
            <w:sz w:val="22"/>
            <w:szCs w:val="22"/>
            <w:b w:val="0"/>
            <w:bCs w:val="0"/>
            <w:i w:val="0"/>
            <w:iCs w:val="0"/>
          </w:rPr>
          <w:t>3254- دیوان الصبابة</w:t>
        </w:r>
        <w:r>
          <w:tab/>
        </w:r>
        <w:r>
          <w:fldChar w:fldCharType="begin"/>
        </w:r>
        <w:r>
          <w:instrText xml:space="preserve">PAGEREF 4344 \h</w:instrText>
        </w:r>
        <w:r>
          <w:fldChar w:fldCharType="end"/>
        </w:r>
      </w:hyperlink>
    </w:p>
    <w:p>
      <w:pPr>
        <w:tabs>
          <w:tab w:val="right" w:leader="dot" w:pos="9062"/>
        </w:tabs>
        <w:ind w:left="440"/>
      </w:pPr>
      <w:hyperlink w:anchor="_Toc4345" w:history="1">
        <w:r>
          <w:rPr>
            <w:rFonts w:ascii="IRNazanin" w:hAnsi="IRNazanin" w:eastAsia="IRNazanin" w:cs="IRNazanin"/>
            <w:color w:val="111111"/>
            <w:sz w:val="22"/>
            <w:szCs w:val="22"/>
            <w:b w:val="0"/>
            <w:bCs w:val="0"/>
            <w:i w:val="0"/>
            <w:iCs w:val="0"/>
          </w:rPr>
          <w:t>3255- دیوان صباحی کاشانی‏</w:t>
        </w:r>
        <w:r>
          <w:tab/>
        </w:r>
        <w:r>
          <w:fldChar w:fldCharType="begin"/>
        </w:r>
        <w:r>
          <w:instrText xml:space="preserve">PAGEREF 4345 \h</w:instrText>
        </w:r>
        <w:r>
          <w:fldChar w:fldCharType="end"/>
        </w:r>
      </w:hyperlink>
    </w:p>
    <w:p>
      <w:pPr>
        <w:tabs>
          <w:tab w:val="right" w:leader="dot" w:pos="9062"/>
        </w:tabs>
        <w:ind w:left="440"/>
      </w:pPr>
      <w:hyperlink w:anchor="_Toc4346" w:history="1">
        <w:r>
          <w:rPr>
            <w:rFonts w:ascii="IRNazanin" w:hAnsi="IRNazanin" w:eastAsia="IRNazanin" w:cs="IRNazanin"/>
            <w:color w:val="111111"/>
            <w:sz w:val="22"/>
            <w:szCs w:val="22"/>
            <w:b w:val="0"/>
            <w:bCs w:val="0"/>
            <w:i w:val="0"/>
            <w:iCs w:val="0"/>
          </w:rPr>
          <w:t>3256- دیوان صبای شیرازی أو شعره‏</w:t>
        </w:r>
        <w:r>
          <w:tab/>
        </w:r>
        <w:r>
          <w:fldChar w:fldCharType="begin"/>
        </w:r>
        <w:r>
          <w:instrText xml:space="preserve">PAGEREF 4346 \h</w:instrText>
        </w:r>
        <w:r>
          <w:fldChar w:fldCharType="end"/>
        </w:r>
      </w:hyperlink>
    </w:p>
    <w:p>
      <w:pPr>
        <w:tabs>
          <w:tab w:val="right" w:leader="dot" w:pos="9062"/>
        </w:tabs>
        <w:ind w:left="440"/>
      </w:pPr>
      <w:hyperlink w:anchor="_Toc4347" w:history="1">
        <w:r>
          <w:rPr>
            <w:rFonts w:ascii="IRNazanin" w:hAnsi="IRNazanin" w:eastAsia="IRNazanin" w:cs="IRNazanin"/>
            <w:color w:val="111111"/>
            <w:sz w:val="22"/>
            <w:szCs w:val="22"/>
            <w:b w:val="0"/>
            <w:bCs w:val="0"/>
            <w:i w:val="0"/>
            <w:iCs w:val="0"/>
          </w:rPr>
          <w:t>3257- دیوان صبای طهرانی أو شعره‏</w:t>
        </w:r>
        <w:r>
          <w:tab/>
        </w:r>
        <w:r>
          <w:fldChar w:fldCharType="begin"/>
        </w:r>
        <w:r>
          <w:instrText xml:space="preserve">PAGEREF 4347 \h</w:instrText>
        </w:r>
        <w:r>
          <w:fldChar w:fldCharType="end"/>
        </w:r>
      </w:hyperlink>
    </w:p>
    <w:p>
      <w:pPr>
        <w:tabs>
          <w:tab w:val="right" w:leader="dot" w:pos="9062"/>
        </w:tabs>
        <w:ind w:left="440"/>
      </w:pPr>
      <w:hyperlink w:anchor="_Toc4348" w:history="1">
        <w:r>
          <w:rPr>
            <w:rFonts w:ascii="IRNazanin" w:hAnsi="IRNazanin" w:eastAsia="IRNazanin" w:cs="IRNazanin"/>
            <w:color w:val="111111"/>
            <w:sz w:val="22"/>
            <w:szCs w:val="22"/>
            <w:b w:val="0"/>
            <w:bCs w:val="0"/>
            <w:i w:val="0"/>
            <w:iCs w:val="0"/>
          </w:rPr>
          <w:t>3258- دیوان صبای طهرانی أو شعره‏</w:t>
        </w:r>
        <w:r>
          <w:tab/>
        </w:r>
        <w:r>
          <w:fldChar w:fldCharType="begin"/>
        </w:r>
        <w:r>
          <w:instrText xml:space="preserve">PAGEREF 4348 \h</w:instrText>
        </w:r>
        <w:r>
          <w:fldChar w:fldCharType="end"/>
        </w:r>
      </w:hyperlink>
    </w:p>
    <w:p>
      <w:pPr>
        <w:tabs>
          <w:tab w:val="right" w:leader="dot" w:pos="9062"/>
        </w:tabs>
        <w:ind w:left="440"/>
      </w:pPr>
      <w:hyperlink w:anchor="_Toc4349" w:history="1">
        <w:r>
          <w:rPr>
            <w:rFonts w:ascii="IRNazanin" w:hAnsi="IRNazanin" w:eastAsia="IRNazanin" w:cs="IRNazanin"/>
            <w:color w:val="111111"/>
            <w:sz w:val="22"/>
            <w:szCs w:val="22"/>
            <w:b w:val="0"/>
            <w:bCs w:val="0"/>
            <w:i w:val="0"/>
            <w:iCs w:val="0"/>
          </w:rPr>
          <w:t>3259- دیوان صبای کاشانی‏</w:t>
        </w:r>
        <w:r>
          <w:tab/>
        </w:r>
        <w:r>
          <w:fldChar w:fldCharType="begin"/>
        </w:r>
        <w:r>
          <w:instrText xml:space="preserve">PAGEREF 4349 \h</w:instrText>
        </w:r>
        <w:r>
          <w:fldChar w:fldCharType="end"/>
        </w:r>
      </w:hyperlink>
    </w:p>
    <w:p>
      <w:pPr>
        <w:tabs>
          <w:tab w:val="right" w:leader="dot" w:pos="9062"/>
        </w:tabs>
        <w:ind w:left="440"/>
      </w:pPr>
      <w:hyperlink w:anchor="_Toc4350" w:history="1">
        <w:r>
          <w:rPr>
            <w:rFonts w:ascii="IRNazanin" w:hAnsi="IRNazanin" w:eastAsia="IRNazanin" w:cs="IRNazanin"/>
            <w:color w:val="111111"/>
            <w:sz w:val="22"/>
            <w:szCs w:val="22"/>
            <w:b w:val="0"/>
            <w:bCs w:val="0"/>
            <w:i w:val="0"/>
            <w:iCs w:val="0"/>
          </w:rPr>
          <w:t>3260- دیوان صبای هندی‏</w:t>
        </w:r>
        <w:r>
          <w:tab/>
        </w:r>
        <w:r>
          <w:fldChar w:fldCharType="begin"/>
        </w:r>
        <w:r>
          <w:instrText xml:space="preserve">PAGEREF 4350 \h</w:instrText>
        </w:r>
        <w:r>
          <w:fldChar w:fldCharType="end"/>
        </w:r>
      </w:hyperlink>
    </w:p>
    <w:p>
      <w:pPr>
        <w:tabs>
          <w:tab w:val="right" w:leader="dot" w:pos="9062"/>
        </w:tabs>
        <w:ind w:left="440"/>
      </w:pPr>
      <w:hyperlink w:anchor="_Toc4351" w:history="1">
        <w:r>
          <w:rPr>
            <w:rFonts w:ascii="IRNazanin" w:hAnsi="IRNazanin" w:eastAsia="IRNazanin" w:cs="IRNazanin"/>
            <w:color w:val="111111"/>
            <w:sz w:val="22"/>
            <w:szCs w:val="22"/>
            <w:b w:val="0"/>
            <w:bCs w:val="0"/>
            <w:i w:val="0"/>
            <w:iCs w:val="0"/>
          </w:rPr>
          <w:t>4261- دیوان صبحی أوبهی أو شعره‏</w:t>
        </w:r>
        <w:r>
          <w:tab/>
        </w:r>
        <w:r>
          <w:fldChar w:fldCharType="begin"/>
        </w:r>
        <w:r>
          <w:instrText xml:space="preserve">PAGEREF 4351 \h</w:instrText>
        </w:r>
        <w:r>
          <w:fldChar w:fldCharType="end"/>
        </w:r>
      </w:hyperlink>
    </w:p>
    <w:p>
      <w:pPr>
        <w:tabs>
          <w:tab w:val="right" w:leader="dot" w:pos="9062"/>
        </w:tabs>
        <w:ind w:left="440"/>
      </w:pPr>
      <w:hyperlink w:anchor="_Toc4352" w:history="1">
        <w:r>
          <w:rPr>
            <w:rFonts w:ascii="IRNazanin" w:hAnsi="IRNazanin" w:eastAsia="IRNazanin" w:cs="IRNazanin"/>
            <w:color w:val="111111"/>
            <w:sz w:val="22"/>
            <w:szCs w:val="22"/>
            <w:b w:val="0"/>
            <w:bCs w:val="0"/>
            <w:i w:val="0"/>
            <w:iCs w:val="0"/>
          </w:rPr>
          <w:t>4262- دیوان صبحی تویسرکانی أو شعره‏</w:t>
        </w:r>
        <w:r>
          <w:tab/>
        </w:r>
        <w:r>
          <w:fldChar w:fldCharType="begin"/>
        </w:r>
        <w:r>
          <w:instrText xml:space="preserve">PAGEREF 4352 \h</w:instrText>
        </w:r>
        <w:r>
          <w:fldChar w:fldCharType="end"/>
        </w:r>
      </w:hyperlink>
    </w:p>
    <w:p>
      <w:pPr>
        <w:tabs>
          <w:tab w:val="right" w:leader="dot" w:pos="9062"/>
        </w:tabs>
        <w:ind w:left="440"/>
      </w:pPr>
      <w:hyperlink w:anchor="_Toc4353" w:history="1">
        <w:r>
          <w:rPr>
            <w:rFonts w:ascii="IRNazanin" w:hAnsi="IRNazanin" w:eastAsia="IRNazanin" w:cs="IRNazanin"/>
            <w:color w:val="111111"/>
            <w:sz w:val="22"/>
            <w:szCs w:val="22"/>
            <w:b w:val="0"/>
            <w:bCs w:val="0"/>
            <w:i w:val="0"/>
            <w:iCs w:val="0"/>
          </w:rPr>
          <w:t>4263- دیوان صبحی ساوجی أو شعره‏</w:t>
        </w:r>
        <w:r>
          <w:tab/>
        </w:r>
        <w:r>
          <w:fldChar w:fldCharType="begin"/>
        </w:r>
        <w:r>
          <w:instrText xml:space="preserve">PAGEREF 4353 \h</w:instrText>
        </w:r>
        <w:r>
          <w:fldChar w:fldCharType="end"/>
        </w:r>
      </w:hyperlink>
    </w:p>
    <w:p>
      <w:pPr>
        <w:tabs>
          <w:tab w:val="right" w:leader="dot" w:pos="9062"/>
        </w:tabs>
        <w:ind w:left="440"/>
      </w:pPr>
      <w:hyperlink w:anchor="_Toc4354" w:history="1">
        <w:r>
          <w:rPr>
            <w:rFonts w:ascii="IRNazanin" w:hAnsi="IRNazanin" w:eastAsia="IRNazanin" w:cs="IRNazanin"/>
            <w:color w:val="111111"/>
            <w:sz w:val="22"/>
            <w:szCs w:val="22"/>
            <w:b w:val="0"/>
            <w:bCs w:val="0"/>
            <w:i w:val="0"/>
            <w:iCs w:val="0"/>
          </w:rPr>
          <w:t>دیوان صبحی سمرقندی‏</w:t>
        </w:r>
        <w:r>
          <w:tab/>
        </w:r>
        <w:r>
          <w:fldChar w:fldCharType="begin"/>
        </w:r>
        <w:r>
          <w:instrText xml:space="preserve">PAGEREF 4354 \h</w:instrText>
        </w:r>
        <w:r>
          <w:fldChar w:fldCharType="end"/>
        </w:r>
      </w:hyperlink>
    </w:p>
    <w:p>
      <w:pPr>
        <w:tabs>
          <w:tab w:val="right" w:leader="dot" w:pos="9062"/>
        </w:tabs>
        <w:ind w:left="440"/>
      </w:pPr>
      <w:hyperlink w:anchor="_Toc4355" w:history="1">
        <w:r>
          <w:rPr>
            <w:rFonts w:ascii="IRNazanin" w:hAnsi="IRNazanin" w:eastAsia="IRNazanin" w:cs="IRNazanin"/>
            <w:color w:val="111111"/>
            <w:sz w:val="22"/>
            <w:szCs w:val="22"/>
            <w:b w:val="0"/>
            <w:bCs w:val="0"/>
            <w:i w:val="0"/>
            <w:iCs w:val="0"/>
          </w:rPr>
          <w:t>4264- دیوان صبحی کشمیری‏</w:t>
        </w:r>
        <w:r>
          <w:tab/>
        </w:r>
        <w:r>
          <w:fldChar w:fldCharType="begin"/>
        </w:r>
        <w:r>
          <w:instrText xml:space="preserve">PAGEREF 4355 \h</w:instrText>
        </w:r>
        <w:r>
          <w:fldChar w:fldCharType="end"/>
        </w:r>
      </w:hyperlink>
    </w:p>
    <w:p>
      <w:pPr>
        <w:tabs>
          <w:tab w:val="right" w:leader="dot" w:pos="9062"/>
        </w:tabs>
        <w:ind w:left="440"/>
      </w:pPr>
      <w:hyperlink w:anchor="_Toc4356" w:history="1">
        <w:r>
          <w:rPr>
            <w:rFonts w:ascii="IRNazanin" w:hAnsi="IRNazanin" w:eastAsia="IRNazanin" w:cs="IRNazanin"/>
            <w:color w:val="111111"/>
            <w:sz w:val="22"/>
            <w:szCs w:val="22"/>
            <w:b w:val="0"/>
            <w:bCs w:val="0"/>
            <w:i w:val="0"/>
            <w:iCs w:val="0"/>
          </w:rPr>
          <w:t>4265- دیوان صبحی مازندرانی أو شعره‏</w:t>
        </w:r>
        <w:r>
          <w:tab/>
        </w:r>
        <w:r>
          <w:fldChar w:fldCharType="begin"/>
        </w:r>
        <w:r>
          <w:instrText xml:space="preserve">PAGEREF 4356 \h</w:instrText>
        </w:r>
        <w:r>
          <w:fldChar w:fldCharType="end"/>
        </w:r>
      </w:hyperlink>
    </w:p>
    <w:p>
      <w:pPr>
        <w:tabs>
          <w:tab w:val="right" w:leader="dot" w:pos="9062"/>
        </w:tabs>
        <w:ind w:left="440"/>
      </w:pPr>
      <w:hyperlink w:anchor="_Toc4357" w:history="1">
        <w:r>
          <w:rPr>
            <w:rFonts w:ascii="IRNazanin" w:hAnsi="IRNazanin" w:eastAsia="IRNazanin" w:cs="IRNazanin"/>
            <w:color w:val="111111"/>
            <w:sz w:val="22"/>
            <w:szCs w:val="22"/>
            <w:b w:val="0"/>
            <w:bCs w:val="0"/>
            <w:i w:val="0"/>
            <w:iCs w:val="0"/>
          </w:rPr>
          <w:t>4266- دیوان صبحی همدانی أو شعره‏</w:t>
        </w:r>
        <w:r>
          <w:tab/>
        </w:r>
        <w:r>
          <w:fldChar w:fldCharType="begin"/>
        </w:r>
        <w:r>
          <w:instrText xml:space="preserve">PAGEREF 4357 \h</w:instrText>
        </w:r>
        <w:r>
          <w:fldChar w:fldCharType="end"/>
        </w:r>
      </w:hyperlink>
    </w:p>
    <w:p>
      <w:pPr>
        <w:tabs>
          <w:tab w:val="right" w:leader="dot" w:pos="9062"/>
        </w:tabs>
        <w:ind w:left="440"/>
      </w:pPr>
      <w:hyperlink w:anchor="_Toc4358" w:history="1">
        <w:r>
          <w:rPr>
            <w:rFonts w:ascii="IRNazanin" w:hAnsi="IRNazanin" w:eastAsia="IRNazanin" w:cs="IRNazanin"/>
            <w:color w:val="111111"/>
            <w:sz w:val="22"/>
            <w:szCs w:val="22"/>
            <w:b w:val="0"/>
            <w:bCs w:val="0"/>
            <w:i w:val="0"/>
            <w:iCs w:val="0"/>
          </w:rPr>
          <w:t>دیوان صبحی هندی‏</w:t>
        </w:r>
        <w:r>
          <w:tab/>
        </w:r>
        <w:r>
          <w:fldChar w:fldCharType="begin"/>
        </w:r>
        <w:r>
          <w:instrText xml:space="preserve">PAGEREF 4358 \h</w:instrText>
        </w:r>
        <w:r>
          <w:fldChar w:fldCharType="end"/>
        </w:r>
      </w:hyperlink>
    </w:p>
    <w:p>
      <w:pPr>
        <w:tabs>
          <w:tab w:val="right" w:leader="dot" w:pos="9062"/>
        </w:tabs>
        <w:ind w:left="440"/>
      </w:pPr>
      <w:hyperlink w:anchor="_Toc4359" w:history="1">
        <w:r>
          <w:rPr>
            <w:rFonts w:ascii="IRNazanin" w:hAnsi="IRNazanin" w:eastAsia="IRNazanin" w:cs="IRNazanin"/>
            <w:color w:val="111111"/>
            <w:sz w:val="22"/>
            <w:szCs w:val="22"/>
            <w:b w:val="0"/>
            <w:bCs w:val="0"/>
            <w:i w:val="0"/>
            <w:iCs w:val="0"/>
          </w:rPr>
          <w:t>4267- دیوان صبری‏</w:t>
        </w:r>
        <w:r>
          <w:tab/>
        </w:r>
        <w:r>
          <w:fldChar w:fldCharType="begin"/>
        </w:r>
        <w:r>
          <w:instrText xml:space="preserve">PAGEREF 4359 \h</w:instrText>
        </w:r>
        <w:r>
          <w:fldChar w:fldCharType="end"/>
        </w:r>
      </w:hyperlink>
    </w:p>
    <w:p>
      <w:pPr>
        <w:tabs>
          <w:tab w:val="right" w:leader="dot" w:pos="9062"/>
        </w:tabs>
        <w:ind w:left="440"/>
      </w:pPr>
      <w:hyperlink w:anchor="_Toc4360" w:history="1">
        <w:r>
          <w:rPr>
            <w:rFonts w:ascii="IRNazanin" w:hAnsi="IRNazanin" w:eastAsia="IRNazanin" w:cs="IRNazanin"/>
            <w:color w:val="111111"/>
            <w:sz w:val="22"/>
            <w:szCs w:val="22"/>
            <w:b w:val="0"/>
            <w:bCs w:val="0"/>
            <w:i w:val="0"/>
            <w:iCs w:val="0"/>
          </w:rPr>
          <w:t>4268- دیوان صبری أصفهانی‏</w:t>
        </w:r>
        <w:r>
          <w:tab/>
        </w:r>
        <w:r>
          <w:fldChar w:fldCharType="begin"/>
        </w:r>
        <w:r>
          <w:instrText xml:space="preserve">PAGEREF 4360 \h</w:instrText>
        </w:r>
        <w:r>
          <w:fldChar w:fldCharType="end"/>
        </w:r>
      </w:hyperlink>
    </w:p>
    <w:p>
      <w:pPr>
        <w:tabs>
          <w:tab w:val="right" w:leader="dot" w:pos="9062"/>
        </w:tabs>
        <w:ind w:left="440"/>
      </w:pPr>
      <w:hyperlink w:anchor="_Toc4361" w:history="1">
        <w:r>
          <w:rPr>
            <w:rFonts w:ascii="IRNazanin" w:hAnsi="IRNazanin" w:eastAsia="IRNazanin" w:cs="IRNazanin"/>
            <w:color w:val="111111"/>
            <w:sz w:val="22"/>
            <w:szCs w:val="22"/>
            <w:b w:val="0"/>
            <w:bCs w:val="0"/>
            <w:i w:val="0"/>
            <w:iCs w:val="0"/>
          </w:rPr>
          <w:t>4269- دیوان صبری بصری أو شعره‏</w:t>
        </w:r>
        <w:r>
          <w:tab/>
        </w:r>
        <w:r>
          <w:fldChar w:fldCharType="begin"/>
        </w:r>
        <w:r>
          <w:instrText xml:space="preserve">PAGEREF 4361 \h</w:instrText>
        </w:r>
        <w:r>
          <w:fldChar w:fldCharType="end"/>
        </w:r>
      </w:hyperlink>
    </w:p>
    <w:p>
      <w:pPr>
        <w:tabs>
          <w:tab w:val="right" w:leader="dot" w:pos="9062"/>
        </w:tabs>
        <w:ind w:left="440"/>
      </w:pPr>
      <w:hyperlink w:anchor="_Toc4362" w:history="1">
        <w:r>
          <w:rPr>
            <w:rFonts w:ascii="IRNazanin" w:hAnsi="IRNazanin" w:eastAsia="IRNazanin" w:cs="IRNazanin"/>
            <w:color w:val="111111"/>
            <w:sz w:val="22"/>
            <w:szCs w:val="22"/>
            <w:b w:val="0"/>
            <w:bCs w:val="0"/>
            <w:i w:val="0"/>
            <w:iCs w:val="0"/>
          </w:rPr>
          <w:t>دیوان صبری خوارزمی‏</w:t>
        </w:r>
        <w:r>
          <w:tab/>
        </w:r>
        <w:r>
          <w:fldChar w:fldCharType="begin"/>
        </w:r>
        <w:r>
          <w:instrText xml:space="preserve">PAGEREF 4362 \h</w:instrText>
        </w:r>
        <w:r>
          <w:fldChar w:fldCharType="end"/>
        </w:r>
      </w:hyperlink>
    </w:p>
    <w:p>
      <w:pPr>
        <w:tabs>
          <w:tab w:val="right" w:leader="dot" w:pos="9062"/>
        </w:tabs>
        <w:ind w:left="440"/>
      </w:pPr>
      <w:hyperlink w:anchor="_Toc4363" w:history="1">
        <w:r>
          <w:rPr>
            <w:rFonts w:ascii="IRNazanin" w:hAnsi="IRNazanin" w:eastAsia="IRNazanin" w:cs="IRNazanin"/>
            <w:color w:val="111111"/>
            <w:sz w:val="22"/>
            <w:szCs w:val="22"/>
            <w:b w:val="0"/>
            <w:bCs w:val="0"/>
            <w:i w:val="0"/>
            <w:iCs w:val="0"/>
          </w:rPr>
          <w:t>دیوان صبری راهبی‏</w:t>
        </w:r>
        <w:r>
          <w:tab/>
        </w:r>
        <w:r>
          <w:fldChar w:fldCharType="begin"/>
        </w:r>
        <w:r>
          <w:instrText xml:space="preserve">PAGEREF 4363 \h</w:instrText>
        </w:r>
        <w:r>
          <w:fldChar w:fldCharType="end"/>
        </w:r>
      </w:hyperlink>
    </w:p>
    <w:p>
      <w:pPr>
        <w:tabs>
          <w:tab w:val="right" w:leader="dot" w:pos="9062"/>
        </w:tabs>
        <w:ind w:left="440"/>
      </w:pPr>
      <w:hyperlink w:anchor="_Toc4364" w:history="1">
        <w:r>
          <w:rPr>
            <w:rFonts w:ascii="IRNazanin" w:hAnsi="IRNazanin" w:eastAsia="IRNazanin" w:cs="IRNazanin"/>
            <w:color w:val="111111"/>
            <w:sz w:val="22"/>
            <w:szCs w:val="22"/>
            <w:b w:val="0"/>
            <w:bCs w:val="0"/>
            <w:i w:val="0"/>
            <w:iCs w:val="0"/>
          </w:rPr>
          <w:t>دیوان صبری روزبهانی‏</w:t>
        </w:r>
        <w:r>
          <w:tab/>
        </w:r>
        <w:r>
          <w:fldChar w:fldCharType="begin"/>
        </w:r>
        <w:r>
          <w:instrText xml:space="preserve">PAGEREF 4364 \h</w:instrText>
        </w:r>
        <w:r>
          <w:fldChar w:fldCharType="end"/>
        </w:r>
      </w:hyperlink>
    </w:p>
    <w:p>
      <w:pPr>
        <w:tabs>
          <w:tab w:val="right" w:leader="dot" w:pos="9062"/>
        </w:tabs>
        <w:ind w:left="440"/>
      </w:pPr>
      <w:hyperlink w:anchor="_Toc4365" w:history="1">
        <w:r>
          <w:rPr>
            <w:rFonts w:ascii="IRNazanin" w:hAnsi="IRNazanin" w:eastAsia="IRNazanin" w:cs="IRNazanin"/>
            <w:color w:val="111111"/>
            <w:sz w:val="22"/>
            <w:szCs w:val="22"/>
            <w:b w:val="0"/>
            <w:bCs w:val="0"/>
            <w:i w:val="0"/>
            <w:iCs w:val="0"/>
          </w:rPr>
          <w:t>4270- دیوان صبری طهرانی أو شعره‏</w:t>
        </w:r>
        <w:r>
          <w:tab/>
        </w:r>
        <w:r>
          <w:fldChar w:fldCharType="begin"/>
        </w:r>
        <w:r>
          <w:instrText xml:space="preserve">PAGEREF 4365 \h</w:instrText>
        </w:r>
        <w:r>
          <w:fldChar w:fldCharType="end"/>
        </w:r>
      </w:hyperlink>
    </w:p>
    <w:p>
      <w:pPr>
        <w:tabs>
          <w:tab w:val="right" w:leader="dot" w:pos="9062"/>
        </w:tabs>
        <w:ind w:left="440"/>
      </w:pPr>
      <w:hyperlink w:anchor="_Toc4366" w:history="1">
        <w:r>
          <w:rPr>
            <w:rFonts w:ascii="IRNazanin" w:hAnsi="IRNazanin" w:eastAsia="IRNazanin" w:cs="IRNazanin"/>
            <w:color w:val="111111"/>
            <w:sz w:val="22"/>
            <w:szCs w:val="22"/>
            <w:b w:val="0"/>
            <w:bCs w:val="0"/>
            <w:i w:val="0"/>
            <w:iCs w:val="0"/>
          </w:rPr>
          <w:t>4271- دیوان صبری عراقی أو شعره‏</w:t>
        </w:r>
        <w:r>
          <w:tab/>
        </w:r>
        <w:r>
          <w:fldChar w:fldCharType="begin"/>
        </w:r>
        <w:r>
          <w:instrText xml:space="preserve">PAGEREF 4366 \h</w:instrText>
        </w:r>
        <w:r>
          <w:fldChar w:fldCharType="end"/>
        </w:r>
      </w:hyperlink>
    </w:p>
    <w:p>
      <w:pPr>
        <w:tabs>
          <w:tab w:val="right" w:leader="dot" w:pos="9062"/>
        </w:tabs>
        <w:ind w:left="440"/>
      </w:pPr>
      <w:hyperlink w:anchor="_Toc4367" w:history="1">
        <w:r>
          <w:rPr>
            <w:rFonts w:ascii="IRNazanin" w:hAnsi="IRNazanin" w:eastAsia="IRNazanin" w:cs="IRNazanin"/>
            <w:color w:val="111111"/>
            <w:sz w:val="22"/>
            <w:szCs w:val="22"/>
            <w:b w:val="0"/>
            <w:bCs w:val="0"/>
            <w:i w:val="0"/>
            <w:iCs w:val="0"/>
          </w:rPr>
          <w:t>4272- دیوان صبری غضنفر أو شعره‏</w:t>
        </w:r>
        <w:r>
          <w:tab/>
        </w:r>
        <w:r>
          <w:fldChar w:fldCharType="begin"/>
        </w:r>
        <w:r>
          <w:instrText xml:space="preserve">PAGEREF 4367 \h</w:instrText>
        </w:r>
        <w:r>
          <w:fldChar w:fldCharType="end"/>
        </w:r>
      </w:hyperlink>
    </w:p>
    <w:p>
      <w:pPr>
        <w:tabs>
          <w:tab w:val="right" w:leader="dot" w:pos="9062"/>
        </w:tabs>
        <w:ind w:left="440"/>
      </w:pPr>
      <w:hyperlink w:anchor="_Toc4368" w:history="1">
        <w:r>
          <w:rPr>
            <w:rFonts w:ascii="IRNazanin" w:hAnsi="IRNazanin" w:eastAsia="IRNazanin" w:cs="IRNazanin"/>
            <w:color w:val="111111"/>
            <w:sz w:val="22"/>
            <w:szCs w:val="22"/>
            <w:b w:val="0"/>
            <w:bCs w:val="0"/>
            <w:i w:val="0"/>
            <w:iCs w:val="0"/>
          </w:rPr>
          <w:t>دیوان صبری هروی‏</w:t>
        </w:r>
        <w:r>
          <w:tab/>
        </w:r>
        <w:r>
          <w:fldChar w:fldCharType="begin"/>
        </w:r>
        <w:r>
          <w:instrText xml:space="preserve">PAGEREF 4368 \h</w:instrText>
        </w:r>
        <w:r>
          <w:fldChar w:fldCharType="end"/>
        </w:r>
      </w:hyperlink>
    </w:p>
    <w:p>
      <w:pPr>
        <w:tabs>
          <w:tab w:val="right" w:leader="dot" w:pos="9062"/>
        </w:tabs>
        <w:ind w:left="440"/>
      </w:pPr>
      <w:hyperlink w:anchor="_Toc4369" w:history="1">
        <w:r>
          <w:rPr>
            <w:rFonts w:ascii="IRNazanin" w:hAnsi="IRNazanin" w:eastAsia="IRNazanin" w:cs="IRNazanin"/>
            <w:color w:val="111111"/>
            <w:sz w:val="22"/>
            <w:szCs w:val="22"/>
            <w:b w:val="0"/>
            <w:bCs w:val="0"/>
            <w:i w:val="0"/>
            <w:iCs w:val="0"/>
          </w:rPr>
          <w:t>4273- دیوان صبوح أصفهانی أو شعره‏</w:t>
        </w:r>
        <w:r>
          <w:tab/>
        </w:r>
        <w:r>
          <w:fldChar w:fldCharType="begin"/>
        </w:r>
        <w:r>
          <w:instrText xml:space="preserve">PAGEREF 4369 \h</w:instrText>
        </w:r>
        <w:r>
          <w:fldChar w:fldCharType="end"/>
        </w:r>
      </w:hyperlink>
    </w:p>
    <w:p>
      <w:pPr>
        <w:tabs>
          <w:tab w:val="right" w:leader="dot" w:pos="9062"/>
        </w:tabs>
        <w:ind w:left="440"/>
      </w:pPr>
      <w:hyperlink w:anchor="_Toc4370" w:history="1">
        <w:r>
          <w:rPr>
            <w:rFonts w:ascii="IRNazanin" w:hAnsi="IRNazanin" w:eastAsia="IRNazanin" w:cs="IRNazanin"/>
            <w:color w:val="111111"/>
            <w:sz w:val="22"/>
            <w:szCs w:val="22"/>
            <w:b w:val="0"/>
            <w:bCs w:val="0"/>
            <w:i w:val="0"/>
            <w:iCs w:val="0"/>
          </w:rPr>
          <w:t>4274- دیوان صبوحی بدخشانی أو شعره‏</w:t>
        </w:r>
        <w:r>
          <w:tab/>
        </w:r>
        <w:r>
          <w:fldChar w:fldCharType="begin"/>
        </w:r>
        <w:r>
          <w:instrText xml:space="preserve">PAGEREF 4370 \h</w:instrText>
        </w:r>
        <w:r>
          <w:fldChar w:fldCharType="end"/>
        </w:r>
      </w:hyperlink>
    </w:p>
    <w:p>
      <w:pPr>
        <w:tabs>
          <w:tab w:val="right" w:leader="dot" w:pos="9062"/>
        </w:tabs>
        <w:ind w:left="440"/>
      </w:pPr>
      <w:hyperlink w:anchor="_Toc4371" w:history="1">
        <w:r>
          <w:rPr>
            <w:rFonts w:ascii="IRNazanin" w:hAnsi="IRNazanin" w:eastAsia="IRNazanin" w:cs="IRNazanin"/>
            <w:color w:val="111111"/>
            <w:sz w:val="22"/>
            <w:szCs w:val="22"/>
            <w:b w:val="0"/>
            <w:bCs w:val="0"/>
            <w:i w:val="0"/>
            <w:iCs w:val="0"/>
          </w:rPr>
          <w:t>4275- دیوان صبوحی بیرجندی‏</w:t>
        </w:r>
        <w:r>
          <w:tab/>
        </w:r>
        <w:r>
          <w:fldChar w:fldCharType="begin"/>
        </w:r>
        <w:r>
          <w:instrText xml:space="preserve">PAGEREF 4371 \h</w:instrText>
        </w:r>
        <w:r>
          <w:fldChar w:fldCharType="end"/>
        </w:r>
      </w:hyperlink>
    </w:p>
    <w:p>
      <w:pPr>
        <w:tabs>
          <w:tab w:val="right" w:leader="dot" w:pos="9062"/>
        </w:tabs>
        <w:ind w:left="440"/>
      </w:pPr>
      <w:hyperlink w:anchor="_Toc4372" w:history="1">
        <w:r>
          <w:rPr>
            <w:rFonts w:ascii="IRNazanin" w:hAnsi="IRNazanin" w:eastAsia="IRNazanin" w:cs="IRNazanin"/>
            <w:color w:val="111111"/>
            <w:sz w:val="22"/>
            <w:szCs w:val="22"/>
            <w:b w:val="0"/>
            <w:bCs w:val="0"/>
            <w:i w:val="0"/>
            <w:iCs w:val="0"/>
          </w:rPr>
          <w:t>دیوان صبوحی جغتائی‏</w:t>
        </w:r>
        <w:r>
          <w:tab/>
        </w:r>
        <w:r>
          <w:fldChar w:fldCharType="begin"/>
        </w:r>
        <w:r>
          <w:instrText xml:space="preserve">PAGEREF 4372 \h</w:instrText>
        </w:r>
        <w:r>
          <w:fldChar w:fldCharType="end"/>
        </w:r>
      </w:hyperlink>
    </w:p>
    <w:p>
      <w:pPr>
        <w:tabs>
          <w:tab w:val="right" w:leader="dot" w:pos="9062"/>
        </w:tabs>
        <w:ind w:left="440"/>
      </w:pPr>
      <w:hyperlink w:anchor="_Toc4373" w:history="1">
        <w:r>
          <w:rPr>
            <w:rFonts w:ascii="IRNazanin" w:hAnsi="IRNazanin" w:eastAsia="IRNazanin" w:cs="IRNazanin"/>
            <w:color w:val="111111"/>
            <w:sz w:val="22"/>
            <w:szCs w:val="22"/>
            <w:b w:val="0"/>
            <w:bCs w:val="0"/>
            <w:i w:val="0"/>
            <w:iCs w:val="0"/>
          </w:rPr>
          <w:t>4276- دیوان صبوحی خوانساری‏</w:t>
        </w:r>
        <w:r>
          <w:tab/>
        </w:r>
        <w:r>
          <w:fldChar w:fldCharType="begin"/>
        </w:r>
        <w:r>
          <w:instrText xml:space="preserve">PAGEREF 4373 \h</w:instrText>
        </w:r>
        <w:r>
          <w:fldChar w:fldCharType="end"/>
        </w:r>
      </w:hyperlink>
    </w:p>
    <w:p>
      <w:pPr>
        <w:tabs>
          <w:tab w:val="right" w:leader="dot" w:pos="9062"/>
        </w:tabs>
        <w:ind w:left="440"/>
      </w:pPr>
      <w:hyperlink w:anchor="_Toc4374" w:history="1">
        <w:r>
          <w:rPr>
            <w:rFonts w:ascii="IRNazanin" w:hAnsi="IRNazanin" w:eastAsia="IRNazanin" w:cs="IRNazanin"/>
            <w:color w:val="111111"/>
            <w:sz w:val="22"/>
            <w:szCs w:val="22"/>
            <w:b w:val="0"/>
            <w:bCs w:val="0"/>
            <w:i w:val="0"/>
            <w:iCs w:val="0"/>
          </w:rPr>
          <w:t>4277- دیوان صبوحی سمرقندی أو شعره‏</w:t>
        </w:r>
        <w:r>
          <w:tab/>
        </w:r>
        <w:r>
          <w:fldChar w:fldCharType="begin"/>
        </w:r>
        <w:r>
          <w:instrText xml:space="preserve">PAGEREF 4374 \h</w:instrText>
        </w:r>
        <w:r>
          <w:fldChar w:fldCharType="end"/>
        </w:r>
      </w:hyperlink>
    </w:p>
    <w:p>
      <w:pPr>
        <w:tabs>
          <w:tab w:val="right" w:leader="dot" w:pos="9062"/>
        </w:tabs>
        <w:ind w:left="440"/>
      </w:pPr>
      <w:hyperlink w:anchor="_Toc4375" w:history="1">
        <w:r>
          <w:rPr>
            <w:rFonts w:ascii="IRNazanin" w:hAnsi="IRNazanin" w:eastAsia="IRNazanin" w:cs="IRNazanin"/>
            <w:color w:val="111111"/>
            <w:sz w:val="22"/>
            <w:szCs w:val="22"/>
            <w:b w:val="0"/>
            <w:bCs w:val="0"/>
            <w:i w:val="0"/>
            <w:iCs w:val="0"/>
          </w:rPr>
          <w:t>4278- دیوان صبوحی شیرازی أو شعره‏</w:t>
        </w:r>
        <w:r>
          <w:tab/>
        </w:r>
        <w:r>
          <w:fldChar w:fldCharType="begin"/>
        </w:r>
        <w:r>
          <w:instrText xml:space="preserve">PAGEREF 4375 \h</w:instrText>
        </w:r>
        <w:r>
          <w:fldChar w:fldCharType="end"/>
        </w:r>
      </w:hyperlink>
    </w:p>
    <w:p>
      <w:pPr>
        <w:tabs>
          <w:tab w:val="right" w:leader="dot" w:pos="9062"/>
        </w:tabs>
        <w:ind w:left="440"/>
      </w:pPr>
      <w:hyperlink w:anchor="_Toc4376" w:history="1">
        <w:r>
          <w:rPr>
            <w:rFonts w:ascii="IRNazanin" w:hAnsi="IRNazanin" w:eastAsia="IRNazanin" w:cs="IRNazanin"/>
            <w:color w:val="111111"/>
            <w:sz w:val="22"/>
            <w:szCs w:val="22"/>
            <w:b w:val="0"/>
            <w:bCs w:val="0"/>
            <w:i w:val="0"/>
            <w:iCs w:val="0"/>
          </w:rPr>
          <w:t>4279- دیوان صبوحی شیرازی أو شعره‏</w:t>
        </w:r>
        <w:r>
          <w:tab/>
        </w:r>
        <w:r>
          <w:fldChar w:fldCharType="begin"/>
        </w:r>
        <w:r>
          <w:instrText xml:space="preserve">PAGEREF 4376 \h</w:instrText>
        </w:r>
        <w:r>
          <w:fldChar w:fldCharType="end"/>
        </w:r>
      </w:hyperlink>
    </w:p>
    <w:p>
      <w:pPr>
        <w:tabs>
          <w:tab w:val="right" w:leader="dot" w:pos="9062"/>
        </w:tabs>
        <w:ind w:left="440"/>
      </w:pPr>
      <w:hyperlink w:anchor="_Toc4377" w:history="1">
        <w:r>
          <w:rPr>
            <w:rFonts w:ascii="IRNazanin" w:hAnsi="IRNazanin" w:eastAsia="IRNazanin" w:cs="IRNazanin"/>
            <w:color w:val="111111"/>
            <w:sz w:val="22"/>
            <w:szCs w:val="22"/>
            <w:b w:val="0"/>
            <w:bCs w:val="0"/>
            <w:i w:val="0"/>
            <w:iCs w:val="0"/>
          </w:rPr>
          <w:t>4280- دیوان صبوحی قمی‏</w:t>
        </w:r>
        <w:r>
          <w:tab/>
        </w:r>
        <w:r>
          <w:fldChar w:fldCharType="begin"/>
        </w:r>
        <w:r>
          <w:instrText xml:space="preserve">PAGEREF 4377 \h</w:instrText>
        </w:r>
        <w:r>
          <w:fldChar w:fldCharType="end"/>
        </w:r>
      </w:hyperlink>
    </w:p>
    <w:p>
      <w:pPr>
        <w:tabs>
          <w:tab w:val="right" w:leader="dot" w:pos="9062"/>
        </w:tabs>
        <w:ind w:left="440"/>
      </w:pPr>
      <w:hyperlink w:anchor="_Toc4378" w:history="1">
        <w:r>
          <w:rPr>
            <w:rFonts w:ascii="IRNazanin" w:hAnsi="IRNazanin" w:eastAsia="IRNazanin" w:cs="IRNazanin"/>
            <w:color w:val="111111"/>
            <w:sz w:val="22"/>
            <w:szCs w:val="22"/>
            <w:b w:val="0"/>
            <w:bCs w:val="0"/>
            <w:i w:val="0"/>
            <w:iCs w:val="0"/>
          </w:rPr>
          <w:t>4281- دیوان صبوحی کابلی أو شعره‏</w:t>
        </w:r>
        <w:r>
          <w:tab/>
        </w:r>
        <w:r>
          <w:fldChar w:fldCharType="begin"/>
        </w:r>
        <w:r>
          <w:instrText xml:space="preserve">PAGEREF 4378 \h</w:instrText>
        </w:r>
        <w:r>
          <w:fldChar w:fldCharType="end"/>
        </w:r>
      </w:hyperlink>
    </w:p>
    <w:p>
      <w:pPr>
        <w:tabs>
          <w:tab w:val="right" w:leader="dot" w:pos="9062"/>
        </w:tabs>
        <w:ind w:left="440"/>
      </w:pPr>
      <w:hyperlink w:anchor="_Toc4379" w:history="1">
        <w:r>
          <w:rPr>
            <w:rFonts w:ascii="IRNazanin" w:hAnsi="IRNazanin" w:eastAsia="IRNazanin" w:cs="IRNazanin"/>
            <w:color w:val="111111"/>
            <w:sz w:val="22"/>
            <w:szCs w:val="22"/>
            <w:b w:val="0"/>
            <w:bCs w:val="0"/>
            <w:i w:val="0"/>
            <w:iCs w:val="0"/>
          </w:rPr>
          <w:t>4282- دیوان صبوحی هروی أو شعره‏</w:t>
        </w:r>
        <w:r>
          <w:tab/>
        </w:r>
        <w:r>
          <w:fldChar w:fldCharType="begin"/>
        </w:r>
        <w:r>
          <w:instrText xml:space="preserve">PAGEREF 4379 \h</w:instrText>
        </w:r>
        <w:r>
          <w:fldChar w:fldCharType="end"/>
        </w:r>
      </w:hyperlink>
    </w:p>
    <w:p>
      <w:pPr>
        <w:tabs>
          <w:tab w:val="right" w:leader="dot" w:pos="9062"/>
        </w:tabs>
        <w:ind w:left="440"/>
      </w:pPr>
      <w:hyperlink w:anchor="_Toc4380" w:history="1">
        <w:r>
          <w:rPr>
            <w:rFonts w:ascii="IRNazanin" w:hAnsi="IRNazanin" w:eastAsia="IRNazanin" w:cs="IRNazanin"/>
            <w:color w:val="111111"/>
            <w:sz w:val="22"/>
            <w:szCs w:val="22"/>
            <w:b w:val="0"/>
            <w:bCs w:val="0"/>
            <w:i w:val="0"/>
            <w:iCs w:val="0"/>
          </w:rPr>
          <w:t>دیوان صبور بواناتی‏</w:t>
        </w:r>
        <w:r>
          <w:tab/>
        </w:r>
        <w:r>
          <w:fldChar w:fldCharType="begin"/>
        </w:r>
        <w:r>
          <w:instrText xml:space="preserve">PAGEREF 4380 \h</w:instrText>
        </w:r>
        <w:r>
          <w:fldChar w:fldCharType="end"/>
        </w:r>
      </w:hyperlink>
    </w:p>
    <w:p>
      <w:pPr>
        <w:tabs>
          <w:tab w:val="right" w:leader="dot" w:pos="9062"/>
        </w:tabs>
        <w:ind w:left="440"/>
      </w:pPr>
      <w:hyperlink w:anchor="_Toc4381" w:history="1">
        <w:r>
          <w:rPr>
            <w:rFonts w:ascii="IRNazanin" w:hAnsi="IRNazanin" w:eastAsia="IRNazanin" w:cs="IRNazanin"/>
            <w:color w:val="111111"/>
            <w:sz w:val="22"/>
            <w:szCs w:val="22"/>
            <w:b w:val="0"/>
            <w:bCs w:val="0"/>
            <w:i w:val="0"/>
            <w:iCs w:val="0"/>
          </w:rPr>
          <w:t>4283- دیوان صبور تبریزی‏</w:t>
        </w:r>
        <w:r>
          <w:tab/>
        </w:r>
        <w:r>
          <w:fldChar w:fldCharType="begin"/>
        </w:r>
        <w:r>
          <w:instrText xml:space="preserve">PAGEREF 4381 \h</w:instrText>
        </w:r>
        <w:r>
          <w:fldChar w:fldCharType="end"/>
        </w:r>
      </w:hyperlink>
    </w:p>
    <w:p>
      <w:pPr>
        <w:tabs>
          <w:tab w:val="right" w:leader="dot" w:pos="9062"/>
        </w:tabs>
        <w:ind w:left="440"/>
      </w:pPr>
      <w:hyperlink w:anchor="_Toc4382" w:history="1">
        <w:r>
          <w:rPr>
            <w:rFonts w:ascii="IRNazanin" w:hAnsi="IRNazanin" w:eastAsia="IRNazanin" w:cs="IRNazanin"/>
            <w:color w:val="111111"/>
            <w:sz w:val="22"/>
            <w:szCs w:val="22"/>
            <w:b w:val="0"/>
            <w:bCs w:val="0"/>
            <w:i w:val="0"/>
            <w:iCs w:val="0"/>
          </w:rPr>
          <w:t>4284- دیوان صبور تبریزی‏</w:t>
        </w:r>
        <w:r>
          <w:tab/>
        </w:r>
        <w:r>
          <w:fldChar w:fldCharType="begin"/>
        </w:r>
        <w:r>
          <w:instrText xml:space="preserve">PAGEREF 4382 \h</w:instrText>
        </w:r>
        <w:r>
          <w:fldChar w:fldCharType="end"/>
        </w:r>
      </w:hyperlink>
    </w:p>
    <w:p>
      <w:pPr>
        <w:tabs>
          <w:tab w:val="right" w:leader="dot" w:pos="9062"/>
        </w:tabs>
        <w:ind w:left="440"/>
      </w:pPr>
      <w:hyperlink w:anchor="_Toc4383" w:history="1">
        <w:r>
          <w:rPr>
            <w:rFonts w:ascii="IRNazanin" w:hAnsi="IRNazanin" w:eastAsia="IRNazanin" w:cs="IRNazanin"/>
            <w:color w:val="111111"/>
            <w:sz w:val="22"/>
            <w:szCs w:val="22"/>
            <w:b w:val="0"/>
            <w:bCs w:val="0"/>
            <w:i w:val="0"/>
            <w:iCs w:val="0"/>
          </w:rPr>
          <w:t>4285- دیوان صبور تبریزی‏</w:t>
        </w:r>
        <w:r>
          <w:tab/>
        </w:r>
        <w:r>
          <w:fldChar w:fldCharType="begin"/>
        </w:r>
        <w:r>
          <w:instrText xml:space="preserve">PAGEREF 4383 \h</w:instrText>
        </w:r>
        <w:r>
          <w:fldChar w:fldCharType="end"/>
        </w:r>
      </w:hyperlink>
    </w:p>
    <w:p>
      <w:pPr>
        <w:tabs>
          <w:tab w:val="right" w:leader="dot" w:pos="9062"/>
        </w:tabs>
        <w:ind w:left="440"/>
      </w:pPr>
      <w:hyperlink w:anchor="_Toc4384" w:history="1">
        <w:r>
          <w:rPr>
            <w:rFonts w:ascii="IRNazanin" w:hAnsi="IRNazanin" w:eastAsia="IRNazanin" w:cs="IRNazanin"/>
            <w:color w:val="111111"/>
            <w:sz w:val="22"/>
            <w:szCs w:val="22"/>
            <w:b w:val="0"/>
            <w:bCs w:val="0"/>
            <w:i w:val="0"/>
            <w:iCs w:val="0"/>
          </w:rPr>
          <w:t>دیوان- صبور ذهبی‏</w:t>
        </w:r>
        <w:r>
          <w:tab/>
        </w:r>
        <w:r>
          <w:fldChar w:fldCharType="begin"/>
        </w:r>
        <w:r>
          <w:instrText xml:space="preserve">PAGEREF 4384 \h</w:instrText>
        </w:r>
        <w:r>
          <w:fldChar w:fldCharType="end"/>
        </w:r>
      </w:hyperlink>
    </w:p>
    <w:p>
      <w:pPr>
        <w:tabs>
          <w:tab w:val="right" w:leader="dot" w:pos="9062"/>
        </w:tabs>
        <w:ind w:left="440"/>
      </w:pPr>
      <w:hyperlink w:anchor="_Toc4385" w:history="1">
        <w:r>
          <w:rPr>
            <w:rFonts w:ascii="IRNazanin" w:hAnsi="IRNazanin" w:eastAsia="IRNazanin" w:cs="IRNazanin"/>
            <w:color w:val="111111"/>
            <w:sz w:val="22"/>
            <w:szCs w:val="22"/>
            <w:b w:val="0"/>
            <w:bCs w:val="0"/>
            <w:i w:val="0"/>
            <w:iCs w:val="0"/>
          </w:rPr>
          <w:t>4286- دیوان صبور شیرازی بواناتی أو شعره‏</w:t>
        </w:r>
        <w:r>
          <w:tab/>
        </w:r>
        <w:r>
          <w:fldChar w:fldCharType="begin"/>
        </w:r>
        <w:r>
          <w:instrText xml:space="preserve">PAGEREF 4385 \h</w:instrText>
        </w:r>
        <w:r>
          <w:fldChar w:fldCharType="end"/>
        </w:r>
      </w:hyperlink>
    </w:p>
    <w:p>
      <w:pPr>
        <w:tabs>
          <w:tab w:val="right" w:leader="dot" w:pos="9062"/>
        </w:tabs>
        <w:ind w:left="440"/>
      </w:pPr>
      <w:hyperlink w:anchor="_Toc4386" w:history="1">
        <w:r>
          <w:rPr>
            <w:rFonts w:ascii="IRNazanin" w:hAnsi="IRNazanin" w:eastAsia="IRNazanin" w:cs="IRNazanin"/>
            <w:color w:val="111111"/>
            <w:sz w:val="22"/>
            <w:szCs w:val="22"/>
            <w:b w:val="0"/>
            <w:bCs w:val="0"/>
            <w:i w:val="0"/>
            <w:iCs w:val="0"/>
          </w:rPr>
          <w:t>4287- دیوان صبور کاشانی‏</w:t>
        </w:r>
        <w:r>
          <w:tab/>
        </w:r>
        <w:r>
          <w:fldChar w:fldCharType="begin"/>
        </w:r>
        <w:r>
          <w:instrText xml:space="preserve">PAGEREF 4386 \h</w:instrText>
        </w:r>
        <w:r>
          <w:fldChar w:fldCharType="end"/>
        </w:r>
      </w:hyperlink>
    </w:p>
    <w:p>
      <w:pPr>
        <w:tabs>
          <w:tab w:val="right" w:leader="dot" w:pos="9062"/>
        </w:tabs>
        <w:ind w:left="440"/>
      </w:pPr>
      <w:hyperlink w:anchor="_Toc4387" w:history="1">
        <w:r>
          <w:rPr>
            <w:rFonts w:ascii="IRNazanin" w:hAnsi="IRNazanin" w:eastAsia="IRNazanin" w:cs="IRNazanin"/>
            <w:color w:val="111111"/>
            <w:sz w:val="22"/>
            <w:szCs w:val="22"/>
            <w:b w:val="0"/>
            <w:bCs w:val="0"/>
            <w:i w:val="0"/>
            <w:iCs w:val="0"/>
          </w:rPr>
          <w:t>4288- دیوان صبوری أو شعره‏</w:t>
        </w:r>
        <w:r>
          <w:tab/>
        </w:r>
        <w:r>
          <w:fldChar w:fldCharType="begin"/>
        </w:r>
        <w:r>
          <w:instrText xml:space="preserve">PAGEREF 4387 \h</w:instrText>
        </w:r>
        <w:r>
          <w:fldChar w:fldCharType="end"/>
        </w:r>
      </w:hyperlink>
    </w:p>
    <w:p>
      <w:pPr>
        <w:tabs>
          <w:tab w:val="right" w:leader="dot" w:pos="9062"/>
        </w:tabs>
        <w:ind w:left="440"/>
      </w:pPr>
      <w:hyperlink w:anchor="_Toc4388" w:history="1">
        <w:r>
          <w:rPr>
            <w:rFonts w:ascii="IRNazanin" w:hAnsi="IRNazanin" w:eastAsia="IRNazanin" w:cs="IRNazanin"/>
            <w:color w:val="111111"/>
            <w:sz w:val="22"/>
            <w:szCs w:val="22"/>
            <w:b w:val="0"/>
            <w:bCs w:val="0"/>
            <w:i w:val="0"/>
            <w:iCs w:val="0"/>
          </w:rPr>
          <w:t>4289- دیوان صبوری أصفهانی‏</w:t>
        </w:r>
        <w:r>
          <w:tab/>
        </w:r>
        <w:r>
          <w:fldChar w:fldCharType="begin"/>
        </w:r>
        <w:r>
          <w:instrText xml:space="preserve">PAGEREF 4388 \h</w:instrText>
        </w:r>
        <w:r>
          <w:fldChar w:fldCharType="end"/>
        </w:r>
      </w:hyperlink>
    </w:p>
    <w:p>
      <w:pPr>
        <w:tabs>
          <w:tab w:val="right" w:leader="dot" w:pos="9062"/>
        </w:tabs>
        <w:ind w:left="440"/>
      </w:pPr>
      <w:hyperlink w:anchor="_Toc4389" w:history="1">
        <w:r>
          <w:rPr>
            <w:rFonts w:ascii="IRNazanin" w:hAnsi="IRNazanin" w:eastAsia="IRNazanin" w:cs="IRNazanin"/>
            <w:color w:val="111111"/>
            <w:sz w:val="22"/>
            <w:szCs w:val="22"/>
            <w:b w:val="0"/>
            <w:bCs w:val="0"/>
            <w:i w:val="0"/>
            <w:iCs w:val="0"/>
          </w:rPr>
          <w:t>4290- دیوان صبوری تبریزی‏</w:t>
        </w:r>
        <w:r>
          <w:tab/>
        </w:r>
        <w:r>
          <w:fldChar w:fldCharType="begin"/>
        </w:r>
        <w:r>
          <w:instrText xml:space="preserve">PAGEREF 4389 \h</w:instrText>
        </w:r>
        <w:r>
          <w:fldChar w:fldCharType="end"/>
        </w:r>
      </w:hyperlink>
    </w:p>
    <w:p>
      <w:pPr>
        <w:tabs>
          <w:tab w:val="right" w:leader="dot" w:pos="9062"/>
        </w:tabs>
        <w:ind w:left="440"/>
      </w:pPr>
      <w:hyperlink w:anchor="_Toc4390" w:history="1">
        <w:r>
          <w:rPr>
            <w:rFonts w:ascii="IRNazanin" w:hAnsi="IRNazanin" w:eastAsia="IRNazanin" w:cs="IRNazanin"/>
            <w:color w:val="111111"/>
            <w:sz w:val="22"/>
            <w:szCs w:val="22"/>
            <w:b w:val="0"/>
            <w:bCs w:val="0"/>
            <w:i w:val="0"/>
            <w:iCs w:val="0"/>
          </w:rPr>
          <w:t>4291- دیوان صبوری تبریزی‏</w:t>
        </w:r>
        <w:r>
          <w:tab/>
        </w:r>
        <w:r>
          <w:fldChar w:fldCharType="begin"/>
        </w:r>
        <w:r>
          <w:instrText xml:space="preserve">PAGEREF 4390 \h</w:instrText>
        </w:r>
        <w:r>
          <w:fldChar w:fldCharType="end"/>
        </w:r>
      </w:hyperlink>
    </w:p>
    <w:p>
      <w:pPr>
        <w:tabs>
          <w:tab w:val="right" w:leader="dot" w:pos="9062"/>
        </w:tabs>
        <w:ind w:left="440"/>
      </w:pPr>
      <w:hyperlink w:anchor="_Toc4391" w:history="1">
        <w:r>
          <w:rPr>
            <w:rFonts w:ascii="IRNazanin" w:hAnsi="IRNazanin" w:eastAsia="IRNazanin" w:cs="IRNazanin"/>
            <w:color w:val="111111"/>
            <w:sz w:val="22"/>
            <w:szCs w:val="22"/>
            <w:b w:val="0"/>
            <w:bCs w:val="0"/>
            <w:i w:val="0"/>
            <w:iCs w:val="0"/>
          </w:rPr>
          <w:t>4292- دیوان صبوری تبریزی أو شعره‏</w:t>
        </w:r>
        <w:r>
          <w:tab/>
        </w:r>
        <w:r>
          <w:fldChar w:fldCharType="begin"/>
        </w:r>
        <w:r>
          <w:instrText xml:space="preserve">PAGEREF 4391 \h</w:instrText>
        </w:r>
        <w:r>
          <w:fldChar w:fldCharType="end"/>
        </w:r>
      </w:hyperlink>
    </w:p>
    <w:p>
      <w:pPr>
        <w:tabs>
          <w:tab w:val="right" w:leader="dot" w:pos="9062"/>
        </w:tabs>
        <w:ind w:left="440"/>
      </w:pPr>
      <w:hyperlink w:anchor="_Toc4392" w:history="1">
        <w:r>
          <w:rPr>
            <w:rFonts w:ascii="IRNazanin" w:hAnsi="IRNazanin" w:eastAsia="IRNazanin" w:cs="IRNazanin"/>
            <w:color w:val="111111"/>
            <w:sz w:val="22"/>
            <w:szCs w:val="22"/>
            <w:b w:val="0"/>
            <w:bCs w:val="0"/>
            <w:i w:val="0"/>
            <w:iCs w:val="0"/>
          </w:rPr>
          <w:t>4293- دیوان صبوری تربتی أو شعره‏</w:t>
        </w:r>
        <w:r>
          <w:tab/>
        </w:r>
        <w:r>
          <w:fldChar w:fldCharType="begin"/>
        </w:r>
        <w:r>
          <w:instrText xml:space="preserve">PAGEREF 4392 \h</w:instrText>
        </w:r>
        <w:r>
          <w:fldChar w:fldCharType="end"/>
        </w:r>
      </w:hyperlink>
    </w:p>
    <w:p>
      <w:pPr>
        <w:tabs>
          <w:tab w:val="right" w:leader="dot" w:pos="9062"/>
        </w:tabs>
        <w:ind w:left="440"/>
      </w:pPr>
      <w:hyperlink w:anchor="_Toc4393" w:history="1">
        <w:r>
          <w:rPr>
            <w:rFonts w:ascii="IRNazanin" w:hAnsi="IRNazanin" w:eastAsia="IRNazanin" w:cs="IRNazanin"/>
            <w:color w:val="111111"/>
            <w:sz w:val="22"/>
            <w:szCs w:val="22"/>
            <w:b w:val="0"/>
            <w:bCs w:val="0"/>
            <w:i w:val="0"/>
            <w:iCs w:val="0"/>
          </w:rPr>
          <w:t>4294- دیوان صبوری خراسانی‏</w:t>
        </w:r>
        <w:r>
          <w:tab/>
        </w:r>
        <w:r>
          <w:fldChar w:fldCharType="begin"/>
        </w:r>
        <w:r>
          <w:instrText xml:space="preserve">PAGEREF 4393 \h</w:instrText>
        </w:r>
        <w:r>
          <w:fldChar w:fldCharType="end"/>
        </w:r>
      </w:hyperlink>
    </w:p>
    <w:p>
      <w:pPr>
        <w:tabs>
          <w:tab w:val="right" w:leader="dot" w:pos="9062"/>
        </w:tabs>
        <w:ind w:left="440"/>
      </w:pPr>
      <w:hyperlink w:anchor="_Toc4394" w:history="1">
        <w:r>
          <w:rPr>
            <w:rFonts w:ascii="IRNazanin" w:hAnsi="IRNazanin" w:eastAsia="IRNazanin" w:cs="IRNazanin"/>
            <w:color w:val="111111"/>
            <w:sz w:val="22"/>
            <w:szCs w:val="22"/>
            <w:b w:val="0"/>
            <w:bCs w:val="0"/>
            <w:i w:val="0"/>
            <w:iCs w:val="0"/>
          </w:rPr>
          <w:t>4295- دیوان صبوری خوانساری أو شعره‏</w:t>
        </w:r>
        <w:r>
          <w:tab/>
        </w:r>
        <w:r>
          <w:fldChar w:fldCharType="begin"/>
        </w:r>
        <w:r>
          <w:instrText xml:space="preserve">PAGEREF 4394 \h</w:instrText>
        </w:r>
        <w:r>
          <w:fldChar w:fldCharType="end"/>
        </w:r>
      </w:hyperlink>
    </w:p>
    <w:p>
      <w:pPr>
        <w:tabs>
          <w:tab w:val="right" w:leader="dot" w:pos="9062"/>
        </w:tabs>
        <w:ind w:left="440"/>
      </w:pPr>
      <w:hyperlink w:anchor="_Toc4395" w:history="1">
        <w:r>
          <w:rPr>
            <w:rFonts w:ascii="IRNazanin" w:hAnsi="IRNazanin" w:eastAsia="IRNazanin" w:cs="IRNazanin"/>
            <w:color w:val="111111"/>
            <w:sz w:val="22"/>
            <w:szCs w:val="22"/>
            <w:b w:val="0"/>
            <w:bCs w:val="0"/>
            <w:i w:val="0"/>
            <w:iCs w:val="0"/>
          </w:rPr>
          <w:t>4296- دیوان صبوری رشتی‏</w:t>
        </w:r>
        <w:r>
          <w:tab/>
        </w:r>
        <w:r>
          <w:fldChar w:fldCharType="begin"/>
        </w:r>
        <w:r>
          <w:instrText xml:space="preserve">PAGEREF 4395 \h</w:instrText>
        </w:r>
        <w:r>
          <w:fldChar w:fldCharType="end"/>
        </w:r>
      </w:hyperlink>
    </w:p>
    <w:p>
      <w:pPr>
        <w:tabs>
          <w:tab w:val="right" w:leader="dot" w:pos="9062"/>
        </w:tabs>
        <w:ind w:left="440"/>
      </w:pPr>
      <w:hyperlink w:anchor="_Toc4396" w:history="1">
        <w:r>
          <w:rPr>
            <w:rFonts w:ascii="IRNazanin" w:hAnsi="IRNazanin" w:eastAsia="IRNazanin" w:cs="IRNazanin"/>
            <w:color w:val="111111"/>
            <w:sz w:val="22"/>
            <w:szCs w:val="22"/>
            <w:b w:val="0"/>
            <w:bCs w:val="0"/>
            <w:i w:val="0"/>
            <w:iCs w:val="0"/>
          </w:rPr>
          <w:t>دیوان صبوری گیلانی‏</w:t>
        </w:r>
        <w:r>
          <w:tab/>
        </w:r>
        <w:r>
          <w:fldChar w:fldCharType="begin"/>
        </w:r>
        <w:r>
          <w:instrText xml:space="preserve">PAGEREF 4396 \h</w:instrText>
        </w:r>
        <w:r>
          <w:fldChar w:fldCharType="end"/>
        </w:r>
      </w:hyperlink>
    </w:p>
    <w:p>
      <w:pPr>
        <w:tabs>
          <w:tab w:val="right" w:leader="dot" w:pos="9062"/>
        </w:tabs>
        <w:ind w:left="440"/>
      </w:pPr>
      <w:hyperlink w:anchor="_Toc4397" w:history="1">
        <w:r>
          <w:rPr>
            <w:rFonts w:ascii="IRNazanin" w:hAnsi="IRNazanin" w:eastAsia="IRNazanin" w:cs="IRNazanin"/>
            <w:color w:val="111111"/>
            <w:sz w:val="22"/>
            <w:szCs w:val="22"/>
            <w:b w:val="0"/>
            <w:bCs w:val="0"/>
            <w:i w:val="0"/>
            <w:iCs w:val="0"/>
          </w:rPr>
          <w:t>4297- دیوان صبوری همدانی أو شعره‏</w:t>
        </w:r>
        <w:r>
          <w:tab/>
        </w:r>
        <w:r>
          <w:fldChar w:fldCharType="begin"/>
        </w:r>
        <w:r>
          <w:instrText xml:space="preserve">PAGEREF 4397 \h</w:instrText>
        </w:r>
        <w:r>
          <w:fldChar w:fldCharType="end"/>
        </w:r>
      </w:hyperlink>
    </w:p>
    <w:p>
      <w:pPr>
        <w:tabs>
          <w:tab w:val="right" w:leader="dot" w:pos="9062"/>
        </w:tabs>
        <w:ind w:left="440"/>
      </w:pPr>
      <w:hyperlink w:anchor="_Toc4398" w:history="1">
        <w:r>
          <w:rPr>
            <w:rFonts w:ascii="IRNazanin" w:hAnsi="IRNazanin" w:eastAsia="IRNazanin" w:cs="IRNazanin"/>
            <w:color w:val="111111"/>
            <w:sz w:val="22"/>
            <w:szCs w:val="22"/>
            <w:b w:val="0"/>
            <w:bCs w:val="0"/>
            <w:i w:val="0"/>
            <w:iCs w:val="0"/>
          </w:rPr>
          <w:t>دیوان صبیحی سمرقندی‏</w:t>
        </w:r>
        <w:r>
          <w:tab/>
        </w:r>
        <w:r>
          <w:fldChar w:fldCharType="begin"/>
        </w:r>
        <w:r>
          <w:instrText xml:space="preserve">PAGEREF 4398 \h</w:instrText>
        </w:r>
        <w:r>
          <w:fldChar w:fldCharType="end"/>
        </w:r>
      </w:hyperlink>
    </w:p>
    <w:p>
      <w:pPr>
        <w:tabs>
          <w:tab w:val="right" w:leader="dot" w:pos="9062"/>
        </w:tabs>
        <w:ind w:left="440"/>
      </w:pPr>
      <w:hyperlink w:anchor="_Toc4399" w:history="1">
        <w:r>
          <w:rPr>
            <w:rFonts w:ascii="IRNazanin" w:hAnsi="IRNazanin" w:eastAsia="IRNazanin" w:cs="IRNazanin"/>
            <w:color w:val="111111"/>
            <w:sz w:val="22"/>
            <w:szCs w:val="22"/>
            <w:b w:val="0"/>
            <w:bCs w:val="0"/>
            <w:i w:val="0"/>
            <w:iCs w:val="0"/>
          </w:rPr>
          <w:t>4298- دیوان صحاف‏</w:t>
        </w:r>
        <w:r>
          <w:tab/>
        </w:r>
        <w:r>
          <w:fldChar w:fldCharType="begin"/>
        </w:r>
        <w:r>
          <w:instrText xml:space="preserve">PAGEREF 4399 \h</w:instrText>
        </w:r>
        <w:r>
          <w:fldChar w:fldCharType="end"/>
        </w:r>
      </w:hyperlink>
    </w:p>
    <w:p>
      <w:pPr>
        <w:tabs>
          <w:tab w:val="right" w:leader="dot" w:pos="9062"/>
        </w:tabs>
        <w:ind w:left="440"/>
      </w:pPr>
      <w:hyperlink w:anchor="_Toc4400" w:history="1">
        <w:r>
          <w:rPr>
            <w:rFonts w:ascii="IRNazanin" w:hAnsi="IRNazanin" w:eastAsia="IRNazanin" w:cs="IRNazanin"/>
            <w:color w:val="111111"/>
            <w:sz w:val="22"/>
            <w:szCs w:val="22"/>
            <w:b w:val="0"/>
            <w:bCs w:val="0"/>
            <w:i w:val="0"/>
            <w:iCs w:val="0"/>
          </w:rPr>
          <w:t>4299- دیوان صحبت أصفهانی أو شعره‏</w:t>
        </w:r>
        <w:r>
          <w:tab/>
        </w:r>
        <w:r>
          <w:fldChar w:fldCharType="begin"/>
        </w:r>
        <w:r>
          <w:instrText xml:space="preserve">PAGEREF 4400 \h</w:instrText>
        </w:r>
        <w:r>
          <w:fldChar w:fldCharType="end"/>
        </w:r>
      </w:hyperlink>
    </w:p>
    <w:p>
      <w:pPr>
        <w:tabs>
          <w:tab w:val="right" w:leader="dot" w:pos="9062"/>
        </w:tabs>
        <w:ind w:left="440"/>
      </w:pPr>
      <w:hyperlink w:anchor="_Toc4401" w:history="1">
        <w:r>
          <w:rPr>
            <w:rFonts w:ascii="IRNazanin" w:hAnsi="IRNazanin" w:eastAsia="IRNazanin" w:cs="IRNazanin"/>
            <w:color w:val="111111"/>
            <w:sz w:val="22"/>
            <w:szCs w:val="22"/>
            <w:b w:val="0"/>
            <w:bCs w:val="0"/>
            <w:i w:val="0"/>
            <w:iCs w:val="0"/>
          </w:rPr>
          <w:t>4300- دیوان صحبتی تفرشی‏</w:t>
        </w:r>
        <w:r>
          <w:tab/>
        </w:r>
        <w:r>
          <w:fldChar w:fldCharType="begin"/>
        </w:r>
        <w:r>
          <w:instrText xml:space="preserve">PAGEREF 4401 \h</w:instrText>
        </w:r>
        <w:r>
          <w:fldChar w:fldCharType="end"/>
        </w:r>
      </w:hyperlink>
    </w:p>
    <w:p>
      <w:pPr>
        <w:tabs>
          <w:tab w:val="right" w:leader="dot" w:pos="9062"/>
        </w:tabs>
        <w:ind w:left="440"/>
      </w:pPr>
      <w:hyperlink w:anchor="_Toc4402" w:history="1">
        <w:r>
          <w:rPr>
            <w:rFonts w:ascii="IRNazanin" w:hAnsi="IRNazanin" w:eastAsia="IRNazanin" w:cs="IRNazanin"/>
            <w:color w:val="111111"/>
            <w:sz w:val="22"/>
            <w:szCs w:val="22"/>
            <w:b w:val="0"/>
            <w:bCs w:val="0"/>
            <w:i w:val="0"/>
            <w:iCs w:val="0"/>
          </w:rPr>
          <w:t>4301- دیوان صحبت لاری‏</w:t>
        </w:r>
        <w:r>
          <w:tab/>
        </w:r>
        <w:r>
          <w:fldChar w:fldCharType="begin"/>
        </w:r>
        <w:r>
          <w:instrText xml:space="preserve">PAGEREF 4402 \h</w:instrText>
        </w:r>
        <w:r>
          <w:fldChar w:fldCharType="end"/>
        </w:r>
      </w:hyperlink>
    </w:p>
    <w:p>
      <w:pPr>
        <w:tabs>
          <w:tab w:val="right" w:leader="dot" w:pos="9062"/>
        </w:tabs>
        <w:ind w:left="440"/>
      </w:pPr>
      <w:hyperlink w:anchor="_Toc4403" w:history="1">
        <w:r>
          <w:rPr>
            <w:rFonts w:ascii="IRNazanin" w:hAnsi="IRNazanin" w:eastAsia="IRNazanin" w:cs="IRNazanin"/>
            <w:color w:val="111111"/>
            <w:sz w:val="22"/>
            <w:szCs w:val="22"/>
            <w:b w:val="0"/>
            <w:bCs w:val="0"/>
            <w:i w:val="0"/>
            <w:iCs w:val="0"/>
          </w:rPr>
          <w:t>4302- دیوان صحرائی رازی‏</w:t>
        </w:r>
        <w:r>
          <w:tab/>
        </w:r>
        <w:r>
          <w:fldChar w:fldCharType="begin"/>
        </w:r>
        <w:r>
          <w:instrText xml:space="preserve">PAGEREF 4403 \h</w:instrText>
        </w:r>
        <w:r>
          <w:fldChar w:fldCharType="end"/>
        </w:r>
      </w:hyperlink>
    </w:p>
    <w:p>
      <w:pPr>
        <w:tabs>
          <w:tab w:val="right" w:leader="dot" w:pos="9062"/>
        </w:tabs>
        <w:ind w:left="440"/>
      </w:pPr>
      <w:hyperlink w:anchor="_Toc4404" w:history="1">
        <w:r>
          <w:rPr>
            <w:rFonts w:ascii="IRNazanin" w:hAnsi="IRNazanin" w:eastAsia="IRNazanin" w:cs="IRNazanin"/>
            <w:color w:val="111111"/>
            <w:sz w:val="22"/>
            <w:szCs w:val="22"/>
            <w:b w:val="0"/>
            <w:bCs w:val="0"/>
            <w:i w:val="0"/>
            <w:iCs w:val="0"/>
          </w:rPr>
          <w:t>4303- دیوان مولانا صحیفی شیرازی‏</w:t>
        </w:r>
        <w:r>
          <w:tab/>
        </w:r>
        <w:r>
          <w:fldChar w:fldCharType="begin"/>
        </w:r>
        <w:r>
          <w:instrText xml:space="preserve">PAGEREF 4404 \h</w:instrText>
        </w:r>
        <w:r>
          <w:fldChar w:fldCharType="end"/>
        </w:r>
      </w:hyperlink>
    </w:p>
    <w:p>
      <w:pPr>
        <w:tabs>
          <w:tab w:val="right" w:leader="dot" w:pos="9062"/>
        </w:tabs>
        <w:ind w:left="440"/>
      </w:pPr>
      <w:hyperlink w:anchor="_Toc4405" w:history="1">
        <w:r>
          <w:rPr>
            <w:rFonts w:ascii="IRNazanin" w:hAnsi="IRNazanin" w:eastAsia="IRNazanin" w:cs="IRNazanin"/>
            <w:color w:val="111111"/>
            <w:sz w:val="22"/>
            <w:szCs w:val="22"/>
            <w:b w:val="0"/>
            <w:bCs w:val="0"/>
            <w:i w:val="0"/>
            <w:iCs w:val="0"/>
          </w:rPr>
          <w:t>4304- دیوان صداقت گنجاوی‏</w:t>
        </w:r>
        <w:r>
          <w:tab/>
        </w:r>
        <w:r>
          <w:fldChar w:fldCharType="begin"/>
        </w:r>
        <w:r>
          <w:instrText xml:space="preserve">PAGEREF 4405 \h</w:instrText>
        </w:r>
        <w:r>
          <w:fldChar w:fldCharType="end"/>
        </w:r>
      </w:hyperlink>
    </w:p>
    <w:p>
      <w:pPr>
        <w:tabs>
          <w:tab w:val="right" w:leader="dot" w:pos="9062"/>
        </w:tabs>
        <w:ind w:left="440"/>
      </w:pPr>
      <w:hyperlink w:anchor="_Toc4406" w:history="1">
        <w:r>
          <w:rPr>
            <w:rFonts w:ascii="IRNazanin" w:hAnsi="IRNazanin" w:eastAsia="IRNazanin" w:cs="IRNazanin"/>
            <w:color w:val="111111"/>
            <w:sz w:val="22"/>
            <w:szCs w:val="22"/>
            <w:b w:val="0"/>
            <w:bCs w:val="0"/>
            <w:i w:val="0"/>
            <w:iCs w:val="0"/>
          </w:rPr>
          <w:t>4305- دیوان صدرای أصفهانی أو شعره‏</w:t>
        </w:r>
        <w:r>
          <w:tab/>
        </w:r>
        <w:r>
          <w:fldChar w:fldCharType="begin"/>
        </w:r>
        <w:r>
          <w:instrText xml:space="preserve">PAGEREF 4406 \h</w:instrText>
        </w:r>
        <w:r>
          <w:fldChar w:fldCharType="end"/>
        </w:r>
      </w:hyperlink>
    </w:p>
    <w:p>
      <w:pPr>
        <w:tabs>
          <w:tab w:val="right" w:leader="dot" w:pos="9062"/>
        </w:tabs>
        <w:ind w:left="440"/>
      </w:pPr>
      <w:hyperlink w:anchor="_Toc4407" w:history="1">
        <w:r>
          <w:rPr>
            <w:rFonts w:ascii="IRNazanin" w:hAnsi="IRNazanin" w:eastAsia="IRNazanin" w:cs="IRNazanin"/>
            <w:color w:val="111111"/>
            <w:sz w:val="22"/>
            <w:szCs w:val="22"/>
            <w:b w:val="0"/>
            <w:bCs w:val="0"/>
            <w:i w:val="0"/>
            <w:iCs w:val="0"/>
          </w:rPr>
          <w:t>4306- دیوان ملا صدرای شیرازی‏</w:t>
        </w:r>
        <w:r>
          <w:tab/>
        </w:r>
        <w:r>
          <w:fldChar w:fldCharType="begin"/>
        </w:r>
        <w:r>
          <w:instrText xml:space="preserve">PAGEREF 4407 \h</w:instrText>
        </w:r>
        <w:r>
          <w:fldChar w:fldCharType="end"/>
        </w:r>
      </w:hyperlink>
    </w:p>
    <w:p>
      <w:pPr>
        <w:tabs>
          <w:tab w:val="right" w:leader="dot" w:pos="9062"/>
        </w:tabs>
        <w:ind w:left="440"/>
      </w:pPr>
      <w:hyperlink w:anchor="_Toc4408" w:history="1">
        <w:r>
          <w:rPr>
            <w:rFonts w:ascii="IRNazanin" w:hAnsi="IRNazanin" w:eastAsia="IRNazanin" w:cs="IRNazanin"/>
            <w:color w:val="111111"/>
            <w:sz w:val="22"/>
            <w:szCs w:val="22"/>
            <w:b w:val="0"/>
            <w:bCs w:val="0"/>
            <w:i w:val="0"/>
            <w:iCs w:val="0"/>
          </w:rPr>
          <w:t>4307- دیوان صدر أبهری أو شعره‏</w:t>
        </w:r>
        <w:r>
          <w:tab/>
        </w:r>
        <w:r>
          <w:fldChar w:fldCharType="begin"/>
        </w:r>
        <w:r>
          <w:instrText xml:space="preserve">PAGEREF 4408 \h</w:instrText>
        </w:r>
        <w:r>
          <w:fldChar w:fldCharType="end"/>
        </w:r>
      </w:hyperlink>
    </w:p>
    <w:p>
      <w:pPr>
        <w:tabs>
          <w:tab w:val="right" w:leader="dot" w:pos="9062"/>
        </w:tabs>
        <w:ind w:left="440"/>
      </w:pPr>
      <w:hyperlink w:anchor="_Toc4409" w:history="1">
        <w:r>
          <w:rPr>
            <w:rFonts w:ascii="IRNazanin" w:hAnsi="IRNazanin" w:eastAsia="IRNazanin" w:cs="IRNazanin"/>
            <w:color w:val="111111"/>
            <w:sz w:val="22"/>
            <w:szCs w:val="22"/>
            <w:b w:val="0"/>
            <w:bCs w:val="0"/>
            <w:i w:val="0"/>
            <w:iCs w:val="0"/>
          </w:rPr>
          <w:t>دیوان صدر أعظم‏</w:t>
        </w:r>
        <w:r>
          <w:tab/>
        </w:r>
        <w:r>
          <w:fldChar w:fldCharType="begin"/>
        </w:r>
        <w:r>
          <w:instrText xml:space="preserve">PAGEREF 4409 \h</w:instrText>
        </w:r>
        <w:r>
          <w:fldChar w:fldCharType="end"/>
        </w:r>
      </w:hyperlink>
    </w:p>
    <w:p>
      <w:pPr>
        <w:tabs>
          <w:tab w:val="right" w:leader="dot" w:pos="9062"/>
        </w:tabs>
        <w:ind w:left="440"/>
      </w:pPr>
      <w:hyperlink w:anchor="_Toc4410" w:history="1">
        <w:r>
          <w:rPr>
            <w:rFonts w:ascii="IRNazanin" w:hAnsi="IRNazanin" w:eastAsia="IRNazanin" w:cs="IRNazanin"/>
            <w:color w:val="111111"/>
            <w:sz w:val="22"/>
            <w:szCs w:val="22"/>
            <w:b w:val="0"/>
            <w:bCs w:val="0"/>
            <w:i w:val="0"/>
            <w:iCs w:val="0"/>
          </w:rPr>
          <w:t>دیوان صدر الأفاضل أفشار</w:t>
        </w:r>
        <w:r>
          <w:tab/>
        </w:r>
        <w:r>
          <w:fldChar w:fldCharType="begin"/>
        </w:r>
        <w:r>
          <w:instrText xml:space="preserve">PAGEREF 4410 \h</w:instrText>
        </w:r>
        <w:r>
          <w:fldChar w:fldCharType="end"/>
        </w:r>
      </w:hyperlink>
    </w:p>
    <w:p>
      <w:pPr>
        <w:tabs>
          <w:tab w:val="right" w:leader="dot" w:pos="9062"/>
        </w:tabs>
        <w:ind w:left="440"/>
      </w:pPr>
      <w:hyperlink w:anchor="_Toc4411" w:history="1">
        <w:r>
          <w:rPr>
            <w:rFonts w:ascii="IRNazanin" w:hAnsi="IRNazanin" w:eastAsia="IRNazanin" w:cs="IRNazanin"/>
            <w:color w:val="111111"/>
            <w:sz w:val="22"/>
            <w:szCs w:val="22"/>
            <w:b w:val="0"/>
            <w:bCs w:val="0"/>
            <w:i w:val="0"/>
            <w:iCs w:val="0"/>
          </w:rPr>
          <w:t>دیوان صدر الأفاضل شیرازی‏</w:t>
        </w:r>
        <w:r>
          <w:tab/>
        </w:r>
        <w:r>
          <w:fldChar w:fldCharType="begin"/>
        </w:r>
        <w:r>
          <w:instrText xml:space="preserve">PAGEREF 4411 \h</w:instrText>
        </w:r>
        <w:r>
          <w:fldChar w:fldCharType="end"/>
        </w:r>
      </w:hyperlink>
    </w:p>
    <w:p>
      <w:pPr>
        <w:tabs>
          <w:tab w:val="right" w:leader="dot" w:pos="9062"/>
        </w:tabs>
        <w:ind w:left="440"/>
      </w:pPr>
      <w:hyperlink w:anchor="_Toc4412" w:history="1">
        <w:r>
          <w:rPr>
            <w:rFonts w:ascii="IRNazanin" w:hAnsi="IRNazanin" w:eastAsia="IRNazanin" w:cs="IRNazanin"/>
            <w:color w:val="111111"/>
            <w:sz w:val="22"/>
            <w:szCs w:val="22"/>
            <w:b w:val="0"/>
            <w:bCs w:val="0"/>
            <w:i w:val="0"/>
            <w:iCs w:val="0"/>
          </w:rPr>
          <w:t>4308- دیوان صدر أنصاری أو شعره‏</w:t>
        </w:r>
        <w:r>
          <w:tab/>
        </w:r>
        <w:r>
          <w:fldChar w:fldCharType="begin"/>
        </w:r>
        <w:r>
          <w:instrText xml:space="preserve">PAGEREF 4412 \h</w:instrText>
        </w:r>
        <w:r>
          <w:fldChar w:fldCharType="end"/>
        </w:r>
      </w:hyperlink>
    </w:p>
    <w:p>
      <w:pPr>
        <w:tabs>
          <w:tab w:val="right" w:leader="dot" w:pos="9062"/>
        </w:tabs>
        <w:ind w:left="440"/>
      </w:pPr>
      <w:hyperlink w:anchor="_Toc4413" w:history="1">
        <w:r>
          <w:rPr>
            <w:rFonts w:ascii="IRNazanin" w:hAnsi="IRNazanin" w:eastAsia="IRNazanin" w:cs="IRNazanin"/>
            <w:color w:val="111111"/>
            <w:sz w:val="22"/>
            <w:szCs w:val="22"/>
            <w:b w:val="0"/>
            <w:bCs w:val="0"/>
            <w:i w:val="0"/>
            <w:iCs w:val="0"/>
          </w:rPr>
          <w:t>دیوان الصدر التستری‏</w:t>
        </w:r>
        <w:r>
          <w:tab/>
        </w:r>
        <w:r>
          <w:fldChar w:fldCharType="begin"/>
        </w:r>
        <w:r>
          <w:instrText xml:space="preserve">PAGEREF 4413 \h</w:instrText>
        </w:r>
        <w:r>
          <w:fldChar w:fldCharType="end"/>
        </w:r>
      </w:hyperlink>
    </w:p>
    <w:p>
      <w:pPr>
        <w:tabs>
          <w:tab w:val="right" w:leader="dot" w:pos="9062"/>
        </w:tabs>
        <w:ind w:left="440"/>
      </w:pPr>
      <w:hyperlink w:anchor="_Toc4414" w:history="1">
        <w:r>
          <w:rPr>
            <w:rFonts w:ascii="IRNazanin" w:hAnsi="IRNazanin" w:eastAsia="IRNazanin" w:cs="IRNazanin"/>
            <w:color w:val="111111"/>
            <w:sz w:val="22"/>
            <w:szCs w:val="22"/>
            <w:b w:val="0"/>
            <w:bCs w:val="0"/>
            <w:i w:val="0"/>
            <w:iCs w:val="0"/>
          </w:rPr>
          <w:t>4309- دیوان صدرجهان پهانی أو شعره‏</w:t>
        </w:r>
        <w:r>
          <w:tab/>
        </w:r>
        <w:r>
          <w:fldChar w:fldCharType="begin"/>
        </w:r>
        <w:r>
          <w:instrText xml:space="preserve">PAGEREF 4414 \h</w:instrText>
        </w:r>
        <w:r>
          <w:fldChar w:fldCharType="end"/>
        </w:r>
      </w:hyperlink>
    </w:p>
    <w:p>
      <w:pPr>
        <w:tabs>
          <w:tab w:val="right" w:leader="dot" w:pos="9062"/>
        </w:tabs>
        <w:ind w:left="440"/>
      </w:pPr>
      <w:hyperlink w:anchor="_Toc4415" w:history="1">
        <w:r>
          <w:rPr>
            <w:rFonts w:ascii="IRNazanin" w:hAnsi="IRNazanin" w:eastAsia="IRNazanin" w:cs="IRNazanin"/>
            <w:color w:val="111111"/>
            <w:sz w:val="22"/>
            <w:szCs w:val="22"/>
            <w:b w:val="0"/>
            <w:bCs w:val="0"/>
            <w:i w:val="0"/>
            <w:iCs w:val="0"/>
          </w:rPr>
          <w:t>دیوان صدرجهان سمرقندی‏</w:t>
        </w:r>
        <w:r>
          <w:tab/>
        </w:r>
        <w:r>
          <w:fldChar w:fldCharType="begin"/>
        </w:r>
        <w:r>
          <w:instrText xml:space="preserve">PAGEREF 4415 \h</w:instrText>
        </w:r>
        <w:r>
          <w:fldChar w:fldCharType="end"/>
        </w:r>
      </w:hyperlink>
    </w:p>
    <w:p>
      <w:pPr>
        <w:tabs>
          <w:tab w:val="right" w:leader="dot" w:pos="9062"/>
        </w:tabs>
        <w:ind w:left="440"/>
      </w:pPr>
      <w:hyperlink w:anchor="_Toc4416" w:history="1">
        <w:r>
          <w:rPr>
            <w:rFonts w:ascii="IRNazanin" w:hAnsi="IRNazanin" w:eastAsia="IRNazanin" w:cs="IRNazanin"/>
            <w:color w:val="111111"/>
            <w:sz w:val="22"/>
            <w:szCs w:val="22"/>
            <w:b w:val="0"/>
            <w:bCs w:val="0"/>
            <w:i w:val="0"/>
            <w:iCs w:val="0"/>
          </w:rPr>
          <w:t>4310- دیوان صدر خیابانی أو شعره‏</w:t>
        </w:r>
        <w:r>
          <w:tab/>
        </w:r>
        <w:r>
          <w:fldChar w:fldCharType="begin"/>
        </w:r>
        <w:r>
          <w:instrText xml:space="preserve">PAGEREF 4416 \h</w:instrText>
        </w:r>
        <w:r>
          <w:fldChar w:fldCharType="end"/>
        </w:r>
      </w:hyperlink>
    </w:p>
    <w:p>
      <w:pPr>
        <w:tabs>
          <w:tab w:val="right" w:leader="dot" w:pos="9062"/>
        </w:tabs>
        <w:ind w:left="440"/>
      </w:pPr>
      <w:hyperlink w:anchor="_Toc4417" w:history="1">
        <w:r>
          <w:rPr>
            <w:rFonts w:ascii="IRNazanin" w:hAnsi="IRNazanin" w:eastAsia="IRNazanin" w:cs="IRNazanin"/>
            <w:color w:val="111111"/>
            <w:sz w:val="22"/>
            <w:szCs w:val="22"/>
            <w:b w:val="0"/>
            <w:bCs w:val="0"/>
            <w:i w:val="0"/>
            <w:iCs w:val="0"/>
          </w:rPr>
          <w:t>دیوان صدر دیلمی‏</w:t>
        </w:r>
        <w:r>
          <w:tab/>
        </w:r>
        <w:r>
          <w:fldChar w:fldCharType="begin"/>
        </w:r>
        <w:r>
          <w:instrText xml:space="preserve">PAGEREF 4417 \h</w:instrText>
        </w:r>
        <w:r>
          <w:fldChar w:fldCharType="end"/>
        </w:r>
      </w:hyperlink>
    </w:p>
    <w:p>
      <w:pPr>
        <w:tabs>
          <w:tab w:val="right" w:leader="dot" w:pos="9062"/>
        </w:tabs>
        <w:ind w:left="440"/>
      </w:pPr>
      <w:hyperlink w:anchor="_Toc4418" w:history="1">
        <w:r>
          <w:rPr>
            <w:rFonts w:ascii="IRNazanin" w:hAnsi="IRNazanin" w:eastAsia="IRNazanin" w:cs="IRNazanin"/>
            <w:color w:val="111111"/>
            <w:sz w:val="22"/>
            <w:szCs w:val="22"/>
            <w:b w:val="0"/>
            <w:bCs w:val="0"/>
            <w:i w:val="0"/>
            <w:iCs w:val="0"/>
          </w:rPr>
          <w:t>4311- دیوان صدر الدین الأردبیلی أو شعره‏</w:t>
        </w:r>
        <w:r>
          <w:tab/>
        </w:r>
        <w:r>
          <w:fldChar w:fldCharType="begin"/>
        </w:r>
        <w:r>
          <w:instrText xml:space="preserve">PAGEREF 4418 \h</w:instrText>
        </w:r>
        <w:r>
          <w:fldChar w:fldCharType="end"/>
        </w:r>
      </w:hyperlink>
    </w:p>
    <w:p>
      <w:pPr>
        <w:tabs>
          <w:tab w:val="right" w:leader="dot" w:pos="9062"/>
        </w:tabs>
        <w:ind w:left="440"/>
      </w:pPr>
      <w:hyperlink w:anchor="_Toc4419" w:history="1">
        <w:r>
          <w:rPr>
            <w:rFonts w:ascii="IRNazanin" w:hAnsi="IRNazanin" w:eastAsia="IRNazanin" w:cs="IRNazanin"/>
            <w:color w:val="111111"/>
            <w:sz w:val="22"/>
            <w:szCs w:val="22"/>
            <w:b w:val="0"/>
            <w:bCs w:val="0"/>
            <w:i w:val="0"/>
            <w:iCs w:val="0"/>
          </w:rPr>
          <w:t>4312- دیوان صدر الدین أردکانی أو شعره‏</w:t>
        </w:r>
        <w:r>
          <w:tab/>
        </w:r>
        <w:r>
          <w:fldChar w:fldCharType="begin"/>
        </w:r>
        <w:r>
          <w:instrText xml:space="preserve">PAGEREF 4419 \h</w:instrText>
        </w:r>
        <w:r>
          <w:fldChar w:fldCharType="end"/>
        </w:r>
      </w:hyperlink>
    </w:p>
    <w:p>
      <w:pPr>
        <w:tabs>
          <w:tab w:val="right" w:leader="dot" w:pos="9062"/>
        </w:tabs>
        <w:ind w:left="440"/>
      </w:pPr>
      <w:hyperlink w:anchor="_Toc4420" w:history="1">
        <w:r>
          <w:rPr>
            <w:rFonts w:ascii="IRNazanin" w:hAnsi="IRNazanin" w:eastAsia="IRNazanin" w:cs="IRNazanin"/>
            <w:color w:val="111111"/>
            <w:sz w:val="22"/>
            <w:szCs w:val="22"/>
            <w:b w:val="0"/>
            <w:bCs w:val="0"/>
            <w:i w:val="0"/>
            <w:iCs w:val="0"/>
          </w:rPr>
          <w:t>4313- دیوان صدر الدین تبریزی أو شعره‏</w:t>
        </w:r>
        <w:r>
          <w:tab/>
        </w:r>
        <w:r>
          <w:fldChar w:fldCharType="begin"/>
        </w:r>
        <w:r>
          <w:instrText xml:space="preserve">PAGEREF 4420 \h</w:instrText>
        </w:r>
        <w:r>
          <w:fldChar w:fldCharType="end"/>
        </w:r>
      </w:hyperlink>
    </w:p>
    <w:p>
      <w:pPr>
        <w:tabs>
          <w:tab w:val="right" w:leader="dot" w:pos="9062"/>
        </w:tabs>
        <w:ind w:left="440"/>
      </w:pPr>
      <w:hyperlink w:anchor="_Toc4421" w:history="1">
        <w:r>
          <w:rPr>
            <w:rFonts w:ascii="IRNazanin" w:hAnsi="IRNazanin" w:eastAsia="IRNazanin" w:cs="IRNazanin"/>
            <w:color w:val="111111"/>
            <w:sz w:val="22"/>
            <w:szCs w:val="22"/>
            <w:b w:val="0"/>
            <w:bCs w:val="0"/>
            <w:i w:val="0"/>
            <w:iCs w:val="0"/>
          </w:rPr>
          <w:t>4314- دیوان صدر الدین الحسینی‏</w:t>
        </w:r>
        <w:r>
          <w:tab/>
        </w:r>
        <w:r>
          <w:fldChar w:fldCharType="begin"/>
        </w:r>
        <w:r>
          <w:instrText xml:space="preserve">PAGEREF 4421 \h</w:instrText>
        </w:r>
        <w:r>
          <w:fldChar w:fldCharType="end"/>
        </w:r>
      </w:hyperlink>
    </w:p>
    <w:p>
      <w:pPr>
        <w:tabs>
          <w:tab w:val="right" w:leader="dot" w:pos="9062"/>
        </w:tabs>
        <w:ind w:left="440"/>
      </w:pPr>
      <w:hyperlink w:anchor="_Toc4422" w:history="1">
        <w:r>
          <w:rPr>
            <w:rFonts w:ascii="IRNazanin" w:hAnsi="IRNazanin" w:eastAsia="IRNazanin" w:cs="IRNazanin"/>
            <w:color w:val="111111"/>
            <w:sz w:val="22"/>
            <w:szCs w:val="22"/>
            <w:b w:val="0"/>
            <w:bCs w:val="0"/>
            <w:i w:val="0"/>
            <w:iCs w:val="0"/>
          </w:rPr>
          <w:t>4315- دیوان صدر الدین دزفولی‏</w:t>
        </w:r>
        <w:r>
          <w:tab/>
        </w:r>
        <w:r>
          <w:fldChar w:fldCharType="begin"/>
        </w:r>
        <w:r>
          <w:instrText xml:space="preserve">PAGEREF 4422 \h</w:instrText>
        </w:r>
        <w:r>
          <w:fldChar w:fldCharType="end"/>
        </w:r>
      </w:hyperlink>
    </w:p>
    <w:p>
      <w:pPr>
        <w:tabs>
          <w:tab w:val="right" w:leader="dot" w:pos="9062"/>
        </w:tabs>
        <w:ind w:left="440"/>
      </w:pPr>
      <w:hyperlink w:anchor="_Toc4423" w:history="1">
        <w:r>
          <w:rPr>
            <w:rFonts w:ascii="IRNazanin" w:hAnsi="IRNazanin" w:eastAsia="IRNazanin" w:cs="IRNazanin"/>
            <w:color w:val="111111"/>
            <w:sz w:val="22"/>
            <w:szCs w:val="22"/>
            <w:b w:val="0"/>
            <w:bCs w:val="0"/>
            <w:i w:val="0"/>
            <w:iCs w:val="0"/>
          </w:rPr>
          <w:t>4316- دیوان صدر الدین رواسی أو شعره‏</w:t>
        </w:r>
        <w:r>
          <w:tab/>
        </w:r>
        <w:r>
          <w:fldChar w:fldCharType="begin"/>
        </w:r>
        <w:r>
          <w:instrText xml:space="preserve">PAGEREF 4423 \h</w:instrText>
        </w:r>
        <w:r>
          <w:fldChar w:fldCharType="end"/>
        </w:r>
      </w:hyperlink>
    </w:p>
    <w:p>
      <w:pPr>
        <w:tabs>
          <w:tab w:val="right" w:leader="dot" w:pos="9062"/>
        </w:tabs>
        <w:ind w:left="440"/>
      </w:pPr>
      <w:hyperlink w:anchor="_Toc4424" w:history="1">
        <w:r>
          <w:rPr>
            <w:rFonts w:ascii="IRNazanin" w:hAnsi="IRNazanin" w:eastAsia="IRNazanin" w:cs="IRNazanin"/>
            <w:color w:val="111111"/>
            <w:sz w:val="22"/>
            <w:szCs w:val="22"/>
            <w:b w:val="0"/>
            <w:bCs w:val="0"/>
            <w:i w:val="0"/>
            <w:iCs w:val="0"/>
          </w:rPr>
          <w:t>4317- دیوان السید صدر الدین العاملی‏</w:t>
        </w:r>
        <w:r>
          <w:tab/>
        </w:r>
        <w:r>
          <w:fldChar w:fldCharType="begin"/>
        </w:r>
        <w:r>
          <w:instrText xml:space="preserve">PAGEREF 4424 \h</w:instrText>
        </w:r>
        <w:r>
          <w:fldChar w:fldCharType="end"/>
        </w:r>
      </w:hyperlink>
    </w:p>
    <w:p>
      <w:pPr>
        <w:tabs>
          <w:tab w:val="right" w:leader="dot" w:pos="9062"/>
        </w:tabs>
        <w:ind w:left="440"/>
      </w:pPr>
      <w:hyperlink w:anchor="_Toc4425" w:history="1">
        <w:r>
          <w:rPr>
            <w:rFonts w:ascii="IRNazanin" w:hAnsi="IRNazanin" w:eastAsia="IRNazanin" w:cs="IRNazanin"/>
            <w:color w:val="111111"/>
            <w:sz w:val="22"/>
            <w:szCs w:val="22"/>
            <w:b w:val="0"/>
            <w:bCs w:val="0"/>
            <w:i w:val="0"/>
            <w:iCs w:val="0"/>
          </w:rPr>
          <w:t>دیوان صدر الدین القونوی‏</w:t>
        </w:r>
        <w:r>
          <w:tab/>
        </w:r>
        <w:r>
          <w:fldChar w:fldCharType="begin"/>
        </w:r>
        <w:r>
          <w:instrText xml:space="preserve">PAGEREF 4425 \h</w:instrText>
        </w:r>
        <w:r>
          <w:fldChar w:fldCharType="end"/>
        </w:r>
      </w:hyperlink>
    </w:p>
    <w:p>
      <w:pPr>
        <w:tabs>
          <w:tab w:val="right" w:leader="dot" w:pos="9062"/>
        </w:tabs>
        <w:ind w:left="440"/>
      </w:pPr>
      <w:hyperlink w:anchor="_Toc4426" w:history="1">
        <w:r>
          <w:rPr>
            <w:rFonts w:ascii="IRNazanin" w:hAnsi="IRNazanin" w:eastAsia="IRNazanin" w:cs="IRNazanin"/>
            <w:color w:val="111111"/>
            <w:sz w:val="22"/>
            <w:szCs w:val="22"/>
            <w:b w:val="0"/>
            <w:bCs w:val="0"/>
            <w:i w:val="0"/>
            <w:iCs w:val="0"/>
          </w:rPr>
          <w:t>4318- دیوان صدر الدین کاشانی أو شعره‏</w:t>
        </w:r>
        <w:r>
          <w:tab/>
        </w:r>
        <w:r>
          <w:fldChar w:fldCharType="begin"/>
        </w:r>
        <w:r>
          <w:instrText xml:space="preserve">PAGEREF 4426 \h</w:instrText>
        </w:r>
        <w:r>
          <w:fldChar w:fldCharType="end"/>
        </w:r>
      </w:hyperlink>
    </w:p>
    <w:p>
      <w:pPr>
        <w:tabs>
          <w:tab w:val="right" w:leader="dot" w:pos="9062"/>
        </w:tabs>
        <w:ind w:left="440"/>
      </w:pPr>
      <w:hyperlink w:anchor="_Toc4427" w:history="1">
        <w:r>
          <w:rPr>
            <w:rFonts w:ascii="IRNazanin" w:hAnsi="IRNazanin" w:eastAsia="IRNazanin" w:cs="IRNazanin"/>
            <w:color w:val="111111"/>
            <w:sz w:val="22"/>
            <w:szCs w:val="22"/>
            <w:b w:val="0"/>
            <w:bCs w:val="0"/>
            <w:i w:val="0"/>
            <w:iCs w:val="0"/>
          </w:rPr>
          <w:t>4319- دیوان صدر الدین کرمانی أو شعره‏</w:t>
        </w:r>
        <w:r>
          <w:tab/>
        </w:r>
        <w:r>
          <w:fldChar w:fldCharType="begin"/>
        </w:r>
        <w:r>
          <w:instrText xml:space="preserve">PAGEREF 4427 \h</w:instrText>
        </w:r>
        <w:r>
          <w:fldChar w:fldCharType="end"/>
        </w:r>
      </w:hyperlink>
    </w:p>
    <w:p>
      <w:pPr>
        <w:tabs>
          <w:tab w:val="right" w:leader="dot" w:pos="9062"/>
        </w:tabs>
        <w:ind w:left="440"/>
      </w:pPr>
      <w:hyperlink w:anchor="_Toc4428" w:history="1">
        <w:r>
          <w:rPr>
            <w:rFonts w:ascii="IRNazanin" w:hAnsi="IRNazanin" w:eastAsia="IRNazanin" w:cs="IRNazanin"/>
            <w:color w:val="111111"/>
            <w:sz w:val="22"/>
            <w:szCs w:val="22"/>
            <w:b w:val="0"/>
            <w:bCs w:val="0"/>
            <w:i w:val="0"/>
            <w:iCs w:val="0"/>
          </w:rPr>
          <w:t>دیوان صدر الدین گیلانی‏</w:t>
        </w:r>
        <w:r>
          <w:tab/>
        </w:r>
        <w:r>
          <w:fldChar w:fldCharType="begin"/>
        </w:r>
        <w:r>
          <w:instrText xml:space="preserve">PAGEREF 4428 \h</w:instrText>
        </w:r>
        <w:r>
          <w:fldChar w:fldCharType="end"/>
        </w:r>
      </w:hyperlink>
    </w:p>
    <w:p>
      <w:pPr>
        <w:tabs>
          <w:tab w:val="right" w:leader="dot" w:pos="9062"/>
        </w:tabs>
        <w:ind w:left="440"/>
      </w:pPr>
      <w:hyperlink w:anchor="_Toc4429" w:history="1">
        <w:r>
          <w:rPr>
            <w:rFonts w:ascii="IRNazanin" w:hAnsi="IRNazanin" w:eastAsia="IRNazanin" w:cs="IRNazanin"/>
            <w:color w:val="111111"/>
            <w:sz w:val="22"/>
            <w:szCs w:val="22"/>
            <w:b w:val="0"/>
            <w:bCs w:val="0"/>
            <w:i w:val="0"/>
            <w:iCs w:val="0"/>
          </w:rPr>
          <w:t>دیوان صدر الدین مجذوب‏</w:t>
        </w:r>
        <w:r>
          <w:tab/>
        </w:r>
        <w:r>
          <w:fldChar w:fldCharType="begin"/>
        </w:r>
        <w:r>
          <w:instrText xml:space="preserve">PAGEREF 4429 \h</w:instrText>
        </w:r>
        <w:r>
          <w:fldChar w:fldCharType="end"/>
        </w:r>
      </w:hyperlink>
    </w:p>
    <w:p>
      <w:pPr>
        <w:tabs>
          <w:tab w:val="right" w:leader="dot" w:pos="9062"/>
        </w:tabs>
        <w:ind w:left="440"/>
      </w:pPr>
      <w:hyperlink w:anchor="_Toc4430" w:history="1">
        <w:r>
          <w:rPr>
            <w:rFonts w:ascii="IRNazanin" w:hAnsi="IRNazanin" w:eastAsia="IRNazanin" w:cs="IRNazanin"/>
            <w:color w:val="111111"/>
            <w:sz w:val="22"/>
            <w:szCs w:val="22"/>
            <w:b w:val="0"/>
            <w:bCs w:val="0"/>
            <w:i w:val="0"/>
            <w:iCs w:val="0"/>
          </w:rPr>
          <w:t>4320- دیوان صدر الدین النیشابوری‏</w:t>
        </w:r>
        <w:r>
          <w:tab/>
        </w:r>
        <w:r>
          <w:fldChar w:fldCharType="begin"/>
        </w:r>
        <w:r>
          <w:instrText xml:space="preserve">PAGEREF 4430 \h</w:instrText>
        </w:r>
        <w:r>
          <w:fldChar w:fldCharType="end"/>
        </w:r>
      </w:hyperlink>
    </w:p>
    <w:p>
      <w:pPr>
        <w:tabs>
          <w:tab w:val="right" w:leader="dot" w:pos="9062"/>
        </w:tabs>
        <w:ind w:left="440"/>
      </w:pPr>
      <w:hyperlink w:anchor="_Toc4431" w:history="1">
        <w:r>
          <w:rPr>
            <w:rFonts w:ascii="IRNazanin" w:hAnsi="IRNazanin" w:eastAsia="IRNazanin" w:cs="IRNazanin"/>
            <w:color w:val="111111"/>
            <w:sz w:val="22"/>
            <w:szCs w:val="22"/>
            <w:b w:val="0"/>
            <w:bCs w:val="0"/>
            <w:i w:val="0"/>
            <w:iCs w:val="0"/>
          </w:rPr>
          <w:t>4321- دیوان صدر دیوانه‏</w:t>
        </w:r>
        <w:r>
          <w:tab/>
        </w:r>
        <w:r>
          <w:fldChar w:fldCharType="begin"/>
        </w:r>
        <w:r>
          <w:instrText xml:space="preserve">PAGEREF 4431 \h</w:instrText>
        </w:r>
        <w:r>
          <w:fldChar w:fldCharType="end"/>
        </w:r>
      </w:hyperlink>
    </w:p>
    <w:p>
      <w:pPr>
        <w:tabs>
          <w:tab w:val="right" w:leader="dot" w:pos="9062"/>
        </w:tabs>
        <w:ind w:left="440"/>
      </w:pPr>
      <w:hyperlink w:anchor="_Toc4432" w:history="1">
        <w:r>
          <w:rPr>
            <w:rFonts w:ascii="IRNazanin" w:hAnsi="IRNazanin" w:eastAsia="IRNazanin" w:cs="IRNazanin"/>
            <w:color w:val="111111"/>
            <w:sz w:val="22"/>
            <w:szCs w:val="22"/>
            <w:b w:val="0"/>
            <w:bCs w:val="0"/>
            <w:i w:val="0"/>
            <w:iCs w:val="0"/>
          </w:rPr>
          <w:t>4322- دیوان صدر الشعراء قاجار</w:t>
        </w:r>
        <w:r>
          <w:tab/>
        </w:r>
        <w:r>
          <w:fldChar w:fldCharType="begin"/>
        </w:r>
        <w:r>
          <w:instrText xml:space="preserve">PAGEREF 4432 \h</w:instrText>
        </w:r>
        <w:r>
          <w:fldChar w:fldCharType="end"/>
        </w:r>
      </w:hyperlink>
    </w:p>
    <w:p>
      <w:pPr>
        <w:tabs>
          <w:tab w:val="right" w:leader="dot" w:pos="9062"/>
        </w:tabs>
        <w:ind w:left="440"/>
      </w:pPr>
      <w:hyperlink w:anchor="_Toc4433" w:history="1">
        <w:r>
          <w:rPr>
            <w:rFonts w:ascii="IRNazanin" w:hAnsi="IRNazanin" w:eastAsia="IRNazanin" w:cs="IRNazanin"/>
            <w:color w:val="111111"/>
            <w:sz w:val="22"/>
            <w:szCs w:val="22"/>
            <w:b w:val="0"/>
            <w:bCs w:val="0"/>
            <w:i w:val="0"/>
            <w:iCs w:val="0"/>
          </w:rPr>
          <w:t>4323- دیوان صدر شوشتری‏</w:t>
        </w:r>
        <w:r>
          <w:tab/>
        </w:r>
        <w:r>
          <w:fldChar w:fldCharType="begin"/>
        </w:r>
        <w:r>
          <w:instrText xml:space="preserve">PAGEREF 4433 \h</w:instrText>
        </w:r>
        <w:r>
          <w:fldChar w:fldCharType="end"/>
        </w:r>
      </w:hyperlink>
    </w:p>
    <w:p>
      <w:pPr>
        <w:tabs>
          <w:tab w:val="right" w:leader="dot" w:pos="9062"/>
        </w:tabs>
        <w:ind w:left="440"/>
      </w:pPr>
      <w:hyperlink w:anchor="_Toc4434" w:history="1">
        <w:r>
          <w:rPr>
            <w:rFonts w:ascii="IRNazanin" w:hAnsi="IRNazanin" w:eastAsia="IRNazanin" w:cs="IRNazanin"/>
            <w:color w:val="111111"/>
            <w:sz w:val="22"/>
            <w:szCs w:val="22"/>
            <w:b w:val="0"/>
            <w:bCs w:val="0"/>
            <w:i w:val="0"/>
            <w:iCs w:val="0"/>
          </w:rPr>
          <w:t>دیوان صدر طوسی‏</w:t>
        </w:r>
        <w:r>
          <w:tab/>
        </w:r>
        <w:r>
          <w:fldChar w:fldCharType="begin"/>
        </w:r>
        <w:r>
          <w:instrText xml:space="preserve">PAGEREF 4434 \h</w:instrText>
        </w:r>
        <w:r>
          <w:fldChar w:fldCharType="end"/>
        </w:r>
      </w:hyperlink>
    </w:p>
    <w:p>
      <w:pPr>
        <w:tabs>
          <w:tab w:val="right" w:leader="dot" w:pos="9062"/>
        </w:tabs>
        <w:ind w:left="440"/>
      </w:pPr>
      <w:hyperlink w:anchor="_Toc4435" w:history="1">
        <w:r>
          <w:rPr>
            <w:rFonts w:ascii="IRNazanin" w:hAnsi="IRNazanin" w:eastAsia="IRNazanin" w:cs="IRNazanin"/>
            <w:color w:val="111111"/>
            <w:sz w:val="22"/>
            <w:szCs w:val="22"/>
            <w:b w:val="0"/>
            <w:bCs w:val="0"/>
            <w:i w:val="0"/>
            <w:iCs w:val="0"/>
          </w:rPr>
          <w:t>4324- دیوان صدر قزوینی أو شعره‏</w:t>
        </w:r>
        <w:r>
          <w:tab/>
        </w:r>
        <w:r>
          <w:fldChar w:fldCharType="begin"/>
        </w:r>
        <w:r>
          <w:instrText xml:space="preserve">PAGEREF 4435 \h</w:instrText>
        </w:r>
        <w:r>
          <w:fldChar w:fldCharType="end"/>
        </w:r>
      </w:hyperlink>
    </w:p>
    <w:p>
      <w:pPr>
        <w:tabs>
          <w:tab w:val="right" w:leader="dot" w:pos="9062"/>
        </w:tabs>
        <w:ind w:left="440"/>
      </w:pPr>
      <w:hyperlink w:anchor="_Toc4436" w:history="1">
        <w:r>
          <w:rPr>
            <w:rFonts w:ascii="IRNazanin" w:hAnsi="IRNazanin" w:eastAsia="IRNazanin" w:cs="IRNazanin"/>
            <w:color w:val="111111"/>
            <w:sz w:val="22"/>
            <w:szCs w:val="22"/>
            <w:b w:val="0"/>
            <w:bCs w:val="0"/>
            <w:i w:val="0"/>
            <w:iCs w:val="0"/>
          </w:rPr>
          <w:t>4325- دیوان صدر قونوی‏</w:t>
        </w:r>
        <w:r>
          <w:tab/>
        </w:r>
        <w:r>
          <w:fldChar w:fldCharType="begin"/>
        </w:r>
        <w:r>
          <w:instrText xml:space="preserve">PAGEREF 4436 \h</w:instrText>
        </w:r>
        <w:r>
          <w:fldChar w:fldCharType="end"/>
        </w:r>
      </w:hyperlink>
    </w:p>
    <w:p>
      <w:pPr>
        <w:tabs>
          <w:tab w:val="right" w:leader="dot" w:pos="9062"/>
        </w:tabs>
        <w:ind w:left="440"/>
      </w:pPr>
      <w:hyperlink w:anchor="_Toc4437" w:history="1">
        <w:r>
          <w:rPr>
            <w:rFonts w:ascii="IRNazanin" w:hAnsi="IRNazanin" w:eastAsia="IRNazanin" w:cs="IRNazanin"/>
            <w:color w:val="111111"/>
            <w:sz w:val="22"/>
            <w:szCs w:val="22"/>
            <w:b w:val="0"/>
            <w:bCs w:val="0"/>
            <w:i w:val="0"/>
            <w:iCs w:val="0"/>
          </w:rPr>
          <w:t>4326- دیوان صدر کاتب أو شعره‏</w:t>
        </w:r>
        <w:r>
          <w:tab/>
        </w:r>
        <w:r>
          <w:fldChar w:fldCharType="begin"/>
        </w:r>
        <w:r>
          <w:instrText xml:space="preserve">PAGEREF 4437 \h</w:instrText>
        </w:r>
        <w:r>
          <w:fldChar w:fldCharType="end"/>
        </w:r>
      </w:hyperlink>
    </w:p>
    <w:p>
      <w:pPr>
        <w:tabs>
          <w:tab w:val="right" w:leader="dot" w:pos="9062"/>
        </w:tabs>
        <w:ind w:left="440"/>
      </w:pPr>
      <w:hyperlink w:anchor="_Toc4438" w:history="1">
        <w:r>
          <w:rPr>
            <w:rFonts w:ascii="IRNazanin" w:hAnsi="IRNazanin" w:eastAsia="IRNazanin" w:cs="IRNazanin"/>
            <w:color w:val="111111"/>
            <w:sz w:val="22"/>
            <w:szCs w:val="22"/>
            <w:b w:val="0"/>
            <w:bCs w:val="0"/>
            <w:i w:val="0"/>
            <w:iCs w:val="0"/>
          </w:rPr>
          <w:t>دیوان صدر کرمانی‏</w:t>
        </w:r>
        <w:r>
          <w:tab/>
        </w:r>
        <w:r>
          <w:fldChar w:fldCharType="begin"/>
        </w:r>
        <w:r>
          <w:instrText xml:space="preserve">PAGEREF 4438 \h</w:instrText>
        </w:r>
        <w:r>
          <w:fldChar w:fldCharType="end"/>
        </w:r>
      </w:hyperlink>
    </w:p>
    <w:p>
      <w:pPr>
        <w:tabs>
          <w:tab w:val="right" w:leader="dot" w:pos="9062"/>
        </w:tabs>
        <w:ind w:left="440"/>
      </w:pPr>
      <w:hyperlink w:anchor="_Toc4439" w:history="1">
        <w:r>
          <w:rPr>
            <w:rFonts w:ascii="IRNazanin" w:hAnsi="IRNazanin" w:eastAsia="IRNazanin" w:cs="IRNazanin"/>
            <w:color w:val="111111"/>
            <w:sz w:val="22"/>
            <w:szCs w:val="22"/>
            <w:b w:val="0"/>
            <w:bCs w:val="0"/>
            <w:i w:val="0"/>
            <w:iCs w:val="0"/>
          </w:rPr>
          <w:t>دیوان صدر گیلانی‏</w:t>
        </w:r>
        <w:r>
          <w:tab/>
        </w:r>
        <w:r>
          <w:fldChar w:fldCharType="begin"/>
        </w:r>
        <w:r>
          <w:instrText xml:space="preserve">PAGEREF 4439 \h</w:instrText>
        </w:r>
        <w:r>
          <w:fldChar w:fldCharType="end"/>
        </w:r>
      </w:hyperlink>
    </w:p>
    <w:p>
      <w:pPr>
        <w:tabs>
          <w:tab w:val="right" w:leader="dot" w:pos="9062"/>
        </w:tabs>
        <w:ind w:left="440"/>
      </w:pPr>
      <w:hyperlink w:anchor="_Toc4440" w:history="1">
        <w:r>
          <w:rPr>
            <w:rFonts w:ascii="IRNazanin" w:hAnsi="IRNazanin" w:eastAsia="IRNazanin" w:cs="IRNazanin"/>
            <w:color w:val="111111"/>
            <w:sz w:val="22"/>
            <w:szCs w:val="22"/>
            <w:b w:val="0"/>
            <w:bCs w:val="0"/>
            <w:i w:val="0"/>
            <w:iCs w:val="0"/>
          </w:rPr>
          <w:t>دیوان صدر الممالک أردبیلی‏</w:t>
        </w:r>
        <w:r>
          <w:tab/>
        </w:r>
        <w:r>
          <w:fldChar w:fldCharType="begin"/>
        </w:r>
        <w:r>
          <w:instrText xml:space="preserve">PAGEREF 4440 \h</w:instrText>
        </w:r>
        <w:r>
          <w:fldChar w:fldCharType="end"/>
        </w:r>
      </w:hyperlink>
    </w:p>
    <w:p>
      <w:pPr>
        <w:tabs>
          <w:tab w:val="right" w:leader="dot" w:pos="9062"/>
        </w:tabs>
        <w:ind w:left="440"/>
      </w:pPr>
      <w:hyperlink w:anchor="_Toc4441" w:history="1">
        <w:r>
          <w:rPr>
            <w:rFonts w:ascii="IRNazanin" w:hAnsi="IRNazanin" w:eastAsia="IRNazanin" w:cs="IRNazanin"/>
            <w:color w:val="111111"/>
            <w:sz w:val="22"/>
            <w:szCs w:val="22"/>
            <w:b w:val="0"/>
            <w:bCs w:val="0"/>
            <w:i w:val="0"/>
            <w:iCs w:val="0"/>
          </w:rPr>
          <w:t>4327- دیوان صدر مشهدی أو شعره‏</w:t>
        </w:r>
        <w:r>
          <w:tab/>
        </w:r>
        <w:r>
          <w:fldChar w:fldCharType="begin"/>
        </w:r>
        <w:r>
          <w:instrText xml:space="preserve">PAGEREF 4441 \h</w:instrText>
        </w:r>
        <w:r>
          <w:fldChar w:fldCharType="end"/>
        </w:r>
      </w:hyperlink>
    </w:p>
    <w:p>
      <w:pPr>
        <w:tabs>
          <w:tab w:val="right" w:leader="dot" w:pos="9062"/>
        </w:tabs>
        <w:ind w:left="440"/>
      </w:pPr>
      <w:hyperlink w:anchor="_Toc4442" w:history="1">
        <w:r>
          <w:rPr>
            <w:rFonts w:ascii="IRNazanin" w:hAnsi="IRNazanin" w:eastAsia="IRNazanin" w:cs="IRNazanin"/>
            <w:color w:val="111111"/>
            <w:sz w:val="22"/>
            <w:szCs w:val="22"/>
            <w:b w:val="0"/>
            <w:bCs w:val="0"/>
            <w:i w:val="0"/>
            <w:iCs w:val="0"/>
          </w:rPr>
          <w:t>دیوان صدر نیشابوری‏</w:t>
        </w:r>
        <w:r>
          <w:tab/>
        </w:r>
        <w:r>
          <w:fldChar w:fldCharType="begin"/>
        </w:r>
        <w:r>
          <w:instrText xml:space="preserve">PAGEREF 4442 \h</w:instrText>
        </w:r>
        <w:r>
          <w:fldChar w:fldCharType="end"/>
        </w:r>
      </w:hyperlink>
    </w:p>
    <w:p>
      <w:pPr>
        <w:tabs>
          <w:tab w:val="right" w:leader="dot" w:pos="9062"/>
        </w:tabs>
        <w:ind w:left="440"/>
      </w:pPr>
      <w:hyperlink w:anchor="_Toc4443" w:history="1">
        <w:r>
          <w:rPr>
            <w:rFonts w:ascii="IRNazanin" w:hAnsi="IRNazanin" w:eastAsia="IRNazanin" w:cs="IRNazanin"/>
            <w:color w:val="111111"/>
            <w:sz w:val="22"/>
            <w:szCs w:val="22"/>
            <w:b w:val="0"/>
            <w:bCs w:val="0"/>
            <w:i w:val="0"/>
            <w:iCs w:val="0"/>
          </w:rPr>
          <w:t>دیوان صدر هروی‏</w:t>
        </w:r>
        <w:r>
          <w:tab/>
        </w:r>
        <w:r>
          <w:fldChar w:fldCharType="begin"/>
        </w:r>
        <w:r>
          <w:instrText xml:space="preserve">PAGEREF 4443 \h</w:instrText>
        </w:r>
        <w:r>
          <w:fldChar w:fldCharType="end"/>
        </w:r>
      </w:hyperlink>
    </w:p>
    <w:p>
      <w:pPr>
        <w:tabs>
          <w:tab w:val="right" w:leader="dot" w:pos="9062"/>
        </w:tabs>
        <w:ind w:left="440"/>
      </w:pPr>
      <w:hyperlink w:anchor="_Toc4444" w:history="1">
        <w:r>
          <w:rPr>
            <w:rFonts w:ascii="IRNazanin" w:hAnsi="IRNazanin" w:eastAsia="IRNazanin" w:cs="IRNazanin"/>
            <w:color w:val="111111"/>
            <w:sz w:val="22"/>
            <w:szCs w:val="22"/>
            <w:b w:val="0"/>
            <w:bCs w:val="0"/>
            <w:i w:val="0"/>
            <w:iCs w:val="0"/>
          </w:rPr>
          <w:t>4328- دیوان صدر همدانی‏</w:t>
        </w:r>
        <w:r>
          <w:tab/>
        </w:r>
        <w:r>
          <w:fldChar w:fldCharType="begin"/>
        </w:r>
        <w:r>
          <w:instrText xml:space="preserve">PAGEREF 4444 \h</w:instrText>
        </w:r>
        <w:r>
          <w:fldChar w:fldCharType="end"/>
        </w:r>
      </w:hyperlink>
    </w:p>
    <w:p>
      <w:pPr>
        <w:tabs>
          <w:tab w:val="right" w:leader="dot" w:pos="9062"/>
        </w:tabs>
        <w:ind w:left="440"/>
      </w:pPr>
      <w:hyperlink w:anchor="_Toc4445" w:history="1">
        <w:r>
          <w:rPr>
            <w:rFonts w:ascii="IRNazanin" w:hAnsi="IRNazanin" w:eastAsia="IRNazanin" w:cs="IRNazanin"/>
            <w:color w:val="111111"/>
            <w:sz w:val="22"/>
            <w:szCs w:val="22"/>
            <w:b w:val="0"/>
            <w:bCs w:val="0"/>
            <w:i w:val="0"/>
            <w:iCs w:val="0"/>
          </w:rPr>
          <w:t>4329- دیوان صدقی أسترآبادی‏</w:t>
        </w:r>
        <w:r>
          <w:tab/>
        </w:r>
        <w:r>
          <w:fldChar w:fldCharType="begin"/>
        </w:r>
        <w:r>
          <w:instrText xml:space="preserve">PAGEREF 4445 \h</w:instrText>
        </w:r>
        <w:r>
          <w:fldChar w:fldCharType="end"/>
        </w:r>
      </w:hyperlink>
    </w:p>
    <w:p>
      <w:pPr>
        <w:tabs>
          <w:tab w:val="right" w:leader="dot" w:pos="9062"/>
        </w:tabs>
        <w:ind w:left="440"/>
      </w:pPr>
      <w:hyperlink w:anchor="_Toc4446" w:history="1">
        <w:r>
          <w:rPr>
            <w:rFonts w:ascii="IRNazanin" w:hAnsi="IRNazanin" w:eastAsia="IRNazanin" w:cs="IRNazanin"/>
            <w:color w:val="111111"/>
            <w:sz w:val="22"/>
            <w:szCs w:val="22"/>
            <w:b w:val="0"/>
            <w:bCs w:val="0"/>
            <w:i w:val="0"/>
            <w:iCs w:val="0"/>
          </w:rPr>
          <w:t>4330- دیوان صدقی أصفهانی أو شعره‏</w:t>
        </w:r>
        <w:r>
          <w:tab/>
        </w:r>
        <w:r>
          <w:fldChar w:fldCharType="begin"/>
        </w:r>
        <w:r>
          <w:instrText xml:space="preserve">PAGEREF 4446 \h</w:instrText>
        </w:r>
        <w:r>
          <w:fldChar w:fldCharType="end"/>
        </w:r>
      </w:hyperlink>
    </w:p>
    <w:p>
      <w:pPr>
        <w:tabs>
          <w:tab w:val="right" w:leader="dot" w:pos="9062"/>
        </w:tabs>
        <w:ind w:left="440"/>
      </w:pPr>
      <w:hyperlink w:anchor="_Toc4447" w:history="1">
        <w:r>
          <w:rPr>
            <w:rFonts w:ascii="IRNazanin" w:hAnsi="IRNazanin" w:eastAsia="IRNazanin" w:cs="IRNazanin"/>
            <w:color w:val="111111"/>
            <w:sz w:val="22"/>
            <w:szCs w:val="22"/>
            <w:b w:val="0"/>
            <w:bCs w:val="0"/>
            <w:i w:val="0"/>
            <w:iCs w:val="0"/>
          </w:rPr>
          <w:t>دیوان صدقی کاشانی‏</w:t>
        </w:r>
        <w:r>
          <w:tab/>
        </w:r>
        <w:r>
          <w:fldChar w:fldCharType="begin"/>
        </w:r>
        <w:r>
          <w:instrText xml:space="preserve">PAGEREF 4447 \h</w:instrText>
        </w:r>
        <w:r>
          <w:fldChar w:fldCharType="end"/>
        </w:r>
      </w:hyperlink>
    </w:p>
    <w:p>
      <w:pPr>
        <w:tabs>
          <w:tab w:val="right" w:leader="dot" w:pos="9062"/>
        </w:tabs>
        <w:ind w:left="440"/>
      </w:pPr>
      <w:hyperlink w:anchor="_Toc4448" w:history="1">
        <w:r>
          <w:rPr>
            <w:rFonts w:ascii="IRNazanin" w:hAnsi="IRNazanin" w:eastAsia="IRNazanin" w:cs="IRNazanin"/>
            <w:color w:val="111111"/>
            <w:sz w:val="22"/>
            <w:szCs w:val="22"/>
            <w:b w:val="0"/>
            <w:bCs w:val="0"/>
            <w:i w:val="0"/>
            <w:iCs w:val="0"/>
          </w:rPr>
          <w:t>4331- دیوان صدقی کرمانی‏</w:t>
        </w:r>
        <w:r>
          <w:tab/>
        </w:r>
        <w:r>
          <w:fldChar w:fldCharType="begin"/>
        </w:r>
        <w:r>
          <w:instrText xml:space="preserve">PAGEREF 4448 \h</w:instrText>
        </w:r>
        <w:r>
          <w:fldChar w:fldCharType="end"/>
        </w:r>
      </w:hyperlink>
    </w:p>
    <w:p>
      <w:pPr>
        <w:tabs>
          <w:tab w:val="right" w:leader="dot" w:pos="9062"/>
        </w:tabs>
        <w:ind w:left="440"/>
      </w:pPr>
      <w:hyperlink w:anchor="_Toc4449" w:history="1">
        <w:r>
          <w:rPr>
            <w:rFonts w:ascii="IRNazanin" w:hAnsi="IRNazanin" w:eastAsia="IRNazanin" w:cs="IRNazanin"/>
            <w:color w:val="111111"/>
            <w:sz w:val="22"/>
            <w:szCs w:val="22"/>
            <w:b w:val="0"/>
            <w:bCs w:val="0"/>
            <w:i w:val="0"/>
            <w:iCs w:val="0"/>
          </w:rPr>
          <w:t>4332- دیوان ملا صدقی هروی‏</w:t>
        </w:r>
        <w:r>
          <w:tab/>
        </w:r>
        <w:r>
          <w:fldChar w:fldCharType="begin"/>
        </w:r>
        <w:r>
          <w:instrText xml:space="preserve">PAGEREF 4449 \h</w:instrText>
        </w:r>
        <w:r>
          <w:fldChar w:fldCharType="end"/>
        </w:r>
      </w:hyperlink>
    </w:p>
    <w:p>
      <w:pPr>
        <w:tabs>
          <w:tab w:val="right" w:leader="dot" w:pos="9062"/>
        </w:tabs>
        <w:ind w:left="440"/>
      </w:pPr>
      <w:hyperlink w:anchor="_Toc4450" w:history="1">
        <w:r>
          <w:rPr>
            <w:rFonts w:ascii="IRNazanin" w:hAnsi="IRNazanin" w:eastAsia="IRNazanin" w:cs="IRNazanin"/>
            <w:color w:val="111111"/>
            <w:sz w:val="22"/>
            <w:szCs w:val="22"/>
            <w:b w:val="0"/>
            <w:bCs w:val="0"/>
            <w:i w:val="0"/>
            <w:iCs w:val="0"/>
          </w:rPr>
          <w:t>4333- دیوان صراف أصفهانی أو شعره‏</w:t>
        </w:r>
        <w:r>
          <w:tab/>
        </w:r>
        <w:r>
          <w:fldChar w:fldCharType="begin"/>
        </w:r>
        <w:r>
          <w:instrText xml:space="preserve">PAGEREF 4450 \h</w:instrText>
        </w:r>
        <w:r>
          <w:fldChar w:fldCharType="end"/>
        </w:r>
      </w:hyperlink>
    </w:p>
    <w:p>
      <w:pPr>
        <w:tabs>
          <w:tab w:val="right" w:leader="dot" w:pos="9062"/>
        </w:tabs>
        <w:ind w:left="440"/>
      </w:pPr>
      <w:hyperlink w:anchor="_Toc4451" w:history="1">
        <w:r>
          <w:rPr>
            <w:rFonts w:ascii="IRNazanin" w:hAnsi="IRNazanin" w:eastAsia="IRNazanin" w:cs="IRNazanin"/>
            <w:color w:val="111111"/>
            <w:sz w:val="22"/>
            <w:szCs w:val="22"/>
            <w:b w:val="0"/>
            <w:bCs w:val="0"/>
            <w:i w:val="0"/>
            <w:iCs w:val="0"/>
          </w:rPr>
          <w:t>4334- دیوان صراف تبریزی‏</w:t>
        </w:r>
        <w:r>
          <w:tab/>
        </w:r>
        <w:r>
          <w:fldChar w:fldCharType="begin"/>
        </w:r>
        <w:r>
          <w:instrText xml:space="preserve">PAGEREF 4451 \h</w:instrText>
        </w:r>
        <w:r>
          <w:fldChar w:fldCharType="end"/>
        </w:r>
      </w:hyperlink>
    </w:p>
    <w:p>
      <w:pPr>
        <w:tabs>
          <w:tab w:val="right" w:leader="dot" w:pos="9062"/>
        </w:tabs>
        <w:ind w:left="440"/>
      </w:pPr>
      <w:hyperlink w:anchor="_Toc4452" w:history="1">
        <w:r>
          <w:rPr>
            <w:rFonts w:ascii="IRNazanin" w:hAnsi="IRNazanin" w:eastAsia="IRNazanin" w:cs="IRNazanin"/>
            <w:color w:val="111111"/>
            <w:sz w:val="22"/>
            <w:szCs w:val="22"/>
            <w:b w:val="0"/>
            <w:bCs w:val="0"/>
            <w:i w:val="0"/>
            <w:iCs w:val="0"/>
          </w:rPr>
          <w:t>4335- دیوان صرام أصفهانی‏</w:t>
        </w:r>
        <w:r>
          <w:tab/>
        </w:r>
        <w:r>
          <w:fldChar w:fldCharType="begin"/>
        </w:r>
        <w:r>
          <w:instrText xml:space="preserve">PAGEREF 4452 \h</w:instrText>
        </w:r>
        <w:r>
          <w:fldChar w:fldCharType="end"/>
        </w:r>
      </w:hyperlink>
    </w:p>
    <w:p>
      <w:pPr>
        <w:tabs>
          <w:tab w:val="right" w:leader="dot" w:pos="9062"/>
        </w:tabs>
        <w:ind w:left="440"/>
      </w:pPr>
      <w:hyperlink w:anchor="_Toc4453" w:history="1">
        <w:r>
          <w:rPr>
            <w:rFonts w:ascii="IRNazanin" w:hAnsi="IRNazanin" w:eastAsia="IRNazanin" w:cs="IRNazanin"/>
            <w:color w:val="111111"/>
            <w:sz w:val="22"/>
            <w:szCs w:val="22"/>
            <w:b w:val="0"/>
            <w:bCs w:val="0"/>
            <w:i w:val="0"/>
            <w:iCs w:val="0"/>
          </w:rPr>
          <w:t>4336- دیوان صردر</w:t>
        </w:r>
        <w:r>
          <w:tab/>
        </w:r>
        <w:r>
          <w:fldChar w:fldCharType="begin"/>
        </w:r>
        <w:r>
          <w:instrText xml:space="preserve">PAGEREF 4453 \h</w:instrText>
        </w:r>
        <w:r>
          <w:fldChar w:fldCharType="end"/>
        </w:r>
      </w:hyperlink>
    </w:p>
    <w:p>
      <w:pPr>
        <w:tabs>
          <w:tab w:val="right" w:leader="dot" w:pos="9062"/>
        </w:tabs>
        <w:ind w:left="440"/>
      </w:pPr>
      <w:hyperlink w:anchor="_Toc4454" w:history="1">
        <w:r>
          <w:rPr>
            <w:rFonts w:ascii="IRNazanin" w:hAnsi="IRNazanin" w:eastAsia="IRNazanin" w:cs="IRNazanin"/>
            <w:color w:val="111111"/>
            <w:sz w:val="22"/>
            <w:szCs w:val="22"/>
            <w:b w:val="0"/>
            <w:bCs w:val="0"/>
            <w:i w:val="0"/>
            <w:iCs w:val="0"/>
          </w:rPr>
          <w:t>4337- دیوان صرفی ژولیده موی أو شعره‏</w:t>
        </w:r>
        <w:r>
          <w:tab/>
        </w:r>
        <w:r>
          <w:fldChar w:fldCharType="begin"/>
        </w:r>
        <w:r>
          <w:instrText xml:space="preserve">PAGEREF 4454 \h</w:instrText>
        </w:r>
        <w:r>
          <w:fldChar w:fldCharType="end"/>
        </w:r>
      </w:hyperlink>
    </w:p>
    <w:p>
      <w:pPr>
        <w:tabs>
          <w:tab w:val="right" w:leader="dot" w:pos="9062"/>
        </w:tabs>
        <w:ind w:left="440"/>
      </w:pPr>
      <w:hyperlink w:anchor="_Toc4455" w:history="1">
        <w:r>
          <w:rPr>
            <w:rFonts w:ascii="IRNazanin" w:hAnsi="IRNazanin" w:eastAsia="IRNazanin" w:cs="IRNazanin"/>
            <w:color w:val="111111"/>
            <w:sz w:val="22"/>
            <w:szCs w:val="22"/>
            <w:b w:val="0"/>
            <w:bCs w:val="0"/>
            <w:i w:val="0"/>
            <w:iCs w:val="0"/>
          </w:rPr>
          <w:t>4338- دیوان صرفی ساوجی‏</w:t>
        </w:r>
        <w:r>
          <w:tab/>
        </w:r>
        <w:r>
          <w:fldChar w:fldCharType="begin"/>
        </w:r>
        <w:r>
          <w:instrText xml:space="preserve">PAGEREF 4455 \h</w:instrText>
        </w:r>
        <w:r>
          <w:fldChar w:fldCharType="end"/>
        </w:r>
      </w:hyperlink>
    </w:p>
    <w:p>
      <w:pPr>
        <w:tabs>
          <w:tab w:val="right" w:leader="dot" w:pos="9062"/>
        </w:tabs>
        <w:ind w:left="440"/>
      </w:pPr>
      <w:hyperlink w:anchor="_Toc4456" w:history="1">
        <w:r>
          <w:rPr>
            <w:rFonts w:ascii="IRNazanin" w:hAnsi="IRNazanin" w:eastAsia="IRNazanin" w:cs="IRNazanin"/>
            <w:color w:val="111111"/>
            <w:sz w:val="22"/>
            <w:szCs w:val="22"/>
            <w:b w:val="0"/>
            <w:bCs w:val="0"/>
            <w:i w:val="0"/>
            <w:iCs w:val="0"/>
          </w:rPr>
          <w:t>4339- دیوان صریع الغوانی‏</w:t>
        </w:r>
        <w:r>
          <w:tab/>
        </w:r>
        <w:r>
          <w:fldChar w:fldCharType="begin"/>
        </w:r>
        <w:r>
          <w:instrText xml:space="preserve">PAGEREF 4456 \h</w:instrText>
        </w:r>
        <w:r>
          <w:fldChar w:fldCharType="end"/>
        </w:r>
      </w:hyperlink>
    </w:p>
    <w:p>
      <w:pPr>
        <w:tabs>
          <w:tab w:val="right" w:leader="dot" w:pos="9062"/>
        </w:tabs>
        <w:ind w:left="440"/>
      </w:pPr>
      <w:hyperlink w:anchor="_Toc4457" w:history="1">
        <w:r>
          <w:rPr>
            <w:rFonts w:ascii="IRNazanin" w:hAnsi="IRNazanin" w:eastAsia="IRNazanin" w:cs="IRNazanin"/>
            <w:color w:val="111111"/>
            <w:sz w:val="22"/>
            <w:szCs w:val="22"/>
            <w:b w:val="0"/>
            <w:bCs w:val="0"/>
            <w:i w:val="0"/>
            <w:iCs w:val="0"/>
          </w:rPr>
          <w:t>4340- دیوان صعصعة بن صوحان أو شعره‏</w:t>
        </w:r>
        <w:r>
          <w:tab/>
        </w:r>
        <w:r>
          <w:fldChar w:fldCharType="begin"/>
        </w:r>
        <w:r>
          <w:instrText xml:space="preserve">PAGEREF 4457 \h</w:instrText>
        </w:r>
        <w:r>
          <w:fldChar w:fldCharType="end"/>
        </w:r>
      </w:hyperlink>
    </w:p>
    <w:p>
      <w:pPr>
        <w:tabs>
          <w:tab w:val="right" w:leader="dot" w:pos="9062"/>
        </w:tabs>
        <w:ind w:left="440"/>
      </w:pPr>
      <w:hyperlink w:anchor="_Toc4458" w:history="1">
        <w:r>
          <w:rPr>
            <w:rFonts w:ascii="IRNazanin" w:hAnsi="IRNazanin" w:eastAsia="IRNazanin" w:cs="IRNazanin"/>
            <w:color w:val="111111"/>
            <w:sz w:val="22"/>
            <w:szCs w:val="22"/>
            <w:b w:val="0"/>
            <w:bCs w:val="0"/>
            <w:i w:val="0"/>
            <w:iCs w:val="0"/>
          </w:rPr>
          <w:t>4341- دیوان صعود گجراتی أو شعره‏</w:t>
        </w:r>
        <w:r>
          <w:tab/>
        </w:r>
        <w:r>
          <w:fldChar w:fldCharType="begin"/>
        </w:r>
        <w:r>
          <w:instrText xml:space="preserve">PAGEREF 4458 \h</w:instrText>
        </w:r>
        <w:r>
          <w:fldChar w:fldCharType="end"/>
        </w:r>
      </w:hyperlink>
    </w:p>
    <w:p>
      <w:pPr>
        <w:tabs>
          <w:tab w:val="right" w:leader="dot" w:pos="9062"/>
        </w:tabs>
        <w:ind w:left="440"/>
      </w:pPr>
      <w:hyperlink w:anchor="_Toc4459" w:history="1">
        <w:r>
          <w:rPr>
            <w:rFonts w:ascii="IRNazanin" w:hAnsi="IRNazanin" w:eastAsia="IRNazanin" w:cs="IRNazanin"/>
            <w:color w:val="111111"/>
            <w:sz w:val="22"/>
            <w:szCs w:val="22"/>
            <w:b w:val="0"/>
            <w:bCs w:val="0"/>
            <w:i w:val="0"/>
            <w:iCs w:val="0"/>
          </w:rPr>
          <w:t>4342- الدیوان الصغیر</w:t>
        </w:r>
        <w:r>
          <w:tab/>
        </w:r>
        <w:r>
          <w:fldChar w:fldCharType="begin"/>
        </w:r>
        <w:r>
          <w:instrText xml:space="preserve">PAGEREF 4459 \h</w:instrText>
        </w:r>
        <w:r>
          <w:fldChar w:fldCharType="end"/>
        </w:r>
      </w:hyperlink>
    </w:p>
    <w:p>
      <w:pPr>
        <w:tabs>
          <w:tab w:val="right" w:leader="dot" w:pos="9062"/>
        </w:tabs>
        <w:ind w:left="440"/>
      </w:pPr>
      <w:hyperlink w:anchor="_Toc4460" w:history="1">
        <w:r>
          <w:rPr>
            <w:rFonts w:ascii="IRNazanin" w:hAnsi="IRNazanin" w:eastAsia="IRNazanin" w:cs="IRNazanin"/>
            <w:color w:val="111111"/>
            <w:sz w:val="22"/>
            <w:szCs w:val="22"/>
            <w:b w:val="0"/>
            <w:bCs w:val="0"/>
            <w:i w:val="0"/>
            <w:iCs w:val="0"/>
          </w:rPr>
          <w:t>4343- دیوان صغیر أصفهانی‏</w:t>
        </w:r>
        <w:r>
          <w:tab/>
        </w:r>
        <w:r>
          <w:fldChar w:fldCharType="begin"/>
        </w:r>
        <w:r>
          <w:instrText xml:space="preserve">PAGEREF 4460 \h</w:instrText>
        </w:r>
        <w:r>
          <w:fldChar w:fldCharType="end"/>
        </w:r>
      </w:hyperlink>
    </w:p>
    <w:p>
      <w:pPr>
        <w:tabs>
          <w:tab w:val="right" w:leader="dot" w:pos="9062"/>
        </w:tabs>
        <w:ind w:left="440"/>
      </w:pPr>
      <w:hyperlink w:anchor="_Toc4461" w:history="1">
        <w:r>
          <w:rPr>
            <w:rFonts w:ascii="IRNazanin" w:hAnsi="IRNazanin" w:eastAsia="IRNazanin" w:cs="IRNazanin"/>
            <w:color w:val="111111"/>
            <w:sz w:val="22"/>
            <w:szCs w:val="22"/>
            <w:b w:val="0"/>
            <w:bCs w:val="0"/>
            <w:i w:val="0"/>
            <w:iCs w:val="0"/>
          </w:rPr>
          <w:t>4343- دیوان صغیری أو شعره‏</w:t>
        </w:r>
        <w:r>
          <w:tab/>
        </w:r>
        <w:r>
          <w:fldChar w:fldCharType="begin"/>
        </w:r>
        <w:r>
          <w:instrText xml:space="preserve">PAGEREF 4461 \h</w:instrText>
        </w:r>
        <w:r>
          <w:fldChar w:fldCharType="end"/>
        </w:r>
      </w:hyperlink>
    </w:p>
    <w:p>
      <w:pPr>
        <w:tabs>
          <w:tab w:val="right" w:leader="dot" w:pos="9062"/>
        </w:tabs>
        <w:ind w:left="440"/>
      </w:pPr>
      <w:hyperlink w:anchor="_Toc4462" w:history="1">
        <w:r>
          <w:rPr>
            <w:rFonts w:ascii="IRNazanin" w:hAnsi="IRNazanin" w:eastAsia="IRNazanin" w:cs="IRNazanin"/>
            <w:color w:val="111111"/>
            <w:sz w:val="22"/>
            <w:szCs w:val="22"/>
            <w:b w:val="0"/>
            <w:bCs w:val="0"/>
            <w:i w:val="0"/>
            <w:iCs w:val="0"/>
          </w:rPr>
          <w:t>4344- دیوان صفا آذربایجانی أو شعره‏</w:t>
        </w:r>
        <w:r>
          <w:tab/>
        </w:r>
        <w:r>
          <w:fldChar w:fldCharType="begin"/>
        </w:r>
        <w:r>
          <w:instrText xml:space="preserve">PAGEREF 4462 \h</w:instrText>
        </w:r>
        <w:r>
          <w:fldChar w:fldCharType="end"/>
        </w:r>
      </w:hyperlink>
    </w:p>
    <w:p>
      <w:pPr>
        <w:tabs>
          <w:tab w:val="right" w:leader="dot" w:pos="9062"/>
        </w:tabs>
        <w:ind w:left="440"/>
      </w:pPr>
      <w:hyperlink w:anchor="_Toc4463" w:history="1">
        <w:r>
          <w:rPr>
            <w:rFonts w:ascii="IRNazanin" w:hAnsi="IRNazanin" w:eastAsia="IRNazanin" w:cs="IRNazanin"/>
            <w:color w:val="111111"/>
            <w:sz w:val="22"/>
            <w:szCs w:val="22"/>
            <w:b w:val="0"/>
            <w:bCs w:val="0"/>
            <w:i w:val="0"/>
            <w:iCs w:val="0"/>
          </w:rPr>
          <w:t>4345- دیوان صفا أصفهانی‏</w:t>
        </w:r>
        <w:r>
          <w:tab/>
        </w:r>
        <w:r>
          <w:fldChar w:fldCharType="begin"/>
        </w:r>
        <w:r>
          <w:instrText xml:space="preserve">PAGEREF 4463 \h</w:instrText>
        </w:r>
        <w:r>
          <w:fldChar w:fldCharType="end"/>
        </w:r>
      </w:hyperlink>
    </w:p>
    <w:p>
      <w:pPr>
        <w:tabs>
          <w:tab w:val="right" w:leader="dot" w:pos="9062"/>
        </w:tabs>
        <w:ind w:left="440"/>
      </w:pPr>
      <w:hyperlink w:anchor="_Toc4464" w:history="1">
        <w:r>
          <w:rPr>
            <w:rFonts w:ascii="IRNazanin" w:hAnsi="IRNazanin" w:eastAsia="IRNazanin" w:cs="IRNazanin"/>
            <w:color w:val="111111"/>
            <w:sz w:val="22"/>
            <w:szCs w:val="22"/>
            <w:b w:val="0"/>
            <w:bCs w:val="0"/>
            <w:i w:val="0"/>
            <w:iCs w:val="0"/>
          </w:rPr>
          <w:t>دیوان صفا أصفهانی‏</w:t>
        </w:r>
        <w:r>
          <w:tab/>
        </w:r>
        <w:r>
          <w:fldChar w:fldCharType="begin"/>
        </w:r>
        <w:r>
          <w:instrText xml:space="preserve">PAGEREF 4464 \h</w:instrText>
        </w:r>
        <w:r>
          <w:fldChar w:fldCharType="end"/>
        </w:r>
      </w:hyperlink>
    </w:p>
    <w:p>
      <w:pPr>
        <w:tabs>
          <w:tab w:val="right" w:leader="dot" w:pos="9062"/>
        </w:tabs>
        <w:ind w:left="440"/>
      </w:pPr>
      <w:hyperlink w:anchor="_Toc4465" w:history="1">
        <w:r>
          <w:rPr>
            <w:rFonts w:ascii="IRNazanin" w:hAnsi="IRNazanin" w:eastAsia="IRNazanin" w:cs="IRNazanin"/>
            <w:color w:val="111111"/>
            <w:sz w:val="22"/>
            <w:szCs w:val="22"/>
            <w:b w:val="0"/>
            <w:bCs w:val="0"/>
            <w:i w:val="0"/>
            <w:iCs w:val="0"/>
          </w:rPr>
          <w:t>4346- دیوان صفا ایروانی‏</w:t>
        </w:r>
        <w:r>
          <w:tab/>
        </w:r>
        <w:r>
          <w:fldChar w:fldCharType="begin"/>
        </w:r>
        <w:r>
          <w:instrText xml:space="preserve">PAGEREF 4465 \h</w:instrText>
        </w:r>
        <w:r>
          <w:fldChar w:fldCharType="end"/>
        </w:r>
      </w:hyperlink>
    </w:p>
    <w:p>
      <w:pPr>
        <w:tabs>
          <w:tab w:val="right" w:leader="dot" w:pos="9062"/>
        </w:tabs>
        <w:ind w:left="440"/>
      </w:pPr>
      <w:hyperlink w:anchor="_Toc4466" w:history="1">
        <w:r>
          <w:rPr>
            <w:rFonts w:ascii="IRNazanin" w:hAnsi="IRNazanin" w:eastAsia="IRNazanin" w:cs="IRNazanin"/>
            <w:color w:val="111111"/>
            <w:sz w:val="22"/>
            <w:szCs w:val="22"/>
            <w:b w:val="0"/>
            <w:bCs w:val="0"/>
            <w:i w:val="0"/>
            <w:iCs w:val="0"/>
          </w:rPr>
          <w:t>4347- دیوان صفا تفرشی‏</w:t>
        </w:r>
        <w:r>
          <w:tab/>
        </w:r>
        <w:r>
          <w:fldChar w:fldCharType="begin"/>
        </w:r>
        <w:r>
          <w:instrText xml:space="preserve">PAGEREF 4466 \h</w:instrText>
        </w:r>
        <w:r>
          <w:fldChar w:fldCharType="end"/>
        </w:r>
      </w:hyperlink>
    </w:p>
    <w:p>
      <w:pPr>
        <w:tabs>
          <w:tab w:val="right" w:leader="dot" w:pos="9062"/>
        </w:tabs>
        <w:ind w:left="440"/>
      </w:pPr>
      <w:hyperlink w:anchor="_Toc4467" w:history="1">
        <w:r>
          <w:rPr>
            <w:rFonts w:ascii="IRNazanin" w:hAnsi="IRNazanin" w:eastAsia="IRNazanin" w:cs="IRNazanin"/>
            <w:color w:val="111111"/>
            <w:sz w:val="22"/>
            <w:szCs w:val="22"/>
            <w:b w:val="0"/>
            <w:bCs w:val="0"/>
            <w:i w:val="0"/>
            <w:iCs w:val="0"/>
          </w:rPr>
          <w:t>4348- دیوان صفا دشتکی أو شعره‏</w:t>
        </w:r>
        <w:r>
          <w:tab/>
        </w:r>
        <w:r>
          <w:fldChar w:fldCharType="begin"/>
        </w:r>
        <w:r>
          <w:instrText xml:space="preserve">PAGEREF 4467 \h</w:instrText>
        </w:r>
        <w:r>
          <w:fldChar w:fldCharType="end"/>
        </w:r>
      </w:hyperlink>
    </w:p>
    <w:p>
      <w:pPr>
        <w:tabs>
          <w:tab w:val="right" w:leader="dot" w:pos="9062"/>
        </w:tabs>
        <w:ind w:left="440"/>
      </w:pPr>
      <w:hyperlink w:anchor="_Toc4468" w:history="1">
        <w:r>
          <w:rPr>
            <w:rFonts w:ascii="IRNazanin" w:hAnsi="IRNazanin" w:eastAsia="IRNazanin" w:cs="IRNazanin"/>
            <w:color w:val="111111"/>
            <w:sz w:val="22"/>
            <w:szCs w:val="22"/>
            <w:b w:val="0"/>
            <w:bCs w:val="0"/>
            <w:i w:val="0"/>
            <w:iCs w:val="0"/>
          </w:rPr>
          <w:t>4349- دیوان صفا زواره‏ئی أو شعره‏</w:t>
        </w:r>
        <w:r>
          <w:tab/>
        </w:r>
        <w:r>
          <w:fldChar w:fldCharType="begin"/>
        </w:r>
        <w:r>
          <w:instrText xml:space="preserve">PAGEREF 4468 \h</w:instrText>
        </w:r>
        <w:r>
          <w:fldChar w:fldCharType="end"/>
        </w:r>
      </w:hyperlink>
    </w:p>
    <w:p>
      <w:pPr>
        <w:tabs>
          <w:tab w:val="right" w:leader="dot" w:pos="9062"/>
        </w:tabs>
        <w:ind w:left="440"/>
      </w:pPr>
      <w:hyperlink w:anchor="_Toc4469" w:history="1">
        <w:r>
          <w:rPr>
            <w:rFonts w:ascii="IRNazanin" w:hAnsi="IRNazanin" w:eastAsia="IRNazanin" w:cs="IRNazanin"/>
            <w:color w:val="111111"/>
            <w:sz w:val="22"/>
            <w:szCs w:val="22"/>
            <w:b w:val="0"/>
            <w:bCs w:val="0"/>
            <w:i w:val="0"/>
            <w:iCs w:val="0"/>
          </w:rPr>
          <w:t>4350- دیوان صفا شیرازی أو شعره‏</w:t>
        </w:r>
        <w:r>
          <w:tab/>
        </w:r>
        <w:r>
          <w:fldChar w:fldCharType="begin"/>
        </w:r>
        <w:r>
          <w:instrText xml:space="preserve">PAGEREF 4469 \h</w:instrText>
        </w:r>
        <w:r>
          <w:fldChar w:fldCharType="end"/>
        </w:r>
      </w:hyperlink>
    </w:p>
    <w:p>
      <w:pPr>
        <w:tabs>
          <w:tab w:val="right" w:leader="dot" w:pos="9062"/>
        </w:tabs>
        <w:ind w:left="440"/>
      </w:pPr>
      <w:hyperlink w:anchor="_Toc4470" w:history="1">
        <w:r>
          <w:rPr>
            <w:rFonts w:ascii="IRNazanin" w:hAnsi="IRNazanin" w:eastAsia="IRNazanin" w:cs="IRNazanin"/>
            <w:color w:val="111111"/>
            <w:sz w:val="22"/>
            <w:szCs w:val="22"/>
            <w:b w:val="0"/>
            <w:bCs w:val="0"/>
            <w:i w:val="0"/>
            <w:iCs w:val="0"/>
          </w:rPr>
          <w:t>4351- دیوان صفا شیرازی أو شعره‏</w:t>
        </w:r>
        <w:r>
          <w:tab/>
        </w:r>
        <w:r>
          <w:fldChar w:fldCharType="begin"/>
        </w:r>
        <w:r>
          <w:instrText xml:space="preserve">PAGEREF 4470 \h</w:instrText>
        </w:r>
        <w:r>
          <w:fldChar w:fldCharType="end"/>
        </w:r>
      </w:hyperlink>
    </w:p>
    <w:p>
      <w:pPr>
        <w:tabs>
          <w:tab w:val="right" w:leader="dot" w:pos="9062"/>
        </w:tabs>
        <w:ind w:left="440"/>
      </w:pPr>
      <w:hyperlink w:anchor="_Toc4471" w:history="1">
        <w:r>
          <w:rPr>
            <w:rFonts w:ascii="IRNazanin" w:hAnsi="IRNazanin" w:eastAsia="IRNazanin" w:cs="IRNazanin"/>
            <w:color w:val="111111"/>
            <w:sz w:val="22"/>
            <w:szCs w:val="22"/>
            <w:b w:val="0"/>
            <w:bCs w:val="0"/>
            <w:i w:val="0"/>
            <w:iCs w:val="0"/>
          </w:rPr>
          <w:t>4352- دیوان صفا شیرازی أو شعره‏</w:t>
        </w:r>
        <w:r>
          <w:tab/>
        </w:r>
        <w:r>
          <w:fldChar w:fldCharType="begin"/>
        </w:r>
        <w:r>
          <w:instrText xml:space="preserve">PAGEREF 4471 \h</w:instrText>
        </w:r>
        <w:r>
          <w:fldChar w:fldCharType="end"/>
        </w:r>
      </w:hyperlink>
    </w:p>
    <w:p>
      <w:pPr>
        <w:tabs>
          <w:tab w:val="right" w:leader="dot" w:pos="9062"/>
        </w:tabs>
        <w:ind w:left="440"/>
      </w:pPr>
      <w:hyperlink w:anchor="_Toc4472" w:history="1">
        <w:r>
          <w:rPr>
            <w:rFonts w:ascii="IRNazanin" w:hAnsi="IRNazanin" w:eastAsia="IRNazanin" w:cs="IRNazanin"/>
            <w:color w:val="111111"/>
            <w:sz w:val="22"/>
            <w:szCs w:val="22"/>
            <w:b w:val="0"/>
            <w:bCs w:val="0"/>
            <w:i w:val="0"/>
            <w:iCs w:val="0"/>
          </w:rPr>
          <w:t>دیوان صفا شیرازی‏</w:t>
        </w:r>
        <w:r>
          <w:tab/>
        </w:r>
        <w:r>
          <w:fldChar w:fldCharType="begin"/>
        </w:r>
        <w:r>
          <w:instrText xml:space="preserve">PAGEREF 4472 \h</w:instrText>
        </w:r>
        <w:r>
          <w:fldChar w:fldCharType="end"/>
        </w:r>
      </w:hyperlink>
    </w:p>
    <w:p>
      <w:pPr>
        <w:tabs>
          <w:tab w:val="right" w:leader="dot" w:pos="9062"/>
        </w:tabs>
        <w:ind w:left="440"/>
      </w:pPr>
      <w:hyperlink w:anchor="_Toc4473" w:history="1">
        <w:r>
          <w:rPr>
            <w:rFonts w:ascii="IRNazanin" w:hAnsi="IRNazanin" w:eastAsia="IRNazanin" w:cs="IRNazanin"/>
            <w:color w:val="111111"/>
            <w:sz w:val="22"/>
            <w:szCs w:val="22"/>
            <w:b w:val="0"/>
            <w:bCs w:val="0"/>
            <w:i w:val="0"/>
            <w:iCs w:val="0"/>
          </w:rPr>
          <w:t>دیوان صفا طهرانی‏</w:t>
        </w:r>
        <w:r>
          <w:tab/>
        </w:r>
        <w:r>
          <w:fldChar w:fldCharType="begin"/>
        </w:r>
        <w:r>
          <w:instrText xml:space="preserve">PAGEREF 4473 \h</w:instrText>
        </w:r>
        <w:r>
          <w:fldChar w:fldCharType="end"/>
        </w:r>
      </w:hyperlink>
    </w:p>
    <w:p>
      <w:pPr>
        <w:tabs>
          <w:tab w:val="right" w:leader="dot" w:pos="9062"/>
        </w:tabs>
        <w:ind w:left="440"/>
      </w:pPr>
      <w:hyperlink w:anchor="_Toc4474" w:history="1">
        <w:r>
          <w:rPr>
            <w:rFonts w:ascii="IRNazanin" w:hAnsi="IRNazanin" w:eastAsia="IRNazanin" w:cs="IRNazanin"/>
            <w:color w:val="111111"/>
            <w:sz w:val="22"/>
            <w:szCs w:val="22"/>
            <w:b w:val="0"/>
            <w:bCs w:val="0"/>
            <w:i w:val="0"/>
            <w:iCs w:val="0"/>
          </w:rPr>
          <w:t>4353- دیوان صفا علی شاه‏</w:t>
        </w:r>
        <w:r>
          <w:tab/>
        </w:r>
        <w:r>
          <w:fldChar w:fldCharType="begin"/>
        </w:r>
        <w:r>
          <w:instrText xml:space="preserve">PAGEREF 4474 \h</w:instrText>
        </w:r>
        <w:r>
          <w:fldChar w:fldCharType="end"/>
        </w:r>
      </w:hyperlink>
    </w:p>
    <w:p>
      <w:pPr>
        <w:tabs>
          <w:tab w:val="right" w:leader="dot" w:pos="9062"/>
        </w:tabs>
        <w:ind w:left="440"/>
      </w:pPr>
      <w:hyperlink w:anchor="_Toc4475" w:history="1">
        <w:r>
          <w:rPr>
            <w:rFonts w:ascii="IRNazanin" w:hAnsi="IRNazanin" w:eastAsia="IRNazanin" w:cs="IRNazanin"/>
            <w:color w:val="111111"/>
            <w:sz w:val="22"/>
            <w:szCs w:val="22"/>
            <w:b w:val="0"/>
            <w:bCs w:val="0"/>
            <w:i w:val="0"/>
            <w:iCs w:val="0"/>
          </w:rPr>
          <w:t>4354- دیوان صفا قاینی‏</w:t>
        </w:r>
        <w:r>
          <w:tab/>
        </w:r>
        <w:r>
          <w:fldChar w:fldCharType="begin"/>
        </w:r>
        <w:r>
          <w:instrText xml:space="preserve">PAGEREF 4475 \h</w:instrText>
        </w:r>
        <w:r>
          <w:fldChar w:fldCharType="end"/>
        </w:r>
      </w:hyperlink>
    </w:p>
    <w:p>
      <w:pPr>
        <w:tabs>
          <w:tab w:val="right" w:leader="dot" w:pos="9062"/>
        </w:tabs>
        <w:ind w:left="440"/>
      </w:pPr>
      <w:hyperlink w:anchor="_Toc4476" w:history="1">
        <w:r>
          <w:rPr>
            <w:rFonts w:ascii="IRNazanin" w:hAnsi="IRNazanin" w:eastAsia="IRNazanin" w:cs="IRNazanin"/>
            <w:color w:val="111111"/>
            <w:sz w:val="22"/>
            <w:szCs w:val="22"/>
            <w:b w:val="0"/>
            <w:bCs w:val="0"/>
            <w:i w:val="0"/>
            <w:iCs w:val="0"/>
          </w:rPr>
          <w:t>4355- دیوان صفا قمی أو شعره‏</w:t>
        </w:r>
        <w:r>
          <w:tab/>
        </w:r>
        <w:r>
          <w:fldChar w:fldCharType="begin"/>
        </w:r>
        <w:r>
          <w:instrText xml:space="preserve">PAGEREF 4476 \h</w:instrText>
        </w:r>
        <w:r>
          <w:fldChar w:fldCharType="end"/>
        </w:r>
      </w:hyperlink>
    </w:p>
    <w:p>
      <w:pPr>
        <w:tabs>
          <w:tab w:val="right" w:leader="dot" w:pos="9062"/>
        </w:tabs>
        <w:ind w:left="440"/>
      </w:pPr>
      <w:hyperlink w:anchor="_Toc4477" w:history="1">
        <w:r>
          <w:rPr>
            <w:rFonts w:ascii="IRNazanin" w:hAnsi="IRNazanin" w:eastAsia="IRNazanin" w:cs="IRNazanin"/>
            <w:color w:val="111111"/>
            <w:sz w:val="22"/>
            <w:szCs w:val="22"/>
            <w:b w:val="0"/>
            <w:bCs w:val="0"/>
            <w:i w:val="0"/>
            <w:iCs w:val="0"/>
          </w:rPr>
          <w:t>4356- دیوان صفا لواسانی‏</w:t>
        </w:r>
        <w:r>
          <w:tab/>
        </w:r>
        <w:r>
          <w:fldChar w:fldCharType="begin"/>
        </w:r>
        <w:r>
          <w:instrText xml:space="preserve">PAGEREF 4477 \h</w:instrText>
        </w:r>
        <w:r>
          <w:fldChar w:fldCharType="end"/>
        </w:r>
      </w:hyperlink>
    </w:p>
    <w:p>
      <w:pPr>
        <w:tabs>
          <w:tab w:val="right" w:leader="dot" w:pos="9062"/>
        </w:tabs>
        <w:ind w:left="440"/>
      </w:pPr>
      <w:hyperlink w:anchor="_Toc4478" w:history="1">
        <w:r>
          <w:rPr>
            <w:rFonts w:ascii="IRNazanin" w:hAnsi="IRNazanin" w:eastAsia="IRNazanin" w:cs="IRNazanin"/>
            <w:color w:val="111111"/>
            <w:sz w:val="22"/>
            <w:szCs w:val="22"/>
            <w:b w:val="0"/>
            <w:bCs w:val="0"/>
            <w:i w:val="0"/>
            <w:iCs w:val="0"/>
          </w:rPr>
          <w:t>4357- دیوان صفا محلاتی أو شعره‏</w:t>
        </w:r>
        <w:r>
          <w:tab/>
        </w:r>
        <w:r>
          <w:fldChar w:fldCharType="begin"/>
        </w:r>
        <w:r>
          <w:instrText xml:space="preserve">PAGEREF 4478 \h</w:instrText>
        </w:r>
        <w:r>
          <w:fldChar w:fldCharType="end"/>
        </w:r>
      </w:hyperlink>
    </w:p>
    <w:p>
      <w:pPr>
        <w:tabs>
          <w:tab w:val="right" w:leader="dot" w:pos="9062"/>
        </w:tabs>
        <w:ind w:left="440"/>
      </w:pPr>
      <w:hyperlink w:anchor="_Toc4479" w:history="1">
        <w:r>
          <w:rPr>
            <w:rFonts w:ascii="IRNazanin" w:hAnsi="IRNazanin" w:eastAsia="IRNazanin" w:cs="IRNazanin"/>
            <w:color w:val="111111"/>
            <w:sz w:val="22"/>
            <w:szCs w:val="22"/>
            <w:b w:val="0"/>
            <w:bCs w:val="0"/>
            <w:i w:val="0"/>
            <w:iCs w:val="0"/>
          </w:rPr>
          <w:t>4358- دیوان صفا نائینی‏</w:t>
        </w:r>
        <w:r>
          <w:tab/>
        </w:r>
        <w:r>
          <w:fldChar w:fldCharType="begin"/>
        </w:r>
        <w:r>
          <w:instrText xml:space="preserve">PAGEREF 4479 \h</w:instrText>
        </w:r>
        <w:r>
          <w:fldChar w:fldCharType="end"/>
        </w:r>
      </w:hyperlink>
    </w:p>
    <w:p>
      <w:pPr>
        <w:tabs>
          <w:tab w:val="right" w:leader="dot" w:pos="9062"/>
        </w:tabs>
        <w:ind w:left="440"/>
      </w:pPr>
      <w:hyperlink w:anchor="_Toc4480" w:history="1">
        <w:r>
          <w:rPr>
            <w:rFonts w:ascii="IRNazanin" w:hAnsi="IRNazanin" w:eastAsia="IRNazanin" w:cs="IRNazanin"/>
            <w:color w:val="111111"/>
            <w:sz w:val="22"/>
            <w:szCs w:val="22"/>
            <w:b w:val="0"/>
            <w:bCs w:val="0"/>
            <w:i w:val="0"/>
            <w:iCs w:val="0"/>
          </w:rPr>
          <w:t>دیوان صفائی‏</w:t>
        </w:r>
        <w:r>
          <w:tab/>
        </w:r>
        <w:r>
          <w:fldChar w:fldCharType="begin"/>
        </w:r>
        <w:r>
          <w:instrText xml:space="preserve">PAGEREF 4480 \h</w:instrText>
        </w:r>
        <w:r>
          <w:fldChar w:fldCharType="end"/>
        </w:r>
      </w:hyperlink>
    </w:p>
    <w:p>
      <w:pPr>
        <w:tabs>
          <w:tab w:val="right" w:leader="dot" w:pos="9062"/>
        </w:tabs>
        <w:ind w:left="440"/>
      </w:pPr>
      <w:hyperlink w:anchor="_Toc4481" w:history="1">
        <w:r>
          <w:rPr>
            <w:rFonts w:ascii="IRNazanin" w:hAnsi="IRNazanin" w:eastAsia="IRNazanin" w:cs="IRNazanin"/>
            <w:color w:val="111111"/>
            <w:sz w:val="22"/>
            <w:szCs w:val="22"/>
            <w:b w:val="0"/>
            <w:bCs w:val="0"/>
            <w:i w:val="0"/>
            <w:iCs w:val="0"/>
          </w:rPr>
          <w:t>4359- دیوان صفائی أسترآبادی أو شعره‏</w:t>
        </w:r>
        <w:r>
          <w:tab/>
        </w:r>
        <w:r>
          <w:fldChar w:fldCharType="begin"/>
        </w:r>
        <w:r>
          <w:instrText xml:space="preserve">PAGEREF 4481 \h</w:instrText>
        </w:r>
        <w:r>
          <w:fldChar w:fldCharType="end"/>
        </w:r>
      </w:hyperlink>
    </w:p>
    <w:p>
      <w:pPr>
        <w:tabs>
          <w:tab w:val="right" w:leader="dot" w:pos="9062"/>
        </w:tabs>
        <w:ind w:left="440"/>
      </w:pPr>
      <w:hyperlink w:anchor="_Toc4482" w:history="1">
        <w:r>
          <w:rPr>
            <w:rFonts w:ascii="IRNazanin" w:hAnsi="IRNazanin" w:eastAsia="IRNazanin" w:cs="IRNazanin"/>
            <w:color w:val="111111"/>
            <w:sz w:val="22"/>
            <w:szCs w:val="22"/>
            <w:b w:val="0"/>
            <w:bCs w:val="0"/>
            <w:i w:val="0"/>
            <w:iCs w:val="0"/>
          </w:rPr>
          <w:t>دیوان صفائی أصفهانی‏</w:t>
        </w:r>
        <w:r>
          <w:tab/>
        </w:r>
        <w:r>
          <w:fldChar w:fldCharType="begin"/>
        </w:r>
        <w:r>
          <w:instrText xml:space="preserve">PAGEREF 4482 \h</w:instrText>
        </w:r>
        <w:r>
          <w:fldChar w:fldCharType="end"/>
        </w:r>
      </w:hyperlink>
    </w:p>
    <w:p>
      <w:pPr>
        <w:tabs>
          <w:tab w:val="right" w:leader="dot" w:pos="9062"/>
        </w:tabs>
        <w:ind w:left="440"/>
      </w:pPr>
      <w:hyperlink w:anchor="_Toc4483" w:history="1">
        <w:r>
          <w:rPr>
            <w:rFonts w:ascii="IRNazanin" w:hAnsi="IRNazanin" w:eastAsia="IRNazanin" w:cs="IRNazanin"/>
            <w:color w:val="111111"/>
            <w:sz w:val="22"/>
            <w:szCs w:val="22"/>
            <w:b w:val="0"/>
            <w:bCs w:val="0"/>
            <w:i w:val="0"/>
            <w:iCs w:val="0"/>
          </w:rPr>
          <w:t>4360- دیوان صفائی أصفهانی‏</w:t>
        </w:r>
        <w:r>
          <w:tab/>
        </w:r>
        <w:r>
          <w:fldChar w:fldCharType="begin"/>
        </w:r>
        <w:r>
          <w:instrText xml:space="preserve">PAGEREF 4483 \h</w:instrText>
        </w:r>
        <w:r>
          <w:fldChar w:fldCharType="end"/>
        </w:r>
      </w:hyperlink>
    </w:p>
    <w:p>
      <w:pPr>
        <w:tabs>
          <w:tab w:val="right" w:leader="dot" w:pos="9062"/>
        </w:tabs>
        <w:ind w:left="440"/>
      </w:pPr>
      <w:hyperlink w:anchor="_Toc4484" w:history="1">
        <w:r>
          <w:rPr>
            <w:rFonts w:ascii="IRNazanin" w:hAnsi="IRNazanin" w:eastAsia="IRNazanin" w:cs="IRNazanin"/>
            <w:color w:val="111111"/>
            <w:sz w:val="22"/>
            <w:szCs w:val="22"/>
            <w:b w:val="0"/>
            <w:bCs w:val="0"/>
            <w:i w:val="0"/>
            <w:iCs w:val="0"/>
          </w:rPr>
          <w:t>4361- دیوان صفائی أصفهانی‏</w:t>
        </w:r>
        <w:r>
          <w:tab/>
        </w:r>
        <w:r>
          <w:fldChar w:fldCharType="begin"/>
        </w:r>
        <w:r>
          <w:instrText xml:space="preserve">PAGEREF 4484 \h</w:instrText>
        </w:r>
        <w:r>
          <w:fldChar w:fldCharType="end"/>
        </w:r>
      </w:hyperlink>
    </w:p>
    <w:p>
      <w:pPr>
        <w:tabs>
          <w:tab w:val="right" w:leader="dot" w:pos="9062"/>
        </w:tabs>
        <w:ind w:left="440"/>
      </w:pPr>
      <w:hyperlink w:anchor="_Toc4485" w:history="1">
        <w:r>
          <w:rPr>
            <w:rFonts w:ascii="IRNazanin" w:hAnsi="IRNazanin" w:eastAsia="IRNazanin" w:cs="IRNazanin"/>
            <w:color w:val="111111"/>
            <w:sz w:val="22"/>
            <w:szCs w:val="22"/>
            <w:b w:val="0"/>
            <w:bCs w:val="0"/>
            <w:i w:val="0"/>
            <w:iCs w:val="0"/>
          </w:rPr>
          <w:t>4362- دیوان صفائی أندیجانی‏</w:t>
        </w:r>
        <w:r>
          <w:tab/>
        </w:r>
        <w:r>
          <w:fldChar w:fldCharType="begin"/>
        </w:r>
        <w:r>
          <w:instrText xml:space="preserve">PAGEREF 4485 \h</w:instrText>
        </w:r>
        <w:r>
          <w:fldChar w:fldCharType="end"/>
        </w:r>
      </w:hyperlink>
    </w:p>
    <w:p>
      <w:pPr>
        <w:tabs>
          <w:tab w:val="right" w:leader="dot" w:pos="9062"/>
        </w:tabs>
        <w:ind w:left="440"/>
      </w:pPr>
      <w:hyperlink w:anchor="_Toc4486" w:history="1">
        <w:r>
          <w:rPr>
            <w:rFonts w:ascii="IRNazanin" w:hAnsi="IRNazanin" w:eastAsia="IRNazanin" w:cs="IRNazanin"/>
            <w:color w:val="111111"/>
            <w:sz w:val="22"/>
            <w:szCs w:val="22"/>
            <w:b w:val="0"/>
            <w:bCs w:val="0"/>
            <w:i w:val="0"/>
            <w:iCs w:val="0"/>
          </w:rPr>
          <w:t>4363- دیوان صفائی بروجنی‏</w:t>
        </w:r>
        <w:r>
          <w:tab/>
        </w:r>
        <w:r>
          <w:fldChar w:fldCharType="begin"/>
        </w:r>
        <w:r>
          <w:instrText xml:space="preserve">PAGEREF 4486 \h</w:instrText>
        </w:r>
        <w:r>
          <w:fldChar w:fldCharType="end"/>
        </w:r>
      </w:hyperlink>
    </w:p>
    <w:p>
      <w:pPr>
        <w:tabs>
          <w:tab w:val="right" w:leader="dot" w:pos="9062"/>
        </w:tabs>
        <w:ind w:left="440"/>
      </w:pPr>
      <w:hyperlink w:anchor="_Toc4487" w:history="1">
        <w:r>
          <w:rPr>
            <w:rFonts w:ascii="IRNazanin" w:hAnsi="IRNazanin" w:eastAsia="IRNazanin" w:cs="IRNazanin"/>
            <w:color w:val="111111"/>
            <w:sz w:val="22"/>
            <w:szCs w:val="22"/>
            <w:b w:val="0"/>
            <w:bCs w:val="0"/>
            <w:i w:val="0"/>
            <w:iCs w:val="0"/>
          </w:rPr>
          <w:t>4364- دیوان صفائی تبریزی‏</w:t>
        </w:r>
        <w:r>
          <w:tab/>
        </w:r>
        <w:r>
          <w:fldChar w:fldCharType="begin"/>
        </w:r>
        <w:r>
          <w:instrText xml:space="preserve">PAGEREF 4487 \h</w:instrText>
        </w:r>
        <w:r>
          <w:fldChar w:fldCharType="end"/>
        </w:r>
      </w:hyperlink>
    </w:p>
    <w:p>
      <w:pPr>
        <w:tabs>
          <w:tab w:val="right" w:leader="dot" w:pos="9062"/>
        </w:tabs>
        <w:ind w:left="440"/>
      </w:pPr>
      <w:hyperlink w:anchor="_Toc4488" w:history="1">
        <w:r>
          <w:rPr>
            <w:rFonts w:ascii="IRNazanin" w:hAnsi="IRNazanin" w:eastAsia="IRNazanin" w:cs="IRNazanin"/>
            <w:color w:val="111111"/>
            <w:sz w:val="22"/>
            <w:szCs w:val="22"/>
            <w:b w:val="0"/>
            <w:bCs w:val="0"/>
            <w:i w:val="0"/>
            <w:iCs w:val="0"/>
          </w:rPr>
          <w:t>4365- دیوان صفائی تبریزی أو شعره‏</w:t>
        </w:r>
        <w:r>
          <w:tab/>
        </w:r>
        <w:r>
          <w:fldChar w:fldCharType="begin"/>
        </w:r>
        <w:r>
          <w:instrText xml:space="preserve">PAGEREF 4488 \h</w:instrText>
        </w:r>
        <w:r>
          <w:fldChar w:fldCharType="end"/>
        </w:r>
      </w:hyperlink>
    </w:p>
    <w:p>
      <w:pPr>
        <w:tabs>
          <w:tab w:val="right" w:leader="dot" w:pos="9062"/>
        </w:tabs>
        <w:ind w:left="440"/>
      </w:pPr>
      <w:hyperlink w:anchor="_Toc4489" w:history="1">
        <w:r>
          <w:rPr>
            <w:rFonts w:ascii="IRNazanin" w:hAnsi="IRNazanin" w:eastAsia="IRNazanin" w:cs="IRNazanin"/>
            <w:color w:val="111111"/>
            <w:sz w:val="22"/>
            <w:szCs w:val="22"/>
            <w:b w:val="0"/>
            <w:bCs w:val="0"/>
            <w:i w:val="0"/>
            <w:iCs w:val="0"/>
          </w:rPr>
          <w:t>4366- دیوان صفائی جندقی‏</w:t>
        </w:r>
        <w:r>
          <w:tab/>
        </w:r>
        <w:r>
          <w:fldChar w:fldCharType="begin"/>
        </w:r>
        <w:r>
          <w:instrText xml:space="preserve">PAGEREF 4489 \h</w:instrText>
        </w:r>
        <w:r>
          <w:fldChar w:fldCharType="end"/>
        </w:r>
      </w:hyperlink>
    </w:p>
    <w:p>
      <w:pPr>
        <w:tabs>
          <w:tab w:val="right" w:leader="dot" w:pos="9062"/>
        </w:tabs>
        <w:ind w:left="440"/>
      </w:pPr>
      <w:hyperlink w:anchor="_Toc4490" w:history="1">
        <w:r>
          <w:rPr>
            <w:rFonts w:ascii="IRNazanin" w:hAnsi="IRNazanin" w:eastAsia="IRNazanin" w:cs="IRNazanin"/>
            <w:color w:val="111111"/>
            <w:sz w:val="22"/>
            <w:szCs w:val="22"/>
            <w:b w:val="0"/>
            <w:bCs w:val="0"/>
            <w:i w:val="0"/>
            <w:iCs w:val="0"/>
          </w:rPr>
          <w:t>4367- دیوان صفائی خراسانی أو شعره‏</w:t>
        </w:r>
        <w:r>
          <w:tab/>
        </w:r>
        <w:r>
          <w:fldChar w:fldCharType="begin"/>
        </w:r>
        <w:r>
          <w:instrText xml:space="preserve">PAGEREF 4490 \h</w:instrText>
        </w:r>
        <w:r>
          <w:fldChar w:fldCharType="end"/>
        </w:r>
      </w:hyperlink>
    </w:p>
    <w:p>
      <w:pPr>
        <w:tabs>
          <w:tab w:val="right" w:leader="dot" w:pos="9062"/>
        </w:tabs>
        <w:ind w:left="440"/>
      </w:pPr>
      <w:hyperlink w:anchor="_Toc4491" w:history="1">
        <w:r>
          <w:rPr>
            <w:rFonts w:ascii="IRNazanin" w:hAnsi="IRNazanin" w:eastAsia="IRNazanin" w:cs="IRNazanin"/>
            <w:color w:val="111111"/>
            <w:sz w:val="22"/>
            <w:szCs w:val="22"/>
            <w:b w:val="0"/>
            <w:bCs w:val="0"/>
            <w:i w:val="0"/>
            <w:iCs w:val="0"/>
          </w:rPr>
          <w:t>دیوان صفائی خراسانی‏</w:t>
        </w:r>
        <w:r>
          <w:tab/>
        </w:r>
        <w:r>
          <w:fldChar w:fldCharType="begin"/>
        </w:r>
        <w:r>
          <w:instrText xml:space="preserve">PAGEREF 4491 \h</w:instrText>
        </w:r>
        <w:r>
          <w:fldChar w:fldCharType="end"/>
        </w:r>
      </w:hyperlink>
    </w:p>
    <w:p>
      <w:pPr>
        <w:tabs>
          <w:tab w:val="right" w:leader="dot" w:pos="9062"/>
        </w:tabs>
        <w:ind w:left="440"/>
      </w:pPr>
      <w:hyperlink w:anchor="_Toc4492" w:history="1">
        <w:r>
          <w:rPr>
            <w:rFonts w:ascii="IRNazanin" w:hAnsi="IRNazanin" w:eastAsia="IRNazanin" w:cs="IRNazanin"/>
            <w:color w:val="111111"/>
            <w:sz w:val="22"/>
            <w:szCs w:val="22"/>
            <w:b w:val="0"/>
            <w:bCs w:val="0"/>
            <w:i w:val="0"/>
            <w:iCs w:val="0"/>
          </w:rPr>
          <w:t>دیوان صفائی قلندر</w:t>
        </w:r>
        <w:r>
          <w:tab/>
        </w:r>
        <w:r>
          <w:fldChar w:fldCharType="begin"/>
        </w:r>
        <w:r>
          <w:instrText xml:space="preserve">PAGEREF 4492 \h</w:instrText>
        </w:r>
        <w:r>
          <w:fldChar w:fldCharType="end"/>
        </w:r>
      </w:hyperlink>
    </w:p>
    <w:p>
      <w:pPr>
        <w:tabs>
          <w:tab w:val="right" w:leader="dot" w:pos="9062"/>
        </w:tabs>
        <w:ind w:left="440"/>
      </w:pPr>
      <w:hyperlink w:anchor="_Toc4493" w:history="1">
        <w:r>
          <w:rPr>
            <w:rFonts w:ascii="IRNazanin" w:hAnsi="IRNazanin" w:eastAsia="IRNazanin" w:cs="IRNazanin"/>
            <w:color w:val="111111"/>
            <w:sz w:val="22"/>
            <w:szCs w:val="22"/>
            <w:b w:val="0"/>
            <w:bCs w:val="0"/>
            <w:i w:val="0"/>
            <w:iCs w:val="0"/>
          </w:rPr>
          <w:t>4368- دیوان صفائی قمی‏</w:t>
        </w:r>
        <w:r>
          <w:tab/>
        </w:r>
        <w:r>
          <w:fldChar w:fldCharType="begin"/>
        </w:r>
        <w:r>
          <w:instrText xml:space="preserve">PAGEREF 4493 \h</w:instrText>
        </w:r>
        <w:r>
          <w:fldChar w:fldCharType="end"/>
        </w:r>
      </w:hyperlink>
    </w:p>
    <w:p>
      <w:pPr>
        <w:tabs>
          <w:tab w:val="right" w:leader="dot" w:pos="9062"/>
        </w:tabs>
        <w:ind w:left="440"/>
      </w:pPr>
      <w:hyperlink w:anchor="_Toc4494" w:history="1">
        <w:r>
          <w:rPr>
            <w:rFonts w:ascii="IRNazanin" w:hAnsi="IRNazanin" w:eastAsia="IRNazanin" w:cs="IRNazanin"/>
            <w:color w:val="111111"/>
            <w:sz w:val="22"/>
            <w:szCs w:val="22"/>
            <w:b w:val="0"/>
            <w:bCs w:val="0"/>
            <w:i w:val="0"/>
            <w:iCs w:val="0"/>
          </w:rPr>
          <w:t>4369- دیوان صفائی قمی‏</w:t>
        </w:r>
        <w:r>
          <w:tab/>
        </w:r>
        <w:r>
          <w:fldChar w:fldCharType="begin"/>
        </w:r>
        <w:r>
          <w:instrText xml:space="preserve">PAGEREF 4494 \h</w:instrText>
        </w:r>
        <w:r>
          <w:fldChar w:fldCharType="end"/>
        </w:r>
      </w:hyperlink>
    </w:p>
    <w:p>
      <w:pPr>
        <w:tabs>
          <w:tab w:val="right" w:leader="dot" w:pos="9062"/>
        </w:tabs>
        <w:ind w:left="440"/>
      </w:pPr>
      <w:hyperlink w:anchor="_Toc4495" w:history="1">
        <w:r>
          <w:rPr>
            <w:rFonts w:ascii="IRNazanin" w:hAnsi="IRNazanin" w:eastAsia="IRNazanin" w:cs="IRNazanin"/>
            <w:color w:val="111111"/>
            <w:sz w:val="22"/>
            <w:szCs w:val="22"/>
            <w:b w:val="0"/>
            <w:bCs w:val="0"/>
            <w:i w:val="0"/>
            <w:iCs w:val="0"/>
          </w:rPr>
          <w:t>4370- دیوان صفائی کرمانی أو شعره‏</w:t>
        </w:r>
        <w:r>
          <w:tab/>
        </w:r>
        <w:r>
          <w:fldChar w:fldCharType="begin"/>
        </w:r>
        <w:r>
          <w:instrText xml:space="preserve">PAGEREF 4495 \h</w:instrText>
        </w:r>
        <w:r>
          <w:fldChar w:fldCharType="end"/>
        </w:r>
      </w:hyperlink>
    </w:p>
    <w:p>
      <w:pPr>
        <w:tabs>
          <w:tab w:val="right" w:leader="dot" w:pos="9062"/>
        </w:tabs>
        <w:ind w:left="440"/>
      </w:pPr>
      <w:hyperlink w:anchor="_Toc4496" w:history="1">
        <w:r>
          <w:rPr>
            <w:rFonts w:ascii="IRNazanin" w:hAnsi="IRNazanin" w:eastAsia="IRNazanin" w:cs="IRNazanin"/>
            <w:color w:val="111111"/>
            <w:sz w:val="22"/>
            <w:szCs w:val="22"/>
            <w:b w:val="0"/>
            <w:bCs w:val="0"/>
            <w:i w:val="0"/>
            <w:iCs w:val="0"/>
          </w:rPr>
          <w:t>4371- دیوان صفائی ملایری‏</w:t>
        </w:r>
        <w:r>
          <w:tab/>
        </w:r>
        <w:r>
          <w:fldChar w:fldCharType="begin"/>
        </w:r>
        <w:r>
          <w:instrText xml:space="preserve">PAGEREF 4496 \h</w:instrText>
        </w:r>
        <w:r>
          <w:fldChar w:fldCharType="end"/>
        </w:r>
      </w:hyperlink>
    </w:p>
    <w:p>
      <w:pPr>
        <w:tabs>
          <w:tab w:val="right" w:leader="dot" w:pos="9062"/>
        </w:tabs>
        <w:ind w:left="440"/>
      </w:pPr>
      <w:hyperlink w:anchor="_Toc4497" w:history="1">
        <w:r>
          <w:rPr>
            <w:rFonts w:ascii="IRNazanin" w:hAnsi="IRNazanin" w:eastAsia="IRNazanin" w:cs="IRNazanin"/>
            <w:color w:val="111111"/>
            <w:sz w:val="22"/>
            <w:szCs w:val="22"/>
            <w:b w:val="0"/>
            <w:bCs w:val="0"/>
            <w:i w:val="0"/>
            <w:iCs w:val="0"/>
          </w:rPr>
          <w:t>4372- صفائی مروی أو شعره‏</w:t>
        </w:r>
        <w:r>
          <w:tab/>
        </w:r>
        <w:r>
          <w:fldChar w:fldCharType="begin"/>
        </w:r>
        <w:r>
          <w:instrText xml:space="preserve">PAGEREF 4497 \h</w:instrText>
        </w:r>
        <w:r>
          <w:fldChar w:fldCharType="end"/>
        </w:r>
      </w:hyperlink>
    </w:p>
    <w:p>
      <w:pPr>
        <w:tabs>
          <w:tab w:val="right" w:leader="dot" w:pos="9062"/>
        </w:tabs>
        <w:ind w:left="440"/>
      </w:pPr>
      <w:hyperlink w:anchor="_Toc4498" w:history="1">
        <w:r>
          <w:rPr>
            <w:rFonts w:ascii="IRNazanin" w:hAnsi="IRNazanin" w:eastAsia="IRNazanin" w:cs="IRNazanin"/>
            <w:color w:val="111111"/>
            <w:sz w:val="22"/>
            <w:szCs w:val="22"/>
            <w:b w:val="0"/>
            <w:bCs w:val="0"/>
            <w:i w:val="0"/>
            <w:iCs w:val="0"/>
          </w:rPr>
          <w:t>4373- دیوان صفائی نراقی‏</w:t>
        </w:r>
        <w:r>
          <w:tab/>
        </w:r>
        <w:r>
          <w:fldChar w:fldCharType="begin"/>
        </w:r>
        <w:r>
          <w:instrText xml:space="preserve">PAGEREF 4498 \h</w:instrText>
        </w:r>
        <w:r>
          <w:fldChar w:fldCharType="end"/>
        </w:r>
      </w:hyperlink>
    </w:p>
    <w:p>
      <w:pPr>
        <w:tabs>
          <w:tab w:val="right" w:leader="dot" w:pos="9062"/>
        </w:tabs>
        <w:ind w:left="440"/>
      </w:pPr>
      <w:hyperlink w:anchor="_Toc4499" w:history="1">
        <w:r>
          <w:rPr>
            <w:rFonts w:ascii="IRNazanin" w:hAnsi="IRNazanin" w:eastAsia="IRNazanin" w:cs="IRNazanin"/>
            <w:color w:val="111111"/>
            <w:sz w:val="22"/>
            <w:szCs w:val="22"/>
            <w:b w:val="0"/>
            <w:bCs w:val="0"/>
            <w:i w:val="0"/>
            <w:iCs w:val="0"/>
          </w:rPr>
          <w:t>4374- دیوان صفائی یزدی‏</w:t>
        </w:r>
        <w:r>
          <w:tab/>
        </w:r>
        <w:r>
          <w:fldChar w:fldCharType="begin"/>
        </w:r>
        <w:r>
          <w:instrText xml:space="preserve">PAGEREF 4499 \h</w:instrText>
        </w:r>
        <w:r>
          <w:fldChar w:fldCharType="end"/>
        </w:r>
      </w:hyperlink>
    </w:p>
    <w:p>
      <w:pPr>
        <w:tabs>
          <w:tab w:val="right" w:leader="dot" w:pos="9062"/>
        </w:tabs>
        <w:ind w:left="440"/>
      </w:pPr>
      <w:hyperlink w:anchor="_Toc4500" w:history="1">
        <w:r>
          <w:rPr>
            <w:rFonts w:ascii="IRNazanin" w:hAnsi="IRNazanin" w:eastAsia="IRNazanin" w:cs="IRNazanin"/>
            <w:color w:val="111111"/>
            <w:sz w:val="22"/>
            <w:szCs w:val="22"/>
            <w:b w:val="0"/>
            <w:bCs w:val="0"/>
            <w:i w:val="0"/>
            <w:iCs w:val="0"/>
          </w:rPr>
          <w:t>4375- دیوان صفاتی أو شعره‏</w:t>
        </w:r>
        <w:r>
          <w:tab/>
        </w:r>
        <w:r>
          <w:fldChar w:fldCharType="begin"/>
        </w:r>
        <w:r>
          <w:instrText xml:space="preserve">PAGEREF 4500 \h</w:instrText>
        </w:r>
        <w:r>
          <w:fldChar w:fldCharType="end"/>
        </w:r>
      </w:hyperlink>
    </w:p>
    <w:p>
      <w:pPr>
        <w:tabs>
          <w:tab w:val="right" w:leader="dot" w:pos="9062"/>
        </w:tabs>
        <w:ind w:left="440"/>
      </w:pPr>
      <w:hyperlink w:anchor="_Toc4501" w:history="1">
        <w:r>
          <w:rPr>
            <w:rFonts w:ascii="IRNazanin" w:hAnsi="IRNazanin" w:eastAsia="IRNazanin" w:cs="IRNazanin"/>
            <w:color w:val="111111"/>
            <w:sz w:val="22"/>
            <w:szCs w:val="22"/>
            <w:b w:val="0"/>
            <w:bCs w:val="0"/>
            <w:i w:val="0"/>
            <w:iCs w:val="0"/>
          </w:rPr>
          <w:t>4376- دیوان صفدر بلگرامی‏</w:t>
        </w:r>
        <w:r>
          <w:tab/>
        </w:r>
        <w:r>
          <w:fldChar w:fldCharType="begin"/>
        </w:r>
        <w:r>
          <w:instrText xml:space="preserve">PAGEREF 4501 \h</w:instrText>
        </w:r>
        <w:r>
          <w:fldChar w:fldCharType="end"/>
        </w:r>
      </w:hyperlink>
    </w:p>
    <w:p>
      <w:pPr>
        <w:tabs>
          <w:tab w:val="right" w:leader="dot" w:pos="9062"/>
        </w:tabs>
        <w:ind w:left="440"/>
      </w:pPr>
      <w:hyperlink w:anchor="_Toc4502" w:history="1">
        <w:r>
          <w:rPr>
            <w:rFonts w:ascii="IRNazanin" w:hAnsi="IRNazanin" w:eastAsia="IRNazanin" w:cs="IRNazanin"/>
            <w:color w:val="111111"/>
            <w:sz w:val="22"/>
            <w:szCs w:val="22"/>
            <w:b w:val="0"/>
            <w:bCs w:val="0"/>
            <w:i w:val="0"/>
            <w:iCs w:val="0"/>
          </w:rPr>
          <w:t>4377- دیوان صفوت تبریزی‏</w:t>
        </w:r>
        <w:r>
          <w:tab/>
        </w:r>
        <w:r>
          <w:fldChar w:fldCharType="begin"/>
        </w:r>
        <w:r>
          <w:instrText xml:space="preserve">PAGEREF 4502 \h</w:instrText>
        </w:r>
        <w:r>
          <w:fldChar w:fldCharType="end"/>
        </w:r>
      </w:hyperlink>
    </w:p>
    <w:p>
      <w:pPr>
        <w:tabs>
          <w:tab w:val="right" w:leader="dot" w:pos="9062"/>
        </w:tabs>
        <w:ind w:left="440"/>
      </w:pPr>
      <w:hyperlink w:anchor="_Toc4503" w:history="1">
        <w:r>
          <w:rPr>
            <w:rFonts w:ascii="IRNazanin" w:hAnsi="IRNazanin" w:eastAsia="IRNazanin" w:cs="IRNazanin"/>
            <w:color w:val="111111"/>
            <w:sz w:val="22"/>
            <w:szCs w:val="22"/>
            <w:b w:val="0"/>
            <w:bCs w:val="0"/>
            <w:i w:val="0"/>
            <w:iCs w:val="0"/>
          </w:rPr>
          <w:t>4378- دیوان صفوة الدین‏</w:t>
        </w:r>
        <w:r>
          <w:tab/>
        </w:r>
        <w:r>
          <w:fldChar w:fldCharType="begin"/>
        </w:r>
        <w:r>
          <w:instrText xml:space="preserve">PAGEREF 4503 \h</w:instrText>
        </w:r>
        <w:r>
          <w:fldChar w:fldCharType="end"/>
        </w:r>
      </w:hyperlink>
    </w:p>
    <w:p>
      <w:pPr>
        <w:tabs>
          <w:tab w:val="right" w:leader="dot" w:pos="9062"/>
        </w:tabs>
        <w:ind w:left="440"/>
      </w:pPr>
      <w:hyperlink w:anchor="_Toc4504" w:history="1">
        <w:r>
          <w:rPr>
            <w:rFonts w:ascii="IRNazanin" w:hAnsi="IRNazanin" w:eastAsia="IRNazanin" w:cs="IRNazanin"/>
            <w:color w:val="111111"/>
            <w:sz w:val="22"/>
            <w:szCs w:val="22"/>
            <w:b w:val="0"/>
            <w:bCs w:val="0"/>
            <w:i w:val="0"/>
            <w:iCs w:val="0"/>
          </w:rPr>
          <w:t>دیوان صفوی‏</w:t>
        </w:r>
        <w:r>
          <w:tab/>
        </w:r>
        <w:r>
          <w:fldChar w:fldCharType="begin"/>
        </w:r>
        <w:r>
          <w:instrText xml:space="preserve">PAGEREF 4504 \h</w:instrText>
        </w:r>
        <w:r>
          <w:fldChar w:fldCharType="end"/>
        </w:r>
      </w:hyperlink>
    </w:p>
    <w:p>
      <w:pPr>
        <w:tabs>
          <w:tab w:val="right" w:leader="dot" w:pos="9062"/>
        </w:tabs>
        <w:ind w:left="440"/>
      </w:pPr>
      <w:hyperlink w:anchor="_Toc4505" w:history="1">
        <w:r>
          <w:rPr>
            <w:rFonts w:ascii="IRNazanin" w:hAnsi="IRNazanin" w:eastAsia="IRNazanin" w:cs="IRNazanin"/>
            <w:color w:val="111111"/>
            <w:sz w:val="22"/>
            <w:szCs w:val="22"/>
            <w:b w:val="0"/>
            <w:bCs w:val="0"/>
            <w:i w:val="0"/>
            <w:iCs w:val="0"/>
          </w:rPr>
          <w:t>دیوان صفیا</w:t>
        </w:r>
        <w:r>
          <w:tab/>
        </w:r>
        <w:r>
          <w:fldChar w:fldCharType="begin"/>
        </w:r>
        <w:r>
          <w:instrText xml:space="preserve">PAGEREF 4505 \h</w:instrText>
        </w:r>
        <w:r>
          <w:fldChar w:fldCharType="end"/>
        </w:r>
      </w:hyperlink>
    </w:p>
    <w:p>
      <w:pPr>
        <w:tabs>
          <w:tab w:val="right" w:leader="dot" w:pos="9062"/>
        </w:tabs>
        <w:ind w:left="440"/>
      </w:pPr>
      <w:hyperlink w:anchor="_Toc4506" w:history="1">
        <w:r>
          <w:rPr>
            <w:rFonts w:ascii="IRNazanin" w:hAnsi="IRNazanin" w:eastAsia="IRNazanin" w:cs="IRNazanin"/>
            <w:color w:val="111111"/>
            <w:sz w:val="22"/>
            <w:szCs w:val="22"/>
            <w:b w:val="0"/>
            <w:bCs w:val="0"/>
            <w:i w:val="0"/>
            <w:iCs w:val="0"/>
          </w:rPr>
          <w:t>دیوان صفی أسترآبادی‏</w:t>
        </w:r>
        <w:r>
          <w:tab/>
        </w:r>
        <w:r>
          <w:fldChar w:fldCharType="begin"/>
        </w:r>
        <w:r>
          <w:instrText xml:space="preserve">PAGEREF 4506 \h</w:instrText>
        </w:r>
        <w:r>
          <w:fldChar w:fldCharType="end"/>
        </w:r>
      </w:hyperlink>
    </w:p>
    <w:p>
      <w:pPr>
        <w:tabs>
          <w:tab w:val="right" w:leader="dot" w:pos="9062"/>
        </w:tabs>
        <w:ind w:left="440"/>
      </w:pPr>
      <w:hyperlink w:anchor="_Toc4507" w:history="1">
        <w:r>
          <w:rPr>
            <w:rFonts w:ascii="IRNazanin" w:hAnsi="IRNazanin" w:eastAsia="IRNazanin" w:cs="IRNazanin"/>
            <w:color w:val="111111"/>
            <w:sz w:val="22"/>
            <w:szCs w:val="22"/>
            <w:b w:val="0"/>
            <w:bCs w:val="0"/>
            <w:i w:val="0"/>
            <w:iCs w:val="0"/>
          </w:rPr>
          <w:t>4379- دیوان صفی أصفهانی‏</w:t>
        </w:r>
        <w:r>
          <w:tab/>
        </w:r>
        <w:r>
          <w:fldChar w:fldCharType="begin"/>
        </w:r>
        <w:r>
          <w:instrText xml:space="preserve">PAGEREF 4507 \h</w:instrText>
        </w:r>
        <w:r>
          <w:fldChar w:fldCharType="end"/>
        </w:r>
      </w:hyperlink>
    </w:p>
    <w:p>
      <w:pPr>
        <w:tabs>
          <w:tab w:val="right" w:leader="dot" w:pos="9062"/>
        </w:tabs>
        <w:ind w:left="440"/>
      </w:pPr>
      <w:hyperlink w:anchor="_Toc4508" w:history="1">
        <w:r>
          <w:rPr>
            <w:rFonts w:ascii="IRNazanin" w:hAnsi="IRNazanin" w:eastAsia="IRNazanin" w:cs="IRNazanin"/>
            <w:color w:val="111111"/>
            <w:sz w:val="22"/>
            <w:szCs w:val="22"/>
            <w:b w:val="0"/>
            <w:bCs w:val="0"/>
            <w:i w:val="0"/>
            <w:iCs w:val="0"/>
          </w:rPr>
          <w:t>دیوان صفی أصفهانی‏</w:t>
        </w:r>
        <w:r>
          <w:tab/>
        </w:r>
        <w:r>
          <w:fldChar w:fldCharType="begin"/>
        </w:r>
        <w:r>
          <w:instrText xml:space="preserve">PAGEREF 4508 \h</w:instrText>
        </w:r>
        <w:r>
          <w:fldChar w:fldCharType="end"/>
        </w:r>
      </w:hyperlink>
    </w:p>
    <w:p>
      <w:pPr>
        <w:tabs>
          <w:tab w:val="right" w:leader="dot" w:pos="9062"/>
        </w:tabs>
        <w:ind w:left="440"/>
      </w:pPr>
      <w:hyperlink w:anchor="_Toc4509" w:history="1">
        <w:r>
          <w:rPr>
            <w:rFonts w:ascii="IRNazanin" w:hAnsi="IRNazanin" w:eastAsia="IRNazanin" w:cs="IRNazanin"/>
            <w:color w:val="111111"/>
            <w:sz w:val="22"/>
            <w:szCs w:val="22"/>
            <w:b w:val="0"/>
            <w:bCs w:val="0"/>
            <w:i w:val="0"/>
            <w:iCs w:val="0"/>
          </w:rPr>
          <w:t>4380- دیوان صفی أصفهانی‏</w:t>
        </w:r>
        <w:r>
          <w:tab/>
        </w:r>
        <w:r>
          <w:fldChar w:fldCharType="begin"/>
        </w:r>
        <w:r>
          <w:instrText xml:space="preserve">PAGEREF 4509 \h</w:instrText>
        </w:r>
        <w:r>
          <w:fldChar w:fldCharType="end"/>
        </w:r>
      </w:hyperlink>
    </w:p>
    <w:p>
      <w:pPr>
        <w:tabs>
          <w:tab w:val="right" w:leader="dot" w:pos="9062"/>
        </w:tabs>
        <w:ind w:left="440"/>
      </w:pPr>
      <w:hyperlink w:anchor="_Toc4510" w:history="1">
        <w:r>
          <w:rPr>
            <w:rFonts w:ascii="IRNazanin" w:hAnsi="IRNazanin" w:eastAsia="IRNazanin" w:cs="IRNazanin"/>
            <w:color w:val="111111"/>
            <w:sz w:val="22"/>
            <w:szCs w:val="22"/>
            <w:b w:val="0"/>
            <w:bCs w:val="0"/>
            <w:i w:val="0"/>
            <w:iCs w:val="0"/>
          </w:rPr>
          <w:t>4381- دیوان صفی چرکس‏</w:t>
        </w:r>
        <w:r>
          <w:tab/>
        </w:r>
        <w:r>
          <w:fldChar w:fldCharType="begin"/>
        </w:r>
        <w:r>
          <w:instrText xml:space="preserve">PAGEREF 4510 \h</w:instrText>
        </w:r>
        <w:r>
          <w:fldChar w:fldCharType="end"/>
        </w:r>
      </w:hyperlink>
    </w:p>
    <w:p>
      <w:pPr>
        <w:tabs>
          <w:tab w:val="right" w:leader="dot" w:pos="9062"/>
        </w:tabs>
        <w:ind w:left="440"/>
      </w:pPr>
      <w:hyperlink w:anchor="_Toc4511" w:history="1">
        <w:r>
          <w:rPr>
            <w:rFonts w:ascii="IRNazanin" w:hAnsi="IRNazanin" w:eastAsia="IRNazanin" w:cs="IRNazanin"/>
            <w:color w:val="111111"/>
            <w:sz w:val="22"/>
            <w:szCs w:val="22"/>
            <w:b w:val="0"/>
            <w:bCs w:val="0"/>
            <w:i w:val="0"/>
            <w:iCs w:val="0"/>
          </w:rPr>
          <w:t>دیوان صفی خراسانی‏</w:t>
        </w:r>
        <w:r>
          <w:tab/>
        </w:r>
        <w:r>
          <w:fldChar w:fldCharType="begin"/>
        </w:r>
        <w:r>
          <w:instrText xml:space="preserve">PAGEREF 4511 \h</w:instrText>
        </w:r>
        <w:r>
          <w:fldChar w:fldCharType="end"/>
        </w:r>
      </w:hyperlink>
    </w:p>
    <w:p>
      <w:pPr>
        <w:tabs>
          <w:tab w:val="right" w:leader="dot" w:pos="9062"/>
        </w:tabs>
        <w:ind w:left="440"/>
      </w:pPr>
      <w:hyperlink w:anchor="_Toc4512" w:history="1">
        <w:r>
          <w:rPr>
            <w:rFonts w:ascii="IRNazanin" w:hAnsi="IRNazanin" w:eastAsia="IRNazanin" w:cs="IRNazanin"/>
            <w:color w:val="111111"/>
            <w:sz w:val="22"/>
            <w:szCs w:val="22"/>
            <w:b w:val="0"/>
            <w:bCs w:val="0"/>
            <w:i w:val="0"/>
            <w:iCs w:val="0"/>
          </w:rPr>
          <w:t>4382- دیوان صفی الدین الأردبیلی أو شعره‏</w:t>
        </w:r>
        <w:r>
          <w:tab/>
        </w:r>
        <w:r>
          <w:fldChar w:fldCharType="begin"/>
        </w:r>
        <w:r>
          <w:instrText xml:space="preserve">PAGEREF 4512 \h</w:instrText>
        </w:r>
        <w:r>
          <w:fldChar w:fldCharType="end"/>
        </w:r>
      </w:hyperlink>
    </w:p>
    <w:p>
      <w:pPr>
        <w:tabs>
          <w:tab w:val="right" w:leader="dot" w:pos="9062"/>
        </w:tabs>
        <w:ind w:left="440"/>
      </w:pPr>
      <w:hyperlink w:anchor="_Toc4513" w:history="1">
        <w:r>
          <w:rPr>
            <w:rFonts w:ascii="IRNazanin" w:hAnsi="IRNazanin" w:eastAsia="IRNazanin" w:cs="IRNazanin"/>
            <w:color w:val="111111"/>
            <w:sz w:val="22"/>
            <w:szCs w:val="22"/>
            <w:b w:val="0"/>
            <w:bCs w:val="0"/>
            <w:i w:val="0"/>
            <w:iCs w:val="0"/>
          </w:rPr>
          <w:t>4383- دیوان الخواجة صفی الدین البستی‏</w:t>
        </w:r>
        <w:r>
          <w:tab/>
        </w:r>
        <w:r>
          <w:fldChar w:fldCharType="begin"/>
        </w:r>
        <w:r>
          <w:instrText xml:space="preserve">PAGEREF 4513 \h</w:instrText>
        </w:r>
        <w:r>
          <w:fldChar w:fldCharType="end"/>
        </w:r>
      </w:hyperlink>
    </w:p>
    <w:p>
      <w:pPr>
        <w:tabs>
          <w:tab w:val="right" w:leader="dot" w:pos="9062"/>
        </w:tabs>
        <w:ind w:left="440"/>
      </w:pPr>
      <w:hyperlink w:anchor="_Toc4514" w:history="1">
        <w:r>
          <w:rPr>
            <w:rFonts w:ascii="IRNazanin" w:hAnsi="IRNazanin" w:eastAsia="IRNazanin" w:cs="IRNazanin"/>
            <w:color w:val="111111"/>
            <w:sz w:val="22"/>
            <w:szCs w:val="22"/>
            <w:b w:val="0"/>
            <w:bCs w:val="0"/>
            <w:i w:val="0"/>
            <w:iCs w:val="0"/>
          </w:rPr>
          <w:t>4384- دیوان صفی الدین الحائری‏</w:t>
        </w:r>
        <w:r>
          <w:tab/>
        </w:r>
        <w:r>
          <w:fldChar w:fldCharType="begin"/>
        </w:r>
        <w:r>
          <w:instrText xml:space="preserve">PAGEREF 4514 \h</w:instrText>
        </w:r>
        <w:r>
          <w:fldChar w:fldCharType="end"/>
        </w:r>
      </w:hyperlink>
    </w:p>
    <w:p>
      <w:pPr>
        <w:tabs>
          <w:tab w:val="right" w:leader="dot" w:pos="9062"/>
        </w:tabs>
        <w:ind w:left="440"/>
      </w:pPr>
      <w:hyperlink w:anchor="_Toc4515" w:history="1">
        <w:r>
          <w:rPr>
            <w:rFonts w:ascii="IRNazanin" w:hAnsi="IRNazanin" w:eastAsia="IRNazanin" w:cs="IRNazanin"/>
            <w:color w:val="111111"/>
            <w:sz w:val="22"/>
            <w:szCs w:val="22"/>
            <w:b w:val="0"/>
            <w:bCs w:val="0"/>
            <w:i w:val="0"/>
            <w:iCs w:val="0"/>
          </w:rPr>
          <w:t>4385- دیوان الشیخ صفی الدین الحلی‏</w:t>
        </w:r>
        <w:r>
          <w:tab/>
        </w:r>
        <w:r>
          <w:fldChar w:fldCharType="begin"/>
        </w:r>
        <w:r>
          <w:instrText xml:space="preserve">PAGEREF 4515 \h</w:instrText>
        </w:r>
        <w:r>
          <w:fldChar w:fldCharType="end"/>
        </w:r>
      </w:hyperlink>
    </w:p>
    <w:p>
      <w:pPr>
        <w:tabs>
          <w:tab w:val="right" w:leader="dot" w:pos="9062"/>
        </w:tabs>
        <w:ind w:left="440"/>
      </w:pPr>
      <w:hyperlink w:anchor="_Toc4516" w:history="1">
        <w:r>
          <w:rPr>
            <w:rFonts w:ascii="IRNazanin" w:hAnsi="IRNazanin" w:eastAsia="IRNazanin" w:cs="IRNazanin"/>
            <w:color w:val="111111"/>
            <w:sz w:val="22"/>
            <w:szCs w:val="22"/>
            <w:b w:val="0"/>
            <w:bCs w:val="0"/>
            <w:i w:val="0"/>
            <w:iCs w:val="0"/>
          </w:rPr>
          <w:t>4386- دیوان الشیخ صفی الدین الحلی‏</w:t>
        </w:r>
        <w:r>
          <w:tab/>
        </w:r>
        <w:r>
          <w:fldChar w:fldCharType="begin"/>
        </w:r>
        <w:r>
          <w:instrText xml:space="preserve">PAGEREF 4516 \h</w:instrText>
        </w:r>
        <w:r>
          <w:fldChar w:fldCharType="end"/>
        </w:r>
      </w:hyperlink>
    </w:p>
    <w:p>
      <w:pPr>
        <w:tabs>
          <w:tab w:val="right" w:leader="dot" w:pos="9062"/>
        </w:tabs>
        <w:ind w:left="440"/>
      </w:pPr>
      <w:hyperlink w:anchor="_Toc4517" w:history="1">
        <w:r>
          <w:rPr>
            <w:rFonts w:ascii="IRNazanin" w:hAnsi="IRNazanin" w:eastAsia="IRNazanin" w:cs="IRNazanin"/>
            <w:color w:val="111111"/>
            <w:sz w:val="22"/>
            <w:szCs w:val="22"/>
            <w:b w:val="0"/>
            <w:bCs w:val="0"/>
            <w:i w:val="0"/>
            <w:iCs w:val="0"/>
          </w:rPr>
          <w:t>4387- دیوان صفی الدین یزدی أو شعره‏</w:t>
        </w:r>
        <w:r>
          <w:tab/>
        </w:r>
        <w:r>
          <w:fldChar w:fldCharType="begin"/>
        </w:r>
        <w:r>
          <w:instrText xml:space="preserve">PAGEREF 4517 \h</w:instrText>
        </w:r>
        <w:r>
          <w:fldChar w:fldCharType="end"/>
        </w:r>
      </w:hyperlink>
    </w:p>
    <w:p>
      <w:pPr>
        <w:tabs>
          <w:tab w:val="right" w:leader="dot" w:pos="9062"/>
        </w:tabs>
        <w:ind w:left="440"/>
      </w:pPr>
      <w:hyperlink w:anchor="_Toc4518" w:history="1">
        <w:r>
          <w:rPr>
            <w:rFonts w:ascii="IRNazanin" w:hAnsi="IRNazanin" w:eastAsia="IRNazanin" w:cs="IRNazanin"/>
            <w:color w:val="111111"/>
            <w:sz w:val="22"/>
            <w:szCs w:val="22"/>
            <w:b w:val="0"/>
            <w:bCs w:val="0"/>
            <w:i w:val="0"/>
            <w:iCs w:val="0"/>
          </w:rPr>
          <w:t>4388- دیوان صفیر تبریزی أو شعره‏</w:t>
        </w:r>
        <w:r>
          <w:tab/>
        </w:r>
        <w:r>
          <w:fldChar w:fldCharType="begin"/>
        </w:r>
        <w:r>
          <w:instrText xml:space="preserve">PAGEREF 4518 \h</w:instrText>
        </w:r>
        <w:r>
          <w:fldChar w:fldCharType="end"/>
        </w:r>
      </w:hyperlink>
    </w:p>
    <w:p>
      <w:pPr>
        <w:tabs>
          <w:tab w:val="right" w:leader="dot" w:pos="9062"/>
        </w:tabs>
        <w:ind w:left="440"/>
      </w:pPr>
      <w:hyperlink w:anchor="_Toc4519" w:history="1">
        <w:r>
          <w:rPr>
            <w:rFonts w:ascii="IRNazanin" w:hAnsi="IRNazanin" w:eastAsia="IRNazanin" w:cs="IRNazanin"/>
            <w:color w:val="111111"/>
            <w:sz w:val="22"/>
            <w:szCs w:val="22"/>
            <w:b w:val="0"/>
            <w:bCs w:val="0"/>
            <w:i w:val="0"/>
            <w:iCs w:val="0"/>
          </w:rPr>
          <w:t>4389- دیوان صفی رشتی أو شعره‏</w:t>
        </w:r>
        <w:r>
          <w:tab/>
        </w:r>
        <w:r>
          <w:fldChar w:fldCharType="begin"/>
        </w:r>
        <w:r>
          <w:instrText xml:space="preserve">PAGEREF 4519 \h</w:instrText>
        </w:r>
        <w:r>
          <w:fldChar w:fldCharType="end"/>
        </w:r>
      </w:hyperlink>
    </w:p>
    <w:p>
      <w:pPr>
        <w:tabs>
          <w:tab w:val="right" w:leader="dot" w:pos="9062"/>
        </w:tabs>
        <w:ind w:left="440"/>
      </w:pPr>
      <w:hyperlink w:anchor="_Toc4520" w:history="1">
        <w:r>
          <w:rPr>
            <w:rFonts w:ascii="IRNazanin" w:hAnsi="IRNazanin" w:eastAsia="IRNazanin" w:cs="IRNazanin"/>
            <w:color w:val="111111"/>
            <w:sz w:val="22"/>
            <w:szCs w:val="22"/>
            <w:b w:val="0"/>
            <w:bCs w:val="0"/>
            <w:i w:val="0"/>
            <w:iCs w:val="0"/>
          </w:rPr>
          <w:t>دیوان صفیر قمی‏</w:t>
        </w:r>
        <w:r>
          <w:tab/>
        </w:r>
        <w:r>
          <w:fldChar w:fldCharType="begin"/>
        </w:r>
        <w:r>
          <w:instrText xml:space="preserve">PAGEREF 4520 \h</w:instrText>
        </w:r>
        <w:r>
          <w:fldChar w:fldCharType="end"/>
        </w:r>
      </w:hyperlink>
    </w:p>
    <w:p>
      <w:pPr>
        <w:tabs>
          <w:tab w:val="right" w:leader="dot" w:pos="9062"/>
        </w:tabs>
        <w:ind w:left="440"/>
      </w:pPr>
      <w:hyperlink w:anchor="_Toc4521" w:history="1">
        <w:r>
          <w:rPr>
            <w:rFonts w:ascii="IRNazanin" w:hAnsi="IRNazanin" w:eastAsia="IRNazanin" w:cs="IRNazanin"/>
            <w:color w:val="111111"/>
            <w:sz w:val="22"/>
            <w:szCs w:val="22"/>
            <w:b w:val="0"/>
            <w:bCs w:val="0"/>
            <w:i w:val="0"/>
            <w:iCs w:val="0"/>
          </w:rPr>
          <w:t>4390- دیوان صفیر لاهیجی أو شعره‏</w:t>
        </w:r>
        <w:r>
          <w:tab/>
        </w:r>
        <w:r>
          <w:fldChar w:fldCharType="begin"/>
        </w:r>
        <w:r>
          <w:instrText xml:space="preserve">PAGEREF 4521 \h</w:instrText>
        </w:r>
        <w:r>
          <w:fldChar w:fldCharType="end"/>
        </w:r>
      </w:hyperlink>
    </w:p>
    <w:p>
      <w:pPr>
        <w:tabs>
          <w:tab w:val="right" w:leader="dot" w:pos="9062"/>
        </w:tabs>
        <w:ind w:left="440"/>
      </w:pPr>
      <w:hyperlink w:anchor="_Toc4522" w:history="1">
        <w:r>
          <w:rPr>
            <w:rFonts w:ascii="IRNazanin" w:hAnsi="IRNazanin" w:eastAsia="IRNazanin" w:cs="IRNazanin"/>
            <w:color w:val="111111"/>
            <w:sz w:val="22"/>
            <w:szCs w:val="22"/>
            <w:b w:val="0"/>
            <w:bCs w:val="0"/>
            <w:i w:val="0"/>
            <w:iCs w:val="0"/>
          </w:rPr>
          <w:t>4391- دیوان صفی سبزواری‏</w:t>
        </w:r>
        <w:r>
          <w:tab/>
        </w:r>
        <w:r>
          <w:fldChar w:fldCharType="begin"/>
        </w:r>
        <w:r>
          <w:instrText xml:space="preserve">PAGEREF 4522 \h</w:instrText>
        </w:r>
        <w:r>
          <w:fldChar w:fldCharType="end"/>
        </w:r>
      </w:hyperlink>
    </w:p>
    <w:p>
      <w:pPr>
        <w:tabs>
          <w:tab w:val="right" w:leader="dot" w:pos="9062"/>
        </w:tabs>
        <w:ind w:left="440"/>
      </w:pPr>
      <w:hyperlink w:anchor="_Toc4523" w:history="1">
        <w:r>
          <w:rPr>
            <w:rFonts w:ascii="IRNazanin" w:hAnsi="IRNazanin" w:eastAsia="IRNazanin" w:cs="IRNazanin"/>
            <w:color w:val="111111"/>
            <w:sz w:val="22"/>
            <w:szCs w:val="22"/>
            <w:b w:val="0"/>
            <w:bCs w:val="0"/>
            <w:i w:val="0"/>
            <w:iCs w:val="0"/>
          </w:rPr>
          <w:t>4392- دیوان صفی صفوی أو شعره‏</w:t>
        </w:r>
        <w:r>
          <w:tab/>
        </w:r>
        <w:r>
          <w:fldChar w:fldCharType="begin"/>
        </w:r>
        <w:r>
          <w:instrText xml:space="preserve">PAGEREF 4523 \h</w:instrText>
        </w:r>
        <w:r>
          <w:fldChar w:fldCharType="end"/>
        </w:r>
      </w:hyperlink>
    </w:p>
    <w:p>
      <w:pPr>
        <w:tabs>
          <w:tab w:val="right" w:leader="dot" w:pos="9062"/>
        </w:tabs>
        <w:ind w:left="440"/>
      </w:pPr>
      <w:hyperlink w:anchor="_Toc4524" w:history="1">
        <w:r>
          <w:rPr>
            <w:rFonts w:ascii="IRNazanin" w:hAnsi="IRNazanin" w:eastAsia="IRNazanin" w:cs="IRNazanin"/>
            <w:color w:val="111111"/>
            <w:sz w:val="22"/>
            <w:szCs w:val="22"/>
            <w:b w:val="0"/>
            <w:bCs w:val="0"/>
            <w:i w:val="0"/>
            <w:iCs w:val="0"/>
          </w:rPr>
          <w:t>4393- دیوان صفی طبسی أو شعره‏</w:t>
        </w:r>
        <w:r>
          <w:tab/>
        </w:r>
        <w:r>
          <w:fldChar w:fldCharType="begin"/>
        </w:r>
        <w:r>
          <w:instrText xml:space="preserve">PAGEREF 4524 \h</w:instrText>
        </w:r>
        <w:r>
          <w:fldChar w:fldCharType="end"/>
        </w:r>
      </w:hyperlink>
    </w:p>
    <w:p>
      <w:pPr>
        <w:tabs>
          <w:tab w:val="right" w:leader="dot" w:pos="9062"/>
        </w:tabs>
        <w:ind w:left="440"/>
      </w:pPr>
      <w:hyperlink w:anchor="_Toc4525" w:history="1">
        <w:r>
          <w:rPr>
            <w:rFonts w:ascii="IRNazanin" w:hAnsi="IRNazanin" w:eastAsia="IRNazanin" w:cs="IRNazanin"/>
            <w:color w:val="111111"/>
            <w:sz w:val="22"/>
            <w:szCs w:val="22"/>
            <w:b w:val="0"/>
            <w:bCs w:val="0"/>
            <w:i w:val="0"/>
            <w:iCs w:val="0"/>
          </w:rPr>
          <w:t>4394- دیوان صفی شیرازی أو شعره‏</w:t>
        </w:r>
        <w:r>
          <w:tab/>
        </w:r>
        <w:r>
          <w:fldChar w:fldCharType="begin"/>
        </w:r>
        <w:r>
          <w:instrText xml:space="preserve">PAGEREF 4525 \h</w:instrText>
        </w:r>
        <w:r>
          <w:fldChar w:fldCharType="end"/>
        </w:r>
      </w:hyperlink>
    </w:p>
    <w:p>
      <w:pPr>
        <w:tabs>
          <w:tab w:val="right" w:leader="dot" w:pos="9062"/>
        </w:tabs>
        <w:ind w:left="440"/>
      </w:pPr>
      <w:hyperlink w:anchor="_Toc4526" w:history="1">
        <w:r>
          <w:rPr>
            <w:rFonts w:ascii="IRNazanin" w:hAnsi="IRNazanin" w:eastAsia="IRNazanin" w:cs="IRNazanin"/>
            <w:color w:val="111111"/>
            <w:sz w:val="22"/>
            <w:szCs w:val="22"/>
            <w:b w:val="0"/>
            <w:bCs w:val="0"/>
            <w:i w:val="0"/>
            <w:iCs w:val="0"/>
          </w:rPr>
          <w:t>4395- دیوان صفی علی شاه‏</w:t>
        </w:r>
        <w:r>
          <w:tab/>
        </w:r>
        <w:r>
          <w:fldChar w:fldCharType="begin"/>
        </w:r>
        <w:r>
          <w:instrText xml:space="preserve">PAGEREF 4526 \h</w:instrText>
        </w:r>
        <w:r>
          <w:fldChar w:fldCharType="end"/>
        </w:r>
      </w:hyperlink>
    </w:p>
    <w:p>
      <w:pPr>
        <w:tabs>
          <w:tab w:val="right" w:leader="dot" w:pos="9062"/>
        </w:tabs>
        <w:ind w:left="440"/>
      </w:pPr>
      <w:hyperlink w:anchor="_Toc4527" w:history="1">
        <w:r>
          <w:rPr>
            <w:rFonts w:ascii="IRNazanin" w:hAnsi="IRNazanin" w:eastAsia="IRNazanin" w:cs="IRNazanin"/>
            <w:color w:val="111111"/>
            <w:sz w:val="22"/>
            <w:szCs w:val="22"/>
            <w:b w:val="0"/>
            <w:bCs w:val="0"/>
            <w:i w:val="0"/>
            <w:iCs w:val="0"/>
          </w:rPr>
          <w:t>دیوان صفی قلی بیک‏</w:t>
        </w:r>
        <w:r>
          <w:tab/>
        </w:r>
        <w:r>
          <w:fldChar w:fldCharType="begin"/>
        </w:r>
        <w:r>
          <w:instrText xml:space="preserve">PAGEREF 4527 \h</w:instrText>
        </w:r>
        <w:r>
          <w:fldChar w:fldCharType="end"/>
        </w:r>
      </w:hyperlink>
    </w:p>
    <w:p>
      <w:pPr>
        <w:tabs>
          <w:tab w:val="right" w:leader="dot" w:pos="9062"/>
        </w:tabs>
        <w:ind w:left="440"/>
      </w:pPr>
      <w:hyperlink w:anchor="_Toc4528" w:history="1">
        <w:r>
          <w:rPr>
            <w:rFonts w:ascii="IRNazanin" w:hAnsi="IRNazanin" w:eastAsia="IRNazanin" w:cs="IRNazanin"/>
            <w:color w:val="111111"/>
            <w:sz w:val="22"/>
            <w:szCs w:val="22"/>
            <w:b w:val="0"/>
            <w:bCs w:val="0"/>
            <w:i w:val="0"/>
            <w:iCs w:val="0"/>
          </w:rPr>
          <w:t>4396- دیوان صفی قلی خان‏</w:t>
        </w:r>
        <w:r>
          <w:tab/>
        </w:r>
        <w:r>
          <w:fldChar w:fldCharType="begin"/>
        </w:r>
        <w:r>
          <w:instrText xml:space="preserve">PAGEREF 4528 \h</w:instrText>
        </w:r>
        <w:r>
          <w:fldChar w:fldCharType="end"/>
        </w:r>
      </w:hyperlink>
    </w:p>
    <w:p>
      <w:pPr>
        <w:tabs>
          <w:tab w:val="right" w:leader="dot" w:pos="9062"/>
        </w:tabs>
        <w:ind w:left="440"/>
      </w:pPr>
      <w:hyperlink w:anchor="_Toc4529" w:history="1">
        <w:r>
          <w:rPr>
            <w:rFonts w:ascii="IRNazanin" w:hAnsi="IRNazanin" w:eastAsia="IRNazanin" w:cs="IRNazanin"/>
            <w:color w:val="111111"/>
            <w:sz w:val="22"/>
            <w:szCs w:val="22"/>
            <w:b w:val="0"/>
            <w:bCs w:val="0"/>
            <w:i w:val="0"/>
            <w:iCs w:val="0"/>
          </w:rPr>
          <w:t>4397- دیوان صفی مخملباف أو شعره‏</w:t>
        </w:r>
        <w:r>
          <w:tab/>
        </w:r>
        <w:r>
          <w:fldChar w:fldCharType="begin"/>
        </w:r>
        <w:r>
          <w:instrText xml:space="preserve">PAGEREF 4529 \h</w:instrText>
        </w:r>
        <w:r>
          <w:fldChar w:fldCharType="end"/>
        </w:r>
      </w:hyperlink>
    </w:p>
    <w:p>
      <w:pPr>
        <w:tabs>
          <w:tab w:val="right" w:leader="dot" w:pos="9062"/>
        </w:tabs>
        <w:ind w:left="440"/>
      </w:pPr>
      <w:hyperlink w:anchor="_Toc4530" w:history="1">
        <w:r>
          <w:rPr>
            <w:rFonts w:ascii="IRNazanin" w:hAnsi="IRNazanin" w:eastAsia="IRNazanin" w:cs="IRNazanin"/>
            <w:color w:val="111111"/>
            <w:sz w:val="22"/>
            <w:szCs w:val="22"/>
            <w:b w:val="0"/>
            <w:bCs w:val="0"/>
            <w:i w:val="0"/>
            <w:iCs w:val="0"/>
          </w:rPr>
          <w:t>4398- دیوان صفی نوربخشی أو شعره‏</w:t>
        </w:r>
        <w:r>
          <w:tab/>
        </w:r>
        <w:r>
          <w:fldChar w:fldCharType="begin"/>
        </w:r>
        <w:r>
          <w:instrText xml:space="preserve">PAGEREF 4530 \h</w:instrText>
        </w:r>
        <w:r>
          <w:fldChar w:fldCharType="end"/>
        </w:r>
      </w:hyperlink>
    </w:p>
    <w:p>
      <w:pPr>
        <w:tabs>
          <w:tab w:val="right" w:leader="dot" w:pos="9062"/>
        </w:tabs>
        <w:ind w:left="440"/>
      </w:pPr>
      <w:hyperlink w:anchor="_Toc4531" w:history="1">
        <w:r>
          <w:rPr>
            <w:rFonts w:ascii="IRNazanin" w:hAnsi="IRNazanin" w:eastAsia="IRNazanin" w:cs="IRNazanin"/>
            <w:color w:val="111111"/>
            <w:sz w:val="22"/>
            <w:szCs w:val="22"/>
            <w:b w:val="0"/>
            <w:bCs w:val="0"/>
            <w:i w:val="0"/>
            <w:iCs w:val="0"/>
          </w:rPr>
          <w:t>4399- دیوان صفی نیشابوری أو شعره‏</w:t>
        </w:r>
        <w:r>
          <w:tab/>
        </w:r>
        <w:r>
          <w:fldChar w:fldCharType="begin"/>
        </w:r>
        <w:r>
          <w:instrText xml:space="preserve">PAGEREF 4531 \h</w:instrText>
        </w:r>
        <w:r>
          <w:fldChar w:fldCharType="end"/>
        </w:r>
      </w:hyperlink>
    </w:p>
    <w:p>
      <w:pPr>
        <w:tabs>
          <w:tab w:val="right" w:leader="dot" w:pos="9062"/>
        </w:tabs>
        <w:ind w:left="440"/>
      </w:pPr>
      <w:hyperlink w:anchor="_Toc4532" w:history="1">
        <w:r>
          <w:rPr>
            <w:rFonts w:ascii="IRNazanin" w:hAnsi="IRNazanin" w:eastAsia="IRNazanin" w:cs="IRNazanin"/>
            <w:color w:val="111111"/>
            <w:sz w:val="22"/>
            <w:szCs w:val="22"/>
            <w:b w:val="0"/>
            <w:bCs w:val="0"/>
            <w:i w:val="0"/>
            <w:iCs w:val="0"/>
          </w:rPr>
          <w:t>4400- دیوان صفی یزدی أو شعره‏</w:t>
        </w:r>
        <w:r>
          <w:tab/>
        </w:r>
        <w:r>
          <w:fldChar w:fldCharType="begin"/>
        </w:r>
        <w:r>
          <w:instrText xml:space="preserve">PAGEREF 4532 \h</w:instrText>
        </w:r>
        <w:r>
          <w:fldChar w:fldCharType="end"/>
        </w:r>
      </w:hyperlink>
    </w:p>
    <w:p>
      <w:pPr>
        <w:tabs>
          <w:tab w:val="right" w:leader="dot" w:pos="9062"/>
        </w:tabs>
        <w:ind w:left="440"/>
      </w:pPr>
      <w:hyperlink w:anchor="_Toc4533" w:history="1">
        <w:r>
          <w:rPr>
            <w:rFonts w:ascii="IRNazanin" w:hAnsi="IRNazanin" w:eastAsia="IRNazanin" w:cs="IRNazanin"/>
            <w:color w:val="111111"/>
            <w:sz w:val="22"/>
            <w:szCs w:val="22"/>
            <w:b w:val="0"/>
            <w:bCs w:val="0"/>
            <w:i w:val="0"/>
            <w:iCs w:val="0"/>
          </w:rPr>
          <w:t>4401- دیوان صفی یزدی أو شعره‏</w:t>
        </w:r>
        <w:r>
          <w:tab/>
        </w:r>
        <w:r>
          <w:fldChar w:fldCharType="begin"/>
        </w:r>
        <w:r>
          <w:instrText xml:space="preserve">PAGEREF 4533 \h</w:instrText>
        </w:r>
        <w:r>
          <w:fldChar w:fldCharType="end"/>
        </w:r>
      </w:hyperlink>
    </w:p>
    <w:p>
      <w:pPr>
        <w:tabs>
          <w:tab w:val="right" w:leader="dot" w:pos="9062"/>
        </w:tabs>
        <w:ind w:left="440"/>
      </w:pPr>
      <w:hyperlink w:anchor="_Toc4534" w:history="1">
        <w:r>
          <w:rPr>
            <w:rFonts w:ascii="IRNazanin" w:hAnsi="IRNazanin" w:eastAsia="IRNazanin" w:cs="IRNazanin"/>
            <w:color w:val="111111"/>
            <w:sz w:val="22"/>
            <w:szCs w:val="22"/>
            <w:b w:val="0"/>
            <w:bCs w:val="0"/>
            <w:i w:val="0"/>
            <w:iCs w:val="0"/>
          </w:rPr>
          <w:t>دیوان صفی یزدی‏</w:t>
        </w:r>
        <w:r>
          <w:tab/>
        </w:r>
        <w:r>
          <w:fldChar w:fldCharType="begin"/>
        </w:r>
        <w:r>
          <w:instrText xml:space="preserve">PAGEREF 4534 \h</w:instrText>
        </w:r>
        <w:r>
          <w:fldChar w:fldCharType="end"/>
        </w:r>
      </w:hyperlink>
    </w:p>
    <w:p>
      <w:pPr>
        <w:tabs>
          <w:tab w:val="right" w:leader="dot" w:pos="9062"/>
        </w:tabs>
        <w:ind w:left="440"/>
      </w:pPr>
      <w:hyperlink w:anchor="_Toc4535" w:history="1">
        <w:r>
          <w:rPr>
            <w:rFonts w:ascii="IRNazanin" w:hAnsi="IRNazanin" w:eastAsia="IRNazanin" w:cs="IRNazanin"/>
            <w:color w:val="111111"/>
            <w:sz w:val="22"/>
            <w:szCs w:val="22"/>
            <w:b w:val="0"/>
            <w:bCs w:val="0"/>
            <w:i w:val="0"/>
            <w:iCs w:val="0"/>
          </w:rPr>
          <w:t>4402- دیوان صلاح هندی‏</w:t>
        </w:r>
        <w:r>
          <w:tab/>
        </w:r>
        <w:r>
          <w:fldChar w:fldCharType="begin"/>
        </w:r>
        <w:r>
          <w:instrText xml:space="preserve">PAGEREF 4535 \h</w:instrText>
        </w:r>
        <w:r>
          <w:fldChar w:fldCharType="end"/>
        </w:r>
      </w:hyperlink>
    </w:p>
    <w:p>
      <w:pPr>
        <w:tabs>
          <w:tab w:val="right" w:leader="dot" w:pos="9062"/>
        </w:tabs>
        <w:ind w:left="440"/>
      </w:pPr>
      <w:hyperlink w:anchor="_Toc4536" w:history="1">
        <w:r>
          <w:rPr>
            <w:rFonts w:ascii="IRNazanin" w:hAnsi="IRNazanin" w:eastAsia="IRNazanin" w:cs="IRNazanin"/>
            <w:color w:val="111111"/>
            <w:sz w:val="22"/>
            <w:szCs w:val="22"/>
            <w:b w:val="0"/>
            <w:bCs w:val="0"/>
            <w:i w:val="0"/>
            <w:iCs w:val="0"/>
          </w:rPr>
          <w:t>4403- دیوان صلای أصفهانی أو شعره‏</w:t>
        </w:r>
        <w:r>
          <w:tab/>
        </w:r>
        <w:r>
          <w:fldChar w:fldCharType="begin"/>
        </w:r>
        <w:r>
          <w:instrText xml:space="preserve">PAGEREF 4536 \h</w:instrText>
        </w:r>
        <w:r>
          <w:fldChar w:fldCharType="end"/>
        </w:r>
      </w:hyperlink>
    </w:p>
    <w:p>
      <w:pPr>
        <w:tabs>
          <w:tab w:val="right" w:leader="dot" w:pos="9062"/>
        </w:tabs>
        <w:ind w:left="440"/>
      </w:pPr>
      <w:hyperlink w:anchor="_Toc4537" w:history="1">
        <w:r>
          <w:rPr>
            <w:rFonts w:ascii="IRNazanin" w:hAnsi="IRNazanin" w:eastAsia="IRNazanin" w:cs="IRNazanin"/>
            <w:color w:val="111111"/>
            <w:sz w:val="22"/>
            <w:szCs w:val="22"/>
            <w:b w:val="0"/>
            <w:bCs w:val="0"/>
            <w:i w:val="0"/>
            <w:iCs w:val="0"/>
          </w:rPr>
          <w:t>4404- دیوان صلای أسفراینی أو شعره‏</w:t>
        </w:r>
        <w:r>
          <w:tab/>
        </w:r>
        <w:r>
          <w:fldChar w:fldCharType="begin"/>
        </w:r>
        <w:r>
          <w:instrText xml:space="preserve">PAGEREF 4537 \h</w:instrText>
        </w:r>
        <w:r>
          <w:fldChar w:fldCharType="end"/>
        </w:r>
      </w:hyperlink>
    </w:p>
    <w:p>
      <w:pPr>
        <w:tabs>
          <w:tab w:val="right" w:leader="dot" w:pos="9062"/>
        </w:tabs>
        <w:ind w:left="440"/>
      </w:pPr>
      <w:hyperlink w:anchor="_Toc4538" w:history="1">
        <w:r>
          <w:rPr>
            <w:rFonts w:ascii="IRNazanin" w:hAnsi="IRNazanin" w:eastAsia="IRNazanin" w:cs="IRNazanin"/>
            <w:color w:val="111111"/>
            <w:sz w:val="22"/>
            <w:szCs w:val="22"/>
            <w:b w:val="0"/>
            <w:bCs w:val="0"/>
            <w:i w:val="0"/>
            <w:iCs w:val="0"/>
          </w:rPr>
          <w:t>4405- دیوان صلحی أصفهانی أو شعره‏</w:t>
        </w:r>
        <w:r>
          <w:tab/>
        </w:r>
        <w:r>
          <w:fldChar w:fldCharType="begin"/>
        </w:r>
        <w:r>
          <w:instrText xml:space="preserve">PAGEREF 4538 \h</w:instrText>
        </w:r>
        <w:r>
          <w:fldChar w:fldCharType="end"/>
        </w:r>
      </w:hyperlink>
    </w:p>
    <w:p>
      <w:pPr>
        <w:tabs>
          <w:tab w:val="right" w:leader="dot" w:pos="9062"/>
        </w:tabs>
        <w:ind w:left="440"/>
      </w:pPr>
      <w:hyperlink w:anchor="_Toc4539" w:history="1">
        <w:r>
          <w:rPr>
            <w:rFonts w:ascii="IRNazanin" w:hAnsi="IRNazanin" w:eastAsia="IRNazanin" w:cs="IRNazanin"/>
            <w:color w:val="111111"/>
            <w:sz w:val="22"/>
            <w:szCs w:val="22"/>
            <w:b w:val="0"/>
            <w:bCs w:val="0"/>
            <w:i w:val="0"/>
            <w:iCs w:val="0"/>
          </w:rPr>
          <w:t>4406- دیوان صلواتی أصفهانی‏</w:t>
        </w:r>
        <w:r>
          <w:tab/>
        </w:r>
        <w:r>
          <w:fldChar w:fldCharType="begin"/>
        </w:r>
        <w:r>
          <w:instrText xml:space="preserve">PAGEREF 4539 \h</w:instrText>
        </w:r>
        <w:r>
          <w:fldChar w:fldCharType="end"/>
        </w:r>
      </w:hyperlink>
    </w:p>
    <w:p>
      <w:pPr>
        <w:tabs>
          <w:tab w:val="right" w:leader="dot" w:pos="9062"/>
        </w:tabs>
        <w:ind w:left="440"/>
      </w:pPr>
      <w:hyperlink w:anchor="_Toc4540" w:history="1">
        <w:r>
          <w:rPr>
            <w:rFonts w:ascii="IRNazanin" w:hAnsi="IRNazanin" w:eastAsia="IRNazanin" w:cs="IRNazanin"/>
            <w:color w:val="111111"/>
            <w:sz w:val="22"/>
            <w:szCs w:val="22"/>
            <w:b w:val="0"/>
            <w:bCs w:val="0"/>
            <w:i w:val="0"/>
            <w:iCs w:val="0"/>
          </w:rPr>
          <w:t>4407- دیوان صمد همدانی أو شعره‏</w:t>
        </w:r>
        <w:r>
          <w:tab/>
        </w:r>
        <w:r>
          <w:fldChar w:fldCharType="begin"/>
        </w:r>
        <w:r>
          <w:instrText xml:space="preserve">PAGEREF 4540 \h</w:instrText>
        </w:r>
        <w:r>
          <w:fldChar w:fldCharType="end"/>
        </w:r>
      </w:hyperlink>
    </w:p>
    <w:p>
      <w:pPr>
        <w:tabs>
          <w:tab w:val="right" w:leader="dot" w:pos="9062"/>
        </w:tabs>
        <w:ind w:left="440"/>
      </w:pPr>
      <w:hyperlink w:anchor="_Toc4541" w:history="1">
        <w:r>
          <w:rPr>
            <w:rFonts w:ascii="IRNazanin" w:hAnsi="IRNazanin" w:eastAsia="IRNazanin" w:cs="IRNazanin"/>
            <w:color w:val="111111"/>
            <w:sz w:val="22"/>
            <w:szCs w:val="22"/>
            <w:b w:val="0"/>
            <w:bCs w:val="0"/>
            <w:i w:val="0"/>
            <w:iCs w:val="0"/>
          </w:rPr>
          <w:t>4408- دیوان صمد شیرازی أو شعره‏</w:t>
        </w:r>
        <w:r>
          <w:tab/>
        </w:r>
        <w:r>
          <w:fldChar w:fldCharType="begin"/>
        </w:r>
        <w:r>
          <w:instrText xml:space="preserve">PAGEREF 4541 \h</w:instrText>
        </w:r>
        <w:r>
          <w:fldChar w:fldCharType="end"/>
        </w:r>
      </w:hyperlink>
    </w:p>
    <w:p>
      <w:pPr>
        <w:tabs>
          <w:tab w:val="right" w:leader="dot" w:pos="9062"/>
        </w:tabs>
        <w:ind w:left="440"/>
      </w:pPr>
      <w:hyperlink w:anchor="_Toc4542" w:history="1">
        <w:r>
          <w:rPr>
            <w:rFonts w:ascii="IRNazanin" w:hAnsi="IRNazanin" w:eastAsia="IRNazanin" w:cs="IRNazanin"/>
            <w:color w:val="111111"/>
            <w:sz w:val="22"/>
            <w:szCs w:val="22"/>
            <w:b w:val="0"/>
            <w:bCs w:val="0"/>
            <w:i w:val="0"/>
            <w:iCs w:val="0"/>
          </w:rPr>
          <w:t>دیوان صمصام یزدی أو شعره‏</w:t>
        </w:r>
        <w:r>
          <w:tab/>
        </w:r>
        <w:r>
          <w:fldChar w:fldCharType="begin"/>
        </w:r>
        <w:r>
          <w:instrText xml:space="preserve">PAGEREF 4542 \h</w:instrText>
        </w:r>
        <w:r>
          <w:fldChar w:fldCharType="end"/>
        </w:r>
      </w:hyperlink>
    </w:p>
    <w:p>
      <w:pPr>
        <w:tabs>
          <w:tab w:val="right" w:leader="dot" w:pos="9062"/>
        </w:tabs>
        <w:ind w:left="440"/>
      </w:pPr>
      <w:hyperlink w:anchor="_Toc4543" w:history="1">
        <w:r>
          <w:rPr>
            <w:rFonts w:ascii="IRNazanin" w:hAnsi="IRNazanin" w:eastAsia="IRNazanin" w:cs="IRNazanin"/>
            <w:color w:val="111111"/>
            <w:sz w:val="22"/>
            <w:szCs w:val="22"/>
            <w:b w:val="0"/>
            <w:bCs w:val="0"/>
            <w:i w:val="0"/>
            <w:iCs w:val="0"/>
          </w:rPr>
          <w:t>4409- دیوان صمیمی بروجردی‏</w:t>
        </w:r>
        <w:r>
          <w:tab/>
        </w:r>
        <w:r>
          <w:fldChar w:fldCharType="begin"/>
        </w:r>
        <w:r>
          <w:instrText xml:space="preserve">PAGEREF 4543 \h</w:instrText>
        </w:r>
        <w:r>
          <w:fldChar w:fldCharType="end"/>
        </w:r>
      </w:hyperlink>
    </w:p>
    <w:p>
      <w:pPr>
        <w:tabs>
          <w:tab w:val="right" w:leader="dot" w:pos="9062"/>
        </w:tabs>
        <w:ind w:left="440"/>
      </w:pPr>
      <w:hyperlink w:anchor="_Toc4544" w:history="1">
        <w:r>
          <w:rPr>
            <w:rFonts w:ascii="IRNazanin" w:hAnsi="IRNazanin" w:eastAsia="IRNazanin" w:cs="IRNazanin"/>
            <w:color w:val="111111"/>
            <w:sz w:val="22"/>
            <w:szCs w:val="22"/>
            <w:b w:val="0"/>
            <w:bCs w:val="0"/>
            <w:i w:val="0"/>
            <w:iCs w:val="0"/>
          </w:rPr>
          <w:t>4410- دیوان صندلی‏</w:t>
        </w:r>
        <w:r>
          <w:tab/>
        </w:r>
        <w:r>
          <w:fldChar w:fldCharType="begin"/>
        </w:r>
        <w:r>
          <w:instrText xml:space="preserve">PAGEREF 4544 \h</w:instrText>
        </w:r>
        <w:r>
          <w:fldChar w:fldCharType="end"/>
        </w:r>
      </w:hyperlink>
    </w:p>
    <w:p>
      <w:pPr>
        <w:tabs>
          <w:tab w:val="right" w:leader="dot" w:pos="9062"/>
        </w:tabs>
        <w:ind w:left="440"/>
      </w:pPr>
      <w:hyperlink w:anchor="_Toc4545" w:history="1">
        <w:r>
          <w:rPr>
            <w:rFonts w:ascii="IRNazanin" w:hAnsi="IRNazanin" w:eastAsia="IRNazanin" w:cs="IRNazanin"/>
            <w:color w:val="111111"/>
            <w:sz w:val="22"/>
            <w:szCs w:val="22"/>
            <w:b w:val="0"/>
            <w:bCs w:val="0"/>
            <w:i w:val="0"/>
            <w:iCs w:val="0"/>
          </w:rPr>
          <w:t>4411- دیوان صنعت شیرازی‏</w:t>
        </w:r>
        <w:r>
          <w:tab/>
        </w:r>
        <w:r>
          <w:fldChar w:fldCharType="begin"/>
        </w:r>
        <w:r>
          <w:instrText xml:space="preserve">PAGEREF 4545 \h</w:instrText>
        </w:r>
        <w:r>
          <w:fldChar w:fldCharType="end"/>
        </w:r>
      </w:hyperlink>
    </w:p>
    <w:p>
      <w:pPr>
        <w:tabs>
          <w:tab w:val="right" w:leader="dot" w:pos="9062"/>
        </w:tabs>
        <w:ind w:left="440"/>
      </w:pPr>
      <w:hyperlink w:anchor="_Toc4546" w:history="1">
        <w:r>
          <w:rPr>
            <w:rFonts w:ascii="IRNazanin" w:hAnsi="IRNazanin" w:eastAsia="IRNazanin" w:cs="IRNazanin"/>
            <w:color w:val="111111"/>
            <w:sz w:val="22"/>
            <w:szCs w:val="22"/>
            <w:b w:val="0"/>
            <w:bCs w:val="0"/>
            <w:i w:val="0"/>
            <w:iCs w:val="0"/>
          </w:rPr>
          <w:t>4412- دیوان صنعت فداغی‏</w:t>
        </w:r>
        <w:r>
          <w:tab/>
        </w:r>
        <w:r>
          <w:fldChar w:fldCharType="begin"/>
        </w:r>
        <w:r>
          <w:instrText xml:space="preserve">PAGEREF 4546 \h</w:instrText>
        </w:r>
        <w:r>
          <w:fldChar w:fldCharType="end"/>
        </w:r>
      </w:hyperlink>
    </w:p>
    <w:p>
      <w:pPr>
        <w:tabs>
          <w:tab w:val="right" w:leader="dot" w:pos="9062"/>
        </w:tabs>
        <w:ind w:left="440"/>
      </w:pPr>
      <w:hyperlink w:anchor="_Toc4547" w:history="1">
        <w:r>
          <w:rPr>
            <w:rFonts w:ascii="IRNazanin" w:hAnsi="IRNazanin" w:eastAsia="IRNazanin" w:cs="IRNazanin"/>
            <w:color w:val="111111"/>
            <w:sz w:val="22"/>
            <w:szCs w:val="22"/>
            <w:b w:val="0"/>
            <w:bCs w:val="0"/>
            <w:i w:val="0"/>
            <w:iCs w:val="0"/>
          </w:rPr>
          <w:t>4413- دیوان صنعی أو شعره‏</w:t>
        </w:r>
        <w:r>
          <w:tab/>
        </w:r>
        <w:r>
          <w:fldChar w:fldCharType="begin"/>
        </w:r>
        <w:r>
          <w:instrText xml:space="preserve">PAGEREF 4547 \h</w:instrText>
        </w:r>
        <w:r>
          <w:fldChar w:fldCharType="end"/>
        </w:r>
      </w:hyperlink>
    </w:p>
    <w:p>
      <w:pPr>
        <w:tabs>
          <w:tab w:val="right" w:leader="dot" w:pos="9062"/>
        </w:tabs>
        <w:ind w:left="440"/>
      </w:pPr>
      <w:hyperlink w:anchor="_Toc4548" w:history="1">
        <w:r>
          <w:rPr>
            <w:rFonts w:ascii="IRNazanin" w:hAnsi="IRNazanin" w:eastAsia="IRNazanin" w:cs="IRNazanin"/>
            <w:color w:val="111111"/>
            <w:sz w:val="22"/>
            <w:szCs w:val="22"/>
            <w:b w:val="0"/>
            <w:bCs w:val="0"/>
            <w:i w:val="0"/>
            <w:iCs w:val="0"/>
          </w:rPr>
          <w:t>4414- دیوان صنع الله کاشانی أو شعره‏</w:t>
        </w:r>
        <w:r>
          <w:tab/>
        </w:r>
        <w:r>
          <w:fldChar w:fldCharType="begin"/>
        </w:r>
        <w:r>
          <w:instrText xml:space="preserve">PAGEREF 4548 \h</w:instrText>
        </w:r>
        <w:r>
          <w:fldChar w:fldCharType="end"/>
        </w:r>
      </w:hyperlink>
    </w:p>
    <w:p>
      <w:pPr>
        <w:tabs>
          <w:tab w:val="right" w:leader="dot" w:pos="9062"/>
        </w:tabs>
        <w:ind w:left="440"/>
      </w:pPr>
      <w:hyperlink w:anchor="_Toc4549" w:history="1">
        <w:r>
          <w:rPr>
            <w:rFonts w:ascii="IRNazanin" w:hAnsi="IRNazanin" w:eastAsia="IRNazanin" w:cs="IRNazanin"/>
            <w:color w:val="111111"/>
            <w:sz w:val="22"/>
            <w:szCs w:val="22"/>
            <w:b w:val="0"/>
            <w:bCs w:val="0"/>
            <w:i w:val="0"/>
            <w:iCs w:val="0"/>
          </w:rPr>
          <w:t>4415- دیوان صنعی دزفولی‏</w:t>
        </w:r>
        <w:r>
          <w:tab/>
        </w:r>
        <w:r>
          <w:fldChar w:fldCharType="begin"/>
        </w:r>
        <w:r>
          <w:instrText xml:space="preserve">PAGEREF 4549 \h</w:instrText>
        </w:r>
        <w:r>
          <w:fldChar w:fldCharType="end"/>
        </w:r>
      </w:hyperlink>
    </w:p>
    <w:p>
      <w:pPr>
        <w:tabs>
          <w:tab w:val="right" w:leader="dot" w:pos="9062"/>
        </w:tabs>
        <w:ind w:left="440"/>
      </w:pPr>
      <w:hyperlink w:anchor="_Toc4550" w:history="1">
        <w:r>
          <w:rPr>
            <w:rFonts w:ascii="IRNazanin" w:hAnsi="IRNazanin" w:eastAsia="IRNazanin" w:cs="IRNazanin"/>
            <w:color w:val="111111"/>
            <w:sz w:val="22"/>
            <w:szCs w:val="22"/>
            <w:b w:val="0"/>
            <w:bCs w:val="0"/>
            <w:i w:val="0"/>
            <w:iCs w:val="0"/>
          </w:rPr>
          <w:t>4416- دیوان صنعی کشمیری أو شعره‏</w:t>
        </w:r>
        <w:r>
          <w:tab/>
        </w:r>
        <w:r>
          <w:fldChar w:fldCharType="begin"/>
        </w:r>
        <w:r>
          <w:instrText xml:space="preserve">PAGEREF 4550 \h</w:instrText>
        </w:r>
        <w:r>
          <w:fldChar w:fldCharType="end"/>
        </w:r>
      </w:hyperlink>
    </w:p>
    <w:p>
      <w:pPr>
        <w:tabs>
          <w:tab w:val="right" w:leader="dot" w:pos="9062"/>
        </w:tabs>
        <w:ind w:left="440"/>
      </w:pPr>
      <w:hyperlink w:anchor="_Toc4551" w:history="1">
        <w:r>
          <w:rPr>
            <w:rFonts w:ascii="IRNazanin" w:hAnsi="IRNazanin" w:eastAsia="IRNazanin" w:cs="IRNazanin"/>
            <w:color w:val="111111"/>
            <w:sz w:val="22"/>
            <w:szCs w:val="22"/>
            <w:b w:val="0"/>
            <w:bCs w:val="0"/>
            <w:i w:val="0"/>
            <w:iCs w:val="0"/>
          </w:rPr>
          <w:t>4417- دیوان صنعی کلیب ولی‏</w:t>
        </w:r>
        <w:r>
          <w:tab/>
        </w:r>
        <w:r>
          <w:fldChar w:fldCharType="begin"/>
        </w:r>
        <w:r>
          <w:instrText xml:space="preserve">PAGEREF 4551 \h</w:instrText>
        </w:r>
        <w:r>
          <w:fldChar w:fldCharType="end"/>
        </w:r>
      </w:hyperlink>
    </w:p>
    <w:p>
      <w:pPr>
        <w:tabs>
          <w:tab w:val="right" w:leader="dot" w:pos="9062"/>
        </w:tabs>
        <w:ind w:left="440"/>
      </w:pPr>
      <w:hyperlink w:anchor="_Toc4552" w:history="1">
        <w:r>
          <w:rPr>
            <w:rFonts w:ascii="IRNazanin" w:hAnsi="IRNazanin" w:eastAsia="IRNazanin" w:cs="IRNazanin"/>
            <w:color w:val="111111"/>
            <w:sz w:val="22"/>
            <w:szCs w:val="22"/>
            <w:b w:val="0"/>
            <w:bCs w:val="0"/>
            <w:i w:val="0"/>
            <w:iCs w:val="0"/>
          </w:rPr>
          <w:t>دیوان صنعی مشهدی‏</w:t>
        </w:r>
        <w:r>
          <w:tab/>
        </w:r>
        <w:r>
          <w:fldChar w:fldCharType="begin"/>
        </w:r>
        <w:r>
          <w:instrText xml:space="preserve">PAGEREF 4552 \h</w:instrText>
        </w:r>
        <w:r>
          <w:fldChar w:fldCharType="end"/>
        </w:r>
      </w:hyperlink>
    </w:p>
    <w:p>
      <w:pPr>
        <w:tabs>
          <w:tab w:val="right" w:leader="dot" w:pos="9062"/>
        </w:tabs>
        <w:ind w:left="440"/>
      </w:pPr>
      <w:hyperlink w:anchor="_Toc4553" w:history="1">
        <w:r>
          <w:rPr>
            <w:rFonts w:ascii="IRNazanin" w:hAnsi="IRNazanin" w:eastAsia="IRNazanin" w:cs="IRNazanin"/>
            <w:color w:val="111111"/>
            <w:sz w:val="22"/>
            <w:szCs w:val="22"/>
            <w:b w:val="0"/>
            <w:bCs w:val="0"/>
            <w:i w:val="0"/>
            <w:iCs w:val="0"/>
          </w:rPr>
          <w:t>4418- دیوان صنعی نیشابوری‏</w:t>
        </w:r>
        <w:r>
          <w:tab/>
        </w:r>
        <w:r>
          <w:fldChar w:fldCharType="begin"/>
        </w:r>
        <w:r>
          <w:instrText xml:space="preserve">PAGEREF 4553 \h</w:instrText>
        </w:r>
        <w:r>
          <w:fldChar w:fldCharType="end"/>
        </w:r>
      </w:hyperlink>
    </w:p>
    <w:p>
      <w:pPr>
        <w:tabs>
          <w:tab w:val="right" w:leader="dot" w:pos="9062"/>
        </w:tabs>
        <w:ind w:left="440"/>
      </w:pPr>
      <w:hyperlink w:anchor="_Toc4554" w:history="1">
        <w:r>
          <w:rPr>
            <w:rFonts w:ascii="IRNazanin" w:hAnsi="IRNazanin" w:eastAsia="IRNazanin" w:cs="IRNazanin"/>
            <w:color w:val="111111"/>
            <w:sz w:val="22"/>
            <w:szCs w:val="22"/>
            <w:b w:val="0"/>
            <w:bCs w:val="0"/>
            <w:i w:val="0"/>
            <w:iCs w:val="0"/>
          </w:rPr>
          <w:t>4419- دیوان الصنوبری‏</w:t>
        </w:r>
        <w:r>
          <w:tab/>
        </w:r>
        <w:r>
          <w:fldChar w:fldCharType="begin"/>
        </w:r>
        <w:r>
          <w:instrText xml:space="preserve">PAGEREF 4554 \h</w:instrText>
        </w:r>
        <w:r>
          <w:fldChar w:fldCharType="end"/>
        </w:r>
      </w:hyperlink>
    </w:p>
    <w:p>
      <w:pPr>
        <w:tabs>
          <w:tab w:val="right" w:leader="dot" w:pos="9062"/>
        </w:tabs>
        <w:ind w:left="440"/>
      </w:pPr>
      <w:hyperlink w:anchor="_Toc4555" w:history="1">
        <w:r>
          <w:rPr>
            <w:rFonts w:ascii="IRNazanin" w:hAnsi="IRNazanin" w:eastAsia="IRNazanin" w:cs="IRNazanin"/>
            <w:color w:val="111111"/>
            <w:sz w:val="22"/>
            <w:szCs w:val="22"/>
            <w:b w:val="0"/>
            <w:bCs w:val="0"/>
            <w:i w:val="0"/>
            <w:iCs w:val="0"/>
          </w:rPr>
          <w:t>4420- دیوان صوتی یزدی‏</w:t>
        </w:r>
        <w:r>
          <w:tab/>
        </w:r>
        <w:r>
          <w:fldChar w:fldCharType="begin"/>
        </w:r>
        <w:r>
          <w:instrText xml:space="preserve">PAGEREF 4555 \h</w:instrText>
        </w:r>
        <w:r>
          <w:fldChar w:fldCharType="end"/>
        </w:r>
      </w:hyperlink>
    </w:p>
    <w:p>
      <w:pPr>
        <w:tabs>
          <w:tab w:val="right" w:leader="dot" w:pos="9062"/>
        </w:tabs>
        <w:ind w:left="440"/>
      </w:pPr>
      <w:hyperlink w:anchor="_Toc4556" w:history="1">
        <w:r>
          <w:rPr>
            <w:rFonts w:ascii="IRNazanin" w:hAnsi="IRNazanin" w:eastAsia="IRNazanin" w:cs="IRNazanin"/>
            <w:color w:val="111111"/>
            <w:sz w:val="22"/>
            <w:szCs w:val="22"/>
            <w:b w:val="0"/>
            <w:bCs w:val="0"/>
            <w:i w:val="0"/>
            <w:iCs w:val="0"/>
          </w:rPr>
          <w:t>4421- دیوان صورتگر</w:t>
        </w:r>
        <w:r>
          <w:tab/>
        </w:r>
        <w:r>
          <w:fldChar w:fldCharType="begin"/>
        </w:r>
        <w:r>
          <w:instrText xml:space="preserve">PAGEREF 4556 \h</w:instrText>
        </w:r>
        <w:r>
          <w:fldChar w:fldCharType="end"/>
        </w:r>
      </w:hyperlink>
    </w:p>
    <w:p>
      <w:pPr>
        <w:tabs>
          <w:tab w:val="right" w:leader="dot" w:pos="9062"/>
        </w:tabs>
        <w:ind w:left="440"/>
      </w:pPr>
      <w:hyperlink w:anchor="_Toc4557" w:history="1">
        <w:r>
          <w:rPr>
            <w:rFonts w:ascii="IRNazanin" w:hAnsi="IRNazanin" w:eastAsia="IRNazanin" w:cs="IRNazanin"/>
            <w:color w:val="111111"/>
            <w:sz w:val="22"/>
            <w:szCs w:val="22"/>
            <w:b w:val="0"/>
            <w:bCs w:val="0"/>
            <w:i w:val="0"/>
            <w:iCs w:val="0"/>
          </w:rPr>
          <w:t>4422- دیوان صورتی أصفهانی أو شعره‏</w:t>
        </w:r>
        <w:r>
          <w:tab/>
        </w:r>
        <w:r>
          <w:fldChar w:fldCharType="begin"/>
        </w:r>
        <w:r>
          <w:instrText xml:space="preserve">PAGEREF 4557 \h</w:instrText>
        </w:r>
        <w:r>
          <w:fldChar w:fldCharType="end"/>
        </w:r>
      </w:hyperlink>
    </w:p>
    <w:p>
      <w:pPr>
        <w:tabs>
          <w:tab w:val="right" w:leader="dot" w:pos="9062"/>
        </w:tabs>
        <w:ind w:left="440"/>
      </w:pPr>
      <w:hyperlink w:anchor="_Toc4558" w:history="1">
        <w:r>
          <w:rPr>
            <w:rFonts w:ascii="IRNazanin" w:hAnsi="IRNazanin" w:eastAsia="IRNazanin" w:cs="IRNazanin"/>
            <w:color w:val="111111"/>
            <w:sz w:val="22"/>
            <w:szCs w:val="22"/>
            <w:b w:val="0"/>
            <w:bCs w:val="0"/>
            <w:i w:val="0"/>
            <w:iCs w:val="0"/>
          </w:rPr>
          <w:t>4423- دیوان الصوری‏</w:t>
        </w:r>
        <w:r>
          <w:tab/>
        </w:r>
        <w:r>
          <w:fldChar w:fldCharType="begin"/>
        </w:r>
        <w:r>
          <w:instrText xml:space="preserve">PAGEREF 4558 \h</w:instrText>
        </w:r>
        <w:r>
          <w:fldChar w:fldCharType="end"/>
        </w:r>
      </w:hyperlink>
    </w:p>
    <w:p>
      <w:pPr>
        <w:tabs>
          <w:tab w:val="right" w:leader="dot" w:pos="9062"/>
        </w:tabs>
        <w:ind w:left="440"/>
      </w:pPr>
      <w:hyperlink w:anchor="_Toc4559" w:history="1">
        <w:r>
          <w:rPr>
            <w:rFonts w:ascii="IRNazanin" w:hAnsi="IRNazanin" w:eastAsia="IRNazanin" w:cs="IRNazanin"/>
            <w:color w:val="111111"/>
            <w:sz w:val="22"/>
            <w:szCs w:val="22"/>
            <w:b w:val="0"/>
            <w:bCs w:val="0"/>
            <w:i w:val="0"/>
            <w:iCs w:val="0"/>
          </w:rPr>
          <w:t>4424- دیوان الصوفی‏</w:t>
        </w:r>
        <w:r>
          <w:tab/>
        </w:r>
        <w:r>
          <w:fldChar w:fldCharType="begin"/>
        </w:r>
        <w:r>
          <w:instrText xml:space="preserve">PAGEREF 4559 \h</w:instrText>
        </w:r>
        <w:r>
          <w:fldChar w:fldCharType="end"/>
        </w:r>
      </w:hyperlink>
    </w:p>
    <w:p>
      <w:pPr>
        <w:tabs>
          <w:tab w:val="right" w:leader="dot" w:pos="9062"/>
        </w:tabs>
        <w:ind w:left="440"/>
      </w:pPr>
      <w:hyperlink w:anchor="_Toc4560" w:history="1">
        <w:r>
          <w:rPr>
            <w:rFonts w:ascii="IRNazanin" w:hAnsi="IRNazanin" w:eastAsia="IRNazanin" w:cs="IRNazanin"/>
            <w:color w:val="111111"/>
            <w:sz w:val="22"/>
            <w:szCs w:val="22"/>
            <w:b w:val="0"/>
            <w:bCs w:val="0"/>
            <w:i w:val="0"/>
            <w:iCs w:val="0"/>
          </w:rPr>
          <w:t>4425- دیوان صوفی أو شعره‏</w:t>
        </w:r>
        <w:r>
          <w:tab/>
        </w:r>
        <w:r>
          <w:fldChar w:fldCharType="begin"/>
        </w:r>
        <w:r>
          <w:instrText xml:space="preserve">PAGEREF 4560 \h</w:instrText>
        </w:r>
        <w:r>
          <w:fldChar w:fldCharType="end"/>
        </w:r>
      </w:hyperlink>
    </w:p>
    <w:p>
      <w:pPr>
        <w:tabs>
          <w:tab w:val="right" w:leader="dot" w:pos="9062"/>
        </w:tabs>
        <w:ind w:left="440"/>
      </w:pPr>
      <w:hyperlink w:anchor="_Toc4561" w:history="1">
        <w:r>
          <w:rPr>
            <w:rFonts w:ascii="IRNazanin" w:hAnsi="IRNazanin" w:eastAsia="IRNazanin" w:cs="IRNazanin"/>
            <w:color w:val="111111"/>
            <w:sz w:val="22"/>
            <w:szCs w:val="22"/>
            <w:b w:val="0"/>
            <w:bCs w:val="0"/>
            <w:i w:val="0"/>
            <w:iCs w:val="0"/>
          </w:rPr>
          <w:t>4426- دیوان صوفی أردستانی أو شعره‏</w:t>
        </w:r>
        <w:r>
          <w:tab/>
        </w:r>
        <w:r>
          <w:fldChar w:fldCharType="begin"/>
        </w:r>
        <w:r>
          <w:instrText xml:space="preserve">PAGEREF 4561 \h</w:instrText>
        </w:r>
        <w:r>
          <w:fldChar w:fldCharType="end"/>
        </w:r>
      </w:hyperlink>
    </w:p>
    <w:p>
      <w:pPr>
        <w:tabs>
          <w:tab w:val="right" w:leader="dot" w:pos="9062"/>
        </w:tabs>
        <w:ind w:left="440"/>
      </w:pPr>
      <w:hyperlink w:anchor="_Toc4562" w:history="1">
        <w:r>
          <w:rPr>
            <w:rFonts w:ascii="IRNazanin" w:hAnsi="IRNazanin" w:eastAsia="IRNazanin" w:cs="IRNazanin"/>
            <w:color w:val="111111"/>
            <w:sz w:val="22"/>
            <w:szCs w:val="22"/>
            <w:b w:val="0"/>
            <w:bCs w:val="0"/>
            <w:i w:val="0"/>
            <w:iCs w:val="0"/>
          </w:rPr>
          <w:t>4427- دیوان صوفی أسترآبادی أو شعره‏</w:t>
        </w:r>
        <w:r>
          <w:tab/>
        </w:r>
        <w:r>
          <w:fldChar w:fldCharType="begin"/>
        </w:r>
        <w:r>
          <w:instrText xml:space="preserve">PAGEREF 4562 \h</w:instrText>
        </w:r>
        <w:r>
          <w:fldChar w:fldCharType="end"/>
        </w:r>
      </w:hyperlink>
    </w:p>
    <w:p>
      <w:pPr>
        <w:tabs>
          <w:tab w:val="right" w:leader="dot" w:pos="9062"/>
        </w:tabs>
        <w:ind w:left="440"/>
      </w:pPr>
      <w:hyperlink w:anchor="_Toc4563" w:history="1">
        <w:r>
          <w:rPr>
            <w:rFonts w:ascii="IRNazanin" w:hAnsi="IRNazanin" w:eastAsia="IRNazanin" w:cs="IRNazanin"/>
            <w:color w:val="111111"/>
            <w:sz w:val="22"/>
            <w:szCs w:val="22"/>
            <w:b w:val="0"/>
            <w:bCs w:val="0"/>
            <w:i w:val="0"/>
            <w:iCs w:val="0"/>
          </w:rPr>
          <w:t>4428- دیوان صوفی أصفهانی أو شعره‏</w:t>
        </w:r>
        <w:r>
          <w:tab/>
        </w:r>
        <w:r>
          <w:fldChar w:fldCharType="begin"/>
        </w:r>
        <w:r>
          <w:instrText xml:space="preserve">PAGEREF 4563 \h</w:instrText>
        </w:r>
        <w:r>
          <w:fldChar w:fldCharType="end"/>
        </w:r>
      </w:hyperlink>
    </w:p>
    <w:p>
      <w:pPr>
        <w:tabs>
          <w:tab w:val="right" w:leader="dot" w:pos="9062"/>
        </w:tabs>
        <w:ind w:left="440"/>
      </w:pPr>
      <w:hyperlink w:anchor="_Toc4564" w:history="1">
        <w:r>
          <w:rPr>
            <w:rFonts w:ascii="IRNazanin" w:hAnsi="IRNazanin" w:eastAsia="IRNazanin" w:cs="IRNazanin"/>
            <w:color w:val="111111"/>
            <w:sz w:val="22"/>
            <w:szCs w:val="22"/>
            <w:b w:val="0"/>
            <w:bCs w:val="0"/>
            <w:i w:val="0"/>
            <w:iCs w:val="0"/>
          </w:rPr>
          <w:t>4429- دیوان صوفی أصفهانی أو شعره‏</w:t>
        </w:r>
        <w:r>
          <w:tab/>
        </w:r>
        <w:r>
          <w:fldChar w:fldCharType="begin"/>
        </w:r>
        <w:r>
          <w:instrText xml:space="preserve">PAGEREF 4564 \h</w:instrText>
        </w:r>
        <w:r>
          <w:fldChar w:fldCharType="end"/>
        </w:r>
      </w:hyperlink>
    </w:p>
    <w:p>
      <w:pPr>
        <w:tabs>
          <w:tab w:val="right" w:leader="dot" w:pos="9062"/>
        </w:tabs>
        <w:ind w:left="440"/>
      </w:pPr>
      <w:hyperlink w:anchor="_Toc4565" w:history="1">
        <w:r>
          <w:rPr>
            <w:rFonts w:ascii="IRNazanin" w:hAnsi="IRNazanin" w:eastAsia="IRNazanin" w:cs="IRNazanin"/>
            <w:color w:val="111111"/>
            <w:sz w:val="22"/>
            <w:szCs w:val="22"/>
            <w:b w:val="0"/>
            <w:bCs w:val="0"/>
            <w:i w:val="0"/>
            <w:iCs w:val="0"/>
          </w:rPr>
          <w:t>4430- دیوان صوفی تبریزی أو شعره‏</w:t>
        </w:r>
        <w:r>
          <w:tab/>
        </w:r>
        <w:r>
          <w:fldChar w:fldCharType="begin"/>
        </w:r>
        <w:r>
          <w:instrText xml:space="preserve">PAGEREF 4565 \h</w:instrText>
        </w:r>
        <w:r>
          <w:fldChar w:fldCharType="end"/>
        </w:r>
      </w:hyperlink>
    </w:p>
    <w:p>
      <w:pPr>
        <w:tabs>
          <w:tab w:val="right" w:leader="dot" w:pos="9062"/>
        </w:tabs>
        <w:ind w:left="440"/>
      </w:pPr>
      <w:hyperlink w:anchor="_Toc4566" w:history="1">
        <w:r>
          <w:rPr>
            <w:rFonts w:ascii="IRNazanin" w:hAnsi="IRNazanin" w:eastAsia="IRNazanin" w:cs="IRNazanin"/>
            <w:color w:val="111111"/>
            <w:sz w:val="22"/>
            <w:szCs w:val="22"/>
            <w:b w:val="0"/>
            <w:bCs w:val="0"/>
            <w:i w:val="0"/>
            <w:iCs w:val="0"/>
          </w:rPr>
          <w:t>4431- دیوان صوفی جغتائی أو شعره‏</w:t>
        </w:r>
        <w:r>
          <w:tab/>
        </w:r>
        <w:r>
          <w:fldChar w:fldCharType="begin"/>
        </w:r>
        <w:r>
          <w:instrText xml:space="preserve">PAGEREF 4566 \h</w:instrText>
        </w:r>
        <w:r>
          <w:fldChar w:fldCharType="end"/>
        </w:r>
      </w:hyperlink>
    </w:p>
    <w:p>
      <w:pPr>
        <w:tabs>
          <w:tab w:val="right" w:leader="dot" w:pos="9062"/>
        </w:tabs>
        <w:ind w:left="440"/>
      </w:pPr>
      <w:hyperlink w:anchor="_Toc4567" w:history="1">
        <w:r>
          <w:rPr>
            <w:rFonts w:ascii="IRNazanin" w:hAnsi="IRNazanin" w:eastAsia="IRNazanin" w:cs="IRNazanin"/>
            <w:color w:val="111111"/>
            <w:sz w:val="22"/>
            <w:szCs w:val="22"/>
            <w:b w:val="0"/>
            <w:bCs w:val="0"/>
            <w:i w:val="0"/>
            <w:iCs w:val="0"/>
          </w:rPr>
          <w:t>4432- دیوان صوفی‏زاده زوزنی‏</w:t>
        </w:r>
        <w:r>
          <w:tab/>
        </w:r>
        <w:r>
          <w:fldChar w:fldCharType="begin"/>
        </w:r>
        <w:r>
          <w:instrText xml:space="preserve">PAGEREF 4567 \h</w:instrText>
        </w:r>
        <w:r>
          <w:fldChar w:fldCharType="end"/>
        </w:r>
      </w:hyperlink>
    </w:p>
    <w:p>
      <w:pPr>
        <w:tabs>
          <w:tab w:val="right" w:leader="dot" w:pos="9062"/>
        </w:tabs>
        <w:ind w:left="440"/>
      </w:pPr>
      <w:hyperlink w:anchor="_Toc4568" w:history="1">
        <w:r>
          <w:rPr>
            <w:rFonts w:ascii="IRNazanin" w:hAnsi="IRNazanin" w:eastAsia="IRNazanin" w:cs="IRNazanin"/>
            <w:color w:val="111111"/>
            <w:sz w:val="22"/>
            <w:szCs w:val="22"/>
            <w:b w:val="0"/>
            <w:bCs w:val="0"/>
            <w:i w:val="0"/>
            <w:iCs w:val="0"/>
          </w:rPr>
          <w:t>4433- دیوان صوفی شیرازی أو شعره‏</w:t>
        </w:r>
        <w:r>
          <w:tab/>
        </w:r>
        <w:r>
          <w:fldChar w:fldCharType="begin"/>
        </w:r>
        <w:r>
          <w:instrText xml:space="preserve">PAGEREF 4568 \h</w:instrText>
        </w:r>
        <w:r>
          <w:fldChar w:fldCharType="end"/>
        </w:r>
      </w:hyperlink>
    </w:p>
    <w:p>
      <w:pPr>
        <w:tabs>
          <w:tab w:val="right" w:leader="dot" w:pos="9062"/>
        </w:tabs>
        <w:ind w:left="440"/>
      </w:pPr>
      <w:hyperlink w:anchor="_Toc4569" w:history="1">
        <w:r>
          <w:rPr>
            <w:rFonts w:ascii="IRNazanin" w:hAnsi="IRNazanin" w:eastAsia="IRNazanin" w:cs="IRNazanin"/>
            <w:color w:val="111111"/>
            <w:sz w:val="22"/>
            <w:szCs w:val="22"/>
            <w:b w:val="0"/>
            <w:bCs w:val="0"/>
            <w:i w:val="0"/>
            <w:iCs w:val="0"/>
          </w:rPr>
          <w:t>4434- دیوان صوفی شیرازی أو شعره‏</w:t>
        </w:r>
        <w:r>
          <w:tab/>
        </w:r>
        <w:r>
          <w:fldChar w:fldCharType="begin"/>
        </w:r>
        <w:r>
          <w:instrText xml:space="preserve">PAGEREF 4569 \h</w:instrText>
        </w:r>
        <w:r>
          <w:fldChar w:fldCharType="end"/>
        </w:r>
      </w:hyperlink>
    </w:p>
    <w:p>
      <w:pPr>
        <w:tabs>
          <w:tab w:val="right" w:leader="dot" w:pos="9062"/>
        </w:tabs>
        <w:ind w:left="440"/>
      </w:pPr>
      <w:hyperlink w:anchor="_Toc4570" w:history="1">
        <w:r>
          <w:rPr>
            <w:rFonts w:ascii="IRNazanin" w:hAnsi="IRNazanin" w:eastAsia="IRNazanin" w:cs="IRNazanin"/>
            <w:color w:val="111111"/>
            <w:sz w:val="22"/>
            <w:szCs w:val="22"/>
            <w:b w:val="0"/>
            <w:bCs w:val="0"/>
            <w:i w:val="0"/>
            <w:iCs w:val="0"/>
          </w:rPr>
          <w:t>دیوان صوفی صفوی‏</w:t>
        </w:r>
        <w:r>
          <w:tab/>
        </w:r>
        <w:r>
          <w:fldChar w:fldCharType="begin"/>
        </w:r>
        <w:r>
          <w:instrText xml:space="preserve">PAGEREF 4570 \h</w:instrText>
        </w:r>
        <w:r>
          <w:fldChar w:fldCharType="end"/>
        </w:r>
      </w:hyperlink>
    </w:p>
    <w:p>
      <w:pPr>
        <w:tabs>
          <w:tab w:val="right" w:leader="dot" w:pos="9062"/>
        </w:tabs>
        <w:ind w:left="440"/>
      </w:pPr>
      <w:hyperlink w:anchor="_Toc4571" w:history="1">
        <w:r>
          <w:rPr>
            <w:rFonts w:ascii="IRNazanin" w:hAnsi="IRNazanin" w:eastAsia="IRNazanin" w:cs="IRNazanin"/>
            <w:color w:val="111111"/>
            <w:sz w:val="22"/>
            <w:szCs w:val="22"/>
            <w:b w:val="0"/>
            <w:bCs w:val="0"/>
            <w:i w:val="0"/>
            <w:iCs w:val="0"/>
          </w:rPr>
          <w:t>4435- دیوان صوفی کاکوری أو شعره‏</w:t>
        </w:r>
        <w:r>
          <w:tab/>
        </w:r>
        <w:r>
          <w:fldChar w:fldCharType="begin"/>
        </w:r>
        <w:r>
          <w:instrText xml:space="preserve">PAGEREF 4571 \h</w:instrText>
        </w:r>
        <w:r>
          <w:fldChar w:fldCharType="end"/>
        </w:r>
      </w:hyperlink>
    </w:p>
    <w:p>
      <w:pPr>
        <w:tabs>
          <w:tab w:val="right" w:leader="dot" w:pos="9062"/>
        </w:tabs>
        <w:ind w:left="440"/>
      </w:pPr>
      <w:hyperlink w:anchor="_Toc4572" w:history="1">
        <w:r>
          <w:rPr>
            <w:rFonts w:ascii="IRNazanin" w:hAnsi="IRNazanin" w:eastAsia="IRNazanin" w:cs="IRNazanin"/>
            <w:color w:val="111111"/>
            <w:sz w:val="22"/>
            <w:szCs w:val="22"/>
            <w:b w:val="0"/>
            <w:bCs w:val="0"/>
            <w:i w:val="0"/>
            <w:iCs w:val="0"/>
          </w:rPr>
          <w:t>4436- دیوان صوفی کرمانی أو شعره‏</w:t>
        </w:r>
        <w:r>
          <w:tab/>
        </w:r>
        <w:r>
          <w:fldChar w:fldCharType="begin"/>
        </w:r>
        <w:r>
          <w:instrText xml:space="preserve">PAGEREF 4572 \h</w:instrText>
        </w:r>
        <w:r>
          <w:fldChar w:fldCharType="end"/>
        </w:r>
      </w:hyperlink>
    </w:p>
    <w:p>
      <w:pPr>
        <w:tabs>
          <w:tab w:val="right" w:leader="dot" w:pos="9062"/>
        </w:tabs>
        <w:ind w:left="440"/>
      </w:pPr>
      <w:hyperlink w:anchor="_Toc4573" w:history="1">
        <w:r>
          <w:rPr>
            <w:rFonts w:ascii="IRNazanin" w:hAnsi="IRNazanin" w:eastAsia="IRNazanin" w:cs="IRNazanin"/>
            <w:color w:val="111111"/>
            <w:sz w:val="22"/>
            <w:szCs w:val="22"/>
            <w:b w:val="0"/>
            <w:bCs w:val="0"/>
            <w:i w:val="0"/>
            <w:iCs w:val="0"/>
          </w:rPr>
          <w:t>دیوان صوفی مازندرانی‏</w:t>
        </w:r>
        <w:r>
          <w:tab/>
        </w:r>
        <w:r>
          <w:fldChar w:fldCharType="begin"/>
        </w:r>
        <w:r>
          <w:instrText xml:space="preserve">PAGEREF 4573 \h</w:instrText>
        </w:r>
        <w:r>
          <w:fldChar w:fldCharType="end"/>
        </w:r>
      </w:hyperlink>
    </w:p>
    <w:p>
      <w:pPr>
        <w:tabs>
          <w:tab w:val="right" w:leader="dot" w:pos="9062"/>
        </w:tabs>
        <w:ind w:left="440"/>
      </w:pPr>
      <w:hyperlink w:anchor="_Toc4574" w:history="1">
        <w:r>
          <w:rPr>
            <w:rFonts w:ascii="IRNazanin" w:hAnsi="IRNazanin" w:eastAsia="IRNazanin" w:cs="IRNazanin"/>
            <w:color w:val="111111"/>
            <w:sz w:val="22"/>
            <w:szCs w:val="22"/>
            <w:b w:val="0"/>
            <w:bCs w:val="0"/>
            <w:i w:val="0"/>
            <w:iCs w:val="0"/>
          </w:rPr>
          <w:t>دیوان صوفی هروی‏</w:t>
        </w:r>
        <w:r>
          <w:tab/>
        </w:r>
        <w:r>
          <w:fldChar w:fldCharType="begin"/>
        </w:r>
        <w:r>
          <w:instrText xml:space="preserve">PAGEREF 4574 \h</w:instrText>
        </w:r>
        <w:r>
          <w:fldChar w:fldCharType="end"/>
        </w:r>
      </w:hyperlink>
    </w:p>
    <w:p>
      <w:pPr>
        <w:tabs>
          <w:tab w:val="right" w:leader="dot" w:pos="9062"/>
        </w:tabs>
        <w:ind w:left="440"/>
      </w:pPr>
      <w:hyperlink w:anchor="_Toc4575" w:history="1">
        <w:r>
          <w:rPr>
            <w:rFonts w:ascii="IRNazanin" w:hAnsi="IRNazanin" w:eastAsia="IRNazanin" w:cs="IRNazanin"/>
            <w:color w:val="111111"/>
            <w:sz w:val="22"/>
            <w:szCs w:val="22"/>
            <w:b w:val="0"/>
            <w:bCs w:val="0"/>
            <w:i w:val="0"/>
            <w:iCs w:val="0"/>
          </w:rPr>
          <w:t>4437- دیوان صوفی همدانی أو شعره‏</w:t>
        </w:r>
        <w:r>
          <w:tab/>
        </w:r>
        <w:r>
          <w:fldChar w:fldCharType="begin"/>
        </w:r>
        <w:r>
          <w:instrText xml:space="preserve">PAGEREF 4575 \h</w:instrText>
        </w:r>
        <w:r>
          <w:fldChar w:fldCharType="end"/>
        </w:r>
      </w:hyperlink>
    </w:p>
    <w:p>
      <w:pPr>
        <w:tabs>
          <w:tab w:val="right" w:leader="dot" w:pos="9062"/>
        </w:tabs>
        <w:ind w:left="440"/>
      </w:pPr>
      <w:hyperlink w:anchor="_Toc4576" w:history="1">
        <w:r>
          <w:rPr>
            <w:rFonts w:ascii="IRNazanin" w:hAnsi="IRNazanin" w:eastAsia="IRNazanin" w:cs="IRNazanin"/>
            <w:color w:val="111111"/>
            <w:sz w:val="22"/>
            <w:szCs w:val="22"/>
            <w:b w:val="0"/>
            <w:bCs w:val="0"/>
            <w:i w:val="0"/>
            <w:iCs w:val="0"/>
          </w:rPr>
          <w:t>4438- دیوان صوفی یزدی أو شعره‏</w:t>
        </w:r>
        <w:r>
          <w:tab/>
        </w:r>
        <w:r>
          <w:fldChar w:fldCharType="begin"/>
        </w:r>
        <w:r>
          <w:instrText xml:space="preserve">PAGEREF 4576 \h</w:instrText>
        </w:r>
        <w:r>
          <w:fldChar w:fldCharType="end"/>
        </w:r>
      </w:hyperlink>
    </w:p>
    <w:p>
      <w:pPr>
        <w:tabs>
          <w:tab w:val="right" w:leader="dot" w:pos="9062"/>
        </w:tabs>
        <w:ind w:left="440"/>
      </w:pPr>
      <w:hyperlink w:anchor="_Toc4577" w:history="1">
        <w:r>
          <w:rPr>
            <w:rFonts w:ascii="IRNazanin" w:hAnsi="IRNazanin" w:eastAsia="IRNazanin" w:cs="IRNazanin"/>
            <w:color w:val="111111"/>
            <w:sz w:val="22"/>
            <w:szCs w:val="22"/>
            <w:b w:val="0"/>
            <w:bCs w:val="0"/>
            <w:i w:val="0"/>
            <w:iCs w:val="0"/>
          </w:rPr>
          <w:t>4439- دیوان صولت‏</w:t>
        </w:r>
        <w:r>
          <w:tab/>
        </w:r>
        <w:r>
          <w:fldChar w:fldCharType="begin"/>
        </w:r>
        <w:r>
          <w:instrText xml:space="preserve">PAGEREF 4577 \h</w:instrText>
        </w:r>
        <w:r>
          <w:fldChar w:fldCharType="end"/>
        </w:r>
      </w:hyperlink>
    </w:p>
    <w:p>
      <w:pPr>
        <w:tabs>
          <w:tab w:val="right" w:leader="dot" w:pos="9062"/>
        </w:tabs>
        <w:ind w:left="440"/>
      </w:pPr>
      <w:hyperlink w:anchor="_Toc4578" w:history="1">
        <w:r>
          <w:rPr>
            <w:rFonts w:ascii="IRNazanin" w:hAnsi="IRNazanin" w:eastAsia="IRNazanin" w:cs="IRNazanin"/>
            <w:color w:val="111111"/>
            <w:sz w:val="22"/>
            <w:szCs w:val="22"/>
            <w:b w:val="0"/>
            <w:bCs w:val="0"/>
            <w:i w:val="0"/>
            <w:iCs w:val="0"/>
          </w:rPr>
          <w:t>4440- دیوان الصولی‏</w:t>
        </w:r>
        <w:r>
          <w:tab/>
        </w:r>
        <w:r>
          <w:fldChar w:fldCharType="begin"/>
        </w:r>
        <w:r>
          <w:instrText xml:space="preserve">PAGEREF 4578 \h</w:instrText>
        </w:r>
        <w:r>
          <w:fldChar w:fldCharType="end"/>
        </w:r>
      </w:hyperlink>
    </w:p>
    <w:p>
      <w:pPr>
        <w:tabs>
          <w:tab w:val="right" w:leader="dot" w:pos="9062"/>
        </w:tabs>
        <w:ind w:left="440"/>
      </w:pPr>
      <w:hyperlink w:anchor="_Toc4579" w:history="1">
        <w:r>
          <w:rPr>
            <w:rFonts w:ascii="IRNazanin" w:hAnsi="IRNazanin" w:eastAsia="IRNazanin" w:cs="IRNazanin"/>
            <w:color w:val="111111"/>
            <w:sz w:val="22"/>
            <w:szCs w:val="22"/>
            <w:b w:val="0"/>
            <w:bCs w:val="0"/>
            <w:i w:val="0"/>
            <w:iCs w:val="0"/>
          </w:rPr>
          <w:t>4441- دیوان صهبا آشتیانی‏</w:t>
        </w:r>
        <w:r>
          <w:tab/>
        </w:r>
        <w:r>
          <w:fldChar w:fldCharType="begin"/>
        </w:r>
        <w:r>
          <w:instrText xml:space="preserve">PAGEREF 4579 \h</w:instrText>
        </w:r>
        <w:r>
          <w:fldChar w:fldCharType="end"/>
        </w:r>
      </w:hyperlink>
    </w:p>
    <w:p>
      <w:pPr>
        <w:tabs>
          <w:tab w:val="right" w:leader="dot" w:pos="9062"/>
        </w:tabs>
        <w:ind w:left="440"/>
      </w:pPr>
      <w:hyperlink w:anchor="_Toc4580" w:history="1">
        <w:r>
          <w:rPr>
            <w:rFonts w:ascii="IRNazanin" w:hAnsi="IRNazanin" w:eastAsia="IRNazanin" w:cs="IRNazanin"/>
            <w:color w:val="111111"/>
            <w:sz w:val="22"/>
            <w:szCs w:val="22"/>
            <w:b w:val="0"/>
            <w:bCs w:val="0"/>
            <w:i w:val="0"/>
            <w:iCs w:val="0"/>
          </w:rPr>
          <w:t>4442- دیوان صهبا بروجنی‏</w:t>
        </w:r>
        <w:r>
          <w:tab/>
        </w:r>
        <w:r>
          <w:fldChar w:fldCharType="begin"/>
        </w:r>
        <w:r>
          <w:instrText xml:space="preserve">PAGEREF 4580 \h</w:instrText>
        </w:r>
        <w:r>
          <w:fldChar w:fldCharType="end"/>
        </w:r>
      </w:hyperlink>
    </w:p>
    <w:p>
      <w:pPr>
        <w:tabs>
          <w:tab w:val="right" w:leader="dot" w:pos="9062"/>
        </w:tabs>
        <w:ind w:left="440"/>
      </w:pPr>
      <w:hyperlink w:anchor="_Toc4581" w:history="1">
        <w:r>
          <w:rPr>
            <w:rFonts w:ascii="IRNazanin" w:hAnsi="IRNazanin" w:eastAsia="IRNazanin" w:cs="IRNazanin"/>
            <w:color w:val="111111"/>
            <w:sz w:val="22"/>
            <w:szCs w:val="22"/>
            <w:b w:val="0"/>
            <w:bCs w:val="0"/>
            <w:i w:val="0"/>
            <w:iCs w:val="0"/>
          </w:rPr>
          <w:t>دیوان صهبا شیرازی‏</w:t>
        </w:r>
        <w:r>
          <w:tab/>
        </w:r>
        <w:r>
          <w:fldChar w:fldCharType="begin"/>
        </w:r>
        <w:r>
          <w:instrText xml:space="preserve">PAGEREF 4581 \h</w:instrText>
        </w:r>
        <w:r>
          <w:fldChar w:fldCharType="end"/>
        </w:r>
      </w:hyperlink>
    </w:p>
    <w:p>
      <w:pPr>
        <w:tabs>
          <w:tab w:val="right" w:leader="dot" w:pos="9062"/>
        </w:tabs>
        <w:ind w:left="440"/>
      </w:pPr>
      <w:hyperlink w:anchor="_Toc4582" w:history="1">
        <w:r>
          <w:rPr>
            <w:rFonts w:ascii="IRNazanin" w:hAnsi="IRNazanin" w:eastAsia="IRNazanin" w:cs="IRNazanin"/>
            <w:color w:val="111111"/>
            <w:sz w:val="22"/>
            <w:szCs w:val="22"/>
            <w:b w:val="0"/>
            <w:bCs w:val="0"/>
            <w:i w:val="0"/>
            <w:iCs w:val="0"/>
          </w:rPr>
          <w:t>4443- صهبا قمشهی‏</w:t>
        </w:r>
        <w:r>
          <w:tab/>
        </w:r>
        <w:r>
          <w:fldChar w:fldCharType="begin"/>
        </w:r>
        <w:r>
          <w:instrText xml:space="preserve">PAGEREF 4582 \h</w:instrText>
        </w:r>
        <w:r>
          <w:fldChar w:fldCharType="end"/>
        </w:r>
      </w:hyperlink>
    </w:p>
    <w:p>
      <w:pPr>
        <w:tabs>
          <w:tab w:val="right" w:leader="dot" w:pos="9062"/>
        </w:tabs>
        <w:ind w:left="440"/>
      </w:pPr>
      <w:hyperlink w:anchor="_Toc4583" w:history="1">
        <w:r>
          <w:rPr>
            <w:rFonts w:ascii="IRNazanin" w:hAnsi="IRNazanin" w:eastAsia="IRNazanin" w:cs="IRNazanin"/>
            <w:color w:val="111111"/>
            <w:sz w:val="22"/>
            <w:szCs w:val="22"/>
            <w:b w:val="0"/>
            <w:bCs w:val="0"/>
            <w:i w:val="0"/>
            <w:iCs w:val="0"/>
          </w:rPr>
          <w:t>4444- دیوان صهبا قمی‏</w:t>
        </w:r>
        <w:r>
          <w:tab/>
        </w:r>
        <w:r>
          <w:fldChar w:fldCharType="begin"/>
        </w:r>
        <w:r>
          <w:instrText xml:space="preserve">PAGEREF 4583 \h</w:instrText>
        </w:r>
        <w:r>
          <w:fldChar w:fldCharType="end"/>
        </w:r>
      </w:hyperlink>
    </w:p>
    <w:p>
      <w:pPr>
        <w:tabs>
          <w:tab w:val="right" w:leader="dot" w:pos="9062"/>
        </w:tabs>
        <w:ind w:left="440"/>
      </w:pPr>
      <w:hyperlink w:anchor="_Toc4584" w:history="1">
        <w:r>
          <w:rPr>
            <w:rFonts w:ascii="IRNazanin" w:hAnsi="IRNazanin" w:eastAsia="IRNazanin" w:cs="IRNazanin"/>
            <w:color w:val="111111"/>
            <w:sz w:val="22"/>
            <w:szCs w:val="22"/>
            <w:b w:val="0"/>
            <w:bCs w:val="0"/>
            <w:i w:val="0"/>
            <w:iCs w:val="0"/>
          </w:rPr>
          <w:t>4445- دیوان صهبائی چشتی أو شعره‏</w:t>
        </w:r>
        <w:r>
          <w:tab/>
        </w:r>
        <w:r>
          <w:fldChar w:fldCharType="begin"/>
        </w:r>
        <w:r>
          <w:instrText xml:space="preserve">PAGEREF 4584 \h</w:instrText>
        </w:r>
        <w:r>
          <w:fldChar w:fldCharType="end"/>
        </w:r>
      </w:hyperlink>
    </w:p>
    <w:p>
      <w:pPr>
        <w:tabs>
          <w:tab w:val="right" w:leader="dot" w:pos="9062"/>
        </w:tabs>
        <w:ind w:left="440"/>
      </w:pPr>
      <w:hyperlink w:anchor="_Toc4585" w:history="1">
        <w:r>
          <w:rPr>
            <w:rFonts w:ascii="IRNazanin" w:hAnsi="IRNazanin" w:eastAsia="IRNazanin" w:cs="IRNazanin"/>
            <w:color w:val="111111"/>
            <w:sz w:val="22"/>
            <w:szCs w:val="22"/>
            <w:b w:val="0"/>
            <w:bCs w:val="0"/>
            <w:i w:val="0"/>
            <w:iCs w:val="0"/>
          </w:rPr>
          <w:t>4446- دیوان صهبائی دهلوی‏</w:t>
        </w:r>
        <w:r>
          <w:tab/>
        </w:r>
        <w:r>
          <w:fldChar w:fldCharType="begin"/>
        </w:r>
        <w:r>
          <w:instrText xml:space="preserve">PAGEREF 4585 \h</w:instrText>
        </w:r>
        <w:r>
          <w:fldChar w:fldCharType="end"/>
        </w:r>
      </w:hyperlink>
    </w:p>
    <w:p>
      <w:pPr>
        <w:tabs>
          <w:tab w:val="right" w:leader="dot" w:pos="9062"/>
        </w:tabs>
        <w:ind w:left="440"/>
      </w:pPr>
      <w:hyperlink w:anchor="_Toc4586" w:history="1">
        <w:r>
          <w:rPr>
            <w:rFonts w:ascii="IRNazanin" w:hAnsi="IRNazanin" w:eastAsia="IRNazanin" w:cs="IRNazanin"/>
            <w:color w:val="111111"/>
            <w:sz w:val="22"/>
            <w:szCs w:val="22"/>
            <w:b w:val="0"/>
            <w:bCs w:val="0"/>
            <w:i w:val="0"/>
            <w:iCs w:val="0"/>
          </w:rPr>
          <w:t>4447- دیوان صیاد مشهدی أو شعره‏</w:t>
        </w:r>
        <w:r>
          <w:tab/>
        </w:r>
        <w:r>
          <w:fldChar w:fldCharType="begin"/>
        </w:r>
        <w:r>
          <w:instrText xml:space="preserve">PAGEREF 4586 \h</w:instrText>
        </w:r>
        <w:r>
          <w:fldChar w:fldCharType="end"/>
        </w:r>
      </w:hyperlink>
    </w:p>
    <w:p>
      <w:pPr>
        <w:tabs>
          <w:tab w:val="right" w:leader="dot" w:pos="9062"/>
        </w:tabs>
        <w:ind w:left="440"/>
      </w:pPr>
      <w:hyperlink w:anchor="_Toc4587" w:history="1">
        <w:r>
          <w:rPr>
            <w:rFonts w:ascii="IRNazanin" w:hAnsi="IRNazanin" w:eastAsia="IRNazanin" w:cs="IRNazanin"/>
            <w:color w:val="111111"/>
            <w:sz w:val="22"/>
            <w:szCs w:val="22"/>
            <w:b w:val="0"/>
            <w:bCs w:val="0"/>
            <w:i w:val="0"/>
            <w:iCs w:val="0"/>
          </w:rPr>
          <w:t>دیوان صیدی شیرازی‏</w:t>
        </w:r>
        <w:r>
          <w:tab/>
        </w:r>
        <w:r>
          <w:fldChar w:fldCharType="begin"/>
        </w:r>
        <w:r>
          <w:instrText xml:space="preserve">PAGEREF 4587 \h</w:instrText>
        </w:r>
        <w:r>
          <w:fldChar w:fldCharType="end"/>
        </w:r>
      </w:hyperlink>
    </w:p>
    <w:p>
      <w:pPr>
        <w:tabs>
          <w:tab w:val="right" w:leader="dot" w:pos="9062"/>
        </w:tabs>
        <w:ind w:left="440"/>
      </w:pPr>
      <w:hyperlink w:anchor="_Toc4588" w:history="1">
        <w:r>
          <w:rPr>
            <w:rFonts w:ascii="IRNazanin" w:hAnsi="IRNazanin" w:eastAsia="IRNazanin" w:cs="IRNazanin"/>
            <w:color w:val="111111"/>
            <w:sz w:val="22"/>
            <w:szCs w:val="22"/>
            <w:b w:val="0"/>
            <w:bCs w:val="0"/>
            <w:i w:val="0"/>
            <w:iCs w:val="0"/>
          </w:rPr>
          <w:t>4448- دیوان میر صیدی طهرانی‏</w:t>
        </w:r>
        <w:r>
          <w:tab/>
        </w:r>
        <w:r>
          <w:fldChar w:fldCharType="begin"/>
        </w:r>
        <w:r>
          <w:instrText xml:space="preserve">PAGEREF 4588 \h</w:instrText>
        </w:r>
        <w:r>
          <w:fldChar w:fldCharType="end"/>
        </w:r>
      </w:hyperlink>
    </w:p>
    <w:p>
      <w:pPr>
        <w:tabs>
          <w:tab w:val="right" w:leader="dot" w:pos="9062"/>
        </w:tabs>
        <w:ind w:left="440"/>
      </w:pPr>
      <w:hyperlink w:anchor="_Toc4589" w:history="1">
        <w:r>
          <w:rPr>
            <w:rFonts w:ascii="IRNazanin" w:hAnsi="IRNazanin" w:eastAsia="IRNazanin" w:cs="IRNazanin"/>
            <w:color w:val="111111"/>
            <w:sz w:val="22"/>
            <w:szCs w:val="22"/>
            <w:b w:val="0"/>
            <w:bCs w:val="0"/>
            <w:i w:val="0"/>
            <w:iCs w:val="0"/>
          </w:rPr>
          <w:t>4449- دیوان صیرفی ساوجی أو شعره‏</w:t>
        </w:r>
        <w:r>
          <w:tab/>
        </w:r>
        <w:r>
          <w:fldChar w:fldCharType="begin"/>
        </w:r>
        <w:r>
          <w:instrText xml:space="preserve">PAGEREF 4589 \h</w:instrText>
        </w:r>
        <w:r>
          <w:fldChar w:fldCharType="end"/>
        </w:r>
      </w:hyperlink>
    </w:p>
    <w:p>
      <w:pPr>
        <w:tabs>
          <w:tab w:val="right" w:leader="dot" w:pos="9062"/>
        </w:tabs>
        <w:ind w:left="440"/>
      </w:pPr>
      <w:hyperlink w:anchor="_Toc4590" w:history="1">
        <w:r>
          <w:rPr>
            <w:rFonts w:ascii="IRNazanin" w:hAnsi="IRNazanin" w:eastAsia="IRNazanin" w:cs="IRNazanin"/>
            <w:color w:val="111111"/>
            <w:sz w:val="22"/>
            <w:szCs w:val="22"/>
            <w:b w:val="0"/>
            <w:bCs w:val="0"/>
            <w:i w:val="0"/>
            <w:iCs w:val="0"/>
          </w:rPr>
          <w:t>4450- دیوان صیرفی کشمیری أو شعره‏</w:t>
        </w:r>
        <w:r>
          <w:tab/>
        </w:r>
        <w:r>
          <w:fldChar w:fldCharType="begin"/>
        </w:r>
        <w:r>
          <w:instrText xml:space="preserve">PAGEREF 4590 \h</w:instrText>
        </w:r>
        <w:r>
          <w:fldChar w:fldCharType="end"/>
        </w:r>
      </w:hyperlink>
    </w:p>
    <w:p>
      <w:pPr>
        <w:tabs>
          <w:tab w:val="right" w:leader="dot" w:pos="9062"/>
        </w:tabs>
        <w:ind w:left="440"/>
      </w:pPr>
      <w:hyperlink w:anchor="_Toc4591" w:history="1">
        <w:r>
          <w:rPr>
            <w:rFonts w:ascii="IRNazanin" w:hAnsi="IRNazanin" w:eastAsia="IRNazanin" w:cs="IRNazanin"/>
            <w:color w:val="111111"/>
            <w:sz w:val="22"/>
            <w:szCs w:val="22"/>
            <w:b w:val="0"/>
            <w:bCs w:val="0"/>
            <w:i w:val="0"/>
            <w:iCs w:val="0"/>
          </w:rPr>
          <w:t>4451- دیوان صیرفی کور التبریزی‏</w:t>
        </w:r>
        <w:r>
          <w:tab/>
        </w:r>
        <w:r>
          <w:fldChar w:fldCharType="begin"/>
        </w:r>
        <w:r>
          <w:instrText xml:space="preserve">PAGEREF 4591 \h</w:instrText>
        </w:r>
        <w:r>
          <w:fldChar w:fldCharType="end"/>
        </w:r>
      </w:hyperlink>
    </w:p>
    <w:p>
      <w:pPr>
        <w:tabs>
          <w:tab w:val="right" w:leader="dot" w:pos="9062"/>
        </w:tabs>
        <w:ind w:left="440"/>
      </w:pPr>
      <w:hyperlink w:anchor="_Toc4592" w:history="1">
        <w:r>
          <w:rPr>
            <w:rFonts w:ascii="IRNazanin" w:hAnsi="IRNazanin" w:eastAsia="IRNazanin" w:cs="IRNazanin"/>
            <w:color w:val="111111"/>
            <w:sz w:val="22"/>
            <w:szCs w:val="22"/>
            <w:b w:val="0"/>
            <w:bCs w:val="0"/>
            <w:i w:val="0"/>
            <w:iCs w:val="0"/>
          </w:rPr>
          <w:t>4452- دیوان صیرفی همدانی‏</w:t>
        </w:r>
        <w:r>
          <w:tab/>
        </w:r>
        <w:r>
          <w:fldChar w:fldCharType="begin"/>
        </w:r>
        <w:r>
          <w:instrText xml:space="preserve">PAGEREF 4592 \h</w:instrText>
        </w:r>
        <w:r>
          <w:fldChar w:fldCharType="end"/>
        </w:r>
      </w:hyperlink>
    </w:p>
    <w:p>
      <w:pPr>
        <w:tabs>
          <w:tab w:val="right" w:leader="dot" w:pos="9062"/>
        </w:tabs>
        <w:ind w:left="440"/>
      </w:pPr>
      <w:hyperlink w:anchor="_Toc4593" w:history="1">
        <w:r>
          <w:rPr>
            <w:rFonts w:ascii="IRNazanin" w:hAnsi="IRNazanin" w:eastAsia="IRNazanin" w:cs="IRNazanin"/>
            <w:color w:val="111111"/>
            <w:sz w:val="22"/>
            <w:szCs w:val="22"/>
            <w:b w:val="0"/>
            <w:bCs w:val="0"/>
            <w:i w:val="0"/>
            <w:iCs w:val="0"/>
          </w:rPr>
          <w:t>4453- دیوان صیرفی الهندی‏</w:t>
        </w:r>
        <w:r>
          <w:tab/>
        </w:r>
        <w:r>
          <w:fldChar w:fldCharType="begin"/>
        </w:r>
        <w:r>
          <w:instrText xml:space="preserve">PAGEREF 4593 \h</w:instrText>
        </w:r>
        <w:r>
          <w:fldChar w:fldCharType="end"/>
        </w:r>
      </w:hyperlink>
    </w:p>
    <w:p>
      <w:pPr>
        <w:tabs>
          <w:tab w:val="right" w:leader="dot" w:pos="9062"/>
        </w:tabs>
        <w:ind w:left="440"/>
      </w:pPr>
      <w:hyperlink w:anchor="_Toc4594" w:history="1">
        <w:r>
          <w:rPr>
            <w:rFonts w:ascii="IRNazanin" w:hAnsi="IRNazanin" w:eastAsia="IRNazanin" w:cs="IRNazanin"/>
            <w:color w:val="111111"/>
            <w:sz w:val="22"/>
            <w:szCs w:val="22"/>
            <w:b w:val="0"/>
            <w:bCs w:val="0"/>
            <w:i w:val="0"/>
            <w:iCs w:val="0"/>
          </w:rPr>
          <w:t>4454- دیوان مولانا صیقلی بروجردی‏</w:t>
        </w:r>
        <w:r>
          <w:tab/>
        </w:r>
        <w:r>
          <w:fldChar w:fldCharType="begin"/>
        </w:r>
        <w:r>
          <w:instrText xml:space="preserve">PAGEREF 4594 \h</w:instrText>
        </w:r>
        <w:r>
          <w:fldChar w:fldCharType="end"/>
        </w:r>
      </w:hyperlink>
    </w:p>
    <w:p>
      <w:pPr>
        <w:tabs>
          <w:tab w:val="right" w:leader="dot" w:pos="9062"/>
        </w:tabs>
        <w:ind w:left="440"/>
      </w:pPr>
      <w:hyperlink w:anchor="_Toc4595" w:history="1">
        <w:r>
          <w:rPr>
            <w:rFonts w:ascii="IRNazanin" w:hAnsi="IRNazanin" w:eastAsia="IRNazanin" w:cs="IRNazanin"/>
            <w:color w:val="111111"/>
            <w:sz w:val="22"/>
            <w:szCs w:val="22"/>
            <w:b w:val="0"/>
            <w:bCs w:val="0"/>
            <w:i w:val="0"/>
            <w:iCs w:val="0"/>
          </w:rPr>
          <w:t>ض</w:t>
        </w:r>
        <w:r>
          <w:tab/>
        </w:r>
        <w:r>
          <w:fldChar w:fldCharType="begin"/>
        </w:r>
        <w:r>
          <w:instrText xml:space="preserve">PAGEREF 4595 \h</w:instrText>
        </w:r>
        <w:r>
          <w:fldChar w:fldCharType="end"/>
        </w:r>
      </w:hyperlink>
    </w:p>
    <w:p>
      <w:pPr>
        <w:tabs>
          <w:tab w:val="right" w:leader="dot" w:pos="9062"/>
        </w:tabs>
        <w:ind w:left="440"/>
      </w:pPr>
      <w:hyperlink w:anchor="_Toc4596" w:history="1">
        <w:r>
          <w:rPr>
            <w:rFonts w:ascii="IRNazanin" w:hAnsi="IRNazanin" w:eastAsia="IRNazanin" w:cs="IRNazanin"/>
            <w:color w:val="111111"/>
            <w:sz w:val="22"/>
            <w:szCs w:val="22"/>
            <w:b w:val="0"/>
            <w:bCs w:val="0"/>
            <w:i w:val="0"/>
            <w:iCs w:val="0"/>
          </w:rPr>
          <w:t>4455- دیوان ضابط خراسانی أو شعره‏</w:t>
        </w:r>
        <w:r>
          <w:tab/>
        </w:r>
        <w:r>
          <w:fldChar w:fldCharType="begin"/>
        </w:r>
        <w:r>
          <w:instrText xml:space="preserve">PAGEREF 4596 \h</w:instrText>
        </w:r>
        <w:r>
          <w:fldChar w:fldCharType="end"/>
        </w:r>
      </w:hyperlink>
    </w:p>
    <w:p>
      <w:pPr>
        <w:tabs>
          <w:tab w:val="right" w:leader="dot" w:pos="9062"/>
        </w:tabs>
        <w:ind w:left="440"/>
      </w:pPr>
      <w:hyperlink w:anchor="_Toc4597" w:history="1">
        <w:r>
          <w:rPr>
            <w:rFonts w:ascii="IRNazanin" w:hAnsi="IRNazanin" w:eastAsia="IRNazanin" w:cs="IRNazanin"/>
            <w:color w:val="111111"/>
            <w:sz w:val="22"/>
            <w:szCs w:val="22"/>
            <w:b w:val="0"/>
            <w:bCs w:val="0"/>
            <w:i w:val="0"/>
            <w:iCs w:val="0"/>
          </w:rPr>
          <w:t>4456- دیوان ضابط گیلانی أو شعره‏</w:t>
        </w:r>
        <w:r>
          <w:tab/>
        </w:r>
        <w:r>
          <w:fldChar w:fldCharType="begin"/>
        </w:r>
        <w:r>
          <w:instrText xml:space="preserve">PAGEREF 4597 \h</w:instrText>
        </w:r>
        <w:r>
          <w:fldChar w:fldCharType="end"/>
        </w:r>
      </w:hyperlink>
    </w:p>
    <w:p>
      <w:pPr>
        <w:tabs>
          <w:tab w:val="right" w:leader="dot" w:pos="9062"/>
        </w:tabs>
        <w:ind w:left="440"/>
      </w:pPr>
      <w:hyperlink w:anchor="_Toc4598" w:history="1">
        <w:r>
          <w:rPr>
            <w:rFonts w:ascii="IRNazanin" w:hAnsi="IRNazanin" w:eastAsia="IRNazanin" w:cs="IRNazanin"/>
            <w:color w:val="111111"/>
            <w:sz w:val="22"/>
            <w:szCs w:val="22"/>
            <w:b w:val="0"/>
            <w:bCs w:val="0"/>
            <w:i w:val="0"/>
            <w:iCs w:val="0"/>
          </w:rPr>
          <w:t>4457- دیوان ضامن لکهنوی‏</w:t>
        </w:r>
        <w:r>
          <w:tab/>
        </w:r>
        <w:r>
          <w:fldChar w:fldCharType="begin"/>
        </w:r>
        <w:r>
          <w:instrText xml:space="preserve">PAGEREF 4598 \h</w:instrText>
        </w:r>
        <w:r>
          <w:fldChar w:fldCharType="end"/>
        </w:r>
      </w:hyperlink>
    </w:p>
    <w:p>
      <w:pPr>
        <w:tabs>
          <w:tab w:val="right" w:leader="dot" w:pos="9062"/>
        </w:tabs>
        <w:ind w:left="440"/>
      </w:pPr>
      <w:hyperlink w:anchor="_Toc4599" w:history="1">
        <w:r>
          <w:rPr>
            <w:rFonts w:ascii="IRNazanin" w:hAnsi="IRNazanin" w:eastAsia="IRNazanin" w:cs="IRNazanin"/>
            <w:color w:val="111111"/>
            <w:sz w:val="22"/>
            <w:szCs w:val="22"/>
            <w:b w:val="0"/>
            <w:bCs w:val="0"/>
            <w:i w:val="0"/>
            <w:iCs w:val="0"/>
          </w:rPr>
          <w:t>4458- دیوان السید ضامن‏</w:t>
        </w:r>
        <w:r>
          <w:tab/>
        </w:r>
        <w:r>
          <w:fldChar w:fldCharType="begin"/>
        </w:r>
        <w:r>
          <w:instrText xml:space="preserve">PAGEREF 4599 \h</w:instrText>
        </w:r>
        <w:r>
          <w:fldChar w:fldCharType="end"/>
        </w:r>
      </w:hyperlink>
    </w:p>
    <w:p>
      <w:pPr>
        <w:tabs>
          <w:tab w:val="right" w:leader="dot" w:pos="9062"/>
        </w:tabs>
        <w:ind w:left="440"/>
      </w:pPr>
      <w:hyperlink w:anchor="_Toc4600" w:history="1">
        <w:r>
          <w:rPr>
            <w:rFonts w:ascii="IRNazanin" w:hAnsi="IRNazanin" w:eastAsia="IRNazanin" w:cs="IRNazanin"/>
            <w:color w:val="111111"/>
            <w:sz w:val="22"/>
            <w:szCs w:val="22"/>
            <w:b w:val="0"/>
            <w:bCs w:val="0"/>
            <w:i w:val="0"/>
            <w:iCs w:val="0"/>
          </w:rPr>
          <w:t>4459- دیوان الضبی أو شعره‏</w:t>
        </w:r>
        <w:r>
          <w:tab/>
        </w:r>
        <w:r>
          <w:fldChar w:fldCharType="begin"/>
        </w:r>
        <w:r>
          <w:instrText xml:space="preserve">PAGEREF 4600 \h</w:instrText>
        </w:r>
        <w:r>
          <w:fldChar w:fldCharType="end"/>
        </w:r>
      </w:hyperlink>
    </w:p>
    <w:p>
      <w:pPr>
        <w:tabs>
          <w:tab w:val="right" w:leader="dot" w:pos="9062"/>
        </w:tabs>
        <w:ind w:left="440"/>
      </w:pPr>
      <w:hyperlink w:anchor="_Toc4601" w:history="1">
        <w:r>
          <w:rPr>
            <w:rFonts w:ascii="IRNazanin" w:hAnsi="IRNazanin" w:eastAsia="IRNazanin" w:cs="IRNazanin"/>
            <w:color w:val="111111"/>
            <w:sz w:val="22"/>
            <w:szCs w:val="22"/>
            <w:b w:val="0"/>
            <w:bCs w:val="0"/>
            <w:i w:val="0"/>
            <w:iCs w:val="0"/>
          </w:rPr>
          <w:t>4460- دیوان الضبی أو شعره‏</w:t>
        </w:r>
        <w:r>
          <w:tab/>
        </w:r>
        <w:r>
          <w:fldChar w:fldCharType="begin"/>
        </w:r>
        <w:r>
          <w:instrText xml:space="preserve">PAGEREF 4601 \h</w:instrText>
        </w:r>
        <w:r>
          <w:fldChar w:fldCharType="end"/>
        </w:r>
      </w:hyperlink>
    </w:p>
    <w:p>
      <w:pPr>
        <w:tabs>
          <w:tab w:val="right" w:leader="dot" w:pos="9062"/>
        </w:tabs>
        <w:ind w:left="440"/>
      </w:pPr>
      <w:hyperlink w:anchor="_Toc4602" w:history="1">
        <w:r>
          <w:rPr>
            <w:rFonts w:ascii="IRNazanin" w:hAnsi="IRNazanin" w:eastAsia="IRNazanin" w:cs="IRNazanin"/>
            <w:color w:val="111111"/>
            <w:sz w:val="22"/>
            <w:szCs w:val="22"/>
            <w:b w:val="0"/>
            <w:bCs w:val="0"/>
            <w:i w:val="0"/>
            <w:iCs w:val="0"/>
          </w:rPr>
          <w:t>4461- دیوان الضحاک‏</w:t>
        </w:r>
        <w:r>
          <w:tab/>
        </w:r>
        <w:r>
          <w:fldChar w:fldCharType="begin"/>
        </w:r>
        <w:r>
          <w:instrText xml:space="preserve">PAGEREF 4602 \h</w:instrText>
        </w:r>
        <w:r>
          <w:fldChar w:fldCharType="end"/>
        </w:r>
      </w:hyperlink>
    </w:p>
    <w:p>
      <w:pPr>
        <w:tabs>
          <w:tab w:val="right" w:leader="dot" w:pos="9062"/>
        </w:tabs>
        <w:ind w:left="440"/>
      </w:pPr>
      <w:hyperlink w:anchor="_Toc4603" w:history="1">
        <w:r>
          <w:rPr>
            <w:rFonts w:ascii="IRNazanin" w:hAnsi="IRNazanin" w:eastAsia="IRNazanin" w:cs="IRNazanin"/>
            <w:color w:val="111111"/>
            <w:sz w:val="22"/>
            <w:szCs w:val="22"/>
            <w:b w:val="0"/>
            <w:bCs w:val="0"/>
            <w:i w:val="0"/>
            <w:iCs w:val="0"/>
          </w:rPr>
          <w:t>4462- دیوان ضعیفی نیشابوری أو شعرها</w:t>
        </w:r>
        <w:r>
          <w:tab/>
        </w:r>
        <w:r>
          <w:fldChar w:fldCharType="begin"/>
        </w:r>
        <w:r>
          <w:instrText xml:space="preserve">PAGEREF 4603 \h</w:instrText>
        </w:r>
        <w:r>
          <w:fldChar w:fldCharType="end"/>
        </w:r>
      </w:hyperlink>
    </w:p>
    <w:p>
      <w:pPr>
        <w:tabs>
          <w:tab w:val="right" w:leader="dot" w:pos="9062"/>
        </w:tabs>
        <w:ind w:left="440"/>
      </w:pPr>
      <w:hyperlink w:anchor="_Toc4604" w:history="1">
        <w:r>
          <w:rPr>
            <w:rFonts w:ascii="IRNazanin" w:hAnsi="IRNazanin" w:eastAsia="IRNazanin" w:cs="IRNazanin"/>
            <w:color w:val="111111"/>
            <w:sz w:val="22"/>
            <w:szCs w:val="22"/>
            <w:b w:val="0"/>
            <w:bCs w:val="0"/>
            <w:i w:val="0"/>
            <w:iCs w:val="0"/>
          </w:rPr>
          <w:t>4463- دیوان ضمیر أو شعره‏</w:t>
        </w:r>
        <w:r>
          <w:tab/>
        </w:r>
        <w:r>
          <w:fldChar w:fldCharType="begin"/>
        </w:r>
        <w:r>
          <w:instrText xml:space="preserve">PAGEREF 4604 \h</w:instrText>
        </w:r>
        <w:r>
          <w:fldChar w:fldCharType="end"/>
        </w:r>
      </w:hyperlink>
    </w:p>
    <w:p>
      <w:pPr>
        <w:tabs>
          <w:tab w:val="right" w:leader="dot" w:pos="9062"/>
        </w:tabs>
        <w:ind w:left="440"/>
      </w:pPr>
      <w:hyperlink w:anchor="_Toc4605" w:history="1">
        <w:r>
          <w:rPr>
            <w:rFonts w:ascii="IRNazanin" w:hAnsi="IRNazanin" w:eastAsia="IRNazanin" w:cs="IRNazanin"/>
            <w:color w:val="111111"/>
            <w:sz w:val="22"/>
            <w:szCs w:val="22"/>
            <w:b w:val="0"/>
            <w:bCs w:val="0"/>
            <w:i w:val="0"/>
            <w:iCs w:val="0"/>
          </w:rPr>
          <w:t>4464- دیوان ضمیر حلوائی أو شعره‏</w:t>
        </w:r>
        <w:r>
          <w:tab/>
        </w:r>
        <w:r>
          <w:fldChar w:fldCharType="begin"/>
        </w:r>
        <w:r>
          <w:instrText xml:space="preserve">PAGEREF 4605 \h</w:instrText>
        </w:r>
        <w:r>
          <w:fldChar w:fldCharType="end"/>
        </w:r>
      </w:hyperlink>
    </w:p>
    <w:p>
      <w:pPr>
        <w:tabs>
          <w:tab w:val="right" w:leader="dot" w:pos="9062"/>
        </w:tabs>
        <w:ind w:left="440"/>
      </w:pPr>
      <w:hyperlink w:anchor="_Toc4606" w:history="1">
        <w:r>
          <w:rPr>
            <w:rFonts w:ascii="IRNazanin" w:hAnsi="IRNazanin" w:eastAsia="IRNazanin" w:cs="IRNazanin"/>
            <w:color w:val="111111"/>
            <w:sz w:val="22"/>
            <w:szCs w:val="22"/>
            <w:b w:val="0"/>
            <w:bCs w:val="0"/>
            <w:i w:val="0"/>
            <w:iCs w:val="0"/>
          </w:rPr>
          <w:t>4465- دیوان ضمیری الأصفهانی‏</w:t>
        </w:r>
        <w:r>
          <w:tab/>
        </w:r>
        <w:r>
          <w:fldChar w:fldCharType="begin"/>
        </w:r>
        <w:r>
          <w:instrText xml:space="preserve">PAGEREF 4606 \h</w:instrText>
        </w:r>
        <w:r>
          <w:fldChar w:fldCharType="end"/>
        </w:r>
      </w:hyperlink>
    </w:p>
    <w:p>
      <w:pPr>
        <w:tabs>
          <w:tab w:val="right" w:leader="dot" w:pos="9062"/>
        </w:tabs>
        <w:ind w:left="440"/>
      </w:pPr>
      <w:hyperlink w:anchor="_Toc4607" w:history="1">
        <w:r>
          <w:rPr>
            <w:rFonts w:ascii="IRNazanin" w:hAnsi="IRNazanin" w:eastAsia="IRNazanin" w:cs="IRNazanin"/>
            <w:color w:val="111111"/>
            <w:sz w:val="22"/>
            <w:szCs w:val="22"/>
            <w:b w:val="0"/>
            <w:bCs w:val="0"/>
            <w:i w:val="0"/>
            <w:iCs w:val="0"/>
          </w:rPr>
          <w:t>4466- دیوان ضمیری بلگرامی‏</w:t>
        </w:r>
        <w:r>
          <w:tab/>
        </w:r>
        <w:r>
          <w:fldChar w:fldCharType="begin"/>
        </w:r>
        <w:r>
          <w:instrText xml:space="preserve">PAGEREF 4607 \h</w:instrText>
        </w:r>
        <w:r>
          <w:fldChar w:fldCharType="end"/>
        </w:r>
      </w:hyperlink>
    </w:p>
    <w:p>
      <w:pPr>
        <w:tabs>
          <w:tab w:val="right" w:leader="dot" w:pos="9062"/>
        </w:tabs>
        <w:ind w:left="440"/>
      </w:pPr>
      <w:hyperlink w:anchor="_Toc4608" w:history="1">
        <w:r>
          <w:rPr>
            <w:rFonts w:ascii="IRNazanin" w:hAnsi="IRNazanin" w:eastAsia="IRNazanin" w:cs="IRNazanin"/>
            <w:color w:val="111111"/>
            <w:sz w:val="22"/>
            <w:szCs w:val="22"/>
            <w:b w:val="0"/>
            <w:bCs w:val="0"/>
            <w:i w:val="0"/>
            <w:iCs w:val="0"/>
          </w:rPr>
          <w:t>4467- دیوان ضمیری قمی‏</w:t>
        </w:r>
        <w:r>
          <w:tab/>
        </w:r>
        <w:r>
          <w:fldChar w:fldCharType="begin"/>
        </w:r>
        <w:r>
          <w:instrText xml:space="preserve">PAGEREF 4608 \h</w:instrText>
        </w:r>
        <w:r>
          <w:fldChar w:fldCharType="end"/>
        </w:r>
      </w:hyperlink>
    </w:p>
    <w:p>
      <w:pPr>
        <w:tabs>
          <w:tab w:val="right" w:leader="dot" w:pos="9062"/>
        </w:tabs>
        <w:ind w:left="440"/>
      </w:pPr>
      <w:hyperlink w:anchor="_Toc4609" w:history="1">
        <w:r>
          <w:rPr>
            <w:rFonts w:ascii="IRNazanin" w:hAnsi="IRNazanin" w:eastAsia="IRNazanin" w:cs="IRNazanin"/>
            <w:color w:val="111111"/>
            <w:sz w:val="22"/>
            <w:szCs w:val="22"/>
            <w:b w:val="0"/>
            <w:bCs w:val="0"/>
            <w:i w:val="0"/>
            <w:iCs w:val="0"/>
          </w:rPr>
          <w:t>دیوان ضمیری همدانی‏</w:t>
        </w:r>
        <w:r>
          <w:tab/>
        </w:r>
        <w:r>
          <w:fldChar w:fldCharType="begin"/>
        </w:r>
        <w:r>
          <w:instrText xml:space="preserve">PAGEREF 4609 \h</w:instrText>
        </w:r>
        <w:r>
          <w:fldChar w:fldCharType="end"/>
        </w:r>
      </w:hyperlink>
    </w:p>
    <w:p>
      <w:pPr>
        <w:tabs>
          <w:tab w:val="right" w:leader="dot" w:pos="9062"/>
        </w:tabs>
        <w:ind w:left="440"/>
      </w:pPr>
      <w:hyperlink w:anchor="_Toc4610" w:history="1">
        <w:r>
          <w:rPr>
            <w:rFonts w:ascii="IRNazanin" w:hAnsi="IRNazanin" w:eastAsia="IRNazanin" w:cs="IRNazanin"/>
            <w:color w:val="111111"/>
            <w:sz w:val="22"/>
            <w:szCs w:val="22"/>
            <w:b w:val="0"/>
            <w:bCs w:val="0"/>
            <w:i w:val="0"/>
            <w:iCs w:val="0"/>
          </w:rPr>
          <w:t>دیوان ضیاء</w:t>
        </w:r>
        <w:r>
          <w:tab/>
        </w:r>
        <w:r>
          <w:fldChar w:fldCharType="begin"/>
        </w:r>
        <w:r>
          <w:instrText xml:space="preserve">PAGEREF 4610 \h</w:instrText>
        </w:r>
        <w:r>
          <w:fldChar w:fldCharType="end"/>
        </w:r>
      </w:hyperlink>
    </w:p>
    <w:p>
      <w:pPr>
        <w:tabs>
          <w:tab w:val="right" w:leader="dot" w:pos="9062"/>
        </w:tabs>
        <w:ind w:left="440"/>
      </w:pPr>
      <w:hyperlink w:anchor="_Toc4611" w:history="1">
        <w:r>
          <w:rPr>
            <w:rFonts w:ascii="IRNazanin" w:hAnsi="IRNazanin" w:eastAsia="IRNazanin" w:cs="IRNazanin"/>
            <w:color w:val="111111"/>
            <w:sz w:val="22"/>
            <w:szCs w:val="22"/>
            <w:b w:val="0"/>
            <w:bCs w:val="0"/>
            <w:i w:val="0"/>
            <w:iCs w:val="0"/>
          </w:rPr>
          <w:t>4468- دیوان ضیاء</w:t>
        </w:r>
        <w:r>
          <w:tab/>
        </w:r>
        <w:r>
          <w:fldChar w:fldCharType="begin"/>
        </w:r>
        <w:r>
          <w:instrText xml:space="preserve">PAGEREF 4611 \h</w:instrText>
        </w:r>
        <w:r>
          <w:fldChar w:fldCharType="end"/>
        </w:r>
      </w:hyperlink>
    </w:p>
    <w:p>
      <w:pPr>
        <w:tabs>
          <w:tab w:val="right" w:leader="dot" w:pos="9062"/>
        </w:tabs>
        <w:ind w:left="440"/>
      </w:pPr>
      <w:hyperlink w:anchor="_Toc4612" w:history="1">
        <w:r>
          <w:rPr>
            <w:rFonts w:ascii="IRNazanin" w:hAnsi="IRNazanin" w:eastAsia="IRNazanin" w:cs="IRNazanin"/>
            <w:color w:val="111111"/>
            <w:sz w:val="22"/>
            <w:szCs w:val="22"/>
            <w:b w:val="0"/>
            <w:bCs w:val="0"/>
            <w:i w:val="0"/>
            <w:iCs w:val="0"/>
          </w:rPr>
          <w:t>4469- دیوان ضیاء</w:t>
        </w:r>
        <w:r>
          <w:tab/>
        </w:r>
        <w:r>
          <w:fldChar w:fldCharType="begin"/>
        </w:r>
        <w:r>
          <w:instrText xml:space="preserve">PAGEREF 4612 \h</w:instrText>
        </w:r>
        <w:r>
          <w:fldChar w:fldCharType="end"/>
        </w:r>
      </w:hyperlink>
    </w:p>
    <w:p>
      <w:pPr>
        <w:tabs>
          <w:tab w:val="right" w:leader="dot" w:pos="9062"/>
        </w:tabs>
        <w:ind w:left="440"/>
      </w:pPr>
      <w:hyperlink w:anchor="_Toc4613" w:history="1">
        <w:r>
          <w:rPr>
            <w:rFonts w:ascii="IRNazanin" w:hAnsi="IRNazanin" w:eastAsia="IRNazanin" w:cs="IRNazanin"/>
            <w:color w:val="111111"/>
            <w:sz w:val="22"/>
            <w:szCs w:val="22"/>
            <w:b w:val="0"/>
            <w:bCs w:val="0"/>
            <w:i w:val="0"/>
            <w:iCs w:val="0"/>
          </w:rPr>
          <w:t>4470- دیوان ضیاء أصفهانی‏</w:t>
        </w:r>
        <w:r>
          <w:tab/>
        </w:r>
        <w:r>
          <w:fldChar w:fldCharType="begin"/>
        </w:r>
        <w:r>
          <w:instrText xml:space="preserve">PAGEREF 4613 \h</w:instrText>
        </w:r>
        <w:r>
          <w:fldChar w:fldCharType="end"/>
        </w:r>
      </w:hyperlink>
    </w:p>
    <w:p>
      <w:pPr>
        <w:tabs>
          <w:tab w:val="right" w:leader="dot" w:pos="9062"/>
        </w:tabs>
        <w:ind w:left="440"/>
      </w:pPr>
      <w:hyperlink w:anchor="_Toc4614" w:history="1">
        <w:r>
          <w:rPr>
            <w:rFonts w:ascii="IRNazanin" w:hAnsi="IRNazanin" w:eastAsia="IRNazanin" w:cs="IRNazanin"/>
            <w:color w:val="111111"/>
            <w:sz w:val="22"/>
            <w:szCs w:val="22"/>
            <w:b w:val="0"/>
            <w:bCs w:val="0"/>
            <w:i w:val="0"/>
            <w:iCs w:val="0"/>
          </w:rPr>
          <w:t>4471- دیوان ضیاء أصفهانی أو شعره‏</w:t>
        </w:r>
        <w:r>
          <w:tab/>
        </w:r>
        <w:r>
          <w:fldChar w:fldCharType="begin"/>
        </w:r>
        <w:r>
          <w:instrText xml:space="preserve">PAGEREF 4614 \h</w:instrText>
        </w:r>
        <w:r>
          <w:fldChar w:fldCharType="end"/>
        </w:r>
      </w:hyperlink>
    </w:p>
    <w:p>
      <w:pPr>
        <w:tabs>
          <w:tab w:val="right" w:leader="dot" w:pos="9062"/>
        </w:tabs>
        <w:ind w:left="440"/>
      </w:pPr>
      <w:hyperlink w:anchor="_Toc4615" w:history="1">
        <w:r>
          <w:rPr>
            <w:rFonts w:ascii="IRNazanin" w:hAnsi="IRNazanin" w:eastAsia="IRNazanin" w:cs="IRNazanin"/>
            <w:color w:val="111111"/>
            <w:sz w:val="22"/>
            <w:szCs w:val="22"/>
            <w:b w:val="0"/>
            <w:bCs w:val="0"/>
            <w:i w:val="0"/>
            <w:iCs w:val="0"/>
          </w:rPr>
          <w:t>4472- دیوان ضیاء أصفهانی‏</w:t>
        </w:r>
        <w:r>
          <w:tab/>
        </w:r>
        <w:r>
          <w:fldChar w:fldCharType="begin"/>
        </w:r>
        <w:r>
          <w:instrText xml:space="preserve">PAGEREF 4615 \h</w:instrText>
        </w:r>
        <w:r>
          <w:fldChar w:fldCharType="end"/>
        </w:r>
      </w:hyperlink>
    </w:p>
    <w:p>
      <w:pPr>
        <w:tabs>
          <w:tab w:val="right" w:leader="dot" w:pos="9062"/>
        </w:tabs>
        <w:ind w:left="440"/>
      </w:pPr>
      <w:hyperlink w:anchor="_Toc4616" w:history="1">
        <w:r>
          <w:rPr>
            <w:rFonts w:ascii="IRNazanin" w:hAnsi="IRNazanin" w:eastAsia="IRNazanin" w:cs="IRNazanin"/>
            <w:color w:val="111111"/>
            <w:sz w:val="22"/>
            <w:szCs w:val="22"/>
            <w:b w:val="0"/>
            <w:bCs w:val="0"/>
            <w:i w:val="0"/>
            <w:iCs w:val="0"/>
          </w:rPr>
          <w:t>4473- دیوان ضیاء بلگرامی أو شعره‏</w:t>
        </w:r>
        <w:r>
          <w:tab/>
        </w:r>
        <w:r>
          <w:fldChar w:fldCharType="begin"/>
        </w:r>
        <w:r>
          <w:instrText xml:space="preserve">PAGEREF 4616 \h</w:instrText>
        </w:r>
        <w:r>
          <w:fldChar w:fldCharType="end"/>
        </w:r>
      </w:hyperlink>
    </w:p>
    <w:p>
      <w:pPr>
        <w:tabs>
          <w:tab w:val="right" w:leader="dot" w:pos="9062"/>
        </w:tabs>
        <w:ind w:left="440"/>
      </w:pPr>
      <w:hyperlink w:anchor="_Toc4617" w:history="1">
        <w:r>
          <w:rPr>
            <w:rFonts w:ascii="IRNazanin" w:hAnsi="IRNazanin" w:eastAsia="IRNazanin" w:cs="IRNazanin"/>
            <w:color w:val="111111"/>
            <w:sz w:val="22"/>
            <w:szCs w:val="22"/>
            <w:b w:val="0"/>
            <w:bCs w:val="0"/>
            <w:i w:val="0"/>
            <w:iCs w:val="0"/>
          </w:rPr>
          <w:t>دیوان ضیاء تبریزی‏</w:t>
        </w:r>
        <w:r>
          <w:tab/>
        </w:r>
        <w:r>
          <w:fldChar w:fldCharType="begin"/>
        </w:r>
        <w:r>
          <w:instrText xml:space="preserve">PAGEREF 4617 \h</w:instrText>
        </w:r>
        <w:r>
          <w:fldChar w:fldCharType="end"/>
        </w:r>
      </w:hyperlink>
    </w:p>
    <w:p>
      <w:pPr>
        <w:tabs>
          <w:tab w:val="right" w:leader="dot" w:pos="9062"/>
        </w:tabs>
        <w:ind w:left="440"/>
      </w:pPr>
      <w:hyperlink w:anchor="_Toc4618" w:history="1">
        <w:r>
          <w:rPr>
            <w:rFonts w:ascii="IRNazanin" w:hAnsi="IRNazanin" w:eastAsia="IRNazanin" w:cs="IRNazanin"/>
            <w:color w:val="111111"/>
            <w:sz w:val="22"/>
            <w:szCs w:val="22"/>
            <w:b w:val="0"/>
            <w:bCs w:val="0"/>
            <w:i w:val="0"/>
            <w:iCs w:val="0"/>
          </w:rPr>
          <w:t>4474- دیوان ضیاء دهکردی أو شعره‏</w:t>
        </w:r>
        <w:r>
          <w:tab/>
        </w:r>
        <w:r>
          <w:fldChar w:fldCharType="begin"/>
        </w:r>
        <w:r>
          <w:instrText xml:space="preserve">PAGEREF 4618 \h</w:instrText>
        </w:r>
        <w:r>
          <w:fldChar w:fldCharType="end"/>
        </w:r>
      </w:hyperlink>
    </w:p>
    <w:p>
      <w:pPr>
        <w:tabs>
          <w:tab w:val="right" w:leader="dot" w:pos="9062"/>
        </w:tabs>
        <w:ind w:left="440"/>
      </w:pPr>
      <w:hyperlink w:anchor="_Toc4619" w:history="1">
        <w:r>
          <w:rPr>
            <w:rFonts w:ascii="IRNazanin" w:hAnsi="IRNazanin" w:eastAsia="IRNazanin" w:cs="IRNazanin"/>
            <w:color w:val="111111"/>
            <w:sz w:val="22"/>
            <w:szCs w:val="22"/>
            <w:b w:val="0"/>
            <w:bCs w:val="0"/>
            <w:i w:val="0"/>
            <w:iCs w:val="0"/>
          </w:rPr>
          <w:t>4475- دیوان ضیاء الدین‏</w:t>
        </w:r>
        <w:r>
          <w:tab/>
        </w:r>
        <w:r>
          <w:fldChar w:fldCharType="begin"/>
        </w:r>
        <w:r>
          <w:instrText xml:space="preserve">PAGEREF 4619 \h</w:instrText>
        </w:r>
        <w:r>
          <w:fldChar w:fldCharType="end"/>
        </w:r>
      </w:hyperlink>
    </w:p>
    <w:p>
      <w:pPr>
        <w:tabs>
          <w:tab w:val="right" w:leader="dot" w:pos="9062"/>
        </w:tabs>
        <w:ind w:left="440"/>
      </w:pPr>
      <w:hyperlink w:anchor="_Toc4620" w:history="1">
        <w:r>
          <w:rPr>
            <w:rFonts w:ascii="IRNazanin" w:hAnsi="IRNazanin" w:eastAsia="IRNazanin" w:cs="IRNazanin"/>
            <w:color w:val="111111"/>
            <w:sz w:val="22"/>
            <w:szCs w:val="22"/>
            <w:b w:val="0"/>
            <w:bCs w:val="0"/>
            <w:i w:val="0"/>
            <w:iCs w:val="0"/>
          </w:rPr>
          <w:t>4476- دیوان ضیاء الدین أسترآبادی‏</w:t>
        </w:r>
        <w:r>
          <w:tab/>
        </w:r>
        <w:r>
          <w:fldChar w:fldCharType="begin"/>
        </w:r>
        <w:r>
          <w:instrText xml:space="preserve">PAGEREF 4620 \h</w:instrText>
        </w:r>
        <w:r>
          <w:fldChar w:fldCharType="end"/>
        </w:r>
      </w:hyperlink>
    </w:p>
    <w:p>
      <w:pPr>
        <w:tabs>
          <w:tab w:val="right" w:leader="dot" w:pos="9062"/>
        </w:tabs>
        <w:ind w:left="440"/>
      </w:pPr>
      <w:hyperlink w:anchor="_Toc4621" w:history="1">
        <w:r>
          <w:rPr>
            <w:rFonts w:ascii="IRNazanin" w:hAnsi="IRNazanin" w:eastAsia="IRNazanin" w:cs="IRNazanin"/>
            <w:color w:val="111111"/>
            <w:sz w:val="22"/>
            <w:szCs w:val="22"/>
            <w:b w:val="0"/>
            <w:bCs w:val="0"/>
            <w:i w:val="0"/>
            <w:iCs w:val="0"/>
          </w:rPr>
          <w:t>دیوان ضیاء الدین بلخی‏</w:t>
        </w:r>
        <w:r>
          <w:tab/>
        </w:r>
        <w:r>
          <w:fldChar w:fldCharType="begin"/>
        </w:r>
        <w:r>
          <w:instrText xml:space="preserve">PAGEREF 4621 \h</w:instrText>
        </w:r>
        <w:r>
          <w:fldChar w:fldCharType="end"/>
        </w:r>
      </w:hyperlink>
    </w:p>
    <w:p>
      <w:pPr>
        <w:tabs>
          <w:tab w:val="right" w:leader="dot" w:pos="9062"/>
        </w:tabs>
        <w:ind w:left="440"/>
      </w:pPr>
      <w:hyperlink w:anchor="_Toc4622" w:history="1">
        <w:r>
          <w:rPr>
            <w:rFonts w:ascii="IRNazanin" w:hAnsi="IRNazanin" w:eastAsia="IRNazanin" w:cs="IRNazanin"/>
            <w:color w:val="111111"/>
            <w:sz w:val="22"/>
            <w:szCs w:val="22"/>
            <w:b w:val="0"/>
            <w:bCs w:val="0"/>
            <w:i w:val="0"/>
            <w:iCs w:val="0"/>
          </w:rPr>
          <w:t>4477- دیوان ضیاء الدین تبریزی أو شعره‏</w:t>
        </w:r>
        <w:r>
          <w:tab/>
        </w:r>
        <w:r>
          <w:fldChar w:fldCharType="begin"/>
        </w:r>
        <w:r>
          <w:instrText xml:space="preserve">PAGEREF 4622 \h</w:instrText>
        </w:r>
        <w:r>
          <w:fldChar w:fldCharType="end"/>
        </w:r>
      </w:hyperlink>
    </w:p>
    <w:p>
      <w:pPr>
        <w:tabs>
          <w:tab w:val="right" w:leader="dot" w:pos="9062"/>
        </w:tabs>
        <w:ind w:left="440"/>
      </w:pPr>
      <w:hyperlink w:anchor="_Toc4623" w:history="1">
        <w:r>
          <w:rPr>
            <w:rFonts w:ascii="IRNazanin" w:hAnsi="IRNazanin" w:eastAsia="IRNazanin" w:cs="IRNazanin"/>
            <w:color w:val="111111"/>
            <w:sz w:val="22"/>
            <w:szCs w:val="22"/>
            <w:b w:val="0"/>
            <w:bCs w:val="0"/>
            <w:i w:val="0"/>
            <w:iCs w:val="0"/>
          </w:rPr>
          <w:t>دیوان ضیاء الدین خجندی الشیرازی‏</w:t>
        </w:r>
        <w:r>
          <w:tab/>
        </w:r>
        <w:r>
          <w:fldChar w:fldCharType="begin"/>
        </w:r>
        <w:r>
          <w:instrText xml:space="preserve">PAGEREF 4623 \h</w:instrText>
        </w:r>
        <w:r>
          <w:fldChar w:fldCharType="end"/>
        </w:r>
      </w:hyperlink>
    </w:p>
    <w:p>
      <w:pPr>
        <w:tabs>
          <w:tab w:val="right" w:leader="dot" w:pos="9062"/>
        </w:tabs>
        <w:ind w:left="440"/>
      </w:pPr>
      <w:hyperlink w:anchor="_Toc4624" w:history="1">
        <w:r>
          <w:rPr>
            <w:rFonts w:ascii="IRNazanin" w:hAnsi="IRNazanin" w:eastAsia="IRNazanin" w:cs="IRNazanin"/>
            <w:color w:val="111111"/>
            <w:sz w:val="22"/>
            <w:szCs w:val="22"/>
            <w:b w:val="0"/>
            <w:bCs w:val="0"/>
            <w:i w:val="0"/>
            <w:iCs w:val="0"/>
          </w:rPr>
          <w:t>4478- دیوان ضیاء الدین سمنانی‏</w:t>
        </w:r>
        <w:r>
          <w:tab/>
        </w:r>
        <w:r>
          <w:fldChar w:fldCharType="begin"/>
        </w:r>
        <w:r>
          <w:instrText xml:space="preserve">PAGEREF 4624 \h</w:instrText>
        </w:r>
        <w:r>
          <w:fldChar w:fldCharType="end"/>
        </w:r>
      </w:hyperlink>
    </w:p>
    <w:p>
      <w:pPr>
        <w:tabs>
          <w:tab w:val="right" w:leader="dot" w:pos="9062"/>
        </w:tabs>
        <w:ind w:left="440"/>
      </w:pPr>
      <w:hyperlink w:anchor="_Toc4625" w:history="1">
        <w:r>
          <w:rPr>
            <w:rFonts w:ascii="IRNazanin" w:hAnsi="IRNazanin" w:eastAsia="IRNazanin" w:cs="IRNazanin"/>
            <w:color w:val="111111"/>
            <w:sz w:val="22"/>
            <w:szCs w:val="22"/>
            <w:b w:val="0"/>
            <w:bCs w:val="0"/>
            <w:i w:val="0"/>
            <w:iCs w:val="0"/>
          </w:rPr>
          <w:t>4479- دیوان ضیاء الدین کابلی أو شعره‏</w:t>
        </w:r>
        <w:r>
          <w:tab/>
        </w:r>
        <w:r>
          <w:fldChar w:fldCharType="begin"/>
        </w:r>
        <w:r>
          <w:instrText xml:space="preserve">PAGEREF 4625 \h</w:instrText>
        </w:r>
        <w:r>
          <w:fldChar w:fldCharType="end"/>
        </w:r>
      </w:hyperlink>
    </w:p>
    <w:p>
      <w:pPr>
        <w:tabs>
          <w:tab w:val="right" w:leader="dot" w:pos="9062"/>
        </w:tabs>
        <w:ind w:left="440"/>
      </w:pPr>
      <w:hyperlink w:anchor="_Toc4626" w:history="1">
        <w:r>
          <w:rPr>
            <w:rFonts w:ascii="IRNazanin" w:hAnsi="IRNazanin" w:eastAsia="IRNazanin" w:cs="IRNazanin"/>
            <w:color w:val="111111"/>
            <w:sz w:val="22"/>
            <w:szCs w:val="22"/>
            <w:b w:val="0"/>
            <w:bCs w:val="0"/>
            <w:i w:val="0"/>
            <w:iCs w:val="0"/>
          </w:rPr>
          <w:t>دیوان ضیاء الدین کاشانی‏</w:t>
        </w:r>
        <w:r>
          <w:tab/>
        </w:r>
        <w:r>
          <w:fldChar w:fldCharType="begin"/>
        </w:r>
        <w:r>
          <w:instrText xml:space="preserve">PAGEREF 4626 \h</w:instrText>
        </w:r>
        <w:r>
          <w:fldChar w:fldCharType="end"/>
        </w:r>
      </w:hyperlink>
    </w:p>
    <w:p>
      <w:pPr>
        <w:tabs>
          <w:tab w:val="right" w:leader="dot" w:pos="9062"/>
        </w:tabs>
        <w:ind w:left="440"/>
      </w:pPr>
      <w:hyperlink w:anchor="_Toc4627" w:history="1">
        <w:r>
          <w:rPr>
            <w:rFonts w:ascii="IRNazanin" w:hAnsi="IRNazanin" w:eastAsia="IRNazanin" w:cs="IRNazanin"/>
            <w:color w:val="111111"/>
            <w:sz w:val="22"/>
            <w:szCs w:val="22"/>
            <w:b w:val="0"/>
            <w:bCs w:val="0"/>
            <w:i w:val="0"/>
            <w:iCs w:val="0"/>
          </w:rPr>
          <w:t>دیوان ضیاء الدین کاشانی‏</w:t>
        </w:r>
        <w:r>
          <w:tab/>
        </w:r>
        <w:r>
          <w:fldChar w:fldCharType="begin"/>
        </w:r>
        <w:r>
          <w:instrText xml:space="preserve">PAGEREF 4627 \h</w:instrText>
        </w:r>
        <w:r>
          <w:fldChar w:fldCharType="end"/>
        </w:r>
      </w:hyperlink>
    </w:p>
    <w:p>
      <w:pPr>
        <w:tabs>
          <w:tab w:val="right" w:leader="dot" w:pos="9062"/>
        </w:tabs>
        <w:ind w:left="440"/>
      </w:pPr>
      <w:hyperlink w:anchor="_Toc4628" w:history="1">
        <w:r>
          <w:rPr>
            <w:rFonts w:ascii="IRNazanin" w:hAnsi="IRNazanin" w:eastAsia="IRNazanin" w:cs="IRNazanin"/>
            <w:color w:val="111111"/>
            <w:sz w:val="22"/>
            <w:szCs w:val="22"/>
            <w:b w:val="0"/>
            <w:bCs w:val="0"/>
            <w:i w:val="0"/>
            <w:iCs w:val="0"/>
          </w:rPr>
          <w:t>4480- دیوان ضیاء الدین فارسی‏</w:t>
        </w:r>
        <w:r>
          <w:tab/>
        </w:r>
        <w:r>
          <w:fldChar w:fldCharType="begin"/>
        </w:r>
        <w:r>
          <w:instrText xml:space="preserve">PAGEREF 4628 \h</w:instrText>
        </w:r>
        <w:r>
          <w:fldChar w:fldCharType="end"/>
        </w:r>
      </w:hyperlink>
    </w:p>
    <w:p>
      <w:pPr>
        <w:tabs>
          <w:tab w:val="right" w:leader="dot" w:pos="9062"/>
        </w:tabs>
        <w:ind w:left="440"/>
      </w:pPr>
      <w:hyperlink w:anchor="_Toc4629" w:history="1">
        <w:r>
          <w:rPr>
            <w:rFonts w:ascii="IRNazanin" w:hAnsi="IRNazanin" w:eastAsia="IRNazanin" w:cs="IRNazanin"/>
            <w:color w:val="111111"/>
            <w:sz w:val="22"/>
            <w:szCs w:val="22"/>
            <w:b w:val="0"/>
            <w:bCs w:val="0"/>
            <w:i w:val="0"/>
            <w:iCs w:val="0"/>
          </w:rPr>
          <w:t>4481- دیوان ضیاء الدین میرم أو شعره‏</w:t>
        </w:r>
        <w:r>
          <w:tab/>
        </w:r>
        <w:r>
          <w:fldChar w:fldCharType="begin"/>
        </w:r>
        <w:r>
          <w:instrText xml:space="preserve">PAGEREF 4629 \h</w:instrText>
        </w:r>
        <w:r>
          <w:fldChar w:fldCharType="end"/>
        </w:r>
      </w:hyperlink>
    </w:p>
    <w:p>
      <w:pPr>
        <w:tabs>
          <w:tab w:val="right" w:leader="dot" w:pos="9062"/>
        </w:tabs>
        <w:ind w:left="440"/>
      </w:pPr>
      <w:hyperlink w:anchor="_Toc4630" w:history="1">
        <w:r>
          <w:rPr>
            <w:rFonts w:ascii="IRNazanin" w:hAnsi="IRNazanin" w:eastAsia="IRNazanin" w:cs="IRNazanin"/>
            <w:color w:val="111111"/>
            <w:sz w:val="22"/>
            <w:szCs w:val="22"/>
            <w:b w:val="0"/>
            <w:bCs w:val="0"/>
            <w:i w:val="0"/>
            <w:iCs w:val="0"/>
          </w:rPr>
          <w:t>4482- دیوان ضیاء الدین یوسف الیمانی‏</w:t>
        </w:r>
        <w:r>
          <w:tab/>
        </w:r>
        <w:r>
          <w:fldChar w:fldCharType="begin"/>
        </w:r>
        <w:r>
          <w:instrText xml:space="preserve">PAGEREF 4630 \h</w:instrText>
        </w:r>
        <w:r>
          <w:fldChar w:fldCharType="end"/>
        </w:r>
      </w:hyperlink>
    </w:p>
    <w:p>
      <w:pPr>
        <w:tabs>
          <w:tab w:val="right" w:leader="dot" w:pos="9062"/>
        </w:tabs>
        <w:ind w:left="440"/>
      </w:pPr>
      <w:hyperlink w:anchor="_Toc4631" w:history="1">
        <w:r>
          <w:rPr>
            <w:rFonts w:ascii="IRNazanin" w:hAnsi="IRNazanin" w:eastAsia="IRNazanin" w:cs="IRNazanin"/>
            <w:color w:val="111111"/>
            <w:sz w:val="22"/>
            <w:szCs w:val="22"/>
            <w:b w:val="0"/>
            <w:bCs w:val="0"/>
            <w:i w:val="0"/>
            <w:iCs w:val="0"/>
          </w:rPr>
          <w:t>4483- دیوان ضیاء زنوزی أو شعره‏</w:t>
        </w:r>
        <w:r>
          <w:tab/>
        </w:r>
        <w:r>
          <w:fldChar w:fldCharType="begin"/>
        </w:r>
        <w:r>
          <w:instrText xml:space="preserve">PAGEREF 4631 \h</w:instrText>
        </w:r>
        <w:r>
          <w:fldChar w:fldCharType="end"/>
        </w:r>
      </w:hyperlink>
    </w:p>
    <w:p>
      <w:pPr>
        <w:tabs>
          <w:tab w:val="right" w:leader="dot" w:pos="9062"/>
        </w:tabs>
        <w:ind w:left="440"/>
      </w:pPr>
      <w:hyperlink w:anchor="_Toc4632" w:history="1">
        <w:r>
          <w:rPr>
            <w:rFonts w:ascii="IRNazanin" w:hAnsi="IRNazanin" w:eastAsia="IRNazanin" w:cs="IRNazanin"/>
            <w:color w:val="111111"/>
            <w:sz w:val="22"/>
            <w:szCs w:val="22"/>
            <w:b w:val="0"/>
            <w:bCs w:val="0"/>
            <w:i w:val="0"/>
            <w:iCs w:val="0"/>
          </w:rPr>
          <w:t>4484- دیوان ضیاء السلطنة أو شعرها</w:t>
        </w:r>
        <w:r>
          <w:tab/>
        </w:r>
        <w:r>
          <w:fldChar w:fldCharType="begin"/>
        </w:r>
        <w:r>
          <w:instrText xml:space="preserve">PAGEREF 4632 \h</w:instrText>
        </w:r>
        <w:r>
          <w:fldChar w:fldCharType="end"/>
        </w:r>
      </w:hyperlink>
    </w:p>
    <w:p>
      <w:pPr>
        <w:tabs>
          <w:tab w:val="right" w:leader="dot" w:pos="9062"/>
        </w:tabs>
        <w:ind w:left="440"/>
      </w:pPr>
      <w:hyperlink w:anchor="_Toc4633" w:history="1">
        <w:r>
          <w:rPr>
            <w:rFonts w:ascii="IRNazanin" w:hAnsi="IRNazanin" w:eastAsia="IRNazanin" w:cs="IRNazanin"/>
            <w:color w:val="111111"/>
            <w:sz w:val="22"/>
            <w:szCs w:val="22"/>
            <w:b w:val="0"/>
            <w:bCs w:val="0"/>
            <w:i w:val="0"/>
            <w:iCs w:val="0"/>
          </w:rPr>
          <w:t>4485- دیوان ضیاء شیرازی‏</w:t>
        </w:r>
        <w:r>
          <w:tab/>
        </w:r>
        <w:r>
          <w:fldChar w:fldCharType="begin"/>
        </w:r>
        <w:r>
          <w:instrText xml:space="preserve">PAGEREF 4633 \h</w:instrText>
        </w:r>
        <w:r>
          <w:fldChar w:fldCharType="end"/>
        </w:r>
      </w:hyperlink>
    </w:p>
    <w:p>
      <w:pPr>
        <w:tabs>
          <w:tab w:val="right" w:leader="dot" w:pos="9062"/>
        </w:tabs>
        <w:ind w:left="440"/>
      </w:pPr>
      <w:hyperlink w:anchor="_Toc4634" w:history="1">
        <w:r>
          <w:rPr>
            <w:rFonts w:ascii="IRNazanin" w:hAnsi="IRNazanin" w:eastAsia="IRNazanin" w:cs="IRNazanin"/>
            <w:color w:val="111111"/>
            <w:sz w:val="22"/>
            <w:szCs w:val="22"/>
            <w:b w:val="0"/>
            <w:bCs w:val="0"/>
            <w:i w:val="0"/>
            <w:iCs w:val="0"/>
          </w:rPr>
          <w:t>4486- دیوان ضیاء صفوی أو شعره‏</w:t>
        </w:r>
        <w:r>
          <w:tab/>
        </w:r>
        <w:r>
          <w:fldChar w:fldCharType="begin"/>
        </w:r>
        <w:r>
          <w:instrText xml:space="preserve">PAGEREF 4634 \h</w:instrText>
        </w:r>
        <w:r>
          <w:fldChar w:fldCharType="end"/>
        </w:r>
      </w:hyperlink>
    </w:p>
    <w:p>
      <w:pPr>
        <w:tabs>
          <w:tab w:val="right" w:leader="dot" w:pos="9062"/>
        </w:tabs>
        <w:ind w:left="440"/>
      </w:pPr>
      <w:hyperlink w:anchor="_Toc4635" w:history="1">
        <w:r>
          <w:rPr>
            <w:rFonts w:ascii="IRNazanin" w:hAnsi="IRNazanin" w:eastAsia="IRNazanin" w:cs="IRNazanin"/>
            <w:color w:val="111111"/>
            <w:sz w:val="22"/>
            <w:szCs w:val="22"/>
            <w:b w:val="0"/>
            <w:bCs w:val="0"/>
            <w:i w:val="0"/>
            <w:iCs w:val="0"/>
          </w:rPr>
          <w:t>4487- دیوان ضیاء طهرانی‏</w:t>
        </w:r>
        <w:r>
          <w:tab/>
        </w:r>
        <w:r>
          <w:fldChar w:fldCharType="begin"/>
        </w:r>
        <w:r>
          <w:instrText xml:space="preserve">PAGEREF 4635 \h</w:instrText>
        </w:r>
        <w:r>
          <w:fldChar w:fldCharType="end"/>
        </w:r>
      </w:hyperlink>
    </w:p>
    <w:p>
      <w:pPr>
        <w:tabs>
          <w:tab w:val="right" w:leader="dot" w:pos="9062"/>
        </w:tabs>
        <w:ind w:left="440"/>
      </w:pPr>
      <w:hyperlink w:anchor="_Toc4636" w:history="1">
        <w:r>
          <w:rPr>
            <w:rFonts w:ascii="IRNazanin" w:hAnsi="IRNazanin" w:eastAsia="IRNazanin" w:cs="IRNazanin"/>
            <w:color w:val="111111"/>
            <w:sz w:val="22"/>
            <w:szCs w:val="22"/>
            <w:b w:val="0"/>
            <w:bCs w:val="0"/>
            <w:i w:val="0"/>
            <w:iCs w:val="0"/>
          </w:rPr>
          <w:t>4488- دیوان ضیاء قزوینی‏</w:t>
        </w:r>
        <w:r>
          <w:tab/>
        </w:r>
        <w:r>
          <w:fldChar w:fldCharType="begin"/>
        </w:r>
        <w:r>
          <w:instrText xml:space="preserve">PAGEREF 4636 \h</w:instrText>
        </w:r>
        <w:r>
          <w:fldChar w:fldCharType="end"/>
        </w:r>
      </w:hyperlink>
    </w:p>
    <w:p>
      <w:pPr>
        <w:tabs>
          <w:tab w:val="right" w:leader="dot" w:pos="9062"/>
        </w:tabs>
        <w:ind w:left="440"/>
      </w:pPr>
      <w:hyperlink w:anchor="_Toc4637" w:history="1">
        <w:r>
          <w:rPr>
            <w:rFonts w:ascii="IRNazanin" w:hAnsi="IRNazanin" w:eastAsia="IRNazanin" w:cs="IRNazanin"/>
            <w:color w:val="111111"/>
            <w:sz w:val="22"/>
            <w:szCs w:val="22"/>
            <w:b w:val="0"/>
            <w:bCs w:val="0"/>
            <w:i w:val="0"/>
            <w:iCs w:val="0"/>
          </w:rPr>
          <w:t>4489- دیوان ضیاء کاشانی‏</w:t>
        </w:r>
        <w:r>
          <w:tab/>
        </w:r>
        <w:r>
          <w:fldChar w:fldCharType="begin"/>
        </w:r>
        <w:r>
          <w:instrText xml:space="preserve">PAGEREF 4637 \h</w:instrText>
        </w:r>
        <w:r>
          <w:fldChar w:fldCharType="end"/>
        </w:r>
      </w:hyperlink>
    </w:p>
    <w:p>
      <w:pPr>
        <w:tabs>
          <w:tab w:val="right" w:leader="dot" w:pos="9062"/>
        </w:tabs>
        <w:ind w:left="440"/>
      </w:pPr>
      <w:hyperlink w:anchor="_Toc4638" w:history="1">
        <w:r>
          <w:rPr>
            <w:rFonts w:ascii="IRNazanin" w:hAnsi="IRNazanin" w:eastAsia="IRNazanin" w:cs="IRNazanin"/>
            <w:color w:val="111111"/>
            <w:sz w:val="22"/>
            <w:szCs w:val="22"/>
            <w:b w:val="0"/>
            <w:bCs w:val="0"/>
            <w:i w:val="0"/>
            <w:iCs w:val="0"/>
          </w:rPr>
          <w:t>4490- دیوان ضیاء کاشانی أو شعره‏</w:t>
        </w:r>
        <w:r>
          <w:tab/>
        </w:r>
        <w:r>
          <w:fldChar w:fldCharType="begin"/>
        </w:r>
        <w:r>
          <w:instrText xml:space="preserve">PAGEREF 4638 \h</w:instrText>
        </w:r>
        <w:r>
          <w:fldChar w:fldCharType="end"/>
        </w:r>
      </w:hyperlink>
    </w:p>
    <w:p>
      <w:pPr>
        <w:tabs>
          <w:tab w:val="right" w:leader="dot" w:pos="9062"/>
        </w:tabs>
        <w:ind w:left="440"/>
      </w:pPr>
      <w:hyperlink w:anchor="_Toc4639" w:history="1">
        <w:r>
          <w:rPr>
            <w:rFonts w:ascii="IRNazanin" w:hAnsi="IRNazanin" w:eastAsia="IRNazanin" w:cs="IRNazanin"/>
            <w:color w:val="111111"/>
            <w:sz w:val="22"/>
            <w:szCs w:val="22"/>
            <w:b w:val="0"/>
            <w:bCs w:val="0"/>
            <w:i w:val="0"/>
            <w:iCs w:val="0"/>
          </w:rPr>
          <w:t>4491- دیوان ضیاء کرمانی أو شعره‏</w:t>
        </w:r>
        <w:r>
          <w:tab/>
        </w:r>
        <w:r>
          <w:fldChar w:fldCharType="begin"/>
        </w:r>
        <w:r>
          <w:instrText xml:space="preserve">PAGEREF 4639 \h</w:instrText>
        </w:r>
        <w:r>
          <w:fldChar w:fldCharType="end"/>
        </w:r>
      </w:hyperlink>
    </w:p>
    <w:p>
      <w:pPr>
        <w:tabs>
          <w:tab w:val="right" w:leader="dot" w:pos="9062"/>
        </w:tabs>
        <w:ind w:left="440"/>
      </w:pPr>
      <w:hyperlink w:anchor="_Toc4640" w:history="1">
        <w:r>
          <w:rPr>
            <w:rFonts w:ascii="IRNazanin" w:hAnsi="IRNazanin" w:eastAsia="IRNazanin" w:cs="IRNazanin"/>
            <w:color w:val="111111"/>
            <w:sz w:val="22"/>
            <w:szCs w:val="22"/>
            <w:b w:val="0"/>
            <w:bCs w:val="0"/>
            <w:i w:val="0"/>
            <w:iCs w:val="0"/>
          </w:rPr>
          <w:t>4492- دیوان ضیاء کرمانی‏</w:t>
        </w:r>
        <w:r>
          <w:tab/>
        </w:r>
        <w:r>
          <w:fldChar w:fldCharType="begin"/>
        </w:r>
        <w:r>
          <w:instrText xml:space="preserve">PAGEREF 4640 \h</w:instrText>
        </w:r>
        <w:r>
          <w:fldChar w:fldCharType="end"/>
        </w:r>
      </w:hyperlink>
    </w:p>
    <w:p>
      <w:pPr>
        <w:tabs>
          <w:tab w:val="right" w:leader="dot" w:pos="9062"/>
        </w:tabs>
        <w:ind w:left="440"/>
      </w:pPr>
      <w:hyperlink w:anchor="_Toc4641" w:history="1">
        <w:r>
          <w:rPr>
            <w:rFonts w:ascii="IRNazanin" w:hAnsi="IRNazanin" w:eastAsia="IRNazanin" w:cs="IRNazanin"/>
            <w:color w:val="111111"/>
            <w:sz w:val="22"/>
            <w:szCs w:val="22"/>
            <w:b w:val="0"/>
            <w:bCs w:val="0"/>
            <w:i w:val="0"/>
            <w:iCs w:val="0"/>
          </w:rPr>
          <w:t>دیوان ضیاء کفرانی‏</w:t>
        </w:r>
        <w:r>
          <w:tab/>
        </w:r>
        <w:r>
          <w:fldChar w:fldCharType="begin"/>
        </w:r>
        <w:r>
          <w:instrText xml:space="preserve">PAGEREF 4641 \h</w:instrText>
        </w:r>
        <w:r>
          <w:fldChar w:fldCharType="end"/>
        </w:r>
      </w:hyperlink>
    </w:p>
    <w:p>
      <w:pPr>
        <w:tabs>
          <w:tab w:val="right" w:leader="dot" w:pos="9062"/>
        </w:tabs>
        <w:ind w:left="440"/>
      </w:pPr>
      <w:hyperlink w:anchor="_Toc4642" w:history="1">
        <w:r>
          <w:rPr>
            <w:rFonts w:ascii="IRNazanin" w:hAnsi="IRNazanin" w:eastAsia="IRNazanin" w:cs="IRNazanin"/>
            <w:color w:val="111111"/>
            <w:sz w:val="22"/>
            <w:szCs w:val="22"/>
            <w:b w:val="0"/>
            <w:bCs w:val="0"/>
            <w:i w:val="0"/>
            <w:iCs w:val="0"/>
          </w:rPr>
          <w:t>دیوان ضیاء نخشبی‏</w:t>
        </w:r>
        <w:r>
          <w:tab/>
        </w:r>
        <w:r>
          <w:fldChar w:fldCharType="begin"/>
        </w:r>
        <w:r>
          <w:instrText xml:space="preserve">PAGEREF 4642 \h</w:instrText>
        </w:r>
        <w:r>
          <w:fldChar w:fldCharType="end"/>
        </w:r>
      </w:hyperlink>
    </w:p>
    <w:p>
      <w:pPr>
        <w:tabs>
          <w:tab w:val="right" w:leader="dot" w:pos="9062"/>
        </w:tabs>
        <w:ind w:left="440"/>
      </w:pPr>
      <w:hyperlink w:anchor="_Toc4643" w:history="1">
        <w:r>
          <w:rPr>
            <w:rFonts w:ascii="IRNazanin" w:hAnsi="IRNazanin" w:eastAsia="IRNazanin" w:cs="IRNazanin"/>
            <w:color w:val="111111"/>
            <w:sz w:val="22"/>
            <w:szCs w:val="22"/>
            <w:b w:val="0"/>
            <w:bCs w:val="0"/>
            <w:i w:val="0"/>
            <w:iCs w:val="0"/>
          </w:rPr>
          <w:t>دیوان ضیاء نیشابوری‏</w:t>
        </w:r>
        <w:r>
          <w:tab/>
        </w:r>
        <w:r>
          <w:fldChar w:fldCharType="begin"/>
        </w:r>
        <w:r>
          <w:instrText xml:space="preserve">PAGEREF 4643 \h</w:instrText>
        </w:r>
        <w:r>
          <w:fldChar w:fldCharType="end"/>
        </w:r>
      </w:hyperlink>
    </w:p>
    <w:p>
      <w:pPr>
        <w:tabs>
          <w:tab w:val="right" w:leader="dot" w:pos="9062"/>
        </w:tabs>
        <w:ind w:left="440"/>
      </w:pPr>
      <w:hyperlink w:anchor="_Toc4644" w:history="1">
        <w:r>
          <w:rPr>
            <w:rFonts w:ascii="IRNazanin" w:hAnsi="IRNazanin" w:eastAsia="IRNazanin" w:cs="IRNazanin"/>
            <w:color w:val="111111"/>
            <w:sz w:val="22"/>
            <w:szCs w:val="22"/>
            <w:b w:val="0"/>
            <w:bCs w:val="0"/>
            <w:i w:val="0"/>
            <w:iCs w:val="0"/>
          </w:rPr>
          <w:t>4493- دیوان ضیاء نوراللهی أو شعره‏</w:t>
        </w:r>
        <w:r>
          <w:tab/>
        </w:r>
        <w:r>
          <w:fldChar w:fldCharType="begin"/>
        </w:r>
        <w:r>
          <w:instrText xml:space="preserve">PAGEREF 4644 \h</w:instrText>
        </w:r>
        <w:r>
          <w:fldChar w:fldCharType="end"/>
        </w:r>
      </w:hyperlink>
    </w:p>
    <w:p>
      <w:pPr>
        <w:tabs>
          <w:tab w:val="right" w:leader="dot" w:pos="9062"/>
        </w:tabs>
        <w:ind w:left="440"/>
      </w:pPr>
      <w:hyperlink w:anchor="_Toc4645" w:history="1">
        <w:r>
          <w:rPr>
            <w:rFonts w:ascii="IRNazanin" w:hAnsi="IRNazanin" w:eastAsia="IRNazanin" w:cs="IRNazanin"/>
            <w:color w:val="111111"/>
            <w:sz w:val="22"/>
            <w:szCs w:val="22"/>
            <w:b w:val="0"/>
            <w:bCs w:val="0"/>
            <w:i w:val="0"/>
            <w:iCs w:val="0"/>
          </w:rPr>
          <w:t>4494- دیوان ضیائی أصفهانی أو شعره‏</w:t>
        </w:r>
        <w:r>
          <w:tab/>
        </w:r>
        <w:r>
          <w:fldChar w:fldCharType="begin"/>
        </w:r>
        <w:r>
          <w:instrText xml:space="preserve">PAGEREF 4645 \h</w:instrText>
        </w:r>
        <w:r>
          <w:fldChar w:fldCharType="end"/>
        </w:r>
      </w:hyperlink>
    </w:p>
    <w:p>
      <w:pPr>
        <w:tabs>
          <w:tab w:val="right" w:leader="dot" w:pos="9062"/>
        </w:tabs>
        <w:ind w:left="440"/>
      </w:pPr>
      <w:hyperlink w:anchor="_Toc4646" w:history="1">
        <w:r>
          <w:rPr>
            <w:rFonts w:ascii="IRNazanin" w:hAnsi="IRNazanin" w:eastAsia="IRNazanin" w:cs="IRNazanin"/>
            <w:color w:val="111111"/>
            <w:sz w:val="22"/>
            <w:szCs w:val="22"/>
            <w:b w:val="0"/>
            <w:bCs w:val="0"/>
            <w:i w:val="0"/>
            <w:iCs w:val="0"/>
          </w:rPr>
          <w:t>4495- دیوان ضیائی أردوبادی‏</w:t>
        </w:r>
        <w:r>
          <w:tab/>
        </w:r>
        <w:r>
          <w:fldChar w:fldCharType="begin"/>
        </w:r>
        <w:r>
          <w:instrText xml:space="preserve">PAGEREF 4646 \h</w:instrText>
        </w:r>
        <w:r>
          <w:fldChar w:fldCharType="end"/>
        </w:r>
      </w:hyperlink>
    </w:p>
    <w:p>
      <w:pPr>
        <w:tabs>
          <w:tab w:val="right" w:leader="dot" w:pos="9062"/>
        </w:tabs>
        <w:ind w:left="440"/>
      </w:pPr>
      <w:hyperlink w:anchor="_Toc4647" w:history="1">
        <w:r>
          <w:rPr>
            <w:rFonts w:ascii="IRNazanin" w:hAnsi="IRNazanin" w:eastAsia="IRNazanin" w:cs="IRNazanin"/>
            <w:color w:val="111111"/>
            <w:sz w:val="22"/>
            <w:szCs w:val="22"/>
            <w:b w:val="0"/>
            <w:bCs w:val="0"/>
            <w:i w:val="0"/>
            <w:iCs w:val="0"/>
          </w:rPr>
          <w:t>4496- دیوان ضیائی بخارائی أو شعره‏</w:t>
        </w:r>
        <w:r>
          <w:tab/>
        </w:r>
        <w:r>
          <w:fldChar w:fldCharType="begin"/>
        </w:r>
        <w:r>
          <w:instrText xml:space="preserve">PAGEREF 4647 \h</w:instrText>
        </w:r>
        <w:r>
          <w:fldChar w:fldCharType="end"/>
        </w:r>
      </w:hyperlink>
    </w:p>
    <w:p>
      <w:pPr>
        <w:tabs>
          <w:tab w:val="right" w:leader="dot" w:pos="9062"/>
        </w:tabs>
        <w:ind w:left="440"/>
      </w:pPr>
      <w:hyperlink w:anchor="_Toc4648" w:history="1">
        <w:r>
          <w:rPr>
            <w:rFonts w:ascii="IRNazanin" w:hAnsi="IRNazanin" w:eastAsia="IRNazanin" w:cs="IRNazanin"/>
            <w:color w:val="111111"/>
            <w:sz w:val="22"/>
            <w:szCs w:val="22"/>
            <w:b w:val="0"/>
            <w:bCs w:val="0"/>
            <w:i w:val="0"/>
            <w:iCs w:val="0"/>
          </w:rPr>
          <w:t>4497- دیوان ضیائی بیرجندی‏</w:t>
        </w:r>
        <w:r>
          <w:tab/>
        </w:r>
        <w:r>
          <w:fldChar w:fldCharType="begin"/>
        </w:r>
        <w:r>
          <w:instrText xml:space="preserve">PAGEREF 4648 \h</w:instrText>
        </w:r>
        <w:r>
          <w:fldChar w:fldCharType="end"/>
        </w:r>
      </w:hyperlink>
    </w:p>
    <w:p>
      <w:pPr>
        <w:tabs>
          <w:tab w:val="right" w:leader="dot" w:pos="9062"/>
        </w:tabs>
        <w:ind w:left="440"/>
      </w:pPr>
      <w:hyperlink w:anchor="_Toc4649" w:history="1">
        <w:r>
          <w:rPr>
            <w:rFonts w:ascii="IRNazanin" w:hAnsi="IRNazanin" w:eastAsia="IRNazanin" w:cs="IRNazanin"/>
            <w:color w:val="111111"/>
            <w:sz w:val="22"/>
            <w:szCs w:val="22"/>
            <w:b w:val="0"/>
            <w:bCs w:val="0"/>
            <w:i w:val="0"/>
            <w:iCs w:val="0"/>
          </w:rPr>
          <w:t>4498- دیوان ضیائی خبوشانی قوچانی‏</w:t>
        </w:r>
        <w:r>
          <w:tab/>
        </w:r>
        <w:r>
          <w:fldChar w:fldCharType="begin"/>
        </w:r>
        <w:r>
          <w:instrText xml:space="preserve">PAGEREF 4649 \h</w:instrText>
        </w:r>
        <w:r>
          <w:fldChar w:fldCharType="end"/>
        </w:r>
      </w:hyperlink>
    </w:p>
    <w:p>
      <w:pPr>
        <w:tabs>
          <w:tab w:val="right" w:leader="dot" w:pos="9062"/>
        </w:tabs>
        <w:ind w:left="440"/>
      </w:pPr>
      <w:hyperlink w:anchor="_Toc4650" w:history="1">
        <w:r>
          <w:rPr>
            <w:rFonts w:ascii="IRNazanin" w:hAnsi="IRNazanin" w:eastAsia="IRNazanin" w:cs="IRNazanin"/>
            <w:color w:val="111111"/>
            <w:sz w:val="22"/>
            <w:szCs w:val="22"/>
            <w:b w:val="0"/>
            <w:bCs w:val="0"/>
            <w:i w:val="0"/>
            <w:iCs w:val="0"/>
          </w:rPr>
          <w:t>4499- دیوان ضیائی دزفولی‏</w:t>
        </w:r>
        <w:r>
          <w:tab/>
        </w:r>
        <w:r>
          <w:fldChar w:fldCharType="begin"/>
        </w:r>
        <w:r>
          <w:instrText xml:space="preserve">PAGEREF 4650 \h</w:instrText>
        </w:r>
        <w:r>
          <w:fldChar w:fldCharType="end"/>
        </w:r>
      </w:hyperlink>
    </w:p>
    <w:p>
      <w:pPr>
        <w:tabs>
          <w:tab w:val="right" w:leader="dot" w:pos="9062"/>
        </w:tabs>
        <w:ind w:left="440"/>
      </w:pPr>
      <w:hyperlink w:anchor="_Toc4651" w:history="1">
        <w:r>
          <w:rPr>
            <w:rFonts w:ascii="IRNazanin" w:hAnsi="IRNazanin" w:eastAsia="IRNazanin" w:cs="IRNazanin"/>
            <w:color w:val="111111"/>
            <w:sz w:val="22"/>
            <w:szCs w:val="22"/>
            <w:b w:val="0"/>
            <w:bCs w:val="0"/>
            <w:i w:val="0"/>
            <w:iCs w:val="0"/>
          </w:rPr>
          <w:t>4500- دیوان ضیائی دهلوی أو شعره‏</w:t>
        </w:r>
        <w:r>
          <w:tab/>
        </w:r>
        <w:r>
          <w:fldChar w:fldCharType="begin"/>
        </w:r>
        <w:r>
          <w:instrText xml:space="preserve">PAGEREF 4651 \h</w:instrText>
        </w:r>
        <w:r>
          <w:fldChar w:fldCharType="end"/>
        </w:r>
      </w:hyperlink>
    </w:p>
    <w:p>
      <w:pPr>
        <w:tabs>
          <w:tab w:val="right" w:leader="dot" w:pos="9062"/>
        </w:tabs>
        <w:ind w:left="440"/>
      </w:pPr>
      <w:hyperlink w:anchor="_Toc4652" w:history="1">
        <w:r>
          <w:rPr>
            <w:rFonts w:ascii="IRNazanin" w:hAnsi="IRNazanin" w:eastAsia="IRNazanin" w:cs="IRNazanin"/>
            <w:color w:val="111111"/>
            <w:sz w:val="22"/>
            <w:szCs w:val="22"/>
            <w:b w:val="0"/>
            <w:bCs w:val="0"/>
            <w:i w:val="0"/>
            <w:iCs w:val="0"/>
          </w:rPr>
          <w:t>4501- دیوان ضیائی شیرازی‏</w:t>
        </w:r>
        <w:r>
          <w:tab/>
        </w:r>
        <w:r>
          <w:fldChar w:fldCharType="begin"/>
        </w:r>
        <w:r>
          <w:instrText xml:space="preserve">PAGEREF 4652 \h</w:instrText>
        </w:r>
        <w:r>
          <w:fldChar w:fldCharType="end"/>
        </w:r>
      </w:hyperlink>
    </w:p>
    <w:p>
      <w:pPr>
        <w:tabs>
          <w:tab w:val="right" w:leader="dot" w:pos="9062"/>
        </w:tabs>
        <w:ind w:left="440"/>
      </w:pPr>
      <w:hyperlink w:anchor="_Toc4653" w:history="1">
        <w:r>
          <w:rPr>
            <w:rFonts w:ascii="IRNazanin" w:hAnsi="IRNazanin" w:eastAsia="IRNazanin" w:cs="IRNazanin"/>
            <w:color w:val="111111"/>
            <w:sz w:val="22"/>
            <w:szCs w:val="22"/>
            <w:b w:val="0"/>
            <w:bCs w:val="0"/>
            <w:i w:val="0"/>
            <w:iCs w:val="0"/>
          </w:rPr>
          <w:t>4502- دیوان ضیائی شیرازی‏</w:t>
        </w:r>
        <w:r>
          <w:tab/>
        </w:r>
        <w:r>
          <w:fldChar w:fldCharType="begin"/>
        </w:r>
        <w:r>
          <w:instrText xml:space="preserve">PAGEREF 4653 \h</w:instrText>
        </w:r>
        <w:r>
          <w:fldChar w:fldCharType="end"/>
        </w:r>
      </w:hyperlink>
    </w:p>
    <w:p>
      <w:pPr>
        <w:tabs>
          <w:tab w:val="right" w:leader="dot" w:pos="9062"/>
        </w:tabs>
        <w:ind w:left="440"/>
      </w:pPr>
      <w:hyperlink w:anchor="_Toc4654" w:history="1">
        <w:r>
          <w:rPr>
            <w:rFonts w:ascii="IRNazanin" w:hAnsi="IRNazanin" w:eastAsia="IRNazanin" w:cs="IRNazanin"/>
            <w:color w:val="111111"/>
            <w:sz w:val="22"/>
            <w:szCs w:val="22"/>
            <w:b w:val="0"/>
            <w:bCs w:val="0"/>
            <w:i w:val="0"/>
            <w:iCs w:val="0"/>
          </w:rPr>
          <w:t>4503- دیوان ضیائی کاشانی أو شعره‏</w:t>
        </w:r>
        <w:r>
          <w:tab/>
        </w:r>
        <w:r>
          <w:fldChar w:fldCharType="begin"/>
        </w:r>
        <w:r>
          <w:instrText xml:space="preserve">PAGEREF 4654 \h</w:instrText>
        </w:r>
        <w:r>
          <w:fldChar w:fldCharType="end"/>
        </w:r>
      </w:hyperlink>
    </w:p>
    <w:p>
      <w:pPr>
        <w:tabs>
          <w:tab w:val="right" w:leader="dot" w:pos="9062"/>
        </w:tabs>
        <w:ind w:left="440"/>
      </w:pPr>
      <w:hyperlink w:anchor="_Toc4655" w:history="1">
        <w:r>
          <w:rPr>
            <w:rFonts w:ascii="IRNazanin" w:hAnsi="IRNazanin" w:eastAsia="IRNazanin" w:cs="IRNazanin"/>
            <w:color w:val="111111"/>
            <w:sz w:val="22"/>
            <w:szCs w:val="22"/>
            <w:b w:val="0"/>
            <w:bCs w:val="0"/>
            <w:i w:val="0"/>
            <w:iCs w:val="0"/>
          </w:rPr>
          <w:t>4504- دیوان ضیائی کمانگر أو شعره‏</w:t>
        </w:r>
        <w:r>
          <w:tab/>
        </w:r>
        <w:r>
          <w:fldChar w:fldCharType="begin"/>
        </w:r>
        <w:r>
          <w:instrText xml:space="preserve">PAGEREF 4655 \h</w:instrText>
        </w:r>
        <w:r>
          <w:fldChar w:fldCharType="end"/>
        </w:r>
      </w:hyperlink>
    </w:p>
    <w:p>
      <w:pPr>
        <w:tabs>
          <w:tab w:val="right" w:leader="dot" w:pos="9062"/>
        </w:tabs>
        <w:ind w:left="440"/>
      </w:pPr>
      <w:hyperlink w:anchor="_Toc4656" w:history="1">
        <w:r>
          <w:rPr>
            <w:rFonts w:ascii="IRNazanin" w:hAnsi="IRNazanin" w:eastAsia="IRNazanin" w:cs="IRNazanin"/>
            <w:color w:val="111111"/>
            <w:sz w:val="22"/>
            <w:szCs w:val="22"/>
            <w:b w:val="0"/>
            <w:bCs w:val="0"/>
            <w:i w:val="0"/>
            <w:iCs w:val="0"/>
          </w:rPr>
          <w:t>4505- دیوان ضیائی مرندی‏</w:t>
        </w:r>
        <w:r>
          <w:tab/>
        </w:r>
        <w:r>
          <w:fldChar w:fldCharType="begin"/>
        </w:r>
        <w:r>
          <w:instrText xml:space="preserve">PAGEREF 4656 \h</w:instrText>
        </w:r>
        <w:r>
          <w:fldChar w:fldCharType="end"/>
        </w:r>
      </w:hyperlink>
    </w:p>
    <w:p>
      <w:pPr>
        <w:tabs>
          <w:tab w:val="right" w:leader="dot" w:pos="9062"/>
        </w:tabs>
        <w:ind w:left="440"/>
      </w:pPr>
      <w:hyperlink w:anchor="_Toc4657" w:history="1">
        <w:r>
          <w:rPr>
            <w:rFonts w:ascii="IRNazanin" w:hAnsi="IRNazanin" w:eastAsia="IRNazanin" w:cs="IRNazanin"/>
            <w:color w:val="111111"/>
            <w:sz w:val="22"/>
            <w:szCs w:val="22"/>
            <w:b w:val="0"/>
            <w:bCs w:val="0"/>
            <w:i w:val="0"/>
            <w:iCs w:val="0"/>
          </w:rPr>
          <w:t>4506- دیوان ضیائی ملتانی أو شعره‏</w:t>
        </w:r>
        <w:r>
          <w:tab/>
        </w:r>
        <w:r>
          <w:fldChar w:fldCharType="begin"/>
        </w:r>
        <w:r>
          <w:instrText xml:space="preserve">PAGEREF 4657 \h</w:instrText>
        </w:r>
        <w:r>
          <w:fldChar w:fldCharType="end"/>
        </w:r>
      </w:hyperlink>
    </w:p>
    <w:p>
      <w:pPr>
        <w:tabs>
          <w:tab w:val="right" w:leader="dot" w:pos="9062"/>
        </w:tabs>
        <w:ind w:left="440"/>
      </w:pPr>
      <w:hyperlink w:anchor="_Toc4658" w:history="1">
        <w:r>
          <w:rPr>
            <w:rFonts w:ascii="IRNazanin" w:hAnsi="IRNazanin" w:eastAsia="IRNazanin" w:cs="IRNazanin"/>
            <w:color w:val="111111"/>
            <w:sz w:val="22"/>
            <w:szCs w:val="22"/>
            <w:b w:val="0"/>
            <w:bCs w:val="0"/>
            <w:i w:val="0"/>
            <w:iCs w:val="0"/>
          </w:rPr>
          <w:t>4507- دیوان ضیائی موشحی جونپوری‏</w:t>
        </w:r>
        <w:r>
          <w:tab/>
        </w:r>
        <w:r>
          <w:fldChar w:fldCharType="begin"/>
        </w:r>
        <w:r>
          <w:instrText xml:space="preserve">PAGEREF 4658 \h</w:instrText>
        </w:r>
        <w:r>
          <w:fldChar w:fldCharType="end"/>
        </w:r>
      </w:hyperlink>
    </w:p>
    <w:p>
      <w:pPr>
        <w:tabs>
          <w:tab w:val="right" w:leader="dot" w:pos="9062"/>
        </w:tabs>
        <w:ind w:left="440"/>
      </w:pPr>
      <w:hyperlink w:anchor="_Toc4659" w:history="1">
        <w:r>
          <w:rPr>
            <w:rFonts w:ascii="IRNazanin" w:hAnsi="IRNazanin" w:eastAsia="IRNazanin" w:cs="IRNazanin"/>
            <w:color w:val="111111"/>
            <w:sz w:val="22"/>
            <w:szCs w:val="22"/>
            <w:b w:val="0"/>
            <w:bCs w:val="0"/>
            <w:i w:val="0"/>
            <w:iCs w:val="0"/>
          </w:rPr>
          <w:t>4508- دیوان ضیائی یزدی أو شعره‏</w:t>
        </w:r>
        <w:r>
          <w:tab/>
        </w:r>
        <w:r>
          <w:fldChar w:fldCharType="begin"/>
        </w:r>
        <w:r>
          <w:instrText xml:space="preserve">PAGEREF 4659 \h</w:instrText>
        </w:r>
        <w:r>
          <w:fldChar w:fldCharType="end"/>
        </w:r>
      </w:hyperlink>
    </w:p>
    <w:p>
      <w:pPr>
        <w:tabs>
          <w:tab w:val="right" w:leader="dot" w:pos="9062"/>
        </w:tabs>
        <w:ind w:left="440"/>
      </w:pPr>
      <w:hyperlink w:anchor="_Toc4660" w:history="1">
        <w:r>
          <w:rPr>
            <w:rFonts w:ascii="IRNazanin" w:hAnsi="IRNazanin" w:eastAsia="IRNazanin" w:cs="IRNazanin"/>
            <w:color w:val="111111"/>
            <w:sz w:val="22"/>
            <w:szCs w:val="22"/>
            <w:b w:val="0"/>
            <w:bCs w:val="0"/>
            <w:i w:val="0"/>
            <w:iCs w:val="0"/>
          </w:rPr>
          <w:t>4509- دیوان ضیغم مازندرانی أو شعره‏</w:t>
        </w:r>
        <w:r>
          <w:tab/>
        </w:r>
        <w:r>
          <w:fldChar w:fldCharType="begin"/>
        </w:r>
        <w:r>
          <w:instrText xml:space="preserve">PAGEREF 4660 \h</w:instrText>
        </w:r>
        <w:r>
          <w:fldChar w:fldCharType="end"/>
        </w:r>
      </w:hyperlink>
    </w:p>
    <w:p>
      <w:pPr>
        <w:tabs>
          <w:tab w:val="right" w:leader="dot" w:pos="9062"/>
        </w:tabs>
        <w:ind w:left="440"/>
      </w:pPr>
      <w:hyperlink w:anchor="_Toc4661" w:history="1">
        <w:r>
          <w:rPr>
            <w:rFonts w:ascii="IRNazanin" w:hAnsi="IRNazanin" w:eastAsia="IRNazanin" w:cs="IRNazanin"/>
            <w:color w:val="111111"/>
            <w:sz w:val="22"/>
            <w:szCs w:val="22"/>
            <w:b w:val="0"/>
            <w:bCs w:val="0"/>
            <w:i w:val="0"/>
            <w:iCs w:val="0"/>
          </w:rPr>
          <w:t>ط</w:t>
        </w:r>
        <w:r>
          <w:tab/>
        </w:r>
        <w:r>
          <w:fldChar w:fldCharType="begin"/>
        </w:r>
        <w:r>
          <w:instrText xml:space="preserve">PAGEREF 4661 \h</w:instrText>
        </w:r>
        <w:r>
          <w:fldChar w:fldCharType="end"/>
        </w:r>
      </w:hyperlink>
    </w:p>
    <w:p>
      <w:pPr>
        <w:tabs>
          <w:tab w:val="right" w:leader="dot" w:pos="9062"/>
        </w:tabs>
        <w:ind w:left="440"/>
      </w:pPr>
      <w:hyperlink w:anchor="_Toc4662" w:history="1">
        <w:r>
          <w:rPr>
            <w:rFonts w:ascii="IRNazanin" w:hAnsi="IRNazanin" w:eastAsia="IRNazanin" w:cs="IRNazanin"/>
            <w:color w:val="111111"/>
            <w:sz w:val="22"/>
            <w:szCs w:val="22"/>
            <w:b w:val="0"/>
            <w:bCs w:val="0"/>
            <w:i w:val="0"/>
            <w:iCs w:val="0"/>
          </w:rPr>
          <w:t>4510- دیوان طائر جرفادقانی گلپایگان‏</w:t>
        </w:r>
        <w:r>
          <w:tab/>
        </w:r>
        <w:r>
          <w:fldChar w:fldCharType="begin"/>
        </w:r>
        <w:r>
          <w:instrText xml:space="preserve">PAGEREF 4662 \h</w:instrText>
        </w:r>
        <w:r>
          <w:fldChar w:fldCharType="end"/>
        </w:r>
      </w:hyperlink>
    </w:p>
    <w:p>
      <w:pPr>
        <w:tabs>
          <w:tab w:val="right" w:leader="dot" w:pos="9062"/>
        </w:tabs>
        <w:ind w:left="440"/>
      </w:pPr>
      <w:hyperlink w:anchor="_Toc4663" w:history="1">
        <w:r>
          <w:rPr>
            <w:rFonts w:ascii="IRNazanin" w:hAnsi="IRNazanin" w:eastAsia="IRNazanin" w:cs="IRNazanin"/>
            <w:color w:val="111111"/>
            <w:sz w:val="22"/>
            <w:szCs w:val="22"/>
            <w:b w:val="0"/>
            <w:bCs w:val="0"/>
            <w:i w:val="0"/>
            <w:iCs w:val="0"/>
          </w:rPr>
          <w:t>4511- دیوان طائر شیرازی‏</w:t>
        </w:r>
        <w:r>
          <w:tab/>
        </w:r>
        <w:r>
          <w:fldChar w:fldCharType="begin"/>
        </w:r>
        <w:r>
          <w:instrText xml:space="preserve">PAGEREF 4663 \h</w:instrText>
        </w:r>
        <w:r>
          <w:fldChar w:fldCharType="end"/>
        </w:r>
      </w:hyperlink>
    </w:p>
    <w:p>
      <w:pPr>
        <w:tabs>
          <w:tab w:val="right" w:leader="dot" w:pos="9062"/>
        </w:tabs>
        <w:ind w:left="440"/>
      </w:pPr>
      <w:hyperlink w:anchor="_Toc4664" w:history="1">
        <w:r>
          <w:rPr>
            <w:rFonts w:ascii="IRNazanin" w:hAnsi="IRNazanin" w:eastAsia="IRNazanin" w:cs="IRNazanin"/>
            <w:color w:val="111111"/>
            <w:sz w:val="22"/>
            <w:szCs w:val="22"/>
            <w:b w:val="0"/>
            <w:bCs w:val="0"/>
            <w:i w:val="0"/>
            <w:iCs w:val="0"/>
          </w:rPr>
          <w:t>4512- دیوان طائر شیرازی‏</w:t>
        </w:r>
        <w:r>
          <w:tab/>
        </w:r>
        <w:r>
          <w:fldChar w:fldCharType="begin"/>
        </w:r>
        <w:r>
          <w:instrText xml:space="preserve">PAGEREF 4664 \h</w:instrText>
        </w:r>
        <w:r>
          <w:fldChar w:fldCharType="end"/>
        </w:r>
      </w:hyperlink>
    </w:p>
    <w:p>
      <w:pPr>
        <w:tabs>
          <w:tab w:val="right" w:leader="dot" w:pos="9062"/>
        </w:tabs>
        <w:ind w:left="440"/>
      </w:pPr>
      <w:hyperlink w:anchor="_Toc4665" w:history="1">
        <w:r>
          <w:rPr>
            <w:rFonts w:ascii="IRNazanin" w:hAnsi="IRNazanin" w:eastAsia="IRNazanin" w:cs="IRNazanin"/>
            <w:color w:val="111111"/>
            <w:sz w:val="22"/>
            <w:szCs w:val="22"/>
            <w:b w:val="0"/>
            <w:bCs w:val="0"/>
            <w:i w:val="0"/>
            <w:iCs w:val="0"/>
          </w:rPr>
          <w:t>4513- دیوان طائری أسترآبادی أو شعره‏</w:t>
        </w:r>
        <w:r>
          <w:tab/>
        </w:r>
        <w:r>
          <w:fldChar w:fldCharType="begin"/>
        </w:r>
        <w:r>
          <w:instrText xml:space="preserve">PAGEREF 4665 \h</w:instrText>
        </w:r>
        <w:r>
          <w:fldChar w:fldCharType="end"/>
        </w:r>
      </w:hyperlink>
    </w:p>
    <w:p>
      <w:pPr>
        <w:tabs>
          <w:tab w:val="right" w:leader="dot" w:pos="9062"/>
        </w:tabs>
        <w:ind w:left="440"/>
      </w:pPr>
      <w:hyperlink w:anchor="_Toc4666" w:history="1">
        <w:r>
          <w:rPr>
            <w:rFonts w:ascii="IRNazanin" w:hAnsi="IRNazanin" w:eastAsia="IRNazanin" w:cs="IRNazanin"/>
            <w:color w:val="111111"/>
            <w:sz w:val="22"/>
            <w:szCs w:val="22"/>
            <w:b w:val="0"/>
            <w:bCs w:val="0"/>
            <w:i w:val="0"/>
            <w:iCs w:val="0"/>
          </w:rPr>
          <w:t>4514- دیوان طائری رازی أو شعره‏</w:t>
        </w:r>
        <w:r>
          <w:tab/>
        </w:r>
        <w:r>
          <w:fldChar w:fldCharType="begin"/>
        </w:r>
        <w:r>
          <w:instrText xml:space="preserve">PAGEREF 4666 \h</w:instrText>
        </w:r>
        <w:r>
          <w:fldChar w:fldCharType="end"/>
        </w:r>
      </w:hyperlink>
    </w:p>
    <w:p>
      <w:pPr>
        <w:tabs>
          <w:tab w:val="right" w:leader="dot" w:pos="9062"/>
        </w:tabs>
        <w:ind w:left="440"/>
      </w:pPr>
      <w:hyperlink w:anchor="_Toc4667" w:history="1">
        <w:r>
          <w:rPr>
            <w:rFonts w:ascii="IRNazanin" w:hAnsi="IRNazanin" w:eastAsia="IRNazanin" w:cs="IRNazanin"/>
            <w:color w:val="111111"/>
            <w:sz w:val="22"/>
            <w:szCs w:val="22"/>
            <w:b w:val="0"/>
            <w:bCs w:val="0"/>
            <w:i w:val="0"/>
            <w:iCs w:val="0"/>
          </w:rPr>
          <w:t>4515- دیوان طائری مشهدی‏</w:t>
        </w:r>
        <w:r>
          <w:tab/>
        </w:r>
        <w:r>
          <w:fldChar w:fldCharType="begin"/>
        </w:r>
        <w:r>
          <w:instrText xml:space="preserve">PAGEREF 4667 \h</w:instrText>
        </w:r>
        <w:r>
          <w:fldChar w:fldCharType="end"/>
        </w:r>
      </w:hyperlink>
    </w:p>
    <w:p>
      <w:pPr>
        <w:tabs>
          <w:tab w:val="right" w:leader="dot" w:pos="9062"/>
        </w:tabs>
        <w:ind w:left="440"/>
      </w:pPr>
      <w:hyperlink w:anchor="_Toc4668" w:history="1">
        <w:r>
          <w:rPr>
            <w:rFonts w:ascii="IRNazanin" w:hAnsi="IRNazanin" w:eastAsia="IRNazanin" w:cs="IRNazanin"/>
            <w:color w:val="111111"/>
            <w:sz w:val="22"/>
            <w:szCs w:val="22"/>
            <w:b w:val="0"/>
            <w:bCs w:val="0"/>
            <w:i w:val="0"/>
            <w:iCs w:val="0"/>
          </w:rPr>
          <w:t>4516- دیوان طائری هروی أو شعره‏</w:t>
        </w:r>
        <w:r>
          <w:tab/>
        </w:r>
        <w:r>
          <w:fldChar w:fldCharType="begin"/>
        </w:r>
        <w:r>
          <w:instrText xml:space="preserve">PAGEREF 4668 \h</w:instrText>
        </w:r>
        <w:r>
          <w:fldChar w:fldCharType="end"/>
        </w:r>
      </w:hyperlink>
    </w:p>
    <w:p>
      <w:pPr>
        <w:tabs>
          <w:tab w:val="right" w:leader="dot" w:pos="9062"/>
        </w:tabs>
        <w:ind w:left="440"/>
      </w:pPr>
      <w:hyperlink w:anchor="_Toc4669" w:history="1">
        <w:r>
          <w:rPr>
            <w:rFonts w:ascii="IRNazanin" w:hAnsi="IRNazanin" w:eastAsia="IRNazanin" w:cs="IRNazanin"/>
            <w:color w:val="111111"/>
            <w:sz w:val="22"/>
            <w:szCs w:val="22"/>
            <w:b w:val="0"/>
            <w:bCs w:val="0"/>
            <w:i w:val="0"/>
            <w:iCs w:val="0"/>
          </w:rPr>
          <w:t>دیوان الطائی‏</w:t>
        </w:r>
        <w:r>
          <w:tab/>
        </w:r>
        <w:r>
          <w:fldChar w:fldCharType="begin"/>
        </w:r>
        <w:r>
          <w:instrText xml:space="preserve">PAGEREF 4669 \h</w:instrText>
        </w:r>
        <w:r>
          <w:fldChar w:fldCharType="end"/>
        </w:r>
      </w:hyperlink>
    </w:p>
    <w:p>
      <w:pPr>
        <w:tabs>
          <w:tab w:val="right" w:leader="dot" w:pos="9062"/>
        </w:tabs>
        <w:ind w:left="440"/>
      </w:pPr>
      <w:hyperlink w:anchor="_Toc4670" w:history="1">
        <w:r>
          <w:rPr>
            <w:rFonts w:ascii="IRNazanin" w:hAnsi="IRNazanin" w:eastAsia="IRNazanin" w:cs="IRNazanin"/>
            <w:color w:val="111111"/>
            <w:sz w:val="22"/>
            <w:szCs w:val="22"/>
            <w:b w:val="0"/>
            <w:bCs w:val="0"/>
            <w:i w:val="0"/>
            <w:iCs w:val="0"/>
          </w:rPr>
          <w:t>4517- دیوان طارمی أو شعره‏</w:t>
        </w:r>
        <w:r>
          <w:tab/>
        </w:r>
        <w:r>
          <w:fldChar w:fldCharType="begin"/>
        </w:r>
        <w:r>
          <w:instrText xml:space="preserve">PAGEREF 4670 \h</w:instrText>
        </w:r>
        <w:r>
          <w:fldChar w:fldCharType="end"/>
        </w:r>
      </w:hyperlink>
    </w:p>
    <w:p>
      <w:pPr>
        <w:tabs>
          <w:tab w:val="right" w:leader="dot" w:pos="9062"/>
        </w:tabs>
        <w:ind w:left="440"/>
      </w:pPr>
      <w:hyperlink w:anchor="_Toc4671" w:history="1">
        <w:r>
          <w:rPr>
            <w:rFonts w:ascii="IRNazanin" w:hAnsi="IRNazanin" w:eastAsia="IRNazanin" w:cs="IRNazanin"/>
            <w:color w:val="111111"/>
            <w:sz w:val="22"/>
            <w:szCs w:val="22"/>
            <w:b w:val="0"/>
            <w:bCs w:val="0"/>
            <w:i w:val="0"/>
            <w:iCs w:val="0"/>
          </w:rPr>
          <w:t>4518- دیوان طاعتی رشتی‏</w:t>
        </w:r>
        <w:r>
          <w:tab/>
        </w:r>
        <w:r>
          <w:fldChar w:fldCharType="begin"/>
        </w:r>
        <w:r>
          <w:instrText xml:space="preserve">PAGEREF 4671 \h</w:instrText>
        </w:r>
        <w:r>
          <w:fldChar w:fldCharType="end"/>
        </w:r>
      </w:hyperlink>
    </w:p>
    <w:p>
      <w:pPr>
        <w:tabs>
          <w:tab w:val="right" w:leader="dot" w:pos="9062"/>
        </w:tabs>
        <w:ind w:left="440"/>
      </w:pPr>
      <w:hyperlink w:anchor="_Toc4672" w:history="1">
        <w:r>
          <w:rPr>
            <w:rFonts w:ascii="IRNazanin" w:hAnsi="IRNazanin" w:eastAsia="IRNazanin" w:cs="IRNazanin"/>
            <w:color w:val="111111"/>
            <w:sz w:val="22"/>
            <w:szCs w:val="22"/>
            <w:b w:val="0"/>
            <w:bCs w:val="0"/>
            <w:i w:val="0"/>
            <w:iCs w:val="0"/>
          </w:rPr>
          <w:t>4519- دیوان طاقی بخاری أو شعره‏</w:t>
        </w:r>
        <w:r>
          <w:tab/>
        </w:r>
        <w:r>
          <w:fldChar w:fldCharType="begin"/>
        </w:r>
        <w:r>
          <w:instrText xml:space="preserve">PAGEREF 4672 \h</w:instrText>
        </w:r>
        <w:r>
          <w:fldChar w:fldCharType="end"/>
        </w:r>
      </w:hyperlink>
    </w:p>
    <w:p>
      <w:pPr>
        <w:tabs>
          <w:tab w:val="right" w:leader="dot" w:pos="9062"/>
        </w:tabs>
        <w:ind w:left="440"/>
      </w:pPr>
      <w:hyperlink w:anchor="_Toc4673" w:history="1">
        <w:r>
          <w:rPr>
            <w:rFonts w:ascii="IRNazanin" w:hAnsi="IRNazanin" w:eastAsia="IRNazanin" w:cs="IRNazanin"/>
            <w:color w:val="111111"/>
            <w:sz w:val="22"/>
            <w:szCs w:val="22"/>
            <w:b w:val="0"/>
            <w:bCs w:val="0"/>
            <w:i w:val="0"/>
            <w:iCs w:val="0"/>
          </w:rPr>
          <w:t>4520- دیوان طائف گلپایگانی‏</w:t>
        </w:r>
        <w:r>
          <w:tab/>
        </w:r>
        <w:r>
          <w:fldChar w:fldCharType="begin"/>
        </w:r>
        <w:r>
          <w:instrText xml:space="preserve">PAGEREF 4673 \h</w:instrText>
        </w:r>
        <w:r>
          <w:fldChar w:fldCharType="end"/>
        </w:r>
      </w:hyperlink>
    </w:p>
    <w:p>
      <w:pPr>
        <w:tabs>
          <w:tab w:val="right" w:leader="dot" w:pos="9062"/>
        </w:tabs>
        <w:ind w:left="440"/>
      </w:pPr>
      <w:hyperlink w:anchor="_Toc4674" w:history="1">
        <w:r>
          <w:rPr>
            <w:rFonts w:ascii="IRNazanin" w:hAnsi="IRNazanin" w:eastAsia="IRNazanin" w:cs="IRNazanin"/>
            <w:color w:val="111111"/>
            <w:sz w:val="22"/>
            <w:szCs w:val="22"/>
            <w:b w:val="0"/>
            <w:bCs w:val="0"/>
            <w:i w:val="0"/>
            <w:iCs w:val="0"/>
          </w:rPr>
          <w:t>4521- دیوان طالب آملی‏</w:t>
        </w:r>
        <w:r>
          <w:tab/>
        </w:r>
        <w:r>
          <w:fldChar w:fldCharType="begin"/>
        </w:r>
        <w:r>
          <w:instrText xml:space="preserve">PAGEREF 4674 \h</w:instrText>
        </w:r>
        <w:r>
          <w:fldChar w:fldCharType="end"/>
        </w:r>
      </w:hyperlink>
    </w:p>
    <w:p>
      <w:pPr>
        <w:tabs>
          <w:tab w:val="right" w:leader="dot" w:pos="9062"/>
        </w:tabs>
        <w:ind w:left="440"/>
      </w:pPr>
      <w:hyperlink w:anchor="_Toc4675" w:history="1">
        <w:r>
          <w:rPr>
            <w:rFonts w:ascii="IRNazanin" w:hAnsi="IRNazanin" w:eastAsia="IRNazanin" w:cs="IRNazanin"/>
            <w:color w:val="111111"/>
            <w:sz w:val="22"/>
            <w:szCs w:val="22"/>
            <w:b w:val="0"/>
            <w:bCs w:val="0"/>
            <w:i w:val="0"/>
            <w:iCs w:val="0"/>
          </w:rPr>
          <w:t>دیوان طالب أصفهانی‏</w:t>
        </w:r>
        <w:r>
          <w:tab/>
        </w:r>
        <w:r>
          <w:fldChar w:fldCharType="begin"/>
        </w:r>
        <w:r>
          <w:instrText xml:space="preserve">PAGEREF 4675 \h</w:instrText>
        </w:r>
        <w:r>
          <w:fldChar w:fldCharType="end"/>
        </w:r>
      </w:hyperlink>
    </w:p>
    <w:p>
      <w:pPr>
        <w:tabs>
          <w:tab w:val="right" w:leader="dot" w:pos="9062"/>
        </w:tabs>
        <w:ind w:left="440"/>
      </w:pPr>
      <w:hyperlink w:anchor="_Toc4676" w:history="1">
        <w:r>
          <w:rPr>
            <w:rFonts w:ascii="IRNazanin" w:hAnsi="IRNazanin" w:eastAsia="IRNazanin" w:cs="IRNazanin"/>
            <w:color w:val="111111"/>
            <w:sz w:val="22"/>
            <w:szCs w:val="22"/>
            <w:b w:val="0"/>
            <w:bCs w:val="0"/>
            <w:i w:val="0"/>
            <w:iCs w:val="0"/>
          </w:rPr>
          <w:t>4522- دیوان میرزا طالب أصفهانی التبریزی‏</w:t>
        </w:r>
        <w:r>
          <w:tab/>
        </w:r>
        <w:r>
          <w:fldChar w:fldCharType="begin"/>
        </w:r>
        <w:r>
          <w:instrText xml:space="preserve">PAGEREF 4676 \h</w:instrText>
        </w:r>
        <w:r>
          <w:fldChar w:fldCharType="end"/>
        </w:r>
      </w:hyperlink>
    </w:p>
    <w:p>
      <w:pPr>
        <w:tabs>
          <w:tab w:val="right" w:leader="dot" w:pos="9062"/>
        </w:tabs>
        <w:ind w:left="440"/>
      </w:pPr>
      <w:hyperlink w:anchor="_Toc4677" w:history="1">
        <w:r>
          <w:rPr>
            <w:rFonts w:ascii="IRNazanin" w:hAnsi="IRNazanin" w:eastAsia="IRNazanin" w:cs="IRNazanin"/>
            <w:color w:val="111111"/>
            <w:sz w:val="22"/>
            <w:szCs w:val="22"/>
            <w:b w:val="0"/>
            <w:bCs w:val="0"/>
            <w:i w:val="0"/>
            <w:iCs w:val="0"/>
          </w:rPr>
          <w:t>4523- دیوان طالب أصفهانی أو شعره‏</w:t>
        </w:r>
        <w:r>
          <w:tab/>
        </w:r>
        <w:r>
          <w:fldChar w:fldCharType="begin"/>
        </w:r>
        <w:r>
          <w:instrText xml:space="preserve">PAGEREF 4677 \h</w:instrText>
        </w:r>
        <w:r>
          <w:fldChar w:fldCharType="end"/>
        </w:r>
      </w:hyperlink>
    </w:p>
    <w:p>
      <w:pPr>
        <w:tabs>
          <w:tab w:val="right" w:leader="dot" w:pos="9062"/>
        </w:tabs>
        <w:ind w:left="440"/>
      </w:pPr>
      <w:hyperlink w:anchor="_Toc4678" w:history="1">
        <w:r>
          <w:rPr>
            <w:rFonts w:ascii="IRNazanin" w:hAnsi="IRNazanin" w:eastAsia="IRNazanin" w:cs="IRNazanin"/>
            <w:color w:val="111111"/>
            <w:sz w:val="22"/>
            <w:szCs w:val="22"/>
            <w:b w:val="0"/>
            <w:bCs w:val="0"/>
            <w:i w:val="0"/>
            <w:iCs w:val="0"/>
          </w:rPr>
          <w:t>4524- دیوان میرزا أبو طالب التبریزی أو شعره‏</w:t>
        </w:r>
        <w:r>
          <w:tab/>
        </w:r>
        <w:r>
          <w:fldChar w:fldCharType="begin"/>
        </w:r>
        <w:r>
          <w:instrText xml:space="preserve">PAGEREF 4678 \h</w:instrText>
        </w:r>
        <w:r>
          <w:fldChar w:fldCharType="end"/>
        </w:r>
      </w:hyperlink>
    </w:p>
    <w:p>
      <w:pPr>
        <w:tabs>
          <w:tab w:val="right" w:leader="dot" w:pos="9062"/>
        </w:tabs>
        <w:ind w:left="440"/>
      </w:pPr>
      <w:hyperlink w:anchor="_Toc4679" w:history="1">
        <w:r>
          <w:rPr>
            <w:rFonts w:ascii="IRNazanin" w:hAnsi="IRNazanin" w:eastAsia="IRNazanin" w:cs="IRNazanin"/>
            <w:color w:val="111111"/>
            <w:sz w:val="22"/>
            <w:szCs w:val="22"/>
            <w:b w:val="0"/>
            <w:bCs w:val="0"/>
            <w:i w:val="0"/>
            <w:iCs w:val="0"/>
          </w:rPr>
          <w:t>4525- دیوان طالب جاجرمی‏</w:t>
        </w:r>
        <w:r>
          <w:tab/>
        </w:r>
        <w:r>
          <w:fldChar w:fldCharType="begin"/>
        </w:r>
        <w:r>
          <w:instrText xml:space="preserve">PAGEREF 4679 \h</w:instrText>
        </w:r>
        <w:r>
          <w:fldChar w:fldCharType="end"/>
        </w:r>
      </w:hyperlink>
    </w:p>
    <w:p>
      <w:pPr>
        <w:tabs>
          <w:tab w:val="right" w:leader="dot" w:pos="9062"/>
        </w:tabs>
        <w:ind w:left="440"/>
      </w:pPr>
      <w:hyperlink w:anchor="_Toc4680" w:history="1">
        <w:r>
          <w:rPr>
            <w:rFonts w:ascii="IRNazanin" w:hAnsi="IRNazanin" w:eastAsia="IRNazanin" w:cs="IRNazanin"/>
            <w:color w:val="111111"/>
            <w:sz w:val="22"/>
            <w:szCs w:val="22"/>
            <w:b w:val="0"/>
            <w:bCs w:val="0"/>
            <w:i w:val="0"/>
            <w:iCs w:val="0"/>
          </w:rPr>
          <w:t>4526- دیوان طالب تبریزی أو شعره‏</w:t>
        </w:r>
        <w:r>
          <w:tab/>
        </w:r>
        <w:r>
          <w:fldChar w:fldCharType="begin"/>
        </w:r>
        <w:r>
          <w:instrText xml:space="preserve">PAGEREF 4680 \h</w:instrText>
        </w:r>
        <w:r>
          <w:fldChar w:fldCharType="end"/>
        </w:r>
      </w:hyperlink>
    </w:p>
    <w:p>
      <w:pPr>
        <w:tabs>
          <w:tab w:val="right" w:leader="dot" w:pos="9062"/>
        </w:tabs>
        <w:ind w:left="440"/>
      </w:pPr>
      <w:hyperlink w:anchor="_Toc4681" w:history="1">
        <w:r>
          <w:rPr>
            <w:rFonts w:ascii="IRNazanin" w:hAnsi="IRNazanin" w:eastAsia="IRNazanin" w:cs="IRNazanin"/>
            <w:color w:val="111111"/>
            <w:sz w:val="22"/>
            <w:szCs w:val="22"/>
            <w:b w:val="0"/>
            <w:bCs w:val="0"/>
            <w:i w:val="0"/>
            <w:iCs w:val="0"/>
          </w:rPr>
          <w:t>4527- دیوان الشیخ طالب الحویزی‏</w:t>
        </w:r>
        <w:r>
          <w:tab/>
        </w:r>
        <w:r>
          <w:fldChar w:fldCharType="begin"/>
        </w:r>
        <w:r>
          <w:instrText xml:space="preserve">PAGEREF 4681 \h</w:instrText>
        </w:r>
        <w:r>
          <w:fldChar w:fldCharType="end"/>
        </w:r>
      </w:hyperlink>
    </w:p>
    <w:p>
      <w:pPr>
        <w:tabs>
          <w:tab w:val="right" w:leader="dot" w:pos="9062"/>
        </w:tabs>
        <w:ind w:left="440"/>
      </w:pPr>
      <w:hyperlink w:anchor="_Toc4682" w:history="1">
        <w:r>
          <w:rPr>
            <w:rFonts w:ascii="IRNazanin" w:hAnsi="IRNazanin" w:eastAsia="IRNazanin" w:cs="IRNazanin"/>
            <w:color w:val="111111"/>
            <w:sz w:val="22"/>
            <w:szCs w:val="22"/>
            <w:b w:val="0"/>
            <w:bCs w:val="0"/>
            <w:i w:val="0"/>
            <w:iCs w:val="0"/>
          </w:rPr>
          <w:t>4528- دیوان طالب گرجی شیرازی أو شعره‏</w:t>
        </w:r>
        <w:r>
          <w:tab/>
        </w:r>
        <w:r>
          <w:fldChar w:fldCharType="begin"/>
        </w:r>
        <w:r>
          <w:instrText xml:space="preserve">PAGEREF 4682 \h</w:instrText>
        </w:r>
        <w:r>
          <w:fldChar w:fldCharType="end"/>
        </w:r>
      </w:hyperlink>
    </w:p>
    <w:p>
      <w:pPr>
        <w:tabs>
          <w:tab w:val="right" w:leader="dot" w:pos="9062"/>
        </w:tabs>
        <w:ind w:left="440"/>
      </w:pPr>
      <w:hyperlink w:anchor="_Toc4683" w:history="1">
        <w:r>
          <w:rPr>
            <w:rFonts w:ascii="IRNazanin" w:hAnsi="IRNazanin" w:eastAsia="IRNazanin" w:cs="IRNazanin"/>
            <w:color w:val="111111"/>
            <w:sz w:val="22"/>
            <w:szCs w:val="22"/>
            <w:b w:val="0"/>
            <w:bCs w:val="0"/>
            <w:i w:val="0"/>
            <w:iCs w:val="0"/>
          </w:rPr>
          <w:t>4529- دیوان طالب گیلانی‏</w:t>
        </w:r>
        <w:r>
          <w:tab/>
        </w:r>
        <w:r>
          <w:fldChar w:fldCharType="begin"/>
        </w:r>
        <w:r>
          <w:instrText xml:space="preserve">PAGEREF 4683 \h</w:instrText>
        </w:r>
        <w:r>
          <w:fldChar w:fldCharType="end"/>
        </w:r>
      </w:hyperlink>
    </w:p>
    <w:p>
      <w:pPr>
        <w:tabs>
          <w:tab w:val="right" w:leader="dot" w:pos="9062"/>
        </w:tabs>
        <w:ind w:left="440"/>
      </w:pPr>
      <w:hyperlink w:anchor="_Toc4684" w:history="1">
        <w:r>
          <w:rPr>
            <w:rFonts w:ascii="IRNazanin" w:hAnsi="IRNazanin" w:eastAsia="IRNazanin" w:cs="IRNazanin"/>
            <w:color w:val="111111"/>
            <w:sz w:val="22"/>
            <w:szCs w:val="22"/>
            <w:b w:val="0"/>
            <w:bCs w:val="0"/>
            <w:i w:val="0"/>
            <w:iCs w:val="0"/>
          </w:rPr>
          <w:t>4530- دیوان طالبی سمرقندی أو شعره‏</w:t>
        </w:r>
        <w:r>
          <w:tab/>
        </w:r>
        <w:r>
          <w:fldChar w:fldCharType="begin"/>
        </w:r>
        <w:r>
          <w:instrText xml:space="preserve">PAGEREF 4684 \h</w:instrText>
        </w:r>
        <w:r>
          <w:fldChar w:fldCharType="end"/>
        </w:r>
      </w:hyperlink>
    </w:p>
    <w:p>
      <w:pPr>
        <w:tabs>
          <w:tab w:val="right" w:leader="dot" w:pos="9062"/>
        </w:tabs>
        <w:ind w:left="440"/>
      </w:pPr>
      <w:hyperlink w:anchor="_Toc4685" w:history="1">
        <w:r>
          <w:rPr>
            <w:rFonts w:ascii="IRNazanin" w:hAnsi="IRNazanin" w:eastAsia="IRNazanin" w:cs="IRNazanin"/>
            <w:color w:val="111111"/>
            <w:sz w:val="22"/>
            <w:szCs w:val="22"/>
            <w:b w:val="0"/>
            <w:bCs w:val="0"/>
            <w:i w:val="0"/>
            <w:iCs w:val="0"/>
          </w:rPr>
          <w:t>4531- دیوان طالع دهلوی أو شعره‏</w:t>
        </w:r>
        <w:r>
          <w:tab/>
        </w:r>
        <w:r>
          <w:fldChar w:fldCharType="begin"/>
        </w:r>
        <w:r>
          <w:instrText xml:space="preserve">PAGEREF 4685 \h</w:instrText>
        </w:r>
        <w:r>
          <w:fldChar w:fldCharType="end"/>
        </w:r>
      </w:hyperlink>
    </w:p>
    <w:p>
      <w:pPr>
        <w:tabs>
          <w:tab w:val="right" w:leader="dot" w:pos="9062"/>
        </w:tabs>
        <w:ind w:left="440"/>
      </w:pPr>
      <w:hyperlink w:anchor="_Toc4686" w:history="1">
        <w:r>
          <w:rPr>
            <w:rFonts w:ascii="IRNazanin" w:hAnsi="IRNazanin" w:eastAsia="IRNazanin" w:cs="IRNazanin"/>
            <w:color w:val="111111"/>
            <w:sz w:val="22"/>
            <w:szCs w:val="22"/>
            <w:b w:val="0"/>
            <w:bCs w:val="0"/>
            <w:i w:val="0"/>
            <w:iCs w:val="0"/>
          </w:rPr>
          <w:t>4532- دیوان طالع سبزواری أو شعره‏</w:t>
        </w:r>
        <w:r>
          <w:tab/>
        </w:r>
        <w:r>
          <w:fldChar w:fldCharType="begin"/>
        </w:r>
        <w:r>
          <w:instrText xml:space="preserve">PAGEREF 4686 \h</w:instrText>
        </w:r>
        <w:r>
          <w:fldChar w:fldCharType="end"/>
        </w:r>
      </w:hyperlink>
    </w:p>
    <w:p>
      <w:pPr>
        <w:tabs>
          <w:tab w:val="right" w:leader="dot" w:pos="9062"/>
        </w:tabs>
        <w:ind w:left="440"/>
      </w:pPr>
      <w:hyperlink w:anchor="_Toc4687" w:history="1">
        <w:r>
          <w:rPr>
            <w:rFonts w:ascii="IRNazanin" w:hAnsi="IRNazanin" w:eastAsia="IRNazanin" w:cs="IRNazanin"/>
            <w:color w:val="111111"/>
            <w:sz w:val="22"/>
            <w:szCs w:val="22"/>
            <w:b w:val="0"/>
            <w:bCs w:val="0"/>
            <w:i w:val="0"/>
            <w:iCs w:val="0"/>
          </w:rPr>
          <w:t>4533- دیوان طالع شیرازی‏</w:t>
        </w:r>
        <w:r>
          <w:tab/>
        </w:r>
        <w:r>
          <w:fldChar w:fldCharType="begin"/>
        </w:r>
        <w:r>
          <w:instrText xml:space="preserve">PAGEREF 4687 \h</w:instrText>
        </w:r>
        <w:r>
          <w:fldChar w:fldCharType="end"/>
        </w:r>
      </w:hyperlink>
    </w:p>
    <w:p>
      <w:pPr>
        <w:tabs>
          <w:tab w:val="right" w:leader="dot" w:pos="9062"/>
        </w:tabs>
        <w:ind w:left="440"/>
      </w:pPr>
      <w:hyperlink w:anchor="_Toc4688" w:history="1">
        <w:r>
          <w:rPr>
            <w:rFonts w:ascii="IRNazanin" w:hAnsi="IRNazanin" w:eastAsia="IRNazanin" w:cs="IRNazanin"/>
            <w:color w:val="111111"/>
            <w:sz w:val="22"/>
            <w:szCs w:val="22"/>
            <w:b w:val="0"/>
            <w:bCs w:val="0"/>
            <w:i w:val="0"/>
            <w:iCs w:val="0"/>
          </w:rPr>
          <w:t>4534- دیوان طالع گیلانی أو شعره‏</w:t>
        </w:r>
        <w:r>
          <w:tab/>
        </w:r>
        <w:r>
          <w:fldChar w:fldCharType="begin"/>
        </w:r>
        <w:r>
          <w:instrText xml:space="preserve">PAGEREF 4688 \h</w:instrText>
        </w:r>
        <w:r>
          <w:fldChar w:fldCharType="end"/>
        </w:r>
      </w:hyperlink>
    </w:p>
    <w:p>
      <w:pPr>
        <w:tabs>
          <w:tab w:val="right" w:leader="dot" w:pos="9062"/>
        </w:tabs>
        <w:ind w:left="440"/>
      </w:pPr>
      <w:hyperlink w:anchor="_Toc4689" w:history="1">
        <w:r>
          <w:rPr>
            <w:rFonts w:ascii="IRNazanin" w:hAnsi="IRNazanin" w:eastAsia="IRNazanin" w:cs="IRNazanin"/>
            <w:color w:val="111111"/>
            <w:sz w:val="22"/>
            <w:szCs w:val="22"/>
            <w:b w:val="0"/>
            <w:bCs w:val="0"/>
            <w:i w:val="0"/>
            <w:iCs w:val="0"/>
          </w:rPr>
          <w:t>4535- دیوان طالعی أو شعره‏</w:t>
        </w:r>
        <w:r>
          <w:tab/>
        </w:r>
        <w:r>
          <w:fldChar w:fldCharType="begin"/>
        </w:r>
        <w:r>
          <w:instrText xml:space="preserve">PAGEREF 4689 \h</w:instrText>
        </w:r>
        <w:r>
          <w:fldChar w:fldCharType="end"/>
        </w:r>
      </w:hyperlink>
    </w:p>
    <w:p>
      <w:pPr>
        <w:tabs>
          <w:tab w:val="right" w:leader="dot" w:pos="9062"/>
        </w:tabs>
        <w:ind w:left="440"/>
      </w:pPr>
      <w:hyperlink w:anchor="_Toc4690" w:history="1">
        <w:r>
          <w:rPr>
            <w:rFonts w:ascii="IRNazanin" w:hAnsi="IRNazanin" w:eastAsia="IRNazanin" w:cs="IRNazanin"/>
            <w:color w:val="111111"/>
            <w:sz w:val="22"/>
            <w:szCs w:val="22"/>
            <w:b w:val="0"/>
            <w:bCs w:val="0"/>
            <w:i w:val="0"/>
            <w:iCs w:val="0"/>
          </w:rPr>
          <w:t>4536- دیوان طالعی یزدی أو شعره‏</w:t>
        </w:r>
        <w:r>
          <w:tab/>
        </w:r>
        <w:r>
          <w:fldChar w:fldCharType="begin"/>
        </w:r>
        <w:r>
          <w:instrText xml:space="preserve">PAGEREF 4690 \h</w:instrText>
        </w:r>
        <w:r>
          <w:fldChar w:fldCharType="end"/>
        </w:r>
      </w:hyperlink>
    </w:p>
    <w:p>
      <w:pPr>
        <w:tabs>
          <w:tab w:val="right" w:leader="dot" w:pos="9062"/>
        </w:tabs>
        <w:ind w:left="440"/>
      </w:pPr>
      <w:hyperlink w:anchor="_Toc4691" w:history="1">
        <w:r>
          <w:rPr>
            <w:rFonts w:ascii="IRNazanin" w:hAnsi="IRNazanin" w:eastAsia="IRNazanin" w:cs="IRNazanin"/>
            <w:color w:val="111111"/>
            <w:sz w:val="22"/>
            <w:szCs w:val="22"/>
            <w:b w:val="0"/>
            <w:bCs w:val="0"/>
            <w:i w:val="0"/>
            <w:iCs w:val="0"/>
          </w:rPr>
          <w:t>دیوان الطالقانی‏</w:t>
        </w:r>
        <w:r>
          <w:tab/>
        </w:r>
        <w:r>
          <w:fldChar w:fldCharType="begin"/>
        </w:r>
        <w:r>
          <w:instrText xml:space="preserve">PAGEREF 4691 \h</w:instrText>
        </w:r>
        <w:r>
          <w:fldChar w:fldCharType="end"/>
        </w:r>
      </w:hyperlink>
    </w:p>
    <w:p>
      <w:pPr>
        <w:tabs>
          <w:tab w:val="right" w:leader="dot" w:pos="9062"/>
        </w:tabs>
        <w:ind w:left="440"/>
      </w:pPr>
      <w:hyperlink w:anchor="_Toc4692" w:history="1">
        <w:r>
          <w:rPr>
            <w:rFonts w:ascii="IRNazanin" w:hAnsi="IRNazanin" w:eastAsia="IRNazanin" w:cs="IRNazanin"/>
            <w:color w:val="111111"/>
            <w:sz w:val="22"/>
            <w:szCs w:val="22"/>
            <w:b w:val="0"/>
            <w:bCs w:val="0"/>
            <w:i w:val="0"/>
            <w:iCs w:val="0"/>
          </w:rPr>
          <w:t>4537- دیوان الطالقانی‏</w:t>
        </w:r>
        <w:r>
          <w:tab/>
        </w:r>
        <w:r>
          <w:fldChar w:fldCharType="begin"/>
        </w:r>
        <w:r>
          <w:instrText xml:space="preserve">PAGEREF 4692 \h</w:instrText>
        </w:r>
        <w:r>
          <w:fldChar w:fldCharType="end"/>
        </w:r>
      </w:hyperlink>
    </w:p>
    <w:p>
      <w:pPr>
        <w:tabs>
          <w:tab w:val="right" w:leader="dot" w:pos="9062"/>
        </w:tabs>
        <w:ind w:left="440"/>
      </w:pPr>
      <w:hyperlink w:anchor="_Toc4693" w:history="1">
        <w:r>
          <w:rPr>
            <w:rFonts w:ascii="IRNazanin" w:hAnsi="IRNazanin" w:eastAsia="IRNazanin" w:cs="IRNazanin"/>
            <w:color w:val="111111"/>
            <w:sz w:val="22"/>
            <w:szCs w:val="22"/>
            <w:b w:val="0"/>
            <w:bCs w:val="0"/>
            <w:i w:val="0"/>
            <w:iCs w:val="0"/>
          </w:rPr>
          <w:t>4538- دیوان طاوس أو شعرها</w:t>
        </w:r>
        <w:r>
          <w:tab/>
        </w:r>
        <w:r>
          <w:fldChar w:fldCharType="begin"/>
        </w:r>
        <w:r>
          <w:instrText xml:space="preserve">PAGEREF 4693 \h</w:instrText>
        </w:r>
        <w:r>
          <w:fldChar w:fldCharType="end"/>
        </w:r>
      </w:hyperlink>
    </w:p>
    <w:p>
      <w:pPr>
        <w:tabs>
          <w:tab w:val="right" w:leader="dot" w:pos="9062"/>
        </w:tabs>
        <w:ind w:left="440"/>
      </w:pPr>
      <w:hyperlink w:anchor="_Toc4694" w:history="1">
        <w:r>
          <w:rPr>
            <w:rFonts w:ascii="IRNazanin" w:hAnsi="IRNazanin" w:eastAsia="IRNazanin" w:cs="IRNazanin"/>
            <w:color w:val="111111"/>
            <w:sz w:val="22"/>
            <w:szCs w:val="22"/>
            <w:b w:val="0"/>
            <w:bCs w:val="0"/>
            <w:i w:val="0"/>
            <w:iCs w:val="0"/>
          </w:rPr>
          <w:t>4539- دیوان الشیخ محمد طاها الکرمی‏</w:t>
        </w:r>
        <w:r>
          <w:tab/>
        </w:r>
        <w:r>
          <w:fldChar w:fldCharType="begin"/>
        </w:r>
        <w:r>
          <w:instrText xml:space="preserve">PAGEREF 4694 \h</w:instrText>
        </w:r>
        <w:r>
          <w:fldChar w:fldCharType="end"/>
        </w:r>
      </w:hyperlink>
    </w:p>
    <w:p>
      <w:pPr>
        <w:tabs>
          <w:tab w:val="right" w:leader="dot" w:pos="9062"/>
        </w:tabs>
        <w:ind w:left="440"/>
      </w:pPr>
      <w:hyperlink w:anchor="_Toc4695" w:history="1">
        <w:r>
          <w:rPr>
            <w:rFonts w:ascii="IRNazanin" w:hAnsi="IRNazanin" w:eastAsia="IRNazanin" w:cs="IRNazanin"/>
            <w:color w:val="111111"/>
            <w:sz w:val="22"/>
            <w:szCs w:val="22"/>
            <w:b w:val="0"/>
            <w:bCs w:val="0"/>
            <w:i w:val="0"/>
            <w:iCs w:val="0"/>
          </w:rPr>
          <w:t>4540- دیوان الشیخ محمد طاها نجف التبریزی‏</w:t>
        </w:r>
        <w:r>
          <w:tab/>
        </w:r>
        <w:r>
          <w:fldChar w:fldCharType="begin"/>
        </w:r>
        <w:r>
          <w:instrText xml:space="preserve">PAGEREF 4695 \h</w:instrText>
        </w:r>
        <w:r>
          <w:fldChar w:fldCharType="end"/>
        </w:r>
      </w:hyperlink>
    </w:p>
    <w:p>
      <w:pPr>
        <w:tabs>
          <w:tab w:val="right" w:leader="dot" w:pos="9062"/>
        </w:tabs>
        <w:ind w:left="440"/>
      </w:pPr>
      <w:hyperlink w:anchor="_Toc4696" w:history="1">
        <w:r>
          <w:rPr>
            <w:rFonts w:ascii="IRNazanin" w:hAnsi="IRNazanin" w:eastAsia="IRNazanin" w:cs="IRNazanin"/>
            <w:color w:val="111111"/>
            <w:sz w:val="22"/>
            <w:szCs w:val="22"/>
            <w:b w:val="0"/>
            <w:bCs w:val="0"/>
            <w:i w:val="0"/>
            <w:iCs w:val="0"/>
          </w:rPr>
          <w:t>4541- دیوان طاهر أو شعره‏</w:t>
        </w:r>
        <w:r>
          <w:tab/>
        </w:r>
        <w:r>
          <w:fldChar w:fldCharType="begin"/>
        </w:r>
        <w:r>
          <w:instrText xml:space="preserve">PAGEREF 4696 \h</w:instrText>
        </w:r>
        <w:r>
          <w:fldChar w:fldCharType="end"/>
        </w:r>
      </w:hyperlink>
    </w:p>
    <w:p>
      <w:pPr>
        <w:tabs>
          <w:tab w:val="right" w:leader="dot" w:pos="9062"/>
        </w:tabs>
        <w:ind w:left="440"/>
      </w:pPr>
      <w:hyperlink w:anchor="_Toc4697" w:history="1">
        <w:r>
          <w:rPr>
            <w:rFonts w:ascii="IRNazanin" w:hAnsi="IRNazanin" w:eastAsia="IRNazanin" w:cs="IRNazanin"/>
            <w:color w:val="111111"/>
            <w:sz w:val="22"/>
            <w:szCs w:val="22"/>
            <w:b w:val="0"/>
            <w:bCs w:val="0"/>
            <w:i w:val="0"/>
            <w:iCs w:val="0"/>
          </w:rPr>
          <w:t>4542- دیوان طاهر أبیوردی أو شعره‏</w:t>
        </w:r>
        <w:r>
          <w:tab/>
        </w:r>
        <w:r>
          <w:fldChar w:fldCharType="begin"/>
        </w:r>
        <w:r>
          <w:instrText xml:space="preserve">PAGEREF 4697 \h</w:instrText>
        </w:r>
        <w:r>
          <w:fldChar w:fldCharType="end"/>
        </w:r>
      </w:hyperlink>
    </w:p>
    <w:p>
      <w:pPr>
        <w:tabs>
          <w:tab w:val="right" w:leader="dot" w:pos="9062"/>
        </w:tabs>
        <w:ind w:left="440"/>
      </w:pPr>
      <w:hyperlink w:anchor="_Toc4698" w:history="1">
        <w:r>
          <w:rPr>
            <w:rFonts w:ascii="IRNazanin" w:hAnsi="IRNazanin" w:eastAsia="IRNazanin" w:cs="IRNazanin"/>
            <w:color w:val="111111"/>
            <w:sz w:val="22"/>
            <w:szCs w:val="22"/>
            <w:b w:val="0"/>
            <w:bCs w:val="0"/>
            <w:i w:val="0"/>
            <w:iCs w:val="0"/>
          </w:rPr>
          <w:t>4543- دیوان طاهر أردبیلی أو شعره‏</w:t>
        </w:r>
        <w:r>
          <w:tab/>
        </w:r>
        <w:r>
          <w:fldChar w:fldCharType="begin"/>
        </w:r>
        <w:r>
          <w:instrText xml:space="preserve">PAGEREF 4698 \h</w:instrText>
        </w:r>
        <w:r>
          <w:fldChar w:fldCharType="end"/>
        </w:r>
      </w:hyperlink>
    </w:p>
    <w:p>
      <w:pPr>
        <w:tabs>
          <w:tab w:val="right" w:leader="dot" w:pos="9062"/>
        </w:tabs>
        <w:ind w:left="440"/>
      </w:pPr>
      <w:hyperlink w:anchor="_Toc4699" w:history="1">
        <w:r>
          <w:rPr>
            <w:rFonts w:ascii="IRNazanin" w:hAnsi="IRNazanin" w:eastAsia="IRNazanin" w:cs="IRNazanin"/>
            <w:color w:val="111111"/>
            <w:sz w:val="22"/>
            <w:szCs w:val="22"/>
            <w:b w:val="0"/>
            <w:bCs w:val="0"/>
            <w:i w:val="0"/>
            <w:iCs w:val="0"/>
          </w:rPr>
          <w:t>4544- دیوان طاهر أصفهانی أو شعره‏</w:t>
        </w:r>
        <w:r>
          <w:tab/>
        </w:r>
        <w:r>
          <w:fldChar w:fldCharType="begin"/>
        </w:r>
        <w:r>
          <w:instrText xml:space="preserve">PAGEREF 4699 \h</w:instrText>
        </w:r>
        <w:r>
          <w:fldChar w:fldCharType="end"/>
        </w:r>
      </w:hyperlink>
    </w:p>
    <w:p>
      <w:pPr>
        <w:tabs>
          <w:tab w:val="right" w:leader="dot" w:pos="9062"/>
        </w:tabs>
        <w:ind w:left="440"/>
      </w:pPr>
      <w:hyperlink w:anchor="_Toc4700" w:history="1">
        <w:r>
          <w:rPr>
            <w:rFonts w:ascii="IRNazanin" w:hAnsi="IRNazanin" w:eastAsia="IRNazanin" w:cs="IRNazanin"/>
            <w:color w:val="111111"/>
            <w:sz w:val="22"/>
            <w:szCs w:val="22"/>
            <w:b w:val="0"/>
            <w:bCs w:val="0"/>
            <w:i w:val="0"/>
            <w:iCs w:val="0"/>
          </w:rPr>
          <w:t>4545- دیوان طاهر أصفهانی أو شعره‏</w:t>
        </w:r>
        <w:r>
          <w:tab/>
        </w:r>
        <w:r>
          <w:fldChar w:fldCharType="begin"/>
        </w:r>
        <w:r>
          <w:instrText xml:space="preserve">PAGEREF 4700 \h</w:instrText>
        </w:r>
        <w:r>
          <w:fldChar w:fldCharType="end"/>
        </w:r>
      </w:hyperlink>
    </w:p>
    <w:p>
      <w:pPr>
        <w:tabs>
          <w:tab w:val="right" w:leader="dot" w:pos="9062"/>
        </w:tabs>
        <w:ind w:left="440"/>
      </w:pPr>
      <w:hyperlink w:anchor="_Toc4701" w:history="1">
        <w:r>
          <w:rPr>
            <w:rFonts w:ascii="IRNazanin" w:hAnsi="IRNazanin" w:eastAsia="IRNazanin" w:cs="IRNazanin"/>
            <w:color w:val="111111"/>
            <w:sz w:val="22"/>
            <w:szCs w:val="22"/>
            <w:b w:val="0"/>
            <w:bCs w:val="0"/>
            <w:i w:val="0"/>
            <w:iCs w:val="0"/>
          </w:rPr>
          <w:t>دیوان طاهر أنجدانی‏</w:t>
        </w:r>
        <w:r>
          <w:tab/>
        </w:r>
        <w:r>
          <w:fldChar w:fldCharType="begin"/>
        </w:r>
        <w:r>
          <w:instrText xml:space="preserve">PAGEREF 4701 \h</w:instrText>
        </w:r>
        <w:r>
          <w:fldChar w:fldCharType="end"/>
        </w:r>
      </w:hyperlink>
    </w:p>
    <w:p>
      <w:pPr>
        <w:tabs>
          <w:tab w:val="right" w:leader="dot" w:pos="9062"/>
        </w:tabs>
        <w:ind w:left="440"/>
      </w:pPr>
      <w:hyperlink w:anchor="_Toc4702" w:history="1">
        <w:r>
          <w:rPr>
            <w:rFonts w:ascii="IRNazanin" w:hAnsi="IRNazanin" w:eastAsia="IRNazanin" w:cs="IRNazanin"/>
            <w:color w:val="111111"/>
            <w:sz w:val="22"/>
            <w:szCs w:val="22"/>
            <w:b w:val="0"/>
            <w:bCs w:val="0"/>
            <w:i w:val="0"/>
            <w:iCs w:val="0"/>
          </w:rPr>
          <w:t>4546- دیوان طاهر بخاری أو شعره‏</w:t>
        </w:r>
        <w:r>
          <w:tab/>
        </w:r>
        <w:r>
          <w:fldChar w:fldCharType="begin"/>
        </w:r>
        <w:r>
          <w:instrText xml:space="preserve">PAGEREF 4702 \h</w:instrText>
        </w:r>
        <w:r>
          <w:fldChar w:fldCharType="end"/>
        </w:r>
      </w:hyperlink>
    </w:p>
    <w:p>
      <w:pPr>
        <w:tabs>
          <w:tab w:val="right" w:leader="dot" w:pos="9062"/>
        </w:tabs>
        <w:ind w:left="440"/>
      </w:pPr>
      <w:hyperlink w:anchor="_Toc4703" w:history="1">
        <w:r>
          <w:rPr>
            <w:rFonts w:ascii="IRNazanin" w:hAnsi="IRNazanin" w:eastAsia="IRNazanin" w:cs="IRNazanin"/>
            <w:color w:val="111111"/>
            <w:sz w:val="22"/>
            <w:szCs w:val="22"/>
            <w:b w:val="0"/>
            <w:bCs w:val="0"/>
            <w:i w:val="0"/>
            <w:iCs w:val="0"/>
          </w:rPr>
          <w:t>4547- دیوان طاهر تفرشی أو شعره‏</w:t>
        </w:r>
        <w:r>
          <w:tab/>
        </w:r>
        <w:r>
          <w:fldChar w:fldCharType="begin"/>
        </w:r>
        <w:r>
          <w:instrText xml:space="preserve">PAGEREF 4703 \h</w:instrText>
        </w:r>
        <w:r>
          <w:fldChar w:fldCharType="end"/>
        </w:r>
      </w:hyperlink>
    </w:p>
    <w:p>
      <w:pPr>
        <w:tabs>
          <w:tab w:val="right" w:leader="dot" w:pos="9062"/>
        </w:tabs>
        <w:ind w:left="440"/>
      </w:pPr>
      <w:hyperlink w:anchor="_Toc4704" w:history="1">
        <w:r>
          <w:rPr>
            <w:rFonts w:ascii="IRNazanin" w:hAnsi="IRNazanin" w:eastAsia="IRNazanin" w:cs="IRNazanin"/>
            <w:color w:val="111111"/>
            <w:sz w:val="22"/>
            <w:szCs w:val="22"/>
            <w:b w:val="0"/>
            <w:bCs w:val="0"/>
            <w:i w:val="0"/>
            <w:iCs w:val="0"/>
          </w:rPr>
          <w:t>4548- دیوان طاهر تویسرکانی أو شعره‏</w:t>
        </w:r>
        <w:r>
          <w:tab/>
        </w:r>
        <w:r>
          <w:fldChar w:fldCharType="begin"/>
        </w:r>
        <w:r>
          <w:instrText xml:space="preserve">PAGEREF 4704 \h</w:instrText>
        </w:r>
        <w:r>
          <w:fldChar w:fldCharType="end"/>
        </w:r>
      </w:hyperlink>
    </w:p>
    <w:p>
      <w:pPr>
        <w:tabs>
          <w:tab w:val="right" w:leader="dot" w:pos="9062"/>
        </w:tabs>
        <w:ind w:left="440"/>
      </w:pPr>
      <w:hyperlink w:anchor="_Toc4705" w:history="1">
        <w:r>
          <w:rPr>
            <w:rFonts w:ascii="IRNazanin" w:hAnsi="IRNazanin" w:eastAsia="IRNazanin" w:cs="IRNazanin"/>
            <w:color w:val="111111"/>
            <w:sz w:val="22"/>
            <w:szCs w:val="22"/>
            <w:b w:val="0"/>
            <w:bCs w:val="0"/>
            <w:i w:val="0"/>
            <w:iCs w:val="0"/>
          </w:rPr>
          <w:t>4549- دیوان طاهر الجرزی أو شعره‏</w:t>
        </w:r>
        <w:r>
          <w:tab/>
        </w:r>
        <w:r>
          <w:fldChar w:fldCharType="begin"/>
        </w:r>
        <w:r>
          <w:instrText xml:space="preserve">PAGEREF 4705 \h</w:instrText>
        </w:r>
        <w:r>
          <w:fldChar w:fldCharType="end"/>
        </w:r>
      </w:hyperlink>
    </w:p>
    <w:p>
      <w:pPr>
        <w:tabs>
          <w:tab w:val="right" w:leader="dot" w:pos="9062"/>
        </w:tabs>
        <w:ind w:left="440"/>
      </w:pPr>
      <w:hyperlink w:anchor="_Toc4706" w:history="1">
        <w:r>
          <w:rPr>
            <w:rFonts w:ascii="IRNazanin" w:hAnsi="IRNazanin" w:eastAsia="IRNazanin" w:cs="IRNazanin"/>
            <w:color w:val="111111"/>
            <w:sz w:val="22"/>
            <w:szCs w:val="22"/>
            <w:b w:val="0"/>
            <w:bCs w:val="0"/>
            <w:i w:val="0"/>
            <w:iCs w:val="0"/>
          </w:rPr>
          <w:t>4550- دیوان طاهر چغانی أو شعره‏</w:t>
        </w:r>
        <w:r>
          <w:tab/>
        </w:r>
        <w:r>
          <w:fldChar w:fldCharType="begin"/>
        </w:r>
        <w:r>
          <w:instrText xml:space="preserve">PAGEREF 4706 \h</w:instrText>
        </w:r>
        <w:r>
          <w:fldChar w:fldCharType="end"/>
        </w:r>
      </w:hyperlink>
    </w:p>
    <w:p>
      <w:pPr>
        <w:tabs>
          <w:tab w:val="right" w:leader="dot" w:pos="9062"/>
        </w:tabs>
        <w:ind w:left="440"/>
      </w:pPr>
      <w:hyperlink w:anchor="_Toc4707" w:history="1">
        <w:r>
          <w:rPr>
            <w:rFonts w:ascii="IRNazanin" w:hAnsi="IRNazanin" w:eastAsia="IRNazanin" w:cs="IRNazanin"/>
            <w:color w:val="111111"/>
            <w:sz w:val="22"/>
            <w:szCs w:val="22"/>
            <w:b w:val="0"/>
            <w:bCs w:val="0"/>
            <w:i w:val="0"/>
            <w:iCs w:val="0"/>
          </w:rPr>
          <w:t>دیوان طاهر حسینی‏</w:t>
        </w:r>
        <w:r>
          <w:tab/>
        </w:r>
        <w:r>
          <w:fldChar w:fldCharType="begin"/>
        </w:r>
        <w:r>
          <w:instrText xml:space="preserve">PAGEREF 4707 \h</w:instrText>
        </w:r>
        <w:r>
          <w:fldChar w:fldCharType="end"/>
        </w:r>
      </w:hyperlink>
    </w:p>
    <w:p>
      <w:pPr>
        <w:tabs>
          <w:tab w:val="right" w:leader="dot" w:pos="9062"/>
        </w:tabs>
        <w:ind w:left="440"/>
      </w:pPr>
      <w:hyperlink w:anchor="_Toc4708" w:history="1">
        <w:r>
          <w:rPr>
            <w:rFonts w:ascii="IRNazanin" w:hAnsi="IRNazanin" w:eastAsia="IRNazanin" w:cs="IRNazanin"/>
            <w:color w:val="111111"/>
            <w:sz w:val="22"/>
            <w:szCs w:val="22"/>
            <w:b w:val="0"/>
            <w:bCs w:val="0"/>
            <w:i w:val="0"/>
            <w:iCs w:val="0"/>
          </w:rPr>
          <w:t>دیوان طاهر دکنی‏</w:t>
        </w:r>
        <w:r>
          <w:tab/>
        </w:r>
        <w:r>
          <w:fldChar w:fldCharType="begin"/>
        </w:r>
        <w:r>
          <w:instrText xml:space="preserve">PAGEREF 4708 \h</w:instrText>
        </w:r>
        <w:r>
          <w:fldChar w:fldCharType="end"/>
        </w:r>
      </w:hyperlink>
    </w:p>
    <w:p>
      <w:pPr>
        <w:tabs>
          <w:tab w:val="right" w:leader="dot" w:pos="9062"/>
        </w:tabs>
        <w:ind w:left="440"/>
      </w:pPr>
      <w:hyperlink w:anchor="_Toc4709" w:history="1">
        <w:r>
          <w:rPr>
            <w:rFonts w:ascii="IRNazanin" w:hAnsi="IRNazanin" w:eastAsia="IRNazanin" w:cs="IRNazanin"/>
            <w:color w:val="111111"/>
            <w:sz w:val="22"/>
            <w:szCs w:val="22"/>
            <w:b w:val="0"/>
            <w:bCs w:val="0"/>
            <w:i w:val="0"/>
            <w:iCs w:val="0"/>
          </w:rPr>
          <w:t>دیوان طاهرزاده قفقازی‏</w:t>
        </w:r>
        <w:r>
          <w:tab/>
        </w:r>
        <w:r>
          <w:fldChar w:fldCharType="begin"/>
        </w:r>
        <w:r>
          <w:instrText xml:space="preserve">PAGEREF 4709 \h</w:instrText>
        </w:r>
        <w:r>
          <w:fldChar w:fldCharType="end"/>
        </w:r>
      </w:hyperlink>
    </w:p>
    <w:p>
      <w:pPr>
        <w:tabs>
          <w:tab w:val="right" w:leader="dot" w:pos="9062"/>
        </w:tabs>
        <w:ind w:left="440"/>
      </w:pPr>
      <w:hyperlink w:anchor="_Toc4710" w:history="1">
        <w:r>
          <w:rPr>
            <w:rFonts w:ascii="IRNazanin" w:hAnsi="IRNazanin" w:eastAsia="IRNazanin" w:cs="IRNazanin"/>
            <w:color w:val="111111"/>
            <w:sz w:val="22"/>
            <w:szCs w:val="22"/>
            <w:b w:val="0"/>
            <w:bCs w:val="0"/>
            <w:i w:val="0"/>
            <w:iCs w:val="0"/>
          </w:rPr>
          <w:t>دیوان طاهر شاه‏جهانی‏</w:t>
        </w:r>
        <w:r>
          <w:tab/>
        </w:r>
        <w:r>
          <w:fldChar w:fldCharType="begin"/>
        </w:r>
        <w:r>
          <w:instrText xml:space="preserve">PAGEREF 4710 \h</w:instrText>
        </w:r>
        <w:r>
          <w:fldChar w:fldCharType="end"/>
        </w:r>
      </w:hyperlink>
    </w:p>
    <w:p>
      <w:pPr>
        <w:tabs>
          <w:tab w:val="right" w:leader="dot" w:pos="9062"/>
        </w:tabs>
        <w:ind w:left="440"/>
      </w:pPr>
      <w:hyperlink w:anchor="_Toc4711" w:history="1">
        <w:r>
          <w:rPr>
            <w:rFonts w:ascii="IRNazanin" w:hAnsi="IRNazanin" w:eastAsia="IRNazanin" w:cs="IRNazanin"/>
            <w:color w:val="111111"/>
            <w:sz w:val="22"/>
            <w:szCs w:val="22"/>
            <w:b w:val="0"/>
            <w:bCs w:val="0"/>
            <w:i w:val="0"/>
            <w:iCs w:val="0"/>
          </w:rPr>
          <w:t>4551- دیوان طاهر طالقانی أو شعره‏</w:t>
        </w:r>
        <w:r>
          <w:tab/>
        </w:r>
        <w:r>
          <w:fldChar w:fldCharType="begin"/>
        </w:r>
        <w:r>
          <w:instrText xml:space="preserve">PAGEREF 4711 \h</w:instrText>
        </w:r>
        <w:r>
          <w:fldChar w:fldCharType="end"/>
        </w:r>
      </w:hyperlink>
    </w:p>
    <w:p>
      <w:pPr>
        <w:tabs>
          <w:tab w:val="right" w:leader="dot" w:pos="9062"/>
        </w:tabs>
        <w:ind w:left="440"/>
      </w:pPr>
      <w:hyperlink w:anchor="_Toc4712" w:history="1">
        <w:r>
          <w:rPr>
            <w:rFonts w:ascii="IRNazanin" w:hAnsi="IRNazanin" w:eastAsia="IRNazanin" w:cs="IRNazanin"/>
            <w:color w:val="111111"/>
            <w:sz w:val="22"/>
            <w:szCs w:val="22"/>
            <w:b w:val="0"/>
            <w:bCs w:val="0"/>
            <w:i w:val="0"/>
            <w:iCs w:val="0"/>
          </w:rPr>
          <w:t>دیوان طاهر عریان‏</w:t>
        </w:r>
        <w:r>
          <w:tab/>
        </w:r>
        <w:r>
          <w:fldChar w:fldCharType="begin"/>
        </w:r>
        <w:r>
          <w:instrText xml:space="preserve">PAGEREF 4712 \h</w:instrText>
        </w:r>
        <w:r>
          <w:fldChar w:fldCharType="end"/>
        </w:r>
      </w:hyperlink>
    </w:p>
    <w:p>
      <w:pPr>
        <w:tabs>
          <w:tab w:val="right" w:leader="dot" w:pos="9062"/>
        </w:tabs>
        <w:ind w:left="440"/>
      </w:pPr>
      <w:hyperlink w:anchor="_Toc4713" w:history="1">
        <w:r>
          <w:rPr>
            <w:rFonts w:ascii="IRNazanin" w:hAnsi="IRNazanin" w:eastAsia="IRNazanin" w:cs="IRNazanin"/>
            <w:color w:val="111111"/>
            <w:sz w:val="22"/>
            <w:szCs w:val="22"/>
            <w:b w:val="0"/>
            <w:bCs w:val="0"/>
            <w:i w:val="0"/>
            <w:iCs w:val="0"/>
          </w:rPr>
          <w:t>4552- دیوان طاهر علوی أو شعره‏</w:t>
        </w:r>
        <w:r>
          <w:tab/>
        </w:r>
        <w:r>
          <w:fldChar w:fldCharType="begin"/>
        </w:r>
        <w:r>
          <w:instrText xml:space="preserve">PAGEREF 4713 \h</w:instrText>
        </w:r>
        <w:r>
          <w:fldChar w:fldCharType="end"/>
        </w:r>
      </w:hyperlink>
    </w:p>
    <w:p>
      <w:pPr>
        <w:tabs>
          <w:tab w:val="right" w:leader="dot" w:pos="9062"/>
        </w:tabs>
        <w:ind w:left="440"/>
      </w:pPr>
      <w:hyperlink w:anchor="_Toc4714" w:history="1">
        <w:r>
          <w:rPr>
            <w:rFonts w:ascii="IRNazanin" w:hAnsi="IRNazanin" w:eastAsia="IRNazanin" w:cs="IRNazanin"/>
            <w:color w:val="111111"/>
            <w:sz w:val="22"/>
            <w:szCs w:val="22"/>
            <w:b w:val="0"/>
            <w:bCs w:val="0"/>
            <w:i w:val="0"/>
            <w:iCs w:val="0"/>
          </w:rPr>
          <w:t>دیوان طاهر فاریابی‏</w:t>
        </w:r>
        <w:r>
          <w:tab/>
        </w:r>
        <w:r>
          <w:fldChar w:fldCharType="begin"/>
        </w:r>
        <w:r>
          <w:instrText xml:space="preserve">PAGEREF 4714 \h</w:instrText>
        </w:r>
        <w:r>
          <w:fldChar w:fldCharType="end"/>
        </w:r>
      </w:hyperlink>
    </w:p>
    <w:p>
      <w:pPr>
        <w:tabs>
          <w:tab w:val="right" w:leader="dot" w:pos="9062"/>
        </w:tabs>
        <w:ind w:left="440"/>
      </w:pPr>
      <w:hyperlink w:anchor="_Toc4715" w:history="1">
        <w:r>
          <w:rPr>
            <w:rFonts w:ascii="IRNazanin" w:hAnsi="IRNazanin" w:eastAsia="IRNazanin" w:cs="IRNazanin"/>
            <w:color w:val="111111"/>
            <w:sz w:val="22"/>
            <w:szCs w:val="22"/>
            <w:b w:val="0"/>
            <w:bCs w:val="0"/>
            <w:i w:val="0"/>
            <w:iCs w:val="0"/>
          </w:rPr>
          <w:t>دیوان طاهر قزوینی‏</w:t>
        </w:r>
        <w:r>
          <w:tab/>
        </w:r>
        <w:r>
          <w:fldChar w:fldCharType="begin"/>
        </w:r>
        <w:r>
          <w:instrText xml:space="preserve">PAGEREF 4715 \h</w:instrText>
        </w:r>
        <w:r>
          <w:fldChar w:fldCharType="end"/>
        </w:r>
      </w:hyperlink>
    </w:p>
    <w:p>
      <w:pPr>
        <w:tabs>
          <w:tab w:val="right" w:leader="dot" w:pos="9062"/>
        </w:tabs>
        <w:ind w:left="440"/>
      </w:pPr>
      <w:hyperlink w:anchor="_Toc4716" w:history="1">
        <w:r>
          <w:rPr>
            <w:rFonts w:ascii="IRNazanin" w:hAnsi="IRNazanin" w:eastAsia="IRNazanin" w:cs="IRNazanin"/>
            <w:color w:val="111111"/>
            <w:sz w:val="22"/>
            <w:szCs w:val="22"/>
            <w:b w:val="0"/>
            <w:bCs w:val="0"/>
            <w:i w:val="0"/>
            <w:iCs w:val="0"/>
          </w:rPr>
          <w:t>4553- دیوان طاهر قمی أو شعره‏</w:t>
        </w:r>
        <w:r>
          <w:tab/>
        </w:r>
        <w:r>
          <w:fldChar w:fldCharType="begin"/>
        </w:r>
        <w:r>
          <w:instrText xml:space="preserve">PAGEREF 4716 \h</w:instrText>
        </w:r>
        <w:r>
          <w:fldChar w:fldCharType="end"/>
        </w:r>
      </w:hyperlink>
    </w:p>
    <w:p>
      <w:pPr>
        <w:tabs>
          <w:tab w:val="right" w:leader="dot" w:pos="9062"/>
        </w:tabs>
        <w:ind w:left="440"/>
      </w:pPr>
      <w:hyperlink w:anchor="_Toc4717" w:history="1">
        <w:r>
          <w:rPr>
            <w:rFonts w:ascii="IRNazanin" w:hAnsi="IRNazanin" w:eastAsia="IRNazanin" w:cs="IRNazanin"/>
            <w:color w:val="111111"/>
            <w:sz w:val="22"/>
            <w:szCs w:val="22"/>
            <w:b w:val="0"/>
            <w:bCs w:val="0"/>
            <w:i w:val="0"/>
            <w:iCs w:val="0"/>
          </w:rPr>
          <w:t>دیوان طاهر کاشی‏</w:t>
        </w:r>
        <w:r>
          <w:tab/>
        </w:r>
        <w:r>
          <w:fldChar w:fldCharType="begin"/>
        </w:r>
        <w:r>
          <w:instrText xml:space="preserve">PAGEREF 4717 \h</w:instrText>
        </w:r>
        <w:r>
          <w:fldChar w:fldCharType="end"/>
        </w:r>
      </w:hyperlink>
    </w:p>
    <w:p>
      <w:pPr>
        <w:tabs>
          <w:tab w:val="right" w:leader="dot" w:pos="9062"/>
        </w:tabs>
        <w:ind w:left="440"/>
      </w:pPr>
      <w:hyperlink w:anchor="_Toc4718" w:history="1">
        <w:r>
          <w:rPr>
            <w:rFonts w:ascii="IRNazanin" w:hAnsi="IRNazanin" w:eastAsia="IRNazanin" w:cs="IRNazanin"/>
            <w:color w:val="111111"/>
            <w:sz w:val="22"/>
            <w:szCs w:val="22"/>
            <w:b w:val="0"/>
            <w:bCs w:val="0"/>
            <w:i w:val="0"/>
            <w:iCs w:val="0"/>
          </w:rPr>
          <w:t>4554- دیوان طاهر کشمیری أو شعره‏</w:t>
        </w:r>
        <w:r>
          <w:tab/>
        </w:r>
        <w:r>
          <w:fldChar w:fldCharType="begin"/>
        </w:r>
        <w:r>
          <w:instrText xml:space="preserve">PAGEREF 4718 \h</w:instrText>
        </w:r>
        <w:r>
          <w:fldChar w:fldCharType="end"/>
        </w:r>
      </w:hyperlink>
    </w:p>
    <w:p>
      <w:pPr>
        <w:tabs>
          <w:tab w:val="right" w:leader="dot" w:pos="9062"/>
        </w:tabs>
        <w:ind w:left="440"/>
      </w:pPr>
      <w:hyperlink w:anchor="_Toc4719" w:history="1">
        <w:r>
          <w:rPr>
            <w:rFonts w:ascii="IRNazanin" w:hAnsi="IRNazanin" w:eastAsia="IRNazanin" w:cs="IRNazanin"/>
            <w:color w:val="111111"/>
            <w:sz w:val="22"/>
            <w:szCs w:val="22"/>
            <w:b w:val="0"/>
            <w:bCs w:val="0"/>
            <w:i w:val="0"/>
            <w:iCs w:val="0"/>
          </w:rPr>
          <w:t>4555- دیوان طاهر لکهنوی‏</w:t>
        </w:r>
        <w:r>
          <w:tab/>
        </w:r>
        <w:r>
          <w:fldChar w:fldCharType="begin"/>
        </w:r>
        <w:r>
          <w:instrText xml:space="preserve">PAGEREF 4719 \h</w:instrText>
        </w:r>
        <w:r>
          <w:fldChar w:fldCharType="end"/>
        </w:r>
      </w:hyperlink>
    </w:p>
    <w:p>
      <w:pPr>
        <w:tabs>
          <w:tab w:val="right" w:leader="dot" w:pos="9062"/>
        </w:tabs>
        <w:ind w:left="440"/>
      </w:pPr>
      <w:hyperlink w:anchor="_Toc4720" w:history="1">
        <w:r>
          <w:rPr>
            <w:rFonts w:ascii="IRNazanin" w:hAnsi="IRNazanin" w:eastAsia="IRNazanin" w:cs="IRNazanin"/>
            <w:color w:val="111111"/>
            <w:sz w:val="22"/>
            <w:szCs w:val="22"/>
            <w:b w:val="0"/>
            <w:bCs w:val="0"/>
            <w:i w:val="0"/>
            <w:iCs w:val="0"/>
          </w:rPr>
          <w:t>دیوان طاهر مجلس نویس‏</w:t>
        </w:r>
        <w:r>
          <w:tab/>
        </w:r>
        <w:r>
          <w:fldChar w:fldCharType="begin"/>
        </w:r>
        <w:r>
          <w:instrText xml:space="preserve">PAGEREF 4720 \h</w:instrText>
        </w:r>
        <w:r>
          <w:fldChar w:fldCharType="end"/>
        </w:r>
      </w:hyperlink>
    </w:p>
    <w:p>
      <w:pPr>
        <w:tabs>
          <w:tab w:val="right" w:leader="dot" w:pos="9062"/>
        </w:tabs>
        <w:ind w:left="440"/>
      </w:pPr>
      <w:hyperlink w:anchor="_Toc4721" w:history="1">
        <w:r>
          <w:rPr>
            <w:rFonts w:ascii="IRNazanin" w:hAnsi="IRNazanin" w:eastAsia="IRNazanin" w:cs="IRNazanin"/>
            <w:color w:val="111111"/>
            <w:sz w:val="22"/>
            <w:szCs w:val="22"/>
            <w:b w:val="0"/>
            <w:bCs w:val="0"/>
            <w:i w:val="0"/>
            <w:iCs w:val="0"/>
          </w:rPr>
          <w:t>4556- دیوان طاهر مشهدی أو شعره‏</w:t>
        </w:r>
        <w:r>
          <w:tab/>
        </w:r>
        <w:r>
          <w:fldChar w:fldCharType="begin"/>
        </w:r>
        <w:r>
          <w:instrText xml:space="preserve">PAGEREF 4721 \h</w:instrText>
        </w:r>
        <w:r>
          <w:fldChar w:fldCharType="end"/>
        </w:r>
      </w:hyperlink>
    </w:p>
    <w:p>
      <w:pPr>
        <w:tabs>
          <w:tab w:val="right" w:leader="dot" w:pos="9062"/>
        </w:tabs>
        <w:ind w:left="440"/>
      </w:pPr>
      <w:hyperlink w:anchor="_Toc4722" w:history="1">
        <w:r>
          <w:rPr>
            <w:rFonts w:ascii="IRNazanin" w:hAnsi="IRNazanin" w:eastAsia="IRNazanin" w:cs="IRNazanin"/>
            <w:color w:val="111111"/>
            <w:sz w:val="22"/>
            <w:szCs w:val="22"/>
            <w:b w:val="0"/>
            <w:bCs w:val="0"/>
            <w:i w:val="0"/>
            <w:iCs w:val="0"/>
          </w:rPr>
          <w:t>دیوان طاهر نائنی‏</w:t>
        </w:r>
        <w:r>
          <w:tab/>
        </w:r>
        <w:r>
          <w:fldChar w:fldCharType="begin"/>
        </w:r>
        <w:r>
          <w:instrText xml:space="preserve">PAGEREF 4722 \h</w:instrText>
        </w:r>
        <w:r>
          <w:fldChar w:fldCharType="end"/>
        </w:r>
      </w:hyperlink>
    </w:p>
    <w:p>
      <w:pPr>
        <w:tabs>
          <w:tab w:val="right" w:leader="dot" w:pos="9062"/>
        </w:tabs>
        <w:ind w:left="440"/>
      </w:pPr>
      <w:hyperlink w:anchor="_Toc4723" w:history="1">
        <w:r>
          <w:rPr>
            <w:rFonts w:ascii="IRNazanin" w:hAnsi="IRNazanin" w:eastAsia="IRNazanin" w:cs="IRNazanin"/>
            <w:color w:val="111111"/>
            <w:sz w:val="22"/>
            <w:szCs w:val="22"/>
            <w:b w:val="0"/>
            <w:bCs w:val="0"/>
            <w:i w:val="0"/>
            <w:iCs w:val="0"/>
          </w:rPr>
          <w:t>4557- دیوان طاهر نصرآبادی‏</w:t>
        </w:r>
        <w:r>
          <w:tab/>
        </w:r>
        <w:r>
          <w:fldChar w:fldCharType="begin"/>
        </w:r>
        <w:r>
          <w:instrText xml:space="preserve">PAGEREF 4723 \h</w:instrText>
        </w:r>
        <w:r>
          <w:fldChar w:fldCharType="end"/>
        </w:r>
      </w:hyperlink>
    </w:p>
    <w:p>
      <w:pPr>
        <w:tabs>
          <w:tab w:val="right" w:leader="dot" w:pos="9062"/>
        </w:tabs>
        <w:ind w:left="440"/>
      </w:pPr>
      <w:hyperlink w:anchor="_Toc4724" w:history="1">
        <w:r>
          <w:rPr>
            <w:rFonts w:ascii="IRNazanin" w:hAnsi="IRNazanin" w:eastAsia="IRNazanin" w:cs="IRNazanin"/>
            <w:color w:val="111111"/>
            <w:sz w:val="22"/>
            <w:szCs w:val="22"/>
            <w:b w:val="0"/>
            <w:bCs w:val="0"/>
            <w:i w:val="0"/>
            <w:iCs w:val="0"/>
          </w:rPr>
          <w:t>دیوان طاهر نقاش‏</w:t>
        </w:r>
        <w:r>
          <w:tab/>
        </w:r>
        <w:r>
          <w:fldChar w:fldCharType="begin"/>
        </w:r>
        <w:r>
          <w:instrText xml:space="preserve">PAGEREF 4724 \h</w:instrText>
        </w:r>
        <w:r>
          <w:fldChar w:fldCharType="end"/>
        </w:r>
      </w:hyperlink>
    </w:p>
    <w:p>
      <w:pPr>
        <w:tabs>
          <w:tab w:val="right" w:leader="dot" w:pos="9062"/>
        </w:tabs>
        <w:ind w:left="440"/>
      </w:pPr>
      <w:hyperlink w:anchor="_Toc4725" w:history="1">
        <w:r>
          <w:rPr>
            <w:rFonts w:ascii="IRNazanin" w:hAnsi="IRNazanin" w:eastAsia="IRNazanin" w:cs="IRNazanin"/>
            <w:color w:val="111111"/>
            <w:sz w:val="22"/>
            <w:szCs w:val="22"/>
            <w:b w:val="0"/>
            <w:bCs w:val="0"/>
            <w:i w:val="0"/>
            <w:iCs w:val="0"/>
          </w:rPr>
          <w:t>دیوان طاهر همدانی‏</w:t>
        </w:r>
        <w:r>
          <w:tab/>
        </w:r>
        <w:r>
          <w:fldChar w:fldCharType="begin"/>
        </w:r>
        <w:r>
          <w:instrText xml:space="preserve">PAGEREF 4725 \h</w:instrText>
        </w:r>
        <w:r>
          <w:fldChar w:fldCharType="end"/>
        </w:r>
      </w:hyperlink>
    </w:p>
    <w:p>
      <w:pPr>
        <w:tabs>
          <w:tab w:val="right" w:leader="dot" w:pos="9062"/>
        </w:tabs>
        <w:ind w:left="440"/>
      </w:pPr>
      <w:hyperlink w:anchor="_Toc4726" w:history="1">
        <w:r>
          <w:rPr>
            <w:rFonts w:ascii="IRNazanin" w:hAnsi="IRNazanin" w:eastAsia="IRNazanin" w:cs="IRNazanin"/>
            <w:color w:val="111111"/>
            <w:sz w:val="22"/>
            <w:szCs w:val="22"/>
            <w:b w:val="0"/>
            <w:bCs w:val="0"/>
            <w:i w:val="0"/>
            <w:iCs w:val="0"/>
          </w:rPr>
          <w:t>دیوان طاهری بخاری‏</w:t>
        </w:r>
        <w:r>
          <w:tab/>
        </w:r>
        <w:r>
          <w:fldChar w:fldCharType="begin"/>
        </w:r>
        <w:r>
          <w:instrText xml:space="preserve">PAGEREF 4726 \h</w:instrText>
        </w:r>
        <w:r>
          <w:fldChar w:fldCharType="end"/>
        </w:r>
      </w:hyperlink>
    </w:p>
    <w:p>
      <w:pPr>
        <w:tabs>
          <w:tab w:val="right" w:leader="dot" w:pos="9062"/>
        </w:tabs>
        <w:ind w:left="440"/>
      </w:pPr>
      <w:hyperlink w:anchor="_Toc4727" w:history="1">
        <w:r>
          <w:rPr>
            <w:rFonts w:ascii="IRNazanin" w:hAnsi="IRNazanin" w:eastAsia="IRNazanin" w:cs="IRNazanin"/>
            <w:color w:val="111111"/>
            <w:sz w:val="22"/>
            <w:szCs w:val="22"/>
            <w:b w:val="0"/>
            <w:bCs w:val="0"/>
            <w:i w:val="0"/>
            <w:iCs w:val="0"/>
          </w:rPr>
          <w:t>4558- دیوان طاهری نائنی‏</w:t>
        </w:r>
        <w:r>
          <w:tab/>
        </w:r>
        <w:r>
          <w:fldChar w:fldCharType="begin"/>
        </w:r>
        <w:r>
          <w:instrText xml:space="preserve">PAGEREF 4727 \h</w:instrText>
        </w:r>
        <w:r>
          <w:fldChar w:fldCharType="end"/>
        </w:r>
      </w:hyperlink>
    </w:p>
    <w:p>
      <w:pPr>
        <w:tabs>
          <w:tab w:val="right" w:leader="dot" w:pos="9062"/>
        </w:tabs>
        <w:ind w:left="440"/>
      </w:pPr>
      <w:hyperlink w:anchor="_Toc4728" w:history="1">
        <w:r>
          <w:rPr>
            <w:rFonts w:ascii="IRNazanin" w:hAnsi="IRNazanin" w:eastAsia="IRNazanin" w:cs="IRNazanin"/>
            <w:color w:val="111111"/>
            <w:sz w:val="22"/>
            <w:szCs w:val="22"/>
            <w:b w:val="0"/>
            <w:bCs w:val="0"/>
            <w:i w:val="0"/>
            <w:iCs w:val="0"/>
          </w:rPr>
          <w:t>دیوان طاهری هروی‏</w:t>
        </w:r>
        <w:r>
          <w:tab/>
        </w:r>
        <w:r>
          <w:fldChar w:fldCharType="begin"/>
        </w:r>
        <w:r>
          <w:instrText xml:space="preserve">PAGEREF 4728 \h</w:instrText>
        </w:r>
        <w:r>
          <w:fldChar w:fldCharType="end"/>
        </w:r>
      </w:hyperlink>
    </w:p>
    <w:p>
      <w:pPr>
        <w:tabs>
          <w:tab w:val="right" w:leader="dot" w:pos="9062"/>
        </w:tabs>
        <w:ind w:left="440"/>
      </w:pPr>
      <w:hyperlink w:anchor="_Toc4729" w:history="1">
        <w:r>
          <w:rPr>
            <w:rFonts w:ascii="IRNazanin" w:hAnsi="IRNazanin" w:eastAsia="IRNazanin" w:cs="IRNazanin"/>
            <w:color w:val="111111"/>
            <w:sz w:val="22"/>
            <w:szCs w:val="22"/>
            <w:b w:val="0"/>
            <w:bCs w:val="0"/>
            <w:i w:val="0"/>
            <w:iCs w:val="0"/>
          </w:rPr>
          <w:t>4559- دیوان طاهری هروی أو شعره‏</w:t>
        </w:r>
        <w:r>
          <w:tab/>
        </w:r>
        <w:r>
          <w:fldChar w:fldCharType="begin"/>
        </w:r>
        <w:r>
          <w:instrText xml:space="preserve">PAGEREF 4729 \h</w:instrText>
        </w:r>
        <w:r>
          <w:fldChar w:fldCharType="end"/>
        </w:r>
      </w:hyperlink>
    </w:p>
    <w:p>
      <w:pPr>
        <w:tabs>
          <w:tab w:val="right" w:leader="dot" w:pos="9062"/>
        </w:tabs>
        <w:ind w:left="440"/>
      </w:pPr>
      <w:hyperlink w:anchor="_Toc4730" w:history="1">
        <w:r>
          <w:rPr>
            <w:rFonts w:ascii="IRNazanin" w:hAnsi="IRNazanin" w:eastAsia="IRNazanin" w:cs="IRNazanin"/>
            <w:color w:val="111111"/>
            <w:sz w:val="22"/>
            <w:szCs w:val="22"/>
            <w:b w:val="0"/>
            <w:bCs w:val="0"/>
            <w:i w:val="0"/>
            <w:iCs w:val="0"/>
          </w:rPr>
          <w:t>4560- دیوان الطباطبائی‏</w:t>
        </w:r>
        <w:r>
          <w:tab/>
        </w:r>
        <w:r>
          <w:fldChar w:fldCharType="begin"/>
        </w:r>
        <w:r>
          <w:instrText xml:space="preserve">PAGEREF 4730 \h</w:instrText>
        </w:r>
        <w:r>
          <w:fldChar w:fldCharType="end"/>
        </w:r>
      </w:hyperlink>
    </w:p>
    <w:p>
      <w:pPr>
        <w:tabs>
          <w:tab w:val="right" w:leader="dot" w:pos="9062"/>
        </w:tabs>
        <w:ind w:left="440"/>
      </w:pPr>
      <w:hyperlink w:anchor="_Toc4731" w:history="1">
        <w:r>
          <w:rPr>
            <w:rFonts w:ascii="IRNazanin" w:hAnsi="IRNazanin" w:eastAsia="IRNazanin" w:cs="IRNazanin"/>
            <w:color w:val="111111"/>
            <w:sz w:val="22"/>
            <w:szCs w:val="22"/>
            <w:b w:val="0"/>
            <w:bCs w:val="0"/>
            <w:i w:val="0"/>
            <w:iCs w:val="0"/>
          </w:rPr>
          <w:t>4561- دیوان مولانا طبخی قزوینی‏</w:t>
        </w:r>
        <w:r>
          <w:tab/>
        </w:r>
        <w:r>
          <w:fldChar w:fldCharType="begin"/>
        </w:r>
        <w:r>
          <w:instrText xml:space="preserve">PAGEREF 4731 \h</w:instrText>
        </w:r>
        <w:r>
          <w:fldChar w:fldCharType="end"/>
        </w:r>
      </w:hyperlink>
    </w:p>
    <w:p>
      <w:pPr>
        <w:tabs>
          <w:tab w:val="right" w:leader="dot" w:pos="9062"/>
        </w:tabs>
        <w:ind w:left="440"/>
      </w:pPr>
      <w:hyperlink w:anchor="_Toc4732" w:history="1">
        <w:r>
          <w:rPr>
            <w:rFonts w:ascii="IRNazanin" w:hAnsi="IRNazanin" w:eastAsia="IRNazanin" w:cs="IRNazanin"/>
            <w:color w:val="111111"/>
            <w:sz w:val="22"/>
            <w:szCs w:val="22"/>
            <w:b w:val="0"/>
            <w:bCs w:val="0"/>
            <w:i w:val="0"/>
            <w:iCs w:val="0"/>
          </w:rPr>
          <w:t>4562- دیوان طبری‏</w:t>
        </w:r>
        <w:r>
          <w:tab/>
        </w:r>
        <w:r>
          <w:fldChar w:fldCharType="begin"/>
        </w:r>
        <w:r>
          <w:instrText xml:space="preserve">PAGEREF 4732 \h</w:instrText>
        </w:r>
        <w:r>
          <w:fldChar w:fldCharType="end"/>
        </w:r>
      </w:hyperlink>
    </w:p>
    <w:p>
      <w:pPr>
        <w:tabs>
          <w:tab w:val="right" w:leader="dot" w:pos="9062"/>
        </w:tabs>
        <w:ind w:left="440"/>
      </w:pPr>
      <w:hyperlink w:anchor="_Toc4733" w:history="1">
        <w:r>
          <w:rPr>
            <w:rFonts w:ascii="IRNazanin" w:hAnsi="IRNazanin" w:eastAsia="IRNazanin" w:cs="IRNazanin"/>
            <w:color w:val="111111"/>
            <w:sz w:val="22"/>
            <w:szCs w:val="22"/>
            <w:b w:val="0"/>
            <w:bCs w:val="0"/>
            <w:i w:val="0"/>
            <w:iCs w:val="0"/>
          </w:rPr>
          <w:t>4563- دیوان طبعی أشترخانی‏</w:t>
        </w:r>
        <w:r>
          <w:tab/>
        </w:r>
        <w:r>
          <w:fldChar w:fldCharType="begin"/>
        </w:r>
        <w:r>
          <w:instrText xml:space="preserve">PAGEREF 4733 \h</w:instrText>
        </w:r>
        <w:r>
          <w:fldChar w:fldCharType="end"/>
        </w:r>
      </w:hyperlink>
    </w:p>
    <w:p>
      <w:pPr>
        <w:tabs>
          <w:tab w:val="right" w:leader="dot" w:pos="9062"/>
        </w:tabs>
        <w:ind w:left="440"/>
      </w:pPr>
      <w:hyperlink w:anchor="_Toc4734" w:history="1">
        <w:r>
          <w:rPr>
            <w:rFonts w:ascii="IRNazanin" w:hAnsi="IRNazanin" w:eastAsia="IRNazanin" w:cs="IRNazanin"/>
            <w:color w:val="111111"/>
            <w:sz w:val="22"/>
            <w:szCs w:val="22"/>
            <w:b w:val="0"/>
            <w:bCs w:val="0"/>
            <w:i w:val="0"/>
            <w:iCs w:val="0"/>
          </w:rPr>
          <w:t>4564- دیوان طبعی أصفهانی أو شعره‏</w:t>
        </w:r>
        <w:r>
          <w:tab/>
        </w:r>
        <w:r>
          <w:fldChar w:fldCharType="begin"/>
        </w:r>
        <w:r>
          <w:instrText xml:space="preserve">PAGEREF 4734 \h</w:instrText>
        </w:r>
        <w:r>
          <w:fldChar w:fldCharType="end"/>
        </w:r>
      </w:hyperlink>
    </w:p>
    <w:p>
      <w:pPr>
        <w:tabs>
          <w:tab w:val="right" w:leader="dot" w:pos="9062"/>
        </w:tabs>
        <w:ind w:left="440"/>
      </w:pPr>
      <w:hyperlink w:anchor="_Toc4735" w:history="1">
        <w:r>
          <w:rPr>
            <w:rFonts w:ascii="IRNazanin" w:hAnsi="IRNazanin" w:eastAsia="IRNazanin" w:cs="IRNazanin"/>
            <w:color w:val="111111"/>
            <w:sz w:val="22"/>
            <w:szCs w:val="22"/>
            <w:b w:val="0"/>
            <w:bCs w:val="0"/>
            <w:i w:val="0"/>
            <w:iCs w:val="0"/>
          </w:rPr>
          <w:t>4565- دیوان طبعی سیستانی‏</w:t>
        </w:r>
        <w:r>
          <w:tab/>
        </w:r>
        <w:r>
          <w:fldChar w:fldCharType="begin"/>
        </w:r>
        <w:r>
          <w:instrText xml:space="preserve">PAGEREF 4735 \h</w:instrText>
        </w:r>
        <w:r>
          <w:fldChar w:fldCharType="end"/>
        </w:r>
      </w:hyperlink>
    </w:p>
    <w:p>
      <w:pPr>
        <w:tabs>
          <w:tab w:val="right" w:leader="dot" w:pos="9062"/>
        </w:tabs>
        <w:ind w:left="440"/>
      </w:pPr>
      <w:hyperlink w:anchor="_Toc4736" w:history="1">
        <w:r>
          <w:rPr>
            <w:rFonts w:ascii="IRNazanin" w:hAnsi="IRNazanin" w:eastAsia="IRNazanin" w:cs="IRNazanin"/>
            <w:color w:val="111111"/>
            <w:sz w:val="22"/>
            <w:szCs w:val="22"/>
            <w:b w:val="0"/>
            <w:bCs w:val="0"/>
            <w:i w:val="0"/>
            <w:iCs w:val="0"/>
          </w:rPr>
          <w:t>4566- دیوان طبعی قزوینی‏</w:t>
        </w:r>
        <w:r>
          <w:tab/>
        </w:r>
        <w:r>
          <w:fldChar w:fldCharType="begin"/>
        </w:r>
        <w:r>
          <w:instrText xml:space="preserve">PAGEREF 4736 \h</w:instrText>
        </w:r>
        <w:r>
          <w:fldChar w:fldCharType="end"/>
        </w:r>
      </w:hyperlink>
    </w:p>
    <w:p>
      <w:pPr>
        <w:tabs>
          <w:tab w:val="right" w:leader="dot" w:pos="9062"/>
        </w:tabs>
        <w:ind w:left="440"/>
      </w:pPr>
      <w:hyperlink w:anchor="_Toc4737" w:history="1">
        <w:r>
          <w:rPr>
            <w:rFonts w:ascii="IRNazanin" w:hAnsi="IRNazanin" w:eastAsia="IRNazanin" w:cs="IRNazanin"/>
            <w:color w:val="111111"/>
            <w:sz w:val="22"/>
            <w:szCs w:val="22"/>
            <w:b w:val="0"/>
            <w:bCs w:val="0"/>
            <w:i w:val="0"/>
            <w:iCs w:val="0"/>
          </w:rPr>
          <w:t>4567- دیوان طبیب أصفهانی‏</w:t>
        </w:r>
        <w:r>
          <w:tab/>
        </w:r>
        <w:r>
          <w:fldChar w:fldCharType="begin"/>
        </w:r>
        <w:r>
          <w:instrText xml:space="preserve">PAGEREF 4737 \h</w:instrText>
        </w:r>
        <w:r>
          <w:fldChar w:fldCharType="end"/>
        </w:r>
      </w:hyperlink>
    </w:p>
    <w:p>
      <w:pPr>
        <w:tabs>
          <w:tab w:val="right" w:leader="dot" w:pos="9062"/>
        </w:tabs>
        <w:ind w:left="440"/>
      </w:pPr>
      <w:hyperlink w:anchor="_Toc4738" w:history="1">
        <w:r>
          <w:rPr>
            <w:rFonts w:ascii="IRNazanin" w:hAnsi="IRNazanin" w:eastAsia="IRNazanin" w:cs="IRNazanin"/>
            <w:color w:val="111111"/>
            <w:sz w:val="22"/>
            <w:szCs w:val="22"/>
            <w:b w:val="0"/>
            <w:bCs w:val="0"/>
            <w:i w:val="0"/>
            <w:iCs w:val="0"/>
          </w:rPr>
          <w:t>4568- دیوان طیب أصفهانی‏</w:t>
        </w:r>
        <w:r>
          <w:tab/>
        </w:r>
        <w:r>
          <w:fldChar w:fldCharType="begin"/>
        </w:r>
        <w:r>
          <w:instrText xml:space="preserve">PAGEREF 4738 \h</w:instrText>
        </w:r>
        <w:r>
          <w:fldChar w:fldCharType="end"/>
        </w:r>
      </w:hyperlink>
    </w:p>
    <w:p>
      <w:pPr>
        <w:tabs>
          <w:tab w:val="right" w:leader="dot" w:pos="9062"/>
        </w:tabs>
        <w:ind w:left="440"/>
      </w:pPr>
      <w:hyperlink w:anchor="_Toc4739" w:history="1">
        <w:r>
          <w:rPr>
            <w:rFonts w:ascii="IRNazanin" w:hAnsi="IRNazanin" w:eastAsia="IRNazanin" w:cs="IRNazanin"/>
            <w:color w:val="111111"/>
            <w:sz w:val="22"/>
            <w:szCs w:val="22"/>
            <w:b w:val="0"/>
            <w:bCs w:val="0"/>
            <w:i w:val="0"/>
            <w:iCs w:val="0"/>
          </w:rPr>
          <w:t>4569- دیوان طبیب شیرازی‏</w:t>
        </w:r>
        <w:r>
          <w:tab/>
        </w:r>
        <w:r>
          <w:fldChar w:fldCharType="begin"/>
        </w:r>
        <w:r>
          <w:instrText xml:space="preserve">PAGEREF 4739 \h</w:instrText>
        </w:r>
        <w:r>
          <w:fldChar w:fldCharType="end"/>
        </w:r>
      </w:hyperlink>
    </w:p>
    <w:p>
      <w:pPr>
        <w:tabs>
          <w:tab w:val="right" w:leader="dot" w:pos="9062"/>
        </w:tabs>
        <w:ind w:left="440"/>
      </w:pPr>
      <w:hyperlink w:anchor="_Toc4740" w:history="1">
        <w:r>
          <w:rPr>
            <w:rFonts w:ascii="IRNazanin" w:hAnsi="IRNazanin" w:eastAsia="IRNazanin" w:cs="IRNazanin"/>
            <w:color w:val="111111"/>
            <w:sz w:val="22"/>
            <w:szCs w:val="22"/>
            <w:b w:val="0"/>
            <w:bCs w:val="0"/>
            <w:i w:val="0"/>
            <w:iCs w:val="0"/>
          </w:rPr>
          <w:t>4570- دیوان طبیب گنجه‏</w:t>
        </w:r>
        <w:r>
          <w:tab/>
        </w:r>
        <w:r>
          <w:fldChar w:fldCharType="begin"/>
        </w:r>
        <w:r>
          <w:instrText xml:space="preserve">PAGEREF 4740 \h</w:instrText>
        </w:r>
        <w:r>
          <w:fldChar w:fldCharType="end"/>
        </w:r>
      </w:hyperlink>
    </w:p>
    <w:p>
      <w:pPr>
        <w:tabs>
          <w:tab w:val="right" w:leader="dot" w:pos="9062"/>
        </w:tabs>
        <w:ind w:left="440"/>
      </w:pPr>
      <w:hyperlink w:anchor="_Toc4741" w:history="1">
        <w:r>
          <w:rPr>
            <w:rFonts w:ascii="IRNazanin" w:hAnsi="IRNazanin" w:eastAsia="IRNazanin" w:cs="IRNazanin"/>
            <w:color w:val="111111"/>
            <w:sz w:val="22"/>
            <w:szCs w:val="22"/>
            <w:b w:val="0"/>
            <w:bCs w:val="0"/>
            <w:i w:val="0"/>
            <w:iCs w:val="0"/>
          </w:rPr>
          <w:t>دیوان طبیعی سیستانی‏</w:t>
        </w:r>
        <w:r>
          <w:tab/>
        </w:r>
        <w:r>
          <w:fldChar w:fldCharType="begin"/>
        </w:r>
        <w:r>
          <w:instrText xml:space="preserve">PAGEREF 4741 \h</w:instrText>
        </w:r>
        <w:r>
          <w:fldChar w:fldCharType="end"/>
        </w:r>
      </w:hyperlink>
    </w:p>
    <w:p>
      <w:pPr>
        <w:tabs>
          <w:tab w:val="right" w:leader="dot" w:pos="9062"/>
        </w:tabs>
        <w:ind w:left="440"/>
      </w:pPr>
      <w:hyperlink w:anchor="_Toc4742" w:history="1">
        <w:r>
          <w:rPr>
            <w:rFonts w:ascii="IRNazanin" w:hAnsi="IRNazanin" w:eastAsia="IRNazanin" w:cs="IRNazanin"/>
            <w:color w:val="111111"/>
            <w:sz w:val="22"/>
            <w:szCs w:val="22"/>
            <w:b w:val="0"/>
            <w:bCs w:val="0"/>
            <w:i w:val="0"/>
            <w:iCs w:val="0"/>
          </w:rPr>
          <w:t>4571- دیوان ملا طبیعی طبسی‏</w:t>
        </w:r>
        <w:r>
          <w:tab/>
        </w:r>
        <w:r>
          <w:fldChar w:fldCharType="begin"/>
        </w:r>
        <w:r>
          <w:instrText xml:space="preserve">PAGEREF 4742 \h</w:instrText>
        </w:r>
        <w:r>
          <w:fldChar w:fldCharType="end"/>
        </w:r>
      </w:hyperlink>
    </w:p>
    <w:p>
      <w:pPr>
        <w:tabs>
          <w:tab w:val="right" w:leader="dot" w:pos="9062"/>
        </w:tabs>
        <w:ind w:left="440"/>
      </w:pPr>
      <w:hyperlink w:anchor="_Toc4743" w:history="1">
        <w:r>
          <w:rPr>
            <w:rFonts w:ascii="IRNazanin" w:hAnsi="IRNazanin" w:eastAsia="IRNazanin" w:cs="IRNazanin"/>
            <w:color w:val="111111"/>
            <w:sz w:val="22"/>
            <w:szCs w:val="22"/>
            <w:b w:val="0"/>
            <w:bCs w:val="0"/>
            <w:i w:val="0"/>
            <w:iCs w:val="0"/>
          </w:rPr>
          <w:t>4572- دیوان الطحان‏</w:t>
        </w:r>
        <w:r>
          <w:tab/>
        </w:r>
        <w:r>
          <w:fldChar w:fldCharType="begin"/>
        </w:r>
        <w:r>
          <w:instrText xml:space="preserve">PAGEREF 4743 \h</w:instrText>
        </w:r>
        <w:r>
          <w:fldChar w:fldCharType="end"/>
        </w:r>
      </w:hyperlink>
    </w:p>
    <w:p>
      <w:pPr>
        <w:tabs>
          <w:tab w:val="right" w:leader="dot" w:pos="9062"/>
        </w:tabs>
        <w:ind w:left="440"/>
      </w:pPr>
      <w:hyperlink w:anchor="_Toc4744" w:history="1">
        <w:r>
          <w:rPr>
            <w:rFonts w:ascii="IRNazanin" w:hAnsi="IRNazanin" w:eastAsia="IRNazanin" w:cs="IRNazanin"/>
            <w:color w:val="111111"/>
            <w:sz w:val="22"/>
            <w:szCs w:val="22"/>
            <w:b w:val="0"/>
            <w:bCs w:val="0"/>
            <w:i w:val="0"/>
            <w:iCs w:val="0"/>
          </w:rPr>
          <w:t>4573- دیوان الطحان‏</w:t>
        </w:r>
        <w:r>
          <w:tab/>
        </w:r>
        <w:r>
          <w:fldChar w:fldCharType="begin"/>
        </w:r>
        <w:r>
          <w:instrText xml:space="preserve">PAGEREF 4744 \h</w:instrText>
        </w:r>
        <w:r>
          <w:fldChar w:fldCharType="end"/>
        </w:r>
      </w:hyperlink>
    </w:p>
    <w:p>
      <w:pPr>
        <w:tabs>
          <w:tab w:val="right" w:leader="dot" w:pos="9062"/>
        </w:tabs>
        <w:ind w:left="440"/>
      </w:pPr>
      <w:hyperlink w:anchor="_Toc4745" w:history="1">
        <w:r>
          <w:rPr>
            <w:rFonts w:ascii="IRNazanin" w:hAnsi="IRNazanin" w:eastAsia="IRNazanin" w:cs="IRNazanin"/>
            <w:color w:val="111111"/>
            <w:sz w:val="22"/>
            <w:szCs w:val="22"/>
            <w:b w:val="0"/>
            <w:bCs w:val="0"/>
            <w:i w:val="0"/>
            <w:iCs w:val="0"/>
          </w:rPr>
          <w:t>4574- دیوان طراز یزدی‏</w:t>
        </w:r>
        <w:r>
          <w:tab/>
        </w:r>
        <w:r>
          <w:fldChar w:fldCharType="begin"/>
        </w:r>
        <w:r>
          <w:instrText xml:space="preserve">PAGEREF 4745 \h</w:instrText>
        </w:r>
        <w:r>
          <w:fldChar w:fldCharType="end"/>
        </w:r>
      </w:hyperlink>
    </w:p>
    <w:p>
      <w:pPr>
        <w:tabs>
          <w:tab w:val="right" w:leader="dot" w:pos="9062"/>
        </w:tabs>
        <w:ind w:left="440"/>
      </w:pPr>
      <w:hyperlink w:anchor="_Toc4746" w:history="1">
        <w:r>
          <w:rPr>
            <w:rFonts w:ascii="IRNazanin" w:hAnsi="IRNazanin" w:eastAsia="IRNazanin" w:cs="IRNazanin"/>
            <w:color w:val="111111"/>
            <w:sz w:val="22"/>
            <w:szCs w:val="22"/>
            <w:b w:val="0"/>
            <w:bCs w:val="0"/>
            <w:i w:val="0"/>
            <w:iCs w:val="0"/>
          </w:rPr>
          <w:t>4575- دیوان طراز یزدی‏</w:t>
        </w:r>
        <w:r>
          <w:tab/>
        </w:r>
        <w:r>
          <w:fldChar w:fldCharType="begin"/>
        </w:r>
        <w:r>
          <w:instrText xml:space="preserve">PAGEREF 4746 \h</w:instrText>
        </w:r>
        <w:r>
          <w:fldChar w:fldCharType="end"/>
        </w:r>
      </w:hyperlink>
    </w:p>
    <w:p>
      <w:pPr>
        <w:tabs>
          <w:tab w:val="right" w:leader="dot" w:pos="9062"/>
        </w:tabs>
        <w:ind w:left="440"/>
      </w:pPr>
      <w:hyperlink w:anchor="_Toc4747" w:history="1">
        <w:r>
          <w:rPr>
            <w:rFonts w:ascii="IRNazanin" w:hAnsi="IRNazanin" w:eastAsia="IRNazanin" w:cs="IRNazanin"/>
            <w:color w:val="111111"/>
            <w:sz w:val="22"/>
            <w:szCs w:val="22"/>
            <w:b w:val="0"/>
            <w:bCs w:val="0"/>
            <w:i w:val="0"/>
            <w:iCs w:val="0"/>
          </w:rPr>
          <w:t>4576- دیوان طرب أصفهانی‏</w:t>
        </w:r>
        <w:r>
          <w:tab/>
        </w:r>
        <w:r>
          <w:fldChar w:fldCharType="begin"/>
        </w:r>
        <w:r>
          <w:instrText xml:space="preserve">PAGEREF 4747 \h</w:instrText>
        </w:r>
        <w:r>
          <w:fldChar w:fldCharType="end"/>
        </w:r>
      </w:hyperlink>
    </w:p>
    <w:p>
      <w:pPr>
        <w:tabs>
          <w:tab w:val="right" w:leader="dot" w:pos="9062"/>
        </w:tabs>
        <w:ind w:left="440"/>
      </w:pPr>
      <w:hyperlink w:anchor="_Toc4748" w:history="1">
        <w:r>
          <w:rPr>
            <w:rFonts w:ascii="IRNazanin" w:hAnsi="IRNazanin" w:eastAsia="IRNazanin" w:cs="IRNazanin"/>
            <w:color w:val="111111"/>
            <w:sz w:val="22"/>
            <w:szCs w:val="22"/>
            <w:b w:val="0"/>
            <w:bCs w:val="0"/>
            <w:i w:val="0"/>
            <w:iCs w:val="0"/>
          </w:rPr>
          <w:t>4577- دیوان طرب أصفهانی‏</w:t>
        </w:r>
        <w:r>
          <w:tab/>
        </w:r>
        <w:r>
          <w:fldChar w:fldCharType="begin"/>
        </w:r>
        <w:r>
          <w:instrText xml:space="preserve">PAGEREF 4748 \h</w:instrText>
        </w:r>
        <w:r>
          <w:fldChar w:fldCharType="end"/>
        </w:r>
      </w:hyperlink>
    </w:p>
    <w:p>
      <w:pPr>
        <w:tabs>
          <w:tab w:val="right" w:leader="dot" w:pos="9062"/>
        </w:tabs>
        <w:ind w:left="440"/>
      </w:pPr>
      <w:hyperlink w:anchor="_Toc4749" w:history="1">
        <w:r>
          <w:rPr>
            <w:rFonts w:ascii="IRNazanin" w:hAnsi="IRNazanin" w:eastAsia="IRNazanin" w:cs="IRNazanin"/>
            <w:color w:val="111111"/>
            <w:sz w:val="22"/>
            <w:szCs w:val="22"/>
            <w:b w:val="0"/>
            <w:bCs w:val="0"/>
            <w:i w:val="0"/>
            <w:iCs w:val="0"/>
          </w:rPr>
          <w:t>4578- دیوان طرب شیرازی‏</w:t>
        </w:r>
        <w:r>
          <w:tab/>
        </w:r>
        <w:r>
          <w:fldChar w:fldCharType="begin"/>
        </w:r>
        <w:r>
          <w:instrText xml:space="preserve">PAGEREF 4749 \h</w:instrText>
        </w:r>
        <w:r>
          <w:fldChar w:fldCharType="end"/>
        </w:r>
      </w:hyperlink>
    </w:p>
    <w:p>
      <w:pPr>
        <w:tabs>
          <w:tab w:val="right" w:leader="dot" w:pos="9062"/>
        </w:tabs>
        <w:ind w:left="440"/>
      </w:pPr>
      <w:hyperlink w:anchor="_Toc4750" w:history="1">
        <w:r>
          <w:rPr>
            <w:rFonts w:ascii="IRNazanin" w:hAnsi="IRNazanin" w:eastAsia="IRNazanin" w:cs="IRNazanin"/>
            <w:color w:val="111111"/>
            <w:sz w:val="22"/>
            <w:szCs w:val="22"/>
            <w:b w:val="0"/>
            <w:bCs w:val="0"/>
            <w:i w:val="0"/>
            <w:iCs w:val="0"/>
          </w:rPr>
          <w:t>4579- دیوان طرب همدانی‏</w:t>
        </w:r>
        <w:r>
          <w:tab/>
        </w:r>
        <w:r>
          <w:fldChar w:fldCharType="begin"/>
        </w:r>
        <w:r>
          <w:instrText xml:space="preserve">PAGEREF 4750 \h</w:instrText>
        </w:r>
        <w:r>
          <w:fldChar w:fldCharType="end"/>
        </w:r>
      </w:hyperlink>
    </w:p>
    <w:p>
      <w:pPr>
        <w:tabs>
          <w:tab w:val="right" w:leader="dot" w:pos="9062"/>
        </w:tabs>
        <w:ind w:left="440"/>
      </w:pPr>
      <w:hyperlink w:anchor="_Toc4751" w:history="1">
        <w:r>
          <w:rPr>
            <w:rFonts w:ascii="IRNazanin" w:hAnsi="IRNazanin" w:eastAsia="IRNazanin" w:cs="IRNazanin"/>
            <w:color w:val="111111"/>
            <w:sz w:val="22"/>
            <w:szCs w:val="22"/>
            <w:b w:val="0"/>
            <w:bCs w:val="0"/>
            <w:i w:val="0"/>
            <w:iCs w:val="0"/>
          </w:rPr>
          <w:t>4580- دیوان طرزی أفشار</w:t>
        </w:r>
        <w:r>
          <w:tab/>
        </w:r>
        <w:r>
          <w:fldChar w:fldCharType="begin"/>
        </w:r>
        <w:r>
          <w:instrText xml:space="preserve">PAGEREF 4751 \h</w:instrText>
        </w:r>
        <w:r>
          <w:fldChar w:fldCharType="end"/>
        </w:r>
      </w:hyperlink>
    </w:p>
    <w:p>
      <w:pPr>
        <w:tabs>
          <w:tab w:val="right" w:leader="dot" w:pos="9062"/>
        </w:tabs>
        <w:ind w:left="440"/>
      </w:pPr>
      <w:hyperlink w:anchor="_Toc4752" w:history="1">
        <w:r>
          <w:rPr>
            <w:rFonts w:ascii="IRNazanin" w:hAnsi="IRNazanin" w:eastAsia="IRNazanin" w:cs="IRNazanin"/>
            <w:color w:val="111111"/>
            <w:sz w:val="22"/>
            <w:szCs w:val="22"/>
            <w:b w:val="0"/>
            <w:bCs w:val="0"/>
            <w:i w:val="0"/>
            <w:iCs w:val="0"/>
          </w:rPr>
          <w:t>4581- دیوان طرزی دزفولی أو شعره‏</w:t>
        </w:r>
        <w:r>
          <w:tab/>
        </w:r>
        <w:r>
          <w:fldChar w:fldCharType="begin"/>
        </w:r>
        <w:r>
          <w:instrText xml:space="preserve">PAGEREF 4752 \h</w:instrText>
        </w:r>
        <w:r>
          <w:fldChar w:fldCharType="end"/>
        </w:r>
      </w:hyperlink>
    </w:p>
    <w:p>
      <w:pPr>
        <w:tabs>
          <w:tab w:val="right" w:leader="dot" w:pos="9062"/>
        </w:tabs>
        <w:ind w:left="440"/>
      </w:pPr>
      <w:hyperlink w:anchor="_Toc4753" w:history="1">
        <w:r>
          <w:rPr>
            <w:rFonts w:ascii="IRNazanin" w:hAnsi="IRNazanin" w:eastAsia="IRNazanin" w:cs="IRNazanin"/>
            <w:color w:val="111111"/>
            <w:sz w:val="22"/>
            <w:szCs w:val="22"/>
            <w:b w:val="0"/>
            <w:bCs w:val="0"/>
            <w:i w:val="0"/>
            <w:iCs w:val="0"/>
          </w:rPr>
          <w:t>دیوان طرزی رازی‏</w:t>
        </w:r>
        <w:r>
          <w:tab/>
        </w:r>
        <w:r>
          <w:fldChar w:fldCharType="begin"/>
        </w:r>
        <w:r>
          <w:instrText xml:space="preserve">PAGEREF 4753 \h</w:instrText>
        </w:r>
        <w:r>
          <w:fldChar w:fldCharType="end"/>
        </w:r>
      </w:hyperlink>
    </w:p>
    <w:p>
      <w:pPr>
        <w:tabs>
          <w:tab w:val="right" w:leader="dot" w:pos="9062"/>
        </w:tabs>
        <w:ind w:left="440"/>
      </w:pPr>
      <w:hyperlink w:anchor="_Toc4754" w:history="1">
        <w:r>
          <w:rPr>
            <w:rFonts w:ascii="IRNazanin" w:hAnsi="IRNazanin" w:eastAsia="IRNazanin" w:cs="IRNazanin"/>
            <w:color w:val="111111"/>
            <w:sz w:val="22"/>
            <w:szCs w:val="22"/>
            <w:b w:val="0"/>
            <w:bCs w:val="0"/>
            <w:i w:val="0"/>
            <w:iCs w:val="0"/>
          </w:rPr>
          <w:t>4582- دیوان طرزی شبستری‏</w:t>
        </w:r>
        <w:r>
          <w:tab/>
        </w:r>
        <w:r>
          <w:fldChar w:fldCharType="begin"/>
        </w:r>
        <w:r>
          <w:instrText xml:space="preserve">PAGEREF 4754 \h</w:instrText>
        </w:r>
        <w:r>
          <w:fldChar w:fldCharType="end"/>
        </w:r>
      </w:hyperlink>
    </w:p>
    <w:p>
      <w:pPr>
        <w:tabs>
          <w:tab w:val="right" w:leader="dot" w:pos="9062"/>
        </w:tabs>
        <w:ind w:left="440"/>
      </w:pPr>
      <w:hyperlink w:anchor="_Toc4755" w:history="1">
        <w:r>
          <w:rPr>
            <w:rFonts w:ascii="IRNazanin" w:hAnsi="IRNazanin" w:eastAsia="IRNazanin" w:cs="IRNazanin"/>
            <w:color w:val="111111"/>
            <w:sz w:val="22"/>
            <w:szCs w:val="22"/>
            <w:b w:val="0"/>
            <w:bCs w:val="0"/>
            <w:i w:val="0"/>
            <w:iCs w:val="0"/>
          </w:rPr>
          <w:t>4583- دیوان طرزی شیرازی‏</w:t>
        </w:r>
        <w:r>
          <w:tab/>
        </w:r>
        <w:r>
          <w:fldChar w:fldCharType="begin"/>
        </w:r>
        <w:r>
          <w:instrText xml:space="preserve">PAGEREF 4755 \h</w:instrText>
        </w:r>
        <w:r>
          <w:fldChar w:fldCharType="end"/>
        </w:r>
      </w:hyperlink>
    </w:p>
    <w:p>
      <w:pPr>
        <w:tabs>
          <w:tab w:val="right" w:leader="dot" w:pos="9062"/>
        </w:tabs>
        <w:ind w:left="440"/>
      </w:pPr>
      <w:hyperlink w:anchor="_Toc4756" w:history="1">
        <w:r>
          <w:rPr>
            <w:rFonts w:ascii="IRNazanin" w:hAnsi="IRNazanin" w:eastAsia="IRNazanin" w:cs="IRNazanin"/>
            <w:color w:val="111111"/>
            <w:sz w:val="22"/>
            <w:szCs w:val="22"/>
            <w:b w:val="0"/>
            <w:bCs w:val="0"/>
            <w:i w:val="0"/>
            <w:iCs w:val="0"/>
          </w:rPr>
          <w:t>دیوان طرزی طرشتی‏</w:t>
        </w:r>
        <w:r>
          <w:tab/>
        </w:r>
        <w:r>
          <w:fldChar w:fldCharType="begin"/>
        </w:r>
        <w:r>
          <w:instrText xml:space="preserve">PAGEREF 4756 \h</w:instrText>
        </w:r>
        <w:r>
          <w:fldChar w:fldCharType="end"/>
        </w:r>
      </w:hyperlink>
    </w:p>
    <w:p>
      <w:pPr>
        <w:tabs>
          <w:tab w:val="right" w:leader="dot" w:pos="9062"/>
        </w:tabs>
        <w:ind w:left="440"/>
      </w:pPr>
      <w:hyperlink w:anchor="_Toc4757" w:history="1">
        <w:r>
          <w:rPr>
            <w:rFonts w:ascii="IRNazanin" w:hAnsi="IRNazanin" w:eastAsia="IRNazanin" w:cs="IRNazanin"/>
            <w:color w:val="111111"/>
            <w:sz w:val="22"/>
            <w:szCs w:val="22"/>
            <w:b w:val="0"/>
            <w:bCs w:val="0"/>
            <w:i w:val="0"/>
            <w:iCs w:val="0"/>
          </w:rPr>
          <w:t>4584- دیوان طرطری هندی‏</w:t>
        </w:r>
        <w:r>
          <w:tab/>
        </w:r>
        <w:r>
          <w:fldChar w:fldCharType="begin"/>
        </w:r>
        <w:r>
          <w:instrText xml:space="preserve">PAGEREF 4757 \h</w:instrText>
        </w:r>
        <w:r>
          <w:fldChar w:fldCharType="end"/>
        </w:r>
      </w:hyperlink>
    </w:p>
    <w:p>
      <w:pPr>
        <w:tabs>
          <w:tab w:val="right" w:leader="dot" w:pos="9062"/>
        </w:tabs>
        <w:ind w:left="440"/>
      </w:pPr>
      <w:hyperlink w:anchor="_Toc4758" w:history="1">
        <w:r>
          <w:rPr>
            <w:rFonts w:ascii="IRNazanin" w:hAnsi="IRNazanin" w:eastAsia="IRNazanin" w:cs="IRNazanin"/>
            <w:color w:val="111111"/>
            <w:sz w:val="22"/>
            <w:szCs w:val="22"/>
            <w:b w:val="0"/>
            <w:bCs w:val="0"/>
            <w:i w:val="0"/>
            <w:iCs w:val="0"/>
          </w:rPr>
          <w:t>4585- دیوان طرفة المحلاتی‏</w:t>
        </w:r>
        <w:r>
          <w:tab/>
        </w:r>
        <w:r>
          <w:fldChar w:fldCharType="begin"/>
        </w:r>
        <w:r>
          <w:instrText xml:space="preserve">PAGEREF 4758 \h</w:instrText>
        </w:r>
        <w:r>
          <w:fldChar w:fldCharType="end"/>
        </w:r>
      </w:hyperlink>
    </w:p>
    <w:p>
      <w:pPr>
        <w:tabs>
          <w:tab w:val="right" w:leader="dot" w:pos="9062"/>
        </w:tabs>
        <w:ind w:left="440"/>
      </w:pPr>
      <w:hyperlink w:anchor="_Toc4759" w:history="1">
        <w:r>
          <w:rPr>
            <w:rFonts w:ascii="IRNazanin" w:hAnsi="IRNazanin" w:eastAsia="IRNazanin" w:cs="IRNazanin"/>
            <w:color w:val="111111"/>
            <w:sz w:val="22"/>
            <w:szCs w:val="22"/>
            <w:b w:val="0"/>
            <w:bCs w:val="0"/>
            <w:i w:val="0"/>
            <w:iCs w:val="0"/>
          </w:rPr>
          <w:t>4586- دیوان الطریحی أو شعره‏</w:t>
        </w:r>
        <w:r>
          <w:tab/>
        </w:r>
        <w:r>
          <w:fldChar w:fldCharType="begin"/>
        </w:r>
        <w:r>
          <w:instrText xml:space="preserve">PAGEREF 4759 \h</w:instrText>
        </w:r>
        <w:r>
          <w:fldChar w:fldCharType="end"/>
        </w:r>
      </w:hyperlink>
    </w:p>
    <w:p>
      <w:pPr>
        <w:tabs>
          <w:tab w:val="right" w:leader="dot" w:pos="9062"/>
        </w:tabs>
        <w:ind w:left="440"/>
      </w:pPr>
      <w:hyperlink w:anchor="_Toc4760" w:history="1">
        <w:r>
          <w:rPr>
            <w:rFonts w:ascii="IRNazanin" w:hAnsi="IRNazanin" w:eastAsia="IRNazanin" w:cs="IRNazanin"/>
            <w:color w:val="111111"/>
            <w:sz w:val="22"/>
            <w:szCs w:val="22"/>
            <w:b w:val="0"/>
            <w:bCs w:val="0"/>
            <w:i w:val="0"/>
            <w:iCs w:val="0"/>
          </w:rPr>
          <w:t>4587- دیوان الطریحی‏</w:t>
        </w:r>
        <w:r>
          <w:tab/>
        </w:r>
        <w:r>
          <w:fldChar w:fldCharType="begin"/>
        </w:r>
        <w:r>
          <w:instrText xml:space="preserve">PAGEREF 4760 \h</w:instrText>
        </w:r>
        <w:r>
          <w:fldChar w:fldCharType="end"/>
        </w:r>
      </w:hyperlink>
    </w:p>
    <w:p>
      <w:pPr>
        <w:tabs>
          <w:tab w:val="right" w:leader="dot" w:pos="9062"/>
        </w:tabs>
        <w:ind w:left="440"/>
      </w:pPr>
      <w:hyperlink w:anchor="_Toc4761" w:history="1">
        <w:r>
          <w:rPr>
            <w:rFonts w:ascii="IRNazanin" w:hAnsi="IRNazanin" w:eastAsia="IRNazanin" w:cs="IRNazanin"/>
            <w:color w:val="111111"/>
            <w:sz w:val="22"/>
            <w:szCs w:val="22"/>
            <w:b w:val="0"/>
            <w:bCs w:val="0"/>
            <w:i w:val="0"/>
            <w:iCs w:val="0"/>
          </w:rPr>
          <w:t>4588- دیوان طریفی ساوجی أو شعره‏</w:t>
        </w:r>
        <w:r>
          <w:tab/>
        </w:r>
        <w:r>
          <w:fldChar w:fldCharType="begin"/>
        </w:r>
        <w:r>
          <w:instrText xml:space="preserve">PAGEREF 4761 \h</w:instrText>
        </w:r>
        <w:r>
          <w:fldChar w:fldCharType="end"/>
        </w:r>
      </w:hyperlink>
    </w:p>
    <w:p>
      <w:pPr>
        <w:tabs>
          <w:tab w:val="right" w:leader="dot" w:pos="9062"/>
        </w:tabs>
        <w:ind w:left="440"/>
      </w:pPr>
      <w:hyperlink w:anchor="_Toc4762" w:history="1">
        <w:r>
          <w:rPr>
            <w:rFonts w:ascii="IRNazanin" w:hAnsi="IRNazanin" w:eastAsia="IRNazanin" w:cs="IRNazanin"/>
            <w:color w:val="111111"/>
            <w:sz w:val="22"/>
            <w:szCs w:val="22"/>
            <w:b w:val="0"/>
            <w:bCs w:val="0"/>
            <w:i w:val="0"/>
            <w:iCs w:val="0"/>
          </w:rPr>
          <w:t>4589- دیوان طریقتی کرمانی‏</w:t>
        </w:r>
        <w:r>
          <w:tab/>
        </w:r>
        <w:r>
          <w:fldChar w:fldCharType="begin"/>
        </w:r>
        <w:r>
          <w:instrText xml:space="preserve">PAGEREF 4762 \h</w:instrText>
        </w:r>
        <w:r>
          <w:fldChar w:fldCharType="end"/>
        </w:r>
      </w:hyperlink>
    </w:p>
    <w:p>
      <w:pPr>
        <w:tabs>
          <w:tab w:val="right" w:leader="dot" w:pos="9062"/>
        </w:tabs>
        <w:ind w:left="440"/>
      </w:pPr>
      <w:hyperlink w:anchor="_Toc4763" w:history="1">
        <w:r>
          <w:rPr>
            <w:rFonts w:ascii="IRNazanin" w:hAnsi="IRNazanin" w:eastAsia="IRNazanin" w:cs="IRNazanin"/>
            <w:color w:val="111111"/>
            <w:sz w:val="22"/>
            <w:szCs w:val="22"/>
            <w:b w:val="0"/>
            <w:bCs w:val="0"/>
            <w:i w:val="0"/>
            <w:iCs w:val="0"/>
          </w:rPr>
          <w:t>4590- دیوان طغرائی فریومدی‏</w:t>
        </w:r>
        <w:r>
          <w:tab/>
        </w:r>
        <w:r>
          <w:fldChar w:fldCharType="begin"/>
        </w:r>
        <w:r>
          <w:instrText xml:space="preserve">PAGEREF 4763 \h</w:instrText>
        </w:r>
        <w:r>
          <w:fldChar w:fldCharType="end"/>
        </w:r>
      </w:hyperlink>
    </w:p>
    <w:p>
      <w:pPr>
        <w:tabs>
          <w:tab w:val="right" w:leader="dot" w:pos="9062"/>
        </w:tabs>
        <w:ind w:left="440"/>
      </w:pPr>
      <w:hyperlink w:anchor="_Toc4764" w:history="1">
        <w:r>
          <w:rPr>
            <w:rFonts w:ascii="IRNazanin" w:hAnsi="IRNazanin" w:eastAsia="IRNazanin" w:cs="IRNazanin"/>
            <w:color w:val="111111"/>
            <w:sz w:val="22"/>
            <w:szCs w:val="22"/>
            <w:b w:val="0"/>
            <w:bCs w:val="0"/>
            <w:i w:val="0"/>
            <w:iCs w:val="0"/>
          </w:rPr>
          <w:t>4591- دیوان طغرائی‏</w:t>
        </w:r>
        <w:r>
          <w:tab/>
        </w:r>
        <w:r>
          <w:fldChar w:fldCharType="begin"/>
        </w:r>
        <w:r>
          <w:instrText xml:space="preserve">PAGEREF 4764 \h</w:instrText>
        </w:r>
        <w:r>
          <w:fldChar w:fldCharType="end"/>
        </w:r>
      </w:hyperlink>
    </w:p>
    <w:p>
      <w:pPr>
        <w:tabs>
          <w:tab w:val="right" w:leader="dot" w:pos="9062"/>
        </w:tabs>
        <w:ind w:left="440"/>
      </w:pPr>
      <w:hyperlink w:anchor="_Toc4765" w:history="1">
        <w:r>
          <w:rPr>
            <w:rFonts w:ascii="IRNazanin" w:hAnsi="IRNazanin" w:eastAsia="IRNazanin" w:cs="IRNazanin"/>
            <w:color w:val="111111"/>
            <w:sz w:val="22"/>
            <w:szCs w:val="22"/>
            <w:b w:val="0"/>
            <w:bCs w:val="0"/>
            <w:i w:val="0"/>
            <w:iCs w:val="0"/>
          </w:rPr>
          <w:t>4592- دیوان طغرای مشهدی‏</w:t>
        </w:r>
        <w:r>
          <w:tab/>
        </w:r>
        <w:r>
          <w:fldChar w:fldCharType="begin"/>
        </w:r>
        <w:r>
          <w:instrText xml:space="preserve">PAGEREF 4765 \h</w:instrText>
        </w:r>
        <w:r>
          <w:fldChar w:fldCharType="end"/>
        </w:r>
      </w:hyperlink>
    </w:p>
    <w:p>
      <w:pPr>
        <w:tabs>
          <w:tab w:val="right" w:leader="dot" w:pos="9062"/>
        </w:tabs>
        <w:ind w:left="440"/>
      </w:pPr>
      <w:hyperlink w:anchor="_Toc4766" w:history="1">
        <w:r>
          <w:rPr>
            <w:rFonts w:ascii="IRNazanin" w:hAnsi="IRNazanin" w:eastAsia="IRNazanin" w:cs="IRNazanin"/>
            <w:color w:val="111111"/>
            <w:sz w:val="22"/>
            <w:szCs w:val="22"/>
            <w:b w:val="0"/>
            <w:bCs w:val="0"/>
            <w:i w:val="0"/>
            <w:iCs w:val="0"/>
          </w:rPr>
          <w:t>4593- دیوان طغرای مشهدی أو شعره‏</w:t>
        </w:r>
        <w:r>
          <w:tab/>
        </w:r>
        <w:r>
          <w:fldChar w:fldCharType="begin"/>
        </w:r>
        <w:r>
          <w:instrText xml:space="preserve">PAGEREF 4766 \h</w:instrText>
        </w:r>
        <w:r>
          <w:fldChar w:fldCharType="end"/>
        </w:r>
      </w:hyperlink>
    </w:p>
    <w:p>
      <w:pPr>
        <w:tabs>
          <w:tab w:val="right" w:leader="dot" w:pos="9062"/>
        </w:tabs>
        <w:ind w:left="440"/>
      </w:pPr>
      <w:hyperlink w:anchor="_Toc4767" w:history="1">
        <w:r>
          <w:rPr>
            <w:rFonts w:ascii="IRNazanin" w:hAnsi="IRNazanin" w:eastAsia="IRNazanin" w:cs="IRNazanin"/>
            <w:color w:val="111111"/>
            <w:sz w:val="22"/>
            <w:szCs w:val="22"/>
            <w:b w:val="0"/>
            <w:bCs w:val="0"/>
            <w:i w:val="0"/>
            <w:iCs w:val="0"/>
          </w:rPr>
          <w:t>4594- دیوان طغرل السلجوقی أو شعره‏</w:t>
        </w:r>
        <w:r>
          <w:tab/>
        </w:r>
        <w:r>
          <w:fldChar w:fldCharType="begin"/>
        </w:r>
        <w:r>
          <w:instrText xml:space="preserve">PAGEREF 4767 \h</w:instrText>
        </w:r>
        <w:r>
          <w:fldChar w:fldCharType="end"/>
        </w:r>
      </w:hyperlink>
    </w:p>
    <w:p>
      <w:pPr>
        <w:tabs>
          <w:tab w:val="right" w:leader="dot" w:pos="9062"/>
        </w:tabs>
        <w:ind w:left="440"/>
      </w:pPr>
      <w:hyperlink w:anchor="_Toc4768" w:history="1">
        <w:r>
          <w:rPr>
            <w:rFonts w:ascii="IRNazanin" w:hAnsi="IRNazanin" w:eastAsia="IRNazanin" w:cs="IRNazanin"/>
            <w:color w:val="111111"/>
            <w:sz w:val="22"/>
            <w:szCs w:val="22"/>
            <w:b w:val="0"/>
            <w:bCs w:val="0"/>
            <w:i w:val="0"/>
            <w:iCs w:val="0"/>
          </w:rPr>
          <w:t>4595- دیوان طغرل قاجار</w:t>
        </w:r>
        <w:r>
          <w:tab/>
        </w:r>
        <w:r>
          <w:fldChar w:fldCharType="begin"/>
        </w:r>
        <w:r>
          <w:instrText xml:space="preserve">PAGEREF 4768 \h</w:instrText>
        </w:r>
        <w:r>
          <w:fldChar w:fldCharType="end"/>
        </w:r>
      </w:hyperlink>
    </w:p>
    <w:p>
      <w:pPr>
        <w:tabs>
          <w:tab w:val="right" w:leader="dot" w:pos="9062"/>
        </w:tabs>
        <w:ind w:left="440"/>
      </w:pPr>
      <w:hyperlink w:anchor="_Toc4769" w:history="1">
        <w:r>
          <w:rPr>
            <w:rFonts w:ascii="IRNazanin" w:hAnsi="IRNazanin" w:eastAsia="IRNazanin" w:cs="IRNazanin"/>
            <w:color w:val="111111"/>
            <w:sz w:val="22"/>
            <w:szCs w:val="22"/>
            <w:b w:val="0"/>
            <w:bCs w:val="0"/>
            <w:i w:val="0"/>
            <w:iCs w:val="0"/>
          </w:rPr>
          <w:t>4596- دیوان طفیلی إبدال أو شعره‏</w:t>
        </w:r>
        <w:r>
          <w:tab/>
        </w:r>
        <w:r>
          <w:fldChar w:fldCharType="begin"/>
        </w:r>
        <w:r>
          <w:instrText xml:space="preserve">PAGEREF 4769 \h</w:instrText>
        </w:r>
        <w:r>
          <w:fldChar w:fldCharType="end"/>
        </w:r>
      </w:hyperlink>
    </w:p>
    <w:p>
      <w:pPr>
        <w:tabs>
          <w:tab w:val="right" w:leader="dot" w:pos="9062"/>
        </w:tabs>
        <w:ind w:left="440"/>
      </w:pPr>
      <w:hyperlink w:anchor="_Toc4770" w:history="1">
        <w:r>
          <w:rPr>
            <w:rFonts w:ascii="IRNazanin" w:hAnsi="IRNazanin" w:eastAsia="IRNazanin" w:cs="IRNazanin"/>
            <w:color w:val="111111"/>
            <w:sz w:val="22"/>
            <w:szCs w:val="22"/>
            <w:b w:val="0"/>
            <w:bCs w:val="0"/>
            <w:i w:val="0"/>
            <w:iCs w:val="0"/>
          </w:rPr>
          <w:t>4597- دیوان طفیلی بناء أو شعره‏</w:t>
        </w:r>
        <w:r>
          <w:tab/>
        </w:r>
        <w:r>
          <w:fldChar w:fldCharType="begin"/>
        </w:r>
        <w:r>
          <w:instrText xml:space="preserve">PAGEREF 4770 \h</w:instrText>
        </w:r>
        <w:r>
          <w:fldChar w:fldCharType="end"/>
        </w:r>
      </w:hyperlink>
    </w:p>
    <w:p>
      <w:pPr>
        <w:tabs>
          <w:tab w:val="right" w:leader="dot" w:pos="9062"/>
        </w:tabs>
        <w:ind w:left="440"/>
      </w:pPr>
      <w:hyperlink w:anchor="_Toc4771" w:history="1">
        <w:r>
          <w:rPr>
            <w:rFonts w:ascii="IRNazanin" w:hAnsi="IRNazanin" w:eastAsia="IRNazanin" w:cs="IRNazanin"/>
            <w:color w:val="111111"/>
            <w:sz w:val="22"/>
            <w:szCs w:val="22"/>
            <w:b w:val="0"/>
            <w:bCs w:val="0"/>
            <w:i w:val="0"/>
            <w:iCs w:val="0"/>
          </w:rPr>
          <w:t>4598- دیوان طفیلی حصاری أو شعره‏</w:t>
        </w:r>
        <w:r>
          <w:tab/>
        </w:r>
        <w:r>
          <w:fldChar w:fldCharType="begin"/>
        </w:r>
        <w:r>
          <w:instrText xml:space="preserve">PAGEREF 4771 \h</w:instrText>
        </w:r>
        <w:r>
          <w:fldChar w:fldCharType="end"/>
        </w:r>
      </w:hyperlink>
    </w:p>
    <w:p>
      <w:pPr>
        <w:tabs>
          <w:tab w:val="right" w:leader="dot" w:pos="9062"/>
        </w:tabs>
        <w:ind w:left="440"/>
      </w:pPr>
      <w:hyperlink w:anchor="_Toc4772" w:history="1">
        <w:r>
          <w:rPr>
            <w:rFonts w:ascii="IRNazanin" w:hAnsi="IRNazanin" w:eastAsia="IRNazanin" w:cs="IRNazanin"/>
            <w:color w:val="111111"/>
            <w:sz w:val="22"/>
            <w:szCs w:val="22"/>
            <w:b w:val="0"/>
            <w:bCs w:val="0"/>
            <w:i w:val="0"/>
            <w:iCs w:val="0"/>
          </w:rPr>
          <w:t>4599- دیوان طفیلی لاهیجی‏</w:t>
        </w:r>
        <w:r>
          <w:tab/>
        </w:r>
        <w:r>
          <w:fldChar w:fldCharType="begin"/>
        </w:r>
        <w:r>
          <w:instrText xml:space="preserve">PAGEREF 4772 \h</w:instrText>
        </w:r>
        <w:r>
          <w:fldChar w:fldCharType="end"/>
        </w:r>
      </w:hyperlink>
    </w:p>
    <w:p>
      <w:pPr>
        <w:tabs>
          <w:tab w:val="right" w:leader="dot" w:pos="9062"/>
        </w:tabs>
        <w:ind w:left="440"/>
      </w:pPr>
      <w:hyperlink w:anchor="_Toc4773" w:history="1">
        <w:r>
          <w:rPr>
            <w:rFonts w:ascii="IRNazanin" w:hAnsi="IRNazanin" w:eastAsia="IRNazanin" w:cs="IRNazanin"/>
            <w:color w:val="111111"/>
            <w:sz w:val="22"/>
            <w:szCs w:val="22"/>
            <w:b w:val="0"/>
            <w:bCs w:val="0"/>
            <w:i w:val="0"/>
            <w:iCs w:val="0"/>
          </w:rPr>
          <w:t>4600- دیوان طفیلی هروی‏</w:t>
        </w:r>
        <w:r>
          <w:tab/>
        </w:r>
        <w:r>
          <w:fldChar w:fldCharType="begin"/>
        </w:r>
        <w:r>
          <w:instrText xml:space="preserve">PAGEREF 4773 \h</w:instrText>
        </w:r>
        <w:r>
          <w:fldChar w:fldCharType="end"/>
        </w:r>
      </w:hyperlink>
    </w:p>
    <w:p>
      <w:pPr>
        <w:tabs>
          <w:tab w:val="right" w:leader="dot" w:pos="9062"/>
        </w:tabs>
        <w:ind w:left="440"/>
      </w:pPr>
      <w:hyperlink w:anchor="_Toc4774" w:history="1">
        <w:r>
          <w:rPr>
            <w:rFonts w:ascii="IRNazanin" w:hAnsi="IRNazanin" w:eastAsia="IRNazanin" w:cs="IRNazanin"/>
            <w:color w:val="111111"/>
            <w:sz w:val="22"/>
            <w:szCs w:val="22"/>
            <w:b w:val="0"/>
            <w:bCs w:val="0"/>
            <w:i w:val="0"/>
            <w:iCs w:val="0"/>
          </w:rPr>
          <w:t>4601- دیوان طلائع بن زریک‏</w:t>
        </w:r>
        <w:r>
          <w:tab/>
        </w:r>
        <w:r>
          <w:fldChar w:fldCharType="begin"/>
        </w:r>
        <w:r>
          <w:instrText xml:space="preserve">PAGEREF 4774 \h</w:instrText>
        </w:r>
        <w:r>
          <w:fldChar w:fldCharType="end"/>
        </w:r>
      </w:hyperlink>
    </w:p>
    <w:p>
      <w:pPr>
        <w:tabs>
          <w:tab w:val="right" w:leader="dot" w:pos="9062"/>
        </w:tabs>
        <w:ind w:left="440"/>
      </w:pPr>
      <w:hyperlink w:anchor="_Toc4775" w:history="1">
        <w:r>
          <w:rPr>
            <w:rFonts w:ascii="IRNazanin" w:hAnsi="IRNazanin" w:eastAsia="IRNazanin" w:cs="IRNazanin"/>
            <w:color w:val="111111"/>
            <w:sz w:val="22"/>
            <w:szCs w:val="22"/>
            <w:b w:val="0"/>
            <w:bCs w:val="0"/>
            <w:i w:val="0"/>
            <w:iCs w:val="0"/>
          </w:rPr>
          <w:t>4602- دیوان طلعت أصفهانی‏</w:t>
        </w:r>
        <w:r>
          <w:tab/>
        </w:r>
        <w:r>
          <w:fldChar w:fldCharType="begin"/>
        </w:r>
        <w:r>
          <w:instrText xml:space="preserve">PAGEREF 4775 \h</w:instrText>
        </w:r>
        <w:r>
          <w:fldChar w:fldCharType="end"/>
        </w:r>
      </w:hyperlink>
    </w:p>
    <w:p>
      <w:pPr>
        <w:tabs>
          <w:tab w:val="right" w:leader="dot" w:pos="9062"/>
        </w:tabs>
        <w:ind w:left="440"/>
      </w:pPr>
      <w:hyperlink w:anchor="_Toc4776" w:history="1">
        <w:r>
          <w:rPr>
            <w:rFonts w:ascii="IRNazanin" w:hAnsi="IRNazanin" w:eastAsia="IRNazanin" w:cs="IRNazanin"/>
            <w:color w:val="111111"/>
            <w:sz w:val="22"/>
            <w:szCs w:val="22"/>
            <w:b w:val="0"/>
            <w:bCs w:val="0"/>
            <w:i w:val="0"/>
            <w:iCs w:val="0"/>
          </w:rPr>
          <w:t>4603- دیوان طلعت تبریزی‏</w:t>
        </w:r>
        <w:r>
          <w:tab/>
        </w:r>
        <w:r>
          <w:fldChar w:fldCharType="begin"/>
        </w:r>
        <w:r>
          <w:instrText xml:space="preserve">PAGEREF 4776 \h</w:instrText>
        </w:r>
        <w:r>
          <w:fldChar w:fldCharType="end"/>
        </w:r>
      </w:hyperlink>
    </w:p>
    <w:p>
      <w:pPr>
        <w:tabs>
          <w:tab w:val="right" w:leader="dot" w:pos="9062"/>
        </w:tabs>
        <w:ind w:left="440"/>
      </w:pPr>
      <w:hyperlink w:anchor="_Toc4777" w:history="1">
        <w:r>
          <w:rPr>
            <w:rFonts w:ascii="IRNazanin" w:hAnsi="IRNazanin" w:eastAsia="IRNazanin" w:cs="IRNazanin"/>
            <w:color w:val="111111"/>
            <w:sz w:val="22"/>
            <w:szCs w:val="22"/>
            <w:b w:val="0"/>
            <w:bCs w:val="0"/>
            <w:i w:val="0"/>
            <w:iCs w:val="0"/>
          </w:rPr>
          <w:t>4604- دیوان طلعت یزدی‏</w:t>
        </w:r>
        <w:r>
          <w:tab/>
        </w:r>
        <w:r>
          <w:fldChar w:fldCharType="begin"/>
        </w:r>
        <w:r>
          <w:instrText xml:space="preserve">PAGEREF 4777 \h</w:instrText>
        </w:r>
        <w:r>
          <w:fldChar w:fldCharType="end"/>
        </w:r>
      </w:hyperlink>
    </w:p>
    <w:p>
      <w:pPr>
        <w:tabs>
          <w:tab w:val="right" w:leader="dot" w:pos="9062"/>
        </w:tabs>
        <w:ind w:left="440"/>
      </w:pPr>
      <w:hyperlink w:anchor="_Toc4778" w:history="1">
        <w:r>
          <w:rPr>
            <w:rFonts w:ascii="IRNazanin" w:hAnsi="IRNazanin" w:eastAsia="IRNazanin" w:cs="IRNazanin"/>
            <w:color w:val="111111"/>
            <w:sz w:val="22"/>
            <w:szCs w:val="22"/>
            <w:b w:val="0"/>
            <w:bCs w:val="0"/>
            <w:i w:val="0"/>
            <w:iCs w:val="0"/>
          </w:rPr>
          <w:t>4605- دیوان طلوعی أراکی‏</w:t>
        </w:r>
        <w:r>
          <w:tab/>
        </w:r>
        <w:r>
          <w:fldChar w:fldCharType="begin"/>
        </w:r>
        <w:r>
          <w:instrText xml:space="preserve">PAGEREF 4778 \h</w:instrText>
        </w:r>
        <w:r>
          <w:fldChar w:fldCharType="end"/>
        </w:r>
      </w:hyperlink>
    </w:p>
    <w:p>
      <w:pPr>
        <w:tabs>
          <w:tab w:val="right" w:leader="dot" w:pos="9062"/>
        </w:tabs>
        <w:ind w:left="440"/>
      </w:pPr>
      <w:hyperlink w:anchor="_Toc4779" w:history="1">
        <w:r>
          <w:rPr>
            <w:rFonts w:ascii="IRNazanin" w:hAnsi="IRNazanin" w:eastAsia="IRNazanin" w:cs="IRNazanin"/>
            <w:color w:val="111111"/>
            <w:sz w:val="22"/>
            <w:szCs w:val="22"/>
            <w:b w:val="0"/>
            <w:bCs w:val="0"/>
            <w:i w:val="0"/>
            <w:iCs w:val="0"/>
          </w:rPr>
          <w:t>4606- دیوان طلوعی تبریزی أو شعره‏</w:t>
        </w:r>
        <w:r>
          <w:tab/>
        </w:r>
        <w:r>
          <w:fldChar w:fldCharType="begin"/>
        </w:r>
        <w:r>
          <w:instrText xml:space="preserve">PAGEREF 4779 \h</w:instrText>
        </w:r>
        <w:r>
          <w:fldChar w:fldCharType="end"/>
        </w:r>
      </w:hyperlink>
    </w:p>
    <w:p>
      <w:pPr>
        <w:tabs>
          <w:tab w:val="right" w:leader="dot" w:pos="9062"/>
        </w:tabs>
        <w:ind w:left="440"/>
      </w:pPr>
      <w:hyperlink w:anchor="_Toc4780" w:history="1">
        <w:r>
          <w:rPr>
            <w:rFonts w:ascii="IRNazanin" w:hAnsi="IRNazanin" w:eastAsia="IRNazanin" w:cs="IRNazanin"/>
            <w:color w:val="111111"/>
            <w:sz w:val="22"/>
            <w:szCs w:val="22"/>
            <w:b w:val="0"/>
            <w:bCs w:val="0"/>
            <w:i w:val="0"/>
            <w:iCs w:val="0"/>
          </w:rPr>
          <w:t>4607- دیوان طلوعی گیلانی‏</w:t>
        </w:r>
        <w:r>
          <w:tab/>
        </w:r>
        <w:r>
          <w:fldChar w:fldCharType="begin"/>
        </w:r>
        <w:r>
          <w:instrText xml:space="preserve">PAGEREF 4780 \h</w:instrText>
        </w:r>
        <w:r>
          <w:fldChar w:fldCharType="end"/>
        </w:r>
      </w:hyperlink>
    </w:p>
    <w:p>
      <w:pPr>
        <w:tabs>
          <w:tab w:val="right" w:leader="dot" w:pos="9062"/>
        </w:tabs>
        <w:ind w:left="440"/>
      </w:pPr>
      <w:hyperlink w:anchor="_Toc4781" w:history="1">
        <w:r>
          <w:rPr>
            <w:rFonts w:ascii="IRNazanin" w:hAnsi="IRNazanin" w:eastAsia="IRNazanin" w:cs="IRNazanin"/>
            <w:color w:val="111111"/>
            <w:sz w:val="22"/>
            <w:szCs w:val="22"/>
            <w:b w:val="0"/>
            <w:bCs w:val="0"/>
            <w:i w:val="0"/>
            <w:iCs w:val="0"/>
          </w:rPr>
          <w:t>4608- دیوان طوبی أصفهانی أو شعره‏</w:t>
        </w:r>
        <w:r>
          <w:tab/>
        </w:r>
        <w:r>
          <w:fldChar w:fldCharType="begin"/>
        </w:r>
        <w:r>
          <w:instrText xml:space="preserve">PAGEREF 4781 \h</w:instrText>
        </w:r>
        <w:r>
          <w:fldChar w:fldCharType="end"/>
        </w:r>
      </w:hyperlink>
    </w:p>
    <w:p>
      <w:pPr>
        <w:tabs>
          <w:tab w:val="right" w:leader="dot" w:pos="9062"/>
        </w:tabs>
        <w:ind w:left="440"/>
      </w:pPr>
      <w:hyperlink w:anchor="_Toc4782" w:history="1">
        <w:r>
          <w:rPr>
            <w:rFonts w:ascii="IRNazanin" w:hAnsi="IRNazanin" w:eastAsia="IRNazanin" w:cs="IRNazanin"/>
            <w:color w:val="111111"/>
            <w:sz w:val="22"/>
            <w:szCs w:val="22"/>
            <w:b w:val="0"/>
            <w:bCs w:val="0"/>
            <w:i w:val="0"/>
            <w:iCs w:val="0"/>
          </w:rPr>
          <w:t>4609- دیوان طوبی دزفولی أو شعره‏</w:t>
        </w:r>
        <w:r>
          <w:tab/>
        </w:r>
        <w:r>
          <w:fldChar w:fldCharType="begin"/>
        </w:r>
        <w:r>
          <w:instrText xml:space="preserve">PAGEREF 4782 \h</w:instrText>
        </w:r>
        <w:r>
          <w:fldChar w:fldCharType="end"/>
        </w:r>
      </w:hyperlink>
    </w:p>
    <w:p>
      <w:pPr>
        <w:tabs>
          <w:tab w:val="right" w:leader="dot" w:pos="9062"/>
        </w:tabs>
        <w:ind w:left="440"/>
      </w:pPr>
      <w:hyperlink w:anchor="_Toc4783" w:history="1">
        <w:r>
          <w:rPr>
            <w:rFonts w:ascii="IRNazanin" w:hAnsi="IRNazanin" w:eastAsia="IRNazanin" w:cs="IRNazanin"/>
            <w:color w:val="111111"/>
            <w:sz w:val="22"/>
            <w:szCs w:val="22"/>
            <w:b w:val="0"/>
            <w:bCs w:val="0"/>
            <w:i w:val="0"/>
            <w:iCs w:val="0"/>
          </w:rPr>
          <w:t>4610- دیوان طوبی شهرستانی‏</w:t>
        </w:r>
        <w:r>
          <w:tab/>
        </w:r>
        <w:r>
          <w:fldChar w:fldCharType="begin"/>
        </w:r>
        <w:r>
          <w:instrText xml:space="preserve">PAGEREF 4783 \h</w:instrText>
        </w:r>
        <w:r>
          <w:fldChar w:fldCharType="end"/>
        </w:r>
      </w:hyperlink>
    </w:p>
    <w:p>
      <w:pPr>
        <w:tabs>
          <w:tab w:val="right" w:leader="dot" w:pos="9062"/>
        </w:tabs>
        <w:ind w:left="440"/>
      </w:pPr>
      <w:hyperlink w:anchor="_Toc4784" w:history="1">
        <w:r>
          <w:rPr>
            <w:rFonts w:ascii="IRNazanin" w:hAnsi="IRNazanin" w:eastAsia="IRNazanin" w:cs="IRNazanin"/>
            <w:color w:val="111111"/>
            <w:sz w:val="22"/>
            <w:szCs w:val="22"/>
            <w:b w:val="0"/>
            <w:bCs w:val="0"/>
            <w:i w:val="0"/>
            <w:iCs w:val="0"/>
          </w:rPr>
          <w:t>4611- دیوان طوبی یزدی نائنی‏</w:t>
        </w:r>
        <w:r>
          <w:tab/>
        </w:r>
        <w:r>
          <w:fldChar w:fldCharType="begin"/>
        </w:r>
        <w:r>
          <w:instrText xml:space="preserve">PAGEREF 4784 \h</w:instrText>
        </w:r>
        <w:r>
          <w:fldChar w:fldCharType="end"/>
        </w:r>
      </w:hyperlink>
    </w:p>
    <w:p>
      <w:pPr>
        <w:tabs>
          <w:tab w:val="right" w:leader="dot" w:pos="9062"/>
        </w:tabs>
        <w:ind w:left="440"/>
      </w:pPr>
      <w:hyperlink w:anchor="_Toc4785" w:history="1">
        <w:r>
          <w:rPr>
            <w:rFonts w:ascii="IRNazanin" w:hAnsi="IRNazanin" w:eastAsia="IRNazanin" w:cs="IRNazanin"/>
            <w:color w:val="111111"/>
            <w:sz w:val="22"/>
            <w:szCs w:val="22"/>
            <w:b w:val="0"/>
            <w:bCs w:val="0"/>
            <w:i w:val="0"/>
            <w:iCs w:val="0"/>
          </w:rPr>
          <w:t>4612- دیوان الخواجة الطوسی‏</w:t>
        </w:r>
        <w:r>
          <w:tab/>
        </w:r>
        <w:r>
          <w:fldChar w:fldCharType="begin"/>
        </w:r>
        <w:r>
          <w:instrText xml:space="preserve">PAGEREF 4785 \h</w:instrText>
        </w:r>
        <w:r>
          <w:fldChar w:fldCharType="end"/>
        </w:r>
      </w:hyperlink>
    </w:p>
    <w:p>
      <w:pPr>
        <w:tabs>
          <w:tab w:val="right" w:leader="dot" w:pos="9062"/>
        </w:tabs>
        <w:ind w:left="440"/>
      </w:pPr>
      <w:hyperlink w:anchor="_Toc4786" w:history="1">
        <w:r>
          <w:rPr>
            <w:rFonts w:ascii="IRNazanin" w:hAnsi="IRNazanin" w:eastAsia="IRNazanin" w:cs="IRNazanin"/>
            <w:color w:val="111111"/>
            <w:sz w:val="22"/>
            <w:szCs w:val="22"/>
            <w:b w:val="0"/>
            <w:bCs w:val="0"/>
            <w:i w:val="0"/>
            <w:iCs w:val="0"/>
          </w:rPr>
          <w:t>4613- دیوان طوسی‏</w:t>
        </w:r>
        <w:r>
          <w:tab/>
        </w:r>
        <w:r>
          <w:fldChar w:fldCharType="begin"/>
        </w:r>
        <w:r>
          <w:instrText xml:space="preserve">PAGEREF 4786 \h</w:instrText>
        </w:r>
        <w:r>
          <w:fldChar w:fldCharType="end"/>
        </w:r>
      </w:hyperlink>
    </w:p>
    <w:p>
      <w:pPr>
        <w:tabs>
          <w:tab w:val="right" w:leader="dot" w:pos="9062"/>
        </w:tabs>
        <w:ind w:left="440"/>
      </w:pPr>
      <w:hyperlink w:anchor="_Toc4787" w:history="1">
        <w:r>
          <w:rPr>
            <w:rFonts w:ascii="IRNazanin" w:hAnsi="IRNazanin" w:eastAsia="IRNazanin" w:cs="IRNazanin"/>
            <w:color w:val="111111"/>
            <w:sz w:val="22"/>
            <w:szCs w:val="22"/>
            <w:b w:val="0"/>
            <w:bCs w:val="0"/>
            <w:i w:val="0"/>
            <w:iCs w:val="0"/>
          </w:rPr>
          <w:t>دیوان طوسی‏</w:t>
        </w:r>
        <w:r>
          <w:tab/>
        </w:r>
        <w:r>
          <w:fldChar w:fldCharType="begin"/>
        </w:r>
        <w:r>
          <w:instrText xml:space="preserve">PAGEREF 4787 \h</w:instrText>
        </w:r>
        <w:r>
          <w:fldChar w:fldCharType="end"/>
        </w:r>
      </w:hyperlink>
    </w:p>
    <w:p>
      <w:pPr>
        <w:tabs>
          <w:tab w:val="right" w:leader="dot" w:pos="9062"/>
        </w:tabs>
        <w:ind w:left="440"/>
      </w:pPr>
      <w:hyperlink w:anchor="_Toc4788" w:history="1">
        <w:r>
          <w:rPr>
            <w:rFonts w:ascii="IRNazanin" w:hAnsi="IRNazanin" w:eastAsia="IRNazanin" w:cs="IRNazanin"/>
            <w:color w:val="111111"/>
            <w:sz w:val="22"/>
            <w:szCs w:val="22"/>
            <w:b w:val="0"/>
            <w:bCs w:val="0"/>
            <w:i w:val="0"/>
            <w:iCs w:val="0"/>
          </w:rPr>
          <w:t>4614- دیوان طوطی اهری‏</w:t>
        </w:r>
        <w:r>
          <w:tab/>
        </w:r>
        <w:r>
          <w:fldChar w:fldCharType="begin"/>
        </w:r>
        <w:r>
          <w:instrText xml:space="preserve">PAGEREF 4788 \h</w:instrText>
        </w:r>
        <w:r>
          <w:fldChar w:fldCharType="end"/>
        </w:r>
      </w:hyperlink>
    </w:p>
    <w:p>
      <w:pPr>
        <w:tabs>
          <w:tab w:val="right" w:leader="dot" w:pos="9062"/>
        </w:tabs>
        <w:ind w:left="440"/>
      </w:pPr>
      <w:hyperlink w:anchor="_Toc4789" w:history="1">
        <w:r>
          <w:rPr>
            <w:rFonts w:ascii="IRNazanin" w:hAnsi="IRNazanin" w:eastAsia="IRNazanin" w:cs="IRNazanin"/>
            <w:color w:val="111111"/>
            <w:sz w:val="22"/>
            <w:szCs w:val="22"/>
            <w:b w:val="0"/>
            <w:bCs w:val="0"/>
            <w:i w:val="0"/>
            <w:iCs w:val="0"/>
          </w:rPr>
          <w:t>4615- دیوان طوطی ترشیزی‏</w:t>
        </w:r>
        <w:r>
          <w:tab/>
        </w:r>
        <w:r>
          <w:fldChar w:fldCharType="begin"/>
        </w:r>
        <w:r>
          <w:instrText xml:space="preserve">PAGEREF 4789 \h</w:instrText>
        </w:r>
        <w:r>
          <w:fldChar w:fldCharType="end"/>
        </w:r>
      </w:hyperlink>
    </w:p>
    <w:p>
      <w:pPr>
        <w:tabs>
          <w:tab w:val="right" w:leader="dot" w:pos="9062"/>
        </w:tabs>
        <w:ind w:left="440"/>
      </w:pPr>
      <w:hyperlink w:anchor="_Toc4790" w:history="1">
        <w:r>
          <w:rPr>
            <w:rFonts w:ascii="IRNazanin" w:hAnsi="IRNazanin" w:eastAsia="IRNazanin" w:cs="IRNazanin"/>
            <w:color w:val="111111"/>
            <w:sz w:val="22"/>
            <w:szCs w:val="22"/>
            <w:b w:val="0"/>
            <w:bCs w:val="0"/>
            <w:i w:val="0"/>
            <w:iCs w:val="0"/>
          </w:rPr>
          <w:t>4616- دیوان طوطی سمرقندی‏</w:t>
        </w:r>
        <w:r>
          <w:tab/>
        </w:r>
        <w:r>
          <w:fldChar w:fldCharType="begin"/>
        </w:r>
        <w:r>
          <w:instrText xml:space="preserve">PAGEREF 4790 \h</w:instrText>
        </w:r>
        <w:r>
          <w:fldChar w:fldCharType="end"/>
        </w:r>
      </w:hyperlink>
    </w:p>
    <w:p>
      <w:pPr>
        <w:tabs>
          <w:tab w:val="right" w:leader="dot" w:pos="9062"/>
        </w:tabs>
        <w:ind w:left="440"/>
      </w:pPr>
      <w:hyperlink w:anchor="_Toc4791" w:history="1">
        <w:r>
          <w:rPr>
            <w:rFonts w:ascii="IRNazanin" w:hAnsi="IRNazanin" w:eastAsia="IRNazanin" w:cs="IRNazanin"/>
            <w:color w:val="111111"/>
            <w:sz w:val="22"/>
            <w:szCs w:val="22"/>
            <w:b w:val="0"/>
            <w:bCs w:val="0"/>
            <w:i w:val="0"/>
            <w:iCs w:val="0"/>
          </w:rPr>
          <w:t>4617- دیوان طوطی قراباغی‏</w:t>
        </w:r>
        <w:r>
          <w:tab/>
        </w:r>
        <w:r>
          <w:fldChar w:fldCharType="begin"/>
        </w:r>
        <w:r>
          <w:instrText xml:space="preserve">PAGEREF 4791 \h</w:instrText>
        </w:r>
        <w:r>
          <w:fldChar w:fldCharType="end"/>
        </w:r>
      </w:hyperlink>
    </w:p>
    <w:p>
      <w:pPr>
        <w:tabs>
          <w:tab w:val="right" w:leader="dot" w:pos="9062"/>
        </w:tabs>
        <w:ind w:left="440"/>
      </w:pPr>
      <w:hyperlink w:anchor="_Toc4792" w:history="1">
        <w:r>
          <w:rPr>
            <w:rFonts w:ascii="IRNazanin" w:hAnsi="IRNazanin" w:eastAsia="IRNazanin" w:cs="IRNazanin"/>
            <w:color w:val="111111"/>
            <w:sz w:val="22"/>
            <w:szCs w:val="22"/>
            <w:b w:val="0"/>
            <w:bCs w:val="0"/>
            <w:i w:val="0"/>
            <w:iCs w:val="0"/>
          </w:rPr>
          <w:t>4618- دیوان طوطی قراباغی‏</w:t>
        </w:r>
        <w:r>
          <w:tab/>
        </w:r>
        <w:r>
          <w:fldChar w:fldCharType="begin"/>
        </w:r>
        <w:r>
          <w:instrText xml:space="preserve">PAGEREF 4792 \h</w:instrText>
        </w:r>
        <w:r>
          <w:fldChar w:fldCharType="end"/>
        </w:r>
      </w:hyperlink>
    </w:p>
    <w:p>
      <w:pPr>
        <w:tabs>
          <w:tab w:val="right" w:leader="dot" w:pos="9062"/>
        </w:tabs>
        <w:ind w:left="440"/>
      </w:pPr>
      <w:hyperlink w:anchor="_Toc4793" w:history="1">
        <w:r>
          <w:rPr>
            <w:rFonts w:ascii="IRNazanin" w:hAnsi="IRNazanin" w:eastAsia="IRNazanin" w:cs="IRNazanin"/>
            <w:color w:val="111111"/>
            <w:sz w:val="22"/>
            <w:szCs w:val="22"/>
            <w:b w:val="0"/>
            <w:bCs w:val="0"/>
            <w:i w:val="0"/>
            <w:iCs w:val="0"/>
          </w:rPr>
          <w:t>4619- دیوان طوطی همدانی‏</w:t>
        </w:r>
        <w:r>
          <w:tab/>
        </w:r>
        <w:r>
          <w:fldChar w:fldCharType="begin"/>
        </w:r>
        <w:r>
          <w:instrText xml:space="preserve">PAGEREF 4793 \h</w:instrText>
        </w:r>
        <w:r>
          <w:fldChar w:fldCharType="end"/>
        </w:r>
      </w:hyperlink>
    </w:p>
    <w:p>
      <w:pPr>
        <w:tabs>
          <w:tab w:val="right" w:leader="dot" w:pos="9062"/>
        </w:tabs>
        <w:ind w:left="440"/>
      </w:pPr>
      <w:hyperlink w:anchor="_Toc4794" w:history="1">
        <w:r>
          <w:rPr>
            <w:rFonts w:ascii="IRNazanin" w:hAnsi="IRNazanin" w:eastAsia="IRNazanin" w:cs="IRNazanin"/>
            <w:color w:val="111111"/>
            <w:sz w:val="22"/>
            <w:szCs w:val="22"/>
            <w:b w:val="0"/>
            <w:bCs w:val="0"/>
            <w:i w:val="0"/>
            <w:iCs w:val="0"/>
          </w:rPr>
          <w:t>دیوان طوغری‏</w:t>
        </w:r>
        <w:r>
          <w:tab/>
        </w:r>
        <w:r>
          <w:fldChar w:fldCharType="begin"/>
        </w:r>
        <w:r>
          <w:instrText xml:space="preserve">PAGEREF 4794 \h</w:instrText>
        </w:r>
        <w:r>
          <w:fldChar w:fldCharType="end"/>
        </w:r>
      </w:hyperlink>
    </w:p>
    <w:p>
      <w:pPr>
        <w:tabs>
          <w:tab w:val="right" w:leader="dot" w:pos="9062"/>
        </w:tabs>
        <w:ind w:left="440"/>
      </w:pPr>
      <w:hyperlink w:anchor="_Toc4795" w:history="1">
        <w:r>
          <w:rPr>
            <w:rFonts w:ascii="IRNazanin" w:hAnsi="IRNazanin" w:eastAsia="IRNazanin" w:cs="IRNazanin"/>
            <w:color w:val="111111"/>
            <w:sz w:val="22"/>
            <w:szCs w:val="22"/>
            <w:b w:val="0"/>
            <w:bCs w:val="0"/>
            <w:i w:val="0"/>
            <w:iCs w:val="0"/>
          </w:rPr>
          <w:t>4620- دیوان طوفان قاینی‏</w:t>
        </w:r>
        <w:r>
          <w:tab/>
        </w:r>
        <w:r>
          <w:fldChar w:fldCharType="begin"/>
        </w:r>
        <w:r>
          <w:instrText xml:space="preserve">PAGEREF 4795 \h</w:instrText>
        </w:r>
        <w:r>
          <w:fldChar w:fldCharType="end"/>
        </w:r>
      </w:hyperlink>
    </w:p>
    <w:p>
      <w:pPr>
        <w:tabs>
          <w:tab w:val="right" w:leader="dot" w:pos="9062"/>
        </w:tabs>
        <w:ind w:left="440"/>
      </w:pPr>
      <w:hyperlink w:anchor="_Toc4796" w:history="1">
        <w:r>
          <w:rPr>
            <w:rFonts w:ascii="IRNazanin" w:hAnsi="IRNazanin" w:eastAsia="IRNazanin" w:cs="IRNazanin"/>
            <w:color w:val="111111"/>
            <w:sz w:val="22"/>
            <w:szCs w:val="22"/>
            <w:b w:val="0"/>
            <w:bCs w:val="0"/>
            <w:i w:val="0"/>
            <w:iCs w:val="0"/>
          </w:rPr>
          <w:t>4621- دیوان طوفان مازندرانی الهزارجریبی‏</w:t>
        </w:r>
        <w:r>
          <w:tab/>
        </w:r>
        <w:r>
          <w:fldChar w:fldCharType="begin"/>
        </w:r>
        <w:r>
          <w:instrText xml:space="preserve">PAGEREF 4796 \h</w:instrText>
        </w:r>
        <w:r>
          <w:fldChar w:fldCharType="end"/>
        </w:r>
      </w:hyperlink>
    </w:p>
    <w:p>
      <w:pPr>
        <w:tabs>
          <w:tab w:val="right" w:leader="dot" w:pos="9062"/>
        </w:tabs>
        <w:ind w:left="440"/>
      </w:pPr>
      <w:hyperlink w:anchor="_Toc4797" w:history="1">
        <w:r>
          <w:rPr>
            <w:rFonts w:ascii="IRNazanin" w:hAnsi="IRNazanin" w:eastAsia="IRNazanin" w:cs="IRNazanin"/>
            <w:color w:val="111111"/>
            <w:sz w:val="22"/>
            <w:szCs w:val="22"/>
            <w:b w:val="0"/>
            <w:bCs w:val="0"/>
            <w:i w:val="0"/>
            <w:iCs w:val="0"/>
          </w:rPr>
          <w:t>4622- دیوان طوفی تبریزی‏</w:t>
        </w:r>
        <w:r>
          <w:tab/>
        </w:r>
        <w:r>
          <w:fldChar w:fldCharType="begin"/>
        </w:r>
        <w:r>
          <w:instrText xml:space="preserve">PAGEREF 4797 \h</w:instrText>
        </w:r>
        <w:r>
          <w:fldChar w:fldCharType="end"/>
        </w:r>
      </w:hyperlink>
    </w:p>
    <w:p>
      <w:pPr>
        <w:tabs>
          <w:tab w:val="right" w:leader="dot" w:pos="9062"/>
        </w:tabs>
        <w:ind w:left="440"/>
      </w:pPr>
      <w:hyperlink w:anchor="_Toc4798" w:history="1">
        <w:r>
          <w:rPr>
            <w:rFonts w:ascii="IRNazanin" w:hAnsi="IRNazanin" w:eastAsia="IRNazanin" w:cs="IRNazanin"/>
            <w:color w:val="111111"/>
            <w:sz w:val="22"/>
            <w:szCs w:val="22"/>
            <w:b w:val="0"/>
            <w:bCs w:val="0"/>
            <w:i w:val="0"/>
            <w:iCs w:val="0"/>
          </w:rPr>
          <w:t>دیوان طهماسبی‏</w:t>
        </w:r>
        <w:r>
          <w:tab/>
        </w:r>
        <w:r>
          <w:fldChar w:fldCharType="begin"/>
        </w:r>
        <w:r>
          <w:instrText xml:space="preserve">PAGEREF 4798 \h</w:instrText>
        </w:r>
        <w:r>
          <w:fldChar w:fldCharType="end"/>
        </w:r>
      </w:hyperlink>
    </w:p>
    <w:p>
      <w:pPr>
        <w:tabs>
          <w:tab w:val="right" w:leader="dot" w:pos="9062"/>
        </w:tabs>
        <w:ind w:left="440"/>
      </w:pPr>
      <w:hyperlink w:anchor="_Toc4799" w:history="1">
        <w:r>
          <w:rPr>
            <w:rFonts w:ascii="IRNazanin" w:hAnsi="IRNazanin" w:eastAsia="IRNazanin" w:cs="IRNazanin"/>
            <w:color w:val="111111"/>
            <w:sz w:val="22"/>
            <w:szCs w:val="22"/>
            <w:b w:val="0"/>
            <w:bCs w:val="0"/>
            <w:i w:val="0"/>
            <w:iCs w:val="0"/>
          </w:rPr>
          <w:t>دیوان طهماسب قلی خان الکردی القندهاری‏</w:t>
        </w:r>
        <w:r>
          <w:tab/>
        </w:r>
        <w:r>
          <w:fldChar w:fldCharType="begin"/>
        </w:r>
        <w:r>
          <w:instrText xml:space="preserve">PAGEREF 4799 \h</w:instrText>
        </w:r>
        <w:r>
          <w:fldChar w:fldCharType="end"/>
        </w:r>
      </w:hyperlink>
    </w:p>
    <w:p>
      <w:pPr>
        <w:tabs>
          <w:tab w:val="right" w:leader="dot" w:pos="9062"/>
        </w:tabs>
        <w:ind w:left="440"/>
      </w:pPr>
      <w:hyperlink w:anchor="_Toc4800" w:history="1">
        <w:r>
          <w:rPr>
            <w:rFonts w:ascii="IRNazanin" w:hAnsi="IRNazanin" w:eastAsia="IRNazanin" w:cs="IRNazanin"/>
            <w:color w:val="111111"/>
            <w:sz w:val="22"/>
            <w:szCs w:val="22"/>
            <w:b w:val="0"/>
            <w:bCs w:val="0"/>
            <w:i w:val="0"/>
            <w:iCs w:val="0"/>
          </w:rPr>
          <w:t>4623- دیوان طهور</w:t>
        </w:r>
        <w:r>
          <w:tab/>
        </w:r>
        <w:r>
          <w:fldChar w:fldCharType="begin"/>
        </w:r>
        <w:r>
          <w:instrText xml:space="preserve">PAGEREF 4800 \h</w:instrText>
        </w:r>
        <w:r>
          <w:fldChar w:fldCharType="end"/>
        </w:r>
      </w:hyperlink>
    </w:p>
    <w:p>
      <w:pPr>
        <w:tabs>
          <w:tab w:val="right" w:leader="dot" w:pos="9062"/>
        </w:tabs>
        <w:ind w:left="440"/>
      </w:pPr>
      <w:hyperlink w:anchor="_Toc4801" w:history="1">
        <w:r>
          <w:rPr>
            <w:rFonts w:ascii="IRNazanin" w:hAnsi="IRNazanin" w:eastAsia="IRNazanin" w:cs="IRNazanin"/>
            <w:color w:val="111111"/>
            <w:sz w:val="22"/>
            <w:szCs w:val="22"/>
            <w:b w:val="0"/>
            <w:bCs w:val="0"/>
            <w:i w:val="0"/>
            <w:iCs w:val="0"/>
          </w:rPr>
          <w:t>4624- دیوان الطهوی المنیحی أو شعره‏</w:t>
        </w:r>
        <w:r>
          <w:tab/>
        </w:r>
        <w:r>
          <w:fldChar w:fldCharType="begin"/>
        </w:r>
        <w:r>
          <w:instrText xml:space="preserve">PAGEREF 4801 \h</w:instrText>
        </w:r>
        <w:r>
          <w:fldChar w:fldCharType="end"/>
        </w:r>
      </w:hyperlink>
    </w:p>
    <w:p>
      <w:pPr>
        <w:tabs>
          <w:tab w:val="right" w:leader="dot" w:pos="9062"/>
        </w:tabs>
        <w:ind w:left="440"/>
      </w:pPr>
      <w:hyperlink w:anchor="_Toc4802" w:history="1">
        <w:r>
          <w:rPr>
            <w:rFonts w:ascii="IRNazanin" w:hAnsi="IRNazanin" w:eastAsia="IRNazanin" w:cs="IRNazanin"/>
            <w:color w:val="111111"/>
            <w:sz w:val="22"/>
            <w:szCs w:val="22"/>
            <w:b w:val="0"/>
            <w:bCs w:val="0"/>
            <w:i w:val="0"/>
            <w:iCs w:val="0"/>
          </w:rPr>
          <w:t>4625- دیوان طیان کرمانی‏</w:t>
        </w:r>
        <w:r>
          <w:tab/>
        </w:r>
        <w:r>
          <w:fldChar w:fldCharType="begin"/>
        </w:r>
        <w:r>
          <w:instrText xml:space="preserve">PAGEREF 4802 \h</w:instrText>
        </w:r>
        <w:r>
          <w:fldChar w:fldCharType="end"/>
        </w:r>
      </w:hyperlink>
    </w:p>
    <w:p>
      <w:pPr>
        <w:tabs>
          <w:tab w:val="right" w:leader="dot" w:pos="9062"/>
        </w:tabs>
        <w:ind w:left="440"/>
      </w:pPr>
      <w:hyperlink w:anchor="_Toc4803" w:history="1">
        <w:r>
          <w:rPr>
            <w:rFonts w:ascii="IRNazanin" w:hAnsi="IRNazanin" w:eastAsia="IRNazanin" w:cs="IRNazanin"/>
            <w:color w:val="111111"/>
            <w:sz w:val="22"/>
            <w:szCs w:val="22"/>
            <w:b w:val="0"/>
            <w:bCs w:val="0"/>
            <w:i w:val="0"/>
            <w:iCs w:val="0"/>
          </w:rPr>
          <w:t>4626- دیوان طیری أصفهانی أو شعره‏</w:t>
        </w:r>
        <w:r>
          <w:tab/>
        </w:r>
        <w:r>
          <w:fldChar w:fldCharType="begin"/>
        </w:r>
        <w:r>
          <w:instrText xml:space="preserve">PAGEREF 4803 \h</w:instrText>
        </w:r>
        <w:r>
          <w:fldChar w:fldCharType="end"/>
        </w:r>
      </w:hyperlink>
    </w:p>
    <w:p>
      <w:pPr>
        <w:tabs>
          <w:tab w:val="right" w:leader="dot" w:pos="9062"/>
        </w:tabs>
        <w:ind w:left="440"/>
      </w:pPr>
      <w:hyperlink w:anchor="_Toc4804" w:history="1">
        <w:r>
          <w:rPr>
            <w:rFonts w:ascii="IRNazanin" w:hAnsi="IRNazanin" w:eastAsia="IRNazanin" w:cs="IRNazanin"/>
            <w:color w:val="111111"/>
            <w:sz w:val="22"/>
            <w:szCs w:val="22"/>
            <w:b w:val="0"/>
            <w:bCs w:val="0"/>
            <w:i w:val="0"/>
            <w:iCs w:val="0"/>
          </w:rPr>
          <w:t>دیوان طیفور أنجدانی أو شعره‏</w:t>
        </w:r>
        <w:r>
          <w:tab/>
        </w:r>
        <w:r>
          <w:fldChar w:fldCharType="begin"/>
        </w:r>
        <w:r>
          <w:instrText xml:space="preserve">PAGEREF 4804 \h</w:instrText>
        </w:r>
        <w:r>
          <w:fldChar w:fldCharType="end"/>
        </w:r>
      </w:hyperlink>
    </w:p>
    <w:p>
      <w:pPr>
        <w:tabs>
          <w:tab w:val="right" w:leader="dot" w:pos="9062"/>
        </w:tabs>
        <w:ind w:left="440"/>
      </w:pPr>
      <w:hyperlink w:anchor="_Toc4805" w:history="1">
        <w:r>
          <w:rPr>
            <w:rFonts w:ascii="IRNazanin" w:hAnsi="IRNazanin" w:eastAsia="IRNazanin" w:cs="IRNazanin"/>
            <w:color w:val="111111"/>
            <w:sz w:val="22"/>
            <w:szCs w:val="22"/>
            <w:b w:val="0"/>
            <w:bCs w:val="0"/>
            <w:i w:val="0"/>
            <w:iCs w:val="0"/>
          </w:rPr>
          <w:t>دیوان طیفور بسطامی‏</w:t>
        </w:r>
        <w:r>
          <w:tab/>
        </w:r>
        <w:r>
          <w:fldChar w:fldCharType="begin"/>
        </w:r>
        <w:r>
          <w:instrText xml:space="preserve">PAGEREF 4805 \h</w:instrText>
        </w:r>
        <w:r>
          <w:fldChar w:fldCharType="end"/>
        </w:r>
      </w:hyperlink>
    </w:p>
    <w:p>
      <w:pPr>
        <w:tabs>
          <w:tab w:val="right" w:leader="dot" w:pos="9062"/>
        </w:tabs>
        <w:ind w:left="440"/>
      </w:pPr>
      <w:hyperlink w:anchor="_Toc4806" w:history="1">
        <w:r>
          <w:rPr>
            <w:rFonts w:ascii="IRNazanin" w:hAnsi="IRNazanin" w:eastAsia="IRNazanin" w:cs="IRNazanin"/>
            <w:color w:val="111111"/>
            <w:sz w:val="22"/>
            <w:szCs w:val="22"/>
            <w:b w:val="0"/>
            <w:bCs w:val="0"/>
            <w:i w:val="0"/>
            <w:iCs w:val="0"/>
          </w:rPr>
          <w:t>ظ</w:t>
        </w:r>
        <w:r>
          <w:tab/>
        </w:r>
        <w:r>
          <w:fldChar w:fldCharType="begin"/>
        </w:r>
        <w:r>
          <w:instrText xml:space="preserve">PAGEREF 4806 \h</w:instrText>
        </w:r>
        <w:r>
          <w:fldChar w:fldCharType="end"/>
        </w:r>
      </w:hyperlink>
    </w:p>
    <w:p>
      <w:pPr>
        <w:tabs>
          <w:tab w:val="right" w:leader="dot" w:pos="9062"/>
        </w:tabs>
        <w:ind w:left="440"/>
      </w:pPr>
      <w:hyperlink w:anchor="_Toc4807" w:history="1">
        <w:r>
          <w:rPr>
            <w:rFonts w:ascii="IRNazanin" w:hAnsi="IRNazanin" w:eastAsia="IRNazanin" w:cs="IRNazanin"/>
            <w:color w:val="111111"/>
            <w:sz w:val="22"/>
            <w:szCs w:val="22"/>
            <w:b w:val="0"/>
            <w:bCs w:val="0"/>
            <w:i w:val="0"/>
            <w:iCs w:val="0"/>
          </w:rPr>
          <w:t>4627- دیوان ظافر الحداد</w:t>
        </w:r>
        <w:r>
          <w:tab/>
        </w:r>
        <w:r>
          <w:fldChar w:fldCharType="begin"/>
        </w:r>
        <w:r>
          <w:instrText xml:space="preserve">PAGEREF 4807 \h</w:instrText>
        </w:r>
        <w:r>
          <w:fldChar w:fldCharType="end"/>
        </w:r>
      </w:hyperlink>
    </w:p>
    <w:p>
      <w:pPr>
        <w:tabs>
          <w:tab w:val="right" w:leader="dot" w:pos="9062"/>
        </w:tabs>
        <w:ind w:left="440"/>
      </w:pPr>
      <w:hyperlink w:anchor="_Toc4808" w:history="1">
        <w:r>
          <w:rPr>
            <w:rFonts w:ascii="IRNazanin" w:hAnsi="IRNazanin" w:eastAsia="IRNazanin" w:cs="IRNazanin"/>
            <w:color w:val="111111"/>
            <w:sz w:val="22"/>
            <w:szCs w:val="22"/>
            <w:b w:val="0"/>
            <w:bCs w:val="0"/>
            <w:i w:val="0"/>
            <w:iCs w:val="0"/>
          </w:rPr>
          <w:t>دیوان ظالم‏</w:t>
        </w:r>
        <w:r>
          <w:tab/>
        </w:r>
        <w:r>
          <w:fldChar w:fldCharType="begin"/>
        </w:r>
        <w:r>
          <w:instrText xml:space="preserve">PAGEREF 4808 \h</w:instrText>
        </w:r>
        <w:r>
          <w:fldChar w:fldCharType="end"/>
        </w:r>
      </w:hyperlink>
    </w:p>
    <w:p>
      <w:pPr>
        <w:tabs>
          <w:tab w:val="right" w:leader="dot" w:pos="9062"/>
        </w:tabs>
        <w:ind w:left="440"/>
      </w:pPr>
      <w:hyperlink w:anchor="_Toc4809" w:history="1">
        <w:r>
          <w:rPr>
            <w:rFonts w:ascii="IRNazanin" w:hAnsi="IRNazanin" w:eastAsia="IRNazanin" w:cs="IRNazanin"/>
            <w:color w:val="111111"/>
            <w:sz w:val="22"/>
            <w:szCs w:val="22"/>
            <w:b w:val="0"/>
            <w:bCs w:val="0"/>
            <w:i w:val="0"/>
            <w:iCs w:val="0"/>
          </w:rPr>
          <w:t>دیوان ظاهر أردبیلی‏</w:t>
        </w:r>
        <w:r>
          <w:tab/>
        </w:r>
        <w:r>
          <w:fldChar w:fldCharType="begin"/>
        </w:r>
        <w:r>
          <w:instrText xml:space="preserve">PAGEREF 4809 \h</w:instrText>
        </w:r>
        <w:r>
          <w:fldChar w:fldCharType="end"/>
        </w:r>
      </w:hyperlink>
    </w:p>
    <w:p>
      <w:pPr>
        <w:tabs>
          <w:tab w:val="right" w:leader="dot" w:pos="9062"/>
        </w:tabs>
        <w:ind w:left="440"/>
      </w:pPr>
      <w:hyperlink w:anchor="_Toc4810" w:history="1">
        <w:r>
          <w:rPr>
            <w:rFonts w:ascii="IRNazanin" w:hAnsi="IRNazanin" w:eastAsia="IRNazanin" w:cs="IRNazanin"/>
            <w:color w:val="111111"/>
            <w:sz w:val="22"/>
            <w:szCs w:val="22"/>
            <w:b w:val="0"/>
            <w:bCs w:val="0"/>
            <w:i w:val="0"/>
            <w:iCs w:val="0"/>
          </w:rPr>
          <w:t>4628- دیوان ظاهر نائنی أو شعره‏</w:t>
        </w:r>
        <w:r>
          <w:tab/>
        </w:r>
        <w:r>
          <w:fldChar w:fldCharType="begin"/>
        </w:r>
        <w:r>
          <w:instrText xml:space="preserve">PAGEREF 4810 \h</w:instrText>
        </w:r>
        <w:r>
          <w:fldChar w:fldCharType="end"/>
        </w:r>
      </w:hyperlink>
    </w:p>
    <w:p>
      <w:pPr>
        <w:tabs>
          <w:tab w:val="right" w:leader="dot" w:pos="9062"/>
        </w:tabs>
        <w:ind w:left="440"/>
      </w:pPr>
      <w:hyperlink w:anchor="_Toc4811" w:history="1">
        <w:r>
          <w:rPr>
            <w:rFonts w:ascii="IRNazanin" w:hAnsi="IRNazanin" w:eastAsia="IRNazanin" w:cs="IRNazanin"/>
            <w:color w:val="111111"/>
            <w:sz w:val="22"/>
            <w:szCs w:val="22"/>
            <w:b w:val="0"/>
            <w:bCs w:val="0"/>
            <w:i w:val="0"/>
            <w:iCs w:val="0"/>
          </w:rPr>
          <w:t>4629- دیوان ظاهر هروی أو شعره‏</w:t>
        </w:r>
        <w:r>
          <w:tab/>
        </w:r>
        <w:r>
          <w:fldChar w:fldCharType="begin"/>
        </w:r>
        <w:r>
          <w:instrText xml:space="preserve">PAGEREF 4811 \h</w:instrText>
        </w:r>
        <w:r>
          <w:fldChar w:fldCharType="end"/>
        </w:r>
      </w:hyperlink>
    </w:p>
    <w:p>
      <w:pPr>
        <w:tabs>
          <w:tab w:val="right" w:leader="dot" w:pos="9062"/>
        </w:tabs>
        <w:ind w:left="440"/>
      </w:pPr>
      <w:hyperlink w:anchor="_Toc4812" w:history="1">
        <w:r>
          <w:rPr>
            <w:rFonts w:ascii="IRNazanin" w:hAnsi="IRNazanin" w:eastAsia="IRNazanin" w:cs="IRNazanin"/>
            <w:color w:val="111111"/>
            <w:sz w:val="22"/>
            <w:szCs w:val="22"/>
            <w:b w:val="0"/>
            <w:bCs w:val="0"/>
            <w:i w:val="0"/>
            <w:iCs w:val="0"/>
          </w:rPr>
          <w:t>دیوان ظاهری هروی أو شعره‏</w:t>
        </w:r>
        <w:r>
          <w:tab/>
        </w:r>
        <w:r>
          <w:fldChar w:fldCharType="begin"/>
        </w:r>
        <w:r>
          <w:instrText xml:space="preserve">PAGEREF 4812 \h</w:instrText>
        </w:r>
        <w:r>
          <w:fldChar w:fldCharType="end"/>
        </w:r>
      </w:hyperlink>
    </w:p>
    <w:p>
      <w:pPr>
        <w:tabs>
          <w:tab w:val="right" w:leader="dot" w:pos="9062"/>
        </w:tabs>
        <w:ind w:left="440"/>
      </w:pPr>
      <w:hyperlink w:anchor="_Toc4813" w:history="1">
        <w:r>
          <w:rPr>
            <w:rFonts w:ascii="IRNazanin" w:hAnsi="IRNazanin" w:eastAsia="IRNazanin" w:cs="IRNazanin"/>
            <w:color w:val="111111"/>
            <w:sz w:val="22"/>
            <w:szCs w:val="22"/>
            <w:b w:val="0"/>
            <w:bCs w:val="0"/>
            <w:i w:val="0"/>
            <w:iCs w:val="0"/>
          </w:rPr>
          <w:t>4630- دیوان ظریف أصفهانی أو شعره‏</w:t>
        </w:r>
        <w:r>
          <w:tab/>
        </w:r>
        <w:r>
          <w:fldChar w:fldCharType="begin"/>
        </w:r>
        <w:r>
          <w:instrText xml:space="preserve">PAGEREF 4813 \h</w:instrText>
        </w:r>
        <w:r>
          <w:fldChar w:fldCharType="end"/>
        </w:r>
      </w:hyperlink>
    </w:p>
    <w:p>
      <w:pPr>
        <w:tabs>
          <w:tab w:val="right" w:leader="dot" w:pos="9062"/>
        </w:tabs>
        <w:ind w:left="440"/>
      </w:pPr>
      <w:hyperlink w:anchor="_Toc4814" w:history="1">
        <w:r>
          <w:rPr>
            <w:rFonts w:ascii="IRNazanin" w:hAnsi="IRNazanin" w:eastAsia="IRNazanin" w:cs="IRNazanin"/>
            <w:color w:val="111111"/>
            <w:sz w:val="22"/>
            <w:szCs w:val="22"/>
            <w:b w:val="0"/>
            <w:bCs w:val="0"/>
            <w:i w:val="0"/>
            <w:iCs w:val="0"/>
          </w:rPr>
          <w:t>4631- دیوان ظریف بغدادی أو شعره‏</w:t>
        </w:r>
        <w:r>
          <w:tab/>
        </w:r>
        <w:r>
          <w:fldChar w:fldCharType="begin"/>
        </w:r>
        <w:r>
          <w:instrText xml:space="preserve">PAGEREF 4814 \h</w:instrText>
        </w:r>
        <w:r>
          <w:fldChar w:fldCharType="end"/>
        </w:r>
      </w:hyperlink>
    </w:p>
    <w:p>
      <w:pPr>
        <w:tabs>
          <w:tab w:val="right" w:leader="dot" w:pos="9062"/>
        </w:tabs>
        <w:ind w:left="440"/>
      </w:pPr>
      <w:hyperlink w:anchor="_Toc4815" w:history="1">
        <w:r>
          <w:rPr>
            <w:rFonts w:ascii="IRNazanin" w:hAnsi="IRNazanin" w:eastAsia="IRNazanin" w:cs="IRNazanin"/>
            <w:color w:val="111111"/>
            <w:sz w:val="22"/>
            <w:szCs w:val="22"/>
            <w:b w:val="0"/>
            <w:bCs w:val="0"/>
            <w:i w:val="0"/>
            <w:iCs w:val="0"/>
          </w:rPr>
          <w:t>4632- دیوان ظریفی تبریزی أو شعره‏</w:t>
        </w:r>
        <w:r>
          <w:tab/>
        </w:r>
        <w:r>
          <w:fldChar w:fldCharType="begin"/>
        </w:r>
        <w:r>
          <w:instrText xml:space="preserve">PAGEREF 4815 \h</w:instrText>
        </w:r>
        <w:r>
          <w:fldChar w:fldCharType="end"/>
        </w:r>
      </w:hyperlink>
    </w:p>
    <w:p>
      <w:pPr>
        <w:tabs>
          <w:tab w:val="right" w:leader="dot" w:pos="9062"/>
        </w:tabs>
        <w:ind w:left="440"/>
      </w:pPr>
      <w:hyperlink w:anchor="_Toc4816" w:history="1">
        <w:r>
          <w:rPr>
            <w:rFonts w:ascii="IRNazanin" w:hAnsi="IRNazanin" w:eastAsia="IRNazanin" w:cs="IRNazanin"/>
            <w:color w:val="111111"/>
            <w:sz w:val="22"/>
            <w:szCs w:val="22"/>
            <w:b w:val="0"/>
            <w:bCs w:val="0"/>
            <w:i w:val="0"/>
            <w:iCs w:val="0"/>
          </w:rPr>
          <w:t>4633- دیوان ظریفی تونی أو شعره‏</w:t>
        </w:r>
        <w:r>
          <w:tab/>
        </w:r>
        <w:r>
          <w:fldChar w:fldCharType="begin"/>
        </w:r>
        <w:r>
          <w:instrText xml:space="preserve">PAGEREF 4816 \h</w:instrText>
        </w:r>
        <w:r>
          <w:fldChar w:fldCharType="end"/>
        </w:r>
      </w:hyperlink>
    </w:p>
    <w:p>
      <w:pPr>
        <w:tabs>
          <w:tab w:val="right" w:leader="dot" w:pos="9062"/>
        </w:tabs>
        <w:ind w:left="440"/>
      </w:pPr>
      <w:hyperlink w:anchor="_Toc4817" w:history="1">
        <w:r>
          <w:rPr>
            <w:rFonts w:ascii="IRNazanin" w:hAnsi="IRNazanin" w:eastAsia="IRNazanin" w:cs="IRNazanin"/>
            <w:color w:val="111111"/>
            <w:sz w:val="22"/>
            <w:szCs w:val="22"/>
            <w:b w:val="0"/>
            <w:bCs w:val="0"/>
            <w:i w:val="0"/>
            <w:iCs w:val="0"/>
          </w:rPr>
          <w:t>4634- دیوان ظریفی ساوجی أو شعره‏</w:t>
        </w:r>
        <w:r>
          <w:tab/>
        </w:r>
        <w:r>
          <w:fldChar w:fldCharType="begin"/>
        </w:r>
        <w:r>
          <w:instrText xml:space="preserve">PAGEREF 4817 \h</w:instrText>
        </w:r>
        <w:r>
          <w:fldChar w:fldCharType="end"/>
        </w:r>
      </w:hyperlink>
    </w:p>
    <w:p>
      <w:pPr>
        <w:tabs>
          <w:tab w:val="right" w:leader="dot" w:pos="9062"/>
        </w:tabs>
        <w:ind w:left="440"/>
      </w:pPr>
      <w:hyperlink w:anchor="_Toc4818" w:history="1">
        <w:r>
          <w:rPr>
            <w:rFonts w:ascii="IRNazanin" w:hAnsi="IRNazanin" w:eastAsia="IRNazanin" w:cs="IRNazanin"/>
            <w:color w:val="111111"/>
            <w:sz w:val="22"/>
            <w:szCs w:val="22"/>
            <w:b w:val="0"/>
            <w:bCs w:val="0"/>
            <w:i w:val="0"/>
            <w:iCs w:val="0"/>
          </w:rPr>
          <w:t>4635- دیوان ظفر کرمانی أو شعره‏</w:t>
        </w:r>
        <w:r>
          <w:tab/>
        </w:r>
        <w:r>
          <w:fldChar w:fldCharType="begin"/>
        </w:r>
        <w:r>
          <w:instrText xml:space="preserve">PAGEREF 4818 \h</w:instrText>
        </w:r>
        <w:r>
          <w:fldChar w:fldCharType="end"/>
        </w:r>
      </w:hyperlink>
    </w:p>
    <w:p>
      <w:pPr>
        <w:tabs>
          <w:tab w:val="right" w:leader="dot" w:pos="9062"/>
        </w:tabs>
        <w:ind w:left="440"/>
      </w:pPr>
      <w:hyperlink w:anchor="_Toc4819" w:history="1">
        <w:r>
          <w:rPr>
            <w:rFonts w:ascii="IRNazanin" w:hAnsi="IRNazanin" w:eastAsia="IRNazanin" w:cs="IRNazanin"/>
            <w:color w:val="111111"/>
            <w:sz w:val="22"/>
            <w:szCs w:val="22"/>
            <w:b w:val="0"/>
            <w:bCs w:val="0"/>
            <w:i w:val="0"/>
            <w:iCs w:val="0"/>
          </w:rPr>
          <w:t>4636- دیوان ظفر همدانی أو شعره‏</w:t>
        </w:r>
        <w:r>
          <w:tab/>
        </w:r>
        <w:r>
          <w:fldChar w:fldCharType="begin"/>
        </w:r>
        <w:r>
          <w:instrText xml:space="preserve">PAGEREF 4819 \h</w:instrText>
        </w:r>
        <w:r>
          <w:fldChar w:fldCharType="end"/>
        </w:r>
      </w:hyperlink>
    </w:p>
    <w:p>
      <w:pPr>
        <w:tabs>
          <w:tab w:val="right" w:leader="dot" w:pos="9062"/>
        </w:tabs>
        <w:ind w:left="440"/>
      </w:pPr>
      <w:hyperlink w:anchor="_Toc4820" w:history="1">
        <w:r>
          <w:rPr>
            <w:rFonts w:ascii="IRNazanin" w:hAnsi="IRNazanin" w:eastAsia="IRNazanin" w:cs="IRNazanin"/>
            <w:color w:val="111111"/>
            <w:sz w:val="22"/>
            <w:szCs w:val="22"/>
            <w:b w:val="0"/>
            <w:bCs w:val="0"/>
            <w:i w:val="0"/>
            <w:iCs w:val="0"/>
          </w:rPr>
          <w:t>دیوان ظفر هندی‏</w:t>
        </w:r>
        <w:r>
          <w:tab/>
        </w:r>
        <w:r>
          <w:fldChar w:fldCharType="begin"/>
        </w:r>
        <w:r>
          <w:instrText xml:space="preserve">PAGEREF 4820 \h</w:instrText>
        </w:r>
        <w:r>
          <w:fldChar w:fldCharType="end"/>
        </w:r>
      </w:hyperlink>
    </w:p>
    <w:p>
      <w:pPr>
        <w:tabs>
          <w:tab w:val="right" w:leader="dot" w:pos="9062"/>
        </w:tabs>
        <w:ind w:left="440"/>
      </w:pPr>
      <w:hyperlink w:anchor="_Toc4821" w:history="1">
        <w:r>
          <w:rPr>
            <w:rFonts w:ascii="IRNazanin" w:hAnsi="IRNazanin" w:eastAsia="IRNazanin" w:cs="IRNazanin"/>
            <w:color w:val="111111"/>
            <w:sz w:val="22"/>
            <w:szCs w:val="22"/>
            <w:b w:val="0"/>
            <w:bCs w:val="0"/>
            <w:i w:val="0"/>
            <w:iCs w:val="0"/>
          </w:rPr>
          <w:t>4637- دیوان ظلی أو شعره‏</w:t>
        </w:r>
        <w:r>
          <w:tab/>
        </w:r>
        <w:r>
          <w:fldChar w:fldCharType="begin"/>
        </w:r>
        <w:r>
          <w:instrText xml:space="preserve">PAGEREF 4821 \h</w:instrText>
        </w:r>
        <w:r>
          <w:fldChar w:fldCharType="end"/>
        </w:r>
      </w:hyperlink>
    </w:p>
    <w:p>
      <w:pPr>
        <w:tabs>
          <w:tab w:val="right" w:leader="dot" w:pos="9062"/>
        </w:tabs>
        <w:ind w:left="440"/>
      </w:pPr>
      <w:hyperlink w:anchor="_Toc4822" w:history="1">
        <w:r>
          <w:rPr>
            <w:rFonts w:ascii="IRNazanin" w:hAnsi="IRNazanin" w:eastAsia="IRNazanin" w:cs="IRNazanin"/>
            <w:color w:val="111111"/>
            <w:sz w:val="22"/>
            <w:szCs w:val="22"/>
            <w:b w:val="0"/>
            <w:bCs w:val="0"/>
            <w:i w:val="0"/>
            <w:iCs w:val="0"/>
          </w:rPr>
          <w:t>4638- دیوان ظهور الحسین‏</w:t>
        </w:r>
        <w:r>
          <w:tab/>
        </w:r>
        <w:r>
          <w:fldChar w:fldCharType="begin"/>
        </w:r>
        <w:r>
          <w:instrText xml:space="preserve">PAGEREF 4822 \h</w:instrText>
        </w:r>
        <w:r>
          <w:fldChar w:fldCharType="end"/>
        </w:r>
      </w:hyperlink>
    </w:p>
    <w:p>
      <w:pPr>
        <w:tabs>
          <w:tab w:val="right" w:leader="dot" w:pos="9062"/>
        </w:tabs>
        <w:ind w:left="440"/>
      </w:pPr>
      <w:hyperlink w:anchor="_Toc4823" w:history="1">
        <w:r>
          <w:rPr>
            <w:rFonts w:ascii="IRNazanin" w:hAnsi="IRNazanin" w:eastAsia="IRNazanin" w:cs="IRNazanin"/>
            <w:color w:val="111111"/>
            <w:sz w:val="22"/>
            <w:szCs w:val="22"/>
            <w:b w:val="0"/>
            <w:bCs w:val="0"/>
            <w:i w:val="0"/>
            <w:iCs w:val="0"/>
          </w:rPr>
          <w:t>دیوان ظهوری تبریزی‏</w:t>
        </w:r>
        <w:r>
          <w:tab/>
        </w:r>
        <w:r>
          <w:fldChar w:fldCharType="begin"/>
        </w:r>
        <w:r>
          <w:instrText xml:space="preserve">PAGEREF 4823 \h</w:instrText>
        </w:r>
        <w:r>
          <w:fldChar w:fldCharType="end"/>
        </w:r>
      </w:hyperlink>
    </w:p>
    <w:p>
      <w:pPr>
        <w:tabs>
          <w:tab w:val="right" w:leader="dot" w:pos="9062"/>
        </w:tabs>
        <w:ind w:left="440"/>
      </w:pPr>
      <w:hyperlink w:anchor="_Toc4824" w:history="1">
        <w:r>
          <w:rPr>
            <w:rFonts w:ascii="IRNazanin" w:hAnsi="IRNazanin" w:eastAsia="IRNazanin" w:cs="IRNazanin"/>
            <w:color w:val="111111"/>
            <w:sz w:val="22"/>
            <w:szCs w:val="22"/>
            <w:b w:val="0"/>
            <w:bCs w:val="0"/>
            <w:i w:val="0"/>
            <w:iCs w:val="0"/>
          </w:rPr>
          <w:t>4639- دیوان ظهوری تبریزی‏</w:t>
        </w:r>
        <w:r>
          <w:tab/>
        </w:r>
        <w:r>
          <w:fldChar w:fldCharType="begin"/>
        </w:r>
        <w:r>
          <w:instrText xml:space="preserve">PAGEREF 4824 \h</w:instrText>
        </w:r>
        <w:r>
          <w:fldChar w:fldCharType="end"/>
        </w:r>
      </w:hyperlink>
    </w:p>
    <w:p>
      <w:pPr>
        <w:tabs>
          <w:tab w:val="right" w:leader="dot" w:pos="9062"/>
        </w:tabs>
        <w:ind w:left="440"/>
      </w:pPr>
      <w:hyperlink w:anchor="_Toc4825" w:history="1">
        <w:r>
          <w:rPr>
            <w:rFonts w:ascii="IRNazanin" w:hAnsi="IRNazanin" w:eastAsia="IRNazanin" w:cs="IRNazanin"/>
            <w:color w:val="111111"/>
            <w:sz w:val="22"/>
            <w:szCs w:val="22"/>
            <w:b w:val="0"/>
            <w:bCs w:val="0"/>
            <w:i w:val="0"/>
            <w:iCs w:val="0"/>
          </w:rPr>
          <w:t>4640- دیوان ظهوری ترشیزی‏</w:t>
        </w:r>
        <w:r>
          <w:tab/>
        </w:r>
        <w:r>
          <w:fldChar w:fldCharType="begin"/>
        </w:r>
        <w:r>
          <w:instrText xml:space="preserve">PAGEREF 4825 \h</w:instrText>
        </w:r>
        <w:r>
          <w:fldChar w:fldCharType="end"/>
        </w:r>
      </w:hyperlink>
    </w:p>
    <w:p>
      <w:pPr>
        <w:tabs>
          <w:tab w:val="right" w:leader="dot" w:pos="9062"/>
        </w:tabs>
        <w:ind w:left="440"/>
      </w:pPr>
      <w:hyperlink w:anchor="_Toc4826" w:history="1">
        <w:r>
          <w:rPr>
            <w:rFonts w:ascii="IRNazanin" w:hAnsi="IRNazanin" w:eastAsia="IRNazanin" w:cs="IRNazanin"/>
            <w:color w:val="111111"/>
            <w:sz w:val="22"/>
            <w:szCs w:val="22"/>
            <w:b w:val="0"/>
            <w:bCs w:val="0"/>
            <w:i w:val="0"/>
            <w:iCs w:val="0"/>
          </w:rPr>
          <w:t>دیوان ظهوری شیرازی‏</w:t>
        </w:r>
        <w:r>
          <w:tab/>
        </w:r>
        <w:r>
          <w:fldChar w:fldCharType="begin"/>
        </w:r>
        <w:r>
          <w:instrText xml:space="preserve">PAGEREF 4826 \h</w:instrText>
        </w:r>
        <w:r>
          <w:fldChar w:fldCharType="end"/>
        </w:r>
      </w:hyperlink>
    </w:p>
    <w:p>
      <w:pPr>
        <w:tabs>
          <w:tab w:val="right" w:leader="dot" w:pos="9062"/>
        </w:tabs>
        <w:ind w:left="440"/>
      </w:pPr>
      <w:hyperlink w:anchor="_Toc4827" w:history="1">
        <w:r>
          <w:rPr>
            <w:rFonts w:ascii="IRNazanin" w:hAnsi="IRNazanin" w:eastAsia="IRNazanin" w:cs="IRNazanin"/>
            <w:color w:val="111111"/>
            <w:sz w:val="22"/>
            <w:szCs w:val="22"/>
            <w:b w:val="0"/>
            <w:bCs w:val="0"/>
            <w:i w:val="0"/>
            <w:iCs w:val="0"/>
          </w:rPr>
          <w:t>4641- دیوان ظهیر أسترآبادی‏</w:t>
        </w:r>
        <w:r>
          <w:tab/>
        </w:r>
        <w:r>
          <w:fldChar w:fldCharType="begin"/>
        </w:r>
        <w:r>
          <w:instrText xml:space="preserve">PAGEREF 4827 \h</w:instrText>
        </w:r>
        <w:r>
          <w:fldChar w:fldCharType="end"/>
        </w:r>
      </w:hyperlink>
    </w:p>
    <w:p>
      <w:pPr>
        <w:tabs>
          <w:tab w:val="right" w:leader="dot" w:pos="9062"/>
        </w:tabs>
        <w:ind w:left="440"/>
      </w:pPr>
      <w:hyperlink w:anchor="_Toc4828" w:history="1">
        <w:r>
          <w:rPr>
            <w:rFonts w:ascii="IRNazanin" w:hAnsi="IRNazanin" w:eastAsia="IRNazanin" w:cs="IRNazanin"/>
            <w:color w:val="111111"/>
            <w:sz w:val="22"/>
            <w:szCs w:val="22"/>
            <w:b w:val="0"/>
            <w:bCs w:val="0"/>
            <w:i w:val="0"/>
            <w:iCs w:val="0"/>
          </w:rPr>
          <w:t>4642- دیوان ظهیر أصفهانی‏</w:t>
        </w:r>
        <w:r>
          <w:tab/>
        </w:r>
        <w:r>
          <w:fldChar w:fldCharType="begin"/>
        </w:r>
        <w:r>
          <w:instrText xml:space="preserve">PAGEREF 4828 \h</w:instrText>
        </w:r>
        <w:r>
          <w:fldChar w:fldCharType="end"/>
        </w:r>
      </w:hyperlink>
    </w:p>
    <w:p>
      <w:pPr>
        <w:tabs>
          <w:tab w:val="right" w:leader="dot" w:pos="9062"/>
        </w:tabs>
        <w:ind w:left="440"/>
      </w:pPr>
      <w:hyperlink w:anchor="_Toc4829" w:history="1">
        <w:r>
          <w:rPr>
            <w:rFonts w:ascii="IRNazanin" w:hAnsi="IRNazanin" w:eastAsia="IRNazanin" w:cs="IRNazanin"/>
            <w:color w:val="111111"/>
            <w:sz w:val="22"/>
            <w:szCs w:val="22"/>
            <w:b w:val="0"/>
            <w:bCs w:val="0"/>
            <w:i w:val="0"/>
            <w:iCs w:val="0"/>
          </w:rPr>
          <w:t>دیوان ظهیر أصفهانی‏</w:t>
        </w:r>
        <w:r>
          <w:tab/>
        </w:r>
        <w:r>
          <w:fldChar w:fldCharType="begin"/>
        </w:r>
        <w:r>
          <w:instrText xml:space="preserve">PAGEREF 4829 \h</w:instrText>
        </w:r>
        <w:r>
          <w:fldChar w:fldCharType="end"/>
        </w:r>
      </w:hyperlink>
    </w:p>
    <w:p>
      <w:pPr>
        <w:tabs>
          <w:tab w:val="right" w:leader="dot" w:pos="9062"/>
        </w:tabs>
        <w:ind w:left="440"/>
      </w:pPr>
      <w:hyperlink w:anchor="_Toc4830" w:history="1">
        <w:r>
          <w:rPr>
            <w:rFonts w:ascii="IRNazanin" w:hAnsi="IRNazanin" w:eastAsia="IRNazanin" w:cs="IRNazanin"/>
            <w:color w:val="111111"/>
            <w:sz w:val="22"/>
            <w:szCs w:val="22"/>
            <w:b w:val="0"/>
            <w:bCs w:val="0"/>
            <w:i w:val="0"/>
            <w:iCs w:val="0"/>
          </w:rPr>
          <w:t>4643- دیوان ظهیر تفرشی‏</w:t>
        </w:r>
        <w:r>
          <w:tab/>
        </w:r>
        <w:r>
          <w:fldChar w:fldCharType="begin"/>
        </w:r>
        <w:r>
          <w:instrText xml:space="preserve">PAGEREF 4830 \h</w:instrText>
        </w:r>
        <w:r>
          <w:fldChar w:fldCharType="end"/>
        </w:r>
      </w:hyperlink>
    </w:p>
    <w:p>
      <w:pPr>
        <w:tabs>
          <w:tab w:val="right" w:leader="dot" w:pos="9062"/>
        </w:tabs>
        <w:ind w:left="440"/>
      </w:pPr>
      <w:hyperlink w:anchor="_Toc4831" w:history="1">
        <w:r>
          <w:rPr>
            <w:rFonts w:ascii="IRNazanin" w:hAnsi="IRNazanin" w:eastAsia="IRNazanin" w:cs="IRNazanin"/>
            <w:color w:val="111111"/>
            <w:sz w:val="22"/>
            <w:szCs w:val="22"/>
            <w:b w:val="0"/>
            <w:bCs w:val="0"/>
            <w:i w:val="0"/>
            <w:iCs w:val="0"/>
          </w:rPr>
          <w:t>دیوان ظهیر الدولة</w:t>
        </w:r>
        <w:r>
          <w:tab/>
        </w:r>
        <w:r>
          <w:fldChar w:fldCharType="begin"/>
        </w:r>
        <w:r>
          <w:instrText xml:space="preserve">PAGEREF 4831 \h</w:instrText>
        </w:r>
        <w:r>
          <w:fldChar w:fldCharType="end"/>
        </w:r>
      </w:hyperlink>
    </w:p>
    <w:p>
      <w:pPr>
        <w:tabs>
          <w:tab w:val="right" w:leader="dot" w:pos="9062"/>
        </w:tabs>
        <w:ind w:left="440"/>
      </w:pPr>
      <w:hyperlink w:anchor="_Toc4832" w:history="1">
        <w:r>
          <w:rPr>
            <w:rFonts w:ascii="IRNazanin" w:hAnsi="IRNazanin" w:eastAsia="IRNazanin" w:cs="IRNazanin"/>
            <w:color w:val="111111"/>
            <w:sz w:val="22"/>
            <w:szCs w:val="22"/>
            <w:b w:val="0"/>
            <w:bCs w:val="0"/>
            <w:i w:val="0"/>
            <w:iCs w:val="0"/>
          </w:rPr>
          <w:t>دیوان ظهیر الدین‏</w:t>
        </w:r>
        <w:r>
          <w:tab/>
        </w:r>
        <w:r>
          <w:fldChar w:fldCharType="begin"/>
        </w:r>
        <w:r>
          <w:instrText xml:space="preserve">PAGEREF 4832 \h</w:instrText>
        </w:r>
        <w:r>
          <w:fldChar w:fldCharType="end"/>
        </w:r>
      </w:hyperlink>
    </w:p>
    <w:p>
      <w:pPr>
        <w:tabs>
          <w:tab w:val="right" w:leader="dot" w:pos="9062"/>
        </w:tabs>
        <w:ind w:left="440"/>
      </w:pPr>
      <w:hyperlink w:anchor="_Toc4833" w:history="1">
        <w:r>
          <w:rPr>
            <w:rFonts w:ascii="IRNazanin" w:hAnsi="IRNazanin" w:eastAsia="IRNazanin" w:cs="IRNazanin"/>
            <w:color w:val="111111"/>
            <w:sz w:val="22"/>
            <w:szCs w:val="22"/>
            <w:b w:val="0"/>
            <w:bCs w:val="0"/>
            <w:i w:val="0"/>
            <w:iCs w:val="0"/>
          </w:rPr>
          <w:t>4644- دیوان ظهیر الدین سرخسی‏</w:t>
        </w:r>
        <w:r>
          <w:tab/>
        </w:r>
        <w:r>
          <w:fldChar w:fldCharType="begin"/>
        </w:r>
        <w:r>
          <w:instrText xml:space="preserve">PAGEREF 4833 \h</w:instrText>
        </w:r>
        <w:r>
          <w:fldChar w:fldCharType="end"/>
        </w:r>
      </w:hyperlink>
    </w:p>
    <w:p>
      <w:pPr>
        <w:tabs>
          <w:tab w:val="right" w:leader="dot" w:pos="9062"/>
        </w:tabs>
        <w:ind w:left="440"/>
      </w:pPr>
      <w:hyperlink w:anchor="_Toc4834" w:history="1">
        <w:r>
          <w:rPr>
            <w:rFonts w:ascii="IRNazanin" w:hAnsi="IRNazanin" w:eastAsia="IRNazanin" w:cs="IRNazanin"/>
            <w:color w:val="111111"/>
            <w:sz w:val="22"/>
            <w:szCs w:val="22"/>
            <w:b w:val="0"/>
            <w:bCs w:val="0"/>
            <w:i w:val="0"/>
            <w:iCs w:val="0"/>
          </w:rPr>
          <w:t>4645- دیوان ظهیر الدین سکزی‏</w:t>
        </w:r>
        <w:r>
          <w:tab/>
        </w:r>
        <w:r>
          <w:fldChar w:fldCharType="begin"/>
        </w:r>
        <w:r>
          <w:instrText xml:space="preserve">PAGEREF 4834 \h</w:instrText>
        </w:r>
        <w:r>
          <w:fldChar w:fldCharType="end"/>
        </w:r>
      </w:hyperlink>
    </w:p>
    <w:p>
      <w:pPr>
        <w:tabs>
          <w:tab w:val="right" w:leader="dot" w:pos="9062"/>
        </w:tabs>
        <w:ind w:left="440"/>
      </w:pPr>
      <w:hyperlink w:anchor="_Toc4835" w:history="1">
        <w:r>
          <w:rPr>
            <w:rFonts w:ascii="IRNazanin" w:hAnsi="IRNazanin" w:eastAsia="IRNazanin" w:cs="IRNazanin"/>
            <w:color w:val="111111"/>
            <w:sz w:val="22"/>
            <w:szCs w:val="22"/>
            <w:b w:val="0"/>
            <w:bCs w:val="0"/>
            <w:i w:val="0"/>
            <w:iCs w:val="0"/>
          </w:rPr>
          <w:t>دیوان ظهیر سمرقندی‏</w:t>
        </w:r>
        <w:r>
          <w:tab/>
        </w:r>
        <w:r>
          <w:fldChar w:fldCharType="begin"/>
        </w:r>
        <w:r>
          <w:instrText xml:space="preserve">PAGEREF 4835 \h</w:instrText>
        </w:r>
        <w:r>
          <w:fldChar w:fldCharType="end"/>
        </w:r>
      </w:hyperlink>
    </w:p>
    <w:p>
      <w:pPr>
        <w:tabs>
          <w:tab w:val="right" w:leader="dot" w:pos="9062"/>
        </w:tabs>
        <w:ind w:left="440"/>
      </w:pPr>
      <w:hyperlink w:anchor="_Toc4836" w:history="1">
        <w:r>
          <w:rPr>
            <w:rFonts w:ascii="IRNazanin" w:hAnsi="IRNazanin" w:eastAsia="IRNazanin" w:cs="IRNazanin"/>
            <w:color w:val="111111"/>
            <w:sz w:val="22"/>
            <w:szCs w:val="22"/>
            <w:b w:val="0"/>
            <w:bCs w:val="0"/>
            <w:i w:val="0"/>
            <w:iCs w:val="0"/>
          </w:rPr>
          <w:t>4646- دیوان ظهیر شفروه‏</w:t>
        </w:r>
        <w:r>
          <w:tab/>
        </w:r>
        <w:r>
          <w:fldChar w:fldCharType="begin"/>
        </w:r>
        <w:r>
          <w:instrText xml:space="preserve">PAGEREF 4836 \h</w:instrText>
        </w:r>
        <w:r>
          <w:fldChar w:fldCharType="end"/>
        </w:r>
      </w:hyperlink>
    </w:p>
    <w:p>
      <w:pPr>
        <w:tabs>
          <w:tab w:val="right" w:leader="dot" w:pos="9062"/>
        </w:tabs>
        <w:ind w:left="440"/>
      </w:pPr>
      <w:hyperlink w:anchor="_Toc4837" w:history="1">
        <w:r>
          <w:rPr>
            <w:rFonts w:ascii="IRNazanin" w:hAnsi="IRNazanin" w:eastAsia="IRNazanin" w:cs="IRNazanin"/>
            <w:color w:val="111111"/>
            <w:sz w:val="22"/>
            <w:szCs w:val="22"/>
            <w:b w:val="0"/>
            <w:bCs w:val="0"/>
            <w:i w:val="0"/>
            <w:iCs w:val="0"/>
          </w:rPr>
          <w:t>دیوان ظهیر شیرازی‏</w:t>
        </w:r>
        <w:r>
          <w:tab/>
        </w:r>
        <w:r>
          <w:fldChar w:fldCharType="begin"/>
        </w:r>
        <w:r>
          <w:instrText xml:space="preserve">PAGEREF 4837 \h</w:instrText>
        </w:r>
        <w:r>
          <w:fldChar w:fldCharType="end"/>
        </w:r>
      </w:hyperlink>
    </w:p>
    <w:p>
      <w:pPr>
        <w:tabs>
          <w:tab w:val="right" w:leader="dot" w:pos="9062"/>
        </w:tabs>
        <w:ind w:left="440"/>
      </w:pPr>
      <w:hyperlink w:anchor="_Toc4838" w:history="1">
        <w:r>
          <w:rPr>
            <w:rFonts w:ascii="IRNazanin" w:hAnsi="IRNazanin" w:eastAsia="IRNazanin" w:cs="IRNazanin"/>
            <w:color w:val="111111"/>
            <w:sz w:val="22"/>
            <w:szCs w:val="22"/>
            <w:b w:val="0"/>
            <w:bCs w:val="0"/>
            <w:i w:val="0"/>
            <w:iCs w:val="0"/>
          </w:rPr>
          <w:t>4647- دیوان ظهیر فاریابی‏</w:t>
        </w:r>
        <w:r>
          <w:tab/>
        </w:r>
        <w:r>
          <w:fldChar w:fldCharType="begin"/>
        </w:r>
        <w:r>
          <w:instrText xml:space="preserve">PAGEREF 4838 \h</w:instrText>
        </w:r>
        <w:r>
          <w:fldChar w:fldCharType="end"/>
        </w:r>
      </w:hyperlink>
    </w:p>
    <w:p>
      <w:pPr>
        <w:tabs>
          <w:tab w:val="right" w:leader="dot" w:pos="9062"/>
        </w:tabs>
        <w:ind w:left="440"/>
      </w:pPr>
      <w:hyperlink w:anchor="_Toc4839" w:history="1">
        <w:r>
          <w:rPr>
            <w:rFonts w:ascii="IRNazanin" w:hAnsi="IRNazanin" w:eastAsia="IRNazanin" w:cs="IRNazanin"/>
            <w:color w:val="111111"/>
            <w:sz w:val="22"/>
            <w:szCs w:val="22"/>
            <w:b w:val="0"/>
            <w:bCs w:val="0"/>
            <w:i w:val="0"/>
            <w:iCs w:val="0"/>
          </w:rPr>
          <w:t>4648- دیوان ظهیر کرمانی أو شعره‏</w:t>
        </w:r>
        <w:r>
          <w:tab/>
        </w:r>
        <w:r>
          <w:fldChar w:fldCharType="begin"/>
        </w:r>
        <w:r>
          <w:instrText xml:space="preserve">PAGEREF 4839 \h</w:instrText>
        </w:r>
        <w:r>
          <w:fldChar w:fldCharType="end"/>
        </w:r>
      </w:hyperlink>
    </w:p>
    <w:p>
      <w:pPr>
        <w:tabs>
          <w:tab w:val="right" w:leader="dot" w:pos="9062"/>
        </w:tabs>
        <w:ind w:left="440"/>
      </w:pPr>
      <w:hyperlink w:anchor="_Toc4840" w:history="1">
        <w:r>
          <w:rPr>
            <w:rFonts w:ascii="IRNazanin" w:hAnsi="IRNazanin" w:eastAsia="IRNazanin" w:cs="IRNazanin"/>
            <w:color w:val="111111"/>
            <w:sz w:val="22"/>
            <w:szCs w:val="22"/>
            <w:b w:val="0"/>
            <w:bCs w:val="0"/>
            <w:i w:val="0"/>
            <w:iCs w:val="0"/>
          </w:rPr>
          <w:t>4649- دیوان ظهیر کرمانی‏</w:t>
        </w:r>
        <w:r>
          <w:tab/>
        </w:r>
        <w:r>
          <w:fldChar w:fldCharType="begin"/>
        </w:r>
        <w:r>
          <w:instrText xml:space="preserve">PAGEREF 4840 \h</w:instrText>
        </w:r>
        <w:r>
          <w:fldChar w:fldCharType="end"/>
        </w:r>
      </w:hyperlink>
    </w:p>
    <w:p>
      <w:pPr>
        <w:tabs>
          <w:tab w:val="right" w:leader="dot" w:pos="9062"/>
        </w:tabs>
        <w:ind w:left="440"/>
      </w:pPr>
      <w:hyperlink w:anchor="_Toc4841" w:history="1">
        <w:r>
          <w:rPr>
            <w:rFonts w:ascii="IRNazanin" w:hAnsi="IRNazanin" w:eastAsia="IRNazanin" w:cs="IRNazanin"/>
            <w:color w:val="111111"/>
            <w:sz w:val="22"/>
            <w:szCs w:val="22"/>
            <w:b w:val="0"/>
            <w:bCs w:val="0"/>
            <w:i w:val="0"/>
            <w:iCs w:val="0"/>
          </w:rPr>
          <w:t>4650- دیوان ظهیر لاهیجی‏</w:t>
        </w:r>
        <w:r>
          <w:tab/>
        </w:r>
        <w:r>
          <w:fldChar w:fldCharType="begin"/>
        </w:r>
        <w:r>
          <w:instrText xml:space="preserve">PAGEREF 4841 \h</w:instrText>
        </w:r>
        <w:r>
          <w:fldChar w:fldCharType="end"/>
        </w:r>
      </w:hyperlink>
    </w:p>
    <w:p>
      <w:pPr>
        <w:tabs>
          <w:tab w:val="right" w:leader="dot" w:pos="9062"/>
        </w:tabs>
        <w:ind w:left="440"/>
      </w:pPr>
      <w:hyperlink w:anchor="_Toc4842" w:history="1">
        <w:r>
          <w:rPr>
            <w:rFonts w:ascii="IRNazanin" w:hAnsi="IRNazanin" w:eastAsia="IRNazanin" w:cs="IRNazanin"/>
            <w:color w:val="111111"/>
            <w:sz w:val="22"/>
            <w:szCs w:val="22"/>
            <w:b w:val="0"/>
            <w:bCs w:val="0"/>
            <w:i w:val="0"/>
            <w:iCs w:val="0"/>
          </w:rPr>
          <w:t>4651- دیوان ظهیر مرعشی‏</w:t>
        </w:r>
        <w:r>
          <w:tab/>
        </w:r>
        <w:r>
          <w:fldChar w:fldCharType="begin"/>
        </w:r>
        <w:r>
          <w:instrText xml:space="preserve">PAGEREF 4842 \h</w:instrText>
        </w:r>
        <w:r>
          <w:fldChar w:fldCharType="end"/>
        </w:r>
      </w:hyperlink>
    </w:p>
    <w:p>
      <w:pPr>
        <w:tabs>
          <w:tab w:val="right" w:leader="dot" w:pos="9062"/>
        </w:tabs>
        <w:ind w:left="440"/>
      </w:pPr>
      <w:hyperlink w:anchor="_Toc4843" w:history="1">
        <w:r>
          <w:rPr>
            <w:rFonts w:ascii="IRNazanin" w:hAnsi="IRNazanin" w:eastAsia="IRNazanin" w:cs="IRNazanin"/>
            <w:color w:val="111111"/>
            <w:sz w:val="22"/>
            <w:szCs w:val="22"/>
            <w:b w:val="0"/>
            <w:bCs w:val="0"/>
            <w:i w:val="0"/>
            <w:iCs w:val="0"/>
          </w:rPr>
          <w:t>4652- دیوان ظهیر نسوی أو شعره‏</w:t>
        </w:r>
        <w:r>
          <w:tab/>
        </w:r>
        <w:r>
          <w:fldChar w:fldCharType="begin"/>
        </w:r>
        <w:r>
          <w:instrText xml:space="preserve">PAGEREF 4843 \h</w:instrText>
        </w:r>
        <w:r>
          <w:fldChar w:fldCharType="end"/>
        </w:r>
      </w:hyperlink>
    </w:p>
    <w:p>
      <w:pPr>
        <w:tabs>
          <w:tab w:val="right" w:leader="dot" w:pos="9062"/>
        </w:tabs>
        <w:ind w:left="440"/>
      </w:pPr>
      <w:hyperlink w:anchor="_Toc4844" w:history="1">
        <w:r>
          <w:rPr>
            <w:rFonts w:ascii="IRNazanin" w:hAnsi="IRNazanin" w:eastAsia="IRNazanin" w:cs="IRNazanin"/>
            <w:color w:val="111111"/>
            <w:sz w:val="22"/>
            <w:szCs w:val="22"/>
            <w:b w:val="0"/>
            <w:bCs w:val="0"/>
            <w:i w:val="0"/>
            <w:iCs w:val="0"/>
          </w:rPr>
          <w:t>4653- دیوان ظهیری سمرقندی أو شعره‏</w:t>
        </w:r>
        <w:r>
          <w:tab/>
        </w:r>
        <w:r>
          <w:fldChar w:fldCharType="begin"/>
        </w:r>
        <w:r>
          <w:instrText xml:space="preserve">PAGEREF 4844 \h</w:instrText>
        </w:r>
        <w:r>
          <w:fldChar w:fldCharType="end"/>
        </w:r>
      </w:hyperlink>
    </w:p>
    <w:p>
      <w:pPr>
        <w:tabs>
          <w:tab w:val="right" w:leader="dot" w:pos="9062"/>
        </w:tabs>
        <w:ind w:left="440"/>
      </w:pPr>
      <w:hyperlink w:anchor="_Toc4845" w:history="1">
        <w:r>
          <w:rPr>
            <w:rFonts w:ascii="IRNazanin" w:hAnsi="IRNazanin" w:eastAsia="IRNazanin" w:cs="IRNazanin"/>
            <w:color w:val="111111"/>
            <w:sz w:val="22"/>
            <w:szCs w:val="22"/>
            <w:b w:val="0"/>
            <w:bCs w:val="0"/>
            <w:i w:val="0"/>
            <w:iCs w:val="0"/>
          </w:rPr>
          <w:t>ع</w:t>
        </w:r>
        <w:r>
          <w:tab/>
        </w:r>
        <w:r>
          <w:fldChar w:fldCharType="begin"/>
        </w:r>
        <w:r>
          <w:instrText xml:space="preserve">PAGEREF 4845 \h</w:instrText>
        </w:r>
        <w:r>
          <w:fldChar w:fldCharType="end"/>
        </w:r>
      </w:hyperlink>
    </w:p>
    <w:p>
      <w:pPr>
        <w:tabs>
          <w:tab w:val="right" w:leader="dot" w:pos="9062"/>
        </w:tabs>
        <w:ind w:left="440"/>
      </w:pPr>
      <w:hyperlink w:anchor="_Toc4846" w:history="1">
        <w:r>
          <w:rPr>
            <w:rFonts w:ascii="IRNazanin" w:hAnsi="IRNazanin" w:eastAsia="IRNazanin" w:cs="IRNazanin"/>
            <w:color w:val="111111"/>
            <w:sz w:val="22"/>
            <w:szCs w:val="22"/>
            <w:b w:val="0"/>
            <w:bCs w:val="0"/>
            <w:i w:val="0"/>
            <w:iCs w:val="0"/>
          </w:rPr>
          <w:t>4654- دیوان عابد أصفهانی‏</w:t>
        </w:r>
        <w:r>
          <w:tab/>
        </w:r>
        <w:r>
          <w:fldChar w:fldCharType="begin"/>
        </w:r>
        <w:r>
          <w:instrText xml:space="preserve">PAGEREF 4846 \h</w:instrText>
        </w:r>
        <w:r>
          <w:fldChar w:fldCharType="end"/>
        </w:r>
      </w:hyperlink>
    </w:p>
    <w:p>
      <w:pPr>
        <w:tabs>
          <w:tab w:val="right" w:leader="dot" w:pos="9062"/>
        </w:tabs>
        <w:ind w:left="440"/>
      </w:pPr>
      <w:hyperlink w:anchor="_Toc4847" w:history="1">
        <w:r>
          <w:rPr>
            <w:rFonts w:ascii="IRNazanin" w:hAnsi="IRNazanin" w:eastAsia="IRNazanin" w:cs="IRNazanin"/>
            <w:color w:val="111111"/>
            <w:sz w:val="22"/>
            <w:szCs w:val="22"/>
            <w:b w:val="0"/>
            <w:bCs w:val="0"/>
            <w:i w:val="0"/>
            <w:iCs w:val="0"/>
          </w:rPr>
          <w:t>4655- دیوان عابد بیرمی أو شعره‏</w:t>
        </w:r>
        <w:r>
          <w:tab/>
        </w:r>
        <w:r>
          <w:fldChar w:fldCharType="begin"/>
        </w:r>
        <w:r>
          <w:instrText xml:space="preserve">PAGEREF 4847 \h</w:instrText>
        </w:r>
        <w:r>
          <w:fldChar w:fldCharType="end"/>
        </w:r>
      </w:hyperlink>
    </w:p>
    <w:p>
      <w:pPr>
        <w:tabs>
          <w:tab w:val="right" w:leader="dot" w:pos="9062"/>
        </w:tabs>
        <w:ind w:left="440"/>
      </w:pPr>
      <w:hyperlink w:anchor="_Toc4848" w:history="1">
        <w:r>
          <w:rPr>
            <w:rFonts w:ascii="IRNazanin" w:hAnsi="IRNazanin" w:eastAsia="IRNazanin" w:cs="IRNazanin"/>
            <w:color w:val="111111"/>
            <w:sz w:val="22"/>
            <w:szCs w:val="22"/>
            <w:b w:val="0"/>
            <w:bCs w:val="0"/>
            <w:i w:val="0"/>
            <w:iCs w:val="0"/>
          </w:rPr>
          <w:t>دیوان عابد حسین‏</w:t>
        </w:r>
        <w:r>
          <w:tab/>
        </w:r>
        <w:r>
          <w:fldChar w:fldCharType="begin"/>
        </w:r>
        <w:r>
          <w:instrText xml:space="preserve">PAGEREF 4848 \h</w:instrText>
        </w:r>
        <w:r>
          <w:fldChar w:fldCharType="end"/>
        </w:r>
      </w:hyperlink>
    </w:p>
    <w:p>
      <w:pPr>
        <w:tabs>
          <w:tab w:val="right" w:leader="dot" w:pos="9062"/>
        </w:tabs>
        <w:ind w:left="440"/>
      </w:pPr>
      <w:hyperlink w:anchor="_Toc4849" w:history="1">
        <w:r>
          <w:rPr>
            <w:rFonts w:ascii="IRNazanin" w:hAnsi="IRNazanin" w:eastAsia="IRNazanin" w:cs="IRNazanin"/>
            <w:color w:val="111111"/>
            <w:sz w:val="22"/>
            <w:szCs w:val="22"/>
            <w:b w:val="0"/>
            <w:bCs w:val="0"/>
            <w:i w:val="0"/>
            <w:iCs w:val="0"/>
          </w:rPr>
          <w:t>4656- دیوان عابد راقم أو شعره‏</w:t>
        </w:r>
        <w:r>
          <w:tab/>
        </w:r>
        <w:r>
          <w:fldChar w:fldCharType="begin"/>
        </w:r>
        <w:r>
          <w:instrText xml:space="preserve">PAGEREF 4849 \h</w:instrText>
        </w:r>
        <w:r>
          <w:fldChar w:fldCharType="end"/>
        </w:r>
      </w:hyperlink>
    </w:p>
    <w:p>
      <w:pPr>
        <w:tabs>
          <w:tab w:val="right" w:leader="dot" w:pos="9062"/>
        </w:tabs>
        <w:ind w:left="440"/>
      </w:pPr>
      <w:hyperlink w:anchor="_Toc4850" w:history="1">
        <w:r>
          <w:rPr>
            <w:rFonts w:ascii="IRNazanin" w:hAnsi="IRNazanin" w:eastAsia="IRNazanin" w:cs="IRNazanin"/>
            <w:color w:val="111111"/>
            <w:sz w:val="22"/>
            <w:szCs w:val="22"/>
            <w:b w:val="0"/>
            <w:bCs w:val="0"/>
            <w:i w:val="0"/>
            <w:iCs w:val="0"/>
          </w:rPr>
          <w:t>دیوان عابد سمرقندی أو شعره‏</w:t>
        </w:r>
        <w:r>
          <w:tab/>
        </w:r>
        <w:r>
          <w:fldChar w:fldCharType="begin"/>
        </w:r>
        <w:r>
          <w:instrText xml:space="preserve">PAGEREF 4850 \h</w:instrText>
        </w:r>
        <w:r>
          <w:fldChar w:fldCharType="end"/>
        </w:r>
      </w:hyperlink>
    </w:p>
    <w:p>
      <w:pPr>
        <w:tabs>
          <w:tab w:val="right" w:leader="dot" w:pos="9062"/>
        </w:tabs>
        <w:ind w:left="440"/>
      </w:pPr>
      <w:hyperlink w:anchor="_Toc4851" w:history="1">
        <w:r>
          <w:rPr>
            <w:rFonts w:ascii="IRNazanin" w:hAnsi="IRNazanin" w:eastAsia="IRNazanin" w:cs="IRNazanin"/>
            <w:color w:val="111111"/>
            <w:sz w:val="22"/>
            <w:szCs w:val="22"/>
            <w:b w:val="0"/>
            <w:bCs w:val="0"/>
            <w:i w:val="0"/>
            <w:iCs w:val="0"/>
          </w:rPr>
          <w:t>4657- دیوان عاجز سرابی‏</w:t>
        </w:r>
        <w:r>
          <w:tab/>
        </w:r>
        <w:r>
          <w:fldChar w:fldCharType="begin"/>
        </w:r>
        <w:r>
          <w:instrText xml:space="preserve">PAGEREF 4851 \h</w:instrText>
        </w:r>
        <w:r>
          <w:fldChar w:fldCharType="end"/>
        </w:r>
      </w:hyperlink>
    </w:p>
    <w:p>
      <w:pPr>
        <w:tabs>
          <w:tab w:val="right" w:leader="dot" w:pos="9062"/>
        </w:tabs>
        <w:ind w:left="440"/>
      </w:pPr>
      <w:hyperlink w:anchor="_Toc4852" w:history="1">
        <w:r>
          <w:rPr>
            <w:rFonts w:ascii="IRNazanin" w:hAnsi="IRNazanin" w:eastAsia="IRNazanin" w:cs="IRNazanin"/>
            <w:color w:val="111111"/>
            <w:sz w:val="22"/>
            <w:szCs w:val="22"/>
            <w:b w:val="0"/>
            <w:bCs w:val="0"/>
            <w:i w:val="0"/>
            <w:iCs w:val="0"/>
          </w:rPr>
          <w:t>4658- دیوان عاجز قاجار</w:t>
        </w:r>
        <w:r>
          <w:tab/>
        </w:r>
        <w:r>
          <w:fldChar w:fldCharType="begin"/>
        </w:r>
        <w:r>
          <w:instrText xml:space="preserve">PAGEREF 4852 \h</w:instrText>
        </w:r>
        <w:r>
          <w:fldChar w:fldCharType="end"/>
        </w:r>
      </w:hyperlink>
    </w:p>
    <w:p>
      <w:pPr>
        <w:tabs>
          <w:tab w:val="right" w:leader="dot" w:pos="9062"/>
        </w:tabs>
        <w:ind w:left="440"/>
      </w:pPr>
      <w:hyperlink w:anchor="_Toc4853" w:history="1">
        <w:r>
          <w:rPr>
            <w:rFonts w:ascii="IRNazanin" w:hAnsi="IRNazanin" w:eastAsia="IRNazanin" w:cs="IRNazanin"/>
            <w:color w:val="111111"/>
            <w:sz w:val="22"/>
            <w:szCs w:val="22"/>
            <w:b w:val="0"/>
            <w:bCs w:val="0"/>
            <w:i w:val="0"/>
            <w:iCs w:val="0"/>
          </w:rPr>
          <w:t>4659- دیوان عاجز مرندی أو شعره‏</w:t>
        </w:r>
        <w:r>
          <w:tab/>
        </w:r>
        <w:r>
          <w:fldChar w:fldCharType="begin"/>
        </w:r>
        <w:r>
          <w:instrText xml:space="preserve">PAGEREF 4853 \h</w:instrText>
        </w:r>
        <w:r>
          <w:fldChar w:fldCharType="end"/>
        </w:r>
      </w:hyperlink>
    </w:p>
    <w:p>
      <w:pPr>
        <w:tabs>
          <w:tab w:val="right" w:leader="dot" w:pos="9062"/>
        </w:tabs>
        <w:ind w:left="440"/>
      </w:pPr>
      <w:hyperlink w:anchor="_Toc4854" w:history="1">
        <w:r>
          <w:rPr>
            <w:rFonts w:ascii="IRNazanin" w:hAnsi="IRNazanin" w:eastAsia="IRNazanin" w:cs="IRNazanin"/>
            <w:color w:val="111111"/>
            <w:sz w:val="22"/>
            <w:szCs w:val="22"/>
            <w:b w:val="0"/>
            <w:bCs w:val="0"/>
            <w:i w:val="0"/>
            <w:iCs w:val="0"/>
          </w:rPr>
          <w:t>4660- دیوان عاجز هندی‏</w:t>
        </w:r>
        <w:r>
          <w:tab/>
        </w:r>
        <w:r>
          <w:fldChar w:fldCharType="begin"/>
        </w:r>
        <w:r>
          <w:instrText xml:space="preserve">PAGEREF 4854 \h</w:instrText>
        </w:r>
        <w:r>
          <w:fldChar w:fldCharType="end"/>
        </w:r>
      </w:hyperlink>
    </w:p>
    <w:p>
      <w:pPr>
        <w:tabs>
          <w:tab w:val="right" w:leader="dot" w:pos="9062"/>
        </w:tabs>
        <w:ind w:left="440"/>
      </w:pPr>
      <w:hyperlink w:anchor="_Toc4855" w:history="1">
        <w:r>
          <w:rPr>
            <w:rFonts w:ascii="IRNazanin" w:hAnsi="IRNazanin" w:eastAsia="IRNazanin" w:cs="IRNazanin"/>
            <w:color w:val="111111"/>
            <w:sz w:val="22"/>
            <w:szCs w:val="22"/>
            <w:b w:val="0"/>
            <w:bCs w:val="0"/>
            <w:i w:val="0"/>
            <w:iCs w:val="0"/>
          </w:rPr>
          <w:t>4661- دیوان عادل خراسانی‏</w:t>
        </w:r>
        <w:r>
          <w:tab/>
        </w:r>
        <w:r>
          <w:fldChar w:fldCharType="begin"/>
        </w:r>
        <w:r>
          <w:instrText xml:space="preserve">PAGEREF 4855 \h</w:instrText>
        </w:r>
        <w:r>
          <w:fldChar w:fldCharType="end"/>
        </w:r>
      </w:hyperlink>
    </w:p>
    <w:p>
      <w:pPr>
        <w:tabs>
          <w:tab w:val="right" w:leader="dot" w:pos="9062"/>
        </w:tabs>
        <w:ind w:left="440"/>
      </w:pPr>
      <w:hyperlink w:anchor="_Toc4856" w:history="1">
        <w:r>
          <w:rPr>
            <w:rFonts w:ascii="IRNazanin" w:hAnsi="IRNazanin" w:eastAsia="IRNazanin" w:cs="IRNazanin"/>
            <w:color w:val="111111"/>
            <w:sz w:val="22"/>
            <w:szCs w:val="22"/>
            <w:b w:val="0"/>
            <w:bCs w:val="0"/>
            <w:i w:val="0"/>
            <w:iCs w:val="0"/>
          </w:rPr>
          <w:t>4662- دیوان عادل لاری أو شعره‏</w:t>
        </w:r>
        <w:r>
          <w:tab/>
        </w:r>
        <w:r>
          <w:fldChar w:fldCharType="begin"/>
        </w:r>
        <w:r>
          <w:instrText xml:space="preserve">PAGEREF 4856 \h</w:instrText>
        </w:r>
        <w:r>
          <w:fldChar w:fldCharType="end"/>
        </w:r>
      </w:hyperlink>
    </w:p>
    <w:p>
      <w:pPr>
        <w:tabs>
          <w:tab w:val="right" w:leader="dot" w:pos="9062"/>
        </w:tabs>
        <w:ind w:left="440"/>
      </w:pPr>
      <w:hyperlink w:anchor="_Toc4857" w:history="1">
        <w:r>
          <w:rPr>
            <w:rFonts w:ascii="IRNazanin" w:hAnsi="IRNazanin" w:eastAsia="IRNazanin" w:cs="IRNazanin"/>
            <w:color w:val="111111"/>
            <w:sz w:val="22"/>
            <w:szCs w:val="22"/>
            <w:b w:val="0"/>
            <w:bCs w:val="0"/>
            <w:i w:val="0"/>
            <w:iCs w:val="0"/>
          </w:rPr>
          <w:t>دیوان عادل شاه دکنی‏</w:t>
        </w:r>
        <w:r>
          <w:tab/>
        </w:r>
        <w:r>
          <w:fldChar w:fldCharType="begin"/>
        </w:r>
        <w:r>
          <w:instrText xml:space="preserve">PAGEREF 4857 \h</w:instrText>
        </w:r>
        <w:r>
          <w:fldChar w:fldCharType="end"/>
        </w:r>
      </w:hyperlink>
    </w:p>
    <w:p>
      <w:pPr>
        <w:tabs>
          <w:tab w:val="right" w:leader="dot" w:pos="9062"/>
        </w:tabs>
        <w:ind w:left="440"/>
      </w:pPr>
      <w:hyperlink w:anchor="_Toc4858" w:history="1">
        <w:r>
          <w:rPr>
            <w:rFonts w:ascii="IRNazanin" w:hAnsi="IRNazanin" w:eastAsia="IRNazanin" w:cs="IRNazanin"/>
            <w:color w:val="111111"/>
            <w:sz w:val="22"/>
            <w:szCs w:val="22"/>
            <w:b w:val="0"/>
            <w:bCs w:val="0"/>
            <w:i w:val="0"/>
            <w:iCs w:val="0"/>
          </w:rPr>
          <w:t>4663- دیوان عادل صفوی‏</w:t>
        </w:r>
        <w:r>
          <w:tab/>
        </w:r>
        <w:r>
          <w:fldChar w:fldCharType="begin"/>
        </w:r>
        <w:r>
          <w:instrText xml:space="preserve">PAGEREF 4858 \h</w:instrText>
        </w:r>
        <w:r>
          <w:fldChar w:fldCharType="end"/>
        </w:r>
      </w:hyperlink>
    </w:p>
    <w:p>
      <w:pPr>
        <w:tabs>
          <w:tab w:val="right" w:leader="dot" w:pos="9062"/>
        </w:tabs>
        <w:ind w:left="440"/>
      </w:pPr>
      <w:hyperlink w:anchor="_Toc4859" w:history="1">
        <w:r>
          <w:rPr>
            <w:rFonts w:ascii="IRNazanin" w:hAnsi="IRNazanin" w:eastAsia="IRNazanin" w:cs="IRNazanin"/>
            <w:color w:val="111111"/>
            <w:sz w:val="22"/>
            <w:szCs w:val="22"/>
            <w:b w:val="0"/>
            <w:bCs w:val="0"/>
            <w:i w:val="0"/>
            <w:iCs w:val="0"/>
          </w:rPr>
          <w:t>4664- دیوان عادلی أو شعره‏</w:t>
        </w:r>
        <w:r>
          <w:tab/>
        </w:r>
        <w:r>
          <w:fldChar w:fldCharType="begin"/>
        </w:r>
        <w:r>
          <w:instrText xml:space="preserve">PAGEREF 4859 \h</w:instrText>
        </w:r>
        <w:r>
          <w:fldChar w:fldCharType="end"/>
        </w:r>
      </w:hyperlink>
    </w:p>
    <w:p>
      <w:pPr>
        <w:tabs>
          <w:tab w:val="right" w:leader="dot" w:pos="9062"/>
        </w:tabs>
        <w:ind w:left="440"/>
      </w:pPr>
      <w:hyperlink w:anchor="_Toc4860" w:history="1">
        <w:r>
          <w:rPr>
            <w:rFonts w:ascii="IRNazanin" w:hAnsi="IRNazanin" w:eastAsia="IRNazanin" w:cs="IRNazanin"/>
            <w:color w:val="111111"/>
            <w:sz w:val="22"/>
            <w:szCs w:val="22"/>
            <w:b w:val="0"/>
            <w:bCs w:val="0"/>
            <w:i w:val="0"/>
            <w:iCs w:val="0"/>
          </w:rPr>
          <w:t>4665- دیوان العادلی النجفی‏</w:t>
        </w:r>
        <w:r>
          <w:tab/>
        </w:r>
        <w:r>
          <w:fldChar w:fldCharType="begin"/>
        </w:r>
        <w:r>
          <w:instrText xml:space="preserve">PAGEREF 4860 \h</w:instrText>
        </w:r>
        <w:r>
          <w:fldChar w:fldCharType="end"/>
        </w:r>
      </w:hyperlink>
    </w:p>
    <w:p>
      <w:pPr>
        <w:tabs>
          <w:tab w:val="right" w:leader="dot" w:pos="9062"/>
        </w:tabs>
        <w:ind w:left="440"/>
      </w:pPr>
      <w:hyperlink w:anchor="_Toc4861" w:history="1">
        <w:r>
          <w:rPr>
            <w:rFonts w:ascii="IRNazanin" w:hAnsi="IRNazanin" w:eastAsia="IRNazanin" w:cs="IRNazanin"/>
            <w:color w:val="111111"/>
            <w:sz w:val="22"/>
            <w:szCs w:val="22"/>
            <w:b w:val="0"/>
            <w:bCs w:val="0"/>
            <w:i w:val="0"/>
            <w:iCs w:val="0"/>
          </w:rPr>
          <w:t>4666- دیوان عادلی هروی‏</w:t>
        </w:r>
        <w:r>
          <w:tab/>
        </w:r>
        <w:r>
          <w:fldChar w:fldCharType="begin"/>
        </w:r>
        <w:r>
          <w:instrText xml:space="preserve">PAGEREF 4861 \h</w:instrText>
        </w:r>
        <w:r>
          <w:fldChar w:fldCharType="end"/>
        </w:r>
      </w:hyperlink>
    </w:p>
    <w:p>
      <w:pPr>
        <w:tabs>
          <w:tab w:val="right" w:leader="dot" w:pos="9062"/>
        </w:tabs>
        <w:ind w:left="440"/>
      </w:pPr>
      <w:hyperlink w:anchor="_Toc4862" w:history="1">
        <w:r>
          <w:rPr>
            <w:rFonts w:ascii="IRNazanin" w:hAnsi="IRNazanin" w:eastAsia="IRNazanin" w:cs="IRNazanin"/>
            <w:color w:val="111111"/>
            <w:sz w:val="22"/>
            <w:szCs w:val="22"/>
            <w:b w:val="0"/>
            <w:bCs w:val="0"/>
            <w:i w:val="0"/>
            <w:iCs w:val="0"/>
          </w:rPr>
          <w:t>4667- دیوان عارض الأصفهانی أو شعره‏</w:t>
        </w:r>
        <w:r>
          <w:tab/>
        </w:r>
        <w:r>
          <w:fldChar w:fldCharType="begin"/>
        </w:r>
        <w:r>
          <w:instrText xml:space="preserve">PAGEREF 4862 \h</w:instrText>
        </w:r>
        <w:r>
          <w:fldChar w:fldCharType="end"/>
        </w:r>
      </w:hyperlink>
    </w:p>
    <w:p>
      <w:pPr>
        <w:tabs>
          <w:tab w:val="right" w:leader="dot" w:pos="9062"/>
        </w:tabs>
        <w:ind w:left="440"/>
      </w:pPr>
      <w:hyperlink w:anchor="_Toc4863" w:history="1">
        <w:r>
          <w:rPr>
            <w:rFonts w:ascii="IRNazanin" w:hAnsi="IRNazanin" w:eastAsia="IRNazanin" w:cs="IRNazanin"/>
            <w:color w:val="111111"/>
            <w:sz w:val="22"/>
            <w:szCs w:val="22"/>
            <w:b w:val="0"/>
            <w:bCs w:val="0"/>
            <w:i w:val="0"/>
            <w:iCs w:val="0"/>
          </w:rPr>
          <w:t>4668- دیوان عارضی قمی‏</w:t>
        </w:r>
        <w:r>
          <w:tab/>
        </w:r>
        <w:r>
          <w:fldChar w:fldCharType="begin"/>
        </w:r>
        <w:r>
          <w:instrText xml:space="preserve">PAGEREF 4863 \h</w:instrText>
        </w:r>
        <w:r>
          <w:fldChar w:fldCharType="end"/>
        </w:r>
      </w:hyperlink>
    </w:p>
    <w:p>
      <w:pPr>
        <w:tabs>
          <w:tab w:val="right" w:leader="dot" w:pos="9062"/>
        </w:tabs>
        <w:ind w:left="440"/>
      </w:pPr>
      <w:hyperlink w:anchor="_Toc4864" w:history="1">
        <w:r>
          <w:rPr>
            <w:rFonts w:ascii="IRNazanin" w:hAnsi="IRNazanin" w:eastAsia="IRNazanin" w:cs="IRNazanin"/>
            <w:color w:val="111111"/>
            <w:sz w:val="22"/>
            <w:szCs w:val="22"/>
            <w:b w:val="0"/>
            <w:bCs w:val="0"/>
            <w:i w:val="0"/>
            <w:iCs w:val="0"/>
          </w:rPr>
          <w:t>4669- دیوان عارف‏</w:t>
        </w:r>
        <w:r>
          <w:tab/>
        </w:r>
        <w:r>
          <w:fldChar w:fldCharType="begin"/>
        </w:r>
        <w:r>
          <w:instrText xml:space="preserve">PAGEREF 4864 \h</w:instrText>
        </w:r>
        <w:r>
          <w:fldChar w:fldCharType="end"/>
        </w:r>
      </w:hyperlink>
    </w:p>
    <w:p>
      <w:pPr>
        <w:tabs>
          <w:tab w:val="right" w:leader="dot" w:pos="9062"/>
        </w:tabs>
        <w:ind w:left="440"/>
      </w:pPr>
      <w:hyperlink w:anchor="_Toc4865" w:history="1">
        <w:r>
          <w:rPr>
            <w:rFonts w:ascii="IRNazanin" w:hAnsi="IRNazanin" w:eastAsia="IRNazanin" w:cs="IRNazanin"/>
            <w:color w:val="111111"/>
            <w:sz w:val="22"/>
            <w:szCs w:val="22"/>
            <w:b w:val="0"/>
            <w:bCs w:val="0"/>
            <w:i w:val="0"/>
            <w:iCs w:val="0"/>
          </w:rPr>
          <w:t>4670- دیوان عارف أردبیلی‏</w:t>
        </w:r>
        <w:r>
          <w:tab/>
        </w:r>
        <w:r>
          <w:fldChar w:fldCharType="begin"/>
        </w:r>
        <w:r>
          <w:instrText xml:space="preserve">PAGEREF 4865 \h</w:instrText>
        </w:r>
        <w:r>
          <w:fldChar w:fldCharType="end"/>
        </w:r>
      </w:hyperlink>
    </w:p>
    <w:p>
      <w:pPr>
        <w:tabs>
          <w:tab w:val="right" w:leader="dot" w:pos="9062"/>
        </w:tabs>
        <w:ind w:left="440"/>
      </w:pPr>
      <w:hyperlink w:anchor="_Toc4866" w:history="1">
        <w:r>
          <w:rPr>
            <w:rFonts w:ascii="IRNazanin" w:hAnsi="IRNazanin" w:eastAsia="IRNazanin" w:cs="IRNazanin"/>
            <w:color w:val="111111"/>
            <w:sz w:val="22"/>
            <w:szCs w:val="22"/>
            <w:b w:val="0"/>
            <w:bCs w:val="0"/>
            <w:i w:val="0"/>
            <w:iCs w:val="0"/>
          </w:rPr>
          <w:t>4671- دیوان عارف الأسترآبادی أو شعره‏</w:t>
        </w:r>
        <w:r>
          <w:tab/>
        </w:r>
        <w:r>
          <w:fldChar w:fldCharType="begin"/>
        </w:r>
        <w:r>
          <w:instrText xml:space="preserve">PAGEREF 4866 \h</w:instrText>
        </w:r>
        <w:r>
          <w:fldChar w:fldCharType="end"/>
        </w:r>
      </w:hyperlink>
    </w:p>
    <w:p>
      <w:pPr>
        <w:tabs>
          <w:tab w:val="right" w:leader="dot" w:pos="9062"/>
        </w:tabs>
        <w:ind w:left="440"/>
      </w:pPr>
      <w:hyperlink w:anchor="_Toc4867" w:history="1">
        <w:r>
          <w:rPr>
            <w:rFonts w:ascii="IRNazanin" w:hAnsi="IRNazanin" w:eastAsia="IRNazanin" w:cs="IRNazanin"/>
            <w:color w:val="111111"/>
            <w:sz w:val="22"/>
            <w:szCs w:val="22"/>
            <w:b w:val="0"/>
            <w:bCs w:val="0"/>
            <w:i w:val="0"/>
            <w:iCs w:val="0"/>
          </w:rPr>
          <w:t>4672- مولانا عارف الإصطهباناتی‏</w:t>
        </w:r>
        <w:r>
          <w:tab/>
        </w:r>
        <w:r>
          <w:fldChar w:fldCharType="begin"/>
        </w:r>
        <w:r>
          <w:instrText xml:space="preserve">PAGEREF 4867 \h</w:instrText>
        </w:r>
        <w:r>
          <w:fldChar w:fldCharType="end"/>
        </w:r>
      </w:hyperlink>
    </w:p>
    <w:p>
      <w:pPr>
        <w:tabs>
          <w:tab w:val="right" w:leader="dot" w:pos="9062"/>
        </w:tabs>
        <w:ind w:left="440"/>
      </w:pPr>
      <w:hyperlink w:anchor="_Toc4868" w:history="1">
        <w:r>
          <w:rPr>
            <w:rFonts w:ascii="IRNazanin" w:hAnsi="IRNazanin" w:eastAsia="IRNazanin" w:cs="IRNazanin"/>
            <w:color w:val="111111"/>
            <w:sz w:val="22"/>
            <w:szCs w:val="22"/>
            <w:b w:val="0"/>
            <w:bCs w:val="0"/>
            <w:i w:val="0"/>
            <w:iCs w:val="0"/>
          </w:rPr>
          <w:t>4673- دیوان عارف أصفهانی أو شعره‏</w:t>
        </w:r>
        <w:r>
          <w:tab/>
        </w:r>
        <w:r>
          <w:fldChar w:fldCharType="begin"/>
        </w:r>
        <w:r>
          <w:instrText xml:space="preserve">PAGEREF 4868 \h</w:instrText>
        </w:r>
        <w:r>
          <w:fldChar w:fldCharType="end"/>
        </w:r>
      </w:hyperlink>
    </w:p>
    <w:p>
      <w:pPr>
        <w:tabs>
          <w:tab w:val="right" w:leader="dot" w:pos="9062"/>
        </w:tabs>
        <w:ind w:left="440"/>
      </w:pPr>
      <w:hyperlink w:anchor="_Toc4869" w:history="1">
        <w:r>
          <w:rPr>
            <w:rFonts w:ascii="IRNazanin" w:hAnsi="IRNazanin" w:eastAsia="IRNazanin" w:cs="IRNazanin"/>
            <w:color w:val="111111"/>
            <w:sz w:val="22"/>
            <w:szCs w:val="22"/>
            <w:b w:val="0"/>
            <w:bCs w:val="0"/>
            <w:i w:val="0"/>
            <w:iCs w:val="0"/>
          </w:rPr>
          <w:t>4674- دیوان عارف أصفهانی أو شعره‏</w:t>
        </w:r>
        <w:r>
          <w:tab/>
        </w:r>
        <w:r>
          <w:fldChar w:fldCharType="begin"/>
        </w:r>
        <w:r>
          <w:instrText xml:space="preserve">PAGEREF 4869 \h</w:instrText>
        </w:r>
        <w:r>
          <w:fldChar w:fldCharType="end"/>
        </w:r>
      </w:hyperlink>
    </w:p>
    <w:p>
      <w:pPr>
        <w:tabs>
          <w:tab w:val="right" w:leader="dot" w:pos="9062"/>
        </w:tabs>
        <w:ind w:left="440"/>
      </w:pPr>
      <w:hyperlink w:anchor="_Toc4870" w:history="1">
        <w:r>
          <w:rPr>
            <w:rFonts w:ascii="IRNazanin" w:hAnsi="IRNazanin" w:eastAsia="IRNazanin" w:cs="IRNazanin"/>
            <w:color w:val="111111"/>
            <w:sz w:val="22"/>
            <w:szCs w:val="22"/>
            <w:b w:val="0"/>
            <w:bCs w:val="0"/>
            <w:i w:val="0"/>
            <w:iCs w:val="0"/>
          </w:rPr>
          <w:t>4675- دیوان عارف أصفهانی أو شعره‏</w:t>
        </w:r>
        <w:r>
          <w:tab/>
        </w:r>
        <w:r>
          <w:fldChar w:fldCharType="begin"/>
        </w:r>
        <w:r>
          <w:instrText xml:space="preserve">PAGEREF 4870 \h</w:instrText>
        </w:r>
        <w:r>
          <w:fldChar w:fldCharType="end"/>
        </w:r>
      </w:hyperlink>
    </w:p>
    <w:p>
      <w:pPr>
        <w:tabs>
          <w:tab w:val="right" w:leader="dot" w:pos="9062"/>
        </w:tabs>
        <w:ind w:left="440"/>
      </w:pPr>
      <w:hyperlink w:anchor="_Toc4871" w:history="1">
        <w:r>
          <w:rPr>
            <w:rFonts w:ascii="IRNazanin" w:hAnsi="IRNazanin" w:eastAsia="IRNazanin" w:cs="IRNazanin"/>
            <w:color w:val="111111"/>
            <w:sz w:val="22"/>
            <w:szCs w:val="22"/>
            <w:b w:val="0"/>
            <w:bCs w:val="0"/>
            <w:i w:val="0"/>
            <w:iCs w:val="0"/>
          </w:rPr>
          <w:t>4676- دیوان عارف إیگی‏</w:t>
        </w:r>
        <w:r>
          <w:tab/>
        </w:r>
        <w:r>
          <w:fldChar w:fldCharType="begin"/>
        </w:r>
        <w:r>
          <w:instrText xml:space="preserve">PAGEREF 4871 \h</w:instrText>
        </w:r>
        <w:r>
          <w:fldChar w:fldCharType="end"/>
        </w:r>
      </w:hyperlink>
    </w:p>
    <w:p>
      <w:pPr>
        <w:tabs>
          <w:tab w:val="right" w:leader="dot" w:pos="9062"/>
        </w:tabs>
        <w:ind w:left="440"/>
      </w:pPr>
      <w:hyperlink w:anchor="_Toc4872" w:history="1">
        <w:r>
          <w:rPr>
            <w:rFonts w:ascii="IRNazanin" w:hAnsi="IRNazanin" w:eastAsia="IRNazanin" w:cs="IRNazanin"/>
            <w:color w:val="111111"/>
            <w:sz w:val="22"/>
            <w:szCs w:val="22"/>
            <w:b w:val="0"/>
            <w:bCs w:val="0"/>
            <w:i w:val="0"/>
            <w:iCs w:val="0"/>
          </w:rPr>
          <w:t>4677- دیوان عارف بلگرامی أو شعره‏</w:t>
        </w:r>
        <w:r>
          <w:tab/>
        </w:r>
        <w:r>
          <w:fldChar w:fldCharType="begin"/>
        </w:r>
        <w:r>
          <w:instrText xml:space="preserve">PAGEREF 4872 \h</w:instrText>
        </w:r>
        <w:r>
          <w:fldChar w:fldCharType="end"/>
        </w:r>
      </w:hyperlink>
    </w:p>
    <w:p>
      <w:pPr>
        <w:tabs>
          <w:tab w:val="right" w:leader="dot" w:pos="9062"/>
        </w:tabs>
        <w:ind w:left="440"/>
      </w:pPr>
      <w:hyperlink w:anchor="_Toc4873" w:history="1">
        <w:r>
          <w:rPr>
            <w:rFonts w:ascii="IRNazanin" w:hAnsi="IRNazanin" w:eastAsia="IRNazanin" w:cs="IRNazanin"/>
            <w:color w:val="111111"/>
            <w:sz w:val="22"/>
            <w:szCs w:val="22"/>
            <w:b w:val="0"/>
            <w:bCs w:val="0"/>
            <w:i w:val="0"/>
            <w:iCs w:val="0"/>
          </w:rPr>
          <w:t>4678- دیوان عارف تبریزی‏</w:t>
        </w:r>
        <w:r>
          <w:tab/>
        </w:r>
        <w:r>
          <w:fldChar w:fldCharType="begin"/>
        </w:r>
        <w:r>
          <w:instrText xml:space="preserve">PAGEREF 4873 \h</w:instrText>
        </w:r>
        <w:r>
          <w:fldChar w:fldCharType="end"/>
        </w:r>
      </w:hyperlink>
    </w:p>
    <w:p>
      <w:pPr>
        <w:tabs>
          <w:tab w:val="right" w:leader="dot" w:pos="9062"/>
        </w:tabs>
        <w:ind w:left="440"/>
      </w:pPr>
      <w:hyperlink w:anchor="_Toc4874" w:history="1">
        <w:r>
          <w:rPr>
            <w:rFonts w:ascii="IRNazanin" w:hAnsi="IRNazanin" w:eastAsia="IRNazanin" w:cs="IRNazanin"/>
            <w:color w:val="111111"/>
            <w:sz w:val="22"/>
            <w:szCs w:val="22"/>
            <w:b w:val="0"/>
            <w:bCs w:val="0"/>
            <w:i w:val="0"/>
            <w:iCs w:val="0"/>
          </w:rPr>
          <w:t>4679- دیوان عارف تبریزی‏</w:t>
        </w:r>
        <w:r>
          <w:tab/>
        </w:r>
        <w:r>
          <w:fldChar w:fldCharType="begin"/>
        </w:r>
        <w:r>
          <w:instrText xml:space="preserve">PAGEREF 4874 \h</w:instrText>
        </w:r>
        <w:r>
          <w:fldChar w:fldCharType="end"/>
        </w:r>
      </w:hyperlink>
    </w:p>
    <w:p>
      <w:pPr>
        <w:tabs>
          <w:tab w:val="right" w:leader="dot" w:pos="9062"/>
        </w:tabs>
        <w:ind w:left="440"/>
      </w:pPr>
      <w:hyperlink w:anchor="_Toc4875" w:history="1">
        <w:r>
          <w:rPr>
            <w:rFonts w:ascii="IRNazanin" w:hAnsi="IRNazanin" w:eastAsia="IRNazanin" w:cs="IRNazanin"/>
            <w:color w:val="111111"/>
            <w:sz w:val="22"/>
            <w:szCs w:val="22"/>
            <w:b w:val="0"/>
            <w:bCs w:val="0"/>
            <w:i w:val="0"/>
            <w:iCs w:val="0"/>
          </w:rPr>
          <w:t>4680- دیوان عارف تبریزی‏</w:t>
        </w:r>
        <w:r>
          <w:tab/>
        </w:r>
        <w:r>
          <w:fldChar w:fldCharType="begin"/>
        </w:r>
        <w:r>
          <w:instrText xml:space="preserve">PAGEREF 4875 \h</w:instrText>
        </w:r>
        <w:r>
          <w:fldChar w:fldCharType="end"/>
        </w:r>
      </w:hyperlink>
    </w:p>
    <w:p>
      <w:pPr>
        <w:tabs>
          <w:tab w:val="right" w:leader="dot" w:pos="9062"/>
        </w:tabs>
        <w:ind w:left="440"/>
      </w:pPr>
      <w:hyperlink w:anchor="_Toc4876" w:history="1">
        <w:r>
          <w:rPr>
            <w:rFonts w:ascii="IRNazanin" w:hAnsi="IRNazanin" w:eastAsia="IRNazanin" w:cs="IRNazanin"/>
            <w:color w:val="111111"/>
            <w:sz w:val="22"/>
            <w:szCs w:val="22"/>
            <w:b w:val="0"/>
            <w:bCs w:val="0"/>
            <w:i w:val="0"/>
            <w:iCs w:val="0"/>
          </w:rPr>
          <w:t>4681- دیوان عارف تبریزی‏</w:t>
        </w:r>
        <w:r>
          <w:tab/>
        </w:r>
        <w:r>
          <w:fldChar w:fldCharType="begin"/>
        </w:r>
        <w:r>
          <w:instrText xml:space="preserve">PAGEREF 4876 \h</w:instrText>
        </w:r>
        <w:r>
          <w:fldChar w:fldCharType="end"/>
        </w:r>
      </w:hyperlink>
    </w:p>
    <w:p>
      <w:pPr>
        <w:tabs>
          <w:tab w:val="right" w:leader="dot" w:pos="9062"/>
        </w:tabs>
        <w:ind w:left="440"/>
      </w:pPr>
      <w:hyperlink w:anchor="_Toc4877" w:history="1">
        <w:r>
          <w:rPr>
            <w:rFonts w:ascii="IRNazanin" w:hAnsi="IRNazanin" w:eastAsia="IRNazanin" w:cs="IRNazanin"/>
            <w:color w:val="111111"/>
            <w:sz w:val="22"/>
            <w:szCs w:val="22"/>
            <w:b w:val="0"/>
            <w:bCs w:val="0"/>
            <w:i w:val="0"/>
            <w:iCs w:val="0"/>
          </w:rPr>
          <w:t>دیوان عارف تفرشی‏</w:t>
        </w:r>
        <w:r>
          <w:tab/>
        </w:r>
        <w:r>
          <w:fldChar w:fldCharType="begin"/>
        </w:r>
        <w:r>
          <w:instrText xml:space="preserve">PAGEREF 4877 \h</w:instrText>
        </w:r>
        <w:r>
          <w:fldChar w:fldCharType="end"/>
        </w:r>
      </w:hyperlink>
    </w:p>
    <w:p>
      <w:pPr>
        <w:tabs>
          <w:tab w:val="right" w:leader="dot" w:pos="9062"/>
        </w:tabs>
        <w:ind w:left="440"/>
      </w:pPr>
      <w:hyperlink w:anchor="_Toc4878" w:history="1">
        <w:r>
          <w:rPr>
            <w:rFonts w:ascii="IRNazanin" w:hAnsi="IRNazanin" w:eastAsia="IRNazanin" w:cs="IRNazanin"/>
            <w:color w:val="111111"/>
            <w:sz w:val="22"/>
            <w:szCs w:val="22"/>
            <w:b w:val="0"/>
            <w:bCs w:val="0"/>
            <w:i w:val="0"/>
            <w:iCs w:val="0"/>
          </w:rPr>
          <w:t>4682- دیوان عارفچة نوحه‏گر</w:t>
        </w:r>
        <w:r>
          <w:tab/>
        </w:r>
        <w:r>
          <w:fldChar w:fldCharType="begin"/>
        </w:r>
        <w:r>
          <w:instrText xml:space="preserve">PAGEREF 4878 \h</w:instrText>
        </w:r>
        <w:r>
          <w:fldChar w:fldCharType="end"/>
        </w:r>
      </w:hyperlink>
    </w:p>
    <w:p>
      <w:pPr>
        <w:tabs>
          <w:tab w:val="right" w:leader="dot" w:pos="9062"/>
        </w:tabs>
        <w:ind w:left="440"/>
      </w:pPr>
      <w:hyperlink w:anchor="_Toc4879" w:history="1">
        <w:r>
          <w:rPr>
            <w:rFonts w:ascii="IRNazanin" w:hAnsi="IRNazanin" w:eastAsia="IRNazanin" w:cs="IRNazanin"/>
            <w:color w:val="111111"/>
            <w:sz w:val="22"/>
            <w:szCs w:val="22"/>
            <w:b w:val="0"/>
            <w:bCs w:val="0"/>
            <w:i w:val="0"/>
            <w:iCs w:val="0"/>
          </w:rPr>
          <w:t>4683- دیوان عارف دزفولی‏</w:t>
        </w:r>
        <w:r>
          <w:tab/>
        </w:r>
        <w:r>
          <w:fldChar w:fldCharType="begin"/>
        </w:r>
        <w:r>
          <w:instrText xml:space="preserve">PAGEREF 4879 \h</w:instrText>
        </w:r>
        <w:r>
          <w:fldChar w:fldCharType="end"/>
        </w:r>
      </w:hyperlink>
    </w:p>
    <w:p>
      <w:pPr>
        <w:tabs>
          <w:tab w:val="right" w:leader="dot" w:pos="9062"/>
        </w:tabs>
        <w:ind w:left="440"/>
      </w:pPr>
      <w:hyperlink w:anchor="_Toc4880" w:history="1">
        <w:r>
          <w:rPr>
            <w:rFonts w:ascii="IRNazanin" w:hAnsi="IRNazanin" w:eastAsia="IRNazanin" w:cs="IRNazanin"/>
            <w:color w:val="111111"/>
            <w:sz w:val="22"/>
            <w:szCs w:val="22"/>
            <w:b w:val="0"/>
            <w:bCs w:val="0"/>
            <w:i w:val="0"/>
            <w:iCs w:val="0"/>
          </w:rPr>
          <w:t>4684- دیوان عارف شوشتری‏</w:t>
        </w:r>
        <w:r>
          <w:tab/>
        </w:r>
        <w:r>
          <w:fldChar w:fldCharType="begin"/>
        </w:r>
        <w:r>
          <w:instrText xml:space="preserve">PAGEREF 4880 \h</w:instrText>
        </w:r>
        <w:r>
          <w:fldChar w:fldCharType="end"/>
        </w:r>
      </w:hyperlink>
    </w:p>
    <w:p>
      <w:pPr>
        <w:tabs>
          <w:tab w:val="right" w:leader="dot" w:pos="9062"/>
        </w:tabs>
        <w:ind w:left="440"/>
      </w:pPr>
      <w:hyperlink w:anchor="_Toc4881" w:history="1">
        <w:r>
          <w:rPr>
            <w:rFonts w:ascii="IRNazanin" w:hAnsi="IRNazanin" w:eastAsia="IRNazanin" w:cs="IRNazanin"/>
            <w:color w:val="111111"/>
            <w:sz w:val="22"/>
            <w:szCs w:val="22"/>
            <w:b w:val="0"/>
            <w:bCs w:val="0"/>
            <w:i w:val="0"/>
            <w:iCs w:val="0"/>
          </w:rPr>
          <w:t>دیوان عارف شیرازی‏</w:t>
        </w:r>
        <w:r>
          <w:tab/>
        </w:r>
        <w:r>
          <w:fldChar w:fldCharType="begin"/>
        </w:r>
        <w:r>
          <w:instrText xml:space="preserve">PAGEREF 4881 \h</w:instrText>
        </w:r>
        <w:r>
          <w:fldChar w:fldCharType="end"/>
        </w:r>
      </w:hyperlink>
    </w:p>
    <w:p>
      <w:pPr>
        <w:tabs>
          <w:tab w:val="right" w:leader="dot" w:pos="9062"/>
        </w:tabs>
        <w:ind w:left="440"/>
      </w:pPr>
      <w:hyperlink w:anchor="_Toc4882" w:history="1">
        <w:r>
          <w:rPr>
            <w:rFonts w:ascii="IRNazanin" w:hAnsi="IRNazanin" w:eastAsia="IRNazanin" w:cs="IRNazanin"/>
            <w:color w:val="111111"/>
            <w:sz w:val="22"/>
            <w:szCs w:val="22"/>
            <w:b w:val="0"/>
            <w:bCs w:val="0"/>
            <w:i w:val="0"/>
            <w:iCs w:val="0"/>
          </w:rPr>
          <w:t>دیوان عارف شیرازی‏</w:t>
        </w:r>
        <w:r>
          <w:tab/>
        </w:r>
        <w:r>
          <w:fldChar w:fldCharType="begin"/>
        </w:r>
        <w:r>
          <w:instrText xml:space="preserve">PAGEREF 4882 \h</w:instrText>
        </w:r>
        <w:r>
          <w:fldChar w:fldCharType="end"/>
        </w:r>
      </w:hyperlink>
    </w:p>
    <w:p>
      <w:pPr>
        <w:tabs>
          <w:tab w:val="right" w:leader="dot" w:pos="9062"/>
        </w:tabs>
        <w:ind w:left="440"/>
      </w:pPr>
      <w:hyperlink w:anchor="_Toc4883" w:history="1">
        <w:r>
          <w:rPr>
            <w:rFonts w:ascii="IRNazanin" w:hAnsi="IRNazanin" w:eastAsia="IRNazanin" w:cs="IRNazanin"/>
            <w:color w:val="111111"/>
            <w:sz w:val="22"/>
            <w:szCs w:val="22"/>
            <w:b w:val="0"/>
            <w:bCs w:val="0"/>
            <w:i w:val="0"/>
            <w:iCs w:val="0"/>
          </w:rPr>
          <w:t>4685- دیوان عارف شیرازی أو شعره‏</w:t>
        </w:r>
        <w:r>
          <w:tab/>
        </w:r>
        <w:r>
          <w:fldChar w:fldCharType="begin"/>
        </w:r>
        <w:r>
          <w:instrText xml:space="preserve">PAGEREF 4883 \h</w:instrText>
        </w:r>
        <w:r>
          <w:fldChar w:fldCharType="end"/>
        </w:r>
      </w:hyperlink>
    </w:p>
    <w:p>
      <w:pPr>
        <w:tabs>
          <w:tab w:val="right" w:leader="dot" w:pos="9062"/>
        </w:tabs>
        <w:ind w:left="440"/>
      </w:pPr>
      <w:hyperlink w:anchor="_Toc4884" w:history="1">
        <w:r>
          <w:rPr>
            <w:rFonts w:ascii="IRNazanin" w:hAnsi="IRNazanin" w:eastAsia="IRNazanin" w:cs="IRNazanin"/>
            <w:color w:val="111111"/>
            <w:sz w:val="22"/>
            <w:szCs w:val="22"/>
            <w:b w:val="0"/>
            <w:bCs w:val="0"/>
            <w:i w:val="0"/>
            <w:iCs w:val="0"/>
          </w:rPr>
          <w:t>4686- دیوان عارف شیرازی‏</w:t>
        </w:r>
        <w:r>
          <w:tab/>
        </w:r>
        <w:r>
          <w:fldChar w:fldCharType="begin"/>
        </w:r>
        <w:r>
          <w:instrText xml:space="preserve">PAGEREF 4884 \h</w:instrText>
        </w:r>
        <w:r>
          <w:fldChar w:fldCharType="end"/>
        </w:r>
      </w:hyperlink>
    </w:p>
    <w:p>
      <w:pPr>
        <w:tabs>
          <w:tab w:val="right" w:leader="dot" w:pos="9062"/>
        </w:tabs>
        <w:ind w:left="440"/>
      </w:pPr>
      <w:hyperlink w:anchor="_Toc4885" w:history="1">
        <w:r>
          <w:rPr>
            <w:rFonts w:ascii="IRNazanin" w:hAnsi="IRNazanin" w:eastAsia="IRNazanin" w:cs="IRNazanin"/>
            <w:color w:val="111111"/>
            <w:sz w:val="22"/>
            <w:szCs w:val="22"/>
            <w:b w:val="0"/>
            <w:bCs w:val="0"/>
            <w:i w:val="0"/>
            <w:iCs w:val="0"/>
          </w:rPr>
          <w:t>4687- دیوان عارف شیرازی‏</w:t>
        </w:r>
        <w:r>
          <w:tab/>
        </w:r>
        <w:r>
          <w:fldChar w:fldCharType="begin"/>
        </w:r>
        <w:r>
          <w:instrText xml:space="preserve">PAGEREF 4885 \h</w:instrText>
        </w:r>
        <w:r>
          <w:fldChar w:fldCharType="end"/>
        </w:r>
      </w:hyperlink>
    </w:p>
    <w:p>
      <w:pPr>
        <w:tabs>
          <w:tab w:val="right" w:leader="dot" w:pos="9062"/>
        </w:tabs>
        <w:ind w:left="440"/>
      </w:pPr>
      <w:hyperlink w:anchor="_Toc4886" w:history="1">
        <w:r>
          <w:rPr>
            <w:rFonts w:ascii="IRNazanin" w:hAnsi="IRNazanin" w:eastAsia="IRNazanin" w:cs="IRNazanin"/>
            <w:color w:val="111111"/>
            <w:sz w:val="22"/>
            <w:szCs w:val="22"/>
            <w:b w:val="0"/>
            <w:bCs w:val="0"/>
            <w:i w:val="0"/>
            <w:iCs w:val="0"/>
          </w:rPr>
          <w:t>4688- دیوان عارف طهرانی أو شعره‏</w:t>
        </w:r>
        <w:r>
          <w:tab/>
        </w:r>
        <w:r>
          <w:fldChar w:fldCharType="begin"/>
        </w:r>
        <w:r>
          <w:instrText xml:space="preserve">PAGEREF 4886 \h</w:instrText>
        </w:r>
        <w:r>
          <w:fldChar w:fldCharType="end"/>
        </w:r>
      </w:hyperlink>
    </w:p>
    <w:p>
      <w:pPr>
        <w:tabs>
          <w:tab w:val="right" w:leader="dot" w:pos="9062"/>
        </w:tabs>
        <w:ind w:left="440"/>
      </w:pPr>
      <w:hyperlink w:anchor="_Toc4887" w:history="1">
        <w:r>
          <w:rPr>
            <w:rFonts w:ascii="IRNazanin" w:hAnsi="IRNazanin" w:eastAsia="IRNazanin" w:cs="IRNazanin"/>
            <w:color w:val="111111"/>
            <w:sz w:val="22"/>
            <w:szCs w:val="22"/>
            <w:b w:val="0"/>
            <w:bCs w:val="0"/>
            <w:i w:val="0"/>
            <w:iCs w:val="0"/>
          </w:rPr>
          <w:t>4689- دیوان عارف فرکتی‏</w:t>
        </w:r>
        <w:r>
          <w:tab/>
        </w:r>
        <w:r>
          <w:fldChar w:fldCharType="begin"/>
        </w:r>
        <w:r>
          <w:instrText xml:space="preserve">PAGEREF 4887 \h</w:instrText>
        </w:r>
        <w:r>
          <w:fldChar w:fldCharType="end"/>
        </w:r>
      </w:hyperlink>
    </w:p>
    <w:p>
      <w:pPr>
        <w:tabs>
          <w:tab w:val="right" w:leader="dot" w:pos="9062"/>
        </w:tabs>
        <w:ind w:left="440"/>
      </w:pPr>
      <w:hyperlink w:anchor="_Toc4888" w:history="1">
        <w:r>
          <w:rPr>
            <w:rFonts w:ascii="IRNazanin" w:hAnsi="IRNazanin" w:eastAsia="IRNazanin" w:cs="IRNazanin"/>
            <w:color w:val="111111"/>
            <w:sz w:val="22"/>
            <w:szCs w:val="22"/>
            <w:b w:val="0"/>
            <w:bCs w:val="0"/>
            <w:i w:val="0"/>
            <w:iCs w:val="0"/>
          </w:rPr>
          <w:t>4690- دیوان عارف قزوینی‏</w:t>
        </w:r>
        <w:r>
          <w:tab/>
        </w:r>
        <w:r>
          <w:fldChar w:fldCharType="begin"/>
        </w:r>
        <w:r>
          <w:instrText xml:space="preserve">PAGEREF 4888 \h</w:instrText>
        </w:r>
        <w:r>
          <w:fldChar w:fldCharType="end"/>
        </w:r>
      </w:hyperlink>
    </w:p>
    <w:p>
      <w:pPr>
        <w:tabs>
          <w:tab w:val="right" w:leader="dot" w:pos="9062"/>
        </w:tabs>
        <w:ind w:left="440"/>
      </w:pPr>
      <w:hyperlink w:anchor="_Toc4889" w:history="1">
        <w:r>
          <w:rPr>
            <w:rFonts w:ascii="IRNazanin" w:hAnsi="IRNazanin" w:eastAsia="IRNazanin" w:cs="IRNazanin"/>
            <w:color w:val="111111"/>
            <w:sz w:val="22"/>
            <w:szCs w:val="22"/>
            <w:b w:val="0"/>
            <w:bCs w:val="0"/>
            <w:i w:val="0"/>
            <w:iCs w:val="0"/>
          </w:rPr>
          <w:t>4691- دیوان عارف قمی‏</w:t>
        </w:r>
        <w:r>
          <w:tab/>
        </w:r>
        <w:r>
          <w:fldChar w:fldCharType="begin"/>
        </w:r>
        <w:r>
          <w:instrText xml:space="preserve">PAGEREF 4889 \h</w:instrText>
        </w:r>
        <w:r>
          <w:fldChar w:fldCharType="end"/>
        </w:r>
      </w:hyperlink>
    </w:p>
    <w:p>
      <w:pPr>
        <w:tabs>
          <w:tab w:val="right" w:leader="dot" w:pos="9062"/>
        </w:tabs>
        <w:ind w:left="440"/>
      </w:pPr>
      <w:hyperlink w:anchor="_Toc4890" w:history="1">
        <w:r>
          <w:rPr>
            <w:rFonts w:ascii="IRNazanin" w:hAnsi="IRNazanin" w:eastAsia="IRNazanin" w:cs="IRNazanin"/>
            <w:color w:val="111111"/>
            <w:sz w:val="22"/>
            <w:szCs w:val="22"/>
            <w:b w:val="0"/>
            <w:bCs w:val="0"/>
            <w:i w:val="0"/>
            <w:iCs w:val="0"/>
          </w:rPr>
          <w:t>4692- دیوان عارف کاشانی أو شعره‏</w:t>
        </w:r>
        <w:r>
          <w:tab/>
        </w:r>
        <w:r>
          <w:fldChar w:fldCharType="begin"/>
        </w:r>
        <w:r>
          <w:instrText xml:space="preserve">PAGEREF 4890 \h</w:instrText>
        </w:r>
        <w:r>
          <w:fldChar w:fldCharType="end"/>
        </w:r>
      </w:hyperlink>
    </w:p>
    <w:p>
      <w:pPr>
        <w:tabs>
          <w:tab w:val="right" w:leader="dot" w:pos="9062"/>
        </w:tabs>
        <w:ind w:left="440"/>
      </w:pPr>
      <w:hyperlink w:anchor="_Toc4891" w:history="1">
        <w:r>
          <w:rPr>
            <w:rFonts w:ascii="IRNazanin" w:hAnsi="IRNazanin" w:eastAsia="IRNazanin" w:cs="IRNazanin"/>
            <w:color w:val="111111"/>
            <w:sz w:val="22"/>
            <w:szCs w:val="22"/>
            <w:b w:val="0"/>
            <w:bCs w:val="0"/>
            <w:i w:val="0"/>
            <w:iCs w:val="0"/>
          </w:rPr>
          <w:t>4693- دیوان عارف کرمانی‏</w:t>
        </w:r>
        <w:r>
          <w:tab/>
        </w:r>
        <w:r>
          <w:fldChar w:fldCharType="begin"/>
        </w:r>
        <w:r>
          <w:instrText xml:space="preserve">PAGEREF 4891 \h</w:instrText>
        </w:r>
        <w:r>
          <w:fldChar w:fldCharType="end"/>
        </w:r>
      </w:hyperlink>
    </w:p>
    <w:p>
      <w:pPr>
        <w:tabs>
          <w:tab w:val="right" w:leader="dot" w:pos="9062"/>
        </w:tabs>
        <w:ind w:left="440"/>
      </w:pPr>
      <w:hyperlink w:anchor="_Toc4892" w:history="1">
        <w:r>
          <w:rPr>
            <w:rFonts w:ascii="IRNazanin" w:hAnsi="IRNazanin" w:eastAsia="IRNazanin" w:cs="IRNazanin"/>
            <w:color w:val="111111"/>
            <w:sz w:val="22"/>
            <w:szCs w:val="22"/>
            <w:b w:val="0"/>
            <w:bCs w:val="0"/>
            <w:i w:val="0"/>
            <w:iCs w:val="0"/>
          </w:rPr>
          <w:t>4694- دیوان عارف گیلانی‏</w:t>
        </w:r>
        <w:r>
          <w:tab/>
        </w:r>
        <w:r>
          <w:fldChar w:fldCharType="begin"/>
        </w:r>
        <w:r>
          <w:instrText xml:space="preserve">PAGEREF 4892 \h</w:instrText>
        </w:r>
        <w:r>
          <w:fldChar w:fldCharType="end"/>
        </w:r>
      </w:hyperlink>
    </w:p>
    <w:p>
      <w:pPr>
        <w:tabs>
          <w:tab w:val="right" w:leader="dot" w:pos="9062"/>
        </w:tabs>
        <w:ind w:left="440"/>
      </w:pPr>
      <w:hyperlink w:anchor="_Toc4893" w:history="1">
        <w:r>
          <w:rPr>
            <w:rFonts w:ascii="IRNazanin" w:hAnsi="IRNazanin" w:eastAsia="IRNazanin" w:cs="IRNazanin"/>
            <w:color w:val="111111"/>
            <w:sz w:val="22"/>
            <w:szCs w:val="22"/>
            <w:b w:val="0"/>
            <w:bCs w:val="0"/>
            <w:i w:val="0"/>
            <w:iCs w:val="0"/>
          </w:rPr>
          <w:t>4695- دیوان عارف لاهوری‏</w:t>
        </w:r>
        <w:r>
          <w:tab/>
        </w:r>
        <w:r>
          <w:fldChar w:fldCharType="begin"/>
        </w:r>
        <w:r>
          <w:instrText xml:space="preserve">PAGEREF 4893 \h</w:instrText>
        </w:r>
        <w:r>
          <w:fldChar w:fldCharType="end"/>
        </w:r>
      </w:hyperlink>
    </w:p>
    <w:p>
      <w:pPr>
        <w:tabs>
          <w:tab w:val="right" w:leader="dot" w:pos="9062"/>
        </w:tabs>
        <w:ind w:left="440"/>
      </w:pPr>
      <w:hyperlink w:anchor="_Toc4894" w:history="1">
        <w:r>
          <w:rPr>
            <w:rFonts w:ascii="IRNazanin" w:hAnsi="IRNazanin" w:eastAsia="IRNazanin" w:cs="IRNazanin"/>
            <w:color w:val="111111"/>
            <w:sz w:val="22"/>
            <w:szCs w:val="22"/>
            <w:b w:val="0"/>
            <w:bCs w:val="0"/>
            <w:i w:val="0"/>
            <w:iCs w:val="0"/>
          </w:rPr>
          <w:t>4696- دیوان عارف مشهدی‏</w:t>
        </w:r>
        <w:r>
          <w:tab/>
        </w:r>
        <w:r>
          <w:fldChar w:fldCharType="begin"/>
        </w:r>
        <w:r>
          <w:instrText xml:space="preserve">PAGEREF 4894 \h</w:instrText>
        </w:r>
        <w:r>
          <w:fldChar w:fldCharType="end"/>
        </w:r>
      </w:hyperlink>
    </w:p>
    <w:p>
      <w:pPr>
        <w:tabs>
          <w:tab w:val="right" w:leader="dot" w:pos="9062"/>
        </w:tabs>
        <w:ind w:left="440"/>
      </w:pPr>
      <w:hyperlink w:anchor="_Toc4895" w:history="1">
        <w:r>
          <w:rPr>
            <w:rFonts w:ascii="IRNazanin" w:hAnsi="IRNazanin" w:eastAsia="IRNazanin" w:cs="IRNazanin"/>
            <w:color w:val="111111"/>
            <w:sz w:val="22"/>
            <w:szCs w:val="22"/>
            <w:b w:val="0"/>
            <w:bCs w:val="0"/>
            <w:i w:val="0"/>
            <w:iCs w:val="0"/>
          </w:rPr>
          <w:t>4697- دیوان عارف هروی أو شعره‏</w:t>
        </w:r>
        <w:r>
          <w:tab/>
        </w:r>
        <w:r>
          <w:fldChar w:fldCharType="begin"/>
        </w:r>
        <w:r>
          <w:instrText xml:space="preserve">PAGEREF 4895 \h</w:instrText>
        </w:r>
        <w:r>
          <w:fldChar w:fldCharType="end"/>
        </w:r>
      </w:hyperlink>
    </w:p>
    <w:p>
      <w:pPr>
        <w:tabs>
          <w:tab w:val="right" w:leader="dot" w:pos="9062"/>
        </w:tabs>
        <w:ind w:left="440"/>
      </w:pPr>
      <w:hyperlink w:anchor="_Toc4896" w:history="1">
        <w:r>
          <w:rPr>
            <w:rFonts w:ascii="IRNazanin" w:hAnsi="IRNazanin" w:eastAsia="IRNazanin" w:cs="IRNazanin"/>
            <w:color w:val="111111"/>
            <w:sz w:val="22"/>
            <w:szCs w:val="22"/>
            <w:b w:val="0"/>
            <w:bCs w:val="0"/>
            <w:i w:val="0"/>
            <w:iCs w:val="0"/>
          </w:rPr>
          <w:t>دیوان عارف هندی‏</w:t>
        </w:r>
        <w:r>
          <w:tab/>
        </w:r>
        <w:r>
          <w:fldChar w:fldCharType="begin"/>
        </w:r>
        <w:r>
          <w:instrText xml:space="preserve">PAGEREF 4896 \h</w:instrText>
        </w:r>
        <w:r>
          <w:fldChar w:fldCharType="end"/>
        </w:r>
      </w:hyperlink>
    </w:p>
    <w:p>
      <w:pPr>
        <w:tabs>
          <w:tab w:val="right" w:leader="dot" w:pos="9062"/>
        </w:tabs>
        <w:ind w:left="440"/>
      </w:pPr>
      <w:hyperlink w:anchor="_Toc4897" w:history="1">
        <w:r>
          <w:rPr>
            <w:rFonts w:ascii="IRNazanin" w:hAnsi="IRNazanin" w:eastAsia="IRNazanin" w:cs="IRNazanin"/>
            <w:color w:val="111111"/>
            <w:sz w:val="22"/>
            <w:szCs w:val="22"/>
            <w:b w:val="0"/>
            <w:bCs w:val="0"/>
            <w:i w:val="0"/>
            <w:iCs w:val="0"/>
          </w:rPr>
          <w:t>دیوان عارفی‏</w:t>
        </w:r>
        <w:r>
          <w:tab/>
        </w:r>
        <w:r>
          <w:fldChar w:fldCharType="begin"/>
        </w:r>
        <w:r>
          <w:instrText xml:space="preserve">PAGEREF 4897 \h</w:instrText>
        </w:r>
        <w:r>
          <w:fldChar w:fldCharType="end"/>
        </w:r>
      </w:hyperlink>
    </w:p>
    <w:p>
      <w:pPr>
        <w:tabs>
          <w:tab w:val="right" w:leader="dot" w:pos="9062"/>
        </w:tabs>
        <w:ind w:left="440"/>
      </w:pPr>
      <w:hyperlink w:anchor="_Toc4898" w:history="1">
        <w:r>
          <w:rPr>
            <w:rFonts w:ascii="IRNazanin" w:hAnsi="IRNazanin" w:eastAsia="IRNazanin" w:cs="IRNazanin"/>
            <w:color w:val="111111"/>
            <w:sz w:val="22"/>
            <w:szCs w:val="22"/>
            <w:b w:val="0"/>
            <w:bCs w:val="0"/>
            <w:i w:val="0"/>
            <w:iCs w:val="0"/>
          </w:rPr>
          <w:t>4698- دیوان عارفی أفشار</w:t>
        </w:r>
        <w:r>
          <w:tab/>
        </w:r>
        <w:r>
          <w:fldChar w:fldCharType="begin"/>
        </w:r>
        <w:r>
          <w:instrText xml:space="preserve">PAGEREF 4898 \h</w:instrText>
        </w:r>
        <w:r>
          <w:fldChar w:fldCharType="end"/>
        </w:r>
      </w:hyperlink>
    </w:p>
    <w:p>
      <w:pPr>
        <w:tabs>
          <w:tab w:val="right" w:leader="dot" w:pos="9062"/>
        </w:tabs>
        <w:ind w:left="440"/>
      </w:pPr>
      <w:hyperlink w:anchor="_Toc4899" w:history="1">
        <w:r>
          <w:rPr>
            <w:rFonts w:ascii="IRNazanin" w:hAnsi="IRNazanin" w:eastAsia="IRNazanin" w:cs="IRNazanin"/>
            <w:color w:val="111111"/>
            <w:sz w:val="22"/>
            <w:szCs w:val="22"/>
            <w:b w:val="0"/>
            <w:bCs w:val="0"/>
            <w:i w:val="0"/>
            <w:iCs w:val="0"/>
          </w:rPr>
          <w:t>4699- دیوان عارفی الرازی أو شعره‏</w:t>
        </w:r>
        <w:r>
          <w:tab/>
        </w:r>
        <w:r>
          <w:fldChar w:fldCharType="begin"/>
        </w:r>
        <w:r>
          <w:instrText xml:space="preserve">PAGEREF 4899 \h</w:instrText>
        </w:r>
        <w:r>
          <w:fldChar w:fldCharType="end"/>
        </w:r>
      </w:hyperlink>
    </w:p>
    <w:p>
      <w:pPr>
        <w:tabs>
          <w:tab w:val="right" w:leader="dot" w:pos="9062"/>
        </w:tabs>
        <w:ind w:left="440"/>
      </w:pPr>
      <w:hyperlink w:anchor="_Toc4900" w:history="1">
        <w:r>
          <w:rPr>
            <w:rFonts w:ascii="IRNazanin" w:hAnsi="IRNazanin" w:eastAsia="IRNazanin" w:cs="IRNazanin"/>
            <w:color w:val="111111"/>
            <w:sz w:val="22"/>
            <w:szCs w:val="22"/>
            <w:b w:val="0"/>
            <w:bCs w:val="0"/>
            <w:i w:val="0"/>
            <w:iCs w:val="0"/>
          </w:rPr>
          <w:t>دیوان عارفی شیرازی‏</w:t>
        </w:r>
        <w:r>
          <w:tab/>
        </w:r>
        <w:r>
          <w:fldChar w:fldCharType="begin"/>
        </w:r>
        <w:r>
          <w:instrText xml:space="preserve">PAGEREF 4900 \h</w:instrText>
        </w:r>
        <w:r>
          <w:fldChar w:fldCharType="end"/>
        </w:r>
      </w:hyperlink>
    </w:p>
    <w:p>
      <w:pPr>
        <w:tabs>
          <w:tab w:val="right" w:leader="dot" w:pos="9062"/>
        </w:tabs>
        <w:ind w:left="440"/>
      </w:pPr>
      <w:hyperlink w:anchor="_Toc4901" w:history="1">
        <w:r>
          <w:rPr>
            <w:rFonts w:ascii="IRNazanin" w:hAnsi="IRNazanin" w:eastAsia="IRNazanin" w:cs="IRNazanin"/>
            <w:color w:val="111111"/>
            <w:sz w:val="22"/>
            <w:szCs w:val="22"/>
            <w:b w:val="0"/>
            <w:bCs w:val="0"/>
            <w:i w:val="0"/>
            <w:iCs w:val="0"/>
          </w:rPr>
          <w:t>4700- دیوان عارفی قزوینی‏</w:t>
        </w:r>
        <w:r>
          <w:tab/>
        </w:r>
        <w:r>
          <w:fldChar w:fldCharType="begin"/>
        </w:r>
        <w:r>
          <w:instrText xml:space="preserve">PAGEREF 4901 \h</w:instrText>
        </w:r>
        <w:r>
          <w:fldChar w:fldCharType="end"/>
        </w:r>
      </w:hyperlink>
    </w:p>
    <w:p>
      <w:pPr>
        <w:tabs>
          <w:tab w:val="right" w:leader="dot" w:pos="9062"/>
        </w:tabs>
        <w:ind w:left="440"/>
      </w:pPr>
      <w:hyperlink w:anchor="_Toc4902" w:history="1">
        <w:r>
          <w:rPr>
            <w:rFonts w:ascii="IRNazanin" w:hAnsi="IRNazanin" w:eastAsia="IRNazanin" w:cs="IRNazanin"/>
            <w:color w:val="111111"/>
            <w:sz w:val="22"/>
            <w:szCs w:val="22"/>
            <w:b w:val="0"/>
            <w:bCs w:val="0"/>
            <w:i w:val="0"/>
            <w:iCs w:val="0"/>
          </w:rPr>
          <w:t>4701- دیوان عارفی هروی‏</w:t>
        </w:r>
        <w:r>
          <w:tab/>
        </w:r>
        <w:r>
          <w:fldChar w:fldCharType="begin"/>
        </w:r>
        <w:r>
          <w:instrText xml:space="preserve">PAGEREF 4902 \h</w:instrText>
        </w:r>
        <w:r>
          <w:fldChar w:fldCharType="end"/>
        </w:r>
      </w:hyperlink>
    </w:p>
    <w:p>
      <w:pPr>
        <w:tabs>
          <w:tab w:val="right" w:leader="dot" w:pos="9062"/>
        </w:tabs>
        <w:ind w:left="440"/>
      </w:pPr>
      <w:hyperlink w:anchor="_Toc4903" w:history="1">
        <w:r>
          <w:rPr>
            <w:rFonts w:ascii="IRNazanin" w:hAnsi="IRNazanin" w:eastAsia="IRNazanin" w:cs="IRNazanin"/>
            <w:color w:val="111111"/>
            <w:sz w:val="22"/>
            <w:szCs w:val="22"/>
            <w:b w:val="0"/>
            <w:bCs w:val="0"/>
            <w:i w:val="0"/>
            <w:iCs w:val="0"/>
          </w:rPr>
          <w:t>4702- دیوان عاری بوشهری أو شعره‏</w:t>
        </w:r>
        <w:r>
          <w:tab/>
        </w:r>
        <w:r>
          <w:fldChar w:fldCharType="begin"/>
        </w:r>
        <w:r>
          <w:instrText xml:space="preserve">PAGEREF 4903 \h</w:instrText>
        </w:r>
        <w:r>
          <w:fldChar w:fldCharType="end"/>
        </w:r>
      </w:hyperlink>
    </w:p>
    <w:p>
      <w:pPr>
        <w:tabs>
          <w:tab w:val="right" w:leader="dot" w:pos="9062"/>
        </w:tabs>
        <w:ind w:left="440"/>
      </w:pPr>
      <w:hyperlink w:anchor="_Toc4904" w:history="1">
        <w:r>
          <w:rPr>
            <w:rFonts w:ascii="IRNazanin" w:hAnsi="IRNazanin" w:eastAsia="IRNazanin" w:cs="IRNazanin"/>
            <w:color w:val="111111"/>
            <w:sz w:val="22"/>
            <w:szCs w:val="22"/>
            <w:b w:val="0"/>
            <w:bCs w:val="0"/>
            <w:i w:val="0"/>
            <w:iCs w:val="0"/>
          </w:rPr>
          <w:t>4703- دیوان عاشق‏</w:t>
        </w:r>
        <w:r>
          <w:tab/>
        </w:r>
        <w:r>
          <w:fldChar w:fldCharType="begin"/>
        </w:r>
        <w:r>
          <w:instrText xml:space="preserve">PAGEREF 4904 \h</w:instrText>
        </w:r>
        <w:r>
          <w:fldChar w:fldCharType="end"/>
        </w:r>
      </w:hyperlink>
    </w:p>
    <w:p>
      <w:pPr>
        <w:tabs>
          <w:tab w:val="right" w:leader="dot" w:pos="9062"/>
        </w:tabs>
        <w:ind w:left="440"/>
      </w:pPr>
      <w:hyperlink w:anchor="_Toc4905" w:history="1">
        <w:r>
          <w:rPr>
            <w:rFonts w:ascii="IRNazanin" w:hAnsi="IRNazanin" w:eastAsia="IRNazanin" w:cs="IRNazanin"/>
            <w:color w:val="111111"/>
            <w:sz w:val="22"/>
            <w:szCs w:val="22"/>
            <w:b w:val="0"/>
            <w:bCs w:val="0"/>
            <w:i w:val="0"/>
            <w:iCs w:val="0"/>
          </w:rPr>
          <w:t>4704- دیوان عاشق الأصفهانی‏</w:t>
        </w:r>
        <w:r>
          <w:tab/>
        </w:r>
        <w:r>
          <w:fldChar w:fldCharType="begin"/>
        </w:r>
        <w:r>
          <w:instrText xml:space="preserve">PAGEREF 4905 \h</w:instrText>
        </w:r>
        <w:r>
          <w:fldChar w:fldCharType="end"/>
        </w:r>
      </w:hyperlink>
    </w:p>
    <w:p>
      <w:pPr>
        <w:tabs>
          <w:tab w:val="right" w:leader="dot" w:pos="9062"/>
        </w:tabs>
        <w:ind w:left="440"/>
      </w:pPr>
      <w:hyperlink w:anchor="_Toc4906" w:history="1">
        <w:r>
          <w:rPr>
            <w:rFonts w:ascii="IRNazanin" w:hAnsi="IRNazanin" w:eastAsia="IRNazanin" w:cs="IRNazanin"/>
            <w:color w:val="111111"/>
            <w:sz w:val="22"/>
            <w:szCs w:val="22"/>
            <w:b w:val="0"/>
            <w:bCs w:val="0"/>
            <w:i w:val="0"/>
            <w:iCs w:val="0"/>
          </w:rPr>
          <w:t>دیوان عاشق أکبرآبادی‏</w:t>
        </w:r>
        <w:r>
          <w:tab/>
        </w:r>
        <w:r>
          <w:fldChar w:fldCharType="begin"/>
        </w:r>
        <w:r>
          <w:instrText xml:space="preserve">PAGEREF 4906 \h</w:instrText>
        </w:r>
        <w:r>
          <w:fldChar w:fldCharType="end"/>
        </w:r>
      </w:hyperlink>
    </w:p>
    <w:p>
      <w:pPr>
        <w:tabs>
          <w:tab w:val="right" w:leader="dot" w:pos="9062"/>
        </w:tabs>
        <w:ind w:left="440"/>
      </w:pPr>
      <w:hyperlink w:anchor="_Toc4907" w:history="1">
        <w:r>
          <w:rPr>
            <w:rFonts w:ascii="IRNazanin" w:hAnsi="IRNazanin" w:eastAsia="IRNazanin" w:cs="IRNazanin"/>
            <w:color w:val="111111"/>
            <w:sz w:val="22"/>
            <w:szCs w:val="22"/>
            <w:b w:val="0"/>
            <w:bCs w:val="0"/>
            <w:i w:val="0"/>
            <w:iCs w:val="0"/>
          </w:rPr>
          <w:t>4705- دیوان عاشق سمرقندی أو شعره‏</w:t>
        </w:r>
        <w:r>
          <w:tab/>
        </w:r>
        <w:r>
          <w:fldChar w:fldCharType="begin"/>
        </w:r>
        <w:r>
          <w:instrText xml:space="preserve">PAGEREF 4907 \h</w:instrText>
        </w:r>
        <w:r>
          <w:fldChar w:fldCharType="end"/>
        </w:r>
      </w:hyperlink>
    </w:p>
    <w:p>
      <w:pPr>
        <w:tabs>
          <w:tab w:val="right" w:leader="dot" w:pos="9062"/>
        </w:tabs>
        <w:ind w:left="440"/>
      </w:pPr>
      <w:hyperlink w:anchor="_Toc4908" w:history="1">
        <w:r>
          <w:rPr>
            <w:rFonts w:ascii="IRNazanin" w:hAnsi="IRNazanin" w:eastAsia="IRNazanin" w:cs="IRNazanin"/>
            <w:color w:val="111111"/>
            <w:sz w:val="22"/>
            <w:szCs w:val="22"/>
            <w:b w:val="0"/>
            <w:bCs w:val="0"/>
            <w:i w:val="0"/>
            <w:iCs w:val="0"/>
          </w:rPr>
          <w:t>4706- دیوان عاشق شیرازی أو شعره‏</w:t>
        </w:r>
        <w:r>
          <w:tab/>
        </w:r>
        <w:r>
          <w:fldChar w:fldCharType="begin"/>
        </w:r>
        <w:r>
          <w:instrText xml:space="preserve">PAGEREF 4908 \h</w:instrText>
        </w:r>
        <w:r>
          <w:fldChar w:fldCharType="end"/>
        </w:r>
      </w:hyperlink>
    </w:p>
    <w:p>
      <w:pPr>
        <w:tabs>
          <w:tab w:val="right" w:leader="dot" w:pos="9062"/>
        </w:tabs>
        <w:ind w:left="440"/>
      </w:pPr>
      <w:hyperlink w:anchor="_Toc4909" w:history="1">
        <w:r>
          <w:rPr>
            <w:rFonts w:ascii="IRNazanin" w:hAnsi="IRNazanin" w:eastAsia="IRNazanin" w:cs="IRNazanin"/>
            <w:color w:val="111111"/>
            <w:sz w:val="22"/>
            <w:szCs w:val="22"/>
            <w:b w:val="0"/>
            <w:bCs w:val="0"/>
            <w:i w:val="0"/>
            <w:iCs w:val="0"/>
          </w:rPr>
          <w:t>دیوان عاشق لکهنوی‏</w:t>
        </w:r>
        <w:r>
          <w:tab/>
        </w:r>
        <w:r>
          <w:fldChar w:fldCharType="begin"/>
        </w:r>
        <w:r>
          <w:instrText xml:space="preserve">PAGEREF 4909 \h</w:instrText>
        </w:r>
        <w:r>
          <w:fldChar w:fldCharType="end"/>
        </w:r>
      </w:hyperlink>
    </w:p>
    <w:p>
      <w:pPr>
        <w:tabs>
          <w:tab w:val="right" w:leader="dot" w:pos="9062"/>
        </w:tabs>
        <w:ind w:left="440"/>
      </w:pPr>
      <w:hyperlink w:anchor="_Toc4910" w:history="1">
        <w:r>
          <w:rPr>
            <w:rFonts w:ascii="IRNazanin" w:hAnsi="IRNazanin" w:eastAsia="IRNazanin" w:cs="IRNazanin"/>
            <w:color w:val="111111"/>
            <w:sz w:val="22"/>
            <w:szCs w:val="22"/>
            <w:b w:val="0"/>
            <w:bCs w:val="0"/>
            <w:i w:val="0"/>
            <w:iCs w:val="0"/>
          </w:rPr>
          <w:t>دیوان عاشق همت‏</w:t>
        </w:r>
        <w:r>
          <w:tab/>
        </w:r>
        <w:r>
          <w:fldChar w:fldCharType="begin"/>
        </w:r>
        <w:r>
          <w:instrText xml:space="preserve">PAGEREF 4910 \h</w:instrText>
        </w:r>
        <w:r>
          <w:fldChar w:fldCharType="end"/>
        </w:r>
      </w:hyperlink>
    </w:p>
    <w:p>
      <w:pPr>
        <w:tabs>
          <w:tab w:val="right" w:leader="dot" w:pos="9062"/>
        </w:tabs>
        <w:ind w:left="440"/>
      </w:pPr>
      <w:hyperlink w:anchor="_Toc4911" w:history="1">
        <w:r>
          <w:rPr>
            <w:rFonts w:ascii="IRNazanin" w:hAnsi="IRNazanin" w:eastAsia="IRNazanin" w:cs="IRNazanin"/>
            <w:color w:val="111111"/>
            <w:sz w:val="22"/>
            <w:szCs w:val="22"/>
            <w:b w:val="0"/>
            <w:bCs w:val="0"/>
            <w:i w:val="0"/>
            <w:iCs w:val="0"/>
          </w:rPr>
          <w:t>4707- دیوان عاشق هندی أو شعره‏</w:t>
        </w:r>
        <w:r>
          <w:tab/>
        </w:r>
        <w:r>
          <w:fldChar w:fldCharType="begin"/>
        </w:r>
        <w:r>
          <w:instrText xml:space="preserve">PAGEREF 4911 \h</w:instrText>
        </w:r>
        <w:r>
          <w:fldChar w:fldCharType="end"/>
        </w:r>
      </w:hyperlink>
    </w:p>
    <w:p>
      <w:pPr>
        <w:tabs>
          <w:tab w:val="right" w:leader="dot" w:pos="9062"/>
        </w:tabs>
        <w:ind w:left="440"/>
      </w:pPr>
      <w:hyperlink w:anchor="_Toc4912" w:history="1">
        <w:r>
          <w:rPr>
            <w:rFonts w:ascii="IRNazanin" w:hAnsi="IRNazanin" w:eastAsia="IRNazanin" w:cs="IRNazanin"/>
            <w:color w:val="111111"/>
            <w:sz w:val="22"/>
            <w:szCs w:val="22"/>
            <w:b w:val="0"/>
            <w:bCs w:val="0"/>
            <w:i w:val="0"/>
            <w:iCs w:val="0"/>
          </w:rPr>
          <w:t>4708- دیوان عاشق هندی‏</w:t>
        </w:r>
        <w:r>
          <w:tab/>
        </w:r>
        <w:r>
          <w:fldChar w:fldCharType="begin"/>
        </w:r>
        <w:r>
          <w:instrText xml:space="preserve">PAGEREF 4912 \h</w:instrText>
        </w:r>
        <w:r>
          <w:fldChar w:fldCharType="end"/>
        </w:r>
      </w:hyperlink>
    </w:p>
    <w:p>
      <w:pPr>
        <w:tabs>
          <w:tab w:val="right" w:leader="dot" w:pos="9062"/>
        </w:tabs>
        <w:ind w:left="440"/>
      </w:pPr>
      <w:hyperlink w:anchor="_Toc4913" w:history="1">
        <w:r>
          <w:rPr>
            <w:rFonts w:ascii="IRNazanin" w:hAnsi="IRNazanin" w:eastAsia="IRNazanin" w:cs="IRNazanin"/>
            <w:color w:val="111111"/>
            <w:sz w:val="22"/>
            <w:szCs w:val="22"/>
            <w:b w:val="0"/>
            <w:bCs w:val="0"/>
            <w:i w:val="0"/>
            <w:iCs w:val="0"/>
          </w:rPr>
          <w:t>4709- دیوان عاشقی خراسانی‏</w:t>
        </w:r>
        <w:r>
          <w:tab/>
        </w:r>
        <w:r>
          <w:fldChar w:fldCharType="begin"/>
        </w:r>
        <w:r>
          <w:instrText xml:space="preserve">PAGEREF 4913 \h</w:instrText>
        </w:r>
        <w:r>
          <w:fldChar w:fldCharType="end"/>
        </w:r>
      </w:hyperlink>
    </w:p>
    <w:p>
      <w:pPr>
        <w:tabs>
          <w:tab w:val="right" w:leader="dot" w:pos="9062"/>
        </w:tabs>
        <w:ind w:left="440"/>
      </w:pPr>
      <w:hyperlink w:anchor="_Toc4914" w:history="1">
        <w:r>
          <w:rPr>
            <w:rFonts w:ascii="IRNazanin" w:hAnsi="IRNazanin" w:eastAsia="IRNazanin" w:cs="IRNazanin"/>
            <w:color w:val="111111"/>
            <w:sz w:val="22"/>
            <w:szCs w:val="22"/>
            <w:b w:val="0"/>
            <w:bCs w:val="0"/>
            <w:i w:val="0"/>
            <w:iCs w:val="0"/>
          </w:rPr>
          <w:t>4710- دیوان أمیر عاشقی تربتی‏</w:t>
        </w:r>
        <w:r>
          <w:tab/>
        </w:r>
        <w:r>
          <w:fldChar w:fldCharType="begin"/>
        </w:r>
        <w:r>
          <w:instrText xml:space="preserve">PAGEREF 4914 \h</w:instrText>
        </w:r>
        <w:r>
          <w:fldChar w:fldCharType="end"/>
        </w:r>
      </w:hyperlink>
    </w:p>
    <w:p>
      <w:pPr>
        <w:tabs>
          <w:tab w:val="right" w:leader="dot" w:pos="9062"/>
        </w:tabs>
        <w:ind w:left="440"/>
      </w:pPr>
      <w:hyperlink w:anchor="_Toc4915" w:history="1">
        <w:r>
          <w:rPr>
            <w:rFonts w:ascii="IRNazanin" w:hAnsi="IRNazanin" w:eastAsia="IRNazanin" w:cs="IRNazanin"/>
            <w:color w:val="111111"/>
            <w:sz w:val="22"/>
            <w:szCs w:val="22"/>
            <w:b w:val="0"/>
            <w:bCs w:val="0"/>
            <w:i w:val="0"/>
            <w:iCs w:val="0"/>
          </w:rPr>
          <w:t>دیوان عاشقی سیستانی‏</w:t>
        </w:r>
        <w:r>
          <w:tab/>
        </w:r>
        <w:r>
          <w:fldChar w:fldCharType="begin"/>
        </w:r>
        <w:r>
          <w:instrText xml:space="preserve">PAGEREF 4915 \h</w:instrText>
        </w:r>
        <w:r>
          <w:fldChar w:fldCharType="end"/>
        </w:r>
      </w:hyperlink>
    </w:p>
    <w:p>
      <w:pPr>
        <w:tabs>
          <w:tab w:val="right" w:leader="dot" w:pos="9062"/>
        </w:tabs>
        <w:ind w:left="440"/>
      </w:pPr>
      <w:hyperlink w:anchor="_Toc4916" w:history="1">
        <w:r>
          <w:rPr>
            <w:rFonts w:ascii="IRNazanin" w:hAnsi="IRNazanin" w:eastAsia="IRNazanin" w:cs="IRNazanin"/>
            <w:color w:val="111111"/>
            <w:sz w:val="22"/>
            <w:szCs w:val="22"/>
            <w:b w:val="0"/>
            <w:bCs w:val="0"/>
            <w:i w:val="0"/>
            <w:iCs w:val="0"/>
          </w:rPr>
          <w:t>4711- دیوان عاشقی عظیم‏آبادی‏</w:t>
        </w:r>
        <w:r>
          <w:tab/>
        </w:r>
        <w:r>
          <w:fldChar w:fldCharType="begin"/>
        </w:r>
        <w:r>
          <w:instrText xml:space="preserve">PAGEREF 4916 \h</w:instrText>
        </w:r>
        <w:r>
          <w:fldChar w:fldCharType="end"/>
        </w:r>
      </w:hyperlink>
    </w:p>
    <w:p>
      <w:pPr>
        <w:tabs>
          <w:tab w:val="right" w:leader="dot" w:pos="9062"/>
        </w:tabs>
        <w:ind w:left="440"/>
      </w:pPr>
      <w:hyperlink w:anchor="_Toc4917" w:history="1">
        <w:r>
          <w:rPr>
            <w:rFonts w:ascii="IRNazanin" w:hAnsi="IRNazanin" w:eastAsia="IRNazanin" w:cs="IRNazanin"/>
            <w:color w:val="111111"/>
            <w:sz w:val="22"/>
            <w:szCs w:val="22"/>
            <w:b w:val="0"/>
            <w:bCs w:val="0"/>
            <w:i w:val="0"/>
            <w:iCs w:val="0"/>
          </w:rPr>
          <w:t>دیوان عاشقی هروی‏</w:t>
        </w:r>
        <w:r>
          <w:tab/>
        </w:r>
        <w:r>
          <w:fldChar w:fldCharType="begin"/>
        </w:r>
        <w:r>
          <w:instrText xml:space="preserve">PAGEREF 4917 \h</w:instrText>
        </w:r>
        <w:r>
          <w:fldChar w:fldCharType="end"/>
        </w:r>
      </w:hyperlink>
    </w:p>
    <w:p>
      <w:pPr>
        <w:tabs>
          <w:tab w:val="right" w:leader="dot" w:pos="9062"/>
        </w:tabs>
        <w:ind w:left="440"/>
      </w:pPr>
      <w:hyperlink w:anchor="_Toc4918" w:history="1">
        <w:r>
          <w:rPr>
            <w:rFonts w:ascii="IRNazanin" w:hAnsi="IRNazanin" w:eastAsia="IRNazanin" w:cs="IRNazanin"/>
            <w:color w:val="111111"/>
            <w:sz w:val="22"/>
            <w:szCs w:val="22"/>
            <w:b w:val="0"/>
            <w:bCs w:val="0"/>
            <w:i w:val="0"/>
            <w:iCs w:val="0"/>
          </w:rPr>
          <w:t>دیوان عاشقی هندی‏</w:t>
        </w:r>
        <w:r>
          <w:tab/>
        </w:r>
        <w:r>
          <w:fldChar w:fldCharType="begin"/>
        </w:r>
        <w:r>
          <w:instrText xml:space="preserve">PAGEREF 4918 \h</w:instrText>
        </w:r>
        <w:r>
          <w:fldChar w:fldCharType="end"/>
        </w:r>
      </w:hyperlink>
    </w:p>
    <w:p>
      <w:pPr>
        <w:tabs>
          <w:tab w:val="right" w:leader="dot" w:pos="9062"/>
        </w:tabs>
        <w:ind w:left="440"/>
      </w:pPr>
      <w:hyperlink w:anchor="_Toc4919" w:history="1">
        <w:r>
          <w:rPr>
            <w:rFonts w:ascii="IRNazanin" w:hAnsi="IRNazanin" w:eastAsia="IRNazanin" w:cs="IRNazanin"/>
            <w:color w:val="111111"/>
            <w:sz w:val="22"/>
            <w:szCs w:val="22"/>
            <w:b w:val="0"/>
            <w:bCs w:val="0"/>
            <w:i w:val="0"/>
            <w:iCs w:val="0"/>
          </w:rPr>
          <w:t>دیوان عاصمی هروی‏</w:t>
        </w:r>
        <w:r>
          <w:tab/>
        </w:r>
        <w:r>
          <w:fldChar w:fldCharType="begin"/>
        </w:r>
        <w:r>
          <w:instrText xml:space="preserve">PAGEREF 4919 \h</w:instrText>
        </w:r>
        <w:r>
          <w:fldChar w:fldCharType="end"/>
        </w:r>
      </w:hyperlink>
    </w:p>
    <w:p>
      <w:pPr>
        <w:tabs>
          <w:tab w:val="right" w:leader="dot" w:pos="9062"/>
        </w:tabs>
        <w:ind w:left="440"/>
      </w:pPr>
      <w:hyperlink w:anchor="_Toc4920" w:history="1">
        <w:r>
          <w:rPr>
            <w:rFonts w:ascii="IRNazanin" w:hAnsi="IRNazanin" w:eastAsia="IRNazanin" w:cs="IRNazanin"/>
            <w:color w:val="111111"/>
            <w:sz w:val="22"/>
            <w:szCs w:val="22"/>
            <w:b w:val="0"/>
            <w:bCs w:val="0"/>
            <w:i w:val="0"/>
            <w:iCs w:val="0"/>
          </w:rPr>
          <w:t>4712- دیوان عاصی رشتی أصفهانی‏</w:t>
        </w:r>
        <w:r>
          <w:tab/>
        </w:r>
        <w:r>
          <w:fldChar w:fldCharType="begin"/>
        </w:r>
        <w:r>
          <w:instrText xml:space="preserve">PAGEREF 4920 \h</w:instrText>
        </w:r>
        <w:r>
          <w:fldChar w:fldCharType="end"/>
        </w:r>
      </w:hyperlink>
    </w:p>
    <w:p>
      <w:pPr>
        <w:tabs>
          <w:tab w:val="right" w:leader="dot" w:pos="9062"/>
        </w:tabs>
        <w:ind w:left="440"/>
      </w:pPr>
      <w:hyperlink w:anchor="_Toc4921" w:history="1">
        <w:r>
          <w:rPr>
            <w:rFonts w:ascii="IRNazanin" w:hAnsi="IRNazanin" w:eastAsia="IRNazanin" w:cs="IRNazanin"/>
            <w:color w:val="111111"/>
            <w:sz w:val="22"/>
            <w:szCs w:val="22"/>
            <w:b w:val="0"/>
            <w:bCs w:val="0"/>
            <w:i w:val="0"/>
            <w:iCs w:val="0"/>
          </w:rPr>
          <w:t>4713- دیوان عاصی کشمیری‏</w:t>
        </w:r>
        <w:r>
          <w:tab/>
        </w:r>
        <w:r>
          <w:fldChar w:fldCharType="begin"/>
        </w:r>
        <w:r>
          <w:instrText xml:space="preserve">PAGEREF 4921 \h</w:instrText>
        </w:r>
        <w:r>
          <w:fldChar w:fldCharType="end"/>
        </w:r>
      </w:hyperlink>
    </w:p>
    <w:p>
      <w:pPr>
        <w:tabs>
          <w:tab w:val="right" w:leader="dot" w:pos="9062"/>
        </w:tabs>
        <w:ind w:left="440"/>
      </w:pPr>
      <w:hyperlink w:anchor="_Toc4922" w:history="1">
        <w:r>
          <w:rPr>
            <w:rFonts w:ascii="IRNazanin" w:hAnsi="IRNazanin" w:eastAsia="IRNazanin" w:cs="IRNazanin"/>
            <w:color w:val="111111"/>
            <w:sz w:val="22"/>
            <w:szCs w:val="22"/>
            <w:b w:val="0"/>
            <w:bCs w:val="0"/>
            <w:i w:val="0"/>
            <w:iCs w:val="0"/>
          </w:rPr>
          <w:t>4714- دیوان عاصی هروی أو شعره‏</w:t>
        </w:r>
        <w:r>
          <w:tab/>
        </w:r>
        <w:r>
          <w:fldChar w:fldCharType="begin"/>
        </w:r>
        <w:r>
          <w:instrText xml:space="preserve">PAGEREF 4922 \h</w:instrText>
        </w:r>
        <w:r>
          <w:fldChar w:fldCharType="end"/>
        </w:r>
      </w:hyperlink>
    </w:p>
    <w:p>
      <w:pPr>
        <w:tabs>
          <w:tab w:val="right" w:leader="dot" w:pos="9062"/>
        </w:tabs>
        <w:ind w:left="440"/>
      </w:pPr>
      <w:hyperlink w:anchor="_Toc4923" w:history="1">
        <w:r>
          <w:rPr>
            <w:rFonts w:ascii="IRNazanin" w:hAnsi="IRNazanin" w:eastAsia="IRNazanin" w:cs="IRNazanin"/>
            <w:color w:val="111111"/>
            <w:sz w:val="22"/>
            <w:szCs w:val="22"/>
            <w:b w:val="0"/>
            <w:bCs w:val="0"/>
            <w:i w:val="0"/>
            <w:iCs w:val="0"/>
          </w:rPr>
          <w:t>4715- دیوان عاطف‏</w:t>
        </w:r>
        <w:r>
          <w:tab/>
        </w:r>
        <w:r>
          <w:fldChar w:fldCharType="begin"/>
        </w:r>
        <w:r>
          <w:instrText xml:space="preserve">PAGEREF 4923 \h</w:instrText>
        </w:r>
        <w:r>
          <w:fldChar w:fldCharType="end"/>
        </w:r>
      </w:hyperlink>
    </w:p>
    <w:p>
      <w:pPr>
        <w:tabs>
          <w:tab w:val="right" w:leader="dot" w:pos="9062"/>
        </w:tabs>
        <w:ind w:left="440"/>
      </w:pPr>
      <w:hyperlink w:anchor="_Toc4924" w:history="1">
        <w:r>
          <w:rPr>
            <w:rFonts w:ascii="IRNazanin" w:hAnsi="IRNazanin" w:eastAsia="IRNazanin" w:cs="IRNazanin"/>
            <w:color w:val="111111"/>
            <w:sz w:val="22"/>
            <w:szCs w:val="22"/>
            <w:b w:val="0"/>
            <w:bCs w:val="0"/>
            <w:i w:val="0"/>
            <w:iCs w:val="0"/>
          </w:rPr>
          <w:t>4716- دیوان عاقل دهلوی‏</w:t>
        </w:r>
        <w:r>
          <w:tab/>
        </w:r>
        <w:r>
          <w:fldChar w:fldCharType="begin"/>
        </w:r>
        <w:r>
          <w:instrText xml:space="preserve">PAGEREF 4924 \h</w:instrText>
        </w:r>
        <w:r>
          <w:fldChar w:fldCharType="end"/>
        </w:r>
      </w:hyperlink>
    </w:p>
    <w:p>
      <w:pPr>
        <w:tabs>
          <w:tab w:val="right" w:leader="dot" w:pos="9062"/>
        </w:tabs>
        <w:ind w:left="440"/>
      </w:pPr>
      <w:hyperlink w:anchor="_Toc4925" w:history="1">
        <w:r>
          <w:rPr>
            <w:rFonts w:ascii="IRNazanin" w:hAnsi="IRNazanin" w:eastAsia="IRNazanin" w:cs="IRNazanin"/>
            <w:color w:val="111111"/>
            <w:sz w:val="22"/>
            <w:szCs w:val="22"/>
            <w:b w:val="0"/>
            <w:bCs w:val="0"/>
            <w:i w:val="0"/>
            <w:iCs w:val="0"/>
          </w:rPr>
          <w:t>4717- دیوان عاقل طالقانی‏</w:t>
        </w:r>
        <w:r>
          <w:tab/>
        </w:r>
        <w:r>
          <w:fldChar w:fldCharType="begin"/>
        </w:r>
        <w:r>
          <w:instrText xml:space="preserve">PAGEREF 4925 \h</w:instrText>
        </w:r>
        <w:r>
          <w:fldChar w:fldCharType="end"/>
        </w:r>
      </w:hyperlink>
    </w:p>
    <w:p>
      <w:pPr>
        <w:tabs>
          <w:tab w:val="right" w:leader="dot" w:pos="9062"/>
        </w:tabs>
        <w:ind w:left="440"/>
      </w:pPr>
      <w:hyperlink w:anchor="_Toc4926" w:history="1">
        <w:r>
          <w:rPr>
            <w:rFonts w:ascii="IRNazanin" w:hAnsi="IRNazanin" w:eastAsia="IRNazanin" w:cs="IRNazanin"/>
            <w:color w:val="111111"/>
            <w:sz w:val="22"/>
            <w:szCs w:val="22"/>
            <w:b w:val="0"/>
            <w:bCs w:val="0"/>
            <w:i w:val="0"/>
            <w:iCs w:val="0"/>
          </w:rPr>
          <w:t>4718- دیوان عاقل هندی‏</w:t>
        </w:r>
        <w:r>
          <w:tab/>
        </w:r>
        <w:r>
          <w:fldChar w:fldCharType="begin"/>
        </w:r>
        <w:r>
          <w:instrText xml:space="preserve">PAGEREF 4926 \h</w:instrText>
        </w:r>
        <w:r>
          <w:fldChar w:fldCharType="end"/>
        </w:r>
      </w:hyperlink>
    </w:p>
    <w:p>
      <w:pPr>
        <w:tabs>
          <w:tab w:val="right" w:leader="dot" w:pos="9062"/>
        </w:tabs>
        <w:ind w:left="440"/>
      </w:pPr>
      <w:hyperlink w:anchor="_Toc4927" w:history="1">
        <w:r>
          <w:rPr>
            <w:rFonts w:ascii="IRNazanin" w:hAnsi="IRNazanin" w:eastAsia="IRNazanin" w:cs="IRNazanin"/>
            <w:color w:val="111111"/>
            <w:sz w:val="22"/>
            <w:szCs w:val="22"/>
            <w:b w:val="0"/>
            <w:bCs w:val="0"/>
            <w:i w:val="0"/>
            <w:iCs w:val="0"/>
          </w:rPr>
          <w:t>4719- دیوان عاقل هندی أو شعره‏</w:t>
        </w:r>
        <w:r>
          <w:tab/>
        </w:r>
        <w:r>
          <w:fldChar w:fldCharType="begin"/>
        </w:r>
        <w:r>
          <w:instrText xml:space="preserve">PAGEREF 4927 \h</w:instrText>
        </w:r>
        <w:r>
          <w:fldChar w:fldCharType="end"/>
        </w:r>
      </w:hyperlink>
    </w:p>
    <w:p>
      <w:pPr>
        <w:tabs>
          <w:tab w:val="right" w:leader="dot" w:pos="9062"/>
        </w:tabs>
        <w:ind w:left="440"/>
      </w:pPr>
      <w:hyperlink w:anchor="_Toc4928" w:history="1">
        <w:r>
          <w:rPr>
            <w:rFonts w:ascii="IRNazanin" w:hAnsi="IRNazanin" w:eastAsia="IRNazanin" w:cs="IRNazanin"/>
            <w:color w:val="111111"/>
            <w:sz w:val="22"/>
            <w:szCs w:val="22"/>
            <w:b w:val="0"/>
            <w:bCs w:val="0"/>
            <w:i w:val="0"/>
            <w:iCs w:val="0"/>
          </w:rPr>
          <w:t>دیوان عالم کابلی‏</w:t>
        </w:r>
        <w:r>
          <w:tab/>
        </w:r>
        <w:r>
          <w:fldChar w:fldCharType="begin"/>
        </w:r>
        <w:r>
          <w:instrText xml:space="preserve">PAGEREF 4928 \h</w:instrText>
        </w:r>
        <w:r>
          <w:fldChar w:fldCharType="end"/>
        </w:r>
      </w:hyperlink>
    </w:p>
    <w:p>
      <w:pPr>
        <w:tabs>
          <w:tab w:val="right" w:leader="dot" w:pos="9062"/>
        </w:tabs>
        <w:ind w:left="440"/>
      </w:pPr>
      <w:hyperlink w:anchor="_Toc4929" w:history="1">
        <w:r>
          <w:rPr>
            <w:rFonts w:ascii="IRNazanin" w:hAnsi="IRNazanin" w:eastAsia="IRNazanin" w:cs="IRNazanin"/>
            <w:color w:val="111111"/>
            <w:sz w:val="22"/>
            <w:szCs w:val="22"/>
            <w:b w:val="0"/>
            <w:bCs w:val="0"/>
            <w:i w:val="0"/>
            <w:iCs w:val="0"/>
          </w:rPr>
          <w:t>4720- دیوان عالم هروی أو شعره‏</w:t>
        </w:r>
        <w:r>
          <w:tab/>
        </w:r>
        <w:r>
          <w:fldChar w:fldCharType="begin"/>
        </w:r>
        <w:r>
          <w:instrText xml:space="preserve">PAGEREF 4929 \h</w:instrText>
        </w:r>
        <w:r>
          <w:fldChar w:fldCharType="end"/>
        </w:r>
      </w:hyperlink>
    </w:p>
    <w:p>
      <w:pPr>
        <w:tabs>
          <w:tab w:val="right" w:leader="dot" w:pos="9062"/>
        </w:tabs>
        <w:ind w:left="440"/>
      </w:pPr>
      <w:hyperlink w:anchor="_Toc4930" w:history="1">
        <w:r>
          <w:rPr>
            <w:rFonts w:ascii="IRNazanin" w:hAnsi="IRNazanin" w:eastAsia="IRNazanin" w:cs="IRNazanin"/>
            <w:color w:val="111111"/>
            <w:sz w:val="22"/>
            <w:szCs w:val="22"/>
            <w:b w:val="0"/>
            <w:bCs w:val="0"/>
            <w:i w:val="0"/>
            <w:iCs w:val="0"/>
          </w:rPr>
          <w:t>4721- دیوان عاکفی سمرقندی‏</w:t>
        </w:r>
        <w:r>
          <w:tab/>
        </w:r>
        <w:r>
          <w:fldChar w:fldCharType="begin"/>
        </w:r>
        <w:r>
          <w:instrText xml:space="preserve">PAGEREF 4930 \h</w:instrText>
        </w:r>
        <w:r>
          <w:fldChar w:fldCharType="end"/>
        </w:r>
      </w:hyperlink>
    </w:p>
    <w:p>
      <w:pPr>
        <w:tabs>
          <w:tab w:val="right" w:leader="dot" w:pos="9062"/>
        </w:tabs>
        <w:ind w:left="440"/>
      </w:pPr>
      <w:hyperlink w:anchor="_Toc4931" w:history="1">
        <w:r>
          <w:rPr>
            <w:rFonts w:ascii="IRNazanin" w:hAnsi="IRNazanin" w:eastAsia="IRNazanin" w:cs="IRNazanin"/>
            <w:color w:val="111111"/>
            <w:sz w:val="22"/>
            <w:szCs w:val="22"/>
            <w:b w:val="0"/>
            <w:bCs w:val="0"/>
            <w:i w:val="0"/>
            <w:iCs w:val="0"/>
          </w:rPr>
          <w:t>4722- دیوان میرزا عالم بخارائی‏</w:t>
        </w:r>
        <w:r>
          <w:tab/>
        </w:r>
        <w:r>
          <w:fldChar w:fldCharType="begin"/>
        </w:r>
        <w:r>
          <w:instrText xml:space="preserve">PAGEREF 4931 \h</w:instrText>
        </w:r>
        <w:r>
          <w:fldChar w:fldCharType="end"/>
        </w:r>
      </w:hyperlink>
    </w:p>
    <w:p>
      <w:pPr>
        <w:tabs>
          <w:tab w:val="right" w:leader="dot" w:pos="9062"/>
        </w:tabs>
        <w:ind w:left="440"/>
      </w:pPr>
      <w:hyperlink w:anchor="_Toc4932" w:history="1">
        <w:r>
          <w:rPr>
            <w:rFonts w:ascii="IRNazanin" w:hAnsi="IRNazanin" w:eastAsia="IRNazanin" w:cs="IRNazanin"/>
            <w:color w:val="111111"/>
            <w:sz w:val="22"/>
            <w:szCs w:val="22"/>
            <w:b w:val="0"/>
            <w:bCs w:val="0"/>
            <w:i w:val="0"/>
            <w:iCs w:val="0"/>
          </w:rPr>
          <w:t>دیوان عالم بیک‏</w:t>
        </w:r>
        <w:r>
          <w:tab/>
        </w:r>
        <w:r>
          <w:fldChar w:fldCharType="begin"/>
        </w:r>
        <w:r>
          <w:instrText xml:space="preserve">PAGEREF 4932 \h</w:instrText>
        </w:r>
        <w:r>
          <w:fldChar w:fldCharType="end"/>
        </w:r>
      </w:hyperlink>
    </w:p>
    <w:p>
      <w:pPr>
        <w:tabs>
          <w:tab w:val="right" w:leader="dot" w:pos="9062"/>
        </w:tabs>
        <w:ind w:left="440"/>
      </w:pPr>
      <w:hyperlink w:anchor="_Toc4933" w:history="1">
        <w:r>
          <w:rPr>
            <w:rFonts w:ascii="IRNazanin" w:hAnsi="IRNazanin" w:eastAsia="IRNazanin" w:cs="IRNazanin"/>
            <w:color w:val="111111"/>
            <w:sz w:val="22"/>
            <w:szCs w:val="22"/>
            <w:b w:val="0"/>
            <w:bCs w:val="0"/>
            <w:i w:val="0"/>
            <w:iCs w:val="0"/>
          </w:rPr>
          <w:t>4723- دیوان عالم تبریزی‏</w:t>
        </w:r>
        <w:r>
          <w:tab/>
        </w:r>
        <w:r>
          <w:fldChar w:fldCharType="begin"/>
        </w:r>
        <w:r>
          <w:instrText xml:space="preserve">PAGEREF 4933 \h</w:instrText>
        </w:r>
        <w:r>
          <w:fldChar w:fldCharType="end"/>
        </w:r>
      </w:hyperlink>
    </w:p>
    <w:p>
      <w:pPr>
        <w:tabs>
          <w:tab w:val="right" w:leader="dot" w:pos="9062"/>
        </w:tabs>
        <w:ind w:left="440"/>
      </w:pPr>
      <w:hyperlink w:anchor="_Toc4934" w:history="1">
        <w:r>
          <w:rPr>
            <w:rFonts w:ascii="IRNazanin" w:hAnsi="IRNazanin" w:eastAsia="IRNazanin" w:cs="IRNazanin"/>
            <w:color w:val="111111"/>
            <w:sz w:val="22"/>
            <w:szCs w:val="22"/>
            <w:b w:val="0"/>
            <w:bCs w:val="0"/>
            <w:i w:val="0"/>
            <w:iCs w:val="0"/>
          </w:rPr>
          <w:t>4724- دیوان السید عالم حسین الهندی‏</w:t>
        </w:r>
        <w:r>
          <w:tab/>
        </w:r>
        <w:r>
          <w:fldChar w:fldCharType="begin"/>
        </w:r>
        <w:r>
          <w:instrText xml:space="preserve">PAGEREF 4934 \h</w:instrText>
        </w:r>
        <w:r>
          <w:fldChar w:fldCharType="end"/>
        </w:r>
      </w:hyperlink>
    </w:p>
    <w:p>
      <w:pPr>
        <w:tabs>
          <w:tab w:val="right" w:leader="dot" w:pos="9062"/>
        </w:tabs>
        <w:ind w:left="440"/>
      </w:pPr>
      <w:hyperlink w:anchor="_Toc4935" w:history="1">
        <w:r>
          <w:rPr>
            <w:rFonts w:ascii="IRNazanin" w:hAnsi="IRNazanin" w:eastAsia="IRNazanin" w:cs="IRNazanin"/>
            <w:color w:val="111111"/>
            <w:sz w:val="22"/>
            <w:szCs w:val="22"/>
            <w:b w:val="0"/>
            <w:bCs w:val="0"/>
            <w:i w:val="0"/>
            <w:iCs w:val="0"/>
          </w:rPr>
          <w:t>4725- دیوان عالمی الدارابجردی‏</w:t>
        </w:r>
        <w:r>
          <w:tab/>
        </w:r>
        <w:r>
          <w:fldChar w:fldCharType="begin"/>
        </w:r>
        <w:r>
          <w:instrText xml:space="preserve">PAGEREF 4935 \h</w:instrText>
        </w:r>
        <w:r>
          <w:fldChar w:fldCharType="end"/>
        </w:r>
      </w:hyperlink>
    </w:p>
    <w:p>
      <w:pPr>
        <w:tabs>
          <w:tab w:val="right" w:leader="dot" w:pos="9062"/>
        </w:tabs>
        <w:ind w:left="440"/>
      </w:pPr>
      <w:hyperlink w:anchor="_Toc4936" w:history="1">
        <w:r>
          <w:rPr>
            <w:rFonts w:ascii="IRNazanin" w:hAnsi="IRNazanin" w:eastAsia="IRNazanin" w:cs="IRNazanin"/>
            <w:color w:val="111111"/>
            <w:sz w:val="22"/>
            <w:szCs w:val="22"/>
            <w:b w:val="0"/>
            <w:bCs w:val="0"/>
            <w:i w:val="0"/>
            <w:iCs w:val="0"/>
          </w:rPr>
          <w:t>4726- دیوان ملا عالی بخارائی‏</w:t>
        </w:r>
        <w:r>
          <w:tab/>
        </w:r>
        <w:r>
          <w:fldChar w:fldCharType="begin"/>
        </w:r>
        <w:r>
          <w:instrText xml:space="preserve">PAGEREF 4936 \h</w:instrText>
        </w:r>
        <w:r>
          <w:fldChar w:fldCharType="end"/>
        </w:r>
      </w:hyperlink>
    </w:p>
    <w:p>
      <w:pPr>
        <w:tabs>
          <w:tab w:val="right" w:leader="dot" w:pos="9062"/>
        </w:tabs>
        <w:ind w:left="440"/>
      </w:pPr>
      <w:hyperlink w:anchor="_Toc4937" w:history="1">
        <w:r>
          <w:rPr>
            <w:rFonts w:ascii="IRNazanin" w:hAnsi="IRNazanin" w:eastAsia="IRNazanin" w:cs="IRNazanin"/>
            <w:color w:val="111111"/>
            <w:sz w:val="22"/>
            <w:szCs w:val="22"/>
            <w:b w:val="0"/>
            <w:bCs w:val="0"/>
            <w:i w:val="0"/>
            <w:iCs w:val="0"/>
          </w:rPr>
          <w:t>4727- دیوان عالی أصفهانی‏</w:t>
        </w:r>
        <w:r>
          <w:tab/>
        </w:r>
        <w:r>
          <w:fldChar w:fldCharType="begin"/>
        </w:r>
        <w:r>
          <w:instrText xml:space="preserve">PAGEREF 4937 \h</w:instrText>
        </w:r>
        <w:r>
          <w:fldChar w:fldCharType="end"/>
        </w:r>
      </w:hyperlink>
    </w:p>
    <w:p>
      <w:pPr>
        <w:tabs>
          <w:tab w:val="right" w:leader="dot" w:pos="9062"/>
        </w:tabs>
        <w:ind w:left="440"/>
      </w:pPr>
      <w:hyperlink w:anchor="_Toc4938" w:history="1">
        <w:r>
          <w:rPr>
            <w:rFonts w:ascii="IRNazanin" w:hAnsi="IRNazanin" w:eastAsia="IRNazanin" w:cs="IRNazanin"/>
            <w:color w:val="111111"/>
            <w:sz w:val="22"/>
            <w:szCs w:val="22"/>
            <w:b w:val="0"/>
            <w:bCs w:val="0"/>
            <w:i w:val="0"/>
            <w:iCs w:val="0"/>
          </w:rPr>
          <w:t>4728- دیوان عالی جرفادقانی‏</w:t>
        </w:r>
        <w:r>
          <w:tab/>
        </w:r>
        <w:r>
          <w:fldChar w:fldCharType="begin"/>
        </w:r>
        <w:r>
          <w:instrText xml:space="preserve">PAGEREF 4938 \h</w:instrText>
        </w:r>
        <w:r>
          <w:fldChar w:fldCharType="end"/>
        </w:r>
      </w:hyperlink>
    </w:p>
    <w:p>
      <w:pPr>
        <w:tabs>
          <w:tab w:val="right" w:leader="dot" w:pos="9062"/>
        </w:tabs>
        <w:ind w:left="440"/>
      </w:pPr>
      <w:hyperlink w:anchor="_Toc4939" w:history="1">
        <w:r>
          <w:rPr>
            <w:rFonts w:ascii="IRNazanin" w:hAnsi="IRNazanin" w:eastAsia="IRNazanin" w:cs="IRNazanin"/>
            <w:color w:val="111111"/>
            <w:sz w:val="22"/>
            <w:szCs w:val="22"/>
            <w:b w:val="0"/>
            <w:bCs w:val="0"/>
            <w:i w:val="0"/>
            <w:iCs w:val="0"/>
          </w:rPr>
          <w:t>4729- دیوان عالی شیرازی‏</w:t>
        </w:r>
        <w:r>
          <w:tab/>
        </w:r>
        <w:r>
          <w:fldChar w:fldCharType="begin"/>
        </w:r>
        <w:r>
          <w:instrText xml:space="preserve">PAGEREF 4939 \h</w:instrText>
        </w:r>
        <w:r>
          <w:fldChar w:fldCharType="end"/>
        </w:r>
      </w:hyperlink>
    </w:p>
    <w:p>
      <w:pPr>
        <w:tabs>
          <w:tab w:val="right" w:leader="dot" w:pos="9062"/>
        </w:tabs>
        <w:ind w:left="440"/>
      </w:pPr>
      <w:hyperlink w:anchor="_Toc4940" w:history="1">
        <w:r>
          <w:rPr>
            <w:rFonts w:ascii="IRNazanin" w:hAnsi="IRNazanin" w:eastAsia="IRNazanin" w:cs="IRNazanin"/>
            <w:color w:val="111111"/>
            <w:sz w:val="22"/>
            <w:szCs w:val="22"/>
            <w:b w:val="0"/>
            <w:bCs w:val="0"/>
            <w:i w:val="0"/>
            <w:iCs w:val="0"/>
          </w:rPr>
          <w:t>4730- دیوان عالی شیرازی‏</w:t>
        </w:r>
        <w:r>
          <w:tab/>
        </w:r>
        <w:r>
          <w:fldChar w:fldCharType="begin"/>
        </w:r>
        <w:r>
          <w:instrText xml:space="preserve">PAGEREF 4940 \h</w:instrText>
        </w:r>
        <w:r>
          <w:fldChar w:fldCharType="end"/>
        </w:r>
      </w:hyperlink>
    </w:p>
    <w:p>
      <w:pPr>
        <w:tabs>
          <w:tab w:val="right" w:leader="dot" w:pos="9062"/>
        </w:tabs>
        <w:ind w:left="440"/>
      </w:pPr>
      <w:hyperlink w:anchor="_Toc4941" w:history="1">
        <w:r>
          <w:rPr>
            <w:rFonts w:ascii="IRNazanin" w:hAnsi="IRNazanin" w:eastAsia="IRNazanin" w:cs="IRNazanin"/>
            <w:color w:val="111111"/>
            <w:sz w:val="22"/>
            <w:szCs w:val="22"/>
            <w:b w:val="0"/>
            <w:bCs w:val="0"/>
            <w:i w:val="0"/>
            <w:iCs w:val="0"/>
          </w:rPr>
          <w:t>4731- دیوان عالی کردستانی أو شعره‏</w:t>
        </w:r>
        <w:r>
          <w:tab/>
        </w:r>
        <w:r>
          <w:fldChar w:fldCharType="begin"/>
        </w:r>
        <w:r>
          <w:instrText xml:space="preserve">PAGEREF 4941 \h</w:instrText>
        </w:r>
        <w:r>
          <w:fldChar w:fldCharType="end"/>
        </w:r>
      </w:hyperlink>
    </w:p>
    <w:p>
      <w:pPr>
        <w:tabs>
          <w:tab w:val="right" w:leader="dot" w:pos="9062"/>
        </w:tabs>
        <w:ind w:left="440"/>
      </w:pPr>
      <w:hyperlink w:anchor="_Toc4942" w:history="1">
        <w:r>
          <w:rPr>
            <w:rFonts w:ascii="IRNazanin" w:hAnsi="IRNazanin" w:eastAsia="IRNazanin" w:cs="IRNazanin"/>
            <w:color w:val="111111"/>
            <w:sz w:val="22"/>
            <w:szCs w:val="22"/>
            <w:b w:val="0"/>
            <w:bCs w:val="0"/>
            <w:i w:val="0"/>
            <w:iCs w:val="0"/>
          </w:rPr>
          <w:t>4732- دیوان عالی مشهدی‏</w:t>
        </w:r>
        <w:r>
          <w:tab/>
        </w:r>
        <w:r>
          <w:fldChar w:fldCharType="begin"/>
        </w:r>
        <w:r>
          <w:instrText xml:space="preserve">PAGEREF 4942 \h</w:instrText>
        </w:r>
        <w:r>
          <w:fldChar w:fldCharType="end"/>
        </w:r>
      </w:hyperlink>
    </w:p>
    <w:p>
      <w:pPr>
        <w:tabs>
          <w:tab w:val="right" w:leader="dot" w:pos="9062"/>
        </w:tabs>
        <w:ind w:left="440"/>
      </w:pPr>
      <w:hyperlink w:anchor="_Toc4943" w:history="1">
        <w:r>
          <w:rPr>
            <w:rFonts w:ascii="IRNazanin" w:hAnsi="IRNazanin" w:eastAsia="IRNazanin" w:cs="IRNazanin"/>
            <w:color w:val="111111"/>
            <w:sz w:val="22"/>
            <w:szCs w:val="22"/>
            <w:b w:val="0"/>
            <w:bCs w:val="0"/>
            <w:i w:val="0"/>
            <w:iCs w:val="0"/>
          </w:rPr>
          <w:t>4733- دیوان عامر بن عامر البصری‏</w:t>
        </w:r>
        <w:r>
          <w:tab/>
        </w:r>
        <w:r>
          <w:fldChar w:fldCharType="begin"/>
        </w:r>
        <w:r>
          <w:instrText xml:space="preserve">PAGEREF 4943 \h</w:instrText>
        </w:r>
        <w:r>
          <w:fldChar w:fldCharType="end"/>
        </w:r>
      </w:hyperlink>
    </w:p>
    <w:p>
      <w:pPr>
        <w:tabs>
          <w:tab w:val="right" w:leader="dot" w:pos="9062"/>
        </w:tabs>
        <w:ind w:left="440"/>
      </w:pPr>
      <w:hyperlink w:anchor="_Toc4944" w:history="1">
        <w:r>
          <w:rPr>
            <w:rFonts w:ascii="IRNazanin" w:hAnsi="IRNazanin" w:eastAsia="IRNazanin" w:cs="IRNazanin"/>
            <w:color w:val="111111"/>
            <w:sz w:val="22"/>
            <w:szCs w:val="22"/>
            <w:b w:val="0"/>
            <w:bCs w:val="0"/>
            <w:i w:val="0"/>
            <w:iCs w:val="0"/>
          </w:rPr>
          <w:t>4734- دیوان عامر ابن کثیر الحسنی‏</w:t>
        </w:r>
        <w:r>
          <w:tab/>
        </w:r>
        <w:r>
          <w:fldChar w:fldCharType="begin"/>
        </w:r>
        <w:r>
          <w:instrText xml:space="preserve">PAGEREF 4944 \h</w:instrText>
        </w:r>
        <w:r>
          <w:fldChar w:fldCharType="end"/>
        </w:r>
      </w:hyperlink>
    </w:p>
    <w:p>
      <w:pPr>
        <w:tabs>
          <w:tab w:val="right" w:leader="dot" w:pos="9062"/>
        </w:tabs>
        <w:ind w:left="440"/>
      </w:pPr>
      <w:hyperlink w:anchor="_Toc4945" w:history="1">
        <w:r>
          <w:rPr>
            <w:rFonts w:ascii="IRNazanin" w:hAnsi="IRNazanin" w:eastAsia="IRNazanin" w:cs="IRNazanin"/>
            <w:color w:val="111111"/>
            <w:sz w:val="22"/>
            <w:szCs w:val="22"/>
            <w:b w:val="0"/>
            <w:bCs w:val="0"/>
            <w:i w:val="0"/>
            <w:iCs w:val="0"/>
          </w:rPr>
          <w:t>دیوان عامر ابن واثلة الصحابی‏</w:t>
        </w:r>
        <w:r>
          <w:tab/>
        </w:r>
        <w:r>
          <w:fldChar w:fldCharType="begin"/>
        </w:r>
        <w:r>
          <w:instrText xml:space="preserve">PAGEREF 4945 \h</w:instrText>
        </w:r>
        <w:r>
          <w:fldChar w:fldCharType="end"/>
        </w:r>
      </w:hyperlink>
    </w:p>
    <w:p>
      <w:pPr>
        <w:tabs>
          <w:tab w:val="right" w:leader="dot" w:pos="9062"/>
        </w:tabs>
        <w:ind w:left="440"/>
      </w:pPr>
      <w:hyperlink w:anchor="_Toc4946" w:history="1">
        <w:r>
          <w:rPr>
            <w:rFonts w:ascii="IRNazanin" w:hAnsi="IRNazanin" w:eastAsia="IRNazanin" w:cs="IRNazanin"/>
            <w:color w:val="111111"/>
            <w:sz w:val="22"/>
            <w:szCs w:val="22"/>
            <w:b w:val="0"/>
            <w:bCs w:val="0"/>
            <w:i w:val="0"/>
            <w:iCs w:val="0"/>
          </w:rPr>
          <w:t>4735- دیوان عامل بلخی‏</w:t>
        </w:r>
        <w:r>
          <w:tab/>
        </w:r>
        <w:r>
          <w:fldChar w:fldCharType="begin"/>
        </w:r>
        <w:r>
          <w:instrText xml:space="preserve">PAGEREF 4946 \h</w:instrText>
        </w:r>
        <w:r>
          <w:fldChar w:fldCharType="end"/>
        </w:r>
      </w:hyperlink>
    </w:p>
    <w:p>
      <w:pPr>
        <w:tabs>
          <w:tab w:val="right" w:leader="dot" w:pos="9062"/>
        </w:tabs>
        <w:ind w:left="440"/>
      </w:pPr>
      <w:hyperlink w:anchor="_Toc4947" w:history="1">
        <w:r>
          <w:rPr>
            <w:rFonts w:ascii="IRNazanin" w:hAnsi="IRNazanin" w:eastAsia="IRNazanin" w:cs="IRNazanin"/>
            <w:color w:val="111111"/>
            <w:sz w:val="22"/>
            <w:szCs w:val="22"/>
            <w:b w:val="0"/>
            <w:bCs w:val="0"/>
            <w:i w:val="0"/>
            <w:iCs w:val="0"/>
          </w:rPr>
          <w:t>4736- دیوان العاملی‏</w:t>
        </w:r>
        <w:r>
          <w:tab/>
        </w:r>
        <w:r>
          <w:fldChar w:fldCharType="begin"/>
        </w:r>
        <w:r>
          <w:instrText xml:space="preserve">PAGEREF 4947 \h</w:instrText>
        </w:r>
        <w:r>
          <w:fldChar w:fldCharType="end"/>
        </w:r>
      </w:hyperlink>
    </w:p>
    <w:p>
      <w:pPr>
        <w:tabs>
          <w:tab w:val="right" w:leader="dot" w:pos="9062"/>
        </w:tabs>
        <w:ind w:left="440"/>
      </w:pPr>
      <w:hyperlink w:anchor="_Toc4948" w:history="1">
        <w:r>
          <w:rPr>
            <w:rFonts w:ascii="IRNazanin" w:hAnsi="IRNazanin" w:eastAsia="IRNazanin" w:cs="IRNazanin"/>
            <w:color w:val="111111"/>
            <w:sz w:val="22"/>
            <w:szCs w:val="22"/>
            <w:b w:val="0"/>
            <w:bCs w:val="0"/>
            <w:i w:val="0"/>
            <w:iCs w:val="0"/>
          </w:rPr>
          <w:t>4737- دیوان عامی أصفهانی أو شعره‏</w:t>
        </w:r>
        <w:r>
          <w:tab/>
        </w:r>
        <w:r>
          <w:fldChar w:fldCharType="begin"/>
        </w:r>
        <w:r>
          <w:instrText xml:space="preserve">PAGEREF 4948 \h</w:instrText>
        </w:r>
        <w:r>
          <w:fldChar w:fldCharType="end"/>
        </w:r>
      </w:hyperlink>
    </w:p>
    <w:p>
      <w:pPr>
        <w:tabs>
          <w:tab w:val="right" w:leader="dot" w:pos="9062"/>
        </w:tabs>
        <w:ind w:left="440"/>
      </w:pPr>
      <w:hyperlink w:anchor="_Toc4949" w:history="1">
        <w:r>
          <w:rPr>
            <w:rFonts w:ascii="IRNazanin" w:hAnsi="IRNazanin" w:eastAsia="IRNazanin" w:cs="IRNazanin"/>
            <w:color w:val="111111"/>
            <w:sz w:val="22"/>
            <w:szCs w:val="22"/>
            <w:b w:val="0"/>
            <w:bCs w:val="0"/>
            <w:i w:val="0"/>
            <w:iCs w:val="0"/>
          </w:rPr>
          <w:t>4738- دیوان عامی نهاوندی أو شعره‏</w:t>
        </w:r>
        <w:r>
          <w:tab/>
        </w:r>
        <w:r>
          <w:fldChar w:fldCharType="begin"/>
        </w:r>
        <w:r>
          <w:instrText xml:space="preserve">PAGEREF 4949 \h</w:instrText>
        </w:r>
        <w:r>
          <w:fldChar w:fldCharType="end"/>
        </w:r>
      </w:hyperlink>
    </w:p>
    <w:p>
      <w:pPr>
        <w:tabs>
          <w:tab w:val="right" w:leader="dot" w:pos="9062"/>
        </w:tabs>
        <w:ind w:left="440"/>
      </w:pPr>
      <w:hyperlink w:anchor="_Toc4950" w:history="1">
        <w:r>
          <w:rPr>
            <w:rFonts w:ascii="IRNazanin" w:hAnsi="IRNazanin" w:eastAsia="IRNazanin" w:cs="IRNazanin"/>
            <w:color w:val="111111"/>
            <w:sz w:val="22"/>
            <w:szCs w:val="22"/>
            <w:b w:val="0"/>
            <w:bCs w:val="0"/>
            <w:i w:val="0"/>
            <w:iCs w:val="0"/>
          </w:rPr>
          <w:t>4739- دیوان عائشة مقریة</w:t>
        </w:r>
        <w:r>
          <w:tab/>
        </w:r>
        <w:r>
          <w:fldChar w:fldCharType="begin"/>
        </w:r>
        <w:r>
          <w:instrText xml:space="preserve">PAGEREF 4950 \h</w:instrText>
        </w:r>
        <w:r>
          <w:fldChar w:fldCharType="end"/>
        </w:r>
      </w:hyperlink>
    </w:p>
    <w:p>
      <w:pPr>
        <w:tabs>
          <w:tab w:val="right" w:leader="dot" w:pos="9062"/>
        </w:tabs>
        <w:ind w:left="440"/>
      </w:pPr>
      <w:hyperlink w:anchor="_Toc4951" w:history="1">
        <w:r>
          <w:rPr>
            <w:rFonts w:ascii="IRNazanin" w:hAnsi="IRNazanin" w:eastAsia="IRNazanin" w:cs="IRNazanin"/>
            <w:color w:val="111111"/>
            <w:sz w:val="22"/>
            <w:szCs w:val="22"/>
            <w:b w:val="0"/>
            <w:bCs w:val="0"/>
            <w:i w:val="0"/>
            <w:iCs w:val="0"/>
          </w:rPr>
          <w:t>دیوان عبائی‏</w:t>
        </w:r>
        <w:r>
          <w:tab/>
        </w:r>
        <w:r>
          <w:fldChar w:fldCharType="begin"/>
        </w:r>
        <w:r>
          <w:instrText xml:space="preserve">PAGEREF 4951 \h</w:instrText>
        </w:r>
        <w:r>
          <w:fldChar w:fldCharType="end"/>
        </w:r>
      </w:hyperlink>
    </w:p>
    <w:p>
      <w:pPr>
        <w:tabs>
          <w:tab w:val="right" w:leader="dot" w:pos="9062"/>
        </w:tabs>
        <w:ind w:left="440"/>
      </w:pPr>
      <w:hyperlink w:anchor="_Toc4952" w:history="1">
        <w:r>
          <w:rPr>
            <w:rFonts w:ascii="IRNazanin" w:hAnsi="IRNazanin" w:eastAsia="IRNazanin" w:cs="IRNazanin"/>
            <w:color w:val="111111"/>
            <w:sz w:val="22"/>
            <w:szCs w:val="22"/>
            <w:b w:val="0"/>
            <w:bCs w:val="0"/>
            <w:i w:val="0"/>
            <w:iCs w:val="0"/>
          </w:rPr>
          <w:t>4740- دیوان السید الأمیر عباد الزنجانی‏</w:t>
        </w:r>
        <w:r>
          <w:tab/>
        </w:r>
        <w:r>
          <w:fldChar w:fldCharType="begin"/>
        </w:r>
        <w:r>
          <w:instrText xml:space="preserve">PAGEREF 4952 \h</w:instrText>
        </w:r>
        <w:r>
          <w:fldChar w:fldCharType="end"/>
        </w:r>
      </w:hyperlink>
    </w:p>
    <w:p>
      <w:pPr>
        <w:tabs>
          <w:tab w:val="right" w:leader="dot" w:pos="9062"/>
        </w:tabs>
        <w:ind w:left="440"/>
      </w:pPr>
      <w:hyperlink w:anchor="_Toc4953" w:history="1">
        <w:r>
          <w:rPr>
            <w:rFonts w:ascii="IRNazanin" w:hAnsi="IRNazanin" w:eastAsia="IRNazanin" w:cs="IRNazanin"/>
            <w:color w:val="111111"/>
            <w:sz w:val="22"/>
            <w:szCs w:val="22"/>
            <w:b w:val="0"/>
            <w:bCs w:val="0"/>
            <w:i w:val="0"/>
            <w:iCs w:val="0"/>
          </w:rPr>
          <w:t>4741- دیوان الشیخ عباس آل کشف الغطاء</w:t>
        </w:r>
        <w:r>
          <w:tab/>
        </w:r>
        <w:r>
          <w:fldChar w:fldCharType="begin"/>
        </w:r>
        <w:r>
          <w:instrText xml:space="preserve">PAGEREF 4953 \h</w:instrText>
        </w:r>
        <w:r>
          <w:fldChar w:fldCharType="end"/>
        </w:r>
      </w:hyperlink>
    </w:p>
    <w:p>
      <w:pPr>
        <w:tabs>
          <w:tab w:val="right" w:leader="dot" w:pos="9062"/>
        </w:tabs>
        <w:ind w:left="440"/>
      </w:pPr>
      <w:hyperlink w:anchor="_Toc4954" w:history="1">
        <w:r>
          <w:rPr>
            <w:rFonts w:ascii="IRNazanin" w:hAnsi="IRNazanin" w:eastAsia="IRNazanin" w:cs="IRNazanin"/>
            <w:color w:val="111111"/>
            <w:sz w:val="22"/>
            <w:szCs w:val="22"/>
            <w:b w:val="0"/>
            <w:bCs w:val="0"/>
            <w:i w:val="0"/>
            <w:iCs w:val="0"/>
          </w:rPr>
          <w:t>4742- دیوان الشیخ عباس الأعسم النجفی‏</w:t>
        </w:r>
        <w:r>
          <w:tab/>
        </w:r>
        <w:r>
          <w:fldChar w:fldCharType="begin"/>
        </w:r>
        <w:r>
          <w:instrText xml:space="preserve">PAGEREF 4954 \h</w:instrText>
        </w:r>
        <w:r>
          <w:fldChar w:fldCharType="end"/>
        </w:r>
      </w:hyperlink>
    </w:p>
    <w:p>
      <w:pPr>
        <w:tabs>
          <w:tab w:val="right" w:leader="dot" w:pos="9062"/>
        </w:tabs>
        <w:ind w:left="440"/>
      </w:pPr>
      <w:hyperlink w:anchor="_Toc4955" w:history="1">
        <w:r>
          <w:rPr>
            <w:rFonts w:ascii="IRNazanin" w:hAnsi="IRNazanin" w:eastAsia="IRNazanin" w:cs="IRNazanin"/>
            <w:color w:val="111111"/>
            <w:sz w:val="22"/>
            <w:szCs w:val="22"/>
            <w:b w:val="0"/>
            <w:bCs w:val="0"/>
            <w:i w:val="0"/>
            <w:iCs w:val="0"/>
          </w:rPr>
          <w:t>4743- دیوان الشیخ عباس البغدادی‏</w:t>
        </w:r>
        <w:r>
          <w:tab/>
        </w:r>
        <w:r>
          <w:fldChar w:fldCharType="begin"/>
        </w:r>
        <w:r>
          <w:instrText xml:space="preserve">PAGEREF 4955 \h</w:instrText>
        </w:r>
        <w:r>
          <w:fldChar w:fldCharType="end"/>
        </w:r>
      </w:hyperlink>
    </w:p>
    <w:p>
      <w:pPr>
        <w:tabs>
          <w:tab w:val="right" w:leader="dot" w:pos="9062"/>
        </w:tabs>
        <w:ind w:left="440"/>
      </w:pPr>
      <w:hyperlink w:anchor="_Toc4956" w:history="1">
        <w:r>
          <w:rPr>
            <w:rFonts w:ascii="IRNazanin" w:hAnsi="IRNazanin" w:eastAsia="IRNazanin" w:cs="IRNazanin"/>
            <w:color w:val="111111"/>
            <w:sz w:val="22"/>
            <w:szCs w:val="22"/>
            <w:b w:val="0"/>
            <w:bCs w:val="0"/>
            <w:i w:val="0"/>
            <w:iCs w:val="0"/>
          </w:rPr>
          <w:t>4744- دیوان المفتی میر عباس التستری‏</w:t>
        </w:r>
        <w:r>
          <w:tab/>
        </w:r>
        <w:r>
          <w:fldChar w:fldCharType="begin"/>
        </w:r>
        <w:r>
          <w:instrText xml:space="preserve">PAGEREF 4956 \h</w:instrText>
        </w:r>
        <w:r>
          <w:fldChar w:fldCharType="end"/>
        </w:r>
      </w:hyperlink>
    </w:p>
    <w:p>
      <w:pPr>
        <w:tabs>
          <w:tab w:val="right" w:leader="dot" w:pos="9062"/>
        </w:tabs>
        <w:ind w:left="440"/>
      </w:pPr>
      <w:hyperlink w:anchor="_Toc4957" w:history="1">
        <w:r>
          <w:rPr>
            <w:rFonts w:ascii="IRNazanin" w:hAnsi="IRNazanin" w:eastAsia="IRNazanin" w:cs="IRNazanin"/>
            <w:color w:val="111111"/>
            <w:sz w:val="22"/>
            <w:szCs w:val="22"/>
            <w:b w:val="0"/>
            <w:bCs w:val="0"/>
            <w:i w:val="0"/>
            <w:iCs w:val="0"/>
          </w:rPr>
          <w:t>4745- دیوان الشاه عباس الثانی‏</w:t>
        </w:r>
        <w:r>
          <w:tab/>
        </w:r>
        <w:r>
          <w:fldChar w:fldCharType="begin"/>
        </w:r>
        <w:r>
          <w:instrText xml:space="preserve">PAGEREF 4957 \h</w:instrText>
        </w:r>
        <w:r>
          <w:fldChar w:fldCharType="end"/>
        </w:r>
      </w:hyperlink>
    </w:p>
    <w:p>
      <w:pPr>
        <w:tabs>
          <w:tab w:val="right" w:leader="dot" w:pos="9062"/>
        </w:tabs>
        <w:ind w:left="440"/>
      </w:pPr>
      <w:hyperlink w:anchor="_Toc4958" w:history="1">
        <w:r>
          <w:rPr>
            <w:rFonts w:ascii="IRNazanin" w:hAnsi="IRNazanin" w:eastAsia="IRNazanin" w:cs="IRNazanin"/>
            <w:color w:val="111111"/>
            <w:sz w:val="22"/>
            <w:szCs w:val="22"/>
            <w:b w:val="0"/>
            <w:bCs w:val="0"/>
            <w:i w:val="0"/>
            <w:iCs w:val="0"/>
          </w:rPr>
          <w:t>4746- دیوان السید عباس الشبر النجفی‏</w:t>
        </w:r>
        <w:r>
          <w:tab/>
        </w:r>
        <w:r>
          <w:fldChar w:fldCharType="begin"/>
        </w:r>
        <w:r>
          <w:instrText xml:space="preserve">PAGEREF 4958 \h</w:instrText>
        </w:r>
        <w:r>
          <w:fldChar w:fldCharType="end"/>
        </w:r>
      </w:hyperlink>
    </w:p>
    <w:p>
      <w:pPr>
        <w:tabs>
          <w:tab w:val="right" w:leader="dot" w:pos="9062"/>
        </w:tabs>
        <w:ind w:left="440"/>
      </w:pPr>
      <w:hyperlink w:anchor="_Toc4959" w:history="1">
        <w:r>
          <w:rPr>
            <w:rFonts w:ascii="IRNazanin" w:hAnsi="IRNazanin" w:eastAsia="IRNazanin" w:cs="IRNazanin"/>
            <w:color w:val="111111"/>
            <w:sz w:val="22"/>
            <w:szCs w:val="22"/>
            <w:b w:val="0"/>
            <w:bCs w:val="0"/>
            <w:i w:val="0"/>
            <w:iCs w:val="0"/>
          </w:rPr>
          <w:t>4747- دیوان الشاه عباس الصفوی الماضی‏</w:t>
        </w:r>
        <w:r>
          <w:tab/>
        </w:r>
        <w:r>
          <w:fldChar w:fldCharType="begin"/>
        </w:r>
        <w:r>
          <w:instrText xml:space="preserve">PAGEREF 4959 \h</w:instrText>
        </w:r>
        <w:r>
          <w:fldChar w:fldCharType="end"/>
        </w:r>
      </w:hyperlink>
    </w:p>
    <w:p>
      <w:pPr>
        <w:tabs>
          <w:tab w:val="right" w:leader="dot" w:pos="9062"/>
        </w:tabs>
        <w:ind w:left="440"/>
      </w:pPr>
      <w:hyperlink w:anchor="_Toc4960" w:history="1">
        <w:r>
          <w:rPr>
            <w:rFonts w:ascii="IRNazanin" w:hAnsi="IRNazanin" w:eastAsia="IRNazanin" w:cs="IRNazanin"/>
            <w:color w:val="111111"/>
            <w:sz w:val="22"/>
            <w:szCs w:val="22"/>
            <w:b w:val="0"/>
            <w:bCs w:val="0"/>
            <w:i w:val="0"/>
            <w:iCs w:val="0"/>
          </w:rPr>
          <w:t>4748- دیوان الشیخ عباس العذاری الحلی،</w:t>
        </w:r>
        <w:r>
          <w:tab/>
        </w:r>
        <w:r>
          <w:fldChar w:fldCharType="begin"/>
        </w:r>
        <w:r>
          <w:instrText xml:space="preserve">PAGEREF 4960 \h</w:instrText>
        </w:r>
        <w:r>
          <w:fldChar w:fldCharType="end"/>
        </w:r>
      </w:hyperlink>
    </w:p>
    <w:p>
      <w:pPr>
        <w:tabs>
          <w:tab w:val="right" w:leader="dot" w:pos="9062"/>
        </w:tabs>
        <w:ind w:left="440"/>
      </w:pPr>
      <w:hyperlink w:anchor="_Toc4961" w:history="1">
        <w:r>
          <w:rPr>
            <w:rFonts w:ascii="IRNazanin" w:hAnsi="IRNazanin" w:eastAsia="IRNazanin" w:cs="IRNazanin"/>
            <w:color w:val="111111"/>
            <w:sz w:val="22"/>
            <w:szCs w:val="22"/>
            <w:b w:val="0"/>
            <w:bCs w:val="0"/>
            <w:i w:val="0"/>
            <w:iCs w:val="0"/>
          </w:rPr>
          <w:t>دیوان عباس فروغی‏</w:t>
        </w:r>
        <w:r>
          <w:tab/>
        </w:r>
        <w:r>
          <w:fldChar w:fldCharType="begin"/>
        </w:r>
        <w:r>
          <w:instrText xml:space="preserve">PAGEREF 4961 \h</w:instrText>
        </w:r>
        <w:r>
          <w:fldChar w:fldCharType="end"/>
        </w:r>
      </w:hyperlink>
    </w:p>
    <w:p>
      <w:pPr>
        <w:tabs>
          <w:tab w:val="right" w:leader="dot" w:pos="9062"/>
        </w:tabs>
        <w:ind w:left="440"/>
      </w:pPr>
      <w:hyperlink w:anchor="_Toc4962" w:history="1">
        <w:r>
          <w:rPr>
            <w:rFonts w:ascii="IRNazanin" w:hAnsi="IRNazanin" w:eastAsia="IRNazanin" w:cs="IRNazanin"/>
            <w:color w:val="111111"/>
            <w:sz w:val="22"/>
            <w:szCs w:val="22"/>
            <w:b w:val="0"/>
            <w:bCs w:val="0"/>
            <w:i w:val="0"/>
            <w:iCs w:val="0"/>
          </w:rPr>
          <w:t>4749- دیوان الشیخ عباس القرشی‏</w:t>
        </w:r>
        <w:r>
          <w:tab/>
        </w:r>
        <w:r>
          <w:fldChar w:fldCharType="begin"/>
        </w:r>
        <w:r>
          <w:instrText xml:space="preserve">PAGEREF 4962 \h</w:instrText>
        </w:r>
        <w:r>
          <w:fldChar w:fldCharType="end"/>
        </w:r>
      </w:hyperlink>
    </w:p>
    <w:p>
      <w:pPr>
        <w:tabs>
          <w:tab w:val="right" w:leader="dot" w:pos="9062"/>
        </w:tabs>
        <w:ind w:left="440"/>
      </w:pPr>
      <w:hyperlink w:anchor="_Toc4963" w:history="1">
        <w:r>
          <w:rPr>
            <w:rFonts w:ascii="IRNazanin" w:hAnsi="IRNazanin" w:eastAsia="IRNazanin" w:cs="IRNazanin"/>
            <w:color w:val="111111"/>
            <w:sz w:val="22"/>
            <w:szCs w:val="22"/>
            <w:b w:val="0"/>
            <w:bCs w:val="0"/>
            <w:i w:val="0"/>
            <w:iCs w:val="0"/>
          </w:rPr>
          <w:t>4750- دیوان عباس قلی خان أو شعره‏</w:t>
        </w:r>
        <w:r>
          <w:tab/>
        </w:r>
        <w:r>
          <w:fldChar w:fldCharType="begin"/>
        </w:r>
        <w:r>
          <w:instrText xml:space="preserve">PAGEREF 4963 \h</w:instrText>
        </w:r>
        <w:r>
          <w:fldChar w:fldCharType="end"/>
        </w:r>
      </w:hyperlink>
    </w:p>
    <w:p>
      <w:pPr>
        <w:tabs>
          <w:tab w:val="right" w:leader="dot" w:pos="9062"/>
        </w:tabs>
        <w:ind w:left="440"/>
      </w:pPr>
      <w:hyperlink w:anchor="_Toc4964" w:history="1">
        <w:r>
          <w:rPr>
            <w:rFonts w:ascii="IRNazanin" w:hAnsi="IRNazanin" w:eastAsia="IRNazanin" w:cs="IRNazanin"/>
            <w:color w:val="111111"/>
            <w:sz w:val="22"/>
            <w:szCs w:val="22"/>
            <w:b w:val="0"/>
            <w:bCs w:val="0"/>
            <w:i w:val="0"/>
            <w:iCs w:val="0"/>
          </w:rPr>
          <w:t>4751- دیوان الشیخ عباس الکاظمی أو شعره‏</w:t>
        </w:r>
        <w:r>
          <w:tab/>
        </w:r>
        <w:r>
          <w:fldChar w:fldCharType="begin"/>
        </w:r>
        <w:r>
          <w:instrText xml:space="preserve">PAGEREF 4964 \h</w:instrText>
        </w:r>
        <w:r>
          <w:fldChar w:fldCharType="end"/>
        </w:r>
      </w:hyperlink>
    </w:p>
    <w:p>
      <w:pPr>
        <w:tabs>
          <w:tab w:val="right" w:leader="dot" w:pos="9062"/>
        </w:tabs>
        <w:ind w:left="440"/>
      </w:pPr>
      <w:hyperlink w:anchor="_Toc4965" w:history="1">
        <w:r>
          <w:rPr>
            <w:rFonts w:ascii="IRNazanin" w:hAnsi="IRNazanin" w:eastAsia="IRNazanin" w:cs="IRNazanin"/>
            <w:color w:val="111111"/>
            <w:sz w:val="22"/>
            <w:szCs w:val="22"/>
            <w:b w:val="0"/>
            <w:bCs w:val="0"/>
            <w:i w:val="0"/>
            <w:iCs w:val="0"/>
          </w:rPr>
          <w:t>دیوان عباس مروزی أو شعره‏</w:t>
        </w:r>
        <w:r>
          <w:tab/>
        </w:r>
        <w:r>
          <w:fldChar w:fldCharType="begin"/>
        </w:r>
        <w:r>
          <w:instrText xml:space="preserve">PAGEREF 4965 \h</w:instrText>
        </w:r>
        <w:r>
          <w:fldChar w:fldCharType="end"/>
        </w:r>
      </w:hyperlink>
    </w:p>
    <w:p>
      <w:pPr>
        <w:tabs>
          <w:tab w:val="right" w:leader="dot" w:pos="9062"/>
        </w:tabs>
        <w:ind w:left="440"/>
      </w:pPr>
      <w:hyperlink w:anchor="_Toc4966" w:history="1">
        <w:r>
          <w:rPr>
            <w:rFonts w:ascii="IRNazanin" w:hAnsi="IRNazanin" w:eastAsia="IRNazanin" w:cs="IRNazanin"/>
            <w:color w:val="111111"/>
            <w:sz w:val="22"/>
            <w:szCs w:val="22"/>
            <w:b w:val="0"/>
            <w:bCs w:val="0"/>
            <w:i w:val="0"/>
            <w:iCs w:val="0"/>
          </w:rPr>
          <w:t>4752- دیوان مولانا عباس ناسخ أو شعره‏</w:t>
        </w:r>
        <w:r>
          <w:tab/>
        </w:r>
        <w:r>
          <w:fldChar w:fldCharType="begin"/>
        </w:r>
        <w:r>
          <w:instrText xml:space="preserve">PAGEREF 4966 \h</w:instrText>
        </w:r>
        <w:r>
          <w:fldChar w:fldCharType="end"/>
        </w:r>
      </w:hyperlink>
    </w:p>
    <w:p>
      <w:pPr>
        <w:tabs>
          <w:tab w:val="right" w:leader="dot" w:pos="9062"/>
        </w:tabs>
        <w:ind w:left="440"/>
      </w:pPr>
      <w:hyperlink w:anchor="_Toc4967" w:history="1">
        <w:r>
          <w:rPr>
            <w:rFonts w:ascii="IRNazanin" w:hAnsi="IRNazanin" w:eastAsia="IRNazanin" w:cs="IRNazanin"/>
            <w:color w:val="111111"/>
            <w:sz w:val="22"/>
            <w:szCs w:val="22"/>
            <w:b w:val="0"/>
            <w:bCs w:val="0"/>
            <w:i w:val="0"/>
            <w:iCs w:val="0"/>
          </w:rPr>
          <w:t>دیوان میرزا عباس همدانی أو شعره‏</w:t>
        </w:r>
        <w:r>
          <w:tab/>
        </w:r>
        <w:r>
          <w:fldChar w:fldCharType="begin"/>
        </w:r>
        <w:r>
          <w:instrText xml:space="preserve">PAGEREF 4967 \h</w:instrText>
        </w:r>
        <w:r>
          <w:fldChar w:fldCharType="end"/>
        </w:r>
      </w:hyperlink>
    </w:p>
    <w:p>
      <w:pPr>
        <w:tabs>
          <w:tab w:val="right" w:leader="dot" w:pos="9062"/>
        </w:tabs>
        <w:ind w:left="440"/>
      </w:pPr>
      <w:hyperlink w:anchor="_Toc4968" w:history="1">
        <w:r>
          <w:rPr>
            <w:rFonts w:ascii="IRNazanin" w:hAnsi="IRNazanin" w:eastAsia="IRNazanin" w:cs="IRNazanin"/>
            <w:color w:val="111111"/>
            <w:sz w:val="22"/>
            <w:szCs w:val="22"/>
            <w:b w:val="0"/>
            <w:bCs w:val="0"/>
            <w:i w:val="0"/>
            <w:iCs w:val="0"/>
          </w:rPr>
          <w:t>4753- دیوان الآخوند المولی عباس الیزدی أو شعره‏</w:t>
        </w:r>
        <w:r>
          <w:tab/>
        </w:r>
        <w:r>
          <w:fldChar w:fldCharType="begin"/>
        </w:r>
        <w:r>
          <w:instrText xml:space="preserve">PAGEREF 4968 \h</w:instrText>
        </w:r>
        <w:r>
          <w:fldChar w:fldCharType="end"/>
        </w:r>
      </w:hyperlink>
    </w:p>
    <w:p>
      <w:pPr>
        <w:tabs>
          <w:tab w:val="right" w:leader="dot" w:pos="9062"/>
        </w:tabs>
        <w:ind w:left="440"/>
      </w:pPr>
      <w:hyperlink w:anchor="_Toc4969" w:history="1">
        <w:r>
          <w:rPr>
            <w:rFonts w:ascii="IRNazanin" w:hAnsi="IRNazanin" w:eastAsia="IRNazanin" w:cs="IRNazanin"/>
            <w:color w:val="111111"/>
            <w:sz w:val="22"/>
            <w:szCs w:val="22"/>
            <w:b w:val="0"/>
            <w:bCs w:val="0"/>
            <w:i w:val="0"/>
            <w:iCs w:val="0"/>
          </w:rPr>
          <w:t>4754- دیوان عباس بیک أو شعره‏</w:t>
        </w:r>
        <w:r>
          <w:tab/>
        </w:r>
        <w:r>
          <w:fldChar w:fldCharType="begin"/>
        </w:r>
        <w:r>
          <w:instrText xml:space="preserve">PAGEREF 4969 \h</w:instrText>
        </w:r>
        <w:r>
          <w:fldChar w:fldCharType="end"/>
        </w:r>
      </w:hyperlink>
    </w:p>
    <w:p>
      <w:pPr>
        <w:tabs>
          <w:tab w:val="right" w:leader="dot" w:pos="9062"/>
        </w:tabs>
        <w:ind w:left="440"/>
      </w:pPr>
      <w:hyperlink w:anchor="_Toc4970" w:history="1">
        <w:r>
          <w:rPr>
            <w:rFonts w:ascii="IRNazanin" w:hAnsi="IRNazanin" w:eastAsia="IRNazanin" w:cs="IRNazanin"/>
            <w:color w:val="111111"/>
            <w:sz w:val="22"/>
            <w:szCs w:val="22"/>
            <w:b w:val="0"/>
            <w:bCs w:val="0"/>
            <w:i w:val="0"/>
            <w:iCs w:val="0"/>
          </w:rPr>
          <w:t>4755- دیوان عباس قلی خان أو شعره‏</w:t>
        </w:r>
        <w:r>
          <w:tab/>
        </w:r>
        <w:r>
          <w:fldChar w:fldCharType="begin"/>
        </w:r>
        <w:r>
          <w:instrText xml:space="preserve">PAGEREF 4970 \h</w:instrText>
        </w:r>
        <w:r>
          <w:fldChar w:fldCharType="end"/>
        </w:r>
      </w:hyperlink>
    </w:p>
    <w:p>
      <w:pPr>
        <w:tabs>
          <w:tab w:val="right" w:leader="dot" w:pos="9062"/>
        </w:tabs>
        <w:ind w:left="440"/>
      </w:pPr>
      <w:hyperlink w:anchor="_Toc4971" w:history="1">
        <w:r>
          <w:rPr>
            <w:rFonts w:ascii="IRNazanin" w:hAnsi="IRNazanin" w:eastAsia="IRNazanin" w:cs="IRNazanin"/>
            <w:color w:val="111111"/>
            <w:sz w:val="22"/>
            <w:szCs w:val="22"/>
            <w:b w:val="0"/>
            <w:bCs w:val="0"/>
            <w:i w:val="0"/>
            <w:iCs w:val="0"/>
          </w:rPr>
          <w:t>4756- دیوان عبدان الأصفهانی أو شعره‏</w:t>
        </w:r>
        <w:r>
          <w:tab/>
        </w:r>
        <w:r>
          <w:fldChar w:fldCharType="begin"/>
        </w:r>
        <w:r>
          <w:instrText xml:space="preserve">PAGEREF 4971 \h</w:instrText>
        </w:r>
        <w:r>
          <w:fldChar w:fldCharType="end"/>
        </w:r>
      </w:hyperlink>
    </w:p>
    <w:p>
      <w:pPr>
        <w:tabs>
          <w:tab w:val="right" w:leader="dot" w:pos="9062"/>
        </w:tabs>
        <w:ind w:left="440"/>
      </w:pPr>
      <w:hyperlink w:anchor="_Toc4972" w:history="1">
        <w:r>
          <w:rPr>
            <w:rFonts w:ascii="IRNazanin" w:hAnsi="IRNazanin" w:eastAsia="IRNazanin" w:cs="IRNazanin"/>
            <w:color w:val="111111"/>
            <w:sz w:val="22"/>
            <w:szCs w:val="22"/>
            <w:b w:val="0"/>
            <w:bCs w:val="0"/>
            <w:i w:val="0"/>
            <w:iCs w:val="0"/>
          </w:rPr>
          <w:t>دیوان عبدای أصفهانی‏</w:t>
        </w:r>
        <w:r>
          <w:tab/>
        </w:r>
        <w:r>
          <w:fldChar w:fldCharType="begin"/>
        </w:r>
        <w:r>
          <w:instrText xml:space="preserve">PAGEREF 4972 \h</w:instrText>
        </w:r>
        <w:r>
          <w:fldChar w:fldCharType="end"/>
        </w:r>
      </w:hyperlink>
    </w:p>
    <w:p>
      <w:pPr>
        <w:tabs>
          <w:tab w:val="right" w:leader="dot" w:pos="9062"/>
        </w:tabs>
        <w:ind w:left="440"/>
      </w:pPr>
      <w:hyperlink w:anchor="_Toc4973" w:history="1">
        <w:r>
          <w:rPr>
            <w:rFonts w:ascii="IRNazanin" w:hAnsi="IRNazanin" w:eastAsia="IRNazanin" w:cs="IRNazanin"/>
            <w:color w:val="111111"/>
            <w:sz w:val="22"/>
            <w:szCs w:val="22"/>
            <w:b w:val="0"/>
            <w:bCs w:val="0"/>
            <w:i w:val="0"/>
            <w:iCs w:val="0"/>
          </w:rPr>
          <w:t>دیوان عبد الباقی أصفهانی‏</w:t>
        </w:r>
        <w:r>
          <w:tab/>
        </w:r>
        <w:r>
          <w:fldChar w:fldCharType="begin"/>
        </w:r>
        <w:r>
          <w:instrText xml:space="preserve">PAGEREF 4973 \h</w:instrText>
        </w:r>
        <w:r>
          <w:fldChar w:fldCharType="end"/>
        </w:r>
      </w:hyperlink>
    </w:p>
    <w:p>
      <w:pPr>
        <w:tabs>
          <w:tab w:val="right" w:leader="dot" w:pos="9062"/>
        </w:tabs>
        <w:ind w:left="440"/>
      </w:pPr>
      <w:hyperlink w:anchor="_Toc4974" w:history="1">
        <w:r>
          <w:rPr>
            <w:rFonts w:ascii="IRNazanin" w:hAnsi="IRNazanin" w:eastAsia="IRNazanin" w:cs="IRNazanin"/>
            <w:color w:val="111111"/>
            <w:sz w:val="22"/>
            <w:szCs w:val="22"/>
            <w:b w:val="0"/>
            <w:bCs w:val="0"/>
            <w:i w:val="0"/>
            <w:iCs w:val="0"/>
          </w:rPr>
          <w:t>4757- دیوان المولی عبد الأحد أو شعره‏</w:t>
        </w:r>
        <w:r>
          <w:tab/>
        </w:r>
        <w:r>
          <w:fldChar w:fldCharType="begin"/>
        </w:r>
        <w:r>
          <w:instrText xml:space="preserve">PAGEREF 4974 \h</w:instrText>
        </w:r>
        <w:r>
          <w:fldChar w:fldCharType="end"/>
        </w:r>
      </w:hyperlink>
    </w:p>
    <w:p>
      <w:pPr>
        <w:tabs>
          <w:tab w:val="right" w:leader="dot" w:pos="9062"/>
        </w:tabs>
        <w:ind w:left="440"/>
      </w:pPr>
      <w:hyperlink w:anchor="_Toc4975" w:history="1">
        <w:r>
          <w:rPr>
            <w:rFonts w:ascii="IRNazanin" w:hAnsi="IRNazanin" w:eastAsia="IRNazanin" w:cs="IRNazanin"/>
            <w:color w:val="111111"/>
            <w:sz w:val="22"/>
            <w:szCs w:val="22"/>
            <w:b w:val="0"/>
            <w:bCs w:val="0"/>
            <w:i w:val="0"/>
            <w:iCs w:val="0"/>
          </w:rPr>
          <w:t>دیوان المولی عبد الباقی‏</w:t>
        </w:r>
        <w:r>
          <w:tab/>
        </w:r>
        <w:r>
          <w:fldChar w:fldCharType="begin"/>
        </w:r>
        <w:r>
          <w:instrText xml:space="preserve">PAGEREF 4975 \h</w:instrText>
        </w:r>
        <w:r>
          <w:fldChar w:fldCharType="end"/>
        </w:r>
      </w:hyperlink>
    </w:p>
    <w:p>
      <w:pPr>
        <w:tabs>
          <w:tab w:val="right" w:leader="dot" w:pos="9062"/>
        </w:tabs>
        <w:ind w:left="440"/>
      </w:pPr>
      <w:hyperlink w:anchor="_Toc4976" w:history="1">
        <w:r>
          <w:rPr>
            <w:rFonts w:ascii="IRNazanin" w:hAnsi="IRNazanin" w:eastAsia="IRNazanin" w:cs="IRNazanin"/>
            <w:color w:val="111111"/>
            <w:sz w:val="22"/>
            <w:szCs w:val="22"/>
            <w:b w:val="0"/>
            <w:bCs w:val="0"/>
            <w:i w:val="0"/>
            <w:iCs w:val="0"/>
          </w:rPr>
          <w:t>4758- دیوان المیر عبد الباقی الیزدی‏</w:t>
        </w:r>
        <w:r>
          <w:tab/>
        </w:r>
        <w:r>
          <w:fldChar w:fldCharType="begin"/>
        </w:r>
        <w:r>
          <w:instrText xml:space="preserve">PAGEREF 4976 \h</w:instrText>
        </w:r>
        <w:r>
          <w:fldChar w:fldCharType="end"/>
        </w:r>
      </w:hyperlink>
    </w:p>
    <w:p>
      <w:pPr>
        <w:tabs>
          <w:tab w:val="right" w:leader="dot" w:pos="9062"/>
        </w:tabs>
        <w:ind w:left="440"/>
      </w:pPr>
      <w:hyperlink w:anchor="_Toc4977" w:history="1">
        <w:r>
          <w:rPr>
            <w:rFonts w:ascii="IRNazanin" w:hAnsi="IRNazanin" w:eastAsia="IRNazanin" w:cs="IRNazanin"/>
            <w:color w:val="111111"/>
            <w:sz w:val="22"/>
            <w:szCs w:val="22"/>
            <w:b w:val="0"/>
            <w:bCs w:val="0"/>
            <w:i w:val="0"/>
            <w:iCs w:val="0"/>
          </w:rPr>
          <w:t>4759- دیوان المیر عبد الباقی أو شعره‏</w:t>
        </w:r>
        <w:r>
          <w:tab/>
        </w:r>
        <w:r>
          <w:fldChar w:fldCharType="begin"/>
        </w:r>
        <w:r>
          <w:instrText xml:space="preserve">PAGEREF 4977 \h</w:instrText>
        </w:r>
        <w:r>
          <w:fldChar w:fldCharType="end"/>
        </w:r>
      </w:hyperlink>
    </w:p>
    <w:p>
      <w:pPr>
        <w:tabs>
          <w:tab w:val="right" w:leader="dot" w:pos="9062"/>
        </w:tabs>
        <w:ind w:left="440"/>
      </w:pPr>
      <w:hyperlink w:anchor="_Toc4978" w:history="1">
        <w:r>
          <w:rPr>
            <w:rFonts w:ascii="IRNazanin" w:hAnsi="IRNazanin" w:eastAsia="IRNazanin" w:cs="IRNazanin"/>
            <w:color w:val="111111"/>
            <w:sz w:val="22"/>
            <w:szCs w:val="22"/>
            <w:b w:val="0"/>
            <w:bCs w:val="0"/>
            <w:i w:val="0"/>
            <w:iCs w:val="0"/>
          </w:rPr>
          <w:t>4760- دیوان المولی عبد الجلیل‏</w:t>
        </w:r>
        <w:r>
          <w:tab/>
        </w:r>
        <w:r>
          <w:fldChar w:fldCharType="begin"/>
        </w:r>
        <w:r>
          <w:instrText xml:space="preserve">PAGEREF 4978 \h</w:instrText>
        </w:r>
        <w:r>
          <w:fldChar w:fldCharType="end"/>
        </w:r>
      </w:hyperlink>
    </w:p>
    <w:p>
      <w:pPr>
        <w:tabs>
          <w:tab w:val="right" w:leader="dot" w:pos="9062"/>
        </w:tabs>
        <w:ind w:left="440"/>
      </w:pPr>
      <w:hyperlink w:anchor="_Toc4979" w:history="1">
        <w:r>
          <w:rPr>
            <w:rFonts w:ascii="IRNazanin" w:hAnsi="IRNazanin" w:eastAsia="IRNazanin" w:cs="IRNazanin"/>
            <w:color w:val="111111"/>
            <w:sz w:val="22"/>
            <w:szCs w:val="22"/>
            <w:b w:val="0"/>
            <w:bCs w:val="0"/>
            <w:i w:val="0"/>
            <w:iCs w:val="0"/>
          </w:rPr>
          <w:t>4761- دیوان المیر عبد الجلیل الحسینی الواسطی البلگرامی‏</w:t>
        </w:r>
        <w:r>
          <w:tab/>
        </w:r>
        <w:r>
          <w:fldChar w:fldCharType="begin"/>
        </w:r>
        <w:r>
          <w:instrText xml:space="preserve">PAGEREF 4979 \h</w:instrText>
        </w:r>
        <w:r>
          <w:fldChar w:fldCharType="end"/>
        </w:r>
      </w:hyperlink>
    </w:p>
    <w:p>
      <w:pPr>
        <w:tabs>
          <w:tab w:val="right" w:leader="dot" w:pos="9062"/>
        </w:tabs>
        <w:ind w:left="440"/>
      </w:pPr>
      <w:hyperlink w:anchor="_Toc4980" w:history="1">
        <w:r>
          <w:rPr>
            <w:rFonts w:ascii="IRNazanin" w:hAnsi="IRNazanin" w:eastAsia="IRNazanin" w:cs="IRNazanin"/>
            <w:color w:val="111111"/>
            <w:sz w:val="22"/>
            <w:szCs w:val="22"/>
            <w:b w:val="0"/>
            <w:bCs w:val="0"/>
            <w:i w:val="0"/>
            <w:iCs w:val="0"/>
          </w:rPr>
          <w:t>4762- دیوان عبد الجواد</w:t>
        </w:r>
        <w:r>
          <w:tab/>
        </w:r>
        <w:r>
          <w:fldChar w:fldCharType="begin"/>
        </w:r>
        <w:r>
          <w:instrText xml:space="preserve">PAGEREF 4980 \h</w:instrText>
        </w:r>
        <w:r>
          <w:fldChar w:fldCharType="end"/>
        </w:r>
      </w:hyperlink>
    </w:p>
    <w:p>
      <w:pPr>
        <w:tabs>
          <w:tab w:val="right" w:leader="dot" w:pos="9062"/>
        </w:tabs>
        <w:ind w:left="440"/>
      </w:pPr>
      <w:hyperlink w:anchor="_Toc4981" w:history="1">
        <w:r>
          <w:rPr>
            <w:rFonts w:ascii="IRNazanin" w:hAnsi="IRNazanin" w:eastAsia="IRNazanin" w:cs="IRNazanin"/>
            <w:color w:val="111111"/>
            <w:sz w:val="22"/>
            <w:szCs w:val="22"/>
            <w:b w:val="0"/>
            <w:bCs w:val="0"/>
            <w:i w:val="0"/>
            <w:iCs w:val="0"/>
          </w:rPr>
          <w:t>4763- دیوان الشیخ عبد الحسین الأعسم‏</w:t>
        </w:r>
        <w:r>
          <w:tab/>
        </w:r>
        <w:r>
          <w:fldChar w:fldCharType="begin"/>
        </w:r>
        <w:r>
          <w:instrText xml:space="preserve">PAGEREF 4981 \h</w:instrText>
        </w:r>
        <w:r>
          <w:fldChar w:fldCharType="end"/>
        </w:r>
      </w:hyperlink>
    </w:p>
    <w:p>
      <w:pPr>
        <w:tabs>
          <w:tab w:val="right" w:leader="dot" w:pos="9062"/>
        </w:tabs>
        <w:ind w:left="440"/>
      </w:pPr>
      <w:hyperlink w:anchor="_Toc4982" w:history="1">
        <w:r>
          <w:rPr>
            <w:rFonts w:ascii="IRNazanin" w:hAnsi="IRNazanin" w:eastAsia="IRNazanin" w:cs="IRNazanin"/>
            <w:color w:val="111111"/>
            <w:sz w:val="22"/>
            <w:szCs w:val="22"/>
            <w:b w:val="0"/>
            <w:bCs w:val="0"/>
            <w:i w:val="0"/>
            <w:iCs w:val="0"/>
          </w:rPr>
          <w:t>4764- دیوان الشیخ عبد الحسین الحویزی‏</w:t>
        </w:r>
        <w:r>
          <w:tab/>
        </w:r>
        <w:r>
          <w:fldChar w:fldCharType="begin"/>
        </w:r>
        <w:r>
          <w:instrText xml:space="preserve">PAGEREF 4982 \h</w:instrText>
        </w:r>
        <w:r>
          <w:fldChar w:fldCharType="end"/>
        </w:r>
      </w:hyperlink>
    </w:p>
    <w:p>
      <w:pPr>
        <w:tabs>
          <w:tab w:val="right" w:leader="dot" w:pos="9062"/>
        </w:tabs>
        <w:ind w:left="440"/>
      </w:pPr>
      <w:hyperlink w:anchor="_Toc4983" w:history="1">
        <w:r>
          <w:rPr>
            <w:rFonts w:ascii="IRNazanin" w:hAnsi="IRNazanin" w:eastAsia="IRNazanin" w:cs="IRNazanin"/>
            <w:color w:val="111111"/>
            <w:sz w:val="22"/>
            <w:szCs w:val="22"/>
            <w:b w:val="0"/>
            <w:bCs w:val="0"/>
            <w:i w:val="0"/>
            <w:iCs w:val="0"/>
          </w:rPr>
          <w:t>4765- دیوان الشیخ عبد الحسین شکر</w:t>
        </w:r>
        <w:r>
          <w:tab/>
        </w:r>
        <w:r>
          <w:fldChar w:fldCharType="begin"/>
        </w:r>
        <w:r>
          <w:instrText xml:space="preserve">PAGEREF 4983 \h</w:instrText>
        </w:r>
        <w:r>
          <w:fldChar w:fldCharType="end"/>
        </w:r>
      </w:hyperlink>
    </w:p>
    <w:p>
      <w:pPr>
        <w:tabs>
          <w:tab w:val="right" w:leader="dot" w:pos="9062"/>
        </w:tabs>
        <w:ind w:left="440"/>
      </w:pPr>
      <w:hyperlink w:anchor="_Toc4984" w:history="1">
        <w:r>
          <w:rPr>
            <w:rFonts w:ascii="IRNazanin" w:hAnsi="IRNazanin" w:eastAsia="IRNazanin" w:cs="IRNazanin"/>
            <w:color w:val="111111"/>
            <w:sz w:val="22"/>
            <w:szCs w:val="22"/>
            <w:b w:val="0"/>
            <w:bCs w:val="0"/>
            <w:i w:val="0"/>
            <w:iCs w:val="0"/>
          </w:rPr>
          <w:t>4766- دیوان الشیخ عبد الحسین الطریحی‏</w:t>
        </w:r>
        <w:r>
          <w:tab/>
        </w:r>
        <w:r>
          <w:fldChar w:fldCharType="begin"/>
        </w:r>
        <w:r>
          <w:instrText xml:space="preserve">PAGEREF 4984 \h</w:instrText>
        </w:r>
        <w:r>
          <w:fldChar w:fldCharType="end"/>
        </w:r>
      </w:hyperlink>
    </w:p>
    <w:p>
      <w:pPr>
        <w:tabs>
          <w:tab w:val="right" w:leader="dot" w:pos="9062"/>
        </w:tabs>
        <w:ind w:left="440"/>
      </w:pPr>
      <w:hyperlink w:anchor="_Toc4985" w:history="1">
        <w:r>
          <w:rPr>
            <w:rFonts w:ascii="IRNazanin" w:hAnsi="IRNazanin" w:eastAsia="IRNazanin" w:cs="IRNazanin"/>
            <w:color w:val="111111"/>
            <w:sz w:val="22"/>
            <w:szCs w:val="22"/>
            <w:b w:val="0"/>
            <w:bCs w:val="0"/>
            <w:i w:val="0"/>
            <w:iCs w:val="0"/>
          </w:rPr>
          <w:t>دیوان عبد الحسین کاشانی‏</w:t>
        </w:r>
        <w:r>
          <w:tab/>
        </w:r>
        <w:r>
          <w:fldChar w:fldCharType="begin"/>
        </w:r>
        <w:r>
          <w:instrText xml:space="preserve">PAGEREF 4985 \h</w:instrText>
        </w:r>
        <w:r>
          <w:fldChar w:fldCharType="end"/>
        </w:r>
      </w:hyperlink>
    </w:p>
    <w:p>
      <w:pPr>
        <w:tabs>
          <w:tab w:val="right" w:leader="dot" w:pos="9062"/>
        </w:tabs>
        <w:ind w:left="440"/>
      </w:pPr>
      <w:hyperlink w:anchor="_Toc4986" w:history="1">
        <w:r>
          <w:rPr>
            <w:rFonts w:ascii="IRNazanin" w:hAnsi="IRNazanin" w:eastAsia="IRNazanin" w:cs="IRNazanin"/>
            <w:color w:val="111111"/>
            <w:sz w:val="22"/>
            <w:szCs w:val="22"/>
            <w:b w:val="0"/>
            <w:bCs w:val="0"/>
            <w:i w:val="0"/>
            <w:iCs w:val="0"/>
          </w:rPr>
          <w:t>4767- دیوان الشیخ عبد الحسین المحلاتی‏</w:t>
        </w:r>
        <w:r>
          <w:tab/>
        </w:r>
        <w:r>
          <w:fldChar w:fldCharType="begin"/>
        </w:r>
        <w:r>
          <w:instrText xml:space="preserve">PAGEREF 4986 \h</w:instrText>
        </w:r>
        <w:r>
          <w:fldChar w:fldCharType="end"/>
        </w:r>
      </w:hyperlink>
    </w:p>
    <w:p>
      <w:pPr>
        <w:tabs>
          <w:tab w:val="right" w:leader="dot" w:pos="9062"/>
        </w:tabs>
        <w:ind w:left="440"/>
      </w:pPr>
      <w:hyperlink w:anchor="_Toc4987" w:history="1">
        <w:r>
          <w:rPr>
            <w:rFonts w:ascii="IRNazanin" w:hAnsi="IRNazanin" w:eastAsia="IRNazanin" w:cs="IRNazanin"/>
            <w:color w:val="111111"/>
            <w:sz w:val="22"/>
            <w:szCs w:val="22"/>
            <w:b w:val="0"/>
            <w:bCs w:val="0"/>
            <w:i w:val="0"/>
            <w:iCs w:val="0"/>
          </w:rPr>
          <w:t>4768- دیوان الشیخ عبد الحسین محیی الدین‏</w:t>
        </w:r>
        <w:r>
          <w:tab/>
        </w:r>
        <w:r>
          <w:fldChar w:fldCharType="begin"/>
        </w:r>
        <w:r>
          <w:instrText xml:space="preserve">PAGEREF 4987 \h</w:instrText>
        </w:r>
        <w:r>
          <w:fldChar w:fldCharType="end"/>
        </w:r>
      </w:hyperlink>
    </w:p>
    <w:p>
      <w:pPr>
        <w:tabs>
          <w:tab w:val="right" w:leader="dot" w:pos="9062"/>
        </w:tabs>
        <w:ind w:left="440"/>
      </w:pPr>
      <w:hyperlink w:anchor="_Toc4988" w:history="1">
        <w:r>
          <w:rPr>
            <w:rFonts w:ascii="IRNazanin" w:hAnsi="IRNazanin" w:eastAsia="IRNazanin" w:cs="IRNazanin"/>
            <w:color w:val="111111"/>
            <w:sz w:val="22"/>
            <w:szCs w:val="22"/>
            <w:b w:val="0"/>
            <w:bCs w:val="0"/>
            <w:i w:val="0"/>
            <w:iCs w:val="0"/>
          </w:rPr>
          <w:t>4769- دیوان الشیخ عبد الحسین محیی الدین‏</w:t>
        </w:r>
        <w:r>
          <w:tab/>
        </w:r>
        <w:r>
          <w:fldChar w:fldCharType="begin"/>
        </w:r>
        <w:r>
          <w:instrText xml:space="preserve">PAGEREF 4988 \h</w:instrText>
        </w:r>
        <w:r>
          <w:fldChar w:fldCharType="end"/>
        </w:r>
      </w:hyperlink>
    </w:p>
    <w:p>
      <w:pPr>
        <w:tabs>
          <w:tab w:val="right" w:leader="dot" w:pos="9062"/>
        </w:tabs>
        <w:ind w:left="440"/>
      </w:pPr>
      <w:hyperlink w:anchor="_Toc4989" w:history="1">
        <w:r>
          <w:rPr>
            <w:rFonts w:ascii="IRNazanin" w:hAnsi="IRNazanin" w:eastAsia="IRNazanin" w:cs="IRNazanin"/>
            <w:color w:val="111111"/>
            <w:sz w:val="22"/>
            <w:szCs w:val="22"/>
            <w:b w:val="0"/>
            <w:bCs w:val="0"/>
            <w:i w:val="0"/>
            <w:iCs w:val="0"/>
          </w:rPr>
          <w:t>4770- دیوان عبد الحق أسترآبادی أو شعره‏</w:t>
        </w:r>
        <w:r>
          <w:tab/>
        </w:r>
        <w:r>
          <w:fldChar w:fldCharType="begin"/>
        </w:r>
        <w:r>
          <w:instrText xml:space="preserve">PAGEREF 4989 \h</w:instrText>
        </w:r>
        <w:r>
          <w:fldChar w:fldCharType="end"/>
        </w:r>
      </w:hyperlink>
    </w:p>
    <w:p>
      <w:pPr>
        <w:tabs>
          <w:tab w:val="right" w:leader="dot" w:pos="9062"/>
        </w:tabs>
        <w:ind w:left="440"/>
      </w:pPr>
      <w:hyperlink w:anchor="_Toc4990" w:history="1">
        <w:r>
          <w:rPr>
            <w:rFonts w:ascii="IRNazanin" w:hAnsi="IRNazanin" w:eastAsia="IRNazanin" w:cs="IRNazanin"/>
            <w:color w:val="111111"/>
            <w:sz w:val="22"/>
            <w:szCs w:val="22"/>
            <w:b w:val="0"/>
            <w:bCs w:val="0"/>
            <w:i w:val="0"/>
            <w:iCs w:val="0"/>
          </w:rPr>
          <w:t>4771- دیوان میر عبد الحق القمی‏</w:t>
        </w:r>
        <w:r>
          <w:tab/>
        </w:r>
        <w:r>
          <w:fldChar w:fldCharType="begin"/>
        </w:r>
        <w:r>
          <w:instrText xml:space="preserve">PAGEREF 4990 \h</w:instrText>
        </w:r>
        <w:r>
          <w:fldChar w:fldCharType="end"/>
        </w:r>
      </w:hyperlink>
    </w:p>
    <w:p>
      <w:pPr>
        <w:tabs>
          <w:tab w:val="right" w:leader="dot" w:pos="9062"/>
        </w:tabs>
        <w:ind w:left="440"/>
      </w:pPr>
      <w:hyperlink w:anchor="_Toc4991" w:history="1">
        <w:r>
          <w:rPr>
            <w:rFonts w:ascii="IRNazanin" w:hAnsi="IRNazanin" w:eastAsia="IRNazanin" w:cs="IRNazanin"/>
            <w:color w:val="111111"/>
            <w:sz w:val="22"/>
            <w:szCs w:val="22"/>
            <w:b w:val="0"/>
            <w:bCs w:val="0"/>
            <w:i w:val="0"/>
            <w:iCs w:val="0"/>
          </w:rPr>
          <w:t>4772- دیوان عبد الحق ورنوسفادرانی‏</w:t>
        </w:r>
        <w:r>
          <w:tab/>
        </w:r>
        <w:r>
          <w:fldChar w:fldCharType="begin"/>
        </w:r>
        <w:r>
          <w:instrText xml:space="preserve">PAGEREF 4991 \h</w:instrText>
        </w:r>
        <w:r>
          <w:fldChar w:fldCharType="end"/>
        </w:r>
      </w:hyperlink>
    </w:p>
    <w:p>
      <w:pPr>
        <w:tabs>
          <w:tab w:val="right" w:leader="dot" w:pos="9062"/>
        </w:tabs>
        <w:ind w:left="440"/>
      </w:pPr>
      <w:hyperlink w:anchor="_Toc4992" w:history="1">
        <w:r>
          <w:rPr>
            <w:rFonts w:ascii="IRNazanin" w:hAnsi="IRNazanin" w:eastAsia="IRNazanin" w:cs="IRNazanin"/>
            <w:color w:val="111111"/>
            <w:sz w:val="22"/>
            <w:szCs w:val="22"/>
            <w:b w:val="0"/>
            <w:bCs w:val="0"/>
            <w:i w:val="0"/>
            <w:iCs w:val="0"/>
          </w:rPr>
          <w:t>4773- دیوان عز الدین عبد الحمید</w:t>
        </w:r>
        <w:r>
          <w:tab/>
        </w:r>
        <w:r>
          <w:fldChar w:fldCharType="begin"/>
        </w:r>
        <w:r>
          <w:instrText xml:space="preserve">PAGEREF 4992 \h</w:instrText>
        </w:r>
        <w:r>
          <w:fldChar w:fldCharType="end"/>
        </w:r>
      </w:hyperlink>
    </w:p>
    <w:p>
      <w:pPr>
        <w:tabs>
          <w:tab w:val="right" w:leader="dot" w:pos="9062"/>
        </w:tabs>
        <w:ind w:left="440"/>
      </w:pPr>
      <w:hyperlink w:anchor="_Toc4993" w:history="1">
        <w:r>
          <w:rPr>
            <w:rFonts w:ascii="IRNazanin" w:hAnsi="IRNazanin" w:eastAsia="IRNazanin" w:cs="IRNazanin"/>
            <w:color w:val="111111"/>
            <w:sz w:val="22"/>
            <w:szCs w:val="22"/>
            <w:b w:val="0"/>
            <w:bCs w:val="0"/>
            <w:i w:val="0"/>
            <w:iCs w:val="0"/>
          </w:rPr>
          <w:t>4774- دیوان الشیخ عبد الحمزة</w:t>
        </w:r>
        <w:r>
          <w:tab/>
        </w:r>
        <w:r>
          <w:fldChar w:fldCharType="begin"/>
        </w:r>
        <w:r>
          <w:instrText xml:space="preserve">PAGEREF 4993 \h</w:instrText>
        </w:r>
        <w:r>
          <w:fldChar w:fldCharType="end"/>
        </w:r>
      </w:hyperlink>
    </w:p>
    <w:p>
      <w:pPr>
        <w:tabs>
          <w:tab w:val="right" w:leader="dot" w:pos="9062"/>
        </w:tabs>
        <w:ind w:left="440"/>
      </w:pPr>
      <w:hyperlink w:anchor="_Toc4994" w:history="1">
        <w:r>
          <w:rPr>
            <w:rFonts w:ascii="IRNazanin" w:hAnsi="IRNazanin" w:eastAsia="IRNazanin" w:cs="IRNazanin"/>
            <w:color w:val="111111"/>
            <w:sz w:val="22"/>
            <w:szCs w:val="22"/>
            <w:b w:val="0"/>
            <w:bCs w:val="0"/>
            <w:i w:val="0"/>
            <w:iCs w:val="0"/>
          </w:rPr>
          <w:t>دیوان عبد الحی‏</w:t>
        </w:r>
        <w:r>
          <w:tab/>
        </w:r>
        <w:r>
          <w:fldChar w:fldCharType="begin"/>
        </w:r>
        <w:r>
          <w:instrText xml:space="preserve">PAGEREF 4994 \h</w:instrText>
        </w:r>
        <w:r>
          <w:fldChar w:fldCharType="end"/>
        </w:r>
      </w:hyperlink>
    </w:p>
    <w:p>
      <w:pPr>
        <w:tabs>
          <w:tab w:val="right" w:leader="dot" w:pos="9062"/>
        </w:tabs>
        <w:ind w:left="440"/>
      </w:pPr>
      <w:hyperlink w:anchor="_Toc4995" w:history="1">
        <w:r>
          <w:rPr>
            <w:rFonts w:ascii="IRNazanin" w:hAnsi="IRNazanin" w:eastAsia="IRNazanin" w:cs="IRNazanin"/>
            <w:color w:val="111111"/>
            <w:sz w:val="22"/>
            <w:szCs w:val="22"/>
            <w:b w:val="0"/>
            <w:bCs w:val="0"/>
            <w:i w:val="0"/>
            <w:iCs w:val="0"/>
          </w:rPr>
          <w:t>4775- دیوان عبد الخالق أو شعره‏</w:t>
        </w:r>
        <w:r>
          <w:tab/>
        </w:r>
        <w:r>
          <w:fldChar w:fldCharType="begin"/>
        </w:r>
        <w:r>
          <w:instrText xml:space="preserve">PAGEREF 4995 \h</w:instrText>
        </w:r>
        <w:r>
          <w:fldChar w:fldCharType="end"/>
        </w:r>
      </w:hyperlink>
    </w:p>
    <w:p>
      <w:pPr>
        <w:tabs>
          <w:tab w:val="right" w:leader="dot" w:pos="9062"/>
        </w:tabs>
        <w:ind w:left="440"/>
      </w:pPr>
      <w:hyperlink w:anchor="_Toc4996" w:history="1">
        <w:r>
          <w:rPr>
            <w:rFonts w:ascii="IRNazanin" w:hAnsi="IRNazanin" w:eastAsia="IRNazanin" w:cs="IRNazanin"/>
            <w:color w:val="111111"/>
            <w:sz w:val="22"/>
            <w:szCs w:val="22"/>
            <w:b w:val="0"/>
            <w:bCs w:val="0"/>
            <w:i w:val="0"/>
            <w:iCs w:val="0"/>
          </w:rPr>
          <w:t>4776- دیوان عبد الرافع الهروی أو شعره‏</w:t>
        </w:r>
        <w:r>
          <w:tab/>
        </w:r>
        <w:r>
          <w:fldChar w:fldCharType="begin"/>
        </w:r>
        <w:r>
          <w:instrText xml:space="preserve">PAGEREF 4996 \h</w:instrText>
        </w:r>
        <w:r>
          <w:fldChar w:fldCharType="end"/>
        </w:r>
      </w:hyperlink>
    </w:p>
    <w:p>
      <w:pPr>
        <w:tabs>
          <w:tab w:val="right" w:leader="dot" w:pos="9062"/>
        </w:tabs>
        <w:ind w:left="440"/>
      </w:pPr>
      <w:hyperlink w:anchor="_Toc4997" w:history="1">
        <w:r>
          <w:rPr>
            <w:rFonts w:ascii="IRNazanin" w:hAnsi="IRNazanin" w:eastAsia="IRNazanin" w:cs="IRNazanin"/>
            <w:color w:val="111111"/>
            <w:sz w:val="22"/>
            <w:szCs w:val="22"/>
            <w:b w:val="0"/>
            <w:bCs w:val="0"/>
            <w:i w:val="0"/>
            <w:iCs w:val="0"/>
          </w:rPr>
          <w:t>دیوان عبد الرءوف الأمین‏</w:t>
        </w:r>
        <w:r>
          <w:tab/>
        </w:r>
        <w:r>
          <w:fldChar w:fldCharType="begin"/>
        </w:r>
        <w:r>
          <w:instrText xml:space="preserve">PAGEREF 4997 \h</w:instrText>
        </w:r>
        <w:r>
          <w:fldChar w:fldCharType="end"/>
        </w:r>
      </w:hyperlink>
    </w:p>
    <w:p>
      <w:pPr>
        <w:tabs>
          <w:tab w:val="right" w:leader="dot" w:pos="9062"/>
        </w:tabs>
        <w:ind w:left="440"/>
      </w:pPr>
      <w:hyperlink w:anchor="_Toc4998" w:history="1">
        <w:r>
          <w:rPr>
            <w:rFonts w:ascii="IRNazanin" w:hAnsi="IRNazanin" w:eastAsia="IRNazanin" w:cs="IRNazanin"/>
            <w:color w:val="111111"/>
            <w:sz w:val="22"/>
            <w:szCs w:val="22"/>
            <w:b w:val="0"/>
            <w:bCs w:val="0"/>
            <w:i w:val="0"/>
            <w:iCs w:val="0"/>
          </w:rPr>
          <w:t>4777- دیوان عبد الرءوف الجد حفصی‏</w:t>
        </w:r>
        <w:r>
          <w:tab/>
        </w:r>
        <w:r>
          <w:fldChar w:fldCharType="begin"/>
        </w:r>
        <w:r>
          <w:instrText xml:space="preserve">PAGEREF 4998 \h</w:instrText>
        </w:r>
        <w:r>
          <w:fldChar w:fldCharType="end"/>
        </w:r>
      </w:hyperlink>
    </w:p>
    <w:p>
      <w:pPr>
        <w:tabs>
          <w:tab w:val="right" w:leader="dot" w:pos="9062"/>
        </w:tabs>
        <w:ind w:left="440"/>
      </w:pPr>
      <w:hyperlink w:anchor="_Toc4999" w:history="1">
        <w:r>
          <w:rPr>
            <w:rFonts w:ascii="IRNazanin" w:hAnsi="IRNazanin" w:eastAsia="IRNazanin" w:cs="IRNazanin"/>
            <w:color w:val="111111"/>
            <w:sz w:val="22"/>
            <w:szCs w:val="22"/>
            <w:b w:val="0"/>
            <w:bCs w:val="0"/>
            <w:i w:val="0"/>
            <w:iCs w:val="0"/>
          </w:rPr>
          <w:t>4778- دیوان عبد الرءوف الجد حفصی‏</w:t>
        </w:r>
        <w:r>
          <w:tab/>
        </w:r>
        <w:r>
          <w:fldChar w:fldCharType="begin"/>
        </w:r>
        <w:r>
          <w:instrText xml:space="preserve">PAGEREF 4999 \h</w:instrText>
        </w:r>
        <w:r>
          <w:fldChar w:fldCharType="end"/>
        </w:r>
      </w:hyperlink>
    </w:p>
    <w:p>
      <w:pPr>
        <w:tabs>
          <w:tab w:val="right" w:leader="dot" w:pos="9062"/>
        </w:tabs>
        <w:ind w:left="440"/>
      </w:pPr>
      <w:hyperlink w:anchor="_Toc5000" w:history="1">
        <w:r>
          <w:rPr>
            <w:rFonts w:ascii="IRNazanin" w:hAnsi="IRNazanin" w:eastAsia="IRNazanin" w:cs="IRNazanin"/>
            <w:color w:val="111111"/>
            <w:sz w:val="22"/>
            <w:szCs w:val="22"/>
            <w:b w:val="0"/>
            <w:bCs w:val="0"/>
            <w:i w:val="0"/>
            <w:iCs w:val="0"/>
          </w:rPr>
          <w:t>4779- دیوان السید عبد الرءوف أو شعره‏</w:t>
        </w:r>
        <w:r>
          <w:tab/>
        </w:r>
        <w:r>
          <w:fldChar w:fldCharType="begin"/>
        </w:r>
        <w:r>
          <w:instrText xml:space="preserve">PAGEREF 5000 \h</w:instrText>
        </w:r>
        <w:r>
          <w:fldChar w:fldCharType="end"/>
        </w:r>
      </w:hyperlink>
    </w:p>
    <w:p>
      <w:pPr>
        <w:tabs>
          <w:tab w:val="right" w:leader="dot" w:pos="9062"/>
        </w:tabs>
        <w:ind w:left="440"/>
      </w:pPr>
      <w:hyperlink w:anchor="_Toc5001" w:history="1">
        <w:r>
          <w:rPr>
            <w:rFonts w:ascii="IRNazanin" w:hAnsi="IRNazanin" w:eastAsia="IRNazanin" w:cs="IRNazanin"/>
            <w:color w:val="111111"/>
            <w:sz w:val="22"/>
            <w:szCs w:val="22"/>
            <w:b w:val="0"/>
            <w:bCs w:val="0"/>
            <w:i w:val="0"/>
            <w:iCs w:val="0"/>
          </w:rPr>
          <w:t>دیوان المیرزا عبد الرحمن البخاری‏</w:t>
        </w:r>
        <w:r>
          <w:tab/>
        </w:r>
        <w:r>
          <w:fldChar w:fldCharType="begin"/>
        </w:r>
        <w:r>
          <w:instrText xml:space="preserve">PAGEREF 5001 \h</w:instrText>
        </w:r>
        <w:r>
          <w:fldChar w:fldCharType="end"/>
        </w:r>
      </w:hyperlink>
    </w:p>
    <w:p>
      <w:pPr>
        <w:tabs>
          <w:tab w:val="right" w:leader="dot" w:pos="9062"/>
        </w:tabs>
        <w:ind w:left="440"/>
      </w:pPr>
      <w:hyperlink w:anchor="_Toc5002" w:history="1">
        <w:r>
          <w:rPr>
            <w:rFonts w:ascii="IRNazanin" w:hAnsi="IRNazanin" w:eastAsia="IRNazanin" w:cs="IRNazanin"/>
            <w:color w:val="111111"/>
            <w:sz w:val="22"/>
            <w:szCs w:val="22"/>
            <w:b w:val="0"/>
            <w:bCs w:val="0"/>
            <w:i w:val="0"/>
            <w:iCs w:val="0"/>
          </w:rPr>
          <w:t>دیوان المولی عبد الرحمن‏</w:t>
        </w:r>
        <w:r>
          <w:tab/>
        </w:r>
        <w:r>
          <w:fldChar w:fldCharType="begin"/>
        </w:r>
        <w:r>
          <w:instrText xml:space="preserve">PAGEREF 5002 \h</w:instrText>
        </w:r>
        <w:r>
          <w:fldChar w:fldCharType="end"/>
        </w:r>
      </w:hyperlink>
    </w:p>
    <w:p>
      <w:pPr>
        <w:tabs>
          <w:tab w:val="right" w:leader="dot" w:pos="9062"/>
        </w:tabs>
        <w:ind w:left="440"/>
      </w:pPr>
      <w:hyperlink w:anchor="_Toc5003" w:history="1">
        <w:r>
          <w:rPr>
            <w:rFonts w:ascii="IRNazanin" w:hAnsi="IRNazanin" w:eastAsia="IRNazanin" w:cs="IRNazanin"/>
            <w:color w:val="111111"/>
            <w:sz w:val="22"/>
            <w:szCs w:val="22"/>
            <w:b w:val="0"/>
            <w:bCs w:val="0"/>
            <w:i w:val="0"/>
            <w:iCs w:val="0"/>
          </w:rPr>
          <w:t>4780- دیوان المیر عبد الرحمن القمی‏</w:t>
        </w:r>
        <w:r>
          <w:tab/>
        </w:r>
        <w:r>
          <w:fldChar w:fldCharType="begin"/>
        </w:r>
        <w:r>
          <w:instrText xml:space="preserve">PAGEREF 5003 \h</w:instrText>
        </w:r>
        <w:r>
          <w:fldChar w:fldCharType="end"/>
        </w:r>
      </w:hyperlink>
    </w:p>
    <w:p>
      <w:pPr>
        <w:tabs>
          <w:tab w:val="right" w:leader="dot" w:pos="9062"/>
        </w:tabs>
        <w:ind w:left="440"/>
      </w:pPr>
      <w:hyperlink w:anchor="_Toc5004" w:history="1">
        <w:r>
          <w:rPr>
            <w:rFonts w:ascii="IRNazanin" w:hAnsi="IRNazanin" w:eastAsia="IRNazanin" w:cs="IRNazanin"/>
            <w:color w:val="111111"/>
            <w:sz w:val="22"/>
            <w:szCs w:val="22"/>
            <w:b w:val="0"/>
            <w:bCs w:val="0"/>
            <w:i w:val="0"/>
            <w:iCs w:val="0"/>
          </w:rPr>
          <w:t>4781- دیوان الشیخ عبد الرحیم السلطان‏آبادی‏</w:t>
        </w:r>
        <w:r>
          <w:tab/>
        </w:r>
        <w:r>
          <w:fldChar w:fldCharType="begin"/>
        </w:r>
        <w:r>
          <w:instrText xml:space="preserve">PAGEREF 5004 \h</w:instrText>
        </w:r>
        <w:r>
          <w:fldChar w:fldCharType="end"/>
        </w:r>
      </w:hyperlink>
    </w:p>
    <w:p>
      <w:pPr>
        <w:tabs>
          <w:tab w:val="right" w:leader="dot" w:pos="9062"/>
        </w:tabs>
        <w:ind w:left="440"/>
      </w:pPr>
      <w:hyperlink w:anchor="_Toc5005" w:history="1">
        <w:r>
          <w:rPr>
            <w:rFonts w:ascii="IRNazanin" w:hAnsi="IRNazanin" w:eastAsia="IRNazanin" w:cs="IRNazanin"/>
            <w:color w:val="111111"/>
            <w:sz w:val="22"/>
            <w:szCs w:val="22"/>
            <w:b w:val="0"/>
            <w:bCs w:val="0"/>
            <w:i w:val="0"/>
            <w:iCs w:val="0"/>
          </w:rPr>
          <w:t>دیوان عبد الرحیم خان هندی‏</w:t>
        </w:r>
        <w:r>
          <w:tab/>
        </w:r>
        <w:r>
          <w:fldChar w:fldCharType="begin"/>
        </w:r>
        <w:r>
          <w:instrText xml:space="preserve">PAGEREF 5005 \h</w:instrText>
        </w:r>
        <w:r>
          <w:fldChar w:fldCharType="end"/>
        </w:r>
      </w:hyperlink>
    </w:p>
    <w:p>
      <w:pPr>
        <w:tabs>
          <w:tab w:val="right" w:leader="dot" w:pos="9062"/>
        </w:tabs>
        <w:ind w:left="440"/>
      </w:pPr>
      <w:hyperlink w:anchor="_Toc5006" w:history="1">
        <w:r>
          <w:rPr>
            <w:rFonts w:ascii="IRNazanin" w:hAnsi="IRNazanin" w:eastAsia="IRNazanin" w:cs="IRNazanin"/>
            <w:color w:val="111111"/>
            <w:sz w:val="22"/>
            <w:szCs w:val="22"/>
            <w:b w:val="0"/>
            <w:bCs w:val="0"/>
            <w:i w:val="0"/>
            <w:iCs w:val="0"/>
          </w:rPr>
          <w:t>4782- دیوان المیرزا عبد الرحیم النهاوندی‏</w:t>
        </w:r>
        <w:r>
          <w:tab/>
        </w:r>
        <w:r>
          <w:fldChar w:fldCharType="begin"/>
        </w:r>
        <w:r>
          <w:instrText xml:space="preserve">PAGEREF 5006 \h</w:instrText>
        </w:r>
        <w:r>
          <w:fldChar w:fldCharType="end"/>
        </w:r>
      </w:hyperlink>
    </w:p>
    <w:p>
      <w:pPr>
        <w:tabs>
          <w:tab w:val="right" w:leader="dot" w:pos="9062"/>
        </w:tabs>
        <w:ind w:left="440"/>
      </w:pPr>
      <w:hyperlink w:anchor="_Toc5007" w:history="1">
        <w:r>
          <w:rPr>
            <w:rFonts w:ascii="IRNazanin" w:hAnsi="IRNazanin" w:eastAsia="IRNazanin" w:cs="IRNazanin"/>
            <w:color w:val="111111"/>
            <w:sz w:val="22"/>
            <w:szCs w:val="22"/>
            <w:b w:val="0"/>
            <w:bCs w:val="0"/>
            <w:i w:val="0"/>
            <w:iCs w:val="0"/>
          </w:rPr>
          <w:t>دیوان عبد الرزاق دنبلی‏</w:t>
        </w:r>
        <w:r>
          <w:tab/>
        </w:r>
        <w:r>
          <w:fldChar w:fldCharType="begin"/>
        </w:r>
        <w:r>
          <w:instrText xml:space="preserve">PAGEREF 5007 \h</w:instrText>
        </w:r>
        <w:r>
          <w:fldChar w:fldCharType="end"/>
        </w:r>
      </w:hyperlink>
    </w:p>
    <w:p>
      <w:pPr>
        <w:tabs>
          <w:tab w:val="right" w:leader="dot" w:pos="9062"/>
        </w:tabs>
        <w:ind w:left="440"/>
      </w:pPr>
      <w:hyperlink w:anchor="_Toc5008" w:history="1">
        <w:r>
          <w:rPr>
            <w:rFonts w:ascii="IRNazanin" w:hAnsi="IRNazanin" w:eastAsia="IRNazanin" w:cs="IRNazanin"/>
            <w:color w:val="111111"/>
            <w:sz w:val="22"/>
            <w:szCs w:val="22"/>
            <w:b w:val="0"/>
            <w:bCs w:val="0"/>
            <w:i w:val="0"/>
            <w:iCs w:val="0"/>
          </w:rPr>
          <w:t>4783- دیوان عبد الرزاق سرخ قلب أو شعره‏</w:t>
        </w:r>
        <w:r>
          <w:tab/>
        </w:r>
        <w:r>
          <w:fldChar w:fldCharType="begin"/>
        </w:r>
        <w:r>
          <w:instrText xml:space="preserve">PAGEREF 5008 \h</w:instrText>
        </w:r>
        <w:r>
          <w:fldChar w:fldCharType="end"/>
        </w:r>
      </w:hyperlink>
    </w:p>
    <w:p>
      <w:pPr>
        <w:tabs>
          <w:tab w:val="right" w:leader="dot" w:pos="9062"/>
        </w:tabs>
        <w:ind w:left="440"/>
      </w:pPr>
      <w:hyperlink w:anchor="_Toc5009" w:history="1">
        <w:r>
          <w:rPr>
            <w:rFonts w:ascii="IRNazanin" w:hAnsi="IRNazanin" w:eastAsia="IRNazanin" w:cs="IRNazanin"/>
            <w:color w:val="111111"/>
            <w:sz w:val="22"/>
            <w:szCs w:val="22"/>
            <w:b w:val="0"/>
            <w:bCs w:val="0"/>
            <w:i w:val="0"/>
            <w:iCs w:val="0"/>
          </w:rPr>
          <w:t>دیوان المولی عبد الرزاق اللاهیجی‏</w:t>
        </w:r>
        <w:r>
          <w:tab/>
        </w:r>
        <w:r>
          <w:fldChar w:fldCharType="begin"/>
        </w:r>
        <w:r>
          <w:instrText xml:space="preserve">PAGEREF 5009 \h</w:instrText>
        </w:r>
        <w:r>
          <w:fldChar w:fldCharType="end"/>
        </w:r>
      </w:hyperlink>
    </w:p>
    <w:p>
      <w:pPr>
        <w:tabs>
          <w:tab w:val="right" w:leader="dot" w:pos="9062"/>
        </w:tabs>
        <w:ind w:left="440"/>
      </w:pPr>
      <w:hyperlink w:anchor="_Toc5010" w:history="1">
        <w:r>
          <w:rPr>
            <w:rFonts w:ascii="IRNazanin" w:hAnsi="IRNazanin" w:eastAsia="IRNazanin" w:cs="IRNazanin"/>
            <w:color w:val="111111"/>
            <w:sz w:val="22"/>
            <w:szCs w:val="22"/>
            <w:b w:val="0"/>
            <w:bCs w:val="0"/>
            <w:i w:val="0"/>
            <w:iCs w:val="0"/>
          </w:rPr>
          <w:t>4784- دیوان المولی عبد الرزاق الهروی‏</w:t>
        </w:r>
        <w:r>
          <w:tab/>
        </w:r>
        <w:r>
          <w:fldChar w:fldCharType="begin"/>
        </w:r>
        <w:r>
          <w:instrText xml:space="preserve">PAGEREF 5010 \h</w:instrText>
        </w:r>
        <w:r>
          <w:fldChar w:fldCharType="end"/>
        </w:r>
      </w:hyperlink>
    </w:p>
    <w:p>
      <w:pPr>
        <w:tabs>
          <w:tab w:val="right" w:leader="dot" w:pos="9062"/>
        </w:tabs>
        <w:ind w:left="440"/>
      </w:pPr>
      <w:hyperlink w:anchor="_Toc5011" w:history="1">
        <w:r>
          <w:rPr>
            <w:rFonts w:ascii="IRNazanin" w:hAnsi="IRNazanin" w:eastAsia="IRNazanin" w:cs="IRNazanin"/>
            <w:color w:val="111111"/>
            <w:sz w:val="22"/>
            <w:szCs w:val="22"/>
            <w:b w:val="0"/>
            <w:bCs w:val="0"/>
            <w:i w:val="0"/>
            <w:iCs w:val="0"/>
          </w:rPr>
          <w:t>4785- دیوان الشیخ عبد الرسول أو شعره‏</w:t>
        </w:r>
        <w:r>
          <w:tab/>
        </w:r>
        <w:r>
          <w:fldChar w:fldCharType="begin"/>
        </w:r>
        <w:r>
          <w:instrText xml:space="preserve">PAGEREF 5011 \h</w:instrText>
        </w:r>
        <w:r>
          <w:fldChar w:fldCharType="end"/>
        </w:r>
      </w:hyperlink>
    </w:p>
    <w:p>
      <w:pPr>
        <w:tabs>
          <w:tab w:val="right" w:leader="dot" w:pos="9062"/>
        </w:tabs>
        <w:ind w:left="440"/>
      </w:pPr>
      <w:hyperlink w:anchor="_Toc5012" w:history="1">
        <w:r>
          <w:rPr>
            <w:rFonts w:ascii="IRNazanin" w:hAnsi="IRNazanin" w:eastAsia="IRNazanin" w:cs="IRNazanin"/>
            <w:color w:val="111111"/>
            <w:sz w:val="22"/>
            <w:szCs w:val="22"/>
            <w:b w:val="0"/>
            <w:bCs w:val="0"/>
            <w:i w:val="0"/>
            <w:iCs w:val="0"/>
          </w:rPr>
          <w:t>دیوان عبد الرسول شوشتری‏</w:t>
        </w:r>
        <w:r>
          <w:tab/>
        </w:r>
        <w:r>
          <w:fldChar w:fldCharType="begin"/>
        </w:r>
        <w:r>
          <w:instrText xml:space="preserve">PAGEREF 5012 \h</w:instrText>
        </w:r>
        <w:r>
          <w:fldChar w:fldCharType="end"/>
        </w:r>
      </w:hyperlink>
    </w:p>
    <w:p>
      <w:pPr>
        <w:tabs>
          <w:tab w:val="right" w:leader="dot" w:pos="9062"/>
        </w:tabs>
        <w:ind w:left="440"/>
      </w:pPr>
      <w:hyperlink w:anchor="_Toc5013" w:history="1">
        <w:r>
          <w:rPr>
            <w:rFonts w:ascii="IRNazanin" w:hAnsi="IRNazanin" w:eastAsia="IRNazanin" w:cs="IRNazanin"/>
            <w:color w:val="111111"/>
            <w:sz w:val="22"/>
            <w:szCs w:val="22"/>
            <w:b w:val="0"/>
            <w:bCs w:val="0"/>
            <w:i w:val="0"/>
            <w:iCs w:val="0"/>
          </w:rPr>
          <w:t>4786- دیوان عبد الرشید هروی‏</w:t>
        </w:r>
        <w:r>
          <w:tab/>
        </w:r>
        <w:r>
          <w:fldChar w:fldCharType="begin"/>
        </w:r>
        <w:r>
          <w:instrText xml:space="preserve">PAGEREF 5013 \h</w:instrText>
        </w:r>
        <w:r>
          <w:fldChar w:fldCharType="end"/>
        </w:r>
      </w:hyperlink>
    </w:p>
    <w:p>
      <w:pPr>
        <w:tabs>
          <w:tab w:val="right" w:leader="dot" w:pos="9062"/>
        </w:tabs>
        <w:ind w:left="440"/>
      </w:pPr>
      <w:hyperlink w:anchor="_Toc5014" w:history="1">
        <w:r>
          <w:rPr>
            <w:rFonts w:ascii="IRNazanin" w:hAnsi="IRNazanin" w:eastAsia="IRNazanin" w:cs="IRNazanin"/>
            <w:color w:val="111111"/>
            <w:sz w:val="22"/>
            <w:szCs w:val="22"/>
            <w:b w:val="0"/>
            <w:bCs w:val="0"/>
            <w:i w:val="0"/>
            <w:iCs w:val="0"/>
          </w:rPr>
          <w:t>4787- دیوان الشیخ عبد الرضا الخطی‏</w:t>
        </w:r>
        <w:r>
          <w:tab/>
        </w:r>
        <w:r>
          <w:fldChar w:fldCharType="begin"/>
        </w:r>
        <w:r>
          <w:instrText xml:space="preserve">PAGEREF 5014 \h</w:instrText>
        </w:r>
        <w:r>
          <w:fldChar w:fldCharType="end"/>
        </w:r>
      </w:hyperlink>
    </w:p>
    <w:p>
      <w:pPr>
        <w:tabs>
          <w:tab w:val="right" w:leader="dot" w:pos="9062"/>
        </w:tabs>
        <w:ind w:left="440"/>
      </w:pPr>
      <w:hyperlink w:anchor="_Toc5015" w:history="1">
        <w:r>
          <w:rPr>
            <w:rFonts w:ascii="IRNazanin" w:hAnsi="IRNazanin" w:eastAsia="IRNazanin" w:cs="IRNazanin"/>
            <w:color w:val="111111"/>
            <w:sz w:val="22"/>
            <w:szCs w:val="22"/>
            <w:b w:val="0"/>
            <w:bCs w:val="0"/>
            <w:i w:val="0"/>
            <w:iCs w:val="0"/>
          </w:rPr>
          <w:t>4788- دیوان عبد الرضا خلیفة</w:t>
        </w:r>
        <w:r>
          <w:tab/>
        </w:r>
        <w:r>
          <w:fldChar w:fldCharType="begin"/>
        </w:r>
        <w:r>
          <w:instrText xml:space="preserve">PAGEREF 5015 \h</w:instrText>
        </w:r>
        <w:r>
          <w:fldChar w:fldCharType="end"/>
        </w:r>
      </w:hyperlink>
    </w:p>
    <w:p>
      <w:pPr>
        <w:tabs>
          <w:tab w:val="right" w:leader="dot" w:pos="9062"/>
        </w:tabs>
        <w:ind w:left="440"/>
      </w:pPr>
      <w:hyperlink w:anchor="_Toc5016" w:history="1">
        <w:r>
          <w:rPr>
            <w:rFonts w:ascii="IRNazanin" w:hAnsi="IRNazanin" w:eastAsia="IRNazanin" w:cs="IRNazanin"/>
            <w:color w:val="111111"/>
            <w:sz w:val="22"/>
            <w:szCs w:val="22"/>
            <w:b w:val="0"/>
            <w:bCs w:val="0"/>
            <w:i w:val="0"/>
            <w:iCs w:val="0"/>
          </w:rPr>
          <w:t>4789- دیوان الشیخ عبد الرضا المقری الکاظمی‏</w:t>
        </w:r>
        <w:r>
          <w:tab/>
        </w:r>
        <w:r>
          <w:fldChar w:fldCharType="begin"/>
        </w:r>
        <w:r>
          <w:instrText xml:space="preserve">PAGEREF 5016 \h</w:instrText>
        </w:r>
        <w:r>
          <w:fldChar w:fldCharType="end"/>
        </w:r>
      </w:hyperlink>
    </w:p>
    <w:p>
      <w:pPr>
        <w:tabs>
          <w:tab w:val="right" w:leader="dot" w:pos="9062"/>
        </w:tabs>
        <w:ind w:left="440"/>
      </w:pPr>
      <w:hyperlink w:anchor="_Toc5017" w:history="1">
        <w:r>
          <w:rPr>
            <w:rFonts w:ascii="IRNazanin" w:hAnsi="IRNazanin" w:eastAsia="IRNazanin" w:cs="IRNazanin"/>
            <w:color w:val="111111"/>
            <w:sz w:val="22"/>
            <w:szCs w:val="22"/>
            <w:b w:val="0"/>
            <w:bCs w:val="0"/>
            <w:i w:val="0"/>
            <w:iCs w:val="0"/>
          </w:rPr>
          <w:t>دیوان عبد الرضا هندی‏</w:t>
        </w:r>
        <w:r>
          <w:tab/>
        </w:r>
        <w:r>
          <w:fldChar w:fldCharType="begin"/>
        </w:r>
        <w:r>
          <w:instrText xml:space="preserve">PAGEREF 5017 \h</w:instrText>
        </w:r>
        <w:r>
          <w:fldChar w:fldCharType="end"/>
        </w:r>
      </w:hyperlink>
    </w:p>
    <w:p>
      <w:pPr>
        <w:tabs>
          <w:tab w:val="right" w:leader="dot" w:pos="9062"/>
        </w:tabs>
        <w:ind w:left="440"/>
      </w:pPr>
      <w:hyperlink w:anchor="_Toc5018" w:history="1">
        <w:r>
          <w:rPr>
            <w:rFonts w:ascii="IRNazanin" w:hAnsi="IRNazanin" w:eastAsia="IRNazanin" w:cs="IRNazanin"/>
            <w:color w:val="111111"/>
            <w:sz w:val="22"/>
            <w:szCs w:val="22"/>
            <w:b w:val="0"/>
            <w:bCs w:val="0"/>
            <w:i w:val="0"/>
            <w:iCs w:val="0"/>
          </w:rPr>
          <w:t>دیوان عبد السلام السلمی‏</w:t>
        </w:r>
        <w:r>
          <w:tab/>
        </w:r>
        <w:r>
          <w:fldChar w:fldCharType="begin"/>
        </w:r>
        <w:r>
          <w:instrText xml:space="preserve">PAGEREF 5018 \h</w:instrText>
        </w:r>
        <w:r>
          <w:fldChar w:fldCharType="end"/>
        </w:r>
      </w:hyperlink>
    </w:p>
    <w:p>
      <w:pPr>
        <w:tabs>
          <w:tab w:val="right" w:leader="dot" w:pos="9062"/>
        </w:tabs>
        <w:ind w:left="440"/>
      </w:pPr>
      <w:hyperlink w:anchor="_Toc5019" w:history="1">
        <w:r>
          <w:rPr>
            <w:rFonts w:ascii="IRNazanin" w:hAnsi="IRNazanin" w:eastAsia="IRNazanin" w:cs="IRNazanin"/>
            <w:color w:val="111111"/>
            <w:sz w:val="22"/>
            <w:szCs w:val="22"/>
            <w:b w:val="0"/>
            <w:bCs w:val="0"/>
            <w:i w:val="0"/>
            <w:iCs w:val="0"/>
          </w:rPr>
          <w:t>4790- دیوان عبد الصمد با کثیر</w:t>
        </w:r>
        <w:r>
          <w:tab/>
        </w:r>
        <w:r>
          <w:fldChar w:fldCharType="begin"/>
        </w:r>
        <w:r>
          <w:instrText xml:space="preserve">PAGEREF 5019 \h</w:instrText>
        </w:r>
        <w:r>
          <w:fldChar w:fldCharType="end"/>
        </w:r>
      </w:hyperlink>
    </w:p>
    <w:p>
      <w:pPr>
        <w:tabs>
          <w:tab w:val="right" w:leader="dot" w:pos="9062"/>
        </w:tabs>
        <w:ind w:left="220"/>
      </w:pPr>
      <w:hyperlink w:anchor="_Toc5020" w:history="1">
        <w:r>
          <w:rPr>
            <w:rFonts w:ascii="IRNazanin" w:hAnsi="IRNazanin" w:eastAsia="IRNazanin" w:cs="IRNazanin"/>
            <w:color w:val="111111"/>
            <w:sz w:val="22"/>
            <w:szCs w:val="22"/>
            <w:b w:val="0"/>
            <w:bCs w:val="0"/>
            <w:i w:val="0"/>
            <w:iCs w:val="0"/>
          </w:rPr>
          <w:t>الجزء الثالث</w:t>
        </w:r>
        <w:r>
          <w:tab/>
        </w:r>
        <w:r>
          <w:fldChar w:fldCharType="begin"/>
        </w:r>
        <w:r>
          <w:instrText xml:space="preserve">PAGEREF 5020 \h</w:instrText>
        </w:r>
        <w:r>
          <w:fldChar w:fldCharType="end"/>
        </w:r>
      </w:hyperlink>
    </w:p>
    <w:p>
      <w:pPr>
        <w:tabs>
          <w:tab w:val="right" w:leader="dot" w:pos="9062"/>
        </w:tabs>
        <w:ind w:left="440"/>
      </w:pPr>
      <w:hyperlink w:anchor="_Toc50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5021 \h</w:instrText>
        </w:r>
        <w:r>
          <w:fldChar w:fldCharType="end"/>
        </w:r>
      </w:hyperlink>
    </w:p>
    <w:p>
      <w:pPr>
        <w:tabs>
          <w:tab w:val="right" w:leader="dot" w:pos="9062"/>
        </w:tabs>
        <w:ind w:left="440"/>
      </w:pPr>
      <w:hyperlink w:anchor="_Toc5022" w:history="1">
        <w:r>
          <w:rPr>
            <w:rFonts w:ascii="IRNazanin" w:hAnsi="IRNazanin" w:eastAsia="IRNazanin" w:cs="IRNazanin"/>
            <w:color w:val="111111"/>
            <w:sz w:val="22"/>
            <w:szCs w:val="22"/>
            <w:b w:val="0"/>
            <w:bCs w:val="0"/>
            <w:i w:val="0"/>
            <w:iCs w:val="0"/>
          </w:rPr>
          <w:t>4791- دیوان مولی عبد الصمد بدخشانی‏</w:t>
        </w:r>
        <w:r>
          <w:tab/>
        </w:r>
        <w:r>
          <w:fldChar w:fldCharType="begin"/>
        </w:r>
        <w:r>
          <w:instrText xml:space="preserve">PAGEREF 5022 \h</w:instrText>
        </w:r>
        <w:r>
          <w:fldChar w:fldCharType="end"/>
        </w:r>
      </w:hyperlink>
    </w:p>
    <w:p>
      <w:pPr>
        <w:tabs>
          <w:tab w:val="right" w:leader="dot" w:pos="9062"/>
        </w:tabs>
        <w:ind w:left="440"/>
      </w:pPr>
      <w:hyperlink w:anchor="_Toc5023" w:history="1">
        <w:r>
          <w:rPr>
            <w:rFonts w:ascii="IRNazanin" w:hAnsi="IRNazanin" w:eastAsia="IRNazanin" w:cs="IRNazanin"/>
            <w:color w:val="111111"/>
            <w:sz w:val="22"/>
            <w:szCs w:val="22"/>
            <w:b w:val="0"/>
            <w:bCs w:val="0"/>
            <w:i w:val="0"/>
            <w:iCs w:val="0"/>
          </w:rPr>
          <w:t>4792- دیوان المیر عبد الصمد</w:t>
        </w:r>
        <w:r>
          <w:tab/>
        </w:r>
        <w:r>
          <w:fldChar w:fldCharType="begin"/>
        </w:r>
        <w:r>
          <w:instrText xml:space="preserve">PAGEREF 5023 \h</w:instrText>
        </w:r>
        <w:r>
          <w:fldChar w:fldCharType="end"/>
        </w:r>
      </w:hyperlink>
    </w:p>
    <w:p>
      <w:pPr>
        <w:tabs>
          <w:tab w:val="right" w:leader="dot" w:pos="9062"/>
        </w:tabs>
        <w:ind w:left="440"/>
      </w:pPr>
      <w:hyperlink w:anchor="_Toc5024" w:history="1">
        <w:r>
          <w:rPr>
            <w:rFonts w:ascii="IRNazanin" w:hAnsi="IRNazanin" w:eastAsia="IRNazanin" w:cs="IRNazanin"/>
            <w:color w:val="111111"/>
            <w:sz w:val="22"/>
            <w:szCs w:val="22"/>
            <w:b w:val="0"/>
            <w:bCs w:val="0"/>
            <w:i w:val="0"/>
            <w:iCs w:val="0"/>
          </w:rPr>
          <w:t>4793- دیوان عبد الصمد الخراسانی المشهدی‏</w:t>
        </w:r>
        <w:r>
          <w:tab/>
        </w:r>
        <w:r>
          <w:fldChar w:fldCharType="begin"/>
        </w:r>
        <w:r>
          <w:instrText xml:space="preserve">PAGEREF 5024 \h</w:instrText>
        </w:r>
        <w:r>
          <w:fldChar w:fldCharType="end"/>
        </w:r>
      </w:hyperlink>
    </w:p>
    <w:p>
      <w:pPr>
        <w:tabs>
          <w:tab w:val="right" w:leader="dot" w:pos="9062"/>
        </w:tabs>
        <w:ind w:left="440"/>
      </w:pPr>
      <w:hyperlink w:anchor="_Toc5025" w:history="1">
        <w:r>
          <w:rPr>
            <w:rFonts w:ascii="IRNazanin" w:hAnsi="IRNazanin" w:eastAsia="IRNazanin" w:cs="IRNazanin"/>
            <w:color w:val="111111"/>
            <w:sz w:val="22"/>
            <w:szCs w:val="22"/>
            <w:b w:val="0"/>
            <w:bCs w:val="0"/>
            <w:i w:val="0"/>
            <w:iCs w:val="0"/>
          </w:rPr>
          <w:t>4794- دیوان الشیخ عبد الصمد أو شعره‏</w:t>
        </w:r>
        <w:r>
          <w:tab/>
        </w:r>
        <w:r>
          <w:fldChar w:fldCharType="begin"/>
        </w:r>
        <w:r>
          <w:instrText xml:space="preserve">PAGEREF 5025 \h</w:instrText>
        </w:r>
        <w:r>
          <w:fldChar w:fldCharType="end"/>
        </w:r>
      </w:hyperlink>
    </w:p>
    <w:p>
      <w:pPr>
        <w:tabs>
          <w:tab w:val="right" w:leader="dot" w:pos="9062"/>
        </w:tabs>
        <w:ind w:left="440"/>
      </w:pPr>
      <w:hyperlink w:anchor="_Toc5026" w:history="1">
        <w:r>
          <w:rPr>
            <w:rFonts w:ascii="IRNazanin" w:hAnsi="IRNazanin" w:eastAsia="IRNazanin" w:cs="IRNazanin"/>
            <w:color w:val="111111"/>
            <w:sz w:val="22"/>
            <w:szCs w:val="22"/>
            <w:b w:val="0"/>
            <w:bCs w:val="0"/>
            <w:i w:val="0"/>
            <w:iCs w:val="0"/>
          </w:rPr>
          <w:t>دیوان عبد العالی‏</w:t>
        </w:r>
        <w:r>
          <w:tab/>
        </w:r>
        <w:r>
          <w:fldChar w:fldCharType="begin"/>
        </w:r>
        <w:r>
          <w:instrText xml:space="preserve">PAGEREF 5026 \h</w:instrText>
        </w:r>
        <w:r>
          <w:fldChar w:fldCharType="end"/>
        </w:r>
      </w:hyperlink>
    </w:p>
    <w:p>
      <w:pPr>
        <w:tabs>
          <w:tab w:val="right" w:leader="dot" w:pos="9062"/>
        </w:tabs>
        <w:ind w:left="440"/>
      </w:pPr>
      <w:hyperlink w:anchor="_Toc5027" w:history="1">
        <w:r>
          <w:rPr>
            <w:rFonts w:ascii="IRNazanin" w:hAnsi="IRNazanin" w:eastAsia="IRNazanin" w:cs="IRNazanin"/>
            <w:color w:val="111111"/>
            <w:sz w:val="22"/>
            <w:szCs w:val="22"/>
            <w:b w:val="0"/>
            <w:bCs w:val="0"/>
            <w:i w:val="0"/>
            <w:iCs w:val="0"/>
          </w:rPr>
          <w:t>دیوان عبد العزیز بن مسعود</w:t>
        </w:r>
        <w:r>
          <w:tab/>
        </w:r>
        <w:r>
          <w:fldChar w:fldCharType="begin"/>
        </w:r>
        <w:r>
          <w:instrText xml:space="preserve">PAGEREF 5027 \h</w:instrText>
        </w:r>
        <w:r>
          <w:fldChar w:fldCharType="end"/>
        </w:r>
      </w:hyperlink>
    </w:p>
    <w:p>
      <w:pPr>
        <w:tabs>
          <w:tab w:val="right" w:leader="dot" w:pos="9062"/>
        </w:tabs>
        <w:ind w:left="440"/>
      </w:pPr>
      <w:hyperlink w:anchor="_Toc5028" w:history="1">
        <w:r>
          <w:rPr>
            <w:rFonts w:ascii="IRNazanin" w:hAnsi="IRNazanin" w:eastAsia="IRNazanin" w:cs="IRNazanin"/>
            <w:color w:val="111111"/>
            <w:sz w:val="22"/>
            <w:szCs w:val="22"/>
            <w:b w:val="0"/>
            <w:bCs w:val="0"/>
            <w:i w:val="0"/>
            <w:iCs w:val="0"/>
          </w:rPr>
          <w:t>4795- دیوان عبد العزیز الجواهری‏</w:t>
        </w:r>
        <w:r>
          <w:tab/>
        </w:r>
        <w:r>
          <w:fldChar w:fldCharType="begin"/>
        </w:r>
        <w:r>
          <w:instrText xml:space="preserve">PAGEREF 5028 \h</w:instrText>
        </w:r>
        <w:r>
          <w:fldChar w:fldCharType="end"/>
        </w:r>
      </w:hyperlink>
    </w:p>
    <w:p>
      <w:pPr>
        <w:tabs>
          <w:tab w:val="right" w:leader="dot" w:pos="9062"/>
        </w:tabs>
        <w:ind w:left="440"/>
      </w:pPr>
      <w:hyperlink w:anchor="_Toc5029" w:history="1">
        <w:r>
          <w:rPr>
            <w:rFonts w:ascii="IRNazanin" w:hAnsi="IRNazanin" w:eastAsia="IRNazanin" w:cs="IRNazanin"/>
            <w:color w:val="111111"/>
            <w:sz w:val="22"/>
            <w:szCs w:val="22"/>
            <w:b w:val="0"/>
            <w:bCs w:val="0"/>
            <w:i w:val="0"/>
            <w:iCs w:val="0"/>
          </w:rPr>
          <w:t>4796- دیوان عبد العزیز نقاش‏</w:t>
        </w:r>
        <w:r>
          <w:tab/>
        </w:r>
        <w:r>
          <w:fldChar w:fldCharType="begin"/>
        </w:r>
        <w:r>
          <w:instrText xml:space="preserve">PAGEREF 5029 \h</w:instrText>
        </w:r>
        <w:r>
          <w:fldChar w:fldCharType="end"/>
        </w:r>
      </w:hyperlink>
    </w:p>
    <w:p>
      <w:pPr>
        <w:tabs>
          <w:tab w:val="right" w:leader="dot" w:pos="9062"/>
        </w:tabs>
        <w:ind w:left="440"/>
      </w:pPr>
      <w:hyperlink w:anchor="_Toc5030" w:history="1">
        <w:r>
          <w:rPr>
            <w:rFonts w:ascii="IRNazanin" w:hAnsi="IRNazanin" w:eastAsia="IRNazanin" w:cs="IRNazanin"/>
            <w:color w:val="111111"/>
            <w:sz w:val="22"/>
            <w:szCs w:val="22"/>
            <w:b w:val="0"/>
            <w:bCs w:val="0"/>
            <w:i w:val="0"/>
            <w:iCs w:val="0"/>
          </w:rPr>
          <w:t>4797- دیوان عبد العزیز خان‏</w:t>
        </w:r>
        <w:r>
          <w:tab/>
        </w:r>
        <w:r>
          <w:fldChar w:fldCharType="begin"/>
        </w:r>
        <w:r>
          <w:instrText xml:space="preserve">PAGEREF 5030 \h</w:instrText>
        </w:r>
        <w:r>
          <w:fldChar w:fldCharType="end"/>
        </w:r>
      </w:hyperlink>
    </w:p>
    <w:p>
      <w:pPr>
        <w:tabs>
          <w:tab w:val="right" w:leader="dot" w:pos="9062"/>
        </w:tabs>
        <w:ind w:left="440"/>
      </w:pPr>
      <w:hyperlink w:anchor="_Toc5031" w:history="1">
        <w:r>
          <w:rPr>
            <w:rFonts w:ascii="IRNazanin" w:hAnsi="IRNazanin" w:eastAsia="IRNazanin" w:cs="IRNazanin"/>
            <w:color w:val="111111"/>
            <w:sz w:val="22"/>
            <w:szCs w:val="22"/>
            <w:b w:val="0"/>
            <w:bCs w:val="0"/>
            <w:i w:val="0"/>
            <w:iCs w:val="0"/>
          </w:rPr>
          <w:t>دیوان الشیخ صفی الدین عبد العزیز</w:t>
        </w:r>
        <w:r>
          <w:tab/>
        </w:r>
        <w:r>
          <w:fldChar w:fldCharType="begin"/>
        </w:r>
        <w:r>
          <w:instrText xml:space="preserve">PAGEREF 5031 \h</w:instrText>
        </w:r>
        <w:r>
          <w:fldChar w:fldCharType="end"/>
        </w:r>
      </w:hyperlink>
    </w:p>
    <w:p>
      <w:pPr>
        <w:tabs>
          <w:tab w:val="right" w:leader="dot" w:pos="9062"/>
        </w:tabs>
        <w:ind w:left="440"/>
      </w:pPr>
      <w:hyperlink w:anchor="_Toc5032" w:history="1">
        <w:r>
          <w:rPr>
            <w:rFonts w:ascii="IRNazanin" w:hAnsi="IRNazanin" w:eastAsia="IRNazanin" w:cs="IRNazanin"/>
            <w:color w:val="111111"/>
            <w:sz w:val="22"/>
            <w:szCs w:val="22"/>
            <w:b w:val="0"/>
            <w:bCs w:val="0"/>
            <w:i w:val="0"/>
            <w:iCs w:val="0"/>
          </w:rPr>
          <w:t>دیوان عبد العظیم أصفهانی‏</w:t>
        </w:r>
        <w:r>
          <w:tab/>
        </w:r>
        <w:r>
          <w:fldChar w:fldCharType="begin"/>
        </w:r>
        <w:r>
          <w:instrText xml:space="preserve">PAGEREF 5032 \h</w:instrText>
        </w:r>
        <w:r>
          <w:fldChar w:fldCharType="end"/>
        </w:r>
      </w:hyperlink>
    </w:p>
    <w:p>
      <w:pPr>
        <w:tabs>
          <w:tab w:val="right" w:leader="dot" w:pos="9062"/>
        </w:tabs>
        <w:ind w:left="440"/>
      </w:pPr>
      <w:hyperlink w:anchor="_Toc5033" w:history="1">
        <w:r>
          <w:rPr>
            <w:rFonts w:ascii="IRNazanin" w:hAnsi="IRNazanin" w:eastAsia="IRNazanin" w:cs="IRNazanin"/>
            <w:color w:val="111111"/>
            <w:sz w:val="22"/>
            <w:szCs w:val="22"/>
            <w:b w:val="0"/>
            <w:bCs w:val="0"/>
            <w:i w:val="0"/>
            <w:iCs w:val="0"/>
          </w:rPr>
          <w:t>4798- دیوان عبد العلی تونی‏</w:t>
        </w:r>
        <w:r>
          <w:tab/>
        </w:r>
        <w:r>
          <w:fldChar w:fldCharType="begin"/>
        </w:r>
        <w:r>
          <w:instrText xml:space="preserve">PAGEREF 5033 \h</w:instrText>
        </w:r>
        <w:r>
          <w:fldChar w:fldCharType="end"/>
        </w:r>
      </w:hyperlink>
    </w:p>
    <w:p>
      <w:pPr>
        <w:tabs>
          <w:tab w:val="right" w:leader="dot" w:pos="9062"/>
        </w:tabs>
        <w:ind w:left="440"/>
      </w:pPr>
      <w:hyperlink w:anchor="_Toc5034" w:history="1">
        <w:r>
          <w:rPr>
            <w:rFonts w:ascii="IRNazanin" w:hAnsi="IRNazanin" w:eastAsia="IRNazanin" w:cs="IRNazanin"/>
            <w:color w:val="111111"/>
            <w:sz w:val="22"/>
            <w:szCs w:val="22"/>
            <w:b w:val="0"/>
            <w:bCs w:val="0"/>
            <w:i w:val="0"/>
            <w:iCs w:val="0"/>
          </w:rPr>
          <w:t>4799- دیوان الشیخ عبد علی الحویزی‏</w:t>
        </w:r>
        <w:r>
          <w:tab/>
        </w:r>
        <w:r>
          <w:fldChar w:fldCharType="begin"/>
        </w:r>
        <w:r>
          <w:instrText xml:space="preserve">PAGEREF 5034 \h</w:instrText>
        </w:r>
        <w:r>
          <w:fldChar w:fldCharType="end"/>
        </w:r>
      </w:hyperlink>
    </w:p>
    <w:p>
      <w:pPr>
        <w:tabs>
          <w:tab w:val="right" w:leader="dot" w:pos="9062"/>
        </w:tabs>
        <w:ind w:left="440"/>
      </w:pPr>
      <w:hyperlink w:anchor="_Toc5035" w:history="1">
        <w:r>
          <w:rPr>
            <w:rFonts w:ascii="IRNazanin" w:hAnsi="IRNazanin" w:eastAsia="IRNazanin" w:cs="IRNazanin"/>
            <w:color w:val="111111"/>
            <w:sz w:val="22"/>
            <w:szCs w:val="22"/>
            <w:b w:val="0"/>
            <w:bCs w:val="0"/>
            <w:i w:val="0"/>
            <w:iCs w:val="0"/>
          </w:rPr>
          <w:t>4800- دیوان عبد العلی حویزی ترکی‏</w:t>
        </w:r>
        <w:r>
          <w:tab/>
        </w:r>
        <w:r>
          <w:fldChar w:fldCharType="begin"/>
        </w:r>
        <w:r>
          <w:instrText xml:space="preserve">PAGEREF 5035 \h</w:instrText>
        </w:r>
        <w:r>
          <w:fldChar w:fldCharType="end"/>
        </w:r>
      </w:hyperlink>
    </w:p>
    <w:p>
      <w:pPr>
        <w:tabs>
          <w:tab w:val="right" w:leader="dot" w:pos="9062"/>
        </w:tabs>
        <w:ind w:left="440"/>
      </w:pPr>
      <w:hyperlink w:anchor="_Toc5036" w:history="1">
        <w:r>
          <w:rPr>
            <w:rFonts w:ascii="IRNazanin" w:hAnsi="IRNazanin" w:eastAsia="IRNazanin" w:cs="IRNazanin"/>
            <w:color w:val="111111"/>
            <w:sz w:val="22"/>
            <w:szCs w:val="22"/>
            <w:b w:val="0"/>
            <w:bCs w:val="0"/>
            <w:i w:val="0"/>
            <w:iCs w:val="0"/>
          </w:rPr>
          <w:t>4801- دیوان عبد العلی الحویزی العربی‏</w:t>
        </w:r>
        <w:r>
          <w:tab/>
        </w:r>
        <w:r>
          <w:fldChar w:fldCharType="begin"/>
        </w:r>
        <w:r>
          <w:instrText xml:space="preserve">PAGEREF 5036 \h</w:instrText>
        </w:r>
        <w:r>
          <w:fldChar w:fldCharType="end"/>
        </w:r>
      </w:hyperlink>
    </w:p>
    <w:p>
      <w:pPr>
        <w:tabs>
          <w:tab w:val="right" w:leader="dot" w:pos="9062"/>
        </w:tabs>
        <w:ind w:left="440"/>
      </w:pPr>
      <w:hyperlink w:anchor="_Toc5037" w:history="1">
        <w:r>
          <w:rPr>
            <w:rFonts w:ascii="IRNazanin" w:hAnsi="IRNazanin" w:eastAsia="IRNazanin" w:cs="IRNazanin"/>
            <w:color w:val="111111"/>
            <w:sz w:val="22"/>
            <w:szCs w:val="22"/>
            <w:b w:val="0"/>
            <w:bCs w:val="0"/>
            <w:i w:val="0"/>
            <w:iCs w:val="0"/>
          </w:rPr>
          <w:t>4802- دیوان عبد العلی حویزی‏</w:t>
        </w:r>
        <w:r>
          <w:tab/>
        </w:r>
        <w:r>
          <w:fldChar w:fldCharType="begin"/>
        </w:r>
        <w:r>
          <w:instrText xml:space="preserve">PAGEREF 5037 \h</w:instrText>
        </w:r>
        <w:r>
          <w:fldChar w:fldCharType="end"/>
        </w:r>
      </w:hyperlink>
    </w:p>
    <w:p>
      <w:pPr>
        <w:tabs>
          <w:tab w:val="right" w:leader="dot" w:pos="9062"/>
        </w:tabs>
        <w:ind w:left="440"/>
      </w:pPr>
      <w:hyperlink w:anchor="_Toc5038" w:history="1">
        <w:r>
          <w:rPr>
            <w:rFonts w:ascii="IRNazanin" w:hAnsi="IRNazanin" w:eastAsia="IRNazanin" w:cs="IRNazanin"/>
            <w:color w:val="111111"/>
            <w:sz w:val="22"/>
            <w:szCs w:val="22"/>
            <w:b w:val="0"/>
            <w:bCs w:val="0"/>
            <w:i w:val="0"/>
            <w:iCs w:val="0"/>
          </w:rPr>
          <w:t>4803- دیوان عبد علی مؤید</w:t>
        </w:r>
        <w:r>
          <w:tab/>
        </w:r>
        <w:r>
          <w:fldChar w:fldCharType="begin"/>
        </w:r>
        <w:r>
          <w:instrText xml:space="preserve">PAGEREF 5038 \h</w:instrText>
        </w:r>
        <w:r>
          <w:fldChar w:fldCharType="end"/>
        </w:r>
      </w:hyperlink>
    </w:p>
    <w:p>
      <w:pPr>
        <w:tabs>
          <w:tab w:val="right" w:leader="dot" w:pos="9062"/>
        </w:tabs>
        <w:ind w:left="440"/>
      </w:pPr>
      <w:hyperlink w:anchor="_Toc5039" w:history="1">
        <w:r>
          <w:rPr>
            <w:rFonts w:ascii="IRNazanin" w:hAnsi="IRNazanin" w:eastAsia="IRNazanin" w:cs="IRNazanin"/>
            <w:color w:val="111111"/>
            <w:sz w:val="22"/>
            <w:szCs w:val="22"/>
            <w:b w:val="0"/>
            <w:bCs w:val="0"/>
            <w:i w:val="0"/>
            <w:iCs w:val="0"/>
          </w:rPr>
          <w:t>دیوان المولی عبد الغفار الهروی‏</w:t>
        </w:r>
        <w:r>
          <w:tab/>
        </w:r>
        <w:r>
          <w:fldChar w:fldCharType="begin"/>
        </w:r>
        <w:r>
          <w:instrText xml:space="preserve">PAGEREF 5039 \h</w:instrText>
        </w:r>
        <w:r>
          <w:fldChar w:fldCharType="end"/>
        </w:r>
      </w:hyperlink>
    </w:p>
    <w:p>
      <w:pPr>
        <w:tabs>
          <w:tab w:val="right" w:leader="dot" w:pos="9062"/>
        </w:tabs>
        <w:ind w:left="440"/>
      </w:pPr>
      <w:hyperlink w:anchor="_Toc5040" w:history="1">
        <w:r>
          <w:rPr>
            <w:rFonts w:ascii="IRNazanin" w:hAnsi="IRNazanin" w:eastAsia="IRNazanin" w:cs="IRNazanin"/>
            <w:color w:val="111111"/>
            <w:sz w:val="22"/>
            <w:szCs w:val="22"/>
            <w:b w:val="0"/>
            <w:bCs w:val="0"/>
            <w:i w:val="0"/>
            <w:iCs w:val="0"/>
          </w:rPr>
          <w:t>4804- دیوان عبد الغفار تاشکندی‏</w:t>
        </w:r>
        <w:r>
          <w:tab/>
        </w:r>
        <w:r>
          <w:fldChar w:fldCharType="begin"/>
        </w:r>
        <w:r>
          <w:instrText xml:space="preserve">PAGEREF 5040 \h</w:instrText>
        </w:r>
        <w:r>
          <w:fldChar w:fldCharType="end"/>
        </w:r>
      </w:hyperlink>
    </w:p>
    <w:p>
      <w:pPr>
        <w:tabs>
          <w:tab w:val="right" w:leader="dot" w:pos="9062"/>
        </w:tabs>
        <w:ind w:left="440"/>
      </w:pPr>
      <w:hyperlink w:anchor="_Toc5041" w:history="1">
        <w:r>
          <w:rPr>
            <w:rFonts w:ascii="IRNazanin" w:hAnsi="IRNazanin" w:eastAsia="IRNazanin" w:cs="IRNazanin"/>
            <w:color w:val="111111"/>
            <w:sz w:val="22"/>
            <w:szCs w:val="22"/>
            <w:b w:val="0"/>
            <w:bCs w:val="0"/>
            <w:i w:val="0"/>
            <w:iCs w:val="0"/>
          </w:rPr>
          <w:t>4805- دیوان عبد الغنی القطیفی‏</w:t>
        </w:r>
        <w:r>
          <w:tab/>
        </w:r>
        <w:r>
          <w:fldChar w:fldCharType="begin"/>
        </w:r>
        <w:r>
          <w:instrText xml:space="preserve">PAGEREF 5041 \h</w:instrText>
        </w:r>
        <w:r>
          <w:fldChar w:fldCharType="end"/>
        </w:r>
      </w:hyperlink>
    </w:p>
    <w:p>
      <w:pPr>
        <w:tabs>
          <w:tab w:val="right" w:leader="dot" w:pos="9062"/>
        </w:tabs>
        <w:ind w:left="440"/>
      </w:pPr>
      <w:hyperlink w:anchor="_Toc5042" w:history="1">
        <w:r>
          <w:rPr>
            <w:rFonts w:ascii="IRNazanin" w:hAnsi="IRNazanin" w:eastAsia="IRNazanin" w:cs="IRNazanin"/>
            <w:color w:val="111111"/>
            <w:sz w:val="22"/>
            <w:szCs w:val="22"/>
            <w:b w:val="0"/>
            <w:bCs w:val="0"/>
            <w:i w:val="0"/>
            <w:iCs w:val="0"/>
          </w:rPr>
          <w:t>4806- دیوان عبد الغفور لاهیجانی‏</w:t>
        </w:r>
        <w:r>
          <w:tab/>
        </w:r>
        <w:r>
          <w:fldChar w:fldCharType="begin"/>
        </w:r>
        <w:r>
          <w:instrText xml:space="preserve">PAGEREF 5042 \h</w:instrText>
        </w:r>
        <w:r>
          <w:fldChar w:fldCharType="end"/>
        </w:r>
      </w:hyperlink>
    </w:p>
    <w:p>
      <w:pPr>
        <w:tabs>
          <w:tab w:val="right" w:leader="dot" w:pos="9062"/>
        </w:tabs>
        <w:ind w:left="440"/>
      </w:pPr>
      <w:hyperlink w:anchor="_Toc5043" w:history="1">
        <w:r>
          <w:rPr>
            <w:rFonts w:ascii="IRNazanin" w:hAnsi="IRNazanin" w:eastAsia="IRNazanin" w:cs="IRNazanin"/>
            <w:color w:val="111111"/>
            <w:sz w:val="22"/>
            <w:szCs w:val="22"/>
            <w:b w:val="0"/>
            <w:bCs w:val="0"/>
            <w:i w:val="0"/>
            <w:iCs w:val="0"/>
          </w:rPr>
          <w:t>4807- دیوان عبد الغفور یزدی‏</w:t>
        </w:r>
        <w:r>
          <w:tab/>
        </w:r>
        <w:r>
          <w:fldChar w:fldCharType="begin"/>
        </w:r>
        <w:r>
          <w:instrText xml:space="preserve">PAGEREF 5043 \h</w:instrText>
        </w:r>
        <w:r>
          <w:fldChar w:fldCharType="end"/>
        </w:r>
      </w:hyperlink>
    </w:p>
    <w:p>
      <w:pPr>
        <w:tabs>
          <w:tab w:val="right" w:leader="dot" w:pos="9062"/>
        </w:tabs>
        <w:ind w:left="440"/>
      </w:pPr>
      <w:hyperlink w:anchor="_Toc5044" w:history="1">
        <w:r>
          <w:rPr>
            <w:rFonts w:ascii="IRNazanin" w:hAnsi="IRNazanin" w:eastAsia="IRNazanin" w:cs="IRNazanin"/>
            <w:color w:val="111111"/>
            <w:sz w:val="22"/>
            <w:szCs w:val="22"/>
            <w:b w:val="0"/>
            <w:bCs w:val="0"/>
            <w:i w:val="0"/>
            <w:iCs w:val="0"/>
          </w:rPr>
          <w:t>دیوان المیر عبد الغفور التفریشی‏</w:t>
        </w:r>
        <w:r>
          <w:tab/>
        </w:r>
        <w:r>
          <w:fldChar w:fldCharType="begin"/>
        </w:r>
        <w:r>
          <w:instrText xml:space="preserve">PAGEREF 5044 \h</w:instrText>
        </w:r>
        <w:r>
          <w:fldChar w:fldCharType="end"/>
        </w:r>
      </w:hyperlink>
    </w:p>
    <w:p>
      <w:pPr>
        <w:tabs>
          <w:tab w:val="right" w:leader="dot" w:pos="9062"/>
        </w:tabs>
        <w:ind w:left="440"/>
      </w:pPr>
      <w:hyperlink w:anchor="_Toc5045" w:history="1">
        <w:r>
          <w:rPr>
            <w:rFonts w:ascii="IRNazanin" w:hAnsi="IRNazanin" w:eastAsia="IRNazanin" w:cs="IRNazanin"/>
            <w:color w:val="111111"/>
            <w:sz w:val="22"/>
            <w:szCs w:val="22"/>
            <w:b w:val="0"/>
            <w:bCs w:val="0"/>
            <w:i w:val="0"/>
            <w:iCs w:val="0"/>
          </w:rPr>
          <w:t>4808- دیوان الشیخ عبد القادر البداونی‏</w:t>
        </w:r>
        <w:r>
          <w:tab/>
        </w:r>
        <w:r>
          <w:fldChar w:fldCharType="begin"/>
        </w:r>
        <w:r>
          <w:instrText xml:space="preserve">PAGEREF 5045 \h</w:instrText>
        </w:r>
        <w:r>
          <w:fldChar w:fldCharType="end"/>
        </w:r>
      </w:hyperlink>
    </w:p>
    <w:p>
      <w:pPr>
        <w:tabs>
          <w:tab w:val="right" w:leader="dot" w:pos="9062"/>
        </w:tabs>
        <w:ind w:left="440"/>
      </w:pPr>
      <w:hyperlink w:anchor="_Toc5046" w:history="1">
        <w:r>
          <w:rPr>
            <w:rFonts w:ascii="IRNazanin" w:hAnsi="IRNazanin" w:eastAsia="IRNazanin" w:cs="IRNazanin"/>
            <w:color w:val="111111"/>
            <w:sz w:val="22"/>
            <w:szCs w:val="22"/>
            <w:b w:val="0"/>
            <w:bCs w:val="0"/>
            <w:i w:val="0"/>
            <w:iCs w:val="0"/>
          </w:rPr>
          <w:t>4809- دیوان المیرزا عبد القادر التونی الأصفهانی‏</w:t>
        </w:r>
        <w:r>
          <w:tab/>
        </w:r>
        <w:r>
          <w:fldChar w:fldCharType="begin"/>
        </w:r>
        <w:r>
          <w:instrText xml:space="preserve">PAGEREF 5046 \h</w:instrText>
        </w:r>
        <w:r>
          <w:fldChar w:fldCharType="end"/>
        </w:r>
      </w:hyperlink>
    </w:p>
    <w:p>
      <w:pPr>
        <w:tabs>
          <w:tab w:val="right" w:leader="dot" w:pos="9062"/>
        </w:tabs>
        <w:ind w:left="440"/>
      </w:pPr>
      <w:hyperlink w:anchor="_Toc5047" w:history="1">
        <w:r>
          <w:rPr>
            <w:rFonts w:ascii="IRNazanin" w:hAnsi="IRNazanin" w:eastAsia="IRNazanin" w:cs="IRNazanin"/>
            <w:color w:val="111111"/>
            <w:sz w:val="22"/>
            <w:szCs w:val="22"/>
            <w:b w:val="0"/>
            <w:bCs w:val="0"/>
            <w:i w:val="0"/>
            <w:iCs w:val="0"/>
          </w:rPr>
          <w:t>4810- دیوان الشیخ عبد القاهر</w:t>
        </w:r>
        <w:r>
          <w:tab/>
        </w:r>
        <w:r>
          <w:fldChar w:fldCharType="begin"/>
        </w:r>
        <w:r>
          <w:instrText xml:space="preserve">PAGEREF 5047 \h</w:instrText>
        </w:r>
        <w:r>
          <w:fldChar w:fldCharType="end"/>
        </w:r>
      </w:hyperlink>
    </w:p>
    <w:p>
      <w:pPr>
        <w:tabs>
          <w:tab w:val="right" w:leader="dot" w:pos="9062"/>
        </w:tabs>
        <w:ind w:left="440"/>
      </w:pPr>
      <w:hyperlink w:anchor="_Toc5048" w:history="1">
        <w:r>
          <w:rPr>
            <w:rFonts w:ascii="IRNazanin" w:hAnsi="IRNazanin" w:eastAsia="IRNazanin" w:cs="IRNazanin"/>
            <w:color w:val="111111"/>
            <w:sz w:val="22"/>
            <w:szCs w:val="22"/>
            <w:b w:val="0"/>
            <w:bCs w:val="0"/>
            <w:i w:val="0"/>
            <w:iCs w:val="0"/>
          </w:rPr>
          <w:t>4811- دیوان عبد القادر نائنی أو شعره‏</w:t>
        </w:r>
        <w:r>
          <w:tab/>
        </w:r>
        <w:r>
          <w:fldChar w:fldCharType="begin"/>
        </w:r>
        <w:r>
          <w:instrText xml:space="preserve">PAGEREF 5048 \h</w:instrText>
        </w:r>
        <w:r>
          <w:fldChar w:fldCharType="end"/>
        </w:r>
      </w:hyperlink>
    </w:p>
    <w:p>
      <w:pPr>
        <w:tabs>
          <w:tab w:val="right" w:leader="dot" w:pos="9062"/>
        </w:tabs>
        <w:ind w:left="440"/>
      </w:pPr>
      <w:hyperlink w:anchor="_Toc5049" w:history="1">
        <w:r>
          <w:rPr>
            <w:rFonts w:ascii="IRNazanin" w:hAnsi="IRNazanin" w:eastAsia="IRNazanin" w:cs="IRNazanin"/>
            <w:color w:val="111111"/>
            <w:sz w:val="22"/>
            <w:szCs w:val="22"/>
            <w:b w:val="0"/>
            <w:bCs w:val="0"/>
            <w:i w:val="0"/>
            <w:iCs w:val="0"/>
          </w:rPr>
          <w:t>4812- دیوان عبد القادر هندی أو شعره‏</w:t>
        </w:r>
        <w:r>
          <w:tab/>
        </w:r>
        <w:r>
          <w:fldChar w:fldCharType="begin"/>
        </w:r>
        <w:r>
          <w:instrText xml:space="preserve">PAGEREF 5049 \h</w:instrText>
        </w:r>
        <w:r>
          <w:fldChar w:fldCharType="end"/>
        </w:r>
      </w:hyperlink>
    </w:p>
    <w:p>
      <w:pPr>
        <w:tabs>
          <w:tab w:val="right" w:leader="dot" w:pos="9062"/>
        </w:tabs>
        <w:ind w:left="440"/>
      </w:pPr>
      <w:hyperlink w:anchor="_Toc5050" w:history="1">
        <w:r>
          <w:rPr>
            <w:rFonts w:ascii="IRNazanin" w:hAnsi="IRNazanin" w:eastAsia="IRNazanin" w:cs="IRNazanin"/>
            <w:color w:val="111111"/>
            <w:sz w:val="22"/>
            <w:szCs w:val="22"/>
            <w:b w:val="0"/>
            <w:bCs w:val="0"/>
            <w:i w:val="0"/>
            <w:iCs w:val="0"/>
          </w:rPr>
          <w:t>4813- دیوان عبد القهار هروی أو شعره‏</w:t>
        </w:r>
        <w:r>
          <w:tab/>
        </w:r>
        <w:r>
          <w:fldChar w:fldCharType="begin"/>
        </w:r>
        <w:r>
          <w:instrText xml:space="preserve">PAGEREF 5050 \h</w:instrText>
        </w:r>
        <w:r>
          <w:fldChar w:fldCharType="end"/>
        </w:r>
      </w:hyperlink>
    </w:p>
    <w:p>
      <w:pPr>
        <w:tabs>
          <w:tab w:val="right" w:leader="dot" w:pos="9062"/>
        </w:tabs>
        <w:ind w:left="440"/>
      </w:pPr>
      <w:hyperlink w:anchor="_Toc5051" w:history="1">
        <w:r>
          <w:rPr>
            <w:rFonts w:ascii="IRNazanin" w:hAnsi="IRNazanin" w:eastAsia="IRNazanin" w:cs="IRNazanin"/>
            <w:color w:val="111111"/>
            <w:sz w:val="22"/>
            <w:szCs w:val="22"/>
            <w:b w:val="0"/>
            <w:bCs w:val="0"/>
            <w:i w:val="0"/>
            <w:iCs w:val="0"/>
          </w:rPr>
          <w:t>4814- دیوان عبد القهار هروی أو شعره‏</w:t>
        </w:r>
        <w:r>
          <w:tab/>
        </w:r>
        <w:r>
          <w:fldChar w:fldCharType="begin"/>
        </w:r>
        <w:r>
          <w:instrText xml:space="preserve">PAGEREF 5051 \h</w:instrText>
        </w:r>
        <w:r>
          <w:fldChar w:fldCharType="end"/>
        </w:r>
      </w:hyperlink>
    </w:p>
    <w:p>
      <w:pPr>
        <w:tabs>
          <w:tab w:val="right" w:leader="dot" w:pos="9062"/>
        </w:tabs>
        <w:ind w:left="440"/>
      </w:pPr>
      <w:hyperlink w:anchor="_Toc5052" w:history="1">
        <w:r>
          <w:rPr>
            <w:rFonts w:ascii="IRNazanin" w:hAnsi="IRNazanin" w:eastAsia="IRNazanin" w:cs="IRNazanin"/>
            <w:color w:val="111111"/>
            <w:sz w:val="22"/>
            <w:szCs w:val="22"/>
            <w:b w:val="0"/>
            <w:bCs w:val="0"/>
            <w:i w:val="0"/>
            <w:iCs w:val="0"/>
          </w:rPr>
          <w:t>4815- دیوان الشیخ عبد الکاظم‏</w:t>
        </w:r>
        <w:r>
          <w:tab/>
        </w:r>
        <w:r>
          <w:fldChar w:fldCharType="begin"/>
        </w:r>
        <w:r>
          <w:instrText xml:space="preserve">PAGEREF 5052 \h</w:instrText>
        </w:r>
        <w:r>
          <w:fldChar w:fldCharType="end"/>
        </w:r>
      </w:hyperlink>
    </w:p>
    <w:p>
      <w:pPr>
        <w:tabs>
          <w:tab w:val="right" w:leader="dot" w:pos="9062"/>
        </w:tabs>
        <w:ind w:left="440"/>
      </w:pPr>
      <w:hyperlink w:anchor="_Toc5053" w:history="1">
        <w:r>
          <w:rPr>
            <w:rFonts w:ascii="IRNazanin" w:hAnsi="IRNazanin" w:eastAsia="IRNazanin" w:cs="IRNazanin"/>
            <w:color w:val="111111"/>
            <w:sz w:val="22"/>
            <w:szCs w:val="22"/>
            <w:b w:val="0"/>
            <w:bCs w:val="0"/>
            <w:i w:val="0"/>
            <w:iCs w:val="0"/>
          </w:rPr>
          <w:t>دیوان عبد الکریم النیشابوری‏</w:t>
        </w:r>
        <w:r>
          <w:tab/>
        </w:r>
        <w:r>
          <w:fldChar w:fldCharType="begin"/>
        </w:r>
        <w:r>
          <w:instrText xml:space="preserve">PAGEREF 5053 \h</w:instrText>
        </w:r>
        <w:r>
          <w:fldChar w:fldCharType="end"/>
        </w:r>
      </w:hyperlink>
    </w:p>
    <w:p>
      <w:pPr>
        <w:tabs>
          <w:tab w:val="right" w:leader="dot" w:pos="9062"/>
        </w:tabs>
        <w:ind w:left="440"/>
      </w:pPr>
      <w:hyperlink w:anchor="_Toc5054" w:history="1">
        <w:r>
          <w:rPr>
            <w:rFonts w:ascii="IRNazanin" w:hAnsi="IRNazanin" w:eastAsia="IRNazanin" w:cs="IRNazanin"/>
            <w:color w:val="111111"/>
            <w:sz w:val="22"/>
            <w:szCs w:val="22"/>
            <w:b w:val="0"/>
            <w:bCs w:val="0"/>
            <w:i w:val="0"/>
            <w:iCs w:val="0"/>
          </w:rPr>
          <w:t>4816- دیوان المیرزا عبد الکریم خان‏</w:t>
        </w:r>
        <w:r>
          <w:tab/>
        </w:r>
        <w:r>
          <w:fldChar w:fldCharType="begin"/>
        </w:r>
        <w:r>
          <w:instrText xml:space="preserve">PAGEREF 5054 \h</w:instrText>
        </w:r>
        <w:r>
          <w:fldChar w:fldCharType="end"/>
        </w:r>
      </w:hyperlink>
    </w:p>
    <w:p>
      <w:pPr>
        <w:tabs>
          <w:tab w:val="right" w:leader="dot" w:pos="9062"/>
        </w:tabs>
        <w:ind w:left="440"/>
      </w:pPr>
      <w:hyperlink w:anchor="_Toc5055" w:history="1">
        <w:r>
          <w:rPr>
            <w:rFonts w:ascii="IRNazanin" w:hAnsi="IRNazanin" w:eastAsia="IRNazanin" w:cs="IRNazanin"/>
            <w:color w:val="111111"/>
            <w:sz w:val="22"/>
            <w:szCs w:val="22"/>
            <w:b w:val="0"/>
            <w:bCs w:val="0"/>
            <w:i w:val="0"/>
            <w:iCs w:val="0"/>
          </w:rPr>
          <w:t>4817- دیوان عبد الکریم الخطاط</w:t>
        </w:r>
        <w:r>
          <w:tab/>
        </w:r>
        <w:r>
          <w:fldChar w:fldCharType="begin"/>
        </w:r>
        <w:r>
          <w:instrText xml:space="preserve">PAGEREF 5055 \h</w:instrText>
        </w:r>
        <w:r>
          <w:fldChar w:fldCharType="end"/>
        </w:r>
      </w:hyperlink>
    </w:p>
    <w:p>
      <w:pPr>
        <w:tabs>
          <w:tab w:val="right" w:leader="dot" w:pos="9062"/>
        </w:tabs>
        <w:ind w:left="440"/>
      </w:pPr>
      <w:hyperlink w:anchor="_Toc5056" w:history="1">
        <w:r>
          <w:rPr>
            <w:rFonts w:ascii="IRNazanin" w:hAnsi="IRNazanin" w:eastAsia="IRNazanin" w:cs="IRNazanin"/>
            <w:color w:val="111111"/>
            <w:sz w:val="22"/>
            <w:szCs w:val="22"/>
            <w:b w:val="0"/>
            <w:bCs w:val="0"/>
            <w:i w:val="0"/>
            <w:iCs w:val="0"/>
          </w:rPr>
          <w:t>4818- دیوان عبد الکریم آل شمس الدین‏</w:t>
        </w:r>
        <w:r>
          <w:tab/>
        </w:r>
        <w:r>
          <w:fldChar w:fldCharType="begin"/>
        </w:r>
        <w:r>
          <w:instrText xml:space="preserve">PAGEREF 5056 \h</w:instrText>
        </w:r>
        <w:r>
          <w:fldChar w:fldCharType="end"/>
        </w:r>
      </w:hyperlink>
    </w:p>
    <w:p>
      <w:pPr>
        <w:tabs>
          <w:tab w:val="right" w:leader="dot" w:pos="9062"/>
        </w:tabs>
        <w:ind w:left="440"/>
      </w:pPr>
      <w:hyperlink w:anchor="_Toc5057" w:history="1">
        <w:r>
          <w:rPr>
            <w:rFonts w:ascii="IRNazanin" w:hAnsi="IRNazanin" w:eastAsia="IRNazanin" w:cs="IRNazanin"/>
            <w:color w:val="111111"/>
            <w:sz w:val="22"/>
            <w:szCs w:val="22"/>
            <w:b w:val="0"/>
            <w:bCs w:val="0"/>
            <w:i w:val="0"/>
            <w:iCs w:val="0"/>
          </w:rPr>
          <w:t>4819- دیوان عبد الکریم الطحان‏</w:t>
        </w:r>
        <w:r>
          <w:tab/>
        </w:r>
        <w:r>
          <w:fldChar w:fldCharType="begin"/>
        </w:r>
        <w:r>
          <w:instrText xml:space="preserve">PAGEREF 5057 \h</w:instrText>
        </w:r>
        <w:r>
          <w:fldChar w:fldCharType="end"/>
        </w:r>
      </w:hyperlink>
    </w:p>
    <w:p>
      <w:pPr>
        <w:tabs>
          <w:tab w:val="right" w:leader="dot" w:pos="9062"/>
        </w:tabs>
        <w:ind w:left="440"/>
      </w:pPr>
      <w:hyperlink w:anchor="_Toc5058" w:history="1">
        <w:r>
          <w:rPr>
            <w:rFonts w:ascii="IRNazanin" w:hAnsi="IRNazanin" w:eastAsia="IRNazanin" w:cs="IRNazanin"/>
            <w:color w:val="111111"/>
            <w:sz w:val="22"/>
            <w:szCs w:val="22"/>
            <w:b w:val="0"/>
            <w:bCs w:val="0"/>
            <w:i w:val="0"/>
            <w:iCs w:val="0"/>
          </w:rPr>
          <w:t>دیوان عبد الکریم سمیرمی‏</w:t>
        </w:r>
        <w:r>
          <w:tab/>
        </w:r>
        <w:r>
          <w:fldChar w:fldCharType="begin"/>
        </w:r>
        <w:r>
          <w:instrText xml:space="preserve">PAGEREF 5058 \h</w:instrText>
        </w:r>
        <w:r>
          <w:fldChar w:fldCharType="end"/>
        </w:r>
      </w:hyperlink>
    </w:p>
    <w:p>
      <w:pPr>
        <w:tabs>
          <w:tab w:val="right" w:leader="dot" w:pos="9062"/>
        </w:tabs>
        <w:ind w:left="440"/>
      </w:pPr>
      <w:hyperlink w:anchor="_Toc5059" w:history="1">
        <w:r>
          <w:rPr>
            <w:rFonts w:ascii="IRNazanin" w:hAnsi="IRNazanin" w:eastAsia="IRNazanin" w:cs="IRNazanin"/>
            <w:color w:val="111111"/>
            <w:sz w:val="22"/>
            <w:szCs w:val="22"/>
            <w:b w:val="0"/>
            <w:bCs w:val="0"/>
            <w:i w:val="0"/>
            <w:iCs w:val="0"/>
          </w:rPr>
          <w:t>دیوان عبد اللطیف بخاری أو شعره‏</w:t>
        </w:r>
        <w:r>
          <w:tab/>
        </w:r>
        <w:r>
          <w:fldChar w:fldCharType="begin"/>
        </w:r>
        <w:r>
          <w:instrText xml:space="preserve">PAGEREF 5059 \h</w:instrText>
        </w:r>
        <w:r>
          <w:fldChar w:fldCharType="end"/>
        </w:r>
      </w:hyperlink>
    </w:p>
    <w:p>
      <w:pPr>
        <w:tabs>
          <w:tab w:val="right" w:leader="dot" w:pos="9062"/>
        </w:tabs>
        <w:ind w:left="440"/>
      </w:pPr>
      <w:hyperlink w:anchor="_Toc5060" w:history="1">
        <w:r>
          <w:rPr>
            <w:rFonts w:ascii="IRNazanin" w:hAnsi="IRNazanin" w:eastAsia="IRNazanin" w:cs="IRNazanin"/>
            <w:color w:val="111111"/>
            <w:sz w:val="22"/>
            <w:szCs w:val="22"/>
            <w:b w:val="0"/>
            <w:bCs w:val="0"/>
            <w:i w:val="0"/>
            <w:iCs w:val="0"/>
          </w:rPr>
          <w:t>دیوان عبد اللطیف پنجابی‏</w:t>
        </w:r>
        <w:r>
          <w:tab/>
        </w:r>
        <w:r>
          <w:fldChar w:fldCharType="begin"/>
        </w:r>
        <w:r>
          <w:instrText xml:space="preserve">PAGEREF 5060 \h</w:instrText>
        </w:r>
        <w:r>
          <w:fldChar w:fldCharType="end"/>
        </w:r>
      </w:hyperlink>
    </w:p>
    <w:p>
      <w:pPr>
        <w:tabs>
          <w:tab w:val="right" w:leader="dot" w:pos="9062"/>
        </w:tabs>
        <w:ind w:left="440"/>
      </w:pPr>
      <w:hyperlink w:anchor="_Toc5061" w:history="1">
        <w:r>
          <w:rPr>
            <w:rFonts w:ascii="IRNazanin" w:hAnsi="IRNazanin" w:eastAsia="IRNazanin" w:cs="IRNazanin"/>
            <w:color w:val="111111"/>
            <w:sz w:val="22"/>
            <w:szCs w:val="22"/>
            <w:b w:val="0"/>
            <w:bCs w:val="0"/>
            <w:i w:val="0"/>
            <w:iCs w:val="0"/>
          </w:rPr>
          <w:t>4820- دیوان عبد اللطیف میرزا أو شعره‏</w:t>
        </w:r>
        <w:r>
          <w:tab/>
        </w:r>
        <w:r>
          <w:fldChar w:fldCharType="begin"/>
        </w:r>
        <w:r>
          <w:instrText xml:space="preserve">PAGEREF 5061 \h</w:instrText>
        </w:r>
        <w:r>
          <w:fldChar w:fldCharType="end"/>
        </w:r>
      </w:hyperlink>
    </w:p>
    <w:p>
      <w:pPr>
        <w:tabs>
          <w:tab w:val="right" w:leader="dot" w:pos="9062"/>
        </w:tabs>
        <w:ind w:left="440"/>
      </w:pPr>
      <w:hyperlink w:anchor="_Toc5062" w:history="1">
        <w:r>
          <w:rPr>
            <w:rFonts w:ascii="IRNazanin" w:hAnsi="IRNazanin" w:eastAsia="IRNazanin" w:cs="IRNazanin"/>
            <w:color w:val="111111"/>
            <w:sz w:val="22"/>
            <w:szCs w:val="22"/>
            <w:b w:val="0"/>
            <w:bCs w:val="0"/>
            <w:i w:val="0"/>
            <w:iCs w:val="0"/>
          </w:rPr>
          <w:t>4821- دیوان عبد الله بن أبی سفیان أو شعره‏</w:t>
        </w:r>
        <w:r>
          <w:tab/>
        </w:r>
        <w:r>
          <w:fldChar w:fldCharType="begin"/>
        </w:r>
        <w:r>
          <w:instrText xml:space="preserve">PAGEREF 5062 \h</w:instrText>
        </w:r>
        <w:r>
          <w:fldChar w:fldCharType="end"/>
        </w:r>
      </w:hyperlink>
    </w:p>
    <w:p>
      <w:pPr>
        <w:tabs>
          <w:tab w:val="right" w:leader="dot" w:pos="9062"/>
        </w:tabs>
        <w:ind w:left="440"/>
      </w:pPr>
      <w:hyperlink w:anchor="_Toc5063" w:history="1">
        <w:r>
          <w:rPr>
            <w:rFonts w:ascii="IRNazanin" w:hAnsi="IRNazanin" w:eastAsia="IRNazanin" w:cs="IRNazanin"/>
            <w:color w:val="111111"/>
            <w:sz w:val="22"/>
            <w:szCs w:val="22"/>
            <w:b w:val="0"/>
            <w:bCs w:val="0"/>
            <w:i w:val="0"/>
            <w:iCs w:val="0"/>
          </w:rPr>
          <w:t>4822- دیوان عبد الله بن أیوب الحریبی أو شعره‏</w:t>
        </w:r>
        <w:r>
          <w:tab/>
        </w:r>
        <w:r>
          <w:fldChar w:fldCharType="begin"/>
        </w:r>
        <w:r>
          <w:instrText xml:space="preserve">PAGEREF 5063 \h</w:instrText>
        </w:r>
        <w:r>
          <w:fldChar w:fldCharType="end"/>
        </w:r>
      </w:hyperlink>
    </w:p>
    <w:p>
      <w:pPr>
        <w:tabs>
          <w:tab w:val="right" w:leader="dot" w:pos="9062"/>
        </w:tabs>
        <w:ind w:left="440"/>
      </w:pPr>
      <w:hyperlink w:anchor="_Toc5064" w:history="1">
        <w:r>
          <w:rPr>
            <w:rFonts w:ascii="IRNazanin" w:hAnsi="IRNazanin" w:eastAsia="IRNazanin" w:cs="IRNazanin"/>
            <w:color w:val="111111"/>
            <w:sz w:val="22"/>
            <w:szCs w:val="22"/>
            <w:b w:val="0"/>
            <w:bCs w:val="0"/>
            <w:i w:val="0"/>
            <w:iCs w:val="0"/>
          </w:rPr>
          <w:t>دیوان عبد الله بن أبی الشیص‏</w:t>
        </w:r>
        <w:r>
          <w:tab/>
        </w:r>
        <w:r>
          <w:fldChar w:fldCharType="begin"/>
        </w:r>
        <w:r>
          <w:instrText xml:space="preserve">PAGEREF 5064 \h</w:instrText>
        </w:r>
        <w:r>
          <w:fldChar w:fldCharType="end"/>
        </w:r>
      </w:hyperlink>
    </w:p>
    <w:p>
      <w:pPr>
        <w:tabs>
          <w:tab w:val="right" w:leader="dot" w:pos="9062"/>
        </w:tabs>
        <w:ind w:left="440"/>
      </w:pPr>
      <w:hyperlink w:anchor="_Toc5065" w:history="1">
        <w:r>
          <w:rPr>
            <w:rFonts w:ascii="IRNazanin" w:hAnsi="IRNazanin" w:eastAsia="IRNazanin" w:cs="IRNazanin"/>
            <w:color w:val="111111"/>
            <w:sz w:val="22"/>
            <w:szCs w:val="22"/>
            <w:b w:val="0"/>
            <w:bCs w:val="0"/>
            <w:i w:val="0"/>
            <w:iCs w:val="0"/>
          </w:rPr>
          <w:t>4823- دیوان عبد الله بن دانیة أو شعره‏</w:t>
        </w:r>
        <w:r>
          <w:tab/>
        </w:r>
        <w:r>
          <w:fldChar w:fldCharType="begin"/>
        </w:r>
        <w:r>
          <w:instrText xml:space="preserve">PAGEREF 5065 \h</w:instrText>
        </w:r>
        <w:r>
          <w:fldChar w:fldCharType="end"/>
        </w:r>
      </w:hyperlink>
    </w:p>
    <w:p>
      <w:pPr>
        <w:tabs>
          <w:tab w:val="right" w:leader="dot" w:pos="9062"/>
        </w:tabs>
        <w:ind w:left="440"/>
      </w:pPr>
      <w:hyperlink w:anchor="_Toc5066" w:history="1">
        <w:r>
          <w:rPr>
            <w:rFonts w:ascii="IRNazanin" w:hAnsi="IRNazanin" w:eastAsia="IRNazanin" w:cs="IRNazanin"/>
            <w:color w:val="111111"/>
            <w:sz w:val="22"/>
            <w:szCs w:val="22"/>
            <w:b w:val="0"/>
            <w:bCs w:val="0"/>
            <w:i w:val="0"/>
            <w:iCs w:val="0"/>
          </w:rPr>
          <w:t>4824- دیوان عبد الله بن علی الحزانی أو شعره‏</w:t>
        </w:r>
        <w:r>
          <w:tab/>
        </w:r>
        <w:r>
          <w:fldChar w:fldCharType="begin"/>
        </w:r>
        <w:r>
          <w:instrText xml:space="preserve">PAGEREF 5066 \h</w:instrText>
        </w:r>
        <w:r>
          <w:fldChar w:fldCharType="end"/>
        </w:r>
      </w:hyperlink>
    </w:p>
    <w:p>
      <w:pPr>
        <w:tabs>
          <w:tab w:val="right" w:leader="dot" w:pos="9062"/>
        </w:tabs>
        <w:ind w:left="440"/>
      </w:pPr>
      <w:hyperlink w:anchor="_Toc5067" w:history="1">
        <w:r>
          <w:rPr>
            <w:rFonts w:ascii="IRNazanin" w:hAnsi="IRNazanin" w:eastAsia="IRNazanin" w:cs="IRNazanin"/>
            <w:color w:val="111111"/>
            <w:sz w:val="22"/>
            <w:szCs w:val="22"/>
            <w:b w:val="0"/>
            <w:bCs w:val="0"/>
            <w:i w:val="0"/>
            <w:iCs w:val="0"/>
          </w:rPr>
          <w:t>4825- دیوان عبد الله بن غالب الأسدی‏</w:t>
        </w:r>
        <w:r>
          <w:tab/>
        </w:r>
        <w:r>
          <w:fldChar w:fldCharType="begin"/>
        </w:r>
        <w:r>
          <w:instrText xml:space="preserve">PAGEREF 5067 \h</w:instrText>
        </w:r>
        <w:r>
          <w:fldChar w:fldCharType="end"/>
        </w:r>
      </w:hyperlink>
    </w:p>
    <w:p>
      <w:pPr>
        <w:tabs>
          <w:tab w:val="right" w:leader="dot" w:pos="9062"/>
        </w:tabs>
        <w:ind w:left="440"/>
      </w:pPr>
      <w:hyperlink w:anchor="_Toc5068" w:history="1">
        <w:r>
          <w:rPr>
            <w:rFonts w:ascii="IRNazanin" w:hAnsi="IRNazanin" w:eastAsia="IRNazanin" w:cs="IRNazanin"/>
            <w:color w:val="111111"/>
            <w:sz w:val="22"/>
            <w:szCs w:val="22"/>
            <w:b w:val="0"/>
            <w:bCs w:val="0"/>
            <w:i w:val="0"/>
            <w:iCs w:val="0"/>
          </w:rPr>
          <w:t>4826- دیوان عبد الله بن مبارک أو شعره‏</w:t>
        </w:r>
        <w:r>
          <w:tab/>
        </w:r>
        <w:r>
          <w:fldChar w:fldCharType="begin"/>
        </w:r>
        <w:r>
          <w:instrText xml:space="preserve">PAGEREF 5068 \h</w:instrText>
        </w:r>
        <w:r>
          <w:fldChar w:fldCharType="end"/>
        </w:r>
      </w:hyperlink>
    </w:p>
    <w:p>
      <w:pPr>
        <w:tabs>
          <w:tab w:val="right" w:leader="dot" w:pos="9062"/>
        </w:tabs>
        <w:ind w:left="440"/>
      </w:pPr>
      <w:hyperlink w:anchor="_Toc5069" w:history="1">
        <w:r>
          <w:rPr>
            <w:rFonts w:ascii="IRNazanin" w:hAnsi="IRNazanin" w:eastAsia="IRNazanin" w:cs="IRNazanin"/>
            <w:color w:val="111111"/>
            <w:sz w:val="22"/>
            <w:szCs w:val="22"/>
            <w:b w:val="0"/>
            <w:bCs w:val="0"/>
            <w:i w:val="0"/>
            <w:iCs w:val="0"/>
          </w:rPr>
          <w:t>4827- دیوان عبد الله بن معاویة أو شعره‏</w:t>
        </w:r>
        <w:r>
          <w:tab/>
        </w:r>
        <w:r>
          <w:fldChar w:fldCharType="begin"/>
        </w:r>
        <w:r>
          <w:instrText xml:space="preserve">PAGEREF 5069 \h</w:instrText>
        </w:r>
        <w:r>
          <w:fldChar w:fldCharType="end"/>
        </w:r>
      </w:hyperlink>
    </w:p>
    <w:p>
      <w:pPr>
        <w:tabs>
          <w:tab w:val="right" w:leader="dot" w:pos="9062"/>
        </w:tabs>
        <w:ind w:left="440"/>
      </w:pPr>
      <w:hyperlink w:anchor="_Toc5070" w:history="1">
        <w:r>
          <w:rPr>
            <w:rFonts w:ascii="IRNazanin" w:hAnsi="IRNazanin" w:eastAsia="IRNazanin" w:cs="IRNazanin"/>
            <w:color w:val="111111"/>
            <w:sz w:val="22"/>
            <w:szCs w:val="22"/>
            <w:b w:val="0"/>
            <w:bCs w:val="0"/>
            <w:i w:val="0"/>
            <w:iCs w:val="0"/>
          </w:rPr>
          <w:t>دیوان عبد الله بن نور الدین الجزائری‏</w:t>
        </w:r>
        <w:r>
          <w:tab/>
        </w:r>
        <w:r>
          <w:fldChar w:fldCharType="begin"/>
        </w:r>
        <w:r>
          <w:instrText xml:space="preserve">PAGEREF 5070 \h</w:instrText>
        </w:r>
        <w:r>
          <w:fldChar w:fldCharType="end"/>
        </w:r>
      </w:hyperlink>
    </w:p>
    <w:p>
      <w:pPr>
        <w:tabs>
          <w:tab w:val="right" w:leader="dot" w:pos="9062"/>
        </w:tabs>
        <w:ind w:left="440"/>
      </w:pPr>
      <w:hyperlink w:anchor="_Toc5071" w:history="1">
        <w:r>
          <w:rPr>
            <w:rFonts w:ascii="IRNazanin" w:hAnsi="IRNazanin" w:eastAsia="IRNazanin" w:cs="IRNazanin"/>
            <w:color w:val="111111"/>
            <w:sz w:val="22"/>
            <w:szCs w:val="22"/>
            <w:b w:val="0"/>
            <w:bCs w:val="0"/>
            <w:i w:val="0"/>
            <w:iCs w:val="0"/>
          </w:rPr>
          <w:t>دیوان عبد الله بن هارون‏</w:t>
        </w:r>
        <w:r>
          <w:tab/>
        </w:r>
        <w:r>
          <w:fldChar w:fldCharType="begin"/>
        </w:r>
        <w:r>
          <w:instrText xml:space="preserve">PAGEREF 5071 \h</w:instrText>
        </w:r>
        <w:r>
          <w:fldChar w:fldCharType="end"/>
        </w:r>
      </w:hyperlink>
    </w:p>
    <w:p>
      <w:pPr>
        <w:tabs>
          <w:tab w:val="right" w:leader="dot" w:pos="9062"/>
        </w:tabs>
        <w:ind w:left="440"/>
      </w:pPr>
      <w:hyperlink w:anchor="_Toc5072" w:history="1">
        <w:r>
          <w:rPr>
            <w:rFonts w:ascii="IRNazanin" w:hAnsi="IRNazanin" w:eastAsia="IRNazanin" w:cs="IRNazanin"/>
            <w:color w:val="111111"/>
            <w:sz w:val="22"/>
            <w:szCs w:val="22"/>
            <w:b w:val="0"/>
            <w:bCs w:val="0"/>
            <w:i w:val="0"/>
            <w:iCs w:val="0"/>
          </w:rPr>
          <w:t>4828- دیوان عبد الله بن همام أو شعره‏</w:t>
        </w:r>
        <w:r>
          <w:tab/>
        </w:r>
        <w:r>
          <w:fldChar w:fldCharType="begin"/>
        </w:r>
        <w:r>
          <w:instrText xml:space="preserve">PAGEREF 5072 \h</w:instrText>
        </w:r>
        <w:r>
          <w:fldChar w:fldCharType="end"/>
        </w:r>
      </w:hyperlink>
    </w:p>
    <w:p>
      <w:pPr>
        <w:tabs>
          <w:tab w:val="right" w:leader="dot" w:pos="9062"/>
        </w:tabs>
        <w:ind w:left="440"/>
      </w:pPr>
      <w:hyperlink w:anchor="_Toc5073" w:history="1">
        <w:r>
          <w:rPr>
            <w:rFonts w:ascii="IRNazanin" w:hAnsi="IRNazanin" w:eastAsia="IRNazanin" w:cs="IRNazanin"/>
            <w:color w:val="111111"/>
            <w:sz w:val="22"/>
            <w:szCs w:val="22"/>
            <w:b w:val="0"/>
            <w:bCs w:val="0"/>
            <w:i w:val="0"/>
            <w:iCs w:val="0"/>
          </w:rPr>
          <w:t>دیوان عبد الله بن یحیی‏</w:t>
        </w:r>
        <w:r>
          <w:tab/>
        </w:r>
        <w:r>
          <w:fldChar w:fldCharType="begin"/>
        </w:r>
        <w:r>
          <w:instrText xml:space="preserve">PAGEREF 5073 \h</w:instrText>
        </w:r>
        <w:r>
          <w:fldChar w:fldCharType="end"/>
        </w:r>
      </w:hyperlink>
    </w:p>
    <w:p>
      <w:pPr>
        <w:tabs>
          <w:tab w:val="right" w:leader="dot" w:pos="9062"/>
        </w:tabs>
        <w:ind w:left="440"/>
      </w:pPr>
      <w:hyperlink w:anchor="_Toc5074" w:history="1">
        <w:r>
          <w:rPr>
            <w:rFonts w:ascii="IRNazanin" w:hAnsi="IRNazanin" w:eastAsia="IRNazanin" w:cs="IRNazanin"/>
            <w:color w:val="111111"/>
            <w:sz w:val="22"/>
            <w:szCs w:val="22"/>
            <w:b w:val="0"/>
            <w:bCs w:val="0"/>
            <w:i w:val="0"/>
            <w:iCs w:val="0"/>
          </w:rPr>
          <w:t>4829- دیوان عبد الله أصفهانی أو شعره‏</w:t>
        </w:r>
        <w:r>
          <w:tab/>
        </w:r>
        <w:r>
          <w:fldChar w:fldCharType="begin"/>
        </w:r>
        <w:r>
          <w:instrText xml:space="preserve">PAGEREF 5074 \h</w:instrText>
        </w:r>
        <w:r>
          <w:fldChar w:fldCharType="end"/>
        </w:r>
      </w:hyperlink>
    </w:p>
    <w:p>
      <w:pPr>
        <w:tabs>
          <w:tab w:val="right" w:leader="dot" w:pos="9062"/>
        </w:tabs>
        <w:ind w:left="440"/>
      </w:pPr>
      <w:hyperlink w:anchor="_Toc5075" w:history="1">
        <w:r>
          <w:rPr>
            <w:rFonts w:ascii="IRNazanin" w:hAnsi="IRNazanin" w:eastAsia="IRNazanin" w:cs="IRNazanin"/>
            <w:color w:val="111111"/>
            <w:sz w:val="22"/>
            <w:szCs w:val="22"/>
            <w:b w:val="0"/>
            <w:bCs w:val="0"/>
            <w:i w:val="0"/>
            <w:iCs w:val="0"/>
          </w:rPr>
          <w:t>4830- دیوان عبد الله أفشان أو شعره‏</w:t>
        </w:r>
        <w:r>
          <w:tab/>
        </w:r>
        <w:r>
          <w:fldChar w:fldCharType="begin"/>
        </w:r>
        <w:r>
          <w:instrText xml:space="preserve">PAGEREF 5075 \h</w:instrText>
        </w:r>
        <w:r>
          <w:fldChar w:fldCharType="end"/>
        </w:r>
      </w:hyperlink>
    </w:p>
    <w:p>
      <w:pPr>
        <w:tabs>
          <w:tab w:val="right" w:leader="dot" w:pos="9062"/>
        </w:tabs>
        <w:ind w:left="440"/>
      </w:pPr>
      <w:hyperlink w:anchor="_Toc5076" w:history="1">
        <w:r>
          <w:rPr>
            <w:rFonts w:ascii="IRNazanin" w:hAnsi="IRNazanin" w:eastAsia="IRNazanin" w:cs="IRNazanin"/>
            <w:color w:val="111111"/>
            <w:sz w:val="22"/>
            <w:szCs w:val="22"/>
            <w:b w:val="0"/>
            <w:bCs w:val="0"/>
            <w:i w:val="0"/>
            <w:iCs w:val="0"/>
          </w:rPr>
          <w:t>دیوان عبد الله أنصاری‏</w:t>
        </w:r>
        <w:r>
          <w:tab/>
        </w:r>
        <w:r>
          <w:fldChar w:fldCharType="begin"/>
        </w:r>
        <w:r>
          <w:instrText xml:space="preserve">PAGEREF 5076 \h</w:instrText>
        </w:r>
        <w:r>
          <w:fldChar w:fldCharType="end"/>
        </w:r>
      </w:hyperlink>
    </w:p>
    <w:p>
      <w:pPr>
        <w:tabs>
          <w:tab w:val="right" w:leader="dot" w:pos="9062"/>
        </w:tabs>
        <w:ind w:left="440"/>
      </w:pPr>
      <w:hyperlink w:anchor="_Toc5077" w:history="1">
        <w:r>
          <w:rPr>
            <w:rFonts w:ascii="IRNazanin" w:hAnsi="IRNazanin" w:eastAsia="IRNazanin" w:cs="IRNazanin"/>
            <w:color w:val="111111"/>
            <w:sz w:val="22"/>
            <w:szCs w:val="22"/>
            <w:b w:val="0"/>
            <w:bCs w:val="0"/>
            <w:i w:val="0"/>
            <w:iCs w:val="0"/>
          </w:rPr>
          <w:t>4831- دیوان السید عبد الله البحرانی أو شعره‏</w:t>
        </w:r>
        <w:r>
          <w:tab/>
        </w:r>
        <w:r>
          <w:fldChar w:fldCharType="begin"/>
        </w:r>
        <w:r>
          <w:instrText xml:space="preserve">PAGEREF 5077 \h</w:instrText>
        </w:r>
        <w:r>
          <w:fldChar w:fldCharType="end"/>
        </w:r>
      </w:hyperlink>
    </w:p>
    <w:p>
      <w:pPr>
        <w:tabs>
          <w:tab w:val="right" w:leader="dot" w:pos="9062"/>
        </w:tabs>
        <w:ind w:left="440"/>
      </w:pPr>
      <w:hyperlink w:anchor="_Toc5078" w:history="1">
        <w:r>
          <w:rPr>
            <w:rFonts w:ascii="IRNazanin" w:hAnsi="IRNazanin" w:eastAsia="IRNazanin" w:cs="IRNazanin"/>
            <w:color w:val="111111"/>
            <w:sz w:val="22"/>
            <w:szCs w:val="22"/>
            <w:b w:val="0"/>
            <w:bCs w:val="0"/>
            <w:i w:val="0"/>
            <w:iCs w:val="0"/>
          </w:rPr>
          <w:t>4832- دیوان عبد الله بلیانی أو شعره‏</w:t>
        </w:r>
        <w:r>
          <w:tab/>
        </w:r>
        <w:r>
          <w:fldChar w:fldCharType="begin"/>
        </w:r>
        <w:r>
          <w:instrText xml:space="preserve">PAGEREF 5078 \h</w:instrText>
        </w:r>
        <w:r>
          <w:fldChar w:fldCharType="end"/>
        </w:r>
      </w:hyperlink>
    </w:p>
    <w:p>
      <w:pPr>
        <w:tabs>
          <w:tab w:val="right" w:leader="dot" w:pos="9062"/>
        </w:tabs>
        <w:ind w:left="440"/>
      </w:pPr>
      <w:hyperlink w:anchor="_Toc5079" w:history="1">
        <w:r>
          <w:rPr>
            <w:rFonts w:ascii="IRNazanin" w:hAnsi="IRNazanin" w:eastAsia="IRNazanin" w:cs="IRNazanin"/>
            <w:color w:val="111111"/>
            <w:sz w:val="22"/>
            <w:szCs w:val="22"/>
            <w:b w:val="0"/>
            <w:bCs w:val="0"/>
            <w:i w:val="0"/>
            <w:iCs w:val="0"/>
          </w:rPr>
          <w:t>دیوان عبد الله بیانی‏</w:t>
        </w:r>
        <w:r>
          <w:tab/>
        </w:r>
        <w:r>
          <w:fldChar w:fldCharType="begin"/>
        </w:r>
        <w:r>
          <w:instrText xml:space="preserve">PAGEREF 5079 \h</w:instrText>
        </w:r>
        <w:r>
          <w:fldChar w:fldCharType="end"/>
        </w:r>
      </w:hyperlink>
    </w:p>
    <w:p>
      <w:pPr>
        <w:tabs>
          <w:tab w:val="right" w:leader="dot" w:pos="9062"/>
        </w:tabs>
        <w:ind w:left="440"/>
      </w:pPr>
      <w:hyperlink w:anchor="_Toc5080" w:history="1">
        <w:r>
          <w:rPr>
            <w:rFonts w:ascii="IRNazanin" w:hAnsi="IRNazanin" w:eastAsia="IRNazanin" w:cs="IRNazanin"/>
            <w:color w:val="111111"/>
            <w:sz w:val="22"/>
            <w:szCs w:val="22"/>
            <w:b w:val="0"/>
            <w:bCs w:val="0"/>
            <w:i w:val="0"/>
            <w:iCs w:val="0"/>
          </w:rPr>
          <w:t>4833- دیوان عبد الله ترخانی أو شعره‏</w:t>
        </w:r>
        <w:r>
          <w:tab/>
        </w:r>
        <w:r>
          <w:fldChar w:fldCharType="begin"/>
        </w:r>
        <w:r>
          <w:instrText xml:space="preserve">PAGEREF 5080 \h</w:instrText>
        </w:r>
        <w:r>
          <w:fldChar w:fldCharType="end"/>
        </w:r>
      </w:hyperlink>
    </w:p>
    <w:p>
      <w:pPr>
        <w:tabs>
          <w:tab w:val="right" w:leader="dot" w:pos="9062"/>
        </w:tabs>
        <w:ind w:left="440"/>
      </w:pPr>
      <w:hyperlink w:anchor="_Toc5081" w:history="1">
        <w:r>
          <w:rPr>
            <w:rFonts w:ascii="IRNazanin" w:hAnsi="IRNazanin" w:eastAsia="IRNazanin" w:cs="IRNazanin"/>
            <w:color w:val="111111"/>
            <w:sz w:val="22"/>
            <w:szCs w:val="22"/>
            <w:b w:val="0"/>
            <w:bCs w:val="0"/>
            <w:i w:val="0"/>
            <w:iCs w:val="0"/>
          </w:rPr>
          <w:t>4834- دیوان الحاج عبد الله‏</w:t>
        </w:r>
        <w:r>
          <w:tab/>
        </w:r>
        <w:r>
          <w:fldChar w:fldCharType="begin"/>
        </w:r>
        <w:r>
          <w:instrText xml:space="preserve">PAGEREF 5081 \h</w:instrText>
        </w:r>
        <w:r>
          <w:fldChar w:fldCharType="end"/>
        </w:r>
      </w:hyperlink>
    </w:p>
    <w:p>
      <w:pPr>
        <w:tabs>
          <w:tab w:val="right" w:leader="dot" w:pos="9062"/>
        </w:tabs>
        <w:ind w:left="440"/>
      </w:pPr>
      <w:hyperlink w:anchor="_Toc5082" w:history="1">
        <w:r>
          <w:rPr>
            <w:rFonts w:ascii="IRNazanin" w:hAnsi="IRNazanin" w:eastAsia="IRNazanin" w:cs="IRNazanin"/>
            <w:color w:val="111111"/>
            <w:sz w:val="22"/>
            <w:szCs w:val="22"/>
            <w:b w:val="0"/>
            <w:bCs w:val="0"/>
            <w:i w:val="0"/>
            <w:iCs w:val="0"/>
          </w:rPr>
          <w:t>دیوان عبد الله‏</w:t>
        </w:r>
        <w:r>
          <w:tab/>
        </w:r>
        <w:r>
          <w:fldChar w:fldCharType="begin"/>
        </w:r>
        <w:r>
          <w:instrText xml:space="preserve">PAGEREF 5082 \h</w:instrText>
        </w:r>
        <w:r>
          <w:fldChar w:fldCharType="end"/>
        </w:r>
      </w:hyperlink>
    </w:p>
    <w:p>
      <w:pPr>
        <w:tabs>
          <w:tab w:val="right" w:leader="dot" w:pos="9062"/>
        </w:tabs>
        <w:ind w:left="440"/>
      </w:pPr>
      <w:hyperlink w:anchor="_Toc5083" w:history="1">
        <w:r>
          <w:rPr>
            <w:rFonts w:ascii="IRNazanin" w:hAnsi="IRNazanin" w:eastAsia="IRNazanin" w:cs="IRNazanin"/>
            <w:color w:val="111111"/>
            <w:sz w:val="22"/>
            <w:szCs w:val="22"/>
            <w:b w:val="0"/>
            <w:bCs w:val="0"/>
            <w:i w:val="0"/>
            <w:iCs w:val="0"/>
          </w:rPr>
          <w:t>دیوان عبد الله الجزائری‏</w:t>
        </w:r>
        <w:r>
          <w:tab/>
        </w:r>
        <w:r>
          <w:fldChar w:fldCharType="begin"/>
        </w:r>
        <w:r>
          <w:instrText xml:space="preserve">PAGEREF 5083 \h</w:instrText>
        </w:r>
        <w:r>
          <w:fldChar w:fldCharType="end"/>
        </w:r>
      </w:hyperlink>
    </w:p>
    <w:p>
      <w:pPr>
        <w:tabs>
          <w:tab w:val="right" w:leader="dot" w:pos="9062"/>
        </w:tabs>
        <w:ind w:left="440"/>
      </w:pPr>
      <w:hyperlink w:anchor="_Toc5084" w:history="1">
        <w:r>
          <w:rPr>
            <w:rFonts w:ascii="IRNazanin" w:hAnsi="IRNazanin" w:eastAsia="IRNazanin" w:cs="IRNazanin"/>
            <w:color w:val="111111"/>
            <w:sz w:val="22"/>
            <w:szCs w:val="22"/>
            <w:b w:val="0"/>
            <w:bCs w:val="0"/>
            <w:i w:val="0"/>
            <w:iCs w:val="0"/>
          </w:rPr>
          <w:t>4835- دیوان عبد الله چشمه مالان أو شعره‏</w:t>
        </w:r>
        <w:r>
          <w:tab/>
        </w:r>
        <w:r>
          <w:fldChar w:fldCharType="begin"/>
        </w:r>
        <w:r>
          <w:instrText xml:space="preserve">PAGEREF 5084 \h</w:instrText>
        </w:r>
        <w:r>
          <w:fldChar w:fldCharType="end"/>
        </w:r>
      </w:hyperlink>
    </w:p>
    <w:p>
      <w:pPr>
        <w:tabs>
          <w:tab w:val="right" w:leader="dot" w:pos="9062"/>
        </w:tabs>
        <w:ind w:left="440"/>
      </w:pPr>
      <w:hyperlink w:anchor="_Toc5085" w:history="1">
        <w:r>
          <w:rPr>
            <w:rFonts w:ascii="IRNazanin" w:hAnsi="IRNazanin" w:eastAsia="IRNazanin" w:cs="IRNazanin"/>
            <w:color w:val="111111"/>
            <w:sz w:val="22"/>
            <w:szCs w:val="22"/>
            <w:b w:val="0"/>
            <w:bCs w:val="0"/>
            <w:i w:val="0"/>
            <w:iCs w:val="0"/>
          </w:rPr>
          <w:t>4836- دیوان عبد الله چکنی أو شعره‏</w:t>
        </w:r>
        <w:r>
          <w:tab/>
        </w:r>
        <w:r>
          <w:fldChar w:fldCharType="begin"/>
        </w:r>
        <w:r>
          <w:instrText xml:space="preserve">PAGEREF 5085 \h</w:instrText>
        </w:r>
        <w:r>
          <w:fldChar w:fldCharType="end"/>
        </w:r>
      </w:hyperlink>
    </w:p>
    <w:p>
      <w:pPr>
        <w:tabs>
          <w:tab w:val="right" w:leader="dot" w:pos="9062"/>
        </w:tabs>
        <w:ind w:left="440"/>
      </w:pPr>
      <w:hyperlink w:anchor="_Toc5086" w:history="1">
        <w:r>
          <w:rPr>
            <w:rFonts w:ascii="IRNazanin" w:hAnsi="IRNazanin" w:eastAsia="IRNazanin" w:cs="IRNazanin"/>
            <w:color w:val="111111"/>
            <w:sz w:val="22"/>
            <w:szCs w:val="22"/>
            <w:b w:val="0"/>
            <w:bCs w:val="0"/>
            <w:i w:val="0"/>
            <w:iCs w:val="0"/>
          </w:rPr>
          <w:t>4837- دیوان الشیخ عبد الله الحویزی أو شعره‏</w:t>
        </w:r>
        <w:r>
          <w:tab/>
        </w:r>
        <w:r>
          <w:fldChar w:fldCharType="begin"/>
        </w:r>
        <w:r>
          <w:instrText xml:space="preserve">PAGEREF 5086 \h</w:instrText>
        </w:r>
        <w:r>
          <w:fldChar w:fldCharType="end"/>
        </w:r>
      </w:hyperlink>
    </w:p>
    <w:p>
      <w:pPr>
        <w:tabs>
          <w:tab w:val="right" w:leader="dot" w:pos="9062"/>
        </w:tabs>
        <w:ind w:left="440"/>
      </w:pPr>
      <w:hyperlink w:anchor="_Toc5087" w:history="1">
        <w:r>
          <w:rPr>
            <w:rFonts w:ascii="IRNazanin" w:hAnsi="IRNazanin" w:eastAsia="IRNazanin" w:cs="IRNazanin"/>
            <w:color w:val="111111"/>
            <w:sz w:val="22"/>
            <w:szCs w:val="22"/>
            <w:b w:val="0"/>
            <w:bCs w:val="0"/>
            <w:i w:val="0"/>
            <w:iCs w:val="0"/>
          </w:rPr>
          <w:t>4838- دیوان السید عبد الله الحیدری‏</w:t>
        </w:r>
        <w:r>
          <w:tab/>
        </w:r>
        <w:r>
          <w:fldChar w:fldCharType="begin"/>
        </w:r>
        <w:r>
          <w:instrText xml:space="preserve">PAGEREF 5087 \h</w:instrText>
        </w:r>
        <w:r>
          <w:fldChar w:fldCharType="end"/>
        </w:r>
      </w:hyperlink>
    </w:p>
    <w:p>
      <w:pPr>
        <w:tabs>
          <w:tab w:val="right" w:leader="dot" w:pos="9062"/>
        </w:tabs>
        <w:ind w:left="440"/>
      </w:pPr>
      <w:hyperlink w:anchor="_Toc5088" w:history="1">
        <w:r>
          <w:rPr>
            <w:rFonts w:ascii="IRNazanin" w:hAnsi="IRNazanin" w:eastAsia="IRNazanin" w:cs="IRNazanin"/>
            <w:color w:val="111111"/>
            <w:sz w:val="22"/>
            <w:szCs w:val="22"/>
            <w:b w:val="0"/>
            <w:bCs w:val="0"/>
            <w:i w:val="0"/>
            <w:iCs w:val="0"/>
          </w:rPr>
          <w:t>دیوان عبد الله خبوشانی‏</w:t>
        </w:r>
        <w:r>
          <w:tab/>
        </w:r>
        <w:r>
          <w:fldChar w:fldCharType="begin"/>
        </w:r>
        <w:r>
          <w:instrText xml:space="preserve">PAGEREF 5088 \h</w:instrText>
        </w:r>
        <w:r>
          <w:fldChar w:fldCharType="end"/>
        </w:r>
      </w:hyperlink>
    </w:p>
    <w:p>
      <w:pPr>
        <w:tabs>
          <w:tab w:val="right" w:leader="dot" w:pos="9062"/>
        </w:tabs>
        <w:ind w:left="440"/>
      </w:pPr>
      <w:hyperlink w:anchor="_Toc5089" w:history="1">
        <w:r>
          <w:rPr>
            <w:rFonts w:ascii="IRNazanin" w:hAnsi="IRNazanin" w:eastAsia="IRNazanin" w:cs="IRNazanin"/>
            <w:color w:val="111111"/>
            <w:sz w:val="22"/>
            <w:szCs w:val="22"/>
            <w:b w:val="0"/>
            <w:bCs w:val="0"/>
            <w:i w:val="0"/>
            <w:iCs w:val="0"/>
          </w:rPr>
          <w:t>4839- دیوان الشیخ عبد الله الخفاجی أو شعره‏</w:t>
        </w:r>
        <w:r>
          <w:tab/>
        </w:r>
        <w:r>
          <w:fldChar w:fldCharType="begin"/>
        </w:r>
        <w:r>
          <w:instrText xml:space="preserve">PAGEREF 5089 \h</w:instrText>
        </w:r>
        <w:r>
          <w:fldChar w:fldCharType="end"/>
        </w:r>
      </w:hyperlink>
    </w:p>
    <w:p>
      <w:pPr>
        <w:tabs>
          <w:tab w:val="right" w:leader="dot" w:pos="9062"/>
        </w:tabs>
        <w:ind w:left="440"/>
      </w:pPr>
      <w:hyperlink w:anchor="_Toc5090" w:history="1">
        <w:r>
          <w:rPr>
            <w:rFonts w:ascii="IRNazanin" w:hAnsi="IRNazanin" w:eastAsia="IRNazanin" w:cs="IRNazanin"/>
            <w:color w:val="111111"/>
            <w:sz w:val="22"/>
            <w:szCs w:val="22"/>
            <w:b w:val="0"/>
            <w:bCs w:val="0"/>
            <w:i w:val="0"/>
            <w:iCs w:val="0"/>
          </w:rPr>
          <w:t>4840- دیوان الشیخ عبد الله الختلانی‏</w:t>
        </w:r>
        <w:r>
          <w:tab/>
        </w:r>
        <w:r>
          <w:fldChar w:fldCharType="begin"/>
        </w:r>
        <w:r>
          <w:instrText xml:space="preserve">PAGEREF 5090 \h</w:instrText>
        </w:r>
        <w:r>
          <w:fldChar w:fldCharType="end"/>
        </w:r>
      </w:hyperlink>
    </w:p>
    <w:p>
      <w:pPr>
        <w:tabs>
          <w:tab w:val="right" w:leader="dot" w:pos="9062"/>
        </w:tabs>
        <w:ind w:left="440"/>
      </w:pPr>
      <w:hyperlink w:anchor="_Toc5091" w:history="1">
        <w:r>
          <w:rPr>
            <w:rFonts w:ascii="IRNazanin" w:hAnsi="IRNazanin" w:eastAsia="IRNazanin" w:cs="IRNazanin"/>
            <w:color w:val="111111"/>
            <w:sz w:val="22"/>
            <w:szCs w:val="22"/>
            <w:b w:val="0"/>
            <w:bCs w:val="0"/>
            <w:i w:val="0"/>
            <w:iCs w:val="0"/>
          </w:rPr>
          <w:t>4841- دیوان عبد الله خویی أو شعره‏</w:t>
        </w:r>
        <w:r>
          <w:tab/>
        </w:r>
        <w:r>
          <w:fldChar w:fldCharType="begin"/>
        </w:r>
        <w:r>
          <w:instrText xml:space="preserve">PAGEREF 5091 \h</w:instrText>
        </w:r>
        <w:r>
          <w:fldChar w:fldCharType="end"/>
        </w:r>
      </w:hyperlink>
    </w:p>
    <w:p>
      <w:pPr>
        <w:tabs>
          <w:tab w:val="right" w:leader="dot" w:pos="9062"/>
        </w:tabs>
        <w:ind w:left="440"/>
      </w:pPr>
      <w:hyperlink w:anchor="_Toc5092" w:history="1">
        <w:r>
          <w:rPr>
            <w:rFonts w:ascii="IRNazanin" w:hAnsi="IRNazanin" w:eastAsia="IRNazanin" w:cs="IRNazanin"/>
            <w:color w:val="111111"/>
            <w:sz w:val="22"/>
            <w:szCs w:val="22"/>
            <w:b w:val="0"/>
            <w:bCs w:val="0"/>
            <w:i w:val="0"/>
            <w:iCs w:val="0"/>
          </w:rPr>
          <w:t>دیوان عبد الله رازی‏</w:t>
        </w:r>
        <w:r>
          <w:tab/>
        </w:r>
        <w:r>
          <w:fldChar w:fldCharType="begin"/>
        </w:r>
        <w:r>
          <w:instrText xml:space="preserve">PAGEREF 5092 \h</w:instrText>
        </w:r>
        <w:r>
          <w:fldChar w:fldCharType="end"/>
        </w:r>
      </w:hyperlink>
    </w:p>
    <w:p>
      <w:pPr>
        <w:tabs>
          <w:tab w:val="right" w:leader="dot" w:pos="9062"/>
        </w:tabs>
        <w:ind w:left="440"/>
      </w:pPr>
      <w:hyperlink w:anchor="_Toc5093" w:history="1">
        <w:r>
          <w:rPr>
            <w:rFonts w:ascii="IRNazanin" w:hAnsi="IRNazanin" w:eastAsia="IRNazanin" w:cs="IRNazanin"/>
            <w:color w:val="111111"/>
            <w:sz w:val="22"/>
            <w:szCs w:val="22"/>
            <w:b w:val="0"/>
            <w:bCs w:val="0"/>
            <w:i w:val="0"/>
            <w:iCs w:val="0"/>
          </w:rPr>
          <w:t>4842- دیوان المنصور بالله عبد الله الزیدی أو شعره‏</w:t>
        </w:r>
        <w:r>
          <w:tab/>
        </w:r>
        <w:r>
          <w:fldChar w:fldCharType="begin"/>
        </w:r>
        <w:r>
          <w:instrText xml:space="preserve">PAGEREF 5093 \h</w:instrText>
        </w:r>
        <w:r>
          <w:fldChar w:fldCharType="end"/>
        </w:r>
      </w:hyperlink>
    </w:p>
    <w:p>
      <w:pPr>
        <w:tabs>
          <w:tab w:val="right" w:leader="dot" w:pos="9062"/>
        </w:tabs>
        <w:ind w:left="440"/>
      </w:pPr>
      <w:hyperlink w:anchor="_Toc5094" w:history="1">
        <w:r>
          <w:rPr>
            <w:rFonts w:ascii="IRNazanin" w:hAnsi="IRNazanin" w:eastAsia="IRNazanin" w:cs="IRNazanin"/>
            <w:color w:val="111111"/>
            <w:sz w:val="22"/>
            <w:szCs w:val="22"/>
            <w:b w:val="0"/>
            <w:bCs w:val="0"/>
            <w:i w:val="0"/>
            <w:iCs w:val="0"/>
          </w:rPr>
          <w:t>4843- دیوان عبد الله سودایی أردکانی أو شعره‏</w:t>
        </w:r>
        <w:r>
          <w:tab/>
        </w:r>
        <w:r>
          <w:fldChar w:fldCharType="begin"/>
        </w:r>
        <w:r>
          <w:instrText xml:space="preserve">PAGEREF 5094 \h</w:instrText>
        </w:r>
        <w:r>
          <w:fldChar w:fldCharType="end"/>
        </w:r>
      </w:hyperlink>
    </w:p>
    <w:p>
      <w:pPr>
        <w:tabs>
          <w:tab w:val="right" w:leader="dot" w:pos="9062"/>
        </w:tabs>
        <w:ind w:left="440"/>
      </w:pPr>
      <w:hyperlink w:anchor="_Toc5095" w:history="1">
        <w:r>
          <w:rPr>
            <w:rFonts w:ascii="IRNazanin" w:hAnsi="IRNazanin" w:eastAsia="IRNazanin" w:cs="IRNazanin"/>
            <w:color w:val="111111"/>
            <w:sz w:val="22"/>
            <w:szCs w:val="22"/>
            <w:b w:val="0"/>
            <w:bCs w:val="0"/>
            <w:i w:val="0"/>
            <w:iCs w:val="0"/>
          </w:rPr>
          <w:t>4844- دیوان السید عبد الله شبابه البحرانی أو شعره‏</w:t>
        </w:r>
        <w:r>
          <w:tab/>
        </w:r>
        <w:r>
          <w:fldChar w:fldCharType="begin"/>
        </w:r>
        <w:r>
          <w:instrText xml:space="preserve">PAGEREF 5095 \h</w:instrText>
        </w:r>
        <w:r>
          <w:fldChar w:fldCharType="end"/>
        </w:r>
      </w:hyperlink>
    </w:p>
    <w:p>
      <w:pPr>
        <w:tabs>
          <w:tab w:val="right" w:leader="dot" w:pos="9062"/>
        </w:tabs>
        <w:ind w:left="440"/>
      </w:pPr>
      <w:hyperlink w:anchor="_Toc5096" w:history="1">
        <w:r>
          <w:rPr>
            <w:rFonts w:ascii="IRNazanin" w:hAnsi="IRNazanin" w:eastAsia="IRNazanin" w:cs="IRNazanin"/>
            <w:color w:val="111111"/>
            <w:sz w:val="22"/>
            <w:szCs w:val="22"/>
            <w:b w:val="0"/>
            <w:bCs w:val="0"/>
            <w:i w:val="0"/>
            <w:iCs w:val="0"/>
          </w:rPr>
          <w:t>4845- دیوان الشیخ عبد الله الشبستری‏</w:t>
        </w:r>
        <w:r>
          <w:tab/>
        </w:r>
        <w:r>
          <w:fldChar w:fldCharType="begin"/>
        </w:r>
        <w:r>
          <w:instrText xml:space="preserve">PAGEREF 5096 \h</w:instrText>
        </w:r>
        <w:r>
          <w:fldChar w:fldCharType="end"/>
        </w:r>
      </w:hyperlink>
    </w:p>
    <w:p>
      <w:pPr>
        <w:tabs>
          <w:tab w:val="right" w:leader="dot" w:pos="9062"/>
        </w:tabs>
        <w:ind w:left="440"/>
      </w:pPr>
      <w:hyperlink w:anchor="_Toc5097" w:history="1">
        <w:r>
          <w:rPr>
            <w:rFonts w:ascii="IRNazanin" w:hAnsi="IRNazanin" w:eastAsia="IRNazanin" w:cs="IRNazanin"/>
            <w:color w:val="111111"/>
            <w:sz w:val="22"/>
            <w:szCs w:val="22"/>
            <w:b w:val="0"/>
            <w:bCs w:val="0"/>
            <w:i w:val="0"/>
            <w:iCs w:val="0"/>
          </w:rPr>
          <w:t>4846- دیوان السید عبد الله الشهابی‏</w:t>
        </w:r>
        <w:r>
          <w:tab/>
        </w:r>
        <w:r>
          <w:fldChar w:fldCharType="begin"/>
        </w:r>
        <w:r>
          <w:instrText xml:space="preserve">PAGEREF 5097 \h</w:instrText>
        </w:r>
        <w:r>
          <w:fldChar w:fldCharType="end"/>
        </w:r>
      </w:hyperlink>
    </w:p>
    <w:p>
      <w:pPr>
        <w:tabs>
          <w:tab w:val="right" w:leader="dot" w:pos="9062"/>
        </w:tabs>
        <w:ind w:left="440"/>
      </w:pPr>
      <w:hyperlink w:anchor="_Toc5098" w:history="1">
        <w:r>
          <w:rPr>
            <w:rFonts w:ascii="IRNazanin" w:hAnsi="IRNazanin" w:eastAsia="IRNazanin" w:cs="IRNazanin"/>
            <w:color w:val="111111"/>
            <w:sz w:val="22"/>
            <w:szCs w:val="22"/>
            <w:b w:val="0"/>
            <w:bCs w:val="0"/>
            <w:i w:val="0"/>
            <w:iCs w:val="0"/>
          </w:rPr>
          <w:t>دیوان المیرزا عبد الله الشهرستانی‏</w:t>
        </w:r>
        <w:r>
          <w:tab/>
        </w:r>
        <w:r>
          <w:fldChar w:fldCharType="begin"/>
        </w:r>
        <w:r>
          <w:instrText xml:space="preserve">PAGEREF 5098 \h</w:instrText>
        </w:r>
        <w:r>
          <w:fldChar w:fldCharType="end"/>
        </w:r>
      </w:hyperlink>
    </w:p>
    <w:p>
      <w:pPr>
        <w:tabs>
          <w:tab w:val="right" w:leader="dot" w:pos="9062"/>
        </w:tabs>
        <w:ind w:left="440"/>
      </w:pPr>
      <w:hyperlink w:anchor="_Toc5099" w:history="1">
        <w:r>
          <w:rPr>
            <w:rFonts w:ascii="IRNazanin" w:hAnsi="IRNazanin" w:eastAsia="IRNazanin" w:cs="IRNazanin"/>
            <w:color w:val="111111"/>
            <w:sz w:val="22"/>
            <w:szCs w:val="22"/>
            <w:b w:val="0"/>
            <w:bCs w:val="0"/>
            <w:i w:val="0"/>
            <w:iCs w:val="0"/>
          </w:rPr>
          <w:t>4847- دیوان عبد الله شهرابی أو شعره‏</w:t>
        </w:r>
        <w:r>
          <w:tab/>
        </w:r>
        <w:r>
          <w:fldChar w:fldCharType="begin"/>
        </w:r>
        <w:r>
          <w:instrText xml:space="preserve">PAGEREF 5099 \h</w:instrText>
        </w:r>
        <w:r>
          <w:fldChar w:fldCharType="end"/>
        </w:r>
      </w:hyperlink>
    </w:p>
    <w:p>
      <w:pPr>
        <w:tabs>
          <w:tab w:val="right" w:leader="dot" w:pos="9062"/>
        </w:tabs>
        <w:ind w:left="440"/>
      </w:pPr>
      <w:hyperlink w:anchor="_Toc5100" w:history="1">
        <w:r>
          <w:rPr>
            <w:rFonts w:ascii="IRNazanin" w:hAnsi="IRNazanin" w:eastAsia="IRNazanin" w:cs="IRNazanin"/>
            <w:color w:val="111111"/>
            <w:sz w:val="22"/>
            <w:szCs w:val="22"/>
            <w:b w:val="0"/>
            <w:bCs w:val="0"/>
            <w:i w:val="0"/>
            <w:iCs w:val="0"/>
          </w:rPr>
          <w:t>4848- دیوان الشیخ عبد الله الشیرازی‏</w:t>
        </w:r>
        <w:r>
          <w:tab/>
        </w:r>
        <w:r>
          <w:fldChar w:fldCharType="begin"/>
        </w:r>
        <w:r>
          <w:instrText xml:space="preserve">PAGEREF 5100 \h</w:instrText>
        </w:r>
        <w:r>
          <w:fldChar w:fldCharType="end"/>
        </w:r>
      </w:hyperlink>
    </w:p>
    <w:p>
      <w:pPr>
        <w:tabs>
          <w:tab w:val="right" w:leader="dot" w:pos="9062"/>
        </w:tabs>
        <w:ind w:left="440"/>
      </w:pPr>
      <w:hyperlink w:anchor="_Toc5101" w:history="1">
        <w:r>
          <w:rPr>
            <w:rFonts w:ascii="IRNazanin" w:hAnsi="IRNazanin" w:eastAsia="IRNazanin" w:cs="IRNazanin"/>
            <w:color w:val="111111"/>
            <w:sz w:val="22"/>
            <w:szCs w:val="22"/>
            <w:b w:val="0"/>
            <w:bCs w:val="0"/>
            <w:i w:val="0"/>
            <w:iCs w:val="0"/>
          </w:rPr>
          <w:t>دیوان عبد الله صدر</w:t>
        </w:r>
        <w:r>
          <w:tab/>
        </w:r>
        <w:r>
          <w:fldChar w:fldCharType="begin"/>
        </w:r>
        <w:r>
          <w:instrText xml:space="preserve">PAGEREF 5101 \h</w:instrText>
        </w:r>
        <w:r>
          <w:fldChar w:fldCharType="end"/>
        </w:r>
      </w:hyperlink>
    </w:p>
    <w:p>
      <w:pPr>
        <w:tabs>
          <w:tab w:val="right" w:leader="dot" w:pos="9062"/>
        </w:tabs>
        <w:ind w:left="440"/>
      </w:pPr>
      <w:hyperlink w:anchor="_Toc5102" w:history="1">
        <w:r>
          <w:rPr>
            <w:rFonts w:ascii="IRNazanin" w:hAnsi="IRNazanin" w:eastAsia="IRNazanin" w:cs="IRNazanin"/>
            <w:color w:val="111111"/>
            <w:sz w:val="22"/>
            <w:szCs w:val="22"/>
            <w:b w:val="0"/>
            <w:bCs w:val="0"/>
            <w:i w:val="0"/>
            <w:iCs w:val="0"/>
          </w:rPr>
          <w:t>4849- دیوان الشیخ عبد الله العذاری‏</w:t>
        </w:r>
        <w:r>
          <w:tab/>
        </w:r>
        <w:r>
          <w:fldChar w:fldCharType="begin"/>
        </w:r>
        <w:r>
          <w:instrText xml:space="preserve">PAGEREF 5102 \h</w:instrText>
        </w:r>
        <w:r>
          <w:fldChar w:fldCharType="end"/>
        </w:r>
      </w:hyperlink>
    </w:p>
    <w:p>
      <w:pPr>
        <w:tabs>
          <w:tab w:val="right" w:leader="dot" w:pos="9062"/>
        </w:tabs>
        <w:ind w:left="440"/>
      </w:pPr>
      <w:hyperlink w:anchor="_Toc5103" w:history="1">
        <w:r>
          <w:rPr>
            <w:rFonts w:ascii="IRNazanin" w:hAnsi="IRNazanin" w:eastAsia="IRNazanin" w:cs="IRNazanin"/>
            <w:color w:val="111111"/>
            <w:sz w:val="22"/>
            <w:szCs w:val="22"/>
            <w:b w:val="0"/>
            <w:bCs w:val="0"/>
            <w:i w:val="0"/>
            <w:iCs w:val="0"/>
          </w:rPr>
          <w:t>دیوان عبد الله عرفان‏</w:t>
        </w:r>
        <w:r>
          <w:tab/>
        </w:r>
        <w:r>
          <w:fldChar w:fldCharType="begin"/>
        </w:r>
        <w:r>
          <w:instrText xml:space="preserve">PAGEREF 5103 \h</w:instrText>
        </w:r>
        <w:r>
          <w:fldChar w:fldCharType="end"/>
        </w:r>
      </w:hyperlink>
    </w:p>
    <w:p>
      <w:pPr>
        <w:tabs>
          <w:tab w:val="right" w:leader="dot" w:pos="9062"/>
        </w:tabs>
        <w:ind w:left="440"/>
      </w:pPr>
      <w:hyperlink w:anchor="_Toc5104" w:history="1">
        <w:r>
          <w:rPr>
            <w:rFonts w:ascii="IRNazanin" w:hAnsi="IRNazanin" w:eastAsia="IRNazanin" w:cs="IRNazanin"/>
            <w:color w:val="111111"/>
            <w:sz w:val="22"/>
            <w:szCs w:val="22"/>
            <w:b w:val="0"/>
            <w:bCs w:val="0"/>
            <w:i w:val="0"/>
            <w:iCs w:val="0"/>
          </w:rPr>
          <w:t>4850- دیوان عبد الله قزوینی أو شعره‏</w:t>
        </w:r>
        <w:r>
          <w:tab/>
        </w:r>
        <w:r>
          <w:fldChar w:fldCharType="begin"/>
        </w:r>
        <w:r>
          <w:instrText xml:space="preserve">PAGEREF 5104 \h</w:instrText>
        </w:r>
        <w:r>
          <w:fldChar w:fldCharType="end"/>
        </w:r>
      </w:hyperlink>
    </w:p>
    <w:p>
      <w:pPr>
        <w:tabs>
          <w:tab w:val="right" w:leader="dot" w:pos="9062"/>
        </w:tabs>
        <w:ind w:left="440"/>
      </w:pPr>
      <w:hyperlink w:anchor="_Toc5105" w:history="1">
        <w:r>
          <w:rPr>
            <w:rFonts w:ascii="IRNazanin" w:hAnsi="IRNazanin" w:eastAsia="IRNazanin" w:cs="IRNazanin"/>
            <w:color w:val="111111"/>
            <w:sz w:val="22"/>
            <w:szCs w:val="22"/>
            <w:b w:val="0"/>
            <w:bCs w:val="0"/>
            <w:i w:val="0"/>
            <w:iCs w:val="0"/>
          </w:rPr>
          <w:t>4851- دیوان عبد الله الکاتب‏</w:t>
        </w:r>
        <w:r>
          <w:tab/>
        </w:r>
        <w:r>
          <w:fldChar w:fldCharType="begin"/>
        </w:r>
        <w:r>
          <w:instrText xml:space="preserve">PAGEREF 5105 \h</w:instrText>
        </w:r>
        <w:r>
          <w:fldChar w:fldCharType="end"/>
        </w:r>
      </w:hyperlink>
    </w:p>
    <w:p>
      <w:pPr>
        <w:tabs>
          <w:tab w:val="right" w:leader="dot" w:pos="9062"/>
        </w:tabs>
        <w:ind w:left="440"/>
      </w:pPr>
      <w:hyperlink w:anchor="_Toc5106" w:history="1">
        <w:r>
          <w:rPr>
            <w:rFonts w:ascii="IRNazanin" w:hAnsi="IRNazanin" w:eastAsia="IRNazanin" w:cs="IRNazanin"/>
            <w:color w:val="111111"/>
            <w:sz w:val="22"/>
            <w:szCs w:val="22"/>
            <w:b w:val="0"/>
            <w:bCs w:val="0"/>
            <w:i w:val="0"/>
            <w:iCs w:val="0"/>
          </w:rPr>
          <w:t>4852- دیوان عبد الله کاشانی أو شعره‏</w:t>
        </w:r>
        <w:r>
          <w:tab/>
        </w:r>
        <w:r>
          <w:fldChar w:fldCharType="begin"/>
        </w:r>
        <w:r>
          <w:instrText xml:space="preserve">PAGEREF 5106 \h</w:instrText>
        </w:r>
        <w:r>
          <w:fldChar w:fldCharType="end"/>
        </w:r>
      </w:hyperlink>
    </w:p>
    <w:p>
      <w:pPr>
        <w:tabs>
          <w:tab w:val="right" w:leader="dot" w:pos="9062"/>
        </w:tabs>
        <w:ind w:left="440"/>
      </w:pPr>
      <w:hyperlink w:anchor="_Toc5107" w:history="1">
        <w:r>
          <w:rPr>
            <w:rFonts w:ascii="IRNazanin" w:hAnsi="IRNazanin" w:eastAsia="IRNazanin" w:cs="IRNazanin"/>
            <w:color w:val="111111"/>
            <w:sz w:val="22"/>
            <w:szCs w:val="22"/>
            <w:b w:val="0"/>
            <w:bCs w:val="0"/>
            <w:i w:val="0"/>
            <w:iCs w:val="0"/>
          </w:rPr>
          <w:t>دیوان عبد الله کربلائی‏</w:t>
        </w:r>
        <w:r>
          <w:tab/>
        </w:r>
        <w:r>
          <w:fldChar w:fldCharType="begin"/>
        </w:r>
        <w:r>
          <w:instrText xml:space="preserve">PAGEREF 5107 \h</w:instrText>
        </w:r>
        <w:r>
          <w:fldChar w:fldCharType="end"/>
        </w:r>
      </w:hyperlink>
    </w:p>
    <w:p>
      <w:pPr>
        <w:tabs>
          <w:tab w:val="right" w:leader="dot" w:pos="9062"/>
        </w:tabs>
        <w:ind w:left="440"/>
      </w:pPr>
      <w:hyperlink w:anchor="_Toc5108" w:history="1">
        <w:r>
          <w:rPr>
            <w:rFonts w:ascii="IRNazanin" w:hAnsi="IRNazanin" w:eastAsia="IRNazanin" w:cs="IRNazanin"/>
            <w:color w:val="111111"/>
            <w:sz w:val="22"/>
            <w:szCs w:val="22"/>
            <w:b w:val="0"/>
            <w:bCs w:val="0"/>
            <w:i w:val="0"/>
            <w:iCs w:val="0"/>
          </w:rPr>
          <w:t>دیوان عبد الله کرمانی‏</w:t>
        </w:r>
        <w:r>
          <w:tab/>
        </w:r>
        <w:r>
          <w:fldChar w:fldCharType="begin"/>
        </w:r>
        <w:r>
          <w:instrText xml:space="preserve">PAGEREF 5108 \h</w:instrText>
        </w:r>
        <w:r>
          <w:fldChar w:fldCharType="end"/>
        </w:r>
      </w:hyperlink>
    </w:p>
    <w:p>
      <w:pPr>
        <w:tabs>
          <w:tab w:val="right" w:leader="dot" w:pos="9062"/>
        </w:tabs>
        <w:ind w:left="440"/>
      </w:pPr>
      <w:hyperlink w:anchor="_Toc5109" w:history="1">
        <w:r>
          <w:rPr>
            <w:rFonts w:ascii="IRNazanin" w:hAnsi="IRNazanin" w:eastAsia="IRNazanin" w:cs="IRNazanin"/>
            <w:color w:val="111111"/>
            <w:sz w:val="22"/>
            <w:szCs w:val="22"/>
            <w:b w:val="0"/>
            <w:bCs w:val="0"/>
            <w:i w:val="0"/>
            <w:iCs w:val="0"/>
          </w:rPr>
          <w:t>دیوان عبد الله گرجی‏</w:t>
        </w:r>
        <w:r>
          <w:tab/>
        </w:r>
        <w:r>
          <w:fldChar w:fldCharType="begin"/>
        </w:r>
        <w:r>
          <w:instrText xml:space="preserve">PAGEREF 5109 \h</w:instrText>
        </w:r>
        <w:r>
          <w:fldChar w:fldCharType="end"/>
        </w:r>
      </w:hyperlink>
    </w:p>
    <w:p>
      <w:pPr>
        <w:tabs>
          <w:tab w:val="right" w:leader="dot" w:pos="9062"/>
        </w:tabs>
        <w:ind w:left="440"/>
      </w:pPr>
      <w:hyperlink w:anchor="_Toc5110" w:history="1">
        <w:r>
          <w:rPr>
            <w:rFonts w:ascii="IRNazanin" w:hAnsi="IRNazanin" w:eastAsia="IRNazanin" w:cs="IRNazanin"/>
            <w:color w:val="111111"/>
            <w:sz w:val="22"/>
            <w:szCs w:val="22"/>
            <w:b w:val="0"/>
            <w:bCs w:val="0"/>
            <w:i w:val="0"/>
            <w:iCs w:val="0"/>
          </w:rPr>
          <w:t>4853- دیوان عبد الله لاهیجی أو شعره‏</w:t>
        </w:r>
        <w:r>
          <w:tab/>
        </w:r>
        <w:r>
          <w:fldChar w:fldCharType="begin"/>
        </w:r>
        <w:r>
          <w:instrText xml:space="preserve">PAGEREF 5110 \h</w:instrText>
        </w:r>
        <w:r>
          <w:fldChar w:fldCharType="end"/>
        </w:r>
      </w:hyperlink>
    </w:p>
    <w:p>
      <w:pPr>
        <w:tabs>
          <w:tab w:val="right" w:leader="dot" w:pos="9062"/>
        </w:tabs>
        <w:ind w:left="440"/>
      </w:pPr>
      <w:hyperlink w:anchor="_Toc5111" w:history="1">
        <w:r>
          <w:rPr>
            <w:rFonts w:ascii="IRNazanin" w:hAnsi="IRNazanin" w:eastAsia="IRNazanin" w:cs="IRNazanin"/>
            <w:color w:val="111111"/>
            <w:sz w:val="22"/>
            <w:szCs w:val="22"/>
            <w:b w:val="0"/>
            <w:bCs w:val="0"/>
            <w:i w:val="0"/>
            <w:iCs w:val="0"/>
          </w:rPr>
          <w:t>دیوان عبد الله مثنوی‏گوی‏</w:t>
        </w:r>
        <w:r>
          <w:tab/>
        </w:r>
        <w:r>
          <w:fldChar w:fldCharType="begin"/>
        </w:r>
        <w:r>
          <w:instrText xml:space="preserve">PAGEREF 5111 \h</w:instrText>
        </w:r>
        <w:r>
          <w:fldChar w:fldCharType="end"/>
        </w:r>
      </w:hyperlink>
    </w:p>
    <w:p>
      <w:pPr>
        <w:tabs>
          <w:tab w:val="right" w:leader="dot" w:pos="9062"/>
        </w:tabs>
        <w:ind w:left="440"/>
      </w:pPr>
      <w:hyperlink w:anchor="_Toc5112" w:history="1">
        <w:r>
          <w:rPr>
            <w:rFonts w:ascii="IRNazanin" w:hAnsi="IRNazanin" w:eastAsia="IRNazanin" w:cs="IRNazanin"/>
            <w:color w:val="111111"/>
            <w:sz w:val="22"/>
            <w:szCs w:val="22"/>
            <w:b w:val="0"/>
            <w:bCs w:val="0"/>
            <w:i w:val="0"/>
            <w:iCs w:val="0"/>
          </w:rPr>
          <w:t>دیوان عبد الله مروارید</w:t>
        </w:r>
        <w:r>
          <w:tab/>
        </w:r>
        <w:r>
          <w:fldChar w:fldCharType="begin"/>
        </w:r>
        <w:r>
          <w:instrText xml:space="preserve">PAGEREF 5112 \h</w:instrText>
        </w:r>
        <w:r>
          <w:fldChar w:fldCharType="end"/>
        </w:r>
      </w:hyperlink>
    </w:p>
    <w:p>
      <w:pPr>
        <w:tabs>
          <w:tab w:val="right" w:leader="dot" w:pos="9062"/>
        </w:tabs>
        <w:ind w:left="440"/>
      </w:pPr>
      <w:hyperlink w:anchor="_Toc5113" w:history="1">
        <w:r>
          <w:rPr>
            <w:rFonts w:ascii="IRNazanin" w:hAnsi="IRNazanin" w:eastAsia="IRNazanin" w:cs="IRNazanin"/>
            <w:color w:val="111111"/>
            <w:sz w:val="22"/>
            <w:szCs w:val="22"/>
            <w:b w:val="0"/>
            <w:bCs w:val="0"/>
            <w:i w:val="0"/>
            <w:iCs w:val="0"/>
          </w:rPr>
          <w:t>دیوان عبد الله مستوفی‏</w:t>
        </w:r>
        <w:r>
          <w:tab/>
        </w:r>
        <w:r>
          <w:fldChar w:fldCharType="begin"/>
        </w:r>
        <w:r>
          <w:instrText xml:space="preserve">PAGEREF 5113 \h</w:instrText>
        </w:r>
        <w:r>
          <w:fldChar w:fldCharType="end"/>
        </w:r>
      </w:hyperlink>
    </w:p>
    <w:p>
      <w:pPr>
        <w:tabs>
          <w:tab w:val="right" w:leader="dot" w:pos="9062"/>
        </w:tabs>
        <w:ind w:left="440"/>
      </w:pPr>
      <w:hyperlink w:anchor="_Toc5114" w:history="1">
        <w:r>
          <w:rPr>
            <w:rFonts w:ascii="IRNazanin" w:hAnsi="IRNazanin" w:eastAsia="IRNazanin" w:cs="IRNazanin"/>
            <w:color w:val="111111"/>
            <w:sz w:val="22"/>
            <w:szCs w:val="22"/>
            <w:b w:val="0"/>
            <w:bCs w:val="0"/>
            <w:i w:val="0"/>
            <w:iCs w:val="0"/>
          </w:rPr>
          <w:t>4854- دیوان الشیخ عبد الله نعمة العاملی‏</w:t>
        </w:r>
        <w:r>
          <w:tab/>
        </w:r>
        <w:r>
          <w:fldChar w:fldCharType="begin"/>
        </w:r>
        <w:r>
          <w:instrText xml:space="preserve">PAGEREF 5114 \h</w:instrText>
        </w:r>
        <w:r>
          <w:fldChar w:fldCharType="end"/>
        </w:r>
      </w:hyperlink>
    </w:p>
    <w:p>
      <w:pPr>
        <w:tabs>
          <w:tab w:val="right" w:leader="dot" w:pos="9062"/>
        </w:tabs>
        <w:ind w:left="440"/>
      </w:pPr>
      <w:hyperlink w:anchor="_Toc5115" w:history="1">
        <w:r>
          <w:rPr>
            <w:rFonts w:ascii="IRNazanin" w:hAnsi="IRNazanin" w:eastAsia="IRNazanin" w:cs="IRNazanin"/>
            <w:color w:val="111111"/>
            <w:sz w:val="22"/>
            <w:szCs w:val="22"/>
            <w:b w:val="0"/>
            <w:bCs w:val="0"/>
            <w:i w:val="0"/>
            <w:iCs w:val="0"/>
          </w:rPr>
          <w:t>4855- دیوان میرزا عبد الله الیزدی أو شعره‏</w:t>
        </w:r>
        <w:r>
          <w:tab/>
        </w:r>
        <w:r>
          <w:fldChar w:fldCharType="begin"/>
        </w:r>
        <w:r>
          <w:instrText xml:space="preserve">PAGEREF 5115 \h</w:instrText>
        </w:r>
        <w:r>
          <w:fldChar w:fldCharType="end"/>
        </w:r>
      </w:hyperlink>
    </w:p>
    <w:p>
      <w:pPr>
        <w:tabs>
          <w:tab w:val="right" w:leader="dot" w:pos="9062"/>
        </w:tabs>
        <w:ind w:left="440"/>
      </w:pPr>
      <w:hyperlink w:anchor="_Toc5116" w:history="1">
        <w:r>
          <w:rPr>
            <w:rFonts w:ascii="IRNazanin" w:hAnsi="IRNazanin" w:eastAsia="IRNazanin" w:cs="IRNazanin"/>
            <w:color w:val="111111"/>
            <w:sz w:val="22"/>
            <w:szCs w:val="22"/>
            <w:b w:val="0"/>
            <w:bCs w:val="0"/>
            <w:i w:val="0"/>
            <w:iCs w:val="0"/>
          </w:rPr>
          <w:t>4856- دیوان المیر عبد الله الیزدی أو شعره‏</w:t>
        </w:r>
        <w:r>
          <w:tab/>
        </w:r>
        <w:r>
          <w:fldChar w:fldCharType="begin"/>
        </w:r>
        <w:r>
          <w:instrText xml:space="preserve">PAGEREF 5116 \h</w:instrText>
        </w:r>
        <w:r>
          <w:fldChar w:fldCharType="end"/>
        </w:r>
      </w:hyperlink>
    </w:p>
    <w:p>
      <w:pPr>
        <w:tabs>
          <w:tab w:val="right" w:leader="dot" w:pos="9062"/>
        </w:tabs>
        <w:ind w:left="440"/>
      </w:pPr>
      <w:hyperlink w:anchor="_Toc5117" w:history="1">
        <w:r>
          <w:rPr>
            <w:rFonts w:ascii="IRNazanin" w:hAnsi="IRNazanin" w:eastAsia="IRNazanin" w:cs="IRNazanin"/>
            <w:color w:val="111111"/>
            <w:sz w:val="22"/>
            <w:szCs w:val="22"/>
            <w:b w:val="0"/>
            <w:bCs w:val="0"/>
            <w:i w:val="0"/>
            <w:iCs w:val="0"/>
          </w:rPr>
          <w:t>4857- دیوان عبداللهی‏</w:t>
        </w:r>
        <w:r>
          <w:tab/>
        </w:r>
        <w:r>
          <w:fldChar w:fldCharType="begin"/>
        </w:r>
        <w:r>
          <w:instrText xml:space="preserve">PAGEREF 5117 \h</w:instrText>
        </w:r>
        <w:r>
          <w:fldChar w:fldCharType="end"/>
        </w:r>
      </w:hyperlink>
    </w:p>
    <w:p>
      <w:pPr>
        <w:tabs>
          <w:tab w:val="right" w:leader="dot" w:pos="9062"/>
        </w:tabs>
        <w:ind w:left="440"/>
      </w:pPr>
      <w:hyperlink w:anchor="_Toc5118" w:history="1">
        <w:r>
          <w:rPr>
            <w:rFonts w:ascii="IRNazanin" w:hAnsi="IRNazanin" w:eastAsia="IRNazanin" w:cs="IRNazanin"/>
            <w:color w:val="111111"/>
            <w:sz w:val="22"/>
            <w:szCs w:val="22"/>
            <w:b w:val="0"/>
            <w:bCs w:val="0"/>
            <w:i w:val="0"/>
            <w:iCs w:val="0"/>
          </w:rPr>
          <w:t>دیوان العبدلی‏</w:t>
        </w:r>
        <w:r>
          <w:tab/>
        </w:r>
        <w:r>
          <w:fldChar w:fldCharType="begin"/>
        </w:r>
        <w:r>
          <w:instrText xml:space="preserve">PAGEREF 5118 \h</w:instrText>
        </w:r>
        <w:r>
          <w:fldChar w:fldCharType="end"/>
        </w:r>
      </w:hyperlink>
    </w:p>
    <w:p>
      <w:pPr>
        <w:tabs>
          <w:tab w:val="right" w:leader="dot" w:pos="9062"/>
        </w:tabs>
        <w:ind w:left="440"/>
      </w:pPr>
      <w:hyperlink w:anchor="_Toc5119" w:history="1">
        <w:r>
          <w:rPr>
            <w:rFonts w:ascii="IRNazanin" w:hAnsi="IRNazanin" w:eastAsia="IRNazanin" w:cs="IRNazanin"/>
            <w:color w:val="111111"/>
            <w:sz w:val="22"/>
            <w:szCs w:val="22"/>
            <w:b w:val="0"/>
            <w:bCs w:val="0"/>
            <w:i w:val="0"/>
            <w:iCs w:val="0"/>
          </w:rPr>
          <w:t>دیوان عبد المجید طالقانی‏</w:t>
        </w:r>
        <w:r>
          <w:tab/>
        </w:r>
        <w:r>
          <w:fldChar w:fldCharType="begin"/>
        </w:r>
        <w:r>
          <w:instrText xml:space="preserve">PAGEREF 5119 \h</w:instrText>
        </w:r>
        <w:r>
          <w:fldChar w:fldCharType="end"/>
        </w:r>
      </w:hyperlink>
    </w:p>
    <w:p>
      <w:pPr>
        <w:tabs>
          <w:tab w:val="right" w:leader="dot" w:pos="9062"/>
        </w:tabs>
        <w:ind w:left="440"/>
      </w:pPr>
      <w:hyperlink w:anchor="_Toc5120" w:history="1">
        <w:r>
          <w:rPr>
            <w:rFonts w:ascii="IRNazanin" w:hAnsi="IRNazanin" w:eastAsia="IRNazanin" w:cs="IRNazanin"/>
            <w:color w:val="111111"/>
            <w:sz w:val="22"/>
            <w:szCs w:val="22"/>
            <w:b w:val="0"/>
            <w:bCs w:val="0"/>
            <w:i w:val="0"/>
            <w:iCs w:val="0"/>
          </w:rPr>
          <w:t>4858- دیوان عبد المجید قمی الأوجی،</w:t>
        </w:r>
        <w:r>
          <w:tab/>
        </w:r>
        <w:r>
          <w:fldChar w:fldCharType="begin"/>
        </w:r>
        <w:r>
          <w:instrText xml:space="preserve">PAGEREF 5120 \h</w:instrText>
        </w:r>
        <w:r>
          <w:fldChar w:fldCharType="end"/>
        </w:r>
      </w:hyperlink>
    </w:p>
    <w:p>
      <w:pPr>
        <w:tabs>
          <w:tab w:val="right" w:leader="dot" w:pos="9062"/>
        </w:tabs>
        <w:ind w:left="440"/>
      </w:pPr>
      <w:hyperlink w:anchor="_Toc5121" w:history="1">
        <w:r>
          <w:rPr>
            <w:rFonts w:ascii="IRNazanin" w:hAnsi="IRNazanin" w:eastAsia="IRNazanin" w:cs="IRNazanin"/>
            <w:color w:val="111111"/>
            <w:sz w:val="22"/>
            <w:szCs w:val="22"/>
            <w:b w:val="0"/>
            <w:bCs w:val="0"/>
            <w:i w:val="0"/>
            <w:iCs w:val="0"/>
          </w:rPr>
          <w:t>4859- دیوان عبد المحسن الصوری‏</w:t>
        </w:r>
        <w:r>
          <w:tab/>
        </w:r>
        <w:r>
          <w:fldChar w:fldCharType="begin"/>
        </w:r>
        <w:r>
          <w:instrText xml:space="preserve">PAGEREF 5121 \h</w:instrText>
        </w:r>
        <w:r>
          <w:fldChar w:fldCharType="end"/>
        </w:r>
      </w:hyperlink>
    </w:p>
    <w:p>
      <w:pPr>
        <w:tabs>
          <w:tab w:val="right" w:leader="dot" w:pos="9062"/>
        </w:tabs>
        <w:ind w:left="440"/>
      </w:pPr>
      <w:hyperlink w:anchor="_Toc5122" w:history="1">
        <w:r>
          <w:rPr>
            <w:rFonts w:ascii="IRNazanin" w:hAnsi="IRNazanin" w:eastAsia="IRNazanin" w:cs="IRNazanin"/>
            <w:color w:val="111111"/>
            <w:sz w:val="22"/>
            <w:szCs w:val="22"/>
            <w:b w:val="0"/>
            <w:bCs w:val="0"/>
            <w:i w:val="0"/>
            <w:iCs w:val="0"/>
          </w:rPr>
          <w:t>دیوان المولی عبد المحسن الکاشانی‏</w:t>
        </w:r>
        <w:r>
          <w:tab/>
        </w:r>
        <w:r>
          <w:fldChar w:fldCharType="begin"/>
        </w:r>
        <w:r>
          <w:instrText xml:space="preserve">PAGEREF 5122 \h</w:instrText>
        </w:r>
        <w:r>
          <w:fldChar w:fldCharType="end"/>
        </w:r>
      </w:hyperlink>
    </w:p>
    <w:p>
      <w:pPr>
        <w:tabs>
          <w:tab w:val="right" w:leader="dot" w:pos="9062"/>
        </w:tabs>
        <w:ind w:left="440"/>
      </w:pPr>
      <w:hyperlink w:anchor="_Toc5123" w:history="1">
        <w:r>
          <w:rPr>
            <w:rFonts w:ascii="IRNazanin" w:hAnsi="IRNazanin" w:eastAsia="IRNazanin" w:cs="IRNazanin"/>
            <w:color w:val="111111"/>
            <w:sz w:val="22"/>
            <w:szCs w:val="22"/>
            <w:b w:val="0"/>
            <w:bCs w:val="0"/>
            <w:i w:val="0"/>
            <w:iCs w:val="0"/>
          </w:rPr>
          <w:t>4860- دیوان الشیخ عبد المحسن الکاظمی‏</w:t>
        </w:r>
        <w:r>
          <w:tab/>
        </w:r>
        <w:r>
          <w:fldChar w:fldCharType="begin"/>
        </w:r>
        <w:r>
          <w:instrText xml:space="preserve">PAGEREF 5123 \h</w:instrText>
        </w:r>
        <w:r>
          <w:fldChar w:fldCharType="end"/>
        </w:r>
      </w:hyperlink>
    </w:p>
    <w:p>
      <w:pPr>
        <w:tabs>
          <w:tab w:val="right" w:leader="dot" w:pos="9062"/>
        </w:tabs>
        <w:ind w:left="440"/>
      </w:pPr>
      <w:hyperlink w:anchor="_Toc5124" w:history="1">
        <w:r>
          <w:rPr>
            <w:rFonts w:ascii="IRNazanin" w:hAnsi="IRNazanin" w:eastAsia="IRNazanin" w:cs="IRNazanin"/>
            <w:color w:val="111111"/>
            <w:sz w:val="22"/>
            <w:szCs w:val="22"/>
            <w:b w:val="0"/>
            <w:bCs w:val="0"/>
            <w:i w:val="0"/>
            <w:iCs w:val="0"/>
          </w:rPr>
          <w:t>4861- دیوان الشیخ عبد المحسن الهمدانی‏</w:t>
        </w:r>
        <w:r>
          <w:tab/>
        </w:r>
        <w:r>
          <w:fldChar w:fldCharType="begin"/>
        </w:r>
        <w:r>
          <w:instrText xml:space="preserve">PAGEREF 5124 \h</w:instrText>
        </w:r>
        <w:r>
          <w:fldChar w:fldCharType="end"/>
        </w:r>
      </w:hyperlink>
    </w:p>
    <w:p>
      <w:pPr>
        <w:tabs>
          <w:tab w:val="right" w:leader="dot" w:pos="9062"/>
        </w:tabs>
        <w:ind w:left="440"/>
      </w:pPr>
      <w:hyperlink w:anchor="_Toc5125" w:history="1">
        <w:r>
          <w:rPr>
            <w:rFonts w:ascii="IRNazanin" w:hAnsi="IRNazanin" w:eastAsia="IRNazanin" w:cs="IRNazanin"/>
            <w:color w:val="111111"/>
            <w:sz w:val="22"/>
            <w:szCs w:val="22"/>
            <w:b w:val="0"/>
            <w:bCs w:val="0"/>
            <w:i w:val="0"/>
            <w:iCs w:val="0"/>
          </w:rPr>
          <w:t>4862- دیوان السید عبد المطلب‏</w:t>
        </w:r>
        <w:r>
          <w:tab/>
        </w:r>
        <w:r>
          <w:fldChar w:fldCharType="begin"/>
        </w:r>
        <w:r>
          <w:instrText xml:space="preserve">PAGEREF 5125 \h</w:instrText>
        </w:r>
        <w:r>
          <w:fldChar w:fldCharType="end"/>
        </w:r>
      </w:hyperlink>
    </w:p>
    <w:p>
      <w:pPr>
        <w:tabs>
          <w:tab w:val="right" w:leader="dot" w:pos="9062"/>
        </w:tabs>
        <w:ind w:left="440"/>
      </w:pPr>
      <w:hyperlink w:anchor="_Toc5126" w:history="1">
        <w:r>
          <w:rPr>
            <w:rFonts w:ascii="IRNazanin" w:hAnsi="IRNazanin" w:eastAsia="IRNazanin" w:cs="IRNazanin"/>
            <w:color w:val="111111"/>
            <w:sz w:val="22"/>
            <w:szCs w:val="22"/>
            <w:b w:val="0"/>
            <w:bCs w:val="0"/>
            <w:i w:val="0"/>
            <w:iCs w:val="0"/>
          </w:rPr>
          <w:t>4863- دیوان عبد الملک البعلبکی أو شعره‏</w:t>
        </w:r>
        <w:r>
          <w:tab/>
        </w:r>
        <w:r>
          <w:fldChar w:fldCharType="begin"/>
        </w:r>
        <w:r>
          <w:instrText xml:space="preserve">PAGEREF 5126 \h</w:instrText>
        </w:r>
        <w:r>
          <w:fldChar w:fldCharType="end"/>
        </w:r>
      </w:hyperlink>
    </w:p>
    <w:p>
      <w:pPr>
        <w:tabs>
          <w:tab w:val="right" w:leader="dot" w:pos="9062"/>
        </w:tabs>
        <w:ind w:left="440"/>
      </w:pPr>
      <w:hyperlink w:anchor="_Toc5127" w:history="1">
        <w:r>
          <w:rPr>
            <w:rFonts w:ascii="IRNazanin" w:hAnsi="IRNazanin" w:eastAsia="IRNazanin" w:cs="IRNazanin"/>
            <w:color w:val="111111"/>
            <w:sz w:val="22"/>
            <w:szCs w:val="22"/>
            <w:b w:val="0"/>
            <w:bCs w:val="0"/>
            <w:i w:val="0"/>
            <w:iCs w:val="0"/>
          </w:rPr>
          <w:t>دیوان عبد الملک سمرقندی‏</w:t>
        </w:r>
        <w:r>
          <w:tab/>
        </w:r>
        <w:r>
          <w:fldChar w:fldCharType="begin"/>
        </w:r>
        <w:r>
          <w:instrText xml:space="preserve">PAGEREF 5127 \h</w:instrText>
        </w:r>
        <w:r>
          <w:fldChar w:fldCharType="end"/>
        </w:r>
      </w:hyperlink>
    </w:p>
    <w:p>
      <w:pPr>
        <w:tabs>
          <w:tab w:val="right" w:leader="dot" w:pos="9062"/>
        </w:tabs>
        <w:ind w:left="440"/>
      </w:pPr>
      <w:hyperlink w:anchor="_Toc5128" w:history="1">
        <w:r>
          <w:rPr>
            <w:rFonts w:ascii="IRNazanin" w:hAnsi="IRNazanin" w:eastAsia="IRNazanin" w:cs="IRNazanin"/>
            <w:color w:val="111111"/>
            <w:sz w:val="22"/>
            <w:szCs w:val="22"/>
            <w:b w:val="0"/>
            <w:bCs w:val="0"/>
            <w:i w:val="0"/>
            <w:iCs w:val="0"/>
          </w:rPr>
          <w:t>4864- دیوان عبد مناف قمی أو شعره‏</w:t>
        </w:r>
        <w:r>
          <w:tab/>
        </w:r>
        <w:r>
          <w:fldChar w:fldCharType="begin"/>
        </w:r>
        <w:r>
          <w:instrText xml:space="preserve">PAGEREF 5128 \h</w:instrText>
        </w:r>
        <w:r>
          <w:fldChar w:fldCharType="end"/>
        </w:r>
      </w:hyperlink>
    </w:p>
    <w:p>
      <w:pPr>
        <w:tabs>
          <w:tab w:val="right" w:leader="dot" w:pos="9062"/>
        </w:tabs>
        <w:ind w:left="440"/>
      </w:pPr>
      <w:hyperlink w:anchor="_Toc5129" w:history="1">
        <w:r>
          <w:rPr>
            <w:rFonts w:ascii="IRNazanin" w:hAnsi="IRNazanin" w:eastAsia="IRNazanin" w:cs="IRNazanin"/>
            <w:color w:val="111111"/>
            <w:sz w:val="22"/>
            <w:szCs w:val="22"/>
            <w:b w:val="0"/>
            <w:bCs w:val="0"/>
            <w:i w:val="0"/>
            <w:iCs w:val="0"/>
          </w:rPr>
          <w:t>4865 دیوان عبد المنعم الفرطوسی‏</w:t>
        </w:r>
        <w:r>
          <w:tab/>
        </w:r>
        <w:r>
          <w:fldChar w:fldCharType="begin"/>
        </w:r>
        <w:r>
          <w:instrText xml:space="preserve">PAGEREF 5129 \h</w:instrText>
        </w:r>
        <w:r>
          <w:fldChar w:fldCharType="end"/>
        </w:r>
      </w:hyperlink>
    </w:p>
    <w:p>
      <w:pPr>
        <w:tabs>
          <w:tab w:val="right" w:leader="dot" w:pos="9062"/>
        </w:tabs>
        <w:ind w:left="440"/>
      </w:pPr>
      <w:hyperlink w:anchor="_Toc5130" w:history="1">
        <w:r>
          <w:rPr>
            <w:rFonts w:ascii="IRNazanin" w:hAnsi="IRNazanin" w:eastAsia="IRNazanin" w:cs="IRNazanin"/>
            <w:color w:val="111111"/>
            <w:sz w:val="22"/>
            <w:szCs w:val="22"/>
            <w:b w:val="0"/>
            <w:bCs w:val="0"/>
            <w:i w:val="0"/>
            <w:iCs w:val="0"/>
          </w:rPr>
          <w:t>دیوان عبد المؤمن هروی أو شعره‏</w:t>
        </w:r>
        <w:r>
          <w:tab/>
        </w:r>
        <w:r>
          <w:fldChar w:fldCharType="begin"/>
        </w:r>
        <w:r>
          <w:instrText xml:space="preserve">PAGEREF 5130 \h</w:instrText>
        </w:r>
        <w:r>
          <w:fldChar w:fldCharType="end"/>
        </w:r>
      </w:hyperlink>
    </w:p>
    <w:p>
      <w:pPr>
        <w:tabs>
          <w:tab w:val="right" w:leader="dot" w:pos="9062"/>
        </w:tabs>
        <w:ind w:left="440"/>
      </w:pPr>
      <w:hyperlink w:anchor="_Toc5131" w:history="1">
        <w:r>
          <w:rPr>
            <w:rFonts w:ascii="IRNazanin" w:hAnsi="IRNazanin" w:eastAsia="IRNazanin" w:cs="IRNazanin"/>
            <w:color w:val="111111"/>
            <w:sz w:val="22"/>
            <w:szCs w:val="22"/>
            <w:b w:val="0"/>
            <w:bCs w:val="0"/>
            <w:i w:val="0"/>
            <w:iCs w:val="0"/>
          </w:rPr>
          <w:t>4866 دیوان عبد المولی أصفهانی أو شعره‏</w:t>
        </w:r>
        <w:r>
          <w:tab/>
        </w:r>
        <w:r>
          <w:fldChar w:fldCharType="begin"/>
        </w:r>
        <w:r>
          <w:instrText xml:space="preserve">PAGEREF 5131 \h</w:instrText>
        </w:r>
        <w:r>
          <w:fldChar w:fldCharType="end"/>
        </w:r>
      </w:hyperlink>
    </w:p>
    <w:p>
      <w:pPr>
        <w:tabs>
          <w:tab w:val="right" w:leader="dot" w:pos="9062"/>
        </w:tabs>
        <w:ind w:left="440"/>
      </w:pPr>
      <w:hyperlink w:anchor="_Toc5132" w:history="1">
        <w:r>
          <w:rPr>
            <w:rFonts w:ascii="IRNazanin" w:hAnsi="IRNazanin" w:eastAsia="IRNazanin" w:cs="IRNazanin"/>
            <w:color w:val="111111"/>
            <w:sz w:val="22"/>
            <w:szCs w:val="22"/>
            <w:b w:val="0"/>
            <w:bCs w:val="0"/>
            <w:i w:val="0"/>
            <w:iCs w:val="0"/>
          </w:rPr>
          <w:t>4867- دیوان عبد المهدی الأعرجی‏</w:t>
        </w:r>
        <w:r>
          <w:tab/>
        </w:r>
        <w:r>
          <w:fldChar w:fldCharType="begin"/>
        </w:r>
        <w:r>
          <w:instrText xml:space="preserve">PAGEREF 5132 \h</w:instrText>
        </w:r>
        <w:r>
          <w:fldChar w:fldCharType="end"/>
        </w:r>
      </w:hyperlink>
    </w:p>
    <w:p>
      <w:pPr>
        <w:tabs>
          <w:tab w:val="right" w:leader="dot" w:pos="9062"/>
        </w:tabs>
        <w:ind w:left="440"/>
      </w:pPr>
      <w:hyperlink w:anchor="_Toc5133" w:history="1">
        <w:r>
          <w:rPr>
            <w:rFonts w:ascii="IRNazanin" w:hAnsi="IRNazanin" w:eastAsia="IRNazanin" w:cs="IRNazanin"/>
            <w:color w:val="111111"/>
            <w:sz w:val="22"/>
            <w:szCs w:val="22"/>
            <w:b w:val="0"/>
            <w:bCs w:val="0"/>
            <w:i w:val="0"/>
            <w:iCs w:val="0"/>
          </w:rPr>
          <w:t>4868- دیوان الشیخ عبد المهدی مطر</w:t>
        </w:r>
        <w:r>
          <w:tab/>
        </w:r>
        <w:r>
          <w:fldChar w:fldCharType="begin"/>
        </w:r>
        <w:r>
          <w:instrText xml:space="preserve">PAGEREF 5133 \h</w:instrText>
        </w:r>
        <w:r>
          <w:fldChar w:fldCharType="end"/>
        </w:r>
      </w:hyperlink>
    </w:p>
    <w:p>
      <w:pPr>
        <w:tabs>
          <w:tab w:val="right" w:leader="dot" w:pos="9062"/>
        </w:tabs>
        <w:ind w:left="440"/>
      </w:pPr>
      <w:hyperlink w:anchor="_Toc5134" w:history="1">
        <w:r>
          <w:rPr>
            <w:rFonts w:ascii="IRNazanin" w:hAnsi="IRNazanin" w:eastAsia="IRNazanin" w:cs="IRNazanin"/>
            <w:color w:val="111111"/>
            <w:sz w:val="22"/>
            <w:szCs w:val="22"/>
            <w:b w:val="0"/>
            <w:bCs w:val="0"/>
            <w:i w:val="0"/>
            <w:iCs w:val="0"/>
          </w:rPr>
          <w:t>4869- دیوان الشیخ عبد المهدی الحجار</w:t>
        </w:r>
        <w:r>
          <w:tab/>
        </w:r>
        <w:r>
          <w:fldChar w:fldCharType="begin"/>
        </w:r>
        <w:r>
          <w:instrText xml:space="preserve">PAGEREF 5134 \h</w:instrText>
        </w:r>
        <w:r>
          <w:fldChar w:fldCharType="end"/>
        </w:r>
      </w:hyperlink>
    </w:p>
    <w:p>
      <w:pPr>
        <w:tabs>
          <w:tab w:val="right" w:leader="dot" w:pos="9062"/>
        </w:tabs>
        <w:ind w:left="440"/>
      </w:pPr>
      <w:hyperlink w:anchor="_Toc5135" w:history="1">
        <w:r>
          <w:rPr>
            <w:rFonts w:ascii="IRNazanin" w:hAnsi="IRNazanin" w:eastAsia="IRNazanin" w:cs="IRNazanin"/>
            <w:color w:val="111111"/>
            <w:sz w:val="22"/>
            <w:szCs w:val="22"/>
            <w:b w:val="0"/>
            <w:bCs w:val="0"/>
            <w:i w:val="0"/>
            <w:iCs w:val="0"/>
          </w:rPr>
          <w:t>4870- دیوان الشیخ عبد النبی الخطی‏</w:t>
        </w:r>
        <w:r>
          <w:tab/>
        </w:r>
        <w:r>
          <w:fldChar w:fldCharType="begin"/>
        </w:r>
        <w:r>
          <w:instrText xml:space="preserve">PAGEREF 5135 \h</w:instrText>
        </w:r>
        <w:r>
          <w:fldChar w:fldCharType="end"/>
        </w:r>
      </w:hyperlink>
    </w:p>
    <w:p>
      <w:pPr>
        <w:tabs>
          <w:tab w:val="right" w:leader="dot" w:pos="9062"/>
        </w:tabs>
        <w:ind w:left="440"/>
      </w:pPr>
      <w:hyperlink w:anchor="_Toc5136" w:history="1">
        <w:r>
          <w:rPr>
            <w:rFonts w:ascii="IRNazanin" w:hAnsi="IRNazanin" w:eastAsia="IRNazanin" w:cs="IRNazanin"/>
            <w:color w:val="111111"/>
            <w:sz w:val="22"/>
            <w:szCs w:val="22"/>
            <w:b w:val="0"/>
            <w:bCs w:val="0"/>
            <w:i w:val="0"/>
            <w:iCs w:val="0"/>
          </w:rPr>
          <w:t>4871- دیوان الشیخ عبد الواحد آل مظفر</w:t>
        </w:r>
        <w:r>
          <w:tab/>
        </w:r>
        <w:r>
          <w:fldChar w:fldCharType="begin"/>
        </w:r>
        <w:r>
          <w:instrText xml:space="preserve">PAGEREF 5136 \h</w:instrText>
        </w:r>
        <w:r>
          <w:fldChar w:fldCharType="end"/>
        </w:r>
      </w:hyperlink>
    </w:p>
    <w:p>
      <w:pPr>
        <w:tabs>
          <w:tab w:val="right" w:leader="dot" w:pos="9062"/>
        </w:tabs>
        <w:ind w:left="440"/>
      </w:pPr>
      <w:hyperlink w:anchor="_Toc5137" w:history="1">
        <w:r>
          <w:rPr>
            <w:rFonts w:ascii="IRNazanin" w:hAnsi="IRNazanin" w:eastAsia="IRNazanin" w:cs="IRNazanin"/>
            <w:color w:val="111111"/>
            <w:sz w:val="22"/>
            <w:szCs w:val="22"/>
            <w:b w:val="0"/>
            <w:bCs w:val="0"/>
            <w:i w:val="0"/>
            <w:iCs w:val="0"/>
          </w:rPr>
          <w:t>دیوان الحاج عبد الواسع أقدس‏</w:t>
        </w:r>
        <w:r>
          <w:tab/>
        </w:r>
        <w:r>
          <w:fldChar w:fldCharType="begin"/>
        </w:r>
        <w:r>
          <w:instrText xml:space="preserve">PAGEREF 5137 \h</w:instrText>
        </w:r>
        <w:r>
          <w:fldChar w:fldCharType="end"/>
        </w:r>
      </w:hyperlink>
    </w:p>
    <w:p>
      <w:pPr>
        <w:tabs>
          <w:tab w:val="right" w:leader="dot" w:pos="9062"/>
        </w:tabs>
        <w:ind w:left="440"/>
      </w:pPr>
      <w:hyperlink w:anchor="_Toc5138" w:history="1">
        <w:r>
          <w:rPr>
            <w:rFonts w:ascii="IRNazanin" w:hAnsi="IRNazanin" w:eastAsia="IRNazanin" w:cs="IRNazanin"/>
            <w:color w:val="111111"/>
            <w:sz w:val="22"/>
            <w:szCs w:val="22"/>
            <w:b w:val="0"/>
            <w:bCs w:val="0"/>
            <w:i w:val="0"/>
            <w:iCs w:val="0"/>
          </w:rPr>
          <w:t>4872- دیوان عبد الواسع التونی أو شعره‏</w:t>
        </w:r>
        <w:r>
          <w:tab/>
        </w:r>
        <w:r>
          <w:fldChar w:fldCharType="begin"/>
        </w:r>
        <w:r>
          <w:instrText xml:space="preserve">PAGEREF 5138 \h</w:instrText>
        </w:r>
        <w:r>
          <w:fldChar w:fldCharType="end"/>
        </w:r>
      </w:hyperlink>
    </w:p>
    <w:p>
      <w:pPr>
        <w:tabs>
          <w:tab w:val="right" w:leader="dot" w:pos="9062"/>
        </w:tabs>
        <w:ind w:left="440"/>
      </w:pPr>
      <w:hyperlink w:anchor="_Toc5139" w:history="1">
        <w:r>
          <w:rPr>
            <w:rFonts w:ascii="IRNazanin" w:hAnsi="IRNazanin" w:eastAsia="IRNazanin" w:cs="IRNazanin"/>
            <w:color w:val="111111"/>
            <w:sz w:val="22"/>
            <w:szCs w:val="22"/>
            <w:b w:val="0"/>
            <w:bCs w:val="0"/>
            <w:i w:val="0"/>
            <w:iCs w:val="0"/>
          </w:rPr>
          <w:t>4873- دیوان عبد الواسع جبلی‏</w:t>
        </w:r>
        <w:r>
          <w:tab/>
        </w:r>
        <w:r>
          <w:fldChar w:fldCharType="begin"/>
        </w:r>
        <w:r>
          <w:instrText xml:space="preserve">PAGEREF 5139 \h</w:instrText>
        </w:r>
        <w:r>
          <w:fldChar w:fldCharType="end"/>
        </w:r>
      </w:hyperlink>
    </w:p>
    <w:p>
      <w:pPr>
        <w:tabs>
          <w:tab w:val="right" w:leader="dot" w:pos="9062"/>
        </w:tabs>
        <w:ind w:left="440"/>
      </w:pPr>
      <w:hyperlink w:anchor="_Toc5140" w:history="1">
        <w:r>
          <w:rPr>
            <w:rFonts w:ascii="IRNazanin" w:hAnsi="IRNazanin" w:eastAsia="IRNazanin" w:cs="IRNazanin"/>
            <w:color w:val="111111"/>
            <w:sz w:val="22"/>
            <w:szCs w:val="22"/>
            <w:b w:val="0"/>
            <w:bCs w:val="0"/>
            <w:i w:val="0"/>
            <w:iCs w:val="0"/>
          </w:rPr>
          <w:t>4874- دیوان مولانا عبد الواسع‏</w:t>
        </w:r>
        <w:r>
          <w:tab/>
        </w:r>
        <w:r>
          <w:fldChar w:fldCharType="begin"/>
        </w:r>
        <w:r>
          <w:instrText xml:space="preserve">PAGEREF 5140 \h</w:instrText>
        </w:r>
        <w:r>
          <w:fldChar w:fldCharType="end"/>
        </w:r>
      </w:hyperlink>
    </w:p>
    <w:p>
      <w:pPr>
        <w:tabs>
          <w:tab w:val="right" w:leader="dot" w:pos="9062"/>
        </w:tabs>
        <w:ind w:left="440"/>
      </w:pPr>
      <w:hyperlink w:anchor="_Toc5141" w:history="1">
        <w:r>
          <w:rPr>
            <w:rFonts w:ascii="IRNazanin" w:hAnsi="IRNazanin" w:eastAsia="IRNazanin" w:cs="IRNazanin"/>
            <w:color w:val="111111"/>
            <w:sz w:val="22"/>
            <w:szCs w:val="22"/>
            <w:b w:val="0"/>
            <w:bCs w:val="0"/>
            <w:i w:val="0"/>
            <w:iCs w:val="0"/>
          </w:rPr>
          <w:t>دیوان عبد الوهاب‏</w:t>
        </w:r>
        <w:r>
          <w:tab/>
        </w:r>
        <w:r>
          <w:fldChar w:fldCharType="begin"/>
        </w:r>
        <w:r>
          <w:instrText xml:space="preserve">PAGEREF 5141 \h</w:instrText>
        </w:r>
        <w:r>
          <w:fldChar w:fldCharType="end"/>
        </w:r>
      </w:hyperlink>
    </w:p>
    <w:p>
      <w:pPr>
        <w:tabs>
          <w:tab w:val="right" w:leader="dot" w:pos="9062"/>
        </w:tabs>
        <w:ind w:left="440"/>
      </w:pPr>
      <w:hyperlink w:anchor="_Toc5142" w:history="1">
        <w:r>
          <w:rPr>
            <w:rFonts w:ascii="IRNazanin" w:hAnsi="IRNazanin" w:eastAsia="IRNazanin" w:cs="IRNazanin"/>
            <w:color w:val="111111"/>
            <w:sz w:val="22"/>
            <w:szCs w:val="22"/>
            <w:b w:val="0"/>
            <w:bCs w:val="0"/>
            <w:i w:val="0"/>
            <w:iCs w:val="0"/>
          </w:rPr>
          <w:t>4875- دیوان مولانا عبد الوهاب الأسفراینی‏</w:t>
        </w:r>
        <w:r>
          <w:tab/>
        </w:r>
        <w:r>
          <w:fldChar w:fldCharType="begin"/>
        </w:r>
        <w:r>
          <w:instrText xml:space="preserve">PAGEREF 5142 \h</w:instrText>
        </w:r>
        <w:r>
          <w:fldChar w:fldCharType="end"/>
        </w:r>
      </w:hyperlink>
    </w:p>
    <w:p>
      <w:pPr>
        <w:tabs>
          <w:tab w:val="right" w:leader="dot" w:pos="9062"/>
        </w:tabs>
        <w:ind w:left="440"/>
      </w:pPr>
      <w:hyperlink w:anchor="_Toc5143" w:history="1">
        <w:r>
          <w:rPr>
            <w:rFonts w:ascii="IRNazanin" w:hAnsi="IRNazanin" w:eastAsia="IRNazanin" w:cs="IRNazanin"/>
            <w:color w:val="111111"/>
            <w:sz w:val="22"/>
            <w:szCs w:val="22"/>
            <w:b w:val="0"/>
            <w:bCs w:val="0"/>
            <w:i w:val="0"/>
            <w:iCs w:val="0"/>
          </w:rPr>
          <w:t>4876- دیوان عبد الوهاب سمرقندی أو شعره‏</w:t>
        </w:r>
        <w:r>
          <w:tab/>
        </w:r>
        <w:r>
          <w:fldChar w:fldCharType="begin"/>
        </w:r>
        <w:r>
          <w:instrText xml:space="preserve">PAGEREF 5143 \h</w:instrText>
        </w:r>
        <w:r>
          <w:fldChar w:fldCharType="end"/>
        </w:r>
      </w:hyperlink>
    </w:p>
    <w:p>
      <w:pPr>
        <w:tabs>
          <w:tab w:val="right" w:leader="dot" w:pos="9062"/>
        </w:tabs>
        <w:ind w:left="440"/>
      </w:pPr>
      <w:hyperlink w:anchor="_Toc5144" w:history="1">
        <w:r>
          <w:rPr>
            <w:rFonts w:ascii="IRNazanin" w:hAnsi="IRNazanin" w:eastAsia="IRNazanin" w:cs="IRNazanin"/>
            <w:color w:val="111111"/>
            <w:sz w:val="22"/>
            <w:szCs w:val="22"/>
            <w:b w:val="0"/>
            <w:bCs w:val="0"/>
            <w:i w:val="0"/>
            <w:iCs w:val="0"/>
          </w:rPr>
          <w:t>دیوان عبد الوهاب سهائی‏</w:t>
        </w:r>
        <w:r>
          <w:tab/>
        </w:r>
        <w:r>
          <w:fldChar w:fldCharType="begin"/>
        </w:r>
        <w:r>
          <w:instrText xml:space="preserve">PAGEREF 5144 \h</w:instrText>
        </w:r>
        <w:r>
          <w:fldChar w:fldCharType="end"/>
        </w:r>
      </w:hyperlink>
    </w:p>
    <w:p>
      <w:pPr>
        <w:tabs>
          <w:tab w:val="right" w:leader="dot" w:pos="9062"/>
        </w:tabs>
        <w:ind w:left="440"/>
      </w:pPr>
      <w:hyperlink w:anchor="_Toc5145" w:history="1">
        <w:r>
          <w:rPr>
            <w:rFonts w:ascii="IRNazanin" w:hAnsi="IRNazanin" w:eastAsia="IRNazanin" w:cs="IRNazanin"/>
            <w:color w:val="111111"/>
            <w:sz w:val="22"/>
            <w:szCs w:val="22"/>
            <w:b w:val="0"/>
            <w:bCs w:val="0"/>
            <w:i w:val="0"/>
            <w:iCs w:val="0"/>
          </w:rPr>
          <w:t>4877- دیوان المیر عبد الوهاب الشیرازی‏</w:t>
        </w:r>
        <w:r>
          <w:tab/>
        </w:r>
        <w:r>
          <w:fldChar w:fldCharType="begin"/>
        </w:r>
        <w:r>
          <w:instrText xml:space="preserve">PAGEREF 5145 \h</w:instrText>
        </w:r>
        <w:r>
          <w:fldChar w:fldCharType="end"/>
        </w:r>
      </w:hyperlink>
    </w:p>
    <w:p>
      <w:pPr>
        <w:tabs>
          <w:tab w:val="right" w:leader="dot" w:pos="9062"/>
        </w:tabs>
        <w:ind w:left="440"/>
      </w:pPr>
      <w:hyperlink w:anchor="_Toc5146" w:history="1">
        <w:r>
          <w:rPr>
            <w:rFonts w:ascii="IRNazanin" w:hAnsi="IRNazanin" w:eastAsia="IRNazanin" w:cs="IRNazanin"/>
            <w:color w:val="111111"/>
            <w:sz w:val="22"/>
            <w:szCs w:val="22"/>
            <w:b w:val="0"/>
            <w:bCs w:val="0"/>
            <w:i w:val="0"/>
            <w:iCs w:val="0"/>
          </w:rPr>
          <w:t>4878- دیوان القاضی عبد الوهاب‏</w:t>
        </w:r>
        <w:r>
          <w:tab/>
        </w:r>
        <w:r>
          <w:fldChar w:fldCharType="begin"/>
        </w:r>
        <w:r>
          <w:instrText xml:space="preserve">PAGEREF 5146 \h</w:instrText>
        </w:r>
        <w:r>
          <w:fldChar w:fldCharType="end"/>
        </w:r>
      </w:hyperlink>
    </w:p>
    <w:p>
      <w:pPr>
        <w:tabs>
          <w:tab w:val="right" w:leader="dot" w:pos="9062"/>
        </w:tabs>
        <w:ind w:left="440"/>
      </w:pPr>
      <w:hyperlink w:anchor="_Toc5147" w:history="1">
        <w:r>
          <w:rPr>
            <w:rFonts w:ascii="IRNazanin" w:hAnsi="IRNazanin" w:eastAsia="IRNazanin" w:cs="IRNazanin"/>
            <w:color w:val="111111"/>
            <w:sz w:val="22"/>
            <w:szCs w:val="22"/>
            <w:b w:val="0"/>
            <w:bCs w:val="0"/>
            <w:i w:val="0"/>
            <w:iCs w:val="0"/>
          </w:rPr>
          <w:t>دیوان عبد الوهاب یزدی‏</w:t>
        </w:r>
        <w:r>
          <w:tab/>
        </w:r>
        <w:r>
          <w:fldChar w:fldCharType="begin"/>
        </w:r>
        <w:r>
          <w:instrText xml:space="preserve">PAGEREF 5147 \h</w:instrText>
        </w:r>
        <w:r>
          <w:fldChar w:fldCharType="end"/>
        </w:r>
      </w:hyperlink>
    </w:p>
    <w:p>
      <w:pPr>
        <w:tabs>
          <w:tab w:val="right" w:leader="dot" w:pos="9062"/>
        </w:tabs>
        <w:ind w:left="440"/>
      </w:pPr>
      <w:hyperlink w:anchor="_Toc5148" w:history="1">
        <w:r>
          <w:rPr>
            <w:rFonts w:ascii="IRNazanin" w:hAnsi="IRNazanin" w:eastAsia="IRNazanin" w:cs="IRNazanin"/>
            <w:color w:val="111111"/>
            <w:sz w:val="22"/>
            <w:szCs w:val="22"/>
            <w:b w:val="0"/>
            <w:bCs w:val="0"/>
            <w:i w:val="0"/>
            <w:iCs w:val="0"/>
          </w:rPr>
          <w:t>4879- دیوان السید عبد الهادی الشیرازی أو شعره‏</w:t>
        </w:r>
        <w:r>
          <w:tab/>
        </w:r>
        <w:r>
          <w:fldChar w:fldCharType="begin"/>
        </w:r>
        <w:r>
          <w:instrText xml:space="preserve">PAGEREF 5148 \h</w:instrText>
        </w:r>
        <w:r>
          <w:fldChar w:fldCharType="end"/>
        </w:r>
      </w:hyperlink>
    </w:p>
    <w:p>
      <w:pPr>
        <w:tabs>
          <w:tab w:val="right" w:leader="dot" w:pos="9062"/>
        </w:tabs>
        <w:ind w:left="440"/>
      </w:pPr>
      <w:hyperlink w:anchor="_Toc5149" w:history="1">
        <w:r>
          <w:rPr>
            <w:rFonts w:ascii="IRNazanin" w:hAnsi="IRNazanin" w:eastAsia="IRNazanin" w:cs="IRNazanin"/>
            <w:color w:val="111111"/>
            <w:sz w:val="22"/>
            <w:szCs w:val="22"/>
            <w:b w:val="0"/>
            <w:bCs w:val="0"/>
            <w:i w:val="0"/>
            <w:iCs w:val="0"/>
          </w:rPr>
          <w:t>4880- دیوان السید عبد الهادی العطار</w:t>
        </w:r>
        <w:r>
          <w:tab/>
        </w:r>
        <w:r>
          <w:fldChar w:fldCharType="begin"/>
        </w:r>
        <w:r>
          <w:instrText xml:space="preserve">PAGEREF 5149 \h</w:instrText>
        </w:r>
        <w:r>
          <w:fldChar w:fldCharType="end"/>
        </w:r>
      </w:hyperlink>
    </w:p>
    <w:p>
      <w:pPr>
        <w:tabs>
          <w:tab w:val="right" w:leader="dot" w:pos="9062"/>
        </w:tabs>
        <w:ind w:left="440"/>
      </w:pPr>
      <w:hyperlink w:anchor="_Toc5150" w:history="1">
        <w:r>
          <w:rPr>
            <w:rFonts w:ascii="IRNazanin" w:hAnsi="IRNazanin" w:eastAsia="IRNazanin" w:cs="IRNazanin"/>
            <w:color w:val="111111"/>
            <w:sz w:val="22"/>
            <w:szCs w:val="22"/>
            <w:b w:val="0"/>
            <w:bCs w:val="0"/>
            <w:i w:val="0"/>
            <w:iCs w:val="0"/>
          </w:rPr>
          <w:t>4881- دیوان الشیخ عبد الهادی الصنعانی‏</w:t>
        </w:r>
        <w:r>
          <w:tab/>
        </w:r>
        <w:r>
          <w:fldChar w:fldCharType="begin"/>
        </w:r>
        <w:r>
          <w:instrText xml:space="preserve">PAGEREF 5150 \h</w:instrText>
        </w:r>
        <w:r>
          <w:fldChar w:fldCharType="end"/>
        </w:r>
      </w:hyperlink>
    </w:p>
    <w:p>
      <w:pPr>
        <w:tabs>
          <w:tab w:val="right" w:leader="dot" w:pos="9062"/>
        </w:tabs>
        <w:ind w:left="440"/>
      </w:pPr>
      <w:hyperlink w:anchor="_Toc5151" w:history="1">
        <w:r>
          <w:rPr>
            <w:rFonts w:ascii="IRNazanin" w:hAnsi="IRNazanin" w:eastAsia="IRNazanin" w:cs="IRNazanin"/>
            <w:color w:val="111111"/>
            <w:sz w:val="22"/>
            <w:szCs w:val="22"/>
            <w:b w:val="0"/>
            <w:bCs w:val="0"/>
            <w:i w:val="0"/>
            <w:iCs w:val="0"/>
          </w:rPr>
          <w:t>دیوان عبد الهادی النحوی‏</w:t>
        </w:r>
        <w:r>
          <w:tab/>
        </w:r>
        <w:r>
          <w:fldChar w:fldCharType="begin"/>
        </w:r>
        <w:r>
          <w:instrText xml:space="preserve">PAGEREF 5151 \h</w:instrText>
        </w:r>
        <w:r>
          <w:fldChar w:fldCharType="end"/>
        </w:r>
      </w:hyperlink>
    </w:p>
    <w:p>
      <w:pPr>
        <w:tabs>
          <w:tab w:val="right" w:leader="dot" w:pos="9062"/>
        </w:tabs>
        <w:ind w:left="440"/>
      </w:pPr>
      <w:hyperlink w:anchor="_Toc5152" w:history="1">
        <w:r>
          <w:rPr>
            <w:rFonts w:ascii="IRNazanin" w:hAnsi="IRNazanin" w:eastAsia="IRNazanin" w:cs="IRNazanin"/>
            <w:color w:val="111111"/>
            <w:sz w:val="22"/>
            <w:szCs w:val="22"/>
            <w:b w:val="0"/>
            <w:bCs w:val="0"/>
            <w:i w:val="0"/>
            <w:iCs w:val="0"/>
          </w:rPr>
          <w:t>4882- دیوان العبدی أو شعره‏</w:t>
        </w:r>
        <w:r>
          <w:tab/>
        </w:r>
        <w:r>
          <w:fldChar w:fldCharType="begin"/>
        </w:r>
        <w:r>
          <w:instrText xml:space="preserve">PAGEREF 5152 \h</w:instrText>
        </w:r>
        <w:r>
          <w:fldChar w:fldCharType="end"/>
        </w:r>
      </w:hyperlink>
    </w:p>
    <w:p>
      <w:pPr>
        <w:tabs>
          <w:tab w:val="right" w:leader="dot" w:pos="9062"/>
        </w:tabs>
        <w:ind w:left="440"/>
      </w:pPr>
      <w:hyperlink w:anchor="_Toc5153" w:history="1">
        <w:r>
          <w:rPr>
            <w:rFonts w:ascii="IRNazanin" w:hAnsi="IRNazanin" w:eastAsia="IRNazanin" w:cs="IRNazanin"/>
            <w:color w:val="111111"/>
            <w:sz w:val="22"/>
            <w:szCs w:val="22"/>
            <w:b w:val="0"/>
            <w:bCs w:val="0"/>
            <w:i w:val="0"/>
            <w:iCs w:val="0"/>
          </w:rPr>
          <w:t>4883- دیوان العبدی أبی عبد الله أو شعره‏</w:t>
        </w:r>
        <w:r>
          <w:tab/>
        </w:r>
        <w:r>
          <w:fldChar w:fldCharType="begin"/>
        </w:r>
        <w:r>
          <w:instrText xml:space="preserve">PAGEREF 5153 \h</w:instrText>
        </w:r>
        <w:r>
          <w:fldChar w:fldCharType="end"/>
        </w:r>
      </w:hyperlink>
    </w:p>
    <w:p>
      <w:pPr>
        <w:tabs>
          <w:tab w:val="right" w:leader="dot" w:pos="9062"/>
        </w:tabs>
        <w:ind w:left="440"/>
      </w:pPr>
      <w:hyperlink w:anchor="_Toc5154" w:history="1">
        <w:r>
          <w:rPr>
            <w:rFonts w:ascii="IRNazanin" w:hAnsi="IRNazanin" w:eastAsia="IRNazanin" w:cs="IRNazanin"/>
            <w:color w:val="111111"/>
            <w:sz w:val="22"/>
            <w:szCs w:val="22"/>
            <w:b w:val="0"/>
            <w:bCs w:val="0"/>
            <w:i w:val="0"/>
            <w:iCs w:val="0"/>
          </w:rPr>
          <w:t>دیوان العبدی‏</w:t>
        </w:r>
        <w:r>
          <w:tab/>
        </w:r>
        <w:r>
          <w:fldChar w:fldCharType="begin"/>
        </w:r>
        <w:r>
          <w:instrText xml:space="preserve">PAGEREF 5154 \h</w:instrText>
        </w:r>
        <w:r>
          <w:fldChar w:fldCharType="end"/>
        </w:r>
      </w:hyperlink>
    </w:p>
    <w:p>
      <w:pPr>
        <w:tabs>
          <w:tab w:val="right" w:leader="dot" w:pos="9062"/>
        </w:tabs>
        <w:ind w:left="440"/>
      </w:pPr>
      <w:hyperlink w:anchor="_Toc5155" w:history="1">
        <w:r>
          <w:rPr>
            <w:rFonts w:ascii="IRNazanin" w:hAnsi="IRNazanin" w:eastAsia="IRNazanin" w:cs="IRNazanin"/>
            <w:color w:val="111111"/>
            <w:sz w:val="22"/>
            <w:szCs w:val="22"/>
            <w:b w:val="0"/>
            <w:bCs w:val="0"/>
            <w:i w:val="0"/>
            <w:iCs w:val="0"/>
          </w:rPr>
          <w:t>4884- دیوان عبدی أصفهانی‏</w:t>
        </w:r>
        <w:r>
          <w:tab/>
        </w:r>
        <w:r>
          <w:fldChar w:fldCharType="begin"/>
        </w:r>
        <w:r>
          <w:instrText xml:space="preserve">PAGEREF 5155 \h</w:instrText>
        </w:r>
        <w:r>
          <w:fldChar w:fldCharType="end"/>
        </w:r>
      </w:hyperlink>
    </w:p>
    <w:p>
      <w:pPr>
        <w:tabs>
          <w:tab w:val="right" w:leader="dot" w:pos="9062"/>
        </w:tabs>
        <w:ind w:left="440"/>
      </w:pPr>
      <w:hyperlink w:anchor="_Toc5156" w:history="1">
        <w:r>
          <w:rPr>
            <w:rFonts w:ascii="IRNazanin" w:hAnsi="IRNazanin" w:eastAsia="IRNazanin" w:cs="IRNazanin"/>
            <w:color w:val="111111"/>
            <w:sz w:val="22"/>
            <w:szCs w:val="22"/>
            <w:b w:val="0"/>
            <w:bCs w:val="0"/>
            <w:i w:val="0"/>
            <w:iCs w:val="0"/>
          </w:rPr>
          <w:t>4885- دیوان عبدی أصفهانی‏</w:t>
        </w:r>
        <w:r>
          <w:tab/>
        </w:r>
        <w:r>
          <w:fldChar w:fldCharType="begin"/>
        </w:r>
        <w:r>
          <w:instrText xml:space="preserve">PAGEREF 5156 \h</w:instrText>
        </w:r>
        <w:r>
          <w:fldChar w:fldCharType="end"/>
        </w:r>
      </w:hyperlink>
    </w:p>
    <w:p>
      <w:pPr>
        <w:tabs>
          <w:tab w:val="right" w:leader="dot" w:pos="9062"/>
        </w:tabs>
        <w:ind w:left="440"/>
      </w:pPr>
      <w:hyperlink w:anchor="_Toc5157" w:history="1">
        <w:r>
          <w:rPr>
            <w:rFonts w:ascii="IRNazanin" w:hAnsi="IRNazanin" w:eastAsia="IRNazanin" w:cs="IRNazanin"/>
            <w:color w:val="111111"/>
            <w:sz w:val="22"/>
            <w:szCs w:val="22"/>
            <w:b w:val="0"/>
            <w:bCs w:val="0"/>
            <w:i w:val="0"/>
            <w:iCs w:val="0"/>
          </w:rPr>
          <w:t>دیوان مولانا عبدی الجنابذی‏</w:t>
        </w:r>
        <w:r>
          <w:tab/>
        </w:r>
        <w:r>
          <w:fldChar w:fldCharType="begin"/>
        </w:r>
        <w:r>
          <w:instrText xml:space="preserve">PAGEREF 5157 \h</w:instrText>
        </w:r>
        <w:r>
          <w:fldChar w:fldCharType="end"/>
        </w:r>
      </w:hyperlink>
    </w:p>
    <w:p>
      <w:pPr>
        <w:tabs>
          <w:tab w:val="right" w:leader="dot" w:pos="9062"/>
        </w:tabs>
        <w:ind w:left="440"/>
      </w:pPr>
      <w:hyperlink w:anchor="_Toc5158" w:history="1">
        <w:r>
          <w:rPr>
            <w:rFonts w:ascii="IRNazanin" w:hAnsi="IRNazanin" w:eastAsia="IRNazanin" w:cs="IRNazanin"/>
            <w:color w:val="111111"/>
            <w:sz w:val="22"/>
            <w:szCs w:val="22"/>
            <w:b w:val="0"/>
            <w:bCs w:val="0"/>
            <w:i w:val="0"/>
            <w:iCs w:val="0"/>
          </w:rPr>
          <w:t>4886- دیوان مولانا عبدی رازی أو شعره‏</w:t>
        </w:r>
        <w:r>
          <w:tab/>
        </w:r>
        <w:r>
          <w:fldChar w:fldCharType="begin"/>
        </w:r>
        <w:r>
          <w:instrText xml:space="preserve">PAGEREF 5158 \h</w:instrText>
        </w:r>
        <w:r>
          <w:fldChar w:fldCharType="end"/>
        </w:r>
      </w:hyperlink>
    </w:p>
    <w:p>
      <w:pPr>
        <w:tabs>
          <w:tab w:val="right" w:leader="dot" w:pos="9062"/>
        </w:tabs>
        <w:ind w:left="440"/>
      </w:pPr>
      <w:hyperlink w:anchor="_Toc5159" w:history="1">
        <w:r>
          <w:rPr>
            <w:rFonts w:ascii="IRNazanin" w:hAnsi="IRNazanin" w:eastAsia="IRNazanin" w:cs="IRNazanin"/>
            <w:color w:val="111111"/>
            <w:sz w:val="22"/>
            <w:szCs w:val="22"/>
            <w:b w:val="0"/>
            <w:bCs w:val="0"/>
            <w:i w:val="0"/>
            <w:iCs w:val="0"/>
          </w:rPr>
          <w:t>دیوان عبدی شیرازی‏</w:t>
        </w:r>
        <w:r>
          <w:tab/>
        </w:r>
        <w:r>
          <w:fldChar w:fldCharType="begin"/>
        </w:r>
        <w:r>
          <w:instrText xml:space="preserve">PAGEREF 5159 \h</w:instrText>
        </w:r>
        <w:r>
          <w:fldChar w:fldCharType="end"/>
        </w:r>
      </w:hyperlink>
    </w:p>
    <w:p>
      <w:pPr>
        <w:tabs>
          <w:tab w:val="right" w:leader="dot" w:pos="9062"/>
        </w:tabs>
        <w:ind w:left="440"/>
      </w:pPr>
      <w:hyperlink w:anchor="_Toc5160" w:history="1">
        <w:r>
          <w:rPr>
            <w:rFonts w:ascii="IRNazanin" w:hAnsi="IRNazanin" w:eastAsia="IRNazanin" w:cs="IRNazanin"/>
            <w:color w:val="111111"/>
            <w:sz w:val="22"/>
            <w:szCs w:val="22"/>
            <w:b w:val="0"/>
            <w:bCs w:val="0"/>
            <w:i w:val="0"/>
            <w:iCs w:val="0"/>
          </w:rPr>
          <w:t>4887- دیوان عبدی شیروانی أو شعره‏</w:t>
        </w:r>
        <w:r>
          <w:tab/>
        </w:r>
        <w:r>
          <w:fldChar w:fldCharType="begin"/>
        </w:r>
        <w:r>
          <w:instrText xml:space="preserve">PAGEREF 5160 \h</w:instrText>
        </w:r>
        <w:r>
          <w:fldChar w:fldCharType="end"/>
        </w:r>
      </w:hyperlink>
    </w:p>
    <w:p>
      <w:pPr>
        <w:tabs>
          <w:tab w:val="right" w:leader="dot" w:pos="9062"/>
        </w:tabs>
        <w:ind w:left="440"/>
      </w:pPr>
      <w:hyperlink w:anchor="_Toc5161" w:history="1">
        <w:r>
          <w:rPr>
            <w:rFonts w:ascii="IRNazanin" w:hAnsi="IRNazanin" w:eastAsia="IRNazanin" w:cs="IRNazanin"/>
            <w:color w:val="111111"/>
            <w:sz w:val="22"/>
            <w:szCs w:val="22"/>
            <w:b w:val="0"/>
            <w:bCs w:val="0"/>
            <w:i w:val="0"/>
            <w:iCs w:val="0"/>
          </w:rPr>
          <w:t>4888- دیوان عبدی گنابادی‏</w:t>
        </w:r>
        <w:r>
          <w:tab/>
        </w:r>
        <w:r>
          <w:fldChar w:fldCharType="begin"/>
        </w:r>
        <w:r>
          <w:instrText xml:space="preserve">PAGEREF 5161 \h</w:instrText>
        </w:r>
        <w:r>
          <w:fldChar w:fldCharType="end"/>
        </w:r>
      </w:hyperlink>
    </w:p>
    <w:p>
      <w:pPr>
        <w:tabs>
          <w:tab w:val="right" w:leader="dot" w:pos="9062"/>
        </w:tabs>
        <w:ind w:left="440"/>
      </w:pPr>
      <w:hyperlink w:anchor="_Toc5162" w:history="1">
        <w:r>
          <w:rPr>
            <w:rFonts w:ascii="IRNazanin" w:hAnsi="IRNazanin" w:eastAsia="IRNazanin" w:cs="IRNazanin"/>
            <w:color w:val="111111"/>
            <w:sz w:val="22"/>
            <w:szCs w:val="22"/>
            <w:b w:val="0"/>
            <w:bCs w:val="0"/>
            <w:i w:val="0"/>
            <w:iCs w:val="0"/>
          </w:rPr>
          <w:t>دیوان عبدی قلندر النیشابوری‏</w:t>
        </w:r>
        <w:r>
          <w:tab/>
        </w:r>
        <w:r>
          <w:fldChar w:fldCharType="begin"/>
        </w:r>
        <w:r>
          <w:instrText xml:space="preserve">PAGEREF 5162 \h</w:instrText>
        </w:r>
        <w:r>
          <w:fldChar w:fldCharType="end"/>
        </w:r>
      </w:hyperlink>
    </w:p>
    <w:p>
      <w:pPr>
        <w:tabs>
          <w:tab w:val="right" w:leader="dot" w:pos="9062"/>
        </w:tabs>
        <w:ind w:left="440"/>
      </w:pPr>
      <w:hyperlink w:anchor="_Toc5163" w:history="1">
        <w:r>
          <w:rPr>
            <w:rFonts w:ascii="IRNazanin" w:hAnsi="IRNazanin" w:eastAsia="IRNazanin" w:cs="IRNazanin"/>
            <w:color w:val="111111"/>
            <w:sz w:val="22"/>
            <w:szCs w:val="22"/>
            <w:b w:val="0"/>
            <w:bCs w:val="0"/>
            <w:i w:val="0"/>
            <w:iCs w:val="0"/>
          </w:rPr>
          <w:t>4889- دیوان عبدی گیلانی أو شعره‏</w:t>
        </w:r>
        <w:r>
          <w:tab/>
        </w:r>
        <w:r>
          <w:fldChar w:fldCharType="begin"/>
        </w:r>
        <w:r>
          <w:instrText xml:space="preserve">PAGEREF 5163 \h</w:instrText>
        </w:r>
        <w:r>
          <w:fldChar w:fldCharType="end"/>
        </w:r>
      </w:hyperlink>
    </w:p>
    <w:p>
      <w:pPr>
        <w:tabs>
          <w:tab w:val="right" w:leader="dot" w:pos="9062"/>
        </w:tabs>
        <w:ind w:left="440"/>
      </w:pPr>
      <w:hyperlink w:anchor="_Toc5164" w:history="1">
        <w:r>
          <w:rPr>
            <w:rFonts w:ascii="IRNazanin" w:hAnsi="IRNazanin" w:eastAsia="IRNazanin" w:cs="IRNazanin"/>
            <w:color w:val="111111"/>
            <w:sz w:val="22"/>
            <w:szCs w:val="22"/>
            <w:b w:val="0"/>
            <w:bCs w:val="0"/>
            <w:i w:val="0"/>
            <w:iCs w:val="0"/>
          </w:rPr>
          <w:t>4890- دیوان عبدی نیشابوری أو شعره‏</w:t>
        </w:r>
        <w:r>
          <w:tab/>
        </w:r>
        <w:r>
          <w:fldChar w:fldCharType="begin"/>
        </w:r>
        <w:r>
          <w:instrText xml:space="preserve">PAGEREF 5164 \h</w:instrText>
        </w:r>
        <w:r>
          <w:fldChar w:fldCharType="end"/>
        </w:r>
      </w:hyperlink>
    </w:p>
    <w:p>
      <w:pPr>
        <w:tabs>
          <w:tab w:val="right" w:leader="dot" w:pos="9062"/>
        </w:tabs>
        <w:ind w:left="440"/>
      </w:pPr>
      <w:hyperlink w:anchor="_Toc5165" w:history="1">
        <w:r>
          <w:rPr>
            <w:rFonts w:ascii="IRNazanin" w:hAnsi="IRNazanin" w:eastAsia="IRNazanin" w:cs="IRNazanin"/>
            <w:color w:val="111111"/>
            <w:sz w:val="22"/>
            <w:szCs w:val="22"/>
            <w:b w:val="0"/>
            <w:bCs w:val="0"/>
            <w:i w:val="0"/>
            <w:iCs w:val="0"/>
          </w:rPr>
          <w:t>4891- دیوان عبدی نیشابوری أو شعره‏</w:t>
        </w:r>
        <w:r>
          <w:tab/>
        </w:r>
        <w:r>
          <w:fldChar w:fldCharType="begin"/>
        </w:r>
        <w:r>
          <w:instrText xml:space="preserve">PAGEREF 5165 \h</w:instrText>
        </w:r>
        <w:r>
          <w:fldChar w:fldCharType="end"/>
        </w:r>
      </w:hyperlink>
    </w:p>
    <w:p>
      <w:pPr>
        <w:tabs>
          <w:tab w:val="right" w:leader="dot" w:pos="9062"/>
        </w:tabs>
        <w:ind w:left="440"/>
      </w:pPr>
      <w:hyperlink w:anchor="_Toc5166" w:history="1">
        <w:r>
          <w:rPr>
            <w:rFonts w:ascii="IRNazanin" w:hAnsi="IRNazanin" w:eastAsia="IRNazanin" w:cs="IRNazanin"/>
            <w:color w:val="111111"/>
            <w:sz w:val="22"/>
            <w:szCs w:val="22"/>
            <w:b w:val="0"/>
            <w:bCs w:val="0"/>
            <w:i w:val="0"/>
            <w:iCs w:val="0"/>
          </w:rPr>
          <w:t>4892- دیوان عبدی یزدی‏</w:t>
        </w:r>
        <w:r>
          <w:tab/>
        </w:r>
        <w:r>
          <w:fldChar w:fldCharType="begin"/>
        </w:r>
        <w:r>
          <w:instrText xml:space="preserve">PAGEREF 5166 \h</w:instrText>
        </w:r>
        <w:r>
          <w:fldChar w:fldCharType="end"/>
        </w:r>
      </w:hyperlink>
    </w:p>
    <w:p>
      <w:pPr>
        <w:tabs>
          <w:tab w:val="right" w:leader="dot" w:pos="9062"/>
        </w:tabs>
        <w:ind w:left="440"/>
      </w:pPr>
      <w:hyperlink w:anchor="_Toc5167" w:history="1">
        <w:r>
          <w:rPr>
            <w:rFonts w:ascii="IRNazanin" w:hAnsi="IRNazanin" w:eastAsia="IRNazanin" w:cs="IRNazanin"/>
            <w:color w:val="111111"/>
            <w:sz w:val="22"/>
            <w:szCs w:val="22"/>
            <w:b w:val="0"/>
            <w:bCs w:val="0"/>
            <w:i w:val="0"/>
            <w:iCs w:val="0"/>
          </w:rPr>
          <w:t>4893- دیوان عبرت قاجار</w:t>
        </w:r>
        <w:r>
          <w:tab/>
        </w:r>
        <w:r>
          <w:fldChar w:fldCharType="begin"/>
        </w:r>
        <w:r>
          <w:instrText xml:space="preserve">PAGEREF 5167 \h</w:instrText>
        </w:r>
        <w:r>
          <w:fldChar w:fldCharType="end"/>
        </w:r>
      </w:hyperlink>
    </w:p>
    <w:p>
      <w:pPr>
        <w:tabs>
          <w:tab w:val="right" w:leader="dot" w:pos="9062"/>
        </w:tabs>
        <w:ind w:left="440"/>
      </w:pPr>
      <w:hyperlink w:anchor="_Toc5168" w:history="1">
        <w:r>
          <w:rPr>
            <w:rFonts w:ascii="IRNazanin" w:hAnsi="IRNazanin" w:eastAsia="IRNazanin" w:cs="IRNazanin"/>
            <w:color w:val="111111"/>
            <w:sz w:val="22"/>
            <w:szCs w:val="22"/>
            <w:b w:val="0"/>
            <w:bCs w:val="0"/>
            <w:i w:val="0"/>
            <w:iCs w:val="0"/>
          </w:rPr>
          <w:t>4894- دیوان عبرت نائنی‏</w:t>
        </w:r>
        <w:r>
          <w:tab/>
        </w:r>
        <w:r>
          <w:fldChar w:fldCharType="begin"/>
        </w:r>
        <w:r>
          <w:instrText xml:space="preserve">PAGEREF 5168 \h</w:instrText>
        </w:r>
        <w:r>
          <w:fldChar w:fldCharType="end"/>
        </w:r>
      </w:hyperlink>
    </w:p>
    <w:p>
      <w:pPr>
        <w:tabs>
          <w:tab w:val="right" w:leader="dot" w:pos="9062"/>
        </w:tabs>
        <w:ind w:left="440"/>
      </w:pPr>
      <w:hyperlink w:anchor="_Toc5169" w:history="1">
        <w:r>
          <w:rPr>
            <w:rFonts w:ascii="IRNazanin" w:hAnsi="IRNazanin" w:eastAsia="IRNazanin" w:cs="IRNazanin"/>
            <w:color w:val="111111"/>
            <w:sz w:val="22"/>
            <w:szCs w:val="22"/>
            <w:b w:val="0"/>
            <w:bCs w:val="0"/>
            <w:i w:val="0"/>
            <w:iCs w:val="0"/>
          </w:rPr>
          <w:t>4895- دیوان عبرت هندی أو شعره‏</w:t>
        </w:r>
        <w:r>
          <w:tab/>
        </w:r>
        <w:r>
          <w:fldChar w:fldCharType="begin"/>
        </w:r>
        <w:r>
          <w:instrText xml:space="preserve">PAGEREF 5169 \h</w:instrText>
        </w:r>
        <w:r>
          <w:fldChar w:fldCharType="end"/>
        </w:r>
      </w:hyperlink>
    </w:p>
    <w:p>
      <w:pPr>
        <w:tabs>
          <w:tab w:val="right" w:leader="dot" w:pos="9062"/>
        </w:tabs>
        <w:ind w:left="440"/>
      </w:pPr>
      <w:hyperlink w:anchor="_Toc5170" w:history="1">
        <w:r>
          <w:rPr>
            <w:rFonts w:ascii="IRNazanin" w:hAnsi="IRNazanin" w:eastAsia="IRNazanin" w:cs="IRNazanin"/>
            <w:color w:val="111111"/>
            <w:sz w:val="22"/>
            <w:szCs w:val="22"/>
            <w:b w:val="0"/>
            <w:bCs w:val="0"/>
            <w:i w:val="0"/>
            <w:iCs w:val="0"/>
          </w:rPr>
          <w:t>4896- دیوان عبقری أو شعره‏</w:t>
        </w:r>
        <w:r>
          <w:tab/>
        </w:r>
        <w:r>
          <w:fldChar w:fldCharType="begin"/>
        </w:r>
        <w:r>
          <w:instrText xml:space="preserve">PAGEREF 5170 \h</w:instrText>
        </w:r>
        <w:r>
          <w:fldChar w:fldCharType="end"/>
        </w:r>
      </w:hyperlink>
    </w:p>
    <w:p>
      <w:pPr>
        <w:tabs>
          <w:tab w:val="right" w:leader="dot" w:pos="9062"/>
        </w:tabs>
        <w:ind w:left="440"/>
      </w:pPr>
      <w:hyperlink w:anchor="_Toc5171" w:history="1">
        <w:r>
          <w:rPr>
            <w:rFonts w:ascii="IRNazanin" w:hAnsi="IRNazanin" w:eastAsia="IRNazanin" w:cs="IRNazanin"/>
            <w:color w:val="111111"/>
            <w:sz w:val="22"/>
            <w:szCs w:val="22"/>
            <w:b w:val="0"/>
            <w:bCs w:val="0"/>
            <w:i w:val="0"/>
            <w:iCs w:val="0"/>
          </w:rPr>
          <w:t>4897- دیوان عبهری أو شعره‏</w:t>
        </w:r>
        <w:r>
          <w:tab/>
        </w:r>
        <w:r>
          <w:fldChar w:fldCharType="begin"/>
        </w:r>
        <w:r>
          <w:instrText xml:space="preserve">PAGEREF 5171 \h</w:instrText>
        </w:r>
        <w:r>
          <w:fldChar w:fldCharType="end"/>
        </w:r>
      </w:hyperlink>
    </w:p>
    <w:p>
      <w:pPr>
        <w:tabs>
          <w:tab w:val="right" w:leader="dot" w:pos="9062"/>
        </w:tabs>
        <w:ind w:left="440"/>
      </w:pPr>
      <w:hyperlink w:anchor="_Toc5172" w:history="1">
        <w:r>
          <w:rPr>
            <w:rFonts w:ascii="IRNazanin" w:hAnsi="IRNazanin" w:eastAsia="IRNazanin" w:cs="IRNazanin"/>
            <w:color w:val="111111"/>
            <w:sz w:val="22"/>
            <w:szCs w:val="22"/>
            <w:b w:val="0"/>
            <w:bCs w:val="0"/>
            <w:i w:val="0"/>
            <w:iCs w:val="0"/>
          </w:rPr>
          <w:t>4898- دیوان عبید زاکانی‏</w:t>
        </w:r>
        <w:r>
          <w:tab/>
        </w:r>
        <w:r>
          <w:fldChar w:fldCharType="begin"/>
        </w:r>
        <w:r>
          <w:instrText xml:space="preserve">PAGEREF 5172 \h</w:instrText>
        </w:r>
        <w:r>
          <w:fldChar w:fldCharType="end"/>
        </w:r>
      </w:hyperlink>
    </w:p>
    <w:p>
      <w:pPr>
        <w:tabs>
          <w:tab w:val="right" w:leader="dot" w:pos="9062"/>
        </w:tabs>
        <w:ind w:left="440"/>
      </w:pPr>
      <w:hyperlink w:anchor="_Toc5173" w:history="1">
        <w:r>
          <w:rPr>
            <w:rFonts w:ascii="IRNazanin" w:hAnsi="IRNazanin" w:eastAsia="IRNazanin" w:cs="IRNazanin"/>
            <w:color w:val="111111"/>
            <w:sz w:val="22"/>
            <w:szCs w:val="22"/>
            <w:b w:val="0"/>
            <w:bCs w:val="0"/>
            <w:i w:val="0"/>
            <w:iCs w:val="0"/>
          </w:rPr>
          <w:t>4899- دیوان قاضی القضاة عبید الله‏</w:t>
        </w:r>
        <w:r>
          <w:tab/>
        </w:r>
        <w:r>
          <w:fldChar w:fldCharType="begin"/>
        </w:r>
        <w:r>
          <w:instrText xml:space="preserve">PAGEREF 5173 \h</w:instrText>
        </w:r>
        <w:r>
          <w:fldChar w:fldCharType="end"/>
        </w:r>
      </w:hyperlink>
    </w:p>
    <w:p>
      <w:pPr>
        <w:tabs>
          <w:tab w:val="right" w:leader="dot" w:pos="9062"/>
        </w:tabs>
        <w:ind w:left="440"/>
      </w:pPr>
      <w:hyperlink w:anchor="_Toc5174" w:history="1">
        <w:r>
          <w:rPr>
            <w:rFonts w:ascii="IRNazanin" w:hAnsi="IRNazanin" w:eastAsia="IRNazanin" w:cs="IRNazanin"/>
            <w:color w:val="111111"/>
            <w:sz w:val="22"/>
            <w:szCs w:val="22"/>
            <w:b w:val="0"/>
            <w:bCs w:val="0"/>
            <w:i w:val="0"/>
            <w:iCs w:val="0"/>
          </w:rPr>
          <w:t>دیوان أبی أحمد عبید الله‏</w:t>
        </w:r>
        <w:r>
          <w:tab/>
        </w:r>
        <w:r>
          <w:fldChar w:fldCharType="begin"/>
        </w:r>
        <w:r>
          <w:instrText xml:space="preserve">PAGEREF 5174 \h</w:instrText>
        </w:r>
        <w:r>
          <w:fldChar w:fldCharType="end"/>
        </w:r>
      </w:hyperlink>
    </w:p>
    <w:p>
      <w:pPr>
        <w:tabs>
          <w:tab w:val="right" w:leader="dot" w:pos="9062"/>
        </w:tabs>
        <w:ind w:left="440"/>
      </w:pPr>
      <w:hyperlink w:anchor="_Toc5175" w:history="1">
        <w:r>
          <w:rPr>
            <w:rFonts w:ascii="IRNazanin" w:hAnsi="IRNazanin" w:eastAsia="IRNazanin" w:cs="IRNazanin"/>
            <w:color w:val="111111"/>
            <w:sz w:val="22"/>
            <w:szCs w:val="22"/>
            <w:b w:val="0"/>
            <w:bCs w:val="0"/>
            <w:i w:val="0"/>
            <w:iCs w:val="0"/>
          </w:rPr>
          <w:t>4900- دیوان عتابی گلپایگانی أو شعره‏</w:t>
        </w:r>
        <w:r>
          <w:tab/>
        </w:r>
        <w:r>
          <w:fldChar w:fldCharType="begin"/>
        </w:r>
        <w:r>
          <w:instrText xml:space="preserve">PAGEREF 5175 \h</w:instrText>
        </w:r>
        <w:r>
          <w:fldChar w:fldCharType="end"/>
        </w:r>
      </w:hyperlink>
    </w:p>
    <w:p>
      <w:pPr>
        <w:tabs>
          <w:tab w:val="right" w:leader="dot" w:pos="9062"/>
        </w:tabs>
        <w:ind w:left="440"/>
      </w:pPr>
      <w:hyperlink w:anchor="_Toc5176" w:history="1">
        <w:r>
          <w:rPr>
            <w:rFonts w:ascii="IRNazanin" w:hAnsi="IRNazanin" w:eastAsia="IRNazanin" w:cs="IRNazanin"/>
            <w:color w:val="111111"/>
            <w:sz w:val="22"/>
            <w:szCs w:val="22"/>
            <w:b w:val="0"/>
            <w:bCs w:val="0"/>
            <w:i w:val="0"/>
            <w:iCs w:val="0"/>
          </w:rPr>
          <w:t>4901- دیوان عتیقی تبریزی أو شعره‏</w:t>
        </w:r>
        <w:r>
          <w:tab/>
        </w:r>
        <w:r>
          <w:fldChar w:fldCharType="begin"/>
        </w:r>
        <w:r>
          <w:instrText xml:space="preserve">PAGEREF 5176 \h</w:instrText>
        </w:r>
        <w:r>
          <w:fldChar w:fldCharType="end"/>
        </w:r>
      </w:hyperlink>
    </w:p>
    <w:p>
      <w:pPr>
        <w:tabs>
          <w:tab w:val="right" w:leader="dot" w:pos="9062"/>
        </w:tabs>
        <w:ind w:left="440"/>
      </w:pPr>
      <w:hyperlink w:anchor="_Toc5177" w:history="1">
        <w:r>
          <w:rPr>
            <w:rFonts w:ascii="IRNazanin" w:hAnsi="IRNazanin" w:eastAsia="IRNazanin" w:cs="IRNazanin"/>
            <w:color w:val="111111"/>
            <w:sz w:val="22"/>
            <w:szCs w:val="22"/>
            <w:b w:val="0"/>
            <w:bCs w:val="0"/>
            <w:i w:val="0"/>
            <w:iCs w:val="0"/>
          </w:rPr>
          <w:t>4902- دیوان عتیقی سمرقندی‏</w:t>
        </w:r>
        <w:r>
          <w:tab/>
        </w:r>
        <w:r>
          <w:fldChar w:fldCharType="begin"/>
        </w:r>
        <w:r>
          <w:instrText xml:space="preserve">PAGEREF 5177 \h</w:instrText>
        </w:r>
        <w:r>
          <w:fldChar w:fldCharType="end"/>
        </w:r>
      </w:hyperlink>
    </w:p>
    <w:p>
      <w:pPr>
        <w:tabs>
          <w:tab w:val="right" w:leader="dot" w:pos="9062"/>
        </w:tabs>
        <w:ind w:left="440"/>
      </w:pPr>
      <w:hyperlink w:anchor="_Toc5178" w:history="1">
        <w:r>
          <w:rPr>
            <w:rFonts w:ascii="IRNazanin" w:hAnsi="IRNazanin" w:eastAsia="IRNazanin" w:cs="IRNazanin"/>
            <w:color w:val="111111"/>
            <w:sz w:val="22"/>
            <w:szCs w:val="22"/>
            <w:b w:val="0"/>
            <w:bCs w:val="0"/>
            <w:i w:val="0"/>
            <w:iCs w:val="0"/>
          </w:rPr>
          <w:t>4903- دیوان عتیقی شروانی أو شعره‏</w:t>
        </w:r>
        <w:r>
          <w:tab/>
        </w:r>
        <w:r>
          <w:fldChar w:fldCharType="begin"/>
        </w:r>
        <w:r>
          <w:instrText xml:space="preserve">PAGEREF 5178 \h</w:instrText>
        </w:r>
        <w:r>
          <w:fldChar w:fldCharType="end"/>
        </w:r>
      </w:hyperlink>
    </w:p>
    <w:p>
      <w:pPr>
        <w:tabs>
          <w:tab w:val="right" w:leader="dot" w:pos="9062"/>
        </w:tabs>
        <w:ind w:left="440"/>
      </w:pPr>
      <w:hyperlink w:anchor="_Toc5179" w:history="1">
        <w:r>
          <w:rPr>
            <w:rFonts w:ascii="IRNazanin" w:hAnsi="IRNazanin" w:eastAsia="IRNazanin" w:cs="IRNazanin"/>
            <w:color w:val="111111"/>
            <w:sz w:val="22"/>
            <w:szCs w:val="22"/>
            <w:b w:val="0"/>
            <w:bCs w:val="0"/>
            <w:i w:val="0"/>
            <w:iCs w:val="0"/>
          </w:rPr>
          <w:t>4904- دیوان عتیقی شروانی أو شعره‏</w:t>
        </w:r>
        <w:r>
          <w:tab/>
        </w:r>
        <w:r>
          <w:fldChar w:fldCharType="begin"/>
        </w:r>
        <w:r>
          <w:instrText xml:space="preserve">PAGEREF 5179 \h</w:instrText>
        </w:r>
        <w:r>
          <w:fldChar w:fldCharType="end"/>
        </w:r>
      </w:hyperlink>
    </w:p>
    <w:p>
      <w:pPr>
        <w:tabs>
          <w:tab w:val="right" w:leader="dot" w:pos="9062"/>
        </w:tabs>
        <w:ind w:left="440"/>
      </w:pPr>
      <w:hyperlink w:anchor="_Toc5180" w:history="1">
        <w:r>
          <w:rPr>
            <w:rFonts w:ascii="IRNazanin" w:hAnsi="IRNazanin" w:eastAsia="IRNazanin" w:cs="IRNazanin"/>
            <w:color w:val="111111"/>
            <w:sz w:val="22"/>
            <w:szCs w:val="22"/>
            <w:b w:val="0"/>
            <w:bCs w:val="0"/>
            <w:i w:val="0"/>
            <w:iCs w:val="0"/>
          </w:rPr>
          <w:t>4905- دیوان عجائب و غرائب‏</w:t>
        </w:r>
        <w:r>
          <w:tab/>
        </w:r>
        <w:r>
          <w:fldChar w:fldCharType="begin"/>
        </w:r>
        <w:r>
          <w:instrText xml:space="preserve">PAGEREF 5180 \h</w:instrText>
        </w:r>
        <w:r>
          <w:fldChar w:fldCharType="end"/>
        </w:r>
      </w:hyperlink>
    </w:p>
    <w:p>
      <w:pPr>
        <w:tabs>
          <w:tab w:val="right" w:leader="dot" w:pos="9062"/>
        </w:tabs>
        <w:ind w:left="440"/>
      </w:pPr>
      <w:hyperlink w:anchor="_Toc5181" w:history="1">
        <w:r>
          <w:rPr>
            <w:rFonts w:ascii="IRNazanin" w:hAnsi="IRNazanin" w:eastAsia="IRNazanin" w:cs="IRNazanin"/>
            <w:color w:val="111111"/>
            <w:sz w:val="22"/>
            <w:szCs w:val="22"/>
            <w:b w:val="0"/>
            <w:bCs w:val="0"/>
            <w:i w:val="0"/>
            <w:iCs w:val="0"/>
          </w:rPr>
          <w:t>4906- دیوان عجزی‏</w:t>
        </w:r>
        <w:r>
          <w:tab/>
        </w:r>
        <w:r>
          <w:fldChar w:fldCharType="begin"/>
        </w:r>
        <w:r>
          <w:instrText xml:space="preserve">PAGEREF 5181 \h</w:instrText>
        </w:r>
        <w:r>
          <w:fldChar w:fldCharType="end"/>
        </w:r>
      </w:hyperlink>
    </w:p>
    <w:p>
      <w:pPr>
        <w:tabs>
          <w:tab w:val="right" w:leader="dot" w:pos="9062"/>
        </w:tabs>
        <w:ind w:left="440"/>
      </w:pPr>
      <w:hyperlink w:anchor="_Toc5182" w:history="1">
        <w:r>
          <w:rPr>
            <w:rFonts w:ascii="IRNazanin" w:hAnsi="IRNazanin" w:eastAsia="IRNazanin" w:cs="IRNazanin"/>
            <w:color w:val="111111"/>
            <w:sz w:val="22"/>
            <w:szCs w:val="22"/>
            <w:b w:val="0"/>
            <w:bCs w:val="0"/>
            <w:i w:val="0"/>
            <w:iCs w:val="0"/>
          </w:rPr>
          <w:t>دیوان عجزی یزدی‏</w:t>
        </w:r>
        <w:r>
          <w:tab/>
        </w:r>
        <w:r>
          <w:fldChar w:fldCharType="begin"/>
        </w:r>
        <w:r>
          <w:instrText xml:space="preserve">PAGEREF 5182 \h</w:instrText>
        </w:r>
        <w:r>
          <w:fldChar w:fldCharType="end"/>
        </w:r>
      </w:hyperlink>
    </w:p>
    <w:p>
      <w:pPr>
        <w:tabs>
          <w:tab w:val="right" w:leader="dot" w:pos="9062"/>
        </w:tabs>
        <w:ind w:left="440"/>
      </w:pPr>
      <w:hyperlink w:anchor="_Toc5183" w:history="1">
        <w:r>
          <w:rPr>
            <w:rFonts w:ascii="IRNazanin" w:hAnsi="IRNazanin" w:eastAsia="IRNazanin" w:cs="IRNazanin"/>
            <w:color w:val="111111"/>
            <w:sz w:val="22"/>
            <w:szCs w:val="22"/>
            <w:b w:val="0"/>
            <w:bCs w:val="0"/>
            <w:i w:val="0"/>
            <w:iCs w:val="0"/>
          </w:rPr>
          <w:t>4907- دیوان عجیب مازندرانی‏</w:t>
        </w:r>
        <w:r>
          <w:tab/>
        </w:r>
        <w:r>
          <w:fldChar w:fldCharType="begin"/>
        </w:r>
        <w:r>
          <w:instrText xml:space="preserve">PAGEREF 5183 \h</w:instrText>
        </w:r>
        <w:r>
          <w:fldChar w:fldCharType="end"/>
        </w:r>
      </w:hyperlink>
    </w:p>
    <w:p>
      <w:pPr>
        <w:tabs>
          <w:tab w:val="right" w:leader="dot" w:pos="9062"/>
        </w:tabs>
        <w:ind w:left="440"/>
      </w:pPr>
      <w:hyperlink w:anchor="_Toc5184" w:history="1">
        <w:r>
          <w:rPr>
            <w:rFonts w:ascii="IRNazanin" w:hAnsi="IRNazanin" w:eastAsia="IRNazanin" w:cs="IRNazanin"/>
            <w:color w:val="111111"/>
            <w:sz w:val="22"/>
            <w:szCs w:val="22"/>
            <w:b w:val="0"/>
            <w:bCs w:val="0"/>
            <w:i w:val="0"/>
            <w:iCs w:val="0"/>
          </w:rPr>
          <w:t>4908- دیوان عجیبی جرجانی‏</w:t>
        </w:r>
        <w:r>
          <w:tab/>
        </w:r>
        <w:r>
          <w:fldChar w:fldCharType="begin"/>
        </w:r>
        <w:r>
          <w:instrText xml:space="preserve">PAGEREF 5184 \h</w:instrText>
        </w:r>
        <w:r>
          <w:fldChar w:fldCharType="end"/>
        </w:r>
      </w:hyperlink>
    </w:p>
    <w:p>
      <w:pPr>
        <w:tabs>
          <w:tab w:val="right" w:leader="dot" w:pos="9062"/>
        </w:tabs>
        <w:ind w:left="440"/>
      </w:pPr>
      <w:hyperlink w:anchor="_Toc5185" w:history="1">
        <w:r>
          <w:rPr>
            <w:rFonts w:ascii="IRNazanin" w:hAnsi="IRNazanin" w:eastAsia="IRNazanin" w:cs="IRNazanin"/>
            <w:color w:val="111111"/>
            <w:sz w:val="22"/>
            <w:szCs w:val="22"/>
            <w:b w:val="0"/>
            <w:bCs w:val="0"/>
            <w:i w:val="0"/>
            <w:iCs w:val="0"/>
          </w:rPr>
          <w:t>4909- دیوان السید عدنان‏</w:t>
        </w:r>
        <w:r>
          <w:tab/>
        </w:r>
        <w:r>
          <w:fldChar w:fldCharType="begin"/>
        </w:r>
        <w:r>
          <w:instrText xml:space="preserve">PAGEREF 5185 \h</w:instrText>
        </w:r>
        <w:r>
          <w:fldChar w:fldCharType="end"/>
        </w:r>
      </w:hyperlink>
    </w:p>
    <w:p>
      <w:pPr>
        <w:tabs>
          <w:tab w:val="right" w:leader="dot" w:pos="9062"/>
        </w:tabs>
        <w:ind w:left="440"/>
      </w:pPr>
      <w:hyperlink w:anchor="_Toc5186" w:history="1">
        <w:r>
          <w:rPr>
            <w:rFonts w:ascii="IRNazanin" w:hAnsi="IRNazanin" w:eastAsia="IRNazanin" w:cs="IRNazanin"/>
            <w:color w:val="111111"/>
            <w:sz w:val="22"/>
            <w:szCs w:val="22"/>
            <w:b w:val="0"/>
            <w:bCs w:val="0"/>
            <w:i w:val="0"/>
            <w:iCs w:val="0"/>
          </w:rPr>
          <w:t>دیوان عذری‏</w:t>
        </w:r>
        <w:r>
          <w:tab/>
        </w:r>
        <w:r>
          <w:fldChar w:fldCharType="begin"/>
        </w:r>
        <w:r>
          <w:instrText xml:space="preserve">PAGEREF 5186 \h</w:instrText>
        </w:r>
        <w:r>
          <w:fldChar w:fldCharType="end"/>
        </w:r>
      </w:hyperlink>
    </w:p>
    <w:p>
      <w:pPr>
        <w:tabs>
          <w:tab w:val="right" w:leader="dot" w:pos="9062"/>
        </w:tabs>
        <w:ind w:left="440"/>
      </w:pPr>
      <w:hyperlink w:anchor="_Toc5187" w:history="1">
        <w:r>
          <w:rPr>
            <w:rFonts w:ascii="IRNazanin" w:hAnsi="IRNazanin" w:eastAsia="IRNazanin" w:cs="IRNazanin"/>
            <w:color w:val="111111"/>
            <w:sz w:val="22"/>
            <w:szCs w:val="22"/>
            <w:b w:val="0"/>
            <w:bCs w:val="0"/>
            <w:i w:val="0"/>
            <w:iCs w:val="0"/>
          </w:rPr>
          <w:t>4910- دیوان عذری بیگدلی‏</w:t>
        </w:r>
        <w:r>
          <w:tab/>
        </w:r>
        <w:r>
          <w:fldChar w:fldCharType="begin"/>
        </w:r>
        <w:r>
          <w:instrText xml:space="preserve">PAGEREF 5187 \h</w:instrText>
        </w:r>
        <w:r>
          <w:fldChar w:fldCharType="end"/>
        </w:r>
      </w:hyperlink>
    </w:p>
    <w:p>
      <w:pPr>
        <w:tabs>
          <w:tab w:val="right" w:leader="dot" w:pos="9062"/>
        </w:tabs>
        <w:ind w:left="440"/>
      </w:pPr>
      <w:hyperlink w:anchor="_Toc5188" w:history="1">
        <w:r>
          <w:rPr>
            <w:rFonts w:ascii="IRNazanin" w:hAnsi="IRNazanin" w:eastAsia="IRNazanin" w:cs="IRNazanin"/>
            <w:color w:val="111111"/>
            <w:sz w:val="22"/>
            <w:szCs w:val="22"/>
            <w:b w:val="0"/>
            <w:bCs w:val="0"/>
            <w:i w:val="0"/>
            <w:iCs w:val="0"/>
          </w:rPr>
          <w:t>4911- دیوان عراقی همدانی‏</w:t>
        </w:r>
        <w:r>
          <w:tab/>
        </w:r>
        <w:r>
          <w:fldChar w:fldCharType="begin"/>
        </w:r>
        <w:r>
          <w:instrText xml:space="preserve">PAGEREF 5188 \h</w:instrText>
        </w:r>
        <w:r>
          <w:fldChar w:fldCharType="end"/>
        </w:r>
      </w:hyperlink>
    </w:p>
    <w:p>
      <w:pPr>
        <w:tabs>
          <w:tab w:val="right" w:leader="dot" w:pos="9062"/>
        </w:tabs>
        <w:ind w:left="440"/>
      </w:pPr>
      <w:hyperlink w:anchor="_Toc5189" w:history="1">
        <w:r>
          <w:rPr>
            <w:rFonts w:ascii="IRNazanin" w:hAnsi="IRNazanin" w:eastAsia="IRNazanin" w:cs="IRNazanin"/>
            <w:color w:val="111111"/>
            <w:sz w:val="22"/>
            <w:szCs w:val="22"/>
            <w:b w:val="0"/>
            <w:bCs w:val="0"/>
            <w:i w:val="0"/>
            <w:iCs w:val="0"/>
          </w:rPr>
          <w:t>دیوان عرب التبریزی‏</w:t>
        </w:r>
        <w:r>
          <w:tab/>
        </w:r>
        <w:r>
          <w:fldChar w:fldCharType="begin"/>
        </w:r>
        <w:r>
          <w:instrText xml:space="preserve">PAGEREF 5189 \h</w:instrText>
        </w:r>
        <w:r>
          <w:fldChar w:fldCharType="end"/>
        </w:r>
      </w:hyperlink>
    </w:p>
    <w:p>
      <w:pPr>
        <w:tabs>
          <w:tab w:val="right" w:leader="dot" w:pos="9062"/>
        </w:tabs>
        <w:ind w:left="440"/>
      </w:pPr>
      <w:hyperlink w:anchor="_Toc5190" w:history="1">
        <w:r>
          <w:rPr>
            <w:rFonts w:ascii="IRNazanin" w:hAnsi="IRNazanin" w:eastAsia="IRNazanin" w:cs="IRNazanin"/>
            <w:color w:val="111111"/>
            <w:sz w:val="22"/>
            <w:szCs w:val="22"/>
            <w:b w:val="0"/>
            <w:bCs w:val="0"/>
            <w:i w:val="0"/>
            <w:iCs w:val="0"/>
          </w:rPr>
          <w:t>4912- دیوان عرب شیرازی أو شعره‏</w:t>
        </w:r>
        <w:r>
          <w:tab/>
        </w:r>
        <w:r>
          <w:fldChar w:fldCharType="begin"/>
        </w:r>
        <w:r>
          <w:instrText xml:space="preserve">PAGEREF 5190 \h</w:instrText>
        </w:r>
        <w:r>
          <w:fldChar w:fldCharType="end"/>
        </w:r>
      </w:hyperlink>
    </w:p>
    <w:p>
      <w:pPr>
        <w:tabs>
          <w:tab w:val="right" w:leader="dot" w:pos="9062"/>
        </w:tabs>
        <w:ind w:left="440"/>
      </w:pPr>
      <w:hyperlink w:anchor="_Toc5191" w:history="1">
        <w:r>
          <w:rPr>
            <w:rFonts w:ascii="IRNazanin" w:hAnsi="IRNazanin" w:eastAsia="IRNazanin" w:cs="IRNazanin"/>
            <w:color w:val="111111"/>
            <w:sz w:val="22"/>
            <w:szCs w:val="22"/>
            <w:b w:val="0"/>
            <w:bCs w:val="0"/>
            <w:i w:val="0"/>
            <w:iCs w:val="0"/>
          </w:rPr>
          <w:t>4913- دیوان عرب آقا کرمانی‏</w:t>
        </w:r>
        <w:r>
          <w:tab/>
        </w:r>
        <w:r>
          <w:fldChar w:fldCharType="begin"/>
        </w:r>
        <w:r>
          <w:instrText xml:space="preserve">PAGEREF 5191 \h</w:instrText>
        </w:r>
        <w:r>
          <w:fldChar w:fldCharType="end"/>
        </w:r>
      </w:hyperlink>
    </w:p>
    <w:p>
      <w:pPr>
        <w:tabs>
          <w:tab w:val="right" w:leader="dot" w:pos="9062"/>
        </w:tabs>
        <w:ind w:left="440"/>
      </w:pPr>
      <w:hyperlink w:anchor="_Toc5192" w:history="1">
        <w:r>
          <w:rPr>
            <w:rFonts w:ascii="IRNazanin" w:hAnsi="IRNazanin" w:eastAsia="IRNazanin" w:cs="IRNazanin"/>
            <w:color w:val="111111"/>
            <w:sz w:val="22"/>
            <w:szCs w:val="22"/>
            <w:b w:val="0"/>
            <w:bCs w:val="0"/>
            <w:i w:val="0"/>
            <w:iCs w:val="0"/>
          </w:rPr>
          <w:t>4914- دیوان عرشی أکبرآبادی‏</w:t>
        </w:r>
        <w:r>
          <w:tab/>
        </w:r>
        <w:r>
          <w:fldChar w:fldCharType="begin"/>
        </w:r>
        <w:r>
          <w:instrText xml:space="preserve">PAGEREF 5192 \h</w:instrText>
        </w:r>
        <w:r>
          <w:fldChar w:fldCharType="end"/>
        </w:r>
      </w:hyperlink>
    </w:p>
    <w:p>
      <w:pPr>
        <w:tabs>
          <w:tab w:val="right" w:leader="dot" w:pos="9062"/>
        </w:tabs>
        <w:ind w:left="440"/>
      </w:pPr>
      <w:hyperlink w:anchor="_Toc5193" w:history="1">
        <w:r>
          <w:rPr>
            <w:rFonts w:ascii="IRNazanin" w:hAnsi="IRNazanin" w:eastAsia="IRNazanin" w:cs="IRNazanin"/>
            <w:color w:val="111111"/>
            <w:sz w:val="22"/>
            <w:szCs w:val="22"/>
            <w:b w:val="0"/>
            <w:bCs w:val="0"/>
            <w:i w:val="0"/>
            <w:iCs w:val="0"/>
          </w:rPr>
          <w:t>دیوان عرشی تکلو</w:t>
        </w:r>
        <w:r>
          <w:tab/>
        </w:r>
        <w:r>
          <w:fldChar w:fldCharType="begin"/>
        </w:r>
        <w:r>
          <w:instrText xml:space="preserve">PAGEREF 5193 \h</w:instrText>
        </w:r>
        <w:r>
          <w:fldChar w:fldCharType="end"/>
        </w:r>
      </w:hyperlink>
    </w:p>
    <w:p>
      <w:pPr>
        <w:tabs>
          <w:tab w:val="right" w:leader="dot" w:pos="9062"/>
        </w:tabs>
        <w:ind w:left="440"/>
      </w:pPr>
      <w:hyperlink w:anchor="_Toc5194" w:history="1">
        <w:r>
          <w:rPr>
            <w:rFonts w:ascii="IRNazanin" w:hAnsi="IRNazanin" w:eastAsia="IRNazanin" w:cs="IRNazanin"/>
            <w:color w:val="111111"/>
            <w:sz w:val="22"/>
            <w:szCs w:val="22"/>
            <w:b w:val="0"/>
            <w:bCs w:val="0"/>
            <w:i w:val="0"/>
            <w:iCs w:val="0"/>
          </w:rPr>
          <w:t>4915- دیوان عرشی تبریزی‏</w:t>
        </w:r>
        <w:r>
          <w:tab/>
        </w:r>
        <w:r>
          <w:fldChar w:fldCharType="begin"/>
        </w:r>
        <w:r>
          <w:instrText xml:space="preserve">PAGEREF 5194 \h</w:instrText>
        </w:r>
        <w:r>
          <w:fldChar w:fldCharType="end"/>
        </w:r>
      </w:hyperlink>
    </w:p>
    <w:p>
      <w:pPr>
        <w:tabs>
          <w:tab w:val="right" w:leader="dot" w:pos="9062"/>
        </w:tabs>
        <w:ind w:left="440"/>
      </w:pPr>
      <w:hyperlink w:anchor="_Toc5195" w:history="1">
        <w:r>
          <w:rPr>
            <w:rFonts w:ascii="IRNazanin" w:hAnsi="IRNazanin" w:eastAsia="IRNazanin" w:cs="IRNazanin"/>
            <w:color w:val="111111"/>
            <w:sz w:val="22"/>
            <w:szCs w:val="22"/>
            <w:b w:val="0"/>
            <w:bCs w:val="0"/>
            <w:i w:val="0"/>
            <w:iCs w:val="0"/>
          </w:rPr>
          <w:t>دیوان عرشی یزدی‏</w:t>
        </w:r>
        <w:r>
          <w:tab/>
        </w:r>
        <w:r>
          <w:fldChar w:fldCharType="begin"/>
        </w:r>
        <w:r>
          <w:instrText xml:space="preserve">PAGEREF 5195 \h</w:instrText>
        </w:r>
        <w:r>
          <w:fldChar w:fldCharType="end"/>
        </w:r>
      </w:hyperlink>
    </w:p>
    <w:p>
      <w:pPr>
        <w:tabs>
          <w:tab w:val="right" w:leader="dot" w:pos="9062"/>
        </w:tabs>
        <w:ind w:left="440"/>
      </w:pPr>
      <w:hyperlink w:anchor="_Toc5196" w:history="1">
        <w:r>
          <w:rPr>
            <w:rFonts w:ascii="IRNazanin" w:hAnsi="IRNazanin" w:eastAsia="IRNazanin" w:cs="IRNazanin"/>
            <w:color w:val="111111"/>
            <w:sz w:val="22"/>
            <w:szCs w:val="22"/>
            <w:b w:val="0"/>
            <w:bCs w:val="0"/>
            <w:i w:val="0"/>
            <w:iCs w:val="0"/>
          </w:rPr>
          <w:t>4916- دیوان عرفان أصفهانی أو شعره‏</w:t>
        </w:r>
        <w:r>
          <w:tab/>
        </w:r>
        <w:r>
          <w:fldChar w:fldCharType="begin"/>
        </w:r>
        <w:r>
          <w:instrText xml:space="preserve">PAGEREF 5196 \h</w:instrText>
        </w:r>
        <w:r>
          <w:fldChar w:fldCharType="end"/>
        </w:r>
      </w:hyperlink>
    </w:p>
    <w:p>
      <w:pPr>
        <w:tabs>
          <w:tab w:val="right" w:leader="dot" w:pos="9062"/>
        </w:tabs>
        <w:ind w:left="440"/>
      </w:pPr>
      <w:hyperlink w:anchor="_Toc5197" w:history="1">
        <w:r>
          <w:rPr>
            <w:rFonts w:ascii="IRNazanin" w:hAnsi="IRNazanin" w:eastAsia="IRNazanin" w:cs="IRNazanin"/>
            <w:color w:val="111111"/>
            <w:sz w:val="22"/>
            <w:szCs w:val="22"/>
            <w:b w:val="0"/>
            <w:bCs w:val="0"/>
            <w:i w:val="0"/>
            <w:iCs w:val="0"/>
          </w:rPr>
          <w:t>4917- دیوان عرفان الشهرستانی‏</w:t>
        </w:r>
        <w:r>
          <w:tab/>
        </w:r>
        <w:r>
          <w:fldChar w:fldCharType="begin"/>
        </w:r>
        <w:r>
          <w:instrText xml:space="preserve">PAGEREF 5197 \h</w:instrText>
        </w:r>
        <w:r>
          <w:fldChar w:fldCharType="end"/>
        </w:r>
      </w:hyperlink>
    </w:p>
    <w:p>
      <w:pPr>
        <w:tabs>
          <w:tab w:val="right" w:leader="dot" w:pos="9062"/>
        </w:tabs>
        <w:ind w:left="440"/>
      </w:pPr>
      <w:hyperlink w:anchor="_Toc5198" w:history="1">
        <w:r>
          <w:rPr>
            <w:rFonts w:ascii="IRNazanin" w:hAnsi="IRNazanin" w:eastAsia="IRNazanin" w:cs="IRNazanin"/>
            <w:color w:val="111111"/>
            <w:sz w:val="22"/>
            <w:szCs w:val="22"/>
            <w:b w:val="0"/>
            <w:bCs w:val="0"/>
            <w:i w:val="0"/>
            <w:iCs w:val="0"/>
          </w:rPr>
          <w:t>4918- دیوان میر عرفان الطهرانی‏</w:t>
        </w:r>
        <w:r>
          <w:tab/>
        </w:r>
        <w:r>
          <w:fldChar w:fldCharType="begin"/>
        </w:r>
        <w:r>
          <w:instrText xml:space="preserve">PAGEREF 5198 \h</w:instrText>
        </w:r>
        <w:r>
          <w:fldChar w:fldCharType="end"/>
        </w:r>
      </w:hyperlink>
    </w:p>
    <w:p>
      <w:pPr>
        <w:tabs>
          <w:tab w:val="right" w:leader="dot" w:pos="9062"/>
        </w:tabs>
        <w:ind w:left="440"/>
      </w:pPr>
      <w:hyperlink w:anchor="_Toc5199" w:history="1">
        <w:r>
          <w:rPr>
            <w:rFonts w:ascii="IRNazanin" w:hAnsi="IRNazanin" w:eastAsia="IRNazanin" w:cs="IRNazanin"/>
            <w:color w:val="111111"/>
            <w:sz w:val="22"/>
            <w:szCs w:val="22"/>
            <w:b w:val="0"/>
            <w:bCs w:val="0"/>
            <w:i w:val="0"/>
            <w:iCs w:val="0"/>
          </w:rPr>
          <w:t>4919- دیوان عرفان کالبی أو شعره‏</w:t>
        </w:r>
        <w:r>
          <w:tab/>
        </w:r>
        <w:r>
          <w:fldChar w:fldCharType="begin"/>
        </w:r>
        <w:r>
          <w:instrText xml:space="preserve">PAGEREF 5199 \h</w:instrText>
        </w:r>
        <w:r>
          <w:fldChar w:fldCharType="end"/>
        </w:r>
      </w:hyperlink>
    </w:p>
    <w:p>
      <w:pPr>
        <w:tabs>
          <w:tab w:val="right" w:leader="dot" w:pos="9062"/>
        </w:tabs>
        <w:ind w:left="440"/>
      </w:pPr>
      <w:hyperlink w:anchor="_Toc5200" w:history="1">
        <w:r>
          <w:rPr>
            <w:rFonts w:ascii="IRNazanin" w:hAnsi="IRNazanin" w:eastAsia="IRNazanin" w:cs="IRNazanin"/>
            <w:color w:val="111111"/>
            <w:sz w:val="22"/>
            <w:szCs w:val="22"/>
            <w:b w:val="0"/>
            <w:bCs w:val="0"/>
            <w:i w:val="0"/>
            <w:iCs w:val="0"/>
          </w:rPr>
          <w:t>4920- دیوان عرفان هندی أو شعره‏</w:t>
        </w:r>
        <w:r>
          <w:tab/>
        </w:r>
        <w:r>
          <w:fldChar w:fldCharType="begin"/>
        </w:r>
        <w:r>
          <w:instrText xml:space="preserve">PAGEREF 5200 \h</w:instrText>
        </w:r>
        <w:r>
          <w:fldChar w:fldCharType="end"/>
        </w:r>
      </w:hyperlink>
    </w:p>
    <w:p>
      <w:pPr>
        <w:tabs>
          <w:tab w:val="right" w:leader="dot" w:pos="9062"/>
        </w:tabs>
        <w:ind w:left="440"/>
      </w:pPr>
      <w:hyperlink w:anchor="_Toc5201" w:history="1">
        <w:r>
          <w:rPr>
            <w:rFonts w:ascii="IRNazanin" w:hAnsi="IRNazanin" w:eastAsia="IRNazanin" w:cs="IRNazanin"/>
            <w:color w:val="111111"/>
            <w:sz w:val="22"/>
            <w:szCs w:val="22"/>
            <w:b w:val="0"/>
            <w:bCs w:val="0"/>
            <w:i w:val="0"/>
            <w:iCs w:val="0"/>
          </w:rPr>
          <w:t>4921- دیوان عرفان یزدی‏</w:t>
        </w:r>
        <w:r>
          <w:tab/>
        </w:r>
        <w:r>
          <w:fldChar w:fldCharType="begin"/>
        </w:r>
        <w:r>
          <w:instrText xml:space="preserve">PAGEREF 5201 \h</w:instrText>
        </w:r>
        <w:r>
          <w:fldChar w:fldCharType="end"/>
        </w:r>
      </w:hyperlink>
    </w:p>
    <w:p>
      <w:pPr>
        <w:tabs>
          <w:tab w:val="right" w:leader="dot" w:pos="9062"/>
        </w:tabs>
        <w:ind w:left="440"/>
      </w:pPr>
      <w:hyperlink w:anchor="_Toc5202" w:history="1">
        <w:r>
          <w:rPr>
            <w:rFonts w:ascii="IRNazanin" w:hAnsi="IRNazanin" w:eastAsia="IRNazanin" w:cs="IRNazanin"/>
            <w:color w:val="111111"/>
            <w:sz w:val="22"/>
            <w:szCs w:val="22"/>
            <w:b w:val="0"/>
            <w:bCs w:val="0"/>
            <w:i w:val="0"/>
            <w:iCs w:val="0"/>
          </w:rPr>
          <w:t>4922- دیوان عرفی التبریزی‏</w:t>
        </w:r>
        <w:r>
          <w:tab/>
        </w:r>
        <w:r>
          <w:fldChar w:fldCharType="begin"/>
        </w:r>
        <w:r>
          <w:instrText xml:space="preserve">PAGEREF 5202 \h</w:instrText>
        </w:r>
        <w:r>
          <w:fldChar w:fldCharType="end"/>
        </w:r>
      </w:hyperlink>
    </w:p>
    <w:p>
      <w:pPr>
        <w:tabs>
          <w:tab w:val="right" w:leader="dot" w:pos="9062"/>
        </w:tabs>
        <w:ind w:left="440"/>
      </w:pPr>
      <w:hyperlink w:anchor="_Toc5203" w:history="1">
        <w:r>
          <w:rPr>
            <w:rFonts w:ascii="IRNazanin" w:hAnsi="IRNazanin" w:eastAsia="IRNazanin" w:cs="IRNazanin"/>
            <w:color w:val="111111"/>
            <w:sz w:val="22"/>
            <w:szCs w:val="22"/>
            <w:b w:val="0"/>
            <w:bCs w:val="0"/>
            <w:i w:val="0"/>
            <w:iCs w:val="0"/>
          </w:rPr>
          <w:t>4923- دیوان عرفی شیرازی‏</w:t>
        </w:r>
        <w:r>
          <w:tab/>
        </w:r>
        <w:r>
          <w:fldChar w:fldCharType="begin"/>
        </w:r>
        <w:r>
          <w:instrText xml:space="preserve">PAGEREF 5203 \h</w:instrText>
        </w:r>
        <w:r>
          <w:fldChar w:fldCharType="end"/>
        </w:r>
      </w:hyperlink>
    </w:p>
    <w:p>
      <w:pPr>
        <w:tabs>
          <w:tab w:val="right" w:leader="dot" w:pos="9062"/>
        </w:tabs>
        <w:ind w:left="440"/>
      </w:pPr>
      <w:hyperlink w:anchor="_Toc5204" w:history="1">
        <w:r>
          <w:rPr>
            <w:rFonts w:ascii="IRNazanin" w:hAnsi="IRNazanin" w:eastAsia="IRNazanin" w:cs="IRNazanin"/>
            <w:color w:val="111111"/>
            <w:sz w:val="22"/>
            <w:szCs w:val="22"/>
            <w:b w:val="0"/>
            <w:bCs w:val="0"/>
            <w:i w:val="0"/>
            <w:iCs w:val="0"/>
          </w:rPr>
          <w:t>دیوان عروضی سمرقندی‏</w:t>
        </w:r>
        <w:r>
          <w:tab/>
        </w:r>
        <w:r>
          <w:fldChar w:fldCharType="begin"/>
        </w:r>
        <w:r>
          <w:instrText xml:space="preserve">PAGEREF 5204 \h</w:instrText>
        </w:r>
        <w:r>
          <w:fldChar w:fldCharType="end"/>
        </w:r>
      </w:hyperlink>
    </w:p>
    <w:p>
      <w:pPr>
        <w:tabs>
          <w:tab w:val="right" w:leader="dot" w:pos="9062"/>
        </w:tabs>
        <w:ind w:left="440"/>
      </w:pPr>
      <w:hyperlink w:anchor="_Toc5205" w:history="1">
        <w:r>
          <w:rPr>
            <w:rFonts w:ascii="IRNazanin" w:hAnsi="IRNazanin" w:eastAsia="IRNazanin" w:cs="IRNazanin"/>
            <w:color w:val="111111"/>
            <w:sz w:val="22"/>
            <w:szCs w:val="22"/>
            <w:b w:val="0"/>
            <w:bCs w:val="0"/>
            <w:i w:val="0"/>
            <w:iCs w:val="0"/>
          </w:rPr>
          <w:t>4924- دیوان عریان‏</w:t>
        </w:r>
        <w:r>
          <w:tab/>
        </w:r>
        <w:r>
          <w:fldChar w:fldCharType="begin"/>
        </w:r>
        <w:r>
          <w:instrText xml:space="preserve">PAGEREF 5205 \h</w:instrText>
        </w:r>
        <w:r>
          <w:fldChar w:fldCharType="end"/>
        </w:r>
      </w:hyperlink>
    </w:p>
    <w:p>
      <w:pPr>
        <w:tabs>
          <w:tab w:val="right" w:leader="dot" w:pos="9062"/>
        </w:tabs>
        <w:ind w:left="440"/>
      </w:pPr>
      <w:hyperlink w:anchor="_Toc5206" w:history="1">
        <w:r>
          <w:rPr>
            <w:rFonts w:ascii="IRNazanin" w:hAnsi="IRNazanin" w:eastAsia="IRNazanin" w:cs="IRNazanin"/>
            <w:color w:val="111111"/>
            <w:sz w:val="22"/>
            <w:szCs w:val="22"/>
            <w:b w:val="0"/>
            <w:bCs w:val="0"/>
            <w:i w:val="0"/>
            <w:iCs w:val="0"/>
          </w:rPr>
          <w:t>4925- دیوان عزت‏</w:t>
        </w:r>
        <w:r>
          <w:tab/>
        </w:r>
        <w:r>
          <w:fldChar w:fldCharType="begin"/>
        </w:r>
        <w:r>
          <w:instrText xml:space="preserve">PAGEREF 5206 \h</w:instrText>
        </w:r>
        <w:r>
          <w:fldChar w:fldCharType="end"/>
        </w:r>
      </w:hyperlink>
    </w:p>
    <w:p>
      <w:pPr>
        <w:tabs>
          <w:tab w:val="right" w:leader="dot" w:pos="9062"/>
        </w:tabs>
        <w:ind w:left="440"/>
      </w:pPr>
      <w:hyperlink w:anchor="_Toc5207" w:history="1">
        <w:r>
          <w:rPr>
            <w:rFonts w:ascii="IRNazanin" w:hAnsi="IRNazanin" w:eastAsia="IRNazanin" w:cs="IRNazanin"/>
            <w:color w:val="111111"/>
            <w:sz w:val="22"/>
            <w:szCs w:val="22"/>
            <w:b w:val="0"/>
            <w:bCs w:val="0"/>
            <w:i w:val="0"/>
            <w:iCs w:val="0"/>
          </w:rPr>
          <w:t>4926- دیوان ملا عزت شیرازی‏</w:t>
        </w:r>
        <w:r>
          <w:tab/>
        </w:r>
        <w:r>
          <w:fldChar w:fldCharType="begin"/>
        </w:r>
        <w:r>
          <w:instrText xml:space="preserve">PAGEREF 5207 \h</w:instrText>
        </w:r>
        <w:r>
          <w:fldChar w:fldCharType="end"/>
        </w:r>
      </w:hyperlink>
    </w:p>
    <w:p>
      <w:pPr>
        <w:tabs>
          <w:tab w:val="right" w:leader="dot" w:pos="9062"/>
        </w:tabs>
        <w:ind w:left="440"/>
      </w:pPr>
      <w:hyperlink w:anchor="_Toc5208" w:history="1">
        <w:r>
          <w:rPr>
            <w:rFonts w:ascii="IRNazanin" w:hAnsi="IRNazanin" w:eastAsia="IRNazanin" w:cs="IRNazanin"/>
            <w:color w:val="111111"/>
            <w:sz w:val="22"/>
            <w:szCs w:val="22"/>
            <w:b w:val="0"/>
            <w:bCs w:val="0"/>
            <w:i w:val="0"/>
            <w:iCs w:val="0"/>
          </w:rPr>
          <w:t>4927- دیوان عزت شیرازی‏</w:t>
        </w:r>
        <w:r>
          <w:tab/>
        </w:r>
        <w:r>
          <w:fldChar w:fldCharType="begin"/>
        </w:r>
        <w:r>
          <w:instrText xml:space="preserve">PAGEREF 5208 \h</w:instrText>
        </w:r>
        <w:r>
          <w:fldChar w:fldCharType="end"/>
        </w:r>
      </w:hyperlink>
    </w:p>
    <w:p>
      <w:pPr>
        <w:tabs>
          <w:tab w:val="right" w:leader="dot" w:pos="9062"/>
        </w:tabs>
        <w:ind w:left="440"/>
      </w:pPr>
      <w:hyperlink w:anchor="_Toc5209" w:history="1">
        <w:r>
          <w:rPr>
            <w:rFonts w:ascii="IRNazanin" w:hAnsi="IRNazanin" w:eastAsia="IRNazanin" w:cs="IRNazanin"/>
            <w:color w:val="111111"/>
            <w:sz w:val="22"/>
            <w:szCs w:val="22"/>
            <w:b w:val="0"/>
            <w:bCs w:val="0"/>
            <w:i w:val="0"/>
            <w:iCs w:val="0"/>
          </w:rPr>
          <w:t>4928- دیوان عزت قاجار</w:t>
        </w:r>
        <w:r>
          <w:tab/>
        </w:r>
        <w:r>
          <w:fldChar w:fldCharType="begin"/>
        </w:r>
        <w:r>
          <w:instrText xml:space="preserve">PAGEREF 5209 \h</w:instrText>
        </w:r>
        <w:r>
          <w:fldChar w:fldCharType="end"/>
        </w:r>
      </w:hyperlink>
    </w:p>
    <w:p>
      <w:pPr>
        <w:tabs>
          <w:tab w:val="right" w:leader="dot" w:pos="9062"/>
        </w:tabs>
        <w:ind w:left="440"/>
      </w:pPr>
      <w:hyperlink w:anchor="_Toc5210" w:history="1">
        <w:r>
          <w:rPr>
            <w:rFonts w:ascii="IRNazanin" w:hAnsi="IRNazanin" w:eastAsia="IRNazanin" w:cs="IRNazanin"/>
            <w:color w:val="111111"/>
            <w:sz w:val="22"/>
            <w:szCs w:val="22"/>
            <w:b w:val="0"/>
            <w:bCs w:val="0"/>
            <w:i w:val="0"/>
            <w:iCs w:val="0"/>
          </w:rPr>
          <w:t>4929- دیوان عزت هروی أو شعره‏</w:t>
        </w:r>
        <w:r>
          <w:tab/>
        </w:r>
        <w:r>
          <w:fldChar w:fldCharType="begin"/>
        </w:r>
        <w:r>
          <w:instrText xml:space="preserve">PAGEREF 5210 \h</w:instrText>
        </w:r>
        <w:r>
          <w:fldChar w:fldCharType="end"/>
        </w:r>
      </w:hyperlink>
    </w:p>
    <w:p>
      <w:pPr>
        <w:tabs>
          <w:tab w:val="right" w:leader="dot" w:pos="9062"/>
        </w:tabs>
        <w:ind w:left="440"/>
      </w:pPr>
      <w:hyperlink w:anchor="_Toc5211" w:history="1">
        <w:r>
          <w:rPr>
            <w:rFonts w:ascii="IRNazanin" w:hAnsi="IRNazanin" w:eastAsia="IRNazanin" w:cs="IRNazanin"/>
            <w:color w:val="111111"/>
            <w:sz w:val="22"/>
            <w:szCs w:val="22"/>
            <w:b w:val="0"/>
            <w:bCs w:val="0"/>
            <w:i w:val="0"/>
            <w:iCs w:val="0"/>
          </w:rPr>
          <w:t>4930- دیوان عزتی شیرازی‏</w:t>
        </w:r>
        <w:r>
          <w:tab/>
        </w:r>
        <w:r>
          <w:fldChar w:fldCharType="begin"/>
        </w:r>
        <w:r>
          <w:instrText xml:space="preserve">PAGEREF 5211 \h</w:instrText>
        </w:r>
        <w:r>
          <w:fldChar w:fldCharType="end"/>
        </w:r>
      </w:hyperlink>
    </w:p>
    <w:p>
      <w:pPr>
        <w:tabs>
          <w:tab w:val="right" w:leader="dot" w:pos="9062"/>
        </w:tabs>
        <w:ind w:left="440"/>
      </w:pPr>
      <w:hyperlink w:anchor="_Toc5212" w:history="1">
        <w:r>
          <w:rPr>
            <w:rFonts w:ascii="IRNazanin" w:hAnsi="IRNazanin" w:eastAsia="IRNazanin" w:cs="IRNazanin"/>
            <w:color w:val="111111"/>
            <w:sz w:val="22"/>
            <w:szCs w:val="22"/>
            <w:b w:val="0"/>
            <w:bCs w:val="0"/>
            <w:i w:val="0"/>
            <w:iCs w:val="0"/>
          </w:rPr>
          <w:t>4931- دیوان عزتی فیروزآبادی أو شعره‏</w:t>
        </w:r>
        <w:r>
          <w:tab/>
        </w:r>
        <w:r>
          <w:fldChar w:fldCharType="begin"/>
        </w:r>
        <w:r>
          <w:instrText xml:space="preserve">PAGEREF 5212 \h</w:instrText>
        </w:r>
        <w:r>
          <w:fldChar w:fldCharType="end"/>
        </w:r>
      </w:hyperlink>
    </w:p>
    <w:p>
      <w:pPr>
        <w:tabs>
          <w:tab w:val="right" w:leader="dot" w:pos="9062"/>
        </w:tabs>
        <w:ind w:left="440"/>
      </w:pPr>
      <w:hyperlink w:anchor="_Toc5213" w:history="1">
        <w:r>
          <w:rPr>
            <w:rFonts w:ascii="IRNazanin" w:hAnsi="IRNazanin" w:eastAsia="IRNazanin" w:cs="IRNazanin"/>
            <w:color w:val="111111"/>
            <w:sz w:val="22"/>
            <w:szCs w:val="22"/>
            <w:b w:val="0"/>
            <w:bCs w:val="0"/>
            <w:i w:val="0"/>
            <w:iCs w:val="0"/>
          </w:rPr>
          <w:t>4932- دیوان عزتی قزوینی‏</w:t>
        </w:r>
        <w:r>
          <w:tab/>
        </w:r>
        <w:r>
          <w:fldChar w:fldCharType="begin"/>
        </w:r>
        <w:r>
          <w:instrText xml:space="preserve">PAGEREF 5213 \h</w:instrText>
        </w:r>
        <w:r>
          <w:fldChar w:fldCharType="end"/>
        </w:r>
      </w:hyperlink>
    </w:p>
    <w:p>
      <w:pPr>
        <w:tabs>
          <w:tab w:val="right" w:leader="dot" w:pos="9062"/>
        </w:tabs>
        <w:ind w:left="440"/>
      </w:pPr>
      <w:hyperlink w:anchor="_Toc5214" w:history="1">
        <w:r>
          <w:rPr>
            <w:rFonts w:ascii="IRNazanin" w:hAnsi="IRNazanin" w:eastAsia="IRNazanin" w:cs="IRNazanin"/>
            <w:color w:val="111111"/>
            <w:sz w:val="22"/>
            <w:szCs w:val="22"/>
            <w:b w:val="0"/>
            <w:bCs w:val="0"/>
            <w:i w:val="0"/>
            <w:iCs w:val="0"/>
          </w:rPr>
          <w:t>4933- دیوان عز الدین أصفهانی أو شعره‏</w:t>
        </w:r>
        <w:r>
          <w:tab/>
        </w:r>
        <w:r>
          <w:fldChar w:fldCharType="begin"/>
        </w:r>
        <w:r>
          <w:instrText xml:space="preserve">PAGEREF 5214 \h</w:instrText>
        </w:r>
        <w:r>
          <w:fldChar w:fldCharType="end"/>
        </w:r>
      </w:hyperlink>
    </w:p>
    <w:p>
      <w:pPr>
        <w:tabs>
          <w:tab w:val="right" w:leader="dot" w:pos="9062"/>
        </w:tabs>
        <w:ind w:left="440"/>
      </w:pPr>
      <w:hyperlink w:anchor="_Toc5215" w:history="1">
        <w:r>
          <w:rPr>
            <w:rFonts w:ascii="IRNazanin" w:hAnsi="IRNazanin" w:eastAsia="IRNazanin" w:cs="IRNazanin"/>
            <w:color w:val="111111"/>
            <w:sz w:val="22"/>
            <w:szCs w:val="22"/>
            <w:b w:val="0"/>
            <w:bCs w:val="0"/>
            <w:i w:val="0"/>
            <w:iCs w:val="0"/>
          </w:rPr>
          <w:t>4934- دیوان عز الدین رازی أو شعره‏</w:t>
        </w:r>
        <w:r>
          <w:tab/>
        </w:r>
        <w:r>
          <w:fldChar w:fldCharType="begin"/>
        </w:r>
        <w:r>
          <w:instrText xml:space="preserve">PAGEREF 5215 \h</w:instrText>
        </w:r>
        <w:r>
          <w:fldChar w:fldCharType="end"/>
        </w:r>
      </w:hyperlink>
    </w:p>
    <w:p>
      <w:pPr>
        <w:tabs>
          <w:tab w:val="right" w:leader="dot" w:pos="9062"/>
        </w:tabs>
        <w:ind w:left="440"/>
      </w:pPr>
      <w:hyperlink w:anchor="_Toc5216" w:history="1">
        <w:r>
          <w:rPr>
            <w:rFonts w:ascii="IRNazanin" w:hAnsi="IRNazanin" w:eastAsia="IRNazanin" w:cs="IRNazanin"/>
            <w:color w:val="111111"/>
            <w:sz w:val="22"/>
            <w:szCs w:val="22"/>
            <w:b w:val="0"/>
            <w:bCs w:val="0"/>
            <w:i w:val="0"/>
            <w:iCs w:val="0"/>
          </w:rPr>
          <w:t>4935- دیوان عز الدین سلجوقی أو شعره‏</w:t>
        </w:r>
        <w:r>
          <w:tab/>
        </w:r>
        <w:r>
          <w:fldChar w:fldCharType="begin"/>
        </w:r>
        <w:r>
          <w:instrText xml:space="preserve">PAGEREF 5216 \h</w:instrText>
        </w:r>
        <w:r>
          <w:fldChar w:fldCharType="end"/>
        </w:r>
      </w:hyperlink>
    </w:p>
    <w:p>
      <w:pPr>
        <w:tabs>
          <w:tab w:val="right" w:leader="dot" w:pos="9062"/>
        </w:tabs>
        <w:ind w:left="440"/>
      </w:pPr>
      <w:hyperlink w:anchor="_Toc5217" w:history="1">
        <w:r>
          <w:rPr>
            <w:rFonts w:ascii="IRNazanin" w:hAnsi="IRNazanin" w:eastAsia="IRNazanin" w:cs="IRNazanin"/>
            <w:color w:val="111111"/>
            <w:sz w:val="22"/>
            <w:szCs w:val="22"/>
            <w:b w:val="0"/>
            <w:bCs w:val="0"/>
            <w:i w:val="0"/>
            <w:iCs w:val="0"/>
          </w:rPr>
          <w:t>4936- دیوان عز الدین شیروانی‏</w:t>
        </w:r>
        <w:r>
          <w:tab/>
        </w:r>
        <w:r>
          <w:fldChar w:fldCharType="begin"/>
        </w:r>
        <w:r>
          <w:instrText xml:space="preserve">PAGEREF 5217 \h</w:instrText>
        </w:r>
        <w:r>
          <w:fldChar w:fldCharType="end"/>
        </w:r>
      </w:hyperlink>
    </w:p>
    <w:p>
      <w:pPr>
        <w:tabs>
          <w:tab w:val="right" w:leader="dot" w:pos="9062"/>
        </w:tabs>
        <w:ind w:left="440"/>
      </w:pPr>
      <w:hyperlink w:anchor="_Toc5218" w:history="1">
        <w:r>
          <w:rPr>
            <w:rFonts w:ascii="IRNazanin" w:hAnsi="IRNazanin" w:eastAsia="IRNazanin" w:cs="IRNazanin"/>
            <w:color w:val="111111"/>
            <w:sz w:val="22"/>
            <w:szCs w:val="22"/>
            <w:b w:val="0"/>
            <w:bCs w:val="0"/>
            <w:i w:val="0"/>
            <w:iCs w:val="0"/>
          </w:rPr>
          <w:t>دیوان عز الدین العاملی‏</w:t>
        </w:r>
        <w:r>
          <w:tab/>
        </w:r>
        <w:r>
          <w:fldChar w:fldCharType="begin"/>
        </w:r>
        <w:r>
          <w:instrText xml:space="preserve">PAGEREF 5218 \h</w:instrText>
        </w:r>
        <w:r>
          <w:fldChar w:fldCharType="end"/>
        </w:r>
      </w:hyperlink>
    </w:p>
    <w:p>
      <w:pPr>
        <w:tabs>
          <w:tab w:val="right" w:leader="dot" w:pos="9062"/>
        </w:tabs>
        <w:ind w:left="440"/>
      </w:pPr>
      <w:hyperlink w:anchor="_Toc5219" w:history="1">
        <w:r>
          <w:rPr>
            <w:rFonts w:ascii="IRNazanin" w:hAnsi="IRNazanin" w:eastAsia="IRNazanin" w:cs="IRNazanin"/>
            <w:color w:val="111111"/>
            <w:sz w:val="22"/>
            <w:szCs w:val="22"/>
            <w:b w:val="0"/>
            <w:bCs w:val="0"/>
            <w:i w:val="0"/>
            <w:iCs w:val="0"/>
          </w:rPr>
          <w:t>4937- دیوان عز الدین العاملی‏</w:t>
        </w:r>
        <w:r>
          <w:tab/>
        </w:r>
        <w:r>
          <w:fldChar w:fldCharType="begin"/>
        </w:r>
        <w:r>
          <w:instrText xml:space="preserve">PAGEREF 5219 \h</w:instrText>
        </w:r>
        <w:r>
          <w:fldChar w:fldCharType="end"/>
        </w:r>
      </w:hyperlink>
    </w:p>
    <w:p>
      <w:pPr>
        <w:tabs>
          <w:tab w:val="right" w:leader="dot" w:pos="9062"/>
        </w:tabs>
        <w:ind w:left="440"/>
      </w:pPr>
      <w:hyperlink w:anchor="_Toc5220" w:history="1">
        <w:r>
          <w:rPr>
            <w:rFonts w:ascii="IRNazanin" w:hAnsi="IRNazanin" w:eastAsia="IRNazanin" w:cs="IRNazanin"/>
            <w:color w:val="111111"/>
            <w:sz w:val="22"/>
            <w:szCs w:val="22"/>
            <w:b w:val="0"/>
            <w:bCs w:val="0"/>
            <w:i w:val="0"/>
            <w:iCs w:val="0"/>
          </w:rPr>
          <w:t>4938- دیوان عز الدین کاشانی أو شعره‏</w:t>
        </w:r>
        <w:r>
          <w:tab/>
        </w:r>
        <w:r>
          <w:fldChar w:fldCharType="begin"/>
        </w:r>
        <w:r>
          <w:instrText xml:space="preserve">PAGEREF 5220 \h</w:instrText>
        </w:r>
        <w:r>
          <w:fldChar w:fldCharType="end"/>
        </w:r>
      </w:hyperlink>
    </w:p>
    <w:p>
      <w:pPr>
        <w:tabs>
          <w:tab w:val="right" w:leader="dot" w:pos="9062"/>
        </w:tabs>
        <w:ind w:left="440"/>
      </w:pPr>
      <w:hyperlink w:anchor="_Toc5221" w:history="1">
        <w:r>
          <w:rPr>
            <w:rFonts w:ascii="IRNazanin" w:hAnsi="IRNazanin" w:eastAsia="IRNazanin" w:cs="IRNazanin"/>
            <w:color w:val="111111"/>
            <w:sz w:val="22"/>
            <w:szCs w:val="22"/>
            <w:b w:val="0"/>
            <w:bCs w:val="0"/>
            <w:i w:val="0"/>
            <w:iCs w:val="0"/>
          </w:rPr>
          <w:t>4939- دیوان عز الدین گرجی أو شعره‏</w:t>
        </w:r>
        <w:r>
          <w:tab/>
        </w:r>
        <w:r>
          <w:fldChar w:fldCharType="begin"/>
        </w:r>
        <w:r>
          <w:instrText xml:space="preserve">PAGEREF 5221 \h</w:instrText>
        </w:r>
        <w:r>
          <w:fldChar w:fldCharType="end"/>
        </w:r>
      </w:hyperlink>
    </w:p>
    <w:p>
      <w:pPr>
        <w:tabs>
          <w:tab w:val="right" w:leader="dot" w:pos="9062"/>
        </w:tabs>
        <w:ind w:left="440"/>
      </w:pPr>
      <w:hyperlink w:anchor="_Toc5222" w:history="1">
        <w:r>
          <w:rPr>
            <w:rFonts w:ascii="IRNazanin" w:hAnsi="IRNazanin" w:eastAsia="IRNazanin" w:cs="IRNazanin"/>
            <w:color w:val="111111"/>
            <w:sz w:val="22"/>
            <w:szCs w:val="22"/>
            <w:b w:val="0"/>
            <w:bCs w:val="0"/>
            <w:i w:val="0"/>
            <w:iCs w:val="0"/>
          </w:rPr>
          <w:t>4940- دیوان عزلت سوراتی‏</w:t>
        </w:r>
        <w:r>
          <w:tab/>
        </w:r>
        <w:r>
          <w:fldChar w:fldCharType="begin"/>
        </w:r>
        <w:r>
          <w:instrText xml:space="preserve">PAGEREF 5222 \h</w:instrText>
        </w:r>
        <w:r>
          <w:fldChar w:fldCharType="end"/>
        </w:r>
      </w:hyperlink>
    </w:p>
    <w:p>
      <w:pPr>
        <w:tabs>
          <w:tab w:val="right" w:leader="dot" w:pos="9062"/>
        </w:tabs>
        <w:ind w:left="440"/>
      </w:pPr>
      <w:hyperlink w:anchor="_Toc5223" w:history="1">
        <w:r>
          <w:rPr>
            <w:rFonts w:ascii="IRNazanin" w:hAnsi="IRNazanin" w:eastAsia="IRNazanin" w:cs="IRNazanin"/>
            <w:color w:val="111111"/>
            <w:sz w:val="22"/>
            <w:szCs w:val="22"/>
            <w:b w:val="0"/>
            <w:bCs w:val="0"/>
            <w:i w:val="0"/>
            <w:iCs w:val="0"/>
          </w:rPr>
          <w:t>4941- دیوان عزلت شاه‏جهان‏آبادی أو شعره‏</w:t>
        </w:r>
        <w:r>
          <w:tab/>
        </w:r>
        <w:r>
          <w:fldChar w:fldCharType="begin"/>
        </w:r>
        <w:r>
          <w:instrText xml:space="preserve">PAGEREF 5223 \h</w:instrText>
        </w:r>
        <w:r>
          <w:fldChar w:fldCharType="end"/>
        </w:r>
      </w:hyperlink>
    </w:p>
    <w:p>
      <w:pPr>
        <w:tabs>
          <w:tab w:val="right" w:leader="dot" w:pos="9062"/>
        </w:tabs>
        <w:ind w:left="440"/>
      </w:pPr>
      <w:hyperlink w:anchor="_Toc5224" w:history="1">
        <w:r>
          <w:rPr>
            <w:rFonts w:ascii="IRNazanin" w:hAnsi="IRNazanin" w:eastAsia="IRNazanin" w:cs="IRNazanin"/>
            <w:color w:val="111111"/>
            <w:sz w:val="22"/>
            <w:szCs w:val="22"/>
            <w:b w:val="0"/>
            <w:bCs w:val="0"/>
            <w:i w:val="0"/>
            <w:iCs w:val="0"/>
          </w:rPr>
          <w:t>4942- دیوان عزلتی‏</w:t>
        </w:r>
        <w:r>
          <w:tab/>
        </w:r>
        <w:r>
          <w:fldChar w:fldCharType="begin"/>
        </w:r>
        <w:r>
          <w:instrText xml:space="preserve">PAGEREF 5224 \h</w:instrText>
        </w:r>
        <w:r>
          <w:fldChar w:fldCharType="end"/>
        </w:r>
      </w:hyperlink>
    </w:p>
    <w:p>
      <w:pPr>
        <w:tabs>
          <w:tab w:val="right" w:leader="dot" w:pos="9062"/>
        </w:tabs>
        <w:ind w:left="440"/>
      </w:pPr>
      <w:hyperlink w:anchor="_Toc5225" w:history="1">
        <w:r>
          <w:rPr>
            <w:rFonts w:ascii="IRNazanin" w:hAnsi="IRNazanin" w:eastAsia="IRNazanin" w:cs="IRNazanin"/>
            <w:color w:val="111111"/>
            <w:sz w:val="22"/>
            <w:szCs w:val="22"/>
            <w:b w:val="0"/>
            <w:bCs w:val="0"/>
            <w:i w:val="0"/>
            <w:iCs w:val="0"/>
          </w:rPr>
          <w:t>4943- دیوان عزلتی یزدی‏</w:t>
        </w:r>
        <w:r>
          <w:tab/>
        </w:r>
        <w:r>
          <w:fldChar w:fldCharType="begin"/>
        </w:r>
        <w:r>
          <w:instrText xml:space="preserve">PAGEREF 5225 \h</w:instrText>
        </w:r>
        <w:r>
          <w:fldChar w:fldCharType="end"/>
        </w:r>
      </w:hyperlink>
    </w:p>
    <w:p>
      <w:pPr>
        <w:tabs>
          <w:tab w:val="right" w:leader="dot" w:pos="9062"/>
        </w:tabs>
        <w:ind w:left="440"/>
      </w:pPr>
      <w:hyperlink w:anchor="_Toc5226" w:history="1">
        <w:r>
          <w:rPr>
            <w:rFonts w:ascii="IRNazanin" w:hAnsi="IRNazanin" w:eastAsia="IRNazanin" w:cs="IRNazanin"/>
            <w:color w:val="111111"/>
            <w:sz w:val="22"/>
            <w:szCs w:val="22"/>
            <w:b w:val="0"/>
            <w:bCs w:val="0"/>
            <w:i w:val="0"/>
            <w:iCs w:val="0"/>
          </w:rPr>
          <w:t>4944- دیوان عزمی تبریزی‏</w:t>
        </w:r>
        <w:r>
          <w:tab/>
        </w:r>
        <w:r>
          <w:fldChar w:fldCharType="begin"/>
        </w:r>
        <w:r>
          <w:instrText xml:space="preserve">PAGEREF 5226 \h</w:instrText>
        </w:r>
        <w:r>
          <w:fldChar w:fldCharType="end"/>
        </w:r>
      </w:hyperlink>
    </w:p>
    <w:p>
      <w:pPr>
        <w:tabs>
          <w:tab w:val="right" w:leader="dot" w:pos="9062"/>
        </w:tabs>
        <w:ind w:left="440"/>
      </w:pPr>
      <w:hyperlink w:anchor="_Toc5227" w:history="1">
        <w:r>
          <w:rPr>
            <w:rFonts w:ascii="IRNazanin" w:hAnsi="IRNazanin" w:eastAsia="IRNazanin" w:cs="IRNazanin"/>
            <w:color w:val="111111"/>
            <w:sz w:val="22"/>
            <w:szCs w:val="22"/>
            <w:b w:val="0"/>
            <w:bCs w:val="0"/>
            <w:i w:val="0"/>
            <w:iCs w:val="0"/>
          </w:rPr>
          <w:t>4945- دیوان عزمی لاهیجی أو شعره‏</w:t>
        </w:r>
        <w:r>
          <w:tab/>
        </w:r>
        <w:r>
          <w:fldChar w:fldCharType="begin"/>
        </w:r>
        <w:r>
          <w:instrText xml:space="preserve">PAGEREF 5227 \h</w:instrText>
        </w:r>
        <w:r>
          <w:fldChar w:fldCharType="end"/>
        </w:r>
      </w:hyperlink>
    </w:p>
    <w:p>
      <w:pPr>
        <w:tabs>
          <w:tab w:val="right" w:leader="dot" w:pos="9062"/>
        </w:tabs>
        <w:ind w:left="440"/>
      </w:pPr>
      <w:hyperlink w:anchor="_Toc5228" w:history="1">
        <w:r>
          <w:rPr>
            <w:rFonts w:ascii="IRNazanin" w:hAnsi="IRNazanin" w:eastAsia="IRNazanin" w:cs="IRNazanin"/>
            <w:color w:val="111111"/>
            <w:sz w:val="22"/>
            <w:szCs w:val="22"/>
            <w:b w:val="0"/>
            <w:bCs w:val="0"/>
            <w:i w:val="0"/>
            <w:iCs w:val="0"/>
          </w:rPr>
          <w:t>4946- دیوان عزمی فیروزآبادی‏</w:t>
        </w:r>
        <w:r>
          <w:tab/>
        </w:r>
        <w:r>
          <w:fldChar w:fldCharType="begin"/>
        </w:r>
        <w:r>
          <w:instrText xml:space="preserve">PAGEREF 5228 \h</w:instrText>
        </w:r>
        <w:r>
          <w:fldChar w:fldCharType="end"/>
        </w:r>
      </w:hyperlink>
    </w:p>
    <w:p>
      <w:pPr>
        <w:tabs>
          <w:tab w:val="right" w:leader="dot" w:pos="9062"/>
        </w:tabs>
        <w:ind w:left="440"/>
      </w:pPr>
      <w:hyperlink w:anchor="_Toc5229" w:history="1">
        <w:r>
          <w:rPr>
            <w:rFonts w:ascii="IRNazanin" w:hAnsi="IRNazanin" w:eastAsia="IRNazanin" w:cs="IRNazanin"/>
            <w:color w:val="111111"/>
            <w:sz w:val="22"/>
            <w:szCs w:val="22"/>
            <w:b w:val="0"/>
            <w:bCs w:val="0"/>
            <w:i w:val="0"/>
            <w:iCs w:val="0"/>
          </w:rPr>
          <w:t>4947- دیوان عزمی مشهدی أو شعره‏</w:t>
        </w:r>
        <w:r>
          <w:tab/>
        </w:r>
        <w:r>
          <w:fldChar w:fldCharType="begin"/>
        </w:r>
        <w:r>
          <w:instrText xml:space="preserve">PAGEREF 5229 \h</w:instrText>
        </w:r>
        <w:r>
          <w:fldChar w:fldCharType="end"/>
        </w:r>
      </w:hyperlink>
    </w:p>
    <w:p>
      <w:pPr>
        <w:tabs>
          <w:tab w:val="right" w:leader="dot" w:pos="9062"/>
        </w:tabs>
        <w:ind w:left="440"/>
      </w:pPr>
      <w:hyperlink w:anchor="_Toc5230" w:history="1">
        <w:r>
          <w:rPr>
            <w:rFonts w:ascii="IRNazanin" w:hAnsi="IRNazanin" w:eastAsia="IRNazanin" w:cs="IRNazanin"/>
            <w:color w:val="111111"/>
            <w:sz w:val="22"/>
            <w:szCs w:val="22"/>
            <w:b w:val="0"/>
            <w:bCs w:val="0"/>
            <w:i w:val="0"/>
            <w:iCs w:val="0"/>
          </w:rPr>
          <w:t>4948- دیوان عزمی یزدی أو شعره‏</w:t>
        </w:r>
        <w:r>
          <w:tab/>
        </w:r>
        <w:r>
          <w:fldChar w:fldCharType="begin"/>
        </w:r>
        <w:r>
          <w:instrText xml:space="preserve">PAGEREF 5230 \h</w:instrText>
        </w:r>
        <w:r>
          <w:fldChar w:fldCharType="end"/>
        </w:r>
      </w:hyperlink>
    </w:p>
    <w:p>
      <w:pPr>
        <w:tabs>
          <w:tab w:val="right" w:leader="dot" w:pos="9062"/>
        </w:tabs>
        <w:ind w:left="440"/>
      </w:pPr>
      <w:hyperlink w:anchor="_Toc5231" w:history="1">
        <w:r>
          <w:rPr>
            <w:rFonts w:ascii="IRNazanin" w:hAnsi="IRNazanin" w:eastAsia="IRNazanin" w:cs="IRNazanin"/>
            <w:color w:val="111111"/>
            <w:sz w:val="22"/>
            <w:szCs w:val="22"/>
            <w:b w:val="0"/>
            <w:bCs w:val="0"/>
            <w:i w:val="0"/>
            <w:iCs w:val="0"/>
          </w:rPr>
          <w:t>4949- دیوان عزیز أسترآبادی‏</w:t>
        </w:r>
        <w:r>
          <w:tab/>
        </w:r>
        <w:r>
          <w:fldChar w:fldCharType="begin"/>
        </w:r>
        <w:r>
          <w:instrText xml:space="preserve">PAGEREF 5231 \h</w:instrText>
        </w:r>
        <w:r>
          <w:fldChar w:fldCharType="end"/>
        </w:r>
      </w:hyperlink>
    </w:p>
    <w:p>
      <w:pPr>
        <w:tabs>
          <w:tab w:val="right" w:leader="dot" w:pos="9062"/>
        </w:tabs>
        <w:ind w:left="440"/>
      </w:pPr>
      <w:hyperlink w:anchor="_Toc5232" w:history="1">
        <w:r>
          <w:rPr>
            <w:rFonts w:ascii="IRNazanin" w:hAnsi="IRNazanin" w:eastAsia="IRNazanin" w:cs="IRNazanin"/>
            <w:color w:val="111111"/>
            <w:sz w:val="22"/>
            <w:szCs w:val="22"/>
            <w:b w:val="0"/>
            <w:bCs w:val="0"/>
            <w:i w:val="0"/>
            <w:iCs w:val="0"/>
          </w:rPr>
          <w:t>4950- دیوان عزیز أسفراینی أو شعره‏</w:t>
        </w:r>
        <w:r>
          <w:tab/>
        </w:r>
        <w:r>
          <w:fldChar w:fldCharType="begin"/>
        </w:r>
        <w:r>
          <w:instrText xml:space="preserve">PAGEREF 5232 \h</w:instrText>
        </w:r>
        <w:r>
          <w:fldChar w:fldCharType="end"/>
        </w:r>
      </w:hyperlink>
    </w:p>
    <w:p>
      <w:pPr>
        <w:tabs>
          <w:tab w:val="right" w:leader="dot" w:pos="9062"/>
        </w:tabs>
        <w:ind w:left="440"/>
      </w:pPr>
      <w:hyperlink w:anchor="_Toc5233" w:history="1">
        <w:r>
          <w:rPr>
            <w:rFonts w:ascii="IRNazanin" w:hAnsi="IRNazanin" w:eastAsia="IRNazanin" w:cs="IRNazanin"/>
            <w:color w:val="111111"/>
            <w:sz w:val="22"/>
            <w:szCs w:val="22"/>
            <w:b w:val="0"/>
            <w:bCs w:val="0"/>
            <w:i w:val="0"/>
            <w:iCs w:val="0"/>
          </w:rPr>
          <w:t>4951- دیوان عزیز قزوینی أو شعره‏</w:t>
        </w:r>
        <w:r>
          <w:tab/>
        </w:r>
        <w:r>
          <w:fldChar w:fldCharType="begin"/>
        </w:r>
        <w:r>
          <w:instrText xml:space="preserve">PAGEREF 5233 \h</w:instrText>
        </w:r>
        <w:r>
          <w:fldChar w:fldCharType="end"/>
        </w:r>
      </w:hyperlink>
    </w:p>
    <w:p>
      <w:pPr>
        <w:tabs>
          <w:tab w:val="right" w:leader="dot" w:pos="9062"/>
        </w:tabs>
        <w:ind w:left="440"/>
      </w:pPr>
      <w:hyperlink w:anchor="_Toc5234" w:history="1">
        <w:r>
          <w:rPr>
            <w:rFonts w:ascii="IRNazanin" w:hAnsi="IRNazanin" w:eastAsia="IRNazanin" w:cs="IRNazanin"/>
            <w:color w:val="111111"/>
            <w:sz w:val="22"/>
            <w:szCs w:val="22"/>
            <w:b w:val="0"/>
            <w:bCs w:val="0"/>
            <w:i w:val="0"/>
            <w:iCs w:val="0"/>
          </w:rPr>
          <w:t>4952- دیوان عزیز جبلی أو شعره‏</w:t>
        </w:r>
        <w:r>
          <w:tab/>
        </w:r>
        <w:r>
          <w:fldChar w:fldCharType="begin"/>
        </w:r>
        <w:r>
          <w:instrText xml:space="preserve">PAGEREF 5234 \h</w:instrText>
        </w:r>
        <w:r>
          <w:fldChar w:fldCharType="end"/>
        </w:r>
      </w:hyperlink>
    </w:p>
    <w:p>
      <w:pPr>
        <w:tabs>
          <w:tab w:val="right" w:leader="dot" w:pos="9062"/>
        </w:tabs>
        <w:ind w:left="440"/>
      </w:pPr>
      <w:hyperlink w:anchor="_Toc5235" w:history="1">
        <w:r>
          <w:rPr>
            <w:rFonts w:ascii="IRNazanin" w:hAnsi="IRNazanin" w:eastAsia="IRNazanin" w:cs="IRNazanin"/>
            <w:color w:val="111111"/>
            <w:sz w:val="22"/>
            <w:szCs w:val="22"/>
            <w:b w:val="0"/>
            <w:bCs w:val="0"/>
            <w:i w:val="0"/>
            <w:iCs w:val="0"/>
          </w:rPr>
          <w:t>4953- دیوان عزیز الدین النسفی‏</w:t>
        </w:r>
        <w:r>
          <w:tab/>
        </w:r>
        <w:r>
          <w:fldChar w:fldCharType="begin"/>
        </w:r>
        <w:r>
          <w:instrText xml:space="preserve">PAGEREF 5235 \h</w:instrText>
        </w:r>
        <w:r>
          <w:fldChar w:fldCharType="end"/>
        </w:r>
      </w:hyperlink>
    </w:p>
    <w:p>
      <w:pPr>
        <w:tabs>
          <w:tab w:val="right" w:leader="dot" w:pos="9062"/>
        </w:tabs>
        <w:ind w:left="440"/>
      </w:pPr>
      <w:hyperlink w:anchor="_Toc5236" w:history="1">
        <w:r>
          <w:rPr>
            <w:rFonts w:ascii="IRNazanin" w:hAnsi="IRNazanin" w:eastAsia="IRNazanin" w:cs="IRNazanin"/>
            <w:color w:val="111111"/>
            <w:sz w:val="22"/>
            <w:szCs w:val="22"/>
            <w:b w:val="0"/>
            <w:bCs w:val="0"/>
            <w:i w:val="0"/>
            <w:iCs w:val="0"/>
          </w:rPr>
          <w:t>4954- دیوان عزیز فرید أو شعره‏</w:t>
        </w:r>
        <w:r>
          <w:tab/>
        </w:r>
        <w:r>
          <w:fldChar w:fldCharType="begin"/>
        </w:r>
        <w:r>
          <w:instrText xml:space="preserve">PAGEREF 5236 \h</w:instrText>
        </w:r>
        <w:r>
          <w:fldChar w:fldCharType="end"/>
        </w:r>
      </w:hyperlink>
    </w:p>
    <w:p>
      <w:pPr>
        <w:tabs>
          <w:tab w:val="right" w:leader="dot" w:pos="9062"/>
        </w:tabs>
        <w:ind w:left="440"/>
      </w:pPr>
      <w:hyperlink w:anchor="_Toc5237" w:history="1">
        <w:r>
          <w:rPr>
            <w:rFonts w:ascii="IRNazanin" w:hAnsi="IRNazanin" w:eastAsia="IRNazanin" w:cs="IRNazanin"/>
            <w:color w:val="111111"/>
            <w:sz w:val="22"/>
            <w:szCs w:val="22"/>
            <w:b w:val="0"/>
            <w:bCs w:val="0"/>
            <w:i w:val="0"/>
            <w:iCs w:val="0"/>
          </w:rPr>
          <w:t>دیوان عزیز قزوینی‏</w:t>
        </w:r>
        <w:r>
          <w:tab/>
        </w:r>
        <w:r>
          <w:fldChar w:fldCharType="begin"/>
        </w:r>
        <w:r>
          <w:instrText xml:space="preserve">PAGEREF 5237 \h</w:instrText>
        </w:r>
        <w:r>
          <w:fldChar w:fldCharType="end"/>
        </w:r>
      </w:hyperlink>
    </w:p>
    <w:p>
      <w:pPr>
        <w:tabs>
          <w:tab w:val="right" w:leader="dot" w:pos="9062"/>
        </w:tabs>
        <w:ind w:left="440"/>
      </w:pPr>
      <w:hyperlink w:anchor="_Toc5238" w:history="1">
        <w:r>
          <w:rPr>
            <w:rFonts w:ascii="IRNazanin" w:hAnsi="IRNazanin" w:eastAsia="IRNazanin" w:cs="IRNazanin"/>
            <w:color w:val="111111"/>
            <w:sz w:val="22"/>
            <w:szCs w:val="22"/>
            <w:b w:val="0"/>
            <w:bCs w:val="0"/>
            <w:i w:val="0"/>
            <w:iCs w:val="0"/>
          </w:rPr>
          <w:t>4955- دیوان عزیز قزوینی‏</w:t>
        </w:r>
        <w:r>
          <w:tab/>
        </w:r>
        <w:r>
          <w:fldChar w:fldCharType="begin"/>
        </w:r>
        <w:r>
          <w:instrText xml:space="preserve">PAGEREF 5238 \h</w:instrText>
        </w:r>
        <w:r>
          <w:fldChar w:fldCharType="end"/>
        </w:r>
      </w:hyperlink>
    </w:p>
    <w:p>
      <w:pPr>
        <w:tabs>
          <w:tab w:val="right" w:leader="dot" w:pos="9062"/>
        </w:tabs>
        <w:ind w:left="440"/>
      </w:pPr>
      <w:hyperlink w:anchor="_Toc5239" w:history="1">
        <w:r>
          <w:rPr>
            <w:rFonts w:ascii="IRNazanin" w:hAnsi="IRNazanin" w:eastAsia="IRNazanin" w:cs="IRNazanin"/>
            <w:color w:val="111111"/>
            <w:sz w:val="22"/>
            <w:szCs w:val="22"/>
            <w:b w:val="0"/>
            <w:bCs w:val="0"/>
            <w:i w:val="0"/>
            <w:iCs w:val="0"/>
          </w:rPr>
          <w:t>4956- دیوان عزیز کاشی‏</w:t>
        </w:r>
        <w:r>
          <w:tab/>
        </w:r>
        <w:r>
          <w:fldChar w:fldCharType="begin"/>
        </w:r>
        <w:r>
          <w:instrText xml:space="preserve">PAGEREF 5239 \h</w:instrText>
        </w:r>
        <w:r>
          <w:fldChar w:fldCharType="end"/>
        </w:r>
      </w:hyperlink>
    </w:p>
    <w:p>
      <w:pPr>
        <w:tabs>
          <w:tab w:val="right" w:leader="dot" w:pos="9062"/>
        </w:tabs>
        <w:ind w:left="440"/>
      </w:pPr>
      <w:hyperlink w:anchor="_Toc5240" w:history="1">
        <w:r>
          <w:rPr>
            <w:rFonts w:ascii="IRNazanin" w:hAnsi="IRNazanin" w:eastAsia="IRNazanin" w:cs="IRNazanin"/>
            <w:color w:val="111111"/>
            <w:sz w:val="22"/>
            <w:szCs w:val="22"/>
            <w:b w:val="0"/>
            <w:bCs w:val="0"/>
            <w:i w:val="0"/>
            <w:iCs w:val="0"/>
          </w:rPr>
          <w:t>4957- دیوان میر عزیز کمانچه أو شعره‏</w:t>
        </w:r>
        <w:r>
          <w:tab/>
        </w:r>
        <w:r>
          <w:fldChar w:fldCharType="begin"/>
        </w:r>
        <w:r>
          <w:instrText xml:space="preserve">PAGEREF 5240 \h</w:instrText>
        </w:r>
        <w:r>
          <w:fldChar w:fldCharType="end"/>
        </w:r>
      </w:hyperlink>
    </w:p>
    <w:p>
      <w:pPr>
        <w:tabs>
          <w:tab w:val="right" w:leader="dot" w:pos="9062"/>
        </w:tabs>
        <w:ind w:left="440"/>
      </w:pPr>
      <w:hyperlink w:anchor="_Toc5241" w:history="1">
        <w:r>
          <w:rPr>
            <w:rFonts w:ascii="IRNazanin" w:hAnsi="IRNazanin" w:eastAsia="IRNazanin" w:cs="IRNazanin"/>
            <w:color w:val="111111"/>
            <w:sz w:val="22"/>
            <w:szCs w:val="22"/>
            <w:b w:val="0"/>
            <w:bCs w:val="0"/>
            <w:i w:val="0"/>
            <w:iCs w:val="0"/>
          </w:rPr>
          <w:t>4958- دیوان عزیز کلکتة</w:t>
        </w:r>
        <w:r>
          <w:tab/>
        </w:r>
        <w:r>
          <w:fldChar w:fldCharType="begin"/>
        </w:r>
        <w:r>
          <w:instrText xml:space="preserve">PAGEREF 5241 \h</w:instrText>
        </w:r>
        <w:r>
          <w:fldChar w:fldCharType="end"/>
        </w:r>
      </w:hyperlink>
    </w:p>
    <w:p>
      <w:pPr>
        <w:tabs>
          <w:tab w:val="right" w:leader="dot" w:pos="9062"/>
        </w:tabs>
        <w:ind w:left="440"/>
      </w:pPr>
      <w:hyperlink w:anchor="_Toc5242" w:history="1">
        <w:r>
          <w:rPr>
            <w:rFonts w:ascii="IRNazanin" w:hAnsi="IRNazanin" w:eastAsia="IRNazanin" w:cs="IRNazanin"/>
            <w:color w:val="111111"/>
            <w:sz w:val="22"/>
            <w:szCs w:val="22"/>
            <w:b w:val="0"/>
            <w:bCs w:val="0"/>
            <w:i w:val="0"/>
            <w:iCs w:val="0"/>
          </w:rPr>
          <w:t>4959- دیوان عزیز اللاهیجی‏</w:t>
        </w:r>
        <w:r>
          <w:tab/>
        </w:r>
        <w:r>
          <w:fldChar w:fldCharType="begin"/>
        </w:r>
        <w:r>
          <w:instrText xml:space="preserve">PAGEREF 5242 \h</w:instrText>
        </w:r>
        <w:r>
          <w:fldChar w:fldCharType="end"/>
        </w:r>
      </w:hyperlink>
    </w:p>
    <w:p>
      <w:pPr>
        <w:tabs>
          <w:tab w:val="right" w:leader="dot" w:pos="9062"/>
        </w:tabs>
        <w:ind w:left="440"/>
      </w:pPr>
      <w:hyperlink w:anchor="_Toc5243" w:history="1">
        <w:r>
          <w:rPr>
            <w:rFonts w:ascii="IRNazanin" w:hAnsi="IRNazanin" w:eastAsia="IRNazanin" w:cs="IRNazanin"/>
            <w:color w:val="111111"/>
            <w:sz w:val="22"/>
            <w:szCs w:val="22"/>
            <w:b w:val="0"/>
            <w:bCs w:val="0"/>
            <w:i w:val="0"/>
            <w:iCs w:val="0"/>
          </w:rPr>
          <w:t>دیوان عزیز هروی‏</w:t>
        </w:r>
        <w:r>
          <w:tab/>
        </w:r>
        <w:r>
          <w:fldChar w:fldCharType="begin"/>
        </w:r>
        <w:r>
          <w:instrText xml:space="preserve">PAGEREF 5243 \h</w:instrText>
        </w:r>
        <w:r>
          <w:fldChar w:fldCharType="end"/>
        </w:r>
      </w:hyperlink>
    </w:p>
    <w:p>
      <w:pPr>
        <w:tabs>
          <w:tab w:val="right" w:leader="dot" w:pos="9062"/>
        </w:tabs>
        <w:ind w:left="440"/>
      </w:pPr>
      <w:hyperlink w:anchor="_Toc5244" w:history="1">
        <w:r>
          <w:rPr>
            <w:rFonts w:ascii="IRNazanin" w:hAnsi="IRNazanin" w:eastAsia="IRNazanin" w:cs="IRNazanin"/>
            <w:color w:val="111111"/>
            <w:sz w:val="22"/>
            <w:szCs w:val="22"/>
            <w:b w:val="0"/>
            <w:bCs w:val="0"/>
            <w:i w:val="0"/>
            <w:iCs w:val="0"/>
          </w:rPr>
          <w:t>4960- دیوان عزیز هندی‏</w:t>
        </w:r>
        <w:r>
          <w:tab/>
        </w:r>
        <w:r>
          <w:fldChar w:fldCharType="begin"/>
        </w:r>
        <w:r>
          <w:instrText xml:space="preserve">PAGEREF 5244 \h</w:instrText>
        </w:r>
        <w:r>
          <w:fldChar w:fldCharType="end"/>
        </w:r>
      </w:hyperlink>
    </w:p>
    <w:p>
      <w:pPr>
        <w:tabs>
          <w:tab w:val="right" w:leader="dot" w:pos="9062"/>
        </w:tabs>
        <w:ind w:left="440"/>
      </w:pPr>
      <w:hyperlink w:anchor="_Toc5245" w:history="1">
        <w:r>
          <w:rPr>
            <w:rFonts w:ascii="IRNazanin" w:hAnsi="IRNazanin" w:eastAsia="IRNazanin" w:cs="IRNazanin"/>
            <w:color w:val="111111"/>
            <w:sz w:val="22"/>
            <w:szCs w:val="22"/>
            <w:b w:val="0"/>
            <w:bCs w:val="0"/>
            <w:i w:val="0"/>
            <w:iCs w:val="0"/>
          </w:rPr>
          <w:t>4961- دیوان عزیزی تبریزی أو شعره‏</w:t>
        </w:r>
        <w:r>
          <w:tab/>
        </w:r>
        <w:r>
          <w:fldChar w:fldCharType="begin"/>
        </w:r>
        <w:r>
          <w:instrText xml:space="preserve">PAGEREF 5245 \h</w:instrText>
        </w:r>
        <w:r>
          <w:fldChar w:fldCharType="end"/>
        </w:r>
      </w:hyperlink>
    </w:p>
    <w:p>
      <w:pPr>
        <w:tabs>
          <w:tab w:val="right" w:leader="dot" w:pos="9062"/>
        </w:tabs>
        <w:ind w:left="440"/>
      </w:pPr>
      <w:hyperlink w:anchor="_Toc5246" w:history="1">
        <w:r>
          <w:rPr>
            <w:rFonts w:ascii="IRNazanin" w:hAnsi="IRNazanin" w:eastAsia="IRNazanin" w:cs="IRNazanin"/>
            <w:color w:val="111111"/>
            <w:sz w:val="22"/>
            <w:szCs w:val="22"/>
            <w:b w:val="0"/>
            <w:bCs w:val="0"/>
            <w:i w:val="0"/>
            <w:iCs w:val="0"/>
          </w:rPr>
          <w:t>4962- دیوان عزیزی خراسانی أو شعره‏</w:t>
        </w:r>
        <w:r>
          <w:tab/>
        </w:r>
        <w:r>
          <w:fldChar w:fldCharType="begin"/>
        </w:r>
        <w:r>
          <w:instrText xml:space="preserve">PAGEREF 5246 \h</w:instrText>
        </w:r>
        <w:r>
          <w:fldChar w:fldCharType="end"/>
        </w:r>
      </w:hyperlink>
    </w:p>
    <w:p>
      <w:pPr>
        <w:tabs>
          <w:tab w:val="right" w:leader="dot" w:pos="9062"/>
        </w:tabs>
        <w:ind w:left="440"/>
      </w:pPr>
      <w:hyperlink w:anchor="_Toc5247" w:history="1">
        <w:r>
          <w:rPr>
            <w:rFonts w:ascii="IRNazanin" w:hAnsi="IRNazanin" w:eastAsia="IRNazanin" w:cs="IRNazanin"/>
            <w:color w:val="111111"/>
            <w:sz w:val="22"/>
            <w:szCs w:val="22"/>
            <w:b w:val="0"/>
            <w:bCs w:val="0"/>
            <w:i w:val="0"/>
            <w:iCs w:val="0"/>
          </w:rPr>
          <w:t>4963- دیوان عزیزی قزوینی أو شعره‏</w:t>
        </w:r>
        <w:r>
          <w:tab/>
        </w:r>
        <w:r>
          <w:fldChar w:fldCharType="begin"/>
        </w:r>
        <w:r>
          <w:instrText xml:space="preserve">PAGEREF 5247 \h</w:instrText>
        </w:r>
        <w:r>
          <w:fldChar w:fldCharType="end"/>
        </w:r>
      </w:hyperlink>
    </w:p>
    <w:p>
      <w:pPr>
        <w:tabs>
          <w:tab w:val="right" w:leader="dot" w:pos="9062"/>
        </w:tabs>
        <w:ind w:left="440"/>
      </w:pPr>
      <w:hyperlink w:anchor="_Toc5248" w:history="1">
        <w:r>
          <w:rPr>
            <w:rFonts w:ascii="IRNazanin" w:hAnsi="IRNazanin" w:eastAsia="IRNazanin" w:cs="IRNazanin"/>
            <w:color w:val="111111"/>
            <w:sz w:val="22"/>
            <w:szCs w:val="22"/>
            <w:b w:val="0"/>
            <w:bCs w:val="0"/>
            <w:i w:val="0"/>
            <w:iCs w:val="0"/>
          </w:rPr>
          <w:t>4964- دیوان عزیزی قزوینی السیفی‏</w:t>
        </w:r>
        <w:r>
          <w:tab/>
        </w:r>
        <w:r>
          <w:fldChar w:fldCharType="begin"/>
        </w:r>
        <w:r>
          <w:instrText xml:space="preserve">PAGEREF 5248 \h</w:instrText>
        </w:r>
        <w:r>
          <w:fldChar w:fldCharType="end"/>
        </w:r>
      </w:hyperlink>
    </w:p>
    <w:p>
      <w:pPr>
        <w:tabs>
          <w:tab w:val="right" w:leader="dot" w:pos="9062"/>
        </w:tabs>
        <w:ind w:left="440"/>
      </w:pPr>
      <w:hyperlink w:anchor="_Toc5249" w:history="1">
        <w:r>
          <w:rPr>
            <w:rFonts w:ascii="IRNazanin" w:hAnsi="IRNazanin" w:eastAsia="IRNazanin" w:cs="IRNazanin"/>
            <w:color w:val="111111"/>
            <w:sz w:val="22"/>
            <w:szCs w:val="22"/>
            <w:b w:val="0"/>
            <w:bCs w:val="0"/>
            <w:i w:val="0"/>
            <w:iCs w:val="0"/>
          </w:rPr>
          <w:t>دیوان عزیزی صباغ تبریزی أو شعره‏</w:t>
        </w:r>
        <w:r>
          <w:tab/>
        </w:r>
        <w:r>
          <w:fldChar w:fldCharType="begin"/>
        </w:r>
        <w:r>
          <w:instrText xml:space="preserve">PAGEREF 5249 \h</w:instrText>
        </w:r>
        <w:r>
          <w:fldChar w:fldCharType="end"/>
        </w:r>
      </w:hyperlink>
    </w:p>
    <w:p>
      <w:pPr>
        <w:tabs>
          <w:tab w:val="right" w:leader="dot" w:pos="9062"/>
        </w:tabs>
        <w:ind w:left="440"/>
      </w:pPr>
      <w:hyperlink w:anchor="_Toc5250" w:history="1">
        <w:r>
          <w:rPr>
            <w:rFonts w:ascii="IRNazanin" w:hAnsi="IRNazanin" w:eastAsia="IRNazanin" w:cs="IRNazanin"/>
            <w:color w:val="111111"/>
            <w:sz w:val="22"/>
            <w:szCs w:val="22"/>
            <w:b w:val="0"/>
            <w:bCs w:val="0"/>
            <w:i w:val="0"/>
            <w:iCs w:val="0"/>
          </w:rPr>
          <w:t>4965- دیوان عزیزی مستملی أو شعره‏</w:t>
        </w:r>
        <w:r>
          <w:tab/>
        </w:r>
        <w:r>
          <w:fldChar w:fldCharType="begin"/>
        </w:r>
        <w:r>
          <w:instrText xml:space="preserve">PAGEREF 5250 \h</w:instrText>
        </w:r>
        <w:r>
          <w:fldChar w:fldCharType="end"/>
        </w:r>
      </w:hyperlink>
    </w:p>
    <w:p>
      <w:pPr>
        <w:tabs>
          <w:tab w:val="right" w:leader="dot" w:pos="9062"/>
        </w:tabs>
        <w:ind w:left="440"/>
      </w:pPr>
      <w:hyperlink w:anchor="_Toc5251" w:history="1">
        <w:r>
          <w:rPr>
            <w:rFonts w:ascii="IRNazanin" w:hAnsi="IRNazanin" w:eastAsia="IRNazanin" w:cs="IRNazanin"/>
            <w:color w:val="111111"/>
            <w:sz w:val="22"/>
            <w:szCs w:val="22"/>
            <w:b w:val="0"/>
            <w:bCs w:val="0"/>
            <w:i w:val="0"/>
            <w:iCs w:val="0"/>
          </w:rPr>
          <w:t>4966- دیوان عسجدی‏</w:t>
        </w:r>
        <w:r>
          <w:tab/>
        </w:r>
        <w:r>
          <w:fldChar w:fldCharType="begin"/>
        </w:r>
        <w:r>
          <w:instrText xml:space="preserve">PAGEREF 5251 \h</w:instrText>
        </w:r>
        <w:r>
          <w:fldChar w:fldCharType="end"/>
        </w:r>
      </w:hyperlink>
    </w:p>
    <w:p>
      <w:pPr>
        <w:tabs>
          <w:tab w:val="right" w:leader="dot" w:pos="9062"/>
        </w:tabs>
        <w:ind w:left="440"/>
      </w:pPr>
      <w:hyperlink w:anchor="_Toc5252" w:history="1">
        <w:r>
          <w:rPr>
            <w:rFonts w:ascii="IRNazanin" w:hAnsi="IRNazanin" w:eastAsia="IRNazanin" w:cs="IRNazanin"/>
            <w:color w:val="111111"/>
            <w:sz w:val="22"/>
            <w:szCs w:val="22"/>
            <w:b w:val="0"/>
            <w:bCs w:val="0"/>
            <w:i w:val="0"/>
            <w:iCs w:val="0"/>
          </w:rPr>
          <w:t>4967- دیوان عسکری بلگرامی أو شعره‏</w:t>
        </w:r>
        <w:r>
          <w:tab/>
        </w:r>
        <w:r>
          <w:fldChar w:fldCharType="begin"/>
        </w:r>
        <w:r>
          <w:instrText xml:space="preserve">PAGEREF 5252 \h</w:instrText>
        </w:r>
        <w:r>
          <w:fldChar w:fldCharType="end"/>
        </w:r>
      </w:hyperlink>
    </w:p>
    <w:p>
      <w:pPr>
        <w:tabs>
          <w:tab w:val="right" w:leader="dot" w:pos="9062"/>
        </w:tabs>
        <w:ind w:left="440"/>
      </w:pPr>
      <w:hyperlink w:anchor="_Toc5253" w:history="1">
        <w:r>
          <w:rPr>
            <w:rFonts w:ascii="IRNazanin" w:hAnsi="IRNazanin" w:eastAsia="IRNazanin" w:cs="IRNazanin"/>
            <w:color w:val="111111"/>
            <w:sz w:val="22"/>
            <w:szCs w:val="22"/>
            <w:b w:val="0"/>
            <w:bCs w:val="0"/>
            <w:i w:val="0"/>
            <w:iCs w:val="0"/>
          </w:rPr>
          <w:t>دیوان عسکری خراسانی‏</w:t>
        </w:r>
        <w:r>
          <w:tab/>
        </w:r>
        <w:r>
          <w:fldChar w:fldCharType="begin"/>
        </w:r>
        <w:r>
          <w:instrText xml:space="preserve">PAGEREF 5253 \h</w:instrText>
        </w:r>
        <w:r>
          <w:fldChar w:fldCharType="end"/>
        </w:r>
      </w:hyperlink>
    </w:p>
    <w:p>
      <w:pPr>
        <w:tabs>
          <w:tab w:val="right" w:leader="dot" w:pos="9062"/>
        </w:tabs>
        <w:ind w:left="440"/>
      </w:pPr>
      <w:hyperlink w:anchor="_Toc5254" w:history="1">
        <w:r>
          <w:rPr>
            <w:rFonts w:ascii="IRNazanin" w:hAnsi="IRNazanin" w:eastAsia="IRNazanin" w:cs="IRNazanin"/>
            <w:color w:val="111111"/>
            <w:sz w:val="22"/>
            <w:szCs w:val="22"/>
            <w:b w:val="0"/>
            <w:bCs w:val="0"/>
            <w:i w:val="0"/>
            <w:iCs w:val="0"/>
          </w:rPr>
          <w:t>4968- دیوان عسکری کاشانی‏</w:t>
        </w:r>
        <w:r>
          <w:tab/>
        </w:r>
        <w:r>
          <w:fldChar w:fldCharType="begin"/>
        </w:r>
        <w:r>
          <w:instrText xml:space="preserve">PAGEREF 5254 \h</w:instrText>
        </w:r>
        <w:r>
          <w:fldChar w:fldCharType="end"/>
        </w:r>
      </w:hyperlink>
    </w:p>
    <w:p>
      <w:pPr>
        <w:tabs>
          <w:tab w:val="right" w:leader="dot" w:pos="9062"/>
        </w:tabs>
        <w:ind w:left="440"/>
      </w:pPr>
      <w:hyperlink w:anchor="_Toc5255" w:history="1">
        <w:r>
          <w:rPr>
            <w:rFonts w:ascii="IRNazanin" w:hAnsi="IRNazanin" w:eastAsia="IRNazanin" w:cs="IRNazanin"/>
            <w:color w:val="111111"/>
            <w:sz w:val="22"/>
            <w:szCs w:val="22"/>
            <w:b w:val="0"/>
            <w:bCs w:val="0"/>
            <w:i w:val="0"/>
            <w:iCs w:val="0"/>
          </w:rPr>
          <w:t>4969- دیوان عسکری میرزا أو شعره‏</w:t>
        </w:r>
        <w:r>
          <w:tab/>
        </w:r>
        <w:r>
          <w:fldChar w:fldCharType="begin"/>
        </w:r>
        <w:r>
          <w:instrText xml:space="preserve">PAGEREF 5255 \h</w:instrText>
        </w:r>
        <w:r>
          <w:fldChar w:fldCharType="end"/>
        </w:r>
      </w:hyperlink>
    </w:p>
    <w:p>
      <w:pPr>
        <w:tabs>
          <w:tab w:val="right" w:leader="dot" w:pos="9062"/>
        </w:tabs>
        <w:ind w:left="440"/>
      </w:pPr>
      <w:hyperlink w:anchor="_Toc5256" w:history="1">
        <w:r>
          <w:rPr>
            <w:rFonts w:ascii="IRNazanin" w:hAnsi="IRNazanin" w:eastAsia="IRNazanin" w:cs="IRNazanin"/>
            <w:color w:val="111111"/>
            <w:sz w:val="22"/>
            <w:szCs w:val="22"/>
            <w:b w:val="0"/>
            <w:bCs w:val="0"/>
            <w:i w:val="0"/>
            <w:iCs w:val="0"/>
          </w:rPr>
          <w:t>4970- دیوان عشرت بروجردی‏</w:t>
        </w:r>
        <w:r>
          <w:tab/>
        </w:r>
        <w:r>
          <w:fldChar w:fldCharType="begin"/>
        </w:r>
        <w:r>
          <w:instrText xml:space="preserve">PAGEREF 5256 \h</w:instrText>
        </w:r>
        <w:r>
          <w:fldChar w:fldCharType="end"/>
        </w:r>
      </w:hyperlink>
    </w:p>
    <w:p>
      <w:pPr>
        <w:tabs>
          <w:tab w:val="right" w:leader="dot" w:pos="9062"/>
        </w:tabs>
        <w:ind w:left="440"/>
      </w:pPr>
      <w:hyperlink w:anchor="_Toc5257" w:history="1">
        <w:r>
          <w:rPr>
            <w:rFonts w:ascii="IRNazanin" w:hAnsi="IRNazanin" w:eastAsia="IRNazanin" w:cs="IRNazanin"/>
            <w:color w:val="111111"/>
            <w:sz w:val="22"/>
            <w:szCs w:val="22"/>
            <w:b w:val="0"/>
            <w:bCs w:val="0"/>
            <w:i w:val="0"/>
            <w:iCs w:val="0"/>
          </w:rPr>
          <w:t>4971- دیوان عشرت شیرازی أو شعره‏</w:t>
        </w:r>
        <w:r>
          <w:tab/>
        </w:r>
        <w:r>
          <w:fldChar w:fldCharType="begin"/>
        </w:r>
        <w:r>
          <w:instrText xml:space="preserve">PAGEREF 5257 \h</w:instrText>
        </w:r>
        <w:r>
          <w:fldChar w:fldCharType="end"/>
        </w:r>
      </w:hyperlink>
    </w:p>
    <w:p>
      <w:pPr>
        <w:tabs>
          <w:tab w:val="right" w:leader="dot" w:pos="9062"/>
        </w:tabs>
        <w:ind w:left="440"/>
      </w:pPr>
      <w:hyperlink w:anchor="_Toc5258" w:history="1">
        <w:r>
          <w:rPr>
            <w:rFonts w:ascii="IRNazanin" w:hAnsi="IRNazanin" w:eastAsia="IRNazanin" w:cs="IRNazanin"/>
            <w:color w:val="111111"/>
            <w:sz w:val="22"/>
            <w:szCs w:val="22"/>
            <w:b w:val="0"/>
            <w:bCs w:val="0"/>
            <w:i w:val="0"/>
            <w:iCs w:val="0"/>
          </w:rPr>
          <w:t>دیوان عشرت فراهانی بروجردی‏</w:t>
        </w:r>
        <w:r>
          <w:tab/>
        </w:r>
        <w:r>
          <w:fldChar w:fldCharType="begin"/>
        </w:r>
        <w:r>
          <w:instrText xml:space="preserve">PAGEREF 5258 \h</w:instrText>
        </w:r>
        <w:r>
          <w:fldChar w:fldCharType="end"/>
        </w:r>
      </w:hyperlink>
    </w:p>
    <w:p>
      <w:pPr>
        <w:tabs>
          <w:tab w:val="right" w:leader="dot" w:pos="9062"/>
        </w:tabs>
        <w:ind w:left="440"/>
      </w:pPr>
      <w:hyperlink w:anchor="_Toc5259" w:history="1">
        <w:r>
          <w:rPr>
            <w:rFonts w:ascii="IRNazanin" w:hAnsi="IRNazanin" w:eastAsia="IRNazanin" w:cs="IRNazanin"/>
            <w:color w:val="111111"/>
            <w:sz w:val="22"/>
            <w:szCs w:val="22"/>
            <w:b w:val="0"/>
            <w:bCs w:val="0"/>
            <w:i w:val="0"/>
            <w:iCs w:val="0"/>
          </w:rPr>
          <w:t>دیوان عشرت‏فروشانی‏</w:t>
        </w:r>
        <w:r>
          <w:tab/>
        </w:r>
        <w:r>
          <w:fldChar w:fldCharType="begin"/>
        </w:r>
        <w:r>
          <w:instrText xml:space="preserve">PAGEREF 5259 \h</w:instrText>
        </w:r>
        <w:r>
          <w:fldChar w:fldCharType="end"/>
        </w:r>
      </w:hyperlink>
    </w:p>
    <w:p>
      <w:pPr>
        <w:tabs>
          <w:tab w:val="right" w:leader="dot" w:pos="9062"/>
        </w:tabs>
        <w:ind w:left="440"/>
      </w:pPr>
      <w:hyperlink w:anchor="_Toc5260" w:history="1">
        <w:r>
          <w:rPr>
            <w:rFonts w:ascii="IRNazanin" w:hAnsi="IRNazanin" w:eastAsia="IRNazanin" w:cs="IRNazanin"/>
            <w:color w:val="111111"/>
            <w:sz w:val="22"/>
            <w:szCs w:val="22"/>
            <w:b w:val="0"/>
            <w:bCs w:val="0"/>
            <w:i w:val="0"/>
            <w:iCs w:val="0"/>
          </w:rPr>
          <w:t>4972- دیوان عشرت کشمیری أو شعره‏</w:t>
        </w:r>
        <w:r>
          <w:tab/>
        </w:r>
        <w:r>
          <w:fldChar w:fldCharType="begin"/>
        </w:r>
        <w:r>
          <w:instrText xml:space="preserve">PAGEREF 5260 \h</w:instrText>
        </w:r>
        <w:r>
          <w:fldChar w:fldCharType="end"/>
        </w:r>
      </w:hyperlink>
    </w:p>
    <w:p>
      <w:pPr>
        <w:tabs>
          <w:tab w:val="right" w:leader="dot" w:pos="9062"/>
        </w:tabs>
        <w:ind w:left="440"/>
      </w:pPr>
      <w:hyperlink w:anchor="_Toc5261" w:history="1">
        <w:r>
          <w:rPr>
            <w:rFonts w:ascii="IRNazanin" w:hAnsi="IRNazanin" w:eastAsia="IRNazanin" w:cs="IRNazanin"/>
            <w:color w:val="111111"/>
            <w:sz w:val="22"/>
            <w:szCs w:val="22"/>
            <w:b w:val="0"/>
            <w:bCs w:val="0"/>
            <w:i w:val="0"/>
            <w:iCs w:val="0"/>
          </w:rPr>
          <w:t>4973- دیوان عشرتی أصفهانی أو شعره‏</w:t>
        </w:r>
        <w:r>
          <w:tab/>
        </w:r>
        <w:r>
          <w:fldChar w:fldCharType="begin"/>
        </w:r>
        <w:r>
          <w:instrText xml:space="preserve">PAGEREF 5261 \h</w:instrText>
        </w:r>
        <w:r>
          <w:fldChar w:fldCharType="end"/>
        </w:r>
      </w:hyperlink>
    </w:p>
    <w:p>
      <w:pPr>
        <w:tabs>
          <w:tab w:val="right" w:leader="dot" w:pos="9062"/>
        </w:tabs>
        <w:ind w:left="440"/>
      </w:pPr>
      <w:hyperlink w:anchor="_Toc5262" w:history="1">
        <w:r>
          <w:rPr>
            <w:rFonts w:ascii="IRNazanin" w:hAnsi="IRNazanin" w:eastAsia="IRNazanin" w:cs="IRNazanin"/>
            <w:color w:val="111111"/>
            <w:sz w:val="22"/>
            <w:szCs w:val="22"/>
            <w:b w:val="0"/>
            <w:bCs w:val="0"/>
            <w:i w:val="0"/>
            <w:iCs w:val="0"/>
          </w:rPr>
          <w:t>4974- دیوان ملا عشرتی فروشانی‏</w:t>
        </w:r>
        <w:r>
          <w:tab/>
        </w:r>
        <w:r>
          <w:fldChar w:fldCharType="begin"/>
        </w:r>
        <w:r>
          <w:instrText xml:space="preserve">PAGEREF 5262 \h</w:instrText>
        </w:r>
        <w:r>
          <w:fldChar w:fldCharType="end"/>
        </w:r>
      </w:hyperlink>
    </w:p>
    <w:p>
      <w:pPr>
        <w:tabs>
          <w:tab w:val="right" w:leader="dot" w:pos="9062"/>
        </w:tabs>
        <w:ind w:left="440"/>
      </w:pPr>
      <w:hyperlink w:anchor="_Toc5263" w:history="1">
        <w:r>
          <w:rPr>
            <w:rFonts w:ascii="IRNazanin" w:hAnsi="IRNazanin" w:eastAsia="IRNazanin" w:cs="IRNazanin"/>
            <w:color w:val="111111"/>
            <w:sz w:val="22"/>
            <w:szCs w:val="22"/>
            <w:b w:val="0"/>
            <w:bCs w:val="0"/>
            <w:i w:val="0"/>
            <w:iCs w:val="0"/>
          </w:rPr>
          <w:t>4975- دیوان عشرتی قلندر أو شعره‏</w:t>
        </w:r>
        <w:r>
          <w:tab/>
        </w:r>
        <w:r>
          <w:fldChar w:fldCharType="begin"/>
        </w:r>
        <w:r>
          <w:instrText xml:space="preserve">PAGEREF 5263 \h</w:instrText>
        </w:r>
        <w:r>
          <w:fldChar w:fldCharType="end"/>
        </w:r>
      </w:hyperlink>
    </w:p>
    <w:p>
      <w:pPr>
        <w:tabs>
          <w:tab w:val="right" w:leader="dot" w:pos="9062"/>
        </w:tabs>
        <w:ind w:left="440"/>
      </w:pPr>
      <w:hyperlink w:anchor="_Toc5264" w:history="1">
        <w:r>
          <w:rPr>
            <w:rFonts w:ascii="IRNazanin" w:hAnsi="IRNazanin" w:eastAsia="IRNazanin" w:cs="IRNazanin"/>
            <w:color w:val="111111"/>
            <w:sz w:val="22"/>
            <w:szCs w:val="22"/>
            <w:b w:val="0"/>
            <w:bCs w:val="0"/>
            <w:i w:val="0"/>
            <w:iCs w:val="0"/>
          </w:rPr>
          <w:t>4976- دیوان عشرتی گیلانی أو شعره‏</w:t>
        </w:r>
        <w:r>
          <w:tab/>
        </w:r>
        <w:r>
          <w:fldChar w:fldCharType="begin"/>
        </w:r>
        <w:r>
          <w:instrText xml:space="preserve">PAGEREF 5264 \h</w:instrText>
        </w:r>
        <w:r>
          <w:fldChar w:fldCharType="end"/>
        </w:r>
      </w:hyperlink>
    </w:p>
    <w:p>
      <w:pPr>
        <w:tabs>
          <w:tab w:val="right" w:leader="dot" w:pos="9062"/>
        </w:tabs>
        <w:ind w:left="440"/>
      </w:pPr>
      <w:hyperlink w:anchor="_Toc5265" w:history="1">
        <w:r>
          <w:rPr>
            <w:rFonts w:ascii="IRNazanin" w:hAnsi="IRNazanin" w:eastAsia="IRNazanin" w:cs="IRNazanin"/>
            <w:color w:val="111111"/>
            <w:sz w:val="22"/>
            <w:szCs w:val="22"/>
            <w:b w:val="0"/>
            <w:bCs w:val="0"/>
            <w:i w:val="0"/>
            <w:iCs w:val="0"/>
          </w:rPr>
          <w:t>4977- دیوان عشرتی یزدی‏</w:t>
        </w:r>
        <w:r>
          <w:tab/>
        </w:r>
        <w:r>
          <w:fldChar w:fldCharType="begin"/>
        </w:r>
        <w:r>
          <w:instrText xml:space="preserve">PAGEREF 5265 \h</w:instrText>
        </w:r>
        <w:r>
          <w:fldChar w:fldCharType="end"/>
        </w:r>
      </w:hyperlink>
    </w:p>
    <w:p>
      <w:pPr>
        <w:tabs>
          <w:tab w:val="right" w:leader="dot" w:pos="9062"/>
        </w:tabs>
        <w:ind w:left="440"/>
      </w:pPr>
      <w:hyperlink w:anchor="_Toc5266" w:history="1">
        <w:r>
          <w:rPr>
            <w:rFonts w:ascii="IRNazanin" w:hAnsi="IRNazanin" w:eastAsia="IRNazanin" w:cs="IRNazanin"/>
            <w:color w:val="111111"/>
            <w:sz w:val="22"/>
            <w:szCs w:val="22"/>
            <w:b w:val="0"/>
            <w:bCs w:val="0"/>
            <w:i w:val="0"/>
            <w:iCs w:val="0"/>
          </w:rPr>
          <w:t>4978- دیوان عشرتی هروی أو شعره‏</w:t>
        </w:r>
        <w:r>
          <w:tab/>
        </w:r>
        <w:r>
          <w:fldChar w:fldCharType="begin"/>
        </w:r>
        <w:r>
          <w:instrText xml:space="preserve">PAGEREF 5266 \h</w:instrText>
        </w:r>
        <w:r>
          <w:fldChar w:fldCharType="end"/>
        </w:r>
      </w:hyperlink>
    </w:p>
    <w:p>
      <w:pPr>
        <w:tabs>
          <w:tab w:val="right" w:leader="dot" w:pos="9062"/>
        </w:tabs>
        <w:ind w:left="440"/>
      </w:pPr>
      <w:hyperlink w:anchor="_Toc5267" w:history="1">
        <w:r>
          <w:rPr>
            <w:rFonts w:ascii="IRNazanin" w:hAnsi="IRNazanin" w:eastAsia="IRNazanin" w:cs="IRNazanin"/>
            <w:color w:val="111111"/>
            <w:sz w:val="22"/>
            <w:szCs w:val="22"/>
            <w:b w:val="0"/>
            <w:bCs w:val="0"/>
            <w:i w:val="0"/>
            <w:iCs w:val="0"/>
          </w:rPr>
          <w:t>4979- دیوان عشق أصفهانی‏</w:t>
        </w:r>
        <w:r>
          <w:tab/>
        </w:r>
        <w:r>
          <w:fldChar w:fldCharType="begin"/>
        </w:r>
        <w:r>
          <w:instrText xml:space="preserve">PAGEREF 5267 \h</w:instrText>
        </w:r>
        <w:r>
          <w:fldChar w:fldCharType="end"/>
        </w:r>
      </w:hyperlink>
    </w:p>
    <w:p>
      <w:pPr>
        <w:tabs>
          <w:tab w:val="right" w:leader="dot" w:pos="9062"/>
        </w:tabs>
        <w:ind w:left="440"/>
      </w:pPr>
      <w:hyperlink w:anchor="_Toc5268" w:history="1">
        <w:r>
          <w:rPr>
            <w:rFonts w:ascii="IRNazanin" w:hAnsi="IRNazanin" w:eastAsia="IRNazanin" w:cs="IRNazanin"/>
            <w:color w:val="111111"/>
            <w:sz w:val="22"/>
            <w:szCs w:val="22"/>
            <w:b w:val="0"/>
            <w:bCs w:val="0"/>
            <w:i w:val="0"/>
            <w:iCs w:val="0"/>
          </w:rPr>
          <w:t>4980- دیوان عشق هندی‏</w:t>
        </w:r>
        <w:r>
          <w:tab/>
        </w:r>
        <w:r>
          <w:fldChar w:fldCharType="begin"/>
        </w:r>
        <w:r>
          <w:instrText xml:space="preserve">PAGEREF 5268 \h</w:instrText>
        </w:r>
        <w:r>
          <w:fldChar w:fldCharType="end"/>
        </w:r>
      </w:hyperlink>
    </w:p>
    <w:p>
      <w:pPr>
        <w:tabs>
          <w:tab w:val="right" w:leader="dot" w:pos="9062"/>
        </w:tabs>
        <w:ind w:left="440"/>
      </w:pPr>
      <w:hyperlink w:anchor="_Toc5269" w:history="1">
        <w:r>
          <w:rPr>
            <w:rFonts w:ascii="IRNazanin" w:hAnsi="IRNazanin" w:eastAsia="IRNazanin" w:cs="IRNazanin"/>
            <w:color w:val="111111"/>
            <w:sz w:val="22"/>
            <w:szCs w:val="22"/>
            <w:b w:val="0"/>
            <w:bCs w:val="0"/>
            <w:i w:val="0"/>
            <w:iCs w:val="0"/>
          </w:rPr>
          <w:t>4981- دیوان عشقی‏</w:t>
        </w:r>
        <w:r>
          <w:tab/>
        </w:r>
        <w:r>
          <w:fldChar w:fldCharType="begin"/>
        </w:r>
        <w:r>
          <w:instrText xml:space="preserve">PAGEREF 5269 \h</w:instrText>
        </w:r>
        <w:r>
          <w:fldChar w:fldCharType="end"/>
        </w:r>
      </w:hyperlink>
    </w:p>
    <w:p>
      <w:pPr>
        <w:tabs>
          <w:tab w:val="right" w:leader="dot" w:pos="9062"/>
        </w:tabs>
        <w:ind w:left="440"/>
      </w:pPr>
      <w:hyperlink w:anchor="_Toc5270" w:history="1">
        <w:r>
          <w:rPr>
            <w:rFonts w:ascii="IRNazanin" w:hAnsi="IRNazanin" w:eastAsia="IRNazanin" w:cs="IRNazanin"/>
            <w:color w:val="111111"/>
            <w:sz w:val="22"/>
            <w:szCs w:val="22"/>
            <w:b w:val="0"/>
            <w:bCs w:val="0"/>
            <w:i w:val="0"/>
            <w:iCs w:val="0"/>
          </w:rPr>
          <w:t>دیوان عشقی‏</w:t>
        </w:r>
        <w:r>
          <w:tab/>
        </w:r>
        <w:r>
          <w:fldChar w:fldCharType="begin"/>
        </w:r>
        <w:r>
          <w:instrText xml:space="preserve">PAGEREF 5270 \h</w:instrText>
        </w:r>
        <w:r>
          <w:fldChar w:fldCharType="end"/>
        </w:r>
      </w:hyperlink>
    </w:p>
    <w:p>
      <w:pPr>
        <w:tabs>
          <w:tab w:val="right" w:leader="dot" w:pos="9062"/>
        </w:tabs>
        <w:ind w:left="440"/>
      </w:pPr>
      <w:hyperlink w:anchor="_Toc5271" w:history="1">
        <w:r>
          <w:rPr>
            <w:rFonts w:ascii="IRNazanin" w:hAnsi="IRNazanin" w:eastAsia="IRNazanin" w:cs="IRNazanin"/>
            <w:color w:val="111111"/>
            <w:sz w:val="22"/>
            <w:szCs w:val="22"/>
            <w:b w:val="0"/>
            <w:bCs w:val="0"/>
            <w:i w:val="0"/>
            <w:iCs w:val="0"/>
          </w:rPr>
          <w:t>دیوان عشقی أسفراینی أو شعره‏</w:t>
        </w:r>
        <w:r>
          <w:tab/>
        </w:r>
        <w:r>
          <w:fldChar w:fldCharType="begin"/>
        </w:r>
        <w:r>
          <w:instrText xml:space="preserve">PAGEREF 5271 \h</w:instrText>
        </w:r>
        <w:r>
          <w:fldChar w:fldCharType="end"/>
        </w:r>
      </w:hyperlink>
    </w:p>
    <w:p>
      <w:pPr>
        <w:tabs>
          <w:tab w:val="right" w:leader="dot" w:pos="9062"/>
        </w:tabs>
        <w:ind w:left="440"/>
      </w:pPr>
      <w:hyperlink w:anchor="_Toc5272" w:history="1">
        <w:r>
          <w:rPr>
            <w:rFonts w:ascii="IRNazanin" w:hAnsi="IRNazanin" w:eastAsia="IRNazanin" w:cs="IRNazanin"/>
            <w:color w:val="111111"/>
            <w:sz w:val="22"/>
            <w:szCs w:val="22"/>
            <w:b w:val="0"/>
            <w:bCs w:val="0"/>
            <w:i w:val="0"/>
            <w:iCs w:val="0"/>
          </w:rPr>
          <w:t>4982- دیوان عشقی بلگرامی‏</w:t>
        </w:r>
        <w:r>
          <w:tab/>
        </w:r>
        <w:r>
          <w:fldChar w:fldCharType="begin"/>
        </w:r>
        <w:r>
          <w:instrText xml:space="preserve">PAGEREF 5272 \h</w:instrText>
        </w:r>
        <w:r>
          <w:fldChar w:fldCharType="end"/>
        </w:r>
      </w:hyperlink>
    </w:p>
    <w:p>
      <w:pPr>
        <w:tabs>
          <w:tab w:val="right" w:leader="dot" w:pos="9062"/>
        </w:tabs>
        <w:ind w:left="440"/>
      </w:pPr>
      <w:hyperlink w:anchor="_Toc5273" w:history="1">
        <w:r>
          <w:rPr>
            <w:rFonts w:ascii="IRNazanin" w:hAnsi="IRNazanin" w:eastAsia="IRNazanin" w:cs="IRNazanin"/>
            <w:color w:val="111111"/>
            <w:sz w:val="22"/>
            <w:szCs w:val="22"/>
            <w:b w:val="0"/>
            <w:bCs w:val="0"/>
            <w:i w:val="0"/>
            <w:iCs w:val="0"/>
          </w:rPr>
          <w:t>4983- دیوان عشقی تبریزی‏</w:t>
        </w:r>
        <w:r>
          <w:tab/>
        </w:r>
        <w:r>
          <w:fldChar w:fldCharType="begin"/>
        </w:r>
        <w:r>
          <w:instrText xml:space="preserve">PAGEREF 5273 \h</w:instrText>
        </w:r>
        <w:r>
          <w:fldChar w:fldCharType="end"/>
        </w:r>
      </w:hyperlink>
    </w:p>
    <w:p>
      <w:pPr>
        <w:tabs>
          <w:tab w:val="right" w:leader="dot" w:pos="9062"/>
        </w:tabs>
        <w:ind w:left="440"/>
      </w:pPr>
      <w:hyperlink w:anchor="_Toc5274" w:history="1">
        <w:r>
          <w:rPr>
            <w:rFonts w:ascii="IRNazanin" w:hAnsi="IRNazanin" w:eastAsia="IRNazanin" w:cs="IRNazanin"/>
            <w:color w:val="111111"/>
            <w:sz w:val="22"/>
            <w:szCs w:val="22"/>
            <w:b w:val="0"/>
            <w:bCs w:val="0"/>
            <w:i w:val="0"/>
            <w:iCs w:val="0"/>
          </w:rPr>
          <w:t>4984- دیوان عشقی درگزینی أو شعره‏</w:t>
        </w:r>
        <w:r>
          <w:tab/>
        </w:r>
        <w:r>
          <w:fldChar w:fldCharType="begin"/>
        </w:r>
        <w:r>
          <w:instrText xml:space="preserve">PAGEREF 5274 \h</w:instrText>
        </w:r>
        <w:r>
          <w:fldChar w:fldCharType="end"/>
        </w:r>
      </w:hyperlink>
    </w:p>
    <w:p>
      <w:pPr>
        <w:tabs>
          <w:tab w:val="right" w:leader="dot" w:pos="9062"/>
        </w:tabs>
        <w:ind w:left="440"/>
      </w:pPr>
      <w:hyperlink w:anchor="_Toc5275" w:history="1">
        <w:r>
          <w:rPr>
            <w:rFonts w:ascii="IRNazanin" w:hAnsi="IRNazanin" w:eastAsia="IRNazanin" w:cs="IRNazanin"/>
            <w:color w:val="111111"/>
            <w:sz w:val="22"/>
            <w:szCs w:val="22"/>
            <w:b w:val="0"/>
            <w:bCs w:val="0"/>
            <w:i w:val="0"/>
            <w:iCs w:val="0"/>
          </w:rPr>
          <w:t>4985- دیوان عشقی شیرازی أو شعره‏</w:t>
        </w:r>
        <w:r>
          <w:tab/>
        </w:r>
        <w:r>
          <w:fldChar w:fldCharType="begin"/>
        </w:r>
        <w:r>
          <w:instrText xml:space="preserve">PAGEREF 5275 \h</w:instrText>
        </w:r>
        <w:r>
          <w:fldChar w:fldCharType="end"/>
        </w:r>
      </w:hyperlink>
    </w:p>
    <w:p>
      <w:pPr>
        <w:tabs>
          <w:tab w:val="right" w:leader="dot" w:pos="9062"/>
        </w:tabs>
        <w:ind w:left="440"/>
      </w:pPr>
      <w:hyperlink w:anchor="_Toc5276" w:history="1">
        <w:r>
          <w:rPr>
            <w:rFonts w:ascii="IRNazanin" w:hAnsi="IRNazanin" w:eastAsia="IRNazanin" w:cs="IRNazanin"/>
            <w:color w:val="111111"/>
            <w:sz w:val="22"/>
            <w:szCs w:val="22"/>
            <w:b w:val="0"/>
            <w:bCs w:val="0"/>
            <w:i w:val="0"/>
            <w:iCs w:val="0"/>
          </w:rPr>
          <w:t>4986- دیوان عشقی طهرانی أو شعره‏</w:t>
        </w:r>
        <w:r>
          <w:tab/>
        </w:r>
        <w:r>
          <w:fldChar w:fldCharType="begin"/>
        </w:r>
        <w:r>
          <w:instrText xml:space="preserve">PAGEREF 5276 \h</w:instrText>
        </w:r>
        <w:r>
          <w:fldChar w:fldCharType="end"/>
        </w:r>
      </w:hyperlink>
    </w:p>
    <w:p>
      <w:pPr>
        <w:tabs>
          <w:tab w:val="right" w:leader="dot" w:pos="9062"/>
        </w:tabs>
        <w:ind w:left="440"/>
      </w:pPr>
      <w:hyperlink w:anchor="_Toc5277" w:history="1">
        <w:r>
          <w:rPr>
            <w:rFonts w:ascii="IRNazanin" w:hAnsi="IRNazanin" w:eastAsia="IRNazanin" w:cs="IRNazanin"/>
            <w:color w:val="111111"/>
            <w:sz w:val="22"/>
            <w:szCs w:val="22"/>
            <w:b w:val="0"/>
            <w:bCs w:val="0"/>
            <w:i w:val="0"/>
            <w:iCs w:val="0"/>
          </w:rPr>
          <w:t>4987- دیوان عشقی عظیم‏آبادی أو شعره‏</w:t>
        </w:r>
        <w:r>
          <w:tab/>
        </w:r>
        <w:r>
          <w:fldChar w:fldCharType="begin"/>
        </w:r>
        <w:r>
          <w:instrText xml:space="preserve">PAGEREF 5277 \h</w:instrText>
        </w:r>
        <w:r>
          <w:fldChar w:fldCharType="end"/>
        </w:r>
      </w:hyperlink>
    </w:p>
    <w:p>
      <w:pPr>
        <w:tabs>
          <w:tab w:val="right" w:leader="dot" w:pos="9062"/>
        </w:tabs>
        <w:ind w:left="440"/>
      </w:pPr>
      <w:hyperlink w:anchor="_Toc5278" w:history="1">
        <w:r>
          <w:rPr>
            <w:rFonts w:ascii="IRNazanin" w:hAnsi="IRNazanin" w:eastAsia="IRNazanin" w:cs="IRNazanin"/>
            <w:color w:val="111111"/>
            <w:sz w:val="22"/>
            <w:szCs w:val="22"/>
            <w:b w:val="0"/>
            <w:bCs w:val="0"/>
            <w:i w:val="0"/>
            <w:iCs w:val="0"/>
          </w:rPr>
          <w:t>4988- دیوان عشقی کاشانی أو شعره‏</w:t>
        </w:r>
        <w:r>
          <w:tab/>
        </w:r>
        <w:r>
          <w:fldChar w:fldCharType="begin"/>
        </w:r>
        <w:r>
          <w:instrText xml:space="preserve">PAGEREF 5278 \h</w:instrText>
        </w:r>
        <w:r>
          <w:fldChar w:fldCharType="end"/>
        </w:r>
      </w:hyperlink>
    </w:p>
    <w:p>
      <w:pPr>
        <w:tabs>
          <w:tab w:val="right" w:leader="dot" w:pos="9062"/>
        </w:tabs>
        <w:ind w:left="440"/>
      </w:pPr>
      <w:hyperlink w:anchor="_Toc5279" w:history="1">
        <w:r>
          <w:rPr>
            <w:rFonts w:ascii="IRNazanin" w:hAnsi="IRNazanin" w:eastAsia="IRNazanin" w:cs="IRNazanin"/>
            <w:color w:val="111111"/>
            <w:sz w:val="22"/>
            <w:szCs w:val="22"/>
            <w:b w:val="0"/>
            <w:bCs w:val="0"/>
            <w:i w:val="0"/>
            <w:iCs w:val="0"/>
          </w:rPr>
          <w:t>4989- دیوان عشقی لکهنوی أو شعره‏</w:t>
        </w:r>
        <w:r>
          <w:tab/>
        </w:r>
        <w:r>
          <w:fldChar w:fldCharType="begin"/>
        </w:r>
        <w:r>
          <w:instrText xml:space="preserve">PAGEREF 5279 \h</w:instrText>
        </w:r>
        <w:r>
          <w:fldChar w:fldCharType="end"/>
        </w:r>
      </w:hyperlink>
    </w:p>
    <w:p>
      <w:pPr>
        <w:tabs>
          <w:tab w:val="right" w:leader="dot" w:pos="9062"/>
        </w:tabs>
        <w:ind w:left="440"/>
      </w:pPr>
      <w:hyperlink w:anchor="_Toc5280" w:history="1">
        <w:r>
          <w:rPr>
            <w:rFonts w:ascii="IRNazanin" w:hAnsi="IRNazanin" w:eastAsia="IRNazanin" w:cs="IRNazanin"/>
            <w:color w:val="111111"/>
            <w:sz w:val="22"/>
            <w:szCs w:val="22"/>
            <w:b w:val="0"/>
            <w:bCs w:val="0"/>
            <w:i w:val="0"/>
            <w:iCs w:val="0"/>
          </w:rPr>
          <w:t>4990- دیوان عشقی هروی أو شعره‏</w:t>
        </w:r>
        <w:r>
          <w:tab/>
        </w:r>
        <w:r>
          <w:fldChar w:fldCharType="begin"/>
        </w:r>
        <w:r>
          <w:instrText xml:space="preserve">PAGEREF 5280 \h</w:instrText>
        </w:r>
        <w:r>
          <w:fldChar w:fldCharType="end"/>
        </w:r>
      </w:hyperlink>
    </w:p>
    <w:p>
      <w:pPr>
        <w:tabs>
          <w:tab w:val="right" w:leader="dot" w:pos="9062"/>
        </w:tabs>
        <w:ind w:left="440"/>
      </w:pPr>
      <w:hyperlink w:anchor="_Toc5281" w:history="1">
        <w:r>
          <w:rPr>
            <w:rFonts w:ascii="IRNazanin" w:hAnsi="IRNazanin" w:eastAsia="IRNazanin" w:cs="IRNazanin"/>
            <w:color w:val="111111"/>
            <w:sz w:val="22"/>
            <w:szCs w:val="22"/>
            <w:b w:val="0"/>
            <w:bCs w:val="0"/>
            <w:i w:val="0"/>
            <w:iCs w:val="0"/>
          </w:rPr>
          <w:t>4991- دیوان مولانا عشقی هروی‏</w:t>
        </w:r>
        <w:r>
          <w:tab/>
        </w:r>
        <w:r>
          <w:fldChar w:fldCharType="begin"/>
        </w:r>
        <w:r>
          <w:instrText xml:space="preserve">PAGEREF 5281 \h</w:instrText>
        </w:r>
        <w:r>
          <w:fldChar w:fldCharType="end"/>
        </w:r>
      </w:hyperlink>
    </w:p>
    <w:p>
      <w:pPr>
        <w:tabs>
          <w:tab w:val="right" w:leader="dot" w:pos="9062"/>
        </w:tabs>
        <w:ind w:left="440"/>
      </w:pPr>
      <w:hyperlink w:anchor="_Toc5282" w:history="1">
        <w:r>
          <w:rPr>
            <w:rFonts w:ascii="IRNazanin" w:hAnsi="IRNazanin" w:eastAsia="IRNazanin" w:cs="IRNazanin"/>
            <w:color w:val="111111"/>
            <w:sz w:val="22"/>
            <w:szCs w:val="22"/>
            <w:b w:val="0"/>
            <w:bCs w:val="0"/>
            <w:i w:val="0"/>
            <w:iCs w:val="0"/>
          </w:rPr>
          <w:t>4992- دیوان عشقی همدانی‏</w:t>
        </w:r>
        <w:r>
          <w:tab/>
        </w:r>
        <w:r>
          <w:fldChar w:fldCharType="begin"/>
        </w:r>
        <w:r>
          <w:instrText xml:space="preserve">PAGEREF 5282 \h</w:instrText>
        </w:r>
        <w:r>
          <w:fldChar w:fldCharType="end"/>
        </w:r>
      </w:hyperlink>
    </w:p>
    <w:p>
      <w:pPr>
        <w:tabs>
          <w:tab w:val="right" w:leader="dot" w:pos="9062"/>
        </w:tabs>
        <w:ind w:left="440"/>
      </w:pPr>
      <w:hyperlink w:anchor="_Toc5283" w:history="1">
        <w:r>
          <w:rPr>
            <w:rFonts w:ascii="IRNazanin" w:hAnsi="IRNazanin" w:eastAsia="IRNazanin" w:cs="IRNazanin"/>
            <w:color w:val="111111"/>
            <w:sz w:val="22"/>
            <w:szCs w:val="22"/>
            <w:b w:val="0"/>
            <w:bCs w:val="0"/>
            <w:i w:val="0"/>
            <w:iCs w:val="0"/>
          </w:rPr>
          <w:t>4993- دیوان عشقی همدانی‏</w:t>
        </w:r>
        <w:r>
          <w:tab/>
        </w:r>
        <w:r>
          <w:fldChar w:fldCharType="begin"/>
        </w:r>
        <w:r>
          <w:instrText xml:space="preserve">PAGEREF 5283 \h</w:instrText>
        </w:r>
        <w:r>
          <w:fldChar w:fldCharType="end"/>
        </w:r>
      </w:hyperlink>
    </w:p>
    <w:p>
      <w:pPr>
        <w:tabs>
          <w:tab w:val="right" w:leader="dot" w:pos="9062"/>
        </w:tabs>
        <w:ind w:left="440"/>
      </w:pPr>
      <w:hyperlink w:anchor="_Toc5284" w:history="1">
        <w:r>
          <w:rPr>
            <w:rFonts w:ascii="IRNazanin" w:hAnsi="IRNazanin" w:eastAsia="IRNazanin" w:cs="IRNazanin"/>
            <w:color w:val="111111"/>
            <w:sz w:val="22"/>
            <w:szCs w:val="22"/>
            <w:b w:val="0"/>
            <w:bCs w:val="0"/>
            <w:i w:val="0"/>
            <w:iCs w:val="0"/>
          </w:rPr>
          <w:t>4994- دیوان عصار تبریزی‏</w:t>
        </w:r>
        <w:r>
          <w:tab/>
        </w:r>
        <w:r>
          <w:fldChar w:fldCharType="begin"/>
        </w:r>
        <w:r>
          <w:instrText xml:space="preserve">PAGEREF 5284 \h</w:instrText>
        </w:r>
        <w:r>
          <w:fldChar w:fldCharType="end"/>
        </w:r>
      </w:hyperlink>
    </w:p>
    <w:p>
      <w:pPr>
        <w:tabs>
          <w:tab w:val="right" w:leader="dot" w:pos="9062"/>
        </w:tabs>
        <w:ind w:left="440"/>
      </w:pPr>
      <w:hyperlink w:anchor="_Toc5285" w:history="1">
        <w:r>
          <w:rPr>
            <w:rFonts w:ascii="IRNazanin" w:hAnsi="IRNazanin" w:eastAsia="IRNazanin" w:cs="IRNazanin"/>
            <w:color w:val="111111"/>
            <w:sz w:val="22"/>
            <w:szCs w:val="22"/>
            <w:b w:val="0"/>
            <w:bCs w:val="0"/>
            <w:i w:val="0"/>
            <w:iCs w:val="0"/>
          </w:rPr>
          <w:t>4995- دیوان عصار لواسانی طهرانی‏</w:t>
        </w:r>
        <w:r>
          <w:tab/>
        </w:r>
        <w:r>
          <w:fldChar w:fldCharType="begin"/>
        </w:r>
        <w:r>
          <w:instrText xml:space="preserve">PAGEREF 5285 \h</w:instrText>
        </w:r>
        <w:r>
          <w:fldChar w:fldCharType="end"/>
        </w:r>
      </w:hyperlink>
    </w:p>
    <w:p>
      <w:pPr>
        <w:tabs>
          <w:tab w:val="right" w:leader="dot" w:pos="9062"/>
        </w:tabs>
        <w:ind w:left="440"/>
      </w:pPr>
      <w:hyperlink w:anchor="_Toc5286" w:history="1">
        <w:r>
          <w:rPr>
            <w:rFonts w:ascii="IRNazanin" w:hAnsi="IRNazanin" w:eastAsia="IRNazanin" w:cs="IRNazanin"/>
            <w:color w:val="111111"/>
            <w:sz w:val="22"/>
            <w:szCs w:val="22"/>
            <w:b w:val="0"/>
            <w:bCs w:val="0"/>
            <w:i w:val="0"/>
            <w:iCs w:val="0"/>
          </w:rPr>
          <w:t>4996- دیوان عصام دهلوی‏</w:t>
        </w:r>
        <w:r>
          <w:tab/>
        </w:r>
        <w:r>
          <w:fldChar w:fldCharType="begin"/>
        </w:r>
        <w:r>
          <w:instrText xml:space="preserve">PAGEREF 5286 \h</w:instrText>
        </w:r>
        <w:r>
          <w:fldChar w:fldCharType="end"/>
        </w:r>
      </w:hyperlink>
    </w:p>
    <w:p>
      <w:pPr>
        <w:tabs>
          <w:tab w:val="right" w:leader="dot" w:pos="9062"/>
        </w:tabs>
        <w:ind w:left="440"/>
      </w:pPr>
      <w:hyperlink w:anchor="_Toc5287" w:history="1">
        <w:r>
          <w:rPr>
            <w:rFonts w:ascii="IRNazanin" w:hAnsi="IRNazanin" w:eastAsia="IRNazanin" w:cs="IRNazanin"/>
            <w:color w:val="111111"/>
            <w:sz w:val="22"/>
            <w:szCs w:val="22"/>
            <w:b w:val="0"/>
            <w:bCs w:val="0"/>
            <w:i w:val="0"/>
            <w:iCs w:val="0"/>
          </w:rPr>
          <w:t>4997- دیوان العصامی الأسفراینی‏</w:t>
        </w:r>
        <w:r>
          <w:tab/>
        </w:r>
        <w:r>
          <w:fldChar w:fldCharType="begin"/>
        </w:r>
        <w:r>
          <w:instrText xml:space="preserve">PAGEREF 5287 \h</w:instrText>
        </w:r>
        <w:r>
          <w:fldChar w:fldCharType="end"/>
        </w:r>
      </w:hyperlink>
    </w:p>
    <w:p>
      <w:pPr>
        <w:tabs>
          <w:tab w:val="right" w:leader="dot" w:pos="9062"/>
        </w:tabs>
        <w:ind w:left="440"/>
      </w:pPr>
      <w:hyperlink w:anchor="_Toc5288" w:history="1">
        <w:r>
          <w:rPr>
            <w:rFonts w:ascii="IRNazanin" w:hAnsi="IRNazanin" w:eastAsia="IRNazanin" w:cs="IRNazanin"/>
            <w:color w:val="111111"/>
            <w:sz w:val="22"/>
            <w:szCs w:val="22"/>
            <w:b w:val="0"/>
            <w:bCs w:val="0"/>
            <w:i w:val="0"/>
            <w:iCs w:val="0"/>
          </w:rPr>
          <w:t>4998- دیوان العصامی الأسفراینی أو شعره‏</w:t>
        </w:r>
        <w:r>
          <w:tab/>
        </w:r>
        <w:r>
          <w:fldChar w:fldCharType="begin"/>
        </w:r>
        <w:r>
          <w:instrText xml:space="preserve">PAGEREF 5288 \h</w:instrText>
        </w:r>
        <w:r>
          <w:fldChar w:fldCharType="end"/>
        </w:r>
      </w:hyperlink>
    </w:p>
    <w:p>
      <w:pPr>
        <w:tabs>
          <w:tab w:val="right" w:leader="dot" w:pos="9062"/>
        </w:tabs>
        <w:ind w:left="440"/>
      </w:pPr>
      <w:hyperlink w:anchor="_Toc5289" w:history="1">
        <w:r>
          <w:rPr>
            <w:rFonts w:ascii="IRNazanin" w:hAnsi="IRNazanin" w:eastAsia="IRNazanin" w:cs="IRNazanin"/>
            <w:color w:val="111111"/>
            <w:sz w:val="22"/>
            <w:szCs w:val="22"/>
            <w:b w:val="0"/>
            <w:bCs w:val="0"/>
            <w:i w:val="0"/>
            <w:iCs w:val="0"/>
          </w:rPr>
          <w:t>4999- دیوان عصامی سمرقندی‏</w:t>
        </w:r>
        <w:r>
          <w:tab/>
        </w:r>
        <w:r>
          <w:fldChar w:fldCharType="begin"/>
        </w:r>
        <w:r>
          <w:instrText xml:space="preserve">PAGEREF 5289 \h</w:instrText>
        </w:r>
        <w:r>
          <w:fldChar w:fldCharType="end"/>
        </w:r>
      </w:hyperlink>
    </w:p>
    <w:p>
      <w:pPr>
        <w:tabs>
          <w:tab w:val="right" w:leader="dot" w:pos="9062"/>
        </w:tabs>
        <w:ind w:left="440"/>
      </w:pPr>
      <w:hyperlink w:anchor="_Toc5290" w:history="1">
        <w:r>
          <w:rPr>
            <w:rFonts w:ascii="IRNazanin" w:hAnsi="IRNazanin" w:eastAsia="IRNazanin" w:cs="IRNazanin"/>
            <w:color w:val="111111"/>
            <w:sz w:val="22"/>
            <w:szCs w:val="22"/>
            <w:b w:val="0"/>
            <w:bCs w:val="0"/>
            <w:i w:val="0"/>
            <w:iCs w:val="0"/>
          </w:rPr>
          <w:t>5000- دیوان عصری تبریزی أو شعره‏</w:t>
        </w:r>
        <w:r>
          <w:tab/>
        </w:r>
        <w:r>
          <w:fldChar w:fldCharType="begin"/>
        </w:r>
        <w:r>
          <w:instrText xml:space="preserve">PAGEREF 5290 \h</w:instrText>
        </w:r>
        <w:r>
          <w:fldChar w:fldCharType="end"/>
        </w:r>
      </w:hyperlink>
    </w:p>
    <w:p>
      <w:pPr>
        <w:tabs>
          <w:tab w:val="right" w:leader="dot" w:pos="9062"/>
        </w:tabs>
        <w:ind w:left="440"/>
      </w:pPr>
      <w:hyperlink w:anchor="_Toc5291" w:history="1">
        <w:r>
          <w:rPr>
            <w:rFonts w:ascii="IRNazanin" w:hAnsi="IRNazanin" w:eastAsia="IRNazanin" w:cs="IRNazanin"/>
            <w:color w:val="111111"/>
            <w:sz w:val="22"/>
            <w:szCs w:val="22"/>
            <w:b w:val="0"/>
            <w:bCs w:val="0"/>
            <w:i w:val="0"/>
            <w:iCs w:val="0"/>
          </w:rPr>
          <w:t>دیوان العصفوری‏</w:t>
        </w:r>
        <w:r>
          <w:tab/>
        </w:r>
        <w:r>
          <w:fldChar w:fldCharType="begin"/>
        </w:r>
        <w:r>
          <w:instrText xml:space="preserve">PAGEREF 5291 \h</w:instrText>
        </w:r>
        <w:r>
          <w:fldChar w:fldCharType="end"/>
        </w:r>
      </w:hyperlink>
    </w:p>
    <w:p>
      <w:pPr>
        <w:tabs>
          <w:tab w:val="right" w:leader="dot" w:pos="9062"/>
        </w:tabs>
        <w:ind w:left="440"/>
      </w:pPr>
      <w:hyperlink w:anchor="_Toc5292" w:history="1">
        <w:r>
          <w:rPr>
            <w:rFonts w:ascii="IRNazanin" w:hAnsi="IRNazanin" w:eastAsia="IRNazanin" w:cs="IRNazanin"/>
            <w:color w:val="111111"/>
            <w:sz w:val="22"/>
            <w:szCs w:val="22"/>
            <w:b w:val="0"/>
            <w:bCs w:val="0"/>
            <w:i w:val="0"/>
            <w:iCs w:val="0"/>
          </w:rPr>
          <w:t>دیوان العصفوری‏</w:t>
        </w:r>
        <w:r>
          <w:tab/>
        </w:r>
        <w:r>
          <w:fldChar w:fldCharType="begin"/>
        </w:r>
        <w:r>
          <w:instrText xml:space="preserve">PAGEREF 5292 \h</w:instrText>
        </w:r>
        <w:r>
          <w:fldChar w:fldCharType="end"/>
        </w:r>
      </w:hyperlink>
    </w:p>
    <w:p>
      <w:pPr>
        <w:tabs>
          <w:tab w:val="right" w:leader="dot" w:pos="9062"/>
        </w:tabs>
        <w:ind w:left="440"/>
      </w:pPr>
      <w:hyperlink w:anchor="_Toc5293" w:history="1">
        <w:r>
          <w:rPr>
            <w:rFonts w:ascii="IRNazanin" w:hAnsi="IRNazanin" w:eastAsia="IRNazanin" w:cs="IRNazanin"/>
            <w:color w:val="111111"/>
            <w:sz w:val="22"/>
            <w:szCs w:val="22"/>
            <w:b w:val="0"/>
            <w:bCs w:val="0"/>
            <w:i w:val="0"/>
            <w:iCs w:val="0"/>
          </w:rPr>
          <w:t>5001- دیوان عصمت بخاری‏</w:t>
        </w:r>
        <w:r>
          <w:tab/>
        </w:r>
        <w:r>
          <w:fldChar w:fldCharType="begin"/>
        </w:r>
        <w:r>
          <w:instrText xml:space="preserve">PAGEREF 5293 \h</w:instrText>
        </w:r>
        <w:r>
          <w:fldChar w:fldCharType="end"/>
        </w:r>
      </w:hyperlink>
    </w:p>
    <w:p>
      <w:pPr>
        <w:tabs>
          <w:tab w:val="right" w:leader="dot" w:pos="9062"/>
        </w:tabs>
        <w:ind w:left="440"/>
      </w:pPr>
      <w:hyperlink w:anchor="_Toc5294" w:history="1">
        <w:r>
          <w:rPr>
            <w:rFonts w:ascii="IRNazanin" w:hAnsi="IRNazanin" w:eastAsia="IRNazanin" w:cs="IRNazanin"/>
            <w:color w:val="111111"/>
            <w:sz w:val="22"/>
            <w:szCs w:val="22"/>
            <w:b w:val="0"/>
            <w:bCs w:val="0"/>
            <w:i w:val="0"/>
            <w:iCs w:val="0"/>
          </w:rPr>
          <w:t>5002- دیوان عصمتی سمرقندی أو شعرها</w:t>
        </w:r>
        <w:r>
          <w:tab/>
        </w:r>
        <w:r>
          <w:fldChar w:fldCharType="begin"/>
        </w:r>
        <w:r>
          <w:instrText xml:space="preserve">PAGEREF 5294 \h</w:instrText>
        </w:r>
        <w:r>
          <w:fldChar w:fldCharType="end"/>
        </w:r>
      </w:hyperlink>
    </w:p>
    <w:p>
      <w:pPr>
        <w:tabs>
          <w:tab w:val="right" w:leader="dot" w:pos="9062"/>
        </w:tabs>
        <w:ind w:left="440"/>
      </w:pPr>
      <w:hyperlink w:anchor="_Toc5295" w:history="1">
        <w:r>
          <w:rPr>
            <w:rFonts w:ascii="IRNazanin" w:hAnsi="IRNazanin" w:eastAsia="IRNazanin" w:cs="IRNazanin"/>
            <w:color w:val="111111"/>
            <w:sz w:val="22"/>
            <w:szCs w:val="22"/>
            <w:b w:val="0"/>
            <w:bCs w:val="0"/>
            <w:i w:val="0"/>
            <w:iCs w:val="0"/>
          </w:rPr>
          <w:t>دیوان عضائری‏</w:t>
        </w:r>
        <w:r>
          <w:tab/>
        </w:r>
        <w:r>
          <w:fldChar w:fldCharType="begin"/>
        </w:r>
        <w:r>
          <w:instrText xml:space="preserve">PAGEREF 5295 \h</w:instrText>
        </w:r>
        <w:r>
          <w:fldChar w:fldCharType="end"/>
        </w:r>
      </w:hyperlink>
    </w:p>
    <w:p>
      <w:pPr>
        <w:tabs>
          <w:tab w:val="right" w:leader="dot" w:pos="9062"/>
        </w:tabs>
        <w:ind w:left="440"/>
      </w:pPr>
      <w:hyperlink w:anchor="_Toc5296" w:history="1">
        <w:r>
          <w:rPr>
            <w:rFonts w:ascii="IRNazanin" w:hAnsi="IRNazanin" w:eastAsia="IRNazanin" w:cs="IRNazanin"/>
            <w:color w:val="111111"/>
            <w:sz w:val="22"/>
            <w:szCs w:val="22"/>
            <w:b w:val="0"/>
            <w:bCs w:val="0"/>
            <w:i w:val="0"/>
            <w:iCs w:val="0"/>
          </w:rPr>
          <w:t>دیوان عضد</w:t>
        </w:r>
        <w:r>
          <w:tab/>
        </w:r>
        <w:r>
          <w:fldChar w:fldCharType="begin"/>
        </w:r>
        <w:r>
          <w:instrText xml:space="preserve">PAGEREF 5296 \h</w:instrText>
        </w:r>
        <w:r>
          <w:fldChar w:fldCharType="end"/>
        </w:r>
      </w:hyperlink>
    </w:p>
    <w:p>
      <w:pPr>
        <w:tabs>
          <w:tab w:val="right" w:leader="dot" w:pos="9062"/>
        </w:tabs>
        <w:ind w:left="440"/>
      </w:pPr>
      <w:hyperlink w:anchor="_Toc5297" w:history="1">
        <w:r>
          <w:rPr>
            <w:rFonts w:ascii="IRNazanin" w:hAnsi="IRNazanin" w:eastAsia="IRNazanin" w:cs="IRNazanin"/>
            <w:color w:val="111111"/>
            <w:sz w:val="22"/>
            <w:szCs w:val="22"/>
            <w:b w:val="0"/>
            <w:bCs w:val="0"/>
            <w:i w:val="0"/>
            <w:iCs w:val="0"/>
          </w:rPr>
          <w:t>5003- دیوان عطا</w:t>
        </w:r>
        <w:r>
          <w:tab/>
        </w:r>
        <w:r>
          <w:fldChar w:fldCharType="begin"/>
        </w:r>
        <w:r>
          <w:instrText xml:space="preserve">PAGEREF 5297 \h</w:instrText>
        </w:r>
        <w:r>
          <w:fldChar w:fldCharType="end"/>
        </w:r>
      </w:hyperlink>
    </w:p>
    <w:p>
      <w:pPr>
        <w:tabs>
          <w:tab w:val="right" w:leader="dot" w:pos="9062"/>
        </w:tabs>
        <w:ind w:left="440"/>
      </w:pPr>
      <w:hyperlink w:anchor="_Toc5298" w:history="1">
        <w:r>
          <w:rPr>
            <w:rFonts w:ascii="IRNazanin" w:hAnsi="IRNazanin" w:eastAsia="IRNazanin" w:cs="IRNazanin"/>
            <w:color w:val="111111"/>
            <w:sz w:val="22"/>
            <w:szCs w:val="22"/>
            <w:b w:val="0"/>
            <w:bCs w:val="0"/>
            <w:i w:val="0"/>
            <w:iCs w:val="0"/>
          </w:rPr>
          <w:t>5004- دیوان عطاء أمروهوی أو شعره‏</w:t>
        </w:r>
        <w:r>
          <w:tab/>
        </w:r>
        <w:r>
          <w:fldChar w:fldCharType="begin"/>
        </w:r>
        <w:r>
          <w:instrText xml:space="preserve">PAGEREF 5298 \h</w:instrText>
        </w:r>
        <w:r>
          <w:fldChar w:fldCharType="end"/>
        </w:r>
      </w:hyperlink>
    </w:p>
    <w:p>
      <w:pPr>
        <w:tabs>
          <w:tab w:val="right" w:leader="dot" w:pos="9062"/>
        </w:tabs>
        <w:ind w:left="440"/>
      </w:pPr>
      <w:hyperlink w:anchor="_Toc5299" w:history="1">
        <w:r>
          <w:rPr>
            <w:rFonts w:ascii="IRNazanin" w:hAnsi="IRNazanin" w:eastAsia="IRNazanin" w:cs="IRNazanin"/>
            <w:color w:val="111111"/>
            <w:sz w:val="22"/>
            <w:szCs w:val="22"/>
            <w:b w:val="0"/>
            <w:bCs w:val="0"/>
            <w:i w:val="0"/>
            <w:iCs w:val="0"/>
          </w:rPr>
          <w:t>دیوان عطاء جونپوری‏</w:t>
        </w:r>
        <w:r>
          <w:tab/>
        </w:r>
        <w:r>
          <w:fldChar w:fldCharType="begin"/>
        </w:r>
        <w:r>
          <w:instrText xml:space="preserve">PAGEREF 5299 \h</w:instrText>
        </w:r>
        <w:r>
          <w:fldChar w:fldCharType="end"/>
        </w:r>
      </w:hyperlink>
    </w:p>
    <w:p>
      <w:pPr>
        <w:tabs>
          <w:tab w:val="right" w:leader="dot" w:pos="9062"/>
        </w:tabs>
        <w:ind w:left="440"/>
      </w:pPr>
      <w:hyperlink w:anchor="_Toc5300" w:history="1">
        <w:r>
          <w:rPr>
            <w:rFonts w:ascii="IRNazanin" w:hAnsi="IRNazanin" w:eastAsia="IRNazanin" w:cs="IRNazanin"/>
            <w:color w:val="111111"/>
            <w:sz w:val="22"/>
            <w:szCs w:val="22"/>
            <w:b w:val="0"/>
            <w:bCs w:val="0"/>
            <w:i w:val="0"/>
            <w:iCs w:val="0"/>
          </w:rPr>
          <w:t>دیوان عطاء رازی‏</w:t>
        </w:r>
        <w:r>
          <w:tab/>
        </w:r>
        <w:r>
          <w:fldChar w:fldCharType="begin"/>
        </w:r>
        <w:r>
          <w:instrText xml:space="preserve">PAGEREF 5300 \h</w:instrText>
        </w:r>
        <w:r>
          <w:fldChar w:fldCharType="end"/>
        </w:r>
      </w:hyperlink>
    </w:p>
    <w:p>
      <w:pPr>
        <w:tabs>
          <w:tab w:val="right" w:leader="dot" w:pos="9062"/>
        </w:tabs>
        <w:ind w:left="440"/>
      </w:pPr>
      <w:hyperlink w:anchor="_Toc5301" w:history="1">
        <w:r>
          <w:rPr>
            <w:rFonts w:ascii="IRNazanin" w:hAnsi="IRNazanin" w:eastAsia="IRNazanin" w:cs="IRNazanin"/>
            <w:color w:val="111111"/>
            <w:sz w:val="22"/>
            <w:szCs w:val="22"/>
            <w:b w:val="0"/>
            <w:bCs w:val="0"/>
            <w:i w:val="0"/>
            <w:iCs w:val="0"/>
          </w:rPr>
          <w:t>5005- دیوان عطاء رازی‏</w:t>
        </w:r>
        <w:r>
          <w:tab/>
        </w:r>
        <w:r>
          <w:fldChar w:fldCharType="begin"/>
        </w:r>
        <w:r>
          <w:instrText xml:space="preserve">PAGEREF 5301 \h</w:instrText>
        </w:r>
        <w:r>
          <w:fldChar w:fldCharType="end"/>
        </w:r>
      </w:hyperlink>
    </w:p>
    <w:p>
      <w:pPr>
        <w:tabs>
          <w:tab w:val="right" w:leader="dot" w:pos="9062"/>
        </w:tabs>
        <w:ind w:left="440"/>
      </w:pPr>
      <w:hyperlink w:anchor="_Toc5302" w:history="1">
        <w:r>
          <w:rPr>
            <w:rFonts w:ascii="IRNazanin" w:hAnsi="IRNazanin" w:eastAsia="IRNazanin" w:cs="IRNazanin"/>
            <w:color w:val="111111"/>
            <w:sz w:val="22"/>
            <w:szCs w:val="22"/>
            <w:b w:val="0"/>
            <w:bCs w:val="0"/>
            <w:i w:val="0"/>
            <w:iCs w:val="0"/>
          </w:rPr>
          <w:t>5006- دیوان عطاء رشتی‏</w:t>
        </w:r>
        <w:r>
          <w:tab/>
        </w:r>
        <w:r>
          <w:fldChar w:fldCharType="begin"/>
        </w:r>
        <w:r>
          <w:instrText xml:space="preserve">PAGEREF 5302 \h</w:instrText>
        </w:r>
        <w:r>
          <w:fldChar w:fldCharType="end"/>
        </w:r>
      </w:hyperlink>
    </w:p>
    <w:p>
      <w:pPr>
        <w:tabs>
          <w:tab w:val="right" w:leader="dot" w:pos="9062"/>
        </w:tabs>
        <w:ind w:left="440"/>
      </w:pPr>
      <w:hyperlink w:anchor="_Toc5303" w:history="1">
        <w:r>
          <w:rPr>
            <w:rFonts w:ascii="IRNazanin" w:hAnsi="IRNazanin" w:eastAsia="IRNazanin" w:cs="IRNazanin"/>
            <w:color w:val="111111"/>
            <w:sz w:val="22"/>
            <w:szCs w:val="22"/>
            <w:b w:val="0"/>
            <w:bCs w:val="0"/>
            <w:i w:val="0"/>
            <w:iCs w:val="0"/>
          </w:rPr>
          <w:t>دیوان عطاء سمرقندی‏</w:t>
        </w:r>
        <w:r>
          <w:tab/>
        </w:r>
        <w:r>
          <w:fldChar w:fldCharType="begin"/>
        </w:r>
        <w:r>
          <w:instrText xml:space="preserve">PAGEREF 5303 \h</w:instrText>
        </w:r>
        <w:r>
          <w:fldChar w:fldCharType="end"/>
        </w:r>
      </w:hyperlink>
    </w:p>
    <w:p>
      <w:pPr>
        <w:tabs>
          <w:tab w:val="right" w:leader="dot" w:pos="9062"/>
        </w:tabs>
        <w:ind w:left="440"/>
      </w:pPr>
      <w:hyperlink w:anchor="_Toc5304" w:history="1">
        <w:r>
          <w:rPr>
            <w:rFonts w:ascii="IRNazanin" w:hAnsi="IRNazanin" w:eastAsia="IRNazanin" w:cs="IRNazanin"/>
            <w:color w:val="111111"/>
            <w:sz w:val="22"/>
            <w:szCs w:val="22"/>
            <w:b w:val="0"/>
            <w:bCs w:val="0"/>
            <w:i w:val="0"/>
            <w:iCs w:val="0"/>
          </w:rPr>
          <w:t>دیوان میر عطاء طهرانی‏</w:t>
        </w:r>
        <w:r>
          <w:tab/>
        </w:r>
        <w:r>
          <w:fldChar w:fldCharType="begin"/>
        </w:r>
        <w:r>
          <w:instrText xml:space="preserve">PAGEREF 5304 \h</w:instrText>
        </w:r>
        <w:r>
          <w:fldChar w:fldCharType="end"/>
        </w:r>
      </w:hyperlink>
    </w:p>
    <w:p>
      <w:pPr>
        <w:tabs>
          <w:tab w:val="right" w:leader="dot" w:pos="9062"/>
        </w:tabs>
        <w:ind w:left="440"/>
      </w:pPr>
      <w:hyperlink w:anchor="_Toc5305" w:history="1">
        <w:r>
          <w:rPr>
            <w:rFonts w:ascii="IRNazanin" w:hAnsi="IRNazanin" w:eastAsia="IRNazanin" w:cs="IRNazanin"/>
            <w:color w:val="111111"/>
            <w:sz w:val="22"/>
            <w:szCs w:val="22"/>
            <w:b w:val="0"/>
            <w:bCs w:val="0"/>
            <w:i w:val="0"/>
            <w:iCs w:val="0"/>
          </w:rPr>
          <w:t>5007- دیوان عطاء طهرانی أو شعره‏</w:t>
        </w:r>
        <w:r>
          <w:tab/>
        </w:r>
        <w:r>
          <w:fldChar w:fldCharType="begin"/>
        </w:r>
        <w:r>
          <w:instrText xml:space="preserve">PAGEREF 5305 \h</w:instrText>
        </w:r>
        <w:r>
          <w:fldChar w:fldCharType="end"/>
        </w:r>
      </w:hyperlink>
    </w:p>
    <w:p>
      <w:pPr>
        <w:tabs>
          <w:tab w:val="right" w:leader="dot" w:pos="9062"/>
        </w:tabs>
        <w:ind w:left="440"/>
      </w:pPr>
      <w:hyperlink w:anchor="_Toc5306" w:history="1">
        <w:r>
          <w:rPr>
            <w:rFonts w:ascii="IRNazanin" w:hAnsi="IRNazanin" w:eastAsia="IRNazanin" w:cs="IRNazanin"/>
            <w:color w:val="111111"/>
            <w:sz w:val="22"/>
            <w:szCs w:val="22"/>
            <w:b w:val="0"/>
            <w:bCs w:val="0"/>
            <w:i w:val="0"/>
            <w:iCs w:val="0"/>
          </w:rPr>
          <w:t>5008- دیوان عطاء الله مشهدی أو شعره‏</w:t>
        </w:r>
        <w:r>
          <w:tab/>
        </w:r>
        <w:r>
          <w:fldChar w:fldCharType="begin"/>
        </w:r>
        <w:r>
          <w:instrText xml:space="preserve">PAGEREF 5306 \h</w:instrText>
        </w:r>
        <w:r>
          <w:fldChar w:fldCharType="end"/>
        </w:r>
      </w:hyperlink>
    </w:p>
    <w:p>
      <w:pPr>
        <w:tabs>
          <w:tab w:val="right" w:leader="dot" w:pos="9062"/>
        </w:tabs>
        <w:ind w:left="440"/>
      </w:pPr>
      <w:hyperlink w:anchor="_Toc5307" w:history="1">
        <w:r>
          <w:rPr>
            <w:rFonts w:ascii="IRNazanin" w:hAnsi="IRNazanin" w:eastAsia="IRNazanin" w:cs="IRNazanin"/>
            <w:color w:val="111111"/>
            <w:sz w:val="22"/>
            <w:szCs w:val="22"/>
            <w:b w:val="0"/>
            <w:bCs w:val="0"/>
            <w:i w:val="0"/>
            <w:iCs w:val="0"/>
          </w:rPr>
          <w:t>5009- دیوان عطاء ملک الجوینی أو شعره‏</w:t>
        </w:r>
        <w:r>
          <w:tab/>
        </w:r>
        <w:r>
          <w:fldChar w:fldCharType="begin"/>
        </w:r>
        <w:r>
          <w:instrText xml:space="preserve">PAGEREF 5307 \h</w:instrText>
        </w:r>
        <w:r>
          <w:fldChar w:fldCharType="end"/>
        </w:r>
      </w:hyperlink>
    </w:p>
    <w:p>
      <w:pPr>
        <w:tabs>
          <w:tab w:val="right" w:leader="dot" w:pos="9062"/>
        </w:tabs>
        <w:ind w:left="440"/>
      </w:pPr>
      <w:hyperlink w:anchor="_Toc5308" w:history="1">
        <w:r>
          <w:rPr>
            <w:rFonts w:ascii="IRNazanin" w:hAnsi="IRNazanin" w:eastAsia="IRNazanin" w:cs="IRNazanin"/>
            <w:color w:val="111111"/>
            <w:sz w:val="22"/>
            <w:szCs w:val="22"/>
            <w:b w:val="0"/>
            <w:bCs w:val="0"/>
            <w:i w:val="0"/>
            <w:iCs w:val="0"/>
          </w:rPr>
          <w:t>5010- دیوان عطاء نسفی‏</w:t>
        </w:r>
        <w:r>
          <w:tab/>
        </w:r>
        <w:r>
          <w:fldChar w:fldCharType="begin"/>
        </w:r>
        <w:r>
          <w:instrText xml:space="preserve">PAGEREF 5308 \h</w:instrText>
        </w:r>
        <w:r>
          <w:fldChar w:fldCharType="end"/>
        </w:r>
      </w:hyperlink>
    </w:p>
    <w:p>
      <w:pPr>
        <w:tabs>
          <w:tab w:val="right" w:leader="dot" w:pos="9062"/>
        </w:tabs>
        <w:ind w:left="440"/>
      </w:pPr>
      <w:hyperlink w:anchor="_Toc5309" w:history="1">
        <w:r>
          <w:rPr>
            <w:rFonts w:ascii="IRNazanin" w:hAnsi="IRNazanin" w:eastAsia="IRNazanin" w:cs="IRNazanin"/>
            <w:color w:val="111111"/>
            <w:sz w:val="22"/>
            <w:szCs w:val="22"/>
            <w:b w:val="0"/>
            <w:bCs w:val="0"/>
            <w:i w:val="0"/>
            <w:iCs w:val="0"/>
          </w:rPr>
          <w:t>دیوان عطاء نیشابوری‏</w:t>
        </w:r>
        <w:r>
          <w:tab/>
        </w:r>
        <w:r>
          <w:fldChar w:fldCharType="begin"/>
        </w:r>
        <w:r>
          <w:instrText xml:space="preserve">PAGEREF 5309 \h</w:instrText>
        </w:r>
        <w:r>
          <w:fldChar w:fldCharType="end"/>
        </w:r>
      </w:hyperlink>
    </w:p>
    <w:p>
      <w:pPr>
        <w:tabs>
          <w:tab w:val="right" w:leader="dot" w:pos="9062"/>
        </w:tabs>
        <w:ind w:left="440"/>
      </w:pPr>
      <w:hyperlink w:anchor="_Toc5310" w:history="1">
        <w:r>
          <w:rPr>
            <w:rFonts w:ascii="IRNazanin" w:hAnsi="IRNazanin" w:eastAsia="IRNazanin" w:cs="IRNazanin"/>
            <w:color w:val="111111"/>
            <w:sz w:val="22"/>
            <w:szCs w:val="22"/>
            <w:b w:val="0"/>
            <w:bCs w:val="0"/>
            <w:i w:val="0"/>
            <w:iCs w:val="0"/>
          </w:rPr>
          <w:t>5011- دیوان عطاء هروی‏</w:t>
        </w:r>
        <w:r>
          <w:tab/>
        </w:r>
        <w:r>
          <w:fldChar w:fldCharType="begin"/>
        </w:r>
        <w:r>
          <w:instrText xml:space="preserve">PAGEREF 5310 \h</w:instrText>
        </w:r>
        <w:r>
          <w:fldChar w:fldCharType="end"/>
        </w:r>
      </w:hyperlink>
    </w:p>
    <w:p>
      <w:pPr>
        <w:tabs>
          <w:tab w:val="right" w:leader="dot" w:pos="9062"/>
        </w:tabs>
        <w:ind w:left="440"/>
      </w:pPr>
      <w:hyperlink w:anchor="_Toc5311" w:history="1">
        <w:r>
          <w:rPr>
            <w:rFonts w:ascii="IRNazanin" w:hAnsi="IRNazanin" w:eastAsia="IRNazanin" w:cs="IRNazanin"/>
            <w:color w:val="111111"/>
            <w:sz w:val="22"/>
            <w:szCs w:val="22"/>
            <w:b w:val="0"/>
            <w:bCs w:val="0"/>
            <w:i w:val="0"/>
            <w:iCs w:val="0"/>
          </w:rPr>
          <w:t>5012- دیوان عطاء هروی‏</w:t>
        </w:r>
        <w:r>
          <w:tab/>
        </w:r>
        <w:r>
          <w:fldChar w:fldCharType="begin"/>
        </w:r>
        <w:r>
          <w:instrText xml:space="preserve">PAGEREF 5311 \h</w:instrText>
        </w:r>
        <w:r>
          <w:fldChar w:fldCharType="end"/>
        </w:r>
      </w:hyperlink>
    </w:p>
    <w:p>
      <w:pPr>
        <w:tabs>
          <w:tab w:val="right" w:leader="dot" w:pos="9062"/>
        </w:tabs>
        <w:ind w:left="440"/>
      </w:pPr>
      <w:hyperlink w:anchor="_Toc5312" w:history="1">
        <w:r>
          <w:rPr>
            <w:rFonts w:ascii="IRNazanin" w:hAnsi="IRNazanin" w:eastAsia="IRNazanin" w:cs="IRNazanin"/>
            <w:color w:val="111111"/>
            <w:sz w:val="22"/>
            <w:szCs w:val="22"/>
            <w:b w:val="0"/>
            <w:bCs w:val="0"/>
            <w:i w:val="0"/>
            <w:iCs w:val="0"/>
          </w:rPr>
          <w:t>دیوان عطائی تبریزی أو شعره‏</w:t>
        </w:r>
        <w:r>
          <w:tab/>
        </w:r>
        <w:r>
          <w:fldChar w:fldCharType="begin"/>
        </w:r>
        <w:r>
          <w:instrText xml:space="preserve">PAGEREF 5312 \h</w:instrText>
        </w:r>
        <w:r>
          <w:fldChar w:fldCharType="end"/>
        </w:r>
      </w:hyperlink>
    </w:p>
    <w:p>
      <w:pPr>
        <w:tabs>
          <w:tab w:val="right" w:leader="dot" w:pos="9062"/>
        </w:tabs>
        <w:ind w:left="440"/>
      </w:pPr>
      <w:hyperlink w:anchor="_Toc5313" w:history="1">
        <w:r>
          <w:rPr>
            <w:rFonts w:ascii="IRNazanin" w:hAnsi="IRNazanin" w:eastAsia="IRNazanin" w:cs="IRNazanin"/>
            <w:color w:val="111111"/>
            <w:sz w:val="22"/>
            <w:szCs w:val="22"/>
            <w:b w:val="0"/>
            <w:bCs w:val="0"/>
            <w:i w:val="0"/>
            <w:iCs w:val="0"/>
          </w:rPr>
          <w:t>5013- دیوان عطائی سبزواری‏</w:t>
        </w:r>
        <w:r>
          <w:tab/>
        </w:r>
        <w:r>
          <w:fldChar w:fldCharType="begin"/>
        </w:r>
        <w:r>
          <w:instrText xml:space="preserve">PAGEREF 5313 \h</w:instrText>
        </w:r>
        <w:r>
          <w:fldChar w:fldCharType="end"/>
        </w:r>
      </w:hyperlink>
    </w:p>
    <w:p>
      <w:pPr>
        <w:tabs>
          <w:tab w:val="right" w:leader="dot" w:pos="9062"/>
        </w:tabs>
        <w:ind w:left="440"/>
      </w:pPr>
      <w:hyperlink w:anchor="_Toc5314" w:history="1">
        <w:r>
          <w:rPr>
            <w:rFonts w:ascii="IRNazanin" w:hAnsi="IRNazanin" w:eastAsia="IRNazanin" w:cs="IRNazanin"/>
            <w:color w:val="111111"/>
            <w:sz w:val="22"/>
            <w:szCs w:val="22"/>
            <w:b w:val="0"/>
            <w:bCs w:val="0"/>
            <w:i w:val="0"/>
            <w:iCs w:val="0"/>
          </w:rPr>
          <w:t>5014- دیوان عطائی کاشی أو شعره‏</w:t>
        </w:r>
        <w:r>
          <w:tab/>
        </w:r>
        <w:r>
          <w:fldChar w:fldCharType="begin"/>
        </w:r>
        <w:r>
          <w:instrText xml:space="preserve">PAGEREF 5314 \h</w:instrText>
        </w:r>
        <w:r>
          <w:fldChar w:fldCharType="end"/>
        </w:r>
      </w:hyperlink>
    </w:p>
    <w:p>
      <w:pPr>
        <w:tabs>
          <w:tab w:val="right" w:leader="dot" w:pos="9062"/>
        </w:tabs>
        <w:ind w:left="440"/>
      </w:pPr>
      <w:hyperlink w:anchor="_Toc5315" w:history="1">
        <w:r>
          <w:rPr>
            <w:rFonts w:ascii="IRNazanin" w:hAnsi="IRNazanin" w:eastAsia="IRNazanin" w:cs="IRNazanin"/>
            <w:color w:val="111111"/>
            <w:sz w:val="22"/>
            <w:szCs w:val="22"/>
            <w:b w:val="0"/>
            <w:bCs w:val="0"/>
            <w:i w:val="0"/>
            <w:iCs w:val="0"/>
          </w:rPr>
          <w:t>5015- دیوان عطائی هندی‏</w:t>
        </w:r>
        <w:r>
          <w:tab/>
        </w:r>
        <w:r>
          <w:fldChar w:fldCharType="begin"/>
        </w:r>
        <w:r>
          <w:instrText xml:space="preserve">PAGEREF 5315 \h</w:instrText>
        </w:r>
        <w:r>
          <w:fldChar w:fldCharType="end"/>
        </w:r>
      </w:hyperlink>
    </w:p>
    <w:p>
      <w:pPr>
        <w:tabs>
          <w:tab w:val="right" w:leader="dot" w:pos="9062"/>
        </w:tabs>
        <w:ind w:left="440"/>
      </w:pPr>
      <w:hyperlink w:anchor="_Toc5316" w:history="1">
        <w:r>
          <w:rPr>
            <w:rFonts w:ascii="IRNazanin" w:hAnsi="IRNazanin" w:eastAsia="IRNazanin" w:cs="IRNazanin"/>
            <w:color w:val="111111"/>
            <w:sz w:val="22"/>
            <w:szCs w:val="22"/>
            <w:b w:val="0"/>
            <w:bCs w:val="0"/>
            <w:i w:val="0"/>
            <w:iCs w:val="0"/>
          </w:rPr>
          <w:t>دیوان العطار البغدادی‏</w:t>
        </w:r>
        <w:r>
          <w:tab/>
        </w:r>
        <w:r>
          <w:fldChar w:fldCharType="begin"/>
        </w:r>
        <w:r>
          <w:instrText xml:space="preserve">PAGEREF 5316 \h</w:instrText>
        </w:r>
        <w:r>
          <w:fldChar w:fldCharType="end"/>
        </w:r>
      </w:hyperlink>
    </w:p>
    <w:p>
      <w:pPr>
        <w:tabs>
          <w:tab w:val="right" w:leader="dot" w:pos="9062"/>
        </w:tabs>
        <w:ind w:left="440"/>
      </w:pPr>
      <w:hyperlink w:anchor="_Toc5317" w:history="1">
        <w:r>
          <w:rPr>
            <w:rFonts w:ascii="IRNazanin" w:hAnsi="IRNazanin" w:eastAsia="IRNazanin" w:cs="IRNazanin"/>
            <w:color w:val="111111"/>
            <w:sz w:val="22"/>
            <w:szCs w:val="22"/>
            <w:b w:val="0"/>
            <w:bCs w:val="0"/>
            <w:i w:val="0"/>
            <w:iCs w:val="0"/>
          </w:rPr>
          <w:t>5016- دیوان عطار بلخی‏</w:t>
        </w:r>
        <w:r>
          <w:tab/>
        </w:r>
        <w:r>
          <w:fldChar w:fldCharType="begin"/>
        </w:r>
        <w:r>
          <w:instrText xml:space="preserve">PAGEREF 5317 \h</w:instrText>
        </w:r>
        <w:r>
          <w:fldChar w:fldCharType="end"/>
        </w:r>
      </w:hyperlink>
    </w:p>
    <w:p>
      <w:pPr>
        <w:tabs>
          <w:tab w:val="right" w:leader="dot" w:pos="9062"/>
        </w:tabs>
        <w:ind w:left="440"/>
      </w:pPr>
      <w:hyperlink w:anchor="_Toc5318" w:history="1">
        <w:r>
          <w:rPr>
            <w:rFonts w:ascii="IRNazanin" w:hAnsi="IRNazanin" w:eastAsia="IRNazanin" w:cs="IRNazanin"/>
            <w:color w:val="111111"/>
            <w:sz w:val="22"/>
            <w:szCs w:val="22"/>
            <w:b w:val="0"/>
            <w:bCs w:val="0"/>
            <w:i w:val="0"/>
            <w:iCs w:val="0"/>
          </w:rPr>
          <w:t>دیوان عطار شیرازی‏</w:t>
        </w:r>
        <w:r>
          <w:tab/>
        </w:r>
        <w:r>
          <w:fldChar w:fldCharType="begin"/>
        </w:r>
        <w:r>
          <w:instrText xml:space="preserve">PAGEREF 5318 \h</w:instrText>
        </w:r>
        <w:r>
          <w:fldChar w:fldCharType="end"/>
        </w:r>
      </w:hyperlink>
    </w:p>
    <w:p>
      <w:pPr>
        <w:tabs>
          <w:tab w:val="right" w:leader="dot" w:pos="9062"/>
        </w:tabs>
        <w:ind w:left="440"/>
      </w:pPr>
      <w:hyperlink w:anchor="_Toc5319" w:history="1">
        <w:r>
          <w:rPr>
            <w:rFonts w:ascii="IRNazanin" w:hAnsi="IRNazanin" w:eastAsia="IRNazanin" w:cs="IRNazanin"/>
            <w:color w:val="111111"/>
            <w:sz w:val="22"/>
            <w:szCs w:val="22"/>
            <w:b w:val="0"/>
            <w:bCs w:val="0"/>
            <w:i w:val="0"/>
            <w:iCs w:val="0"/>
          </w:rPr>
          <w:t>5017- دیوان عطار شیرازی أو شعره‏</w:t>
        </w:r>
        <w:r>
          <w:tab/>
        </w:r>
        <w:r>
          <w:fldChar w:fldCharType="begin"/>
        </w:r>
        <w:r>
          <w:instrText xml:space="preserve">PAGEREF 5319 \h</w:instrText>
        </w:r>
        <w:r>
          <w:fldChar w:fldCharType="end"/>
        </w:r>
      </w:hyperlink>
    </w:p>
    <w:p>
      <w:pPr>
        <w:tabs>
          <w:tab w:val="right" w:leader="dot" w:pos="9062"/>
        </w:tabs>
        <w:ind w:left="440"/>
      </w:pPr>
      <w:hyperlink w:anchor="_Toc5320" w:history="1">
        <w:r>
          <w:rPr>
            <w:rFonts w:ascii="IRNazanin" w:hAnsi="IRNazanin" w:eastAsia="IRNazanin" w:cs="IRNazanin"/>
            <w:color w:val="111111"/>
            <w:sz w:val="22"/>
            <w:szCs w:val="22"/>
            <w:b w:val="0"/>
            <w:bCs w:val="0"/>
            <w:i w:val="0"/>
            <w:iCs w:val="0"/>
          </w:rPr>
          <w:t>5018- دیوان عطارد</w:t>
        </w:r>
        <w:r>
          <w:tab/>
        </w:r>
        <w:r>
          <w:fldChar w:fldCharType="begin"/>
        </w:r>
        <w:r>
          <w:instrText xml:space="preserve">PAGEREF 5320 \h</w:instrText>
        </w:r>
        <w:r>
          <w:fldChar w:fldCharType="end"/>
        </w:r>
      </w:hyperlink>
    </w:p>
    <w:p>
      <w:pPr>
        <w:tabs>
          <w:tab w:val="right" w:leader="dot" w:pos="9062"/>
        </w:tabs>
        <w:ind w:left="440"/>
      </w:pPr>
      <w:hyperlink w:anchor="_Toc5321" w:history="1">
        <w:r>
          <w:rPr>
            <w:rFonts w:ascii="IRNazanin" w:hAnsi="IRNazanin" w:eastAsia="IRNazanin" w:cs="IRNazanin"/>
            <w:color w:val="111111"/>
            <w:sz w:val="22"/>
            <w:szCs w:val="22"/>
            <w:b w:val="0"/>
            <w:bCs w:val="0"/>
            <w:i w:val="0"/>
            <w:iCs w:val="0"/>
          </w:rPr>
          <w:t>5019- دیوان عطاردی خراسانی‏</w:t>
        </w:r>
        <w:r>
          <w:tab/>
        </w:r>
        <w:r>
          <w:fldChar w:fldCharType="begin"/>
        </w:r>
        <w:r>
          <w:instrText xml:space="preserve">PAGEREF 5321 \h</w:instrText>
        </w:r>
        <w:r>
          <w:fldChar w:fldCharType="end"/>
        </w:r>
      </w:hyperlink>
    </w:p>
    <w:p>
      <w:pPr>
        <w:tabs>
          <w:tab w:val="right" w:leader="dot" w:pos="9062"/>
        </w:tabs>
        <w:ind w:left="440"/>
      </w:pPr>
      <w:hyperlink w:anchor="_Toc5322" w:history="1">
        <w:r>
          <w:rPr>
            <w:rFonts w:ascii="IRNazanin" w:hAnsi="IRNazanin" w:eastAsia="IRNazanin" w:cs="IRNazanin"/>
            <w:color w:val="111111"/>
            <w:sz w:val="22"/>
            <w:szCs w:val="22"/>
            <w:b w:val="0"/>
            <w:bCs w:val="0"/>
            <w:i w:val="0"/>
            <w:iCs w:val="0"/>
          </w:rPr>
          <w:t>5020- دیوان عطار نیشابوری‏</w:t>
        </w:r>
        <w:r>
          <w:tab/>
        </w:r>
        <w:r>
          <w:fldChar w:fldCharType="begin"/>
        </w:r>
        <w:r>
          <w:instrText xml:space="preserve">PAGEREF 5322 \h</w:instrText>
        </w:r>
        <w:r>
          <w:fldChar w:fldCharType="end"/>
        </w:r>
      </w:hyperlink>
    </w:p>
    <w:p>
      <w:pPr>
        <w:tabs>
          <w:tab w:val="right" w:leader="dot" w:pos="9062"/>
        </w:tabs>
        <w:ind w:left="440"/>
      </w:pPr>
      <w:hyperlink w:anchor="_Toc5323" w:history="1">
        <w:r>
          <w:rPr>
            <w:rFonts w:ascii="IRNazanin" w:hAnsi="IRNazanin" w:eastAsia="IRNazanin" w:cs="IRNazanin"/>
            <w:color w:val="111111"/>
            <w:sz w:val="22"/>
            <w:szCs w:val="22"/>
            <w:b w:val="0"/>
            <w:bCs w:val="0"/>
            <w:i w:val="0"/>
            <w:iCs w:val="0"/>
          </w:rPr>
          <w:t>5021- دیوان عطار یزدی أو شعره‏</w:t>
        </w:r>
        <w:r>
          <w:tab/>
        </w:r>
        <w:r>
          <w:fldChar w:fldCharType="begin"/>
        </w:r>
        <w:r>
          <w:instrText xml:space="preserve">PAGEREF 5323 \h</w:instrText>
        </w:r>
        <w:r>
          <w:fldChar w:fldCharType="end"/>
        </w:r>
      </w:hyperlink>
    </w:p>
    <w:p>
      <w:pPr>
        <w:tabs>
          <w:tab w:val="right" w:leader="dot" w:pos="9062"/>
        </w:tabs>
        <w:ind w:left="440"/>
      </w:pPr>
      <w:hyperlink w:anchor="_Toc5324" w:history="1">
        <w:r>
          <w:rPr>
            <w:rFonts w:ascii="IRNazanin" w:hAnsi="IRNazanin" w:eastAsia="IRNazanin" w:cs="IRNazanin"/>
            <w:color w:val="111111"/>
            <w:sz w:val="22"/>
            <w:szCs w:val="22"/>
            <w:b w:val="0"/>
            <w:bCs w:val="0"/>
            <w:i w:val="0"/>
            <w:iCs w:val="0"/>
          </w:rPr>
          <w:t>5022- دیوان عظمت سمرقندی أو شعرها</w:t>
        </w:r>
        <w:r>
          <w:tab/>
        </w:r>
        <w:r>
          <w:fldChar w:fldCharType="begin"/>
        </w:r>
        <w:r>
          <w:instrText xml:space="preserve">PAGEREF 5324 \h</w:instrText>
        </w:r>
        <w:r>
          <w:fldChar w:fldCharType="end"/>
        </w:r>
      </w:hyperlink>
    </w:p>
    <w:p>
      <w:pPr>
        <w:tabs>
          <w:tab w:val="right" w:leader="dot" w:pos="9062"/>
        </w:tabs>
        <w:ind w:left="440"/>
      </w:pPr>
      <w:hyperlink w:anchor="_Toc5325" w:history="1">
        <w:r>
          <w:rPr>
            <w:rFonts w:ascii="IRNazanin" w:hAnsi="IRNazanin" w:eastAsia="IRNazanin" w:cs="IRNazanin"/>
            <w:color w:val="111111"/>
            <w:sz w:val="22"/>
            <w:szCs w:val="22"/>
            <w:b w:val="0"/>
            <w:bCs w:val="0"/>
            <w:i w:val="0"/>
            <w:iCs w:val="0"/>
          </w:rPr>
          <w:t>5023- دیوان عظیم أو شعره‏</w:t>
        </w:r>
        <w:r>
          <w:tab/>
        </w:r>
        <w:r>
          <w:fldChar w:fldCharType="begin"/>
        </w:r>
        <w:r>
          <w:instrText xml:space="preserve">PAGEREF 5325 \h</w:instrText>
        </w:r>
        <w:r>
          <w:fldChar w:fldCharType="end"/>
        </w:r>
      </w:hyperlink>
    </w:p>
    <w:p>
      <w:pPr>
        <w:tabs>
          <w:tab w:val="right" w:leader="dot" w:pos="9062"/>
        </w:tabs>
        <w:ind w:left="440"/>
      </w:pPr>
      <w:hyperlink w:anchor="_Toc5326" w:history="1">
        <w:r>
          <w:rPr>
            <w:rFonts w:ascii="IRNazanin" w:hAnsi="IRNazanin" w:eastAsia="IRNazanin" w:cs="IRNazanin"/>
            <w:color w:val="111111"/>
            <w:sz w:val="22"/>
            <w:szCs w:val="22"/>
            <w:b w:val="0"/>
            <w:bCs w:val="0"/>
            <w:i w:val="0"/>
            <w:iCs w:val="0"/>
          </w:rPr>
          <w:t>5024- دیوان عظیمای نیشابوری‏</w:t>
        </w:r>
        <w:r>
          <w:tab/>
        </w:r>
        <w:r>
          <w:fldChar w:fldCharType="begin"/>
        </w:r>
        <w:r>
          <w:instrText xml:space="preserve">PAGEREF 5326 \h</w:instrText>
        </w:r>
        <w:r>
          <w:fldChar w:fldCharType="end"/>
        </w:r>
      </w:hyperlink>
    </w:p>
    <w:p>
      <w:pPr>
        <w:tabs>
          <w:tab w:val="right" w:leader="dot" w:pos="9062"/>
        </w:tabs>
        <w:ind w:left="440"/>
      </w:pPr>
      <w:hyperlink w:anchor="_Toc5327" w:history="1">
        <w:r>
          <w:rPr>
            <w:rFonts w:ascii="IRNazanin" w:hAnsi="IRNazanin" w:eastAsia="IRNazanin" w:cs="IRNazanin"/>
            <w:color w:val="111111"/>
            <w:sz w:val="22"/>
            <w:szCs w:val="22"/>
            <w:b w:val="0"/>
            <w:bCs w:val="0"/>
            <w:i w:val="0"/>
            <w:iCs w:val="0"/>
          </w:rPr>
          <w:t>5025- دیوان عظیم بلگرامی أو شعره‏</w:t>
        </w:r>
        <w:r>
          <w:tab/>
        </w:r>
        <w:r>
          <w:fldChar w:fldCharType="begin"/>
        </w:r>
        <w:r>
          <w:instrText xml:space="preserve">PAGEREF 5327 \h</w:instrText>
        </w:r>
        <w:r>
          <w:fldChar w:fldCharType="end"/>
        </w:r>
      </w:hyperlink>
    </w:p>
    <w:p>
      <w:pPr>
        <w:tabs>
          <w:tab w:val="right" w:leader="dot" w:pos="9062"/>
        </w:tabs>
        <w:ind w:left="440"/>
      </w:pPr>
      <w:hyperlink w:anchor="_Toc5328" w:history="1">
        <w:r>
          <w:rPr>
            <w:rFonts w:ascii="IRNazanin" w:hAnsi="IRNazanin" w:eastAsia="IRNazanin" w:cs="IRNazanin"/>
            <w:color w:val="111111"/>
            <w:sz w:val="22"/>
            <w:szCs w:val="22"/>
            <w:b w:val="0"/>
            <w:bCs w:val="0"/>
            <w:i w:val="0"/>
            <w:iCs w:val="0"/>
          </w:rPr>
          <w:t>5026- دیوان عظیم خیرآبادی أو شعره‏</w:t>
        </w:r>
        <w:r>
          <w:tab/>
        </w:r>
        <w:r>
          <w:fldChar w:fldCharType="begin"/>
        </w:r>
        <w:r>
          <w:instrText xml:space="preserve">PAGEREF 5328 \h</w:instrText>
        </w:r>
        <w:r>
          <w:fldChar w:fldCharType="end"/>
        </w:r>
      </w:hyperlink>
    </w:p>
    <w:p>
      <w:pPr>
        <w:tabs>
          <w:tab w:val="right" w:leader="dot" w:pos="9062"/>
        </w:tabs>
        <w:ind w:left="440"/>
      </w:pPr>
      <w:hyperlink w:anchor="_Toc5329" w:history="1">
        <w:r>
          <w:rPr>
            <w:rFonts w:ascii="IRNazanin" w:hAnsi="IRNazanin" w:eastAsia="IRNazanin" w:cs="IRNazanin"/>
            <w:color w:val="111111"/>
            <w:sz w:val="22"/>
            <w:szCs w:val="22"/>
            <w:b w:val="0"/>
            <w:bCs w:val="0"/>
            <w:i w:val="0"/>
            <w:iCs w:val="0"/>
          </w:rPr>
          <w:t>5027- دیوان عظیم شیروانی‏</w:t>
        </w:r>
        <w:r>
          <w:tab/>
        </w:r>
        <w:r>
          <w:fldChar w:fldCharType="begin"/>
        </w:r>
        <w:r>
          <w:instrText xml:space="preserve">PAGEREF 5329 \h</w:instrText>
        </w:r>
        <w:r>
          <w:fldChar w:fldCharType="end"/>
        </w:r>
      </w:hyperlink>
    </w:p>
    <w:p>
      <w:pPr>
        <w:tabs>
          <w:tab w:val="right" w:leader="dot" w:pos="9062"/>
        </w:tabs>
        <w:ind w:left="440"/>
      </w:pPr>
      <w:hyperlink w:anchor="_Toc5330" w:history="1">
        <w:r>
          <w:rPr>
            <w:rFonts w:ascii="IRNazanin" w:hAnsi="IRNazanin" w:eastAsia="IRNazanin" w:cs="IRNazanin"/>
            <w:color w:val="111111"/>
            <w:sz w:val="22"/>
            <w:szCs w:val="22"/>
            <w:b w:val="0"/>
            <w:bCs w:val="0"/>
            <w:i w:val="0"/>
            <w:iCs w:val="0"/>
          </w:rPr>
          <w:t>5028- دیوان عفت شیرازی أو شعرها</w:t>
        </w:r>
        <w:r>
          <w:tab/>
        </w:r>
        <w:r>
          <w:fldChar w:fldCharType="begin"/>
        </w:r>
        <w:r>
          <w:instrText xml:space="preserve">PAGEREF 5330 \h</w:instrText>
        </w:r>
        <w:r>
          <w:fldChar w:fldCharType="end"/>
        </w:r>
      </w:hyperlink>
    </w:p>
    <w:p>
      <w:pPr>
        <w:tabs>
          <w:tab w:val="right" w:leader="dot" w:pos="9062"/>
        </w:tabs>
        <w:ind w:left="440"/>
      </w:pPr>
      <w:hyperlink w:anchor="_Toc5331" w:history="1">
        <w:r>
          <w:rPr>
            <w:rFonts w:ascii="IRNazanin" w:hAnsi="IRNazanin" w:eastAsia="IRNazanin" w:cs="IRNazanin"/>
            <w:color w:val="111111"/>
            <w:sz w:val="22"/>
            <w:szCs w:val="22"/>
            <w:b w:val="0"/>
            <w:bCs w:val="0"/>
            <w:i w:val="0"/>
            <w:iCs w:val="0"/>
          </w:rPr>
          <w:t>5029- دیوان عفتی أسفراینی‏</w:t>
        </w:r>
        <w:r>
          <w:tab/>
        </w:r>
        <w:r>
          <w:fldChar w:fldCharType="begin"/>
        </w:r>
        <w:r>
          <w:instrText xml:space="preserve">PAGEREF 5331 \h</w:instrText>
        </w:r>
        <w:r>
          <w:fldChar w:fldCharType="end"/>
        </w:r>
      </w:hyperlink>
    </w:p>
    <w:p>
      <w:pPr>
        <w:tabs>
          <w:tab w:val="right" w:leader="dot" w:pos="9062"/>
        </w:tabs>
        <w:ind w:left="440"/>
      </w:pPr>
      <w:hyperlink w:anchor="_Toc5332" w:history="1">
        <w:r>
          <w:rPr>
            <w:rFonts w:ascii="IRNazanin" w:hAnsi="IRNazanin" w:eastAsia="IRNazanin" w:cs="IRNazanin"/>
            <w:color w:val="111111"/>
            <w:sz w:val="22"/>
            <w:szCs w:val="22"/>
            <w:b w:val="0"/>
            <w:bCs w:val="0"/>
            <w:i w:val="0"/>
            <w:iCs w:val="0"/>
          </w:rPr>
          <w:t>5030- دیوان عقاب شیرازی أو شعره‏</w:t>
        </w:r>
        <w:r>
          <w:tab/>
        </w:r>
        <w:r>
          <w:fldChar w:fldCharType="begin"/>
        </w:r>
        <w:r>
          <w:instrText xml:space="preserve">PAGEREF 5332 \h</w:instrText>
        </w:r>
        <w:r>
          <w:fldChar w:fldCharType="end"/>
        </w:r>
      </w:hyperlink>
    </w:p>
    <w:p>
      <w:pPr>
        <w:tabs>
          <w:tab w:val="right" w:leader="dot" w:pos="9062"/>
        </w:tabs>
        <w:ind w:left="440"/>
      </w:pPr>
      <w:hyperlink w:anchor="_Toc5333" w:history="1">
        <w:r>
          <w:rPr>
            <w:rFonts w:ascii="IRNazanin" w:hAnsi="IRNazanin" w:eastAsia="IRNazanin" w:cs="IRNazanin"/>
            <w:color w:val="111111"/>
            <w:sz w:val="22"/>
            <w:szCs w:val="22"/>
            <w:b w:val="0"/>
            <w:bCs w:val="0"/>
            <w:i w:val="0"/>
            <w:iCs w:val="0"/>
          </w:rPr>
          <w:t>5031- دیوان عقدائی‏</w:t>
        </w:r>
        <w:r>
          <w:tab/>
        </w:r>
        <w:r>
          <w:fldChar w:fldCharType="begin"/>
        </w:r>
        <w:r>
          <w:instrText xml:space="preserve">PAGEREF 5333 \h</w:instrText>
        </w:r>
        <w:r>
          <w:fldChar w:fldCharType="end"/>
        </w:r>
      </w:hyperlink>
    </w:p>
    <w:p>
      <w:pPr>
        <w:tabs>
          <w:tab w:val="right" w:leader="dot" w:pos="9062"/>
        </w:tabs>
        <w:ind w:left="440"/>
      </w:pPr>
      <w:hyperlink w:anchor="_Toc5334" w:history="1">
        <w:r>
          <w:rPr>
            <w:rFonts w:ascii="IRNazanin" w:hAnsi="IRNazanin" w:eastAsia="IRNazanin" w:cs="IRNazanin"/>
            <w:color w:val="111111"/>
            <w:sz w:val="22"/>
            <w:szCs w:val="22"/>
            <w:b w:val="0"/>
            <w:bCs w:val="0"/>
            <w:i w:val="0"/>
            <w:iCs w:val="0"/>
          </w:rPr>
          <w:t>5032- دیوان عقیبة الأسدی أو شعره‏</w:t>
        </w:r>
        <w:r>
          <w:tab/>
        </w:r>
        <w:r>
          <w:fldChar w:fldCharType="begin"/>
        </w:r>
        <w:r>
          <w:instrText xml:space="preserve">PAGEREF 5334 \h</w:instrText>
        </w:r>
        <w:r>
          <w:fldChar w:fldCharType="end"/>
        </w:r>
      </w:hyperlink>
    </w:p>
    <w:p>
      <w:pPr>
        <w:tabs>
          <w:tab w:val="right" w:leader="dot" w:pos="9062"/>
        </w:tabs>
        <w:ind w:left="440"/>
      </w:pPr>
      <w:hyperlink w:anchor="_Toc5335" w:history="1">
        <w:r>
          <w:rPr>
            <w:rFonts w:ascii="IRNazanin" w:hAnsi="IRNazanin" w:eastAsia="IRNazanin" w:cs="IRNazanin"/>
            <w:color w:val="111111"/>
            <w:sz w:val="22"/>
            <w:szCs w:val="22"/>
            <w:b w:val="0"/>
            <w:bCs w:val="0"/>
            <w:i w:val="0"/>
            <w:iCs w:val="0"/>
          </w:rPr>
          <w:t>دیوان عقیل همدانی‏</w:t>
        </w:r>
        <w:r>
          <w:tab/>
        </w:r>
        <w:r>
          <w:fldChar w:fldCharType="begin"/>
        </w:r>
        <w:r>
          <w:instrText xml:space="preserve">PAGEREF 5335 \h</w:instrText>
        </w:r>
        <w:r>
          <w:fldChar w:fldCharType="end"/>
        </w:r>
      </w:hyperlink>
    </w:p>
    <w:p>
      <w:pPr>
        <w:tabs>
          <w:tab w:val="right" w:leader="dot" w:pos="9062"/>
        </w:tabs>
        <w:ind w:left="440"/>
      </w:pPr>
      <w:hyperlink w:anchor="_Toc5336" w:history="1">
        <w:r>
          <w:rPr>
            <w:rFonts w:ascii="IRNazanin" w:hAnsi="IRNazanin" w:eastAsia="IRNazanin" w:cs="IRNazanin"/>
            <w:color w:val="111111"/>
            <w:sz w:val="22"/>
            <w:szCs w:val="22"/>
            <w:b w:val="0"/>
            <w:bCs w:val="0"/>
            <w:i w:val="0"/>
            <w:iCs w:val="0"/>
          </w:rPr>
          <w:t>5033- دیوان العقیلی‏</w:t>
        </w:r>
        <w:r>
          <w:tab/>
        </w:r>
        <w:r>
          <w:fldChar w:fldCharType="begin"/>
        </w:r>
        <w:r>
          <w:instrText xml:space="preserve">PAGEREF 5336 \h</w:instrText>
        </w:r>
        <w:r>
          <w:fldChar w:fldCharType="end"/>
        </w:r>
      </w:hyperlink>
    </w:p>
    <w:p>
      <w:pPr>
        <w:tabs>
          <w:tab w:val="right" w:leader="dot" w:pos="9062"/>
        </w:tabs>
        <w:ind w:left="440"/>
      </w:pPr>
      <w:hyperlink w:anchor="_Toc5337" w:history="1">
        <w:r>
          <w:rPr>
            <w:rFonts w:ascii="IRNazanin" w:hAnsi="IRNazanin" w:eastAsia="IRNazanin" w:cs="IRNazanin"/>
            <w:color w:val="111111"/>
            <w:sz w:val="22"/>
            <w:szCs w:val="22"/>
            <w:b w:val="0"/>
            <w:bCs w:val="0"/>
            <w:i w:val="0"/>
            <w:iCs w:val="0"/>
          </w:rPr>
          <w:t>5034 دیوان عقیلی شیرازی أو شعره‏</w:t>
        </w:r>
        <w:r>
          <w:tab/>
        </w:r>
        <w:r>
          <w:fldChar w:fldCharType="begin"/>
        </w:r>
        <w:r>
          <w:instrText xml:space="preserve">PAGEREF 5337 \h</w:instrText>
        </w:r>
        <w:r>
          <w:fldChar w:fldCharType="end"/>
        </w:r>
      </w:hyperlink>
    </w:p>
    <w:p>
      <w:pPr>
        <w:tabs>
          <w:tab w:val="right" w:leader="dot" w:pos="9062"/>
        </w:tabs>
        <w:ind w:left="440"/>
      </w:pPr>
      <w:hyperlink w:anchor="_Toc5338" w:history="1">
        <w:r>
          <w:rPr>
            <w:rFonts w:ascii="IRNazanin" w:hAnsi="IRNazanin" w:eastAsia="IRNazanin" w:cs="IRNazanin"/>
            <w:color w:val="111111"/>
            <w:sz w:val="22"/>
            <w:szCs w:val="22"/>
            <w:b w:val="0"/>
            <w:bCs w:val="0"/>
            <w:i w:val="0"/>
            <w:iCs w:val="0"/>
          </w:rPr>
          <w:t>5035- دیوان عکاشة أو شعره‏</w:t>
        </w:r>
        <w:r>
          <w:tab/>
        </w:r>
        <w:r>
          <w:fldChar w:fldCharType="begin"/>
        </w:r>
        <w:r>
          <w:instrText xml:space="preserve">PAGEREF 5338 \h</w:instrText>
        </w:r>
        <w:r>
          <w:fldChar w:fldCharType="end"/>
        </w:r>
      </w:hyperlink>
    </w:p>
    <w:p>
      <w:pPr>
        <w:tabs>
          <w:tab w:val="right" w:leader="dot" w:pos="9062"/>
        </w:tabs>
        <w:ind w:left="440"/>
      </w:pPr>
      <w:hyperlink w:anchor="_Toc5339" w:history="1">
        <w:r>
          <w:rPr>
            <w:rFonts w:ascii="IRNazanin" w:hAnsi="IRNazanin" w:eastAsia="IRNazanin" w:cs="IRNazanin"/>
            <w:color w:val="111111"/>
            <w:sz w:val="22"/>
            <w:szCs w:val="22"/>
            <w:b w:val="0"/>
            <w:bCs w:val="0"/>
            <w:i w:val="0"/>
            <w:iCs w:val="0"/>
          </w:rPr>
          <w:t>دیوان العکاشی‏</w:t>
        </w:r>
        <w:r>
          <w:tab/>
        </w:r>
        <w:r>
          <w:fldChar w:fldCharType="begin"/>
        </w:r>
        <w:r>
          <w:instrText xml:space="preserve">PAGEREF 5339 \h</w:instrText>
        </w:r>
        <w:r>
          <w:fldChar w:fldCharType="end"/>
        </w:r>
      </w:hyperlink>
    </w:p>
    <w:p>
      <w:pPr>
        <w:tabs>
          <w:tab w:val="right" w:leader="dot" w:pos="9062"/>
        </w:tabs>
        <w:ind w:left="440"/>
      </w:pPr>
      <w:hyperlink w:anchor="_Toc5340" w:history="1">
        <w:r>
          <w:rPr>
            <w:rFonts w:ascii="IRNazanin" w:hAnsi="IRNazanin" w:eastAsia="IRNazanin" w:cs="IRNazanin"/>
            <w:color w:val="111111"/>
            <w:sz w:val="22"/>
            <w:szCs w:val="22"/>
            <w:b w:val="0"/>
            <w:bCs w:val="0"/>
            <w:i w:val="0"/>
            <w:iCs w:val="0"/>
          </w:rPr>
          <w:t>5036- دیوان علاء بهبهانی‏</w:t>
        </w:r>
        <w:r>
          <w:tab/>
        </w:r>
        <w:r>
          <w:fldChar w:fldCharType="begin"/>
        </w:r>
        <w:r>
          <w:instrText xml:space="preserve">PAGEREF 5340 \h</w:instrText>
        </w:r>
        <w:r>
          <w:fldChar w:fldCharType="end"/>
        </w:r>
      </w:hyperlink>
    </w:p>
    <w:p>
      <w:pPr>
        <w:tabs>
          <w:tab w:val="right" w:leader="dot" w:pos="9062"/>
        </w:tabs>
        <w:ind w:left="440"/>
      </w:pPr>
      <w:hyperlink w:anchor="_Toc5341" w:history="1">
        <w:r>
          <w:rPr>
            <w:rFonts w:ascii="IRNazanin" w:hAnsi="IRNazanin" w:eastAsia="IRNazanin" w:cs="IRNazanin"/>
            <w:color w:val="111111"/>
            <w:sz w:val="22"/>
            <w:szCs w:val="22"/>
            <w:b w:val="0"/>
            <w:bCs w:val="0"/>
            <w:i w:val="0"/>
            <w:iCs w:val="0"/>
          </w:rPr>
          <w:t>دیوان علاء بیابانی‏</w:t>
        </w:r>
        <w:r>
          <w:tab/>
        </w:r>
        <w:r>
          <w:fldChar w:fldCharType="begin"/>
        </w:r>
        <w:r>
          <w:instrText xml:space="preserve">PAGEREF 5341 \h</w:instrText>
        </w:r>
        <w:r>
          <w:fldChar w:fldCharType="end"/>
        </w:r>
      </w:hyperlink>
    </w:p>
    <w:p>
      <w:pPr>
        <w:tabs>
          <w:tab w:val="right" w:leader="dot" w:pos="9062"/>
        </w:tabs>
        <w:ind w:left="440"/>
      </w:pPr>
      <w:hyperlink w:anchor="_Toc5342" w:history="1">
        <w:r>
          <w:rPr>
            <w:rFonts w:ascii="IRNazanin" w:hAnsi="IRNazanin" w:eastAsia="IRNazanin" w:cs="IRNazanin"/>
            <w:color w:val="111111"/>
            <w:sz w:val="22"/>
            <w:szCs w:val="22"/>
            <w:b w:val="0"/>
            <w:bCs w:val="0"/>
            <w:i w:val="0"/>
            <w:iCs w:val="0"/>
          </w:rPr>
          <w:t>دیوان علاء الدولة سمنانی‏</w:t>
        </w:r>
        <w:r>
          <w:tab/>
        </w:r>
        <w:r>
          <w:fldChar w:fldCharType="begin"/>
        </w:r>
        <w:r>
          <w:instrText xml:space="preserve">PAGEREF 5342 \h</w:instrText>
        </w:r>
        <w:r>
          <w:fldChar w:fldCharType="end"/>
        </w:r>
      </w:hyperlink>
    </w:p>
    <w:p>
      <w:pPr>
        <w:tabs>
          <w:tab w:val="right" w:leader="dot" w:pos="9062"/>
        </w:tabs>
        <w:ind w:left="440"/>
      </w:pPr>
      <w:hyperlink w:anchor="_Toc5343" w:history="1">
        <w:r>
          <w:rPr>
            <w:rFonts w:ascii="IRNazanin" w:hAnsi="IRNazanin" w:eastAsia="IRNazanin" w:cs="IRNazanin"/>
            <w:color w:val="111111"/>
            <w:sz w:val="22"/>
            <w:szCs w:val="22"/>
            <w:b w:val="0"/>
            <w:bCs w:val="0"/>
            <w:i w:val="0"/>
            <w:iCs w:val="0"/>
          </w:rPr>
          <w:t>5037- دیوان علاء الدولة شوشتری أو شعره‏</w:t>
        </w:r>
        <w:r>
          <w:tab/>
        </w:r>
        <w:r>
          <w:fldChar w:fldCharType="begin"/>
        </w:r>
        <w:r>
          <w:instrText xml:space="preserve">PAGEREF 5343 \h</w:instrText>
        </w:r>
        <w:r>
          <w:fldChar w:fldCharType="end"/>
        </w:r>
      </w:hyperlink>
    </w:p>
    <w:p>
      <w:pPr>
        <w:tabs>
          <w:tab w:val="right" w:leader="dot" w:pos="9062"/>
        </w:tabs>
        <w:ind w:left="440"/>
      </w:pPr>
      <w:hyperlink w:anchor="_Toc5344" w:history="1">
        <w:r>
          <w:rPr>
            <w:rFonts w:ascii="IRNazanin" w:hAnsi="IRNazanin" w:eastAsia="IRNazanin" w:cs="IRNazanin"/>
            <w:color w:val="111111"/>
            <w:sz w:val="22"/>
            <w:szCs w:val="22"/>
            <w:b w:val="0"/>
            <w:bCs w:val="0"/>
            <w:i w:val="0"/>
            <w:iCs w:val="0"/>
          </w:rPr>
          <w:t>5038- دیوان علاء الدین الکندی أو شعره‏</w:t>
        </w:r>
        <w:r>
          <w:tab/>
        </w:r>
        <w:r>
          <w:fldChar w:fldCharType="begin"/>
        </w:r>
        <w:r>
          <w:instrText xml:space="preserve">PAGEREF 5344 \h</w:instrText>
        </w:r>
        <w:r>
          <w:fldChar w:fldCharType="end"/>
        </w:r>
      </w:hyperlink>
    </w:p>
    <w:p>
      <w:pPr>
        <w:tabs>
          <w:tab w:val="right" w:leader="dot" w:pos="9062"/>
        </w:tabs>
        <w:ind w:left="440"/>
      </w:pPr>
      <w:hyperlink w:anchor="_Toc5345" w:history="1">
        <w:r>
          <w:rPr>
            <w:rFonts w:ascii="IRNazanin" w:hAnsi="IRNazanin" w:eastAsia="IRNazanin" w:cs="IRNazanin"/>
            <w:color w:val="111111"/>
            <w:sz w:val="22"/>
            <w:szCs w:val="22"/>
            <w:b w:val="0"/>
            <w:bCs w:val="0"/>
            <w:i w:val="0"/>
            <w:iCs w:val="0"/>
          </w:rPr>
          <w:t>دیوان علاء الدین محمد الشهرستانی‏</w:t>
        </w:r>
        <w:r>
          <w:tab/>
        </w:r>
        <w:r>
          <w:fldChar w:fldCharType="begin"/>
        </w:r>
        <w:r>
          <w:instrText xml:space="preserve">PAGEREF 5345 \h</w:instrText>
        </w:r>
        <w:r>
          <w:fldChar w:fldCharType="end"/>
        </w:r>
      </w:hyperlink>
    </w:p>
    <w:p>
      <w:pPr>
        <w:tabs>
          <w:tab w:val="right" w:leader="dot" w:pos="9062"/>
        </w:tabs>
        <w:ind w:left="440"/>
      </w:pPr>
      <w:hyperlink w:anchor="_Toc5346" w:history="1">
        <w:r>
          <w:rPr>
            <w:rFonts w:ascii="IRNazanin" w:hAnsi="IRNazanin" w:eastAsia="IRNazanin" w:cs="IRNazanin"/>
            <w:color w:val="111111"/>
            <w:sz w:val="22"/>
            <w:szCs w:val="22"/>
            <w:b w:val="0"/>
            <w:bCs w:val="0"/>
            <w:i w:val="0"/>
            <w:iCs w:val="0"/>
          </w:rPr>
          <w:t>5039- دیوان علاء الدین محمد صوفی أو شعره‏</w:t>
        </w:r>
        <w:r>
          <w:tab/>
        </w:r>
        <w:r>
          <w:fldChar w:fldCharType="begin"/>
        </w:r>
        <w:r>
          <w:instrText xml:space="preserve">PAGEREF 5346 \h</w:instrText>
        </w:r>
        <w:r>
          <w:fldChar w:fldCharType="end"/>
        </w:r>
      </w:hyperlink>
    </w:p>
    <w:p>
      <w:pPr>
        <w:tabs>
          <w:tab w:val="right" w:leader="dot" w:pos="9062"/>
        </w:tabs>
        <w:ind w:left="440"/>
      </w:pPr>
      <w:hyperlink w:anchor="_Toc5347" w:history="1">
        <w:r>
          <w:rPr>
            <w:rFonts w:ascii="IRNazanin" w:hAnsi="IRNazanin" w:eastAsia="IRNazanin" w:cs="IRNazanin"/>
            <w:color w:val="111111"/>
            <w:sz w:val="22"/>
            <w:szCs w:val="22"/>
            <w:b w:val="0"/>
            <w:bCs w:val="0"/>
            <w:i w:val="0"/>
            <w:iCs w:val="0"/>
          </w:rPr>
          <w:t>5040- دیوان علاء الدین غوری أو شعره‏</w:t>
        </w:r>
        <w:r>
          <w:tab/>
        </w:r>
        <w:r>
          <w:fldChar w:fldCharType="begin"/>
        </w:r>
        <w:r>
          <w:instrText xml:space="preserve">PAGEREF 5347 \h</w:instrText>
        </w:r>
        <w:r>
          <w:fldChar w:fldCharType="end"/>
        </w:r>
      </w:hyperlink>
    </w:p>
    <w:p>
      <w:pPr>
        <w:tabs>
          <w:tab w:val="right" w:leader="dot" w:pos="9062"/>
        </w:tabs>
        <w:ind w:left="440"/>
      </w:pPr>
      <w:hyperlink w:anchor="_Toc5348" w:history="1">
        <w:r>
          <w:rPr>
            <w:rFonts w:ascii="IRNazanin" w:hAnsi="IRNazanin" w:eastAsia="IRNazanin" w:cs="IRNazanin"/>
            <w:color w:val="111111"/>
            <w:sz w:val="22"/>
            <w:szCs w:val="22"/>
            <w:b w:val="0"/>
            <w:bCs w:val="0"/>
            <w:i w:val="0"/>
            <w:iCs w:val="0"/>
          </w:rPr>
          <w:t>5041- دیوان علاء الدین هندی‏</w:t>
        </w:r>
        <w:r>
          <w:tab/>
        </w:r>
        <w:r>
          <w:fldChar w:fldCharType="begin"/>
        </w:r>
        <w:r>
          <w:instrText xml:space="preserve">PAGEREF 5348 \h</w:instrText>
        </w:r>
        <w:r>
          <w:fldChar w:fldCharType="end"/>
        </w:r>
      </w:hyperlink>
    </w:p>
    <w:p>
      <w:pPr>
        <w:tabs>
          <w:tab w:val="right" w:leader="dot" w:pos="9062"/>
        </w:tabs>
        <w:ind w:left="440"/>
      </w:pPr>
      <w:hyperlink w:anchor="_Toc5349" w:history="1">
        <w:r>
          <w:rPr>
            <w:rFonts w:ascii="IRNazanin" w:hAnsi="IRNazanin" w:eastAsia="IRNazanin" w:cs="IRNazanin"/>
            <w:color w:val="111111"/>
            <w:sz w:val="22"/>
            <w:szCs w:val="22"/>
            <w:b w:val="0"/>
            <w:bCs w:val="0"/>
            <w:i w:val="0"/>
            <w:iCs w:val="0"/>
          </w:rPr>
          <w:t>5042- دیوان علاء سمنانی‏</w:t>
        </w:r>
        <w:r>
          <w:tab/>
        </w:r>
        <w:r>
          <w:fldChar w:fldCharType="begin"/>
        </w:r>
        <w:r>
          <w:instrText xml:space="preserve">PAGEREF 5349 \h</w:instrText>
        </w:r>
        <w:r>
          <w:fldChar w:fldCharType="end"/>
        </w:r>
      </w:hyperlink>
    </w:p>
    <w:p>
      <w:pPr>
        <w:tabs>
          <w:tab w:val="right" w:leader="dot" w:pos="9062"/>
        </w:tabs>
        <w:ind w:left="440"/>
      </w:pPr>
      <w:hyperlink w:anchor="_Toc5350" w:history="1">
        <w:r>
          <w:rPr>
            <w:rFonts w:ascii="IRNazanin" w:hAnsi="IRNazanin" w:eastAsia="IRNazanin" w:cs="IRNazanin"/>
            <w:color w:val="111111"/>
            <w:sz w:val="22"/>
            <w:szCs w:val="22"/>
            <w:b w:val="0"/>
            <w:bCs w:val="0"/>
            <w:i w:val="0"/>
            <w:iCs w:val="0"/>
          </w:rPr>
          <w:t>5043- دیوان علاء شاشی أو شعره‏</w:t>
        </w:r>
        <w:r>
          <w:tab/>
        </w:r>
        <w:r>
          <w:fldChar w:fldCharType="begin"/>
        </w:r>
        <w:r>
          <w:instrText xml:space="preserve">PAGEREF 5350 \h</w:instrText>
        </w:r>
        <w:r>
          <w:fldChar w:fldCharType="end"/>
        </w:r>
      </w:hyperlink>
    </w:p>
    <w:p>
      <w:pPr>
        <w:tabs>
          <w:tab w:val="right" w:leader="dot" w:pos="9062"/>
        </w:tabs>
        <w:ind w:left="440"/>
      </w:pPr>
      <w:hyperlink w:anchor="_Toc5351" w:history="1">
        <w:r>
          <w:rPr>
            <w:rFonts w:ascii="IRNazanin" w:hAnsi="IRNazanin" w:eastAsia="IRNazanin" w:cs="IRNazanin"/>
            <w:color w:val="111111"/>
            <w:sz w:val="22"/>
            <w:szCs w:val="22"/>
            <w:b w:val="0"/>
            <w:bCs w:val="0"/>
            <w:i w:val="0"/>
            <w:iCs w:val="0"/>
          </w:rPr>
          <w:t>5044- دیوان علاء مشکی أو شعره‏</w:t>
        </w:r>
        <w:r>
          <w:tab/>
        </w:r>
        <w:r>
          <w:fldChar w:fldCharType="begin"/>
        </w:r>
        <w:r>
          <w:instrText xml:space="preserve">PAGEREF 5351 \h</w:instrText>
        </w:r>
        <w:r>
          <w:fldChar w:fldCharType="end"/>
        </w:r>
      </w:hyperlink>
    </w:p>
    <w:p>
      <w:pPr>
        <w:tabs>
          <w:tab w:val="right" w:leader="dot" w:pos="9062"/>
        </w:tabs>
        <w:ind w:left="440"/>
      </w:pPr>
      <w:hyperlink w:anchor="_Toc5352" w:history="1">
        <w:r>
          <w:rPr>
            <w:rFonts w:ascii="IRNazanin" w:hAnsi="IRNazanin" w:eastAsia="IRNazanin" w:cs="IRNazanin"/>
            <w:color w:val="111111"/>
            <w:sz w:val="22"/>
            <w:szCs w:val="22"/>
            <w:b w:val="0"/>
            <w:bCs w:val="0"/>
            <w:i w:val="0"/>
            <w:iCs w:val="0"/>
          </w:rPr>
          <w:t>5045- دیوان علاء الملک سبزواری أو شعره‏</w:t>
        </w:r>
        <w:r>
          <w:tab/>
        </w:r>
        <w:r>
          <w:fldChar w:fldCharType="begin"/>
        </w:r>
        <w:r>
          <w:instrText xml:space="preserve">PAGEREF 5352 \h</w:instrText>
        </w:r>
        <w:r>
          <w:fldChar w:fldCharType="end"/>
        </w:r>
      </w:hyperlink>
    </w:p>
    <w:p>
      <w:pPr>
        <w:tabs>
          <w:tab w:val="right" w:leader="dot" w:pos="9062"/>
        </w:tabs>
        <w:ind w:left="440"/>
      </w:pPr>
      <w:hyperlink w:anchor="_Toc5353" w:history="1">
        <w:r>
          <w:rPr>
            <w:rFonts w:ascii="IRNazanin" w:hAnsi="IRNazanin" w:eastAsia="IRNazanin" w:cs="IRNazanin"/>
            <w:color w:val="111111"/>
            <w:sz w:val="22"/>
            <w:szCs w:val="22"/>
            <w:b w:val="0"/>
            <w:bCs w:val="0"/>
            <w:i w:val="0"/>
            <w:iCs w:val="0"/>
          </w:rPr>
          <w:t>5046- دیوان علاء الملک شوشتری أو شعره‏</w:t>
        </w:r>
        <w:r>
          <w:tab/>
        </w:r>
        <w:r>
          <w:fldChar w:fldCharType="begin"/>
        </w:r>
        <w:r>
          <w:instrText xml:space="preserve">PAGEREF 5353 \h</w:instrText>
        </w:r>
        <w:r>
          <w:fldChar w:fldCharType="end"/>
        </w:r>
      </w:hyperlink>
    </w:p>
    <w:p>
      <w:pPr>
        <w:tabs>
          <w:tab w:val="right" w:leader="dot" w:pos="9062"/>
        </w:tabs>
        <w:ind w:left="440"/>
      </w:pPr>
      <w:hyperlink w:anchor="_Toc5354" w:history="1">
        <w:r>
          <w:rPr>
            <w:rFonts w:ascii="IRNazanin" w:hAnsi="IRNazanin" w:eastAsia="IRNazanin" w:cs="IRNazanin"/>
            <w:color w:val="111111"/>
            <w:sz w:val="22"/>
            <w:szCs w:val="22"/>
            <w:b w:val="0"/>
            <w:bCs w:val="0"/>
            <w:i w:val="0"/>
            <w:iCs w:val="0"/>
          </w:rPr>
          <w:t>5047- دیوان علاء الملک لاری أو شعره‏</w:t>
        </w:r>
        <w:r>
          <w:tab/>
        </w:r>
        <w:r>
          <w:fldChar w:fldCharType="begin"/>
        </w:r>
        <w:r>
          <w:instrText xml:space="preserve">PAGEREF 5354 \h</w:instrText>
        </w:r>
        <w:r>
          <w:fldChar w:fldCharType="end"/>
        </w:r>
      </w:hyperlink>
    </w:p>
    <w:p>
      <w:pPr>
        <w:tabs>
          <w:tab w:val="right" w:leader="dot" w:pos="9062"/>
        </w:tabs>
        <w:ind w:left="440"/>
      </w:pPr>
      <w:hyperlink w:anchor="_Toc5355" w:history="1">
        <w:r>
          <w:rPr>
            <w:rFonts w:ascii="IRNazanin" w:hAnsi="IRNazanin" w:eastAsia="IRNazanin" w:cs="IRNazanin"/>
            <w:color w:val="111111"/>
            <w:sz w:val="22"/>
            <w:szCs w:val="22"/>
            <w:b w:val="0"/>
            <w:bCs w:val="0"/>
            <w:i w:val="0"/>
            <w:iCs w:val="0"/>
          </w:rPr>
          <w:t>5048- دیوان علائی آشتیانی أو شعره‏</w:t>
        </w:r>
        <w:r>
          <w:tab/>
        </w:r>
        <w:r>
          <w:fldChar w:fldCharType="begin"/>
        </w:r>
        <w:r>
          <w:instrText xml:space="preserve">PAGEREF 5355 \h</w:instrText>
        </w:r>
        <w:r>
          <w:fldChar w:fldCharType="end"/>
        </w:r>
      </w:hyperlink>
    </w:p>
    <w:p>
      <w:pPr>
        <w:tabs>
          <w:tab w:val="right" w:leader="dot" w:pos="9062"/>
        </w:tabs>
        <w:ind w:left="440"/>
      </w:pPr>
      <w:hyperlink w:anchor="_Toc5356" w:history="1">
        <w:r>
          <w:rPr>
            <w:rFonts w:ascii="IRNazanin" w:hAnsi="IRNazanin" w:eastAsia="IRNazanin" w:cs="IRNazanin"/>
            <w:color w:val="111111"/>
            <w:sz w:val="22"/>
            <w:szCs w:val="22"/>
            <w:b w:val="0"/>
            <w:bCs w:val="0"/>
            <w:i w:val="0"/>
            <w:iCs w:val="0"/>
          </w:rPr>
          <w:t>دیوان علائی سمنانی‏</w:t>
        </w:r>
        <w:r>
          <w:tab/>
        </w:r>
        <w:r>
          <w:fldChar w:fldCharType="begin"/>
        </w:r>
        <w:r>
          <w:instrText xml:space="preserve">PAGEREF 5356 \h</w:instrText>
        </w:r>
        <w:r>
          <w:fldChar w:fldCharType="end"/>
        </w:r>
      </w:hyperlink>
    </w:p>
    <w:p>
      <w:pPr>
        <w:tabs>
          <w:tab w:val="right" w:leader="dot" w:pos="9062"/>
        </w:tabs>
        <w:ind w:left="440"/>
      </w:pPr>
      <w:hyperlink w:anchor="_Toc5357" w:history="1">
        <w:r>
          <w:rPr>
            <w:rFonts w:ascii="IRNazanin" w:hAnsi="IRNazanin" w:eastAsia="IRNazanin" w:cs="IRNazanin"/>
            <w:color w:val="111111"/>
            <w:sz w:val="22"/>
            <w:szCs w:val="22"/>
            <w:b w:val="0"/>
            <w:bCs w:val="0"/>
            <w:i w:val="0"/>
            <w:iCs w:val="0"/>
          </w:rPr>
          <w:t>دیوان علائی گنجفه‏ای‏</w:t>
        </w:r>
        <w:r>
          <w:tab/>
        </w:r>
        <w:r>
          <w:fldChar w:fldCharType="begin"/>
        </w:r>
        <w:r>
          <w:instrText xml:space="preserve">PAGEREF 5357 \h</w:instrText>
        </w:r>
        <w:r>
          <w:fldChar w:fldCharType="end"/>
        </w:r>
      </w:hyperlink>
    </w:p>
    <w:p>
      <w:pPr>
        <w:tabs>
          <w:tab w:val="right" w:leader="dot" w:pos="9062"/>
        </w:tabs>
        <w:ind w:left="440"/>
      </w:pPr>
      <w:hyperlink w:anchor="_Toc5358" w:history="1">
        <w:r>
          <w:rPr>
            <w:rFonts w:ascii="IRNazanin" w:hAnsi="IRNazanin" w:eastAsia="IRNazanin" w:cs="IRNazanin"/>
            <w:color w:val="111111"/>
            <w:sz w:val="22"/>
            <w:szCs w:val="22"/>
            <w:b w:val="0"/>
            <w:bCs w:val="0"/>
            <w:i w:val="0"/>
            <w:iCs w:val="0"/>
          </w:rPr>
          <w:t>5049- دیوان علاجی جراح أو شعره‏</w:t>
        </w:r>
        <w:r>
          <w:tab/>
        </w:r>
        <w:r>
          <w:fldChar w:fldCharType="begin"/>
        </w:r>
        <w:r>
          <w:instrText xml:space="preserve">PAGEREF 5358 \h</w:instrText>
        </w:r>
        <w:r>
          <w:fldChar w:fldCharType="end"/>
        </w:r>
      </w:hyperlink>
    </w:p>
    <w:p>
      <w:pPr>
        <w:tabs>
          <w:tab w:val="right" w:leader="dot" w:pos="9062"/>
        </w:tabs>
        <w:ind w:left="440"/>
      </w:pPr>
      <w:hyperlink w:anchor="_Toc5359" w:history="1">
        <w:r>
          <w:rPr>
            <w:rFonts w:ascii="IRNazanin" w:hAnsi="IRNazanin" w:eastAsia="IRNazanin" w:cs="IRNazanin"/>
            <w:color w:val="111111"/>
            <w:sz w:val="22"/>
            <w:szCs w:val="22"/>
            <w:b w:val="0"/>
            <w:bCs w:val="0"/>
            <w:i w:val="0"/>
            <w:iCs w:val="0"/>
          </w:rPr>
          <w:t>5050- دیوان علم الهدی‏</w:t>
        </w:r>
        <w:r>
          <w:tab/>
        </w:r>
        <w:r>
          <w:fldChar w:fldCharType="begin"/>
        </w:r>
        <w:r>
          <w:instrText xml:space="preserve">PAGEREF 5359 \h</w:instrText>
        </w:r>
        <w:r>
          <w:fldChar w:fldCharType="end"/>
        </w:r>
      </w:hyperlink>
    </w:p>
    <w:p>
      <w:pPr>
        <w:tabs>
          <w:tab w:val="right" w:leader="dot" w:pos="9062"/>
        </w:tabs>
        <w:ind w:left="440"/>
      </w:pPr>
      <w:hyperlink w:anchor="_Toc5360" w:history="1">
        <w:r>
          <w:rPr>
            <w:rFonts w:ascii="IRNazanin" w:hAnsi="IRNazanin" w:eastAsia="IRNazanin" w:cs="IRNazanin"/>
            <w:color w:val="111111"/>
            <w:sz w:val="22"/>
            <w:szCs w:val="22"/>
            <w:b w:val="0"/>
            <w:bCs w:val="0"/>
            <w:i w:val="0"/>
            <w:iCs w:val="0"/>
          </w:rPr>
          <w:t>5051- دیوان علمی خراسانی أو شعره‏</w:t>
        </w:r>
        <w:r>
          <w:tab/>
        </w:r>
        <w:r>
          <w:fldChar w:fldCharType="begin"/>
        </w:r>
        <w:r>
          <w:instrText xml:space="preserve">PAGEREF 5360 \h</w:instrText>
        </w:r>
        <w:r>
          <w:fldChar w:fldCharType="end"/>
        </w:r>
      </w:hyperlink>
    </w:p>
    <w:p>
      <w:pPr>
        <w:tabs>
          <w:tab w:val="right" w:leader="dot" w:pos="9062"/>
        </w:tabs>
        <w:ind w:left="440"/>
      </w:pPr>
      <w:hyperlink w:anchor="_Toc5361" w:history="1">
        <w:r>
          <w:rPr>
            <w:rFonts w:ascii="IRNazanin" w:hAnsi="IRNazanin" w:eastAsia="IRNazanin" w:cs="IRNazanin"/>
            <w:color w:val="111111"/>
            <w:sz w:val="22"/>
            <w:szCs w:val="22"/>
            <w:b w:val="0"/>
            <w:bCs w:val="0"/>
            <w:i w:val="0"/>
            <w:iCs w:val="0"/>
          </w:rPr>
          <w:t>5052- دیوان علمی قزوینی أو شعره‏</w:t>
        </w:r>
        <w:r>
          <w:tab/>
        </w:r>
        <w:r>
          <w:fldChar w:fldCharType="begin"/>
        </w:r>
        <w:r>
          <w:instrText xml:space="preserve">PAGEREF 5361 \h</w:instrText>
        </w:r>
        <w:r>
          <w:fldChar w:fldCharType="end"/>
        </w:r>
      </w:hyperlink>
    </w:p>
    <w:p>
      <w:pPr>
        <w:tabs>
          <w:tab w:val="right" w:leader="dot" w:pos="9062"/>
        </w:tabs>
        <w:ind w:left="440"/>
      </w:pPr>
      <w:hyperlink w:anchor="_Toc5362" w:history="1">
        <w:r>
          <w:rPr>
            <w:rFonts w:ascii="IRNazanin" w:hAnsi="IRNazanin" w:eastAsia="IRNazanin" w:cs="IRNazanin"/>
            <w:color w:val="111111"/>
            <w:sz w:val="22"/>
            <w:szCs w:val="22"/>
            <w:b w:val="0"/>
            <w:bCs w:val="0"/>
            <w:i w:val="0"/>
            <w:iCs w:val="0"/>
          </w:rPr>
          <w:t>5053- دیوان السید علوی‏</w:t>
        </w:r>
        <w:r>
          <w:tab/>
        </w:r>
        <w:r>
          <w:fldChar w:fldCharType="begin"/>
        </w:r>
        <w:r>
          <w:instrText xml:space="preserve">PAGEREF 5362 \h</w:instrText>
        </w:r>
        <w:r>
          <w:fldChar w:fldCharType="end"/>
        </w:r>
      </w:hyperlink>
    </w:p>
    <w:p>
      <w:pPr>
        <w:tabs>
          <w:tab w:val="right" w:leader="dot" w:pos="9062"/>
        </w:tabs>
        <w:ind w:left="440"/>
      </w:pPr>
      <w:hyperlink w:anchor="_Toc5363" w:history="1">
        <w:r>
          <w:rPr>
            <w:rFonts w:ascii="IRNazanin" w:hAnsi="IRNazanin" w:eastAsia="IRNazanin" w:cs="IRNazanin"/>
            <w:color w:val="111111"/>
            <w:sz w:val="22"/>
            <w:szCs w:val="22"/>
            <w:b w:val="0"/>
            <w:bCs w:val="0"/>
            <w:i w:val="0"/>
            <w:iCs w:val="0"/>
          </w:rPr>
          <w:t>5054- دیوان العلوی‏</w:t>
        </w:r>
        <w:r>
          <w:tab/>
        </w:r>
        <w:r>
          <w:fldChar w:fldCharType="begin"/>
        </w:r>
        <w:r>
          <w:instrText xml:space="preserve">PAGEREF 5363 \h</w:instrText>
        </w:r>
        <w:r>
          <w:fldChar w:fldCharType="end"/>
        </w:r>
      </w:hyperlink>
    </w:p>
    <w:p>
      <w:pPr>
        <w:tabs>
          <w:tab w:val="right" w:leader="dot" w:pos="9062"/>
        </w:tabs>
        <w:ind w:left="440"/>
      </w:pPr>
      <w:hyperlink w:anchor="_Toc5364" w:history="1">
        <w:r>
          <w:rPr>
            <w:rFonts w:ascii="IRNazanin" w:hAnsi="IRNazanin" w:eastAsia="IRNazanin" w:cs="IRNazanin"/>
            <w:color w:val="111111"/>
            <w:sz w:val="22"/>
            <w:szCs w:val="22"/>
            <w:b w:val="0"/>
            <w:bCs w:val="0"/>
            <w:i w:val="0"/>
            <w:iCs w:val="0"/>
          </w:rPr>
          <w:t>دیوان العلوی الحضرمی‏</w:t>
        </w:r>
        <w:r>
          <w:tab/>
        </w:r>
        <w:r>
          <w:fldChar w:fldCharType="begin"/>
        </w:r>
        <w:r>
          <w:instrText xml:space="preserve">PAGEREF 5364 \h</w:instrText>
        </w:r>
        <w:r>
          <w:fldChar w:fldCharType="end"/>
        </w:r>
      </w:hyperlink>
    </w:p>
    <w:p>
      <w:pPr>
        <w:tabs>
          <w:tab w:val="right" w:leader="dot" w:pos="9062"/>
        </w:tabs>
        <w:ind w:left="440"/>
      </w:pPr>
      <w:hyperlink w:anchor="_Toc5365" w:history="1">
        <w:r>
          <w:rPr>
            <w:rFonts w:ascii="IRNazanin" w:hAnsi="IRNazanin" w:eastAsia="IRNazanin" w:cs="IRNazanin"/>
            <w:color w:val="111111"/>
            <w:sz w:val="22"/>
            <w:szCs w:val="22"/>
            <w:b w:val="0"/>
            <w:bCs w:val="0"/>
            <w:i w:val="0"/>
            <w:iCs w:val="0"/>
          </w:rPr>
          <w:t>5055- دیوان العلوی السبزواری‏</w:t>
        </w:r>
        <w:r>
          <w:tab/>
        </w:r>
        <w:r>
          <w:fldChar w:fldCharType="begin"/>
        </w:r>
        <w:r>
          <w:instrText xml:space="preserve">PAGEREF 5365 \h</w:instrText>
        </w:r>
        <w:r>
          <w:fldChar w:fldCharType="end"/>
        </w:r>
      </w:hyperlink>
    </w:p>
    <w:p>
      <w:pPr>
        <w:tabs>
          <w:tab w:val="right" w:leader="dot" w:pos="9062"/>
        </w:tabs>
        <w:ind w:left="440"/>
      </w:pPr>
      <w:hyperlink w:anchor="_Toc5366" w:history="1">
        <w:r>
          <w:rPr>
            <w:rFonts w:ascii="IRNazanin" w:hAnsi="IRNazanin" w:eastAsia="IRNazanin" w:cs="IRNazanin"/>
            <w:color w:val="111111"/>
            <w:sz w:val="22"/>
            <w:szCs w:val="22"/>
            <w:b w:val="0"/>
            <w:bCs w:val="0"/>
            <w:i w:val="0"/>
            <w:iCs w:val="0"/>
          </w:rPr>
          <w:t>5056- دیوان العلوی أو شعره‏</w:t>
        </w:r>
        <w:r>
          <w:tab/>
        </w:r>
        <w:r>
          <w:fldChar w:fldCharType="begin"/>
        </w:r>
        <w:r>
          <w:instrText xml:space="preserve">PAGEREF 5366 \h</w:instrText>
        </w:r>
        <w:r>
          <w:fldChar w:fldCharType="end"/>
        </w:r>
      </w:hyperlink>
    </w:p>
    <w:p>
      <w:pPr>
        <w:tabs>
          <w:tab w:val="right" w:leader="dot" w:pos="9062"/>
        </w:tabs>
        <w:ind w:left="440"/>
      </w:pPr>
      <w:hyperlink w:anchor="_Toc5367" w:history="1">
        <w:r>
          <w:rPr>
            <w:rFonts w:ascii="IRNazanin" w:hAnsi="IRNazanin" w:eastAsia="IRNazanin" w:cs="IRNazanin"/>
            <w:color w:val="111111"/>
            <w:sz w:val="22"/>
            <w:szCs w:val="22"/>
            <w:b w:val="0"/>
            <w:bCs w:val="0"/>
            <w:i w:val="0"/>
            <w:iCs w:val="0"/>
          </w:rPr>
          <w:t>دیوان العلوی الحمانی‏</w:t>
        </w:r>
        <w:r>
          <w:tab/>
        </w:r>
        <w:r>
          <w:fldChar w:fldCharType="begin"/>
        </w:r>
        <w:r>
          <w:instrText xml:space="preserve">PAGEREF 5367 \h</w:instrText>
        </w:r>
        <w:r>
          <w:fldChar w:fldCharType="end"/>
        </w:r>
      </w:hyperlink>
    </w:p>
    <w:p>
      <w:pPr>
        <w:tabs>
          <w:tab w:val="right" w:leader="dot" w:pos="9062"/>
        </w:tabs>
        <w:ind w:left="440"/>
      </w:pPr>
      <w:hyperlink w:anchor="_Toc5368" w:history="1">
        <w:r>
          <w:rPr>
            <w:rFonts w:ascii="IRNazanin" w:hAnsi="IRNazanin" w:eastAsia="IRNazanin" w:cs="IRNazanin"/>
            <w:color w:val="111111"/>
            <w:sz w:val="22"/>
            <w:szCs w:val="22"/>
            <w:b w:val="0"/>
            <w:bCs w:val="0"/>
            <w:i w:val="0"/>
            <w:iCs w:val="0"/>
          </w:rPr>
          <w:t>دیوان العلوی الزینبی‏</w:t>
        </w:r>
        <w:r>
          <w:tab/>
        </w:r>
        <w:r>
          <w:fldChar w:fldCharType="begin"/>
        </w:r>
        <w:r>
          <w:instrText xml:space="preserve">PAGEREF 5368 \h</w:instrText>
        </w:r>
        <w:r>
          <w:fldChar w:fldCharType="end"/>
        </w:r>
      </w:hyperlink>
    </w:p>
    <w:p>
      <w:pPr>
        <w:tabs>
          <w:tab w:val="right" w:leader="dot" w:pos="9062"/>
        </w:tabs>
        <w:ind w:left="440"/>
      </w:pPr>
      <w:hyperlink w:anchor="_Toc5369" w:history="1">
        <w:r>
          <w:rPr>
            <w:rFonts w:ascii="IRNazanin" w:hAnsi="IRNazanin" w:eastAsia="IRNazanin" w:cs="IRNazanin"/>
            <w:color w:val="111111"/>
            <w:sz w:val="22"/>
            <w:szCs w:val="22"/>
            <w:b w:val="0"/>
            <w:bCs w:val="0"/>
            <w:i w:val="0"/>
            <w:iCs w:val="0"/>
          </w:rPr>
          <w:t>5057- دیوان علوی کاشانی‏</w:t>
        </w:r>
        <w:r>
          <w:tab/>
        </w:r>
        <w:r>
          <w:fldChar w:fldCharType="begin"/>
        </w:r>
        <w:r>
          <w:instrText xml:space="preserve">PAGEREF 5369 \h</w:instrText>
        </w:r>
        <w:r>
          <w:fldChar w:fldCharType="end"/>
        </w:r>
      </w:hyperlink>
    </w:p>
    <w:p>
      <w:pPr>
        <w:tabs>
          <w:tab w:val="right" w:leader="dot" w:pos="9062"/>
        </w:tabs>
        <w:ind w:left="440"/>
      </w:pPr>
      <w:hyperlink w:anchor="_Toc5370" w:history="1">
        <w:r>
          <w:rPr>
            <w:rFonts w:ascii="IRNazanin" w:hAnsi="IRNazanin" w:eastAsia="IRNazanin" w:cs="IRNazanin"/>
            <w:color w:val="111111"/>
            <w:sz w:val="22"/>
            <w:szCs w:val="22"/>
            <w:b w:val="0"/>
            <w:bCs w:val="0"/>
            <w:i w:val="0"/>
            <w:iCs w:val="0"/>
          </w:rPr>
          <w:t>5058- دیوان علوی همدانی‏</w:t>
        </w:r>
        <w:r>
          <w:tab/>
        </w:r>
        <w:r>
          <w:fldChar w:fldCharType="begin"/>
        </w:r>
        <w:r>
          <w:instrText xml:space="preserve">PAGEREF 5370 \h</w:instrText>
        </w:r>
        <w:r>
          <w:fldChar w:fldCharType="end"/>
        </w:r>
      </w:hyperlink>
    </w:p>
    <w:p>
      <w:pPr>
        <w:tabs>
          <w:tab w:val="right" w:leader="dot" w:pos="9062"/>
        </w:tabs>
        <w:ind w:left="440"/>
      </w:pPr>
      <w:hyperlink w:anchor="_Toc5371" w:history="1">
        <w:r>
          <w:rPr>
            <w:rFonts w:ascii="IRNazanin" w:hAnsi="IRNazanin" w:eastAsia="IRNazanin" w:cs="IRNazanin"/>
            <w:color w:val="111111"/>
            <w:sz w:val="22"/>
            <w:szCs w:val="22"/>
            <w:b w:val="0"/>
            <w:bCs w:val="0"/>
            <w:i w:val="0"/>
            <w:iCs w:val="0"/>
          </w:rPr>
          <w:t>5059- دیوان علوی هندی أو شعره‏</w:t>
        </w:r>
        <w:r>
          <w:tab/>
        </w:r>
        <w:r>
          <w:fldChar w:fldCharType="begin"/>
        </w:r>
        <w:r>
          <w:instrText xml:space="preserve">PAGEREF 5371 \h</w:instrText>
        </w:r>
        <w:r>
          <w:fldChar w:fldCharType="end"/>
        </w:r>
      </w:hyperlink>
    </w:p>
    <w:p>
      <w:pPr>
        <w:tabs>
          <w:tab w:val="right" w:leader="dot" w:pos="9062"/>
        </w:tabs>
        <w:ind w:left="440"/>
      </w:pPr>
      <w:hyperlink w:anchor="_Toc5372" w:history="1">
        <w:r>
          <w:rPr>
            <w:rFonts w:ascii="IRNazanin" w:hAnsi="IRNazanin" w:eastAsia="IRNazanin" w:cs="IRNazanin"/>
            <w:color w:val="111111"/>
            <w:sz w:val="22"/>
            <w:szCs w:val="22"/>
            <w:b w:val="0"/>
            <w:bCs w:val="0"/>
            <w:i w:val="0"/>
            <w:iCs w:val="0"/>
          </w:rPr>
          <w:t>دیوان علی‏آبادی‏</w:t>
        </w:r>
        <w:r>
          <w:tab/>
        </w:r>
        <w:r>
          <w:fldChar w:fldCharType="begin"/>
        </w:r>
        <w:r>
          <w:instrText xml:space="preserve">PAGEREF 5372 \h</w:instrText>
        </w:r>
        <w:r>
          <w:fldChar w:fldCharType="end"/>
        </w:r>
      </w:hyperlink>
    </w:p>
    <w:p>
      <w:pPr>
        <w:tabs>
          <w:tab w:val="right" w:leader="dot" w:pos="9062"/>
        </w:tabs>
        <w:ind w:left="440"/>
      </w:pPr>
      <w:hyperlink w:anchor="_Toc5373" w:history="1">
        <w:r>
          <w:rPr>
            <w:rFonts w:ascii="IRNazanin" w:hAnsi="IRNazanin" w:eastAsia="IRNazanin" w:cs="IRNazanin"/>
            <w:color w:val="111111"/>
            <w:sz w:val="22"/>
            <w:szCs w:val="22"/>
            <w:b w:val="0"/>
            <w:bCs w:val="0"/>
            <w:i w:val="0"/>
            <w:iCs w:val="0"/>
          </w:rPr>
          <w:t>دیوان علی آتشی‏</w:t>
        </w:r>
        <w:r>
          <w:tab/>
        </w:r>
        <w:r>
          <w:fldChar w:fldCharType="begin"/>
        </w:r>
        <w:r>
          <w:instrText xml:space="preserve">PAGEREF 5373 \h</w:instrText>
        </w:r>
        <w:r>
          <w:fldChar w:fldCharType="end"/>
        </w:r>
      </w:hyperlink>
    </w:p>
    <w:p>
      <w:pPr>
        <w:tabs>
          <w:tab w:val="right" w:leader="dot" w:pos="9062"/>
        </w:tabs>
        <w:ind w:left="440"/>
      </w:pPr>
      <w:hyperlink w:anchor="_Toc5374" w:history="1">
        <w:r>
          <w:rPr>
            <w:rFonts w:ascii="IRNazanin" w:hAnsi="IRNazanin" w:eastAsia="IRNazanin" w:cs="IRNazanin"/>
            <w:color w:val="111111"/>
            <w:sz w:val="22"/>
            <w:szCs w:val="22"/>
            <w:b w:val="0"/>
            <w:bCs w:val="0"/>
            <w:i w:val="0"/>
            <w:iCs w:val="0"/>
          </w:rPr>
          <w:t>5060- دیوان علی آجر تراش أو شعره‏</w:t>
        </w:r>
        <w:r>
          <w:tab/>
        </w:r>
        <w:r>
          <w:fldChar w:fldCharType="begin"/>
        </w:r>
        <w:r>
          <w:instrText xml:space="preserve">PAGEREF 5374 \h</w:instrText>
        </w:r>
        <w:r>
          <w:fldChar w:fldCharType="end"/>
        </w:r>
      </w:hyperlink>
    </w:p>
    <w:p>
      <w:pPr>
        <w:tabs>
          <w:tab w:val="right" w:leader="dot" w:pos="9062"/>
        </w:tabs>
        <w:ind w:left="440"/>
      </w:pPr>
      <w:hyperlink w:anchor="_Toc5375" w:history="1">
        <w:r>
          <w:rPr>
            <w:rFonts w:ascii="IRNazanin" w:hAnsi="IRNazanin" w:eastAsia="IRNazanin" w:cs="IRNazanin"/>
            <w:color w:val="111111"/>
            <w:sz w:val="22"/>
            <w:szCs w:val="22"/>
            <w:b w:val="0"/>
            <w:bCs w:val="0"/>
            <w:i w:val="0"/>
            <w:iCs w:val="0"/>
          </w:rPr>
          <w:t>دیوان علی آسی مشهدی‏</w:t>
        </w:r>
        <w:r>
          <w:tab/>
        </w:r>
        <w:r>
          <w:fldChar w:fldCharType="begin"/>
        </w:r>
        <w:r>
          <w:instrText xml:space="preserve">PAGEREF 5375 \h</w:instrText>
        </w:r>
        <w:r>
          <w:fldChar w:fldCharType="end"/>
        </w:r>
      </w:hyperlink>
    </w:p>
    <w:p>
      <w:pPr>
        <w:tabs>
          <w:tab w:val="right" w:leader="dot" w:pos="9062"/>
        </w:tabs>
        <w:ind w:left="440"/>
      </w:pPr>
      <w:hyperlink w:anchor="_Toc5376" w:history="1">
        <w:r>
          <w:rPr>
            <w:rFonts w:ascii="IRNazanin" w:hAnsi="IRNazanin" w:eastAsia="IRNazanin" w:cs="IRNazanin"/>
            <w:color w:val="111111"/>
            <w:sz w:val="22"/>
            <w:szCs w:val="22"/>
            <w:b w:val="0"/>
            <w:bCs w:val="0"/>
            <w:i w:val="0"/>
            <w:iCs w:val="0"/>
          </w:rPr>
          <w:t>5061- دیوان السید علی آل الطالقانی‏</w:t>
        </w:r>
        <w:r>
          <w:tab/>
        </w:r>
        <w:r>
          <w:fldChar w:fldCharType="begin"/>
        </w:r>
        <w:r>
          <w:instrText xml:space="preserve">PAGEREF 5376 \h</w:instrText>
        </w:r>
        <w:r>
          <w:fldChar w:fldCharType="end"/>
        </w:r>
      </w:hyperlink>
    </w:p>
    <w:p>
      <w:pPr>
        <w:tabs>
          <w:tab w:val="right" w:leader="dot" w:pos="9062"/>
        </w:tabs>
        <w:ind w:left="440"/>
      </w:pPr>
      <w:hyperlink w:anchor="_Toc5377" w:history="1">
        <w:r>
          <w:rPr>
            <w:rFonts w:ascii="IRNazanin" w:hAnsi="IRNazanin" w:eastAsia="IRNazanin" w:cs="IRNazanin"/>
            <w:color w:val="111111"/>
            <w:sz w:val="22"/>
            <w:szCs w:val="22"/>
            <w:b w:val="0"/>
            <w:bCs w:val="0"/>
            <w:i w:val="0"/>
            <w:iCs w:val="0"/>
          </w:rPr>
          <w:t>5062- دیوان السید محمد علی بن أبی الحسن‏</w:t>
        </w:r>
        <w:r>
          <w:tab/>
        </w:r>
        <w:r>
          <w:fldChar w:fldCharType="begin"/>
        </w:r>
        <w:r>
          <w:instrText xml:space="preserve">PAGEREF 5377 \h</w:instrText>
        </w:r>
        <w:r>
          <w:fldChar w:fldCharType="end"/>
        </w:r>
      </w:hyperlink>
    </w:p>
    <w:p>
      <w:pPr>
        <w:tabs>
          <w:tab w:val="right" w:leader="dot" w:pos="9062"/>
        </w:tabs>
        <w:ind w:left="440"/>
      </w:pPr>
      <w:hyperlink w:anchor="_Toc5378" w:history="1">
        <w:r>
          <w:rPr>
            <w:rFonts w:ascii="IRNazanin" w:hAnsi="IRNazanin" w:eastAsia="IRNazanin" w:cs="IRNazanin"/>
            <w:color w:val="111111"/>
            <w:sz w:val="22"/>
            <w:szCs w:val="22"/>
            <w:b w:val="0"/>
            <w:bCs w:val="0"/>
            <w:i w:val="0"/>
            <w:iCs w:val="0"/>
          </w:rPr>
          <w:t>دیوان علی بن أبی طالب أمیر المؤمنین ع‏</w:t>
        </w:r>
        <w:r>
          <w:tab/>
        </w:r>
        <w:r>
          <w:fldChar w:fldCharType="begin"/>
        </w:r>
        <w:r>
          <w:instrText xml:space="preserve">PAGEREF 5378 \h</w:instrText>
        </w:r>
        <w:r>
          <w:fldChar w:fldCharType="end"/>
        </w:r>
      </w:hyperlink>
    </w:p>
    <w:p>
      <w:pPr>
        <w:tabs>
          <w:tab w:val="right" w:leader="dot" w:pos="9062"/>
        </w:tabs>
        <w:ind w:left="440"/>
      </w:pPr>
      <w:hyperlink w:anchor="_Toc5379" w:history="1">
        <w:r>
          <w:rPr>
            <w:rFonts w:ascii="IRNazanin" w:hAnsi="IRNazanin" w:eastAsia="IRNazanin" w:cs="IRNazanin"/>
            <w:color w:val="111111"/>
            <w:sz w:val="22"/>
            <w:szCs w:val="22"/>
            <w:b w:val="0"/>
            <w:bCs w:val="0"/>
            <w:i w:val="0"/>
            <w:iCs w:val="0"/>
          </w:rPr>
          <w:t>دیوان الشیخ علی بن أبی طالب الزاهدی‏</w:t>
        </w:r>
        <w:r>
          <w:tab/>
        </w:r>
        <w:r>
          <w:fldChar w:fldCharType="begin"/>
        </w:r>
        <w:r>
          <w:instrText xml:space="preserve">PAGEREF 5379 \h</w:instrText>
        </w:r>
        <w:r>
          <w:fldChar w:fldCharType="end"/>
        </w:r>
      </w:hyperlink>
    </w:p>
    <w:p>
      <w:pPr>
        <w:tabs>
          <w:tab w:val="right" w:leader="dot" w:pos="9062"/>
        </w:tabs>
        <w:ind w:left="440"/>
      </w:pPr>
      <w:hyperlink w:anchor="_Toc5380" w:history="1">
        <w:r>
          <w:rPr>
            <w:rFonts w:ascii="IRNazanin" w:hAnsi="IRNazanin" w:eastAsia="IRNazanin" w:cs="IRNazanin"/>
            <w:color w:val="111111"/>
            <w:sz w:val="22"/>
            <w:szCs w:val="22"/>
            <w:b w:val="0"/>
            <w:bCs w:val="0"/>
            <w:i w:val="0"/>
            <w:iCs w:val="0"/>
          </w:rPr>
          <w:t>دیوان الشیخ علی بن أبی طالب القمی النجفی‏</w:t>
        </w:r>
        <w:r>
          <w:tab/>
        </w:r>
        <w:r>
          <w:fldChar w:fldCharType="begin"/>
        </w:r>
        <w:r>
          <w:instrText xml:space="preserve">PAGEREF 5380 \h</w:instrText>
        </w:r>
        <w:r>
          <w:fldChar w:fldCharType="end"/>
        </w:r>
      </w:hyperlink>
    </w:p>
    <w:p>
      <w:pPr>
        <w:tabs>
          <w:tab w:val="right" w:leader="dot" w:pos="9062"/>
        </w:tabs>
        <w:ind w:left="440"/>
      </w:pPr>
      <w:hyperlink w:anchor="_Toc5381" w:history="1">
        <w:r>
          <w:rPr>
            <w:rFonts w:ascii="IRNazanin" w:hAnsi="IRNazanin" w:eastAsia="IRNazanin" w:cs="IRNazanin"/>
            <w:color w:val="111111"/>
            <w:sz w:val="22"/>
            <w:szCs w:val="22"/>
            <w:b w:val="0"/>
            <w:bCs w:val="0"/>
            <w:i w:val="0"/>
            <w:iCs w:val="0"/>
          </w:rPr>
          <w:t>5063- دیوان المیرزا محمد علی بن المیرزا أبی القاسم الأردوبادی النجفی‏</w:t>
        </w:r>
        <w:r>
          <w:tab/>
        </w:r>
        <w:r>
          <w:fldChar w:fldCharType="begin"/>
        </w:r>
        <w:r>
          <w:instrText xml:space="preserve">PAGEREF 5381 \h</w:instrText>
        </w:r>
        <w:r>
          <w:fldChar w:fldCharType="end"/>
        </w:r>
      </w:hyperlink>
    </w:p>
    <w:p>
      <w:pPr>
        <w:tabs>
          <w:tab w:val="right" w:leader="dot" w:pos="9062"/>
        </w:tabs>
        <w:ind w:left="440"/>
      </w:pPr>
      <w:hyperlink w:anchor="_Toc5382" w:history="1">
        <w:r>
          <w:rPr>
            <w:rFonts w:ascii="IRNazanin" w:hAnsi="IRNazanin" w:eastAsia="IRNazanin" w:cs="IRNazanin"/>
            <w:color w:val="111111"/>
            <w:sz w:val="22"/>
            <w:szCs w:val="22"/>
            <w:b w:val="0"/>
            <w:bCs w:val="0"/>
            <w:i w:val="0"/>
            <w:iCs w:val="0"/>
          </w:rPr>
          <w:t>دیوان علی بن أحمد الأحسائی‏</w:t>
        </w:r>
        <w:r>
          <w:tab/>
        </w:r>
        <w:r>
          <w:fldChar w:fldCharType="begin"/>
        </w:r>
        <w:r>
          <w:instrText xml:space="preserve">PAGEREF 5382 \h</w:instrText>
        </w:r>
        <w:r>
          <w:fldChar w:fldCharType="end"/>
        </w:r>
      </w:hyperlink>
    </w:p>
    <w:p>
      <w:pPr>
        <w:tabs>
          <w:tab w:val="right" w:leader="dot" w:pos="9062"/>
        </w:tabs>
        <w:ind w:left="440"/>
      </w:pPr>
      <w:hyperlink w:anchor="_Toc5383" w:history="1">
        <w:r>
          <w:rPr>
            <w:rFonts w:ascii="IRNazanin" w:hAnsi="IRNazanin" w:eastAsia="IRNazanin" w:cs="IRNazanin"/>
            <w:color w:val="111111"/>
            <w:sz w:val="22"/>
            <w:szCs w:val="22"/>
            <w:b w:val="0"/>
            <w:bCs w:val="0"/>
            <w:i w:val="0"/>
            <w:iCs w:val="0"/>
          </w:rPr>
          <w:t>دیوان علی بن أحمد العاملی‏</w:t>
        </w:r>
        <w:r>
          <w:tab/>
        </w:r>
        <w:r>
          <w:fldChar w:fldCharType="begin"/>
        </w:r>
        <w:r>
          <w:instrText xml:space="preserve">PAGEREF 5383 \h</w:instrText>
        </w:r>
        <w:r>
          <w:fldChar w:fldCharType="end"/>
        </w:r>
      </w:hyperlink>
    </w:p>
    <w:p>
      <w:pPr>
        <w:tabs>
          <w:tab w:val="right" w:leader="dot" w:pos="9062"/>
        </w:tabs>
        <w:ind w:left="440"/>
      </w:pPr>
      <w:hyperlink w:anchor="_Toc5384" w:history="1">
        <w:r>
          <w:rPr>
            <w:rFonts w:ascii="IRNazanin" w:hAnsi="IRNazanin" w:eastAsia="IRNazanin" w:cs="IRNazanin"/>
            <w:color w:val="111111"/>
            <w:sz w:val="22"/>
            <w:szCs w:val="22"/>
            <w:b w:val="0"/>
            <w:bCs w:val="0"/>
            <w:i w:val="0"/>
            <w:iCs w:val="0"/>
          </w:rPr>
          <w:t>دیوان علی بن أحمد الکاشانی‏</w:t>
        </w:r>
        <w:r>
          <w:tab/>
        </w:r>
        <w:r>
          <w:fldChar w:fldCharType="begin"/>
        </w:r>
        <w:r>
          <w:instrText xml:space="preserve">PAGEREF 5384 \h</w:instrText>
        </w:r>
        <w:r>
          <w:fldChar w:fldCharType="end"/>
        </w:r>
      </w:hyperlink>
    </w:p>
    <w:p>
      <w:pPr>
        <w:tabs>
          <w:tab w:val="right" w:leader="dot" w:pos="9062"/>
        </w:tabs>
        <w:ind w:left="440"/>
      </w:pPr>
      <w:hyperlink w:anchor="_Toc5385" w:history="1">
        <w:r>
          <w:rPr>
            <w:rFonts w:ascii="IRNazanin" w:hAnsi="IRNazanin" w:eastAsia="IRNazanin" w:cs="IRNazanin"/>
            <w:color w:val="111111"/>
            <w:sz w:val="22"/>
            <w:szCs w:val="22"/>
            <w:b w:val="0"/>
            <w:bCs w:val="0"/>
            <w:i w:val="0"/>
            <w:iCs w:val="0"/>
          </w:rPr>
          <w:t>دیوان الشیخ النبیه علی بن أحمد الفقیه‏</w:t>
        </w:r>
        <w:r>
          <w:tab/>
        </w:r>
        <w:r>
          <w:fldChar w:fldCharType="begin"/>
        </w:r>
        <w:r>
          <w:instrText xml:space="preserve">PAGEREF 5385 \h</w:instrText>
        </w:r>
        <w:r>
          <w:fldChar w:fldCharType="end"/>
        </w:r>
      </w:hyperlink>
    </w:p>
    <w:p>
      <w:pPr>
        <w:tabs>
          <w:tab w:val="right" w:leader="dot" w:pos="9062"/>
        </w:tabs>
        <w:ind w:left="440"/>
      </w:pPr>
      <w:hyperlink w:anchor="_Toc5386" w:history="1">
        <w:r>
          <w:rPr>
            <w:rFonts w:ascii="IRNazanin" w:hAnsi="IRNazanin" w:eastAsia="IRNazanin" w:cs="IRNazanin"/>
            <w:color w:val="111111"/>
            <w:sz w:val="22"/>
            <w:szCs w:val="22"/>
            <w:b w:val="0"/>
            <w:bCs w:val="0"/>
            <w:i w:val="0"/>
            <w:iCs w:val="0"/>
          </w:rPr>
          <w:t>دیوان علی بن أحمد المدنی‏</w:t>
        </w:r>
        <w:r>
          <w:tab/>
        </w:r>
        <w:r>
          <w:fldChar w:fldCharType="begin"/>
        </w:r>
        <w:r>
          <w:instrText xml:space="preserve">PAGEREF 5386 \h</w:instrText>
        </w:r>
        <w:r>
          <w:fldChar w:fldCharType="end"/>
        </w:r>
      </w:hyperlink>
    </w:p>
    <w:p>
      <w:pPr>
        <w:tabs>
          <w:tab w:val="right" w:leader="dot" w:pos="9062"/>
        </w:tabs>
        <w:ind w:left="440"/>
      </w:pPr>
      <w:hyperlink w:anchor="_Toc5387" w:history="1">
        <w:r>
          <w:rPr>
            <w:rFonts w:ascii="IRNazanin" w:hAnsi="IRNazanin" w:eastAsia="IRNazanin" w:cs="IRNazanin"/>
            <w:color w:val="111111"/>
            <w:sz w:val="22"/>
            <w:szCs w:val="22"/>
            <w:b w:val="0"/>
            <w:bCs w:val="0"/>
            <w:i w:val="0"/>
            <w:iCs w:val="0"/>
          </w:rPr>
          <w:t>دیوان علی بن أحمد النوبختی‏</w:t>
        </w:r>
        <w:r>
          <w:tab/>
        </w:r>
        <w:r>
          <w:fldChar w:fldCharType="begin"/>
        </w:r>
        <w:r>
          <w:instrText xml:space="preserve">PAGEREF 5387 \h</w:instrText>
        </w:r>
        <w:r>
          <w:fldChar w:fldCharType="end"/>
        </w:r>
      </w:hyperlink>
    </w:p>
    <w:p>
      <w:pPr>
        <w:tabs>
          <w:tab w:val="right" w:leader="dot" w:pos="9062"/>
        </w:tabs>
        <w:ind w:left="440"/>
      </w:pPr>
      <w:hyperlink w:anchor="_Toc5388" w:history="1">
        <w:r>
          <w:rPr>
            <w:rFonts w:ascii="IRNazanin" w:hAnsi="IRNazanin" w:eastAsia="IRNazanin" w:cs="IRNazanin"/>
            <w:color w:val="111111"/>
            <w:sz w:val="22"/>
            <w:szCs w:val="22"/>
            <w:b w:val="0"/>
            <w:bCs w:val="0"/>
            <w:i w:val="0"/>
            <w:iCs w:val="0"/>
          </w:rPr>
          <w:t>دیوان علی بن إسحاق البغدادی‏</w:t>
        </w:r>
        <w:r>
          <w:tab/>
        </w:r>
        <w:r>
          <w:fldChar w:fldCharType="begin"/>
        </w:r>
        <w:r>
          <w:instrText xml:space="preserve">PAGEREF 5388 \h</w:instrText>
        </w:r>
        <w:r>
          <w:fldChar w:fldCharType="end"/>
        </w:r>
      </w:hyperlink>
    </w:p>
    <w:p>
      <w:pPr>
        <w:tabs>
          <w:tab w:val="right" w:leader="dot" w:pos="9062"/>
        </w:tabs>
        <w:ind w:left="440"/>
      </w:pPr>
      <w:hyperlink w:anchor="_Toc5389" w:history="1">
        <w:r>
          <w:rPr>
            <w:rFonts w:ascii="IRNazanin" w:hAnsi="IRNazanin" w:eastAsia="IRNazanin" w:cs="IRNazanin"/>
            <w:color w:val="111111"/>
            <w:sz w:val="22"/>
            <w:szCs w:val="22"/>
            <w:b w:val="0"/>
            <w:bCs w:val="0"/>
            <w:i w:val="0"/>
            <w:iCs w:val="0"/>
          </w:rPr>
          <w:t>5064- دیوان علی بن إسماعیل الطباطبائی‏</w:t>
        </w:r>
        <w:r>
          <w:tab/>
        </w:r>
        <w:r>
          <w:fldChar w:fldCharType="begin"/>
        </w:r>
        <w:r>
          <w:instrText xml:space="preserve">PAGEREF 5389 \h</w:instrText>
        </w:r>
        <w:r>
          <w:fldChar w:fldCharType="end"/>
        </w:r>
      </w:hyperlink>
    </w:p>
    <w:p>
      <w:pPr>
        <w:tabs>
          <w:tab w:val="right" w:leader="dot" w:pos="9062"/>
        </w:tabs>
        <w:ind w:left="440"/>
      </w:pPr>
      <w:hyperlink w:anchor="_Toc5390" w:history="1">
        <w:r>
          <w:rPr>
            <w:rFonts w:ascii="IRNazanin" w:hAnsi="IRNazanin" w:eastAsia="IRNazanin" w:cs="IRNazanin"/>
            <w:color w:val="111111"/>
            <w:sz w:val="22"/>
            <w:szCs w:val="22"/>
            <w:b w:val="0"/>
            <w:bCs w:val="0"/>
            <w:i w:val="0"/>
            <w:iCs w:val="0"/>
          </w:rPr>
          <w:t>5065- دیوان علی بن إسماعیل السنجانی‏</w:t>
        </w:r>
        <w:r>
          <w:tab/>
        </w:r>
        <w:r>
          <w:fldChar w:fldCharType="begin"/>
        </w:r>
        <w:r>
          <w:instrText xml:space="preserve">PAGEREF 5390 \h</w:instrText>
        </w:r>
        <w:r>
          <w:fldChar w:fldCharType="end"/>
        </w:r>
      </w:hyperlink>
    </w:p>
    <w:p>
      <w:pPr>
        <w:tabs>
          <w:tab w:val="right" w:leader="dot" w:pos="9062"/>
        </w:tabs>
        <w:ind w:left="440"/>
      </w:pPr>
      <w:hyperlink w:anchor="_Toc5391" w:history="1">
        <w:r>
          <w:rPr>
            <w:rFonts w:ascii="IRNazanin" w:hAnsi="IRNazanin" w:eastAsia="IRNazanin" w:cs="IRNazanin"/>
            <w:color w:val="111111"/>
            <w:sz w:val="22"/>
            <w:szCs w:val="22"/>
            <w:b w:val="0"/>
            <w:bCs w:val="0"/>
            <w:i w:val="0"/>
            <w:iCs w:val="0"/>
          </w:rPr>
          <w:t>5066- دیوان محمد علی بن بشاره‏</w:t>
        </w:r>
        <w:r>
          <w:tab/>
        </w:r>
        <w:r>
          <w:fldChar w:fldCharType="begin"/>
        </w:r>
        <w:r>
          <w:instrText xml:space="preserve">PAGEREF 5391 \h</w:instrText>
        </w:r>
        <w:r>
          <w:fldChar w:fldCharType="end"/>
        </w:r>
      </w:hyperlink>
    </w:p>
    <w:p>
      <w:pPr>
        <w:tabs>
          <w:tab w:val="right" w:leader="dot" w:pos="9062"/>
        </w:tabs>
        <w:ind w:left="440"/>
      </w:pPr>
      <w:hyperlink w:anchor="_Toc5392" w:history="1">
        <w:r>
          <w:rPr>
            <w:rFonts w:ascii="IRNazanin" w:hAnsi="IRNazanin" w:eastAsia="IRNazanin" w:cs="IRNazanin"/>
            <w:color w:val="111111"/>
            <w:sz w:val="22"/>
            <w:szCs w:val="22"/>
            <w:b w:val="0"/>
            <w:bCs w:val="0"/>
            <w:i w:val="0"/>
            <w:iCs w:val="0"/>
          </w:rPr>
          <w:t>5067- دیوان علی بن الشیخ جعفر کاشف الغطاء</w:t>
        </w:r>
        <w:r>
          <w:tab/>
        </w:r>
        <w:r>
          <w:fldChar w:fldCharType="begin"/>
        </w:r>
        <w:r>
          <w:instrText xml:space="preserve">PAGEREF 5392 \h</w:instrText>
        </w:r>
        <w:r>
          <w:fldChar w:fldCharType="end"/>
        </w:r>
      </w:hyperlink>
    </w:p>
    <w:p>
      <w:pPr>
        <w:tabs>
          <w:tab w:val="right" w:leader="dot" w:pos="9062"/>
        </w:tabs>
        <w:ind w:left="440"/>
      </w:pPr>
      <w:hyperlink w:anchor="_Toc5393" w:history="1">
        <w:r>
          <w:rPr>
            <w:rFonts w:ascii="IRNazanin" w:hAnsi="IRNazanin" w:eastAsia="IRNazanin" w:cs="IRNazanin"/>
            <w:color w:val="111111"/>
            <w:sz w:val="22"/>
            <w:szCs w:val="22"/>
            <w:b w:val="0"/>
            <w:bCs w:val="0"/>
            <w:i w:val="0"/>
            <w:iCs w:val="0"/>
          </w:rPr>
          <w:t>5068- دیوان علی بن حبیب الخطی‏</w:t>
        </w:r>
        <w:r>
          <w:tab/>
        </w:r>
        <w:r>
          <w:fldChar w:fldCharType="begin"/>
        </w:r>
        <w:r>
          <w:instrText xml:space="preserve">PAGEREF 5393 \h</w:instrText>
        </w:r>
        <w:r>
          <w:fldChar w:fldCharType="end"/>
        </w:r>
      </w:hyperlink>
    </w:p>
    <w:p>
      <w:pPr>
        <w:tabs>
          <w:tab w:val="right" w:leader="dot" w:pos="9062"/>
        </w:tabs>
        <w:ind w:left="440"/>
      </w:pPr>
      <w:hyperlink w:anchor="_Toc5394" w:history="1">
        <w:r>
          <w:rPr>
            <w:rFonts w:ascii="IRNazanin" w:hAnsi="IRNazanin" w:eastAsia="IRNazanin" w:cs="IRNazanin"/>
            <w:color w:val="111111"/>
            <w:sz w:val="22"/>
            <w:szCs w:val="22"/>
            <w:b w:val="0"/>
            <w:bCs w:val="0"/>
            <w:i w:val="0"/>
            <w:iCs w:val="0"/>
          </w:rPr>
          <w:t>5069- دیوان علی بن جعفر الخرقانی‏</w:t>
        </w:r>
        <w:r>
          <w:tab/>
        </w:r>
        <w:r>
          <w:fldChar w:fldCharType="begin"/>
        </w:r>
        <w:r>
          <w:instrText xml:space="preserve">PAGEREF 5394 \h</w:instrText>
        </w:r>
        <w:r>
          <w:fldChar w:fldCharType="end"/>
        </w:r>
      </w:hyperlink>
    </w:p>
    <w:p>
      <w:pPr>
        <w:tabs>
          <w:tab w:val="right" w:leader="dot" w:pos="9062"/>
        </w:tabs>
        <w:ind w:left="440"/>
      </w:pPr>
      <w:hyperlink w:anchor="_Toc5395" w:history="1">
        <w:r>
          <w:rPr>
            <w:rFonts w:ascii="IRNazanin" w:hAnsi="IRNazanin" w:eastAsia="IRNazanin" w:cs="IRNazanin"/>
            <w:color w:val="111111"/>
            <w:sz w:val="22"/>
            <w:szCs w:val="22"/>
            <w:b w:val="0"/>
            <w:bCs w:val="0"/>
            <w:i w:val="0"/>
            <w:iCs w:val="0"/>
          </w:rPr>
          <w:t>دیوان علی الحسن الآرانی الکاشانی‏</w:t>
        </w:r>
        <w:r>
          <w:tab/>
        </w:r>
        <w:r>
          <w:fldChar w:fldCharType="begin"/>
        </w:r>
        <w:r>
          <w:instrText xml:space="preserve">PAGEREF 5395 \h</w:instrText>
        </w:r>
        <w:r>
          <w:fldChar w:fldCharType="end"/>
        </w:r>
      </w:hyperlink>
    </w:p>
    <w:p>
      <w:pPr>
        <w:tabs>
          <w:tab w:val="right" w:leader="dot" w:pos="9062"/>
        </w:tabs>
        <w:ind w:left="440"/>
      </w:pPr>
      <w:hyperlink w:anchor="_Toc5396" w:history="1">
        <w:r>
          <w:rPr>
            <w:rFonts w:ascii="IRNazanin" w:hAnsi="IRNazanin" w:eastAsia="IRNazanin" w:cs="IRNazanin"/>
            <w:color w:val="111111"/>
            <w:sz w:val="22"/>
            <w:szCs w:val="22"/>
            <w:b w:val="0"/>
            <w:bCs w:val="0"/>
            <w:i w:val="0"/>
            <w:iCs w:val="0"/>
          </w:rPr>
          <w:t>5070- دیوان علی بن الحسن الأطروش أو شعره‏</w:t>
        </w:r>
        <w:r>
          <w:tab/>
        </w:r>
        <w:r>
          <w:fldChar w:fldCharType="begin"/>
        </w:r>
        <w:r>
          <w:instrText xml:space="preserve">PAGEREF 5396 \h</w:instrText>
        </w:r>
        <w:r>
          <w:fldChar w:fldCharType="end"/>
        </w:r>
      </w:hyperlink>
    </w:p>
    <w:p>
      <w:pPr>
        <w:tabs>
          <w:tab w:val="right" w:leader="dot" w:pos="9062"/>
        </w:tabs>
        <w:ind w:left="440"/>
      </w:pPr>
      <w:hyperlink w:anchor="_Toc5397" w:history="1">
        <w:r>
          <w:rPr>
            <w:rFonts w:ascii="IRNazanin" w:hAnsi="IRNazanin" w:eastAsia="IRNazanin" w:cs="IRNazanin"/>
            <w:color w:val="111111"/>
            <w:sz w:val="22"/>
            <w:szCs w:val="22"/>
            <w:b w:val="0"/>
            <w:bCs w:val="0"/>
            <w:i w:val="0"/>
            <w:iCs w:val="0"/>
          </w:rPr>
          <w:t>5071- دیوان علی بن الحسن الشدقمی‏</w:t>
        </w:r>
        <w:r>
          <w:tab/>
        </w:r>
        <w:r>
          <w:fldChar w:fldCharType="begin"/>
        </w:r>
        <w:r>
          <w:instrText xml:space="preserve">PAGEREF 5397 \h</w:instrText>
        </w:r>
        <w:r>
          <w:fldChar w:fldCharType="end"/>
        </w:r>
      </w:hyperlink>
    </w:p>
    <w:p>
      <w:pPr>
        <w:tabs>
          <w:tab w:val="right" w:leader="dot" w:pos="9062"/>
        </w:tabs>
        <w:ind w:left="440"/>
      </w:pPr>
      <w:hyperlink w:anchor="_Toc5398" w:history="1">
        <w:r>
          <w:rPr>
            <w:rFonts w:ascii="IRNazanin" w:hAnsi="IRNazanin" w:eastAsia="IRNazanin" w:cs="IRNazanin"/>
            <w:color w:val="111111"/>
            <w:sz w:val="22"/>
            <w:szCs w:val="22"/>
            <w:b w:val="0"/>
            <w:bCs w:val="0"/>
            <w:i w:val="0"/>
            <w:iCs w:val="0"/>
          </w:rPr>
          <w:t>دیوان علی بن حسن زفره‏ای‏</w:t>
        </w:r>
        <w:r>
          <w:tab/>
        </w:r>
        <w:r>
          <w:fldChar w:fldCharType="begin"/>
        </w:r>
        <w:r>
          <w:instrText xml:space="preserve">PAGEREF 5398 \h</w:instrText>
        </w:r>
        <w:r>
          <w:fldChar w:fldCharType="end"/>
        </w:r>
      </w:hyperlink>
    </w:p>
    <w:p>
      <w:pPr>
        <w:tabs>
          <w:tab w:val="right" w:leader="dot" w:pos="9062"/>
        </w:tabs>
        <w:ind w:left="440"/>
      </w:pPr>
      <w:hyperlink w:anchor="_Toc5399" w:history="1">
        <w:r>
          <w:rPr>
            <w:rFonts w:ascii="IRNazanin" w:hAnsi="IRNazanin" w:eastAsia="IRNazanin" w:cs="IRNazanin"/>
            <w:color w:val="111111"/>
            <w:sz w:val="22"/>
            <w:szCs w:val="22"/>
            <w:b w:val="0"/>
            <w:bCs w:val="0"/>
            <w:i w:val="0"/>
            <w:iCs w:val="0"/>
          </w:rPr>
          <w:t>5072- دیوان علی بن الحسین الأخوی‏</w:t>
        </w:r>
        <w:r>
          <w:tab/>
        </w:r>
        <w:r>
          <w:fldChar w:fldCharType="begin"/>
        </w:r>
        <w:r>
          <w:instrText xml:space="preserve">PAGEREF 5399 \h</w:instrText>
        </w:r>
        <w:r>
          <w:fldChar w:fldCharType="end"/>
        </w:r>
      </w:hyperlink>
    </w:p>
    <w:p>
      <w:pPr>
        <w:tabs>
          <w:tab w:val="right" w:leader="dot" w:pos="9062"/>
        </w:tabs>
        <w:ind w:left="440"/>
      </w:pPr>
      <w:hyperlink w:anchor="_Toc5400" w:history="1">
        <w:r>
          <w:rPr>
            <w:rFonts w:ascii="IRNazanin" w:hAnsi="IRNazanin" w:eastAsia="IRNazanin" w:cs="IRNazanin"/>
            <w:color w:val="111111"/>
            <w:sz w:val="22"/>
            <w:szCs w:val="22"/>
            <w:b w:val="0"/>
            <w:bCs w:val="0"/>
            <w:i w:val="0"/>
            <w:iCs w:val="0"/>
          </w:rPr>
          <w:t>5073- دیوان علی بن الحسین الأصفهانی أو شعره‏</w:t>
        </w:r>
        <w:r>
          <w:tab/>
        </w:r>
        <w:r>
          <w:fldChar w:fldCharType="begin"/>
        </w:r>
        <w:r>
          <w:instrText xml:space="preserve">PAGEREF 5400 \h</w:instrText>
        </w:r>
        <w:r>
          <w:fldChar w:fldCharType="end"/>
        </w:r>
      </w:hyperlink>
    </w:p>
    <w:p>
      <w:pPr>
        <w:tabs>
          <w:tab w:val="right" w:leader="dot" w:pos="9062"/>
        </w:tabs>
        <w:ind w:left="440"/>
      </w:pPr>
      <w:hyperlink w:anchor="_Toc5401" w:history="1">
        <w:r>
          <w:rPr>
            <w:rFonts w:ascii="IRNazanin" w:hAnsi="IRNazanin" w:eastAsia="IRNazanin" w:cs="IRNazanin"/>
            <w:color w:val="111111"/>
            <w:sz w:val="22"/>
            <w:szCs w:val="22"/>
            <w:b w:val="0"/>
            <w:bCs w:val="0"/>
            <w:i w:val="0"/>
            <w:iCs w:val="0"/>
          </w:rPr>
          <w:t>دیوان علی بن الحسین الأعسم النجفی‏</w:t>
        </w:r>
        <w:r>
          <w:tab/>
        </w:r>
        <w:r>
          <w:fldChar w:fldCharType="begin"/>
        </w:r>
        <w:r>
          <w:instrText xml:space="preserve">PAGEREF 5401 \h</w:instrText>
        </w:r>
        <w:r>
          <w:fldChar w:fldCharType="end"/>
        </w:r>
      </w:hyperlink>
    </w:p>
    <w:p>
      <w:pPr>
        <w:tabs>
          <w:tab w:val="right" w:leader="dot" w:pos="9062"/>
        </w:tabs>
        <w:ind w:left="440"/>
      </w:pPr>
      <w:hyperlink w:anchor="_Toc5402" w:history="1">
        <w:r>
          <w:rPr>
            <w:rFonts w:ascii="IRNazanin" w:hAnsi="IRNazanin" w:eastAsia="IRNazanin" w:cs="IRNazanin"/>
            <w:color w:val="111111"/>
            <w:sz w:val="22"/>
            <w:szCs w:val="22"/>
            <w:b w:val="0"/>
            <w:bCs w:val="0"/>
            <w:i w:val="0"/>
            <w:iCs w:val="0"/>
          </w:rPr>
          <w:t>5074- دیوان علی بن الحسین الجامعی أو شعره‏</w:t>
        </w:r>
        <w:r>
          <w:tab/>
        </w:r>
        <w:r>
          <w:fldChar w:fldCharType="begin"/>
        </w:r>
        <w:r>
          <w:instrText xml:space="preserve">PAGEREF 5402 \h</w:instrText>
        </w:r>
        <w:r>
          <w:fldChar w:fldCharType="end"/>
        </w:r>
      </w:hyperlink>
    </w:p>
    <w:p>
      <w:pPr>
        <w:tabs>
          <w:tab w:val="right" w:leader="dot" w:pos="9062"/>
        </w:tabs>
        <w:ind w:left="440"/>
      </w:pPr>
      <w:hyperlink w:anchor="_Toc5403" w:history="1">
        <w:r>
          <w:rPr>
            <w:rFonts w:ascii="IRNazanin" w:hAnsi="IRNazanin" w:eastAsia="IRNazanin" w:cs="IRNazanin"/>
            <w:color w:val="111111"/>
            <w:sz w:val="22"/>
            <w:szCs w:val="22"/>
            <w:b w:val="0"/>
            <w:bCs w:val="0"/>
            <w:i w:val="0"/>
            <w:iCs w:val="0"/>
          </w:rPr>
          <w:t>دیوان علی بن الحسین الجزائری‏</w:t>
        </w:r>
        <w:r>
          <w:tab/>
        </w:r>
        <w:r>
          <w:fldChar w:fldCharType="begin"/>
        </w:r>
        <w:r>
          <w:instrText xml:space="preserve">PAGEREF 5403 \h</w:instrText>
        </w:r>
        <w:r>
          <w:fldChar w:fldCharType="end"/>
        </w:r>
      </w:hyperlink>
    </w:p>
    <w:p>
      <w:pPr>
        <w:tabs>
          <w:tab w:val="right" w:leader="dot" w:pos="9062"/>
        </w:tabs>
        <w:ind w:left="440"/>
      </w:pPr>
      <w:hyperlink w:anchor="_Toc5404" w:history="1">
        <w:r>
          <w:rPr>
            <w:rFonts w:ascii="IRNazanin" w:hAnsi="IRNazanin" w:eastAsia="IRNazanin" w:cs="IRNazanin"/>
            <w:color w:val="111111"/>
            <w:sz w:val="22"/>
            <w:szCs w:val="22"/>
            <w:b w:val="0"/>
            <w:bCs w:val="0"/>
            <w:i w:val="0"/>
            <w:iCs w:val="0"/>
          </w:rPr>
          <w:t>دیوان علی بن الحسین الشهیفنی‏</w:t>
        </w:r>
        <w:r>
          <w:tab/>
        </w:r>
        <w:r>
          <w:fldChar w:fldCharType="begin"/>
        </w:r>
        <w:r>
          <w:instrText xml:space="preserve">PAGEREF 5404 \h</w:instrText>
        </w:r>
        <w:r>
          <w:fldChar w:fldCharType="end"/>
        </w:r>
      </w:hyperlink>
    </w:p>
    <w:p>
      <w:pPr>
        <w:tabs>
          <w:tab w:val="right" w:leader="dot" w:pos="9062"/>
        </w:tabs>
        <w:ind w:left="440"/>
      </w:pPr>
      <w:hyperlink w:anchor="_Toc5405" w:history="1">
        <w:r>
          <w:rPr>
            <w:rFonts w:ascii="IRNazanin" w:hAnsi="IRNazanin" w:eastAsia="IRNazanin" w:cs="IRNazanin"/>
            <w:color w:val="111111"/>
            <w:sz w:val="22"/>
            <w:szCs w:val="22"/>
            <w:b w:val="0"/>
            <w:bCs w:val="0"/>
            <w:i w:val="0"/>
            <w:iCs w:val="0"/>
          </w:rPr>
          <w:t>دیوان علی بن الحسین الشیرازی‏</w:t>
        </w:r>
        <w:r>
          <w:tab/>
        </w:r>
        <w:r>
          <w:fldChar w:fldCharType="begin"/>
        </w:r>
        <w:r>
          <w:instrText xml:space="preserve">PAGEREF 5405 \h</w:instrText>
        </w:r>
        <w:r>
          <w:fldChar w:fldCharType="end"/>
        </w:r>
      </w:hyperlink>
    </w:p>
    <w:p>
      <w:pPr>
        <w:tabs>
          <w:tab w:val="right" w:leader="dot" w:pos="9062"/>
        </w:tabs>
        <w:ind w:left="440"/>
      </w:pPr>
      <w:hyperlink w:anchor="_Toc5406" w:history="1">
        <w:r>
          <w:rPr>
            <w:rFonts w:ascii="IRNazanin" w:hAnsi="IRNazanin" w:eastAsia="IRNazanin" w:cs="IRNazanin"/>
            <w:color w:val="111111"/>
            <w:sz w:val="22"/>
            <w:szCs w:val="22"/>
            <w:b w:val="0"/>
            <w:bCs w:val="0"/>
            <w:i w:val="0"/>
            <w:iCs w:val="0"/>
          </w:rPr>
          <w:t>5075- دیوان علی بن الحسین الصنعانی أو شعره‏</w:t>
        </w:r>
        <w:r>
          <w:tab/>
        </w:r>
        <w:r>
          <w:fldChar w:fldCharType="begin"/>
        </w:r>
        <w:r>
          <w:instrText xml:space="preserve">PAGEREF 5406 \h</w:instrText>
        </w:r>
        <w:r>
          <w:fldChar w:fldCharType="end"/>
        </w:r>
      </w:hyperlink>
    </w:p>
    <w:p>
      <w:pPr>
        <w:tabs>
          <w:tab w:val="right" w:leader="dot" w:pos="9062"/>
        </w:tabs>
        <w:ind w:left="440"/>
      </w:pPr>
      <w:hyperlink w:anchor="_Toc5407" w:history="1">
        <w:r>
          <w:rPr>
            <w:rFonts w:ascii="IRNazanin" w:hAnsi="IRNazanin" w:eastAsia="IRNazanin" w:cs="IRNazanin"/>
            <w:color w:val="111111"/>
            <w:sz w:val="22"/>
            <w:szCs w:val="22"/>
            <w:b w:val="0"/>
            <w:bCs w:val="0"/>
            <w:i w:val="0"/>
            <w:iCs w:val="0"/>
          </w:rPr>
          <w:t>دیوان علی بن الحسین الموسوی‏</w:t>
        </w:r>
        <w:r>
          <w:tab/>
        </w:r>
        <w:r>
          <w:fldChar w:fldCharType="begin"/>
        </w:r>
        <w:r>
          <w:instrText xml:space="preserve">PAGEREF 5407 \h</w:instrText>
        </w:r>
        <w:r>
          <w:fldChar w:fldCharType="end"/>
        </w:r>
      </w:hyperlink>
    </w:p>
    <w:p>
      <w:pPr>
        <w:tabs>
          <w:tab w:val="right" w:leader="dot" w:pos="9062"/>
        </w:tabs>
        <w:ind w:left="440"/>
      </w:pPr>
      <w:hyperlink w:anchor="_Toc5408" w:history="1">
        <w:r>
          <w:rPr>
            <w:rFonts w:ascii="IRNazanin" w:hAnsi="IRNazanin" w:eastAsia="IRNazanin" w:cs="IRNazanin"/>
            <w:color w:val="111111"/>
            <w:sz w:val="22"/>
            <w:szCs w:val="22"/>
            <w:b w:val="0"/>
            <w:bCs w:val="0"/>
            <w:i w:val="0"/>
            <w:iCs w:val="0"/>
          </w:rPr>
          <w:t>5076- دیوان علی بن الحسین النیشابوری أو شعره‏</w:t>
        </w:r>
        <w:r>
          <w:tab/>
        </w:r>
        <w:r>
          <w:fldChar w:fldCharType="begin"/>
        </w:r>
        <w:r>
          <w:instrText xml:space="preserve">PAGEREF 5408 \h</w:instrText>
        </w:r>
        <w:r>
          <w:fldChar w:fldCharType="end"/>
        </w:r>
      </w:hyperlink>
    </w:p>
    <w:p>
      <w:pPr>
        <w:tabs>
          <w:tab w:val="right" w:leader="dot" w:pos="9062"/>
        </w:tabs>
        <w:ind w:left="440"/>
      </w:pPr>
      <w:hyperlink w:anchor="_Toc5409" w:history="1">
        <w:r>
          <w:rPr>
            <w:rFonts w:ascii="IRNazanin" w:hAnsi="IRNazanin" w:eastAsia="IRNazanin" w:cs="IRNazanin"/>
            <w:color w:val="111111"/>
            <w:sz w:val="22"/>
            <w:szCs w:val="22"/>
            <w:b w:val="0"/>
            <w:bCs w:val="0"/>
            <w:i w:val="0"/>
            <w:iCs w:val="0"/>
          </w:rPr>
          <w:t>دیوان علی بن حماد البغدادی‏</w:t>
        </w:r>
        <w:r>
          <w:tab/>
        </w:r>
        <w:r>
          <w:fldChar w:fldCharType="begin"/>
        </w:r>
        <w:r>
          <w:instrText xml:space="preserve">PAGEREF 5409 \h</w:instrText>
        </w:r>
        <w:r>
          <w:fldChar w:fldCharType="end"/>
        </w:r>
      </w:hyperlink>
    </w:p>
    <w:p>
      <w:pPr>
        <w:tabs>
          <w:tab w:val="right" w:leader="dot" w:pos="9062"/>
        </w:tabs>
        <w:ind w:left="440"/>
      </w:pPr>
      <w:hyperlink w:anchor="_Toc5410" w:history="1">
        <w:r>
          <w:rPr>
            <w:rFonts w:ascii="IRNazanin" w:hAnsi="IRNazanin" w:eastAsia="IRNazanin" w:cs="IRNazanin"/>
            <w:color w:val="111111"/>
            <w:sz w:val="22"/>
            <w:szCs w:val="22"/>
            <w:b w:val="0"/>
            <w:bCs w:val="0"/>
            <w:i w:val="0"/>
            <w:iCs w:val="0"/>
          </w:rPr>
          <w:t>دیوان علی بن خلف المشعشعی‏</w:t>
        </w:r>
        <w:r>
          <w:tab/>
        </w:r>
        <w:r>
          <w:fldChar w:fldCharType="begin"/>
        </w:r>
        <w:r>
          <w:instrText xml:space="preserve">PAGEREF 5410 \h</w:instrText>
        </w:r>
        <w:r>
          <w:fldChar w:fldCharType="end"/>
        </w:r>
      </w:hyperlink>
    </w:p>
    <w:p>
      <w:pPr>
        <w:tabs>
          <w:tab w:val="right" w:leader="dot" w:pos="9062"/>
        </w:tabs>
        <w:ind w:left="440"/>
      </w:pPr>
      <w:hyperlink w:anchor="_Toc5411" w:history="1">
        <w:r>
          <w:rPr>
            <w:rFonts w:ascii="IRNazanin" w:hAnsi="IRNazanin" w:eastAsia="IRNazanin" w:cs="IRNazanin"/>
            <w:color w:val="111111"/>
            <w:sz w:val="22"/>
            <w:szCs w:val="22"/>
            <w:b w:val="0"/>
            <w:bCs w:val="0"/>
            <w:i w:val="0"/>
            <w:iCs w:val="0"/>
          </w:rPr>
          <w:t>دیوان علی بن سلیمان‏</w:t>
        </w:r>
        <w:r>
          <w:tab/>
        </w:r>
        <w:r>
          <w:fldChar w:fldCharType="begin"/>
        </w:r>
        <w:r>
          <w:instrText xml:space="preserve">PAGEREF 5411 \h</w:instrText>
        </w:r>
        <w:r>
          <w:fldChar w:fldCharType="end"/>
        </w:r>
      </w:hyperlink>
    </w:p>
    <w:p>
      <w:pPr>
        <w:tabs>
          <w:tab w:val="right" w:leader="dot" w:pos="9062"/>
        </w:tabs>
        <w:ind w:left="440"/>
      </w:pPr>
      <w:hyperlink w:anchor="_Toc5412" w:history="1">
        <w:r>
          <w:rPr>
            <w:rFonts w:ascii="IRNazanin" w:hAnsi="IRNazanin" w:eastAsia="IRNazanin" w:cs="IRNazanin"/>
            <w:color w:val="111111"/>
            <w:sz w:val="22"/>
            <w:szCs w:val="22"/>
            <w:b w:val="0"/>
            <w:bCs w:val="0"/>
            <w:i w:val="0"/>
            <w:iCs w:val="0"/>
          </w:rPr>
          <w:t>5077- دیوان علی بن صالح أو شعره‏</w:t>
        </w:r>
        <w:r>
          <w:tab/>
        </w:r>
        <w:r>
          <w:fldChar w:fldCharType="begin"/>
        </w:r>
        <w:r>
          <w:instrText xml:space="preserve">PAGEREF 5412 \h</w:instrText>
        </w:r>
        <w:r>
          <w:fldChar w:fldCharType="end"/>
        </w:r>
      </w:hyperlink>
    </w:p>
    <w:p>
      <w:pPr>
        <w:tabs>
          <w:tab w:val="right" w:leader="dot" w:pos="9062"/>
        </w:tabs>
        <w:ind w:left="440"/>
      </w:pPr>
      <w:hyperlink w:anchor="_Toc5413" w:history="1">
        <w:r>
          <w:rPr>
            <w:rFonts w:ascii="IRNazanin" w:hAnsi="IRNazanin" w:eastAsia="IRNazanin" w:cs="IRNazanin"/>
            <w:color w:val="111111"/>
            <w:sz w:val="22"/>
            <w:szCs w:val="22"/>
            <w:b w:val="0"/>
            <w:bCs w:val="0"/>
            <w:i w:val="0"/>
            <w:iCs w:val="0"/>
          </w:rPr>
          <w:t>5078- دیوان السید محمد علی بن السید صدر الدین الموسوی العاملی الأصفهانی‏</w:t>
        </w:r>
        <w:r>
          <w:tab/>
        </w:r>
        <w:r>
          <w:fldChar w:fldCharType="begin"/>
        </w:r>
        <w:r>
          <w:instrText xml:space="preserve">PAGEREF 5413 \h</w:instrText>
        </w:r>
        <w:r>
          <w:fldChar w:fldCharType="end"/>
        </w:r>
      </w:hyperlink>
    </w:p>
    <w:p>
      <w:pPr>
        <w:tabs>
          <w:tab w:val="right" w:leader="dot" w:pos="9062"/>
        </w:tabs>
        <w:ind w:left="440"/>
      </w:pPr>
      <w:hyperlink w:anchor="_Toc5414" w:history="1">
        <w:r>
          <w:rPr>
            <w:rFonts w:ascii="IRNazanin" w:hAnsi="IRNazanin" w:eastAsia="IRNazanin" w:cs="IRNazanin"/>
            <w:color w:val="111111"/>
            <w:sz w:val="22"/>
            <w:szCs w:val="22"/>
            <w:b w:val="0"/>
            <w:bCs w:val="0"/>
            <w:i w:val="0"/>
            <w:iCs w:val="0"/>
          </w:rPr>
          <w:t>5079- دیوان علی بن صلاح الدین أو شعره‏</w:t>
        </w:r>
        <w:r>
          <w:tab/>
        </w:r>
        <w:r>
          <w:fldChar w:fldCharType="begin"/>
        </w:r>
        <w:r>
          <w:instrText xml:space="preserve">PAGEREF 5414 \h</w:instrText>
        </w:r>
        <w:r>
          <w:fldChar w:fldCharType="end"/>
        </w:r>
      </w:hyperlink>
    </w:p>
    <w:p>
      <w:pPr>
        <w:tabs>
          <w:tab w:val="right" w:leader="dot" w:pos="9062"/>
        </w:tabs>
        <w:ind w:left="440"/>
      </w:pPr>
      <w:hyperlink w:anchor="_Toc5415" w:history="1">
        <w:r>
          <w:rPr>
            <w:rFonts w:ascii="IRNazanin" w:hAnsi="IRNazanin" w:eastAsia="IRNazanin" w:cs="IRNazanin"/>
            <w:color w:val="111111"/>
            <w:sz w:val="22"/>
            <w:szCs w:val="22"/>
            <w:b w:val="0"/>
            <w:bCs w:val="0"/>
            <w:i w:val="0"/>
            <w:iCs w:val="0"/>
          </w:rPr>
          <w:t>دیوان علی بن عباس بن جرجیس‏</w:t>
        </w:r>
        <w:r>
          <w:tab/>
        </w:r>
        <w:r>
          <w:fldChar w:fldCharType="begin"/>
        </w:r>
        <w:r>
          <w:instrText xml:space="preserve">PAGEREF 5415 \h</w:instrText>
        </w:r>
        <w:r>
          <w:fldChar w:fldCharType="end"/>
        </w:r>
      </w:hyperlink>
    </w:p>
    <w:p>
      <w:pPr>
        <w:tabs>
          <w:tab w:val="right" w:leader="dot" w:pos="9062"/>
        </w:tabs>
        <w:ind w:left="440"/>
      </w:pPr>
      <w:hyperlink w:anchor="_Toc5416" w:history="1">
        <w:r>
          <w:rPr>
            <w:rFonts w:ascii="IRNazanin" w:hAnsi="IRNazanin" w:eastAsia="IRNazanin" w:cs="IRNazanin"/>
            <w:color w:val="111111"/>
            <w:sz w:val="22"/>
            <w:szCs w:val="22"/>
            <w:b w:val="0"/>
            <w:bCs w:val="0"/>
            <w:i w:val="0"/>
            <w:iCs w:val="0"/>
          </w:rPr>
          <w:t>دیوان علی بن عباس کازرونی‏</w:t>
        </w:r>
        <w:r>
          <w:tab/>
        </w:r>
        <w:r>
          <w:fldChar w:fldCharType="begin"/>
        </w:r>
        <w:r>
          <w:instrText xml:space="preserve">PAGEREF 5416 \h</w:instrText>
        </w:r>
        <w:r>
          <w:fldChar w:fldCharType="end"/>
        </w:r>
      </w:hyperlink>
    </w:p>
    <w:p>
      <w:pPr>
        <w:tabs>
          <w:tab w:val="right" w:leader="dot" w:pos="9062"/>
        </w:tabs>
        <w:ind w:left="440"/>
      </w:pPr>
      <w:hyperlink w:anchor="_Toc5417" w:history="1">
        <w:r>
          <w:rPr>
            <w:rFonts w:ascii="IRNazanin" w:hAnsi="IRNazanin" w:eastAsia="IRNazanin" w:cs="IRNazanin"/>
            <w:color w:val="111111"/>
            <w:sz w:val="22"/>
            <w:szCs w:val="22"/>
            <w:b w:val="0"/>
            <w:bCs w:val="0"/>
            <w:i w:val="0"/>
            <w:iCs w:val="0"/>
          </w:rPr>
          <w:t>5080- دیوان السید محمد علی بن عباس اللکهنوی‏</w:t>
        </w:r>
        <w:r>
          <w:tab/>
        </w:r>
        <w:r>
          <w:fldChar w:fldCharType="begin"/>
        </w:r>
        <w:r>
          <w:instrText xml:space="preserve">PAGEREF 5417 \h</w:instrText>
        </w:r>
        <w:r>
          <w:fldChar w:fldCharType="end"/>
        </w:r>
      </w:hyperlink>
    </w:p>
    <w:p>
      <w:pPr>
        <w:tabs>
          <w:tab w:val="right" w:leader="dot" w:pos="9062"/>
        </w:tabs>
        <w:ind w:left="440"/>
      </w:pPr>
      <w:hyperlink w:anchor="_Toc5418" w:history="1">
        <w:r>
          <w:rPr>
            <w:rFonts w:ascii="IRNazanin" w:hAnsi="IRNazanin" w:eastAsia="IRNazanin" w:cs="IRNazanin"/>
            <w:color w:val="111111"/>
            <w:sz w:val="22"/>
            <w:szCs w:val="22"/>
            <w:b w:val="0"/>
            <w:bCs w:val="0"/>
            <w:i w:val="0"/>
            <w:iCs w:val="0"/>
          </w:rPr>
          <w:t>دیوان علی بن عباس النوبختی‏</w:t>
        </w:r>
        <w:r>
          <w:tab/>
        </w:r>
        <w:r>
          <w:fldChar w:fldCharType="begin"/>
        </w:r>
        <w:r>
          <w:instrText xml:space="preserve">PAGEREF 5418 \h</w:instrText>
        </w:r>
        <w:r>
          <w:fldChar w:fldCharType="end"/>
        </w:r>
      </w:hyperlink>
    </w:p>
    <w:p>
      <w:pPr>
        <w:tabs>
          <w:tab w:val="right" w:leader="dot" w:pos="9062"/>
        </w:tabs>
        <w:ind w:left="440"/>
      </w:pPr>
      <w:hyperlink w:anchor="_Toc5419" w:history="1">
        <w:r>
          <w:rPr>
            <w:rFonts w:ascii="IRNazanin" w:hAnsi="IRNazanin" w:eastAsia="IRNazanin" w:cs="IRNazanin"/>
            <w:color w:val="111111"/>
            <w:sz w:val="22"/>
            <w:szCs w:val="22"/>
            <w:b w:val="0"/>
            <w:bCs w:val="0"/>
            <w:i w:val="0"/>
            <w:iCs w:val="0"/>
          </w:rPr>
          <w:t>دیوان علی بن عبد الرحمن‏</w:t>
        </w:r>
        <w:r>
          <w:tab/>
        </w:r>
        <w:r>
          <w:fldChar w:fldCharType="begin"/>
        </w:r>
        <w:r>
          <w:instrText xml:space="preserve">PAGEREF 5419 \h</w:instrText>
        </w:r>
        <w:r>
          <w:fldChar w:fldCharType="end"/>
        </w:r>
      </w:hyperlink>
    </w:p>
    <w:p>
      <w:pPr>
        <w:tabs>
          <w:tab w:val="right" w:leader="dot" w:pos="9062"/>
        </w:tabs>
        <w:ind w:left="440"/>
      </w:pPr>
      <w:hyperlink w:anchor="_Toc5420" w:history="1">
        <w:r>
          <w:rPr>
            <w:rFonts w:ascii="IRNazanin" w:hAnsi="IRNazanin" w:eastAsia="IRNazanin" w:cs="IRNazanin"/>
            <w:color w:val="111111"/>
            <w:sz w:val="22"/>
            <w:szCs w:val="22"/>
            <w:b w:val="0"/>
            <w:bCs w:val="0"/>
            <w:i w:val="0"/>
            <w:iCs w:val="0"/>
          </w:rPr>
          <w:t>5081- دیوان علی بن عبد الله الحمدانی أو شعره‏</w:t>
        </w:r>
        <w:r>
          <w:tab/>
        </w:r>
        <w:r>
          <w:fldChar w:fldCharType="begin"/>
        </w:r>
        <w:r>
          <w:instrText xml:space="preserve">PAGEREF 5420 \h</w:instrText>
        </w:r>
        <w:r>
          <w:fldChar w:fldCharType="end"/>
        </w:r>
      </w:hyperlink>
    </w:p>
    <w:p>
      <w:pPr>
        <w:tabs>
          <w:tab w:val="right" w:leader="dot" w:pos="9062"/>
        </w:tabs>
        <w:ind w:left="440"/>
      </w:pPr>
      <w:hyperlink w:anchor="_Toc5421" w:history="1">
        <w:r>
          <w:rPr>
            <w:rFonts w:ascii="IRNazanin" w:hAnsi="IRNazanin" w:eastAsia="IRNazanin" w:cs="IRNazanin"/>
            <w:color w:val="111111"/>
            <w:sz w:val="22"/>
            <w:szCs w:val="22"/>
            <w:b w:val="0"/>
            <w:bCs w:val="0"/>
            <w:i w:val="0"/>
            <w:iCs w:val="0"/>
          </w:rPr>
          <w:t>5082- دیوان علی بن عبد الله الطیار</w:t>
        </w:r>
        <w:r>
          <w:tab/>
        </w:r>
        <w:r>
          <w:fldChar w:fldCharType="begin"/>
        </w:r>
        <w:r>
          <w:instrText xml:space="preserve">PAGEREF 5421 \h</w:instrText>
        </w:r>
        <w:r>
          <w:fldChar w:fldCharType="end"/>
        </w:r>
      </w:hyperlink>
    </w:p>
    <w:p>
      <w:pPr>
        <w:tabs>
          <w:tab w:val="right" w:leader="dot" w:pos="9062"/>
        </w:tabs>
        <w:ind w:left="440"/>
      </w:pPr>
      <w:hyperlink w:anchor="_Toc5422" w:history="1">
        <w:r>
          <w:rPr>
            <w:rFonts w:ascii="IRNazanin" w:hAnsi="IRNazanin" w:eastAsia="IRNazanin" w:cs="IRNazanin"/>
            <w:color w:val="111111"/>
            <w:sz w:val="22"/>
            <w:szCs w:val="22"/>
            <w:b w:val="0"/>
            <w:bCs w:val="0"/>
            <w:i w:val="0"/>
            <w:iCs w:val="0"/>
          </w:rPr>
          <w:t>5083- دیوان علی بن عبد الله الکندی‏</w:t>
        </w:r>
        <w:r>
          <w:tab/>
        </w:r>
        <w:r>
          <w:fldChar w:fldCharType="begin"/>
        </w:r>
        <w:r>
          <w:instrText xml:space="preserve">PAGEREF 5422 \h</w:instrText>
        </w:r>
        <w:r>
          <w:fldChar w:fldCharType="end"/>
        </w:r>
      </w:hyperlink>
    </w:p>
    <w:p>
      <w:pPr>
        <w:tabs>
          <w:tab w:val="right" w:leader="dot" w:pos="9062"/>
        </w:tabs>
        <w:ind w:left="440"/>
      </w:pPr>
      <w:hyperlink w:anchor="_Toc5423" w:history="1">
        <w:r>
          <w:rPr>
            <w:rFonts w:ascii="IRNazanin" w:hAnsi="IRNazanin" w:eastAsia="IRNazanin" w:cs="IRNazanin"/>
            <w:color w:val="111111"/>
            <w:sz w:val="22"/>
            <w:szCs w:val="22"/>
            <w:b w:val="0"/>
            <w:bCs w:val="0"/>
            <w:i w:val="0"/>
            <w:iCs w:val="0"/>
          </w:rPr>
          <w:t>5084- دیوان علی بن عبد الله القزوینی‏</w:t>
        </w:r>
        <w:r>
          <w:tab/>
        </w:r>
        <w:r>
          <w:fldChar w:fldCharType="begin"/>
        </w:r>
        <w:r>
          <w:instrText xml:space="preserve">PAGEREF 5423 \h</w:instrText>
        </w:r>
        <w:r>
          <w:fldChar w:fldCharType="end"/>
        </w:r>
      </w:hyperlink>
    </w:p>
    <w:p>
      <w:pPr>
        <w:tabs>
          <w:tab w:val="right" w:leader="dot" w:pos="9062"/>
        </w:tabs>
        <w:ind w:left="440"/>
      </w:pPr>
      <w:hyperlink w:anchor="_Toc5424" w:history="1">
        <w:r>
          <w:rPr>
            <w:rFonts w:ascii="IRNazanin" w:hAnsi="IRNazanin" w:eastAsia="IRNazanin" w:cs="IRNazanin"/>
            <w:color w:val="111111"/>
            <w:sz w:val="22"/>
            <w:szCs w:val="22"/>
            <w:b w:val="0"/>
            <w:bCs w:val="0"/>
            <w:i w:val="0"/>
            <w:iCs w:val="0"/>
          </w:rPr>
          <w:t>5085- دیوان علی بن عبد الله الناشی‏</w:t>
        </w:r>
        <w:r>
          <w:tab/>
        </w:r>
        <w:r>
          <w:fldChar w:fldCharType="begin"/>
        </w:r>
        <w:r>
          <w:instrText xml:space="preserve">PAGEREF 5424 \h</w:instrText>
        </w:r>
        <w:r>
          <w:fldChar w:fldCharType="end"/>
        </w:r>
      </w:hyperlink>
    </w:p>
    <w:p>
      <w:pPr>
        <w:tabs>
          <w:tab w:val="right" w:leader="dot" w:pos="9062"/>
        </w:tabs>
        <w:ind w:left="440"/>
      </w:pPr>
      <w:hyperlink w:anchor="_Toc5425" w:history="1">
        <w:r>
          <w:rPr>
            <w:rFonts w:ascii="IRNazanin" w:hAnsi="IRNazanin" w:eastAsia="IRNazanin" w:cs="IRNazanin"/>
            <w:color w:val="111111"/>
            <w:sz w:val="22"/>
            <w:szCs w:val="22"/>
            <w:b w:val="0"/>
            <w:bCs w:val="0"/>
            <w:i w:val="0"/>
            <w:iCs w:val="0"/>
          </w:rPr>
          <w:t>5086- دیوان علی بن عثمان الإربلی‏</w:t>
        </w:r>
        <w:r>
          <w:tab/>
        </w:r>
        <w:r>
          <w:fldChar w:fldCharType="begin"/>
        </w:r>
        <w:r>
          <w:instrText xml:space="preserve">PAGEREF 5425 \h</w:instrText>
        </w:r>
        <w:r>
          <w:fldChar w:fldCharType="end"/>
        </w:r>
      </w:hyperlink>
    </w:p>
    <w:p>
      <w:pPr>
        <w:tabs>
          <w:tab w:val="right" w:leader="dot" w:pos="9062"/>
        </w:tabs>
        <w:ind w:left="440"/>
      </w:pPr>
      <w:hyperlink w:anchor="_Toc5426" w:history="1">
        <w:r>
          <w:rPr>
            <w:rFonts w:ascii="IRNazanin" w:hAnsi="IRNazanin" w:eastAsia="IRNazanin" w:cs="IRNazanin"/>
            <w:color w:val="111111"/>
            <w:sz w:val="22"/>
            <w:szCs w:val="22"/>
            <w:b w:val="0"/>
            <w:bCs w:val="0"/>
            <w:i w:val="0"/>
            <w:iCs w:val="0"/>
          </w:rPr>
          <w:t>5087- دیوان السید علی بن عدنان البحرانی‏</w:t>
        </w:r>
        <w:r>
          <w:tab/>
        </w:r>
        <w:r>
          <w:fldChar w:fldCharType="begin"/>
        </w:r>
        <w:r>
          <w:instrText xml:space="preserve">PAGEREF 5426 \h</w:instrText>
        </w:r>
        <w:r>
          <w:fldChar w:fldCharType="end"/>
        </w:r>
      </w:hyperlink>
    </w:p>
    <w:p>
      <w:pPr>
        <w:tabs>
          <w:tab w:val="right" w:leader="dot" w:pos="9062"/>
        </w:tabs>
        <w:ind w:left="440"/>
      </w:pPr>
      <w:hyperlink w:anchor="_Toc5427" w:history="1">
        <w:r>
          <w:rPr>
            <w:rFonts w:ascii="IRNazanin" w:hAnsi="IRNazanin" w:eastAsia="IRNazanin" w:cs="IRNazanin"/>
            <w:color w:val="111111"/>
            <w:sz w:val="22"/>
            <w:szCs w:val="22"/>
            <w:b w:val="0"/>
            <w:bCs w:val="0"/>
            <w:i w:val="0"/>
            <w:iCs w:val="0"/>
          </w:rPr>
          <w:t>5088- دیوان الشیخ علی بن علی رضا الخوئی‏</w:t>
        </w:r>
        <w:r>
          <w:tab/>
        </w:r>
        <w:r>
          <w:fldChar w:fldCharType="begin"/>
        </w:r>
        <w:r>
          <w:instrText xml:space="preserve">PAGEREF 5427 \h</w:instrText>
        </w:r>
        <w:r>
          <w:fldChar w:fldCharType="end"/>
        </w:r>
      </w:hyperlink>
    </w:p>
    <w:p>
      <w:pPr>
        <w:tabs>
          <w:tab w:val="right" w:leader="dot" w:pos="9062"/>
        </w:tabs>
        <w:ind w:left="440"/>
      </w:pPr>
      <w:hyperlink w:anchor="_Toc5428" w:history="1">
        <w:r>
          <w:rPr>
            <w:rFonts w:ascii="IRNazanin" w:hAnsi="IRNazanin" w:eastAsia="IRNazanin" w:cs="IRNazanin"/>
            <w:color w:val="111111"/>
            <w:sz w:val="22"/>
            <w:szCs w:val="22"/>
            <w:b w:val="0"/>
            <w:bCs w:val="0"/>
            <w:i w:val="0"/>
            <w:iCs w:val="0"/>
          </w:rPr>
          <w:t>دیوان الوزیر أبی الحسن علی بن عیسی بن أبی الفتح الإربلی‏</w:t>
        </w:r>
        <w:r>
          <w:tab/>
        </w:r>
        <w:r>
          <w:fldChar w:fldCharType="begin"/>
        </w:r>
        <w:r>
          <w:instrText xml:space="preserve">PAGEREF 5428 \h</w:instrText>
        </w:r>
        <w:r>
          <w:fldChar w:fldCharType="end"/>
        </w:r>
      </w:hyperlink>
    </w:p>
    <w:p>
      <w:pPr>
        <w:tabs>
          <w:tab w:val="right" w:leader="dot" w:pos="9062"/>
        </w:tabs>
        <w:ind w:left="440"/>
      </w:pPr>
      <w:hyperlink w:anchor="_Toc5429" w:history="1">
        <w:r>
          <w:rPr>
            <w:rFonts w:ascii="IRNazanin" w:hAnsi="IRNazanin" w:eastAsia="IRNazanin" w:cs="IRNazanin"/>
            <w:color w:val="111111"/>
            <w:sz w:val="22"/>
            <w:szCs w:val="22"/>
            <w:b w:val="0"/>
            <w:bCs w:val="0"/>
            <w:i w:val="0"/>
            <w:iCs w:val="0"/>
          </w:rPr>
          <w:t>5089- دیوان السید علی بن ماجد الجد حفصی‏</w:t>
        </w:r>
        <w:r>
          <w:tab/>
        </w:r>
        <w:r>
          <w:fldChar w:fldCharType="begin"/>
        </w:r>
        <w:r>
          <w:instrText xml:space="preserve">PAGEREF 5429 \h</w:instrText>
        </w:r>
        <w:r>
          <w:fldChar w:fldCharType="end"/>
        </w:r>
      </w:hyperlink>
    </w:p>
    <w:p>
      <w:pPr>
        <w:tabs>
          <w:tab w:val="right" w:leader="dot" w:pos="9062"/>
        </w:tabs>
        <w:ind w:left="440"/>
      </w:pPr>
      <w:hyperlink w:anchor="_Toc5430" w:history="1">
        <w:r>
          <w:rPr>
            <w:rFonts w:ascii="IRNazanin" w:hAnsi="IRNazanin" w:eastAsia="IRNazanin" w:cs="IRNazanin"/>
            <w:color w:val="111111"/>
            <w:sz w:val="22"/>
            <w:szCs w:val="22"/>
            <w:b w:val="0"/>
            <w:bCs w:val="0"/>
            <w:i w:val="0"/>
            <w:iCs w:val="0"/>
          </w:rPr>
          <w:t>دیوان القاضی أبی القاسم علی بن أبی علی المحسن‏</w:t>
        </w:r>
        <w:r>
          <w:tab/>
        </w:r>
        <w:r>
          <w:fldChar w:fldCharType="begin"/>
        </w:r>
        <w:r>
          <w:instrText xml:space="preserve">PAGEREF 5430 \h</w:instrText>
        </w:r>
        <w:r>
          <w:fldChar w:fldCharType="end"/>
        </w:r>
      </w:hyperlink>
    </w:p>
    <w:p>
      <w:pPr>
        <w:tabs>
          <w:tab w:val="right" w:leader="dot" w:pos="9062"/>
        </w:tabs>
        <w:ind w:left="440"/>
      </w:pPr>
      <w:hyperlink w:anchor="_Toc5431" w:history="1">
        <w:r>
          <w:rPr>
            <w:rFonts w:ascii="IRNazanin" w:hAnsi="IRNazanin" w:eastAsia="IRNazanin" w:cs="IRNazanin"/>
            <w:color w:val="111111"/>
            <w:sz w:val="22"/>
            <w:szCs w:val="22"/>
            <w:b w:val="0"/>
            <w:bCs w:val="0"/>
            <w:i w:val="0"/>
            <w:iCs w:val="0"/>
          </w:rPr>
          <w:t>دیوان القاضی أبی القاسم علی بن محمد بن أبی الفهم‏</w:t>
        </w:r>
        <w:r>
          <w:tab/>
        </w:r>
        <w:r>
          <w:fldChar w:fldCharType="begin"/>
        </w:r>
        <w:r>
          <w:instrText xml:space="preserve">PAGEREF 5431 \h</w:instrText>
        </w:r>
        <w:r>
          <w:fldChar w:fldCharType="end"/>
        </w:r>
      </w:hyperlink>
    </w:p>
    <w:p>
      <w:pPr>
        <w:tabs>
          <w:tab w:val="right" w:leader="dot" w:pos="9062"/>
        </w:tabs>
        <w:ind w:left="440"/>
      </w:pPr>
      <w:hyperlink w:anchor="_Toc5432" w:history="1">
        <w:r>
          <w:rPr>
            <w:rFonts w:ascii="IRNazanin" w:hAnsi="IRNazanin" w:eastAsia="IRNazanin" w:cs="IRNazanin"/>
            <w:color w:val="111111"/>
            <w:sz w:val="22"/>
            <w:szCs w:val="22"/>
            <w:b w:val="0"/>
            <w:bCs w:val="0"/>
            <w:i w:val="0"/>
            <w:iCs w:val="0"/>
          </w:rPr>
          <w:t>دیوان علی بن محمد بن نصر بن منصور</w:t>
        </w:r>
        <w:r>
          <w:tab/>
        </w:r>
        <w:r>
          <w:fldChar w:fldCharType="begin"/>
        </w:r>
        <w:r>
          <w:instrText xml:space="preserve">PAGEREF 5432 \h</w:instrText>
        </w:r>
        <w:r>
          <w:fldChar w:fldCharType="end"/>
        </w:r>
      </w:hyperlink>
    </w:p>
    <w:p>
      <w:pPr>
        <w:tabs>
          <w:tab w:val="right" w:leader="dot" w:pos="9062"/>
        </w:tabs>
        <w:ind w:left="440"/>
      </w:pPr>
      <w:hyperlink w:anchor="_Toc5433" w:history="1">
        <w:r>
          <w:rPr>
            <w:rFonts w:ascii="IRNazanin" w:hAnsi="IRNazanin" w:eastAsia="IRNazanin" w:cs="IRNazanin"/>
            <w:color w:val="111111"/>
            <w:sz w:val="22"/>
            <w:szCs w:val="22"/>
            <w:b w:val="0"/>
            <w:bCs w:val="0"/>
            <w:i w:val="0"/>
            <w:iCs w:val="0"/>
          </w:rPr>
          <w:t>5090- دیوان علی بن محمد البرقی أو شعره‏</w:t>
        </w:r>
        <w:r>
          <w:tab/>
        </w:r>
        <w:r>
          <w:fldChar w:fldCharType="begin"/>
        </w:r>
        <w:r>
          <w:instrText xml:space="preserve">PAGEREF 5433 \h</w:instrText>
        </w:r>
        <w:r>
          <w:fldChar w:fldCharType="end"/>
        </w:r>
      </w:hyperlink>
    </w:p>
    <w:p>
      <w:pPr>
        <w:tabs>
          <w:tab w:val="right" w:leader="dot" w:pos="9062"/>
        </w:tabs>
        <w:ind w:left="440"/>
      </w:pPr>
      <w:hyperlink w:anchor="_Toc5434" w:history="1">
        <w:r>
          <w:rPr>
            <w:rFonts w:ascii="IRNazanin" w:hAnsi="IRNazanin" w:eastAsia="IRNazanin" w:cs="IRNazanin"/>
            <w:color w:val="111111"/>
            <w:sz w:val="22"/>
            <w:szCs w:val="22"/>
            <w:b w:val="0"/>
            <w:bCs w:val="0"/>
            <w:i w:val="0"/>
            <w:iCs w:val="0"/>
          </w:rPr>
          <w:t>دیوان علی بن محمد البستی‏</w:t>
        </w:r>
        <w:r>
          <w:tab/>
        </w:r>
        <w:r>
          <w:fldChar w:fldCharType="begin"/>
        </w:r>
        <w:r>
          <w:instrText xml:space="preserve">PAGEREF 5434 \h</w:instrText>
        </w:r>
        <w:r>
          <w:fldChar w:fldCharType="end"/>
        </w:r>
      </w:hyperlink>
    </w:p>
    <w:p>
      <w:pPr>
        <w:tabs>
          <w:tab w:val="right" w:leader="dot" w:pos="9062"/>
        </w:tabs>
        <w:ind w:left="440"/>
      </w:pPr>
      <w:hyperlink w:anchor="_Toc5435" w:history="1">
        <w:r>
          <w:rPr>
            <w:rFonts w:ascii="IRNazanin" w:hAnsi="IRNazanin" w:eastAsia="IRNazanin" w:cs="IRNazanin"/>
            <w:color w:val="111111"/>
            <w:sz w:val="22"/>
            <w:szCs w:val="22"/>
            <w:b w:val="0"/>
            <w:bCs w:val="0"/>
            <w:i w:val="0"/>
            <w:iCs w:val="0"/>
          </w:rPr>
          <w:t>5091- دیوان علی بن محمد البیاضی‏</w:t>
        </w:r>
        <w:r>
          <w:tab/>
        </w:r>
        <w:r>
          <w:fldChar w:fldCharType="begin"/>
        </w:r>
        <w:r>
          <w:instrText xml:space="preserve">PAGEREF 5435 \h</w:instrText>
        </w:r>
        <w:r>
          <w:fldChar w:fldCharType="end"/>
        </w:r>
      </w:hyperlink>
    </w:p>
    <w:p>
      <w:pPr>
        <w:tabs>
          <w:tab w:val="right" w:leader="dot" w:pos="9062"/>
        </w:tabs>
        <w:ind w:left="440"/>
      </w:pPr>
      <w:hyperlink w:anchor="_Toc5436" w:history="1">
        <w:r>
          <w:rPr>
            <w:rFonts w:ascii="IRNazanin" w:hAnsi="IRNazanin" w:eastAsia="IRNazanin" w:cs="IRNazanin"/>
            <w:color w:val="111111"/>
            <w:sz w:val="22"/>
            <w:szCs w:val="22"/>
            <w:b w:val="0"/>
            <w:bCs w:val="0"/>
            <w:i w:val="0"/>
            <w:iCs w:val="0"/>
          </w:rPr>
          <w:t>دیوان علی بن محمد التهامی‏</w:t>
        </w:r>
        <w:r>
          <w:tab/>
        </w:r>
        <w:r>
          <w:fldChar w:fldCharType="begin"/>
        </w:r>
        <w:r>
          <w:instrText xml:space="preserve">PAGEREF 5436 \h</w:instrText>
        </w:r>
        <w:r>
          <w:fldChar w:fldCharType="end"/>
        </w:r>
      </w:hyperlink>
    </w:p>
    <w:p>
      <w:pPr>
        <w:tabs>
          <w:tab w:val="right" w:leader="dot" w:pos="9062"/>
        </w:tabs>
        <w:ind w:left="440"/>
      </w:pPr>
      <w:hyperlink w:anchor="_Toc5437" w:history="1">
        <w:r>
          <w:rPr>
            <w:rFonts w:ascii="IRNazanin" w:hAnsi="IRNazanin" w:eastAsia="IRNazanin" w:cs="IRNazanin"/>
            <w:color w:val="111111"/>
            <w:sz w:val="22"/>
            <w:szCs w:val="22"/>
            <w:b w:val="0"/>
            <w:bCs w:val="0"/>
            <w:i w:val="0"/>
            <w:iCs w:val="0"/>
          </w:rPr>
          <w:t>5092- دیوان علی بن محمد الحریری أو شعره‏</w:t>
        </w:r>
        <w:r>
          <w:tab/>
        </w:r>
        <w:r>
          <w:fldChar w:fldCharType="begin"/>
        </w:r>
        <w:r>
          <w:instrText xml:space="preserve">PAGEREF 5437 \h</w:instrText>
        </w:r>
        <w:r>
          <w:fldChar w:fldCharType="end"/>
        </w:r>
      </w:hyperlink>
    </w:p>
    <w:p>
      <w:pPr>
        <w:tabs>
          <w:tab w:val="right" w:leader="dot" w:pos="9062"/>
        </w:tabs>
        <w:ind w:left="440"/>
      </w:pPr>
      <w:hyperlink w:anchor="_Toc5438" w:history="1">
        <w:r>
          <w:rPr>
            <w:rFonts w:ascii="IRNazanin" w:hAnsi="IRNazanin" w:eastAsia="IRNazanin" w:cs="IRNazanin"/>
            <w:color w:val="111111"/>
            <w:sz w:val="22"/>
            <w:szCs w:val="22"/>
            <w:b w:val="0"/>
            <w:bCs w:val="0"/>
            <w:i w:val="0"/>
            <w:iCs w:val="0"/>
          </w:rPr>
          <w:t>دیوان علی بن محمد الحمانی‏</w:t>
        </w:r>
        <w:r>
          <w:tab/>
        </w:r>
        <w:r>
          <w:fldChar w:fldCharType="begin"/>
        </w:r>
        <w:r>
          <w:instrText xml:space="preserve">PAGEREF 5438 \h</w:instrText>
        </w:r>
        <w:r>
          <w:fldChar w:fldCharType="end"/>
        </w:r>
      </w:hyperlink>
    </w:p>
    <w:p>
      <w:pPr>
        <w:tabs>
          <w:tab w:val="right" w:leader="dot" w:pos="9062"/>
        </w:tabs>
        <w:ind w:left="440"/>
      </w:pPr>
      <w:hyperlink w:anchor="_Toc5439" w:history="1">
        <w:r>
          <w:rPr>
            <w:rFonts w:ascii="IRNazanin" w:hAnsi="IRNazanin" w:eastAsia="IRNazanin" w:cs="IRNazanin"/>
            <w:color w:val="111111"/>
            <w:sz w:val="22"/>
            <w:szCs w:val="22"/>
            <w:b w:val="0"/>
            <w:bCs w:val="0"/>
            <w:i w:val="0"/>
            <w:iCs w:val="0"/>
          </w:rPr>
          <w:t>5093- دیوان علی محمد الصنعانی أو شعره‏</w:t>
        </w:r>
        <w:r>
          <w:tab/>
        </w:r>
        <w:r>
          <w:fldChar w:fldCharType="begin"/>
        </w:r>
        <w:r>
          <w:instrText xml:space="preserve">PAGEREF 5439 \h</w:instrText>
        </w:r>
        <w:r>
          <w:fldChar w:fldCharType="end"/>
        </w:r>
      </w:hyperlink>
    </w:p>
    <w:p>
      <w:pPr>
        <w:tabs>
          <w:tab w:val="right" w:leader="dot" w:pos="9062"/>
        </w:tabs>
        <w:ind w:left="440"/>
      </w:pPr>
      <w:hyperlink w:anchor="_Toc5440" w:history="1">
        <w:r>
          <w:rPr>
            <w:rFonts w:ascii="IRNazanin" w:hAnsi="IRNazanin" w:eastAsia="IRNazanin" w:cs="IRNazanin"/>
            <w:color w:val="111111"/>
            <w:sz w:val="22"/>
            <w:szCs w:val="22"/>
            <w:b w:val="0"/>
            <w:bCs w:val="0"/>
            <w:i w:val="0"/>
            <w:iCs w:val="0"/>
          </w:rPr>
          <w:t>دیوان المیرزا محمد علی الأردوبادی‏</w:t>
        </w:r>
        <w:r>
          <w:tab/>
        </w:r>
        <w:r>
          <w:fldChar w:fldCharType="begin"/>
        </w:r>
        <w:r>
          <w:instrText xml:space="preserve">PAGEREF 5440 \h</w:instrText>
        </w:r>
        <w:r>
          <w:fldChar w:fldCharType="end"/>
        </w:r>
      </w:hyperlink>
    </w:p>
    <w:p>
      <w:pPr>
        <w:tabs>
          <w:tab w:val="right" w:leader="dot" w:pos="9062"/>
        </w:tabs>
        <w:ind w:left="440"/>
      </w:pPr>
      <w:hyperlink w:anchor="_Toc5441" w:history="1">
        <w:r>
          <w:rPr>
            <w:rFonts w:ascii="IRNazanin" w:hAnsi="IRNazanin" w:eastAsia="IRNazanin" w:cs="IRNazanin"/>
            <w:color w:val="111111"/>
            <w:sz w:val="22"/>
            <w:szCs w:val="22"/>
            <w:b w:val="0"/>
            <w:bCs w:val="0"/>
            <w:i w:val="0"/>
            <w:iCs w:val="0"/>
          </w:rPr>
          <w:t>دیوان الأمیر الکبیر علی بن مقرب البحرانی‏</w:t>
        </w:r>
        <w:r>
          <w:tab/>
        </w:r>
        <w:r>
          <w:fldChar w:fldCharType="begin"/>
        </w:r>
        <w:r>
          <w:instrText xml:space="preserve">PAGEREF 5441 \h</w:instrText>
        </w:r>
        <w:r>
          <w:fldChar w:fldCharType="end"/>
        </w:r>
      </w:hyperlink>
    </w:p>
    <w:p>
      <w:pPr>
        <w:tabs>
          <w:tab w:val="right" w:leader="dot" w:pos="9062"/>
        </w:tabs>
        <w:ind w:left="440"/>
      </w:pPr>
      <w:hyperlink w:anchor="_Toc5442" w:history="1">
        <w:r>
          <w:rPr>
            <w:rFonts w:ascii="IRNazanin" w:hAnsi="IRNazanin" w:eastAsia="IRNazanin" w:cs="IRNazanin"/>
            <w:color w:val="111111"/>
            <w:sz w:val="22"/>
            <w:szCs w:val="22"/>
            <w:b w:val="0"/>
            <w:bCs w:val="0"/>
            <w:i w:val="0"/>
            <w:iCs w:val="0"/>
          </w:rPr>
          <w:t>5094- دیوان علی بن ناصر بن زیدان العاملی المعرکی‏</w:t>
        </w:r>
        <w:r>
          <w:tab/>
        </w:r>
        <w:r>
          <w:fldChar w:fldCharType="begin"/>
        </w:r>
        <w:r>
          <w:instrText xml:space="preserve">PAGEREF 5442 \h</w:instrText>
        </w:r>
        <w:r>
          <w:fldChar w:fldCharType="end"/>
        </w:r>
      </w:hyperlink>
    </w:p>
    <w:p>
      <w:pPr>
        <w:tabs>
          <w:tab w:val="right" w:leader="dot" w:pos="9062"/>
        </w:tabs>
        <w:ind w:left="440"/>
      </w:pPr>
      <w:hyperlink w:anchor="_Toc5443" w:history="1">
        <w:r>
          <w:rPr>
            <w:rFonts w:ascii="IRNazanin" w:hAnsi="IRNazanin" w:eastAsia="IRNazanin" w:cs="IRNazanin"/>
            <w:color w:val="111111"/>
            <w:sz w:val="22"/>
            <w:szCs w:val="22"/>
            <w:b w:val="0"/>
            <w:bCs w:val="0"/>
            <w:i w:val="0"/>
            <w:iCs w:val="0"/>
          </w:rPr>
          <w:t>5095- دیوان علی بن نصر التمیمی أو شعره‏</w:t>
        </w:r>
        <w:r>
          <w:tab/>
        </w:r>
        <w:r>
          <w:fldChar w:fldCharType="begin"/>
        </w:r>
        <w:r>
          <w:instrText xml:space="preserve">PAGEREF 5443 \h</w:instrText>
        </w:r>
        <w:r>
          <w:fldChar w:fldCharType="end"/>
        </w:r>
      </w:hyperlink>
    </w:p>
    <w:p>
      <w:pPr>
        <w:tabs>
          <w:tab w:val="right" w:leader="dot" w:pos="9062"/>
        </w:tabs>
        <w:ind w:left="440"/>
      </w:pPr>
      <w:hyperlink w:anchor="_Toc5444" w:history="1">
        <w:r>
          <w:rPr>
            <w:rFonts w:ascii="IRNazanin" w:hAnsi="IRNazanin" w:eastAsia="IRNazanin" w:cs="IRNazanin"/>
            <w:color w:val="111111"/>
            <w:sz w:val="22"/>
            <w:szCs w:val="22"/>
            <w:b w:val="0"/>
            <w:bCs w:val="0"/>
            <w:i w:val="0"/>
            <w:iCs w:val="0"/>
          </w:rPr>
          <w:t>5096- دیوان علی بن النعمان المغربی‏</w:t>
        </w:r>
        <w:r>
          <w:tab/>
        </w:r>
        <w:r>
          <w:fldChar w:fldCharType="begin"/>
        </w:r>
        <w:r>
          <w:instrText xml:space="preserve">PAGEREF 5444 \h</w:instrText>
        </w:r>
        <w:r>
          <w:fldChar w:fldCharType="end"/>
        </w:r>
      </w:hyperlink>
    </w:p>
    <w:p>
      <w:pPr>
        <w:tabs>
          <w:tab w:val="right" w:leader="dot" w:pos="9062"/>
        </w:tabs>
        <w:ind w:left="440"/>
      </w:pPr>
      <w:hyperlink w:anchor="_Toc5445" w:history="1">
        <w:r>
          <w:rPr>
            <w:rFonts w:ascii="IRNazanin" w:hAnsi="IRNazanin" w:eastAsia="IRNazanin" w:cs="IRNazanin"/>
            <w:color w:val="111111"/>
            <w:sz w:val="22"/>
            <w:szCs w:val="22"/>
            <w:b w:val="0"/>
            <w:bCs w:val="0"/>
            <w:i w:val="0"/>
            <w:iCs w:val="0"/>
          </w:rPr>
          <w:t>5097- دیوان الشیخ محمد علی بن الشیخ یعقوب‏</w:t>
        </w:r>
        <w:r>
          <w:tab/>
        </w:r>
        <w:r>
          <w:fldChar w:fldCharType="begin"/>
        </w:r>
        <w:r>
          <w:instrText xml:space="preserve">PAGEREF 5445 \h</w:instrText>
        </w:r>
        <w:r>
          <w:fldChar w:fldCharType="end"/>
        </w:r>
      </w:hyperlink>
    </w:p>
    <w:p>
      <w:pPr>
        <w:tabs>
          <w:tab w:val="right" w:leader="dot" w:pos="9062"/>
        </w:tabs>
        <w:ind w:left="440"/>
      </w:pPr>
      <w:hyperlink w:anchor="_Toc5446" w:history="1">
        <w:r>
          <w:rPr>
            <w:rFonts w:ascii="IRNazanin" w:hAnsi="IRNazanin" w:eastAsia="IRNazanin" w:cs="IRNazanin"/>
            <w:color w:val="111111"/>
            <w:sz w:val="22"/>
            <w:szCs w:val="22"/>
            <w:b w:val="0"/>
            <w:bCs w:val="0"/>
            <w:i w:val="0"/>
            <w:iCs w:val="0"/>
          </w:rPr>
          <w:t>دیوان علی بن یوسف‏</w:t>
        </w:r>
        <w:r>
          <w:tab/>
        </w:r>
        <w:r>
          <w:fldChar w:fldCharType="begin"/>
        </w:r>
        <w:r>
          <w:instrText xml:space="preserve">PAGEREF 5446 \h</w:instrText>
        </w:r>
        <w:r>
          <w:fldChar w:fldCharType="end"/>
        </w:r>
      </w:hyperlink>
    </w:p>
    <w:p>
      <w:pPr>
        <w:tabs>
          <w:tab w:val="right" w:leader="dot" w:pos="9062"/>
        </w:tabs>
        <w:ind w:left="440"/>
      </w:pPr>
      <w:hyperlink w:anchor="_Toc5447" w:history="1">
        <w:r>
          <w:rPr>
            <w:rFonts w:ascii="IRNazanin" w:hAnsi="IRNazanin" w:eastAsia="IRNazanin" w:cs="IRNazanin"/>
            <w:color w:val="111111"/>
            <w:sz w:val="22"/>
            <w:szCs w:val="22"/>
            <w:b w:val="0"/>
            <w:bCs w:val="0"/>
            <w:i w:val="0"/>
            <w:iCs w:val="0"/>
          </w:rPr>
          <w:t>دیوان الشیخ علی الأبیوردی‏</w:t>
        </w:r>
        <w:r>
          <w:tab/>
        </w:r>
        <w:r>
          <w:fldChar w:fldCharType="begin"/>
        </w:r>
        <w:r>
          <w:instrText xml:space="preserve">PAGEREF 5447 \h</w:instrText>
        </w:r>
        <w:r>
          <w:fldChar w:fldCharType="end"/>
        </w:r>
      </w:hyperlink>
    </w:p>
    <w:p>
      <w:pPr>
        <w:tabs>
          <w:tab w:val="right" w:leader="dot" w:pos="9062"/>
        </w:tabs>
        <w:ind w:left="440"/>
      </w:pPr>
      <w:hyperlink w:anchor="_Toc5448" w:history="1">
        <w:r>
          <w:rPr>
            <w:rFonts w:ascii="IRNazanin" w:hAnsi="IRNazanin" w:eastAsia="IRNazanin" w:cs="IRNazanin"/>
            <w:color w:val="111111"/>
            <w:sz w:val="22"/>
            <w:szCs w:val="22"/>
            <w:b w:val="0"/>
            <w:bCs w:val="0"/>
            <w:i w:val="0"/>
            <w:iCs w:val="0"/>
          </w:rPr>
          <w:t>5098- دیوان محمد علی أدیب طهرانی أو شعره‏</w:t>
        </w:r>
        <w:r>
          <w:tab/>
        </w:r>
        <w:r>
          <w:fldChar w:fldCharType="begin"/>
        </w:r>
        <w:r>
          <w:instrText xml:space="preserve">PAGEREF 5448 \h</w:instrText>
        </w:r>
        <w:r>
          <w:fldChar w:fldCharType="end"/>
        </w:r>
      </w:hyperlink>
    </w:p>
    <w:p>
      <w:pPr>
        <w:tabs>
          <w:tab w:val="right" w:leader="dot" w:pos="9062"/>
        </w:tabs>
        <w:ind w:left="440"/>
      </w:pPr>
      <w:hyperlink w:anchor="_Toc5449" w:history="1">
        <w:r>
          <w:rPr>
            <w:rFonts w:ascii="IRNazanin" w:hAnsi="IRNazanin" w:eastAsia="IRNazanin" w:cs="IRNazanin"/>
            <w:color w:val="111111"/>
            <w:sz w:val="22"/>
            <w:szCs w:val="22"/>
            <w:b w:val="0"/>
            <w:bCs w:val="0"/>
            <w:i w:val="0"/>
            <w:iCs w:val="0"/>
          </w:rPr>
          <w:t>5099- دیوان علی أسترآبادی أو شعره‏</w:t>
        </w:r>
        <w:r>
          <w:tab/>
        </w:r>
        <w:r>
          <w:fldChar w:fldCharType="begin"/>
        </w:r>
        <w:r>
          <w:instrText xml:space="preserve">PAGEREF 5449 \h</w:instrText>
        </w:r>
        <w:r>
          <w:fldChar w:fldCharType="end"/>
        </w:r>
      </w:hyperlink>
    </w:p>
    <w:p>
      <w:pPr>
        <w:tabs>
          <w:tab w:val="right" w:leader="dot" w:pos="9062"/>
        </w:tabs>
        <w:ind w:left="440"/>
      </w:pPr>
      <w:hyperlink w:anchor="_Toc5450" w:history="1">
        <w:r>
          <w:rPr>
            <w:rFonts w:ascii="IRNazanin" w:hAnsi="IRNazanin" w:eastAsia="IRNazanin" w:cs="IRNazanin"/>
            <w:color w:val="111111"/>
            <w:sz w:val="22"/>
            <w:szCs w:val="22"/>
            <w:b w:val="0"/>
            <w:bCs w:val="0"/>
            <w:i w:val="0"/>
            <w:iCs w:val="0"/>
          </w:rPr>
          <w:t>دیوان علی أسترآبادی‏</w:t>
        </w:r>
        <w:r>
          <w:tab/>
        </w:r>
        <w:r>
          <w:fldChar w:fldCharType="begin"/>
        </w:r>
        <w:r>
          <w:instrText xml:space="preserve">PAGEREF 5450 \h</w:instrText>
        </w:r>
        <w:r>
          <w:fldChar w:fldCharType="end"/>
        </w:r>
      </w:hyperlink>
    </w:p>
    <w:p>
      <w:pPr>
        <w:tabs>
          <w:tab w:val="right" w:leader="dot" w:pos="9062"/>
        </w:tabs>
        <w:ind w:left="440"/>
      </w:pPr>
      <w:hyperlink w:anchor="_Toc5451" w:history="1">
        <w:r>
          <w:rPr>
            <w:rFonts w:ascii="IRNazanin" w:hAnsi="IRNazanin" w:eastAsia="IRNazanin" w:cs="IRNazanin"/>
            <w:color w:val="111111"/>
            <w:sz w:val="22"/>
            <w:szCs w:val="22"/>
            <w:b w:val="0"/>
            <w:bCs w:val="0"/>
            <w:i w:val="0"/>
            <w:iCs w:val="0"/>
          </w:rPr>
          <w:t>5100- دیوان علی أصغر أشجاری‏</w:t>
        </w:r>
        <w:r>
          <w:tab/>
        </w:r>
        <w:r>
          <w:fldChar w:fldCharType="begin"/>
        </w:r>
        <w:r>
          <w:instrText xml:space="preserve">PAGEREF 5451 \h</w:instrText>
        </w:r>
        <w:r>
          <w:fldChar w:fldCharType="end"/>
        </w:r>
      </w:hyperlink>
    </w:p>
    <w:p>
      <w:pPr>
        <w:tabs>
          <w:tab w:val="right" w:leader="dot" w:pos="9062"/>
        </w:tabs>
        <w:ind w:left="440"/>
      </w:pPr>
      <w:hyperlink w:anchor="_Toc5452" w:history="1">
        <w:r>
          <w:rPr>
            <w:rFonts w:ascii="IRNazanin" w:hAnsi="IRNazanin" w:eastAsia="IRNazanin" w:cs="IRNazanin"/>
            <w:color w:val="111111"/>
            <w:sz w:val="22"/>
            <w:szCs w:val="22"/>
            <w:b w:val="0"/>
            <w:bCs w:val="0"/>
            <w:i w:val="0"/>
            <w:iCs w:val="0"/>
          </w:rPr>
          <w:t>5101- دیوان علی أصغر حکمت شیرازی‏</w:t>
        </w:r>
        <w:r>
          <w:tab/>
        </w:r>
        <w:r>
          <w:fldChar w:fldCharType="begin"/>
        </w:r>
        <w:r>
          <w:instrText xml:space="preserve">PAGEREF 5452 \h</w:instrText>
        </w:r>
        <w:r>
          <w:fldChar w:fldCharType="end"/>
        </w:r>
      </w:hyperlink>
    </w:p>
    <w:p>
      <w:pPr>
        <w:tabs>
          <w:tab w:val="right" w:leader="dot" w:pos="9062"/>
        </w:tabs>
        <w:ind w:left="440"/>
      </w:pPr>
      <w:hyperlink w:anchor="_Toc5453" w:history="1">
        <w:r>
          <w:rPr>
            <w:rFonts w:ascii="IRNazanin" w:hAnsi="IRNazanin" w:eastAsia="IRNazanin" w:cs="IRNazanin"/>
            <w:color w:val="111111"/>
            <w:sz w:val="22"/>
            <w:szCs w:val="22"/>
            <w:b w:val="0"/>
            <w:bCs w:val="0"/>
            <w:i w:val="0"/>
            <w:iCs w:val="0"/>
          </w:rPr>
          <w:t>دیوان علی أصغر شمشیرگر</w:t>
        </w:r>
        <w:r>
          <w:tab/>
        </w:r>
        <w:r>
          <w:fldChar w:fldCharType="begin"/>
        </w:r>
        <w:r>
          <w:instrText xml:space="preserve">PAGEREF 5453 \h</w:instrText>
        </w:r>
        <w:r>
          <w:fldChar w:fldCharType="end"/>
        </w:r>
      </w:hyperlink>
    </w:p>
    <w:p>
      <w:pPr>
        <w:tabs>
          <w:tab w:val="right" w:leader="dot" w:pos="9062"/>
        </w:tabs>
        <w:ind w:left="440"/>
      </w:pPr>
      <w:hyperlink w:anchor="_Toc5454" w:history="1">
        <w:r>
          <w:rPr>
            <w:rFonts w:ascii="IRNazanin" w:hAnsi="IRNazanin" w:eastAsia="IRNazanin" w:cs="IRNazanin"/>
            <w:color w:val="111111"/>
            <w:sz w:val="22"/>
            <w:szCs w:val="22"/>
            <w:b w:val="0"/>
            <w:bCs w:val="0"/>
            <w:i w:val="0"/>
            <w:iCs w:val="0"/>
          </w:rPr>
          <w:t>5102- دیوان علی أصغر شیرازی أو شعره‏</w:t>
        </w:r>
        <w:r>
          <w:tab/>
        </w:r>
        <w:r>
          <w:fldChar w:fldCharType="begin"/>
        </w:r>
        <w:r>
          <w:instrText xml:space="preserve">PAGEREF 5454 \h</w:instrText>
        </w:r>
        <w:r>
          <w:fldChar w:fldCharType="end"/>
        </w:r>
      </w:hyperlink>
    </w:p>
    <w:p>
      <w:pPr>
        <w:tabs>
          <w:tab w:val="right" w:leader="dot" w:pos="9062"/>
        </w:tabs>
        <w:ind w:left="440"/>
      </w:pPr>
      <w:hyperlink w:anchor="_Toc5455" w:history="1">
        <w:r>
          <w:rPr>
            <w:rFonts w:ascii="IRNazanin" w:hAnsi="IRNazanin" w:eastAsia="IRNazanin" w:cs="IRNazanin"/>
            <w:color w:val="111111"/>
            <w:sz w:val="22"/>
            <w:szCs w:val="22"/>
            <w:b w:val="0"/>
            <w:bCs w:val="0"/>
            <w:i w:val="0"/>
            <w:iCs w:val="0"/>
          </w:rPr>
          <w:t>5103- دیوان علی أصغر شیرازی أو شعره‏</w:t>
        </w:r>
        <w:r>
          <w:tab/>
        </w:r>
        <w:r>
          <w:fldChar w:fldCharType="begin"/>
        </w:r>
        <w:r>
          <w:instrText xml:space="preserve">PAGEREF 5455 \h</w:instrText>
        </w:r>
        <w:r>
          <w:fldChar w:fldCharType="end"/>
        </w:r>
      </w:hyperlink>
    </w:p>
    <w:p>
      <w:pPr>
        <w:tabs>
          <w:tab w:val="right" w:leader="dot" w:pos="9062"/>
        </w:tabs>
        <w:ind w:left="440"/>
      </w:pPr>
      <w:hyperlink w:anchor="_Toc5456" w:history="1">
        <w:r>
          <w:rPr>
            <w:rFonts w:ascii="IRNazanin" w:hAnsi="IRNazanin" w:eastAsia="IRNazanin" w:cs="IRNazanin"/>
            <w:color w:val="111111"/>
            <w:sz w:val="22"/>
            <w:szCs w:val="22"/>
            <w:b w:val="0"/>
            <w:bCs w:val="0"/>
            <w:i w:val="0"/>
            <w:iCs w:val="0"/>
          </w:rPr>
          <w:t>دیوان علی أصغر قهپایه‏</w:t>
        </w:r>
        <w:r>
          <w:tab/>
        </w:r>
        <w:r>
          <w:fldChar w:fldCharType="begin"/>
        </w:r>
        <w:r>
          <w:instrText xml:space="preserve">PAGEREF 5456 \h</w:instrText>
        </w:r>
        <w:r>
          <w:fldChar w:fldCharType="end"/>
        </w:r>
      </w:hyperlink>
    </w:p>
    <w:p>
      <w:pPr>
        <w:tabs>
          <w:tab w:val="right" w:leader="dot" w:pos="9062"/>
        </w:tabs>
        <w:ind w:left="440"/>
      </w:pPr>
      <w:hyperlink w:anchor="_Toc5457" w:history="1">
        <w:r>
          <w:rPr>
            <w:rFonts w:ascii="IRNazanin" w:hAnsi="IRNazanin" w:eastAsia="IRNazanin" w:cs="IRNazanin"/>
            <w:color w:val="111111"/>
            <w:sz w:val="22"/>
            <w:szCs w:val="22"/>
            <w:b w:val="0"/>
            <w:bCs w:val="0"/>
            <w:i w:val="0"/>
            <w:iCs w:val="0"/>
          </w:rPr>
          <w:t>5104- دیوان علی أصغر نهاوندی‏</w:t>
        </w:r>
        <w:r>
          <w:tab/>
        </w:r>
        <w:r>
          <w:fldChar w:fldCharType="begin"/>
        </w:r>
        <w:r>
          <w:instrText xml:space="preserve">PAGEREF 5457 \h</w:instrText>
        </w:r>
        <w:r>
          <w:fldChar w:fldCharType="end"/>
        </w:r>
      </w:hyperlink>
    </w:p>
    <w:p>
      <w:pPr>
        <w:tabs>
          <w:tab w:val="right" w:leader="dot" w:pos="9062"/>
        </w:tabs>
        <w:ind w:left="440"/>
      </w:pPr>
      <w:hyperlink w:anchor="_Toc5458" w:history="1">
        <w:r>
          <w:rPr>
            <w:rFonts w:ascii="IRNazanin" w:hAnsi="IRNazanin" w:eastAsia="IRNazanin" w:cs="IRNazanin"/>
            <w:color w:val="111111"/>
            <w:sz w:val="22"/>
            <w:szCs w:val="22"/>
            <w:b w:val="0"/>
            <w:bCs w:val="0"/>
            <w:i w:val="0"/>
            <w:iCs w:val="0"/>
          </w:rPr>
          <w:t>دیوان علی أصفهانی‏</w:t>
        </w:r>
        <w:r>
          <w:tab/>
        </w:r>
        <w:r>
          <w:fldChar w:fldCharType="begin"/>
        </w:r>
        <w:r>
          <w:instrText xml:space="preserve">PAGEREF 5458 \h</w:instrText>
        </w:r>
        <w:r>
          <w:fldChar w:fldCharType="end"/>
        </w:r>
      </w:hyperlink>
    </w:p>
    <w:p>
      <w:pPr>
        <w:tabs>
          <w:tab w:val="right" w:leader="dot" w:pos="9062"/>
        </w:tabs>
        <w:ind w:left="440"/>
      </w:pPr>
      <w:hyperlink w:anchor="_Toc5459" w:history="1">
        <w:r>
          <w:rPr>
            <w:rFonts w:ascii="IRNazanin" w:hAnsi="IRNazanin" w:eastAsia="IRNazanin" w:cs="IRNazanin"/>
            <w:color w:val="111111"/>
            <w:sz w:val="22"/>
            <w:szCs w:val="22"/>
            <w:b w:val="0"/>
            <w:bCs w:val="0"/>
            <w:i w:val="0"/>
            <w:iCs w:val="0"/>
          </w:rPr>
          <w:t>5105- دیوان علی أصفهانی‏</w:t>
        </w:r>
        <w:r>
          <w:tab/>
        </w:r>
        <w:r>
          <w:fldChar w:fldCharType="begin"/>
        </w:r>
        <w:r>
          <w:instrText xml:space="preserve">PAGEREF 5459 \h</w:instrText>
        </w:r>
        <w:r>
          <w:fldChar w:fldCharType="end"/>
        </w:r>
      </w:hyperlink>
    </w:p>
    <w:p>
      <w:pPr>
        <w:tabs>
          <w:tab w:val="right" w:leader="dot" w:pos="9062"/>
        </w:tabs>
        <w:ind w:left="440"/>
      </w:pPr>
      <w:hyperlink w:anchor="_Toc5460" w:history="1">
        <w:r>
          <w:rPr>
            <w:rFonts w:ascii="IRNazanin" w:hAnsi="IRNazanin" w:eastAsia="IRNazanin" w:cs="IRNazanin"/>
            <w:color w:val="111111"/>
            <w:sz w:val="22"/>
            <w:szCs w:val="22"/>
            <w:b w:val="0"/>
            <w:bCs w:val="0"/>
            <w:i w:val="0"/>
            <w:iCs w:val="0"/>
          </w:rPr>
          <w:t>دیوان الشیخ علی الأعسم‏</w:t>
        </w:r>
        <w:r>
          <w:tab/>
        </w:r>
        <w:r>
          <w:fldChar w:fldCharType="begin"/>
        </w:r>
        <w:r>
          <w:instrText xml:space="preserve">PAGEREF 5460 \h</w:instrText>
        </w:r>
        <w:r>
          <w:fldChar w:fldCharType="end"/>
        </w:r>
      </w:hyperlink>
    </w:p>
    <w:p>
      <w:pPr>
        <w:tabs>
          <w:tab w:val="right" w:leader="dot" w:pos="9062"/>
        </w:tabs>
        <w:ind w:left="440"/>
      </w:pPr>
      <w:hyperlink w:anchor="_Toc5461" w:history="1">
        <w:r>
          <w:rPr>
            <w:rFonts w:ascii="IRNazanin" w:hAnsi="IRNazanin" w:eastAsia="IRNazanin" w:cs="IRNazanin"/>
            <w:color w:val="111111"/>
            <w:sz w:val="22"/>
            <w:szCs w:val="22"/>
            <w:b w:val="0"/>
            <w:bCs w:val="0"/>
            <w:i w:val="0"/>
            <w:iCs w:val="0"/>
          </w:rPr>
          <w:t>دیوان علی أکبر</w:t>
        </w:r>
        <w:r>
          <w:tab/>
        </w:r>
        <w:r>
          <w:fldChar w:fldCharType="begin"/>
        </w:r>
        <w:r>
          <w:instrText xml:space="preserve">PAGEREF 5461 \h</w:instrText>
        </w:r>
        <w:r>
          <w:fldChar w:fldCharType="end"/>
        </w:r>
      </w:hyperlink>
    </w:p>
    <w:p>
      <w:pPr>
        <w:tabs>
          <w:tab w:val="right" w:leader="dot" w:pos="9062"/>
        </w:tabs>
        <w:ind w:left="440"/>
      </w:pPr>
      <w:hyperlink w:anchor="_Toc5462" w:history="1">
        <w:r>
          <w:rPr>
            <w:rFonts w:ascii="IRNazanin" w:hAnsi="IRNazanin" w:eastAsia="IRNazanin" w:cs="IRNazanin"/>
            <w:color w:val="111111"/>
            <w:sz w:val="22"/>
            <w:szCs w:val="22"/>
            <w:b w:val="0"/>
            <w:bCs w:val="0"/>
            <w:i w:val="0"/>
            <w:iCs w:val="0"/>
          </w:rPr>
          <w:t>دیوان علی أکبر بروجردی‏</w:t>
        </w:r>
        <w:r>
          <w:tab/>
        </w:r>
        <w:r>
          <w:fldChar w:fldCharType="begin"/>
        </w:r>
        <w:r>
          <w:instrText xml:space="preserve">PAGEREF 5462 \h</w:instrText>
        </w:r>
        <w:r>
          <w:fldChar w:fldCharType="end"/>
        </w:r>
      </w:hyperlink>
    </w:p>
    <w:p>
      <w:pPr>
        <w:tabs>
          <w:tab w:val="right" w:leader="dot" w:pos="9062"/>
        </w:tabs>
        <w:ind w:left="440"/>
      </w:pPr>
      <w:hyperlink w:anchor="_Toc5463" w:history="1">
        <w:r>
          <w:rPr>
            <w:rFonts w:ascii="IRNazanin" w:hAnsi="IRNazanin" w:eastAsia="IRNazanin" w:cs="IRNazanin"/>
            <w:color w:val="111111"/>
            <w:sz w:val="22"/>
            <w:szCs w:val="22"/>
            <w:b w:val="0"/>
            <w:bCs w:val="0"/>
            <w:i w:val="0"/>
            <w:iCs w:val="0"/>
          </w:rPr>
          <w:t>5106- دیوان علی أکبر خوش‏دل‏</w:t>
        </w:r>
        <w:r>
          <w:tab/>
        </w:r>
        <w:r>
          <w:fldChar w:fldCharType="begin"/>
        </w:r>
        <w:r>
          <w:instrText xml:space="preserve">PAGEREF 5463 \h</w:instrText>
        </w:r>
        <w:r>
          <w:fldChar w:fldCharType="end"/>
        </w:r>
      </w:hyperlink>
    </w:p>
    <w:p>
      <w:pPr>
        <w:tabs>
          <w:tab w:val="right" w:leader="dot" w:pos="9062"/>
        </w:tabs>
        <w:ind w:left="440"/>
      </w:pPr>
      <w:hyperlink w:anchor="_Toc5464" w:history="1">
        <w:r>
          <w:rPr>
            <w:rFonts w:ascii="IRNazanin" w:hAnsi="IRNazanin" w:eastAsia="IRNazanin" w:cs="IRNazanin"/>
            <w:color w:val="111111"/>
            <w:sz w:val="22"/>
            <w:szCs w:val="22"/>
            <w:b w:val="0"/>
            <w:bCs w:val="0"/>
            <w:i w:val="0"/>
            <w:iCs w:val="0"/>
          </w:rPr>
          <w:t>5107- دیوان علی أکبر سعیدی سیرجانی‏</w:t>
        </w:r>
        <w:r>
          <w:tab/>
        </w:r>
        <w:r>
          <w:fldChar w:fldCharType="begin"/>
        </w:r>
        <w:r>
          <w:instrText xml:space="preserve">PAGEREF 5464 \h</w:instrText>
        </w:r>
        <w:r>
          <w:fldChar w:fldCharType="end"/>
        </w:r>
      </w:hyperlink>
    </w:p>
    <w:p>
      <w:pPr>
        <w:tabs>
          <w:tab w:val="right" w:leader="dot" w:pos="9062"/>
        </w:tabs>
        <w:ind w:left="440"/>
      </w:pPr>
      <w:hyperlink w:anchor="_Toc5465" w:history="1">
        <w:r>
          <w:rPr>
            <w:rFonts w:ascii="IRNazanin" w:hAnsi="IRNazanin" w:eastAsia="IRNazanin" w:cs="IRNazanin"/>
            <w:color w:val="111111"/>
            <w:sz w:val="22"/>
            <w:szCs w:val="22"/>
            <w:b w:val="0"/>
            <w:bCs w:val="0"/>
            <w:i w:val="0"/>
            <w:iCs w:val="0"/>
          </w:rPr>
          <w:t>دیوان علی أکبر شیرازی‏</w:t>
        </w:r>
        <w:r>
          <w:tab/>
        </w:r>
        <w:r>
          <w:fldChar w:fldCharType="begin"/>
        </w:r>
        <w:r>
          <w:instrText xml:space="preserve">PAGEREF 5465 \h</w:instrText>
        </w:r>
        <w:r>
          <w:fldChar w:fldCharType="end"/>
        </w:r>
      </w:hyperlink>
    </w:p>
    <w:p>
      <w:pPr>
        <w:tabs>
          <w:tab w:val="right" w:leader="dot" w:pos="9062"/>
        </w:tabs>
        <w:ind w:left="440"/>
      </w:pPr>
      <w:hyperlink w:anchor="_Toc5466" w:history="1">
        <w:r>
          <w:rPr>
            <w:rFonts w:ascii="IRNazanin" w:hAnsi="IRNazanin" w:eastAsia="IRNazanin" w:cs="IRNazanin"/>
            <w:color w:val="111111"/>
            <w:sz w:val="22"/>
            <w:szCs w:val="22"/>
            <w:b w:val="0"/>
            <w:bCs w:val="0"/>
            <w:i w:val="0"/>
            <w:iCs w:val="0"/>
          </w:rPr>
          <w:t>5108- دیوان علی أکبر فردوسی‏</w:t>
        </w:r>
        <w:r>
          <w:tab/>
        </w:r>
        <w:r>
          <w:fldChar w:fldCharType="begin"/>
        </w:r>
        <w:r>
          <w:instrText xml:space="preserve">PAGEREF 5466 \h</w:instrText>
        </w:r>
        <w:r>
          <w:fldChar w:fldCharType="end"/>
        </w:r>
      </w:hyperlink>
    </w:p>
    <w:p>
      <w:pPr>
        <w:tabs>
          <w:tab w:val="right" w:leader="dot" w:pos="9062"/>
        </w:tabs>
        <w:ind w:left="440"/>
      </w:pPr>
      <w:hyperlink w:anchor="_Toc5467" w:history="1">
        <w:r>
          <w:rPr>
            <w:rFonts w:ascii="IRNazanin" w:hAnsi="IRNazanin" w:eastAsia="IRNazanin" w:cs="IRNazanin"/>
            <w:color w:val="111111"/>
            <w:sz w:val="22"/>
            <w:szCs w:val="22"/>
            <w:b w:val="0"/>
            <w:bCs w:val="0"/>
            <w:i w:val="0"/>
            <w:iCs w:val="0"/>
          </w:rPr>
          <w:t>دیوان علی أکبر معمار الأصفهانی‏</w:t>
        </w:r>
        <w:r>
          <w:tab/>
        </w:r>
        <w:r>
          <w:fldChar w:fldCharType="begin"/>
        </w:r>
        <w:r>
          <w:instrText xml:space="preserve">PAGEREF 5467 \h</w:instrText>
        </w:r>
        <w:r>
          <w:fldChar w:fldCharType="end"/>
        </w:r>
      </w:hyperlink>
    </w:p>
    <w:p>
      <w:pPr>
        <w:tabs>
          <w:tab w:val="right" w:leader="dot" w:pos="9062"/>
        </w:tabs>
        <w:ind w:left="440"/>
      </w:pPr>
      <w:hyperlink w:anchor="_Toc5468" w:history="1">
        <w:r>
          <w:rPr>
            <w:rFonts w:ascii="IRNazanin" w:hAnsi="IRNazanin" w:eastAsia="IRNazanin" w:cs="IRNazanin"/>
            <w:color w:val="111111"/>
            <w:sz w:val="22"/>
            <w:szCs w:val="22"/>
            <w:b w:val="0"/>
            <w:bCs w:val="0"/>
            <w:i w:val="0"/>
            <w:iCs w:val="0"/>
          </w:rPr>
          <w:t>5109- دیوان علی أکبر مشهدی أو شعره‏</w:t>
        </w:r>
        <w:r>
          <w:tab/>
        </w:r>
        <w:r>
          <w:fldChar w:fldCharType="begin"/>
        </w:r>
        <w:r>
          <w:instrText xml:space="preserve">PAGEREF 5468 \h</w:instrText>
        </w:r>
        <w:r>
          <w:fldChar w:fldCharType="end"/>
        </w:r>
      </w:hyperlink>
    </w:p>
    <w:p>
      <w:pPr>
        <w:tabs>
          <w:tab w:val="right" w:leader="dot" w:pos="9062"/>
        </w:tabs>
        <w:ind w:left="440"/>
      </w:pPr>
      <w:hyperlink w:anchor="_Toc5469" w:history="1">
        <w:r>
          <w:rPr>
            <w:rFonts w:ascii="IRNazanin" w:hAnsi="IRNazanin" w:eastAsia="IRNazanin" w:cs="IRNazanin"/>
            <w:color w:val="111111"/>
            <w:sz w:val="22"/>
            <w:szCs w:val="22"/>
            <w:b w:val="0"/>
            <w:bCs w:val="0"/>
            <w:i w:val="0"/>
            <w:iCs w:val="0"/>
          </w:rPr>
          <w:t>دیوان علی أکبر وجهی‏</w:t>
        </w:r>
        <w:r>
          <w:tab/>
        </w:r>
        <w:r>
          <w:fldChar w:fldCharType="begin"/>
        </w:r>
        <w:r>
          <w:instrText xml:space="preserve">PAGEREF 5469 \h</w:instrText>
        </w:r>
        <w:r>
          <w:fldChar w:fldCharType="end"/>
        </w:r>
      </w:hyperlink>
    </w:p>
    <w:p>
      <w:pPr>
        <w:tabs>
          <w:tab w:val="right" w:leader="dot" w:pos="9062"/>
        </w:tabs>
        <w:ind w:left="440"/>
      </w:pPr>
      <w:hyperlink w:anchor="_Toc5470" w:history="1">
        <w:r>
          <w:rPr>
            <w:rFonts w:ascii="IRNazanin" w:hAnsi="IRNazanin" w:eastAsia="IRNazanin" w:cs="IRNazanin"/>
            <w:color w:val="111111"/>
            <w:sz w:val="22"/>
            <w:szCs w:val="22"/>
            <w:b w:val="0"/>
            <w:bCs w:val="0"/>
            <w:i w:val="0"/>
            <w:iCs w:val="0"/>
          </w:rPr>
          <w:t>5110- دیوان علی أکبر همدانی‏</w:t>
        </w:r>
        <w:r>
          <w:tab/>
        </w:r>
        <w:r>
          <w:fldChar w:fldCharType="begin"/>
        </w:r>
        <w:r>
          <w:instrText xml:space="preserve">PAGEREF 5470 \h</w:instrText>
        </w:r>
        <w:r>
          <w:fldChar w:fldCharType="end"/>
        </w:r>
      </w:hyperlink>
    </w:p>
    <w:p>
      <w:pPr>
        <w:tabs>
          <w:tab w:val="right" w:leader="dot" w:pos="9062"/>
        </w:tabs>
        <w:ind w:left="440"/>
      </w:pPr>
      <w:hyperlink w:anchor="_Toc5471" w:history="1">
        <w:r>
          <w:rPr>
            <w:rFonts w:ascii="IRNazanin" w:hAnsi="IRNazanin" w:eastAsia="IRNazanin" w:cs="IRNazanin"/>
            <w:color w:val="111111"/>
            <w:sz w:val="22"/>
            <w:szCs w:val="22"/>
            <w:b w:val="0"/>
            <w:bCs w:val="0"/>
            <w:i w:val="0"/>
            <w:iCs w:val="0"/>
          </w:rPr>
          <w:t>دیوان أبی الحسن علی الباخرزی‏</w:t>
        </w:r>
        <w:r>
          <w:tab/>
        </w:r>
        <w:r>
          <w:fldChar w:fldCharType="begin"/>
        </w:r>
        <w:r>
          <w:instrText xml:space="preserve">PAGEREF 5471 \h</w:instrText>
        </w:r>
        <w:r>
          <w:fldChar w:fldCharType="end"/>
        </w:r>
      </w:hyperlink>
    </w:p>
    <w:p>
      <w:pPr>
        <w:tabs>
          <w:tab w:val="right" w:leader="dot" w:pos="9062"/>
        </w:tabs>
        <w:ind w:left="440"/>
      </w:pPr>
      <w:hyperlink w:anchor="_Toc5472" w:history="1">
        <w:r>
          <w:rPr>
            <w:rFonts w:ascii="IRNazanin" w:hAnsi="IRNazanin" w:eastAsia="IRNazanin" w:cs="IRNazanin"/>
            <w:color w:val="111111"/>
            <w:sz w:val="22"/>
            <w:szCs w:val="22"/>
            <w:b w:val="0"/>
            <w:bCs w:val="0"/>
            <w:i w:val="0"/>
            <w:iCs w:val="0"/>
          </w:rPr>
          <w:t>5111- دیوان ملا علی بخاری أو شعره‏</w:t>
        </w:r>
        <w:r>
          <w:tab/>
        </w:r>
        <w:r>
          <w:fldChar w:fldCharType="begin"/>
        </w:r>
        <w:r>
          <w:instrText xml:space="preserve">PAGEREF 5472 \h</w:instrText>
        </w:r>
        <w:r>
          <w:fldChar w:fldCharType="end"/>
        </w:r>
      </w:hyperlink>
    </w:p>
    <w:p>
      <w:pPr>
        <w:tabs>
          <w:tab w:val="right" w:leader="dot" w:pos="9062"/>
        </w:tabs>
        <w:ind w:left="440"/>
      </w:pPr>
      <w:hyperlink w:anchor="_Toc5473" w:history="1">
        <w:r>
          <w:rPr>
            <w:rFonts w:ascii="IRNazanin" w:hAnsi="IRNazanin" w:eastAsia="IRNazanin" w:cs="IRNazanin"/>
            <w:color w:val="111111"/>
            <w:sz w:val="22"/>
            <w:szCs w:val="22"/>
            <w:b w:val="0"/>
            <w:bCs w:val="0"/>
            <w:i w:val="0"/>
            <w:iCs w:val="0"/>
          </w:rPr>
          <w:t>5112- دیوان الخواجة علی بادام‏یاری أو شعره‏</w:t>
        </w:r>
        <w:r>
          <w:tab/>
        </w:r>
        <w:r>
          <w:fldChar w:fldCharType="begin"/>
        </w:r>
        <w:r>
          <w:instrText xml:space="preserve">PAGEREF 5473 \h</w:instrText>
        </w:r>
        <w:r>
          <w:fldChar w:fldCharType="end"/>
        </w:r>
      </w:hyperlink>
    </w:p>
    <w:p>
      <w:pPr>
        <w:tabs>
          <w:tab w:val="right" w:leader="dot" w:pos="9062"/>
        </w:tabs>
        <w:ind w:left="440"/>
      </w:pPr>
      <w:hyperlink w:anchor="_Toc5474" w:history="1">
        <w:r>
          <w:rPr>
            <w:rFonts w:ascii="IRNazanin" w:hAnsi="IRNazanin" w:eastAsia="IRNazanin" w:cs="IRNazanin"/>
            <w:color w:val="111111"/>
            <w:sz w:val="22"/>
            <w:szCs w:val="22"/>
            <w:b w:val="0"/>
            <w:bCs w:val="0"/>
            <w:i w:val="0"/>
            <w:iCs w:val="0"/>
          </w:rPr>
          <w:t>5113- دیوان میر سید علی برقعی‏</w:t>
        </w:r>
        <w:r>
          <w:tab/>
        </w:r>
        <w:r>
          <w:fldChar w:fldCharType="begin"/>
        </w:r>
        <w:r>
          <w:instrText xml:space="preserve">PAGEREF 5474 \h</w:instrText>
        </w:r>
        <w:r>
          <w:fldChar w:fldCharType="end"/>
        </w:r>
      </w:hyperlink>
    </w:p>
    <w:p>
      <w:pPr>
        <w:tabs>
          <w:tab w:val="right" w:leader="dot" w:pos="9062"/>
        </w:tabs>
        <w:ind w:left="440"/>
      </w:pPr>
      <w:hyperlink w:anchor="_Toc5475" w:history="1">
        <w:r>
          <w:rPr>
            <w:rFonts w:ascii="IRNazanin" w:hAnsi="IRNazanin" w:eastAsia="IRNazanin" w:cs="IRNazanin"/>
            <w:color w:val="111111"/>
            <w:sz w:val="22"/>
            <w:szCs w:val="22"/>
            <w:b w:val="0"/>
            <w:bCs w:val="0"/>
            <w:i w:val="0"/>
            <w:iCs w:val="0"/>
          </w:rPr>
          <w:t>دیوان علی بیگ‏</w:t>
        </w:r>
        <w:r>
          <w:tab/>
        </w:r>
        <w:r>
          <w:fldChar w:fldCharType="begin"/>
        </w:r>
        <w:r>
          <w:instrText xml:space="preserve">PAGEREF 5475 \h</w:instrText>
        </w:r>
        <w:r>
          <w:fldChar w:fldCharType="end"/>
        </w:r>
      </w:hyperlink>
    </w:p>
    <w:p>
      <w:pPr>
        <w:tabs>
          <w:tab w:val="right" w:leader="dot" w:pos="9062"/>
        </w:tabs>
        <w:ind w:left="440"/>
      </w:pPr>
      <w:hyperlink w:anchor="_Toc5476" w:history="1">
        <w:r>
          <w:rPr>
            <w:rFonts w:ascii="IRNazanin" w:hAnsi="IRNazanin" w:eastAsia="IRNazanin" w:cs="IRNazanin"/>
            <w:color w:val="111111"/>
            <w:sz w:val="22"/>
            <w:szCs w:val="22"/>
            <w:b w:val="0"/>
            <w:bCs w:val="0"/>
            <w:i w:val="0"/>
            <w:iCs w:val="0"/>
          </w:rPr>
          <w:t>5114- دیوان علی پاشا</w:t>
        </w:r>
        <w:r>
          <w:tab/>
        </w:r>
        <w:r>
          <w:fldChar w:fldCharType="begin"/>
        </w:r>
        <w:r>
          <w:instrText xml:space="preserve">PAGEREF 5476 \h</w:instrText>
        </w:r>
        <w:r>
          <w:fldChar w:fldCharType="end"/>
        </w:r>
      </w:hyperlink>
    </w:p>
    <w:p>
      <w:pPr>
        <w:tabs>
          <w:tab w:val="right" w:leader="dot" w:pos="9062"/>
        </w:tabs>
        <w:ind w:left="440"/>
      </w:pPr>
      <w:hyperlink w:anchor="_Toc5477" w:history="1">
        <w:r>
          <w:rPr>
            <w:rFonts w:ascii="IRNazanin" w:hAnsi="IRNazanin" w:eastAsia="IRNazanin" w:cs="IRNazanin"/>
            <w:color w:val="111111"/>
            <w:sz w:val="22"/>
            <w:szCs w:val="22"/>
            <w:b w:val="0"/>
            <w:bCs w:val="0"/>
            <w:i w:val="0"/>
            <w:iCs w:val="0"/>
          </w:rPr>
          <w:t>5115- دیوان علی‏پرست کابلی السیاح أو شعره‏</w:t>
        </w:r>
        <w:r>
          <w:tab/>
        </w:r>
        <w:r>
          <w:fldChar w:fldCharType="begin"/>
        </w:r>
        <w:r>
          <w:instrText xml:space="preserve">PAGEREF 5477 \h</w:instrText>
        </w:r>
        <w:r>
          <w:fldChar w:fldCharType="end"/>
        </w:r>
      </w:hyperlink>
    </w:p>
    <w:p>
      <w:pPr>
        <w:tabs>
          <w:tab w:val="right" w:leader="dot" w:pos="9062"/>
        </w:tabs>
        <w:ind w:left="440"/>
      </w:pPr>
      <w:hyperlink w:anchor="_Toc5478" w:history="1">
        <w:r>
          <w:rPr>
            <w:rFonts w:ascii="IRNazanin" w:hAnsi="IRNazanin" w:eastAsia="IRNazanin" w:cs="IRNazanin"/>
            <w:color w:val="111111"/>
            <w:sz w:val="22"/>
            <w:szCs w:val="22"/>
            <w:b w:val="0"/>
            <w:bCs w:val="0"/>
            <w:i w:val="0"/>
            <w:iCs w:val="0"/>
          </w:rPr>
          <w:t>5116- دیوان علی پیام‏</w:t>
        </w:r>
        <w:r>
          <w:tab/>
        </w:r>
        <w:r>
          <w:fldChar w:fldCharType="begin"/>
        </w:r>
        <w:r>
          <w:instrText xml:space="preserve">PAGEREF 5478 \h</w:instrText>
        </w:r>
        <w:r>
          <w:fldChar w:fldCharType="end"/>
        </w:r>
      </w:hyperlink>
    </w:p>
    <w:p>
      <w:pPr>
        <w:tabs>
          <w:tab w:val="right" w:leader="dot" w:pos="9062"/>
        </w:tabs>
        <w:ind w:left="440"/>
      </w:pPr>
      <w:hyperlink w:anchor="_Toc5479" w:history="1">
        <w:r>
          <w:rPr>
            <w:rFonts w:ascii="IRNazanin" w:hAnsi="IRNazanin" w:eastAsia="IRNazanin" w:cs="IRNazanin"/>
            <w:color w:val="111111"/>
            <w:sz w:val="22"/>
            <w:szCs w:val="22"/>
            <w:b w:val="0"/>
            <w:bCs w:val="0"/>
            <w:i w:val="0"/>
            <w:iCs w:val="0"/>
          </w:rPr>
          <w:t>دیوان علی تبریزی‏</w:t>
        </w:r>
        <w:r>
          <w:tab/>
        </w:r>
        <w:r>
          <w:fldChar w:fldCharType="begin"/>
        </w:r>
        <w:r>
          <w:instrText xml:space="preserve">PAGEREF 5479 \h</w:instrText>
        </w:r>
        <w:r>
          <w:fldChar w:fldCharType="end"/>
        </w:r>
      </w:hyperlink>
    </w:p>
    <w:p>
      <w:pPr>
        <w:tabs>
          <w:tab w:val="right" w:leader="dot" w:pos="9062"/>
        </w:tabs>
        <w:ind w:left="440"/>
      </w:pPr>
      <w:hyperlink w:anchor="_Toc5480" w:history="1">
        <w:r>
          <w:rPr>
            <w:rFonts w:ascii="IRNazanin" w:hAnsi="IRNazanin" w:eastAsia="IRNazanin" w:cs="IRNazanin"/>
            <w:color w:val="111111"/>
            <w:sz w:val="22"/>
            <w:szCs w:val="22"/>
            <w:b w:val="0"/>
            <w:bCs w:val="0"/>
            <w:i w:val="0"/>
            <w:iCs w:val="0"/>
          </w:rPr>
          <w:t>5117- دیوان علی تبریزی أو شعره‏</w:t>
        </w:r>
        <w:r>
          <w:tab/>
        </w:r>
        <w:r>
          <w:fldChar w:fldCharType="begin"/>
        </w:r>
        <w:r>
          <w:instrText xml:space="preserve">PAGEREF 5480 \h</w:instrText>
        </w:r>
        <w:r>
          <w:fldChar w:fldCharType="end"/>
        </w:r>
      </w:hyperlink>
    </w:p>
    <w:p>
      <w:pPr>
        <w:tabs>
          <w:tab w:val="right" w:leader="dot" w:pos="9062"/>
        </w:tabs>
        <w:ind w:left="440"/>
      </w:pPr>
      <w:hyperlink w:anchor="_Toc5481" w:history="1">
        <w:r>
          <w:rPr>
            <w:rFonts w:ascii="IRNazanin" w:hAnsi="IRNazanin" w:eastAsia="IRNazanin" w:cs="IRNazanin"/>
            <w:color w:val="111111"/>
            <w:sz w:val="22"/>
            <w:szCs w:val="22"/>
            <w:b w:val="0"/>
            <w:bCs w:val="0"/>
            <w:i w:val="0"/>
            <w:iCs w:val="0"/>
          </w:rPr>
          <w:t>دیوان علی تربتی‏</w:t>
        </w:r>
        <w:r>
          <w:tab/>
        </w:r>
        <w:r>
          <w:fldChar w:fldCharType="begin"/>
        </w:r>
        <w:r>
          <w:instrText xml:space="preserve">PAGEREF 5481 \h</w:instrText>
        </w:r>
        <w:r>
          <w:fldChar w:fldCharType="end"/>
        </w:r>
      </w:hyperlink>
    </w:p>
    <w:p>
      <w:pPr>
        <w:tabs>
          <w:tab w:val="right" w:leader="dot" w:pos="9062"/>
        </w:tabs>
        <w:ind w:left="440"/>
      </w:pPr>
      <w:hyperlink w:anchor="_Toc5482" w:history="1">
        <w:r>
          <w:rPr>
            <w:rFonts w:ascii="IRNazanin" w:hAnsi="IRNazanin" w:eastAsia="IRNazanin" w:cs="IRNazanin"/>
            <w:color w:val="111111"/>
            <w:sz w:val="22"/>
            <w:szCs w:val="22"/>
            <w:b w:val="0"/>
            <w:bCs w:val="0"/>
            <w:i w:val="0"/>
            <w:iCs w:val="0"/>
          </w:rPr>
          <w:t>5118- دیوان ملا علی ترشیزی أو شعره‏</w:t>
        </w:r>
        <w:r>
          <w:tab/>
        </w:r>
        <w:r>
          <w:fldChar w:fldCharType="begin"/>
        </w:r>
        <w:r>
          <w:instrText xml:space="preserve">PAGEREF 5482 \h</w:instrText>
        </w:r>
        <w:r>
          <w:fldChar w:fldCharType="end"/>
        </w:r>
      </w:hyperlink>
    </w:p>
    <w:p>
      <w:pPr>
        <w:tabs>
          <w:tab w:val="right" w:leader="dot" w:pos="9062"/>
        </w:tabs>
        <w:ind w:left="440"/>
      </w:pPr>
      <w:hyperlink w:anchor="_Toc5483" w:history="1">
        <w:r>
          <w:rPr>
            <w:rFonts w:ascii="IRNazanin" w:hAnsi="IRNazanin" w:eastAsia="IRNazanin" w:cs="IRNazanin"/>
            <w:color w:val="111111"/>
            <w:sz w:val="22"/>
            <w:szCs w:val="22"/>
            <w:b w:val="0"/>
            <w:bCs w:val="0"/>
            <w:i w:val="0"/>
            <w:iCs w:val="0"/>
          </w:rPr>
          <w:t>5119- دیوان الشیخ علی الجاسم‏</w:t>
        </w:r>
        <w:r>
          <w:tab/>
        </w:r>
        <w:r>
          <w:fldChar w:fldCharType="begin"/>
        </w:r>
        <w:r>
          <w:instrText xml:space="preserve">PAGEREF 5483 \h</w:instrText>
        </w:r>
        <w:r>
          <w:fldChar w:fldCharType="end"/>
        </w:r>
      </w:hyperlink>
    </w:p>
    <w:p>
      <w:pPr>
        <w:tabs>
          <w:tab w:val="right" w:leader="dot" w:pos="9062"/>
        </w:tabs>
        <w:ind w:left="440"/>
      </w:pPr>
      <w:hyperlink w:anchor="_Toc5484" w:history="1">
        <w:r>
          <w:rPr>
            <w:rFonts w:ascii="IRNazanin" w:hAnsi="IRNazanin" w:eastAsia="IRNazanin" w:cs="IRNazanin"/>
            <w:color w:val="111111"/>
            <w:sz w:val="22"/>
            <w:szCs w:val="22"/>
            <w:b w:val="0"/>
            <w:bCs w:val="0"/>
            <w:i w:val="0"/>
            <w:iCs w:val="0"/>
          </w:rPr>
          <w:t>دیوان الشیخ علی الجامعی‏</w:t>
        </w:r>
        <w:r>
          <w:tab/>
        </w:r>
        <w:r>
          <w:fldChar w:fldCharType="begin"/>
        </w:r>
        <w:r>
          <w:instrText xml:space="preserve">PAGEREF 5484 \h</w:instrText>
        </w:r>
        <w:r>
          <w:fldChar w:fldCharType="end"/>
        </w:r>
      </w:hyperlink>
    </w:p>
    <w:p>
      <w:pPr>
        <w:tabs>
          <w:tab w:val="right" w:leader="dot" w:pos="9062"/>
        </w:tabs>
        <w:ind w:left="440"/>
      </w:pPr>
      <w:hyperlink w:anchor="_Toc5485" w:history="1">
        <w:r>
          <w:rPr>
            <w:rFonts w:ascii="IRNazanin" w:hAnsi="IRNazanin" w:eastAsia="IRNazanin" w:cs="IRNazanin"/>
            <w:color w:val="111111"/>
            <w:sz w:val="22"/>
            <w:szCs w:val="22"/>
            <w:b w:val="0"/>
            <w:bCs w:val="0"/>
            <w:i w:val="0"/>
            <w:iCs w:val="0"/>
          </w:rPr>
          <w:t>دیوان علی جامی‏</w:t>
        </w:r>
        <w:r>
          <w:tab/>
        </w:r>
        <w:r>
          <w:fldChar w:fldCharType="begin"/>
        </w:r>
        <w:r>
          <w:instrText xml:space="preserve">PAGEREF 5485 \h</w:instrText>
        </w:r>
        <w:r>
          <w:fldChar w:fldCharType="end"/>
        </w:r>
      </w:hyperlink>
    </w:p>
    <w:p>
      <w:pPr>
        <w:tabs>
          <w:tab w:val="right" w:leader="dot" w:pos="9062"/>
        </w:tabs>
        <w:ind w:left="440"/>
      </w:pPr>
      <w:hyperlink w:anchor="_Toc5486" w:history="1">
        <w:r>
          <w:rPr>
            <w:rFonts w:ascii="IRNazanin" w:hAnsi="IRNazanin" w:eastAsia="IRNazanin" w:cs="IRNazanin"/>
            <w:color w:val="111111"/>
            <w:sz w:val="22"/>
            <w:szCs w:val="22"/>
            <w:b w:val="0"/>
            <w:bCs w:val="0"/>
            <w:i w:val="0"/>
            <w:iCs w:val="0"/>
          </w:rPr>
          <w:t>دیوان علی حبش‏</w:t>
        </w:r>
        <w:r>
          <w:tab/>
        </w:r>
        <w:r>
          <w:fldChar w:fldCharType="begin"/>
        </w:r>
        <w:r>
          <w:instrText xml:space="preserve">PAGEREF 5486 \h</w:instrText>
        </w:r>
        <w:r>
          <w:fldChar w:fldCharType="end"/>
        </w:r>
      </w:hyperlink>
    </w:p>
    <w:p>
      <w:pPr>
        <w:tabs>
          <w:tab w:val="right" w:leader="dot" w:pos="9062"/>
        </w:tabs>
        <w:ind w:left="440"/>
      </w:pPr>
      <w:hyperlink w:anchor="_Toc5487" w:history="1">
        <w:r>
          <w:rPr>
            <w:rFonts w:ascii="IRNazanin" w:hAnsi="IRNazanin" w:eastAsia="IRNazanin" w:cs="IRNazanin"/>
            <w:color w:val="111111"/>
            <w:sz w:val="22"/>
            <w:szCs w:val="22"/>
            <w:b w:val="0"/>
            <w:bCs w:val="0"/>
            <w:i w:val="0"/>
            <w:iCs w:val="0"/>
          </w:rPr>
          <w:t>5120- دیوان علی جواهر رقم أو شعره‏</w:t>
        </w:r>
        <w:r>
          <w:tab/>
        </w:r>
        <w:r>
          <w:fldChar w:fldCharType="begin"/>
        </w:r>
        <w:r>
          <w:instrText xml:space="preserve">PAGEREF 5487 \h</w:instrText>
        </w:r>
        <w:r>
          <w:fldChar w:fldCharType="end"/>
        </w:r>
      </w:hyperlink>
    </w:p>
    <w:p>
      <w:pPr>
        <w:tabs>
          <w:tab w:val="right" w:leader="dot" w:pos="9062"/>
        </w:tabs>
        <w:ind w:left="440"/>
      </w:pPr>
      <w:hyperlink w:anchor="_Toc5488" w:history="1">
        <w:r>
          <w:rPr>
            <w:rFonts w:ascii="IRNazanin" w:hAnsi="IRNazanin" w:eastAsia="IRNazanin" w:cs="IRNazanin"/>
            <w:color w:val="111111"/>
            <w:sz w:val="22"/>
            <w:szCs w:val="22"/>
            <w:b w:val="0"/>
            <w:bCs w:val="0"/>
            <w:i w:val="0"/>
            <w:iCs w:val="0"/>
          </w:rPr>
          <w:t>دیوان الشیخ علی الحزین‏</w:t>
        </w:r>
        <w:r>
          <w:tab/>
        </w:r>
        <w:r>
          <w:fldChar w:fldCharType="begin"/>
        </w:r>
        <w:r>
          <w:instrText xml:space="preserve">PAGEREF 5488 \h</w:instrText>
        </w:r>
        <w:r>
          <w:fldChar w:fldCharType="end"/>
        </w:r>
      </w:hyperlink>
    </w:p>
    <w:p>
      <w:pPr>
        <w:tabs>
          <w:tab w:val="right" w:leader="dot" w:pos="9062"/>
        </w:tabs>
        <w:ind w:left="440"/>
      </w:pPr>
      <w:hyperlink w:anchor="_Toc5489" w:history="1">
        <w:r>
          <w:rPr>
            <w:rFonts w:ascii="IRNazanin" w:hAnsi="IRNazanin" w:eastAsia="IRNazanin" w:cs="IRNazanin"/>
            <w:color w:val="111111"/>
            <w:sz w:val="22"/>
            <w:szCs w:val="22"/>
            <w:b w:val="0"/>
            <w:bCs w:val="0"/>
            <w:i w:val="0"/>
            <w:iCs w:val="0"/>
          </w:rPr>
          <w:t>5121- دیوان علی حسینی أو شعره‏</w:t>
        </w:r>
        <w:r>
          <w:tab/>
        </w:r>
        <w:r>
          <w:fldChar w:fldCharType="begin"/>
        </w:r>
        <w:r>
          <w:instrText xml:space="preserve">PAGEREF 5489 \h</w:instrText>
        </w:r>
        <w:r>
          <w:fldChar w:fldCharType="end"/>
        </w:r>
      </w:hyperlink>
    </w:p>
    <w:p>
      <w:pPr>
        <w:tabs>
          <w:tab w:val="right" w:leader="dot" w:pos="9062"/>
        </w:tabs>
        <w:ind w:left="440"/>
      </w:pPr>
      <w:hyperlink w:anchor="_Toc5490" w:history="1">
        <w:r>
          <w:rPr>
            <w:rFonts w:ascii="IRNazanin" w:hAnsi="IRNazanin" w:eastAsia="IRNazanin" w:cs="IRNazanin"/>
            <w:color w:val="111111"/>
            <w:sz w:val="22"/>
            <w:szCs w:val="22"/>
            <w:b w:val="0"/>
            <w:bCs w:val="0"/>
            <w:i w:val="0"/>
            <w:iCs w:val="0"/>
          </w:rPr>
          <w:t>دیوان الشیخ علی الحلی‏</w:t>
        </w:r>
        <w:r>
          <w:tab/>
        </w:r>
        <w:r>
          <w:fldChar w:fldCharType="begin"/>
        </w:r>
        <w:r>
          <w:instrText xml:space="preserve">PAGEREF 5490 \h</w:instrText>
        </w:r>
        <w:r>
          <w:fldChar w:fldCharType="end"/>
        </w:r>
      </w:hyperlink>
    </w:p>
    <w:p>
      <w:pPr>
        <w:tabs>
          <w:tab w:val="right" w:leader="dot" w:pos="9062"/>
        </w:tabs>
        <w:ind w:left="440"/>
      </w:pPr>
      <w:hyperlink w:anchor="_Toc5491" w:history="1">
        <w:r>
          <w:rPr>
            <w:rFonts w:ascii="IRNazanin" w:hAnsi="IRNazanin" w:eastAsia="IRNazanin" w:cs="IRNazanin"/>
            <w:color w:val="111111"/>
            <w:sz w:val="22"/>
            <w:szCs w:val="22"/>
            <w:b w:val="0"/>
            <w:bCs w:val="0"/>
            <w:i w:val="0"/>
            <w:iCs w:val="0"/>
          </w:rPr>
          <w:t>دیوان علی خاموش‏</w:t>
        </w:r>
        <w:r>
          <w:tab/>
        </w:r>
        <w:r>
          <w:fldChar w:fldCharType="begin"/>
        </w:r>
        <w:r>
          <w:instrText xml:space="preserve">PAGEREF 5491 \h</w:instrText>
        </w:r>
        <w:r>
          <w:fldChar w:fldCharType="end"/>
        </w:r>
      </w:hyperlink>
    </w:p>
    <w:p>
      <w:pPr>
        <w:tabs>
          <w:tab w:val="right" w:leader="dot" w:pos="9062"/>
        </w:tabs>
        <w:ind w:left="440"/>
      </w:pPr>
      <w:hyperlink w:anchor="_Toc5492" w:history="1">
        <w:r>
          <w:rPr>
            <w:rFonts w:ascii="IRNazanin" w:hAnsi="IRNazanin" w:eastAsia="IRNazanin" w:cs="IRNazanin"/>
            <w:color w:val="111111"/>
            <w:sz w:val="22"/>
            <w:szCs w:val="22"/>
            <w:b w:val="0"/>
            <w:bCs w:val="0"/>
            <w:i w:val="0"/>
            <w:iCs w:val="0"/>
          </w:rPr>
          <w:t>5122- دیوان علی خان ترکمان أو شعره‏</w:t>
        </w:r>
        <w:r>
          <w:tab/>
        </w:r>
        <w:r>
          <w:fldChar w:fldCharType="begin"/>
        </w:r>
        <w:r>
          <w:instrText xml:space="preserve">PAGEREF 5492 \h</w:instrText>
        </w:r>
        <w:r>
          <w:fldChar w:fldCharType="end"/>
        </w:r>
      </w:hyperlink>
    </w:p>
    <w:p>
      <w:pPr>
        <w:tabs>
          <w:tab w:val="right" w:leader="dot" w:pos="9062"/>
        </w:tabs>
        <w:ind w:left="440"/>
      </w:pPr>
      <w:hyperlink w:anchor="_Toc5493" w:history="1">
        <w:r>
          <w:rPr>
            <w:rFonts w:ascii="IRNazanin" w:hAnsi="IRNazanin" w:eastAsia="IRNazanin" w:cs="IRNazanin"/>
            <w:color w:val="111111"/>
            <w:sz w:val="22"/>
            <w:szCs w:val="22"/>
            <w:b w:val="0"/>
            <w:bCs w:val="0"/>
            <w:i w:val="0"/>
            <w:iCs w:val="0"/>
          </w:rPr>
          <w:t>5123- دیوان علی خان گلپایگانی أو شعره‏</w:t>
        </w:r>
        <w:r>
          <w:tab/>
        </w:r>
        <w:r>
          <w:fldChar w:fldCharType="begin"/>
        </w:r>
        <w:r>
          <w:instrText xml:space="preserve">PAGEREF 5493 \h</w:instrText>
        </w:r>
        <w:r>
          <w:fldChar w:fldCharType="end"/>
        </w:r>
      </w:hyperlink>
    </w:p>
    <w:p>
      <w:pPr>
        <w:tabs>
          <w:tab w:val="right" w:leader="dot" w:pos="9062"/>
        </w:tabs>
        <w:ind w:left="440"/>
      </w:pPr>
      <w:hyperlink w:anchor="_Toc5494" w:history="1">
        <w:r>
          <w:rPr>
            <w:rFonts w:ascii="IRNazanin" w:hAnsi="IRNazanin" w:eastAsia="IRNazanin" w:cs="IRNazanin"/>
            <w:color w:val="111111"/>
            <w:sz w:val="22"/>
            <w:szCs w:val="22"/>
            <w:b w:val="0"/>
            <w:bCs w:val="0"/>
            <w:i w:val="0"/>
            <w:iCs w:val="0"/>
          </w:rPr>
          <w:t>5124- دیوان السید علی خان المدنی‏</w:t>
        </w:r>
        <w:r>
          <w:tab/>
        </w:r>
        <w:r>
          <w:fldChar w:fldCharType="begin"/>
        </w:r>
        <w:r>
          <w:instrText xml:space="preserve">PAGEREF 5494 \h</w:instrText>
        </w:r>
        <w:r>
          <w:fldChar w:fldCharType="end"/>
        </w:r>
      </w:hyperlink>
    </w:p>
    <w:p>
      <w:pPr>
        <w:tabs>
          <w:tab w:val="right" w:leader="dot" w:pos="9062"/>
        </w:tabs>
        <w:ind w:left="440"/>
      </w:pPr>
      <w:hyperlink w:anchor="_Toc5495" w:history="1">
        <w:r>
          <w:rPr>
            <w:rFonts w:ascii="IRNazanin" w:hAnsi="IRNazanin" w:eastAsia="IRNazanin" w:cs="IRNazanin"/>
            <w:color w:val="111111"/>
            <w:sz w:val="22"/>
            <w:szCs w:val="22"/>
            <w:b w:val="0"/>
            <w:bCs w:val="0"/>
            <w:i w:val="0"/>
            <w:iCs w:val="0"/>
          </w:rPr>
          <w:t>5125- دیوان السید علی خان المشعشعی‏</w:t>
        </w:r>
        <w:r>
          <w:tab/>
        </w:r>
        <w:r>
          <w:fldChar w:fldCharType="begin"/>
        </w:r>
        <w:r>
          <w:instrText xml:space="preserve">PAGEREF 5495 \h</w:instrText>
        </w:r>
        <w:r>
          <w:fldChar w:fldCharType="end"/>
        </w:r>
      </w:hyperlink>
    </w:p>
    <w:p>
      <w:pPr>
        <w:tabs>
          <w:tab w:val="right" w:leader="dot" w:pos="9062"/>
        </w:tabs>
        <w:ind w:left="440"/>
      </w:pPr>
      <w:hyperlink w:anchor="_Toc5496" w:history="1">
        <w:r>
          <w:rPr>
            <w:rFonts w:ascii="IRNazanin" w:hAnsi="IRNazanin" w:eastAsia="IRNazanin" w:cs="IRNazanin"/>
            <w:color w:val="111111"/>
            <w:sz w:val="22"/>
            <w:szCs w:val="22"/>
            <w:b w:val="0"/>
            <w:bCs w:val="0"/>
            <w:i w:val="0"/>
            <w:iCs w:val="0"/>
          </w:rPr>
          <w:t>5126- دیوان ملا علی خراس هروی أو شعره‏</w:t>
        </w:r>
        <w:r>
          <w:tab/>
        </w:r>
        <w:r>
          <w:fldChar w:fldCharType="begin"/>
        </w:r>
        <w:r>
          <w:instrText xml:space="preserve">PAGEREF 5496 \h</w:instrText>
        </w:r>
        <w:r>
          <w:fldChar w:fldCharType="end"/>
        </w:r>
      </w:hyperlink>
    </w:p>
    <w:p>
      <w:pPr>
        <w:tabs>
          <w:tab w:val="right" w:leader="dot" w:pos="9062"/>
        </w:tabs>
        <w:ind w:left="440"/>
      </w:pPr>
      <w:hyperlink w:anchor="_Toc5497" w:history="1">
        <w:r>
          <w:rPr>
            <w:rFonts w:ascii="IRNazanin" w:hAnsi="IRNazanin" w:eastAsia="IRNazanin" w:cs="IRNazanin"/>
            <w:color w:val="111111"/>
            <w:sz w:val="22"/>
            <w:szCs w:val="22"/>
            <w:b w:val="0"/>
            <w:bCs w:val="0"/>
            <w:i w:val="0"/>
            <w:iCs w:val="0"/>
          </w:rPr>
          <w:t>دیوان علی خراسانی‏</w:t>
        </w:r>
        <w:r>
          <w:tab/>
        </w:r>
        <w:r>
          <w:fldChar w:fldCharType="begin"/>
        </w:r>
        <w:r>
          <w:instrText xml:space="preserve">PAGEREF 5497 \h</w:instrText>
        </w:r>
        <w:r>
          <w:fldChar w:fldCharType="end"/>
        </w:r>
      </w:hyperlink>
    </w:p>
    <w:p>
      <w:pPr>
        <w:tabs>
          <w:tab w:val="right" w:leader="dot" w:pos="9062"/>
        </w:tabs>
        <w:ind w:left="440"/>
      </w:pPr>
      <w:hyperlink w:anchor="_Toc5498" w:history="1">
        <w:r>
          <w:rPr>
            <w:rFonts w:ascii="IRNazanin" w:hAnsi="IRNazanin" w:eastAsia="IRNazanin" w:cs="IRNazanin"/>
            <w:color w:val="111111"/>
            <w:sz w:val="22"/>
            <w:szCs w:val="22"/>
            <w:b w:val="0"/>
            <w:bCs w:val="0"/>
            <w:i w:val="0"/>
            <w:iCs w:val="0"/>
          </w:rPr>
          <w:t>5127- دیوان خواجه علی خراسانی أو شعره‏</w:t>
        </w:r>
        <w:r>
          <w:tab/>
        </w:r>
        <w:r>
          <w:fldChar w:fldCharType="begin"/>
        </w:r>
        <w:r>
          <w:instrText xml:space="preserve">PAGEREF 5498 \h</w:instrText>
        </w:r>
        <w:r>
          <w:fldChar w:fldCharType="end"/>
        </w:r>
      </w:hyperlink>
    </w:p>
    <w:p>
      <w:pPr>
        <w:tabs>
          <w:tab w:val="right" w:leader="dot" w:pos="9062"/>
        </w:tabs>
        <w:ind w:left="440"/>
      </w:pPr>
      <w:hyperlink w:anchor="_Toc5499" w:history="1">
        <w:r>
          <w:rPr>
            <w:rFonts w:ascii="IRNazanin" w:hAnsi="IRNazanin" w:eastAsia="IRNazanin" w:cs="IRNazanin"/>
            <w:color w:val="111111"/>
            <w:sz w:val="22"/>
            <w:szCs w:val="22"/>
            <w:b w:val="0"/>
            <w:bCs w:val="0"/>
            <w:i w:val="0"/>
            <w:iCs w:val="0"/>
          </w:rPr>
          <w:t>5128- دیوان حاج ملا علی خراسانی أو شعره‏</w:t>
        </w:r>
        <w:r>
          <w:tab/>
        </w:r>
        <w:r>
          <w:fldChar w:fldCharType="begin"/>
        </w:r>
        <w:r>
          <w:instrText xml:space="preserve">PAGEREF 5499 \h</w:instrText>
        </w:r>
        <w:r>
          <w:fldChar w:fldCharType="end"/>
        </w:r>
      </w:hyperlink>
    </w:p>
    <w:p>
      <w:pPr>
        <w:tabs>
          <w:tab w:val="right" w:leader="dot" w:pos="9062"/>
        </w:tabs>
        <w:ind w:left="440"/>
      </w:pPr>
      <w:hyperlink w:anchor="_Toc5500" w:history="1">
        <w:r>
          <w:rPr>
            <w:rFonts w:ascii="IRNazanin" w:hAnsi="IRNazanin" w:eastAsia="IRNazanin" w:cs="IRNazanin"/>
            <w:color w:val="111111"/>
            <w:sz w:val="22"/>
            <w:szCs w:val="22"/>
            <w:b w:val="0"/>
            <w:bCs w:val="0"/>
            <w:i w:val="0"/>
            <w:iCs w:val="0"/>
          </w:rPr>
          <w:t>دیوان علی خطاط</w:t>
        </w:r>
        <w:r>
          <w:tab/>
        </w:r>
        <w:r>
          <w:fldChar w:fldCharType="begin"/>
        </w:r>
        <w:r>
          <w:instrText xml:space="preserve">PAGEREF 5500 \h</w:instrText>
        </w:r>
        <w:r>
          <w:fldChar w:fldCharType="end"/>
        </w:r>
      </w:hyperlink>
    </w:p>
    <w:p>
      <w:pPr>
        <w:tabs>
          <w:tab w:val="right" w:leader="dot" w:pos="9062"/>
        </w:tabs>
        <w:ind w:left="440"/>
      </w:pPr>
      <w:hyperlink w:anchor="_Toc5501" w:history="1">
        <w:r>
          <w:rPr>
            <w:rFonts w:ascii="IRNazanin" w:hAnsi="IRNazanin" w:eastAsia="IRNazanin" w:cs="IRNazanin"/>
            <w:color w:val="111111"/>
            <w:sz w:val="22"/>
            <w:szCs w:val="22"/>
            <w:b w:val="0"/>
            <w:bCs w:val="0"/>
            <w:i w:val="0"/>
            <w:iCs w:val="0"/>
          </w:rPr>
          <w:t>5129- دیوان میرزا علی خلج أو شعره‏</w:t>
        </w:r>
        <w:r>
          <w:tab/>
        </w:r>
        <w:r>
          <w:fldChar w:fldCharType="begin"/>
        </w:r>
        <w:r>
          <w:instrText xml:space="preserve">PAGEREF 5501 \h</w:instrText>
        </w:r>
        <w:r>
          <w:fldChar w:fldCharType="end"/>
        </w:r>
      </w:hyperlink>
    </w:p>
    <w:p>
      <w:pPr>
        <w:tabs>
          <w:tab w:val="right" w:leader="dot" w:pos="9062"/>
        </w:tabs>
        <w:ind w:left="440"/>
      </w:pPr>
      <w:hyperlink w:anchor="_Toc5502" w:history="1">
        <w:r>
          <w:rPr>
            <w:rFonts w:ascii="IRNazanin" w:hAnsi="IRNazanin" w:eastAsia="IRNazanin" w:cs="IRNazanin"/>
            <w:color w:val="111111"/>
            <w:sz w:val="22"/>
            <w:szCs w:val="22"/>
            <w:b w:val="0"/>
            <w:bCs w:val="0"/>
            <w:i w:val="0"/>
            <w:iCs w:val="0"/>
          </w:rPr>
          <w:t>5130- دیوان محمد علی خیر الدین‏</w:t>
        </w:r>
        <w:r>
          <w:tab/>
        </w:r>
        <w:r>
          <w:fldChar w:fldCharType="begin"/>
        </w:r>
        <w:r>
          <w:instrText xml:space="preserve">PAGEREF 5502 \h</w:instrText>
        </w:r>
        <w:r>
          <w:fldChar w:fldCharType="end"/>
        </w:r>
      </w:hyperlink>
    </w:p>
    <w:p>
      <w:pPr>
        <w:tabs>
          <w:tab w:val="right" w:leader="dot" w:pos="9062"/>
        </w:tabs>
        <w:ind w:left="440"/>
      </w:pPr>
      <w:hyperlink w:anchor="_Toc5503" w:history="1">
        <w:r>
          <w:rPr>
            <w:rFonts w:ascii="IRNazanin" w:hAnsi="IRNazanin" w:eastAsia="IRNazanin" w:cs="IRNazanin"/>
            <w:color w:val="111111"/>
            <w:sz w:val="22"/>
            <w:szCs w:val="22"/>
            <w:b w:val="0"/>
            <w:bCs w:val="0"/>
            <w:i w:val="0"/>
            <w:iCs w:val="0"/>
          </w:rPr>
          <w:t>5131- دیوان علی درجزینی أو شعره‏</w:t>
        </w:r>
        <w:r>
          <w:tab/>
        </w:r>
        <w:r>
          <w:fldChar w:fldCharType="begin"/>
        </w:r>
        <w:r>
          <w:instrText xml:space="preserve">PAGEREF 5503 \h</w:instrText>
        </w:r>
        <w:r>
          <w:fldChar w:fldCharType="end"/>
        </w:r>
      </w:hyperlink>
    </w:p>
    <w:p>
      <w:pPr>
        <w:tabs>
          <w:tab w:val="right" w:leader="dot" w:pos="9062"/>
        </w:tabs>
        <w:ind w:left="440"/>
      </w:pPr>
      <w:hyperlink w:anchor="_Toc5504" w:history="1">
        <w:r>
          <w:rPr>
            <w:rFonts w:ascii="IRNazanin" w:hAnsi="IRNazanin" w:eastAsia="IRNazanin" w:cs="IRNazanin"/>
            <w:color w:val="111111"/>
            <w:sz w:val="22"/>
            <w:szCs w:val="22"/>
            <w:b w:val="0"/>
            <w:bCs w:val="0"/>
            <w:i w:val="0"/>
            <w:iCs w:val="0"/>
          </w:rPr>
          <w:t>5132- دیوان علی دردزد أسترآبادی‏</w:t>
        </w:r>
        <w:r>
          <w:tab/>
        </w:r>
        <w:r>
          <w:fldChar w:fldCharType="begin"/>
        </w:r>
        <w:r>
          <w:instrText xml:space="preserve">PAGEREF 5504 \h</w:instrText>
        </w:r>
        <w:r>
          <w:fldChar w:fldCharType="end"/>
        </w:r>
      </w:hyperlink>
    </w:p>
    <w:p>
      <w:pPr>
        <w:tabs>
          <w:tab w:val="right" w:leader="dot" w:pos="9062"/>
        </w:tabs>
        <w:ind w:left="440"/>
      </w:pPr>
      <w:hyperlink w:anchor="_Toc5505" w:history="1">
        <w:r>
          <w:rPr>
            <w:rFonts w:ascii="IRNazanin" w:hAnsi="IRNazanin" w:eastAsia="IRNazanin" w:cs="IRNazanin"/>
            <w:color w:val="111111"/>
            <w:sz w:val="22"/>
            <w:szCs w:val="22"/>
            <w:b w:val="0"/>
            <w:bCs w:val="0"/>
            <w:i w:val="0"/>
            <w:iCs w:val="0"/>
          </w:rPr>
          <w:t>دیوان علی دوست أو شعره‏</w:t>
        </w:r>
        <w:r>
          <w:tab/>
        </w:r>
        <w:r>
          <w:fldChar w:fldCharType="begin"/>
        </w:r>
        <w:r>
          <w:instrText xml:space="preserve">PAGEREF 5505 \h</w:instrText>
        </w:r>
        <w:r>
          <w:fldChar w:fldCharType="end"/>
        </w:r>
      </w:hyperlink>
    </w:p>
    <w:p>
      <w:pPr>
        <w:tabs>
          <w:tab w:val="right" w:leader="dot" w:pos="9062"/>
        </w:tabs>
        <w:ind w:left="440"/>
      </w:pPr>
      <w:hyperlink w:anchor="_Toc5506" w:history="1">
        <w:r>
          <w:rPr>
            <w:rFonts w:ascii="IRNazanin" w:hAnsi="IRNazanin" w:eastAsia="IRNazanin" w:cs="IRNazanin"/>
            <w:color w:val="111111"/>
            <w:sz w:val="22"/>
            <w:szCs w:val="22"/>
            <w:b w:val="0"/>
            <w:bCs w:val="0"/>
            <w:i w:val="0"/>
            <w:iCs w:val="0"/>
          </w:rPr>
          <w:t>5133- دیوان علی رامتینی أو شعره‏</w:t>
        </w:r>
        <w:r>
          <w:tab/>
        </w:r>
        <w:r>
          <w:fldChar w:fldCharType="begin"/>
        </w:r>
        <w:r>
          <w:instrText xml:space="preserve">PAGEREF 5506 \h</w:instrText>
        </w:r>
        <w:r>
          <w:fldChar w:fldCharType="end"/>
        </w:r>
      </w:hyperlink>
    </w:p>
    <w:p>
      <w:pPr>
        <w:tabs>
          <w:tab w:val="right" w:leader="dot" w:pos="9062"/>
        </w:tabs>
        <w:ind w:left="440"/>
      </w:pPr>
      <w:hyperlink w:anchor="_Toc5507" w:history="1">
        <w:r>
          <w:rPr>
            <w:rFonts w:ascii="IRNazanin" w:hAnsi="IRNazanin" w:eastAsia="IRNazanin" w:cs="IRNazanin"/>
            <w:color w:val="111111"/>
            <w:sz w:val="22"/>
            <w:szCs w:val="22"/>
            <w:b w:val="0"/>
            <w:bCs w:val="0"/>
            <w:i w:val="0"/>
            <w:iCs w:val="0"/>
          </w:rPr>
          <w:t>دیوان علی رشتی أو شعره‏</w:t>
        </w:r>
        <w:r>
          <w:tab/>
        </w:r>
        <w:r>
          <w:fldChar w:fldCharType="begin"/>
        </w:r>
        <w:r>
          <w:instrText xml:space="preserve">PAGEREF 5507 \h</w:instrText>
        </w:r>
        <w:r>
          <w:fldChar w:fldCharType="end"/>
        </w:r>
      </w:hyperlink>
    </w:p>
    <w:p>
      <w:pPr>
        <w:tabs>
          <w:tab w:val="right" w:leader="dot" w:pos="9062"/>
        </w:tabs>
        <w:ind w:left="440"/>
      </w:pPr>
      <w:hyperlink w:anchor="_Toc5508" w:history="1">
        <w:r>
          <w:rPr>
            <w:rFonts w:ascii="IRNazanin" w:hAnsi="IRNazanin" w:eastAsia="IRNazanin" w:cs="IRNazanin"/>
            <w:color w:val="111111"/>
            <w:sz w:val="22"/>
            <w:szCs w:val="22"/>
            <w:b w:val="0"/>
            <w:bCs w:val="0"/>
            <w:i w:val="0"/>
            <w:iCs w:val="0"/>
          </w:rPr>
          <w:t>5134- دیوان علی رضا آگاه‏</w:t>
        </w:r>
        <w:r>
          <w:tab/>
        </w:r>
        <w:r>
          <w:fldChar w:fldCharType="begin"/>
        </w:r>
        <w:r>
          <w:instrText xml:space="preserve">PAGEREF 5508 \h</w:instrText>
        </w:r>
        <w:r>
          <w:fldChar w:fldCharType="end"/>
        </w:r>
      </w:hyperlink>
    </w:p>
    <w:p>
      <w:pPr>
        <w:tabs>
          <w:tab w:val="right" w:leader="dot" w:pos="9062"/>
        </w:tabs>
        <w:ind w:left="440"/>
      </w:pPr>
      <w:hyperlink w:anchor="_Toc5509" w:history="1">
        <w:r>
          <w:rPr>
            <w:rFonts w:ascii="IRNazanin" w:hAnsi="IRNazanin" w:eastAsia="IRNazanin" w:cs="IRNazanin"/>
            <w:color w:val="111111"/>
            <w:sz w:val="22"/>
            <w:szCs w:val="22"/>
            <w:b w:val="0"/>
            <w:bCs w:val="0"/>
            <w:i w:val="0"/>
            <w:iCs w:val="0"/>
          </w:rPr>
          <w:t>5135- دیوان علی رضا أصفهانی أو شعره‏</w:t>
        </w:r>
        <w:r>
          <w:tab/>
        </w:r>
        <w:r>
          <w:fldChar w:fldCharType="begin"/>
        </w:r>
        <w:r>
          <w:instrText xml:space="preserve">PAGEREF 5509 \h</w:instrText>
        </w:r>
        <w:r>
          <w:fldChar w:fldCharType="end"/>
        </w:r>
      </w:hyperlink>
    </w:p>
    <w:p>
      <w:pPr>
        <w:tabs>
          <w:tab w:val="right" w:leader="dot" w:pos="9062"/>
        </w:tabs>
        <w:ind w:left="440"/>
      </w:pPr>
      <w:hyperlink w:anchor="_Toc5510" w:history="1">
        <w:r>
          <w:rPr>
            <w:rFonts w:ascii="IRNazanin" w:hAnsi="IRNazanin" w:eastAsia="IRNazanin" w:cs="IRNazanin"/>
            <w:color w:val="111111"/>
            <w:sz w:val="22"/>
            <w:szCs w:val="22"/>
            <w:b w:val="0"/>
            <w:bCs w:val="0"/>
            <w:i w:val="0"/>
            <w:iCs w:val="0"/>
          </w:rPr>
          <w:t>5136- دیوان علی رضا بیک أصفهانی أو شعره‏</w:t>
        </w:r>
        <w:r>
          <w:tab/>
        </w:r>
        <w:r>
          <w:fldChar w:fldCharType="begin"/>
        </w:r>
        <w:r>
          <w:instrText xml:space="preserve">PAGEREF 5510 \h</w:instrText>
        </w:r>
        <w:r>
          <w:fldChar w:fldCharType="end"/>
        </w:r>
      </w:hyperlink>
    </w:p>
    <w:p>
      <w:pPr>
        <w:tabs>
          <w:tab w:val="right" w:leader="dot" w:pos="9062"/>
        </w:tabs>
        <w:ind w:left="440"/>
      </w:pPr>
      <w:hyperlink w:anchor="_Toc5511" w:history="1">
        <w:r>
          <w:rPr>
            <w:rFonts w:ascii="IRNazanin" w:hAnsi="IRNazanin" w:eastAsia="IRNazanin" w:cs="IRNazanin"/>
            <w:color w:val="111111"/>
            <w:sz w:val="22"/>
            <w:szCs w:val="22"/>
            <w:b w:val="0"/>
            <w:bCs w:val="0"/>
            <w:i w:val="0"/>
            <w:iCs w:val="0"/>
          </w:rPr>
          <w:t>دیوان علی رضا پرتو لنجانی‏</w:t>
        </w:r>
        <w:r>
          <w:tab/>
        </w:r>
        <w:r>
          <w:fldChar w:fldCharType="begin"/>
        </w:r>
        <w:r>
          <w:instrText xml:space="preserve">PAGEREF 5511 \h</w:instrText>
        </w:r>
        <w:r>
          <w:fldChar w:fldCharType="end"/>
        </w:r>
      </w:hyperlink>
    </w:p>
    <w:p>
      <w:pPr>
        <w:tabs>
          <w:tab w:val="right" w:leader="dot" w:pos="9062"/>
        </w:tabs>
        <w:ind w:left="440"/>
      </w:pPr>
      <w:hyperlink w:anchor="_Toc5512" w:history="1">
        <w:r>
          <w:rPr>
            <w:rFonts w:ascii="IRNazanin" w:hAnsi="IRNazanin" w:eastAsia="IRNazanin" w:cs="IRNazanin"/>
            <w:color w:val="111111"/>
            <w:sz w:val="22"/>
            <w:szCs w:val="22"/>
            <w:b w:val="0"/>
            <w:bCs w:val="0"/>
            <w:i w:val="0"/>
            <w:iCs w:val="0"/>
          </w:rPr>
          <w:t>دیوان علی رضا تبریزی‏</w:t>
        </w:r>
        <w:r>
          <w:tab/>
        </w:r>
        <w:r>
          <w:fldChar w:fldCharType="begin"/>
        </w:r>
        <w:r>
          <w:instrText xml:space="preserve">PAGEREF 5512 \h</w:instrText>
        </w:r>
        <w:r>
          <w:fldChar w:fldCharType="end"/>
        </w:r>
      </w:hyperlink>
    </w:p>
    <w:p>
      <w:pPr>
        <w:tabs>
          <w:tab w:val="right" w:leader="dot" w:pos="9062"/>
        </w:tabs>
        <w:ind w:left="440"/>
      </w:pPr>
      <w:hyperlink w:anchor="_Toc5513" w:history="1">
        <w:r>
          <w:rPr>
            <w:rFonts w:ascii="IRNazanin" w:hAnsi="IRNazanin" w:eastAsia="IRNazanin" w:cs="IRNazanin"/>
            <w:color w:val="111111"/>
            <w:sz w:val="22"/>
            <w:szCs w:val="22"/>
            <w:b w:val="0"/>
            <w:bCs w:val="0"/>
            <w:i w:val="0"/>
            <w:iCs w:val="0"/>
          </w:rPr>
          <w:t>دیوان علی رضا تجلی شیرازی‏</w:t>
        </w:r>
        <w:r>
          <w:tab/>
        </w:r>
        <w:r>
          <w:fldChar w:fldCharType="begin"/>
        </w:r>
        <w:r>
          <w:instrText xml:space="preserve">PAGEREF 5513 \h</w:instrText>
        </w:r>
        <w:r>
          <w:fldChar w:fldCharType="end"/>
        </w:r>
      </w:hyperlink>
    </w:p>
    <w:p>
      <w:pPr>
        <w:tabs>
          <w:tab w:val="right" w:leader="dot" w:pos="9062"/>
        </w:tabs>
        <w:ind w:left="440"/>
      </w:pPr>
      <w:hyperlink w:anchor="_Toc5514" w:history="1">
        <w:r>
          <w:rPr>
            <w:rFonts w:ascii="IRNazanin" w:hAnsi="IRNazanin" w:eastAsia="IRNazanin" w:cs="IRNazanin"/>
            <w:color w:val="111111"/>
            <w:sz w:val="22"/>
            <w:szCs w:val="22"/>
            <w:b w:val="0"/>
            <w:bCs w:val="0"/>
            <w:i w:val="0"/>
            <w:iCs w:val="0"/>
          </w:rPr>
          <w:t>5137- دیوان میر علی رضا تویسرکانی أو شعره‏</w:t>
        </w:r>
        <w:r>
          <w:tab/>
        </w:r>
        <w:r>
          <w:fldChar w:fldCharType="begin"/>
        </w:r>
        <w:r>
          <w:instrText xml:space="preserve">PAGEREF 5514 \h</w:instrText>
        </w:r>
        <w:r>
          <w:fldChar w:fldCharType="end"/>
        </w:r>
      </w:hyperlink>
    </w:p>
    <w:p>
      <w:pPr>
        <w:tabs>
          <w:tab w:val="right" w:leader="dot" w:pos="9062"/>
        </w:tabs>
        <w:ind w:left="440"/>
      </w:pPr>
      <w:hyperlink w:anchor="_Toc5515" w:history="1">
        <w:r>
          <w:rPr>
            <w:rFonts w:ascii="IRNazanin" w:hAnsi="IRNazanin" w:eastAsia="IRNazanin" w:cs="IRNazanin"/>
            <w:color w:val="111111"/>
            <w:sz w:val="22"/>
            <w:szCs w:val="22"/>
            <w:b w:val="0"/>
            <w:bCs w:val="0"/>
            <w:i w:val="0"/>
            <w:iCs w:val="0"/>
          </w:rPr>
          <w:t>5138- دیوان علی رضا شولستانی أو شعره‏</w:t>
        </w:r>
        <w:r>
          <w:tab/>
        </w:r>
        <w:r>
          <w:fldChar w:fldCharType="begin"/>
        </w:r>
        <w:r>
          <w:instrText xml:space="preserve">PAGEREF 5515 \h</w:instrText>
        </w:r>
        <w:r>
          <w:fldChar w:fldCharType="end"/>
        </w:r>
      </w:hyperlink>
    </w:p>
    <w:p>
      <w:pPr>
        <w:tabs>
          <w:tab w:val="right" w:leader="dot" w:pos="9062"/>
        </w:tabs>
        <w:ind w:left="440"/>
      </w:pPr>
      <w:hyperlink w:anchor="_Toc5516" w:history="1">
        <w:r>
          <w:rPr>
            <w:rFonts w:ascii="IRNazanin" w:hAnsi="IRNazanin" w:eastAsia="IRNazanin" w:cs="IRNazanin"/>
            <w:color w:val="111111"/>
            <w:sz w:val="22"/>
            <w:szCs w:val="22"/>
            <w:b w:val="0"/>
            <w:bCs w:val="0"/>
            <w:i w:val="0"/>
            <w:iCs w:val="0"/>
          </w:rPr>
          <w:t>5139- دیوان علی رضا عباسی أو شعره‏</w:t>
        </w:r>
        <w:r>
          <w:tab/>
        </w:r>
        <w:r>
          <w:fldChar w:fldCharType="begin"/>
        </w:r>
        <w:r>
          <w:instrText xml:space="preserve">PAGEREF 5516 \h</w:instrText>
        </w:r>
        <w:r>
          <w:fldChar w:fldCharType="end"/>
        </w:r>
      </w:hyperlink>
    </w:p>
    <w:p>
      <w:pPr>
        <w:tabs>
          <w:tab w:val="right" w:leader="dot" w:pos="9062"/>
        </w:tabs>
        <w:ind w:left="440"/>
      </w:pPr>
      <w:hyperlink w:anchor="_Toc5517" w:history="1">
        <w:r>
          <w:rPr>
            <w:rFonts w:ascii="IRNazanin" w:hAnsi="IRNazanin" w:eastAsia="IRNazanin" w:cs="IRNazanin"/>
            <w:color w:val="111111"/>
            <w:sz w:val="22"/>
            <w:szCs w:val="22"/>
            <w:b w:val="0"/>
            <w:bCs w:val="0"/>
            <w:i w:val="0"/>
            <w:iCs w:val="0"/>
          </w:rPr>
          <w:t>5140- دیوان علی رضا کرمانی أو شعره‏</w:t>
        </w:r>
        <w:r>
          <w:tab/>
        </w:r>
        <w:r>
          <w:fldChar w:fldCharType="begin"/>
        </w:r>
        <w:r>
          <w:instrText xml:space="preserve">PAGEREF 5517 \h</w:instrText>
        </w:r>
        <w:r>
          <w:fldChar w:fldCharType="end"/>
        </w:r>
      </w:hyperlink>
    </w:p>
    <w:p>
      <w:pPr>
        <w:tabs>
          <w:tab w:val="right" w:leader="dot" w:pos="9062"/>
        </w:tabs>
        <w:ind w:left="440"/>
      </w:pPr>
      <w:hyperlink w:anchor="_Toc5518" w:history="1">
        <w:r>
          <w:rPr>
            <w:rFonts w:ascii="IRNazanin" w:hAnsi="IRNazanin" w:eastAsia="IRNazanin" w:cs="IRNazanin"/>
            <w:color w:val="111111"/>
            <w:sz w:val="22"/>
            <w:szCs w:val="22"/>
            <w:b w:val="0"/>
            <w:bCs w:val="0"/>
            <w:i w:val="0"/>
            <w:iCs w:val="0"/>
          </w:rPr>
          <w:t>5141- دیوان علی رضوی‏زاده‏</w:t>
        </w:r>
        <w:r>
          <w:tab/>
        </w:r>
        <w:r>
          <w:fldChar w:fldCharType="begin"/>
        </w:r>
        <w:r>
          <w:instrText xml:space="preserve">PAGEREF 5518 \h</w:instrText>
        </w:r>
        <w:r>
          <w:fldChar w:fldCharType="end"/>
        </w:r>
      </w:hyperlink>
    </w:p>
    <w:p>
      <w:pPr>
        <w:tabs>
          <w:tab w:val="right" w:leader="dot" w:pos="9062"/>
        </w:tabs>
        <w:ind w:left="440"/>
      </w:pPr>
      <w:hyperlink w:anchor="_Toc5519" w:history="1">
        <w:r>
          <w:rPr>
            <w:rFonts w:ascii="IRNazanin" w:hAnsi="IRNazanin" w:eastAsia="IRNazanin" w:cs="IRNazanin"/>
            <w:color w:val="111111"/>
            <w:sz w:val="22"/>
            <w:szCs w:val="22"/>
            <w:b w:val="0"/>
            <w:bCs w:val="0"/>
            <w:i w:val="0"/>
            <w:iCs w:val="0"/>
          </w:rPr>
          <w:t>5142- دیوان الشیخ علی الزینی‏</w:t>
        </w:r>
        <w:r>
          <w:tab/>
        </w:r>
        <w:r>
          <w:fldChar w:fldCharType="begin"/>
        </w:r>
        <w:r>
          <w:instrText xml:space="preserve">PAGEREF 5519 \h</w:instrText>
        </w:r>
        <w:r>
          <w:fldChar w:fldCharType="end"/>
        </w:r>
      </w:hyperlink>
    </w:p>
    <w:p>
      <w:pPr>
        <w:tabs>
          <w:tab w:val="right" w:leader="dot" w:pos="9062"/>
        </w:tabs>
        <w:ind w:left="440"/>
      </w:pPr>
      <w:hyperlink w:anchor="_Toc5520" w:history="1">
        <w:r>
          <w:rPr>
            <w:rFonts w:ascii="IRNazanin" w:hAnsi="IRNazanin" w:eastAsia="IRNazanin" w:cs="IRNazanin"/>
            <w:color w:val="111111"/>
            <w:sz w:val="22"/>
            <w:szCs w:val="22"/>
            <w:b w:val="0"/>
            <w:bCs w:val="0"/>
            <w:i w:val="0"/>
            <w:iCs w:val="0"/>
          </w:rPr>
          <w:t>5143- دیوان سید علی سبزواری أو شعره‏</w:t>
        </w:r>
        <w:r>
          <w:tab/>
        </w:r>
        <w:r>
          <w:fldChar w:fldCharType="begin"/>
        </w:r>
        <w:r>
          <w:instrText xml:space="preserve">PAGEREF 5520 \h</w:instrText>
        </w:r>
        <w:r>
          <w:fldChar w:fldCharType="end"/>
        </w:r>
      </w:hyperlink>
    </w:p>
    <w:p>
      <w:pPr>
        <w:tabs>
          <w:tab w:val="right" w:leader="dot" w:pos="9062"/>
        </w:tabs>
        <w:ind w:left="440"/>
      </w:pPr>
      <w:hyperlink w:anchor="_Toc5521" w:history="1">
        <w:r>
          <w:rPr>
            <w:rFonts w:ascii="IRNazanin" w:hAnsi="IRNazanin" w:eastAsia="IRNazanin" w:cs="IRNazanin"/>
            <w:color w:val="111111"/>
            <w:sz w:val="22"/>
            <w:szCs w:val="22"/>
            <w:b w:val="0"/>
            <w:bCs w:val="0"/>
            <w:i w:val="0"/>
            <w:iCs w:val="0"/>
          </w:rPr>
          <w:t>دیوان علی سمرقندی‏</w:t>
        </w:r>
        <w:r>
          <w:tab/>
        </w:r>
        <w:r>
          <w:fldChar w:fldCharType="begin"/>
        </w:r>
        <w:r>
          <w:instrText xml:space="preserve">PAGEREF 5521 \h</w:instrText>
        </w:r>
        <w:r>
          <w:fldChar w:fldCharType="end"/>
        </w:r>
      </w:hyperlink>
    </w:p>
    <w:p>
      <w:pPr>
        <w:tabs>
          <w:tab w:val="right" w:leader="dot" w:pos="9062"/>
        </w:tabs>
        <w:ind w:left="440"/>
      </w:pPr>
      <w:hyperlink w:anchor="_Toc5522" w:history="1">
        <w:r>
          <w:rPr>
            <w:rFonts w:ascii="IRNazanin" w:hAnsi="IRNazanin" w:eastAsia="IRNazanin" w:cs="IRNazanin"/>
            <w:color w:val="111111"/>
            <w:sz w:val="22"/>
            <w:szCs w:val="22"/>
            <w:b w:val="0"/>
            <w:bCs w:val="0"/>
            <w:i w:val="0"/>
            <w:iCs w:val="0"/>
          </w:rPr>
          <w:t>دیوان علی سمند</w:t>
        </w:r>
        <w:r>
          <w:tab/>
        </w:r>
        <w:r>
          <w:fldChar w:fldCharType="begin"/>
        </w:r>
        <w:r>
          <w:instrText xml:space="preserve">PAGEREF 5522 \h</w:instrText>
        </w:r>
        <w:r>
          <w:fldChar w:fldCharType="end"/>
        </w:r>
      </w:hyperlink>
    </w:p>
    <w:p>
      <w:pPr>
        <w:tabs>
          <w:tab w:val="right" w:leader="dot" w:pos="9062"/>
        </w:tabs>
        <w:ind w:left="440"/>
      </w:pPr>
      <w:hyperlink w:anchor="_Toc5523" w:history="1">
        <w:r>
          <w:rPr>
            <w:rFonts w:ascii="IRNazanin" w:hAnsi="IRNazanin" w:eastAsia="IRNazanin" w:cs="IRNazanin"/>
            <w:color w:val="111111"/>
            <w:sz w:val="22"/>
            <w:szCs w:val="22"/>
            <w:b w:val="0"/>
            <w:bCs w:val="0"/>
            <w:i w:val="0"/>
            <w:iCs w:val="0"/>
          </w:rPr>
          <w:t>5144- دیوان علی سهرندی‏</w:t>
        </w:r>
        <w:r>
          <w:tab/>
        </w:r>
        <w:r>
          <w:fldChar w:fldCharType="begin"/>
        </w:r>
        <w:r>
          <w:instrText xml:space="preserve">PAGEREF 5523 \h</w:instrText>
        </w:r>
        <w:r>
          <w:fldChar w:fldCharType="end"/>
        </w:r>
      </w:hyperlink>
    </w:p>
    <w:p>
      <w:pPr>
        <w:tabs>
          <w:tab w:val="right" w:leader="dot" w:pos="9062"/>
        </w:tabs>
        <w:ind w:left="440"/>
      </w:pPr>
      <w:hyperlink w:anchor="_Toc5524" w:history="1">
        <w:r>
          <w:rPr>
            <w:rFonts w:ascii="IRNazanin" w:hAnsi="IRNazanin" w:eastAsia="IRNazanin" w:cs="IRNazanin"/>
            <w:color w:val="111111"/>
            <w:sz w:val="22"/>
            <w:szCs w:val="22"/>
            <w:b w:val="0"/>
            <w:bCs w:val="0"/>
            <w:i w:val="0"/>
            <w:iCs w:val="0"/>
          </w:rPr>
          <w:t>5145- دیوان خواجه علی سیاه‏پوش‏</w:t>
        </w:r>
        <w:r>
          <w:tab/>
        </w:r>
        <w:r>
          <w:fldChar w:fldCharType="begin"/>
        </w:r>
        <w:r>
          <w:instrText xml:space="preserve">PAGEREF 5524 \h</w:instrText>
        </w:r>
        <w:r>
          <w:fldChar w:fldCharType="end"/>
        </w:r>
      </w:hyperlink>
    </w:p>
    <w:p>
      <w:pPr>
        <w:tabs>
          <w:tab w:val="right" w:leader="dot" w:pos="9062"/>
        </w:tabs>
        <w:ind w:left="440"/>
      </w:pPr>
      <w:hyperlink w:anchor="_Toc5525" w:history="1">
        <w:r>
          <w:rPr>
            <w:rFonts w:ascii="IRNazanin" w:hAnsi="IRNazanin" w:eastAsia="IRNazanin" w:cs="IRNazanin"/>
            <w:color w:val="111111"/>
            <w:sz w:val="22"/>
            <w:szCs w:val="22"/>
            <w:b w:val="0"/>
            <w:bCs w:val="0"/>
            <w:i w:val="0"/>
            <w:iCs w:val="0"/>
          </w:rPr>
          <w:t>دیوان علی شاملو</w:t>
        </w:r>
        <w:r>
          <w:tab/>
        </w:r>
        <w:r>
          <w:fldChar w:fldCharType="begin"/>
        </w:r>
        <w:r>
          <w:instrText xml:space="preserve">PAGEREF 5525 \h</w:instrText>
        </w:r>
        <w:r>
          <w:fldChar w:fldCharType="end"/>
        </w:r>
      </w:hyperlink>
    </w:p>
    <w:p>
      <w:pPr>
        <w:tabs>
          <w:tab w:val="right" w:leader="dot" w:pos="9062"/>
        </w:tabs>
        <w:ind w:left="440"/>
      </w:pPr>
      <w:hyperlink w:anchor="_Toc5526" w:history="1">
        <w:r>
          <w:rPr>
            <w:rFonts w:ascii="IRNazanin" w:hAnsi="IRNazanin" w:eastAsia="IRNazanin" w:cs="IRNazanin"/>
            <w:color w:val="111111"/>
            <w:sz w:val="22"/>
            <w:szCs w:val="22"/>
            <w:b w:val="0"/>
            <w:bCs w:val="0"/>
            <w:i w:val="0"/>
            <w:iCs w:val="0"/>
          </w:rPr>
          <w:t>دیوان علی شاه دکنی‏</w:t>
        </w:r>
        <w:r>
          <w:tab/>
        </w:r>
        <w:r>
          <w:fldChar w:fldCharType="begin"/>
        </w:r>
        <w:r>
          <w:instrText xml:space="preserve">PAGEREF 5526 \h</w:instrText>
        </w:r>
        <w:r>
          <w:fldChar w:fldCharType="end"/>
        </w:r>
      </w:hyperlink>
    </w:p>
    <w:p>
      <w:pPr>
        <w:tabs>
          <w:tab w:val="right" w:leader="dot" w:pos="9062"/>
        </w:tabs>
        <w:ind w:left="440"/>
      </w:pPr>
      <w:hyperlink w:anchor="_Toc5527" w:history="1">
        <w:r>
          <w:rPr>
            <w:rFonts w:ascii="IRNazanin" w:hAnsi="IRNazanin" w:eastAsia="IRNazanin" w:cs="IRNazanin"/>
            <w:color w:val="111111"/>
            <w:sz w:val="22"/>
            <w:szCs w:val="22"/>
            <w:b w:val="0"/>
            <w:bCs w:val="0"/>
            <w:i w:val="0"/>
            <w:iCs w:val="0"/>
          </w:rPr>
          <w:t>5146- دیوان السید علی شاه الشاه عبد العظیمی أو شعره‏</w:t>
        </w:r>
        <w:r>
          <w:tab/>
        </w:r>
        <w:r>
          <w:fldChar w:fldCharType="begin"/>
        </w:r>
        <w:r>
          <w:instrText xml:space="preserve">PAGEREF 5527 \h</w:instrText>
        </w:r>
        <w:r>
          <w:fldChar w:fldCharType="end"/>
        </w:r>
      </w:hyperlink>
    </w:p>
    <w:p>
      <w:pPr>
        <w:tabs>
          <w:tab w:val="right" w:leader="dot" w:pos="9062"/>
        </w:tabs>
        <w:ind w:left="440"/>
      </w:pPr>
      <w:hyperlink w:anchor="_Toc5528" w:history="1">
        <w:r>
          <w:rPr>
            <w:rFonts w:ascii="IRNazanin" w:hAnsi="IRNazanin" w:eastAsia="IRNazanin" w:cs="IRNazanin"/>
            <w:color w:val="111111"/>
            <w:sz w:val="22"/>
            <w:szCs w:val="22"/>
            <w:b w:val="0"/>
            <w:bCs w:val="0"/>
            <w:i w:val="0"/>
            <w:iCs w:val="0"/>
          </w:rPr>
          <w:t>دیوان علی الشطرنجی‏</w:t>
        </w:r>
        <w:r>
          <w:tab/>
        </w:r>
        <w:r>
          <w:fldChar w:fldCharType="begin"/>
        </w:r>
        <w:r>
          <w:instrText xml:space="preserve">PAGEREF 5528 \h</w:instrText>
        </w:r>
        <w:r>
          <w:fldChar w:fldCharType="end"/>
        </w:r>
      </w:hyperlink>
    </w:p>
    <w:p>
      <w:pPr>
        <w:tabs>
          <w:tab w:val="right" w:leader="dot" w:pos="9062"/>
        </w:tabs>
        <w:ind w:left="440"/>
      </w:pPr>
      <w:hyperlink w:anchor="_Toc5529" w:history="1">
        <w:r>
          <w:rPr>
            <w:rFonts w:ascii="IRNazanin" w:hAnsi="IRNazanin" w:eastAsia="IRNazanin" w:cs="IRNazanin"/>
            <w:color w:val="111111"/>
            <w:sz w:val="22"/>
            <w:szCs w:val="22"/>
            <w:b w:val="0"/>
            <w:bCs w:val="0"/>
            <w:i w:val="0"/>
            <w:iCs w:val="0"/>
          </w:rPr>
          <w:t>دیوان ملا علی شغال‏</w:t>
        </w:r>
        <w:r>
          <w:tab/>
        </w:r>
        <w:r>
          <w:fldChar w:fldCharType="begin"/>
        </w:r>
        <w:r>
          <w:instrText xml:space="preserve">PAGEREF 5529 \h</w:instrText>
        </w:r>
        <w:r>
          <w:fldChar w:fldCharType="end"/>
        </w:r>
      </w:hyperlink>
    </w:p>
    <w:p>
      <w:pPr>
        <w:tabs>
          <w:tab w:val="right" w:leader="dot" w:pos="9062"/>
        </w:tabs>
        <w:ind w:left="440"/>
      </w:pPr>
      <w:hyperlink w:anchor="_Toc5530" w:history="1">
        <w:r>
          <w:rPr>
            <w:rFonts w:ascii="IRNazanin" w:hAnsi="IRNazanin" w:eastAsia="IRNazanin" w:cs="IRNazanin"/>
            <w:color w:val="111111"/>
            <w:sz w:val="22"/>
            <w:szCs w:val="22"/>
            <w:b w:val="0"/>
            <w:bCs w:val="0"/>
            <w:i w:val="0"/>
            <w:iCs w:val="0"/>
          </w:rPr>
          <w:t>دیوان علی شماع‏</w:t>
        </w:r>
        <w:r>
          <w:tab/>
        </w:r>
        <w:r>
          <w:fldChar w:fldCharType="begin"/>
        </w:r>
        <w:r>
          <w:instrText xml:space="preserve">PAGEREF 5530 \h</w:instrText>
        </w:r>
        <w:r>
          <w:fldChar w:fldCharType="end"/>
        </w:r>
      </w:hyperlink>
    </w:p>
    <w:p>
      <w:pPr>
        <w:tabs>
          <w:tab w:val="right" w:leader="dot" w:pos="9062"/>
        </w:tabs>
        <w:ind w:left="440"/>
      </w:pPr>
      <w:hyperlink w:anchor="_Toc5531" w:history="1">
        <w:r>
          <w:rPr>
            <w:rFonts w:ascii="IRNazanin" w:hAnsi="IRNazanin" w:eastAsia="IRNazanin" w:cs="IRNazanin"/>
            <w:color w:val="111111"/>
            <w:sz w:val="22"/>
            <w:szCs w:val="22"/>
            <w:b w:val="0"/>
            <w:bCs w:val="0"/>
            <w:i w:val="0"/>
            <w:iCs w:val="0"/>
          </w:rPr>
          <w:t>5147- دیوان ملا محمد علی شوشتری أو شعره‏</w:t>
        </w:r>
        <w:r>
          <w:tab/>
        </w:r>
        <w:r>
          <w:fldChar w:fldCharType="begin"/>
        </w:r>
        <w:r>
          <w:instrText xml:space="preserve">PAGEREF 5531 \h</w:instrText>
        </w:r>
        <w:r>
          <w:fldChar w:fldCharType="end"/>
        </w:r>
      </w:hyperlink>
    </w:p>
    <w:p>
      <w:pPr>
        <w:tabs>
          <w:tab w:val="right" w:leader="dot" w:pos="9062"/>
        </w:tabs>
        <w:ind w:left="440"/>
      </w:pPr>
      <w:hyperlink w:anchor="_Toc5532" w:history="1">
        <w:r>
          <w:rPr>
            <w:rFonts w:ascii="IRNazanin" w:hAnsi="IRNazanin" w:eastAsia="IRNazanin" w:cs="IRNazanin"/>
            <w:color w:val="111111"/>
            <w:sz w:val="22"/>
            <w:szCs w:val="22"/>
            <w:b w:val="0"/>
            <w:bCs w:val="0"/>
            <w:i w:val="0"/>
            <w:iCs w:val="0"/>
          </w:rPr>
          <w:t>دیوان علی شهاب‏</w:t>
        </w:r>
        <w:r>
          <w:tab/>
        </w:r>
        <w:r>
          <w:fldChar w:fldCharType="begin"/>
        </w:r>
        <w:r>
          <w:instrText xml:space="preserve">PAGEREF 5532 \h</w:instrText>
        </w:r>
        <w:r>
          <w:fldChar w:fldCharType="end"/>
        </w:r>
      </w:hyperlink>
    </w:p>
    <w:p>
      <w:pPr>
        <w:tabs>
          <w:tab w:val="right" w:leader="dot" w:pos="9062"/>
        </w:tabs>
        <w:ind w:left="440"/>
      </w:pPr>
      <w:hyperlink w:anchor="_Toc5533" w:history="1">
        <w:r>
          <w:rPr>
            <w:rFonts w:ascii="IRNazanin" w:hAnsi="IRNazanin" w:eastAsia="IRNazanin" w:cs="IRNazanin"/>
            <w:color w:val="111111"/>
            <w:sz w:val="22"/>
            <w:szCs w:val="22"/>
            <w:b w:val="0"/>
            <w:bCs w:val="0"/>
            <w:i w:val="0"/>
            <w:iCs w:val="0"/>
          </w:rPr>
          <w:t>دیوان السید محمد علی الشهرستانی‏</w:t>
        </w:r>
        <w:r>
          <w:tab/>
        </w:r>
        <w:r>
          <w:fldChar w:fldCharType="begin"/>
        </w:r>
        <w:r>
          <w:instrText xml:space="preserve">PAGEREF 5533 \h</w:instrText>
        </w:r>
        <w:r>
          <w:fldChar w:fldCharType="end"/>
        </w:r>
      </w:hyperlink>
    </w:p>
    <w:p>
      <w:pPr>
        <w:tabs>
          <w:tab w:val="right" w:leader="dot" w:pos="9062"/>
        </w:tabs>
        <w:ind w:left="440"/>
      </w:pPr>
      <w:hyperlink w:anchor="_Toc5534" w:history="1">
        <w:r>
          <w:rPr>
            <w:rFonts w:ascii="IRNazanin" w:hAnsi="IRNazanin" w:eastAsia="IRNazanin" w:cs="IRNazanin"/>
            <w:color w:val="111111"/>
            <w:sz w:val="22"/>
            <w:szCs w:val="22"/>
            <w:b w:val="0"/>
            <w:bCs w:val="0"/>
            <w:i w:val="0"/>
            <w:iCs w:val="0"/>
          </w:rPr>
          <w:t>5148- دیوان علی شهریاری قمی أو شعره‏</w:t>
        </w:r>
        <w:r>
          <w:tab/>
        </w:r>
        <w:r>
          <w:fldChar w:fldCharType="begin"/>
        </w:r>
        <w:r>
          <w:instrText xml:space="preserve">PAGEREF 5534 \h</w:instrText>
        </w:r>
        <w:r>
          <w:fldChar w:fldCharType="end"/>
        </w:r>
      </w:hyperlink>
    </w:p>
    <w:p>
      <w:pPr>
        <w:tabs>
          <w:tab w:val="right" w:leader="dot" w:pos="9062"/>
        </w:tabs>
        <w:ind w:left="440"/>
      </w:pPr>
      <w:hyperlink w:anchor="_Toc5535" w:history="1">
        <w:r>
          <w:rPr>
            <w:rFonts w:ascii="IRNazanin" w:hAnsi="IRNazanin" w:eastAsia="IRNazanin" w:cs="IRNazanin"/>
            <w:color w:val="111111"/>
            <w:sz w:val="22"/>
            <w:szCs w:val="22"/>
            <w:b w:val="0"/>
            <w:bCs w:val="0"/>
            <w:i w:val="0"/>
            <w:iCs w:val="0"/>
          </w:rPr>
          <w:t>5149- دیوان الشیخ علی شیخ العراقین‏</w:t>
        </w:r>
        <w:r>
          <w:tab/>
        </w:r>
        <w:r>
          <w:fldChar w:fldCharType="begin"/>
        </w:r>
        <w:r>
          <w:instrText xml:space="preserve">PAGEREF 5535 \h</w:instrText>
        </w:r>
        <w:r>
          <w:fldChar w:fldCharType="end"/>
        </w:r>
      </w:hyperlink>
    </w:p>
    <w:p>
      <w:pPr>
        <w:tabs>
          <w:tab w:val="right" w:leader="dot" w:pos="9062"/>
        </w:tabs>
        <w:ind w:left="440"/>
      </w:pPr>
      <w:hyperlink w:anchor="_Toc5536" w:history="1">
        <w:r>
          <w:rPr>
            <w:rFonts w:ascii="IRNazanin" w:hAnsi="IRNazanin" w:eastAsia="IRNazanin" w:cs="IRNazanin"/>
            <w:color w:val="111111"/>
            <w:sz w:val="22"/>
            <w:szCs w:val="22"/>
            <w:b w:val="0"/>
            <w:bCs w:val="0"/>
            <w:i w:val="0"/>
            <w:iCs w:val="0"/>
          </w:rPr>
          <w:t>دیوان علی شیر نوائی‏</w:t>
        </w:r>
        <w:r>
          <w:tab/>
        </w:r>
        <w:r>
          <w:fldChar w:fldCharType="begin"/>
        </w:r>
        <w:r>
          <w:instrText xml:space="preserve">PAGEREF 5536 \h</w:instrText>
        </w:r>
        <w:r>
          <w:fldChar w:fldCharType="end"/>
        </w:r>
      </w:hyperlink>
    </w:p>
    <w:p>
      <w:pPr>
        <w:tabs>
          <w:tab w:val="right" w:leader="dot" w:pos="9062"/>
        </w:tabs>
        <w:ind w:left="440"/>
      </w:pPr>
      <w:hyperlink w:anchor="_Toc5537" w:history="1">
        <w:r>
          <w:rPr>
            <w:rFonts w:ascii="IRNazanin" w:hAnsi="IRNazanin" w:eastAsia="IRNazanin" w:cs="IRNazanin"/>
            <w:color w:val="111111"/>
            <w:sz w:val="22"/>
            <w:szCs w:val="22"/>
            <w:b w:val="0"/>
            <w:bCs w:val="0"/>
            <w:i w:val="0"/>
            <w:iCs w:val="0"/>
          </w:rPr>
          <w:t>5150- دیوان الملا علی الشیرازی أو شعره‏</w:t>
        </w:r>
        <w:r>
          <w:tab/>
        </w:r>
        <w:r>
          <w:fldChar w:fldCharType="begin"/>
        </w:r>
        <w:r>
          <w:instrText xml:space="preserve">PAGEREF 5537 \h</w:instrText>
        </w:r>
        <w:r>
          <w:fldChar w:fldCharType="end"/>
        </w:r>
      </w:hyperlink>
    </w:p>
    <w:p>
      <w:pPr>
        <w:tabs>
          <w:tab w:val="right" w:leader="dot" w:pos="9062"/>
        </w:tabs>
        <w:ind w:left="440"/>
      </w:pPr>
      <w:hyperlink w:anchor="_Toc5538" w:history="1">
        <w:r>
          <w:rPr>
            <w:rFonts w:ascii="IRNazanin" w:hAnsi="IRNazanin" w:eastAsia="IRNazanin" w:cs="IRNazanin"/>
            <w:color w:val="111111"/>
            <w:sz w:val="22"/>
            <w:szCs w:val="22"/>
            <w:b w:val="0"/>
            <w:bCs w:val="0"/>
            <w:i w:val="0"/>
            <w:iCs w:val="0"/>
          </w:rPr>
          <w:t>دیوان علی شیرازی‏</w:t>
        </w:r>
        <w:r>
          <w:tab/>
        </w:r>
        <w:r>
          <w:fldChar w:fldCharType="begin"/>
        </w:r>
        <w:r>
          <w:instrText xml:space="preserve">PAGEREF 5538 \h</w:instrText>
        </w:r>
        <w:r>
          <w:fldChar w:fldCharType="end"/>
        </w:r>
      </w:hyperlink>
    </w:p>
    <w:p>
      <w:pPr>
        <w:tabs>
          <w:tab w:val="right" w:leader="dot" w:pos="9062"/>
        </w:tabs>
        <w:ind w:left="440"/>
      </w:pPr>
      <w:hyperlink w:anchor="_Toc5539" w:history="1">
        <w:r>
          <w:rPr>
            <w:rFonts w:ascii="IRNazanin" w:hAnsi="IRNazanin" w:eastAsia="IRNazanin" w:cs="IRNazanin"/>
            <w:color w:val="111111"/>
            <w:sz w:val="22"/>
            <w:szCs w:val="22"/>
            <w:b w:val="0"/>
            <w:bCs w:val="0"/>
            <w:i w:val="0"/>
            <w:iCs w:val="0"/>
          </w:rPr>
          <w:t>5151- دیوان محمد علی الشیرازی‏</w:t>
        </w:r>
        <w:r>
          <w:tab/>
        </w:r>
        <w:r>
          <w:fldChar w:fldCharType="begin"/>
        </w:r>
        <w:r>
          <w:instrText xml:space="preserve">PAGEREF 5539 \h</w:instrText>
        </w:r>
        <w:r>
          <w:fldChar w:fldCharType="end"/>
        </w:r>
      </w:hyperlink>
    </w:p>
    <w:p>
      <w:pPr>
        <w:tabs>
          <w:tab w:val="right" w:leader="dot" w:pos="9062"/>
        </w:tabs>
        <w:ind w:left="440"/>
      </w:pPr>
      <w:hyperlink w:anchor="_Toc5540" w:history="1">
        <w:r>
          <w:rPr>
            <w:rFonts w:ascii="IRNazanin" w:hAnsi="IRNazanin" w:eastAsia="IRNazanin" w:cs="IRNazanin"/>
            <w:color w:val="111111"/>
            <w:sz w:val="22"/>
            <w:szCs w:val="22"/>
            <w:b w:val="0"/>
            <w:bCs w:val="0"/>
            <w:i w:val="0"/>
            <w:iCs w:val="0"/>
          </w:rPr>
          <w:t>دیوان علی صوتی‏</w:t>
        </w:r>
        <w:r>
          <w:tab/>
        </w:r>
        <w:r>
          <w:fldChar w:fldCharType="begin"/>
        </w:r>
        <w:r>
          <w:instrText xml:space="preserve">PAGEREF 5540 \h</w:instrText>
        </w:r>
        <w:r>
          <w:fldChar w:fldCharType="end"/>
        </w:r>
      </w:hyperlink>
    </w:p>
    <w:p>
      <w:pPr>
        <w:tabs>
          <w:tab w:val="right" w:leader="dot" w:pos="9062"/>
        </w:tabs>
        <w:ind w:left="440"/>
      </w:pPr>
      <w:hyperlink w:anchor="_Toc5541" w:history="1">
        <w:r>
          <w:rPr>
            <w:rFonts w:ascii="IRNazanin" w:hAnsi="IRNazanin" w:eastAsia="IRNazanin" w:cs="IRNazanin"/>
            <w:color w:val="111111"/>
            <w:sz w:val="22"/>
            <w:szCs w:val="22"/>
            <w:b w:val="0"/>
            <w:bCs w:val="0"/>
            <w:i w:val="0"/>
            <w:iCs w:val="0"/>
          </w:rPr>
          <w:t>5152- دیوان السید علی العاملی أو شعره‏</w:t>
        </w:r>
        <w:r>
          <w:tab/>
        </w:r>
        <w:r>
          <w:fldChar w:fldCharType="begin"/>
        </w:r>
        <w:r>
          <w:instrText xml:space="preserve">PAGEREF 5541 \h</w:instrText>
        </w:r>
        <w:r>
          <w:fldChar w:fldCharType="end"/>
        </w:r>
      </w:hyperlink>
    </w:p>
    <w:p>
      <w:pPr>
        <w:tabs>
          <w:tab w:val="right" w:leader="dot" w:pos="9062"/>
        </w:tabs>
        <w:ind w:left="440"/>
      </w:pPr>
      <w:hyperlink w:anchor="_Toc5542" w:history="1">
        <w:r>
          <w:rPr>
            <w:rFonts w:ascii="IRNazanin" w:hAnsi="IRNazanin" w:eastAsia="IRNazanin" w:cs="IRNazanin"/>
            <w:color w:val="111111"/>
            <w:sz w:val="22"/>
            <w:szCs w:val="22"/>
            <w:b w:val="0"/>
            <w:bCs w:val="0"/>
            <w:i w:val="0"/>
            <w:iCs w:val="0"/>
          </w:rPr>
          <w:t>5153- دیوان المولی علی العلیاری‏</w:t>
        </w:r>
        <w:r>
          <w:tab/>
        </w:r>
        <w:r>
          <w:fldChar w:fldCharType="begin"/>
        </w:r>
        <w:r>
          <w:instrText xml:space="preserve">PAGEREF 5542 \h</w:instrText>
        </w:r>
        <w:r>
          <w:fldChar w:fldCharType="end"/>
        </w:r>
      </w:hyperlink>
    </w:p>
    <w:p>
      <w:pPr>
        <w:tabs>
          <w:tab w:val="right" w:leader="dot" w:pos="9062"/>
        </w:tabs>
        <w:ind w:left="440"/>
      </w:pPr>
      <w:hyperlink w:anchor="_Toc5543" w:history="1">
        <w:r>
          <w:rPr>
            <w:rFonts w:ascii="IRNazanin" w:hAnsi="IRNazanin" w:eastAsia="IRNazanin" w:cs="IRNazanin"/>
            <w:color w:val="111111"/>
            <w:sz w:val="22"/>
            <w:szCs w:val="22"/>
            <w:b w:val="0"/>
            <w:bCs w:val="0"/>
            <w:i w:val="0"/>
            <w:iCs w:val="0"/>
          </w:rPr>
          <w:t>5154- دیوان علی عظیم سهرندی أو شعره‏</w:t>
        </w:r>
        <w:r>
          <w:tab/>
        </w:r>
        <w:r>
          <w:fldChar w:fldCharType="begin"/>
        </w:r>
        <w:r>
          <w:instrText xml:space="preserve">PAGEREF 5543 \h</w:instrText>
        </w:r>
        <w:r>
          <w:fldChar w:fldCharType="end"/>
        </w:r>
      </w:hyperlink>
    </w:p>
    <w:p>
      <w:pPr>
        <w:tabs>
          <w:tab w:val="right" w:leader="dot" w:pos="9062"/>
        </w:tabs>
        <w:ind w:left="440"/>
      </w:pPr>
      <w:hyperlink w:anchor="_Toc5544" w:history="1">
        <w:r>
          <w:rPr>
            <w:rFonts w:ascii="IRNazanin" w:hAnsi="IRNazanin" w:eastAsia="IRNazanin" w:cs="IRNazanin"/>
            <w:color w:val="111111"/>
            <w:sz w:val="22"/>
            <w:szCs w:val="22"/>
            <w:b w:val="0"/>
            <w:bCs w:val="0"/>
            <w:i w:val="0"/>
            <w:iCs w:val="0"/>
          </w:rPr>
          <w:t>دیوان علی فرنگی‏</w:t>
        </w:r>
        <w:r>
          <w:tab/>
        </w:r>
        <w:r>
          <w:fldChar w:fldCharType="begin"/>
        </w:r>
        <w:r>
          <w:instrText xml:space="preserve">PAGEREF 5544 \h</w:instrText>
        </w:r>
        <w:r>
          <w:fldChar w:fldCharType="end"/>
        </w:r>
      </w:hyperlink>
    </w:p>
    <w:p>
      <w:pPr>
        <w:tabs>
          <w:tab w:val="right" w:leader="dot" w:pos="9062"/>
        </w:tabs>
        <w:ind w:left="440"/>
      </w:pPr>
      <w:hyperlink w:anchor="_Toc5545" w:history="1">
        <w:r>
          <w:rPr>
            <w:rFonts w:ascii="IRNazanin" w:hAnsi="IRNazanin" w:eastAsia="IRNazanin" w:cs="IRNazanin"/>
            <w:color w:val="111111"/>
            <w:sz w:val="22"/>
            <w:szCs w:val="22"/>
            <w:b w:val="0"/>
            <w:bCs w:val="0"/>
            <w:i w:val="0"/>
            <w:iCs w:val="0"/>
          </w:rPr>
          <w:t>دیوان علی فیضی‏</w:t>
        </w:r>
        <w:r>
          <w:tab/>
        </w:r>
        <w:r>
          <w:fldChar w:fldCharType="begin"/>
        </w:r>
        <w:r>
          <w:instrText xml:space="preserve">PAGEREF 5545 \h</w:instrText>
        </w:r>
        <w:r>
          <w:fldChar w:fldCharType="end"/>
        </w:r>
      </w:hyperlink>
    </w:p>
    <w:p>
      <w:pPr>
        <w:tabs>
          <w:tab w:val="right" w:leader="dot" w:pos="9062"/>
        </w:tabs>
        <w:ind w:left="440"/>
      </w:pPr>
      <w:hyperlink w:anchor="_Toc5546" w:history="1">
        <w:r>
          <w:rPr>
            <w:rFonts w:ascii="IRNazanin" w:hAnsi="IRNazanin" w:eastAsia="IRNazanin" w:cs="IRNazanin"/>
            <w:color w:val="111111"/>
            <w:sz w:val="22"/>
            <w:szCs w:val="22"/>
            <w:b w:val="0"/>
            <w:bCs w:val="0"/>
            <w:i w:val="0"/>
            <w:iCs w:val="0"/>
          </w:rPr>
          <w:t>دیوان علی قاینی‏</w:t>
        </w:r>
        <w:r>
          <w:tab/>
        </w:r>
        <w:r>
          <w:fldChar w:fldCharType="begin"/>
        </w:r>
        <w:r>
          <w:instrText xml:space="preserve">PAGEREF 5546 \h</w:instrText>
        </w:r>
        <w:r>
          <w:fldChar w:fldCharType="end"/>
        </w:r>
      </w:hyperlink>
    </w:p>
    <w:p>
      <w:pPr>
        <w:tabs>
          <w:tab w:val="right" w:leader="dot" w:pos="9062"/>
        </w:tabs>
        <w:ind w:left="440"/>
      </w:pPr>
      <w:hyperlink w:anchor="_Toc5547" w:history="1">
        <w:r>
          <w:rPr>
            <w:rFonts w:ascii="IRNazanin" w:hAnsi="IRNazanin" w:eastAsia="IRNazanin" w:cs="IRNazanin"/>
            <w:color w:val="111111"/>
            <w:sz w:val="22"/>
            <w:szCs w:val="22"/>
            <w:b w:val="0"/>
            <w:bCs w:val="0"/>
            <w:i w:val="0"/>
            <w:iCs w:val="0"/>
          </w:rPr>
          <w:t>5155- دیوان السید علی القائنی أو شعره‏</w:t>
        </w:r>
        <w:r>
          <w:tab/>
        </w:r>
        <w:r>
          <w:fldChar w:fldCharType="begin"/>
        </w:r>
        <w:r>
          <w:instrText xml:space="preserve">PAGEREF 5547 \h</w:instrText>
        </w:r>
        <w:r>
          <w:fldChar w:fldCharType="end"/>
        </w:r>
      </w:hyperlink>
    </w:p>
    <w:p>
      <w:pPr>
        <w:tabs>
          <w:tab w:val="right" w:leader="dot" w:pos="9062"/>
        </w:tabs>
        <w:ind w:left="440"/>
      </w:pPr>
      <w:hyperlink w:anchor="_Toc5548" w:history="1">
        <w:r>
          <w:rPr>
            <w:rFonts w:ascii="IRNazanin" w:hAnsi="IRNazanin" w:eastAsia="IRNazanin" w:cs="IRNazanin"/>
            <w:color w:val="111111"/>
            <w:sz w:val="22"/>
            <w:szCs w:val="22"/>
            <w:b w:val="0"/>
            <w:bCs w:val="0"/>
            <w:i w:val="0"/>
            <w:iCs w:val="0"/>
          </w:rPr>
          <w:t>5156- دیوان الشیخ علی القطیفی‏</w:t>
        </w:r>
        <w:r>
          <w:tab/>
        </w:r>
        <w:r>
          <w:fldChar w:fldCharType="begin"/>
        </w:r>
        <w:r>
          <w:instrText xml:space="preserve">PAGEREF 5548 \h</w:instrText>
        </w:r>
        <w:r>
          <w:fldChar w:fldCharType="end"/>
        </w:r>
      </w:hyperlink>
    </w:p>
    <w:p>
      <w:pPr>
        <w:tabs>
          <w:tab w:val="right" w:leader="dot" w:pos="9062"/>
        </w:tabs>
        <w:ind w:left="440"/>
      </w:pPr>
      <w:hyperlink w:anchor="_Toc5549" w:history="1">
        <w:r>
          <w:rPr>
            <w:rFonts w:ascii="IRNazanin" w:hAnsi="IRNazanin" w:eastAsia="IRNazanin" w:cs="IRNazanin"/>
            <w:color w:val="111111"/>
            <w:sz w:val="22"/>
            <w:szCs w:val="22"/>
            <w:b w:val="0"/>
            <w:bCs w:val="0"/>
            <w:i w:val="0"/>
            <w:iCs w:val="0"/>
          </w:rPr>
          <w:t>5157- دیوان علی قلی خان أو شعره‏</w:t>
        </w:r>
        <w:r>
          <w:tab/>
        </w:r>
        <w:r>
          <w:fldChar w:fldCharType="begin"/>
        </w:r>
        <w:r>
          <w:instrText xml:space="preserve">PAGEREF 5549 \h</w:instrText>
        </w:r>
        <w:r>
          <w:fldChar w:fldCharType="end"/>
        </w:r>
      </w:hyperlink>
    </w:p>
    <w:p>
      <w:pPr>
        <w:tabs>
          <w:tab w:val="right" w:leader="dot" w:pos="9062"/>
        </w:tabs>
        <w:ind w:left="440"/>
      </w:pPr>
      <w:hyperlink w:anchor="_Toc5550" w:history="1">
        <w:r>
          <w:rPr>
            <w:rFonts w:ascii="IRNazanin" w:hAnsi="IRNazanin" w:eastAsia="IRNazanin" w:cs="IRNazanin"/>
            <w:color w:val="111111"/>
            <w:sz w:val="22"/>
            <w:szCs w:val="22"/>
            <w:b w:val="0"/>
            <w:bCs w:val="0"/>
            <w:i w:val="0"/>
            <w:iCs w:val="0"/>
          </w:rPr>
          <w:t>5158- دیوان علی قلی خان أو شعره‏</w:t>
        </w:r>
        <w:r>
          <w:tab/>
        </w:r>
        <w:r>
          <w:fldChar w:fldCharType="begin"/>
        </w:r>
        <w:r>
          <w:instrText xml:space="preserve">PAGEREF 5550 \h</w:instrText>
        </w:r>
        <w:r>
          <w:fldChar w:fldCharType="end"/>
        </w:r>
      </w:hyperlink>
    </w:p>
    <w:p>
      <w:pPr>
        <w:tabs>
          <w:tab w:val="right" w:leader="dot" w:pos="9062"/>
        </w:tabs>
        <w:ind w:left="440"/>
      </w:pPr>
      <w:hyperlink w:anchor="_Toc5551" w:history="1">
        <w:r>
          <w:rPr>
            <w:rFonts w:ascii="IRNazanin" w:hAnsi="IRNazanin" w:eastAsia="IRNazanin" w:cs="IRNazanin"/>
            <w:color w:val="111111"/>
            <w:sz w:val="22"/>
            <w:szCs w:val="22"/>
            <w:b w:val="0"/>
            <w:bCs w:val="0"/>
            <w:i w:val="0"/>
            <w:iCs w:val="0"/>
          </w:rPr>
          <w:t>دیوان ملا علی قلی خلخالی واقف‏</w:t>
        </w:r>
        <w:r>
          <w:tab/>
        </w:r>
        <w:r>
          <w:fldChar w:fldCharType="begin"/>
        </w:r>
        <w:r>
          <w:instrText xml:space="preserve">PAGEREF 5551 \h</w:instrText>
        </w:r>
        <w:r>
          <w:fldChar w:fldCharType="end"/>
        </w:r>
      </w:hyperlink>
    </w:p>
    <w:p>
      <w:pPr>
        <w:tabs>
          <w:tab w:val="right" w:leader="dot" w:pos="9062"/>
        </w:tabs>
        <w:ind w:left="440"/>
      </w:pPr>
      <w:hyperlink w:anchor="_Toc5552" w:history="1">
        <w:r>
          <w:rPr>
            <w:rFonts w:ascii="IRNazanin" w:hAnsi="IRNazanin" w:eastAsia="IRNazanin" w:cs="IRNazanin"/>
            <w:color w:val="111111"/>
            <w:sz w:val="22"/>
            <w:szCs w:val="22"/>
            <w:b w:val="0"/>
            <w:bCs w:val="0"/>
            <w:i w:val="0"/>
            <w:iCs w:val="0"/>
          </w:rPr>
          <w:t>دیوان علی قلی دامغانی‏</w:t>
        </w:r>
        <w:r>
          <w:tab/>
        </w:r>
        <w:r>
          <w:fldChar w:fldCharType="begin"/>
        </w:r>
        <w:r>
          <w:instrText xml:space="preserve">PAGEREF 5552 \h</w:instrText>
        </w:r>
        <w:r>
          <w:fldChar w:fldCharType="end"/>
        </w:r>
      </w:hyperlink>
    </w:p>
    <w:p>
      <w:pPr>
        <w:tabs>
          <w:tab w:val="right" w:leader="dot" w:pos="9062"/>
        </w:tabs>
        <w:ind w:left="440"/>
      </w:pPr>
      <w:hyperlink w:anchor="_Toc5553" w:history="1">
        <w:r>
          <w:rPr>
            <w:rFonts w:ascii="IRNazanin" w:hAnsi="IRNazanin" w:eastAsia="IRNazanin" w:cs="IRNazanin"/>
            <w:color w:val="111111"/>
            <w:sz w:val="22"/>
            <w:szCs w:val="22"/>
            <w:b w:val="0"/>
            <w:bCs w:val="0"/>
            <w:i w:val="0"/>
            <w:iCs w:val="0"/>
          </w:rPr>
          <w:t>دیوان علی قلی داغستانی‏</w:t>
        </w:r>
        <w:r>
          <w:tab/>
        </w:r>
        <w:r>
          <w:fldChar w:fldCharType="begin"/>
        </w:r>
        <w:r>
          <w:instrText xml:space="preserve">PAGEREF 5553 \h</w:instrText>
        </w:r>
        <w:r>
          <w:fldChar w:fldCharType="end"/>
        </w:r>
      </w:hyperlink>
    </w:p>
    <w:p>
      <w:pPr>
        <w:tabs>
          <w:tab w:val="right" w:leader="dot" w:pos="9062"/>
        </w:tabs>
        <w:ind w:left="440"/>
      </w:pPr>
      <w:hyperlink w:anchor="_Toc5554" w:history="1">
        <w:r>
          <w:rPr>
            <w:rFonts w:ascii="IRNazanin" w:hAnsi="IRNazanin" w:eastAsia="IRNazanin" w:cs="IRNazanin"/>
            <w:color w:val="111111"/>
            <w:sz w:val="22"/>
            <w:szCs w:val="22"/>
            <w:b w:val="0"/>
            <w:bCs w:val="0"/>
            <w:i w:val="0"/>
            <w:iCs w:val="0"/>
          </w:rPr>
          <w:t>دیوان علی قمی‏</w:t>
        </w:r>
        <w:r>
          <w:tab/>
        </w:r>
        <w:r>
          <w:fldChar w:fldCharType="begin"/>
        </w:r>
        <w:r>
          <w:instrText xml:space="preserve">PAGEREF 5554 \h</w:instrText>
        </w:r>
        <w:r>
          <w:fldChar w:fldCharType="end"/>
        </w:r>
      </w:hyperlink>
    </w:p>
    <w:p>
      <w:pPr>
        <w:tabs>
          <w:tab w:val="right" w:leader="dot" w:pos="9062"/>
        </w:tabs>
        <w:ind w:left="440"/>
      </w:pPr>
      <w:hyperlink w:anchor="_Toc5555" w:history="1">
        <w:r>
          <w:rPr>
            <w:rFonts w:ascii="IRNazanin" w:hAnsi="IRNazanin" w:eastAsia="IRNazanin" w:cs="IRNazanin"/>
            <w:color w:val="111111"/>
            <w:sz w:val="22"/>
            <w:szCs w:val="22"/>
            <w:b w:val="0"/>
            <w:bCs w:val="0"/>
            <w:i w:val="0"/>
            <w:iCs w:val="0"/>
          </w:rPr>
          <w:t>5159- دیوان علی قمی أو شعره‏</w:t>
        </w:r>
        <w:r>
          <w:tab/>
        </w:r>
        <w:r>
          <w:fldChar w:fldCharType="begin"/>
        </w:r>
        <w:r>
          <w:instrText xml:space="preserve">PAGEREF 5555 \h</w:instrText>
        </w:r>
        <w:r>
          <w:fldChar w:fldCharType="end"/>
        </w:r>
      </w:hyperlink>
    </w:p>
    <w:p>
      <w:pPr>
        <w:tabs>
          <w:tab w:val="right" w:leader="dot" w:pos="9062"/>
        </w:tabs>
        <w:ind w:left="440"/>
      </w:pPr>
      <w:hyperlink w:anchor="_Toc5556" w:history="1">
        <w:r>
          <w:rPr>
            <w:rFonts w:ascii="IRNazanin" w:hAnsi="IRNazanin" w:eastAsia="IRNazanin" w:cs="IRNazanin"/>
            <w:color w:val="111111"/>
            <w:sz w:val="22"/>
            <w:szCs w:val="22"/>
            <w:b w:val="0"/>
            <w:bCs w:val="0"/>
            <w:i w:val="0"/>
            <w:iCs w:val="0"/>
          </w:rPr>
          <w:t>دیوان علی کاتب‏</w:t>
        </w:r>
        <w:r>
          <w:tab/>
        </w:r>
        <w:r>
          <w:fldChar w:fldCharType="begin"/>
        </w:r>
        <w:r>
          <w:instrText xml:space="preserve">PAGEREF 5556 \h</w:instrText>
        </w:r>
        <w:r>
          <w:fldChar w:fldCharType="end"/>
        </w:r>
      </w:hyperlink>
    </w:p>
    <w:p>
      <w:pPr>
        <w:tabs>
          <w:tab w:val="right" w:leader="dot" w:pos="9062"/>
        </w:tabs>
        <w:ind w:left="440"/>
      </w:pPr>
      <w:hyperlink w:anchor="_Toc5557" w:history="1">
        <w:r>
          <w:rPr>
            <w:rFonts w:ascii="IRNazanin" w:hAnsi="IRNazanin" w:eastAsia="IRNazanin" w:cs="IRNazanin"/>
            <w:color w:val="111111"/>
            <w:sz w:val="22"/>
            <w:szCs w:val="22"/>
            <w:b w:val="0"/>
            <w:bCs w:val="0"/>
            <w:i w:val="0"/>
            <w:iCs w:val="0"/>
          </w:rPr>
          <w:t>دیوان السید علی الکازرونی‏</w:t>
        </w:r>
        <w:r>
          <w:tab/>
        </w:r>
        <w:r>
          <w:fldChar w:fldCharType="begin"/>
        </w:r>
        <w:r>
          <w:instrText xml:space="preserve">PAGEREF 5557 \h</w:instrText>
        </w:r>
        <w:r>
          <w:fldChar w:fldCharType="end"/>
        </w:r>
      </w:hyperlink>
    </w:p>
    <w:p>
      <w:pPr>
        <w:tabs>
          <w:tab w:val="right" w:leader="dot" w:pos="9062"/>
        </w:tabs>
        <w:ind w:left="440"/>
      </w:pPr>
      <w:hyperlink w:anchor="_Toc5558" w:history="1">
        <w:r>
          <w:rPr>
            <w:rFonts w:ascii="IRNazanin" w:hAnsi="IRNazanin" w:eastAsia="IRNazanin" w:cs="IRNazanin"/>
            <w:color w:val="111111"/>
            <w:sz w:val="22"/>
            <w:szCs w:val="22"/>
            <w:b w:val="0"/>
            <w:bCs w:val="0"/>
            <w:i w:val="0"/>
            <w:iCs w:val="0"/>
          </w:rPr>
          <w:t>دیوان الشیخ علی کاشف الغطاء</w:t>
        </w:r>
        <w:r>
          <w:tab/>
        </w:r>
        <w:r>
          <w:fldChar w:fldCharType="begin"/>
        </w:r>
        <w:r>
          <w:instrText xml:space="preserve">PAGEREF 5558 \h</w:instrText>
        </w:r>
        <w:r>
          <w:fldChar w:fldCharType="end"/>
        </w:r>
      </w:hyperlink>
    </w:p>
    <w:p>
      <w:pPr>
        <w:tabs>
          <w:tab w:val="right" w:leader="dot" w:pos="9062"/>
        </w:tabs>
        <w:ind w:left="440"/>
      </w:pPr>
      <w:hyperlink w:anchor="_Toc5559" w:history="1">
        <w:r>
          <w:rPr>
            <w:rFonts w:ascii="IRNazanin" w:hAnsi="IRNazanin" w:eastAsia="IRNazanin" w:cs="IRNazanin"/>
            <w:color w:val="111111"/>
            <w:sz w:val="22"/>
            <w:szCs w:val="22"/>
            <w:b w:val="0"/>
            <w:bCs w:val="0"/>
            <w:i w:val="0"/>
            <w:iCs w:val="0"/>
          </w:rPr>
          <w:t>5160- دیوان ملا میر علی کاشی أو شعره‏</w:t>
        </w:r>
        <w:r>
          <w:tab/>
        </w:r>
        <w:r>
          <w:fldChar w:fldCharType="begin"/>
        </w:r>
        <w:r>
          <w:instrText xml:space="preserve">PAGEREF 5559 \h</w:instrText>
        </w:r>
        <w:r>
          <w:fldChar w:fldCharType="end"/>
        </w:r>
      </w:hyperlink>
    </w:p>
    <w:p>
      <w:pPr>
        <w:tabs>
          <w:tab w:val="right" w:leader="dot" w:pos="9062"/>
        </w:tabs>
        <w:ind w:left="440"/>
      </w:pPr>
      <w:hyperlink w:anchor="_Toc5560" w:history="1">
        <w:r>
          <w:rPr>
            <w:rFonts w:ascii="IRNazanin" w:hAnsi="IRNazanin" w:eastAsia="IRNazanin" w:cs="IRNazanin"/>
            <w:color w:val="111111"/>
            <w:sz w:val="22"/>
            <w:szCs w:val="22"/>
            <w:b w:val="0"/>
            <w:bCs w:val="0"/>
            <w:i w:val="0"/>
            <w:iCs w:val="0"/>
          </w:rPr>
          <w:t>دیوان ملا علی کاشی‏</w:t>
        </w:r>
        <w:r>
          <w:tab/>
        </w:r>
        <w:r>
          <w:fldChar w:fldCharType="begin"/>
        </w:r>
        <w:r>
          <w:instrText xml:space="preserve">PAGEREF 5560 \h</w:instrText>
        </w:r>
        <w:r>
          <w:fldChar w:fldCharType="end"/>
        </w:r>
      </w:hyperlink>
    </w:p>
    <w:p>
      <w:pPr>
        <w:tabs>
          <w:tab w:val="right" w:leader="dot" w:pos="9062"/>
        </w:tabs>
        <w:ind w:left="440"/>
      </w:pPr>
      <w:hyperlink w:anchor="_Toc5561" w:history="1">
        <w:r>
          <w:rPr>
            <w:rFonts w:ascii="IRNazanin" w:hAnsi="IRNazanin" w:eastAsia="IRNazanin" w:cs="IRNazanin"/>
            <w:color w:val="111111"/>
            <w:sz w:val="22"/>
            <w:szCs w:val="22"/>
            <w:b w:val="0"/>
            <w:bCs w:val="0"/>
            <w:i w:val="0"/>
            <w:iCs w:val="0"/>
          </w:rPr>
          <w:t>دیوان علی کرمانی‏</w:t>
        </w:r>
        <w:r>
          <w:tab/>
        </w:r>
        <w:r>
          <w:fldChar w:fldCharType="begin"/>
        </w:r>
        <w:r>
          <w:instrText xml:space="preserve">PAGEREF 5561 \h</w:instrText>
        </w:r>
        <w:r>
          <w:fldChar w:fldCharType="end"/>
        </w:r>
      </w:hyperlink>
    </w:p>
    <w:p>
      <w:pPr>
        <w:tabs>
          <w:tab w:val="right" w:leader="dot" w:pos="9062"/>
        </w:tabs>
        <w:ind w:left="440"/>
      </w:pPr>
      <w:hyperlink w:anchor="_Toc5562" w:history="1">
        <w:r>
          <w:rPr>
            <w:rFonts w:ascii="IRNazanin" w:hAnsi="IRNazanin" w:eastAsia="IRNazanin" w:cs="IRNazanin"/>
            <w:color w:val="111111"/>
            <w:sz w:val="22"/>
            <w:szCs w:val="22"/>
            <w:b w:val="0"/>
            <w:bCs w:val="0"/>
            <w:i w:val="0"/>
            <w:iCs w:val="0"/>
          </w:rPr>
          <w:t>5161- دیوان السید علی کمونة أو شعره‏</w:t>
        </w:r>
        <w:r>
          <w:tab/>
        </w:r>
        <w:r>
          <w:fldChar w:fldCharType="begin"/>
        </w:r>
        <w:r>
          <w:instrText xml:space="preserve">PAGEREF 5562 \h</w:instrText>
        </w:r>
        <w:r>
          <w:fldChar w:fldCharType="end"/>
        </w:r>
      </w:hyperlink>
    </w:p>
    <w:p>
      <w:pPr>
        <w:tabs>
          <w:tab w:val="right" w:leader="dot" w:pos="9062"/>
        </w:tabs>
        <w:ind w:left="440"/>
      </w:pPr>
      <w:hyperlink w:anchor="_Toc5563" w:history="1">
        <w:r>
          <w:rPr>
            <w:rFonts w:ascii="IRNazanin" w:hAnsi="IRNazanin" w:eastAsia="IRNazanin" w:cs="IRNazanin"/>
            <w:color w:val="111111"/>
            <w:sz w:val="22"/>
            <w:szCs w:val="22"/>
            <w:b w:val="0"/>
            <w:bCs w:val="0"/>
            <w:i w:val="0"/>
            <w:iCs w:val="0"/>
          </w:rPr>
          <w:t>دیوان محمد علی کمونة</w:t>
        </w:r>
        <w:r>
          <w:tab/>
        </w:r>
        <w:r>
          <w:fldChar w:fldCharType="begin"/>
        </w:r>
        <w:r>
          <w:instrText xml:space="preserve">PAGEREF 5563 \h</w:instrText>
        </w:r>
        <w:r>
          <w:fldChar w:fldCharType="end"/>
        </w:r>
      </w:hyperlink>
    </w:p>
    <w:p>
      <w:pPr>
        <w:tabs>
          <w:tab w:val="right" w:leader="dot" w:pos="9062"/>
        </w:tabs>
        <w:ind w:left="440"/>
      </w:pPr>
      <w:hyperlink w:anchor="_Toc5564" w:history="1">
        <w:r>
          <w:rPr>
            <w:rFonts w:ascii="IRNazanin" w:hAnsi="IRNazanin" w:eastAsia="IRNazanin" w:cs="IRNazanin"/>
            <w:color w:val="111111"/>
            <w:sz w:val="22"/>
            <w:szCs w:val="22"/>
            <w:b w:val="0"/>
            <w:bCs w:val="0"/>
            <w:i w:val="0"/>
            <w:iCs w:val="0"/>
          </w:rPr>
          <w:t>5162- دیوان علی لغری أو شعره‏</w:t>
        </w:r>
        <w:r>
          <w:tab/>
        </w:r>
        <w:r>
          <w:fldChar w:fldCharType="begin"/>
        </w:r>
        <w:r>
          <w:instrText xml:space="preserve">PAGEREF 5564 \h</w:instrText>
        </w:r>
        <w:r>
          <w:fldChar w:fldCharType="end"/>
        </w:r>
      </w:hyperlink>
    </w:p>
    <w:p>
      <w:pPr>
        <w:tabs>
          <w:tab w:val="right" w:leader="dot" w:pos="9062"/>
        </w:tabs>
        <w:ind w:left="440"/>
      </w:pPr>
      <w:hyperlink w:anchor="_Toc5565" w:history="1">
        <w:r>
          <w:rPr>
            <w:rFonts w:ascii="IRNazanin" w:hAnsi="IRNazanin" w:eastAsia="IRNazanin" w:cs="IRNazanin"/>
            <w:color w:val="111111"/>
            <w:sz w:val="22"/>
            <w:szCs w:val="22"/>
            <w:b w:val="0"/>
            <w:bCs w:val="0"/>
            <w:i w:val="0"/>
            <w:iCs w:val="0"/>
          </w:rPr>
          <w:t>دیوان محمد علی ماهر</w:t>
        </w:r>
        <w:r>
          <w:tab/>
        </w:r>
        <w:r>
          <w:fldChar w:fldCharType="begin"/>
        </w:r>
        <w:r>
          <w:instrText xml:space="preserve">PAGEREF 5565 \h</w:instrText>
        </w:r>
        <w:r>
          <w:fldChar w:fldCharType="end"/>
        </w:r>
      </w:hyperlink>
    </w:p>
    <w:p>
      <w:pPr>
        <w:tabs>
          <w:tab w:val="right" w:leader="dot" w:pos="9062"/>
        </w:tabs>
        <w:ind w:left="440"/>
      </w:pPr>
      <w:hyperlink w:anchor="_Toc5566" w:history="1">
        <w:r>
          <w:rPr>
            <w:rFonts w:ascii="IRNazanin" w:hAnsi="IRNazanin" w:eastAsia="IRNazanin" w:cs="IRNazanin"/>
            <w:color w:val="111111"/>
            <w:sz w:val="22"/>
            <w:szCs w:val="22"/>
            <w:b w:val="0"/>
            <w:bCs w:val="0"/>
            <w:i w:val="0"/>
            <w:iCs w:val="0"/>
          </w:rPr>
          <w:t>5163- دیوان علیم بهاری أو شعره‏</w:t>
        </w:r>
        <w:r>
          <w:tab/>
        </w:r>
        <w:r>
          <w:fldChar w:fldCharType="begin"/>
        </w:r>
        <w:r>
          <w:instrText xml:space="preserve">PAGEREF 5566 \h</w:instrText>
        </w:r>
        <w:r>
          <w:fldChar w:fldCharType="end"/>
        </w:r>
      </w:hyperlink>
    </w:p>
    <w:p>
      <w:pPr>
        <w:tabs>
          <w:tab w:val="right" w:leader="dot" w:pos="9062"/>
        </w:tabs>
        <w:ind w:left="440"/>
      </w:pPr>
      <w:hyperlink w:anchor="_Toc5567" w:history="1">
        <w:r>
          <w:rPr>
            <w:rFonts w:ascii="IRNazanin" w:hAnsi="IRNazanin" w:eastAsia="IRNazanin" w:cs="IRNazanin"/>
            <w:color w:val="111111"/>
            <w:sz w:val="22"/>
            <w:szCs w:val="22"/>
            <w:b w:val="0"/>
            <w:bCs w:val="0"/>
            <w:i w:val="0"/>
            <w:iCs w:val="0"/>
          </w:rPr>
          <w:t>5164- دیوان علی متکلم رازی‏</w:t>
        </w:r>
        <w:r>
          <w:tab/>
        </w:r>
        <w:r>
          <w:fldChar w:fldCharType="begin"/>
        </w:r>
        <w:r>
          <w:instrText xml:space="preserve">PAGEREF 5567 \h</w:instrText>
        </w:r>
        <w:r>
          <w:fldChar w:fldCharType="end"/>
        </w:r>
      </w:hyperlink>
    </w:p>
    <w:p>
      <w:pPr>
        <w:tabs>
          <w:tab w:val="right" w:leader="dot" w:pos="9062"/>
        </w:tabs>
        <w:ind w:left="440"/>
      </w:pPr>
      <w:hyperlink w:anchor="_Toc5568" w:history="1">
        <w:r>
          <w:rPr>
            <w:rFonts w:ascii="IRNazanin" w:hAnsi="IRNazanin" w:eastAsia="IRNazanin" w:cs="IRNazanin"/>
            <w:color w:val="111111"/>
            <w:sz w:val="22"/>
            <w:szCs w:val="22"/>
            <w:b w:val="0"/>
            <w:bCs w:val="0"/>
            <w:i w:val="0"/>
            <w:iCs w:val="0"/>
          </w:rPr>
          <w:t>5165- دیوان علی محمد احتشام أولیائی‏</w:t>
        </w:r>
        <w:r>
          <w:tab/>
        </w:r>
        <w:r>
          <w:fldChar w:fldCharType="begin"/>
        </w:r>
        <w:r>
          <w:instrText xml:space="preserve">PAGEREF 5568 \h</w:instrText>
        </w:r>
        <w:r>
          <w:fldChar w:fldCharType="end"/>
        </w:r>
      </w:hyperlink>
    </w:p>
    <w:p>
      <w:pPr>
        <w:tabs>
          <w:tab w:val="right" w:leader="dot" w:pos="9062"/>
        </w:tabs>
        <w:ind w:left="440"/>
      </w:pPr>
      <w:hyperlink w:anchor="_Toc5569" w:history="1">
        <w:r>
          <w:rPr>
            <w:rFonts w:ascii="IRNazanin" w:hAnsi="IRNazanin" w:eastAsia="IRNazanin" w:cs="IRNazanin"/>
            <w:color w:val="111111"/>
            <w:sz w:val="22"/>
            <w:szCs w:val="22"/>
            <w:b w:val="0"/>
            <w:bCs w:val="0"/>
            <w:i w:val="0"/>
            <w:iCs w:val="0"/>
          </w:rPr>
          <w:t>5166- دیوان علی محمد أویسی‏</w:t>
        </w:r>
        <w:r>
          <w:tab/>
        </w:r>
        <w:r>
          <w:fldChar w:fldCharType="begin"/>
        </w:r>
        <w:r>
          <w:instrText xml:space="preserve">PAGEREF 5569 \h</w:instrText>
        </w:r>
        <w:r>
          <w:fldChar w:fldCharType="end"/>
        </w:r>
      </w:hyperlink>
    </w:p>
    <w:p>
      <w:pPr>
        <w:tabs>
          <w:tab w:val="right" w:leader="dot" w:pos="9062"/>
        </w:tabs>
        <w:ind w:left="440"/>
      </w:pPr>
      <w:hyperlink w:anchor="_Toc5570" w:history="1">
        <w:r>
          <w:rPr>
            <w:rFonts w:ascii="IRNazanin" w:hAnsi="IRNazanin" w:eastAsia="IRNazanin" w:cs="IRNazanin"/>
            <w:color w:val="111111"/>
            <w:sz w:val="22"/>
            <w:szCs w:val="22"/>
            <w:b w:val="0"/>
            <w:bCs w:val="0"/>
            <w:i w:val="0"/>
            <w:iCs w:val="0"/>
          </w:rPr>
          <w:t>دیوان علی محمد أدیب بیضائی‏</w:t>
        </w:r>
        <w:r>
          <w:tab/>
        </w:r>
        <w:r>
          <w:fldChar w:fldCharType="begin"/>
        </w:r>
        <w:r>
          <w:instrText xml:space="preserve">PAGEREF 5570 \h</w:instrText>
        </w:r>
        <w:r>
          <w:fldChar w:fldCharType="end"/>
        </w:r>
      </w:hyperlink>
    </w:p>
    <w:p>
      <w:pPr>
        <w:tabs>
          <w:tab w:val="right" w:leader="dot" w:pos="9062"/>
        </w:tabs>
        <w:ind w:left="440"/>
      </w:pPr>
      <w:hyperlink w:anchor="_Toc5571" w:history="1">
        <w:r>
          <w:rPr>
            <w:rFonts w:ascii="IRNazanin" w:hAnsi="IRNazanin" w:eastAsia="IRNazanin" w:cs="IRNazanin"/>
            <w:color w:val="111111"/>
            <w:sz w:val="22"/>
            <w:szCs w:val="22"/>
            <w:b w:val="0"/>
            <w:bCs w:val="0"/>
            <w:i w:val="0"/>
            <w:iCs w:val="0"/>
          </w:rPr>
          <w:t>دیوان السید علی المشعشعی‏</w:t>
        </w:r>
        <w:r>
          <w:tab/>
        </w:r>
        <w:r>
          <w:fldChar w:fldCharType="begin"/>
        </w:r>
        <w:r>
          <w:instrText xml:space="preserve">PAGEREF 5571 \h</w:instrText>
        </w:r>
        <w:r>
          <w:fldChar w:fldCharType="end"/>
        </w:r>
      </w:hyperlink>
    </w:p>
    <w:p>
      <w:pPr>
        <w:tabs>
          <w:tab w:val="right" w:leader="dot" w:pos="9062"/>
        </w:tabs>
        <w:ind w:left="440"/>
      </w:pPr>
      <w:hyperlink w:anchor="_Toc5572" w:history="1">
        <w:r>
          <w:rPr>
            <w:rFonts w:ascii="IRNazanin" w:hAnsi="IRNazanin" w:eastAsia="IRNazanin" w:cs="IRNazanin"/>
            <w:color w:val="111111"/>
            <w:sz w:val="22"/>
            <w:szCs w:val="22"/>
            <w:b w:val="0"/>
            <w:bCs w:val="0"/>
            <w:i w:val="0"/>
            <w:iCs w:val="0"/>
          </w:rPr>
          <w:t>دیوان علی مشهدی‏</w:t>
        </w:r>
        <w:r>
          <w:tab/>
        </w:r>
        <w:r>
          <w:fldChar w:fldCharType="begin"/>
        </w:r>
        <w:r>
          <w:instrText xml:space="preserve">PAGEREF 5572 \h</w:instrText>
        </w:r>
        <w:r>
          <w:fldChar w:fldCharType="end"/>
        </w:r>
      </w:hyperlink>
    </w:p>
    <w:p>
      <w:pPr>
        <w:tabs>
          <w:tab w:val="right" w:leader="dot" w:pos="9062"/>
        </w:tabs>
        <w:ind w:left="440"/>
      </w:pPr>
      <w:hyperlink w:anchor="_Toc5573" w:history="1">
        <w:r>
          <w:rPr>
            <w:rFonts w:ascii="IRNazanin" w:hAnsi="IRNazanin" w:eastAsia="IRNazanin" w:cs="IRNazanin"/>
            <w:color w:val="111111"/>
            <w:sz w:val="22"/>
            <w:szCs w:val="22"/>
            <w:b w:val="0"/>
            <w:bCs w:val="0"/>
            <w:i w:val="0"/>
            <w:iCs w:val="0"/>
          </w:rPr>
          <w:t>دیوان سید علی معصوم مدنی‏</w:t>
        </w:r>
        <w:r>
          <w:tab/>
        </w:r>
        <w:r>
          <w:fldChar w:fldCharType="begin"/>
        </w:r>
        <w:r>
          <w:instrText xml:space="preserve">PAGEREF 5573 \h</w:instrText>
        </w:r>
        <w:r>
          <w:fldChar w:fldCharType="end"/>
        </w:r>
      </w:hyperlink>
    </w:p>
    <w:p>
      <w:pPr>
        <w:tabs>
          <w:tab w:val="right" w:leader="dot" w:pos="9062"/>
        </w:tabs>
        <w:ind w:left="440"/>
      </w:pPr>
      <w:hyperlink w:anchor="_Toc5574" w:history="1">
        <w:r>
          <w:rPr>
            <w:rFonts w:ascii="IRNazanin" w:hAnsi="IRNazanin" w:eastAsia="IRNazanin" w:cs="IRNazanin"/>
            <w:color w:val="111111"/>
            <w:sz w:val="22"/>
            <w:szCs w:val="22"/>
            <w:b w:val="0"/>
            <w:bCs w:val="0"/>
            <w:i w:val="0"/>
            <w:iCs w:val="0"/>
          </w:rPr>
          <w:t>5167- دیوان حاج محمد علی مهابادی أو شعره‏</w:t>
        </w:r>
        <w:r>
          <w:tab/>
        </w:r>
        <w:r>
          <w:fldChar w:fldCharType="begin"/>
        </w:r>
        <w:r>
          <w:instrText xml:space="preserve">PAGEREF 5574 \h</w:instrText>
        </w:r>
        <w:r>
          <w:fldChar w:fldCharType="end"/>
        </w:r>
      </w:hyperlink>
    </w:p>
    <w:p>
      <w:pPr>
        <w:tabs>
          <w:tab w:val="right" w:leader="dot" w:pos="9062"/>
        </w:tabs>
        <w:ind w:left="440"/>
      </w:pPr>
      <w:hyperlink w:anchor="_Toc5575" w:history="1">
        <w:r>
          <w:rPr>
            <w:rFonts w:ascii="IRNazanin" w:hAnsi="IRNazanin" w:eastAsia="IRNazanin" w:cs="IRNazanin"/>
            <w:color w:val="111111"/>
            <w:sz w:val="22"/>
            <w:szCs w:val="22"/>
            <w:b w:val="0"/>
            <w:bCs w:val="0"/>
            <w:i w:val="0"/>
            <w:iCs w:val="0"/>
          </w:rPr>
          <w:t>دیوان مشهدی علی نانوا</w:t>
        </w:r>
        <w:r>
          <w:tab/>
        </w:r>
        <w:r>
          <w:fldChar w:fldCharType="begin"/>
        </w:r>
        <w:r>
          <w:instrText xml:space="preserve">PAGEREF 5575 \h</w:instrText>
        </w:r>
        <w:r>
          <w:fldChar w:fldCharType="end"/>
        </w:r>
      </w:hyperlink>
    </w:p>
    <w:p>
      <w:pPr>
        <w:tabs>
          <w:tab w:val="right" w:leader="dot" w:pos="9062"/>
        </w:tabs>
        <w:ind w:left="440"/>
      </w:pPr>
      <w:hyperlink w:anchor="_Toc5576" w:history="1">
        <w:r>
          <w:rPr>
            <w:rFonts w:ascii="IRNazanin" w:hAnsi="IRNazanin" w:eastAsia="IRNazanin" w:cs="IRNazanin"/>
            <w:color w:val="111111"/>
            <w:sz w:val="22"/>
            <w:szCs w:val="22"/>
            <w:b w:val="0"/>
            <w:bCs w:val="0"/>
            <w:i w:val="0"/>
            <w:iCs w:val="0"/>
          </w:rPr>
          <w:t>5168- دیوان آقا علی نجف‏آبادی أو شعره‏</w:t>
        </w:r>
        <w:r>
          <w:tab/>
        </w:r>
        <w:r>
          <w:fldChar w:fldCharType="begin"/>
        </w:r>
        <w:r>
          <w:instrText xml:space="preserve">PAGEREF 5576 \h</w:instrText>
        </w:r>
        <w:r>
          <w:fldChar w:fldCharType="end"/>
        </w:r>
      </w:hyperlink>
    </w:p>
    <w:p>
      <w:pPr>
        <w:tabs>
          <w:tab w:val="right" w:leader="dot" w:pos="9062"/>
        </w:tabs>
        <w:ind w:left="440"/>
      </w:pPr>
      <w:hyperlink w:anchor="_Toc5577" w:history="1">
        <w:r>
          <w:rPr>
            <w:rFonts w:ascii="IRNazanin" w:hAnsi="IRNazanin" w:eastAsia="IRNazanin" w:cs="IRNazanin"/>
            <w:color w:val="111111"/>
            <w:sz w:val="22"/>
            <w:szCs w:val="22"/>
            <w:b w:val="0"/>
            <w:bCs w:val="0"/>
            <w:i w:val="0"/>
            <w:iCs w:val="0"/>
          </w:rPr>
          <w:t>5169- دیوان علی نقاش أو شعره‏</w:t>
        </w:r>
        <w:r>
          <w:tab/>
        </w:r>
        <w:r>
          <w:fldChar w:fldCharType="begin"/>
        </w:r>
        <w:r>
          <w:instrText xml:space="preserve">PAGEREF 5577 \h</w:instrText>
        </w:r>
        <w:r>
          <w:fldChar w:fldCharType="end"/>
        </w:r>
      </w:hyperlink>
    </w:p>
    <w:p>
      <w:pPr>
        <w:tabs>
          <w:tab w:val="right" w:leader="dot" w:pos="9062"/>
        </w:tabs>
        <w:ind w:left="440"/>
      </w:pPr>
      <w:hyperlink w:anchor="_Toc5578" w:history="1">
        <w:r>
          <w:rPr>
            <w:rFonts w:ascii="IRNazanin" w:hAnsi="IRNazanin" w:eastAsia="IRNazanin" w:cs="IRNazanin"/>
            <w:color w:val="111111"/>
            <w:sz w:val="22"/>
            <w:szCs w:val="22"/>
            <w:b w:val="0"/>
            <w:bCs w:val="0"/>
            <w:i w:val="0"/>
            <w:iCs w:val="0"/>
          </w:rPr>
          <w:t>5170- دیوان الشیخ علی نقی الأحسائی‏</w:t>
        </w:r>
        <w:r>
          <w:tab/>
        </w:r>
        <w:r>
          <w:fldChar w:fldCharType="begin"/>
        </w:r>
        <w:r>
          <w:instrText xml:space="preserve">PAGEREF 5578 \h</w:instrText>
        </w:r>
        <w:r>
          <w:fldChar w:fldCharType="end"/>
        </w:r>
      </w:hyperlink>
    </w:p>
    <w:p>
      <w:pPr>
        <w:tabs>
          <w:tab w:val="right" w:leader="dot" w:pos="9062"/>
        </w:tabs>
        <w:ind w:left="440"/>
      </w:pPr>
      <w:hyperlink w:anchor="_Toc5579" w:history="1">
        <w:r>
          <w:rPr>
            <w:rFonts w:ascii="IRNazanin" w:hAnsi="IRNazanin" w:eastAsia="IRNazanin" w:cs="IRNazanin"/>
            <w:color w:val="111111"/>
            <w:sz w:val="22"/>
            <w:szCs w:val="22"/>
            <w:b w:val="0"/>
            <w:bCs w:val="0"/>
            <w:i w:val="0"/>
            <w:iCs w:val="0"/>
          </w:rPr>
          <w:t>دیوان علی نقی إنصاف‏</w:t>
        </w:r>
        <w:r>
          <w:tab/>
        </w:r>
        <w:r>
          <w:fldChar w:fldCharType="begin"/>
        </w:r>
        <w:r>
          <w:instrText xml:space="preserve">PAGEREF 5579 \h</w:instrText>
        </w:r>
        <w:r>
          <w:fldChar w:fldCharType="end"/>
        </w:r>
      </w:hyperlink>
    </w:p>
    <w:p>
      <w:pPr>
        <w:tabs>
          <w:tab w:val="right" w:leader="dot" w:pos="9062"/>
        </w:tabs>
        <w:ind w:left="440"/>
      </w:pPr>
      <w:hyperlink w:anchor="_Toc5580" w:history="1">
        <w:r>
          <w:rPr>
            <w:rFonts w:ascii="IRNazanin" w:hAnsi="IRNazanin" w:eastAsia="IRNazanin" w:cs="IRNazanin"/>
            <w:color w:val="111111"/>
            <w:sz w:val="22"/>
            <w:szCs w:val="22"/>
            <w:b w:val="0"/>
            <w:bCs w:val="0"/>
            <w:i w:val="0"/>
            <w:iCs w:val="0"/>
          </w:rPr>
          <w:t>5171- دیوان علی نقی إیجاد أو شعره‏</w:t>
        </w:r>
        <w:r>
          <w:tab/>
        </w:r>
        <w:r>
          <w:fldChar w:fldCharType="begin"/>
        </w:r>
        <w:r>
          <w:instrText xml:space="preserve">PAGEREF 5580 \h</w:instrText>
        </w:r>
        <w:r>
          <w:fldChar w:fldCharType="end"/>
        </w:r>
      </w:hyperlink>
    </w:p>
    <w:p>
      <w:pPr>
        <w:tabs>
          <w:tab w:val="right" w:leader="dot" w:pos="9062"/>
        </w:tabs>
        <w:ind w:left="440"/>
      </w:pPr>
      <w:hyperlink w:anchor="_Toc5581" w:history="1">
        <w:r>
          <w:rPr>
            <w:rFonts w:ascii="IRNazanin" w:hAnsi="IRNazanin" w:eastAsia="IRNazanin" w:cs="IRNazanin"/>
            <w:color w:val="111111"/>
            <w:sz w:val="22"/>
            <w:szCs w:val="22"/>
            <w:b w:val="0"/>
            <w:bCs w:val="0"/>
            <w:i w:val="0"/>
            <w:iCs w:val="0"/>
          </w:rPr>
          <w:t>دیوان علی نقی قمی‏</w:t>
        </w:r>
        <w:r>
          <w:tab/>
        </w:r>
        <w:r>
          <w:fldChar w:fldCharType="begin"/>
        </w:r>
        <w:r>
          <w:instrText xml:space="preserve">PAGEREF 5581 \h</w:instrText>
        </w:r>
        <w:r>
          <w:fldChar w:fldCharType="end"/>
        </w:r>
      </w:hyperlink>
    </w:p>
    <w:p>
      <w:pPr>
        <w:tabs>
          <w:tab w:val="right" w:leader="dot" w:pos="9062"/>
        </w:tabs>
        <w:ind w:left="440"/>
      </w:pPr>
      <w:hyperlink w:anchor="_Toc5582" w:history="1">
        <w:r>
          <w:rPr>
            <w:rFonts w:ascii="IRNazanin" w:hAnsi="IRNazanin" w:eastAsia="IRNazanin" w:cs="IRNazanin"/>
            <w:color w:val="111111"/>
            <w:sz w:val="22"/>
            <w:szCs w:val="22"/>
            <w:b w:val="0"/>
            <w:bCs w:val="0"/>
            <w:i w:val="0"/>
            <w:iCs w:val="0"/>
          </w:rPr>
          <w:t>دیوان علی نقی کمره‏ای‏</w:t>
        </w:r>
        <w:r>
          <w:tab/>
        </w:r>
        <w:r>
          <w:fldChar w:fldCharType="begin"/>
        </w:r>
        <w:r>
          <w:instrText xml:space="preserve">PAGEREF 5582 \h</w:instrText>
        </w:r>
        <w:r>
          <w:fldChar w:fldCharType="end"/>
        </w:r>
      </w:hyperlink>
    </w:p>
    <w:p>
      <w:pPr>
        <w:tabs>
          <w:tab w:val="right" w:leader="dot" w:pos="9062"/>
        </w:tabs>
        <w:ind w:left="440"/>
      </w:pPr>
      <w:hyperlink w:anchor="_Toc5583" w:history="1">
        <w:r>
          <w:rPr>
            <w:rFonts w:ascii="IRNazanin" w:hAnsi="IRNazanin" w:eastAsia="IRNazanin" w:cs="IRNazanin"/>
            <w:color w:val="111111"/>
            <w:sz w:val="22"/>
            <w:szCs w:val="22"/>
            <w:b w:val="0"/>
            <w:bCs w:val="0"/>
            <w:i w:val="0"/>
            <w:iCs w:val="0"/>
          </w:rPr>
          <w:t>5172- دیوان علی نقی گنابادی‏</w:t>
        </w:r>
        <w:r>
          <w:tab/>
        </w:r>
        <w:r>
          <w:fldChar w:fldCharType="begin"/>
        </w:r>
        <w:r>
          <w:instrText xml:space="preserve">PAGEREF 5583 \h</w:instrText>
        </w:r>
        <w:r>
          <w:fldChar w:fldCharType="end"/>
        </w:r>
      </w:hyperlink>
    </w:p>
    <w:p>
      <w:pPr>
        <w:tabs>
          <w:tab w:val="right" w:leader="dot" w:pos="9062"/>
        </w:tabs>
        <w:ind w:left="440"/>
      </w:pPr>
      <w:hyperlink w:anchor="_Toc5584" w:history="1">
        <w:r>
          <w:rPr>
            <w:rFonts w:ascii="IRNazanin" w:hAnsi="IRNazanin" w:eastAsia="IRNazanin" w:cs="IRNazanin"/>
            <w:color w:val="111111"/>
            <w:sz w:val="22"/>
            <w:szCs w:val="22"/>
            <w:b w:val="0"/>
            <w:bCs w:val="0"/>
            <w:i w:val="0"/>
            <w:iCs w:val="0"/>
          </w:rPr>
          <w:t>5173- دیوان السید علی نقی اللکهنوی‏</w:t>
        </w:r>
        <w:r>
          <w:tab/>
        </w:r>
        <w:r>
          <w:fldChar w:fldCharType="begin"/>
        </w:r>
        <w:r>
          <w:instrText xml:space="preserve">PAGEREF 5584 \h</w:instrText>
        </w:r>
        <w:r>
          <w:fldChar w:fldCharType="end"/>
        </w:r>
      </w:hyperlink>
    </w:p>
    <w:p>
      <w:pPr>
        <w:tabs>
          <w:tab w:val="right" w:leader="dot" w:pos="9062"/>
        </w:tabs>
        <w:ind w:left="440"/>
      </w:pPr>
      <w:hyperlink w:anchor="_Toc5585" w:history="1">
        <w:r>
          <w:rPr>
            <w:rFonts w:ascii="IRNazanin" w:hAnsi="IRNazanin" w:eastAsia="IRNazanin" w:cs="IRNazanin"/>
            <w:color w:val="111111"/>
            <w:sz w:val="22"/>
            <w:szCs w:val="22"/>
            <w:b w:val="0"/>
            <w:bCs w:val="0"/>
            <w:i w:val="0"/>
            <w:iCs w:val="0"/>
          </w:rPr>
          <w:t>دیوان المولی علی نقی المازندرانی‏</w:t>
        </w:r>
        <w:r>
          <w:tab/>
        </w:r>
        <w:r>
          <w:fldChar w:fldCharType="begin"/>
        </w:r>
        <w:r>
          <w:instrText xml:space="preserve">PAGEREF 5585 \h</w:instrText>
        </w:r>
        <w:r>
          <w:fldChar w:fldCharType="end"/>
        </w:r>
      </w:hyperlink>
    </w:p>
    <w:p>
      <w:pPr>
        <w:tabs>
          <w:tab w:val="right" w:leader="dot" w:pos="9062"/>
        </w:tabs>
        <w:ind w:left="440"/>
      </w:pPr>
      <w:hyperlink w:anchor="_Toc5586" w:history="1">
        <w:r>
          <w:rPr>
            <w:rFonts w:ascii="IRNazanin" w:hAnsi="IRNazanin" w:eastAsia="IRNazanin" w:cs="IRNazanin"/>
            <w:color w:val="111111"/>
            <w:sz w:val="22"/>
            <w:szCs w:val="22"/>
            <w:b w:val="0"/>
            <w:bCs w:val="0"/>
            <w:i w:val="0"/>
            <w:iCs w:val="0"/>
          </w:rPr>
          <w:t>دیوان السید علی الواعظ</w:t>
        </w:r>
        <w:r>
          <w:tab/>
        </w:r>
        <w:r>
          <w:fldChar w:fldCharType="begin"/>
        </w:r>
        <w:r>
          <w:instrText xml:space="preserve">PAGEREF 5586 \h</w:instrText>
        </w:r>
        <w:r>
          <w:fldChar w:fldCharType="end"/>
        </w:r>
      </w:hyperlink>
    </w:p>
    <w:p>
      <w:pPr>
        <w:tabs>
          <w:tab w:val="right" w:leader="dot" w:pos="9062"/>
        </w:tabs>
        <w:ind w:left="440"/>
      </w:pPr>
      <w:hyperlink w:anchor="_Toc5587" w:history="1">
        <w:r>
          <w:rPr>
            <w:rFonts w:ascii="IRNazanin" w:hAnsi="IRNazanin" w:eastAsia="IRNazanin" w:cs="IRNazanin"/>
            <w:color w:val="111111"/>
            <w:sz w:val="22"/>
            <w:szCs w:val="22"/>
            <w:b w:val="0"/>
            <w:bCs w:val="0"/>
            <w:i w:val="0"/>
            <w:iCs w:val="0"/>
          </w:rPr>
          <w:t>5174- دیوان سید علی هاشمی أو شعره‏</w:t>
        </w:r>
        <w:r>
          <w:tab/>
        </w:r>
        <w:r>
          <w:fldChar w:fldCharType="begin"/>
        </w:r>
        <w:r>
          <w:instrText xml:space="preserve">PAGEREF 5587 \h</w:instrText>
        </w:r>
        <w:r>
          <w:fldChar w:fldCharType="end"/>
        </w:r>
      </w:hyperlink>
    </w:p>
    <w:p>
      <w:pPr>
        <w:tabs>
          <w:tab w:val="right" w:leader="dot" w:pos="9062"/>
        </w:tabs>
        <w:ind w:left="440"/>
      </w:pPr>
      <w:hyperlink w:anchor="_Toc5588" w:history="1">
        <w:r>
          <w:rPr>
            <w:rFonts w:ascii="IRNazanin" w:hAnsi="IRNazanin" w:eastAsia="IRNazanin" w:cs="IRNazanin"/>
            <w:color w:val="111111"/>
            <w:sz w:val="22"/>
            <w:szCs w:val="22"/>
            <w:b w:val="0"/>
            <w:bCs w:val="0"/>
            <w:i w:val="0"/>
            <w:iCs w:val="0"/>
          </w:rPr>
          <w:t>5175- دیوان میر علی هروی‏</w:t>
        </w:r>
        <w:r>
          <w:tab/>
        </w:r>
        <w:r>
          <w:fldChar w:fldCharType="begin"/>
        </w:r>
        <w:r>
          <w:instrText xml:space="preserve">PAGEREF 5588 \h</w:instrText>
        </w:r>
        <w:r>
          <w:fldChar w:fldCharType="end"/>
        </w:r>
      </w:hyperlink>
    </w:p>
    <w:p>
      <w:pPr>
        <w:tabs>
          <w:tab w:val="right" w:leader="dot" w:pos="9062"/>
        </w:tabs>
        <w:ind w:left="440"/>
      </w:pPr>
      <w:hyperlink w:anchor="_Toc5589" w:history="1">
        <w:r>
          <w:rPr>
            <w:rFonts w:ascii="IRNazanin" w:hAnsi="IRNazanin" w:eastAsia="IRNazanin" w:cs="IRNazanin"/>
            <w:color w:val="111111"/>
            <w:sz w:val="22"/>
            <w:szCs w:val="22"/>
            <w:b w:val="0"/>
            <w:bCs w:val="0"/>
            <w:i w:val="0"/>
            <w:iCs w:val="0"/>
          </w:rPr>
          <w:t>5176- دیوان میر علی هروی أو شعره‏</w:t>
        </w:r>
        <w:r>
          <w:tab/>
        </w:r>
        <w:r>
          <w:fldChar w:fldCharType="begin"/>
        </w:r>
        <w:r>
          <w:instrText xml:space="preserve">PAGEREF 5589 \h</w:instrText>
        </w:r>
        <w:r>
          <w:fldChar w:fldCharType="end"/>
        </w:r>
      </w:hyperlink>
    </w:p>
    <w:p>
      <w:pPr>
        <w:tabs>
          <w:tab w:val="right" w:leader="dot" w:pos="9062"/>
        </w:tabs>
        <w:ind w:left="440"/>
      </w:pPr>
      <w:hyperlink w:anchor="_Toc5590" w:history="1">
        <w:r>
          <w:rPr>
            <w:rFonts w:ascii="IRNazanin" w:hAnsi="IRNazanin" w:eastAsia="IRNazanin" w:cs="IRNazanin"/>
            <w:color w:val="111111"/>
            <w:sz w:val="22"/>
            <w:szCs w:val="22"/>
            <w:b w:val="0"/>
            <w:bCs w:val="0"/>
            <w:i w:val="0"/>
            <w:iCs w:val="0"/>
          </w:rPr>
          <w:t>5177- دیوان سید علی همدانی أو شعره‏</w:t>
        </w:r>
        <w:r>
          <w:tab/>
        </w:r>
        <w:r>
          <w:fldChar w:fldCharType="begin"/>
        </w:r>
        <w:r>
          <w:instrText xml:space="preserve">PAGEREF 5590 \h</w:instrText>
        </w:r>
        <w:r>
          <w:fldChar w:fldCharType="end"/>
        </w:r>
      </w:hyperlink>
    </w:p>
    <w:p>
      <w:pPr>
        <w:tabs>
          <w:tab w:val="right" w:leader="dot" w:pos="9062"/>
        </w:tabs>
        <w:ind w:left="440"/>
      </w:pPr>
      <w:hyperlink w:anchor="_Toc5591" w:history="1">
        <w:r>
          <w:rPr>
            <w:rFonts w:ascii="IRNazanin" w:hAnsi="IRNazanin" w:eastAsia="IRNazanin" w:cs="IRNazanin"/>
            <w:color w:val="111111"/>
            <w:sz w:val="22"/>
            <w:szCs w:val="22"/>
            <w:b w:val="0"/>
            <w:bCs w:val="0"/>
            <w:i w:val="0"/>
            <w:iCs w:val="0"/>
          </w:rPr>
          <w:t>5178- دیوان علی‏یار بیگ أو شعره‏</w:t>
        </w:r>
        <w:r>
          <w:tab/>
        </w:r>
        <w:r>
          <w:fldChar w:fldCharType="begin"/>
        </w:r>
        <w:r>
          <w:instrText xml:space="preserve">PAGEREF 5591 \h</w:instrText>
        </w:r>
        <w:r>
          <w:fldChar w:fldCharType="end"/>
        </w:r>
      </w:hyperlink>
    </w:p>
    <w:p>
      <w:pPr>
        <w:tabs>
          <w:tab w:val="right" w:leader="dot" w:pos="9062"/>
        </w:tabs>
        <w:ind w:left="440"/>
      </w:pPr>
      <w:hyperlink w:anchor="_Toc5592" w:history="1">
        <w:r>
          <w:rPr>
            <w:rFonts w:ascii="IRNazanin" w:hAnsi="IRNazanin" w:eastAsia="IRNazanin" w:cs="IRNazanin"/>
            <w:color w:val="111111"/>
            <w:sz w:val="22"/>
            <w:szCs w:val="22"/>
            <w:b w:val="0"/>
            <w:bCs w:val="0"/>
            <w:i w:val="0"/>
            <w:iCs w:val="0"/>
          </w:rPr>
          <w:t>5179- دیوان علی یزدی‏</w:t>
        </w:r>
        <w:r>
          <w:tab/>
        </w:r>
        <w:r>
          <w:fldChar w:fldCharType="begin"/>
        </w:r>
        <w:r>
          <w:instrText xml:space="preserve">PAGEREF 5592 \h</w:instrText>
        </w:r>
        <w:r>
          <w:fldChar w:fldCharType="end"/>
        </w:r>
      </w:hyperlink>
    </w:p>
    <w:p>
      <w:pPr>
        <w:tabs>
          <w:tab w:val="right" w:leader="dot" w:pos="9062"/>
        </w:tabs>
        <w:ind w:left="440"/>
      </w:pPr>
      <w:hyperlink w:anchor="_Toc5593" w:history="1">
        <w:r>
          <w:rPr>
            <w:rFonts w:ascii="IRNazanin" w:hAnsi="IRNazanin" w:eastAsia="IRNazanin" w:cs="IRNazanin"/>
            <w:color w:val="111111"/>
            <w:sz w:val="22"/>
            <w:szCs w:val="22"/>
            <w:b w:val="0"/>
            <w:bCs w:val="0"/>
            <w:i w:val="0"/>
            <w:iCs w:val="0"/>
          </w:rPr>
          <w:t>دیوان علی یزدی‏</w:t>
        </w:r>
        <w:r>
          <w:tab/>
        </w:r>
        <w:r>
          <w:fldChar w:fldCharType="begin"/>
        </w:r>
        <w:r>
          <w:instrText xml:space="preserve">PAGEREF 5593 \h</w:instrText>
        </w:r>
        <w:r>
          <w:fldChar w:fldCharType="end"/>
        </w:r>
      </w:hyperlink>
    </w:p>
    <w:p>
      <w:pPr>
        <w:tabs>
          <w:tab w:val="right" w:leader="dot" w:pos="9062"/>
        </w:tabs>
        <w:ind w:left="440"/>
      </w:pPr>
      <w:hyperlink w:anchor="_Toc5594" w:history="1">
        <w:r>
          <w:rPr>
            <w:rFonts w:ascii="IRNazanin" w:hAnsi="IRNazanin" w:eastAsia="IRNazanin" w:cs="IRNazanin"/>
            <w:color w:val="111111"/>
            <w:sz w:val="22"/>
            <w:szCs w:val="22"/>
            <w:b w:val="0"/>
            <w:bCs w:val="0"/>
            <w:i w:val="0"/>
            <w:iCs w:val="0"/>
          </w:rPr>
          <w:t>دیوان عماد أصفهانی‏</w:t>
        </w:r>
        <w:r>
          <w:tab/>
        </w:r>
        <w:r>
          <w:fldChar w:fldCharType="begin"/>
        </w:r>
        <w:r>
          <w:instrText xml:space="preserve">PAGEREF 5594 \h</w:instrText>
        </w:r>
        <w:r>
          <w:fldChar w:fldCharType="end"/>
        </w:r>
      </w:hyperlink>
    </w:p>
    <w:p>
      <w:pPr>
        <w:tabs>
          <w:tab w:val="right" w:leader="dot" w:pos="9062"/>
        </w:tabs>
        <w:ind w:left="440"/>
      </w:pPr>
      <w:hyperlink w:anchor="_Toc5595" w:history="1">
        <w:r>
          <w:rPr>
            <w:rFonts w:ascii="IRNazanin" w:hAnsi="IRNazanin" w:eastAsia="IRNazanin" w:cs="IRNazanin"/>
            <w:color w:val="111111"/>
            <w:sz w:val="22"/>
            <w:szCs w:val="22"/>
            <w:b w:val="0"/>
            <w:bCs w:val="0"/>
            <w:i w:val="0"/>
            <w:iCs w:val="0"/>
          </w:rPr>
          <w:t>5180- دیوان عماد بخاری أو شعره‏</w:t>
        </w:r>
        <w:r>
          <w:tab/>
        </w:r>
        <w:r>
          <w:fldChar w:fldCharType="begin"/>
        </w:r>
        <w:r>
          <w:instrText xml:space="preserve">PAGEREF 5595 \h</w:instrText>
        </w:r>
        <w:r>
          <w:fldChar w:fldCharType="end"/>
        </w:r>
      </w:hyperlink>
    </w:p>
    <w:p>
      <w:pPr>
        <w:tabs>
          <w:tab w:val="right" w:leader="dot" w:pos="9062"/>
        </w:tabs>
        <w:ind w:left="440"/>
      </w:pPr>
      <w:hyperlink w:anchor="_Toc5596" w:history="1">
        <w:r>
          <w:rPr>
            <w:rFonts w:ascii="IRNazanin" w:hAnsi="IRNazanin" w:eastAsia="IRNazanin" w:cs="IRNazanin"/>
            <w:color w:val="111111"/>
            <w:sz w:val="22"/>
            <w:szCs w:val="22"/>
            <w:b w:val="0"/>
            <w:bCs w:val="0"/>
            <w:i w:val="0"/>
            <w:iCs w:val="0"/>
          </w:rPr>
          <w:t>5181- دیوان عماد تربتی‏</w:t>
        </w:r>
        <w:r>
          <w:tab/>
        </w:r>
        <w:r>
          <w:fldChar w:fldCharType="begin"/>
        </w:r>
        <w:r>
          <w:instrText xml:space="preserve">PAGEREF 5596 \h</w:instrText>
        </w:r>
        <w:r>
          <w:fldChar w:fldCharType="end"/>
        </w:r>
      </w:hyperlink>
    </w:p>
    <w:p>
      <w:pPr>
        <w:tabs>
          <w:tab w:val="right" w:leader="dot" w:pos="9062"/>
        </w:tabs>
        <w:ind w:left="440"/>
      </w:pPr>
      <w:hyperlink w:anchor="_Toc5597" w:history="1">
        <w:r>
          <w:rPr>
            <w:rFonts w:ascii="IRNazanin" w:hAnsi="IRNazanin" w:eastAsia="IRNazanin" w:cs="IRNazanin"/>
            <w:color w:val="111111"/>
            <w:sz w:val="22"/>
            <w:szCs w:val="22"/>
            <w:b w:val="0"/>
            <w:bCs w:val="0"/>
            <w:i w:val="0"/>
            <w:iCs w:val="0"/>
          </w:rPr>
          <w:t>دیوان عماد حسینی‏</w:t>
        </w:r>
        <w:r>
          <w:tab/>
        </w:r>
        <w:r>
          <w:fldChar w:fldCharType="begin"/>
        </w:r>
        <w:r>
          <w:instrText xml:space="preserve">PAGEREF 5597 \h</w:instrText>
        </w:r>
        <w:r>
          <w:fldChar w:fldCharType="end"/>
        </w:r>
      </w:hyperlink>
    </w:p>
    <w:p>
      <w:pPr>
        <w:tabs>
          <w:tab w:val="right" w:leader="dot" w:pos="9062"/>
        </w:tabs>
        <w:ind w:left="440"/>
      </w:pPr>
      <w:hyperlink w:anchor="_Toc5598" w:history="1">
        <w:r>
          <w:rPr>
            <w:rFonts w:ascii="IRNazanin" w:hAnsi="IRNazanin" w:eastAsia="IRNazanin" w:cs="IRNazanin"/>
            <w:color w:val="111111"/>
            <w:sz w:val="22"/>
            <w:szCs w:val="22"/>
            <w:b w:val="0"/>
            <w:bCs w:val="0"/>
            <w:i w:val="0"/>
            <w:iCs w:val="0"/>
          </w:rPr>
          <w:t>دیوان عماد خجندی‏</w:t>
        </w:r>
        <w:r>
          <w:tab/>
        </w:r>
        <w:r>
          <w:fldChar w:fldCharType="begin"/>
        </w:r>
        <w:r>
          <w:instrText xml:space="preserve">PAGEREF 5598 \h</w:instrText>
        </w:r>
        <w:r>
          <w:fldChar w:fldCharType="end"/>
        </w:r>
      </w:hyperlink>
    </w:p>
    <w:p>
      <w:pPr>
        <w:tabs>
          <w:tab w:val="right" w:leader="dot" w:pos="9062"/>
        </w:tabs>
        <w:ind w:left="440"/>
      </w:pPr>
      <w:hyperlink w:anchor="_Toc5599" w:history="1">
        <w:r>
          <w:rPr>
            <w:rFonts w:ascii="IRNazanin" w:hAnsi="IRNazanin" w:eastAsia="IRNazanin" w:cs="IRNazanin"/>
            <w:color w:val="111111"/>
            <w:sz w:val="22"/>
            <w:szCs w:val="22"/>
            <w:b w:val="0"/>
            <w:bCs w:val="0"/>
            <w:i w:val="0"/>
            <w:iCs w:val="0"/>
          </w:rPr>
          <w:t>دیوان عماد خراسانی‏</w:t>
        </w:r>
        <w:r>
          <w:tab/>
        </w:r>
        <w:r>
          <w:fldChar w:fldCharType="begin"/>
        </w:r>
        <w:r>
          <w:instrText xml:space="preserve">PAGEREF 5599 \h</w:instrText>
        </w:r>
        <w:r>
          <w:fldChar w:fldCharType="end"/>
        </w:r>
      </w:hyperlink>
    </w:p>
    <w:p>
      <w:pPr>
        <w:tabs>
          <w:tab w:val="right" w:leader="dot" w:pos="9062"/>
        </w:tabs>
        <w:ind w:left="440"/>
      </w:pPr>
      <w:hyperlink w:anchor="_Toc5600" w:history="1">
        <w:r>
          <w:rPr>
            <w:rFonts w:ascii="IRNazanin" w:hAnsi="IRNazanin" w:eastAsia="IRNazanin" w:cs="IRNazanin"/>
            <w:color w:val="111111"/>
            <w:sz w:val="22"/>
            <w:szCs w:val="22"/>
            <w:b w:val="0"/>
            <w:bCs w:val="0"/>
            <w:i w:val="0"/>
            <w:iCs w:val="0"/>
          </w:rPr>
          <w:t>دیوان میر عماد الخطاط</w:t>
        </w:r>
        <w:r>
          <w:tab/>
        </w:r>
        <w:r>
          <w:fldChar w:fldCharType="begin"/>
        </w:r>
        <w:r>
          <w:instrText xml:space="preserve">PAGEREF 5600 \h</w:instrText>
        </w:r>
        <w:r>
          <w:fldChar w:fldCharType="end"/>
        </w:r>
      </w:hyperlink>
    </w:p>
    <w:p>
      <w:pPr>
        <w:tabs>
          <w:tab w:val="right" w:leader="dot" w:pos="9062"/>
        </w:tabs>
        <w:ind w:left="440"/>
      </w:pPr>
      <w:hyperlink w:anchor="_Toc5601" w:history="1">
        <w:r>
          <w:rPr>
            <w:rFonts w:ascii="IRNazanin" w:hAnsi="IRNazanin" w:eastAsia="IRNazanin" w:cs="IRNazanin"/>
            <w:color w:val="111111"/>
            <w:sz w:val="22"/>
            <w:szCs w:val="22"/>
            <w:b w:val="0"/>
            <w:bCs w:val="0"/>
            <w:i w:val="0"/>
            <w:iCs w:val="0"/>
          </w:rPr>
          <w:t>5182- دیوان عماد الدین غزنوی‏</w:t>
        </w:r>
        <w:r>
          <w:tab/>
        </w:r>
        <w:r>
          <w:fldChar w:fldCharType="begin"/>
        </w:r>
        <w:r>
          <w:instrText xml:space="preserve">PAGEREF 5601 \h</w:instrText>
        </w:r>
        <w:r>
          <w:fldChar w:fldCharType="end"/>
        </w:r>
      </w:hyperlink>
    </w:p>
    <w:p>
      <w:pPr>
        <w:tabs>
          <w:tab w:val="right" w:leader="dot" w:pos="9062"/>
        </w:tabs>
        <w:ind w:left="440"/>
      </w:pPr>
      <w:hyperlink w:anchor="_Toc5602" w:history="1">
        <w:r>
          <w:rPr>
            <w:rFonts w:ascii="IRNazanin" w:hAnsi="IRNazanin" w:eastAsia="IRNazanin" w:cs="IRNazanin"/>
            <w:color w:val="111111"/>
            <w:sz w:val="22"/>
            <w:szCs w:val="22"/>
            <w:b w:val="0"/>
            <w:bCs w:val="0"/>
            <w:i w:val="0"/>
            <w:iCs w:val="0"/>
          </w:rPr>
          <w:t>دیوان عماد الدین الحروفی‏</w:t>
        </w:r>
        <w:r>
          <w:tab/>
        </w:r>
        <w:r>
          <w:fldChar w:fldCharType="begin"/>
        </w:r>
        <w:r>
          <w:instrText xml:space="preserve">PAGEREF 5602 \h</w:instrText>
        </w:r>
        <w:r>
          <w:fldChar w:fldCharType="end"/>
        </w:r>
      </w:hyperlink>
    </w:p>
    <w:p>
      <w:pPr>
        <w:tabs>
          <w:tab w:val="right" w:leader="dot" w:pos="9062"/>
        </w:tabs>
        <w:ind w:left="440"/>
      </w:pPr>
      <w:hyperlink w:anchor="_Toc5603" w:history="1">
        <w:r>
          <w:rPr>
            <w:rFonts w:ascii="IRNazanin" w:hAnsi="IRNazanin" w:eastAsia="IRNazanin" w:cs="IRNazanin"/>
            <w:color w:val="111111"/>
            <w:sz w:val="22"/>
            <w:szCs w:val="22"/>
            <w:b w:val="0"/>
            <w:bCs w:val="0"/>
            <w:i w:val="0"/>
            <w:iCs w:val="0"/>
          </w:rPr>
          <w:t>دیوان عماد شیرازی‏</w:t>
        </w:r>
        <w:r>
          <w:tab/>
        </w:r>
        <w:r>
          <w:fldChar w:fldCharType="begin"/>
        </w:r>
        <w:r>
          <w:instrText xml:space="preserve">PAGEREF 5603 \h</w:instrText>
        </w:r>
        <w:r>
          <w:fldChar w:fldCharType="end"/>
        </w:r>
      </w:hyperlink>
    </w:p>
    <w:p>
      <w:pPr>
        <w:tabs>
          <w:tab w:val="right" w:leader="dot" w:pos="9062"/>
        </w:tabs>
        <w:ind w:left="440"/>
      </w:pPr>
      <w:hyperlink w:anchor="_Toc5604" w:history="1">
        <w:r>
          <w:rPr>
            <w:rFonts w:ascii="IRNazanin" w:hAnsi="IRNazanin" w:eastAsia="IRNazanin" w:cs="IRNazanin"/>
            <w:color w:val="111111"/>
            <w:sz w:val="22"/>
            <w:szCs w:val="22"/>
            <w:b w:val="0"/>
            <w:bCs w:val="0"/>
            <w:i w:val="0"/>
            <w:iCs w:val="0"/>
          </w:rPr>
          <w:t>دیوان عماد شیرازی‏</w:t>
        </w:r>
        <w:r>
          <w:tab/>
        </w:r>
        <w:r>
          <w:fldChar w:fldCharType="begin"/>
        </w:r>
        <w:r>
          <w:instrText xml:space="preserve">PAGEREF 5604 \h</w:instrText>
        </w:r>
        <w:r>
          <w:fldChar w:fldCharType="end"/>
        </w:r>
      </w:hyperlink>
    </w:p>
    <w:p>
      <w:pPr>
        <w:tabs>
          <w:tab w:val="right" w:leader="dot" w:pos="9062"/>
        </w:tabs>
        <w:ind w:left="440"/>
      </w:pPr>
      <w:hyperlink w:anchor="_Toc5605" w:history="1">
        <w:r>
          <w:rPr>
            <w:rFonts w:ascii="IRNazanin" w:hAnsi="IRNazanin" w:eastAsia="IRNazanin" w:cs="IRNazanin"/>
            <w:color w:val="111111"/>
            <w:sz w:val="22"/>
            <w:szCs w:val="22"/>
            <w:b w:val="0"/>
            <w:bCs w:val="0"/>
            <w:i w:val="0"/>
            <w:iCs w:val="0"/>
          </w:rPr>
          <w:t>5183- دیوان عماد شیرازی أو شعره‏</w:t>
        </w:r>
        <w:r>
          <w:tab/>
        </w:r>
        <w:r>
          <w:fldChar w:fldCharType="begin"/>
        </w:r>
        <w:r>
          <w:instrText xml:space="preserve">PAGEREF 5605 \h</w:instrText>
        </w:r>
        <w:r>
          <w:fldChar w:fldCharType="end"/>
        </w:r>
      </w:hyperlink>
    </w:p>
    <w:p>
      <w:pPr>
        <w:tabs>
          <w:tab w:val="right" w:leader="dot" w:pos="9062"/>
        </w:tabs>
        <w:ind w:left="440"/>
      </w:pPr>
      <w:hyperlink w:anchor="_Toc5606" w:history="1">
        <w:r>
          <w:rPr>
            <w:rFonts w:ascii="IRNazanin" w:hAnsi="IRNazanin" w:eastAsia="IRNazanin" w:cs="IRNazanin"/>
            <w:color w:val="111111"/>
            <w:sz w:val="22"/>
            <w:szCs w:val="22"/>
            <w:b w:val="0"/>
            <w:bCs w:val="0"/>
            <w:i w:val="0"/>
            <w:iCs w:val="0"/>
          </w:rPr>
          <w:t>5184- دیوان عماد زوزنی أو شعره‏</w:t>
        </w:r>
        <w:r>
          <w:tab/>
        </w:r>
        <w:r>
          <w:fldChar w:fldCharType="begin"/>
        </w:r>
        <w:r>
          <w:instrText xml:space="preserve">PAGEREF 5606 \h</w:instrText>
        </w:r>
        <w:r>
          <w:fldChar w:fldCharType="end"/>
        </w:r>
      </w:hyperlink>
    </w:p>
    <w:p>
      <w:pPr>
        <w:tabs>
          <w:tab w:val="right" w:leader="dot" w:pos="9062"/>
        </w:tabs>
        <w:ind w:left="440"/>
      </w:pPr>
      <w:hyperlink w:anchor="_Toc5607" w:history="1">
        <w:r>
          <w:rPr>
            <w:rFonts w:ascii="IRNazanin" w:hAnsi="IRNazanin" w:eastAsia="IRNazanin" w:cs="IRNazanin"/>
            <w:color w:val="111111"/>
            <w:sz w:val="22"/>
            <w:szCs w:val="22"/>
            <w:b w:val="0"/>
            <w:bCs w:val="0"/>
            <w:i w:val="0"/>
            <w:iCs w:val="0"/>
          </w:rPr>
          <w:t>5185- دیوان عماد فقیه‏</w:t>
        </w:r>
        <w:r>
          <w:tab/>
        </w:r>
        <w:r>
          <w:fldChar w:fldCharType="begin"/>
        </w:r>
        <w:r>
          <w:instrText xml:space="preserve">PAGEREF 5607 \h</w:instrText>
        </w:r>
        <w:r>
          <w:fldChar w:fldCharType="end"/>
        </w:r>
      </w:hyperlink>
    </w:p>
    <w:p>
      <w:pPr>
        <w:tabs>
          <w:tab w:val="right" w:leader="dot" w:pos="9062"/>
        </w:tabs>
        <w:ind w:left="440"/>
      </w:pPr>
      <w:hyperlink w:anchor="_Toc5608" w:history="1">
        <w:r>
          <w:rPr>
            <w:rFonts w:ascii="IRNazanin" w:hAnsi="IRNazanin" w:eastAsia="IRNazanin" w:cs="IRNazanin"/>
            <w:color w:val="111111"/>
            <w:sz w:val="22"/>
            <w:szCs w:val="22"/>
            <w:b w:val="0"/>
            <w:bCs w:val="0"/>
            <w:i w:val="0"/>
            <w:iCs w:val="0"/>
          </w:rPr>
          <w:t>5186- دیوان میر عماد قزوینی أو شعره‏</w:t>
        </w:r>
        <w:r>
          <w:tab/>
        </w:r>
        <w:r>
          <w:fldChar w:fldCharType="begin"/>
        </w:r>
        <w:r>
          <w:instrText xml:space="preserve">PAGEREF 5608 \h</w:instrText>
        </w:r>
        <w:r>
          <w:fldChar w:fldCharType="end"/>
        </w:r>
      </w:hyperlink>
    </w:p>
    <w:p>
      <w:pPr>
        <w:tabs>
          <w:tab w:val="right" w:leader="dot" w:pos="9062"/>
        </w:tabs>
        <w:ind w:left="440"/>
      </w:pPr>
      <w:hyperlink w:anchor="_Toc5609" w:history="1">
        <w:r>
          <w:rPr>
            <w:rFonts w:ascii="IRNazanin" w:hAnsi="IRNazanin" w:eastAsia="IRNazanin" w:cs="IRNazanin"/>
            <w:color w:val="111111"/>
            <w:sz w:val="22"/>
            <w:szCs w:val="22"/>
            <w:b w:val="0"/>
            <w:bCs w:val="0"/>
            <w:i w:val="0"/>
            <w:iCs w:val="0"/>
          </w:rPr>
          <w:t>5187- دیوان عماد کاتب‏</w:t>
        </w:r>
        <w:r>
          <w:tab/>
        </w:r>
        <w:r>
          <w:fldChar w:fldCharType="begin"/>
        </w:r>
        <w:r>
          <w:instrText xml:space="preserve">PAGEREF 5609 \h</w:instrText>
        </w:r>
        <w:r>
          <w:fldChar w:fldCharType="end"/>
        </w:r>
      </w:hyperlink>
    </w:p>
    <w:p>
      <w:pPr>
        <w:tabs>
          <w:tab w:val="right" w:leader="dot" w:pos="9062"/>
        </w:tabs>
        <w:ind w:left="440"/>
      </w:pPr>
      <w:hyperlink w:anchor="_Toc5610" w:history="1">
        <w:r>
          <w:rPr>
            <w:rFonts w:ascii="IRNazanin" w:hAnsi="IRNazanin" w:eastAsia="IRNazanin" w:cs="IRNazanin"/>
            <w:color w:val="111111"/>
            <w:sz w:val="22"/>
            <w:szCs w:val="22"/>
            <w:b w:val="0"/>
            <w:bCs w:val="0"/>
            <w:i w:val="0"/>
            <w:iCs w:val="0"/>
          </w:rPr>
          <w:t>دیوان عماد کرمانی‏</w:t>
        </w:r>
        <w:r>
          <w:tab/>
        </w:r>
        <w:r>
          <w:fldChar w:fldCharType="begin"/>
        </w:r>
        <w:r>
          <w:instrText xml:space="preserve">PAGEREF 5610 \h</w:instrText>
        </w:r>
        <w:r>
          <w:fldChar w:fldCharType="end"/>
        </w:r>
      </w:hyperlink>
    </w:p>
    <w:p>
      <w:pPr>
        <w:tabs>
          <w:tab w:val="right" w:leader="dot" w:pos="9062"/>
        </w:tabs>
        <w:ind w:left="440"/>
      </w:pPr>
      <w:hyperlink w:anchor="_Toc5611" w:history="1">
        <w:r>
          <w:rPr>
            <w:rFonts w:ascii="IRNazanin" w:hAnsi="IRNazanin" w:eastAsia="IRNazanin" w:cs="IRNazanin"/>
            <w:color w:val="111111"/>
            <w:sz w:val="22"/>
            <w:szCs w:val="22"/>
            <w:b w:val="0"/>
            <w:bCs w:val="0"/>
            <w:i w:val="0"/>
            <w:iCs w:val="0"/>
          </w:rPr>
          <w:t>دیوان عماد لاری‏</w:t>
        </w:r>
        <w:r>
          <w:tab/>
        </w:r>
        <w:r>
          <w:fldChar w:fldCharType="begin"/>
        </w:r>
        <w:r>
          <w:instrText xml:space="preserve">PAGEREF 5611 \h</w:instrText>
        </w:r>
        <w:r>
          <w:fldChar w:fldCharType="end"/>
        </w:r>
      </w:hyperlink>
    </w:p>
    <w:p>
      <w:pPr>
        <w:tabs>
          <w:tab w:val="right" w:leader="dot" w:pos="9062"/>
        </w:tabs>
        <w:ind w:left="440"/>
      </w:pPr>
      <w:hyperlink w:anchor="_Toc5612" w:history="1">
        <w:r>
          <w:rPr>
            <w:rFonts w:ascii="IRNazanin" w:hAnsi="IRNazanin" w:eastAsia="IRNazanin" w:cs="IRNazanin"/>
            <w:color w:val="111111"/>
            <w:sz w:val="22"/>
            <w:szCs w:val="22"/>
            <w:b w:val="0"/>
            <w:bCs w:val="0"/>
            <w:i w:val="0"/>
            <w:iCs w:val="0"/>
          </w:rPr>
          <w:t>5188- دیوان عمادلر</w:t>
        </w:r>
        <w:r>
          <w:tab/>
        </w:r>
        <w:r>
          <w:fldChar w:fldCharType="begin"/>
        </w:r>
        <w:r>
          <w:instrText xml:space="preserve">PAGEREF 5612 \h</w:instrText>
        </w:r>
        <w:r>
          <w:fldChar w:fldCharType="end"/>
        </w:r>
      </w:hyperlink>
    </w:p>
    <w:p>
      <w:pPr>
        <w:tabs>
          <w:tab w:val="right" w:leader="dot" w:pos="9062"/>
        </w:tabs>
        <w:ind w:left="440"/>
      </w:pPr>
      <w:hyperlink w:anchor="_Toc5613" w:history="1">
        <w:r>
          <w:rPr>
            <w:rFonts w:ascii="IRNazanin" w:hAnsi="IRNazanin" w:eastAsia="IRNazanin" w:cs="IRNazanin"/>
            <w:color w:val="111111"/>
            <w:sz w:val="22"/>
            <w:szCs w:val="22"/>
            <w:b w:val="0"/>
            <w:bCs w:val="0"/>
            <w:i w:val="0"/>
            <w:iCs w:val="0"/>
          </w:rPr>
          <w:t>5189- دیوان عماد لشکر</w:t>
        </w:r>
        <w:r>
          <w:tab/>
        </w:r>
        <w:r>
          <w:fldChar w:fldCharType="begin"/>
        </w:r>
        <w:r>
          <w:instrText xml:space="preserve">PAGEREF 5613 \h</w:instrText>
        </w:r>
        <w:r>
          <w:fldChar w:fldCharType="end"/>
        </w:r>
      </w:hyperlink>
    </w:p>
    <w:p>
      <w:pPr>
        <w:tabs>
          <w:tab w:val="right" w:leader="dot" w:pos="9062"/>
        </w:tabs>
        <w:ind w:left="440"/>
      </w:pPr>
      <w:hyperlink w:anchor="_Toc5614" w:history="1">
        <w:r>
          <w:rPr>
            <w:rFonts w:ascii="IRNazanin" w:hAnsi="IRNazanin" w:eastAsia="IRNazanin" w:cs="IRNazanin"/>
            <w:color w:val="111111"/>
            <w:sz w:val="22"/>
            <w:szCs w:val="22"/>
            <w:b w:val="0"/>
            <w:bCs w:val="0"/>
            <w:i w:val="0"/>
            <w:iCs w:val="0"/>
          </w:rPr>
          <w:t>دیوان عماد مشهدی‏</w:t>
        </w:r>
        <w:r>
          <w:tab/>
        </w:r>
        <w:r>
          <w:fldChar w:fldCharType="begin"/>
        </w:r>
        <w:r>
          <w:instrText xml:space="preserve">PAGEREF 5614 \h</w:instrText>
        </w:r>
        <w:r>
          <w:fldChar w:fldCharType="end"/>
        </w:r>
      </w:hyperlink>
    </w:p>
    <w:p>
      <w:pPr>
        <w:tabs>
          <w:tab w:val="right" w:leader="dot" w:pos="9062"/>
        </w:tabs>
        <w:ind w:left="440"/>
      </w:pPr>
      <w:hyperlink w:anchor="_Toc5615" w:history="1">
        <w:r>
          <w:rPr>
            <w:rFonts w:ascii="IRNazanin" w:hAnsi="IRNazanin" w:eastAsia="IRNazanin" w:cs="IRNazanin"/>
            <w:color w:val="111111"/>
            <w:sz w:val="22"/>
            <w:szCs w:val="22"/>
            <w:b w:val="0"/>
            <w:bCs w:val="0"/>
            <w:i w:val="0"/>
            <w:iCs w:val="0"/>
          </w:rPr>
          <w:t>دیوان سید عماد یزدی أو شعره‏</w:t>
        </w:r>
        <w:r>
          <w:tab/>
        </w:r>
        <w:r>
          <w:fldChar w:fldCharType="begin"/>
        </w:r>
        <w:r>
          <w:instrText xml:space="preserve">PAGEREF 5615 \h</w:instrText>
        </w:r>
        <w:r>
          <w:fldChar w:fldCharType="end"/>
        </w:r>
      </w:hyperlink>
    </w:p>
    <w:p>
      <w:pPr>
        <w:tabs>
          <w:tab w:val="right" w:leader="dot" w:pos="9062"/>
        </w:tabs>
        <w:ind w:left="440"/>
      </w:pPr>
      <w:hyperlink w:anchor="_Toc5616" w:history="1">
        <w:r>
          <w:rPr>
            <w:rFonts w:ascii="IRNazanin" w:hAnsi="IRNazanin" w:eastAsia="IRNazanin" w:cs="IRNazanin"/>
            <w:color w:val="111111"/>
            <w:sz w:val="22"/>
            <w:szCs w:val="22"/>
            <w:b w:val="0"/>
            <w:bCs w:val="0"/>
            <w:i w:val="0"/>
            <w:iCs w:val="0"/>
          </w:rPr>
          <w:t>5190- دیوان عمادی شهریاری‏</w:t>
        </w:r>
        <w:r>
          <w:tab/>
        </w:r>
        <w:r>
          <w:fldChar w:fldCharType="begin"/>
        </w:r>
        <w:r>
          <w:instrText xml:space="preserve">PAGEREF 5616 \h</w:instrText>
        </w:r>
        <w:r>
          <w:fldChar w:fldCharType="end"/>
        </w:r>
      </w:hyperlink>
    </w:p>
    <w:p>
      <w:pPr>
        <w:tabs>
          <w:tab w:val="right" w:leader="dot" w:pos="9062"/>
        </w:tabs>
        <w:ind w:left="440"/>
      </w:pPr>
      <w:hyperlink w:anchor="_Toc5617" w:history="1">
        <w:r>
          <w:rPr>
            <w:rFonts w:ascii="IRNazanin" w:hAnsi="IRNazanin" w:eastAsia="IRNazanin" w:cs="IRNazanin"/>
            <w:color w:val="111111"/>
            <w:sz w:val="22"/>
            <w:szCs w:val="22"/>
            <w:b w:val="0"/>
            <w:bCs w:val="0"/>
            <w:i w:val="0"/>
            <w:iCs w:val="0"/>
          </w:rPr>
          <w:t>5195- دیوان عمارة مروزی‏</w:t>
        </w:r>
        <w:r>
          <w:tab/>
        </w:r>
        <w:r>
          <w:fldChar w:fldCharType="begin"/>
        </w:r>
        <w:r>
          <w:instrText xml:space="preserve">PAGEREF 5617 \h</w:instrText>
        </w:r>
        <w:r>
          <w:fldChar w:fldCharType="end"/>
        </w:r>
      </w:hyperlink>
    </w:p>
    <w:p>
      <w:pPr>
        <w:tabs>
          <w:tab w:val="right" w:leader="dot" w:pos="9062"/>
        </w:tabs>
        <w:ind w:left="440"/>
      </w:pPr>
      <w:hyperlink w:anchor="_Toc5618" w:history="1">
        <w:r>
          <w:rPr>
            <w:rFonts w:ascii="IRNazanin" w:hAnsi="IRNazanin" w:eastAsia="IRNazanin" w:cs="IRNazanin"/>
            <w:color w:val="111111"/>
            <w:sz w:val="22"/>
            <w:szCs w:val="22"/>
            <w:b w:val="0"/>
            <w:bCs w:val="0"/>
            <w:i w:val="0"/>
            <w:iCs w:val="0"/>
          </w:rPr>
          <w:t>5196- دیوان عمارة الیمانی المصری أو شعره‏</w:t>
        </w:r>
        <w:r>
          <w:tab/>
        </w:r>
        <w:r>
          <w:fldChar w:fldCharType="begin"/>
        </w:r>
        <w:r>
          <w:instrText xml:space="preserve">PAGEREF 5618 \h</w:instrText>
        </w:r>
        <w:r>
          <w:fldChar w:fldCharType="end"/>
        </w:r>
      </w:hyperlink>
    </w:p>
    <w:p>
      <w:pPr>
        <w:tabs>
          <w:tab w:val="right" w:leader="dot" w:pos="9062"/>
        </w:tabs>
        <w:ind w:left="440"/>
      </w:pPr>
      <w:hyperlink w:anchor="_Toc5619" w:history="1">
        <w:r>
          <w:rPr>
            <w:rFonts w:ascii="IRNazanin" w:hAnsi="IRNazanin" w:eastAsia="IRNazanin" w:cs="IRNazanin"/>
            <w:color w:val="111111"/>
            <w:sz w:val="22"/>
            <w:szCs w:val="22"/>
            <w:b w:val="0"/>
            <w:bCs w:val="0"/>
            <w:i w:val="0"/>
            <w:iCs w:val="0"/>
          </w:rPr>
          <w:t>5197- دیوان عمان سامانی‏</w:t>
        </w:r>
        <w:r>
          <w:tab/>
        </w:r>
        <w:r>
          <w:fldChar w:fldCharType="begin"/>
        </w:r>
        <w:r>
          <w:instrText xml:space="preserve">PAGEREF 5619 \h</w:instrText>
        </w:r>
        <w:r>
          <w:fldChar w:fldCharType="end"/>
        </w:r>
      </w:hyperlink>
    </w:p>
    <w:p>
      <w:pPr>
        <w:tabs>
          <w:tab w:val="right" w:leader="dot" w:pos="9062"/>
        </w:tabs>
        <w:ind w:left="440"/>
      </w:pPr>
      <w:hyperlink w:anchor="_Toc5620" w:history="1">
        <w:r>
          <w:rPr>
            <w:rFonts w:ascii="IRNazanin" w:hAnsi="IRNazanin" w:eastAsia="IRNazanin" w:cs="IRNazanin"/>
            <w:color w:val="111111"/>
            <w:sz w:val="22"/>
            <w:szCs w:val="22"/>
            <w:b w:val="0"/>
            <w:bCs w:val="0"/>
            <w:i w:val="0"/>
            <w:iCs w:val="0"/>
          </w:rPr>
          <w:t>5198- دیوان عمان سمرقندی أو شعره‏</w:t>
        </w:r>
        <w:r>
          <w:tab/>
        </w:r>
        <w:r>
          <w:fldChar w:fldCharType="begin"/>
        </w:r>
        <w:r>
          <w:instrText xml:space="preserve">PAGEREF 5620 \h</w:instrText>
        </w:r>
        <w:r>
          <w:fldChar w:fldCharType="end"/>
        </w:r>
      </w:hyperlink>
    </w:p>
    <w:p>
      <w:pPr>
        <w:tabs>
          <w:tab w:val="right" w:leader="dot" w:pos="9062"/>
        </w:tabs>
        <w:ind w:left="440"/>
      </w:pPr>
      <w:hyperlink w:anchor="_Toc5621" w:history="1">
        <w:r>
          <w:rPr>
            <w:rFonts w:ascii="IRNazanin" w:hAnsi="IRNazanin" w:eastAsia="IRNazanin" w:cs="IRNazanin"/>
            <w:color w:val="111111"/>
            <w:sz w:val="22"/>
            <w:szCs w:val="22"/>
            <w:b w:val="0"/>
            <w:bCs w:val="0"/>
            <w:i w:val="0"/>
            <w:iCs w:val="0"/>
          </w:rPr>
          <w:t>5199- دیوان عمدة تبریزی أو شعره‏</w:t>
        </w:r>
        <w:r>
          <w:tab/>
        </w:r>
        <w:r>
          <w:fldChar w:fldCharType="begin"/>
        </w:r>
        <w:r>
          <w:instrText xml:space="preserve">PAGEREF 5621 \h</w:instrText>
        </w:r>
        <w:r>
          <w:fldChar w:fldCharType="end"/>
        </w:r>
      </w:hyperlink>
    </w:p>
    <w:p>
      <w:pPr>
        <w:tabs>
          <w:tab w:val="right" w:leader="dot" w:pos="9062"/>
        </w:tabs>
        <w:ind w:left="440"/>
      </w:pPr>
      <w:hyperlink w:anchor="_Toc5622" w:history="1">
        <w:r>
          <w:rPr>
            <w:rFonts w:ascii="IRNazanin" w:hAnsi="IRNazanin" w:eastAsia="IRNazanin" w:cs="IRNazanin"/>
            <w:color w:val="111111"/>
            <w:sz w:val="22"/>
            <w:szCs w:val="22"/>
            <w:b w:val="0"/>
            <w:bCs w:val="0"/>
            <w:i w:val="0"/>
            <w:iCs w:val="0"/>
          </w:rPr>
          <w:t>دیوان عمر خیام‏</w:t>
        </w:r>
        <w:r>
          <w:tab/>
        </w:r>
        <w:r>
          <w:fldChar w:fldCharType="begin"/>
        </w:r>
        <w:r>
          <w:instrText xml:space="preserve">PAGEREF 5622 \h</w:instrText>
        </w:r>
        <w:r>
          <w:fldChar w:fldCharType="end"/>
        </w:r>
      </w:hyperlink>
    </w:p>
    <w:p>
      <w:pPr>
        <w:tabs>
          <w:tab w:val="right" w:leader="dot" w:pos="9062"/>
        </w:tabs>
        <w:ind w:left="440"/>
      </w:pPr>
      <w:hyperlink w:anchor="_Toc5623" w:history="1">
        <w:r>
          <w:rPr>
            <w:rFonts w:ascii="IRNazanin" w:hAnsi="IRNazanin" w:eastAsia="IRNazanin" w:cs="IRNazanin"/>
            <w:color w:val="111111"/>
            <w:sz w:val="22"/>
            <w:szCs w:val="22"/>
            <w:b w:val="0"/>
            <w:bCs w:val="0"/>
            <w:i w:val="0"/>
            <w:iCs w:val="0"/>
          </w:rPr>
          <w:t>5200- دیوان عمعق بخاری‏</w:t>
        </w:r>
        <w:r>
          <w:tab/>
        </w:r>
        <w:r>
          <w:fldChar w:fldCharType="begin"/>
        </w:r>
        <w:r>
          <w:instrText xml:space="preserve">PAGEREF 5623 \h</w:instrText>
        </w:r>
        <w:r>
          <w:fldChar w:fldCharType="end"/>
        </w:r>
      </w:hyperlink>
    </w:p>
    <w:p>
      <w:pPr>
        <w:tabs>
          <w:tab w:val="right" w:leader="dot" w:pos="9062"/>
        </w:tabs>
        <w:ind w:left="440"/>
      </w:pPr>
      <w:hyperlink w:anchor="_Toc5624" w:history="1">
        <w:r>
          <w:rPr>
            <w:rFonts w:ascii="IRNazanin" w:hAnsi="IRNazanin" w:eastAsia="IRNazanin" w:cs="IRNazanin"/>
            <w:color w:val="111111"/>
            <w:sz w:val="22"/>
            <w:szCs w:val="22"/>
            <w:b w:val="0"/>
            <w:bCs w:val="0"/>
            <w:i w:val="0"/>
            <w:iCs w:val="0"/>
          </w:rPr>
          <w:t>5201- دیوان عموی أصفهانی‏</w:t>
        </w:r>
        <w:r>
          <w:tab/>
        </w:r>
        <w:r>
          <w:fldChar w:fldCharType="begin"/>
        </w:r>
        <w:r>
          <w:instrText xml:space="preserve">PAGEREF 5624 \h</w:instrText>
        </w:r>
        <w:r>
          <w:fldChar w:fldCharType="end"/>
        </w:r>
      </w:hyperlink>
    </w:p>
    <w:p>
      <w:pPr>
        <w:tabs>
          <w:tab w:val="right" w:leader="dot" w:pos="9062"/>
        </w:tabs>
        <w:ind w:left="440"/>
      </w:pPr>
      <w:hyperlink w:anchor="_Toc5625" w:history="1">
        <w:r>
          <w:rPr>
            <w:rFonts w:ascii="IRNazanin" w:hAnsi="IRNazanin" w:eastAsia="IRNazanin" w:cs="IRNazanin"/>
            <w:color w:val="111111"/>
            <w:sz w:val="22"/>
            <w:szCs w:val="22"/>
            <w:b w:val="0"/>
            <w:bCs w:val="0"/>
            <w:i w:val="0"/>
            <w:iCs w:val="0"/>
          </w:rPr>
          <w:t>دیوان عمید حسینی‏</w:t>
        </w:r>
        <w:r>
          <w:tab/>
        </w:r>
        <w:r>
          <w:fldChar w:fldCharType="begin"/>
        </w:r>
        <w:r>
          <w:instrText xml:space="preserve">PAGEREF 5625 \h</w:instrText>
        </w:r>
        <w:r>
          <w:fldChar w:fldCharType="end"/>
        </w:r>
      </w:hyperlink>
    </w:p>
    <w:p>
      <w:pPr>
        <w:tabs>
          <w:tab w:val="right" w:leader="dot" w:pos="9062"/>
        </w:tabs>
        <w:ind w:left="440"/>
      </w:pPr>
      <w:hyperlink w:anchor="_Toc5626" w:history="1">
        <w:r>
          <w:rPr>
            <w:rFonts w:ascii="IRNazanin" w:hAnsi="IRNazanin" w:eastAsia="IRNazanin" w:cs="IRNazanin"/>
            <w:color w:val="111111"/>
            <w:sz w:val="22"/>
            <w:szCs w:val="22"/>
            <w:b w:val="0"/>
            <w:bCs w:val="0"/>
            <w:i w:val="0"/>
            <w:iCs w:val="0"/>
          </w:rPr>
          <w:t>دیوان عمید دیلمی‏</w:t>
        </w:r>
        <w:r>
          <w:tab/>
        </w:r>
        <w:r>
          <w:fldChar w:fldCharType="begin"/>
        </w:r>
        <w:r>
          <w:instrText xml:space="preserve">PAGEREF 5626 \h</w:instrText>
        </w:r>
        <w:r>
          <w:fldChar w:fldCharType="end"/>
        </w:r>
      </w:hyperlink>
    </w:p>
    <w:p>
      <w:pPr>
        <w:tabs>
          <w:tab w:val="right" w:leader="dot" w:pos="9062"/>
        </w:tabs>
        <w:ind w:left="440"/>
      </w:pPr>
      <w:hyperlink w:anchor="_Toc5627" w:history="1">
        <w:r>
          <w:rPr>
            <w:rFonts w:ascii="IRNazanin" w:hAnsi="IRNazanin" w:eastAsia="IRNazanin" w:cs="IRNazanin"/>
            <w:color w:val="111111"/>
            <w:sz w:val="22"/>
            <w:szCs w:val="22"/>
            <w:b w:val="0"/>
            <w:bCs w:val="0"/>
            <w:i w:val="0"/>
            <w:iCs w:val="0"/>
          </w:rPr>
          <w:t>5202- دیوان عمید الدین أسعد الأفزری‏</w:t>
        </w:r>
        <w:r>
          <w:tab/>
        </w:r>
        <w:r>
          <w:fldChar w:fldCharType="begin"/>
        </w:r>
        <w:r>
          <w:instrText xml:space="preserve">PAGEREF 5627 \h</w:instrText>
        </w:r>
        <w:r>
          <w:fldChar w:fldCharType="end"/>
        </w:r>
      </w:hyperlink>
    </w:p>
    <w:p>
      <w:pPr>
        <w:tabs>
          <w:tab w:val="right" w:leader="dot" w:pos="9062"/>
        </w:tabs>
        <w:ind w:left="440"/>
      </w:pPr>
      <w:hyperlink w:anchor="_Toc5628" w:history="1">
        <w:r>
          <w:rPr>
            <w:rFonts w:ascii="IRNazanin" w:hAnsi="IRNazanin" w:eastAsia="IRNazanin" w:cs="IRNazanin"/>
            <w:color w:val="111111"/>
            <w:sz w:val="22"/>
            <w:szCs w:val="22"/>
            <w:b w:val="0"/>
            <w:bCs w:val="0"/>
            <w:i w:val="0"/>
            <w:iCs w:val="0"/>
          </w:rPr>
          <w:t>5203- دیوان عمید لویکی‏</w:t>
        </w:r>
        <w:r>
          <w:tab/>
        </w:r>
        <w:r>
          <w:fldChar w:fldCharType="begin"/>
        </w:r>
        <w:r>
          <w:instrText xml:space="preserve">PAGEREF 5628 \h</w:instrText>
        </w:r>
        <w:r>
          <w:fldChar w:fldCharType="end"/>
        </w:r>
      </w:hyperlink>
    </w:p>
    <w:p>
      <w:pPr>
        <w:tabs>
          <w:tab w:val="right" w:leader="dot" w:pos="9062"/>
        </w:tabs>
        <w:ind w:left="440"/>
      </w:pPr>
      <w:hyperlink w:anchor="_Toc5629" w:history="1">
        <w:r>
          <w:rPr>
            <w:rFonts w:ascii="IRNazanin" w:hAnsi="IRNazanin" w:eastAsia="IRNazanin" w:cs="IRNazanin"/>
            <w:color w:val="111111"/>
            <w:sz w:val="22"/>
            <w:szCs w:val="22"/>
            <w:b w:val="0"/>
            <w:bCs w:val="0"/>
            <w:i w:val="0"/>
            <w:iCs w:val="0"/>
          </w:rPr>
          <w:t>5204- دیوان عنایت أصفهانی‏</w:t>
        </w:r>
        <w:r>
          <w:tab/>
        </w:r>
        <w:r>
          <w:fldChar w:fldCharType="begin"/>
        </w:r>
        <w:r>
          <w:instrText xml:space="preserve">PAGEREF 5629 \h</w:instrText>
        </w:r>
        <w:r>
          <w:fldChar w:fldCharType="end"/>
        </w:r>
      </w:hyperlink>
    </w:p>
    <w:p>
      <w:pPr>
        <w:tabs>
          <w:tab w:val="right" w:leader="dot" w:pos="9062"/>
        </w:tabs>
        <w:ind w:left="440"/>
      </w:pPr>
      <w:hyperlink w:anchor="_Toc5630" w:history="1">
        <w:r>
          <w:rPr>
            <w:rFonts w:ascii="IRNazanin" w:hAnsi="IRNazanin" w:eastAsia="IRNazanin" w:cs="IRNazanin"/>
            <w:color w:val="111111"/>
            <w:sz w:val="22"/>
            <w:szCs w:val="22"/>
            <w:b w:val="0"/>
            <w:bCs w:val="0"/>
            <w:i w:val="0"/>
            <w:iCs w:val="0"/>
          </w:rPr>
          <w:t>دیوان عنایت أصفهانی‏</w:t>
        </w:r>
        <w:r>
          <w:tab/>
        </w:r>
        <w:r>
          <w:fldChar w:fldCharType="begin"/>
        </w:r>
        <w:r>
          <w:instrText xml:space="preserve">PAGEREF 5630 \h</w:instrText>
        </w:r>
        <w:r>
          <w:fldChar w:fldCharType="end"/>
        </w:r>
      </w:hyperlink>
    </w:p>
    <w:p>
      <w:pPr>
        <w:tabs>
          <w:tab w:val="right" w:leader="dot" w:pos="9062"/>
        </w:tabs>
        <w:ind w:left="440"/>
      </w:pPr>
      <w:hyperlink w:anchor="_Toc5631" w:history="1">
        <w:r>
          <w:rPr>
            <w:rFonts w:ascii="IRNazanin" w:hAnsi="IRNazanin" w:eastAsia="IRNazanin" w:cs="IRNazanin"/>
            <w:color w:val="111111"/>
            <w:sz w:val="22"/>
            <w:szCs w:val="22"/>
            <w:b w:val="0"/>
            <w:bCs w:val="0"/>
            <w:i w:val="0"/>
            <w:iCs w:val="0"/>
          </w:rPr>
          <w:t>5205- دیوان عنایت تبریزی أو شعره‏</w:t>
        </w:r>
        <w:r>
          <w:tab/>
        </w:r>
        <w:r>
          <w:fldChar w:fldCharType="begin"/>
        </w:r>
        <w:r>
          <w:instrText xml:space="preserve">PAGEREF 5631 \h</w:instrText>
        </w:r>
        <w:r>
          <w:fldChar w:fldCharType="end"/>
        </w:r>
      </w:hyperlink>
    </w:p>
    <w:p>
      <w:pPr>
        <w:tabs>
          <w:tab w:val="right" w:leader="dot" w:pos="9062"/>
        </w:tabs>
        <w:ind w:left="440"/>
      </w:pPr>
      <w:hyperlink w:anchor="_Toc5632" w:history="1">
        <w:r>
          <w:rPr>
            <w:rFonts w:ascii="IRNazanin" w:hAnsi="IRNazanin" w:eastAsia="IRNazanin" w:cs="IRNazanin"/>
            <w:color w:val="111111"/>
            <w:sz w:val="22"/>
            <w:szCs w:val="22"/>
            <w:b w:val="0"/>
            <w:bCs w:val="0"/>
            <w:i w:val="0"/>
            <w:iCs w:val="0"/>
          </w:rPr>
          <w:t>5206- دیوان عنایت خوزانی‏</w:t>
        </w:r>
        <w:r>
          <w:tab/>
        </w:r>
        <w:r>
          <w:fldChar w:fldCharType="begin"/>
        </w:r>
        <w:r>
          <w:instrText xml:space="preserve">PAGEREF 5632 \h</w:instrText>
        </w:r>
        <w:r>
          <w:fldChar w:fldCharType="end"/>
        </w:r>
      </w:hyperlink>
    </w:p>
    <w:p>
      <w:pPr>
        <w:tabs>
          <w:tab w:val="right" w:leader="dot" w:pos="9062"/>
        </w:tabs>
        <w:ind w:left="440"/>
      </w:pPr>
      <w:hyperlink w:anchor="_Toc5633" w:history="1">
        <w:r>
          <w:rPr>
            <w:rFonts w:ascii="IRNazanin" w:hAnsi="IRNazanin" w:eastAsia="IRNazanin" w:cs="IRNazanin"/>
            <w:color w:val="111111"/>
            <w:sz w:val="22"/>
            <w:szCs w:val="22"/>
            <w:b w:val="0"/>
            <w:bCs w:val="0"/>
            <w:i w:val="0"/>
            <w:iCs w:val="0"/>
          </w:rPr>
          <w:t>دیوان عنایت دیلمی‏</w:t>
        </w:r>
        <w:r>
          <w:tab/>
        </w:r>
        <w:r>
          <w:fldChar w:fldCharType="begin"/>
        </w:r>
        <w:r>
          <w:instrText xml:space="preserve">PAGEREF 5633 \h</w:instrText>
        </w:r>
        <w:r>
          <w:fldChar w:fldCharType="end"/>
        </w:r>
      </w:hyperlink>
    </w:p>
    <w:p>
      <w:pPr>
        <w:tabs>
          <w:tab w:val="right" w:leader="dot" w:pos="9062"/>
        </w:tabs>
        <w:ind w:left="440"/>
      </w:pPr>
      <w:hyperlink w:anchor="_Toc5634" w:history="1">
        <w:r>
          <w:rPr>
            <w:rFonts w:ascii="IRNazanin" w:hAnsi="IRNazanin" w:eastAsia="IRNazanin" w:cs="IRNazanin"/>
            <w:color w:val="111111"/>
            <w:sz w:val="22"/>
            <w:szCs w:val="22"/>
            <w:b w:val="0"/>
            <w:bCs w:val="0"/>
            <w:i w:val="0"/>
            <w:iCs w:val="0"/>
          </w:rPr>
          <w:t>5207- دیوان عنایت رازی أو شعره‏</w:t>
        </w:r>
        <w:r>
          <w:tab/>
        </w:r>
        <w:r>
          <w:fldChar w:fldCharType="begin"/>
        </w:r>
        <w:r>
          <w:instrText xml:space="preserve">PAGEREF 5634 \h</w:instrText>
        </w:r>
        <w:r>
          <w:fldChar w:fldCharType="end"/>
        </w:r>
      </w:hyperlink>
    </w:p>
    <w:p>
      <w:pPr>
        <w:tabs>
          <w:tab w:val="right" w:leader="dot" w:pos="9062"/>
        </w:tabs>
        <w:ind w:left="440"/>
      </w:pPr>
      <w:hyperlink w:anchor="_Toc5635" w:history="1">
        <w:r>
          <w:rPr>
            <w:rFonts w:ascii="IRNazanin" w:hAnsi="IRNazanin" w:eastAsia="IRNazanin" w:cs="IRNazanin"/>
            <w:color w:val="111111"/>
            <w:sz w:val="22"/>
            <w:szCs w:val="22"/>
            <w:b w:val="0"/>
            <w:bCs w:val="0"/>
            <w:i w:val="0"/>
            <w:iCs w:val="0"/>
          </w:rPr>
          <w:t>5208- دیوان عنایت شیرازی أو شعره‏</w:t>
        </w:r>
        <w:r>
          <w:tab/>
        </w:r>
        <w:r>
          <w:fldChar w:fldCharType="begin"/>
        </w:r>
        <w:r>
          <w:instrText xml:space="preserve">PAGEREF 5635 \h</w:instrText>
        </w:r>
        <w:r>
          <w:fldChar w:fldCharType="end"/>
        </w:r>
      </w:hyperlink>
    </w:p>
    <w:p>
      <w:pPr>
        <w:tabs>
          <w:tab w:val="right" w:leader="dot" w:pos="9062"/>
        </w:tabs>
        <w:ind w:left="440"/>
      </w:pPr>
      <w:hyperlink w:anchor="_Toc5636" w:history="1">
        <w:r>
          <w:rPr>
            <w:rFonts w:ascii="IRNazanin" w:hAnsi="IRNazanin" w:eastAsia="IRNazanin" w:cs="IRNazanin"/>
            <w:color w:val="111111"/>
            <w:sz w:val="22"/>
            <w:szCs w:val="22"/>
            <w:b w:val="0"/>
            <w:bCs w:val="0"/>
            <w:i w:val="0"/>
            <w:iCs w:val="0"/>
          </w:rPr>
          <w:t>دیوان عنایت قزوینی‏</w:t>
        </w:r>
        <w:r>
          <w:tab/>
        </w:r>
        <w:r>
          <w:fldChar w:fldCharType="begin"/>
        </w:r>
        <w:r>
          <w:instrText xml:space="preserve">PAGEREF 5636 \h</w:instrText>
        </w:r>
        <w:r>
          <w:fldChar w:fldCharType="end"/>
        </w:r>
      </w:hyperlink>
    </w:p>
    <w:p>
      <w:pPr>
        <w:tabs>
          <w:tab w:val="right" w:leader="dot" w:pos="9062"/>
        </w:tabs>
        <w:ind w:left="440"/>
      </w:pPr>
      <w:hyperlink w:anchor="_Toc5637" w:history="1">
        <w:r>
          <w:rPr>
            <w:rFonts w:ascii="IRNazanin" w:hAnsi="IRNazanin" w:eastAsia="IRNazanin" w:cs="IRNazanin"/>
            <w:color w:val="111111"/>
            <w:sz w:val="22"/>
            <w:szCs w:val="22"/>
            <w:b w:val="0"/>
            <w:bCs w:val="0"/>
            <w:i w:val="0"/>
            <w:iCs w:val="0"/>
          </w:rPr>
          <w:t>5209- دیوان عنایت کتاب دار</w:t>
        </w:r>
        <w:r>
          <w:tab/>
        </w:r>
        <w:r>
          <w:fldChar w:fldCharType="begin"/>
        </w:r>
        <w:r>
          <w:instrText xml:space="preserve">PAGEREF 5637 \h</w:instrText>
        </w:r>
        <w:r>
          <w:fldChar w:fldCharType="end"/>
        </w:r>
      </w:hyperlink>
    </w:p>
    <w:p>
      <w:pPr>
        <w:tabs>
          <w:tab w:val="right" w:leader="dot" w:pos="9062"/>
        </w:tabs>
        <w:ind w:left="440"/>
      </w:pPr>
      <w:hyperlink w:anchor="_Toc5638" w:history="1">
        <w:r>
          <w:rPr>
            <w:rFonts w:ascii="IRNazanin" w:hAnsi="IRNazanin" w:eastAsia="IRNazanin" w:cs="IRNazanin"/>
            <w:color w:val="111111"/>
            <w:sz w:val="22"/>
            <w:szCs w:val="22"/>
            <w:b w:val="0"/>
            <w:bCs w:val="0"/>
            <w:i w:val="0"/>
            <w:iCs w:val="0"/>
          </w:rPr>
          <w:t>5210- دیوان عنایت لاهیجی أو شعره‏</w:t>
        </w:r>
        <w:r>
          <w:tab/>
        </w:r>
        <w:r>
          <w:fldChar w:fldCharType="begin"/>
        </w:r>
        <w:r>
          <w:instrText xml:space="preserve">PAGEREF 5638 \h</w:instrText>
        </w:r>
        <w:r>
          <w:fldChar w:fldCharType="end"/>
        </w:r>
      </w:hyperlink>
    </w:p>
    <w:p>
      <w:pPr>
        <w:tabs>
          <w:tab w:val="right" w:leader="dot" w:pos="9062"/>
        </w:tabs>
        <w:ind w:left="440"/>
      </w:pPr>
      <w:hyperlink w:anchor="_Toc5639" w:history="1">
        <w:r>
          <w:rPr>
            <w:rFonts w:ascii="IRNazanin" w:hAnsi="IRNazanin" w:eastAsia="IRNazanin" w:cs="IRNazanin"/>
            <w:color w:val="111111"/>
            <w:sz w:val="22"/>
            <w:szCs w:val="22"/>
            <w:b w:val="0"/>
            <w:bCs w:val="0"/>
            <w:i w:val="0"/>
            <w:iCs w:val="0"/>
          </w:rPr>
          <w:t>دیوان عنایة الله‏</w:t>
        </w:r>
        <w:r>
          <w:tab/>
        </w:r>
        <w:r>
          <w:fldChar w:fldCharType="begin"/>
        </w:r>
        <w:r>
          <w:instrText xml:space="preserve">PAGEREF 5639 \h</w:instrText>
        </w:r>
        <w:r>
          <w:fldChar w:fldCharType="end"/>
        </w:r>
      </w:hyperlink>
    </w:p>
    <w:p>
      <w:pPr>
        <w:tabs>
          <w:tab w:val="right" w:leader="dot" w:pos="9062"/>
        </w:tabs>
        <w:ind w:left="440"/>
      </w:pPr>
      <w:hyperlink w:anchor="_Toc5640" w:history="1">
        <w:r>
          <w:rPr>
            <w:rFonts w:ascii="IRNazanin" w:hAnsi="IRNazanin" w:eastAsia="IRNazanin" w:cs="IRNazanin"/>
            <w:color w:val="111111"/>
            <w:sz w:val="22"/>
            <w:szCs w:val="22"/>
            <w:b w:val="0"/>
            <w:bCs w:val="0"/>
            <w:i w:val="0"/>
            <w:iCs w:val="0"/>
          </w:rPr>
          <w:t>5211- دیوان شاه عنایة الله دیلمی أو شعره‏</w:t>
        </w:r>
        <w:r>
          <w:tab/>
        </w:r>
        <w:r>
          <w:fldChar w:fldCharType="begin"/>
        </w:r>
        <w:r>
          <w:instrText xml:space="preserve">PAGEREF 5640 \h</w:instrText>
        </w:r>
        <w:r>
          <w:fldChar w:fldCharType="end"/>
        </w:r>
      </w:hyperlink>
    </w:p>
    <w:p>
      <w:pPr>
        <w:tabs>
          <w:tab w:val="right" w:leader="dot" w:pos="9062"/>
        </w:tabs>
        <w:ind w:left="440"/>
      </w:pPr>
      <w:hyperlink w:anchor="_Toc5641" w:history="1">
        <w:r>
          <w:rPr>
            <w:rFonts w:ascii="IRNazanin" w:hAnsi="IRNazanin" w:eastAsia="IRNazanin" w:cs="IRNazanin"/>
            <w:color w:val="111111"/>
            <w:sz w:val="22"/>
            <w:szCs w:val="22"/>
            <w:b w:val="0"/>
            <w:bCs w:val="0"/>
            <w:i w:val="0"/>
            <w:iCs w:val="0"/>
          </w:rPr>
          <w:t>5212- دیوان شاه عنایة الله دیلمی أو شعره‏</w:t>
        </w:r>
        <w:r>
          <w:tab/>
        </w:r>
        <w:r>
          <w:fldChar w:fldCharType="begin"/>
        </w:r>
        <w:r>
          <w:instrText xml:space="preserve">PAGEREF 5641 \h</w:instrText>
        </w:r>
        <w:r>
          <w:fldChar w:fldCharType="end"/>
        </w:r>
      </w:hyperlink>
    </w:p>
    <w:p>
      <w:pPr>
        <w:tabs>
          <w:tab w:val="right" w:leader="dot" w:pos="9062"/>
        </w:tabs>
        <w:ind w:left="440"/>
      </w:pPr>
      <w:hyperlink w:anchor="_Toc5642" w:history="1">
        <w:r>
          <w:rPr>
            <w:rFonts w:ascii="IRNazanin" w:hAnsi="IRNazanin" w:eastAsia="IRNazanin" w:cs="IRNazanin"/>
            <w:color w:val="111111"/>
            <w:sz w:val="22"/>
            <w:szCs w:val="22"/>
            <w:b w:val="0"/>
            <w:bCs w:val="0"/>
            <w:i w:val="0"/>
            <w:iCs w:val="0"/>
          </w:rPr>
          <w:t>5213- دیوان عنایت لاهوری أو شعره‏</w:t>
        </w:r>
        <w:r>
          <w:tab/>
        </w:r>
        <w:r>
          <w:fldChar w:fldCharType="begin"/>
        </w:r>
        <w:r>
          <w:instrText xml:space="preserve">PAGEREF 5642 \h</w:instrText>
        </w:r>
        <w:r>
          <w:fldChar w:fldCharType="end"/>
        </w:r>
      </w:hyperlink>
    </w:p>
    <w:p>
      <w:pPr>
        <w:tabs>
          <w:tab w:val="right" w:leader="dot" w:pos="9062"/>
        </w:tabs>
        <w:ind w:left="440"/>
      </w:pPr>
      <w:hyperlink w:anchor="_Toc5643" w:history="1">
        <w:r>
          <w:rPr>
            <w:rFonts w:ascii="IRNazanin" w:hAnsi="IRNazanin" w:eastAsia="IRNazanin" w:cs="IRNazanin"/>
            <w:color w:val="111111"/>
            <w:sz w:val="22"/>
            <w:szCs w:val="22"/>
            <w:b w:val="0"/>
            <w:bCs w:val="0"/>
            <w:i w:val="0"/>
            <w:iCs w:val="0"/>
          </w:rPr>
          <w:t>دیوان عنایت هندی‏</w:t>
        </w:r>
        <w:r>
          <w:tab/>
        </w:r>
        <w:r>
          <w:fldChar w:fldCharType="begin"/>
        </w:r>
        <w:r>
          <w:instrText xml:space="preserve">PAGEREF 5643 \h</w:instrText>
        </w:r>
        <w:r>
          <w:fldChar w:fldCharType="end"/>
        </w:r>
      </w:hyperlink>
    </w:p>
    <w:p>
      <w:pPr>
        <w:tabs>
          <w:tab w:val="right" w:leader="dot" w:pos="9062"/>
        </w:tabs>
        <w:ind w:left="440"/>
      </w:pPr>
      <w:hyperlink w:anchor="_Toc5644" w:history="1">
        <w:r>
          <w:rPr>
            <w:rFonts w:ascii="IRNazanin" w:hAnsi="IRNazanin" w:eastAsia="IRNazanin" w:cs="IRNazanin"/>
            <w:color w:val="111111"/>
            <w:sz w:val="22"/>
            <w:szCs w:val="22"/>
            <w:b w:val="0"/>
            <w:bCs w:val="0"/>
            <w:i w:val="0"/>
            <w:iCs w:val="0"/>
          </w:rPr>
          <w:t>5214- دیوان عنایتی کرمانی أو شعره‏</w:t>
        </w:r>
        <w:r>
          <w:tab/>
        </w:r>
        <w:r>
          <w:fldChar w:fldCharType="begin"/>
        </w:r>
        <w:r>
          <w:instrText xml:space="preserve">PAGEREF 5644 \h</w:instrText>
        </w:r>
        <w:r>
          <w:fldChar w:fldCharType="end"/>
        </w:r>
      </w:hyperlink>
    </w:p>
    <w:p>
      <w:pPr>
        <w:tabs>
          <w:tab w:val="right" w:leader="dot" w:pos="9062"/>
        </w:tabs>
        <w:ind w:left="440"/>
      </w:pPr>
      <w:hyperlink w:anchor="_Toc5645" w:history="1">
        <w:r>
          <w:rPr>
            <w:rFonts w:ascii="IRNazanin" w:hAnsi="IRNazanin" w:eastAsia="IRNazanin" w:cs="IRNazanin"/>
            <w:color w:val="111111"/>
            <w:sz w:val="22"/>
            <w:szCs w:val="22"/>
            <w:b w:val="0"/>
            <w:bCs w:val="0"/>
            <w:i w:val="0"/>
            <w:iCs w:val="0"/>
          </w:rPr>
          <w:t>5215- دیوان عنبر شیرازی‏</w:t>
        </w:r>
        <w:r>
          <w:tab/>
        </w:r>
        <w:r>
          <w:fldChar w:fldCharType="begin"/>
        </w:r>
        <w:r>
          <w:instrText xml:space="preserve">PAGEREF 5645 \h</w:instrText>
        </w:r>
        <w:r>
          <w:fldChar w:fldCharType="end"/>
        </w:r>
      </w:hyperlink>
    </w:p>
    <w:p>
      <w:pPr>
        <w:tabs>
          <w:tab w:val="right" w:leader="dot" w:pos="9062"/>
        </w:tabs>
        <w:ind w:left="440"/>
      </w:pPr>
      <w:hyperlink w:anchor="_Toc5646" w:history="1">
        <w:r>
          <w:rPr>
            <w:rFonts w:ascii="IRNazanin" w:hAnsi="IRNazanin" w:eastAsia="IRNazanin" w:cs="IRNazanin"/>
            <w:color w:val="111111"/>
            <w:sz w:val="22"/>
            <w:szCs w:val="22"/>
            <w:b w:val="0"/>
            <w:bCs w:val="0"/>
            <w:i w:val="0"/>
            <w:iCs w:val="0"/>
          </w:rPr>
          <w:t>5216- دیوان عندلیب تبریزی أو شعره‏</w:t>
        </w:r>
        <w:r>
          <w:tab/>
        </w:r>
        <w:r>
          <w:fldChar w:fldCharType="begin"/>
        </w:r>
        <w:r>
          <w:instrText xml:space="preserve">PAGEREF 5646 \h</w:instrText>
        </w:r>
        <w:r>
          <w:fldChar w:fldCharType="end"/>
        </w:r>
      </w:hyperlink>
    </w:p>
    <w:p>
      <w:pPr>
        <w:tabs>
          <w:tab w:val="right" w:leader="dot" w:pos="9062"/>
        </w:tabs>
        <w:ind w:left="440"/>
      </w:pPr>
      <w:hyperlink w:anchor="_Toc5647" w:history="1">
        <w:r>
          <w:rPr>
            <w:rFonts w:ascii="IRNazanin" w:hAnsi="IRNazanin" w:eastAsia="IRNazanin" w:cs="IRNazanin"/>
            <w:color w:val="111111"/>
            <w:sz w:val="22"/>
            <w:szCs w:val="22"/>
            <w:b w:val="0"/>
            <w:bCs w:val="0"/>
            <w:i w:val="0"/>
            <w:iCs w:val="0"/>
          </w:rPr>
          <w:t>5217- دیوان عندلیب دارابجردی أو شعره‏</w:t>
        </w:r>
        <w:r>
          <w:tab/>
        </w:r>
        <w:r>
          <w:fldChar w:fldCharType="begin"/>
        </w:r>
        <w:r>
          <w:instrText xml:space="preserve">PAGEREF 5647 \h</w:instrText>
        </w:r>
        <w:r>
          <w:fldChar w:fldCharType="end"/>
        </w:r>
      </w:hyperlink>
    </w:p>
    <w:p>
      <w:pPr>
        <w:tabs>
          <w:tab w:val="right" w:leader="dot" w:pos="9062"/>
        </w:tabs>
        <w:ind w:left="440"/>
      </w:pPr>
      <w:hyperlink w:anchor="_Toc5648" w:history="1">
        <w:r>
          <w:rPr>
            <w:rFonts w:ascii="IRNazanin" w:hAnsi="IRNazanin" w:eastAsia="IRNazanin" w:cs="IRNazanin"/>
            <w:color w:val="111111"/>
            <w:sz w:val="22"/>
            <w:szCs w:val="22"/>
            <w:b w:val="0"/>
            <w:bCs w:val="0"/>
            <w:i w:val="0"/>
            <w:iCs w:val="0"/>
          </w:rPr>
          <w:t>دیوان عندلیب شیرازی‏</w:t>
        </w:r>
        <w:r>
          <w:tab/>
        </w:r>
        <w:r>
          <w:fldChar w:fldCharType="begin"/>
        </w:r>
        <w:r>
          <w:instrText xml:space="preserve">PAGEREF 5648 \h</w:instrText>
        </w:r>
        <w:r>
          <w:fldChar w:fldCharType="end"/>
        </w:r>
      </w:hyperlink>
    </w:p>
    <w:p>
      <w:pPr>
        <w:tabs>
          <w:tab w:val="right" w:leader="dot" w:pos="9062"/>
        </w:tabs>
        <w:ind w:left="440"/>
      </w:pPr>
      <w:hyperlink w:anchor="_Toc5649" w:history="1">
        <w:r>
          <w:rPr>
            <w:rFonts w:ascii="IRNazanin" w:hAnsi="IRNazanin" w:eastAsia="IRNazanin" w:cs="IRNazanin"/>
            <w:color w:val="111111"/>
            <w:sz w:val="22"/>
            <w:szCs w:val="22"/>
            <w:b w:val="0"/>
            <w:bCs w:val="0"/>
            <w:i w:val="0"/>
            <w:iCs w:val="0"/>
          </w:rPr>
          <w:t>5218- دیوان عندلیب کاشانی أو شعره‏</w:t>
        </w:r>
        <w:r>
          <w:tab/>
        </w:r>
        <w:r>
          <w:fldChar w:fldCharType="begin"/>
        </w:r>
        <w:r>
          <w:instrText xml:space="preserve">PAGEREF 5649 \h</w:instrText>
        </w:r>
        <w:r>
          <w:fldChar w:fldCharType="end"/>
        </w:r>
      </w:hyperlink>
    </w:p>
    <w:p>
      <w:pPr>
        <w:tabs>
          <w:tab w:val="right" w:leader="dot" w:pos="9062"/>
        </w:tabs>
        <w:ind w:left="440"/>
      </w:pPr>
      <w:hyperlink w:anchor="_Toc5650" w:history="1">
        <w:r>
          <w:rPr>
            <w:rFonts w:ascii="IRNazanin" w:hAnsi="IRNazanin" w:eastAsia="IRNazanin" w:cs="IRNazanin"/>
            <w:color w:val="111111"/>
            <w:sz w:val="22"/>
            <w:szCs w:val="22"/>
            <w:b w:val="0"/>
            <w:bCs w:val="0"/>
            <w:i w:val="0"/>
            <w:iCs w:val="0"/>
          </w:rPr>
          <w:t>5219- دیوان عندلیب کاشانی‏</w:t>
        </w:r>
        <w:r>
          <w:tab/>
        </w:r>
        <w:r>
          <w:fldChar w:fldCharType="begin"/>
        </w:r>
        <w:r>
          <w:instrText xml:space="preserve">PAGEREF 5650 \h</w:instrText>
        </w:r>
        <w:r>
          <w:fldChar w:fldCharType="end"/>
        </w:r>
      </w:hyperlink>
    </w:p>
    <w:p>
      <w:pPr>
        <w:tabs>
          <w:tab w:val="right" w:leader="dot" w:pos="9062"/>
        </w:tabs>
        <w:ind w:left="440"/>
      </w:pPr>
      <w:hyperlink w:anchor="_Toc5651" w:history="1">
        <w:r>
          <w:rPr>
            <w:rFonts w:ascii="IRNazanin" w:hAnsi="IRNazanin" w:eastAsia="IRNazanin" w:cs="IRNazanin"/>
            <w:color w:val="111111"/>
            <w:sz w:val="22"/>
            <w:szCs w:val="22"/>
            <w:b w:val="0"/>
            <w:bCs w:val="0"/>
            <w:i w:val="0"/>
            <w:iCs w:val="0"/>
          </w:rPr>
          <w:t>5220- دیوان عندلیب کاشانی‏</w:t>
        </w:r>
        <w:r>
          <w:tab/>
        </w:r>
        <w:r>
          <w:fldChar w:fldCharType="begin"/>
        </w:r>
        <w:r>
          <w:instrText xml:space="preserve">PAGEREF 5651 \h</w:instrText>
        </w:r>
        <w:r>
          <w:fldChar w:fldCharType="end"/>
        </w:r>
      </w:hyperlink>
    </w:p>
    <w:p>
      <w:pPr>
        <w:tabs>
          <w:tab w:val="right" w:leader="dot" w:pos="9062"/>
        </w:tabs>
        <w:ind w:left="440"/>
      </w:pPr>
      <w:hyperlink w:anchor="_Toc5652" w:history="1">
        <w:r>
          <w:rPr>
            <w:rFonts w:ascii="IRNazanin" w:hAnsi="IRNazanin" w:eastAsia="IRNazanin" w:cs="IRNazanin"/>
            <w:color w:val="111111"/>
            <w:sz w:val="22"/>
            <w:szCs w:val="22"/>
            <w:b w:val="0"/>
            <w:bCs w:val="0"/>
            <w:i w:val="0"/>
            <w:iCs w:val="0"/>
          </w:rPr>
          <w:t>5221- دیوان عندلیب کاشانی‏</w:t>
        </w:r>
        <w:r>
          <w:tab/>
        </w:r>
        <w:r>
          <w:fldChar w:fldCharType="begin"/>
        </w:r>
        <w:r>
          <w:instrText xml:space="preserve">PAGEREF 5652 \h</w:instrText>
        </w:r>
        <w:r>
          <w:fldChar w:fldCharType="end"/>
        </w:r>
      </w:hyperlink>
    </w:p>
    <w:p>
      <w:pPr>
        <w:tabs>
          <w:tab w:val="right" w:leader="dot" w:pos="9062"/>
        </w:tabs>
        <w:ind w:left="440"/>
      </w:pPr>
      <w:hyperlink w:anchor="_Toc5653" w:history="1">
        <w:r>
          <w:rPr>
            <w:rFonts w:ascii="IRNazanin" w:hAnsi="IRNazanin" w:eastAsia="IRNazanin" w:cs="IRNazanin"/>
            <w:color w:val="111111"/>
            <w:sz w:val="22"/>
            <w:szCs w:val="22"/>
            <w:b w:val="0"/>
            <w:bCs w:val="0"/>
            <w:i w:val="0"/>
            <w:iCs w:val="0"/>
          </w:rPr>
          <w:t>5222- دیوان عنصری‏</w:t>
        </w:r>
        <w:r>
          <w:tab/>
        </w:r>
        <w:r>
          <w:fldChar w:fldCharType="begin"/>
        </w:r>
        <w:r>
          <w:instrText xml:space="preserve">PAGEREF 5653 \h</w:instrText>
        </w:r>
        <w:r>
          <w:fldChar w:fldCharType="end"/>
        </w:r>
      </w:hyperlink>
    </w:p>
    <w:p>
      <w:pPr>
        <w:tabs>
          <w:tab w:val="right" w:leader="dot" w:pos="9062"/>
        </w:tabs>
        <w:ind w:left="440"/>
      </w:pPr>
      <w:hyperlink w:anchor="_Toc5654" w:history="1">
        <w:r>
          <w:rPr>
            <w:rFonts w:ascii="IRNazanin" w:hAnsi="IRNazanin" w:eastAsia="IRNazanin" w:cs="IRNazanin"/>
            <w:color w:val="111111"/>
            <w:sz w:val="22"/>
            <w:szCs w:val="22"/>
            <w:b w:val="0"/>
            <w:bCs w:val="0"/>
            <w:i w:val="0"/>
            <w:iCs w:val="0"/>
          </w:rPr>
          <w:t>5223- دیوان عنقای أصفهانی أو شعره‏</w:t>
        </w:r>
        <w:r>
          <w:tab/>
        </w:r>
        <w:r>
          <w:fldChar w:fldCharType="begin"/>
        </w:r>
        <w:r>
          <w:instrText xml:space="preserve">PAGEREF 5654 \h</w:instrText>
        </w:r>
        <w:r>
          <w:fldChar w:fldCharType="end"/>
        </w:r>
      </w:hyperlink>
    </w:p>
    <w:p>
      <w:pPr>
        <w:tabs>
          <w:tab w:val="right" w:leader="dot" w:pos="9062"/>
        </w:tabs>
        <w:ind w:left="440"/>
      </w:pPr>
      <w:hyperlink w:anchor="_Toc5655" w:history="1">
        <w:r>
          <w:rPr>
            <w:rFonts w:ascii="IRNazanin" w:hAnsi="IRNazanin" w:eastAsia="IRNazanin" w:cs="IRNazanin"/>
            <w:color w:val="111111"/>
            <w:sz w:val="22"/>
            <w:szCs w:val="22"/>
            <w:b w:val="0"/>
            <w:bCs w:val="0"/>
            <w:i w:val="0"/>
            <w:iCs w:val="0"/>
          </w:rPr>
          <w:t>5224- دیوان عنقای شیرازی‏</w:t>
        </w:r>
        <w:r>
          <w:tab/>
        </w:r>
        <w:r>
          <w:fldChar w:fldCharType="begin"/>
        </w:r>
        <w:r>
          <w:instrText xml:space="preserve">PAGEREF 5655 \h</w:instrText>
        </w:r>
        <w:r>
          <w:fldChar w:fldCharType="end"/>
        </w:r>
      </w:hyperlink>
    </w:p>
    <w:p>
      <w:pPr>
        <w:tabs>
          <w:tab w:val="right" w:leader="dot" w:pos="9062"/>
        </w:tabs>
        <w:ind w:left="440"/>
      </w:pPr>
      <w:hyperlink w:anchor="_Toc5656" w:history="1">
        <w:r>
          <w:rPr>
            <w:rFonts w:ascii="IRNazanin" w:hAnsi="IRNazanin" w:eastAsia="IRNazanin" w:cs="IRNazanin"/>
            <w:color w:val="111111"/>
            <w:sz w:val="22"/>
            <w:szCs w:val="22"/>
            <w:b w:val="0"/>
            <w:bCs w:val="0"/>
            <w:i w:val="0"/>
            <w:iCs w:val="0"/>
          </w:rPr>
          <w:t>5225- دیوان عنقای طالقانی‏</w:t>
        </w:r>
        <w:r>
          <w:tab/>
        </w:r>
        <w:r>
          <w:fldChar w:fldCharType="begin"/>
        </w:r>
        <w:r>
          <w:instrText xml:space="preserve">PAGEREF 5656 \h</w:instrText>
        </w:r>
        <w:r>
          <w:fldChar w:fldCharType="end"/>
        </w:r>
      </w:hyperlink>
    </w:p>
    <w:p>
      <w:pPr>
        <w:tabs>
          <w:tab w:val="right" w:leader="dot" w:pos="9062"/>
        </w:tabs>
        <w:ind w:left="440"/>
      </w:pPr>
      <w:hyperlink w:anchor="_Toc5657" w:history="1">
        <w:r>
          <w:rPr>
            <w:rFonts w:ascii="IRNazanin" w:hAnsi="IRNazanin" w:eastAsia="IRNazanin" w:cs="IRNazanin"/>
            <w:color w:val="111111"/>
            <w:sz w:val="22"/>
            <w:szCs w:val="22"/>
            <w:b w:val="0"/>
            <w:bCs w:val="0"/>
            <w:i w:val="0"/>
            <w:iCs w:val="0"/>
          </w:rPr>
          <w:t>5226- دیوان عنقای طالقانی أو شعره‏</w:t>
        </w:r>
        <w:r>
          <w:tab/>
        </w:r>
        <w:r>
          <w:fldChar w:fldCharType="begin"/>
        </w:r>
        <w:r>
          <w:instrText xml:space="preserve">PAGEREF 5657 \h</w:instrText>
        </w:r>
        <w:r>
          <w:fldChar w:fldCharType="end"/>
        </w:r>
      </w:hyperlink>
    </w:p>
    <w:p>
      <w:pPr>
        <w:tabs>
          <w:tab w:val="right" w:leader="dot" w:pos="9062"/>
        </w:tabs>
        <w:ind w:left="440"/>
      </w:pPr>
      <w:hyperlink w:anchor="_Toc5658" w:history="1">
        <w:r>
          <w:rPr>
            <w:rFonts w:ascii="IRNazanin" w:hAnsi="IRNazanin" w:eastAsia="IRNazanin" w:cs="IRNazanin"/>
            <w:color w:val="111111"/>
            <w:sz w:val="22"/>
            <w:szCs w:val="22"/>
            <w:b w:val="0"/>
            <w:bCs w:val="0"/>
            <w:i w:val="0"/>
            <w:iCs w:val="0"/>
          </w:rPr>
          <w:t>5227- دیوان عنقای طهرانی‏</w:t>
        </w:r>
        <w:r>
          <w:tab/>
        </w:r>
        <w:r>
          <w:fldChar w:fldCharType="begin"/>
        </w:r>
        <w:r>
          <w:instrText xml:space="preserve">PAGEREF 5658 \h</w:instrText>
        </w:r>
        <w:r>
          <w:fldChar w:fldCharType="end"/>
        </w:r>
      </w:hyperlink>
    </w:p>
    <w:p>
      <w:pPr>
        <w:tabs>
          <w:tab w:val="right" w:leader="dot" w:pos="9062"/>
        </w:tabs>
        <w:ind w:left="440"/>
      </w:pPr>
      <w:hyperlink w:anchor="_Toc5659" w:history="1">
        <w:r>
          <w:rPr>
            <w:rFonts w:ascii="IRNazanin" w:hAnsi="IRNazanin" w:eastAsia="IRNazanin" w:cs="IRNazanin"/>
            <w:color w:val="111111"/>
            <w:sz w:val="22"/>
            <w:szCs w:val="22"/>
            <w:b w:val="0"/>
            <w:bCs w:val="0"/>
            <w:i w:val="0"/>
            <w:iCs w:val="0"/>
          </w:rPr>
          <w:t>5228- دیوان عنقای قاجار أو شعره‏</w:t>
        </w:r>
        <w:r>
          <w:tab/>
        </w:r>
        <w:r>
          <w:fldChar w:fldCharType="begin"/>
        </w:r>
        <w:r>
          <w:instrText xml:space="preserve">PAGEREF 5659 \h</w:instrText>
        </w:r>
        <w:r>
          <w:fldChar w:fldCharType="end"/>
        </w:r>
      </w:hyperlink>
    </w:p>
    <w:p>
      <w:pPr>
        <w:tabs>
          <w:tab w:val="right" w:leader="dot" w:pos="9062"/>
        </w:tabs>
        <w:ind w:left="440"/>
      </w:pPr>
      <w:hyperlink w:anchor="_Toc5660" w:history="1">
        <w:r>
          <w:rPr>
            <w:rFonts w:ascii="IRNazanin" w:hAnsi="IRNazanin" w:eastAsia="IRNazanin" w:cs="IRNazanin"/>
            <w:color w:val="111111"/>
            <w:sz w:val="22"/>
            <w:szCs w:val="22"/>
            <w:b w:val="0"/>
            <w:bCs w:val="0"/>
            <w:i w:val="0"/>
            <w:iCs w:val="0"/>
          </w:rPr>
          <w:t>5229- دیوان عنوان تبریزی‏</w:t>
        </w:r>
        <w:r>
          <w:tab/>
        </w:r>
        <w:r>
          <w:fldChar w:fldCharType="begin"/>
        </w:r>
        <w:r>
          <w:instrText xml:space="preserve">PAGEREF 5660 \h</w:instrText>
        </w:r>
        <w:r>
          <w:fldChar w:fldCharType="end"/>
        </w:r>
      </w:hyperlink>
    </w:p>
    <w:p>
      <w:pPr>
        <w:tabs>
          <w:tab w:val="right" w:leader="dot" w:pos="9062"/>
        </w:tabs>
        <w:ind w:left="440"/>
      </w:pPr>
      <w:hyperlink w:anchor="_Toc5661" w:history="1">
        <w:r>
          <w:rPr>
            <w:rFonts w:ascii="IRNazanin" w:hAnsi="IRNazanin" w:eastAsia="IRNazanin" w:cs="IRNazanin"/>
            <w:color w:val="111111"/>
            <w:sz w:val="22"/>
            <w:szCs w:val="22"/>
            <w:b w:val="0"/>
            <w:bCs w:val="0"/>
            <w:i w:val="0"/>
            <w:iCs w:val="0"/>
          </w:rPr>
          <w:t>5230- دیوان العواد البغدادی‏</w:t>
        </w:r>
        <w:r>
          <w:tab/>
        </w:r>
        <w:r>
          <w:fldChar w:fldCharType="begin"/>
        </w:r>
        <w:r>
          <w:instrText xml:space="preserve">PAGEREF 5661 \h</w:instrText>
        </w:r>
        <w:r>
          <w:fldChar w:fldCharType="end"/>
        </w:r>
      </w:hyperlink>
    </w:p>
    <w:p>
      <w:pPr>
        <w:tabs>
          <w:tab w:val="right" w:leader="dot" w:pos="9062"/>
        </w:tabs>
        <w:ind w:left="440"/>
      </w:pPr>
      <w:hyperlink w:anchor="_Toc5662" w:history="1">
        <w:r>
          <w:rPr>
            <w:rFonts w:ascii="IRNazanin" w:hAnsi="IRNazanin" w:eastAsia="IRNazanin" w:cs="IRNazanin"/>
            <w:color w:val="111111"/>
            <w:sz w:val="22"/>
            <w:szCs w:val="22"/>
            <w:b w:val="0"/>
            <w:bCs w:val="0"/>
            <w:i w:val="0"/>
            <w:iCs w:val="0"/>
          </w:rPr>
          <w:t>5231- دیوان عوام کردستانی أو شعره‏</w:t>
        </w:r>
        <w:r>
          <w:tab/>
        </w:r>
        <w:r>
          <w:fldChar w:fldCharType="begin"/>
        </w:r>
        <w:r>
          <w:instrText xml:space="preserve">PAGEREF 5662 \h</w:instrText>
        </w:r>
        <w:r>
          <w:fldChar w:fldCharType="end"/>
        </w:r>
      </w:hyperlink>
    </w:p>
    <w:p>
      <w:pPr>
        <w:tabs>
          <w:tab w:val="right" w:leader="dot" w:pos="9062"/>
        </w:tabs>
        <w:ind w:left="440"/>
      </w:pPr>
      <w:hyperlink w:anchor="_Toc5663" w:history="1">
        <w:r>
          <w:rPr>
            <w:rFonts w:ascii="IRNazanin" w:hAnsi="IRNazanin" w:eastAsia="IRNazanin" w:cs="IRNazanin"/>
            <w:color w:val="111111"/>
            <w:sz w:val="22"/>
            <w:szCs w:val="22"/>
            <w:b w:val="0"/>
            <w:bCs w:val="0"/>
            <w:i w:val="0"/>
            <w:iCs w:val="0"/>
          </w:rPr>
          <w:t>5232- دیوان عوض خان لاری أو شعره‏</w:t>
        </w:r>
        <w:r>
          <w:tab/>
        </w:r>
        <w:r>
          <w:fldChar w:fldCharType="begin"/>
        </w:r>
        <w:r>
          <w:instrText xml:space="preserve">PAGEREF 5663 \h</w:instrText>
        </w:r>
        <w:r>
          <w:fldChar w:fldCharType="end"/>
        </w:r>
      </w:hyperlink>
    </w:p>
    <w:p>
      <w:pPr>
        <w:tabs>
          <w:tab w:val="right" w:leader="dot" w:pos="9062"/>
        </w:tabs>
        <w:ind w:left="440"/>
      </w:pPr>
      <w:hyperlink w:anchor="_Toc5664" w:history="1">
        <w:r>
          <w:rPr>
            <w:rFonts w:ascii="IRNazanin" w:hAnsi="IRNazanin" w:eastAsia="IRNazanin" w:cs="IRNazanin"/>
            <w:color w:val="111111"/>
            <w:sz w:val="22"/>
            <w:szCs w:val="22"/>
            <w:b w:val="0"/>
            <w:bCs w:val="0"/>
            <w:i w:val="0"/>
            <w:iCs w:val="0"/>
          </w:rPr>
          <w:t>5233- دیوان عوض غازی أو شعره‏</w:t>
        </w:r>
        <w:r>
          <w:tab/>
        </w:r>
        <w:r>
          <w:fldChar w:fldCharType="begin"/>
        </w:r>
        <w:r>
          <w:instrText xml:space="preserve">PAGEREF 5664 \h</w:instrText>
        </w:r>
        <w:r>
          <w:fldChar w:fldCharType="end"/>
        </w:r>
      </w:hyperlink>
    </w:p>
    <w:p>
      <w:pPr>
        <w:tabs>
          <w:tab w:val="right" w:leader="dot" w:pos="9062"/>
        </w:tabs>
        <w:ind w:left="440"/>
      </w:pPr>
      <w:hyperlink w:anchor="_Toc5665" w:history="1">
        <w:r>
          <w:rPr>
            <w:rFonts w:ascii="IRNazanin" w:hAnsi="IRNazanin" w:eastAsia="IRNazanin" w:cs="IRNazanin"/>
            <w:color w:val="111111"/>
            <w:sz w:val="22"/>
            <w:szCs w:val="22"/>
            <w:b w:val="0"/>
            <w:bCs w:val="0"/>
            <w:i w:val="0"/>
            <w:iCs w:val="0"/>
          </w:rPr>
          <w:t>5234- دیوان عوف بن محلم‏</w:t>
        </w:r>
        <w:r>
          <w:tab/>
        </w:r>
        <w:r>
          <w:fldChar w:fldCharType="begin"/>
        </w:r>
        <w:r>
          <w:instrText xml:space="preserve">PAGEREF 5665 \h</w:instrText>
        </w:r>
        <w:r>
          <w:fldChar w:fldCharType="end"/>
        </w:r>
      </w:hyperlink>
    </w:p>
    <w:p>
      <w:pPr>
        <w:tabs>
          <w:tab w:val="right" w:leader="dot" w:pos="9062"/>
        </w:tabs>
        <w:ind w:left="440"/>
      </w:pPr>
      <w:hyperlink w:anchor="_Toc5666" w:history="1">
        <w:r>
          <w:rPr>
            <w:rFonts w:ascii="IRNazanin" w:hAnsi="IRNazanin" w:eastAsia="IRNazanin" w:cs="IRNazanin"/>
            <w:color w:val="111111"/>
            <w:sz w:val="22"/>
            <w:szCs w:val="22"/>
            <w:b w:val="0"/>
            <w:bCs w:val="0"/>
            <w:i w:val="0"/>
            <w:iCs w:val="0"/>
          </w:rPr>
          <w:t>5235- دیوان العوفی‏</w:t>
        </w:r>
        <w:r>
          <w:tab/>
        </w:r>
        <w:r>
          <w:fldChar w:fldCharType="begin"/>
        </w:r>
        <w:r>
          <w:instrText xml:space="preserve">PAGEREF 5666 \h</w:instrText>
        </w:r>
        <w:r>
          <w:fldChar w:fldCharType="end"/>
        </w:r>
      </w:hyperlink>
    </w:p>
    <w:p>
      <w:pPr>
        <w:tabs>
          <w:tab w:val="right" w:leader="dot" w:pos="9062"/>
        </w:tabs>
        <w:ind w:left="440"/>
      </w:pPr>
      <w:hyperlink w:anchor="_Toc5667" w:history="1">
        <w:r>
          <w:rPr>
            <w:rFonts w:ascii="IRNazanin" w:hAnsi="IRNazanin" w:eastAsia="IRNazanin" w:cs="IRNazanin"/>
            <w:color w:val="111111"/>
            <w:sz w:val="22"/>
            <w:szCs w:val="22"/>
            <w:b w:val="0"/>
            <w:bCs w:val="0"/>
            <w:i w:val="0"/>
            <w:iCs w:val="0"/>
          </w:rPr>
          <w:t>5236- دیوان العونی‏</w:t>
        </w:r>
        <w:r>
          <w:tab/>
        </w:r>
        <w:r>
          <w:fldChar w:fldCharType="begin"/>
        </w:r>
        <w:r>
          <w:instrText xml:space="preserve">PAGEREF 5667 \h</w:instrText>
        </w:r>
        <w:r>
          <w:fldChar w:fldCharType="end"/>
        </w:r>
      </w:hyperlink>
    </w:p>
    <w:p>
      <w:pPr>
        <w:tabs>
          <w:tab w:val="right" w:leader="dot" w:pos="9062"/>
        </w:tabs>
        <w:ind w:left="440"/>
      </w:pPr>
      <w:hyperlink w:anchor="_Toc5668" w:history="1">
        <w:r>
          <w:rPr>
            <w:rFonts w:ascii="IRNazanin" w:hAnsi="IRNazanin" w:eastAsia="IRNazanin" w:cs="IRNazanin"/>
            <w:color w:val="111111"/>
            <w:sz w:val="22"/>
            <w:szCs w:val="22"/>
            <w:b w:val="0"/>
            <w:bCs w:val="0"/>
            <w:i w:val="0"/>
            <w:iCs w:val="0"/>
          </w:rPr>
          <w:t>5237- دیوان العویس‏</w:t>
        </w:r>
        <w:r>
          <w:tab/>
        </w:r>
        <w:r>
          <w:fldChar w:fldCharType="begin"/>
        </w:r>
        <w:r>
          <w:instrText xml:space="preserve">PAGEREF 5668 \h</w:instrText>
        </w:r>
        <w:r>
          <w:fldChar w:fldCharType="end"/>
        </w:r>
      </w:hyperlink>
    </w:p>
    <w:p>
      <w:pPr>
        <w:tabs>
          <w:tab w:val="right" w:leader="dot" w:pos="9062"/>
        </w:tabs>
        <w:ind w:left="440"/>
      </w:pPr>
      <w:hyperlink w:anchor="_Toc5669" w:history="1">
        <w:r>
          <w:rPr>
            <w:rFonts w:ascii="IRNazanin" w:hAnsi="IRNazanin" w:eastAsia="IRNazanin" w:cs="IRNazanin"/>
            <w:color w:val="111111"/>
            <w:sz w:val="22"/>
            <w:szCs w:val="22"/>
            <w:b w:val="0"/>
            <w:bCs w:val="0"/>
            <w:i w:val="0"/>
            <w:iCs w:val="0"/>
          </w:rPr>
          <w:t>5238- دیوان عهدی باکوئی أو شعره‏</w:t>
        </w:r>
        <w:r>
          <w:tab/>
        </w:r>
        <w:r>
          <w:fldChar w:fldCharType="begin"/>
        </w:r>
        <w:r>
          <w:instrText xml:space="preserve">PAGEREF 5669 \h</w:instrText>
        </w:r>
        <w:r>
          <w:fldChar w:fldCharType="end"/>
        </w:r>
      </w:hyperlink>
    </w:p>
    <w:p>
      <w:pPr>
        <w:tabs>
          <w:tab w:val="right" w:leader="dot" w:pos="9062"/>
        </w:tabs>
        <w:ind w:left="440"/>
      </w:pPr>
      <w:hyperlink w:anchor="_Toc5670" w:history="1">
        <w:r>
          <w:rPr>
            <w:rFonts w:ascii="IRNazanin" w:hAnsi="IRNazanin" w:eastAsia="IRNazanin" w:cs="IRNazanin"/>
            <w:color w:val="111111"/>
            <w:sz w:val="22"/>
            <w:szCs w:val="22"/>
            <w:b w:val="0"/>
            <w:bCs w:val="0"/>
            <w:i w:val="0"/>
            <w:iCs w:val="0"/>
          </w:rPr>
          <w:t>5239- دیوان عهدی بغدادی‏</w:t>
        </w:r>
        <w:r>
          <w:tab/>
        </w:r>
        <w:r>
          <w:fldChar w:fldCharType="begin"/>
        </w:r>
        <w:r>
          <w:instrText xml:space="preserve">PAGEREF 5670 \h</w:instrText>
        </w:r>
        <w:r>
          <w:fldChar w:fldCharType="end"/>
        </w:r>
      </w:hyperlink>
    </w:p>
    <w:p>
      <w:pPr>
        <w:tabs>
          <w:tab w:val="right" w:leader="dot" w:pos="9062"/>
        </w:tabs>
        <w:ind w:left="440"/>
      </w:pPr>
      <w:hyperlink w:anchor="_Toc5671" w:history="1">
        <w:r>
          <w:rPr>
            <w:rFonts w:ascii="IRNazanin" w:hAnsi="IRNazanin" w:eastAsia="IRNazanin" w:cs="IRNazanin"/>
            <w:color w:val="111111"/>
            <w:sz w:val="22"/>
            <w:szCs w:val="22"/>
            <w:b w:val="0"/>
            <w:bCs w:val="0"/>
            <w:i w:val="0"/>
            <w:iCs w:val="0"/>
          </w:rPr>
          <w:t>5240- دیوان عهدی تبریزی‏</w:t>
        </w:r>
        <w:r>
          <w:tab/>
        </w:r>
        <w:r>
          <w:fldChar w:fldCharType="begin"/>
        </w:r>
        <w:r>
          <w:instrText xml:space="preserve">PAGEREF 5671 \h</w:instrText>
        </w:r>
        <w:r>
          <w:fldChar w:fldCharType="end"/>
        </w:r>
      </w:hyperlink>
    </w:p>
    <w:p>
      <w:pPr>
        <w:tabs>
          <w:tab w:val="right" w:leader="dot" w:pos="9062"/>
        </w:tabs>
        <w:ind w:left="440"/>
      </w:pPr>
      <w:hyperlink w:anchor="_Toc5672" w:history="1">
        <w:r>
          <w:rPr>
            <w:rFonts w:ascii="IRNazanin" w:hAnsi="IRNazanin" w:eastAsia="IRNazanin" w:cs="IRNazanin"/>
            <w:color w:val="111111"/>
            <w:sz w:val="22"/>
            <w:szCs w:val="22"/>
            <w:b w:val="0"/>
            <w:bCs w:val="0"/>
            <w:i w:val="0"/>
            <w:iCs w:val="0"/>
          </w:rPr>
          <w:t>دیوان عهدی ترشیزی‏</w:t>
        </w:r>
        <w:r>
          <w:tab/>
        </w:r>
        <w:r>
          <w:fldChar w:fldCharType="begin"/>
        </w:r>
        <w:r>
          <w:instrText xml:space="preserve">PAGEREF 5672 \h</w:instrText>
        </w:r>
        <w:r>
          <w:fldChar w:fldCharType="end"/>
        </w:r>
      </w:hyperlink>
    </w:p>
    <w:p>
      <w:pPr>
        <w:tabs>
          <w:tab w:val="right" w:leader="dot" w:pos="9062"/>
        </w:tabs>
        <w:ind w:left="440"/>
      </w:pPr>
      <w:hyperlink w:anchor="_Toc5673" w:history="1">
        <w:r>
          <w:rPr>
            <w:rFonts w:ascii="IRNazanin" w:hAnsi="IRNazanin" w:eastAsia="IRNazanin" w:cs="IRNazanin"/>
            <w:color w:val="111111"/>
            <w:sz w:val="22"/>
            <w:szCs w:val="22"/>
            <w:b w:val="0"/>
            <w:bCs w:val="0"/>
            <w:i w:val="0"/>
            <w:iCs w:val="0"/>
          </w:rPr>
          <w:t>دیوان عهدی تبریزی الگنابادی‏</w:t>
        </w:r>
        <w:r>
          <w:tab/>
        </w:r>
        <w:r>
          <w:fldChar w:fldCharType="begin"/>
        </w:r>
        <w:r>
          <w:instrText xml:space="preserve">PAGEREF 5673 \h</w:instrText>
        </w:r>
        <w:r>
          <w:fldChar w:fldCharType="end"/>
        </w:r>
      </w:hyperlink>
    </w:p>
    <w:p>
      <w:pPr>
        <w:tabs>
          <w:tab w:val="right" w:leader="dot" w:pos="9062"/>
        </w:tabs>
        <w:ind w:left="440"/>
      </w:pPr>
      <w:hyperlink w:anchor="_Toc5674" w:history="1">
        <w:r>
          <w:rPr>
            <w:rFonts w:ascii="IRNazanin" w:hAnsi="IRNazanin" w:eastAsia="IRNazanin" w:cs="IRNazanin"/>
            <w:color w:val="111111"/>
            <w:sz w:val="22"/>
            <w:szCs w:val="22"/>
            <w:b w:val="0"/>
            <w:bCs w:val="0"/>
            <w:i w:val="0"/>
            <w:iCs w:val="0"/>
          </w:rPr>
          <w:t>5241- دیوان عهدی خراسانی‏</w:t>
        </w:r>
        <w:r>
          <w:tab/>
        </w:r>
        <w:r>
          <w:fldChar w:fldCharType="begin"/>
        </w:r>
        <w:r>
          <w:instrText xml:space="preserve">PAGEREF 5674 \h</w:instrText>
        </w:r>
        <w:r>
          <w:fldChar w:fldCharType="end"/>
        </w:r>
      </w:hyperlink>
    </w:p>
    <w:p>
      <w:pPr>
        <w:tabs>
          <w:tab w:val="right" w:leader="dot" w:pos="9062"/>
        </w:tabs>
        <w:ind w:left="440"/>
      </w:pPr>
      <w:hyperlink w:anchor="_Toc5675" w:history="1">
        <w:r>
          <w:rPr>
            <w:rFonts w:ascii="IRNazanin" w:hAnsi="IRNazanin" w:eastAsia="IRNazanin" w:cs="IRNazanin"/>
            <w:color w:val="111111"/>
            <w:sz w:val="22"/>
            <w:szCs w:val="22"/>
            <w:b w:val="0"/>
            <w:bCs w:val="0"/>
            <w:i w:val="0"/>
            <w:iCs w:val="0"/>
          </w:rPr>
          <w:t>5242- دیوان عهدی ساوجی أو شعره‏</w:t>
        </w:r>
        <w:r>
          <w:tab/>
        </w:r>
        <w:r>
          <w:fldChar w:fldCharType="begin"/>
        </w:r>
        <w:r>
          <w:instrText xml:space="preserve">PAGEREF 5675 \h</w:instrText>
        </w:r>
        <w:r>
          <w:fldChar w:fldCharType="end"/>
        </w:r>
      </w:hyperlink>
    </w:p>
    <w:p>
      <w:pPr>
        <w:tabs>
          <w:tab w:val="right" w:leader="dot" w:pos="9062"/>
        </w:tabs>
        <w:ind w:left="440"/>
      </w:pPr>
      <w:hyperlink w:anchor="_Toc5676" w:history="1">
        <w:r>
          <w:rPr>
            <w:rFonts w:ascii="IRNazanin" w:hAnsi="IRNazanin" w:eastAsia="IRNazanin" w:cs="IRNazanin"/>
            <w:color w:val="111111"/>
            <w:sz w:val="22"/>
            <w:szCs w:val="22"/>
            <w:b w:val="0"/>
            <w:bCs w:val="0"/>
            <w:i w:val="0"/>
            <w:iCs w:val="0"/>
          </w:rPr>
          <w:t>5243- دیوان عهدی قزوینی‏</w:t>
        </w:r>
        <w:r>
          <w:tab/>
        </w:r>
        <w:r>
          <w:fldChar w:fldCharType="begin"/>
        </w:r>
        <w:r>
          <w:instrText xml:space="preserve">PAGEREF 5676 \h</w:instrText>
        </w:r>
        <w:r>
          <w:fldChar w:fldCharType="end"/>
        </w:r>
      </w:hyperlink>
    </w:p>
    <w:p>
      <w:pPr>
        <w:tabs>
          <w:tab w:val="right" w:leader="dot" w:pos="9062"/>
        </w:tabs>
        <w:ind w:left="440"/>
      </w:pPr>
      <w:hyperlink w:anchor="_Toc5677" w:history="1">
        <w:r>
          <w:rPr>
            <w:rFonts w:ascii="IRNazanin" w:hAnsi="IRNazanin" w:eastAsia="IRNazanin" w:cs="IRNazanin"/>
            <w:color w:val="111111"/>
            <w:sz w:val="22"/>
            <w:szCs w:val="22"/>
            <w:b w:val="0"/>
            <w:bCs w:val="0"/>
            <w:i w:val="0"/>
            <w:iCs w:val="0"/>
          </w:rPr>
          <w:t>دیوان عهدی گنابادی‏</w:t>
        </w:r>
        <w:r>
          <w:tab/>
        </w:r>
        <w:r>
          <w:fldChar w:fldCharType="begin"/>
        </w:r>
        <w:r>
          <w:instrText xml:space="preserve">PAGEREF 5677 \h</w:instrText>
        </w:r>
        <w:r>
          <w:fldChar w:fldCharType="end"/>
        </w:r>
      </w:hyperlink>
    </w:p>
    <w:p>
      <w:pPr>
        <w:tabs>
          <w:tab w:val="right" w:leader="dot" w:pos="9062"/>
        </w:tabs>
        <w:ind w:left="440"/>
      </w:pPr>
      <w:hyperlink w:anchor="_Toc5678" w:history="1">
        <w:r>
          <w:rPr>
            <w:rFonts w:ascii="IRNazanin" w:hAnsi="IRNazanin" w:eastAsia="IRNazanin" w:cs="IRNazanin"/>
            <w:color w:val="111111"/>
            <w:sz w:val="22"/>
            <w:szCs w:val="22"/>
            <w:b w:val="0"/>
            <w:bCs w:val="0"/>
            <w:i w:val="0"/>
            <w:iCs w:val="0"/>
          </w:rPr>
          <w:t>5244- دیوان عهدی کوکب‏آبادی أو شعره‏</w:t>
        </w:r>
        <w:r>
          <w:tab/>
        </w:r>
        <w:r>
          <w:fldChar w:fldCharType="begin"/>
        </w:r>
        <w:r>
          <w:instrText xml:space="preserve">PAGEREF 5678 \h</w:instrText>
        </w:r>
        <w:r>
          <w:fldChar w:fldCharType="end"/>
        </w:r>
      </w:hyperlink>
    </w:p>
    <w:p>
      <w:pPr>
        <w:tabs>
          <w:tab w:val="right" w:leader="dot" w:pos="9062"/>
        </w:tabs>
        <w:ind w:left="440"/>
      </w:pPr>
      <w:hyperlink w:anchor="_Toc5679" w:history="1">
        <w:r>
          <w:rPr>
            <w:rFonts w:ascii="IRNazanin" w:hAnsi="IRNazanin" w:eastAsia="IRNazanin" w:cs="IRNazanin"/>
            <w:color w:val="111111"/>
            <w:sz w:val="22"/>
            <w:szCs w:val="22"/>
            <w:b w:val="0"/>
            <w:bCs w:val="0"/>
            <w:i w:val="0"/>
            <w:iCs w:val="0"/>
          </w:rPr>
          <w:t>5245- دیوان- عیاضی سرخی‏</w:t>
        </w:r>
        <w:r>
          <w:tab/>
        </w:r>
        <w:r>
          <w:fldChar w:fldCharType="begin"/>
        </w:r>
        <w:r>
          <w:instrText xml:space="preserve">PAGEREF 5679 \h</w:instrText>
        </w:r>
        <w:r>
          <w:fldChar w:fldCharType="end"/>
        </w:r>
      </w:hyperlink>
    </w:p>
    <w:p>
      <w:pPr>
        <w:tabs>
          <w:tab w:val="right" w:leader="dot" w:pos="9062"/>
        </w:tabs>
        <w:ind w:left="440"/>
      </w:pPr>
      <w:hyperlink w:anchor="_Toc5680" w:history="1">
        <w:r>
          <w:rPr>
            <w:rFonts w:ascii="IRNazanin" w:hAnsi="IRNazanin" w:eastAsia="IRNazanin" w:cs="IRNazanin"/>
            <w:color w:val="111111"/>
            <w:sz w:val="22"/>
            <w:szCs w:val="22"/>
            <w:b w:val="0"/>
            <w:bCs w:val="0"/>
            <w:i w:val="0"/>
            <w:iCs w:val="0"/>
          </w:rPr>
          <w:t>دیوان عیانی أسترآبادی أو شعره‏</w:t>
        </w:r>
        <w:r>
          <w:tab/>
        </w:r>
        <w:r>
          <w:fldChar w:fldCharType="begin"/>
        </w:r>
        <w:r>
          <w:instrText xml:space="preserve">PAGEREF 5680 \h</w:instrText>
        </w:r>
        <w:r>
          <w:fldChar w:fldCharType="end"/>
        </w:r>
      </w:hyperlink>
    </w:p>
    <w:p>
      <w:pPr>
        <w:tabs>
          <w:tab w:val="right" w:leader="dot" w:pos="9062"/>
        </w:tabs>
        <w:ind w:left="440"/>
      </w:pPr>
      <w:hyperlink w:anchor="_Toc5681" w:history="1">
        <w:r>
          <w:rPr>
            <w:rFonts w:ascii="IRNazanin" w:hAnsi="IRNazanin" w:eastAsia="IRNazanin" w:cs="IRNazanin"/>
            <w:color w:val="111111"/>
            <w:sz w:val="22"/>
            <w:szCs w:val="22"/>
            <w:b w:val="0"/>
            <w:bCs w:val="0"/>
            <w:i w:val="0"/>
            <w:iCs w:val="0"/>
          </w:rPr>
          <w:t>دیوان عیانی تکلو</w:t>
        </w:r>
        <w:r>
          <w:tab/>
        </w:r>
        <w:r>
          <w:fldChar w:fldCharType="begin"/>
        </w:r>
        <w:r>
          <w:instrText xml:space="preserve">PAGEREF 5681 \h</w:instrText>
        </w:r>
        <w:r>
          <w:fldChar w:fldCharType="end"/>
        </w:r>
      </w:hyperlink>
    </w:p>
    <w:p>
      <w:pPr>
        <w:tabs>
          <w:tab w:val="right" w:leader="dot" w:pos="9062"/>
        </w:tabs>
        <w:ind w:left="440"/>
      </w:pPr>
      <w:hyperlink w:anchor="_Toc5682" w:history="1">
        <w:r>
          <w:rPr>
            <w:rFonts w:ascii="IRNazanin" w:hAnsi="IRNazanin" w:eastAsia="IRNazanin" w:cs="IRNazanin"/>
            <w:color w:val="111111"/>
            <w:sz w:val="22"/>
            <w:szCs w:val="22"/>
            <w:b w:val="0"/>
            <w:bCs w:val="0"/>
            <w:i w:val="0"/>
            <w:iCs w:val="0"/>
          </w:rPr>
          <w:t>5246- دیوان عیانی جهرمی أو شعره‏</w:t>
        </w:r>
        <w:r>
          <w:tab/>
        </w:r>
        <w:r>
          <w:fldChar w:fldCharType="begin"/>
        </w:r>
        <w:r>
          <w:instrText xml:space="preserve">PAGEREF 5682 \h</w:instrText>
        </w:r>
        <w:r>
          <w:fldChar w:fldCharType="end"/>
        </w:r>
      </w:hyperlink>
    </w:p>
    <w:p>
      <w:pPr>
        <w:tabs>
          <w:tab w:val="right" w:leader="dot" w:pos="9062"/>
        </w:tabs>
        <w:ind w:left="440"/>
      </w:pPr>
      <w:hyperlink w:anchor="_Toc5683" w:history="1">
        <w:r>
          <w:rPr>
            <w:rFonts w:ascii="IRNazanin" w:hAnsi="IRNazanin" w:eastAsia="IRNazanin" w:cs="IRNazanin"/>
            <w:color w:val="111111"/>
            <w:sz w:val="22"/>
            <w:szCs w:val="22"/>
            <w:b w:val="0"/>
            <w:bCs w:val="0"/>
            <w:i w:val="0"/>
            <w:iCs w:val="0"/>
          </w:rPr>
          <w:t>5247- دیوان عیانی خفری‏</w:t>
        </w:r>
        <w:r>
          <w:tab/>
        </w:r>
        <w:r>
          <w:fldChar w:fldCharType="begin"/>
        </w:r>
        <w:r>
          <w:instrText xml:space="preserve">PAGEREF 5683 \h</w:instrText>
        </w:r>
        <w:r>
          <w:fldChar w:fldCharType="end"/>
        </w:r>
      </w:hyperlink>
    </w:p>
    <w:p>
      <w:pPr>
        <w:tabs>
          <w:tab w:val="right" w:leader="dot" w:pos="9062"/>
        </w:tabs>
        <w:ind w:left="440"/>
      </w:pPr>
      <w:hyperlink w:anchor="_Toc5684" w:history="1">
        <w:r>
          <w:rPr>
            <w:rFonts w:ascii="IRNazanin" w:hAnsi="IRNazanin" w:eastAsia="IRNazanin" w:cs="IRNazanin"/>
            <w:color w:val="111111"/>
            <w:sz w:val="22"/>
            <w:szCs w:val="22"/>
            <w:b w:val="0"/>
            <w:bCs w:val="0"/>
            <w:i w:val="0"/>
            <w:iCs w:val="0"/>
          </w:rPr>
          <w:t>5248- دیوان عیانی شیرازی أو شعره‏</w:t>
        </w:r>
        <w:r>
          <w:tab/>
        </w:r>
        <w:r>
          <w:fldChar w:fldCharType="begin"/>
        </w:r>
        <w:r>
          <w:instrText xml:space="preserve">PAGEREF 5684 \h</w:instrText>
        </w:r>
        <w:r>
          <w:fldChar w:fldCharType="end"/>
        </w:r>
      </w:hyperlink>
    </w:p>
    <w:p>
      <w:pPr>
        <w:tabs>
          <w:tab w:val="right" w:leader="dot" w:pos="9062"/>
        </w:tabs>
        <w:ind w:left="440"/>
      </w:pPr>
      <w:hyperlink w:anchor="_Toc5685" w:history="1">
        <w:r>
          <w:rPr>
            <w:rFonts w:ascii="IRNazanin" w:hAnsi="IRNazanin" w:eastAsia="IRNazanin" w:cs="IRNazanin"/>
            <w:color w:val="111111"/>
            <w:sz w:val="22"/>
            <w:szCs w:val="22"/>
            <w:b w:val="0"/>
            <w:bCs w:val="0"/>
            <w:i w:val="0"/>
            <w:iCs w:val="0"/>
          </w:rPr>
          <w:t>دیوان عیانی شیرازی‏</w:t>
        </w:r>
        <w:r>
          <w:tab/>
        </w:r>
        <w:r>
          <w:fldChar w:fldCharType="begin"/>
        </w:r>
        <w:r>
          <w:instrText xml:space="preserve">PAGEREF 5685 \h</w:instrText>
        </w:r>
        <w:r>
          <w:fldChar w:fldCharType="end"/>
        </w:r>
      </w:hyperlink>
    </w:p>
    <w:p>
      <w:pPr>
        <w:tabs>
          <w:tab w:val="right" w:leader="dot" w:pos="9062"/>
        </w:tabs>
        <w:ind w:left="440"/>
      </w:pPr>
      <w:hyperlink w:anchor="_Toc5686" w:history="1">
        <w:r>
          <w:rPr>
            <w:rFonts w:ascii="IRNazanin" w:hAnsi="IRNazanin" w:eastAsia="IRNazanin" w:cs="IRNazanin"/>
            <w:color w:val="111111"/>
            <w:sz w:val="22"/>
            <w:szCs w:val="22"/>
            <w:b w:val="0"/>
            <w:bCs w:val="0"/>
            <w:i w:val="0"/>
            <w:iCs w:val="0"/>
          </w:rPr>
          <w:t>5249- دیوان عیانی هروی‏</w:t>
        </w:r>
        <w:r>
          <w:tab/>
        </w:r>
        <w:r>
          <w:fldChar w:fldCharType="begin"/>
        </w:r>
        <w:r>
          <w:instrText xml:space="preserve">PAGEREF 5686 \h</w:instrText>
        </w:r>
        <w:r>
          <w:fldChar w:fldCharType="end"/>
        </w:r>
      </w:hyperlink>
    </w:p>
    <w:p>
      <w:pPr>
        <w:tabs>
          <w:tab w:val="right" w:leader="dot" w:pos="9062"/>
        </w:tabs>
        <w:ind w:left="440"/>
      </w:pPr>
      <w:hyperlink w:anchor="_Toc5687" w:history="1">
        <w:r>
          <w:rPr>
            <w:rFonts w:ascii="IRNazanin" w:hAnsi="IRNazanin" w:eastAsia="IRNazanin" w:cs="IRNazanin"/>
            <w:color w:val="111111"/>
            <w:sz w:val="22"/>
            <w:szCs w:val="22"/>
            <w:b w:val="0"/>
            <w:bCs w:val="0"/>
            <w:i w:val="0"/>
            <w:iCs w:val="0"/>
          </w:rPr>
          <w:t>5250- دیوان عیدی بیک خلیفة أو شعره‏</w:t>
        </w:r>
        <w:r>
          <w:tab/>
        </w:r>
        <w:r>
          <w:fldChar w:fldCharType="begin"/>
        </w:r>
        <w:r>
          <w:instrText xml:space="preserve">PAGEREF 5687 \h</w:instrText>
        </w:r>
        <w:r>
          <w:fldChar w:fldCharType="end"/>
        </w:r>
      </w:hyperlink>
    </w:p>
    <w:p>
      <w:pPr>
        <w:tabs>
          <w:tab w:val="right" w:leader="dot" w:pos="9062"/>
        </w:tabs>
        <w:ind w:left="440"/>
      </w:pPr>
      <w:hyperlink w:anchor="_Toc5688" w:history="1">
        <w:r>
          <w:rPr>
            <w:rFonts w:ascii="IRNazanin" w:hAnsi="IRNazanin" w:eastAsia="IRNazanin" w:cs="IRNazanin"/>
            <w:color w:val="111111"/>
            <w:sz w:val="22"/>
            <w:szCs w:val="22"/>
            <w:b w:val="0"/>
            <w:bCs w:val="0"/>
            <w:i w:val="0"/>
            <w:iCs w:val="0"/>
          </w:rPr>
          <w:t>5251- دیوان عیسی أصفهانی‏</w:t>
        </w:r>
        <w:r>
          <w:tab/>
        </w:r>
        <w:r>
          <w:fldChar w:fldCharType="begin"/>
        </w:r>
        <w:r>
          <w:instrText xml:space="preserve">PAGEREF 5688 \h</w:instrText>
        </w:r>
        <w:r>
          <w:fldChar w:fldCharType="end"/>
        </w:r>
      </w:hyperlink>
    </w:p>
    <w:p>
      <w:pPr>
        <w:tabs>
          <w:tab w:val="right" w:leader="dot" w:pos="9062"/>
        </w:tabs>
        <w:ind w:left="440"/>
      </w:pPr>
      <w:hyperlink w:anchor="_Toc5689" w:history="1">
        <w:r>
          <w:rPr>
            <w:rFonts w:ascii="IRNazanin" w:hAnsi="IRNazanin" w:eastAsia="IRNazanin" w:cs="IRNazanin"/>
            <w:color w:val="111111"/>
            <w:sz w:val="22"/>
            <w:szCs w:val="22"/>
            <w:b w:val="0"/>
            <w:bCs w:val="0"/>
            <w:i w:val="0"/>
            <w:iCs w:val="0"/>
          </w:rPr>
          <w:t>5252- دیوان السید عیسی الأعرجی‏</w:t>
        </w:r>
        <w:r>
          <w:tab/>
        </w:r>
        <w:r>
          <w:fldChar w:fldCharType="begin"/>
        </w:r>
        <w:r>
          <w:instrText xml:space="preserve">PAGEREF 5689 \h</w:instrText>
        </w:r>
        <w:r>
          <w:fldChar w:fldCharType="end"/>
        </w:r>
      </w:hyperlink>
    </w:p>
    <w:p>
      <w:pPr>
        <w:tabs>
          <w:tab w:val="right" w:leader="dot" w:pos="9062"/>
        </w:tabs>
        <w:ind w:left="440"/>
      </w:pPr>
      <w:hyperlink w:anchor="_Toc5690" w:history="1">
        <w:r>
          <w:rPr>
            <w:rFonts w:ascii="IRNazanin" w:hAnsi="IRNazanin" w:eastAsia="IRNazanin" w:cs="IRNazanin"/>
            <w:color w:val="111111"/>
            <w:sz w:val="22"/>
            <w:szCs w:val="22"/>
            <w:b w:val="0"/>
            <w:bCs w:val="0"/>
            <w:i w:val="0"/>
            <w:iCs w:val="0"/>
          </w:rPr>
          <w:t>5253- دیوان عیسی بیک تبریزی أو شعره‏</w:t>
        </w:r>
        <w:r>
          <w:tab/>
        </w:r>
        <w:r>
          <w:fldChar w:fldCharType="begin"/>
        </w:r>
        <w:r>
          <w:instrText xml:space="preserve">PAGEREF 5690 \h</w:instrText>
        </w:r>
        <w:r>
          <w:fldChar w:fldCharType="end"/>
        </w:r>
      </w:hyperlink>
    </w:p>
    <w:p>
      <w:pPr>
        <w:tabs>
          <w:tab w:val="right" w:leader="dot" w:pos="9062"/>
        </w:tabs>
        <w:ind w:left="440"/>
      </w:pPr>
      <w:hyperlink w:anchor="_Toc5691" w:history="1">
        <w:r>
          <w:rPr>
            <w:rFonts w:ascii="IRNazanin" w:hAnsi="IRNazanin" w:eastAsia="IRNazanin" w:cs="IRNazanin"/>
            <w:color w:val="111111"/>
            <w:sz w:val="22"/>
            <w:szCs w:val="22"/>
            <w:b w:val="0"/>
            <w:bCs w:val="0"/>
            <w:i w:val="0"/>
            <w:iCs w:val="0"/>
          </w:rPr>
          <w:t>5254- دیوان عیسی ساوجی‏</w:t>
        </w:r>
        <w:r>
          <w:tab/>
        </w:r>
        <w:r>
          <w:fldChar w:fldCharType="begin"/>
        </w:r>
        <w:r>
          <w:instrText xml:space="preserve">PAGEREF 5691 \h</w:instrText>
        </w:r>
        <w:r>
          <w:fldChar w:fldCharType="end"/>
        </w:r>
      </w:hyperlink>
    </w:p>
    <w:p>
      <w:pPr>
        <w:tabs>
          <w:tab w:val="right" w:leader="dot" w:pos="9062"/>
        </w:tabs>
        <w:ind w:left="440"/>
      </w:pPr>
      <w:hyperlink w:anchor="_Toc5692" w:history="1">
        <w:r>
          <w:rPr>
            <w:rFonts w:ascii="IRNazanin" w:hAnsi="IRNazanin" w:eastAsia="IRNazanin" w:cs="IRNazanin"/>
            <w:color w:val="111111"/>
            <w:sz w:val="22"/>
            <w:szCs w:val="22"/>
            <w:b w:val="0"/>
            <w:bCs w:val="0"/>
            <w:i w:val="0"/>
            <w:iCs w:val="0"/>
          </w:rPr>
          <w:t>5255- دیوان عیسی شیرازی أو شعره‏</w:t>
        </w:r>
        <w:r>
          <w:tab/>
        </w:r>
        <w:r>
          <w:fldChar w:fldCharType="begin"/>
        </w:r>
        <w:r>
          <w:instrText xml:space="preserve">PAGEREF 5692 \h</w:instrText>
        </w:r>
        <w:r>
          <w:fldChar w:fldCharType="end"/>
        </w:r>
      </w:hyperlink>
    </w:p>
    <w:p>
      <w:pPr>
        <w:tabs>
          <w:tab w:val="right" w:leader="dot" w:pos="9062"/>
        </w:tabs>
        <w:ind w:left="440"/>
      </w:pPr>
      <w:hyperlink w:anchor="_Toc5693" w:history="1">
        <w:r>
          <w:rPr>
            <w:rFonts w:ascii="IRNazanin" w:hAnsi="IRNazanin" w:eastAsia="IRNazanin" w:cs="IRNazanin"/>
            <w:color w:val="111111"/>
            <w:sz w:val="22"/>
            <w:szCs w:val="22"/>
            <w:b w:val="0"/>
            <w:bCs w:val="0"/>
            <w:i w:val="0"/>
            <w:iCs w:val="0"/>
          </w:rPr>
          <w:t>5256- دیوان عیسی یزدی أو شعره‏</w:t>
        </w:r>
        <w:r>
          <w:tab/>
        </w:r>
        <w:r>
          <w:fldChar w:fldCharType="begin"/>
        </w:r>
        <w:r>
          <w:instrText xml:space="preserve">PAGEREF 5693 \h</w:instrText>
        </w:r>
        <w:r>
          <w:fldChar w:fldCharType="end"/>
        </w:r>
      </w:hyperlink>
    </w:p>
    <w:p>
      <w:pPr>
        <w:tabs>
          <w:tab w:val="right" w:leader="dot" w:pos="9062"/>
        </w:tabs>
        <w:ind w:left="440"/>
      </w:pPr>
      <w:hyperlink w:anchor="_Toc5694" w:history="1">
        <w:r>
          <w:rPr>
            <w:rFonts w:ascii="IRNazanin" w:hAnsi="IRNazanin" w:eastAsia="IRNazanin" w:cs="IRNazanin"/>
            <w:color w:val="111111"/>
            <w:sz w:val="22"/>
            <w:szCs w:val="22"/>
            <w:b w:val="0"/>
            <w:bCs w:val="0"/>
            <w:i w:val="0"/>
            <w:iCs w:val="0"/>
          </w:rPr>
          <w:t>5257- دیوان السید عیسی الیمانی‏</w:t>
        </w:r>
        <w:r>
          <w:tab/>
        </w:r>
        <w:r>
          <w:fldChar w:fldCharType="begin"/>
        </w:r>
        <w:r>
          <w:instrText xml:space="preserve">PAGEREF 5694 \h</w:instrText>
        </w:r>
        <w:r>
          <w:fldChar w:fldCharType="end"/>
        </w:r>
      </w:hyperlink>
    </w:p>
    <w:p>
      <w:pPr>
        <w:tabs>
          <w:tab w:val="right" w:leader="dot" w:pos="9062"/>
        </w:tabs>
        <w:ind w:left="440"/>
      </w:pPr>
      <w:hyperlink w:anchor="_Toc5695" w:history="1">
        <w:r>
          <w:rPr>
            <w:rFonts w:ascii="IRNazanin" w:hAnsi="IRNazanin" w:eastAsia="IRNazanin" w:cs="IRNazanin"/>
            <w:color w:val="111111"/>
            <w:sz w:val="22"/>
            <w:szCs w:val="22"/>
            <w:b w:val="0"/>
            <w:bCs w:val="0"/>
            <w:i w:val="0"/>
            <w:iCs w:val="0"/>
          </w:rPr>
          <w:t>دیوان عیشی‏</w:t>
        </w:r>
        <w:r>
          <w:tab/>
        </w:r>
        <w:r>
          <w:fldChar w:fldCharType="begin"/>
        </w:r>
        <w:r>
          <w:instrText xml:space="preserve">PAGEREF 5695 \h</w:instrText>
        </w:r>
        <w:r>
          <w:fldChar w:fldCharType="end"/>
        </w:r>
      </w:hyperlink>
    </w:p>
    <w:p>
      <w:pPr>
        <w:tabs>
          <w:tab w:val="right" w:leader="dot" w:pos="9062"/>
        </w:tabs>
        <w:ind w:left="440"/>
      </w:pPr>
      <w:hyperlink w:anchor="_Toc5696" w:history="1">
        <w:r>
          <w:rPr>
            <w:rFonts w:ascii="IRNazanin" w:hAnsi="IRNazanin" w:eastAsia="IRNazanin" w:cs="IRNazanin"/>
            <w:color w:val="111111"/>
            <w:sz w:val="22"/>
            <w:szCs w:val="22"/>
            <w:b w:val="0"/>
            <w:bCs w:val="0"/>
            <w:i w:val="0"/>
            <w:iCs w:val="0"/>
          </w:rPr>
          <w:t>5258- دیوان عیشی أردبیلی أو شعره‏</w:t>
        </w:r>
        <w:r>
          <w:tab/>
        </w:r>
        <w:r>
          <w:fldChar w:fldCharType="begin"/>
        </w:r>
        <w:r>
          <w:instrText xml:space="preserve">PAGEREF 5696 \h</w:instrText>
        </w:r>
        <w:r>
          <w:fldChar w:fldCharType="end"/>
        </w:r>
      </w:hyperlink>
    </w:p>
    <w:p>
      <w:pPr>
        <w:tabs>
          <w:tab w:val="right" w:leader="dot" w:pos="9062"/>
        </w:tabs>
        <w:ind w:left="440"/>
      </w:pPr>
      <w:hyperlink w:anchor="_Toc5697" w:history="1">
        <w:r>
          <w:rPr>
            <w:rFonts w:ascii="IRNazanin" w:hAnsi="IRNazanin" w:eastAsia="IRNazanin" w:cs="IRNazanin"/>
            <w:color w:val="111111"/>
            <w:sz w:val="22"/>
            <w:szCs w:val="22"/>
            <w:b w:val="0"/>
            <w:bCs w:val="0"/>
            <w:i w:val="0"/>
            <w:iCs w:val="0"/>
          </w:rPr>
          <w:t>5259- دیوان عیشی أصفهانی أو شعره‏</w:t>
        </w:r>
        <w:r>
          <w:tab/>
        </w:r>
        <w:r>
          <w:fldChar w:fldCharType="begin"/>
        </w:r>
        <w:r>
          <w:instrText xml:space="preserve">PAGEREF 5697 \h</w:instrText>
        </w:r>
        <w:r>
          <w:fldChar w:fldCharType="end"/>
        </w:r>
      </w:hyperlink>
    </w:p>
    <w:p>
      <w:pPr>
        <w:tabs>
          <w:tab w:val="right" w:leader="dot" w:pos="9062"/>
        </w:tabs>
        <w:ind w:left="440"/>
      </w:pPr>
      <w:hyperlink w:anchor="_Toc5698" w:history="1">
        <w:r>
          <w:rPr>
            <w:rFonts w:ascii="IRNazanin" w:hAnsi="IRNazanin" w:eastAsia="IRNazanin" w:cs="IRNazanin"/>
            <w:color w:val="111111"/>
            <w:sz w:val="22"/>
            <w:szCs w:val="22"/>
            <w:b w:val="0"/>
            <w:bCs w:val="0"/>
            <w:i w:val="0"/>
            <w:iCs w:val="0"/>
          </w:rPr>
          <w:t>5260- دیوان عیشی حصاری‏</w:t>
        </w:r>
        <w:r>
          <w:tab/>
        </w:r>
        <w:r>
          <w:fldChar w:fldCharType="begin"/>
        </w:r>
        <w:r>
          <w:instrText xml:space="preserve">PAGEREF 5698 \h</w:instrText>
        </w:r>
        <w:r>
          <w:fldChar w:fldCharType="end"/>
        </w:r>
      </w:hyperlink>
    </w:p>
    <w:p>
      <w:pPr>
        <w:tabs>
          <w:tab w:val="right" w:leader="dot" w:pos="9062"/>
        </w:tabs>
        <w:ind w:left="440"/>
      </w:pPr>
      <w:hyperlink w:anchor="_Toc5699" w:history="1">
        <w:r>
          <w:rPr>
            <w:rFonts w:ascii="IRNazanin" w:hAnsi="IRNazanin" w:eastAsia="IRNazanin" w:cs="IRNazanin"/>
            <w:color w:val="111111"/>
            <w:sz w:val="22"/>
            <w:szCs w:val="22"/>
            <w:b w:val="0"/>
            <w:bCs w:val="0"/>
            <w:i w:val="0"/>
            <w:iCs w:val="0"/>
          </w:rPr>
          <w:t>5261- دیوان عیشی شیرازی‏</w:t>
        </w:r>
        <w:r>
          <w:tab/>
        </w:r>
        <w:r>
          <w:fldChar w:fldCharType="begin"/>
        </w:r>
        <w:r>
          <w:instrText xml:space="preserve">PAGEREF 5699 \h</w:instrText>
        </w:r>
        <w:r>
          <w:fldChar w:fldCharType="end"/>
        </w:r>
      </w:hyperlink>
    </w:p>
    <w:p>
      <w:pPr>
        <w:tabs>
          <w:tab w:val="right" w:leader="dot" w:pos="9062"/>
        </w:tabs>
        <w:ind w:left="440"/>
      </w:pPr>
      <w:hyperlink w:anchor="_Toc5700" w:history="1">
        <w:r>
          <w:rPr>
            <w:rFonts w:ascii="IRNazanin" w:hAnsi="IRNazanin" w:eastAsia="IRNazanin" w:cs="IRNazanin"/>
            <w:color w:val="111111"/>
            <w:sz w:val="22"/>
            <w:szCs w:val="22"/>
            <w:b w:val="0"/>
            <w:bCs w:val="0"/>
            <w:i w:val="0"/>
            <w:iCs w:val="0"/>
          </w:rPr>
          <w:t>دیوان عیشی ساوجی‏</w:t>
        </w:r>
        <w:r>
          <w:tab/>
        </w:r>
        <w:r>
          <w:fldChar w:fldCharType="begin"/>
        </w:r>
        <w:r>
          <w:instrText xml:space="preserve">PAGEREF 5700 \h</w:instrText>
        </w:r>
        <w:r>
          <w:fldChar w:fldCharType="end"/>
        </w:r>
      </w:hyperlink>
    </w:p>
    <w:p>
      <w:pPr>
        <w:tabs>
          <w:tab w:val="right" w:leader="dot" w:pos="9062"/>
        </w:tabs>
        <w:ind w:left="440"/>
      </w:pPr>
      <w:hyperlink w:anchor="_Toc5701" w:history="1">
        <w:r>
          <w:rPr>
            <w:rFonts w:ascii="IRNazanin" w:hAnsi="IRNazanin" w:eastAsia="IRNazanin" w:cs="IRNazanin"/>
            <w:color w:val="111111"/>
            <w:sz w:val="22"/>
            <w:szCs w:val="22"/>
            <w:b w:val="0"/>
            <w:bCs w:val="0"/>
            <w:i w:val="0"/>
            <w:iCs w:val="0"/>
          </w:rPr>
          <w:t>5262- دیوان عیشی شیرازی‏</w:t>
        </w:r>
        <w:r>
          <w:tab/>
        </w:r>
        <w:r>
          <w:fldChar w:fldCharType="begin"/>
        </w:r>
        <w:r>
          <w:instrText xml:space="preserve">PAGEREF 5701 \h</w:instrText>
        </w:r>
        <w:r>
          <w:fldChar w:fldCharType="end"/>
        </w:r>
      </w:hyperlink>
    </w:p>
    <w:p>
      <w:pPr>
        <w:tabs>
          <w:tab w:val="right" w:leader="dot" w:pos="9062"/>
        </w:tabs>
        <w:ind w:left="440"/>
      </w:pPr>
      <w:hyperlink w:anchor="_Toc5702" w:history="1">
        <w:r>
          <w:rPr>
            <w:rFonts w:ascii="IRNazanin" w:hAnsi="IRNazanin" w:eastAsia="IRNazanin" w:cs="IRNazanin"/>
            <w:color w:val="111111"/>
            <w:sz w:val="22"/>
            <w:szCs w:val="22"/>
            <w:b w:val="0"/>
            <w:bCs w:val="0"/>
            <w:i w:val="0"/>
            <w:iCs w:val="0"/>
          </w:rPr>
          <w:t>5263- دیوان عیشی لکهنوی أو شعره‏</w:t>
        </w:r>
        <w:r>
          <w:tab/>
        </w:r>
        <w:r>
          <w:fldChar w:fldCharType="begin"/>
        </w:r>
        <w:r>
          <w:instrText xml:space="preserve">PAGEREF 5702 \h</w:instrText>
        </w:r>
        <w:r>
          <w:fldChar w:fldCharType="end"/>
        </w:r>
      </w:hyperlink>
    </w:p>
    <w:p>
      <w:pPr>
        <w:tabs>
          <w:tab w:val="right" w:leader="dot" w:pos="9062"/>
        </w:tabs>
        <w:ind w:left="440"/>
      </w:pPr>
      <w:hyperlink w:anchor="_Toc5703" w:history="1">
        <w:r>
          <w:rPr>
            <w:rFonts w:ascii="IRNazanin" w:hAnsi="IRNazanin" w:eastAsia="IRNazanin" w:cs="IRNazanin"/>
            <w:color w:val="111111"/>
            <w:sz w:val="22"/>
            <w:szCs w:val="22"/>
            <w:b w:val="0"/>
            <w:bCs w:val="0"/>
            <w:i w:val="0"/>
            <w:iCs w:val="0"/>
          </w:rPr>
          <w:t>5264- دیوان عیشی هروی‏</w:t>
        </w:r>
        <w:r>
          <w:tab/>
        </w:r>
        <w:r>
          <w:fldChar w:fldCharType="begin"/>
        </w:r>
        <w:r>
          <w:instrText xml:space="preserve">PAGEREF 5703 \h</w:instrText>
        </w:r>
        <w:r>
          <w:fldChar w:fldCharType="end"/>
        </w:r>
      </w:hyperlink>
    </w:p>
    <w:p>
      <w:pPr>
        <w:tabs>
          <w:tab w:val="right" w:leader="dot" w:pos="9062"/>
        </w:tabs>
        <w:ind w:left="440"/>
      </w:pPr>
      <w:hyperlink w:anchor="_Toc5704" w:history="1">
        <w:r>
          <w:rPr>
            <w:rFonts w:ascii="IRNazanin" w:hAnsi="IRNazanin" w:eastAsia="IRNazanin" w:cs="IRNazanin"/>
            <w:color w:val="111111"/>
            <w:sz w:val="22"/>
            <w:szCs w:val="22"/>
            <w:b w:val="0"/>
            <w:bCs w:val="0"/>
            <w:i w:val="0"/>
            <w:iCs w:val="0"/>
          </w:rPr>
          <w:t>5265- دیوان العیناثی‏</w:t>
        </w:r>
        <w:r>
          <w:tab/>
        </w:r>
        <w:r>
          <w:fldChar w:fldCharType="begin"/>
        </w:r>
        <w:r>
          <w:instrText xml:space="preserve">PAGEREF 5704 \h</w:instrText>
        </w:r>
        <w:r>
          <w:fldChar w:fldCharType="end"/>
        </w:r>
      </w:hyperlink>
    </w:p>
    <w:p>
      <w:pPr>
        <w:tabs>
          <w:tab w:val="right" w:leader="dot" w:pos="9062"/>
        </w:tabs>
        <w:ind w:left="440"/>
      </w:pPr>
      <w:hyperlink w:anchor="_Toc5705" w:history="1">
        <w:r>
          <w:rPr>
            <w:rFonts w:ascii="IRNazanin" w:hAnsi="IRNazanin" w:eastAsia="IRNazanin" w:cs="IRNazanin"/>
            <w:color w:val="111111"/>
            <w:sz w:val="22"/>
            <w:szCs w:val="22"/>
            <w:b w:val="0"/>
            <w:bCs w:val="0"/>
            <w:i w:val="0"/>
            <w:iCs w:val="0"/>
          </w:rPr>
          <w:t>5266- دیوان العیناثی‏</w:t>
        </w:r>
        <w:r>
          <w:tab/>
        </w:r>
        <w:r>
          <w:fldChar w:fldCharType="begin"/>
        </w:r>
        <w:r>
          <w:instrText xml:space="preserve">PAGEREF 5705 \h</w:instrText>
        </w:r>
        <w:r>
          <w:fldChar w:fldCharType="end"/>
        </w:r>
      </w:hyperlink>
    </w:p>
    <w:p>
      <w:pPr>
        <w:tabs>
          <w:tab w:val="right" w:leader="dot" w:pos="9062"/>
        </w:tabs>
        <w:ind w:left="440"/>
      </w:pPr>
      <w:hyperlink w:anchor="_Toc5706" w:history="1">
        <w:r>
          <w:rPr>
            <w:rFonts w:ascii="IRNazanin" w:hAnsi="IRNazanin" w:eastAsia="IRNazanin" w:cs="IRNazanin"/>
            <w:color w:val="111111"/>
            <w:sz w:val="22"/>
            <w:szCs w:val="22"/>
            <w:b w:val="0"/>
            <w:bCs w:val="0"/>
            <w:i w:val="0"/>
            <w:iCs w:val="0"/>
          </w:rPr>
          <w:t>5267- دیوان عین الزمان‏</w:t>
        </w:r>
        <w:r>
          <w:tab/>
        </w:r>
        <w:r>
          <w:fldChar w:fldCharType="begin"/>
        </w:r>
        <w:r>
          <w:instrText xml:space="preserve">PAGEREF 5706 \h</w:instrText>
        </w:r>
        <w:r>
          <w:fldChar w:fldCharType="end"/>
        </w:r>
      </w:hyperlink>
    </w:p>
    <w:p>
      <w:pPr>
        <w:tabs>
          <w:tab w:val="right" w:leader="dot" w:pos="9062"/>
        </w:tabs>
        <w:ind w:left="440"/>
      </w:pPr>
      <w:hyperlink w:anchor="_Toc5707" w:history="1">
        <w:r>
          <w:rPr>
            <w:rFonts w:ascii="IRNazanin" w:hAnsi="IRNazanin" w:eastAsia="IRNazanin" w:cs="IRNazanin"/>
            <w:color w:val="111111"/>
            <w:sz w:val="22"/>
            <w:szCs w:val="22"/>
            <w:b w:val="0"/>
            <w:bCs w:val="0"/>
            <w:i w:val="0"/>
            <w:iCs w:val="0"/>
          </w:rPr>
          <w:t>5268- دیوان عین علی جرفادقانی أو شعره‏</w:t>
        </w:r>
        <w:r>
          <w:tab/>
        </w:r>
        <w:r>
          <w:fldChar w:fldCharType="begin"/>
        </w:r>
        <w:r>
          <w:instrText xml:space="preserve">PAGEREF 5707 \h</w:instrText>
        </w:r>
        <w:r>
          <w:fldChar w:fldCharType="end"/>
        </w:r>
      </w:hyperlink>
    </w:p>
    <w:p>
      <w:pPr>
        <w:tabs>
          <w:tab w:val="right" w:leader="dot" w:pos="9062"/>
        </w:tabs>
        <w:ind w:left="440"/>
      </w:pPr>
      <w:hyperlink w:anchor="_Toc5708" w:history="1">
        <w:r>
          <w:rPr>
            <w:rFonts w:ascii="IRNazanin" w:hAnsi="IRNazanin" w:eastAsia="IRNazanin" w:cs="IRNazanin"/>
            <w:color w:val="111111"/>
            <w:sz w:val="22"/>
            <w:szCs w:val="22"/>
            <w:b w:val="0"/>
            <w:bCs w:val="0"/>
            <w:i w:val="0"/>
            <w:iCs w:val="0"/>
          </w:rPr>
          <w:t>5269- دیوان عین القضاة الرازی‏</w:t>
        </w:r>
        <w:r>
          <w:tab/>
        </w:r>
        <w:r>
          <w:fldChar w:fldCharType="begin"/>
        </w:r>
        <w:r>
          <w:instrText xml:space="preserve">PAGEREF 5708 \h</w:instrText>
        </w:r>
        <w:r>
          <w:fldChar w:fldCharType="end"/>
        </w:r>
      </w:hyperlink>
    </w:p>
    <w:p>
      <w:pPr>
        <w:tabs>
          <w:tab w:val="right" w:leader="dot" w:pos="9062"/>
        </w:tabs>
        <w:ind w:left="440"/>
      </w:pPr>
      <w:hyperlink w:anchor="_Toc5709" w:history="1">
        <w:r>
          <w:rPr>
            <w:rFonts w:ascii="IRNazanin" w:hAnsi="IRNazanin" w:eastAsia="IRNazanin" w:cs="IRNazanin"/>
            <w:color w:val="111111"/>
            <w:sz w:val="22"/>
            <w:szCs w:val="22"/>
            <w:b w:val="0"/>
            <w:bCs w:val="0"/>
            <w:i w:val="0"/>
            <w:iCs w:val="0"/>
          </w:rPr>
          <w:t>5270- دیوان عین القضاة همدانی‏</w:t>
        </w:r>
        <w:r>
          <w:tab/>
        </w:r>
        <w:r>
          <w:fldChar w:fldCharType="begin"/>
        </w:r>
        <w:r>
          <w:instrText xml:space="preserve">PAGEREF 5709 \h</w:instrText>
        </w:r>
        <w:r>
          <w:fldChar w:fldCharType="end"/>
        </w:r>
      </w:hyperlink>
    </w:p>
    <w:p>
      <w:pPr>
        <w:tabs>
          <w:tab w:val="right" w:leader="dot" w:pos="9062"/>
        </w:tabs>
        <w:ind w:left="440"/>
      </w:pPr>
      <w:hyperlink w:anchor="_Toc5710" w:history="1">
        <w:r>
          <w:rPr>
            <w:rFonts w:ascii="IRNazanin" w:hAnsi="IRNazanin" w:eastAsia="IRNazanin" w:cs="IRNazanin"/>
            <w:color w:val="111111"/>
            <w:sz w:val="22"/>
            <w:szCs w:val="22"/>
            <w:b w:val="0"/>
            <w:bCs w:val="0"/>
            <w:i w:val="0"/>
            <w:iCs w:val="0"/>
          </w:rPr>
          <w:t>5271- دیوان عینی‏</w:t>
        </w:r>
        <w:r>
          <w:tab/>
        </w:r>
        <w:r>
          <w:fldChar w:fldCharType="begin"/>
        </w:r>
        <w:r>
          <w:instrText xml:space="preserve">PAGEREF 5710 \h</w:instrText>
        </w:r>
        <w:r>
          <w:fldChar w:fldCharType="end"/>
        </w:r>
      </w:hyperlink>
    </w:p>
    <w:p>
      <w:pPr>
        <w:tabs>
          <w:tab w:val="right" w:leader="dot" w:pos="9062"/>
        </w:tabs>
        <w:ind w:left="440"/>
      </w:pPr>
      <w:hyperlink w:anchor="_Toc5711" w:history="1">
        <w:r>
          <w:rPr>
            <w:rFonts w:ascii="IRNazanin" w:hAnsi="IRNazanin" w:eastAsia="IRNazanin" w:cs="IRNazanin"/>
            <w:color w:val="111111"/>
            <w:sz w:val="22"/>
            <w:szCs w:val="22"/>
            <w:b w:val="0"/>
            <w:bCs w:val="0"/>
            <w:i w:val="0"/>
            <w:iCs w:val="0"/>
          </w:rPr>
          <w:t>5272- دیوان عینی فراهانی أو شعره‏</w:t>
        </w:r>
        <w:r>
          <w:tab/>
        </w:r>
        <w:r>
          <w:fldChar w:fldCharType="begin"/>
        </w:r>
        <w:r>
          <w:instrText xml:space="preserve">PAGEREF 5711 \h</w:instrText>
        </w:r>
        <w:r>
          <w:fldChar w:fldCharType="end"/>
        </w:r>
      </w:hyperlink>
    </w:p>
    <w:p>
      <w:pPr>
        <w:tabs>
          <w:tab w:val="right" w:leader="dot" w:pos="9062"/>
        </w:tabs>
        <w:ind w:left="440"/>
      </w:pPr>
      <w:hyperlink w:anchor="_Toc5712" w:history="1">
        <w:r>
          <w:rPr>
            <w:rFonts w:ascii="IRNazanin" w:hAnsi="IRNazanin" w:eastAsia="IRNazanin" w:cs="IRNazanin"/>
            <w:color w:val="111111"/>
            <w:sz w:val="22"/>
            <w:szCs w:val="22"/>
            <w:b w:val="0"/>
            <w:bCs w:val="0"/>
            <w:i w:val="0"/>
            <w:iCs w:val="0"/>
          </w:rPr>
          <w:t>5273- دیوان عیوقی‏</w:t>
        </w:r>
        <w:r>
          <w:tab/>
        </w:r>
        <w:r>
          <w:fldChar w:fldCharType="begin"/>
        </w:r>
        <w:r>
          <w:instrText xml:space="preserve">PAGEREF 5712 \h</w:instrText>
        </w:r>
        <w:r>
          <w:fldChar w:fldCharType="end"/>
        </w:r>
      </w:hyperlink>
    </w:p>
    <w:p>
      <w:pPr>
        <w:tabs>
          <w:tab w:val="right" w:leader="dot" w:pos="9062"/>
        </w:tabs>
        <w:ind w:left="440"/>
      </w:pPr>
      <w:hyperlink w:anchor="_Toc5713" w:history="1">
        <w:r>
          <w:rPr>
            <w:rFonts w:ascii="IRNazanin" w:hAnsi="IRNazanin" w:eastAsia="IRNazanin" w:cs="IRNazanin"/>
            <w:color w:val="111111"/>
            <w:sz w:val="22"/>
            <w:szCs w:val="22"/>
            <w:b w:val="0"/>
            <w:bCs w:val="0"/>
            <w:i w:val="0"/>
            <w:iCs w:val="0"/>
          </w:rPr>
          <w:t>غ‏</w:t>
        </w:r>
        <w:r>
          <w:tab/>
        </w:r>
        <w:r>
          <w:fldChar w:fldCharType="begin"/>
        </w:r>
        <w:r>
          <w:instrText xml:space="preserve">PAGEREF 5713 \h</w:instrText>
        </w:r>
        <w:r>
          <w:fldChar w:fldCharType="end"/>
        </w:r>
      </w:hyperlink>
    </w:p>
    <w:p>
      <w:pPr>
        <w:tabs>
          <w:tab w:val="right" w:leader="dot" w:pos="9062"/>
        </w:tabs>
        <w:ind w:left="440"/>
      </w:pPr>
      <w:hyperlink w:anchor="_Toc5714" w:history="1">
        <w:r>
          <w:rPr>
            <w:rFonts w:ascii="IRNazanin" w:hAnsi="IRNazanin" w:eastAsia="IRNazanin" w:cs="IRNazanin"/>
            <w:color w:val="111111"/>
            <w:sz w:val="22"/>
            <w:szCs w:val="22"/>
            <w:b w:val="0"/>
            <w:bCs w:val="0"/>
            <w:i w:val="0"/>
            <w:iCs w:val="0"/>
          </w:rPr>
          <w:t>5274- دیوان غارت زند</w:t>
        </w:r>
        <w:r>
          <w:tab/>
        </w:r>
        <w:r>
          <w:fldChar w:fldCharType="begin"/>
        </w:r>
        <w:r>
          <w:instrText xml:space="preserve">PAGEREF 5714 \h</w:instrText>
        </w:r>
        <w:r>
          <w:fldChar w:fldCharType="end"/>
        </w:r>
      </w:hyperlink>
    </w:p>
    <w:p>
      <w:pPr>
        <w:tabs>
          <w:tab w:val="right" w:leader="dot" w:pos="9062"/>
        </w:tabs>
        <w:ind w:left="440"/>
      </w:pPr>
      <w:hyperlink w:anchor="_Toc5715" w:history="1">
        <w:r>
          <w:rPr>
            <w:rFonts w:ascii="IRNazanin" w:hAnsi="IRNazanin" w:eastAsia="IRNazanin" w:cs="IRNazanin"/>
            <w:color w:val="111111"/>
            <w:sz w:val="22"/>
            <w:szCs w:val="22"/>
            <w:b w:val="0"/>
            <w:bCs w:val="0"/>
            <w:i w:val="0"/>
            <w:iCs w:val="0"/>
          </w:rPr>
          <w:t>دیوان میرزا غازی تبتی‏</w:t>
        </w:r>
        <w:r>
          <w:tab/>
        </w:r>
        <w:r>
          <w:fldChar w:fldCharType="begin"/>
        </w:r>
        <w:r>
          <w:instrText xml:space="preserve">PAGEREF 5715 \h</w:instrText>
        </w:r>
        <w:r>
          <w:fldChar w:fldCharType="end"/>
        </w:r>
      </w:hyperlink>
    </w:p>
    <w:p>
      <w:pPr>
        <w:tabs>
          <w:tab w:val="right" w:leader="dot" w:pos="9062"/>
        </w:tabs>
        <w:ind w:left="440"/>
      </w:pPr>
      <w:hyperlink w:anchor="_Toc5716" w:history="1">
        <w:r>
          <w:rPr>
            <w:rFonts w:ascii="IRNazanin" w:hAnsi="IRNazanin" w:eastAsia="IRNazanin" w:cs="IRNazanin"/>
            <w:color w:val="111111"/>
            <w:sz w:val="22"/>
            <w:szCs w:val="22"/>
            <w:b w:val="0"/>
            <w:bCs w:val="0"/>
            <w:i w:val="0"/>
            <w:iCs w:val="0"/>
          </w:rPr>
          <w:t>5275- دیوان غازی قلندر سمنانی أو شعره‏</w:t>
        </w:r>
        <w:r>
          <w:tab/>
        </w:r>
        <w:r>
          <w:fldChar w:fldCharType="begin"/>
        </w:r>
        <w:r>
          <w:instrText xml:space="preserve">PAGEREF 5716 \h</w:instrText>
        </w:r>
        <w:r>
          <w:fldChar w:fldCharType="end"/>
        </w:r>
      </w:hyperlink>
    </w:p>
    <w:p>
      <w:pPr>
        <w:tabs>
          <w:tab w:val="right" w:leader="dot" w:pos="9062"/>
        </w:tabs>
        <w:ind w:left="440"/>
      </w:pPr>
      <w:hyperlink w:anchor="_Toc5717" w:history="1">
        <w:r>
          <w:rPr>
            <w:rFonts w:ascii="IRNazanin" w:hAnsi="IRNazanin" w:eastAsia="IRNazanin" w:cs="IRNazanin"/>
            <w:color w:val="111111"/>
            <w:sz w:val="22"/>
            <w:szCs w:val="22"/>
            <w:b w:val="0"/>
            <w:bCs w:val="0"/>
            <w:i w:val="0"/>
            <w:iCs w:val="0"/>
          </w:rPr>
          <w:t>5276- دیوان غازی کرای خان أو شعره‏</w:t>
        </w:r>
        <w:r>
          <w:tab/>
        </w:r>
        <w:r>
          <w:fldChar w:fldCharType="begin"/>
        </w:r>
        <w:r>
          <w:instrText xml:space="preserve">PAGEREF 5717 \h</w:instrText>
        </w:r>
        <w:r>
          <w:fldChar w:fldCharType="end"/>
        </w:r>
      </w:hyperlink>
    </w:p>
    <w:p>
      <w:pPr>
        <w:tabs>
          <w:tab w:val="right" w:leader="dot" w:pos="9062"/>
        </w:tabs>
        <w:ind w:left="440"/>
      </w:pPr>
      <w:hyperlink w:anchor="_Toc5718" w:history="1">
        <w:r>
          <w:rPr>
            <w:rFonts w:ascii="IRNazanin" w:hAnsi="IRNazanin" w:eastAsia="IRNazanin" w:cs="IRNazanin"/>
            <w:color w:val="111111"/>
            <w:sz w:val="22"/>
            <w:szCs w:val="22"/>
            <w:b w:val="0"/>
            <w:bCs w:val="0"/>
            <w:i w:val="0"/>
            <w:iCs w:val="0"/>
          </w:rPr>
          <w:t>5277- دیوان غازی مازندرانی‏</w:t>
        </w:r>
        <w:r>
          <w:tab/>
        </w:r>
        <w:r>
          <w:fldChar w:fldCharType="begin"/>
        </w:r>
        <w:r>
          <w:instrText xml:space="preserve">PAGEREF 5718 \h</w:instrText>
        </w:r>
        <w:r>
          <w:fldChar w:fldCharType="end"/>
        </w:r>
      </w:hyperlink>
    </w:p>
    <w:p>
      <w:pPr>
        <w:tabs>
          <w:tab w:val="right" w:leader="dot" w:pos="9062"/>
        </w:tabs>
        <w:ind w:left="440"/>
      </w:pPr>
      <w:hyperlink w:anchor="_Toc5719" w:history="1">
        <w:r>
          <w:rPr>
            <w:rFonts w:ascii="IRNazanin" w:hAnsi="IRNazanin" w:eastAsia="IRNazanin" w:cs="IRNazanin"/>
            <w:color w:val="111111"/>
            <w:sz w:val="22"/>
            <w:szCs w:val="22"/>
            <w:b w:val="0"/>
            <w:bCs w:val="0"/>
            <w:i w:val="0"/>
            <w:iCs w:val="0"/>
          </w:rPr>
          <w:t>5278- دیوان غافل‏</w:t>
        </w:r>
        <w:r>
          <w:tab/>
        </w:r>
        <w:r>
          <w:fldChar w:fldCharType="begin"/>
        </w:r>
        <w:r>
          <w:instrText xml:space="preserve">PAGEREF 5719 \h</w:instrText>
        </w:r>
        <w:r>
          <w:fldChar w:fldCharType="end"/>
        </w:r>
      </w:hyperlink>
    </w:p>
    <w:p>
      <w:pPr>
        <w:tabs>
          <w:tab w:val="right" w:leader="dot" w:pos="9062"/>
        </w:tabs>
        <w:ind w:left="440"/>
      </w:pPr>
      <w:hyperlink w:anchor="_Toc5720" w:history="1">
        <w:r>
          <w:rPr>
            <w:rFonts w:ascii="IRNazanin" w:hAnsi="IRNazanin" w:eastAsia="IRNazanin" w:cs="IRNazanin"/>
            <w:color w:val="111111"/>
            <w:sz w:val="22"/>
            <w:szCs w:val="22"/>
            <w:b w:val="0"/>
            <w:bCs w:val="0"/>
            <w:i w:val="0"/>
            <w:iCs w:val="0"/>
          </w:rPr>
          <w:t>5279- دیوان غافل سیستانی‏</w:t>
        </w:r>
        <w:r>
          <w:tab/>
        </w:r>
        <w:r>
          <w:fldChar w:fldCharType="begin"/>
        </w:r>
        <w:r>
          <w:instrText xml:space="preserve">PAGEREF 5720 \h</w:instrText>
        </w:r>
        <w:r>
          <w:fldChar w:fldCharType="end"/>
        </w:r>
      </w:hyperlink>
    </w:p>
    <w:p>
      <w:pPr>
        <w:tabs>
          <w:tab w:val="right" w:leader="dot" w:pos="9062"/>
        </w:tabs>
        <w:ind w:left="440"/>
      </w:pPr>
      <w:hyperlink w:anchor="_Toc5721" w:history="1">
        <w:r>
          <w:rPr>
            <w:rFonts w:ascii="IRNazanin" w:hAnsi="IRNazanin" w:eastAsia="IRNazanin" w:cs="IRNazanin"/>
            <w:color w:val="111111"/>
            <w:sz w:val="22"/>
            <w:szCs w:val="22"/>
            <w:b w:val="0"/>
            <w:bCs w:val="0"/>
            <w:i w:val="0"/>
            <w:iCs w:val="0"/>
          </w:rPr>
          <w:t>5280- دیوان غافل طالقانی أو شعره‏</w:t>
        </w:r>
        <w:r>
          <w:tab/>
        </w:r>
        <w:r>
          <w:fldChar w:fldCharType="begin"/>
        </w:r>
        <w:r>
          <w:instrText xml:space="preserve">PAGEREF 5721 \h</w:instrText>
        </w:r>
        <w:r>
          <w:fldChar w:fldCharType="end"/>
        </w:r>
      </w:hyperlink>
    </w:p>
    <w:p>
      <w:pPr>
        <w:tabs>
          <w:tab w:val="right" w:leader="dot" w:pos="9062"/>
        </w:tabs>
        <w:ind w:left="440"/>
      </w:pPr>
      <w:hyperlink w:anchor="_Toc5722" w:history="1">
        <w:r>
          <w:rPr>
            <w:rFonts w:ascii="IRNazanin" w:hAnsi="IRNazanin" w:eastAsia="IRNazanin" w:cs="IRNazanin"/>
            <w:color w:val="111111"/>
            <w:sz w:val="22"/>
            <w:szCs w:val="22"/>
            <w:b w:val="0"/>
            <w:bCs w:val="0"/>
            <w:i w:val="0"/>
            <w:iCs w:val="0"/>
          </w:rPr>
          <w:t>5281- دیوان غافل مازندرانی‏</w:t>
        </w:r>
        <w:r>
          <w:tab/>
        </w:r>
        <w:r>
          <w:fldChar w:fldCharType="begin"/>
        </w:r>
        <w:r>
          <w:instrText xml:space="preserve">PAGEREF 5722 \h</w:instrText>
        </w:r>
        <w:r>
          <w:fldChar w:fldCharType="end"/>
        </w:r>
      </w:hyperlink>
    </w:p>
    <w:p>
      <w:pPr>
        <w:tabs>
          <w:tab w:val="right" w:leader="dot" w:pos="9062"/>
        </w:tabs>
        <w:ind w:left="440"/>
      </w:pPr>
      <w:hyperlink w:anchor="_Toc5723" w:history="1">
        <w:r>
          <w:rPr>
            <w:rFonts w:ascii="IRNazanin" w:hAnsi="IRNazanin" w:eastAsia="IRNazanin" w:cs="IRNazanin"/>
            <w:color w:val="111111"/>
            <w:sz w:val="22"/>
            <w:szCs w:val="22"/>
            <w:b w:val="0"/>
            <w:bCs w:val="0"/>
            <w:i w:val="0"/>
            <w:iCs w:val="0"/>
          </w:rPr>
          <w:t>5282- دیوان غافل مازندرانی‏</w:t>
        </w:r>
        <w:r>
          <w:tab/>
        </w:r>
        <w:r>
          <w:fldChar w:fldCharType="begin"/>
        </w:r>
        <w:r>
          <w:instrText xml:space="preserve">PAGEREF 5723 \h</w:instrText>
        </w:r>
        <w:r>
          <w:fldChar w:fldCharType="end"/>
        </w:r>
      </w:hyperlink>
    </w:p>
    <w:p>
      <w:pPr>
        <w:tabs>
          <w:tab w:val="right" w:leader="dot" w:pos="9062"/>
        </w:tabs>
        <w:ind w:left="440"/>
      </w:pPr>
      <w:hyperlink w:anchor="_Toc5724" w:history="1">
        <w:r>
          <w:rPr>
            <w:rFonts w:ascii="IRNazanin" w:hAnsi="IRNazanin" w:eastAsia="IRNazanin" w:cs="IRNazanin"/>
            <w:color w:val="111111"/>
            <w:sz w:val="22"/>
            <w:szCs w:val="22"/>
            <w:b w:val="0"/>
            <w:bCs w:val="0"/>
            <w:i w:val="0"/>
            <w:iCs w:val="0"/>
          </w:rPr>
          <w:t>5283- دیوان غافل مازندرانی‏</w:t>
        </w:r>
        <w:r>
          <w:tab/>
        </w:r>
        <w:r>
          <w:fldChar w:fldCharType="begin"/>
        </w:r>
        <w:r>
          <w:instrText xml:space="preserve">PAGEREF 5724 \h</w:instrText>
        </w:r>
        <w:r>
          <w:fldChar w:fldCharType="end"/>
        </w:r>
      </w:hyperlink>
    </w:p>
    <w:p>
      <w:pPr>
        <w:tabs>
          <w:tab w:val="right" w:leader="dot" w:pos="9062"/>
        </w:tabs>
        <w:ind w:left="440"/>
      </w:pPr>
      <w:hyperlink w:anchor="_Toc5725" w:history="1">
        <w:r>
          <w:rPr>
            <w:rFonts w:ascii="IRNazanin" w:hAnsi="IRNazanin" w:eastAsia="IRNazanin" w:cs="IRNazanin"/>
            <w:color w:val="111111"/>
            <w:sz w:val="22"/>
            <w:szCs w:val="22"/>
            <w:b w:val="0"/>
            <w:bCs w:val="0"/>
            <w:i w:val="0"/>
            <w:iCs w:val="0"/>
          </w:rPr>
          <w:t>5284- دیوان غالب آذربایجانی‏</w:t>
        </w:r>
        <w:r>
          <w:tab/>
        </w:r>
        <w:r>
          <w:fldChar w:fldCharType="begin"/>
        </w:r>
        <w:r>
          <w:instrText xml:space="preserve">PAGEREF 5725 \h</w:instrText>
        </w:r>
        <w:r>
          <w:fldChar w:fldCharType="end"/>
        </w:r>
      </w:hyperlink>
    </w:p>
    <w:p>
      <w:pPr>
        <w:tabs>
          <w:tab w:val="right" w:leader="dot" w:pos="9062"/>
        </w:tabs>
        <w:ind w:left="440"/>
      </w:pPr>
      <w:hyperlink w:anchor="_Toc5726" w:history="1">
        <w:r>
          <w:rPr>
            <w:rFonts w:ascii="IRNazanin" w:hAnsi="IRNazanin" w:eastAsia="IRNazanin" w:cs="IRNazanin"/>
            <w:color w:val="111111"/>
            <w:sz w:val="22"/>
            <w:szCs w:val="22"/>
            <w:b w:val="0"/>
            <w:bCs w:val="0"/>
            <w:i w:val="0"/>
            <w:iCs w:val="0"/>
          </w:rPr>
          <w:t>5285- دیوان غالب خوزستانی أو شعره‏</w:t>
        </w:r>
        <w:r>
          <w:tab/>
        </w:r>
        <w:r>
          <w:fldChar w:fldCharType="begin"/>
        </w:r>
        <w:r>
          <w:instrText xml:space="preserve">PAGEREF 5726 \h</w:instrText>
        </w:r>
        <w:r>
          <w:fldChar w:fldCharType="end"/>
        </w:r>
      </w:hyperlink>
    </w:p>
    <w:p>
      <w:pPr>
        <w:tabs>
          <w:tab w:val="right" w:leader="dot" w:pos="9062"/>
        </w:tabs>
        <w:ind w:left="440"/>
      </w:pPr>
      <w:hyperlink w:anchor="_Toc5727" w:history="1">
        <w:r>
          <w:rPr>
            <w:rFonts w:ascii="IRNazanin" w:hAnsi="IRNazanin" w:eastAsia="IRNazanin" w:cs="IRNazanin"/>
            <w:color w:val="111111"/>
            <w:sz w:val="22"/>
            <w:szCs w:val="22"/>
            <w:b w:val="0"/>
            <w:bCs w:val="0"/>
            <w:i w:val="0"/>
            <w:iCs w:val="0"/>
          </w:rPr>
          <w:t>5286- دیوان غالب دهلوی‏</w:t>
        </w:r>
        <w:r>
          <w:tab/>
        </w:r>
        <w:r>
          <w:fldChar w:fldCharType="begin"/>
        </w:r>
        <w:r>
          <w:instrText xml:space="preserve">PAGEREF 5727 \h</w:instrText>
        </w:r>
        <w:r>
          <w:fldChar w:fldCharType="end"/>
        </w:r>
      </w:hyperlink>
    </w:p>
    <w:p>
      <w:pPr>
        <w:tabs>
          <w:tab w:val="right" w:leader="dot" w:pos="9062"/>
        </w:tabs>
        <w:ind w:left="440"/>
      </w:pPr>
      <w:hyperlink w:anchor="_Toc5728" w:history="1">
        <w:r>
          <w:rPr>
            <w:rFonts w:ascii="IRNazanin" w:hAnsi="IRNazanin" w:eastAsia="IRNazanin" w:cs="IRNazanin"/>
            <w:color w:val="111111"/>
            <w:sz w:val="22"/>
            <w:szCs w:val="22"/>
            <w:b w:val="0"/>
            <w:bCs w:val="0"/>
            <w:i w:val="0"/>
            <w:iCs w:val="0"/>
          </w:rPr>
          <w:t>5287- دیوان غالب طهرانی أو شعره‏</w:t>
        </w:r>
        <w:r>
          <w:tab/>
        </w:r>
        <w:r>
          <w:fldChar w:fldCharType="begin"/>
        </w:r>
        <w:r>
          <w:instrText xml:space="preserve">PAGEREF 5728 \h</w:instrText>
        </w:r>
        <w:r>
          <w:fldChar w:fldCharType="end"/>
        </w:r>
      </w:hyperlink>
    </w:p>
    <w:p>
      <w:pPr>
        <w:tabs>
          <w:tab w:val="right" w:leader="dot" w:pos="9062"/>
        </w:tabs>
        <w:ind w:left="440"/>
      </w:pPr>
      <w:hyperlink w:anchor="_Toc5729" w:history="1">
        <w:r>
          <w:rPr>
            <w:rFonts w:ascii="IRNazanin" w:hAnsi="IRNazanin" w:eastAsia="IRNazanin" w:cs="IRNazanin"/>
            <w:color w:val="111111"/>
            <w:sz w:val="22"/>
            <w:szCs w:val="22"/>
            <w:b w:val="0"/>
            <w:bCs w:val="0"/>
            <w:i w:val="0"/>
            <w:iCs w:val="0"/>
          </w:rPr>
          <w:t>5288- دیوان غالب الناهی‏</w:t>
        </w:r>
        <w:r>
          <w:tab/>
        </w:r>
        <w:r>
          <w:fldChar w:fldCharType="begin"/>
        </w:r>
        <w:r>
          <w:instrText xml:space="preserve">PAGEREF 5729 \h</w:instrText>
        </w:r>
        <w:r>
          <w:fldChar w:fldCharType="end"/>
        </w:r>
      </w:hyperlink>
    </w:p>
    <w:p>
      <w:pPr>
        <w:tabs>
          <w:tab w:val="right" w:leader="dot" w:pos="9062"/>
        </w:tabs>
        <w:ind w:left="440"/>
      </w:pPr>
      <w:hyperlink w:anchor="_Toc5730" w:history="1">
        <w:r>
          <w:rPr>
            <w:rFonts w:ascii="IRNazanin" w:hAnsi="IRNazanin" w:eastAsia="IRNazanin" w:cs="IRNazanin"/>
            <w:color w:val="111111"/>
            <w:sz w:val="22"/>
            <w:szCs w:val="22"/>
            <w:b w:val="0"/>
            <w:bCs w:val="0"/>
            <w:i w:val="0"/>
            <w:iCs w:val="0"/>
          </w:rPr>
          <w:t>5289- دیوان- غالب یزدی‏</w:t>
        </w:r>
        <w:r>
          <w:tab/>
        </w:r>
        <w:r>
          <w:fldChar w:fldCharType="begin"/>
        </w:r>
        <w:r>
          <w:instrText xml:space="preserve">PAGEREF 5730 \h</w:instrText>
        </w:r>
        <w:r>
          <w:fldChar w:fldCharType="end"/>
        </w:r>
      </w:hyperlink>
    </w:p>
    <w:p>
      <w:pPr>
        <w:tabs>
          <w:tab w:val="right" w:leader="dot" w:pos="9062"/>
        </w:tabs>
        <w:ind w:left="440"/>
      </w:pPr>
      <w:hyperlink w:anchor="_Toc5731" w:history="1">
        <w:r>
          <w:rPr>
            <w:rFonts w:ascii="IRNazanin" w:hAnsi="IRNazanin" w:eastAsia="IRNazanin" w:cs="IRNazanin"/>
            <w:color w:val="111111"/>
            <w:sz w:val="22"/>
            <w:szCs w:val="22"/>
            <w:b w:val="0"/>
            <w:bCs w:val="0"/>
            <w:i w:val="0"/>
            <w:iCs w:val="0"/>
          </w:rPr>
          <w:t>5290- دیوان غبار أصفهانی أو شعره‏</w:t>
        </w:r>
        <w:r>
          <w:tab/>
        </w:r>
        <w:r>
          <w:fldChar w:fldCharType="begin"/>
        </w:r>
        <w:r>
          <w:instrText xml:space="preserve">PAGEREF 5731 \h</w:instrText>
        </w:r>
        <w:r>
          <w:fldChar w:fldCharType="end"/>
        </w:r>
      </w:hyperlink>
    </w:p>
    <w:p>
      <w:pPr>
        <w:tabs>
          <w:tab w:val="right" w:leader="dot" w:pos="9062"/>
        </w:tabs>
        <w:ind w:left="440"/>
      </w:pPr>
      <w:hyperlink w:anchor="_Toc5732" w:history="1">
        <w:r>
          <w:rPr>
            <w:rFonts w:ascii="IRNazanin" w:hAnsi="IRNazanin" w:eastAsia="IRNazanin" w:cs="IRNazanin"/>
            <w:color w:val="111111"/>
            <w:sz w:val="22"/>
            <w:szCs w:val="22"/>
            <w:b w:val="0"/>
            <w:bCs w:val="0"/>
            <w:i w:val="0"/>
            <w:iCs w:val="0"/>
          </w:rPr>
          <w:t>5291- دیوان غبار همدانی‏</w:t>
        </w:r>
        <w:r>
          <w:tab/>
        </w:r>
        <w:r>
          <w:fldChar w:fldCharType="begin"/>
        </w:r>
        <w:r>
          <w:instrText xml:space="preserve">PAGEREF 5732 \h</w:instrText>
        </w:r>
        <w:r>
          <w:fldChar w:fldCharType="end"/>
        </w:r>
      </w:hyperlink>
    </w:p>
    <w:p>
      <w:pPr>
        <w:tabs>
          <w:tab w:val="right" w:leader="dot" w:pos="9062"/>
        </w:tabs>
        <w:ind w:left="440"/>
      </w:pPr>
      <w:hyperlink w:anchor="_Toc5733" w:history="1">
        <w:r>
          <w:rPr>
            <w:rFonts w:ascii="IRNazanin" w:hAnsi="IRNazanin" w:eastAsia="IRNazanin" w:cs="IRNazanin"/>
            <w:color w:val="111111"/>
            <w:sz w:val="22"/>
            <w:szCs w:val="22"/>
            <w:b w:val="0"/>
            <w:bCs w:val="0"/>
            <w:i w:val="0"/>
            <w:iCs w:val="0"/>
          </w:rPr>
          <w:t>5292- دیوان غبار رازی‏</w:t>
        </w:r>
        <w:r>
          <w:tab/>
        </w:r>
        <w:r>
          <w:fldChar w:fldCharType="begin"/>
        </w:r>
        <w:r>
          <w:instrText xml:space="preserve">PAGEREF 5733 \h</w:instrText>
        </w:r>
        <w:r>
          <w:fldChar w:fldCharType="end"/>
        </w:r>
      </w:hyperlink>
    </w:p>
    <w:p>
      <w:pPr>
        <w:tabs>
          <w:tab w:val="right" w:leader="dot" w:pos="9062"/>
        </w:tabs>
        <w:ind w:left="440"/>
      </w:pPr>
      <w:hyperlink w:anchor="_Toc5734" w:history="1">
        <w:r>
          <w:rPr>
            <w:rFonts w:ascii="IRNazanin" w:hAnsi="IRNazanin" w:eastAsia="IRNazanin" w:cs="IRNazanin"/>
            <w:color w:val="111111"/>
            <w:sz w:val="22"/>
            <w:szCs w:val="22"/>
            <w:b w:val="0"/>
            <w:bCs w:val="0"/>
            <w:i w:val="0"/>
            <w:iCs w:val="0"/>
          </w:rPr>
          <w:t>5293- دیوان غباری أردستانی أو شعره‏</w:t>
        </w:r>
        <w:r>
          <w:tab/>
        </w:r>
        <w:r>
          <w:fldChar w:fldCharType="begin"/>
        </w:r>
        <w:r>
          <w:instrText xml:space="preserve">PAGEREF 5734 \h</w:instrText>
        </w:r>
        <w:r>
          <w:fldChar w:fldCharType="end"/>
        </w:r>
      </w:hyperlink>
    </w:p>
    <w:p>
      <w:pPr>
        <w:tabs>
          <w:tab w:val="right" w:leader="dot" w:pos="9062"/>
        </w:tabs>
        <w:ind w:left="440"/>
      </w:pPr>
      <w:hyperlink w:anchor="_Toc5735" w:history="1">
        <w:r>
          <w:rPr>
            <w:rFonts w:ascii="IRNazanin" w:hAnsi="IRNazanin" w:eastAsia="IRNazanin" w:cs="IRNazanin"/>
            <w:color w:val="111111"/>
            <w:sz w:val="22"/>
            <w:szCs w:val="22"/>
            <w:b w:val="0"/>
            <w:bCs w:val="0"/>
            <w:i w:val="0"/>
            <w:iCs w:val="0"/>
          </w:rPr>
          <w:t>5294- دیوان غباری الأسفراینی أو شعره‏</w:t>
        </w:r>
        <w:r>
          <w:tab/>
        </w:r>
        <w:r>
          <w:fldChar w:fldCharType="begin"/>
        </w:r>
        <w:r>
          <w:instrText xml:space="preserve">PAGEREF 5735 \h</w:instrText>
        </w:r>
        <w:r>
          <w:fldChar w:fldCharType="end"/>
        </w:r>
      </w:hyperlink>
    </w:p>
    <w:p>
      <w:pPr>
        <w:tabs>
          <w:tab w:val="right" w:leader="dot" w:pos="9062"/>
        </w:tabs>
        <w:ind w:left="440"/>
      </w:pPr>
      <w:hyperlink w:anchor="_Toc5736" w:history="1">
        <w:r>
          <w:rPr>
            <w:rFonts w:ascii="IRNazanin" w:hAnsi="IRNazanin" w:eastAsia="IRNazanin" w:cs="IRNazanin"/>
            <w:color w:val="111111"/>
            <w:sz w:val="22"/>
            <w:szCs w:val="22"/>
            <w:b w:val="0"/>
            <w:bCs w:val="0"/>
            <w:i w:val="0"/>
            <w:iCs w:val="0"/>
          </w:rPr>
          <w:t>5295- دیوان غباری گیلانی أو شعره‏</w:t>
        </w:r>
        <w:r>
          <w:tab/>
        </w:r>
        <w:r>
          <w:fldChar w:fldCharType="begin"/>
        </w:r>
        <w:r>
          <w:instrText xml:space="preserve">PAGEREF 5736 \h</w:instrText>
        </w:r>
        <w:r>
          <w:fldChar w:fldCharType="end"/>
        </w:r>
      </w:hyperlink>
    </w:p>
    <w:p>
      <w:pPr>
        <w:tabs>
          <w:tab w:val="right" w:leader="dot" w:pos="9062"/>
        </w:tabs>
        <w:ind w:left="440"/>
      </w:pPr>
      <w:hyperlink w:anchor="_Toc5737" w:history="1">
        <w:r>
          <w:rPr>
            <w:rFonts w:ascii="IRNazanin" w:hAnsi="IRNazanin" w:eastAsia="IRNazanin" w:cs="IRNazanin"/>
            <w:color w:val="111111"/>
            <w:sz w:val="22"/>
            <w:szCs w:val="22"/>
            <w:b w:val="0"/>
            <w:bCs w:val="0"/>
            <w:i w:val="0"/>
            <w:iCs w:val="0"/>
          </w:rPr>
          <w:t>5296- دیوان غباری هروی أو شعره‏</w:t>
        </w:r>
        <w:r>
          <w:tab/>
        </w:r>
        <w:r>
          <w:fldChar w:fldCharType="begin"/>
        </w:r>
        <w:r>
          <w:instrText xml:space="preserve">PAGEREF 5737 \h</w:instrText>
        </w:r>
        <w:r>
          <w:fldChar w:fldCharType="end"/>
        </w:r>
      </w:hyperlink>
    </w:p>
    <w:p>
      <w:pPr>
        <w:tabs>
          <w:tab w:val="right" w:leader="dot" w:pos="9062"/>
        </w:tabs>
        <w:ind w:left="440"/>
      </w:pPr>
      <w:hyperlink w:anchor="_Toc5738" w:history="1">
        <w:r>
          <w:rPr>
            <w:rFonts w:ascii="IRNazanin" w:hAnsi="IRNazanin" w:eastAsia="IRNazanin" w:cs="IRNazanin"/>
            <w:color w:val="111111"/>
            <w:sz w:val="22"/>
            <w:szCs w:val="22"/>
            <w:b w:val="0"/>
            <w:bCs w:val="0"/>
            <w:i w:val="0"/>
            <w:iCs w:val="0"/>
          </w:rPr>
          <w:t>5297- دیوان غباری یزدی أو شعره‏</w:t>
        </w:r>
        <w:r>
          <w:tab/>
        </w:r>
        <w:r>
          <w:fldChar w:fldCharType="begin"/>
        </w:r>
        <w:r>
          <w:instrText xml:space="preserve">PAGEREF 5738 \h</w:instrText>
        </w:r>
        <w:r>
          <w:fldChar w:fldCharType="end"/>
        </w:r>
      </w:hyperlink>
    </w:p>
    <w:p>
      <w:pPr>
        <w:tabs>
          <w:tab w:val="right" w:leader="dot" w:pos="9062"/>
        </w:tabs>
        <w:ind w:left="440"/>
      </w:pPr>
      <w:hyperlink w:anchor="_Toc5739" w:history="1">
        <w:r>
          <w:rPr>
            <w:rFonts w:ascii="IRNazanin" w:hAnsi="IRNazanin" w:eastAsia="IRNazanin" w:cs="IRNazanin"/>
            <w:color w:val="111111"/>
            <w:sz w:val="22"/>
            <w:szCs w:val="22"/>
            <w:b w:val="0"/>
            <w:bCs w:val="0"/>
            <w:i w:val="0"/>
            <w:iCs w:val="0"/>
          </w:rPr>
          <w:t>5298- دیوان الغراوی‏</w:t>
        </w:r>
        <w:r>
          <w:tab/>
        </w:r>
        <w:r>
          <w:fldChar w:fldCharType="begin"/>
        </w:r>
        <w:r>
          <w:instrText xml:space="preserve">PAGEREF 5739 \h</w:instrText>
        </w:r>
        <w:r>
          <w:fldChar w:fldCharType="end"/>
        </w:r>
      </w:hyperlink>
    </w:p>
    <w:p>
      <w:pPr>
        <w:tabs>
          <w:tab w:val="right" w:leader="dot" w:pos="9062"/>
        </w:tabs>
        <w:ind w:left="440"/>
      </w:pPr>
      <w:hyperlink w:anchor="_Toc5740" w:history="1">
        <w:r>
          <w:rPr>
            <w:rFonts w:ascii="IRNazanin" w:hAnsi="IRNazanin" w:eastAsia="IRNazanin" w:cs="IRNazanin"/>
            <w:color w:val="111111"/>
            <w:sz w:val="22"/>
            <w:szCs w:val="22"/>
            <w:b w:val="0"/>
            <w:bCs w:val="0"/>
            <w:i w:val="0"/>
            <w:iCs w:val="0"/>
          </w:rPr>
          <w:t>5299- دیوان غرای شیرازی‏</w:t>
        </w:r>
        <w:r>
          <w:tab/>
        </w:r>
        <w:r>
          <w:fldChar w:fldCharType="begin"/>
        </w:r>
        <w:r>
          <w:instrText xml:space="preserve">PAGEREF 5740 \h</w:instrText>
        </w:r>
        <w:r>
          <w:fldChar w:fldCharType="end"/>
        </w:r>
      </w:hyperlink>
    </w:p>
    <w:p>
      <w:pPr>
        <w:tabs>
          <w:tab w:val="right" w:leader="dot" w:pos="9062"/>
        </w:tabs>
        <w:ind w:left="440"/>
      </w:pPr>
      <w:hyperlink w:anchor="_Toc5741" w:history="1">
        <w:r>
          <w:rPr>
            <w:rFonts w:ascii="IRNazanin" w:hAnsi="IRNazanin" w:eastAsia="IRNazanin" w:cs="IRNazanin"/>
            <w:color w:val="111111"/>
            <w:sz w:val="22"/>
            <w:szCs w:val="22"/>
            <w:b w:val="0"/>
            <w:bCs w:val="0"/>
            <w:i w:val="0"/>
            <w:iCs w:val="0"/>
          </w:rPr>
          <w:t>5300- دیوان غروری شیرازی‏</w:t>
        </w:r>
        <w:r>
          <w:tab/>
        </w:r>
        <w:r>
          <w:fldChar w:fldCharType="begin"/>
        </w:r>
        <w:r>
          <w:instrText xml:space="preserve">PAGEREF 5741 \h</w:instrText>
        </w:r>
        <w:r>
          <w:fldChar w:fldCharType="end"/>
        </w:r>
      </w:hyperlink>
    </w:p>
    <w:p>
      <w:pPr>
        <w:tabs>
          <w:tab w:val="right" w:leader="dot" w:pos="9062"/>
        </w:tabs>
        <w:ind w:left="440"/>
      </w:pPr>
      <w:hyperlink w:anchor="_Toc5742" w:history="1">
        <w:r>
          <w:rPr>
            <w:rFonts w:ascii="IRNazanin" w:hAnsi="IRNazanin" w:eastAsia="IRNazanin" w:cs="IRNazanin"/>
            <w:color w:val="111111"/>
            <w:sz w:val="22"/>
            <w:szCs w:val="22"/>
            <w:b w:val="0"/>
            <w:bCs w:val="0"/>
            <w:i w:val="0"/>
            <w:iCs w:val="0"/>
          </w:rPr>
          <w:t>5301- دیوان غروری کاشانی‏</w:t>
        </w:r>
        <w:r>
          <w:tab/>
        </w:r>
        <w:r>
          <w:fldChar w:fldCharType="begin"/>
        </w:r>
        <w:r>
          <w:instrText xml:space="preserve">PAGEREF 5742 \h</w:instrText>
        </w:r>
        <w:r>
          <w:fldChar w:fldCharType="end"/>
        </w:r>
      </w:hyperlink>
    </w:p>
    <w:p>
      <w:pPr>
        <w:tabs>
          <w:tab w:val="right" w:leader="dot" w:pos="9062"/>
        </w:tabs>
        <w:ind w:left="440"/>
      </w:pPr>
      <w:hyperlink w:anchor="_Toc5743" w:history="1">
        <w:r>
          <w:rPr>
            <w:rFonts w:ascii="IRNazanin" w:hAnsi="IRNazanin" w:eastAsia="IRNazanin" w:cs="IRNazanin"/>
            <w:color w:val="111111"/>
            <w:sz w:val="22"/>
            <w:szCs w:val="22"/>
            <w:b w:val="0"/>
            <w:bCs w:val="0"/>
            <w:i w:val="0"/>
            <w:iCs w:val="0"/>
          </w:rPr>
          <w:t>5302- دیوان الغری‏</w:t>
        </w:r>
        <w:r>
          <w:tab/>
        </w:r>
        <w:r>
          <w:fldChar w:fldCharType="begin"/>
        </w:r>
        <w:r>
          <w:instrText xml:space="preserve">PAGEREF 5743 \h</w:instrText>
        </w:r>
        <w:r>
          <w:fldChar w:fldCharType="end"/>
        </w:r>
      </w:hyperlink>
    </w:p>
    <w:p>
      <w:pPr>
        <w:tabs>
          <w:tab w:val="right" w:leader="dot" w:pos="9062"/>
        </w:tabs>
        <w:ind w:left="440"/>
      </w:pPr>
      <w:hyperlink w:anchor="_Toc5744" w:history="1">
        <w:r>
          <w:rPr>
            <w:rFonts w:ascii="IRNazanin" w:hAnsi="IRNazanin" w:eastAsia="IRNazanin" w:cs="IRNazanin"/>
            <w:color w:val="111111"/>
            <w:sz w:val="22"/>
            <w:szCs w:val="22"/>
            <w:b w:val="0"/>
            <w:bCs w:val="0"/>
            <w:i w:val="0"/>
            <w:iCs w:val="0"/>
          </w:rPr>
          <w:t>5303- دیوان غریب دنبلی‏</w:t>
        </w:r>
        <w:r>
          <w:tab/>
        </w:r>
        <w:r>
          <w:fldChar w:fldCharType="begin"/>
        </w:r>
        <w:r>
          <w:instrText xml:space="preserve">PAGEREF 5744 \h</w:instrText>
        </w:r>
        <w:r>
          <w:fldChar w:fldCharType="end"/>
        </w:r>
      </w:hyperlink>
    </w:p>
    <w:p>
      <w:pPr>
        <w:tabs>
          <w:tab w:val="right" w:leader="dot" w:pos="9062"/>
        </w:tabs>
        <w:ind w:left="440"/>
      </w:pPr>
      <w:hyperlink w:anchor="_Toc5745" w:history="1">
        <w:r>
          <w:rPr>
            <w:rFonts w:ascii="IRNazanin" w:hAnsi="IRNazanin" w:eastAsia="IRNazanin" w:cs="IRNazanin"/>
            <w:color w:val="111111"/>
            <w:sz w:val="22"/>
            <w:szCs w:val="22"/>
            <w:b w:val="0"/>
            <w:bCs w:val="0"/>
            <w:i w:val="0"/>
            <w:iCs w:val="0"/>
          </w:rPr>
          <w:t>دیوان غریب عظیم‏آبادی‏</w:t>
        </w:r>
        <w:r>
          <w:tab/>
        </w:r>
        <w:r>
          <w:fldChar w:fldCharType="begin"/>
        </w:r>
        <w:r>
          <w:instrText xml:space="preserve">PAGEREF 5745 \h</w:instrText>
        </w:r>
        <w:r>
          <w:fldChar w:fldCharType="end"/>
        </w:r>
      </w:hyperlink>
    </w:p>
    <w:p>
      <w:pPr>
        <w:tabs>
          <w:tab w:val="right" w:leader="dot" w:pos="9062"/>
        </w:tabs>
        <w:ind w:left="440"/>
      </w:pPr>
      <w:hyperlink w:anchor="_Toc5746" w:history="1">
        <w:r>
          <w:rPr>
            <w:rFonts w:ascii="IRNazanin" w:hAnsi="IRNazanin" w:eastAsia="IRNazanin" w:cs="IRNazanin"/>
            <w:color w:val="111111"/>
            <w:sz w:val="22"/>
            <w:szCs w:val="22"/>
            <w:b w:val="0"/>
            <w:bCs w:val="0"/>
            <w:i w:val="0"/>
            <w:iCs w:val="0"/>
          </w:rPr>
          <w:t>5304- دیوان غریبی أسترآبادی‏</w:t>
        </w:r>
        <w:r>
          <w:tab/>
        </w:r>
        <w:r>
          <w:fldChar w:fldCharType="begin"/>
        </w:r>
        <w:r>
          <w:instrText xml:space="preserve">PAGEREF 5746 \h</w:instrText>
        </w:r>
        <w:r>
          <w:fldChar w:fldCharType="end"/>
        </w:r>
      </w:hyperlink>
    </w:p>
    <w:p>
      <w:pPr>
        <w:tabs>
          <w:tab w:val="right" w:leader="dot" w:pos="9062"/>
        </w:tabs>
        <w:ind w:left="440"/>
      </w:pPr>
      <w:hyperlink w:anchor="_Toc5747" w:history="1">
        <w:r>
          <w:rPr>
            <w:rFonts w:ascii="IRNazanin" w:hAnsi="IRNazanin" w:eastAsia="IRNazanin" w:cs="IRNazanin"/>
            <w:color w:val="111111"/>
            <w:sz w:val="22"/>
            <w:szCs w:val="22"/>
            <w:b w:val="0"/>
            <w:bCs w:val="0"/>
            <w:i w:val="0"/>
            <w:iCs w:val="0"/>
          </w:rPr>
          <w:t>5305- دیوان غریبی خراسانی‏</w:t>
        </w:r>
        <w:r>
          <w:tab/>
        </w:r>
        <w:r>
          <w:fldChar w:fldCharType="begin"/>
        </w:r>
        <w:r>
          <w:instrText xml:space="preserve">PAGEREF 5747 \h</w:instrText>
        </w:r>
        <w:r>
          <w:fldChar w:fldCharType="end"/>
        </w:r>
      </w:hyperlink>
    </w:p>
    <w:p>
      <w:pPr>
        <w:tabs>
          <w:tab w:val="right" w:leader="dot" w:pos="9062"/>
        </w:tabs>
        <w:ind w:left="440"/>
      </w:pPr>
      <w:hyperlink w:anchor="_Toc5748" w:history="1">
        <w:r>
          <w:rPr>
            <w:rFonts w:ascii="IRNazanin" w:hAnsi="IRNazanin" w:eastAsia="IRNazanin" w:cs="IRNazanin"/>
            <w:color w:val="111111"/>
            <w:sz w:val="22"/>
            <w:szCs w:val="22"/>
            <w:b w:val="0"/>
            <w:bCs w:val="0"/>
            <w:i w:val="0"/>
            <w:iCs w:val="0"/>
          </w:rPr>
          <w:t>5306- دیوان غریبی کابلی أو شعره‏</w:t>
        </w:r>
        <w:r>
          <w:tab/>
        </w:r>
        <w:r>
          <w:fldChar w:fldCharType="begin"/>
        </w:r>
        <w:r>
          <w:instrText xml:space="preserve">PAGEREF 5748 \h</w:instrText>
        </w:r>
        <w:r>
          <w:fldChar w:fldCharType="end"/>
        </w:r>
      </w:hyperlink>
    </w:p>
    <w:p>
      <w:pPr>
        <w:tabs>
          <w:tab w:val="right" w:leader="dot" w:pos="9062"/>
        </w:tabs>
        <w:ind w:left="440"/>
      </w:pPr>
      <w:hyperlink w:anchor="_Toc5749" w:history="1">
        <w:r>
          <w:rPr>
            <w:rFonts w:ascii="IRNazanin" w:hAnsi="IRNazanin" w:eastAsia="IRNazanin" w:cs="IRNazanin"/>
            <w:color w:val="111111"/>
            <w:sz w:val="22"/>
            <w:szCs w:val="22"/>
            <w:b w:val="0"/>
            <w:bCs w:val="0"/>
            <w:i w:val="0"/>
            <w:iCs w:val="0"/>
          </w:rPr>
          <w:t>5307- دیوان غریب کاشی أو شعره‏</w:t>
        </w:r>
        <w:r>
          <w:tab/>
        </w:r>
        <w:r>
          <w:fldChar w:fldCharType="begin"/>
        </w:r>
        <w:r>
          <w:instrText xml:space="preserve">PAGEREF 5749 \h</w:instrText>
        </w:r>
        <w:r>
          <w:fldChar w:fldCharType="end"/>
        </w:r>
      </w:hyperlink>
    </w:p>
    <w:p>
      <w:pPr>
        <w:tabs>
          <w:tab w:val="right" w:leader="dot" w:pos="9062"/>
        </w:tabs>
        <w:ind w:left="440"/>
      </w:pPr>
      <w:hyperlink w:anchor="_Toc5750" w:history="1">
        <w:r>
          <w:rPr>
            <w:rFonts w:ascii="IRNazanin" w:hAnsi="IRNazanin" w:eastAsia="IRNazanin" w:cs="IRNazanin"/>
            <w:color w:val="111111"/>
            <w:sz w:val="22"/>
            <w:szCs w:val="22"/>
            <w:b w:val="0"/>
            <w:bCs w:val="0"/>
            <w:i w:val="0"/>
            <w:iCs w:val="0"/>
          </w:rPr>
          <w:t>5308- دیوان غریبی هروی أو شعره‏</w:t>
        </w:r>
        <w:r>
          <w:tab/>
        </w:r>
        <w:r>
          <w:fldChar w:fldCharType="begin"/>
        </w:r>
        <w:r>
          <w:instrText xml:space="preserve">PAGEREF 5750 \h</w:instrText>
        </w:r>
        <w:r>
          <w:fldChar w:fldCharType="end"/>
        </w:r>
      </w:hyperlink>
    </w:p>
    <w:p>
      <w:pPr>
        <w:tabs>
          <w:tab w:val="right" w:leader="dot" w:pos="9062"/>
        </w:tabs>
        <w:ind w:left="440"/>
      </w:pPr>
      <w:hyperlink w:anchor="_Toc5751" w:history="1">
        <w:r>
          <w:rPr>
            <w:rFonts w:ascii="IRNazanin" w:hAnsi="IRNazanin" w:eastAsia="IRNazanin" w:cs="IRNazanin"/>
            <w:color w:val="111111"/>
            <w:sz w:val="22"/>
            <w:szCs w:val="22"/>
            <w:b w:val="0"/>
            <w:bCs w:val="0"/>
            <w:i w:val="0"/>
            <w:iCs w:val="0"/>
          </w:rPr>
          <w:t>5309- دیوان غریبی هروی‏</w:t>
        </w:r>
        <w:r>
          <w:tab/>
        </w:r>
        <w:r>
          <w:fldChar w:fldCharType="begin"/>
        </w:r>
        <w:r>
          <w:instrText xml:space="preserve">PAGEREF 5751 \h</w:instrText>
        </w:r>
        <w:r>
          <w:fldChar w:fldCharType="end"/>
        </w:r>
      </w:hyperlink>
    </w:p>
    <w:p>
      <w:pPr>
        <w:tabs>
          <w:tab w:val="right" w:leader="dot" w:pos="9062"/>
        </w:tabs>
        <w:ind w:left="440"/>
      </w:pPr>
      <w:hyperlink w:anchor="_Toc5752" w:history="1">
        <w:r>
          <w:rPr>
            <w:rFonts w:ascii="IRNazanin" w:hAnsi="IRNazanin" w:eastAsia="IRNazanin" w:cs="IRNazanin"/>
            <w:color w:val="111111"/>
            <w:sz w:val="22"/>
            <w:szCs w:val="22"/>
            <w:b w:val="0"/>
            <w:bCs w:val="0"/>
            <w:i w:val="0"/>
            <w:iCs w:val="0"/>
          </w:rPr>
          <w:t>5310- دیوان غریق زنجانی‏</w:t>
        </w:r>
        <w:r>
          <w:tab/>
        </w:r>
        <w:r>
          <w:fldChar w:fldCharType="begin"/>
        </w:r>
        <w:r>
          <w:instrText xml:space="preserve">PAGEREF 5752 \h</w:instrText>
        </w:r>
        <w:r>
          <w:fldChar w:fldCharType="end"/>
        </w:r>
      </w:hyperlink>
    </w:p>
    <w:p>
      <w:pPr>
        <w:tabs>
          <w:tab w:val="right" w:leader="dot" w:pos="9062"/>
        </w:tabs>
        <w:ind w:left="440"/>
      </w:pPr>
      <w:hyperlink w:anchor="_Toc5753" w:history="1">
        <w:r>
          <w:rPr>
            <w:rFonts w:ascii="IRNazanin" w:hAnsi="IRNazanin" w:eastAsia="IRNazanin" w:cs="IRNazanin"/>
            <w:color w:val="111111"/>
            <w:sz w:val="22"/>
            <w:szCs w:val="22"/>
            <w:b w:val="0"/>
            <w:bCs w:val="0"/>
            <w:i w:val="0"/>
            <w:iCs w:val="0"/>
          </w:rPr>
          <w:t>5311- دیوان غزالی ابریشمی أو شعره‏</w:t>
        </w:r>
        <w:r>
          <w:tab/>
        </w:r>
        <w:r>
          <w:fldChar w:fldCharType="begin"/>
        </w:r>
        <w:r>
          <w:instrText xml:space="preserve">PAGEREF 5753 \h</w:instrText>
        </w:r>
        <w:r>
          <w:fldChar w:fldCharType="end"/>
        </w:r>
      </w:hyperlink>
    </w:p>
    <w:p>
      <w:pPr>
        <w:tabs>
          <w:tab w:val="right" w:leader="dot" w:pos="9062"/>
        </w:tabs>
        <w:ind w:left="440"/>
      </w:pPr>
      <w:hyperlink w:anchor="_Toc5754" w:history="1">
        <w:r>
          <w:rPr>
            <w:rFonts w:ascii="IRNazanin" w:hAnsi="IRNazanin" w:eastAsia="IRNazanin" w:cs="IRNazanin"/>
            <w:color w:val="111111"/>
            <w:sz w:val="22"/>
            <w:szCs w:val="22"/>
            <w:b w:val="0"/>
            <w:bCs w:val="0"/>
            <w:i w:val="0"/>
            <w:iCs w:val="0"/>
          </w:rPr>
          <w:t>5312- دیوان غزالی أبهری أو شعره‏</w:t>
        </w:r>
        <w:r>
          <w:tab/>
        </w:r>
        <w:r>
          <w:fldChar w:fldCharType="begin"/>
        </w:r>
        <w:r>
          <w:instrText xml:space="preserve">PAGEREF 5754 \h</w:instrText>
        </w:r>
        <w:r>
          <w:fldChar w:fldCharType="end"/>
        </w:r>
      </w:hyperlink>
    </w:p>
    <w:p>
      <w:pPr>
        <w:tabs>
          <w:tab w:val="right" w:leader="dot" w:pos="9062"/>
        </w:tabs>
        <w:ind w:left="440"/>
      </w:pPr>
      <w:hyperlink w:anchor="_Toc5755" w:history="1">
        <w:r>
          <w:rPr>
            <w:rFonts w:ascii="IRNazanin" w:hAnsi="IRNazanin" w:eastAsia="IRNazanin" w:cs="IRNazanin"/>
            <w:color w:val="111111"/>
            <w:sz w:val="22"/>
            <w:szCs w:val="22"/>
            <w:b w:val="0"/>
            <w:bCs w:val="0"/>
            <w:i w:val="0"/>
            <w:iCs w:val="0"/>
          </w:rPr>
          <w:t>5313- دیوان غزالی تبریزی أو شعره‏</w:t>
        </w:r>
        <w:r>
          <w:tab/>
        </w:r>
        <w:r>
          <w:fldChar w:fldCharType="begin"/>
        </w:r>
        <w:r>
          <w:instrText xml:space="preserve">PAGEREF 5755 \h</w:instrText>
        </w:r>
        <w:r>
          <w:fldChar w:fldCharType="end"/>
        </w:r>
      </w:hyperlink>
    </w:p>
    <w:p>
      <w:pPr>
        <w:tabs>
          <w:tab w:val="right" w:leader="dot" w:pos="9062"/>
        </w:tabs>
        <w:ind w:left="440"/>
      </w:pPr>
      <w:hyperlink w:anchor="_Toc5756" w:history="1">
        <w:r>
          <w:rPr>
            <w:rFonts w:ascii="IRNazanin" w:hAnsi="IRNazanin" w:eastAsia="IRNazanin" w:cs="IRNazanin"/>
            <w:color w:val="111111"/>
            <w:sz w:val="22"/>
            <w:szCs w:val="22"/>
            <w:b w:val="0"/>
            <w:bCs w:val="0"/>
            <w:i w:val="0"/>
            <w:iCs w:val="0"/>
          </w:rPr>
          <w:t>. دیوان غزالی چنبک‏</w:t>
        </w:r>
        <w:r>
          <w:tab/>
        </w:r>
        <w:r>
          <w:fldChar w:fldCharType="begin"/>
        </w:r>
        <w:r>
          <w:instrText xml:space="preserve">PAGEREF 5756 \h</w:instrText>
        </w:r>
        <w:r>
          <w:fldChar w:fldCharType="end"/>
        </w:r>
      </w:hyperlink>
    </w:p>
    <w:p>
      <w:pPr>
        <w:tabs>
          <w:tab w:val="right" w:leader="dot" w:pos="9062"/>
        </w:tabs>
        <w:ind w:left="440"/>
      </w:pPr>
      <w:hyperlink w:anchor="_Toc5757" w:history="1">
        <w:r>
          <w:rPr>
            <w:rFonts w:ascii="IRNazanin" w:hAnsi="IRNazanin" w:eastAsia="IRNazanin" w:cs="IRNazanin"/>
            <w:color w:val="111111"/>
            <w:sz w:val="22"/>
            <w:szCs w:val="22"/>
            <w:b w:val="0"/>
            <w:bCs w:val="0"/>
            <w:i w:val="0"/>
            <w:iCs w:val="0"/>
          </w:rPr>
          <w:t>5314- دیوان غزالی طوسی أو شعره‏</w:t>
        </w:r>
        <w:r>
          <w:tab/>
        </w:r>
        <w:r>
          <w:fldChar w:fldCharType="begin"/>
        </w:r>
        <w:r>
          <w:instrText xml:space="preserve">PAGEREF 5757 \h</w:instrText>
        </w:r>
        <w:r>
          <w:fldChar w:fldCharType="end"/>
        </w:r>
      </w:hyperlink>
    </w:p>
    <w:p>
      <w:pPr>
        <w:tabs>
          <w:tab w:val="right" w:leader="dot" w:pos="9062"/>
        </w:tabs>
        <w:ind w:left="440"/>
      </w:pPr>
      <w:hyperlink w:anchor="_Toc5758" w:history="1">
        <w:r>
          <w:rPr>
            <w:rFonts w:ascii="IRNazanin" w:hAnsi="IRNazanin" w:eastAsia="IRNazanin" w:cs="IRNazanin"/>
            <w:color w:val="111111"/>
            <w:sz w:val="22"/>
            <w:szCs w:val="22"/>
            <w:b w:val="0"/>
            <w:bCs w:val="0"/>
            <w:i w:val="0"/>
            <w:iCs w:val="0"/>
          </w:rPr>
          <w:t>5315- دیوان غزالی مشهدی‏</w:t>
        </w:r>
        <w:r>
          <w:tab/>
        </w:r>
        <w:r>
          <w:fldChar w:fldCharType="begin"/>
        </w:r>
        <w:r>
          <w:instrText xml:space="preserve">PAGEREF 5758 \h</w:instrText>
        </w:r>
        <w:r>
          <w:fldChar w:fldCharType="end"/>
        </w:r>
      </w:hyperlink>
    </w:p>
    <w:p>
      <w:pPr>
        <w:tabs>
          <w:tab w:val="right" w:leader="dot" w:pos="9062"/>
        </w:tabs>
        <w:ind w:left="440"/>
      </w:pPr>
      <w:hyperlink w:anchor="_Toc5759" w:history="1">
        <w:r>
          <w:rPr>
            <w:rFonts w:ascii="IRNazanin" w:hAnsi="IRNazanin" w:eastAsia="IRNazanin" w:cs="IRNazanin"/>
            <w:color w:val="111111"/>
            <w:sz w:val="22"/>
            <w:szCs w:val="22"/>
            <w:b w:val="0"/>
            <w:bCs w:val="0"/>
            <w:i w:val="0"/>
            <w:iCs w:val="0"/>
          </w:rPr>
          <w:t>5316- دیوان غزالی هروی أو شعره‏</w:t>
        </w:r>
        <w:r>
          <w:tab/>
        </w:r>
        <w:r>
          <w:fldChar w:fldCharType="begin"/>
        </w:r>
        <w:r>
          <w:instrText xml:space="preserve">PAGEREF 5759 \h</w:instrText>
        </w:r>
        <w:r>
          <w:fldChar w:fldCharType="end"/>
        </w:r>
      </w:hyperlink>
    </w:p>
    <w:p>
      <w:pPr>
        <w:tabs>
          <w:tab w:val="right" w:leader="dot" w:pos="9062"/>
        </w:tabs>
        <w:ind w:left="440"/>
      </w:pPr>
      <w:hyperlink w:anchor="_Toc5760" w:history="1">
        <w:r>
          <w:rPr>
            <w:rFonts w:ascii="IRNazanin" w:hAnsi="IRNazanin" w:eastAsia="IRNazanin" w:cs="IRNazanin"/>
            <w:color w:val="111111"/>
            <w:sz w:val="22"/>
            <w:szCs w:val="22"/>
            <w:b w:val="0"/>
            <w:bCs w:val="0"/>
            <w:i w:val="0"/>
            <w:iCs w:val="0"/>
          </w:rPr>
          <w:t>دیوان غزنوی‏</w:t>
        </w:r>
        <w:r>
          <w:tab/>
        </w:r>
        <w:r>
          <w:fldChar w:fldCharType="begin"/>
        </w:r>
        <w:r>
          <w:instrText xml:space="preserve">PAGEREF 5760 \h</w:instrText>
        </w:r>
        <w:r>
          <w:fldChar w:fldCharType="end"/>
        </w:r>
      </w:hyperlink>
    </w:p>
    <w:p>
      <w:pPr>
        <w:tabs>
          <w:tab w:val="right" w:leader="dot" w:pos="9062"/>
        </w:tabs>
        <w:ind w:left="440"/>
      </w:pPr>
      <w:hyperlink w:anchor="_Toc5761" w:history="1">
        <w:r>
          <w:rPr>
            <w:rFonts w:ascii="IRNazanin" w:hAnsi="IRNazanin" w:eastAsia="IRNazanin" w:cs="IRNazanin"/>
            <w:color w:val="111111"/>
            <w:sz w:val="22"/>
            <w:szCs w:val="22"/>
            <w:b w:val="0"/>
            <w:bCs w:val="0"/>
            <w:i w:val="0"/>
            <w:iCs w:val="0"/>
          </w:rPr>
          <w:t>5317- دیوان غزنوی أو شعره‏</w:t>
        </w:r>
        <w:r>
          <w:tab/>
        </w:r>
        <w:r>
          <w:fldChar w:fldCharType="begin"/>
        </w:r>
        <w:r>
          <w:instrText xml:space="preserve">PAGEREF 5761 \h</w:instrText>
        </w:r>
        <w:r>
          <w:fldChar w:fldCharType="end"/>
        </w:r>
      </w:hyperlink>
    </w:p>
    <w:p>
      <w:pPr>
        <w:tabs>
          <w:tab w:val="right" w:leader="dot" w:pos="9062"/>
        </w:tabs>
        <w:ind w:left="440"/>
      </w:pPr>
      <w:hyperlink w:anchor="_Toc5762" w:history="1">
        <w:r>
          <w:rPr>
            <w:rFonts w:ascii="IRNazanin" w:hAnsi="IRNazanin" w:eastAsia="IRNazanin" w:cs="IRNazanin"/>
            <w:color w:val="111111"/>
            <w:sz w:val="22"/>
            <w:szCs w:val="22"/>
            <w:b w:val="0"/>
            <w:bCs w:val="0"/>
            <w:i w:val="0"/>
            <w:iCs w:val="0"/>
          </w:rPr>
          <w:t>دیوان الغسانی‏</w:t>
        </w:r>
        <w:r>
          <w:tab/>
        </w:r>
        <w:r>
          <w:fldChar w:fldCharType="begin"/>
        </w:r>
        <w:r>
          <w:instrText xml:space="preserve">PAGEREF 5762 \h</w:instrText>
        </w:r>
        <w:r>
          <w:fldChar w:fldCharType="end"/>
        </w:r>
      </w:hyperlink>
    </w:p>
    <w:p>
      <w:pPr>
        <w:tabs>
          <w:tab w:val="right" w:leader="dot" w:pos="9062"/>
        </w:tabs>
        <w:ind w:left="440"/>
      </w:pPr>
      <w:hyperlink w:anchor="_Toc5763" w:history="1">
        <w:r>
          <w:rPr>
            <w:rFonts w:ascii="IRNazanin" w:hAnsi="IRNazanin" w:eastAsia="IRNazanin" w:cs="IRNazanin"/>
            <w:color w:val="111111"/>
            <w:sz w:val="22"/>
            <w:szCs w:val="22"/>
            <w:b w:val="0"/>
            <w:bCs w:val="0"/>
            <w:i w:val="0"/>
            <w:iCs w:val="0"/>
          </w:rPr>
          <w:t>5318- دیوان الغسانی‏</w:t>
        </w:r>
        <w:r>
          <w:tab/>
        </w:r>
        <w:r>
          <w:fldChar w:fldCharType="begin"/>
        </w:r>
        <w:r>
          <w:instrText xml:space="preserve">PAGEREF 5763 \h</w:instrText>
        </w:r>
        <w:r>
          <w:fldChar w:fldCharType="end"/>
        </w:r>
      </w:hyperlink>
    </w:p>
    <w:p>
      <w:pPr>
        <w:tabs>
          <w:tab w:val="right" w:leader="dot" w:pos="9062"/>
        </w:tabs>
        <w:ind w:left="440"/>
      </w:pPr>
      <w:hyperlink w:anchor="_Toc5764" w:history="1">
        <w:r>
          <w:rPr>
            <w:rFonts w:ascii="IRNazanin" w:hAnsi="IRNazanin" w:eastAsia="IRNazanin" w:cs="IRNazanin"/>
            <w:color w:val="111111"/>
            <w:sz w:val="22"/>
            <w:szCs w:val="22"/>
            <w:b w:val="0"/>
            <w:bCs w:val="0"/>
            <w:i w:val="0"/>
            <w:iCs w:val="0"/>
          </w:rPr>
          <w:t>5319- دیوان الغسانی‏</w:t>
        </w:r>
        <w:r>
          <w:tab/>
        </w:r>
        <w:r>
          <w:fldChar w:fldCharType="begin"/>
        </w:r>
        <w:r>
          <w:instrText xml:space="preserve">PAGEREF 5764 \h</w:instrText>
        </w:r>
        <w:r>
          <w:fldChar w:fldCharType="end"/>
        </w:r>
      </w:hyperlink>
    </w:p>
    <w:p>
      <w:pPr>
        <w:tabs>
          <w:tab w:val="right" w:leader="dot" w:pos="9062"/>
        </w:tabs>
        <w:ind w:left="440"/>
      </w:pPr>
      <w:hyperlink w:anchor="_Toc5765" w:history="1">
        <w:r>
          <w:rPr>
            <w:rFonts w:ascii="IRNazanin" w:hAnsi="IRNazanin" w:eastAsia="IRNazanin" w:cs="IRNazanin"/>
            <w:color w:val="111111"/>
            <w:sz w:val="22"/>
            <w:szCs w:val="22"/>
            <w:b w:val="0"/>
            <w:bCs w:val="0"/>
            <w:i w:val="0"/>
            <w:iCs w:val="0"/>
          </w:rPr>
          <w:t>5320- دیوان غضائری الرازی‏</w:t>
        </w:r>
        <w:r>
          <w:tab/>
        </w:r>
        <w:r>
          <w:fldChar w:fldCharType="begin"/>
        </w:r>
        <w:r>
          <w:instrText xml:space="preserve">PAGEREF 5765 \h</w:instrText>
        </w:r>
        <w:r>
          <w:fldChar w:fldCharType="end"/>
        </w:r>
      </w:hyperlink>
    </w:p>
    <w:p>
      <w:pPr>
        <w:tabs>
          <w:tab w:val="right" w:leader="dot" w:pos="9062"/>
        </w:tabs>
        <w:ind w:left="440"/>
      </w:pPr>
      <w:hyperlink w:anchor="_Toc5766" w:history="1">
        <w:r>
          <w:rPr>
            <w:rFonts w:ascii="IRNazanin" w:hAnsi="IRNazanin" w:eastAsia="IRNazanin" w:cs="IRNazanin"/>
            <w:color w:val="111111"/>
            <w:sz w:val="22"/>
            <w:szCs w:val="22"/>
            <w:b w:val="0"/>
            <w:bCs w:val="0"/>
            <w:i w:val="0"/>
            <w:iCs w:val="0"/>
          </w:rPr>
          <w:t>5321- دیوان غضنفر کله جاری‏</w:t>
        </w:r>
        <w:r>
          <w:tab/>
        </w:r>
        <w:r>
          <w:fldChar w:fldCharType="begin"/>
        </w:r>
        <w:r>
          <w:instrText xml:space="preserve">PAGEREF 5766 \h</w:instrText>
        </w:r>
        <w:r>
          <w:fldChar w:fldCharType="end"/>
        </w:r>
      </w:hyperlink>
    </w:p>
    <w:p>
      <w:pPr>
        <w:tabs>
          <w:tab w:val="right" w:leader="dot" w:pos="9062"/>
        </w:tabs>
        <w:ind w:left="440"/>
      </w:pPr>
      <w:hyperlink w:anchor="_Toc5767" w:history="1">
        <w:r>
          <w:rPr>
            <w:rFonts w:ascii="IRNazanin" w:hAnsi="IRNazanin" w:eastAsia="IRNazanin" w:cs="IRNazanin"/>
            <w:color w:val="111111"/>
            <w:sz w:val="22"/>
            <w:szCs w:val="22"/>
            <w:b w:val="0"/>
            <w:bCs w:val="0"/>
            <w:i w:val="0"/>
            <w:iCs w:val="0"/>
          </w:rPr>
          <w:t>دیوان غضنفر قمی‏</w:t>
        </w:r>
        <w:r>
          <w:tab/>
        </w:r>
        <w:r>
          <w:fldChar w:fldCharType="begin"/>
        </w:r>
        <w:r>
          <w:instrText xml:space="preserve">PAGEREF 5767 \h</w:instrText>
        </w:r>
        <w:r>
          <w:fldChar w:fldCharType="end"/>
        </w:r>
      </w:hyperlink>
    </w:p>
    <w:p>
      <w:pPr>
        <w:tabs>
          <w:tab w:val="right" w:leader="dot" w:pos="9062"/>
        </w:tabs>
        <w:ind w:left="440"/>
      </w:pPr>
      <w:hyperlink w:anchor="_Toc5768" w:history="1">
        <w:r>
          <w:rPr>
            <w:rFonts w:ascii="IRNazanin" w:hAnsi="IRNazanin" w:eastAsia="IRNazanin" w:cs="IRNazanin"/>
            <w:color w:val="111111"/>
            <w:sz w:val="22"/>
            <w:szCs w:val="22"/>
            <w:b w:val="0"/>
            <w:bCs w:val="0"/>
            <w:i w:val="0"/>
            <w:iCs w:val="0"/>
          </w:rPr>
          <w:t>دیوان غضنفری‏</w:t>
        </w:r>
        <w:r>
          <w:tab/>
        </w:r>
        <w:r>
          <w:fldChar w:fldCharType="begin"/>
        </w:r>
        <w:r>
          <w:instrText xml:space="preserve">PAGEREF 5768 \h</w:instrText>
        </w:r>
        <w:r>
          <w:fldChar w:fldCharType="end"/>
        </w:r>
      </w:hyperlink>
    </w:p>
    <w:p>
      <w:pPr>
        <w:tabs>
          <w:tab w:val="right" w:leader="dot" w:pos="9062"/>
        </w:tabs>
        <w:ind w:left="440"/>
      </w:pPr>
      <w:hyperlink w:anchor="_Toc5769" w:history="1">
        <w:r>
          <w:rPr>
            <w:rFonts w:ascii="IRNazanin" w:hAnsi="IRNazanin" w:eastAsia="IRNazanin" w:cs="IRNazanin"/>
            <w:color w:val="111111"/>
            <w:sz w:val="22"/>
            <w:szCs w:val="22"/>
            <w:b w:val="0"/>
            <w:bCs w:val="0"/>
            <w:i w:val="0"/>
            <w:iCs w:val="0"/>
          </w:rPr>
          <w:t>دیوان غفاری‏</w:t>
        </w:r>
        <w:r>
          <w:tab/>
        </w:r>
        <w:r>
          <w:fldChar w:fldCharType="begin"/>
        </w:r>
        <w:r>
          <w:instrText xml:space="preserve">PAGEREF 5769 \h</w:instrText>
        </w:r>
        <w:r>
          <w:fldChar w:fldCharType="end"/>
        </w:r>
      </w:hyperlink>
    </w:p>
    <w:p>
      <w:pPr>
        <w:tabs>
          <w:tab w:val="right" w:leader="dot" w:pos="9062"/>
        </w:tabs>
        <w:ind w:left="440"/>
      </w:pPr>
      <w:hyperlink w:anchor="_Toc5770" w:history="1">
        <w:r>
          <w:rPr>
            <w:rFonts w:ascii="IRNazanin" w:hAnsi="IRNazanin" w:eastAsia="IRNazanin" w:cs="IRNazanin"/>
            <w:color w:val="111111"/>
            <w:sz w:val="22"/>
            <w:szCs w:val="22"/>
            <w:b w:val="0"/>
            <w:bCs w:val="0"/>
            <w:i w:val="0"/>
            <w:iCs w:val="0"/>
          </w:rPr>
          <w:t>5322- دیوان غفوری رازی أو شعره‏</w:t>
        </w:r>
        <w:r>
          <w:tab/>
        </w:r>
        <w:r>
          <w:fldChar w:fldCharType="begin"/>
        </w:r>
        <w:r>
          <w:instrText xml:space="preserve">PAGEREF 5770 \h</w:instrText>
        </w:r>
        <w:r>
          <w:fldChar w:fldCharType="end"/>
        </w:r>
      </w:hyperlink>
    </w:p>
    <w:p>
      <w:pPr>
        <w:tabs>
          <w:tab w:val="right" w:leader="dot" w:pos="9062"/>
        </w:tabs>
        <w:ind w:left="440"/>
      </w:pPr>
      <w:hyperlink w:anchor="_Toc5771" w:history="1">
        <w:r>
          <w:rPr>
            <w:rFonts w:ascii="IRNazanin" w:hAnsi="IRNazanin" w:eastAsia="IRNazanin" w:cs="IRNazanin"/>
            <w:color w:val="111111"/>
            <w:sz w:val="22"/>
            <w:szCs w:val="22"/>
            <w:b w:val="0"/>
            <w:bCs w:val="0"/>
            <w:i w:val="0"/>
            <w:iCs w:val="0"/>
          </w:rPr>
          <w:t>5323- دیوان غلام حسین‏</w:t>
        </w:r>
        <w:r>
          <w:tab/>
        </w:r>
        <w:r>
          <w:fldChar w:fldCharType="begin"/>
        </w:r>
        <w:r>
          <w:instrText xml:space="preserve">PAGEREF 5771 \h</w:instrText>
        </w:r>
        <w:r>
          <w:fldChar w:fldCharType="end"/>
        </w:r>
      </w:hyperlink>
    </w:p>
    <w:p>
      <w:pPr>
        <w:tabs>
          <w:tab w:val="right" w:leader="dot" w:pos="9062"/>
        </w:tabs>
        <w:ind w:left="440"/>
      </w:pPr>
      <w:hyperlink w:anchor="_Toc5772" w:history="1">
        <w:r>
          <w:rPr>
            <w:rFonts w:ascii="IRNazanin" w:hAnsi="IRNazanin" w:eastAsia="IRNazanin" w:cs="IRNazanin"/>
            <w:color w:val="111111"/>
            <w:sz w:val="22"/>
            <w:szCs w:val="22"/>
            <w:b w:val="0"/>
            <w:bCs w:val="0"/>
            <w:i w:val="0"/>
            <w:iCs w:val="0"/>
          </w:rPr>
          <w:t>5324- دیوان غلام رضا ذاکر</w:t>
        </w:r>
        <w:r>
          <w:tab/>
        </w:r>
        <w:r>
          <w:fldChar w:fldCharType="begin"/>
        </w:r>
        <w:r>
          <w:instrText xml:space="preserve">PAGEREF 5772 \h</w:instrText>
        </w:r>
        <w:r>
          <w:fldChar w:fldCharType="end"/>
        </w:r>
      </w:hyperlink>
    </w:p>
    <w:p>
      <w:pPr>
        <w:tabs>
          <w:tab w:val="right" w:leader="dot" w:pos="9062"/>
        </w:tabs>
        <w:ind w:left="440"/>
      </w:pPr>
      <w:hyperlink w:anchor="_Toc5773" w:history="1">
        <w:r>
          <w:rPr>
            <w:rFonts w:ascii="IRNazanin" w:hAnsi="IRNazanin" w:eastAsia="IRNazanin" w:cs="IRNazanin"/>
            <w:color w:val="111111"/>
            <w:sz w:val="22"/>
            <w:szCs w:val="22"/>
            <w:b w:val="0"/>
            <w:bCs w:val="0"/>
            <w:i w:val="0"/>
            <w:iCs w:val="0"/>
          </w:rPr>
          <w:t>دیوان غلام رضا روحانی‏</w:t>
        </w:r>
        <w:r>
          <w:tab/>
        </w:r>
        <w:r>
          <w:fldChar w:fldCharType="begin"/>
        </w:r>
        <w:r>
          <w:instrText xml:space="preserve">PAGEREF 5773 \h</w:instrText>
        </w:r>
        <w:r>
          <w:fldChar w:fldCharType="end"/>
        </w:r>
      </w:hyperlink>
    </w:p>
    <w:p>
      <w:pPr>
        <w:tabs>
          <w:tab w:val="right" w:leader="dot" w:pos="9062"/>
        </w:tabs>
        <w:ind w:left="440"/>
      </w:pPr>
      <w:hyperlink w:anchor="_Toc5774" w:history="1">
        <w:r>
          <w:rPr>
            <w:rFonts w:ascii="IRNazanin" w:hAnsi="IRNazanin" w:eastAsia="IRNazanin" w:cs="IRNazanin"/>
            <w:color w:val="111111"/>
            <w:sz w:val="22"/>
            <w:szCs w:val="22"/>
            <w:b w:val="0"/>
            <w:bCs w:val="0"/>
            <w:i w:val="0"/>
            <w:iCs w:val="0"/>
          </w:rPr>
          <w:t>دیوان غلام علی بلگرامی‏</w:t>
        </w:r>
        <w:r>
          <w:tab/>
        </w:r>
        <w:r>
          <w:fldChar w:fldCharType="begin"/>
        </w:r>
        <w:r>
          <w:instrText xml:space="preserve">PAGEREF 5774 \h</w:instrText>
        </w:r>
        <w:r>
          <w:fldChar w:fldCharType="end"/>
        </w:r>
      </w:hyperlink>
    </w:p>
    <w:p>
      <w:pPr>
        <w:tabs>
          <w:tab w:val="right" w:leader="dot" w:pos="9062"/>
        </w:tabs>
        <w:ind w:left="440"/>
      </w:pPr>
      <w:hyperlink w:anchor="_Toc5775" w:history="1">
        <w:r>
          <w:rPr>
            <w:rFonts w:ascii="IRNazanin" w:hAnsi="IRNazanin" w:eastAsia="IRNazanin" w:cs="IRNazanin"/>
            <w:color w:val="111111"/>
            <w:sz w:val="22"/>
            <w:szCs w:val="22"/>
            <w:b w:val="0"/>
            <w:bCs w:val="0"/>
            <w:i w:val="0"/>
            <w:iCs w:val="0"/>
          </w:rPr>
          <w:t>دیوان الشیخ غلام علی‏</w:t>
        </w:r>
        <w:r>
          <w:tab/>
        </w:r>
        <w:r>
          <w:fldChar w:fldCharType="begin"/>
        </w:r>
        <w:r>
          <w:instrText xml:space="preserve">PAGEREF 5775 \h</w:instrText>
        </w:r>
        <w:r>
          <w:fldChar w:fldCharType="end"/>
        </w:r>
      </w:hyperlink>
    </w:p>
    <w:p>
      <w:pPr>
        <w:tabs>
          <w:tab w:val="right" w:leader="dot" w:pos="9062"/>
        </w:tabs>
        <w:ind w:left="440"/>
      </w:pPr>
      <w:hyperlink w:anchor="_Toc5776" w:history="1">
        <w:r>
          <w:rPr>
            <w:rFonts w:ascii="IRNazanin" w:hAnsi="IRNazanin" w:eastAsia="IRNazanin" w:cs="IRNazanin"/>
            <w:color w:val="111111"/>
            <w:sz w:val="22"/>
            <w:szCs w:val="22"/>
            <w:b w:val="0"/>
            <w:bCs w:val="0"/>
            <w:i w:val="0"/>
            <w:iCs w:val="0"/>
          </w:rPr>
          <w:t>5325- دیوان غلام غوث صمدانی‏</w:t>
        </w:r>
        <w:r>
          <w:tab/>
        </w:r>
        <w:r>
          <w:fldChar w:fldCharType="begin"/>
        </w:r>
        <w:r>
          <w:instrText xml:space="preserve">PAGEREF 5776 \h</w:instrText>
        </w:r>
        <w:r>
          <w:fldChar w:fldCharType="end"/>
        </w:r>
      </w:hyperlink>
    </w:p>
    <w:p>
      <w:pPr>
        <w:tabs>
          <w:tab w:val="right" w:leader="dot" w:pos="9062"/>
        </w:tabs>
        <w:ind w:left="440"/>
      </w:pPr>
      <w:hyperlink w:anchor="_Toc5777" w:history="1">
        <w:r>
          <w:rPr>
            <w:rFonts w:ascii="IRNazanin" w:hAnsi="IRNazanin" w:eastAsia="IRNazanin" w:cs="IRNazanin"/>
            <w:color w:val="111111"/>
            <w:sz w:val="22"/>
            <w:szCs w:val="22"/>
            <w:b w:val="0"/>
            <w:bCs w:val="0"/>
            <w:i w:val="0"/>
            <w:iCs w:val="0"/>
          </w:rPr>
          <w:t>5326- دیوان غلام محبوب سبحانی‏</w:t>
        </w:r>
        <w:r>
          <w:tab/>
        </w:r>
        <w:r>
          <w:fldChar w:fldCharType="begin"/>
        </w:r>
        <w:r>
          <w:instrText xml:space="preserve">PAGEREF 5777 \h</w:instrText>
        </w:r>
        <w:r>
          <w:fldChar w:fldCharType="end"/>
        </w:r>
      </w:hyperlink>
    </w:p>
    <w:p>
      <w:pPr>
        <w:tabs>
          <w:tab w:val="right" w:leader="dot" w:pos="9062"/>
        </w:tabs>
        <w:ind w:left="440"/>
      </w:pPr>
      <w:hyperlink w:anchor="_Toc5778" w:history="1">
        <w:r>
          <w:rPr>
            <w:rFonts w:ascii="IRNazanin" w:hAnsi="IRNazanin" w:eastAsia="IRNazanin" w:cs="IRNazanin"/>
            <w:color w:val="111111"/>
            <w:sz w:val="22"/>
            <w:szCs w:val="22"/>
            <w:b w:val="0"/>
            <w:bCs w:val="0"/>
            <w:i w:val="0"/>
            <w:iCs w:val="0"/>
          </w:rPr>
          <w:t>5327- دیوان غلام مصطفی بلگرامی‏</w:t>
        </w:r>
        <w:r>
          <w:tab/>
        </w:r>
        <w:r>
          <w:fldChar w:fldCharType="begin"/>
        </w:r>
        <w:r>
          <w:instrText xml:space="preserve">PAGEREF 5778 \h</w:instrText>
        </w:r>
        <w:r>
          <w:fldChar w:fldCharType="end"/>
        </w:r>
      </w:hyperlink>
    </w:p>
    <w:p>
      <w:pPr>
        <w:tabs>
          <w:tab w:val="right" w:leader="dot" w:pos="9062"/>
        </w:tabs>
        <w:ind w:left="440"/>
      </w:pPr>
      <w:hyperlink w:anchor="_Toc5779" w:history="1">
        <w:r>
          <w:rPr>
            <w:rFonts w:ascii="IRNazanin" w:hAnsi="IRNazanin" w:eastAsia="IRNazanin" w:cs="IRNazanin"/>
            <w:color w:val="111111"/>
            <w:sz w:val="22"/>
            <w:szCs w:val="22"/>
            <w:b w:val="0"/>
            <w:bCs w:val="0"/>
            <w:i w:val="0"/>
            <w:iCs w:val="0"/>
          </w:rPr>
          <w:t>5328- دیوان غلام نبی أو شعره‏</w:t>
        </w:r>
        <w:r>
          <w:tab/>
        </w:r>
        <w:r>
          <w:fldChar w:fldCharType="begin"/>
        </w:r>
        <w:r>
          <w:instrText xml:space="preserve">PAGEREF 5779 \h</w:instrText>
        </w:r>
        <w:r>
          <w:fldChar w:fldCharType="end"/>
        </w:r>
      </w:hyperlink>
    </w:p>
    <w:p>
      <w:pPr>
        <w:tabs>
          <w:tab w:val="right" w:leader="dot" w:pos="9062"/>
        </w:tabs>
        <w:ind w:left="440"/>
      </w:pPr>
      <w:hyperlink w:anchor="_Toc5780" w:history="1">
        <w:r>
          <w:rPr>
            <w:rFonts w:ascii="IRNazanin" w:hAnsi="IRNazanin" w:eastAsia="IRNazanin" w:cs="IRNazanin"/>
            <w:color w:val="111111"/>
            <w:sz w:val="22"/>
            <w:szCs w:val="22"/>
            <w:b w:val="0"/>
            <w:bCs w:val="0"/>
            <w:i w:val="0"/>
            <w:iCs w:val="0"/>
          </w:rPr>
          <w:t>5329- دیوان غلامی أو شعره‏</w:t>
        </w:r>
        <w:r>
          <w:tab/>
        </w:r>
        <w:r>
          <w:fldChar w:fldCharType="begin"/>
        </w:r>
        <w:r>
          <w:instrText xml:space="preserve">PAGEREF 5780 \h</w:instrText>
        </w:r>
        <w:r>
          <w:fldChar w:fldCharType="end"/>
        </w:r>
      </w:hyperlink>
    </w:p>
    <w:p>
      <w:pPr>
        <w:tabs>
          <w:tab w:val="right" w:leader="dot" w:pos="9062"/>
        </w:tabs>
        <w:ind w:left="440"/>
      </w:pPr>
      <w:hyperlink w:anchor="_Toc5781" w:history="1">
        <w:r>
          <w:rPr>
            <w:rFonts w:ascii="IRNazanin" w:hAnsi="IRNazanin" w:eastAsia="IRNazanin" w:cs="IRNazanin"/>
            <w:color w:val="111111"/>
            <w:sz w:val="22"/>
            <w:szCs w:val="22"/>
            <w:b w:val="0"/>
            <w:bCs w:val="0"/>
            <w:i w:val="0"/>
            <w:iCs w:val="0"/>
          </w:rPr>
          <w:t>5330- دیوان ملا غماز أو شعره‏</w:t>
        </w:r>
        <w:r>
          <w:tab/>
        </w:r>
        <w:r>
          <w:fldChar w:fldCharType="begin"/>
        </w:r>
        <w:r>
          <w:instrText xml:space="preserve">PAGEREF 5781 \h</w:instrText>
        </w:r>
        <w:r>
          <w:fldChar w:fldCharType="end"/>
        </w:r>
      </w:hyperlink>
    </w:p>
    <w:p>
      <w:pPr>
        <w:tabs>
          <w:tab w:val="right" w:leader="dot" w:pos="9062"/>
        </w:tabs>
        <w:ind w:left="440"/>
      </w:pPr>
      <w:hyperlink w:anchor="_Toc5782" w:history="1">
        <w:r>
          <w:rPr>
            <w:rFonts w:ascii="IRNazanin" w:hAnsi="IRNazanin" w:eastAsia="IRNazanin" w:cs="IRNazanin"/>
            <w:color w:val="111111"/>
            <w:sz w:val="22"/>
            <w:szCs w:val="22"/>
            <w:b w:val="0"/>
            <w:bCs w:val="0"/>
            <w:i w:val="0"/>
            <w:iCs w:val="0"/>
          </w:rPr>
          <w:t>5331- دیوان غمام همدانی‏</w:t>
        </w:r>
        <w:r>
          <w:tab/>
        </w:r>
        <w:r>
          <w:fldChar w:fldCharType="begin"/>
        </w:r>
        <w:r>
          <w:instrText xml:space="preserve">PAGEREF 5782 \h</w:instrText>
        </w:r>
        <w:r>
          <w:fldChar w:fldCharType="end"/>
        </w:r>
      </w:hyperlink>
    </w:p>
    <w:p>
      <w:pPr>
        <w:tabs>
          <w:tab w:val="right" w:leader="dot" w:pos="9062"/>
        </w:tabs>
        <w:ind w:left="440"/>
      </w:pPr>
      <w:hyperlink w:anchor="_Toc5783" w:history="1">
        <w:r>
          <w:rPr>
            <w:rFonts w:ascii="IRNazanin" w:hAnsi="IRNazanin" w:eastAsia="IRNazanin" w:cs="IRNazanin"/>
            <w:color w:val="111111"/>
            <w:sz w:val="22"/>
            <w:szCs w:val="22"/>
            <w:b w:val="0"/>
            <w:bCs w:val="0"/>
            <w:i w:val="0"/>
            <w:iCs w:val="0"/>
          </w:rPr>
          <w:t>5332- دیوان غمدل دیلمقانی أو شعره‏</w:t>
        </w:r>
        <w:r>
          <w:tab/>
        </w:r>
        <w:r>
          <w:fldChar w:fldCharType="begin"/>
        </w:r>
        <w:r>
          <w:instrText xml:space="preserve">PAGEREF 5783 \h</w:instrText>
        </w:r>
        <w:r>
          <w:fldChar w:fldCharType="end"/>
        </w:r>
      </w:hyperlink>
    </w:p>
    <w:p>
      <w:pPr>
        <w:tabs>
          <w:tab w:val="right" w:leader="dot" w:pos="9062"/>
        </w:tabs>
        <w:ind w:left="440"/>
      </w:pPr>
      <w:hyperlink w:anchor="_Toc5784" w:history="1">
        <w:r>
          <w:rPr>
            <w:rFonts w:ascii="IRNazanin" w:hAnsi="IRNazanin" w:eastAsia="IRNazanin" w:cs="IRNazanin"/>
            <w:color w:val="111111"/>
            <w:sz w:val="22"/>
            <w:szCs w:val="22"/>
            <w:b w:val="0"/>
            <w:bCs w:val="0"/>
            <w:i w:val="0"/>
            <w:iCs w:val="0"/>
          </w:rPr>
          <w:t>5333- دیوان غمگین‏</w:t>
        </w:r>
        <w:r>
          <w:tab/>
        </w:r>
        <w:r>
          <w:fldChar w:fldCharType="begin"/>
        </w:r>
        <w:r>
          <w:instrText xml:space="preserve">PAGEREF 5784 \h</w:instrText>
        </w:r>
        <w:r>
          <w:fldChar w:fldCharType="end"/>
        </w:r>
      </w:hyperlink>
    </w:p>
    <w:p>
      <w:pPr>
        <w:tabs>
          <w:tab w:val="right" w:leader="dot" w:pos="9062"/>
        </w:tabs>
        <w:ind w:left="440"/>
      </w:pPr>
      <w:hyperlink w:anchor="_Toc5785" w:history="1">
        <w:r>
          <w:rPr>
            <w:rFonts w:ascii="IRNazanin" w:hAnsi="IRNazanin" w:eastAsia="IRNazanin" w:cs="IRNazanin"/>
            <w:color w:val="111111"/>
            <w:sz w:val="22"/>
            <w:szCs w:val="22"/>
            <w:b w:val="0"/>
            <w:bCs w:val="0"/>
            <w:i w:val="0"/>
            <w:iCs w:val="0"/>
          </w:rPr>
          <w:t>5334- دیوان غمناک‏</w:t>
        </w:r>
        <w:r>
          <w:tab/>
        </w:r>
        <w:r>
          <w:fldChar w:fldCharType="begin"/>
        </w:r>
        <w:r>
          <w:instrText xml:space="preserve">PAGEREF 5785 \h</w:instrText>
        </w:r>
        <w:r>
          <w:fldChar w:fldCharType="end"/>
        </w:r>
      </w:hyperlink>
    </w:p>
    <w:p>
      <w:pPr>
        <w:tabs>
          <w:tab w:val="right" w:leader="dot" w:pos="9062"/>
        </w:tabs>
        <w:ind w:left="440"/>
      </w:pPr>
      <w:hyperlink w:anchor="_Toc5786" w:history="1">
        <w:r>
          <w:rPr>
            <w:rFonts w:ascii="IRNazanin" w:hAnsi="IRNazanin" w:eastAsia="IRNazanin" w:cs="IRNazanin"/>
            <w:color w:val="111111"/>
            <w:sz w:val="22"/>
            <w:szCs w:val="22"/>
            <w:b w:val="0"/>
            <w:bCs w:val="0"/>
            <w:i w:val="0"/>
            <w:iCs w:val="0"/>
          </w:rPr>
          <w:t>5335- دیوان غنائی أو شعره‏</w:t>
        </w:r>
        <w:r>
          <w:tab/>
        </w:r>
        <w:r>
          <w:fldChar w:fldCharType="begin"/>
        </w:r>
        <w:r>
          <w:instrText xml:space="preserve">PAGEREF 5786 \h</w:instrText>
        </w:r>
        <w:r>
          <w:fldChar w:fldCharType="end"/>
        </w:r>
      </w:hyperlink>
    </w:p>
    <w:p>
      <w:pPr>
        <w:tabs>
          <w:tab w:val="right" w:leader="dot" w:pos="9062"/>
        </w:tabs>
        <w:ind w:left="440"/>
      </w:pPr>
      <w:hyperlink w:anchor="_Toc5787" w:history="1">
        <w:r>
          <w:rPr>
            <w:rFonts w:ascii="IRNazanin" w:hAnsi="IRNazanin" w:eastAsia="IRNazanin" w:cs="IRNazanin"/>
            <w:color w:val="111111"/>
            <w:sz w:val="22"/>
            <w:szCs w:val="22"/>
            <w:b w:val="0"/>
            <w:bCs w:val="0"/>
            <w:i w:val="0"/>
            <w:iCs w:val="0"/>
          </w:rPr>
          <w:t>5336- دیوان غنی أصفهانی‏</w:t>
        </w:r>
        <w:r>
          <w:tab/>
        </w:r>
        <w:r>
          <w:fldChar w:fldCharType="begin"/>
        </w:r>
        <w:r>
          <w:instrText xml:space="preserve">PAGEREF 5787 \h</w:instrText>
        </w:r>
        <w:r>
          <w:fldChar w:fldCharType="end"/>
        </w:r>
      </w:hyperlink>
    </w:p>
    <w:p>
      <w:pPr>
        <w:tabs>
          <w:tab w:val="right" w:leader="dot" w:pos="9062"/>
        </w:tabs>
        <w:ind w:left="440"/>
      </w:pPr>
      <w:hyperlink w:anchor="_Toc5788" w:history="1">
        <w:r>
          <w:rPr>
            <w:rFonts w:ascii="IRNazanin" w:hAnsi="IRNazanin" w:eastAsia="IRNazanin" w:cs="IRNazanin"/>
            <w:color w:val="111111"/>
            <w:sz w:val="22"/>
            <w:szCs w:val="22"/>
            <w:b w:val="0"/>
            <w:bCs w:val="0"/>
            <w:i w:val="0"/>
            <w:iCs w:val="0"/>
          </w:rPr>
          <w:t>5337- دیوان غنی تبریزی أو شعره‏</w:t>
        </w:r>
        <w:r>
          <w:tab/>
        </w:r>
        <w:r>
          <w:fldChar w:fldCharType="begin"/>
        </w:r>
        <w:r>
          <w:instrText xml:space="preserve">PAGEREF 5788 \h</w:instrText>
        </w:r>
        <w:r>
          <w:fldChar w:fldCharType="end"/>
        </w:r>
      </w:hyperlink>
    </w:p>
    <w:p>
      <w:pPr>
        <w:tabs>
          <w:tab w:val="right" w:leader="dot" w:pos="9062"/>
        </w:tabs>
        <w:ind w:left="440"/>
      </w:pPr>
      <w:hyperlink w:anchor="_Toc5789" w:history="1">
        <w:r>
          <w:rPr>
            <w:rFonts w:ascii="IRNazanin" w:hAnsi="IRNazanin" w:eastAsia="IRNazanin" w:cs="IRNazanin"/>
            <w:color w:val="111111"/>
            <w:sz w:val="22"/>
            <w:szCs w:val="22"/>
            <w:b w:val="0"/>
            <w:bCs w:val="0"/>
            <w:i w:val="0"/>
            <w:iCs w:val="0"/>
          </w:rPr>
          <w:t>5338- دیوان غنی تفرشی أو شعره‏</w:t>
        </w:r>
        <w:r>
          <w:tab/>
        </w:r>
        <w:r>
          <w:fldChar w:fldCharType="begin"/>
        </w:r>
        <w:r>
          <w:instrText xml:space="preserve">PAGEREF 5789 \h</w:instrText>
        </w:r>
        <w:r>
          <w:fldChar w:fldCharType="end"/>
        </w:r>
      </w:hyperlink>
    </w:p>
    <w:p>
      <w:pPr>
        <w:tabs>
          <w:tab w:val="right" w:leader="dot" w:pos="9062"/>
        </w:tabs>
        <w:ind w:left="440"/>
      </w:pPr>
      <w:hyperlink w:anchor="_Toc5790" w:history="1">
        <w:r>
          <w:rPr>
            <w:rFonts w:ascii="IRNazanin" w:hAnsi="IRNazanin" w:eastAsia="IRNazanin" w:cs="IRNazanin"/>
            <w:color w:val="111111"/>
            <w:sz w:val="22"/>
            <w:szCs w:val="22"/>
            <w:b w:val="0"/>
            <w:bCs w:val="0"/>
            <w:i w:val="0"/>
            <w:iCs w:val="0"/>
          </w:rPr>
          <w:t>5339- دیوان غنی‏زاده سلماسی‏</w:t>
        </w:r>
        <w:r>
          <w:tab/>
        </w:r>
        <w:r>
          <w:fldChar w:fldCharType="begin"/>
        </w:r>
        <w:r>
          <w:instrText xml:space="preserve">PAGEREF 5790 \h</w:instrText>
        </w:r>
        <w:r>
          <w:fldChar w:fldCharType="end"/>
        </w:r>
      </w:hyperlink>
    </w:p>
    <w:p>
      <w:pPr>
        <w:tabs>
          <w:tab w:val="right" w:leader="dot" w:pos="9062"/>
        </w:tabs>
        <w:ind w:left="440"/>
      </w:pPr>
      <w:hyperlink w:anchor="_Toc5791" w:history="1">
        <w:r>
          <w:rPr>
            <w:rFonts w:ascii="IRNazanin" w:hAnsi="IRNazanin" w:eastAsia="IRNazanin" w:cs="IRNazanin"/>
            <w:color w:val="111111"/>
            <w:sz w:val="22"/>
            <w:szCs w:val="22"/>
            <w:b w:val="0"/>
            <w:bCs w:val="0"/>
            <w:i w:val="0"/>
            <w:iCs w:val="0"/>
          </w:rPr>
          <w:t>5340- دیوان غنی کشمیری‏</w:t>
        </w:r>
        <w:r>
          <w:tab/>
        </w:r>
        <w:r>
          <w:fldChar w:fldCharType="begin"/>
        </w:r>
        <w:r>
          <w:instrText xml:space="preserve">PAGEREF 5791 \h</w:instrText>
        </w:r>
        <w:r>
          <w:fldChar w:fldCharType="end"/>
        </w:r>
      </w:hyperlink>
    </w:p>
    <w:p>
      <w:pPr>
        <w:tabs>
          <w:tab w:val="right" w:leader="dot" w:pos="9062"/>
        </w:tabs>
        <w:ind w:left="440"/>
      </w:pPr>
      <w:hyperlink w:anchor="_Toc5792" w:history="1">
        <w:r>
          <w:rPr>
            <w:rFonts w:ascii="IRNazanin" w:hAnsi="IRNazanin" w:eastAsia="IRNazanin" w:cs="IRNazanin"/>
            <w:color w:val="111111"/>
            <w:sz w:val="22"/>
            <w:szCs w:val="22"/>
            <w:b w:val="0"/>
            <w:bCs w:val="0"/>
            <w:i w:val="0"/>
            <w:iCs w:val="0"/>
          </w:rPr>
          <w:t>5341- دیوان غنی لاهیجی أو شعره‏</w:t>
        </w:r>
        <w:r>
          <w:tab/>
        </w:r>
        <w:r>
          <w:fldChar w:fldCharType="begin"/>
        </w:r>
        <w:r>
          <w:instrText xml:space="preserve">PAGEREF 5792 \h</w:instrText>
        </w:r>
        <w:r>
          <w:fldChar w:fldCharType="end"/>
        </w:r>
      </w:hyperlink>
    </w:p>
    <w:p>
      <w:pPr>
        <w:tabs>
          <w:tab w:val="right" w:leader="dot" w:pos="9062"/>
        </w:tabs>
        <w:ind w:left="440"/>
      </w:pPr>
      <w:hyperlink w:anchor="_Toc5793" w:history="1">
        <w:r>
          <w:rPr>
            <w:rFonts w:ascii="IRNazanin" w:hAnsi="IRNazanin" w:eastAsia="IRNazanin" w:cs="IRNazanin"/>
            <w:color w:val="111111"/>
            <w:sz w:val="22"/>
            <w:szCs w:val="22"/>
            <w:b w:val="0"/>
            <w:bCs w:val="0"/>
            <w:i w:val="0"/>
            <w:iCs w:val="0"/>
          </w:rPr>
          <w:t>5342- دیوان غنیمت پنجابی‏</w:t>
        </w:r>
        <w:r>
          <w:tab/>
        </w:r>
        <w:r>
          <w:fldChar w:fldCharType="begin"/>
        </w:r>
        <w:r>
          <w:instrText xml:space="preserve">PAGEREF 5793 \h</w:instrText>
        </w:r>
        <w:r>
          <w:fldChar w:fldCharType="end"/>
        </w:r>
      </w:hyperlink>
    </w:p>
    <w:p>
      <w:pPr>
        <w:tabs>
          <w:tab w:val="right" w:leader="dot" w:pos="9062"/>
        </w:tabs>
        <w:ind w:left="440"/>
      </w:pPr>
      <w:hyperlink w:anchor="_Toc5794" w:history="1">
        <w:r>
          <w:rPr>
            <w:rFonts w:ascii="IRNazanin" w:hAnsi="IRNazanin" w:eastAsia="IRNazanin" w:cs="IRNazanin"/>
            <w:color w:val="111111"/>
            <w:sz w:val="22"/>
            <w:szCs w:val="22"/>
            <w:b w:val="0"/>
            <w:bCs w:val="0"/>
            <w:i w:val="0"/>
            <w:iCs w:val="0"/>
          </w:rPr>
          <w:t>5343- دیوان غنی یزدی أو شعره‏</w:t>
        </w:r>
        <w:r>
          <w:tab/>
        </w:r>
        <w:r>
          <w:fldChar w:fldCharType="begin"/>
        </w:r>
        <w:r>
          <w:instrText xml:space="preserve">PAGEREF 5794 \h</w:instrText>
        </w:r>
        <w:r>
          <w:fldChar w:fldCharType="end"/>
        </w:r>
      </w:hyperlink>
    </w:p>
    <w:p>
      <w:pPr>
        <w:tabs>
          <w:tab w:val="right" w:leader="dot" w:pos="9062"/>
        </w:tabs>
        <w:ind w:left="440"/>
      </w:pPr>
      <w:hyperlink w:anchor="_Toc5795" w:history="1">
        <w:r>
          <w:rPr>
            <w:rFonts w:ascii="IRNazanin" w:hAnsi="IRNazanin" w:eastAsia="IRNazanin" w:cs="IRNazanin"/>
            <w:color w:val="111111"/>
            <w:sz w:val="22"/>
            <w:szCs w:val="22"/>
            <w:b w:val="0"/>
            <w:bCs w:val="0"/>
            <w:i w:val="0"/>
            <w:iCs w:val="0"/>
          </w:rPr>
          <w:t>5344- دیوان غواصی یزدی‏</w:t>
        </w:r>
        <w:r>
          <w:tab/>
        </w:r>
        <w:r>
          <w:fldChar w:fldCharType="begin"/>
        </w:r>
        <w:r>
          <w:instrText xml:space="preserve">PAGEREF 5795 \h</w:instrText>
        </w:r>
        <w:r>
          <w:fldChar w:fldCharType="end"/>
        </w:r>
      </w:hyperlink>
    </w:p>
    <w:p>
      <w:pPr>
        <w:tabs>
          <w:tab w:val="right" w:leader="dot" w:pos="9062"/>
        </w:tabs>
        <w:ind w:left="440"/>
      </w:pPr>
      <w:hyperlink w:anchor="_Toc5796" w:history="1">
        <w:r>
          <w:rPr>
            <w:rFonts w:ascii="IRNazanin" w:hAnsi="IRNazanin" w:eastAsia="IRNazanin" w:cs="IRNazanin"/>
            <w:color w:val="111111"/>
            <w:sz w:val="22"/>
            <w:szCs w:val="22"/>
            <w:b w:val="0"/>
            <w:bCs w:val="0"/>
            <w:i w:val="0"/>
            <w:iCs w:val="0"/>
          </w:rPr>
          <w:t>5345- دیوان غوث أعظم‏</w:t>
        </w:r>
        <w:r>
          <w:tab/>
        </w:r>
        <w:r>
          <w:fldChar w:fldCharType="begin"/>
        </w:r>
        <w:r>
          <w:instrText xml:space="preserve">PAGEREF 5796 \h</w:instrText>
        </w:r>
        <w:r>
          <w:fldChar w:fldCharType="end"/>
        </w:r>
      </w:hyperlink>
    </w:p>
    <w:p>
      <w:pPr>
        <w:tabs>
          <w:tab w:val="right" w:leader="dot" w:pos="9062"/>
        </w:tabs>
        <w:ind w:left="440"/>
      </w:pPr>
      <w:hyperlink w:anchor="_Toc5797" w:history="1">
        <w:r>
          <w:rPr>
            <w:rFonts w:ascii="IRNazanin" w:hAnsi="IRNazanin" w:eastAsia="IRNazanin" w:cs="IRNazanin"/>
            <w:color w:val="111111"/>
            <w:sz w:val="22"/>
            <w:szCs w:val="22"/>
            <w:b w:val="0"/>
            <w:bCs w:val="0"/>
            <w:i w:val="0"/>
            <w:iCs w:val="0"/>
          </w:rPr>
          <w:t>5346- دیوان غوغای خلعتبری‏</w:t>
        </w:r>
        <w:r>
          <w:tab/>
        </w:r>
        <w:r>
          <w:fldChar w:fldCharType="begin"/>
        </w:r>
        <w:r>
          <w:instrText xml:space="preserve">PAGEREF 5797 \h</w:instrText>
        </w:r>
        <w:r>
          <w:fldChar w:fldCharType="end"/>
        </w:r>
      </w:hyperlink>
    </w:p>
    <w:p>
      <w:pPr>
        <w:tabs>
          <w:tab w:val="right" w:leader="dot" w:pos="9062"/>
        </w:tabs>
        <w:ind w:left="440"/>
      </w:pPr>
      <w:hyperlink w:anchor="_Toc5798" w:history="1">
        <w:r>
          <w:rPr>
            <w:rFonts w:ascii="IRNazanin" w:hAnsi="IRNazanin" w:eastAsia="IRNazanin" w:cs="IRNazanin"/>
            <w:color w:val="111111"/>
            <w:sz w:val="22"/>
            <w:szCs w:val="22"/>
            <w:b w:val="0"/>
            <w:bCs w:val="0"/>
            <w:i w:val="0"/>
            <w:iCs w:val="0"/>
          </w:rPr>
          <w:t>5347- دیوان غوغا مازندرانی‏</w:t>
        </w:r>
        <w:r>
          <w:tab/>
        </w:r>
        <w:r>
          <w:fldChar w:fldCharType="begin"/>
        </w:r>
        <w:r>
          <w:instrText xml:space="preserve">PAGEREF 5798 \h</w:instrText>
        </w:r>
        <w:r>
          <w:fldChar w:fldCharType="end"/>
        </w:r>
      </w:hyperlink>
    </w:p>
    <w:p>
      <w:pPr>
        <w:tabs>
          <w:tab w:val="right" w:leader="dot" w:pos="9062"/>
        </w:tabs>
        <w:ind w:left="440"/>
      </w:pPr>
      <w:hyperlink w:anchor="_Toc5799" w:history="1">
        <w:r>
          <w:rPr>
            <w:rFonts w:ascii="IRNazanin" w:hAnsi="IRNazanin" w:eastAsia="IRNazanin" w:cs="IRNazanin"/>
            <w:color w:val="111111"/>
            <w:sz w:val="22"/>
            <w:szCs w:val="22"/>
            <w:b w:val="0"/>
            <w:bCs w:val="0"/>
            <w:i w:val="0"/>
            <w:iCs w:val="0"/>
          </w:rPr>
          <w:t>5348- دیوان غیاث ابرقوهی أو شعره‏</w:t>
        </w:r>
        <w:r>
          <w:tab/>
        </w:r>
        <w:r>
          <w:fldChar w:fldCharType="begin"/>
        </w:r>
        <w:r>
          <w:instrText xml:space="preserve">PAGEREF 5799 \h</w:instrText>
        </w:r>
        <w:r>
          <w:fldChar w:fldCharType="end"/>
        </w:r>
      </w:hyperlink>
    </w:p>
    <w:p>
      <w:pPr>
        <w:tabs>
          <w:tab w:val="right" w:leader="dot" w:pos="9062"/>
        </w:tabs>
        <w:ind w:left="440"/>
      </w:pPr>
      <w:hyperlink w:anchor="_Toc5800" w:history="1">
        <w:r>
          <w:rPr>
            <w:rFonts w:ascii="IRNazanin" w:hAnsi="IRNazanin" w:eastAsia="IRNazanin" w:cs="IRNazanin"/>
            <w:color w:val="111111"/>
            <w:sz w:val="22"/>
            <w:szCs w:val="22"/>
            <w:b w:val="0"/>
            <w:bCs w:val="0"/>
            <w:i w:val="0"/>
            <w:iCs w:val="0"/>
          </w:rPr>
          <w:t>5349- دیوان غیاث الأسترآبادی أو شعره‏</w:t>
        </w:r>
        <w:r>
          <w:tab/>
        </w:r>
        <w:r>
          <w:fldChar w:fldCharType="begin"/>
        </w:r>
        <w:r>
          <w:instrText xml:space="preserve">PAGEREF 5800 \h</w:instrText>
        </w:r>
        <w:r>
          <w:fldChar w:fldCharType="end"/>
        </w:r>
      </w:hyperlink>
    </w:p>
    <w:p>
      <w:pPr>
        <w:tabs>
          <w:tab w:val="right" w:leader="dot" w:pos="9062"/>
        </w:tabs>
        <w:ind w:left="440"/>
      </w:pPr>
      <w:hyperlink w:anchor="_Toc5801" w:history="1">
        <w:r>
          <w:rPr>
            <w:rFonts w:ascii="IRNazanin" w:hAnsi="IRNazanin" w:eastAsia="IRNazanin" w:cs="IRNazanin"/>
            <w:color w:val="111111"/>
            <w:sz w:val="22"/>
            <w:szCs w:val="22"/>
            <w:b w:val="0"/>
            <w:bCs w:val="0"/>
            <w:i w:val="0"/>
            <w:iCs w:val="0"/>
          </w:rPr>
          <w:t>دیوان غیاث أصفهانی‏</w:t>
        </w:r>
        <w:r>
          <w:tab/>
        </w:r>
        <w:r>
          <w:fldChar w:fldCharType="begin"/>
        </w:r>
        <w:r>
          <w:instrText xml:space="preserve">PAGEREF 5801 \h</w:instrText>
        </w:r>
        <w:r>
          <w:fldChar w:fldCharType="end"/>
        </w:r>
      </w:hyperlink>
    </w:p>
    <w:p>
      <w:pPr>
        <w:tabs>
          <w:tab w:val="right" w:leader="dot" w:pos="9062"/>
        </w:tabs>
        <w:ind w:left="440"/>
      </w:pPr>
      <w:hyperlink w:anchor="_Toc5802" w:history="1">
        <w:r>
          <w:rPr>
            <w:rFonts w:ascii="IRNazanin" w:hAnsi="IRNazanin" w:eastAsia="IRNazanin" w:cs="IRNazanin"/>
            <w:color w:val="111111"/>
            <w:sz w:val="22"/>
            <w:szCs w:val="22"/>
            <w:b w:val="0"/>
            <w:bCs w:val="0"/>
            <w:i w:val="0"/>
            <w:iCs w:val="0"/>
          </w:rPr>
          <w:t>5350- دیوان المیر غیاث الدین أو شعره‏</w:t>
        </w:r>
        <w:r>
          <w:tab/>
        </w:r>
        <w:r>
          <w:fldChar w:fldCharType="begin"/>
        </w:r>
        <w:r>
          <w:instrText xml:space="preserve">PAGEREF 5802 \h</w:instrText>
        </w:r>
        <w:r>
          <w:fldChar w:fldCharType="end"/>
        </w:r>
      </w:hyperlink>
    </w:p>
    <w:p>
      <w:pPr>
        <w:tabs>
          <w:tab w:val="right" w:leader="dot" w:pos="9062"/>
        </w:tabs>
        <w:ind w:left="440"/>
      </w:pPr>
      <w:hyperlink w:anchor="_Toc5803" w:history="1">
        <w:r>
          <w:rPr>
            <w:rFonts w:ascii="IRNazanin" w:hAnsi="IRNazanin" w:eastAsia="IRNazanin" w:cs="IRNazanin"/>
            <w:color w:val="111111"/>
            <w:sz w:val="22"/>
            <w:szCs w:val="22"/>
            <w:b w:val="0"/>
            <w:bCs w:val="0"/>
            <w:i w:val="0"/>
            <w:iCs w:val="0"/>
          </w:rPr>
          <w:t>5351- دیوان غیاث الدین صباغ‏</w:t>
        </w:r>
        <w:r>
          <w:tab/>
        </w:r>
        <w:r>
          <w:fldChar w:fldCharType="begin"/>
        </w:r>
        <w:r>
          <w:instrText xml:space="preserve">PAGEREF 5803 \h</w:instrText>
        </w:r>
        <w:r>
          <w:fldChar w:fldCharType="end"/>
        </w:r>
      </w:hyperlink>
    </w:p>
    <w:p>
      <w:pPr>
        <w:tabs>
          <w:tab w:val="right" w:leader="dot" w:pos="9062"/>
        </w:tabs>
        <w:ind w:left="440"/>
      </w:pPr>
      <w:hyperlink w:anchor="_Toc5804" w:history="1">
        <w:r>
          <w:rPr>
            <w:rFonts w:ascii="IRNazanin" w:hAnsi="IRNazanin" w:eastAsia="IRNazanin" w:cs="IRNazanin"/>
            <w:color w:val="111111"/>
            <w:sz w:val="22"/>
            <w:szCs w:val="22"/>
            <w:b w:val="0"/>
            <w:bCs w:val="0"/>
            <w:i w:val="0"/>
            <w:iCs w:val="0"/>
          </w:rPr>
          <w:t>5352- دیوان غیاث الدین طبیب‏</w:t>
        </w:r>
        <w:r>
          <w:tab/>
        </w:r>
        <w:r>
          <w:fldChar w:fldCharType="begin"/>
        </w:r>
        <w:r>
          <w:instrText xml:space="preserve">PAGEREF 5804 \h</w:instrText>
        </w:r>
        <w:r>
          <w:fldChar w:fldCharType="end"/>
        </w:r>
      </w:hyperlink>
    </w:p>
    <w:p>
      <w:pPr>
        <w:tabs>
          <w:tab w:val="right" w:leader="dot" w:pos="9062"/>
        </w:tabs>
        <w:ind w:left="440"/>
      </w:pPr>
      <w:hyperlink w:anchor="_Toc5805" w:history="1">
        <w:r>
          <w:rPr>
            <w:rFonts w:ascii="IRNazanin" w:hAnsi="IRNazanin" w:eastAsia="IRNazanin" w:cs="IRNazanin"/>
            <w:color w:val="111111"/>
            <w:sz w:val="22"/>
            <w:szCs w:val="22"/>
            <w:b w:val="0"/>
            <w:bCs w:val="0"/>
            <w:i w:val="0"/>
            <w:iCs w:val="0"/>
          </w:rPr>
          <w:t>5353- دیوان غیاث الدین علی أو شعره‏</w:t>
        </w:r>
        <w:r>
          <w:tab/>
        </w:r>
        <w:r>
          <w:fldChar w:fldCharType="begin"/>
        </w:r>
        <w:r>
          <w:instrText xml:space="preserve">PAGEREF 5805 \h</w:instrText>
        </w:r>
        <w:r>
          <w:fldChar w:fldCharType="end"/>
        </w:r>
      </w:hyperlink>
    </w:p>
    <w:p>
      <w:pPr>
        <w:tabs>
          <w:tab w:val="right" w:leader="dot" w:pos="9062"/>
        </w:tabs>
        <w:ind w:left="440"/>
      </w:pPr>
      <w:hyperlink w:anchor="_Toc5806" w:history="1">
        <w:r>
          <w:rPr>
            <w:rFonts w:ascii="IRNazanin" w:hAnsi="IRNazanin" w:eastAsia="IRNazanin" w:cs="IRNazanin"/>
            <w:color w:val="111111"/>
            <w:sz w:val="22"/>
            <w:szCs w:val="22"/>
            <w:b w:val="0"/>
            <w:bCs w:val="0"/>
            <w:i w:val="0"/>
            <w:iCs w:val="0"/>
          </w:rPr>
          <w:t>5354- دیوان غیاث الدین علی أو شعره‏</w:t>
        </w:r>
        <w:r>
          <w:tab/>
        </w:r>
        <w:r>
          <w:fldChar w:fldCharType="begin"/>
        </w:r>
        <w:r>
          <w:instrText xml:space="preserve">PAGEREF 5806 \h</w:instrText>
        </w:r>
        <w:r>
          <w:fldChar w:fldCharType="end"/>
        </w:r>
      </w:hyperlink>
    </w:p>
    <w:p>
      <w:pPr>
        <w:tabs>
          <w:tab w:val="right" w:leader="dot" w:pos="9062"/>
        </w:tabs>
        <w:ind w:left="440"/>
      </w:pPr>
      <w:hyperlink w:anchor="_Toc5807" w:history="1">
        <w:r>
          <w:rPr>
            <w:rFonts w:ascii="IRNazanin" w:hAnsi="IRNazanin" w:eastAsia="IRNazanin" w:cs="IRNazanin"/>
            <w:color w:val="111111"/>
            <w:sz w:val="22"/>
            <w:szCs w:val="22"/>
            <w:b w:val="0"/>
            <w:bCs w:val="0"/>
            <w:i w:val="0"/>
            <w:iCs w:val="0"/>
          </w:rPr>
          <w:t>5355- دیوان غیاث الدین محمد أو شعره‏</w:t>
        </w:r>
        <w:r>
          <w:tab/>
        </w:r>
        <w:r>
          <w:fldChar w:fldCharType="begin"/>
        </w:r>
        <w:r>
          <w:instrText xml:space="preserve">PAGEREF 5807 \h</w:instrText>
        </w:r>
        <w:r>
          <w:fldChar w:fldCharType="end"/>
        </w:r>
      </w:hyperlink>
    </w:p>
    <w:p>
      <w:pPr>
        <w:tabs>
          <w:tab w:val="right" w:leader="dot" w:pos="9062"/>
        </w:tabs>
        <w:ind w:left="440"/>
      </w:pPr>
      <w:hyperlink w:anchor="_Toc5808" w:history="1">
        <w:r>
          <w:rPr>
            <w:rFonts w:ascii="IRNazanin" w:hAnsi="IRNazanin" w:eastAsia="IRNazanin" w:cs="IRNazanin"/>
            <w:color w:val="111111"/>
            <w:sz w:val="22"/>
            <w:szCs w:val="22"/>
            <w:b w:val="0"/>
            <w:bCs w:val="0"/>
            <w:i w:val="0"/>
            <w:iCs w:val="0"/>
          </w:rPr>
          <w:t>5356- دیوان غیاث الدین کجج‏</w:t>
        </w:r>
        <w:r>
          <w:tab/>
        </w:r>
        <w:r>
          <w:fldChar w:fldCharType="begin"/>
        </w:r>
        <w:r>
          <w:instrText xml:space="preserve">PAGEREF 5808 \h</w:instrText>
        </w:r>
        <w:r>
          <w:fldChar w:fldCharType="end"/>
        </w:r>
      </w:hyperlink>
    </w:p>
    <w:p>
      <w:pPr>
        <w:tabs>
          <w:tab w:val="right" w:leader="dot" w:pos="9062"/>
        </w:tabs>
        <w:ind w:left="440"/>
      </w:pPr>
      <w:hyperlink w:anchor="_Toc5809" w:history="1">
        <w:r>
          <w:rPr>
            <w:rFonts w:ascii="IRNazanin" w:hAnsi="IRNazanin" w:eastAsia="IRNazanin" w:cs="IRNazanin"/>
            <w:color w:val="111111"/>
            <w:sz w:val="22"/>
            <w:szCs w:val="22"/>
            <w:b w:val="0"/>
            <w:bCs w:val="0"/>
            <w:i w:val="0"/>
            <w:iCs w:val="0"/>
          </w:rPr>
          <w:t>5357- دیوان غیاث الدین محمد الکججی‏</w:t>
        </w:r>
        <w:r>
          <w:tab/>
        </w:r>
        <w:r>
          <w:fldChar w:fldCharType="begin"/>
        </w:r>
        <w:r>
          <w:instrText xml:space="preserve">PAGEREF 5809 \h</w:instrText>
        </w:r>
        <w:r>
          <w:fldChar w:fldCharType="end"/>
        </w:r>
      </w:hyperlink>
    </w:p>
    <w:p>
      <w:pPr>
        <w:tabs>
          <w:tab w:val="right" w:leader="dot" w:pos="9062"/>
        </w:tabs>
        <w:ind w:left="440"/>
      </w:pPr>
      <w:hyperlink w:anchor="_Toc5810" w:history="1">
        <w:r>
          <w:rPr>
            <w:rFonts w:ascii="IRNazanin" w:hAnsi="IRNazanin" w:eastAsia="IRNazanin" w:cs="IRNazanin"/>
            <w:color w:val="111111"/>
            <w:sz w:val="22"/>
            <w:szCs w:val="22"/>
            <w:b w:val="0"/>
            <w:bCs w:val="0"/>
            <w:i w:val="0"/>
            <w:iCs w:val="0"/>
          </w:rPr>
          <w:t>دیوان غیاث الدین محمد نیشابوری‏</w:t>
        </w:r>
        <w:r>
          <w:tab/>
        </w:r>
        <w:r>
          <w:fldChar w:fldCharType="begin"/>
        </w:r>
        <w:r>
          <w:instrText xml:space="preserve">PAGEREF 5810 \h</w:instrText>
        </w:r>
        <w:r>
          <w:fldChar w:fldCharType="end"/>
        </w:r>
      </w:hyperlink>
    </w:p>
    <w:p>
      <w:pPr>
        <w:tabs>
          <w:tab w:val="right" w:leader="dot" w:pos="9062"/>
        </w:tabs>
        <w:ind w:left="440"/>
      </w:pPr>
      <w:hyperlink w:anchor="_Toc5811" w:history="1">
        <w:r>
          <w:rPr>
            <w:rFonts w:ascii="IRNazanin" w:hAnsi="IRNazanin" w:eastAsia="IRNazanin" w:cs="IRNazanin"/>
            <w:color w:val="111111"/>
            <w:sz w:val="22"/>
            <w:szCs w:val="22"/>
            <w:b w:val="0"/>
            <w:bCs w:val="0"/>
            <w:i w:val="0"/>
            <w:iCs w:val="0"/>
          </w:rPr>
          <w:t>دیوان غیاث الدین محمد نیشابوری‏</w:t>
        </w:r>
        <w:r>
          <w:tab/>
        </w:r>
        <w:r>
          <w:fldChar w:fldCharType="begin"/>
        </w:r>
        <w:r>
          <w:instrText xml:space="preserve">PAGEREF 5811 \h</w:instrText>
        </w:r>
        <w:r>
          <w:fldChar w:fldCharType="end"/>
        </w:r>
      </w:hyperlink>
    </w:p>
    <w:p>
      <w:pPr>
        <w:tabs>
          <w:tab w:val="right" w:leader="dot" w:pos="9062"/>
        </w:tabs>
        <w:ind w:left="440"/>
      </w:pPr>
      <w:hyperlink w:anchor="_Toc5812" w:history="1">
        <w:r>
          <w:rPr>
            <w:rFonts w:ascii="IRNazanin" w:hAnsi="IRNazanin" w:eastAsia="IRNazanin" w:cs="IRNazanin"/>
            <w:color w:val="111111"/>
            <w:sz w:val="22"/>
            <w:szCs w:val="22"/>
            <w:b w:val="0"/>
            <w:bCs w:val="0"/>
            <w:i w:val="0"/>
            <w:iCs w:val="0"/>
          </w:rPr>
          <w:t>دیوان غیاث زرباف‏</w:t>
        </w:r>
        <w:r>
          <w:tab/>
        </w:r>
        <w:r>
          <w:fldChar w:fldCharType="begin"/>
        </w:r>
        <w:r>
          <w:instrText xml:space="preserve">PAGEREF 5812 \h</w:instrText>
        </w:r>
        <w:r>
          <w:fldChar w:fldCharType="end"/>
        </w:r>
      </w:hyperlink>
    </w:p>
    <w:p>
      <w:pPr>
        <w:tabs>
          <w:tab w:val="right" w:leader="dot" w:pos="9062"/>
        </w:tabs>
        <w:ind w:left="440"/>
      </w:pPr>
      <w:hyperlink w:anchor="_Toc5813" w:history="1">
        <w:r>
          <w:rPr>
            <w:rFonts w:ascii="IRNazanin" w:hAnsi="IRNazanin" w:eastAsia="IRNazanin" w:cs="IRNazanin"/>
            <w:color w:val="111111"/>
            <w:sz w:val="22"/>
            <w:szCs w:val="22"/>
            <w:b w:val="0"/>
            <w:bCs w:val="0"/>
            <w:i w:val="0"/>
            <w:iCs w:val="0"/>
          </w:rPr>
          <w:t>5358- دیوان غیاث شیرازی أو شعره‏</w:t>
        </w:r>
        <w:r>
          <w:tab/>
        </w:r>
        <w:r>
          <w:fldChar w:fldCharType="begin"/>
        </w:r>
        <w:r>
          <w:instrText xml:space="preserve">PAGEREF 5813 \h</w:instrText>
        </w:r>
        <w:r>
          <w:fldChar w:fldCharType="end"/>
        </w:r>
      </w:hyperlink>
    </w:p>
    <w:p>
      <w:pPr>
        <w:tabs>
          <w:tab w:val="right" w:leader="dot" w:pos="9062"/>
        </w:tabs>
        <w:ind w:left="440"/>
      </w:pPr>
      <w:hyperlink w:anchor="_Toc5814" w:history="1">
        <w:r>
          <w:rPr>
            <w:rFonts w:ascii="IRNazanin" w:hAnsi="IRNazanin" w:eastAsia="IRNazanin" w:cs="IRNazanin"/>
            <w:color w:val="111111"/>
            <w:sz w:val="22"/>
            <w:szCs w:val="22"/>
            <w:b w:val="0"/>
            <w:bCs w:val="0"/>
            <w:i w:val="0"/>
            <w:iCs w:val="0"/>
          </w:rPr>
          <w:t>دیوان غیاث شیرازی‏</w:t>
        </w:r>
        <w:r>
          <w:tab/>
        </w:r>
        <w:r>
          <w:fldChar w:fldCharType="begin"/>
        </w:r>
        <w:r>
          <w:instrText xml:space="preserve">PAGEREF 5814 \h</w:instrText>
        </w:r>
        <w:r>
          <w:fldChar w:fldCharType="end"/>
        </w:r>
      </w:hyperlink>
    </w:p>
    <w:p>
      <w:pPr>
        <w:tabs>
          <w:tab w:val="right" w:leader="dot" w:pos="9062"/>
        </w:tabs>
        <w:ind w:left="440"/>
      </w:pPr>
      <w:hyperlink w:anchor="_Toc5815" w:history="1">
        <w:r>
          <w:rPr>
            <w:rFonts w:ascii="IRNazanin" w:hAnsi="IRNazanin" w:eastAsia="IRNazanin" w:cs="IRNazanin"/>
            <w:color w:val="111111"/>
            <w:sz w:val="22"/>
            <w:szCs w:val="22"/>
            <w:b w:val="0"/>
            <w:bCs w:val="0"/>
            <w:i w:val="0"/>
            <w:iCs w:val="0"/>
          </w:rPr>
          <w:t>5359- دیوان غیاث شیرازی أو شعره‏</w:t>
        </w:r>
        <w:r>
          <w:tab/>
        </w:r>
        <w:r>
          <w:fldChar w:fldCharType="begin"/>
        </w:r>
        <w:r>
          <w:instrText xml:space="preserve">PAGEREF 5815 \h</w:instrText>
        </w:r>
        <w:r>
          <w:fldChar w:fldCharType="end"/>
        </w:r>
      </w:hyperlink>
    </w:p>
    <w:p>
      <w:pPr>
        <w:tabs>
          <w:tab w:val="right" w:leader="dot" w:pos="9062"/>
        </w:tabs>
        <w:ind w:left="440"/>
      </w:pPr>
      <w:hyperlink w:anchor="_Toc5816" w:history="1">
        <w:r>
          <w:rPr>
            <w:rFonts w:ascii="IRNazanin" w:hAnsi="IRNazanin" w:eastAsia="IRNazanin" w:cs="IRNazanin"/>
            <w:color w:val="111111"/>
            <w:sz w:val="22"/>
            <w:szCs w:val="22"/>
            <w:b w:val="0"/>
            <w:bCs w:val="0"/>
            <w:i w:val="0"/>
            <w:iCs w:val="0"/>
          </w:rPr>
          <w:t>5360- دیوان غیاث شیرازی أو شعره‏</w:t>
        </w:r>
        <w:r>
          <w:tab/>
        </w:r>
        <w:r>
          <w:fldChar w:fldCharType="begin"/>
        </w:r>
        <w:r>
          <w:instrText xml:space="preserve">PAGEREF 5816 \h</w:instrText>
        </w:r>
        <w:r>
          <w:fldChar w:fldCharType="end"/>
        </w:r>
      </w:hyperlink>
    </w:p>
    <w:p>
      <w:pPr>
        <w:tabs>
          <w:tab w:val="right" w:leader="dot" w:pos="9062"/>
        </w:tabs>
        <w:ind w:left="440"/>
      </w:pPr>
      <w:hyperlink w:anchor="_Toc5817" w:history="1">
        <w:r>
          <w:rPr>
            <w:rFonts w:ascii="IRNazanin" w:hAnsi="IRNazanin" w:eastAsia="IRNazanin" w:cs="IRNazanin"/>
            <w:color w:val="111111"/>
            <w:sz w:val="22"/>
            <w:szCs w:val="22"/>
            <w:b w:val="0"/>
            <w:bCs w:val="0"/>
            <w:i w:val="0"/>
            <w:iCs w:val="0"/>
          </w:rPr>
          <w:t>دیوان غیاث کاشانی‏</w:t>
        </w:r>
        <w:r>
          <w:tab/>
        </w:r>
        <w:r>
          <w:fldChar w:fldCharType="begin"/>
        </w:r>
        <w:r>
          <w:instrText xml:space="preserve">PAGEREF 5817 \h</w:instrText>
        </w:r>
        <w:r>
          <w:fldChar w:fldCharType="end"/>
        </w:r>
      </w:hyperlink>
    </w:p>
    <w:p>
      <w:pPr>
        <w:tabs>
          <w:tab w:val="right" w:leader="dot" w:pos="9062"/>
        </w:tabs>
        <w:ind w:left="440"/>
      </w:pPr>
      <w:hyperlink w:anchor="_Toc5818" w:history="1">
        <w:r>
          <w:rPr>
            <w:rFonts w:ascii="IRNazanin" w:hAnsi="IRNazanin" w:eastAsia="IRNazanin" w:cs="IRNazanin"/>
            <w:color w:val="111111"/>
            <w:sz w:val="22"/>
            <w:szCs w:val="22"/>
            <w:b w:val="0"/>
            <w:bCs w:val="0"/>
            <w:i w:val="0"/>
            <w:iCs w:val="0"/>
          </w:rPr>
          <w:t>دیوان غیاث قافیة</w:t>
        </w:r>
        <w:r>
          <w:tab/>
        </w:r>
        <w:r>
          <w:fldChar w:fldCharType="begin"/>
        </w:r>
        <w:r>
          <w:instrText xml:space="preserve">PAGEREF 5818 \h</w:instrText>
        </w:r>
        <w:r>
          <w:fldChar w:fldCharType="end"/>
        </w:r>
      </w:hyperlink>
    </w:p>
    <w:p>
      <w:pPr>
        <w:tabs>
          <w:tab w:val="right" w:leader="dot" w:pos="9062"/>
        </w:tabs>
        <w:ind w:left="440"/>
      </w:pPr>
      <w:hyperlink w:anchor="_Toc5819" w:history="1">
        <w:r>
          <w:rPr>
            <w:rFonts w:ascii="IRNazanin" w:hAnsi="IRNazanin" w:eastAsia="IRNazanin" w:cs="IRNazanin"/>
            <w:color w:val="111111"/>
            <w:sz w:val="22"/>
            <w:szCs w:val="22"/>
            <w:b w:val="0"/>
            <w:bCs w:val="0"/>
            <w:i w:val="0"/>
            <w:iCs w:val="0"/>
          </w:rPr>
          <w:t>5361- دیوان غیاث قاینی‏</w:t>
        </w:r>
        <w:r>
          <w:tab/>
        </w:r>
        <w:r>
          <w:fldChar w:fldCharType="begin"/>
        </w:r>
        <w:r>
          <w:instrText xml:space="preserve">PAGEREF 5819 \h</w:instrText>
        </w:r>
        <w:r>
          <w:fldChar w:fldCharType="end"/>
        </w:r>
      </w:hyperlink>
    </w:p>
    <w:p>
      <w:pPr>
        <w:tabs>
          <w:tab w:val="right" w:leader="dot" w:pos="9062"/>
        </w:tabs>
        <w:ind w:left="440"/>
      </w:pPr>
      <w:hyperlink w:anchor="_Toc5820" w:history="1">
        <w:r>
          <w:rPr>
            <w:rFonts w:ascii="IRNazanin" w:hAnsi="IRNazanin" w:eastAsia="IRNazanin" w:cs="IRNazanin"/>
            <w:color w:val="111111"/>
            <w:sz w:val="22"/>
            <w:szCs w:val="22"/>
            <w:b w:val="0"/>
            <w:bCs w:val="0"/>
            <w:i w:val="0"/>
            <w:iCs w:val="0"/>
          </w:rPr>
          <w:t>5362- دیوان خواجه غیاث نقشبند الیزدی‏</w:t>
        </w:r>
        <w:r>
          <w:tab/>
        </w:r>
        <w:r>
          <w:fldChar w:fldCharType="begin"/>
        </w:r>
        <w:r>
          <w:instrText xml:space="preserve">PAGEREF 5820 \h</w:instrText>
        </w:r>
        <w:r>
          <w:fldChar w:fldCharType="end"/>
        </w:r>
      </w:hyperlink>
    </w:p>
    <w:p>
      <w:pPr>
        <w:tabs>
          <w:tab w:val="right" w:leader="dot" w:pos="9062"/>
        </w:tabs>
        <w:ind w:left="440"/>
      </w:pPr>
      <w:hyperlink w:anchor="_Toc5821" w:history="1">
        <w:r>
          <w:rPr>
            <w:rFonts w:ascii="IRNazanin" w:hAnsi="IRNazanin" w:eastAsia="IRNazanin" w:cs="IRNazanin"/>
            <w:color w:val="111111"/>
            <w:sz w:val="22"/>
            <w:szCs w:val="22"/>
            <w:b w:val="0"/>
            <w:bCs w:val="0"/>
            <w:i w:val="0"/>
            <w:iCs w:val="0"/>
          </w:rPr>
          <w:t>5363- دیوان غیاث نجومی أو شعره‏</w:t>
        </w:r>
        <w:r>
          <w:tab/>
        </w:r>
        <w:r>
          <w:fldChar w:fldCharType="begin"/>
        </w:r>
        <w:r>
          <w:instrText xml:space="preserve">PAGEREF 5821 \h</w:instrText>
        </w:r>
        <w:r>
          <w:fldChar w:fldCharType="end"/>
        </w:r>
      </w:hyperlink>
    </w:p>
    <w:p>
      <w:pPr>
        <w:tabs>
          <w:tab w:val="right" w:leader="dot" w:pos="9062"/>
        </w:tabs>
        <w:ind w:left="440"/>
      </w:pPr>
      <w:hyperlink w:anchor="_Toc5822" w:history="1">
        <w:r>
          <w:rPr>
            <w:rFonts w:ascii="IRNazanin" w:hAnsi="IRNazanin" w:eastAsia="IRNazanin" w:cs="IRNazanin"/>
            <w:color w:val="111111"/>
            <w:sz w:val="22"/>
            <w:szCs w:val="22"/>
            <w:b w:val="0"/>
            <w:bCs w:val="0"/>
            <w:i w:val="0"/>
            <w:iCs w:val="0"/>
          </w:rPr>
          <w:t>5364- دیوان غیاث هروی أو شعره‏</w:t>
        </w:r>
        <w:r>
          <w:tab/>
        </w:r>
        <w:r>
          <w:fldChar w:fldCharType="begin"/>
        </w:r>
        <w:r>
          <w:instrText xml:space="preserve">PAGEREF 5822 \h</w:instrText>
        </w:r>
        <w:r>
          <w:fldChar w:fldCharType="end"/>
        </w:r>
      </w:hyperlink>
    </w:p>
    <w:p>
      <w:pPr>
        <w:tabs>
          <w:tab w:val="right" w:leader="dot" w:pos="9062"/>
        </w:tabs>
        <w:ind w:left="440"/>
      </w:pPr>
      <w:hyperlink w:anchor="_Toc5823" w:history="1">
        <w:r>
          <w:rPr>
            <w:rFonts w:ascii="IRNazanin" w:hAnsi="IRNazanin" w:eastAsia="IRNazanin" w:cs="IRNazanin"/>
            <w:color w:val="111111"/>
            <w:sz w:val="22"/>
            <w:szCs w:val="22"/>
            <w:b w:val="0"/>
            <w:bCs w:val="0"/>
            <w:i w:val="0"/>
            <w:iCs w:val="0"/>
          </w:rPr>
          <w:t>دیوان غیاث یزدی‏</w:t>
        </w:r>
        <w:r>
          <w:tab/>
        </w:r>
        <w:r>
          <w:fldChar w:fldCharType="begin"/>
        </w:r>
        <w:r>
          <w:instrText xml:space="preserve">PAGEREF 5823 \h</w:instrText>
        </w:r>
        <w:r>
          <w:fldChar w:fldCharType="end"/>
        </w:r>
      </w:hyperlink>
    </w:p>
    <w:p>
      <w:pPr>
        <w:tabs>
          <w:tab w:val="right" w:leader="dot" w:pos="9062"/>
        </w:tabs>
        <w:ind w:left="440"/>
      </w:pPr>
      <w:hyperlink w:anchor="_Toc5824" w:history="1">
        <w:r>
          <w:rPr>
            <w:rFonts w:ascii="IRNazanin" w:hAnsi="IRNazanin" w:eastAsia="IRNazanin" w:cs="IRNazanin"/>
            <w:color w:val="111111"/>
            <w:sz w:val="22"/>
            <w:szCs w:val="22"/>
            <w:b w:val="0"/>
            <w:bCs w:val="0"/>
            <w:i w:val="0"/>
            <w:iCs w:val="0"/>
          </w:rPr>
          <w:t>5365- دیوان غیاثی‏</w:t>
        </w:r>
        <w:r>
          <w:tab/>
        </w:r>
        <w:r>
          <w:fldChar w:fldCharType="begin"/>
        </w:r>
        <w:r>
          <w:instrText xml:space="preserve">PAGEREF 5824 \h</w:instrText>
        </w:r>
        <w:r>
          <w:fldChar w:fldCharType="end"/>
        </w:r>
      </w:hyperlink>
    </w:p>
    <w:p>
      <w:pPr>
        <w:tabs>
          <w:tab w:val="right" w:leader="dot" w:pos="9062"/>
        </w:tabs>
        <w:ind w:left="440"/>
      </w:pPr>
      <w:hyperlink w:anchor="_Toc5825" w:history="1">
        <w:r>
          <w:rPr>
            <w:rFonts w:ascii="IRNazanin" w:hAnsi="IRNazanin" w:eastAsia="IRNazanin" w:cs="IRNazanin"/>
            <w:color w:val="111111"/>
            <w:sz w:val="22"/>
            <w:szCs w:val="22"/>
            <w:b w:val="0"/>
            <w:bCs w:val="0"/>
            <w:i w:val="0"/>
            <w:iCs w:val="0"/>
          </w:rPr>
          <w:t>5366- دیوان غیاثی تونی أو شعره‏</w:t>
        </w:r>
        <w:r>
          <w:tab/>
        </w:r>
        <w:r>
          <w:fldChar w:fldCharType="begin"/>
        </w:r>
        <w:r>
          <w:instrText xml:space="preserve">PAGEREF 5825 \h</w:instrText>
        </w:r>
        <w:r>
          <w:fldChar w:fldCharType="end"/>
        </w:r>
      </w:hyperlink>
    </w:p>
    <w:p>
      <w:pPr>
        <w:tabs>
          <w:tab w:val="right" w:leader="dot" w:pos="9062"/>
        </w:tabs>
        <w:ind w:left="440"/>
      </w:pPr>
      <w:hyperlink w:anchor="_Toc5826" w:history="1">
        <w:r>
          <w:rPr>
            <w:rFonts w:ascii="IRNazanin" w:hAnsi="IRNazanin" w:eastAsia="IRNazanin" w:cs="IRNazanin"/>
            <w:color w:val="111111"/>
            <w:sz w:val="22"/>
            <w:szCs w:val="22"/>
            <w:b w:val="0"/>
            <w:bCs w:val="0"/>
            <w:i w:val="0"/>
            <w:iCs w:val="0"/>
          </w:rPr>
          <w:t>5367- دیوان غیاثی یزدی أو شعره‏</w:t>
        </w:r>
        <w:r>
          <w:tab/>
        </w:r>
        <w:r>
          <w:fldChar w:fldCharType="begin"/>
        </w:r>
        <w:r>
          <w:instrText xml:space="preserve">PAGEREF 5826 \h</w:instrText>
        </w:r>
        <w:r>
          <w:fldChar w:fldCharType="end"/>
        </w:r>
      </w:hyperlink>
    </w:p>
    <w:p>
      <w:pPr>
        <w:tabs>
          <w:tab w:val="right" w:leader="dot" w:pos="9062"/>
        </w:tabs>
        <w:ind w:left="440"/>
      </w:pPr>
      <w:hyperlink w:anchor="_Toc5827" w:history="1">
        <w:r>
          <w:rPr>
            <w:rFonts w:ascii="IRNazanin" w:hAnsi="IRNazanin" w:eastAsia="IRNazanin" w:cs="IRNazanin"/>
            <w:color w:val="111111"/>
            <w:sz w:val="22"/>
            <w:szCs w:val="22"/>
            <w:b w:val="0"/>
            <w:bCs w:val="0"/>
            <w:i w:val="0"/>
            <w:iCs w:val="0"/>
          </w:rPr>
          <w:t>5368- دیوان غیبی‏</w:t>
        </w:r>
        <w:r>
          <w:tab/>
        </w:r>
        <w:r>
          <w:fldChar w:fldCharType="begin"/>
        </w:r>
        <w:r>
          <w:instrText xml:space="preserve">PAGEREF 5827 \h</w:instrText>
        </w:r>
        <w:r>
          <w:fldChar w:fldCharType="end"/>
        </w:r>
      </w:hyperlink>
    </w:p>
    <w:p>
      <w:pPr>
        <w:tabs>
          <w:tab w:val="right" w:leader="dot" w:pos="9062"/>
        </w:tabs>
        <w:ind w:left="440"/>
      </w:pPr>
      <w:hyperlink w:anchor="_Toc5828" w:history="1">
        <w:r>
          <w:rPr>
            <w:rFonts w:ascii="IRNazanin" w:hAnsi="IRNazanin" w:eastAsia="IRNazanin" w:cs="IRNazanin"/>
            <w:color w:val="111111"/>
            <w:sz w:val="22"/>
            <w:szCs w:val="22"/>
            <w:b w:val="0"/>
            <w:bCs w:val="0"/>
            <w:i w:val="0"/>
            <w:iCs w:val="0"/>
          </w:rPr>
          <w:t>5369- دیوان غیبی شیرازی أو شعره‏</w:t>
        </w:r>
        <w:r>
          <w:tab/>
        </w:r>
        <w:r>
          <w:fldChar w:fldCharType="begin"/>
        </w:r>
        <w:r>
          <w:instrText xml:space="preserve">PAGEREF 5828 \h</w:instrText>
        </w:r>
        <w:r>
          <w:fldChar w:fldCharType="end"/>
        </w:r>
      </w:hyperlink>
    </w:p>
    <w:p>
      <w:pPr>
        <w:tabs>
          <w:tab w:val="right" w:leader="dot" w:pos="9062"/>
        </w:tabs>
        <w:ind w:left="440"/>
      </w:pPr>
      <w:hyperlink w:anchor="_Toc5829" w:history="1">
        <w:r>
          <w:rPr>
            <w:rFonts w:ascii="IRNazanin" w:hAnsi="IRNazanin" w:eastAsia="IRNazanin" w:cs="IRNazanin"/>
            <w:color w:val="111111"/>
            <w:sz w:val="22"/>
            <w:szCs w:val="22"/>
            <w:b w:val="0"/>
            <w:bCs w:val="0"/>
            <w:i w:val="0"/>
            <w:iCs w:val="0"/>
          </w:rPr>
          <w:t>5370- دیوان غیرت أصفهانی أو شعره‏</w:t>
        </w:r>
        <w:r>
          <w:tab/>
        </w:r>
        <w:r>
          <w:fldChar w:fldCharType="begin"/>
        </w:r>
        <w:r>
          <w:instrText xml:space="preserve">PAGEREF 5829 \h</w:instrText>
        </w:r>
        <w:r>
          <w:fldChar w:fldCharType="end"/>
        </w:r>
      </w:hyperlink>
    </w:p>
    <w:p>
      <w:pPr>
        <w:tabs>
          <w:tab w:val="right" w:leader="dot" w:pos="9062"/>
        </w:tabs>
        <w:ind w:left="440"/>
      </w:pPr>
      <w:hyperlink w:anchor="_Toc5830" w:history="1">
        <w:r>
          <w:rPr>
            <w:rFonts w:ascii="IRNazanin" w:hAnsi="IRNazanin" w:eastAsia="IRNazanin" w:cs="IRNazanin"/>
            <w:color w:val="111111"/>
            <w:sz w:val="22"/>
            <w:szCs w:val="22"/>
            <w:b w:val="0"/>
            <w:bCs w:val="0"/>
            <w:i w:val="0"/>
            <w:iCs w:val="0"/>
          </w:rPr>
          <w:t>5371- دیوان غیرت کرمانشاهی‏</w:t>
        </w:r>
        <w:r>
          <w:tab/>
        </w:r>
        <w:r>
          <w:fldChar w:fldCharType="begin"/>
        </w:r>
        <w:r>
          <w:instrText xml:space="preserve">PAGEREF 5830 \h</w:instrText>
        </w:r>
        <w:r>
          <w:fldChar w:fldCharType="end"/>
        </w:r>
      </w:hyperlink>
    </w:p>
    <w:p>
      <w:pPr>
        <w:tabs>
          <w:tab w:val="right" w:leader="dot" w:pos="9062"/>
        </w:tabs>
        <w:ind w:left="440"/>
      </w:pPr>
      <w:hyperlink w:anchor="_Toc5831" w:history="1">
        <w:r>
          <w:rPr>
            <w:rFonts w:ascii="IRNazanin" w:hAnsi="IRNazanin" w:eastAsia="IRNazanin" w:cs="IRNazanin"/>
            <w:color w:val="111111"/>
            <w:sz w:val="22"/>
            <w:szCs w:val="22"/>
            <w:b w:val="0"/>
            <w:bCs w:val="0"/>
            <w:i w:val="0"/>
            <w:iCs w:val="0"/>
          </w:rPr>
          <w:t>5372- دیوان غیرت کشمیری أو شعره‏</w:t>
        </w:r>
        <w:r>
          <w:tab/>
        </w:r>
        <w:r>
          <w:fldChar w:fldCharType="begin"/>
        </w:r>
        <w:r>
          <w:instrText xml:space="preserve">PAGEREF 5831 \h</w:instrText>
        </w:r>
        <w:r>
          <w:fldChar w:fldCharType="end"/>
        </w:r>
      </w:hyperlink>
    </w:p>
    <w:p>
      <w:pPr>
        <w:tabs>
          <w:tab w:val="right" w:leader="dot" w:pos="9062"/>
        </w:tabs>
        <w:ind w:left="440"/>
      </w:pPr>
      <w:hyperlink w:anchor="_Toc5832" w:history="1">
        <w:r>
          <w:rPr>
            <w:rFonts w:ascii="IRNazanin" w:hAnsi="IRNazanin" w:eastAsia="IRNazanin" w:cs="IRNazanin"/>
            <w:color w:val="111111"/>
            <w:sz w:val="22"/>
            <w:szCs w:val="22"/>
            <w:b w:val="0"/>
            <w:bCs w:val="0"/>
            <w:i w:val="0"/>
            <w:iCs w:val="0"/>
          </w:rPr>
          <w:t>5373- دیوان غیرت همدانی‏</w:t>
        </w:r>
        <w:r>
          <w:tab/>
        </w:r>
        <w:r>
          <w:fldChar w:fldCharType="begin"/>
        </w:r>
        <w:r>
          <w:instrText xml:space="preserve">PAGEREF 5832 \h</w:instrText>
        </w:r>
        <w:r>
          <w:fldChar w:fldCharType="end"/>
        </w:r>
      </w:hyperlink>
    </w:p>
    <w:p>
      <w:pPr>
        <w:tabs>
          <w:tab w:val="right" w:leader="dot" w:pos="9062"/>
        </w:tabs>
        <w:ind w:left="440"/>
      </w:pPr>
      <w:hyperlink w:anchor="_Toc5833" w:history="1">
        <w:r>
          <w:rPr>
            <w:rFonts w:ascii="IRNazanin" w:hAnsi="IRNazanin" w:eastAsia="IRNazanin" w:cs="IRNazanin"/>
            <w:color w:val="111111"/>
            <w:sz w:val="22"/>
            <w:szCs w:val="22"/>
            <w:b w:val="0"/>
            <w:bCs w:val="0"/>
            <w:i w:val="0"/>
            <w:iCs w:val="0"/>
          </w:rPr>
          <w:t>5374- دیوان غیرتی سمنانی أو شعره‏</w:t>
        </w:r>
        <w:r>
          <w:tab/>
        </w:r>
        <w:r>
          <w:fldChar w:fldCharType="begin"/>
        </w:r>
        <w:r>
          <w:instrText xml:space="preserve">PAGEREF 5833 \h</w:instrText>
        </w:r>
        <w:r>
          <w:fldChar w:fldCharType="end"/>
        </w:r>
      </w:hyperlink>
    </w:p>
    <w:p>
      <w:pPr>
        <w:tabs>
          <w:tab w:val="right" w:leader="dot" w:pos="9062"/>
        </w:tabs>
        <w:ind w:left="440"/>
      </w:pPr>
      <w:hyperlink w:anchor="_Toc5834" w:history="1">
        <w:r>
          <w:rPr>
            <w:rFonts w:ascii="IRNazanin" w:hAnsi="IRNazanin" w:eastAsia="IRNazanin" w:cs="IRNazanin"/>
            <w:color w:val="111111"/>
            <w:sz w:val="22"/>
            <w:szCs w:val="22"/>
            <w:b w:val="0"/>
            <w:bCs w:val="0"/>
            <w:i w:val="0"/>
            <w:iCs w:val="0"/>
          </w:rPr>
          <w:t>5375- دیوان مولانا غیرتی شیرازی أو شعره‏</w:t>
        </w:r>
        <w:r>
          <w:tab/>
        </w:r>
        <w:r>
          <w:fldChar w:fldCharType="begin"/>
        </w:r>
        <w:r>
          <w:instrText xml:space="preserve">PAGEREF 5834 \h</w:instrText>
        </w:r>
        <w:r>
          <w:fldChar w:fldCharType="end"/>
        </w:r>
      </w:hyperlink>
    </w:p>
    <w:p>
      <w:pPr>
        <w:tabs>
          <w:tab w:val="right" w:leader="dot" w:pos="9062"/>
        </w:tabs>
        <w:ind w:left="440"/>
      </w:pPr>
      <w:hyperlink w:anchor="_Toc5835" w:history="1">
        <w:r>
          <w:rPr>
            <w:rFonts w:ascii="IRNazanin" w:hAnsi="IRNazanin" w:eastAsia="IRNazanin" w:cs="IRNazanin"/>
            <w:color w:val="111111"/>
            <w:sz w:val="22"/>
            <w:szCs w:val="22"/>
            <w:b w:val="0"/>
            <w:bCs w:val="0"/>
            <w:i w:val="0"/>
            <w:iCs w:val="0"/>
          </w:rPr>
          <w:t>5376- دیوان غیرتی کشمیری أو شعره‏</w:t>
        </w:r>
        <w:r>
          <w:tab/>
        </w:r>
        <w:r>
          <w:fldChar w:fldCharType="begin"/>
        </w:r>
        <w:r>
          <w:instrText xml:space="preserve">PAGEREF 5835 \h</w:instrText>
        </w:r>
        <w:r>
          <w:fldChar w:fldCharType="end"/>
        </w:r>
      </w:hyperlink>
    </w:p>
    <w:p>
      <w:pPr>
        <w:tabs>
          <w:tab w:val="right" w:leader="dot" w:pos="9062"/>
        </w:tabs>
        <w:ind w:left="440"/>
      </w:pPr>
      <w:hyperlink w:anchor="_Toc5836" w:history="1">
        <w:r>
          <w:rPr>
            <w:rFonts w:ascii="IRNazanin" w:hAnsi="IRNazanin" w:eastAsia="IRNazanin" w:cs="IRNazanin"/>
            <w:color w:val="111111"/>
            <w:sz w:val="22"/>
            <w:szCs w:val="22"/>
            <w:b w:val="0"/>
            <w:bCs w:val="0"/>
            <w:i w:val="0"/>
            <w:iCs w:val="0"/>
          </w:rPr>
          <w:t>5377- دیوان غیوری أو شعره‏</w:t>
        </w:r>
        <w:r>
          <w:tab/>
        </w:r>
        <w:r>
          <w:fldChar w:fldCharType="begin"/>
        </w:r>
        <w:r>
          <w:instrText xml:space="preserve">PAGEREF 5836 \h</w:instrText>
        </w:r>
        <w:r>
          <w:fldChar w:fldCharType="end"/>
        </w:r>
      </w:hyperlink>
    </w:p>
    <w:p>
      <w:pPr>
        <w:tabs>
          <w:tab w:val="right" w:leader="dot" w:pos="9062"/>
        </w:tabs>
        <w:ind w:left="440"/>
      </w:pPr>
      <w:hyperlink w:anchor="_Toc5837" w:history="1">
        <w:r>
          <w:rPr>
            <w:rFonts w:ascii="IRNazanin" w:hAnsi="IRNazanin" w:eastAsia="IRNazanin" w:cs="IRNazanin"/>
            <w:color w:val="111111"/>
            <w:sz w:val="22"/>
            <w:szCs w:val="22"/>
            <w:b w:val="0"/>
            <w:bCs w:val="0"/>
            <w:i w:val="0"/>
            <w:iCs w:val="0"/>
          </w:rPr>
          <w:t>5378- دیوان غیور کرمانی‏</w:t>
        </w:r>
        <w:r>
          <w:tab/>
        </w:r>
        <w:r>
          <w:fldChar w:fldCharType="begin"/>
        </w:r>
        <w:r>
          <w:instrText xml:space="preserve">PAGEREF 5837 \h</w:instrText>
        </w:r>
        <w:r>
          <w:fldChar w:fldCharType="end"/>
        </w:r>
      </w:hyperlink>
    </w:p>
    <w:p>
      <w:pPr>
        <w:tabs>
          <w:tab w:val="right" w:leader="dot" w:pos="9062"/>
        </w:tabs>
        <w:ind w:left="440"/>
      </w:pPr>
      <w:hyperlink w:anchor="_Toc5838" w:history="1">
        <w:r>
          <w:rPr>
            <w:rFonts w:ascii="IRNazanin" w:hAnsi="IRNazanin" w:eastAsia="IRNazanin" w:cs="IRNazanin"/>
            <w:color w:val="111111"/>
            <w:sz w:val="22"/>
            <w:szCs w:val="22"/>
            <w:b w:val="0"/>
            <w:bCs w:val="0"/>
            <w:i w:val="0"/>
            <w:iCs w:val="0"/>
          </w:rPr>
          <w:t>ف‏</w:t>
        </w:r>
        <w:r>
          <w:tab/>
        </w:r>
        <w:r>
          <w:fldChar w:fldCharType="begin"/>
        </w:r>
        <w:r>
          <w:instrText xml:space="preserve">PAGEREF 5838 \h</w:instrText>
        </w:r>
        <w:r>
          <w:fldChar w:fldCharType="end"/>
        </w:r>
      </w:hyperlink>
    </w:p>
    <w:p>
      <w:pPr>
        <w:tabs>
          <w:tab w:val="right" w:leader="dot" w:pos="9062"/>
        </w:tabs>
        <w:ind w:left="440"/>
      </w:pPr>
      <w:hyperlink w:anchor="_Toc5839" w:history="1">
        <w:r>
          <w:rPr>
            <w:rFonts w:ascii="IRNazanin" w:hAnsi="IRNazanin" w:eastAsia="IRNazanin" w:cs="IRNazanin"/>
            <w:color w:val="111111"/>
            <w:sz w:val="22"/>
            <w:szCs w:val="22"/>
            <w:b w:val="0"/>
            <w:bCs w:val="0"/>
            <w:i w:val="0"/>
            <w:iCs w:val="0"/>
          </w:rPr>
          <w:t>دیوان فائبی دهلوی‏</w:t>
        </w:r>
        <w:r>
          <w:tab/>
        </w:r>
        <w:r>
          <w:fldChar w:fldCharType="begin"/>
        </w:r>
        <w:r>
          <w:instrText xml:space="preserve">PAGEREF 5839 \h</w:instrText>
        </w:r>
        <w:r>
          <w:fldChar w:fldCharType="end"/>
        </w:r>
      </w:hyperlink>
    </w:p>
    <w:p>
      <w:pPr>
        <w:tabs>
          <w:tab w:val="right" w:leader="dot" w:pos="9062"/>
        </w:tabs>
        <w:ind w:left="440"/>
      </w:pPr>
      <w:hyperlink w:anchor="_Toc5840" w:history="1">
        <w:r>
          <w:rPr>
            <w:rFonts w:ascii="IRNazanin" w:hAnsi="IRNazanin" w:eastAsia="IRNazanin" w:cs="IRNazanin"/>
            <w:color w:val="111111"/>
            <w:sz w:val="22"/>
            <w:szCs w:val="22"/>
            <w:b w:val="0"/>
            <w:bCs w:val="0"/>
            <w:i w:val="0"/>
            <w:iCs w:val="0"/>
          </w:rPr>
          <w:t>5379- دیوان فائح قزوینی أو شعره‏</w:t>
        </w:r>
        <w:r>
          <w:tab/>
        </w:r>
        <w:r>
          <w:fldChar w:fldCharType="begin"/>
        </w:r>
        <w:r>
          <w:instrText xml:space="preserve">PAGEREF 5840 \h</w:instrText>
        </w:r>
        <w:r>
          <w:fldChar w:fldCharType="end"/>
        </w:r>
      </w:hyperlink>
    </w:p>
    <w:p>
      <w:pPr>
        <w:tabs>
          <w:tab w:val="right" w:leader="dot" w:pos="9062"/>
        </w:tabs>
        <w:ind w:left="440"/>
      </w:pPr>
      <w:hyperlink w:anchor="_Toc5841" w:history="1">
        <w:r>
          <w:rPr>
            <w:rFonts w:ascii="IRNazanin" w:hAnsi="IRNazanin" w:eastAsia="IRNazanin" w:cs="IRNazanin"/>
            <w:color w:val="111111"/>
            <w:sz w:val="22"/>
            <w:szCs w:val="22"/>
            <w:b w:val="0"/>
            <w:bCs w:val="0"/>
            <w:i w:val="0"/>
            <w:iCs w:val="0"/>
          </w:rPr>
          <w:t>دیوان فائز</w:t>
        </w:r>
        <w:r>
          <w:tab/>
        </w:r>
        <w:r>
          <w:fldChar w:fldCharType="begin"/>
        </w:r>
        <w:r>
          <w:instrText xml:space="preserve">PAGEREF 5841 \h</w:instrText>
        </w:r>
        <w:r>
          <w:fldChar w:fldCharType="end"/>
        </w:r>
      </w:hyperlink>
    </w:p>
    <w:p>
      <w:pPr>
        <w:tabs>
          <w:tab w:val="right" w:leader="dot" w:pos="9062"/>
        </w:tabs>
        <w:ind w:left="440"/>
      </w:pPr>
      <w:hyperlink w:anchor="_Toc5842" w:history="1">
        <w:r>
          <w:rPr>
            <w:rFonts w:ascii="IRNazanin" w:hAnsi="IRNazanin" w:eastAsia="IRNazanin" w:cs="IRNazanin"/>
            <w:color w:val="111111"/>
            <w:sz w:val="22"/>
            <w:szCs w:val="22"/>
            <w:b w:val="0"/>
            <w:bCs w:val="0"/>
            <w:i w:val="0"/>
            <w:iCs w:val="0"/>
          </w:rPr>
          <w:t>دیوان فائض‏</w:t>
        </w:r>
        <w:r>
          <w:tab/>
        </w:r>
        <w:r>
          <w:fldChar w:fldCharType="begin"/>
        </w:r>
        <w:r>
          <w:instrText xml:space="preserve">PAGEREF 5842 \h</w:instrText>
        </w:r>
        <w:r>
          <w:fldChar w:fldCharType="end"/>
        </w:r>
      </w:hyperlink>
    </w:p>
    <w:p>
      <w:pPr>
        <w:tabs>
          <w:tab w:val="right" w:leader="dot" w:pos="9062"/>
        </w:tabs>
        <w:ind w:left="440"/>
      </w:pPr>
      <w:hyperlink w:anchor="_Toc5843" w:history="1">
        <w:r>
          <w:rPr>
            <w:rFonts w:ascii="IRNazanin" w:hAnsi="IRNazanin" w:eastAsia="IRNazanin" w:cs="IRNazanin"/>
            <w:color w:val="111111"/>
            <w:sz w:val="22"/>
            <w:szCs w:val="22"/>
            <w:b w:val="0"/>
            <w:bCs w:val="0"/>
            <w:i w:val="0"/>
            <w:iCs w:val="0"/>
          </w:rPr>
          <w:t>دیوان فائق‏</w:t>
        </w:r>
        <w:r>
          <w:tab/>
        </w:r>
        <w:r>
          <w:fldChar w:fldCharType="begin"/>
        </w:r>
        <w:r>
          <w:instrText xml:space="preserve">PAGEREF 5843 \h</w:instrText>
        </w:r>
        <w:r>
          <w:fldChar w:fldCharType="end"/>
        </w:r>
      </w:hyperlink>
    </w:p>
    <w:p>
      <w:pPr>
        <w:tabs>
          <w:tab w:val="right" w:leader="dot" w:pos="9062"/>
        </w:tabs>
        <w:ind w:left="440"/>
      </w:pPr>
      <w:hyperlink w:anchor="_Toc5844" w:history="1">
        <w:r>
          <w:rPr>
            <w:rFonts w:ascii="IRNazanin" w:hAnsi="IRNazanin" w:eastAsia="IRNazanin" w:cs="IRNazanin"/>
            <w:color w:val="111111"/>
            <w:sz w:val="22"/>
            <w:szCs w:val="22"/>
            <w:b w:val="0"/>
            <w:bCs w:val="0"/>
            <w:i w:val="0"/>
            <w:iCs w:val="0"/>
          </w:rPr>
          <w:t>دیوان فائقی‏</w:t>
        </w:r>
        <w:r>
          <w:tab/>
        </w:r>
        <w:r>
          <w:fldChar w:fldCharType="begin"/>
        </w:r>
        <w:r>
          <w:instrText xml:space="preserve">PAGEREF 5844 \h</w:instrText>
        </w:r>
        <w:r>
          <w:fldChar w:fldCharType="end"/>
        </w:r>
      </w:hyperlink>
    </w:p>
    <w:p>
      <w:pPr>
        <w:tabs>
          <w:tab w:val="right" w:leader="dot" w:pos="9062"/>
        </w:tabs>
        <w:ind w:left="440"/>
      </w:pPr>
      <w:hyperlink w:anchor="_Toc5845" w:history="1">
        <w:r>
          <w:rPr>
            <w:rFonts w:ascii="IRNazanin" w:hAnsi="IRNazanin" w:eastAsia="IRNazanin" w:cs="IRNazanin"/>
            <w:color w:val="111111"/>
            <w:sz w:val="22"/>
            <w:szCs w:val="22"/>
            <w:b w:val="0"/>
            <w:bCs w:val="0"/>
            <w:i w:val="0"/>
            <w:iCs w:val="0"/>
          </w:rPr>
          <w:t>5380- دیوان فاتح جرفادقانی‏</w:t>
        </w:r>
        <w:r>
          <w:tab/>
        </w:r>
        <w:r>
          <w:fldChar w:fldCharType="begin"/>
        </w:r>
        <w:r>
          <w:instrText xml:space="preserve">PAGEREF 5845 \h</w:instrText>
        </w:r>
        <w:r>
          <w:fldChar w:fldCharType="end"/>
        </w:r>
      </w:hyperlink>
    </w:p>
    <w:p>
      <w:pPr>
        <w:tabs>
          <w:tab w:val="right" w:leader="dot" w:pos="9062"/>
        </w:tabs>
        <w:ind w:left="440"/>
      </w:pPr>
      <w:hyperlink w:anchor="_Toc5846" w:history="1">
        <w:r>
          <w:rPr>
            <w:rFonts w:ascii="IRNazanin" w:hAnsi="IRNazanin" w:eastAsia="IRNazanin" w:cs="IRNazanin"/>
            <w:color w:val="111111"/>
            <w:sz w:val="22"/>
            <w:szCs w:val="22"/>
            <w:b w:val="0"/>
            <w:bCs w:val="0"/>
            <w:i w:val="0"/>
            <w:iCs w:val="0"/>
          </w:rPr>
          <w:t>5381- دیوان فاتح گیلانی أو شعره‏</w:t>
        </w:r>
        <w:r>
          <w:tab/>
        </w:r>
        <w:r>
          <w:fldChar w:fldCharType="begin"/>
        </w:r>
        <w:r>
          <w:instrText xml:space="preserve">PAGEREF 5846 \h</w:instrText>
        </w:r>
        <w:r>
          <w:fldChar w:fldCharType="end"/>
        </w:r>
      </w:hyperlink>
    </w:p>
    <w:p>
      <w:pPr>
        <w:tabs>
          <w:tab w:val="right" w:leader="dot" w:pos="9062"/>
        </w:tabs>
        <w:ind w:left="440"/>
      </w:pPr>
      <w:hyperlink w:anchor="_Toc5847" w:history="1">
        <w:r>
          <w:rPr>
            <w:rFonts w:ascii="IRNazanin" w:hAnsi="IRNazanin" w:eastAsia="IRNazanin" w:cs="IRNazanin"/>
            <w:color w:val="111111"/>
            <w:sz w:val="22"/>
            <w:szCs w:val="22"/>
            <w:b w:val="0"/>
            <w:bCs w:val="0"/>
            <w:i w:val="0"/>
            <w:iCs w:val="0"/>
          </w:rPr>
          <w:t>5382- دیوان فاتحی أصفهانی‏</w:t>
        </w:r>
        <w:r>
          <w:tab/>
        </w:r>
        <w:r>
          <w:fldChar w:fldCharType="begin"/>
        </w:r>
        <w:r>
          <w:instrText xml:space="preserve">PAGEREF 5847 \h</w:instrText>
        </w:r>
        <w:r>
          <w:fldChar w:fldCharType="end"/>
        </w:r>
      </w:hyperlink>
    </w:p>
    <w:p>
      <w:pPr>
        <w:tabs>
          <w:tab w:val="right" w:leader="dot" w:pos="9062"/>
        </w:tabs>
        <w:ind w:left="440"/>
      </w:pPr>
      <w:hyperlink w:anchor="_Toc5848" w:history="1">
        <w:r>
          <w:rPr>
            <w:rFonts w:ascii="IRNazanin" w:hAnsi="IRNazanin" w:eastAsia="IRNazanin" w:cs="IRNazanin"/>
            <w:color w:val="111111"/>
            <w:sz w:val="22"/>
            <w:szCs w:val="22"/>
            <w:b w:val="0"/>
            <w:bCs w:val="0"/>
            <w:i w:val="0"/>
            <w:iCs w:val="0"/>
          </w:rPr>
          <w:t>5383- دیوان فاخر بهبهانی‏</w:t>
        </w:r>
        <w:r>
          <w:tab/>
        </w:r>
        <w:r>
          <w:fldChar w:fldCharType="begin"/>
        </w:r>
        <w:r>
          <w:instrText xml:space="preserve">PAGEREF 5848 \h</w:instrText>
        </w:r>
        <w:r>
          <w:fldChar w:fldCharType="end"/>
        </w:r>
      </w:hyperlink>
    </w:p>
    <w:p>
      <w:pPr>
        <w:tabs>
          <w:tab w:val="right" w:leader="dot" w:pos="9062"/>
        </w:tabs>
        <w:ind w:left="440"/>
      </w:pPr>
      <w:hyperlink w:anchor="_Toc5849" w:history="1">
        <w:r>
          <w:rPr>
            <w:rFonts w:ascii="IRNazanin" w:hAnsi="IRNazanin" w:eastAsia="IRNazanin" w:cs="IRNazanin"/>
            <w:color w:val="111111"/>
            <w:sz w:val="22"/>
            <w:szCs w:val="22"/>
            <w:b w:val="0"/>
            <w:bCs w:val="0"/>
            <w:i w:val="0"/>
            <w:iCs w:val="0"/>
          </w:rPr>
          <w:t>5384- دیوان فاخر تبریزی‏</w:t>
        </w:r>
        <w:r>
          <w:tab/>
        </w:r>
        <w:r>
          <w:fldChar w:fldCharType="begin"/>
        </w:r>
        <w:r>
          <w:instrText xml:space="preserve">PAGEREF 5849 \h</w:instrText>
        </w:r>
        <w:r>
          <w:fldChar w:fldCharType="end"/>
        </w:r>
      </w:hyperlink>
    </w:p>
    <w:p>
      <w:pPr>
        <w:tabs>
          <w:tab w:val="right" w:leader="dot" w:pos="9062"/>
        </w:tabs>
        <w:ind w:left="440"/>
      </w:pPr>
      <w:hyperlink w:anchor="_Toc5850" w:history="1">
        <w:r>
          <w:rPr>
            <w:rFonts w:ascii="IRNazanin" w:hAnsi="IRNazanin" w:eastAsia="IRNazanin" w:cs="IRNazanin"/>
            <w:color w:val="111111"/>
            <w:sz w:val="22"/>
            <w:szCs w:val="22"/>
            <w:b w:val="0"/>
            <w:bCs w:val="0"/>
            <w:i w:val="0"/>
            <w:iCs w:val="0"/>
          </w:rPr>
          <w:t>دیوان فاخر رازی‏</w:t>
        </w:r>
        <w:r>
          <w:tab/>
        </w:r>
        <w:r>
          <w:fldChar w:fldCharType="begin"/>
        </w:r>
        <w:r>
          <w:instrText xml:space="preserve">PAGEREF 5850 \h</w:instrText>
        </w:r>
        <w:r>
          <w:fldChar w:fldCharType="end"/>
        </w:r>
      </w:hyperlink>
    </w:p>
    <w:p>
      <w:pPr>
        <w:tabs>
          <w:tab w:val="right" w:leader="dot" w:pos="9062"/>
        </w:tabs>
        <w:ind w:left="440"/>
      </w:pPr>
      <w:hyperlink w:anchor="_Toc5851" w:history="1">
        <w:r>
          <w:rPr>
            <w:rFonts w:ascii="IRNazanin" w:hAnsi="IRNazanin" w:eastAsia="IRNazanin" w:cs="IRNazanin"/>
            <w:color w:val="111111"/>
            <w:sz w:val="22"/>
            <w:szCs w:val="22"/>
            <w:b w:val="0"/>
            <w:bCs w:val="0"/>
            <w:i w:val="0"/>
            <w:iCs w:val="0"/>
          </w:rPr>
          <w:t>5385- دیوان فاذشاه أو شعره‏</w:t>
        </w:r>
        <w:r>
          <w:tab/>
        </w:r>
        <w:r>
          <w:fldChar w:fldCharType="begin"/>
        </w:r>
        <w:r>
          <w:instrText xml:space="preserve">PAGEREF 5851 \h</w:instrText>
        </w:r>
        <w:r>
          <w:fldChar w:fldCharType="end"/>
        </w:r>
      </w:hyperlink>
    </w:p>
    <w:p>
      <w:pPr>
        <w:tabs>
          <w:tab w:val="right" w:leader="dot" w:pos="9062"/>
        </w:tabs>
        <w:ind w:left="440"/>
      </w:pPr>
      <w:hyperlink w:anchor="_Toc5852" w:history="1">
        <w:r>
          <w:rPr>
            <w:rFonts w:ascii="IRNazanin" w:hAnsi="IRNazanin" w:eastAsia="IRNazanin" w:cs="IRNazanin"/>
            <w:color w:val="111111"/>
            <w:sz w:val="22"/>
            <w:szCs w:val="22"/>
            <w:b w:val="0"/>
            <w:bCs w:val="0"/>
            <w:i w:val="0"/>
            <w:iCs w:val="0"/>
          </w:rPr>
          <w:t>5386- دیوان فارسانی أصفهانی‏</w:t>
        </w:r>
        <w:r>
          <w:tab/>
        </w:r>
        <w:r>
          <w:fldChar w:fldCharType="begin"/>
        </w:r>
        <w:r>
          <w:instrText xml:space="preserve">PAGEREF 5852 \h</w:instrText>
        </w:r>
        <w:r>
          <w:fldChar w:fldCharType="end"/>
        </w:r>
      </w:hyperlink>
    </w:p>
    <w:p>
      <w:pPr>
        <w:tabs>
          <w:tab w:val="right" w:leader="dot" w:pos="9062"/>
        </w:tabs>
        <w:ind w:left="440"/>
      </w:pPr>
      <w:hyperlink w:anchor="_Toc5853" w:history="1">
        <w:r>
          <w:rPr>
            <w:rFonts w:ascii="IRNazanin" w:hAnsi="IRNazanin" w:eastAsia="IRNazanin" w:cs="IRNazanin"/>
            <w:color w:val="111111"/>
            <w:sz w:val="22"/>
            <w:szCs w:val="22"/>
            <w:b w:val="0"/>
            <w:bCs w:val="0"/>
            <w:i w:val="0"/>
            <w:iCs w:val="0"/>
          </w:rPr>
          <w:t>5387- دیوان فارس بروجردی‏</w:t>
        </w:r>
        <w:r>
          <w:tab/>
        </w:r>
        <w:r>
          <w:fldChar w:fldCharType="begin"/>
        </w:r>
        <w:r>
          <w:instrText xml:space="preserve">PAGEREF 5853 \h</w:instrText>
        </w:r>
        <w:r>
          <w:fldChar w:fldCharType="end"/>
        </w:r>
      </w:hyperlink>
    </w:p>
    <w:p>
      <w:pPr>
        <w:tabs>
          <w:tab w:val="right" w:leader="dot" w:pos="9062"/>
        </w:tabs>
        <w:ind w:left="440"/>
      </w:pPr>
      <w:hyperlink w:anchor="_Toc5854" w:history="1">
        <w:r>
          <w:rPr>
            <w:rFonts w:ascii="IRNazanin" w:hAnsi="IRNazanin" w:eastAsia="IRNazanin" w:cs="IRNazanin"/>
            <w:color w:val="111111"/>
            <w:sz w:val="22"/>
            <w:szCs w:val="22"/>
            <w:b w:val="0"/>
            <w:bCs w:val="0"/>
            <w:i w:val="0"/>
            <w:iCs w:val="0"/>
          </w:rPr>
          <w:t>5388- دیوان فارس بن عدنان أو شعره‏</w:t>
        </w:r>
        <w:r>
          <w:tab/>
        </w:r>
        <w:r>
          <w:fldChar w:fldCharType="begin"/>
        </w:r>
        <w:r>
          <w:instrText xml:space="preserve">PAGEREF 5854 \h</w:instrText>
        </w:r>
        <w:r>
          <w:fldChar w:fldCharType="end"/>
        </w:r>
      </w:hyperlink>
    </w:p>
    <w:p>
      <w:pPr>
        <w:tabs>
          <w:tab w:val="right" w:leader="dot" w:pos="9062"/>
        </w:tabs>
        <w:ind w:left="440"/>
      </w:pPr>
      <w:hyperlink w:anchor="_Toc5855" w:history="1">
        <w:r>
          <w:rPr>
            <w:rFonts w:ascii="IRNazanin" w:hAnsi="IRNazanin" w:eastAsia="IRNazanin" w:cs="IRNazanin"/>
            <w:color w:val="111111"/>
            <w:sz w:val="22"/>
            <w:szCs w:val="22"/>
            <w:b w:val="0"/>
            <w:bCs w:val="0"/>
            <w:i w:val="0"/>
            <w:iCs w:val="0"/>
          </w:rPr>
          <w:t>دیوان فارسی‏</w:t>
        </w:r>
        <w:r>
          <w:tab/>
        </w:r>
        <w:r>
          <w:fldChar w:fldCharType="begin"/>
        </w:r>
        <w:r>
          <w:instrText xml:space="preserve">PAGEREF 5855 \h</w:instrText>
        </w:r>
        <w:r>
          <w:fldChar w:fldCharType="end"/>
        </w:r>
      </w:hyperlink>
    </w:p>
    <w:p>
      <w:pPr>
        <w:tabs>
          <w:tab w:val="right" w:leader="dot" w:pos="9062"/>
        </w:tabs>
        <w:ind w:left="440"/>
      </w:pPr>
      <w:hyperlink w:anchor="_Toc5856" w:history="1">
        <w:r>
          <w:rPr>
            <w:rFonts w:ascii="IRNazanin" w:hAnsi="IRNazanin" w:eastAsia="IRNazanin" w:cs="IRNazanin"/>
            <w:color w:val="111111"/>
            <w:sz w:val="22"/>
            <w:szCs w:val="22"/>
            <w:b w:val="0"/>
            <w:bCs w:val="0"/>
            <w:i w:val="0"/>
            <w:iCs w:val="0"/>
          </w:rPr>
          <w:t>5389- دیوان فارغ تبریزی أو شعره‏</w:t>
        </w:r>
        <w:r>
          <w:tab/>
        </w:r>
        <w:r>
          <w:fldChar w:fldCharType="begin"/>
        </w:r>
        <w:r>
          <w:instrText xml:space="preserve">PAGEREF 5856 \h</w:instrText>
        </w:r>
        <w:r>
          <w:fldChar w:fldCharType="end"/>
        </w:r>
      </w:hyperlink>
    </w:p>
    <w:p>
      <w:pPr>
        <w:tabs>
          <w:tab w:val="right" w:leader="dot" w:pos="9062"/>
        </w:tabs>
        <w:ind w:left="440"/>
      </w:pPr>
      <w:hyperlink w:anchor="_Toc5857" w:history="1">
        <w:r>
          <w:rPr>
            <w:rFonts w:ascii="IRNazanin" w:hAnsi="IRNazanin" w:eastAsia="IRNazanin" w:cs="IRNazanin"/>
            <w:color w:val="111111"/>
            <w:sz w:val="22"/>
            <w:szCs w:val="22"/>
            <w:b w:val="0"/>
            <w:bCs w:val="0"/>
            <w:i w:val="0"/>
            <w:iCs w:val="0"/>
          </w:rPr>
          <w:t>دیوان فارغ تبریزی‏</w:t>
        </w:r>
        <w:r>
          <w:tab/>
        </w:r>
        <w:r>
          <w:fldChar w:fldCharType="begin"/>
        </w:r>
        <w:r>
          <w:instrText xml:space="preserve">PAGEREF 5857 \h</w:instrText>
        </w:r>
        <w:r>
          <w:fldChar w:fldCharType="end"/>
        </w:r>
      </w:hyperlink>
    </w:p>
    <w:p>
      <w:pPr>
        <w:tabs>
          <w:tab w:val="right" w:leader="dot" w:pos="9062"/>
        </w:tabs>
        <w:ind w:left="440"/>
      </w:pPr>
      <w:hyperlink w:anchor="_Toc5858" w:history="1">
        <w:r>
          <w:rPr>
            <w:rFonts w:ascii="IRNazanin" w:hAnsi="IRNazanin" w:eastAsia="IRNazanin" w:cs="IRNazanin"/>
            <w:color w:val="111111"/>
            <w:sz w:val="22"/>
            <w:szCs w:val="22"/>
            <w:b w:val="0"/>
            <w:bCs w:val="0"/>
            <w:i w:val="0"/>
            <w:iCs w:val="0"/>
          </w:rPr>
          <w:t>5390- دیوان فارغ سبزواری أو شعره‏</w:t>
        </w:r>
        <w:r>
          <w:tab/>
        </w:r>
        <w:r>
          <w:fldChar w:fldCharType="begin"/>
        </w:r>
        <w:r>
          <w:instrText xml:space="preserve">PAGEREF 5858 \h</w:instrText>
        </w:r>
        <w:r>
          <w:fldChar w:fldCharType="end"/>
        </w:r>
      </w:hyperlink>
    </w:p>
    <w:p>
      <w:pPr>
        <w:tabs>
          <w:tab w:val="right" w:leader="dot" w:pos="9062"/>
        </w:tabs>
        <w:ind w:left="440"/>
      </w:pPr>
      <w:hyperlink w:anchor="_Toc5859" w:history="1">
        <w:r>
          <w:rPr>
            <w:rFonts w:ascii="IRNazanin" w:hAnsi="IRNazanin" w:eastAsia="IRNazanin" w:cs="IRNazanin"/>
            <w:color w:val="111111"/>
            <w:sz w:val="22"/>
            <w:szCs w:val="22"/>
            <w:b w:val="0"/>
            <w:bCs w:val="0"/>
            <w:i w:val="0"/>
            <w:iCs w:val="0"/>
          </w:rPr>
          <w:t>5391- دیوان فارغ گیلانی‏</w:t>
        </w:r>
        <w:r>
          <w:tab/>
        </w:r>
        <w:r>
          <w:fldChar w:fldCharType="begin"/>
        </w:r>
        <w:r>
          <w:instrText xml:space="preserve">PAGEREF 5859 \h</w:instrText>
        </w:r>
        <w:r>
          <w:fldChar w:fldCharType="end"/>
        </w:r>
      </w:hyperlink>
    </w:p>
    <w:p>
      <w:pPr>
        <w:tabs>
          <w:tab w:val="right" w:leader="dot" w:pos="9062"/>
        </w:tabs>
        <w:ind w:left="440"/>
      </w:pPr>
      <w:hyperlink w:anchor="_Toc5860" w:history="1">
        <w:r>
          <w:rPr>
            <w:rFonts w:ascii="IRNazanin" w:hAnsi="IRNazanin" w:eastAsia="IRNazanin" w:cs="IRNazanin"/>
            <w:color w:val="111111"/>
            <w:sz w:val="22"/>
            <w:szCs w:val="22"/>
            <w:b w:val="0"/>
            <w:bCs w:val="0"/>
            <w:i w:val="0"/>
            <w:iCs w:val="0"/>
          </w:rPr>
          <w:t>5392- دیوان فارغ مرادآبادی أو شعره‏</w:t>
        </w:r>
        <w:r>
          <w:tab/>
        </w:r>
        <w:r>
          <w:fldChar w:fldCharType="begin"/>
        </w:r>
        <w:r>
          <w:instrText xml:space="preserve">PAGEREF 5860 \h</w:instrText>
        </w:r>
        <w:r>
          <w:fldChar w:fldCharType="end"/>
        </w:r>
      </w:hyperlink>
    </w:p>
    <w:p>
      <w:pPr>
        <w:tabs>
          <w:tab w:val="right" w:leader="dot" w:pos="9062"/>
        </w:tabs>
        <w:ind w:left="440"/>
      </w:pPr>
      <w:hyperlink w:anchor="_Toc5861" w:history="1">
        <w:r>
          <w:rPr>
            <w:rFonts w:ascii="IRNazanin" w:hAnsi="IRNazanin" w:eastAsia="IRNazanin" w:cs="IRNazanin"/>
            <w:color w:val="111111"/>
            <w:sz w:val="22"/>
            <w:szCs w:val="22"/>
            <w:b w:val="0"/>
            <w:bCs w:val="0"/>
            <w:i w:val="0"/>
            <w:iCs w:val="0"/>
          </w:rPr>
          <w:t>5393- دیوان فارغ ورنوسفادرانی أو شعره‏</w:t>
        </w:r>
        <w:r>
          <w:tab/>
        </w:r>
        <w:r>
          <w:fldChar w:fldCharType="begin"/>
        </w:r>
        <w:r>
          <w:instrText xml:space="preserve">PAGEREF 5861 \h</w:instrText>
        </w:r>
        <w:r>
          <w:fldChar w:fldCharType="end"/>
        </w:r>
      </w:hyperlink>
    </w:p>
    <w:p>
      <w:pPr>
        <w:tabs>
          <w:tab w:val="right" w:leader="dot" w:pos="9062"/>
        </w:tabs>
        <w:ind w:left="440"/>
      </w:pPr>
      <w:hyperlink w:anchor="_Toc5862" w:history="1">
        <w:r>
          <w:rPr>
            <w:rFonts w:ascii="IRNazanin" w:hAnsi="IRNazanin" w:eastAsia="IRNazanin" w:cs="IRNazanin"/>
            <w:color w:val="111111"/>
            <w:sz w:val="22"/>
            <w:szCs w:val="22"/>
            <w:b w:val="0"/>
            <w:bCs w:val="0"/>
            <w:i w:val="0"/>
            <w:iCs w:val="0"/>
          </w:rPr>
          <w:t>5394- دیوان فارغ قمی‏</w:t>
        </w:r>
        <w:r>
          <w:tab/>
        </w:r>
        <w:r>
          <w:fldChar w:fldCharType="begin"/>
        </w:r>
        <w:r>
          <w:instrText xml:space="preserve">PAGEREF 5862 \h</w:instrText>
        </w:r>
        <w:r>
          <w:fldChar w:fldCharType="end"/>
        </w:r>
      </w:hyperlink>
    </w:p>
    <w:p>
      <w:pPr>
        <w:tabs>
          <w:tab w:val="right" w:leader="dot" w:pos="9062"/>
        </w:tabs>
        <w:ind w:left="440"/>
      </w:pPr>
      <w:hyperlink w:anchor="_Toc5863" w:history="1">
        <w:r>
          <w:rPr>
            <w:rFonts w:ascii="IRNazanin" w:hAnsi="IRNazanin" w:eastAsia="IRNazanin" w:cs="IRNazanin"/>
            <w:color w:val="111111"/>
            <w:sz w:val="22"/>
            <w:szCs w:val="22"/>
            <w:b w:val="0"/>
            <w:bCs w:val="0"/>
            <w:i w:val="0"/>
            <w:iCs w:val="0"/>
          </w:rPr>
          <w:t>5395- دیوان فارغی أسترآبادی أو شعره‏</w:t>
        </w:r>
        <w:r>
          <w:tab/>
        </w:r>
        <w:r>
          <w:fldChar w:fldCharType="begin"/>
        </w:r>
        <w:r>
          <w:instrText xml:space="preserve">PAGEREF 5863 \h</w:instrText>
        </w:r>
        <w:r>
          <w:fldChar w:fldCharType="end"/>
        </w:r>
      </w:hyperlink>
    </w:p>
    <w:p>
      <w:pPr>
        <w:tabs>
          <w:tab w:val="right" w:leader="dot" w:pos="9062"/>
        </w:tabs>
        <w:ind w:left="440"/>
      </w:pPr>
      <w:hyperlink w:anchor="_Toc5864" w:history="1">
        <w:r>
          <w:rPr>
            <w:rFonts w:ascii="IRNazanin" w:hAnsi="IRNazanin" w:eastAsia="IRNazanin" w:cs="IRNazanin"/>
            <w:color w:val="111111"/>
            <w:sz w:val="22"/>
            <w:szCs w:val="22"/>
            <w:b w:val="0"/>
            <w:bCs w:val="0"/>
            <w:i w:val="0"/>
            <w:iCs w:val="0"/>
          </w:rPr>
          <w:t>5396- دیوان فارغی تبریزی‏</w:t>
        </w:r>
        <w:r>
          <w:tab/>
        </w:r>
        <w:r>
          <w:fldChar w:fldCharType="begin"/>
        </w:r>
        <w:r>
          <w:instrText xml:space="preserve">PAGEREF 5864 \h</w:instrText>
        </w:r>
        <w:r>
          <w:fldChar w:fldCharType="end"/>
        </w:r>
      </w:hyperlink>
    </w:p>
    <w:p>
      <w:pPr>
        <w:tabs>
          <w:tab w:val="right" w:leader="dot" w:pos="9062"/>
        </w:tabs>
        <w:ind w:left="440"/>
      </w:pPr>
      <w:hyperlink w:anchor="_Toc5865" w:history="1">
        <w:r>
          <w:rPr>
            <w:rFonts w:ascii="IRNazanin" w:hAnsi="IRNazanin" w:eastAsia="IRNazanin" w:cs="IRNazanin"/>
            <w:color w:val="111111"/>
            <w:sz w:val="22"/>
            <w:szCs w:val="22"/>
            <w:b w:val="0"/>
            <w:bCs w:val="0"/>
            <w:i w:val="0"/>
            <w:iCs w:val="0"/>
          </w:rPr>
          <w:t>5397- دیوان فارغی هندی أو شعره‏</w:t>
        </w:r>
        <w:r>
          <w:tab/>
        </w:r>
        <w:r>
          <w:fldChar w:fldCharType="begin"/>
        </w:r>
        <w:r>
          <w:instrText xml:space="preserve">PAGEREF 5865 \h</w:instrText>
        </w:r>
        <w:r>
          <w:fldChar w:fldCharType="end"/>
        </w:r>
      </w:hyperlink>
    </w:p>
    <w:p>
      <w:pPr>
        <w:tabs>
          <w:tab w:val="right" w:leader="dot" w:pos="9062"/>
        </w:tabs>
        <w:ind w:left="440"/>
      </w:pPr>
      <w:hyperlink w:anchor="_Toc5866" w:history="1">
        <w:r>
          <w:rPr>
            <w:rFonts w:ascii="IRNazanin" w:hAnsi="IRNazanin" w:eastAsia="IRNazanin" w:cs="IRNazanin"/>
            <w:color w:val="111111"/>
            <w:sz w:val="22"/>
            <w:szCs w:val="22"/>
            <w:b w:val="0"/>
            <w:bCs w:val="0"/>
            <w:i w:val="0"/>
            <w:iCs w:val="0"/>
          </w:rPr>
          <w:t>5398- دیوان مولانا فارغی هروی أو شعره‏</w:t>
        </w:r>
        <w:r>
          <w:tab/>
        </w:r>
        <w:r>
          <w:fldChar w:fldCharType="begin"/>
        </w:r>
        <w:r>
          <w:instrText xml:space="preserve">PAGEREF 5866 \h</w:instrText>
        </w:r>
        <w:r>
          <w:fldChar w:fldCharType="end"/>
        </w:r>
      </w:hyperlink>
    </w:p>
    <w:p>
      <w:pPr>
        <w:tabs>
          <w:tab w:val="right" w:leader="dot" w:pos="9062"/>
        </w:tabs>
        <w:ind w:left="440"/>
      </w:pPr>
      <w:hyperlink w:anchor="_Toc5867" w:history="1">
        <w:r>
          <w:rPr>
            <w:rFonts w:ascii="IRNazanin" w:hAnsi="IRNazanin" w:eastAsia="IRNazanin" w:cs="IRNazanin"/>
            <w:color w:val="111111"/>
            <w:sz w:val="22"/>
            <w:szCs w:val="22"/>
            <w:b w:val="0"/>
            <w:bCs w:val="0"/>
            <w:i w:val="0"/>
            <w:iCs w:val="0"/>
          </w:rPr>
          <w:t>5399- دیوان فارغی شیرازی أو شعره‏</w:t>
        </w:r>
        <w:r>
          <w:tab/>
        </w:r>
        <w:r>
          <w:fldChar w:fldCharType="begin"/>
        </w:r>
        <w:r>
          <w:instrText xml:space="preserve">PAGEREF 5867 \h</w:instrText>
        </w:r>
        <w:r>
          <w:fldChar w:fldCharType="end"/>
        </w:r>
      </w:hyperlink>
    </w:p>
    <w:p>
      <w:pPr>
        <w:tabs>
          <w:tab w:val="right" w:leader="dot" w:pos="9062"/>
        </w:tabs>
        <w:ind w:left="440"/>
      </w:pPr>
      <w:hyperlink w:anchor="_Toc5868" w:history="1">
        <w:r>
          <w:rPr>
            <w:rFonts w:ascii="IRNazanin" w:hAnsi="IRNazanin" w:eastAsia="IRNazanin" w:cs="IRNazanin"/>
            <w:color w:val="111111"/>
            <w:sz w:val="22"/>
            <w:szCs w:val="22"/>
            <w:b w:val="0"/>
            <w:bCs w:val="0"/>
            <w:i w:val="0"/>
            <w:iCs w:val="0"/>
          </w:rPr>
          <w:t>5400- دیوان فارغی هروی أو شعره‏</w:t>
        </w:r>
        <w:r>
          <w:tab/>
        </w:r>
        <w:r>
          <w:fldChar w:fldCharType="begin"/>
        </w:r>
        <w:r>
          <w:instrText xml:space="preserve">PAGEREF 5868 \h</w:instrText>
        </w:r>
        <w:r>
          <w:fldChar w:fldCharType="end"/>
        </w:r>
      </w:hyperlink>
    </w:p>
    <w:p>
      <w:pPr>
        <w:tabs>
          <w:tab w:val="right" w:leader="dot" w:pos="9062"/>
        </w:tabs>
        <w:ind w:left="440"/>
      </w:pPr>
      <w:hyperlink w:anchor="_Toc5869" w:history="1">
        <w:r>
          <w:rPr>
            <w:rFonts w:ascii="IRNazanin" w:hAnsi="IRNazanin" w:eastAsia="IRNazanin" w:cs="IRNazanin"/>
            <w:color w:val="111111"/>
            <w:sz w:val="22"/>
            <w:szCs w:val="22"/>
            <w:b w:val="0"/>
            <w:bCs w:val="0"/>
            <w:i w:val="0"/>
            <w:iCs w:val="0"/>
          </w:rPr>
          <w:t>5401- دیوان فاروقی أو شعره‏</w:t>
        </w:r>
        <w:r>
          <w:tab/>
        </w:r>
        <w:r>
          <w:fldChar w:fldCharType="begin"/>
        </w:r>
        <w:r>
          <w:instrText xml:space="preserve">PAGEREF 5869 \h</w:instrText>
        </w:r>
        <w:r>
          <w:fldChar w:fldCharType="end"/>
        </w:r>
      </w:hyperlink>
    </w:p>
    <w:p>
      <w:pPr>
        <w:tabs>
          <w:tab w:val="right" w:leader="dot" w:pos="9062"/>
        </w:tabs>
        <w:ind w:left="440"/>
      </w:pPr>
      <w:hyperlink w:anchor="_Toc5870" w:history="1">
        <w:r>
          <w:rPr>
            <w:rFonts w:ascii="IRNazanin" w:hAnsi="IRNazanin" w:eastAsia="IRNazanin" w:cs="IRNazanin"/>
            <w:color w:val="111111"/>
            <w:sz w:val="22"/>
            <w:szCs w:val="22"/>
            <w:b w:val="0"/>
            <w:bCs w:val="0"/>
            <w:i w:val="0"/>
            <w:iCs w:val="0"/>
          </w:rPr>
          <w:t>دیوان فاروقی‏</w:t>
        </w:r>
        <w:r>
          <w:tab/>
        </w:r>
        <w:r>
          <w:fldChar w:fldCharType="begin"/>
        </w:r>
        <w:r>
          <w:instrText xml:space="preserve">PAGEREF 5870 \h</w:instrText>
        </w:r>
        <w:r>
          <w:fldChar w:fldCharType="end"/>
        </w:r>
      </w:hyperlink>
    </w:p>
    <w:p>
      <w:pPr>
        <w:tabs>
          <w:tab w:val="right" w:leader="dot" w:pos="9062"/>
        </w:tabs>
        <w:ind w:left="440"/>
      </w:pPr>
      <w:hyperlink w:anchor="_Toc5871" w:history="1">
        <w:r>
          <w:rPr>
            <w:rFonts w:ascii="IRNazanin" w:hAnsi="IRNazanin" w:eastAsia="IRNazanin" w:cs="IRNazanin"/>
            <w:color w:val="111111"/>
            <w:sz w:val="22"/>
            <w:szCs w:val="22"/>
            <w:b w:val="0"/>
            <w:bCs w:val="0"/>
            <w:i w:val="0"/>
            <w:iCs w:val="0"/>
          </w:rPr>
          <w:t>دیوان فارابی‏</w:t>
        </w:r>
        <w:r>
          <w:tab/>
        </w:r>
        <w:r>
          <w:fldChar w:fldCharType="begin"/>
        </w:r>
        <w:r>
          <w:instrText xml:space="preserve">PAGEREF 5871 \h</w:instrText>
        </w:r>
        <w:r>
          <w:fldChar w:fldCharType="end"/>
        </w:r>
      </w:hyperlink>
    </w:p>
    <w:p>
      <w:pPr>
        <w:tabs>
          <w:tab w:val="right" w:leader="dot" w:pos="9062"/>
        </w:tabs>
        <w:ind w:left="440"/>
      </w:pPr>
      <w:hyperlink w:anchor="_Toc5872" w:history="1">
        <w:r>
          <w:rPr>
            <w:rFonts w:ascii="IRNazanin" w:hAnsi="IRNazanin" w:eastAsia="IRNazanin" w:cs="IRNazanin"/>
            <w:color w:val="111111"/>
            <w:sz w:val="22"/>
            <w:szCs w:val="22"/>
            <w:b w:val="0"/>
            <w:bCs w:val="0"/>
            <w:i w:val="0"/>
            <w:iCs w:val="0"/>
          </w:rPr>
          <w:t>5402- دیوان فاضل خوزانی‏</w:t>
        </w:r>
        <w:r>
          <w:tab/>
        </w:r>
        <w:r>
          <w:fldChar w:fldCharType="begin"/>
        </w:r>
        <w:r>
          <w:instrText xml:space="preserve">PAGEREF 5872 \h</w:instrText>
        </w:r>
        <w:r>
          <w:fldChar w:fldCharType="end"/>
        </w:r>
      </w:hyperlink>
    </w:p>
    <w:p>
      <w:pPr>
        <w:tabs>
          <w:tab w:val="right" w:leader="dot" w:pos="9062"/>
        </w:tabs>
        <w:ind w:left="440"/>
      </w:pPr>
      <w:hyperlink w:anchor="_Toc5873" w:history="1">
        <w:r>
          <w:rPr>
            <w:rFonts w:ascii="IRNazanin" w:hAnsi="IRNazanin" w:eastAsia="IRNazanin" w:cs="IRNazanin"/>
            <w:color w:val="111111"/>
            <w:sz w:val="22"/>
            <w:szCs w:val="22"/>
            <w:b w:val="0"/>
            <w:bCs w:val="0"/>
            <w:i w:val="0"/>
            <w:iCs w:val="0"/>
          </w:rPr>
          <w:t>5403- دیوان فاضل طبسی‏</w:t>
        </w:r>
        <w:r>
          <w:tab/>
        </w:r>
        <w:r>
          <w:fldChar w:fldCharType="begin"/>
        </w:r>
        <w:r>
          <w:instrText xml:space="preserve">PAGEREF 5873 \h</w:instrText>
        </w:r>
        <w:r>
          <w:fldChar w:fldCharType="end"/>
        </w:r>
      </w:hyperlink>
    </w:p>
    <w:p>
      <w:pPr>
        <w:tabs>
          <w:tab w:val="right" w:leader="dot" w:pos="9062"/>
        </w:tabs>
        <w:ind w:left="440"/>
      </w:pPr>
      <w:hyperlink w:anchor="_Toc5874" w:history="1">
        <w:r>
          <w:rPr>
            <w:rFonts w:ascii="IRNazanin" w:hAnsi="IRNazanin" w:eastAsia="IRNazanin" w:cs="IRNazanin"/>
            <w:color w:val="111111"/>
            <w:sz w:val="22"/>
            <w:szCs w:val="22"/>
            <w:b w:val="0"/>
            <w:bCs w:val="0"/>
            <w:i w:val="0"/>
            <w:iCs w:val="0"/>
          </w:rPr>
          <w:t>5404- دیوان فاضل عراقی‏</w:t>
        </w:r>
        <w:r>
          <w:tab/>
        </w:r>
        <w:r>
          <w:fldChar w:fldCharType="begin"/>
        </w:r>
        <w:r>
          <w:instrText xml:space="preserve">PAGEREF 5874 \h</w:instrText>
        </w:r>
        <w:r>
          <w:fldChar w:fldCharType="end"/>
        </w:r>
      </w:hyperlink>
    </w:p>
    <w:p>
      <w:pPr>
        <w:tabs>
          <w:tab w:val="right" w:leader="dot" w:pos="9062"/>
        </w:tabs>
        <w:ind w:left="440"/>
      </w:pPr>
      <w:hyperlink w:anchor="_Toc5875" w:history="1">
        <w:r>
          <w:rPr>
            <w:rFonts w:ascii="IRNazanin" w:hAnsi="IRNazanin" w:eastAsia="IRNazanin" w:cs="IRNazanin"/>
            <w:color w:val="111111"/>
            <w:sz w:val="22"/>
            <w:szCs w:val="22"/>
            <w:b w:val="0"/>
            <w:bCs w:val="0"/>
            <w:i w:val="0"/>
            <w:iCs w:val="0"/>
          </w:rPr>
          <w:t>5405- دیوان فاضل کاشانی‏</w:t>
        </w:r>
        <w:r>
          <w:tab/>
        </w:r>
        <w:r>
          <w:fldChar w:fldCharType="begin"/>
        </w:r>
        <w:r>
          <w:instrText xml:space="preserve">PAGEREF 5875 \h</w:instrText>
        </w:r>
        <w:r>
          <w:fldChar w:fldCharType="end"/>
        </w:r>
      </w:hyperlink>
    </w:p>
    <w:p>
      <w:pPr>
        <w:tabs>
          <w:tab w:val="right" w:leader="dot" w:pos="9062"/>
        </w:tabs>
        <w:ind w:left="440"/>
      </w:pPr>
      <w:hyperlink w:anchor="_Toc5876" w:history="1">
        <w:r>
          <w:rPr>
            <w:rFonts w:ascii="IRNazanin" w:hAnsi="IRNazanin" w:eastAsia="IRNazanin" w:cs="IRNazanin"/>
            <w:color w:val="111111"/>
            <w:sz w:val="22"/>
            <w:szCs w:val="22"/>
            <w:b w:val="0"/>
            <w:bCs w:val="0"/>
            <w:i w:val="0"/>
            <w:iCs w:val="0"/>
          </w:rPr>
          <w:t>دیوان فاضل گروسی‏</w:t>
        </w:r>
        <w:r>
          <w:tab/>
        </w:r>
        <w:r>
          <w:fldChar w:fldCharType="begin"/>
        </w:r>
        <w:r>
          <w:instrText xml:space="preserve">PAGEREF 5876 \h</w:instrText>
        </w:r>
        <w:r>
          <w:fldChar w:fldCharType="end"/>
        </w:r>
      </w:hyperlink>
    </w:p>
    <w:p>
      <w:pPr>
        <w:tabs>
          <w:tab w:val="right" w:leader="dot" w:pos="9062"/>
        </w:tabs>
        <w:ind w:left="440"/>
      </w:pPr>
      <w:hyperlink w:anchor="_Toc5877" w:history="1">
        <w:r>
          <w:rPr>
            <w:rFonts w:ascii="IRNazanin" w:hAnsi="IRNazanin" w:eastAsia="IRNazanin" w:cs="IRNazanin"/>
            <w:color w:val="111111"/>
            <w:sz w:val="22"/>
            <w:szCs w:val="22"/>
            <w:b w:val="0"/>
            <w:bCs w:val="0"/>
            <w:i w:val="0"/>
            <w:iCs w:val="0"/>
          </w:rPr>
          <w:t>5406- دیوان فاضل مازندرانی أو شعره‏</w:t>
        </w:r>
        <w:r>
          <w:tab/>
        </w:r>
        <w:r>
          <w:fldChar w:fldCharType="begin"/>
        </w:r>
        <w:r>
          <w:instrText xml:space="preserve">PAGEREF 5877 \h</w:instrText>
        </w:r>
        <w:r>
          <w:fldChar w:fldCharType="end"/>
        </w:r>
      </w:hyperlink>
    </w:p>
    <w:p>
      <w:pPr>
        <w:tabs>
          <w:tab w:val="right" w:leader="dot" w:pos="9062"/>
        </w:tabs>
        <w:ind w:left="440"/>
      </w:pPr>
      <w:hyperlink w:anchor="_Toc5878" w:history="1">
        <w:r>
          <w:rPr>
            <w:rFonts w:ascii="IRNazanin" w:hAnsi="IRNazanin" w:eastAsia="IRNazanin" w:cs="IRNazanin"/>
            <w:color w:val="111111"/>
            <w:sz w:val="22"/>
            <w:szCs w:val="22"/>
            <w:b w:val="0"/>
            <w:bCs w:val="0"/>
            <w:i w:val="0"/>
            <w:iCs w:val="0"/>
          </w:rPr>
          <w:t>5407- دیوان فاضل نوری‏</w:t>
        </w:r>
        <w:r>
          <w:tab/>
        </w:r>
        <w:r>
          <w:fldChar w:fldCharType="begin"/>
        </w:r>
        <w:r>
          <w:instrText xml:space="preserve">PAGEREF 5878 \h</w:instrText>
        </w:r>
        <w:r>
          <w:fldChar w:fldCharType="end"/>
        </w:r>
      </w:hyperlink>
    </w:p>
    <w:p>
      <w:pPr>
        <w:tabs>
          <w:tab w:val="right" w:leader="dot" w:pos="9062"/>
        </w:tabs>
        <w:ind w:left="440"/>
      </w:pPr>
      <w:hyperlink w:anchor="_Toc5879" w:history="1">
        <w:r>
          <w:rPr>
            <w:rFonts w:ascii="IRNazanin" w:hAnsi="IRNazanin" w:eastAsia="IRNazanin" w:cs="IRNazanin"/>
            <w:color w:val="111111"/>
            <w:sz w:val="22"/>
            <w:szCs w:val="22"/>
            <w:b w:val="0"/>
            <w:bCs w:val="0"/>
            <w:i w:val="0"/>
            <w:iCs w:val="0"/>
          </w:rPr>
          <w:t>5408- دیوان فاضلی‏</w:t>
        </w:r>
        <w:r>
          <w:tab/>
        </w:r>
        <w:r>
          <w:fldChar w:fldCharType="begin"/>
        </w:r>
        <w:r>
          <w:instrText xml:space="preserve">PAGEREF 5879 \h</w:instrText>
        </w:r>
        <w:r>
          <w:fldChar w:fldCharType="end"/>
        </w:r>
      </w:hyperlink>
    </w:p>
    <w:p>
      <w:pPr>
        <w:tabs>
          <w:tab w:val="right" w:leader="dot" w:pos="9062"/>
        </w:tabs>
        <w:ind w:left="440"/>
      </w:pPr>
      <w:hyperlink w:anchor="_Toc5880" w:history="1">
        <w:r>
          <w:rPr>
            <w:rFonts w:ascii="IRNazanin" w:hAnsi="IRNazanin" w:eastAsia="IRNazanin" w:cs="IRNazanin"/>
            <w:color w:val="111111"/>
            <w:sz w:val="22"/>
            <w:szCs w:val="22"/>
            <w:b w:val="0"/>
            <w:bCs w:val="0"/>
            <w:i w:val="0"/>
            <w:iCs w:val="0"/>
          </w:rPr>
          <w:t>5409- دیوان فاطمة سلطان إمامی‏</w:t>
        </w:r>
        <w:r>
          <w:tab/>
        </w:r>
        <w:r>
          <w:fldChar w:fldCharType="begin"/>
        </w:r>
        <w:r>
          <w:instrText xml:space="preserve">PAGEREF 5880 \h</w:instrText>
        </w:r>
        <w:r>
          <w:fldChar w:fldCharType="end"/>
        </w:r>
      </w:hyperlink>
    </w:p>
    <w:p>
      <w:pPr>
        <w:tabs>
          <w:tab w:val="right" w:leader="dot" w:pos="9062"/>
        </w:tabs>
        <w:ind w:left="440"/>
      </w:pPr>
      <w:hyperlink w:anchor="_Toc5881" w:history="1">
        <w:r>
          <w:rPr>
            <w:rFonts w:ascii="IRNazanin" w:hAnsi="IRNazanin" w:eastAsia="IRNazanin" w:cs="IRNazanin"/>
            <w:color w:val="111111"/>
            <w:sz w:val="22"/>
            <w:szCs w:val="22"/>
            <w:b w:val="0"/>
            <w:bCs w:val="0"/>
            <w:i w:val="0"/>
            <w:iCs w:val="0"/>
          </w:rPr>
          <w:t>5410- دیوان فاطمة خراسانیة أو شعرها</w:t>
        </w:r>
        <w:r>
          <w:tab/>
        </w:r>
        <w:r>
          <w:fldChar w:fldCharType="begin"/>
        </w:r>
        <w:r>
          <w:instrText xml:space="preserve">PAGEREF 5881 \h</w:instrText>
        </w:r>
        <w:r>
          <w:fldChar w:fldCharType="end"/>
        </w:r>
      </w:hyperlink>
    </w:p>
    <w:p>
      <w:pPr>
        <w:tabs>
          <w:tab w:val="right" w:leader="dot" w:pos="9062"/>
        </w:tabs>
        <w:ind w:left="440"/>
      </w:pPr>
      <w:hyperlink w:anchor="_Toc5882" w:history="1">
        <w:r>
          <w:rPr>
            <w:rFonts w:ascii="IRNazanin" w:hAnsi="IRNazanin" w:eastAsia="IRNazanin" w:cs="IRNazanin"/>
            <w:color w:val="111111"/>
            <w:sz w:val="22"/>
            <w:szCs w:val="22"/>
            <w:b w:val="0"/>
            <w:bCs w:val="0"/>
            <w:i w:val="0"/>
            <w:iCs w:val="0"/>
          </w:rPr>
          <w:t>5411- دیوان فاطمة سلطان أو شعرها</w:t>
        </w:r>
        <w:r>
          <w:tab/>
        </w:r>
        <w:r>
          <w:fldChar w:fldCharType="begin"/>
        </w:r>
        <w:r>
          <w:instrText xml:space="preserve">PAGEREF 5882 \h</w:instrText>
        </w:r>
        <w:r>
          <w:fldChar w:fldCharType="end"/>
        </w:r>
      </w:hyperlink>
    </w:p>
    <w:p>
      <w:pPr>
        <w:tabs>
          <w:tab w:val="right" w:leader="dot" w:pos="9062"/>
        </w:tabs>
        <w:ind w:left="440"/>
      </w:pPr>
      <w:hyperlink w:anchor="_Toc5883" w:history="1">
        <w:r>
          <w:rPr>
            <w:rFonts w:ascii="IRNazanin" w:hAnsi="IRNazanin" w:eastAsia="IRNazanin" w:cs="IRNazanin"/>
            <w:color w:val="111111"/>
            <w:sz w:val="22"/>
            <w:szCs w:val="22"/>
            <w:b w:val="0"/>
            <w:bCs w:val="0"/>
            <w:i w:val="0"/>
            <w:iCs w:val="0"/>
          </w:rPr>
          <w:t>5412- دیوان فانی أصفهانی‏</w:t>
        </w:r>
        <w:r>
          <w:tab/>
        </w:r>
        <w:r>
          <w:fldChar w:fldCharType="begin"/>
        </w:r>
        <w:r>
          <w:instrText xml:space="preserve">PAGEREF 5883 \h</w:instrText>
        </w:r>
        <w:r>
          <w:fldChar w:fldCharType="end"/>
        </w:r>
      </w:hyperlink>
    </w:p>
    <w:p>
      <w:pPr>
        <w:tabs>
          <w:tab w:val="right" w:leader="dot" w:pos="9062"/>
        </w:tabs>
        <w:ind w:left="440"/>
      </w:pPr>
      <w:hyperlink w:anchor="_Toc5884" w:history="1">
        <w:r>
          <w:rPr>
            <w:rFonts w:ascii="IRNazanin" w:hAnsi="IRNazanin" w:eastAsia="IRNazanin" w:cs="IRNazanin"/>
            <w:color w:val="111111"/>
            <w:sz w:val="22"/>
            <w:szCs w:val="22"/>
            <w:b w:val="0"/>
            <w:bCs w:val="0"/>
            <w:i w:val="0"/>
            <w:iCs w:val="0"/>
          </w:rPr>
          <w:t>5413- دیوان فانی اهری‏</w:t>
        </w:r>
        <w:r>
          <w:tab/>
        </w:r>
        <w:r>
          <w:fldChar w:fldCharType="begin"/>
        </w:r>
        <w:r>
          <w:instrText xml:space="preserve">PAGEREF 5884 \h</w:instrText>
        </w:r>
        <w:r>
          <w:fldChar w:fldCharType="end"/>
        </w:r>
      </w:hyperlink>
    </w:p>
    <w:p>
      <w:pPr>
        <w:tabs>
          <w:tab w:val="right" w:leader="dot" w:pos="9062"/>
        </w:tabs>
        <w:ind w:left="440"/>
      </w:pPr>
      <w:hyperlink w:anchor="_Toc5885" w:history="1">
        <w:r>
          <w:rPr>
            <w:rFonts w:ascii="IRNazanin" w:hAnsi="IRNazanin" w:eastAsia="IRNazanin" w:cs="IRNazanin"/>
            <w:color w:val="111111"/>
            <w:sz w:val="22"/>
            <w:szCs w:val="22"/>
            <w:b w:val="0"/>
            <w:bCs w:val="0"/>
            <w:i w:val="0"/>
            <w:iCs w:val="0"/>
          </w:rPr>
          <w:t>5414- دیوان فانی پروانه‏چی أو شعره‏</w:t>
        </w:r>
        <w:r>
          <w:tab/>
        </w:r>
        <w:r>
          <w:fldChar w:fldCharType="begin"/>
        </w:r>
        <w:r>
          <w:instrText xml:space="preserve">PAGEREF 5885 \h</w:instrText>
        </w:r>
        <w:r>
          <w:fldChar w:fldCharType="end"/>
        </w:r>
      </w:hyperlink>
    </w:p>
    <w:p>
      <w:pPr>
        <w:tabs>
          <w:tab w:val="right" w:leader="dot" w:pos="9062"/>
        </w:tabs>
        <w:ind w:left="440"/>
      </w:pPr>
      <w:hyperlink w:anchor="_Toc5886" w:history="1">
        <w:r>
          <w:rPr>
            <w:rFonts w:ascii="IRNazanin" w:hAnsi="IRNazanin" w:eastAsia="IRNazanin" w:cs="IRNazanin"/>
            <w:color w:val="111111"/>
            <w:sz w:val="22"/>
            <w:szCs w:val="22"/>
            <w:b w:val="0"/>
            <w:bCs w:val="0"/>
            <w:i w:val="0"/>
            <w:iCs w:val="0"/>
          </w:rPr>
          <w:t>5415- دیوان فانی تبریزی‏</w:t>
        </w:r>
        <w:r>
          <w:tab/>
        </w:r>
        <w:r>
          <w:fldChar w:fldCharType="begin"/>
        </w:r>
        <w:r>
          <w:instrText xml:space="preserve">PAGEREF 5886 \h</w:instrText>
        </w:r>
        <w:r>
          <w:fldChar w:fldCharType="end"/>
        </w:r>
      </w:hyperlink>
    </w:p>
    <w:p>
      <w:pPr>
        <w:tabs>
          <w:tab w:val="right" w:leader="dot" w:pos="9062"/>
        </w:tabs>
        <w:ind w:left="440"/>
      </w:pPr>
      <w:hyperlink w:anchor="_Toc5887" w:history="1">
        <w:r>
          <w:rPr>
            <w:rFonts w:ascii="IRNazanin" w:hAnsi="IRNazanin" w:eastAsia="IRNazanin" w:cs="IRNazanin"/>
            <w:color w:val="111111"/>
            <w:sz w:val="22"/>
            <w:szCs w:val="22"/>
            <w:b w:val="0"/>
            <w:bCs w:val="0"/>
            <w:i w:val="0"/>
            <w:iCs w:val="0"/>
          </w:rPr>
          <w:t>5416- دیوان فانی تبریزی‏</w:t>
        </w:r>
        <w:r>
          <w:tab/>
        </w:r>
        <w:r>
          <w:fldChar w:fldCharType="begin"/>
        </w:r>
        <w:r>
          <w:instrText xml:space="preserve">PAGEREF 5887 \h</w:instrText>
        </w:r>
        <w:r>
          <w:fldChar w:fldCharType="end"/>
        </w:r>
      </w:hyperlink>
    </w:p>
    <w:p>
      <w:pPr>
        <w:tabs>
          <w:tab w:val="right" w:leader="dot" w:pos="9062"/>
        </w:tabs>
        <w:ind w:left="440"/>
      </w:pPr>
      <w:hyperlink w:anchor="_Toc5888" w:history="1">
        <w:r>
          <w:rPr>
            <w:rFonts w:ascii="IRNazanin" w:hAnsi="IRNazanin" w:eastAsia="IRNazanin" w:cs="IRNazanin"/>
            <w:color w:val="111111"/>
            <w:sz w:val="22"/>
            <w:szCs w:val="22"/>
            <w:b w:val="0"/>
            <w:bCs w:val="0"/>
            <w:i w:val="0"/>
            <w:iCs w:val="0"/>
          </w:rPr>
          <w:t>5417- دیوان فانی تبریزی‏</w:t>
        </w:r>
        <w:r>
          <w:tab/>
        </w:r>
        <w:r>
          <w:fldChar w:fldCharType="begin"/>
        </w:r>
        <w:r>
          <w:instrText xml:space="preserve">PAGEREF 5888 \h</w:instrText>
        </w:r>
        <w:r>
          <w:fldChar w:fldCharType="end"/>
        </w:r>
      </w:hyperlink>
    </w:p>
    <w:p>
      <w:pPr>
        <w:tabs>
          <w:tab w:val="right" w:leader="dot" w:pos="9062"/>
        </w:tabs>
        <w:ind w:left="440"/>
      </w:pPr>
      <w:hyperlink w:anchor="_Toc5889" w:history="1">
        <w:r>
          <w:rPr>
            <w:rFonts w:ascii="IRNazanin" w:hAnsi="IRNazanin" w:eastAsia="IRNazanin" w:cs="IRNazanin"/>
            <w:color w:val="111111"/>
            <w:sz w:val="22"/>
            <w:szCs w:val="22"/>
            <w:b w:val="0"/>
            <w:bCs w:val="0"/>
            <w:i w:val="0"/>
            <w:iCs w:val="0"/>
          </w:rPr>
          <w:t>5418- دیوان فانی جرجانی أو شعره‏</w:t>
        </w:r>
        <w:r>
          <w:tab/>
        </w:r>
        <w:r>
          <w:fldChar w:fldCharType="begin"/>
        </w:r>
        <w:r>
          <w:instrText xml:space="preserve">PAGEREF 5889 \h</w:instrText>
        </w:r>
        <w:r>
          <w:fldChar w:fldCharType="end"/>
        </w:r>
      </w:hyperlink>
    </w:p>
    <w:p>
      <w:pPr>
        <w:tabs>
          <w:tab w:val="right" w:leader="dot" w:pos="9062"/>
        </w:tabs>
        <w:ind w:left="440"/>
      </w:pPr>
      <w:hyperlink w:anchor="_Toc5890" w:history="1">
        <w:r>
          <w:rPr>
            <w:rFonts w:ascii="IRNazanin" w:hAnsi="IRNazanin" w:eastAsia="IRNazanin" w:cs="IRNazanin"/>
            <w:color w:val="111111"/>
            <w:sz w:val="22"/>
            <w:szCs w:val="22"/>
            <w:b w:val="0"/>
            <w:bCs w:val="0"/>
            <w:i w:val="0"/>
            <w:iCs w:val="0"/>
          </w:rPr>
          <w:t>دیوان فانی خوافی‏</w:t>
        </w:r>
        <w:r>
          <w:tab/>
        </w:r>
        <w:r>
          <w:fldChar w:fldCharType="begin"/>
        </w:r>
        <w:r>
          <w:instrText xml:space="preserve">PAGEREF 5890 \h</w:instrText>
        </w:r>
        <w:r>
          <w:fldChar w:fldCharType="end"/>
        </w:r>
      </w:hyperlink>
    </w:p>
    <w:p>
      <w:pPr>
        <w:tabs>
          <w:tab w:val="right" w:leader="dot" w:pos="9062"/>
        </w:tabs>
        <w:ind w:left="440"/>
      </w:pPr>
      <w:hyperlink w:anchor="_Toc5891" w:history="1">
        <w:r>
          <w:rPr>
            <w:rFonts w:ascii="IRNazanin" w:hAnsi="IRNazanin" w:eastAsia="IRNazanin" w:cs="IRNazanin"/>
            <w:color w:val="111111"/>
            <w:sz w:val="22"/>
            <w:szCs w:val="22"/>
            <w:b w:val="0"/>
            <w:bCs w:val="0"/>
            <w:i w:val="0"/>
            <w:iCs w:val="0"/>
          </w:rPr>
          <w:t>5419- دیوان فانی رازی‏</w:t>
        </w:r>
        <w:r>
          <w:tab/>
        </w:r>
        <w:r>
          <w:fldChar w:fldCharType="begin"/>
        </w:r>
        <w:r>
          <w:instrText xml:space="preserve">PAGEREF 5891 \h</w:instrText>
        </w:r>
        <w:r>
          <w:fldChar w:fldCharType="end"/>
        </w:r>
      </w:hyperlink>
    </w:p>
    <w:p>
      <w:pPr>
        <w:tabs>
          <w:tab w:val="right" w:leader="dot" w:pos="9062"/>
        </w:tabs>
        <w:ind w:left="440"/>
      </w:pPr>
      <w:hyperlink w:anchor="_Toc5892" w:history="1">
        <w:r>
          <w:rPr>
            <w:rFonts w:ascii="IRNazanin" w:hAnsi="IRNazanin" w:eastAsia="IRNazanin" w:cs="IRNazanin"/>
            <w:color w:val="111111"/>
            <w:sz w:val="22"/>
            <w:szCs w:val="22"/>
            <w:b w:val="0"/>
            <w:bCs w:val="0"/>
            <w:i w:val="0"/>
            <w:iCs w:val="0"/>
          </w:rPr>
          <w:t>5420- دیوان فانی زنوزی‏</w:t>
        </w:r>
        <w:r>
          <w:tab/>
        </w:r>
        <w:r>
          <w:fldChar w:fldCharType="begin"/>
        </w:r>
        <w:r>
          <w:instrText xml:space="preserve">PAGEREF 5892 \h</w:instrText>
        </w:r>
        <w:r>
          <w:fldChar w:fldCharType="end"/>
        </w:r>
      </w:hyperlink>
    </w:p>
    <w:p>
      <w:pPr>
        <w:tabs>
          <w:tab w:val="right" w:leader="dot" w:pos="9062"/>
        </w:tabs>
        <w:ind w:left="440"/>
      </w:pPr>
      <w:hyperlink w:anchor="_Toc5893" w:history="1">
        <w:r>
          <w:rPr>
            <w:rFonts w:ascii="IRNazanin" w:hAnsi="IRNazanin" w:eastAsia="IRNazanin" w:cs="IRNazanin"/>
            <w:color w:val="111111"/>
            <w:sz w:val="22"/>
            <w:szCs w:val="22"/>
            <w:b w:val="0"/>
            <w:bCs w:val="0"/>
            <w:i w:val="0"/>
            <w:iCs w:val="0"/>
          </w:rPr>
          <w:t>5421- دیوان فانی شیرانی أو شعره‏</w:t>
        </w:r>
        <w:r>
          <w:tab/>
        </w:r>
        <w:r>
          <w:fldChar w:fldCharType="begin"/>
        </w:r>
        <w:r>
          <w:instrText xml:space="preserve">PAGEREF 5893 \h</w:instrText>
        </w:r>
        <w:r>
          <w:fldChar w:fldCharType="end"/>
        </w:r>
      </w:hyperlink>
    </w:p>
    <w:p>
      <w:pPr>
        <w:tabs>
          <w:tab w:val="right" w:leader="dot" w:pos="9062"/>
        </w:tabs>
        <w:ind w:left="440"/>
      </w:pPr>
      <w:hyperlink w:anchor="_Toc5894" w:history="1">
        <w:r>
          <w:rPr>
            <w:rFonts w:ascii="IRNazanin" w:hAnsi="IRNazanin" w:eastAsia="IRNazanin" w:cs="IRNazanin"/>
            <w:color w:val="111111"/>
            <w:sz w:val="22"/>
            <w:szCs w:val="22"/>
            <w:b w:val="0"/>
            <w:bCs w:val="0"/>
            <w:i w:val="0"/>
            <w:iCs w:val="0"/>
          </w:rPr>
          <w:t>5422- دیوان فانی کشمیری‏</w:t>
        </w:r>
        <w:r>
          <w:tab/>
        </w:r>
        <w:r>
          <w:fldChar w:fldCharType="begin"/>
        </w:r>
        <w:r>
          <w:instrText xml:space="preserve">PAGEREF 5894 \h</w:instrText>
        </w:r>
        <w:r>
          <w:fldChar w:fldCharType="end"/>
        </w:r>
      </w:hyperlink>
    </w:p>
    <w:p>
      <w:pPr>
        <w:tabs>
          <w:tab w:val="right" w:leader="dot" w:pos="9062"/>
        </w:tabs>
        <w:ind w:left="440"/>
      </w:pPr>
      <w:hyperlink w:anchor="_Toc5895" w:history="1">
        <w:r>
          <w:rPr>
            <w:rFonts w:ascii="IRNazanin" w:hAnsi="IRNazanin" w:eastAsia="IRNazanin" w:cs="IRNazanin"/>
            <w:color w:val="111111"/>
            <w:sz w:val="22"/>
            <w:szCs w:val="22"/>
            <w:b w:val="0"/>
            <w:bCs w:val="0"/>
            <w:i w:val="0"/>
            <w:iCs w:val="0"/>
          </w:rPr>
          <w:t>5423- دیوان فانی‏کور أو شعره‏</w:t>
        </w:r>
        <w:r>
          <w:tab/>
        </w:r>
        <w:r>
          <w:fldChar w:fldCharType="begin"/>
        </w:r>
        <w:r>
          <w:instrText xml:space="preserve">PAGEREF 5895 \h</w:instrText>
        </w:r>
        <w:r>
          <w:fldChar w:fldCharType="end"/>
        </w:r>
      </w:hyperlink>
    </w:p>
    <w:p>
      <w:pPr>
        <w:tabs>
          <w:tab w:val="right" w:leader="dot" w:pos="9062"/>
        </w:tabs>
        <w:ind w:left="440"/>
      </w:pPr>
      <w:hyperlink w:anchor="_Toc5896" w:history="1">
        <w:r>
          <w:rPr>
            <w:rFonts w:ascii="IRNazanin" w:hAnsi="IRNazanin" w:eastAsia="IRNazanin" w:cs="IRNazanin"/>
            <w:color w:val="111111"/>
            <w:sz w:val="22"/>
            <w:szCs w:val="22"/>
            <w:b w:val="0"/>
            <w:bCs w:val="0"/>
            <w:i w:val="0"/>
            <w:iCs w:val="0"/>
          </w:rPr>
          <w:t>5424- دیوان فانی هروی‏</w:t>
        </w:r>
        <w:r>
          <w:tab/>
        </w:r>
        <w:r>
          <w:fldChar w:fldCharType="begin"/>
        </w:r>
        <w:r>
          <w:instrText xml:space="preserve">PAGEREF 5896 \h</w:instrText>
        </w:r>
        <w:r>
          <w:fldChar w:fldCharType="end"/>
        </w:r>
      </w:hyperlink>
    </w:p>
    <w:p>
      <w:pPr>
        <w:tabs>
          <w:tab w:val="right" w:leader="dot" w:pos="9062"/>
        </w:tabs>
        <w:ind w:left="440"/>
      </w:pPr>
      <w:hyperlink w:anchor="_Toc5897" w:history="1">
        <w:r>
          <w:rPr>
            <w:rFonts w:ascii="IRNazanin" w:hAnsi="IRNazanin" w:eastAsia="IRNazanin" w:cs="IRNazanin"/>
            <w:color w:val="111111"/>
            <w:sz w:val="22"/>
            <w:szCs w:val="22"/>
            <w:b w:val="0"/>
            <w:bCs w:val="0"/>
            <w:i w:val="0"/>
            <w:iCs w:val="0"/>
          </w:rPr>
          <w:t>5425- دیوان فانی یزدی‏</w:t>
        </w:r>
        <w:r>
          <w:tab/>
        </w:r>
        <w:r>
          <w:fldChar w:fldCharType="begin"/>
        </w:r>
        <w:r>
          <w:instrText xml:space="preserve">PAGEREF 5897 \h</w:instrText>
        </w:r>
        <w:r>
          <w:fldChar w:fldCharType="end"/>
        </w:r>
      </w:hyperlink>
    </w:p>
    <w:p>
      <w:pPr>
        <w:tabs>
          <w:tab w:val="right" w:leader="dot" w:pos="9062"/>
        </w:tabs>
        <w:ind w:left="440"/>
      </w:pPr>
      <w:hyperlink w:anchor="_Toc5898" w:history="1">
        <w:r>
          <w:rPr>
            <w:rFonts w:ascii="IRNazanin" w:hAnsi="IRNazanin" w:eastAsia="IRNazanin" w:cs="IRNazanin"/>
            <w:color w:val="111111"/>
            <w:sz w:val="22"/>
            <w:szCs w:val="22"/>
            <w:b w:val="0"/>
            <w:bCs w:val="0"/>
            <w:i w:val="0"/>
            <w:iCs w:val="0"/>
          </w:rPr>
          <w:t>5426- دیوان فائز تبریزی أو شعره‏</w:t>
        </w:r>
        <w:r>
          <w:tab/>
        </w:r>
        <w:r>
          <w:fldChar w:fldCharType="begin"/>
        </w:r>
        <w:r>
          <w:instrText xml:space="preserve">PAGEREF 5898 \h</w:instrText>
        </w:r>
        <w:r>
          <w:fldChar w:fldCharType="end"/>
        </w:r>
      </w:hyperlink>
    </w:p>
    <w:p>
      <w:pPr>
        <w:tabs>
          <w:tab w:val="right" w:leader="dot" w:pos="9062"/>
        </w:tabs>
        <w:ind w:left="440"/>
      </w:pPr>
      <w:hyperlink w:anchor="_Toc5899" w:history="1">
        <w:r>
          <w:rPr>
            <w:rFonts w:ascii="IRNazanin" w:hAnsi="IRNazanin" w:eastAsia="IRNazanin" w:cs="IRNazanin"/>
            <w:color w:val="111111"/>
            <w:sz w:val="22"/>
            <w:szCs w:val="22"/>
            <w:b w:val="0"/>
            <w:bCs w:val="0"/>
            <w:i w:val="0"/>
            <w:iCs w:val="0"/>
          </w:rPr>
          <w:t>5427- دیوان فائز دشتی‏</w:t>
        </w:r>
        <w:r>
          <w:tab/>
        </w:r>
        <w:r>
          <w:fldChar w:fldCharType="begin"/>
        </w:r>
        <w:r>
          <w:instrText xml:space="preserve">PAGEREF 5899 \h</w:instrText>
        </w:r>
        <w:r>
          <w:fldChar w:fldCharType="end"/>
        </w:r>
      </w:hyperlink>
    </w:p>
    <w:p>
      <w:pPr>
        <w:tabs>
          <w:tab w:val="right" w:leader="dot" w:pos="9062"/>
        </w:tabs>
        <w:ind w:left="440"/>
      </w:pPr>
      <w:hyperlink w:anchor="_Toc5900" w:history="1">
        <w:r>
          <w:rPr>
            <w:rFonts w:ascii="IRNazanin" w:hAnsi="IRNazanin" w:eastAsia="IRNazanin" w:cs="IRNazanin"/>
            <w:color w:val="111111"/>
            <w:sz w:val="22"/>
            <w:szCs w:val="22"/>
            <w:b w:val="0"/>
            <w:bCs w:val="0"/>
            <w:i w:val="0"/>
            <w:iCs w:val="0"/>
          </w:rPr>
          <w:t>5428- دیوان فائز شوشتری‏</w:t>
        </w:r>
        <w:r>
          <w:tab/>
        </w:r>
        <w:r>
          <w:fldChar w:fldCharType="begin"/>
        </w:r>
        <w:r>
          <w:instrText xml:space="preserve">PAGEREF 5900 \h</w:instrText>
        </w:r>
        <w:r>
          <w:fldChar w:fldCharType="end"/>
        </w:r>
      </w:hyperlink>
    </w:p>
    <w:p>
      <w:pPr>
        <w:tabs>
          <w:tab w:val="right" w:leader="dot" w:pos="9062"/>
        </w:tabs>
        <w:ind w:left="440"/>
      </w:pPr>
      <w:hyperlink w:anchor="_Toc5901" w:history="1">
        <w:r>
          <w:rPr>
            <w:rFonts w:ascii="IRNazanin" w:hAnsi="IRNazanin" w:eastAsia="IRNazanin" w:cs="IRNazanin"/>
            <w:color w:val="111111"/>
            <w:sz w:val="22"/>
            <w:szCs w:val="22"/>
            <w:b w:val="0"/>
            <w:bCs w:val="0"/>
            <w:i w:val="0"/>
            <w:iCs w:val="0"/>
          </w:rPr>
          <w:t>5429- دیوان فائز شهرستانی أو شعره‏</w:t>
        </w:r>
        <w:r>
          <w:tab/>
        </w:r>
        <w:r>
          <w:fldChar w:fldCharType="begin"/>
        </w:r>
        <w:r>
          <w:instrText xml:space="preserve">PAGEREF 5901 \h</w:instrText>
        </w:r>
        <w:r>
          <w:fldChar w:fldCharType="end"/>
        </w:r>
      </w:hyperlink>
    </w:p>
    <w:p>
      <w:pPr>
        <w:tabs>
          <w:tab w:val="right" w:leader="dot" w:pos="9062"/>
        </w:tabs>
        <w:ind w:left="440"/>
      </w:pPr>
      <w:hyperlink w:anchor="_Toc5902" w:history="1">
        <w:r>
          <w:rPr>
            <w:rFonts w:ascii="IRNazanin" w:hAnsi="IRNazanin" w:eastAsia="IRNazanin" w:cs="IRNazanin"/>
            <w:color w:val="111111"/>
            <w:sz w:val="22"/>
            <w:szCs w:val="22"/>
            <w:b w:val="0"/>
            <w:bCs w:val="0"/>
            <w:i w:val="0"/>
            <w:iCs w:val="0"/>
          </w:rPr>
          <w:t>5430- دیوان فائز قمی‏</w:t>
        </w:r>
        <w:r>
          <w:tab/>
        </w:r>
        <w:r>
          <w:fldChar w:fldCharType="begin"/>
        </w:r>
        <w:r>
          <w:instrText xml:space="preserve">PAGEREF 5902 \h</w:instrText>
        </w:r>
        <w:r>
          <w:fldChar w:fldCharType="end"/>
        </w:r>
      </w:hyperlink>
    </w:p>
    <w:p>
      <w:pPr>
        <w:tabs>
          <w:tab w:val="right" w:leader="dot" w:pos="9062"/>
        </w:tabs>
        <w:ind w:left="440"/>
      </w:pPr>
      <w:hyperlink w:anchor="_Toc5903" w:history="1">
        <w:r>
          <w:rPr>
            <w:rFonts w:ascii="IRNazanin" w:hAnsi="IRNazanin" w:eastAsia="IRNazanin" w:cs="IRNazanin"/>
            <w:color w:val="111111"/>
            <w:sz w:val="22"/>
            <w:szCs w:val="22"/>
            <w:b w:val="0"/>
            <w:bCs w:val="0"/>
            <w:i w:val="0"/>
            <w:iCs w:val="0"/>
          </w:rPr>
          <w:t>5431- دیوان فائز یزدی‏</w:t>
        </w:r>
        <w:r>
          <w:tab/>
        </w:r>
        <w:r>
          <w:fldChar w:fldCharType="begin"/>
        </w:r>
        <w:r>
          <w:instrText xml:space="preserve">PAGEREF 5903 \h</w:instrText>
        </w:r>
        <w:r>
          <w:fldChar w:fldCharType="end"/>
        </w:r>
      </w:hyperlink>
    </w:p>
    <w:p>
      <w:pPr>
        <w:tabs>
          <w:tab w:val="right" w:leader="dot" w:pos="9062"/>
        </w:tabs>
        <w:ind w:left="440"/>
      </w:pPr>
      <w:hyperlink w:anchor="_Toc5904" w:history="1">
        <w:r>
          <w:rPr>
            <w:rFonts w:ascii="IRNazanin" w:hAnsi="IRNazanin" w:eastAsia="IRNazanin" w:cs="IRNazanin"/>
            <w:color w:val="111111"/>
            <w:sz w:val="22"/>
            <w:szCs w:val="22"/>
            <w:b w:val="0"/>
            <w:bCs w:val="0"/>
            <w:i w:val="0"/>
            <w:iCs w:val="0"/>
          </w:rPr>
          <w:t>5432- دیوان فائض أو شعره‏</w:t>
        </w:r>
        <w:r>
          <w:tab/>
        </w:r>
        <w:r>
          <w:fldChar w:fldCharType="begin"/>
        </w:r>
        <w:r>
          <w:instrText xml:space="preserve">PAGEREF 5904 \h</w:instrText>
        </w:r>
        <w:r>
          <w:fldChar w:fldCharType="end"/>
        </w:r>
      </w:hyperlink>
    </w:p>
    <w:p>
      <w:pPr>
        <w:tabs>
          <w:tab w:val="right" w:leader="dot" w:pos="9062"/>
        </w:tabs>
        <w:ind w:left="440"/>
      </w:pPr>
      <w:hyperlink w:anchor="_Toc5905" w:history="1">
        <w:r>
          <w:rPr>
            <w:rFonts w:ascii="IRNazanin" w:hAnsi="IRNazanin" w:eastAsia="IRNazanin" w:cs="IRNazanin"/>
            <w:color w:val="111111"/>
            <w:sz w:val="22"/>
            <w:szCs w:val="22"/>
            <w:b w:val="0"/>
            <w:bCs w:val="0"/>
            <w:i w:val="0"/>
            <w:iCs w:val="0"/>
          </w:rPr>
          <w:t>5433- دیوان فائض أبهری أو شعره‏</w:t>
        </w:r>
        <w:r>
          <w:tab/>
        </w:r>
        <w:r>
          <w:fldChar w:fldCharType="begin"/>
        </w:r>
        <w:r>
          <w:instrText xml:space="preserve">PAGEREF 5905 \h</w:instrText>
        </w:r>
        <w:r>
          <w:fldChar w:fldCharType="end"/>
        </w:r>
      </w:hyperlink>
    </w:p>
    <w:p>
      <w:pPr>
        <w:tabs>
          <w:tab w:val="right" w:leader="dot" w:pos="9062"/>
        </w:tabs>
        <w:ind w:left="440"/>
      </w:pPr>
      <w:hyperlink w:anchor="_Toc5906" w:history="1">
        <w:r>
          <w:rPr>
            <w:rFonts w:ascii="IRNazanin" w:hAnsi="IRNazanin" w:eastAsia="IRNazanin" w:cs="IRNazanin"/>
            <w:color w:val="111111"/>
            <w:sz w:val="22"/>
            <w:szCs w:val="22"/>
            <w:b w:val="0"/>
            <w:bCs w:val="0"/>
            <w:i w:val="0"/>
            <w:iCs w:val="0"/>
          </w:rPr>
          <w:t>5434- دیوان فائض أردبیلی أو شعره‏</w:t>
        </w:r>
        <w:r>
          <w:tab/>
        </w:r>
        <w:r>
          <w:fldChar w:fldCharType="begin"/>
        </w:r>
        <w:r>
          <w:instrText xml:space="preserve">PAGEREF 5906 \h</w:instrText>
        </w:r>
        <w:r>
          <w:fldChar w:fldCharType="end"/>
        </w:r>
      </w:hyperlink>
    </w:p>
    <w:p>
      <w:pPr>
        <w:tabs>
          <w:tab w:val="right" w:leader="dot" w:pos="9062"/>
        </w:tabs>
        <w:ind w:left="440"/>
      </w:pPr>
      <w:hyperlink w:anchor="_Toc5907" w:history="1">
        <w:r>
          <w:rPr>
            <w:rFonts w:ascii="IRNazanin" w:hAnsi="IRNazanin" w:eastAsia="IRNazanin" w:cs="IRNazanin"/>
            <w:color w:val="111111"/>
            <w:sz w:val="22"/>
            <w:szCs w:val="22"/>
            <w:b w:val="0"/>
            <w:bCs w:val="0"/>
            <w:i w:val="0"/>
            <w:iCs w:val="0"/>
          </w:rPr>
          <w:t>5435- دیوان فائض أصفهانی أو شعره‏</w:t>
        </w:r>
        <w:r>
          <w:tab/>
        </w:r>
        <w:r>
          <w:fldChar w:fldCharType="begin"/>
        </w:r>
        <w:r>
          <w:instrText xml:space="preserve">PAGEREF 5907 \h</w:instrText>
        </w:r>
        <w:r>
          <w:fldChar w:fldCharType="end"/>
        </w:r>
      </w:hyperlink>
    </w:p>
    <w:p>
      <w:pPr>
        <w:tabs>
          <w:tab w:val="right" w:leader="dot" w:pos="9062"/>
        </w:tabs>
        <w:ind w:left="440"/>
      </w:pPr>
      <w:hyperlink w:anchor="_Toc5908" w:history="1">
        <w:r>
          <w:rPr>
            <w:rFonts w:ascii="IRNazanin" w:hAnsi="IRNazanin" w:eastAsia="IRNazanin" w:cs="IRNazanin"/>
            <w:color w:val="111111"/>
            <w:sz w:val="22"/>
            <w:szCs w:val="22"/>
            <w:b w:val="0"/>
            <w:bCs w:val="0"/>
            <w:i w:val="0"/>
            <w:iCs w:val="0"/>
          </w:rPr>
          <w:t>5436- دیوان فائض خوانساری أو شعره‏</w:t>
        </w:r>
        <w:r>
          <w:tab/>
        </w:r>
        <w:r>
          <w:fldChar w:fldCharType="begin"/>
        </w:r>
        <w:r>
          <w:instrText xml:space="preserve">PAGEREF 5908 \h</w:instrText>
        </w:r>
        <w:r>
          <w:fldChar w:fldCharType="end"/>
        </w:r>
      </w:hyperlink>
    </w:p>
    <w:p>
      <w:pPr>
        <w:tabs>
          <w:tab w:val="right" w:leader="dot" w:pos="9062"/>
        </w:tabs>
        <w:ind w:left="440"/>
      </w:pPr>
      <w:hyperlink w:anchor="_Toc5909" w:history="1">
        <w:r>
          <w:rPr>
            <w:rFonts w:ascii="IRNazanin" w:hAnsi="IRNazanin" w:eastAsia="IRNazanin" w:cs="IRNazanin"/>
            <w:color w:val="111111"/>
            <w:sz w:val="22"/>
            <w:szCs w:val="22"/>
            <w:b w:val="0"/>
            <w:bCs w:val="0"/>
            <w:i w:val="0"/>
            <w:iCs w:val="0"/>
          </w:rPr>
          <w:t>5437- دیوان فائض مازندرانی أو شعره‏</w:t>
        </w:r>
        <w:r>
          <w:tab/>
        </w:r>
        <w:r>
          <w:fldChar w:fldCharType="begin"/>
        </w:r>
        <w:r>
          <w:instrText xml:space="preserve">PAGEREF 5909 \h</w:instrText>
        </w:r>
        <w:r>
          <w:fldChar w:fldCharType="end"/>
        </w:r>
      </w:hyperlink>
    </w:p>
    <w:p>
      <w:pPr>
        <w:tabs>
          <w:tab w:val="right" w:leader="dot" w:pos="9062"/>
        </w:tabs>
        <w:ind w:left="440"/>
      </w:pPr>
      <w:hyperlink w:anchor="_Toc5910" w:history="1">
        <w:r>
          <w:rPr>
            <w:rFonts w:ascii="IRNazanin" w:hAnsi="IRNazanin" w:eastAsia="IRNazanin" w:cs="IRNazanin"/>
            <w:color w:val="111111"/>
            <w:sz w:val="22"/>
            <w:szCs w:val="22"/>
            <w:b w:val="0"/>
            <w:bCs w:val="0"/>
            <w:i w:val="0"/>
            <w:iCs w:val="0"/>
          </w:rPr>
          <w:t>5438- دیوان فائض نائینی‏</w:t>
        </w:r>
        <w:r>
          <w:tab/>
        </w:r>
        <w:r>
          <w:fldChar w:fldCharType="begin"/>
        </w:r>
        <w:r>
          <w:instrText xml:space="preserve">PAGEREF 5910 \h</w:instrText>
        </w:r>
        <w:r>
          <w:fldChar w:fldCharType="end"/>
        </w:r>
      </w:hyperlink>
    </w:p>
    <w:p>
      <w:pPr>
        <w:tabs>
          <w:tab w:val="right" w:leader="dot" w:pos="9062"/>
        </w:tabs>
        <w:ind w:left="440"/>
      </w:pPr>
      <w:hyperlink w:anchor="_Toc5911" w:history="1">
        <w:r>
          <w:rPr>
            <w:rFonts w:ascii="IRNazanin" w:hAnsi="IRNazanin" w:eastAsia="IRNazanin" w:cs="IRNazanin"/>
            <w:color w:val="111111"/>
            <w:sz w:val="22"/>
            <w:szCs w:val="22"/>
            <w:b w:val="0"/>
            <w:bCs w:val="0"/>
            <w:i w:val="0"/>
            <w:iCs w:val="0"/>
          </w:rPr>
          <w:t>5439- دیوان فائض نهاوندی أو شعره‏</w:t>
        </w:r>
        <w:r>
          <w:tab/>
        </w:r>
        <w:r>
          <w:fldChar w:fldCharType="begin"/>
        </w:r>
        <w:r>
          <w:instrText xml:space="preserve">PAGEREF 5911 \h</w:instrText>
        </w:r>
        <w:r>
          <w:fldChar w:fldCharType="end"/>
        </w:r>
      </w:hyperlink>
    </w:p>
    <w:p>
      <w:pPr>
        <w:tabs>
          <w:tab w:val="right" w:leader="dot" w:pos="9062"/>
        </w:tabs>
        <w:ind w:left="440"/>
      </w:pPr>
      <w:hyperlink w:anchor="_Toc5912" w:history="1">
        <w:r>
          <w:rPr>
            <w:rFonts w:ascii="IRNazanin" w:hAnsi="IRNazanin" w:eastAsia="IRNazanin" w:cs="IRNazanin"/>
            <w:color w:val="111111"/>
            <w:sz w:val="22"/>
            <w:szCs w:val="22"/>
            <w:b w:val="0"/>
            <w:bCs w:val="0"/>
            <w:i w:val="0"/>
            <w:iCs w:val="0"/>
          </w:rPr>
          <w:t>دیوان فائض هندی أو شعره‏</w:t>
        </w:r>
        <w:r>
          <w:tab/>
        </w:r>
        <w:r>
          <w:fldChar w:fldCharType="begin"/>
        </w:r>
        <w:r>
          <w:instrText xml:space="preserve">PAGEREF 5912 \h</w:instrText>
        </w:r>
        <w:r>
          <w:fldChar w:fldCharType="end"/>
        </w:r>
      </w:hyperlink>
    </w:p>
    <w:p>
      <w:pPr>
        <w:tabs>
          <w:tab w:val="right" w:leader="dot" w:pos="9062"/>
        </w:tabs>
        <w:ind w:left="440"/>
      </w:pPr>
      <w:hyperlink w:anchor="_Toc5913" w:history="1">
        <w:r>
          <w:rPr>
            <w:rFonts w:ascii="IRNazanin" w:hAnsi="IRNazanin" w:eastAsia="IRNazanin" w:cs="IRNazanin"/>
            <w:color w:val="111111"/>
            <w:sz w:val="22"/>
            <w:szCs w:val="22"/>
            <w:b w:val="0"/>
            <w:bCs w:val="0"/>
            <w:i w:val="0"/>
            <w:iCs w:val="0"/>
          </w:rPr>
          <w:t>5440- دیوان فائق أردبیلی‏</w:t>
        </w:r>
        <w:r>
          <w:tab/>
        </w:r>
        <w:r>
          <w:fldChar w:fldCharType="begin"/>
        </w:r>
        <w:r>
          <w:instrText xml:space="preserve">PAGEREF 5913 \h</w:instrText>
        </w:r>
        <w:r>
          <w:fldChar w:fldCharType="end"/>
        </w:r>
      </w:hyperlink>
    </w:p>
    <w:p>
      <w:pPr>
        <w:tabs>
          <w:tab w:val="right" w:leader="dot" w:pos="9062"/>
        </w:tabs>
        <w:ind w:left="440"/>
      </w:pPr>
      <w:hyperlink w:anchor="_Toc5914" w:history="1">
        <w:r>
          <w:rPr>
            <w:rFonts w:ascii="IRNazanin" w:hAnsi="IRNazanin" w:eastAsia="IRNazanin" w:cs="IRNazanin"/>
            <w:color w:val="111111"/>
            <w:sz w:val="22"/>
            <w:szCs w:val="22"/>
            <w:b w:val="0"/>
            <w:bCs w:val="0"/>
            <w:i w:val="0"/>
            <w:iCs w:val="0"/>
          </w:rPr>
          <w:t>5441- دیوان فائق أصفهانی‏</w:t>
        </w:r>
        <w:r>
          <w:tab/>
        </w:r>
        <w:r>
          <w:fldChar w:fldCharType="begin"/>
        </w:r>
        <w:r>
          <w:instrText xml:space="preserve">PAGEREF 5914 \h</w:instrText>
        </w:r>
        <w:r>
          <w:fldChar w:fldCharType="end"/>
        </w:r>
      </w:hyperlink>
    </w:p>
    <w:p>
      <w:pPr>
        <w:tabs>
          <w:tab w:val="right" w:leader="dot" w:pos="9062"/>
        </w:tabs>
        <w:ind w:left="440"/>
      </w:pPr>
      <w:hyperlink w:anchor="_Toc5915" w:history="1">
        <w:r>
          <w:rPr>
            <w:rFonts w:ascii="IRNazanin" w:hAnsi="IRNazanin" w:eastAsia="IRNazanin" w:cs="IRNazanin"/>
            <w:color w:val="111111"/>
            <w:sz w:val="22"/>
            <w:szCs w:val="22"/>
            <w:b w:val="0"/>
            <w:bCs w:val="0"/>
            <w:i w:val="0"/>
            <w:iCs w:val="0"/>
          </w:rPr>
          <w:t>5442- دیوان فائق لکهنوی‏</w:t>
        </w:r>
        <w:r>
          <w:tab/>
        </w:r>
        <w:r>
          <w:fldChar w:fldCharType="begin"/>
        </w:r>
        <w:r>
          <w:instrText xml:space="preserve">PAGEREF 5915 \h</w:instrText>
        </w:r>
        <w:r>
          <w:fldChar w:fldCharType="end"/>
        </w:r>
      </w:hyperlink>
    </w:p>
    <w:p>
      <w:pPr>
        <w:tabs>
          <w:tab w:val="right" w:leader="dot" w:pos="9062"/>
        </w:tabs>
        <w:ind w:left="440"/>
      </w:pPr>
      <w:hyperlink w:anchor="_Toc5916" w:history="1">
        <w:r>
          <w:rPr>
            <w:rFonts w:ascii="IRNazanin" w:hAnsi="IRNazanin" w:eastAsia="IRNazanin" w:cs="IRNazanin"/>
            <w:color w:val="111111"/>
            <w:sz w:val="22"/>
            <w:szCs w:val="22"/>
            <w:b w:val="0"/>
            <w:bCs w:val="0"/>
            <w:i w:val="0"/>
            <w:iCs w:val="0"/>
          </w:rPr>
          <w:t>5443- دیوان فائقی تبریزی أو شعره‏</w:t>
        </w:r>
        <w:r>
          <w:tab/>
        </w:r>
        <w:r>
          <w:fldChar w:fldCharType="begin"/>
        </w:r>
        <w:r>
          <w:instrText xml:space="preserve">PAGEREF 5916 \h</w:instrText>
        </w:r>
        <w:r>
          <w:fldChar w:fldCharType="end"/>
        </w:r>
      </w:hyperlink>
    </w:p>
    <w:p>
      <w:pPr>
        <w:tabs>
          <w:tab w:val="right" w:leader="dot" w:pos="9062"/>
        </w:tabs>
        <w:ind w:left="440"/>
      </w:pPr>
      <w:hyperlink w:anchor="_Toc5917" w:history="1">
        <w:r>
          <w:rPr>
            <w:rFonts w:ascii="IRNazanin" w:hAnsi="IRNazanin" w:eastAsia="IRNazanin" w:cs="IRNazanin"/>
            <w:color w:val="111111"/>
            <w:sz w:val="22"/>
            <w:szCs w:val="22"/>
            <w:b w:val="0"/>
            <w:bCs w:val="0"/>
            <w:i w:val="0"/>
            <w:iCs w:val="0"/>
          </w:rPr>
          <w:t>دیوان فائقی شیرازی‏</w:t>
        </w:r>
        <w:r>
          <w:tab/>
        </w:r>
        <w:r>
          <w:fldChar w:fldCharType="begin"/>
        </w:r>
        <w:r>
          <w:instrText xml:space="preserve">PAGEREF 5917 \h</w:instrText>
        </w:r>
        <w:r>
          <w:fldChar w:fldCharType="end"/>
        </w:r>
      </w:hyperlink>
    </w:p>
    <w:p>
      <w:pPr>
        <w:tabs>
          <w:tab w:val="right" w:leader="dot" w:pos="9062"/>
        </w:tabs>
        <w:ind w:left="440"/>
      </w:pPr>
      <w:hyperlink w:anchor="_Toc5918" w:history="1">
        <w:r>
          <w:rPr>
            <w:rFonts w:ascii="IRNazanin" w:hAnsi="IRNazanin" w:eastAsia="IRNazanin" w:cs="IRNazanin"/>
            <w:color w:val="111111"/>
            <w:sz w:val="22"/>
            <w:szCs w:val="22"/>
            <w:b w:val="0"/>
            <w:bCs w:val="0"/>
            <w:i w:val="0"/>
            <w:iCs w:val="0"/>
          </w:rPr>
          <w:t>دیوان فتاح مراغی‏</w:t>
        </w:r>
        <w:r>
          <w:tab/>
        </w:r>
        <w:r>
          <w:fldChar w:fldCharType="begin"/>
        </w:r>
        <w:r>
          <w:instrText xml:space="preserve">PAGEREF 5918 \h</w:instrText>
        </w:r>
        <w:r>
          <w:fldChar w:fldCharType="end"/>
        </w:r>
      </w:hyperlink>
    </w:p>
    <w:p>
      <w:pPr>
        <w:tabs>
          <w:tab w:val="right" w:leader="dot" w:pos="9062"/>
        </w:tabs>
        <w:ind w:left="440"/>
      </w:pPr>
      <w:hyperlink w:anchor="_Toc5919" w:history="1">
        <w:r>
          <w:rPr>
            <w:rFonts w:ascii="IRNazanin" w:hAnsi="IRNazanin" w:eastAsia="IRNazanin" w:cs="IRNazanin"/>
            <w:color w:val="111111"/>
            <w:sz w:val="22"/>
            <w:szCs w:val="22"/>
            <w:b w:val="0"/>
            <w:bCs w:val="0"/>
            <w:i w:val="0"/>
            <w:iCs w:val="0"/>
          </w:rPr>
          <w:t>5444- دیوان فتاحی نیشابوری‏</w:t>
        </w:r>
        <w:r>
          <w:tab/>
        </w:r>
        <w:r>
          <w:fldChar w:fldCharType="begin"/>
        </w:r>
        <w:r>
          <w:instrText xml:space="preserve">PAGEREF 5919 \h</w:instrText>
        </w:r>
        <w:r>
          <w:fldChar w:fldCharType="end"/>
        </w:r>
      </w:hyperlink>
    </w:p>
    <w:p>
      <w:pPr>
        <w:tabs>
          <w:tab w:val="right" w:leader="dot" w:pos="9062"/>
        </w:tabs>
        <w:ind w:left="440"/>
      </w:pPr>
      <w:hyperlink w:anchor="_Toc5920" w:history="1">
        <w:r>
          <w:rPr>
            <w:rFonts w:ascii="IRNazanin" w:hAnsi="IRNazanin" w:eastAsia="IRNazanin" w:cs="IRNazanin"/>
            <w:color w:val="111111"/>
            <w:sz w:val="22"/>
            <w:szCs w:val="22"/>
            <w:b w:val="0"/>
            <w:bCs w:val="0"/>
            <w:i w:val="0"/>
            <w:iCs w:val="0"/>
          </w:rPr>
          <w:t>5445- دیوان فتح أصفهانی أو شعره‏</w:t>
        </w:r>
        <w:r>
          <w:tab/>
        </w:r>
        <w:r>
          <w:fldChar w:fldCharType="begin"/>
        </w:r>
        <w:r>
          <w:instrText xml:space="preserve">PAGEREF 5920 \h</w:instrText>
        </w:r>
        <w:r>
          <w:fldChar w:fldCharType="end"/>
        </w:r>
      </w:hyperlink>
    </w:p>
    <w:p>
      <w:pPr>
        <w:tabs>
          <w:tab w:val="right" w:leader="dot" w:pos="9062"/>
        </w:tabs>
        <w:ind w:left="440"/>
      </w:pPr>
      <w:hyperlink w:anchor="_Toc5921" w:history="1">
        <w:r>
          <w:rPr>
            <w:rFonts w:ascii="IRNazanin" w:hAnsi="IRNazanin" w:eastAsia="IRNazanin" w:cs="IRNazanin"/>
            <w:color w:val="111111"/>
            <w:sz w:val="22"/>
            <w:szCs w:val="22"/>
            <w:b w:val="0"/>
            <w:bCs w:val="0"/>
            <w:i w:val="0"/>
            <w:iCs w:val="0"/>
          </w:rPr>
          <w:t>5446- دیوان الآقا فتح علی الزنجانی الفقیه‏</w:t>
        </w:r>
        <w:r>
          <w:tab/>
        </w:r>
        <w:r>
          <w:fldChar w:fldCharType="begin"/>
        </w:r>
        <w:r>
          <w:instrText xml:space="preserve">PAGEREF 5921 \h</w:instrText>
        </w:r>
        <w:r>
          <w:fldChar w:fldCharType="end"/>
        </w:r>
      </w:hyperlink>
    </w:p>
    <w:p>
      <w:pPr>
        <w:tabs>
          <w:tab w:val="right" w:leader="dot" w:pos="9062"/>
        </w:tabs>
        <w:ind w:left="440"/>
      </w:pPr>
      <w:hyperlink w:anchor="_Toc5922" w:history="1">
        <w:r>
          <w:rPr>
            <w:rFonts w:ascii="IRNazanin" w:hAnsi="IRNazanin" w:eastAsia="IRNazanin" w:cs="IRNazanin"/>
            <w:color w:val="111111"/>
            <w:sz w:val="22"/>
            <w:szCs w:val="22"/>
            <w:b w:val="0"/>
            <w:bCs w:val="0"/>
            <w:i w:val="0"/>
            <w:iCs w:val="0"/>
          </w:rPr>
          <w:t>دیوان فتح علی شاه‏</w:t>
        </w:r>
        <w:r>
          <w:tab/>
        </w:r>
        <w:r>
          <w:fldChar w:fldCharType="begin"/>
        </w:r>
        <w:r>
          <w:instrText xml:space="preserve">PAGEREF 5922 \h</w:instrText>
        </w:r>
        <w:r>
          <w:fldChar w:fldCharType="end"/>
        </w:r>
      </w:hyperlink>
    </w:p>
    <w:p>
      <w:pPr>
        <w:tabs>
          <w:tab w:val="right" w:leader="dot" w:pos="9062"/>
        </w:tabs>
        <w:ind w:left="440"/>
      </w:pPr>
      <w:hyperlink w:anchor="_Toc5923" w:history="1">
        <w:r>
          <w:rPr>
            <w:rFonts w:ascii="IRNazanin" w:hAnsi="IRNazanin" w:eastAsia="IRNazanin" w:cs="IRNazanin"/>
            <w:color w:val="111111"/>
            <w:sz w:val="22"/>
            <w:szCs w:val="22"/>
            <w:b w:val="0"/>
            <w:bCs w:val="0"/>
            <w:i w:val="0"/>
            <w:iCs w:val="0"/>
          </w:rPr>
          <w:t>5447- دیوان الشیخ فتح الله‏</w:t>
        </w:r>
        <w:r>
          <w:tab/>
        </w:r>
        <w:r>
          <w:fldChar w:fldCharType="begin"/>
        </w:r>
        <w:r>
          <w:instrText xml:space="preserve">PAGEREF 5923 \h</w:instrText>
        </w:r>
        <w:r>
          <w:fldChar w:fldCharType="end"/>
        </w:r>
      </w:hyperlink>
    </w:p>
    <w:p>
      <w:pPr>
        <w:tabs>
          <w:tab w:val="right" w:leader="dot" w:pos="9062"/>
        </w:tabs>
        <w:ind w:left="440"/>
      </w:pPr>
      <w:hyperlink w:anchor="_Toc5924" w:history="1">
        <w:r>
          <w:rPr>
            <w:rFonts w:ascii="IRNazanin" w:hAnsi="IRNazanin" w:eastAsia="IRNazanin" w:cs="IRNazanin"/>
            <w:color w:val="111111"/>
            <w:sz w:val="22"/>
            <w:szCs w:val="22"/>
            <w:b w:val="0"/>
            <w:bCs w:val="0"/>
            <w:i w:val="0"/>
            <w:iCs w:val="0"/>
          </w:rPr>
          <w:t>5448- دیوان المولی فتح الله‏</w:t>
        </w:r>
        <w:r>
          <w:tab/>
        </w:r>
        <w:r>
          <w:fldChar w:fldCharType="begin"/>
        </w:r>
        <w:r>
          <w:instrText xml:space="preserve">PAGEREF 5924 \h</w:instrText>
        </w:r>
        <w:r>
          <w:fldChar w:fldCharType="end"/>
        </w:r>
      </w:hyperlink>
    </w:p>
    <w:p>
      <w:pPr>
        <w:tabs>
          <w:tab w:val="right" w:leader="dot" w:pos="9062"/>
        </w:tabs>
        <w:ind w:left="440"/>
      </w:pPr>
      <w:hyperlink w:anchor="_Toc5925" w:history="1">
        <w:r>
          <w:rPr>
            <w:rFonts w:ascii="IRNazanin" w:hAnsi="IRNazanin" w:eastAsia="IRNazanin" w:cs="IRNazanin"/>
            <w:color w:val="111111"/>
            <w:sz w:val="22"/>
            <w:szCs w:val="22"/>
            <w:b w:val="0"/>
            <w:bCs w:val="0"/>
            <w:i w:val="0"/>
            <w:iCs w:val="0"/>
          </w:rPr>
          <w:t>5449- دیوان فتح قزوینی أو شعره‏</w:t>
        </w:r>
        <w:r>
          <w:tab/>
        </w:r>
        <w:r>
          <w:fldChar w:fldCharType="begin"/>
        </w:r>
        <w:r>
          <w:instrText xml:space="preserve">PAGEREF 5925 \h</w:instrText>
        </w:r>
        <w:r>
          <w:fldChar w:fldCharType="end"/>
        </w:r>
      </w:hyperlink>
    </w:p>
    <w:p>
      <w:pPr>
        <w:tabs>
          <w:tab w:val="right" w:leader="dot" w:pos="9062"/>
        </w:tabs>
        <w:ind w:left="440"/>
      </w:pPr>
      <w:hyperlink w:anchor="_Toc5926" w:history="1">
        <w:r>
          <w:rPr>
            <w:rFonts w:ascii="IRNazanin" w:hAnsi="IRNazanin" w:eastAsia="IRNazanin" w:cs="IRNazanin"/>
            <w:color w:val="111111"/>
            <w:sz w:val="22"/>
            <w:szCs w:val="22"/>
            <w:b w:val="0"/>
            <w:bCs w:val="0"/>
            <w:i w:val="0"/>
            <w:iCs w:val="0"/>
          </w:rPr>
          <w:t>5450- دیوان فتحی أردستانی‏</w:t>
        </w:r>
        <w:r>
          <w:tab/>
        </w:r>
        <w:r>
          <w:fldChar w:fldCharType="begin"/>
        </w:r>
        <w:r>
          <w:instrText xml:space="preserve">PAGEREF 5926 \h</w:instrText>
        </w:r>
        <w:r>
          <w:fldChar w:fldCharType="end"/>
        </w:r>
      </w:hyperlink>
    </w:p>
    <w:p>
      <w:pPr>
        <w:tabs>
          <w:tab w:val="right" w:leader="dot" w:pos="9062"/>
        </w:tabs>
        <w:ind w:left="440"/>
      </w:pPr>
      <w:hyperlink w:anchor="_Toc5927" w:history="1">
        <w:r>
          <w:rPr>
            <w:rFonts w:ascii="IRNazanin" w:hAnsi="IRNazanin" w:eastAsia="IRNazanin" w:cs="IRNazanin"/>
            <w:color w:val="111111"/>
            <w:sz w:val="22"/>
            <w:szCs w:val="22"/>
            <w:b w:val="0"/>
            <w:bCs w:val="0"/>
            <w:i w:val="0"/>
            <w:iCs w:val="0"/>
          </w:rPr>
          <w:t>5451- دیوان فتحی أندجانی‏</w:t>
        </w:r>
        <w:r>
          <w:tab/>
        </w:r>
        <w:r>
          <w:fldChar w:fldCharType="begin"/>
        </w:r>
        <w:r>
          <w:instrText xml:space="preserve">PAGEREF 5927 \h</w:instrText>
        </w:r>
        <w:r>
          <w:fldChar w:fldCharType="end"/>
        </w:r>
      </w:hyperlink>
    </w:p>
    <w:p>
      <w:pPr>
        <w:tabs>
          <w:tab w:val="right" w:leader="dot" w:pos="9062"/>
        </w:tabs>
        <w:ind w:left="440"/>
      </w:pPr>
      <w:hyperlink w:anchor="_Toc5928" w:history="1">
        <w:r>
          <w:rPr>
            <w:rFonts w:ascii="IRNazanin" w:hAnsi="IRNazanin" w:eastAsia="IRNazanin" w:cs="IRNazanin"/>
            <w:color w:val="111111"/>
            <w:sz w:val="22"/>
            <w:szCs w:val="22"/>
            <w:b w:val="0"/>
            <w:bCs w:val="0"/>
            <w:i w:val="0"/>
            <w:iCs w:val="0"/>
          </w:rPr>
          <w:t>5452- دیوان فتحی تبریزی‏</w:t>
        </w:r>
        <w:r>
          <w:tab/>
        </w:r>
        <w:r>
          <w:fldChar w:fldCharType="begin"/>
        </w:r>
        <w:r>
          <w:instrText xml:space="preserve">PAGEREF 5928 \h</w:instrText>
        </w:r>
        <w:r>
          <w:fldChar w:fldCharType="end"/>
        </w:r>
      </w:hyperlink>
    </w:p>
    <w:p>
      <w:pPr>
        <w:tabs>
          <w:tab w:val="right" w:leader="dot" w:pos="9062"/>
        </w:tabs>
        <w:ind w:left="440"/>
      </w:pPr>
      <w:hyperlink w:anchor="_Toc5929" w:history="1">
        <w:r>
          <w:rPr>
            <w:rFonts w:ascii="IRNazanin" w:hAnsi="IRNazanin" w:eastAsia="IRNazanin" w:cs="IRNazanin"/>
            <w:color w:val="111111"/>
            <w:sz w:val="22"/>
            <w:szCs w:val="22"/>
            <w:b w:val="0"/>
            <w:bCs w:val="0"/>
            <w:i w:val="0"/>
            <w:iCs w:val="0"/>
          </w:rPr>
          <w:t>5453- دیوان فتحی ترمذی أو شعره‏</w:t>
        </w:r>
        <w:r>
          <w:tab/>
        </w:r>
        <w:r>
          <w:fldChar w:fldCharType="begin"/>
        </w:r>
        <w:r>
          <w:instrText xml:space="preserve">PAGEREF 5929 \h</w:instrText>
        </w:r>
        <w:r>
          <w:fldChar w:fldCharType="end"/>
        </w:r>
      </w:hyperlink>
    </w:p>
    <w:p>
      <w:pPr>
        <w:tabs>
          <w:tab w:val="right" w:leader="dot" w:pos="9062"/>
        </w:tabs>
        <w:ind w:left="440"/>
      </w:pPr>
      <w:hyperlink w:anchor="_Toc5930" w:history="1">
        <w:r>
          <w:rPr>
            <w:rFonts w:ascii="IRNazanin" w:hAnsi="IRNazanin" w:eastAsia="IRNazanin" w:cs="IRNazanin"/>
            <w:color w:val="111111"/>
            <w:sz w:val="22"/>
            <w:szCs w:val="22"/>
            <w:b w:val="0"/>
            <w:bCs w:val="0"/>
            <w:i w:val="0"/>
            <w:iCs w:val="0"/>
          </w:rPr>
          <w:t>5454- دیوان فتحی‏</w:t>
        </w:r>
        <w:r>
          <w:tab/>
        </w:r>
        <w:r>
          <w:fldChar w:fldCharType="begin"/>
        </w:r>
        <w:r>
          <w:instrText xml:space="preserve">PAGEREF 5930 \h</w:instrText>
        </w:r>
        <w:r>
          <w:fldChar w:fldCharType="end"/>
        </w:r>
      </w:hyperlink>
    </w:p>
    <w:p>
      <w:pPr>
        <w:tabs>
          <w:tab w:val="right" w:leader="dot" w:pos="9062"/>
        </w:tabs>
        <w:ind w:left="440"/>
      </w:pPr>
      <w:hyperlink w:anchor="_Toc5931" w:history="1">
        <w:r>
          <w:rPr>
            <w:rFonts w:ascii="IRNazanin" w:hAnsi="IRNazanin" w:eastAsia="IRNazanin" w:cs="IRNazanin"/>
            <w:color w:val="111111"/>
            <w:sz w:val="22"/>
            <w:szCs w:val="22"/>
            <w:b w:val="0"/>
            <w:bCs w:val="0"/>
            <w:i w:val="0"/>
            <w:iCs w:val="0"/>
          </w:rPr>
          <w:t>5455- دیوان فتحی شیروانی‏</w:t>
        </w:r>
        <w:r>
          <w:tab/>
        </w:r>
        <w:r>
          <w:fldChar w:fldCharType="begin"/>
        </w:r>
        <w:r>
          <w:instrText xml:space="preserve">PAGEREF 5931 \h</w:instrText>
        </w:r>
        <w:r>
          <w:fldChar w:fldCharType="end"/>
        </w:r>
      </w:hyperlink>
    </w:p>
    <w:p>
      <w:pPr>
        <w:tabs>
          <w:tab w:val="right" w:leader="dot" w:pos="9062"/>
        </w:tabs>
        <w:ind w:left="440"/>
      </w:pPr>
      <w:hyperlink w:anchor="_Toc5932" w:history="1">
        <w:r>
          <w:rPr>
            <w:rFonts w:ascii="IRNazanin" w:hAnsi="IRNazanin" w:eastAsia="IRNazanin" w:cs="IRNazanin"/>
            <w:color w:val="111111"/>
            <w:sz w:val="22"/>
            <w:szCs w:val="22"/>
            <w:b w:val="0"/>
            <w:bCs w:val="0"/>
            <w:i w:val="0"/>
            <w:iCs w:val="0"/>
          </w:rPr>
          <w:t>5456- دیوان فتحی قزوینی‏</w:t>
        </w:r>
        <w:r>
          <w:tab/>
        </w:r>
        <w:r>
          <w:fldChar w:fldCharType="begin"/>
        </w:r>
        <w:r>
          <w:instrText xml:space="preserve">PAGEREF 5932 \h</w:instrText>
        </w:r>
        <w:r>
          <w:fldChar w:fldCharType="end"/>
        </w:r>
      </w:hyperlink>
    </w:p>
    <w:p>
      <w:pPr>
        <w:tabs>
          <w:tab w:val="right" w:leader="dot" w:pos="9062"/>
        </w:tabs>
        <w:ind w:left="440"/>
      </w:pPr>
      <w:hyperlink w:anchor="_Toc5933" w:history="1">
        <w:r>
          <w:rPr>
            <w:rFonts w:ascii="IRNazanin" w:hAnsi="IRNazanin" w:eastAsia="IRNazanin" w:cs="IRNazanin"/>
            <w:color w:val="111111"/>
            <w:sz w:val="22"/>
            <w:szCs w:val="22"/>
            <w:b w:val="0"/>
            <w:bCs w:val="0"/>
            <w:i w:val="0"/>
            <w:iCs w:val="0"/>
          </w:rPr>
          <w:t>5457- دیوان فتحی‏کور أو شعره‏</w:t>
        </w:r>
        <w:r>
          <w:tab/>
        </w:r>
        <w:r>
          <w:fldChar w:fldCharType="begin"/>
        </w:r>
        <w:r>
          <w:instrText xml:space="preserve">PAGEREF 5933 \h</w:instrText>
        </w:r>
        <w:r>
          <w:fldChar w:fldCharType="end"/>
        </w:r>
      </w:hyperlink>
    </w:p>
    <w:p>
      <w:pPr>
        <w:tabs>
          <w:tab w:val="right" w:leader="dot" w:pos="9062"/>
        </w:tabs>
        <w:ind w:left="440"/>
      </w:pPr>
      <w:hyperlink w:anchor="_Toc5934" w:history="1">
        <w:r>
          <w:rPr>
            <w:rFonts w:ascii="IRNazanin" w:hAnsi="IRNazanin" w:eastAsia="IRNazanin" w:cs="IRNazanin"/>
            <w:color w:val="111111"/>
            <w:sz w:val="22"/>
            <w:szCs w:val="22"/>
            <w:b w:val="0"/>
            <w:bCs w:val="0"/>
            <w:i w:val="0"/>
            <w:iCs w:val="0"/>
          </w:rPr>
          <w:t>5458- دیوان فتوت أو شعره‏</w:t>
        </w:r>
        <w:r>
          <w:tab/>
        </w:r>
        <w:r>
          <w:fldChar w:fldCharType="begin"/>
        </w:r>
        <w:r>
          <w:instrText xml:space="preserve">PAGEREF 5934 \h</w:instrText>
        </w:r>
        <w:r>
          <w:fldChar w:fldCharType="end"/>
        </w:r>
      </w:hyperlink>
    </w:p>
    <w:p>
      <w:pPr>
        <w:tabs>
          <w:tab w:val="right" w:leader="dot" w:pos="9062"/>
        </w:tabs>
        <w:ind w:left="440"/>
      </w:pPr>
      <w:hyperlink w:anchor="_Toc5935" w:history="1">
        <w:r>
          <w:rPr>
            <w:rFonts w:ascii="IRNazanin" w:hAnsi="IRNazanin" w:eastAsia="IRNazanin" w:cs="IRNazanin"/>
            <w:color w:val="111111"/>
            <w:sz w:val="22"/>
            <w:szCs w:val="22"/>
            <w:b w:val="0"/>
            <w:bCs w:val="0"/>
            <w:i w:val="0"/>
            <w:iCs w:val="0"/>
          </w:rPr>
          <w:t>5459- دیوان فتوحی أو شعره‏</w:t>
        </w:r>
        <w:r>
          <w:tab/>
        </w:r>
        <w:r>
          <w:fldChar w:fldCharType="begin"/>
        </w:r>
        <w:r>
          <w:instrText xml:space="preserve">PAGEREF 5935 \h</w:instrText>
        </w:r>
        <w:r>
          <w:fldChar w:fldCharType="end"/>
        </w:r>
      </w:hyperlink>
    </w:p>
    <w:p>
      <w:pPr>
        <w:tabs>
          <w:tab w:val="right" w:leader="dot" w:pos="9062"/>
        </w:tabs>
        <w:ind w:left="440"/>
      </w:pPr>
      <w:hyperlink w:anchor="_Toc5936" w:history="1">
        <w:r>
          <w:rPr>
            <w:rFonts w:ascii="IRNazanin" w:hAnsi="IRNazanin" w:eastAsia="IRNazanin" w:cs="IRNazanin"/>
            <w:color w:val="111111"/>
            <w:sz w:val="22"/>
            <w:szCs w:val="22"/>
            <w:b w:val="0"/>
            <w:bCs w:val="0"/>
            <w:i w:val="0"/>
            <w:iCs w:val="0"/>
          </w:rPr>
          <w:t>5460- دیوان فتوحی زواره‏ئی‏</w:t>
        </w:r>
        <w:r>
          <w:tab/>
        </w:r>
        <w:r>
          <w:fldChar w:fldCharType="begin"/>
        </w:r>
        <w:r>
          <w:instrText xml:space="preserve">PAGEREF 5936 \h</w:instrText>
        </w:r>
        <w:r>
          <w:fldChar w:fldCharType="end"/>
        </w:r>
      </w:hyperlink>
    </w:p>
    <w:p>
      <w:pPr>
        <w:tabs>
          <w:tab w:val="right" w:leader="dot" w:pos="9062"/>
        </w:tabs>
        <w:ind w:left="440"/>
      </w:pPr>
      <w:hyperlink w:anchor="_Toc5937" w:history="1">
        <w:r>
          <w:rPr>
            <w:rFonts w:ascii="IRNazanin" w:hAnsi="IRNazanin" w:eastAsia="IRNazanin" w:cs="IRNazanin"/>
            <w:color w:val="111111"/>
            <w:sz w:val="22"/>
            <w:szCs w:val="22"/>
            <w:b w:val="0"/>
            <w:bCs w:val="0"/>
            <w:i w:val="0"/>
            <w:iCs w:val="0"/>
          </w:rPr>
          <w:t>5461- دیوان فتوحی مروزی أو شعره‏</w:t>
        </w:r>
        <w:r>
          <w:tab/>
        </w:r>
        <w:r>
          <w:fldChar w:fldCharType="begin"/>
        </w:r>
        <w:r>
          <w:instrText xml:space="preserve">PAGEREF 5937 \h</w:instrText>
        </w:r>
        <w:r>
          <w:fldChar w:fldCharType="end"/>
        </w:r>
      </w:hyperlink>
    </w:p>
    <w:p>
      <w:pPr>
        <w:tabs>
          <w:tab w:val="right" w:leader="dot" w:pos="9062"/>
        </w:tabs>
        <w:ind w:left="440"/>
      </w:pPr>
      <w:hyperlink w:anchor="_Toc5938" w:history="1">
        <w:r>
          <w:rPr>
            <w:rFonts w:ascii="IRNazanin" w:hAnsi="IRNazanin" w:eastAsia="IRNazanin" w:cs="IRNazanin"/>
            <w:color w:val="111111"/>
            <w:sz w:val="22"/>
            <w:szCs w:val="22"/>
            <w:b w:val="0"/>
            <w:bCs w:val="0"/>
            <w:i w:val="0"/>
            <w:iCs w:val="0"/>
          </w:rPr>
          <w:t>5462- دیوان فتوی عاملی أو شعره‏</w:t>
        </w:r>
        <w:r>
          <w:tab/>
        </w:r>
        <w:r>
          <w:fldChar w:fldCharType="begin"/>
        </w:r>
        <w:r>
          <w:instrText xml:space="preserve">PAGEREF 5938 \h</w:instrText>
        </w:r>
        <w:r>
          <w:fldChar w:fldCharType="end"/>
        </w:r>
      </w:hyperlink>
    </w:p>
    <w:p>
      <w:pPr>
        <w:tabs>
          <w:tab w:val="right" w:leader="dot" w:pos="9062"/>
        </w:tabs>
        <w:ind w:left="440"/>
      </w:pPr>
      <w:hyperlink w:anchor="_Toc5939" w:history="1">
        <w:r>
          <w:rPr>
            <w:rFonts w:ascii="IRNazanin" w:hAnsi="IRNazanin" w:eastAsia="IRNazanin" w:cs="IRNazanin"/>
            <w:color w:val="111111"/>
            <w:sz w:val="22"/>
            <w:szCs w:val="22"/>
            <w:b w:val="0"/>
            <w:bCs w:val="0"/>
            <w:i w:val="0"/>
            <w:iCs w:val="0"/>
          </w:rPr>
          <w:t>5463- دیوان فتی الجبل‏</w:t>
        </w:r>
        <w:r>
          <w:tab/>
        </w:r>
        <w:r>
          <w:fldChar w:fldCharType="begin"/>
        </w:r>
        <w:r>
          <w:instrText xml:space="preserve">PAGEREF 5939 \h</w:instrText>
        </w:r>
        <w:r>
          <w:fldChar w:fldCharType="end"/>
        </w:r>
      </w:hyperlink>
    </w:p>
    <w:p>
      <w:pPr>
        <w:tabs>
          <w:tab w:val="right" w:leader="dot" w:pos="9062"/>
        </w:tabs>
        <w:ind w:left="440"/>
      </w:pPr>
      <w:hyperlink w:anchor="_Toc5940" w:history="1">
        <w:r>
          <w:rPr>
            <w:rFonts w:ascii="IRNazanin" w:hAnsi="IRNazanin" w:eastAsia="IRNazanin" w:cs="IRNazanin"/>
            <w:color w:val="111111"/>
            <w:sz w:val="22"/>
            <w:szCs w:val="22"/>
            <w:b w:val="0"/>
            <w:bCs w:val="0"/>
            <w:i w:val="0"/>
            <w:iCs w:val="0"/>
          </w:rPr>
          <w:t>5464- دیوان الفحام‏</w:t>
        </w:r>
        <w:r>
          <w:tab/>
        </w:r>
        <w:r>
          <w:fldChar w:fldCharType="begin"/>
        </w:r>
        <w:r>
          <w:instrText xml:space="preserve">PAGEREF 5940 \h</w:instrText>
        </w:r>
        <w:r>
          <w:fldChar w:fldCharType="end"/>
        </w:r>
      </w:hyperlink>
    </w:p>
    <w:p>
      <w:pPr>
        <w:tabs>
          <w:tab w:val="right" w:leader="dot" w:pos="9062"/>
        </w:tabs>
        <w:ind w:left="440"/>
      </w:pPr>
      <w:hyperlink w:anchor="_Toc5941" w:history="1">
        <w:r>
          <w:rPr>
            <w:rFonts w:ascii="IRNazanin" w:hAnsi="IRNazanin" w:eastAsia="IRNazanin" w:cs="IRNazanin"/>
            <w:color w:val="111111"/>
            <w:sz w:val="22"/>
            <w:szCs w:val="22"/>
            <w:b w:val="0"/>
            <w:bCs w:val="0"/>
            <w:i w:val="0"/>
            <w:iCs w:val="0"/>
          </w:rPr>
          <w:t>5465- دیوان السید فخار أو شعره‏</w:t>
        </w:r>
        <w:r>
          <w:tab/>
        </w:r>
        <w:r>
          <w:fldChar w:fldCharType="begin"/>
        </w:r>
        <w:r>
          <w:instrText xml:space="preserve">PAGEREF 5941 \h</w:instrText>
        </w:r>
        <w:r>
          <w:fldChar w:fldCharType="end"/>
        </w:r>
      </w:hyperlink>
    </w:p>
    <w:p>
      <w:pPr>
        <w:tabs>
          <w:tab w:val="right" w:leader="dot" w:pos="9062"/>
        </w:tabs>
        <w:ind w:left="440"/>
      </w:pPr>
      <w:hyperlink w:anchor="_Toc5942" w:history="1">
        <w:r>
          <w:rPr>
            <w:rFonts w:ascii="IRNazanin" w:hAnsi="IRNazanin" w:eastAsia="IRNazanin" w:cs="IRNazanin"/>
            <w:color w:val="111111"/>
            <w:sz w:val="22"/>
            <w:szCs w:val="22"/>
            <w:b w:val="0"/>
            <w:bCs w:val="0"/>
            <w:i w:val="0"/>
            <w:iCs w:val="0"/>
          </w:rPr>
          <w:t>5466- دیوان مولانا فخر أو شعره‏</w:t>
        </w:r>
        <w:r>
          <w:tab/>
        </w:r>
        <w:r>
          <w:fldChar w:fldCharType="begin"/>
        </w:r>
        <w:r>
          <w:instrText xml:space="preserve">PAGEREF 5942 \h</w:instrText>
        </w:r>
        <w:r>
          <w:fldChar w:fldCharType="end"/>
        </w:r>
      </w:hyperlink>
    </w:p>
    <w:p>
      <w:pPr>
        <w:tabs>
          <w:tab w:val="right" w:leader="dot" w:pos="9062"/>
        </w:tabs>
        <w:ind w:left="440"/>
      </w:pPr>
      <w:hyperlink w:anchor="_Toc5943" w:history="1">
        <w:r>
          <w:rPr>
            <w:rFonts w:ascii="IRNazanin" w:hAnsi="IRNazanin" w:eastAsia="IRNazanin" w:cs="IRNazanin"/>
            <w:color w:val="111111"/>
            <w:sz w:val="22"/>
            <w:szCs w:val="22"/>
            <w:b w:val="0"/>
            <w:bCs w:val="0"/>
            <w:i w:val="0"/>
            <w:iCs w:val="0"/>
          </w:rPr>
          <w:t>5467- دیوان فخر بناکتی أو شعره‏</w:t>
        </w:r>
        <w:r>
          <w:tab/>
        </w:r>
        <w:r>
          <w:fldChar w:fldCharType="begin"/>
        </w:r>
        <w:r>
          <w:instrText xml:space="preserve">PAGEREF 5943 \h</w:instrText>
        </w:r>
        <w:r>
          <w:fldChar w:fldCharType="end"/>
        </w:r>
      </w:hyperlink>
    </w:p>
    <w:p>
      <w:pPr>
        <w:tabs>
          <w:tab w:val="right" w:leader="dot" w:pos="9062"/>
        </w:tabs>
        <w:ind w:left="440"/>
      </w:pPr>
      <w:hyperlink w:anchor="_Toc5944" w:history="1">
        <w:r>
          <w:rPr>
            <w:rFonts w:ascii="IRNazanin" w:hAnsi="IRNazanin" w:eastAsia="IRNazanin" w:cs="IRNazanin"/>
            <w:color w:val="111111"/>
            <w:sz w:val="22"/>
            <w:szCs w:val="22"/>
            <w:b w:val="0"/>
            <w:bCs w:val="0"/>
            <w:i w:val="0"/>
            <w:iCs w:val="0"/>
          </w:rPr>
          <w:t>5468- دیوان فخر خلخالی أو شعره‏</w:t>
        </w:r>
        <w:r>
          <w:tab/>
        </w:r>
        <w:r>
          <w:fldChar w:fldCharType="begin"/>
        </w:r>
        <w:r>
          <w:instrText xml:space="preserve">PAGEREF 5944 \h</w:instrText>
        </w:r>
        <w:r>
          <w:fldChar w:fldCharType="end"/>
        </w:r>
      </w:hyperlink>
    </w:p>
    <w:p>
      <w:pPr>
        <w:tabs>
          <w:tab w:val="right" w:leader="dot" w:pos="9062"/>
        </w:tabs>
        <w:ind w:left="440"/>
      </w:pPr>
      <w:hyperlink w:anchor="_Toc5945" w:history="1">
        <w:r>
          <w:rPr>
            <w:rFonts w:ascii="IRNazanin" w:hAnsi="IRNazanin" w:eastAsia="IRNazanin" w:cs="IRNazanin"/>
            <w:color w:val="111111"/>
            <w:sz w:val="22"/>
            <w:szCs w:val="22"/>
            <w:b w:val="0"/>
            <w:bCs w:val="0"/>
            <w:i w:val="0"/>
            <w:iCs w:val="0"/>
          </w:rPr>
          <w:t>5469- دیوان فخر الدولة جیلانی‏</w:t>
        </w:r>
        <w:r>
          <w:tab/>
        </w:r>
        <w:r>
          <w:fldChar w:fldCharType="begin"/>
        </w:r>
        <w:r>
          <w:instrText xml:space="preserve">PAGEREF 5945 \h</w:instrText>
        </w:r>
        <w:r>
          <w:fldChar w:fldCharType="end"/>
        </w:r>
      </w:hyperlink>
    </w:p>
    <w:p>
      <w:pPr>
        <w:tabs>
          <w:tab w:val="right" w:leader="dot" w:pos="9062"/>
        </w:tabs>
        <w:ind w:left="440"/>
      </w:pPr>
      <w:hyperlink w:anchor="_Toc5946" w:history="1">
        <w:r>
          <w:rPr>
            <w:rFonts w:ascii="IRNazanin" w:hAnsi="IRNazanin" w:eastAsia="IRNazanin" w:cs="IRNazanin"/>
            <w:color w:val="111111"/>
            <w:sz w:val="22"/>
            <w:szCs w:val="22"/>
            <w:b w:val="0"/>
            <w:bCs w:val="0"/>
            <w:i w:val="0"/>
            <w:iCs w:val="0"/>
          </w:rPr>
          <w:t>5470- دیوان فخر الدین‏</w:t>
        </w:r>
        <w:r>
          <w:tab/>
        </w:r>
        <w:r>
          <w:fldChar w:fldCharType="begin"/>
        </w:r>
        <w:r>
          <w:instrText xml:space="preserve">PAGEREF 5946 \h</w:instrText>
        </w:r>
        <w:r>
          <w:fldChar w:fldCharType="end"/>
        </w:r>
      </w:hyperlink>
    </w:p>
    <w:p>
      <w:pPr>
        <w:tabs>
          <w:tab w:val="right" w:leader="dot" w:pos="9062"/>
        </w:tabs>
        <w:ind w:left="440"/>
      </w:pPr>
      <w:hyperlink w:anchor="_Toc5947" w:history="1">
        <w:r>
          <w:rPr>
            <w:rFonts w:ascii="IRNazanin" w:hAnsi="IRNazanin" w:eastAsia="IRNazanin" w:cs="IRNazanin"/>
            <w:color w:val="111111"/>
            <w:sz w:val="22"/>
            <w:szCs w:val="22"/>
            <w:b w:val="0"/>
            <w:bCs w:val="0"/>
            <w:i w:val="0"/>
            <w:iCs w:val="0"/>
          </w:rPr>
          <w:t>5471- دیوان فخر الدین بروجردی‏</w:t>
        </w:r>
        <w:r>
          <w:tab/>
        </w:r>
        <w:r>
          <w:fldChar w:fldCharType="begin"/>
        </w:r>
        <w:r>
          <w:instrText xml:space="preserve">PAGEREF 5947 \h</w:instrText>
        </w:r>
        <w:r>
          <w:fldChar w:fldCharType="end"/>
        </w:r>
      </w:hyperlink>
    </w:p>
    <w:p>
      <w:pPr>
        <w:tabs>
          <w:tab w:val="right" w:leader="dot" w:pos="9062"/>
        </w:tabs>
        <w:ind w:left="440"/>
      </w:pPr>
      <w:hyperlink w:anchor="_Toc5948" w:history="1">
        <w:r>
          <w:rPr>
            <w:rFonts w:ascii="IRNazanin" w:hAnsi="IRNazanin" w:eastAsia="IRNazanin" w:cs="IRNazanin"/>
            <w:color w:val="111111"/>
            <w:sz w:val="22"/>
            <w:szCs w:val="22"/>
            <w:b w:val="0"/>
            <w:bCs w:val="0"/>
            <w:i w:val="0"/>
            <w:iCs w:val="0"/>
          </w:rPr>
          <w:t>دیوان فخر الدین‏</w:t>
        </w:r>
        <w:r>
          <w:tab/>
        </w:r>
        <w:r>
          <w:fldChar w:fldCharType="begin"/>
        </w:r>
        <w:r>
          <w:instrText xml:space="preserve">PAGEREF 5948 \h</w:instrText>
        </w:r>
        <w:r>
          <w:fldChar w:fldCharType="end"/>
        </w:r>
      </w:hyperlink>
    </w:p>
    <w:p>
      <w:pPr>
        <w:tabs>
          <w:tab w:val="right" w:leader="dot" w:pos="9062"/>
        </w:tabs>
        <w:ind w:left="440"/>
      </w:pPr>
      <w:hyperlink w:anchor="_Toc5949" w:history="1">
        <w:r>
          <w:rPr>
            <w:rFonts w:ascii="IRNazanin" w:hAnsi="IRNazanin" w:eastAsia="IRNazanin" w:cs="IRNazanin"/>
            <w:color w:val="111111"/>
            <w:sz w:val="22"/>
            <w:szCs w:val="22"/>
            <w:b w:val="0"/>
            <w:bCs w:val="0"/>
            <w:i w:val="0"/>
            <w:iCs w:val="0"/>
          </w:rPr>
          <w:t>5472- دیوان فخر الدین خوارزمی‏</w:t>
        </w:r>
        <w:r>
          <w:tab/>
        </w:r>
        <w:r>
          <w:fldChar w:fldCharType="begin"/>
        </w:r>
        <w:r>
          <w:instrText xml:space="preserve">PAGEREF 5949 \h</w:instrText>
        </w:r>
        <w:r>
          <w:fldChar w:fldCharType="end"/>
        </w:r>
      </w:hyperlink>
    </w:p>
    <w:p>
      <w:pPr>
        <w:tabs>
          <w:tab w:val="right" w:leader="dot" w:pos="9062"/>
        </w:tabs>
        <w:ind w:left="440"/>
      </w:pPr>
      <w:hyperlink w:anchor="_Toc5950" w:history="1">
        <w:r>
          <w:rPr>
            <w:rFonts w:ascii="IRNazanin" w:hAnsi="IRNazanin" w:eastAsia="IRNazanin" w:cs="IRNazanin"/>
            <w:color w:val="111111"/>
            <w:sz w:val="22"/>
            <w:szCs w:val="22"/>
            <w:b w:val="0"/>
            <w:bCs w:val="0"/>
            <w:i w:val="0"/>
            <w:iCs w:val="0"/>
          </w:rPr>
          <w:t>5473- دیوان فخر الدین دهراجی‏</w:t>
        </w:r>
        <w:r>
          <w:tab/>
        </w:r>
        <w:r>
          <w:fldChar w:fldCharType="begin"/>
        </w:r>
        <w:r>
          <w:instrText xml:space="preserve">PAGEREF 5950 \h</w:instrText>
        </w:r>
        <w:r>
          <w:fldChar w:fldCharType="end"/>
        </w:r>
      </w:hyperlink>
    </w:p>
    <w:p>
      <w:pPr>
        <w:tabs>
          <w:tab w:val="right" w:leader="dot" w:pos="9062"/>
        </w:tabs>
        <w:ind w:left="440"/>
      </w:pPr>
      <w:hyperlink w:anchor="_Toc5951" w:history="1">
        <w:r>
          <w:rPr>
            <w:rFonts w:ascii="IRNazanin" w:hAnsi="IRNazanin" w:eastAsia="IRNazanin" w:cs="IRNazanin"/>
            <w:color w:val="111111"/>
            <w:sz w:val="22"/>
            <w:szCs w:val="22"/>
            <w:b w:val="0"/>
            <w:bCs w:val="0"/>
            <w:i w:val="0"/>
            <w:iCs w:val="0"/>
          </w:rPr>
          <w:t>5474- دیوان فخر الدین دهلوی‏</w:t>
        </w:r>
        <w:r>
          <w:tab/>
        </w:r>
        <w:r>
          <w:fldChar w:fldCharType="begin"/>
        </w:r>
        <w:r>
          <w:instrText xml:space="preserve">PAGEREF 5951 \h</w:instrText>
        </w:r>
        <w:r>
          <w:fldChar w:fldCharType="end"/>
        </w:r>
      </w:hyperlink>
    </w:p>
    <w:p>
      <w:pPr>
        <w:tabs>
          <w:tab w:val="right" w:leader="dot" w:pos="9062"/>
        </w:tabs>
        <w:ind w:left="440"/>
      </w:pPr>
      <w:hyperlink w:anchor="_Toc5952" w:history="1">
        <w:r>
          <w:rPr>
            <w:rFonts w:ascii="IRNazanin" w:hAnsi="IRNazanin" w:eastAsia="IRNazanin" w:cs="IRNazanin"/>
            <w:color w:val="111111"/>
            <w:sz w:val="22"/>
            <w:szCs w:val="22"/>
            <w:b w:val="0"/>
            <w:bCs w:val="0"/>
            <w:i w:val="0"/>
            <w:iCs w:val="0"/>
          </w:rPr>
          <w:t>5475- دیوان فخر الدین الرازی‏</w:t>
        </w:r>
        <w:r>
          <w:tab/>
        </w:r>
        <w:r>
          <w:fldChar w:fldCharType="begin"/>
        </w:r>
        <w:r>
          <w:instrText xml:space="preserve">PAGEREF 5952 \h</w:instrText>
        </w:r>
        <w:r>
          <w:fldChar w:fldCharType="end"/>
        </w:r>
      </w:hyperlink>
    </w:p>
    <w:p>
      <w:pPr>
        <w:tabs>
          <w:tab w:val="right" w:leader="dot" w:pos="9062"/>
        </w:tabs>
        <w:ind w:left="440"/>
      </w:pPr>
      <w:hyperlink w:anchor="_Toc5953" w:history="1">
        <w:r>
          <w:rPr>
            <w:rFonts w:ascii="IRNazanin" w:hAnsi="IRNazanin" w:eastAsia="IRNazanin" w:cs="IRNazanin"/>
            <w:color w:val="111111"/>
            <w:sz w:val="22"/>
            <w:szCs w:val="22"/>
            <w:b w:val="0"/>
            <w:bCs w:val="0"/>
            <w:i w:val="0"/>
            <w:iCs w:val="0"/>
          </w:rPr>
          <w:t>5476- دیوان فخر الدین قلانسی أو شعره‏</w:t>
        </w:r>
        <w:r>
          <w:tab/>
        </w:r>
        <w:r>
          <w:fldChar w:fldCharType="begin"/>
        </w:r>
        <w:r>
          <w:instrText xml:space="preserve">PAGEREF 5953 \h</w:instrText>
        </w:r>
        <w:r>
          <w:fldChar w:fldCharType="end"/>
        </w:r>
      </w:hyperlink>
    </w:p>
    <w:p>
      <w:pPr>
        <w:tabs>
          <w:tab w:val="right" w:leader="dot" w:pos="9062"/>
        </w:tabs>
        <w:ind w:left="440"/>
      </w:pPr>
      <w:hyperlink w:anchor="_Toc5954" w:history="1">
        <w:r>
          <w:rPr>
            <w:rFonts w:ascii="IRNazanin" w:hAnsi="IRNazanin" w:eastAsia="IRNazanin" w:cs="IRNazanin"/>
            <w:color w:val="111111"/>
            <w:sz w:val="22"/>
            <w:szCs w:val="22"/>
            <w:b w:val="0"/>
            <w:bCs w:val="0"/>
            <w:i w:val="0"/>
            <w:iCs w:val="0"/>
          </w:rPr>
          <w:t>5477- دیوان فخر الدین مروزی أو شعره‏</w:t>
        </w:r>
        <w:r>
          <w:tab/>
        </w:r>
        <w:r>
          <w:fldChar w:fldCharType="begin"/>
        </w:r>
        <w:r>
          <w:instrText xml:space="preserve">PAGEREF 5954 \h</w:instrText>
        </w:r>
        <w:r>
          <w:fldChar w:fldCharType="end"/>
        </w:r>
      </w:hyperlink>
    </w:p>
    <w:p>
      <w:pPr>
        <w:tabs>
          <w:tab w:val="right" w:leader="dot" w:pos="9062"/>
        </w:tabs>
        <w:ind w:left="440"/>
      </w:pPr>
      <w:hyperlink w:anchor="_Toc5955" w:history="1">
        <w:r>
          <w:rPr>
            <w:rFonts w:ascii="IRNazanin" w:hAnsi="IRNazanin" w:eastAsia="IRNazanin" w:cs="IRNazanin"/>
            <w:color w:val="111111"/>
            <w:sz w:val="22"/>
            <w:szCs w:val="22"/>
            <w:b w:val="0"/>
            <w:bCs w:val="0"/>
            <w:i w:val="0"/>
            <w:iCs w:val="0"/>
          </w:rPr>
          <w:t>5478- دیوان فخر الدین مسعود</w:t>
        </w:r>
        <w:r>
          <w:tab/>
        </w:r>
        <w:r>
          <w:fldChar w:fldCharType="begin"/>
        </w:r>
        <w:r>
          <w:instrText xml:space="preserve">PAGEREF 5955 \h</w:instrText>
        </w:r>
        <w:r>
          <w:fldChar w:fldCharType="end"/>
        </w:r>
      </w:hyperlink>
    </w:p>
    <w:p>
      <w:pPr>
        <w:tabs>
          <w:tab w:val="right" w:leader="dot" w:pos="9062"/>
        </w:tabs>
        <w:ind w:left="440"/>
      </w:pPr>
      <w:hyperlink w:anchor="_Toc5956" w:history="1">
        <w:r>
          <w:rPr>
            <w:rFonts w:ascii="IRNazanin" w:hAnsi="IRNazanin" w:eastAsia="IRNazanin" w:cs="IRNazanin"/>
            <w:color w:val="111111"/>
            <w:sz w:val="22"/>
            <w:szCs w:val="22"/>
            <w:b w:val="0"/>
            <w:bCs w:val="0"/>
            <w:i w:val="0"/>
            <w:iCs w:val="0"/>
          </w:rPr>
          <w:t>5479- دیوان فخر الدین هروی‏</w:t>
        </w:r>
        <w:r>
          <w:tab/>
        </w:r>
        <w:r>
          <w:fldChar w:fldCharType="begin"/>
        </w:r>
        <w:r>
          <w:instrText xml:space="preserve">PAGEREF 5956 \h</w:instrText>
        </w:r>
        <w:r>
          <w:fldChar w:fldCharType="end"/>
        </w:r>
      </w:hyperlink>
    </w:p>
    <w:p>
      <w:pPr>
        <w:tabs>
          <w:tab w:val="right" w:leader="dot" w:pos="9062"/>
        </w:tabs>
        <w:ind w:left="440"/>
      </w:pPr>
      <w:hyperlink w:anchor="_Toc5957" w:history="1">
        <w:r>
          <w:rPr>
            <w:rFonts w:ascii="IRNazanin" w:hAnsi="IRNazanin" w:eastAsia="IRNazanin" w:cs="IRNazanin"/>
            <w:color w:val="111111"/>
            <w:sz w:val="22"/>
            <w:szCs w:val="22"/>
            <w:b w:val="0"/>
            <w:bCs w:val="0"/>
            <w:i w:val="0"/>
            <w:iCs w:val="0"/>
          </w:rPr>
          <w:t>5480- دیوان فخر الذاکرین‏</w:t>
        </w:r>
        <w:r>
          <w:tab/>
        </w:r>
        <w:r>
          <w:fldChar w:fldCharType="begin"/>
        </w:r>
        <w:r>
          <w:instrText xml:space="preserve">PAGEREF 5957 \h</w:instrText>
        </w:r>
        <w:r>
          <w:fldChar w:fldCharType="end"/>
        </w:r>
      </w:hyperlink>
    </w:p>
    <w:p>
      <w:pPr>
        <w:tabs>
          <w:tab w:val="right" w:leader="dot" w:pos="9062"/>
        </w:tabs>
        <w:ind w:left="440"/>
      </w:pPr>
      <w:hyperlink w:anchor="_Toc5958" w:history="1">
        <w:r>
          <w:rPr>
            <w:rFonts w:ascii="IRNazanin" w:hAnsi="IRNazanin" w:eastAsia="IRNazanin" w:cs="IRNazanin"/>
            <w:color w:val="111111"/>
            <w:sz w:val="22"/>
            <w:szCs w:val="22"/>
            <w:b w:val="0"/>
            <w:bCs w:val="0"/>
            <w:i w:val="0"/>
            <w:iCs w:val="0"/>
          </w:rPr>
          <w:t>دیوان فخر رازی‏</w:t>
        </w:r>
        <w:r>
          <w:tab/>
        </w:r>
        <w:r>
          <w:fldChar w:fldCharType="begin"/>
        </w:r>
        <w:r>
          <w:instrText xml:space="preserve">PAGEREF 5958 \h</w:instrText>
        </w:r>
        <w:r>
          <w:fldChar w:fldCharType="end"/>
        </w:r>
      </w:hyperlink>
    </w:p>
    <w:p>
      <w:pPr>
        <w:tabs>
          <w:tab w:val="right" w:leader="dot" w:pos="9062"/>
        </w:tabs>
        <w:ind w:left="440"/>
      </w:pPr>
      <w:hyperlink w:anchor="_Toc5959" w:history="1">
        <w:r>
          <w:rPr>
            <w:rFonts w:ascii="IRNazanin" w:hAnsi="IRNazanin" w:eastAsia="IRNazanin" w:cs="IRNazanin"/>
            <w:color w:val="111111"/>
            <w:sz w:val="22"/>
            <w:szCs w:val="22"/>
            <w:b w:val="0"/>
            <w:bCs w:val="0"/>
            <w:i w:val="0"/>
            <w:iCs w:val="0"/>
          </w:rPr>
          <w:t>دیوان فخر الزمانی قزوینی‏</w:t>
        </w:r>
        <w:r>
          <w:tab/>
        </w:r>
        <w:r>
          <w:fldChar w:fldCharType="begin"/>
        </w:r>
        <w:r>
          <w:instrText xml:space="preserve">PAGEREF 5959 \h</w:instrText>
        </w:r>
        <w:r>
          <w:fldChar w:fldCharType="end"/>
        </w:r>
      </w:hyperlink>
    </w:p>
    <w:p>
      <w:pPr>
        <w:tabs>
          <w:tab w:val="right" w:leader="dot" w:pos="9062"/>
        </w:tabs>
        <w:ind w:left="440"/>
      </w:pPr>
      <w:hyperlink w:anchor="_Toc5960" w:history="1">
        <w:r>
          <w:rPr>
            <w:rFonts w:ascii="IRNazanin" w:hAnsi="IRNazanin" w:eastAsia="IRNazanin" w:cs="IRNazanin"/>
            <w:color w:val="111111"/>
            <w:sz w:val="22"/>
            <w:szCs w:val="22"/>
            <w:b w:val="0"/>
            <w:bCs w:val="0"/>
            <w:i w:val="0"/>
            <w:iCs w:val="0"/>
          </w:rPr>
          <w:t>5481- دیوان فخر الزمان قزوینی أو شعره‏</w:t>
        </w:r>
        <w:r>
          <w:tab/>
        </w:r>
        <w:r>
          <w:fldChar w:fldCharType="begin"/>
        </w:r>
        <w:r>
          <w:instrText xml:space="preserve">PAGEREF 5960 \h</w:instrText>
        </w:r>
        <w:r>
          <w:fldChar w:fldCharType="end"/>
        </w:r>
      </w:hyperlink>
    </w:p>
    <w:p>
      <w:pPr>
        <w:tabs>
          <w:tab w:val="right" w:leader="dot" w:pos="9062"/>
        </w:tabs>
        <w:ind w:left="440"/>
      </w:pPr>
      <w:hyperlink w:anchor="_Toc5961" w:history="1">
        <w:r>
          <w:rPr>
            <w:rFonts w:ascii="IRNazanin" w:hAnsi="IRNazanin" w:eastAsia="IRNazanin" w:cs="IRNazanin"/>
            <w:color w:val="111111"/>
            <w:sz w:val="22"/>
            <w:szCs w:val="22"/>
            <w:b w:val="0"/>
            <w:bCs w:val="0"/>
            <w:i w:val="0"/>
            <w:iCs w:val="0"/>
          </w:rPr>
          <w:t>5482- دیوان فخر شیرازی أو شعره‏</w:t>
        </w:r>
        <w:r>
          <w:tab/>
        </w:r>
        <w:r>
          <w:fldChar w:fldCharType="begin"/>
        </w:r>
        <w:r>
          <w:instrText xml:space="preserve">PAGEREF 5961 \h</w:instrText>
        </w:r>
        <w:r>
          <w:fldChar w:fldCharType="end"/>
        </w:r>
      </w:hyperlink>
    </w:p>
    <w:p>
      <w:pPr>
        <w:tabs>
          <w:tab w:val="right" w:leader="dot" w:pos="9062"/>
        </w:tabs>
        <w:ind w:left="440"/>
      </w:pPr>
      <w:hyperlink w:anchor="_Toc5962" w:history="1">
        <w:r>
          <w:rPr>
            <w:rFonts w:ascii="IRNazanin" w:hAnsi="IRNazanin" w:eastAsia="IRNazanin" w:cs="IRNazanin"/>
            <w:color w:val="111111"/>
            <w:sz w:val="22"/>
            <w:szCs w:val="22"/>
            <w:b w:val="0"/>
            <w:bCs w:val="0"/>
            <w:i w:val="0"/>
            <w:iCs w:val="0"/>
          </w:rPr>
          <w:t>دیوان فخر عراقی‏</w:t>
        </w:r>
        <w:r>
          <w:tab/>
        </w:r>
        <w:r>
          <w:fldChar w:fldCharType="begin"/>
        </w:r>
        <w:r>
          <w:instrText xml:space="preserve">PAGEREF 5962 \h</w:instrText>
        </w:r>
        <w:r>
          <w:fldChar w:fldCharType="end"/>
        </w:r>
      </w:hyperlink>
    </w:p>
    <w:p>
      <w:pPr>
        <w:tabs>
          <w:tab w:val="right" w:leader="dot" w:pos="9062"/>
        </w:tabs>
        <w:ind w:left="440"/>
      </w:pPr>
      <w:hyperlink w:anchor="_Toc5963" w:history="1">
        <w:r>
          <w:rPr>
            <w:rFonts w:ascii="IRNazanin" w:hAnsi="IRNazanin" w:eastAsia="IRNazanin" w:cs="IRNazanin"/>
            <w:color w:val="111111"/>
            <w:sz w:val="22"/>
            <w:szCs w:val="22"/>
            <w:b w:val="0"/>
            <w:bCs w:val="0"/>
            <w:i w:val="0"/>
            <w:iCs w:val="0"/>
          </w:rPr>
          <w:t>5483- دیوان فخر قزوینی أو شعره‏</w:t>
        </w:r>
        <w:r>
          <w:tab/>
        </w:r>
        <w:r>
          <w:fldChar w:fldCharType="begin"/>
        </w:r>
        <w:r>
          <w:instrText xml:space="preserve">PAGEREF 5963 \h</w:instrText>
        </w:r>
        <w:r>
          <w:fldChar w:fldCharType="end"/>
        </w:r>
      </w:hyperlink>
    </w:p>
    <w:p>
      <w:pPr>
        <w:tabs>
          <w:tab w:val="right" w:leader="dot" w:pos="9062"/>
        </w:tabs>
        <w:ind w:left="440"/>
      </w:pPr>
      <w:hyperlink w:anchor="_Toc5964" w:history="1">
        <w:r>
          <w:rPr>
            <w:rFonts w:ascii="IRNazanin" w:hAnsi="IRNazanin" w:eastAsia="IRNazanin" w:cs="IRNazanin"/>
            <w:color w:val="111111"/>
            <w:sz w:val="22"/>
            <w:szCs w:val="22"/>
            <w:b w:val="0"/>
            <w:bCs w:val="0"/>
            <w:i w:val="0"/>
            <w:iCs w:val="0"/>
          </w:rPr>
          <w:t>5484- دیوان فخر الواعظین کاشانی‏</w:t>
        </w:r>
        <w:r>
          <w:tab/>
        </w:r>
        <w:r>
          <w:fldChar w:fldCharType="begin"/>
        </w:r>
        <w:r>
          <w:instrText xml:space="preserve">PAGEREF 5964 \h</w:instrText>
        </w:r>
        <w:r>
          <w:fldChar w:fldCharType="end"/>
        </w:r>
      </w:hyperlink>
    </w:p>
    <w:p>
      <w:pPr>
        <w:tabs>
          <w:tab w:val="right" w:leader="dot" w:pos="9062"/>
        </w:tabs>
        <w:ind w:left="440"/>
      </w:pPr>
      <w:hyperlink w:anchor="_Toc5965" w:history="1">
        <w:r>
          <w:rPr>
            <w:rFonts w:ascii="IRNazanin" w:hAnsi="IRNazanin" w:eastAsia="IRNazanin" w:cs="IRNazanin"/>
            <w:color w:val="111111"/>
            <w:sz w:val="22"/>
            <w:szCs w:val="22"/>
            <w:b w:val="0"/>
            <w:bCs w:val="0"/>
            <w:i w:val="0"/>
            <w:iCs w:val="0"/>
          </w:rPr>
          <w:t>دیوان فخری أصفهانی‏</w:t>
        </w:r>
        <w:r>
          <w:tab/>
        </w:r>
        <w:r>
          <w:fldChar w:fldCharType="begin"/>
        </w:r>
        <w:r>
          <w:instrText xml:space="preserve">PAGEREF 5965 \h</w:instrText>
        </w:r>
        <w:r>
          <w:fldChar w:fldCharType="end"/>
        </w:r>
      </w:hyperlink>
    </w:p>
    <w:p>
      <w:pPr>
        <w:tabs>
          <w:tab w:val="right" w:leader="dot" w:pos="9062"/>
        </w:tabs>
        <w:ind w:left="440"/>
      </w:pPr>
      <w:hyperlink w:anchor="_Toc5966" w:history="1">
        <w:r>
          <w:rPr>
            <w:rFonts w:ascii="IRNazanin" w:hAnsi="IRNazanin" w:eastAsia="IRNazanin" w:cs="IRNazanin"/>
            <w:color w:val="111111"/>
            <w:sz w:val="22"/>
            <w:szCs w:val="22"/>
            <w:b w:val="0"/>
            <w:bCs w:val="0"/>
            <w:i w:val="0"/>
            <w:iCs w:val="0"/>
          </w:rPr>
          <w:t>5485- دیوان فخری ایروانی أو شعره‏</w:t>
        </w:r>
        <w:r>
          <w:tab/>
        </w:r>
        <w:r>
          <w:fldChar w:fldCharType="begin"/>
        </w:r>
        <w:r>
          <w:instrText xml:space="preserve">PAGEREF 5966 \h</w:instrText>
        </w:r>
        <w:r>
          <w:fldChar w:fldCharType="end"/>
        </w:r>
      </w:hyperlink>
    </w:p>
    <w:p>
      <w:pPr>
        <w:tabs>
          <w:tab w:val="right" w:leader="dot" w:pos="9062"/>
        </w:tabs>
        <w:ind w:left="440"/>
      </w:pPr>
      <w:hyperlink w:anchor="_Toc5967" w:history="1">
        <w:r>
          <w:rPr>
            <w:rFonts w:ascii="IRNazanin" w:hAnsi="IRNazanin" w:eastAsia="IRNazanin" w:cs="IRNazanin"/>
            <w:color w:val="111111"/>
            <w:sz w:val="22"/>
            <w:szCs w:val="22"/>
            <w:b w:val="0"/>
            <w:bCs w:val="0"/>
            <w:i w:val="0"/>
            <w:iCs w:val="0"/>
          </w:rPr>
          <w:t>5486- دیوان فخری بنارسی أو شعره‏</w:t>
        </w:r>
        <w:r>
          <w:tab/>
        </w:r>
        <w:r>
          <w:fldChar w:fldCharType="begin"/>
        </w:r>
        <w:r>
          <w:instrText xml:space="preserve">PAGEREF 5967 \h</w:instrText>
        </w:r>
        <w:r>
          <w:fldChar w:fldCharType="end"/>
        </w:r>
      </w:hyperlink>
    </w:p>
    <w:p>
      <w:pPr>
        <w:tabs>
          <w:tab w:val="right" w:leader="dot" w:pos="9062"/>
        </w:tabs>
        <w:ind w:left="440"/>
      </w:pPr>
      <w:hyperlink w:anchor="_Toc5968" w:history="1">
        <w:r>
          <w:rPr>
            <w:rFonts w:ascii="IRNazanin" w:hAnsi="IRNazanin" w:eastAsia="IRNazanin" w:cs="IRNazanin"/>
            <w:color w:val="111111"/>
            <w:sz w:val="22"/>
            <w:szCs w:val="22"/>
            <w:b w:val="0"/>
            <w:bCs w:val="0"/>
            <w:i w:val="0"/>
            <w:iCs w:val="0"/>
          </w:rPr>
          <w:t>5487- دیوان فخری سبزواری‏</w:t>
        </w:r>
        <w:r>
          <w:tab/>
        </w:r>
        <w:r>
          <w:fldChar w:fldCharType="begin"/>
        </w:r>
        <w:r>
          <w:instrText xml:space="preserve">PAGEREF 5968 \h</w:instrText>
        </w:r>
        <w:r>
          <w:fldChar w:fldCharType="end"/>
        </w:r>
      </w:hyperlink>
    </w:p>
    <w:p>
      <w:pPr>
        <w:tabs>
          <w:tab w:val="right" w:leader="dot" w:pos="9062"/>
        </w:tabs>
        <w:ind w:left="440"/>
      </w:pPr>
      <w:hyperlink w:anchor="_Toc5969" w:history="1">
        <w:r>
          <w:rPr>
            <w:rFonts w:ascii="IRNazanin" w:hAnsi="IRNazanin" w:eastAsia="IRNazanin" w:cs="IRNazanin"/>
            <w:color w:val="111111"/>
            <w:sz w:val="22"/>
            <w:szCs w:val="22"/>
            <w:b w:val="0"/>
            <w:bCs w:val="0"/>
            <w:i w:val="0"/>
            <w:iCs w:val="0"/>
          </w:rPr>
          <w:t>5488- دیوان فخری قاجار</w:t>
        </w:r>
        <w:r>
          <w:tab/>
        </w:r>
        <w:r>
          <w:fldChar w:fldCharType="begin"/>
        </w:r>
        <w:r>
          <w:instrText xml:space="preserve">PAGEREF 5969 \h</w:instrText>
        </w:r>
        <w:r>
          <w:fldChar w:fldCharType="end"/>
        </w:r>
      </w:hyperlink>
    </w:p>
    <w:p>
      <w:pPr>
        <w:tabs>
          <w:tab w:val="right" w:leader="dot" w:pos="9062"/>
        </w:tabs>
        <w:ind w:left="440"/>
      </w:pPr>
      <w:hyperlink w:anchor="_Toc5970" w:history="1">
        <w:r>
          <w:rPr>
            <w:rFonts w:ascii="IRNazanin" w:hAnsi="IRNazanin" w:eastAsia="IRNazanin" w:cs="IRNazanin"/>
            <w:color w:val="111111"/>
            <w:sz w:val="22"/>
            <w:szCs w:val="22"/>
            <w:b w:val="0"/>
            <w:bCs w:val="0"/>
            <w:i w:val="0"/>
            <w:iCs w:val="0"/>
          </w:rPr>
          <w:t>5489- دیوان فخری گرگانی‏</w:t>
        </w:r>
        <w:r>
          <w:tab/>
        </w:r>
        <w:r>
          <w:fldChar w:fldCharType="begin"/>
        </w:r>
        <w:r>
          <w:instrText xml:space="preserve">PAGEREF 5970 \h</w:instrText>
        </w:r>
        <w:r>
          <w:fldChar w:fldCharType="end"/>
        </w:r>
      </w:hyperlink>
    </w:p>
    <w:p>
      <w:pPr>
        <w:tabs>
          <w:tab w:val="right" w:leader="dot" w:pos="9062"/>
        </w:tabs>
        <w:ind w:left="440"/>
      </w:pPr>
      <w:hyperlink w:anchor="_Toc5971" w:history="1">
        <w:r>
          <w:rPr>
            <w:rFonts w:ascii="IRNazanin" w:hAnsi="IRNazanin" w:eastAsia="IRNazanin" w:cs="IRNazanin"/>
            <w:color w:val="111111"/>
            <w:sz w:val="22"/>
            <w:szCs w:val="22"/>
            <w:b w:val="0"/>
            <w:bCs w:val="0"/>
            <w:i w:val="0"/>
            <w:iCs w:val="0"/>
          </w:rPr>
          <w:t>5490- دیوان فخری هروی‏</w:t>
        </w:r>
        <w:r>
          <w:tab/>
        </w:r>
        <w:r>
          <w:fldChar w:fldCharType="begin"/>
        </w:r>
        <w:r>
          <w:instrText xml:space="preserve">PAGEREF 5971 \h</w:instrText>
        </w:r>
        <w:r>
          <w:fldChar w:fldCharType="end"/>
        </w:r>
      </w:hyperlink>
    </w:p>
    <w:p>
      <w:pPr>
        <w:tabs>
          <w:tab w:val="right" w:leader="dot" w:pos="9062"/>
        </w:tabs>
        <w:ind w:left="440"/>
      </w:pPr>
      <w:hyperlink w:anchor="_Toc5972" w:history="1">
        <w:r>
          <w:rPr>
            <w:rFonts w:ascii="IRNazanin" w:hAnsi="IRNazanin" w:eastAsia="IRNazanin" w:cs="IRNazanin"/>
            <w:color w:val="111111"/>
            <w:sz w:val="22"/>
            <w:szCs w:val="22"/>
            <w:b w:val="0"/>
            <w:bCs w:val="0"/>
            <w:i w:val="0"/>
            <w:iCs w:val="0"/>
          </w:rPr>
          <w:t>5491- دیوان فدای أردستانی أو شعره‏</w:t>
        </w:r>
        <w:r>
          <w:tab/>
        </w:r>
        <w:r>
          <w:fldChar w:fldCharType="begin"/>
        </w:r>
        <w:r>
          <w:instrText xml:space="preserve">PAGEREF 5972 \h</w:instrText>
        </w:r>
        <w:r>
          <w:fldChar w:fldCharType="end"/>
        </w:r>
      </w:hyperlink>
    </w:p>
    <w:p>
      <w:pPr>
        <w:tabs>
          <w:tab w:val="right" w:leader="dot" w:pos="9062"/>
        </w:tabs>
        <w:ind w:left="440"/>
      </w:pPr>
      <w:hyperlink w:anchor="_Toc5973" w:history="1">
        <w:r>
          <w:rPr>
            <w:rFonts w:ascii="IRNazanin" w:hAnsi="IRNazanin" w:eastAsia="IRNazanin" w:cs="IRNazanin"/>
            <w:color w:val="111111"/>
            <w:sz w:val="22"/>
            <w:szCs w:val="22"/>
            <w:b w:val="0"/>
            <w:bCs w:val="0"/>
            <w:i w:val="0"/>
            <w:iCs w:val="0"/>
          </w:rPr>
          <w:t>5492- دیوان فدای أصفهانی أو شعره‏</w:t>
        </w:r>
        <w:r>
          <w:tab/>
        </w:r>
        <w:r>
          <w:fldChar w:fldCharType="begin"/>
        </w:r>
        <w:r>
          <w:instrText xml:space="preserve">PAGEREF 5973 \h</w:instrText>
        </w:r>
        <w:r>
          <w:fldChar w:fldCharType="end"/>
        </w:r>
      </w:hyperlink>
    </w:p>
    <w:p>
      <w:pPr>
        <w:tabs>
          <w:tab w:val="right" w:leader="dot" w:pos="9062"/>
        </w:tabs>
        <w:ind w:left="440"/>
      </w:pPr>
      <w:hyperlink w:anchor="_Toc5974" w:history="1">
        <w:r>
          <w:rPr>
            <w:rFonts w:ascii="IRNazanin" w:hAnsi="IRNazanin" w:eastAsia="IRNazanin" w:cs="IRNazanin"/>
            <w:color w:val="111111"/>
            <w:sz w:val="22"/>
            <w:szCs w:val="22"/>
            <w:b w:val="0"/>
            <w:bCs w:val="0"/>
            <w:i w:val="0"/>
            <w:iCs w:val="0"/>
          </w:rPr>
          <w:t>دیوان فدای أصفهانی‏</w:t>
        </w:r>
        <w:r>
          <w:tab/>
        </w:r>
        <w:r>
          <w:fldChar w:fldCharType="begin"/>
        </w:r>
        <w:r>
          <w:instrText xml:space="preserve">PAGEREF 5974 \h</w:instrText>
        </w:r>
        <w:r>
          <w:fldChar w:fldCharType="end"/>
        </w:r>
      </w:hyperlink>
    </w:p>
    <w:p>
      <w:pPr>
        <w:tabs>
          <w:tab w:val="right" w:leader="dot" w:pos="9062"/>
        </w:tabs>
        <w:ind w:left="440"/>
      </w:pPr>
      <w:hyperlink w:anchor="_Toc5975" w:history="1">
        <w:r>
          <w:rPr>
            <w:rFonts w:ascii="IRNazanin" w:hAnsi="IRNazanin" w:eastAsia="IRNazanin" w:cs="IRNazanin"/>
            <w:color w:val="111111"/>
            <w:sz w:val="22"/>
            <w:szCs w:val="22"/>
            <w:b w:val="0"/>
            <w:bCs w:val="0"/>
            <w:i w:val="0"/>
            <w:iCs w:val="0"/>
          </w:rPr>
          <w:t>5493- دیوان فدائی أردکانی أو شعره‏</w:t>
        </w:r>
        <w:r>
          <w:tab/>
        </w:r>
        <w:r>
          <w:fldChar w:fldCharType="begin"/>
        </w:r>
        <w:r>
          <w:instrText xml:space="preserve">PAGEREF 5975 \h</w:instrText>
        </w:r>
        <w:r>
          <w:fldChar w:fldCharType="end"/>
        </w:r>
      </w:hyperlink>
    </w:p>
    <w:p>
      <w:pPr>
        <w:tabs>
          <w:tab w:val="right" w:leader="dot" w:pos="9062"/>
        </w:tabs>
        <w:ind w:left="440"/>
      </w:pPr>
      <w:hyperlink w:anchor="_Toc5976" w:history="1">
        <w:r>
          <w:rPr>
            <w:rFonts w:ascii="IRNazanin" w:hAnsi="IRNazanin" w:eastAsia="IRNazanin" w:cs="IRNazanin"/>
            <w:color w:val="111111"/>
            <w:sz w:val="22"/>
            <w:szCs w:val="22"/>
            <w:b w:val="0"/>
            <w:bCs w:val="0"/>
            <w:i w:val="0"/>
            <w:iCs w:val="0"/>
          </w:rPr>
          <w:t>5494- دیوان فدائی أسترآبادی أو شعره‏</w:t>
        </w:r>
        <w:r>
          <w:tab/>
        </w:r>
        <w:r>
          <w:fldChar w:fldCharType="begin"/>
        </w:r>
        <w:r>
          <w:instrText xml:space="preserve">PAGEREF 5976 \h</w:instrText>
        </w:r>
        <w:r>
          <w:fldChar w:fldCharType="end"/>
        </w:r>
      </w:hyperlink>
    </w:p>
    <w:p>
      <w:pPr>
        <w:tabs>
          <w:tab w:val="right" w:leader="dot" w:pos="9062"/>
        </w:tabs>
        <w:ind w:left="440"/>
      </w:pPr>
      <w:hyperlink w:anchor="_Toc5977" w:history="1">
        <w:r>
          <w:rPr>
            <w:rFonts w:ascii="IRNazanin" w:hAnsi="IRNazanin" w:eastAsia="IRNazanin" w:cs="IRNazanin"/>
            <w:color w:val="111111"/>
            <w:sz w:val="22"/>
            <w:szCs w:val="22"/>
            <w:b w:val="0"/>
            <w:bCs w:val="0"/>
            <w:i w:val="0"/>
            <w:iCs w:val="0"/>
          </w:rPr>
          <w:t>دیوان فدائی أصفهانی‏</w:t>
        </w:r>
        <w:r>
          <w:tab/>
        </w:r>
        <w:r>
          <w:fldChar w:fldCharType="begin"/>
        </w:r>
        <w:r>
          <w:instrText xml:space="preserve">PAGEREF 5977 \h</w:instrText>
        </w:r>
        <w:r>
          <w:fldChar w:fldCharType="end"/>
        </w:r>
      </w:hyperlink>
    </w:p>
    <w:p>
      <w:pPr>
        <w:tabs>
          <w:tab w:val="right" w:leader="dot" w:pos="9062"/>
        </w:tabs>
        <w:ind w:left="440"/>
      </w:pPr>
      <w:hyperlink w:anchor="_Toc5978" w:history="1">
        <w:r>
          <w:rPr>
            <w:rFonts w:ascii="IRNazanin" w:hAnsi="IRNazanin" w:eastAsia="IRNazanin" w:cs="IRNazanin"/>
            <w:color w:val="111111"/>
            <w:sz w:val="22"/>
            <w:szCs w:val="22"/>
            <w:b w:val="0"/>
            <w:bCs w:val="0"/>
            <w:i w:val="0"/>
            <w:iCs w:val="0"/>
          </w:rPr>
          <w:t>5495- دیوان فدائی ایروانی أو شعره‏</w:t>
        </w:r>
        <w:r>
          <w:tab/>
        </w:r>
        <w:r>
          <w:fldChar w:fldCharType="begin"/>
        </w:r>
        <w:r>
          <w:instrText xml:space="preserve">PAGEREF 5978 \h</w:instrText>
        </w:r>
        <w:r>
          <w:fldChar w:fldCharType="end"/>
        </w:r>
      </w:hyperlink>
    </w:p>
    <w:p>
      <w:pPr>
        <w:tabs>
          <w:tab w:val="right" w:leader="dot" w:pos="9062"/>
        </w:tabs>
        <w:ind w:left="440"/>
      </w:pPr>
      <w:hyperlink w:anchor="_Toc5979" w:history="1">
        <w:r>
          <w:rPr>
            <w:rFonts w:ascii="IRNazanin" w:hAnsi="IRNazanin" w:eastAsia="IRNazanin" w:cs="IRNazanin"/>
            <w:color w:val="111111"/>
            <w:sz w:val="22"/>
            <w:szCs w:val="22"/>
            <w:b w:val="0"/>
            <w:bCs w:val="0"/>
            <w:i w:val="0"/>
            <w:iCs w:val="0"/>
          </w:rPr>
          <w:t>5496- دیوان فدائی بیرجندی‏</w:t>
        </w:r>
        <w:r>
          <w:tab/>
        </w:r>
        <w:r>
          <w:fldChar w:fldCharType="begin"/>
        </w:r>
        <w:r>
          <w:instrText xml:space="preserve">PAGEREF 5979 \h</w:instrText>
        </w:r>
        <w:r>
          <w:fldChar w:fldCharType="end"/>
        </w:r>
      </w:hyperlink>
    </w:p>
    <w:p>
      <w:pPr>
        <w:tabs>
          <w:tab w:val="right" w:leader="dot" w:pos="9062"/>
        </w:tabs>
        <w:ind w:left="440"/>
      </w:pPr>
      <w:hyperlink w:anchor="_Toc5980" w:history="1">
        <w:r>
          <w:rPr>
            <w:rFonts w:ascii="IRNazanin" w:hAnsi="IRNazanin" w:eastAsia="IRNazanin" w:cs="IRNazanin"/>
            <w:color w:val="111111"/>
            <w:sz w:val="22"/>
            <w:szCs w:val="22"/>
            <w:b w:val="0"/>
            <w:bCs w:val="0"/>
            <w:i w:val="0"/>
            <w:iCs w:val="0"/>
          </w:rPr>
          <w:t>5497- دیوان فدائی تبریزی‏</w:t>
        </w:r>
        <w:r>
          <w:tab/>
        </w:r>
        <w:r>
          <w:fldChar w:fldCharType="begin"/>
        </w:r>
        <w:r>
          <w:instrText xml:space="preserve">PAGEREF 5980 \h</w:instrText>
        </w:r>
        <w:r>
          <w:fldChar w:fldCharType="end"/>
        </w:r>
      </w:hyperlink>
    </w:p>
    <w:p>
      <w:pPr>
        <w:tabs>
          <w:tab w:val="right" w:leader="dot" w:pos="9062"/>
        </w:tabs>
        <w:ind w:left="440"/>
      </w:pPr>
      <w:hyperlink w:anchor="_Toc5981" w:history="1">
        <w:r>
          <w:rPr>
            <w:rFonts w:ascii="IRNazanin" w:hAnsi="IRNazanin" w:eastAsia="IRNazanin" w:cs="IRNazanin"/>
            <w:color w:val="111111"/>
            <w:sz w:val="22"/>
            <w:szCs w:val="22"/>
            <w:b w:val="0"/>
            <w:bCs w:val="0"/>
            <w:i w:val="0"/>
            <w:iCs w:val="0"/>
          </w:rPr>
          <w:t>دیوان فدائی تبریزی‏</w:t>
        </w:r>
        <w:r>
          <w:tab/>
        </w:r>
        <w:r>
          <w:fldChar w:fldCharType="begin"/>
        </w:r>
        <w:r>
          <w:instrText xml:space="preserve">PAGEREF 5981 \h</w:instrText>
        </w:r>
        <w:r>
          <w:fldChar w:fldCharType="end"/>
        </w:r>
      </w:hyperlink>
    </w:p>
    <w:p>
      <w:pPr>
        <w:tabs>
          <w:tab w:val="right" w:leader="dot" w:pos="9062"/>
        </w:tabs>
        <w:ind w:left="440"/>
      </w:pPr>
      <w:hyperlink w:anchor="_Toc5982" w:history="1">
        <w:r>
          <w:rPr>
            <w:rFonts w:ascii="IRNazanin" w:hAnsi="IRNazanin" w:eastAsia="IRNazanin" w:cs="IRNazanin"/>
            <w:color w:val="111111"/>
            <w:sz w:val="22"/>
            <w:szCs w:val="22"/>
            <w:b w:val="0"/>
            <w:bCs w:val="0"/>
            <w:i w:val="0"/>
            <w:iCs w:val="0"/>
          </w:rPr>
          <w:t>5498- دیوان فدائی طهرانی أو شعره‏</w:t>
        </w:r>
        <w:r>
          <w:tab/>
        </w:r>
        <w:r>
          <w:fldChar w:fldCharType="begin"/>
        </w:r>
        <w:r>
          <w:instrText xml:space="preserve">PAGEREF 5982 \h</w:instrText>
        </w:r>
        <w:r>
          <w:fldChar w:fldCharType="end"/>
        </w:r>
      </w:hyperlink>
    </w:p>
    <w:p>
      <w:pPr>
        <w:tabs>
          <w:tab w:val="right" w:leader="dot" w:pos="9062"/>
        </w:tabs>
        <w:ind w:left="440"/>
      </w:pPr>
      <w:hyperlink w:anchor="_Toc5983" w:history="1">
        <w:r>
          <w:rPr>
            <w:rFonts w:ascii="IRNazanin" w:hAnsi="IRNazanin" w:eastAsia="IRNazanin" w:cs="IRNazanin"/>
            <w:color w:val="111111"/>
            <w:sz w:val="22"/>
            <w:szCs w:val="22"/>
            <w:b w:val="0"/>
            <w:bCs w:val="0"/>
            <w:i w:val="0"/>
            <w:iCs w:val="0"/>
          </w:rPr>
          <w:t>دیوان فدائی شیرازی‏</w:t>
        </w:r>
        <w:r>
          <w:tab/>
        </w:r>
        <w:r>
          <w:fldChar w:fldCharType="begin"/>
        </w:r>
        <w:r>
          <w:instrText xml:space="preserve">PAGEREF 5983 \h</w:instrText>
        </w:r>
        <w:r>
          <w:fldChar w:fldCharType="end"/>
        </w:r>
      </w:hyperlink>
    </w:p>
    <w:p>
      <w:pPr>
        <w:tabs>
          <w:tab w:val="right" w:leader="dot" w:pos="9062"/>
        </w:tabs>
        <w:ind w:left="440"/>
      </w:pPr>
      <w:hyperlink w:anchor="_Toc5984" w:history="1">
        <w:r>
          <w:rPr>
            <w:rFonts w:ascii="IRNazanin" w:hAnsi="IRNazanin" w:eastAsia="IRNazanin" w:cs="IRNazanin"/>
            <w:color w:val="111111"/>
            <w:sz w:val="22"/>
            <w:szCs w:val="22"/>
            <w:b w:val="0"/>
            <w:bCs w:val="0"/>
            <w:i w:val="0"/>
            <w:iCs w:val="0"/>
          </w:rPr>
          <w:t>5499- دیوان فدائی کرمانی أو شعره‏</w:t>
        </w:r>
        <w:r>
          <w:tab/>
        </w:r>
        <w:r>
          <w:fldChar w:fldCharType="begin"/>
        </w:r>
        <w:r>
          <w:instrText xml:space="preserve">PAGEREF 5984 \h</w:instrText>
        </w:r>
        <w:r>
          <w:fldChar w:fldCharType="end"/>
        </w:r>
      </w:hyperlink>
    </w:p>
    <w:p>
      <w:pPr>
        <w:tabs>
          <w:tab w:val="right" w:leader="dot" w:pos="9062"/>
        </w:tabs>
        <w:ind w:left="440"/>
      </w:pPr>
      <w:hyperlink w:anchor="_Toc5985" w:history="1">
        <w:r>
          <w:rPr>
            <w:rFonts w:ascii="IRNazanin" w:hAnsi="IRNazanin" w:eastAsia="IRNazanin" w:cs="IRNazanin"/>
            <w:color w:val="111111"/>
            <w:sz w:val="22"/>
            <w:szCs w:val="22"/>
            <w:b w:val="0"/>
            <w:bCs w:val="0"/>
            <w:i w:val="0"/>
            <w:iCs w:val="0"/>
          </w:rPr>
          <w:t>5500- دیوان فدائی لاهیجی أو شعره‏</w:t>
        </w:r>
        <w:r>
          <w:tab/>
        </w:r>
        <w:r>
          <w:fldChar w:fldCharType="begin"/>
        </w:r>
        <w:r>
          <w:instrText xml:space="preserve">PAGEREF 5985 \h</w:instrText>
        </w:r>
        <w:r>
          <w:fldChar w:fldCharType="end"/>
        </w:r>
      </w:hyperlink>
    </w:p>
    <w:p>
      <w:pPr>
        <w:tabs>
          <w:tab w:val="right" w:leader="dot" w:pos="9062"/>
        </w:tabs>
        <w:ind w:left="440"/>
      </w:pPr>
      <w:hyperlink w:anchor="_Toc5986" w:history="1">
        <w:r>
          <w:rPr>
            <w:rFonts w:ascii="IRNazanin" w:hAnsi="IRNazanin" w:eastAsia="IRNazanin" w:cs="IRNazanin"/>
            <w:color w:val="111111"/>
            <w:sz w:val="22"/>
            <w:szCs w:val="22"/>
            <w:b w:val="0"/>
            <w:bCs w:val="0"/>
            <w:i w:val="0"/>
            <w:iCs w:val="0"/>
          </w:rPr>
          <w:t>5501- دیوان فدائی مشهدی أو شعره‏</w:t>
        </w:r>
        <w:r>
          <w:tab/>
        </w:r>
        <w:r>
          <w:fldChar w:fldCharType="begin"/>
        </w:r>
        <w:r>
          <w:instrText xml:space="preserve">PAGEREF 5986 \h</w:instrText>
        </w:r>
        <w:r>
          <w:fldChar w:fldCharType="end"/>
        </w:r>
      </w:hyperlink>
    </w:p>
    <w:p>
      <w:pPr>
        <w:tabs>
          <w:tab w:val="right" w:leader="dot" w:pos="9062"/>
        </w:tabs>
        <w:ind w:left="440"/>
      </w:pPr>
      <w:hyperlink w:anchor="_Toc5987" w:history="1">
        <w:r>
          <w:rPr>
            <w:rFonts w:ascii="IRNazanin" w:hAnsi="IRNazanin" w:eastAsia="IRNazanin" w:cs="IRNazanin"/>
            <w:color w:val="111111"/>
            <w:sz w:val="22"/>
            <w:szCs w:val="22"/>
            <w:b w:val="0"/>
            <w:bCs w:val="0"/>
            <w:i w:val="0"/>
            <w:iCs w:val="0"/>
          </w:rPr>
          <w:t>5502- دیوان فدائی نیشابوری أو شعره‏</w:t>
        </w:r>
        <w:r>
          <w:tab/>
        </w:r>
        <w:r>
          <w:fldChar w:fldCharType="begin"/>
        </w:r>
        <w:r>
          <w:instrText xml:space="preserve">PAGEREF 5987 \h</w:instrText>
        </w:r>
        <w:r>
          <w:fldChar w:fldCharType="end"/>
        </w:r>
      </w:hyperlink>
    </w:p>
    <w:p>
      <w:pPr>
        <w:tabs>
          <w:tab w:val="right" w:leader="dot" w:pos="9062"/>
        </w:tabs>
        <w:ind w:left="440"/>
      </w:pPr>
      <w:hyperlink w:anchor="_Toc5988" w:history="1">
        <w:r>
          <w:rPr>
            <w:rFonts w:ascii="IRNazanin" w:hAnsi="IRNazanin" w:eastAsia="IRNazanin" w:cs="IRNazanin"/>
            <w:color w:val="111111"/>
            <w:sz w:val="22"/>
            <w:szCs w:val="22"/>
            <w:b w:val="0"/>
            <w:bCs w:val="0"/>
            <w:i w:val="0"/>
            <w:iCs w:val="0"/>
          </w:rPr>
          <w:t>5503- دیوان فدائی هندی‏</w:t>
        </w:r>
        <w:r>
          <w:tab/>
        </w:r>
        <w:r>
          <w:fldChar w:fldCharType="begin"/>
        </w:r>
        <w:r>
          <w:instrText xml:space="preserve">PAGEREF 5988 \h</w:instrText>
        </w:r>
        <w:r>
          <w:fldChar w:fldCharType="end"/>
        </w:r>
      </w:hyperlink>
    </w:p>
    <w:p>
      <w:pPr>
        <w:tabs>
          <w:tab w:val="right" w:leader="dot" w:pos="9062"/>
        </w:tabs>
        <w:ind w:left="440"/>
      </w:pPr>
      <w:hyperlink w:anchor="_Toc5989" w:history="1">
        <w:r>
          <w:rPr>
            <w:rFonts w:ascii="IRNazanin" w:hAnsi="IRNazanin" w:eastAsia="IRNazanin" w:cs="IRNazanin"/>
            <w:color w:val="111111"/>
            <w:sz w:val="22"/>
            <w:szCs w:val="22"/>
            <w:b w:val="0"/>
            <w:bCs w:val="0"/>
            <w:i w:val="0"/>
            <w:iCs w:val="0"/>
          </w:rPr>
          <w:t>5504- دیوان فدائی یزدی‏</w:t>
        </w:r>
        <w:r>
          <w:tab/>
        </w:r>
        <w:r>
          <w:fldChar w:fldCharType="begin"/>
        </w:r>
        <w:r>
          <w:instrText xml:space="preserve">PAGEREF 5989 \h</w:instrText>
        </w:r>
        <w:r>
          <w:fldChar w:fldCharType="end"/>
        </w:r>
      </w:hyperlink>
    </w:p>
    <w:p>
      <w:pPr>
        <w:tabs>
          <w:tab w:val="right" w:leader="dot" w:pos="9062"/>
        </w:tabs>
        <w:ind w:left="440"/>
      </w:pPr>
      <w:hyperlink w:anchor="_Toc5990" w:history="1">
        <w:r>
          <w:rPr>
            <w:rFonts w:ascii="IRNazanin" w:hAnsi="IRNazanin" w:eastAsia="IRNazanin" w:cs="IRNazanin"/>
            <w:color w:val="111111"/>
            <w:sz w:val="22"/>
            <w:szCs w:val="22"/>
            <w:b w:val="0"/>
            <w:bCs w:val="0"/>
            <w:i w:val="0"/>
            <w:iCs w:val="0"/>
          </w:rPr>
          <w:t>دیوان فدوی تبریزی‏</w:t>
        </w:r>
        <w:r>
          <w:tab/>
        </w:r>
        <w:r>
          <w:fldChar w:fldCharType="begin"/>
        </w:r>
        <w:r>
          <w:instrText xml:space="preserve">PAGEREF 5990 \h</w:instrText>
        </w:r>
        <w:r>
          <w:fldChar w:fldCharType="end"/>
        </w:r>
      </w:hyperlink>
    </w:p>
    <w:p>
      <w:pPr>
        <w:tabs>
          <w:tab w:val="right" w:leader="dot" w:pos="9062"/>
        </w:tabs>
        <w:ind w:left="440"/>
      </w:pPr>
      <w:hyperlink w:anchor="_Toc5991" w:history="1">
        <w:r>
          <w:rPr>
            <w:rFonts w:ascii="IRNazanin" w:hAnsi="IRNazanin" w:eastAsia="IRNazanin" w:cs="IRNazanin"/>
            <w:color w:val="111111"/>
            <w:sz w:val="22"/>
            <w:szCs w:val="22"/>
            <w:b w:val="0"/>
            <w:bCs w:val="0"/>
            <w:i w:val="0"/>
            <w:iCs w:val="0"/>
          </w:rPr>
          <w:t>5505- دیوان فدوی خراسانی أو شعره‏</w:t>
        </w:r>
        <w:r>
          <w:tab/>
        </w:r>
        <w:r>
          <w:fldChar w:fldCharType="begin"/>
        </w:r>
        <w:r>
          <w:instrText xml:space="preserve">PAGEREF 5991 \h</w:instrText>
        </w:r>
        <w:r>
          <w:fldChar w:fldCharType="end"/>
        </w:r>
      </w:hyperlink>
    </w:p>
    <w:p>
      <w:pPr>
        <w:tabs>
          <w:tab w:val="right" w:leader="dot" w:pos="9062"/>
        </w:tabs>
        <w:ind w:left="440"/>
      </w:pPr>
      <w:hyperlink w:anchor="_Toc5992" w:history="1">
        <w:r>
          <w:rPr>
            <w:rFonts w:ascii="IRNazanin" w:hAnsi="IRNazanin" w:eastAsia="IRNazanin" w:cs="IRNazanin"/>
            <w:color w:val="111111"/>
            <w:sz w:val="22"/>
            <w:szCs w:val="22"/>
            <w:b w:val="0"/>
            <w:bCs w:val="0"/>
            <w:i w:val="0"/>
            <w:iCs w:val="0"/>
          </w:rPr>
          <w:t>5506- دیوان فدوی زنوزی الخوئی‏</w:t>
        </w:r>
        <w:r>
          <w:tab/>
        </w:r>
        <w:r>
          <w:fldChar w:fldCharType="begin"/>
        </w:r>
        <w:r>
          <w:instrText xml:space="preserve">PAGEREF 5992 \h</w:instrText>
        </w:r>
        <w:r>
          <w:fldChar w:fldCharType="end"/>
        </w:r>
      </w:hyperlink>
    </w:p>
    <w:p>
      <w:pPr>
        <w:tabs>
          <w:tab w:val="right" w:leader="dot" w:pos="9062"/>
        </w:tabs>
        <w:ind w:left="440"/>
      </w:pPr>
      <w:hyperlink w:anchor="_Toc5993" w:history="1">
        <w:r>
          <w:rPr>
            <w:rFonts w:ascii="IRNazanin" w:hAnsi="IRNazanin" w:eastAsia="IRNazanin" w:cs="IRNazanin"/>
            <w:color w:val="111111"/>
            <w:sz w:val="22"/>
            <w:szCs w:val="22"/>
            <w:b w:val="0"/>
            <w:bCs w:val="0"/>
            <w:i w:val="0"/>
            <w:iCs w:val="0"/>
          </w:rPr>
          <w:t>5507- دیوان فرات یزدی‏</w:t>
        </w:r>
        <w:r>
          <w:tab/>
        </w:r>
        <w:r>
          <w:fldChar w:fldCharType="begin"/>
        </w:r>
        <w:r>
          <w:instrText xml:space="preserve">PAGEREF 5993 \h</w:instrText>
        </w:r>
        <w:r>
          <w:fldChar w:fldCharType="end"/>
        </w:r>
      </w:hyperlink>
    </w:p>
    <w:p>
      <w:pPr>
        <w:tabs>
          <w:tab w:val="right" w:leader="dot" w:pos="9062"/>
        </w:tabs>
        <w:ind w:left="440"/>
      </w:pPr>
      <w:hyperlink w:anchor="_Toc5994" w:history="1">
        <w:r>
          <w:rPr>
            <w:rFonts w:ascii="IRNazanin" w:hAnsi="IRNazanin" w:eastAsia="IRNazanin" w:cs="IRNazanin"/>
            <w:color w:val="111111"/>
            <w:sz w:val="22"/>
            <w:szCs w:val="22"/>
            <w:b w:val="0"/>
            <w:bCs w:val="0"/>
            <w:i w:val="0"/>
            <w:iCs w:val="0"/>
          </w:rPr>
          <w:t>5508- دیوان فراتی تبریزی‏</w:t>
        </w:r>
        <w:r>
          <w:tab/>
        </w:r>
        <w:r>
          <w:fldChar w:fldCharType="begin"/>
        </w:r>
        <w:r>
          <w:instrText xml:space="preserve">PAGEREF 5994 \h</w:instrText>
        </w:r>
        <w:r>
          <w:fldChar w:fldCharType="end"/>
        </w:r>
      </w:hyperlink>
    </w:p>
    <w:p>
      <w:pPr>
        <w:tabs>
          <w:tab w:val="right" w:leader="dot" w:pos="9062"/>
        </w:tabs>
        <w:ind w:left="440"/>
      </w:pPr>
      <w:hyperlink w:anchor="_Toc5995" w:history="1">
        <w:r>
          <w:rPr>
            <w:rFonts w:ascii="IRNazanin" w:hAnsi="IRNazanin" w:eastAsia="IRNazanin" w:cs="IRNazanin"/>
            <w:color w:val="111111"/>
            <w:sz w:val="22"/>
            <w:szCs w:val="22"/>
            <w:b w:val="0"/>
            <w:bCs w:val="0"/>
            <w:i w:val="0"/>
            <w:iCs w:val="0"/>
          </w:rPr>
          <w:t>5509- دیوان ملا فراقی جوینی أو شعره‏</w:t>
        </w:r>
        <w:r>
          <w:tab/>
        </w:r>
        <w:r>
          <w:fldChar w:fldCharType="begin"/>
        </w:r>
        <w:r>
          <w:instrText xml:space="preserve">PAGEREF 5995 \h</w:instrText>
        </w:r>
        <w:r>
          <w:fldChar w:fldCharType="end"/>
        </w:r>
      </w:hyperlink>
    </w:p>
    <w:p>
      <w:pPr>
        <w:tabs>
          <w:tab w:val="right" w:leader="dot" w:pos="9062"/>
        </w:tabs>
        <w:ind w:left="440"/>
      </w:pPr>
      <w:hyperlink w:anchor="_Toc5996" w:history="1">
        <w:r>
          <w:rPr>
            <w:rFonts w:ascii="IRNazanin" w:hAnsi="IRNazanin" w:eastAsia="IRNazanin" w:cs="IRNazanin"/>
            <w:color w:val="111111"/>
            <w:sz w:val="22"/>
            <w:szCs w:val="22"/>
            <w:b w:val="0"/>
            <w:bCs w:val="0"/>
            <w:i w:val="0"/>
            <w:iCs w:val="0"/>
          </w:rPr>
          <w:t>5510- دیوان فراقی سمرقندی أو شعره‏</w:t>
        </w:r>
        <w:r>
          <w:tab/>
        </w:r>
        <w:r>
          <w:fldChar w:fldCharType="begin"/>
        </w:r>
        <w:r>
          <w:instrText xml:space="preserve">PAGEREF 5996 \h</w:instrText>
        </w:r>
        <w:r>
          <w:fldChar w:fldCharType="end"/>
        </w:r>
      </w:hyperlink>
    </w:p>
    <w:p>
      <w:pPr>
        <w:tabs>
          <w:tab w:val="right" w:leader="dot" w:pos="9062"/>
        </w:tabs>
        <w:ind w:left="440"/>
      </w:pPr>
      <w:hyperlink w:anchor="_Toc5997" w:history="1">
        <w:r>
          <w:rPr>
            <w:rFonts w:ascii="IRNazanin" w:hAnsi="IRNazanin" w:eastAsia="IRNazanin" w:cs="IRNazanin"/>
            <w:color w:val="111111"/>
            <w:sz w:val="22"/>
            <w:szCs w:val="22"/>
            <w:b w:val="0"/>
            <w:bCs w:val="0"/>
            <w:i w:val="0"/>
            <w:iCs w:val="0"/>
          </w:rPr>
          <w:t>5511- دیوان فراقی طالقانی أو شعره‏</w:t>
        </w:r>
        <w:r>
          <w:tab/>
        </w:r>
        <w:r>
          <w:fldChar w:fldCharType="begin"/>
        </w:r>
        <w:r>
          <w:instrText xml:space="preserve">PAGEREF 5997 \h</w:instrText>
        </w:r>
        <w:r>
          <w:fldChar w:fldCharType="end"/>
        </w:r>
      </w:hyperlink>
    </w:p>
    <w:p>
      <w:pPr>
        <w:tabs>
          <w:tab w:val="right" w:leader="dot" w:pos="9062"/>
        </w:tabs>
        <w:ind w:left="440"/>
      </w:pPr>
      <w:hyperlink w:anchor="_Toc5998" w:history="1">
        <w:r>
          <w:rPr>
            <w:rFonts w:ascii="IRNazanin" w:hAnsi="IRNazanin" w:eastAsia="IRNazanin" w:cs="IRNazanin"/>
            <w:color w:val="111111"/>
            <w:sz w:val="22"/>
            <w:szCs w:val="22"/>
            <w:b w:val="0"/>
            <w:bCs w:val="0"/>
            <w:i w:val="0"/>
            <w:iCs w:val="0"/>
          </w:rPr>
          <w:t>دیوان فراهانی‏</w:t>
        </w:r>
        <w:r>
          <w:tab/>
        </w:r>
        <w:r>
          <w:fldChar w:fldCharType="begin"/>
        </w:r>
        <w:r>
          <w:instrText xml:space="preserve">PAGEREF 5998 \h</w:instrText>
        </w:r>
        <w:r>
          <w:fldChar w:fldCharType="end"/>
        </w:r>
      </w:hyperlink>
    </w:p>
    <w:p>
      <w:pPr>
        <w:tabs>
          <w:tab w:val="right" w:leader="dot" w:pos="9062"/>
        </w:tabs>
        <w:ind w:left="440"/>
      </w:pPr>
      <w:hyperlink w:anchor="_Toc5999" w:history="1">
        <w:r>
          <w:rPr>
            <w:rFonts w:ascii="IRNazanin" w:hAnsi="IRNazanin" w:eastAsia="IRNazanin" w:cs="IRNazanin"/>
            <w:color w:val="111111"/>
            <w:sz w:val="22"/>
            <w:szCs w:val="22"/>
            <w:b w:val="0"/>
            <w:bCs w:val="0"/>
            <w:i w:val="0"/>
            <w:iCs w:val="0"/>
          </w:rPr>
          <w:t>دیوان فراهانی‏</w:t>
        </w:r>
        <w:r>
          <w:tab/>
        </w:r>
        <w:r>
          <w:fldChar w:fldCharType="begin"/>
        </w:r>
        <w:r>
          <w:instrText xml:space="preserve">PAGEREF 5999 \h</w:instrText>
        </w:r>
        <w:r>
          <w:fldChar w:fldCharType="end"/>
        </w:r>
      </w:hyperlink>
    </w:p>
    <w:p>
      <w:pPr>
        <w:tabs>
          <w:tab w:val="right" w:leader="dot" w:pos="9062"/>
        </w:tabs>
        <w:ind w:left="440"/>
      </w:pPr>
      <w:hyperlink w:anchor="_Toc6000" w:history="1">
        <w:r>
          <w:rPr>
            <w:rFonts w:ascii="IRNazanin" w:hAnsi="IRNazanin" w:eastAsia="IRNazanin" w:cs="IRNazanin"/>
            <w:color w:val="111111"/>
            <w:sz w:val="22"/>
            <w:szCs w:val="22"/>
            <w:b w:val="0"/>
            <w:bCs w:val="0"/>
            <w:i w:val="0"/>
            <w:iCs w:val="0"/>
          </w:rPr>
          <w:t>دیوان فراهی‏</w:t>
        </w:r>
        <w:r>
          <w:tab/>
        </w:r>
        <w:r>
          <w:fldChar w:fldCharType="begin"/>
        </w:r>
        <w:r>
          <w:instrText xml:space="preserve">PAGEREF 6000 \h</w:instrText>
        </w:r>
        <w:r>
          <w:fldChar w:fldCharType="end"/>
        </w:r>
      </w:hyperlink>
    </w:p>
    <w:p>
      <w:pPr>
        <w:tabs>
          <w:tab w:val="right" w:leader="dot" w:pos="9062"/>
        </w:tabs>
        <w:ind w:left="440"/>
      </w:pPr>
      <w:hyperlink w:anchor="_Toc6001" w:history="1">
        <w:r>
          <w:rPr>
            <w:rFonts w:ascii="IRNazanin" w:hAnsi="IRNazanin" w:eastAsia="IRNazanin" w:cs="IRNazanin"/>
            <w:color w:val="111111"/>
            <w:sz w:val="22"/>
            <w:szCs w:val="22"/>
            <w:b w:val="0"/>
            <w:bCs w:val="0"/>
            <w:i w:val="0"/>
            <w:iCs w:val="0"/>
          </w:rPr>
          <w:t>5512- دیوان فراهی‏</w:t>
        </w:r>
        <w:r>
          <w:tab/>
        </w:r>
        <w:r>
          <w:fldChar w:fldCharType="begin"/>
        </w:r>
        <w:r>
          <w:instrText xml:space="preserve">PAGEREF 6001 \h</w:instrText>
        </w:r>
        <w:r>
          <w:fldChar w:fldCharType="end"/>
        </w:r>
      </w:hyperlink>
    </w:p>
    <w:p>
      <w:pPr>
        <w:tabs>
          <w:tab w:val="right" w:leader="dot" w:pos="9062"/>
        </w:tabs>
        <w:ind w:left="440"/>
      </w:pPr>
      <w:hyperlink w:anchor="_Toc6002" w:history="1">
        <w:r>
          <w:rPr>
            <w:rFonts w:ascii="IRNazanin" w:hAnsi="IRNazanin" w:eastAsia="IRNazanin" w:cs="IRNazanin"/>
            <w:color w:val="111111"/>
            <w:sz w:val="22"/>
            <w:szCs w:val="22"/>
            <w:b w:val="0"/>
            <w:bCs w:val="0"/>
            <w:i w:val="0"/>
            <w:iCs w:val="0"/>
          </w:rPr>
          <w:t>5513- دیوان الشیخ فرج آل عمران القطیفی‏</w:t>
        </w:r>
        <w:r>
          <w:tab/>
        </w:r>
        <w:r>
          <w:fldChar w:fldCharType="begin"/>
        </w:r>
        <w:r>
          <w:instrText xml:space="preserve">PAGEREF 6002 \h</w:instrText>
        </w:r>
        <w:r>
          <w:fldChar w:fldCharType="end"/>
        </w:r>
      </w:hyperlink>
    </w:p>
    <w:p>
      <w:pPr>
        <w:tabs>
          <w:tab w:val="right" w:leader="dot" w:pos="9062"/>
        </w:tabs>
        <w:ind w:left="440"/>
      </w:pPr>
      <w:hyperlink w:anchor="_Toc6003" w:history="1">
        <w:r>
          <w:rPr>
            <w:rFonts w:ascii="IRNazanin" w:hAnsi="IRNazanin" w:eastAsia="IRNazanin" w:cs="IRNazanin"/>
            <w:color w:val="111111"/>
            <w:sz w:val="22"/>
            <w:szCs w:val="22"/>
            <w:b w:val="0"/>
            <w:bCs w:val="0"/>
            <w:i w:val="0"/>
            <w:iCs w:val="0"/>
          </w:rPr>
          <w:t>5514- دیوان فرج البحرانی‏</w:t>
        </w:r>
        <w:r>
          <w:tab/>
        </w:r>
        <w:r>
          <w:fldChar w:fldCharType="begin"/>
        </w:r>
        <w:r>
          <w:instrText xml:space="preserve">PAGEREF 6003 \h</w:instrText>
        </w:r>
        <w:r>
          <w:fldChar w:fldCharType="end"/>
        </w:r>
      </w:hyperlink>
    </w:p>
    <w:p>
      <w:pPr>
        <w:tabs>
          <w:tab w:val="right" w:leader="dot" w:pos="9062"/>
        </w:tabs>
        <w:ind w:left="440"/>
      </w:pPr>
      <w:hyperlink w:anchor="_Toc6004" w:history="1">
        <w:r>
          <w:rPr>
            <w:rFonts w:ascii="IRNazanin" w:hAnsi="IRNazanin" w:eastAsia="IRNazanin" w:cs="IRNazanin"/>
            <w:color w:val="111111"/>
            <w:sz w:val="22"/>
            <w:szCs w:val="22"/>
            <w:b w:val="0"/>
            <w:bCs w:val="0"/>
            <w:i w:val="0"/>
            <w:iCs w:val="0"/>
          </w:rPr>
          <w:t>5515- دیوان الشیخ فرج الله‏</w:t>
        </w:r>
        <w:r>
          <w:tab/>
        </w:r>
        <w:r>
          <w:fldChar w:fldCharType="begin"/>
        </w:r>
        <w:r>
          <w:instrText xml:space="preserve">PAGEREF 6004 \h</w:instrText>
        </w:r>
        <w:r>
          <w:fldChar w:fldCharType="end"/>
        </w:r>
      </w:hyperlink>
    </w:p>
    <w:p>
      <w:pPr>
        <w:tabs>
          <w:tab w:val="right" w:leader="dot" w:pos="9062"/>
        </w:tabs>
        <w:ind w:left="440"/>
      </w:pPr>
      <w:hyperlink w:anchor="_Toc6005" w:history="1">
        <w:r>
          <w:rPr>
            <w:rFonts w:ascii="IRNazanin" w:hAnsi="IRNazanin" w:eastAsia="IRNazanin" w:cs="IRNazanin"/>
            <w:color w:val="111111"/>
            <w:sz w:val="22"/>
            <w:szCs w:val="22"/>
            <w:b w:val="0"/>
            <w:bCs w:val="0"/>
            <w:i w:val="0"/>
            <w:iCs w:val="0"/>
          </w:rPr>
          <w:t>دیوان فرج الله طرفة</w:t>
        </w:r>
        <w:r>
          <w:tab/>
        </w:r>
        <w:r>
          <w:fldChar w:fldCharType="begin"/>
        </w:r>
        <w:r>
          <w:instrText xml:space="preserve">PAGEREF 6005 \h</w:instrText>
        </w:r>
        <w:r>
          <w:fldChar w:fldCharType="end"/>
        </w:r>
      </w:hyperlink>
    </w:p>
    <w:p>
      <w:pPr>
        <w:tabs>
          <w:tab w:val="right" w:leader="dot" w:pos="9062"/>
        </w:tabs>
        <w:ind w:left="440"/>
      </w:pPr>
      <w:hyperlink w:anchor="_Toc6006" w:history="1">
        <w:r>
          <w:rPr>
            <w:rFonts w:ascii="IRNazanin" w:hAnsi="IRNazanin" w:eastAsia="IRNazanin" w:cs="IRNazanin"/>
            <w:color w:val="111111"/>
            <w:sz w:val="22"/>
            <w:szCs w:val="22"/>
            <w:b w:val="0"/>
            <w:bCs w:val="0"/>
            <w:i w:val="0"/>
            <w:iCs w:val="0"/>
          </w:rPr>
          <w:t>5516- دیوان فرح لاهوری أو شعره‏</w:t>
        </w:r>
        <w:r>
          <w:tab/>
        </w:r>
        <w:r>
          <w:fldChar w:fldCharType="begin"/>
        </w:r>
        <w:r>
          <w:instrText xml:space="preserve">PAGEREF 6006 \h</w:instrText>
        </w:r>
        <w:r>
          <w:fldChar w:fldCharType="end"/>
        </w:r>
      </w:hyperlink>
    </w:p>
    <w:p>
      <w:pPr>
        <w:tabs>
          <w:tab w:val="right" w:leader="dot" w:pos="9062"/>
        </w:tabs>
        <w:ind w:left="440"/>
      </w:pPr>
      <w:hyperlink w:anchor="_Toc6007" w:history="1">
        <w:r>
          <w:rPr>
            <w:rFonts w:ascii="IRNazanin" w:hAnsi="IRNazanin" w:eastAsia="IRNazanin" w:cs="IRNazanin"/>
            <w:color w:val="111111"/>
            <w:sz w:val="22"/>
            <w:szCs w:val="22"/>
            <w:b w:val="0"/>
            <w:bCs w:val="0"/>
            <w:i w:val="0"/>
            <w:iCs w:val="0"/>
          </w:rPr>
          <w:t>5517- دیوان فرخ تبریزی‏</w:t>
        </w:r>
        <w:r>
          <w:tab/>
        </w:r>
        <w:r>
          <w:fldChar w:fldCharType="begin"/>
        </w:r>
        <w:r>
          <w:instrText xml:space="preserve">PAGEREF 6007 \h</w:instrText>
        </w:r>
        <w:r>
          <w:fldChar w:fldCharType="end"/>
        </w:r>
      </w:hyperlink>
    </w:p>
    <w:p>
      <w:pPr>
        <w:tabs>
          <w:tab w:val="right" w:leader="dot" w:pos="9062"/>
        </w:tabs>
        <w:ind w:left="440"/>
      </w:pPr>
      <w:hyperlink w:anchor="_Toc6008" w:history="1">
        <w:r>
          <w:rPr>
            <w:rFonts w:ascii="IRNazanin" w:hAnsi="IRNazanin" w:eastAsia="IRNazanin" w:cs="IRNazanin"/>
            <w:color w:val="111111"/>
            <w:sz w:val="22"/>
            <w:szCs w:val="22"/>
            <w:b w:val="0"/>
            <w:bCs w:val="0"/>
            <w:i w:val="0"/>
            <w:iCs w:val="0"/>
          </w:rPr>
          <w:t>5518- دیوان فرخاری أو شعره‏</w:t>
        </w:r>
        <w:r>
          <w:tab/>
        </w:r>
        <w:r>
          <w:fldChar w:fldCharType="begin"/>
        </w:r>
        <w:r>
          <w:instrText xml:space="preserve">PAGEREF 6008 \h</w:instrText>
        </w:r>
        <w:r>
          <w:fldChar w:fldCharType="end"/>
        </w:r>
      </w:hyperlink>
    </w:p>
    <w:p>
      <w:pPr>
        <w:tabs>
          <w:tab w:val="right" w:leader="dot" w:pos="9062"/>
        </w:tabs>
        <w:ind w:left="440"/>
      </w:pPr>
      <w:hyperlink w:anchor="_Toc6009" w:history="1">
        <w:r>
          <w:rPr>
            <w:rFonts w:ascii="IRNazanin" w:hAnsi="IRNazanin" w:eastAsia="IRNazanin" w:cs="IRNazanin"/>
            <w:color w:val="111111"/>
            <w:sz w:val="22"/>
            <w:szCs w:val="22"/>
            <w:b w:val="0"/>
            <w:bCs w:val="0"/>
            <w:i w:val="0"/>
            <w:iCs w:val="0"/>
          </w:rPr>
          <w:t>5519- دیوان فرخ حسین لاهوری‏</w:t>
        </w:r>
        <w:r>
          <w:tab/>
        </w:r>
        <w:r>
          <w:fldChar w:fldCharType="begin"/>
        </w:r>
        <w:r>
          <w:instrText xml:space="preserve">PAGEREF 6009 \h</w:instrText>
        </w:r>
        <w:r>
          <w:fldChar w:fldCharType="end"/>
        </w:r>
      </w:hyperlink>
    </w:p>
    <w:p>
      <w:pPr>
        <w:tabs>
          <w:tab w:val="right" w:leader="dot" w:pos="9062"/>
        </w:tabs>
        <w:ind w:left="440"/>
      </w:pPr>
      <w:hyperlink w:anchor="_Toc6010" w:history="1">
        <w:r>
          <w:rPr>
            <w:rFonts w:ascii="IRNazanin" w:hAnsi="IRNazanin" w:eastAsia="IRNazanin" w:cs="IRNazanin"/>
            <w:color w:val="111111"/>
            <w:sz w:val="22"/>
            <w:szCs w:val="22"/>
            <w:b w:val="0"/>
            <w:bCs w:val="0"/>
            <w:i w:val="0"/>
            <w:iCs w:val="0"/>
          </w:rPr>
          <w:t>5520- دیوان فرخ زاد</w:t>
        </w:r>
        <w:r>
          <w:tab/>
        </w:r>
        <w:r>
          <w:fldChar w:fldCharType="begin"/>
        </w:r>
        <w:r>
          <w:instrText xml:space="preserve">PAGEREF 6010 \h</w:instrText>
        </w:r>
        <w:r>
          <w:fldChar w:fldCharType="end"/>
        </w:r>
      </w:hyperlink>
    </w:p>
    <w:p>
      <w:pPr>
        <w:tabs>
          <w:tab w:val="right" w:leader="dot" w:pos="9062"/>
        </w:tabs>
        <w:ind w:left="440"/>
      </w:pPr>
      <w:hyperlink w:anchor="_Toc6011" w:history="1">
        <w:r>
          <w:rPr>
            <w:rFonts w:ascii="IRNazanin" w:hAnsi="IRNazanin" w:eastAsia="IRNazanin" w:cs="IRNazanin"/>
            <w:color w:val="111111"/>
            <w:sz w:val="22"/>
            <w:szCs w:val="22"/>
            <w:b w:val="0"/>
            <w:bCs w:val="0"/>
            <w:i w:val="0"/>
            <w:iCs w:val="0"/>
          </w:rPr>
          <w:t>5521- دیوان فرخ زند أو شعره‏</w:t>
        </w:r>
        <w:r>
          <w:tab/>
        </w:r>
        <w:r>
          <w:fldChar w:fldCharType="begin"/>
        </w:r>
        <w:r>
          <w:instrText xml:space="preserve">PAGEREF 6011 \h</w:instrText>
        </w:r>
        <w:r>
          <w:fldChar w:fldCharType="end"/>
        </w:r>
      </w:hyperlink>
    </w:p>
    <w:p>
      <w:pPr>
        <w:tabs>
          <w:tab w:val="right" w:leader="dot" w:pos="9062"/>
        </w:tabs>
        <w:ind w:left="440"/>
      </w:pPr>
      <w:hyperlink w:anchor="_Toc6012" w:history="1">
        <w:r>
          <w:rPr>
            <w:rFonts w:ascii="IRNazanin" w:hAnsi="IRNazanin" w:eastAsia="IRNazanin" w:cs="IRNazanin"/>
            <w:color w:val="111111"/>
            <w:sz w:val="22"/>
            <w:szCs w:val="22"/>
            <w:b w:val="0"/>
            <w:bCs w:val="0"/>
            <w:i w:val="0"/>
            <w:iCs w:val="0"/>
          </w:rPr>
          <w:t>5522- دیوان فرخ قاجار</w:t>
        </w:r>
        <w:r>
          <w:tab/>
        </w:r>
        <w:r>
          <w:fldChar w:fldCharType="begin"/>
        </w:r>
        <w:r>
          <w:instrText xml:space="preserve">PAGEREF 6012 \h</w:instrText>
        </w:r>
        <w:r>
          <w:fldChar w:fldCharType="end"/>
        </w:r>
      </w:hyperlink>
    </w:p>
    <w:p>
      <w:pPr>
        <w:tabs>
          <w:tab w:val="right" w:leader="dot" w:pos="9062"/>
        </w:tabs>
        <w:ind w:left="440"/>
      </w:pPr>
      <w:hyperlink w:anchor="_Toc6013" w:history="1">
        <w:r>
          <w:rPr>
            <w:rFonts w:ascii="IRNazanin" w:hAnsi="IRNazanin" w:eastAsia="IRNazanin" w:cs="IRNazanin"/>
            <w:color w:val="111111"/>
            <w:sz w:val="22"/>
            <w:szCs w:val="22"/>
            <w:b w:val="0"/>
            <w:bCs w:val="0"/>
            <w:i w:val="0"/>
            <w:iCs w:val="0"/>
          </w:rPr>
          <w:t>5523- دیوان فرخنده ساوجی‏</w:t>
        </w:r>
        <w:r>
          <w:tab/>
        </w:r>
        <w:r>
          <w:fldChar w:fldCharType="begin"/>
        </w:r>
        <w:r>
          <w:instrText xml:space="preserve">PAGEREF 6013 \h</w:instrText>
        </w:r>
        <w:r>
          <w:fldChar w:fldCharType="end"/>
        </w:r>
      </w:hyperlink>
    </w:p>
    <w:p>
      <w:pPr>
        <w:tabs>
          <w:tab w:val="right" w:leader="dot" w:pos="9062"/>
        </w:tabs>
        <w:ind w:left="440"/>
      </w:pPr>
      <w:hyperlink w:anchor="_Toc6014" w:history="1">
        <w:r>
          <w:rPr>
            <w:rFonts w:ascii="IRNazanin" w:hAnsi="IRNazanin" w:eastAsia="IRNazanin" w:cs="IRNazanin"/>
            <w:color w:val="111111"/>
            <w:sz w:val="22"/>
            <w:szCs w:val="22"/>
            <w:b w:val="0"/>
            <w:bCs w:val="0"/>
            <w:i w:val="0"/>
            <w:iCs w:val="0"/>
          </w:rPr>
          <w:t>5524- دیوان مولانا فرخی الإسطنبولی‏</w:t>
        </w:r>
        <w:r>
          <w:tab/>
        </w:r>
        <w:r>
          <w:fldChar w:fldCharType="begin"/>
        </w:r>
        <w:r>
          <w:instrText xml:space="preserve">PAGEREF 6014 \h</w:instrText>
        </w:r>
        <w:r>
          <w:fldChar w:fldCharType="end"/>
        </w:r>
      </w:hyperlink>
    </w:p>
    <w:p>
      <w:pPr>
        <w:tabs>
          <w:tab w:val="right" w:leader="dot" w:pos="9062"/>
        </w:tabs>
        <w:ind w:left="440"/>
      </w:pPr>
      <w:hyperlink w:anchor="_Toc6015" w:history="1">
        <w:r>
          <w:rPr>
            <w:rFonts w:ascii="IRNazanin" w:hAnsi="IRNazanin" w:eastAsia="IRNazanin" w:cs="IRNazanin"/>
            <w:color w:val="111111"/>
            <w:sz w:val="22"/>
            <w:szCs w:val="22"/>
            <w:b w:val="0"/>
            <w:bCs w:val="0"/>
            <w:i w:val="0"/>
            <w:iCs w:val="0"/>
          </w:rPr>
          <w:t>دیوان فرخی أصفهانی‏</w:t>
        </w:r>
        <w:r>
          <w:tab/>
        </w:r>
        <w:r>
          <w:fldChar w:fldCharType="begin"/>
        </w:r>
        <w:r>
          <w:instrText xml:space="preserve">PAGEREF 6015 \h</w:instrText>
        </w:r>
        <w:r>
          <w:fldChar w:fldCharType="end"/>
        </w:r>
      </w:hyperlink>
    </w:p>
    <w:p>
      <w:pPr>
        <w:tabs>
          <w:tab w:val="right" w:leader="dot" w:pos="9062"/>
        </w:tabs>
        <w:ind w:left="440"/>
      </w:pPr>
      <w:hyperlink w:anchor="_Toc6016" w:history="1">
        <w:r>
          <w:rPr>
            <w:rFonts w:ascii="IRNazanin" w:hAnsi="IRNazanin" w:eastAsia="IRNazanin" w:cs="IRNazanin"/>
            <w:color w:val="111111"/>
            <w:sz w:val="22"/>
            <w:szCs w:val="22"/>
            <w:b w:val="0"/>
            <w:bCs w:val="0"/>
            <w:i w:val="0"/>
            <w:iCs w:val="0"/>
          </w:rPr>
          <w:t>5525- دیوان فرخی سیستانی‏</w:t>
        </w:r>
        <w:r>
          <w:tab/>
        </w:r>
        <w:r>
          <w:fldChar w:fldCharType="begin"/>
        </w:r>
        <w:r>
          <w:instrText xml:space="preserve">PAGEREF 6016 \h</w:instrText>
        </w:r>
        <w:r>
          <w:fldChar w:fldCharType="end"/>
        </w:r>
      </w:hyperlink>
    </w:p>
    <w:p>
      <w:pPr>
        <w:tabs>
          <w:tab w:val="right" w:leader="dot" w:pos="9062"/>
        </w:tabs>
        <w:ind w:left="440"/>
      </w:pPr>
      <w:hyperlink w:anchor="_Toc6017" w:history="1">
        <w:r>
          <w:rPr>
            <w:rFonts w:ascii="IRNazanin" w:hAnsi="IRNazanin" w:eastAsia="IRNazanin" w:cs="IRNazanin"/>
            <w:color w:val="111111"/>
            <w:sz w:val="22"/>
            <w:szCs w:val="22"/>
            <w:b w:val="0"/>
            <w:bCs w:val="0"/>
            <w:i w:val="0"/>
            <w:iCs w:val="0"/>
          </w:rPr>
          <w:t>5526- دیوان مولانا فرخی شروانی‏</w:t>
        </w:r>
        <w:r>
          <w:tab/>
        </w:r>
        <w:r>
          <w:fldChar w:fldCharType="begin"/>
        </w:r>
        <w:r>
          <w:instrText xml:space="preserve">PAGEREF 6017 \h</w:instrText>
        </w:r>
        <w:r>
          <w:fldChar w:fldCharType="end"/>
        </w:r>
      </w:hyperlink>
    </w:p>
    <w:p>
      <w:pPr>
        <w:tabs>
          <w:tab w:val="right" w:leader="dot" w:pos="9062"/>
        </w:tabs>
        <w:ind w:left="440"/>
      </w:pPr>
      <w:hyperlink w:anchor="_Toc6018" w:history="1">
        <w:r>
          <w:rPr>
            <w:rFonts w:ascii="IRNazanin" w:hAnsi="IRNazanin" w:eastAsia="IRNazanin" w:cs="IRNazanin"/>
            <w:color w:val="111111"/>
            <w:sz w:val="22"/>
            <w:szCs w:val="22"/>
            <w:b w:val="0"/>
            <w:bCs w:val="0"/>
            <w:i w:val="0"/>
            <w:iCs w:val="0"/>
          </w:rPr>
          <w:t>5527- دیوان فرخی یزدی‏</w:t>
        </w:r>
        <w:r>
          <w:tab/>
        </w:r>
        <w:r>
          <w:fldChar w:fldCharType="begin"/>
        </w:r>
        <w:r>
          <w:instrText xml:space="preserve">PAGEREF 6018 \h</w:instrText>
        </w:r>
        <w:r>
          <w:fldChar w:fldCharType="end"/>
        </w:r>
      </w:hyperlink>
    </w:p>
    <w:p>
      <w:pPr>
        <w:tabs>
          <w:tab w:val="right" w:leader="dot" w:pos="9062"/>
        </w:tabs>
        <w:ind w:left="440"/>
      </w:pPr>
      <w:hyperlink w:anchor="_Toc6019" w:history="1">
        <w:r>
          <w:rPr>
            <w:rFonts w:ascii="IRNazanin" w:hAnsi="IRNazanin" w:eastAsia="IRNazanin" w:cs="IRNazanin"/>
            <w:color w:val="111111"/>
            <w:sz w:val="22"/>
            <w:szCs w:val="22"/>
            <w:b w:val="0"/>
            <w:bCs w:val="0"/>
            <w:i w:val="0"/>
            <w:iCs w:val="0"/>
          </w:rPr>
          <w:t>5528- دیوان فرخی یزدی‏</w:t>
        </w:r>
        <w:r>
          <w:tab/>
        </w:r>
        <w:r>
          <w:fldChar w:fldCharType="begin"/>
        </w:r>
        <w:r>
          <w:instrText xml:space="preserve">PAGEREF 6019 \h</w:instrText>
        </w:r>
        <w:r>
          <w:fldChar w:fldCharType="end"/>
        </w:r>
      </w:hyperlink>
    </w:p>
    <w:p>
      <w:pPr>
        <w:tabs>
          <w:tab w:val="right" w:leader="dot" w:pos="9062"/>
        </w:tabs>
        <w:ind w:left="440"/>
      </w:pPr>
      <w:hyperlink w:anchor="_Toc6020" w:history="1">
        <w:r>
          <w:rPr>
            <w:rFonts w:ascii="IRNazanin" w:hAnsi="IRNazanin" w:eastAsia="IRNazanin" w:cs="IRNazanin"/>
            <w:color w:val="111111"/>
            <w:sz w:val="22"/>
            <w:szCs w:val="22"/>
            <w:b w:val="0"/>
            <w:bCs w:val="0"/>
            <w:i w:val="0"/>
            <w:iCs w:val="0"/>
          </w:rPr>
          <w:t>5529- دیوان فرد بلگرامی أو شعره‏</w:t>
        </w:r>
        <w:r>
          <w:tab/>
        </w:r>
        <w:r>
          <w:fldChar w:fldCharType="begin"/>
        </w:r>
        <w:r>
          <w:instrText xml:space="preserve">PAGEREF 6020 \h</w:instrText>
        </w:r>
        <w:r>
          <w:fldChar w:fldCharType="end"/>
        </w:r>
      </w:hyperlink>
    </w:p>
    <w:p>
      <w:pPr>
        <w:tabs>
          <w:tab w:val="right" w:leader="dot" w:pos="9062"/>
        </w:tabs>
        <w:ind w:left="440"/>
      </w:pPr>
      <w:hyperlink w:anchor="_Toc6021" w:history="1">
        <w:r>
          <w:rPr>
            <w:rFonts w:ascii="IRNazanin" w:hAnsi="IRNazanin" w:eastAsia="IRNazanin" w:cs="IRNazanin"/>
            <w:color w:val="111111"/>
            <w:sz w:val="22"/>
            <w:szCs w:val="22"/>
            <w:b w:val="0"/>
            <w:bCs w:val="0"/>
            <w:i w:val="0"/>
            <w:iCs w:val="0"/>
          </w:rPr>
          <w:t>5530- دیوان فردوسی شیرازی‏</w:t>
        </w:r>
        <w:r>
          <w:tab/>
        </w:r>
        <w:r>
          <w:fldChar w:fldCharType="begin"/>
        </w:r>
        <w:r>
          <w:instrText xml:space="preserve">PAGEREF 6021 \h</w:instrText>
        </w:r>
        <w:r>
          <w:fldChar w:fldCharType="end"/>
        </w:r>
      </w:hyperlink>
    </w:p>
    <w:p>
      <w:pPr>
        <w:tabs>
          <w:tab w:val="right" w:leader="dot" w:pos="9062"/>
        </w:tabs>
        <w:ind w:left="440"/>
      </w:pPr>
      <w:hyperlink w:anchor="_Toc6022" w:history="1">
        <w:r>
          <w:rPr>
            <w:rFonts w:ascii="IRNazanin" w:hAnsi="IRNazanin" w:eastAsia="IRNazanin" w:cs="IRNazanin"/>
            <w:color w:val="111111"/>
            <w:sz w:val="22"/>
            <w:szCs w:val="22"/>
            <w:b w:val="0"/>
            <w:bCs w:val="0"/>
            <w:i w:val="0"/>
            <w:iCs w:val="0"/>
          </w:rPr>
          <w:t>5531- دیوان فردوسی طوسی‏</w:t>
        </w:r>
        <w:r>
          <w:tab/>
        </w:r>
        <w:r>
          <w:fldChar w:fldCharType="begin"/>
        </w:r>
        <w:r>
          <w:instrText xml:space="preserve">PAGEREF 6022 \h</w:instrText>
        </w:r>
        <w:r>
          <w:fldChar w:fldCharType="end"/>
        </w:r>
      </w:hyperlink>
    </w:p>
    <w:p>
      <w:pPr>
        <w:tabs>
          <w:tab w:val="right" w:leader="dot" w:pos="9062"/>
        </w:tabs>
        <w:ind w:left="440"/>
      </w:pPr>
      <w:hyperlink w:anchor="_Toc6023" w:history="1">
        <w:r>
          <w:rPr>
            <w:rFonts w:ascii="IRNazanin" w:hAnsi="IRNazanin" w:eastAsia="IRNazanin" w:cs="IRNazanin"/>
            <w:color w:val="111111"/>
            <w:sz w:val="22"/>
            <w:szCs w:val="22"/>
            <w:b w:val="0"/>
            <w:bCs w:val="0"/>
            <w:i w:val="0"/>
            <w:iCs w:val="0"/>
          </w:rPr>
          <w:t>دیوان فردوسی‏</w:t>
        </w:r>
        <w:r>
          <w:tab/>
        </w:r>
        <w:r>
          <w:fldChar w:fldCharType="begin"/>
        </w:r>
        <w:r>
          <w:instrText xml:space="preserve">PAGEREF 6023 \h</w:instrText>
        </w:r>
        <w:r>
          <w:fldChar w:fldCharType="end"/>
        </w:r>
      </w:hyperlink>
    </w:p>
    <w:p>
      <w:pPr>
        <w:tabs>
          <w:tab w:val="right" w:leader="dot" w:pos="9062"/>
        </w:tabs>
        <w:ind w:left="440"/>
      </w:pPr>
      <w:hyperlink w:anchor="_Toc6024" w:history="1">
        <w:r>
          <w:rPr>
            <w:rFonts w:ascii="IRNazanin" w:hAnsi="IRNazanin" w:eastAsia="IRNazanin" w:cs="IRNazanin"/>
            <w:color w:val="111111"/>
            <w:sz w:val="22"/>
            <w:szCs w:val="22"/>
            <w:b w:val="0"/>
            <w:bCs w:val="0"/>
            <w:i w:val="0"/>
            <w:iCs w:val="0"/>
          </w:rPr>
          <w:t>5532- دیوان فردی أردبیلی أو شعره‏</w:t>
        </w:r>
        <w:r>
          <w:tab/>
        </w:r>
        <w:r>
          <w:fldChar w:fldCharType="begin"/>
        </w:r>
        <w:r>
          <w:instrText xml:space="preserve">PAGEREF 6024 \h</w:instrText>
        </w:r>
        <w:r>
          <w:fldChar w:fldCharType="end"/>
        </w:r>
      </w:hyperlink>
    </w:p>
    <w:p>
      <w:pPr>
        <w:tabs>
          <w:tab w:val="right" w:leader="dot" w:pos="9062"/>
        </w:tabs>
        <w:ind w:left="440"/>
      </w:pPr>
      <w:hyperlink w:anchor="_Toc6025" w:history="1">
        <w:r>
          <w:rPr>
            <w:rFonts w:ascii="IRNazanin" w:hAnsi="IRNazanin" w:eastAsia="IRNazanin" w:cs="IRNazanin"/>
            <w:color w:val="111111"/>
            <w:sz w:val="22"/>
            <w:szCs w:val="22"/>
            <w:b w:val="0"/>
            <w:bCs w:val="0"/>
            <w:i w:val="0"/>
            <w:iCs w:val="0"/>
          </w:rPr>
          <w:t>5533- دیوان فردی تبریزی أو شعره‏</w:t>
        </w:r>
        <w:r>
          <w:tab/>
        </w:r>
        <w:r>
          <w:fldChar w:fldCharType="begin"/>
        </w:r>
        <w:r>
          <w:instrText xml:space="preserve">PAGEREF 6025 \h</w:instrText>
        </w:r>
        <w:r>
          <w:fldChar w:fldCharType="end"/>
        </w:r>
      </w:hyperlink>
    </w:p>
    <w:p>
      <w:pPr>
        <w:tabs>
          <w:tab w:val="right" w:leader="dot" w:pos="9062"/>
        </w:tabs>
        <w:ind w:left="440"/>
      </w:pPr>
      <w:hyperlink w:anchor="_Toc6026" w:history="1">
        <w:r>
          <w:rPr>
            <w:rFonts w:ascii="IRNazanin" w:hAnsi="IRNazanin" w:eastAsia="IRNazanin" w:cs="IRNazanin"/>
            <w:color w:val="111111"/>
            <w:sz w:val="22"/>
            <w:szCs w:val="22"/>
            <w:b w:val="0"/>
            <w:bCs w:val="0"/>
            <w:i w:val="0"/>
            <w:iCs w:val="0"/>
          </w:rPr>
          <w:t>5534- دیوان فردی تربتی‏</w:t>
        </w:r>
        <w:r>
          <w:tab/>
        </w:r>
        <w:r>
          <w:fldChar w:fldCharType="begin"/>
        </w:r>
        <w:r>
          <w:instrText xml:space="preserve">PAGEREF 6026 \h</w:instrText>
        </w:r>
        <w:r>
          <w:fldChar w:fldCharType="end"/>
        </w:r>
      </w:hyperlink>
    </w:p>
    <w:p>
      <w:pPr>
        <w:tabs>
          <w:tab w:val="right" w:leader="dot" w:pos="9062"/>
        </w:tabs>
        <w:ind w:left="440"/>
      </w:pPr>
      <w:hyperlink w:anchor="_Toc6027" w:history="1">
        <w:r>
          <w:rPr>
            <w:rFonts w:ascii="IRNazanin" w:hAnsi="IRNazanin" w:eastAsia="IRNazanin" w:cs="IRNazanin"/>
            <w:color w:val="111111"/>
            <w:sz w:val="22"/>
            <w:szCs w:val="22"/>
            <w:b w:val="0"/>
            <w:bCs w:val="0"/>
            <w:i w:val="0"/>
            <w:iCs w:val="0"/>
          </w:rPr>
          <w:t>5535- دیوان فردی زند أو شعره‏</w:t>
        </w:r>
        <w:r>
          <w:tab/>
        </w:r>
        <w:r>
          <w:fldChar w:fldCharType="begin"/>
        </w:r>
        <w:r>
          <w:instrText xml:space="preserve">PAGEREF 6027 \h</w:instrText>
        </w:r>
        <w:r>
          <w:fldChar w:fldCharType="end"/>
        </w:r>
      </w:hyperlink>
    </w:p>
    <w:p>
      <w:pPr>
        <w:tabs>
          <w:tab w:val="right" w:leader="dot" w:pos="9062"/>
        </w:tabs>
        <w:ind w:left="440"/>
      </w:pPr>
      <w:hyperlink w:anchor="_Toc6028" w:history="1">
        <w:r>
          <w:rPr>
            <w:rFonts w:ascii="IRNazanin" w:hAnsi="IRNazanin" w:eastAsia="IRNazanin" w:cs="IRNazanin"/>
            <w:color w:val="111111"/>
            <w:sz w:val="22"/>
            <w:szCs w:val="22"/>
            <w:b w:val="0"/>
            <w:bCs w:val="0"/>
            <w:i w:val="0"/>
            <w:iCs w:val="0"/>
          </w:rPr>
          <w:t>5536- دیوان فردی شیرازی‏</w:t>
        </w:r>
        <w:r>
          <w:tab/>
        </w:r>
        <w:r>
          <w:fldChar w:fldCharType="begin"/>
        </w:r>
        <w:r>
          <w:instrText xml:space="preserve">PAGEREF 6028 \h</w:instrText>
        </w:r>
        <w:r>
          <w:fldChar w:fldCharType="end"/>
        </w:r>
      </w:hyperlink>
    </w:p>
    <w:p>
      <w:pPr>
        <w:tabs>
          <w:tab w:val="right" w:leader="dot" w:pos="9062"/>
        </w:tabs>
        <w:ind w:left="440"/>
      </w:pPr>
      <w:hyperlink w:anchor="_Toc6029" w:history="1">
        <w:r>
          <w:rPr>
            <w:rFonts w:ascii="IRNazanin" w:hAnsi="IRNazanin" w:eastAsia="IRNazanin" w:cs="IRNazanin"/>
            <w:color w:val="111111"/>
            <w:sz w:val="22"/>
            <w:szCs w:val="22"/>
            <w:b w:val="0"/>
            <w:bCs w:val="0"/>
            <w:i w:val="0"/>
            <w:iCs w:val="0"/>
          </w:rPr>
          <w:t>5537- دیوان فرزاد</w:t>
        </w:r>
        <w:r>
          <w:tab/>
        </w:r>
        <w:r>
          <w:fldChar w:fldCharType="begin"/>
        </w:r>
        <w:r>
          <w:instrText xml:space="preserve">PAGEREF 6029 \h</w:instrText>
        </w:r>
        <w:r>
          <w:fldChar w:fldCharType="end"/>
        </w:r>
      </w:hyperlink>
    </w:p>
    <w:p>
      <w:pPr>
        <w:tabs>
          <w:tab w:val="right" w:leader="dot" w:pos="9062"/>
        </w:tabs>
        <w:ind w:left="440"/>
      </w:pPr>
      <w:hyperlink w:anchor="_Toc6030" w:history="1">
        <w:r>
          <w:rPr>
            <w:rFonts w:ascii="IRNazanin" w:hAnsi="IRNazanin" w:eastAsia="IRNazanin" w:cs="IRNazanin"/>
            <w:color w:val="111111"/>
            <w:sz w:val="22"/>
            <w:szCs w:val="22"/>
            <w:b w:val="0"/>
            <w:bCs w:val="0"/>
            <w:i w:val="0"/>
            <w:iCs w:val="0"/>
          </w:rPr>
          <w:t>5538- دیوان فرزدق یمنی أو شعره‏</w:t>
        </w:r>
        <w:r>
          <w:tab/>
        </w:r>
        <w:r>
          <w:fldChar w:fldCharType="begin"/>
        </w:r>
        <w:r>
          <w:instrText xml:space="preserve">PAGEREF 6030 \h</w:instrText>
        </w:r>
        <w:r>
          <w:fldChar w:fldCharType="end"/>
        </w:r>
      </w:hyperlink>
    </w:p>
    <w:p>
      <w:pPr>
        <w:tabs>
          <w:tab w:val="right" w:leader="dot" w:pos="9062"/>
        </w:tabs>
        <w:ind w:left="440"/>
      </w:pPr>
      <w:hyperlink w:anchor="_Toc6031" w:history="1">
        <w:r>
          <w:rPr>
            <w:rFonts w:ascii="IRNazanin" w:hAnsi="IRNazanin" w:eastAsia="IRNazanin" w:cs="IRNazanin"/>
            <w:color w:val="111111"/>
            <w:sz w:val="22"/>
            <w:szCs w:val="22"/>
            <w:b w:val="0"/>
            <w:bCs w:val="0"/>
            <w:i w:val="0"/>
            <w:iCs w:val="0"/>
          </w:rPr>
          <w:t>5539- دیوان الفرزدق‏</w:t>
        </w:r>
        <w:r>
          <w:tab/>
        </w:r>
        <w:r>
          <w:fldChar w:fldCharType="begin"/>
        </w:r>
        <w:r>
          <w:instrText xml:space="preserve">PAGEREF 6031 \h</w:instrText>
        </w:r>
        <w:r>
          <w:fldChar w:fldCharType="end"/>
        </w:r>
      </w:hyperlink>
    </w:p>
    <w:p>
      <w:pPr>
        <w:tabs>
          <w:tab w:val="right" w:leader="dot" w:pos="9062"/>
        </w:tabs>
        <w:ind w:left="440"/>
      </w:pPr>
      <w:hyperlink w:anchor="_Toc6032" w:history="1">
        <w:r>
          <w:rPr>
            <w:rFonts w:ascii="IRNazanin" w:hAnsi="IRNazanin" w:eastAsia="IRNazanin" w:cs="IRNazanin"/>
            <w:color w:val="111111"/>
            <w:sz w:val="22"/>
            <w:szCs w:val="22"/>
            <w:b w:val="0"/>
            <w:bCs w:val="0"/>
            <w:i w:val="0"/>
            <w:iCs w:val="0"/>
          </w:rPr>
          <w:t>5540- دیوان فرساد یزدی أو شعره‏</w:t>
        </w:r>
        <w:r>
          <w:tab/>
        </w:r>
        <w:r>
          <w:fldChar w:fldCharType="begin"/>
        </w:r>
        <w:r>
          <w:instrText xml:space="preserve">PAGEREF 6032 \h</w:instrText>
        </w:r>
        <w:r>
          <w:fldChar w:fldCharType="end"/>
        </w:r>
      </w:hyperlink>
    </w:p>
    <w:p>
      <w:pPr>
        <w:tabs>
          <w:tab w:val="right" w:leader="dot" w:pos="9062"/>
        </w:tabs>
        <w:ind w:left="440"/>
      </w:pPr>
      <w:hyperlink w:anchor="_Toc6033" w:history="1">
        <w:r>
          <w:rPr>
            <w:rFonts w:ascii="IRNazanin" w:hAnsi="IRNazanin" w:eastAsia="IRNazanin" w:cs="IRNazanin"/>
            <w:color w:val="111111"/>
            <w:sz w:val="22"/>
            <w:szCs w:val="22"/>
            <w:b w:val="0"/>
            <w:bCs w:val="0"/>
            <w:i w:val="0"/>
            <w:iCs w:val="0"/>
          </w:rPr>
          <w:t>5541- دیوان فرشته أسترآبادی أو شعره‏</w:t>
        </w:r>
        <w:r>
          <w:tab/>
        </w:r>
        <w:r>
          <w:fldChar w:fldCharType="begin"/>
        </w:r>
        <w:r>
          <w:instrText xml:space="preserve">PAGEREF 6033 \h</w:instrText>
        </w:r>
        <w:r>
          <w:fldChar w:fldCharType="end"/>
        </w:r>
      </w:hyperlink>
    </w:p>
    <w:p>
      <w:pPr>
        <w:tabs>
          <w:tab w:val="right" w:leader="dot" w:pos="9062"/>
        </w:tabs>
        <w:ind w:left="440"/>
      </w:pPr>
      <w:hyperlink w:anchor="_Toc6034" w:history="1">
        <w:r>
          <w:rPr>
            <w:rFonts w:ascii="IRNazanin" w:hAnsi="IRNazanin" w:eastAsia="IRNazanin" w:cs="IRNazanin"/>
            <w:color w:val="111111"/>
            <w:sz w:val="22"/>
            <w:szCs w:val="22"/>
            <w:b w:val="0"/>
            <w:bCs w:val="0"/>
            <w:i w:val="0"/>
            <w:iCs w:val="0"/>
          </w:rPr>
          <w:t>5542- دیوان فرصت أو شعره‏</w:t>
        </w:r>
        <w:r>
          <w:tab/>
        </w:r>
        <w:r>
          <w:fldChar w:fldCharType="begin"/>
        </w:r>
        <w:r>
          <w:instrText xml:space="preserve">PAGEREF 6034 \h</w:instrText>
        </w:r>
        <w:r>
          <w:fldChar w:fldCharType="end"/>
        </w:r>
      </w:hyperlink>
    </w:p>
    <w:p>
      <w:pPr>
        <w:tabs>
          <w:tab w:val="right" w:leader="dot" w:pos="9062"/>
        </w:tabs>
        <w:ind w:left="440"/>
      </w:pPr>
      <w:hyperlink w:anchor="_Toc6035" w:history="1">
        <w:r>
          <w:rPr>
            <w:rFonts w:ascii="IRNazanin" w:hAnsi="IRNazanin" w:eastAsia="IRNazanin" w:cs="IRNazanin"/>
            <w:color w:val="111111"/>
            <w:sz w:val="22"/>
            <w:szCs w:val="22"/>
            <w:b w:val="0"/>
            <w:bCs w:val="0"/>
            <w:i w:val="0"/>
            <w:iCs w:val="0"/>
          </w:rPr>
          <w:t>5543- دیوان فرصت سبزواری أو شعره‏</w:t>
        </w:r>
        <w:r>
          <w:tab/>
        </w:r>
        <w:r>
          <w:fldChar w:fldCharType="begin"/>
        </w:r>
        <w:r>
          <w:instrText xml:space="preserve">PAGEREF 6035 \h</w:instrText>
        </w:r>
        <w:r>
          <w:fldChar w:fldCharType="end"/>
        </w:r>
      </w:hyperlink>
    </w:p>
    <w:p>
      <w:pPr>
        <w:tabs>
          <w:tab w:val="right" w:leader="dot" w:pos="9062"/>
        </w:tabs>
        <w:ind w:left="440"/>
      </w:pPr>
      <w:hyperlink w:anchor="_Toc6036" w:history="1">
        <w:r>
          <w:rPr>
            <w:rFonts w:ascii="IRNazanin" w:hAnsi="IRNazanin" w:eastAsia="IRNazanin" w:cs="IRNazanin"/>
            <w:color w:val="111111"/>
            <w:sz w:val="22"/>
            <w:szCs w:val="22"/>
            <w:b w:val="0"/>
            <w:bCs w:val="0"/>
            <w:i w:val="0"/>
            <w:iCs w:val="0"/>
          </w:rPr>
          <w:t>5544- دیوان فرصت شیرازی‏</w:t>
        </w:r>
        <w:r>
          <w:tab/>
        </w:r>
        <w:r>
          <w:fldChar w:fldCharType="begin"/>
        </w:r>
        <w:r>
          <w:instrText xml:space="preserve">PAGEREF 6036 \h</w:instrText>
        </w:r>
        <w:r>
          <w:fldChar w:fldCharType="end"/>
        </w:r>
      </w:hyperlink>
    </w:p>
    <w:p>
      <w:pPr>
        <w:tabs>
          <w:tab w:val="right" w:leader="dot" w:pos="9062"/>
        </w:tabs>
        <w:ind w:left="440"/>
      </w:pPr>
      <w:hyperlink w:anchor="_Toc6037" w:history="1">
        <w:r>
          <w:rPr>
            <w:rFonts w:ascii="IRNazanin" w:hAnsi="IRNazanin" w:eastAsia="IRNazanin" w:cs="IRNazanin"/>
            <w:color w:val="111111"/>
            <w:sz w:val="22"/>
            <w:szCs w:val="22"/>
            <w:b w:val="0"/>
            <w:bCs w:val="0"/>
            <w:i w:val="0"/>
            <w:iCs w:val="0"/>
          </w:rPr>
          <w:t>دیوان فرقتی أنجدانی‏</w:t>
        </w:r>
        <w:r>
          <w:tab/>
        </w:r>
        <w:r>
          <w:fldChar w:fldCharType="begin"/>
        </w:r>
        <w:r>
          <w:instrText xml:space="preserve">PAGEREF 6037 \h</w:instrText>
        </w:r>
        <w:r>
          <w:fldChar w:fldCharType="end"/>
        </w:r>
      </w:hyperlink>
    </w:p>
    <w:p>
      <w:pPr>
        <w:tabs>
          <w:tab w:val="right" w:leader="dot" w:pos="9062"/>
        </w:tabs>
        <w:ind w:left="440"/>
      </w:pPr>
      <w:hyperlink w:anchor="_Toc6038" w:history="1">
        <w:r>
          <w:rPr>
            <w:rFonts w:ascii="IRNazanin" w:hAnsi="IRNazanin" w:eastAsia="IRNazanin" w:cs="IRNazanin"/>
            <w:color w:val="111111"/>
            <w:sz w:val="22"/>
            <w:szCs w:val="22"/>
            <w:b w:val="0"/>
            <w:bCs w:val="0"/>
            <w:i w:val="0"/>
            <w:iCs w:val="0"/>
          </w:rPr>
          <w:t>دیوان فرقتی جوشقانی‏</w:t>
        </w:r>
        <w:r>
          <w:tab/>
        </w:r>
        <w:r>
          <w:fldChar w:fldCharType="begin"/>
        </w:r>
        <w:r>
          <w:instrText xml:space="preserve">PAGEREF 6038 \h</w:instrText>
        </w:r>
        <w:r>
          <w:fldChar w:fldCharType="end"/>
        </w:r>
      </w:hyperlink>
    </w:p>
    <w:p>
      <w:pPr>
        <w:tabs>
          <w:tab w:val="right" w:leader="dot" w:pos="9062"/>
        </w:tabs>
        <w:ind w:left="440"/>
      </w:pPr>
      <w:hyperlink w:anchor="_Toc6039" w:history="1">
        <w:r>
          <w:rPr>
            <w:rFonts w:ascii="IRNazanin" w:hAnsi="IRNazanin" w:eastAsia="IRNazanin" w:cs="IRNazanin"/>
            <w:color w:val="111111"/>
            <w:sz w:val="22"/>
            <w:szCs w:val="22"/>
            <w:b w:val="0"/>
            <w:bCs w:val="0"/>
            <w:i w:val="0"/>
            <w:iCs w:val="0"/>
          </w:rPr>
          <w:t>5545- دیوان فرقتی کاشانی‏</w:t>
        </w:r>
        <w:r>
          <w:tab/>
        </w:r>
        <w:r>
          <w:fldChar w:fldCharType="begin"/>
        </w:r>
        <w:r>
          <w:instrText xml:space="preserve">PAGEREF 6039 \h</w:instrText>
        </w:r>
        <w:r>
          <w:fldChar w:fldCharType="end"/>
        </w:r>
      </w:hyperlink>
    </w:p>
    <w:p>
      <w:pPr>
        <w:tabs>
          <w:tab w:val="right" w:leader="dot" w:pos="9062"/>
        </w:tabs>
        <w:ind w:left="440"/>
      </w:pPr>
      <w:hyperlink w:anchor="_Toc6040" w:history="1">
        <w:r>
          <w:rPr>
            <w:rFonts w:ascii="IRNazanin" w:hAnsi="IRNazanin" w:eastAsia="IRNazanin" w:cs="IRNazanin"/>
            <w:color w:val="111111"/>
            <w:sz w:val="22"/>
            <w:szCs w:val="22"/>
            <w:b w:val="0"/>
            <w:bCs w:val="0"/>
            <w:i w:val="0"/>
            <w:iCs w:val="0"/>
          </w:rPr>
          <w:t>5546- دیوان فرقدی خراسانی أو شعره‏</w:t>
        </w:r>
        <w:r>
          <w:tab/>
        </w:r>
        <w:r>
          <w:fldChar w:fldCharType="begin"/>
        </w:r>
        <w:r>
          <w:instrText xml:space="preserve">PAGEREF 6040 \h</w:instrText>
        </w:r>
        <w:r>
          <w:fldChar w:fldCharType="end"/>
        </w:r>
      </w:hyperlink>
    </w:p>
    <w:p>
      <w:pPr>
        <w:tabs>
          <w:tab w:val="right" w:leader="dot" w:pos="9062"/>
        </w:tabs>
        <w:ind w:left="440"/>
      </w:pPr>
      <w:hyperlink w:anchor="_Toc6041" w:history="1">
        <w:r>
          <w:rPr>
            <w:rFonts w:ascii="IRNazanin" w:hAnsi="IRNazanin" w:eastAsia="IRNazanin" w:cs="IRNazanin"/>
            <w:color w:val="111111"/>
            <w:sz w:val="22"/>
            <w:szCs w:val="22"/>
            <w:b w:val="0"/>
            <w:bCs w:val="0"/>
            <w:i w:val="0"/>
            <w:iCs w:val="0"/>
          </w:rPr>
          <w:t>5547- دیوان فرقی هروی أو شعره‏</w:t>
        </w:r>
        <w:r>
          <w:tab/>
        </w:r>
        <w:r>
          <w:fldChar w:fldCharType="begin"/>
        </w:r>
        <w:r>
          <w:instrText xml:space="preserve">PAGEREF 6041 \h</w:instrText>
        </w:r>
        <w:r>
          <w:fldChar w:fldCharType="end"/>
        </w:r>
      </w:hyperlink>
    </w:p>
    <w:p>
      <w:pPr>
        <w:tabs>
          <w:tab w:val="right" w:leader="dot" w:pos="9062"/>
        </w:tabs>
        <w:ind w:left="440"/>
      </w:pPr>
      <w:hyperlink w:anchor="_Toc6042" w:history="1">
        <w:r>
          <w:rPr>
            <w:rFonts w:ascii="IRNazanin" w:hAnsi="IRNazanin" w:eastAsia="IRNazanin" w:cs="IRNazanin"/>
            <w:color w:val="111111"/>
            <w:sz w:val="22"/>
            <w:szCs w:val="22"/>
            <w:b w:val="0"/>
            <w:bCs w:val="0"/>
            <w:i w:val="0"/>
            <w:iCs w:val="0"/>
          </w:rPr>
          <w:t>5548- دیوان فروتن کرمانی‏</w:t>
        </w:r>
        <w:r>
          <w:tab/>
        </w:r>
        <w:r>
          <w:fldChar w:fldCharType="begin"/>
        </w:r>
        <w:r>
          <w:instrText xml:space="preserve">PAGEREF 6042 \h</w:instrText>
        </w:r>
        <w:r>
          <w:fldChar w:fldCharType="end"/>
        </w:r>
      </w:hyperlink>
    </w:p>
    <w:p>
      <w:pPr>
        <w:tabs>
          <w:tab w:val="right" w:leader="dot" w:pos="9062"/>
        </w:tabs>
        <w:ind w:left="440"/>
      </w:pPr>
      <w:hyperlink w:anchor="_Toc6043" w:history="1">
        <w:r>
          <w:rPr>
            <w:rFonts w:ascii="IRNazanin" w:hAnsi="IRNazanin" w:eastAsia="IRNazanin" w:cs="IRNazanin"/>
            <w:color w:val="111111"/>
            <w:sz w:val="22"/>
            <w:szCs w:val="22"/>
            <w:b w:val="0"/>
            <w:bCs w:val="0"/>
            <w:i w:val="0"/>
            <w:iCs w:val="0"/>
          </w:rPr>
          <w:t>5549- دیوان فروغ أصفهانی أو شعره‏</w:t>
        </w:r>
        <w:r>
          <w:tab/>
        </w:r>
        <w:r>
          <w:fldChar w:fldCharType="begin"/>
        </w:r>
        <w:r>
          <w:instrText xml:space="preserve">PAGEREF 6043 \h</w:instrText>
        </w:r>
        <w:r>
          <w:fldChar w:fldCharType="end"/>
        </w:r>
      </w:hyperlink>
    </w:p>
    <w:p>
      <w:pPr>
        <w:tabs>
          <w:tab w:val="right" w:leader="dot" w:pos="9062"/>
        </w:tabs>
        <w:ind w:left="440"/>
      </w:pPr>
      <w:hyperlink w:anchor="_Toc6044" w:history="1">
        <w:r>
          <w:rPr>
            <w:rFonts w:ascii="IRNazanin" w:hAnsi="IRNazanin" w:eastAsia="IRNazanin" w:cs="IRNazanin"/>
            <w:color w:val="111111"/>
            <w:sz w:val="22"/>
            <w:szCs w:val="22"/>
            <w:b w:val="0"/>
            <w:bCs w:val="0"/>
            <w:i w:val="0"/>
            <w:iCs w:val="0"/>
          </w:rPr>
          <w:t>5550- دیوان فروغ أصفهانی‏</w:t>
        </w:r>
        <w:r>
          <w:tab/>
        </w:r>
        <w:r>
          <w:fldChar w:fldCharType="begin"/>
        </w:r>
        <w:r>
          <w:instrText xml:space="preserve">PAGEREF 6044 \h</w:instrText>
        </w:r>
        <w:r>
          <w:fldChar w:fldCharType="end"/>
        </w:r>
      </w:hyperlink>
    </w:p>
    <w:p>
      <w:pPr>
        <w:tabs>
          <w:tab w:val="right" w:leader="dot" w:pos="9062"/>
        </w:tabs>
        <w:ind w:left="440"/>
      </w:pPr>
      <w:hyperlink w:anchor="_Toc6045" w:history="1">
        <w:r>
          <w:rPr>
            <w:rFonts w:ascii="IRNazanin" w:hAnsi="IRNazanin" w:eastAsia="IRNazanin" w:cs="IRNazanin"/>
            <w:color w:val="111111"/>
            <w:sz w:val="22"/>
            <w:szCs w:val="22"/>
            <w:b w:val="0"/>
            <w:bCs w:val="0"/>
            <w:i w:val="0"/>
            <w:iCs w:val="0"/>
          </w:rPr>
          <w:t>5551- دیوان فروغ أصفهانی أو شعره‏</w:t>
        </w:r>
        <w:r>
          <w:tab/>
        </w:r>
        <w:r>
          <w:fldChar w:fldCharType="begin"/>
        </w:r>
        <w:r>
          <w:instrText xml:space="preserve">PAGEREF 6045 \h</w:instrText>
        </w:r>
        <w:r>
          <w:fldChar w:fldCharType="end"/>
        </w:r>
      </w:hyperlink>
    </w:p>
    <w:p>
      <w:pPr>
        <w:tabs>
          <w:tab w:val="right" w:leader="dot" w:pos="9062"/>
        </w:tabs>
        <w:ind w:left="440"/>
      </w:pPr>
      <w:hyperlink w:anchor="_Toc6046" w:history="1">
        <w:r>
          <w:rPr>
            <w:rFonts w:ascii="IRNazanin" w:hAnsi="IRNazanin" w:eastAsia="IRNazanin" w:cs="IRNazanin"/>
            <w:color w:val="111111"/>
            <w:sz w:val="22"/>
            <w:szCs w:val="22"/>
            <w:b w:val="0"/>
            <w:bCs w:val="0"/>
            <w:i w:val="0"/>
            <w:iCs w:val="0"/>
          </w:rPr>
          <w:t>5552- دیوان فروغ أصفهانی أو شعره‏</w:t>
        </w:r>
        <w:r>
          <w:tab/>
        </w:r>
        <w:r>
          <w:fldChar w:fldCharType="begin"/>
        </w:r>
        <w:r>
          <w:instrText xml:space="preserve">PAGEREF 6046 \h</w:instrText>
        </w:r>
        <w:r>
          <w:fldChar w:fldCharType="end"/>
        </w:r>
      </w:hyperlink>
    </w:p>
    <w:p>
      <w:pPr>
        <w:tabs>
          <w:tab w:val="right" w:leader="dot" w:pos="9062"/>
        </w:tabs>
        <w:ind w:left="440"/>
      </w:pPr>
      <w:hyperlink w:anchor="_Toc6047" w:history="1">
        <w:r>
          <w:rPr>
            <w:rFonts w:ascii="IRNazanin" w:hAnsi="IRNazanin" w:eastAsia="IRNazanin" w:cs="IRNazanin"/>
            <w:color w:val="111111"/>
            <w:sz w:val="22"/>
            <w:szCs w:val="22"/>
            <w:b w:val="0"/>
            <w:bCs w:val="0"/>
            <w:i w:val="0"/>
            <w:iCs w:val="0"/>
          </w:rPr>
          <w:t>5553- دیوان فروغ بیرجندی أو شعره‏</w:t>
        </w:r>
        <w:r>
          <w:tab/>
        </w:r>
        <w:r>
          <w:fldChar w:fldCharType="begin"/>
        </w:r>
        <w:r>
          <w:instrText xml:space="preserve">PAGEREF 6047 \h</w:instrText>
        </w:r>
        <w:r>
          <w:fldChar w:fldCharType="end"/>
        </w:r>
      </w:hyperlink>
    </w:p>
    <w:p>
      <w:pPr>
        <w:tabs>
          <w:tab w:val="right" w:leader="dot" w:pos="9062"/>
        </w:tabs>
        <w:ind w:left="440"/>
      </w:pPr>
      <w:hyperlink w:anchor="_Toc6048" w:history="1">
        <w:r>
          <w:rPr>
            <w:rFonts w:ascii="IRNazanin" w:hAnsi="IRNazanin" w:eastAsia="IRNazanin" w:cs="IRNazanin"/>
            <w:color w:val="111111"/>
            <w:sz w:val="22"/>
            <w:szCs w:val="22"/>
            <w:b w:val="0"/>
            <w:bCs w:val="0"/>
            <w:i w:val="0"/>
            <w:iCs w:val="0"/>
          </w:rPr>
          <w:t>5554- دیوان فروغ تبریزی‏</w:t>
        </w:r>
        <w:r>
          <w:tab/>
        </w:r>
        <w:r>
          <w:fldChar w:fldCharType="begin"/>
        </w:r>
        <w:r>
          <w:instrText xml:space="preserve">PAGEREF 6048 \h</w:instrText>
        </w:r>
        <w:r>
          <w:fldChar w:fldCharType="end"/>
        </w:r>
      </w:hyperlink>
    </w:p>
    <w:p>
      <w:pPr>
        <w:tabs>
          <w:tab w:val="right" w:leader="dot" w:pos="9062"/>
        </w:tabs>
        <w:ind w:left="440"/>
      </w:pPr>
      <w:hyperlink w:anchor="_Toc6049" w:history="1">
        <w:r>
          <w:rPr>
            <w:rFonts w:ascii="IRNazanin" w:hAnsi="IRNazanin" w:eastAsia="IRNazanin" w:cs="IRNazanin"/>
            <w:color w:val="111111"/>
            <w:sz w:val="22"/>
            <w:szCs w:val="22"/>
            <w:b w:val="0"/>
            <w:bCs w:val="0"/>
            <w:i w:val="0"/>
            <w:iCs w:val="0"/>
          </w:rPr>
          <w:t>5555- دیوان فروغ کاشانی‏</w:t>
        </w:r>
        <w:r>
          <w:tab/>
        </w:r>
        <w:r>
          <w:fldChar w:fldCharType="begin"/>
        </w:r>
        <w:r>
          <w:instrText xml:space="preserve">PAGEREF 6049 \h</w:instrText>
        </w:r>
        <w:r>
          <w:fldChar w:fldCharType="end"/>
        </w:r>
      </w:hyperlink>
    </w:p>
    <w:p>
      <w:pPr>
        <w:tabs>
          <w:tab w:val="right" w:leader="dot" w:pos="9062"/>
        </w:tabs>
        <w:ind w:left="440"/>
      </w:pPr>
      <w:hyperlink w:anchor="_Toc6050" w:history="1">
        <w:r>
          <w:rPr>
            <w:rFonts w:ascii="IRNazanin" w:hAnsi="IRNazanin" w:eastAsia="IRNazanin" w:cs="IRNazanin"/>
            <w:color w:val="111111"/>
            <w:sz w:val="22"/>
            <w:szCs w:val="22"/>
            <w:b w:val="0"/>
            <w:bCs w:val="0"/>
            <w:i w:val="0"/>
            <w:iCs w:val="0"/>
          </w:rPr>
          <w:t>دیوان فروغ فرخ زاد</w:t>
        </w:r>
        <w:r>
          <w:tab/>
        </w:r>
        <w:r>
          <w:fldChar w:fldCharType="begin"/>
        </w:r>
        <w:r>
          <w:instrText xml:space="preserve">PAGEREF 6050 \h</w:instrText>
        </w:r>
        <w:r>
          <w:fldChar w:fldCharType="end"/>
        </w:r>
      </w:hyperlink>
    </w:p>
    <w:p>
      <w:pPr>
        <w:tabs>
          <w:tab w:val="right" w:leader="dot" w:pos="9062"/>
        </w:tabs>
        <w:ind w:left="440"/>
      </w:pPr>
      <w:hyperlink w:anchor="_Toc6051" w:history="1">
        <w:r>
          <w:rPr>
            <w:rFonts w:ascii="IRNazanin" w:hAnsi="IRNazanin" w:eastAsia="IRNazanin" w:cs="IRNazanin"/>
            <w:color w:val="111111"/>
            <w:sz w:val="22"/>
            <w:szCs w:val="22"/>
            <w:b w:val="0"/>
            <w:bCs w:val="0"/>
            <w:i w:val="0"/>
            <w:iCs w:val="0"/>
          </w:rPr>
          <w:t>5556- دیوان فروغ نائنی أو شعره‏</w:t>
        </w:r>
        <w:r>
          <w:tab/>
        </w:r>
        <w:r>
          <w:fldChar w:fldCharType="begin"/>
        </w:r>
        <w:r>
          <w:instrText xml:space="preserve">PAGEREF 6051 \h</w:instrText>
        </w:r>
        <w:r>
          <w:fldChar w:fldCharType="end"/>
        </w:r>
      </w:hyperlink>
    </w:p>
    <w:p>
      <w:pPr>
        <w:tabs>
          <w:tab w:val="right" w:leader="dot" w:pos="9062"/>
        </w:tabs>
        <w:ind w:left="440"/>
      </w:pPr>
      <w:hyperlink w:anchor="_Toc6052" w:history="1">
        <w:r>
          <w:rPr>
            <w:rFonts w:ascii="IRNazanin" w:hAnsi="IRNazanin" w:eastAsia="IRNazanin" w:cs="IRNazanin"/>
            <w:color w:val="111111"/>
            <w:sz w:val="22"/>
            <w:szCs w:val="22"/>
            <w:b w:val="0"/>
            <w:bCs w:val="0"/>
            <w:i w:val="0"/>
            <w:iCs w:val="0"/>
          </w:rPr>
          <w:t>5557- دیوان فروغی أسترآبادی أو شعره‏</w:t>
        </w:r>
        <w:r>
          <w:tab/>
        </w:r>
        <w:r>
          <w:fldChar w:fldCharType="begin"/>
        </w:r>
        <w:r>
          <w:instrText xml:space="preserve">PAGEREF 6052 \h</w:instrText>
        </w:r>
        <w:r>
          <w:fldChar w:fldCharType="end"/>
        </w:r>
      </w:hyperlink>
    </w:p>
    <w:p>
      <w:pPr>
        <w:tabs>
          <w:tab w:val="right" w:leader="dot" w:pos="9062"/>
        </w:tabs>
        <w:ind w:left="440"/>
      </w:pPr>
      <w:hyperlink w:anchor="_Toc6053" w:history="1">
        <w:r>
          <w:rPr>
            <w:rFonts w:ascii="IRNazanin" w:hAnsi="IRNazanin" w:eastAsia="IRNazanin" w:cs="IRNazanin"/>
            <w:color w:val="111111"/>
            <w:sz w:val="22"/>
            <w:szCs w:val="22"/>
            <w:b w:val="0"/>
            <w:bCs w:val="0"/>
            <w:i w:val="0"/>
            <w:iCs w:val="0"/>
          </w:rPr>
          <w:t>5558- دیوان فروغی أصفهانی‏</w:t>
        </w:r>
        <w:r>
          <w:tab/>
        </w:r>
        <w:r>
          <w:fldChar w:fldCharType="begin"/>
        </w:r>
        <w:r>
          <w:instrText xml:space="preserve">PAGEREF 6053 \h</w:instrText>
        </w:r>
        <w:r>
          <w:fldChar w:fldCharType="end"/>
        </w:r>
      </w:hyperlink>
    </w:p>
    <w:p>
      <w:pPr>
        <w:tabs>
          <w:tab w:val="right" w:leader="dot" w:pos="9062"/>
        </w:tabs>
        <w:ind w:left="440"/>
      </w:pPr>
      <w:hyperlink w:anchor="_Toc6054" w:history="1">
        <w:r>
          <w:rPr>
            <w:rFonts w:ascii="IRNazanin" w:hAnsi="IRNazanin" w:eastAsia="IRNazanin" w:cs="IRNazanin"/>
            <w:color w:val="111111"/>
            <w:sz w:val="22"/>
            <w:szCs w:val="22"/>
            <w:b w:val="0"/>
            <w:bCs w:val="0"/>
            <w:i w:val="0"/>
            <w:iCs w:val="0"/>
          </w:rPr>
          <w:t>5559- دیوان فروغی أصفهانی‏</w:t>
        </w:r>
        <w:r>
          <w:tab/>
        </w:r>
        <w:r>
          <w:fldChar w:fldCharType="begin"/>
        </w:r>
        <w:r>
          <w:instrText xml:space="preserve">PAGEREF 6054 \h</w:instrText>
        </w:r>
        <w:r>
          <w:fldChar w:fldCharType="end"/>
        </w:r>
      </w:hyperlink>
    </w:p>
    <w:p>
      <w:pPr>
        <w:tabs>
          <w:tab w:val="right" w:leader="dot" w:pos="9062"/>
        </w:tabs>
        <w:ind w:left="440"/>
      </w:pPr>
      <w:hyperlink w:anchor="_Toc6055" w:history="1">
        <w:r>
          <w:rPr>
            <w:rFonts w:ascii="IRNazanin" w:hAnsi="IRNazanin" w:eastAsia="IRNazanin" w:cs="IRNazanin"/>
            <w:color w:val="111111"/>
            <w:sz w:val="22"/>
            <w:szCs w:val="22"/>
            <w:b w:val="0"/>
            <w:bCs w:val="0"/>
            <w:i w:val="0"/>
            <w:iCs w:val="0"/>
          </w:rPr>
          <w:t>5560- دیوان فروغی بسطامی‏</w:t>
        </w:r>
        <w:r>
          <w:tab/>
        </w:r>
        <w:r>
          <w:fldChar w:fldCharType="begin"/>
        </w:r>
        <w:r>
          <w:instrText xml:space="preserve">PAGEREF 6055 \h</w:instrText>
        </w:r>
        <w:r>
          <w:fldChar w:fldCharType="end"/>
        </w:r>
      </w:hyperlink>
    </w:p>
    <w:p>
      <w:pPr>
        <w:tabs>
          <w:tab w:val="right" w:leader="dot" w:pos="9062"/>
        </w:tabs>
        <w:ind w:left="440"/>
      </w:pPr>
      <w:hyperlink w:anchor="_Toc6056" w:history="1">
        <w:r>
          <w:rPr>
            <w:rFonts w:ascii="IRNazanin" w:hAnsi="IRNazanin" w:eastAsia="IRNazanin" w:cs="IRNazanin"/>
            <w:color w:val="111111"/>
            <w:sz w:val="22"/>
            <w:szCs w:val="22"/>
            <w:b w:val="0"/>
            <w:bCs w:val="0"/>
            <w:i w:val="0"/>
            <w:iCs w:val="0"/>
          </w:rPr>
          <w:t>5561- دیوان فروغی خراسانی‏</w:t>
        </w:r>
        <w:r>
          <w:tab/>
        </w:r>
        <w:r>
          <w:fldChar w:fldCharType="begin"/>
        </w:r>
        <w:r>
          <w:instrText xml:space="preserve">PAGEREF 6056 \h</w:instrText>
        </w:r>
        <w:r>
          <w:fldChar w:fldCharType="end"/>
        </w:r>
      </w:hyperlink>
    </w:p>
    <w:p>
      <w:pPr>
        <w:tabs>
          <w:tab w:val="right" w:leader="dot" w:pos="9062"/>
        </w:tabs>
        <w:ind w:left="440"/>
      </w:pPr>
      <w:hyperlink w:anchor="_Toc6057" w:history="1">
        <w:r>
          <w:rPr>
            <w:rFonts w:ascii="IRNazanin" w:hAnsi="IRNazanin" w:eastAsia="IRNazanin" w:cs="IRNazanin"/>
            <w:color w:val="111111"/>
            <w:sz w:val="22"/>
            <w:szCs w:val="22"/>
            <w:b w:val="0"/>
            <w:bCs w:val="0"/>
            <w:i w:val="0"/>
            <w:iCs w:val="0"/>
          </w:rPr>
          <w:t>5562- دیوان فروغی شیرازی أو شعره‏</w:t>
        </w:r>
        <w:r>
          <w:tab/>
        </w:r>
        <w:r>
          <w:fldChar w:fldCharType="begin"/>
        </w:r>
        <w:r>
          <w:instrText xml:space="preserve">PAGEREF 6057 \h</w:instrText>
        </w:r>
        <w:r>
          <w:fldChar w:fldCharType="end"/>
        </w:r>
      </w:hyperlink>
    </w:p>
    <w:p>
      <w:pPr>
        <w:tabs>
          <w:tab w:val="right" w:leader="dot" w:pos="9062"/>
        </w:tabs>
        <w:ind w:left="440"/>
      </w:pPr>
      <w:hyperlink w:anchor="_Toc6058" w:history="1">
        <w:r>
          <w:rPr>
            <w:rFonts w:ascii="IRNazanin" w:hAnsi="IRNazanin" w:eastAsia="IRNazanin" w:cs="IRNazanin"/>
            <w:color w:val="111111"/>
            <w:sz w:val="22"/>
            <w:szCs w:val="22"/>
            <w:b w:val="0"/>
            <w:bCs w:val="0"/>
            <w:i w:val="0"/>
            <w:iCs w:val="0"/>
          </w:rPr>
          <w:t>5563- دیوان فروغی طهرانی‏</w:t>
        </w:r>
        <w:r>
          <w:tab/>
        </w:r>
        <w:r>
          <w:fldChar w:fldCharType="begin"/>
        </w:r>
        <w:r>
          <w:instrText xml:space="preserve">PAGEREF 6058 \h</w:instrText>
        </w:r>
        <w:r>
          <w:fldChar w:fldCharType="end"/>
        </w:r>
      </w:hyperlink>
    </w:p>
    <w:p>
      <w:pPr>
        <w:tabs>
          <w:tab w:val="right" w:leader="dot" w:pos="9062"/>
        </w:tabs>
        <w:ind w:left="440"/>
      </w:pPr>
      <w:hyperlink w:anchor="_Toc6059" w:history="1">
        <w:r>
          <w:rPr>
            <w:rFonts w:ascii="IRNazanin" w:hAnsi="IRNazanin" w:eastAsia="IRNazanin" w:cs="IRNazanin"/>
            <w:color w:val="111111"/>
            <w:sz w:val="22"/>
            <w:szCs w:val="22"/>
            <w:b w:val="0"/>
            <w:bCs w:val="0"/>
            <w:i w:val="0"/>
            <w:iCs w:val="0"/>
          </w:rPr>
          <w:t>5564- دیوان فروغی قزوینی أو شعره‏</w:t>
        </w:r>
        <w:r>
          <w:tab/>
        </w:r>
        <w:r>
          <w:fldChar w:fldCharType="begin"/>
        </w:r>
        <w:r>
          <w:instrText xml:space="preserve">PAGEREF 6059 \h</w:instrText>
        </w:r>
        <w:r>
          <w:fldChar w:fldCharType="end"/>
        </w:r>
      </w:hyperlink>
    </w:p>
    <w:p>
      <w:pPr>
        <w:tabs>
          <w:tab w:val="right" w:leader="dot" w:pos="9062"/>
        </w:tabs>
        <w:ind w:left="440"/>
      </w:pPr>
      <w:hyperlink w:anchor="_Toc6060" w:history="1">
        <w:r>
          <w:rPr>
            <w:rFonts w:ascii="IRNazanin" w:hAnsi="IRNazanin" w:eastAsia="IRNazanin" w:cs="IRNazanin"/>
            <w:color w:val="111111"/>
            <w:sz w:val="22"/>
            <w:szCs w:val="22"/>
            <w:b w:val="0"/>
            <w:bCs w:val="0"/>
            <w:i w:val="0"/>
            <w:iCs w:val="0"/>
          </w:rPr>
          <w:t>5565- دیوان فروغی کشمیری‏</w:t>
        </w:r>
        <w:r>
          <w:tab/>
        </w:r>
        <w:r>
          <w:fldChar w:fldCharType="begin"/>
        </w:r>
        <w:r>
          <w:instrText xml:space="preserve">PAGEREF 6060 \h</w:instrText>
        </w:r>
        <w:r>
          <w:fldChar w:fldCharType="end"/>
        </w:r>
      </w:hyperlink>
    </w:p>
    <w:p>
      <w:pPr>
        <w:tabs>
          <w:tab w:val="right" w:leader="dot" w:pos="9062"/>
        </w:tabs>
        <w:ind w:left="440"/>
      </w:pPr>
      <w:hyperlink w:anchor="_Toc6061" w:history="1">
        <w:r>
          <w:rPr>
            <w:rFonts w:ascii="IRNazanin" w:hAnsi="IRNazanin" w:eastAsia="IRNazanin" w:cs="IRNazanin"/>
            <w:color w:val="111111"/>
            <w:sz w:val="22"/>
            <w:szCs w:val="22"/>
            <w:b w:val="0"/>
            <w:bCs w:val="0"/>
            <w:i w:val="0"/>
            <w:iCs w:val="0"/>
          </w:rPr>
          <w:t>5566- دیوان فروغی لنجانی‏</w:t>
        </w:r>
        <w:r>
          <w:tab/>
        </w:r>
        <w:r>
          <w:fldChar w:fldCharType="begin"/>
        </w:r>
        <w:r>
          <w:instrText xml:space="preserve">PAGEREF 6061 \h</w:instrText>
        </w:r>
        <w:r>
          <w:fldChar w:fldCharType="end"/>
        </w:r>
      </w:hyperlink>
    </w:p>
    <w:p>
      <w:pPr>
        <w:tabs>
          <w:tab w:val="right" w:leader="dot" w:pos="9062"/>
        </w:tabs>
        <w:ind w:left="440"/>
      </w:pPr>
      <w:hyperlink w:anchor="_Toc6062" w:history="1">
        <w:r>
          <w:rPr>
            <w:rFonts w:ascii="IRNazanin" w:hAnsi="IRNazanin" w:eastAsia="IRNazanin" w:cs="IRNazanin"/>
            <w:color w:val="111111"/>
            <w:sz w:val="22"/>
            <w:szCs w:val="22"/>
            <w:b w:val="0"/>
            <w:bCs w:val="0"/>
            <w:i w:val="0"/>
            <w:iCs w:val="0"/>
          </w:rPr>
          <w:t>5567- دیوان فروغی نیشابوری أو شعره‏</w:t>
        </w:r>
        <w:r>
          <w:tab/>
        </w:r>
        <w:r>
          <w:fldChar w:fldCharType="begin"/>
        </w:r>
        <w:r>
          <w:instrText xml:space="preserve">PAGEREF 6062 \h</w:instrText>
        </w:r>
        <w:r>
          <w:fldChar w:fldCharType="end"/>
        </w:r>
      </w:hyperlink>
    </w:p>
    <w:p>
      <w:pPr>
        <w:tabs>
          <w:tab w:val="right" w:leader="dot" w:pos="9062"/>
        </w:tabs>
        <w:ind w:left="440"/>
      </w:pPr>
      <w:hyperlink w:anchor="_Toc6063" w:history="1">
        <w:r>
          <w:rPr>
            <w:rFonts w:ascii="IRNazanin" w:hAnsi="IRNazanin" w:eastAsia="IRNazanin" w:cs="IRNazanin"/>
            <w:color w:val="111111"/>
            <w:sz w:val="22"/>
            <w:szCs w:val="22"/>
            <w:b w:val="0"/>
            <w:bCs w:val="0"/>
            <w:i w:val="0"/>
            <w:iCs w:val="0"/>
          </w:rPr>
          <w:t>5568- دیوان فروغی همدانی أو شعره‏</w:t>
        </w:r>
        <w:r>
          <w:tab/>
        </w:r>
        <w:r>
          <w:fldChar w:fldCharType="begin"/>
        </w:r>
        <w:r>
          <w:instrText xml:space="preserve">PAGEREF 6063 \h</w:instrText>
        </w:r>
        <w:r>
          <w:fldChar w:fldCharType="end"/>
        </w:r>
      </w:hyperlink>
    </w:p>
    <w:p>
      <w:pPr>
        <w:tabs>
          <w:tab w:val="right" w:leader="dot" w:pos="9062"/>
        </w:tabs>
        <w:ind w:left="440"/>
      </w:pPr>
      <w:hyperlink w:anchor="_Toc6064" w:history="1">
        <w:r>
          <w:rPr>
            <w:rFonts w:ascii="IRNazanin" w:hAnsi="IRNazanin" w:eastAsia="IRNazanin" w:cs="IRNazanin"/>
            <w:color w:val="111111"/>
            <w:sz w:val="22"/>
            <w:szCs w:val="22"/>
            <w:b w:val="0"/>
            <w:bCs w:val="0"/>
            <w:i w:val="0"/>
            <w:iCs w:val="0"/>
          </w:rPr>
          <w:t>5569- دیوان فرهاد اشتری‏</w:t>
        </w:r>
        <w:r>
          <w:tab/>
        </w:r>
        <w:r>
          <w:fldChar w:fldCharType="begin"/>
        </w:r>
        <w:r>
          <w:instrText xml:space="preserve">PAGEREF 6064 \h</w:instrText>
        </w:r>
        <w:r>
          <w:fldChar w:fldCharType="end"/>
        </w:r>
      </w:hyperlink>
    </w:p>
    <w:p>
      <w:pPr>
        <w:tabs>
          <w:tab w:val="right" w:leader="dot" w:pos="9062"/>
        </w:tabs>
        <w:ind w:left="440"/>
      </w:pPr>
      <w:hyperlink w:anchor="_Toc6065" w:history="1">
        <w:r>
          <w:rPr>
            <w:rFonts w:ascii="IRNazanin" w:hAnsi="IRNazanin" w:eastAsia="IRNazanin" w:cs="IRNazanin"/>
            <w:color w:val="111111"/>
            <w:sz w:val="22"/>
            <w:szCs w:val="22"/>
            <w:b w:val="0"/>
            <w:bCs w:val="0"/>
            <w:i w:val="0"/>
            <w:iCs w:val="0"/>
          </w:rPr>
          <w:t>5570- دیوان فرهاد میرزا</w:t>
        </w:r>
        <w:r>
          <w:tab/>
        </w:r>
        <w:r>
          <w:fldChar w:fldCharType="begin"/>
        </w:r>
        <w:r>
          <w:instrText xml:space="preserve">PAGEREF 6065 \h</w:instrText>
        </w:r>
        <w:r>
          <w:fldChar w:fldCharType="end"/>
        </w:r>
      </w:hyperlink>
    </w:p>
    <w:p>
      <w:pPr>
        <w:tabs>
          <w:tab w:val="right" w:leader="dot" w:pos="9062"/>
        </w:tabs>
        <w:ind w:left="440"/>
      </w:pPr>
      <w:hyperlink w:anchor="_Toc6066" w:history="1">
        <w:r>
          <w:rPr>
            <w:rFonts w:ascii="IRNazanin" w:hAnsi="IRNazanin" w:eastAsia="IRNazanin" w:cs="IRNazanin"/>
            <w:color w:val="111111"/>
            <w:sz w:val="22"/>
            <w:szCs w:val="22"/>
            <w:b w:val="0"/>
            <w:bCs w:val="0"/>
            <w:i w:val="0"/>
            <w:iCs w:val="0"/>
          </w:rPr>
          <w:t>5571- دیوان فرهادی ما وراء النهری‏</w:t>
        </w:r>
        <w:r>
          <w:tab/>
        </w:r>
        <w:r>
          <w:fldChar w:fldCharType="begin"/>
        </w:r>
        <w:r>
          <w:instrText xml:space="preserve">PAGEREF 6066 \h</w:instrText>
        </w:r>
        <w:r>
          <w:fldChar w:fldCharType="end"/>
        </w:r>
      </w:hyperlink>
    </w:p>
    <w:p>
      <w:pPr>
        <w:tabs>
          <w:tab w:val="right" w:leader="dot" w:pos="9062"/>
        </w:tabs>
        <w:ind w:left="440"/>
      </w:pPr>
      <w:hyperlink w:anchor="_Toc6067" w:history="1">
        <w:r>
          <w:rPr>
            <w:rFonts w:ascii="IRNazanin" w:hAnsi="IRNazanin" w:eastAsia="IRNazanin" w:cs="IRNazanin"/>
            <w:color w:val="111111"/>
            <w:sz w:val="22"/>
            <w:szCs w:val="22"/>
            <w:b w:val="0"/>
            <w:bCs w:val="0"/>
            <w:i w:val="0"/>
            <w:iCs w:val="0"/>
          </w:rPr>
          <w:t>دیوان فرهنگ أصفهانی‏</w:t>
        </w:r>
        <w:r>
          <w:tab/>
        </w:r>
        <w:r>
          <w:fldChar w:fldCharType="begin"/>
        </w:r>
        <w:r>
          <w:instrText xml:space="preserve">PAGEREF 6067 \h</w:instrText>
        </w:r>
        <w:r>
          <w:fldChar w:fldCharType="end"/>
        </w:r>
      </w:hyperlink>
    </w:p>
    <w:p>
      <w:pPr>
        <w:tabs>
          <w:tab w:val="right" w:leader="dot" w:pos="9062"/>
        </w:tabs>
        <w:ind w:left="440"/>
      </w:pPr>
      <w:hyperlink w:anchor="_Toc6068" w:history="1">
        <w:r>
          <w:rPr>
            <w:rFonts w:ascii="IRNazanin" w:hAnsi="IRNazanin" w:eastAsia="IRNazanin" w:cs="IRNazanin"/>
            <w:color w:val="111111"/>
            <w:sz w:val="22"/>
            <w:szCs w:val="22"/>
            <w:b w:val="0"/>
            <w:bCs w:val="0"/>
            <w:i w:val="0"/>
            <w:iCs w:val="0"/>
          </w:rPr>
          <w:t>5572- دیوان فرهنگ شیرازی‏</w:t>
        </w:r>
        <w:r>
          <w:tab/>
        </w:r>
        <w:r>
          <w:fldChar w:fldCharType="begin"/>
        </w:r>
        <w:r>
          <w:instrText xml:space="preserve">PAGEREF 6068 \h</w:instrText>
        </w:r>
        <w:r>
          <w:fldChar w:fldCharType="end"/>
        </w:r>
      </w:hyperlink>
    </w:p>
    <w:p>
      <w:pPr>
        <w:tabs>
          <w:tab w:val="right" w:leader="dot" w:pos="9062"/>
        </w:tabs>
        <w:ind w:left="440"/>
      </w:pPr>
      <w:hyperlink w:anchor="_Toc6069" w:history="1">
        <w:r>
          <w:rPr>
            <w:rFonts w:ascii="IRNazanin" w:hAnsi="IRNazanin" w:eastAsia="IRNazanin" w:cs="IRNazanin"/>
            <w:color w:val="111111"/>
            <w:sz w:val="22"/>
            <w:szCs w:val="22"/>
            <w:b w:val="0"/>
            <w:bCs w:val="0"/>
            <w:i w:val="0"/>
            <w:iCs w:val="0"/>
          </w:rPr>
          <w:t>5573- دیوان فرهی‏</w:t>
        </w:r>
        <w:r>
          <w:tab/>
        </w:r>
        <w:r>
          <w:fldChar w:fldCharType="begin"/>
        </w:r>
        <w:r>
          <w:instrText xml:space="preserve">PAGEREF 6069 \h</w:instrText>
        </w:r>
        <w:r>
          <w:fldChar w:fldCharType="end"/>
        </w:r>
      </w:hyperlink>
    </w:p>
    <w:p>
      <w:pPr>
        <w:tabs>
          <w:tab w:val="right" w:leader="dot" w:pos="9062"/>
        </w:tabs>
        <w:ind w:left="440"/>
      </w:pPr>
      <w:hyperlink w:anchor="_Toc6070" w:history="1">
        <w:r>
          <w:rPr>
            <w:rFonts w:ascii="IRNazanin" w:hAnsi="IRNazanin" w:eastAsia="IRNazanin" w:cs="IRNazanin"/>
            <w:color w:val="111111"/>
            <w:sz w:val="22"/>
            <w:szCs w:val="22"/>
            <w:b w:val="0"/>
            <w:bCs w:val="0"/>
            <w:i w:val="0"/>
            <w:iCs w:val="0"/>
          </w:rPr>
          <w:t>5574- دیوان فریاد عظیم‏آبادی‏</w:t>
        </w:r>
        <w:r>
          <w:tab/>
        </w:r>
        <w:r>
          <w:fldChar w:fldCharType="begin"/>
        </w:r>
        <w:r>
          <w:instrText xml:space="preserve">PAGEREF 6070 \h</w:instrText>
        </w:r>
        <w:r>
          <w:fldChar w:fldCharType="end"/>
        </w:r>
      </w:hyperlink>
    </w:p>
    <w:p>
      <w:pPr>
        <w:tabs>
          <w:tab w:val="right" w:leader="dot" w:pos="9062"/>
        </w:tabs>
        <w:ind w:left="440"/>
      </w:pPr>
      <w:hyperlink w:anchor="_Toc6071" w:history="1">
        <w:r>
          <w:rPr>
            <w:rFonts w:ascii="IRNazanin" w:hAnsi="IRNazanin" w:eastAsia="IRNazanin" w:cs="IRNazanin"/>
            <w:color w:val="111111"/>
            <w:sz w:val="22"/>
            <w:szCs w:val="22"/>
            <w:b w:val="0"/>
            <w:bCs w:val="0"/>
            <w:i w:val="0"/>
            <w:iCs w:val="0"/>
          </w:rPr>
          <w:t>5575- دیوان فریب أصفهانی‏</w:t>
        </w:r>
        <w:r>
          <w:tab/>
        </w:r>
        <w:r>
          <w:fldChar w:fldCharType="begin"/>
        </w:r>
        <w:r>
          <w:instrText xml:space="preserve">PAGEREF 6071 \h</w:instrText>
        </w:r>
        <w:r>
          <w:fldChar w:fldCharType="end"/>
        </w:r>
      </w:hyperlink>
    </w:p>
    <w:p>
      <w:pPr>
        <w:tabs>
          <w:tab w:val="right" w:leader="dot" w:pos="9062"/>
        </w:tabs>
        <w:ind w:left="440"/>
      </w:pPr>
      <w:hyperlink w:anchor="_Toc6072" w:history="1">
        <w:r>
          <w:rPr>
            <w:rFonts w:ascii="IRNazanin" w:hAnsi="IRNazanin" w:eastAsia="IRNazanin" w:cs="IRNazanin"/>
            <w:color w:val="111111"/>
            <w:sz w:val="22"/>
            <w:szCs w:val="22"/>
            <w:b w:val="0"/>
            <w:bCs w:val="0"/>
            <w:i w:val="0"/>
            <w:iCs w:val="0"/>
          </w:rPr>
          <w:t>5576- دیوان فریب کرمانی أو شعره‏</w:t>
        </w:r>
        <w:r>
          <w:tab/>
        </w:r>
        <w:r>
          <w:fldChar w:fldCharType="begin"/>
        </w:r>
        <w:r>
          <w:instrText xml:space="preserve">PAGEREF 6072 \h</w:instrText>
        </w:r>
        <w:r>
          <w:fldChar w:fldCharType="end"/>
        </w:r>
      </w:hyperlink>
    </w:p>
    <w:p>
      <w:pPr>
        <w:tabs>
          <w:tab w:val="right" w:leader="dot" w:pos="9062"/>
        </w:tabs>
        <w:ind w:left="440"/>
      </w:pPr>
      <w:hyperlink w:anchor="_Toc6073" w:history="1">
        <w:r>
          <w:rPr>
            <w:rFonts w:ascii="IRNazanin" w:hAnsi="IRNazanin" w:eastAsia="IRNazanin" w:cs="IRNazanin"/>
            <w:color w:val="111111"/>
            <w:sz w:val="22"/>
            <w:szCs w:val="22"/>
            <w:b w:val="0"/>
            <w:bCs w:val="0"/>
            <w:i w:val="0"/>
            <w:iCs w:val="0"/>
          </w:rPr>
          <w:t>5577- دیوان فریبی أصفهانی‏</w:t>
        </w:r>
        <w:r>
          <w:tab/>
        </w:r>
        <w:r>
          <w:fldChar w:fldCharType="begin"/>
        </w:r>
        <w:r>
          <w:instrText xml:space="preserve">PAGEREF 6073 \h</w:instrText>
        </w:r>
        <w:r>
          <w:fldChar w:fldCharType="end"/>
        </w:r>
      </w:hyperlink>
    </w:p>
    <w:p>
      <w:pPr>
        <w:tabs>
          <w:tab w:val="right" w:leader="dot" w:pos="9062"/>
        </w:tabs>
        <w:ind w:left="440"/>
      </w:pPr>
      <w:hyperlink w:anchor="_Toc6074" w:history="1">
        <w:r>
          <w:rPr>
            <w:rFonts w:ascii="IRNazanin" w:hAnsi="IRNazanin" w:eastAsia="IRNazanin" w:cs="IRNazanin"/>
            <w:color w:val="111111"/>
            <w:sz w:val="22"/>
            <w:szCs w:val="22"/>
            <w:b w:val="0"/>
            <w:bCs w:val="0"/>
            <w:i w:val="0"/>
            <w:iCs w:val="0"/>
          </w:rPr>
          <w:t>دیوان فریبی أصفهانی‏</w:t>
        </w:r>
        <w:r>
          <w:tab/>
        </w:r>
        <w:r>
          <w:fldChar w:fldCharType="begin"/>
        </w:r>
        <w:r>
          <w:instrText xml:space="preserve">PAGEREF 6074 \h</w:instrText>
        </w:r>
        <w:r>
          <w:fldChar w:fldCharType="end"/>
        </w:r>
      </w:hyperlink>
    </w:p>
    <w:p>
      <w:pPr>
        <w:tabs>
          <w:tab w:val="right" w:leader="dot" w:pos="9062"/>
        </w:tabs>
        <w:ind w:left="440"/>
      </w:pPr>
      <w:hyperlink w:anchor="_Toc6075" w:history="1">
        <w:r>
          <w:rPr>
            <w:rFonts w:ascii="IRNazanin" w:hAnsi="IRNazanin" w:eastAsia="IRNazanin" w:cs="IRNazanin"/>
            <w:color w:val="111111"/>
            <w:sz w:val="22"/>
            <w:szCs w:val="22"/>
            <w:b w:val="0"/>
            <w:bCs w:val="0"/>
            <w:i w:val="0"/>
            <w:iCs w:val="0"/>
          </w:rPr>
          <w:t>دیوان فریبی رازی‏</w:t>
        </w:r>
        <w:r>
          <w:tab/>
        </w:r>
        <w:r>
          <w:fldChar w:fldCharType="begin"/>
        </w:r>
        <w:r>
          <w:instrText xml:space="preserve">PAGEREF 6075 \h</w:instrText>
        </w:r>
        <w:r>
          <w:fldChar w:fldCharType="end"/>
        </w:r>
      </w:hyperlink>
    </w:p>
    <w:p>
      <w:pPr>
        <w:tabs>
          <w:tab w:val="right" w:leader="dot" w:pos="9062"/>
        </w:tabs>
        <w:ind w:left="440"/>
      </w:pPr>
      <w:hyperlink w:anchor="_Toc6076" w:history="1">
        <w:r>
          <w:rPr>
            <w:rFonts w:ascii="IRNazanin" w:hAnsi="IRNazanin" w:eastAsia="IRNazanin" w:cs="IRNazanin"/>
            <w:color w:val="111111"/>
            <w:sz w:val="22"/>
            <w:szCs w:val="22"/>
            <w:b w:val="0"/>
            <w:bCs w:val="0"/>
            <w:i w:val="0"/>
            <w:iCs w:val="0"/>
          </w:rPr>
          <w:t>دیوان فریبی رشتی‏</w:t>
        </w:r>
        <w:r>
          <w:tab/>
        </w:r>
        <w:r>
          <w:fldChar w:fldCharType="begin"/>
        </w:r>
        <w:r>
          <w:instrText xml:space="preserve">PAGEREF 6076 \h</w:instrText>
        </w:r>
        <w:r>
          <w:fldChar w:fldCharType="end"/>
        </w:r>
      </w:hyperlink>
    </w:p>
    <w:p>
      <w:pPr>
        <w:tabs>
          <w:tab w:val="right" w:leader="dot" w:pos="9062"/>
        </w:tabs>
        <w:ind w:left="440"/>
      </w:pPr>
      <w:hyperlink w:anchor="_Toc6077" w:history="1">
        <w:r>
          <w:rPr>
            <w:rFonts w:ascii="IRNazanin" w:hAnsi="IRNazanin" w:eastAsia="IRNazanin" w:cs="IRNazanin"/>
            <w:color w:val="111111"/>
            <w:sz w:val="22"/>
            <w:szCs w:val="22"/>
            <w:b w:val="0"/>
            <w:bCs w:val="0"/>
            <w:i w:val="0"/>
            <w:iCs w:val="0"/>
          </w:rPr>
          <w:t>5578- دیوان فریبی سمنانی‏</w:t>
        </w:r>
        <w:r>
          <w:tab/>
        </w:r>
        <w:r>
          <w:fldChar w:fldCharType="begin"/>
        </w:r>
        <w:r>
          <w:instrText xml:space="preserve">PAGEREF 6077 \h</w:instrText>
        </w:r>
        <w:r>
          <w:fldChar w:fldCharType="end"/>
        </w:r>
      </w:hyperlink>
    </w:p>
    <w:p>
      <w:pPr>
        <w:tabs>
          <w:tab w:val="right" w:leader="dot" w:pos="9062"/>
        </w:tabs>
        <w:ind w:left="440"/>
      </w:pPr>
      <w:hyperlink w:anchor="_Toc6078" w:history="1">
        <w:r>
          <w:rPr>
            <w:rFonts w:ascii="IRNazanin" w:hAnsi="IRNazanin" w:eastAsia="IRNazanin" w:cs="IRNazanin"/>
            <w:color w:val="111111"/>
            <w:sz w:val="22"/>
            <w:szCs w:val="22"/>
            <w:b w:val="0"/>
            <w:bCs w:val="0"/>
            <w:i w:val="0"/>
            <w:iCs w:val="0"/>
          </w:rPr>
          <w:t>دیوان فریبی طهرانی‏</w:t>
        </w:r>
        <w:r>
          <w:tab/>
        </w:r>
        <w:r>
          <w:fldChar w:fldCharType="begin"/>
        </w:r>
        <w:r>
          <w:instrText xml:space="preserve">PAGEREF 6078 \h</w:instrText>
        </w:r>
        <w:r>
          <w:fldChar w:fldCharType="end"/>
        </w:r>
      </w:hyperlink>
    </w:p>
    <w:p>
      <w:pPr>
        <w:tabs>
          <w:tab w:val="right" w:leader="dot" w:pos="9062"/>
        </w:tabs>
        <w:ind w:left="440"/>
      </w:pPr>
      <w:hyperlink w:anchor="_Toc6079" w:history="1">
        <w:r>
          <w:rPr>
            <w:rFonts w:ascii="IRNazanin" w:hAnsi="IRNazanin" w:eastAsia="IRNazanin" w:cs="IRNazanin"/>
            <w:color w:val="111111"/>
            <w:sz w:val="22"/>
            <w:szCs w:val="22"/>
            <w:b w:val="0"/>
            <w:bCs w:val="0"/>
            <w:i w:val="0"/>
            <w:iCs w:val="0"/>
          </w:rPr>
          <w:t>5579- دیوان فریبی کشمیری أو شعره‏</w:t>
        </w:r>
        <w:r>
          <w:tab/>
        </w:r>
        <w:r>
          <w:fldChar w:fldCharType="begin"/>
        </w:r>
        <w:r>
          <w:instrText xml:space="preserve">PAGEREF 6079 \h</w:instrText>
        </w:r>
        <w:r>
          <w:fldChar w:fldCharType="end"/>
        </w:r>
      </w:hyperlink>
    </w:p>
    <w:p>
      <w:pPr>
        <w:tabs>
          <w:tab w:val="right" w:leader="dot" w:pos="9062"/>
        </w:tabs>
        <w:ind w:left="440"/>
      </w:pPr>
      <w:hyperlink w:anchor="_Toc6080" w:history="1">
        <w:r>
          <w:rPr>
            <w:rFonts w:ascii="IRNazanin" w:hAnsi="IRNazanin" w:eastAsia="IRNazanin" w:cs="IRNazanin"/>
            <w:color w:val="111111"/>
            <w:sz w:val="22"/>
            <w:szCs w:val="22"/>
            <w:b w:val="0"/>
            <w:bCs w:val="0"/>
            <w:i w:val="0"/>
            <w:iCs w:val="0"/>
          </w:rPr>
          <w:t>دیوان فرید أحوال‏</w:t>
        </w:r>
        <w:r>
          <w:tab/>
        </w:r>
        <w:r>
          <w:fldChar w:fldCharType="begin"/>
        </w:r>
        <w:r>
          <w:instrText xml:space="preserve">PAGEREF 6080 \h</w:instrText>
        </w:r>
        <w:r>
          <w:fldChar w:fldCharType="end"/>
        </w:r>
      </w:hyperlink>
    </w:p>
    <w:p>
      <w:pPr>
        <w:tabs>
          <w:tab w:val="right" w:leader="dot" w:pos="9062"/>
        </w:tabs>
        <w:ind w:left="440"/>
      </w:pPr>
      <w:hyperlink w:anchor="_Toc6081" w:history="1">
        <w:r>
          <w:rPr>
            <w:rFonts w:ascii="IRNazanin" w:hAnsi="IRNazanin" w:eastAsia="IRNazanin" w:cs="IRNazanin"/>
            <w:color w:val="111111"/>
            <w:sz w:val="22"/>
            <w:szCs w:val="22"/>
            <w:b w:val="0"/>
            <w:bCs w:val="0"/>
            <w:i w:val="0"/>
            <w:iCs w:val="0"/>
          </w:rPr>
          <w:t>5580- دیوان فرید أصفهانی‏</w:t>
        </w:r>
        <w:r>
          <w:tab/>
        </w:r>
        <w:r>
          <w:fldChar w:fldCharType="begin"/>
        </w:r>
        <w:r>
          <w:instrText xml:space="preserve">PAGEREF 6081 \h</w:instrText>
        </w:r>
        <w:r>
          <w:fldChar w:fldCharType="end"/>
        </w:r>
      </w:hyperlink>
    </w:p>
    <w:p>
      <w:pPr>
        <w:tabs>
          <w:tab w:val="right" w:leader="dot" w:pos="9062"/>
        </w:tabs>
        <w:ind w:left="440"/>
      </w:pPr>
      <w:hyperlink w:anchor="_Toc6082" w:history="1">
        <w:r>
          <w:rPr>
            <w:rFonts w:ascii="IRNazanin" w:hAnsi="IRNazanin" w:eastAsia="IRNazanin" w:cs="IRNazanin"/>
            <w:color w:val="111111"/>
            <w:sz w:val="22"/>
            <w:szCs w:val="22"/>
            <w:b w:val="0"/>
            <w:bCs w:val="0"/>
            <w:i w:val="0"/>
            <w:iCs w:val="0"/>
          </w:rPr>
          <w:t>5581- دیوان فرید چالشتری‏</w:t>
        </w:r>
        <w:r>
          <w:tab/>
        </w:r>
        <w:r>
          <w:fldChar w:fldCharType="begin"/>
        </w:r>
        <w:r>
          <w:instrText xml:space="preserve">PAGEREF 6082 \h</w:instrText>
        </w:r>
        <w:r>
          <w:fldChar w:fldCharType="end"/>
        </w:r>
      </w:hyperlink>
    </w:p>
    <w:p>
      <w:pPr>
        <w:tabs>
          <w:tab w:val="right" w:leader="dot" w:pos="9062"/>
        </w:tabs>
        <w:ind w:left="440"/>
      </w:pPr>
      <w:hyperlink w:anchor="_Toc6083" w:history="1">
        <w:r>
          <w:rPr>
            <w:rFonts w:ascii="IRNazanin" w:hAnsi="IRNazanin" w:eastAsia="IRNazanin" w:cs="IRNazanin"/>
            <w:color w:val="111111"/>
            <w:sz w:val="22"/>
            <w:szCs w:val="22"/>
            <w:b w:val="0"/>
            <w:bCs w:val="0"/>
            <w:i w:val="0"/>
            <w:iCs w:val="0"/>
          </w:rPr>
          <w:t>5582- دیوان فرید خراسانی‏</w:t>
        </w:r>
        <w:r>
          <w:tab/>
        </w:r>
        <w:r>
          <w:fldChar w:fldCharType="begin"/>
        </w:r>
        <w:r>
          <w:instrText xml:space="preserve">PAGEREF 6083 \h</w:instrText>
        </w:r>
        <w:r>
          <w:fldChar w:fldCharType="end"/>
        </w:r>
      </w:hyperlink>
    </w:p>
    <w:p>
      <w:pPr>
        <w:tabs>
          <w:tab w:val="right" w:leader="dot" w:pos="9062"/>
        </w:tabs>
        <w:ind w:left="440"/>
      </w:pPr>
      <w:hyperlink w:anchor="_Toc6084" w:history="1">
        <w:r>
          <w:rPr>
            <w:rFonts w:ascii="IRNazanin" w:hAnsi="IRNazanin" w:eastAsia="IRNazanin" w:cs="IRNazanin"/>
            <w:color w:val="111111"/>
            <w:sz w:val="22"/>
            <w:szCs w:val="22"/>
            <w:b w:val="0"/>
            <w:bCs w:val="0"/>
            <w:i w:val="0"/>
            <w:iCs w:val="0"/>
          </w:rPr>
          <w:t>دیوان فرید الدین النیشابوری‏</w:t>
        </w:r>
        <w:r>
          <w:tab/>
        </w:r>
        <w:r>
          <w:fldChar w:fldCharType="begin"/>
        </w:r>
        <w:r>
          <w:instrText xml:space="preserve">PAGEREF 6084 \h</w:instrText>
        </w:r>
        <w:r>
          <w:fldChar w:fldCharType="end"/>
        </w:r>
      </w:hyperlink>
    </w:p>
    <w:p>
      <w:pPr>
        <w:tabs>
          <w:tab w:val="right" w:leader="dot" w:pos="9062"/>
        </w:tabs>
        <w:ind w:left="440"/>
      </w:pPr>
      <w:hyperlink w:anchor="_Toc6085" w:history="1">
        <w:r>
          <w:rPr>
            <w:rFonts w:ascii="IRNazanin" w:hAnsi="IRNazanin" w:eastAsia="IRNazanin" w:cs="IRNazanin"/>
            <w:color w:val="111111"/>
            <w:sz w:val="22"/>
            <w:szCs w:val="22"/>
            <w:b w:val="0"/>
            <w:bCs w:val="0"/>
            <w:i w:val="0"/>
            <w:iCs w:val="0"/>
          </w:rPr>
          <w:t>5583- دیوان فرید دهلوی‏</w:t>
        </w:r>
        <w:r>
          <w:tab/>
        </w:r>
        <w:r>
          <w:fldChar w:fldCharType="begin"/>
        </w:r>
        <w:r>
          <w:instrText xml:space="preserve">PAGEREF 6085 \h</w:instrText>
        </w:r>
        <w:r>
          <w:fldChar w:fldCharType="end"/>
        </w:r>
      </w:hyperlink>
    </w:p>
    <w:p>
      <w:pPr>
        <w:tabs>
          <w:tab w:val="right" w:leader="dot" w:pos="9062"/>
        </w:tabs>
        <w:ind w:left="440"/>
      </w:pPr>
      <w:hyperlink w:anchor="_Toc6086" w:history="1">
        <w:r>
          <w:rPr>
            <w:rFonts w:ascii="IRNazanin" w:hAnsi="IRNazanin" w:eastAsia="IRNazanin" w:cs="IRNazanin"/>
            <w:color w:val="111111"/>
            <w:sz w:val="22"/>
            <w:szCs w:val="22"/>
            <w:b w:val="0"/>
            <w:bCs w:val="0"/>
            <w:i w:val="0"/>
            <w:iCs w:val="0"/>
          </w:rPr>
          <w:t>5584- دیوان فرید فارسی أو شعره‏</w:t>
        </w:r>
        <w:r>
          <w:tab/>
        </w:r>
        <w:r>
          <w:fldChar w:fldCharType="begin"/>
        </w:r>
        <w:r>
          <w:instrText xml:space="preserve">PAGEREF 6086 \h</w:instrText>
        </w:r>
        <w:r>
          <w:fldChar w:fldCharType="end"/>
        </w:r>
      </w:hyperlink>
    </w:p>
    <w:p>
      <w:pPr>
        <w:tabs>
          <w:tab w:val="right" w:leader="dot" w:pos="9062"/>
        </w:tabs>
        <w:ind w:left="440"/>
      </w:pPr>
      <w:hyperlink w:anchor="_Toc6087" w:history="1">
        <w:r>
          <w:rPr>
            <w:rFonts w:ascii="IRNazanin" w:hAnsi="IRNazanin" w:eastAsia="IRNazanin" w:cs="IRNazanin"/>
            <w:color w:val="111111"/>
            <w:sz w:val="22"/>
            <w:szCs w:val="22"/>
            <w:b w:val="0"/>
            <w:bCs w:val="0"/>
            <w:i w:val="0"/>
            <w:iCs w:val="0"/>
          </w:rPr>
          <w:t>دیوان فریدون ترک‏</w:t>
        </w:r>
        <w:r>
          <w:tab/>
        </w:r>
        <w:r>
          <w:fldChar w:fldCharType="begin"/>
        </w:r>
        <w:r>
          <w:instrText xml:space="preserve">PAGEREF 6087 \h</w:instrText>
        </w:r>
        <w:r>
          <w:fldChar w:fldCharType="end"/>
        </w:r>
      </w:hyperlink>
    </w:p>
    <w:p>
      <w:pPr>
        <w:tabs>
          <w:tab w:val="right" w:leader="dot" w:pos="9062"/>
        </w:tabs>
        <w:ind w:left="440"/>
      </w:pPr>
      <w:hyperlink w:anchor="_Toc6088" w:history="1">
        <w:r>
          <w:rPr>
            <w:rFonts w:ascii="IRNazanin" w:hAnsi="IRNazanin" w:eastAsia="IRNazanin" w:cs="IRNazanin"/>
            <w:color w:val="111111"/>
            <w:sz w:val="22"/>
            <w:szCs w:val="22"/>
            <w:b w:val="0"/>
            <w:bCs w:val="0"/>
            <w:i w:val="0"/>
            <w:iCs w:val="0"/>
          </w:rPr>
          <w:t>5585- دیوان فریدون شیرازی أو شعره‏</w:t>
        </w:r>
        <w:r>
          <w:tab/>
        </w:r>
        <w:r>
          <w:fldChar w:fldCharType="begin"/>
        </w:r>
        <w:r>
          <w:instrText xml:space="preserve">PAGEREF 6088 \h</w:instrText>
        </w:r>
        <w:r>
          <w:fldChar w:fldCharType="end"/>
        </w:r>
      </w:hyperlink>
    </w:p>
    <w:p>
      <w:pPr>
        <w:tabs>
          <w:tab w:val="right" w:leader="dot" w:pos="9062"/>
        </w:tabs>
        <w:ind w:left="440"/>
      </w:pPr>
      <w:hyperlink w:anchor="_Toc6089" w:history="1">
        <w:r>
          <w:rPr>
            <w:rFonts w:ascii="IRNazanin" w:hAnsi="IRNazanin" w:eastAsia="IRNazanin" w:cs="IRNazanin"/>
            <w:color w:val="111111"/>
            <w:sz w:val="22"/>
            <w:szCs w:val="22"/>
            <w:b w:val="0"/>
            <w:bCs w:val="0"/>
            <w:i w:val="0"/>
            <w:iCs w:val="0"/>
          </w:rPr>
          <w:t>5586- دیوان فریدون حسین میرزا أو شعره‏</w:t>
        </w:r>
        <w:r>
          <w:tab/>
        </w:r>
        <w:r>
          <w:fldChar w:fldCharType="begin"/>
        </w:r>
        <w:r>
          <w:instrText xml:space="preserve">PAGEREF 6089 \h</w:instrText>
        </w:r>
        <w:r>
          <w:fldChar w:fldCharType="end"/>
        </w:r>
      </w:hyperlink>
    </w:p>
    <w:p>
      <w:pPr>
        <w:tabs>
          <w:tab w:val="right" w:leader="dot" w:pos="9062"/>
        </w:tabs>
        <w:ind w:left="440"/>
      </w:pPr>
      <w:hyperlink w:anchor="_Toc6090" w:history="1">
        <w:r>
          <w:rPr>
            <w:rFonts w:ascii="IRNazanin" w:hAnsi="IRNazanin" w:eastAsia="IRNazanin" w:cs="IRNazanin"/>
            <w:color w:val="111111"/>
            <w:sz w:val="22"/>
            <w:szCs w:val="22"/>
            <w:b w:val="0"/>
            <w:bCs w:val="0"/>
            <w:i w:val="0"/>
            <w:iCs w:val="0"/>
          </w:rPr>
          <w:t>5587- دیوان الفزار أو شعره‏</w:t>
        </w:r>
        <w:r>
          <w:tab/>
        </w:r>
        <w:r>
          <w:fldChar w:fldCharType="begin"/>
        </w:r>
        <w:r>
          <w:instrText xml:space="preserve">PAGEREF 6090 \h</w:instrText>
        </w:r>
        <w:r>
          <w:fldChar w:fldCharType="end"/>
        </w:r>
      </w:hyperlink>
    </w:p>
    <w:p>
      <w:pPr>
        <w:tabs>
          <w:tab w:val="right" w:leader="dot" w:pos="9062"/>
        </w:tabs>
        <w:ind w:left="440"/>
      </w:pPr>
      <w:hyperlink w:anchor="_Toc6091" w:history="1">
        <w:r>
          <w:rPr>
            <w:rFonts w:ascii="IRNazanin" w:hAnsi="IRNazanin" w:eastAsia="IRNazanin" w:cs="IRNazanin"/>
            <w:color w:val="111111"/>
            <w:sz w:val="22"/>
            <w:szCs w:val="22"/>
            <w:b w:val="0"/>
            <w:bCs w:val="0"/>
            <w:i w:val="0"/>
            <w:iCs w:val="0"/>
          </w:rPr>
          <w:t>5588- دیوان فزونی أسترآبادی‏</w:t>
        </w:r>
        <w:r>
          <w:tab/>
        </w:r>
        <w:r>
          <w:fldChar w:fldCharType="begin"/>
        </w:r>
        <w:r>
          <w:instrText xml:space="preserve">PAGEREF 6091 \h</w:instrText>
        </w:r>
        <w:r>
          <w:fldChar w:fldCharType="end"/>
        </w:r>
      </w:hyperlink>
    </w:p>
    <w:p>
      <w:pPr>
        <w:tabs>
          <w:tab w:val="right" w:leader="dot" w:pos="9062"/>
        </w:tabs>
        <w:ind w:left="440"/>
      </w:pPr>
      <w:hyperlink w:anchor="_Toc6092" w:history="1">
        <w:r>
          <w:rPr>
            <w:rFonts w:ascii="IRNazanin" w:hAnsi="IRNazanin" w:eastAsia="IRNazanin" w:cs="IRNazanin"/>
            <w:color w:val="111111"/>
            <w:sz w:val="22"/>
            <w:szCs w:val="22"/>
            <w:b w:val="0"/>
            <w:bCs w:val="0"/>
            <w:i w:val="0"/>
            <w:iCs w:val="0"/>
          </w:rPr>
          <w:t>دیوان فزونی سبزواری‏</w:t>
        </w:r>
        <w:r>
          <w:tab/>
        </w:r>
        <w:r>
          <w:fldChar w:fldCharType="begin"/>
        </w:r>
        <w:r>
          <w:instrText xml:space="preserve">PAGEREF 6092 \h</w:instrText>
        </w:r>
        <w:r>
          <w:fldChar w:fldCharType="end"/>
        </w:r>
      </w:hyperlink>
    </w:p>
    <w:p>
      <w:pPr>
        <w:tabs>
          <w:tab w:val="right" w:leader="dot" w:pos="9062"/>
        </w:tabs>
        <w:ind w:left="440"/>
      </w:pPr>
      <w:hyperlink w:anchor="_Toc6093" w:history="1">
        <w:r>
          <w:rPr>
            <w:rFonts w:ascii="IRNazanin" w:hAnsi="IRNazanin" w:eastAsia="IRNazanin" w:cs="IRNazanin"/>
            <w:color w:val="111111"/>
            <w:sz w:val="22"/>
            <w:szCs w:val="22"/>
            <w:b w:val="0"/>
            <w:bCs w:val="0"/>
            <w:i w:val="0"/>
            <w:iCs w:val="0"/>
          </w:rPr>
          <w:t>5589- دیوان فزونی سمنانی‏</w:t>
        </w:r>
        <w:r>
          <w:tab/>
        </w:r>
        <w:r>
          <w:fldChar w:fldCharType="begin"/>
        </w:r>
        <w:r>
          <w:instrText xml:space="preserve">PAGEREF 6093 \h</w:instrText>
        </w:r>
        <w:r>
          <w:fldChar w:fldCharType="end"/>
        </w:r>
      </w:hyperlink>
    </w:p>
    <w:p>
      <w:pPr>
        <w:tabs>
          <w:tab w:val="right" w:leader="dot" w:pos="9062"/>
        </w:tabs>
        <w:ind w:left="440"/>
      </w:pPr>
      <w:hyperlink w:anchor="_Toc6094" w:history="1">
        <w:r>
          <w:rPr>
            <w:rFonts w:ascii="IRNazanin" w:hAnsi="IRNazanin" w:eastAsia="IRNazanin" w:cs="IRNazanin"/>
            <w:color w:val="111111"/>
            <w:sz w:val="22"/>
            <w:szCs w:val="22"/>
            <w:b w:val="0"/>
            <w:bCs w:val="0"/>
            <w:i w:val="0"/>
            <w:iCs w:val="0"/>
          </w:rPr>
          <w:t>5590- دیوان فسونی أو شعره‏</w:t>
        </w:r>
        <w:r>
          <w:tab/>
        </w:r>
        <w:r>
          <w:fldChar w:fldCharType="begin"/>
        </w:r>
        <w:r>
          <w:instrText xml:space="preserve">PAGEREF 6094 \h</w:instrText>
        </w:r>
        <w:r>
          <w:fldChar w:fldCharType="end"/>
        </w:r>
      </w:hyperlink>
    </w:p>
    <w:p>
      <w:pPr>
        <w:tabs>
          <w:tab w:val="right" w:leader="dot" w:pos="9062"/>
        </w:tabs>
        <w:ind w:left="440"/>
      </w:pPr>
      <w:hyperlink w:anchor="_Toc6095" w:history="1">
        <w:r>
          <w:rPr>
            <w:rFonts w:ascii="IRNazanin" w:hAnsi="IRNazanin" w:eastAsia="IRNazanin" w:cs="IRNazanin"/>
            <w:color w:val="111111"/>
            <w:sz w:val="22"/>
            <w:szCs w:val="22"/>
            <w:b w:val="0"/>
            <w:bCs w:val="0"/>
            <w:i w:val="0"/>
            <w:iCs w:val="0"/>
          </w:rPr>
          <w:t>5591- دیوان فسونی تبریزی‏</w:t>
        </w:r>
        <w:r>
          <w:tab/>
        </w:r>
        <w:r>
          <w:fldChar w:fldCharType="begin"/>
        </w:r>
        <w:r>
          <w:instrText xml:space="preserve">PAGEREF 6095 \h</w:instrText>
        </w:r>
        <w:r>
          <w:fldChar w:fldCharType="end"/>
        </w:r>
      </w:hyperlink>
    </w:p>
    <w:p>
      <w:pPr>
        <w:tabs>
          <w:tab w:val="right" w:leader="dot" w:pos="9062"/>
        </w:tabs>
        <w:ind w:left="440"/>
      </w:pPr>
      <w:hyperlink w:anchor="_Toc6096" w:history="1">
        <w:r>
          <w:rPr>
            <w:rFonts w:ascii="IRNazanin" w:hAnsi="IRNazanin" w:eastAsia="IRNazanin" w:cs="IRNazanin"/>
            <w:color w:val="111111"/>
            <w:sz w:val="22"/>
            <w:szCs w:val="22"/>
            <w:b w:val="0"/>
            <w:bCs w:val="0"/>
            <w:i w:val="0"/>
            <w:iCs w:val="0"/>
          </w:rPr>
          <w:t>5592- دیوان فسونی یزدی‏</w:t>
        </w:r>
        <w:r>
          <w:tab/>
        </w:r>
        <w:r>
          <w:fldChar w:fldCharType="begin"/>
        </w:r>
        <w:r>
          <w:instrText xml:space="preserve">PAGEREF 6096 \h</w:instrText>
        </w:r>
        <w:r>
          <w:fldChar w:fldCharType="end"/>
        </w:r>
      </w:hyperlink>
    </w:p>
    <w:p>
      <w:pPr>
        <w:tabs>
          <w:tab w:val="right" w:leader="dot" w:pos="9062"/>
        </w:tabs>
        <w:ind w:left="440"/>
      </w:pPr>
      <w:hyperlink w:anchor="_Toc6097" w:history="1">
        <w:r>
          <w:rPr>
            <w:rFonts w:ascii="IRNazanin" w:hAnsi="IRNazanin" w:eastAsia="IRNazanin" w:cs="IRNazanin"/>
            <w:color w:val="111111"/>
            <w:sz w:val="22"/>
            <w:szCs w:val="22"/>
            <w:b w:val="0"/>
            <w:bCs w:val="0"/>
            <w:i w:val="0"/>
            <w:iCs w:val="0"/>
          </w:rPr>
          <w:t>5593- دیوان فصاحت هندی‏</w:t>
        </w:r>
        <w:r>
          <w:tab/>
        </w:r>
        <w:r>
          <w:fldChar w:fldCharType="begin"/>
        </w:r>
        <w:r>
          <w:instrText xml:space="preserve">PAGEREF 6097 \h</w:instrText>
        </w:r>
        <w:r>
          <w:fldChar w:fldCharType="end"/>
        </w:r>
      </w:hyperlink>
    </w:p>
    <w:p>
      <w:pPr>
        <w:tabs>
          <w:tab w:val="right" w:leader="dot" w:pos="9062"/>
        </w:tabs>
        <w:ind w:left="440"/>
      </w:pPr>
      <w:hyperlink w:anchor="_Toc6098" w:history="1">
        <w:r>
          <w:rPr>
            <w:rFonts w:ascii="IRNazanin" w:hAnsi="IRNazanin" w:eastAsia="IRNazanin" w:cs="IRNazanin"/>
            <w:color w:val="111111"/>
            <w:sz w:val="22"/>
            <w:szCs w:val="22"/>
            <w:b w:val="0"/>
            <w:bCs w:val="0"/>
            <w:i w:val="0"/>
            <w:iCs w:val="0"/>
          </w:rPr>
          <w:t>5594- دیوان فصیح أصفهانی‏</w:t>
        </w:r>
        <w:r>
          <w:tab/>
        </w:r>
        <w:r>
          <w:fldChar w:fldCharType="begin"/>
        </w:r>
        <w:r>
          <w:instrText xml:space="preserve">PAGEREF 6098 \h</w:instrText>
        </w:r>
        <w:r>
          <w:fldChar w:fldCharType="end"/>
        </w:r>
      </w:hyperlink>
    </w:p>
    <w:p>
      <w:pPr>
        <w:tabs>
          <w:tab w:val="right" w:leader="dot" w:pos="9062"/>
        </w:tabs>
        <w:ind w:left="440"/>
      </w:pPr>
      <w:hyperlink w:anchor="_Toc6099" w:history="1">
        <w:r>
          <w:rPr>
            <w:rFonts w:ascii="IRNazanin" w:hAnsi="IRNazanin" w:eastAsia="IRNazanin" w:cs="IRNazanin"/>
            <w:color w:val="111111"/>
            <w:sz w:val="22"/>
            <w:szCs w:val="22"/>
            <w:b w:val="0"/>
            <w:bCs w:val="0"/>
            <w:i w:val="0"/>
            <w:iCs w:val="0"/>
          </w:rPr>
          <w:t>5595- دیوان فصیح أصفهانی‏</w:t>
        </w:r>
        <w:r>
          <w:tab/>
        </w:r>
        <w:r>
          <w:fldChar w:fldCharType="begin"/>
        </w:r>
        <w:r>
          <w:instrText xml:space="preserve">PAGEREF 6099 \h</w:instrText>
        </w:r>
        <w:r>
          <w:fldChar w:fldCharType="end"/>
        </w:r>
      </w:hyperlink>
    </w:p>
    <w:p>
      <w:pPr>
        <w:tabs>
          <w:tab w:val="right" w:leader="dot" w:pos="9062"/>
        </w:tabs>
        <w:ind w:left="440"/>
      </w:pPr>
      <w:hyperlink w:anchor="_Toc6100" w:history="1">
        <w:r>
          <w:rPr>
            <w:rFonts w:ascii="IRNazanin" w:hAnsi="IRNazanin" w:eastAsia="IRNazanin" w:cs="IRNazanin"/>
            <w:color w:val="111111"/>
            <w:sz w:val="22"/>
            <w:szCs w:val="22"/>
            <w:b w:val="0"/>
            <w:bCs w:val="0"/>
            <w:i w:val="0"/>
            <w:iCs w:val="0"/>
          </w:rPr>
          <w:t>دیوان فصیح دشت بیاضی‏</w:t>
        </w:r>
        <w:r>
          <w:tab/>
        </w:r>
        <w:r>
          <w:fldChar w:fldCharType="begin"/>
        </w:r>
        <w:r>
          <w:instrText xml:space="preserve">PAGEREF 6100 \h</w:instrText>
        </w:r>
        <w:r>
          <w:fldChar w:fldCharType="end"/>
        </w:r>
      </w:hyperlink>
    </w:p>
    <w:p>
      <w:pPr>
        <w:tabs>
          <w:tab w:val="right" w:leader="dot" w:pos="9062"/>
        </w:tabs>
        <w:ind w:left="440"/>
      </w:pPr>
      <w:hyperlink w:anchor="_Toc6101" w:history="1">
        <w:r>
          <w:rPr>
            <w:rFonts w:ascii="IRNazanin" w:hAnsi="IRNazanin" w:eastAsia="IRNazanin" w:cs="IRNazanin"/>
            <w:color w:val="111111"/>
            <w:sz w:val="22"/>
            <w:szCs w:val="22"/>
            <w:b w:val="0"/>
            <w:bCs w:val="0"/>
            <w:i w:val="0"/>
            <w:iCs w:val="0"/>
          </w:rPr>
          <w:t>دیوان فصیح الزمان فسوی‏</w:t>
        </w:r>
        <w:r>
          <w:tab/>
        </w:r>
        <w:r>
          <w:fldChar w:fldCharType="begin"/>
        </w:r>
        <w:r>
          <w:instrText xml:space="preserve">PAGEREF 6101 \h</w:instrText>
        </w:r>
        <w:r>
          <w:fldChar w:fldCharType="end"/>
        </w:r>
      </w:hyperlink>
    </w:p>
    <w:p>
      <w:pPr>
        <w:tabs>
          <w:tab w:val="right" w:leader="dot" w:pos="9062"/>
        </w:tabs>
        <w:ind w:left="440"/>
      </w:pPr>
      <w:hyperlink w:anchor="_Toc6102" w:history="1">
        <w:r>
          <w:rPr>
            <w:rFonts w:ascii="IRNazanin" w:hAnsi="IRNazanin" w:eastAsia="IRNazanin" w:cs="IRNazanin"/>
            <w:color w:val="111111"/>
            <w:sz w:val="22"/>
            <w:szCs w:val="22"/>
            <w:b w:val="0"/>
            <w:bCs w:val="0"/>
            <w:i w:val="0"/>
            <w:iCs w:val="0"/>
          </w:rPr>
          <w:t>5596- دیوان فصیح لکهنوی‏</w:t>
        </w:r>
        <w:r>
          <w:tab/>
        </w:r>
        <w:r>
          <w:fldChar w:fldCharType="begin"/>
        </w:r>
        <w:r>
          <w:instrText xml:space="preserve">PAGEREF 6102 \h</w:instrText>
        </w:r>
        <w:r>
          <w:fldChar w:fldCharType="end"/>
        </w:r>
      </w:hyperlink>
    </w:p>
    <w:p>
      <w:pPr>
        <w:tabs>
          <w:tab w:val="right" w:leader="dot" w:pos="9062"/>
        </w:tabs>
        <w:ind w:left="440"/>
      </w:pPr>
      <w:hyperlink w:anchor="_Toc6103" w:history="1">
        <w:r>
          <w:rPr>
            <w:rFonts w:ascii="IRNazanin" w:hAnsi="IRNazanin" w:eastAsia="IRNazanin" w:cs="IRNazanin"/>
            <w:color w:val="111111"/>
            <w:sz w:val="22"/>
            <w:szCs w:val="22"/>
            <w:b w:val="0"/>
            <w:bCs w:val="0"/>
            <w:i w:val="0"/>
            <w:iCs w:val="0"/>
          </w:rPr>
          <w:t>دیوان فصیح الملک شیرازی‏</w:t>
        </w:r>
        <w:r>
          <w:tab/>
        </w:r>
        <w:r>
          <w:fldChar w:fldCharType="begin"/>
        </w:r>
        <w:r>
          <w:instrText xml:space="preserve">PAGEREF 6103 \h</w:instrText>
        </w:r>
        <w:r>
          <w:fldChar w:fldCharType="end"/>
        </w:r>
      </w:hyperlink>
    </w:p>
    <w:p>
      <w:pPr>
        <w:tabs>
          <w:tab w:val="right" w:leader="dot" w:pos="9062"/>
        </w:tabs>
        <w:ind w:left="440"/>
      </w:pPr>
      <w:hyperlink w:anchor="_Toc6104" w:history="1">
        <w:r>
          <w:rPr>
            <w:rFonts w:ascii="IRNazanin" w:hAnsi="IRNazanin" w:eastAsia="IRNazanin" w:cs="IRNazanin"/>
            <w:color w:val="111111"/>
            <w:sz w:val="22"/>
            <w:szCs w:val="22"/>
            <w:b w:val="0"/>
            <w:bCs w:val="0"/>
            <w:i w:val="0"/>
            <w:iCs w:val="0"/>
          </w:rPr>
          <w:t>5597- دیوان فصیح هروی‏</w:t>
        </w:r>
        <w:r>
          <w:tab/>
        </w:r>
        <w:r>
          <w:fldChar w:fldCharType="begin"/>
        </w:r>
        <w:r>
          <w:instrText xml:space="preserve">PAGEREF 6104 \h</w:instrText>
        </w:r>
        <w:r>
          <w:fldChar w:fldCharType="end"/>
        </w:r>
      </w:hyperlink>
    </w:p>
    <w:p>
      <w:pPr>
        <w:tabs>
          <w:tab w:val="right" w:leader="dot" w:pos="9062"/>
        </w:tabs>
        <w:ind w:left="440"/>
      </w:pPr>
      <w:hyperlink w:anchor="_Toc6105" w:history="1">
        <w:r>
          <w:rPr>
            <w:rFonts w:ascii="IRNazanin" w:hAnsi="IRNazanin" w:eastAsia="IRNazanin" w:cs="IRNazanin"/>
            <w:color w:val="111111"/>
            <w:sz w:val="22"/>
            <w:szCs w:val="22"/>
            <w:b w:val="0"/>
            <w:bCs w:val="0"/>
            <w:i w:val="0"/>
            <w:iCs w:val="0"/>
          </w:rPr>
          <w:t>5598- دیوان فصیح هروی أو شعره‏</w:t>
        </w:r>
        <w:r>
          <w:tab/>
        </w:r>
        <w:r>
          <w:fldChar w:fldCharType="begin"/>
        </w:r>
        <w:r>
          <w:instrText xml:space="preserve">PAGEREF 6105 \h</w:instrText>
        </w:r>
        <w:r>
          <w:fldChar w:fldCharType="end"/>
        </w:r>
      </w:hyperlink>
    </w:p>
    <w:p>
      <w:pPr>
        <w:tabs>
          <w:tab w:val="right" w:leader="dot" w:pos="9062"/>
        </w:tabs>
        <w:ind w:left="440"/>
      </w:pPr>
      <w:hyperlink w:anchor="_Toc6106" w:history="1">
        <w:r>
          <w:rPr>
            <w:rFonts w:ascii="IRNazanin" w:hAnsi="IRNazanin" w:eastAsia="IRNazanin" w:cs="IRNazanin"/>
            <w:color w:val="111111"/>
            <w:sz w:val="22"/>
            <w:szCs w:val="22"/>
            <w:b w:val="0"/>
            <w:bCs w:val="0"/>
            <w:i w:val="0"/>
            <w:iCs w:val="0"/>
          </w:rPr>
          <w:t>5599- دیوان الفصیحی الأسترآبادی أو شعره‏</w:t>
        </w:r>
        <w:r>
          <w:tab/>
        </w:r>
        <w:r>
          <w:fldChar w:fldCharType="begin"/>
        </w:r>
        <w:r>
          <w:instrText xml:space="preserve">PAGEREF 6106 \h</w:instrText>
        </w:r>
        <w:r>
          <w:fldChar w:fldCharType="end"/>
        </w:r>
      </w:hyperlink>
    </w:p>
    <w:p>
      <w:pPr>
        <w:tabs>
          <w:tab w:val="right" w:leader="dot" w:pos="9062"/>
        </w:tabs>
        <w:ind w:left="440"/>
      </w:pPr>
      <w:hyperlink w:anchor="_Toc6107" w:history="1">
        <w:r>
          <w:rPr>
            <w:rFonts w:ascii="IRNazanin" w:hAnsi="IRNazanin" w:eastAsia="IRNazanin" w:cs="IRNazanin"/>
            <w:color w:val="111111"/>
            <w:sz w:val="22"/>
            <w:szCs w:val="22"/>
            <w:b w:val="0"/>
            <w:bCs w:val="0"/>
            <w:i w:val="0"/>
            <w:iCs w:val="0"/>
          </w:rPr>
          <w:t>5600- دیوان فصیحی تبریزی‏</w:t>
        </w:r>
        <w:r>
          <w:tab/>
        </w:r>
        <w:r>
          <w:fldChar w:fldCharType="begin"/>
        </w:r>
        <w:r>
          <w:instrText xml:space="preserve">PAGEREF 6107 \h</w:instrText>
        </w:r>
        <w:r>
          <w:fldChar w:fldCharType="end"/>
        </w:r>
      </w:hyperlink>
    </w:p>
    <w:p>
      <w:pPr>
        <w:tabs>
          <w:tab w:val="right" w:leader="dot" w:pos="9062"/>
        </w:tabs>
        <w:ind w:left="440"/>
      </w:pPr>
      <w:hyperlink w:anchor="_Toc6108" w:history="1">
        <w:r>
          <w:rPr>
            <w:rFonts w:ascii="IRNazanin" w:hAnsi="IRNazanin" w:eastAsia="IRNazanin" w:cs="IRNazanin"/>
            <w:color w:val="111111"/>
            <w:sz w:val="22"/>
            <w:szCs w:val="22"/>
            <w:b w:val="0"/>
            <w:bCs w:val="0"/>
            <w:i w:val="0"/>
            <w:iCs w:val="0"/>
          </w:rPr>
          <w:t>5601- دیوان فصیحی جرجانی‏</w:t>
        </w:r>
        <w:r>
          <w:tab/>
        </w:r>
        <w:r>
          <w:fldChar w:fldCharType="begin"/>
        </w:r>
        <w:r>
          <w:instrText xml:space="preserve">PAGEREF 6108 \h</w:instrText>
        </w:r>
        <w:r>
          <w:fldChar w:fldCharType="end"/>
        </w:r>
      </w:hyperlink>
    </w:p>
    <w:p>
      <w:pPr>
        <w:tabs>
          <w:tab w:val="right" w:leader="dot" w:pos="9062"/>
        </w:tabs>
        <w:ind w:left="440"/>
      </w:pPr>
      <w:hyperlink w:anchor="_Toc6109" w:history="1">
        <w:r>
          <w:rPr>
            <w:rFonts w:ascii="IRNazanin" w:hAnsi="IRNazanin" w:eastAsia="IRNazanin" w:cs="IRNazanin"/>
            <w:color w:val="111111"/>
            <w:sz w:val="22"/>
            <w:szCs w:val="22"/>
            <w:b w:val="0"/>
            <w:bCs w:val="0"/>
            <w:i w:val="0"/>
            <w:iCs w:val="0"/>
          </w:rPr>
          <w:t>5602- دیوان فصیحی خراسانی‏</w:t>
        </w:r>
        <w:r>
          <w:tab/>
        </w:r>
        <w:r>
          <w:fldChar w:fldCharType="begin"/>
        </w:r>
        <w:r>
          <w:instrText xml:space="preserve">PAGEREF 6109 \h</w:instrText>
        </w:r>
        <w:r>
          <w:fldChar w:fldCharType="end"/>
        </w:r>
      </w:hyperlink>
    </w:p>
    <w:p>
      <w:pPr>
        <w:tabs>
          <w:tab w:val="right" w:leader="dot" w:pos="9062"/>
        </w:tabs>
        <w:ind w:left="440"/>
      </w:pPr>
      <w:hyperlink w:anchor="_Toc6110" w:history="1">
        <w:r>
          <w:rPr>
            <w:rFonts w:ascii="IRNazanin" w:hAnsi="IRNazanin" w:eastAsia="IRNazanin" w:cs="IRNazanin"/>
            <w:color w:val="111111"/>
            <w:sz w:val="22"/>
            <w:szCs w:val="22"/>
            <w:b w:val="0"/>
            <w:bCs w:val="0"/>
            <w:i w:val="0"/>
            <w:iCs w:val="0"/>
          </w:rPr>
          <w:t>دیوان فصیحی هروی‏</w:t>
        </w:r>
        <w:r>
          <w:tab/>
        </w:r>
        <w:r>
          <w:fldChar w:fldCharType="begin"/>
        </w:r>
        <w:r>
          <w:instrText xml:space="preserve">PAGEREF 6110 \h</w:instrText>
        </w:r>
        <w:r>
          <w:fldChar w:fldCharType="end"/>
        </w:r>
      </w:hyperlink>
    </w:p>
    <w:p>
      <w:pPr>
        <w:tabs>
          <w:tab w:val="right" w:leader="dot" w:pos="9062"/>
        </w:tabs>
        <w:ind w:left="440"/>
      </w:pPr>
      <w:hyperlink w:anchor="_Toc6111" w:history="1">
        <w:r>
          <w:rPr>
            <w:rFonts w:ascii="IRNazanin" w:hAnsi="IRNazanin" w:eastAsia="IRNazanin" w:cs="IRNazanin"/>
            <w:color w:val="111111"/>
            <w:sz w:val="22"/>
            <w:szCs w:val="22"/>
            <w:b w:val="0"/>
            <w:bCs w:val="0"/>
            <w:i w:val="0"/>
            <w:iCs w:val="0"/>
          </w:rPr>
          <w:t>5603- دیوان فصیحی یزدی أو شعره‏</w:t>
        </w:r>
        <w:r>
          <w:tab/>
        </w:r>
        <w:r>
          <w:fldChar w:fldCharType="begin"/>
        </w:r>
        <w:r>
          <w:instrText xml:space="preserve">PAGEREF 6111 \h</w:instrText>
        </w:r>
        <w:r>
          <w:fldChar w:fldCharType="end"/>
        </w:r>
      </w:hyperlink>
    </w:p>
    <w:p>
      <w:pPr>
        <w:tabs>
          <w:tab w:val="right" w:leader="dot" w:pos="9062"/>
        </w:tabs>
        <w:ind w:left="440"/>
      </w:pPr>
      <w:hyperlink w:anchor="_Toc6112" w:history="1">
        <w:r>
          <w:rPr>
            <w:rFonts w:ascii="IRNazanin" w:hAnsi="IRNazanin" w:eastAsia="IRNazanin" w:cs="IRNazanin"/>
            <w:color w:val="111111"/>
            <w:sz w:val="22"/>
            <w:szCs w:val="22"/>
            <w:b w:val="0"/>
            <w:bCs w:val="0"/>
            <w:i w:val="0"/>
            <w:iCs w:val="0"/>
          </w:rPr>
          <w:t>5604- دیوان فضائی همدانی أو شعره‏</w:t>
        </w:r>
        <w:r>
          <w:tab/>
        </w:r>
        <w:r>
          <w:fldChar w:fldCharType="begin"/>
        </w:r>
        <w:r>
          <w:instrText xml:space="preserve">PAGEREF 6112 \h</w:instrText>
        </w:r>
        <w:r>
          <w:fldChar w:fldCharType="end"/>
        </w:r>
      </w:hyperlink>
    </w:p>
    <w:p>
      <w:pPr>
        <w:tabs>
          <w:tab w:val="right" w:leader="dot" w:pos="9062"/>
        </w:tabs>
        <w:ind w:left="440"/>
      </w:pPr>
      <w:hyperlink w:anchor="_Toc6113" w:history="1">
        <w:r>
          <w:rPr>
            <w:rFonts w:ascii="IRNazanin" w:hAnsi="IRNazanin" w:eastAsia="IRNazanin" w:cs="IRNazanin"/>
            <w:color w:val="111111"/>
            <w:sz w:val="22"/>
            <w:szCs w:val="22"/>
            <w:b w:val="0"/>
            <w:bCs w:val="0"/>
            <w:i w:val="0"/>
            <w:iCs w:val="0"/>
          </w:rPr>
          <w:t>5604- دیوان فضائی همدانی أو شعره‏</w:t>
        </w:r>
        <w:r>
          <w:tab/>
        </w:r>
        <w:r>
          <w:fldChar w:fldCharType="begin"/>
        </w:r>
        <w:r>
          <w:instrText xml:space="preserve">PAGEREF 6113 \h</w:instrText>
        </w:r>
        <w:r>
          <w:fldChar w:fldCharType="end"/>
        </w:r>
      </w:hyperlink>
    </w:p>
    <w:p>
      <w:pPr>
        <w:tabs>
          <w:tab w:val="right" w:leader="dot" w:pos="9062"/>
        </w:tabs>
        <w:ind w:left="440"/>
      </w:pPr>
      <w:hyperlink w:anchor="_Toc6114" w:history="1">
        <w:r>
          <w:rPr>
            <w:rFonts w:ascii="IRNazanin" w:hAnsi="IRNazanin" w:eastAsia="IRNazanin" w:cs="IRNazanin"/>
            <w:color w:val="111111"/>
            <w:sz w:val="22"/>
            <w:szCs w:val="22"/>
            <w:b w:val="0"/>
            <w:bCs w:val="0"/>
            <w:i w:val="0"/>
            <w:iCs w:val="0"/>
          </w:rPr>
          <w:t>5605- دیوان فضل بن عباس أو شعره‏</w:t>
        </w:r>
        <w:r>
          <w:tab/>
        </w:r>
        <w:r>
          <w:fldChar w:fldCharType="begin"/>
        </w:r>
        <w:r>
          <w:instrText xml:space="preserve">PAGEREF 6114 \h</w:instrText>
        </w:r>
        <w:r>
          <w:fldChar w:fldCharType="end"/>
        </w:r>
      </w:hyperlink>
    </w:p>
    <w:p>
      <w:pPr>
        <w:tabs>
          <w:tab w:val="right" w:leader="dot" w:pos="9062"/>
        </w:tabs>
        <w:ind w:left="440"/>
      </w:pPr>
      <w:hyperlink w:anchor="_Toc6115" w:history="1">
        <w:r>
          <w:rPr>
            <w:rFonts w:ascii="IRNazanin" w:hAnsi="IRNazanin" w:eastAsia="IRNazanin" w:cs="IRNazanin"/>
            <w:color w:val="111111"/>
            <w:sz w:val="22"/>
            <w:szCs w:val="22"/>
            <w:b w:val="0"/>
            <w:bCs w:val="0"/>
            <w:i w:val="0"/>
            <w:iCs w:val="0"/>
          </w:rPr>
          <w:t>5606- دیوان فضل بن عباس أو شعره‏</w:t>
        </w:r>
        <w:r>
          <w:tab/>
        </w:r>
        <w:r>
          <w:fldChar w:fldCharType="begin"/>
        </w:r>
        <w:r>
          <w:instrText xml:space="preserve">PAGEREF 6115 \h</w:instrText>
        </w:r>
        <w:r>
          <w:fldChar w:fldCharType="end"/>
        </w:r>
      </w:hyperlink>
    </w:p>
    <w:p>
      <w:pPr>
        <w:tabs>
          <w:tab w:val="right" w:leader="dot" w:pos="9062"/>
        </w:tabs>
        <w:ind w:left="440"/>
      </w:pPr>
      <w:hyperlink w:anchor="_Toc6116" w:history="1">
        <w:r>
          <w:rPr>
            <w:rFonts w:ascii="IRNazanin" w:hAnsi="IRNazanin" w:eastAsia="IRNazanin" w:cs="IRNazanin"/>
            <w:color w:val="111111"/>
            <w:sz w:val="22"/>
            <w:szCs w:val="22"/>
            <w:b w:val="0"/>
            <w:bCs w:val="0"/>
            <w:i w:val="0"/>
            <w:iCs w:val="0"/>
          </w:rPr>
          <w:t>5607- دیوان فضل بن عتبة أو شعره‏</w:t>
        </w:r>
        <w:r>
          <w:tab/>
        </w:r>
        <w:r>
          <w:fldChar w:fldCharType="begin"/>
        </w:r>
        <w:r>
          <w:instrText xml:space="preserve">PAGEREF 6116 \h</w:instrText>
        </w:r>
        <w:r>
          <w:fldChar w:fldCharType="end"/>
        </w:r>
      </w:hyperlink>
    </w:p>
    <w:p>
      <w:pPr>
        <w:tabs>
          <w:tab w:val="right" w:leader="dot" w:pos="9062"/>
        </w:tabs>
        <w:ind w:left="440"/>
      </w:pPr>
      <w:hyperlink w:anchor="_Toc6117" w:history="1">
        <w:r>
          <w:rPr>
            <w:rFonts w:ascii="IRNazanin" w:hAnsi="IRNazanin" w:eastAsia="IRNazanin" w:cs="IRNazanin"/>
            <w:color w:val="111111"/>
            <w:sz w:val="22"/>
            <w:szCs w:val="22"/>
            <w:b w:val="0"/>
            <w:bCs w:val="0"/>
            <w:i w:val="0"/>
            <w:iCs w:val="0"/>
          </w:rPr>
          <w:t>5608- دیوان فضل خلخالی أو شعره‏</w:t>
        </w:r>
        <w:r>
          <w:tab/>
        </w:r>
        <w:r>
          <w:fldChar w:fldCharType="begin"/>
        </w:r>
        <w:r>
          <w:instrText xml:space="preserve">PAGEREF 6117 \h</w:instrText>
        </w:r>
        <w:r>
          <w:fldChar w:fldCharType="end"/>
        </w:r>
      </w:hyperlink>
    </w:p>
    <w:p>
      <w:pPr>
        <w:tabs>
          <w:tab w:val="right" w:leader="dot" w:pos="9062"/>
        </w:tabs>
        <w:ind w:left="440"/>
      </w:pPr>
      <w:hyperlink w:anchor="_Toc6118" w:history="1">
        <w:r>
          <w:rPr>
            <w:rFonts w:ascii="IRNazanin" w:hAnsi="IRNazanin" w:eastAsia="IRNazanin" w:cs="IRNazanin"/>
            <w:color w:val="111111"/>
            <w:sz w:val="22"/>
            <w:szCs w:val="22"/>
            <w:b w:val="0"/>
            <w:bCs w:val="0"/>
            <w:i w:val="0"/>
            <w:iCs w:val="0"/>
          </w:rPr>
          <w:t>5609- دیوان میرزا فضل علی تبریزی‏</w:t>
        </w:r>
        <w:r>
          <w:tab/>
        </w:r>
        <w:r>
          <w:fldChar w:fldCharType="begin"/>
        </w:r>
        <w:r>
          <w:instrText xml:space="preserve">PAGEREF 6118 \h</w:instrText>
        </w:r>
        <w:r>
          <w:fldChar w:fldCharType="end"/>
        </w:r>
      </w:hyperlink>
    </w:p>
    <w:p>
      <w:pPr>
        <w:tabs>
          <w:tab w:val="right" w:leader="dot" w:pos="9062"/>
        </w:tabs>
        <w:ind w:left="440"/>
      </w:pPr>
      <w:hyperlink w:anchor="_Toc6119" w:history="1">
        <w:r>
          <w:rPr>
            <w:rFonts w:ascii="IRNazanin" w:hAnsi="IRNazanin" w:eastAsia="IRNazanin" w:cs="IRNazanin"/>
            <w:color w:val="111111"/>
            <w:sz w:val="22"/>
            <w:szCs w:val="22"/>
            <w:b w:val="0"/>
            <w:bCs w:val="0"/>
            <w:i w:val="0"/>
            <w:iCs w:val="0"/>
          </w:rPr>
          <w:t>دیوان فضل علی گرجی‏</w:t>
        </w:r>
        <w:r>
          <w:tab/>
        </w:r>
        <w:r>
          <w:fldChar w:fldCharType="begin"/>
        </w:r>
        <w:r>
          <w:instrText xml:space="preserve">PAGEREF 6119 \h</w:instrText>
        </w:r>
        <w:r>
          <w:fldChar w:fldCharType="end"/>
        </w:r>
      </w:hyperlink>
    </w:p>
    <w:p>
      <w:pPr>
        <w:tabs>
          <w:tab w:val="right" w:leader="dot" w:pos="9062"/>
        </w:tabs>
        <w:ind w:left="440"/>
      </w:pPr>
      <w:hyperlink w:anchor="_Toc6120" w:history="1">
        <w:r>
          <w:rPr>
            <w:rFonts w:ascii="IRNazanin" w:hAnsi="IRNazanin" w:eastAsia="IRNazanin" w:cs="IRNazanin"/>
            <w:color w:val="111111"/>
            <w:sz w:val="22"/>
            <w:szCs w:val="22"/>
            <w:b w:val="0"/>
            <w:bCs w:val="0"/>
            <w:i w:val="0"/>
            <w:iCs w:val="0"/>
          </w:rPr>
          <w:t>5610- دیوان فضل علی الإیرانی‏</w:t>
        </w:r>
        <w:r>
          <w:tab/>
        </w:r>
        <w:r>
          <w:fldChar w:fldCharType="begin"/>
        </w:r>
        <w:r>
          <w:instrText xml:space="preserve">PAGEREF 6120 \h</w:instrText>
        </w:r>
        <w:r>
          <w:fldChar w:fldCharType="end"/>
        </w:r>
      </w:hyperlink>
    </w:p>
    <w:p>
      <w:pPr>
        <w:tabs>
          <w:tab w:val="right" w:leader="dot" w:pos="9062"/>
        </w:tabs>
        <w:ind w:left="440"/>
      </w:pPr>
      <w:hyperlink w:anchor="_Toc6121" w:history="1">
        <w:r>
          <w:rPr>
            <w:rFonts w:ascii="IRNazanin" w:hAnsi="IRNazanin" w:eastAsia="IRNazanin" w:cs="IRNazanin"/>
            <w:color w:val="111111"/>
            <w:sz w:val="22"/>
            <w:szCs w:val="22"/>
            <w:b w:val="0"/>
            <w:bCs w:val="0"/>
            <w:i w:val="0"/>
            <w:iCs w:val="0"/>
          </w:rPr>
          <w:t>دیوان فضل الله بن داود</w:t>
        </w:r>
        <w:r>
          <w:tab/>
        </w:r>
        <w:r>
          <w:fldChar w:fldCharType="begin"/>
        </w:r>
        <w:r>
          <w:instrText xml:space="preserve">PAGEREF 6121 \h</w:instrText>
        </w:r>
        <w:r>
          <w:fldChar w:fldCharType="end"/>
        </w:r>
      </w:hyperlink>
    </w:p>
    <w:p>
      <w:pPr>
        <w:tabs>
          <w:tab w:val="right" w:leader="dot" w:pos="9062"/>
        </w:tabs>
        <w:ind w:left="440"/>
      </w:pPr>
      <w:hyperlink w:anchor="_Toc6122" w:history="1">
        <w:r>
          <w:rPr>
            <w:rFonts w:ascii="IRNazanin" w:hAnsi="IRNazanin" w:eastAsia="IRNazanin" w:cs="IRNazanin"/>
            <w:color w:val="111111"/>
            <w:sz w:val="22"/>
            <w:szCs w:val="22"/>
            <w:b w:val="0"/>
            <w:bCs w:val="0"/>
            <w:i w:val="0"/>
            <w:iCs w:val="0"/>
          </w:rPr>
          <w:t>دیوان فضل الله ابن أبی الخیر</w:t>
        </w:r>
        <w:r>
          <w:tab/>
        </w:r>
        <w:r>
          <w:fldChar w:fldCharType="begin"/>
        </w:r>
        <w:r>
          <w:instrText xml:space="preserve">PAGEREF 6122 \h</w:instrText>
        </w:r>
        <w:r>
          <w:fldChar w:fldCharType="end"/>
        </w:r>
      </w:hyperlink>
    </w:p>
    <w:p>
      <w:pPr>
        <w:tabs>
          <w:tab w:val="right" w:leader="dot" w:pos="9062"/>
        </w:tabs>
        <w:ind w:left="440"/>
      </w:pPr>
      <w:hyperlink w:anchor="_Toc6123" w:history="1">
        <w:r>
          <w:rPr>
            <w:rFonts w:ascii="IRNazanin" w:hAnsi="IRNazanin" w:eastAsia="IRNazanin" w:cs="IRNazanin"/>
            <w:color w:val="111111"/>
            <w:sz w:val="22"/>
            <w:szCs w:val="22"/>
            <w:b w:val="0"/>
            <w:bCs w:val="0"/>
            <w:i w:val="0"/>
            <w:iCs w:val="0"/>
          </w:rPr>
          <w:t>دیوان فضل الله أبو اللیثی‏</w:t>
        </w:r>
        <w:r>
          <w:tab/>
        </w:r>
        <w:r>
          <w:fldChar w:fldCharType="begin"/>
        </w:r>
        <w:r>
          <w:instrText xml:space="preserve">PAGEREF 6123 \h</w:instrText>
        </w:r>
        <w:r>
          <w:fldChar w:fldCharType="end"/>
        </w:r>
      </w:hyperlink>
    </w:p>
    <w:p>
      <w:pPr>
        <w:tabs>
          <w:tab w:val="right" w:leader="dot" w:pos="9062"/>
        </w:tabs>
        <w:ind w:left="440"/>
      </w:pPr>
      <w:hyperlink w:anchor="_Toc6124" w:history="1">
        <w:r>
          <w:rPr>
            <w:rFonts w:ascii="IRNazanin" w:hAnsi="IRNazanin" w:eastAsia="IRNazanin" w:cs="IRNazanin"/>
            <w:color w:val="111111"/>
            <w:sz w:val="22"/>
            <w:szCs w:val="22"/>
            <w:b w:val="0"/>
            <w:bCs w:val="0"/>
            <w:i w:val="0"/>
            <w:iCs w:val="0"/>
          </w:rPr>
          <w:t>5611- دیوان فضل الله جمالی أو شعره‏</w:t>
        </w:r>
        <w:r>
          <w:tab/>
        </w:r>
        <w:r>
          <w:fldChar w:fldCharType="begin"/>
        </w:r>
        <w:r>
          <w:instrText xml:space="preserve">PAGEREF 6124 \h</w:instrText>
        </w:r>
        <w:r>
          <w:fldChar w:fldCharType="end"/>
        </w:r>
      </w:hyperlink>
    </w:p>
    <w:p>
      <w:pPr>
        <w:tabs>
          <w:tab w:val="right" w:leader="dot" w:pos="9062"/>
        </w:tabs>
        <w:ind w:left="440"/>
      </w:pPr>
      <w:hyperlink w:anchor="_Toc6125" w:history="1">
        <w:r>
          <w:rPr>
            <w:rFonts w:ascii="IRNazanin" w:hAnsi="IRNazanin" w:eastAsia="IRNazanin" w:cs="IRNazanin"/>
            <w:color w:val="111111"/>
            <w:sz w:val="22"/>
            <w:szCs w:val="22"/>
            <w:b w:val="0"/>
            <w:bCs w:val="0"/>
            <w:i w:val="0"/>
            <w:iCs w:val="0"/>
          </w:rPr>
          <w:t>5612- دیوان فضل الله حروفی‏</w:t>
        </w:r>
        <w:r>
          <w:tab/>
        </w:r>
        <w:r>
          <w:fldChar w:fldCharType="begin"/>
        </w:r>
        <w:r>
          <w:instrText xml:space="preserve">PAGEREF 6125 \h</w:instrText>
        </w:r>
        <w:r>
          <w:fldChar w:fldCharType="end"/>
        </w:r>
      </w:hyperlink>
    </w:p>
    <w:p>
      <w:pPr>
        <w:tabs>
          <w:tab w:val="right" w:leader="dot" w:pos="9062"/>
        </w:tabs>
        <w:ind w:left="440"/>
      </w:pPr>
      <w:hyperlink w:anchor="_Toc6126" w:history="1">
        <w:r>
          <w:rPr>
            <w:rFonts w:ascii="IRNazanin" w:hAnsi="IRNazanin" w:eastAsia="IRNazanin" w:cs="IRNazanin"/>
            <w:color w:val="111111"/>
            <w:sz w:val="22"/>
            <w:szCs w:val="22"/>
            <w:b w:val="0"/>
            <w:bCs w:val="0"/>
            <w:i w:val="0"/>
            <w:iCs w:val="0"/>
          </w:rPr>
          <w:t>دیوان فضل الله الراوندی‏</w:t>
        </w:r>
        <w:r>
          <w:tab/>
        </w:r>
        <w:r>
          <w:fldChar w:fldCharType="begin"/>
        </w:r>
        <w:r>
          <w:instrText xml:space="preserve">PAGEREF 6126 \h</w:instrText>
        </w:r>
        <w:r>
          <w:fldChar w:fldCharType="end"/>
        </w:r>
      </w:hyperlink>
    </w:p>
    <w:p>
      <w:pPr>
        <w:tabs>
          <w:tab w:val="right" w:leader="dot" w:pos="9062"/>
        </w:tabs>
        <w:ind w:left="440"/>
      </w:pPr>
      <w:hyperlink w:anchor="_Toc6127" w:history="1">
        <w:r>
          <w:rPr>
            <w:rFonts w:ascii="IRNazanin" w:hAnsi="IRNazanin" w:eastAsia="IRNazanin" w:cs="IRNazanin"/>
            <w:color w:val="111111"/>
            <w:sz w:val="22"/>
            <w:szCs w:val="22"/>
            <w:b w:val="0"/>
            <w:bCs w:val="0"/>
            <w:i w:val="0"/>
            <w:iCs w:val="0"/>
          </w:rPr>
          <w:t>5613- دیوان فضل الله شیرازی أو شعره‏</w:t>
        </w:r>
        <w:r>
          <w:tab/>
        </w:r>
        <w:r>
          <w:fldChar w:fldCharType="begin"/>
        </w:r>
        <w:r>
          <w:instrText xml:space="preserve">PAGEREF 6127 \h</w:instrText>
        </w:r>
        <w:r>
          <w:fldChar w:fldCharType="end"/>
        </w:r>
      </w:hyperlink>
    </w:p>
    <w:p>
      <w:pPr>
        <w:tabs>
          <w:tab w:val="right" w:leader="dot" w:pos="9062"/>
        </w:tabs>
        <w:ind w:left="440"/>
      </w:pPr>
      <w:hyperlink w:anchor="_Toc6128" w:history="1">
        <w:r>
          <w:rPr>
            <w:rFonts w:ascii="IRNazanin" w:hAnsi="IRNazanin" w:eastAsia="IRNazanin" w:cs="IRNazanin"/>
            <w:color w:val="111111"/>
            <w:sz w:val="22"/>
            <w:szCs w:val="22"/>
            <w:b w:val="0"/>
            <w:bCs w:val="0"/>
            <w:i w:val="0"/>
            <w:iCs w:val="0"/>
          </w:rPr>
          <w:t>5614- دیوان فضل الله سودخری‏</w:t>
        </w:r>
        <w:r>
          <w:tab/>
        </w:r>
        <w:r>
          <w:fldChar w:fldCharType="begin"/>
        </w:r>
        <w:r>
          <w:instrText xml:space="preserve">PAGEREF 6128 \h</w:instrText>
        </w:r>
        <w:r>
          <w:fldChar w:fldCharType="end"/>
        </w:r>
      </w:hyperlink>
    </w:p>
    <w:p>
      <w:pPr>
        <w:tabs>
          <w:tab w:val="right" w:leader="dot" w:pos="9062"/>
        </w:tabs>
        <w:ind w:left="440"/>
      </w:pPr>
      <w:hyperlink w:anchor="_Toc6129" w:history="1">
        <w:r>
          <w:rPr>
            <w:rFonts w:ascii="IRNazanin" w:hAnsi="IRNazanin" w:eastAsia="IRNazanin" w:cs="IRNazanin"/>
            <w:color w:val="111111"/>
            <w:sz w:val="22"/>
            <w:szCs w:val="22"/>
            <w:b w:val="0"/>
            <w:bCs w:val="0"/>
            <w:i w:val="0"/>
            <w:iCs w:val="0"/>
          </w:rPr>
          <w:t>دیوان فضل الله کرمانی‏</w:t>
        </w:r>
        <w:r>
          <w:tab/>
        </w:r>
        <w:r>
          <w:fldChar w:fldCharType="begin"/>
        </w:r>
        <w:r>
          <w:instrText xml:space="preserve">PAGEREF 6129 \h</w:instrText>
        </w:r>
        <w:r>
          <w:fldChar w:fldCharType="end"/>
        </w:r>
      </w:hyperlink>
    </w:p>
    <w:p>
      <w:pPr>
        <w:tabs>
          <w:tab w:val="right" w:leader="dot" w:pos="9062"/>
        </w:tabs>
        <w:ind w:left="440"/>
      </w:pPr>
      <w:hyperlink w:anchor="_Toc6130" w:history="1">
        <w:r>
          <w:rPr>
            <w:rFonts w:ascii="IRNazanin" w:hAnsi="IRNazanin" w:eastAsia="IRNazanin" w:cs="IRNazanin"/>
            <w:color w:val="111111"/>
            <w:sz w:val="22"/>
            <w:szCs w:val="22"/>
            <w:b w:val="0"/>
            <w:bCs w:val="0"/>
            <w:i w:val="0"/>
            <w:iCs w:val="0"/>
          </w:rPr>
          <w:t>5615- دیوان فضل الله گرگانی‏</w:t>
        </w:r>
        <w:r>
          <w:tab/>
        </w:r>
        <w:r>
          <w:fldChar w:fldCharType="begin"/>
        </w:r>
        <w:r>
          <w:instrText xml:space="preserve">PAGEREF 6130 \h</w:instrText>
        </w:r>
        <w:r>
          <w:fldChar w:fldCharType="end"/>
        </w:r>
      </w:hyperlink>
    </w:p>
    <w:p>
      <w:pPr>
        <w:tabs>
          <w:tab w:val="right" w:leader="dot" w:pos="9062"/>
        </w:tabs>
        <w:ind w:left="440"/>
      </w:pPr>
      <w:hyperlink w:anchor="_Toc6131" w:history="1">
        <w:r>
          <w:rPr>
            <w:rFonts w:ascii="IRNazanin" w:hAnsi="IRNazanin" w:eastAsia="IRNazanin" w:cs="IRNazanin"/>
            <w:color w:val="111111"/>
            <w:sz w:val="22"/>
            <w:szCs w:val="22"/>
            <w:b w:val="0"/>
            <w:bCs w:val="0"/>
            <w:i w:val="0"/>
            <w:iCs w:val="0"/>
          </w:rPr>
          <w:t>دیوان فضل الله همدانی‏</w:t>
        </w:r>
        <w:r>
          <w:tab/>
        </w:r>
        <w:r>
          <w:fldChar w:fldCharType="begin"/>
        </w:r>
        <w:r>
          <w:instrText xml:space="preserve">PAGEREF 6131 \h</w:instrText>
        </w:r>
        <w:r>
          <w:fldChar w:fldCharType="end"/>
        </w:r>
      </w:hyperlink>
    </w:p>
    <w:p>
      <w:pPr>
        <w:tabs>
          <w:tab w:val="right" w:leader="dot" w:pos="9062"/>
        </w:tabs>
        <w:ind w:left="440"/>
      </w:pPr>
      <w:hyperlink w:anchor="_Toc6132" w:history="1">
        <w:r>
          <w:rPr>
            <w:rFonts w:ascii="IRNazanin" w:hAnsi="IRNazanin" w:eastAsia="IRNazanin" w:cs="IRNazanin"/>
            <w:color w:val="111111"/>
            <w:sz w:val="22"/>
            <w:szCs w:val="22"/>
            <w:b w:val="0"/>
            <w:bCs w:val="0"/>
            <w:i w:val="0"/>
            <w:iCs w:val="0"/>
          </w:rPr>
          <w:t>5616- دیوان فضلی بغدادی‏</w:t>
        </w:r>
        <w:r>
          <w:tab/>
        </w:r>
        <w:r>
          <w:fldChar w:fldCharType="begin"/>
        </w:r>
        <w:r>
          <w:instrText xml:space="preserve">PAGEREF 6132 \h</w:instrText>
        </w:r>
        <w:r>
          <w:fldChar w:fldCharType="end"/>
        </w:r>
      </w:hyperlink>
    </w:p>
    <w:p>
      <w:pPr>
        <w:tabs>
          <w:tab w:val="right" w:leader="dot" w:pos="9062"/>
        </w:tabs>
        <w:ind w:left="440"/>
      </w:pPr>
      <w:hyperlink w:anchor="_Toc6133" w:history="1">
        <w:r>
          <w:rPr>
            <w:rFonts w:ascii="IRNazanin" w:hAnsi="IRNazanin" w:eastAsia="IRNazanin" w:cs="IRNazanin"/>
            <w:color w:val="111111"/>
            <w:sz w:val="22"/>
            <w:szCs w:val="22"/>
            <w:b w:val="0"/>
            <w:bCs w:val="0"/>
            <w:i w:val="0"/>
            <w:iCs w:val="0"/>
          </w:rPr>
          <w:t>5617- دیوان فضلی جرفادقانی أو شعره‏</w:t>
        </w:r>
        <w:r>
          <w:tab/>
        </w:r>
        <w:r>
          <w:fldChar w:fldCharType="begin"/>
        </w:r>
        <w:r>
          <w:instrText xml:space="preserve">PAGEREF 6133 \h</w:instrText>
        </w:r>
        <w:r>
          <w:fldChar w:fldCharType="end"/>
        </w:r>
      </w:hyperlink>
    </w:p>
    <w:p>
      <w:pPr>
        <w:tabs>
          <w:tab w:val="right" w:leader="dot" w:pos="9062"/>
        </w:tabs>
        <w:ind w:left="440"/>
      </w:pPr>
      <w:hyperlink w:anchor="_Toc6134" w:history="1">
        <w:r>
          <w:rPr>
            <w:rFonts w:ascii="IRNazanin" w:hAnsi="IRNazanin" w:eastAsia="IRNazanin" w:cs="IRNazanin"/>
            <w:color w:val="111111"/>
            <w:sz w:val="22"/>
            <w:szCs w:val="22"/>
            <w:b w:val="0"/>
            <w:bCs w:val="0"/>
            <w:i w:val="0"/>
            <w:iCs w:val="0"/>
          </w:rPr>
          <w:t>5618- دیوان فضلی شبستری‏</w:t>
        </w:r>
        <w:r>
          <w:tab/>
        </w:r>
        <w:r>
          <w:fldChar w:fldCharType="begin"/>
        </w:r>
        <w:r>
          <w:instrText xml:space="preserve">PAGEREF 6134 \h</w:instrText>
        </w:r>
        <w:r>
          <w:fldChar w:fldCharType="end"/>
        </w:r>
      </w:hyperlink>
    </w:p>
    <w:p>
      <w:pPr>
        <w:tabs>
          <w:tab w:val="right" w:leader="dot" w:pos="9062"/>
        </w:tabs>
        <w:ind w:left="440"/>
      </w:pPr>
      <w:hyperlink w:anchor="_Toc6135" w:history="1">
        <w:r>
          <w:rPr>
            <w:rFonts w:ascii="IRNazanin" w:hAnsi="IRNazanin" w:eastAsia="IRNazanin" w:cs="IRNazanin"/>
            <w:color w:val="111111"/>
            <w:sz w:val="22"/>
            <w:szCs w:val="22"/>
            <w:b w:val="0"/>
            <w:bCs w:val="0"/>
            <w:i w:val="0"/>
            <w:iCs w:val="0"/>
          </w:rPr>
          <w:t>5619- دیوان فضلی قزوینی‏</w:t>
        </w:r>
        <w:r>
          <w:tab/>
        </w:r>
        <w:r>
          <w:fldChar w:fldCharType="begin"/>
        </w:r>
        <w:r>
          <w:instrText xml:space="preserve">PAGEREF 6135 \h</w:instrText>
        </w:r>
        <w:r>
          <w:fldChar w:fldCharType="end"/>
        </w:r>
      </w:hyperlink>
    </w:p>
    <w:p>
      <w:pPr>
        <w:tabs>
          <w:tab w:val="right" w:leader="dot" w:pos="9062"/>
        </w:tabs>
        <w:ind w:left="440"/>
      </w:pPr>
      <w:hyperlink w:anchor="_Toc6136" w:history="1">
        <w:r>
          <w:rPr>
            <w:rFonts w:ascii="IRNazanin" w:hAnsi="IRNazanin" w:eastAsia="IRNazanin" w:cs="IRNazanin"/>
            <w:color w:val="111111"/>
            <w:sz w:val="22"/>
            <w:szCs w:val="22"/>
            <w:b w:val="0"/>
            <w:bCs w:val="0"/>
            <w:i w:val="0"/>
            <w:iCs w:val="0"/>
          </w:rPr>
          <w:t>5620- دیوان فضلی هروی أو شعره‏</w:t>
        </w:r>
        <w:r>
          <w:tab/>
        </w:r>
        <w:r>
          <w:fldChar w:fldCharType="begin"/>
        </w:r>
        <w:r>
          <w:instrText xml:space="preserve">PAGEREF 6136 \h</w:instrText>
        </w:r>
        <w:r>
          <w:fldChar w:fldCharType="end"/>
        </w:r>
      </w:hyperlink>
    </w:p>
    <w:p>
      <w:pPr>
        <w:tabs>
          <w:tab w:val="right" w:leader="dot" w:pos="9062"/>
        </w:tabs>
        <w:ind w:left="440"/>
      </w:pPr>
      <w:hyperlink w:anchor="_Toc6137" w:history="1">
        <w:r>
          <w:rPr>
            <w:rFonts w:ascii="IRNazanin" w:hAnsi="IRNazanin" w:eastAsia="IRNazanin" w:cs="IRNazanin"/>
            <w:color w:val="111111"/>
            <w:sz w:val="22"/>
            <w:szCs w:val="22"/>
            <w:b w:val="0"/>
            <w:bCs w:val="0"/>
            <w:i w:val="0"/>
            <w:iCs w:val="0"/>
          </w:rPr>
          <w:t>5621- دیوان فضولی بغدادی‏</w:t>
        </w:r>
        <w:r>
          <w:tab/>
        </w:r>
        <w:r>
          <w:fldChar w:fldCharType="begin"/>
        </w:r>
        <w:r>
          <w:instrText xml:space="preserve">PAGEREF 6137 \h</w:instrText>
        </w:r>
        <w:r>
          <w:fldChar w:fldCharType="end"/>
        </w:r>
      </w:hyperlink>
    </w:p>
    <w:p>
      <w:pPr>
        <w:tabs>
          <w:tab w:val="right" w:leader="dot" w:pos="9062"/>
        </w:tabs>
        <w:ind w:left="440"/>
      </w:pPr>
      <w:hyperlink w:anchor="_Toc6138" w:history="1">
        <w:r>
          <w:rPr>
            <w:rFonts w:ascii="IRNazanin" w:hAnsi="IRNazanin" w:eastAsia="IRNazanin" w:cs="IRNazanin"/>
            <w:color w:val="111111"/>
            <w:sz w:val="22"/>
            <w:szCs w:val="22"/>
            <w:b w:val="0"/>
            <w:bCs w:val="0"/>
            <w:i w:val="0"/>
            <w:iCs w:val="0"/>
          </w:rPr>
          <w:t>5622- دیوان فطرت بروجردی أو شعره‏</w:t>
        </w:r>
        <w:r>
          <w:tab/>
        </w:r>
        <w:r>
          <w:fldChar w:fldCharType="begin"/>
        </w:r>
        <w:r>
          <w:instrText xml:space="preserve">PAGEREF 6138 \h</w:instrText>
        </w:r>
        <w:r>
          <w:fldChar w:fldCharType="end"/>
        </w:r>
      </w:hyperlink>
    </w:p>
    <w:p>
      <w:pPr>
        <w:tabs>
          <w:tab w:val="right" w:leader="dot" w:pos="9062"/>
        </w:tabs>
        <w:ind w:left="440"/>
      </w:pPr>
      <w:hyperlink w:anchor="_Toc6139" w:history="1">
        <w:r>
          <w:rPr>
            <w:rFonts w:ascii="IRNazanin" w:hAnsi="IRNazanin" w:eastAsia="IRNazanin" w:cs="IRNazanin"/>
            <w:color w:val="111111"/>
            <w:sz w:val="22"/>
            <w:szCs w:val="22"/>
            <w:b w:val="0"/>
            <w:bCs w:val="0"/>
            <w:i w:val="0"/>
            <w:iCs w:val="0"/>
          </w:rPr>
          <w:t>5623- دیوان فطرت مشهدی‏</w:t>
        </w:r>
        <w:r>
          <w:tab/>
        </w:r>
        <w:r>
          <w:fldChar w:fldCharType="begin"/>
        </w:r>
        <w:r>
          <w:instrText xml:space="preserve">PAGEREF 6139 \h</w:instrText>
        </w:r>
        <w:r>
          <w:fldChar w:fldCharType="end"/>
        </w:r>
      </w:hyperlink>
    </w:p>
    <w:p>
      <w:pPr>
        <w:tabs>
          <w:tab w:val="right" w:leader="dot" w:pos="9062"/>
        </w:tabs>
        <w:ind w:left="440"/>
      </w:pPr>
      <w:hyperlink w:anchor="_Toc6140" w:history="1">
        <w:r>
          <w:rPr>
            <w:rFonts w:ascii="IRNazanin" w:hAnsi="IRNazanin" w:eastAsia="IRNazanin" w:cs="IRNazanin"/>
            <w:color w:val="111111"/>
            <w:sz w:val="22"/>
            <w:szCs w:val="22"/>
            <w:b w:val="0"/>
            <w:bCs w:val="0"/>
            <w:i w:val="0"/>
            <w:iCs w:val="0"/>
          </w:rPr>
          <w:t>5624- دیوان فطرت نوائی أو شعره‏</w:t>
        </w:r>
        <w:r>
          <w:tab/>
        </w:r>
        <w:r>
          <w:fldChar w:fldCharType="begin"/>
        </w:r>
        <w:r>
          <w:instrText xml:space="preserve">PAGEREF 6140 \h</w:instrText>
        </w:r>
        <w:r>
          <w:fldChar w:fldCharType="end"/>
        </w:r>
      </w:hyperlink>
    </w:p>
    <w:p>
      <w:pPr>
        <w:tabs>
          <w:tab w:val="right" w:leader="dot" w:pos="9062"/>
        </w:tabs>
        <w:ind w:left="440"/>
      </w:pPr>
      <w:hyperlink w:anchor="_Toc6141" w:history="1">
        <w:r>
          <w:rPr>
            <w:rFonts w:ascii="IRNazanin" w:hAnsi="IRNazanin" w:eastAsia="IRNazanin" w:cs="IRNazanin"/>
            <w:color w:val="111111"/>
            <w:sz w:val="22"/>
            <w:szCs w:val="22"/>
            <w:b w:val="0"/>
            <w:bCs w:val="0"/>
            <w:i w:val="0"/>
            <w:iCs w:val="0"/>
          </w:rPr>
          <w:t>5625- دیوان فطری کشمیری‏</w:t>
        </w:r>
        <w:r>
          <w:tab/>
        </w:r>
        <w:r>
          <w:fldChar w:fldCharType="begin"/>
        </w:r>
        <w:r>
          <w:instrText xml:space="preserve">PAGEREF 6141 \h</w:instrText>
        </w:r>
        <w:r>
          <w:fldChar w:fldCharType="end"/>
        </w:r>
      </w:hyperlink>
    </w:p>
    <w:p>
      <w:pPr>
        <w:tabs>
          <w:tab w:val="right" w:leader="dot" w:pos="9062"/>
        </w:tabs>
        <w:ind w:left="440"/>
      </w:pPr>
      <w:hyperlink w:anchor="_Toc6142" w:history="1">
        <w:r>
          <w:rPr>
            <w:rFonts w:ascii="IRNazanin" w:hAnsi="IRNazanin" w:eastAsia="IRNazanin" w:cs="IRNazanin"/>
            <w:color w:val="111111"/>
            <w:sz w:val="22"/>
            <w:szCs w:val="22"/>
            <w:b w:val="0"/>
            <w:bCs w:val="0"/>
            <w:i w:val="0"/>
            <w:iCs w:val="0"/>
          </w:rPr>
          <w:t>5626- دیوان فغانی شاه‏جهان‏آبادی أو شعره‏</w:t>
        </w:r>
        <w:r>
          <w:tab/>
        </w:r>
        <w:r>
          <w:fldChar w:fldCharType="begin"/>
        </w:r>
        <w:r>
          <w:instrText xml:space="preserve">PAGEREF 6142 \h</w:instrText>
        </w:r>
        <w:r>
          <w:fldChar w:fldCharType="end"/>
        </w:r>
      </w:hyperlink>
    </w:p>
    <w:p>
      <w:pPr>
        <w:tabs>
          <w:tab w:val="right" w:leader="dot" w:pos="9062"/>
        </w:tabs>
        <w:ind w:left="440"/>
      </w:pPr>
      <w:hyperlink w:anchor="_Toc6143" w:history="1">
        <w:r>
          <w:rPr>
            <w:rFonts w:ascii="IRNazanin" w:hAnsi="IRNazanin" w:eastAsia="IRNazanin" w:cs="IRNazanin"/>
            <w:color w:val="111111"/>
            <w:sz w:val="22"/>
            <w:szCs w:val="22"/>
            <w:b w:val="0"/>
            <w:bCs w:val="0"/>
            <w:i w:val="0"/>
            <w:iCs w:val="0"/>
          </w:rPr>
          <w:t>5627- دیوان فغانی شیرازی‏</w:t>
        </w:r>
        <w:r>
          <w:tab/>
        </w:r>
        <w:r>
          <w:fldChar w:fldCharType="begin"/>
        </w:r>
        <w:r>
          <w:instrText xml:space="preserve">PAGEREF 6143 \h</w:instrText>
        </w:r>
        <w:r>
          <w:fldChar w:fldCharType="end"/>
        </w:r>
      </w:hyperlink>
    </w:p>
    <w:p>
      <w:pPr>
        <w:tabs>
          <w:tab w:val="right" w:leader="dot" w:pos="9062"/>
        </w:tabs>
        <w:ind w:left="440"/>
      </w:pPr>
      <w:hyperlink w:anchor="_Toc6144" w:history="1">
        <w:r>
          <w:rPr>
            <w:rFonts w:ascii="IRNazanin" w:hAnsi="IRNazanin" w:eastAsia="IRNazanin" w:cs="IRNazanin"/>
            <w:color w:val="111111"/>
            <w:sz w:val="22"/>
            <w:szCs w:val="22"/>
            <w:b w:val="0"/>
            <w:bCs w:val="0"/>
            <w:i w:val="0"/>
            <w:iCs w:val="0"/>
          </w:rPr>
          <w:t>5628- دیوان فغانی کابلی أو شعره‏</w:t>
        </w:r>
        <w:r>
          <w:tab/>
        </w:r>
        <w:r>
          <w:fldChar w:fldCharType="begin"/>
        </w:r>
        <w:r>
          <w:instrText xml:space="preserve">PAGEREF 6144 \h</w:instrText>
        </w:r>
        <w:r>
          <w:fldChar w:fldCharType="end"/>
        </w:r>
      </w:hyperlink>
    </w:p>
    <w:p>
      <w:pPr>
        <w:tabs>
          <w:tab w:val="right" w:leader="dot" w:pos="9062"/>
        </w:tabs>
        <w:ind w:left="440"/>
      </w:pPr>
      <w:hyperlink w:anchor="_Toc6145" w:history="1">
        <w:r>
          <w:rPr>
            <w:rFonts w:ascii="IRNazanin" w:hAnsi="IRNazanin" w:eastAsia="IRNazanin" w:cs="IRNazanin"/>
            <w:color w:val="111111"/>
            <w:sz w:val="22"/>
            <w:szCs w:val="22"/>
            <w:b w:val="0"/>
            <w:bCs w:val="0"/>
            <w:i w:val="0"/>
            <w:iCs w:val="0"/>
          </w:rPr>
          <w:t>دیوان فغانی کرمانی‏</w:t>
        </w:r>
        <w:r>
          <w:tab/>
        </w:r>
        <w:r>
          <w:fldChar w:fldCharType="begin"/>
        </w:r>
        <w:r>
          <w:instrText xml:space="preserve">PAGEREF 6145 \h</w:instrText>
        </w:r>
        <w:r>
          <w:fldChar w:fldCharType="end"/>
        </w:r>
      </w:hyperlink>
    </w:p>
    <w:p>
      <w:pPr>
        <w:tabs>
          <w:tab w:val="right" w:leader="dot" w:pos="9062"/>
        </w:tabs>
        <w:ind w:left="440"/>
      </w:pPr>
      <w:hyperlink w:anchor="_Toc6146" w:history="1">
        <w:r>
          <w:rPr>
            <w:rFonts w:ascii="IRNazanin" w:hAnsi="IRNazanin" w:eastAsia="IRNazanin" w:cs="IRNazanin"/>
            <w:color w:val="111111"/>
            <w:sz w:val="22"/>
            <w:szCs w:val="22"/>
            <w:b w:val="0"/>
            <w:bCs w:val="0"/>
            <w:i w:val="0"/>
            <w:iCs w:val="0"/>
          </w:rPr>
          <w:t>5629- دیوان فغانی کشمیری أو شعره‏</w:t>
        </w:r>
        <w:r>
          <w:tab/>
        </w:r>
        <w:r>
          <w:fldChar w:fldCharType="begin"/>
        </w:r>
        <w:r>
          <w:instrText xml:space="preserve">PAGEREF 6146 \h</w:instrText>
        </w:r>
        <w:r>
          <w:fldChar w:fldCharType="end"/>
        </w:r>
      </w:hyperlink>
    </w:p>
    <w:p>
      <w:pPr>
        <w:tabs>
          <w:tab w:val="right" w:leader="dot" w:pos="9062"/>
        </w:tabs>
        <w:ind w:left="440"/>
      </w:pPr>
      <w:hyperlink w:anchor="_Toc6147" w:history="1">
        <w:r>
          <w:rPr>
            <w:rFonts w:ascii="IRNazanin" w:hAnsi="IRNazanin" w:eastAsia="IRNazanin" w:cs="IRNazanin"/>
            <w:color w:val="111111"/>
            <w:sz w:val="22"/>
            <w:szCs w:val="22"/>
            <w:b w:val="0"/>
            <w:bCs w:val="0"/>
            <w:i w:val="0"/>
            <w:iCs w:val="0"/>
          </w:rPr>
          <w:t>دیوان فغانی میرم‏</w:t>
        </w:r>
        <w:r>
          <w:tab/>
        </w:r>
        <w:r>
          <w:fldChar w:fldCharType="begin"/>
        </w:r>
        <w:r>
          <w:instrText xml:space="preserve">PAGEREF 6147 \h</w:instrText>
        </w:r>
        <w:r>
          <w:fldChar w:fldCharType="end"/>
        </w:r>
      </w:hyperlink>
    </w:p>
    <w:p>
      <w:pPr>
        <w:tabs>
          <w:tab w:val="right" w:leader="dot" w:pos="9062"/>
        </w:tabs>
        <w:ind w:left="440"/>
      </w:pPr>
      <w:hyperlink w:anchor="_Toc6148" w:history="1">
        <w:r>
          <w:rPr>
            <w:rFonts w:ascii="IRNazanin" w:hAnsi="IRNazanin" w:eastAsia="IRNazanin" w:cs="IRNazanin"/>
            <w:color w:val="111111"/>
            <w:sz w:val="22"/>
            <w:szCs w:val="22"/>
            <w:b w:val="0"/>
            <w:bCs w:val="0"/>
            <w:i w:val="0"/>
            <w:iCs w:val="0"/>
          </w:rPr>
          <w:t>5630- دیوان فغفور گیلانی‏</w:t>
        </w:r>
        <w:r>
          <w:tab/>
        </w:r>
        <w:r>
          <w:fldChar w:fldCharType="begin"/>
        </w:r>
        <w:r>
          <w:instrText xml:space="preserve">PAGEREF 6148 \h</w:instrText>
        </w:r>
        <w:r>
          <w:fldChar w:fldCharType="end"/>
        </w:r>
      </w:hyperlink>
    </w:p>
    <w:p>
      <w:pPr>
        <w:tabs>
          <w:tab w:val="right" w:leader="dot" w:pos="9062"/>
        </w:tabs>
        <w:ind w:left="440"/>
      </w:pPr>
      <w:hyperlink w:anchor="_Toc6149" w:history="1">
        <w:r>
          <w:rPr>
            <w:rFonts w:ascii="IRNazanin" w:hAnsi="IRNazanin" w:eastAsia="IRNazanin" w:cs="IRNazanin"/>
            <w:color w:val="111111"/>
            <w:sz w:val="22"/>
            <w:szCs w:val="22"/>
            <w:b w:val="0"/>
            <w:bCs w:val="0"/>
            <w:i w:val="0"/>
            <w:iCs w:val="0"/>
          </w:rPr>
          <w:t>دیوان فغفور لاهیجی‏</w:t>
        </w:r>
        <w:r>
          <w:tab/>
        </w:r>
        <w:r>
          <w:fldChar w:fldCharType="begin"/>
        </w:r>
        <w:r>
          <w:instrText xml:space="preserve">PAGEREF 6149 \h</w:instrText>
        </w:r>
        <w:r>
          <w:fldChar w:fldCharType="end"/>
        </w:r>
      </w:hyperlink>
    </w:p>
    <w:p>
      <w:pPr>
        <w:tabs>
          <w:tab w:val="right" w:leader="dot" w:pos="9062"/>
        </w:tabs>
        <w:ind w:left="440"/>
      </w:pPr>
      <w:hyperlink w:anchor="_Toc6150" w:history="1">
        <w:r>
          <w:rPr>
            <w:rFonts w:ascii="IRNazanin" w:hAnsi="IRNazanin" w:eastAsia="IRNazanin" w:cs="IRNazanin"/>
            <w:color w:val="111111"/>
            <w:sz w:val="22"/>
            <w:szCs w:val="22"/>
            <w:b w:val="0"/>
            <w:bCs w:val="0"/>
            <w:i w:val="0"/>
            <w:iCs w:val="0"/>
          </w:rPr>
          <w:t>دیوان فغفور یزدی‏</w:t>
        </w:r>
        <w:r>
          <w:tab/>
        </w:r>
        <w:r>
          <w:fldChar w:fldCharType="begin"/>
        </w:r>
        <w:r>
          <w:instrText xml:space="preserve">PAGEREF 6150 \h</w:instrText>
        </w:r>
        <w:r>
          <w:fldChar w:fldCharType="end"/>
        </w:r>
      </w:hyperlink>
    </w:p>
    <w:p>
      <w:pPr>
        <w:tabs>
          <w:tab w:val="right" w:leader="dot" w:pos="9062"/>
        </w:tabs>
        <w:ind w:left="440"/>
      </w:pPr>
      <w:hyperlink w:anchor="_Toc6151" w:history="1">
        <w:r>
          <w:rPr>
            <w:rFonts w:ascii="IRNazanin" w:hAnsi="IRNazanin" w:eastAsia="IRNazanin" w:cs="IRNazanin"/>
            <w:color w:val="111111"/>
            <w:sz w:val="22"/>
            <w:szCs w:val="22"/>
            <w:b w:val="0"/>
            <w:bCs w:val="0"/>
            <w:i w:val="0"/>
            <w:iCs w:val="0"/>
          </w:rPr>
          <w:t>5631- دیوان فقیر</w:t>
        </w:r>
        <w:r>
          <w:tab/>
        </w:r>
        <w:r>
          <w:fldChar w:fldCharType="begin"/>
        </w:r>
        <w:r>
          <w:instrText xml:space="preserve">PAGEREF 6151 \h</w:instrText>
        </w:r>
        <w:r>
          <w:fldChar w:fldCharType="end"/>
        </w:r>
      </w:hyperlink>
    </w:p>
    <w:p>
      <w:pPr>
        <w:tabs>
          <w:tab w:val="right" w:leader="dot" w:pos="9062"/>
        </w:tabs>
        <w:ind w:left="440"/>
      </w:pPr>
      <w:hyperlink w:anchor="_Toc6152" w:history="1">
        <w:r>
          <w:rPr>
            <w:rFonts w:ascii="IRNazanin" w:hAnsi="IRNazanin" w:eastAsia="IRNazanin" w:cs="IRNazanin"/>
            <w:color w:val="111111"/>
            <w:sz w:val="22"/>
            <w:szCs w:val="22"/>
            <w:b w:val="0"/>
            <w:bCs w:val="0"/>
            <w:i w:val="0"/>
            <w:iCs w:val="0"/>
          </w:rPr>
          <w:t>5632- دیوان فقیر إصطهباناتی‏</w:t>
        </w:r>
        <w:r>
          <w:tab/>
        </w:r>
        <w:r>
          <w:fldChar w:fldCharType="begin"/>
        </w:r>
        <w:r>
          <w:instrText xml:space="preserve">PAGEREF 6152 \h</w:instrText>
        </w:r>
        <w:r>
          <w:fldChar w:fldCharType="end"/>
        </w:r>
      </w:hyperlink>
    </w:p>
    <w:p>
      <w:pPr>
        <w:tabs>
          <w:tab w:val="right" w:leader="dot" w:pos="9062"/>
        </w:tabs>
        <w:ind w:left="440"/>
      </w:pPr>
      <w:hyperlink w:anchor="_Toc6153" w:history="1">
        <w:r>
          <w:rPr>
            <w:rFonts w:ascii="IRNazanin" w:hAnsi="IRNazanin" w:eastAsia="IRNazanin" w:cs="IRNazanin"/>
            <w:color w:val="111111"/>
            <w:sz w:val="22"/>
            <w:szCs w:val="22"/>
            <w:b w:val="0"/>
            <w:bCs w:val="0"/>
            <w:i w:val="0"/>
            <w:iCs w:val="0"/>
          </w:rPr>
          <w:t>دیوان فقیر الله الله‏آبادی‏</w:t>
        </w:r>
        <w:r>
          <w:tab/>
        </w:r>
        <w:r>
          <w:fldChar w:fldCharType="begin"/>
        </w:r>
        <w:r>
          <w:instrText xml:space="preserve">PAGEREF 6153 \h</w:instrText>
        </w:r>
        <w:r>
          <w:fldChar w:fldCharType="end"/>
        </w:r>
      </w:hyperlink>
    </w:p>
    <w:p>
      <w:pPr>
        <w:tabs>
          <w:tab w:val="right" w:leader="dot" w:pos="9062"/>
        </w:tabs>
        <w:ind w:left="440"/>
      </w:pPr>
      <w:hyperlink w:anchor="_Toc6154" w:history="1">
        <w:r>
          <w:rPr>
            <w:rFonts w:ascii="IRNazanin" w:hAnsi="IRNazanin" w:eastAsia="IRNazanin" w:cs="IRNazanin"/>
            <w:color w:val="111111"/>
            <w:sz w:val="22"/>
            <w:szCs w:val="22"/>
            <w:b w:val="0"/>
            <w:bCs w:val="0"/>
            <w:i w:val="0"/>
            <w:iCs w:val="0"/>
          </w:rPr>
          <w:t>5633- دیوان فقیر بسطامی‏</w:t>
        </w:r>
        <w:r>
          <w:tab/>
        </w:r>
        <w:r>
          <w:fldChar w:fldCharType="begin"/>
        </w:r>
        <w:r>
          <w:instrText xml:space="preserve">PAGEREF 6154 \h</w:instrText>
        </w:r>
        <w:r>
          <w:fldChar w:fldCharType="end"/>
        </w:r>
      </w:hyperlink>
    </w:p>
    <w:p>
      <w:pPr>
        <w:tabs>
          <w:tab w:val="right" w:leader="dot" w:pos="9062"/>
        </w:tabs>
        <w:ind w:left="440"/>
      </w:pPr>
      <w:hyperlink w:anchor="_Toc6155" w:history="1">
        <w:r>
          <w:rPr>
            <w:rFonts w:ascii="IRNazanin" w:hAnsi="IRNazanin" w:eastAsia="IRNazanin" w:cs="IRNazanin"/>
            <w:color w:val="111111"/>
            <w:sz w:val="22"/>
            <w:szCs w:val="22"/>
            <w:b w:val="0"/>
            <w:bCs w:val="0"/>
            <w:i w:val="0"/>
            <w:iCs w:val="0"/>
          </w:rPr>
          <w:t>5634- دیوان فقیر بلگرامی‏</w:t>
        </w:r>
        <w:r>
          <w:tab/>
        </w:r>
        <w:r>
          <w:fldChar w:fldCharType="begin"/>
        </w:r>
        <w:r>
          <w:instrText xml:space="preserve">PAGEREF 6155 \h</w:instrText>
        </w:r>
        <w:r>
          <w:fldChar w:fldCharType="end"/>
        </w:r>
      </w:hyperlink>
    </w:p>
    <w:p>
      <w:pPr>
        <w:tabs>
          <w:tab w:val="right" w:leader="dot" w:pos="9062"/>
        </w:tabs>
        <w:ind w:left="440"/>
      </w:pPr>
      <w:hyperlink w:anchor="_Toc6156" w:history="1">
        <w:r>
          <w:rPr>
            <w:rFonts w:ascii="IRNazanin" w:hAnsi="IRNazanin" w:eastAsia="IRNazanin" w:cs="IRNazanin"/>
            <w:color w:val="111111"/>
            <w:sz w:val="22"/>
            <w:szCs w:val="22"/>
            <w:b w:val="0"/>
            <w:bCs w:val="0"/>
            <w:i w:val="0"/>
            <w:iCs w:val="0"/>
          </w:rPr>
          <w:t>5635- دیوان فقیر جزائری‏</w:t>
        </w:r>
        <w:r>
          <w:tab/>
        </w:r>
        <w:r>
          <w:fldChar w:fldCharType="begin"/>
        </w:r>
        <w:r>
          <w:instrText xml:space="preserve">PAGEREF 6156 \h</w:instrText>
        </w:r>
        <w:r>
          <w:fldChar w:fldCharType="end"/>
        </w:r>
      </w:hyperlink>
    </w:p>
    <w:p>
      <w:pPr>
        <w:tabs>
          <w:tab w:val="right" w:leader="dot" w:pos="9062"/>
        </w:tabs>
        <w:ind w:left="440"/>
      </w:pPr>
      <w:hyperlink w:anchor="_Toc6157" w:history="1">
        <w:r>
          <w:rPr>
            <w:rFonts w:ascii="IRNazanin" w:hAnsi="IRNazanin" w:eastAsia="IRNazanin" w:cs="IRNazanin"/>
            <w:color w:val="111111"/>
            <w:sz w:val="22"/>
            <w:szCs w:val="22"/>
            <w:b w:val="0"/>
            <w:bCs w:val="0"/>
            <w:i w:val="0"/>
            <w:iCs w:val="0"/>
          </w:rPr>
          <w:t>5636- دیوان فقیر دهلوی‏</w:t>
        </w:r>
        <w:r>
          <w:tab/>
        </w:r>
        <w:r>
          <w:fldChar w:fldCharType="begin"/>
        </w:r>
        <w:r>
          <w:instrText xml:space="preserve">PAGEREF 6157 \h</w:instrText>
        </w:r>
        <w:r>
          <w:fldChar w:fldCharType="end"/>
        </w:r>
      </w:hyperlink>
    </w:p>
    <w:p>
      <w:pPr>
        <w:tabs>
          <w:tab w:val="right" w:leader="dot" w:pos="9062"/>
        </w:tabs>
        <w:ind w:left="440"/>
      </w:pPr>
      <w:hyperlink w:anchor="_Toc6158" w:history="1">
        <w:r>
          <w:rPr>
            <w:rFonts w:ascii="IRNazanin" w:hAnsi="IRNazanin" w:eastAsia="IRNazanin" w:cs="IRNazanin"/>
            <w:color w:val="111111"/>
            <w:sz w:val="22"/>
            <w:szCs w:val="22"/>
            <w:b w:val="0"/>
            <w:bCs w:val="0"/>
            <w:i w:val="0"/>
            <w:iCs w:val="0"/>
          </w:rPr>
          <w:t>دیوان فقیر شیرازی‏</w:t>
        </w:r>
        <w:r>
          <w:tab/>
        </w:r>
        <w:r>
          <w:fldChar w:fldCharType="begin"/>
        </w:r>
        <w:r>
          <w:instrText xml:space="preserve">PAGEREF 6158 \h</w:instrText>
        </w:r>
        <w:r>
          <w:fldChar w:fldCharType="end"/>
        </w:r>
      </w:hyperlink>
    </w:p>
    <w:p>
      <w:pPr>
        <w:tabs>
          <w:tab w:val="right" w:leader="dot" w:pos="9062"/>
        </w:tabs>
        <w:ind w:left="440"/>
      </w:pPr>
      <w:hyperlink w:anchor="_Toc6159" w:history="1">
        <w:r>
          <w:rPr>
            <w:rFonts w:ascii="IRNazanin" w:hAnsi="IRNazanin" w:eastAsia="IRNazanin" w:cs="IRNazanin"/>
            <w:color w:val="111111"/>
            <w:sz w:val="22"/>
            <w:szCs w:val="22"/>
            <w:b w:val="0"/>
            <w:bCs w:val="0"/>
            <w:i w:val="0"/>
            <w:iCs w:val="0"/>
          </w:rPr>
          <w:t>5637- دیوان فقیر لاهوری أو شعره‏</w:t>
        </w:r>
        <w:r>
          <w:tab/>
        </w:r>
        <w:r>
          <w:fldChar w:fldCharType="begin"/>
        </w:r>
        <w:r>
          <w:instrText xml:space="preserve">PAGEREF 6159 \h</w:instrText>
        </w:r>
        <w:r>
          <w:fldChar w:fldCharType="end"/>
        </w:r>
      </w:hyperlink>
    </w:p>
    <w:p>
      <w:pPr>
        <w:tabs>
          <w:tab w:val="right" w:leader="dot" w:pos="9062"/>
        </w:tabs>
        <w:ind w:left="440"/>
      </w:pPr>
      <w:hyperlink w:anchor="_Toc6160" w:history="1">
        <w:r>
          <w:rPr>
            <w:rFonts w:ascii="IRNazanin" w:hAnsi="IRNazanin" w:eastAsia="IRNazanin" w:cs="IRNazanin"/>
            <w:color w:val="111111"/>
            <w:sz w:val="22"/>
            <w:szCs w:val="22"/>
            <w:b w:val="0"/>
            <w:bCs w:val="0"/>
            <w:i w:val="0"/>
            <w:iCs w:val="0"/>
          </w:rPr>
          <w:t>5638- دیوان فقیری‏</w:t>
        </w:r>
        <w:r>
          <w:tab/>
        </w:r>
        <w:r>
          <w:fldChar w:fldCharType="begin"/>
        </w:r>
        <w:r>
          <w:instrText xml:space="preserve">PAGEREF 6160 \h</w:instrText>
        </w:r>
        <w:r>
          <w:fldChar w:fldCharType="end"/>
        </w:r>
      </w:hyperlink>
    </w:p>
    <w:p>
      <w:pPr>
        <w:tabs>
          <w:tab w:val="right" w:leader="dot" w:pos="9062"/>
        </w:tabs>
        <w:ind w:left="440"/>
      </w:pPr>
      <w:hyperlink w:anchor="_Toc6161" w:history="1">
        <w:r>
          <w:rPr>
            <w:rFonts w:ascii="IRNazanin" w:hAnsi="IRNazanin" w:eastAsia="IRNazanin" w:cs="IRNazanin"/>
            <w:color w:val="111111"/>
            <w:sz w:val="22"/>
            <w:szCs w:val="22"/>
            <w:b w:val="0"/>
            <w:bCs w:val="0"/>
            <w:i w:val="0"/>
            <w:iCs w:val="0"/>
          </w:rPr>
          <w:t>دیوان فقیری تبریزی‏</w:t>
        </w:r>
        <w:r>
          <w:tab/>
        </w:r>
        <w:r>
          <w:fldChar w:fldCharType="begin"/>
        </w:r>
        <w:r>
          <w:instrText xml:space="preserve">PAGEREF 6161 \h</w:instrText>
        </w:r>
        <w:r>
          <w:fldChar w:fldCharType="end"/>
        </w:r>
      </w:hyperlink>
    </w:p>
    <w:p>
      <w:pPr>
        <w:tabs>
          <w:tab w:val="right" w:leader="dot" w:pos="9062"/>
        </w:tabs>
        <w:ind w:left="440"/>
      </w:pPr>
      <w:hyperlink w:anchor="_Toc6162" w:history="1">
        <w:r>
          <w:rPr>
            <w:rFonts w:ascii="IRNazanin" w:hAnsi="IRNazanin" w:eastAsia="IRNazanin" w:cs="IRNazanin"/>
            <w:color w:val="111111"/>
            <w:sz w:val="22"/>
            <w:szCs w:val="22"/>
            <w:b w:val="0"/>
            <w:bCs w:val="0"/>
            <w:i w:val="0"/>
            <w:iCs w:val="0"/>
          </w:rPr>
          <w:t>5639- دیوان فقیری همدانی أو شعره‏</w:t>
        </w:r>
        <w:r>
          <w:tab/>
        </w:r>
        <w:r>
          <w:fldChar w:fldCharType="begin"/>
        </w:r>
        <w:r>
          <w:instrText xml:space="preserve">PAGEREF 6162 \h</w:instrText>
        </w:r>
        <w:r>
          <w:fldChar w:fldCharType="end"/>
        </w:r>
      </w:hyperlink>
    </w:p>
    <w:p>
      <w:pPr>
        <w:tabs>
          <w:tab w:val="right" w:leader="dot" w:pos="9062"/>
        </w:tabs>
        <w:ind w:left="440"/>
      </w:pPr>
      <w:hyperlink w:anchor="_Toc6163" w:history="1">
        <w:r>
          <w:rPr>
            <w:rFonts w:ascii="IRNazanin" w:hAnsi="IRNazanin" w:eastAsia="IRNazanin" w:cs="IRNazanin"/>
            <w:color w:val="111111"/>
            <w:sz w:val="22"/>
            <w:szCs w:val="22"/>
            <w:b w:val="0"/>
            <w:bCs w:val="0"/>
            <w:i w:val="0"/>
            <w:iCs w:val="0"/>
          </w:rPr>
          <w:t>5640- دیوان فقیه أو شعره‏</w:t>
        </w:r>
        <w:r>
          <w:tab/>
        </w:r>
        <w:r>
          <w:fldChar w:fldCharType="begin"/>
        </w:r>
        <w:r>
          <w:instrText xml:space="preserve">PAGEREF 6163 \h</w:instrText>
        </w:r>
        <w:r>
          <w:fldChar w:fldCharType="end"/>
        </w:r>
      </w:hyperlink>
    </w:p>
    <w:p>
      <w:pPr>
        <w:tabs>
          <w:tab w:val="right" w:leader="dot" w:pos="9062"/>
        </w:tabs>
        <w:ind w:left="440"/>
      </w:pPr>
      <w:hyperlink w:anchor="_Toc6164" w:history="1">
        <w:r>
          <w:rPr>
            <w:rFonts w:ascii="IRNazanin" w:hAnsi="IRNazanin" w:eastAsia="IRNazanin" w:cs="IRNazanin"/>
            <w:color w:val="111111"/>
            <w:sz w:val="22"/>
            <w:szCs w:val="22"/>
            <w:b w:val="0"/>
            <w:bCs w:val="0"/>
            <w:i w:val="0"/>
            <w:iCs w:val="0"/>
          </w:rPr>
          <w:t>5641- دیوان فقیه أصفهانی‏</w:t>
        </w:r>
        <w:r>
          <w:tab/>
        </w:r>
        <w:r>
          <w:fldChar w:fldCharType="begin"/>
        </w:r>
        <w:r>
          <w:instrText xml:space="preserve">PAGEREF 6164 \h</w:instrText>
        </w:r>
        <w:r>
          <w:fldChar w:fldCharType="end"/>
        </w:r>
      </w:hyperlink>
    </w:p>
    <w:p>
      <w:pPr>
        <w:tabs>
          <w:tab w:val="right" w:leader="dot" w:pos="9062"/>
        </w:tabs>
        <w:ind w:left="440"/>
      </w:pPr>
      <w:hyperlink w:anchor="_Toc6165" w:history="1">
        <w:r>
          <w:rPr>
            <w:rFonts w:ascii="IRNazanin" w:hAnsi="IRNazanin" w:eastAsia="IRNazanin" w:cs="IRNazanin"/>
            <w:color w:val="111111"/>
            <w:sz w:val="22"/>
            <w:szCs w:val="22"/>
            <w:b w:val="0"/>
            <w:bCs w:val="0"/>
            <w:i w:val="0"/>
            <w:iCs w:val="0"/>
          </w:rPr>
          <w:t>5642- دیوان فقیهی مروزی أو شعره‏</w:t>
        </w:r>
        <w:r>
          <w:tab/>
        </w:r>
        <w:r>
          <w:fldChar w:fldCharType="begin"/>
        </w:r>
        <w:r>
          <w:instrText xml:space="preserve">PAGEREF 6165 \h</w:instrText>
        </w:r>
        <w:r>
          <w:fldChar w:fldCharType="end"/>
        </w:r>
      </w:hyperlink>
    </w:p>
    <w:p>
      <w:pPr>
        <w:tabs>
          <w:tab w:val="right" w:leader="dot" w:pos="9062"/>
        </w:tabs>
        <w:ind w:left="440"/>
      </w:pPr>
      <w:hyperlink w:anchor="_Toc6166" w:history="1">
        <w:r>
          <w:rPr>
            <w:rFonts w:ascii="IRNazanin" w:hAnsi="IRNazanin" w:eastAsia="IRNazanin" w:cs="IRNazanin"/>
            <w:color w:val="111111"/>
            <w:sz w:val="22"/>
            <w:szCs w:val="22"/>
            <w:b w:val="0"/>
            <w:bCs w:val="0"/>
            <w:i w:val="0"/>
            <w:iCs w:val="0"/>
          </w:rPr>
          <w:t>5643- دیوان فگار شیرازی أو شعره‏</w:t>
        </w:r>
        <w:r>
          <w:tab/>
        </w:r>
        <w:r>
          <w:fldChar w:fldCharType="begin"/>
        </w:r>
        <w:r>
          <w:instrText xml:space="preserve">PAGEREF 6166 \h</w:instrText>
        </w:r>
        <w:r>
          <w:fldChar w:fldCharType="end"/>
        </w:r>
      </w:hyperlink>
    </w:p>
    <w:p>
      <w:pPr>
        <w:tabs>
          <w:tab w:val="right" w:leader="dot" w:pos="9062"/>
        </w:tabs>
        <w:ind w:left="440"/>
      </w:pPr>
      <w:hyperlink w:anchor="_Toc6167" w:history="1">
        <w:r>
          <w:rPr>
            <w:rFonts w:ascii="IRNazanin" w:hAnsi="IRNazanin" w:eastAsia="IRNazanin" w:cs="IRNazanin"/>
            <w:color w:val="111111"/>
            <w:sz w:val="22"/>
            <w:szCs w:val="22"/>
            <w:b w:val="0"/>
            <w:bCs w:val="0"/>
            <w:i w:val="0"/>
            <w:iCs w:val="0"/>
          </w:rPr>
          <w:t>5644- دیوان فگاری سبزواری‏</w:t>
        </w:r>
        <w:r>
          <w:tab/>
        </w:r>
        <w:r>
          <w:fldChar w:fldCharType="begin"/>
        </w:r>
        <w:r>
          <w:instrText xml:space="preserve">PAGEREF 6167 \h</w:instrText>
        </w:r>
        <w:r>
          <w:fldChar w:fldCharType="end"/>
        </w:r>
      </w:hyperlink>
    </w:p>
    <w:p>
      <w:pPr>
        <w:tabs>
          <w:tab w:val="right" w:leader="dot" w:pos="9062"/>
        </w:tabs>
        <w:ind w:left="440"/>
      </w:pPr>
      <w:hyperlink w:anchor="_Toc6168" w:history="1">
        <w:r>
          <w:rPr>
            <w:rFonts w:ascii="IRNazanin" w:hAnsi="IRNazanin" w:eastAsia="IRNazanin" w:cs="IRNazanin"/>
            <w:color w:val="111111"/>
            <w:sz w:val="22"/>
            <w:szCs w:val="22"/>
            <w:b w:val="0"/>
            <w:bCs w:val="0"/>
            <w:i w:val="0"/>
            <w:iCs w:val="0"/>
          </w:rPr>
          <w:t>5645- دیوان فگاری أو شعره‏</w:t>
        </w:r>
        <w:r>
          <w:tab/>
        </w:r>
        <w:r>
          <w:fldChar w:fldCharType="begin"/>
        </w:r>
        <w:r>
          <w:instrText xml:space="preserve">PAGEREF 6168 \h</w:instrText>
        </w:r>
        <w:r>
          <w:fldChar w:fldCharType="end"/>
        </w:r>
      </w:hyperlink>
    </w:p>
    <w:p>
      <w:pPr>
        <w:tabs>
          <w:tab w:val="right" w:leader="dot" w:pos="9062"/>
        </w:tabs>
        <w:ind w:left="440"/>
      </w:pPr>
      <w:hyperlink w:anchor="_Toc6169" w:history="1">
        <w:r>
          <w:rPr>
            <w:rFonts w:ascii="IRNazanin" w:hAnsi="IRNazanin" w:eastAsia="IRNazanin" w:cs="IRNazanin"/>
            <w:color w:val="111111"/>
            <w:sz w:val="22"/>
            <w:szCs w:val="22"/>
            <w:b w:val="0"/>
            <w:bCs w:val="0"/>
            <w:i w:val="0"/>
            <w:iCs w:val="0"/>
          </w:rPr>
          <w:t>5646- دیوان فگاری سمرقندی أو شعره‏</w:t>
        </w:r>
        <w:r>
          <w:tab/>
        </w:r>
        <w:r>
          <w:fldChar w:fldCharType="begin"/>
        </w:r>
        <w:r>
          <w:instrText xml:space="preserve">PAGEREF 6169 \h</w:instrText>
        </w:r>
        <w:r>
          <w:fldChar w:fldCharType="end"/>
        </w:r>
      </w:hyperlink>
    </w:p>
    <w:p>
      <w:pPr>
        <w:tabs>
          <w:tab w:val="right" w:leader="dot" w:pos="9062"/>
        </w:tabs>
        <w:ind w:left="440"/>
      </w:pPr>
      <w:hyperlink w:anchor="_Toc6170" w:history="1">
        <w:r>
          <w:rPr>
            <w:rFonts w:ascii="IRNazanin" w:hAnsi="IRNazanin" w:eastAsia="IRNazanin" w:cs="IRNazanin"/>
            <w:color w:val="111111"/>
            <w:sz w:val="22"/>
            <w:szCs w:val="22"/>
            <w:b w:val="0"/>
            <w:bCs w:val="0"/>
            <w:i w:val="0"/>
            <w:iCs w:val="0"/>
          </w:rPr>
          <w:t>5647- دیوان فکرت‏</w:t>
        </w:r>
        <w:r>
          <w:tab/>
        </w:r>
        <w:r>
          <w:fldChar w:fldCharType="begin"/>
        </w:r>
        <w:r>
          <w:instrText xml:space="preserve">PAGEREF 6170 \h</w:instrText>
        </w:r>
        <w:r>
          <w:fldChar w:fldCharType="end"/>
        </w:r>
      </w:hyperlink>
    </w:p>
    <w:p>
      <w:pPr>
        <w:tabs>
          <w:tab w:val="right" w:leader="dot" w:pos="9062"/>
        </w:tabs>
        <w:ind w:left="440"/>
      </w:pPr>
      <w:hyperlink w:anchor="_Toc6171" w:history="1">
        <w:r>
          <w:rPr>
            <w:rFonts w:ascii="IRNazanin" w:hAnsi="IRNazanin" w:eastAsia="IRNazanin" w:cs="IRNazanin"/>
            <w:color w:val="111111"/>
            <w:sz w:val="22"/>
            <w:szCs w:val="22"/>
            <w:b w:val="0"/>
            <w:bCs w:val="0"/>
            <w:i w:val="0"/>
            <w:iCs w:val="0"/>
          </w:rPr>
          <w:t>5648- دیوان فکرت هندی‏</w:t>
        </w:r>
        <w:r>
          <w:tab/>
        </w:r>
        <w:r>
          <w:fldChar w:fldCharType="begin"/>
        </w:r>
        <w:r>
          <w:instrText xml:space="preserve">PAGEREF 6171 \h</w:instrText>
        </w:r>
        <w:r>
          <w:fldChar w:fldCharType="end"/>
        </w:r>
      </w:hyperlink>
    </w:p>
    <w:p>
      <w:pPr>
        <w:tabs>
          <w:tab w:val="right" w:leader="dot" w:pos="9062"/>
        </w:tabs>
        <w:ind w:left="440"/>
      </w:pPr>
      <w:hyperlink w:anchor="_Toc6172" w:history="1">
        <w:r>
          <w:rPr>
            <w:rFonts w:ascii="IRNazanin" w:hAnsi="IRNazanin" w:eastAsia="IRNazanin" w:cs="IRNazanin"/>
            <w:color w:val="111111"/>
            <w:sz w:val="22"/>
            <w:szCs w:val="22"/>
            <w:b w:val="0"/>
            <w:bCs w:val="0"/>
            <w:i w:val="0"/>
            <w:iCs w:val="0"/>
          </w:rPr>
          <w:t>5649- دیوان فکرت لاریجانی‏</w:t>
        </w:r>
        <w:r>
          <w:tab/>
        </w:r>
        <w:r>
          <w:fldChar w:fldCharType="begin"/>
        </w:r>
        <w:r>
          <w:instrText xml:space="preserve">PAGEREF 6172 \h</w:instrText>
        </w:r>
        <w:r>
          <w:fldChar w:fldCharType="end"/>
        </w:r>
      </w:hyperlink>
    </w:p>
    <w:p>
      <w:pPr>
        <w:tabs>
          <w:tab w:val="right" w:leader="dot" w:pos="9062"/>
        </w:tabs>
        <w:ind w:left="440"/>
      </w:pPr>
      <w:hyperlink w:anchor="_Toc6173" w:history="1">
        <w:r>
          <w:rPr>
            <w:rFonts w:ascii="IRNazanin" w:hAnsi="IRNazanin" w:eastAsia="IRNazanin" w:cs="IRNazanin"/>
            <w:color w:val="111111"/>
            <w:sz w:val="22"/>
            <w:szCs w:val="22"/>
            <w:b w:val="0"/>
            <w:bCs w:val="0"/>
            <w:i w:val="0"/>
            <w:iCs w:val="0"/>
          </w:rPr>
          <w:t>5650- دیوان فکری أردوبادی أو شعره‏</w:t>
        </w:r>
        <w:r>
          <w:tab/>
        </w:r>
        <w:r>
          <w:fldChar w:fldCharType="begin"/>
        </w:r>
        <w:r>
          <w:instrText xml:space="preserve">PAGEREF 6173 \h</w:instrText>
        </w:r>
        <w:r>
          <w:fldChar w:fldCharType="end"/>
        </w:r>
      </w:hyperlink>
    </w:p>
    <w:p>
      <w:pPr>
        <w:tabs>
          <w:tab w:val="right" w:leader="dot" w:pos="9062"/>
        </w:tabs>
        <w:ind w:left="440"/>
      </w:pPr>
      <w:hyperlink w:anchor="_Toc6174" w:history="1">
        <w:r>
          <w:rPr>
            <w:rFonts w:ascii="IRNazanin" w:hAnsi="IRNazanin" w:eastAsia="IRNazanin" w:cs="IRNazanin"/>
            <w:color w:val="111111"/>
            <w:sz w:val="22"/>
            <w:szCs w:val="22"/>
            <w:b w:val="0"/>
            <w:bCs w:val="0"/>
            <w:i w:val="0"/>
            <w:iCs w:val="0"/>
          </w:rPr>
          <w:t>5651- دیوان فکری أسترآبادی أو شعره‏</w:t>
        </w:r>
        <w:r>
          <w:tab/>
        </w:r>
        <w:r>
          <w:fldChar w:fldCharType="begin"/>
        </w:r>
        <w:r>
          <w:instrText xml:space="preserve">PAGEREF 6174 \h</w:instrText>
        </w:r>
        <w:r>
          <w:fldChar w:fldCharType="end"/>
        </w:r>
      </w:hyperlink>
    </w:p>
    <w:p>
      <w:pPr>
        <w:tabs>
          <w:tab w:val="right" w:leader="dot" w:pos="9062"/>
        </w:tabs>
        <w:ind w:left="440"/>
      </w:pPr>
      <w:hyperlink w:anchor="_Toc6175" w:history="1">
        <w:r>
          <w:rPr>
            <w:rFonts w:ascii="IRNazanin" w:hAnsi="IRNazanin" w:eastAsia="IRNazanin" w:cs="IRNazanin"/>
            <w:color w:val="111111"/>
            <w:sz w:val="22"/>
            <w:szCs w:val="22"/>
            <w:b w:val="0"/>
            <w:bCs w:val="0"/>
            <w:i w:val="0"/>
            <w:iCs w:val="0"/>
          </w:rPr>
          <w:t>5652- دیوان فکری أصفهانی أو شعره‏</w:t>
        </w:r>
        <w:r>
          <w:tab/>
        </w:r>
        <w:r>
          <w:fldChar w:fldCharType="begin"/>
        </w:r>
        <w:r>
          <w:instrText xml:space="preserve">PAGEREF 6175 \h</w:instrText>
        </w:r>
        <w:r>
          <w:fldChar w:fldCharType="end"/>
        </w:r>
      </w:hyperlink>
    </w:p>
    <w:p>
      <w:pPr>
        <w:tabs>
          <w:tab w:val="right" w:leader="dot" w:pos="9062"/>
        </w:tabs>
        <w:ind w:left="440"/>
      </w:pPr>
      <w:hyperlink w:anchor="_Toc6176" w:history="1">
        <w:r>
          <w:rPr>
            <w:rFonts w:ascii="IRNazanin" w:hAnsi="IRNazanin" w:eastAsia="IRNazanin" w:cs="IRNazanin"/>
            <w:color w:val="111111"/>
            <w:sz w:val="22"/>
            <w:szCs w:val="22"/>
            <w:b w:val="0"/>
            <w:bCs w:val="0"/>
            <w:i w:val="0"/>
            <w:iCs w:val="0"/>
          </w:rPr>
          <w:t>دیوان فکری دماوندی الرازی‏</w:t>
        </w:r>
        <w:r>
          <w:tab/>
        </w:r>
        <w:r>
          <w:fldChar w:fldCharType="begin"/>
        </w:r>
        <w:r>
          <w:instrText xml:space="preserve">PAGEREF 6176 \h</w:instrText>
        </w:r>
        <w:r>
          <w:fldChar w:fldCharType="end"/>
        </w:r>
      </w:hyperlink>
    </w:p>
    <w:p>
      <w:pPr>
        <w:tabs>
          <w:tab w:val="right" w:leader="dot" w:pos="9062"/>
        </w:tabs>
        <w:ind w:left="440"/>
      </w:pPr>
      <w:hyperlink w:anchor="_Toc6177" w:history="1">
        <w:r>
          <w:rPr>
            <w:rFonts w:ascii="IRNazanin" w:hAnsi="IRNazanin" w:eastAsia="IRNazanin" w:cs="IRNazanin"/>
            <w:color w:val="111111"/>
            <w:sz w:val="22"/>
            <w:szCs w:val="22"/>
            <w:b w:val="0"/>
            <w:bCs w:val="0"/>
            <w:i w:val="0"/>
            <w:iCs w:val="0"/>
          </w:rPr>
          <w:t>دیوان فکری رازی‏</w:t>
        </w:r>
        <w:r>
          <w:tab/>
        </w:r>
        <w:r>
          <w:fldChar w:fldCharType="begin"/>
        </w:r>
        <w:r>
          <w:instrText xml:space="preserve">PAGEREF 6177 \h</w:instrText>
        </w:r>
        <w:r>
          <w:fldChar w:fldCharType="end"/>
        </w:r>
      </w:hyperlink>
    </w:p>
    <w:p>
      <w:pPr>
        <w:tabs>
          <w:tab w:val="right" w:leader="dot" w:pos="9062"/>
        </w:tabs>
        <w:ind w:left="440"/>
      </w:pPr>
      <w:hyperlink w:anchor="_Toc6178" w:history="1">
        <w:r>
          <w:rPr>
            <w:rFonts w:ascii="IRNazanin" w:hAnsi="IRNazanin" w:eastAsia="IRNazanin" w:cs="IRNazanin"/>
            <w:color w:val="111111"/>
            <w:sz w:val="22"/>
            <w:szCs w:val="22"/>
            <w:b w:val="0"/>
            <w:bCs w:val="0"/>
            <w:i w:val="0"/>
            <w:iCs w:val="0"/>
          </w:rPr>
          <w:t>5653- دیوان فکری طالقانی أو شعره‏</w:t>
        </w:r>
        <w:r>
          <w:tab/>
        </w:r>
        <w:r>
          <w:fldChar w:fldCharType="begin"/>
        </w:r>
        <w:r>
          <w:instrText xml:space="preserve">PAGEREF 6178 \h</w:instrText>
        </w:r>
        <w:r>
          <w:fldChar w:fldCharType="end"/>
        </w:r>
      </w:hyperlink>
    </w:p>
    <w:p>
      <w:pPr>
        <w:tabs>
          <w:tab w:val="right" w:leader="dot" w:pos="9062"/>
        </w:tabs>
        <w:ind w:left="440"/>
      </w:pPr>
      <w:hyperlink w:anchor="_Toc6179" w:history="1">
        <w:r>
          <w:rPr>
            <w:rFonts w:ascii="IRNazanin" w:hAnsi="IRNazanin" w:eastAsia="IRNazanin" w:cs="IRNazanin"/>
            <w:color w:val="111111"/>
            <w:sz w:val="22"/>
            <w:szCs w:val="22"/>
            <w:b w:val="0"/>
            <w:bCs w:val="0"/>
            <w:i w:val="0"/>
            <w:iCs w:val="0"/>
          </w:rPr>
          <w:t>5654- دیوان فکری کربلائی أو شعره‏</w:t>
        </w:r>
        <w:r>
          <w:tab/>
        </w:r>
        <w:r>
          <w:fldChar w:fldCharType="begin"/>
        </w:r>
        <w:r>
          <w:instrText xml:space="preserve">PAGEREF 6179 \h</w:instrText>
        </w:r>
        <w:r>
          <w:fldChar w:fldCharType="end"/>
        </w:r>
      </w:hyperlink>
    </w:p>
    <w:p>
      <w:pPr>
        <w:tabs>
          <w:tab w:val="right" w:leader="dot" w:pos="9062"/>
        </w:tabs>
        <w:ind w:left="440"/>
      </w:pPr>
      <w:hyperlink w:anchor="_Toc6180" w:history="1">
        <w:r>
          <w:rPr>
            <w:rFonts w:ascii="IRNazanin" w:hAnsi="IRNazanin" w:eastAsia="IRNazanin" w:cs="IRNazanin"/>
            <w:color w:val="111111"/>
            <w:sz w:val="22"/>
            <w:szCs w:val="22"/>
            <w:b w:val="0"/>
            <w:bCs w:val="0"/>
            <w:i w:val="0"/>
            <w:iCs w:val="0"/>
          </w:rPr>
          <w:t>5655- دیوان فکری مشهدی‏</w:t>
        </w:r>
        <w:r>
          <w:tab/>
        </w:r>
        <w:r>
          <w:fldChar w:fldCharType="begin"/>
        </w:r>
        <w:r>
          <w:instrText xml:space="preserve">PAGEREF 6180 \h</w:instrText>
        </w:r>
        <w:r>
          <w:fldChar w:fldCharType="end"/>
        </w:r>
      </w:hyperlink>
    </w:p>
    <w:p>
      <w:pPr>
        <w:tabs>
          <w:tab w:val="right" w:leader="dot" w:pos="9062"/>
        </w:tabs>
        <w:ind w:left="440"/>
      </w:pPr>
      <w:hyperlink w:anchor="_Toc6181" w:history="1">
        <w:r>
          <w:rPr>
            <w:rFonts w:ascii="IRNazanin" w:hAnsi="IRNazanin" w:eastAsia="IRNazanin" w:cs="IRNazanin"/>
            <w:color w:val="111111"/>
            <w:sz w:val="22"/>
            <w:szCs w:val="22"/>
            <w:b w:val="0"/>
            <w:bCs w:val="0"/>
            <w:i w:val="0"/>
            <w:iCs w:val="0"/>
          </w:rPr>
          <w:t>دیوان فکری نوربخشی الرازی‏</w:t>
        </w:r>
        <w:r>
          <w:tab/>
        </w:r>
        <w:r>
          <w:fldChar w:fldCharType="begin"/>
        </w:r>
        <w:r>
          <w:instrText xml:space="preserve">PAGEREF 6181 \h</w:instrText>
        </w:r>
        <w:r>
          <w:fldChar w:fldCharType="end"/>
        </w:r>
      </w:hyperlink>
    </w:p>
    <w:p>
      <w:pPr>
        <w:tabs>
          <w:tab w:val="right" w:leader="dot" w:pos="9062"/>
        </w:tabs>
        <w:ind w:left="440"/>
      </w:pPr>
      <w:hyperlink w:anchor="_Toc6182" w:history="1">
        <w:r>
          <w:rPr>
            <w:rFonts w:ascii="IRNazanin" w:hAnsi="IRNazanin" w:eastAsia="IRNazanin" w:cs="IRNazanin"/>
            <w:color w:val="111111"/>
            <w:sz w:val="22"/>
            <w:szCs w:val="22"/>
            <w:b w:val="0"/>
            <w:bCs w:val="0"/>
            <w:i w:val="0"/>
            <w:iCs w:val="0"/>
          </w:rPr>
          <w:t>5656- دیوان فلسفی‏</w:t>
        </w:r>
        <w:r>
          <w:tab/>
        </w:r>
        <w:r>
          <w:fldChar w:fldCharType="begin"/>
        </w:r>
        <w:r>
          <w:instrText xml:space="preserve">PAGEREF 6182 \h</w:instrText>
        </w:r>
        <w:r>
          <w:fldChar w:fldCharType="end"/>
        </w:r>
      </w:hyperlink>
    </w:p>
    <w:p>
      <w:pPr>
        <w:tabs>
          <w:tab w:val="right" w:leader="dot" w:pos="9062"/>
        </w:tabs>
        <w:ind w:left="440"/>
      </w:pPr>
      <w:hyperlink w:anchor="_Toc6183" w:history="1">
        <w:r>
          <w:rPr>
            <w:rFonts w:ascii="IRNazanin" w:hAnsi="IRNazanin" w:eastAsia="IRNazanin" w:cs="IRNazanin"/>
            <w:color w:val="111111"/>
            <w:sz w:val="22"/>
            <w:szCs w:val="22"/>
            <w:b w:val="0"/>
            <w:bCs w:val="0"/>
            <w:i w:val="0"/>
            <w:iCs w:val="0"/>
          </w:rPr>
          <w:t>5657- دیوان فلک کاکوروی أو شعره‏</w:t>
        </w:r>
        <w:r>
          <w:tab/>
        </w:r>
        <w:r>
          <w:fldChar w:fldCharType="begin"/>
        </w:r>
        <w:r>
          <w:instrText xml:space="preserve">PAGEREF 6183 \h</w:instrText>
        </w:r>
        <w:r>
          <w:fldChar w:fldCharType="end"/>
        </w:r>
      </w:hyperlink>
    </w:p>
    <w:p>
      <w:pPr>
        <w:tabs>
          <w:tab w:val="right" w:leader="dot" w:pos="9062"/>
        </w:tabs>
        <w:ind w:left="440"/>
      </w:pPr>
      <w:hyperlink w:anchor="_Toc6184" w:history="1">
        <w:r>
          <w:rPr>
            <w:rFonts w:ascii="IRNazanin" w:hAnsi="IRNazanin" w:eastAsia="IRNazanin" w:cs="IRNazanin"/>
            <w:color w:val="111111"/>
            <w:sz w:val="22"/>
            <w:szCs w:val="22"/>
            <w:b w:val="0"/>
            <w:bCs w:val="0"/>
            <w:i w:val="0"/>
            <w:iCs w:val="0"/>
          </w:rPr>
          <w:t>5658- دیوان فلکی شیروانی‏</w:t>
        </w:r>
        <w:r>
          <w:tab/>
        </w:r>
        <w:r>
          <w:fldChar w:fldCharType="begin"/>
        </w:r>
        <w:r>
          <w:instrText xml:space="preserve">PAGEREF 6184 \h</w:instrText>
        </w:r>
        <w:r>
          <w:fldChar w:fldCharType="end"/>
        </w:r>
      </w:hyperlink>
    </w:p>
    <w:p>
      <w:pPr>
        <w:tabs>
          <w:tab w:val="right" w:leader="dot" w:pos="9062"/>
        </w:tabs>
        <w:ind w:left="440"/>
      </w:pPr>
      <w:hyperlink w:anchor="_Toc6185" w:history="1">
        <w:r>
          <w:rPr>
            <w:rFonts w:ascii="IRNazanin" w:hAnsi="IRNazanin" w:eastAsia="IRNazanin" w:cs="IRNazanin"/>
            <w:color w:val="111111"/>
            <w:sz w:val="22"/>
            <w:szCs w:val="22"/>
            <w:b w:val="0"/>
            <w:bCs w:val="0"/>
            <w:i w:val="0"/>
            <w:iCs w:val="0"/>
          </w:rPr>
          <w:t>5659- دیوان فلک یزدی أو شعره‏</w:t>
        </w:r>
        <w:r>
          <w:tab/>
        </w:r>
        <w:r>
          <w:fldChar w:fldCharType="begin"/>
        </w:r>
        <w:r>
          <w:instrText xml:space="preserve">PAGEREF 6185 \h</w:instrText>
        </w:r>
        <w:r>
          <w:fldChar w:fldCharType="end"/>
        </w:r>
      </w:hyperlink>
    </w:p>
    <w:p>
      <w:pPr>
        <w:tabs>
          <w:tab w:val="right" w:leader="dot" w:pos="9062"/>
        </w:tabs>
        <w:ind w:left="440"/>
      </w:pPr>
      <w:hyperlink w:anchor="_Toc6186" w:history="1">
        <w:r>
          <w:rPr>
            <w:rFonts w:ascii="IRNazanin" w:hAnsi="IRNazanin" w:eastAsia="IRNazanin" w:cs="IRNazanin"/>
            <w:color w:val="111111"/>
            <w:sz w:val="22"/>
            <w:szCs w:val="22"/>
            <w:b w:val="0"/>
            <w:bCs w:val="0"/>
            <w:i w:val="0"/>
            <w:iCs w:val="0"/>
          </w:rPr>
          <w:t>5660- دیوان فنای أصفهانی‏</w:t>
        </w:r>
        <w:r>
          <w:tab/>
        </w:r>
        <w:r>
          <w:fldChar w:fldCharType="begin"/>
        </w:r>
        <w:r>
          <w:instrText xml:space="preserve">PAGEREF 6186 \h</w:instrText>
        </w:r>
        <w:r>
          <w:fldChar w:fldCharType="end"/>
        </w:r>
      </w:hyperlink>
    </w:p>
    <w:p>
      <w:pPr>
        <w:tabs>
          <w:tab w:val="right" w:leader="dot" w:pos="9062"/>
        </w:tabs>
        <w:ind w:left="440"/>
      </w:pPr>
      <w:hyperlink w:anchor="_Toc6187" w:history="1">
        <w:r>
          <w:rPr>
            <w:rFonts w:ascii="IRNazanin" w:hAnsi="IRNazanin" w:eastAsia="IRNazanin" w:cs="IRNazanin"/>
            <w:color w:val="111111"/>
            <w:sz w:val="22"/>
            <w:szCs w:val="22"/>
            <w:b w:val="0"/>
            <w:bCs w:val="0"/>
            <w:i w:val="0"/>
            <w:iCs w:val="0"/>
          </w:rPr>
          <w:t>5661- دیوان فنای زرگر أو شعره‏</w:t>
        </w:r>
        <w:r>
          <w:tab/>
        </w:r>
        <w:r>
          <w:fldChar w:fldCharType="begin"/>
        </w:r>
        <w:r>
          <w:instrText xml:space="preserve">PAGEREF 6187 \h</w:instrText>
        </w:r>
        <w:r>
          <w:fldChar w:fldCharType="end"/>
        </w:r>
      </w:hyperlink>
    </w:p>
    <w:p>
      <w:pPr>
        <w:tabs>
          <w:tab w:val="right" w:leader="dot" w:pos="9062"/>
        </w:tabs>
        <w:ind w:left="440"/>
      </w:pPr>
      <w:hyperlink w:anchor="_Toc6188" w:history="1">
        <w:r>
          <w:rPr>
            <w:rFonts w:ascii="IRNazanin" w:hAnsi="IRNazanin" w:eastAsia="IRNazanin" w:cs="IRNazanin"/>
            <w:color w:val="111111"/>
            <w:sz w:val="22"/>
            <w:szCs w:val="22"/>
            <w:b w:val="0"/>
            <w:bCs w:val="0"/>
            <w:i w:val="0"/>
            <w:iCs w:val="0"/>
          </w:rPr>
          <w:t>5662- دیوان فنای زنوزی‏</w:t>
        </w:r>
        <w:r>
          <w:tab/>
        </w:r>
        <w:r>
          <w:fldChar w:fldCharType="begin"/>
        </w:r>
        <w:r>
          <w:instrText xml:space="preserve">PAGEREF 6188 \h</w:instrText>
        </w:r>
        <w:r>
          <w:fldChar w:fldCharType="end"/>
        </w:r>
      </w:hyperlink>
    </w:p>
    <w:p>
      <w:pPr>
        <w:tabs>
          <w:tab w:val="right" w:leader="dot" w:pos="9062"/>
        </w:tabs>
        <w:ind w:left="440"/>
      </w:pPr>
      <w:hyperlink w:anchor="_Toc6189" w:history="1">
        <w:r>
          <w:rPr>
            <w:rFonts w:ascii="IRNazanin" w:hAnsi="IRNazanin" w:eastAsia="IRNazanin" w:cs="IRNazanin"/>
            <w:color w:val="111111"/>
            <w:sz w:val="22"/>
            <w:szCs w:val="22"/>
            <w:b w:val="0"/>
            <w:bCs w:val="0"/>
            <w:i w:val="0"/>
            <w:iCs w:val="0"/>
          </w:rPr>
          <w:t>5663- دیوان فنای کشمیری أو شعره‏</w:t>
        </w:r>
        <w:r>
          <w:tab/>
        </w:r>
        <w:r>
          <w:fldChar w:fldCharType="begin"/>
        </w:r>
        <w:r>
          <w:instrText xml:space="preserve">PAGEREF 6189 \h</w:instrText>
        </w:r>
        <w:r>
          <w:fldChar w:fldCharType="end"/>
        </w:r>
      </w:hyperlink>
    </w:p>
    <w:p>
      <w:pPr>
        <w:tabs>
          <w:tab w:val="right" w:leader="dot" w:pos="9062"/>
        </w:tabs>
        <w:ind w:left="440"/>
      </w:pPr>
      <w:hyperlink w:anchor="_Toc6190" w:history="1">
        <w:r>
          <w:rPr>
            <w:rFonts w:ascii="IRNazanin" w:hAnsi="IRNazanin" w:eastAsia="IRNazanin" w:cs="IRNazanin"/>
            <w:color w:val="111111"/>
            <w:sz w:val="22"/>
            <w:szCs w:val="22"/>
            <w:b w:val="0"/>
            <w:bCs w:val="0"/>
            <w:i w:val="0"/>
            <w:iCs w:val="0"/>
          </w:rPr>
          <w:t>5664- دیوان فنای لنجانی أو شعره‏</w:t>
        </w:r>
        <w:r>
          <w:tab/>
        </w:r>
        <w:r>
          <w:fldChar w:fldCharType="begin"/>
        </w:r>
        <w:r>
          <w:instrText xml:space="preserve">PAGEREF 6190 \h</w:instrText>
        </w:r>
        <w:r>
          <w:fldChar w:fldCharType="end"/>
        </w:r>
      </w:hyperlink>
    </w:p>
    <w:p>
      <w:pPr>
        <w:tabs>
          <w:tab w:val="right" w:leader="dot" w:pos="9062"/>
        </w:tabs>
        <w:ind w:left="440"/>
      </w:pPr>
      <w:hyperlink w:anchor="_Toc6191" w:history="1">
        <w:r>
          <w:rPr>
            <w:rFonts w:ascii="IRNazanin" w:hAnsi="IRNazanin" w:eastAsia="IRNazanin" w:cs="IRNazanin"/>
            <w:color w:val="111111"/>
            <w:sz w:val="22"/>
            <w:szCs w:val="22"/>
            <w:b w:val="0"/>
            <w:bCs w:val="0"/>
            <w:i w:val="0"/>
            <w:iCs w:val="0"/>
          </w:rPr>
          <w:t>5665- دیوان فنای هندی أو شعرها</w:t>
        </w:r>
        <w:r>
          <w:tab/>
        </w:r>
        <w:r>
          <w:fldChar w:fldCharType="begin"/>
        </w:r>
        <w:r>
          <w:instrText xml:space="preserve">PAGEREF 6191 \h</w:instrText>
        </w:r>
        <w:r>
          <w:fldChar w:fldCharType="end"/>
        </w:r>
      </w:hyperlink>
    </w:p>
    <w:p>
      <w:pPr>
        <w:tabs>
          <w:tab w:val="right" w:leader="dot" w:pos="9062"/>
        </w:tabs>
        <w:ind w:left="440"/>
      </w:pPr>
      <w:hyperlink w:anchor="_Toc6192" w:history="1">
        <w:r>
          <w:rPr>
            <w:rFonts w:ascii="IRNazanin" w:hAnsi="IRNazanin" w:eastAsia="IRNazanin" w:cs="IRNazanin"/>
            <w:color w:val="111111"/>
            <w:sz w:val="22"/>
            <w:szCs w:val="22"/>
            <w:b w:val="0"/>
            <w:bCs w:val="0"/>
            <w:i w:val="0"/>
            <w:iCs w:val="0"/>
          </w:rPr>
          <w:t>5666- دیوان فنای هندی أو شعره‏</w:t>
        </w:r>
        <w:r>
          <w:tab/>
        </w:r>
        <w:r>
          <w:fldChar w:fldCharType="begin"/>
        </w:r>
        <w:r>
          <w:instrText xml:space="preserve">PAGEREF 6192 \h</w:instrText>
        </w:r>
        <w:r>
          <w:fldChar w:fldCharType="end"/>
        </w:r>
      </w:hyperlink>
    </w:p>
    <w:p>
      <w:pPr>
        <w:tabs>
          <w:tab w:val="right" w:leader="dot" w:pos="9062"/>
        </w:tabs>
        <w:ind w:left="440"/>
      </w:pPr>
      <w:hyperlink w:anchor="_Toc6193" w:history="1">
        <w:r>
          <w:rPr>
            <w:rFonts w:ascii="IRNazanin" w:hAnsi="IRNazanin" w:eastAsia="IRNazanin" w:cs="IRNazanin"/>
            <w:color w:val="111111"/>
            <w:sz w:val="22"/>
            <w:szCs w:val="22"/>
            <w:b w:val="0"/>
            <w:bCs w:val="0"/>
            <w:i w:val="0"/>
            <w:iCs w:val="0"/>
          </w:rPr>
          <w:t>دیوان فنائی‏</w:t>
        </w:r>
        <w:r>
          <w:tab/>
        </w:r>
        <w:r>
          <w:fldChar w:fldCharType="begin"/>
        </w:r>
        <w:r>
          <w:instrText xml:space="preserve">PAGEREF 6193 \h</w:instrText>
        </w:r>
        <w:r>
          <w:fldChar w:fldCharType="end"/>
        </w:r>
      </w:hyperlink>
    </w:p>
    <w:p>
      <w:pPr>
        <w:tabs>
          <w:tab w:val="right" w:leader="dot" w:pos="9062"/>
        </w:tabs>
        <w:ind w:left="440"/>
      </w:pPr>
      <w:hyperlink w:anchor="_Toc6194" w:history="1">
        <w:r>
          <w:rPr>
            <w:rFonts w:ascii="IRNazanin" w:hAnsi="IRNazanin" w:eastAsia="IRNazanin" w:cs="IRNazanin"/>
            <w:color w:val="111111"/>
            <w:sz w:val="22"/>
            <w:szCs w:val="22"/>
            <w:b w:val="0"/>
            <w:bCs w:val="0"/>
            <w:i w:val="0"/>
            <w:iCs w:val="0"/>
          </w:rPr>
          <w:t>5667- دیوان فنائی أسترآبادی أو شعره‏</w:t>
        </w:r>
        <w:r>
          <w:tab/>
        </w:r>
        <w:r>
          <w:fldChar w:fldCharType="begin"/>
        </w:r>
        <w:r>
          <w:instrText xml:space="preserve">PAGEREF 6194 \h</w:instrText>
        </w:r>
        <w:r>
          <w:fldChar w:fldCharType="end"/>
        </w:r>
      </w:hyperlink>
    </w:p>
    <w:p>
      <w:pPr>
        <w:tabs>
          <w:tab w:val="right" w:leader="dot" w:pos="9062"/>
        </w:tabs>
        <w:ind w:left="440"/>
      </w:pPr>
      <w:hyperlink w:anchor="_Toc6195" w:history="1">
        <w:r>
          <w:rPr>
            <w:rFonts w:ascii="IRNazanin" w:hAnsi="IRNazanin" w:eastAsia="IRNazanin" w:cs="IRNazanin"/>
            <w:color w:val="111111"/>
            <w:sz w:val="22"/>
            <w:szCs w:val="22"/>
            <w:b w:val="0"/>
            <w:bCs w:val="0"/>
            <w:i w:val="0"/>
            <w:iCs w:val="0"/>
          </w:rPr>
          <w:t>5668- دیوان فنائی أسود أو شعره‏</w:t>
        </w:r>
        <w:r>
          <w:tab/>
        </w:r>
        <w:r>
          <w:fldChar w:fldCharType="begin"/>
        </w:r>
        <w:r>
          <w:instrText xml:space="preserve">PAGEREF 6195 \h</w:instrText>
        </w:r>
        <w:r>
          <w:fldChar w:fldCharType="end"/>
        </w:r>
      </w:hyperlink>
    </w:p>
    <w:p>
      <w:pPr>
        <w:tabs>
          <w:tab w:val="right" w:leader="dot" w:pos="9062"/>
        </w:tabs>
        <w:ind w:left="440"/>
      </w:pPr>
      <w:hyperlink w:anchor="_Toc6196" w:history="1">
        <w:r>
          <w:rPr>
            <w:rFonts w:ascii="IRNazanin" w:hAnsi="IRNazanin" w:eastAsia="IRNazanin" w:cs="IRNazanin"/>
            <w:color w:val="111111"/>
            <w:sz w:val="22"/>
            <w:szCs w:val="22"/>
            <w:b w:val="0"/>
            <w:bCs w:val="0"/>
            <w:i w:val="0"/>
            <w:iCs w:val="0"/>
          </w:rPr>
          <w:t>5669- دیوان فنائی أصفهانی أو شعره‏</w:t>
        </w:r>
        <w:r>
          <w:tab/>
        </w:r>
        <w:r>
          <w:fldChar w:fldCharType="begin"/>
        </w:r>
        <w:r>
          <w:instrText xml:space="preserve">PAGEREF 6196 \h</w:instrText>
        </w:r>
        <w:r>
          <w:fldChar w:fldCharType="end"/>
        </w:r>
      </w:hyperlink>
    </w:p>
    <w:p>
      <w:pPr>
        <w:tabs>
          <w:tab w:val="right" w:leader="dot" w:pos="9062"/>
        </w:tabs>
        <w:ind w:left="440"/>
      </w:pPr>
      <w:hyperlink w:anchor="_Toc6197" w:history="1">
        <w:r>
          <w:rPr>
            <w:rFonts w:ascii="IRNazanin" w:hAnsi="IRNazanin" w:eastAsia="IRNazanin" w:cs="IRNazanin"/>
            <w:color w:val="111111"/>
            <w:sz w:val="22"/>
            <w:szCs w:val="22"/>
            <w:b w:val="0"/>
            <w:bCs w:val="0"/>
            <w:i w:val="0"/>
            <w:iCs w:val="0"/>
          </w:rPr>
          <w:t>5670- دیوان فنائی أصفهانی‏</w:t>
        </w:r>
        <w:r>
          <w:tab/>
        </w:r>
        <w:r>
          <w:fldChar w:fldCharType="begin"/>
        </w:r>
        <w:r>
          <w:instrText xml:space="preserve">PAGEREF 6197 \h</w:instrText>
        </w:r>
        <w:r>
          <w:fldChar w:fldCharType="end"/>
        </w:r>
      </w:hyperlink>
    </w:p>
    <w:p>
      <w:pPr>
        <w:tabs>
          <w:tab w:val="right" w:leader="dot" w:pos="9062"/>
        </w:tabs>
        <w:ind w:left="440"/>
      </w:pPr>
      <w:hyperlink w:anchor="_Toc6198" w:history="1">
        <w:r>
          <w:rPr>
            <w:rFonts w:ascii="IRNazanin" w:hAnsi="IRNazanin" w:eastAsia="IRNazanin" w:cs="IRNazanin"/>
            <w:color w:val="111111"/>
            <w:sz w:val="22"/>
            <w:szCs w:val="22"/>
            <w:b w:val="0"/>
            <w:bCs w:val="0"/>
            <w:i w:val="0"/>
            <w:iCs w:val="0"/>
          </w:rPr>
          <w:t>5671- دیوان فنائی أصفهانی أو شعره‏</w:t>
        </w:r>
        <w:r>
          <w:tab/>
        </w:r>
        <w:r>
          <w:fldChar w:fldCharType="begin"/>
        </w:r>
        <w:r>
          <w:instrText xml:space="preserve">PAGEREF 6198 \h</w:instrText>
        </w:r>
        <w:r>
          <w:fldChar w:fldCharType="end"/>
        </w:r>
      </w:hyperlink>
    </w:p>
    <w:p>
      <w:pPr>
        <w:tabs>
          <w:tab w:val="right" w:leader="dot" w:pos="9062"/>
        </w:tabs>
        <w:ind w:left="440"/>
      </w:pPr>
      <w:hyperlink w:anchor="_Toc6199" w:history="1">
        <w:r>
          <w:rPr>
            <w:rFonts w:ascii="IRNazanin" w:hAnsi="IRNazanin" w:eastAsia="IRNazanin" w:cs="IRNazanin"/>
            <w:color w:val="111111"/>
            <w:sz w:val="22"/>
            <w:szCs w:val="22"/>
            <w:b w:val="0"/>
            <w:bCs w:val="0"/>
            <w:i w:val="0"/>
            <w:iCs w:val="0"/>
          </w:rPr>
          <w:t>5672- دیوان فنائی جغتائی‏</w:t>
        </w:r>
        <w:r>
          <w:tab/>
        </w:r>
        <w:r>
          <w:fldChar w:fldCharType="begin"/>
        </w:r>
        <w:r>
          <w:instrText xml:space="preserve">PAGEREF 6199 \h</w:instrText>
        </w:r>
        <w:r>
          <w:fldChar w:fldCharType="end"/>
        </w:r>
      </w:hyperlink>
    </w:p>
    <w:p>
      <w:pPr>
        <w:tabs>
          <w:tab w:val="right" w:leader="dot" w:pos="9062"/>
        </w:tabs>
        <w:ind w:left="440"/>
      </w:pPr>
      <w:hyperlink w:anchor="_Toc6200" w:history="1">
        <w:r>
          <w:rPr>
            <w:rFonts w:ascii="IRNazanin" w:hAnsi="IRNazanin" w:eastAsia="IRNazanin" w:cs="IRNazanin"/>
            <w:color w:val="111111"/>
            <w:sz w:val="22"/>
            <w:szCs w:val="22"/>
            <w:b w:val="0"/>
            <w:bCs w:val="0"/>
            <w:i w:val="0"/>
            <w:iCs w:val="0"/>
          </w:rPr>
          <w:t>5673- دیوان فنائی خلخالی أو شعره‏</w:t>
        </w:r>
        <w:r>
          <w:tab/>
        </w:r>
        <w:r>
          <w:fldChar w:fldCharType="begin"/>
        </w:r>
        <w:r>
          <w:instrText xml:space="preserve">PAGEREF 6200 \h</w:instrText>
        </w:r>
        <w:r>
          <w:fldChar w:fldCharType="end"/>
        </w:r>
      </w:hyperlink>
    </w:p>
    <w:p>
      <w:pPr>
        <w:tabs>
          <w:tab w:val="right" w:leader="dot" w:pos="9062"/>
        </w:tabs>
        <w:ind w:left="440"/>
      </w:pPr>
      <w:hyperlink w:anchor="_Toc6201" w:history="1">
        <w:r>
          <w:rPr>
            <w:rFonts w:ascii="IRNazanin" w:hAnsi="IRNazanin" w:eastAsia="IRNazanin" w:cs="IRNazanin"/>
            <w:color w:val="111111"/>
            <w:sz w:val="22"/>
            <w:szCs w:val="22"/>
            <w:b w:val="0"/>
            <w:bCs w:val="0"/>
            <w:i w:val="0"/>
            <w:iCs w:val="0"/>
          </w:rPr>
          <w:t>دیوان فنائی رضوی‏</w:t>
        </w:r>
        <w:r>
          <w:tab/>
        </w:r>
        <w:r>
          <w:fldChar w:fldCharType="begin"/>
        </w:r>
        <w:r>
          <w:instrText xml:space="preserve">PAGEREF 6201 \h</w:instrText>
        </w:r>
        <w:r>
          <w:fldChar w:fldCharType="end"/>
        </w:r>
      </w:hyperlink>
    </w:p>
    <w:p>
      <w:pPr>
        <w:tabs>
          <w:tab w:val="right" w:leader="dot" w:pos="9062"/>
        </w:tabs>
        <w:ind w:left="440"/>
      </w:pPr>
      <w:hyperlink w:anchor="_Toc6202" w:history="1">
        <w:r>
          <w:rPr>
            <w:rFonts w:ascii="IRNazanin" w:hAnsi="IRNazanin" w:eastAsia="IRNazanin" w:cs="IRNazanin"/>
            <w:color w:val="111111"/>
            <w:sz w:val="22"/>
            <w:szCs w:val="22"/>
            <w:b w:val="0"/>
            <w:bCs w:val="0"/>
            <w:i w:val="0"/>
            <w:iCs w:val="0"/>
          </w:rPr>
          <w:t>5674- دیوان فنائی سبزواری أو شعره‏</w:t>
        </w:r>
        <w:r>
          <w:tab/>
        </w:r>
        <w:r>
          <w:fldChar w:fldCharType="begin"/>
        </w:r>
        <w:r>
          <w:instrText xml:space="preserve">PAGEREF 6202 \h</w:instrText>
        </w:r>
        <w:r>
          <w:fldChar w:fldCharType="end"/>
        </w:r>
      </w:hyperlink>
    </w:p>
    <w:p>
      <w:pPr>
        <w:tabs>
          <w:tab w:val="right" w:leader="dot" w:pos="9062"/>
        </w:tabs>
        <w:ind w:left="440"/>
      </w:pPr>
      <w:hyperlink w:anchor="_Toc6203" w:history="1">
        <w:r>
          <w:rPr>
            <w:rFonts w:ascii="IRNazanin" w:hAnsi="IRNazanin" w:eastAsia="IRNazanin" w:cs="IRNazanin"/>
            <w:color w:val="111111"/>
            <w:sz w:val="22"/>
            <w:szCs w:val="22"/>
            <w:b w:val="0"/>
            <w:bCs w:val="0"/>
            <w:i w:val="0"/>
            <w:iCs w:val="0"/>
          </w:rPr>
          <w:t>5675- دیوان فنائی شاه بیگی أو شعره‏</w:t>
        </w:r>
        <w:r>
          <w:tab/>
        </w:r>
        <w:r>
          <w:fldChar w:fldCharType="begin"/>
        </w:r>
        <w:r>
          <w:instrText xml:space="preserve">PAGEREF 6203 \h</w:instrText>
        </w:r>
        <w:r>
          <w:fldChar w:fldCharType="end"/>
        </w:r>
      </w:hyperlink>
    </w:p>
    <w:p>
      <w:pPr>
        <w:tabs>
          <w:tab w:val="right" w:leader="dot" w:pos="9062"/>
        </w:tabs>
        <w:ind w:left="440"/>
      </w:pPr>
      <w:hyperlink w:anchor="_Toc6204" w:history="1">
        <w:r>
          <w:rPr>
            <w:rFonts w:ascii="IRNazanin" w:hAnsi="IRNazanin" w:eastAsia="IRNazanin" w:cs="IRNazanin"/>
            <w:color w:val="111111"/>
            <w:sz w:val="22"/>
            <w:szCs w:val="22"/>
            <w:b w:val="0"/>
            <w:bCs w:val="0"/>
            <w:i w:val="0"/>
            <w:iCs w:val="0"/>
          </w:rPr>
          <w:t>دیوان فنائی شیرازی‏</w:t>
        </w:r>
        <w:r>
          <w:tab/>
        </w:r>
        <w:r>
          <w:fldChar w:fldCharType="begin"/>
        </w:r>
        <w:r>
          <w:instrText xml:space="preserve">PAGEREF 6204 \h</w:instrText>
        </w:r>
        <w:r>
          <w:fldChar w:fldCharType="end"/>
        </w:r>
      </w:hyperlink>
    </w:p>
    <w:p>
      <w:pPr>
        <w:tabs>
          <w:tab w:val="right" w:leader="dot" w:pos="9062"/>
        </w:tabs>
        <w:ind w:left="440"/>
      </w:pPr>
      <w:hyperlink w:anchor="_Toc6205" w:history="1">
        <w:r>
          <w:rPr>
            <w:rFonts w:ascii="IRNazanin" w:hAnsi="IRNazanin" w:eastAsia="IRNazanin" w:cs="IRNazanin"/>
            <w:color w:val="111111"/>
            <w:sz w:val="22"/>
            <w:szCs w:val="22"/>
            <w:b w:val="0"/>
            <w:bCs w:val="0"/>
            <w:i w:val="0"/>
            <w:iCs w:val="0"/>
          </w:rPr>
          <w:t>5676- دیوان فنائی کاشانی‏</w:t>
        </w:r>
        <w:r>
          <w:tab/>
        </w:r>
        <w:r>
          <w:fldChar w:fldCharType="begin"/>
        </w:r>
        <w:r>
          <w:instrText xml:space="preserve">PAGEREF 6205 \h</w:instrText>
        </w:r>
        <w:r>
          <w:fldChar w:fldCharType="end"/>
        </w:r>
      </w:hyperlink>
    </w:p>
    <w:p>
      <w:pPr>
        <w:tabs>
          <w:tab w:val="right" w:leader="dot" w:pos="9062"/>
        </w:tabs>
        <w:ind w:left="440"/>
      </w:pPr>
      <w:hyperlink w:anchor="_Toc6206" w:history="1">
        <w:r>
          <w:rPr>
            <w:rFonts w:ascii="IRNazanin" w:hAnsi="IRNazanin" w:eastAsia="IRNazanin" w:cs="IRNazanin"/>
            <w:color w:val="111111"/>
            <w:sz w:val="22"/>
            <w:szCs w:val="22"/>
            <w:b w:val="0"/>
            <w:bCs w:val="0"/>
            <w:i w:val="0"/>
            <w:iCs w:val="0"/>
          </w:rPr>
          <w:t>5677- دیوان فنائی کشمیری أو شعره‏</w:t>
        </w:r>
        <w:r>
          <w:tab/>
        </w:r>
        <w:r>
          <w:fldChar w:fldCharType="begin"/>
        </w:r>
        <w:r>
          <w:instrText xml:space="preserve">PAGEREF 6206 \h</w:instrText>
        </w:r>
        <w:r>
          <w:fldChar w:fldCharType="end"/>
        </w:r>
      </w:hyperlink>
    </w:p>
    <w:p>
      <w:pPr>
        <w:tabs>
          <w:tab w:val="right" w:leader="dot" w:pos="9062"/>
        </w:tabs>
        <w:ind w:left="440"/>
      </w:pPr>
      <w:hyperlink w:anchor="_Toc6207" w:history="1">
        <w:r>
          <w:rPr>
            <w:rFonts w:ascii="IRNazanin" w:hAnsi="IRNazanin" w:eastAsia="IRNazanin" w:cs="IRNazanin"/>
            <w:color w:val="111111"/>
            <w:sz w:val="22"/>
            <w:szCs w:val="22"/>
            <w:b w:val="0"/>
            <w:bCs w:val="0"/>
            <w:i w:val="0"/>
            <w:iCs w:val="0"/>
          </w:rPr>
          <w:t>5678- دیوان فنائی گازرگاهی أو شعره‏</w:t>
        </w:r>
        <w:r>
          <w:tab/>
        </w:r>
        <w:r>
          <w:fldChar w:fldCharType="begin"/>
        </w:r>
        <w:r>
          <w:instrText xml:space="preserve">PAGEREF 6207 \h</w:instrText>
        </w:r>
        <w:r>
          <w:fldChar w:fldCharType="end"/>
        </w:r>
      </w:hyperlink>
    </w:p>
    <w:p>
      <w:pPr>
        <w:tabs>
          <w:tab w:val="right" w:leader="dot" w:pos="9062"/>
        </w:tabs>
        <w:ind w:left="440"/>
      </w:pPr>
      <w:hyperlink w:anchor="_Toc6208" w:history="1">
        <w:r>
          <w:rPr>
            <w:rFonts w:ascii="IRNazanin" w:hAnsi="IRNazanin" w:eastAsia="IRNazanin" w:cs="IRNazanin"/>
            <w:color w:val="111111"/>
            <w:sz w:val="22"/>
            <w:szCs w:val="22"/>
            <w:b w:val="0"/>
            <w:bCs w:val="0"/>
            <w:i w:val="0"/>
            <w:iCs w:val="0"/>
          </w:rPr>
          <w:t>5679- دیوان فنائی مشهدی‏</w:t>
        </w:r>
        <w:r>
          <w:tab/>
        </w:r>
        <w:r>
          <w:fldChar w:fldCharType="begin"/>
        </w:r>
        <w:r>
          <w:instrText xml:space="preserve">PAGEREF 6208 \h</w:instrText>
        </w:r>
        <w:r>
          <w:fldChar w:fldCharType="end"/>
        </w:r>
      </w:hyperlink>
    </w:p>
    <w:p>
      <w:pPr>
        <w:tabs>
          <w:tab w:val="right" w:leader="dot" w:pos="9062"/>
        </w:tabs>
        <w:ind w:left="440"/>
      </w:pPr>
      <w:hyperlink w:anchor="_Toc6209" w:history="1">
        <w:r>
          <w:rPr>
            <w:rFonts w:ascii="IRNazanin" w:hAnsi="IRNazanin" w:eastAsia="IRNazanin" w:cs="IRNazanin"/>
            <w:color w:val="111111"/>
            <w:sz w:val="22"/>
            <w:szCs w:val="22"/>
            <w:b w:val="0"/>
            <w:bCs w:val="0"/>
            <w:i w:val="0"/>
            <w:iCs w:val="0"/>
          </w:rPr>
          <w:t>دیوان فنائی نوائی‏</w:t>
        </w:r>
        <w:r>
          <w:tab/>
        </w:r>
        <w:r>
          <w:fldChar w:fldCharType="begin"/>
        </w:r>
        <w:r>
          <w:instrText xml:space="preserve">PAGEREF 6209 \h</w:instrText>
        </w:r>
        <w:r>
          <w:fldChar w:fldCharType="end"/>
        </w:r>
      </w:hyperlink>
    </w:p>
    <w:p>
      <w:pPr>
        <w:tabs>
          <w:tab w:val="right" w:leader="dot" w:pos="9062"/>
        </w:tabs>
        <w:ind w:left="440"/>
      </w:pPr>
      <w:hyperlink w:anchor="_Toc6210" w:history="1">
        <w:r>
          <w:rPr>
            <w:rFonts w:ascii="IRNazanin" w:hAnsi="IRNazanin" w:eastAsia="IRNazanin" w:cs="IRNazanin"/>
            <w:color w:val="111111"/>
            <w:sz w:val="22"/>
            <w:szCs w:val="22"/>
            <w:b w:val="0"/>
            <w:bCs w:val="0"/>
            <w:i w:val="0"/>
            <w:iCs w:val="0"/>
          </w:rPr>
          <w:t>دیوان فنائی نیشابوری‏</w:t>
        </w:r>
        <w:r>
          <w:tab/>
        </w:r>
        <w:r>
          <w:fldChar w:fldCharType="begin"/>
        </w:r>
        <w:r>
          <w:instrText xml:space="preserve">PAGEREF 6210 \h</w:instrText>
        </w:r>
        <w:r>
          <w:fldChar w:fldCharType="end"/>
        </w:r>
      </w:hyperlink>
    </w:p>
    <w:p>
      <w:pPr>
        <w:tabs>
          <w:tab w:val="right" w:leader="dot" w:pos="9062"/>
        </w:tabs>
        <w:ind w:left="440"/>
      </w:pPr>
      <w:hyperlink w:anchor="_Toc6211" w:history="1">
        <w:r>
          <w:rPr>
            <w:rFonts w:ascii="IRNazanin" w:hAnsi="IRNazanin" w:eastAsia="IRNazanin" w:cs="IRNazanin"/>
            <w:color w:val="111111"/>
            <w:sz w:val="22"/>
            <w:szCs w:val="22"/>
            <w:b w:val="0"/>
            <w:bCs w:val="0"/>
            <w:i w:val="0"/>
            <w:iCs w:val="0"/>
          </w:rPr>
          <w:t>دیوان فنائی هروی‏</w:t>
        </w:r>
        <w:r>
          <w:tab/>
        </w:r>
        <w:r>
          <w:fldChar w:fldCharType="begin"/>
        </w:r>
        <w:r>
          <w:instrText xml:space="preserve">PAGEREF 6211 \h</w:instrText>
        </w:r>
        <w:r>
          <w:fldChar w:fldCharType="end"/>
        </w:r>
      </w:hyperlink>
    </w:p>
    <w:p>
      <w:pPr>
        <w:tabs>
          <w:tab w:val="right" w:leader="dot" w:pos="9062"/>
        </w:tabs>
        <w:ind w:left="440"/>
      </w:pPr>
      <w:hyperlink w:anchor="_Toc6212" w:history="1">
        <w:r>
          <w:rPr>
            <w:rFonts w:ascii="IRNazanin" w:hAnsi="IRNazanin" w:eastAsia="IRNazanin" w:cs="IRNazanin"/>
            <w:color w:val="111111"/>
            <w:sz w:val="22"/>
            <w:szCs w:val="22"/>
            <w:b w:val="0"/>
            <w:bCs w:val="0"/>
            <w:i w:val="0"/>
            <w:iCs w:val="0"/>
          </w:rPr>
          <w:t>5680- دیوان فنائی یزدی أو شعره‏</w:t>
        </w:r>
        <w:r>
          <w:tab/>
        </w:r>
        <w:r>
          <w:fldChar w:fldCharType="begin"/>
        </w:r>
        <w:r>
          <w:instrText xml:space="preserve">PAGEREF 6212 \h</w:instrText>
        </w:r>
        <w:r>
          <w:fldChar w:fldCharType="end"/>
        </w:r>
      </w:hyperlink>
    </w:p>
    <w:p>
      <w:pPr>
        <w:tabs>
          <w:tab w:val="right" w:leader="dot" w:pos="9062"/>
        </w:tabs>
        <w:ind w:left="440"/>
      </w:pPr>
      <w:hyperlink w:anchor="_Toc6213" w:history="1">
        <w:r>
          <w:rPr>
            <w:rFonts w:ascii="IRNazanin" w:hAnsi="IRNazanin" w:eastAsia="IRNazanin" w:cs="IRNazanin"/>
            <w:color w:val="111111"/>
            <w:sz w:val="22"/>
            <w:szCs w:val="22"/>
            <w:b w:val="0"/>
            <w:bCs w:val="0"/>
            <w:i w:val="0"/>
            <w:iCs w:val="0"/>
          </w:rPr>
          <w:t>5681- دیوان فنجگردی‏</w:t>
        </w:r>
        <w:r>
          <w:tab/>
        </w:r>
        <w:r>
          <w:fldChar w:fldCharType="begin"/>
        </w:r>
        <w:r>
          <w:instrText xml:space="preserve">PAGEREF 6213 \h</w:instrText>
        </w:r>
        <w:r>
          <w:fldChar w:fldCharType="end"/>
        </w:r>
      </w:hyperlink>
    </w:p>
    <w:p>
      <w:pPr>
        <w:tabs>
          <w:tab w:val="right" w:leader="dot" w:pos="9062"/>
        </w:tabs>
        <w:ind w:left="440"/>
      </w:pPr>
      <w:hyperlink w:anchor="_Toc6214" w:history="1">
        <w:r>
          <w:rPr>
            <w:rFonts w:ascii="IRNazanin" w:hAnsi="IRNazanin" w:eastAsia="IRNazanin" w:cs="IRNazanin"/>
            <w:color w:val="111111"/>
            <w:sz w:val="22"/>
            <w:szCs w:val="22"/>
            <w:b w:val="0"/>
            <w:bCs w:val="0"/>
            <w:i w:val="0"/>
            <w:iCs w:val="0"/>
          </w:rPr>
          <w:t>5682- دیوان فندرسکی‏</w:t>
        </w:r>
        <w:r>
          <w:tab/>
        </w:r>
        <w:r>
          <w:fldChar w:fldCharType="begin"/>
        </w:r>
        <w:r>
          <w:instrText xml:space="preserve">PAGEREF 6214 \h</w:instrText>
        </w:r>
        <w:r>
          <w:fldChar w:fldCharType="end"/>
        </w:r>
      </w:hyperlink>
    </w:p>
    <w:p>
      <w:pPr>
        <w:tabs>
          <w:tab w:val="right" w:leader="dot" w:pos="9062"/>
        </w:tabs>
        <w:ind w:left="440"/>
      </w:pPr>
      <w:hyperlink w:anchor="_Toc6215" w:history="1">
        <w:r>
          <w:rPr>
            <w:rFonts w:ascii="IRNazanin" w:hAnsi="IRNazanin" w:eastAsia="IRNazanin" w:cs="IRNazanin"/>
            <w:color w:val="111111"/>
            <w:sz w:val="22"/>
            <w:szCs w:val="22"/>
            <w:b w:val="0"/>
            <w:bCs w:val="0"/>
            <w:i w:val="0"/>
            <w:iCs w:val="0"/>
          </w:rPr>
          <w:t>دیوان فندرسکی‏</w:t>
        </w:r>
        <w:r>
          <w:tab/>
        </w:r>
        <w:r>
          <w:fldChar w:fldCharType="begin"/>
        </w:r>
        <w:r>
          <w:instrText xml:space="preserve">PAGEREF 6215 \h</w:instrText>
        </w:r>
        <w:r>
          <w:fldChar w:fldCharType="end"/>
        </w:r>
      </w:hyperlink>
    </w:p>
    <w:p>
      <w:pPr>
        <w:tabs>
          <w:tab w:val="right" w:leader="dot" w:pos="9062"/>
        </w:tabs>
        <w:ind w:left="440"/>
      </w:pPr>
      <w:hyperlink w:anchor="_Toc6216" w:history="1">
        <w:r>
          <w:rPr>
            <w:rFonts w:ascii="IRNazanin" w:hAnsi="IRNazanin" w:eastAsia="IRNazanin" w:cs="IRNazanin"/>
            <w:color w:val="111111"/>
            <w:sz w:val="22"/>
            <w:szCs w:val="22"/>
            <w:b w:val="0"/>
            <w:bCs w:val="0"/>
            <w:i w:val="0"/>
            <w:iCs w:val="0"/>
          </w:rPr>
          <w:t>5683- دیوان فؤاد کرمانی‏</w:t>
        </w:r>
        <w:r>
          <w:tab/>
        </w:r>
        <w:r>
          <w:fldChar w:fldCharType="begin"/>
        </w:r>
        <w:r>
          <w:instrText xml:space="preserve">PAGEREF 6216 \h</w:instrText>
        </w:r>
        <w:r>
          <w:fldChar w:fldCharType="end"/>
        </w:r>
      </w:hyperlink>
    </w:p>
    <w:p>
      <w:pPr>
        <w:tabs>
          <w:tab w:val="right" w:leader="dot" w:pos="9062"/>
        </w:tabs>
        <w:ind w:left="440"/>
      </w:pPr>
      <w:hyperlink w:anchor="_Toc6217" w:history="1">
        <w:r>
          <w:rPr>
            <w:rFonts w:ascii="IRNazanin" w:hAnsi="IRNazanin" w:eastAsia="IRNazanin" w:cs="IRNazanin"/>
            <w:color w:val="111111"/>
            <w:sz w:val="22"/>
            <w:szCs w:val="22"/>
            <w:b w:val="0"/>
            <w:bCs w:val="0"/>
            <w:i w:val="0"/>
            <w:iCs w:val="0"/>
          </w:rPr>
          <w:t>5684- دیوان الفواز</w:t>
        </w:r>
        <w:r>
          <w:tab/>
        </w:r>
        <w:r>
          <w:fldChar w:fldCharType="begin"/>
        </w:r>
        <w:r>
          <w:instrText xml:space="preserve">PAGEREF 6217 \h</w:instrText>
        </w:r>
        <w:r>
          <w:fldChar w:fldCharType="end"/>
        </w:r>
      </w:hyperlink>
    </w:p>
    <w:p>
      <w:pPr>
        <w:tabs>
          <w:tab w:val="right" w:leader="dot" w:pos="9062"/>
        </w:tabs>
        <w:ind w:left="440"/>
      </w:pPr>
      <w:hyperlink w:anchor="_Toc6218" w:history="1">
        <w:r>
          <w:rPr>
            <w:rFonts w:ascii="IRNazanin" w:hAnsi="IRNazanin" w:eastAsia="IRNazanin" w:cs="IRNazanin"/>
            <w:color w:val="111111"/>
            <w:sz w:val="22"/>
            <w:szCs w:val="22"/>
            <w:b w:val="0"/>
            <w:bCs w:val="0"/>
            <w:i w:val="0"/>
            <w:iCs w:val="0"/>
          </w:rPr>
          <w:t>5685- دیوان فوجی نیشابوری‏</w:t>
        </w:r>
        <w:r>
          <w:tab/>
        </w:r>
        <w:r>
          <w:fldChar w:fldCharType="begin"/>
        </w:r>
        <w:r>
          <w:instrText xml:space="preserve">PAGEREF 6218 \h</w:instrText>
        </w:r>
        <w:r>
          <w:fldChar w:fldCharType="end"/>
        </w:r>
      </w:hyperlink>
    </w:p>
    <w:p>
      <w:pPr>
        <w:tabs>
          <w:tab w:val="right" w:leader="dot" w:pos="9062"/>
        </w:tabs>
        <w:ind w:left="440"/>
      </w:pPr>
      <w:hyperlink w:anchor="_Toc6219" w:history="1">
        <w:r>
          <w:rPr>
            <w:rFonts w:ascii="IRNazanin" w:hAnsi="IRNazanin" w:eastAsia="IRNazanin" w:cs="IRNazanin"/>
            <w:color w:val="111111"/>
            <w:sz w:val="22"/>
            <w:szCs w:val="22"/>
            <w:b w:val="0"/>
            <w:bCs w:val="0"/>
            <w:i w:val="0"/>
            <w:iCs w:val="0"/>
          </w:rPr>
          <w:t>5686- دیوان فوزی‏</w:t>
        </w:r>
        <w:r>
          <w:tab/>
        </w:r>
        <w:r>
          <w:fldChar w:fldCharType="begin"/>
        </w:r>
        <w:r>
          <w:instrText xml:space="preserve">PAGEREF 6219 \h</w:instrText>
        </w:r>
        <w:r>
          <w:fldChar w:fldCharType="end"/>
        </w:r>
      </w:hyperlink>
    </w:p>
    <w:p>
      <w:pPr>
        <w:tabs>
          <w:tab w:val="right" w:leader="dot" w:pos="9062"/>
        </w:tabs>
        <w:ind w:left="440"/>
      </w:pPr>
      <w:hyperlink w:anchor="_Toc6220" w:history="1">
        <w:r>
          <w:rPr>
            <w:rFonts w:ascii="IRNazanin" w:hAnsi="IRNazanin" w:eastAsia="IRNazanin" w:cs="IRNazanin"/>
            <w:color w:val="111111"/>
            <w:sz w:val="22"/>
            <w:szCs w:val="22"/>
            <w:b w:val="0"/>
            <w:bCs w:val="0"/>
            <w:i w:val="0"/>
            <w:iCs w:val="0"/>
          </w:rPr>
          <w:t>5687- دیوان فوقی یزدی‏</w:t>
        </w:r>
        <w:r>
          <w:tab/>
        </w:r>
        <w:r>
          <w:fldChar w:fldCharType="begin"/>
        </w:r>
        <w:r>
          <w:instrText xml:space="preserve">PAGEREF 6220 \h</w:instrText>
        </w:r>
        <w:r>
          <w:fldChar w:fldCharType="end"/>
        </w:r>
      </w:hyperlink>
    </w:p>
    <w:p>
      <w:pPr>
        <w:tabs>
          <w:tab w:val="right" w:leader="dot" w:pos="9062"/>
        </w:tabs>
        <w:ind w:left="440"/>
      </w:pPr>
      <w:hyperlink w:anchor="_Toc6221" w:history="1">
        <w:r>
          <w:rPr>
            <w:rFonts w:ascii="IRNazanin" w:hAnsi="IRNazanin" w:eastAsia="IRNazanin" w:cs="IRNazanin"/>
            <w:color w:val="111111"/>
            <w:sz w:val="22"/>
            <w:szCs w:val="22"/>
            <w:b w:val="0"/>
            <w:bCs w:val="0"/>
            <w:i w:val="0"/>
            <w:iCs w:val="0"/>
          </w:rPr>
          <w:t>5688- دیوان فتونی أصفهانی أو شعره‏</w:t>
        </w:r>
        <w:r>
          <w:tab/>
        </w:r>
        <w:r>
          <w:fldChar w:fldCharType="begin"/>
        </w:r>
        <w:r>
          <w:instrText xml:space="preserve">PAGEREF 6221 \h</w:instrText>
        </w:r>
        <w:r>
          <w:fldChar w:fldCharType="end"/>
        </w:r>
      </w:hyperlink>
    </w:p>
    <w:p>
      <w:pPr>
        <w:tabs>
          <w:tab w:val="right" w:leader="dot" w:pos="9062"/>
        </w:tabs>
        <w:ind w:left="440"/>
      </w:pPr>
      <w:hyperlink w:anchor="_Toc6222" w:history="1">
        <w:r>
          <w:rPr>
            <w:rFonts w:ascii="IRNazanin" w:hAnsi="IRNazanin" w:eastAsia="IRNazanin" w:cs="IRNazanin"/>
            <w:color w:val="111111"/>
            <w:sz w:val="22"/>
            <w:szCs w:val="22"/>
            <w:b w:val="0"/>
            <w:bCs w:val="0"/>
            <w:i w:val="0"/>
            <w:iCs w:val="0"/>
          </w:rPr>
          <w:t>5689- دیوان فهمی رازی‏</w:t>
        </w:r>
        <w:r>
          <w:tab/>
        </w:r>
        <w:r>
          <w:fldChar w:fldCharType="begin"/>
        </w:r>
        <w:r>
          <w:instrText xml:space="preserve">PAGEREF 6222 \h</w:instrText>
        </w:r>
        <w:r>
          <w:fldChar w:fldCharType="end"/>
        </w:r>
      </w:hyperlink>
    </w:p>
    <w:p>
      <w:pPr>
        <w:tabs>
          <w:tab w:val="right" w:leader="dot" w:pos="9062"/>
        </w:tabs>
        <w:ind w:left="440"/>
      </w:pPr>
      <w:hyperlink w:anchor="_Toc6223" w:history="1">
        <w:r>
          <w:rPr>
            <w:rFonts w:ascii="IRNazanin" w:hAnsi="IRNazanin" w:eastAsia="IRNazanin" w:cs="IRNazanin"/>
            <w:color w:val="111111"/>
            <w:sz w:val="22"/>
            <w:szCs w:val="22"/>
            <w:b w:val="0"/>
            <w:bCs w:val="0"/>
            <w:i w:val="0"/>
            <w:iCs w:val="0"/>
          </w:rPr>
          <w:t>5690- دیوان فهمی صفوی أو شعره‏</w:t>
        </w:r>
        <w:r>
          <w:tab/>
        </w:r>
        <w:r>
          <w:fldChar w:fldCharType="begin"/>
        </w:r>
        <w:r>
          <w:instrText xml:space="preserve">PAGEREF 6223 \h</w:instrText>
        </w:r>
        <w:r>
          <w:fldChar w:fldCharType="end"/>
        </w:r>
      </w:hyperlink>
    </w:p>
    <w:p>
      <w:pPr>
        <w:tabs>
          <w:tab w:val="right" w:leader="dot" w:pos="9062"/>
        </w:tabs>
        <w:ind w:left="440"/>
      </w:pPr>
      <w:hyperlink w:anchor="_Toc6224" w:history="1">
        <w:r>
          <w:rPr>
            <w:rFonts w:ascii="IRNazanin" w:hAnsi="IRNazanin" w:eastAsia="IRNazanin" w:cs="IRNazanin"/>
            <w:color w:val="111111"/>
            <w:sz w:val="22"/>
            <w:szCs w:val="22"/>
            <w:b w:val="0"/>
            <w:bCs w:val="0"/>
            <w:i w:val="0"/>
            <w:iCs w:val="0"/>
          </w:rPr>
          <w:t>دیوان فهمی طرشتی‏</w:t>
        </w:r>
        <w:r>
          <w:tab/>
        </w:r>
        <w:r>
          <w:fldChar w:fldCharType="begin"/>
        </w:r>
        <w:r>
          <w:instrText xml:space="preserve">PAGEREF 6224 \h</w:instrText>
        </w:r>
        <w:r>
          <w:fldChar w:fldCharType="end"/>
        </w:r>
      </w:hyperlink>
    </w:p>
    <w:p>
      <w:pPr>
        <w:tabs>
          <w:tab w:val="right" w:leader="dot" w:pos="9062"/>
        </w:tabs>
        <w:ind w:left="440"/>
      </w:pPr>
      <w:hyperlink w:anchor="_Toc6225" w:history="1">
        <w:r>
          <w:rPr>
            <w:rFonts w:ascii="IRNazanin" w:hAnsi="IRNazanin" w:eastAsia="IRNazanin" w:cs="IRNazanin"/>
            <w:color w:val="111111"/>
            <w:sz w:val="22"/>
            <w:szCs w:val="22"/>
            <w:b w:val="0"/>
            <w:bCs w:val="0"/>
            <w:i w:val="0"/>
            <w:iCs w:val="0"/>
          </w:rPr>
          <w:t>دیوان فهمی طهرانی‏</w:t>
        </w:r>
        <w:r>
          <w:tab/>
        </w:r>
        <w:r>
          <w:fldChar w:fldCharType="begin"/>
        </w:r>
        <w:r>
          <w:instrText xml:space="preserve">PAGEREF 6225 \h</w:instrText>
        </w:r>
        <w:r>
          <w:fldChar w:fldCharType="end"/>
        </w:r>
      </w:hyperlink>
    </w:p>
    <w:p>
      <w:pPr>
        <w:tabs>
          <w:tab w:val="right" w:leader="dot" w:pos="9062"/>
        </w:tabs>
        <w:ind w:left="440"/>
      </w:pPr>
      <w:hyperlink w:anchor="_Toc6226" w:history="1">
        <w:r>
          <w:rPr>
            <w:rFonts w:ascii="IRNazanin" w:hAnsi="IRNazanin" w:eastAsia="IRNazanin" w:cs="IRNazanin"/>
            <w:color w:val="111111"/>
            <w:sz w:val="22"/>
            <w:szCs w:val="22"/>
            <w:b w:val="0"/>
            <w:bCs w:val="0"/>
            <w:i w:val="0"/>
            <w:iCs w:val="0"/>
          </w:rPr>
          <w:t>5691- دیوان فهمی قزوینی أو شعره‏</w:t>
        </w:r>
        <w:r>
          <w:tab/>
        </w:r>
        <w:r>
          <w:fldChar w:fldCharType="begin"/>
        </w:r>
        <w:r>
          <w:instrText xml:space="preserve">PAGEREF 6226 \h</w:instrText>
        </w:r>
        <w:r>
          <w:fldChar w:fldCharType="end"/>
        </w:r>
      </w:hyperlink>
    </w:p>
    <w:p>
      <w:pPr>
        <w:tabs>
          <w:tab w:val="right" w:leader="dot" w:pos="9062"/>
        </w:tabs>
        <w:ind w:left="440"/>
      </w:pPr>
      <w:hyperlink w:anchor="_Toc6227" w:history="1">
        <w:r>
          <w:rPr>
            <w:rFonts w:ascii="IRNazanin" w:hAnsi="IRNazanin" w:eastAsia="IRNazanin" w:cs="IRNazanin"/>
            <w:color w:val="111111"/>
            <w:sz w:val="22"/>
            <w:szCs w:val="22"/>
            <w:b w:val="0"/>
            <w:bCs w:val="0"/>
            <w:i w:val="0"/>
            <w:iCs w:val="0"/>
          </w:rPr>
          <w:t>5692- دیوان فهمی کاشانی‏</w:t>
        </w:r>
        <w:r>
          <w:tab/>
        </w:r>
        <w:r>
          <w:fldChar w:fldCharType="begin"/>
        </w:r>
        <w:r>
          <w:instrText xml:space="preserve">PAGEREF 6227 \h</w:instrText>
        </w:r>
        <w:r>
          <w:fldChar w:fldCharType="end"/>
        </w:r>
      </w:hyperlink>
    </w:p>
    <w:p>
      <w:pPr>
        <w:tabs>
          <w:tab w:val="right" w:leader="dot" w:pos="9062"/>
        </w:tabs>
        <w:ind w:left="440"/>
      </w:pPr>
      <w:hyperlink w:anchor="_Toc6228" w:history="1">
        <w:r>
          <w:rPr>
            <w:rFonts w:ascii="IRNazanin" w:hAnsi="IRNazanin" w:eastAsia="IRNazanin" w:cs="IRNazanin"/>
            <w:color w:val="111111"/>
            <w:sz w:val="22"/>
            <w:szCs w:val="22"/>
            <w:b w:val="0"/>
            <w:bCs w:val="0"/>
            <w:i w:val="0"/>
            <w:iCs w:val="0"/>
          </w:rPr>
          <w:t>5693- دیوان فهمی کرمانی أو شعره‏</w:t>
        </w:r>
        <w:r>
          <w:tab/>
        </w:r>
        <w:r>
          <w:fldChar w:fldCharType="begin"/>
        </w:r>
        <w:r>
          <w:instrText xml:space="preserve">PAGEREF 6228 \h</w:instrText>
        </w:r>
        <w:r>
          <w:fldChar w:fldCharType="end"/>
        </w:r>
      </w:hyperlink>
    </w:p>
    <w:p>
      <w:pPr>
        <w:tabs>
          <w:tab w:val="right" w:leader="dot" w:pos="9062"/>
        </w:tabs>
        <w:ind w:left="440"/>
      </w:pPr>
      <w:hyperlink w:anchor="_Toc6229" w:history="1">
        <w:r>
          <w:rPr>
            <w:rFonts w:ascii="IRNazanin" w:hAnsi="IRNazanin" w:eastAsia="IRNazanin" w:cs="IRNazanin"/>
            <w:color w:val="111111"/>
            <w:sz w:val="22"/>
            <w:szCs w:val="22"/>
            <w:b w:val="0"/>
            <w:bCs w:val="0"/>
            <w:i w:val="0"/>
            <w:iCs w:val="0"/>
          </w:rPr>
          <w:t>5694- دیوان فهمی هرمزی أو شعره‏</w:t>
        </w:r>
        <w:r>
          <w:tab/>
        </w:r>
        <w:r>
          <w:fldChar w:fldCharType="begin"/>
        </w:r>
        <w:r>
          <w:instrText xml:space="preserve">PAGEREF 6229 \h</w:instrText>
        </w:r>
        <w:r>
          <w:fldChar w:fldCharType="end"/>
        </w:r>
      </w:hyperlink>
    </w:p>
    <w:p>
      <w:pPr>
        <w:tabs>
          <w:tab w:val="right" w:leader="dot" w:pos="9062"/>
        </w:tabs>
        <w:ind w:left="440"/>
      </w:pPr>
      <w:hyperlink w:anchor="_Toc6230" w:history="1">
        <w:r>
          <w:rPr>
            <w:rFonts w:ascii="IRNazanin" w:hAnsi="IRNazanin" w:eastAsia="IRNazanin" w:cs="IRNazanin"/>
            <w:color w:val="111111"/>
            <w:sz w:val="22"/>
            <w:szCs w:val="22"/>
            <w:b w:val="0"/>
            <w:bCs w:val="0"/>
            <w:i w:val="0"/>
            <w:iCs w:val="0"/>
          </w:rPr>
          <w:t>5695- دیوان فهمی یزدی أو شعره‏</w:t>
        </w:r>
        <w:r>
          <w:tab/>
        </w:r>
        <w:r>
          <w:fldChar w:fldCharType="begin"/>
        </w:r>
        <w:r>
          <w:instrText xml:space="preserve">PAGEREF 6230 \h</w:instrText>
        </w:r>
        <w:r>
          <w:fldChar w:fldCharType="end"/>
        </w:r>
      </w:hyperlink>
    </w:p>
    <w:p>
      <w:pPr>
        <w:tabs>
          <w:tab w:val="right" w:leader="dot" w:pos="9062"/>
        </w:tabs>
        <w:ind w:left="440"/>
      </w:pPr>
      <w:hyperlink w:anchor="_Toc6231" w:history="1">
        <w:r>
          <w:rPr>
            <w:rFonts w:ascii="IRNazanin" w:hAnsi="IRNazanin" w:eastAsia="IRNazanin" w:cs="IRNazanin"/>
            <w:color w:val="111111"/>
            <w:sz w:val="22"/>
            <w:szCs w:val="22"/>
            <w:b w:val="0"/>
            <w:bCs w:val="0"/>
            <w:i w:val="0"/>
            <w:iCs w:val="0"/>
          </w:rPr>
          <w:t>دیوان فیاض دکنی‏</w:t>
        </w:r>
        <w:r>
          <w:tab/>
        </w:r>
        <w:r>
          <w:fldChar w:fldCharType="begin"/>
        </w:r>
        <w:r>
          <w:instrText xml:space="preserve">PAGEREF 6231 \h</w:instrText>
        </w:r>
        <w:r>
          <w:fldChar w:fldCharType="end"/>
        </w:r>
      </w:hyperlink>
    </w:p>
    <w:p>
      <w:pPr>
        <w:tabs>
          <w:tab w:val="right" w:leader="dot" w:pos="9062"/>
        </w:tabs>
        <w:ind w:left="440"/>
      </w:pPr>
      <w:hyperlink w:anchor="_Toc6232" w:history="1">
        <w:r>
          <w:rPr>
            <w:rFonts w:ascii="IRNazanin" w:hAnsi="IRNazanin" w:eastAsia="IRNazanin" w:cs="IRNazanin"/>
            <w:color w:val="111111"/>
            <w:sz w:val="22"/>
            <w:szCs w:val="22"/>
            <w:b w:val="0"/>
            <w:bCs w:val="0"/>
            <w:i w:val="0"/>
            <w:iCs w:val="0"/>
          </w:rPr>
          <w:t>5696- دیوان فیاض لاهیجی‏</w:t>
        </w:r>
        <w:r>
          <w:tab/>
        </w:r>
        <w:r>
          <w:fldChar w:fldCharType="begin"/>
        </w:r>
        <w:r>
          <w:instrText xml:space="preserve">PAGEREF 6232 \h</w:instrText>
        </w:r>
        <w:r>
          <w:fldChar w:fldCharType="end"/>
        </w:r>
      </w:hyperlink>
    </w:p>
    <w:p>
      <w:pPr>
        <w:tabs>
          <w:tab w:val="right" w:leader="dot" w:pos="9062"/>
        </w:tabs>
        <w:ind w:left="440"/>
      </w:pPr>
      <w:hyperlink w:anchor="_Toc6233" w:history="1">
        <w:r>
          <w:rPr>
            <w:rFonts w:ascii="IRNazanin" w:hAnsi="IRNazanin" w:eastAsia="IRNazanin" w:cs="IRNazanin"/>
            <w:color w:val="111111"/>
            <w:sz w:val="22"/>
            <w:szCs w:val="22"/>
            <w:b w:val="0"/>
            <w:bCs w:val="0"/>
            <w:i w:val="0"/>
            <w:iCs w:val="0"/>
          </w:rPr>
          <w:t>5697- دیوان فیروز شاه بهمنی أو شعره‏</w:t>
        </w:r>
        <w:r>
          <w:tab/>
        </w:r>
        <w:r>
          <w:fldChar w:fldCharType="begin"/>
        </w:r>
        <w:r>
          <w:instrText xml:space="preserve">PAGEREF 6233 \h</w:instrText>
        </w:r>
        <w:r>
          <w:fldChar w:fldCharType="end"/>
        </w:r>
      </w:hyperlink>
    </w:p>
    <w:p>
      <w:pPr>
        <w:tabs>
          <w:tab w:val="right" w:leader="dot" w:pos="9062"/>
        </w:tabs>
        <w:ind w:left="440"/>
      </w:pPr>
      <w:hyperlink w:anchor="_Toc6234" w:history="1">
        <w:r>
          <w:rPr>
            <w:rFonts w:ascii="IRNazanin" w:hAnsi="IRNazanin" w:eastAsia="IRNazanin" w:cs="IRNazanin"/>
            <w:color w:val="111111"/>
            <w:sz w:val="22"/>
            <w:szCs w:val="22"/>
            <w:b w:val="0"/>
            <w:bCs w:val="0"/>
            <w:i w:val="0"/>
            <w:iCs w:val="0"/>
          </w:rPr>
          <w:t>5698- دیوان فیروز مشرقی أو شعره‏</w:t>
        </w:r>
        <w:r>
          <w:tab/>
        </w:r>
        <w:r>
          <w:fldChar w:fldCharType="begin"/>
        </w:r>
        <w:r>
          <w:instrText xml:space="preserve">PAGEREF 6234 \h</w:instrText>
        </w:r>
        <w:r>
          <w:fldChar w:fldCharType="end"/>
        </w:r>
      </w:hyperlink>
    </w:p>
    <w:p>
      <w:pPr>
        <w:tabs>
          <w:tab w:val="right" w:leader="dot" w:pos="9062"/>
        </w:tabs>
        <w:ind w:left="440"/>
      </w:pPr>
      <w:hyperlink w:anchor="_Toc6235" w:history="1">
        <w:r>
          <w:rPr>
            <w:rFonts w:ascii="IRNazanin" w:hAnsi="IRNazanin" w:eastAsia="IRNazanin" w:cs="IRNazanin"/>
            <w:color w:val="111111"/>
            <w:sz w:val="22"/>
            <w:szCs w:val="22"/>
            <w:b w:val="0"/>
            <w:bCs w:val="0"/>
            <w:i w:val="0"/>
            <w:iCs w:val="0"/>
          </w:rPr>
          <w:t>5699- دیوان فیروزکوهی‏</w:t>
        </w:r>
        <w:r>
          <w:tab/>
        </w:r>
        <w:r>
          <w:fldChar w:fldCharType="begin"/>
        </w:r>
        <w:r>
          <w:instrText xml:space="preserve">PAGEREF 6235 \h</w:instrText>
        </w:r>
        <w:r>
          <w:fldChar w:fldCharType="end"/>
        </w:r>
      </w:hyperlink>
    </w:p>
    <w:p>
      <w:pPr>
        <w:tabs>
          <w:tab w:val="right" w:leader="dot" w:pos="9062"/>
        </w:tabs>
        <w:ind w:left="440"/>
      </w:pPr>
      <w:hyperlink w:anchor="_Toc6236" w:history="1">
        <w:r>
          <w:rPr>
            <w:rFonts w:ascii="IRNazanin" w:hAnsi="IRNazanin" w:eastAsia="IRNazanin" w:cs="IRNazanin"/>
            <w:color w:val="111111"/>
            <w:sz w:val="22"/>
            <w:szCs w:val="22"/>
            <w:b w:val="0"/>
            <w:bCs w:val="0"/>
            <w:i w:val="0"/>
            <w:iCs w:val="0"/>
          </w:rPr>
          <w:t>5700- دیوان فیضی‏</w:t>
        </w:r>
        <w:r>
          <w:tab/>
        </w:r>
        <w:r>
          <w:fldChar w:fldCharType="begin"/>
        </w:r>
        <w:r>
          <w:instrText xml:space="preserve">PAGEREF 6236 \h</w:instrText>
        </w:r>
        <w:r>
          <w:fldChar w:fldCharType="end"/>
        </w:r>
      </w:hyperlink>
    </w:p>
    <w:p>
      <w:pPr>
        <w:tabs>
          <w:tab w:val="right" w:leader="dot" w:pos="9062"/>
        </w:tabs>
        <w:ind w:left="440"/>
      </w:pPr>
      <w:hyperlink w:anchor="_Toc6237" w:history="1">
        <w:r>
          <w:rPr>
            <w:rFonts w:ascii="IRNazanin" w:hAnsi="IRNazanin" w:eastAsia="IRNazanin" w:cs="IRNazanin"/>
            <w:color w:val="111111"/>
            <w:sz w:val="22"/>
            <w:szCs w:val="22"/>
            <w:b w:val="0"/>
            <w:bCs w:val="0"/>
            <w:i w:val="0"/>
            <w:iCs w:val="0"/>
          </w:rPr>
          <w:t>5701- دیوان فیض شاه‏جهان‏آبادی‏</w:t>
        </w:r>
        <w:r>
          <w:tab/>
        </w:r>
        <w:r>
          <w:fldChar w:fldCharType="begin"/>
        </w:r>
        <w:r>
          <w:instrText xml:space="preserve">PAGEREF 6237 \h</w:instrText>
        </w:r>
        <w:r>
          <w:fldChar w:fldCharType="end"/>
        </w:r>
      </w:hyperlink>
    </w:p>
    <w:p>
      <w:pPr>
        <w:tabs>
          <w:tab w:val="right" w:leader="dot" w:pos="9062"/>
        </w:tabs>
        <w:ind w:left="440"/>
      </w:pPr>
      <w:hyperlink w:anchor="_Toc6238" w:history="1">
        <w:r>
          <w:rPr>
            <w:rFonts w:ascii="IRNazanin" w:hAnsi="IRNazanin" w:eastAsia="IRNazanin" w:cs="IRNazanin"/>
            <w:color w:val="111111"/>
            <w:sz w:val="22"/>
            <w:szCs w:val="22"/>
            <w:b w:val="0"/>
            <w:bCs w:val="0"/>
            <w:i w:val="0"/>
            <w:iCs w:val="0"/>
          </w:rPr>
          <w:t>5702- دیوان فیض علی مشهدی‏</w:t>
        </w:r>
        <w:r>
          <w:tab/>
        </w:r>
        <w:r>
          <w:fldChar w:fldCharType="begin"/>
        </w:r>
        <w:r>
          <w:instrText xml:space="preserve">PAGEREF 6238 \h</w:instrText>
        </w:r>
        <w:r>
          <w:fldChar w:fldCharType="end"/>
        </w:r>
      </w:hyperlink>
    </w:p>
    <w:p>
      <w:pPr>
        <w:tabs>
          <w:tab w:val="right" w:leader="dot" w:pos="9062"/>
        </w:tabs>
        <w:ind w:left="440"/>
      </w:pPr>
      <w:hyperlink w:anchor="_Toc6239" w:history="1">
        <w:r>
          <w:rPr>
            <w:rFonts w:ascii="IRNazanin" w:hAnsi="IRNazanin" w:eastAsia="IRNazanin" w:cs="IRNazanin"/>
            <w:color w:val="111111"/>
            <w:sz w:val="22"/>
            <w:szCs w:val="22"/>
            <w:b w:val="0"/>
            <w:bCs w:val="0"/>
            <w:i w:val="0"/>
            <w:iCs w:val="0"/>
          </w:rPr>
          <w:t>5703- دیوان فیض علی شاه طبسی‏</w:t>
        </w:r>
        <w:r>
          <w:tab/>
        </w:r>
        <w:r>
          <w:fldChar w:fldCharType="begin"/>
        </w:r>
        <w:r>
          <w:instrText xml:space="preserve">PAGEREF 6239 \h</w:instrText>
        </w:r>
        <w:r>
          <w:fldChar w:fldCharType="end"/>
        </w:r>
      </w:hyperlink>
    </w:p>
    <w:p>
      <w:pPr>
        <w:tabs>
          <w:tab w:val="right" w:leader="dot" w:pos="9062"/>
        </w:tabs>
        <w:ind w:left="440"/>
      </w:pPr>
      <w:hyperlink w:anchor="_Toc6240" w:history="1">
        <w:r>
          <w:rPr>
            <w:rFonts w:ascii="IRNazanin" w:hAnsi="IRNazanin" w:eastAsia="IRNazanin" w:cs="IRNazanin"/>
            <w:color w:val="111111"/>
            <w:sz w:val="22"/>
            <w:szCs w:val="22"/>
            <w:b w:val="0"/>
            <w:bCs w:val="0"/>
            <w:i w:val="0"/>
            <w:iCs w:val="0"/>
          </w:rPr>
          <w:t>5704- دیوان فیض کاشانی‏</w:t>
        </w:r>
        <w:r>
          <w:tab/>
        </w:r>
        <w:r>
          <w:fldChar w:fldCharType="begin"/>
        </w:r>
        <w:r>
          <w:instrText xml:space="preserve">PAGEREF 6240 \h</w:instrText>
        </w:r>
        <w:r>
          <w:fldChar w:fldCharType="end"/>
        </w:r>
      </w:hyperlink>
    </w:p>
    <w:p>
      <w:pPr>
        <w:tabs>
          <w:tab w:val="right" w:leader="dot" w:pos="9062"/>
        </w:tabs>
        <w:ind w:left="440"/>
      </w:pPr>
      <w:hyperlink w:anchor="_Toc6241" w:history="1">
        <w:r>
          <w:rPr>
            <w:rFonts w:ascii="IRNazanin" w:hAnsi="IRNazanin" w:eastAsia="IRNazanin" w:cs="IRNazanin"/>
            <w:color w:val="111111"/>
            <w:sz w:val="22"/>
            <w:szCs w:val="22"/>
            <w:b w:val="0"/>
            <w:bCs w:val="0"/>
            <w:i w:val="0"/>
            <w:iCs w:val="0"/>
          </w:rPr>
          <w:t>5705- دیوان فیض الله بغدادی‏</w:t>
        </w:r>
        <w:r>
          <w:tab/>
        </w:r>
        <w:r>
          <w:fldChar w:fldCharType="begin"/>
        </w:r>
        <w:r>
          <w:instrText xml:space="preserve">PAGEREF 6241 \h</w:instrText>
        </w:r>
        <w:r>
          <w:fldChar w:fldCharType="end"/>
        </w:r>
      </w:hyperlink>
    </w:p>
    <w:p>
      <w:pPr>
        <w:tabs>
          <w:tab w:val="right" w:leader="dot" w:pos="9062"/>
        </w:tabs>
        <w:ind w:left="440"/>
      </w:pPr>
      <w:hyperlink w:anchor="_Toc6242" w:history="1">
        <w:r>
          <w:rPr>
            <w:rFonts w:ascii="IRNazanin" w:hAnsi="IRNazanin" w:eastAsia="IRNazanin" w:cs="IRNazanin"/>
            <w:color w:val="111111"/>
            <w:sz w:val="22"/>
            <w:szCs w:val="22"/>
            <w:b w:val="0"/>
            <w:bCs w:val="0"/>
            <w:i w:val="0"/>
            <w:iCs w:val="0"/>
          </w:rPr>
          <w:t>5706- دیوان فیض الله شوشتری أو شعره‏</w:t>
        </w:r>
        <w:r>
          <w:tab/>
        </w:r>
        <w:r>
          <w:fldChar w:fldCharType="begin"/>
        </w:r>
        <w:r>
          <w:instrText xml:space="preserve">PAGEREF 6242 \h</w:instrText>
        </w:r>
        <w:r>
          <w:fldChar w:fldCharType="end"/>
        </w:r>
      </w:hyperlink>
    </w:p>
    <w:p>
      <w:pPr>
        <w:tabs>
          <w:tab w:val="right" w:leader="dot" w:pos="9062"/>
        </w:tabs>
        <w:ind w:left="440"/>
      </w:pPr>
      <w:hyperlink w:anchor="_Toc6243" w:history="1">
        <w:r>
          <w:rPr>
            <w:rFonts w:ascii="IRNazanin" w:hAnsi="IRNazanin" w:eastAsia="IRNazanin" w:cs="IRNazanin"/>
            <w:color w:val="111111"/>
            <w:sz w:val="22"/>
            <w:szCs w:val="22"/>
            <w:b w:val="0"/>
            <w:bCs w:val="0"/>
            <w:i w:val="0"/>
            <w:iCs w:val="0"/>
          </w:rPr>
          <w:t>5707- دیوان فیض لرستانی أو شعره‏</w:t>
        </w:r>
        <w:r>
          <w:tab/>
        </w:r>
        <w:r>
          <w:fldChar w:fldCharType="begin"/>
        </w:r>
        <w:r>
          <w:instrText xml:space="preserve">PAGEREF 6243 \h</w:instrText>
        </w:r>
        <w:r>
          <w:fldChar w:fldCharType="end"/>
        </w:r>
      </w:hyperlink>
    </w:p>
    <w:p>
      <w:pPr>
        <w:tabs>
          <w:tab w:val="right" w:leader="dot" w:pos="9062"/>
        </w:tabs>
        <w:ind w:left="440"/>
      </w:pPr>
      <w:hyperlink w:anchor="_Toc6244" w:history="1">
        <w:r>
          <w:rPr>
            <w:rFonts w:ascii="IRNazanin" w:hAnsi="IRNazanin" w:eastAsia="IRNazanin" w:cs="IRNazanin"/>
            <w:color w:val="111111"/>
            <w:sz w:val="22"/>
            <w:szCs w:val="22"/>
            <w:b w:val="0"/>
            <w:bCs w:val="0"/>
            <w:i w:val="0"/>
            <w:iCs w:val="0"/>
          </w:rPr>
          <w:t>5708- دیوان فیضی أصفهانی‏</w:t>
        </w:r>
        <w:r>
          <w:tab/>
        </w:r>
        <w:r>
          <w:fldChar w:fldCharType="begin"/>
        </w:r>
        <w:r>
          <w:instrText xml:space="preserve">PAGEREF 6244 \h</w:instrText>
        </w:r>
        <w:r>
          <w:fldChar w:fldCharType="end"/>
        </w:r>
      </w:hyperlink>
    </w:p>
    <w:p>
      <w:pPr>
        <w:tabs>
          <w:tab w:val="right" w:leader="dot" w:pos="9062"/>
        </w:tabs>
        <w:ind w:left="440"/>
      </w:pPr>
      <w:hyperlink w:anchor="_Toc6245" w:history="1">
        <w:r>
          <w:rPr>
            <w:rFonts w:ascii="IRNazanin" w:hAnsi="IRNazanin" w:eastAsia="IRNazanin" w:cs="IRNazanin"/>
            <w:color w:val="111111"/>
            <w:sz w:val="22"/>
            <w:szCs w:val="22"/>
            <w:b w:val="0"/>
            <w:bCs w:val="0"/>
            <w:i w:val="0"/>
            <w:iCs w:val="0"/>
          </w:rPr>
          <w:t>5709- دیوان فیضی تبریزی‏</w:t>
        </w:r>
        <w:r>
          <w:tab/>
        </w:r>
        <w:r>
          <w:fldChar w:fldCharType="begin"/>
        </w:r>
        <w:r>
          <w:instrText xml:space="preserve">PAGEREF 6245 \h</w:instrText>
        </w:r>
        <w:r>
          <w:fldChar w:fldCharType="end"/>
        </w:r>
      </w:hyperlink>
    </w:p>
    <w:p>
      <w:pPr>
        <w:tabs>
          <w:tab w:val="right" w:leader="dot" w:pos="9062"/>
        </w:tabs>
        <w:ind w:left="440"/>
      </w:pPr>
      <w:hyperlink w:anchor="_Toc6246" w:history="1">
        <w:r>
          <w:rPr>
            <w:rFonts w:ascii="IRNazanin" w:hAnsi="IRNazanin" w:eastAsia="IRNazanin" w:cs="IRNazanin"/>
            <w:color w:val="111111"/>
            <w:sz w:val="22"/>
            <w:szCs w:val="22"/>
            <w:b w:val="0"/>
            <w:bCs w:val="0"/>
            <w:i w:val="0"/>
            <w:iCs w:val="0"/>
          </w:rPr>
          <w:t>5710- دیوان فیضی تربتی‏</w:t>
        </w:r>
        <w:r>
          <w:tab/>
        </w:r>
        <w:r>
          <w:fldChar w:fldCharType="begin"/>
        </w:r>
        <w:r>
          <w:instrText xml:space="preserve">PAGEREF 6246 \h</w:instrText>
        </w:r>
        <w:r>
          <w:fldChar w:fldCharType="end"/>
        </w:r>
      </w:hyperlink>
    </w:p>
    <w:p>
      <w:pPr>
        <w:tabs>
          <w:tab w:val="right" w:leader="dot" w:pos="9062"/>
        </w:tabs>
        <w:ind w:left="440"/>
      </w:pPr>
      <w:hyperlink w:anchor="_Toc6247" w:history="1">
        <w:r>
          <w:rPr>
            <w:rFonts w:ascii="IRNazanin" w:hAnsi="IRNazanin" w:eastAsia="IRNazanin" w:cs="IRNazanin"/>
            <w:color w:val="111111"/>
            <w:sz w:val="22"/>
            <w:szCs w:val="22"/>
            <w:b w:val="0"/>
            <w:bCs w:val="0"/>
            <w:i w:val="0"/>
            <w:iCs w:val="0"/>
          </w:rPr>
          <w:t>دیوان فیضی دکنی‏</w:t>
        </w:r>
        <w:r>
          <w:tab/>
        </w:r>
        <w:r>
          <w:fldChar w:fldCharType="begin"/>
        </w:r>
        <w:r>
          <w:instrText xml:space="preserve">PAGEREF 6247 \h</w:instrText>
        </w:r>
        <w:r>
          <w:fldChar w:fldCharType="end"/>
        </w:r>
      </w:hyperlink>
    </w:p>
    <w:p>
      <w:pPr>
        <w:tabs>
          <w:tab w:val="right" w:leader="dot" w:pos="9062"/>
        </w:tabs>
        <w:ind w:left="440"/>
      </w:pPr>
      <w:hyperlink w:anchor="_Toc6248" w:history="1">
        <w:r>
          <w:rPr>
            <w:rFonts w:ascii="IRNazanin" w:hAnsi="IRNazanin" w:eastAsia="IRNazanin" w:cs="IRNazanin"/>
            <w:color w:val="111111"/>
            <w:sz w:val="22"/>
            <w:szCs w:val="22"/>
            <w:b w:val="0"/>
            <w:bCs w:val="0"/>
            <w:i w:val="0"/>
            <w:iCs w:val="0"/>
          </w:rPr>
          <w:t>5711- دیوان فیضی شیروانی‏</w:t>
        </w:r>
        <w:r>
          <w:tab/>
        </w:r>
        <w:r>
          <w:fldChar w:fldCharType="begin"/>
        </w:r>
        <w:r>
          <w:instrText xml:space="preserve">PAGEREF 6248 \h</w:instrText>
        </w:r>
        <w:r>
          <w:fldChar w:fldCharType="end"/>
        </w:r>
      </w:hyperlink>
    </w:p>
    <w:p>
      <w:pPr>
        <w:tabs>
          <w:tab w:val="right" w:leader="dot" w:pos="9062"/>
        </w:tabs>
        <w:ind w:left="440"/>
      </w:pPr>
      <w:hyperlink w:anchor="_Toc6249" w:history="1">
        <w:r>
          <w:rPr>
            <w:rFonts w:ascii="IRNazanin" w:hAnsi="IRNazanin" w:eastAsia="IRNazanin" w:cs="IRNazanin"/>
            <w:color w:val="111111"/>
            <w:sz w:val="22"/>
            <w:szCs w:val="22"/>
            <w:b w:val="0"/>
            <w:bCs w:val="0"/>
            <w:i w:val="0"/>
            <w:iCs w:val="0"/>
          </w:rPr>
          <w:t>دیوان فیضی عصار</w:t>
        </w:r>
        <w:r>
          <w:tab/>
        </w:r>
        <w:r>
          <w:fldChar w:fldCharType="begin"/>
        </w:r>
        <w:r>
          <w:instrText xml:space="preserve">PAGEREF 6249 \h</w:instrText>
        </w:r>
        <w:r>
          <w:fldChar w:fldCharType="end"/>
        </w:r>
      </w:hyperlink>
    </w:p>
    <w:p>
      <w:pPr>
        <w:tabs>
          <w:tab w:val="right" w:leader="dot" w:pos="9062"/>
        </w:tabs>
        <w:ind w:left="440"/>
      </w:pPr>
      <w:hyperlink w:anchor="_Toc6250" w:history="1">
        <w:r>
          <w:rPr>
            <w:rFonts w:ascii="IRNazanin" w:hAnsi="IRNazanin" w:eastAsia="IRNazanin" w:cs="IRNazanin"/>
            <w:color w:val="111111"/>
            <w:sz w:val="22"/>
            <w:szCs w:val="22"/>
            <w:b w:val="0"/>
            <w:bCs w:val="0"/>
            <w:i w:val="0"/>
            <w:iCs w:val="0"/>
          </w:rPr>
          <w:t>5712- دیوان ملا فیضی کاردگر أو شعره‏</w:t>
        </w:r>
        <w:r>
          <w:tab/>
        </w:r>
        <w:r>
          <w:fldChar w:fldCharType="begin"/>
        </w:r>
        <w:r>
          <w:instrText xml:space="preserve">PAGEREF 6250 \h</w:instrText>
        </w:r>
        <w:r>
          <w:fldChar w:fldCharType="end"/>
        </w:r>
      </w:hyperlink>
    </w:p>
    <w:p>
      <w:pPr>
        <w:tabs>
          <w:tab w:val="right" w:leader="dot" w:pos="9062"/>
        </w:tabs>
        <w:ind w:left="440"/>
      </w:pPr>
      <w:hyperlink w:anchor="_Toc6251" w:history="1">
        <w:r>
          <w:rPr>
            <w:rFonts w:ascii="IRNazanin" w:hAnsi="IRNazanin" w:eastAsia="IRNazanin" w:cs="IRNazanin"/>
            <w:color w:val="111111"/>
            <w:sz w:val="22"/>
            <w:szCs w:val="22"/>
            <w:b w:val="0"/>
            <w:bCs w:val="0"/>
            <w:i w:val="0"/>
            <w:iCs w:val="0"/>
          </w:rPr>
          <w:t>5713- دیوان فیضی هروی النقاش‏</w:t>
        </w:r>
        <w:r>
          <w:tab/>
        </w:r>
        <w:r>
          <w:fldChar w:fldCharType="begin"/>
        </w:r>
        <w:r>
          <w:instrText xml:space="preserve">PAGEREF 6251 \h</w:instrText>
        </w:r>
        <w:r>
          <w:fldChar w:fldCharType="end"/>
        </w:r>
      </w:hyperlink>
    </w:p>
    <w:p>
      <w:pPr>
        <w:tabs>
          <w:tab w:val="right" w:leader="dot" w:pos="9062"/>
        </w:tabs>
        <w:ind w:left="440"/>
      </w:pPr>
      <w:hyperlink w:anchor="_Toc6252" w:history="1">
        <w:r>
          <w:rPr>
            <w:rFonts w:ascii="IRNazanin" w:hAnsi="IRNazanin" w:eastAsia="IRNazanin" w:cs="IRNazanin"/>
            <w:color w:val="111111"/>
            <w:sz w:val="22"/>
            <w:szCs w:val="22"/>
            <w:b w:val="0"/>
            <w:bCs w:val="0"/>
            <w:i w:val="0"/>
            <w:iCs w:val="0"/>
          </w:rPr>
          <w:t>5714- دیوان فیضی هندی‏</w:t>
        </w:r>
        <w:r>
          <w:tab/>
        </w:r>
        <w:r>
          <w:fldChar w:fldCharType="begin"/>
        </w:r>
        <w:r>
          <w:instrText xml:space="preserve">PAGEREF 6252 \h</w:instrText>
        </w:r>
        <w:r>
          <w:fldChar w:fldCharType="end"/>
        </w:r>
      </w:hyperlink>
    </w:p>
    <w:p>
      <w:pPr>
        <w:tabs>
          <w:tab w:val="right" w:leader="dot" w:pos="9062"/>
        </w:tabs>
        <w:ind w:left="440"/>
      </w:pPr>
      <w:hyperlink w:anchor="_Toc6253" w:history="1">
        <w:r>
          <w:rPr>
            <w:rFonts w:ascii="IRNazanin" w:hAnsi="IRNazanin" w:eastAsia="IRNazanin" w:cs="IRNazanin"/>
            <w:color w:val="111111"/>
            <w:sz w:val="22"/>
            <w:szCs w:val="22"/>
            <w:b w:val="0"/>
            <w:bCs w:val="0"/>
            <w:i w:val="0"/>
            <w:iCs w:val="0"/>
          </w:rPr>
          <w:t>5715- دیوان فیضی یزدی أو شعره‏</w:t>
        </w:r>
        <w:r>
          <w:tab/>
        </w:r>
        <w:r>
          <w:fldChar w:fldCharType="begin"/>
        </w:r>
        <w:r>
          <w:instrText xml:space="preserve">PAGEREF 6253 \h</w:instrText>
        </w:r>
        <w:r>
          <w:fldChar w:fldCharType="end"/>
        </w:r>
      </w:hyperlink>
    </w:p>
    <w:p>
      <w:pPr>
        <w:tabs>
          <w:tab w:val="right" w:leader="dot" w:pos="9062"/>
        </w:tabs>
        <w:ind w:left="440"/>
      </w:pPr>
      <w:hyperlink w:anchor="_Toc6254" w:history="1">
        <w:r>
          <w:rPr>
            <w:rFonts w:ascii="IRNazanin" w:hAnsi="IRNazanin" w:eastAsia="IRNazanin" w:cs="IRNazanin"/>
            <w:color w:val="111111"/>
            <w:sz w:val="22"/>
            <w:szCs w:val="22"/>
            <w:b w:val="0"/>
            <w:bCs w:val="0"/>
            <w:i w:val="0"/>
            <w:iCs w:val="0"/>
          </w:rPr>
          <w:t>5716- دیوان فیضی یزدی‏</w:t>
        </w:r>
        <w:r>
          <w:tab/>
        </w:r>
        <w:r>
          <w:fldChar w:fldCharType="begin"/>
        </w:r>
        <w:r>
          <w:instrText xml:space="preserve">PAGEREF 6254 \h</w:instrText>
        </w:r>
        <w:r>
          <w:fldChar w:fldCharType="end"/>
        </w:r>
      </w:hyperlink>
    </w:p>
    <w:p>
      <w:pPr>
        <w:tabs>
          <w:tab w:val="right" w:leader="dot" w:pos="9062"/>
        </w:tabs>
        <w:ind w:left="440"/>
      </w:pPr>
      <w:hyperlink w:anchor="_Toc6255" w:history="1">
        <w:r>
          <w:rPr>
            <w:rFonts w:ascii="IRNazanin" w:hAnsi="IRNazanin" w:eastAsia="IRNazanin" w:cs="IRNazanin"/>
            <w:color w:val="111111"/>
            <w:sz w:val="22"/>
            <w:szCs w:val="22"/>
            <w:b w:val="0"/>
            <w:bCs w:val="0"/>
            <w:i w:val="0"/>
            <w:iCs w:val="0"/>
          </w:rPr>
          <w:t>دیوان فیلسوف الشعراء</w:t>
        </w:r>
        <w:r>
          <w:tab/>
        </w:r>
        <w:r>
          <w:fldChar w:fldCharType="begin"/>
        </w:r>
        <w:r>
          <w:instrText xml:space="preserve">PAGEREF 6255 \h</w:instrText>
        </w:r>
        <w:r>
          <w:fldChar w:fldCharType="end"/>
        </w:r>
      </w:hyperlink>
    </w:p>
    <w:p>
      <w:pPr>
        <w:tabs>
          <w:tab w:val="right" w:leader="dot" w:pos="9062"/>
        </w:tabs>
        <w:ind w:left="440"/>
      </w:pPr>
      <w:hyperlink w:anchor="_Toc6256" w:history="1">
        <w:r>
          <w:rPr>
            <w:rFonts w:ascii="IRNazanin" w:hAnsi="IRNazanin" w:eastAsia="IRNazanin" w:cs="IRNazanin"/>
            <w:color w:val="111111"/>
            <w:sz w:val="22"/>
            <w:szCs w:val="22"/>
            <w:b w:val="0"/>
            <w:bCs w:val="0"/>
            <w:i w:val="0"/>
            <w:iCs w:val="0"/>
          </w:rPr>
          <w:t>ق‏</w:t>
        </w:r>
        <w:r>
          <w:tab/>
        </w:r>
        <w:r>
          <w:fldChar w:fldCharType="begin"/>
        </w:r>
        <w:r>
          <w:instrText xml:space="preserve">PAGEREF 6256 \h</w:instrText>
        </w:r>
        <w:r>
          <w:fldChar w:fldCharType="end"/>
        </w:r>
      </w:hyperlink>
    </w:p>
    <w:p>
      <w:pPr>
        <w:tabs>
          <w:tab w:val="right" w:leader="dot" w:pos="9062"/>
        </w:tabs>
        <w:ind w:left="440"/>
      </w:pPr>
      <w:hyperlink w:anchor="_Toc6257" w:history="1">
        <w:r>
          <w:rPr>
            <w:rFonts w:ascii="IRNazanin" w:hAnsi="IRNazanin" w:eastAsia="IRNazanin" w:cs="IRNazanin"/>
            <w:color w:val="111111"/>
            <w:sz w:val="22"/>
            <w:szCs w:val="22"/>
            <w:b w:val="0"/>
            <w:bCs w:val="0"/>
            <w:i w:val="0"/>
            <w:iCs w:val="0"/>
          </w:rPr>
          <w:t>5717- دیوان قاآنی شیرازی‏</w:t>
        </w:r>
        <w:r>
          <w:tab/>
        </w:r>
        <w:r>
          <w:fldChar w:fldCharType="begin"/>
        </w:r>
        <w:r>
          <w:instrText xml:space="preserve">PAGEREF 6257 \h</w:instrText>
        </w:r>
        <w:r>
          <w:fldChar w:fldCharType="end"/>
        </w:r>
      </w:hyperlink>
    </w:p>
    <w:p>
      <w:pPr>
        <w:tabs>
          <w:tab w:val="right" w:leader="dot" w:pos="9062"/>
        </w:tabs>
        <w:ind w:left="440"/>
      </w:pPr>
      <w:hyperlink w:anchor="_Toc6258" w:history="1">
        <w:r>
          <w:rPr>
            <w:rFonts w:ascii="IRNazanin" w:hAnsi="IRNazanin" w:eastAsia="IRNazanin" w:cs="IRNazanin"/>
            <w:color w:val="111111"/>
            <w:sz w:val="22"/>
            <w:szCs w:val="22"/>
            <w:b w:val="0"/>
            <w:bCs w:val="0"/>
            <w:i w:val="0"/>
            <w:iCs w:val="0"/>
          </w:rPr>
          <w:t>5718- دیوان قائلی سبزواری أو شعره‏</w:t>
        </w:r>
        <w:r>
          <w:tab/>
        </w:r>
        <w:r>
          <w:fldChar w:fldCharType="begin"/>
        </w:r>
        <w:r>
          <w:instrText xml:space="preserve">PAGEREF 6258 \h</w:instrText>
        </w:r>
        <w:r>
          <w:fldChar w:fldCharType="end"/>
        </w:r>
      </w:hyperlink>
    </w:p>
    <w:p>
      <w:pPr>
        <w:tabs>
          <w:tab w:val="right" w:leader="dot" w:pos="9062"/>
        </w:tabs>
        <w:ind w:left="440"/>
      </w:pPr>
      <w:hyperlink w:anchor="_Toc6259" w:history="1">
        <w:r>
          <w:rPr>
            <w:rFonts w:ascii="IRNazanin" w:hAnsi="IRNazanin" w:eastAsia="IRNazanin" w:cs="IRNazanin"/>
            <w:color w:val="111111"/>
            <w:sz w:val="22"/>
            <w:szCs w:val="22"/>
            <w:b w:val="0"/>
            <w:bCs w:val="0"/>
            <w:i w:val="0"/>
            <w:iCs w:val="0"/>
          </w:rPr>
          <w:t>دیوان قائم مقام‏</w:t>
        </w:r>
        <w:r>
          <w:tab/>
        </w:r>
        <w:r>
          <w:fldChar w:fldCharType="begin"/>
        </w:r>
        <w:r>
          <w:instrText xml:space="preserve">PAGEREF 6259 \h</w:instrText>
        </w:r>
        <w:r>
          <w:fldChar w:fldCharType="end"/>
        </w:r>
      </w:hyperlink>
    </w:p>
    <w:p>
      <w:pPr>
        <w:tabs>
          <w:tab w:val="right" w:leader="dot" w:pos="9062"/>
        </w:tabs>
        <w:ind w:left="440"/>
      </w:pPr>
      <w:hyperlink w:anchor="_Toc6260" w:history="1">
        <w:r>
          <w:rPr>
            <w:rFonts w:ascii="IRNazanin" w:hAnsi="IRNazanin" w:eastAsia="IRNazanin" w:cs="IRNazanin"/>
            <w:color w:val="111111"/>
            <w:sz w:val="22"/>
            <w:szCs w:val="22"/>
            <w:b w:val="0"/>
            <w:bCs w:val="0"/>
            <w:i w:val="0"/>
            <w:iCs w:val="0"/>
          </w:rPr>
          <w:t>5719- دیوان قائم مقام فراهانی‏</w:t>
        </w:r>
        <w:r>
          <w:tab/>
        </w:r>
        <w:r>
          <w:fldChar w:fldCharType="begin"/>
        </w:r>
        <w:r>
          <w:instrText xml:space="preserve">PAGEREF 6260 \h</w:instrText>
        </w:r>
        <w:r>
          <w:fldChar w:fldCharType="end"/>
        </w:r>
      </w:hyperlink>
    </w:p>
    <w:p>
      <w:pPr>
        <w:tabs>
          <w:tab w:val="right" w:leader="dot" w:pos="9062"/>
        </w:tabs>
        <w:ind w:left="440"/>
      </w:pPr>
      <w:hyperlink w:anchor="_Toc6261" w:history="1">
        <w:r>
          <w:rPr>
            <w:rFonts w:ascii="IRNazanin" w:hAnsi="IRNazanin" w:eastAsia="IRNazanin" w:cs="IRNazanin"/>
            <w:color w:val="111111"/>
            <w:sz w:val="22"/>
            <w:szCs w:val="22"/>
            <w:b w:val="0"/>
            <w:bCs w:val="0"/>
            <w:i w:val="0"/>
            <w:iCs w:val="0"/>
          </w:rPr>
          <w:t>دیوان قائم‏مقامی‏</w:t>
        </w:r>
        <w:r>
          <w:tab/>
        </w:r>
        <w:r>
          <w:fldChar w:fldCharType="begin"/>
        </w:r>
        <w:r>
          <w:instrText xml:space="preserve">PAGEREF 6261 \h</w:instrText>
        </w:r>
        <w:r>
          <w:fldChar w:fldCharType="end"/>
        </w:r>
      </w:hyperlink>
    </w:p>
    <w:p>
      <w:pPr>
        <w:tabs>
          <w:tab w:val="right" w:leader="dot" w:pos="9062"/>
        </w:tabs>
        <w:ind w:left="440"/>
      </w:pPr>
      <w:hyperlink w:anchor="_Toc6262" w:history="1">
        <w:r>
          <w:rPr>
            <w:rFonts w:ascii="IRNazanin" w:hAnsi="IRNazanin" w:eastAsia="IRNazanin" w:cs="IRNazanin"/>
            <w:color w:val="111111"/>
            <w:sz w:val="22"/>
            <w:szCs w:val="22"/>
            <w:b w:val="0"/>
            <w:bCs w:val="0"/>
            <w:i w:val="0"/>
            <w:iCs w:val="0"/>
          </w:rPr>
          <w:t>5720- دیوان قائمی‏</w:t>
        </w:r>
        <w:r>
          <w:tab/>
        </w:r>
        <w:r>
          <w:fldChar w:fldCharType="begin"/>
        </w:r>
        <w:r>
          <w:instrText xml:space="preserve">PAGEREF 6262 \h</w:instrText>
        </w:r>
        <w:r>
          <w:fldChar w:fldCharType="end"/>
        </w:r>
      </w:hyperlink>
    </w:p>
    <w:p>
      <w:pPr>
        <w:tabs>
          <w:tab w:val="right" w:leader="dot" w:pos="9062"/>
        </w:tabs>
        <w:ind w:left="440"/>
      </w:pPr>
      <w:hyperlink w:anchor="_Toc6263" w:history="1">
        <w:r>
          <w:rPr>
            <w:rFonts w:ascii="IRNazanin" w:hAnsi="IRNazanin" w:eastAsia="IRNazanin" w:cs="IRNazanin"/>
            <w:color w:val="111111"/>
            <w:sz w:val="22"/>
            <w:szCs w:val="22"/>
            <w:b w:val="0"/>
            <w:bCs w:val="0"/>
            <w:i w:val="0"/>
            <w:iCs w:val="0"/>
          </w:rPr>
          <w:t>5721- دیوان قائمی قمی أو شعره‏</w:t>
        </w:r>
        <w:r>
          <w:tab/>
        </w:r>
        <w:r>
          <w:fldChar w:fldCharType="begin"/>
        </w:r>
        <w:r>
          <w:instrText xml:space="preserve">PAGEREF 6263 \h</w:instrText>
        </w:r>
        <w:r>
          <w:fldChar w:fldCharType="end"/>
        </w:r>
      </w:hyperlink>
    </w:p>
    <w:p>
      <w:pPr>
        <w:tabs>
          <w:tab w:val="right" w:leader="dot" w:pos="9062"/>
        </w:tabs>
        <w:ind w:left="440"/>
      </w:pPr>
      <w:hyperlink w:anchor="_Toc6264" w:history="1">
        <w:r>
          <w:rPr>
            <w:rFonts w:ascii="IRNazanin" w:hAnsi="IRNazanin" w:eastAsia="IRNazanin" w:cs="IRNazanin"/>
            <w:color w:val="111111"/>
            <w:sz w:val="22"/>
            <w:szCs w:val="22"/>
            <w:b w:val="0"/>
            <w:bCs w:val="0"/>
            <w:i w:val="0"/>
            <w:iCs w:val="0"/>
          </w:rPr>
          <w:t>5722- دیوان قابل ایروانی أو شعره‏</w:t>
        </w:r>
        <w:r>
          <w:tab/>
        </w:r>
        <w:r>
          <w:fldChar w:fldCharType="begin"/>
        </w:r>
        <w:r>
          <w:instrText xml:space="preserve">PAGEREF 6264 \h</w:instrText>
        </w:r>
        <w:r>
          <w:fldChar w:fldCharType="end"/>
        </w:r>
      </w:hyperlink>
    </w:p>
    <w:p>
      <w:pPr>
        <w:tabs>
          <w:tab w:val="right" w:leader="dot" w:pos="9062"/>
        </w:tabs>
        <w:ind w:left="440"/>
      </w:pPr>
      <w:hyperlink w:anchor="_Toc6265" w:history="1">
        <w:r>
          <w:rPr>
            <w:rFonts w:ascii="IRNazanin" w:hAnsi="IRNazanin" w:eastAsia="IRNazanin" w:cs="IRNazanin"/>
            <w:color w:val="111111"/>
            <w:sz w:val="22"/>
            <w:szCs w:val="22"/>
            <w:b w:val="0"/>
            <w:bCs w:val="0"/>
            <w:i w:val="0"/>
            <w:iCs w:val="0"/>
          </w:rPr>
          <w:t>5723- دیوان قابل بلگرامی‏</w:t>
        </w:r>
        <w:r>
          <w:tab/>
        </w:r>
        <w:r>
          <w:fldChar w:fldCharType="begin"/>
        </w:r>
        <w:r>
          <w:instrText xml:space="preserve">PAGEREF 6265 \h</w:instrText>
        </w:r>
        <w:r>
          <w:fldChar w:fldCharType="end"/>
        </w:r>
      </w:hyperlink>
    </w:p>
    <w:p>
      <w:pPr>
        <w:tabs>
          <w:tab w:val="right" w:leader="dot" w:pos="9062"/>
        </w:tabs>
        <w:ind w:left="440"/>
      </w:pPr>
      <w:hyperlink w:anchor="_Toc6266" w:history="1">
        <w:r>
          <w:rPr>
            <w:rFonts w:ascii="IRNazanin" w:hAnsi="IRNazanin" w:eastAsia="IRNazanin" w:cs="IRNazanin"/>
            <w:color w:val="111111"/>
            <w:sz w:val="22"/>
            <w:szCs w:val="22"/>
            <w:b w:val="0"/>
            <w:bCs w:val="0"/>
            <w:i w:val="0"/>
            <w:iCs w:val="0"/>
          </w:rPr>
          <w:t>5724- دیوان قابل شیرازی أو شعره‏</w:t>
        </w:r>
        <w:r>
          <w:tab/>
        </w:r>
        <w:r>
          <w:fldChar w:fldCharType="begin"/>
        </w:r>
        <w:r>
          <w:instrText xml:space="preserve">PAGEREF 6266 \h</w:instrText>
        </w:r>
        <w:r>
          <w:fldChar w:fldCharType="end"/>
        </w:r>
      </w:hyperlink>
    </w:p>
    <w:p>
      <w:pPr>
        <w:tabs>
          <w:tab w:val="right" w:leader="dot" w:pos="9062"/>
        </w:tabs>
        <w:ind w:left="440"/>
      </w:pPr>
      <w:hyperlink w:anchor="_Toc6267" w:history="1">
        <w:r>
          <w:rPr>
            <w:rFonts w:ascii="IRNazanin" w:hAnsi="IRNazanin" w:eastAsia="IRNazanin" w:cs="IRNazanin"/>
            <w:color w:val="111111"/>
            <w:sz w:val="22"/>
            <w:szCs w:val="22"/>
            <w:b w:val="0"/>
            <w:bCs w:val="0"/>
            <w:i w:val="0"/>
            <w:iCs w:val="0"/>
          </w:rPr>
          <w:t>5725- دیوان قابل کشمیری أو شعره‏</w:t>
        </w:r>
        <w:r>
          <w:tab/>
        </w:r>
        <w:r>
          <w:fldChar w:fldCharType="begin"/>
        </w:r>
        <w:r>
          <w:instrText xml:space="preserve">PAGEREF 6267 \h</w:instrText>
        </w:r>
        <w:r>
          <w:fldChar w:fldCharType="end"/>
        </w:r>
      </w:hyperlink>
    </w:p>
    <w:p>
      <w:pPr>
        <w:tabs>
          <w:tab w:val="right" w:leader="dot" w:pos="9062"/>
        </w:tabs>
        <w:ind w:left="440"/>
      </w:pPr>
      <w:hyperlink w:anchor="_Toc6268" w:history="1">
        <w:r>
          <w:rPr>
            <w:rFonts w:ascii="IRNazanin" w:hAnsi="IRNazanin" w:eastAsia="IRNazanin" w:cs="IRNazanin"/>
            <w:color w:val="111111"/>
            <w:sz w:val="22"/>
            <w:szCs w:val="22"/>
            <w:b w:val="0"/>
            <w:bCs w:val="0"/>
            <w:i w:val="0"/>
            <w:iCs w:val="0"/>
          </w:rPr>
          <w:t>5726- دیوان قابل هندی أو شعره‏</w:t>
        </w:r>
        <w:r>
          <w:tab/>
        </w:r>
        <w:r>
          <w:fldChar w:fldCharType="begin"/>
        </w:r>
        <w:r>
          <w:instrText xml:space="preserve">PAGEREF 6268 \h</w:instrText>
        </w:r>
        <w:r>
          <w:fldChar w:fldCharType="end"/>
        </w:r>
      </w:hyperlink>
    </w:p>
    <w:p>
      <w:pPr>
        <w:tabs>
          <w:tab w:val="right" w:leader="dot" w:pos="9062"/>
        </w:tabs>
        <w:ind w:left="440"/>
      </w:pPr>
      <w:hyperlink w:anchor="_Toc6269" w:history="1">
        <w:r>
          <w:rPr>
            <w:rFonts w:ascii="IRNazanin" w:hAnsi="IRNazanin" w:eastAsia="IRNazanin" w:cs="IRNazanin"/>
            <w:color w:val="111111"/>
            <w:sz w:val="22"/>
            <w:szCs w:val="22"/>
            <w:b w:val="0"/>
            <w:bCs w:val="0"/>
            <w:i w:val="0"/>
            <w:iCs w:val="0"/>
          </w:rPr>
          <w:t>5727- دیوان قابلی أو شعره‏</w:t>
        </w:r>
        <w:r>
          <w:tab/>
        </w:r>
        <w:r>
          <w:fldChar w:fldCharType="begin"/>
        </w:r>
        <w:r>
          <w:instrText xml:space="preserve">PAGEREF 6269 \h</w:instrText>
        </w:r>
        <w:r>
          <w:fldChar w:fldCharType="end"/>
        </w:r>
      </w:hyperlink>
    </w:p>
    <w:p>
      <w:pPr>
        <w:tabs>
          <w:tab w:val="right" w:leader="dot" w:pos="9062"/>
        </w:tabs>
        <w:ind w:left="440"/>
      </w:pPr>
      <w:hyperlink w:anchor="_Toc6270" w:history="1">
        <w:r>
          <w:rPr>
            <w:rFonts w:ascii="IRNazanin" w:hAnsi="IRNazanin" w:eastAsia="IRNazanin" w:cs="IRNazanin"/>
            <w:color w:val="111111"/>
            <w:sz w:val="22"/>
            <w:szCs w:val="22"/>
            <w:b w:val="0"/>
            <w:bCs w:val="0"/>
            <w:i w:val="0"/>
            <w:iCs w:val="0"/>
          </w:rPr>
          <w:t>5728- دیوان قابوس‏</w:t>
        </w:r>
        <w:r>
          <w:tab/>
        </w:r>
        <w:r>
          <w:fldChar w:fldCharType="begin"/>
        </w:r>
        <w:r>
          <w:instrText xml:space="preserve">PAGEREF 6270 \h</w:instrText>
        </w:r>
        <w:r>
          <w:fldChar w:fldCharType="end"/>
        </w:r>
      </w:hyperlink>
    </w:p>
    <w:p>
      <w:pPr>
        <w:tabs>
          <w:tab w:val="right" w:leader="dot" w:pos="9062"/>
        </w:tabs>
        <w:ind w:left="440"/>
      </w:pPr>
      <w:hyperlink w:anchor="_Toc6271" w:history="1">
        <w:r>
          <w:rPr>
            <w:rFonts w:ascii="IRNazanin" w:hAnsi="IRNazanin" w:eastAsia="IRNazanin" w:cs="IRNazanin"/>
            <w:color w:val="111111"/>
            <w:sz w:val="22"/>
            <w:szCs w:val="22"/>
            <w:b w:val="0"/>
            <w:bCs w:val="0"/>
            <w:i w:val="0"/>
            <w:iCs w:val="0"/>
          </w:rPr>
          <w:t>5729- دیوان قادر تونی‏</w:t>
        </w:r>
        <w:r>
          <w:tab/>
        </w:r>
        <w:r>
          <w:fldChar w:fldCharType="begin"/>
        </w:r>
        <w:r>
          <w:instrText xml:space="preserve">PAGEREF 6271 \h</w:instrText>
        </w:r>
        <w:r>
          <w:fldChar w:fldCharType="end"/>
        </w:r>
      </w:hyperlink>
    </w:p>
    <w:p>
      <w:pPr>
        <w:tabs>
          <w:tab w:val="right" w:leader="dot" w:pos="9062"/>
        </w:tabs>
        <w:ind w:left="440"/>
      </w:pPr>
      <w:hyperlink w:anchor="_Toc6272" w:history="1">
        <w:r>
          <w:rPr>
            <w:rFonts w:ascii="IRNazanin" w:hAnsi="IRNazanin" w:eastAsia="IRNazanin" w:cs="IRNazanin"/>
            <w:color w:val="111111"/>
            <w:sz w:val="22"/>
            <w:szCs w:val="22"/>
            <w:b w:val="0"/>
            <w:bCs w:val="0"/>
            <w:i w:val="0"/>
            <w:iCs w:val="0"/>
          </w:rPr>
          <w:t>5730- دیوان قادر مشهدی‏</w:t>
        </w:r>
        <w:r>
          <w:tab/>
        </w:r>
        <w:r>
          <w:fldChar w:fldCharType="begin"/>
        </w:r>
        <w:r>
          <w:instrText xml:space="preserve">PAGEREF 6272 \h</w:instrText>
        </w:r>
        <w:r>
          <w:fldChar w:fldCharType="end"/>
        </w:r>
      </w:hyperlink>
    </w:p>
    <w:p>
      <w:pPr>
        <w:tabs>
          <w:tab w:val="right" w:leader="dot" w:pos="9062"/>
        </w:tabs>
        <w:ind w:left="440"/>
      </w:pPr>
      <w:hyperlink w:anchor="_Toc6273" w:history="1">
        <w:r>
          <w:rPr>
            <w:rFonts w:ascii="IRNazanin" w:hAnsi="IRNazanin" w:eastAsia="IRNazanin" w:cs="IRNazanin"/>
            <w:color w:val="111111"/>
            <w:sz w:val="22"/>
            <w:szCs w:val="22"/>
            <w:b w:val="0"/>
            <w:bCs w:val="0"/>
            <w:i w:val="0"/>
            <w:iCs w:val="0"/>
          </w:rPr>
          <w:t>5731- دیوان قادری‏</w:t>
        </w:r>
        <w:r>
          <w:tab/>
        </w:r>
        <w:r>
          <w:fldChar w:fldCharType="begin"/>
        </w:r>
        <w:r>
          <w:instrText xml:space="preserve">PAGEREF 6273 \h</w:instrText>
        </w:r>
        <w:r>
          <w:fldChar w:fldCharType="end"/>
        </w:r>
      </w:hyperlink>
    </w:p>
    <w:p>
      <w:pPr>
        <w:tabs>
          <w:tab w:val="right" w:leader="dot" w:pos="9062"/>
        </w:tabs>
        <w:ind w:left="440"/>
      </w:pPr>
      <w:hyperlink w:anchor="_Toc6274" w:history="1">
        <w:r>
          <w:rPr>
            <w:rFonts w:ascii="IRNazanin" w:hAnsi="IRNazanin" w:eastAsia="IRNazanin" w:cs="IRNazanin"/>
            <w:color w:val="111111"/>
            <w:sz w:val="22"/>
            <w:szCs w:val="22"/>
            <w:b w:val="0"/>
            <w:bCs w:val="0"/>
            <w:i w:val="0"/>
            <w:iCs w:val="0"/>
          </w:rPr>
          <w:t>5732- دیوان قادر خراسانی‏</w:t>
        </w:r>
        <w:r>
          <w:tab/>
        </w:r>
        <w:r>
          <w:fldChar w:fldCharType="begin"/>
        </w:r>
        <w:r>
          <w:instrText xml:space="preserve">PAGEREF 6274 \h</w:instrText>
        </w:r>
        <w:r>
          <w:fldChar w:fldCharType="end"/>
        </w:r>
      </w:hyperlink>
    </w:p>
    <w:p>
      <w:pPr>
        <w:tabs>
          <w:tab w:val="right" w:leader="dot" w:pos="9062"/>
        </w:tabs>
        <w:ind w:left="440"/>
      </w:pPr>
      <w:hyperlink w:anchor="_Toc6275" w:history="1">
        <w:r>
          <w:rPr>
            <w:rFonts w:ascii="IRNazanin" w:hAnsi="IRNazanin" w:eastAsia="IRNazanin" w:cs="IRNazanin"/>
            <w:color w:val="111111"/>
            <w:sz w:val="22"/>
            <w:szCs w:val="22"/>
            <w:b w:val="0"/>
            <w:bCs w:val="0"/>
            <w:i w:val="0"/>
            <w:iCs w:val="0"/>
          </w:rPr>
          <w:t>5733- دیوان قاری تبتی‏</w:t>
        </w:r>
        <w:r>
          <w:tab/>
        </w:r>
        <w:r>
          <w:fldChar w:fldCharType="begin"/>
        </w:r>
        <w:r>
          <w:instrText xml:space="preserve">PAGEREF 6275 \h</w:instrText>
        </w:r>
        <w:r>
          <w:fldChar w:fldCharType="end"/>
        </w:r>
      </w:hyperlink>
    </w:p>
    <w:p>
      <w:pPr>
        <w:tabs>
          <w:tab w:val="right" w:leader="dot" w:pos="9062"/>
        </w:tabs>
        <w:ind w:left="440"/>
      </w:pPr>
      <w:hyperlink w:anchor="_Toc6276" w:history="1">
        <w:r>
          <w:rPr>
            <w:rFonts w:ascii="IRNazanin" w:hAnsi="IRNazanin" w:eastAsia="IRNazanin" w:cs="IRNazanin"/>
            <w:color w:val="111111"/>
            <w:sz w:val="22"/>
            <w:szCs w:val="22"/>
            <w:b w:val="0"/>
            <w:bCs w:val="0"/>
            <w:i w:val="0"/>
            <w:iCs w:val="0"/>
          </w:rPr>
          <w:t>5734- دیوان قاری هندی‏</w:t>
        </w:r>
        <w:r>
          <w:tab/>
        </w:r>
        <w:r>
          <w:fldChar w:fldCharType="begin"/>
        </w:r>
        <w:r>
          <w:instrText xml:space="preserve">PAGEREF 6276 \h</w:instrText>
        </w:r>
        <w:r>
          <w:fldChar w:fldCharType="end"/>
        </w:r>
      </w:hyperlink>
    </w:p>
    <w:p>
      <w:pPr>
        <w:tabs>
          <w:tab w:val="right" w:leader="dot" w:pos="9062"/>
        </w:tabs>
        <w:ind w:left="440"/>
      </w:pPr>
      <w:hyperlink w:anchor="_Toc6277" w:history="1">
        <w:r>
          <w:rPr>
            <w:rFonts w:ascii="IRNazanin" w:hAnsi="IRNazanin" w:eastAsia="IRNazanin" w:cs="IRNazanin"/>
            <w:color w:val="111111"/>
            <w:sz w:val="22"/>
            <w:szCs w:val="22"/>
            <w:b w:val="0"/>
            <w:bCs w:val="0"/>
            <w:i w:val="0"/>
            <w:iCs w:val="0"/>
          </w:rPr>
          <w:t>دیوان قاری یزدی‏</w:t>
        </w:r>
        <w:r>
          <w:tab/>
        </w:r>
        <w:r>
          <w:fldChar w:fldCharType="begin"/>
        </w:r>
        <w:r>
          <w:instrText xml:space="preserve">PAGEREF 6277 \h</w:instrText>
        </w:r>
        <w:r>
          <w:fldChar w:fldCharType="end"/>
        </w:r>
      </w:hyperlink>
    </w:p>
    <w:p>
      <w:pPr>
        <w:tabs>
          <w:tab w:val="right" w:leader="dot" w:pos="9062"/>
        </w:tabs>
        <w:ind w:left="440"/>
      </w:pPr>
      <w:hyperlink w:anchor="_Toc6278" w:history="1">
        <w:r>
          <w:rPr>
            <w:rFonts w:ascii="IRNazanin" w:hAnsi="IRNazanin" w:eastAsia="IRNazanin" w:cs="IRNazanin"/>
            <w:color w:val="111111"/>
            <w:sz w:val="22"/>
            <w:szCs w:val="22"/>
            <w:b w:val="0"/>
            <w:bCs w:val="0"/>
            <w:i w:val="0"/>
            <w:iCs w:val="0"/>
          </w:rPr>
          <w:t>دیوان قاسم‏</w:t>
        </w:r>
        <w:r>
          <w:tab/>
        </w:r>
        <w:r>
          <w:fldChar w:fldCharType="begin"/>
        </w:r>
        <w:r>
          <w:instrText xml:space="preserve">PAGEREF 6278 \h</w:instrText>
        </w:r>
        <w:r>
          <w:fldChar w:fldCharType="end"/>
        </w:r>
      </w:hyperlink>
    </w:p>
    <w:p>
      <w:pPr>
        <w:tabs>
          <w:tab w:val="right" w:leader="dot" w:pos="9062"/>
        </w:tabs>
        <w:ind w:left="440"/>
      </w:pPr>
      <w:hyperlink w:anchor="_Toc6279" w:history="1">
        <w:r>
          <w:rPr>
            <w:rFonts w:ascii="IRNazanin" w:hAnsi="IRNazanin" w:eastAsia="IRNazanin" w:cs="IRNazanin"/>
            <w:color w:val="111111"/>
            <w:sz w:val="22"/>
            <w:szCs w:val="22"/>
            <w:b w:val="0"/>
            <w:bCs w:val="0"/>
            <w:i w:val="0"/>
            <w:iCs w:val="0"/>
          </w:rPr>
          <w:t>5735- دیوان قاسم أردبیلی‏</w:t>
        </w:r>
        <w:r>
          <w:tab/>
        </w:r>
        <w:r>
          <w:fldChar w:fldCharType="begin"/>
        </w:r>
        <w:r>
          <w:instrText xml:space="preserve">PAGEREF 6279 \h</w:instrText>
        </w:r>
        <w:r>
          <w:fldChar w:fldCharType="end"/>
        </w:r>
      </w:hyperlink>
    </w:p>
    <w:p>
      <w:pPr>
        <w:tabs>
          <w:tab w:val="right" w:leader="dot" w:pos="9062"/>
        </w:tabs>
        <w:ind w:left="440"/>
      </w:pPr>
      <w:hyperlink w:anchor="_Toc6280" w:history="1">
        <w:r>
          <w:rPr>
            <w:rFonts w:ascii="IRNazanin" w:hAnsi="IRNazanin" w:eastAsia="IRNazanin" w:cs="IRNazanin"/>
            <w:color w:val="111111"/>
            <w:sz w:val="22"/>
            <w:szCs w:val="22"/>
            <w:b w:val="0"/>
            <w:bCs w:val="0"/>
            <w:i w:val="0"/>
            <w:iCs w:val="0"/>
          </w:rPr>
          <w:t>دیوان قاسم أردستانی‏</w:t>
        </w:r>
        <w:r>
          <w:tab/>
        </w:r>
        <w:r>
          <w:fldChar w:fldCharType="begin"/>
        </w:r>
        <w:r>
          <w:instrText xml:space="preserve">PAGEREF 6280 \h</w:instrText>
        </w:r>
        <w:r>
          <w:fldChar w:fldCharType="end"/>
        </w:r>
      </w:hyperlink>
    </w:p>
    <w:p>
      <w:pPr>
        <w:tabs>
          <w:tab w:val="right" w:leader="dot" w:pos="9062"/>
        </w:tabs>
        <w:ind w:left="440"/>
      </w:pPr>
      <w:hyperlink w:anchor="_Toc6281" w:history="1">
        <w:r>
          <w:rPr>
            <w:rFonts w:ascii="IRNazanin" w:hAnsi="IRNazanin" w:eastAsia="IRNazanin" w:cs="IRNazanin"/>
            <w:color w:val="111111"/>
            <w:sz w:val="22"/>
            <w:szCs w:val="22"/>
            <w:b w:val="0"/>
            <w:bCs w:val="0"/>
            <w:i w:val="0"/>
            <w:iCs w:val="0"/>
          </w:rPr>
          <w:t>5736- دیوان قاسم أنوار</w:t>
        </w:r>
        <w:r>
          <w:tab/>
        </w:r>
        <w:r>
          <w:fldChar w:fldCharType="begin"/>
        </w:r>
        <w:r>
          <w:instrText xml:space="preserve">PAGEREF 6281 \h</w:instrText>
        </w:r>
        <w:r>
          <w:fldChar w:fldCharType="end"/>
        </w:r>
      </w:hyperlink>
    </w:p>
    <w:p>
      <w:pPr>
        <w:tabs>
          <w:tab w:val="right" w:leader="dot" w:pos="9062"/>
        </w:tabs>
        <w:ind w:left="440"/>
      </w:pPr>
      <w:hyperlink w:anchor="_Toc6282" w:history="1">
        <w:r>
          <w:rPr>
            <w:rFonts w:ascii="IRNazanin" w:hAnsi="IRNazanin" w:eastAsia="IRNazanin" w:cs="IRNazanin"/>
            <w:color w:val="111111"/>
            <w:sz w:val="22"/>
            <w:szCs w:val="22"/>
            <w:b w:val="0"/>
            <w:bCs w:val="0"/>
            <w:i w:val="0"/>
            <w:iCs w:val="0"/>
          </w:rPr>
          <w:t>دیوان قاسم بدلا</w:t>
        </w:r>
        <w:r>
          <w:tab/>
        </w:r>
        <w:r>
          <w:fldChar w:fldCharType="begin"/>
        </w:r>
        <w:r>
          <w:instrText xml:space="preserve">PAGEREF 6282 \h</w:instrText>
        </w:r>
        <w:r>
          <w:fldChar w:fldCharType="end"/>
        </w:r>
      </w:hyperlink>
    </w:p>
    <w:p>
      <w:pPr>
        <w:tabs>
          <w:tab w:val="right" w:leader="dot" w:pos="9062"/>
        </w:tabs>
        <w:ind w:left="440"/>
      </w:pPr>
      <w:hyperlink w:anchor="_Toc6283" w:history="1">
        <w:r>
          <w:rPr>
            <w:rFonts w:ascii="IRNazanin" w:hAnsi="IRNazanin" w:eastAsia="IRNazanin" w:cs="IRNazanin"/>
            <w:color w:val="111111"/>
            <w:sz w:val="22"/>
            <w:szCs w:val="22"/>
            <w:b w:val="0"/>
            <w:bCs w:val="0"/>
            <w:i w:val="0"/>
            <w:iCs w:val="0"/>
          </w:rPr>
          <w:t>5737- دیوان قاسم بروجردی أو شعره‏</w:t>
        </w:r>
        <w:r>
          <w:tab/>
        </w:r>
        <w:r>
          <w:fldChar w:fldCharType="begin"/>
        </w:r>
        <w:r>
          <w:instrText xml:space="preserve">PAGEREF 6283 \h</w:instrText>
        </w:r>
        <w:r>
          <w:fldChar w:fldCharType="end"/>
        </w:r>
      </w:hyperlink>
    </w:p>
    <w:p>
      <w:pPr>
        <w:tabs>
          <w:tab w:val="right" w:leader="dot" w:pos="9062"/>
        </w:tabs>
        <w:ind w:left="440"/>
      </w:pPr>
      <w:hyperlink w:anchor="_Toc6284" w:history="1">
        <w:r>
          <w:rPr>
            <w:rFonts w:ascii="IRNazanin" w:hAnsi="IRNazanin" w:eastAsia="IRNazanin" w:cs="IRNazanin"/>
            <w:color w:val="111111"/>
            <w:sz w:val="22"/>
            <w:szCs w:val="22"/>
            <w:b w:val="0"/>
            <w:bCs w:val="0"/>
            <w:i w:val="0"/>
            <w:iCs w:val="0"/>
          </w:rPr>
          <w:t>5738- دیوان قاسم بیضاوی‏</w:t>
        </w:r>
        <w:r>
          <w:tab/>
        </w:r>
        <w:r>
          <w:fldChar w:fldCharType="begin"/>
        </w:r>
        <w:r>
          <w:instrText xml:space="preserve">PAGEREF 6284 \h</w:instrText>
        </w:r>
        <w:r>
          <w:fldChar w:fldCharType="end"/>
        </w:r>
      </w:hyperlink>
    </w:p>
    <w:p>
      <w:pPr>
        <w:tabs>
          <w:tab w:val="right" w:leader="dot" w:pos="9062"/>
        </w:tabs>
        <w:ind w:left="440"/>
      </w:pPr>
      <w:hyperlink w:anchor="_Toc6285" w:history="1">
        <w:r>
          <w:rPr>
            <w:rFonts w:ascii="IRNazanin" w:hAnsi="IRNazanin" w:eastAsia="IRNazanin" w:cs="IRNazanin"/>
            <w:color w:val="111111"/>
            <w:sz w:val="22"/>
            <w:szCs w:val="22"/>
            <w:b w:val="0"/>
            <w:bCs w:val="0"/>
            <w:i w:val="0"/>
            <w:iCs w:val="0"/>
          </w:rPr>
          <w:t>5739- دیوان قاسم بیگ أو شعره‏</w:t>
        </w:r>
        <w:r>
          <w:tab/>
        </w:r>
        <w:r>
          <w:fldChar w:fldCharType="begin"/>
        </w:r>
        <w:r>
          <w:instrText xml:space="preserve">PAGEREF 6285 \h</w:instrText>
        </w:r>
        <w:r>
          <w:fldChar w:fldCharType="end"/>
        </w:r>
      </w:hyperlink>
    </w:p>
    <w:p>
      <w:pPr>
        <w:tabs>
          <w:tab w:val="right" w:leader="dot" w:pos="9062"/>
        </w:tabs>
        <w:ind w:left="440"/>
      </w:pPr>
      <w:hyperlink w:anchor="_Toc6286" w:history="1">
        <w:r>
          <w:rPr>
            <w:rFonts w:ascii="IRNazanin" w:hAnsi="IRNazanin" w:eastAsia="IRNazanin" w:cs="IRNazanin"/>
            <w:color w:val="111111"/>
            <w:sz w:val="22"/>
            <w:szCs w:val="22"/>
            <w:b w:val="0"/>
            <w:bCs w:val="0"/>
            <w:i w:val="0"/>
            <w:iCs w:val="0"/>
          </w:rPr>
          <w:t>دیوان قاسم تبریزی‏</w:t>
        </w:r>
        <w:r>
          <w:tab/>
        </w:r>
        <w:r>
          <w:fldChar w:fldCharType="begin"/>
        </w:r>
        <w:r>
          <w:instrText xml:space="preserve">PAGEREF 6286 \h</w:instrText>
        </w:r>
        <w:r>
          <w:fldChar w:fldCharType="end"/>
        </w:r>
      </w:hyperlink>
    </w:p>
    <w:p>
      <w:pPr>
        <w:tabs>
          <w:tab w:val="right" w:leader="dot" w:pos="9062"/>
        </w:tabs>
        <w:ind w:left="440"/>
      </w:pPr>
      <w:hyperlink w:anchor="_Toc6287" w:history="1">
        <w:r>
          <w:rPr>
            <w:rFonts w:ascii="IRNazanin" w:hAnsi="IRNazanin" w:eastAsia="IRNazanin" w:cs="IRNazanin"/>
            <w:color w:val="111111"/>
            <w:sz w:val="22"/>
            <w:szCs w:val="22"/>
            <w:b w:val="0"/>
            <w:bCs w:val="0"/>
            <w:i w:val="0"/>
            <w:iCs w:val="0"/>
          </w:rPr>
          <w:t>5740- دیوان قاسم جنابذی أو شعره‏</w:t>
        </w:r>
        <w:r>
          <w:tab/>
        </w:r>
        <w:r>
          <w:fldChar w:fldCharType="begin"/>
        </w:r>
        <w:r>
          <w:instrText xml:space="preserve">PAGEREF 6287 \h</w:instrText>
        </w:r>
        <w:r>
          <w:fldChar w:fldCharType="end"/>
        </w:r>
      </w:hyperlink>
    </w:p>
    <w:p>
      <w:pPr>
        <w:tabs>
          <w:tab w:val="right" w:leader="dot" w:pos="9062"/>
        </w:tabs>
        <w:ind w:left="440"/>
      </w:pPr>
      <w:hyperlink w:anchor="_Toc6288" w:history="1">
        <w:r>
          <w:rPr>
            <w:rFonts w:ascii="IRNazanin" w:hAnsi="IRNazanin" w:eastAsia="IRNazanin" w:cs="IRNazanin"/>
            <w:color w:val="111111"/>
            <w:sz w:val="22"/>
            <w:szCs w:val="22"/>
            <w:b w:val="0"/>
            <w:bCs w:val="0"/>
            <w:i w:val="0"/>
            <w:iCs w:val="0"/>
          </w:rPr>
          <w:t>5741- دیوان قاسم جوینی‏</w:t>
        </w:r>
        <w:r>
          <w:tab/>
        </w:r>
        <w:r>
          <w:fldChar w:fldCharType="begin"/>
        </w:r>
        <w:r>
          <w:instrText xml:space="preserve">PAGEREF 6288 \h</w:instrText>
        </w:r>
        <w:r>
          <w:fldChar w:fldCharType="end"/>
        </w:r>
      </w:hyperlink>
    </w:p>
    <w:p>
      <w:pPr>
        <w:tabs>
          <w:tab w:val="right" w:leader="dot" w:pos="9062"/>
        </w:tabs>
        <w:ind w:left="440"/>
      </w:pPr>
      <w:hyperlink w:anchor="_Toc6289" w:history="1">
        <w:r>
          <w:rPr>
            <w:rFonts w:ascii="IRNazanin" w:hAnsi="IRNazanin" w:eastAsia="IRNazanin" w:cs="IRNazanin"/>
            <w:color w:val="111111"/>
            <w:sz w:val="22"/>
            <w:szCs w:val="22"/>
            <w:b w:val="0"/>
            <w:bCs w:val="0"/>
            <w:i w:val="0"/>
            <w:iCs w:val="0"/>
          </w:rPr>
          <w:t>5742- دیوان الشیخ قاسم الحلی‏</w:t>
        </w:r>
        <w:r>
          <w:tab/>
        </w:r>
        <w:r>
          <w:fldChar w:fldCharType="begin"/>
        </w:r>
        <w:r>
          <w:instrText xml:space="preserve">PAGEREF 6289 \h</w:instrText>
        </w:r>
        <w:r>
          <w:fldChar w:fldCharType="end"/>
        </w:r>
      </w:hyperlink>
    </w:p>
    <w:p>
      <w:pPr>
        <w:tabs>
          <w:tab w:val="right" w:leader="dot" w:pos="9062"/>
        </w:tabs>
        <w:ind w:left="440"/>
      </w:pPr>
      <w:hyperlink w:anchor="_Toc6290" w:history="1">
        <w:r>
          <w:rPr>
            <w:rFonts w:ascii="IRNazanin" w:hAnsi="IRNazanin" w:eastAsia="IRNazanin" w:cs="IRNazanin"/>
            <w:color w:val="111111"/>
            <w:sz w:val="22"/>
            <w:szCs w:val="22"/>
            <w:b w:val="0"/>
            <w:bCs w:val="0"/>
            <w:i w:val="0"/>
            <w:iCs w:val="0"/>
          </w:rPr>
          <w:t>5743- دیوان قاسم چلبی أو شعره‏</w:t>
        </w:r>
        <w:r>
          <w:tab/>
        </w:r>
        <w:r>
          <w:fldChar w:fldCharType="begin"/>
        </w:r>
        <w:r>
          <w:instrText xml:space="preserve">PAGEREF 6290 \h</w:instrText>
        </w:r>
        <w:r>
          <w:fldChar w:fldCharType="end"/>
        </w:r>
      </w:hyperlink>
    </w:p>
    <w:p>
      <w:pPr>
        <w:tabs>
          <w:tab w:val="right" w:leader="dot" w:pos="9062"/>
        </w:tabs>
        <w:ind w:left="440"/>
      </w:pPr>
      <w:hyperlink w:anchor="_Toc6291" w:history="1">
        <w:r>
          <w:rPr>
            <w:rFonts w:ascii="IRNazanin" w:hAnsi="IRNazanin" w:eastAsia="IRNazanin" w:cs="IRNazanin"/>
            <w:color w:val="111111"/>
            <w:sz w:val="22"/>
            <w:szCs w:val="22"/>
            <w:b w:val="0"/>
            <w:bCs w:val="0"/>
            <w:i w:val="0"/>
            <w:iCs w:val="0"/>
          </w:rPr>
          <w:t>5744- دیوان قاسم خازن أو شعره‏</w:t>
        </w:r>
        <w:r>
          <w:tab/>
        </w:r>
        <w:r>
          <w:fldChar w:fldCharType="begin"/>
        </w:r>
        <w:r>
          <w:instrText xml:space="preserve">PAGEREF 6291 \h</w:instrText>
        </w:r>
        <w:r>
          <w:fldChar w:fldCharType="end"/>
        </w:r>
      </w:hyperlink>
    </w:p>
    <w:p>
      <w:pPr>
        <w:tabs>
          <w:tab w:val="right" w:leader="dot" w:pos="9062"/>
        </w:tabs>
        <w:ind w:left="440"/>
      </w:pPr>
      <w:hyperlink w:anchor="_Toc6292" w:history="1">
        <w:r>
          <w:rPr>
            <w:rFonts w:ascii="IRNazanin" w:hAnsi="IRNazanin" w:eastAsia="IRNazanin" w:cs="IRNazanin"/>
            <w:color w:val="111111"/>
            <w:sz w:val="22"/>
            <w:szCs w:val="22"/>
            <w:b w:val="0"/>
            <w:bCs w:val="0"/>
            <w:i w:val="0"/>
            <w:iCs w:val="0"/>
          </w:rPr>
          <w:t>دیوان قاسم داماد</w:t>
        </w:r>
        <w:r>
          <w:tab/>
        </w:r>
        <w:r>
          <w:fldChar w:fldCharType="begin"/>
        </w:r>
        <w:r>
          <w:instrText xml:space="preserve">PAGEREF 6292 \h</w:instrText>
        </w:r>
        <w:r>
          <w:fldChar w:fldCharType="end"/>
        </w:r>
      </w:hyperlink>
    </w:p>
    <w:p>
      <w:pPr>
        <w:tabs>
          <w:tab w:val="right" w:leader="dot" w:pos="9062"/>
        </w:tabs>
        <w:ind w:left="440"/>
      </w:pPr>
      <w:hyperlink w:anchor="_Toc6293" w:history="1">
        <w:r>
          <w:rPr>
            <w:rFonts w:ascii="IRNazanin" w:hAnsi="IRNazanin" w:eastAsia="IRNazanin" w:cs="IRNazanin"/>
            <w:color w:val="111111"/>
            <w:sz w:val="22"/>
            <w:szCs w:val="22"/>
            <w:b w:val="0"/>
            <w:bCs w:val="0"/>
            <w:i w:val="0"/>
            <w:iCs w:val="0"/>
          </w:rPr>
          <w:t>دیوان قاسم دیوانه المشهدی‏</w:t>
        </w:r>
        <w:r>
          <w:tab/>
        </w:r>
        <w:r>
          <w:fldChar w:fldCharType="begin"/>
        </w:r>
        <w:r>
          <w:instrText xml:space="preserve">PAGEREF 6293 \h</w:instrText>
        </w:r>
        <w:r>
          <w:fldChar w:fldCharType="end"/>
        </w:r>
      </w:hyperlink>
    </w:p>
    <w:p>
      <w:pPr>
        <w:tabs>
          <w:tab w:val="right" w:leader="dot" w:pos="9062"/>
        </w:tabs>
        <w:ind w:left="440"/>
      </w:pPr>
      <w:hyperlink w:anchor="_Toc6294" w:history="1">
        <w:r>
          <w:rPr>
            <w:rFonts w:ascii="IRNazanin" w:hAnsi="IRNazanin" w:eastAsia="IRNazanin" w:cs="IRNazanin"/>
            <w:color w:val="111111"/>
            <w:sz w:val="22"/>
            <w:szCs w:val="22"/>
            <w:b w:val="0"/>
            <w:bCs w:val="0"/>
            <w:i w:val="0"/>
            <w:iCs w:val="0"/>
          </w:rPr>
          <w:t>5745- دیوان قاسم رازی أو شعره‏</w:t>
        </w:r>
        <w:r>
          <w:tab/>
        </w:r>
        <w:r>
          <w:fldChar w:fldCharType="begin"/>
        </w:r>
        <w:r>
          <w:instrText xml:space="preserve">PAGEREF 6294 \h</w:instrText>
        </w:r>
        <w:r>
          <w:fldChar w:fldCharType="end"/>
        </w:r>
      </w:hyperlink>
    </w:p>
    <w:p>
      <w:pPr>
        <w:tabs>
          <w:tab w:val="right" w:leader="dot" w:pos="9062"/>
        </w:tabs>
        <w:ind w:left="440"/>
      </w:pPr>
      <w:hyperlink w:anchor="_Toc6295" w:history="1">
        <w:r>
          <w:rPr>
            <w:rFonts w:ascii="IRNazanin" w:hAnsi="IRNazanin" w:eastAsia="IRNazanin" w:cs="IRNazanin"/>
            <w:color w:val="111111"/>
            <w:sz w:val="22"/>
            <w:szCs w:val="22"/>
            <w:b w:val="0"/>
            <w:bCs w:val="0"/>
            <w:i w:val="0"/>
            <w:iCs w:val="0"/>
          </w:rPr>
          <w:t>5746- دیوان قاسم طوسی أو أرسلان مشهدی‏</w:t>
        </w:r>
        <w:r>
          <w:tab/>
        </w:r>
        <w:r>
          <w:fldChar w:fldCharType="begin"/>
        </w:r>
        <w:r>
          <w:instrText xml:space="preserve">PAGEREF 6295 \h</w:instrText>
        </w:r>
        <w:r>
          <w:fldChar w:fldCharType="end"/>
        </w:r>
      </w:hyperlink>
    </w:p>
    <w:p>
      <w:pPr>
        <w:tabs>
          <w:tab w:val="right" w:leader="dot" w:pos="9062"/>
        </w:tabs>
        <w:ind w:left="440"/>
      </w:pPr>
      <w:hyperlink w:anchor="_Toc6296" w:history="1">
        <w:r>
          <w:rPr>
            <w:rFonts w:ascii="IRNazanin" w:hAnsi="IRNazanin" w:eastAsia="IRNazanin" w:cs="IRNazanin"/>
            <w:color w:val="111111"/>
            <w:sz w:val="22"/>
            <w:szCs w:val="22"/>
            <w:b w:val="0"/>
            <w:bCs w:val="0"/>
            <w:i w:val="0"/>
            <w:iCs w:val="0"/>
          </w:rPr>
          <w:t>دیوان قاسم طهرانی‏</w:t>
        </w:r>
        <w:r>
          <w:tab/>
        </w:r>
        <w:r>
          <w:fldChar w:fldCharType="begin"/>
        </w:r>
        <w:r>
          <w:instrText xml:space="preserve">PAGEREF 6296 \h</w:instrText>
        </w:r>
        <w:r>
          <w:fldChar w:fldCharType="end"/>
        </w:r>
      </w:hyperlink>
    </w:p>
    <w:p>
      <w:pPr>
        <w:tabs>
          <w:tab w:val="right" w:leader="dot" w:pos="9062"/>
        </w:tabs>
        <w:ind w:left="440"/>
      </w:pPr>
      <w:hyperlink w:anchor="_Toc6297" w:history="1">
        <w:r>
          <w:rPr>
            <w:rFonts w:ascii="IRNazanin" w:hAnsi="IRNazanin" w:eastAsia="IRNazanin" w:cs="IRNazanin"/>
            <w:color w:val="111111"/>
            <w:sz w:val="22"/>
            <w:szCs w:val="22"/>
            <w:b w:val="0"/>
            <w:bCs w:val="0"/>
            <w:i w:val="0"/>
            <w:iCs w:val="0"/>
          </w:rPr>
          <w:t>5747- دیوان قاسم عاصم أو شعره‏</w:t>
        </w:r>
        <w:r>
          <w:tab/>
        </w:r>
        <w:r>
          <w:fldChar w:fldCharType="begin"/>
        </w:r>
        <w:r>
          <w:instrText xml:space="preserve">PAGEREF 6297 \h</w:instrText>
        </w:r>
        <w:r>
          <w:fldChar w:fldCharType="end"/>
        </w:r>
      </w:hyperlink>
    </w:p>
    <w:p>
      <w:pPr>
        <w:tabs>
          <w:tab w:val="right" w:leader="dot" w:pos="9062"/>
        </w:tabs>
        <w:ind w:left="440"/>
      </w:pPr>
      <w:hyperlink w:anchor="_Toc6298" w:history="1">
        <w:r>
          <w:rPr>
            <w:rFonts w:ascii="IRNazanin" w:hAnsi="IRNazanin" w:eastAsia="IRNazanin" w:cs="IRNazanin"/>
            <w:color w:val="111111"/>
            <w:sz w:val="22"/>
            <w:szCs w:val="22"/>
            <w:b w:val="0"/>
            <w:bCs w:val="0"/>
            <w:i w:val="0"/>
            <w:iCs w:val="0"/>
          </w:rPr>
          <w:t>5748- دیوان قاسم عبد العظیمی أو شعره‏</w:t>
        </w:r>
        <w:r>
          <w:tab/>
        </w:r>
        <w:r>
          <w:fldChar w:fldCharType="begin"/>
        </w:r>
        <w:r>
          <w:instrText xml:space="preserve">PAGEREF 6298 \h</w:instrText>
        </w:r>
        <w:r>
          <w:fldChar w:fldCharType="end"/>
        </w:r>
      </w:hyperlink>
    </w:p>
    <w:p>
      <w:pPr>
        <w:tabs>
          <w:tab w:val="right" w:leader="dot" w:pos="9062"/>
        </w:tabs>
        <w:ind w:left="440"/>
      </w:pPr>
      <w:hyperlink w:anchor="_Toc6299" w:history="1">
        <w:r>
          <w:rPr>
            <w:rFonts w:ascii="IRNazanin" w:hAnsi="IRNazanin" w:eastAsia="IRNazanin" w:cs="IRNazanin"/>
            <w:color w:val="111111"/>
            <w:sz w:val="22"/>
            <w:szCs w:val="22"/>
            <w:b w:val="0"/>
            <w:bCs w:val="0"/>
            <w:i w:val="0"/>
            <w:iCs w:val="0"/>
          </w:rPr>
          <w:t>دیوان قاسم علی خراسانی‏</w:t>
        </w:r>
        <w:r>
          <w:tab/>
        </w:r>
        <w:r>
          <w:fldChar w:fldCharType="begin"/>
        </w:r>
        <w:r>
          <w:instrText xml:space="preserve">PAGEREF 6299 \h</w:instrText>
        </w:r>
        <w:r>
          <w:fldChar w:fldCharType="end"/>
        </w:r>
      </w:hyperlink>
    </w:p>
    <w:p>
      <w:pPr>
        <w:tabs>
          <w:tab w:val="right" w:leader="dot" w:pos="9062"/>
        </w:tabs>
        <w:ind w:left="440"/>
      </w:pPr>
      <w:hyperlink w:anchor="_Toc6300" w:history="1">
        <w:r>
          <w:rPr>
            <w:rFonts w:ascii="IRNazanin" w:hAnsi="IRNazanin" w:eastAsia="IRNazanin" w:cs="IRNazanin"/>
            <w:color w:val="111111"/>
            <w:sz w:val="22"/>
            <w:szCs w:val="22"/>
            <w:b w:val="0"/>
            <w:bCs w:val="0"/>
            <w:i w:val="0"/>
            <w:iCs w:val="0"/>
          </w:rPr>
          <w:t>5749- دیوان قاسم غمزة أو شعره‏</w:t>
        </w:r>
        <w:r>
          <w:tab/>
        </w:r>
        <w:r>
          <w:fldChar w:fldCharType="begin"/>
        </w:r>
        <w:r>
          <w:instrText xml:space="preserve">PAGEREF 6300 \h</w:instrText>
        </w:r>
        <w:r>
          <w:fldChar w:fldCharType="end"/>
        </w:r>
      </w:hyperlink>
    </w:p>
    <w:p>
      <w:pPr>
        <w:tabs>
          <w:tab w:val="right" w:leader="dot" w:pos="9062"/>
        </w:tabs>
        <w:ind w:left="440"/>
      </w:pPr>
      <w:hyperlink w:anchor="_Toc6301" w:history="1">
        <w:r>
          <w:rPr>
            <w:rFonts w:ascii="IRNazanin" w:hAnsi="IRNazanin" w:eastAsia="IRNazanin" w:cs="IRNazanin"/>
            <w:color w:val="111111"/>
            <w:sz w:val="22"/>
            <w:szCs w:val="22"/>
            <w:b w:val="0"/>
            <w:bCs w:val="0"/>
            <w:i w:val="0"/>
            <w:iCs w:val="0"/>
          </w:rPr>
          <w:t>5750- دیوان قاسم قصه‏خوان أو شعره‏</w:t>
        </w:r>
        <w:r>
          <w:tab/>
        </w:r>
        <w:r>
          <w:fldChar w:fldCharType="begin"/>
        </w:r>
        <w:r>
          <w:instrText xml:space="preserve">PAGEREF 6301 \h</w:instrText>
        </w:r>
        <w:r>
          <w:fldChar w:fldCharType="end"/>
        </w:r>
      </w:hyperlink>
    </w:p>
    <w:p>
      <w:pPr>
        <w:tabs>
          <w:tab w:val="right" w:leader="dot" w:pos="9062"/>
        </w:tabs>
        <w:ind w:left="440"/>
      </w:pPr>
      <w:hyperlink w:anchor="_Toc6302" w:history="1">
        <w:r>
          <w:rPr>
            <w:rFonts w:ascii="IRNazanin" w:hAnsi="IRNazanin" w:eastAsia="IRNazanin" w:cs="IRNazanin"/>
            <w:color w:val="111111"/>
            <w:sz w:val="22"/>
            <w:szCs w:val="22"/>
            <w:b w:val="0"/>
            <w:bCs w:val="0"/>
            <w:i w:val="0"/>
            <w:iCs w:val="0"/>
          </w:rPr>
          <w:t>5751- دیوان قاسم قمی أو شعره‏</w:t>
        </w:r>
        <w:r>
          <w:tab/>
        </w:r>
        <w:r>
          <w:fldChar w:fldCharType="begin"/>
        </w:r>
        <w:r>
          <w:instrText xml:space="preserve">PAGEREF 6302 \h</w:instrText>
        </w:r>
        <w:r>
          <w:fldChar w:fldCharType="end"/>
        </w:r>
      </w:hyperlink>
    </w:p>
    <w:p>
      <w:pPr>
        <w:tabs>
          <w:tab w:val="right" w:leader="dot" w:pos="9062"/>
        </w:tabs>
        <w:ind w:left="440"/>
      </w:pPr>
      <w:hyperlink w:anchor="_Toc6303" w:history="1">
        <w:r>
          <w:rPr>
            <w:rFonts w:ascii="IRNazanin" w:hAnsi="IRNazanin" w:eastAsia="IRNazanin" w:cs="IRNazanin"/>
            <w:color w:val="111111"/>
            <w:sz w:val="22"/>
            <w:szCs w:val="22"/>
            <w:b w:val="0"/>
            <w:bCs w:val="0"/>
            <w:i w:val="0"/>
            <w:iCs w:val="0"/>
          </w:rPr>
          <w:t>5752- دیوان قاسم کاشانی أو شعره‏</w:t>
        </w:r>
        <w:r>
          <w:tab/>
        </w:r>
        <w:r>
          <w:fldChar w:fldCharType="begin"/>
        </w:r>
        <w:r>
          <w:instrText xml:space="preserve">PAGEREF 6303 \h</w:instrText>
        </w:r>
        <w:r>
          <w:fldChar w:fldCharType="end"/>
        </w:r>
      </w:hyperlink>
    </w:p>
    <w:p>
      <w:pPr>
        <w:tabs>
          <w:tab w:val="right" w:leader="dot" w:pos="9062"/>
        </w:tabs>
        <w:ind w:left="440"/>
      </w:pPr>
      <w:hyperlink w:anchor="_Toc6304" w:history="1">
        <w:r>
          <w:rPr>
            <w:rFonts w:ascii="IRNazanin" w:hAnsi="IRNazanin" w:eastAsia="IRNazanin" w:cs="IRNazanin"/>
            <w:color w:val="111111"/>
            <w:sz w:val="22"/>
            <w:szCs w:val="22"/>
            <w:b w:val="0"/>
            <w:bCs w:val="0"/>
            <w:i w:val="0"/>
            <w:iCs w:val="0"/>
          </w:rPr>
          <w:t>دیوان قاسم کاهی أو شعره‏</w:t>
        </w:r>
        <w:r>
          <w:tab/>
        </w:r>
        <w:r>
          <w:fldChar w:fldCharType="begin"/>
        </w:r>
        <w:r>
          <w:instrText xml:space="preserve">PAGEREF 6304 \h</w:instrText>
        </w:r>
        <w:r>
          <w:fldChar w:fldCharType="end"/>
        </w:r>
      </w:hyperlink>
    </w:p>
    <w:p>
      <w:pPr>
        <w:tabs>
          <w:tab w:val="right" w:leader="dot" w:pos="9062"/>
        </w:tabs>
        <w:ind w:left="440"/>
      </w:pPr>
      <w:hyperlink w:anchor="_Toc6305" w:history="1">
        <w:r>
          <w:rPr>
            <w:rFonts w:ascii="IRNazanin" w:hAnsi="IRNazanin" w:eastAsia="IRNazanin" w:cs="IRNazanin"/>
            <w:color w:val="111111"/>
            <w:sz w:val="22"/>
            <w:szCs w:val="22"/>
            <w:b w:val="0"/>
            <w:bCs w:val="0"/>
            <w:i w:val="0"/>
            <w:iCs w:val="0"/>
          </w:rPr>
          <w:t>5753- دیوان قاسم گوالیاری أو شعره‏</w:t>
        </w:r>
        <w:r>
          <w:tab/>
        </w:r>
        <w:r>
          <w:fldChar w:fldCharType="begin"/>
        </w:r>
        <w:r>
          <w:instrText xml:space="preserve">PAGEREF 6305 \h</w:instrText>
        </w:r>
        <w:r>
          <w:fldChar w:fldCharType="end"/>
        </w:r>
      </w:hyperlink>
    </w:p>
    <w:p>
      <w:pPr>
        <w:tabs>
          <w:tab w:val="right" w:leader="dot" w:pos="9062"/>
        </w:tabs>
        <w:ind w:left="440"/>
      </w:pPr>
      <w:hyperlink w:anchor="_Toc6306" w:history="1">
        <w:r>
          <w:rPr>
            <w:rFonts w:ascii="IRNazanin" w:hAnsi="IRNazanin" w:eastAsia="IRNazanin" w:cs="IRNazanin"/>
            <w:color w:val="111111"/>
            <w:sz w:val="22"/>
            <w:szCs w:val="22"/>
            <w:b w:val="0"/>
            <w:bCs w:val="0"/>
            <w:i w:val="0"/>
            <w:iCs w:val="0"/>
          </w:rPr>
          <w:t>دیوان قاسم لاهیجی‏</w:t>
        </w:r>
        <w:r>
          <w:tab/>
        </w:r>
        <w:r>
          <w:fldChar w:fldCharType="begin"/>
        </w:r>
        <w:r>
          <w:instrText xml:space="preserve">PAGEREF 6306 \h</w:instrText>
        </w:r>
        <w:r>
          <w:fldChar w:fldCharType="end"/>
        </w:r>
      </w:hyperlink>
    </w:p>
    <w:p>
      <w:pPr>
        <w:tabs>
          <w:tab w:val="right" w:leader="dot" w:pos="9062"/>
        </w:tabs>
        <w:ind w:left="440"/>
      </w:pPr>
      <w:hyperlink w:anchor="_Toc6307" w:history="1">
        <w:r>
          <w:rPr>
            <w:rFonts w:ascii="IRNazanin" w:hAnsi="IRNazanin" w:eastAsia="IRNazanin" w:cs="IRNazanin"/>
            <w:color w:val="111111"/>
            <w:sz w:val="22"/>
            <w:szCs w:val="22"/>
            <w:b w:val="0"/>
            <w:bCs w:val="0"/>
            <w:i w:val="0"/>
            <w:iCs w:val="0"/>
          </w:rPr>
          <w:t>دیوان قاسم گنابادی‏</w:t>
        </w:r>
        <w:r>
          <w:tab/>
        </w:r>
        <w:r>
          <w:fldChar w:fldCharType="begin"/>
        </w:r>
        <w:r>
          <w:instrText xml:space="preserve">PAGEREF 6307 \h</w:instrText>
        </w:r>
        <w:r>
          <w:fldChar w:fldCharType="end"/>
        </w:r>
      </w:hyperlink>
    </w:p>
    <w:p>
      <w:pPr>
        <w:tabs>
          <w:tab w:val="right" w:leader="dot" w:pos="9062"/>
        </w:tabs>
        <w:ind w:left="440"/>
      </w:pPr>
      <w:hyperlink w:anchor="_Toc6308" w:history="1">
        <w:r>
          <w:rPr>
            <w:rFonts w:ascii="IRNazanin" w:hAnsi="IRNazanin" w:eastAsia="IRNazanin" w:cs="IRNazanin"/>
            <w:color w:val="111111"/>
            <w:sz w:val="22"/>
            <w:szCs w:val="22"/>
            <w:b w:val="0"/>
            <w:bCs w:val="0"/>
            <w:i w:val="0"/>
            <w:iCs w:val="0"/>
          </w:rPr>
          <w:t>5754- دیوان الشیخ قاسم محیی الدین‏</w:t>
        </w:r>
        <w:r>
          <w:tab/>
        </w:r>
        <w:r>
          <w:fldChar w:fldCharType="begin"/>
        </w:r>
        <w:r>
          <w:instrText xml:space="preserve">PAGEREF 6308 \h</w:instrText>
        </w:r>
        <w:r>
          <w:fldChar w:fldCharType="end"/>
        </w:r>
      </w:hyperlink>
    </w:p>
    <w:p>
      <w:pPr>
        <w:tabs>
          <w:tab w:val="right" w:leader="dot" w:pos="9062"/>
        </w:tabs>
        <w:ind w:left="440"/>
      </w:pPr>
      <w:hyperlink w:anchor="_Toc6309" w:history="1">
        <w:r>
          <w:rPr>
            <w:rFonts w:ascii="IRNazanin" w:hAnsi="IRNazanin" w:eastAsia="IRNazanin" w:cs="IRNazanin"/>
            <w:color w:val="111111"/>
            <w:sz w:val="22"/>
            <w:szCs w:val="22"/>
            <w:b w:val="0"/>
            <w:bCs w:val="0"/>
            <w:i w:val="0"/>
            <w:iCs w:val="0"/>
          </w:rPr>
          <w:t>5755- دیوان قاسم مرموز أو شعره‏</w:t>
        </w:r>
        <w:r>
          <w:tab/>
        </w:r>
        <w:r>
          <w:fldChar w:fldCharType="begin"/>
        </w:r>
        <w:r>
          <w:instrText xml:space="preserve">PAGEREF 6309 \h</w:instrText>
        </w:r>
        <w:r>
          <w:fldChar w:fldCharType="end"/>
        </w:r>
      </w:hyperlink>
    </w:p>
    <w:p>
      <w:pPr>
        <w:tabs>
          <w:tab w:val="right" w:leader="dot" w:pos="9062"/>
        </w:tabs>
        <w:ind w:left="440"/>
      </w:pPr>
      <w:hyperlink w:anchor="_Toc6310" w:history="1">
        <w:r>
          <w:rPr>
            <w:rFonts w:ascii="IRNazanin" w:hAnsi="IRNazanin" w:eastAsia="IRNazanin" w:cs="IRNazanin"/>
            <w:color w:val="111111"/>
            <w:sz w:val="22"/>
            <w:szCs w:val="22"/>
            <w:b w:val="0"/>
            <w:bCs w:val="0"/>
            <w:i w:val="0"/>
            <w:iCs w:val="0"/>
          </w:rPr>
          <w:t>دیوان قاسم مشهدی‏</w:t>
        </w:r>
        <w:r>
          <w:tab/>
        </w:r>
        <w:r>
          <w:fldChar w:fldCharType="begin"/>
        </w:r>
        <w:r>
          <w:instrText xml:space="preserve">PAGEREF 6310 \h</w:instrText>
        </w:r>
        <w:r>
          <w:fldChar w:fldCharType="end"/>
        </w:r>
      </w:hyperlink>
    </w:p>
    <w:p>
      <w:pPr>
        <w:tabs>
          <w:tab w:val="right" w:leader="dot" w:pos="9062"/>
        </w:tabs>
        <w:ind w:left="440"/>
      </w:pPr>
      <w:hyperlink w:anchor="_Toc6311" w:history="1">
        <w:r>
          <w:rPr>
            <w:rFonts w:ascii="IRNazanin" w:hAnsi="IRNazanin" w:eastAsia="IRNazanin" w:cs="IRNazanin"/>
            <w:color w:val="111111"/>
            <w:sz w:val="22"/>
            <w:szCs w:val="22"/>
            <w:b w:val="0"/>
            <w:bCs w:val="0"/>
            <w:i w:val="0"/>
            <w:iCs w:val="0"/>
          </w:rPr>
          <w:t>5756- دیوان قاسم نجفی أو شعره‏</w:t>
        </w:r>
        <w:r>
          <w:tab/>
        </w:r>
        <w:r>
          <w:fldChar w:fldCharType="begin"/>
        </w:r>
        <w:r>
          <w:instrText xml:space="preserve">PAGEREF 6311 \h</w:instrText>
        </w:r>
        <w:r>
          <w:fldChar w:fldCharType="end"/>
        </w:r>
      </w:hyperlink>
    </w:p>
    <w:p>
      <w:pPr>
        <w:tabs>
          <w:tab w:val="right" w:leader="dot" w:pos="9062"/>
        </w:tabs>
        <w:ind w:left="440"/>
      </w:pPr>
      <w:hyperlink w:anchor="_Toc6312" w:history="1">
        <w:r>
          <w:rPr>
            <w:rFonts w:ascii="IRNazanin" w:hAnsi="IRNazanin" w:eastAsia="IRNazanin" w:cs="IRNazanin"/>
            <w:color w:val="111111"/>
            <w:sz w:val="22"/>
            <w:szCs w:val="22"/>
            <w:b w:val="0"/>
            <w:bCs w:val="0"/>
            <w:i w:val="0"/>
            <w:iCs w:val="0"/>
          </w:rPr>
          <w:t>5757- دیوان قاسم ولدی أو شعره‏</w:t>
        </w:r>
        <w:r>
          <w:tab/>
        </w:r>
        <w:r>
          <w:fldChar w:fldCharType="begin"/>
        </w:r>
        <w:r>
          <w:instrText xml:space="preserve">PAGEREF 6312 \h</w:instrText>
        </w:r>
        <w:r>
          <w:fldChar w:fldCharType="end"/>
        </w:r>
      </w:hyperlink>
    </w:p>
    <w:p>
      <w:pPr>
        <w:tabs>
          <w:tab w:val="right" w:leader="dot" w:pos="9062"/>
        </w:tabs>
        <w:ind w:left="440"/>
      </w:pPr>
      <w:hyperlink w:anchor="_Toc6313" w:history="1">
        <w:r>
          <w:rPr>
            <w:rFonts w:ascii="IRNazanin" w:hAnsi="IRNazanin" w:eastAsia="IRNazanin" w:cs="IRNazanin"/>
            <w:color w:val="111111"/>
            <w:sz w:val="22"/>
            <w:szCs w:val="22"/>
            <w:b w:val="0"/>
            <w:bCs w:val="0"/>
            <w:i w:val="0"/>
            <w:iCs w:val="0"/>
          </w:rPr>
          <w:t>5758- دیوان قاسم هروی أو شعره‏</w:t>
        </w:r>
        <w:r>
          <w:tab/>
        </w:r>
        <w:r>
          <w:fldChar w:fldCharType="begin"/>
        </w:r>
        <w:r>
          <w:instrText xml:space="preserve">PAGEREF 6313 \h</w:instrText>
        </w:r>
        <w:r>
          <w:fldChar w:fldCharType="end"/>
        </w:r>
      </w:hyperlink>
    </w:p>
    <w:p>
      <w:pPr>
        <w:tabs>
          <w:tab w:val="right" w:leader="dot" w:pos="9062"/>
        </w:tabs>
        <w:ind w:left="440"/>
      </w:pPr>
      <w:hyperlink w:anchor="_Toc6314" w:history="1">
        <w:r>
          <w:rPr>
            <w:rFonts w:ascii="IRNazanin" w:hAnsi="IRNazanin" w:eastAsia="IRNazanin" w:cs="IRNazanin"/>
            <w:color w:val="111111"/>
            <w:sz w:val="22"/>
            <w:szCs w:val="22"/>
            <w:b w:val="0"/>
            <w:bCs w:val="0"/>
            <w:i w:val="0"/>
            <w:iCs w:val="0"/>
          </w:rPr>
          <w:t>5759- دیوان قاسمی أردستانی‏</w:t>
        </w:r>
        <w:r>
          <w:tab/>
        </w:r>
        <w:r>
          <w:fldChar w:fldCharType="begin"/>
        </w:r>
        <w:r>
          <w:instrText xml:space="preserve">PAGEREF 6314 \h</w:instrText>
        </w:r>
        <w:r>
          <w:fldChar w:fldCharType="end"/>
        </w:r>
      </w:hyperlink>
    </w:p>
    <w:p>
      <w:pPr>
        <w:tabs>
          <w:tab w:val="right" w:leader="dot" w:pos="9062"/>
        </w:tabs>
        <w:ind w:left="440"/>
      </w:pPr>
      <w:hyperlink w:anchor="_Toc6315" w:history="1">
        <w:r>
          <w:rPr>
            <w:rFonts w:ascii="IRNazanin" w:hAnsi="IRNazanin" w:eastAsia="IRNazanin" w:cs="IRNazanin"/>
            <w:color w:val="111111"/>
            <w:sz w:val="22"/>
            <w:szCs w:val="22"/>
            <w:b w:val="0"/>
            <w:bCs w:val="0"/>
            <w:i w:val="0"/>
            <w:iCs w:val="0"/>
          </w:rPr>
          <w:t>5760- دیوان قاسمی أصفهانی أو شعره‏</w:t>
        </w:r>
        <w:r>
          <w:tab/>
        </w:r>
        <w:r>
          <w:fldChar w:fldCharType="begin"/>
        </w:r>
        <w:r>
          <w:instrText xml:space="preserve">PAGEREF 6315 \h</w:instrText>
        </w:r>
        <w:r>
          <w:fldChar w:fldCharType="end"/>
        </w:r>
      </w:hyperlink>
    </w:p>
    <w:p>
      <w:pPr>
        <w:tabs>
          <w:tab w:val="right" w:leader="dot" w:pos="9062"/>
        </w:tabs>
        <w:ind w:left="440"/>
      </w:pPr>
      <w:hyperlink w:anchor="_Toc6316" w:history="1">
        <w:r>
          <w:rPr>
            <w:rFonts w:ascii="IRNazanin" w:hAnsi="IRNazanin" w:eastAsia="IRNazanin" w:cs="IRNazanin"/>
            <w:color w:val="111111"/>
            <w:sz w:val="22"/>
            <w:szCs w:val="22"/>
            <w:b w:val="0"/>
            <w:bCs w:val="0"/>
            <w:i w:val="0"/>
            <w:iCs w:val="0"/>
          </w:rPr>
          <w:t>5761- دیوان قاسمی تونی‏</w:t>
        </w:r>
        <w:r>
          <w:tab/>
        </w:r>
        <w:r>
          <w:fldChar w:fldCharType="begin"/>
        </w:r>
        <w:r>
          <w:instrText xml:space="preserve">PAGEREF 6316 \h</w:instrText>
        </w:r>
        <w:r>
          <w:fldChar w:fldCharType="end"/>
        </w:r>
      </w:hyperlink>
    </w:p>
    <w:p>
      <w:pPr>
        <w:tabs>
          <w:tab w:val="right" w:leader="dot" w:pos="9062"/>
        </w:tabs>
        <w:ind w:left="440"/>
      </w:pPr>
      <w:hyperlink w:anchor="_Toc6317" w:history="1">
        <w:r>
          <w:rPr>
            <w:rFonts w:ascii="IRNazanin" w:hAnsi="IRNazanin" w:eastAsia="IRNazanin" w:cs="IRNazanin"/>
            <w:color w:val="111111"/>
            <w:sz w:val="22"/>
            <w:szCs w:val="22"/>
            <w:b w:val="0"/>
            <w:bCs w:val="0"/>
            <w:i w:val="0"/>
            <w:iCs w:val="0"/>
          </w:rPr>
          <w:t>5762- دیوان قاسمی خوافی أو شعره‏</w:t>
        </w:r>
        <w:r>
          <w:tab/>
        </w:r>
        <w:r>
          <w:fldChar w:fldCharType="begin"/>
        </w:r>
        <w:r>
          <w:instrText xml:space="preserve">PAGEREF 6317 \h</w:instrText>
        </w:r>
        <w:r>
          <w:fldChar w:fldCharType="end"/>
        </w:r>
      </w:hyperlink>
    </w:p>
    <w:p>
      <w:pPr>
        <w:tabs>
          <w:tab w:val="right" w:leader="dot" w:pos="9062"/>
        </w:tabs>
        <w:ind w:left="440"/>
      </w:pPr>
      <w:hyperlink w:anchor="_Toc6318" w:history="1">
        <w:r>
          <w:rPr>
            <w:rFonts w:ascii="IRNazanin" w:hAnsi="IRNazanin" w:eastAsia="IRNazanin" w:cs="IRNazanin"/>
            <w:color w:val="111111"/>
            <w:sz w:val="22"/>
            <w:szCs w:val="22"/>
            <w:b w:val="0"/>
            <w:bCs w:val="0"/>
            <w:i w:val="0"/>
            <w:iCs w:val="0"/>
          </w:rPr>
          <w:t>دیوان قاسمی جنابذی‏</w:t>
        </w:r>
        <w:r>
          <w:tab/>
        </w:r>
        <w:r>
          <w:fldChar w:fldCharType="begin"/>
        </w:r>
        <w:r>
          <w:instrText xml:space="preserve">PAGEREF 6318 \h</w:instrText>
        </w:r>
        <w:r>
          <w:fldChar w:fldCharType="end"/>
        </w:r>
      </w:hyperlink>
    </w:p>
    <w:p>
      <w:pPr>
        <w:tabs>
          <w:tab w:val="right" w:leader="dot" w:pos="9062"/>
        </w:tabs>
        <w:ind w:left="440"/>
      </w:pPr>
      <w:hyperlink w:anchor="_Toc6319" w:history="1">
        <w:r>
          <w:rPr>
            <w:rFonts w:ascii="IRNazanin" w:hAnsi="IRNazanin" w:eastAsia="IRNazanin" w:cs="IRNazanin"/>
            <w:color w:val="111111"/>
            <w:sz w:val="22"/>
            <w:szCs w:val="22"/>
            <w:b w:val="0"/>
            <w:bCs w:val="0"/>
            <w:i w:val="0"/>
            <w:iCs w:val="0"/>
          </w:rPr>
          <w:t>5763- دیوان قاسمی صیرفی أو شعره‏</w:t>
        </w:r>
        <w:r>
          <w:tab/>
        </w:r>
        <w:r>
          <w:fldChar w:fldCharType="begin"/>
        </w:r>
        <w:r>
          <w:instrText xml:space="preserve">PAGEREF 6319 \h</w:instrText>
        </w:r>
        <w:r>
          <w:fldChar w:fldCharType="end"/>
        </w:r>
      </w:hyperlink>
    </w:p>
    <w:p>
      <w:pPr>
        <w:tabs>
          <w:tab w:val="right" w:leader="dot" w:pos="9062"/>
        </w:tabs>
        <w:ind w:left="440"/>
      </w:pPr>
      <w:hyperlink w:anchor="_Toc6320" w:history="1">
        <w:r>
          <w:rPr>
            <w:rFonts w:ascii="IRNazanin" w:hAnsi="IRNazanin" w:eastAsia="IRNazanin" w:cs="IRNazanin"/>
            <w:color w:val="111111"/>
            <w:sz w:val="22"/>
            <w:szCs w:val="22"/>
            <w:b w:val="0"/>
            <w:bCs w:val="0"/>
            <w:i w:val="0"/>
            <w:iCs w:val="0"/>
          </w:rPr>
          <w:t>5764- دیوان قاسمی کازرونی‏</w:t>
        </w:r>
        <w:r>
          <w:tab/>
        </w:r>
        <w:r>
          <w:fldChar w:fldCharType="begin"/>
        </w:r>
        <w:r>
          <w:instrText xml:space="preserve">PAGEREF 6320 \h</w:instrText>
        </w:r>
        <w:r>
          <w:fldChar w:fldCharType="end"/>
        </w:r>
      </w:hyperlink>
    </w:p>
    <w:p>
      <w:pPr>
        <w:tabs>
          <w:tab w:val="right" w:leader="dot" w:pos="9062"/>
        </w:tabs>
        <w:ind w:left="440"/>
      </w:pPr>
      <w:hyperlink w:anchor="_Toc6321" w:history="1">
        <w:r>
          <w:rPr>
            <w:rFonts w:ascii="IRNazanin" w:hAnsi="IRNazanin" w:eastAsia="IRNazanin" w:cs="IRNazanin"/>
            <w:color w:val="111111"/>
            <w:sz w:val="22"/>
            <w:szCs w:val="22"/>
            <w:b w:val="0"/>
            <w:bCs w:val="0"/>
            <w:i w:val="0"/>
            <w:iCs w:val="0"/>
          </w:rPr>
          <w:t>5765- دیوان قاسمی کاشی أو شعره‏</w:t>
        </w:r>
        <w:r>
          <w:tab/>
        </w:r>
        <w:r>
          <w:fldChar w:fldCharType="begin"/>
        </w:r>
        <w:r>
          <w:instrText xml:space="preserve">PAGEREF 6321 \h</w:instrText>
        </w:r>
        <w:r>
          <w:fldChar w:fldCharType="end"/>
        </w:r>
      </w:hyperlink>
    </w:p>
    <w:p>
      <w:pPr>
        <w:tabs>
          <w:tab w:val="right" w:leader="dot" w:pos="9062"/>
        </w:tabs>
        <w:ind w:left="440"/>
      </w:pPr>
      <w:hyperlink w:anchor="_Toc6322" w:history="1">
        <w:r>
          <w:rPr>
            <w:rFonts w:ascii="IRNazanin" w:hAnsi="IRNazanin" w:eastAsia="IRNazanin" w:cs="IRNazanin"/>
            <w:color w:val="111111"/>
            <w:sz w:val="22"/>
            <w:szCs w:val="22"/>
            <w:b w:val="0"/>
            <w:bCs w:val="0"/>
            <w:i w:val="0"/>
            <w:iCs w:val="0"/>
          </w:rPr>
          <w:t>دیوان قاسمی کرمانی‏</w:t>
        </w:r>
        <w:r>
          <w:tab/>
        </w:r>
        <w:r>
          <w:fldChar w:fldCharType="begin"/>
        </w:r>
        <w:r>
          <w:instrText xml:space="preserve">PAGEREF 6322 \h</w:instrText>
        </w:r>
        <w:r>
          <w:fldChar w:fldCharType="end"/>
        </w:r>
      </w:hyperlink>
    </w:p>
    <w:p>
      <w:pPr>
        <w:tabs>
          <w:tab w:val="right" w:leader="dot" w:pos="9062"/>
        </w:tabs>
        <w:ind w:left="440"/>
      </w:pPr>
      <w:hyperlink w:anchor="_Toc6323" w:history="1">
        <w:r>
          <w:rPr>
            <w:rFonts w:ascii="IRNazanin" w:hAnsi="IRNazanin" w:eastAsia="IRNazanin" w:cs="IRNazanin"/>
            <w:color w:val="111111"/>
            <w:sz w:val="22"/>
            <w:szCs w:val="22"/>
            <w:b w:val="0"/>
            <w:bCs w:val="0"/>
            <w:i w:val="0"/>
            <w:iCs w:val="0"/>
          </w:rPr>
          <w:t>5766- دیوان قاسمی گنابادی‏</w:t>
        </w:r>
        <w:r>
          <w:tab/>
        </w:r>
        <w:r>
          <w:fldChar w:fldCharType="begin"/>
        </w:r>
        <w:r>
          <w:instrText xml:space="preserve">PAGEREF 6323 \h</w:instrText>
        </w:r>
        <w:r>
          <w:fldChar w:fldCharType="end"/>
        </w:r>
      </w:hyperlink>
    </w:p>
    <w:p>
      <w:pPr>
        <w:tabs>
          <w:tab w:val="right" w:leader="dot" w:pos="9062"/>
        </w:tabs>
        <w:ind w:left="440"/>
      </w:pPr>
      <w:hyperlink w:anchor="_Toc6324" w:history="1">
        <w:r>
          <w:rPr>
            <w:rFonts w:ascii="IRNazanin" w:hAnsi="IRNazanin" w:eastAsia="IRNazanin" w:cs="IRNazanin"/>
            <w:color w:val="111111"/>
            <w:sz w:val="22"/>
            <w:szCs w:val="22"/>
            <w:b w:val="0"/>
            <w:bCs w:val="0"/>
            <w:i w:val="0"/>
            <w:iCs w:val="0"/>
          </w:rPr>
          <w:t>5767- دیوان قاسمی مهنه‏ای أو شعره‏</w:t>
        </w:r>
        <w:r>
          <w:tab/>
        </w:r>
        <w:r>
          <w:fldChar w:fldCharType="begin"/>
        </w:r>
        <w:r>
          <w:instrText xml:space="preserve">PAGEREF 6324 \h</w:instrText>
        </w:r>
        <w:r>
          <w:fldChar w:fldCharType="end"/>
        </w:r>
      </w:hyperlink>
    </w:p>
    <w:p>
      <w:pPr>
        <w:tabs>
          <w:tab w:val="right" w:leader="dot" w:pos="9062"/>
        </w:tabs>
        <w:ind w:left="440"/>
      </w:pPr>
      <w:hyperlink w:anchor="_Toc6325" w:history="1">
        <w:r>
          <w:rPr>
            <w:rFonts w:ascii="IRNazanin" w:hAnsi="IRNazanin" w:eastAsia="IRNazanin" w:cs="IRNazanin"/>
            <w:color w:val="111111"/>
            <w:sz w:val="22"/>
            <w:szCs w:val="22"/>
            <w:b w:val="0"/>
            <w:bCs w:val="0"/>
            <w:i w:val="0"/>
            <w:iCs w:val="0"/>
          </w:rPr>
          <w:t>5768- دیوان قاصد بخاری أو شعره‏</w:t>
        </w:r>
        <w:r>
          <w:tab/>
        </w:r>
        <w:r>
          <w:fldChar w:fldCharType="begin"/>
        </w:r>
        <w:r>
          <w:instrText xml:space="preserve">PAGEREF 6325 \h</w:instrText>
        </w:r>
        <w:r>
          <w:fldChar w:fldCharType="end"/>
        </w:r>
      </w:hyperlink>
    </w:p>
    <w:p>
      <w:pPr>
        <w:tabs>
          <w:tab w:val="right" w:leader="dot" w:pos="9062"/>
        </w:tabs>
        <w:ind w:left="440"/>
      </w:pPr>
      <w:hyperlink w:anchor="_Toc6326" w:history="1">
        <w:r>
          <w:rPr>
            <w:rFonts w:ascii="IRNazanin" w:hAnsi="IRNazanin" w:eastAsia="IRNazanin" w:cs="IRNazanin"/>
            <w:color w:val="111111"/>
            <w:sz w:val="22"/>
            <w:szCs w:val="22"/>
            <w:b w:val="0"/>
            <w:bCs w:val="0"/>
            <w:i w:val="0"/>
            <w:iCs w:val="0"/>
          </w:rPr>
          <w:t>5769- دیوان قاصر قاینی‏</w:t>
        </w:r>
        <w:r>
          <w:tab/>
        </w:r>
        <w:r>
          <w:fldChar w:fldCharType="begin"/>
        </w:r>
        <w:r>
          <w:instrText xml:space="preserve">PAGEREF 6326 \h</w:instrText>
        </w:r>
        <w:r>
          <w:fldChar w:fldCharType="end"/>
        </w:r>
      </w:hyperlink>
    </w:p>
    <w:p>
      <w:pPr>
        <w:tabs>
          <w:tab w:val="right" w:leader="dot" w:pos="9062"/>
        </w:tabs>
        <w:ind w:left="440"/>
      </w:pPr>
      <w:hyperlink w:anchor="_Toc6327" w:history="1">
        <w:r>
          <w:rPr>
            <w:rFonts w:ascii="IRNazanin" w:hAnsi="IRNazanin" w:eastAsia="IRNazanin" w:cs="IRNazanin"/>
            <w:color w:val="111111"/>
            <w:sz w:val="22"/>
            <w:szCs w:val="22"/>
            <w:b w:val="0"/>
            <w:bCs w:val="0"/>
            <w:i w:val="0"/>
            <w:iCs w:val="0"/>
          </w:rPr>
          <w:t>دیوان قاصری رازی‏</w:t>
        </w:r>
        <w:r>
          <w:tab/>
        </w:r>
        <w:r>
          <w:fldChar w:fldCharType="begin"/>
        </w:r>
        <w:r>
          <w:instrText xml:space="preserve">PAGEREF 6327 \h</w:instrText>
        </w:r>
        <w:r>
          <w:fldChar w:fldCharType="end"/>
        </w:r>
      </w:hyperlink>
    </w:p>
    <w:p>
      <w:pPr>
        <w:tabs>
          <w:tab w:val="right" w:leader="dot" w:pos="9062"/>
        </w:tabs>
        <w:ind w:left="440"/>
      </w:pPr>
      <w:hyperlink w:anchor="_Toc6328" w:history="1">
        <w:r>
          <w:rPr>
            <w:rFonts w:ascii="IRNazanin" w:hAnsi="IRNazanin" w:eastAsia="IRNazanin" w:cs="IRNazanin"/>
            <w:color w:val="111111"/>
            <w:sz w:val="22"/>
            <w:szCs w:val="22"/>
            <w:b w:val="0"/>
            <w:bCs w:val="0"/>
            <w:i w:val="0"/>
            <w:iCs w:val="0"/>
          </w:rPr>
          <w:t>دیوان قاضی آرانی‏</w:t>
        </w:r>
        <w:r>
          <w:tab/>
        </w:r>
        <w:r>
          <w:fldChar w:fldCharType="begin"/>
        </w:r>
        <w:r>
          <w:instrText xml:space="preserve">PAGEREF 6328 \h</w:instrText>
        </w:r>
        <w:r>
          <w:fldChar w:fldCharType="end"/>
        </w:r>
      </w:hyperlink>
    </w:p>
    <w:p>
      <w:pPr>
        <w:tabs>
          <w:tab w:val="right" w:leader="dot" w:pos="9062"/>
        </w:tabs>
        <w:ind w:left="440"/>
      </w:pPr>
      <w:hyperlink w:anchor="_Toc6329" w:history="1">
        <w:r>
          <w:rPr>
            <w:rFonts w:ascii="IRNazanin" w:hAnsi="IRNazanin" w:eastAsia="IRNazanin" w:cs="IRNazanin"/>
            <w:color w:val="111111"/>
            <w:sz w:val="22"/>
            <w:szCs w:val="22"/>
            <w:b w:val="0"/>
            <w:bCs w:val="0"/>
            <w:i w:val="0"/>
            <w:iCs w:val="0"/>
          </w:rPr>
          <w:t>5770- دیوان قاضی أحمد أو شعره‏</w:t>
        </w:r>
        <w:r>
          <w:tab/>
        </w:r>
        <w:r>
          <w:fldChar w:fldCharType="begin"/>
        </w:r>
        <w:r>
          <w:instrText xml:space="preserve">PAGEREF 6329 \h</w:instrText>
        </w:r>
        <w:r>
          <w:fldChar w:fldCharType="end"/>
        </w:r>
      </w:hyperlink>
    </w:p>
    <w:p>
      <w:pPr>
        <w:tabs>
          <w:tab w:val="right" w:leader="dot" w:pos="9062"/>
        </w:tabs>
        <w:ind w:left="440"/>
      </w:pPr>
      <w:hyperlink w:anchor="_Toc6330" w:history="1">
        <w:r>
          <w:rPr>
            <w:rFonts w:ascii="IRNazanin" w:hAnsi="IRNazanin" w:eastAsia="IRNazanin" w:cs="IRNazanin"/>
            <w:color w:val="111111"/>
            <w:sz w:val="22"/>
            <w:szCs w:val="22"/>
            <w:b w:val="0"/>
            <w:bCs w:val="0"/>
            <w:i w:val="0"/>
            <w:iCs w:val="0"/>
          </w:rPr>
          <w:t>دیوان القاضی اختیار</w:t>
        </w:r>
        <w:r>
          <w:tab/>
        </w:r>
        <w:r>
          <w:fldChar w:fldCharType="begin"/>
        </w:r>
        <w:r>
          <w:instrText xml:space="preserve">PAGEREF 6330 \h</w:instrText>
        </w:r>
        <w:r>
          <w:fldChar w:fldCharType="end"/>
        </w:r>
      </w:hyperlink>
    </w:p>
    <w:p>
      <w:pPr>
        <w:tabs>
          <w:tab w:val="right" w:leader="dot" w:pos="9062"/>
        </w:tabs>
        <w:ind w:left="440"/>
      </w:pPr>
      <w:hyperlink w:anchor="_Toc6331" w:history="1">
        <w:r>
          <w:rPr>
            <w:rFonts w:ascii="IRNazanin" w:hAnsi="IRNazanin" w:eastAsia="IRNazanin" w:cs="IRNazanin"/>
            <w:color w:val="111111"/>
            <w:sz w:val="22"/>
            <w:szCs w:val="22"/>
            <w:b w:val="0"/>
            <w:bCs w:val="0"/>
            <w:i w:val="0"/>
            <w:iCs w:val="0"/>
          </w:rPr>
          <w:t>5771- دیوان قاضی أنوی‏</w:t>
        </w:r>
        <w:r>
          <w:tab/>
        </w:r>
        <w:r>
          <w:fldChar w:fldCharType="begin"/>
        </w:r>
        <w:r>
          <w:instrText xml:space="preserve">PAGEREF 6331 \h</w:instrText>
        </w:r>
        <w:r>
          <w:fldChar w:fldCharType="end"/>
        </w:r>
      </w:hyperlink>
    </w:p>
    <w:p>
      <w:pPr>
        <w:tabs>
          <w:tab w:val="right" w:leader="dot" w:pos="9062"/>
        </w:tabs>
        <w:ind w:left="440"/>
      </w:pPr>
      <w:hyperlink w:anchor="_Toc6332" w:history="1">
        <w:r>
          <w:rPr>
            <w:rFonts w:ascii="IRNazanin" w:hAnsi="IRNazanin" w:eastAsia="IRNazanin" w:cs="IRNazanin"/>
            <w:color w:val="111111"/>
            <w:sz w:val="22"/>
            <w:szCs w:val="22"/>
            <w:b w:val="0"/>
            <w:bCs w:val="0"/>
            <w:i w:val="0"/>
            <w:iCs w:val="0"/>
          </w:rPr>
          <w:t>دیوان قاضی أویس أو شعره‏</w:t>
        </w:r>
        <w:r>
          <w:tab/>
        </w:r>
        <w:r>
          <w:fldChar w:fldCharType="begin"/>
        </w:r>
        <w:r>
          <w:instrText xml:space="preserve">PAGEREF 6332 \h</w:instrText>
        </w:r>
        <w:r>
          <w:fldChar w:fldCharType="end"/>
        </w:r>
      </w:hyperlink>
    </w:p>
    <w:p>
      <w:pPr>
        <w:tabs>
          <w:tab w:val="right" w:leader="dot" w:pos="9062"/>
        </w:tabs>
        <w:ind w:left="440"/>
      </w:pPr>
      <w:hyperlink w:anchor="_Toc6333" w:history="1">
        <w:r>
          <w:rPr>
            <w:rFonts w:ascii="IRNazanin" w:hAnsi="IRNazanin" w:eastAsia="IRNazanin" w:cs="IRNazanin"/>
            <w:color w:val="111111"/>
            <w:sz w:val="22"/>
            <w:szCs w:val="22"/>
            <w:b w:val="0"/>
            <w:bCs w:val="0"/>
            <w:i w:val="0"/>
            <w:iCs w:val="0"/>
          </w:rPr>
          <w:t>دیوان قاضی بروجردی‏</w:t>
        </w:r>
        <w:r>
          <w:tab/>
        </w:r>
        <w:r>
          <w:fldChar w:fldCharType="begin"/>
        </w:r>
        <w:r>
          <w:instrText xml:space="preserve">PAGEREF 6333 \h</w:instrText>
        </w:r>
        <w:r>
          <w:fldChar w:fldCharType="end"/>
        </w:r>
      </w:hyperlink>
    </w:p>
    <w:p>
      <w:pPr>
        <w:tabs>
          <w:tab w:val="right" w:leader="dot" w:pos="9062"/>
        </w:tabs>
        <w:ind w:left="440"/>
      </w:pPr>
      <w:hyperlink w:anchor="_Toc6334" w:history="1">
        <w:r>
          <w:rPr>
            <w:rFonts w:ascii="IRNazanin" w:hAnsi="IRNazanin" w:eastAsia="IRNazanin" w:cs="IRNazanin"/>
            <w:color w:val="111111"/>
            <w:sz w:val="22"/>
            <w:szCs w:val="22"/>
            <w:b w:val="0"/>
            <w:bCs w:val="0"/>
            <w:i w:val="0"/>
            <w:iCs w:val="0"/>
          </w:rPr>
          <w:t>دیوان القاضی التنوخی الکبیر</w:t>
        </w:r>
        <w:r>
          <w:tab/>
        </w:r>
        <w:r>
          <w:fldChar w:fldCharType="begin"/>
        </w:r>
        <w:r>
          <w:instrText xml:space="preserve">PAGEREF 6334 \h</w:instrText>
        </w:r>
        <w:r>
          <w:fldChar w:fldCharType="end"/>
        </w:r>
      </w:hyperlink>
    </w:p>
    <w:p>
      <w:pPr>
        <w:tabs>
          <w:tab w:val="right" w:leader="dot" w:pos="9062"/>
        </w:tabs>
        <w:ind w:left="440"/>
      </w:pPr>
      <w:hyperlink w:anchor="_Toc6335" w:history="1">
        <w:r>
          <w:rPr>
            <w:rFonts w:ascii="IRNazanin" w:hAnsi="IRNazanin" w:eastAsia="IRNazanin" w:cs="IRNazanin"/>
            <w:color w:val="111111"/>
            <w:sz w:val="22"/>
            <w:szCs w:val="22"/>
            <w:b w:val="0"/>
            <w:bCs w:val="0"/>
            <w:i w:val="0"/>
            <w:iCs w:val="0"/>
          </w:rPr>
          <w:t>دیوان القاضی التنوخی الصغیر</w:t>
        </w:r>
        <w:r>
          <w:tab/>
        </w:r>
        <w:r>
          <w:fldChar w:fldCharType="begin"/>
        </w:r>
        <w:r>
          <w:instrText xml:space="preserve">PAGEREF 6335 \h</w:instrText>
        </w:r>
        <w:r>
          <w:fldChar w:fldCharType="end"/>
        </w:r>
      </w:hyperlink>
    </w:p>
    <w:p>
      <w:pPr>
        <w:tabs>
          <w:tab w:val="right" w:leader="dot" w:pos="9062"/>
        </w:tabs>
        <w:ind w:left="440"/>
      </w:pPr>
      <w:hyperlink w:anchor="_Toc6336" w:history="1">
        <w:r>
          <w:rPr>
            <w:rFonts w:ascii="IRNazanin" w:hAnsi="IRNazanin" w:eastAsia="IRNazanin" w:cs="IRNazanin"/>
            <w:color w:val="111111"/>
            <w:sz w:val="22"/>
            <w:szCs w:val="22"/>
            <w:b w:val="0"/>
            <w:bCs w:val="0"/>
            <w:i w:val="0"/>
            <w:iCs w:val="0"/>
          </w:rPr>
          <w:t>دیوان القاضی التنوخی الحفید</w:t>
        </w:r>
        <w:r>
          <w:tab/>
        </w:r>
        <w:r>
          <w:fldChar w:fldCharType="begin"/>
        </w:r>
        <w:r>
          <w:instrText xml:space="preserve">PAGEREF 6336 \h</w:instrText>
        </w:r>
        <w:r>
          <w:fldChar w:fldCharType="end"/>
        </w:r>
      </w:hyperlink>
    </w:p>
    <w:p>
      <w:pPr>
        <w:tabs>
          <w:tab w:val="right" w:leader="dot" w:pos="9062"/>
        </w:tabs>
        <w:ind w:left="440"/>
      </w:pPr>
      <w:hyperlink w:anchor="_Toc6337" w:history="1">
        <w:r>
          <w:rPr>
            <w:rFonts w:ascii="IRNazanin" w:hAnsi="IRNazanin" w:eastAsia="IRNazanin" w:cs="IRNazanin"/>
            <w:color w:val="111111"/>
            <w:sz w:val="22"/>
            <w:szCs w:val="22"/>
            <w:b w:val="0"/>
            <w:bCs w:val="0"/>
            <w:i w:val="0"/>
            <w:iCs w:val="0"/>
          </w:rPr>
          <w:t>دیوان قاضی بخارائی أو شعره‏</w:t>
        </w:r>
        <w:r>
          <w:tab/>
        </w:r>
        <w:r>
          <w:fldChar w:fldCharType="begin"/>
        </w:r>
        <w:r>
          <w:instrText xml:space="preserve">PAGEREF 6337 \h</w:instrText>
        </w:r>
        <w:r>
          <w:fldChar w:fldCharType="end"/>
        </w:r>
      </w:hyperlink>
    </w:p>
    <w:p>
      <w:pPr>
        <w:tabs>
          <w:tab w:val="right" w:leader="dot" w:pos="9062"/>
        </w:tabs>
        <w:ind w:left="440"/>
      </w:pPr>
      <w:hyperlink w:anchor="_Toc6338" w:history="1">
        <w:r>
          <w:rPr>
            <w:rFonts w:ascii="IRNazanin" w:hAnsi="IRNazanin" w:eastAsia="IRNazanin" w:cs="IRNazanin"/>
            <w:color w:val="111111"/>
            <w:sz w:val="22"/>
            <w:szCs w:val="22"/>
            <w:b w:val="0"/>
            <w:bCs w:val="0"/>
            <w:i w:val="0"/>
            <w:iCs w:val="0"/>
          </w:rPr>
          <w:t>5772- دیوان قاضی حسن همدانی أو شعره‏</w:t>
        </w:r>
        <w:r>
          <w:tab/>
        </w:r>
        <w:r>
          <w:fldChar w:fldCharType="begin"/>
        </w:r>
        <w:r>
          <w:instrText xml:space="preserve">PAGEREF 6338 \h</w:instrText>
        </w:r>
        <w:r>
          <w:fldChar w:fldCharType="end"/>
        </w:r>
      </w:hyperlink>
    </w:p>
    <w:p>
      <w:pPr>
        <w:tabs>
          <w:tab w:val="right" w:leader="dot" w:pos="9062"/>
        </w:tabs>
        <w:ind w:left="440"/>
      </w:pPr>
      <w:hyperlink w:anchor="_Toc6339" w:history="1">
        <w:r>
          <w:rPr>
            <w:rFonts w:ascii="IRNazanin" w:hAnsi="IRNazanin" w:eastAsia="IRNazanin" w:cs="IRNazanin"/>
            <w:color w:val="111111"/>
            <w:sz w:val="22"/>
            <w:szCs w:val="22"/>
            <w:b w:val="0"/>
            <w:bCs w:val="0"/>
            <w:i w:val="0"/>
            <w:iCs w:val="0"/>
          </w:rPr>
          <w:t>دیوان قاضی خوانساری‏</w:t>
        </w:r>
        <w:r>
          <w:tab/>
        </w:r>
        <w:r>
          <w:fldChar w:fldCharType="begin"/>
        </w:r>
        <w:r>
          <w:instrText xml:space="preserve">PAGEREF 6339 \h</w:instrText>
        </w:r>
        <w:r>
          <w:fldChar w:fldCharType="end"/>
        </w:r>
      </w:hyperlink>
    </w:p>
    <w:p>
      <w:pPr>
        <w:tabs>
          <w:tab w:val="right" w:leader="dot" w:pos="9062"/>
        </w:tabs>
        <w:ind w:left="440"/>
      </w:pPr>
      <w:hyperlink w:anchor="_Toc6340" w:history="1">
        <w:r>
          <w:rPr>
            <w:rFonts w:ascii="IRNazanin" w:hAnsi="IRNazanin" w:eastAsia="IRNazanin" w:cs="IRNazanin"/>
            <w:color w:val="111111"/>
            <w:sz w:val="22"/>
            <w:szCs w:val="22"/>
            <w:b w:val="0"/>
            <w:bCs w:val="0"/>
            <w:i w:val="0"/>
            <w:iCs w:val="0"/>
          </w:rPr>
          <w:t>دیوان قاضی داوری أو شعره‏</w:t>
        </w:r>
        <w:r>
          <w:tab/>
        </w:r>
        <w:r>
          <w:fldChar w:fldCharType="begin"/>
        </w:r>
        <w:r>
          <w:instrText xml:space="preserve">PAGEREF 6340 \h</w:instrText>
        </w:r>
        <w:r>
          <w:fldChar w:fldCharType="end"/>
        </w:r>
      </w:hyperlink>
    </w:p>
    <w:p>
      <w:pPr>
        <w:tabs>
          <w:tab w:val="right" w:leader="dot" w:pos="9062"/>
        </w:tabs>
        <w:ind w:left="440"/>
      </w:pPr>
      <w:hyperlink w:anchor="_Toc6341" w:history="1">
        <w:r>
          <w:rPr>
            <w:rFonts w:ascii="IRNazanin" w:hAnsi="IRNazanin" w:eastAsia="IRNazanin" w:cs="IRNazanin"/>
            <w:color w:val="111111"/>
            <w:sz w:val="22"/>
            <w:szCs w:val="22"/>
            <w:b w:val="0"/>
            <w:bCs w:val="0"/>
            <w:i w:val="0"/>
            <w:iCs w:val="0"/>
          </w:rPr>
          <w:t>5773- دیوان قاضی رازی أو شعره‏</w:t>
        </w:r>
        <w:r>
          <w:tab/>
        </w:r>
        <w:r>
          <w:fldChar w:fldCharType="begin"/>
        </w:r>
        <w:r>
          <w:instrText xml:space="preserve">PAGEREF 6341 \h</w:instrText>
        </w:r>
        <w:r>
          <w:fldChar w:fldCharType="end"/>
        </w:r>
      </w:hyperlink>
    </w:p>
    <w:p>
      <w:pPr>
        <w:tabs>
          <w:tab w:val="right" w:leader="dot" w:pos="9062"/>
        </w:tabs>
        <w:ind w:left="440"/>
      </w:pPr>
      <w:hyperlink w:anchor="_Toc6342" w:history="1">
        <w:r>
          <w:rPr>
            <w:rFonts w:ascii="IRNazanin" w:hAnsi="IRNazanin" w:eastAsia="IRNazanin" w:cs="IRNazanin"/>
            <w:color w:val="111111"/>
            <w:sz w:val="22"/>
            <w:szCs w:val="22"/>
            <w:b w:val="0"/>
            <w:bCs w:val="0"/>
            <w:i w:val="0"/>
            <w:iCs w:val="0"/>
          </w:rPr>
          <w:t>دیوان قاضی رازی‏</w:t>
        </w:r>
        <w:r>
          <w:tab/>
        </w:r>
        <w:r>
          <w:fldChar w:fldCharType="begin"/>
        </w:r>
        <w:r>
          <w:instrText xml:space="preserve">PAGEREF 6342 \h</w:instrText>
        </w:r>
        <w:r>
          <w:fldChar w:fldCharType="end"/>
        </w:r>
      </w:hyperlink>
    </w:p>
    <w:p>
      <w:pPr>
        <w:tabs>
          <w:tab w:val="right" w:leader="dot" w:pos="9062"/>
        </w:tabs>
        <w:ind w:left="440"/>
      </w:pPr>
      <w:hyperlink w:anchor="_Toc6343" w:history="1">
        <w:r>
          <w:rPr>
            <w:rFonts w:ascii="IRNazanin" w:hAnsi="IRNazanin" w:eastAsia="IRNazanin" w:cs="IRNazanin"/>
            <w:color w:val="111111"/>
            <w:sz w:val="22"/>
            <w:szCs w:val="22"/>
            <w:b w:val="0"/>
            <w:bCs w:val="0"/>
            <w:i w:val="0"/>
            <w:iCs w:val="0"/>
          </w:rPr>
          <w:t>دیوان قاضی بافقی الیزدی‏</w:t>
        </w:r>
        <w:r>
          <w:tab/>
        </w:r>
        <w:r>
          <w:fldChar w:fldCharType="begin"/>
        </w:r>
        <w:r>
          <w:instrText xml:space="preserve">PAGEREF 6343 \h</w:instrText>
        </w:r>
        <w:r>
          <w:fldChar w:fldCharType="end"/>
        </w:r>
      </w:hyperlink>
    </w:p>
    <w:p>
      <w:pPr>
        <w:tabs>
          <w:tab w:val="right" w:leader="dot" w:pos="9062"/>
        </w:tabs>
        <w:ind w:left="440"/>
      </w:pPr>
      <w:hyperlink w:anchor="_Toc6344" w:history="1">
        <w:r>
          <w:rPr>
            <w:rFonts w:ascii="IRNazanin" w:hAnsi="IRNazanin" w:eastAsia="IRNazanin" w:cs="IRNazanin"/>
            <w:color w:val="111111"/>
            <w:sz w:val="22"/>
            <w:szCs w:val="22"/>
            <w:b w:val="0"/>
            <w:bCs w:val="0"/>
            <w:i w:val="0"/>
            <w:iCs w:val="0"/>
          </w:rPr>
          <w:t>5774- دیوان قاضی رضوی أو شعره‏</w:t>
        </w:r>
        <w:r>
          <w:tab/>
        </w:r>
        <w:r>
          <w:fldChar w:fldCharType="begin"/>
        </w:r>
        <w:r>
          <w:instrText xml:space="preserve">PAGEREF 6344 \h</w:instrText>
        </w:r>
        <w:r>
          <w:fldChar w:fldCharType="end"/>
        </w:r>
      </w:hyperlink>
    </w:p>
    <w:p>
      <w:pPr>
        <w:tabs>
          <w:tab w:val="right" w:leader="dot" w:pos="9062"/>
        </w:tabs>
        <w:ind w:left="440"/>
      </w:pPr>
      <w:hyperlink w:anchor="_Toc6345" w:history="1">
        <w:r>
          <w:rPr>
            <w:rFonts w:ascii="IRNazanin" w:hAnsi="IRNazanin" w:eastAsia="IRNazanin" w:cs="IRNazanin"/>
            <w:color w:val="111111"/>
            <w:sz w:val="22"/>
            <w:szCs w:val="22"/>
            <w:b w:val="0"/>
            <w:bCs w:val="0"/>
            <w:i w:val="0"/>
            <w:iCs w:val="0"/>
          </w:rPr>
          <w:t>5775- دیوان قاضی روح الله‏</w:t>
        </w:r>
        <w:r>
          <w:tab/>
        </w:r>
        <w:r>
          <w:fldChar w:fldCharType="begin"/>
        </w:r>
        <w:r>
          <w:instrText xml:space="preserve">PAGEREF 6345 \h</w:instrText>
        </w:r>
        <w:r>
          <w:fldChar w:fldCharType="end"/>
        </w:r>
      </w:hyperlink>
    </w:p>
    <w:p>
      <w:pPr>
        <w:tabs>
          <w:tab w:val="right" w:leader="dot" w:pos="9062"/>
        </w:tabs>
        <w:ind w:left="440"/>
      </w:pPr>
      <w:hyperlink w:anchor="_Toc6346" w:history="1">
        <w:r>
          <w:rPr>
            <w:rFonts w:ascii="IRNazanin" w:hAnsi="IRNazanin" w:eastAsia="IRNazanin" w:cs="IRNazanin"/>
            <w:color w:val="111111"/>
            <w:sz w:val="22"/>
            <w:szCs w:val="22"/>
            <w:b w:val="0"/>
            <w:bCs w:val="0"/>
            <w:i w:val="0"/>
            <w:iCs w:val="0"/>
          </w:rPr>
          <w:t>5776- دیوان قاضی‏زاده‏</w:t>
        </w:r>
        <w:r>
          <w:tab/>
        </w:r>
        <w:r>
          <w:fldChar w:fldCharType="begin"/>
        </w:r>
        <w:r>
          <w:instrText xml:space="preserve">PAGEREF 6346 \h</w:instrText>
        </w:r>
        <w:r>
          <w:fldChar w:fldCharType="end"/>
        </w:r>
      </w:hyperlink>
    </w:p>
    <w:p>
      <w:pPr>
        <w:tabs>
          <w:tab w:val="right" w:leader="dot" w:pos="9062"/>
        </w:tabs>
        <w:ind w:left="440"/>
      </w:pPr>
      <w:hyperlink w:anchor="_Toc6347" w:history="1">
        <w:r>
          <w:rPr>
            <w:rFonts w:ascii="IRNazanin" w:hAnsi="IRNazanin" w:eastAsia="IRNazanin" w:cs="IRNazanin"/>
            <w:color w:val="111111"/>
            <w:sz w:val="22"/>
            <w:szCs w:val="22"/>
            <w:b w:val="0"/>
            <w:bCs w:val="0"/>
            <w:i w:val="0"/>
            <w:iCs w:val="0"/>
          </w:rPr>
          <w:t>5777- دیوان قاضی زاد أردبیلی‏</w:t>
        </w:r>
        <w:r>
          <w:tab/>
        </w:r>
        <w:r>
          <w:fldChar w:fldCharType="begin"/>
        </w:r>
        <w:r>
          <w:instrText xml:space="preserve">PAGEREF 6347 \h</w:instrText>
        </w:r>
        <w:r>
          <w:fldChar w:fldCharType="end"/>
        </w:r>
      </w:hyperlink>
    </w:p>
    <w:p>
      <w:pPr>
        <w:tabs>
          <w:tab w:val="right" w:leader="dot" w:pos="9062"/>
        </w:tabs>
        <w:ind w:left="440"/>
      </w:pPr>
      <w:hyperlink w:anchor="_Toc6348" w:history="1">
        <w:r>
          <w:rPr>
            <w:rFonts w:ascii="IRNazanin" w:hAnsi="IRNazanin" w:eastAsia="IRNazanin" w:cs="IRNazanin"/>
            <w:color w:val="111111"/>
            <w:sz w:val="22"/>
            <w:szCs w:val="22"/>
            <w:b w:val="0"/>
            <w:bCs w:val="0"/>
            <w:i w:val="0"/>
            <w:iCs w:val="0"/>
          </w:rPr>
          <w:t>5778- دیوان قاضی‏زاده أصفهانی أو شعره‏</w:t>
        </w:r>
        <w:r>
          <w:tab/>
        </w:r>
        <w:r>
          <w:fldChar w:fldCharType="begin"/>
        </w:r>
        <w:r>
          <w:instrText xml:space="preserve">PAGEREF 6348 \h</w:instrText>
        </w:r>
        <w:r>
          <w:fldChar w:fldCharType="end"/>
        </w:r>
      </w:hyperlink>
    </w:p>
    <w:p>
      <w:pPr>
        <w:tabs>
          <w:tab w:val="right" w:leader="dot" w:pos="9062"/>
        </w:tabs>
        <w:ind w:left="440"/>
      </w:pPr>
      <w:hyperlink w:anchor="_Toc6349" w:history="1">
        <w:r>
          <w:rPr>
            <w:rFonts w:ascii="IRNazanin" w:hAnsi="IRNazanin" w:eastAsia="IRNazanin" w:cs="IRNazanin"/>
            <w:color w:val="111111"/>
            <w:sz w:val="22"/>
            <w:szCs w:val="22"/>
            <w:b w:val="0"/>
            <w:bCs w:val="0"/>
            <w:i w:val="0"/>
            <w:iCs w:val="0"/>
          </w:rPr>
          <w:t>5779- دیوان قاضی‏زاده رومی أو شعره‏</w:t>
        </w:r>
        <w:r>
          <w:tab/>
        </w:r>
        <w:r>
          <w:fldChar w:fldCharType="begin"/>
        </w:r>
        <w:r>
          <w:instrText xml:space="preserve">PAGEREF 6349 \h</w:instrText>
        </w:r>
        <w:r>
          <w:fldChar w:fldCharType="end"/>
        </w:r>
      </w:hyperlink>
    </w:p>
    <w:p>
      <w:pPr>
        <w:tabs>
          <w:tab w:val="right" w:leader="dot" w:pos="9062"/>
        </w:tabs>
        <w:ind w:left="440"/>
      </w:pPr>
      <w:hyperlink w:anchor="_Toc6350" w:history="1">
        <w:r>
          <w:rPr>
            <w:rFonts w:ascii="IRNazanin" w:hAnsi="IRNazanin" w:eastAsia="IRNazanin" w:cs="IRNazanin"/>
            <w:color w:val="111111"/>
            <w:sz w:val="22"/>
            <w:szCs w:val="22"/>
            <w:b w:val="0"/>
            <w:bCs w:val="0"/>
            <w:i w:val="0"/>
            <w:iCs w:val="0"/>
          </w:rPr>
          <w:t>5780- دیوان قاضی‏زاده کرهرودی‏</w:t>
        </w:r>
        <w:r>
          <w:tab/>
        </w:r>
        <w:r>
          <w:fldChar w:fldCharType="begin"/>
        </w:r>
        <w:r>
          <w:instrText xml:space="preserve">PAGEREF 6350 \h</w:instrText>
        </w:r>
        <w:r>
          <w:fldChar w:fldCharType="end"/>
        </w:r>
      </w:hyperlink>
    </w:p>
    <w:p>
      <w:pPr>
        <w:tabs>
          <w:tab w:val="right" w:leader="dot" w:pos="9062"/>
        </w:tabs>
        <w:ind w:left="440"/>
      </w:pPr>
      <w:hyperlink w:anchor="_Toc6351" w:history="1">
        <w:r>
          <w:rPr>
            <w:rFonts w:ascii="IRNazanin" w:hAnsi="IRNazanin" w:eastAsia="IRNazanin" w:cs="IRNazanin"/>
            <w:color w:val="111111"/>
            <w:sz w:val="22"/>
            <w:szCs w:val="22"/>
            <w:b w:val="0"/>
            <w:bCs w:val="0"/>
            <w:i w:val="0"/>
            <w:iCs w:val="0"/>
          </w:rPr>
          <w:t>5781- دیوان قاضی‏زاده مشهدی أو شعره‏</w:t>
        </w:r>
        <w:r>
          <w:tab/>
        </w:r>
        <w:r>
          <w:fldChar w:fldCharType="begin"/>
        </w:r>
        <w:r>
          <w:instrText xml:space="preserve">PAGEREF 6351 \h</w:instrText>
        </w:r>
        <w:r>
          <w:fldChar w:fldCharType="end"/>
        </w:r>
      </w:hyperlink>
    </w:p>
    <w:p>
      <w:pPr>
        <w:tabs>
          <w:tab w:val="right" w:leader="dot" w:pos="9062"/>
        </w:tabs>
        <w:ind w:left="440"/>
      </w:pPr>
      <w:hyperlink w:anchor="_Toc6352" w:history="1">
        <w:r>
          <w:rPr>
            <w:rFonts w:ascii="IRNazanin" w:hAnsi="IRNazanin" w:eastAsia="IRNazanin" w:cs="IRNazanin"/>
            <w:color w:val="111111"/>
            <w:sz w:val="22"/>
            <w:szCs w:val="22"/>
            <w:b w:val="0"/>
            <w:bCs w:val="0"/>
            <w:i w:val="0"/>
            <w:iCs w:val="0"/>
          </w:rPr>
          <w:t>دیوان قاضی‏زاده‏</w:t>
        </w:r>
        <w:r>
          <w:tab/>
        </w:r>
        <w:r>
          <w:fldChar w:fldCharType="begin"/>
        </w:r>
        <w:r>
          <w:instrText xml:space="preserve">PAGEREF 6352 \h</w:instrText>
        </w:r>
        <w:r>
          <w:fldChar w:fldCharType="end"/>
        </w:r>
      </w:hyperlink>
    </w:p>
    <w:p>
      <w:pPr>
        <w:tabs>
          <w:tab w:val="right" w:leader="dot" w:pos="9062"/>
        </w:tabs>
        <w:ind w:left="440"/>
      </w:pPr>
      <w:hyperlink w:anchor="_Toc6353" w:history="1">
        <w:r>
          <w:rPr>
            <w:rFonts w:ascii="IRNazanin" w:hAnsi="IRNazanin" w:eastAsia="IRNazanin" w:cs="IRNazanin"/>
            <w:color w:val="111111"/>
            <w:sz w:val="22"/>
            <w:szCs w:val="22"/>
            <w:b w:val="0"/>
            <w:bCs w:val="0"/>
            <w:i w:val="0"/>
            <w:iCs w:val="0"/>
          </w:rPr>
          <w:t>دیوان قاضی سلام الله کاشی‏</w:t>
        </w:r>
        <w:r>
          <w:tab/>
        </w:r>
        <w:r>
          <w:fldChar w:fldCharType="begin"/>
        </w:r>
        <w:r>
          <w:instrText xml:space="preserve">PAGEREF 6353 \h</w:instrText>
        </w:r>
        <w:r>
          <w:fldChar w:fldCharType="end"/>
        </w:r>
      </w:hyperlink>
    </w:p>
    <w:p>
      <w:pPr>
        <w:tabs>
          <w:tab w:val="right" w:leader="dot" w:pos="9062"/>
        </w:tabs>
        <w:ind w:left="440"/>
      </w:pPr>
      <w:hyperlink w:anchor="_Toc6354" w:history="1">
        <w:r>
          <w:rPr>
            <w:rFonts w:ascii="IRNazanin" w:hAnsi="IRNazanin" w:eastAsia="IRNazanin" w:cs="IRNazanin"/>
            <w:color w:val="111111"/>
            <w:sz w:val="22"/>
            <w:szCs w:val="22"/>
            <w:b w:val="0"/>
            <w:bCs w:val="0"/>
            <w:i w:val="0"/>
            <w:iCs w:val="0"/>
          </w:rPr>
          <w:t>دیوان قاضی سنجانی‏</w:t>
        </w:r>
        <w:r>
          <w:tab/>
        </w:r>
        <w:r>
          <w:fldChar w:fldCharType="begin"/>
        </w:r>
        <w:r>
          <w:instrText xml:space="preserve">PAGEREF 6354 \h</w:instrText>
        </w:r>
        <w:r>
          <w:fldChar w:fldCharType="end"/>
        </w:r>
      </w:hyperlink>
    </w:p>
    <w:p>
      <w:pPr>
        <w:tabs>
          <w:tab w:val="right" w:leader="dot" w:pos="9062"/>
        </w:tabs>
        <w:ind w:left="440"/>
      </w:pPr>
      <w:hyperlink w:anchor="_Toc6355" w:history="1">
        <w:r>
          <w:rPr>
            <w:rFonts w:ascii="IRNazanin" w:hAnsi="IRNazanin" w:eastAsia="IRNazanin" w:cs="IRNazanin"/>
            <w:color w:val="111111"/>
            <w:sz w:val="22"/>
            <w:szCs w:val="22"/>
            <w:b w:val="0"/>
            <w:bCs w:val="0"/>
            <w:i w:val="0"/>
            <w:iCs w:val="0"/>
          </w:rPr>
          <w:t>دیوان قاضی شرف‏جهان القزوینی‏</w:t>
        </w:r>
        <w:r>
          <w:tab/>
        </w:r>
        <w:r>
          <w:fldChar w:fldCharType="begin"/>
        </w:r>
        <w:r>
          <w:instrText xml:space="preserve">PAGEREF 6355 \h</w:instrText>
        </w:r>
        <w:r>
          <w:fldChar w:fldCharType="end"/>
        </w:r>
      </w:hyperlink>
    </w:p>
    <w:p>
      <w:pPr>
        <w:tabs>
          <w:tab w:val="right" w:leader="dot" w:pos="9062"/>
        </w:tabs>
        <w:ind w:left="440"/>
      </w:pPr>
      <w:hyperlink w:anchor="_Toc6356" w:history="1">
        <w:r>
          <w:rPr>
            <w:rFonts w:ascii="IRNazanin" w:hAnsi="IRNazanin" w:eastAsia="IRNazanin" w:cs="IRNazanin"/>
            <w:color w:val="111111"/>
            <w:sz w:val="22"/>
            <w:szCs w:val="22"/>
            <w:b w:val="0"/>
            <w:bCs w:val="0"/>
            <w:i w:val="0"/>
            <w:iCs w:val="0"/>
          </w:rPr>
          <w:t>قاضی شمس الدین معلم الگیلانی‏</w:t>
        </w:r>
        <w:r>
          <w:tab/>
        </w:r>
        <w:r>
          <w:fldChar w:fldCharType="begin"/>
        </w:r>
        <w:r>
          <w:instrText xml:space="preserve">PAGEREF 6356 \h</w:instrText>
        </w:r>
        <w:r>
          <w:fldChar w:fldCharType="end"/>
        </w:r>
      </w:hyperlink>
    </w:p>
    <w:p>
      <w:pPr>
        <w:tabs>
          <w:tab w:val="right" w:leader="dot" w:pos="9062"/>
        </w:tabs>
        <w:ind w:left="440"/>
      </w:pPr>
      <w:hyperlink w:anchor="_Toc6357" w:history="1">
        <w:r>
          <w:rPr>
            <w:rFonts w:ascii="IRNazanin" w:hAnsi="IRNazanin" w:eastAsia="IRNazanin" w:cs="IRNazanin"/>
            <w:color w:val="111111"/>
            <w:sz w:val="22"/>
            <w:szCs w:val="22"/>
            <w:b w:val="0"/>
            <w:bCs w:val="0"/>
            <w:i w:val="0"/>
            <w:iCs w:val="0"/>
          </w:rPr>
          <w:t>5782- دیوان قاضی شوشتری أو شعره‏</w:t>
        </w:r>
        <w:r>
          <w:tab/>
        </w:r>
        <w:r>
          <w:fldChar w:fldCharType="begin"/>
        </w:r>
        <w:r>
          <w:instrText xml:space="preserve">PAGEREF 6357 \h</w:instrText>
        </w:r>
        <w:r>
          <w:fldChar w:fldCharType="end"/>
        </w:r>
      </w:hyperlink>
    </w:p>
    <w:p>
      <w:pPr>
        <w:tabs>
          <w:tab w:val="right" w:leader="dot" w:pos="9062"/>
        </w:tabs>
        <w:ind w:left="440"/>
      </w:pPr>
      <w:hyperlink w:anchor="_Toc6358" w:history="1">
        <w:r>
          <w:rPr>
            <w:rFonts w:ascii="IRNazanin" w:hAnsi="IRNazanin" w:eastAsia="IRNazanin" w:cs="IRNazanin"/>
            <w:color w:val="111111"/>
            <w:sz w:val="22"/>
            <w:szCs w:val="22"/>
            <w:b w:val="0"/>
            <w:bCs w:val="0"/>
            <w:i w:val="0"/>
            <w:iCs w:val="0"/>
          </w:rPr>
          <w:t>دیوان قاضی شهاب الدین الجمندی‏</w:t>
        </w:r>
        <w:r>
          <w:tab/>
        </w:r>
        <w:r>
          <w:fldChar w:fldCharType="begin"/>
        </w:r>
        <w:r>
          <w:instrText xml:space="preserve">PAGEREF 6358 \h</w:instrText>
        </w:r>
        <w:r>
          <w:fldChar w:fldCharType="end"/>
        </w:r>
      </w:hyperlink>
    </w:p>
    <w:p>
      <w:pPr>
        <w:tabs>
          <w:tab w:val="right" w:leader="dot" w:pos="9062"/>
        </w:tabs>
        <w:ind w:left="440"/>
      </w:pPr>
      <w:hyperlink w:anchor="_Toc6359" w:history="1">
        <w:r>
          <w:rPr>
            <w:rFonts w:ascii="IRNazanin" w:hAnsi="IRNazanin" w:eastAsia="IRNazanin" w:cs="IRNazanin"/>
            <w:color w:val="111111"/>
            <w:sz w:val="22"/>
            <w:szCs w:val="22"/>
            <w:b w:val="0"/>
            <w:bCs w:val="0"/>
            <w:i w:val="0"/>
            <w:iCs w:val="0"/>
          </w:rPr>
          <w:t>5783- دیوان قاضی صفی الدین أو شعره‏</w:t>
        </w:r>
        <w:r>
          <w:tab/>
        </w:r>
        <w:r>
          <w:fldChar w:fldCharType="begin"/>
        </w:r>
        <w:r>
          <w:instrText xml:space="preserve">PAGEREF 6359 \h</w:instrText>
        </w:r>
        <w:r>
          <w:fldChar w:fldCharType="end"/>
        </w:r>
      </w:hyperlink>
    </w:p>
    <w:p>
      <w:pPr>
        <w:tabs>
          <w:tab w:val="right" w:leader="dot" w:pos="9062"/>
        </w:tabs>
        <w:ind w:left="440"/>
      </w:pPr>
      <w:hyperlink w:anchor="_Toc6360" w:history="1">
        <w:r>
          <w:rPr>
            <w:rFonts w:ascii="IRNazanin" w:hAnsi="IRNazanin" w:eastAsia="IRNazanin" w:cs="IRNazanin"/>
            <w:color w:val="111111"/>
            <w:sz w:val="22"/>
            <w:szCs w:val="22"/>
            <w:b w:val="0"/>
            <w:bCs w:val="0"/>
            <w:i w:val="0"/>
            <w:iCs w:val="0"/>
          </w:rPr>
          <w:t>5784- دیوان قاضی عبد الخالق کرهرودی أو شعره‏</w:t>
        </w:r>
        <w:r>
          <w:tab/>
        </w:r>
        <w:r>
          <w:fldChar w:fldCharType="begin"/>
        </w:r>
        <w:r>
          <w:instrText xml:space="preserve">PAGEREF 6360 \h</w:instrText>
        </w:r>
        <w:r>
          <w:fldChar w:fldCharType="end"/>
        </w:r>
      </w:hyperlink>
    </w:p>
    <w:p>
      <w:pPr>
        <w:tabs>
          <w:tab w:val="right" w:leader="dot" w:pos="9062"/>
        </w:tabs>
        <w:ind w:left="440"/>
      </w:pPr>
      <w:hyperlink w:anchor="_Toc6361" w:history="1">
        <w:r>
          <w:rPr>
            <w:rFonts w:ascii="IRNazanin" w:hAnsi="IRNazanin" w:eastAsia="IRNazanin" w:cs="IRNazanin"/>
            <w:color w:val="111111"/>
            <w:sz w:val="22"/>
            <w:szCs w:val="22"/>
            <w:b w:val="0"/>
            <w:bCs w:val="0"/>
            <w:i w:val="0"/>
            <w:iCs w:val="0"/>
          </w:rPr>
          <w:t>5785- دیوان قاضی عثمان قزوینی‏</w:t>
        </w:r>
        <w:r>
          <w:tab/>
        </w:r>
        <w:r>
          <w:fldChar w:fldCharType="begin"/>
        </w:r>
        <w:r>
          <w:instrText xml:space="preserve">PAGEREF 6361 \h</w:instrText>
        </w:r>
        <w:r>
          <w:fldChar w:fldCharType="end"/>
        </w:r>
      </w:hyperlink>
    </w:p>
    <w:p>
      <w:pPr>
        <w:tabs>
          <w:tab w:val="right" w:leader="dot" w:pos="9062"/>
        </w:tabs>
        <w:ind w:left="440"/>
      </w:pPr>
      <w:hyperlink w:anchor="_Toc6362" w:history="1">
        <w:r>
          <w:rPr>
            <w:rFonts w:ascii="IRNazanin" w:hAnsi="IRNazanin" w:eastAsia="IRNazanin" w:cs="IRNazanin"/>
            <w:color w:val="111111"/>
            <w:sz w:val="22"/>
            <w:szCs w:val="22"/>
            <w:b w:val="0"/>
            <w:bCs w:val="0"/>
            <w:i w:val="0"/>
            <w:iCs w:val="0"/>
          </w:rPr>
          <w:t>دیوان قاضی عبد الله گیلانی اللاهیجانی‏</w:t>
        </w:r>
        <w:r>
          <w:tab/>
        </w:r>
        <w:r>
          <w:fldChar w:fldCharType="begin"/>
        </w:r>
        <w:r>
          <w:instrText xml:space="preserve">PAGEREF 6362 \h</w:instrText>
        </w:r>
        <w:r>
          <w:fldChar w:fldCharType="end"/>
        </w:r>
      </w:hyperlink>
    </w:p>
    <w:p>
      <w:pPr>
        <w:tabs>
          <w:tab w:val="right" w:leader="dot" w:pos="9062"/>
        </w:tabs>
        <w:ind w:left="440"/>
      </w:pPr>
      <w:hyperlink w:anchor="_Toc6363" w:history="1">
        <w:r>
          <w:rPr>
            <w:rFonts w:ascii="IRNazanin" w:hAnsi="IRNazanin" w:eastAsia="IRNazanin" w:cs="IRNazanin"/>
            <w:color w:val="111111"/>
            <w:sz w:val="22"/>
            <w:szCs w:val="22"/>
            <w:b w:val="0"/>
            <w:bCs w:val="0"/>
            <w:i w:val="0"/>
            <w:iCs w:val="0"/>
          </w:rPr>
          <w:t>دیوان قاضی عبد الوهاب المشهدی‏</w:t>
        </w:r>
        <w:r>
          <w:tab/>
        </w:r>
        <w:r>
          <w:fldChar w:fldCharType="begin"/>
        </w:r>
        <w:r>
          <w:instrText xml:space="preserve">PAGEREF 6363 \h</w:instrText>
        </w:r>
        <w:r>
          <w:fldChar w:fldCharType="end"/>
        </w:r>
      </w:hyperlink>
    </w:p>
    <w:p>
      <w:pPr>
        <w:tabs>
          <w:tab w:val="right" w:leader="dot" w:pos="9062"/>
        </w:tabs>
        <w:ind w:left="440"/>
      </w:pPr>
      <w:hyperlink w:anchor="_Toc6364" w:history="1">
        <w:r>
          <w:rPr>
            <w:rFonts w:ascii="IRNazanin" w:hAnsi="IRNazanin" w:eastAsia="IRNazanin" w:cs="IRNazanin"/>
            <w:color w:val="111111"/>
            <w:sz w:val="22"/>
            <w:szCs w:val="22"/>
            <w:b w:val="0"/>
            <w:bCs w:val="0"/>
            <w:i w:val="0"/>
            <w:iCs w:val="0"/>
          </w:rPr>
          <w:t>5786- دیوان قاضی عطاء الله رازی‏</w:t>
        </w:r>
        <w:r>
          <w:tab/>
        </w:r>
        <w:r>
          <w:fldChar w:fldCharType="begin"/>
        </w:r>
        <w:r>
          <w:instrText xml:space="preserve">PAGEREF 6364 \h</w:instrText>
        </w:r>
        <w:r>
          <w:fldChar w:fldCharType="end"/>
        </w:r>
      </w:hyperlink>
    </w:p>
    <w:p>
      <w:pPr>
        <w:tabs>
          <w:tab w:val="right" w:leader="dot" w:pos="9062"/>
        </w:tabs>
        <w:ind w:left="440"/>
      </w:pPr>
      <w:hyperlink w:anchor="_Toc6365" w:history="1">
        <w:r>
          <w:rPr>
            <w:rFonts w:ascii="IRNazanin" w:hAnsi="IRNazanin" w:eastAsia="IRNazanin" w:cs="IRNazanin"/>
            <w:color w:val="111111"/>
            <w:sz w:val="22"/>
            <w:szCs w:val="22"/>
            <w:b w:val="0"/>
            <w:bCs w:val="0"/>
            <w:i w:val="0"/>
            <w:iCs w:val="0"/>
          </w:rPr>
          <w:t>دیوان قاضی قزوینی‏</w:t>
        </w:r>
        <w:r>
          <w:tab/>
        </w:r>
        <w:r>
          <w:fldChar w:fldCharType="begin"/>
        </w:r>
        <w:r>
          <w:instrText xml:space="preserve">PAGEREF 6365 \h</w:instrText>
        </w:r>
        <w:r>
          <w:fldChar w:fldCharType="end"/>
        </w:r>
      </w:hyperlink>
    </w:p>
    <w:p>
      <w:pPr>
        <w:tabs>
          <w:tab w:val="right" w:leader="dot" w:pos="9062"/>
        </w:tabs>
        <w:ind w:left="440"/>
      </w:pPr>
      <w:hyperlink w:anchor="_Toc6366" w:history="1">
        <w:r>
          <w:rPr>
            <w:rFonts w:ascii="IRNazanin" w:hAnsi="IRNazanin" w:eastAsia="IRNazanin" w:cs="IRNazanin"/>
            <w:color w:val="111111"/>
            <w:sz w:val="22"/>
            <w:szCs w:val="22"/>
            <w:b w:val="0"/>
            <w:bCs w:val="0"/>
            <w:i w:val="0"/>
            <w:iCs w:val="0"/>
          </w:rPr>
          <w:t>دیوان قاضی قهپائی‏</w:t>
        </w:r>
        <w:r>
          <w:tab/>
        </w:r>
        <w:r>
          <w:fldChar w:fldCharType="begin"/>
        </w:r>
        <w:r>
          <w:instrText xml:space="preserve">PAGEREF 6366 \h</w:instrText>
        </w:r>
        <w:r>
          <w:fldChar w:fldCharType="end"/>
        </w:r>
      </w:hyperlink>
    </w:p>
    <w:p>
      <w:pPr>
        <w:tabs>
          <w:tab w:val="right" w:leader="dot" w:pos="9062"/>
        </w:tabs>
        <w:ind w:left="440"/>
      </w:pPr>
      <w:hyperlink w:anchor="_Toc6367" w:history="1">
        <w:r>
          <w:rPr>
            <w:rFonts w:ascii="IRNazanin" w:hAnsi="IRNazanin" w:eastAsia="IRNazanin" w:cs="IRNazanin"/>
            <w:color w:val="111111"/>
            <w:sz w:val="22"/>
            <w:szCs w:val="22"/>
            <w:b w:val="0"/>
            <w:bCs w:val="0"/>
            <w:i w:val="0"/>
            <w:iCs w:val="0"/>
          </w:rPr>
          <w:t>دیوان قاضی قندهاری‏</w:t>
        </w:r>
        <w:r>
          <w:tab/>
        </w:r>
        <w:r>
          <w:fldChar w:fldCharType="begin"/>
        </w:r>
        <w:r>
          <w:instrText xml:space="preserve">PAGEREF 6367 \h</w:instrText>
        </w:r>
        <w:r>
          <w:fldChar w:fldCharType="end"/>
        </w:r>
      </w:hyperlink>
    </w:p>
    <w:p>
      <w:pPr>
        <w:tabs>
          <w:tab w:val="right" w:leader="dot" w:pos="9062"/>
        </w:tabs>
        <w:ind w:left="440"/>
      </w:pPr>
      <w:hyperlink w:anchor="_Toc6368" w:history="1">
        <w:r>
          <w:rPr>
            <w:rFonts w:ascii="IRNazanin" w:hAnsi="IRNazanin" w:eastAsia="IRNazanin" w:cs="IRNazanin"/>
            <w:color w:val="111111"/>
            <w:sz w:val="22"/>
            <w:szCs w:val="22"/>
            <w:b w:val="0"/>
            <w:bCs w:val="0"/>
            <w:i w:val="0"/>
            <w:iCs w:val="0"/>
          </w:rPr>
          <w:t>دیوان قاضی لاغر سیستانی‏</w:t>
        </w:r>
        <w:r>
          <w:tab/>
        </w:r>
        <w:r>
          <w:fldChar w:fldCharType="begin"/>
        </w:r>
        <w:r>
          <w:instrText xml:space="preserve">PAGEREF 6368 \h</w:instrText>
        </w:r>
        <w:r>
          <w:fldChar w:fldCharType="end"/>
        </w:r>
      </w:hyperlink>
    </w:p>
    <w:p>
      <w:pPr>
        <w:tabs>
          <w:tab w:val="right" w:leader="dot" w:pos="9062"/>
        </w:tabs>
        <w:ind w:left="440"/>
      </w:pPr>
      <w:hyperlink w:anchor="_Toc6369" w:history="1">
        <w:r>
          <w:rPr>
            <w:rFonts w:ascii="IRNazanin" w:hAnsi="IRNazanin" w:eastAsia="IRNazanin" w:cs="IRNazanin"/>
            <w:color w:val="111111"/>
            <w:sz w:val="22"/>
            <w:szCs w:val="22"/>
            <w:b w:val="0"/>
            <w:bCs w:val="0"/>
            <w:i w:val="0"/>
            <w:iCs w:val="0"/>
          </w:rPr>
          <w:t>5787- دیوان القاضی محمد</w:t>
        </w:r>
        <w:r>
          <w:tab/>
        </w:r>
        <w:r>
          <w:fldChar w:fldCharType="begin"/>
        </w:r>
        <w:r>
          <w:instrText xml:space="preserve">PAGEREF 6369 \h</w:instrText>
        </w:r>
        <w:r>
          <w:fldChar w:fldCharType="end"/>
        </w:r>
      </w:hyperlink>
    </w:p>
    <w:p>
      <w:pPr>
        <w:tabs>
          <w:tab w:val="right" w:leader="dot" w:pos="9062"/>
        </w:tabs>
        <w:ind w:left="440"/>
      </w:pPr>
      <w:hyperlink w:anchor="_Toc6370" w:history="1">
        <w:r>
          <w:rPr>
            <w:rFonts w:ascii="IRNazanin" w:hAnsi="IRNazanin" w:eastAsia="IRNazanin" w:cs="IRNazanin"/>
            <w:color w:val="111111"/>
            <w:sz w:val="22"/>
            <w:szCs w:val="22"/>
            <w:b w:val="0"/>
            <w:bCs w:val="0"/>
            <w:i w:val="0"/>
            <w:iCs w:val="0"/>
          </w:rPr>
          <w:t>5788- دیوان قاضی محمد ورامین أو شعره‏</w:t>
        </w:r>
        <w:r>
          <w:tab/>
        </w:r>
        <w:r>
          <w:fldChar w:fldCharType="begin"/>
        </w:r>
        <w:r>
          <w:instrText xml:space="preserve">PAGEREF 6370 \h</w:instrText>
        </w:r>
        <w:r>
          <w:fldChar w:fldCharType="end"/>
        </w:r>
      </w:hyperlink>
    </w:p>
    <w:p>
      <w:pPr>
        <w:tabs>
          <w:tab w:val="right" w:leader="dot" w:pos="9062"/>
        </w:tabs>
        <w:ind w:left="440"/>
      </w:pPr>
      <w:hyperlink w:anchor="_Toc6371" w:history="1">
        <w:r>
          <w:rPr>
            <w:rFonts w:ascii="IRNazanin" w:hAnsi="IRNazanin" w:eastAsia="IRNazanin" w:cs="IRNazanin"/>
            <w:color w:val="111111"/>
            <w:sz w:val="22"/>
            <w:szCs w:val="22"/>
            <w:b w:val="0"/>
            <w:bCs w:val="0"/>
            <w:i w:val="0"/>
            <w:iCs w:val="0"/>
          </w:rPr>
          <w:t>دیوان قاضی محمد</w:t>
        </w:r>
        <w:r>
          <w:tab/>
        </w:r>
        <w:r>
          <w:fldChar w:fldCharType="begin"/>
        </w:r>
        <w:r>
          <w:instrText xml:space="preserve">PAGEREF 6371 \h</w:instrText>
        </w:r>
        <w:r>
          <w:fldChar w:fldCharType="end"/>
        </w:r>
      </w:hyperlink>
    </w:p>
    <w:p>
      <w:pPr>
        <w:tabs>
          <w:tab w:val="right" w:leader="dot" w:pos="9062"/>
        </w:tabs>
        <w:ind w:left="440"/>
      </w:pPr>
      <w:hyperlink w:anchor="_Toc6372" w:history="1">
        <w:r>
          <w:rPr>
            <w:rFonts w:ascii="IRNazanin" w:hAnsi="IRNazanin" w:eastAsia="IRNazanin" w:cs="IRNazanin"/>
            <w:color w:val="111111"/>
            <w:sz w:val="22"/>
            <w:szCs w:val="22"/>
            <w:b w:val="0"/>
            <w:bCs w:val="0"/>
            <w:i w:val="0"/>
            <w:iCs w:val="0"/>
          </w:rPr>
          <w:t>5789- دیوان قاضی محمود أو شعره‏</w:t>
        </w:r>
        <w:r>
          <w:tab/>
        </w:r>
        <w:r>
          <w:fldChar w:fldCharType="begin"/>
        </w:r>
        <w:r>
          <w:instrText xml:space="preserve">PAGEREF 6372 \h</w:instrText>
        </w:r>
        <w:r>
          <w:fldChar w:fldCharType="end"/>
        </w:r>
      </w:hyperlink>
    </w:p>
    <w:p>
      <w:pPr>
        <w:tabs>
          <w:tab w:val="right" w:leader="dot" w:pos="9062"/>
        </w:tabs>
        <w:ind w:left="440"/>
      </w:pPr>
      <w:hyperlink w:anchor="_Toc6373" w:history="1">
        <w:r>
          <w:rPr>
            <w:rFonts w:ascii="IRNazanin" w:hAnsi="IRNazanin" w:eastAsia="IRNazanin" w:cs="IRNazanin"/>
            <w:color w:val="111111"/>
            <w:sz w:val="22"/>
            <w:szCs w:val="22"/>
            <w:b w:val="0"/>
            <w:bCs w:val="0"/>
            <w:i w:val="0"/>
            <w:iCs w:val="0"/>
          </w:rPr>
          <w:t>دیوان قاضی محیی‏</w:t>
        </w:r>
        <w:r>
          <w:tab/>
        </w:r>
        <w:r>
          <w:fldChar w:fldCharType="begin"/>
        </w:r>
        <w:r>
          <w:instrText xml:space="preserve">PAGEREF 6373 \h</w:instrText>
        </w:r>
        <w:r>
          <w:fldChar w:fldCharType="end"/>
        </w:r>
      </w:hyperlink>
    </w:p>
    <w:p>
      <w:pPr>
        <w:tabs>
          <w:tab w:val="right" w:leader="dot" w:pos="9062"/>
        </w:tabs>
        <w:ind w:left="440"/>
      </w:pPr>
      <w:hyperlink w:anchor="_Toc6374" w:history="1">
        <w:r>
          <w:rPr>
            <w:rFonts w:ascii="IRNazanin" w:hAnsi="IRNazanin" w:eastAsia="IRNazanin" w:cs="IRNazanin"/>
            <w:color w:val="111111"/>
            <w:sz w:val="22"/>
            <w:szCs w:val="22"/>
            <w:b w:val="0"/>
            <w:bCs w:val="0"/>
            <w:i w:val="0"/>
            <w:iCs w:val="0"/>
          </w:rPr>
          <w:t>5790- دیوان قاضی مسافر أو شعره‏</w:t>
        </w:r>
        <w:r>
          <w:tab/>
        </w:r>
        <w:r>
          <w:fldChar w:fldCharType="begin"/>
        </w:r>
        <w:r>
          <w:instrText xml:space="preserve">PAGEREF 6374 \h</w:instrText>
        </w:r>
        <w:r>
          <w:fldChar w:fldCharType="end"/>
        </w:r>
      </w:hyperlink>
    </w:p>
    <w:p>
      <w:pPr>
        <w:tabs>
          <w:tab w:val="right" w:leader="dot" w:pos="9062"/>
        </w:tabs>
        <w:ind w:left="440"/>
      </w:pPr>
      <w:hyperlink w:anchor="_Toc6375" w:history="1">
        <w:r>
          <w:rPr>
            <w:rFonts w:ascii="IRNazanin" w:hAnsi="IRNazanin" w:eastAsia="IRNazanin" w:cs="IRNazanin"/>
            <w:color w:val="111111"/>
            <w:sz w:val="22"/>
            <w:szCs w:val="22"/>
            <w:b w:val="0"/>
            <w:bCs w:val="0"/>
            <w:i w:val="0"/>
            <w:iCs w:val="0"/>
          </w:rPr>
          <w:t>5791- دیوان قاضی مسعود أو شعره‏</w:t>
        </w:r>
        <w:r>
          <w:tab/>
        </w:r>
        <w:r>
          <w:fldChar w:fldCharType="begin"/>
        </w:r>
        <w:r>
          <w:instrText xml:space="preserve">PAGEREF 6375 \h</w:instrText>
        </w:r>
        <w:r>
          <w:fldChar w:fldCharType="end"/>
        </w:r>
      </w:hyperlink>
    </w:p>
    <w:p>
      <w:pPr>
        <w:tabs>
          <w:tab w:val="right" w:leader="dot" w:pos="9062"/>
        </w:tabs>
        <w:ind w:left="440"/>
      </w:pPr>
      <w:hyperlink w:anchor="_Toc6376" w:history="1">
        <w:r>
          <w:rPr>
            <w:rFonts w:ascii="IRNazanin" w:hAnsi="IRNazanin" w:eastAsia="IRNazanin" w:cs="IRNazanin"/>
            <w:color w:val="111111"/>
            <w:sz w:val="22"/>
            <w:szCs w:val="22"/>
            <w:b w:val="0"/>
            <w:bCs w:val="0"/>
            <w:i w:val="0"/>
            <w:iCs w:val="0"/>
          </w:rPr>
          <w:t>دیوان قاضی میبدی‏</w:t>
        </w:r>
        <w:r>
          <w:tab/>
        </w:r>
        <w:r>
          <w:fldChar w:fldCharType="begin"/>
        </w:r>
        <w:r>
          <w:instrText xml:space="preserve">PAGEREF 6376 \h</w:instrText>
        </w:r>
        <w:r>
          <w:fldChar w:fldCharType="end"/>
        </w:r>
      </w:hyperlink>
    </w:p>
    <w:p>
      <w:pPr>
        <w:tabs>
          <w:tab w:val="right" w:leader="dot" w:pos="9062"/>
        </w:tabs>
        <w:ind w:left="440"/>
      </w:pPr>
      <w:hyperlink w:anchor="_Toc6377" w:history="1">
        <w:r>
          <w:rPr>
            <w:rFonts w:ascii="IRNazanin" w:hAnsi="IRNazanin" w:eastAsia="IRNazanin" w:cs="IRNazanin"/>
            <w:color w:val="111111"/>
            <w:sz w:val="22"/>
            <w:szCs w:val="22"/>
            <w:b w:val="0"/>
            <w:bCs w:val="0"/>
            <w:i w:val="0"/>
            <w:iCs w:val="0"/>
          </w:rPr>
          <w:t>5792- دیوان قاضی میرک أو شعره‏</w:t>
        </w:r>
        <w:r>
          <w:tab/>
        </w:r>
        <w:r>
          <w:fldChar w:fldCharType="begin"/>
        </w:r>
        <w:r>
          <w:instrText xml:space="preserve">PAGEREF 6377 \h</w:instrText>
        </w:r>
        <w:r>
          <w:fldChar w:fldCharType="end"/>
        </w:r>
      </w:hyperlink>
    </w:p>
    <w:p>
      <w:pPr>
        <w:tabs>
          <w:tab w:val="right" w:leader="dot" w:pos="9062"/>
        </w:tabs>
        <w:ind w:left="440"/>
      </w:pPr>
      <w:hyperlink w:anchor="_Toc6378" w:history="1">
        <w:r>
          <w:rPr>
            <w:rFonts w:ascii="IRNazanin" w:hAnsi="IRNazanin" w:eastAsia="IRNazanin" w:cs="IRNazanin"/>
            <w:color w:val="111111"/>
            <w:sz w:val="22"/>
            <w:szCs w:val="22"/>
            <w:b w:val="0"/>
            <w:bCs w:val="0"/>
            <w:i w:val="0"/>
            <w:iCs w:val="0"/>
          </w:rPr>
          <w:t>5793- دیوان قاضی میرک أو شعره‏</w:t>
        </w:r>
        <w:r>
          <w:tab/>
        </w:r>
        <w:r>
          <w:fldChar w:fldCharType="begin"/>
        </w:r>
        <w:r>
          <w:instrText xml:space="preserve">PAGEREF 6378 \h</w:instrText>
        </w:r>
        <w:r>
          <w:fldChar w:fldCharType="end"/>
        </w:r>
      </w:hyperlink>
    </w:p>
    <w:p>
      <w:pPr>
        <w:tabs>
          <w:tab w:val="right" w:leader="dot" w:pos="9062"/>
        </w:tabs>
        <w:ind w:left="440"/>
      </w:pPr>
      <w:hyperlink w:anchor="_Toc6379" w:history="1">
        <w:r>
          <w:rPr>
            <w:rFonts w:ascii="IRNazanin" w:hAnsi="IRNazanin" w:eastAsia="IRNazanin" w:cs="IRNazanin"/>
            <w:color w:val="111111"/>
            <w:sz w:val="22"/>
            <w:szCs w:val="22"/>
            <w:b w:val="0"/>
            <w:bCs w:val="0"/>
            <w:i w:val="0"/>
            <w:iCs w:val="0"/>
          </w:rPr>
          <w:t>5794- دیوان قاضی نعمت جنابذی أو شعره‏</w:t>
        </w:r>
        <w:r>
          <w:tab/>
        </w:r>
        <w:r>
          <w:fldChar w:fldCharType="begin"/>
        </w:r>
        <w:r>
          <w:instrText xml:space="preserve">PAGEREF 6379 \h</w:instrText>
        </w:r>
        <w:r>
          <w:fldChar w:fldCharType="end"/>
        </w:r>
      </w:hyperlink>
    </w:p>
    <w:p>
      <w:pPr>
        <w:tabs>
          <w:tab w:val="right" w:leader="dot" w:pos="9062"/>
        </w:tabs>
        <w:ind w:left="440"/>
      </w:pPr>
      <w:hyperlink w:anchor="_Toc6380" w:history="1">
        <w:r>
          <w:rPr>
            <w:rFonts w:ascii="IRNazanin" w:hAnsi="IRNazanin" w:eastAsia="IRNazanin" w:cs="IRNazanin"/>
            <w:color w:val="111111"/>
            <w:sz w:val="22"/>
            <w:szCs w:val="22"/>
            <w:b w:val="0"/>
            <w:bCs w:val="0"/>
            <w:i w:val="0"/>
            <w:iCs w:val="0"/>
          </w:rPr>
          <w:t>5795- دیوان قاضی نور الله أو شعره‏</w:t>
        </w:r>
        <w:r>
          <w:tab/>
        </w:r>
        <w:r>
          <w:fldChar w:fldCharType="begin"/>
        </w:r>
        <w:r>
          <w:instrText xml:space="preserve">PAGEREF 6380 \h</w:instrText>
        </w:r>
        <w:r>
          <w:fldChar w:fldCharType="end"/>
        </w:r>
      </w:hyperlink>
    </w:p>
    <w:p>
      <w:pPr>
        <w:tabs>
          <w:tab w:val="right" w:leader="dot" w:pos="9062"/>
        </w:tabs>
        <w:ind w:left="440"/>
      </w:pPr>
      <w:hyperlink w:anchor="_Toc6381" w:history="1">
        <w:r>
          <w:rPr>
            <w:rFonts w:ascii="IRNazanin" w:hAnsi="IRNazanin" w:eastAsia="IRNazanin" w:cs="IRNazanin"/>
            <w:color w:val="111111"/>
            <w:sz w:val="22"/>
            <w:szCs w:val="22"/>
            <w:b w:val="0"/>
            <w:bCs w:val="0"/>
            <w:i w:val="0"/>
            <w:iCs w:val="0"/>
          </w:rPr>
          <w:t>5796- دیوان قاضی نوری أصفهانی‏</w:t>
        </w:r>
        <w:r>
          <w:tab/>
        </w:r>
        <w:r>
          <w:fldChar w:fldCharType="begin"/>
        </w:r>
        <w:r>
          <w:instrText xml:space="preserve">PAGEREF 6381 \h</w:instrText>
        </w:r>
        <w:r>
          <w:fldChar w:fldCharType="end"/>
        </w:r>
      </w:hyperlink>
    </w:p>
    <w:p>
      <w:pPr>
        <w:tabs>
          <w:tab w:val="right" w:leader="dot" w:pos="9062"/>
        </w:tabs>
        <w:ind w:left="440"/>
      </w:pPr>
      <w:hyperlink w:anchor="_Toc6382" w:history="1">
        <w:r>
          <w:rPr>
            <w:rFonts w:ascii="IRNazanin" w:hAnsi="IRNazanin" w:eastAsia="IRNazanin" w:cs="IRNazanin"/>
            <w:color w:val="111111"/>
            <w:sz w:val="22"/>
            <w:szCs w:val="22"/>
            <w:b w:val="0"/>
            <w:bCs w:val="0"/>
            <w:i w:val="0"/>
            <w:iCs w:val="0"/>
          </w:rPr>
          <w:t>5797- دیوان قاضی نهاوندی أو شعره‏</w:t>
        </w:r>
        <w:r>
          <w:tab/>
        </w:r>
        <w:r>
          <w:fldChar w:fldCharType="begin"/>
        </w:r>
        <w:r>
          <w:instrText xml:space="preserve">PAGEREF 6382 \h</w:instrText>
        </w:r>
        <w:r>
          <w:fldChar w:fldCharType="end"/>
        </w:r>
      </w:hyperlink>
    </w:p>
    <w:p>
      <w:pPr>
        <w:tabs>
          <w:tab w:val="right" w:leader="dot" w:pos="9062"/>
        </w:tabs>
        <w:ind w:left="440"/>
      </w:pPr>
      <w:hyperlink w:anchor="_Toc6383" w:history="1">
        <w:r>
          <w:rPr>
            <w:rFonts w:ascii="IRNazanin" w:hAnsi="IRNazanin" w:eastAsia="IRNazanin" w:cs="IRNazanin"/>
            <w:color w:val="111111"/>
            <w:sz w:val="22"/>
            <w:szCs w:val="22"/>
            <w:b w:val="0"/>
            <w:bCs w:val="0"/>
            <w:i w:val="0"/>
            <w:iCs w:val="0"/>
          </w:rPr>
          <w:t>5798- دیوان قاضی هجیم طبرستانی‏</w:t>
        </w:r>
        <w:r>
          <w:tab/>
        </w:r>
        <w:r>
          <w:fldChar w:fldCharType="begin"/>
        </w:r>
        <w:r>
          <w:instrText xml:space="preserve">PAGEREF 6383 \h</w:instrText>
        </w:r>
        <w:r>
          <w:fldChar w:fldCharType="end"/>
        </w:r>
      </w:hyperlink>
    </w:p>
    <w:p>
      <w:pPr>
        <w:tabs>
          <w:tab w:val="right" w:leader="dot" w:pos="9062"/>
        </w:tabs>
        <w:ind w:left="440"/>
      </w:pPr>
      <w:hyperlink w:anchor="_Toc6384" w:history="1">
        <w:r>
          <w:rPr>
            <w:rFonts w:ascii="IRNazanin" w:hAnsi="IRNazanin" w:eastAsia="IRNazanin" w:cs="IRNazanin"/>
            <w:color w:val="111111"/>
            <w:sz w:val="22"/>
            <w:szCs w:val="22"/>
            <w:b w:val="0"/>
            <w:bCs w:val="0"/>
            <w:i w:val="0"/>
            <w:iCs w:val="0"/>
          </w:rPr>
          <w:t>5799- دیوان قاضی یحیی لاهیجانی أو شعره‏</w:t>
        </w:r>
        <w:r>
          <w:tab/>
        </w:r>
        <w:r>
          <w:fldChar w:fldCharType="begin"/>
        </w:r>
        <w:r>
          <w:instrText xml:space="preserve">PAGEREF 6384 \h</w:instrText>
        </w:r>
        <w:r>
          <w:fldChar w:fldCharType="end"/>
        </w:r>
      </w:hyperlink>
    </w:p>
    <w:p>
      <w:pPr>
        <w:tabs>
          <w:tab w:val="right" w:leader="dot" w:pos="9062"/>
        </w:tabs>
        <w:ind w:left="440"/>
      </w:pPr>
      <w:hyperlink w:anchor="_Toc6385" w:history="1">
        <w:r>
          <w:rPr>
            <w:rFonts w:ascii="IRNazanin" w:hAnsi="IRNazanin" w:eastAsia="IRNazanin" w:cs="IRNazanin"/>
            <w:color w:val="111111"/>
            <w:sz w:val="22"/>
            <w:szCs w:val="22"/>
            <w:b w:val="0"/>
            <w:bCs w:val="0"/>
            <w:i w:val="0"/>
            <w:iCs w:val="0"/>
          </w:rPr>
          <w:t>5800- دیوان قاطعی أو شعره‏</w:t>
        </w:r>
        <w:r>
          <w:tab/>
        </w:r>
        <w:r>
          <w:fldChar w:fldCharType="begin"/>
        </w:r>
        <w:r>
          <w:instrText xml:space="preserve">PAGEREF 6385 \h</w:instrText>
        </w:r>
        <w:r>
          <w:fldChar w:fldCharType="end"/>
        </w:r>
      </w:hyperlink>
    </w:p>
    <w:p>
      <w:pPr>
        <w:tabs>
          <w:tab w:val="right" w:leader="dot" w:pos="9062"/>
        </w:tabs>
        <w:ind w:left="440"/>
      </w:pPr>
      <w:hyperlink w:anchor="_Toc6386" w:history="1">
        <w:r>
          <w:rPr>
            <w:rFonts w:ascii="IRNazanin" w:hAnsi="IRNazanin" w:eastAsia="IRNazanin" w:cs="IRNazanin"/>
            <w:color w:val="111111"/>
            <w:sz w:val="22"/>
            <w:szCs w:val="22"/>
            <w:b w:val="0"/>
            <w:bCs w:val="0"/>
            <w:i w:val="0"/>
            <w:iCs w:val="0"/>
          </w:rPr>
          <w:t>دیوان قافلان بدخشی‏</w:t>
        </w:r>
        <w:r>
          <w:tab/>
        </w:r>
        <w:r>
          <w:fldChar w:fldCharType="begin"/>
        </w:r>
        <w:r>
          <w:instrText xml:space="preserve">PAGEREF 6386 \h</w:instrText>
        </w:r>
        <w:r>
          <w:fldChar w:fldCharType="end"/>
        </w:r>
      </w:hyperlink>
    </w:p>
    <w:p>
      <w:pPr>
        <w:tabs>
          <w:tab w:val="right" w:leader="dot" w:pos="9062"/>
        </w:tabs>
        <w:ind w:left="440"/>
      </w:pPr>
      <w:hyperlink w:anchor="_Toc6387" w:history="1">
        <w:r>
          <w:rPr>
            <w:rFonts w:ascii="IRNazanin" w:hAnsi="IRNazanin" w:eastAsia="IRNazanin" w:cs="IRNazanin"/>
            <w:color w:val="111111"/>
            <w:sz w:val="22"/>
            <w:szCs w:val="22"/>
            <w:b w:val="0"/>
            <w:bCs w:val="0"/>
            <w:i w:val="0"/>
            <w:iCs w:val="0"/>
          </w:rPr>
          <w:t>5801- دیوان قامتی گیلانی‏</w:t>
        </w:r>
        <w:r>
          <w:tab/>
        </w:r>
        <w:r>
          <w:fldChar w:fldCharType="begin"/>
        </w:r>
        <w:r>
          <w:instrText xml:space="preserve">PAGEREF 6387 \h</w:instrText>
        </w:r>
        <w:r>
          <w:fldChar w:fldCharType="end"/>
        </w:r>
      </w:hyperlink>
    </w:p>
    <w:p>
      <w:pPr>
        <w:tabs>
          <w:tab w:val="right" w:leader="dot" w:pos="9062"/>
        </w:tabs>
        <w:ind w:left="440"/>
      </w:pPr>
      <w:hyperlink w:anchor="_Toc6388" w:history="1">
        <w:r>
          <w:rPr>
            <w:rFonts w:ascii="IRNazanin" w:hAnsi="IRNazanin" w:eastAsia="IRNazanin" w:cs="IRNazanin"/>
            <w:color w:val="111111"/>
            <w:sz w:val="22"/>
            <w:szCs w:val="22"/>
            <w:b w:val="0"/>
            <w:bCs w:val="0"/>
            <w:i w:val="0"/>
            <w:iCs w:val="0"/>
          </w:rPr>
          <w:t>5802- دیوان قانع أصفهانی‏</w:t>
        </w:r>
        <w:r>
          <w:tab/>
        </w:r>
        <w:r>
          <w:fldChar w:fldCharType="begin"/>
        </w:r>
        <w:r>
          <w:instrText xml:space="preserve">PAGEREF 6388 \h</w:instrText>
        </w:r>
        <w:r>
          <w:fldChar w:fldCharType="end"/>
        </w:r>
      </w:hyperlink>
    </w:p>
    <w:p>
      <w:pPr>
        <w:tabs>
          <w:tab w:val="right" w:leader="dot" w:pos="9062"/>
        </w:tabs>
        <w:ind w:left="440"/>
      </w:pPr>
      <w:hyperlink w:anchor="_Toc6389" w:history="1">
        <w:r>
          <w:rPr>
            <w:rFonts w:ascii="IRNazanin" w:hAnsi="IRNazanin" w:eastAsia="IRNazanin" w:cs="IRNazanin"/>
            <w:color w:val="111111"/>
            <w:sz w:val="22"/>
            <w:szCs w:val="22"/>
            <w:b w:val="0"/>
            <w:bCs w:val="0"/>
            <w:i w:val="0"/>
            <w:iCs w:val="0"/>
          </w:rPr>
          <w:t>5803- دیوان قانع جرفادقانی أو شعره‏</w:t>
        </w:r>
        <w:r>
          <w:tab/>
        </w:r>
        <w:r>
          <w:fldChar w:fldCharType="begin"/>
        </w:r>
        <w:r>
          <w:instrText xml:space="preserve">PAGEREF 6389 \h</w:instrText>
        </w:r>
        <w:r>
          <w:fldChar w:fldCharType="end"/>
        </w:r>
      </w:hyperlink>
    </w:p>
    <w:p>
      <w:pPr>
        <w:tabs>
          <w:tab w:val="right" w:leader="dot" w:pos="9062"/>
        </w:tabs>
        <w:ind w:left="440"/>
      </w:pPr>
      <w:hyperlink w:anchor="_Toc6390" w:history="1">
        <w:r>
          <w:rPr>
            <w:rFonts w:ascii="IRNazanin" w:hAnsi="IRNazanin" w:eastAsia="IRNazanin" w:cs="IRNazanin"/>
            <w:color w:val="111111"/>
            <w:sz w:val="22"/>
            <w:szCs w:val="22"/>
            <w:b w:val="0"/>
            <w:bCs w:val="0"/>
            <w:i w:val="0"/>
            <w:iCs w:val="0"/>
          </w:rPr>
          <w:t>5804- دیوان قانع شوشتری‏</w:t>
        </w:r>
        <w:r>
          <w:tab/>
        </w:r>
        <w:r>
          <w:fldChar w:fldCharType="begin"/>
        </w:r>
        <w:r>
          <w:instrText xml:space="preserve">PAGEREF 6390 \h</w:instrText>
        </w:r>
        <w:r>
          <w:fldChar w:fldCharType="end"/>
        </w:r>
      </w:hyperlink>
    </w:p>
    <w:p>
      <w:pPr>
        <w:tabs>
          <w:tab w:val="right" w:leader="dot" w:pos="9062"/>
        </w:tabs>
        <w:ind w:left="440"/>
      </w:pPr>
      <w:hyperlink w:anchor="_Toc6391" w:history="1">
        <w:r>
          <w:rPr>
            <w:rFonts w:ascii="IRNazanin" w:hAnsi="IRNazanin" w:eastAsia="IRNazanin" w:cs="IRNazanin"/>
            <w:color w:val="111111"/>
            <w:sz w:val="22"/>
            <w:szCs w:val="22"/>
            <w:b w:val="0"/>
            <w:bCs w:val="0"/>
            <w:i w:val="0"/>
            <w:iCs w:val="0"/>
          </w:rPr>
          <w:t>5805- دیوان قانع الشیرازی‏</w:t>
        </w:r>
        <w:r>
          <w:tab/>
        </w:r>
        <w:r>
          <w:fldChar w:fldCharType="begin"/>
        </w:r>
        <w:r>
          <w:instrText xml:space="preserve">PAGEREF 6391 \h</w:instrText>
        </w:r>
        <w:r>
          <w:fldChar w:fldCharType="end"/>
        </w:r>
      </w:hyperlink>
    </w:p>
    <w:p>
      <w:pPr>
        <w:tabs>
          <w:tab w:val="right" w:leader="dot" w:pos="9062"/>
        </w:tabs>
        <w:ind w:left="440"/>
      </w:pPr>
      <w:hyperlink w:anchor="_Toc6392" w:history="1">
        <w:r>
          <w:rPr>
            <w:rFonts w:ascii="IRNazanin" w:hAnsi="IRNazanin" w:eastAsia="IRNazanin" w:cs="IRNazanin"/>
            <w:color w:val="111111"/>
            <w:sz w:val="22"/>
            <w:szCs w:val="22"/>
            <w:b w:val="0"/>
            <w:bCs w:val="0"/>
            <w:i w:val="0"/>
            <w:iCs w:val="0"/>
          </w:rPr>
          <w:t>5806- دیوان قانع کاشانی أو شعره‏</w:t>
        </w:r>
        <w:r>
          <w:tab/>
        </w:r>
        <w:r>
          <w:fldChar w:fldCharType="begin"/>
        </w:r>
        <w:r>
          <w:instrText xml:space="preserve">PAGEREF 6392 \h</w:instrText>
        </w:r>
        <w:r>
          <w:fldChar w:fldCharType="end"/>
        </w:r>
      </w:hyperlink>
    </w:p>
    <w:p>
      <w:pPr>
        <w:tabs>
          <w:tab w:val="right" w:leader="dot" w:pos="9062"/>
        </w:tabs>
        <w:ind w:left="440"/>
      </w:pPr>
      <w:hyperlink w:anchor="_Toc6393" w:history="1">
        <w:r>
          <w:rPr>
            <w:rFonts w:ascii="IRNazanin" w:hAnsi="IRNazanin" w:eastAsia="IRNazanin" w:cs="IRNazanin"/>
            <w:color w:val="111111"/>
            <w:sz w:val="22"/>
            <w:szCs w:val="22"/>
            <w:b w:val="0"/>
            <w:bCs w:val="0"/>
            <w:i w:val="0"/>
            <w:iCs w:val="0"/>
          </w:rPr>
          <w:t>5807- دیوان قانع لکهنوی‏</w:t>
        </w:r>
        <w:r>
          <w:tab/>
        </w:r>
        <w:r>
          <w:fldChar w:fldCharType="begin"/>
        </w:r>
        <w:r>
          <w:instrText xml:space="preserve">PAGEREF 6393 \h</w:instrText>
        </w:r>
        <w:r>
          <w:fldChar w:fldCharType="end"/>
        </w:r>
      </w:hyperlink>
    </w:p>
    <w:p>
      <w:pPr>
        <w:tabs>
          <w:tab w:val="right" w:leader="dot" w:pos="9062"/>
        </w:tabs>
        <w:ind w:left="440"/>
      </w:pPr>
      <w:hyperlink w:anchor="_Toc6394" w:history="1">
        <w:r>
          <w:rPr>
            <w:rFonts w:ascii="IRNazanin" w:hAnsi="IRNazanin" w:eastAsia="IRNazanin" w:cs="IRNazanin"/>
            <w:color w:val="111111"/>
            <w:sz w:val="22"/>
            <w:szCs w:val="22"/>
            <w:b w:val="0"/>
            <w:bCs w:val="0"/>
            <w:i w:val="0"/>
            <w:iCs w:val="0"/>
          </w:rPr>
          <w:t>5808- دیوان قانعی بخارائی‏</w:t>
        </w:r>
        <w:r>
          <w:tab/>
        </w:r>
        <w:r>
          <w:fldChar w:fldCharType="begin"/>
        </w:r>
        <w:r>
          <w:instrText xml:space="preserve">PAGEREF 6394 \h</w:instrText>
        </w:r>
        <w:r>
          <w:fldChar w:fldCharType="end"/>
        </w:r>
      </w:hyperlink>
    </w:p>
    <w:p>
      <w:pPr>
        <w:tabs>
          <w:tab w:val="right" w:leader="dot" w:pos="9062"/>
        </w:tabs>
        <w:ind w:left="440"/>
      </w:pPr>
      <w:hyperlink w:anchor="_Toc6395" w:history="1">
        <w:r>
          <w:rPr>
            <w:rFonts w:ascii="IRNazanin" w:hAnsi="IRNazanin" w:eastAsia="IRNazanin" w:cs="IRNazanin"/>
            <w:color w:val="111111"/>
            <w:sz w:val="22"/>
            <w:szCs w:val="22"/>
            <w:b w:val="0"/>
            <w:bCs w:val="0"/>
            <w:i w:val="0"/>
            <w:iCs w:val="0"/>
          </w:rPr>
          <w:t>5809- دیوان قانعی طوسی‏</w:t>
        </w:r>
        <w:r>
          <w:tab/>
        </w:r>
        <w:r>
          <w:fldChar w:fldCharType="begin"/>
        </w:r>
        <w:r>
          <w:instrText xml:space="preserve">PAGEREF 6395 \h</w:instrText>
        </w:r>
        <w:r>
          <w:fldChar w:fldCharType="end"/>
        </w:r>
      </w:hyperlink>
    </w:p>
    <w:p>
      <w:pPr>
        <w:tabs>
          <w:tab w:val="right" w:leader="dot" w:pos="9062"/>
        </w:tabs>
        <w:ind w:left="440"/>
      </w:pPr>
      <w:hyperlink w:anchor="_Toc6396" w:history="1">
        <w:r>
          <w:rPr>
            <w:rFonts w:ascii="IRNazanin" w:hAnsi="IRNazanin" w:eastAsia="IRNazanin" w:cs="IRNazanin"/>
            <w:color w:val="111111"/>
            <w:sz w:val="22"/>
            <w:szCs w:val="22"/>
            <w:b w:val="0"/>
            <w:bCs w:val="0"/>
            <w:i w:val="0"/>
            <w:iCs w:val="0"/>
          </w:rPr>
          <w:t>5810- دیوان قانعی قزوینی أو شعره‏</w:t>
        </w:r>
        <w:r>
          <w:tab/>
        </w:r>
        <w:r>
          <w:fldChar w:fldCharType="begin"/>
        </w:r>
        <w:r>
          <w:instrText xml:space="preserve">PAGEREF 6396 \h</w:instrText>
        </w:r>
        <w:r>
          <w:fldChar w:fldCharType="end"/>
        </w:r>
      </w:hyperlink>
    </w:p>
    <w:p>
      <w:pPr>
        <w:tabs>
          <w:tab w:val="right" w:leader="dot" w:pos="9062"/>
        </w:tabs>
        <w:ind w:left="440"/>
      </w:pPr>
      <w:hyperlink w:anchor="_Toc6397" w:history="1">
        <w:r>
          <w:rPr>
            <w:rFonts w:ascii="IRNazanin" w:hAnsi="IRNazanin" w:eastAsia="IRNazanin" w:cs="IRNazanin"/>
            <w:color w:val="111111"/>
            <w:sz w:val="22"/>
            <w:szCs w:val="22"/>
            <w:b w:val="0"/>
            <w:bCs w:val="0"/>
            <w:i w:val="0"/>
            <w:iCs w:val="0"/>
          </w:rPr>
          <w:t>5811- دیوان قانعی کاشانی أو شعره‏</w:t>
        </w:r>
        <w:r>
          <w:tab/>
        </w:r>
        <w:r>
          <w:fldChar w:fldCharType="begin"/>
        </w:r>
        <w:r>
          <w:instrText xml:space="preserve">PAGEREF 6397 \h</w:instrText>
        </w:r>
        <w:r>
          <w:fldChar w:fldCharType="end"/>
        </w:r>
      </w:hyperlink>
    </w:p>
    <w:p>
      <w:pPr>
        <w:tabs>
          <w:tab w:val="right" w:leader="dot" w:pos="9062"/>
        </w:tabs>
        <w:ind w:left="440"/>
      </w:pPr>
      <w:hyperlink w:anchor="_Toc6398" w:history="1">
        <w:r>
          <w:rPr>
            <w:rFonts w:ascii="IRNazanin" w:hAnsi="IRNazanin" w:eastAsia="IRNazanin" w:cs="IRNazanin"/>
            <w:color w:val="111111"/>
            <w:sz w:val="22"/>
            <w:szCs w:val="22"/>
            <w:b w:val="0"/>
            <w:bCs w:val="0"/>
            <w:i w:val="0"/>
            <w:iCs w:val="0"/>
          </w:rPr>
          <w:t>5812- دیوان قانعی مشهدی أو شعره‏</w:t>
        </w:r>
        <w:r>
          <w:tab/>
        </w:r>
        <w:r>
          <w:fldChar w:fldCharType="begin"/>
        </w:r>
        <w:r>
          <w:instrText xml:space="preserve">PAGEREF 6398 \h</w:instrText>
        </w:r>
        <w:r>
          <w:fldChar w:fldCharType="end"/>
        </w:r>
      </w:hyperlink>
    </w:p>
    <w:p>
      <w:pPr>
        <w:tabs>
          <w:tab w:val="right" w:leader="dot" w:pos="9062"/>
        </w:tabs>
        <w:ind w:left="440"/>
      </w:pPr>
      <w:hyperlink w:anchor="_Toc6399" w:history="1">
        <w:r>
          <w:rPr>
            <w:rFonts w:ascii="IRNazanin" w:hAnsi="IRNazanin" w:eastAsia="IRNazanin" w:cs="IRNazanin"/>
            <w:color w:val="111111"/>
            <w:sz w:val="22"/>
            <w:szCs w:val="22"/>
            <w:b w:val="0"/>
            <w:bCs w:val="0"/>
            <w:i w:val="0"/>
            <w:iCs w:val="0"/>
          </w:rPr>
          <w:t>دیوان قانونی‏</w:t>
        </w:r>
        <w:r>
          <w:tab/>
        </w:r>
        <w:r>
          <w:fldChar w:fldCharType="begin"/>
        </w:r>
        <w:r>
          <w:instrText xml:space="preserve">PAGEREF 6399 \h</w:instrText>
        </w:r>
        <w:r>
          <w:fldChar w:fldCharType="end"/>
        </w:r>
      </w:hyperlink>
    </w:p>
    <w:p>
      <w:pPr>
        <w:tabs>
          <w:tab w:val="right" w:leader="dot" w:pos="9062"/>
        </w:tabs>
        <w:ind w:left="440"/>
      </w:pPr>
      <w:hyperlink w:anchor="_Toc6400" w:history="1">
        <w:r>
          <w:rPr>
            <w:rFonts w:ascii="IRNazanin" w:hAnsi="IRNazanin" w:eastAsia="IRNazanin" w:cs="IRNazanin"/>
            <w:color w:val="111111"/>
            <w:sz w:val="22"/>
            <w:szCs w:val="22"/>
            <w:b w:val="0"/>
            <w:bCs w:val="0"/>
            <w:i w:val="0"/>
            <w:iCs w:val="0"/>
          </w:rPr>
          <w:t>دیوان قاینی‏</w:t>
        </w:r>
        <w:r>
          <w:tab/>
        </w:r>
        <w:r>
          <w:fldChar w:fldCharType="begin"/>
        </w:r>
        <w:r>
          <w:instrText xml:space="preserve">PAGEREF 6400 \h</w:instrText>
        </w:r>
        <w:r>
          <w:fldChar w:fldCharType="end"/>
        </w:r>
      </w:hyperlink>
    </w:p>
    <w:p>
      <w:pPr>
        <w:tabs>
          <w:tab w:val="right" w:leader="dot" w:pos="9062"/>
        </w:tabs>
        <w:ind w:left="440"/>
      </w:pPr>
      <w:hyperlink w:anchor="_Toc6401" w:history="1">
        <w:r>
          <w:rPr>
            <w:rFonts w:ascii="IRNazanin" w:hAnsi="IRNazanin" w:eastAsia="IRNazanin" w:cs="IRNazanin"/>
            <w:color w:val="111111"/>
            <w:sz w:val="22"/>
            <w:szCs w:val="22"/>
            <w:b w:val="0"/>
            <w:bCs w:val="0"/>
            <w:i w:val="0"/>
            <w:iCs w:val="0"/>
          </w:rPr>
          <w:t>5813- دیوان قبائیان‏</w:t>
        </w:r>
        <w:r>
          <w:tab/>
        </w:r>
        <w:r>
          <w:fldChar w:fldCharType="begin"/>
        </w:r>
        <w:r>
          <w:instrText xml:space="preserve">PAGEREF 6401 \h</w:instrText>
        </w:r>
        <w:r>
          <w:fldChar w:fldCharType="end"/>
        </w:r>
      </w:hyperlink>
    </w:p>
    <w:p>
      <w:pPr>
        <w:tabs>
          <w:tab w:val="right" w:leader="dot" w:pos="9062"/>
        </w:tabs>
        <w:ind w:left="440"/>
      </w:pPr>
      <w:hyperlink w:anchor="_Toc6402" w:history="1">
        <w:r>
          <w:rPr>
            <w:rFonts w:ascii="IRNazanin" w:hAnsi="IRNazanin" w:eastAsia="IRNazanin" w:cs="IRNazanin"/>
            <w:color w:val="111111"/>
            <w:sz w:val="22"/>
            <w:szCs w:val="22"/>
            <w:b w:val="0"/>
            <w:bCs w:val="0"/>
            <w:i w:val="0"/>
            <w:iCs w:val="0"/>
          </w:rPr>
          <w:t>5814- دیوان حکیم قبلی‏</w:t>
        </w:r>
        <w:r>
          <w:tab/>
        </w:r>
        <w:r>
          <w:fldChar w:fldCharType="begin"/>
        </w:r>
        <w:r>
          <w:instrText xml:space="preserve">PAGEREF 6402 \h</w:instrText>
        </w:r>
        <w:r>
          <w:fldChar w:fldCharType="end"/>
        </w:r>
      </w:hyperlink>
    </w:p>
    <w:p>
      <w:pPr>
        <w:tabs>
          <w:tab w:val="right" w:leader="dot" w:pos="9062"/>
        </w:tabs>
        <w:ind w:left="440"/>
      </w:pPr>
      <w:hyperlink w:anchor="_Toc6403" w:history="1">
        <w:r>
          <w:rPr>
            <w:rFonts w:ascii="IRNazanin" w:hAnsi="IRNazanin" w:eastAsia="IRNazanin" w:cs="IRNazanin"/>
            <w:color w:val="111111"/>
            <w:sz w:val="22"/>
            <w:szCs w:val="22"/>
            <w:b w:val="0"/>
            <w:bCs w:val="0"/>
            <w:i w:val="0"/>
            <w:iCs w:val="0"/>
          </w:rPr>
          <w:t>5815- دیوان قبولی أو شعره‏</w:t>
        </w:r>
        <w:r>
          <w:tab/>
        </w:r>
        <w:r>
          <w:fldChar w:fldCharType="begin"/>
        </w:r>
        <w:r>
          <w:instrText xml:space="preserve">PAGEREF 6403 \h</w:instrText>
        </w:r>
        <w:r>
          <w:fldChar w:fldCharType="end"/>
        </w:r>
      </w:hyperlink>
    </w:p>
    <w:p>
      <w:pPr>
        <w:tabs>
          <w:tab w:val="right" w:leader="dot" w:pos="9062"/>
        </w:tabs>
        <w:ind w:left="440"/>
      </w:pPr>
      <w:hyperlink w:anchor="_Toc6404" w:history="1">
        <w:r>
          <w:rPr>
            <w:rFonts w:ascii="IRNazanin" w:hAnsi="IRNazanin" w:eastAsia="IRNazanin" w:cs="IRNazanin"/>
            <w:color w:val="111111"/>
            <w:sz w:val="22"/>
            <w:szCs w:val="22"/>
            <w:b w:val="0"/>
            <w:bCs w:val="0"/>
            <w:i w:val="0"/>
            <w:iCs w:val="0"/>
          </w:rPr>
          <w:t>5816- دیوان قبولی ترشیزی أو شعره‏</w:t>
        </w:r>
        <w:r>
          <w:tab/>
        </w:r>
        <w:r>
          <w:fldChar w:fldCharType="begin"/>
        </w:r>
        <w:r>
          <w:instrText xml:space="preserve">PAGEREF 6404 \h</w:instrText>
        </w:r>
        <w:r>
          <w:fldChar w:fldCharType="end"/>
        </w:r>
      </w:hyperlink>
    </w:p>
    <w:p>
      <w:pPr>
        <w:tabs>
          <w:tab w:val="right" w:leader="dot" w:pos="9062"/>
        </w:tabs>
        <w:ind w:left="440"/>
      </w:pPr>
      <w:hyperlink w:anchor="_Toc6405" w:history="1">
        <w:r>
          <w:rPr>
            <w:rFonts w:ascii="IRNazanin" w:hAnsi="IRNazanin" w:eastAsia="IRNazanin" w:cs="IRNazanin"/>
            <w:color w:val="111111"/>
            <w:sz w:val="22"/>
            <w:szCs w:val="22"/>
            <w:b w:val="0"/>
            <w:bCs w:val="0"/>
            <w:i w:val="0"/>
            <w:iCs w:val="0"/>
          </w:rPr>
          <w:t>5817- دیوان قبولی رستمداری‏</w:t>
        </w:r>
        <w:r>
          <w:tab/>
        </w:r>
        <w:r>
          <w:fldChar w:fldCharType="begin"/>
        </w:r>
        <w:r>
          <w:instrText xml:space="preserve">PAGEREF 6405 \h</w:instrText>
        </w:r>
        <w:r>
          <w:fldChar w:fldCharType="end"/>
        </w:r>
      </w:hyperlink>
    </w:p>
    <w:p>
      <w:pPr>
        <w:tabs>
          <w:tab w:val="right" w:leader="dot" w:pos="9062"/>
        </w:tabs>
        <w:ind w:left="440"/>
      </w:pPr>
      <w:hyperlink w:anchor="_Toc6406" w:history="1">
        <w:r>
          <w:rPr>
            <w:rFonts w:ascii="IRNazanin" w:hAnsi="IRNazanin" w:eastAsia="IRNazanin" w:cs="IRNazanin"/>
            <w:color w:val="111111"/>
            <w:sz w:val="22"/>
            <w:szCs w:val="22"/>
            <w:b w:val="0"/>
            <w:bCs w:val="0"/>
            <w:i w:val="0"/>
            <w:iCs w:val="0"/>
          </w:rPr>
          <w:t>5818- دیوان قبولی کشمیری‏</w:t>
        </w:r>
        <w:r>
          <w:tab/>
        </w:r>
        <w:r>
          <w:fldChar w:fldCharType="begin"/>
        </w:r>
        <w:r>
          <w:instrText xml:space="preserve">PAGEREF 6406 \h</w:instrText>
        </w:r>
        <w:r>
          <w:fldChar w:fldCharType="end"/>
        </w:r>
      </w:hyperlink>
    </w:p>
    <w:p>
      <w:pPr>
        <w:tabs>
          <w:tab w:val="right" w:leader="dot" w:pos="9062"/>
        </w:tabs>
        <w:ind w:left="440"/>
      </w:pPr>
      <w:hyperlink w:anchor="_Toc6407" w:history="1">
        <w:r>
          <w:rPr>
            <w:rFonts w:ascii="IRNazanin" w:hAnsi="IRNazanin" w:eastAsia="IRNazanin" w:cs="IRNazanin"/>
            <w:color w:val="111111"/>
            <w:sz w:val="22"/>
            <w:szCs w:val="22"/>
            <w:b w:val="0"/>
            <w:bCs w:val="0"/>
            <w:i w:val="0"/>
            <w:iCs w:val="0"/>
          </w:rPr>
          <w:t>5819- دیوان قبولی قندری‏</w:t>
        </w:r>
        <w:r>
          <w:tab/>
        </w:r>
        <w:r>
          <w:fldChar w:fldCharType="begin"/>
        </w:r>
        <w:r>
          <w:instrText xml:space="preserve">PAGEREF 6407 \h</w:instrText>
        </w:r>
        <w:r>
          <w:fldChar w:fldCharType="end"/>
        </w:r>
      </w:hyperlink>
    </w:p>
    <w:p>
      <w:pPr>
        <w:tabs>
          <w:tab w:val="right" w:leader="dot" w:pos="9062"/>
        </w:tabs>
        <w:ind w:left="440"/>
      </w:pPr>
      <w:hyperlink w:anchor="_Toc6408" w:history="1">
        <w:r>
          <w:rPr>
            <w:rFonts w:ascii="IRNazanin" w:hAnsi="IRNazanin" w:eastAsia="IRNazanin" w:cs="IRNazanin"/>
            <w:color w:val="111111"/>
            <w:sz w:val="22"/>
            <w:szCs w:val="22"/>
            <w:b w:val="0"/>
            <w:bCs w:val="0"/>
            <w:i w:val="0"/>
            <w:iCs w:val="0"/>
          </w:rPr>
          <w:t>5820- دیوان قبولی هروی‏</w:t>
        </w:r>
        <w:r>
          <w:tab/>
        </w:r>
        <w:r>
          <w:fldChar w:fldCharType="begin"/>
        </w:r>
        <w:r>
          <w:instrText xml:space="preserve">PAGEREF 6408 \h</w:instrText>
        </w:r>
        <w:r>
          <w:fldChar w:fldCharType="end"/>
        </w:r>
      </w:hyperlink>
    </w:p>
    <w:p>
      <w:pPr>
        <w:tabs>
          <w:tab w:val="right" w:leader="dot" w:pos="9062"/>
        </w:tabs>
        <w:ind w:left="440"/>
      </w:pPr>
      <w:hyperlink w:anchor="_Toc6409" w:history="1">
        <w:r>
          <w:rPr>
            <w:rFonts w:ascii="IRNazanin" w:hAnsi="IRNazanin" w:eastAsia="IRNazanin" w:cs="IRNazanin"/>
            <w:color w:val="111111"/>
            <w:sz w:val="22"/>
            <w:szCs w:val="22"/>
            <w:b w:val="0"/>
            <w:bCs w:val="0"/>
            <w:i w:val="0"/>
            <w:iCs w:val="0"/>
          </w:rPr>
          <w:t>5821- دیوان قبولی یزدی أو شعره‏</w:t>
        </w:r>
        <w:r>
          <w:tab/>
        </w:r>
        <w:r>
          <w:fldChar w:fldCharType="begin"/>
        </w:r>
        <w:r>
          <w:instrText xml:space="preserve">PAGEREF 6409 \h</w:instrText>
        </w:r>
        <w:r>
          <w:fldChar w:fldCharType="end"/>
        </w:r>
      </w:hyperlink>
    </w:p>
    <w:p>
      <w:pPr>
        <w:tabs>
          <w:tab w:val="right" w:leader="dot" w:pos="9062"/>
        </w:tabs>
        <w:ind w:left="440"/>
      </w:pPr>
      <w:hyperlink w:anchor="_Toc6410" w:history="1">
        <w:r>
          <w:rPr>
            <w:rFonts w:ascii="IRNazanin" w:hAnsi="IRNazanin" w:eastAsia="IRNazanin" w:cs="IRNazanin"/>
            <w:color w:val="111111"/>
            <w:sz w:val="22"/>
            <w:szCs w:val="22"/>
            <w:b w:val="0"/>
            <w:bCs w:val="0"/>
            <w:i w:val="0"/>
            <w:iCs w:val="0"/>
          </w:rPr>
          <w:t>5822- دیوان قپلان سپاهی‏</w:t>
        </w:r>
        <w:r>
          <w:tab/>
        </w:r>
        <w:r>
          <w:fldChar w:fldCharType="begin"/>
        </w:r>
        <w:r>
          <w:instrText xml:space="preserve">PAGEREF 6410 \h</w:instrText>
        </w:r>
        <w:r>
          <w:fldChar w:fldCharType="end"/>
        </w:r>
      </w:hyperlink>
    </w:p>
    <w:p>
      <w:pPr>
        <w:tabs>
          <w:tab w:val="right" w:leader="dot" w:pos="9062"/>
        </w:tabs>
        <w:ind w:left="440"/>
      </w:pPr>
      <w:hyperlink w:anchor="_Toc6411" w:history="1">
        <w:r>
          <w:rPr>
            <w:rFonts w:ascii="IRNazanin" w:hAnsi="IRNazanin" w:eastAsia="IRNazanin" w:cs="IRNazanin"/>
            <w:color w:val="111111"/>
            <w:sz w:val="22"/>
            <w:szCs w:val="22"/>
            <w:b w:val="0"/>
            <w:bCs w:val="0"/>
            <w:i w:val="0"/>
            <w:iCs w:val="0"/>
          </w:rPr>
          <w:t>دیوان قتالی‏</w:t>
        </w:r>
        <w:r>
          <w:tab/>
        </w:r>
        <w:r>
          <w:fldChar w:fldCharType="begin"/>
        </w:r>
        <w:r>
          <w:instrText xml:space="preserve">PAGEREF 6411 \h</w:instrText>
        </w:r>
        <w:r>
          <w:fldChar w:fldCharType="end"/>
        </w:r>
      </w:hyperlink>
    </w:p>
    <w:p>
      <w:pPr>
        <w:tabs>
          <w:tab w:val="right" w:leader="dot" w:pos="9062"/>
        </w:tabs>
        <w:ind w:left="440"/>
      </w:pPr>
      <w:hyperlink w:anchor="_Toc6412" w:history="1">
        <w:r>
          <w:rPr>
            <w:rFonts w:ascii="IRNazanin" w:hAnsi="IRNazanin" w:eastAsia="IRNazanin" w:cs="IRNazanin"/>
            <w:color w:val="111111"/>
            <w:sz w:val="22"/>
            <w:szCs w:val="22"/>
            <w:b w:val="0"/>
            <w:bCs w:val="0"/>
            <w:i w:val="0"/>
            <w:iCs w:val="0"/>
          </w:rPr>
          <w:t>5823- دیوان قتالی مشهدی أو شعره‏</w:t>
        </w:r>
        <w:r>
          <w:tab/>
        </w:r>
        <w:r>
          <w:fldChar w:fldCharType="begin"/>
        </w:r>
        <w:r>
          <w:instrText xml:space="preserve">PAGEREF 6412 \h</w:instrText>
        </w:r>
        <w:r>
          <w:fldChar w:fldCharType="end"/>
        </w:r>
      </w:hyperlink>
    </w:p>
    <w:p>
      <w:pPr>
        <w:tabs>
          <w:tab w:val="right" w:leader="dot" w:pos="9062"/>
        </w:tabs>
        <w:ind w:left="440"/>
      </w:pPr>
      <w:hyperlink w:anchor="_Toc6413" w:history="1">
        <w:r>
          <w:rPr>
            <w:rFonts w:ascii="IRNazanin" w:hAnsi="IRNazanin" w:eastAsia="IRNazanin" w:cs="IRNazanin"/>
            <w:color w:val="111111"/>
            <w:sz w:val="22"/>
            <w:szCs w:val="22"/>
            <w:b w:val="0"/>
            <w:bCs w:val="0"/>
            <w:i w:val="0"/>
            <w:iCs w:val="0"/>
          </w:rPr>
          <w:t>5824- دیوان قتلی بخارائی أو شعره‏</w:t>
        </w:r>
        <w:r>
          <w:tab/>
        </w:r>
        <w:r>
          <w:fldChar w:fldCharType="begin"/>
        </w:r>
        <w:r>
          <w:instrText xml:space="preserve">PAGEREF 6413 \h</w:instrText>
        </w:r>
        <w:r>
          <w:fldChar w:fldCharType="end"/>
        </w:r>
      </w:hyperlink>
    </w:p>
    <w:p>
      <w:pPr>
        <w:tabs>
          <w:tab w:val="right" w:leader="dot" w:pos="9062"/>
        </w:tabs>
        <w:ind w:left="440"/>
      </w:pPr>
      <w:hyperlink w:anchor="_Toc6414" w:history="1">
        <w:r>
          <w:rPr>
            <w:rFonts w:ascii="IRNazanin" w:hAnsi="IRNazanin" w:eastAsia="IRNazanin" w:cs="IRNazanin"/>
            <w:color w:val="111111"/>
            <w:sz w:val="22"/>
            <w:szCs w:val="22"/>
            <w:b w:val="0"/>
            <w:bCs w:val="0"/>
            <w:i w:val="0"/>
            <w:iCs w:val="0"/>
          </w:rPr>
          <w:t>5825- دیوان قتیل لاهوری‏</w:t>
        </w:r>
        <w:r>
          <w:tab/>
        </w:r>
        <w:r>
          <w:fldChar w:fldCharType="begin"/>
        </w:r>
        <w:r>
          <w:instrText xml:space="preserve">PAGEREF 6414 \h</w:instrText>
        </w:r>
        <w:r>
          <w:fldChar w:fldCharType="end"/>
        </w:r>
      </w:hyperlink>
    </w:p>
    <w:p>
      <w:pPr>
        <w:tabs>
          <w:tab w:val="right" w:leader="dot" w:pos="9062"/>
        </w:tabs>
        <w:ind w:left="440"/>
      </w:pPr>
      <w:hyperlink w:anchor="_Toc6415" w:history="1">
        <w:r>
          <w:rPr>
            <w:rFonts w:ascii="IRNazanin" w:hAnsi="IRNazanin" w:eastAsia="IRNazanin" w:cs="IRNazanin"/>
            <w:color w:val="111111"/>
            <w:sz w:val="22"/>
            <w:szCs w:val="22"/>
            <w:b w:val="0"/>
            <w:bCs w:val="0"/>
            <w:i w:val="0"/>
            <w:iCs w:val="0"/>
          </w:rPr>
          <w:t>5826- دیوان قتیل جرفادقانی أو شعره‏</w:t>
        </w:r>
        <w:r>
          <w:tab/>
        </w:r>
        <w:r>
          <w:fldChar w:fldCharType="begin"/>
        </w:r>
        <w:r>
          <w:instrText xml:space="preserve">PAGEREF 6415 \h</w:instrText>
        </w:r>
        <w:r>
          <w:fldChar w:fldCharType="end"/>
        </w:r>
      </w:hyperlink>
    </w:p>
    <w:p>
      <w:pPr>
        <w:tabs>
          <w:tab w:val="right" w:leader="dot" w:pos="9062"/>
        </w:tabs>
        <w:ind w:left="440"/>
      </w:pPr>
      <w:hyperlink w:anchor="_Toc6416" w:history="1">
        <w:r>
          <w:rPr>
            <w:rFonts w:ascii="IRNazanin" w:hAnsi="IRNazanin" w:eastAsia="IRNazanin" w:cs="IRNazanin"/>
            <w:color w:val="111111"/>
            <w:sz w:val="22"/>
            <w:szCs w:val="22"/>
            <w:b w:val="0"/>
            <w:bCs w:val="0"/>
            <w:i w:val="0"/>
            <w:iCs w:val="0"/>
          </w:rPr>
          <w:t>دیوان قدرت أصفهانی‏</w:t>
        </w:r>
        <w:r>
          <w:tab/>
        </w:r>
        <w:r>
          <w:fldChar w:fldCharType="begin"/>
        </w:r>
        <w:r>
          <w:instrText xml:space="preserve">PAGEREF 6416 \h</w:instrText>
        </w:r>
        <w:r>
          <w:fldChar w:fldCharType="end"/>
        </w:r>
      </w:hyperlink>
    </w:p>
    <w:p>
      <w:pPr>
        <w:tabs>
          <w:tab w:val="right" w:leader="dot" w:pos="9062"/>
        </w:tabs>
        <w:ind w:left="440"/>
      </w:pPr>
      <w:hyperlink w:anchor="_Toc6417" w:history="1">
        <w:r>
          <w:rPr>
            <w:rFonts w:ascii="IRNazanin" w:hAnsi="IRNazanin" w:eastAsia="IRNazanin" w:cs="IRNazanin"/>
            <w:color w:val="111111"/>
            <w:sz w:val="22"/>
            <w:szCs w:val="22"/>
            <w:b w:val="0"/>
            <w:bCs w:val="0"/>
            <w:i w:val="0"/>
            <w:iCs w:val="0"/>
          </w:rPr>
          <w:t>5827- دیوان قدرت دهلوی‏</w:t>
        </w:r>
        <w:r>
          <w:tab/>
        </w:r>
        <w:r>
          <w:fldChar w:fldCharType="begin"/>
        </w:r>
        <w:r>
          <w:instrText xml:space="preserve">PAGEREF 6417 \h</w:instrText>
        </w:r>
        <w:r>
          <w:fldChar w:fldCharType="end"/>
        </w:r>
      </w:hyperlink>
    </w:p>
    <w:p>
      <w:pPr>
        <w:tabs>
          <w:tab w:val="right" w:leader="dot" w:pos="9062"/>
        </w:tabs>
        <w:ind w:left="440"/>
      </w:pPr>
      <w:hyperlink w:anchor="_Toc6418" w:history="1">
        <w:r>
          <w:rPr>
            <w:rFonts w:ascii="IRNazanin" w:hAnsi="IRNazanin" w:eastAsia="IRNazanin" w:cs="IRNazanin"/>
            <w:color w:val="111111"/>
            <w:sz w:val="22"/>
            <w:szCs w:val="22"/>
            <w:b w:val="0"/>
            <w:bCs w:val="0"/>
            <w:i w:val="0"/>
            <w:iCs w:val="0"/>
          </w:rPr>
          <w:t>5828- دیوان قدرت قمی‏</w:t>
        </w:r>
        <w:r>
          <w:tab/>
        </w:r>
        <w:r>
          <w:fldChar w:fldCharType="begin"/>
        </w:r>
        <w:r>
          <w:instrText xml:space="preserve">PAGEREF 6418 \h</w:instrText>
        </w:r>
        <w:r>
          <w:fldChar w:fldCharType="end"/>
        </w:r>
      </w:hyperlink>
    </w:p>
    <w:p>
      <w:pPr>
        <w:tabs>
          <w:tab w:val="right" w:leader="dot" w:pos="9062"/>
        </w:tabs>
        <w:ind w:left="440"/>
      </w:pPr>
      <w:hyperlink w:anchor="_Toc6419" w:history="1">
        <w:r>
          <w:rPr>
            <w:rFonts w:ascii="IRNazanin" w:hAnsi="IRNazanin" w:eastAsia="IRNazanin" w:cs="IRNazanin"/>
            <w:color w:val="111111"/>
            <w:sz w:val="22"/>
            <w:szCs w:val="22"/>
            <w:b w:val="0"/>
            <w:bCs w:val="0"/>
            <w:i w:val="0"/>
            <w:iCs w:val="0"/>
          </w:rPr>
          <w:t>5829- دیوان قدرت کوپاموی‏</w:t>
        </w:r>
        <w:r>
          <w:tab/>
        </w:r>
        <w:r>
          <w:fldChar w:fldCharType="begin"/>
        </w:r>
        <w:r>
          <w:instrText xml:space="preserve">PAGEREF 6419 \h</w:instrText>
        </w:r>
        <w:r>
          <w:fldChar w:fldCharType="end"/>
        </w:r>
      </w:hyperlink>
    </w:p>
    <w:p>
      <w:pPr>
        <w:tabs>
          <w:tab w:val="right" w:leader="dot" w:pos="9062"/>
        </w:tabs>
        <w:ind w:left="440"/>
      </w:pPr>
      <w:hyperlink w:anchor="_Toc6420" w:history="1">
        <w:r>
          <w:rPr>
            <w:rFonts w:ascii="IRNazanin" w:hAnsi="IRNazanin" w:eastAsia="IRNazanin" w:cs="IRNazanin"/>
            <w:color w:val="111111"/>
            <w:sz w:val="22"/>
            <w:szCs w:val="22"/>
            <w:b w:val="0"/>
            <w:bCs w:val="0"/>
            <w:i w:val="0"/>
            <w:iCs w:val="0"/>
          </w:rPr>
          <w:t>5830- دیوان ملا قدرتی أصفهانی‏</w:t>
        </w:r>
        <w:r>
          <w:tab/>
        </w:r>
        <w:r>
          <w:fldChar w:fldCharType="begin"/>
        </w:r>
        <w:r>
          <w:instrText xml:space="preserve">PAGEREF 6420 \h</w:instrText>
        </w:r>
        <w:r>
          <w:fldChar w:fldCharType="end"/>
        </w:r>
      </w:hyperlink>
    </w:p>
    <w:p>
      <w:pPr>
        <w:tabs>
          <w:tab w:val="right" w:leader="dot" w:pos="9062"/>
        </w:tabs>
        <w:ind w:left="440"/>
      </w:pPr>
      <w:hyperlink w:anchor="_Toc6421" w:history="1">
        <w:r>
          <w:rPr>
            <w:rFonts w:ascii="IRNazanin" w:hAnsi="IRNazanin" w:eastAsia="IRNazanin" w:cs="IRNazanin"/>
            <w:color w:val="111111"/>
            <w:sz w:val="22"/>
            <w:szCs w:val="22"/>
            <w:b w:val="0"/>
            <w:bCs w:val="0"/>
            <w:i w:val="0"/>
            <w:iCs w:val="0"/>
          </w:rPr>
          <w:t>5831- دیوان قدری شیرازی أو شعره‏</w:t>
        </w:r>
        <w:r>
          <w:tab/>
        </w:r>
        <w:r>
          <w:fldChar w:fldCharType="begin"/>
        </w:r>
        <w:r>
          <w:instrText xml:space="preserve">PAGEREF 6421 \h</w:instrText>
        </w:r>
        <w:r>
          <w:fldChar w:fldCharType="end"/>
        </w:r>
      </w:hyperlink>
    </w:p>
    <w:p>
      <w:pPr>
        <w:tabs>
          <w:tab w:val="right" w:leader="dot" w:pos="9062"/>
        </w:tabs>
        <w:ind w:left="440"/>
      </w:pPr>
      <w:hyperlink w:anchor="_Toc6422" w:history="1">
        <w:r>
          <w:rPr>
            <w:rFonts w:ascii="IRNazanin" w:hAnsi="IRNazanin" w:eastAsia="IRNazanin" w:cs="IRNazanin"/>
            <w:color w:val="111111"/>
            <w:sz w:val="22"/>
            <w:szCs w:val="22"/>
            <w:b w:val="0"/>
            <w:bCs w:val="0"/>
            <w:i w:val="0"/>
            <w:iCs w:val="0"/>
          </w:rPr>
          <w:t>دیوان القدسیات‏</w:t>
        </w:r>
        <w:r>
          <w:tab/>
        </w:r>
        <w:r>
          <w:fldChar w:fldCharType="begin"/>
        </w:r>
        <w:r>
          <w:instrText xml:space="preserve">PAGEREF 6422 \h</w:instrText>
        </w:r>
        <w:r>
          <w:fldChar w:fldCharType="end"/>
        </w:r>
      </w:hyperlink>
    </w:p>
    <w:p>
      <w:pPr>
        <w:tabs>
          <w:tab w:val="right" w:leader="dot" w:pos="9062"/>
        </w:tabs>
        <w:ind w:left="440"/>
      </w:pPr>
      <w:hyperlink w:anchor="_Toc6423" w:history="1">
        <w:r>
          <w:rPr>
            <w:rFonts w:ascii="IRNazanin" w:hAnsi="IRNazanin" w:eastAsia="IRNazanin" w:cs="IRNazanin"/>
            <w:color w:val="111111"/>
            <w:sz w:val="22"/>
            <w:szCs w:val="22"/>
            <w:b w:val="0"/>
            <w:bCs w:val="0"/>
            <w:i w:val="0"/>
            <w:iCs w:val="0"/>
          </w:rPr>
          <w:t>5832- دیوان قدسی أصفهانی‏</w:t>
        </w:r>
        <w:r>
          <w:tab/>
        </w:r>
        <w:r>
          <w:fldChar w:fldCharType="begin"/>
        </w:r>
        <w:r>
          <w:instrText xml:space="preserve">PAGEREF 6423 \h</w:instrText>
        </w:r>
        <w:r>
          <w:fldChar w:fldCharType="end"/>
        </w:r>
      </w:hyperlink>
    </w:p>
    <w:p>
      <w:pPr>
        <w:tabs>
          <w:tab w:val="right" w:leader="dot" w:pos="9062"/>
        </w:tabs>
        <w:ind w:left="440"/>
      </w:pPr>
      <w:hyperlink w:anchor="_Toc6424" w:history="1">
        <w:r>
          <w:rPr>
            <w:rFonts w:ascii="IRNazanin" w:hAnsi="IRNazanin" w:eastAsia="IRNazanin" w:cs="IRNazanin"/>
            <w:color w:val="111111"/>
            <w:sz w:val="22"/>
            <w:szCs w:val="22"/>
            <w:b w:val="0"/>
            <w:bCs w:val="0"/>
            <w:i w:val="0"/>
            <w:iCs w:val="0"/>
          </w:rPr>
          <w:t>5833- دیوان قدسی الباکوئی‏</w:t>
        </w:r>
        <w:r>
          <w:tab/>
        </w:r>
        <w:r>
          <w:fldChar w:fldCharType="begin"/>
        </w:r>
        <w:r>
          <w:instrText xml:space="preserve">PAGEREF 6424 \h</w:instrText>
        </w:r>
        <w:r>
          <w:fldChar w:fldCharType="end"/>
        </w:r>
      </w:hyperlink>
    </w:p>
    <w:p>
      <w:pPr>
        <w:tabs>
          <w:tab w:val="right" w:leader="dot" w:pos="9062"/>
        </w:tabs>
        <w:ind w:left="440"/>
      </w:pPr>
      <w:hyperlink w:anchor="_Toc6425" w:history="1">
        <w:r>
          <w:rPr>
            <w:rFonts w:ascii="IRNazanin" w:hAnsi="IRNazanin" w:eastAsia="IRNazanin" w:cs="IRNazanin"/>
            <w:color w:val="111111"/>
            <w:sz w:val="22"/>
            <w:szCs w:val="22"/>
            <w:b w:val="0"/>
            <w:bCs w:val="0"/>
            <w:i w:val="0"/>
            <w:iCs w:val="0"/>
          </w:rPr>
          <w:t>5834- دیوان قدسی تفریشی‏</w:t>
        </w:r>
        <w:r>
          <w:tab/>
        </w:r>
        <w:r>
          <w:fldChar w:fldCharType="begin"/>
        </w:r>
        <w:r>
          <w:instrText xml:space="preserve">PAGEREF 6425 \h</w:instrText>
        </w:r>
        <w:r>
          <w:fldChar w:fldCharType="end"/>
        </w:r>
      </w:hyperlink>
    </w:p>
    <w:p>
      <w:pPr>
        <w:tabs>
          <w:tab w:val="right" w:leader="dot" w:pos="9062"/>
        </w:tabs>
        <w:ind w:left="440"/>
      </w:pPr>
      <w:hyperlink w:anchor="_Toc6426" w:history="1">
        <w:r>
          <w:rPr>
            <w:rFonts w:ascii="IRNazanin" w:hAnsi="IRNazanin" w:eastAsia="IRNazanin" w:cs="IRNazanin"/>
            <w:color w:val="111111"/>
            <w:sz w:val="22"/>
            <w:szCs w:val="22"/>
            <w:b w:val="0"/>
            <w:bCs w:val="0"/>
            <w:i w:val="0"/>
            <w:iCs w:val="0"/>
          </w:rPr>
          <w:t>5835- دیوان قدسی خراشادی أو شعره‏</w:t>
        </w:r>
        <w:r>
          <w:tab/>
        </w:r>
        <w:r>
          <w:fldChar w:fldCharType="begin"/>
        </w:r>
        <w:r>
          <w:instrText xml:space="preserve">PAGEREF 6426 \h</w:instrText>
        </w:r>
        <w:r>
          <w:fldChar w:fldCharType="end"/>
        </w:r>
      </w:hyperlink>
    </w:p>
    <w:p>
      <w:pPr>
        <w:tabs>
          <w:tab w:val="right" w:leader="dot" w:pos="9062"/>
        </w:tabs>
        <w:ind w:left="440"/>
      </w:pPr>
      <w:hyperlink w:anchor="_Toc6427" w:history="1">
        <w:r>
          <w:rPr>
            <w:rFonts w:ascii="IRNazanin" w:hAnsi="IRNazanin" w:eastAsia="IRNazanin" w:cs="IRNazanin"/>
            <w:color w:val="111111"/>
            <w:sz w:val="22"/>
            <w:szCs w:val="22"/>
            <w:b w:val="0"/>
            <w:bCs w:val="0"/>
            <w:i w:val="0"/>
            <w:iCs w:val="0"/>
          </w:rPr>
          <w:t>5836- دیوان قدسی دشتی أو شعره‏</w:t>
        </w:r>
        <w:r>
          <w:tab/>
        </w:r>
        <w:r>
          <w:fldChar w:fldCharType="begin"/>
        </w:r>
        <w:r>
          <w:instrText xml:space="preserve">PAGEREF 6427 \h</w:instrText>
        </w:r>
        <w:r>
          <w:fldChar w:fldCharType="end"/>
        </w:r>
      </w:hyperlink>
    </w:p>
    <w:p>
      <w:pPr>
        <w:tabs>
          <w:tab w:val="right" w:leader="dot" w:pos="9062"/>
        </w:tabs>
        <w:ind w:left="440"/>
      </w:pPr>
      <w:hyperlink w:anchor="_Toc6428" w:history="1">
        <w:r>
          <w:rPr>
            <w:rFonts w:ascii="IRNazanin" w:hAnsi="IRNazanin" w:eastAsia="IRNazanin" w:cs="IRNazanin"/>
            <w:color w:val="111111"/>
            <w:sz w:val="22"/>
            <w:szCs w:val="22"/>
            <w:b w:val="0"/>
            <w:bCs w:val="0"/>
            <w:i w:val="0"/>
            <w:iCs w:val="0"/>
          </w:rPr>
          <w:t>5837- دیوان قدسی قهفرخی أو شعره‏</w:t>
        </w:r>
        <w:r>
          <w:tab/>
        </w:r>
        <w:r>
          <w:fldChar w:fldCharType="begin"/>
        </w:r>
        <w:r>
          <w:instrText xml:space="preserve">PAGEREF 6428 \h</w:instrText>
        </w:r>
        <w:r>
          <w:fldChar w:fldCharType="end"/>
        </w:r>
      </w:hyperlink>
    </w:p>
    <w:p>
      <w:pPr>
        <w:tabs>
          <w:tab w:val="right" w:leader="dot" w:pos="9062"/>
        </w:tabs>
        <w:ind w:left="440"/>
      </w:pPr>
      <w:hyperlink w:anchor="_Toc6429" w:history="1">
        <w:r>
          <w:rPr>
            <w:rFonts w:ascii="IRNazanin" w:hAnsi="IRNazanin" w:eastAsia="IRNazanin" w:cs="IRNazanin"/>
            <w:color w:val="111111"/>
            <w:sz w:val="22"/>
            <w:szCs w:val="22"/>
            <w:b w:val="0"/>
            <w:bCs w:val="0"/>
            <w:i w:val="0"/>
            <w:iCs w:val="0"/>
          </w:rPr>
          <w:t>5838- دیوان قدسی کربلائی أو شعره‏</w:t>
        </w:r>
        <w:r>
          <w:tab/>
        </w:r>
        <w:r>
          <w:fldChar w:fldCharType="begin"/>
        </w:r>
        <w:r>
          <w:instrText xml:space="preserve">PAGEREF 6429 \h</w:instrText>
        </w:r>
        <w:r>
          <w:fldChar w:fldCharType="end"/>
        </w:r>
      </w:hyperlink>
    </w:p>
    <w:p>
      <w:pPr>
        <w:tabs>
          <w:tab w:val="right" w:leader="dot" w:pos="9062"/>
        </w:tabs>
        <w:ind w:left="440"/>
      </w:pPr>
      <w:hyperlink w:anchor="_Toc6430" w:history="1">
        <w:r>
          <w:rPr>
            <w:rFonts w:ascii="IRNazanin" w:hAnsi="IRNazanin" w:eastAsia="IRNazanin" w:cs="IRNazanin"/>
            <w:color w:val="111111"/>
            <w:sz w:val="22"/>
            <w:szCs w:val="22"/>
            <w:b w:val="0"/>
            <w:bCs w:val="0"/>
            <w:i w:val="0"/>
            <w:iCs w:val="0"/>
          </w:rPr>
          <w:t>5839- دیوان قدسی گنجوی‏</w:t>
        </w:r>
        <w:r>
          <w:tab/>
        </w:r>
        <w:r>
          <w:fldChar w:fldCharType="begin"/>
        </w:r>
        <w:r>
          <w:instrText xml:space="preserve">PAGEREF 6430 \h</w:instrText>
        </w:r>
        <w:r>
          <w:fldChar w:fldCharType="end"/>
        </w:r>
      </w:hyperlink>
    </w:p>
    <w:p>
      <w:pPr>
        <w:tabs>
          <w:tab w:val="right" w:leader="dot" w:pos="9062"/>
        </w:tabs>
        <w:ind w:left="440"/>
      </w:pPr>
      <w:hyperlink w:anchor="_Toc6431" w:history="1">
        <w:r>
          <w:rPr>
            <w:rFonts w:ascii="IRNazanin" w:hAnsi="IRNazanin" w:eastAsia="IRNazanin" w:cs="IRNazanin"/>
            <w:color w:val="111111"/>
            <w:sz w:val="22"/>
            <w:szCs w:val="22"/>
            <w:b w:val="0"/>
            <w:bCs w:val="0"/>
            <w:i w:val="0"/>
            <w:iCs w:val="0"/>
          </w:rPr>
          <w:t>5840- دیوان قدسی مشهدی‏</w:t>
        </w:r>
        <w:r>
          <w:tab/>
        </w:r>
        <w:r>
          <w:fldChar w:fldCharType="begin"/>
        </w:r>
        <w:r>
          <w:instrText xml:space="preserve">PAGEREF 6431 \h</w:instrText>
        </w:r>
        <w:r>
          <w:fldChar w:fldCharType="end"/>
        </w:r>
      </w:hyperlink>
    </w:p>
    <w:p>
      <w:pPr>
        <w:tabs>
          <w:tab w:val="right" w:leader="dot" w:pos="9062"/>
        </w:tabs>
        <w:ind w:left="440"/>
      </w:pPr>
      <w:hyperlink w:anchor="_Toc6432" w:history="1">
        <w:r>
          <w:rPr>
            <w:rFonts w:ascii="IRNazanin" w:hAnsi="IRNazanin" w:eastAsia="IRNazanin" w:cs="IRNazanin"/>
            <w:color w:val="111111"/>
            <w:sz w:val="22"/>
            <w:szCs w:val="22"/>
            <w:b w:val="0"/>
            <w:bCs w:val="0"/>
            <w:i w:val="0"/>
            <w:iCs w:val="0"/>
          </w:rPr>
          <w:t>5841- دیوان قدسی مشهدی‏</w:t>
        </w:r>
        <w:r>
          <w:tab/>
        </w:r>
        <w:r>
          <w:fldChar w:fldCharType="begin"/>
        </w:r>
        <w:r>
          <w:instrText xml:space="preserve">PAGEREF 6432 \h</w:instrText>
        </w:r>
        <w:r>
          <w:fldChar w:fldCharType="end"/>
        </w:r>
      </w:hyperlink>
    </w:p>
    <w:p>
      <w:pPr>
        <w:tabs>
          <w:tab w:val="right" w:leader="dot" w:pos="9062"/>
        </w:tabs>
        <w:ind w:left="440"/>
      </w:pPr>
      <w:hyperlink w:anchor="_Toc6433" w:history="1">
        <w:r>
          <w:rPr>
            <w:rFonts w:ascii="IRNazanin" w:hAnsi="IRNazanin" w:eastAsia="IRNazanin" w:cs="IRNazanin"/>
            <w:color w:val="111111"/>
            <w:sz w:val="22"/>
            <w:szCs w:val="22"/>
            <w:b w:val="0"/>
            <w:bCs w:val="0"/>
            <w:i w:val="0"/>
            <w:iCs w:val="0"/>
          </w:rPr>
          <w:t>5842- دیوان قدسی هروی‏</w:t>
        </w:r>
        <w:r>
          <w:tab/>
        </w:r>
        <w:r>
          <w:fldChar w:fldCharType="begin"/>
        </w:r>
        <w:r>
          <w:instrText xml:space="preserve">PAGEREF 6433 \h</w:instrText>
        </w:r>
        <w:r>
          <w:fldChar w:fldCharType="end"/>
        </w:r>
      </w:hyperlink>
    </w:p>
    <w:p>
      <w:pPr>
        <w:tabs>
          <w:tab w:val="right" w:leader="dot" w:pos="9062"/>
        </w:tabs>
        <w:ind w:left="440"/>
      </w:pPr>
      <w:hyperlink w:anchor="_Toc6434" w:history="1">
        <w:r>
          <w:rPr>
            <w:rFonts w:ascii="IRNazanin" w:hAnsi="IRNazanin" w:eastAsia="IRNazanin" w:cs="IRNazanin"/>
            <w:color w:val="111111"/>
            <w:sz w:val="22"/>
            <w:szCs w:val="22"/>
            <w:b w:val="0"/>
            <w:bCs w:val="0"/>
            <w:i w:val="0"/>
            <w:iCs w:val="0"/>
          </w:rPr>
          <w:t>5843- دیوان قدسی یزدی‏</w:t>
        </w:r>
        <w:r>
          <w:tab/>
        </w:r>
        <w:r>
          <w:fldChar w:fldCharType="begin"/>
        </w:r>
        <w:r>
          <w:instrText xml:space="preserve">PAGEREF 6434 \h</w:instrText>
        </w:r>
        <w:r>
          <w:fldChar w:fldCharType="end"/>
        </w:r>
      </w:hyperlink>
    </w:p>
    <w:p>
      <w:pPr>
        <w:tabs>
          <w:tab w:val="right" w:leader="dot" w:pos="9062"/>
        </w:tabs>
        <w:ind w:left="440"/>
      </w:pPr>
      <w:hyperlink w:anchor="_Toc6435" w:history="1">
        <w:r>
          <w:rPr>
            <w:rFonts w:ascii="IRNazanin" w:hAnsi="IRNazanin" w:eastAsia="IRNazanin" w:cs="IRNazanin"/>
            <w:color w:val="111111"/>
            <w:sz w:val="22"/>
            <w:szCs w:val="22"/>
            <w:b w:val="0"/>
            <w:bCs w:val="0"/>
            <w:i w:val="0"/>
            <w:iCs w:val="0"/>
          </w:rPr>
          <w:t>5844- دیوان قدیمی نقاش الگیلانی‏</w:t>
        </w:r>
        <w:r>
          <w:tab/>
        </w:r>
        <w:r>
          <w:fldChar w:fldCharType="begin"/>
        </w:r>
        <w:r>
          <w:instrText xml:space="preserve">PAGEREF 6435 \h</w:instrText>
        </w:r>
        <w:r>
          <w:fldChar w:fldCharType="end"/>
        </w:r>
      </w:hyperlink>
    </w:p>
    <w:p>
      <w:pPr>
        <w:tabs>
          <w:tab w:val="right" w:leader="dot" w:pos="9062"/>
        </w:tabs>
        <w:ind w:left="440"/>
      </w:pPr>
      <w:hyperlink w:anchor="_Toc6436" w:history="1">
        <w:r>
          <w:rPr>
            <w:rFonts w:ascii="IRNazanin" w:hAnsi="IRNazanin" w:eastAsia="IRNazanin" w:cs="IRNazanin"/>
            <w:color w:val="111111"/>
            <w:sz w:val="22"/>
            <w:szCs w:val="22"/>
            <w:b w:val="0"/>
            <w:bCs w:val="0"/>
            <w:i w:val="0"/>
            <w:iCs w:val="0"/>
          </w:rPr>
          <w:t>5845- دیوان قدیمی طبال‏</w:t>
        </w:r>
        <w:r>
          <w:tab/>
        </w:r>
        <w:r>
          <w:fldChar w:fldCharType="begin"/>
        </w:r>
        <w:r>
          <w:instrText xml:space="preserve">PAGEREF 6436 \h</w:instrText>
        </w:r>
        <w:r>
          <w:fldChar w:fldCharType="end"/>
        </w:r>
      </w:hyperlink>
    </w:p>
    <w:p>
      <w:pPr>
        <w:tabs>
          <w:tab w:val="right" w:leader="dot" w:pos="9062"/>
        </w:tabs>
        <w:ind w:left="440"/>
      </w:pPr>
      <w:hyperlink w:anchor="_Toc6437" w:history="1">
        <w:r>
          <w:rPr>
            <w:rFonts w:ascii="IRNazanin" w:hAnsi="IRNazanin" w:eastAsia="IRNazanin" w:cs="IRNazanin"/>
            <w:color w:val="111111"/>
            <w:sz w:val="22"/>
            <w:szCs w:val="22"/>
            <w:b w:val="0"/>
            <w:bCs w:val="0"/>
            <w:i w:val="0"/>
            <w:iCs w:val="0"/>
          </w:rPr>
          <w:t>5846- دیوان قراری گیلانی‏</w:t>
        </w:r>
        <w:r>
          <w:tab/>
        </w:r>
        <w:r>
          <w:fldChar w:fldCharType="begin"/>
        </w:r>
        <w:r>
          <w:instrText xml:space="preserve">PAGEREF 6437 \h</w:instrText>
        </w:r>
        <w:r>
          <w:fldChar w:fldCharType="end"/>
        </w:r>
      </w:hyperlink>
    </w:p>
    <w:p>
      <w:pPr>
        <w:tabs>
          <w:tab w:val="right" w:leader="dot" w:pos="9062"/>
        </w:tabs>
        <w:ind w:left="440"/>
      </w:pPr>
      <w:hyperlink w:anchor="_Toc6438" w:history="1">
        <w:r>
          <w:rPr>
            <w:rFonts w:ascii="IRNazanin" w:hAnsi="IRNazanin" w:eastAsia="IRNazanin" w:cs="IRNazanin"/>
            <w:color w:val="111111"/>
            <w:sz w:val="22"/>
            <w:szCs w:val="22"/>
            <w:b w:val="0"/>
            <w:bCs w:val="0"/>
            <w:i w:val="0"/>
            <w:iCs w:val="0"/>
          </w:rPr>
          <w:t>5847- دیوان قرابولاغی‏</w:t>
        </w:r>
        <w:r>
          <w:tab/>
        </w:r>
        <w:r>
          <w:fldChar w:fldCharType="begin"/>
        </w:r>
        <w:r>
          <w:instrText xml:space="preserve">PAGEREF 6438 \h</w:instrText>
        </w:r>
        <w:r>
          <w:fldChar w:fldCharType="end"/>
        </w:r>
      </w:hyperlink>
    </w:p>
    <w:p>
      <w:pPr>
        <w:tabs>
          <w:tab w:val="right" w:leader="dot" w:pos="9062"/>
        </w:tabs>
        <w:ind w:left="440"/>
      </w:pPr>
      <w:hyperlink w:anchor="_Toc6439" w:history="1">
        <w:r>
          <w:rPr>
            <w:rFonts w:ascii="IRNazanin" w:hAnsi="IRNazanin" w:eastAsia="IRNazanin" w:cs="IRNazanin"/>
            <w:color w:val="111111"/>
            <w:sz w:val="22"/>
            <w:szCs w:val="22"/>
            <w:b w:val="0"/>
            <w:bCs w:val="0"/>
            <w:i w:val="0"/>
            <w:iCs w:val="0"/>
          </w:rPr>
          <w:t>5848- دیوان قراضة شیرازی‏</w:t>
        </w:r>
        <w:r>
          <w:tab/>
        </w:r>
        <w:r>
          <w:fldChar w:fldCharType="begin"/>
        </w:r>
        <w:r>
          <w:instrText xml:space="preserve">PAGEREF 6439 \h</w:instrText>
        </w:r>
        <w:r>
          <w:fldChar w:fldCharType="end"/>
        </w:r>
      </w:hyperlink>
    </w:p>
    <w:p>
      <w:pPr>
        <w:tabs>
          <w:tab w:val="right" w:leader="dot" w:pos="9062"/>
        </w:tabs>
        <w:ind w:left="440"/>
      </w:pPr>
      <w:hyperlink w:anchor="_Toc6440" w:history="1">
        <w:r>
          <w:rPr>
            <w:rFonts w:ascii="IRNazanin" w:hAnsi="IRNazanin" w:eastAsia="IRNazanin" w:cs="IRNazanin"/>
            <w:color w:val="111111"/>
            <w:sz w:val="22"/>
            <w:szCs w:val="22"/>
            <w:b w:val="0"/>
            <w:bCs w:val="0"/>
            <w:i w:val="0"/>
            <w:iCs w:val="0"/>
          </w:rPr>
          <w:t>5849- دیوان قراضی قزوینی‏</w:t>
        </w:r>
        <w:r>
          <w:tab/>
        </w:r>
        <w:r>
          <w:fldChar w:fldCharType="begin"/>
        </w:r>
        <w:r>
          <w:instrText xml:space="preserve">PAGEREF 6440 \h</w:instrText>
        </w:r>
        <w:r>
          <w:fldChar w:fldCharType="end"/>
        </w:r>
      </w:hyperlink>
    </w:p>
    <w:p>
      <w:pPr>
        <w:tabs>
          <w:tab w:val="right" w:leader="dot" w:pos="9062"/>
        </w:tabs>
        <w:ind w:left="440"/>
      </w:pPr>
      <w:hyperlink w:anchor="_Toc6441" w:history="1">
        <w:r>
          <w:rPr>
            <w:rFonts w:ascii="IRNazanin" w:hAnsi="IRNazanin" w:eastAsia="IRNazanin" w:cs="IRNazanin"/>
            <w:color w:val="111111"/>
            <w:sz w:val="22"/>
            <w:szCs w:val="22"/>
            <w:b w:val="0"/>
            <w:bCs w:val="0"/>
            <w:i w:val="0"/>
            <w:iCs w:val="0"/>
          </w:rPr>
          <w:t>5850- دیوان قرانی مشهدی أو شعره‏</w:t>
        </w:r>
        <w:r>
          <w:tab/>
        </w:r>
        <w:r>
          <w:fldChar w:fldCharType="begin"/>
        </w:r>
        <w:r>
          <w:instrText xml:space="preserve">PAGEREF 6441 \h</w:instrText>
        </w:r>
        <w:r>
          <w:fldChar w:fldCharType="end"/>
        </w:r>
      </w:hyperlink>
    </w:p>
    <w:p>
      <w:pPr>
        <w:tabs>
          <w:tab w:val="right" w:leader="dot" w:pos="9062"/>
        </w:tabs>
        <w:ind w:left="440"/>
      </w:pPr>
      <w:hyperlink w:anchor="_Toc6442" w:history="1">
        <w:r>
          <w:rPr>
            <w:rFonts w:ascii="IRNazanin" w:hAnsi="IRNazanin" w:eastAsia="IRNazanin" w:cs="IRNazanin"/>
            <w:color w:val="111111"/>
            <w:sz w:val="22"/>
            <w:szCs w:val="22"/>
            <w:b w:val="0"/>
            <w:bCs w:val="0"/>
            <w:i w:val="0"/>
            <w:iCs w:val="0"/>
          </w:rPr>
          <w:t>5851- دیوان قربی‏</w:t>
        </w:r>
        <w:r>
          <w:tab/>
        </w:r>
        <w:r>
          <w:fldChar w:fldCharType="begin"/>
        </w:r>
        <w:r>
          <w:instrText xml:space="preserve">PAGEREF 6442 \h</w:instrText>
        </w:r>
        <w:r>
          <w:fldChar w:fldCharType="end"/>
        </w:r>
      </w:hyperlink>
    </w:p>
    <w:p>
      <w:pPr>
        <w:tabs>
          <w:tab w:val="right" w:leader="dot" w:pos="9062"/>
        </w:tabs>
        <w:ind w:left="440"/>
      </w:pPr>
      <w:hyperlink w:anchor="_Toc6443" w:history="1">
        <w:r>
          <w:rPr>
            <w:rFonts w:ascii="IRNazanin" w:hAnsi="IRNazanin" w:eastAsia="IRNazanin" w:cs="IRNazanin"/>
            <w:color w:val="111111"/>
            <w:sz w:val="22"/>
            <w:szCs w:val="22"/>
            <w:b w:val="0"/>
            <w:bCs w:val="0"/>
            <w:i w:val="0"/>
            <w:iCs w:val="0"/>
          </w:rPr>
          <w:t>5852- دیوان قربی دماوندی أو شعره‏</w:t>
        </w:r>
        <w:r>
          <w:tab/>
        </w:r>
        <w:r>
          <w:fldChar w:fldCharType="begin"/>
        </w:r>
        <w:r>
          <w:instrText xml:space="preserve">PAGEREF 6443 \h</w:instrText>
        </w:r>
        <w:r>
          <w:fldChar w:fldCharType="end"/>
        </w:r>
      </w:hyperlink>
    </w:p>
    <w:p>
      <w:pPr>
        <w:tabs>
          <w:tab w:val="right" w:leader="dot" w:pos="9062"/>
        </w:tabs>
        <w:ind w:left="440"/>
      </w:pPr>
      <w:hyperlink w:anchor="_Toc6444" w:history="1">
        <w:r>
          <w:rPr>
            <w:rFonts w:ascii="IRNazanin" w:hAnsi="IRNazanin" w:eastAsia="IRNazanin" w:cs="IRNazanin"/>
            <w:color w:val="111111"/>
            <w:sz w:val="22"/>
            <w:szCs w:val="22"/>
            <w:b w:val="0"/>
            <w:bCs w:val="0"/>
            <w:i w:val="0"/>
            <w:iCs w:val="0"/>
          </w:rPr>
          <w:t>دیوان قربی شیرازی أو شعره‏</w:t>
        </w:r>
        <w:r>
          <w:tab/>
        </w:r>
        <w:r>
          <w:fldChar w:fldCharType="begin"/>
        </w:r>
        <w:r>
          <w:instrText xml:space="preserve">PAGEREF 6444 \h</w:instrText>
        </w:r>
        <w:r>
          <w:fldChar w:fldCharType="end"/>
        </w:r>
      </w:hyperlink>
    </w:p>
    <w:p>
      <w:pPr>
        <w:tabs>
          <w:tab w:val="right" w:leader="dot" w:pos="9062"/>
        </w:tabs>
        <w:ind w:left="440"/>
      </w:pPr>
      <w:hyperlink w:anchor="_Toc6445" w:history="1">
        <w:r>
          <w:rPr>
            <w:rFonts w:ascii="IRNazanin" w:hAnsi="IRNazanin" w:eastAsia="IRNazanin" w:cs="IRNazanin"/>
            <w:color w:val="111111"/>
            <w:sz w:val="22"/>
            <w:szCs w:val="22"/>
            <w:b w:val="0"/>
            <w:bCs w:val="0"/>
            <w:i w:val="0"/>
            <w:iCs w:val="0"/>
          </w:rPr>
          <w:t>5853- دیوان قربی لاهیجانی أو شعره‏</w:t>
        </w:r>
        <w:r>
          <w:tab/>
        </w:r>
        <w:r>
          <w:fldChar w:fldCharType="begin"/>
        </w:r>
        <w:r>
          <w:instrText xml:space="preserve">PAGEREF 6445 \h</w:instrText>
        </w:r>
        <w:r>
          <w:fldChar w:fldCharType="end"/>
        </w:r>
      </w:hyperlink>
    </w:p>
    <w:p>
      <w:pPr>
        <w:tabs>
          <w:tab w:val="right" w:leader="dot" w:pos="9062"/>
        </w:tabs>
        <w:ind w:left="440"/>
      </w:pPr>
      <w:hyperlink w:anchor="_Toc6446" w:history="1">
        <w:r>
          <w:rPr>
            <w:rFonts w:ascii="IRNazanin" w:hAnsi="IRNazanin" w:eastAsia="IRNazanin" w:cs="IRNazanin"/>
            <w:color w:val="111111"/>
            <w:sz w:val="22"/>
            <w:szCs w:val="22"/>
            <w:b w:val="0"/>
            <w:bCs w:val="0"/>
            <w:i w:val="0"/>
            <w:iCs w:val="0"/>
          </w:rPr>
          <w:t>5854- دیوان قرداش تبریزی‏</w:t>
        </w:r>
        <w:r>
          <w:tab/>
        </w:r>
        <w:r>
          <w:fldChar w:fldCharType="begin"/>
        </w:r>
        <w:r>
          <w:instrText xml:space="preserve">PAGEREF 6446 \h</w:instrText>
        </w:r>
        <w:r>
          <w:fldChar w:fldCharType="end"/>
        </w:r>
      </w:hyperlink>
    </w:p>
    <w:p>
      <w:pPr>
        <w:tabs>
          <w:tab w:val="right" w:leader="dot" w:pos="9062"/>
        </w:tabs>
        <w:ind w:left="440"/>
      </w:pPr>
      <w:hyperlink w:anchor="_Toc6447" w:history="1">
        <w:r>
          <w:rPr>
            <w:rFonts w:ascii="IRNazanin" w:hAnsi="IRNazanin" w:eastAsia="IRNazanin" w:cs="IRNazanin"/>
            <w:color w:val="111111"/>
            <w:sz w:val="22"/>
            <w:szCs w:val="22"/>
            <w:b w:val="0"/>
            <w:bCs w:val="0"/>
            <w:i w:val="0"/>
            <w:iCs w:val="0"/>
          </w:rPr>
          <w:t>دیوان قرشی‏</w:t>
        </w:r>
        <w:r>
          <w:tab/>
        </w:r>
        <w:r>
          <w:fldChar w:fldCharType="begin"/>
        </w:r>
        <w:r>
          <w:instrText xml:space="preserve">PAGEREF 6447 \h</w:instrText>
        </w:r>
        <w:r>
          <w:fldChar w:fldCharType="end"/>
        </w:r>
      </w:hyperlink>
    </w:p>
    <w:p>
      <w:pPr>
        <w:tabs>
          <w:tab w:val="right" w:leader="dot" w:pos="9062"/>
        </w:tabs>
        <w:ind w:left="440"/>
      </w:pPr>
      <w:hyperlink w:anchor="_Toc6448" w:history="1">
        <w:r>
          <w:rPr>
            <w:rFonts w:ascii="IRNazanin" w:hAnsi="IRNazanin" w:eastAsia="IRNazanin" w:cs="IRNazanin"/>
            <w:color w:val="111111"/>
            <w:sz w:val="22"/>
            <w:szCs w:val="22"/>
            <w:b w:val="0"/>
            <w:bCs w:val="0"/>
            <w:i w:val="0"/>
            <w:iCs w:val="0"/>
          </w:rPr>
          <w:t>دیوان قرشی صحاف السمرقندی‏</w:t>
        </w:r>
        <w:r>
          <w:tab/>
        </w:r>
        <w:r>
          <w:fldChar w:fldCharType="begin"/>
        </w:r>
        <w:r>
          <w:instrText xml:space="preserve">PAGEREF 6448 \h</w:instrText>
        </w:r>
        <w:r>
          <w:fldChar w:fldCharType="end"/>
        </w:r>
      </w:hyperlink>
    </w:p>
    <w:p>
      <w:pPr>
        <w:tabs>
          <w:tab w:val="right" w:leader="dot" w:pos="9062"/>
        </w:tabs>
        <w:ind w:left="440"/>
      </w:pPr>
      <w:hyperlink w:anchor="_Toc6449" w:history="1">
        <w:r>
          <w:rPr>
            <w:rFonts w:ascii="IRNazanin" w:hAnsi="IRNazanin" w:eastAsia="IRNazanin" w:cs="IRNazanin"/>
            <w:color w:val="111111"/>
            <w:sz w:val="22"/>
            <w:szCs w:val="22"/>
            <w:b w:val="0"/>
            <w:bCs w:val="0"/>
            <w:i w:val="0"/>
            <w:iCs w:val="0"/>
          </w:rPr>
          <w:t>5855- دیوان قرشی دیارجندی أو شعره‏</w:t>
        </w:r>
        <w:r>
          <w:tab/>
        </w:r>
        <w:r>
          <w:fldChar w:fldCharType="begin"/>
        </w:r>
        <w:r>
          <w:instrText xml:space="preserve">PAGEREF 6449 \h</w:instrText>
        </w:r>
        <w:r>
          <w:fldChar w:fldCharType="end"/>
        </w:r>
      </w:hyperlink>
    </w:p>
    <w:p>
      <w:pPr>
        <w:tabs>
          <w:tab w:val="right" w:leader="dot" w:pos="9062"/>
        </w:tabs>
        <w:ind w:left="440"/>
      </w:pPr>
      <w:hyperlink w:anchor="_Toc6450" w:history="1">
        <w:r>
          <w:rPr>
            <w:rFonts w:ascii="IRNazanin" w:hAnsi="IRNazanin" w:eastAsia="IRNazanin" w:cs="IRNazanin"/>
            <w:color w:val="111111"/>
            <w:sz w:val="22"/>
            <w:szCs w:val="22"/>
            <w:b w:val="0"/>
            <w:bCs w:val="0"/>
            <w:i w:val="0"/>
            <w:iCs w:val="0"/>
          </w:rPr>
          <w:t>5856- دیوان قریب گرگانی‏</w:t>
        </w:r>
        <w:r>
          <w:tab/>
        </w:r>
        <w:r>
          <w:fldChar w:fldCharType="begin"/>
        </w:r>
        <w:r>
          <w:instrText xml:space="preserve">PAGEREF 6450 \h</w:instrText>
        </w:r>
        <w:r>
          <w:fldChar w:fldCharType="end"/>
        </w:r>
      </w:hyperlink>
    </w:p>
    <w:p>
      <w:pPr>
        <w:tabs>
          <w:tab w:val="right" w:leader="dot" w:pos="9062"/>
        </w:tabs>
        <w:ind w:left="440"/>
      </w:pPr>
      <w:hyperlink w:anchor="_Toc6451" w:history="1">
        <w:r>
          <w:rPr>
            <w:rFonts w:ascii="IRNazanin" w:hAnsi="IRNazanin" w:eastAsia="IRNazanin" w:cs="IRNazanin"/>
            <w:color w:val="111111"/>
            <w:sz w:val="22"/>
            <w:szCs w:val="22"/>
            <w:b w:val="0"/>
            <w:bCs w:val="0"/>
            <w:i w:val="0"/>
            <w:iCs w:val="0"/>
          </w:rPr>
          <w:t>5857- دیوان قریب گرگانی‏</w:t>
        </w:r>
        <w:r>
          <w:tab/>
        </w:r>
        <w:r>
          <w:fldChar w:fldCharType="begin"/>
        </w:r>
        <w:r>
          <w:instrText xml:space="preserve">PAGEREF 6451 \h</w:instrText>
        </w:r>
        <w:r>
          <w:fldChar w:fldCharType="end"/>
        </w:r>
      </w:hyperlink>
    </w:p>
    <w:p>
      <w:pPr>
        <w:tabs>
          <w:tab w:val="right" w:leader="dot" w:pos="9062"/>
        </w:tabs>
        <w:ind w:left="440"/>
      </w:pPr>
      <w:hyperlink w:anchor="_Toc6452" w:history="1">
        <w:r>
          <w:rPr>
            <w:rFonts w:ascii="IRNazanin" w:hAnsi="IRNazanin" w:eastAsia="IRNazanin" w:cs="IRNazanin"/>
            <w:color w:val="111111"/>
            <w:sz w:val="22"/>
            <w:szCs w:val="22"/>
            <w:b w:val="0"/>
            <w:bCs w:val="0"/>
            <w:i w:val="0"/>
            <w:iCs w:val="0"/>
          </w:rPr>
          <w:t>دیوان قزداری‏</w:t>
        </w:r>
        <w:r>
          <w:tab/>
        </w:r>
        <w:r>
          <w:fldChar w:fldCharType="begin"/>
        </w:r>
        <w:r>
          <w:instrText xml:space="preserve">PAGEREF 6452 \h</w:instrText>
        </w:r>
        <w:r>
          <w:fldChar w:fldCharType="end"/>
        </w:r>
      </w:hyperlink>
    </w:p>
    <w:p>
      <w:pPr>
        <w:tabs>
          <w:tab w:val="right" w:leader="dot" w:pos="9062"/>
        </w:tabs>
        <w:ind w:left="440"/>
      </w:pPr>
      <w:hyperlink w:anchor="_Toc6453" w:history="1">
        <w:r>
          <w:rPr>
            <w:rFonts w:ascii="IRNazanin" w:hAnsi="IRNazanin" w:eastAsia="IRNazanin" w:cs="IRNazanin"/>
            <w:color w:val="111111"/>
            <w:sz w:val="22"/>
            <w:szCs w:val="22"/>
            <w:b w:val="0"/>
            <w:bCs w:val="0"/>
            <w:i w:val="0"/>
            <w:iCs w:val="0"/>
          </w:rPr>
          <w:t>دیوان قزلباش خان‏</w:t>
        </w:r>
        <w:r>
          <w:tab/>
        </w:r>
        <w:r>
          <w:fldChar w:fldCharType="begin"/>
        </w:r>
        <w:r>
          <w:instrText xml:space="preserve">PAGEREF 6453 \h</w:instrText>
        </w:r>
        <w:r>
          <w:fldChar w:fldCharType="end"/>
        </w:r>
      </w:hyperlink>
    </w:p>
    <w:p>
      <w:pPr>
        <w:tabs>
          <w:tab w:val="right" w:leader="dot" w:pos="9062"/>
        </w:tabs>
        <w:ind w:left="440"/>
      </w:pPr>
      <w:hyperlink w:anchor="_Toc6454" w:history="1">
        <w:r>
          <w:rPr>
            <w:rFonts w:ascii="IRNazanin" w:hAnsi="IRNazanin" w:eastAsia="IRNazanin" w:cs="IRNazanin"/>
            <w:color w:val="111111"/>
            <w:sz w:val="22"/>
            <w:szCs w:val="22"/>
            <w:b w:val="0"/>
            <w:bCs w:val="0"/>
            <w:i w:val="0"/>
            <w:iCs w:val="0"/>
          </w:rPr>
          <w:t>دیوان قزوینی‏</w:t>
        </w:r>
        <w:r>
          <w:tab/>
        </w:r>
        <w:r>
          <w:fldChar w:fldCharType="begin"/>
        </w:r>
        <w:r>
          <w:instrText xml:space="preserve">PAGEREF 6454 \h</w:instrText>
        </w:r>
        <w:r>
          <w:fldChar w:fldCharType="end"/>
        </w:r>
      </w:hyperlink>
    </w:p>
    <w:p>
      <w:pPr>
        <w:tabs>
          <w:tab w:val="right" w:leader="dot" w:pos="9062"/>
        </w:tabs>
        <w:ind w:left="440"/>
      </w:pPr>
      <w:hyperlink w:anchor="_Toc6455" w:history="1">
        <w:r>
          <w:rPr>
            <w:rFonts w:ascii="IRNazanin" w:hAnsi="IRNazanin" w:eastAsia="IRNazanin" w:cs="IRNazanin"/>
            <w:color w:val="111111"/>
            <w:sz w:val="22"/>
            <w:szCs w:val="22"/>
            <w:b w:val="0"/>
            <w:bCs w:val="0"/>
            <w:i w:val="0"/>
            <w:iCs w:val="0"/>
          </w:rPr>
          <w:t>5858- دیوان قسمت قمی‏</w:t>
        </w:r>
        <w:r>
          <w:tab/>
        </w:r>
        <w:r>
          <w:fldChar w:fldCharType="begin"/>
        </w:r>
        <w:r>
          <w:instrText xml:space="preserve">PAGEREF 6455 \h</w:instrText>
        </w:r>
        <w:r>
          <w:fldChar w:fldCharType="end"/>
        </w:r>
      </w:hyperlink>
    </w:p>
    <w:p>
      <w:pPr>
        <w:tabs>
          <w:tab w:val="right" w:leader="dot" w:pos="9062"/>
        </w:tabs>
        <w:ind w:left="440"/>
      </w:pPr>
      <w:hyperlink w:anchor="_Toc6456" w:history="1">
        <w:r>
          <w:rPr>
            <w:rFonts w:ascii="IRNazanin" w:hAnsi="IRNazanin" w:eastAsia="IRNazanin" w:cs="IRNazanin"/>
            <w:color w:val="111111"/>
            <w:sz w:val="22"/>
            <w:szCs w:val="22"/>
            <w:b w:val="0"/>
            <w:bCs w:val="0"/>
            <w:i w:val="0"/>
            <w:iCs w:val="0"/>
          </w:rPr>
          <w:t>5859- دیوان قسمت مشهدی‏</w:t>
        </w:r>
        <w:r>
          <w:tab/>
        </w:r>
        <w:r>
          <w:fldChar w:fldCharType="begin"/>
        </w:r>
        <w:r>
          <w:instrText xml:space="preserve">PAGEREF 6456 \h</w:instrText>
        </w:r>
        <w:r>
          <w:fldChar w:fldCharType="end"/>
        </w:r>
      </w:hyperlink>
    </w:p>
    <w:p>
      <w:pPr>
        <w:tabs>
          <w:tab w:val="right" w:leader="dot" w:pos="9062"/>
        </w:tabs>
        <w:ind w:left="440"/>
      </w:pPr>
      <w:hyperlink w:anchor="_Toc6457" w:history="1">
        <w:r>
          <w:rPr>
            <w:rFonts w:ascii="IRNazanin" w:hAnsi="IRNazanin" w:eastAsia="IRNazanin" w:cs="IRNazanin"/>
            <w:color w:val="111111"/>
            <w:sz w:val="22"/>
            <w:szCs w:val="22"/>
            <w:b w:val="0"/>
            <w:bCs w:val="0"/>
            <w:i w:val="0"/>
            <w:iCs w:val="0"/>
          </w:rPr>
          <w:t>5860- دیوان قسمتی أسترآبادی‏</w:t>
        </w:r>
        <w:r>
          <w:tab/>
        </w:r>
        <w:r>
          <w:fldChar w:fldCharType="begin"/>
        </w:r>
        <w:r>
          <w:instrText xml:space="preserve">PAGEREF 6457 \h</w:instrText>
        </w:r>
        <w:r>
          <w:fldChar w:fldCharType="end"/>
        </w:r>
      </w:hyperlink>
    </w:p>
    <w:p>
      <w:pPr>
        <w:tabs>
          <w:tab w:val="right" w:leader="dot" w:pos="9062"/>
        </w:tabs>
        <w:ind w:left="440"/>
      </w:pPr>
      <w:hyperlink w:anchor="_Toc6458" w:history="1">
        <w:r>
          <w:rPr>
            <w:rFonts w:ascii="IRNazanin" w:hAnsi="IRNazanin" w:eastAsia="IRNazanin" w:cs="IRNazanin"/>
            <w:color w:val="111111"/>
            <w:sz w:val="22"/>
            <w:szCs w:val="22"/>
            <w:b w:val="0"/>
            <w:bCs w:val="0"/>
            <w:i w:val="0"/>
            <w:iCs w:val="0"/>
          </w:rPr>
          <w:t>5861- دیوان قسمی أفشار أو شعره‏</w:t>
        </w:r>
        <w:r>
          <w:tab/>
        </w:r>
        <w:r>
          <w:fldChar w:fldCharType="begin"/>
        </w:r>
        <w:r>
          <w:instrText xml:space="preserve">PAGEREF 6458 \h</w:instrText>
        </w:r>
        <w:r>
          <w:fldChar w:fldCharType="end"/>
        </w:r>
      </w:hyperlink>
    </w:p>
    <w:p>
      <w:pPr>
        <w:tabs>
          <w:tab w:val="right" w:leader="dot" w:pos="9062"/>
        </w:tabs>
        <w:ind w:left="440"/>
      </w:pPr>
      <w:hyperlink w:anchor="_Toc6459" w:history="1">
        <w:r>
          <w:rPr>
            <w:rFonts w:ascii="IRNazanin" w:hAnsi="IRNazanin" w:eastAsia="IRNazanin" w:cs="IRNazanin"/>
            <w:color w:val="111111"/>
            <w:sz w:val="22"/>
            <w:szCs w:val="22"/>
            <w:b w:val="0"/>
            <w:bCs w:val="0"/>
            <w:i w:val="0"/>
            <w:iCs w:val="0"/>
          </w:rPr>
          <w:t>5862- دیوان قصاب أصفهانی‏</w:t>
        </w:r>
        <w:r>
          <w:tab/>
        </w:r>
        <w:r>
          <w:fldChar w:fldCharType="begin"/>
        </w:r>
        <w:r>
          <w:instrText xml:space="preserve">PAGEREF 6459 \h</w:instrText>
        </w:r>
        <w:r>
          <w:fldChar w:fldCharType="end"/>
        </w:r>
      </w:hyperlink>
    </w:p>
    <w:p>
      <w:pPr>
        <w:tabs>
          <w:tab w:val="right" w:leader="dot" w:pos="9062"/>
        </w:tabs>
        <w:ind w:left="440"/>
      </w:pPr>
      <w:hyperlink w:anchor="_Toc6460" w:history="1">
        <w:r>
          <w:rPr>
            <w:rFonts w:ascii="IRNazanin" w:hAnsi="IRNazanin" w:eastAsia="IRNazanin" w:cs="IRNazanin"/>
            <w:color w:val="111111"/>
            <w:sz w:val="22"/>
            <w:szCs w:val="22"/>
            <w:b w:val="0"/>
            <w:bCs w:val="0"/>
            <w:i w:val="0"/>
            <w:iCs w:val="0"/>
          </w:rPr>
          <w:t>5863- دیوان قصاب کاشانی‏</w:t>
        </w:r>
        <w:r>
          <w:tab/>
        </w:r>
        <w:r>
          <w:fldChar w:fldCharType="begin"/>
        </w:r>
        <w:r>
          <w:instrText xml:space="preserve">PAGEREF 6460 \h</w:instrText>
        </w:r>
        <w:r>
          <w:fldChar w:fldCharType="end"/>
        </w:r>
      </w:hyperlink>
    </w:p>
    <w:p>
      <w:pPr>
        <w:tabs>
          <w:tab w:val="right" w:leader="dot" w:pos="9062"/>
        </w:tabs>
        <w:ind w:left="440"/>
      </w:pPr>
      <w:hyperlink w:anchor="_Toc6461" w:history="1">
        <w:r>
          <w:rPr>
            <w:rFonts w:ascii="IRNazanin" w:hAnsi="IRNazanin" w:eastAsia="IRNazanin" w:cs="IRNazanin"/>
            <w:color w:val="111111"/>
            <w:sz w:val="22"/>
            <w:szCs w:val="22"/>
            <w:b w:val="0"/>
            <w:bCs w:val="0"/>
            <w:i w:val="0"/>
            <w:iCs w:val="0"/>
          </w:rPr>
          <w:t>5864- دیوان قصاب مازندرانی‏</w:t>
        </w:r>
        <w:r>
          <w:tab/>
        </w:r>
        <w:r>
          <w:fldChar w:fldCharType="begin"/>
        </w:r>
        <w:r>
          <w:instrText xml:space="preserve">PAGEREF 6461 \h</w:instrText>
        </w:r>
        <w:r>
          <w:fldChar w:fldCharType="end"/>
        </w:r>
      </w:hyperlink>
    </w:p>
    <w:p>
      <w:pPr>
        <w:tabs>
          <w:tab w:val="right" w:leader="dot" w:pos="9062"/>
        </w:tabs>
        <w:ind w:left="440"/>
      </w:pPr>
      <w:hyperlink w:anchor="_Toc6462" w:history="1">
        <w:r>
          <w:rPr>
            <w:rFonts w:ascii="IRNazanin" w:hAnsi="IRNazanin" w:eastAsia="IRNazanin" w:cs="IRNazanin"/>
            <w:color w:val="111111"/>
            <w:sz w:val="22"/>
            <w:szCs w:val="22"/>
            <w:b w:val="0"/>
            <w:bCs w:val="0"/>
            <w:i w:val="0"/>
            <w:iCs w:val="0"/>
          </w:rPr>
          <w:t>5865- دیوان قصاب یزدی‏</w:t>
        </w:r>
        <w:r>
          <w:tab/>
        </w:r>
        <w:r>
          <w:fldChar w:fldCharType="begin"/>
        </w:r>
        <w:r>
          <w:instrText xml:space="preserve">PAGEREF 6462 \h</w:instrText>
        </w:r>
        <w:r>
          <w:fldChar w:fldCharType="end"/>
        </w:r>
      </w:hyperlink>
    </w:p>
    <w:p>
      <w:pPr>
        <w:tabs>
          <w:tab w:val="right" w:leader="dot" w:pos="9062"/>
        </w:tabs>
        <w:ind w:left="440"/>
      </w:pPr>
      <w:hyperlink w:anchor="_Toc6463" w:history="1">
        <w:r>
          <w:rPr>
            <w:rFonts w:ascii="IRNazanin" w:hAnsi="IRNazanin" w:eastAsia="IRNazanin" w:cs="IRNazanin"/>
            <w:color w:val="111111"/>
            <w:sz w:val="22"/>
            <w:szCs w:val="22"/>
            <w:b w:val="0"/>
            <w:bCs w:val="0"/>
            <w:i w:val="0"/>
            <w:iCs w:val="0"/>
          </w:rPr>
          <w:t>5866- دیوان قضائی یزدی‏</w:t>
        </w:r>
        <w:r>
          <w:tab/>
        </w:r>
        <w:r>
          <w:fldChar w:fldCharType="begin"/>
        </w:r>
        <w:r>
          <w:instrText xml:space="preserve">PAGEREF 6463 \h</w:instrText>
        </w:r>
        <w:r>
          <w:fldChar w:fldCharType="end"/>
        </w:r>
      </w:hyperlink>
    </w:p>
    <w:p>
      <w:pPr>
        <w:tabs>
          <w:tab w:val="right" w:leader="dot" w:pos="9062"/>
        </w:tabs>
        <w:ind w:left="440"/>
      </w:pPr>
      <w:hyperlink w:anchor="_Toc6464" w:history="1">
        <w:r>
          <w:rPr>
            <w:rFonts w:ascii="IRNazanin" w:hAnsi="IRNazanin" w:eastAsia="IRNazanin" w:cs="IRNazanin"/>
            <w:color w:val="111111"/>
            <w:sz w:val="22"/>
            <w:szCs w:val="22"/>
            <w:b w:val="0"/>
            <w:bCs w:val="0"/>
            <w:i w:val="0"/>
            <w:iCs w:val="0"/>
          </w:rPr>
          <w:t>دیوان قطب الدین أوشی‏</w:t>
        </w:r>
        <w:r>
          <w:tab/>
        </w:r>
        <w:r>
          <w:fldChar w:fldCharType="begin"/>
        </w:r>
        <w:r>
          <w:instrText xml:space="preserve">PAGEREF 6464 \h</w:instrText>
        </w:r>
        <w:r>
          <w:fldChar w:fldCharType="end"/>
        </w:r>
      </w:hyperlink>
    </w:p>
    <w:p>
      <w:pPr>
        <w:tabs>
          <w:tab w:val="right" w:leader="dot" w:pos="9062"/>
        </w:tabs>
        <w:ind w:left="440"/>
      </w:pPr>
      <w:hyperlink w:anchor="_Toc6465" w:history="1">
        <w:r>
          <w:rPr>
            <w:rFonts w:ascii="IRNazanin" w:hAnsi="IRNazanin" w:eastAsia="IRNazanin" w:cs="IRNazanin"/>
            <w:color w:val="111111"/>
            <w:sz w:val="22"/>
            <w:szCs w:val="22"/>
            <w:b w:val="0"/>
            <w:bCs w:val="0"/>
            <w:i w:val="0"/>
            <w:iCs w:val="0"/>
          </w:rPr>
          <w:t>5867- دیوان قطب الدین أحمد</w:t>
        </w:r>
        <w:r>
          <w:tab/>
        </w:r>
        <w:r>
          <w:fldChar w:fldCharType="begin"/>
        </w:r>
        <w:r>
          <w:instrText xml:space="preserve">PAGEREF 6465 \h</w:instrText>
        </w:r>
        <w:r>
          <w:fldChar w:fldCharType="end"/>
        </w:r>
      </w:hyperlink>
    </w:p>
    <w:p>
      <w:pPr>
        <w:tabs>
          <w:tab w:val="right" w:leader="dot" w:pos="9062"/>
        </w:tabs>
        <w:ind w:left="440"/>
      </w:pPr>
      <w:hyperlink w:anchor="_Toc6466" w:history="1">
        <w:r>
          <w:rPr>
            <w:rFonts w:ascii="IRNazanin" w:hAnsi="IRNazanin" w:eastAsia="IRNazanin" w:cs="IRNazanin"/>
            <w:color w:val="111111"/>
            <w:sz w:val="22"/>
            <w:szCs w:val="22"/>
            <w:b w:val="0"/>
            <w:bCs w:val="0"/>
            <w:i w:val="0"/>
            <w:iCs w:val="0"/>
          </w:rPr>
          <w:t>دیوان مولانا قطب الدین أقصائی الأندجانی‏</w:t>
        </w:r>
        <w:r>
          <w:tab/>
        </w:r>
        <w:r>
          <w:fldChar w:fldCharType="begin"/>
        </w:r>
        <w:r>
          <w:instrText xml:space="preserve">PAGEREF 6466 \h</w:instrText>
        </w:r>
        <w:r>
          <w:fldChar w:fldCharType="end"/>
        </w:r>
      </w:hyperlink>
    </w:p>
    <w:p>
      <w:pPr>
        <w:tabs>
          <w:tab w:val="right" w:leader="dot" w:pos="9062"/>
        </w:tabs>
        <w:ind w:left="440"/>
      </w:pPr>
      <w:hyperlink w:anchor="_Toc6467" w:history="1">
        <w:r>
          <w:rPr>
            <w:rFonts w:ascii="IRNazanin" w:hAnsi="IRNazanin" w:eastAsia="IRNazanin" w:cs="IRNazanin"/>
            <w:color w:val="111111"/>
            <w:sz w:val="22"/>
            <w:szCs w:val="22"/>
            <w:b w:val="0"/>
            <w:bCs w:val="0"/>
            <w:i w:val="0"/>
            <w:iCs w:val="0"/>
          </w:rPr>
          <w:t>دیوان قطب الدین تونی‏</w:t>
        </w:r>
        <w:r>
          <w:tab/>
        </w:r>
        <w:r>
          <w:fldChar w:fldCharType="begin"/>
        </w:r>
        <w:r>
          <w:instrText xml:space="preserve">PAGEREF 6467 \h</w:instrText>
        </w:r>
        <w:r>
          <w:fldChar w:fldCharType="end"/>
        </w:r>
      </w:hyperlink>
    </w:p>
    <w:p>
      <w:pPr>
        <w:tabs>
          <w:tab w:val="right" w:leader="dot" w:pos="9062"/>
        </w:tabs>
        <w:ind w:left="440"/>
      </w:pPr>
      <w:hyperlink w:anchor="_Toc6468" w:history="1">
        <w:r>
          <w:rPr>
            <w:rFonts w:ascii="IRNazanin" w:hAnsi="IRNazanin" w:eastAsia="IRNazanin" w:cs="IRNazanin"/>
            <w:color w:val="111111"/>
            <w:sz w:val="22"/>
            <w:szCs w:val="22"/>
            <w:b w:val="0"/>
            <w:bCs w:val="0"/>
            <w:i w:val="0"/>
            <w:iCs w:val="0"/>
          </w:rPr>
          <w:t>5868- دیوان قطب الدین حیدر التونی الموسوی،</w:t>
        </w:r>
        <w:r>
          <w:tab/>
        </w:r>
        <w:r>
          <w:fldChar w:fldCharType="begin"/>
        </w:r>
        <w:r>
          <w:instrText xml:space="preserve">PAGEREF 6468 \h</w:instrText>
        </w:r>
        <w:r>
          <w:fldChar w:fldCharType="end"/>
        </w:r>
      </w:hyperlink>
    </w:p>
    <w:p>
      <w:pPr>
        <w:tabs>
          <w:tab w:val="right" w:leader="dot" w:pos="9062"/>
        </w:tabs>
        <w:ind w:left="440"/>
      </w:pPr>
      <w:hyperlink w:anchor="_Toc6469" w:history="1">
        <w:r>
          <w:rPr>
            <w:rFonts w:ascii="IRNazanin" w:hAnsi="IRNazanin" w:eastAsia="IRNazanin" w:cs="IRNazanin"/>
            <w:color w:val="111111"/>
            <w:sz w:val="22"/>
            <w:szCs w:val="22"/>
            <w:b w:val="0"/>
            <w:bCs w:val="0"/>
            <w:i w:val="0"/>
            <w:iCs w:val="0"/>
          </w:rPr>
          <w:t>5869- دیوان قطب الدین عتیقی‏</w:t>
        </w:r>
        <w:r>
          <w:tab/>
        </w:r>
        <w:r>
          <w:fldChar w:fldCharType="begin"/>
        </w:r>
        <w:r>
          <w:instrText xml:space="preserve">PAGEREF 6469 \h</w:instrText>
        </w:r>
        <w:r>
          <w:fldChar w:fldCharType="end"/>
        </w:r>
      </w:hyperlink>
    </w:p>
    <w:p>
      <w:pPr>
        <w:tabs>
          <w:tab w:val="right" w:leader="dot" w:pos="9062"/>
        </w:tabs>
        <w:ind w:left="440"/>
      </w:pPr>
      <w:hyperlink w:anchor="_Toc6470" w:history="1">
        <w:r>
          <w:rPr>
            <w:rFonts w:ascii="IRNazanin" w:hAnsi="IRNazanin" w:eastAsia="IRNazanin" w:cs="IRNazanin"/>
            <w:color w:val="111111"/>
            <w:sz w:val="22"/>
            <w:szCs w:val="22"/>
            <w:b w:val="0"/>
            <w:bCs w:val="0"/>
            <w:i w:val="0"/>
            <w:iCs w:val="0"/>
          </w:rPr>
          <w:t>5870- دیوان قطب الدین کاکی‏</w:t>
        </w:r>
        <w:r>
          <w:tab/>
        </w:r>
        <w:r>
          <w:fldChar w:fldCharType="begin"/>
        </w:r>
        <w:r>
          <w:instrText xml:space="preserve">PAGEREF 6470 \h</w:instrText>
        </w:r>
        <w:r>
          <w:fldChar w:fldCharType="end"/>
        </w:r>
      </w:hyperlink>
    </w:p>
    <w:p>
      <w:pPr>
        <w:tabs>
          <w:tab w:val="right" w:leader="dot" w:pos="9062"/>
        </w:tabs>
        <w:ind w:left="440"/>
      </w:pPr>
      <w:hyperlink w:anchor="_Toc6471" w:history="1">
        <w:r>
          <w:rPr>
            <w:rFonts w:ascii="IRNazanin" w:hAnsi="IRNazanin" w:eastAsia="IRNazanin" w:cs="IRNazanin"/>
            <w:color w:val="111111"/>
            <w:sz w:val="22"/>
            <w:szCs w:val="22"/>
            <w:b w:val="0"/>
            <w:bCs w:val="0"/>
            <w:i w:val="0"/>
            <w:iCs w:val="0"/>
          </w:rPr>
          <w:t>5871- دیوان السلطان قطب الدین محمد أو شعره‏</w:t>
        </w:r>
        <w:r>
          <w:tab/>
        </w:r>
        <w:r>
          <w:fldChar w:fldCharType="begin"/>
        </w:r>
        <w:r>
          <w:instrText xml:space="preserve">PAGEREF 6471 \h</w:instrText>
        </w:r>
        <w:r>
          <w:fldChar w:fldCharType="end"/>
        </w:r>
      </w:hyperlink>
    </w:p>
    <w:p>
      <w:pPr>
        <w:tabs>
          <w:tab w:val="right" w:leader="dot" w:pos="9062"/>
        </w:tabs>
        <w:ind w:left="440"/>
      </w:pPr>
      <w:hyperlink w:anchor="_Toc6472" w:history="1">
        <w:r>
          <w:rPr>
            <w:rFonts w:ascii="IRNazanin" w:hAnsi="IRNazanin" w:eastAsia="IRNazanin" w:cs="IRNazanin"/>
            <w:color w:val="111111"/>
            <w:sz w:val="22"/>
            <w:szCs w:val="22"/>
            <w:b w:val="0"/>
            <w:bCs w:val="0"/>
            <w:i w:val="0"/>
            <w:iCs w:val="0"/>
          </w:rPr>
          <w:t>5872- دیوان قطب ذهبی‏</w:t>
        </w:r>
        <w:r>
          <w:tab/>
        </w:r>
        <w:r>
          <w:fldChar w:fldCharType="begin"/>
        </w:r>
        <w:r>
          <w:instrText xml:space="preserve">PAGEREF 6472 \h</w:instrText>
        </w:r>
        <w:r>
          <w:fldChar w:fldCharType="end"/>
        </w:r>
      </w:hyperlink>
    </w:p>
    <w:p>
      <w:pPr>
        <w:tabs>
          <w:tab w:val="right" w:leader="dot" w:pos="9062"/>
        </w:tabs>
        <w:ind w:left="440"/>
      </w:pPr>
      <w:hyperlink w:anchor="_Toc6473" w:history="1">
        <w:r>
          <w:rPr>
            <w:rFonts w:ascii="IRNazanin" w:hAnsi="IRNazanin" w:eastAsia="IRNazanin" w:cs="IRNazanin"/>
            <w:color w:val="111111"/>
            <w:sz w:val="22"/>
            <w:szCs w:val="22"/>
            <w:b w:val="0"/>
            <w:bCs w:val="0"/>
            <w:i w:val="0"/>
            <w:iCs w:val="0"/>
          </w:rPr>
          <w:t>5873- دیوان قطب شیرازی أو شعره‏</w:t>
        </w:r>
        <w:r>
          <w:tab/>
        </w:r>
        <w:r>
          <w:fldChar w:fldCharType="begin"/>
        </w:r>
        <w:r>
          <w:instrText xml:space="preserve">PAGEREF 6473 \h</w:instrText>
        </w:r>
        <w:r>
          <w:fldChar w:fldCharType="end"/>
        </w:r>
      </w:hyperlink>
    </w:p>
    <w:p>
      <w:pPr>
        <w:tabs>
          <w:tab w:val="right" w:leader="dot" w:pos="9062"/>
        </w:tabs>
        <w:ind w:left="440"/>
      </w:pPr>
      <w:hyperlink w:anchor="_Toc6474" w:history="1">
        <w:r>
          <w:rPr>
            <w:rFonts w:ascii="IRNazanin" w:hAnsi="IRNazanin" w:eastAsia="IRNazanin" w:cs="IRNazanin"/>
            <w:color w:val="111111"/>
            <w:sz w:val="22"/>
            <w:szCs w:val="22"/>
            <w:b w:val="0"/>
            <w:bCs w:val="0"/>
            <w:i w:val="0"/>
            <w:iCs w:val="0"/>
          </w:rPr>
          <w:t>دیوان قطب مائل الدهلوی‏</w:t>
        </w:r>
        <w:r>
          <w:tab/>
        </w:r>
        <w:r>
          <w:fldChar w:fldCharType="begin"/>
        </w:r>
        <w:r>
          <w:instrText xml:space="preserve">PAGEREF 6474 \h</w:instrText>
        </w:r>
        <w:r>
          <w:fldChar w:fldCharType="end"/>
        </w:r>
      </w:hyperlink>
    </w:p>
    <w:p>
      <w:pPr>
        <w:tabs>
          <w:tab w:val="right" w:leader="dot" w:pos="9062"/>
        </w:tabs>
        <w:ind w:left="440"/>
      </w:pPr>
      <w:hyperlink w:anchor="_Toc6475" w:history="1">
        <w:r>
          <w:rPr>
            <w:rFonts w:ascii="IRNazanin" w:hAnsi="IRNazanin" w:eastAsia="IRNazanin" w:cs="IRNazanin"/>
            <w:color w:val="111111"/>
            <w:sz w:val="22"/>
            <w:szCs w:val="22"/>
            <w:b w:val="0"/>
            <w:bCs w:val="0"/>
            <w:i w:val="0"/>
            <w:iCs w:val="0"/>
          </w:rPr>
          <w:t>5874- دیوان قطب محیی‏</w:t>
        </w:r>
        <w:r>
          <w:tab/>
        </w:r>
        <w:r>
          <w:fldChar w:fldCharType="begin"/>
        </w:r>
        <w:r>
          <w:instrText xml:space="preserve">PAGEREF 6475 \h</w:instrText>
        </w:r>
        <w:r>
          <w:fldChar w:fldCharType="end"/>
        </w:r>
      </w:hyperlink>
    </w:p>
    <w:p>
      <w:pPr>
        <w:tabs>
          <w:tab w:val="right" w:leader="dot" w:pos="9062"/>
        </w:tabs>
        <w:ind w:left="440"/>
      </w:pPr>
      <w:hyperlink w:anchor="_Toc6476" w:history="1">
        <w:r>
          <w:rPr>
            <w:rFonts w:ascii="IRNazanin" w:hAnsi="IRNazanin" w:eastAsia="IRNazanin" w:cs="IRNazanin"/>
            <w:color w:val="111111"/>
            <w:sz w:val="22"/>
            <w:szCs w:val="22"/>
            <w:b w:val="0"/>
            <w:bCs w:val="0"/>
            <w:i w:val="0"/>
            <w:iCs w:val="0"/>
          </w:rPr>
          <w:t>5875- دیوان قطبی أصفهانی‏</w:t>
        </w:r>
        <w:r>
          <w:tab/>
        </w:r>
        <w:r>
          <w:fldChar w:fldCharType="begin"/>
        </w:r>
        <w:r>
          <w:instrText xml:space="preserve">PAGEREF 6476 \h</w:instrText>
        </w:r>
        <w:r>
          <w:fldChar w:fldCharType="end"/>
        </w:r>
      </w:hyperlink>
    </w:p>
    <w:p>
      <w:pPr>
        <w:tabs>
          <w:tab w:val="right" w:leader="dot" w:pos="9062"/>
        </w:tabs>
        <w:ind w:left="440"/>
      </w:pPr>
      <w:hyperlink w:anchor="_Toc6477" w:history="1">
        <w:r>
          <w:rPr>
            <w:rFonts w:ascii="IRNazanin" w:hAnsi="IRNazanin" w:eastAsia="IRNazanin" w:cs="IRNazanin"/>
            <w:color w:val="111111"/>
            <w:sz w:val="22"/>
            <w:szCs w:val="22"/>
            <w:b w:val="0"/>
            <w:bCs w:val="0"/>
            <w:i w:val="0"/>
            <w:iCs w:val="0"/>
          </w:rPr>
          <w:t>5876- دیوان قطبی تونی أو شعره‏</w:t>
        </w:r>
        <w:r>
          <w:tab/>
        </w:r>
        <w:r>
          <w:fldChar w:fldCharType="begin"/>
        </w:r>
        <w:r>
          <w:instrText xml:space="preserve">PAGEREF 6477 \h</w:instrText>
        </w:r>
        <w:r>
          <w:fldChar w:fldCharType="end"/>
        </w:r>
      </w:hyperlink>
    </w:p>
    <w:p>
      <w:pPr>
        <w:tabs>
          <w:tab w:val="right" w:leader="dot" w:pos="9062"/>
        </w:tabs>
        <w:ind w:left="440"/>
      </w:pPr>
      <w:hyperlink w:anchor="_Toc6478" w:history="1">
        <w:r>
          <w:rPr>
            <w:rFonts w:ascii="IRNazanin" w:hAnsi="IRNazanin" w:eastAsia="IRNazanin" w:cs="IRNazanin"/>
            <w:color w:val="111111"/>
            <w:sz w:val="22"/>
            <w:szCs w:val="22"/>
            <w:b w:val="0"/>
            <w:bCs w:val="0"/>
            <w:i w:val="0"/>
            <w:iCs w:val="0"/>
          </w:rPr>
          <w:t>5877- دیوان قطبی جنابذی أو شعره‏</w:t>
        </w:r>
        <w:r>
          <w:tab/>
        </w:r>
        <w:r>
          <w:fldChar w:fldCharType="begin"/>
        </w:r>
        <w:r>
          <w:instrText xml:space="preserve">PAGEREF 6478 \h</w:instrText>
        </w:r>
        <w:r>
          <w:fldChar w:fldCharType="end"/>
        </w:r>
      </w:hyperlink>
    </w:p>
    <w:p>
      <w:pPr>
        <w:tabs>
          <w:tab w:val="right" w:leader="dot" w:pos="9062"/>
        </w:tabs>
        <w:ind w:left="440"/>
      </w:pPr>
      <w:hyperlink w:anchor="_Toc6479" w:history="1">
        <w:r>
          <w:rPr>
            <w:rFonts w:ascii="IRNazanin" w:hAnsi="IRNazanin" w:eastAsia="IRNazanin" w:cs="IRNazanin"/>
            <w:color w:val="111111"/>
            <w:sz w:val="22"/>
            <w:szCs w:val="22"/>
            <w:b w:val="0"/>
            <w:bCs w:val="0"/>
            <w:i w:val="0"/>
            <w:iCs w:val="0"/>
          </w:rPr>
          <w:t>5878- دیوان قطبی أو شعره‏</w:t>
        </w:r>
        <w:r>
          <w:tab/>
        </w:r>
        <w:r>
          <w:fldChar w:fldCharType="begin"/>
        </w:r>
        <w:r>
          <w:instrText xml:space="preserve">PAGEREF 6479 \h</w:instrText>
        </w:r>
        <w:r>
          <w:fldChar w:fldCharType="end"/>
        </w:r>
      </w:hyperlink>
    </w:p>
    <w:p>
      <w:pPr>
        <w:tabs>
          <w:tab w:val="right" w:leader="dot" w:pos="9062"/>
        </w:tabs>
        <w:ind w:left="440"/>
      </w:pPr>
      <w:hyperlink w:anchor="_Toc6480" w:history="1">
        <w:r>
          <w:rPr>
            <w:rFonts w:ascii="IRNazanin" w:hAnsi="IRNazanin" w:eastAsia="IRNazanin" w:cs="IRNazanin"/>
            <w:color w:val="111111"/>
            <w:sz w:val="22"/>
            <w:szCs w:val="22"/>
            <w:b w:val="0"/>
            <w:bCs w:val="0"/>
            <w:i w:val="0"/>
            <w:iCs w:val="0"/>
          </w:rPr>
          <w:t>5879- دیوان قطران تبریزی‏</w:t>
        </w:r>
        <w:r>
          <w:tab/>
        </w:r>
        <w:r>
          <w:fldChar w:fldCharType="begin"/>
        </w:r>
        <w:r>
          <w:instrText xml:space="preserve">PAGEREF 6480 \h</w:instrText>
        </w:r>
        <w:r>
          <w:fldChar w:fldCharType="end"/>
        </w:r>
      </w:hyperlink>
    </w:p>
    <w:p>
      <w:pPr>
        <w:tabs>
          <w:tab w:val="right" w:leader="dot" w:pos="9062"/>
        </w:tabs>
        <w:ind w:left="440"/>
      </w:pPr>
      <w:hyperlink w:anchor="_Toc6481" w:history="1">
        <w:r>
          <w:rPr>
            <w:rFonts w:ascii="IRNazanin" w:hAnsi="IRNazanin" w:eastAsia="IRNazanin" w:cs="IRNazanin"/>
            <w:color w:val="111111"/>
            <w:sz w:val="22"/>
            <w:szCs w:val="22"/>
            <w:b w:val="0"/>
            <w:bCs w:val="0"/>
            <w:i w:val="0"/>
            <w:iCs w:val="0"/>
          </w:rPr>
          <w:t>دیوان قطران ترمذی أو شعره‏</w:t>
        </w:r>
        <w:r>
          <w:tab/>
        </w:r>
        <w:r>
          <w:fldChar w:fldCharType="begin"/>
        </w:r>
        <w:r>
          <w:instrText xml:space="preserve">PAGEREF 6481 \h</w:instrText>
        </w:r>
        <w:r>
          <w:fldChar w:fldCharType="end"/>
        </w:r>
      </w:hyperlink>
    </w:p>
    <w:p>
      <w:pPr>
        <w:tabs>
          <w:tab w:val="right" w:leader="dot" w:pos="9062"/>
        </w:tabs>
        <w:ind w:left="440"/>
      </w:pPr>
      <w:hyperlink w:anchor="_Toc6482" w:history="1">
        <w:r>
          <w:rPr>
            <w:rFonts w:ascii="IRNazanin" w:hAnsi="IRNazanin" w:eastAsia="IRNazanin" w:cs="IRNazanin"/>
            <w:color w:val="111111"/>
            <w:sz w:val="22"/>
            <w:szCs w:val="22"/>
            <w:b w:val="0"/>
            <w:bCs w:val="0"/>
            <w:i w:val="0"/>
            <w:iCs w:val="0"/>
          </w:rPr>
          <w:t>5880- دیوان قطرة أصفهانی‏</w:t>
        </w:r>
        <w:r>
          <w:tab/>
        </w:r>
        <w:r>
          <w:fldChar w:fldCharType="begin"/>
        </w:r>
        <w:r>
          <w:instrText xml:space="preserve">PAGEREF 6482 \h</w:instrText>
        </w:r>
        <w:r>
          <w:fldChar w:fldCharType="end"/>
        </w:r>
      </w:hyperlink>
    </w:p>
    <w:p>
      <w:pPr>
        <w:tabs>
          <w:tab w:val="right" w:leader="dot" w:pos="9062"/>
        </w:tabs>
        <w:ind w:left="440"/>
      </w:pPr>
      <w:hyperlink w:anchor="_Toc6483" w:history="1">
        <w:r>
          <w:rPr>
            <w:rFonts w:ascii="IRNazanin" w:hAnsi="IRNazanin" w:eastAsia="IRNazanin" w:cs="IRNazanin"/>
            <w:color w:val="111111"/>
            <w:sz w:val="22"/>
            <w:szCs w:val="22"/>
            <w:b w:val="0"/>
            <w:bCs w:val="0"/>
            <w:i w:val="0"/>
            <w:iCs w:val="0"/>
          </w:rPr>
          <w:t>5881- دیوان قطرة طهرانی‏</w:t>
        </w:r>
        <w:r>
          <w:tab/>
        </w:r>
        <w:r>
          <w:fldChar w:fldCharType="begin"/>
        </w:r>
        <w:r>
          <w:instrText xml:space="preserve">PAGEREF 6483 \h</w:instrText>
        </w:r>
        <w:r>
          <w:fldChar w:fldCharType="end"/>
        </w:r>
      </w:hyperlink>
    </w:p>
    <w:p>
      <w:pPr>
        <w:tabs>
          <w:tab w:val="right" w:leader="dot" w:pos="9062"/>
        </w:tabs>
        <w:ind w:left="440"/>
      </w:pPr>
      <w:hyperlink w:anchor="_Toc6484" w:history="1">
        <w:r>
          <w:rPr>
            <w:rFonts w:ascii="IRNazanin" w:hAnsi="IRNazanin" w:eastAsia="IRNazanin" w:cs="IRNazanin"/>
            <w:color w:val="111111"/>
            <w:sz w:val="22"/>
            <w:szCs w:val="22"/>
            <w:b w:val="0"/>
            <w:bCs w:val="0"/>
            <w:i w:val="0"/>
            <w:iCs w:val="0"/>
          </w:rPr>
          <w:t>5882- دیوان القطیفی‏</w:t>
        </w:r>
        <w:r>
          <w:tab/>
        </w:r>
        <w:r>
          <w:fldChar w:fldCharType="begin"/>
        </w:r>
        <w:r>
          <w:instrText xml:space="preserve">PAGEREF 6484 \h</w:instrText>
        </w:r>
        <w:r>
          <w:fldChar w:fldCharType="end"/>
        </w:r>
      </w:hyperlink>
    </w:p>
    <w:p>
      <w:pPr>
        <w:tabs>
          <w:tab w:val="right" w:leader="dot" w:pos="9062"/>
        </w:tabs>
        <w:ind w:left="440"/>
      </w:pPr>
      <w:hyperlink w:anchor="_Toc6485" w:history="1">
        <w:r>
          <w:rPr>
            <w:rFonts w:ascii="IRNazanin" w:hAnsi="IRNazanin" w:eastAsia="IRNazanin" w:cs="IRNazanin"/>
            <w:color w:val="111111"/>
            <w:sz w:val="22"/>
            <w:szCs w:val="22"/>
            <w:b w:val="0"/>
            <w:bCs w:val="0"/>
            <w:i w:val="0"/>
            <w:iCs w:val="0"/>
          </w:rPr>
          <w:t>دیوان القفطان‏</w:t>
        </w:r>
        <w:r>
          <w:tab/>
        </w:r>
        <w:r>
          <w:fldChar w:fldCharType="begin"/>
        </w:r>
        <w:r>
          <w:instrText xml:space="preserve">PAGEREF 6485 \h</w:instrText>
        </w:r>
        <w:r>
          <w:fldChar w:fldCharType="end"/>
        </w:r>
      </w:hyperlink>
    </w:p>
    <w:p>
      <w:pPr>
        <w:tabs>
          <w:tab w:val="right" w:leader="dot" w:pos="9062"/>
        </w:tabs>
        <w:ind w:left="440"/>
      </w:pPr>
      <w:hyperlink w:anchor="_Toc6486" w:history="1">
        <w:r>
          <w:rPr>
            <w:rFonts w:ascii="IRNazanin" w:hAnsi="IRNazanin" w:eastAsia="IRNazanin" w:cs="IRNazanin"/>
            <w:color w:val="111111"/>
            <w:sz w:val="22"/>
            <w:szCs w:val="22"/>
            <w:b w:val="0"/>
            <w:bCs w:val="0"/>
            <w:i w:val="0"/>
            <w:iCs w:val="0"/>
          </w:rPr>
          <w:t>5883- دیوان القفطان‏</w:t>
        </w:r>
        <w:r>
          <w:tab/>
        </w:r>
        <w:r>
          <w:fldChar w:fldCharType="begin"/>
        </w:r>
        <w:r>
          <w:instrText xml:space="preserve">PAGEREF 6486 \h</w:instrText>
        </w:r>
        <w:r>
          <w:fldChar w:fldCharType="end"/>
        </w:r>
      </w:hyperlink>
    </w:p>
    <w:p>
      <w:pPr>
        <w:tabs>
          <w:tab w:val="right" w:leader="dot" w:pos="9062"/>
        </w:tabs>
        <w:ind w:left="440"/>
      </w:pPr>
      <w:hyperlink w:anchor="_Toc6487" w:history="1">
        <w:r>
          <w:rPr>
            <w:rFonts w:ascii="IRNazanin" w:hAnsi="IRNazanin" w:eastAsia="IRNazanin" w:cs="IRNazanin"/>
            <w:color w:val="111111"/>
            <w:sz w:val="22"/>
            <w:szCs w:val="22"/>
            <w:b w:val="0"/>
            <w:bCs w:val="0"/>
            <w:i w:val="0"/>
            <w:iCs w:val="0"/>
          </w:rPr>
          <w:t>5884- دیوان قلاشی أو شعره‏</w:t>
        </w:r>
        <w:r>
          <w:tab/>
        </w:r>
        <w:r>
          <w:fldChar w:fldCharType="begin"/>
        </w:r>
        <w:r>
          <w:instrText xml:space="preserve">PAGEREF 6487 \h</w:instrText>
        </w:r>
        <w:r>
          <w:fldChar w:fldCharType="end"/>
        </w:r>
      </w:hyperlink>
    </w:p>
    <w:p>
      <w:pPr>
        <w:tabs>
          <w:tab w:val="right" w:leader="dot" w:pos="9062"/>
        </w:tabs>
        <w:ind w:left="440"/>
      </w:pPr>
      <w:hyperlink w:anchor="_Toc6488" w:history="1">
        <w:r>
          <w:rPr>
            <w:rFonts w:ascii="IRNazanin" w:hAnsi="IRNazanin" w:eastAsia="IRNazanin" w:cs="IRNazanin"/>
            <w:color w:val="111111"/>
            <w:sz w:val="22"/>
            <w:szCs w:val="22"/>
            <w:b w:val="0"/>
            <w:bCs w:val="0"/>
            <w:i w:val="0"/>
            <w:iCs w:val="0"/>
          </w:rPr>
          <w:t>5885- دیوان قلزم أصفهانی‏</w:t>
        </w:r>
        <w:r>
          <w:tab/>
        </w:r>
        <w:r>
          <w:fldChar w:fldCharType="begin"/>
        </w:r>
        <w:r>
          <w:instrText xml:space="preserve">PAGEREF 6488 \h</w:instrText>
        </w:r>
        <w:r>
          <w:fldChar w:fldCharType="end"/>
        </w:r>
      </w:hyperlink>
    </w:p>
    <w:p>
      <w:pPr>
        <w:tabs>
          <w:tab w:val="right" w:leader="dot" w:pos="9062"/>
        </w:tabs>
        <w:ind w:left="440"/>
      </w:pPr>
      <w:hyperlink w:anchor="_Toc6489" w:history="1">
        <w:r>
          <w:rPr>
            <w:rFonts w:ascii="IRNazanin" w:hAnsi="IRNazanin" w:eastAsia="IRNazanin" w:cs="IRNazanin"/>
            <w:color w:val="111111"/>
            <w:sz w:val="22"/>
            <w:szCs w:val="22"/>
            <w:b w:val="0"/>
            <w:bCs w:val="0"/>
            <w:i w:val="0"/>
            <w:iCs w:val="0"/>
          </w:rPr>
          <w:t>5886- دیوان قلزم سامانی أو شعره‏</w:t>
        </w:r>
        <w:r>
          <w:tab/>
        </w:r>
        <w:r>
          <w:fldChar w:fldCharType="begin"/>
        </w:r>
        <w:r>
          <w:instrText xml:space="preserve">PAGEREF 6489 \h</w:instrText>
        </w:r>
        <w:r>
          <w:fldChar w:fldCharType="end"/>
        </w:r>
      </w:hyperlink>
    </w:p>
    <w:p>
      <w:pPr>
        <w:tabs>
          <w:tab w:val="right" w:leader="dot" w:pos="9062"/>
        </w:tabs>
        <w:ind w:left="440"/>
      </w:pPr>
      <w:hyperlink w:anchor="_Toc6490" w:history="1">
        <w:r>
          <w:rPr>
            <w:rFonts w:ascii="IRNazanin" w:hAnsi="IRNazanin" w:eastAsia="IRNazanin" w:cs="IRNazanin"/>
            <w:color w:val="111111"/>
            <w:sz w:val="22"/>
            <w:szCs w:val="22"/>
            <w:b w:val="0"/>
            <w:bCs w:val="0"/>
            <w:i w:val="0"/>
            <w:iCs w:val="0"/>
          </w:rPr>
          <w:t>5887- دیوان قلزم یزدی‏</w:t>
        </w:r>
        <w:r>
          <w:tab/>
        </w:r>
        <w:r>
          <w:fldChar w:fldCharType="begin"/>
        </w:r>
        <w:r>
          <w:instrText xml:space="preserve">PAGEREF 6490 \h</w:instrText>
        </w:r>
        <w:r>
          <w:fldChar w:fldCharType="end"/>
        </w:r>
      </w:hyperlink>
    </w:p>
    <w:p>
      <w:pPr>
        <w:tabs>
          <w:tab w:val="right" w:leader="dot" w:pos="9062"/>
        </w:tabs>
        <w:ind w:left="440"/>
      </w:pPr>
      <w:hyperlink w:anchor="_Toc6491" w:history="1">
        <w:r>
          <w:rPr>
            <w:rFonts w:ascii="IRNazanin" w:hAnsi="IRNazanin" w:eastAsia="IRNazanin" w:cs="IRNazanin"/>
            <w:color w:val="111111"/>
            <w:sz w:val="22"/>
            <w:szCs w:val="22"/>
            <w:b w:val="0"/>
            <w:bCs w:val="0"/>
            <w:i w:val="0"/>
            <w:iCs w:val="0"/>
          </w:rPr>
          <w:t>5888- دیوان قل محمد شبرغانی أو شعره‏</w:t>
        </w:r>
        <w:r>
          <w:tab/>
        </w:r>
        <w:r>
          <w:fldChar w:fldCharType="begin"/>
        </w:r>
        <w:r>
          <w:instrText xml:space="preserve">PAGEREF 6491 \h</w:instrText>
        </w:r>
        <w:r>
          <w:fldChar w:fldCharType="end"/>
        </w:r>
      </w:hyperlink>
    </w:p>
    <w:p>
      <w:pPr>
        <w:tabs>
          <w:tab w:val="right" w:leader="dot" w:pos="9062"/>
        </w:tabs>
        <w:ind w:left="440"/>
      </w:pPr>
      <w:hyperlink w:anchor="_Toc6492" w:history="1">
        <w:r>
          <w:rPr>
            <w:rFonts w:ascii="IRNazanin" w:hAnsi="IRNazanin" w:eastAsia="IRNazanin" w:cs="IRNazanin"/>
            <w:color w:val="111111"/>
            <w:sz w:val="22"/>
            <w:szCs w:val="22"/>
            <w:b w:val="0"/>
            <w:bCs w:val="0"/>
            <w:i w:val="0"/>
            <w:iCs w:val="0"/>
          </w:rPr>
          <w:t>5889- دیوان قلندر أو شعره‏</w:t>
        </w:r>
        <w:r>
          <w:tab/>
        </w:r>
        <w:r>
          <w:fldChar w:fldCharType="begin"/>
        </w:r>
        <w:r>
          <w:instrText xml:space="preserve">PAGEREF 6492 \h</w:instrText>
        </w:r>
        <w:r>
          <w:fldChar w:fldCharType="end"/>
        </w:r>
      </w:hyperlink>
    </w:p>
    <w:p>
      <w:pPr>
        <w:tabs>
          <w:tab w:val="right" w:leader="dot" w:pos="9062"/>
        </w:tabs>
        <w:ind w:left="440"/>
      </w:pPr>
      <w:hyperlink w:anchor="_Toc6493" w:history="1">
        <w:r>
          <w:rPr>
            <w:rFonts w:ascii="IRNazanin" w:hAnsi="IRNazanin" w:eastAsia="IRNazanin" w:cs="IRNazanin"/>
            <w:color w:val="111111"/>
            <w:sz w:val="22"/>
            <w:szCs w:val="22"/>
            <w:b w:val="0"/>
            <w:bCs w:val="0"/>
            <w:i w:val="0"/>
            <w:iCs w:val="0"/>
          </w:rPr>
          <w:t>دیوان قلندر أصفهانی‏</w:t>
        </w:r>
        <w:r>
          <w:tab/>
        </w:r>
        <w:r>
          <w:fldChar w:fldCharType="begin"/>
        </w:r>
        <w:r>
          <w:instrText xml:space="preserve">PAGEREF 6493 \h</w:instrText>
        </w:r>
        <w:r>
          <w:fldChar w:fldCharType="end"/>
        </w:r>
      </w:hyperlink>
    </w:p>
    <w:p>
      <w:pPr>
        <w:tabs>
          <w:tab w:val="right" w:leader="dot" w:pos="9062"/>
        </w:tabs>
        <w:ind w:left="440"/>
      </w:pPr>
      <w:hyperlink w:anchor="_Toc6494" w:history="1">
        <w:r>
          <w:rPr>
            <w:rFonts w:ascii="IRNazanin" w:hAnsi="IRNazanin" w:eastAsia="IRNazanin" w:cs="IRNazanin"/>
            <w:color w:val="111111"/>
            <w:sz w:val="22"/>
            <w:szCs w:val="22"/>
            <w:b w:val="0"/>
            <w:bCs w:val="0"/>
            <w:i w:val="0"/>
            <w:iCs w:val="0"/>
          </w:rPr>
          <w:t>5890- دیوان قلندر خراسانی أو شعره‏</w:t>
        </w:r>
        <w:r>
          <w:tab/>
        </w:r>
        <w:r>
          <w:fldChar w:fldCharType="begin"/>
        </w:r>
        <w:r>
          <w:instrText xml:space="preserve">PAGEREF 6494 \h</w:instrText>
        </w:r>
        <w:r>
          <w:fldChar w:fldCharType="end"/>
        </w:r>
      </w:hyperlink>
    </w:p>
    <w:p>
      <w:pPr>
        <w:tabs>
          <w:tab w:val="right" w:leader="dot" w:pos="9062"/>
        </w:tabs>
        <w:ind w:left="440"/>
      </w:pPr>
      <w:hyperlink w:anchor="_Toc6495" w:history="1">
        <w:r>
          <w:rPr>
            <w:rFonts w:ascii="IRNazanin" w:hAnsi="IRNazanin" w:eastAsia="IRNazanin" w:cs="IRNazanin"/>
            <w:color w:val="111111"/>
            <w:sz w:val="22"/>
            <w:szCs w:val="22"/>
            <w:b w:val="0"/>
            <w:bCs w:val="0"/>
            <w:i w:val="0"/>
            <w:iCs w:val="0"/>
          </w:rPr>
          <w:t>5891- دیوان قلندر سمرقندی أو شعره‏</w:t>
        </w:r>
        <w:r>
          <w:tab/>
        </w:r>
        <w:r>
          <w:fldChar w:fldCharType="begin"/>
        </w:r>
        <w:r>
          <w:instrText xml:space="preserve">PAGEREF 6495 \h</w:instrText>
        </w:r>
        <w:r>
          <w:fldChar w:fldCharType="end"/>
        </w:r>
      </w:hyperlink>
    </w:p>
    <w:p>
      <w:pPr>
        <w:tabs>
          <w:tab w:val="right" w:leader="dot" w:pos="9062"/>
        </w:tabs>
        <w:ind w:left="440"/>
      </w:pPr>
      <w:hyperlink w:anchor="_Toc6496" w:history="1">
        <w:r>
          <w:rPr>
            <w:rFonts w:ascii="IRNazanin" w:hAnsi="IRNazanin" w:eastAsia="IRNazanin" w:cs="IRNazanin"/>
            <w:color w:val="111111"/>
            <w:sz w:val="22"/>
            <w:szCs w:val="22"/>
            <w:b w:val="0"/>
            <w:bCs w:val="0"/>
            <w:i w:val="0"/>
            <w:iCs w:val="0"/>
          </w:rPr>
          <w:t>دیوان قلندر شیرازی‏</w:t>
        </w:r>
        <w:r>
          <w:tab/>
        </w:r>
        <w:r>
          <w:fldChar w:fldCharType="begin"/>
        </w:r>
        <w:r>
          <w:instrText xml:space="preserve">PAGEREF 6496 \h</w:instrText>
        </w:r>
        <w:r>
          <w:fldChar w:fldCharType="end"/>
        </w:r>
      </w:hyperlink>
    </w:p>
    <w:p>
      <w:pPr>
        <w:tabs>
          <w:tab w:val="right" w:leader="dot" w:pos="9062"/>
        </w:tabs>
        <w:ind w:left="440"/>
      </w:pPr>
      <w:hyperlink w:anchor="_Toc6497" w:history="1">
        <w:r>
          <w:rPr>
            <w:rFonts w:ascii="IRNazanin" w:hAnsi="IRNazanin" w:eastAsia="IRNazanin" w:cs="IRNazanin"/>
            <w:color w:val="111111"/>
            <w:sz w:val="22"/>
            <w:szCs w:val="22"/>
            <w:b w:val="0"/>
            <w:bCs w:val="0"/>
            <w:i w:val="0"/>
            <w:iCs w:val="0"/>
          </w:rPr>
          <w:t>دیوان قلندر عراقی‏</w:t>
        </w:r>
        <w:r>
          <w:tab/>
        </w:r>
        <w:r>
          <w:fldChar w:fldCharType="begin"/>
        </w:r>
        <w:r>
          <w:instrText xml:space="preserve">PAGEREF 6497 \h</w:instrText>
        </w:r>
        <w:r>
          <w:fldChar w:fldCharType="end"/>
        </w:r>
      </w:hyperlink>
    </w:p>
    <w:p>
      <w:pPr>
        <w:tabs>
          <w:tab w:val="right" w:leader="dot" w:pos="9062"/>
        </w:tabs>
        <w:ind w:left="440"/>
      </w:pPr>
      <w:hyperlink w:anchor="_Toc6498" w:history="1">
        <w:r>
          <w:rPr>
            <w:rFonts w:ascii="IRNazanin" w:hAnsi="IRNazanin" w:eastAsia="IRNazanin" w:cs="IRNazanin"/>
            <w:color w:val="111111"/>
            <w:sz w:val="22"/>
            <w:szCs w:val="22"/>
            <w:b w:val="0"/>
            <w:bCs w:val="0"/>
            <w:i w:val="0"/>
            <w:iCs w:val="0"/>
          </w:rPr>
          <w:t>5892- دیوان قلندر کرمانی أو شعره‏</w:t>
        </w:r>
        <w:r>
          <w:tab/>
        </w:r>
        <w:r>
          <w:fldChar w:fldCharType="begin"/>
        </w:r>
        <w:r>
          <w:instrText xml:space="preserve">PAGEREF 6498 \h</w:instrText>
        </w:r>
        <w:r>
          <w:fldChar w:fldCharType="end"/>
        </w:r>
      </w:hyperlink>
    </w:p>
    <w:p>
      <w:pPr>
        <w:tabs>
          <w:tab w:val="right" w:leader="dot" w:pos="9062"/>
        </w:tabs>
        <w:ind w:left="440"/>
      </w:pPr>
      <w:hyperlink w:anchor="_Toc6499" w:history="1">
        <w:r>
          <w:rPr>
            <w:rFonts w:ascii="IRNazanin" w:hAnsi="IRNazanin" w:eastAsia="IRNazanin" w:cs="IRNazanin"/>
            <w:color w:val="111111"/>
            <w:sz w:val="22"/>
            <w:szCs w:val="22"/>
            <w:b w:val="0"/>
            <w:bCs w:val="0"/>
            <w:i w:val="0"/>
            <w:iCs w:val="0"/>
          </w:rPr>
          <w:t>5893- دیوان قلی بخاری أو شعره‏</w:t>
        </w:r>
        <w:r>
          <w:tab/>
        </w:r>
        <w:r>
          <w:fldChar w:fldCharType="begin"/>
        </w:r>
        <w:r>
          <w:instrText xml:space="preserve">PAGEREF 6499 \h</w:instrText>
        </w:r>
        <w:r>
          <w:fldChar w:fldCharType="end"/>
        </w:r>
      </w:hyperlink>
    </w:p>
    <w:p>
      <w:pPr>
        <w:tabs>
          <w:tab w:val="right" w:leader="dot" w:pos="9062"/>
        </w:tabs>
        <w:ind w:left="440"/>
      </w:pPr>
      <w:hyperlink w:anchor="_Toc6500" w:history="1">
        <w:r>
          <w:rPr>
            <w:rFonts w:ascii="IRNazanin" w:hAnsi="IRNazanin" w:eastAsia="IRNazanin" w:cs="IRNazanin"/>
            <w:color w:val="111111"/>
            <w:sz w:val="22"/>
            <w:szCs w:val="22"/>
            <w:b w:val="0"/>
            <w:bCs w:val="0"/>
            <w:i w:val="0"/>
            <w:iCs w:val="0"/>
          </w:rPr>
          <w:t>5894- دیوان قلیج أرسلان أو شعره‏</w:t>
        </w:r>
        <w:r>
          <w:tab/>
        </w:r>
        <w:r>
          <w:fldChar w:fldCharType="begin"/>
        </w:r>
        <w:r>
          <w:instrText xml:space="preserve">PAGEREF 6500 \h</w:instrText>
        </w:r>
        <w:r>
          <w:fldChar w:fldCharType="end"/>
        </w:r>
      </w:hyperlink>
    </w:p>
    <w:p>
      <w:pPr>
        <w:tabs>
          <w:tab w:val="right" w:leader="dot" w:pos="9062"/>
        </w:tabs>
        <w:ind w:left="440"/>
      </w:pPr>
      <w:hyperlink w:anchor="_Toc6501" w:history="1">
        <w:r>
          <w:rPr>
            <w:rFonts w:ascii="IRNazanin" w:hAnsi="IRNazanin" w:eastAsia="IRNazanin" w:cs="IRNazanin"/>
            <w:color w:val="111111"/>
            <w:sz w:val="22"/>
            <w:szCs w:val="22"/>
            <w:b w:val="0"/>
            <w:bCs w:val="0"/>
            <w:i w:val="0"/>
            <w:iCs w:val="0"/>
          </w:rPr>
          <w:t>5895- دیوان قلیج بیک بغدادی أو شعره‏</w:t>
        </w:r>
        <w:r>
          <w:tab/>
        </w:r>
        <w:r>
          <w:fldChar w:fldCharType="begin"/>
        </w:r>
        <w:r>
          <w:instrText xml:space="preserve">PAGEREF 6501 \h</w:instrText>
        </w:r>
        <w:r>
          <w:fldChar w:fldCharType="end"/>
        </w:r>
      </w:hyperlink>
    </w:p>
    <w:p>
      <w:pPr>
        <w:tabs>
          <w:tab w:val="right" w:leader="dot" w:pos="9062"/>
        </w:tabs>
        <w:ind w:left="440"/>
      </w:pPr>
      <w:hyperlink w:anchor="_Toc6502" w:history="1">
        <w:r>
          <w:rPr>
            <w:rFonts w:ascii="IRNazanin" w:hAnsi="IRNazanin" w:eastAsia="IRNazanin" w:cs="IRNazanin"/>
            <w:color w:val="111111"/>
            <w:sz w:val="22"/>
            <w:szCs w:val="22"/>
            <w:b w:val="0"/>
            <w:bCs w:val="0"/>
            <w:i w:val="0"/>
            <w:iCs w:val="0"/>
          </w:rPr>
          <w:t>5896- دیوان قمر الدین أو شعره‏</w:t>
        </w:r>
        <w:r>
          <w:tab/>
        </w:r>
        <w:r>
          <w:fldChar w:fldCharType="begin"/>
        </w:r>
        <w:r>
          <w:instrText xml:space="preserve">PAGEREF 6502 \h</w:instrText>
        </w:r>
        <w:r>
          <w:fldChar w:fldCharType="end"/>
        </w:r>
      </w:hyperlink>
    </w:p>
    <w:p>
      <w:pPr>
        <w:tabs>
          <w:tab w:val="right" w:leader="dot" w:pos="9062"/>
        </w:tabs>
        <w:ind w:left="440"/>
      </w:pPr>
      <w:hyperlink w:anchor="_Toc6503" w:history="1">
        <w:r>
          <w:rPr>
            <w:rFonts w:ascii="IRNazanin" w:hAnsi="IRNazanin" w:eastAsia="IRNazanin" w:cs="IRNazanin"/>
            <w:color w:val="111111"/>
            <w:sz w:val="22"/>
            <w:szCs w:val="22"/>
            <w:b w:val="0"/>
            <w:bCs w:val="0"/>
            <w:i w:val="0"/>
            <w:iCs w:val="0"/>
          </w:rPr>
          <w:t>5897- دیوان قمر السلطنة أو شعرها</w:t>
        </w:r>
        <w:r>
          <w:tab/>
        </w:r>
        <w:r>
          <w:fldChar w:fldCharType="begin"/>
        </w:r>
        <w:r>
          <w:instrText xml:space="preserve">PAGEREF 6503 \h</w:instrText>
        </w:r>
        <w:r>
          <w:fldChar w:fldCharType="end"/>
        </w:r>
      </w:hyperlink>
    </w:p>
    <w:p>
      <w:pPr>
        <w:tabs>
          <w:tab w:val="right" w:leader="dot" w:pos="9062"/>
        </w:tabs>
        <w:ind w:left="440"/>
      </w:pPr>
      <w:hyperlink w:anchor="_Toc6504" w:history="1">
        <w:r>
          <w:rPr>
            <w:rFonts w:ascii="IRNazanin" w:hAnsi="IRNazanin" w:eastAsia="IRNazanin" w:cs="IRNazanin"/>
            <w:color w:val="111111"/>
            <w:sz w:val="22"/>
            <w:szCs w:val="22"/>
            <w:b w:val="0"/>
            <w:bCs w:val="0"/>
            <w:i w:val="0"/>
            <w:iCs w:val="0"/>
          </w:rPr>
          <w:t>5898- دیوان قمر کاکوروی أو شعره‏</w:t>
        </w:r>
        <w:r>
          <w:tab/>
        </w:r>
        <w:r>
          <w:fldChar w:fldCharType="begin"/>
        </w:r>
        <w:r>
          <w:instrText xml:space="preserve">PAGEREF 6504 \h</w:instrText>
        </w:r>
        <w:r>
          <w:fldChar w:fldCharType="end"/>
        </w:r>
      </w:hyperlink>
    </w:p>
    <w:p>
      <w:pPr>
        <w:tabs>
          <w:tab w:val="right" w:leader="dot" w:pos="9062"/>
        </w:tabs>
        <w:ind w:left="440"/>
      </w:pPr>
      <w:hyperlink w:anchor="_Toc6505" w:history="1">
        <w:r>
          <w:rPr>
            <w:rFonts w:ascii="IRNazanin" w:hAnsi="IRNazanin" w:eastAsia="IRNazanin" w:cs="IRNazanin"/>
            <w:color w:val="111111"/>
            <w:sz w:val="22"/>
            <w:szCs w:val="22"/>
            <w:b w:val="0"/>
            <w:bCs w:val="0"/>
            <w:i w:val="0"/>
            <w:iCs w:val="0"/>
          </w:rPr>
          <w:t>5899- دیوان قمری‏</w:t>
        </w:r>
        <w:r>
          <w:tab/>
        </w:r>
        <w:r>
          <w:fldChar w:fldCharType="begin"/>
        </w:r>
        <w:r>
          <w:instrText xml:space="preserve">PAGEREF 6505 \h</w:instrText>
        </w:r>
        <w:r>
          <w:fldChar w:fldCharType="end"/>
        </w:r>
      </w:hyperlink>
    </w:p>
    <w:p>
      <w:pPr>
        <w:tabs>
          <w:tab w:val="right" w:leader="dot" w:pos="9062"/>
        </w:tabs>
        <w:ind w:left="440"/>
      </w:pPr>
      <w:hyperlink w:anchor="_Toc6506" w:history="1">
        <w:r>
          <w:rPr>
            <w:rFonts w:ascii="IRNazanin" w:hAnsi="IRNazanin" w:eastAsia="IRNazanin" w:cs="IRNazanin"/>
            <w:color w:val="111111"/>
            <w:sz w:val="22"/>
            <w:szCs w:val="22"/>
            <w:b w:val="0"/>
            <w:bCs w:val="0"/>
            <w:i w:val="0"/>
            <w:iCs w:val="0"/>
          </w:rPr>
          <w:t>5900- دیوان قمری آملی‏</w:t>
        </w:r>
        <w:r>
          <w:tab/>
        </w:r>
        <w:r>
          <w:fldChar w:fldCharType="begin"/>
        </w:r>
        <w:r>
          <w:instrText xml:space="preserve">PAGEREF 6506 \h</w:instrText>
        </w:r>
        <w:r>
          <w:fldChar w:fldCharType="end"/>
        </w:r>
      </w:hyperlink>
    </w:p>
    <w:p>
      <w:pPr>
        <w:tabs>
          <w:tab w:val="right" w:leader="dot" w:pos="9062"/>
        </w:tabs>
        <w:ind w:left="440"/>
      </w:pPr>
      <w:hyperlink w:anchor="_Toc6507" w:history="1">
        <w:r>
          <w:rPr>
            <w:rFonts w:ascii="IRNazanin" w:hAnsi="IRNazanin" w:eastAsia="IRNazanin" w:cs="IRNazanin"/>
            <w:color w:val="111111"/>
            <w:sz w:val="22"/>
            <w:szCs w:val="22"/>
            <w:b w:val="0"/>
            <w:bCs w:val="0"/>
            <w:i w:val="0"/>
            <w:iCs w:val="0"/>
          </w:rPr>
          <w:t>دیوان قمری جرجانی‏</w:t>
        </w:r>
        <w:r>
          <w:tab/>
        </w:r>
        <w:r>
          <w:fldChar w:fldCharType="begin"/>
        </w:r>
        <w:r>
          <w:instrText xml:space="preserve">PAGEREF 6507 \h</w:instrText>
        </w:r>
        <w:r>
          <w:fldChar w:fldCharType="end"/>
        </w:r>
      </w:hyperlink>
    </w:p>
    <w:p>
      <w:pPr>
        <w:tabs>
          <w:tab w:val="right" w:leader="dot" w:pos="9062"/>
        </w:tabs>
        <w:ind w:left="440"/>
      </w:pPr>
      <w:hyperlink w:anchor="_Toc6508" w:history="1">
        <w:r>
          <w:rPr>
            <w:rFonts w:ascii="IRNazanin" w:hAnsi="IRNazanin" w:eastAsia="IRNazanin" w:cs="IRNazanin"/>
            <w:color w:val="111111"/>
            <w:sz w:val="22"/>
            <w:szCs w:val="22"/>
            <w:b w:val="0"/>
            <w:bCs w:val="0"/>
            <w:i w:val="0"/>
            <w:iCs w:val="0"/>
          </w:rPr>
          <w:t>5901- دیوان قمری خراسانی أو شعره‏</w:t>
        </w:r>
        <w:r>
          <w:tab/>
        </w:r>
        <w:r>
          <w:fldChar w:fldCharType="begin"/>
        </w:r>
        <w:r>
          <w:instrText xml:space="preserve">PAGEREF 6508 \h</w:instrText>
        </w:r>
        <w:r>
          <w:fldChar w:fldCharType="end"/>
        </w:r>
      </w:hyperlink>
    </w:p>
    <w:p>
      <w:pPr>
        <w:tabs>
          <w:tab w:val="right" w:leader="dot" w:pos="9062"/>
        </w:tabs>
        <w:ind w:left="440"/>
      </w:pPr>
      <w:hyperlink w:anchor="_Toc6509" w:history="1">
        <w:r>
          <w:rPr>
            <w:rFonts w:ascii="IRNazanin" w:hAnsi="IRNazanin" w:eastAsia="IRNazanin" w:cs="IRNazanin"/>
            <w:color w:val="111111"/>
            <w:sz w:val="22"/>
            <w:szCs w:val="22"/>
            <w:b w:val="0"/>
            <w:bCs w:val="0"/>
            <w:i w:val="0"/>
            <w:iCs w:val="0"/>
          </w:rPr>
          <w:t>5902- دیوان قمری دربندی‏</w:t>
        </w:r>
        <w:r>
          <w:tab/>
        </w:r>
        <w:r>
          <w:fldChar w:fldCharType="begin"/>
        </w:r>
        <w:r>
          <w:instrText xml:space="preserve">PAGEREF 6509 \h</w:instrText>
        </w:r>
        <w:r>
          <w:fldChar w:fldCharType="end"/>
        </w:r>
      </w:hyperlink>
    </w:p>
    <w:p>
      <w:pPr>
        <w:tabs>
          <w:tab w:val="right" w:leader="dot" w:pos="9062"/>
        </w:tabs>
        <w:ind w:left="440"/>
      </w:pPr>
      <w:hyperlink w:anchor="_Toc6510" w:history="1">
        <w:r>
          <w:rPr>
            <w:rFonts w:ascii="IRNazanin" w:hAnsi="IRNazanin" w:eastAsia="IRNazanin" w:cs="IRNazanin"/>
            <w:color w:val="111111"/>
            <w:sz w:val="22"/>
            <w:szCs w:val="22"/>
            <w:b w:val="0"/>
            <w:bCs w:val="0"/>
            <w:i w:val="0"/>
            <w:iCs w:val="0"/>
          </w:rPr>
          <w:t>5903- دیوان قمری مازندرانی أو شعره‏</w:t>
        </w:r>
        <w:r>
          <w:tab/>
        </w:r>
        <w:r>
          <w:fldChar w:fldCharType="begin"/>
        </w:r>
        <w:r>
          <w:instrText xml:space="preserve">PAGEREF 6510 \h</w:instrText>
        </w:r>
        <w:r>
          <w:fldChar w:fldCharType="end"/>
        </w:r>
      </w:hyperlink>
    </w:p>
    <w:p>
      <w:pPr>
        <w:tabs>
          <w:tab w:val="right" w:leader="dot" w:pos="9062"/>
        </w:tabs>
        <w:ind w:left="440"/>
      </w:pPr>
      <w:hyperlink w:anchor="_Toc6511" w:history="1">
        <w:r>
          <w:rPr>
            <w:rFonts w:ascii="IRNazanin" w:hAnsi="IRNazanin" w:eastAsia="IRNazanin" w:cs="IRNazanin"/>
            <w:color w:val="111111"/>
            <w:sz w:val="22"/>
            <w:szCs w:val="22"/>
            <w:b w:val="0"/>
            <w:bCs w:val="0"/>
            <w:i w:val="0"/>
            <w:iCs w:val="0"/>
          </w:rPr>
          <w:t>دیوان قمی‏</w:t>
        </w:r>
        <w:r>
          <w:tab/>
        </w:r>
        <w:r>
          <w:fldChar w:fldCharType="begin"/>
        </w:r>
        <w:r>
          <w:instrText xml:space="preserve">PAGEREF 6511 \h</w:instrText>
        </w:r>
        <w:r>
          <w:fldChar w:fldCharType="end"/>
        </w:r>
      </w:hyperlink>
    </w:p>
    <w:p>
      <w:pPr>
        <w:tabs>
          <w:tab w:val="right" w:leader="dot" w:pos="9062"/>
        </w:tabs>
        <w:ind w:left="440"/>
      </w:pPr>
      <w:hyperlink w:anchor="_Toc6512" w:history="1">
        <w:r>
          <w:rPr>
            <w:rFonts w:ascii="IRNazanin" w:hAnsi="IRNazanin" w:eastAsia="IRNazanin" w:cs="IRNazanin"/>
            <w:color w:val="111111"/>
            <w:sz w:val="22"/>
            <w:szCs w:val="22"/>
            <w:b w:val="0"/>
            <w:bCs w:val="0"/>
            <w:i w:val="0"/>
            <w:iCs w:val="0"/>
          </w:rPr>
          <w:t>5904- دیوان قمی أفشار أو شعره‏</w:t>
        </w:r>
        <w:r>
          <w:tab/>
        </w:r>
        <w:r>
          <w:fldChar w:fldCharType="begin"/>
        </w:r>
        <w:r>
          <w:instrText xml:space="preserve">PAGEREF 6512 \h</w:instrText>
        </w:r>
        <w:r>
          <w:fldChar w:fldCharType="end"/>
        </w:r>
      </w:hyperlink>
    </w:p>
    <w:p>
      <w:pPr>
        <w:tabs>
          <w:tab w:val="right" w:leader="dot" w:pos="9062"/>
        </w:tabs>
        <w:ind w:left="440"/>
      </w:pPr>
      <w:hyperlink w:anchor="_Toc6513" w:history="1">
        <w:r>
          <w:rPr>
            <w:rFonts w:ascii="IRNazanin" w:hAnsi="IRNazanin" w:eastAsia="IRNazanin" w:cs="IRNazanin"/>
            <w:color w:val="111111"/>
            <w:sz w:val="22"/>
            <w:szCs w:val="22"/>
            <w:b w:val="0"/>
            <w:bCs w:val="0"/>
            <w:i w:val="0"/>
            <w:iCs w:val="0"/>
          </w:rPr>
          <w:t>5905- دیوان قنبری رازی أو شعره‏</w:t>
        </w:r>
        <w:r>
          <w:tab/>
        </w:r>
        <w:r>
          <w:fldChar w:fldCharType="begin"/>
        </w:r>
        <w:r>
          <w:instrText xml:space="preserve">PAGEREF 6513 \h</w:instrText>
        </w:r>
        <w:r>
          <w:fldChar w:fldCharType="end"/>
        </w:r>
      </w:hyperlink>
    </w:p>
    <w:p>
      <w:pPr>
        <w:tabs>
          <w:tab w:val="right" w:leader="dot" w:pos="9062"/>
        </w:tabs>
        <w:ind w:left="440"/>
      </w:pPr>
      <w:hyperlink w:anchor="_Toc6514" w:history="1">
        <w:r>
          <w:rPr>
            <w:rFonts w:ascii="IRNazanin" w:hAnsi="IRNazanin" w:eastAsia="IRNazanin" w:cs="IRNazanin"/>
            <w:color w:val="111111"/>
            <w:sz w:val="22"/>
            <w:szCs w:val="22"/>
            <w:b w:val="0"/>
            <w:bCs w:val="0"/>
            <w:i w:val="0"/>
            <w:iCs w:val="0"/>
          </w:rPr>
          <w:t>5906- دیوان قنبری نیشابوری أو شعره‏</w:t>
        </w:r>
        <w:r>
          <w:tab/>
        </w:r>
        <w:r>
          <w:fldChar w:fldCharType="begin"/>
        </w:r>
        <w:r>
          <w:instrText xml:space="preserve">PAGEREF 6514 \h</w:instrText>
        </w:r>
        <w:r>
          <w:fldChar w:fldCharType="end"/>
        </w:r>
      </w:hyperlink>
    </w:p>
    <w:p>
      <w:pPr>
        <w:tabs>
          <w:tab w:val="right" w:leader="dot" w:pos="9062"/>
        </w:tabs>
        <w:ind w:left="440"/>
      </w:pPr>
      <w:hyperlink w:anchor="_Toc6515" w:history="1">
        <w:r>
          <w:rPr>
            <w:rFonts w:ascii="IRNazanin" w:hAnsi="IRNazanin" w:eastAsia="IRNazanin" w:cs="IRNazanin"/>
            <w:color w:val="111111"/>
            <w:sz w:val="22"/>
            <w:szCs w:val="22"/>
            <w:b w:val="0"/>
            <w:bCs w:val="0"/>
            <w:i w:val="0"/>
            <w:iCs w:val="0"/>
          </w:rPr>
          <w:t>دیوان قواس تبریزی‏</w:t>
        </w:r>
        <w:r>
          <w:tab/>
        </w:r>
        <w:r>
          <w:fldChar w:fldCharType="begin"/>
        </w:r>
        <w:r>
          <w:instrText xml:space="preserve">PAGEREF 6515 \h</w:instrText>
        </w:r>
        <w:r>
          <w:fldChar w:fldCharType="end"/>
        </w:r>
      </w:hyperlink>
    </w:p>
    <w:p>
      <w:pPr>
        <w:tabs>
          <w:tab w:val="right" w:leader="dot" w:pos="9062"/>
        </w:tabs>
        <w:ind w:left="440"/>
      </w:pPr>
      <w:hyperlink w:anchor="_Toc6516" w:history="1">
        <w:r>
          <w:rPr>
            <w:rFonts w:ascii="IRNazanin" w:hAnsi="IRNazanin" w:eastAsia="IRNazanin" w:cs="IRNazanin"/>
            <w:color w:val="111111"/>
            <w:sz w:val="22"/>
            <w:szCs w:val="22"/>
            <w:b w:val="0"/>
            <w:bCs w:val="0"/>
            <w:i w:val="0"/>
            <w:iCs w:val="0"/>
          </w:rPr>
          <w:t>5907- دیوان قواس شوشتری أو شعره‏</w:t>
        </w:r>
        <w:r>
          <w:tab/>
        </w:r>
        <w:r>
          <w:fldChar w:fldCharType="begin"/>
        </w:r>
        <w:r>
          <w:instrText xml:space="preserve">PAGEREF 6516 \h</w:instrText>
        </w:r>
        <w:r>
          <w:fldChar w:fldCharType="end"/>
        </w:r>
      </w:hyperlink>
    </w:p>
    <w:p>
      <w:pPr>
        <w:tabs>
          <w:tab w:val="right" w:leader="dot" w:pos="9062"/>
        </w:tabs>
        <w:ind w:left="440"/>
      </w:pPr>
      <w:hyperlink w:anchor="_Toc6517" w:history="1">
        <w:r>
          <w:rPr>
            <w:rFonts w:ascii="IRNazanin" w:hAnsi="IRNazanin" w:eastAsia="IRNazanin" w:cs="IRNazanin"/>
            <w:color w:val="111111"/>
            <w:sz w:val="22"/>
            <w:szCs w:val="22"/>
            <w:b w:val="0"/>
            <w:bCs w:val="0"/>
            <w:i w:val="0"/>
            <w:iCs w:val="0"/>
          </w:rPr>
          <w:t>5908- دیوان قوام أصفهانی أو شعره‏</w:t>
        </w:r>
        <w:r>
          <w:tab/>
        </w:r>
        <w:r>
          <w:fldChar w:fldCharType="begin"/>
        </w:r>
        <w:r>
          <w:instrText xml:space="preserve">PAGEREF 6517 \h</w:instrText>
        </w:r>
        <w:r>
          <w:fldChar w:fldCharType="end"/>
        </w:r>
      </w:hyperlink>
    </w:p>
    <w:p>
      <w:pPr>
        <w:tabs>
          <w:tab w:val="right" w:leader="dot" w:pos="9062"/>
        </w:tabs>
        <w:ind w:left="440"/>
      </w:pPr>
      <w:hyperlink w:anchor="_Toc6518" w:history="1">
        <w:r>
          <w:rPr>
            <w:rFonts w:ascii="IRNazanin" w:hAnsi="IRNazanin" w:eastAsia="IRNazanin" w:cs="IRNazanin"/>
            <w:color w:val="111111"/>
            <w:sz w:val="22"/>
            <w:szCs w:val="22"/>
            <w:b w:val="0"/>
            <w:bCs w:val="0"/>
            <w:i w:val="0"/>
            <w:iCs w:val="0"/>
          </w:rPr>
          <w:t>5909- دیوان قوام طبسی‏</w:t>
        </w:r>
        <w:r>
          <w:tab/>
        </w:r>
        <w:r>
          <w:fldChar w:fldCharType="begin"/>
        </w:r>
        <w:r>
          <w:instrText xml:space="preserve">PAGEREF 6518 \h</w:instrText>
        </w:r>
        <w:r>
          <w:fldChar w:fldCharType="end"/>
        </w:r>
      </w:hyperlink>
    </w:p>
    <w:p>
      <w:pPr>
        <w:tabs>
          <w:tab w:val="right" w:leader="dot" w:pos="9062"/>
        </w:tabs>
        <w:ind w:left="440"/>
      </w:pPr>
      <w:hyperlink w:anchor="_Toc6519" w:history="1">
        <w:r>
          <w:rPr>
            <w:rFonts w:ascii="IRNazanin" w:hAnsi="IRNazanin" w:eastAsia="IRNazanin" w:cs="IRNazanin"/>
            <w:color w:val="111111"/>
            <w:sz w:val="22"/>
            <w:szCs w:val="22"/>
            <w:b w:val="0"/>
            <w:bCs w:val="0"/>
            <w:i w:val="0"/>
            <w:iCs w:val="0"/>
          </w:rPr>
          <w:t>دیوان قوام قزوینی‏</w:t>
        </w:r>
        <w:r>
          <w:tab/>
        </w:r>
        <w:r>
          <w:fldChar w:fldCharType="begin"/>
        </w:r>
        <w:r>
          <w:instrText xml:space="preserve">PAGEREF 6519 \h</w:instrText>
        </w:r>
        <w:r>
          <w:fldChar w:fldCharType="end"/>
        </w:r>
      </w:hyperlink>
    </w:p>
    <w:p>
      <w:pPr>
        <w:tabs>
          <w:tab w:val="right" w:leader="dot" w:pos="9062"/>
        </w:tabs>
        <w:ind w:left="440"/>
      </w:pPr>
      <w:hyperlink w:anchor="_Toc6520" w:history="1">
        <w:r>
          <w:rPr>
            <w:rFonts w:ascii="IRNazanin" w:hAnsi="IRNazanin" w:eastAsia="IRNazanin" w:cs="IRNazanin"/>
            <w:color w:val="111111"/>
            <w:sz w:val="22"/>
            <w:szCs w:val="22"/>
            <w:b w:val="0"/>
            <w:bCs w:val="0"/>
            <w:i w:val="0"/>
            <w:iCs w:val="0"/>
          </w:rPr>
          <w:t>5910- دیوان قوام لاریجانی أو شعره‏</w:t>
        </w:r>
        <w:r>
          <w:tab/>
        </w:r>
        <w:r>
          <w:fldChar w:fldCharType="begin"/>
        </w:r>
        <w:r>
          <w:instrText xml:space="preserve">PAGEREF 6520 \h</w:instrText>
        </w:r>
        <w:r>
          <w:fldChar w:fldCharType="end"/>
        </w:r>
      </w:hyperlink>
    </w:p>
    <w:p>
      <w:pPr>
        <w:tabs>
          <w:tab w:val="right" w:leader="dot" w:pos="9062"/>
        </w:tabs>
        <w:ind w:left="440"/>
      </w:pPr>
      <w:hyperlink w:anchor="_Toc6521" w:history="1">
        <w:r>
          <w:rPr>
            <w:rFonts w:ascii="IRNazanin" w:hAnsi="IRNazanin" w:eastAsia="IRNazanin" w:cs="IRNazanin"/>
            <w:color w:val="111111"/>
            <w:sz w:val="22"/>
            <w:szCs w:val="22"/>
            <w:b w:val="0"/>
            <w:bCs w:val="0"/>
            <w:i w:val="0"/>
            <w:iCs w:val="0"/>
          </w:rPr>
          <w:t>5911- دیوان قوام هروی أو شعره‏</w:t>
        </w:r>
        <w:r>
          <w:tab/>
        </w:r>
        <w:r>
          <w:fldChar w:fldCharType="begin"/>
        </w:r>
        <w:r>
          <w:instrText xml:space="preserve">PAGEREF 6521 \h</w:instrText>
        </w:r>
        <w:r>
          <w:fldChar w:fldCharType="end"/>
        </w:r>
      </w:hyperlink>
    </w:p>
    <w:p>
      <w:pPr>
        <w:tabs>
          <w:tab w:val="right" w:leader="dot" w:pos="9062"/>
        </w:tabs>
        <w:ind w:left="440"/>
      </w:pPr>
      <w:hyperlink w:anchor="_Toc6522" w:history="1">
        <w:r>
          <w:rPr>
            <w:rFonts w:ascii="IRNazanin" w:hAnsi="IRNazanin" w:eastAsia="IRNazanin" w:cs="IRNazanin"/>
            <w:color w:val="111111"/>
            <w:sz w:val="22"/>
            <w:szCs w:val="22"/>
            <w:b w:val="0"/>
            <w:bCs w:val="0"/>
            <w:i w:val="0"/>
            <w:iCs w:val="0"/>
          </w:rPr>
          <w:t>دیوان قوامی أصفهانی‏</w:t>
        </w:r>
        <w:r>
          <w:tab/>
        </w:r>
        <w:r>
          <w:fldChar w:fldCharType="begin"/>
        </w:r>
        <w:r>
          <w:instrText xml:space="preserve">PAGEREF 6522 \h</w:instrText>
        </w:r>
        <w:r>
          <w:fldChar w:fldCharType="end"/>
        </w:r>
      </w:hyperlink>
    </w:p>
    <w:p>
      <w:pPr>
        <w:tabs>
          <w:tab w:val="right" w:leader="dot" w:pos="9062"/>
        </w:tabs>
        <w:ind w:left="440"/>
      </w:pPr>
      <w:hyperlink w:anchor="_Toc6523" w:history="1">
        <w:r>
          <w:rPr>
            <w:rFonts w:ascii="IRNazanin" w:hAnsi="IRNazanin" w:eastAsia="IRNazanin" w:cs="IRNazanin"/>
            <w:color w:val="111111"/>
            <w:sz w:val="22"/>
            <w:szCs w:val="22"/>
            <w:b w:val="0"/>
            <w:bCs w:val="0"/>
            <w:i w:val="0"/>
            <w:iCs w:val="0"/>
          </w:rPr>
          <w:t>دیوان قوامی خباز</w:t>
        </w:r>
        <w:r>
          <w:tab/>
        </w:r>
        <w:r>
          <w:fldChar w:fldCharType="begin"/>
        </w:r>
        <w:r>
          <w:instrText xml:space="preserve">PAGEREF 6523 \h</w:instrText>
        </w:r>
        <w:r>
          <w:fldChar w:fldCharType="end"/>
        </w:r>
      </w:hyperlink>
    </w:p>
    <w:p>
      <w:pPr>
        <w:tabs>
          <w:tab w:val="right" w:leader="dot" w:pos="9062"/>
        </w:tabs>
        <w:ind w:left="440"/>
      </w:pPr>
      <w:hyperlink w:anchor="_Toc6524" w:history="1">
        <w:r>
          <w:rPr>
            <w:rFonts w:ascii="IRNazanin" w:hAnsi="IRNazanin" w:eastAsia="IRNazanin" w:cs="IRNazanin"/>
            <w:color w:val="111111"/>
            <w:sz w:val="22"/>
            <w:szCs w:val="22"/>
            <w:b w:val="0"/>
            <w:bCs w:val="0"/>
            <w:i w:val="0"/>
            <w:iCs w:val="0"/>
          </w:rPr>
          <w:t>5912- دیوان قوامی خوافی أو شعره‏</w:t>
        </w:r>
        <w:r>
          <w:tab/>
        </w:r>
        <w:r>
          <w:fldChar w:fldCharType="begin"/>
        </w:r>
        <w:r>
          <w:instrText xml:space="preserve">PAGEREF 6524 \h</w:instrText>
        </w:r>
        <w:r>
          <w:fldChar w:fldCharType="end"/>
        </w:r>
      </w:hyperlink>
    </w:p>
    <w:p>
      <w:pPr>
        <w:tabs>
          <w:tab w:val="right" w:leader="dot" w:pos="9062"/>
        </w:tabs>
        <w:ind w:left="440"/>
      </w:pPr>
      <w:hyperlink w:anchor="_Toc6525" w:history="1">
        <w:r>
          <w:rPr>
            <w:rFonts w:ascii="IRNazanin" w:hAnsi="IRNazanin" w:eastAsia="IRNazanin" w:cs="IRNazanin"/>
            <w:color w:val="111111"/>
            <w:sz w:val="22"/>
            <w:szCs w:val="22"/>
            <w:b w:val="0"/>
            <w:bCs w:val="0"/>
            <w:i w:val="0"/>
            <w:iCs w:val="0"/>
          </w:rPr>
          <w:t>5913- دیوان قوامی رازی‏</w:t>
        </w:r>
        <w:r>
          <w:tab/>
        </w:r>
        <w:r>
          <w:fldChar w:fldCharType="begin"/>
        </w:r>
        <w:r>
          <w:instrText xml:space="preserve">PAGEREF 6525 \h</w:instrText>
        </w:r>
        <w:r>
          <w:fldChar w:fldCharType="end"/>
        </w:r>
      </w:hyperlink>
    </w:p>
    <w:p>
      <w:pPr>
        <w:tabs>
          <w:tab w:val="right" w:leader="dot" w:pos="9062"/>
        </w:tabs>
        <w:ind w:left="440"/>
      </w:pPr>
      <w:hyperlink w:anchor="_Toc6526" w:history="1">
        <w:r>
          <w:rPr>
            <w:rFonts w:ascii="IRNazanin" w:hAnsi="IRNazanin" w:eastAsia="IRNazanin" w:cs="IRNazanin"/>
            <w:color w:val="111111"/>
            <w:sz w:val="22"/>
            <w:szCs w:val="22"/>
            <w:b w:val="0"/>
            <w:bCs w:val="0"/>
            <w:i w:val="0"/>
            <w:iCs w:val="0"/>
          </w:rPr>
          <w:t>5914- دیوان قوامی فریومذی أو شعره‏</w:t>
        </w:r>
        <w:r>
          <w:tab/>
        </w:r>
        <w:r>
          <w:fldChar w:fldCharType="begin"/>
        </w:r>
        <w:r>
          <w:instrText xml:space="preserve">PAGEREF 6526 \h</w:instrText>
        </w:r>
        <w:r>
          <w:fldChar w:fldCharType="end"/>
        </w:r>
      </w:hyperlink>
    </w:p>
    <w:p>
      <w:pPr>
        <w:tabs>
          <w:tab w:val="right" w:leader="dot" w:pos="9062"/>
        </w:tabs>
        <w:ind w:left="440"/>
      </w:pPr>
      <w:hyperlink w:anchor="_Toc6527" w:history="1">
        <w:r>
          <w:rPr>
            <w:rFonts w:ascii="IRNazanin" w:hAnsi="IRNazanin" w:eastAsia="IRNazanin" w:cs="IRNazanin"/>
            <w:color w:val="111111"/>
            <w:sz w:val="22"/>
            <w:szCs w:val="22"/>
            <w:b w:val="0"/>
            <w:bCs w:val="0"/>
            <w:i w:val="0"/>
            <w:iCs w:val="0"/>
          </w:rPr>
          <w:t>5915- دیوان قوامی شیرازی أو شعره‏</w:t>
        </w:r>
        <w:r>
          <w:tab/>
        </w:r>
        <w:r>
          <w:fldChar w:fldCharType="begin"/>
        </w:r>
        <w:r>
          <w:instrText xml:space="preserve">PAGEREF 6527 \h</w:instrText>
        </w:r>
        <w:r>
          <w:fldChar w:fldCharType="end"/>
        </w:r>
      </w:hyperlink>
    </w:p>
    <w:p>
      <w:pPr>
        <w:tabs>
          <w:tab w:val="right" w:leader="dot" w:pos="9062"/>
        </w:tabs>
        <w:ind w:left="440"/>
      </w:pPr>
      <w:hyperlink w:anchor="_Toc6528" w:history="1">
        <w:r>
          <w:rPr>
            <w:rFonts w:ascii="IRNazanin" w:hAnsi="IRNazanin" w:eastAsia="IRNazanin" w:cs="IRNazanin"/>
            <w:color w:val="111111"/>
            <w:sz w:val="22"/>
            <w:szCs w:val="22"/>
            <w:b w:val="0"/>
            <w:bCs w:val="0"/>
            <w:i w:val="0"/>
            <w:iCs w:val="0"/>
          </w:rPr>
          <w:t>دیوان قوامی شیروانی‏</w:t>
        </w:r>
        <w:r>
          <w:tab/>
        </w:r>
        <w:r>
          <w:fldChar w:fldCharType="begin"/>
        </w:r>
        <w:r>
          <w:instrText xml:space="preserve">PAGEREF 6528 \h</w:instrText>
        </w:r>
        <w:r>
          <w:fldChar w:fldCharType="end"/>
        </w:r>
      </w:hyperlink>
    </w:p>
    <w:p>
      <w:pPr>
        <w:tabs>
          <w:tab w:val="right" w:leader="dot" w:pos="9062"/>
        </w:tabs>
        <w:ind w:left="440"/>
      </w:pPr>
      <w:hyperlink w:anchor="_Toc6529" w:history="1">
        <w:r>
          <w:rPr>
            <w:rFonts w:ascii="IRNazanin" w:hAnsi="IRNazanin" w:eastAsia="IRNazanin" w:cs="IRNazanin"/>
            <w:color w:val="111111"/>
            <w:sz w:val="22"/>
            <w:szCs w:val="22"/>
            <w:b w:val="0"/>
            <w:bCs w:val="0"/>
            <w:i w:val="0"/>
            <w:iCs w:val="0"/>
          </w:rPr>
          <w:t>دیوان قوامی غزنوی‏</w:t>
        </w:r>
        <w:r>
          <w:tab/>
        </w:r>
        <w:r>
          <w:fldChar w:fldCharType="begin"/>
        </w:r>
        <w:r>
          <w:instrText xml:space="preserve">PAGEREF 6529 \h</w:instrText>
        </w:r>
        <w:r>
          <w:fldChar w:fldCharType="end"/>
        </w:r>
      </w:hyperlink>
    </w:p>
    <w:p>
      <w:pPr>
        <w:tabs>
          <w:tab w:val="right" w:leader="dot" w:pos="9062"/>
        </w:tabs>
        <w:ind w:left="440"/>
      </w:pPr>
      <w:hyperlink w:anchor="_Toc6530" w:history="1">
        <w:r>
          <w:rPr>
            <w:rFonts w:ascii="IRNazanin" w:hAnsi="IRNazanin" w:eastAsia="IRNazanin" w:cs="IRNazanin"/>
            <w:color w:val="111111"/>
            <w:sz w:val="22"/>
            <w:szCs w:val="22"/>
            <w:b w:val="0"/>
            <w:bCs w:val="0"/>
            <w:i w:val="0"/>
            <w:iCs w:val="0"/>
          </w:rPr>
          <w:t>5916- دیوان قوامی گنجوی‏</w:t>
        </w:r>
        <w:r>
          <w:tab/>
        </w:r>
        <w:r>
          <w:fldChar w:fldCharType="begin"/>
        </w:r>
        <w:r>
          <w:instrText xml:space="preserve">PAGEREF 6530 \h</w:instrText>
        </w:r>
        <w:r>
          <w:fldChar w:fldCharType="end"/>
        </w:r>
      </w:hyperlink>
    </w:p>
    <w:p>
      <w:pPr>
        <w:tabs>
          <w:tab w:val="right" w:leader="dot" w:pos="9062"/>
        </w:tabs>
        <w:ind w:left="440"/>
      </w:pPr>
      <w:hyperlink w:anchor="_Toc6531" w:history="1">
        <w:r>
          <w:rPr>
            <w:rFonts w:ascii="IRNazanin" w:hAnsi="IRNazanin" w:eastAsia="IRNazanin" w:cs="IRNazanin"/>
            <w:color w:val="111111"/>
            <w:sz w:val="22"/>
            <w:szCs w:val="22"/>
            <w:b w:val="0"/>
            <w:bCs w:val="0"/>
            <w:i w:val="0"/>
            <w:iCs w:val="0"/>
          </w:rPr>
          <w:t>دیوان قوامی مطرزی‏</w:t>
        </w:r>
        <w:r>
          <w:tab/>
        </w:r>
        <w:r>
          <w:fldChar w:fldCharType="begin"/>
        </w:r>
        <w:r>
          <w:instrText xml:space="preserve">PAGEREF 6531 \h</w:instrText>
        </w:r>
        <w:r>
          <w:fldChar w:fldCharType="end"/>
        </w:r>
      </w:hyperlink>
    </w:p>
    <w:p>
      <w:pPr>
        <w:tabs>
          <w:tab w:val="right" w:leader="dot" w:pos="9062"/>
        </w:tabs>
        <w:ind w:left="440"/>
      </w:pPr>
      <w:hyperlink w:anchor="_Toc6532" w:history="1">
        <w:r>
          <w:rPr>
            <w:rFonts w:ascii="IRNazanin" w:hAnsi="IRNazanin" w:eastAsia="IRNazanin" w:cs="IRNazanin"/>
            <w:color w:val="111111"/>
            <w:sz w:val="22"/>
            <w:szCs w:val="22"/>
            <w:b w:val="0"/>
            <w:bCs w:val="0"/>
            <w:i w:val="0"/>
            <w:iCs w:val="0"/>
          </w:rPr>
          <w:t>5917- دیوان قوامی یزدی‏</w:t>
        </w:r>
        <w:r>
          <w:tab/>
        </w:r>
        <w:r>
          <w:fldChar w:fldCharType="begin"/>
        </w:r>
        <w:r>
          <w:instrText xml:space="preserve">PAGEREF 6532 \h</w:instrText>
        </w:r>
        <w:r>
          <w:fldChar w:fldCharType="end"/>
        </w:r>
      </w:hyperlink>
    </w:p>
    <w:p>
      <w:pPr>
        <w:tabs>
          <w:tab w:val="right" w:leader="dot" w:pos="9062"/>
        </w:tabs>
        <w:ind w:left="440"/>
      </w:pPr>
      <w:hyperlink w:anchor="_Toc6533" w:history="1">
        <w:r>
          <w:rPr>
            <w:rFonts w:ascii="IRNazanin" w:hAnsi="IRNazanin" w:eastAsia="IRNazanin" w:cs="IRNazanin"/>
            <w:color w:val="111111"/>
            <w:sz w:val="22"/>
            <w:szCs w:val="22"/>
            <w:b w:val="0"/>
            <w:bCs w:val="0"/>
            <w:i w:val="0"/>
            <w:iCs w:val="0"/>
          </w:rPr>
          <w:t>5918- دیوان قوسی أسفراینی أو شعره‏</w:t>
        </w:r>
        <w:r>
          <w:tab/>
        </w:r>
        <w:r>
          <w:fldChar w:fldCharType="begin"/>
        </w:r>
        <w:r>
          <w:instrText xml:space="preserve">PAGEREF 6533 \h</w:instrText>
        </w:r>
        <w:r>
          <w:fldChar w:fldCharType="end"/>
        </w:r>
      </w:hyperlink>
    </w:p>
    <w:p>
      <w:pPr>
        <w:tabs>
          <w:tab w:val="right" w:leader="dot" w:pos="9062"/>
        </w:tabs>
        <w:ind w:left="440"/>
      </w:pPr>
      <w:hyperlink w:anchor="_Toc6534" w:history="1">
        <w:r>
          <w:rPr>
            <w:rFonts w:ascii="IRNazanin" w:hAnsi="IRNazanin" w:eastAsia="IRNazanin" w:cs="IRNazanin"/>
            <w:color w:val="111111"/>
            <w:sz w:val="22"/>
            <w:szCs w:val="22"/>
            <w:b w:val="0"/>
            <w:bCs w:val="0"/>
            <w:i w:val="0"/>
            <w:iCs w:val="0"/>
          </w:rPr>
          <w:t>5919- دیوان قوسی تبریزی‏</w:t>
        </w:r>
        <w:r>
          <w:tab/>
        </w:r>
        <w:r>
          <w:fldChar w:fldCharType="begin"/>
        </w:r>
        <w:r>
          <w:instrText xml:space="preserve">PAGEREF 6534 \h</w:instrText>
        </w:r>
        <w:r>
          <w:fldChar w:fldCharType="end"/>
        </w:r>
      </w:hyperlink>
    </w:p>
    <w:p>
      <w:pPr>
        <w:tabs>
          <w:tab w:val="right" w:leader="dot" w:pos="9062"/>
        </w:tabs>
        <w:ind w:left="440"/>
      </w:pPr>
      <w:hyperlink w:anchor="_Toc6535" w:history="1">
        <w:r>
          <w:rPr>
            <w:rFonts w:ascii="IRNazanin" w:hAnsi="IRNazanin" w:eastAsia="IRNazanin" w:cs="IRNazanin"/>
            <w:color w:val="111111"/>
            <w:sz w:val="22"/>
            <w:szCs w:val="22"/>
            <w:b w:val="0"/>
            <w:bCs w:val="0"/>
            <w:i w:val="0"/>
            <w:iCs w:val="0"/>
          </w:rPr>
          <w:t>5920- دیوان قوسی تبریزی أو شعره‏</w:t>
        </w:r>
        <w:r>
          <w:tab/>
        </w:r>
        <w:r>
          <w:fldChar w:fldCharType="begin"/>
        </w:r>
        <w:r>
          <w:instrText xml:space="preserve">PAGEREF 6535 \h</w:instrText>
        </w:r>
        <w:r>
          <w:fldChar w:fldCharType="end"/>
        </w:r>
      </w:hyperlink>
    </w:p>
    <w:p>
      <w:pPr>
        <w:tabs>
          <w:tab w:val="right" w:leader="dot" w:pos="9062"/>
        </w:tabs>
        <w:ind w:left="440"/>
      </w:pPr>
      <w:hyperlink w:anchor="_Toc6536" w:history="1">
        <w:r>
          <w:rPr>
            <w:rFonts w:ascii="IRNazanin" w:hAnsi="IRNazanin" w:eastAsia="IRNazanin" w:cs="IRNazanin"/>
            <w:color w:val="111111"/>
            <w:sz w:val="22"/>
            <w:szCs w:val="22"/>
            <w:b w:val="0"/>
            <w:bCs w:val="0"/>
            <w:i w:val="0"/>
            <w:iCs w:val="0"/>
          </w:rPr>
          <w:t>5921- دیوان قوسی تبریزی‏</w:t>
        </w:r>
        <w:r>
          <w:tab/>
        </w:r>
        <w:r>
          <w:fldChar w:fldCharType="begin"/>
        </w:r>
        <w:r>
          <w:instrText xml:space="preserve">PAGEREF 6536 \h</w:instrText>
        </w:r>
        <w:r>
          <w:fldChar w:fldCharType="end"/>
        </w:r>
      </w:hyperlink>
    </w:p>
    <w:p>
      <w:pPr>
        <w:tabs>
          <w:tab w:val="right" w:leader="dot" w:pos="9062"/>
        </w:tabs>
        <w:ind w:left="440"/>
      </w:pPr>
      <w:hyperlink w:anchor="_Toc6537" w:history="1">
        <w:r>
          <w:rPr>
            <w:rFonts w:ascii="IRNazanin" w:hAnsi="IRNazanin" w:eastAsia="IRNazanin" w:cs="IRNazanin"/>
            <w:color w:val="111111"/>
            <w:sz w:val="22"/>
            <w:szCs w:val="22"/>
            <w:b w:val="0"/>
            <w:bCs w:val="0"/>
            <w:i w:val="0"/>
            <w:iCs w:val="0"/>
          </w:rPr>
          <w:t>5922- دیوان قوسی شوشتری‏</w:t>
        </w:r>
        <w:r>
          <w:tab/>
        </w:r>
        <w:r>
          <w:fldChar w:fldCharType="begin"/>
        </w:r>
        <w:r>
          <w:instrText xml:space="preserve">PAGEREF 6537 \h</w:instrText>
        </w:r>
        <w:r>
          <w:fldChar w:fldCharType="end"/>
        </w:r>
      </w:hyperlink>
    </w:p>
    <w:p>
      <w:pPr>
        <w:tabs>
          <w:tab w:val="right" w:leader="dot" w:pos="9062"/>
        </w:tabs>
        <w:ind w:left="440"/>
      </w:pPr>
      <w:hyperlink w:anchor="_Toc6538" w:history="1">
        <w:r>
          <w:rPr>
            <w:rFonts w:ascii="IRNazanin" w:hAnsi="IRNazanin" w:eastAsia="IRNazanin" w:cs="IRNazanin"/>
            <w:color w:val="111111"/>
            <w:sz w:val="22"/>
            <w:szCs w:val="22"/>
            <w:b w:val="0"/>
            <w:bCs w:val="0"/>
            <w:i w:val="0"/>
            <w:iCs w:val="0"/>
          </w:rPr>
          <w:t>5923- دیوان قوسی هروی أشعره‏</w:t>
        </w:r>
        <w:r>
          <w:tab/>
        </w:r>
        <w:r>
          <w:fldChar w:fldCharType="begin"/>
        </w:r>
        <w:r>
          <w:instrText xml:space="preserve">PAGEREF 6538 \h</w:instrText>
        </w:r>
        <w:r>
          <w:fldChar w:fldCharType="end"/>
        </w:r>
      </w:hyperlink>
    </w:p>
    <w:p>
      <w:pPr>
        <w:tabs>
          <w:tab w:val="right" w:leader="dot" w:pos="9062"/>
        </w:tabs>
        <w:ind w:left="440"/>
      </w:pPr>
      <w:hyperlink w:anchor="_Toc6539" w:history="1">
        <w:r>
          <w:rPr>
            <w:rFonts w:ascii="IRNazanin" w:hAnsi="IRNazanin" w:eastAsia="IRNazanin" w:cs="IRNazanin"/>
            <w:color w:val="111111"/>
            <w:sz w:val="22"/>
            <w:szCs w:val="22"/>
            <w:b w:val="0"/>
            <w:bCs w:val="0"/>
            <w:i w:val="0"/>
            <w:iCs w:val="0"/>
          </w:rPr>
          <w:t>5924- دیوان قهرمان‏</w:t>
        </w:r>
        <w:r>
          <w:tab/>
        </w:r>
        <w:r>
          <w:fldChar w:fldCharType="begin"/>
        </w:r>
        <w:r>
          <w:instrText xml:space="preserve">PAGEREF 6539 \h</w:instrText>
        </w:r>
        <w:r>
          <w:fldChar w:fldCharType="end"/>
        </w:r>
      </w:hyperlink>
    </w:p>
    <w:p>
      <w:pPr>
        <w:tabs>
          <w:tab w:val="right" w:leader="dot" w:pos="9062"/>
        </w:tabs>
        <w:ind w:left="440"/>
      </w:pPr>
      <w:hyperlink w:anchor="_Toc6540" w:history="1">
        <w:r>
          <w:rPr>
            <w:rFonts w:ascii="IRNazanin" w:hAnsi="IRNazanin" w:eastAsia="IRNazanin" w:cs="IRNazanin"/>
            <w:color w:val="111111"/>
            <w:sz w:val="22"/>
            <w:szCs w:val="22"/>
            <w:b w:val="0"/>
            <w:bCs w:val="0"/>
            <w:i w:val="0"/>
            <w:iCs w:val="0"/>
          </w:rPr>
          <w:t>5925- دیوان قهرمان‏</w:t>
        </w:r>
        <w:r>
          <w:tab/>
        </w:r>
        <w:r>
          <w:fldChar w:fldCharType="begin"/>
        </w:r>
        <w:r>
          <w:instrText xml:space="preserve">PAGEREF 6540 \h</w:instrText>
        </w:r>
        <w:r>
          <w:fldChar w:fldCharType="end"/>
        </w:r>
      </w:hyperlink>
    </w:p>
    <w:p>
      <w:pPr>
        <w:tabs>
          <w:tab w:val="right" w:leader="dot" w:pos="9062"/>
        </w:tabs>
        <w:ind w:left="440"/>
      </w:pPr>
      <w:hyperlink w:anchor="_Toc6541" w:history="1">
        <w:r>
          <w:rPr>
            <w:rFonts w:ascii="IRNazanin" w:hAnsi="IRNazanin" w:eastAsia="IRNazanin" w:cs="IRNazanin"/>
            <w:color w:val="111111"/>
            <w:sz w:val="22"/>
            <w:szCs w:val="22"/>
            <w:b w:val="0"/>
            <w:bCs w:val="0"/>
            <w:i w:val="0"/>
            <w:iCs w:val="0"/>
          </w:rPr>
          <w:t>5926- دیوان قیدی شیرازی أو شعره‏</w:t>
        </w:r>
        <w:r>
          <w:tab/>
        </w:r>
        <w:r>
          <w:fldChar w:fldCharType="begin"/>
        </w:r>
        <w:r>
          <w:instrText xml:space="preserve">PAGEREF 6541 \h</w:instrText>
        </w:r>
        <w:r>
          <w:fldChar w:fldCharType="end"/>
        </w:r>
      </w:hyperlink>
    </w:p>
    <w:p>
      <w:pPr>
        <w:tabs>
          <w:tab w:val="right" w:leader="dot" w:pos="9062"/>
        </w:tabs>
        <w:ind w:left="440"/>
      </w:pPr>
      <w:hyperlink w:anchor="_Toc6542" w:history="1">
        <w:r>
          <w:rPr>
            <w:rFonts w:ascii="IRNazanin" w:hAnsi="IRNazanin" w:eastAsia="IRNazanin" w:cs="IRNazanin"/>
            <w:color w:val="111111"/>
            <w:sz w:val="22"/>
            <w:szCs w:val="22"/>
            <w:b w:val="0"/>
            <w:bCs w:val="0"/>
            <w:i w:val="0"/>
            <w:iCs w:val="0"/>
          </w:rPr>
          <w:t>5927- دیوان قیدی کرمانی أو شعره‏</w:t>
        </w:r>
        <w:r>
          <w:tab/>
        </w:r>
        <w:r>
          <w:fldChar w:fldCharType="begin"/>
        </w:r>
        <w:r>
          <w:instrText xml:space="preserve">PAGEREF 6542 \h</w:instrText>
        </w:r>
        <w:r>
          <w:fldChar w:fldCharType="end"/>
        </w:r>
      </w:hyperlink>
    </w:p>
    <w:p>
      <w:pPr>
        <w:tabs>
          <w:tab w:val="right" w:leader="dot" w:pos="9062"/>
        </w:tabs>
        <w:ind w:left="440"/>
      </w:pPr>
      <w:hyperlink w:anchor="_Toc6543" w:history="1">
        <w:r>
          <w:rPr>
            <w:rFonts w:ascii="IRNazanin" w:hAnsi="IRNazanin" w:eastAsia="IRNazanin" w:cs="IRNazanin"/>
            <w:color w:val="111111"/>
            <w:sz w:val="22"/>
            <w:szCs w:val="22"/>
            <w:b w:val="0"/>
            <w:bCs w:val="0"/>
            <w:i w:val="0"/>
            <w:iCs w:val="0"/>
          </w:rPr>
          <w:t>5928- دیوان قیدی نیشابوری‏</w:t>
        </w:r>
        <w:r>
          <w:tab/>
        </w:r>
        <w:r>
          <w:fldChar w:fldCharType="begin"/>
        </w:r>
        <w:r>
          <w:instrText xml:space="preserve">PAGEREF 6543 \h</w:instrText>
        </w:r>
        <w:r>
          <w:fldChar w:fldCharType="end"/>
        </w:r>
      </w:hyperlink>
    </w:p>
    <w:p>
      <w:pPr>
        <w:tabs>
          <w:tab w:val="right" w:leader="dot" w:pos="9062"/>
        </w:tabs>
        <w:ind w:left="440"/>
      </w:pPr>
      <w:hyperlink w:anchor="_Toc6544" w:history="1">
        <w:r>
          <w:rPr>
            <w:rFonts w:ascii="IRNazanin" w:hAnsi="IRNazanin" w:eastAsia="IRNazanin" w:cs="IRNazanin"/>
            <w:color w:val="111111"/>
            <w:sz w:val="22"/>
            <w:szCs w:val="22"/>
            <w:b w:val="0"/>
            <w:bCs w:val="0"/>
            <w:i w:val="0"/>
            <w:iCs w:val="0"/>
          </w:rPr>
          <w:t>5929- دیوان قیس أو شعره‏</w:t>
        </w:r>
        <w:r>
          <w:tab/>
        </w:r>
        <w:r>
          <w:fldChar w:fldCharType="begin"/>
        </w:r>
        <w:r>
          <w:instrText xml:space="preserve">PAGEREF 6544 \h</w:instrText>
        </w:r>
        <w:r>
          <w:fldChar w:fldCharType="end"/>
        </w:r>
      </w:hyperlink>
    </w:p>
    <w:p>
      <w:pPr>
        <w:tabs>
          <w:tab w:val="right" w:leader="dot" w:pos="9062"/>
        </w:tabs>
        <w:ind w:left="440"/>
      </w:pPr>
      <w:hyperlink w:anchor="_Toc6545" w:history="1">
        <w:r>
          <w:rPr>
            <w:rFonts w:ascii="IRNazanin" w:hAnsi="IRNazanin" w:eastAsia="IRNazanin" w:cs="IRNazanin"/>
            <w:color w:val="111111"/>
            <w:sz w:val="22"/>
            <w:szCs w:val="22"/>
            <w:b w:val="0"/>
            <w:bCs w:val="0"/>
            <w:i w:val="0"/>
            <w:iCs w:val="0"/>
          </w:rPr>
          <w:t>5930- دیوان قیصر شاملو أو شعره‏</w:t>
        </w:r>
        <w:r>
          <w:tab/>
        </w:r>
        <w:r>
          <w:fldChar w:fldCharType="begin"/>
        </w:r>
        <w:r>
          <w:instrText xml:space="preserve">PAGEREF 6545 \h</w:instrText>
        </w:r>
        <w:r>
          <w:fldChar w:fldCharType="end"/>
        </w:r>
      </w:hyperlink>
    </w:p>
    <w:p>
      <w:pPr>
        <w:tabs>
          <w:tab w:val="right" w:leader="dot" w:pos="9062"/>
        </w:tabs>
        <w:ind w:left="440"/>
      </w:pPr>
      <w:hyperlink w:anchor="_Toc6546" w:history="1">
        <w:r>
          <w:rPr>
            <w:rFonts w:ascii="IRNazanin" w:hAnsi="IRNazanin" w:eastAsia="IRNazanin" w:cs="IRNazanin"/>
            <w:color w:val="111111"/>
            <w:sz w:val="22"/>
            <w:szCs w:val="22"/>
            <w:b w:val="0"/>
            <w:bCs w:val="0"/>
            <w:i w:val="0"/>
            <w:iCs w:val="0"/>
          </w:rPr>
          <w:t>5931- دیوان قیصری شیرازی أو شعره‏</w:t>
        </w:r>
        <w:r>
          <w:tab/>
        </w:r>
        <w:r>
          <w:fldChar w:fldCharType="begin"/>
        </w:r>
        <w:r>
          <w:instrText xml:space="preserve">PAGEREF 6546 \h</w:instrText>
        </w:r>
        <w:r>
          <w:fldChar w:fldCharType="end"/>
        </w:r>
      </w:hyperlink>
    </w:p>
    <w:p>
      <w:pPr>
        <w:tabs>
          <w:tab w:val="right" w:leader="dot" w:pos="9062"/>
        </w:tabs>
        <w:ind w:left="440"/>
      </w:pPr>
      <w:hyperlink w:anchor="_Toc6547" w:history="1">
        <w:r>
          <w:rPr>
            <w:rFonts w:ascii="IRNazanin" w:hAnsi="IRNazanin" w:eastAsia="IRNazanin" w:cs="IRNazanin"/>
            <w:color w:val="111111"/>
            <w:sz w:val="22"/>
            <w:szCs w:val="22"/>
            <w:b w:val="0"/>
            <w:bCs w:val="0"/>
            <w:i w:val="0"/>
            <w:iCs w:val="0"/>
          </w:rPr>
          <w:t>5932- دیوان القیم الحلی‏</w:t>
        </w:r>
        <w:r>
          <w:tab/>
        </w:r>
        <w:r>
          <w:fldChar w:fldCharType="begin"/>
        </w:r>
        <w:r>
          <w:instrText xml:space="preserve">PAGEREF 6547 \h</w:instrText>
        </w:r>
        <w:r>
          <w:fldChar w:fldCharType="end"/>
        </w:r>
      </w:hyperlink>
    </w:p>
    <w:p>
      <w:pPr>
        <w:tabs>
          <w:tab w:val="right" w:leader="dot" w:pos="9062"/>
        </w:tabs>
        <w:ind w:left="440"/>
      </w:pPr>
      <w:hyperlink w:anchor="_Toc6548" w:history="1">
        <w:r>
          <w:rPr>
            <w:rFonts w:ascii="IRNazanin" w:hAnsi="IRNazanin" w:eastAsia="IRNazanin" w:cs="IRNazanin"/>
            <w:color w:val="111111"/>
            <w:sz w:val="22"/>
            <w:szCs w:val="22"/>
            <w:b w:val="0"/>
            <w:bCs w:val="0"/>
            <w:i w:val="0"/>
            <w:iCs w:val="0"/>
          </w:rPr>
          <w:t>ک‏</w:t>
        </w:r>
        <w:r>
          <w:tab/>
        </w:r>
        <w:r>
          <w:fldChar w:fldCharType="begin"/>
        </w:r>
        <w:r>
          <w:instrText xml:space="preserve">PAGEREF 6548 \h</w:instrText>
        </w:r>
        <w:r>
          <w:fldChar w:fldCharType="end"/>
        </w:r>
      </w:hyperlink>
    </w:p>
    <w:p>
      <w:pPr>
        <w:tabs>
          <w:tab w:val="right" w:leader="dot" w:pos="9062"/>
        </w:tabs>
        <w:ind w:left="440"/>
      </w:pPr>
      <w:hyperlink w:anchor="_Toc6549" w:history="1">
        <w:r>
          <w:rPr>
            <w:rFonts w:ascii="IRNazanin" w:hAnsi="IRNazanin" w:eastAsia="IRNazanin" w:cs="IRNazanin"/>
            <w:color w:val="111111"/>
            <w:sz w:val="22"/>
            <w:szCs w:val="22"/>
            <w:b w:val="0"/>
            <w:bCs w:val="0"/>
            <w:i w:val="0"/>
            <w:iCs w:val="0"/>
          </w:rPr>
          <w:t>دیوان کابلی‏</w:t>
        </w:r>
        <w:r>
          <w:tab/>
        </w:r>
        <w:r>
          <w:fldChar w:fldCharType="begin"/>
        </w:r>
        <w:r>
          <w:instrText xml:space="preserve">PAGEREF 6549 \h</w:instrText>
        </w:r>
        <w:r>
          <w:fldChar w:fldCharType="end"/>
        </w:r>
      </w:hyperlink>
    </w:p>
    <w:p>
      <w:pPr>
        <w:tabs>
          <w:tab w:val="right" w:leader="dot" w:pos="9062"/>
        </w:tabs>
        <w:ind w:left="440"/>
      </w:pPr>
      <w:hyperlink w:anchor="_Toc6550" w:history="1">
        <w:r>
          <w:rPr>
            <w:rFonts w:ascii="IRNazanin" w:hAnsi="IRNazanin" w:eastAsia="IRNazanin" w:cs="IRNazanin"/>
            <w:color w:val="111111"/>
            <w:sz w:val="22"/>
            <w:szCs w:val="22"/>
            <w:b w:val="0"/>
            <w:bCs w:val="0"/>
            <w:i w:val="0"/>
            <w:iCs w:val="0"/>
          </w:rPr>
          <w:t>دیوان کاتب‏</w:t>
        </w:r>
        <w:r>
          <w:tab/>
        </w:r>
        <w:r>
          <w:fldChar w:fldCharType="begin"/>
        </w:r>
        <w:r>
          <w:instrText xml:space="preserve">PAGEREF 6550 \h</w:instrText>
        </w:r>
        <w:r>
          <w:fldChar w:fldCharType="end"/>
        </w:r>
      </w:hyperlink>
    </w:p>
    <w:p>
      <w:pPr>
        <w:tabs>
          <w:tab w:val="right" w:leader="dot" w:pos="9062"/>
        </w:tabs>
        <w:ind w:left="440"/>
      </w:pPr>
      <w:hyperlink w:anchor="_Toc6551" w:history="1">
        <w:r>
          <w:rPr>
            <w:rFonts w:ascii="IRNazanin" w:hAnsi="IRNazanin" w:eastAsia="IRNazanin" w:cs="IRNazanin"/>
            <w:color w:val="111111"/>
            <w:sz w:val="22"/>
            <w:szCs w:val="22"/>
            <w:b w:val="0"/>
            <w:bCs w:val="0"/>
            <w:i w:val="0"/>
            <w:iCs w:val="0"/>
          </w:rPr>
          <w:t>5933- دیوان کاتب‏</w:t>
        </w:r>
        <w:r>
          <w:tab/>
        </w:r>
        <w:r>
          <w:fldChar w:fldCharType="begin"/>
        </w:r>
        <w:r>
          <w:instrText xml:space="preserve">PAGEREF 6551 \h</w:instrText>
        </w:r>
        <w:r>
          <w:fldChar w:fldCharType="end"/>
        </w:r>
      </w:hyperlink>
    </w:p>
    <w:p>
      <w:pPr>
        <w:tabs>
          <w:tab w:val="right" w:leader="dot" w:pos="9062"/>
        </w:tabs>
        <w:ind w:left="440"/>
      </w:pPr>
      <w:hyperlink w:anchor="_Toc6552" w:history="1">
        <w:r>
          <w:rPr>
            <w:rFonts w:ascii="IRNazanin" w:hAnsi="IRNazanin" w:eastAsia="IRNazanin" w:cs="IRNazanin"/>
            <w:color w:val="111111"/>
            <w:sz w:val="22"/>
            <w:szCs w:val="22"/>
            <w:b w:val="0"/>
            <w:bCs w:val="0"/>
            <w:i w:val="0"/>
            <w:iCs w:val="0"/>
          </w:rPr>
          <w:t>5934- دیوان کاتب خراسانی أو شعره‏</w:t>
        </w:r>
        <w:r>
          <w:tab/>
        </w:r>
        <w:r>
          <w:fldChar w:fldCharType="begin"/>
        </w:r>
        <w:r>
          <w:instrText xml:space="preserve">PAGEREF 6552 \h</w:instrText>
        </w:r>
        <w:r>
          <w:fldChar w:fldCharType="end"/>
        </w:r>
      </w:hyperlink>
    </w:p>
    <w:p>
      <w:pPr>
        <w:tabs>
          <w:tab w:val="right" w:leader="dot" w:pos="9062"/>
        </w:tabs>
        <w:ind w:left="440"/>
      </w:pPr>
      <w:hyperlink w:anchor="_Toc6553" w:history="1">
        <w:r>
          <w:rPr>
            <w:rFonts w:ascii="IRNazanin" w:hAnsi="IRNazanin" w:eastAsia="IRNazanin" w:cs="IRNazanin"/>
            <w:color w:val="111111"/>
            <w:sz w:val="22"/>
            <w:szCs w:val="22"/>
            <w:b w:val="0"/>
            <w:bCs w:val="0"/>
            <w:i w:val="0"/>
            <w:iCs w:val="0"/>
          </w:rPr>
          <w:t>5935- دیوان الشیخ کاتب الطریحی‏</w:t>
        </w:r>
        <w:r>
          <w:tab/>
        </w:r>
        <w:r>
          <w:fldChar w:fldCharType="begin"/>
        </w:r>
        <w:r>
          <w:instrText xml:space="preserve">PAGEREF 6553 \h</w:instrText>
        </w:r>
        <w:r>
          <w:fldChar w:fldCharType="end"/>
        </w:r>
      </w:hyperlink>
    </w:p>
    <w:p>
      <w:pPr>
        <w:tabs>
          <w:tab w:val="right" w:leader="dot" w:pos="9062"/>
        </w:tabs>
        <w:ind w:left="440"/>
      </w:pPr>
      <w:hyperlink w:anchor="_Toc6554" w:history="1">
        <w:r>
          <w:rPr>
            <w:rFonts w:ascii="IRNazanin" w:hAnsi="IRNazanin" w:eastAsia="IRNazanin" w:cs="IRNazanin"/>
            <w:color w:val="111111"/>
            <w:sz w:val="22"/>
            <w:szCs w:val="22"/>
            <w:b w:val="0"/>
            <w:bCs w:val="0"/>
            <w:i w:val="0"/>
            <w:iCs w:val="0"/>
          </w:rPr>
          <w:t>5936- دیوان کاتب هروی‏</w:t>
        </w:r>
        <w:r>
          <w:tab/>
        </w:r>
        <w:r>
          <w:fldChar w:fldCharType="begin"/>
        </w:r>
        <w:r>
          <w:instrText xml:space="preserve">PAGEREF 6554 \h</w:instrText>
        </w:r>
        <w:r>
          <w:fldChar w:fldCharType="end"/>
        </w:r>
      </w:hyperlink>
    </w:p>
    <w:p>
      <w:pPr>
        <w:tabs>
          <w:tab w:val="right" w:leader="dot" w:pos="9062"/>
        </w:tabs>
        <w:ind w:left="440"/>
      </w:pPr>
      <w:hyperlink w:anchor="_Toc6555" w:history="1">
        <w:r>
          <w:rPr>
            <w:rFonts w:ascii="IRNazanin" w:hAnsi="IRNazanin" w:eastAsia="IRNazanin" w:cs="IRNazanin"/>
            <w:color w:val="111111"/>
            <w:sz w:val="22"/>
            <w:szCs w:val="22"/>
            <w:b w:val="0"/>
            <w:bCs w:val="0"/>
            <w:i w:val="0"/>
            <w:iCs w:val="0"/>
          </w:rPr>
          <w:t>5937- دیوان کاتب هروی‏</w:t>
        </w:r>
        <w:r>
          <w:tab/>
        </w:r>
        <w:r>
          <w:fldChar w:fldCharType="begin"/>
        </w:r>
        <w:r>
          <w:instrText xml:space="preserve">PAGEREF 6555 \h</w:instrText>
        </w:r>
        <w:r>
          <w:fldChar w:fldCharType="end"/>
        </w:r>
      </w:hyperlink>
    </w:p>
    <w:p>
      <w:pPr>
        <w:tabs>
          <w:tab w:val="right" w:leader="dot" w:pos="9062"/>
        </w:tabs>
        <w:ind w:left="440"/>
      </w:pPr>
      <w:hyperlink w:anchor="_Toc6556" w:history="1">
        <w:r>
          <w:rPr>
            <w:rFonts w:ascii="IRNazanin" w:hAnsi="IRNazanin" w:eastAsia="IRNazanin" w:cs="IRNazanin"/>
            <w:color w:val="111111"/>
            <w:sz w:val="22"/>
            <w:szCs w:val="22"/>
            <w:b w:val="0"/>
            <w:bCs w:val="0"/>
            <w:i w:val="0"/>
            <w:iCs w:val="0"/>
          </w:rPr>
          <w:t>5938- دیوان کاتب یزدی أو شعره‏</w:t>
        </w:r>
        <w:r>
          <w:tab/>
        </w:r>
        <w:r>
          <w:fldChar w:fldCharType="begin"/>
        </w:r>
        <w:r>
          <w:instrText xml:space="preserve">PAGEREF 6556 \h</w:instrText>
        </w:r>
        <w:r>
          <w:fldChar w:fldCharType="end"/>
        </w:r>
      </w:hyperlink>
    </w:p>
    <w:p>
      <w:pPr>
        <w:tabs>
          <w:tab w:val="right" w:leader="dot" w:pos="9062"/>
        </w:tabs>
        <w:ind w:left="440"/>
      </w:pPr>
      <w:hyperlink w:anchor="_Toc6557" w:history="1">
        <w:r>
          <w:rPr>
            <w:rFonts w:ascii="IRNazanin" w:hAnsi="IRNazanin" w:eastAsia="IRNazanin" w:cs="IRNazanin"/>
            <w:color w:val="111111"/>
            <w:sz w:val="22"/>
            <w:szCs w:val="22"/>
            <w:b w:val="0"/>
            <w:bCs w:val="0"/>
            <w:i w:val="0"/>
            <w:iCs w:val="0"/>
          </w:rPr>
          <w:t>دیوان کاتب یزدی‏</w:t>
        </w:r>
        <w:r>
          <w:tab/>
        </w:r>
        <w:r>
          <w:fldChar w:fldCharType="begin"/>
        </w:r>
        <w:r>
          <w:instrText xml:space="preserve">PAGEREF 6557 \h</w:instrText>
        </w:r>
        <w:r>
          <w:fldChar w:fldCharType="end"/>
        </w:r>
      </w:hyperlink>
    </w:p>
    <w:p>
      <w:pPr>
        <w:tabs>
          <w:tab w:val="right" w:leader="dot" w:pos="9062"/>
        </w:tabs>
        <w:ind w:left="440"/>
      </w:pPr>
      <w:hyperlink w:anchor="_Toc6558" w:history="1">
        <w:r>
          <w:rPr>
            <w:rFonts w:ascii="IRNazanin" w:hAnsi="IRNazanin" w:eastAsia="IRNazanin" w:cs="IRNazanin"/>
            <w:color w:val="111111"/>
            <w:sz w:val="22"/>
            <w:szCs w:val="22"/>
            <w:b w:val="0"/>
            <w:bCs w:val="0"/>
            <w:i w:val="0"/>
            <w:iCs w:val="0"/>
          </w:rPr>
          <w:t>دیوان کاتبی أصفهانی‏</w:t>
        </w:r>
        <w:r>
          <w:tab/>
        </w:r>
        <w:r>
          <w:fldChar w:fldCharType="begin"/>
        </w:r>
        <w:r>
          <w:instrText xml:space="preserve">PAGEREF 6558 \h</w:instrText>
        </w:r>
        <w:r>
          <w:fldChar w:fldCharType="end"/>
        </w:r>
      </w:hyperlink>
    </w:p>
    <w:p>
      <w:pPr>
        <w:tabs>
          <w:tab w:val="right" w:leader="dot" w:pos="9062"/>
        </w:tabs>
        <w:ind w:left="440"/>
      </w:pPr>
      <w:hyperlink w:anchor="_Toc6559" w:history="1">
        <w:r>
          <w:rPr>
            <w:rFonts w:ascii="IRNazanin" w:hAnsi="IRNazanin" w:eastAsia="IRNazanin" w:cs="IRNazanin"/>
            <w:color w:val="111111"/>
            <w:sz w:val="22"/>
            <w:szCs w:val="22"/>
            <w:b w:val="0"/>
            <w:bCs w:val="0"/>
            <w:i w:val="0"/>
            <w:iCs w:val="0"/>
          </w:rPr>
          <w:t>دیوان کاتبی بدخشی‏</w:t>
        </w:r>
        <w:r>
          <w:tab/>
        </w:r>
        <w:r>
          <w:fldChar w:fldCharType="begin"/>
        </w:r>
        <w:r>
          <w:instrText xml:space="preserve">PAGEREF 6559 \h</w:instrText>
        </w:r>
        <w:r>
          <w:fldChar w:fldCharType="end"/>
        </w:r>
      </w:hyperlink>
    </w:p>
    <w:p>
      <w:pPr>
        <w:tabs>
          <w:tab w:val="right" w:leader="dot" w:pos="9062"/>
        </w:tabs>
        <w:ind w:left="440"/>
      </w:pPr>
      <w:hyperlink w:anchor="_Toc6560" w:history="1">
        <w:r>
          <w:rPr>
            <w:rFonts w:ascii="IRNazanin" w:hAnsi="IRNazanin" w:eastAsia="IRNazanin" w:cs="IRNazanin"/>
            <w:color w:val="111111"/>
            <w:sz w:val="22"/>
            <w:szCs w:val="22"/>
            <w:b w:val="0"/>
            <w:bCs w:val="0"/>
            <w:i w:val="0"/>
            <w:iCs w:val="0"/>
          </w:rPr>
          <w:t>5939- دیوان کاتبی تبریزی‏</w:t>
        </w:r>
        <w:r>
          <w:tab/>
        </w:r>
        <w:r>
          <w:fldChar w:fldCharType="begin"/>
        </w:r>
        <w:r>
          <w:instrText xml:space="preserve">PAGEREF 6560 \h</w:instrText>
        </w:r>
        <w:r>
          <w:fldChar w:fldCharType="end"/>
        </w:r>
      </w:hyperlink>
    </w:p>
    <w:p>
      <w:pPr>
        <w:tabs>
          <w:tab w:val="right" w:leader="dot" w:pos="9062"/>
        </w:tabs>
        <w:ind w:left="440"/>
      </w:pPr>
      <w:hyperlink w:anchor="_Toc6561" w:history="1">
        <w:r>
          <w:rPr>
            <w:rFonts w:ascii="IRNazanin" w:hAnsi="IRNazanin" w:eastAsia="IRNazanin" w:cs="IRNazanin"/>
            <w:color w:val="111111"/>
            <w:sz w:val="22"/>
            <w:szCs w:val="22"/>
            <w:b w:val="0"/>
            <w:bCs w:val="0"/>
            <w:i w:val="0"/>
            <w:iCs w:val="0"/>
          </w:rPr>
          <w:t>5940- دیوان کاتبی ترشیزی‏</w:t>
        </w:r>
        <w:r>
          <w:tab/>
        </w:r>
        <w:r>
          <w:fldChar w:fldCharType="begin"/>
        </w:r>
        <w:r>
          <w:instrText xml:space="preserve">PAGEREF 6561 \h</w:instrText>
        </w:r>
        <w:r>
          <w:fldChar w:fldCharType="end"/>
        </w:r>
      </w:hyperlink>
    </w:p>
    <w:p>
      <w:pPr>
        <w:tabs>
          <w:tab w:val="right" w:leader="dot" w:pos="9062"/>
        </w:tabs>
        <w:ind w:left="440"/>
      </w:pPr>
      <w:hyperlink w:anchor="_Toc6562" w:history="1">
        <w:r>
          <w:rPr>
            <w:rFonts w:ascii="IRNazanin" w:hAnsi="IRNazanin" w:eastAsia="IRNazanin" w:cs="IRNazanin"/>
            <w:color w:val="111111"/>
            <w:sz w:val="22"/>
            <w:szCs w:val="22"/>
            <w:b w:val="0"/>
            <w:bCs w:val="0"/>
            <w:i w:val="0"/>
            <w:iCs w:val="0"/>
          </w:rPr>
          <w:t>5941- دیوان کاتبی مشهدی أو شعره‏</w:t>
        </w:r>
        <w:r>
          <w:tab/>
        </w:r>
        <w:r>
          <w:fldChar w:fldCharType="begin"/>
        </w:r>
        <w:r>
          <w:instrText xml:space="preserve">PAGEREF 6562 \h</w:instrText>
        </w:r>
        <w:r>
          <w:fldChar w:fldCharType="end"/>
        </w:r>
      </w:hyperlink>
    </w:p>
    <w:p>
      <w:pPr>
        <w:tabs>
          <w:tab w:val="right" w:leader="dot" w:pos="9062"/>
        </w:tabs>
        <w:ind w:left="440"/>
      </w:pPr>
      <w:hyperlink w:anchor="_Toc6563" w:history="1">
        <w:r>
          <w:rPr>
            <w:rFonts w:ascii="IRNazanin" w:hAnsi="IRNazanin" w:eastAsia="IRNazanin" w:cs="IRNazanin"/>
            <w:color w:val="111111"/>
            <w:sz w:val="22"/>
            <w:szCs w:val="22"/>
            <w:b w:val="0"/>
            <w:bCs w:val="0"/>
            <w:i w:val="0"/>
            <w:iCs w:val="0"/>
          </w:rPr>
          <w:t>دیوان کاتبی نیشابوری‏</w:t>
        </w:r>
        <w:r>
          <w:tab/>
        </w:r>
        <w:r>
          <w:fldChar w:fldCharType="begin"/>
        </w:r>
        <w:r>
          <w:instrText xml:space="preserve">PAGEREF 6563 \h</w:instrText>
        </w:r>
        <w:r>
          <w:fldChar w:fldCharType="end"/>
        </w:r>
      </w:hyperlink>
    </w:p>
    <w:p>
      <w:pPr>
        <w:tabs>
          <w:tab w:val="right" w:leader="dot" w:pos="9062"/>
        </w:tabs>
        <w:ind w:left="440"/>
      </w:pPr>
      <w:hyperlink w:anchor="_Toc6564" w:history="1">
        <w:r>
          <w:rPr>
            <w:rFonts w:ascii="IRNazanin" w:hAnsi="IRNazanin" w:eastAsia="IRNazanin" w:cs="IRNazanin"/>
            <w:color w:val="111111"/>
            <w:sz w:val="22"/>
            <w:szCs w:val="22"/>
            <w:b w:val="0"/>
            <w:bCs w:val="0"/>
            <w:i w:val="0"/>
            <w:iCs w:val="0"/>
          </w:rPr>
          <w:t>دیوان کاتبی هروی‏</w:t>
        </w:r>
        <w:r>
          <w:tab/>
        </w:r>
        <w:r>
          <w:fldChar w:fldCharType="begin"/>
        </w:r>
        <w:r>
          <w:instrText xml:space="preserve">PAGEREF 6564 \h</w:instrText>
        </w:r>
        <w:r>
          <w:fldChar w:fldCharType="end"/>
        </w:r>
      </w:hyperlink>
    </w:p>
    <w:p>
      <w:pPr>
        <w:tabs>
          <w:tab w:val="right" w:leader="dot" w:pos="9062"/>
        </w:tabs>
        <w:ind w:left="440"/>
      </w:pPr>
      <w:hyperlink w:anchor="_Toc6565" w:history="1">
        <w:r>
          <w:rPr>
            <w:rFonts w:ascii="IRNazanin" w:hAnsi="IRNazanin" w:eastAsia="IRNazanin" w:cs="IRNazanin"/>
            <w:color w:val="111111"/>
            <w:sz w:val="22"/>
            <w:szCs w:val="22"/>
            <w:b w:val="0"/>
            <w:bCs w:val="0"/>
            <w:i w:val="0"/>
            <w:iCs w:val="0"/>
          </w:rPr>
          <w:t>دیوان کاتبی یزدی‏</w:t>
        </w:r>
        <w:r>
          <w:tab/>
        </w:r>
        <w:r>
          <w:fldChar w:fldCharType="begin"/>
        </w:r>
        <w:r>
          <w:instrText xml:space="preserve">PAGEREF 6565 \h</w:instrText>
        </w:r>
        <w:r>
          <w:fldChar w:fldCharType="end"/>
        </w:r>
      </w:hyperlink>
    </w:p>
    <w:p>
      <w:pPr>
        <w:tabs>
          <w:tab w:val="right" w:leader="dot" w:pos="9062"/>
        </w:tabs>
        <w:ind w:left="440"/>
      </w:pPr>
      <w:hyperlink w:anchor="_Toc6566" w:history="1">
        <w:r>
          <w:rPr>
            <w:rFonts w:ascii="IRNazanin" w:hAnsi="IRNazanin" w:eastAsia="IRNazanin" w:cs="IRNazanin"/>
            <w:color w:val="111111"/>
            <w:sz w:val="22"/>
            <w:szCs w:val="22"/>
            <w:b w:val="0"/>
            <w:bCs w:val="0"/>
            <w:i w:val="0"/>
            <w:iCs w:val="0"/>
          </w:rPr>
          <w:t>5942- دیوان کاتبی یزدی أو شعره‏</w:t>
        </w:r>
        <w:r>
          <w:tab/>
        </w:r>
        <w:r>
          <w:fldChar w:fldCharType="begin"/>
        </w:r>
        <w:r>
          <w:instrText xml:space="preserve">PAGEREF 6566 \h</w:instrText>
        </w:r>
        <w:r>
          <w:fldChar w:fldCharType="end"/>
        </w:r>
      </w:hyperlink>
    </w:p>
    <w:p>
      <w:pPr>
        <w:tabs>
          <w:tab w:val="right" w:leader="dot" w:pos="9062"/>
        </w:tabs>
        <w:ind w:left="440"/>
      </w:pPr>
      <w:hyperlink w:anchor="_Toc6567" w:history="1">
        <w:r>
          <w:rPr>
            <w:rFonts w:ascii="IRNazanin" w:hAnsi="IRNazanin" w:eastAsia="IRNazanin" w:cs="IRNazanin"/>
            <w:color w:val="111111"/>
            <w:sz w:val="22"/>
            <w:szCs w:val="22"/>
            <w:b w:val="0"/>
            <w:bCs w:val="0"/>
            <w:i w:val="0"/>
            <w:iCs w:val="0"/>
          </w:rPr>
          <w:t>5943- دیوان کاسبی‏</w:t>
        </w:r>
        <w:r>
          <w:tab/>
        </w:r>
        <w:r>
          <w:fldChar w:fldCharType="begin"/>
        </w:r>
        <w:r>
          <w:instrText xml:space="preserve">PAGEREF 6567 \h</w:instrText>
        </w:r>
        <w:r>
          <w:fldChar w:fldCharType="end"/>
        </w:r>
      </w:hyperlink>
    </w:p>
    <w:p>
      <w:pPr>
        <w:tabs>
          <w:tab w:val="right" w:leader="dot" w:pos="9062"/>
        </w:tabs>
        <w:ind w:left="440"/>
      </w:pPr>
      <w:hyperlink w:anchor="_Toc6568" w:history="1">
        <w:r>
          <w:rPr>
            <w:rFonts w:ascii="IRNazanin" w:hAnsi="IRNazanin" w:eastAsia="IRNazanin" w:cs="IRNazanin"/>
            <w:color w:val="111111"/>
            <w:sz w:val="22"/>
            <w:szCs w:val="22"/>
            <w:b w:val="0"/>
            <w:bCs w:val="0"/>
            <w:i w:val="0"/>
            <w:iCs w:val="0"/>
          </w:rPr>
          <w:t>5944- دیوان کاشانی‏</w:t>
        </w:r>
        <w:r>
          <w:tab/>
        </w:r>
        <w:r>
          <w:fldChar w:fldCharType="begin"/>
        </w:r>
        <w:r>
          <w:instrText xml:space="preserve">PAGEREF 6568 \h</w:instrText>
        </w:r>
        <w:r>
          <w:fldChar w:fldCharType="end"/>
        </w:r>
      </w:hyperlink>
    </w:p>
    <w:p>
      <w:pPr>
        <w:tabs>
          <w:tab w:val="right" w:leader="dot" w:pos="9062"/>
        </w:tabs>
        <w:ind w:left="440"/>
      </w:pPr>
      <w:hyperlink w:anchor="_Toc6569" w:history="1">
        <w:r>
          <w:rPr>
            <w:rFonts w:ascii="IRNazanin" w:hAnsi="IRNazanin" w:eastAsia="IRNazanin" w:cs="IRNazanin"/>
            <w:color w:val="111111"/>
            <w:sz w:val="22"/>
            <w:szCs w:val="22"/>
            <w:b w:val="0"/>
            <w:bCs w:val="0"/>
            <w:i w:val="0"/>
            <w:iCs w:val="0"/>
          </w:rPr>
          <w:t>5945- دیوان کاشف أصفهانی‏</w:t>
        </w:r>
        <w:r>
          <w:tab/>
        </w:r>
        <w:r>
          <w:fldChar w:fldCharType="begin"/>
        </w:r>
        <w:r>
          <w:instrText xml:space="preserve">PAGEREF 6569 \h</w:instrText>
        </w:r>
        <w:r>
          <w:fldChar w:fldCharType="end"/>
        </w:r>
      </w:hyperlink>
    </w:p>
    <w:p>
      <w:pPr>
        <w:tabs>
          <w:tab w:val="right" w:leader="dot" w:pos="9062"/>
        </w:tabs>
        <w:ind w:left="440"/>
      </w:pPr>
      <w:hyperlink w:anchor="_Toc6570" w:history="1">
        <w:r>
          <w:rPr>
            <w:rFonts w:ascii="IRNazanin" w:hAnsi="IRNazanin" w:eastAsia="IRNazanin" w:cs="IRNazanin"/>
            <w:color w:val="111111"/>
            <w:sz w:val="22"/>
            <w:szCs w:val="22"/>
            <w:b w:val="0"/>
            <w:bCs w:val="0"/>
            <w:i w:val="0"/>
            <w:iCs w:val="0"/>
          </w:rPr>
          <w:t>دیوان کاشف درشتی‏</w:t>
        </w:r>
        <w:r>
          <w:tab/>
        </w:r>
        <w:r>
          <w:fldChar w:fldCharType="begin"/>
        </w:r>
        <w:r>
          <w:instrText xml:space="preserve">PAGEREF 6570 \h</w:instrText>
        </w:r>
        <w:r>
          <w:fldChar w:fldCharType="end"/>
        </w:r>
      </w:hyperlink>
    </w:p>
    <w:p>
      <w:pPr>
        <w:tabs>
          <w:tab w:val="right" w:leader="dot" w:pos="9062"/>
        </w:tabs>
        <w:ind w:left="440"/>
      </w:pPr>
      <w:hyperlink w:anchor="_Toc6571" w:history="1">
        <w:r>
          <w:rPr>
            <w:rFonts w:ascii="IRNazanin" w:hAnsi="IRNazanin" w:eastAsia="IRNazanin" w:cs="IRNazanin"/>
            <w:color w:val="111111"/>
            <w:sz w:val="22"/>
            <w:szCs w:val="22"/>
            <w:b w:val="0"/>
            <w:bCs w:val="0"/>
            <w:i w:val="0"/>
            <w:iCs w:val="0"/>
          </w:rPr>
          <w:t>5946- دیوان کاشف دزفولی‏</w:t>
        </w:r>
        <w:r>
          <w:tab/>
        </w:r>
        <w:r>
          <w:fldChar w:fldCharType="begin"/>
        </w:r>
        <w:r>
          <w:instrText xml:space="preserve">PAGEREF 6571 \h</w:instrText>
        </w:r>
        <w:r>
          <w:fldChar w:fldCharType="end"/>
        </w:r>
      </w:hyperlink>
    </w:p>
    <w:p>
      <w:pPr>
        <w:tabs>
          <w:tab w:val="right" w:leader="dot" w:pos="9062"/>
        </w:tabs>
        <w:ind w:left="440"/>
      </w:pPr>
      <w:hyperlink w:anchor="_Toc6572" w:history="1">
        <w:r>
          <w:rPr>
            <w:rFonts w:ascii="IRNazanin" w:hAnsi="IRNazanin" w:eastAsia="IRNazanin" w:cs="IRNazanin"/>
            <w:color w:val="111111"/>
            <w:sz w:val="22"/>
            <w:szCs w:val="22"/>
            <w:b w:val="0"/>
            <w:bCs w:val="0"/>
            <w:i w:val="0"/>
            <w:iCs w:val="0"/>
          </w:rPr>
          <w:t>5947- دیوان کاشف شیرازی‏</w:t>
        </w:r>
        <w:r>
          <w:tab/>
        </w:r>
        <w:r>
          <w:fldChar w:fldCharType="begin"/>
        </w:r>
        <w:r>
          <w:instrText xml:space="preserve">PAGEREF 6572 \h</w:instrText>
        </w:r>
        <w:r>
          <w:fldChar w:fldCharType="end"/>
        </w:r>
      </w:hyperlink>
    </w:p>
    <w:p>
      <w:pPr>
        <w:tabs>
          <w:tab w:val="right" w:leader="dot" w:pos="9062"/>
        </w:tabs>
        <w:ind w:left="440"/>
      </w:pPr>
      <w:hyperlink w:anchor="_Toc6573" w:history="1">
        <w:r>
          <w:rPr>
            <w:rFonts w:ascii="IRNazanin" w:hAnsi="IRNazanin" w:eastAsia="IRNazanin" w:cs="IRNazanin"/>
            <w:color w:val="111111"/>
            <w:sz w:val="22"/>
            <w:szCs w:val="22"/>
            <w:b w:val="0"/>
            <w:bCs w:val="0"/>
            <w:i w:val="0"/>
            <w:iCs w:val="0"/>
          </w:rPr>
          <w:t>دیوان کاشف الغطاء</w:t>
        </w:r>
        <w:r>
          <w:tab/>
        </w:r>
        <w:r>
          <w:fldChar w:fldCharType="begin"/>
        </w:r>
        <w:r>
          <w:instrText xml:space="preserve">PAGEREF 6573 \h</w:instrText>
        </w:r>
        <w:r>
          <w:fldChar w:fldCharType="end"/>
        </w:r>
      </w:hyperlink>
    </w:p>
    <w:p>
      <w:pPr>
        <w:tabs>
          <w:tab w:val="right" w:leader="dot" w:pos="9062"/>
        </w:tabs>
        <w:ind w:left="440"/>
      </w:pPr>
      <w:hyperlink w:anchor="_Toc6574" w:history="1">
        <w:r>
          <w:rPr>
            <w:rFonts w:ascii="IRNazanin" w:hAnsi="IRNazanin" w:eastAsia="IRNazanin" w:cs="IRNazanin"/>
            <w:color w:val="111111"/>
            <w:sz w:val="22"/>
            <w:szCs w:val="22"/>
            <w:b w:val="0"/>
            <w:bCs w:val="0"/>
            <w:i w:val="0"/>
            <w:iCs w:val="0"/>
          </w:rPr>
          <w:t>5948- دیوان کاشف قراباغی أو شعره‏</w:t>
        </w:r>
        <w:r>
          <w:tab/>
        </w:r>
        <w:r>
          <w:fldChar w:fldCharType="begin"/>
        </w:r>
        <w:r>
          <w:instrText xml:space="preserve">PAGEREF 6574 \h</w:instrText>
        </w:r>
        <w:r>
          <w:fldChar w:fldCharType="end"/>
        </w:r>
      </w:hyperlink>
    </w:p>
    <w:p>
      <w:pPr>
        <w:tabs>
          <w:tab w:val="right" w:leader="dot" w:pos="9062"/>
        </w:tabs>
        <w:ind w:left="440"/>
      </w:pPr>
      <w:hyperlink w:anchor="_Toc6575" w:history="1">
        <w:r>
          <w:rPr>
            <w:rFonts w:ascii="IRNazanin" w:hAnsi="IRNazanin" w:eastAsia="IRNazanin" w:cs="IRNazanin"/>
            <w:color w:val="111111"/>
            <w:sz w:val="22"/>
            <w:szCs w:val="22"/>
            <w:b w:val="0"/>
            <w:bCs w:val="0"/>
            <w:i w:val="0"/>
            <w:iCs w:val="0"/>
          </w:rPr>
          <w:t>5949- دیوان کاشف قمی‏</w:t>
        </w:r>
        <w:r>
          <w:tab/>
        </w:r>
        <w:r>
          <w:fldChar w:fldCharType="begin"/>
        </w:r>
        <w:r>
          <w:instrText xml:space="preserve">PAGEREF 6575 \h</w:instrText>
        </w:r>
        <w:r>
          <w:fldChar w:fldCharType="end"/>
        </w:r>
      </w:hyperlink>
    </w:p>
    <w:p>
      <w:pPr>
        <w:tabs>
          <w:tab w:val="right" w:leader="dot" w:pos="9062"/>
        </w:tabs>
        <w:ind w:left="440"/>
      </w:pPr>
      <w:hyperlink w:anchor="_Toc6576" w:history="1">
        <w:r>
          <w:rPr>
            <w:rFonts w:ascii="IRNazanin" w:hAnsi="IRNazanin" w:eastAsia="IRNazanin" w:cs="IRNazanin"/>
            <w:color w:val="111111"/>
            <w:sz w:val="22"/>
            <w:szCs w:val="22"/>
            <w:b w:val="0"/>
            <w:bCs w:val="0"/>
            <w:i w:val="0"/>
            <w:iCs w:val="0"/>
          </w:rPr>
          <w:t>5950- دیوان کاشف یزدی أو شعره‏</w:t>
        </w:r>
        <w:r>
          <w:tab/>
        </w:r>
        <w:r>
          <w:fldChar w:fldCharType="begin"/>
        </w:r>
        <w:r>
          <w:instrText xml:space="preserve">PAGEREF 6576 \h</w:instrText>
        </w:r>
        <w:r>
          <w:fldChar w:fldCharType="end"/>
        </w:r>
      </w:hyperlink>
    </w:p>
    <w:p>
      <w:pPr>
        <w:tabs>
          <w:tab w:val="right" w:leader="dot" w:pos="9062"/>
        </w:tabs>
        <w:ind w:left="440"/>
      </w:pPr>
      <w:hyperlink w:anchor="_Toc6577" w:history="1">
        <w:r>
          <w:rPr>
            <w:rFonts w:ascii="IRNazanin" w:hAnsi="IRNazanin" w:eastAsia="IRNazanin" w:cs="IRNazanin"/>
            <w:color w:val="111111"/>
            <w:sz w:val="22"/>
            <w:szCs w:val="22"/>
            <w:b w:val="0"/>
            <w:bCs w:val="0"/>
            <w:i w:val="0"/>
            <w:iCs w:val="0"/>
          </w:rPr>
          <w:t>دیوان کاشفی‏</w:t>
        </w:r>
        <w:r>
          <w:tab/>
        </w:r>
        <w:r>
          <w:fldChar w:fldCharType="begin"/>
        </w:r>
        <w:r>
          <w:instrText xml:space="preserve">PAGEREF 6577 \h</w:instrText>
        </w:r>
        <w:r>
          <w:fldChar w:fldCharType="end"/>
        </w:r>
      </w:hyperlink>
    </w:p>
    <w:p>
      <w:pPr>
        <w:tabs>
          <w:tab w:val="right" w:leader="dot" w:pos="9062"/>
        </w:tabs>
        <w:ind w:left="440"/>
      </w:pPr>
      <w:hyperlink w:anchor="_Toc6578" w:history="1">
        <w:r>
          <w:rPr>
            <w:rFonts w:ascii="IRNazanin" w:hAnsi="IRNazanin" w:eastAsia="IRNazanin" w:cs="IRNazanin"/>
            <w:color w:val="111111"/>
            <w:sz w:val="22"/>
            <w:szCs w:val="22"/>
            <w:b w:val="0"/>
            <w:bCs w:val="0"/>
            <w:i w:val="0"/>
            <w:iCs w:val="0"/>
          </w:rPr>
          <w:t>5951- دیوان کاشفی بدخشانی أو شعره‏</w:t>
        </w:r>
        <w:r>
          <w:tab/>
        </w:r>
        <w:r>
          <w:fldChar w:fldCharType="begin"/>
        </w:r>
        <w:r>
          <w:instrText xml:space="preserve">PAGEREF 6578 \h</w:instrText>
        </w:r>
        <w:r>
          <w:fldChar w:fldCharType="end"/>
        </w:r>
      </w:hyperlink>
    </w:p>
    <w:p>
      <w:pPr>
        <w:tabs>
          <w:tab w:val="right" w:leader="dot" w:pos="9062"/>
        </w:tabs>
        <w:ind w:left="440"/>
      </w:pPr>
      <w:hyperlink w:anchor="_Toc6579" w:history="1">
        <w:r>
          <w:rPr>
            <w:rFonts w:ascii="IRNazanin" w:hAnsi="IRNazanin" w:eastAsia="IRNazanin" w:cs="IRNazanin"/>
            <w:color w:val="111111"/>
            <w:sz w:val="22"/>
            <w:szCs w:val="22"/>
            <w:b w:val="0"/>
            <w:bCs w:val="0"/>
            <w:i w:val="0"/>
            <w:iCs w:val="0"/>
          </w:rPr>
          <w:t>5952- دیوان کاشفی سبزواری‏</w:t>
        </w:r>
        <w:r>
          <w:tab/>
        </w:r>
        <w:r>
          <w:fldChar w:fldCharType="begin"/>
        </w:r>
        <w:r>
          <w:instrText xml:space="preserve">PAGEREF 6579 \h</w:instrText>
        </w:r>
        <w:r>
          <w:fldChar w:fldCharType="end"/>
        </w:r>
      </w:hyperlink>
    </w:p>
    <w:p>
      <w:pPr>
        <w:tabs>
          <w:tab w:val="right" w:leader="dot" w:pos="9062"/>
        </w:tabs>
        <w:ind w:left="440"/>
      </w:pPr>
      <w:hyperlink w:anchor="_Toc6580" w:history="1">
        <w:r>
          <w:rPr>
            <w:rFonts w:ascii="IRNazanin" w:hAnsi="IRNazanin" w:eastAsia="IRNazanin" w:cs="IRNazanin"/>
            <w:color w:val="111111"/>
            <w:sz w:val="22"/>
            <w:szCs w:val="22"/>
            <w:b w:val="0"/>
            <w:bCs w:val="0"/>
            <w:i w:val="0"/>
            <w:iCs w:val="0"/>
          </w:rPr>
          <w:t>دیوان کاشی‏</w:t>
        </w:r>
        <w:r>
          <w:tab/>
        </w:r>
        <w:r>
          <w:fldChar w:fldCharType="begin"/>
        </w:r>
        <w:r>
          <w:instrText xml:space="preserve">PAGEREF 6580 \h</w:instrText>
        </w:r>
        <w:r>
          <w:fldChar w:fldCharType="end"/>
        </w:r>
      </w:hyperlink>
    </w:p>
    <w:p>
      <w:pPr>
        <w:tabs>
          <w:tab w:val="right" w:leader="dot" w:pos="9062"/>
        </w:tabs>
        <w:ind w:left="440"/>
      </w:pPr>
      <w:hyperlink w:anchor="_Toc6581" w:history="1">
        <w:r>
          <w:rPr>
            <w:rFonts w:ascii="IRNazanin" w:hAnsi="IRNazanin" w:eastAsia="IRNazanin" w:cs="IRNazanin"/>
            <w:color w:val="111111"/>
            <w:sz w:val="22"/>
            <w:szCs w:val="22"/>
            <w:b w:val="0"/>
            <w:bCs w:val="0"/>
            <w:i w:val="0"/>
            <w:iCs w:val="0"/>
          </w:rPr>
          <w:t>5953- دیوان کاشی‏</w:t>
        </w:r>
        <w:r>
          <w:tab/>
        </w:r>
        <w:r>
          <w:fldChar w:fldCharType="begin"/>
        </w:r>
        <w:r>
          <w:instrText xml:space="preserve">PAGEREF 6581 \h</w:instrText>
        </w:r>
        <w:r>
          <w:fldChar w:fldCharType="end"/>
        </w:r>
      </w:hyperlink>
    </w:p>
    <w:p>
      <w:pPr>
        <w:tabs>
          <w:tab w:val="right" w:leader="dot" w:pos="9062"/>
        </w:tabs>
        <w:ind w:left="440"/>
      </w:pPr>
      <w:hyperlink w:anchor="_Toc6582" w:history="1">
        <w:r>
          <w:rPr>
            <w:rFonts w:ascii="IRNazanin" w:hAnsi="IRNazanin" w:eastAsia="IRNazanin" w:cs="IRNazanin"/>
            <w:color w:val="111111"/>
            <w:sz w:val="22"/>
            <w:szCs w:val="22"/>
            <w:b w:val="0"/>
            <w:bCs w:val="0"/>
            <w:i w:val="0"/>
            <w:iCs w:val="0"/>
          </w:rPr>
          <w:t>5954- دیوان محمد کاظم أردبیلی‏</w:t>
        </w:r>
        <w:r>
          <w:tab/>
        </w:r>
        <w:r>
          <w:fldChar w:fldCharType="begin"/>
        </w:r>
        <w:r>
          <w:instrText xml:space="preserve">PAGEREF 6582 \h</w:instrText>
        </w:r>
        <w:r>
          <w:fldChar w:fldCharType="end"/>
        </w:r>
      </w:hyperlink>
    </w:p>
    <w:p>
      <w:pPr>
        <w:tabs>
          <w:tab w:val="right" w:leader="dot" w:pos="9062"/>
        </w:tabs>
        <w:ind w:left="440"/>
      </w:pPr>
      <w:hyperlink w:anchor="_Toc6583" w:history="1">
        <w:r>
          <w:rPr>
            <w:rFonts w:ascii="IRNazanin" w:hAnsi="IRNazanin" w:eastAsia="IRNazanin" w:cs="IRNazanin"/>
            <w:color w:val="111111"/>
            <w:sz w:val="22"/>
            <w:szCs w:val="22"/>
            <w:b w:val="0"/>
            <w:bCs w:val="0"/>
            <w:i w:val="0"/>
            <w:iCs w:val="0"/>
          </w:rPr>
          <w:t>دیوان الشیخ کاظم الأزری‏</w:t>
        </w:r>
        <w:r>
          <w:tab/>
        </w:r>
        <w:r>
          <w:fldChar w:fldCharType="begin"/>
        </w:r>
        <w:r>
          <w:instrText xml:space="preserve">PAGEREF 6583 \h</w:instrText>
        </w:r>
        <w:r>
          <w:fldChar w:fldCharType="end"/>
        </w:r>
      </w:hyperlink>
    </w:p>
    <w:p>
      <w:pPr>
        <w:tabs>
          <w:tab w:val="right" w:leader="dot" w:pos="9062"/>
        </w:tabs>
        <w:ind w:left="440"/>
      </w:pPr>
      <w:hyperlink w:anchor="_Toc6584" w:history="1">
        <w:r>
          <w:rPr>
            <w:rFonts w:ascii="IRNazanin" w:hAnsi="IRNazanin" w:eastAsia="IRNazanin" w:cs="IRNazanin"/>
            <w:color w:val="111111"/>
            <w:sz w:val="22"/>
            <w:szCs w:val="22"/>
            <w:b w:val="0"/>
            <w:bCs w:val="0"/>
            <w:i w:val="0"/>
            <w:iCs w:val="0"/>
          </w:rPr>
          <w:t>5955- دیوان کاظم أصفهانی أو شعره‏</w:t>
        </w:r>
        <w:r>
          <w:tab/>
        </w:r>
        <w:r>
          <w:fldChar w:fldCharType="begin"/>
        </w:r>
        <w:r>
          <w:instrText xml:space="preserve">PAGEREF 6584 \h</w:instrText>
        </w:r>
        <w:r>
          <w:fldChar w:fldCharType="end"/>
        </w:r>
      </w:hyperlink>
    </w:p>
    <w:p>
      <w:pPr>
        <w:tabs>
          <w:tab w:val="right" w:leader="dot" w:pos="9062"/>
        </w:tabs>
        <w:ind w:left="440"/>
      </w:pPr>
      <w:hyperlink w:anchor="_Toc6585" w:history="1">
        <w:r>
          <w:rPr>
            <w:rFonts w:ascii="IRNazanin" w:hAnsi="IRNazanin" w:eastAsia="IRNazanin" w:cs="IRNazanin"/>
            <w:color w:val="111111"/>
            <w:sz w:val="22"/>
            <w:szCs w:val="22"/>
            <w:b w:val="0"/>
            <w:bCs w:val="0"/>
            <w:i w:val="0"/>
            <w:iCs w:val="0"/>
          </w:rPr>
          <w:t>5956- دیوان کاظم بیدآبادی‏</w:t>
        </w:r>
        <w:r>
          <w:tab/>
        </w:r>
        <w:r>
          <w:fldChar w:fldCharType="begin"/>
        </w:r>
        <w:r>
          <w:instrText xml:space="preserve">PAGEREF 6585 \h</w:instrText>
        </w:r>
        <w:r>
          <w:fldChar w:fldCharType="end"/>
        </w:r>
      </w:hyperlink>
    </w:p>
    <w:p>
      <w:pPr>
        <w:tabs>
          <w:tab w:val="right" w:leader="dot" w:pos="9062"/>
        </w:tabs>
        <w:ind w:left="440"/>
      </w:pPr>
      <w:hyperlink w:anchor="_Toc6586" w:history="1">
        <w:r>
          <w:rPr>
            <w:rFonts w:ascii="IRNazanin" w:hAnsi="IRNazanin" w:eastAsia="IRNazanin" w:cs="IRNazanin"/>
            <w:color w:val="111111"/>
            <w:sz w:val="22"/>
            <w:szCs w:val="22"/>
            <w:b w:val="0"/>
            <w:bCs w:val="0"/>
            <w:i w:val="0"/>
            <w:iCs w:val="0"/>
          </w:rPr>
          <w:t>5957- دیوان کاظم تبریزی‏</w:t>
        </w:r>
        <w:r>
          <w:tab/>
        </w:r>
        <w:r>
          <w:fldChar w:fldCharType="begin"/>
        </w:r>
        <w:r>
          <w:instrText xml:space="preserve">PAGEREF 6586 \h</w:instrText>
        </w:r>
        <w:r>
          <w:fldChar w:fldCharType="end"/>
        </w:r>
      </w:hyperlink>
    </w:p>
    <w:p>
      <w:pPr>
        <w:tabs>
          <w:tab w:val="right" w:leader="dot" w:pos="9062"/>
        </w:tabs>
        <w:ind w:left="440"/>
      </w:pPr>
      <w:hyperlink w:anchor="_Toc6587" w:history="1">
        <w:r>
          <w:rPr>
            <w:rFonts w:ascii="IRNazanin" w:hAnsi="IRNazanin" w:eastAsia="IRNazanin" w:cs="IRNazanin"/>
            <w:color w:val="111111"/>
            <w:sz w:val="22"/>
            <w:szCs w:val="22"/>
            <w:b w:val="0"/>
            <w:bCs w:val="0"/>
            <w:i w:val="0"/>
            <w:iCs w:val="0"/>
          </w:rPr>
          <w:t>5958- دیوان کاظم تبریزی أو شعره‏</w:t>
        </w:r>
        <w:r>
          <w:tab/>
        </w:r>
        <w:r>
          <w:fldChar w:fldCharType="begin"/>
        </w:r>
        <w:r>
          <w:instrText xml:space="preserve">PAGEREF 6587 \h</w:instrText>
        </w:r>
        <w:r>
          <w:fldChar w:fldCharType="end"/>
        </w:r>
      </w:hyperlink>
    </w:p>
    <w:p>
      <w:pPr>
        <w:tabs>
          <w:tab w:val="right" w:leader="dot" w:pos="9062"/>
        </w:tabs>
        <w:ind w:left="440"/>
      </w:pPr>
      <w:hyperlink w:anchor="_Toc6588" w:history="1">
        <w:r>
          <w:rPr>
            <w:rFonts w:ascii="IRNazanin" w:hAnsi="IRNazanin" w:eastAsia="IRNazanin" w:cs="IRNazanin"/>
            <w:color w:val="111111"/>
            <w:sz w:val="22"/>
            <w:szCs w:val="22"/>
            <w:b w:val="0"/>
            <w:bCs w:val="0"/>
            <w:i w:val="0"/>
            <w:iCs w:val="0"/>
          </w:rPr>
          <w:t>5959- دیوان کاظم تونی‏</w:t>
        </w:r>
        <w:r>
          <w:tab/>
        </w:r>
        <w:r>
          <w:fldChar w:fldCharType="begin"/>
        </w:r>
        <w:r>
          <w:instrText xml:space="preserve">PAGEREF 6588 \h</w:instrText>
        </w:r>
        <w:r>
          <w:fldChar w:fldCharType="end"/>
        </w:r>
      </w:hyperlink>
    </w:p>
    <w:p>
      <w:pPr>
        <w:tabs>
          <w:tab w:val="right" w:leader="dot" w:pos="9062"/>
        </w:tabs>
        <w:ind w:left="440"/>
      </w:pPr>
      <w:hyperlink w:anchor="_Toc6589" w:history="1">
        <w:r>
          <w:rPr>
            <w:rFonts w:ascii="IRNazanin" w:hAnsi="IRNazanin" w:eastAsia="IRNazanin" w:cs="IRNazanin"/>
            <w:color w:val="111111"/>
            <w:sz w:val="22"/>
            <w:szCs w:val="22"/>
            <w:b w:val="0"/>
            <w:bCs w:val="0"/>
            <w:i w:val="0"/>
            <w:iCs w:val="0"/>
          </w:rPr>
          <w:t>5960- دیوان کاظم تویسرکانی أو شعره‏</w:t>
        </w:r>
        <w:r>
          <w:tab/>
        </w:r>
        <w:r>
          <w:fldChar w:fldCharType="begin"/>
        </w:r>
        <w:r>
          <w:instrText xml:space="preserve">PAGEREF 6589 \h</w:instrText>
        </w:r>
        <w:r>
          <w:fldChar w:fldCharType="end"/>
        </w:r>
      </w:hyperlink>
    </w:p>
    <w:p>
      <w:pPr>
        <w:tabs>
          <w:tab w:val="right" w:leader="dot" w:pos="9062"/>
        </w:tabs>
        <w:ind w:left="440"/>
      </w:pPr>
      <w:hyperlink w:anchor="_Toc6590" w:history="1">
        <w:r>
          <w:rPr>
            <w:rFonts w:ascii="IRNazanin" w:hAnsi="IRNazanin" w:eastAsia="IRNazanin" w:cs="IRNazanin"/>
            <w:color w:val="111111"/>
            <w:sz w:val="22"/>
            <w:szCs w:val="22"/>
            <w:b w:val="0"/>
            <w:bCs w:val="0"/>
            <w:i w:val="0"/>
            <w:iCs w:val="0"/>
          </w:rPr>
          <w:t>5961- دیوان محمد کاظم رشتی‏</w:t>
        </w:r>
        <w:r>
          <w:tab/>
        </w:r>
        <w:r>
          <w:fldChar w:fldCharType="begin"/>
        </w:r>
        <w:r>
          <w:instrText xml:space="preserve">PAGEREF 6590 \h</w:instrText>
        </w:r>
        <w:r>
          <w:fldChar w:fldCharType="end"/>
        </w:r>
      </w:hyperlink>
    </w:p>
    <w:p>
      <w:pPr>
        <w:tabs>
          <w:tab w:val="right" w:leader="dot" w:pos="9062"/>
        </w:tabs>
        <w:ind w:left="440"/>
      </w:pPr>
      <w:hyperlink w:anchor="_Toc6591" w:history="1">
        <w:r>
          <w:rPr>
            <w:rFonts w:ascii="IRNazanin" w:hAnsi="IRNazanin" w:eastAsia="IRNazanin" w:cs="IRNazanin"/>
            <w:color w:val="111111"/>
            <w:sz w:val="22"/>
            <w:szCs w:val="22"/>
            <w:b w:val="0"/>
            <w:bCs w:val="0"/>
            <w:i w:val="0"/>
            <w:iCs w:val="0"/>
          </w:rPr>
          <w:t>5962- دیوان کاظم رجوی‏</w:t>
        </w:r>
        <w:r>
          <w:tab/>
        </w:r>
        <w:r>
          <w:fldChar w:fldCharType="begin"/>
        </w:r>
        <w:r>
          <w:instrText xml:space="preserve">PAGEREF 6591 \h</w:instrText>
        </w:r>
        <w:r>
          <w:fldChar w:fldCharType="end"/>
        </w:r>
      </w:hyperlink>
    </w:p>
    <w:p>
      <w:pPr>
        <w:tabs>
          <w:tab w:val="right" w:leader="dot" w:pos="9062"/>
        </w:tabs>
        <w:ind w:left="440"/>
      </w:pPr>
      <w:hyperlink w:anchor="_Toc6592" w:history="1">
        <w:r>
          <w:rPr>
            <w:rFonts w:ascii="IRNazanin" w:hAnsi="IRNazanin" w:eastAsia="IRNazanin" w:cs="IRNazanin"/>
            <w:color w:val="111111"/>
            <w:sz w:val="22"/>
            <w:szCs w:val="22"/>
            <w:b w:val="0"/>
            <w:bCs w:val="0"/>
            <w:i w:val="0"/>
            <w:iCs w:val="0"/>
          </w:rPr>
          <w:t>5963- دیوان کاظم ساوجی أو شعره‏</w:t>
        </w:r>
        <w:r>
          <w:tab/>
        </w:r>
        <w:r>
          <w:fldChar w:fldCharType="begin"/>
        </w:r>
        <w:r>
          <w:instrText xml:space="preserve">PAGEREF 6592 \h</w:instrText>
        </w:r>
        <w:r>
          <w:fldChar w:fldCharType="end"/>
        </w:r>
      </w:hyperlink>
    </w:p>
    <w:p>
      <w:pPr>
        <w:tabs>
          <w:tab w:val="right" w:leader="dot" w:pos="9062"/>
        </w:tabs>
        <w:ind w:left="440"/>
      </w:pPr>
      <w:hyperlink w:anchor="_Toc6593" w:history="1">
        <w:r>
          <w:rPr>
            <w:rFonts w:ascii="IRNazanin" w:hAnsi="IRNazanin" w:eastAsia="IRNazanin" w:cs="IRNazanin"/>
            <w:color w:val="111111"/>
            <w:sz w:val="22"/>
            <w:szCs w:val="22"/>
            <w:b w:val="0"/>
            <w:bCs w:val="0"/>
            <w:i w:val="0"/>
            <w:iCs w:val="0"/>
          </w:rPr>
          <w:t>دیوان الشیخ کاظم السبتی‏</w:t>
        </w:r>
        <w:r>
          <w:tab/>
        </w:r>
        <w:r>
          <w:fldChar w:fldCharType="begin"/>
        </w:r>
        <w:r>
          <w:instrText xml:space="preserve">PAGEREF 6593 \h</w:instrText>
        </w:r>
        <w:r>
          <w:fldChar w:fldCharType="end"/>
        </w:r>
      </w:hyperlink>
    </w:p>
    <w:p>
      <w:pPr>
        <w:tabs>
          <w:tab w:val="right" w:leader="dot" w:pos="9062"/>
        </w:tabs>
        <w:ind w:left="440"/>
      </w:pPr>
      <w:hyperlink w:anchor="_Toc6594" w:history="1">
        <w:r>
          <w:rPr>
            <w:rFonts w:ascii="IRNazanin" w:hAnsi="IRNazanin" w:eastAsia="IRNazanin" w:cs="IRNazanin"/>
            <w:color w:val="111111"/>
            <w:sz w:val="22"/>
            <w:szCs w:val="22"/>
            <w:b w:val="0"/>
            <w:bCs w:val="0"/>
            <w:i w:val="0"/>
            <w:iCs w:val="0"/>
          </w:rPr>
          <w:t>5964- دیوان الشیخ کاظم السودانی‏</w:t>
        </w:r>
        <w:r>
          <w:tab/>
        </w:r>
        <w:r>
          <w:fldChar w:fldCharType="begin"/>
        </w:r>
        <w:r>
          <w:instrText xml:space="preserve">PAGEREF 6594 \h</w:instrText>
        </w:r>
        <w:r>
          <w:fldChar w:fldCharType="end"/>
        </w:r>
      </w:hyperlink>
    </w:p>
    <w:p>
      <w:pPr>
        <w:tabs>
          <w:tab w:val="right" w:leader="dot" w:pos="9062"/>
        </w:tabs>
        <w:ind w:left="440"/>
      </w:pPr>
      <w:hyperlink w:anchor="_Toc6595" w:history="1">
        <w:r>
          <w:rPr>
            <w:rFonts w:ascii="IRNazanin" w:hAnsi="IRNazanin" w:eastAsia="IRNazanin" w:cs="IRNazanin"/>
            <w:color w:val="111111"/>
            <w:sz w:val="22"/>
            <w:szCs w:val="22"/>
            <w:b w:val="0"/>
            <w:bCs w:val="0"/>
            <w:i w:val="0"/>
            <w:iCs w:val="0"/>
          </w:rPr>
          <w:t>5965- دیوان کاظما فارسی أو شعره‏</w:t>
        </w:r>
        <w:r>
          <w:tab/>
        </w:r>
        <w:r>
          <w:fldChar w:fldCharType="begin"/>
        </w:r>
        <w:r>
          <w:instrText xml:space="preserve">PAGEREF 6595 \h</w:instrText>
        </w:r>
        <w:r>
          <w:fldChar w:fldCharType="end"/>
        </w:r>
      </w:hyperlink>
    </w:p>
    <w:p>
      <w:pPr>
        <w:tabs>
          <w:tab w:val="right" w:leader="dot" w:pos="9062"/>
        </w:tabs>
        <w:ind w:left="440"/>
      </w:pPr>
      <w:hyperlink w:anchor="_Toc6596" w:history="1">
        <w:r>
          <w:rPr>
            <w:rFonts w:ascii="IRNazanin" w:hAnsi="IRNazanin" w:eastAsia="IRNazanin" w:cs="IRNazanin"/>
            <w:color w:val="111111"/>
            <w:sz w:val="22"/>
            <w:szCs w:val="22"/>
            <w:b w:val="0"/>
            <w:bCs w:val="0"/>
            <w:i w:val="0"/>
            <w:iCs w:val="0"/>
          </w:rPr>
          <w:t>5966- دیوان محمد کاظم قمی أو شعره‏</w:t>
        </w:r>
        <w:r>
          <w:tab/>
        </w:r>
        <w:r>
          <w:fldChar w:fldCharType="begin"/>
        </w:r>
        <w:r>
          <w:instrText xml:space="preserve">PAGEREF 6596 \h</w:instrText>
        </w:r>
        <w:r>
          <w:fldChar w:fldCharType="end"/>
        </w:r>
      </w:hyperlink>
    </w:p>
    <w:p>
      <w:pPr>
        <w:tabs>
          <w:tab w:val="right" w:leader="dot" w:pos="9062"/>
        </w:tabs>
        <w:ind w:left="440"/>
      </w:pPr>
      <w:hyperlink w:anchor="_Toc6597" w:history="1">
        <w:r>
          <w:rPr>
            <w:rFonts w:ascii="IRNazanin" w:hAnsi="IRNazanin" w:eastAsia="IRNazanin" w:cs="IRNazanin"/>
            <w:color w:val="111111"/>
            <w:sz w:val="22"/>
            <w:szCs w:val="22"/>
            <w:b w:val="0"/>
            <w:bCs w:val="0"/>
            <w:i w:val="0"/>
            <w:iCs w:val="0"/>
          </w:rPr>
          <w:t>5967- دیوان کاظم کاشی‏</w:t>
        </w:r>
        <w:r>
          <w:tab/>
        </w:r>
        <w:r>
          <w:fldChar w:fldCharType="begin"/>
        </w:r>
        <w:r>
          <w:instrText xml:space="preserve">PAGEREF 6597 \h</w:instrText>
        </w:r>
        <w:r>
          <w:fldChar w:fldCharType="end"/>
        </w:r>
      </w:hyperlink>
    </w:p>
    <w:p>
      <w:pPr>
        <w:tabs>
          <w:tab w:val="right" w:leader="dot" w:pos="9062"/>
        </w:tabs>
        <w:ind w:left="440"/>
      </w:pPr>
      <w:hyperlink w:anchor="_Toc6598" w:history="1">
        <w:r>
          <w:rPr>
            <w:rFonts w:ascii="IRNazanin" w:hAnsi="IRNazanin" w:eastAsia="IRNazanin" w:cs="IRNazanin"/>
            <w:color w:val="111111"/>
            <w:sz w:val="22"/>
            <w:szCs w:val="22"/>
            <w:b w:val="0"/>
            <w:bCs w:val="0"/>
            <w:i w:val="0"/>
            <w:iCs w:val="0"/>
          </w:rPr>
          <w:t>5968- دیوان میرزا کاظم کاشی أو شعره‏</w:t>
        </w:r>
        <w:r>
          <w:tab/>
        </w:r>
        <w:r>
          <w:fldChar w:fldCharType="begin"/>
        </w:r>
        <w:r>
          <w:instrText xml:space="preserve">PAGEREF 6598 \h</w:instrText>
        </w:r>
        <w:r>
          <w:fldChar w:fldCharType="end"/>
        </w:r>
      </w:hyperlink>
    </w:p>
    <w:p>
      <w:pPr>
        <w:tabs>
          <w:tab w:val="right" w:leader="dot" w:pos="9062"/>
        </w:tabs>
        <w:ind w:left="440"/>
      </w:pPr>
      <w:hyperlink w:anchor="_Toc6599" w:history="1">
        <w:r>
          <w:rPr>
            <w:rFonts w:ascii="IRNazanin" w:hAnsi="IRNazanin" w:eastAsia="IRNazanin" w:cs="IRNazanin"/>
            <w:color w:val="111111"/>
            <w:sz w:val="22"/>
            <w:szCs w:val="22"/>
            <w:b w:val="0"/>
            <w:bCs w:val="0"/>
            <w:i w:val="0"/>
            <w:iCs w:val="0"/>
          </w:rPr>
          <w:t>دیوان کاظم الکفائی‏</w:t>
        </w:r>
        <w:r>
          <w:tab/>
        </w:r>
        <w:r>
          <w:fldChar w:fldCharType="begin"/>
        </w:r>
        <w:r>
          <w:instrText xml:space="preserve">PAGEREF 6599 \h</w:instrText>
        </w:r>
        <w:r>
          <w:fldChar w:fldCharType="end"/>
        </w:r>
      </w:hyperlink>
    </w:p>
    <w:p>
      <w:pPr>
        <w:tabs>
          <w:tab w:val="right" w:leader="dot" w:pos="9062"/>
        </w:tabs>
        <w:ind w:left="440"/>
      </w:pPr>
      <w:hyperlink w:anchor="_Toc6600" w:history="1">
        <w:r>
          <w:rPr>
            <w:rFonts w:ascii="IRNazanin" w:hAnsi="IRNazanin" w:eastAsia="IRNazanin" w:cs="IRNazanin"/>
            <w:color w:val="111111"/>
            <w:sz w:val="22"/>
            <w:szCs w:val="22"/>
            <w:b w:val="0"/>
            <w:bCs w:val="0"/>
            <w:i w:val="0"/>
            <w:iCs w:val="0"/>
          </w:rPr>
          <w:t>5969- دیوان الشیخ کاظم الکواز</w:t>
        </w:r>
        <w:r>
          <w:tab/>
        </w:r>
        <w:r>
          <w:fldChar w:fldCharType="begin"/>
        </w:r>
        <w:r>
          <w:instrText xml:space="preserve">PAGEREF 6600 \h</w:instrText>
        </w:r>
        <w:r>
          <w:fldChar w:fldCharType="end"/>
        </w:r>
      </w:hyperlink>
    </w:p>
    <w:p>
      <w:pPr>
        <w:tabs>
          <w:tab w:val="right" w:leader="dot" w:pos="9062"/>
        </w:tabs>
        <w:ind w:left="440"/>
      </w:pPr>
      <w:hyperlink w:anchor="_Toc6601" w:history="1">
        <w:r>
          <w:rPr>
            <w:rFonts w:ascii="IRNazanin" w:hAnsi="IRNazanin" w:eastAsia="IRNazanin" w:cs="IRNazanin"/>
            <w:color w:val="111111"/>
            <w:sz w:val="22"/>
            <w:szCs w:val="22"/>
            <w:b w:val="0"/>
            <w:bCs w:val="0"/>
            <w:i w:val="0"/>
            <w:iCs w:val="0"/>
          </w:rPr>
          <w:t>5970- دیوان کاظم نصرآبادی أو شعره‏</w:t>
        </w:r>
        <w:r>
          <w:tab/>
        </w:r>
        <w:r>
          <w:fldChar w:fldCharType="begin"/>
        </w:r>
        <w:r>
          <w:instrText xml:space="preserve">PAGEREF 6601 \h</w:instrText>
        </w:r>
        <w:r>
          <w:fldChar w:fldCharType="end"/>
        </w:r>
      </w:hyperlink>
    </w:p>
    <w:p>
      <w:pPr>
        <w:tabs>
          <w:tab w:val="right" w:leader="dot" w:pos="9062"/>
        </w:tabs>
        <w:ind w:left="440"/>
      </w:pPr>
      <w:hyperlink w:anchor="_Toc6602" w:history="1">
        <w:r>
          <w:rPr>
            <w:rFonts w:ascii="IRNazanin" w:hAnsi="IRNazanin" w:eastAsia="IRNazanin" w:cs="IRNazanin"/>
            <w:color w:val="111111"/>
            <w:sz w:val="22"/>
            <w:szCs w:val="22"/>
            <w:b w:val="0"/>
            <w:bCs w:val="0"/>
            <w:i w:val="0"/>
            <w:iCs w:val="0"/>
          </w:rPr>
          <w:t>5971- دیوان الکاظمی‏</w:t>
        </w:r>
        <w:r>
          <w:tab/>
        </w:r>
        <w:r>
          <w:fldChar w:fldCharType="begin"/>
        </w:r>
        <w:r>
          <w:instrText xml:space="preserve">PAGEREF 6602 \h</w:instrText>
        </w:r>
        <w:r>
          <w:fldChar w:fldCharType="end"/>
        </w:r>
      </w:hyperlink>
    </w:p>
    <w:p>
      <w:pPr>
        <w:tabs>
          <w:tab w:val="right" w:leader="dot" w:pos="9062"/>
        </w:tabs>
        <w:ind w:left="440"/>
      </w:pPr>
      <w:hyperlink w:anchor="_Toc6603" w:history="1">
        <w:r>
          <w:rPr>
            <w:rFonts w:ascii="IRNazanin" w:hAnsi="IRNazanin" w:eastAsia="IRNazanin" w:cs="IRNazanin"/>
            <w:color w:val="111111"/>
            <w:sz w:val="22"/>
            <w:szCs w:val="22"/>
            <w:b w:val="0"/>
            <w:bCs w:val="0"/>
            <w:i w:val="0"/>
            <w:iCs w:val="0"/>
          </w:rPr>
          <w:t>5972- دیوان کاظمی هروی‏</w:t>
        </w:r>
        <w:r>
          <w:tab/>
        </w:r>
        <w:r>
          <w:fldChar w:fldCharType="begin"/>
        </w:r>
        <w:r>
          <w:instrText xml:space="preserve">PAGEREF 6603 \h</w:instrText>
        </w:r>
        <w:r>
          <w:fldChar w:fldCharType="end"/>
        </w:r>
      </w:hyperlink>
    </w:p>
    <w:p>
      <w:pPr>
        <w:tabs>
          <w:tab w:val="right" w:leader="dot" w:pos="9062"/>
        </w:tabs>
        <w:ind w:left="440"/>
      </w:pPr>
      <w:hyperlink w:anchor="_Toc6604" w:history="1">
        <w:r>
          <w:rPr>
            <w:rFonts w:ascii="IRNazanin" w:hAnsi="IRNazanin" w:eastAsia="IRNazanin" w:cs="IRNazanin"/>
            <w:color w:val="111111"/>
            <w:sz w:val="22"/>
            <w:szCs w:val="22"/>
            <w:b w:val="0"/>
            <w:bCs w:val="0"/>
            <w:i w:val="0"/>
            <w:iCs w:val="0"/>
          </w:rPr>
          <w:t>5973- دیوان کافر</w:t>
        </w:r>
        <w:r>
          <w:tab/>
        </w:r>
        <w:r>
          <w:fldChar w:fldCharType="begin"/>
        </w:r>
        <w:r>
          <w:instrText xml:space="preserve">PAGEREF 6604 \h</w:instrText>
        </w:r>
        <w:r>
          <w:fldChar w:fldCharType="end"/>
        </w:r>
      </w:hyperlink>
    </w:p>
    <w:p>
      <w:pPr>
        <w:tabs>
          <w:tab w:val="right" w:leader="dot" w:pos="9062"/>
        </w:tabs>
        <w:ind w:left="440"/>
      </w:pPr>
      <w:hyperlink w:anchor="_Toc6605" w:history="1">
        <w:r>
          <w:rPr>
            <w:rFonts w:ascii="IRNazanin" w:hAnsi="IRNazanin" w:eastAsia="IRNazanin" w:cs="IRNazanin"/>
            <w:color w:val="111111"/>
            <w:sz w:val="22"/>
            <w:szCs w:val="22"/>
            <w:b w:val="0"/>
            <w:bCs w:val="0"/>
            <w:i w:val="0"/>
            <w:iCs w:val="0"/>
          </w:rPr>
          <w:t>5974- دیوان کافرک غزنوی أو شعره‏</w:t>
        </w:r>
        <w:r>
          <w:tab/>
        </w:r>
        <w:r>
          <w:fldChar w:fldCharType="begin"/>
        </w:r>
        <w:r>
          <w:instrText xml:space="preserve">PAGEREF 6605 \h</w:instrText>
        </w:r>
        <w:r>
          <w:fldChar w:fldCharType="end"/>
        </w:r>
      </w:hyperlink>
    </w:p>
    <w:p>
      <w:pPr>
        <w:tabs>
          <w:tab w:val="right" w:leader="dot" w:pos="9062"/>
        </w:tabs>
        <w:ind w:left="440"/>
      </w:pPr>
      <w:hyperlink w:anchor="_Toc6606" w:history="1">
        <w:r>
          <w:rPr>
            <w:rFonts w:ascii="IRNazanin" w:hAnsi="IRNazanin" w:eastAsia="IRNazanin" w:cs="IRNazanin"/>
            <w:color w:val="111111"/>
            <w:sz w:val="22"/>
            <w:szCs w:val="22"/>
            <w:b w:val="0"/>
            <w:bCs w:val="0"/>
            <w:i w:val="0"/>
            <w:iCs w:val="0"/>
          </w:rPr>
          <w:t>5975- دیوان میرزا کافی أردبیلی‏</w:t>
        </w:r>
        <w:r>
          <w:tab/>
        </w:r>
        <w:r>
          <w:fldChar w:fldCharType="begin"/>
        </w:r>
        <w:r>
          <w:instrText xml:space="preserve">PAGEREF 6606 \h</w:instrText>
        </w:r>
        <w:r>
          <w:fldChar w:fldCharType="end"/>
        </w:r>
      </w:hyperlink>
    </w:p>
    <w:p>
      <w:pPr>
        <w:tabs>
          <w:tab w:val="right" w:leader="dot" w:pos="9062"/>
        </w:tabs>
        <w:ind w:left="440"/>
      </w:pPr>
      <w:hyperlink w:anchor="_Toc6607" w:history="1">
        <w:r>
          <w:rPr>
            <w:rFonts w:ascii="IRNazanin" w:hAnsi="IRNazanin" w:eastAsia="IRNazanin" w:cs="IRNazanin"/>
            <w:color w:val="111111"/>
            <w:sz w:val="22"/>
            <w:szCs w:val="22"/>
            <w:b w:val="0"/>
            <w:bCs w:val="0"/>
            <w:i w:val="0"/>
            <w:iCs w:val="0"/>
          </w:rPr>
          <w:t>دیوان کافی أردوبادی‏</w:t>
        </w:r>
        <w:r>
          <w:tab/>
        </w:r>
        <w:r>
          <w:fldChar w:fldCharType="begin"/>
        </w:r>
        <w:r>
          <w:instrText xml:space="preserve">PAGEREF 6607 \h</w:instrText>
        </w:r>
        <w:r>
          <w:fldChar w:fldCharType="end"/>
        </w:r>
      </w:hyperlink>
    </w:p>
    <w:p>
      <w:pPr>
        <w:tabs>
          <w:tab w:val="right" w:leader="dot" w:pos="9062"/>
        </w:tabs>
        <w:ind w:left="440"/>
      </w:pPr>
      <w:hyperlink w:anchor="_Toc6608" w:history="1">
        <w:r>
          <w:rPr>
            <w:rFonts w:ascii="IRNazanin" w:hAnsi="IRNazanin" w:eastAsia="IRNazanin" w:cs="IRNazanin"/>
            <w:color w:val="111111"/>
            <w:sz w:val="22"/>
            <w:szCs w:val="22"/>
            <w:b w:val="0"/>
            <w:bCs w:val="0"/>
            <w:i w:val="0"/>
            <w:iCs w:val="0"/>
          </w:rPr>
          <w:t>دیوان کافی أصفهانی‏</w:t>
        </w:r>
        <w:r>
          <w:tab/>
        </w:r>
        <w:r>
          <w:fldChar w:fldCharType="begin"/>
        </w:r>
        <w:r>
          <w:instrText xml:space="preserve">PAGEREF 6608 \h</w:instrText>
        </w:r>
        <w:r>
          <w:fldChar w:fldCharType="end"/>
        </w:r>
      </w:hyperlink>
    </w:p>
    <w:p>
      <w:pPr>
        <w:tabs>
          <w:tab w:val="right" w:leader="dot" w:pos="9062"/>
        </w:tabs>
        <w:ind w:left="440"/>
      </w:pPr>
      <w:hyperlink w:anchor="_Toc6609" w:history="1">
        <w:r>
          <w:rPr>
            <w:rFonts w:ascii="IRNazanin" w:hAnsi="IRNazanin" w:eastAsia="IRNazanin" w:cs="IRNazanin"/>
            <w:color w:val="111111"/>
            <w:sz w:val="22"/>
            <w:szCs w:val="22"/>
            <w:b w:val="0"/>
            <w:bCs w:val="0"/>
            <w:i w:val="0"/>
            <w:iCs w:val="0"/>
          </w:rPr>
          <w:t>5976- دیوان کافی بخاری أو شعره‏</w:t>
        </w:r>
        <w:r>
          <w:tab/>
        </w:r>
        <w:r>
          <w:fldChar w:fldCharType="begin"/>
        </w:r>
        <w:r>
          <w:instrText xml:space="preserve">PAGEREF 6609 \h</w:instrText>
        </w:r>
        <w:r>
          <w:fldChar w:fldCharType="end"/>
        </w:r>
      </w:hyperlink>
    </w:p>
    <w:p>
      <w:pPr>
        <w:tabs>
          <w:tab w:val="right" w:leader="dot" w:pos="9062"/>
        </w:tabs>
        <w:ind w:left="440"/>
      </w:pPr>
      <w:hyperlink w:anchor="_Toc6610" w:history="1">
        <w:r>
          <w:rPr>
            <w:rFonts w:ascii="IRNazanin" w:hAnsi="IRNazanin" w:eastAsia="IRNazanin" w:cs="IRNazanin"/>
            <w:color w:val="111111"/>
            <w:sz w:val="22"/>
            <w:szCs w:val="22"/>
            <w:b w:val="0"/>
            <w:bCs w:val="0"/>
            <w:i w:val="0"/>
            <w:iCs w:val="0"/>
          </w:rPr>
          <w:t>5977- دیوان کافی جوشقانی أو شعره‏</w:t>
        </w:r>
        <w:r>
          <w:tab/>
        </w:r>
        <w:r>
          <w:fldChar w:fldCharType="begin"/>
        </w:r>
        <w:r>
          <w:instrText xml:space="preserve">PAGEREF 6610 \h</w:instrText>
        </w:r>
        <w:r>
          <w:fldChar w:fldCharType="end"/>
        </w:r>
      </w:hyperlink>
    </w:p>
    <w:p>
      <w:pPr>
        <w:tabs>
          <w:tab w:val="right" w:leader="dot" w:pos="9062"/>
        </w:tabs>
        <w:ind w:left="440"/>
      </w:pPr>
      <w:hyperlink w:anchor="_Toc6611" w:history="1">
        <w:r>
          <w:rPr>
            <w:rFonts w:ascii="IRNazanin" w:hAnsi="IRNazanin" w:eastAsia="IRNazanin" w:cs="IRNazanin"/>
            <w:color w:val="111111"/>
            <w:sz w:val="22"/>
            <w:szCs w:val="22"/>
            <w:b w:val="0"/>
            <w:bCs w:val="0"/>
            <w:i w:val="0"/>
            <w:iCs w:val="0"/>
          </w:rPr>
          <w:t>5978- دیوان کافی قاینی‏</w:t>
        </w:r>
        <w:r>
          <w:tab/>
        </w:r>
        <w:r>
          <w:fldChar w:fldCharType="begin"/>
        </w:r>
        <w:r>
          <w:instrText xml:space="preserve">PAGEREF 6611 \h</w:instrText>
        </w:r>
        <w:r>
          <w:fldChar w:fldCharType="end"/>
        </w:r>
      </w:hyperlink>
    </w:p>
    <w:p>
      <w:pPr>
        <w:tabs>
          <w:tab w:val="right" w:leader="dot" w:pos="9062"/>
        </w:tabs>
        <w:ind w:left="440"/>
      </w:pPr>
      <w:hyperlink w:anchor="_Toc6612" w:history="1">
        <w:r>
          <w:rPr>
            <w:rFonts w:ascii="IRNazanin" w:hAnsi="IRNazanin" w:eastAsia="IRNazanin" w:cs="IRNazanin"/>
            <w:color w:val="111111"/>
            <w:sz w:val="22"/>
            <w:szCs w:val="22"/>
            <w:b w:val="0"/>
            <w:bCs w:val="0"/>
            <w:i w:val="0"/>
            <w:iCs w:val="0"/>
          </w:rPr>
          <w:t>5979- دیوان کافی همدانی أو شعره‏</w:t>
        </w:r>
        <w:r>
          <w:tab/>
        </w:r>
        <w:r>
          <w:fldChar w:fldCharType="begin"/>
        </w:r>
        <w:r>
          <w:instrText xml:space="preserve">PAGEREF 6612 \h</w:instrText>
        </w:r>
        <w:r>
          <w:fldChar w:fldCharType="end"/>
        </w:r>
      </w:hyperlink>
    </w:p>
    <w:p>
      <w:pPr>
        <w:tabs>
          <w:tab w:val="right" w:leader="dot" w:pos="9062"/>
        </w:tabs>
        <w:ind w:left="440"/>
      </w:pPr>
      <w:hyperlink w:anchor="_Toc6613" w:history="1">
        <w:r>
          <w:rPr>
            <w:rFonts w:ascii="IRNazanin" w:hAnsi="IRNazanin" w:eastAsia="IRNazanin" w:cs="IRNazanin"/>
            <w:color w:val="111111"/>
            <w:sz w:val="22"/>
            <w:szCs w:val="22"/>
            <w:b w:val="0"/>
            <w:bCs w:val="0"/>
            <w:i w:val="0"/>
            <w:iCs w:val="0"/>
          </w:rPr>
          <w:t>5980- دیوان کافی هروی أو شعره‏</w:t>
        </w:r>
        <w:r>
          <w:tab/>
        </w:r>
        <w:r>
          <w:fldChar w:fldCharType="begin"/>
        </w:r>
        <w:r>
          <w:instrText xml:space="preserve">PAGEREF 6613 \h</w:instrText>
        </w:r>
        <w:r>
          <w:fldChar w:fldCharType="end"/>
        </w:r>
      </w:hyperlink>
    </w:p>
    <w:p>
      <w:pPr>
        <w:tabs>
          <w:tab w:val="right" w:leader="dot" w:pos="9062"/>
        </w:tabs>
        <w:ind w:left="440"/>
      </w:pPr>
      <w:hyperlink w:anchor="_Toc6614" w:history="1">
        <w:r>
          <w:rPr>
            <w:rFonts w:ascii="IRNazanin" w:hAnsi="IRNazanin" w:eastAsia="IRNazanin" w:cs="IRNazanin"/>
            <w:color w:val="111111"/>
            <w:sz w:val="22"/>
            <w:szCs w:val="22"/>
            <w:b w:val="0"/>
            <w:bCs w:val="0"/>
            <w:i w:val="0"/>
            <w:iCs w:val="0"/>
          </w:rPr>
          <w:t>5981- دیوان کاکای قزوینی أو شعره‏</w:t>
        </w:r>
        <w:r>
          <w:tab/>
        </w:r>
        <w:r>
          <w:fldChar w:fldCharType="begin"/>
        </w:r>
        <w:r>
          <w:instrText xml:space="preserve">PAGEREF 6614 \h</w:instrText>
        </w:r>
        <w:r>
          <w:fldChar w:fldCharType="end"/>
        </w:r>
      </w:hyperlink>
    </w:p>
    <w:p>
      <w:pPr>
        <w:tabs>
          <w:tab w:val="right" w:leader="dot" w:pos="9062"/>
        </w:tabs>
        <w:ind w:left="440"/>
      </w:pPr>
      <w:hyperlink w:anchor="_Toc6615" w:history="1">
        <w:r>
          <w:rPr>
            <w:rFonts w:ascii="IRNazanin" w:hAnsi="IRNazanin" w:eastAsia="IRNazanin" w:cs="IRNazanin"/>
            <w:color w:val="111111"/>
            <w:sz w:val="22"/>
            <w:szCs w:val="22"/>
            <w:b w:val="0"/>
            <w:bCs w:val="0"/>
            <w:i w:val="0"/>
            <w:iCs w:val="0"/>
          </w:rPr>
          <w:t>دیوان کاکی‏</w:t>
        </w:r>
        <w:r>
          <w:tab/>
        </w:r>
        <w:r>
          <w:fldChar w:fldCharType="begin"/>
        </w:r>
        <w:r>
          <w:instrText xml:space="preserve">PAGEREF 6615 \h</w:instrText>
        </w:r>
        <w:r>
          <w:fldChar w:fldCharType="end"/>
        </w:r>
      </w:hyperlink>
    </w:p>
    <w:p>
      <w:pPr>
        <w:tabs>
          <w:tab w:val="right" w:leader="dot" w:pos="9062"/>
        </w:tabs>
        <w:ind w:left="440"/>
      </w:pPr>
      <w:hyperlink w:anchor="_Toc6616" w:history="1">
        <w:r>
          <w:rPr>
            <w:rFonts w:ascii="IRNazanin" w:hAnsi="IRNazanin" w:eastAsia="IRNazanin" w:cs="IRNazanin"/>
            <w:color w:val="111111"/>
            <w:sz w:val="22"/>
            <w:szCs w:val="22"/>
            <w:b w:val="0"/>
            <w:bCs w:val="0"/>
            <w:i w:val="0"/>
            <w:iCs w:val="0"/>
          </w:rPr>
          <w:t>5982- دیوان کامران بیک أو شعره‏</w:t>
        </w:r>
        <w:r>
          <w:tab/>
        </w:r>
        <w:r>
          <w:fldChar w:fldCharType="begin"/>
        </w:r>
        <w:r>
          <w:instrText xml:space="preserve">PAGEREF 6616 \h</w:instrText>
        </w:r>
        <w:r>
          <w:fldChar w:fldCharType="end"/>
        </w:r>
      </w:hyperlink>
    </w:p>
    <w:p>
      <w:pPr>
        <w:tabs>
          <w:tab w:val="right" w:leader="dot" w:pos="9062"/>
        </w:tabs>
        <w:ind w:left="440"/>
      </w:pPr>
      <w:hyperlink w:anchor="_Toc6617" w:history="1">
        <w:r>
          <w:rPr>
            <w:rFonts w:ascii="IRNazanin" w:hAnsi="IRNazanin" w:eastAsia="IRNazanin" w:cs="IRNazanin"/>
            <w:color w:val="111111"/>
            <w:sz w:val="22"/>
            <w:szCs w:val="22"/>
            <w:b w:val="0"/>
            <w:bCs w:val="0"/>
            <w:i w:val="0"/>
            <w:iCs w:val="0"/>
          </w:rPr>
          <w:t>5983- دیوان کامل جهرمی‏</w:t>
        </w:r>
        <w:r>
          <w:tab/>
        </w:r>
        <w:r>
          <w:fldChar w:fldCharType="begin"/>
        </w:r>
        <w:r>
          <w:instrText xml:space="preserve">PAGEREF 6617 \h</w:instrText>
        </w:r>
        <w:r>
          <w:fldChar w:fldCharType="end"/>
        </w:r>
      </w:hyperlink>
    </w:p>
    <w:p>
      <w:pPr>
        <w:tabs>
          <w:tab w:val="right" w:leader="dot" w:pos="9062"/>
        </w:tabs>
        <w:ind w:left="440"/>
      </w:pPr>
      <w:hyperlink w:anchor="_Toc6618" w:history="1">
        <w:r>
          <w:rPr>
            <w:rFonts w:ascii="IRNazanin" w:hAnsi="IRNazanin" w:eastAsia="IRNazanin" w:cs="IRNazanin"/>
            <w:color w:val="111111"/>
            <w:sz w:val="22"/>
            <w:szCs w:val="22"/>
            <w:b w:val="0"/>
            <w:bCs w:val="0"/>
            <w:i w:val="0"/>
            <w:iCs w:val="0"/>
          </w:rPr>
          <w:t>5984- دیوان کامل شیرازی أو شعره‏</w:t>
        </w:r>
        <w:r>
          <w:tab/>
        </w:r>
        <w:r>
          <w:fldChar w:fldCharType="begin"/>
        </w:r>
        <w:r>
          <w:instrText xml:space="preserve">PAGEREF 6618 \h</w:instrText>
        </w:r>
        <w:r>
          <w:fldChar w:fldCharType="end"/>
        </w:r>
      </w:hyperlink>
    </w:p>
    <w:p>
      <w:pPr>
        <w:tabs>
          <w:tab w:val="right" w:leader="dot" w:pos="9062"/>
        </w:tabs>
        <w:ind w:left="440"/>
      </w:pPr>
      <w:hyperlink w:anchor="_Toc6619" w:history="1">
        <w:r>
          <w:rPr>
            <w:rFonts w:ascii="IRNazanin" w:hAnsi="IRNazanin" w:eastAsia="IRNazanin" w:cs="IRNazanin"/>
            <w:color w:val="111111"/>
            <w:sz w:val="22"/>
            <w:szCs w:val="22"/>
            <w:b w:val="0"/>
            <w:bCs w:val="0"/>
            <w:i w:val="0"/>
            <w:iCs w:val="0"/>
          </w:rPr>
          <w:t>5985- دیوان کامل سلیمان العاملی‏</w:t>
        </w:r>
        <w:r>
          <w:tab/>
        </w:r>
        <w:r>
          <w:fldChar w:fldCharType="begin"/>
        </w:r>
        <w:r>
          <w:instrText xml:space="preserve">PAGEREF 6619 \h</w:instrText>
        </w:r>
        <w:r>
          <w:fldChar w:fldCharType="end"/>
        </w:r>
      </w:hyperlink>
    </w:p>
    <w:p>
      <w:pPr>
        <w:tabs>
          <w:tab w:val="right" w:leader="dot" w:pos="9062"/>
        </w:tabs>
        <w:ind w:left="440"/>
      </w:pPr>
      <w:hyperlink w:anchor="_Toc6620" w:history="1">
        <w:r>
          <w:rPr>
            <w:rFonts w:ascii="IRNazanin" w:hAnsi="IRNazanin" w:eastAsia="IRNazanin" w:cs="IRNazanin"/>
            <w:color w:val="111111"/>
            <w:sz w:val="22"/>
            <w:szCs w:val="22"/>
            <w:b w:val="0"/>
            <w:bCs w:val="0"/>
            <w:i w:val="0"/>
            <w:iCs w:val="0"/>
          </w:rPr>
          <w:t>5986- دیوان کامل شعیب العاملی‏</w:t>
        </w:r>
        <w:r>
          <w:tab/>
        </w:r>
        <w:r>
          <w:fldChar w:fldCharType="begin"/>
        </w:r>
        <w:r>
          <w:instrText xml:space="preserve">PAGEREF 6620 \h</w:instrText>
        </w:r>
        <w:r>
          <w:fldChar w:fldCharType="end"/>
        </w:r>
      </w:hyperlink>
    </w:p>
    <w:p>
      <w:pPr>
        <w:tabs>
          <w:tab w:val="right" w:leader="dot" w:pos="9062"/>
        </w:tabs>
        <w:ind w:left="440"/>
      </w:pPr>
      <w:hyperlink w:anchor="_Toc6621" w:history="1">
        <w:r>
          <w:rPr>
            <w:rFonts w:ascii="IRNazanin" w:hAnsi="IRNazanin" w:eastAsia="IRNazanin" w:cs="IRNazanin"/>
            <w:color w:val="111111"/>
            <w:sz w:val="22"/>
            <w:szCs w:val="22"/>
            <w:b w:val="0"/>
            <w:bCs w:val="0"/>
            <w:i w:val="0"/>
            <w:iCs w:val="0"/>
          </w:rPr>
          <w:t>5987- دیوان کاملای کاشی‏</w:t>
        </w:r>
        <w:r>
          <w:tab/>
        </w:r>
        <w:r>
          <w:fldChar w:fldCharType="begin"/>
        </w:r>
        <w:r>
          <w:instrText xml:space="preserve">PAGEREF 6621 \h</w:instrText>
        </w:r>
        <w:r>
          <w:fldChar w:fldCharType="end"/>
        </w:r>
      </w:hyperlink>
    </w:p>
    <w:p>
      <w:pPr>
        <w:tabs>
          <w:tab w:val="right" w:leader="dot" w:pos="9062"/>
        </w:tabs>
        <w:ind w:left="440"/>
      </w:pPr>
      <w:hyperlink w:anchor="_Toc6622" w:history="1">
        <w:r>
          <w:rPr>
            <w:rFonts w:ascii="IRNazanin" w:hAnsi="IRNazanin" w:eastAsia="IRNazanin" w:cs="IRNazanin"/>
            <w:color w:val="111111"/>
            <w:sz w:val="22"/>
            <w:szCs w:val="22"/>
            <w:b w:val="0"/>
            <w:bCs w:val="0"/>
            <w:i w:val="0"/>
            <w:iCs w:val="0"/>
          </w:rPr>
          <w:t>5988- دیوان کامی أصفهانی أو شعره‏</w:t>
        </w:r>
        <w:r>
          <w:tab/>
        </w:r>
        <w:r>
          <w:fldChar w:fldCharType="begin"/>
        </w:r>
        <w:r>
          <w:instrText xml:space="preserve">PAGEREF 6622 \h</w:instrText>
        </w:r>
        <w:r>
          <w:fldChar w:fldCharType="end"/>
        </w:r>
      </w:hyperlink>
    </w:p>
    <w:p>
      <w:pPr>
        <w:tabs>
          <w:tab w:val="right" w:leader="dot" w:pos="9062"/>
        </w:tabs>
        <w:ind w:left="440"/>
      </w:pPr>
      <w:hyperlink w:anchor="_Toc6623" w:history="1">
        <w:r>
          <w:rPr>
            <w:rFonts w:ascii="IRNazanin" w:hAnsi="IRNazanin" w:eastAsia="IRNazanin" w:cs="IRNazanin"/>
            <w:color w:val="111111"/>
            <w:sz w:val="22"/>
            <w:szCs w:val="22"/>
            <w:b w:val="0"/>
            <w:bCs w:val="0"/>
            <w:i w:val="0"/>
            <w:iCs w:val="0"/>
          </w:rPr>
          <w:t>5989- دیوان کامی أوبهی أو شعره‏</w:t>
        </w:r>
        <w:r>
          <w:tab/>
        </w:r>
        <w:r>
          <w:fldChar w:fldCharType="begin"/>
        </w:r>
        <w:r>
          <w:instrText xml:space="preserve">PAGEREF 6623 \h</w:instrText>
        </w:r>
        <w:r>
          <w:fldChar w:fldCharType="end"/>
        </w:r>
      </w:hyperlink>
    </w:p>
    <w:p>
      <w:pPr>
        <w:tabs>
          <w:tab w:val="right" w:leader="dot" w:pos="9062"/>
        </w:tabs>
        <w:ind w:left="440"/>
      </w:pPr>
      <w:hyperlink w:anchor="_Toc6624" w:history="1">
        <w:r>
          <w:rPr>
            <w:rFonts w:ascii="IRNazanin" w:hAnsi="IRNazanin" w:eastAsia="IRNazanin" w:cs="IRNazanin"/>
            <w:color w:val="111111"/>
            <w:sz w:val="22"/>
            <w:szCs w:val="22"/>
            <w:b w:val="0"/>
            <w:bCs w:val="0"/>
            <w:i w:val="0"/>
            <w:iCs w:val="0"/>
          </w:rPr>
          <w:t>5990- دیوان کامی سبزواری أو شعره‏</w:t>
        </w:r>
        <w:r>
          <w:tab/>
        </w:r>
        <w:r>
          <w:fldChar w:fldCharType="begin"/>
        </w:r>
        <w:r>
          <w:instrText xml:space="preserve">PAGEREF 6624 \h</w:instrText>
        </w:r>
        <w:r>
          <w:fldChar w:fldCharType="end"/>
        </w:r>
      </w:hyperlink>
    </w:p>
    <w:p>
      <w:pPr>
        <w:tabs>
          <w:tab w:val="right" w:leader="dot" w:pos="9062"/>
        </w:tabs>
        <w:ind w:left="440"/>
      </w:pPr>
      <w:hyperlink w:anchor="_Toc6625" w:history="1">
        <w:r>
          <w:rPr>
            <w:rFonts w:ascii="IRNazanin" w:hAnsi="IRNazanin" w:eastAsia="IRNazanin" w:cs="IRNazanin"/>
            <w:color w:val="111111"/>
            <w:sz w:val="22"/>
            <w:szCs w:val="22"/>
            <w:b w:val="0"/>
            <w:bCs w:val="0"/>
            <w:i w:val="0"/>
            <w:iCs w:val="0"/>
          </w:rPr>
          <w:t>5991- دیوان کامی سبزواری أو شعره‏</w:t>
        </w:r>
        <w:r>
          <w:tab/>
        </w:r>
        <w:r>
          <w:fldChar w:fldCharType="begin"/>
        </w:r>
        <w:r>
          <w:instrText xml:space="preserve">PAGEREF 6625 \h</w:instrText>
        </w:r>
        <w:r>
          <w:fldChar w:fldCharType="end"/>
        </w:r>
      </w:hyperlink>
    </w:p>
    <w:p>
      <w:pPr>
        <w:tabs>
          <w:tab w:val="right" w:leader="dot" w:pos="9062"/>
        </w:tabs>
        <w:ind w:left="440"/>
      </w:pPr>
      <w:hyperlink w:anchor="_Toc6626" w:history="1">
        <w:r>
          <w:rPr>
            <w:rFonts w:ascii="IRNazanin" w:hAnsi="IRNazanin" w:eastAsia="IRNazanin" w:cs="IRNazanin"/>
            <w:color w:val="111111"/>
            <w:sz w:val="22"/>
            <w:szCs w:val="22"/>
            <w:b w:val="0"/>
            <w:bCs w:val="0"/>
            <w:i w:val="0"/>
            <w:iCs w:val="0"/>
          </w:rPr>
          <w:t>5992- دیوان کامی قزوینی‏</w:t>
        </w:r>
        <w:r>
          <w:tab/>
        </w:r>
        <w:r>
          <w:fldChar w:fldCharType="begin"/>
        </w:r>
        <w:r>
          <w:instrText xml:space="preserve">PAGEREF 6626 \h</w:instrText>
        </w:r>
        <w:r>
          <w:fldChar w:fldCharType="end"/>
        </w:r>
      </w:hyperlink>
    </w:p>
    <w:p>
      <w:pPr>
        <w:tabs>
          <w:tab w:val="right" w:leader="dot" w:pos="9062"/>
        </w:tabs>
        <w:ind w:left="440"/>
      </w:pPr>
      <w:hyperlink w:anchor="_Toc6627" w:history="1">
        <w:r>
          <w:rPr>
            <w:rFonts w:ascii="IRNazanin" w:hAnsi="IRNazanin" w:eastAsia="IRNazanin" w:cs="IRNazanin"/>
            <w:color w:val="111111"/>
            <w:sz w:val="22"/>
            <w:szCs w:val="22"/>
            <w:b w:val="0"/>
            <w:bCs w:val="0"/>
            <w:i w:val="0"/>
            <w:iCs w:val="0"/>
          </w:rPr>
          <w:t>5993- دیوان کامی لاهیجی‏</w:t>
        </w:r>
        <w:r>
          <w:tab/>
        </w:r>
        <w:r>
          <w:fldChar w:fldCharType="begin"/>
        </w:r>
        <w:r>
          <w:instrText xml:space="preserve">PAGEREF 6627 \h</w:instrText>
        </w:r>
        <w:r>
          <w:fldChar w:fldCharType="end"/>
        </w:r>
      </w:hyperlink>
    </w:p>
    <w:p>
      <w:pPr>
        <w:tabs>
          <w:tab w:val="right" w:leader="dot" w:pos="9062"/>
        </w:tabs>
        <w:ind w:left="440"/>
      </w:pPr>
      <w:hyperlink w:anchor="_Toc6628" w:history="1">
        <w:r>
          <w:rPr>
            <w:rFonts w:ascii="IRNazanin" w:hAnsi="IRNazanin" w:eastAsia="IRNazanin" w:cs="IRNazanin"/>
            <w:color w:val="111111"/>
            <w:sz w:val="22"/>
            <w:szCs w:val="22"/>
            <w:b w:val="0"/>
            <w:bCs w:val="0"/>
            <w:i w:val="0"/>
            <w:iCs w:val="0"/>
          </w:rPr>
          <w:t>5994- دیوان کامی لاهیجی أو شعره‏</w:t>
        </w:r>
        <w:r>
          <w:tab/>
        </w:r>
        <w:r>
          <w:fldChar w:fldCharType="begin"/>
        </w:r>
        <w:r>
          <w:instrText xml:space="preserve">PAGEREF 6628 \h</w:instrText>
        </w:r>
        <w:r>
          <w:fldChar w:fldCharType="end"/>
        </w:r>
      </w:hyperlink>
    </w:p>
    <w:p>
      <w:pPr>
        <w:tabs>
          <w:tab w:val="right" w:leader="dot" w:pos="9062"/>
        </w:tabs>
        <w:ind w:left="440"/>
      </w:pPr>
      <w:hyperlink w:anchor="_Toc6629" w:history="1">
        <w:r>
          <w:rPr>
            <w:rFonts w:ascii="IRNazanin" w:hAnsi="IRNazanin" w:eastAsia="IRNazanin" w:cs="IRNazanin"/>
            <w:color w:val="111111"/>
            <w:sz w:val="22"/>
            <w:szCs w:val="22"/>
            <w:b w:val="0"/>
            <w:bCs w:val="0"/>
            <w:i w:val="0"/>
            <w:iCs w:val="0"/>
          </w:rPr>
          <w:t>5995- دیوان کامی هروی أو شعره‏</w:t>
        </w:r>
        <w:r>
          <w:tab/>
        </w:r>
        <w:r>
          <w:fldChar w:fldCharType="begin"/>
        </w:r>
        <w:r>
          <w:instrText xml:space="preserve">PAGEREF 6629 \h</w:instrText>
        </w:r>
        <w:r>
          <w:fldChar w:fldCharType="end"/>
        </w:r>
      </w:hyperlink>
    </w:p>
    <w:p>
      <w:pPr>
        <w:tabs>
          <w:tab w:val="right" w:leader="dot" w:pos="9062"/>
        </w:tabs>
        <w:ind w:left="440"/>
      </w:pPr>
      <w:hyperlink w:anchor="_Toc6630" w:history="1">
        <w:r>
          <w:rPr>
            <w:rFonts w:ascii="IRNazanin" w:hAnsi="IRNazanin" w:eastAsia="IRNazanin" w:cs="IRNazanin"/>
            <w:color w:val="111111"/>
            <w:sz w:val="22"/>
            <w:szCs w:val="22"/>
            <w:b w:val="0"/>
            <w:bCs w:val="0"/>
            <w:i w:val="0"/>
            <w:iCs w:val="0"/>
          </w:rPr>
          <w:t>دیوان کامی یزدی أو شعره‏</w:t>
        </w:r>
        <w:r>
          <w:tab/>
        </w:r>
        <w:r>
          <w:fldChar w:fldCharType="begin"/>
        </w:r>
        <w:r>
          <w:instrText xml:space="preserve">PAGEREF 6630 \h</w:instrText>
        </w:r>
        <w:r>
          <w:fldChar w:fldCharType="end"/>
        </w:r>
      </w:hyperlink>
    </w:p>
    <w:p>
      <w:pPr>
        <w:tabs>
          <w:tab w:val="right" w:leader="dot" w:pos="9062"/>
        </w:tabs>
        <w:ind w:left="440"/>
      </w:pPr>
      <w:hyperlink w:anchor="_Toc6631" w:history="1">
        <w:r>
          <w:rPr>
            <w:rFonts w:ascii="IRNazanin" w:hAnsi="IRNazanin" w:eastAsia="IRNazanin" w:cs="IRNazanin"/>
            <w:color w:val="111111"/>
            <w:sz w:val="22"/>
            <w:szCs w:val="22"/>
            <w:b w:val="0"/>
            <w:bCs w:val="0"/>
            <w:i w:val="0"/>
            <w:iCs w:val="0"/>
          </w:rPr>
          <w:t>5996- دیوان کاووس أو شعره‏</w:t>
        </w:r>
        <w:r>
          <w:tab/>
        </w:r>
        <w:r>
          <w:fldChar w:fldCharType="begin"/>
        </w:r>
        <w:r>
          <w:instrText xml:space="preserve">PAGEREF 6631 \h</w:instrText>
        </w:r>
        <w:r>
          <w:fldChar w:fldCharType="end"/>
        </w:r>
      </w:hyperlink>
    </w:p>
    <w:p>
      <w:pPr>
        <w:tabs>
          <w:tab w:val="right" w:leader="dot" w:pos="9062"/>
        </w:tabs>
        <w:ind w:left="440"/>
      </w:pPr>
      <w:hyperlink w:anchor="_Toc6632" w:history="1">
        <w:r>
          <w:rPr>
            <w:rFonts w:ascii="IRNazanin" w:hAnsi="IRNazanin" w:eastAsia="IRNazanin" w:cs="IRNazanin"/>
            <w:color w:val="111111"/>
            <w:sz w:val="22"/>
            <w:szCs w:val="22"/>
            <w:b w:val="0"/>
            <w:bCs w:val="0"/>
            <w:i w:val="0"/>
            <w:iCs w:val="0"/>
          </w:rPr>
          <w:t>دیوان کاهن‏</w:t>
        </w:r>
        <w:r>
          <w:tab/>
        </w:r>
        <w:r>
          <w:fldChar w:fldCharType="begin"/>
        </w:r>
        <w:r>
          <w:instrText xml:space="preserve">PAGEREF 6632 \h</w:instrText>
        </w:r>
        <w:r>
          <w:fldChar w:fldCharType="end"/>
        </w:r>
      </w:hyperlink>
    </w:p>
    <w:p>
      <w:pPr>
        <w:tabs>
          <w:tab w:val="right" w:leader="dot" w:pos="9062"/>
        </w:tabs>
        <w:ind w:left="440"/>
      </w:pPr>
      <w:hyperlink w:anchor="_Toc6633" w:history="1">
        <w:r>
          <w:rPr>
            <w:rFonts w:ascii="IRNazanin" w:hAnsi="IRNazanin" w:eastAsia="IRNazanin" w:cs="IRNazanin"/>
            <w:color w:val="111111"/>
            <w:sz w:val="22"/>
            <w:szCs w:val="22"/>
            <w:b w:val="0"/>
            <w:bCs w:val="0"/>
            <w:i w:val="0"/>
            <w:iCs w:val="0"/>
          </w:rPr>
          <w:t>5997- دیوان کاهی أکبرآبادی الماوراءالنهری الکابلی‏</w:t>
        </w:r>
        <w:r>
          <w:tab/>
        </w:r>
        <w:r>
          <w:fldChar w:fldCharType="begin"/>
        </w:r>
        <w:r>
          <w:instrText xml:space="preserve">PAGEREF 6633 \h</w:instrText>
        </w:r>
        <w:r>
          <w:fldChar w:fldCharType="end"/>
        </w:r>
      </w:hyperlink>
    </w:p>
    <w:p>
      <w:pPr>
        <w:tabs>
          <w:tab w:val="right" w:leader="dot" w:pos="9062"/>
        </w:tabs>
        <w:ind w:left="440"/>
      </w:pPr>
      <w:hyperlink w:anchor="_Toc6634" w:history="1">
        <w:r>
          <w:rPr>
            <w:rFonts w:ascii="IRNazanin" w:hAnsi="IRNazanin" w:eastAsia="IRNazanin" w:cs="IRNazanin"/>
            <w:color w:val="111111"/>
            <w:sz w:val="22"/>
            <w:szCs w:val="22"/>
            <w:b w:val="0"/>
            <w:bCs w:val="0"/>
            <w:i w:val="0"/>
            <w:iCs w:val="0"/>
          </w:rPr>
          <w:t>5998- دیوان کاهی بدخشی أو شعره‏</w:t>
        </w:r>
        <w:r>
          <w:tab/>
        </w:r>
        <w:r>
          <w:fldChar w:fldCharType="begin"/>
        </w:r>
        <w:r>
          <w:instrText xml:space="preserve">PAGEREF 6634 \h</w:instrText>
        </w:r>
        <w:r>
          <w:fldChar w:fldCharType="end"/>
        </w:r>
      </w:hyperlink>
    </w:p>
    <w:p>
      <w:pPr>
        <w:tabs>
          <w:tab w:val="right" w:leader="dot" w:pos="9062"/>
        </w:tabs>
        <w:ind w:left="440"/>
      </w:pPr>
      <w:hyperlink w:anchor="_Toc6635" w:history="1">
        <w:r>
          <w:rPr>
            <w:rFonts w:ascii="IRNazanin" w:hAnsi="IRNazanin" w:eastAsia="IRNazanin" w:cs="IRNazanin"/>
            <w:color w:val="111111"/>
            <w:sz w:val="22"/>
            <w:szCs w:val="22"/>
            <w:b w:val="0"/>
            <w:bCs w:val="0"/>
            <w:i w:val="0"/>
            <w:iCs w:val="0"/>
          </w:rPr>
          <w:t>5999- دیوان کاهی نیشابوری أو شعره‏</w:t>
        </w:r>
        <w:r>
          <w:tab/>
        </w:r>
        <w:r>
          <w:fldChar w:fldCharType="begin"/>
        </w:r>
        <w:r>
          <w:instrText xml:space="preserve">PAGEREF 6635 \h</w:instrText>
        </w:r>
        <w:r>
          <w:fldChar w:fldCharType="end"/>
        </w:r>
      </w:hyperlink>
    </w:p>
    <w:p>
      <w:pPr>
        <w:tabs>
          <w:tab w:val="right" w:leader="dot" w:pos="9062"/>
        </w:tabs>
        <w:ind w:left="440"/>
      </w:pPr>
      <w:hyperlink w:anchor="_Toc6636" w:history="1">
        <w:r>
          <w:rPr>
            <w:rFonts w:ascii="IRNazanin" w:hAnsi="IRNazanin" w:eastAsia="IRNazanin" w:cs="IRNazanin"/>
            <w:color w:val="111111"/>
            <w:sz w:val="22"/>
            <w:szCs w:val="22"/>
            <w:b w:val="0"/>
            <w:bCs w:val="0"/>
            <w:i w:val="0"/>
            <w:iCs w:val="0"/>
          </w:rPr>
          <w:t>6000- دیوان کبود جامه أو شعره‏</w:t>
        </w:r>
        <w:r>
          <w:tab/>
        </w:r>
        <w:r>
          <w:fldChar w:fldCharType="begin"/>
        </w:r>
        <w:r>
          <w:instrText xml:space="preserve">PAGEREF 6636 \h</w:instrText>
        </w:r>
        <w:r>
          <w:fldChar w:fldCharType="end"/>
        </w:r>
      </w:hyperlink>
    </w:p>
    <w:p>
      <w:pPr>
        <w:tabs>
          <w:tab w:val="right" w:leader="dot" w:pos="9062"/>
        </w:tabs>
        <w:ind w:left="440"/>
      </w:pPr>
      <w:hyperlink w:anchor="_Toc6637" w:history="1">
        <w:r>
          <w:rPr>
            <w:rFonts w:ascii="IRNazanin" w:hAnsi="IRNazanin" w:eastAsia="IRNazanin" w:cs="IRNazanin"/>
            <w:color w:val="111111"/>
            <w:sz w:val="22"/>
            <w:szCs w:val="22"/>
            <w:b w:val="0"/>
            <w:bCs w:val="0"/>
            <w:i w:val="0"/>
            <w:iCs w:val="0"/>
          </w:rPr>
          <w:t>دیوان کبودرآهنگی‏</w:t>
        </w:r>
        <w:r>
          <w:tab/>
        </w:r>
        <w:r>
          <w:fldChar w:fldCharType="begin"/>
        </w:r>
        <w:r>
          <w:instrText xml:space="preserve">PAGEREF 6637 \h</w:instrText>
        </w:r>
        <w:r>
          <w:fldChar w:fldCharType="end"/>
        </w:r>
      </w:hyperlink>
    </w:p>
    <w:p>
      <w:pPr>
        <w:tabs>
          <w:tab w:val="right" w:leader="dot" w:pos="9062"/>
        </w:tabs>
        <w:ind w:left="440"/>
      </w:pPr>
      <w:hyperlink w:anchor="_Toc6638" w:history="1">
        <w:r>
          <w:rPr>
            <w:rFonts w:ascii="IRNazanin" w:hAnsi="IRNazanin" w:eastAsia="IRNazanin" w:cs="IRNazanin"/>
            <w:color w:val="111111"/>
            <w:sz w:val="22"/>
            <w:szCs w:val="22"/>
            <w:b w:val="0"/>
            <w:bCs w:val="0"/>
            <w:i w:val="0"/>
            <w:iCs w:val="0"/>
          </w:rPr>
          <w:t>6001- دیوان کبودرآهنگی‏</w:t>
        </w:r>
        <w:r>
          <w:tab/>
        </w:r>
        <w:r>
          <w:fldChar w:fldCharType="begin"/>
        </w:r>
        <w:r>
          <w:instrText xml:space="preserve">PAGEREF 6638 \h</w:instrText>
        </w:r>
        <w:r>
          <w:fldChar w:fldCharType="end"/>
        </w:r>
      </w:hyperlink>
    </w:p>
    <w:p>
      <w:pPr>
        <w:tabs>
          <w:tab w:val="right" w:leader="dot" w:pos="9062"/>
        </w:tabs>
        <w:ind w:left="440"/>
      </w:pPr>
      <w:hyperlink w:anchor="_Toc6639" w:history="1">
        <w:r>
          <w:rPr>
            <w:rFonts w:ascii="IRNazanin" w:hAnsi="IRNazanin" w:eastAsia="IRNazanin" w:cs="IRNazanin"/>
            <w:color w:val="111111"/>
            <w:sz w:val="22"/>
            <w:szCs w:val="22"/>
            <w:b w:val="0"/>
            <w:bCs w:val="0"/>
            <w:i w:val="0"/>
            <w:iCs w:val="0"/>
          </w:rPr>
          <w:t>دیوان کبیر أردبیلی‏</w:t>
        </w:r>
        <w:r>
          <w:tab/>
        </w:r>
        <w:r>
          <w:fldChar w:fldCharType="begin"/>
        </w:r>
        <w:r>
          <w:instrText xml:space="preserve">PAGEREF 6639 \h</w:instrText>
        </w:r>
        <w:r>
          <w:fldChar w:fldCharType="end"/>
        </w:r>
      </w:hyperlink>
    </w:p>
    <w:p>
      <w:pPr>
        <w:tabs>
          <w:tab w:val="right" w:leader="dot" w:pos="9062"/>
        </w:tabs>
        <w:ind w:left="440"/>
      </w:pPr>
      <w:hyperlink w:anchor="_Toc6640" w:history="1">
        <w:r>
          <w:rPr>
            <w:rFonts w:ascii="IRNazanin" w:hAnsi="IRNazanin" w:eastAsia="IRNazanin" w:cs="IRNazanin"/>
            <w:color w:val="111111"/>
            <w:sz w:val="22"/>
            <w:szCs w:val="22"/>
            <w:b w:val="0"/>
            <w:bCs w:val="0"/>
            <w:i w:val="0"/>
            <w:iCs w:val="0"/>
          </w:rPr>
          <w:t>دیوان حاج کبیر</w:t>
        </w:r>
        <w:r>
          <w:tab/>
        </w:r>
        <w:r>
          <w:fldChar w:fldCharType="begin"/>
        </w:r>
        <w:r>
          <w:instrText xml:space="preserve">PAGEREF 6640 \h</w:instrText>
        </w:r>
        <w:r>
          <w:fldChar w:fldCharType="end"/>
        </w:r>
      </w:hyperlink>
    </w:p>
    <w:p>
      <w:pPr>
        <w:tabs>
          <w:tab w:val="right" w:leader="dot" w:pos="9062"/>
        </w:tabs>
        <w:ind w:left="440"/>
      </w:pPr>
      <w:hyperlink w:anchor="_Toc6641" w:history="1">
        <w:r>
          <w:rPr>
            <w:rFonts w:ascii="IRNazanin" w:hAnsi="IRNazanin" w:eastAsia="IRNazanin" w:cs="IRNazanin"/>
            <w:color w:val="111111"/>
            <w:sz w:val="22"/>
            <w:szCs w:val="22"/>
            <w:b w:val="0"/>
            <w:bCs w:val="0"/>
            <w:i w:val="0"/>
            <w:iCs w:val="0"/>
          </w:rPr>
          <w:t>6002- دیوان الحاج میرزا کبیر آقا</w:t>
        </w:r>
        <w:r>
          <w:tab/>
        </w:r>
        <w:r>
          <w:fldChar w:fldCharType="begin"/>
        </w:r>
        <w:r>
          <w:instrText xml:space="preserve">PAGEREF 6641 \h</w:instrText>
        </w:r>
        <w:r>
          <w:fldChar w:fldCharType="end"/>
        </w:r>
      </w:hyperlink>
    </w:p>
    <w:p>
      <w:pPr>
        <w:tabs>
          <w:tab w:val="right" w:leader="dot" w:pos="9062"/>
        </w:tabs>
        <w:ind w:left="440"/>
      </w:pPr>
      <w:hyperlink w:anchor="_Toc6642" w:history="1">
        <w:r>
          <w:rPr>
            <w:rFonts w:ascii="IRNazanin" w:hAnsi="IRNazanin" w:eastAsia="IRNazanin" w:cs="IRNazanin"/>
            <w:color w:val="111111"/>
            <w:sz w:val="22"/>
            <w:szCs w:val="22"/>
            <w:b w:val="0"/>
            <w:bCs w:val="0"/>
            <w:i w:val="0"/>
            <w:iCs w:val="0"/>
          </w:rPr>
          <w:t>6003- دیوان کتاب دار أو شعره‏</w:t>
        </w:r>
        <w:r>
          <w:tab/>
        </w:r>
        <w:r>
          <w:fldChar w:fldCharType="begin"/>
        </w:r>
        <w:r>
          <w:instrText xml:space="preserve">PAGEREF 6642 \h</w:instrText>
        </w:r>
        <w:r>
          <w:fldChar w:fldCharType="end"/>
        </w:r>
      </w:hyperlink>
    </w:p>
    <w:p>
      <w:pPr>
        <w:tabs>
          <w:tab w:val="right" w:leader="dot" w:pos="9062"/>
        </w:tabs>
        <w:ind w:left="440"/>
      </w:pPr>
      <w:hyperlink w:anchor="_Toc6643" w:history="1">
        <w:r>
          <w:rPr>
            <w:rFonts w:ascii="IRNazanin" w:hAnsi="IRNazanin" w:eastAsia="IRNazanin" w:cs="IRNazanin"/>
            <w:color w:val="111111"/>
            <w:sz w:val="22"/>
            <w:szCs w:val="22"/>
            <w:b w:val="0"/>
            <w:bCs w:val="0"/>
            <w:i w:val="0"/>
            <w:iCs w:val="0"/>
          </w:rPr>
          <w:t>دیوان کتاب دار</w:t>
        </w:r>
        <w:r>
          <w:tab/>
        </w:r>
        <w:r>
          <w:fldChar w:fldCharType="begin"/>
        </w:r>
        <w:r>
          <w:instrText xml:space="preserve">PAGEREF 6643 \h</w:instrText>
        </w:r>
        <w:r>
          <w:fldChar w:fldCharType="end"/>
        </w:r>
      </w:hyperlink>
    </w:p>
    <w:p>
      <w:pPr>
        <w:tabs>
          <w:tab w:val="right" w:leader="dot" w:pos="9062"/>
        </w:tabs>
        <w:ind w:left="440"/>
      </w:pPr>
      <w:hyperlink w:anchor="_Toc6644" w:history="1">
        <w:r>
          <w:rPr>
            <w:rFonts w:ascii="IRNazanin" w:hAnsi="IRNazanin" w:eastAsia="IRNazanin" w:cs="IRNazanin"/>
            <w:color w:val="111111"/>
            <w:sz w:val="22"/>
            <w:szCs w:val="22"/>
            <w:b w:val="0"/>
            <w:bCs w:val="0"/>
            <w:i w:val="0"/>
            <w:iCs w:val="0"/>
          </w:rPr>
          <w:t>6004- دیوان کثیر عزة</w:t>
        </w:r>
        <w:r>
          <w:tab/>
        </w:r>
        <w:r>
          <w:fldChar w:fldCharType="begin"/>
        </w:r>
        <w:r>
          <w:instrText xml:space="preserve">PAGEREF 6644 \h</w:instrText>
        </w:r>
        <w:r>
          <w:fldChar w:fldCharType="end"/>
        </w:r>
      </w:hyperlink>
    </w:p>
    <w:p>
      <w:pPr>
        <w:tabs>
          <w:tab w:val="right" w:leader="dot" w:pos="9062"/>
        </w:tabs>
        <w:ind w:left="440"/>
      </w:pPr>
      <w:hyperlink w:anchor="_Toc6645" w:history="1">
        <w:r>
          <w:rPr>
            <w:rFonts w:ascii="IRNazanin" w:hAnsi="IRNazanin" w:eastAsia="IRNazanin" w:cs="IRNazanin"/>
            <w:color w:val="111111"/>
            <w:sz w:val="22"/>
            <w:szCs w:val="22"/>
            <w:b w:val="0"/>
            <w:bCs w:val="0"/>
            <w:i w:val="0"/>
            <w:iCs w:val="0"/>
          </w:rPr>
          <w:t>دیوان کجج‏</w:t>
        </w:r>
        <w:r>
          <w:tab/>
        </w:r>
        <w:r>
          <w:fldChar w:fldCharType="begin"/>
        </w:r>
        <w:r>
          <w:instrText xml:space="preserve">PAGEREF 6645 \h</w:instrText>
        </w:r>
        <w:r>
          <w:fldChar w:fldCharType="end"/>
        </w:r>
      </w:hyperlink>
    </w:p>
    <w:p>
      <w:pPr>
        <w:tabs>
          <w:tab w:val="right" w:leader="dot" w:pos="9062"/>
        </w:tabs>
        <w:ind w:left="440"/>
      </w:pPr>
      <w:hyperlink w:anchor="_Toc6646" w:history="1">
        <w:r>
          <w:rPr>
            <w:rFonts w:ascii="IRNazanin" w:hAnsi="IRNazanin" w:eastAsia="IRNazanin" w:cs="IRNazanin"/>
            <w:color w:val="111111"/>
            <w:sz w:val="22"/>
            <w:szCs w:val="22"/>
            <w:b w:val="0"/>
            <w:bCs w:val="0"/>
            <w:i w:val="0"/>
            <w:iCs w:val="0"/>
          </w:rPr>
          <w:t>6005- دیوان کحلی تبریزی أو شعره‏</w:t>
        </w:r>
        <w:r>
          <w:tab/>
        </w:r>
        <w:r>
          <w:fldChar w:fldCharType="begin"/>
        </w:r>
        <w:r>
          <w:instrText xml:space="preserve">PAGEREF 6646 \h</w:instrText>
        </w:r>
        <w:r>
          <w:fldChar w:fldCharType="end"/>
        </w:r>
      </w:hyperlink>
    </w:p>
    <w:p>
      <w:pPr>
        <w:tabs>
          <w:tab w:val="right" w:leader="dot" w:pos="9062"/>
        </w:tabs>
        <w:ind w:left="440"/>
      </w:pPr>
      <w:hyperlink w:anchor="_Toc6647" w:history="1">
        <w:r>
          <w:rPr>
            <w:rFonts w:ascii="IRNazanin" w:hAnsi="IRNazanin" w:eastAsia="IRNazanin" w:cs="IRNazanin"/>
            <w:color w:val="111111"/>
            <w:sz w:val="22"/>
            <w:szCs w:val="22"/>
            <w:b w:val="0"/>
            <w:bCs w:val="0"/>
            <w:i w:val="0"/>
            <w:iCs w:val="0"/>
          </w:rPr>
          <w:t>6006- دیوان کحلی شیرازی أو شعره‏</w:t>
        </w:r>
        <w:r>
          <w:tab/>
        </w:r>
        <w:r>
          <w:fldChar w:fldCharType="begin"/>
        </w:r>
        <w:r>
          <w:instrText xml:space="preserve">PAGEREF 6647 \h</w:instrText>
        </w:r>
        <w:r>
          <w:fldChar w:fldCharType="end"/>
        </w:r>
      </w:hyperlink>
    </w:p>
    <w:p>
      <w:pPr>
        <w:tabs>
          <w:tab w:val="right" w:leader="dot" w:pos="9062"/>
        </w:tabs>
        <w:ind w:left="440"/>
      </w:pPr>
      <w:hyperlink w:anchor="_Toc6648" w:history="1">
        <w:r>
          <w:rPr>
            <w:rFonts w:ascii="IRNazanin" w:hAnsi="IRNazanin" w:eastAsia="IRNazanin" w:cs="IRNazanin"/>
            <w:color w:val="111111"/>
            <w:sz w:val="22"/>
            <w:szCs w:val="22"/>
            <w:b w:val="0"/>
            <w:bCs w:val="0"/>
            <w:i w:val="0"/>
            <w:iCs w:val="0"/>
          </w:rPr>
          <w:t>دیوان کدود</w:t>
        </w:r>
        <w:r>
          <w:tab/>
        </w:r>
        <w:r>
          <w:fldChar w:fldCharType="begin"/>
        </w:r>
        <w:r>
          <w:instrText xml:space="preserve">PAGEREF 6648 \h</w:instrText>
        </w:r>
        <w:r>
          <w:fldChar w:fldCharType="end"/>
        </w:r>
      </w:hyperlink>
    </w:p>
    <w:p>
      <w:pPr>
        <w:tabs>
          <w:tab w:val="right" w:leader="dot" w:pos="9062"/>
        </w:tabs>
        <w:ind w:left="440"/>
      </w:pPr>
      <w:hyperlink w:anchor="_Toc6649" w:history="1">
        <w:r>
          <w:rPr>
            <w:rFonts w:ascii="IRNazanin" w:hAnsi="IRNazanin" w:eastAsia="IRNazanin" w:cs="IRNazanin"/>
            <w:color w:val="111111"/>
            <w:sz w:val="22"/>
            <w:szCs w:val="22"/>
            <w:b w:val="0"/>
            <w:bCs w:val="0"/>
            <w:i w:val="0"/>
            <w:iCs w:val="0"/>
          </w:rPr>
          <w:t>6007- دیوان کرام بخاری أو شعره‏</w:t>
        </w:r>
        <w:r>
          <w:tab/>
        </w:r>
        <w:r>
          <w:fldChar w:fldCharType="begin"/>
        </w:r>
        <w:r>
          <w:instrText xml:space="preserve">PAGEREF 6649 \h</w:instrText>
        </w:r>
        <w:r>
          <w:fldChar w:fldCharType="end"/>
        </w:r>
      </w:hyperlink>
    </w:p>
    <w:p>
      <w:pPr>
        <w:tabs>
          <w:tab w:val="right" w:leader="dot" w:pos="9062"/>
        </w:tabs>
        <w:ind w:left="440"/>
      </w:pPr>
      <w:hyperlink w:anchor="_Toc6650" w:history="1">
        <w:r>
          <w:rPr>
            <w:rFonts w:ascii="IRNazanin" w:hAnsi="IRNazanin" w:eastAsia="IRNazanin" w:cs="IRNazanin"/>
            <w:color w:val="111111"/>
            <w:sz w:val="22"/>
            <w:szCs w:val="22"/>
            <w:b w:val="0"/>
            <w:bCs w:val="0"/>
            <w:i w:val="0"/>
            <w:iCs w:val="0"/>
          </w:rPr>
          <w:t>6008- دیوان کربلائی‏</w:t>
        </w:r>
        <w:r>
          <w:tab/>
        </w:r>
        <w:r>
          <w:fldChar w:fldCharType="begin"/>
        </w:r>
        <w:r>
          <w:instrText xml:space="preserve">PAGEREF 6650 \h</w:instrText>
        </w:r>
        <w:r>
          <w:fldChar w:fldCharType="end"/>
        </w:r>
      </w:hyperlink>
    </w:p>
    <w:p>
      <w:pPr>
        <w:tabs>
          <w:tab w:val="right" w:leader="dot" w:pos="9062"/>
        </w:tabs>
        <w:ind w:left="440"/>
      </w:pPr>
      <w:hyperlink w:anchor="_Toc6651" w:history="1">
        <w:r>
          <w:rPr>
            <w:rFonts w:ascii="IRNazanin" w:hAnsi="IRNazanin" w:eastAsia="IRNazanin" w:cs="IRNazanin"/>
            <w:color w:val="111111"/>
            <w:sz w:val="22"/>
            <w:szCs w:val="22"/>
            <w:b w:val="0"/>
            <w:bCs w:val="0"/>
            <w:i w:val="0"/>
            <w:iCs w:val="0"/>
          </w:rPr>
          <w:t>دیوان الکرکی‏</w:t>
        </w:r>
        <w:r>
          <w:tab/>
        </w:r>
        <w:r>
          <w:fldChar w:fldCharType="begin"/>
        </w:r>
        <w:r>
          <w:instrText xml:space="preserve">PAGEREF 6651 \h</w:instrText>
        </w:r>
        <w:r>
          <w:fldChar w:fldCharType="end"/>
        </w:r>
      </w:hyperlink>
    </w:p>
    <w:p>
      <w:pPr>
        <w:tabs>
          <w:tab w:val="right" w:leader="dot" w:pos="9062"/>
        </w:tabs>
        <w:ind w:left="440"/>
      </w:pPr>
      <w:hyperlink w:anchor="_Toc6652" w:history="1">
        <w:r>
          <w:rPr>
            <w:rFonts w:ascii="IRNazanin" w:hAnsi="IRNazanin" w:eastAsia="IRNazanin" w:cs="IRNazanin"/>
            <w:color w:val="111111"/>
            <w:sz w:val="22"/>
            <w:szCs w:val="22"/>
            <w:b w:val="0"/>
            <w:bCs w:val="0"/>
            <w:i w:val="0"/>
            <w:iCs w:val="0"/>
          </w:rPr>
          <w:t>6009- دیوان شاه کرم خوانساری أو شعره‏</w:t>
        </w:r>
        <w:r>
          <w:tab/>
        </w:r>
        <w:r>
          <w:fldChar w:fldCharType="begin"/>
        </w:r>
        <w:r>
          <w:instrText xml:space="preserve">PAGEREF 6652 \h</w:instrText>
        </w:r>
        <w:r>
          <w:fldChar w:fldCharType="end"/>
        </w:r>
      </w:hyperlink>
    </w:p>
    <w:p>
      <w:pPr>
        <w:tabs>
          <w:tab w:val="right" w:leader="dot" w:pos="9062"/>
        </w:tabs>
        <w:ind w:left="440"/>
      </w:pPr>
      <w:hyperlink w:anchor="_Toc6653" w:history="1">
        <w:r>
          <w:rPr>
            <w:rFonts w:ascii="IRNazanin" w:hAnsi="IRNazanin" w:eastAsia="IRNazanin" w:cs="IRNazanin"/>
            <w:color w:val="111111"/>
            <w:sz w:val="22"/>
            <w:szCs w:val="22"/>
            <w:b w:val="0"/>
            <w:bCs w:val="0"/>
            <w:i w:val="0"/>
            <w:iCs w:val="0"/>
          </w:rPr>
          <w:t>دیوان کرمانی‏</w:t>
        </w:r>
        <w:r>
          <w:tab/>
        </w:r>
        <w:r>
          <w:fldChar w:fldCharType="begin"/>
        </w:r>
        <w:r>
          <w:instrText xml:space="preserve">PAGEREF 6653 \h</w:instrText>
        </w:r>
        <w:r>
          <w:fldChar w:fldCharType="end"/>
        </w:r>
      </w:hyperlink>
    </w:p>
    <w:p>
      <w:pPr>
        <w:tabs>
          <w:tab w:val="right" w:leader="dot" w:pos="9062"/>
        </w:tabs>
        <w:ind w:left="440"/>
      </w:pPr>
      <w:hyperlink w:anchor="_Toc6654" w:history="1">
        <w:r>
          <w:rPr>
            <w:rFonts w:ascii="IRNazanin" w:hAnsi="IRNazanin" w:eastAsia="IRNazanin" w:cs="IRNazanin"/>
            <w:color w:val="111111"/>
            <w:sz w:val="22"/>
            <w:szCs w:val="22"/>
            <w:b w:val="0"/>
            <w:bCs w:val="0"/>
            <w:i w:val="0"/>
            <w:iCs w:val="0"/>
          </w:rPr>
          <w:t>6010- دیوان الکرمی النجفی‏</w:t>
        </w:r>
        <w:r>
          <w:tab/>
        </w:r>
        <w:r>
          <w:fldChar w:fldCharType="begin"/>
        </w:r>
        <w:r>
          <w:instrText xml:space="preserve">PAGEREF 6654 \h</w:instrText>
        </w:r>
        <w:r>
          <w:fldChar w:fldCharType="end"/>
        </w:r>
      </w:hyperlink>
    </w:p>
    <w:p>
      <w:pPr>
        <w:tabs>
          <w:tab w:val="right" w:leader="dot" w:pos="9062"/>
        </w:tabs>
        <w:ind w:left="440"/>
      </w:pPr>
      <w:hyperlink w:anchor="_Toc6655" w:history="1">
        <w:r>
          <w:rPr>
            <w:rFonts w:ascii="IRNazanin" w:hAnsi="IRNazanin" w:eastAsia="IRNazanin" w:cs="IRNazanin"/>
            <w:color w:val="111111"/>
            <w:sz w:val="22"/>
            <w:szCs w:val="22"/>
            <w:b w:val="0"/>
            <w:bCs w:val="0"/>
            <w:i w:val="0"/>
            <w:iCs w:val="0"/>
          </w:rPr>
          <w:t>6011- دیوان کرمی بروجردی‏</w:t>
        </w:r>
        <w:r>
          <w:tab/>
        </w:r>
        <w:r>
          <w:fldChar w:fldCharType="begin"/>
        </w:r>
        <w:r>
          <w:instrText xml:space="preserve">PAGEREF 6655 \h</w:instrText>
        </w:r>
        <w:r>
          <w:fldChar w:fldCharType="end"/>
        </w:r>
      </w:hyperlink>
    </w:p>
    <w:p>
      <w:pPr>
        <w:tabs>
          <w:tab w:val="right" w:leader="dot" w:pos="9062"/>
        </w:tabs>
        <w:ind w:left="440"/>
      </w:pPr>
      <w:hyperlink w:anchor="_Toc6656" w:history="1">
        <w:r>
          <w:rPr>
            <w:rFonts w:ascii="IRNazanin" w:hAnsi="IRNazanin" w:eastAsia="IRNazanin" w:cs="IRNazanin"/>
            <w:color w:val="111111"/>
            <w:sz w:val="22"/>
            <w:szCs w:val="22"/>
            <w:b w:val="0"/>
            <w:bCs w:val="0"/>
            <w:i w:val="0"/>
            <w:iCs w:val="0"/>
          </w:rPr>
          <w:t>دیوان کرود</w:t>
        </w:r>
        <w:r>
          <w:tab/>
        </w:r>
        <w:r>
          <w:fldChar w:fldCharType="begin"/>
        </w:r>
        <w:r>
          <w:instrText xml:space="preserve">PAGEREF 6656 \h</w:instrText>
        </w:r>
        <w:r>
          <w:fldChar w:fldCharType="end"/>
        </w:r>
      </w:hyperlink>
    </w:p>
    <w:p>
      <w:pPr>
        <w:tabs>
          <w:tab w:val="right" w:leader="dot" w:pos="9062"/>
        </w:tabs>
        <w:ind w:left="440"/>
      </w:pPr>
      <w:hyperlink w:anchor="_Toc6657" w:history="1">
        <w:r>
          <w:rPr>
            <w:rFonts w:ascii="IRNazanin" w:hAnsi="IRNazanin" w:eastAsia="IRNazanin" w:cs="IRNazanin"/>
            <w:color w:val="111111"/>
            <w:sz w:val="22"/>
            <w:szCs w:val="22"/>
            <w:b w:val="0"/>
            <w:bCs w:val="0"/>
            <w:i w:val="0"/>
            <w:iCs w:val="0"/>
          </w:rPr>
          <w:t>6012- دیوان کریم خان کرمانی‏</w:t>
        </w:r>
        <w:r>
          <w:tab/>
        </w:r>
        <w:r>
          <w:fldChar w:fldCharType="begin"/>
        </w:r>
        <w:r>
          <w:instrText xml:space="preserve">PAGEREF 6657 \h</w:instrText>
        </w:r>
        <w:r>
          <w:fldChar w:fldCharType="end"/>
        </w:r>
      </w:hyperlink>
    </w:p>
    <w:p>
      <w:pPr>
        <w:tabs>
          <w:tab w:val="right" w:leader="dot" w:pos="9062"/>
        </w:tabs>
        <w:ind w:left="440"/>
      </w:pPr>
      <w:hyperlink w:anchor="_Toc6658" w:history="1">
        <w:r>
          <w:rPr>
            <w:rFonts w:ascii="IRNazanin" w:hAnsi="IRNazanin" w:eastAsia="IRNazanin" w:cs="IRNazanin"/>
            <w:color w:val="111111"/>
            <w:sz w:val="22"/>
            <w:szCs w:val="22"/>
            <w:b w:val="0"/>
            <w:bCs w:val="0"/>
            <w:i w:val="0"/>
            <w:iCs w:val="0"/>
          </w:rPr>
          <w:t>6013- دیوان کریم دشت بیاضی أو شعره‏</w:t>
        </w:r>
        <w:r>
          <w:tab/>
        </w:r>
        <w:r>
          <w:fldChar w:fldCharType="begin"/>
        </w:r>
        <w:r>
          <w:instrText xml:space="preserve">PAGEREF 6658 \h</w:instrText>
        </w:r>
        <w:r>
          <w:fldChar w:fldCharType="end"/>
        </w:r>
      </w:hyperlink>
    </w:p>
    <w:p>
      <w:pPr>
        <w:tabs>
          <w:tab w:val="right" w:leader="dot" w:pos="9062"/>
        </w:tabs>
        <w:ind w:left="440"/>
      </w:pPr>
      <w:hyperlink w:anchor="_Toc6659" w:history="1">
        <w:r>
          <w:rPr>
            <w:rFonts w:ascii="IRNazanin" w:hAnsi="IRNazanin" w:eastAsia="IRNazanin" w:cs="IRNazanin"/>
            <w:color w:val="111111"/>
            <w:sz w:val="22"/>
            <w:szCs w:val="22"/>
            <w:b w:val="0"/>
            <w:bCs w:val="0"/>
            <w:i w:val="0"/>
            <w:iCs w:val="0"/>
          </w:rPr>
          <w:t>دیوان کریم صابونی‏</w:t>
        </w:r>
        <w:r>
          <w:tab/>
        </w:r>
        <w:r>
          <w:fldChar w:fldCharType="begin"/>
        </w:r>
        <w:r>
          <w:instrText xml:space="preserve">PAGEREF 6659 \h</w:instrText>
        </w:r>
        <w:r>
          <w:fldChar w:fldCharType="end"/>
        </w:r>
      </w:hyperlink>
    </w:p>
    <w:p>
      <w:pPr>
        <w:tabs>
          <w:tab w:val="right" w:leader="dot" w:pos="9062"/>
        </w:tabs>
        <w:ind w:left="440"/>
      </w:pPr>
      <w:hyperlink w:anchor="_Toc6660" w:history="1">
        <w:r>
          <w:rPr>
            <w:rFonts w:ascii="IRNazanin" w:hAnsi="IRNazanin" w:eastAsia="IRNazanin" w:cs="IRNazanin"/>
            <w:color w:val="111111"/>
            <w:sz w:val="22"/>
            <w:szCs w:val="22"/>
            <w:b w:val="0"/>
            <w:bCs w:val="0"/>
            <w:i w:val="0"/>
            <w:iCs w:val="0"/>
          </w:rPr>
          <w:t>دیوان کریم صافی‏</w:t>
        </w:r>
        <w:r>
          <w:tab/>
        </w:r>
        <w:r>
          <w:fldChar w:fldCharType="begin"/>
        </w:r>
        <w:r>
          <w:instrText xml:space="preserve">PAGEREF 6660 \h</w:instrText>
        </w:r>
        <w:r>
          <w:fldChar w:fldCharType="end"/>
        </w:r>
      </w:hyperlink>
    </w:p>
    <w:p>
      <w:pPr>
        <w:tabs>
          <w:tab w:val="right" w:leader="dot" w:pos="9062"/>
        </w:tabs>
        <w:ind w:left="440"/>
      </w:pPr>
      <w:hyperlink w:anchor="_Toc6661" w:history="1">
        <w:r>
          <w:rPr>
            <w:rFonts w:ascii="IRNazanin" w:hAnsi="IRNazanin" w:eastAsia="IRNazanin" w:cs="IRNazanin"/>
            <w:color w:val="111111"/>
            <w:sz w:val="22"/>
            <w:szCs w:val="22"/>
            <w:b w:val="0"/>
            <w:bCs w:val="0"/>
            <w:i w:val="0"/>
            <w:iCs w:val="0"/>
          </w:rPr>
          <w:t>دیوان کریم کرمانی‏</w:t>
        </w:r>
        <w:r>
          <w:tab/>
        </w:r>
        <w:r>
          <w:fldChar w:fldCharType="begin"/>
        </w:r>
        <w:r>
          <w:instrText xml:space="preserve">PAGEREF 6661 \h</w:instrText>
        </w:r>
        <w:r>
          <w:fldChar w:fldCharType="end"/>
        </w:r>
      </w:hyperlink>
    </w:p>
    <w:p>
      <w:pPr>
        <w:tabs>
          <w:tab w:val="right" w:leader="dot" w:pos="9062"/>
        </w:tabs>
        <w:ind w:left="440"/>
      </w:pPr>
      <w:hyperlink w:anchor="_Toc6662" w:history="1">
        <w:r>
          <w:rPr>
            <w:rFonts w:ascii="IRNazanin" w:hAnsi="IRNazanin" w:eastAsia="IRNazanin" w:cs="IRNazanin"/>
            <w:color w:val="111111"/>
            <w:sz w:val="22"/>
            <w:szCs w:val="22"/>
            <w:b w:val="0"/>
            <w:bCs w:val="0"/>
            <w:i w:val="0"/>
            <w:iCs w:val="0"/>
          </w:rPr>
          <w:t>6014- دیوان کریم نیشابوری أو شعره‏</w:t>
        </w:r>
        <w:r>
          <w:tab/>
        </w:r>
        <w:r>
          <w:fldChar w:fldCharType="begin"/>
        </w:r>
        <w:r>
          <w:instrText xml:space="preserve">PAGEREF 6662 \h</w:instrText>
        </w:r>
        <w:r>
          <w:fldChar w:fldCharType="end"/>
        </w:r>
      </w:hyperlink>
    </w:p>
    <w:p>
      <w:pPr>
        <w:tabs>
          <w:tab w:val="right" w:leader="dot" w:pos="9062"/>
        </w:tabs>
        <w:ind w:left="440"/>
      </w:pPr>
      <w:hyperlink w:anchor="_Toc6663" w:history="1">
        <w:r>
          <w:rPr>
            <w:rFonts w:ascii="IRNazanin" w:hAnsi="IRNazanin" w:eastAsia="IRNazanin" w:cs="IRNazanin"/>
            <w:color w:val="111111"/>
            <w:sz w:val="22"/>
            <w:szCs w:val="22"/>
            <w:b w:val="0"/>
            <w:bCs w:val="0"/>
            <w:i w:val="0"/>
            <w:iCs w:val="0"/>
          </w:rPr>
          <w:t>6015- دیوان کریمی سمرقندی‏</w:t>
        </w:r>
        <w:r>
          <w:tab/>
        </w:r>
        <w:r>
          <w:fldChar w:fldCharType="begin"/>
        </w:r>
        <w:r>
          <w:instrText xml:space="preserve">PAGEREF 6663 \h</w:instrText>
        </w:r>
        <w:r>
          <w:fldChar w:fldCharType="end"/>
        </w:r>
      </w:hyperlink>
    </w:p>
    <w:p>
      <w:pPr>
        <w:tabs>
          <w:tab w:val="right" w:leader="dot" w:pos="9062"/>
        </w:tabs>
        <w:ind w:left="440"/>
      </w:pPr>
      <w:hyperlink w:anchor="_Toc6664" w:history="1">
        <w:r>
          <w:rPr>
            <w:rFonts w:ascii="IRNazanin" w:hAnsi="IRNazanin" w:eastAsia="IRNazanin" w:cs="IRNazanin"/>
            <w:color w:val="111111"/>
            <w:sz w:val="22"/>
            <w:szCs w:val="22"/>
            <w:b w:val="0"/>
            <w:bCs w:val="0"/>
            <w:i w:val="0"/>
            <w:iCs w:val="0"/>
          </w:rPr>
          <w:t>6016- دیوان کسائی مروزی‏</w:t>
        </w:r>
        <w:r>
          <w:tab/>
        </w:r>
        <w:r>
          <w:fldChar w:fldCharType="begin"/>
        </w:r>
        <w:r>
          <w:instrText xml:space="preserve">PAGEREF 6664 \h</w:instrText>
        </w:r>
        <w:r>
          <w:fldChar w:fldCharType="end"/>
        </w:r>
      </w:hyperlink>
    </w:p>
    <w:p>
      <w:pPr>
        <w:tabs>
          <w:tab w:val="right" w:leader="dot" w:pos="9062"/>
        </w:tabs>
        <w:ind w:left="440"/>
      </w:pPr>
      <w:hyperlink w:anchor="_Toc6665" w:history="1">
        <w:r>
          <w:rPr>
            <w:rFonts w:ascii="IRNazanin" w:hAnsi="IRNazanin" w:eastAsia="IRNazanin" w:cs="IRNazanin"/>
            <w:color w:val="111111"/>
            <w:sz w:val="22"/>
            <w:szCs w:val="22"/>
            <w:b w:val="0"/>
            <w:bCs w:val="0"/>
            <w:i w:val="0"/>
            <w:iCs w:val="0"/>
          </w:rPr>
          <w:t>6017- دیوان کسرائی‏</w:t>
        </w:r>
        <w:r>
          <w:tab/>
        </w:r>
        <w:r>
          <w:fldChar w:fldCharType="begin"/>
        </w:r>
        <w:r>
          <w:instrText xml:space="preserve">PAGEREF 6665 \h</w:instrText>
        </w:r>
        <w:r>
          <w:fldChar w:fldCharType="end"/>
        </w:r>
      </w:hyperlink>
    </w:p>
    <w:p>
      <w:pPr>
        <w:tabs>
          <w:tab w:val="right" w:leader="dot" w:pos="9062"/>
        </w:tabs>
        <w:ind w:left="440"/>
      </w:pPr>
      <w:hyperlink w:anchor="_Toc6666" w:history="1">
        <w:r>
          <w:rPr>
            <w:rFonts w:ascii="IRNazanin" w:hAnsi="IRNazanin" w:eastAsia="IRNazanin" w:cs="IRNazanin"/>
            <w:color w:val="111111"/>
            <w:sz w:val="22"/>
            <w:szCs w:val="22"/>
            <w:b w:val="0"/>
            <w:bCs w:val="0"/>
            <w:i w:val="0"/>
            <w:iCs w:val="0"/>
          </w:rPr>
          <w:t>دیوان کسری أنجدانی‏</w:t>
        </w:r>
        <w:r>
          <w:tab/>
        </w:r>
        <w:r>
          <w:fldChar w:fldCharType="begin"/>
        </w:r>
        <w:r>
          <w:instrText xml:space="preserve">PAGEREF 6666 \h</w:instrText>
        </w:r>
        <w:r>
          <w:fldChar w:fldCharType="end"/>
        </w:r>
      </w:hyperlink>
    </w:p>
    <w:p>
      <w:pPr>
        <w:tabs>
          <w:tab w:val="right" w:leader="dot" w:pos="9062"/>
        </w:tabs>
        <w:ind w:left="440"/>
      </w:pPr>
      <w:hyperlink w:anchor="_Toc6667" w:history="1">
        <w:r>
          <w:rPr>
            <w:rFonts w:ascii="IRNazanin" w:hAnsi="IRNazanin" w:eastAsia="IRNazanin" w:cs="IRNazanin"/>
            <w:color w:val="111111"/>
            <w:sz w:val="22"/>
            <w:szCs w:val="22"/>
            <w:b w:val="0"/>
            <w:bCs w:val="0"/>
            <w:i w:val="0"/>
            <w:iCs w:val="0"/>
          </w:rPr>
          <w:t>6018- دیوان کسوتی یزدی أو شعره‏</w:t>
        </w:r>
        <w:r>
          <w:tab/>
        </w:r>
        <w:r>
          <w:fldChar w:fldCharType="begin"/>
        </w:r>
        <w:r>
          <w:instrText xml:space="preserve">PAGEREF 6667 \h</w:instrText>
        </w:r>
        <w:r>
          <w:fldChar w:fldCharType="end"/>
        </w:r>
      </w:hyperlink>
    </w:p>
    <w:p>
      <w:pPr>
        <w:tabs>
          <w:tab w:val="right" w:leader="dot" w:pos="9062"/>
        </w:tabs>
        <w:ind w:left="440"/>
      </w:pPr>
      <w:hyperlink w:anchor="_Toc6668" w:history="1">
        <w:r>
          <w:rPr>
            <w:rFonts w:ascii="IRNazanin" w:hAnsi="IRNazanin" w:eastAsia="IRNazanin" w:cs="IRNazanin"/>
            <w:color w:val="111111"/>
            <w:sz w:val="22"/>
            <w:szCs w:val="22"/>
            <w:b w:val="0"/>
            <w:bCs w:val="0"/>
            <w:i w:val="0"/>
            <w:iCs w:val="0"/>
          </w:rPr>
          <w:t>6019- دیوان کشاجم‏</w:t>
        </w:r>
        <w:r>
          <w:tab/>
        </w:r>
        <w:r>
          <w:fldChar w:fldCharType="begin"/>
        </w:r>
        <w:r>
          <w:instrText xml:space="preserve">PAGEREF 6668 \h</w:instrText>
        </w:r>
        <w:r>
          <w:fldChar w:fldCharType="end"/>
        </w:r>
      </w:hyperlink>
    </w:p>
    <w:p>
      <w:pPr>
        <w:tabs>
          <w:tab w:val="right" w:leader="dot" w:pos="9062"/>
        </w:tabs>
        <w:ind w:left="440"/>
      </w:pPr>
      <w:hyperlink w:anchor="_Toc6669" w:history="1">
        <w:r>
          <w:rPr>
            <w:rFonts w:ascii="IRNazanin" w:hAnsi="IRNazanin" w:eastAsia="IRNazanin" w:cs="IRNazanin"/>
            <w:color w:val="111111"/>
            <w:sz w:val="22"/>
            <w:szCs w:val="22"/>
            <w:b w:val="0"/>
            <w:bCs w:val="0"/>
            <w:i w:val="0"/>
            <w:iCs w:val="0"/>
          </w:rPr>
          <w:t>6020- دیوان کشفی أکبرآبادی‏</w:t>
        </w:r>
        <w:r>
          <w:tab/>
        </w:r>
        <w:r>
          <w:fldChar w:fldCharType="begin"/>
        </w:r>
        <w:r>
          <w:instrText xml:space="preserve">PAGEREF 6669 \h</w:instrText>
        </w:r>
        <w:r>
          <w:fldChar w:fldCharType="end"/>
        </w:r>
      </w:hyperlink>
    </w:p>
    <w:p>
      <w:pPr>
        <w:tabs>
          <w:tab w:val="right" w:leader="dot" w:pos="9062"/>
        </w:tabs>
        <w:ind w:left="440"/>
      </w:pPr>
      <w:hyperlink w:anchor="_Toc6670" w:history="1">
        <w:r>
          <w:rPr>
            <w:rFonts w:ascii="IRNazanin" w:hAnsi="IRNazanin" w:eastAsia="IRNazanin" w:cs="IRNazanin"/>
            <w:color w:val="111111"/>
            <w:sz w:val="22"/>
            <w:szCs w:val="22"/>
            <w:b w:val="0"/>
            <w:bCs w:val="0"/>
            <w:i w:val="0"/>
            <w:iCs w:val="0"/>
          </w:rPr>
          <w:t>6021- دیوان کشفی دارابی‏</w:t>
        </w:r>
        <w:r>
          <w:tab/>
        </w:r>
        <w:r>
          <w:fldChar w:fldCharType="begin"/>
        </w:r>
        <w:r>
          <w:instrText xml:space="preserve">PAGEREF 6670 \h</w:instrText>
        </w:r>
        <w:r>
          <w:fldChar w:fldCharType="end"/>
        </w:r>
      </w:hyperlink>
    </w:p>
    <w:p>
      <w:pPr>
        <w:tabs>
          <w:tab w:val="right" w:leader="dot" w:pos="9062"/>
        </w:tabs>
        <w:ind w:left="440"/>
      </w:pPr>
      <w:hyperlink w:anchor="_Toc6671" w:history="1">
        <w:r>
          <w:rPr>
            <w:rFonts w:ascii="IRNazanin" w:hAnsi="IRNazanin" w:eastAsia="IRNazanin" w:cs="IRNazanin"/>
            <w:color w:val="111111"/>
            <w:sz w:val="22"/>
            <w:szCs w:val="22"/>
            <w:b w:val="0"/>
            <w:bCs w:val="0"/>
            <w:i w:val="0"/>
            <w:iCs w:val="0"/>
          </w:rPr>
          <w:t>6022- دیوان کشفی هندی‏</w:t>
        </w:r>
        <w:r>
          <w:tab/>
        </w:r>
        <w:r>
          <w:fldChar w:fldCharType="begin"/>
        </w:r>
        <w:r>
          <w:instrText xml:space="preserve">PAGEREF 6671 \h</w:instrText>
        </w:r>
        <w:r>
          <w:fldChar w:fldCharType="end"/>
        </w:r>
      </w:hyperlink>
    </w:p>
    <w:p>
      <w:pPr>
        <w:tabs>
          <w:tab w:val="right" w:leader="dot" w:pos="9062"/>
        </w:tabs>
        <w:ind w:left="440"/>
      </w:pPr>
      <w:hyperlink w:anchor="_Toc6672" w:history="1">
        <w:r>
          <w:rPr>
            <w:rFonts w:ascii="IRNazanin" w:hAnsi="IRNazanin" w:eastAsia="IRNazanin" w:cs="IRNazanin"/>
            <w:color w:val="111111"/>
            <w:sz w:val="22"/>
            <w:szCs w:val="22"/>
            <w:b w:val="0"/>
            <w:bCs w:val="0"/>
            <w:i w:val="0"/>
            <w:iCs w:val="0"/>
          </w:rPr>
          <w:t>6023- دیوان الکشمیری‏</w:t>
        </w:r>
        <w:r>
          <w:tab/>
        </w:r>
        <w:r>
          <w:fldChar w:fldCharType="begin"/>
        </w:r>
        <w:r>
          <w:instrText xml:space="preserve">PAGEREF 6672 \h</w:instrText>
        </w:r>
        <w:r>
          <w:fldChar w:fldCharType="end"/>
        </w:r>
      </w:hyperlink>
    </w:p>
    <w:p>
      <w:pPr>
        <w:tabs>
          <w:tab w:val="right" w:leader="dot" w:pos="9062"/>
        </w:tabs>
        <w:ind w:left="440"/>
      </w:pPr>
      <w:hyperlink w:anchor="_Toc6673" w:history="1">
        <w:r>
          <w:rPr>
            <w:rFonts w:ascii="IRNazanin" w:hAnsi="IRNazanin" w:eastAsia="IRNazanin" w:cs="IRNazanin"/>
            <w:color w:val="111111"/>
            <w:sz w:val="22"/>
            <w:szCs w:val="22"/>
            <w:b w:val="0"/>
            <w:bCs w:val="0"/>
            <w:i w:val="0"/>
            <w:iCs w:val="0"/>
          </w:rPr>
          <w:t>6024- دیوان کشوری رودباری‏</w:t>
        </w:r>
        <w:r>
          <w:tab/>
        </w:r>
        <w:r>
          <w:fldChar w:fldCharType="begin"/>
        </w:r>
        <w:r>
          <w:instrText xml:space="preserve">PAGEREF 6673 \h</w:instrText>
        </w:r>
        <w:r>
          <w:fldChar w:fldCharType="end"/>
        </w:r>
      </w:hyperlink>
    </w:p>
    <w:p>
      <w:pPr>
        <w:tabs>
          <w:tab w:val="right" w:leader="dot" w:pos="9062"/>
        </w:tabs>
        <w:ind w:left="440"/>
      </w:pPr>
      <w:hyperlink w:anchor="_Toc6674" w:history="1">
        <w:r>
          <w:rPr>
            <w:rFonts w:ascii="IRNazanin" w:hAnsi="IRNazanin" w:eastAsia="IRNazanin" w:cs="IRNazanin"/>
            <w:color w:val="111111"/>
            <w:sz w:val="22"/>
            <w:szCs w:val="22"/>
            <w:b w:val="0"/>
            <w:bCs w:val="0"/>
            <w:i w:val="0"/>
            <w:iCs w:val="0"/>
          </w:rPr>
          <w:t>6025- دیوان کشوری دیلمقانی‏</w:t>
        </w:r>
        <w:r>
          <w:tab/>
        </w:r>
        <w:r>
          <w:fldChar w:fldCharType="begin"/>
        </w:r>
        <w:r>
          <w:instrText xml:space="preserve">PAGEREF 6674 \h</w:instrText>
        </w:r>
        <w:r>
          <w:fldChar w:fldCharType="end"/>
        </w:r>
      </w:hyperlink>
    </w:p>
    <w:p>
      <w:pPr>
        <w:tabs>
          <w:tab w:val="right" w:leader="dot" w:pos="9062"/>
        </w:tabs>
        <w:ind w:left="440"/>
      </w:pPr>
      <w:hyperlink w:anchor="_Toc6675" w:history="1">
        <w:r>
          <w:rPr>
            <w:rFonts w:ascii="IRNazanin" w:hAnsi="IRNazanin" w:eastAsia="IRNazanin" w:cs="IRNazanin"/>
            <w:color w:val="111111"/>
            <w:sz w:val="22"/>
            <w:szCs w:val="22"/>
            <w:b w:val="0"/>
            <w:bCs w:val="0"/>
            <w:i w:val="0"/>
            <w:iCs w:val="0"/>
          </w:rPr>
          <w:t>6026- دیوان کعب بن زهیر</w:t>
        </w:r>
        <w:r>
          <w:tab/>
        </w:r>
        <w:r>
          <w:fldChar w:fldCharType="begin"/>
        </w:r>
        <w:r>
          <w:instrText xml:space="preserve">PAGEREF 6675 \h</w:instrText>
        </w:r>
        <w:r>
          <w:fldChar w:fldCharType="end"/>
        </w:r>
      </w:hyperlink>
    </w:p>
    <w:p>
      <w:pPr>
        <w:tabs>
          <w:tab w:val="right" w:leader="dot" w:pos="9062"/>
        </w:tabs>
        <w:ind w:left="440"/>
      </w:pPr>
      <w:hyperlink w:anchor="_Toc6676" w:history="1">
        <w:r>
          <w:rPr>
            <w:rFonts w:ascii="IRNazanin" w:hAnsi="IRNazanin" w:eastAsia="IRNazanin" w:cs="IRNazanin"/>
            <w:color w:val="111111"/>
            <w:sz w:val="22"/>
            <w:szCs w:val="22"/>
            <w:b w:val="0"/>
            <w:bCs w:val="0"/>
            <w:i w:val="0"/>
            <w:iCs w:val="0"/>
          </w:rPr>
          <w:t>6027- دیوان الکعبی‏</w:t>
        </w:r>
        <w:r>
          <w:tab/>
        </w:r>
        <w:r>
          <w:fldChar w:fldCharType="begin"/>
        </w:r>
        <w:r>
          <w:instrText xml:space="preserve">PAGEREF 6676 \h</w:instrText>
        </w:r>
        <w:r>
          <w:fldChar w:fldCharType="end"/>
        </w:r>
      </w:hyperlink>
    </w:p>
    <w:p>
      <w:pPr>
        <w:tabs>
          <w:tab w:val="right" w:leader="dot" w:pos="9062"/>
        </w:tabs>
        <w:ind w:left="440"/>
      </w:pPr>
      <w:hyperlink w:anchor="_Toc6677" w:history="1">
        <w:r>
          <w:rPr>
            <w:rFonts w:ascii="IRNazanin" w:hAnsi="IRNazanin" w:eastAsia="IRNazanin" w:cs="IRNazanin"/>
            <w:color w:val="111111"/>
            <w:sz w:val="22"/>
            <w:szCs w:val="22"/>
            <w:b w:val="0"/>
            <w:bCs w:val="0"/>
            <w:i w:val="0"/>
            <w:iCs w:val="0"/>
          </w:rPr>
          <w:t>6028- دیوان کفائی گنجوی أو شعره‏</w:t>
        </w:r>
        <w:r>
          <w:tab/>
        </w:r>
        <w:r>
          <w:fldChar w:fldCharType="begin"/>
        </w:r>
        <w:r>
          <w:instrText xml:space="preserve">PAGEREF 6677 \h</w:instrText>
        </w:r>
        <w:r>
          <w:fldChar w:fldCharType="end"/>
        </w:r>
      </w:hyperlink>
    </w:p>
    <w:p>
      <w:pPr>
        <w:tabs>
          <w:tab w:val="right" w:leader="dot" w:pos="9062"/>
        </w:tabs>
        <w:ind w:left="440"/>
      </w:pPr>
      <w:hyperlink w:anchor="_Toc6678" w:history="1">
        <w:r>
          <w:rPr>
            <w:rFonts w:ascii="IRNazanin" w:hAnsi="IRNazanin" w:eastAsia="IRNazanin" w:cs="IRNazanin"/>
            <w:color w:val="111111"/>
            <w:sz w:val="22"/>
            <w:szCs w:val="22"/>
            <w:b w:val="0"/>
            <w:bCs w:val="0"/>
            <w:i w:val="0"/>
            <w:iCs w:val="0"/>
          </w:rPr>
          <w:t>6029- دیوان الکفائی النجفی‏</w:t>
        </w:r>
        <w:r>
          <w:tab/>
        </w:r>
        <w:r>
          <w:fldChar w:fldCharType="begin"/>
        </w:r>
        <w:r>
          <w:instrText xml:space="preserve">PAGEREF 6678 \h</w:instrText>
        </w:r>
        <w:r>
          <w:fldChar w:fldCharType="end"/>
        </w:r>
      </w:hyperlink>
    </w:p>
    <w:p>
      <w:pPr>
        <w:tabs>
          <w:tab w:val="right" w:leader="dot" w:pos="9062"/>
        </w:tabs>
        <w:ind w:left="440"/>
      </w:pPr>
      <w:hyperlink w:anchor="_Toc6679" w:history="1">
        <w:r>
          <w:rPr>
            <w:rFonts w:ascii="IRNazanin" w:hAnsi="IRNazanin" w:eastAsia="IRNazanin" w:cs="IRNazanin"/>
            <w:color w:val="111111"/>
            <w:sz w:val="22"/>
            <w:szCs w:val="22"/>
            <w:b w:val="0"/>
            <w:bCs w:val="0"/>
            <w:i w:val="0"/>
            <w:iCs w:val="0"/>
          </w:rPr>
          <w:t>6030- دیوان کفایت هروی أو شعره‏</w:t>
        </w:r>
        <w:r>
          <w:tab/>
        </w:r>
        <w:r>
          <w:fldChar w:fldCharType="begin"/>
        </w:r>
        <w:r>
          <w:instrText xml:space="preserve">PAGEREF 6679 \h</w:instrText>
        </w:r>
        <w:r>
          <w:fldChar w:fldCharType="end"/>
        </w:r>
      </w:hyperlink>
    </w:p>
    <w:p>
      <w:pPr>
        <w:tabs>
          <w:tab w:val="right" w:leader="dot" w:pos="9062"/>
        </w:tabs>
        <w:ind w:left="440"/>
      </w:pPr>
      <w:hyperlink w:anchor="_Toc6680" w:history="1">
        <w:r>
          <w:rPr>
            <w:rFonts w:ascii="IRNazanin" w:hAnsi="IRNazanin" w:eastAsia="IRNazanin" w:cs="IRNazanin"/>
            <w:color w:val="111111"/>
            <w:sz w:val="22"/>
            <w:szCs w:val="22"/>
            <w:b w:val="0"/>
            <w:bCs w:val="0"/>
            <w:i w:val="0"/>
            <w:iCs w:val="0"/>
          </w:rPr>
          <w:t>6031- دیوان کفاش أصفهانی‏</w:t>
        </w:r>
        <w:r>
          <w:tab/>
        </w:r>
        <w:r>
          <w:fldChar w:fldCharType="begin"/>
        </w:r>
        <w:r>
          <w:instrText xml:space="preserve">PAGEREF 6680 \h</w:instrText>
        </w:r>
        <w:r>
          <w:fldChar w:fldCharType="end"/>
        </w:r>
      </w:hyperlink>
    </w:p>
    <w:p>
      <w:pPr>
        <w:tabs>
          <w:tab w:val="right" w:leader="dot" w:pos="9062"/>
        </w:tabs>
        <w:ind w:left="440"/>
      </w:pPr>
      <w:hyperlink w:anchor="_Toc6681" w:history="1">
        <w:r>
          <w:rPr>
            <w:rFonts w:ascii="IRNazanin" w:hAnsi="IRNazanin" w:eastAsia="IRNazanin" w:cs="IRNazanin"/>
            <w:color w:val="111111"/>
            <w:sz w:val="22"/>
            <w:szCs w:val="22"/>
            <w:b w:val="0"/>
            <w:bCs w:val="0"/>
            <w:i w:val="0"/>
            <w:iCs w:val="0"/>
          </w:rPr>
          <w:t>دیوان کفراد</w:t>
        </w:r>
        <w:r>
          <w:tab/>
        </w:r>
        <w:r>
          <w:fldChar w:fldCharType="begin"/>
        </w:r>
        <w:r>
          <w:instrText xml:space="preserve">PAGEREF 6681 \h</w:instrText>
        </w:r>
        <w:r>
          <w:fldChar w:fldCharType="end"/>
        </w:r>
      </w:hyperlink>
    </w:p>
    <w:p>
      <w:pPr>
        <w:tabs>
          <w:tab w:val="right" w:leader="dot" w:pos="9062"/>
        </w:tabs>
        <w:ind w:left="440"/>
      </w:pPr>
      <w:hyperlink w:anchor="_Toc6682" w:history="1">
        <w:r>
          <w:rPr>
            <w:rFonts w:ascii="IRNazanin" w:hAnsi="IRNazanin" w:eastAsia="IRNazanin" w:cs="IRNazanin"/>
            <w:color w:val="111111"/>
            <w:sz w:val="22"/>
            <w:szCs w:val="22"/>
            <w:b w:val="0"/>
            <w:bCs w:val="0"/>
            <w:i w:val="0"/>
            <w:iCs w:val="0"/>
          </w:rPr>
          <w:t>6032- دیوان کفری تربتی أو شعره‏</w:t>
        </w:r>
        <w:r>
          <w:tab/>
        </w:r>
        <w:r>
          <w:fldChar w:fldCharType="begin"/>
        </w:r>
        <w:r>
          <w:instrText xml:space="preserve">PAGEREF 6682 \h</w:instrText>
        </w:r>
        <w:r>
          <w:fldChar w:fldCharType="end"/>
        </w:r>
      </w:hyperlink>
    </w:p>
    <w:p>
      <w:pPr>
        <w:tabs>
          <w:tab w:val="right" w:leader="dot" w:pos="9062"/>
        </w:tabs>
        <w:ind w:left="440"/>
      </w:pPr>
      <w:hyperlink w:anchor="_Toc6683" w:history="1">
        <w:r>
          <w:rPr>
            <w:rFonts w:ascii="IRNazanin" w:hAnsi="IRNazanin" w:eastAsia="IRNazanin" w:cs="IRNazanin"/>
            <w:color w:val="111111"/>
            <w:sz w:val="22"/>
            <w:szCs w:val="22"/>
            <w:b w:val="0"/>
            <w:bCs w:val="0"/>
            <w:i w:val="0"/>
            <w:iCs w:val="0"/>
          </w:rPr>
          <w:t>6033- دیوان کفری یزدی أو شعره‏</w:t>
        </w:r>
        <w:r>
          <w:tab/>
        </w:r>
        <w:r>
          <w:fldChar w:fldCharType="begin"/>
        </w:r>
        <w:r>
          <w:instrText xml:space="preserve">PAGEREF 6683 \h</w:instrText>
        </w:r>
        <w:r>
          <w:fldChar w:fldCharType="end"/>
        </w:r>
      </w:hyperlink>
    </w:p>
    <w:p>
      <w:pPr>
        <w:tabs>
          <w:tab w:val="right" w:leader="dot" w:pos="9062"/>
        </w:tabs>
        <w:ind w:left="440"/>
      </w:pPr>
      <w:hyperlink w:anchor="_Toc6684" w:history="1">
        <w:r>
          <w:rPr>
            <w:rFonts w:ascii="IRNazanin" w:hAnsi="IRNazanin" w:eastAsia="IRNazanin" w:cs="IRNazanin"/>
            <w:color w:val="111111"/>
            <w:sz w:val="22"/>
            <w:szCs w:val="22"/>
            <w:b w:val="0"/>
            <w:bCs w:val="0"/>
            <w:i w:val="0"/>
            <w:iCs w:val="0"/>
          </w:rPr>
          <w:t>6034- دیوان الکفعمی‏</w:t>
        </w:r>
        <w:r>
          <w:tab/>
        </w:r>
        <w:r>
          <w:fldChar w:fldCharType="begin"/>
        </w:r>
        <w:r>
          <w:instrText xml:space="preserve">PAGEREF 6684 \h</w:instrText>
        </w:r>
        <w:r>
          <w:fldChar w:fldCharType="end"/>
        </w:r>
      </w:hyperlink>
    </w:p>
    <w:p>
      <w:pPr>
        <w:tabs>
          <w:tab w:val="right" w:leader="dot" w:pos="9062"/>
        </w:tabs>
        <w:ind w:left="440"/>
      </w:pPr>
      <w:hyperlink w:anchor="_Toc6685" w:history="1">
        <w:r>
          <w:rPr>
            <w:rFonts w:ascii="IRNazanin" w:hAnsi="IRNazanin" w:eastAsia="IRNazanin" w:cs="IRNazanin"/>
            <w:color w:val="111111"/>
            <w:sz w:val="22"/>
            <w:szCs w:val="22"/>
            <w:b w:val="0"/>
            <w:bCs w:val="0"/>
            <w:i w:val="0"/>
            <w:iCs w:val="0"/>
          </w:rPr>
          <w:t>6035- دیوان الکلاعی أو شعره‏</w:t>
        </w:r>
        <w:r>
          <w:tab/>
        </w:r>
        <w:r>
          <w:fldChar w:fldCharType="begin"/>
        </w:r>
        <w:r>
          <w:instrText xml:space="preserve">PAGEREF 6685 \h</w:instrText>
        </w:r>
        <w:r>
          <w:fldChar w:fldCharType="end"/>
        </w:r>
      </w:hyperlink>
    </w:p>
    <w:p>
      <w:pPr>
        <w:tabs>
          <w:tab w:val="right" w:leader="dot" w:pos="9062"/>
        </w:tabs>
        <w:ind w:left="440"/>
      </w:pPr>
      <w:hyperlink w:anchor="_Toc6686" w:history="1">
        <w:r>
          <w:rPr>
            <w:rFonts w:ascii="IRNazanin" w:hAnsi="IRNazanin" w:eastAsia="IRNazanin" w:cs="IRNazanin"/>
            <w:color w:val="111111"/>
            <w:sz w:val="22"/>
            <w:szCs w:val="22"/>
            <w:b w:val="0"/>
            <w:bCs w:val="0"/>
            <w:i w:val="0"/>
            <w:iCs w:val="0"/>
          </w:rPr>
          <w:t>6036- دیوان کلامی أصفهانی أو شعره‏</w:t>
        </w:r>
        <w:r>
          <w:tab/>
        </w:r>
        <w:r>
          <w:fldChar w:fldCharType="begin"/>
        </w:r>
        <w:r>
          <w:instrText xml:space="preserve">PAGEREF 6686 \h</w:instrText>
        </w:r>
        <w:r>
          <w:fldChar w:fldCharType="end"/>
        </w:r>
      </w:hyperlink>
    </w:p>
    <w:p>
      <w:pPr>
        <w:tabs>
          <w:tab w:val="right" w:leader="dot" w:pos="9062"/>
        </w:tabs>
        <w:ind w:left="440"/>
      </w:pPr>
      <w:hyperlink w:anchor="_Toc6687" w:history="1">
        <w:r>
          <w:rPr>
            <w:rFonts w:ascii="IRNazanin" w:hAnsi="IRNazanin" w:eastAsia="IRNazanin" w:cs="IRNazanin"/>
            <w:color w:val="111111"/>
            <w:sz w:val="22"/>
            <w:szCs w:val="22"/>
            <w:b w:val="0"/>
            <w:bCs w:val="0"/>
            <w:i w:val="0"/>
            <w:iCs w:val="0"/>
          </w:rPr>
          <w:t>6037- دیوان کلامی خافی‏</w:t>
        </w:r>
        <w:r>
          <w:tab/>
        </w:r>
        <w:r>
          <w:fldChar w:fldCharType="begin"/>
        </w:r>
        <w:r>
          <w:instrText xml:space="preserve">PAGEREF 6687 \h</w:instrText>
        </w:r>
        <w:r>
          <w:fldChar w:fldCharType="end"/>
        </w:r>
      </w:hyperlink>
    </w:p>
    <w:p>
      <w:pPr>
        <w:tabs>
          <w:tab w:val="right" w:leader="dot" w:pos="9062"/>
        </w:tabs>
        <w:ind w:left="440"/>
      </w:pPr>
      <w:hyperlink w:anchor="_Toc6688" w:history="1">
        <w:r>
          <w:rPr>
            <w:rFonts w:ascii="IRNazanin" w:hAnsi="IRNazanin" w:eastAsia="IRNazanin" w:cs="IRNazanin"/>
            <w:color w:val="111111"/>
            <w:sz w:val="22"/>
            <w:szCs w:val="22"/>
            <w:b w:val="0"/>
            <w:bCs w:val="0"/>
            <w:i w:val="0"/>
            <w:iCs w:val="0"/>
          </w:rPr>
          <w:t>6038- دیوان کلامی شیرازی أو شعره‏</w:t>
        </w:r>
        <w:r>
          <w:tab/>
        </w:r>
        <w:r>
          <w:fldChar w:fldCharType="begin"/>
        </w:r>
        <w:r>
          <w:instrText xml:space="preserve">PAGEREF 6688 \h</w:instrText>
        </w:r>
        <w:r>
          <w:fldChar w:fldCharType="end"/>
        </w:r>
      </w:hyperlink>
    </w:p>
    <w:p>
      <w:pPr>
        <w:tabs>
          <w:tab w:val="right" w:leader="dot" w:pos="9062"/>
        </w:tabs>
        <w:ind w:left="440"/>
      </w:pPr>
      <w:hyperlink w:anchor="_Toc6689" w:history="1">
        <w:r>
          <w:rPr>
            <w:rFonts w:ascii="IRNazanin" w:hAnsi="IRNazanin" w:eastAsia="IRNazanin" w:cs="IRNazanin"/>
            <w:color w:val="111111"/>
            <w:sz w:val="22"/>
            <w:szCs w:val="22"/>
            <w:b w:val="0"/>
            <w:bCs w:val="0"/>
            <w:i w:val="0"/>
            <w:iCs w:val="0"/>
          </w:rPr>
          <w:t>6039- دیوان کلامی کربلائی أو شعره‏</w:t>
        </w:r>
        <w:r>
          <w:tab/>
        </w:r>
        <w:r>
          <w:fldChar w:fldCharType="begin"/>
        </w:r>
        <w:r>
          <w:instrText xml:space="preserve">PAGEREF 6689 \h</w:instrText>
        </w:r>
        <w:r>
          <w:fldChar w:fldCharType="end"/>
        </w:r>
      </w:hyperlink>
    </w:p>
    <w:p>
      <w:pPr>
        <w:tabs>
          <w:tab w:val="right" w:leader="dot" w:pos="9062"/>
        </w:tabs>
        <w:ind w:left="440"/>
      </w:pPr>
      <w:hyperlink w:anchor="_Toc6690" w:history="1">
        <w:r>
          <w:rPr>
            <w:rFonts w:ascii="IRNazanin" w:hAnsi="IRNazanin" w:eastAsia="IRNazanin" w:cs="IRNazanin"/>
            <w:color w:val="111111"/>
            <w:sz w:val="22"/>
            <w:szCs w:val="22"/>
            <w:b w:val="0"/>
            <w:bCs w:val="0"/>
            <w:i w:val="0"/>
            <w:iCs w:val="0"/>
          </w:rPr>
          <w:t>6040- دیوان کلامی لاری أو شعره‏</w:t>
        </w:r>
        <w:r>
          <w:tab/>
        </w:r>
        <w:r>
          <w:fldChar w:fldCharType="begin"/>
        </w:r>
        <w:r>
          <w:instrText xml:space="preserve">PAGEREF 6690 \h</w:instrText>
        </w:r>
        <w:r>
          <w:fldChar w:fldCharType="end"/>
        </w:r>
      </w:hyperlink>
    </w:p>
    <w:p>
      <w:pPr>
        <w:tabs>
          <w:tab w:val="right" w:leader="dot" w:pos="9062"/>
        </w:tabs>
        <w:ind w:left="440"/>
      </w:pPr>
      <w:hyperlink w:anchor="_Toc6691" w:history="1">
        <w:r>
          <w:rPr>
            <w:rFonts w:ascii="IRNazanin" w:hAnsi="IRNazanin" w:eastAsia="IRNazanin" w:cs="IRNazanin"/>
            <w:color w:val="111111"/>
            <w:sz w:val="22"/>
            <w:szCs w:val="22"/>
            <w:b w:val="0"/>
            <w:bCs w:val="0"/>
            <w:i w:val="0"/>
            <w:iCs w:val="0"/>
          </w:rPr>
          <w:t>6041- دیوان کلامی مروزی أو شعره‏</w:t>
        </w:r>
        <w:r>
          <w:tab/>
        </w:r>
        <w:r>
          <w:fldChar w:fldCharType="begin"/>
        </w:r>
        <w:r>
          <w:instrText xml:space="preserve">PAGEREF 6691 \h</w:instrText>
        </w:r>
        <w:r>
          <w:fldChar w:fldCharType="end"/>
        </w:r>
      </w:hyperlink>
    </w:p>
    <w:p>
      <w:pPr>
        <w:tabs>
          <w:tab w:val="right" w:leader="dot" w:pos="9062"/>
        </w:tabs>
        <w:ind w:left="440"/>
      </w:pPr>
      <w:hyperlink w:anchor="_Toc6692" w:history="1">
        <w:r>
          <w:rPr>
            <w:rFonts w:ascii="IRNazanin" w:hAnsi="IRNazanin" w:eastAsia="IRNazanin" w:cs="IRNazanin"/>
            <w:color w:val="111111"/>
            <w:sz w:val="22"/>
            <w:szCs w:val="22"/>
            <w:b w:val="0"/>
            <w:bCs w:val="0"/>
            <w:i w:val="0"/>
            <w:iCs w:val="0"/>
          </w:rPr>
          <w:t>6042- دیوان کلان أندجانی أو شعره‏</w:t>
        </w:r>
        <w:r>
          <w:tab/>
        </w:r>
        <w:r>
          <w:fldChar w:fldCharType="begin"/>
        </w:r>
        <w:r>
          <w:instrText xml:space="preserve">PAGEREF 6692 \h</w:instrText>
        </w:r>
        <w:r>
          <w:fldChar w:fldCharType="end"/>
        </w:r>
      </w:hyperlink>
    </w:p>
    <w:p>
      <w:pPr>
        <w:tabs>
          <w:tab w:val="right" w:leader="dot" w:pos="9062"/>
        </w:tabs>
        <w:ind w:left="440"/>
      </w:pPr>
      <w:hyperlink w:anchor="_Toc6693" w:history="1">
        <w:r>
          <w:rPr>
            <w:rFonts w:ascii="IRNazanin" w:hAnsi="IRNazanin" w:eastAsia="IRNazanin" w:cs="IRNazanin"/>
            <w:color w:val="111111"/>
            <w:sz w:val="22"/>
            <w:szCs w:val="22"/>
            <w:b w:val="0"/>
            <w:bCs w:val="0"/>
            <w:i w:val="0"/>
            <w:iCs w:val="0"/>
          </w:rPr>
          <w:t>6043- دیوان کلان بزاز هروی‏</w:t>
        </w:r>
        <w:r>
          <w:tab/>
        </w:r>
        <w:r>
          <w:fldChar w:fldCharType="begin"/>
        </w:r>
        <w:r>
          <w:instrText xml:space="preserve">PAGEREF 6693 \h</w:instrText>
        </w:r>
        <w:r>
          <w:fldChar w:fldCharType="end"/>
        </w:r>
      </w:hyperlink>
    </w:p>
    <w:p>
      <w:pPr>
        <w:tabs>
          <w:tab w:val="right" w:leader="dot" w:pos="9062"/>
        </w:tabs>
        <w:ind w:left="440"/>
      </w:pPr>
      <w:hyperlink w:anchor="_Toc6694" w:history="1">
        <w:r>
          <w:rPr>
            <w:rFonts w:ascii="IRNazanin" w:hAnsi="IRNazanin" w:eastAsia="IRNazanin" w:cs="IRNazanin"/>
            <w:color w:val="111111"/>
            <w:sz w:val="22"/>
            <w:szCs w:val="22"/>
            <w:b w:val="0"/>
            <w:bCs w:val="0"/>
            <w:i w:val="0"/>
            <w:iCs w:val="0"/>
          </w:rPr>
          <w:t>دیوان کلانتری‏</w:t>
        </w:r>
        <w:r>
          <w:tab/>
        </w:r>
        <w:r>
          <w:fldChar w:fldCharType="begin"/>
        </w:r>
        <w:r>
          <w:instrText xml:space="preserve">PAGEREF 6694 \h</w:instrText>
        </w:r>
        <w:r>
          <w:fldChar w:fldCharType="end"/>
        </w:r>
      </w:hyperlink>
    </w:p>
    <w:p>
      <w:pPr>
        <w:tabs>
          <w:tab w:val="right" w:leader="dot" w:pos="9062"/>
        </w:tabs>
        <w:ind w:left="440"/>
      </w:pPr>
      <w:hyperlink w:anchor="_Toc6695" w:history="1">
        <w:r>
          <w:rPr>
            <w:rFonts w:ascii="IRNazanin" w:hAnsi="IRNazanin" w:eastAsia="IRNazanin" w:cs="IRNazanin"/>
            <w:color w:val="111111"/>
            <w:sz w:val="22"/>
            <w:szCs w:val="22"/>
            <w:b w:val="0"/>
            <w:bCs w:val="0"/>
            <w:i w:val="0"/>
            <w:iCs w:val="0"/>
          </w:rPr>
          <w:t>6044- دیوان کلان کرمانی أو شعره‏</w:t>
        </w:r>
        <w:r>
          <w:tab/>
        </w:r>
        <w:r>
          <w:fldChar w:fldCharType="begin"/>
        </w:r>
        <w:r>
          <w:instrText xml:space="preserve">PAGEREF 6695 \h</w:instrText>
        </w:r>
        <w:r>
          <w:fldChar w:fldCharType="end"/>
        </w:r>
      </w:hyperlink>
    </w:p>
    <w:p>
      <w:pPr>
        <w:tabs>
          <w:tab w:val="right" w:leader="dot" w:pos="9062"/>
        </w:tabs>
        <w:ind w:left="440"/>
      </w:pPr>
      <w:hyperlink w:anchor="_Toc6696" w:history="1">
        <w:r>
          <w:rPr>
            <w:rFonts w:ascii="IRNazanin" w:hAnsi="IRNazanin" w:eastAsia="IRNazanin" w:cs="IRNazanin"/>
            <w:color w:val="111111"/>
            <w:sz w:val="22"/>
            <w:szCs w:val="22"/>
            <w:b w:val="0"/>
            <w:bCs w:val="0"/>
            <w:i w:val="0"/>
            <w:iCs w:val="0"/>
          </w:rPr>
          <w:t>6045- دیوان کلان معمایی أو شعره‏</w:t>
        </w:r>
        <w:r>
          <w:tab/>
        </w:r>
        <w:r>
          <w:fldChar w:fldCharType="begin"/>
        </w:r>
        <w:r>
          <w:instrText xml:space="preserve">PAGEREF 6696 \h</w:instrText>
        </w:r>
        <w:r>
          <w:fldChar w:fldCharType="end"/>
        </w:r>
      </w:hyperlink>
    </w:p>
    <w:p>
      <w:pPr>
        <w:tabs>
          <w:tab w:val="right" w:leader="dot" w:pos="9062"/>
        </w:tabs>
        <w:ind w:left="440"/>
      </w:pPr>
      <w:hyperlink w:anchor="_Toc6697" w:history="1">
        <w:r>
          <w:rPr>
            <w:rFonts w:ascii="IRNazanin" w:hAnsi="IRNazanin" w:eastAsia="IRNazanin" w:cs="IRNazanin"/>
            <w:color w:val="111111"/>
            <w:sz w:val="22"/>
            <w:szCs w:val="22"/>
            <w:b w:val="0"/>
            <w:bCs w:val="0"/>
            <w:i w:val="0"/>
            <w:iCs w:val="0"/>
          </w:rPr>
          <w:t>6046- دیوان السید کلب باقر</w:t>
        </w:r>
        <w:r>
          <w:tab/>
        </w:r>
        <w:r>
          <w:fldChar w:fldCharType="begin"/>
        </w:r>
        <w:r>
          <w:instrText xml:space="preserve">PAGEREF 6697 \h</w:instrText>
        </w:r>
        <w:r>
          <w:fldChar w:fldCharType="end"/>
        </w:r>
      </w:hyperlink>
    </w:p>
    <w:p>
      <w:pPr>
        <w:tabs>
          <w:tab w:val="right" w:leader="dot" w:pos="9062"/>
        </w:tabs>
        <w:ind w:left="440"/>
      </w:pPr>
      <w:hyperlink w:anchor="_Toc6698" w:history="1">
        <w:r>
          <w:rPr>
            <w:rFonts w:ascii="IRNazanin" w:hAnsi="IRNazanin" w:eastAsia="IRNazanin" w:cs="IRNazanin"/>
            <w:color w:val="111111"/>
            <w:sz w:val="22"/>
            <w:szCs w:val="22"/>
            <w:b w:val="0"/>
            <w:bCs w:val="0"/>
            <w:i w:val="0"/>
            <w:iCs w:val="0"/>
          </w:rPr>
          <w:t>6047- دیوان کلب علی تبریزی أو شعره‏</w:t>
        </w:r>
        <w:r>
          <w:tab/>
        </w:r>
        <w:r>
          <w:fldChar w:fldCharType="begin"/>
        </w:r>
        <w:r>
          <w:instrText xml:space="preserve">PAGEREF 6698 \h</w:instrText>
        </w:r>
        <w:r>
          <w:fldChar w:fldCharType="end"/>
        </w:r>
      </w:hyperlink>
    </w:p>
    <w:p>
      <w:pPr>
        <w:tabs>
          <w:tab w:val="right" w:leader="dot" w:pos="9062"/>
        </w:tabs>
        <w:ind w:left="440"/>
      </w:pPr>
      <w:hyperlink w:anchor="_Toc6699" w:history="1">
        <w:r>
          <w:rPr>
            <w:rFonts w:ascii="IRNazanin" w:hAnsi="IRNazanin" w:eastAsia="IRNazanin" w:cs="IRNazanin"/>
            <w:color w:val="111111"/>
            <w:sz w:val="22"/>
            <w:szCs w:val="22"/>
            <w:b w:val="0"/>
            <w:bCs w:val="0"/>
            <w:i w:val="0"/>
            <w:iCs w:val="0"/>
          </w:rPr>
          <w:t>6048- دیوان کلب علی تبریزی أو شعره‏</w:t>
        </w:r>
        <w:r>
          <w:tab/>
        </w:r>
        <w:r>
          <w:fldChar w:fldCharType="begin"/>
        </w:r>
        <w:r>
          <w:instrText xml:space="preserve">PAGEREF 6699 \h</w:instrText>
        </w:r>
        <w:r>
          <w:fldChar w:fldCharType="end"/>
        </w:r>
      </w:hyperlink>
    </w:p>
    <w:p>
      <w:pPr>
        <w:tabs>
          <w:tab w:val="right" w:leader="dot" w:pos="9062"/>
        </w:tabs>
        <w:ind w:left="440"/>
      </w:pPr>
      <w:hyperlink w:anchor="_Toc6700" w:history="1">
        <w:r>
          <w:rPr>
            <w:rFonts w:ascii="IRNazanin" w:hAnsi="IRNazanin" w:eastAsia="IRNazanin" w:cs="IRNazanin"/>
            <w:color w:val="111111"/>
            <w:sz w:val="22"/>
            <w:szCs w:val="22"/>
            <w:b w:val="0"/>
            <w:bCs w:val="0"/>
            <w:i w:val="0"/>
            <w:iCs w:val="0"/>
          </w:rPr>
          <w:t>6049- دیوان کلب علی قزوینی‏</w:t>
        </w:r>
        <w:r>
          <w:tab/>
        </w:r>
        <w:r>
          <w:fldChar w:fldCharType="begin"/>
        </w:r>
        <w:r>
          <w:instrText xml:space="preserve">PAGEREF 6700 \h</w:instrText>
        </w:r>
        <w:r>
          <w:fldChar w:fldCharType="end"/>
        </w:r>
      </w:hyperlink>
    </w:p>
    <w:p>
      <w:pPr>
        <w:tabs>
          <w:tab w:val="right" w:leader="dot" w:pos="9062"/>
        </w:tabs>
        <w:ind w:left="440"/>
      </w:pPr>
      <w:hyperlink w:anchor="_Toc6701" w:history="1">
        <w:r>
          <w:rPr>
            <w:rFonts w:ascii="IRNazanin" w:hAnsi="IRNazanin" w:eastAsia="IRNazanin" w:cs="IRNazanin"/>
            <w:color w:val="111111"/>
            <w:sz w:val="22"/>
            <w:szCs w:val="22"/>
            <w:b w:val="0"/>
            <w:bCs w:val="0"/>
            <w:i w:val="0"/>
            <w:iCs w:val="0"/>
          </w:rPr>
          <w:t>6050- دیوان حاج کلب علی مهابادی‏</w:t>
        </w:r>
        <w:r>
          <w:tab/>
        </w:r>
        <w:r>
          <w:fldChar w:fldCharType="begin"/>
        </w:r>
        <w:r>
          <w:instrText xml:space="preserve">PAGEREF 6701 \h</w:instrText>
        </w:r>
        <w:r>
          <w:fldChar w:fldCharType="end"/>
        </w:r>
      </w:hyperlink>
    </w:p>
    <w:p>
      <w:pPr>
        <w:tabs>
          <w:tab w:val="right" w:leader="dot" w:pos="9062"/>
        </w:tabs>
        <w:ind w:left="440"/>
      </w:pPr>
      <w:hyperlink w:anchor="_Toc6702" w:history="1">
        <w:r>
          <w:rPr>
            <w:rFonts w:ascii="IRNazanin" w:hAnsi="IRNazanin" w:eastAsia="IRNazanin" w:cs="IRNazanin"/>
            <w:color w:val="111111"/>
            <w:sz w:val="22"/>
            <w:szCs w:val="22"/>
            <w:b w:val="0"/>
            <w:bCs w:val="0"/>
            <w:i w:val="0"/>
            <w:iCs w:val="0"/>
          </w:rPr>
          <w:t>6051- دیوان السید کلب مهدی‏</w:t>
        </w:r>
        <w:r>
          <w:tab/>
        </w:r>
        <w:r>
          <w:fldChar w:fldCharType="begin"/>
        </w:r>
        <w:r>
          <w:instrText xml:space="preserve">PAGEREF 6702 \h</w:instrText>
        </w:r>
        <w:r>
          <w:fldChar w:fldCharType="end"/>
        </w:r>
      </w:hyperlink>
    </w:p>
    <w:p>
      <w:pPr>
        <w:tabs>
          <w:tab w:val="right" w:leader="dot" w:pos="9062"/>
        </w:tabs>
        <w:ind w:left="440"/>
      </w:pPr>
      <w:hyperlink w:anchor="_Toc6703" w:history="1">
        <w:r>
          <w:rPr>
            <w:rFonts w:ascii="IRNazanin" w:hAnsi="IRNazanin" w:eastAsia="IRNazanin" w:cs="IRNazanin"/>
            <w:color w:val="111111"/>
            <w:sz w:val="22"/>
            <w:szCs w:val="22"/>
            <w:b w:val="0"/>
            <w:bCs w:val="0"/>
            <w:i w:val="0"/>
            <w:iCs w:val="0"/>
          </w:rPr>
          <w:t>6052- دیوان کلبی ذو القدر</w:t>
        </w:r>
        <w:r>
          <w:tab/>
        </w:r>
        <w:r>
          <w:fldChar w:fldCharType="begin"/>
        </w:r>
        <w:r>
          <w:instrText xml:space="preserve">PAGEREF 6703 \h</w:instrText>
        </w:r>
        <w:r>
          <w:fldChar w:fldCharType="end"/>
        </w:r>
      </w:hyperlink>
    </w:p>
    <w:p>
      <w:pPr>
        <w:tabs>
          <w:tab w:val="right" w:leader="dot" w:pos="9062"/>
        </w:tabs>
        <w:ind w:left="440"/>
      </w:pPr>
      <w:hyperlink w:anchor="_Toc6704" w:history="1">
        <w:r>
          <w:rPr>
            <w:rFonts w:ascii="IRNazanin" w:hAnsi="IRNazanin" w:eastAsia="IRNazanin" w:cs="IRNazanin"/>
            <w:color w:val="111111"/>
            <w:sz w:val="22"/>
            <w:szCs w:val="22"/>
            <w:b w:val="0"/>
            <w:bCs w:val="0"/>
            <w:i w:val="0"/>
            <w:iCs w:val="0"/>
          </w:rPr>
          <w:t>6053- دیوان کل عیشی شیرازی أو شعره‏</w:t>
        </w:r>
        <w:r>
          <w:tab/>
        </w:r>
        <w:r>
          <w:fldChar w:fldCharType="begin"/>
        </w:r>
        <w:r>
          <w:instrText xml:space="preserve">PAGEREF 6704 \h</w:instrText>
        </w:r>
        <w:r>
          <w:fldChar w:fldCharType="end"/>
        </w:r>
      </w:hyperlink>
    </w:p>
    <w:p>
      <w:pPr>
        <w:tabs>
          <w:tab w:val="right" w:leader="dot" w:pos="9062"/>
        </w:tabs>
        <w:ind w:left="440"/>
      </w:pPr>
      <w:hyperlink w:anchor="_Toc6705" w:history="1">
        <w:r>
          <w:rPr>
            <w:rFonts w:ascii="IRNazanin" w:hAnsi="IRNazanin" w:eastAsia="IRNazanin" w:cs="IRNazanin"/>
            <w:color w:val="111111"/>
            <w:sz w:val="22"/>
            <w:szCs w:val="22"/>
            <w:b w:val="0"/>
            <w:bCs w:val="0"/>
            <w:i w:val="0"/>
            <w:iCs w:val="0"/>
          </w:rPr>
          <w:t>6054- دیوان کلکدة</w:t>
        </w:r>
        <w:r>
          <w:tab/>
        </w:r>
        <w:r>
          <w:fldChar w:fldCharType="begin"/>
        </w:r>
        <w:r>
          <w:instrText xml:space="preserve">PAGEREF 6705 \h</w:instrText>
        </w:r>
        <w:r>
          <w:fldChar w:fldCharType="end"/>
        </w:r>
      </w:hyperlink>
    </w:p>
    <w:p>
      <w:pPr>
        <w:tabs>
          <w:tab w:val="right" w:leader="dot" w:pos="9062"/>
        </w:tabs>
        <w:ind w:left="440"/>
      </w:pPr>
      <w:hyperlink w:anchor="_Toc6706" w:history="1">
        <w:r>
          <w:rPr>
            <w:rFonts w:ascii="IRNazanin" w:hAnsi="IRNazanin" w:eastAsia="IRNazanin" w:cs="IRNazanin"/>
            <w:color w:val="111111"/>
            <w:sz w:val="22"/>
            <w:szCs w:val="22"/>
            <w:b w:val="0"/>
            <w:bCs w:val="0"/>
            <w:i w:val="0"/>
            <w:iCs w:val="0"/>
          </w:rPr>
          <w:t>دیوان کلوچه‏</w:t>
        </w:r>
        <w:r>
          <w:tab/>
        </w:r>
        <w:r>
          <w:fldChar w:fldCharType="begin"/>
        </w:r>
        <w:r>
          <w:instrText xml:space="preserve">PAGEREF 6706 \h</w:instrText>
        </w:r>
        <w:r>
          <w:fldChar w:fldCharType="end"/>
        </w:r>
      </w:hyperlink>
    </w:p>
    <w:p>
      <w:pPr>
        <w:tabs>
          <w:tab w:val="right" w:leader="dot" w:pos="9062"/>
        </w:tabs>
        <w:ind w:left="440"/>
      </w:pPr>
      <w:hyperlink w:anchor="_Toc6707" w:history="1">
        <w:r>
          <w:rPr>
            <w:rFonts w:ascii="IRNazanin" w:hAnsi="IRNazanin" w:eastAsia="IRNazanin" w:cs="IRNazanin"/>
            <w:color w:val="111111"/>
            <w:sz w:val="22"/>
            <w:szCs w:val="22"/>
            <w:b w:val="0"/>
            <w:bCs w:val="0"/>
            <w:i w:val="0"/>
            <w:iCs w:val="0"/>
          </w:rPr>
          <w:t>6055- دیوان کلیم کاشانی‏</w:t>
        </w:r>
        <w:r>
          <w:tab/>
        </w:r>
        <w:r>
          <w:fldChar w:fldCharType="begin"/>
        </w:r>
        <w:r>
          <w:instrText xml:space="preserve">PAGEREF 6707 \h</w:instrText>
        </w:r>
        <w:r>
          <w:fldChar w:fldCharType="end"/>
        </w:r>
      </w:hyperlink>
    </w:p>
    <w:p>
      <w:pPr>
        <w:tabs>
          <w:tab w:val="right" w:leader="dot" w:pos="9062"/>
        </w:tabs>
        <w:ind w:left="440"/>
      </w:pPr>
      <w:hyperlink w:anchor="_Toc6708" w:history="1">
        <w:r>
          <w:rPr>
            <w:rFonts w:ascii="IRNazanin" w:hAnsi="IRNazanin" w:eastAsia="IRNazanin" w:cs="IRNazanin"/>
            <w:color w:val="111111"/>
            <w:sz w:val="22"/>
            <w:szCs w:val="22"/>
            <w:b w:val="0"/>
            <w:bCs w:val="0"/>
            <w:i w:val="0"/>
            <w:iCs w:val="0"/>
          </w:rPr>
          <w:t>دیوان کلیم همدانی‏</w:t>
        </w:r>
        <w:r>
          <w:tab/>
        </w:r>
        <w:r>
          <w:fldChar w:fldCharType="begin"/>
        </w:r>
        <w:r>
          <w:instrText xml:space="preserve">PAGEREF 6708 \h</w:instrText>
        </w:r>
        <w:r>
          <w:fldChar w:fldCharType="end"/>
        </w:r>
      </w:hyperlink>
    </w:p>
    <w:p>
      <w:pPr>
        <w:tabs>
          <w:tab w:val="right" w:leader="dot" w:pos="9062"/>
        </w:tabs>
        <w:ind w:left="440"/>
      </w:pPr>
      <w:hyperlink w:anchor="_Toc6709" w:history="1">
        <w:r>
          <w:rPr>
            <w:rFonts w:ascii="IRNazanin" w:hAnsi="IRNazanin" w:eastAsia="IRNazanin" w:cs="IRNazanin"/>
            <w:color w:val="111111"/>
            <w:sz w:val="22"/>
            <w:szCs w:val="22"/>
            <w:b w:val="0"/>
            <w:bCs w:val="0"/>
            <w:i w:val="0"/>
            <w:iCs w:val="0"/>
          </w:rPr>
          <w:t>6056- دیوان کلیم هندی أو شعره‏</w:t>
        </w:r>
        <w:r>
          <w:tab/>
        </w:r>
        <w:r>
          <w:fldChar w:fldCharType="begin"/>
        </w:r>
        <w:r>
          <w:instrText xml:space="preserve">PAGEREF 6709 \h</w:instrText>
        </w:r>
        <w:r>
          <w:fldChar w:fldCharType="end"/>
        </w:r>
      </w:hyperlink>
    </w:p>
    <w:p>
      <w:pPr>
        <w:tabs>
          <w:tab w:val="right" w:leader="dot" w:pos="9062"/>
        </w:tabs>
        <w:ind w:left="440"/>
      </w:pPr>
      <w:hyperlink w:anchor="_Toc6710" w:history="1">
        <w:r>
          <w:rPr>
            <w:rFonts w:ascii="IRNazanin" w:hAnsi="IRNazanin" w:eastAsia="IRNazanin" w:cs="IRNazanin"/>
            <w:color w:val="111111"/>
            <w:sz w:val="22"/>
            <w:szCs w:val="22"/>
            <w:b w:val="0"/>
            <w:bCs w:val="0"/>
            <w:i w:val="0"/>
            <w:iCs w:val="0"/>
          </w:rPr>
          <w:t>دیوان کمال بن غیاث‏</w:t>
        </w:r>
        <w:r>
          <w:tab/>
        </w:r>
        <w:r>
          <w:fldChar w:fldCharType="begin"/>
        </w:r>
        <w:r>
          <w:instrText xml:space="preserve">PAGEREF 6710 \h</w:instrText>
        </w:r>
        <w:r>
          <w:fldChar w:fldCharType="end"/>
        </w:r>
      </w:hyperlink>
    </w:p>
    <w:p>
      <w:pPr>
        <w:tabs>
          <w:tab w:val="right" w:leader="dot" w:pos="9062"/>
        </w:tabs>
        <w:ind w:left="440"/>
      </w:pPr>
      <w:hyperlink w:anchor="_Toc6711" w:history="1">
        <w:r>
          <w:rPr>
            <w:rFonts w:ascii="IRNazanin" w:hAnsi="IRNazanin" w:eastAsia="IRNazanin" w:cs="IRNazanin"/>
            <w:color w:val="111111"/>
            <w:sz w:val="22"/>
            <w:szCs w:val="22"/>
            <w:b w:val="0"/>
            <w:bCs w:val="0"/>
            <w:i w:val="0"/>
            <w:iCs w:val="0"/>
          </w:rPr>
          <w:t>دیوان کمال ابن النبیه‏</w:t>
        </w:r>
        <w:r>
          <w:tab/>
        </w:r>
        <w:r>
          <w:fldChar w:fldCharType="begin"/>
        </w:r>
        <w:r>
          <w:instrText xml:space="preserve">PAGEREF 6711 \h</w:instrText>
        </w:r>
        <w:r>
          <w:fldChar w:fldCharType="end"/>
        </w:r>
      </w:hyperlink>
    </w:p>
    <w:p>
      <w:pPr>
        <w:tabs>
          <w:tab w:val="right" w:leader="dot" w:pos="9062"/>
        </w:tabs>
        <w:ind w:left="440"/>
      </w:pPr>
      <w:hyperlink w:anchor="_Toc6712" w:history="1">
        <w:r>
          <w:rPr>
            <w:rFonts w:ascii="IRNazanin" w:hAnsi="IRNazanin" w:eastAsia="IRNazanin" w:cs="IRNazanin"/>
            <w:color w:val="111111"/>
            <w:sz w:val="22"/>
            <w:szCs w:val="22"/>
            <w:b w:val="0"/>
            <w:bCs w:val="0"/>
            <w:i w:val="0"/>
            <w:iCs w:val="0"/>
          </w:rPr>
          <w:t>دیوان کمال إسماعیل‏</w:t>
        </w:r>
        <w:r>
          <w:tab/>
        </w:r>
        <w:r>
          <w:fldChar w:fldCharType="begin"/>
        </w:r>
        <w:r>
          <w:instrText xml:space="preserve">PAGEREF 6712 \h</w:instrText>
        </w:r>
        <w:r>
          <w:fldChar w:fldCharType="end"/>
        </w:r>
      </w:hyperlink>
    </w:p>
    <w:p>
      <w:pPr>
        <w:tabs>
          <w:tab w:val="right" w:leader="dot" w:pos="9062"/>
        </w:tabs>
        <w:ind w:left="440"/>
      </w:pPr>
      <w:hyperlink w:anchor="_Toc6713" w:history="1">
        <w:r>
          <w:rPr>
            <w:rFonts w:ascii="IRNazanin" w:hAnsi="IRNazanin" w:eastAsia="IRNazanin" w:cs="IRNazanin"/>
            <w:color w:val="111111"/>
            <w:sz w:val="22"/>
            <w:szCs w:val="22"/>
            <w:b w:val="0"/>
            <w:bCs w:val="0"/>
            <w:i w:val="0"/>
            <w:iCs w:val="0"/>
          </w:rPr>
          <w:t>6057- دیوان کمال أصفهانی‏</w:t>
        </w:r>
        <w:r>
          <w:tab/>
        </w:r>
        <w:r>
          <w:fldChar w:fldCharType="begin"/>
        </w:r>
        <w:r>
          <w:instrText xml:space="preserve">PAGEREF 6713 \h</w:instrText>
        </w:r>
        <w:r>
          <w:fldChar w:fldCharType="end"/>
        </w:r>
      </w:hyperlink>
    </w:p>
    <w:p>
      <w:pPr>
        <w:tabs>
          <w:tab w:val="right" w:leader="dot" w:pos="9062"/>
        </w:tabs>
        <w:ind w:left="440"/>
      </w:pPr>
      <w:hyperlink w:anchor="_Toc6714" w:history="1">
        <w:r>
          <w:rPr>
            <w:rFonts w:ascii="IRNazanin" w:hAnsi="IRNazanin" w:eastAsia="IRNazanin" w:cs="IRNazanin"/>
            <w:color w:val="111111"/>
            <w:sz w:val="22"/>
            <w:szCs w:val="22"/>
            <w:b w:val="0"/>
            <w:bCs w:val="0"/>
            <w:i w:val="0"/>
            <w:iCs w:val="0"/>
          </w:rPr>
          <w:t>6058- دیوان کمال بلخی‏</w:t>
        </w:r>
        <w:r>
          <w:tab/>
        </w:r>
        <w:r>
          <w:fldChar w:fldCharType="begin"/>
        </w:r>
        <w:r>
          <w:instrText xml:space="preserve">PAGEREF 6714 \h</w:instrText>
        </w:r>
        <w:r>
          <w:fldChar w:fldCharType="end"/>
        </w:r>
      </w:hyperlink>
    </w:p>
    <w:p>
      <w:pPr>
        <w:tabs>
          <w:tab w:val="right" w:leader="dot" w:pos="9062"/>
        </w:tabs>
        <w:ind w:left="440"/>
      </w:pPr>
      <w:hyperlink w:anchor="_Toc6715" w:history="1">
        <w:r>
          <w:rPr>
            <w:rFonts w:ascii="IRNazanin" w:hAnsi="IRNazanin" w:eastAsia="IRNazanin" w:cs="IRNazanin"/>
            <w:color w:val="111111"/>
            <w:sz w:val="22"/>
            <w:szCs w:val="22"/>
            <w:b w:val="0"/>
            <w:bCs w:val="0"/>
            <w:i w:val="0"/>
            <w:iCs w:val="0"/>
          </w:rPr>
          <w:t>6059- دیوان کمال بلخی أو شعره‏</w:t>
        </w:r>
        <w:r>
          <w:tab/>
        </w:r>
        <w:r>
          <w:fldChar w:fldCharType="begin"/>
        </w:r>
        <w:r>
          <w:instrText xml:space="preserve">PAGEREF 6715 \h</w:instrText>
        </w:r>
        <w:r>
          <w:fldChar w:fldCharType="end"/>
        </w:r>
      </w:hyperlink>
    </w:p>
    <w:p>
      <w:pPr>
        <w:tabs>
          <w:tab w:val="right" w:leader="dot" w:pos="9062"/>
        </w:tabs>
        <w:ind w:left="440"/>
      </w:pPr>
      <w:hyperlink w:anchor="_Toc6716" w:history="1">
        <w:r>
          <w:rPr>
            <w:rFonts w:ascii="IRNazanin" w:hAnsi="IRNazanin" w:eastAsia="IRNazanin" w:cs="IRNazanin"/>
            <w:color w:val="111111"/>
            <w:sz w:val="22"/>
            <w:szCs w:val="22"/>
            <w:b w:val="0"/>
            <w:bCs w:val="0"/>
            <w:i w:val="0"/>
            <w:iCs w:val="0"/>
          </w:rPr>
          <w:t>دیوان کمال بخارائی‏</w:t>
        </w:r>
        <w:r>
          <w:tab/>
        </w:r>
        <w:r>
          <w:fldChar w:fldCharType="begin"/>
        </w:r>
        <w:r>
          <w:instrText xml:space="preserve">PAGEREF 6716 \h</w:instrText>
        </w:r>
        <w:r>
          <w:fldChar w:fldCharType="end"/>
        </w:r>
      </w:hyperlink>
    </w:p>
    <w:p>
      <w:pPr>
        <w:tabs>
          <w:tab w:val="right" w:leader="dot" w:pos="9062"/>
        </w:tabs>
        <w:ind w:left="440"/>
      </w:pPr>
      <w:hyperlink w:anchor="_Toc6717" w:history="1">
        <w:r>
          <w:rPr>
            <w:rFonts w:ascii="IRNazanin" w:hAnsi="IRNazanin" w:eastAsia="IRNazanin" w:cs="IRNazanin"/>
            <w:color w:val="111111"/>
            <w:sz w:val="22"/>
            <w:szCs w:val="22"/>
            <w:b w:val="0"/>
            <w:bCs w:val="0"/>
            <w:i w:val="0"/>
            <w:iCs w:val="0"/>
          </w:rPr>
          <w:t>دیوان کمال بدخشی‏</w:t>
        </w:r>
        <w:r>
          <w:tab/>
        </w:r>
        <w:r>
          <w:fldChar w:fldCharType="begin"/>
        </w:r>
        <w:r>
          <w:instrText xml:space="preserve">PAGEREF 6717 \h</w:instrText>
        </w:r>
        <w:r>
          <w:fldChar w:fldCharType="end"/>
        </w:r>
      </w:hyperlink>
    </w:p>
    <w:p>
      <w:pPr>
        <w:tabs>
          <w:tab w:val="right" w:leader="dot" w:pos="9062"/>
        </w:tabs>
        <w:ind w:left="440"/>
      </w:pPr>
      <w:hyperlink w:anchor="_Toc6718" w:history="1">
        <w:r>
          <w:rPr>
            <w:rFonts w:ascii="IRNazanin" w:hAnsi="IRNazanin" w:eastAsia="IRNazanin" w:cs="IRNazanin"/>
            <w:color w:val="111111"/>
            <w:sz w:val="22"/>
            <w:szCs w:val="22"/>
            <w:b w:val="0"/>
            <w:bCs w:val="0"/>
            <w:i w:val="0"/>
            <w:iCs w:val="0"/>
          </w:rPr>
          <w:t>دیوان کمال بنائی‏</w:t>
        </w:r>
        <w:r>
          <w:tab/>
        </w:r>
        <w:r>
          <w:fldChar w:fldCharType="begin"/>
        </w:r>
        <w:r>
          <w:instrText xml:space="preserve">PAGEREF 6718 \h</w:instrText>
        </w:r>
        <w:r>
          <w:fldChar w:fldCharType="end"/>
        </w:r>
      </w:hyperlink>
    </w:p>
    <w:p>
      <w:pPr>
        <w:tabs>
          <w:tab w:val="right" w:leader="dot" w:pos="9062"/>
        </w:tabs>
        <w:ind w:left="440"/>
      </w:pPr>
      <w:hyperlink w:anchor="_Toc6719" w:history="1">
        <w:r>
          <w:rPr>
            <w:rFonts w:ascii="IRNazanin" w:hAnsi="IRNazanin" w:eastAsia="IRNazanin" w:cs="IRNazanin"/>
            <w:color w:val="111111"/>
            <w:sz w:val="22"/>
            <w:szCs w:val="22"/>
            <w:b w:val="0"/>
            <w:bCs w:val="0"/>
            <w:i w:val="0"/>
            <w:iCs w:val="0"/>
          </w:rPr>
          <w:t>دیوان کمال تاشکندی‏</w:t>
        </w:r>
        <w:r>
          <w:tab/>
        </w:r>
        <w:r>
          <w:fldChar w:fldCharType="begin"/>
        </w:r>
        <w:r>
          <w:instrText xml:space="preserve">PAGEREF 6719 \h</w:instrText>
        </w:r>
        <w:r>
          <w:fldChar w:fldCharType="end"/>
        </w:r>
      </w:hyperlink>
    </w:p>
    <w:p>
      <w:pPr>
        <w:tabs>
          <w:tab w:val="right" w:leader="dot" w:pos="9062"/>
        </w:tabs>
        <w:ind w:left="440"/>
      </w:pPr>
      <w:hyperlink w:anchor="_Toc6720" w:history="1">
        <w:r>
          <w:rPr>
            <w:rFonts w:ascii="IRNazanin" w:hAnsi="IRNazanin" w:eastAsia="IRNazanin" w:cs="IRNazanin"/>
            <w:color w:val="111111"/>
            <w:sz w:val="22"/>
            <w:szCs w:val="22"/>
            <w:b w:val="0"/>
            <w:bCs w:val="0"/>
            <w:i w:val="0"/>
            <w:iCs w:val="0"/>
          </w:rPr>
          <w:t>6060- دیوان کمال تربتی‏</w:t>
        </w:r>
        <w:r>
          <w:tab/>
        </w:r>
        <w:r>
          <w:fldChar w:fldCharType="begin"/>
        </w:r>
        <w:r>
          <w:instrText xml:space="preserve">PAGEREF 6720 \h</w:instrText>
        </w:r>
        <w:r>
          <w:fldChar w:fldCharType="end"/>
        </w:r>
      </w:hyperlink>
    </w:p>
    <w:p>
      <w:pPr>
        <w:tabs>
          <w:tab w:val="right" w:leader="dot" w:pos="9062"/>
        </w:tabs>
        <w:ind w:left="440"/>
      </w:pPr>
      <w:hyperlink w:anchor="_Toc6721" w:history="1">
        <w:r>
          <w:rPr>
            <w:rFonts w:ascii="IRNazanin" w:hAnsi="IRNazanin" w:eastAsia="IRNazanin" w:cs="IRNazanin"/>
            <w:color w:val="111111"/>
            <w:sz w:val="22"/>
            <w:szCs w:val="22"/>
            <w:b w:val="0"/>
            <w:bCs w:val="0"/>
            <w:i w:val="0"/>
            <w:iCs w:val="0"/>
          </w:rPr>
          <w:t>6061- دیوان کمال خجندی‏</w:t>
        </w:r>
        <w:r>
          <w:tab/>
        </w:r>
        <w:r>
          <w:fldChar w:fldCharType="begin"/>
        </w:r>
        <w:r>
          <w:instrText xml:space="preserve">PAGEREF 6721 \h</w:instrText>
        </w:r>
        <w:r>
          <w:fldChar w:fldCharType="end"/>
        </w:r>
      </w:hyperlink>
    </w:p>
    <w:p>
      <w:pPr>
        <w:tabs>
          <w:tab w:val="right" w:leader="dot" w:pos="9062"/>
        </w:tabs>
        <w:ind w:left="440"/>
      </w:pPr>
      <w:hyperlink w:anchor="_Toc6722" w:history="1">
        <w:r>
          <w:rPr>
            <w:rFonts w:ascii="IRNazanin" w:hAnsi="IRNazanin" w:eastAsia="IRNazanin" w:cs="IRNazanin"/>
            <w:color w:val="111111"/>
            <w:sz w:val="22"/>
            <w:szCs w:val="22"/>
            <w:b w:val="0"/>
            <w:bCs w:val="0"/>
            <w:i w:val="0"/>
            <w:iCs w:val="0"/>
          </w:rPr>
          <w:t>دیوان کمال خوارزمی‏</w:t>
        </w:r>
        <w:r>
          <w:tab/>
        </w:r>
        <w:r>
          <w:fldChar w:fldCharType="begin"/>
        </w:r>
        <w:r>
          <w:instrText xml:space="preserve">PAGEREF 6722 \h</w:instrText>
        </w:r>
        <w:r>
          <w:fldChar w:fldCharType="end"/>
        </w:r>
      </w:hyperlink>
    </w:p>
    <w:p>
      <w:pPr>
        <w:tabs>
          <w:tab w:val="right" w:leader="dot" w:pos="9062"/>
        </w:tabs>
        <w:ind w:left="440"/>
      </w:pPr>
      <w:hyperlink w:anchor="_Toc6723" w:history="1">
        <w:r>
          <w:rPr>
            <w:rFonts w:ascii="IRNazanin" w:hAnsi="IRNazanin" w:eastAsia="IRNazanin" w:cs="IRNazanin"/>
            <w:color w:val="111111"/>
            <w:sz w:val="22"/>
            <w:szCs w:val="22"/>
            <w:b w:val="0"/>
            <w:bCs w:val="0"/>
            <w:i w:val="0"/>
            <w:iCs w:val="0"/>
          </w:rPr>
          <w:t>6062- دیوان کمال خوافی‏</w:t>
        </w:r>
        <w:r>
          <w:tab/>
        </w:r>
        <w:r>
          <w:fldChar w:fldCharType="begin"/>
        </w:r>
        <w:r>
          <w:instrText xml:space="preserve">PAGEREF 6723 \h</w:instrText>
        </w:r>
        <w:r>
          <w:fldChar w:fldCharType="end"/>
        </w:r>
      </w:hyperlink>
    </w:p>
    <w:p>
      <w:pPr>
        <w:tabs>
          <w:tab w:val="right" w:leader="dot" w:pos="9062"/>
        </w:tabs>
        <w:ind w:left="440"/>
      </w:pPr>
      <w:hyperlink w:anchor="_Toc6724" w:history="1">
        <w:r>
          <w:rPr>
            <w:rFonts w:ascii="IRNazanin" w:hAnsi="IRNazanin" w:eastAsia="IRNazanin" w:cs="IRNazanin"/>
            <w:color w:val="111111"/>
            <w:sz w:val="22"/>
            <w:szCs w:val="22"/>
            <w:b w:val="0"/>
            <w:bCs w:val="0"/>
            <w:i w:val="0"/>
            <w:iCs w:val="0"/>
          </w:rPr>
          <w:t>6063- دیوان کمال خوانساری‏</w:t>
        </w:r>
        <w:r>
          <w:tab/>
        </w:r>
        <w:r>
          <w:fldChar w:fldCharType="begin"/>
        </w:r>
        <w:r>
          <w:instrText xml:space="preserve">PAGEREF 6724 \h</w:instrText>
        </w:r>
        <w:r>
          <w:fldChar w:fldCharType="end"/>
        </w:r>
      </w:hyperlink>
    </w:p>
    <w:p>
      <w:pPr>
        <w:tabs>
          <w:tab w:val="right" w:leader="dot" w:pos="9062"/>
        </w:tabs>
        <w:ind w:left="440"/>
      </w:pPr>
      <w:hyperlink w:anchor="_Toc6725" w:history="1">
        <w:r>
          <w:rPr>
            <w:rFonts w:ascii="IRNazanin" w:hAnsi="IRNazanin" w:eastAsia="IRNazanin" w:cs="IRNazanin"/>
            <w:color w:val="111111"/>
            <w:sz w:val="22"/>
            <w:szCs w:val="22"/>
            <w:b w:val="0"/>
            <w:bCs w:val="0"/>
            <w:i w:val="0"/>
            <w:iCs w:val="0"/>
          </w:rPr>
          <w:t>6064- دیوان کمال دیلمی أو شعره‏</w:t>
        </w:r>
        <w:r>
          <w:tab/>
        </w:r>
        <w:r>
          <w:fldChar w:fldCharType="begin"/>
        </w:r>
        <w:r>
          <w:instrText xml:space="preserve">PAGEREF 6725 \h</w:instrText>
        </w:r>
        <w:r>
          <w:fldChar w:fldCharType="end"/>
        </w:r>
      </w:hyperlink>
    </w:p>
    <w:p>
      <w:pPr>
        <w:tabs>
          <w:tab w:val="right" w:leader="dot" w:pos="9062"/>
        </w:tabs>
        <w:ind w:left="440"/>
      </w:pPr>
      <w:hyperlink w:anchor="_Toc6726" w:history="1">
        <w:r>
          <w:rPr>
            <w:rFonts w:ascii="IRNazanin" w:hAnsi="IRNazanin" w:eastAsia="IRNazanin" w:cs="IRNazanin"/>
            <w:color w:val="111111"/>
            <w:sz w:val="22"/>
            <w:szCs w:val="22"/>
            <w:b w:val="0"/>
            <w:bCs w:val="0"/>
            <w:i w:val="0"/>
            <w:iCs w:val="0"/>
          </w:rPr>
          <w:t>دیوان کمال الدین أصفهانی‏</w:t>
        </w:r>
        <w:r>
          <w:tab/>
        </w:r>
        <w:r>
          <w:fldChar w:fldCharType="begin"/>
        </w:r>
        <w:r>
          <w:instrText xml:space="preserve">PAGEREF 6726 \h</w:instrText>
        </w:r>
        <w:r>
          <w:fldChar w:fldCharType="end"/>
        </w:r>
      </w:hyperlink>
    </w:p>
    <w:p>
      <w:pPr>
        <w:tabs>
          <w:tab w:val="right" w:leader="dot" w:pos="9062"/>
        </w:tabs>
        <w:ind w:left="440"/>
      </w:pPr>
      <w:hyperlink w:anchor="_Toc6727" w:history="1">
        <w:r>
          <w:rPr>
            <w:rFonts w:ascii="IRNazanin" w:hAnsi="IRNazanin" w:eastAsia="IRNazanin" w:cs="IRNazanin"/>
            <w:color w:val="111111"/>
            <w:sz w:val="22"/>
            <w:szCs w:val="22"/>
            <w:b w:val="0"/>
            <w:bCs w:val="0"/>
            <w:i w:val="0"/>
            <w:iCs w:val="0"/>
          </w:rPr>
          <w:t>دیوان کمال الدین حسین‏</w:t>
        </w:r>
        <w:r>
          <w:tab/>
        </w:r>
        <w:r>
          <w:fldChar w:fldCharType="begin"/>
        </w:r>
        <w:r>
          <w:instrText xml:space="preserve">PAGEREF 6727 \h</w:instrText>
        </w:r>
        <w:r>
          <w:fldChar w:fldCharType="end"/>
        </w:r>
      </w:hyperlink>
    </w:p>
    <w:p>
      <w:pPr>
        <w:tabs>
          <w:tab w:val="right" w:leader="dot" w:pos="9062"/>
        </w:tabs>
        <w:ind w:left="440"/>
      </w:pPr>
      <w:hyperlink w:anchor="_Toc6728" w:history="1">
        <w:r>
          <w:rPr>
            <w:rFonts w:ascii="IRNazanin" w:hAnsi="IRNazanin" w:eastAsia="IRNazanin" w:cs="IRNazanin"/>
            <w:color w:val="111111"/>
            <w:sz w:val="22"/>
            <w:szCs w:val="22"/>
            <w:b w:val="0"/>
            <w:bCs w:val="0"/>
            <w:i w:val="0"/>
            <w:iCs w:val="0"/>
          </w:rPr>
          <w:t>دیوان کمال الدین حسین بایقرا أو شعره‏</w:t>
        </w:r>
        <w:r>
          <w:tab/>
        </w:r>
        <w:r>
          <w:fldChar w:fldCharType="begin"/>
        </w:r>
        <w:r>
          <w:instrText xml:space="preserve">PAGEREF 6728 \h</w:instrText>
        </w:r>
        <w:r>
          <w:fldChar w:fldCharType="end"/>
        </w:r>
      </w:hyperlink>
    </w:p>
    <w:p>
      <w:pPr>
        <w:tabs>
          <w:tab w:val="right" w:leader="dot" w:pos="9062"/>
        </w:tabs>
        <w:ind w:left="440"/>
      </w:pPr>
      <w:hyperlink w:anchor="_Toc6729" w:history="1">
        <w:r>
          <w:rPr>
            <w:rFonts w:ascii="IRNazanin" w:hAnsi="IRNazanin" w:eastAsia="IRNazanin" w:cs="IRNazanin"/>
            <w:color w:val="111111"/>
            <w:sz w:val="22"/>
            <w:szCs w:val="22"/>
            <w:b w:val="0"/>
            <w:bCs w:val="0"/>
            <w:i w:val="0"/>
            <w:iCs w:val="0"/>
          </w:rPr>
          <w:t>6065- دیوان کمال الدین حسین أو شعره‏</w:t>
        </w:r>
        <w:r>
          <w:tab/>
        </w:r>
        <w:r>
          <w:fldChar w:fldCharType="begin"/>
        </w:r>
        <w:r>
          <w:instrText xml:space="preserve">PAGEREF 6729 \h</w:instrText>
        </w:r>
        <w:r>
          <w:fldChar w:fldCharType="end"/>
        </w:r>
      </w:hyperlink>
    </w:p>
    <w:p>
      <w:pPr>
        <w:tabs>
          <w:tab w:val="right" w:leader="dot" w:pos="9062"/>
        </w:tabs>
        <w:ind w:left="440"/>
      </w:pPr>
      <w:hyperlink w:anchor="_Toc6730" w:history="1">
        <w:r>
          <w:rPr>
            <w:rFonts w:ascii="IRNazanin" w:hAnsi="IRNazanin" w:eastAsia="IRNazanin" w:cs="IRNazanin"/>
            <w:color w:val="111111"/>
            <w:sz w:val="22"/>
            <w:szCs w:val="22"/>
            <w:b w:val="0"/>
            <w:bCs w:val="0"/>
            <w:i w:val="0"/>
            <w:iCs w:val="0"/>
          </w:rPr>
          <w:t>6066- دیوان کمال الدین زنجانی‏</w:t>
        </w:r>
        <w:r>
          <w:tab/>
        </w:r>
        <w:r>
          <w:fldChar w:fldCharType="begin"/>
        </w:r>
        <w:r>
          <w:instrText xml:space="preserve">PAGEREF 6730 \h</w:instrText>
        </w:r>
        <w:r>
          <w:fldChar w:fldCharType="end"/>
        </w:r>
      </w:hyperlink>
    </w:p>
    <w:p>
      <w:pPr>
        <w:tabs>
          <w:tab w:val="right" w:leader="dot" w:pos="9062"/>
        </w:tabs>
        <w:ind w:left="440"/>
      </w:pPr>
      <w:hyperlink w:anchor="_Toc6731" w:history="1">
        <w:r>
          <w:rPr>
            <w:rFonts w:ascii="IRNazanin" w:hAnsi="IRNazanin" w:eastAsia="IRNazanin" w:cs="IRNazanin"/>
            <w:color w:val="111111"/>
            <w:sz w:val="22"/>
            <w:szCs w:val="22"/>
            <w:b w:val="0"/>
            <w:bCs w:val="0"/>
            <w:i w:val="0"/>
            <w:iCs w:val="0"/>
          </w:rPr>
          <w:t>6067- دیوان کمال الدین کوتاه پای أو شعره‏</w:t>
        </w:r>
        <w:r>
          <w:tab/>
        </w:r>
        <w:r>
          <w:fldChar w:fldCharType="begin"/>
        </w:r>
        <w:r>
          <w:instrText xml:space="preserve">PAGEREF 6731 \h</w:instrText>
        </w:r>
        <w:r>
          <w:fldChar w:fldCharType="end"/>
        </w:r>
      </w:hyperlink>
    </w:p>
    <w:p>
      <w:pPr>
        <w:tabs>
          <w:tab w:val="right" w:leader="dot" w:pos="9062"/>
        </w:tabs>
        <w:ind w:left="440"/>
      </w:pPr>
      <w:hyperlink w:anchor="_Toc6732" w:history="1">
        <w:r>
          <w:rPr>
            <w:rFonts w:ascii="IRNazanin" w:hAnsi="IRNazanin" w:eastAsia="IRNazanin" w:cs="IRNazanin"/>
            <w:color w:val="111111"/>
            <w:sz w:val="22"/>
            <w:szCs w:val="22"/>
            <w:b w:val="0"/>
            <w:bCs w:val="0"/>
            <w:i w:val="0"/>
            <w:iCs w:val="0"/>
          </w:rPr>
          <w:t>6068- دیوان کمال الدین مراغی أو شعره‏</w:t>
        </w:r>
        <w:r>
          <w:tab/>
        </w:r>
        <w:r>
          <w:fldChar w:fldCharType="begin"/>
        </w:r>
        <w:r>
          <w:instrText xml:space="preserve">PAGEREF 6732 \h</w:instrText>
        </w:r>
        <w:r>
          <w:fldChar w:fldCharType="end"/>
        </w:r>
      </w:hyperlink>
    </w:p>
    <w:p>
      <w:pPr>
        <w:tabs>
          <w:tab w:val="right" w:leader="dot" w:pos="9062"/>
        </w:tabs>
        <w:ind w:left="440"/>
      </w:pPr>
      <w:hyperlink w:anchor="_Toc6733" w:history="1">
        <w:r>
          <w:rPr>
            <w:rFonts w:ascii="IRNazanin" w:hAnsi="IRNazanin" w:eastAsia="IRNazanin" w:cs="IRNazanin"/>
            <w:color w:val="111111"/>
            <w:sz w:val="22"/>
            <w:szCs w:val="22"/>
            <w:b w:val="0"/>
            <w:bCs w:val="0"/>
            <w:i w:val="0"/>
            <w:iCs w:val="0"/>
          </w:rPr>
          <w:t>6069- دیوان کمال الدین مسعود شیروانی أو شعره‏</w:t>
        </w:r>
        <w:r>
          <w:tab/>
        </w:r>
        <w:r>
          <w:fldChar w:fldCharType="begin"/>
        </w:r>
        <w:r>
          <w:instrText xml:space="preserve">PAGEREF 6733 \h</w:instrText>
        </w:r>
        <w:r>
          <w:fldChar w:fldCharType="end"/>
        </w:r>
      </w:hyperlink>
    </w:p>
    <w:p>
      <w:pPr>
        <w:tabs>
          <w:tab w:val="right" w:leader="dot" w:pos="9062"/>
        </w:tabs>
        <w:ind w:left="440"/>
      </w:pPr>
      <w:hyperlink w:anchor="_Toc6734" w:history="1">
        <w:r>
          <w:rPr>
            <w:rFonts w:ascii="IRNazanin" w:hAnsi="IRNazanin" w:eastAsia="IRNazanin" w:cs="IRNazanin"/>
            <w:color w:val="111111"/>
            <w:sz w:val="22"/>
            <w:szCs w:val="22"/>
            <w:b w:val="0"/>
            <w:bCs w:val="0"/>
            <w:i w:val="0"/>
            <w:iCs w:val="0"/>
          </w:rPr>
          <w:t>6070- دیوان کمال سیستانی أو شعره‏</w:t>
        </w:r>
        <w:r>
          <w:tab/>
        </w:r>
        <w:r>
          <w:fldChar w:fldCharType="begin"/>
        </w:r>
        <w:r>
          <w:instrText xml:space="preserve">PAGEREF 6734 \h</w:instrText>
        </w:r>
        <w:r>
          <w:fldChar w:fldCharType="end"/>
        </w:r>
      </w:hyperlink>
    </w:p>
    <w:p>
      <w:pPr>
        <w:tabs>
          <w:tab w:val="right" w:leader="dot" w:pos="9062"/>
        </w:tabs>
        <w:ind w:left="440"/>
      </w:pPr>
      <w:hyperlink w:anchor="_Toc6735" w:history="1">
        <w:r>
          <w:rPr>
            <w:rFonts w:ascii="IRNazanin" w:hAnsi="IRNazanin" w:eastAsia="IRNazanin" w:cs="IRNazanin"/>
            <w:color w:val="111111"/>
            <w:sz w:val="22"/>
            <w:szCs w:val="22"/>
            <w:b w:val="0"/>
            <w:bCs w:val="0"/>
            <w:i w:val="0"/>
            <w:iCs w:val="0"/>
          </w:rPr>
          <w:t>6071- دیوان کمال شیرازی أو شعره‏</w:t>
        </w:r>
        <w:r>
          <w:tab/>
        </w:r>
        <w:r>
          <w:fldChar w:fldCharType="begin"/>
        </w:r>
        <w:r>
          <w:instrText xml:space="preserve">PAGEREF 6735 \h</w:instrText>
        </w:r>
        <w:r>
          <w:fldChar w:fldCharType="end"/>
        </w:r>
      </w:hyperlink>
    </w:p>
    <w:p>
      <w:pPr>
        <w:tabs>
          <w:tab w:val="right" w:leader="dot" w:pos="9062"/>
        </w:tabs>
        <w:ind w:left="440"/>
      </w:pPr>
      <w:hyperlink w:anchor="_Toc6736" w:history="1">
        <w:r>
          <w:rPr>
            <w:rFonts w:ascii="IRNazanin" w:hAnsi="IRNazanin" w:eastAsia="IRNazanin" w:cs="IRNazanin"/>
            <w:color w:val="111111"/>
            <w:sz w:val="22"/>
            <w:szCs w:val="22"/>
            <w:b w:val="0"/>
            <w:bCs w:val="0"/>
            <w:i w:val="0"/>
            <w:iCs w:val="0"/>
          </w:rPr>
          <w:t>دیوان کمال شیرازی‏</w:t>
        </w:r>
        <w:r>
          <w:tab/>
        </w:r>
        <w:r>
          <w:fldChar w:fldCharType="begin"/>
        </w:r>
        <w:r>
          <w:instrText xml:space="preserve">PAGEREF 6736 \h</w:instrText>
        </w:r>
        <w:r>
          <w:fldChar w:fldCharType="end"/>
        </w:r>
      </w:hyperlink>
    </w:p>
    <w:p>
      <w:pPr>
        <w:tabs>
          <w:tab w:val="right" w:leader="dot" w:pos="9062"/>
        </w:tabs>
        <w:ind w:left="440"/>
      </w:pPr>
      <w:hyperlink w:anchor="_Toc6737" w:history="1">
        <w:r>
          <w:rPr>
            <w:rFonts w:ascii="IRNazanin" w:hAnsi="IRNazanin" w:eastAsia="IRNazanin" w:cs="IRNazanin"/>
            <w:color w:val="111111"/>
            <w:sz w:val="22"/>
            <w:szCs w:val="22"/>
            <w:b w:val="0"/>
            <w:bCs w:val="0"/>
            <w:i w:val="0"/>
            <w:iCs w:val="0"/>
          </w:rPr>
          <w:t>6072- دیوان کمال فسائی شیرازی‏</w:t>
        </w:r>
        <w:r>
          <w:tab/>
        </w:r>
        <w:r>
          <w:fldChar w:fldCharType="begin"/>
        </w:r>
        <w:r>
          <w:instrText xml:space="preserve">PAGEREF 6737 \h</w:instrText>
        </w:r>
        <w:r>
          <w:fldChar w:fldCharType="end"/>
        </w:r>
      </w:hyperlink>
    </w:p>
    <w:p>
      <w:pPr>
        <w:tabs>
          <w:tab w:val="right" w:leader="dot" w:pos="9062"/>
        </w:tabs>
        <w:ind w:left="440"/>
      </w:pPr>
      <w:hyperlink w:anchor="_Toc6738" w:history="1">
        <w:r>
          <w:rPr>
            <w:rFonts w:ascii="IRNazanin" w:hAnsi="IRNazanin" w:eastAsia="IRNazanin" w:cs="IRNazanin"/>
            <w:color w:val="111111"/>
            <w:sz w:val="22"/>
            <w:szCs w:val="22"/>
            <w:b w:val="0"/>
            <w:bCs w:val="0"/>
            <w:i w:val="0"/>
            <w:iCs w:val="0"/>
          </w:rPr>
          <w:t>دیوان کمال قصه‏خوان‏</w:t>
        </w:r>
        <w:r>
          <w:tab/>
        </w:r>
        <w:r>
          <w:fldChar w:fldCharType="begin"/>
        </w:r>
        <w:r>
          <w:instrText xml:space="preserve">PAGEREF 6738 \h</w:instrText>
        </w:r>
        <w:r>
          <w:fldChar w:fldCharType="end"/>
        </w:r>
      </w:hyperlink>
    </w:p>
    <w:p>
      <w:pPr>
        <w:tabs>
          <w:tab w:val="right" w:leader="dot" w:pos="9062"/>
        </w:tabs>
        <w:ind w:left="440"/>
      </w:pPr>
      <w:hyperlink w:anchor="_Toc6739" w:history="1">
        <w:r>
          <w:rPr>
            <w:rFonts w:ascii="IRNazanin" w:hAnsi="IRNazanin" w:eastAsia="IRNazanin" w:cs="IRNazanin"/>
            <w:color w:val="111111"/>
            <w:sz w:val="22"/>
            <w:szCs w:val="22"/>
            <w:b w:val="0"/>
            <w:bCs w:val="0"/>
            <w:i w:val="0"/>
            <w:iCs w:val="0"/>
          </w:rPr>
          <w:t>6073- دیوان کمال کاشی أو شعره‏</w:t>
        </w:r>
        <w:r>
          <w:tab/>
        </w:r>
        <w:r>
          <w:fldChar w:fldCharType="begin"/>
        </w:r>
        <w:r>
          <w:instrText xml:space="preserve">PAGEREF 6739 \h</w:instrText>
        </w:r>
        <w:r>
          <w:fldChar w:fldCharType="end"/>
        </w:r>
      </w:hyperlink>
    </w:p>
    <w:p>
      <w:pPr>
        <w:tabs>
          <w:tab w:val="right" w:leader="dot" w:pos="9062"/>
        </w:tabs>
        <w:ind w:left="440"/>
      </w:pPr>
      <w:hyperlink w:anchor="_Toc6740" w:history="1">
        <w:r>
          <w:rPr>
            <w:rFonts w:ascii="IRNazanin" w:hAnsi="IRNazanin" w:eastAsia="IRNazanin" w:cs="IRNazanin"/>
            <w:color w:val="111111"/>
            <w:sz w:val="22"/>
            <w:szCs w:val="22"/>
            <w:b w:val="0"/>
            <w:bCs w:val="0"/>
            <w:i w:val="0"/>
            <w:iCs w:val="0"/>
          </w:rPr>
          <w:t>دیوان کمال کجکول‏</w:t>
        </w:r>
        <w:r>
          <w:tab/>
        </w:r>
        <w:r>
          <w:fldChar w:fldCharType="begin"/>
        </w:r>
        <w:r>
          <w:instrText xml:space="preserve">PAGEREF 6740 \h</w:instrText>
        </w:r>
        <w:r>
          <w:fldChar w:fldCharType="end"/>
        </w:r>
      </w:hyperlink>
    </w:p>
    <w:p>
      <w:pPr>
        <w:tabs>
          <w:tab w:val="right" w:leader="dot" w:pos="9062"/>
        </w:tabs>
        <w:ind w:left="440"/>
      </w:pPr>
      <w:hyperlink w:anchor="_Toc6741" w:history="1">
        <w:r>
          <w:rPr>
            <w:rFonts w:ascii="IRNazanin" w:hAnsi="IRNazanin" w:eastAsia="IRNazanin" w:cs="IRNazanin"/>
            <w:color w:val="111111"/>
            <w:sz w:val="22"/>
            <w:szCs w:val="22"/>
            <w:b w:val="0"/>
            <w:bCs w:val="0"/>
            <w:i w:val="0"/>
            <w:iCs w:val="0"/>
          </w:rPr>
          <w:t>دیوان کمال کرمانی‏</w:t>
        </w:r>
        <w:r>
          <w:tab/>
        </w:r>
        <w:r>
          <w:fldChar w:fldCharType="begin"/>
        </w:r>
        <w:r>
          <w:instrText xml:space="preserve">PAGEREF 6741 \h</w:instrText>
        </w:r>
        <w:r>
          <w:fldChar w:fldCharType="end"/>
        </w:r>
      </w:hyperlink>
    </w:p>
    <w:p>
      <w:pPr>
        <w:tabs>
          <w:tab w:val="right" w:leader="dot" w:pos="9062"/>
        </w:tabs>
        <w:ind w:left="440"/>
      </w:pPr>
      <w:hyperlink w:anchor="_Toc6742" w:history="1">
        <w:r>
          <w:rPr>
            <w:rFonts w:ascii="IRNazanin" w:hAnsi="IRNazanin" w:eastAsia="IRNazanin" w:cs="IRNazanin"/>
            <w:color w:val="111111"/>
            <w:sz w:val="22"/>
            <w:szCs w:val="22"/>
            <w:b w:val="0"/>
            <w:bCs w:val="0"/>
            <w:i w:val="0"/>
            <w:iCs w:val="0"/>
          </w:rPr>
          <w:t>6074- دیوان کمال گیلانی أو شعره‏</w:t>
        </w:r>
        <w:r>
          <w:tab/>
        </w:r>
        <w:r>
          <w:fldChar w:fldCharType="begin"/>
        </w:r>
        <w:r>
          <w:instrText xml:space="preserve">PAGEREF 6742 \h</w:instrText>
        </w:r>
        <w:r>
          <w:fldChar w:fldCharType="end"/>
        </w:r>
      </w:hyperlink>
    </w:p>
    <w:p>
      <w:pPr>
        <w:tabs>
          <w:tab w:val="right" w:leader="dot" w:pos="9062"/>
        </w:tabs>
        <w:ind w:left="440"/>
      </w:pPr>
      <w:hyperlink w:anchor="_Toc6743" w:history="1">
        <w:r>
          <w:rPr>
            <w:rFonts w:ascii="IRNazanin" w:hAnsi="IRNazanin" w:eastAsia="IRNazanin" w:cs="IRNazanin"/>
            <w:color w:val="111111"/>
            <w:sz w:val="22"/>
            <w:szCs w:val="22"/>
            <w:b w:val="0"/>
            <w:bCs w:val="0"/>
            <w:i w:val="0"/>
            <w:iCs w:val="0"/>
          </w:rPr>
          <w:t>دیوان کمال مشهدی‏</w:t>
        </w:r>
        <w:r>
          <w:tab/>
        </w:r>
        <w:r>
          <w:fldChar w:fldCharType="begin"/>
        </w:r>
        <w:r>
          <w:instrText xml:space="preserve">PAGEREF 6743 \h</w:instrText>
        </w:r>
        <w:r>
          <w:fldChar w:fldCharType="end"/>
        </w:r>
      </w:hyperlink>
    </w:p>
    <w:p>
      <w:pPr>
        <w:tabs>
          <w:tab w:val="right" w:leader="dot" w:pos="9062"/>
        </w:tabs>
        <w:ind w:left="440"/>
      </w:pPr>
      <w:hyperlink w:anchor="_Toc6744" w:history="1">
        <w:r>
          <w:rPr>
            <w:rFonts w:ascii="IRNazanin" w:hAnsi="IRNazanin" w:eastAsia="IRNazanin" w:cs="IRNazanin"/>
            <w:color w:val="111111"/>
            <w:sz w:val="22"/>
            <w:szCs w:val="22"/>
            <w:b w:val="0"/>
            <w:bCs w:val="0"/>
            <w:i w:val="0"/>
            <w:iCs w:val="0"/>
          </w:rPr>
          <w:t>6075- دیوان کمالی أصفهانی‏</w:t>
        </w:r>
        <w:r>
          <w:tab/>
        </w:r>
        <w:r>
          <w:fldChar w:fldCharType="begin"/>
        </w:r>
        <w:r>
          <w:instrText xml:space="preserve">PAGEREF 6744 \h</w:instrText>
        </w:r>
        <w:r>
          <w:fldChar w:fldCharType="end"/>
        </w:r>
      </w:hyperlink>
    </w:p>
    <w:p>
      <w:pPr>
        <w:tabs>
          <w:tab w:val="right" w:leader="dot" w:pos="9062"/>
        </w:tabs>
        <w:ind w:left="440"/>
      </w:pPr>
      <w:hyperlink w:anchor="_Toc6745" w:history="1">
        <w:r>
          <w:rPr>
            <w:rFonts w:ascii="IRNazanin" w:hAnsi="IRNazanin" w:eastAsia="IRNazanin" w:cs="IRNazanin"/>
            <w:color w:val="111111"/>
            <w:sz w:val="22"/>
            <w:szCs w:val="22"/>
            <w:b w:val="0"/>
            <w:bCs w:val="0"/>
            <w:i w:val="0"/>
            <w:iCs w:val="0"/>
          </w:rPr>
          <w:t>دیوان کمالی بلخی‏</w:t>
        </w:r>
        <w:r>
          <w:tab/>
        </w:r>
        <w:r>
          <w:fldChar w:fldCharType="begin"/>
        </w:r>
        <w:r>
          <w:instrText xml:space="preserve">PAGEREF 6745 \h</w:instrText>
        </w:r>
        <w:r>
          <w:fldChar w:fldCharType="end"/>
        </w:r>
      </w:hyperlink>
    </w:p>
    <w:p>
      <w:pPr>
        <w:tabs>
          <w:tab w:val="right" w:leader="dot" w:pos="9062"/>
        </w:tabs>
        <w:ind w:left="440"/>
      </w:pPr>
      <w:hyperlink w:anchor="_Toc6746" w:history="1">
        <w:r>
          <w:rPr>
            <w:rFonts w:ascii="IRNazanin" w:hAnsi="IRNazanin" w:eastAsia="IRNazanin" w:cs="IRNazanin"/>
            <w:color w:val="111111"/>
            <w:sz w:val="22"/>
            <w:szCs w:val="22"/>
            <w:b w:val="0"/>
            <w:bCs w:val="0"/>
            <w:i w:val="0"/>
            <w:iCs w:val="0"/>
          </w:rPr>
          <w:t>6076- دیوان کمالی سبزواری‏</w:t>
        </w:r>
        <w:r>
          <w:tab/>
        </w:r>
        <w:r>
          <w:fldChar w:fldCharType="begin"/>
        </w:r>
        <w:r>
          <w:instrText xml:space="preserve">PAGEREF 6746 \h</w:instrText>
        </w:r>
        <w:r>
          <w:fldChar w:fldCharType="end"/>
        </w:r>
      </w:hyperlink>
    </w:p>
    <w:p>
      <w:pPr>
        <w:tabs>
          <w:tab w:val="right" w:leader="dot" w:pos="9062"/>
        </w:tabs>
        <w:ind w:left="440"/>
      </w:pPr>
      <w:hyperlink w:anchor="_Toc6747" w:history="1">
        <w:r>
          <w:rPr>
            <w:rFonts w:ascii="IRNazanin" w:hAnsi="IRNazanin" w:eastAsia="IRNazanin" w:cs="IRNazanin"/>
            <w:color w:val="111111"/>
            <w:sz w:val="22"/>
            <w:szCs w:val="22"/>
            <w:b w:val="0"/>
            <w:bCs w:val="0"/>
            <w:i w:val="0"/>
            <w:iCs w:val="0"/>
          </w:rPr>
          <w:t>6077- دیوان کمالی سبزواری‏</w:t>
        </w:r>
        <w:r>
          <w:tab/>
        </w:r>
        <w:r>
          <w:fldChar w:fldCharType="begin"/>
        </w:r>
        <w:r>
          <w:instrText xml:space="preserve">PAGEREF 6747 \h</w:instrText>
        </w:r>
        <w:r>
          <w:fldChar w:fldCharType="end"/>
        </w:r>
      </w:hyperlink>
    </w:p>
    <w:p>
      <w:pPr>
        <w:tabs>
          <w:tab w:val="right" w:leader="dot" w:pos="9062"/>
        </w:tabs>
        <w:ind w:left="440"/>
      </w:pPr>
      <w:hyperlink w:anchor="_Toc6748" w:history="1">
        <w:r>
          <w:rPr>
            <w:rFonts w:ascii="IRNazanin" w:hAnsi="IRNazanin" w:eastAsia="IRNazanin" w:cs="IRNazanin"/>
            <w:color w:val="111111"/>
            <w:sz w:val="22"/>
            <w:szCs w:val="22"/>
            <w:b w:val="0"/>
            <w:bCs w:val="0"/>
            <w:i w:val="0"/>
            <w:iCs w:val="0"/>
          </w:rPr>
          <w:t>دیوان کمان ابرو</w:t>
        </w:r>
        <w:r>
          <w:tab/>
        </w:r>
        <w:r>
          <w:fldChar w:fldCharType="begin"/>
        </w:r>
        <w:r>
          <w:instrText xml:space="preserve">PAGEREF 6748 \h</w:instrText>
        </w:r>
        <w:r>
          <w:fldChar w:fldCharType="end"/>
        </w:r>
      </w:hyperlink>
    </w:p>
    <w:p>
      <w:pPr>
        <w:tabs>
          <w:tab w:val="right" w:leader="dot" w:pos="9062"/>
        </w:tabs>
        <w:ind w:left="440"/>
      </w:pPr>
      <w:hyperlink w:anchor="_Toc6749" w:history="1">
        <w:r>
          <w:rPr>
            <w:rFonts w:ascii="IRNazanin" w:hAnsi="IRNazanin" w:eastAsia="IRNazanin" w:cs="IRNazanin"/>
            <w:color w:val="111111"/>
            <w:sz w:val="22"/>
            <w:szCs w:val="22"/>
            <w:b w:val="0"/>
            <w:bCs w:val="0"/>
            <w:i w:val="0"/>
            <w:iCs w:val="0"/>
          </w:rPr>
          <w:t>دیوان کمپانی‏</w:t>
        </w:r>
        <w:r>
          <w:tab/>
        </w:r>
        <w:r>
          <w:fldChar w:fldCharType="begin"/>
        </w:r>
        <w:r>
          <w:instrText xml:space="preserve">PAGEREF 6749 \h</w:instrText>
        </w:r>
        <w:r>
          <w:fldChar w:fldCharType="end"/>
        </w:r>
      </w:hyperlink>
    </w:p>
    <w:p>
      <w:pPr>
        <w:tabs>
          <w:tab w:val="right" w:leader="dot" w:pos="9062"/>
        </w:tabs>
        <w:ind w:left="440"/>
      </w:pPr>
      <w:hyperlink w:anchor="_Toc6750" w:history="1">
        <w:r>
          <w:rPr>
            <w:rFonts w:ascii="IRNazanin" w:hAnsi="IRNazanin" w:eastAsia="IRNazanin" w:cs="IRNazanin"/>
            <w:color w:val="111111"/>
            <w:sz w:val="22"/>
            <w:szCs w:val="22"/>
            <w:b w:val="0"/>
            <w:bCs w:val="0"/>
            <w:i w:val="0"/>
            <w:iCs w:val="0"/>
          </w:rPr>
          <w:t>6078- دیوان کمتری شیرازی أو شعره‏</w:t>
        </w:r>
        <w:r>
          <w:tab/>
        </w:r>
        <w:r>
          <w:fldChar w:fldCharType="begin"/>
        </w:r>
        <w:r>
          <w:instrText xml:space="preserve">PAGEREF 6750 \h</w:instrText>
        </w:r>
        <w:r>
          <w:fldChar w:fldCharType="end"/>
        </w:r>
      </w:hyperlink>
    </w:p>
    <w:p>
      <w:pPr>
        <w:tabs>
          <w:tab w:val="right" w:leader="dot" w:pos="9062"/>
        </w:tabs>
        <w:ind w:left="440"/>
      </w:pPr>
      <w:hyperlink w:anchor="_Toc6751" w:history="1">
        <w:r>
          <w:rPr>
            <w:rFonts w:ascii="IRNazanin" w:hAnsi="IRNazanin" w:eastAsia="IRNazanin" w:cs="IRNazanin"/>
            <w:color w:val="111111"/>
            <w:sz w:val="22"/>
            <w:szCs w:val="22"/>
            <w:b w:val="0"/>
            <w:bCs w:val="0"/>
            <w:i w:val="0"/>
            <w:iCs w:val="0"/>
          </w:rPr>
          <w:t>دیوان کمره‏ای‏</w:t>
        </w:r>
        <w:r>
          <w:tab/>
        </w:r>
        <w:r>
          <w:fldChar w:fldCharType="begin"/>
        </w:r>
        <w:r>
          <w:instrText xml:space="preserve">PAGEREF 6751 \h</w:instrText>
        </w:r>
        <w:r>
          <w:fldChar w:fldCharType="end"/>
        </w:r>
      </w:hyperlink>
    </w:p>
    <w:p>
      <w:pPr>
        <w:tabs>
          <w:tab w:val="right" w:leader="dot" w:pos="9062"/>
        </w:tabs>
        <w:ind w:left="440"/>
      </w:pPr>
      <w:hyperlink w:anchor="_Toc6752" w:history="1">
        <w:r>
          <w:rPr>
            <w:rFonts w:ascii="IRNazanin" w:hAnsi="IRNazanin" w:eastAsia="IRNazanin" w:cs="IRNazanin"/>
            <w:color w:val="111111"/>
            <w:sz w:val="22"/>
            <w:szCs w:val="22"/>
            <w:b w:val="0"/>
            <w:bCs w:val="0"/>
            <w:i w:val="0"/>
            <w:iCs w:val="0"/>
          </w:rPr>
          <w:t>6079- دیوان کم گوی کشمیری‏</w:t>
        </w:r>
        <w:r>
          <w:tab/>
        </w:r>
        <w:r>
          <w:fldChar w:fldCharType="begin"/>
        </w:r>
        <w:r>
          <w:instrText xml:space="preserve">PAGEREF 6752 \h</w:instrText>
        </w:r>
        <w:r>
          <w:fldChar w:fldCharType="end"/>
        </w:r>
      </w:hyperlink>
    </w:p>
    <w:p>
      <w:pPr>
        <w:tabs>
          <w:tab w:val="right" w:leader="dot" w:pos="9062"/>
        </w:tabs>
        <w:ind w:left="440"/>
      </w:pPr>
      <w:hyperlink w:anchor="_Toc6753" w:history="1">
        <w:r>
          <w:rPr>
            <w:rFonts w:ascii="IRNazanin" w:hAnsi="IRNazanin" w:eastAsia="IRNazanin" w:cs="IRNazanin"/>
            <w:color w:val="111111"/>
            <w:sz w:val="22"/>
            <w:szCs w:val="22"/>
            <w:b w:val="0"/>
            <w:bCs w:val="0"/>
            <w:i w:val="0"/>
            <w:iCs w:val="0"/>
          </w:rPr>
          <w:t>دیوان الشیخ محمد علی کمونة</w:t>
        </w:r>
        <w:r>
          <w:tab/>
        </w:r>
        <w:r>
          <w:fldChar w:fldCharType="begin"/>
        </w:r>
        <w:r>
          <w:instrText xml:space="preserve">PAGEREF 6753 \h</w:instrText>
        </w:r>
        <w:r>
          <w:fldChar w:fldCharType="end"/>
        </w:r>
      </w:hyperlink>
    </w:p>
    <w:p>
      <w:pPr>
        <w:tabs>
          <w:tab w:val="right" w:leader="dot" w:pos="9062"/>
        </w:tabs>
        <w:ind w:left="440"/>
      </w:pPr>
      <w:hyperlink w:anchor="_Toc6754" w:history="1">
        <w:r>
          <w:rPr>
            <w:rFonts w:ascii="IRNazanin" w:hAnsi="IRNazanin" w:eastAsia="IRNazanin" w:cs="IRNazanin"/>
            <w:color w:val="111111"/>
            <w:sz w:val="22"/>
            <w:szCs w:val="22"/>
            <w:b w:val="0"/>
            <w:bCs w:val="0"/>
            <w:i w:val="0"/>
            <w:iCs w:val="0"/>
          </w:rPr>
          <w:t>6080- دیوان کمیت‏</w:t>
        </w:r>
        <w:r>
          <w:tab/>
        </w:r>
        <w:r>
          <w:fldChar w:fldCharType="begin"/>
        </w:r>
        <w:r>
          <w:instrText xml:space="preserve">PAGEREF 6754 \h</w:instrText>
        </w:r>
        <w:r>
          <w:fldChar w:fldCharType="end"/>
        </w:r>
      </w:hyperlink>
    </w:p>
    <w:p>
      <w:pPr>
        <w:tabs>
          <w:tab w:val="right" w:leader="dot" w:pos="9062"/>
        </w:tabs>
        <w:ind w:left="440"/>
      </w:pPr>
      <w:hyperlink w:anchor="_Toc6755" w:history="1">
        <w:r>
          <w:rPr>
            <w:rFonts w:ascii="IRNazanin" w:hAnsi="IRNazanin" w:eastAsia="IRNazanin" w:cs="IRNazanin"/>
            <w:color w:val="111111"/>
            <w:sz w:val="22"/>
            <w:szCs w:val="22"/>
            <w:b w:val="0"/>
            <w:bCs w:val="0"/>
            <w:i w:val="0"/>
            <w:iCs w:val="0"/>
          </w:rPr>
          <w:t>دیوان کوته پای‏</w:t>
        </w:r>
        <w:r>
          <w:tab/>
        </w:r>
        <w:r>
          <w:fldChar w:fldCharType="begin"/>
        </w:r>
        <w:r>
          <w:instrText xml:space="preserve">PAGEREF 6755 \h</w:instrText>
        </w:r>
        <w:r>
          <w:fldChar w:fldCharType="end"/>
        </w:r>
      </w:hyperlink>
    </w:p>
    <w:p>
      <w:pPr>
        <w:tabs>
          <w:tab w:val="right" w:leader="dot" w:pos="9062"/>
        </w:tabs>
        <w:ind w:left="440"/>
      </w:pPr>
      <w:hyperlink w:anchor="_Toc6756" w:history="1">
        <w:r>
          <w:rPr>
            <w:rFonts w:ascii="IRNazanin" w:hAnsi="IRNazanin" w:eastAsia="IRNazanin" w:cs="IRNazanin"/>
            <w:color w:val="111111"/>
            <w:sz w:val="22"/>
            <w:szCs w:val="22"/>
            <w:b w:val="0"/>
            <w:bCs w:val="0"/>
            <w:i w:val="0"/>
            <w:iCs w:val="0"/>
          </w:rPr>
          <w:t>6081- دیوان کوثر أصفهانی أو شعره‏</w:t>
        </w:r>
        <w:r>
          <w:tab/>
        </w:r>
        <w:r>
          <w:fldChar w:fldCharType="begin"/>
        </w:r>
        <w:r>
          <w:instrText xml:space="preserve">PAGEREF 6756 \h</w:instrText>
        </w:r>
        <w:r>
          <w:fldChar w:fldCharType="end"/>
        </w:r>
      </w:hyperlink>
    </w:p>
    <w:p>
      <w:pPr>
        <w:tabs>
          <w:tab w:val="right" w:leader="dot" w:pos="9062"/>
        </w:tabs>
        <w:ind w:left="440"/>
      </w:pPr>
      <w:hyperlink w:anchor="_Toc6757" w:history="1">
        <w:r>
          <w:rPr>
            <w:rFonts w:ascii="IRNazanin" w:hAnsi="IRNazanin" w:eastAsia="IRNazanin" w:cs="IRNazanin"/>
            <w:color w:val="111111"/>
            <w:sz w:val="22"/>
            <w:szCs w:val="22"/>
            <w:b w:val="0"/>
            <w:bCs w:val="0"/>
            <w:i w:val="0"/>
            <w:iCs w:val="0"/>
          </w:rPr>
          <w:t>6082- دیوان کوثر همدانی‏</w:t>
        </w:r>
        <w:r>
          <w:tab/>
        </w:r>
        <w:r>
          <w:fldChar w:fldCharType="begin"/>
        </w:r>
        <w:r>
          <w:instrText xml:space="preserve">PAGEREF 6757 \h</w:instrText>
        </w:r>
        <w:r>
          <w:fldChar w:fldCharType="end"/>
        </w:r>
      </w:hyperlink>
    </w:p>
    <w:p>
      <w:pPr>
        <w:tabs>
          <w:tab w:val="right" w:leader="dot" w:pos="9062"/>
        </w:tabs>
        <w:ind w:left="440"/>
      </w:pPr>
      <w:hyperlink w:anchor="_Toc6758" w:history="1">
        <w:r>
          <w:rPr>
            <w:rFonts w:ascii="IRNazanin" w:hAnsi="IRNazanin" w:eastAsia="IRNazanin" w:cs="IRNazanin"/>
            <w:color w:val="111111"/>
            <w:sz w:val="22"/>
            <w:szCs w:val="22"/>
            <w:b w:val="0"/>
            <w:bCs w:val="0"/>
            <w:i w:val="0"/>
            <w:iCs w:val="0"/>
          </w:rPr>
          <w:t>6083- دیوان کوثر همدانی أو شعره‏</w:t>
        </w:r>
        <w:r>
          <w:tab/>
        </w:r>
        <w:r>
          <w:fldChar w:fldCharType="begin"/>
        </w:r>
        <w:r>
          <w:instrText xml:space="preserve">PAGEREF 6758 \h</w:instrText>
        </w:r>
        <w:r>
          <w:fldChar w:fldCharType="end"/>
        </w:r>
      </w:hyperlink>
    </w:p>
    <w:p>
      <w:pPr>
        <w:tabs>
          <w:tab w:val="right" w:leader="dot" w:pos="9062"/>
        </w:tabs>
        <w:ind w:left="440"/>
      </w:pPr>
      <w:hyperlink w:anchor="_Toc6759" w:history="1">
        <w:r>
          <w:rPr>
            <w:rFonts w:ascii="IRNazanin" w:hAnsi="IRNazanin" w:eastAsia="IRNazanin" w:cs="IRNazanin"/>
            <w:color w:val="111111"/>
            <w:sz w:val="22"/>
            <w:szCs w:val="22"/>
            <w:b w:val="0"/>
            <w:bCs w:val="0"/>
            <w:i w:val="0"/>
            <w:iCs w:val="0"/>
          </w:rPr>
          <w:t>6084- دیوان کوثر هندی‏</w:t>
        </w:r>
        <w:r>
          <w:tab/>
        </w:r>
        <w:r>
          <w:fldChar w:fldCharType="begin"/>
        </w:r>
        <w:r>
          <w:instrText xml:space="preserve">PAGEREF 6759 \h</w:instrText>
        </w:r>
        <w:r>
          <w:fldChar w:fldCharType="end"/>
        </w:r>
      </w:hyperlink>
    </w:p>
    <w:p>
      <w:pPr>
        <w:tabs>
          <w:tab w:val="right" w:leader="dot" w:pos="9062"/>
        </w:tabs>
        <w:ind w:left="440"/>
      </w:pPr>
      <w:hyperlink w:anchor="_Toc6760" w:history="1">
        <w:r>
          <w:rPr>
            <w:rFonts w:ascii="IRNazanin" w:hAnsi="IRNazanin" w:eastAsia="IRNazanin" w:cs="IRNazanin"/>
            <w:color w:val="111111"/>
            <w:sz w:val="22"/>
            <w:szCs w:val="22"/>
            <w:b w:val="0"/>
            <w:bCs w:val="0"/>
            <w:i w:val="0"/>
            <w:iCs w:val="0"/>
          </w:rPr>
          <w:t>6085- دیوان کوثری أردبیلی أو شعره‏</w:t>
        </w:r>
        <w:r>
          <w:tab/>
        </w:r>
        <w:r>
          <w:fldChar w:fldCharType="begin"/>
        </w:r>
        <w:r>
          <w:instrText xml:space="preserve">PAGEREF 6760 \h</w:instrText>
        </w:r>
        <w:r>
          <w:fldChar w:fldCharType="end"/>
        </w:r>
      </w:hyperlink>
    </w:p>
    <w:p>
      <w:pPr>
        <w:tabs>
          <w:tab w:val="right" w:leader="dot" w:pos="9062"/>
        </w:tabs>
        <w:ind w:left="440"/>
      </w:pPr>
      <w:hyperlink w:anchor="_Toc6761" w:history="1">
        <w:r>
          <w:rPr>
            <w:rFonts w:ascii="IRNazanin" w:hAnsi="IRNazanin" w:eastAsia="IRNazanin" w:cs="IRNazanin"/>
            <w:color w:val="111111"/>
            <w:sz w:val="22"/>
            <w:szCs w:val="22"/>
            <w:b w:val="0"/>
            <w:bCs w:val="0"/>
            <w:i w:val="0"/>
            <w:iCs w:val="0"/>
          </w:rPr>
          <w:t>6086- دیوان کوثری بخاری أو شعره‏</w:t>
        </w:r>
        <w:r>
          <w:tab/>
        </w:r>
        <w:r>
          <w:fldChar w:fldCharType="begin"/>
        </w:r>
        <w:r>
          <w:instrText xml:space="preserve">PAGEREF 6761 \h</w:instrText>
        </w:r>
        <w:r>
          <w:fldChar w:fldCharType="end"/>
        </w:r>
      </w:hyperlink>
    </w:p>
    <w:p>
      <w:pPr>
        <w:tabs>
          <w:tab w:val="right" w:leader="dot" w:pos="9062"/>
        </w:tabs>
        <w:ind w:left="440"/>
      </w:pPr>
      <w:hyperlink w:anchor="_Toc6762" w:history="1">
        <w:r>
          <w:rPr>
            <w:rFonts w:ascii="IRNazanin" w:hAnsi="IRNazanin" w:eastAsia="IRNazanin" w:cs="IRNazanin"/>
            <w:color w:val="111111"/>
            <w:sz w:val="22"/>
            <w:szCs w:val="22"/>
            <w:b w:val="0"/>
            <w:bCs w:val="0"/>
            <w:i w:val="0"/>
            <w:iCs w:val="0"/>
          </w:rPr>
          <w:t>6087- دیوان کوثری خوانساری أو شعره‏</w:t>
        </w:r>
        <w:r>
          <w:tab/>
        </w:r>
        <w:r>
          <w:fldChar w:fldCharType="begin"/>
        </w:r>
        <w:r>
          <w:instrText xml:space="preserve">PAGEREF 6762 \h</w:instrText>
        </w:r>
        <w:r>
          <w:fldChar w:fldCharType="end"/>
        </w:r>
      </w:hyperlink>
    </w:p>
    <w:p>
      <w:pPr>
        <w:tabs>
          <w:tab w:val="right" w:leader="dot" w:pos="9062"/>
        </w:tabs>
        <w:ind w:left="440"/>
      </w:pPr>
      <w:hyperlink w:anchor="_Toc6763" w:history="1">
        <w:r>
          <w:rPr>
            <w:rFonts w:ascii="IRNazanin" w:hAnsi="IRNazanin" w:eastAsia="IRNazanin" w:cs="IRNazanin"/>
            <w:color w:val="111111"/>
            <w:sz w:val="22"/>
            <w:szCs w:val="22"/>
            <w:b w:val="0"/>
            <w:bCs w:val="0"/>
            <w:i w:val="0"/>
            <w:iCs w:val="0"/>
          </w:rPr>
          <w:t>6088- دیوان کوثری همدانی أو شعره‏</w:t>
        </w:r>
        <w:r>
          <w:tab/>
        </w:r>
        <w:r>
          <w:fldChar w:fldCharType="begin"/>
        </w:r>
        <w:r>
          <w:instrText xml:space="preserve">PAGEREF 6763 \h</w:instrText>
        </w:r>
        <w:r>
          <w:fldChar w:fldCharType="end"/>
        </w:r>
      </w:hyperlink>
    </w:p>
    <w:p>
      <w:pPr>
        <w:tabs>
          <w:tab w:val="right" w:leader="dot" w:pos="9062"/>
        </w:tabs>
        <w:ind w:left="440"/>
      </w:pPr>
      <w:hyperlink w:anchor="_Toc6764" w:history="1">
        <w:r>
          <w:rPr>
            <w:rFonts w:ascii="IRNazanin" w:hAnsi="IRNazanin" w:eastAsia="IRNazanin" w:cs="IRNazanin"/>
            <w:color w:val="111111"/>
            <w:sz w:val="22"/>
            <w:szCs w:val="22"/>
            <w:b w:val="0"/>
            <w:bCs w:val="0"/>
            <w:i w:val="0"/>
            <w:iCs w:val="0"/>
          </w:rPr>
          <w:t>6089- دیوان کوثری همدانی‏</w:t>
        </w:r>
        <w:r>
          <w:tab/>
        </w:r>
        <w:r>
          <w:fldChar w:fldCharType="begin"/>
        </w:r>
        <w:r>
          <w:instrText xml:space="preserve">PAGEREF 6764 \h</w:instrText>
        </w:r>
        <w:r>
          <w:fldChar w:fldCharType="end"/>
        </w:r>
      </w:hyperlink>
    </w:p>
    <w:p>
      <w:pPr>
        <w:tabs>
          <w:tab w:val="right" w:leader="dot" w:pos="9062"/>
        </w:tabs>
        <w:ind w:left="440"/>
      </w:pPr>
      <w:hyperlink w:anchor="_Toc6765" w:history="1">
        <w:r>
          <w:rPr>
            <w:rFonts w:ascii="IRNazanin" w:hAnsi="IRNazanin" w:eastAsia="IRNazanin" w:cs="IRNazanin"/>
            <w:color w:val="111111"/>
            <w:sz w:val="22"/>
            <w:szCs w:val="22"/>
            <w:b w:val="0"/>
            <w:bCs w:val="0"/>
            <w:i w:val="0"/>
            <w:iCs w:val="0"/>
          </w:rPr>
          <w:t>6090- دیوان کوچک بیگ أو شعره‏</w:t>
        </w:r>
        <w:r>
          <w:tab/>
        </w:r>
        <w:r>
          <w:fldChar w:fldCharType="begin"/>
        </w:r>
        <w:r>
          <w:instrText xml:space="preserve">PAGEREF 6765 \h</w:instrText>
        </w:r>
        <w:r>
          <w:fldChar w:fldCharType="end"/>
        </w:r>
      </w:hyperlink>
    </w:p>
    <w:p>
      <w:pPr>
        <w:tabs>
          <w:tab w:val="right" w:leader="dot" w:pos="9062"/>
        </w:tabs>
        <w:ind w:left="440"/>
      </w:pPr>
      <w:hyperlink w:anchor="_Toc6766" w:history="1">
        <w:r>
          <w:rPr>
            <w:rFonts w:ascii="IRNazanin" w:hAnsi="IRNazanin" w:eastAsia="IRNazanin" w:cs="IRNazanin"/>
            <w:color w:val="111111"/>
            <w:sz w:val="22"/>
            <w:szCs w:val="22"/>
            <w:b w:val="0"/>
            <w:bCs w:val="0"/>
            <w:i w:val="0"/>
            <w:iCs w:val="0"/>
          </w:rPr>
          <w:t>6091- دیوان کوچک علی أردستانی أو شعره‏</w:t>
        </w:r>
        <w:r>
          <w:tab/>
        </w:r>
        <w:r>
          <w:fldChar w:fldCharType="begin"/>
        </w:r>
        <w:r>
          <w:instrText xml:space="preserve">PAGEREF 6766 \h</w:instrText>
        </w:r>
        <w:r>
          <w:fldChar w:fldCharType="end"/>
        </w:r>
      </w:hyperlink>
    </w:p>
    <w:p>
      <w:pPr>
        <w:tabs>
          <w:tab w:val="right" w:leader="dot" w:pos="9062"/>
        </w:tabs>
        <w:ind w:left="440"/>
      </w:pPr>
      <w:hyperlink w:anchor="_Toc6767" w:history="1">
        <w:r>
          <w:rPr>
            <w:rFonts w:ascii="IRNazanin" w:hAnsi="IRNazanin" w:eastAsia="IRNazanin" w:cs="IRNazanin"/>
            <w:color w:val="111111"/>
            <w:sz w:val="22"/>
            <w:szCs w:val="22"/>
            <w:b w:val="0"/>
            <w:bCs w:val="0"/>
            <w:i w:val="0"/>
            <w:iCs w:val="0"/>
          </w:rPr>
          <w:t>6092- دیوان کوراوغلی‏</w:t>
        </w:r>
        <w:r>
          <w:tab/>
        </w:r>
        <w:r>
          <w:fldChar w:fldCharType="begin"/>
        </w:r>
        <w:r>
          <w:instrText xml:space="preserve">PAGEREF 6767 \h</w:instrText>
        </w:r>
        <w:r>
          <w:fldChar w:fldCharType="end"/>
        </w:r>
      </w:hyperlink>
    </w:p>
    <w:p>
      <w:pPr>
        <w:tabs>
          <w:tab w:val="right" w:leader="dot" w:pos="9062"/>
        </w:tabs>
        <w:ind w:left="440"/>
      </w:pPr>
      <w:hyperlink w:anchor="_Toc6768" w:history="1">
        <w:r>
          <w:rPr>
            <w:rFonts w:ascii="IRNazanin" w:hAnsi="IRNazanin" w:eastAsia="IRNazanin" w:cs="IRNazanin"/>
            <w:color w:val="111111"/>
            <w:sz w:val="22"/>
            <w:szCs w:val="22"/>
            <w:b w:val="0"/>
            <w:bCs w:val="0"/>
            <w:i w:val="0"/>
            <w:iCs w:val="0"/>
          </w:rPr>
          <w:t>6093- دیوان کورلطیف أو شعره‏</w:t>
        </w:r>
        <w:r>
          <w:tab/>
        </w:r>
        <w:r>
          <w:fldChar w:fldCharType="begin"/>
        </w:r>
        <w:r>
          <w:instrText xml:space="preserve">PAGEREF 6768 \h</w:instrText>
        </w:r>
        <w:r>
          <w:fldChar w:fldCharType="end"/>
        </w:r>
      </w:hyperlink>
    </w:p>
    <w:p>
      <w:pPr>
        <w:tabs>
          <w:tab w:val="right" w:leader="dot" w:pos="9062"/>
        </w:tabs>
        <w:ind w:left="440"/>
      </w:pPr>
      <w:hyperlink w:anchor="_Toc6769" w:history="1">
        <w:r>
          <w:rPr>
            <w:rFonts w:ascii="IRNazanin" w:hAnsi="IRNazanin" w:eastAsia="IRNazanin" w:cs="IRNazanin"/>
            <w:color w:val="111111"/>
            <w:sz w:val="22"/>
            <w:szCs w:val="22"/>
            <w:b w:val="0"/>
            <w:bCs w:val="0"/>
            <w:i w:val="0"/>
            <w:iCs w:val="0"/>
          </w:rPr>
          <w:t>دیوان کوسج کاشی‏</w:t>
        </w:r>
        <w:r>
          <w:tab/>
        </w:r>
        <w:r>
          <w:fldChar w:fldCharType="begin"/>
        </w:r>
        <w:r>
          <w:instrText xml:space="preserve">PAGEREF 6769 \h</w:instrText>
        </w:r>
        <w:r>
          <w:fldChar w:fldCharType="end"/>
        </w:r>
      </w:hyperlink>
    </w:p>
    <w:p>
      <w:pPr>
        <w:tabs>
          <w:tab w:val="right" w:leader="dot" w:pos="9062"/>
        </w:tabs>
        <w:ind w:left="440"/>
      </w:pPr>
      <w:hyperlink w:anchor="_Toc6770" w:history="1">
        <w:r>
          <w:rPr>
            <w:rFonts w:ascii="IRNazanin" w:hAnsi="IRNazanin" w:eastAsia="IRNazanin" w:cs="IRNazanin"/>
            <w:color w:val="111111"/>
            <w:sz w:val="22"/>
            <w:szCs w:val="22"/>
            <w:b w:val="0"/>
            <w:bCs w:val="0"/>
            <w:i w:val="0"/>
            <w:iCs w:val="0"/>
          </w:rPr>
          <w:t>6094- دیوان کوشککی قاینی أو شعره‏</w:t>
        </w:r>
        <w:r>
          <w:tab/>
        </w:r>
        <w:r>
          <w:fldChar w:fldCharType="begin"/>
        </w:r>
        <w:r>
          <w:instrText xml:space="preserve">PAGEREF 6770 \h</w:instrText>
        </w:r>
        <w:r>
          <w:fldChar w:fldCharType="end"/>
        </w:r>
      </w:hyperlink>
    </w:p>
    <w:p>
      <w:pPr>
        <w:tabs>
          <w:tab w:val="right" w:leader="dot" w:pos="9062"/>
        </w:tabs>
        <w:ind w:left="440"/>
      </w:pPr>
      <w:hyperlink w:anchor="_Toc6771" w:history="1">
        <w:r>
          <w:rPr>
            <w:rFonts w:ascii="IRNazanin" w:hAnsi="IRNazanin" w:eastAsia="IRNazanin" w:cs="IRNazanin"/>
            <w:color w:val="111111"/>
            <w:sz w:val="22"/>
            <w:szCs w:val="22"/>
            <w:b w:val="0"/>
            <w:bCs w:val="0"/>
            <w:i w:val="0"/>
            <w:iCs w:val="0"/>
          </w:rPr>
          <w:t>دیوان کوکب أسترآبادی‏</w:t>
        </w:r>
        <w:r>
          <w:tab/>
        </w:r>
        <w:r>
          <w:fldChar w:fldCharType="begin"/>
        </w:r>
        <w:r>
          <w:instrText xml:space="preserve">PAGEREF 6771 \h</w:instrText>
        </w:r>
        <w:r>
          <w:fldChar w:fldCharType="end"/>
        </w:r>
      </w:hyperlink>
    </w:p>
    <w:p>
      <w:pPr>
        <w:tabs>
          <w:tab w:val="right" w:leader="dot" w:pos="9062"/>
        </w:tabs>
        <w:ind w:left="440"/>
      </w:pPr>
      <w:hyperlink w:anchor="_Toc6772" w:history="1">
        <w:r>
          <w:rPr>
            <w:rFonts w:ascii="IRNazanin" w:hAnsi="IRNazanin" w:eastAsia="IRNazanin" w:cs="IRNazanin"/>
            <w:color w:val="111111"/>
            <w:sz w:val="22"/>
            <w:szCs w:val="22"/>
            <w:b w:val="0"/>
            <w:bCs w:val="0"/>
            <w:i w:val="0"/>
            <w:iCs w:val="0"/>
          </w:rPr>
          <w:t>6095- دیوان کوکب باغبان‏باشی أو شعره‏</w:t>
        </w:r>
        <w:r>
          <w:tab/>
        </w:r>
        <w:r>
          <w:fldChar w:fldCharType="begin"/>
        </w:r>
        <w:r>
          <w:instrText xml:space="preserve">PAGEREF 6772 \h</w:instrText>
        </w:r>
        <w:r>
          <w:fldChar w:fldCharType="end"/>
        </w:r>
      </w:hyperlink>
    </w:p>
    <w:p>
      <w:pPr>
        <w:tabs>
          <w:tab w:val="right" w:leader="dot" w:pos="9062"/>
        </w:tabs>
        <w:ind w:left="440"/>
      </w:pPr>
      <w:hyperlink w:anchor="_Toc6773" w:history="1">
        <w:r>
          <w:rPr>
            <w:rFonts w:ascii="IRNazanin" w:hAnsi="IRNazanin" w:eastAsia="IRNazanin" w:cs="IRNazanin"/>
            <w:color w:val="111111"/>
            <w:sz w:val="22"/>
            <w:szCs w:val="22"/>
            <w:b w:val="0"/>
            <w:bCs w:val="0"/>
            <w:i w:val="0"/>
            <w:iCs w:val="0"/>
          </w:rPr>
          <w:t>دیوان کوکب خراسانی‏</w:t>
        </w:r>
        <w:r>
          <w:tab/>
        </w:r>
        <w:r>
          <w:fldChar w:fldCharType="begin"/>
        </w:r>
        <w:r>
          <w:instrText xml:space="preserve">PAGEREF 6773 \h</w:instrText>
        </w:r>
        <w:r>
          <w:fldChar w:fldCharType="end"/>
        </w:r>
      </w:hyperlink>
    </w:p>
    <w:p>
      <w:pPr>
        <w:tabs>
          <w:tab w:val="right" w:leader="dot" w:pos="9062"/>
        </w:tabs>
        <w:ind w:left="440"/>
      </w:pPr>
      <w:hyperlink w:anchor="_Toc6774" w:history="1">
        <w:r>
          <w:rPr>
            <w:rFonts w:ascii="IRNazanin" w:hAnsi="IRNazanin" w:eastAsia="IRNazanin" w:cs="IRNazanin"/>
            <w:color w:val="111111"/>
            <w:sz w:val="22"/>
            <w:szCs w:val="22"/>
            <w:b w:val="0"/>
            <w:bCs w:val="0"/>
            <w:i w:val="0"/>
            <w:iCs w:val="0"/>
          </w:rPr>
          <w:t>6096- دیوان کوکب خراسانی‏</w:t>
        </w:r>
        <w:r>
          <w:tab/>
        </w:r>
        <w:r>
          <w:fldChar w:fldCharType="begin"/>
        </w:r>
        <w:r>
          <w:instrText xml:space="preserve">PAGEREF 6774 \h</w:instrText>
        </w:r>
        <w:r>
          <w:fldChar w:fldCharType="end"/>
        </w:r>
      </w:hyperlink>
    </w:p>
    <w:p>
      <w:pPr>
        <w:tabs>
          <w:tab w:val="right" w:leader="dot" w:pos="9062"/>
        </w:tabs>
        <w:ind w:left="440"/>
      </w:pPr>
      <w:hyperlink w:anchor="_Toc6775" w:history="1">
        <w:r>
          <w:rPr>
            <w:rFonts w:ascii="IRNazanin" w:hAnsi="IRNazanin" w:eastAsia="IRNazanin" w:cs="IRNazanin"/>
            <w:color w:val="111111"/>
            <w:sz w:val="22"/>
            <w:szCs w:val="22"/>
            <w:b w:val="0"/>
            <w:bCs w:val="0"/>
            <w:i w:val="0"/>
            <w:iCs w:val="0"/>
          </w:rPr>
          <w:t>6097- دیوان کوکب شیرازی‏</w:t>
        </w:r>
        <w:r>
          <w:tab/>
        </w:r>
        <w:r>
          <w:fldChar w:fldCharType="begin"/>
        </w:r>
        <w:r>
          <w:instrText xml:space="preserve">PAGEREF 6775 \h</w:instrText>
        </w:r>
        <w:r>
          <w:fldChar w:fldCharType="end"/>
        </w:r>
      </w:hyperlink>
    </w:p>
    <w:p>
      <w:pPr>
        <w:tabs>
          <w:tab w:val="right" w:leader="dot" w:pos="9062"/>
        </w:tabs>
        <w:ind w:left="440"/>
      </w:pPr>
      <w:hyperlink w:anchor="_Toc6776" w:history="1">
        <w:r>
          <w:rPr>
            <w:rFonts w:ascii="IRNazanin" w:hAnsi="IRNazanin" w:eastAsia="IRNazanin" w:cs="IRNazanin"/>
            <w:color w:val="111111"/>
            <w:sz w:val="22"/>
            <w:szCs w:val="22"/>
            <w:b w:val="0"/>
            <w:bCs w:val="0"/>
            <w:i w:val="0"/>
            <w:iCs w:val="0"/>
          </w:rPr>
          <w:t>6098- دیوان کوکب کاکوروی أو شعره‏</w:t>
        </w:r>
        <w:r>
          <w:tab/>
        </w:r>
        <w:r>
          <w:fldChar w:fldCharType="begin"/>
        </w:r>
        <w:r>
          <w:instrText xml:space="preserve">PAGEREF 6776 \h</w:instrText>
        </w:r>
        <w:r>
          <w:fldChar w:fldCharType="end"/>
        </w:r>
      </w:hyperlink>
    </w:p>
    <w:p>
      <w:pPr>
        <w:tabs>
          <w:tab w:val="right" w:leader="dot" w:pos="9062"/>
        </w:tabs>
        <w:ind w:left="440"/>
      </w:pPr>
      <w:hyperlink w:anchor="_Toc6777" w:history="1">
        <w:r>
          <w:rPr>
            <w:rFonts w:ascii="IRNazanin" w:hAnsi="IRNazanin" w:eastAsia="IRNazanin" w:cs="IRNazanin"/>
            <w:color w:val="111111"/>
            <w:sz w:val="22"/>
            <w:szCs w:val="22"/>
            <w:b w:val="0"/>
            <w:bCs w:val="0"/>
            <w:i w:val="0"/>
            <w:iCs w:val="0"/>
          </w:rPr>
          <w:t>6099- دیوان کوکب مازندرانی أو شعره‏</w:t>
        </w:r>
        <w:r>
          <w:tab/>
        </w:r>
        <w:r>
          <w:fldChar w:fldCharType="begin"/>
        </w:r>
        <w:r>
          <w:instrText xml:space="preserve">PAGEREF 6777 \h</w:instrText>
        </w:r>
        <w:r>
          <w:fldChar w:fldCharType="end"/>
        </w:r>
      </w:hyperlink>
    </w:p>
    <w:p>
      <w:pPr>
        <w:tabs>
          <w:tab w:val="right" w:leader="dot" w:pos="9062"/>
        </w:tabs>
        <w:ind w:left="440"/>
      </w:pPr>
      <w:hyperlink w:anchor="_Toc6778" w:history="1">
        <w:r>
          <w:rPr>
            <w:rFonts w:ascii="IRNazanin" w:hAnsi="IRNazanin" w:eastAsia="IRNazanin" w:cs="IRNazanin"/>
            <w:color w:val="111111"/>
            <w:sz w:val="22"/>
            <w:szCs w:val="22"/>
            <w:b w:val="0"/>
            <w:bCs w:val="0"/>
            <w:i w:val="0"/>
            <w:iCs w:val="0"/>
          </w:rPr>
          <w:t>دیوان کوکب مازندرانی‏</w:t>
        </w:r>
        <w:r>
          <w:tab/>
        </w:r>
        <w:r>
          <w:fldChar w:fldCharType="begin"/>
        </w:r>
        <w:r>
          <w:instrText xml:space="preserve">PAGEREF 6778 \h</w:instrText>
        </w:r>
        <w:r>
          <w:fldChar w:fldCharType="end"/>
        </w:r>
      </w:hyperlink>
    </w:p>
    <w:p>
      <w:pPr>
        <w:tabs>
          <w:tab w:val="right" w:leader="dot" w:pos="9062"/>
        </w:tabs>
        <w:ind w:left="440"/>
      </w:pPr>
      <w:hyperlink w:anchor="_Toc6779" w:history="1">
        <w:r>
          <w:rPr>
            <w:rFonts w:ascii="IRNazanin" w:hAnsi="IRNazanin" w:eastAsia="IRNazanin" w:cs="IRNazanin"/>
            <w:color w:val="111111"/>
            <w:sz w:val="22"/>
            <w:szCs w:val="22"/>
            <w:b w:val="0"/>
            <w:bCs w:val="0"/>
            <w:i w:val="0"/>
            <w:iCs w:val="0"/>
          </w:rPr>
          <w:t>6100- دیوان کوکب یزدی أو شعره‏</w:t>
        </w:r>
        <w:r>
          <w:tab/>
        </w:r>
        <w:r>
          <w:fldChar w:fldCharType="begin"/>
        </w:r>
        <w:r>
          <w:instrText xml:space="preserve">PAGEREF 6779 \h</w:instrText>
        </w:r>
        <w:r>
          <w:fldChar w:fldCharType="end"/>
        </w:r>
      </w:hyperlink>
    </w:p>
    <w:p>
      <w:pPr>
        <w:tabs>
          <w:tab w:val="right" w:leader="dot" w:pos="9062"/>
        </w:tabs>
        <w:ind w:left="440"/>
      </w:pPr>
      <w:hyperlink w:anchor="_Toc6780" w:history="1">
        <w:r>
          <w:rPr>
            <w:rFonts w:ascii="IRNazanin" w:hAnsi="IRNazanin" w:eastAsia="IRNazanin" w:cs="IRNazanin"/>
            <w:color w:val="111111"/>
            <w:sz w:val="22"/>
            <w:szCs w:val="22"/>
            <w:b w:val="0"/>
            <w:bCs w:val="0"/>
            <w:i w:val="0"/>
            <w:iCs w:val="0"/>
          </w:rPr>
          <w:t>6101- دیوان کوکبی بخاری أو شعره‏</w:t>
        </w:r>
        <w:r>
          <w:tab/>
        </w:r>
        <w:r>
          <w:fldChar w:fldCharType="begin"/>
        </w:r>
        <w:r>
          <w:instrText xml:space="preserve">PAGEREF 6780 \h</w:instrText>
        </w:r>
        <w:r>
          <w:fldChar w:fldCharType="end"/>
        </w:r>
      </w:hyperlink>
    </w:p>
    <w:p>
      <w:pPr>
        <w:tabs>
          <w:tab w:val="right" w:leader="dot" w:pos="9062"/>
        </w:tabs>
        <w:ind w:left="440"/>
      </w:pPr>
      <w:hyperlink w:anchor="_Toc6781" w:history="1">
        <w:r>
          <w:rPr>
            <w:rFonts w:ascii="IRNazanin" w:hAnsi="IRNazanin" w:eastAsia="IRNazanin" w:cs="IRNazanin"/>
            <w:color w:val="111111"/>
            <w:sz w:val="22"/>
            <w:szCs w:val="22"/>
            <w:b w:val="0"/>
            <w:bCs w:val="0"/>
            <w:i w:val="0"/>
            <w:iCs w:val="0"/>
          </w:rPr>
          <w:t>6102- دیوان کوکبی ترک أو شعره‏</w:t>
        </w:r>
        <w:r>
          <w:tab/>
        </w:r>
        <w:r>
          <w:fldChar w:fldCharType="begin"/>
        </w:r>
        <w:r>
          <w:instrText xml:space="preserve">PAGEREF 6781 \h</w:instrText>
        </w:r>
        <w:r>
          <w:fldChar w:fldCharType="end"/>
        </w:r>
      </w:hyperlink>
    </w:p>
    <w:p>
      <w:pPr>
        <w:tabs>
          <w:tab w:val="right" w:leader="dot" w:pos="9062"/>
        </w:tabs>
        <w:ind w:left="440"/>
      </w:pPr>
      <w:hyperlink w:anchor="_Toc6782" w:history="1">
        <w:r>
          <w:rPr>
            <w:rFonts w:ascii="IRNazanin" w:hAnsi="IRNazanin" w:eastAsia="IRNazanin" w:cs="IRNazanin"/>
            <w:color w:val="111111"/>
            <w:sz w:val="22"/>
            <w:szCs w:val="22"/>
            <w:b w:val="0"/>
            <w:bCs w:val="0"/>
            <w:i w:val="0"/>
            <w:iCs w:val="0"/>
          </w:rPr>
          <w:t>6103- دیوان کوکبی مروزی أو شعره‏</w:t>
        </w:r>
        <w:r>
          <w:tab/>
        </w:r>
        <w:r>
          <w:fldChar w:fldCharType="begin"/>
        </w:r>
        <w:r>
          <w:instrText xml:space="preserve">PAGEREF 6782 \h</w:instrText>
        </w:r>
        <w:r>
          <w:fldChar w:fldCharType="end"/>
        </w:r>
      </w:hyperlink>
    </w:p>
    <w:p>
      <w:pPr>
        <w:tabs>
          <w:tab w:val="right" w:leader="dot" w:pos="9062"/>
        </w:tabs>
        <w:ind w:left="440"/>
      </w:pPr>
      <w:hyperlink w:anchor="_Toc6783" w:history="1">
        <w:r>
          <w:rPr>
            <w:rFonts w:ascii="IRNazanin" w:hAnsi="IRNazanin" w:eastAsia="IRNazanin" w:cs="IRNazanin"/>
            <w:color w:val="111111"/>
            <w:sz w:val="22"/>
            <w:szCs w:val="22"/>
            <w:b w:val="0"/>
            <w:bCs w:val="0"/>
            <w:i w:val="0"/>
            <w:iCs w:val="0"/>
          </w:rPr>
          <w:t>6104- دیوان کوکبی مشهدی أو شعره‏</w:t>
        </w:r>
        <w:r>
          <w:tab/>
        </w:r>
        <w:r>
          <w:fldChar w:fldCharType="begin"/>
        </w:r>
        <w:r>
          <w:instrText xml:space="preserve">PAGEREF 6783 \h</w:instrText>
        </w:r>
        <w:r>
          <w:fldChar w:fldCharType="end"/>
        </w:r>
      </w:hyperlink>
    </w:p>
    <w:p>
      <w:pPr>
        <w:tabs>
          <w:tab w:val="right" w:leader="dot" w:pos="9062"/>
        </w:tabs>
        <w:ind w:left="440"/>
      </w:pPr>
      <w:hyperlink w:anchor="_Toc6784" w:history="1">
        <w:r>
          <w:rPr>
            <w:rFonts w:ascii="IRNazanin" w:hAnsi="IRNazanin" w:eastAsia="IRNazanin" w:cs="IRNazanin"/>
            <w:color w:val="111111"/>
            <w:sz w:val="22"/>
            <w:szCs w:val="22"/>
            <w:b w:val="0"/>
            <w:bCs w:val="0"/>
            <w:i w:val="0"/>
            <w:iCs w:val="0"/>
          </w:rPr>
          <w:t>6105- دیوان کوکبی منجم أو شعره‏</w:t>
        </w:r>
        <w:r>
          <w:tab/>
        </w:r>
        <w:r>
          <w:fldChar w:fldCharType="begin"/>
        </w:r>
        <w:r>
          <w:instrText xml:space="preserve">PAGEREF 6784 \h</w:instrText>
        </w:r>
        <w:r>
          <w:fldChar w:fldCharType="end"/>
        </w:r>
      </w:hyperlink>
    </w:p>
    <w:p>
      <w:pPr>
        <w:tabs>
          <w:tab w:val="right" w:leader="dot" w:pos="9062"/>
        </w:tabs>
        <w:ind w:left="440"/>
      </w:pPr>
      <w:hyperlink w:anchor="_Toc6785" w:history="1">
        <w:r>
          <w:rPr>
            <w:rFonts w:ascii="IRNazanin" w:hAnsi="IRNazanin" w:eastAsia="IRNazanin" w:cs="IRNazanin"/>
            <w:color w:val="111111"/>
            <w:sz w:val="22"/>
            <w:szCs w:val="22"/>
            <w:b w:val="0"/>
            <w:bCs w:val="0"/>
            <w:i w:val="0"/>
            <w:iCs w:val="0"/>
          </w:rPr>
          <w:t>6106- دیوان کوهساری طبری أو شعره‏</w:t>
        </w:r>
        <w:r>
          <w:tab/>
        </w:r>
        <w:r>
          <w:fldChar w:fldCharType="begin"/>
        </w:r>
        <w:r>
          <w:instrText xml:space="preserve">PAGEREF 6785 \h</w:instrText>
        </w:r>
        <w:r>
          <w:fldChar w:fldCharType="end"/>
        </w:r>
      </w:hyperlink>
    </w:p>
    <w:p>
      <w:pPr>
        <w:tabs>
          <w:tab w:val="right" w:leader="dot" w:pos="9062"/>
        </w:tabs>
        <w:ind w:left="440"/>
      </w:pPr>
      <w:hyperlink w:anchor="_Toc6786" w:history="1">
        <w:r>
          <w:rPr>
            <w:rFonts w:ascii="IRNazanin" w:hAnsi="IRNazanin" w:eastAsia="IRNazanin" w:cs="IRNazanin"/>
            <w:color w:val="111111"/>
            <w:sz w:val="22"/>
            <w:szCs w:val="22"/>
            <w:b w:val="0"/>
            <w:bCs w:val="0"/>
            <w:i w:val="0"/>
            <w:iCs w:val="0"/>
          </w:rPr>
          <w:t>دیوان کوهی شیرازی‏</w:t>
        </w:r>
        <w:r>
          <w:tab/>
        </w:r>
        <w:r>
          <w:fldChar w:fldCharType="begin"/>
        </w:r>
        <w:r>
          <w:instrText xml:space="preserve">PAGEREF 6786 \h</w:instrText>
        </w:r>
        <w:r>
          <w:fldChar w:fldCharType="end"/>
        </w:r>
      </w:hyperlink>
    </w:p>
    <w:p>
      <w:pPr>
        <w:tabs>
          <w:tab w:val="right" w:leader="dot" w:pos="9062"/>
        </w:tabs>
        <w:ind w:left="440"/>
      </w:pPr>
      <w:hyperlink w:anchor="_Toc6787" w:history="1">
        <w:r>
          <w:rPr>
            <w:rFonts w:ascii="IRNazanin" w:hAnsi="IRNazanin" w:eastAsia="IRNazanin" w:cs="IRNazanin"/>
            <w:color w:val="111111"/>
            <w:sz w:val="22"/>
            <w:szCs w:val="22"/>
            <w:b w:val="0"/>
            <w:bCs w:val="0"/>
            <w:i w:val="0"/>
            <w:iCs w:val="0"/>
          </w:rPr>
          <w:t>6107- دیوان کوهی کرمانی‏</w:t>
        </w:r>
        <w:r>
          <w:tab/>
        </w:r>
        <w:r>
          <w:fldChar w:fldCharType="begin"/>
        </w:r>
        <w:r>
          <w:instrText xml:space="preserve">PAGEREF 6787 \h</w:instrText>
        </w:r>
        <w:r>
          <w:fldChar w:fldCharType="end"/>
        </w:r>
      </w:hyperlink>
    </w:p>
    <w:p>
      <w:pPr>
        <w:tabs>
          <w:tab w:val="right" w:leader="dot" w:pos="9062"/>
        </w:tabs>
        <w:ind w:left="440"/>
      </w:pPr>
      <w:hyperlink w:anchor="_Toc6788" w:history="1">
        <w:r>
          <w:rPr>
            <w:rFonts w:ascii="IRNazanin" w:hAnsi="IRNazanin" w:eastAsia="IRNazanin" w:cs="IRNazanin"/>
            <w:color w:val="111111"/>
            <w:sz w:val="22"/>
            <w:szCs w:val="22"/>
            <w:b w:val="0"/>
            <w:bCs w:val="0"/>
            <w:i w:val="0"/>
            <w:iCs w:val="0"/>
          </w:rPr>
          <w:t>6108- دیوان کهتر</w:t>
        </w:r>
        <w:r>
          <w:tab/>
        </w:r>
        <w:r>
          <w:fldChar w:fldCharType="begin"/>
        </w:r>
        <w:r>
          <w:instrText xml:space="preserve">PAGEREF 6788 \h</w:instrText>
        </w:r>
        <w:r>
          <w:fldChar w:fldCharType="end"/>
        </w:r>
      </w:hyperlink>
    </w:p>
    <w:p>
      <w:pPr>
        <w:tabs>
          <w:tab w:val="right" w:leader="dot" w:pos="9062"/>
        </w:tabs>
        <w:ind w:left="440"/>
      </w:pPr>
      <w:hyperlink w:anchor="_Toc6789" w:history="1">
        <w:r>
          <w:rPr>
            <w:rFonts w:ascii="IRNazanin" w:hAnsi="IRNazanin" w:eastAsia="IRNazanin" w:cs="IRNazanin"/>
            <w:color w:val="111111"/>
            <w:sz w:val="22"/>
            <w:szCs w:val="22"/>
            <w:b w:val="0"/>
            <w:bCs w:val="0"/>
            <w:i w:val="0"/>
            <w:iCs w:val="0"/>
          </w:rPr>
          <w:t>6109- دیوان کیجیک میرزا أو شعره‏</w:t>
        </w:r>
        <w:r>
          <w:tab/>
        </w:r>
        <w:r>
          <w:fldChar w:fldCharType="begin"/>
        </w:r>
        <w:r>
          <w:instrText xml:space="preserve">PAGEREF 6789 \h</w:instrText>
        </w:r>
        <w:r>
          <w:fldChar w:fldCharType="end"/>
        </w:r>
      </w:hyperlink>
    </w:p>
    <w:p>
      <w:pPr>
        <w:tabs>
          <w:tab w:val="right" w:leader="dot" w:pos="9062"/>
        </w:tabs>
        <w:ind w:left="440"/>
      </w:pPr>
      <w:hyperlink w:anchor="_Toc6790" w:history="1">
        <w:r>
          <w:rPr>
            <w:rFonts w:ascii="IRNazanin" w:hAnsi="IRNazanin" w:eastAsia="IRNazanin" w:cs="IRNazanin"/>
            <w:color w:val="111111"/>
            <w:sz w:val="22"/>
            <w:szCs w:val="22"/>
            <w:b w:val="0"/>
            <w:bCs w:val="0"/>
            <w:i w:val="0"/>
            <w:iCs w:val="0"/>
          </w:rPr>
          <w:t>6110- دیوان کیخسرو خان أو شعره‏</w:t>
        </w:r>
        <w:r>
          <w:tab/>
        </w:r>
        <w:r>
          <w:fldChar w:fldCharType="begin"/>
        </w:r>
        <w:r>
          <w:instrText xml:space="preserve">PAGEREF 6790 \h</w:instrText>
        </w:r>
        <w:r>
          <w:fldChar w:fldCharType="end"/>
        </w:r>
      </w:hyperlink>
    </w:p>
    <w:p>
      <w:pPr>
        <w:tabs>
          <w:tab w:val="right" w:leader="dot" w:pos="9062"/>
        </w:tabs>
        <w:ind w:left="440"/>
      </w:pPr>
      <w:hyperlink w:anchor="_Toc6791" w:history="1">
        <w:r>
          <w:rPr>
            <w:rFonts w:ascii="IRNazanin" w:hAnsi="IRNazanin" w:eastAsia="IRNazanin" w:cs="IRNazanin"/>
            <w:color w:val="111111"/>
            <w:sz w:val="22"/>
            <w:szCs w:val="22"/>
            <w:b w:val="0"/>
            <w:bCs w:val="0"/>
            <w:i w:val="0"/>
            <w:iCs w:val="0"/>
          </w:rPr>
          <w:t>6111- دیوان کیرنگی أو شعره‏</w:t>
        </w:r>
        <w:r>
          <w:tab/>
        </w:r>
        <w:r>
          <w:fldChar w:fldCharType="begin"/>
        </w:r>
        <w:r>
          <w:instrText xml:space="preserve">PAGEREF 6791 \h</w:instrText>
        </w:r>
        <w:r>
          <w:fldChar w:fldCharType="end"/>
        </w:r>
      </w:hyperlink>
    </w:p>
    <w:p>
      <w:pPr>
        <w:tabs>
          <w:tab w:val="right" w:leader="dot" w:pos="9062"/>
        </w:tabs>
        <w:ind w:left="440"/>
      </w:pPr>
      <w:hyperlink w:anchor="_Toc6792" w:history="1">
        <w:r>
          <w:rPr>
            <w:rFonts w:ascii="IRNazanin" w:hAnsi="IRNazanin" w:eastAsia="IRNazanin" w:cs="IRNazanin"/>
            <w:color w:val="111111"/>
            <w:sz w:val="22"/>
            <w:szCs w:val="22"/>
            <w:b w:val="0"/>
            <w:bCs w:val="0"/>
            <w:i w:val="0"/>
            <w:iCs w:val="0"/>
          </w:rPr>
          <w:t>6112- دیوان کیفی سیستانی‏</w:t>
        </w:r>
        <w:r>
          <w:tab/>
        </w:r>
        <w:r>
          <w:fldChar w:fldCharType="begin"/>
        </w:r>
        <w:r>
          <w:instrText xml:space="preserve">PAGEREF 6792 \h</w:instrText>
        </w:r>
        <w:r>
          <w:fldChar w:fldCharType="end"/>
        </w:r>
      </w:hyperlink>
    </w:p>
    <w:p>
      <w:pPr>
        <w:tabs>
          <w:tab w:val="right" w:leader="dot" w:pos="9062"/>
        </w:tabs>
        <w:ind w:left="440"/>
      </w:pPr>
      <w:hyperlink w:anchor="_Toc6793" w:history="1">
        <w:r>
          <w:rPr>
            <w:rFonts w:ascii="IRNazanin" w:hAnsi="IRNazanin" w:eastAsia="IRNazanin" w:cs="IRNazanin"/>
            <w:color w:val="111111"/>
            <w:sz w:val="22"/>
            <w:szCs w:val="22"/>
            <w:b w:val="0"/>
            <w:bCs w:val="0"/>
            <w:i w:val="0"/>
            <w:iCs w:val="0"/>
          </w:rPr>
          <w:t>دیوان کیکاووس‏</w:t>
        </w:r>
        <w:r>
          <w:tab/>
        </w:r>
        <w:r>
          <w:fldChar w:fldCharType="begin"/>
        </w:r>
        <w:r>
          <w:instrText xml:space="preserve">PAGEREF 6793 \h</w:instrText>
        </w:r>
        <w:r>
          <w:fldChar w:fldCharType="end"/>
        </w:r>
      </w:hyperlink>
    </w:p>
    <w:p>
      <w:pPr>
        <w:tabs>
          <w:tab w:val="right" w:leader="dot" w:pos="9062"/>
        </w:tabs>
        <w:ind w:left="440"/>
      </w:pPr>
      <w:hyperlink w:anchor="_Toc6794" w:history="1">
        <w:r>
          <w:rPr>
            <w:rFonts w:ascii="IRNazanin" w:hAnsi="IRNazanin" w:eastAsia="IRNazanin" w:cs="IRNazanin"/>
            <w:color w:val="111111"/>
            <w:sz w:val="22"/>
            <w:szCs w:val="22"/>
            <w:b w:val="0"/>
            <w:bCs w:val="0"/>
            <w:i w:val="0"/>
            <w:iCs w:val="0"/>
          </w:rPr>
          <w:t>6113- دیوان کیوان‏</w:t>
        </w:r>
        <w:r>
          <w:tab/>
        </w:r>
        <w:r>
          <w:fldChar w:fldCharType="begin"/>
        </w:r>
        <w:r>
          <w:instrText xml:space="preserve">PAGEREF 6794 \h</w:instrText>
        </w:r>
        <w:r>
          <w:fldChar w:fldCharType="end"/>
        </w:r>
      </w:hyperlink>
    </w:p>
    <w:p>
      <w:pPr>
        <w:tabs>
          <w:tab w:val="right" w:leader="dot" w:pos="9062"/>
        </w:tabs>
        <w:ind w:left="440"/>
      </w:pPr>
      <w:hyperlink w:anchor="_Toc6795" w:history="1">
        <w:r>
          <w:rPr>
            <w:rFonts w:ascii="IRNazanin" w:hAnsi="IRNazanin" w:eastAsia="IRNazanin" w:cs="IRNazanin"/>
            <w:color w:val="111111"/>
            <w:sz w:val="22"/>
            <w:szCs w:val="22"/>
            <w:b w:val="0"/>
            <w:bCs w:val="0"/>
            <w:i w:val="0"/>
            <w:iCs w:val="0"/>
          </w:rPr>
          <w:t>6114- دیوان کیوان قزوینی أو شعره‏</w:t>
        </w:r>
        <w:r>
          <w:tab/>
        </w:r>
        <w:r>
          <w:fldChar w:fldCharType="begin"/>
        </w:r>
        <w:r>
          <w:instrText xml:space="preserve">PAGEREF 6795 \h</w:instrText>
        </w:r>
        <w:r>
          <w:fldChar w:fldCharType="end"/>
        </w:r>
      </w:hyperlink>
    </w:p>
    <w:p>
      <w:pPr>
        <w:tabs>
          <w:tab w:val="right" w:leader="dot" w:pos="9062"/>
        </w:tabs>
        <w:ind w:left="440"/>
      </w:pPr>
      <w:hyperlink w:anchor="_Toc6796" w:history="1">
        <w:r>
          <w:rPr>
            <w:rFonts w:ascii="IRNazanin" w:hAnsi="IRNazanin" w:eastAsia="IRNazanin" w:cs="IRNazanin"/>
            <w:color w:val="111111"/>
            <w:sz w:val="22"/>
            <w:szCs w:val="22"/>
            <w:b w:val="0"/>
            <w:bCs w:val="0"/>
            <w:i w:val="0"/>
            <w:iCs w:val="0"/>
          </w:rPr>
          <w:t>گ‏</w:t>
        </w:r>
        <w:r>
          <w:tab/>
        </w:r>
        <w:r>
          <w:fldChar w:fldCharType="begin"/>
        </w:r>
        <w:r>
          <w:instrText xml:space="preserve">PAGEREF 6796 \h</w:instrText>
        </w:r>
        <w:r>
          <w:fldChar w:fldCharType="end"/>
        </w:r>
      </w:hyperlink>
    </w:p>
    <w:p>
      <w:pPr>
        <w:tabs>
          <w:tab w:val="right" w:leader="dot" w:pos="9062"/>
        </w:tabs>
        <w:ind w:left="440"/>
      </w:pPr>
      <w:hyperlink w:anchor="_Toc6797" w:history="1">
        <w:r>
          <w:rPr>
            <w:rFonts w:ascii="IRNazanin" w:hAnsi="IRNazanin" w:eastAsia="IRNazanin" w:cs="IRNazanin"/>
            <w:color w:val="111111"/>
            <w:sz w:val="22"/>
            <w:szCs w:val="22"/>
            <w:b w:val="0"/>
            <w:bCs w:val="0"/>
            <w:i w:val="0"/>
            <w:iCs w:val="0"/>
          </w:rPr>
          <w:t>6115- دیوان گدا أو شعره‏</w:t>
        </w:r>
        <w:r>
          <w:tab/>
        </w:r>
        <w:r>
          <w:fldChar w:fldCharType="begin"/>
        </w:r>
        <w:r>
          <w:instrText xml:space="preserve">PAGEREF 6797 \h</w:instrText>
        </w:r>
        <w:r>
          <w:fldChar w:fldCharType="end"/>
        </w:r>
      </w:hyperlink>
    </w:p>
    <w:p>
      <w:pPr>
        <w:tabs>
          <w:tab w:val="right" w:leader="dot" w:pos="9062"/>
        </w:tabs>
        <w:ind w:left="440"/>
      </w:pPr>
      <w:hyperlink w:anchor="_Toc6798" w:history="1">
        <w:r>
          <w:rPr>
            <w:rFonts w:ascii="IRNazanin" w:hAnsi="IRNazanin" w:eastAsia="IRNazanin" w:cs="IRNazanin"/>
            <w:color w:val="111111"/>
            <w:sz w:val="22"/>
            <w:szCs w:val="22"/>
            <w:b w:val="0"/>
            <w:bCs w:val="0"/>
            <w:i w:val="0"/>
            <w:iCs w:val="0"/>
          </w:rPr>
          <w:t>6116- دیوان گدایی أو شعره‏</w:t>
        </w:r>
        <w:r>
          <w:tab/>
        </w:r>
        <w:r>
          <w:fldChar w:fldCharType="begin"/>
        </w:r>
        <w:r>
          <w:instrText xml:space="preserve">PAGEREF 6798 \h</w:instrText>
        </w:r>
        <w:r>
          <w:fldChar w:fldCharType="end"/>
        </w:r>
      </w:hyperlink>
    </w:p>
    <w:p>
      <w:pPr>
        <w:tabs>
          <w:tab w:val="right" w:leader="dot" w:pos="9062"/>
        </w:tabs>
        <w:ind w:left="440"/>
      </w:pPr>
      <w:hyperlink w:anchor="_Toc6799" w:history="1">
        <w:r>
          <w:rPr>
            <w:rFonts w:ascii="IRNazanin" w:hAnsi="IRNazanin" w:eastAsia="IRNazanin" w:cs="IRNazanin"/>
            <w:color w:val="111111"/>
            <w:sz w:val="22"/>
            <w:szCs w:val="22"/>
            <w:b w:val="0"/>
            <w:bCs w:val="0"/>
            <w:i w:val="0"/>
            <w:iCs w:val="0"/>
          </w:rPr>
          <w:t>6117- دیوان گرامی أصفهانی أو شعره‏</w:t>
        </w:r>
        <w:r>
          <w:tab/>
        </w:r>
        <w:r>
          <w:fldChar w:fldCharType="begin"/>
        </w:r>
        <w:r>
          <w:instrText xml:space="preserve">PAGEREF 6799 \h</w:instrText>
        </w:r>
        <w:r>
          <w:fldChar w:fldCharType="end"/>
        </w:r>
      </w:hyperlink>
    </w:p>
    <w:p>
      <w:pPr>
        <w:tabs>
          <w:tab w:val="right" w:leader="dot" w:pos="9062"/>
        </w:tabs>
        <w:ind w:left="440"/>
      </w:pPr>
      <w:hyperlink w:anchor="_Toc6800" w:history="1">
        <w:r>
          <w:rPr>
            <w:rFonts w:ascii="IRNazanin" w:hAnsi="IRNazanin" w:eastAsia="IRNazanin" w:cs="IRNazanin"/>
            <w:color w:val="111111"/>
            <w:sz w:val="22"/>
            <w:szCs w:val="22"/>
            <w:b w:val="0"/>
            <w:bCs w:val="0"/>
            <w:i w:val="0"/>
            <w:iCs w:val="0"/>
          </w:rPr>
          <w:t>6118- دیوان گرامی بغدادی أو شعره‏</w:t>
        </w:r>
        <w:r>
          <w:tab/>
        </w:r>
        <w:r>
          <w:fldChar w:fldCharType="begin"/>
        </w:r>
        <w:r>
          <w:instrText xml:space="preserve">PAGEREF 6800 \h</w:instrText>
        </w:r>
        <w:r>
          <w:fldChar w:fldCharType="end"/>
        </w:r>
      </w:hyperlink>
    </w:p>
    <w:p>
      <w:pPr>
        <w:tabs>
          <w:tab w:val="right" w:leader="dot" w:pos="9062"/>
        </w:tabs>
        <w:ind w:left="440"/>
      </w:pPr>
      <w:hyperlink w:anchor="_Toc6801" w:history="1">
        <w:r>
          <w:rPr>
            <w:rFonts w:ascii="IRNazanin" w:hAnsi="IRNazanin" w:eastAsia="IRNazanin" w:cs="IRNazanin"/>
            <w:color w:val="111111"/>
            <w:sz w:val="22"/>
            <w:szCs w:val="22"/>
            <w:b w:val="0"/>
            <w:bCs w:val="0"/>
            <w:i w:val="0"/>
            <w:iCs w:val="0"/>
          </w:rPr>
          <w:t>6119- دیوان گرامی تبریزی أو شعره‏</w:t>
        </w:r>
        <w:r>
          <w:tab/>
        </w:r>
        <w:r>
          <w:fldChar w:fldCharType="begin"/>
        </w:r>
        <w:r>
          <w:instrText xml:space="preserve">PAGEREF 6801 \h</w:instrText>
        </w:r>
        <w:r>
          <w:fldChar w:fldCharType="end"/>
        </w:r>
      </w:hyperlink>
    </w:p>
    <w:p>
      <w:pPr>
        <w:tabs>
          <w:tab w:val="right" w:leader="dot" w:pos="9062"/>
        </w:tabs>
        <w:ind w:left="440"/>
      </w:pPr>
      <w:hyperlink w:anchor="_Toc6802" w:history="1">
        <w:r>
          <w:rPr>
            <w:rFonts w:ascii="IRNazanin" w:hAnsi="IRNazanin" w:eastAsia="IRNazanin" w:cs="IRNazanin"/>
            <w:color w:val="111111"/>
            <w:sz w:val="22"/>
            <w:szCs w:val="22"/>
            <w:b w:val="0"/>
            <w:bCs w:val="0"/>
            <w:i w:val="0"/>
            <w:iCs w:val="0"/>
          </w:rPr>
          <w:t>6120- دیوان گرامی ترک أو شعره‏</w:t>
        </w:r>
        <w:r>
          <w:tab/>
        </w:r>
        <w:r>
          <w:fldChar w:fldCharType="begin"/>
        </w:r>
        <w:r>
          <w:instrText xml:space="preserve">PAGEREF 6802 \h</w:instrText>
        </w:r>
        <w:r>
          <w:fldChar w:fldCharType="end"/>
        </w:r>
      </w:hyperlink>
    </w:p>
    <w:p>
      <w:pPr>
        <w:tabs>
          <w:tab w:val="right" w:leader="dot" w:pos="9062"/>
        </w:tabs>
        <w:ind w:left="440"/>
      </w:pPr>
      <w:hyperlink w:anchor="_Toc6803" w:history="1">
        <w:r>
          <w:rPr>
            <w:rFonts w:ascii="IRNazanin" w:hAnsi="IRNazanin" w:eastAsia="IRNazanin" w:cs="IRNazanin"/>
            <w:color w:val="111111"/>
            <w:sz w:val="22"/>
            <w:szCs w:val="22"/>
            <w:b w:val="0"/>
            <w:bCs w:val="0"/>
            <w:i w:val="0"/>
            <w:iCs w:val="0"/>
          </w:rPr>
          <w:t>6121- دیوان گرامی خوافی أو شعره‏</w:t>
        </w:r>
        <w:r>
          <w:tab/>
        </w:r>
        <w:r>
          <w:fldChar w:fldCharType="begin"/>
        </w:r>
        <w:r>
          <w:instrText xml:space="preserve">PAGEREF 6803 \h</w:instrText>
        </w:r>
        <w:r>
          <w:fldChar w:fldCharType="end"/>
        </w:r>
      </w:hyperlink>
    </w:p>
    <w:p>
      <w:pPr>
        <w:tabs>
          <w:tab w:val="right" w:leader="dot" w:pos="9062"/>
        </w:tabs>
        <w:ind w:left="440"/>
      </w:pPr>
      <w:hyperlink w:anchor="_Toc6804" w:history="1">
        <w:r>
          <w:rPr>
            <w:rFonts w:ascii="IRNazanin" w:hAnsi="IRNazanin" w:eastAsia="IRNazanin" w:cs="IRNazanin"/>
            <w:color w:val="111111"/>
            <w:sz w:val="22"/>
            <w:szCs w:val="22"/>
            <w:b w:val="0"/>
            <w:bCs w:val="0"/>
            <w:i w:val="0"/>
            <w:iCs w:val="0"/>
          </w:rPr>
          <w:t>دیوان گرامی دورة</w:t>
        </w:r>
        <w:r>
          <w:tab/>
        </w:r>
        <w:r>
          <w:fldChar w:fldCharType="begin"/>
        </w:r>
        <w:r>
          <w:instrText xml:space="preserve">PAGEREF 6804 \h</w:instrText>
        </w:r>
        <w:r>
          <w:fldChar w:fldCharType="end"/>
        </w:r>
      </w:hyperlink>
    </w:p>
    <w:p>
      <w:pPr>
        <w:tabs>
          <w:tab w:val="right" w:leader="dot" w:pos="9062"/>
        </w:tabs>
        <w:ind w:left="440"/>
      </w:pPr>
      <w:hyperlink w:anchor="_Toc6805" w:history="1">
        <w:r>
          <w:rPr>
            <w:rFonts w:ascii="IRNazanin" w:hAnsi="IRNazanin" w:eastAsia="IRNazanin" w:cs="IRNazanin"/>
            <w:color w:val="111111"/>
            <w:sz w:val="22"/>
            <w:szCs w:val="22"/>
            <w:b w:val="0"/>
            <w:bCs w:val="0"/>
            <w:i w:val="0"/>
            <w:iCs w:val="0"/>
          </w:rPr>
          <w:t>6122- دیوان گرامی کاشانی‏</w:t>
        </w:r>
        <w:r>
          <w:tab/>
        </w:r>
        <w:r>
          <w:fldChar w:fldCharType="begin"/>
        </w:r>
        <w:r>
          <w:instrText xml:space="preserve">PAGEREF 6805 \h</w:instrText>
        </w:r>
        <w:r>
          <w:fldChar w:fldCharType="end"/>
        </w:r>
      </w:hyperlink>
    </w:p>
    <w:p>
      <w:pPr>
        <w:tabs>
          <w:tab w:val="right" w:leader="dot" w:pos="9062"/>
        </w:tabs>
        <w:ind w:left="440"/>
      </w:pPr>
      <w:hyperlink w:anchor="_Toc6806" w:history="1">
        <w:r>
          <w:rPr>
            <w:rFonts w:ascii="IRNazanin" w:hAnsi="IRNazanin" w:eastAsia="IRNazanin" w:cs="IRNazanin"/>
            <w:color w:val="111111"/>
            <w:sz w:val="22"/>
            <w:szCs w:val="22"/>
            <w:b w:val="0"/>
            <w:bCs w:val="0"/>
            <w:i w:val="0"/>
            <w:iCs w:val="0"/>
          </w:rPr>
          <w:t>6123- دیوان گرامی کشمیری أو شعره‏</w:t>
        </w:r>
        <w:r>
          <w:tab/>
        </w:r>
        <w:r>
          <w:fldChar w:fldCharType="begin"/>
        </w:r>
        <w:r>
          <w:instrText xml:space="preserve">PAGEREF 6806 \h</w:instrText>
        </w:r>
        <w:r>
          <w:fldChar w:fldCharType="end"/>
        </w:r>
      </w:hyperlink>
    </w:p>
    <w:p>
      <w:pPr>
        <w:tabs>
          <w:tab w:val="right" w:leader="dot" w:pos="9062"/>
        </w:tabs>
        <w:ind w:left="440"/>
      </w:pPr>
      <w:hyperlink w:anchor="_Toc6807" w:history="1">
        <w:r>
          <w:rPr>
            <w:rFonts w:ascii="IRNazanin" w:hAnsi="IRNazanin" w:eastAsia="IRNazanin" w:cs="IRNazanin"/>
            <w:color w:val="111111"/>
            <w:sz w:val="22"/>
            <w:szCs w:val="22"/>
            <w:b w:val="0"/>
            <w:bCs w:val="0"/>
            <w:i w:val="0"/>
            <w:iCs w:val="0"/>
          </w:rPr>
          <w:t>6124- دیوان گرامی هروی أو شعره‏</w:t>
        </w:r>
        <w:r>
          <w:tab/>
        </w:r>
        <w:r>
          <w:fldChar w:fldCharType="begin"/>
        </w:r>
        <w:r>
          <w:instrText xml:space="preserve">PAGEREF 6807 \h</w:instrText>
        </w:r>
        <w:r>
          <w:fldChar w:fldCharType="end"/>
        </w:r>
      </w:hyperlink>
    </w:p>
    <w:p>
      <w:pPr>
        <w:tabs>
          <w:tab w:val="right" w:leader="dot" w:pos="9062"/>
        </w:tabs>
        <w:ind w:left="440"/>
      </w:pPr>
      <w:hyperlink w:anchor="_Toc6808" w:history="1">
        <w:r>
          <w:rPr>
            <w:rFonts w:ascii="IRNazanin" w:hAnsi="IRNazanin" w:eastAsia="IRNazanin" w:cs="IRNazanin"/>
            <w:color w:val="111111"/>
            <w:sz w:val="22"/>
            <w:szCs w:val="22"/>
            <w:b w:val="0"/>
            <w:bCs w:val="0"/>
            <w:i w:val="0"/>
            <w:iCs w:val="0"/>
          </w:rPr>
          <w:t>6125- دیوان گربه أصفهانی أو شعره‏</w:t>
        </w:r>
        <w:r>
          <w:tab/>
        </w:r>
        <w:r>
          <w:fldChar w:fldCharType="begin"/>
        </w:r>
        <w:r>
          <w:instrText xml:space="preserve">PAGEREF 6808 \h</w:instrText>
        </w:r>
        <w:r>
          <w:fldChar w:fldCharType="end"/>
        </w:r>
      </w:hyperlink>
    </w:p>
    <w:p>
      <w:pPr>
        <w:tabs>
          <w:tab w:val="right" w:leader="dot" w:pos="9062"/>
        </w:tabs>
        <w:ind w:left="440"/>
      </w:pPr>
      <w:hyperlink w:anchor="_Toc6809" w:history="1">
        <w:r>
          <w:rPr>
            <w:rFonts w:ascii="IRNazanin" w:hAnsi="IRNazanin" w:eastAsia="IRNazanin" w:cs="IRNazanin"/>
            <w:color w:val="111111"/>
            <w:sz w:val="22"/>
            <w:szCs w:val="22"/>
            <w:b w:val="0"/>
            <w:bCs w:val="0"/>
            <w:i w:val="0"/>
            <w:iCs w:val="0"/>
          </w:rPr>
          <w:t>6126- دیوان گربه شوشتری أو شعره‏</w:t>
        </w:r>
        <w:r>
          <w:tab/>
        </w:r>
        <w:r>
          <w:fldChar w:fldCharType="begin"/>
        </w:r>
        <w:r>
          <w:instrText xml:space="preserve">PAGEREF 6809 \h</w:instrText>
        </w:r>
        <w:r>
          <w:fldChar w:fldCharType="end"/>
        </w:r>
      </w:hyperlink>
    </w:p>
    <w:p>
      <w:pPr>
        <w:tabs>
          <w:tab w:val="right" w:leader="dot" w:pos="9062"/>
        </w:tabs>
        <w:ind w:left="440"/>
      </w:pPr>
      <w:hyperlink w:anchor="_Toc6810" w:history="1">
        <w:r>
          <w:rPr>
            <w:rFonts w:ascii="IRNazanin" w:hAnsi="IRNazanin" w:eastAsia="IRNazanin" w:cs="IRNazanin"/>
            <w:color w:val="111111"/>
            <w:sz w:val="22"/>
            <w:szCs w:val="22"/>
            <w:b w:val="0"/>
            <w:bCs w:val="0"/>
            <w:i w:val="0"/>
            <w:iCs w:val="0"/>
          </w:rPr>
          <w:t>6127- دیوان گرگانی‏</w:t>
        </w:r>
        <w:r>
          <w:tab/>
        </w:r>
        <w:r>
          <w:fldChar w:fldCharType="begin"/>
        </w:r>
        <w:r>
          <w:instrText xml:space="preserve">PAGEREF 6810 \h</w:instrText>
        </w:r>
        <w:r>
          <w:fldChar w:fldCharType="end"/>
        </w:r>
      </w:hyperlink>
    </w:p>
    <w:p>
      <w:pPr>
        <w:tabs>
          <w:tab w:val="right" w:leader="dot" w:pos="9062"/>
        </w:tabs>
        <w:ind w:left="440"/>
      </w:pPr>
      <w:hyperlink w:anchor="_Toc6811" w:history="1">
        <w:r>
          <w:rPr>
            <w:rFonts w:ascii="IRNazanin" w:hAnsi="IRNazanin" w:eastAsia="IRNazanin" w:cs="IRNazanin"/>
            <w:color w:val="111111"/>
            <w:sz w:val="22"/>
            <w:szCs w:val="22"/>
            <w:b w:val="0"/>
            <w:bCs w:val="0"/>
            <w:i w:val="0"/>
            <w:iCs w:val="0"/>
          </w:rPr>
          <w:t>دیوان گرگین بیک‏</w:t>
        </w:r>
        <w:r>
          <w:tab/>
        </w:r>
        <w:r>
          <w:fldChar w:fldCharType="begin"/>
        </w:r>
        <w:r>
          <w:instrText xml:space="preserve">PAGEREF 6811 \h</w:instrText>
        </w:r>
        <w:r>
          <w:fldChar w:fldCharType="end"/>
        </w:r>
      </w:hyperlink>
    </w:p>
    <w:p>
      <w:pPr>
        <w:tabs>
          <w:tab w:val="right" w:leader="dot" w:pos="9062"/>
        </w:tabs>
        <w:ind w:left="440"/>
      </w:pPr>
      <w:hyperlink w:anchor="_Toc6812" w:history="1">
        <w:r>
          <w:rPr>
            <w:rFonts w:ascii="IRNazanin" w:hAnsi="IRNazanin" w:eastAsia="IRNazanin" w:cs="IRNazanin"/>
            <w:color w:val="111111"/>
            <w:sz w:val="22"/>
            <w:szCs w:val="22"/>
            <w:b w:val="0"/>
            <w:bCs w:val="0"/>
            <w:i w:val="0"/>
            <w:iCs w:val="0"/>
          </w:rPr>
          <w:t>6128- دیوان گرمی بروجردی أو شعره‏</w:t>
        </w:r>
        <w:r>
          <w:tab/>
        </w:r>
        <w:r>
          <w:fldChar w:fldCharType="begin"/>
        </w:r>
        <w:r>
          <w:instrText xml:space="preserve">PAGEREF 6812 \h</w:instrText>
        </w:r>
        <w:r>
          <w:fldChar w:fldCharType="end"/>
        </w:r>
      </w:hyperlink>
    </w:p>
    <w:p>
      <w:pPr>
        <w:tabs>
          <w:tab w:val="right" w:leader="dot" w:pos="9062"/>
        </w:tabs>
        <w:ind w:left="440"/>
      </w:pPr>
      <w:hyperlink w:anchor="_Toc6813" w:history="1">
        <w:r>
          <w:rPr>
            <w:rFonts w:ascii="IRNazanin" w:hAnsi="IRNazanin" w:eastAsia="IRNazanin" w:cs="IRNazanin"/>
            <w:color w:val="111111"/>
            <w:sz w:val="22"/>
            <w:szCs w:val="22"/>
            <w:b w:val="0"/>
            <w:bCs w:val="0"/>
            <w:i w:val="0"/>
            <w:iCs w:val="0"/>
          </w:rPr>
          <w:t>6129- دیوان گرمی شیرازی أو شعره‏</w:t>
        </w:r>
        <w:r>
          <w:tab/>
        </w:r>
        <w:r>
          <w:fldChar w:fldCharType="begin"/>
        </w:r>
        <w:r>
          <w:instrText xml:space="preserve">PAGEREF 6813 \h</w:instrText>
        </w:r>
        <w:r>
          <w:fldChar w:fldCharType="end"/>
        </w:r>
      </w:hyperlink>
    </w:p>
    <w:p>
      <w:pPr>
        <w:tabs>
          <w:tab w:val="right" w:leader="dot" w:pos="9062"/>
        </w:tabs>
        <w:ind w:left="440"/>
      </w:pPr>
      <w:hyperlink w:anchor="_Toc6814" w:history="1">
        <w:r>
          <w:rPr>
            <w:rFonts w:ascii="IRNazanin" w:hAnsi="IRNazanin" w:eastAsia="IRNazanin" w:cs="IRNazanin"/>
            <w:color w:val="111111"/>
            <w:sz w:val="22"/>
            <w:szCs w:val="22"/>
            <w:b w:val="0"/>
            <w:bCs w:val="0"/>
            <w:i w:val="0"/>
            <w:iCs w:val="0"/>
          </w:rPr>
          <w:t>6130- دیوان گریان شهرابی‏</w:t>
        </w:r>
        <w:r>
          <w:tab/>
        </w:r>
        <w:r>
          <w:fldChar w:fldCharType="begin"/>
        </w:r>
        <w:r>
          <w:instrText xml:space="preserve">PAGEREF 6814 \h</w:instrText>
        </w:r>
        <w:r>
          <w:fldChar w:fldCharType="end"/>
        </w:r>
      </w:hyperlink>
    </w:p>
    <w:p>
      <w:pPr>
        <w:tabs>
          <w:tab w:val="right" w:leader="dot" w:pos="9062"/>
        </w:tabs>
        <w:ind w:left="440"/>
      </w:pPr>
      <w:hyperlink w:anchor="_Toc6815" w:history="1">
        <w:r>
          <w:rPr>
            <w:rFonts w:ascii="IRNazanin" w:hAnsi="IRNazanin" w:eastAsia="IRNazanin" w:cs="IRNazanin"/>
            <w:color w:val="111111"/>
            <w:sz w:val="22"/>
            <w:szCs w:val="22"/>
            <w:b w:val="0"/>
            <w:bCs w:val="0"/>
            <w:i w:val="0"/>
            <w:iCs w:val="0"/>
          </w:rPr>
          <w:t>6131- دیوان گل بابا بلخی أو شعره‏</w:t>
        </w:r>
        <w:r>
          <w:tab/>
        </w:r>
        <w:r>
          <w:fldChar w:fldCharType="begin"/>
        </w:r>
        <w:r>
          <w:instrText xml:space="preserve">PAGEREF 6815 \h</w:instrText>
        </w:r>
        <w:r>
          <w:fldChar w:fldCharType="end"/>
        </w:r>
      </w:hyperlink>
    </w:p>
    <w:p>
      <w:pPr>
        <w:tabs>
          <w:tab w:val="right" w:leader="dot" w:pos="9062"/>
        </w:tabs>
        <w:ind w:left="440"/>
      </w:pPr>
      <w:hyperlink w:anchor="_Toc6816" w:history="1">
        <w:r>
          <w:rPr>
            <w:rFonts w:ascii="IRNazanin" w:hAnsi="IRNazanin" w:eastAsia="IRNazanin" w:cs="IRNazanin"/>
            <w:color w:val="111111"/>
            <w:sz w:val="22"/>
            <w:szCs w:val="22"/>
            <w:b w:val="0"/>
            <w:bCs w:val="0"/>
            <w:i w:val="0"/>
            <w:iCs w:val="0"/>
          </w:rPr>
          <w:t>6132- دیوان گل‏بدن أو شعرها</w:t>
        </w:r>
        <w:r>
          <w:tab/>
        </w:r>
        <w:r>
          <w:fldChar w:fldCharType="begin"/>
        </w:r>
        <w:r>
          <w:instrText xml:space="preserve">PAGEREF 6816 \h</w:instrText>
        </w:r>
        <w:r>
          <w:fldChar w:fldCharType="end"/>
        </w:r>
      </w:hyperlink>
    </w:p>
    <w:p>
      <w:pPr>
        <w:tabs>
          <w:tab w:val="right" w:leader="dot" w:pos="9062"/>
        </w:tabs>
        <w:ind w:left="440"/>
      </w:pPr>
      <w:hyperlink w:anchor="_Toc6817" w:history="1">
        <w:r>
          <w:rPr>
            <w:rFonts w:ascii="IRNazanin" w:hAnsi="IRNazanin" w:eastAsia="IRNazanin" w:cs="IRNazanin"/>
            <w:color w:val="111111"/>
            <w:sz w:val="22"/>
            <w:szCs w:val="22"/>
            <w:b w:val="0"/>
            <w:bCs w:val="0"/>
            <w:i w:val="0"/>
            <w:iCs w:val="0"/>
          </w:rPr>
          <w:t>6133- دیوان گل‏چهره أو شعرها</w:t>
        </w:r>
        <w:r>
          <w:tab/>
        </w:r>
        <w:r>
          <w:fldChar w:fldCharType="begin"/>
        </w:r>
        <w:r>
          <w:instrText xml:space="preserve">PAGEREF 6817 \h</w:instrText>
        </w:r>
        <w:r>
          <w:fldChar w:fldCharType="end"/>
        </w:r>
      </w:hyperlink>
    </w:p>
    <w:p>
      <w:pPr>
        <w:tabs>
          <w:tab w:val="right" w:leader="dot" w:pos="9062"/>
        </w:tabs>
        <w:ind w:left="440"/>
      </w:pPr>
      <w:hyperlink w:anchor="_Toc6818" w:history="1">
        <w:r>
          <w:rPr>
            <w:rFonts w:ascii="IRNazanin" w:hAnsi="IRNazanin" w:eastAsia="IRNazanin" w:cs="IRNazanin"/>
            <w:color w:val="111111"/>
            <w:sz w:val="22"/>
            <w:szCs w:val="22"/>
            <w:b w:val="0"/>
            <w:bCs w:val="0"/>
            <w:i w:val="0"/>
            <w:iCs w:val="0"/>
          </w:rPr>
          <w:t>6134- دیوان گل‏چین‏</w:t>
        </w:r>
        <w:r>
          <w:tab/>
        </w:r>
        <w:r>
          <w:fldChar w:fldCharType="begin"/>
        </w:r>
        <w:r>
          <w:instrText xml:space="preserve">PAGEREF 6818 \h</w:instrText>
        </w:r>
        <w:r>
          <w:fldChar w:fldCharType="end"/>
        </w:r>
      </w:hyperlink>
    </w:p>
    <w:p>
      <w:pPr>
        <w:tabs>
          <w:tab w:val="right" w:leader="dot" w:pos="9062"/>
        </w:tabs>
        <w:ind w:left="440"/>
      </w:pPr>
      <w:hyperlink w:anchor="_Toc6819" w:history="1">
        <w:r>
          <w:rPr>
            <w:rFonts w:ascii="IRNazanin" w:hAnsi="IRNazanin" w:eastAsia="IRNazanin" w:cs="IRNazanin"/>
            <w:color w:val="111111"/>
            <w:sz w:val="22"/>
            <w:szCs w:val="22"/>
            <w:b w:val="0"/>
            <w:bCs w:val="0"/>
            <w:i w:val="0"/>
            <w:iCs w:val="0"/>
          </w:rPr>
          <w:t>6135- دیوان گل‏چین گیلانی‏</w:t>
        </w:r>
        <w:r>
          <w:tab/>
        </w:r>
        <w:r>
          <w:fldChar w:fldCharType="begin"/>
        </w:r>
        <w:r>
          <w:instrText xml:space="preserve">PAGEREF 6819 \h</w:instrText>
        </w:r>
        <w:r>
          <w:fldChar w:fldCharType="end"/>
        </w:r>
      </w:hyperlink>
    </w:p>
    <w:p>
      <w:pPr>
        <w:tabs>
          <w:tab w:val="right" w:leader="dot" w:pos="9062"/>
        </w:tabs>
        <w:ind w:left="440"/>
      </w:pPr>
      <w:hyperlink w:anchor="_Toc6820" w:history="1">
        <w:r>
          <w:rPr>
            <w:rFonts w:ascii="IRNazanin" w:hAnsi="IRNazanin" w:eastAsia="IRNazanin" w:cs="IRNazanin"/>
            <w:color w:val="111111"/>
            <w:sz w:val="22"/>
            <w:szCs w:val="22"/>
            <w:b w:val="0"/>
            <w:bCs w:val="0"/>
            <w:i w:val="0"/>
            <w:iCs w:val="0"/>
          </w:rPr>
          <w:t>6136- دیوان گل‏چین معانی‏</w:t>
        </w:r>
        <w:r>
          <w:tab/>
        </w:r>
        <w:r>
          <w:fldChar w:fldCharType="begin"/>
        </w:r>
        <w:r>
          <w:instrText xml:space="preserve">PAGEREF 6820 \h</w:instrText>
        </w:r>
        <w:r>
          <w:fldChar w:fldCharType="end"/>
        </w:r>
      </w:hyperlink>
    </w:p>
    <w:p>
      <w:pPr>
        <w:tabs>
          <w:tab w:val="right" w:leader="dot" w:pos="9062"/>
        </w:tabs>
        <w:ind w:left="440"/>
      </w:pPr>
      <w:hyperlink w:anchor="_Toc6821" w:history="1">
        <w:r>
          <w:rPr>
            <w:rFonts w:ascii="IRNazanin" w:hAnsi="IRNazanin" w:eastAsia="IRNazanin" w:cs="IRNazanin"/>
            <w:color w:val="111111"/>
            <w:sz w:val="22"/>
            <w:szCs w:val="22"/>
            <w:b w:val="0"/>
            <w:bCs w:val="0"/>
            <w:i w:val="0"/>
            <w:iCs w:val="0"/>
          </w:rPr>
          <w:t>6137- دیوان گلخنی قمی أو شعره‏</w:t>
        </w:r>
        <w:r>
          <w:tab/>
        </w:r>
        <w:r>
          <w:fldChar w:fldCharType="begin"/>
        </w:r>
        <w:r>
          <w:instrText xml:space="preserve">PAGEREF 6821 \h</w:instrText>
        </w:r>
        <w:r>
          <w:fldChar w:fldCharType="end"/>
        </w:r>
      </w:hyperlink>
    </w:p>
    <w:p>
      <w:pPr>
        <w:tabs>
          <w:tab w:val="right" w:leader="dot" w:pos="9062"/>
        </w:tabs>
        <w:ind w:left="440"/>
      </w:pPr>
      <w:hyperlink w:anchor="_Toc6822" w:history="1">
        <w:r>
          <w:rPr>
            <w:rFonts w:ascii="IRNazanin" w:hAnsi="IRNazanin" w:eastAsia="IRNazanin" w:cs="IRNazanin"/>
            <w:color w:val="111111"/>
            <w:sz w:val="22"/>
            <w:szCs w:val="22"/>
            <w:b w:val="0"/>
            <w:bCs w:val="0"/>
            <w:i w:val="0"/>
            <w:iCs w:val="0"/>
          </w:rPr>
          <w:t>6138- دیوان گل‏رخ أو شعرها</w:t>
        </w:r>
        <w:r>
          <w:tab/>
        </w:r>
        <w:r>
          <w:fldChar w:fldCharType="begin"/>
        </w:r>
        <w:r>
          <w:instrText xml:space="preserve">PAGEREF 6822 \h</w:instrText>
        </w:r>
        <w:r>
          <w:fldChar w:fldCharType="end"/>
        </w:r>
      </w:hyperlink>
    </w:p>
    <w:p>
      <w:pPr>
        <w:tabs>
          <w:tab w:val="right" w:leader="dot" w:pos="9062"/>
        </w:tabs>
        <w:ind w:left="440"/>
      </w:pPr>
      <w:hyperlink w:anchor="_Toc6823" w:history="1">
        <w:r>
          <w:rPr>
            <w:rFonts w:ascii="IRNazanin" w:hAnsi="IRNazanin" w:eastAsia="IRNazanin" w:cs="IRNazanin"/>
            <w:color w:val="111111"/>
            <w:sz w:val="22"/>
            <w:szCs w:val="22"/>
            <w:b w:val="0"/>
            <w:bCs w:val="0"/>
            <w:i w:val="0"/>
            <w:iCs w:val="0"/>
          </w:rPr>
          <w:t>6139- دیوان گلزار أصفهانی‏</w:t>
        </w:r>
        <w:r>
          <w:tab/>
        </w:r>
        <w:r>
          <w:fldChar w:fldCharType="begin"/>
        </w:r>
        <w:r>
          <w:instrText xml:space="preserve">PAGEREF 6823 \h</w:instrText>
        </w:r>
        <w:r>
          <w:fldChar w:fldCharType="end"/>
        </w:r>
      </w:hyperlink>
    </w:p>
    <w:p>
      <w:pPr>
        <w:tabs>
          <w:tab w:val="right" w:leader="dot" w:pos="9062"/>
        </w:tabs>
        <w:ind w:left="440"/>
      </w:pPr>
      <w:hyperlink w:anchor="_Toc6824" w:history="1">
        <w:r>
          <w:rPr>
            <w:rFonts w:ascii="IRNazanin" w:hAnsi="IRNazanin" w:eastAsia="IRNazanin" w:cs="IRNazanin"/>
            <w:color w:val="111111"/>
            <w:sz w:val="22"/>
            <w:szCs w:val="22"/>
            <w:b w:val="0"/>
            <w:bCs w:val="0"/>
            <w:i w:val="0"/>
            <w:iCs w:val="0"/>
          </w:rPr>
          <w:t>6140- دیوان گلزار فریز هندی أو شعره‏</w:t>
        </w:r>
        <w:r>
          <w:tab/>
        </w:r>
        <w:r>
          <w:fldChar w:fldCharType="begin"/>
        </w:r>
        <w:r>
          <w:instrText xml:space="preserve">PAGEREF 6824 \h</w:instrText>
        </w:r>
        <w:r>
          <w:fldChar w:fldCharType="end"/>
        </w:r>
      </w:hyperlink>
    </w:p>
    <w:p>
      <w:pPr>
        <w:tabs>
          <w:tab w:val="right" w:leader="dot" w:pos="9062"/>
        </w:tabs>
        <w:ind w:left="440"/>
      </w:pPr>
      <w:hyperlink w:anchor="_Toc6825" w:history="1">
        <w:r>
          <w:rPr>
            <w:rFonts w:ascii="IRNazanin" w:hAnsi="IRNazanin" w:eastAsia="IRNazanin" w:cs="IRNazanin"/>
            <w:color w:val="111111"/>
            <w:sz w:val="22"/>
            <w:szCs w:val="22"/>
            <w:b w:val="0"/>
            <w:bCs w:val="0"/>
            <w:i w:val="0"/>
            <w:iCs w:val="0"/>
          </w:rPr>
          <w:t>دیوان گلزار قدس‏</w:t>
        </w:r>
        <w:r>
          <w:tab/>
        </w:r>
        <w:r>
          <w:fldChar w:fldCharType="begin"/>
        </w:r>
        <w:r>
          <w:instrText xml:space="preserve">PAGEREF 6825 \h</w:instrText>
        </w:r>
        <w:r>
          <w:fldChar w:fldCharType="end"/>
        </w:r>
      </w:hyperlink>
    </w:p>
    <w:p>
      <w:pPr>
        <w:tabs>
          <w:tab w:val="right" w:leader="dot" w:pos="9062"/>
        </w:tabs>
        <w:ind w:left="440"/>
      </w:pPr>
      <w:hyperlink w:anchor="_Toc6826" w:history="1">
        <w:r>
          <w:rPr>
            <w:rFonts w:ascii="IRNazanin" w:hAnsi="IRNazanin" w:eastAsia="IRNazanin" w:cs="IRNazanin"/>
            <w:color w:val="111111"/>
            <w:sz w:val="22"/>
            <w:szCs w:val="22"/>
            <w:b w:val="0"/>
            <w:bCs w:val="0"/>
            <w:i w:val="0"/>
            <w:iCs w:val="0"/>
          </w:rPr>
          <w:t>6141- دیوان گلشن‏</w:t>
        </w:r>
        <w:r>
          <w:tab/>
        </w:r>
        <w:r>
          <w:fldChar w:fldCharType="begin"/>
        </w:r>
        <w:r>
          <w:instrText xml:space="preserve">PAGEREF 6826 \h</w:instrText>
        </w:r>
        <w:r>
          <w:fldChar w:fldCharType="end"/>
        </w:r>
      </w:hyperlink>
    </w:p>
    <w:p>
      <w:pPr>
        <w:tabs>
          <w:tab w:val="right" w:leader="dot" w:pos="9062"/>
        </w:tabs>
        <w:ind w:left="440"/>
      </w:pPr>
      <w:hyperlink w:anchor="_Toc6827" w:history="1">
        <w:r>
          <w:rPr>
            <w:rFonts w:ascii="IRNazanin" w:hAnsi="IRNazanin" w:eastAsia="IRNazanin" w:cs="IRNazanin"/>
            <w:color w:val="111111"/>
            <w:sz w:val="22"/>
            <w:szCs w:val="22"/>
            <w:b w:val="0"/>
            <w:bCs w:val="0"/>
            <w:i w:val="0"/>
            <w:iCs w:val="0"/>
          </w:rPr>
          <w:t>6142- دیوان گلشن آذربایجانی أو شعره‏</w:t>
        </w:r>
        <w:r>
          <w:tab/>
        </w:r>
        <w:r>
          <w:fldChar w:fldCharType="begin"/>
        </w:r>
        <w:r>
          <w:instrText xml:space="preserve">PAGEREF 6827 \h</w:instrText>
        </w:r>
        <w:r>
          <w:fldChar w:fldCharType="end"/>
        </w:r>
      </w:hyperlink>
    </w:p>
    <w:p>
      <w:pPr>
        <w:tabs>
          <w:tab w:val="right" w:leader="dot" w:pos="9062"/>
        </w:tabs>
        <w:ind w:left="440"/>
      </w:pPr>
      <w:hyperlink w:anchor="_Toc6828" w:history="1">
        <w:r>
          <w:rPr>
            <w:rFonts w:ascii="IRNazanin" w:hAnsi="IRNazanin" w:eastAsia="IRNazanin" w:cs="IRNazanin"/>
            <w:color w:val="111111"/>
            <w:sz w:val="22"/>
            <w:szCs w:val="22"/>
            <w:b w:val="0"/>
            <w:bCs w:val="0"/>
            <w:i w:val="0"/>
            <w:iCs w:val="0"/>
          </w:rPr>
          <w:t>دیوان گلشن آزادی‏</w:t>
        </w:r>
        <w:r>
          <w:tab/>
        </w:r>
        <w:r>
          <w:fldChar w:fldCharType="begin"/>
        </w:r>
        <w:r>
          <w:instrText xml:space="preserve">PAGEREF 6828 \h</w:instrText>
        </w:r>
        <w:r>
          <w:fldChar w:fldCharType="end"/>
        </w:r>
      </w:hyperlink>
    </w:p>
    <w:p>
      <w:pPr>
        <w:tabs>
          <w:tab w:val="right" w:leader="dot" w:pos="9062"/>
        </w:tabs>
        <w:ind w:left="440"/>
      </w:pPr>
      <w:hyperlink w:anchor="_Toc6829" w:history="1">
        <w:r>
          <w:rPr>
            <w:rFonts w:ascii="IRNazanin" w:hAnsi="IRNazanin" w:eastAsia="IRNazanin" w:cs="IRNazanin"/>
            <w:color w:val="111111"/>
            <w:sz w:val="22"/>
            <w:szCs w:val="22"/>
            <w:b w:val="0"/>
            <w:bCs w:val="0"/>
            <w:i w:val="0"/>
            <w:iCs w:val="0"/>
          </w:rPr>
          <w:t>6143- دیوان گلشن أحمدآبادی‏</w:t>
        </w:r>
        <w:r>
          <w:tab/>
        </w:r>
        <w:r>
          <w:fldChar w:fldCharType="begin"/>
        </w:r>
        <w:r>
          <w:instrText xml:space="preserve">PAGEREF 6829 \h</w:instrText>
        </w:r>
        <w:r>
          <w:fldChar w:fldCharType="end"/>
        </w:r>
      </w:hyperlink>
    </w:p>
    <w:p>
      <w:pPr>
        <w:tabs>
          <w:tab w:val="right" w:leader="dot" w:pos="9062"/>
        </w:tabs>
        <w:ind w:left="440"/>
      </w:pPr>
      <w:hyperlink w:anchor="_Toc6830" w:history="1">
        <w:r>
          <w:rPr>
            <w:rFonts w:ascii="IRNazanin" w:hAnsi="IRNazanin" w:eastAsia="IRNazanin" w:cs="IRNazanin"/>
            <w:color w:val="111111"/>
            <w:sz w:val="22"/>
            <w:szCs w:val="22"/>
            <w:b w:val="0"/>
            <w:bCs w:val="0"/>
            <w:i w:val="0"/>
            <w:iCs w:val="0"/>
          </w:rPr>
          <w:t>6144- دیوان گلشن أردکانی‏</w:t>
        </w:r>
        <w:r>
          <w:tab/>
        </w:r>
        <w:r>
          <w:fldChar w:fldCharType="begin"/>
        </w:r>
        <w:r>
          <w:instrText xml:space="preserve">PAGEREF 6830 \h</w:instrText>
        </w:r>
        <w:r>
          <w:fldChar w:fldCharType="end"/>
        </w:r>
      </w:hyperlink>
    </w:p>
    <w:p>
      <w:pPr>
        <w:tabs>
          <w:tab w:val="right" w:leader="dot" w:pos="9062"/>
        </w:tabs>
        <w:ind w:left="440"/>
      </w:pPr>
      <w:hyperlink w:anchor="_Toc6831" w:history="1">
        <w:r>
          <w:rPr>
            <w:rFonts w:ascii="IRNazanin" w:hAnsi="IRNazanin" w:eastAsia="IRNazanin" w:cs="IRNazanin"/>
            <w:color w:val="111111"/>
            <w:sz w:val="22"/>
            <w:szCs w:val="22"/>
            <w:b w:val="0"/>
            <w:bCs w:val="0"/>
            <w:i w:val="0"/>
            <w:iCs w:val="0"/>
          </w:rPr>
          <w:t>6145- دیوان گلشن جونپوری‏</w:t>
        </w:r>
        <w:r>
          <w:tab/>
        </w:r>
        <w:r>
          <w:fldChar w:fldCharType="begin"/>
        </w:r>
        <w:r>
          <w:instrText xml:space="preserve">PAGEREF 6831 \h</w:instrText>
        </w:r>
        <w:r>
          <w:fldChar w:fldCharType="end"/>
        </w:r>
      </w:hyperlink>
    </w:p>
    <w:p>
      <w:pPr>
        <w:tabs>
          <w:tab w:val="right" w:leader="dot" w:pos="9062"/>
        </w:tabs>
        <w:ind w:left="440"/>
      </w:pPr>
      <w:hyperlink w:anchor="_Toc6832" w:history="1">
        <w:r>
          <w:rPr>
            <w:rFonts w:ascii="IRNazanin" w:hAnsi="IRNazanin" w:eastAsia="IRNazanin" w:cs="IRNazanin"/>
            <w:color w:val="111111"/>
            <w:sz w:val="22"/>
            <w:szCs w:val="22"/>
            <w:b w:val="0"/>
            <w:bCs w:val="0"/>
            <w:i w:val="0"/>
            <w:iCs w:val="0"/>
          </w:rPr>
          <w:t>دیوان گلشن راز</w:t>
        </w:r>
        <w:r>
          <w:tab/>
        </w:r>
        <w:r>
          <w:fldChar w:fldCharType="begin"/>
        </w:r>
        <w:r>
          <w:instrText xml:space="preserve">PAGEREF 6832 \h</w:instrText>
        </w:r>
        <w:r>
          <w:fldChar w:fldCharType="end"/>
        </w:r>
      </w:hyperlink>
    </w:p>
    <w:p>
      <w:pPr>
        <w:tabs>
          <w:tab w:val="right" w:leader="dot" w:pos="9062"/>
        </w:tabs>
        <w:ind w:left="440"/>
      </w:pPr>
      <w:hyperlink w:anchor="_Toc6833" w:history="1">
        <w:r>
          <w:rPr>
            <w:rFonts w:ascii="IRNazanin" w:hAnsi="IRNazanin" w:eastAsia="IRNazanin" w:cs="IRNazanin"/>
            <w:color w:val="111111"/>
            <w:sz w:val="22"/>
            <w:szCs w:val="22"/>
            <w:b w:val="0"/>
            <w:bCs w:val="0"/>
            <w:i w:val="0"/>
            <w:iCs w:val="0"/>
          </w:rPr>
          <w:t>6146- دیوان گلشن شیرازی أو شعره‏</w:t>
        </w:r>
        <w:r>
          <w:tab/>
        </w:r>
        <w:r>
          <w:fldChar w:fldCharType="begin"/>
        </w:r>
        <w:r>
          <w:instrText xml:space="preserve">PAGEREF 6833 \h</w:instrText>
        </w:r>
        <w:r>
          <w:fldChar w:fldCharType="end"/>
        </w:r>
      </w:hyperlink>
    </w:p>
    <w:p>
      <w:pPr>
        <w:tabs>
          <w:tab w:val="right" w:leader="dot" w:pos="9062"/>
        </w:tabs>
        <w:ind w:left="440"/>
      </w:pPr>
      <w:hyperlink w:anchor="_Toc6834" w:history="1">
        <w:r>
          <w:rPr>
            <w:rFonts w:ascii="IRNazanin" w:hAnsi="IRNazanin" w:eastAsia="IRNazanin" w:cs="IRNazanin"/>
            <w:color w:val="111111"/>
            <w:sz w:val="22"/>
            <w:szCs w:val="22"/>
            <w:b w:val="0"/>
            <w:bCs w:val="0"/>
            <w:i w:val="0"/>
            <w:iCs w:val="0"/>
          </w:rPr>
          <w:t>6147- دیوان گلشن گلپایگانی أو شعره‏</w:t>
        </w:r>
        <w:r>
          <w:tab/>
        </w:r>
        <w:r>
          <w:fldChar w:fldCharType="begin"/>
        </w:r>
        <w:r>
          <w:instrText xml:space="preserve">PAGEREF 6834 \h</w:instrText>
        </w:r>
        <w:r>
          <w:fldChar w:fldCharType="end"/>
        </w:r>
      </w:hyperlink>
    </w:p>
    <w:p>
      <w:pPr>
        <w:tabs>
          <w:tab w:val="right" w:leader="dot" w:pos="9062"/>
        </w:tabs>
        <w:ind w:left="440"/>
      </w:pPr>
      <w:hyperlink w:anchor="_Toc6835" w:history="1">
        <w:r>
          <w:rPr>
            <w:rFonts w:ascii="IRNazanin" w:hAnsi="IRNazanin" w:eastAsia="IRNazanin" w:cs="IRNazanin"/>
            <w:color w:val="111111"/>
            <w:sz w:val="22"/>
            <w:szCs w:val="22"/>
            <w:b w:val="0"/>
            <w:bCs w:val="0"/>
            <w:i w:val="0"/>
            <w:iCs w:val="0"/>
          </w:rPr>
          <w:t>6148- دیوان گلشن لکهنوی‏</w:t>
        </w:r>
        <w:r>
          <w:tab/>
        </w:r>
        <w:r>
          <w:fldChar w:fldCharType="begin"/>
        </w:r>
        <w:r>
          <w:instrText xml:space="preserve">PAGEREF 6835 \h</w:instrText>
        </w:r>
        <w:r>
          <w:fldChar w:fldCharType="end"/>
        </w:r>
      </w:hyperlink>
    </w:p>
    <w:p>
      <w:pPr>
        <w:tabs>
          <w:tab w:val="right" w:leader="dot" w:pos="9062"/>
        </w:tabs>
        <w:ind w:left="440"/>
      </w:pPr>
      <w:hyperlink w:anchor="_Toc6836" w:history="1">
        <w:r>
          <w:rPr>
            <w:rFonts w:ascii="IRNazanin" w:hAnsi="IRNazanin" w:eastAsia="IRNazanin" w:cs="IRNazanin"/>
            <w:color w:val="111111"/>
            <w:sz w:val="22"/>
            <w:szCs w:val="22"/>
            <w:b w:val="0"/>
            <w:bCs w:val="0"/>
            <w:i w:val="0"/>
            <w:iCs w:val="0"/>
          </w:rPr>
          <w:t>6149- دیوان گلشن لکهنوی سندیلوی‏</w:t>
        </w:r>
        <w:r>
          <w:tab/>
        </w:r>
        <w:r>
          <w:fldChar w:fldCharType="begin"/>
        </w:r>
        <w:r>
          <w:instrText xml:space="preserve">PAGEREF 6836 \h</w:instrText>
        </w:r>
        <w:r>
          <w:fldChar w:fldCharType="end"/>
        </w:r>
      </w:hyperlink>
    </w:p>
    <w:p>
      <w:pPr>
        <w:tabs>
          <w:tab w:val="right" w:leader="dot" w:pos="9062"/>
        </w:tabs>
        <w:ind w:left="440"/>
      </w:pPr>
      <w:hyperlink w:anchor="_Toc6837" w:history="1">
        <w:r>
          <w:rPr>
            <w:rFonts w:ascii="IRNazanin" w:hAnsi="IRNazanin" w:eastAsia="IRNazanin" w:cs="IRNazanin"/>
            <w:color w:val="111111"/>
            <w:sz w:val="22"/>
            <w:szCs w:val="22"/>
            <w:b w:val="0"/>
            <w:bCs w:val="0"/>
            <w:i w:val="0"/>
            <w:iCs w:val="0"/>
          </w:rPr>
          <w:t>6150- دیوان گلشن مشهدی‏</w:t>
        </w:r>
        <w:r>
          <w:tab/>
        </w:r>
        <w:r>
          <w:fldChar w:fldCharType="begin"/>
        </w:r>
        <w:r>
          <w:instrText xml:space="preserve">PAGEREF 6837 \h</w:instrText>
        </w:r>
        <w:r>
          <w:fldChar w:fldCharType="end"/>
        </w:r>
      </w:hyperlink>
    </w:p>
    <w:p>
      <w:pPr>
        <w:tabs>
          <w:tab w:val="right" w:leader="dot" w:pos="9062"/>
        </w:tabs>
        <w:ind w:left="440"/>
      </w:pPr>
      <w:hyperlink w:anchor="_Toc6838" w:history="1">
        <w:r>
          <w:rPr>
            <w:rFonts w:ascii="IRNazanin" w:hAnsi="IRNazanin" w:eastAsia="IRNazanin" w:cs="IRNazanin"/>
            <w:color w:val="111111"/>
            <w:sz w:val="22"/>
            <w:szCs w:val="22"/>
            <w:b w:val="0"/>
            <w:bCs w:val="0"/>
            <w:i w:val="0"/>
            <w:iCs w:val="0"/>
          </w:rPr>
          <w:t>6151- دیوان گلشنی بردعی‏</w:t>
        </w:r>
        <w:r>
          <w:tab/>
        </w:r>
        <w:r>
          <w:fldChar w:fldCharType="begin"/>
        </w:r>
        <w:r>
          <w:instrText xml:space="preserve">PAGEREF 6838 \h</w:instrText>
        </w:r>
        <w:r>
          <w:fldChar w:fldCharType="end"/>
        </w:r>
      </w:hyperlink>
    </w:p>
    <w:p>
      <w:pPr>
        <w:tabs>
          <w:tab w:val="right" w:leader="dot" w:pos="9062"/>
        </w:tabs>
        <w:ind w:left="440"/>
      </w:pPr>
      <w:hyperlink w:anchor="_Toc6839" w:history="1">
        <w:r>
          <w:rPr>
            <w:rFonts w:ascii="IRNazanin" w:hAnsi="IRNazanin" w:eastAsia="IRNazanin" w:cs="IRNazanin"/>
            <w:color w:val="111111"/>
            <w:sz w:val="22"/>
            <w:szCs w:val="22"/>
            <w:b w:val="0"/>
            <w:bCs w:val="0"/>
            <w:i w:val="0"/>
            <w:iCs w:val="0"/>
          </w:rPr>
          <w:t>دیوان گلشن یزدی‏</w:t>
        </w:r>
        <w:r>
          <w:tab/>
        </w:r>
        <w:r>
          <w:fldChar w:fldCharType="begin"/>
        </w:r>
        <w:r>
          <w:instrText xml:space="preserve">PAGEREF 6839 \h</w:instrText>
        </w:r>
        <w:r>
          <w:fldChar w:fldCharType="end"/>
        </w:r>
      </w:hyperlink>
    </w:p>
    <w:p>
      <w:pPr>
        <w:tabs>
          <w:tab w:val="right" w:leader="dot" w:pos="9062"/>
        </w:tabs>
        <w:ind w:left="440"/>
      </w:pPr>
      <w:hyperlink w:anchor="_Toc6840" w:history="1">
        <w:r>
          <w:rPr>
            <w:rFonts w:ascii="IRNazanin" w:hAnsi="IRNazanin" w:eastAsia="IRNazanin" w:cs="IRNazanin"/>
            <w:color w:val="111111"/>
            <w:sz w:val="22"/>
            <w:szCs w:val="22"/>
            <w:b w:val="0"/>
            <w:bCs w:val="0"/>
            <w:i w:val="0"/>
            <w:iCs w:val="0"/>
          </w:rPr>
          <w:t>6152- دیوان گلشنی شبستری التبریزی الفراء</w:t>
        </w:r>
        <w:r>
          <w:tab/>
        </w:r>
        <w:r>
          <w:fldChar w:fldCharType="begin"/>
        </w:r>
        <w:r>
          <w:instrText xml:space="preserve">PAGEREF 6840 \h</w:instrText>
        </w:r>
        <w:r>
          <w:fldChar w:fldCharType="end"/>
        </w:r>
      </w:hyperlink>
    </w:p>
    <w:p>
      <w:pPr>
        <w:tabs>
          <w:tab w:val="right" w:leader="dot" w:pos="9062"/>
        </w:tabs>
        <w:ind w:left="440"/>
      </w:pPr>
      <w:hyperlink w:anchor="_Toc6841" w:history="1">
        <w:r>
          <w:rPr>
            <w:rFonts w:ascii="IRNazanin" w:hAnsi="IRNazanin" w:eastAsia="IRNazanin" w:cs="IRNazanin"/>
            <w:color w:val="111111"/>
            <w:sz w:val="22"/>
            <w:szCs w:val="22"/>
            <w:b w:val="0"/>
            <w:bCs w:val="0"/>
            <w:i w:val="0"/>
            <w:iCs w:val="0"/>
          </w:rPr>
          <w:t>دیوان گلشنی شبستری‏</w:t>
        </w:r>
        <w:r>
          <w:tab/>
        </w:r>
        <w:r>
          <w:fldChar w:fldCharType="begin"/>
        </w:r>
        <w:r>
          <w:instrText xml:space="preserve">PAGEREF 6841 \h</w:instrText>
        </w:r>
        <w:r>
          <w:fldChar w:fldCharType="end"/>
        </w:r>
      </w:hyperlink>
    </w:p>
    <w:p>
      <w:pPr>
        <w:tabs>
          <w:tab w:val="right" w:leader="dot" w:pos="9062"/>
        </w:tabs>
        <w:ind w:left="440"/>
      </w:pPr>
      <w:hyperlink w:anchor="_Toc6842" w:history="1">
        <w:r>
          <w:rPr>
            <w:rFonts w:ascii="IRNazanin" w:hAnsi="IRNazanin" w:eastAsia="IRNazanin" w:cs="IRNazanin"/>
            <w:color w:val="111111"/>
            <w:sz w:val="22"/>
            <w:szCs w:val="22"/>
            <w:b w:val="0"/>
            <w:bCs w:val="0"/>
            <w:i w:val="0"/>
            <w:iCs w:val="0"/>
          </w:rPr>
          <w:t>6153- دیوان گلشنی شیرازی أو شعره‏</w:t>
        </w:r>
        <w:r>
          <w:tab/>
        </w:r>
        <w:r>
          <w:fldChar w:fldCharType="begin"/>
        </w:r>
        <w:r>
          <w:instrText xml:space="preserve">PAGEREF 6842 \h</w:instrText>
        </w:r>
        <w:r>
          <w:fldChar w:fldCharType="end"/>
        </w:r>
      </w:hyperlink>
    </w:p>
    <w:p>
      <w:pPr>
        <w:tabs>
          <w:tab w:val="right" w:leader="dot" w:pos="9062"/>
        </w:tabs>
        <w:ind w:left="440"/>
      </w:pPr>
      <w:hyperlink w:anchor="_Toc6843" w:history="1">
        <w:r>
          <w:rPr>
            <w:rFonts w:ascii="IRNazanin" w:hAnsi="IRNazanin" w:eastAsia="IRNazanin" w:cs="IRNazanin"/>
            <w:color w:val="111111"/>
            <w:sz w:val="22"/>
            <w:szCs w:val="22"/>
            <w:b w:val="0"/>
            <w:bCs w:val="0"/>
            <w:i w:val="0"/>
            <w:iCs w:val="0"/>
          </w:rPr>
          <w:t>6154- دیوان گلشنی شیرازی أو شعره‏</w:t>
        </w:r>
        <w:r>
          <w:tab/>
        </w:r>
        <w:r>
          <w:fldChar w:fldCharType="begin"/>
        </w:r>
        <w:r>
          <w:instrText xml:space="preserve">PAGEREF 6843 \h</w:instrText>
        </w:r>
        <w:r>
          <w:fldChar w:fldCharType="end"/>
        </w:r>
      </w:hyperlink>
    </w:p>
    <w:p>
      <w:pPr>
        <w:tabs>
          <w:tab w:val="right" w:leader="dot" w:pos="9062"/>
        </w:tabs>
        <w:ind w:left="440"/>
      </w:pPr>
      <w:hyperlink w:anchor="_Toc6844" w:history="1">
        <w:r>
          <w:rPr>
            <w:rFonts w:ascii="IRNazanin" w:hAnsi="IRNazanin" w:eastAsia="IRNazanin" w:cs="IRNazanin"/>
            <w:color w:val="111111"/>
            <w:sz w:val="22"/>
            <w:szCs w:val="22"/>
            <w:b w:val="0"/>
            <w:bCs w:val="0"/>
            <w:i w:val="0"/>
            <w:iCs w:val="0"/>
          </w:rPr>
          <w:t>6155- دیوان گلشنی کاشانی أو شعره‏</w:t>
        </w:r>
        <w:r>
          <w:tab/>
        </w:r>
        <w:r>
          <w:fldChar w:fldCharType="begin"/>
        </w:r>
        <w:r>
          <w:instrText xml:space="preserve">PAGEREF 6844 \h</w:instrText>
        </w:r>
        <w:r>
          <w:fldChar w:fldCharType="end"/>
        </w:r>
      </w:hyperlink>
    </w:p>
    <w:p>
      <w:pPr>
        <w:tabs>
          <w:tab w:val="right" w:leader="dot" w:pos="9062"/>
        </w:tabs>
        <w:ind w:left="440"/>
      </w:pPr>
      <w:hyperlink w:anchor="_Toc6845" w:history="1">
        <w:r>
          <w:rPr>
            <w:rFonts w:ascii="IRNazanin" w:hAnsi="IRNazanin" w:eastAsia="IRNazanin" w:cs="IRNazanin"/>
            <w:color w:val="111111"/>
            <w:sz w:val="22"/>
            <w:szCs w:val="22"/>
            <w:b w:val="0"/>
            <w:bCs w:val="0"/>
            <w:i w:val="0"/>
            <w:iCs w:val="0"/>
          </w:rPr>
          <w:t>6156- دیوان گل‏محمد نقشبندی‏</w:t>
        </w:r>
        <w:r>
          <w:tab/>
        </w:r>
        <w:r>
          <w:fldChar w:fldCharType="begin"/>
        </w:r>
        <w:r>
          <w:instrText xml:space="preserve">PAGEREF 6845 \h</w:instrText>
        </w:r>
        <w:r>
          <w:fldChar w:fldCharType="end"/>
        </w:r>
      </w:hyperlink>
    </w:p>
    <w:p>
      <w:pPr>
        <w:tabs>
          <w:tab w:val="right" w:leader="dot" w:pos="9062"/>
        </w:tabs>
        <w:ind w:left="440"/>
      </w:pPr>
      <w:hyperlink w:anchor="_Toc6846" w:history="1">
        <w:r>
          <w:rPr>
            <w:rFonts w:ascii="IRNazanin" w:hAnsi="IRNazanin" w:eastAsia="IRNazanin" w:cs="IRNazanin"/>
            <w:color w:val="111111"/>
            <w:sz w:val="22"/>
            <w:szCs w:val="22"/>
            <w:b w:val="0"/>
            <w:bCs w:val="0"/>
            <w:i w:val="0"/>
            <w:iCs w:val="0"/>
          </w:rPr>
          <w:t>6157- دیوان گم نام تفرشی‏</w:t>
        </w:r>
        <w:r>
          <w:tab/>
        </w:r>
        <w:r>
          <w:fldChar w:fldCharType="begin"/>
        </w:r>
        <w:r>
          <w:instrText xml:space="preserve">PAGEREF 6846 \h</w:instrText>
        </w:r>
        <w:r>
          <w:fldChar w:fldCharType="end"/>
        </w:r>
      </w:hyperlink>
    </w:p>
    <w:p>
      <w:pPr>
        <w:tabs>
          <w:tab w:val="right" w:leader="dot" w:pos="9062"/>
        </w:tabs>
        <w:ind w:left="440"/>
      </w:pPr>
      <w:hyperlink w:anchor="_Toc6847" w:history="1">
        <w:r>
          <w:rPr>
            <w:rFonts w:ascii="IRNazanin" w:hAnsi="IRNazanin" w:eastAsia="IRNazanin" w:cs="IRNazanin"/>
            <w:color w:val="111111"/>
            <w:sz w:val="22"/>
            <w:szCs w:val="22"/>
            <w:b w:val="0"/>
            <w:bCs w:val="0"/>
            <w:i w:val="0"/>
            <w:iCs w:val="0"/>
          </w:rPr>
          <w:t>6158- دیوان گم نام هندی‏</w:t>
        </w:r>
        <w:r>
          <w:tab/>
        </w:r>
        <w:r>
          <w:fldChar w:fldCharType="begin"/>
        </w:r>
        <w:r>
          <w:instrText xml:space="preserve">PAGEREF 6847 \h</w:instrText>
        </w:r>
        <w:r>
          <w:fldChar w:fldCharType="end"/>
        </w:r>
      </w:hyperlink>
    </w:p>
    <w:p>
      <w:pPr>
        <w:tabs>
          <w:tab w:val="right" w:leader="dot" w:pos="9062"/>
        </w:tabs>
        <w:ind w:left="440"/>
      </w:pPr>
      <w:hyperlink w:anchor="_Toc6848" w:history="1">
        <w:r>
          <w:rPr>
            <w:rFonts w:ascii="IRNazanin" w:hAnsi="IRNazanin" w:eastAsia="IRNazanin" w:cs="IRNazanin"/>
            <w:color w:val="111111"/>
            <w:sz w:val="22"/>
            <w:szCs w:val="22"/>
            <w:b w:val="0"/>
            <w:bCs w:val="0"/>
            <w:i w:val="0"/>
            <w:iCs w:val="0"/>
          </w:rPr>
          <w:t>6159- دیوان گنابیگم هندی‏</w:t>
        </w:r>
        <w:r>
          <w:tab/>
        </w:r>
        <w:r>
          <w:fldChar w:fldCharType="begin"/>
        </w:r>
        <w:r>
          <w:instrText xml:space="preserve">PAGEREF 6848 \h</w:instrText>
        </w:r>
        <w:r>
          <w:fldChar w:fldCharType="end"/>
        </w:r>
      </w:hyperlink>
    </w:p>
    <w:p>
      <w:pPr>
        <w:tabs>
          <w:tab w:val="right" w:leader="dot" w:pos="9062"/>
        </w:tabs>
        <w:ind w:left="440"/>
      </w:pPr>
      <w:hyperlink w:anchor="_Toc6849" w:history="1">
        <w:r>
          <w:rPr>
            <w:rFonts w:ascii="IRNazanin" w:hAnsi="IRNazanin" w:eastAsia="IRNazanin" w:cs="IRNazanin"/>
            <w:color w:val="111111"/>
            <w:sz w:val="22"/>
            <w:szCs w:val="22"/>
            <w:b w:val="0"/>
            <w:bCs w:val="0"/>
            <w:i w:val="0"/>
            <w:iCs w:val="0"/>
          </w:rPr>
          <w:t>دیوان گنجوی‏</w:t>
        </w:r>
        <w:r>
          <w:tab/>
        </w:r>
        <w:r>
          <w:fldChar w:fldCharType="begin"/>
        </w:r>
        <w:r>
          <w:instrText xml:space="preserve">PAGEREF 6849 \h</w:instrText>
        </w:r>
        <w:r>
          <w:fldChar w:fldCharType="end"/>
        </w:r>
      </w:hyperlink>
    </w:p>
    <w:p>
      <w:pPr>
        <w:tabs>
          <w:tab w:val="right" w:leader="dot" w:pos="9062"/>
        </w:tabs>
        <w:ind w:left="440"/>
      </w:pPr>
      <w:hyperlink w:anchor="_Toc6850" w:history="1">
        <w:r>
          <w:rPr>
            <w:rFonts w:ascii="IRNazanin" w:hAnsi="IRNazanin" w:eastAsia="IRNazanin" w:cs="IRNazanin"/>
            <w:color w:val="111111"/>
            <w:sz w:val="22"/>
            <w:szCs w:val="22"/>
            <w:b w:val="0"/>
            <w:bCs w:val="0"/>
            <w:i w:val="0"/>
            <w:iCs w:val="0"/>
          </w:rPr>
          <w:t>6160- دیوان گنجی آذربایجانی أو شعره‏</w:t>
        </w:r>
        <w:r>
          <w:tab/>
        </w:r>
        <w:r>
          <w:fldChar w:fldCharType="begin"/>
        </w:r>
        <w:r>
          <w:instrText xml:space="preserve">PAGEREF 6850 \h</w:instrText>
        </w:r>
        <w:r>
          <w:fldChar w:fldCharType="end"/>
        </w:r>
      </w:hyperlink>
    </w:p>
    <w:p>
      <w:pPr>
        <w:tabs>
          <w:tab w:val="right" w:leader="dot" w:pos="9062"/>
        </w:tabs>
        <w:ind w:left="440"/>
      </w:pPr>
      <w:hyperlink w:anchor="_Toc6851" w:history="1">
        <w:r>
          <w:rPr>
            <w:rFonts w:ascii="IRNazanin" w:hAnsi="IRNazanin" w:eastAsia="IRNazanin" w:cs="IRNazanin"/>
            <w:color w:val="111111"/>
            <w:sz w:val="22"/>
            <w:szCs w:val="22"/>
            <w:b w:val="0"/>
            <w:bCs w:val="0"/>
            <w:i w:val="0"/>
            <w:iCs w:val="0"/>
          </w:rPr>
          <w:t>6161- دیوان گنجی جرفادقانی أو شعره‏</w:t>
        </w:r>
        <w:r>
          <w:tab/>
        </w:r>
        <w:r>
          <w:fldChar w:fldCharType="begin"/>
        </w:r>
        <w:r>
          <w:instrText xml:space="preserve">PAGEREF 6851 \h</w:instrText>
        </w:r>
        <w:r>
          <w:fldChar w:fldCharType="end"/>
        </w:r>
      </w:hyperlink>
    </w:p>
    <w:p>
      <w:pPr>
        <w:tabs>
          <w:tab w:val="right" w:leader="dot" w:pos="9062"/>
        </w:tabs>
        <w:ind w:left="440"/>
      </w:pPr>
      <w:hyperlink w:anchor="_Toc6852" w:history="1">
        <w:r>
          <w:rPr>
            <w:rFonts w:ascii="IRNazanin" w:hAnsi="IRNazanin" w:eastAsia="IRNazanin" w:cs="IRNazanin"/>
            <w:color w:val="111111"/>
            <w:sz w:val="22"/>
            <w:szCs w:val="22"/>
            <w:b w:val="0"/>
            <w:bCs w:val="0"/>
            <w:i w:val="0"/>
            <w:iCs w:val="0"/>
          </w:rPr>
          <w:t>6162- دیوان گوهر آذربایجانی‏</w:t>
        </w:r>
        <w:r>
          <w:tab/>
        </w:r>
        <w:r>
          <w:fldChar w:fldCharType="begin"/>
        </w:r>
        <w:r>
          <w:instrText xml:space="preserve">PAGEREF 6852 \h</w:instrText>
        </w:r>
        <w:r>
          <w:fldChar w:fldCharType="end"/>
        </w:r>
      </w:hyperlink>
    </w:p>
    <w:p>
      <w:pPr>
        <w:tabs>
          <w:tab w:val="right" w:leader="dot" w:pos="9062"/>
        </w:tabs>
        <w:ind w:left="440"/>
      </w:pPr>
      <w:hyperlink w:anchor="_Toc6853" w:history="1">
        <w:r>
          <w:rPr>
            <w:rFonts w:ascii="IRNazanin" w:hAnsi="IRNazanin" w:eastAsia="IRNazanin" w:cs="IRNazanin"/>
            <w:color w:val="111111"/>
            <w:sz w:val="22"/>
            <w:szCs w:val="22"/>
            <w:b w:val="0"/>
            <w:bCs w:val="0"/>
            <w:i w:val="0"/>
            <w:iCs w:val="0"/>
          </w:rPr>
          <w:t>6163- دیوان گوهر أصفهانی أو شعره‏</w:t>
        </w:r>
        <w:r>
          <w:tab/>
        </w:r>
        <w:r>
          <w:fldChar w:fldCharType="begin"/>
        </w:r>
        <w:r>
          <w:instrText xml:space="preserve">PAGEREF 6853 \h</w:instrText>
        </w:r>
        <w:r>
          <w:fldChar w:fldCharType="end"/>
        </w:r>
      </w:hyperlink>
    </w:p>
    <w:p>
      <w:pPr>
        <w:tabs>
          <w:tab w:val="right" w:leader="dot" w:pos="9062"/>
        </w:tabs>
        <w:ind w:left="440"/>
      </w:pPr>
      <w:hyperlink w:anchor="_Toc6854" w:history="1">
        <w:r>
          <w:rPr>
            <w:rFonts w:ascii="IRNazanin" w:hAnsi="IRNazanin" w:eastAsia="IRNazanin" w:cs="IRNazanin"/>
            <w:color w:val="111111"/>
            <w:sz w:val="22"/>
            <w:szCs w:val="22"/>
            <w:b w:val="0"/>
            <w:bCs w:val="0"/>
            <w:i w:val="0"/>
            <w:iCs w:val="0"/>
          </w:rPr>
          <w:t>دیوان گوهر خاوری‏</w:t>
        </w:r>
        <w:r>
          <w:tab/>
        </w:r>
        <w:r>
          <w:fldChar w:fldCharType="begin"/>
        </w:r>
        <w:r>
          <w:instrText xml:space="preserve">PAGEREF 6854 \h</w:instrText>
        </w:r>
        <w:r>
          <w:fldChar w:fldCharType="end"/>
        </w:r>
      </w:hyperlink>
    </w:p>
    <w:p>
      <w:pPr>
        <w:tabs>
          <w:tab w:val="right" w:leader="dot" w:pos="9062"/>
        </w:tabs>
        <w:ind w:left="440"/>
      </w:pPr>
      <w:hyperlink w:anchor="_Toc6855" w:history="1">
        <w:r>
          <w:rPr>
            <w:rFonts w:ascii="IRNazanin" w:hAnsi="IRNazanin" w:eastAsia="IRNazanin" w:cs="IRNazanin"/>
            <w:color w:val="111111"/>
            <w:sz w:val="22"/>
            <w:szCs w:val="22"/>
            <w:b w:val="0"/>
            <w:bCs w:val="0"/>
            <w:i w:val="0"/>
            <w:iCs w:val="0"/>
          </w:rPr>
          <w:t>6164- دیوان گوهر کرمانی‏</w:t>
        </w:r>
        <w:r>
          <w:tab/>
        </w:r>
        <w:r>
          <w:fldChar w:fldCharType="begin"/>
        </w:r>
        <w:r>
          <w:instrText xml:space="preserve">PAGEREF 6855 \h</w:instrText>
        </w:r>
        <w:r>
          <w:fldChar w:fldCharType="end"/>
        </w:r>
      </w:hyperlink>
    </w:p>
    <w:p>
      <w:pPr>
        <w:tabs>
          <w:tab w:val="right" w:leader="dot" w:pos="9062"/>
        </w:tabs>
        <w:ind w:left="440"/>
      </w:pPr>
      <w:hyperlink w:anchor="_Toc6856" w:history="1">
        <w:r>
          <w:rPr>
            <w:rFonts w:ascii="IRNazanin" w:hAnsi="IRNazanin" w:eastAsia="IRNazanin" w:cs="IRNazanin"/>
            <w:color w:val="111111"/>
            <w:sz w:val="22"/>
            <w:szCs w:val="22"/>
            <w:b w:val="0"/>
            <w:bCs w:val="0"/>
            <w:i w:val="0"/>
            <w:iCs w:val="0"/>
          </w:rPr>
          <w:t>6165- دیوان گوهر قاجار</w:t>
        </w:r>
        <w:r>
          <w:tab/>
        </w:r>
        <w:r>
          <w:fldChar w:fldCharType="begin"/>
        </w:r>
        <w:r>
          <w:instrText xml:space="preserve">PAGEREF 6856 \h</w:instrText>
        </w:r>
        <w:r>
          <w:fldChar w:fldCharType="end"/>
        </w:r>
      </w:hyperlink>
    </w:p>
    <w:p>
      <w:pPr>
        <w:tabs>
          <w:tab w:val="right" w:leader="dot" w:pos="9062"/>
        </w:tabs>
        <w:ind w:left="440"/>
      </w:pPr>
      <w:hyperlink w:anchor="_Toc6857" w:history="1">
        <w:r>
          <w:rPr>
            <w:rFonts w:ascii="IRNazanin" w:hAnsi="IRNazanin" w:eastAsia="IRNazanin" w:cs="IRNazanin"/>
            <w:color w:val="111111"/>
            <w:sz w:val="22"/>
            <w:szCs w:val="22"/>
            <w:b w:val="0"/>
            <w:bCs w:val="0"/>
            <w:i w:val="0"/>
            <w:iCs w:val="0"/>
          </w:rPr>
          <w:t>6166- دیوان گوهر مدراسی‏</w:t>
        </w:r>
        <w:r>
          <w:tab/>
        </w:r>
        <w:r>
          <w:fldChar w:fldCharType="begin"/>
        </w:r>
        <w:r>
          <w:instrText xml:space="preserve">PAGEREF 6857 \h</w:instrText>
        </w:r>
        <w:r>
          <w:fldChar w:fldCharType="end"/>
        </w:r>
      </w:hyperlink>
    </w:p>
    <w:p>
      <w:pPr>
        <w:tabs>
          <w:tab w:val="right" w:leader="dot" w:pos="9062"/>
        </w:tabs>
        <w:ind w:left="440"/>
      </w:pPr>
      <w:hyperlink w:anchor="_Toc6858" w:history="1">
        <w:r>
          <w:rPr>
            <w:rFonts w:ascii="IRNazanin" w:hAnsi="IRNazanin" w:eastAsia="IRNazanin" w:cs="IRNazanin"/>
            <w:color w:val="111111"/>
            <w:sz w:val="22"/>
            <w:szCs w:val="22"/>
            <w:b w:val="0"/>
            <w:bCs w:val="0"/>
            <w:i w:val="0"/>
            <w:iCs w:val="0"/>
          </w:rPr>
          <w:t>6167- دیوان گوهری‏</w:t>
        </w:r>
        <w:r>
          <w:tab/>
        </w:r>
        <w:r>
          <w:fldChar w:fldCharType="begin"/>
        </w:r>
        <w:r>
          <w:instrText xml:space="preserve">PAGEREF 6858 \h</w:instrText>
        </w:r>
        <w:r>
          <w:fldChar w:fldCharType="end"/>
        </w:r>
      </w:hyperlink>
    </w:p>
    <w:p>
      <w:pPr>
        <w:tabs>
          <w:tab w:val="right" w:leader="dot" w:pos="9062"/>
        </w:tabs>
        <w:ind w:left="440"/>
      </w:pPr>
      <w:hyperlink w:anchor="_Toc6859" w:history="1">
        <w:r>
          <w:rPr>
            <w:rFonts w:ascii="IRNazanin" w:hAnsi="IRNazanin" w:eastAsia="IRNazanin" w:cs="IRNazanin"/>
            <w:color w:val="111111"/>
            <w:sz w:val="22"/>
            <w:szCs w:val="22"/>
            <w:b w:val="0"/>
            <w:bCs w:val="0"/>
            <w:i w:val="0"/>
            <w:iCs w:val="0"/>
          </w:rPr>
          <w:t>6168- دیوان گویای أصفهانی‏</w:t>
        </w:r>
        <w:r>
          <w:tab/>
        </w:r>
        <w:r>
          <w:fldChar w:fldCharType="begin"/>
        </w:r>
        <w:r>
          <w:instrText xml:space="preserve">PAGEREF 6859 \h</w:instrText>
        </w:r>
        <w:r>
          <w:fldChar w:fldCharType="end"/>
        </w:r>
      </w:hyperlink>
    </w:p>
    <w:p>
      <w:pPr>
        <w:tabs>
          <w:tab w:val="right" w:leader="dot" w:pos="9062"/>
        </w:tabs>
        <w:ind w:left="440"/>
      </w:pPr>
      <w:hyperlink w:anchor="_Toc6860" w:history="1">
        <w:r>
          <w:rPr>
            <w:rFonts w:ascii="IRNazanin" w:hAnsi="IRNazanin" w:eastAsia="IRNazanin" w:cs="IRNazanin"/>
            <w:color w:val="111111"/>
            <w:sz w:val="22"/>
            <w:szCs w:val="22"/>
            <w:b w:val="0"/>
            <w:bCs w:val="0"/>
            <w:i w:val="0"/>
            <w:iCs w:val="0"/>
          </w:rPr>
          <w:t>6169- دیوان گویای بواناتی‏</w:t>
        </w:r>
        <w:r>
          <w:tab/>
        </w:r>
        <w:r>
          <w:fldChar w:fldCharType="begin"/>
        </w:r>
        <w:r>
          <w:instrText xml:space="preserve">PAGEREF 6860 \h</w:instrText>
        </w:r>
        <w:r>
          <w:fldChar w:fldCharType="end"/>
        </w:r>
      </w:hyperlink>
    </w:p>
    <w:p>
      <w:pPr>
        <w:tabs>
          <w:tab w:val="right" w:leader="dot" w:pos="9062"/>
        </w:tabs>
        <w:ind w:left="440"/>
      </w:pPr>
      <w:hyperlink w:anchor="_Toc6861" w:history="1">
        <w:r>
          <w:rPr>
            <w:rFonts w:ascii="IRNazanin" w:hAnsi="IRNazanin" w:eastAsia="IRNazanin" w:cs="IRNazanin"/>
            <w:color w:val="111111"/>
            <w:sz w:val="22"/>
            <w:szCs w:val="22"/>
            <w:b w:val="0"/>
            <w:bCs w:val="0"/>
            <w:i w:val="0"/>
            <w:iCs w:val="0"/>
          </w:rPr>
          <w:t>6170- دیوان گویای تبریزی‏</w:t>
        </w:r>
        <w:r>
          <w:tab/>
        </w:r>
        <w:r>
          <w:fldChar w:fldCharType="begin"/>
        </w:r>
        <w:r>
          <w:instrText xml:space="preserve">PAGEREF 6861 \h</w:instrText>
        </w:r>
        <w:r>
          <w:fldChar w:fldCharType="end"/>
        </w:r>
      </w:hyperlink>
    </w:p>
    <w:p>
      <w:pPr>
        <w:tabs>
          <w:tab w:val="right" w:leader="dot" w:pos="9062"/>
        </w:tabs>
        <w:ind w:left="440"/>
      </w:pPr>
      <w:hyperlink w:anchor="_Toc6862" w:history="1">
        <w:r>
          <w:rPr>
            <w:rFonts w:ascii="IRNazanin" w:hAnsi="IRNazanin" w:eastAsia="IRNazanin" w:cs="IRNazanin"/>
            <w:color w:val="111111"/>
            <w:sz w:val="22"/>
            <w:szCs w:val="22"/>
            <w:b w:val="0"/>
            <w:bCs w:val="0"/>
            <w:i w:val="0"/>
            <w:iCs w:val="0"/>
          </w:rPr>
          <w:t>6171- دیوان گویای لکهنوی‏</w:t>
        </w:r>
        <w:r>
          <w:tab/>
        </w:r>
        <w:r>
          <w:fldChar w:fldCharType="begin"/>
        </w:r>
        <w:r>
          <w:instrText xml:space="preserve">PAGEREF 6862 \h</w:instrText>
        </w:r>
        <w:r>
          <w:fldChar w:fldCharType="end"/>
        </w:r>
      </w:hyperlink>
    </w:p>
    <w:p>
      <w:pPr>
        <w:tabs>
          <w:tab w:val="right" w:leader="dot" w:pos="9062"/>
        </w:tabs>
        <w:ind w:left="440"/>
      </w:pPr>
      <w:hyperlink w:anchor="_Toc6863" w:history="1">
        <w:r>
          <w:rPr>
            <w:rFonts w:ascii="IRNazanin" w:hAnsi="IRNazanin" w:eastAsia="IRNazanin" w:cs="IRNazanin"/>
            <w:color w:val="111111"/>
            <w:sz w:val="22"/>
            <w:szCs w:val="22"/>
            <w:b w:val="0"/>
            <w:bCs w:val="0"/>
            <w:i w:val="0"/>
            <w:iCs w:val="0"/>
          </w:rPr>
          <w:t>6172- دیوان گیسو دراز</w:t>
        </w:r>
        <w:r>
          <w:tab/>
        </w:r>
        <w:r>
          <w:fldChar w:fldCharType="begin"/>
        </w:r>
        <w:r>
          <w:instrText xml:space="preserve">PAGEREF 6863 \h</w:instrText>
        </w:r>
        <w:r>
          <w:fldChar w:fldCharType="end"/>
        </w:r>
      </w:hyperlink>
    </w:p>
    <w:p>
      <w:pPr>
        <w:tabs>
          <w:tab w:val="right" w:leader="dot" w:pos="9062"/>
        </w:tabs>
        <w:ind w:left="440"/>
      </w:pPr>
      <w:hyperlink w:anchor="_Toc6864" w:history="1">
        <w:r>
          <w:rPr>
            <w:rFonts w:ascii="IRNazanin" w:hAnsi="IRNazanin" w:eastAsia="IRNazanin" w:cs="IRNazanin"/>
            <w:color w:val="111111"/>
            <w:sz w:val="22"/>
            <w:szCs w:val="22"/>
            <w:b w:val="0"/>
            <w:bCs w:val="0"/>
            <w:i w:val="0"/>
            <w:iCs w:val="0"/>
          </w:rPr>
          <w:t>ل‏</w:t>
        </w:r>
        <w:r>
          <w:tab/>
        </w:r>
        <w:r>
          <w:fldChar w:fldCharType="begin"/>
        </w:r>
        <w:r>
          <w:instrText xml:space="preserve">PAGEREF 6864 \h</w:instrText>
        </w:r>
        <w:r>
          <w:fldChar w:fldCharType="end"/>
        </w:r>
      </w:hyperlink>
    </w:p>
    <w:p>
      <w:pPr>
        <w:tabs>
          <w:tab w:val="right" w:leader="dot" w:pos="9062"/>
        </w:tabs>
        <w:ind w:left="440"/>
      </w:pPr>
      <w:hyperlink w:anchor="_Toc6865" w:history="1">
        <w:r>
          <w:rPr>
            <w:rFonts w:ascii="IRNazanin" w:hAnsi="IRNazanin" w:eastAsia="IRNazanin" w:cs="IRNazanin"/>
            <w:color w:val="111111"/>
            <w:sz w:val="22"/>
            <w:szCs w:val="22"/>
            <w:b w:val="0"/>
            <w:bCs w:val="0"/>
            <w:i w:val="0"/>
            <w:iCs w:val="0"/>
          </w:rPr>
          <w:t>دیوان لائق‏</w:t>
        </w:r>
        <w:r>
          <w:tab/>
        </w:r>
        <w:r>
          <w:fldChar w:fldCharType="begin"/>
        </w:r>
        <w:r>
          <w:instrText xml:space="preserve">PAGEREF 6865 \h</w:instrText>
        </w:r>
        <w:r>
          <w:fldChar w:fldCharType="end"/>
        </w:r>
      </w:hyperlink>
    </w:p>
    <w:p>
      <w:pPr>
        <w:tabs>
          <w:tab w:val="right" w:leader="dot" w:pos="9062"/>
        </w:tabs>
        <w:ind w:left="440"/>
      </w:pPr>
      <w:hyperlink w:anchor="_Toc6866" w:history="1">
        <w:r>
          <w:rPr>
            <w:rFonts w:ascii="IRNazanin" w:hAnsi="IRNazanin" w:eastAsia="IRNazanin" w:cs="IRNazanin"/>
            <w:color w:val="111111"/>
            <w:sz w:val="22"/>
            <w:szCs w:val="22"/>
            <w:b w:val="0"/>
            <w:bCs w:val="0"/>
            <w:i w:val="0"/>
            <w:iCs w:val="0"/>
          </w:rPr>
          <w:t>دیوان لاری‏</w:t>
        </w:r>
        <w:r>
          <w:tab/>
        </w:r>
        <w:r>
          <w:fldChar w:fldCharType="begin"/>
        </w:r>
        <w:r>
          <w:instrText xml:space="preserve">PAGEREF 6866 \h</w:instrText>
        </w:r>
        <w:r>
          <w:fldChar w:fldCharType="end"/>
        </w:r>
      </w:hyperlink>
    </w:p>
    <w:p>
      <w:pPr>
        <w:tabs>
          <w:tab w:val="right" w:leader="dot" w:pos="9062"/>
        </w:tabs>
        <w:ind w:left="440"/>
      </w:pPr>
      <w:hyperlink w:anchor="_Toc6867" w:history="1">
        <w:r>
          <w:rPr>
            <w:rFonts w:ascii="IRNazanin" w:hAnsi="IRNazanin" w:eastAsia="IRNazanin" w:cs="IRNazanin"/>
            <w:color w:val="111111"/>
            <w:sz w:val="22"/>
            <w:szCs w:val="22"/>
            <w:b w:val="0"/>
            <w:bCs w:val="0"/>
            <w:i w:val="0"/>
            <w:iCs w:val="0"/>
          </w:rPr>
          <w:t>6173- دیوان لاطف تبریزی‏</w:t>
        </w:r>
        <w:r>
          <w:tab/>
        </w:r>
        <w:r>
          <w:fldChar w:fldCharType="begin"/>
        </w:r>
        <w:r>
          <w:instrText xml:space="preserve">PAGEREF 6867 \h</w:instrText>
        </w:r>
        <w:r>
          <w:fldChar w:fldCharType="end"/>
        </w:r>
      </w:hyperlink>
    </w:p>
    <w:p>
      <w:pPr>
        <w:tabs>
          <w:tab w:val="right" w:leader="dot" w:pos="9062"/>
        </w:tabs>
        <w:ind w:left="440"/>
      </w:pPr>
      <w:hyperlink w:anchor="_Toc6868" w:history="1">
        <w:r>
          <w:rPr>
            <w:rFonts w:ascii="IRNazanin" w:hAnsi="IRNazanin" w:eastAsia="IRNazanin" w:cs="IRNazanin"/>
            <w:color w:val="111111"/>
            <w:sz w:val="22"/>
            <w:szCs w:val="22"/>
            <w:b w:val="0"/>
            <w:bCs w:val="0"/>
            <w:i w:val="0"/>
            <w:iCs w:val="0"/>
          </w:rPr>
          <w:t>6174- دیوان لاغر سیستانی‏</w:t>
        </w:r>
        <w:r>
          <w:tab/>
        </w:r>
        <w:r>
          <w:fldChar w:fldCharType="begin"/>
        </w:r>
        <w:r>
          <w:instrText xml:space="preserve">PAGEREF 6868 \h</w:instrText>
        </w:r>
        <w:r>
          <w:fldChar w:fldCharType="end"/>
        </w:r>
      </w:hyperlink>
    </w:p>
    <w:p>
      <w:pPr>
        <w:tabs>
          <w:tab w:val="right" w:leader="dot" w:pos="9062"/>
        </w:tabs>
        <w:ind w:left="440"/>
      </w:pPr>
      <w:hyperlink w:anchor="_Toc6869" w:history="1">
        <w:r>
          <w:rPr>
            <w:rFonts w:ascii="IRNazanin" w:hAnsi="IRNazanin" w:eastAsia="IRNazanin" w:cs="IRNazanin"/>
            <w:color w:val="111111"/>
            <w:sz w:val="22"/>
            <w:szCs w:val="22"/>
            <w:b w:val="0"/>
            <w:bCs w:val="0"/>
            <w:i w:val="0"/>
            <w:iCs w:val="0"/>
          </w:rPr>
          <w:t>دیوان لالای غزنوی‏</w:t>
        </w:r>
        <w:r>
          <w:tab/>
        </w:r>
        <w:r>
          <w:fldChar w:fldCharType="begin"/>
        </w:r>
        <w:r>
          <w:instrText xml:space="preserve">PAGEREF 6869 \h</w:instrText>
        </w:r>
        <w:r>
          <w:fldChar w:fldCharType="end"/>
        </w:r>
      </w:hyperlink>
    </w:p>
    <w:p>
      <w:pPr>
        <w:tabs>
          <w:tab w:val="right" w:leader="dot" w:pos="9062"/>
        </w:tabs>
        <w:ind w:left="440"/>
      </w:pPr>
      <w:hyperlink w:anchor="_Toc6870" w:history="1">
        <w:r>
          <w:rPr>
            <w:rFonts w:ascii="IRNazanin" w:hAnsi="IRNazanin" w:eastAsia="IRNazanin" w:cs="IRNazanin"/>
            <w:color w:val="111111"/>
            <w:sz w:val="22"/>
            <w:szCs w:val="22"/>
            <w:b w:val="0"/>
            <w:bCs w:val="0"/>
            <w:i w:val="0"/>
            <w:iCs w:val="0"/>
          </w:rPr>
          <w:t>6175- دیوان لاله خاتون کرمانی‏</w:t>
        </w:r>
        <w:r>
          <w:tab/>
        </w:r>
        <w:r>
          <w:fldChar w:fldCharType="begin"/>
        </w:r>
        <w:r>
          <w:instrText xml:space="preserve">PAGEREF 6870 \h</w:instrText>
        </w:r>
        <w:r>
          <w:fldChar w:fldCharType="end"/>
        </w:r>
      </w:hyperlink>
    </w:p>
    <w:p>
      <w:pPr>
        <w:tabs>
          <w:tab w:val="right" w:leader="dot" w:pos="9062"/>
        </w:tabs>
        <w:ind w:left="440"/>
      </w:pPr>
      <w:hyperlink w:anchor="_Toc6871" w:history="1">
        <w:r>
          <w:rPr>
            <w:rFonts w:ascii="IRNazanin" w:hAnsi="IRNazanin" w:eastAsia="IRNazanin" w:cs="IRNazanin"/>
            <w:color w:val="111111"/>
            <w:sz w:val="22"/>
            <w:szCs w:val="22"/>
            <w:b w:val="0"/>
            <w:bCs w:val="0"/>
            <w:i w:val="0"/>
            <w:iCs w:val="0"/>
          </w:rPr>
          <w:t>6176- دیوان لآلی سبزواری أو شعره‏</w:t>
        </w:r>
        <w:r>
          <w:tab/>
        </w:r>
        <w:r>
          <w:fldChar w:fldCharType="begin"/>
        </w:r>
        <w:r>
          <w:instrText xml:space="preserve">PAGEREF 6871 \h</w:instrText>
        </w:r>
        <w:r>
          <w:fldChar w:fldCharType="end"/>
        </w:r>
      </w:hyperlink>
    </w:p>
    <w:p>
      <w:pPr>
        <w:tabs>
          <w:tab w:val="right" w:leader="dot" w:pos="9062"/>
        </w:tabs>
        <w:ind w:left="440"/>
      </w:pPr>
      <w:hyperlink w:anchor="_Toc6872" w:history="1">
        <w:r>
          <w:rPr>
            <w:rFonts w:ascii="IRNazanin" w:hAnsi="IRNazanin" w:eastAsia="IRNazanin" w:cs="IRNazanin"/>
            <w:color w:val="111111"/>
            <w:sz w:val="22"/>
            <w:szCs w:val="22"/>
            <w:b w:val="0"/>
            <w:bCs w:val="0"/>
            <w:i w:val="0"/>
            <w:iCs w:val="0"/>
          </w:rPr>
          <w:t>6177- دیوان کلان همدانی أو شعره‏</w:t>
        </w:r>
        <w:r>
          <w:tab/>
        </w:r>
        <w:r>
          <w:fldChar w:fldCharType="begin"/>
        </w:r>
        <w:r>
          <w:instrText xml:space="preserve">PAGEREF 6872 \h</w:instrText>
        </w:r>
        <w:r>
          <w:fldChar w:fldCharType="end"/>
        </w:r>
      </w:hyperlink>
    </w:p>
    <w:p>
      <w:pPr>
        <w:tabs>
          <w:tab w:val="right" w:leader="dot" w:pos="9062"/>
        </w:tabs>
        <w:ind w:left="440"/>
      </w:pPr>
      <w:hyperlink w:anchor="_Toc6873" w:history="1">
        <w:r>
          <w:rPr>
            <w:rFonts w:ascii="IRNazanin" w:hAnsi="IRNazanin" w:eastAsia="IRNazanin" w:cs="IRNazanin"/>
            <w:color w:val="111111"/>
            <w:sz w:val="22"/>
            <w:szCs w:val="22"/>
            <w:b w:val="0"/>
            <w:bCs w:val="0"/>
            <w:i w:val="0"/>
            <w:iCs w:val="0"/>
          </w:rPr>
          <w:t>6178- دیوان لامع نسفی أو شعره‏</w:t>
        </w:r>
        <w:r>
          <w:tab/>
        </w:r>
        <w:r>
          <w:fldChar w:fldCharType="begin"/>
        </w:r>
        <w:r>
          <w:instrText xml:space="preserve">PAGEREF 6873 \h</w:instrText>
        </w:r>
        <w:r>
          <w:fldChar w:fldCharType="end"/>
        </w:r>
      </w:hyperlink>
    </w:p>
    <w:p>
      <w:pPr>
        <w:tabs>
          <w:tab w:val="right" w:leader="dot" w:pos="9062"/>
        </w:tabs>
        <w:ind w:left="440"/>
      </w:pPr>
      <w:hyperlink w:anchor="_Toc6874" w:history="1">
        <w:r>
          <w:rPr>
            <w:rFonts w:ascii="IRNazanin" w:hAnsi="IRNazanin" w:eastAsia="IRNazanin" w:cs="IRNazanin"/>
            <w:color w:val="111111"/>
            <w:sz w:val="22"/>
            <w:szCs w:val="22"/>
            <w:b w:val="0"/>
            <w:bCs w:val="0"/>
            <w:i w:val="0"/>
            <w:iCs w:val="0"/>
          </w:rPr>
          <w:t>6179- دیوان لامع همدانی‏</w:t>
        </w:r>
        <w:r>
          <w:tab/>
        </w:r>
        <w:r>
          <w:fldChar w:fldCharType="begin"/>
        </w:r>
        <w:r>
          <w:instrText xml:space="preserve">PAGEREF 6874 \h</w:instrText>
        </w:r>
        <w:r>
          <w:fldChar w:fldCharType="end"/>
        </w:r>
      </w:hyperlink>
    </w:p>
    <w:p>
      <w:pPr>
        <w:tabs>
          <w:tab w:val="right" w:leader="dot" w:pos="9062"/>
        </w:tabs>
        <w:ind w:left="440"/>
      </w:pPr>
      <w:hyperlink w:anchor="_Toc6875" w:history="1">
        <w:r>
          <w:rPr>
            <w:rFonts w:ascii="IRNazanin" w:hAnsi="IRNazanin" w:eastAsia="IRNazanin" w:cs="IRNazanin"/>
            <w:color w:val="111111"/>
            <w:sz w:val="22"/>
            <w:szCs w:val="22"/>
            <w:b w:val="0"/>
            <w:bCs w:val="0"/>
            <w:i w:val="0"/>
            <w:iCs w:val="0"/>
          </w:rPr>
          <w:t>6180- دیوان لامعی أکبرآبادی‏</w:t>
        </w:r>
        <w:r>
          <w:tab/>
        </w:r>
        <w:r>
          <w:fldChar w:fldCharType="begin"/>
        </w:r>
        <w:r>
          <w:instrText xml:space="preserve">PAGEREF 6875 \h</w:instrText>
        </w:r>
        <w:r>
          <w:fldChar w:fldCharType="end"/>
        </w:r>
      </w:hyperlink>
    </w:p>
    <w:p>
      <w:pPr>
        <w:tabs>
          <w:tab w:val="right" w:leader="dot" w:pos="9062"/>
        </w:tabs>
        <w:ind w:left="440"/>
      </w:pPr>
      <w:hyperlink w:anchor="_Toc6876" w:history="1">
        <w:r>
          <w:rPr>
            <w:rFonts w:ascii="IRNazanin" w:hAnsi="IRNazanin" w:eastAsia="IRNazanin" w:cs="IRNazanin"/>
            <w:color w:val="111111"/>
            <w:sz w:val="22"/>
            <w:szCs w:val="22"/>
            <w:b w:val="0"/>
            <w:bCs w:val="0"/>
            <w:i w:val="0"/>
            <w:iCs w:val="0"/>
          </w:rPr>
          <w:t>دیوان لامعی جرجانی‏</w:t>
        </w:r>
        <w:r>
          <w:tab/>
        </w:r>
        <w:r>
          <w:fldChar w:fldCharType="begin"/>
        </w:r>
        <w:r>
          <w:instrText xml:space="preserve">PAGEREF 6876 \h</w:instrText>
        </w:r>
        <w:r>
          <w:fldChar w:fldCharType="end"/>
        </w:r>
      </w:hyperlink>
    </w:p>
    <w:p>
      <w:pPr>
        <w:tabs>
          <w:tab w:val="right" w:leader="dot" w:pos="9062"/>
        </w:tabs>
        <w:ind w:left="440"/>
      </w:pPr>
      <w:hyperlink w:anchor="_Toc6877" w:history="1">
        <w:r>
          <w:rPr>
            <w:rFonts w:ascii="IRNazanin" w:hAnsi="IRNazanin" w:eastAsia="IRNazanin" w:cs="IRNazanin"/>
            <w:color w:val="111111"/>
            <w:sz w:val="22"/>
            <w:szCs w:val="22"/>
            <w:b w:val="0"/>
            <w:bCs w:val="0"/>
            <w:i w:val="0"/>
            <w:iCs w:val="0"/>
          </w:rPr>
          <w:t>6181- دیوان لامعی دهلوی أو شعره‏</w:t>
        </w:r>
        <w:r>
          <w:tab/>
        </w:r>
        <w:r>
          <w:fldChar w:fldCharType="begin"/>
        </w:r>
        <w:r>
          <w:instrText xml:space="preserve">PAGEREF 6877 \h</w:instrText>
        </w:r>
        <w:r>
          <w:fldChar w:fldCharType="end"/>
        </w:r>
      </w:hyperlink>
    </w:p>
    <w:p>
      <w:pPr>
        <w:tabs>
          <w:tab w:val="right" w:leader="dot" w:pos="9062"/>
        </w:tabs>
        <w:ind w:left="440"/>
      </w:pPr>
      <w:hyperlink w:anchor="_Toc6878" w:history="1">
        <w:r>
          <w:rPr>
            <w:rFonts w:ascii="IRNazanin" w:hAnsi="IRNazanin" w:eastAsia="IRNazanin" w:cs="IRNazanin"/>
            <w:color w:val="111111"/>
            <w:sz w:val="22"/>
            <w:szCs w:val="22"/>
            <w:b w:val="0"/>
            <w:bCs w:val="0"/>
            <w:i w:val="0"/>
            <w:iCs w:val="0"/>
          </w:rPr>
          <w:t>دیوان لامعی کرمانی‏</w:t>
        </w:r>
        <w:r>
          <w:tab/>
        </w:r>
        <w:r>
          <w:fldChar w:fldCharType="begin"/>
        </w:r>
        <w:r>
          <w:instrText xml:space="preserve">PAGEREF 6878 \h</w:instrText>
        </w:r>
        <w:r>
          <w:fldChar w:fldCharType="end"/>
        </w:r>
      </w:hyperlink>
    </w:p>
    <w:p>
      <w:pPr>
        <w:tabs>
          <w:tab w:val="right" w:leader="dot" w:pos="9062"/>
        </w:tabs>
        <w:ind w:left="440"/>
      </w:pPr>
      <w:hyperlink w:anchor="_Toc6879" w:history="1">
        <w:r>
          <w:rPr>
            <w:rFonts w:ascii="IRNazanin" w:hAnsi="IRNazanin" w:eastAsia="IRNazanin" w:cs="IRNazanin"/>
            <w:color w:val="111111"/>
            <w:sz w:val="22"/>
            <w:szCs w:val="22"/>
            <w:b w:val="0"/>
            <w:bCs w:val="0"/>
            <w:i w:val="0"/>
            <w:iCs w:val="0"/>
          </w:rPr>
          <w:t>6182- دیوان لامعی گرگانی‏</w:t>
        </w:r>
        <w:r>
          <w:tab/>
        </w:r>
        <w:r>
          <w:fldChar w:fldCharType="begin"/>
        </w:r>
        <w:r>
          <w:instrText xml:space="preserve">PAGEREF 6879 \h</w:instrText>
        </w:r>
        <w:r>
          <w:fldChar w:fldCharType="end"/>
        </w:r>
      </w:hyperlink>
    </w:p>
    <w:p>
      <w:pPr>
        <w:tabs>
          <w:tab w:val="right" w:leader="dot" w:pos="9062"/>
        </w:tabs>
        <w:ind w:left="440"/>
      </w:pPr>
      <w:hyperlink w:anchor="_Toc6880" w:history="1">
        <w:r>
          <w:rPr>
            <w:rFonts w:ascii="IRNazanin" w:hAnsi="IRNazanin" w:eastAsia="IRNazanin" w:cs="IRNazanin"/>
            <w:color w:val="111111"/>
            <w:sz w:val="22"/>
            <w:szCs w:val="22"/>
            <w:b w:val="0"/>
            <w:bCs w:val="0"/>
            <w:i w:val="0"/>
            <w:iCs w:val="0"/>
          </w:rPr>
          <w:t>6183- دیوان لاهیجی‏</w:t>
        </w:r>
        <w:r>
          <w:tab/>
        </w:r>
        <w:r>
          <w:fldChar w:fldCharType="begin"/>
        </w:r>
        <w:r>
          <w:instrText xml:space="preserve">PAGEREF 6880 \h</w:instrText>
        </w:r>
        <w:r>
          <w:fldChar w:fldCharType="end"/>
        </w:r>
      </w:hyperlink>
    </w:p>
    <w:p>
      <w:pPr>
        <w:tabs>
          <w:tab w:val="right" w:leader="dot" w:pos="9062"/>
        </w:tabs>
        <w:ind w:left="440"/>
      </w:pPr>
      <w:hyperlink w:anchor="_Toc6881" w:history="1">
        <w:r>
          <w:rPr>
            <w:rFonts w:ascii="IRNazanin" w:hAnsi="IRNazanin" w:eastAsia="IRNazanin" w:cs="IRNazanin"/>
            <w:color w:val="111111"/>
            <w:sz w:val="22"/>
            <w:szCs w:val="22"/>
            <w:b w:val="0"/>
            <w:bCs w:val="0"/>
            <w:i w:val="0"/>
            <w:iCs w:val="0"/>
          </w:rPr>
          <w:t>6184- دیوان لاهوتی تفرشی‏</w:t>
        </w:r>
        <w:r>
          <w:tab/>
        </w:r>
        <w:r>
          <w:fldChar w:fldCharType="begin"/>
        </w:r>
        <w:r>
          <w:instrText xml:space="preserve">PAGEREF 6881 \h</w:instrText>
        </w:r>
        <w:r>
          <w:fldChar w:fldCharType="end"/>
        </w:r>
      </w:hyperlink>
    </w:p>
    <w:p>
      <w:pPr>
        <w:tabs>
          <w:tab w:val="right" w:leader="dot" w:pos="9062"/>
        </w:tabs>
        <w:ind w:left="440"/>
      </w:pPr>
      <w:hyperlink w:anchor="_Toc6882" w:history="1">
        <w:r>
          <w:rPr>
            <w:rFonts w:ascii="IRNazanin" w:hAnsi="IRNazanin" w:eastAsia="IRNazanin" w:cs="IRNazanin"/>
            <w:color w:val="111111"/>
            <w:sz w:val="22"/>
            <w:szCs w:val="22"/>
            <w:b w:val="0"/>
            <w:bCs w:val="0"/>
            <w:i w:val="0"/>
            <w:iCs w:val="0"/>
          </w:rPr>
          <w:t>6185- دیوان لاهوتی کرمانشاهی‏</w:t>
        </w:r>
        <w:r>
          <w:tab/>
        </w:r>
        <w:r>
          <w:fldChar w:fldCharType="begin"/>
        </w:r>
        <w:r>
          <w:instrText xml:space="preserve">PAGEREF 6882 \h</w:instrText>
        </w:r>
        <w:r>
          <w:fldChar w:fldCharType="end"/>
        </w:r>
      </w:hyperlink>
    </w:p>
    <w:p>
      <w:pPr>
        <w:tabs>
          <w:tab w:val="right" w:leader="dot" w:pos="9062"/>
        </w:tabs>
        <w:ind w:left="440"/>
      </w:pPr>
      <w:hyperlink w:anchor="_Toc6883" w:history="1">
        <w:r>
          <w:rPr>
            <w:rFonts w:ascii="IRNazanin" w:hAnsi="IRNazanin" w:eastAsia="IRNazanin" w:cs="IRNazanin"/>
            <w:color w:val="111111"/>
            <w:sz w:val="22"/>
            <w:szCs w:val="22"/>
            <w:b w:val="0"/>
            <w:bCs w:val="0"/>
            <w:i w:val="0"/>
            <w:iCs w:val="0"/>
          </w:rPr>
          <w:t>دیوان لاهوری‏</w:t>
        </w:r>
        <w:r>
          <w:tab/>
        </w:r>
        <w:r>
          <w:fldChar w:fldCharType="begin"/>
        </w:r>
        <w:r>
          <w:instrText xml:space="preserve">PAGEREF 6883 \h</w:instrText>
        </w:r>
        <w:r>
          <w:fldChar w:fldCharType="end"/>
        </w:r>
      </w:hyperlink>
    </w:p>
    <w:p>
      <w:pPr>
        <w:tabs>
          <w:tab w:val="right" w:leader="dot" w:pos="9062"/>
        </w:tabs>
        <w:ind w:left="440"/>
      </w:pPr>
      <w:hyperlink w:anchor="_Toc6884" w:history="1">
        <w:r>
          <w:rPr>
            <w:rFonts w:ascii="IRNazanin" w:hAnsi="IRNazanin" w:eastAsia="IRNazanin" w:cs="IRNazanin"/>
            <w:color w:val="111111"/>
            <w:sz w:val="22"/>
            <w:szCs w:val="22"/>
            <w:b w:val="0"/>
            <w:bCs w:val="0"/>
            <w:i w:val="0"/>
            <w:iCs w:val="0"/>
          </w:rPr>
          <w:t>6186- دیوان لائق بلخی أو شعره‏</w:t>
        </w:r>
        <w:r>
          <w:tab/>
        </w:r>
        <w:r>
          <w:fldChar w:fldCharType="begin"/>
        </w:r>
        <w:r>
          <w:instrText xml:space="preserve">PAGEREF 6884 \h</w:instrText>
        </w:r>
        <w:r>
          <w:fldChar w:fldCharType="end"/>
        </w:r>
      </w:hyperlink>
    </w:p>
    <w:p>
      <w:pPr>
        <w:tabs>
          <w:tab w:val="right" w:leader="dot" w:pos="9062"/>
        </w:tabs>
        <w:ind w:left="440"/>
      </w:pPr>
      <w:hyperlink w:anchor="_Toc6885" w:history="1">
        <w:r>
          <w:rPr>
            <w:rFonts w:ascii="IRNazanin" w:hAnsi="IRNazanin" w:eastAsia="IRNazanin" w:cs="IRNazanin"/>
            <w:color w:val="111111"/>
            <w:sz w:val="22"/>
            <w:szCs w:val="22"/>
            <w:b w:val="0"/>
            <w:bCs w:val="0"/>
            <w:i w:val="0"/>
            <w:iCs w:val="0"/>
          </w:rPr>
          <w:t>دیوان لائق هندی‏</w:t>
        </w:r>
        <w:r>
          <w:tab/>
        </w:r>
        <w:r>
          <w:fldChar w:fldCharType="begin"/>
        </w:r>
        <w:r>
          <w:instrText xml:space="preserve">PAGEREF 6885 \h</w:instrText>
        </w:r>
        <w:r>
          <w:fldChar w:fldCharType="end"/>
        </w:r>
      </w:hyperlink>
    </w:p>
    <w:p>
      <w:pPr>
        <w:tabs>
          <w:tab w:val="right" w:leader="dot" w:pos="9062"/>
        </w:tabs>
        <w:ind w:left="440"/>
      </w:pPr>
      <w:hyperlink w:anchor="_Toc6886" w:history="1">
        <w:r>
          <w:rPr>
            <w:rFonts w:ascii="IRNazanin" w:hAnsi="IRNazanin" w:eastAsia="IRNazanin" w:cs="IRNazanin"/>
            <w:color w:val="111111"/>
            <w:sz w:val="22"/>
            <w:szCs w:val="22"/>
            <w:b w:val="0"/>
            <w:bCs w:val="0"/>
            <w:i w:val="0"/>
            <w:iCs w:val="0"/>
          </w:rPr>
          <w:t>6187- دیوان لبیبی خراسانی‏</w:t>
        </w:r>
        <w:r>
          <w:tab/>
        </w:r>
        <w:r>
          <w:fldChar w:fldCharType="begin"/>
        </w:r>
        <w:r>
          <w:instrText xml:space="preserve">PAGEREF 6886 \h</w:instrText>
        </w:r>
        <w:r>
          <w:fldChar w:fldCharType="end"/>
        </w:r>
      </w:hyperlink>
    </w:p>
    <w:p>
      <w:pPr>
        <w:tabs>
          <w:tab w:val="right" w:leader="dot" w:pos="9062"/>
        </w:tabs>
        <w:ind w:left="440"/>
      </w:pPr>
      <w:hyperlink w:anchor="_Toc6887" w:history="1">
        <w:r>
          <w:rPr>
            <w:rFonts w:ascii="IRNazanin" w:hAnsi="IRNazanin" w:eastAsia="IRNazanin" w:cs="IRNazanin"/>
            <w:color w:val="111111"/>
            <w:sz w:val="22"/>
            <w:szCs w:val="22"/>
            <w:b w:val="0"/>
            <w:bCs w:val="0"/>
            <w:i w:val="0"/>
            <w:iCs w:val="0"/>
          </w:rPr>
          <w:t>6188- دیوان لبید</w:t>
        </w:r>
        <w:r>
          <w:tab/>
        </w:r>
        <w:r>
          <w:fldChar w:fldCharType="begin"/>
        </w:r>
        <w:r>
          <w:instrText xml:space="preserve">PAGEREF 6887 \h</w:instrText>
        </w:r>
        <w:r>
          <w:fldChar w:fldCharType="end"/>
        </w:r>
      </w:hyperlink>
    </w:p>
    <w:p>
      <w:pPr>
        <w:tabs>
          <w:tab w:val="right" w:leader="dot" w:pos="9062"/>
        </w:tabs>
        <w:ind w:left="440"/>
      </w:pPr>
      <w:hyperlink w:anchor="_Toc6888" w:history="1">
        <w:r>
          <w:rPr>
            <w:rFonts w:ascii="IRNazanin" w:hAnsi="IRNazanin" w:eastAsia="IRNazanin" w:cs="IRNazanin"/>
            <w:color w:val="111111"/>
            <w:sz w:val="22"/>
            <w:szCs w:val="22"/>
            <w:b w:val="0"/>
            <w:bCs w:val="0"/>
            <w:i w:val="0"/>
            <w:iCs w:val="0"/>
          </w:rPr>
          <w:t>6189- دیوان لذتی کشمیری أو شعره‏</w:t>
        </w:r>
        <w:r>
          <w:tab/>
        </w:r>
        <w:r>
          <w:fldChar w:fldCharType="begin"/>
        </w:r>
        <w:r>
          <w:instrText xml:space="preserve">PAGEREF 6888 \h</w:instrText>
        </w:r>
        <w:r>
          <w:fldChar w:fldCharType="end"/>
        </w:r>
      </w:hyperlink>
    </w:p>
    <w:p>
      <w:pPr>
        <w:tabs>
          <w:tab w:val="right" w:leader="dot" w:pos="9062"/>
        </w:tabs>
        <w:ind w:left="440"/>
      </w:pPr>
      <w:hyperlink w:anchor="_Toc6889" w:history="1">
        <w:r>
          <w:rPr>
            <w:rFonts w:ascii="IRNazanin" w:hAnsi="IRNazanin" w:eastAsia="IRNazanin" w:cs="IRNazanin"/>
            <w:color w:val="111111"/>
            <w:sz w:val="22"/>
            <w:szCs w:val="22"/>
            <w:b w:val="0"/>
            <w:bCs w:val="0"/>
            <w:i w:val="0"/>
            <w:iCs w:val="0"/>
          </w:rPr>
          <w:t>6190- دیوان لذتی همدانی أو شعره‏</w:t>
        </w:r>
        <w:r>
          <w:tab/>
        </w:r>
        <w:r>
          <w:fldChar w:fldCharType="begin"/>
        </w:r>
        <w:r>
          <w:instrText xml:space="preserve">PAGEREF 6889 \h</w:instrText>
        </w:r>
        <w:r>
          <w:fldChar w:fldCharType="end"/>
        </w:r>
      </w:hyperlink>
    </w:p>
    <w:p>
      <w:pPr>
        <w:tabs>
          <w:tab w:val="right" w:leader="dot" w:pos="9062"/>
        </w:tabs>
        <w:ind w:left="440"/>
      </w:pPr>
      <w:hyperlink w:anchor="_Toc6890" w:history="1">
        <w:r>
          <w:rPr>
            <w:rFonts w:ascii="IRNazanin" w:hAnsi="IRNazanin" w:eastAsia="IRNazanin" w:cs="IRNazanin"/>
            <w:color w:val="111111"/>
            <w:sz w:val="22"/>
            <w:szCs w:val="22"/>
            <w:b w:val="0"/>
            <w:bCs w:val="0"/>
            <w:i w:val="0"/>
            <w:iCs w:val="0"/>
          </w:rPr>
          <w:t>دیوان لر</w:t>
        </w:r>
        <w:r>
          <w:tab/>
        </w:r>
        <w:r>
          <w:fldChar w:fldCharType="begin"/>
        </w:r>
        <w:r>
          <w:instrText xml:space="preserve">PAGEREF 6890 \h</w:instrText>
        </w:r>
        <w:r>
          <w:fldChar w:fldCharType="end"/>
        </w:r>
      </w:hyperlink>
    </w:p>
    <w:p>
      <w:pPr>
        <w:tabs>
          <w:tab w:val="right" w:leader="dot" w:pos="9062"/>
        </w:tabs>
        <w:ind w:left="440"/>
      </w:pPr>
      <w:hyperlink w:anchor="_Toc6891" w:history="1">
        <w:r>
          <w:rPr>
            <w:rFonts w:ascii="IRNazanin" w:hAnsi="IRNazanin" w:eastAsia="IRNazanin" w:cs="IRNazanin"/>
            <w:color w:val="111111"/>
            <w:sz w:val="22"/>
            <w:szCs w:val="22"/>
            <w:b w:val="0"/>
            <w:bCs w:val="0"/>
            <w:i w:val="0"/>
            <w:iCs w:val="0"/>
          </w:rPr>
          <w:t>6191- دیوان لسان دنبلی‏</w:t>
        </w:r>
        <w:r>
          <w:tab/>
        </w:r>
        <w:r>
          <w:fldChar w:fldCharType="begin"/>
        </w:r>
        <w:r>
          <w:instrText xml:space="preserve">PAGEREF 6891 \h</w:instrText>
        </w:r>
        <w:r>
          <w:fldChar w:fldCharType="end"/>
        </w:r>
      </w:hyperlink>
    </w:p>
    <w:p>
      <w:pPr>
        <w:tabs>
          <w:tab w:val="right" w:leader="dot" w:pos="9062"/>
        </w:tabs>
        <w:ind w:left="440"/>
      </w:pPr>
      <w:hyperlink w:anchor="_Toc6892" w:history="1">
        <w:r>
          <w:rPr>
            <w:rFonts w:ascii="IRNazanin" w:hAnsi="IRNazanin" w:eastAsia="IRNazanin" w:cs="IRNazanin"/>
            <w:color w:val="111111"/>
            <w:sz w:val="22"/>
            <w:szCs w:val="22"/>
            <w:b w:val="0"/>
            <w:bCs w:val="0"/>
            <w:i w:val="0"/>
            <w:iCs w:val="0"/>
          </w:rPr>
          <w:t>دیوان لسان الغیب‏</w:t>
        </w:r>
        <w:r>
          <w:tab/>
        </w:r>
        <w:r>
          <w:fldChar w:fldCharType="begin"/>
        </w:r>
        <w:r>
          <w:instrText xml:space="preserve">PAGEREF 6892 \h</w:instrText>
        </w:r>
        <w:r>
          <w:fldChar w:fldCharType="end"/>
        </w:r>
      </w:hyperlink>
    </w:p>
    <w:p>
      <w:pPr>
        <w:tabs>
          <w:tab w:val="right" w:leader="dot" w:pos="9062"/>
        </w:tabs>
        <w:ind w:left="440"/>
      </w:pPr>
      <w:hyperlink w:anchor="_Toc6893" w:history="1">
        <w:r>
          <w:rPr>
            <w:rFonts w:ascii="IRNazanin" w:hAnsi="IRNazanin" w:eastAsia="IRNazanin" w:cs="IRNazanin"/>
            <w:color w:val="111111"/>
            <w:sz w:val="22"/>
            <w:szCs w:val="22"/>
            <w:b w:val="0"/>
            <w:bCs w:val="0"/>
            <w:i w:val="0"/>
            <w:iCs w:val="0"/>
          </w:rPr>
          <w:t>6192- دیوان لسان الواعظین تربتی‏</w:t>
        </w:r>
        <w:r>
          <w:tab/>
        </w:r>
        <w:r>
          <w:fldChar w:fldCharType="begin"/>
        </w:r>
        <w:r>
          <w:instrText xml:space="preserve">PAGEREF 6893 \h</w:instrText>
        </w:r>
        <w:r>
          <w:fldChar w:fldCharType="end"/>
        </w:r>
      </w:hyperlink>
    </w:p>
    <w:p>
      <w:pPr>
        <w:tabs>
          <w:tab w:val="right" w:leader="dot" w:pos="9062"/>
        </w:tabs>
        <w:ind w:left="440"/>
      </w:pPr>
      <w:hyperlink w:anchor="_Toc6894" w:history="1">
        <w:r>
          <w:rPr>
            <w:rFonts w:ascii="IRNazanin" w:hAnsi="IRNazanin" w:eastAsia="IRNazanin" w:cs="IRNazanin"/>
            <w:color w:val="111111"/>
            <w:sz w:val="22"/>
            <w:szCs w:val="22"/>
            <w:b w:val="0"/>
            <w:bCs w:val="0"/>
            <w:i w:val="0"/>
            <w:iCs w:val="0"/>
          </w:rPr>
          <w:t>دیوان لسان یزدی‏</w:t>
        </w:r>
        <w:r>
          <w:tab/>
        </w:r>
        <w:r>
          <w:fldChar w:fldCharType="begin"/>
        </w:r>
        <w:r>
          <w:instrText xml:space="preserve">PAGEREF 6894 \h</w:instrText>
        </w:r>
        <w:r>
          <w:fldChar w:fldCharType="end"/>
        </w:r>
      </w:hyperlink>
    </w:p>
    <w:p>
      <w:pPr>
        <w:tabs>
          <w:tab w:val="right" w:leader="dot" w:pos="9062"/>
        </w:tabs>
        <w:ind w:left="440"/>
      </w:pPr>
      <w:hyperlink w:anchor="_Toc6895" w:history="1">
        <w:r>
          <w:rPr>
            <w:rFonts w:ascii="IRNazanin" w:hAnsi="IRNazanin" w:eastAsia="IRNazanin" w:cs="IRNazanin"/>
            <w:color w:val="111111"/>
            <w:sz w:val="22"/>
            <w:szCs w:val="22"/>
            <w:b w:val="0"/>
            <w:bCs w:val="0"/>
            <w:i w:val="0"/>
            <w:iCs w:val="0"/>
          </w:rPr>
          <w:t>دیوان لسانی‏</w:t>
        </w:r>
        <w:r>
          <w:tab/>
        </w:r>
        <w:r>
          <w:fldChar w:fldCharType="begin"/>
        </w:r>
        <w:r>
          <w:instrText xml:space="preserve">PAGEREF 6895 \h</w:instrText>
        </w:r>
        <w:r>
          <w:fldChar w:fldCharType="end"/>
        </w:r>
      </w:hyperlink>
    </w:p>
    <w:p>
      <w:pPr>
        <w:tabs>
          <w:tab w:val="right" w:leader="dot" w:pos="9062"/>
        </w:tabs>
        <w:ind w:left="440"/>
      </w:pPr>
      <w:hyperlink w:anchor="_Toc6896" w:history="1">
        <w:r>
          <w:rPr>
            <w:rFonts w:ascii="IRNazanin" w:hAnsi="IRNazanin" w:eastAsia="IRNazanin" w:cs="IRNazanin"/>
            <w:color w:val="111111"/>
            <w:sz w:val="22"/>
            <w:szCs w:val="22"/>
            <w:b w:val="0"/>
            <w:bCs w:val="0"/>
            <w:i w:val="0"/>
            <w:iCs w:val="0"/>
          </w:rPr>
          <w:t>6193- دیوان لسانی شیرازی‏</w:t>
        </w:r>
        <w:r>
          <w:tab/>
        </w:r>
        <w:r>
          <w:fldChar w:fldCharType="begin"/>
        </w:r>
        <w:r>
          <w:instrText xml:space="preserve">PAGEREF 6896 \h</w:instrText>
        </w:r>
        <w:r>
          <w:fldChar w:fldCharType="end"/>
        </w:r>
      </w:hyperlink>
    </w:p>
    <w:p>
      <w:pPr>
        <w:tabs>
          <w:tab w:val="right" w:leader="dot" w:pos="9062"/>
        </w:tabs>
        <w:ind w:left="440"/>
      </w:pPr>
      <w:hyperlink w:anchor="_Toc6897" w:history="1">
        <w:r>
          <w:rPr>
            <w:rFonts w:ascii="IRNazanin" w:hAnsi="IRNazanin" w:eastAsia="IRNazanin" w:cs="IRNazanin"/>
            <w:color w:val="111111"/>
            <w:sz w:val="22"/>
            <w:szCs w:val="22"/>
            <w:b w:val="0"/>
            <w:bCs w:val="0"/>
            <w:i w:val="0"/>
            <w:iCs w:val="0"/>
          </w:rPr>
          <w:t>6194- دیوان لسانی لاهوری‏</w:t>
        </w:r>
        <w:r>
          <w:tab/>
        </w:r>
        <w:r>
          <w:fldChar w:fldCharType="begin"/>
        </w:r>
        <w:r>
          <w:instrText xml:space="preserve">PAGEREF 6897 \h</w:instrText>
        </w:r>
        <w:r>
          <w:fldChar w:fldCharType="end"/>
        </w:r>
      </w:hyperlink>
    </w:p>
    <w:p>
      <w:pPr>
        <w:tabs>
          <w:tab w:val="right" w:leader="dot" w:pos="9062"/>
        </w:tabs>
        <w:ind w:left="440"/>
      </w:pPr>
      <w:hyperlink w:anchor="_Toc6898" w:history="1">
        <w:r>
          <w:rPr>
            <w:rFonts w:ascii="IRNazanin" w:hAnsi="IRNazanin" w:eastAsia="IRNazanin" w:cs="IRNazanin"/>
            <w:color w:val="111111"/>
            <w:sz w:val="22"/>
            <w:szCs w:val="22"/>
            <w:b w:val="0"/>
            <w:bCs w:val="0"/>
            <w:i w:val="0"/>
            <w:iCs w:val="0"/>
          </w:rPr>
          <w:t>دیوان لطف علی آذر</w:t>
        </w:r>
        <w:r>
          <w:tab/>
        </w:r>
        <w:r>
          <w:fldChar w:fldCharType="begin"/>
        </w:r>
        <w:r>
          <w:instrText xml:space="preserve">PAGEREF 6898 \h</w:instrText>
        </w:r>
        <w:r>
          <w:fldChar w:fldCharType="end"/>
        </w:r>
      </w:hyperlink>
    </w:p>
    <w:p>
      <w:pPr>
        <w:tabs>
          <w:tab w:val="right" w:leader="dot" w:pos="9062"/>
        </w:tabs>
        <w:ind w:left="440"/>
      </w:pPr>
      <w:hyperlink w:anchor="_Toc6899" w:history="1">
        <w:r>
          <w:rPr>
            <w:rFonts w:ascii="IRNazanin" w:hAnsi="IRNazanin" w:eastAsia="IRNazanin" w:cs="IRNazanin"/>
            <w:color w:val="111111"/>
            <w:sz w:val="22"/>
            <w:szCs w:val="22"/>
            <w:b w:val="0"/>
            <w:bCs w:val="0"/>
            <w:i w:val="0"/>
            <w:iCs w:val="0"/>
          </w:rPr>
          <w:t>6195- دیوان لطف علی أفشار</w:t>
        </w:r>
        <w:r>
          <w:tab/>
        </w:r>
        <w:r>
          <w:fldChar w:fldCharType="begin"/>
        </w:r>
        <w:r>
          <w:instrText xml:space="preserve">PAGEREF 6899 \h</w:instrText>
        </w:r>
        <w:r>
          <w:fldChar w:fldCharType="end"/>
        </w:r>
      </w:hyperlink>
    </w:p>
    <w:p>
      <w:pPr>
        <w:tabs>
          <w:tab w:val="right" w:leader="dot" w:pos="9062"/>
        </w:tabs>
        <w:ind w:left="440"/>
      </w:pPr>
      <w:hyperlink w:anchor="_Toc6900" w:history="1">
        <w:r>
          <w:rPr>
            <w:rFonts w:ascii="IRNazanin" w:hAnsi="IRNazanin" w:eastAsia="IRNazanin" w:cs="IRNazanin"/>
            <w:color w:val="111111"/>
            <w:sz w:val="22"/>
            <w:szCs w:val="22"/>
            <w:b w:val="0"/>
            <w:bCs w:val="0"/>
            <w:i w:val="0"/>
            <w:iCs w:val="0"/>
          </w:rPr>
          <w:t>دیوان لطف علی بروجردی المشهدی‏</w:t>
        </w:r>
        <w:r>
          <w:tab/>
        </w:r>
        <w:r>
          <w:fldChar w:fldCharType="begin"/>
        </w:r>
        <w:r>
          <w:instrText xml:space="preserve">PAGEREF 6900 \h</w:instrText>
        </w:r>
        <w:r>
          <w:fldChar w:fldCharType="end"/>
        </w:r>
      </w:hyperlink>
    </w:p>
    <w:p>
      <w:pPr>
        <w:tabs>
          <w:tab w:val="right" w:leader="dot" w:pos="9062"/>
        </w:tabs>
        <w:ind w:left="440"/>
      </w:pPr>
      <w:hyperlink w:anchor="_Toc6901" w:history="1">
        <w:r>
          <w:rPr>
            <w:rFonts w:ascii="IRNazanin" w:hAnsi="IRNazanin" w:eastAsia="IRNazanin" w:cs="IRNazanin"/>
            <w:color w:val="111111"/>
            <w:sz w:val="22"/>
            <w:szCs w:val="22"/>
            <w:b w:val="0"/>
            <w:bCs w:val="0"/>
            <w:i w:val="0"/>
            <w:iCs w:val="0"/>
          </w:rPr>
          <w:t>دیوان لطف علی شیرازی‏</w:t>
        </w:r>
        <w:r>
          <w:tab/>
        </w:r>
        <w:r>
          <w:fldChar w:fldCharType="begin"/>
        </w:r>
        <w:r>
          <w:instrText xml:space="preserve">PAGEREF 6901 \h</w:instrText>
        </w:r>
        <w:r>
          <w:fldChar w:fldCharType="end"/>
        </w:r>
      </w:hyperlink>
    </w:p>
    <w:p>
      <w:pPr>
        <w:tabs>
          <w:tab w:val="right" w:leader="dot" w:pos="9062"/>
        </w:tabs>
        <w:ind w:left="440"/>
      </w:pPr>
      <w:hyperlink w:anchor="_Toc6902" w:history="1">
        <w:r>
          <w:rPr>
            <w:rFonts w:ascii="IRNazanin" w:hAnsi="IRNazanin" w:eastAsia="IRNazanin" w:cs="IRNazanin"/>
            <w:color w:val="111111"/>
            <w:sz w:val="22"/>
            <w:szCs w:val="22"/>
            <w:b w:val="0"/>
            <w:bCs w:val="0"/>
            <w:i w:val="0"/>
            <w:iCs w:val="0"/>
          </w:rPr>
          <w:t>دیوان لطف علی شیرازی‏</w:t>
        </w:r>
        <w:r>
          <w:tab/>
        </w:r>
        <w:r>
          <w:fldChar w:fldCharType="begin"/>
        </w:r>
        <w:r>
          <w:instrText xml:space="preserve">PAGEREF 6902 \h</w:instrText>
        </w:r>
        <w:r>
          <w:fldChar w:fldCharType="end"/>
        </w:r>
      </w:hyperlink>
    </w:p>
    <w:p>
      <w:pPr>
        <w:tabs>
          <w:tab w:val="right" w:leader="dot" w:pos="9062"/>
        </w:tabs>
        <w:ind w:left="440"/>
      </w:pPr>
      <w:hyperlink w:anchor="_Toc6903" w:history="1">
        <w:r>
          <w:rPr>
            <w:rFonts w:ascii="IRNazanin" w:hAnsi="IRNazanin" w:eastAsia="IRNazanin" w:cs="IRNazanin"/>
            <w:color w:val="111111"/>
            <w:sz w:val="22"/>
            <w:szCs w:val="22"/>
            <w:b w:val="0"/>
            <w:bCs w:val="0"/>
            <w:i w:val="0"/>
            <w:iCs w:val="0"/>
          </w:rPr>
          <w:t>6196- دیوان لطف علی بیک چرکس‏</w:t>
        </w:r>
        <w:r>
          <w:tab/>
        </w:r>
        <w:r>
          <w:fldChar w:fldCharType="begin"/>
        </w:r>
        <w:r>
          <w:instrText xml:space="preserve">PAGEREF 6903 \h</w:instrText>
        </w:r>
        <w:r>
          <w:fldChar w:fldCharType="end"/>
        </w:r>
      </w:hyperlink>
    </w:p>
    <w:p>
      <w:pPr>
        <w:tabs>
          <w:tab w:val="right" w:leader="dot" w:pos="9062"/>
        </w:tabs>
        <w:ind w:left="440"/>
      </w:pPr>
      <w:hyperlink w:anchor="_Toc6904" w:history="1">
        <w:r>
          <w:rPr>
            <w:rFonts w:ascii="IRNazanin" w:hAnsi="IRNazanin" w:eastAsia="IRNazanin" w:cs="IRNazanin"/>
            <w:color w:val="111111"/>
            <w:sz w:val="22"/>
            <w:szCs w:val="22"/>
            <w:b w:val="0"/>
            <w:bCs w:val="0"/>
            <w:i w:val="0"/>
            <w:iCs w:val="0"/>
          </w:rPr>
          <w:t>6197- دیوان لطف علی نواب الهندی‏</w:t>
        </w:r>
        <w:r>
          <w:tab/>
        </w:r>
        <w:r>
          <w:fldChar w:fldCharType="begin"/>
        </w:r>
        <w:r>
          <w:instrText xml:space="preserve">PAGEREF 6904 \h</w:instrText>
        </w:r>
        <w:r>
          <w:fldChar w:fldCharType="end"/>
        </w:r>
      </w:hyperlink>
    </w:p>
    <w:p>
      <w:pPr>
        <w:tabs>
          <w:tab w:val="right" w:leader="dot" w:pos="9062"/>
        </w:tabs>
        <w:ind w:left="440"/>
      </w:pPr>
      <w:hyperlink w:anchor="_Toc6905" w:history="1">
        <w:r>
          <w:rPr>
            <w:rFonts w:ascii="IRNazanin" w:hAnsi="IRNazanin" w:eastAsia="IRNazanin" w:cs="IRNazanin"/>
            <w:color w:val="111111"/>
            <w:sz w:val="22"/>
            <w:szCs w:val="22"/>
            <w:b w:val="0"/>
            <w:bCs w:val="0"/>
            <w:i w:val="0"/>
            <w:iCs w:val="0"/>
          </w:rPr>
          <w:t>6198- دیوان الشیخ لطف الله البحرانی‏</w:t>
        </w:r>
        <w:r>
          <w:tab/>
        </w:r>
        <w:r>
          <w:fldChar w:fldCharType="begin"/>
        </w:r>
        <w:r>
          <w:instrText xml:space="preserve">PAGEREF 6905 \h</w:instrText>
        </w:r>
        <w:r>
          <w:fldChar w:fldCharType="end"/>
        </w:r>
      </w:hyperlink>
    </w:p>
    <w:p>
      <w:pPr>
        <w:tabs>
          <w:tab w:val="right" w:leader="dot" w:pos="9062"/>
        </w:tabs>
        <w:ind w:left="440"/>
      </w:pPr>
      <w:hyperlink w:anchor="_Toc6906" w:history="1">
        <w:r>
          <w:rPr>
            <w:rFonts w:ascii="IRNazanin" w:hAnsi="IRNazanin" w:eastAsia="IRNazanin" w:cs="IRNazanin"/>
            <w:color w:val="111111"/>
            <w:sz w:val="22"/>
            <w:szCs w:val="22"/>
            <w:b w:val="0"/>
            <w:bCs w:val="0"/>
            <w:i w:val="0"/>
            <w:iCs w:val="0"/>
          </w:rPr>
          <w:t>6199- دیوان قاضی لطف الله بخاری‏</w:t>
        </w:r>
        <w:r>
          <w:tab/>
        </w:r>
        <w:r>
          <w:fldChar w:fldCharType="begin"/>
        </w:r>
        <w:r>
          <w:instrText xml:space="preserve">PAGEREF 6906 \h</w:instrText>
        </w:r>
        <w:r>
          <w:fldChar w:fldCharType="end"/>
        </w:r>
      </w:hyperlink>
    </w:p>
    <w:p>
      <w:pPr>
        <w:tabs>
          <w:tab w:val="right" w:leader="dot" w:pos="9062"/>
        </w:tabs>
        <w:ind w:left="440"/>
      </w:pPr>
      <w:hyperlink w:anchor="_Toc6907" w:history="1">
        <w:r>
          <w:rPr>
            <w:rFonts w:ascii="IRNazanin" w:hAnsi="IRNazanin" w:eastAsia="IRNazanin" w:cs="IRNazanin"/>
            <w:color w:val="111111"/>
            <w:sz w:val="22"/>
            <w:szCs w:val="22"/>
            <w:b w:val="0"/>
            <w:bCs w:val="0"/>
            <w:i w:val="0"/>
            <w:iCs w:val="0"/>
          </w:rPr>
          <w:t>دیوان میرزا لطف الله تبریزی‏</w:t>
        </w:r>
        <w:r>
          <w:tab/>
        </w:r>
        <w:r>
          <w:fldChar w:fldCharType="begin"/>
        </w:r>
        <w:r>
          <w:instrText xml:space="preserve">PAGEREF 6907 \h</w:instrText>
        </w:r>
        <w:r>
          <w:fldChar w:fldCharType="end"/>
        </w:r>
      </w:hyperlink>
    </w:p>
    <w:p>
      <w:pPr>
        <w:tabs>
          <w:tab w:val="right" w:leader="dot" w:pos="9062"/>
        </w:tabs>
        <w:ind w:left="440"/>
      </w:pPr>
      <w:hyperlink w:anchor="_Toc6908" w:history="1">
        <w:r>
          <w:rPr>
            <w:rFonts w:ascii="IRNazanin" w:hAnsi="IRNazanin" w:eastAsia="IRNazanin" w:cs="IRNazanin"/>
            <w:color w:val="111111"/>
            <w:sz w:val="22"/>
            <w:szCs w:val="22"/>
            <w:b w:val="0"/>
            <w:bCs w:val="0"/>
            <w:i w:val="0"/>
            <w:iCs w:val="0"/>
          </w:rPr>
          <w:t>6200- دیوان الشیخ لطف الله الجد حفصی‏</w:t>
        </w:r>
        <w:r>
          <w:tab/>
        </w:r>
        <w:r>
          <w:fldChar w:fldCharType="begin"/>
        </w:r>
        <w:r>
          <w:instrText xml:space="preserve">PAGEREF 6908 \h</w:instrText>
        </w:r>
        <w:r>
          <w:fldChar w:fldCharType="end"/>
        </w:r>
      </w:hyperlink>
    </w:p>
    <w:p>
      <w:pPr>
        <w:tabs>
          <w:tab w:val="right" w:leader="dot" w:pos="9062"/>
        </w:tabs>
        <w:ind w:left="440"/>
      </w:pPr>
      <w:hyperlink w:anchor="_Toc6909" w:history="1">
        <w:r>
          <w:rPr>
            <w:rFonts w:ascii="IRNazanin" w:hAnsi="IRNazanin" w:eastAsia="IRNazanin" w:cs="IRNazanin"/>
            <w:color w:val="111111"/>
            <w:sz w:val="22"/>
            <w:szCs w:val="22"/>
            <w:b w:val="0"/>
            <w:bCs w:val="0"/>
            <w:i w:val="0"/>
            <w:iCs w:val="0"/>
          </w:rPr>
          <w:t>6201- دیوان السید لطف الله‏</w:t>
        </w:r>
        <w:r>
          <w:tab/>
        </w:r>
        <w:r>
          <w:fldChar w:fldCharType="begin"/>
        </w:r>
        <w:r>
          <w:instrText xml:space="preserve">PAGEREF 6909 \h</w:instrText>
        </w:r>
        <w:r>
          <w:fldChar w:fldCharType="end"/>
        </w:r>
      </w:hyperlink>
    </w:p>
    <w:p>
      <w:pPr>
        <w:tabs>
          <w:tab w:val="right" w:leader="dot" w:pos="9062"/>
        </w:tabs>
        <w:ind w:left="440"/>
      </w:pPr>
      <w:hyperlink w:anchor="_Toc6910" w:history="1">
        <w:r>
          <w:rPr>
            <w:rFonts w:ascii="IRNazanin" w:hAnsi="IRNazanin" w:eastAsia="IRNazanin" w:cs="IRNazanin"/>
            <w:color w:val="111111"/>
            <w:sz w:val="22"/>
            <w:szCs w:val="22"/>
            <w:b w:val="0"/>
            <w:bCs w:val="0"/>
            <w:i w:val="0"/>
            <w:iCs w:val="0"/>
          </w:rPr>
          <w:t>6202- دیوان لطف الله نیشابوری‏</w:t>
        </w:r>
        <w:r>
          <w:tab/>
        </w:r>
        <w:r>
          <w:fldChar w:fldCharType="begin"/>
        </w:r>
        <w:r>
          <w:instrText xml:space="preserve">PAGEREF 6910 \h</w:instrText>
        </w:r>
        <w:r>
          <w:fldChar w:fldCharType="end"/>
        </w:r>
      </w:hyperlink>
    </w:p>
    <w:p>
      <w:pPr>
        <w:tabs>
          <w:tab w:val="right" w:leader="dot" w:pos="9062"/>
        </w:tabs>
        <w:ind w:left="440"/>
      </w:pPr>
      <w:hyperlink w:anchor="_Toc6911" w:history="1">
        <w:r>
          <w:rPr>
            <w:rFonts w:ascii="IRNazanin" w:hAnsi="IRNazanin" w:eastAsia="IRNazanin" w:cs="IRNazanin"/>
            <w:color w:val="111111"/>
            <w:sz w:val="22"/>
            <w:szCs w:val="22"/>
            <w:b w:val="0"/>
            <w:bCs w:val="0"/>
            <w:i w:val="0"/>
            <w:iCs w:val="0"/>
          </w:rPr>
          <w:t>6203- دیوان لطفی أصفهانی أو شعره‏</w:t>
        </w:r>
        <w:r>
          <w:tab/>
        </w:r>
        <w:r>
          <w:fldChar w:fldCharType="begin"/>
        </w:r>
        <w:r>
          <w:instrText xml:space="preserve">PAGEREF 6911 \h</w:instrText>
        </w:r>
        <w:r>
          <w:fldChar w:fldCharType="end"/>
        </w:r>
      </w:hyperlink>
    </w:p>
    <w:p>
      <w:pPr>
        <w:tabs>
          <w:tab w:val="right" w:leader="dot" w:pos="9062"/>
        </w:tabs>
        <w:ind w:left="440"/>
      </w:pPr>
      <w:hyperlink w:anchor="_Toc6912" w:history="1">
        <w:r>
          <w:rPr>
            <w:rFonts w:ascii="IRNazanin" w:hAnsi="IRNazanin" w:eastAsia="IRNazanin" w:cs="IRNazanin"/>
            <w:color w:val="111111"/>
            <w:sz w:val="22"/>
            <w:szCs w:val="22"/>
            <w:b w:val="0"/>
            <w:bCs w:val="0"/>
            <w:i w:val="0"/>
            <w:iCs w:val="0"/>
          </w:rPr>
          <w:t>6204- دیوان لطفی تاشکندی أو شعره‏</w:t>
        </w:r>
        <w:r>
          <w:tab/>
        </w:r>
        <w:r>
          <w:fldChar w:fldCharType="begin"/>
        </w:r>
        <w:r>
          <w:instrText xml:space="preserve">PAGEREF 6912 \h</w:instrText>
        </w:r>
        <w:r>
          <w:fldChar w:fldCharType="end"/>
        </w:r>
      </w:hyperlink>
    </w:p>
    <w:p>
      <w:pPr>
        <w:tabs>
          <w:tab w:val="right" w:leader="dot" w:pos="9062"/>
        </w:tabs>
        <w:ind w:left="440"/>
      </w:pPr>
      <w:hyperlink w:anchor="_Toc6913" w:history="1">
        <w:r>
          <w:rPr>
            <w:rFonts w:ascii="IRNazanin" w:hAnsi="IRNazanin" w:eastAsia="IRNazanin" w:cs="IRNazanin"/>
            <w:color w:val="111111"/>
            <w:sz w:val="22"/>
            <w:szCs w:val="22"/>
            <w:b w:val="0"/>
            <w:bCs w:val="0"/>
            <w:i w:val="0"/>
            <w:iCs w:val="0"/>
          </w:rPr>
          <w:t>6205- دیوان لطفی تبریزی أو شعره‏</w:t>
        </w:r>
        <w:r>
          <w:tab/>
        </w:r>
        <w:r>
          <w:fldChar w:fldCharType="begin"/>
        </w:r>
        <w:r>
          <w:instrText xml:space="preserve">PAGEREF 6913 \h</w:instrText>
        </w:r>
        <w:r>
          <w:fldChar w:fldCharType="end"/>
        </w:r>
      </w:hyperlink>
    </w:p>
    <w:p>
      <w:pPr>
        <w:tabs>
          <w:tab w:val="right" w:leader="dot" w:pos="9062"/>
        </w:tabs>
        <w:ind w:left="440"/>
      </w:pPr>
      <w:hyperlink w:anchor="_Toc6914" w:history="1">
        <w:r>
          <w:rPr>
            <w:rFonts w:ascii="IRNazanin" w:hAnsi="IRNazanin" w:eastAsia="IRNazanin" w:cs="IRNazanin"/>
            <w:color w:val="111111"/>
            <w:sz w:val="22"/>
            <w:szCs w:val="22"/>
            <w:b w:val="0"/>
            <w:bCs w:val="0"/>
            <w:i w:val="0"/>
            <w:iCs w:val="0"/>
          </w:rPr>
          <w:t>6206- دیوان لطفی شیرازی أو شعره‏</w:t>
        </w:r>
        <w:r>
          <w:tab/>
        </w:r>
        <w:r>
          <w:fldChar w:fldCharType="begin"/>
        </w:r>
        <w:r>
          <w:instrText xml:space="preserve">PAGEREF 6914 \h</w:instrText>
        </w:r>
        <w:r>
          <w:fldChar w:fldCharType="end"/>
        </w:r>
      </w:hyperlink>
    </w:p>
    <w:p>
      <w:pPr>
        <w:tabs>
          <w:tab w:val="right" w:leader="dot" w:pos="9062"/>
        </w:tabs>
        <w:ind w:left="440"/>
      </w:pPr>
      <w:hyperlink w:anchor="_Toc6915" w:history="1">
        <w:r>
          <w:rPr>
            <w:rFonts w:ascii="IRNazanin" w:hAnsi="IRNazanin" w:eastAsia="IRNazanin" w:cs="IRNazanin"/>
            <w:color w:val="111111"/>
            <w:sz w:val="22"/>
            <w:szCs w:val="22"/>
            <w:b w:val="0"/>
            <w:bCs w:val="0"/>
            <w:i w:val="0"/>
            <w:iCs w:val="0"/>
          </w:rPr>
          <w:t>6207- دیوان لطفی طهرانی أو شعره-</w:t>
        </w:r>
        <w:r>
          <w:tab/>
        </w:r>
        <w:r>
          <w:fldChar w:fldCharType="begin"/>
        </w:r>
        <w:r>
          <w:instrText xml:space="preserve">PAGEREF 6915 \h</w:instrText>
        </w:r>
        <w:r>
          <w:fldChar w:fldCharType="end"/>
        </w:r>
      </w:hyperlink>
    </w:p>
    <w:p>
      <w:pPr>
        <w:tabs>
          <w:tab w:val="right" w:leader="dot" w:pos="9062"/>
        </w:tabs>
        <w:ind w:left="440"/>
      </w:pPr>
      <w:hyperlink w:anchor="_Toc6916" w:history="1">
        <w:r>
          <w:rPr>
            <w:rFonts w:ascii="IRNazanin" w:hAnsi="IRNazanin" w:eastAsia="IRNazanin" w:cs="IRNazanin"/>
            <w:color w:val="111111"/>
            <w:sz w:val="22"/>
            <w:szCs w:val="22"/>
            <w:b w:val="0"/>
            <w:bCs w:val="0"/>
            <w:i w:val="0"/>
            <w:iCs w:val="0"/>
          </w:rPr>
          <w:t>6208- دیوان لطفی مشهدی أو شعره‏</w:t>
        </w:r>
        <w:r>
          <w:tab/>
        </w:r>
        <w:r>
          <w:fldChar w:fldCharType="begin"/>
        </w:r>
        <w:r>
          <w:instrText xml:space="preserve">PAGEREF 6916 \h</w:instrText>
        </w:r>
        <w:r>
          <w:fldChar w:fldCharType="end"/>
        </w:r>
      </w:hyperlink>
    </w:p>
    <w:p>
      <w:pPr>
        <w:tabs>
          <w:tab w:val="right" w:leader="dot" w:pos="9062"/>
        </w:tabs>
        <w:ind w:left="440"/>
      </w:pPr>
      <w:hyperlink w:anchor="_Toc6917" w:history="1">
        <w:r>
          <w:rPr>
            <w:rFonts w:ascii="IRNazanin" w:hAnsi="IRNazanin" w:eastAsia="IRNazanin" w:cs="IRNazanin"/>
            <w:color w:val="111111"/>
            <w:sz w:val="22"/>
            <w:szCs w:val="22"/>
            <w:b w:val="0"/>
            <w:bCs w:val="0"/>
            <w:i w:val="0"/>
            <w:iCs w:val="0"/>
          </w:rPr>
          <w:t>6209- دیوان لطفی منجم أو شعره‏</w:t>
        </w:r>
        <w:r>
          <w:tab/>
        </w:r>
        <w:r>
          <w:fldChar w:fldCharType="begin"/>
        </w:r>
        <w:r>
          <w:instrText xml:space="preserve">PAGEREF 6917 \h</w:instrText>
        </w:r>
        <w:r>
          <w:fldChar w:fldCharType="end"/>
        </w:r>
      </w:hyperlink>
    </w:p>
    <w:p>
      <w:pPr>
        <w:tabs>
          <w:tab w:val="right" w:leader="dot" w:pos="9062"/>
        </w:tabs>
        <w:ind w:left="440"/>
      </w:pPr>
      <w:hyperlink w:anchor="_Toc6918" w:history="1">
        <w:r>
          <w:rPr>
            <w:rFonts w:ascii="IRNazanin" w:hAnsi="IRNazanin" w:eastAsia="IRNazanin" w:cs="IRNazanin"/>
            <w:color w:val="111111"/>
            <w:sz w:val="22"/>
            <w:szCs w:val="22"/>
            <w:b w:val="0"/>
            <w:bCs w:val="0"/>
            <w:i w:val="0"/>
            <w:iCs w:val="0"/>
          </w:rPr>
          <w:t>6210- دیوان لطفی نیشابوری أو شعره‏</w:t>
        </w:r>
        <w:r>
          <w:tab/>
        </w:r>
        <w:r>
          <w:fldChar w:fldCharType="begin"/>
        </w:r>
        <w:r>
          <w:instrText xml:space="preserve">PAGEREF 6918 \h</w:instrText>
        </w:r>
        <w:r>
          <w:fldChar w:fldCharType="end"/>
        </w:r>
      </w:hyperlink>
    </w:p>
    <w:p>
      <w:pPr>
        <w:tabs>
          <w:tab w:val="right" w:leader="dot" w:pos="9062"/>
        </w:tabs>
        <w:ind w:left="440"/>
      </w:pPr>
      <w:hyperlink w:anchor="_Toc6919" w:history="1">
        <w:r>
          <w:rPr>
            <w:rFonts w:ascii="IRNazanin" w:hAnsi="IRNazanin" w:eastAsia="IRNazanin" w:cs="IRNazanin"/>
            <w:color w:val="111111"/>
            <w:sz w:val="22"/>
            <w:szCs w:val="22"/>
            <w:b w:val="0"/>
            <w:bCs w:val="0"/>
            <w:i w:val="0"/>
            <w:iCs w:val="0"/>
          </w:rPr>
          <w:t>6211- دیوان لطفی هروی‏</w:t>
        </w:r>
        <w:r>
          <w:tab/>
        </w:r>
        <w:r>
          <w:fldChar w:fldCharType="begin"/>
        </w:r>
        <w:r>
          <w:instrText xml:space="preserve">PAGEREF 6919 \h</w:instrText>
        </w:r>
        <w:r>
          <w:fldChar w:fldCharType="end"/>
        </w:r>
      </w:hyperlink>
    </w:p>
    <w:p>
      <w:pPr>
        <w:tabs>
          <w:tab w:val="right" w:leader="dot" w:pos="9062"/>
        </w:tabs>
        <w:ind w:left="440"/>
      </w:pPr>
      <w:hyperlink w:anchor="_Toc6920" w:history="1">
        <w:r>
          <w:rPr>
            <w:rFonts w:ascii="IRNazanin" w:hAnsi="IRNazanin" w:eastAsia="IRNazanin" w:cs="IRNazanin"/>
            <w:color w:val="111111"/>
            <w:sz w:val="22"/>
            <w:szCs w:val="22"/>
            <w:b w:val="0"/>
            <w:bCs w:val="0"/>
            <w:i w:val="0"/>
            <w:iCs w:val="0"/>
          </w:rPr>
          <w:t>6212- دیوان لطیف أصفهانی أو شعره‏</w:t>
        </w:r>
        <w:r>
          <w:tab/>
        </w:r>
        <w:r>
          <w:fldChar w:fldCharType="begin"/>
        </w:r>
        <w:r>
          <w:instrText xml:space="preserve">PAGEREF 6920 \h</w:instrText>
        </w:r>
        <w:r>
          <w:fldChar w:fldCharType="end"/>
        </w:r>
      </w:hyperlink>
    </w:p>
    <w:p>
      <w:pPr>
        <w:tabs>
          <w:tab w:val="right" w:leader="dot" w:pos="9062"/>
        </w:tabs>
        <w:ind w:left="440"/>
      </w:pPr>
      <w:hyperlink w:anchor="_Toc6921" w:history="1">
        <w:r>
          <w:rPr>
            <w:rFonts w:ascii="IRNazanin" w:hAnsi="IRNazanin" w:eastAsia="IRNazanin" w:cs="IRNazanin"/>
            <w:color w:val="111111"/>
            <w:sz w:val="22"/>
            <w:szCs w:val="22"/>
            <w:b w:val="0"/>
            <w:bCs w:val="0"/>
            <w:i w:val="0"/>
            <w:iCs w:val="0"/>
          </w:rPr>
          <w:t>6213- دیوان لطیف أصفهانی البصری‏</w:t>
        </w:r>
        <w:r>
          <w:tab/>
        </w:r>
        <w:r>
          <w:fldChar w:fldCharType="begin"/>
        </w:r>
        <w:r>
          <w:instrText xml:space="preserve">PAGEREF 6921 \h</w:instrText>
        </w:r>
        <w:r>
          <w:fldChar w:fldCharType="end"/>
        </w:r>
      </w:hyperlink>
    </w:p>
    <w:p>
      <w:pPr>
        <w:tabs>
          <w:tab w:val="right" w:leader="dot" w:pos="9062"/>
        </w:tabs>
        <w:ind w:left="440"/>
      </w:pPr>
      <w:hyperlink w:anchor="_Toc6922" w:history="1">
        <w:r>
          <w:rPr>
            <w:rFonts w:ascii="IRNazanin" w:hAnsi="IRNazanin" w:eastAsia="IRNazanin" w:cs="IRNazanin"/>
            <w:color w:val="111111"/>
            <w:sz w:val="22"/>
            <w:szCs w:val="22"/>
            <w:b w:val="0"/>
            <w:bCs w:val="0"/>
            <w:i w:val="0"/>
            <w:iCs w:val="0"/>
          </w:rPr>
          <w:t>6214- دیوان لطیف خراسانی هروی أو شعره‏</w:t>
        </w:r>
        <w:r>
          <w:tab/>
        </w:r>
        <w:r>
          <w:fldChar w:fldCharType="begin"/>
        </w:r>
        <w:r>
          <w:instrText xml:space="preserve">PAGEREF 6922 \h</w:instrText>
        </w:r>
        <w:r>
          <w:fldChar w:fldCharType="end"/>
        </w:r>
      </w:hyperlink>
    </w:p>
    <w:p>
      <w:pPr>
        <w:tabs>
          <w:tab w:val="right" w:leader="dot" w:pos="9062"/>
        </w:tabs>
        <w:ind w:left="440"/>
      </w:pPr>
      <w:hyperlink w:anchor="_Toc6923" w:history="1">
        <w:r>
          <w:rPr>
            <w:rFonts w:ascii="IRNazanin" w:hAnsi="IRNazanin" w:eastAsia="IRNazanin" w:cs="IRNazanin"/>
            <w:color w:val="111111"/>
            <w:sz w:val="22"/>
            <w:szCs w:val="22"/>
            <w:b w:val="0"/>
            <w:bCs w:val="0"/>
            <w:i w:val="0"/>
            <w:iCs w:val="0"/>
          </w:rPr>
          <w:t>6215- دیوان لطیف قزوینی أو شعره‏</w:t>
        </w:r>
        <w:r>
          <w:tab/>
        </w:r>
        <w:r>
          <w:fldChar w:fldCharType="begin"/>
        </w:r>
        <w:r>
          <w:instrText xml:space="preserve">PAGEREF 6923 \h</w:instrText>
        </w:r>
        <w:r>
          <w:fldChar w:fldCharType="end"/>
        </w:r>
      </w:hyperlink>
    </w:p>
    <w:p>
      <w:pPr>
        <w:tabs>
          <w:tab w:val="right" w:leader="dot" w:pos="9062"/>
        </w:tabs>
        <w:ind w:left="440"/>
      </w:pPr>
      <w:hyperlink w:anchor="_Toc6924" w:history="1">
        <w:r>
          <w:rPr>
            <w:rFonts w:ascii="IRNazanin" w:hAnsi="IRNazanin" w:eastAsia="IRNazanin" w:cs="IRNazanin"/>
            <w:color w:val="111111"/>
            <w:sz w:val="22"/>
            <w:szCs w:val="22"/>
            <w:b w:val="0"/>
            <w:bCs w:val="0"/>
            <w:i w:val="0"/>
            <w:iCs w:val="0"/>
          </w:rPr>
          <w:t>دیوان لطیف مراغی‏</w:t>
        </w:r>
        <w:r>
          <w:tab/>
        </w:r>
        <w:r>
          <w:fldChar w:fldCharType="begin"/>
        </w:r>
        <w:r>
          <w:instrText xml:space="preserve">PAGEREF 6924 \h</w:instrText>
        </w:r>
        <w:r>
          <w:fldChar w:fldCharType="end"/>
        </w:r>
      </w:hyperlink>
    </w:p>
    <w:p>
      <w:pPr>
        <w:tabs>
          <w:tab w:val="right" w:leader="dot" w:pos="9062"/>
        </w:tabs>
        <w:ind w:left="440"/>
      </w:pPr>
      <w:hyperlink w:anchor="_Toc6925" w:history="1">
        <w:r>
          <w:rPr>
            <w:rFonts w:ascii="IRNazanin" w:hAnsi="IRNazanin" w:eastAsia="IRNazanin" w:cs="IRNazanin"/>
            <w:color w:val="111111"/>
            <w:sz w:val="22"/>
            <w:szCs w:val="22"/>
            <w:b w:val="0"/>
            <w:bCs w:val="0"/>
            <w:i w:val="0"/>
            <w:iCs w:val="0"/>
          </w:rPr>
          <w:t>6216- دیوان لطیفی أو شعره‏</w:t>
        </w:r>
        <w:r>
          <w:tab/>
        </w:r>
        <w:r>
          <w:fldChar w:fldCharType="begin"/>
        </w:r>
        <w:r>
          <w:instrText xml:space="preserve">PAGEREF 6925 \h</w:instrText>
        </w:r>
        <w:r>
          <w:fldChar w:fldCharType="end"/>
        </w:r>
      </w:hyperlink>
    </w:p>
    <w:p>
      <w:pPr>
        <w:tabs>
          <w:tab w:val="right" w:leader="dot" w:pos="9062"/>
        </w:tabs>
        <w:ind w:left="440"/>
      </w:pPr>
      <w:hyperlink w:anchor="_Toc6926" w:history="1">
        <w:r>
          <w:rPr>
            <w:rFonts w:ascii="IRNazanin" w:hAnsi="IRNazanin" w:eastAsia="IRNazanin" w:cs="IRNazanin"/>
            <w:color w:val="111111"/>
            <w:sz w:val="22"/>
            <w:szCs w:val="22"/>
            <w:b w:val="0"/>
            <w:bCs w:val="0"/>
            <w:i w:val="0"/>
            <w:iCs w:val="0"/>
          </w:rPr>
          <w:t>6217- دیوان لطیفی أردبیلی أو شعره‏</w:t>
        </w:r>
        <w:r>
          <w:tab/>
        </w:r>
        <w:r>
          <w:fldChar w:fldCharType="begin"/>
        </w:r>
        <w:r>
          <w:instrText xml:space="preserve">PAGEREF 6926 \h</w:instrText>
        </w:r>
        <w:r>
          <w:fldChar w:fldCharType="end"/>
        </w:r>
      </w:hyperlink>
    </w:p>
    <w:p>
      <w:pPr>
        <w:tabs>
          <w:tab w:val="right" w:leader="dot" w:pos="9062"/>
        </w:tabs>
        <w:ind w:left="440"/>
      </w:pPr>
      <w:hyperlink w:anchor="_Toc6927" w:history="1">
        <w:r>
          <w:rPr>
            <w:rFonts w:ascii="IRNazanin" w:hAnsi="IRNazanin" w:eastAsia="IRNazanin" w:cs="IRNazanin"/>
            <w:color w:val="111111"/>
            <w:sz w:val="22"/>
            <w:szCs w:val="22"/>
            <w:b w:val="0"/>
            <w:bCs w:val="0"/>
            <w:i w:val="0"/>
            <w:iCs w:val="0"/>
          </w:rPr>
          <w:t>6218- دیوان لطیفی جونپوری‏</w:t>
        </w:r>
        <w:r>
          <w:tab/>
        </w:r>
        <w:r>
          <w:fldChar w:fldCharType="begin"/>
        </w:r>
        <w:r>
          <w:instrText xml:space="preserve">PAGEREF 6927 \h</w:instrText>
        </w:r>
        <w:r>
          <w:fldChar w:fldCharType="end"/>
        </w:r>
      </w:hyperlink>
    </w:p>
    <w:p>
      <w:pPr>
        <w:tabs>
          <w:tab w:val="right" w:leader="dot" w:pos="9062"/>
        </w:tabs>
        <w:ind w:left="440"/>
      </w:pPr>
      <w:hyperlink w:anchor="_Toc6928" w:history="1">
        <w:r>
          <w:rPr>
            <w:rFonts w:ascii="IRNazanin" w:hAnsi="IRNazanin" w:eastAsia="IRNazanin" w:cs="IRNazanin"/>
            <w:color w:val="111111"/>
            <w:sz w:val="22"/>
            <w:szCs w:val="22"/>
            <w:b w:val="0"/>
            <w:bCs w:val="0"/>
            <w:i w:val="0"/>
            <w:iCs w:val="0"/>
          </w:rPr>
          <w:t>6219- دیوان لعلی بدخشانی أو شعره‏</w:t>
        </w:r>
        <w:r>
          <w:tab/>
        </w:r>
        <w:r>
          <w:fldChar w:fldCharType="begin"/>
        </w:r>
        <w:r>
          <w:instrText xml:space="preserve">PAGEREF 6928 \h</w:instrText>
        </w:r>
        <w:r>
          <w:fldChar w:fldCharType="end"/>
        </w:r>
      </w:hyperlink>
    </w:p>
    <w:p>
      <w:pPr>
        <w:tabs>
          <w:tab w:val="right" w:leader="dot" w:pos="9062"/>
        </w:tabs>
        <w:ind w:left="440"/>
      </w:pPr>
      <w:hyperlink w:anchor="_Toc6929" w:history="1">
        <w:r>
          <w:rPr>
            <w:rFonts w:ascii="IRNazanin" w:hAnsi="IRNazanin" w:eastAsia="IRNazanin" w:cs="IRNazanin"/>
            <w:color w:val="111111"/>
            <w:sz w:val="22"/>
            <w:szCs w:val="22"/>
            <w:b w:val="0"/>
            <w:bCs w:val="0"/>
            <w:i w:val="0"/>
            <w:iCs w:val="0"/>
          </w:rPr>
          <w:t>6220- دیوان لعلی تبریزی‏</w:t>
        </w:r>
        <w:r>
          <w:tab/>
        </w:r>
        <w:r>
          <w:fldChar w:fldCharType="begin"/>
        </w:r>
        <w:r>
          <w:instrText xml:space="preserve">PAGEREF 6929 \h</w:instrText>
        </w:r>
        <w:r>
          <w:fldChar w:fldCharType="end"/>
        </w:r>
      </w:hyperlink>
    </w:p>
    <w:p>
      <w:pPr>
        <w:tabs>
          <w:tab w:val="right" w:leader="dot" w:pos="9062"/>
        </w:tabs>
        <w:ind w:left="440"/>
      </w:pPr>
      <w:hyperlink w:anchor="_Toc6930" w:history="1">
        <w:r>
          <w:rPr>
            <w:rFonts w:ascii="IRNazanin" w:hAnsi="IRNazanin" w:eastAsia="IRNazanin" w:cs="IRNazanin"/>
            <w:color w:val="111111"/>
            <w:sz w:val="22"/>
            <w:szCs w:val="22"/>
            <w:b w:val="0"/>
            <w:bCs w:val="0"/>
            <w:i w:val="0"/>
            <w:iCs w:val="0"/>
          </w:rPr>
          <w:t>6221- دیوان لقای یزدی أو شعرها</w:t>
        </w:r>
        <w:r>
          <w:tab/>
        </w:r>
        <w:r>
          <w:fldChar w:fldCharType="begin"/>
        </w:r>
        <w:r>
          <w:instrText xml:space="preserve">PAGEREF 6930 \h</w:instrText>
        </w:r>
        <w:r>
          <w:fldChar w:fldCharType="end"/>
        </w:r>
      </w:hyperlink>
    </w:p>
    <w:p>
      <w:pPr>
        <w:tabs>
          <w:tab w:val="right" w:leader="dot" w:pos="9062"/>
        </w:tabs>
        <w:ind w:left="440"/>
      </w:pPr>
      <w:hyperlink w:anchor="_Toc6931" w:history="1">
        <w:r>
          <w:rPr>
            <w:rFonts w:ascii="IRNazanin" w:hAnsi="IRNazanin" w:eastAsia="IRNazanin" w:cs="IRNazanin"/>
            <w:color w:val="111111"/>
            <w:sz w:val="22"/>
            <w:szCs w:val="22"/>
            <w:b w:val="0"/>
            <w:bCs w:val="0"/>
            <w:i w:val="0"/>
            <w:iCs w:val="0"/>
          </w:rPr>
          <w:t>6222- دیوان لقائی خراسانی أو شعره‏</w:t>
        </w:r>
        <w:r>
          <w:tab/>
        </w:r>
        <w:r>
          <w:fldChar w:fldCharType="begin"/>
        </w:r>
        <w:r>
          <w:instrText xml:space="preserve">PAGEREF 6931 \h</w:instrText>
        </w:r>
        <w:r>
          <w:fldChar w:fldCharType="end"/>
        </w:r>
      </w:hyperlink>
    </w:p>
    <w:p>
      <w:pPr>
        <w:tabs>
          <w:tab w:val="right" w:leader="dot" w:pos="9062"/>
        </w:tabs>
        <w:ind w:left="440"/>
      </w:pPr>
      <w:hyperlink w:anchor="_Toc6932" w:history="1">
        <w:r>
          <w:rPr>
            <w:rFonts w:ascii="IRNazanin" w:hAnsi="IRNazanin" w:eastAsia="IRNazanin" w:cs="IRNazanin"/>
            <w:color w:val="111111"/>
            <w:sz w:val="22"/>
            <w:szCs w:val="22"/>
            <w:b w:val="0"/>
            <w:bCs w:val="0"/>
            <w:i w:val="0"/>
            <w:iCs w:val="0"/>
          </w:rPr>
          <w:t>دیوان لقائی خوارزمی‏</w:t>
        </w:r>
        <w:r>
          <w:tab/>
        </w:r>
        <w:r>
          <w:fldChar w:fldCharType="begin"/>
        </w:r>
        <w:r>
          <w:instrText xml:space="preserve">PAGEREF 6932 \h</w:instrText>
        </w:r>
        <w:r>
          <w:fldChar w:fldCharType="end"/>
        </w:r>
      </w:hyperlink>
    </w:p>
    <w:p>
      <w:pPr>
        <w:tabs>
          <w:tab w:val="right" w:leader="dot" w:pos="9062"/>
        </w:tabs>
        <w:ind w:left="440"/>
      </w:pPr>
      <w:hyperlink w:anchor="_Toc6933" w:history="1">
        <w:r>
          <w:rPr>
            <w:rFonts w:ascii="IRNazanin" w:hAnsi="IRNazanin" w:eastAsia="IRNazanin" w:cs="IRNazanin"/>
            <w:color w:val="111111"/>
            <w:sz w:val="22"/>
            <w:szCs w:val="22"/>
            <w:b w:val="0"/>
            <w:bCs w:val="0"/>
            <w:i w:val="0"/>
            <w:iCs w:val="0"/>
          </w:rPr>
          <w:t>6223- دیوان لقائی سمرقندی أو شعره‏</w:t>
        </w:r>
        <w:r>
          <w:tab/>
        </w:r>
        <w:r>
          <w:fldChar w:fldCharType="begin"/>
        </w:r>
        <w:r>
          <w:instrText xml:space="preserve">PAGEREF 6933 \h</w:instrText>
        </w:r>
        <w:r>
          <w:fldChar w:fldCharType="end"/>
        </w:r>
      </w:hyperlink>
    </w:p>
    <w:p>
      <w:pPr>
        <w:tabs>
          <w:tab w:val="right" w:leader="dot" w:pos="9062"/>
        </w:tabs>
        <w:ind w:left="440"/>
      </w:pPr>
      <w:hyperlink w:anchor="_Toc6934" w:history="1">
        <w:r>
          <w:rPr>
            <w:rFonts w:ascii="IRNazanin" w:hAnsi="IRNazanin" w:eastAsia="IRNazanin" w:cs="IRNazanin"/>
            <w:color w:val="111111"/>
            <w:sz w:val="22"/>
            <w:szCs w:val="22"/>
            <w:b w:val="0"/>
            <w:bCs w:val="0"/>
            <w:i w:val="0"/>
            <w:iCs w:val="0"/>
          </w:rPr>
          <w:t>6224- دیوان لقائی لاهیجی أو شعره‏</w:t>
        </w:r>
        <w:r>
          <w:tab/>
        </w:r>
        <w:r>
          <w:fldChar w:fldCharType="begin"/>
        </w:r>
        <w:r>
          <w:instrText xml:space="preserve">PAGEREF 6934 \h</w:instrText>
        </w:r>
        <w:r>
          <w:fldChar w:fldCharType="end"/>
        </w:r>
      </w:hyperlink>
    </w:p>
    <w:p>
      <w:pPr>
        <w:tabs>
          <w:tab w:val="right" w:leader="dot" w:pos="9062"/>
        </w:tabs>
        <w:ind w:left="440"/>
      </w:pPr>
      <w:hyperlink w:anchor="_Toc6935" w:history="1">
        <w:r>
          <w:rPr>
            <w:rFonts w:ascii="IRNazanin" w:hAnsi="IRNazanin" w:eastAsia="IRNazanin" w:cs="IRNazanin"/>
            <w:color w:val="111111"/>
            <w:sz w:val="22"/>
            <w:szCs w:val="22"/>
            <w:b w:val="0"/>
            <w:bCs w:val="0"/>
            <w:i w:val="0"/>
            <w:iCs w:val="0"/>
          </w:rPr>
          <w:t>دیوان لکنتی لاهوری أو شعره‏</w:t>
        </w:r>
        <w:r>
          <w:tab/>
        </w:r>
        <w:r>
          <w:fldChar w:fldCharType="begin"/>
        </w:r>
        <w:r>
          <w:instrText xml:space="preserve">PAGEREF 6935 \h</w:instrText>
        </w:r>
        <w:r>
          <w:fldChar w:fldCharType="end"/>
        </w:r>
      </w:hyperlink>
    </w:p>
    <w:p>
      <w:pPr>
        <w:tabs>
          <w:tab w:val="right" w:leader="dot" w:pos="9062"/>
        </w:tabs>
        <w:ind w:left="440"/>
      </w:pPr>
      <w:hyperlink w:anchor="_Toc6936" w:history="1">
        <w:r>
          <w:rPr>
            <w:rFonts w:ascii="IRNazanin" w:hAnsi="IRNazanin" w:eastAsia="IRNazanin" w:cs="IRNazanin"/>
            <w:color w:val="111111"/>
            <w:sz w:val="22"/>
            <w:szCs w:val="22"/>
            <w:b w:val="0"/>
            <w:bCs w:val="0"/>
            <w:i w:val="0"/>
            <w:iCs w:val="0"/>
          </w:rPr>
          <w:t>6225- دیوان لوائی سبزواری أو شعره‏</w:t>
        </w:r>
        <w:r>
          <w:tab/>
        </w:r>
        <w:r>
          <w:fldChar w:fldCharType="begin"/>
        </w:r>
        <w:r>
          <w:instrText xml:space="preserve">PAGEREF 6936 \h</w:instrText>
        </w:r>
        <w:r>
          <w:fldChar w:fldCharType="end"/>
        </w:r>
      </w:hyperlink>
    </w:p>
    <w:p>
      <w:pPr>
        <w:tabs>
          <w:tab w:val="right" w:leader="dot" w:pos="9062"/>
        </w:tabs>
        <w:ind w:left="440"/>
      </w:pPr>
      <w:hyperlink w:anchor="_Toc6937" w:history="1">
        <w:r>
          <w:rPr>
            <w:rFonts w:ascii="IRNazanin" w:hAnsi="IRNazanin" w:eastAsia="IRNazanin" w:cs="IRNazanin"/>
            <w:color w:val="111111"/>
            <w:sz w:val="22"/>
            <w:szCs w:val="22"/>
            <w:b w:val="0"/>
            <w:bCs w:val="0"/>
            <w:i w:val="0"/>
            <w:iCs w:val="0"/>
          </w:rPr>
          <w:t>6226- دیوان لوائی قمی‏</w:t>
        </w:r>
        <w:r>
          <w:tab/>
        </w:r>
        <w:r>
          <w:fldChar w:fldCharType="begin"/>
        </w:r>
        <w:r>
          <w:instrText xml:space="preserve">PAGEREF 6937 \h</w:instrText>
        </w:r>
        <w:r>
          <w:fldChar w:fldCharType="end"/>
        </w:r>
      </w:hyperlink>
    </w:p>
    <w:p>
      <w:pPr>
        <w:tabs>
          <w:tab w:val="right" w:leader="dot" w:pos="9062"/>
        </w:tabs>
        <w:ind w:left="440"/>
      </w:pPr>
      <w:hyperlink w:anchor="_Toc6938" w:history="1">
        <w:r>
          <w:rPr>
            <w:rFonts w:ascii="IRNazanin" w:hAnsi="IRNazanin" w:eastAsia="IRNazanin" w:cs="IRNazanin"/>
            <w:color w:val="111111"/>
            <w:sz w:val="22"/>
            <w:szCs w:val="22"/>
            <w:b w:val="0"/>
            <w:bCs w:val="0"/>
            <w:i w:val="0"/>
            <w:iCs w:val="0"/>
          </w:rPr>
          <w:t>6227- دیوان ملا لوحی أصفهانی‏</w:t>
        </w:r>
        <w:r>
          <w:tab/>
        </w:r>
        <w:r>
          <w:fldChar w:fldCharType="begin"/>
        </w:r>
        <w:r>
          <w:instrText xml:space="preserve">PAGEREF 6938 \h</w:instrText>
        </w:r>
        <w:r>
          <w:fldChar w:fldCharType="end"/>
        </w:r>
      </w:hyperlink>
    </w:p>
    <w:p>
      <w:pPr>
        <w:tabs>
          <w:tab w:val="right" w:leader="dot" w:pos="9062"/>
        </w:tabs>
        <w:ind w:left="440"/>
      </w:pPr>
      <w:hyperlink w:anchor="_Toc6939" w:history="1">
        <w:r>
          <w:rPr>
            <w:rFonts w:ascii="IRNazanin" w:hAnsi="IRNazanin" w:eastAsia="IRNazanin" w:cs="IRNazanin"/>
            <w:color w:val="111111"/>
            <w:sz w:val="22"/>
            <w:szCs w:val="22"/>
            <w:b w:val="0"/>
            <w:bCs w:val="0"/>
            <w:i w:val="0"/>
            <w:iCs w:val="0"/>
          </w:rPr>
          <w:t>6228- دیوان میر لوحی‏</w:t>
        </w:r>
        <w:r>
          <w:tab/>
        </w:r>
        <w:r>
          <w:fldChar w:fldCharType="begin"/>
        </w:r>
        <w:r>
          <w:instrText xml:space="preserve">PAGEREF 6939 \h</w:instrText>
        </w:r>
        <w:r>
          <w:fldChar w:fldCharType="end"/>
        </w:r>
      </w:hyperlink>
    </w:p>
    <w:p>
      <w:pPr>
        <w:tabs>
          <w:tab w:val="right" w:leader="dot" w:pos="9062"/>
        </w:tabs>
        <w:ind w:left="440"/>
      </w:pPr>
      <w:hyperlink w:anchor="_Toc6940" w:history="1">
        <w:r>
          <w:rPr>
            <w:rFonts w:ascii="IRNazanin" w:hAnsi="IRNazanin" w:eastAsia="IRNazanin" w:cs="IRNazanin"/>
            <w:color w:val="111111"/>
            <w:sz w:val="22"/>
            <w:szCs w:val="22"/>
            <w:b w:val="0"/>
            <w:bCs w:val="0"/>
            <w:i w:val="0"/>
            <w:iCs w:val="0"/>
          </w:rPr>
          <w:t>6229- دیوان لودی أو شعره‏</w:t>
        </w:r>
        <w:r>
          <w:tab/>
        </w:r>
        <w:r>
          <w:fldChar w:fldCharType="begin"/>
        </w:r>
        <w:r>
          <w:instrText xml:space="preserve">PAGEREF 6940 \h</w:instrText>
        </w:r>
        <w:r>
          <w:fldChar w:fldCharType="end"/>
        </w:r>
      </w:hyperlink>
    </w:p>
    <w:p>
      <w:pPr>
        <w:tabs>
          <w:tab w:val="right" w:leader="dot" w:pos="9062"/>
        </w:tabs>
        <w:ind w:left="440"/>
      </w:pPr>
      <w:hyperlink w:anchor="_Toc6941" w:history="1">
        <w:r>
          <w:rPr>
            <w:rFonts w:ascii="IRNazanin" w:hAnsi="IRNazanin" w:eastAsia="IRNazanin" w:cs="IRNazanin"/>
            <w:color w:val="111111"/>
            <w:sz w:val="22"/>
            <w:szCs w:val="22"/>
            <w:b w:val="0"/>
            <w:bCs w:val="0"/>
            <w:i w:val="0"/>
            <w:iCs w:val="0"/>
          </w:rPr>
          <w:t>6230- دیوان لوکری أو شعره‏</w:t>
        </w:r>
        <w:r>
          <w:tab/>
        </w:r>
        <w:r>
          <w:fldChar w:fldCharType="begin"/>
        </w:r>
        <w:r>
          <w:instrText xml:space="preserve">PAGEREF 6941 \h</w:instrText>
        </w:r>
        <w:r>
          <w:fldChar w:fldCharType="end"/>
        </w:r>
      </w:hyperlink>
    </w:p>
    <w:p>
      <w:pPr>
        <w:tabs>
          <w:tab w:val="right" w:leader="dot" w:pos="9062"/>
        </w:tabs>
        <w:ind w:left="440"/>
      </w:pPr>
      <w:hyperlink w:anchor="_Toc6942" w:history="1">
        <w:r>
          <w:rPr>
            <w:rFonts w:ascii="IRNazanin" w:hAnsi="IRNazanin" w:eastAsia="IRNazanin" w:cs="IRNazanin"/>
            <w:color w:val="111111"/>
            <w:sz w:val="22"/>
            <w:szCs w:val="22"/>
            <w:b w:val="0"/>
            <w:bCs w:val="0"/>
            <w:i w:val="0"/>
            <w:iCs w:val="0"/>
          </w:rPr>
          <w:t>6231- دیوان لوکری‏</w:t>
        </w:r>
        <w:r>
          <w:tab/>
        </w:r>
        <w:r>
          <w:fldChar w:fldCharType="begin"/>
        </w:r>
        <w:r>
          <w:instrText xml:space="preserve">PAGEREF 6942 \h</w:instrText>
        </w:r>
        <w:r>
          <w:fldChar w:fldCharType="end"/>
        </w:r>
      </w:hyperlink>
    </w:p>
    <w:p>
      <w:pPr>
        <w:tabs>
          <w:tab w:val="right" w:leader="dot" w:pos="9062"/>
        </w:tabs>
        <w:ind w:left="440"/>
      </w:pPr>
      <w:hyperlink w:anchor="_Toc6943" w:history="1">
        <w:r>
          <w:rPr>
            <w:rFonts w:ascii="IRNazanin" w:hAnsi="IRNazanin" w:eastAsia="IRNazanin" w:cs="IRNazanin"/>
            <w:color w:val="111111"/>
            <w:sz w:val="22"/>
            <w:szCs w:val="22"/>
            <w:b w:val="0"/>
            <w:bCs w:val="0"/>
            <w:i w:val="0"/>
            <w:iCs w:val="0"/>
          </w:rPr>
          <w:t>6232- دیوان لوندی قصه‏خوان أو شعره‏</w:t>
        </w:r>
        <w:r>
          <w:tab/>
        </w:r>
        <w:r>
          <w:fldChar w:fldCharType="begin"/>
        </w:r>
        <w:r>
          <w:instrText xml:space="preserve">PAGEREF 6943 \h</w:instrText>
        </w:r>
        <w:r>
          <w:fldChar w:fldCharType="end"/>
        </w:r>
      </w:hyperlink>
    </w:p>
    <w:p>
      <w:pPr>
        <w:tabs>
          <w:tab w:val="right" w:leader="dot" w:pos="9062"/>
        </w:tabs>
        <w:ind w:left="440"/>
      </w:pPr>
      <w:hyperlink w:anchor="_Toc6944" w:history="1">
        <w:r>
          <w:rPr>
            <w:rFonts w:ascii="IRNazanin" w:hAnsi="IRNazanin" w:eastAsia="IRNazanin" w:cs="IRNazanin"/>
            <w:color w:val="111111"/>
            <w:sz w:val="22"/>
            <w:szCs w:val="22"/>
            <w:b w:val="0"/>
            <w:bCs w:val="0"/>
            <w:i w:val="0"/>
            <w:iCs w:val="0"/>
          </w:rPr>
          <w:t>م‏</w:t>
        </w:r>
        <w:r>
          <w:tab/>
        </w:r>
        <w:r>
          <w:fldChar w:fldCharType="begin"/>
        </w:r>
        <w:r>
          <w:instrText xml:space="preserve">PAGEREF 6944 \h</w:instrText>
        </w:r>
        <w:r>
          <w:fldChar w:fldCharType="end"/>
        </w:r>
      </w:hyperlink>
    </w:p>
    <w:p>
      <w:pPr>
        <w:tabs>
          <w:tab w:val="right" w:leader="dot" w:pos="9062"/>
        </w:tabs>
        <w:ind w:left="440"/>
      </w:pPr>
      <w:hyperlink w:anchor="_Toc6945" w:history="1">
        <w:r>
          <w:rPr>
            <w:rFonts w:ascii="IRNazanin" w:hAnsi="IRNazanin" w:eastAsia="IRNazanin" w:cs="IRNazanin"/>
            <w:color w:val="111111"/>
            <w:sz w:val="22"/>
            <w:szCs w:val="22"/>
            <w:b w:val="0"/>
            <w:bCs w:val="0"/>
            <w:i w:val="0"/>
            <w:iCs w:val="0"/>
          </w:rPr>
          <w:t>دیوان مائل‏</w:t>
        </w:r>
        <w:r>
          <w:tab/>
        </w:r>
        <w:r>
          <w:fldChar w:fldCharType="begin"/>
        </w:r>
        <w:r>
          <w:instrText xml:space="preserve">PAGEREF 6945 \h</w:instrText>
        </w:r>
        <w:r>
          <w:fldChar w:fldCharType="end"/>
        </w:r>
      </w:hyperlink>
    </w:p>
    <w:p>
      <w:pPr>
        <w:tabs>
          <w:tab w:val="right" w:leader="dot" w:pos="9062"/>
        </w:tabs>
        <w:ind w:left="440"/>
      </w:pPr>
      <w:hyperlink w:anchor="_Toc6946" w:history="1">
        <w:r>
          <w:rPr>
            <w:rFonts w:ascii="IRNazanin" w:hAnsi="IRNazanin" w:eastAsia="IRNazanin" w:cs="IRNazanin"/>
            <w:color w:val="111111"/>
            <w:sz w:val="22"/>
            <w:szCs w:val="22"/>
            <w:b w:val="0"/>
            <w:bCs w:val="0"/>
            <w:i w:val="0"/>
            <w:iCs w:val="0"/>
          </w:rPr>
          <w:t>6233- دیوان مولانا ماتمی‏</w:t>
        </w:r>
        <w:r>
          <w:tab/>
        </w:r>
        <w:r>
          <w:fldChar w:fldCharType="begin"/>
        </w:r>
        <w:r>
          <w:instrText xml:space="preserve">PAGEREF 6946 \h</w:instrText>
        </w:r>
        <w:r>
          <w:fldChar w:fldCharType="end"/>
        </w:r>
      </w:hyperlink>
    </w:p>
    <w:p>
      <w:pPr>
        <w:tabs>
          <w:tab w:val="right" w:leader="dot" w:pos="9062"/>
        </w:tabs>
        <w:ind w:left="440"/>
      </w:pPr>
      <w:hyperlink w:anchor="_Toc6947" w:history="1">
        <w:r>
          <w:rPr>
            <w:rFonts w:ascii="IRNazanin" w:hAnsi="IRNazanin" w:eastAsia="IRNazanin" w:cs="IRNazanin"/>
            <w:color w:val="111111"/>
            <w:sz w:val="22"/>
            <w:szCs w:val="22"/>
            <w:b w:val="0"/>
            <w:bCs w:val="0"/>
            <w:i w:val="0"/>
            <w:iCs w:val="0"/>
          </w:rPr>
          <w:t>6234- دیوان السید ماجد البحرانی‏</w:t>
        </w:r>
        <w:r>
          <w:tab/>
        </w:r>
        <w:r>
          <w:fldChar w:fldCharType="begin"/>
        </w:r>
        <w:r>
          <w:instrText xml:space="preserve">PAGEREF 6947 \h</w:instrText>
        </w:r>
        <w:r>
          <w:fldChar w:fldCharType="end"/>
        </w:r>
      </w:hyperlink>
    </w:p>
    <w:p>
      <w:pPr>
        <w:tabs>
          <w:tab w:val="right" w:leader="dot" w:pos="9062"/>
        </w:tabs>
        <w:ind w:left="440"/>
      </w:pPr>
      <w:hyperlink w:anchor="_Toc6948" w:history="1">
        <w:r>
          <w:rPr>
            <w:rFonts w:ascii="IRNazanin" w:hAnsi="IRNazanin" w:eastAsia="IRNazanin" w:cs="IRNazanin"/>
            <w:color w:val="111111"/>
            <w:sz w:val="22"/>
            <w:szCs w:val="22"/>
            <w:b w:val="0"/>
            <w:bCs w:val="0"/>
            <w:i w:val="0"/>
            <w:iCs w:val="0"/>
          </w:rPr>
          <w:t>6235- دیوان السید ماجد</w:t>
        </w:r>
        <w:r>
          <w:tab/>
        </w:r>
        <w:r>
          <w:fldChar w:fldCharType="begin"/>
        </w:r>
        <w:r>
          <w:instrText xml:space="preserve">PAGEREF 6948 \h</w:instrText>
        </w:r>
        <w:r>
          <w:fldChar w:fldCharType="end"/>
        </w:r>
      </w:hyperlink>
    </w:p>
    <w:p>
      <w:pPr>
        <w:tabs>
          <w:tab w:val="right" w:leader="dot" w:pos="9062"/>
        </w:tabs>
        <w:ind w:left="440"/>
      </w:pPr>
      <w:hyperlink w:anchor="_Toc6949" w:history="1">
        <w:r>
          <w:rPr>
            <w:rFonts w:ascii="IRNazanin" w:hAnsi="IRNazanin" w:eastAsia="IRNazanin" w:cs="IRNazanin"/>
            <w:color w:val="111111"/>
            <w:sz w:val="22"/>
            <w:szCs w:val="22"/>
            <w:b w:val="0"/>
            <w:bCs w:val="0"/>
            <w:i w:val="0"/>
            <w:iCs w:val="0"/>
          </w:rPr>
          <w:t>6236- دیوان السید ماجد القطیفی أو شعره‏</w:t>
        </w:r>
        <w:r>
          <w:tab/>
        </w:r>
        <w:r>
          <w:fldChar w:fldCharType="begin"/>
        </w:r>
        <w:r>
          <w:instrText xml:space="preserve">PAGEREF 6949 \h</w:instrText>
        </w:r>
        <w:r>
          <w:fldChar w:fldCharType="end"/>
        </w:r>
      </w:hyperlink>
    </w:p>
    <w:p>
      <w:pPr>
        <w:tabs>
          <w:tab w:val="right" w:leader="dot" w:pos="9062"/>
        </w:tabs>
        <w:ind w:left="440"/>
      </w:pPr>
      <w:hyperlink w:anchor="_Toc6950" w:history="1">
        <w:r>
          <w:rPr>
            <w:rFonts w:ascii="IRNazanin" w:hAnsi="IRNazanin" w:eastAsia="IRNazanin" w:cs="IRNazanin"/>
            <w:color w:val="111111"/>
            <w:sz w:val="22"/>
            <w:szCs w:val="22"/>
            <w:b w:val="0"/>
            <w:bCs w:val="0"/>
            <w:i w:val="0"/>
            <w:iCs w:val="0"/>
          </w:rPr>
          <w:t>6237- دیوان ماجد هندی أو شعره‏</w:t>
        </w:r>
        <w:r>
          <w:tab/>
        </w:r>
        <w:r>
          <w:fldChar w:fldCharType="begin"/>
        </w:r>
        <w:r>
          <w:instrText xml:space="preserve">PAGEREF 6950 \h</w:instrText>
        </w:r>
        <w:r>
          <w:fldChar w:fldCharType="end"/>
        </w:r>
      </w:hyperlink>
    </w:p>
    <w:p>
      <w:pPr>
        <w:tabs>
          <w:tab w:val="right" w:leader="dot" w:pos="9062"/>
        </w:tabs>
        <w:ind w:left="440"/>
      </w:pPr>
      <w:hyperlink w:anchor="_Toc6951" w:history="1">
        <w:r>
          <w:rPr>
            <w:rFonts w:ascii="IRNazanin" w:hAnsi="IRNazanin" w:eastAsia="IRNazanin" w:cs="IRNazanin"/>
            <w:color w:val="111111"/>
            <w:sz w:val="22"/>
            <w:szCs w:val="22"/>
            <w:b w:val="0"/>
            <w:bCs w:val="0"/>
            <w:i w:val="0"/>
            <w:iCs w:val="0"/>
          </w:rPr>
          <w:t>6238- دیوان مالک الجهنی أو شعره‏</w:t>
        </w:r>
        <w:r>
          <w:tab/>
        </w:r>
        <w:r>
          <w:fldChar w:fldCharType="begin"/>
        </w:r>
        <w:r>
          <w:instrText xml:space="preserve">PAGEREF 6951 \h</w:instrText>
        </w:r>
        <w:r>
          <w:fldChar w:fldCharType="end"/>
        </w:r>
      </w:hyperlink>
    </w:p>
    <w:p>
      <w:pPr>
        <w:tabs>
          <w:tab w:val="right" w:leader="dot" w:pos="9062"/>
        </w:tabs>
        <w:ind w:left="440"/>
      </w:pPr>
      <w:hyperlink w:anchor="_Toc6952" w:history="1">
        <w:r>
          <w:rPr>
            <w:rFonts w:ascii="IRNazanin" w:hAnsi="IRNazanin" w:eastAsia="IRNazanin" w:cs="IRNazanin"/>
            <w:color w:val="111111"/>
            <w:sz w:val="22"/>
            <w:szCs w:val="22"/>
            <w:b w:val="0"/>
            <w:bCs w:val="0"/>
            <w:i w:val="0"/>
            <w:iCs w:val="0"/>
          </w:rPr>
          <w:t>6239- دیوان مالک دیلمی‏</w:t>
        </w:r>
        <w:r>
          <w:tab/>
        </w:r>
        <w:r>
          <w:fldChar w:fldCharType="begin"/>
        </w:r>
        <w:r>
          <w:instrText xml:space="preserve">PAGEREF 6952 \h</w:instrText>
        </w:r>
        <w:r>
          <w:fldChar w:fldCharType="end"/>
        </w:r>
      </w:hyperlink>
    </w:p>
    <w:p>
      <w:pPr>
        <w:tabs>
          <w:tab w:val="right" w:leader="dot" w:pos="9062"/>
        </w:tabs>
        <w:ind w:left="440"/>
      </w:pPr>
      <w:hyperlink w:anchor="_Toc6953" w:history="1">
        <w:r>
          <w:rPr>
            <w:rFonts w:ascii="IRNazanin" w:hAnsi="IRNazanin" w:eastAsia="IRNazanin" w:cs="IRNazanin"/>
            <w:color w:val="111111"/>
            <w:sz w:val="22"/>
            <w:szCs w:val="22"/>
            <w:b w:val="0"/>
            <w:bCs w:val="0"/>
            <w:i w:val="0"/>
            <w:iCs w:val="0"/>
          </w:rPr>
          <w:t>6240- دیوان مالک بن نویرة</w:t>
        </w:r>
        <w:r>
          <w:tab/>
        </w:r>
        <w:r>
          <w:fldChar w:fldCharType="begin"/>
        </w:r>
        <w:r>
          <w:instrText xml:space="preserve">PAGEREF 6953 \h</w:instrText>
        </w:r>
        <w:r>
          <w:fldChar w:fldCharType="end"/>
        </w:r>
      </w:hyperlink>
    </w:p>
    <w:p>
      <w:pPr>
        <w:tabs>
          <w:tab w:val="right" w:leader="dot" w:pos="9062"/>
        </w:tabs>
        <w:ind w:left="440"/>
      </w:pPr>
      <w:hyperlink w:anchor="_Toc6954" w:history="1">
        <w:r>
          <w:rPr>
            <w:rFonts w:ascii="IRNazanin" w:hAnsi="IRNazanin" w:eastAsia="IRNazanin" w:cs="IRNazanin"/>
            <w:color w:val="111111"/>
            <w:sz w:val="22"/>
            <w:szCs w:val="22"/>
            <w:b w:val="0"/>
            <w:bCs w:val="0"/>
            <w:i w:val="0"/>
            <w:iCs w:val="0"/>
          </w:rPr>
          <w:t>دیوان مالمیری‏</w:t>
        </w:r>
        <w:r>
          <w:tab/>
        </w:r>
        <w:r>
          <w:fldChar w:fldCharType="begin"/>
        </w:r>
        <w:r>
          <w:instrText xml:space="preserve">PAGEREF 6954 \h</w:instrText>
        </w:r>
        <w:r>
          <w:fldChar w:fldCharType="end"/>
        </w:r>
      </w:hyperlink>
    </w:p>
    <w:p>
      <w:pPr>
        <w:tabs>
          <w:tab w:val="right" w:leader="dot" w:pos="9062"/>
        </w:tabs>
        <w:ind w:left="440"/>
      </w:pPr>
      <w:hyperlink w:anchor="_Toc6955" w:history="1">
        <w:r>
          <w:rPr>
            <w:rFonts w:ascii="IRNazanin" w:hAnsi="IRNazanin" w:eastAsia="IRNazanin" w:cs="IRNazanin"/>
            <w:color w:val="111111"/>
            <w:sz w:val="22"/>
            <w:szCs w:val="22"/>
            <w:b w:val="0"/>
            <w:bCs w:val="0"/>
            <w:i w:val="0"/>
            <w:iCs w:val="0"/>
          </w:rPr>
          <w:t>6241- دیوان مأنوس دزفولی‏</w:t>
        </w:r>
        <w:r>
          <w:tab/>
        </w:r>
        <w:r>
          <w:fldChar w:fldCharType="begin"/>
        </w:r>
        <w:r>
          <w:instrText xml:space="preserve">PAGEREF 6955 \h</w:instrText>
        </w:r>
        <w:r>
          <w:fldChar w:fldCharType="end"/>
        </w:r>
      </w:hyperlink>
    </w:p>
    <w:p>
      <w:pPr>
        <w:tabs>
          <w:tab w:val="right" w:leader="dot" w:pos="9062"/>
        </w:tabs>
        <w:ind w:left="440"/>
      </w:pPr>
      <w:hyperlink w:anchor="_Toc6956" w:history="1">
        <w:r>
          <w:rPr>
            <w:rFonts w:ascii="IRNazanin" w:hAnsi="IRNazanin" w:eastAsia="IRNazanin" w:cs="IRNazanin"/>
            <w:color w:val="111111"/>
            <w:sz w:val="22"/>
            <w:szCs w:val="22"/>
            <w:b w:val="0"/>
            <w:bCs w:val="0"/>
            <w:i w:val="0"/>
            <w:iCs w:val="0"/>
          </w:rPr>
          <w:t>6242- دیوان مانی أصفهانی أو شعره‏</w:t>
        </w:r>
        <w:r>
          <w:tab/>
        </w:r>
        <w:r>
          <w:fldChar w:fldCharType="begin"/>
        </w:r>
        <w:r>
          <w:instrText xml:space="preserve">PAGEREF 6956 \h</w:instrText>
        </w:r>
        <w:r>
          <w:fldChar w:fldCharType="end"/>
        </w:r>
      </w:hyperlink>
    </w:p>
    <w:p>
      <w:pPr>
        <w:tabs>
          <w:tab w:val="right" w:leader="dot" w:pos="9062"/>
        </w:tabs>
        <w:ind w:left="440"/>
      </w:pPr>
      <w:hyperlink w:anchor="_Toc6957" w:history="1">
        <w:r>
          <w:rPr>
            <w:rFonts w:ascii="IRNazanin" w:hAnsi="IRNazanin" w:eastAsia="IRNazanin" w:cs="IRNazanin"/>
            <w:color w:val="111111"/>
            <w:sz w:val="22"/>
            <w:szCs w:val="22"/>
            <w:b w:val="0"/>
            <w:bCs w:val="0"/>
            <w:i w:val="0"/>
            <w:iCs w:val="0"/>
          </w:rPr>
          <w:t>6243- دیوان ملا مانی تربتی‏</w:t>
        </w:r>
        <w:r>
          <w:tab/>
        </w:r>
        <w:r>
          <w:fldChar w:fldCharType="begin"/>
        </w:r>
        <w:r>
          <w:instrText xml:space="preserve">PAGEREF 6957 \h</w:instrText>
        </w:r>
        <w:r>
          <w:fldChar w:fldCharType="end"/>
        </w:r>
      </w:hyperlink>
    </w:p>
    <w:p>
      <w:pPr>
        <w:tabs>
          <w:tab w:val="right" w:leader="dot" w:pos="9062"/>
        </w:tabs>
        <w:ind w:left="440"/>
      </w:pPr>
      <w:hyperlink w:anchor="_Toc6958" w:history="1">
        <w:r>
          <w:rPr>
            <w:rFonts w:ascii="IRNazanin" w:hAnsi="IRNazanin" w:eastAsia="IRNazanin" w:cs="IRNazanin"/>
            <w:color w:val="111111"/>
            <w:sz w:val="22"/>
            <w:szCs w:val="22"/>
            <w:b w:val="0"/>
            <w:bCs w:val="0"/>
            <w:i w:val="0"/>
            <w:iCs w:val="0"/>
          </w:rPr>
          <w:t>6244- دیوان مانی شیرازی أو شعره‏</w:t>
        </w:r>
        <w:r>
          <w:tab/>
        </w:r>
        <w:r>
          <w:fldChar w:fldCharType="begin"/>
        </w:r>
        <w:r>
          <w:instrText xml:space="preserve">PAGEREF 6958 \h</w:instrText>
        </w:r>
        <w:r>
          <w:fldChar w:fldCharType="end"/>
        </w:r>
      </w:hyperlink>
    </w:p>
    <w:p>
      <w:pPr>
        <w:tabs>
          <w:tab w:val="right" w:leader="dot" w:pos="9062"/>
        </w:tabs>
        <w:ind w:left="440"/>
      </w:pPr>
      <w:hyperlink w:anchor="_Toc6959" w:history="1">
        <w:r>
          <w:rPr>
            <w:rFonts w:ascii="IRNazanin" w:hAnsi="IRNazanin" w:eastAsia="IRNazanin" w:cs="IRNazanin"/>
            <w:color w:val="111111"/>
            <w:sz w:val="22"/>
            <w:szCs w:val="22"/>
            <w:b w:val="0"/>
            <w:bCs w:val="0"/>
            <w:i w:val="0"/>
            <w:iCs w:val="0"/>
          </w:rPr>
          <w:t>6245- دیوان مانی شیرازی أو شعره‏</w:t>
        </w:r>
        <w:r>
          <w:tab/>
        </w:r>
        <w:r>
          <w:fldChar w:fldCharType="begin"/>
        </w:r>
        <w:r>
          <w:instrText xml:space="preserve">PAGEREF 6959 \h</w:instrText>
        </w:r>
        <w:r>
          <w:fldChar w:fldCharType="end"/>
        </w:r>
      </w:hyperlink>
    </w:p>
    <w:p>
      <w:pPr>
        <w:tabs>
          <w:tab w:val="right" w:leader="dot" w:pos="9062"/>
        </w:tabs>
        <w:ind w:left="440"/>
      </w:pPr>
      <w:hyperlink w:anchor="_Toc6960" w:history="1">
        <w:r>
          <w:rPr>
            <w:rFonts w:ascii="IRNazanin" w:hAnsi="IRNazanin" w:eastAsia="IRNazanin" w:cs="IRNazanin"/>
            <w:color w:val="111111"/>
            <w:sz w:val="22"/>
            <w:szCs w:val="22"/>
            <w:b w:val="0"/>
            <w:bCs w:val="0"/>
            <w:i w:val="0"/>
            <w:iCs w:val="0"/>
          </w:rPr>
          <w:t>دیوان مانی کرمانی‏</w:t>
        </w:r>
        <w:r>
          <w:tab/>
        </w:r>
        <w:r>
          <w:fldChar w:fldCharType="begin"/>
        </w:r>
        <w:r>
          <w:instrText xml:space="preserve">PAGEREF 6960 \h</w:instrText>
        </w:r>
        <w:r>
          <w:fldChar w:fldCharType="end"/>
        </w:r>
      </w:hyperlink>
    </w:p>
    <w:p>
      <w:pPr>
        <w:tabs>
          <w:tab w:val="right" w:leader="dot" w:pos="9062"/>
        </w:tabs>
        <w:ind w:left="440"/>
      </w:pPr>
      <w:hyperlink w:anchor="_Toc6961" w:history="1">
        <w:r>
          <w:rPr>
            <w:rFonts w:ascii="IRNazanin" w:hAnsi="IRNazanin" w:eastAsia="IRNazanin" w:cs="IRNazanin"/>
            <w:color w:val="111111"/>
            <w:sz w:val="22"/>
            <w:szCs w:val="22"/>
            <w:b w:val="0"/>
            <w:bCs w:val="0"/>
            <w:i w:val="0"/>
            <w:iCs w:val="0"/>
          </w:rPr>
          <w:t>6246- دیوان مانی مشهدی أو شعره‏</w:t>
        </w:r>
        <w:r>
          <w:tab/>
        </w:r>
        <w:r>
          <w:fldChar w:fldCharType="begin"/>
        </w:r>
        <w:r>
          <w:instrText xml:space="preserve">PAGEREF 6961 \h</w:instrText>
        </w:r>
        <w:r>
          <w:fldChar w:fldCharType="end"/>
        </w:r>
      </w:hyperlink>
    </w:p>
    <w:p>
      <w:pPr>
        <w:tabs>
          <w:tab w:val="right" w:leader="dot" w:pos="9062"/>
        </w:tabs>
        <w:ind w:left="440"/>
      </w:pPr>
      <w:hyperlink w:anchor="_Toc6962" w:history="1">
        <w:r>
          <w:rPr>
            <w:rFonts w:ascii="IRNazanin" w:hAnsi="IRNazanin" w:eastAsia="IRNazanin" w:cs="IRNazanin"/>
            <w:color w:val="111111"/>
            <w:sz w:val="22"/>
            <w:szCs w:val="22"/>
            <w:b w:val="0"/>
            <w:bCs w:val="0"/>
            <w:i w:val="0"/>
            <w:iCs w:val="0"/>
          </w:rPr>
          <w:t>دیوان المهابادی‏</w:t>
        </w:r>
        <w:r>
          <w:tab/>
        </w:r>
        <w:r>
          <w:fldChar w:fldCharType="begin"/>
        </w:r>
        <w:r>
          <w:instrText xml:space="preserve">PAGEREF 6962 \h</w:instrText>
        </w:r>
        <w:r>
          <w:fldChar w:fldCharType="end"/>
        </w:r>
      </w:hyperlink>
    </w:p>
    <w:p>
      <w:pPr>
        <w:tabs>
          <w:tab w:val="right" w:leader="dot" w:pos="9062"/>
        </w:tabs>
        <w:ind w:left="440"/>
      </w:pPr>
      <w:hyperlink w:anchor="_Toc6963" w:history="1">
        <w:r>
          <w:rPr>
            <w:rFonts w:ascii="IRNazanin" w:hAnsi="IRNazanin" w:eastAsia="IRNazanin" w:cs="IRNazanin"/>
            <w:color w:val="111111"/>
            <w:sz w:val="22"/>
            <w:szCs w:val="22"/>
            <w:b w:val="0"/>
            <w:bCs w:val="0"/>
            <w:i w:val="0"/>
            <w:iCs w:val="0"/>
          </w:rPr>
          <w:t>دیوان ماهانی‏</w:t>
        </w:r>
        <w:r>
          <w:tab/>
        </w:r>
        <w:r>
          <w:fldChar w:fldCharType="begin"/>
        </w:r>
        <w:r>
          <w:instrText xml:space="preserve">PAGEREF 6963 \h</w:instrText>
        </w:r>
        <w:r>
          <w:fldChar w:fldCharType="end"/>
        </w:r>
      </w:hyperlink>
    </w:p>
    <w:p>
      <w:pPr>
        <w:tabs>
          <w:tab w:val="right" w:leader="dot" w:pos="9062"/>
        </w:tabs>
        <w:ind w:left="440"/>
      </w:pPr>
      <w:hyperlink w:anchor="_Toc6964" w:history="1">
        <w:r>
          <w:rPr>
            <w:rFonts w:ascii="IRNazanin" w:hAnsi="IRNazanin" w:eastAsia="IRNazanin" w:cs="IRNazanin"/>
            <w:color w:val="111111"/>
            <w:sz w:val="22"/>
            <w:szCs w:val="22"/>
            <w:b w:val="0"/>
            <w:bCs w:val="0"/>
            <w:i w:val="0"/>
            <w:iCs w:val="0"/>
          </w:rPr>
          <w:t>6247- دیوان ماهر أکبرآبادی‏</w:t>
        </w:r>
        <w:r>
          <w:tab/>
        </w:r>
        <w:r>
          <w:fldChar w:fldCharType="begin"/>
        </w:r>
        <w:r>
          <w:instrText xml:space="preserve">PAGEREF 6964 \h</w:instrText>
        </w:r>
        <w:r>
          <w:fldChar w:fldCharType="end"/>
        </w:r>
      </w:hyperlink>
    </w:p>
    <w:p>
      <w:pPr>
        <w:tabs>
          <w:tab w:val="right" w:leader="dot" w:pos="9062"/>
        </w:tabs>
        <w:ind w:left="440"/>
      </w:pPr>
      <w:hyperlink w:anchor="_Toc6965" w:history="1">
        <w:r>
          <w:rPr>
            <w:rFonts w:ascii="IRNazanin" w:hAnsi="IRNazanin" w:eastAsia="IRNazanin" w:cs="IRNazanin"/>
            <w:color w:val="111111"/>
            <w:sz w:val="22"/>
            <w:szCs w:val="22"/>
            <w:b w:val="0"/>
            <w:bCs w:val="0"/>
            <w:i w:val="0"/>
            <w:iCs w:val="0"/>
          </w:rPr>
          <w:t>6248- دیوان ماهر دامغانی‏</w:t>
        </w:r>
        <w:r>
          <w:tab/>
        </w:r>
        <w:r>
          <w:fldChar w:fldCharType="begin"/>
        </w:r>
        <w:r>
          <w:instrText xml:space="preserve">PAGEREF 6965 \h</w:instrText>
        </w:r>
        <w:r>
          <w:fldChar w:fldCharType="end"/>
        </w:r>
      </w:hyperlink>
    </w:p>
    <w:p>
      <w:pPr>
        <w:tabs>
          <w:tab w:val="right" w:leader="dot" w:pos="9062"/>
        </w:tabs>
        <w:ind w:left="440"/>
      </w:pPr>
      <w:hyperlink w:anchor="_Toc6966" w:history="1">
        <w:r>
          <w:rPr>
            <w:rFonts w:ascii="IRNazanin" w:hAnsi="IRNazanin" w:eastAsia="IRNazanin" w:cs="IRNazanin"/>
            <w:color w:val="111111"/>
            <w:sz w:val="22"/>
            <w:szCs w:val="22"/>
            <w:b w:val="0"/>
            <w:bCs w:val="0"/>
            <w:i w:val="0"/>
            <w:iCs w:val="0"/>
          </w:rPr>
          <w:t>6249- دیوان ماهر گیلانی‏</w:t>
        </w:r>
        <w:r>
          <w:tab/>
        </w:r>
        <w:r>
          <w:fldChar w:fldCharType="begin"/>
        </w:r>
        <w:r>
          <w:instrText xml:space="preserve">PAGEREF 6966 \h</w:instrText>
        </w:r>
        <w:r>
          <w:fldChar w:fldCharType="end"/>
        </w:r>
      </w:hyperlink>
    </w:p>
    <w:p>
      <w:pPr>
        <w:tabs>
          <w:tab w:val="right" w:leader="dot" w:pos="9062"/>
        </w:tabs>
        <w:ind w:left="440"/>
      </w:pPr>
      <w:hyperlink w:anchor="_Toc6967" w:history="1">
        <w:r>
          <w:rPr>
            <w:rFonts w:ascii="IRNazanin" w:hAnsi="IRNazanin" w:eastAsia="IRNazanin" w:cs="IRNazanin"/>
            <w:color w:val="111111"/>
            <w:sz w:val="22"/>
            <w:szCs w:val="22"/>
            <w:b w:val="0"/>
            <w:bCs w:val="0"/>
            <w:i w:val="0"/>
            <w:iCs w:val="0"/>
          </w:rPr>
          <w:t>6250- دیوان ماهر هندی‏</w:t>
        </w:r>
        <w:r>
          <w:tab/>
        </w:r>
        <w:r>
          <w:fldChar w:fldCharType="begin"/>
        </w:r>
        <w:r>
          <w:instrText xml:space="preserve">PAGEREF 6967 \h</w:instrText>
        </w:r>
        <w:r>
          <w:fldChar w:fldCharType="end"/>
        </w:r>
      </w:hyperlink>
    </w:p>
    <w:p>
      <w:pPr>
        <w:tabs>
          <w:tab w:val="right" w:leader="dot" w:pos="9062"/>
        </w:tabs>
        <w:ind w:left="440"/>
      </w:pPr>
      <w:hyperlink w:anchor="_Toc6968" w:history="1">
        <w:r>
          <w:rPr>
            <w:rFonts w:ascii="IRNazanin" w:hAnsi="IRNazanin" w:eastAsia="IRNazanin" w:cs="IRNazanin"/>
            <w:color w:val="111111"/>
            <w:sz w:val="22"/>
            <w:szCs w:val="22"/>
            <w:b w:val="0"/>
            <w:bCs w:val="0"/>
            <w:i w:val="0"/>
            <w:iCs w:val="0"/>
          </w:rPr>
          <w:t>6251- دیوان ماهی جلایر أو شعرها</w:t>
        </w:r>
        <w:r>
          <w:tab/>
        </w:r>
        <w:r>
          <w:fldChar w:fldCharType="begin"/>
        </w:r>
        <w:r>
          <w:instrText xml:space="preserve">PAGEREF 6968 \h</w:instrText>
        </w:r>
        <w:r>
          <w:fldChar w:fldCharType="end"/>
        </w:r>
      </w:hyperlink>
    </w:p>
    <w:p>
      <w:pPr>
        <w:tabs>
          <w:tab w:val="right" w:leader="dot" w:pos="9062"/>
        </w:tabs>
        <w:ind w:left="440"/>
      </w:pPr>
      <w:hyperlink w:anchor="_Toc6969" w:history="1">
        <w:r>
          <w:rPr>
            <w:rFonts w:ascii="IRNazanin" w:hAnsi="IRNazanin" w:eastAsia="IRNazanin" w:cs="IRNazanin"/>
            <w:color w:val="111111"/>
            <w:sz w:val="22"/>
            <w:szCs w:val="22"/>
            <w:b w:val="0"/>
            <w:bCs w:val="0"/>
            <w:i w:val="0"/>
            <w:iCs w:val="0"/>
          </w:rPr>
          <w:t>6252- دیوان مایل آشتیانی‏</w:t>
        </w:r>
        <w:r>
          <w:tab/>
        </w:r>
        <w:r>
          <w:fldChar w:fldCharType="begin"/>
        </w:r>
        <w:r>
          <w:instrText xml:space="preserve">PAGEREF 6969 \h</w:instrText>
        </w:r>
        <w:r>
          <w:fldChar w:fldCharType="end"/>
        </w:r>
      </w:hyperlink>
    </w:p>
    <w:p>
      <w:pPr>
        <w:tabs>
          <w:tab w:val="right" w:leader="dot" w:pos="9062"/>
        </w:tabs>
        <w:ind w:left="440"/>
      </w:pPr>
      <w:hyperlink w:anchor="_Toc6970" w:history="1">
        <w:r>
          <w:rPr>
            <w:rFonts w:ascii="IRNazanin" w:hAnsi="IRNazanin" w:eastAsia="IRNazanin" w:cs="IRNazanin"/>
            <w:color w:val="111111"/>
            <w:sz w:val="22"/>
            <w:szCs w:val="22"/>
            <w:b w:val="0"/>
            <w:bCs w:val="0"/>
            <w:i w:val="0"/>
            <w:iCs w:val="0"/>
          </w:rPr>
          <w:t>6253- دیوان مایل أسترآبادی أو شعره‏</w:t>
        </w:r>
        <w:r>
          <w:tab/>
        </w:r>
        <w:r>
          <w:fldChar w:fldCharType="begin"/>
        </w:r>
        <w:r>
          <w:instrText xml:space="preserve">PAGEREF 6970 \h</w:instrText>
        </w:r>
        <w:r>
          <w:fldChar w:fldCharType="end"/>
        </w:r>
      </w:hyperlink>
    </w:p>
    <w:p>
      <w:pPr>
        <w:tabs>
          <w:tab w:val="right" w:leader="dot" w:pos="9062"/>
        </w:tabs>
        <w:ind w:left="440"/>
      </w:pPr>
      <w:hyperlink w:anchor="_Toc6971" w:history="1">
        <w:r>
          <w:rPr>
            <w:rFonts w:ascii="IRNazanin" w:hAnsi="IRNazanin" w:eastAsia="IRNazanin" w:cs="IRNazanin"/>
            <w:color w:val="111111"/>
            <w:sz w:val="22"/>
            <w:szCs w:val="22"/>
            <w:b w:val="0"/>
            <w:bCs w:val="0"/>
            <w:i w:val="0"/>
            <w:iCs w:val="0"/>
          </w:rPr>
          <w:t>6254- دیوان مایل أصفهانی أو شعره‏</w:t>
        </w:r>
        <w:r>
          <w:tab/>
        </w:r>
        <w:r>
          <w:fldChar w:fldCharType="begin"/>
        </w:r>
        <w:r>
          <w:instrText xml:space="preserve">PAGEREF 6971 \h</w:instrText>
        </w:r>
        <w:r>
          <w:fldChar w:fldCharType="end"/>
        </w:r>
      </w:hyperlink>
    </w:p>
    <w:p>
      <w:pPr>
        <w:tabs>
          <w:tab w:val="right" w:leader="dot" w:pos="9062"/>
        </w:tabs>
        <w:ind w:left="440"/>
      </w:pPr>
      <w:hyperlink w:anchor="_Toc6972" w:history="1">
        <w:r>
          <w:rPr>
            <w:rFonts w:ascii="IRNazanin" w:hAnsi="IRNazanin" w:eastAsia="IRNazanin" w:cs="IRNazanin"/>
            <w:color w:val="111111"/>
            <w:sz w:val="22"/>
            <w:szCs w:val="22"/>
            <w:b w:val="0"/>
            <w:bCs w:val="0"/>
            <w:i w:val="0"/>
            <w:iCs w:val="0"/>
          </w:rPr>
          <w:t>6255- دیوان مایل أفشار</w:t>
        </w:r>
        <w:r>
          <w:tab/>
        </w:r>
        <w:r>
          <w:fldChar w:fldCharType="begin"/>
        </w:r>
        <w:r>
          <w:instrText xml:space="preserve">PAGEREF 6972 \h</w:instrText>
        </w:r>
        <w:r>
          <w:fldChar w:fldCharType="end"/>
        </w:r>
      </w:hyperlink>
    </w:p>
    <w:p>
      <w:pPr>
        <w:tabs>
          <w:tab w:val="right" w:leader="dot" w:pos="9062"/>
        </w:tabs>
        <w:ind w:left="440"/>
      </w:pPr>
      <w:hyperlink w:anchor="_Toc6973" w:history="1">
        <w:r>
          <w:rPr>
            <w:rFonts w:ascii="IRNazanin" w:hAnsi="IRNazanin" w:eastAsia="IRNazanin" w:cs="IRNazanin"/>
            <w:color w:val="111111"/>
            <w:sz w:val="22"/>
            <w:szCs w:val="22"/>
            <w:b w:val="0"/>
            <w:bCs w:val="0"/>
            <w:i w:val="0"/>
            <w:iCs w:val="0"/>
          </w:rPr>
          <w:t>6256- دیوان مایل تاشکندی أو شعره‏</w:t>
        </w:r>
        <w:r>
          <w:tab/>
        </w:r>
        <w:r>
          <w:fldChar w:fldCharType="begin"/>
        </w:r>
        <w:r>
          <w:instrText xml:space="preserve">PAGEREF 6973 \h</w:instrText>
        </w:r>
        <w:r>
          <w:fldChar w:fldCharType="end"/>
        </w:r>
      </w:hyperlink>
    </w:p>
    <w:p>
      <w:pPr>
        <w:tabs>
          <w:tab w:val="right" w:leader="dot" w:pos="9062"/>
        </w:tabs>
        <w:ind w:left="440"/>
      </w:pPr>
      <w:hyperlink w:anchor="_Toc6974" w:history="1">
        <w:r>
          <w:rPr>
            <w:rFonts w:ascii="IRNazanin" w:hAnsi="IRNazanin" w:eastAsia="IRNazanin" w:cs="IRNazanin"/>
            <w:color w:val="111111"/>
            <w:sz w:val="22"/>
            <w:szCs w:val="22"/>
            <w:b w:val="0"/>
            <w:bCs w:val="0"/>
            <w:i w:val="0"/>
            <w:iCs w:val="0"/>
          </w:rPr>
          <w:t>6257- دیوان مایل تویسرکانی‏</w:t>
        </w:r>
        <w:r>
          <w:tab/>
        </w:r>
        <w:r>
          <w:fldChar w:fldCharType="begin"/>
        </w:r>
        <w:r>
          <w:instrText xml:space="preserve">PAGEREF 6974 \h</w:instrText>
        </w:r>
        <w:r>
          <w:fldChar w:fldCharType="end"/>
        </w:r>
      </w:hyperlink>
    </w:p>
    <w:p>
      <w:pPr>
        <w:tabs>
          <w:tab w:val="right" w:leader="dot" w:pos="9062"/>
        </w:tabs>
        <w:ind w:left="440"/>
      </w:pPr>
      <w:hyperlink w:anchor="_Toc6975" w:history="1">
        <w:r>
          <w:rPr>
            <w:rFonts w:ascii="IRNazanin" w:hAnsi="IRNazanin" w:eastAsia="IRNazanin" w:cs="IRNazanin"/>
            <w:color w:val="111111"/>
            <w:sz w:val="22"/>
            <w:szCs w:val="22"/>
            <w:b w:val="0"/>
            <w:bCs w:val="0"/>
            <w:i w:val="0"/>
            <w:iCs w:val="0"/>
          </w:rPr>
          <w:t>6258- دیوان مایل دهلوی‏</w:t>
        </w:r>
        <w:r>
          <w:tab/>
        </w:r>
        <w:r>
          <w:fldChar w:fldCharType="begin"/>
        </w:r>
        <w:r>
          <w:instrText xml:space="preserve">PAGEREF 6975 \h</w:instrText>
        </w:r>
        <w:r>
          <w:fldChar w:fldCharType="end"/>
        </w:r>
      </w:hyperlink>
    </w:p>
    <w:p>
      <w:pPr>
        <w:tabs>
          <w:tab w:val="right" w:leader="dot" w:pos="9062"/>
        </w:tabs>
        <w:ind w:left="440"/>
      </w:pPr>
      <w:hyperlink w:anchor="_Toc6976" w:history="1">
        <w:r>
          <w:rPr>
            <w:rFonts w:ascii="IRNazanin" w:hAnsi="IRNazanin" w:eastAsia="IRNazanin" w:cs="IRNazanin"/>
            <w:color w:val="111111"/>
            <w:sz w:val="22"/>
            <w:szCs w:val="22"/>
            <w:b w:val="0"/>
            <w:bCs w:val="0"/>
            <w:i w:val="0"/>
            <w:iCs w:val="0"/>
          </w:rPr>
          <w:t>6259- دیوان مایل شاملو أو شعره‏</w:t>
        </w:r>
        <w:r>
          <w:tab/>
        </w:r>
        <w:r>
          <w:fldChar w:fldCharType="begin"/>
        </w:r>
        <w:r>
          <w:instrText xml:space="preserve">PAGEREF 6976 \h</w:instrText>
        </w:r>
        <w:r>
          <w:fldChar w:fldCharType="end"/>
        </w:r>
      </w:hyperlink>
    </w:p>
    <w:p>
      <w:pPr>
        <w:tabs>
          <w:tab w:val="right" w:leader="dot" w:pos="9062"/>
        </w:tabs>
        <w:ind w:left="440"/>
      </w:pPr>
      <w:hyperlink w:anchor="_Toc6977" w:history="1">
        <w:r>
          <w:rPr>
            <w:rFonts w:ascii="IRNazanin" w:hAnsi="IRNazanin" w:eastAsia="IRNazanin" w:cs="IRNazanin"/>
            <w:color w:val="111111"/>
            <w:sz w:val="22"/>
            <w:szCs w:val="22"/>
            <w:b w:val="0"/>
            <w:bCs w:val="0"/>
            <w:i w:val="0"/>
            <w:iCs w:val="0"/>
          </w:rPr>
          <w:t>6260- دیوان مایل شیرازی‏</w:t>
        </w:r>
        <w:r>
          <w:tab/>
        </w:r>
        <w:r>
          <w:fldChar w:fldCharType="begin"/>
        </w:r>
        <w:r>
          <w:instrText xml:space="preserve">PAGEREF 6977 \h</w:instrText>
        </w:r>
        <w:r>
          <w:fldChar w:fldCharType="end"/>
        </w:r>
      </w:hyperlink>
    </w:p>
    <w:p>
      <w:pPr>
        <w:tabs>
          <w:tab w:val="right" w:leader="dot" w:pos="9062"/>
        </w:tabs>
        <w:ind w:left="440"/>
      </w:pPr>
      <w:hyperlink w:anchor="_Toc6978" w:history="1">
        <w:r>
          <w:rPr>
            <w:rFonts w:ascii="IRNazanin" w:hAnsi="IRNazanin" w:eastAsia="IRNazanin" w:cs="IRNazanin"/>
            <w:color w:val="111111"/>
            <w:sz w:val="22"/>
            <w:szCs w:val="22"/>
            <w:b w:val="0"/>
            <w:bCs w:val="0"/>
            <w:i w:val="0"/>
            <w:iCs w:val="0"/>
          </w:rPr>
          <w:t>6261- دیوان مایل طهرانی‏</w:t>
        </w:r>
        <w:r>
          <w:tab/>
        </w:r>
        <w:r>
          <w:fldChar w:fldCharType="begin"/>
        </w:r>
        <w:r>
          <w:instrText xml:space="preserve">PAGEREF 6978 \h</w:instrText>
        </w:r>
        <w:r>
          <w:fldChar w:fldCharType="end"/>
        </w:r>
      </w:hyperlink>
    </w:p>
    <w:p>
      <w:pPr>
        <w:tabs>
          <w:tab w:val="right" w:leader="dot" w:pos="9062"/>
        </w:tabs>
        <w:ind w:left="440"/>
      </w:pPr>
      <w:hyperlink w:anchor="_Toc6979" w:history="1">
        <w:r>
          <w:rPr>
            <w:rFonts w:ascii="IRNazanin" w:hAnsi="IRNazanin" w:eastAsia="IRNazanin" w:cs="IRNazanin"/>
            <w:color w:val="111111"/>
            <w:sz w:val="22"/>
            <w:szCs w:val="22"/>
            <w:b w:val="0"/>
            <w:bCs w:val="0"/>
            <w:i w:val="0"/>
            <w:iCs w:val="0"/>
          </w:rPr>
          <w:t>6262- دیوان مایل لکهنوی أو شعره‏</w:t>
        </w:r>
        <w:r>
          <w:tab/>
        </w:r>
        <w:r>
          <w:fldChar w:fldCharType="begin"/>
        </w:r>
        <w:r>
          <w:instrText xml:space="preserve">PAGEREF 6979 \h</w:instrText>
        </w:r>
        <w:r>
          <w:fldChar w:fldCharType="end"/>
        </w:r>
      </w:hyperlink>
    </w:p>
    <w:p>
      <w:pPr>
        <w:tabs>
          <w:tab w:val="right" w:leader="dot" w:pos="9062"/>
        </w:tabs>
        <w:ind w:left="440"/>
      </w:pPr>
      <w:hyperlink w:anchor="_Toc6980" w:history="1">
        <w:r>
          <w:rPr>
            <w:rFonts w:ascii="IRNazanin" w:hAnsi="IRNazanin" w:eastAsia="IRNazanin" w:cs="IRNazanin"/>
            <w:color w:val="111111"/>
            <w:sz w:val="22"/>
            <w:szCs w:val="22"/>
            <w:b w:val="0"/>
            <w:bCs w:val="0"/>
            <w:i w:val="0"/>
            <w:iCs w:val="0"/>
          </w:rPr>
          <w:t>6263- دیوان مایل مشهدی أو شعره‏</w:t>
        </w:r>
        <w:r>
          <w:tab/>
        </w:r>
        <w:r>
          <w:fldChar w:fldCharType="begin"/>
        </w:r>
        <w:r>
          <w:instrText xml:space="preserve">PAGEREF 6980 \h</w:instrText>
        </w:r>
        <w:r>
          <w:fldChar w:fldCharType="end"/>
        </w:r>
      </w:hyperlink>
    </w:p>
    <w:p>
      <w:pPr>
        <w:tabs>
          <w:tab w:val="right" w:leader="dot" w:pos="9062"/>
        </w:tabs>
        <w:ind w:left="440"/>
      </w:pPr>
      <w:hyperlink w:anchor="_Toc6981" w:history="1">
        <w:r>
          <w:rPr>
            <w:rFonts w:ascii="IRNazanin" w:hAnsi="IRNazanin" w:eastAsia="IRNazanin" w:cs="IRNazanin"/>
            <w:color w:val="111111"/>
            <w:sz w:val="22"/>
            <w:szCs w:val="22"/>
            <w:b w:val="0"/>
            <w:bCs w:val="0"/>
            <w:i w:val="0"/>
            <w:iCs w:val="0"/>
          </w:rPr>
          <w:t>6264- دیوان مایل همدانی أو شعره‏</w:t>
        </w:r>
        <w:r>
          <w:tab/>
        </w:r>
        <w:r>
          <w:fldChar w:fldCharType="begin"/>
        </w:r>
        <w:r>
          <w:instrText xml:space="preserve">PAGEREF 6981 \h</w:instrText>
        </w:r>
        <w:r>
          <w:fldChar w:fldCharType="end"/>
        </w:r>
      </w:hyperlink>
    </w:p>
    <w:p>
      <w:pPr>
        <w:tabs>
          <w:tab w:val="right" w:leader="dot" w:pos="9062"/>
        </w:tabs>
        <w:ind w:left="440"/>
      </w:pPr>
      <w:hyperlink w:anchor="_Toc6982" w:history="1">
        <w:r>
          <w:rPr>
            <w:rFonts w:ascii="IRNazanin" w:hAnsi="IRNazanin" w:eastAsia="IRNazanin" w:cs="IRNazanin"/>
            <w:color w:val="111111"/>
            <w:sz w:val="22"/>
            <w:szCs w:val="22"/>
            <w:b w:val="0"/>
            <w:bCs w:val="0"/>
            <w:i w:val="0"/>
            <w:iCs w:val="0"/>
          </w:rPr>
          <w:t>6265- دیوان مایل هندی أو شعره‏</w:t>
        </w:r>
        <w:r>
          <w:tab/>
        </w:r>
        <w:r>
          <w:fldChar w:fldCharType="begin"/>
        </w:r>
        <w:r>
          <w:instrText xml:space="preserve">PAGEREF 6982 \h</w:instrText>
        </w:r>
        <w:r>
          <w:fldChar w:fldCharType="end"/>
        </w:r>
      </w:hyperlink>
    </w:p>
    <w:p>
      <w:pPr>
        <w:tabs>
          <w:tab w:val="right" w:leader="dot" w:pos="9062"/>
        </w:tabs>
        <w:ind w:left="440"/>
      </w:pPr>
      <w:hyperlink w:anchor="_Toc6983" w:history="1">
        <w:r>
          <w:rPr>
            <w:rFonts w:ascii="IRNazanin" w:hAnsi="IRNazanin" w:eastAsia="IRNazanin" w:cs="IRNazanin"/>
            <w:color w:val="111111"/>
            <w:sz w:val="22"/>
            <w:szCs w:val="22"/>
            <w:b w:val="0"/>
            <w:bCs w:val="0"/>
            <w:i w:val="0"/>
            <w:iCs w:val="0"/>
          </w:rPr>
          <w:t>6266- دیوان مایل هندی أو شعره‏</w:t>
        </w:r>
        <w:r>
          <w:tab/>
        </w:r>
        <w:r>
          <w:fldChar w:fldCharType="begin"/>
        </w:r>
        <w:r>
          <w:instrText xml:space="preserve">PAGEREF 6983 \h</w:instrText>
        </w:r>
        <w:r>
          <w:fldChar w:fldCharType="end"/>
        </w:r>
      </w:hyperlink>
    </w:p>
    <w:p>
      <w:pPr>
        <w:tabs>
          <w:tab w:val="right" w:leader="dot" w:pos="9062"/>
        </w:tabs>
        <w:ind w:left="440"/>
      </w:pPr>
      <w:hyperlink w:anchor="_Toc6984" w:history="1">
        <w:r>
          <w:rPr>
            <w:rFonts w:ascii="IRNazanin" w:hAnsi="IRNazanin" w:eastAsia="IRNazanin" w:cs="IRNazanin"/>
            <w:color w:val="111111"/>
            <w:sz w:val="22"/>
            <w:szCs w:val="22"/>
            <w:b w:val="0"/>
            <w:bCs w:val="0"/>
            <w:i w:val="0"/>
            <w:iCs w:val="0"/>
          </w:rPr>
          <w:t>6267- دیوان مایلی أردبیلی‏</w:t>
        </w:r>
        <w:r>
          <w:tab/>
        </w:r>
        <w:r>
          <w:fldChar w:fldCharType="begin"/>
        </w:r>
        <w:r>
          <w:instrText xml:space="preserve">PAGEREF 6984 \h</w:instrText>
        </w:r>
        <w:r>
          <w:fldChar w:fldCharType="end"/>
        </w:r>
      </w:hyperlink>
    </w:p>
    <w:p>
      <w:pPr>
        <w:tabs>
          <w:tab w:val="right" w:leader="dot" w:pos="9062"/>
        </w:tabs>
        <w:ind w:left="440"/>
      </w:pPr>
      <w:hyperlink w:anchor="_Toc6985" w:history="1">
        <w:r>
          <w:rPr>
            <w:rFonts w:ascii="IRNazanin" w:hAnsi="IRNazanin" w:eastAsia="IRNazanin" w:cs="IRNazanin"/>
            <w:color w:val="111111"/>
            <w:sz w:val="22"/>
            <w:szCs w:val="22"/>
            <w:b w:val="0"/>
            <w:bCs w:val="0"/>
            <w:i w:val="0"/>
            <w:iCs w:val="0"/>
          </w:rPr>
          <w:t>6268- دیوان مایلی أسفراینی‏</w:t>
        </w:r>
        <w:r>
          <w:tab/>
        </w:r>
        <w:r>
          <w:fldChar w:fldCharType="begin"/>
        </w:r>
        <w:r>
          <w:instrText xml:space="preserve">PAGEREF 6985 \h</w:instrText>
        </w:r>
        <w:r>
          <w:fldChar w:fldCharType="end"/>
        </w:r>
      </w:hyperlink>
    </w:p>
    <w:p>
      <w:pPr>
        <w:tabs>
          <w:tab w:val="right" w:leader="dot" w:pos="9062"/>
        </w:tabs>
        <w:ind w:left="440"/>
      </w:pPr>
      <w:hyperlink w:anchor="_Toc6986" w:history="1">
        <w:r>
          <w:rPr>
            <w:rFonts w:ascii="IRNazanin" w:hAnsi="IRNazanin" w:eastAsia="IRNazanin" w:cs="IRNazanin"/>
            <w:color w:val="111111"/>
            <w:sz w:val="22"/>
            <w:szCs w:val="22"/>
            <w:b w:val="0"/>
            <w:bCs w:val="0"/>
            <w:i w:val="0"/>
            <w:iCs w:val="0"/>
          </w:rPr>
          <w:t>دیوان مایلی شیرازی‏</w:t>
        </w:r>
        <w:r>
          <w:tab/>
        </w:r>
        <w:r>
          <w:fldChar w:fldCharType="begin"/>
        </w:r>
        <w:r>
          <w:instrText xml:space="preserve">PAGEREF 6986 \h</w:instrText>
        </w:r>
        <w:r>
          <w:fldChar w:fldCharType="end"/>
        </w:r>
      </w:hyperlink>
    </w:p>
    <w:p>
      <w:pPr>
        <w:tabs>
          <w:tab w:val="right" w:leader="dot" w:pos="9062"/>
        </w:tabs>
        <w:ind w:left="440"/>
      </w:pPr>
      <w:hyperlink w:anchor="_Toc6987" w:history="1">
        <w:r>
          <w:rPr>
            <w:rFonts w:ascii="IRNazanin" w:hAnsi="IRNazanin" w:eastAsia="IRNazanin" w:cs="IRNazanin"/>
            <w:color w:val="111111"/>
            <w:sz w:val="22"/>
            <w:szCs w:val="22"/>
            <w:b w:val="0"/>
            <w:bCs w:val="0"/>
            <w:i w:val="0"/>
            <w:iCs w:val="0"/>
          </w:rPr>
          <w:t>6269- دیوان مایلی کاشانی أو شعره‏</w:t>
        </w:r>
        <w:r>
          <w:tab/>
        </w:r>
        <w:r>
          <w:fldChar w:fldCharType="begin"/>
        </w:r>
        <w:r>
          <w:instrText xml:space="preserve">PAGEREF 6987 \h</w:instrText>
        </w:r>
        <w:r>
          <w:fldChar w:fldCharType="end"/>
        </w:r>
      </w:hyperlink>
    </w:p>
    <w:p>
      <w:pPr>
        <w:tabs>
          <w:tab w:val="right" w:leader="dot" w:pos="9062"/>
        </w:tabs>
        <w:ind w:left="440"/>
      </w:pPr>
      <w:hyperlink w:anchor="_Toc6988" w:history="1">
        <w:r>
          <w:rPr>
            <w:rFonts w:ascii="IRNazanin" w:hAnsi="IRNazanin" w:eastAsia="IRNazanin" w:cs="IRNazanin"/>
            <w:color w:val="111111"/>
            <w:sz w:val="22"/>
            <w:szCs w:val="22"/>
            <w:b w:val="0"/>
            <w:bCs w:val="0"/>
            <w:i w:val="0"/>
            <w:iCs w:val="0"/>
          </w:rPr>
          <w:t>6270- دیوان مایلی نیریزی‏</w:t>
        </w:r>
        <w:r>
          <w:tab/>
        </w:r>
        <w:r>
          <w:fldChar w:fldCharType="begin"/>
        </w:r>
        <w:r>
          <w:instrText xml:space="preserve">PAGEREF 6988 \h</w:instrText>
        </w:r>
        <w:r>
          <w:fldChar w:fldCharType="end"/>
        </w:r>
      </w:hyperlink>
    </w:p>
    <w:p>
      <w:pPr>
        <w:tabs>
          <w:tab w:val="right" w:leader="dot" w:pos="9062"/>
        </w:tabs>
        <w:ind w:left="440"/>
      </w:pPr>
      <w:hyperlink w:anchor="_Toc6989" w:history="1">
        <w:r>
          <w:rPr>
            <w:rFonts w:ascii="IRNazanin" w:hAnsi="IRNazanin" w:eastAsia="IRNazanin" w:cs="IRNazanin"/>
            <w:color w:val="111111"/>
            <w:sz w:val="22"/>
            <w:szCs w:val="22"/>
            <w:b w:val="0"/>
            <w:bCs w:val="0"/>
            <w:i w:val="0"/>
            <w:iCs w:val="0"/>
          </w:rPr>
          <w:t>6271- دیوان مأیوس بخاری أو شعره‏</w:t>
        </w:r>
        <w:r>
          <w:tab/>
        </w:r>
        <w:r>
          <w:fldChar w:fldCharType="begin"/>
        </w:r>
        <w:r>
          <w:instrText xml:space="preserve">PAGEREF 6989 \h</w:instrText>
        </w:r>
        <w:r>
          <w:fldChar w:fldCharType="end"/>
        </w:r>
      </w:hyperlink>
    </w:p>
    <w:p>
      <w:pPr>
        <w:tabs>
          <w:tab w:val="right" w:leader="dot" w:pos="9062"/>
        </w:tabs>
        <w:ind w:left="440"/>
      </w:pPr>
      <w:hyperlink w:anchor="_Toc6990" w:history="1">
        <w:r>
          <w:rPr>
            <w:rFonts w:ascii="IRNazanin" w:hAnsi="IRNazanin" w:eastAsia="IRNazanin" w:cs="IRNazanin"/>
            <w:color w:val="111111"/>
            <w:sz w:val="22"/>
            <w:szCs w:val="22"/>
            <w:b w:val="0"/>
            <w:bCs w:val="0"/>
            <w:i w:val="0"/>
            <w:iCs w:val="0"/>
          </w:rPr>
          <w:t>6272- دیوان مئی کلال الگوالیاری الهندی‏</w:t>
        </w:r>
        <w:r>
          <w:tab/>
        </w:r>
        <w:r>
          <w:fldChar w:fldCharType="begin"/>
        </w:r>
        <w:r>
          <w:instrText xml:space="preserve">PAGEREF 6990 \h</w:instrText>
        </w:r>
        <w:r>
          <w:fldChar w:fldCharType="end"/>
        </w:r>
      </w:hyperlink>
    </w:p>
    <w:p>
      <w:pPr>
        <w:tabs>
          <w:tab w:val="right" w:leader="dot" w:pos="9062"/>
        </w:tabs>
        <w:ind w:left="440"/>
      </w:pPr>
      <w:hyperlink w:anchor="_Toc6991" w:history="1">
        <w:r>
          <w:rPr>
            <w:rFonts w:ascii="IRNazanin" w:hAnsi="IRNazanin" w:eastAsia="IRNazanin" w:cs="IRNazanin"/>
            <w:color w:val="111111"/>
            <w:sz w:val="22"/>
            <w:szCs w:val="22"/>
            <w:b w:val="0"/>
            <w:bCs w:val="0"/>
            <w:i w:val="0"/>
            <w:iCs w:val="0"/>
          </w:rPr>
          <w:t>دیوان مبارک‏</w:t>
        </w:r>
        <w:r>
          <w:tab/>
        </w:r>
        <w:r>
          <w:fldChar w:fldCharType="begin"/>
        </w:r>
        <w:r>
          <w:instrText xml:space="preserve">PAGEREF 6991 \h</w:instrText>
        </w:r>
        <w:r>
          <w:fldChar w:fldCharType="end"/>
        </w:r>
      </w:hyperlink>
    </w:p>
    <w:p>
      <w:pPr>
        <w:tabs>
          <w:tab w:val="right" w:leader="dot" w:pos="9062"/>
        </w:tabs>
        <w:ind w:left="440"/>
      </w:pPr>
      <w:hyperlink w:anchor="_Toc6992" w:history="1">
        <w:r>
          <w:rPr>
            <w:rFonts w:ascii="IRNazanin" w:hAnsi="IRNazanin" w:eastAsia="IRNazanin" w:cs="IRNazanin"/>
            <w:color w:val="111111"/>
            <w:sz w:val="22"/>
            <w:szCs w:val="22"/>
            <w:b w:val="0"/>
            <w:bCs w:val="0"/>
            <w:i w:val="0"/>
            <w:iCs w:val="0"/>
          </w:rPr>
          <w:t>دیوان مبارک شاه غوری أو شعره‏</w:t>
        </w:r>
        <w:r>
          <w:tab/>
        </w:r>
        <w:r>
          <w:fldChar w:fldCharType="begin"/>
        </w:r>
        <w:r>
          <w:instrText xml:space="preserve">PAGEREF 6992 \h</w:instrText>
        </w:r>
        <w:r>
          <w:fldChar w:fldCharType="end"/>
        </w:r>
      </w:hyperlink>
    </w:p>
    <w:p>
      <w:pPr>
        <w:tabs>
          <w:tab w:val="right" w:leader="dot" w:pos="9062"/>
        </w:tabs>
        <w:ind w:left="440"/>
      </w:pPr>
      <w:hyperlink w:anchor="_Toc6993" w:history="1">
        <w:r>
          <w:rPr>
            <w:rFonts w:ascii="IRNazanin" w:hAnsi="IRNazanin" w:eastAsia="IRNazanin" w:cs="IRNazanin"/>
            <w:color w:val="111111"/>
            <w:sz w:val="22"/>
            <w:szCs w:val="22"/>
            <w:b w:val="0"/>
            <w:bCs w:val="0"/>
            <w:i w:val="0"/>
            <w:iCs w:val="0"/>
          </w:rPr>
          <w:t>6273- دیوان مبتلا</w:t>
        </w:r>
        <w:r>
          <w:tab/>
        </w:r>
        <w:r>
          <w:fldChar w:fldCharType="begin"/>
        </w:r>
        <w:r>
          <w:instrText xml:space="preserve">PAGEREF 6993 \h</w:instrText>
        </w:r>
        <w:r>
          <w:fldChar w:fldCharType="end"/>
        </w:r>
      </w:hyperlink>
    </w:p>
    <w:p>
      <w:pPr>
        <w:tabs>
          <w:tab w:val="right" w:leader="dot" w:pos="9062"/>
        </w:tabs>
        <w:ind w:left="440"/>
      </w:pPr>
      <w:hyperlink w:anchor="_Toc6994" w:history="1">
        <w:r>
          <w:rPr>
            <w:rFonts w:ascii="IRNazanin" w:hAnsi="IRNazanin" w:eastAsia="IRNazanin" w:cs="IRNazanin"/>
            <w:color w:val="111111"/>
            <w:sz w:val="22"/>
            <w:szCs w:val="22"/>
            <w:b w:val="0"/>
            <w:bCs w:val="0"/>
            <w:i w:val="0"/>
            <w:iCs w:val="0"/>
          </w:rPr>
          <w:t>6274- دیوان مبدع تبریزی أو شعره‏</w:t>
        </w:r>
        <w:r>
          <w:tab/>
        </w:r>
        <w:r>
          <w:fldChar w:fldCharType="begin"/>
        </w:r>
        <w:r>
          <w:instrText xml:space="preserve">PAGEREF 6994 \h</w:instrText>
        </w:r>
        <w:r>
          <w:fldChar w:fldCharType="end"/>
        </w:r>
      </w:hyperlink>
    </w:p>
    <w:p>
      <w:pPr>
        <w:tabs>
          <w:tab w:val="right" w:leader="dot" w:pos="9062"/>
        </w:tabs>
        <w:ind w:left="440"/>
      </w:pPr>
      <w:hyperlink w:anchor="_Toc6995" w:history="1">
        <w:r>
          <w:rPr>
            <w:rFonts w:ascii="IRNazanin" w:hAnsi="IRNazanin" w:eastAsia="IRNazanin" w:cs="IRNazanin"/>
            <w:color w:val="111111"/>
            <w:sz w:val="22"/>
            <w:szCs w:val="22"/>
            <w:b w:val="0"/>
            <w:bCs w:val="0"/>
            <w:i w:val="0"/>
            <w:iCs w:val="0"/>
          </w:rPr>
          <w:t>6275- دیوان مبشری‏</w:t>
        </w:r>
        <w:r>
          <w:tab/>
        </w:r>
        <w:r>
          <w:fldChar w:fldCharType="begin"/>
        </w:r>
        <w:r>
          <w:instrText xml:space="preserve">PAGEREF 6995 \h</w:instrText>
        </w:r>
        <w:r>
          <w:fldChar w:fldCharType="end"/>
        </w:r>
      </w:hyperlink>
    </w:p>
    <w:p>
      <w:pPr>
        <w:tabs>
          <w:tab w:val="right" w:leader="dot" w:pos="9062"/>
        </w:tabs>
        <w:ind w:left="440"/>
      </w:pPr>
      <w:hyperlink w:anchor="_Toc6996" w:history="1">
        <w:r>
          <w:rPr>
            <w:rFonts w:ascii="IRNazanin" w:hAnsi="IRNazanin" w:eastAsia="IRNazanin" w:cs="IRNazanin"/>
            <w:color w:val="111111"/>
            <w:sz w:val="22"/>
            <w:szCs w:val="22"/>
            <w:b w:val="0"/>
            <w:bCs w:val="0"/>
            <w:i w:val="0"/>
            <w:iCs w:val="0"/>
          </w:rPr>
          <w:t>6276- دیوان مبکی‏</w:t>
        </w:r>
        <w:r>
          <w:tab/>
        </w:r>
        <w:r>
          <w:fldChar w:fldCharType="begin"/>
        </w:r>
        <w:r>
          <w:instrText xml:space="preserve">PAGEREF 6996 \h</w:instrText>
        </w:r>
        <w:r>
          <w:fldChar w:fldCharType="end"/>
        </w:r>
      </w:hyperlink>
    </w:p>
    <w:p>
      <w:pPr>
        <w:tabs>
          <w:tab w:val="right" w:leader="dot" w:pos="9062"/>
        </w:tabs>
        <w:ind w:left="440"/>
      </w:pPr>
      <w:hyperlink w:anchor="_Toc6997" w:history="1">
        <w:r>
          <w:rPr>
            <w:rFonts w:ascii="IRNazanin" w:hAnsi="IRNazanin" w:eastAsia="IRNazanin" w:cs="IRNazanin"/>
            <w:color w:val="111111"/>
            <w:sz w:val="22"/>
            <w:szCs w:val="22"/>
            <w:b w:val="0"/>
            <w:bCs w:val="0"/>
            <w:i w:val="0"/>
            <w:iCs w:val="0"/>
          </w:rPr>
          <w:t>6277- دیوان مبهوت تبریزی‏</w:t>
        </w:r>
        <w:r>
          <w:tab/>
        </w:r>
        <w:r>
          <w:fldChar w:fldCharType="begin"/>
        </w:r>
        <w:r>
          <w:instrText xml:space="preserve">PAGEREF 6997 \h</w:instrText>
        </w:r>
        <w:r>
          <w:fldChar w:fldCharType="end"/>
        </w:r>
      </w:hyperlink>
    </w:p>
    <w:p>
      <w:pPr>
        <w:tabs>
          <w:tab w:val="right" w:leader="dot" w:pos="9062"/>
        </w:tabs>
        <w:ind w:left="440"/>
      </w:pPr>
      <w:hyperlink w:anchor="_Toc6998" w:history="1">
        <w:r>
          <w:rPr>
            <w:rFonts w:ascii="IRNazanin" w:hAnsi="IRNazanin" w:eastAsia="IRNazanin" w:cs="IRNazanin"/>
            <w:color w:val="111111"/>
            <w:sz w:val="22"/>
            <w:szCs w:val="22"/>
            <w:b w:val="0"/>
            <w:bCs w:val="0"/>
            <w:i w:val="0"/>
            <w:iCs w:val="0"/>
          </w:rPr>
          <w:t>6278- دیوان متقی أصفهانی‏</w:t>
        </w:r>
        <w:r>
          <w:tab/>
        </w:r>
        <w:r>
          <w:fldChar w:fldCharType="begin"/>
        </w:r>
        <w:r>
          <w:instrText xml:space="preserve">PAGEREF 6998 \h</w:instrText>
        </w:r>
        <w:r>
          <w:fldChar w:fldCharType="end"/>
        </w:r>
      </w:hyperlink>
    </w:p>
    <w:p>
      <w:pPr>
        <w:tabs>
          <w:tab w:val="right" w:leader="dot" w:pos="9062"/>
        </w:tabs>
        <w:ind w:left="440"/>
      </w:pPr>
      <w:hyperlink w:anchor="_Toc6999" w:history="1">
        <w:r>
          <w:rPr>
            <w:rFonts w:ascii="IRNazanin" w:hAnsi="IRNazanin" w:eastAsia="IRNazanin" w:cs="IRNazanin"/>
            <w:color w:val="111111"/>
            <w:sz w:val="22"/>
            <w:szCs w:val="22"/>
            <w:b w:val="0"/>
            <w:bCs w:val="0"/>
            <w:i w:val="0"/>
            <w:iCs w:val="0"/>
          </w:rPr>
          <w:t>6279- دیوان متقی رازی‏</w:t>
        </w:r>
        <w:r>
          <w:tab/>
        </w:r>
        <w:r>
          <w:fldChar w:fldCharType="begin"/>
        </w:r>
        <w:r>
          <w:instrText xml:space="preserve">PAGEREF 6999 \h</w:instrText>
        </w:r>
        <w:r>
          <w:fldChar w:fldCharType="end"/>
        </w:r>
      </w:hyperlink>
    </w:p>
    <w:p>
      <w:pPr>
        <w:tabs>
          <w:tab w:val="right" w:leader="dot" w:pos="9062"/>
        </w:tabs>
        <w:ind w:left="440"/>
      </w:pPr>
      <w:hyperlink w:anchor="_Toc7000" w:history="1">
        <w:r>
          <w:rPr>
            <w:rFonts w:ascii="IRNazanin" w:hAnsi="IRNazanin" w:eastAsia="IRNazanin" w:cs="IRNazanin"/>
            <w:color w:val="111111"/>
            <w:sz w:val="22"/>
            <w:szCs w:val="22"/>
            <w:b w:val="0"/>
            <w:bCs w:val="0"/>
            <w:i w:val="0"/>
            <w:iCs w:val="0"/>
          </w:rPr>
          <w:t>6280- دیوان متکلم مروزی أو شعره‏</w:t>
        </w:r>
        <w:r>
          <w:tab/>
        </w:r>
        <w:r>
          <w:fldChar w:fldCharType="begin"/>
        </w:r>
        <w:r>
          <w:instrText xml:space="preserve">PAGEREF 7000 \h</w:instrText>
        </w:r>
        <w:r>
          <w:fldChar w:fldCharType="end"/>
        </w:r>
      </w:hyperlink>
    </w:p>
    <w:p>
      <w:pPr>
        <w:tabs>
          <w:tab w:val="right" w:leader="dot" w:pos="9062"/>
        </w:tabs>
        <w:ind w:left="440"/>
      </w:pPr>
      <w:hyperlink w:anchor="_Toc7001" w:history="1">
        <w:r>
          <w:rPr>
            <w:rFonts w:ascii="IRNazanin" w:hAnsi="IRNazanin" w:eastAsia="IRNazanin" w:cs="IRNazanin"/>
            <w:color w:val="111111"/>
            <w:sz w:val="22"/>
            <w:szCs w:val="22"/>
            <w:b w:val="0"/>
            <w:bCs w:val="0"/>
            <w:i w:val="0"/>
            <w:iCs w:val="0"/>
          </w:rPr>
          <w:t>دیوان متکلم نیشابوری‏</w:t>
        </w:r>
        <w:r>
          <w:tab/>
        </w:r>
        <w:r>
          <w:fldChar w:fldCharType="begin"/>
        </w:r>
        <w:r>
          <w:instrText xml:space="preserve">PAGEREF 7001 \h</w:instrText>
        </w:r>
        <w:r>
          <w:fldChar w:fldCharType="end"/>
        </w:r>
      </w:hyperlink>
    </w:p>
    <w:p>
      <w:pPr>
        <w:tabs>
          <w:tab w:val="right" w:leader="dot" w:pos="9062"/>
        </w:tabs>
        <w:ind w:left="440"/>
      </w:pPr>
      <w:hyperlink w:anchor="_Toc7002" w:history="1">
        <w:r>
          <w:rPr>
            <w:rFonts w:ascii="IRNazanin" w:hAnsi="IRNazanin" w:eastAsia="IRNazanin" w:cs="IRNazanin"/>
            <w:color w:val="111111"/>
            <w:sz w:val="22"/>
            <w:szCs w:val="22"/>
            <w:b w:val="0"/>
            <w:bCs w:val="0"/>
            <w:i w:val="0"/>
            <w:iCs w:val="0"/>
          </w:rPr>
          <w:t>دیوان المتنبی‏</w:t>
        </w:r>
        <w:r>
          <w:tab/>
        </w:r>
        <w:r>
          <w:fldChar w:fldCharType="begin"/>
        </w:r>
        <w:r>
          <w:instrText xml:space="preserve">PAGEREF 7002 \h</w:instrText>
        </w:r>
        <w:r>
          <w:fldChar w:fldCharType="end"/>
        </w:r>
      </w:hyperlink>
    </w:p>
    <w:p>
      <w:pPr>
        <w:tabs>
          <w:tab w:val="right" w:leader="dot" w:pos="9062"/>
        </w:tabs>
        <w:ind w:left="440"/>
      </w:pPr>
      <w:hyperlink w:anchor="_Toc7003" w:history="1">
        <w:r>
          <w:rPr>
            <w:rFonts w:ascii="IRNazanin" w:hAnsi="IRNazanin" w:eastAsia="IRNazanin" w:cs="IRNazanin"/>
            <w:color w:val="111111"/>
            <w:sz w:val="22"/>
            <w:szCs w:val="22"/>
            <w:b w:val="0"/>
            <w:bCs w:val="0"/>
            <w:i w:val="0"/>
            <w:iCs w:val="0"/>
          </w:rPr>
          <w:t>دیوان المتوج‏</w:t>
        </w:r>
        <w:r>
          <w:tab/>
        </w:r>
        <w:r>
          <w:fldChar w:fldCharType="begin"/>
        </w:r>
        <w:r>
          <w:instrText xml:space="preserve">PAGEREF 7003 \h</w:instrText>
        </w:r>
        <w:r>
          <w:fldChar w:fldCharType="end"/>
        </w:r>
      </w:hyperlink>
    </w:p>
    <w:p>
      <w:pPr>
        <w:tabs>
          <w:tab w:val="right" w:leader="dot" w:pos="9062"/>
        </w:tabs>
        <w:ind w:left="440"/>
      </w:pPr>
      <w:hyperlink w:anchor="_Toc7004" w:history="1">
        <w:r>
          <w:rPr>
            <w:rFonts w:ascii="IRNazanin" w:hAnsi="IRNazanin" w:eastAsia="IRNazanin" w:cs="IRNazanin"/>
            <w:color w:val="111111"/>
            <w:sz w:val="22"/>
            <w:szCs w:val="22"/>
            <w:b w:val="0"/>
            <w:bCs w:val="0"/>
            <w:i w:val="0"/>
            <w:iCs w:val="0"/>
          </w:rPr>
          <w:t>6281- دیوان متین أصفهانی‏</w:t>
        </w:r>
        <w:r>
          <w:tab/>
        </w:r>
        <w:r>
          <w:fldChar w:fldCharType="begin"/>
        </w:r>
        <w:r>
          <w:instrText xml:space="preserve">PAGEREF 7004 \h</w:instrText>
        </w:r>
        <w:r>
          <w:fldChar w:fldCharType="end"/>
        </w:r>
      </w:hyperlink>
    </w:p>
    <w:p>
      <w:pPr>
        <w:tabs>
          <w:tab w:val="right" w:leader="dot" w:pos="9062"/>
        </w:tabs>
        <w:ind w:left="440"/>
      </w:pPr>
      <w:hyperlink w:anchor="_Toc7005" w:history="1">
        <w:r>
          <w:rPr>
            <w:rFonts w:ascii="IRNazanin" w:hAnsi="IRNazanin" w:eastAsia="IRNazanin" w:cs="IRNazanin"/>
            <w:color w:val="111111"/>
            <w:sz w:val="22"/>
            <w:szCs w:val="22"/>
            <w:b w:val="0"/>
            <w:bCs w:val="0"/>
            <w:i w:val="0"/>
            <w:iCs w:val="0"/>
          </w:rPr>
          <w:t>6282- دیوان متین شیرازی أو شعره‏</w:t>
        </w:r>
        <w:r>
          <w:tab/>
        </w:r>
        <w:r>
          <w:fldChar w:fldCharType="begin"/>
        </w:r>
        <w:r>
          <w:instrText xml:space="preserve">PAGEREF 7005 \h</w:instrText>
        </w:r>
        <w:r>
          <w:fldChar w:fldCharType="end"/>
        </w:r>
      </w:hyperlink>
    </w:p>
    <w:p>
      <w:pPr>
        <w:tabs>
          <w:tab w:val="right" w:leader="dot" w:pos="9062"/>
        </w:tabs>
        <w:ind w:left="440"/>
      </w:pPr>
      <w:hyperlink w:anchor="_Toc7006" w:history="1">
        <w:r>
          <w:rPr>
            <w:rFonts w:ascii="IRNazanin" w:hAnsi="IRNazanin" w:eastAsia="IRNazanin" w:cs="IRNazanin"/>
            <w:color w:val="111111"/>
            <w:sz w:val="22"/>
            <w:szCs w:val="22"/>
            <w:b w:val="0"/>
            <w:bCs w:val="0"/>
            <w:i w:val="0"/>
            <w:iCs w:val="0"/>
          </w:rPr>
          <w:t>6283- دیوان متین کشمیری أو شعره‏</w:t>
        </w:r>
        <w:r>
          <w:tab/>
        </w:r>
        <w:r>
          <w:fldChar w:fldCharType="begin"/>
        </w:r>
        <w:r>
          <w:instrText xml:space="preserve">PAGEREF 7006 \h</w:instrText>
        </w:r>
        <w:r>
          <w:fldChar w:fldCharType="end"/>
        </w:r>
      </w:hyperlink>
    </w:p>
    <w:p>
      <w:pPr>
        <w:tabs>
          <w:tab w:val="right" w:leader="dot" w:pos="9062"/>
        </w:tabs>
        <w:ind w:left="440"/>
      </w:pPr>
      <w:hyperlink w:anchor="_Toc7007" w:history="1">
        <w:r>
          <w:rPr>
            <w:rFonts w:ascii="IRNazanin" w:hAnsi="IRNazanin" w:eastAsia="IRNazanin" w:cs="IRNazanin"/>
            <w:color w:val="111111"/>
            <w:sz w:val="22"/>
            <w:szCs w:val="22"/>
            <w:b w:val="0"/>
            <w:bCs w:val="0"/>
            <w:i w:val="0"/>
            <w:iCs w:val="0"/>
          </w:rPr>
          <w:t>دیوان متین نجفی‏</w:t>
        </w:r>
        <w:r>
          <w:tab/>
        </w:r>
        <w:r>
          <w:fldChar w:fldCharType="begin"/>
        </w:r>
        <w:r>
          <w:instrText xml:space="preserve">PAGEREF 7007 \h</w:instrText>
        </w:r>
        <w:r>
          <w:fldChar w:fldCharType="end"/>
        </w:r>
      </w:hyperlink>
    </w:p>
    <w:p>
      <w:pPr>
        <w:tabs>
          <w:tab w:val="right" w:leader="dot" w:pos="9062"/>
        </w:tabs>
        <w:ind w:left="440"/>
      </w:pPr>
      <w:hyperlink w:anchor="_Toc7008" w:history="1">
        <w:r>
          <w:rPr>
            <w:rFonts w:ascii="IRNazanin" w:hAnsi="IRNazanin" w:eastAsia="IRNazanin" w:cs="IRNazanin"/>
            <w:color w:val="111111"/>
            <w:sz w:val="22"/>
            <w:szCs w:val="22"/>
            <w:b w:val="0"/>
            <w:bCs w:val="0"/>
            <w:i w:val="0"/>
            <w:iCs w:val="0"/>
          </w:rPr>
          <w:t>6284- دیوان متین هندی أو شعره‏</w:t>
        </w:r>
        <w:r>
          <w:tab/>
        </w:r>
        <w:r>
          <w:fldChar w:fldCharType="begin"/>
        </w:r>
        <w:r>
          <w:instrText xml:space="preserve">PAGEREF 7008 \h</w:instrText>
        </w:r>
        <w:r>
          <w:fldChar w:fldCharType="end"/>
        </w:r>
      </w:hyperlink>
    </w:p>
    <w:p>
      <w:pPr>
        <w:tabs>
          <w:tab w:val="right" w:leader="dot" w:pos="9062"/>
        </w:tabs>
        <w:ind w:left="440"/>
      </w:pPr>
      <w:hyperlink w:anchor="_Toc7009" w:history="1">
        <w:r>
          <w:rPr>
            <w:rFonts w:ascii="IRNazanin" w:hAnsi="IRNazanin" w:eastAsia="IRNazanin" w:cs="IRNazanin"/>
            <w:color w:val="111111"/>
            <w:sz w:val="22"/>
            <w:szCs w:val="22"/>
            <w:b w:val="0"/>
            <w:bCs w:val="0"/>
            <w:i w:val="0"/>
            <w:iCs w:val="0"/>
          </w:rPr>
          <w:t>6285- دیوان متین هندی‏</w:t>
        </w:r>
        <w:r>
          <w:tab/>
        </w:r>
        <w:r>
          <w:fldChar w:fldCharType="begin"/>
        </w:r>
        <w:r>
          <w:instrText xml:space="preserve">PAGEREF 7009 \h</w:instrText>
        </w:r>
        <w:r>
          <w:fldChar w:fldCharType="end"/>
        </w:r>
      </w:hyperlink>
    </w:p>
    <w:p>
      <w:pPr>
        <w:tabs>
          <w:tab w:val="right" w:leader="dot" w:pos="9062"/>
        </w:tabs>
        <w:ind w:left="440"/>
      </w:pPr>
      <w:hyperlink w:anchor="_Toc7010" w:history="1">
        <w:r>
          <w:rPr>
            <w:rFonts w:ascii="IRNazanin" w:hAnsi="IRNazanin" w:eastAsia="IRNazanin" w:cs="IRNazanin"/>
            <w:color w:val="111111"/>
            <w:sz w:val="22"/>
            <w:szCs w:val="22"/>
            <w:b w:val="0"/>
            <w:bCs w:val="0"/>
            <w:i w:val="0"/>
            <w:iCs w:val="0"/>
          </w:rPr>
          <w:t>6286- دیوان متینی تبریزی‏</w:t>
        </w:r>
        <w:r>
          <w:tab/>
        </w:r>
        <w:r>
          <w:fldChar w:fldCharType="begin"/>
        </w:r>
        <w:r>
          <w:instrText xml:space="preserve">PAGEREF 7010 \h</w:instrText>
        </w:r>
        <w:r>
          <w:fldChar w:fldCharType="end"/>
        </w:r>
      </w:hyperlink>
    </w:p>
    <w:p>
      <w:pPr>
        <w:tabs>
          <w:tab w:val="right" w:leader="dot" w:pos="9062"/>
        </w:tabs>
        <w:ind w:left="440"/>
      </w:pPr>
      <w:hyperlink w:anchor="_Toc7011" w:history="1">
        <w:r>
          <w:rPr>
            <w:rFonts w:ascii="IRNazanin" w:hAnsi="IRNazanin" w:eastAsia="IRNazanin" w:cs="IRNazanin"/>
            <w:color w:val="111111"/>
            <w:sz w:val="22"/>
            <w:szCs w:val="22"/>
            <w:b w:val="0"/>
            <w:bCs w:val="0"/>
            <w:i w:val="0"/>
            <w:iCs w:val="0"/>
          </w:rPr>
          <w:t>6287- دیوان مثال تبریزی أو شعره‏</w:t>
        </w:r>
        <w:r>
          <w:tab/>
        </w:r>
        <w:r>
          <w:fldChar w:fldCharType="begin"/>
        </w:r>
        <w:r>
          <w:instrText xml:space="preserve">PAGEREF 7011 \h</w:instrText>
        </w:r>
        <w:r>
          <w:fldChar w:fldCharType="end"/>
        </w:r>
      </w:hyperlink>
    </w:p>
    <w:p>
      <w:pPr>
        <w:tabs>
          <w:tab w:val="right" w:leader="dot" w:pos="9062"/>
        </w:tabs>
        <w:ind w:left="440"/>
      </w:pPr>
      <w:hyperlink w:anchor="_Toc7012" w:history="1">
        <w:r>
          <w:rPr>
            <w:rFonts w:ascii="IRNazanin" w:hAnsi="IRNazanin" w:eastAsia="IRNazanin" w:cs="IRNazanin"/>
            <w:color w:val="111111"/>
            <w:sz w:val="22"/>
            <w:szCs w:val="22"/>
            <w:b w:val="0"/>
            <w:bCs w:val="0"/>
            <w:i w:val="0"/>
            <w:iCs w:val="0"/>
          </w:rPr>
          <w:t>6288- دیوان مثال قهپایه‏ای أو شعره‏</w:t>
        </w:r>
        <w:r>
          <w:tab/>
        </w:r>
        <w:r>
          <w:fldChar w:fldCharType="begin"/>
        </w:r>
        <w:r>
          <w:instrText xml:space="preserve">PAGEREF 7012 \h</w:instrText>
        </w:r>
        <w:r>
          <w:fldChar w:fldCharType="end"/>
        </w:r>
      </w:hyperlink>
    </w:p>
    <w:p>
      <w:pPr>
        <w:tabs>
          <w:tab w:val="right" w:leader="dot" w:pos="9062"/>
        </w:tabs>
        <w:ind w:left="440"/>
      </w:pPr>
      <w:hyperlink w:anchor="_Toc7013" w:history="1">
        <w:r>
          <w:rPr>
            <w:rFonts w:ascii="IRNazanin" w:hAnsi="IRNazanin" w:eastAsia="IRNazanin" w:cs="IRNazanin"/>
            <w:color w:val="111111"/>
            <w:sz w:val="22"/>
            <w:szCs w:val="22"/>
            <w:b w:val="0"/>
            <w:bCs w:val="0"/>
            <w:i w:val="0"/>
            <w:iCs w:val="0"/>
          </w:rPr>
          <w:t>6289- دیوان مثالی شیرازی أو شعره‏</w:t>
        </w:r>
        <w:r>
          <w:tab/>
        </w:r>
        <w:r>
          <w:fldChar w:fldCharType="begin"/>
        </w:r>
        <w:r>
          <w:instrText xml:space="preserve">PAGEREF 7013 \h</w:instrText>
        </w:r>
        <w:r>
          <w:fldChar w:fldCharType="end"/>
        </w:r>
      </w:hyperlink>
    </w:p>
    <w:p>
      <w:pPr>
        <w:tabs>
          <w:tab w:val="right" w:leader="dot" w:pos="9062"/>
        </w:tabs>
        <w:ind w:left="440"/>
      </w:pPr>
      <w:hyperlink w:anchor="_Toc7014" w:history="1">
        <w:r>
          <w:rPr>
            <w:rFonts w:ascii="IRNazanin" w:hAnsi="IRNazanin" w:eastAsia="IRNazanin" w:cs="IRNazanin"/>
            <w:color w:val="111111"/>
            <w:sz w:val="22"/>
            <w:szCs w:val="22"/>
            <w:b w:val="0"/>
            <w:bCs w:val="0"/>
            <w:i w:val="0"/>
            <w:iCs w:val="0"/>
          </w:rPr>
          <w:t>6290- دیوان مثالی کاشانی‏</w:t>
        </w:r>
        <w:r>
          <w:tab/>
        </w:r>
        <w:r>
          <w:fldChar w:fldCharType="begin"/>
        </w:r>
        <w:r>
          <w:instrText xml:space="preserve">PAGEREF 7014 \h</w:instrText>
        </w:r>
        <w:r>
          <w:fldChar w:fldCharType="end"/>
        </w:r>
      </w:hyperlink>
    </w:p>
    <w:p>
      <w:pPr>
        <w:tabs>
          <w:tab w:val="right" w:leader="dot" w:pos="9062"/>
        </w:tabs>
        <w:ind w:left="440"/>
      </w:pPr>
      <w:hyperlink w:anchor="_Toc7015" w:history="1">
        <w:r>
          <w:rPr>
            <w:rFonts w:ascii="IRNazanin" w:hAnsi="IRNazanin" w:eastAsia="IRNazanin" w:cs="IRNazanin"/>
            <w:color w:val="111111"/>
            <w:sz w:val="22"/>
            <w:szCs w:val="22"/>
            <w:b w:val="0"/>
            <w:bCs w:val="0"/>
            <w:i w:val="0"/>
            <w:iCs w:val="0"/>
          </w:rPr>
          <w:t>دیوان مجتهد الشعراء</w:t>
        </w:r>
        <w:r>
          <w:tab/>
        </w:r>
        <w:r>
          <w:fldChar w:fldCharType="begin"/>
        </w:r>
        <w:r>
          <w:instrText xml:space="preserve">PAGEREF 7015 \h</w:instrText>
        </w:r>
        <w:r>
          <w:fldChar w:fldCharType="end"/>
        </w:r>
      </w:hyperlink>
    </w:p>
    <w:p>
      <w:pPr>
        <w:tabs>
          <w:tab w:val="right" w:leader="dot" w:pos="9062"/>
        </w:tabs>
        <w:ind w:left="440"/>
      </w:pPr>
      <w:hyperlink w:anchor="_Toc7016" w:history="1">
        <w:r>
          <w:rPr>
            <w:rFonts w:ascii="IRNazanin" w:hAnsi="IRNazanin" w:eastAsia="IRNazanin" w:cs="IRNazanin"/>
            <w:color w:val="111111"/>
            <w:sz w:val="22"/>
            <w:szCs w:val="22"/>
            <w:b w:val="0"/>
            <w:bCs w:val="0"/>
            <w:i w:val="0"/>
            <w:iCs w:val="0"/>
          </w:rPr>
          <w:t>دیوان مجد الأدباء</w:t>
        </w:r>
        <w:r>
          <w:tab/>
        </w:r>
        <w:r>
          <w:fldChar w:fldCharType="begin"/>
        </w:r>
        <w:r>
          <w:instrText xml:space="preserve">PAGEREF 7016 \h</w:instrText>
        </w:r>
        <w:r>
          <w:fldChar w:fldCharType="end"/>
        </w:r>
      </w:hyperlink>
    </w:p>
    <w:p>
      <w:pPr>
        <w:tabs>
          <w:tab w:val="right" w:leader="dot" w:pos="9062"/>
        </w:tabs>
        <w:ind w:left="440"/>
      </w:pPr>
      <w:hyperlink w:anchor="_Toc7017" w:history="1">
        <w:r>
          <w:rPr>
            <w:rFonts w:ascii="IRNazanin" w:hAnsi="IRNazanin" w:eastAsia="IRNazanin" w:cs="IRNazanin"/>
            <w:color w:val="111111"/>
            <w:sz w:val="22"/>
            <w:szCs w:val="22"/>
            <w:b w:val="0"/>
            <w:bCs w:val="0"/>
            <w:i w:val="0"/>
            <w:iCs w:val="0"/>
          </w:rPr>
          <w:t>6291- دیوان مجد الإسلام کرمانی‏</w:t>
        </w:r>
        <w:r>
          <w:tab/>
        </w:r>
        <w:r>
          <w:fldChar w:fldCharType="begin"/>
        </w:r>
        <w:r>
          <w:instrText xml:space="preserve">PAGEREF 7017 \h</w:instrText>
        </w:r>
        <w:r>
          <w:fldChar w:fldCharType="end"/>
        </w:r>
      </w:hyperlink>
    </w:p>
    <w:p>
      <w:pPr>
        <w:tabs>
          <w:tab w:val="right" w:leader="dot" w:pos="9062"/>
        </w:tabs>
        <w:ind w:left="440"/>
      </w:pPr>
      <w:hyperlink w:anchor="_Toc7018" w:history="1">
        <w:r>
          <w:rPr>
            <w:rFonts w:ascii="IRNazanin" w:hAnsi="IRNazanin" w:eastAsia="IRNazanin" w:cs="IRNazanin"/>
            <w:color w:val="111111"/>
            <w:sz w:val="22"/>
            <w:szCs w:val="22"/>
            <w:b w:val="0"/>
            <w:bCs w:val="0"/>
            <w:i w:val="0"/>
            <w:iCs w:val="0"/>
          </w:rPr>
          <w:t>6292- دیوان مجد الأشراف‏</w:t>
        </w:r>
        <w:r>
          <w:tab/>
        </w:r>
        <w:r>
          <w:fldChar w:fldCharType="begin"/>
        </w:r>
        <w:r>
          <w:instrText xml:space="preserve">PAGEREF 7018 \h</w:instrText>
        </w:r>
        <w:r>
          <w:fldChar w:fldCharType="end"/>
        </w:r>
      </w:hyperlink>
    </w:p>
    <w:p>
      <w:pPr>
        <w:tabs>
          <w:tab w:val="right" w:leader="dot" w:pos="9062"/>
        </w:tabs>
        <w:ind w:left="440"/>
      </w:pPr>
      <w:hyperlink w:anchor="_Toc7019" w:history="1">
        <w:r>
          <w:rPr>
            <w:rFonts w:ascii="IRNazanin" w:hAnsi="IRNazanin" w:eastAsia="IRNazanin" w:cs="IRNazanin"/>
            <w:color w:val="111111"/>
            <w:sz w:val="22"/>
            <w:szCs w:val="22"/>
            <w:b w:val="0"/>
            <w:bCs w:val="0"/>
            <w:i w:val="0"/>
            <w:iCs w:val="0"/>
          </w:rPr>
          <w:t>6293- دیوان مجد دزفولی أو شعره‏</w:t>
        </w:r>
        <w:r>
          <w:tab/>
        </w:r>
        <w:r>
          <w:fldChar w:fldCharType="begin"/>
        </w:r>
        <w:r>
          <w:instrText xml:space="preserve">PAGEREF 7019 \h</w:instrText>
        </w:r>
        <w:r>
          <w:fldChar w:fldCharType="end"/>
        </w:r>
      </w:hyperlink>
    </w:p>
    <w:p>
      <w:pPr>
        <w:tabs>
          <w:tab w:val="right" w:leader="dot" w:pos="9062"/>
        </w:tabs>
        <w:ind w:left="440"/>
      </w:pPr>
      <w:hyperlink w:anchor="_Toc7020" w:history="1">
        <w:r>
          <w:rPr>
            <w:rFonts w:ascii="IRNazanin" w:hAnsi="IRNazanin" w:eastAsia="IRNazanin" w:cs="IRNazanin"/>
            <w:color w:val="111111"/>
            <w:sz w:val="22"/>
            <w:szCs w:val="22"/>
            <w:b w:val="0"/>
            <w:bCs w:val="0"/>
            <w:i w:val="0"/>
            <w:iCs w:val="0"/>
          </w:rPr>
          <w:t>6294- دیوان شیخ مجد الدین بغدادی‏</w:t>
        </w:r>
        <w:r>
          <w:tab/>
        </w:r>
        <w:r>
          <w:fldChar w:fldCharType="begin"/>
        </w:r>
        <w:r>
          <w:instrText xml:space="preserve">PAGEREF 7020 \h</w:instrText>
        </w:r>
        <w:r>
          <w:fldChar w:fldCharType="end"/>
        </w:r>
      </w:hyperlink>
    </w:p>
    <w:p>
      <w:pPr>
        <w:tabs>
          <w:tab w:val="right" w:leader="dot" w:pos="9062"/>
        </w:tabs>
        <w:ind w:left="440"/>
      </w:pPr>
      <w:hyperlink w:anchor="_Toc7021" w:history="1">
        <w:r>
          <w:rPr>
            <w:rFonts w:ascii="IRNazanin" w:hAnsi="IRNazanin" w:eastAsia="IRNazanin" w:cs="IRNazanin"/>
            <w:color w:val="111111"/>
            <w:sz w:val="22"/>
            <w:szCs w:val="22"/>
            <w:b w:val="0"/>
            <w:bCs w:val="0"/>
            <w:i w:val="0"/>
            <w:iCs w:val="0"/>
          </w:rPr>
          <w:t>دیوان مجد الدین بیهقی‏</w:t>
        </w:r>
        <w:r>
          <w:tab/>
        </w:r>
        <w:r>
          <w:fldChar w:fldCharType="begin"/>
        </w:r>
        <w:r>
          <w:instrText xml:space="preserve">PAGEREF 7021 \h</w:instrText>
        </w:r>
        <w:r>
          <w:fldChar w:fldCharType="end"/>
        </w:r>
      </w:hyperlink>
    </w:p>
    <w:p>
      <w:pPr>
        <w:tabs>
          <w:tab w:val="right" w:leader="dot" w:pos="9062"/>
        </w:tabs>
        <w:ind w:left="440"/>
      </w:pPr>
      <w:hyperlink w:anchor="_Toc7022" w:history="1">
        <w:r>
          <w:rPr>
            <w:rFonts w:ascii="IRNazanin" w:hAnsi="IRNazanin" w:eastAsia="IRNazanin" w:cs="IRNazanin"/>
            <w:color w:val="111111"/>
            <w:sz w:val="22"/>
            <w:szCs w:val="22"/>
            <w:b w:val="0"/>
            <w:bCs w:val="0"/>
            <w:i w:val="0"/>
            <w:iCs w:val="0"/>
          </w:rPr>
          <w:t>دیوان مجد الدین دایة رازی‏</w:t>
        </w:r>
        <w:r>
          <w:tab/>
        </w:r>
        <w:r>
          <w:fldChar w:fldCharType="begin"/>
        </w:r>
        <w:r>
          <w:instrText xml:space="preserve">PAGEREF 7022 \h</w:instrText>
        </w:r>
        <w:r>
          <w:fldChar w:fldCharType="end"/>
        </w:r>
      </w:hyperlink>
    </w:p>
    <w:p>
      <w:pPr>
        <w:tabs>
          <w:tab w:val="right" w:leader="dot" w:pos="9062"/>
        </w:tabs>
        <w:ind w:left="440"/>
      </w:pPr>
      <w:hyperlink w:anchor="_Toc7023" w:history="1">
        <w:r>
          <w:rPr>
            <w:rFonts w:ascii="IRNazanin" w:hAnsi="IRNazanin" w:eastAsia="IRNazanin" w:cs="IRNazanin"/>
            <w:color w:val="111111"/>
            <w:sz w:val="22"/>
            <w:szCs w:val="22"/>
            <w:b w:val="0"/>
            <w:bCs w:val="0"/>
            <w:i w:val="0"/>
            <w:iCs w:val="0"/>
          </w:rPr>
          <w:t>6295- دیوان مجد الدین ساوجی‏</w:t>
        </w:r>
        <w:r>
          <w:tab/>
        </w:r>
        <w:r>
          <w:fldChar w:fldCharType="begin"/>
        </w:r>
        <w:r>
          <w:instrText xml:space="preserve">PAGEREF 7023 \h</w:instrText>
        </w:r>
        <w:r>
          <w:fldChar w:fldCharType="end"/>
        </w:r>
      </w:hyperlink>
    </w:p>
    <w:p>
      <w:pPr>
        <w:tabs>
          <w:tab w:val="right" w:leader="dot" w:pos="9062"/>
        </w:tabs>
        <w:ind w:left="440"/>
      </w:pPr>
      <w:hyperlink w:anchor="_Toc7024" w:history="1">
        <w:r>
          <w:rPr>
            <w:rFonts w:ascii="IRNazanin" w:hAnsi="IRNazanin" w:eastAsia="IRNazanin" w:cs="IRNazanin"/>
            <w:color w:val="111111"/>
            <w:sz w:val="22"/>
            <w:szCs w:val="22"/>
            <w:b w:val="0"/>
            <w:bCs w:val="0"/>
            <w:i w:val="0"/>
            <w:iCs w:val="0"/>
          </w:rPr>
          <w:t>دیوان مجد الدین سجاوندی‏</w:t>
        </w:r>
        <w:r>
          <w:tab/>
        </w:r>
        <w:r>
          <w:fldChar w:fldCharType="begin"/>
        </w:r>
        <w:r>
          <w:instrText xml:space="preserve">PAGEREF 7024 \h</w:instrText>
        </w:r>
        <w:r>
          <w:fldChar w:fldCharType="end"/>
        </w:r>
      </w:hyperlink>
    </w:p>
    <w:p>
      <w:pPr>
        <w:tabs>
          <w:tab w:val="right" w:leader="dot" w:pos="9062"/>
        </w:tabs>
        <w:ind w:left="440"/>
      </w:pPr>
      <w:hyperlink w:anchor="_Toc7025" w:history="1">
        <w:r>
          <w:rPr>
            <w:rFonts w:ascii="IRNazanin" w:hAnsi="IRNazanin" w:eastAsia="IRNazanin" w:cs="IRNazanin"/>
            <w:color w:val="111111"/>
            <w:sz w:val="22"/>
            <w:szCs w:val="22"/>
            <w:b w:val="0"/>
            <w:bCs w:val="0"/>
            <w:i w:val="0"/>
            <w:iCs w:val="0"/>
          </w:rPr>
          <w:t>6296- دیوان مجد الدین سرخکتی أو شعره‏</w:t>
        </w:r>
        <w:r>
          <w:tab/>
        </w:r>
        <w:r>
          <w:fldChar w:fldCharType="begin"/>
        </w:r>
        <w:r>
          <w:instrText xml:space="preserve">PAGEREF 7025 \h</w:instrText>
        </w:r>
        <w:r>
          <w:fldChar w:fldCharType="end"/>
        </w:r>
      </w:hyperlink>
    </w:p>
    <w:p>
      <w:pPr>
        <w:tabs>
          <w:tab w:val="right" w:leader="dot" w:pos="9062"/>
        </w:tabs>
        <w:ind w:left="440"/>
      </w:pPr>
      <w:hyperlink w:anchor="_Toc7026" w:history="1">
        <w:r>
          <w:rPr>
            <w:rFonts w:ascii="IRNazanin" w:hAnsi="IRNazanin" w:eastAsia="IRNazanin" w:cs="IRNazanin"/>
            <w:color w:val="111111"/>
            <w:sz w:val="22"/>
            <w:szCs w:val="22"/>
            <w:b w:val="0"/>
            <w:bCs w:val="0"/>
            <w:i w:val="0"/>
            <w:iCs w:val="0"/>
          </w:rPr>
          <w:t>دیوان مجد الدین سنائی‏</w:t>
        </w:r>
        <w:r>
          <w:tab/>
        </w:r>
        <w:r>
          <w:fldChar w:fldCharType="begin"/>
        </w:r>
        <w:r>
          <w:instrText xml:space="preserve">PAGEREF 7026 \h</w:instrText>
        </w:r>
        <w:r>
          <w:fldChar w:fldCharType="end"/>
        </w:r>
      </w:hyperlink>
    </w:p>
    <w:p>
      <w:pPr>
        <w:tabs>
          <w:tab w:val="right" w:leader="dot" w:pos="9062"/>
        </w:tabs>
        <w:ind w:left="440"/>
      </w:pPr>
      <w:hyperlink w:anchor="_Toc7027" w:history="1">
        <w:r>
          <w:rPr>
            <w:rFonts w:ascii="IRNazanin" w:hAnsi="IRNazanin" w:eastAsia="IRNazanin" w:cs="IRNazanin"/>
            <w:color w:val="111111"/>
            <w:sz w:val="22"/>
            <w:szCs w:val="22"/>
            <w:b w:val="0"/>
            <w:bCs w:val="0"/>
            <w:i w:val="0"/>
            <w:iCs w:val="0"/>
          </w:rPr>
          <w:t>دیوان مجد الدین صندلی‏</w:t>
        </w:r>
        <w:r>
          <w:tab/>
        </w:r>
        <w:r>
          <w:fldChar w:fldCharType="begin"/>
        </w:r>
        <w:r>
          <w:instrText xml:space="preserve">PAGEREF 7027 \h</w:instrText>
        </w:r>
        <w:r>
          <w:fldChar w:fldCharType="end"/>
        </w:r>
      </w:hyperlink>
    </w:p>
    <w:p>
      <w:pPr>
        <w:tabs>
          <w:tab w:val="right" w:leader="dot" w:pos="9062"/>
        </w:tabs>
        <w:ind w:left="440"/>
      </w:pPr>
      <w:hyperlink w:anchor="_Toc7028" w:history="1">
        <w:r>
          <w:rPr>
            <w:rFonts w:ascii="IRNazanin" w:hAnsi="IRNazanin" w:eastAsia="IRNazanin" w:cs="IRNazanin"/>
            <w:color w:val="111111"/>
            <w:sz w:val="22"/>
            <w:szCs w:val="22"/>
            <w:b w:val="0"/>
            <w:bCs w:val="0"/>
            <w:i w:val="0"/>
            <w:iCs w:val="0"/>
          </w:rPr>
          <w:t>6297- دیوان مجد الدین عزیزی أو شعره‏</w:t>
        </w:r>
        <w:r>
          <w:tab/>
        </w:r>
        <w:r>
          <w:fldChar w:fldCharType="begin"/>
        </w:r>
        <w:r>
          <w:instrText xml:space="preserve">PAGEREF 7028 \h</w:instrText>
        </w:r>
        <w:r>
          <w:fldChar w:fldCharType="end"/>
        </w:r>
      </w:hyperlink>
    </w:p>
    <w:p>
      <w:pPr>
        <w:tabs>
          <w:tab w:val="right" w:leader="dot" w:pos="9062"/>
        </w:tabs>
        <w:ind w:left="440"/>
      </w:pPr>
      <w:hyperlink w:anchor="_Toc7029" w:history="1">
        <w:r>
          <w:rPr>
            <w:rFonts w:ascii="IRNazanin" w:hAnsi="IRNazanin" w:eastAsia="IRNazanin" w:cs="IRNazanin"/>
            <w:color w:val="111111"/>
            <w:sz w:val="22"/>
            <w:szCs w:val="22"/>
            <w:b w:val="0"/>
            <w:bCs w:val="0"/>
            <w:i w:val="0"/>
            <w:iCs w:val="0"/>
          </w:rPr>
          <w:t>6298- دیوان مجد الدین عیوقی أو شعره‏</w:t>
        </w:r>
        <w:r>
          <w:tab/>
        </w:r>
        <w:r>
          <w:fldChar w:fldCharType="begin"/>
        </w:r>
        <w:r>
          <w:instrText xml:space="preserve">PAGEREF 7029 \h</w:instrText>
        </w:r>
        <w:r>
          <w:fldChar w:fldCharType="end"/>
        </w:r>
      </w:hyperlink>
    </w:p>
    <w:p>
      <w:pPr>
        <w:tabs>
          <w:tab w:val="right" w:leader="dot" w:pos="9062"/>
        </w:tabs>
        <w:ind w:left="440"/>
      </w:pPr>
      <w:hyperlink w:anchor="_Toc7030" w:history="1">
        <w:r>
          <w:rPr>
            <w:rFonts w:ascii="IRNazanin" w:hAnsi="IRNazanin" w:eastAsia="IRNazanin" w:cs="IRNazanin"/>
            <w:color w:val="111111"/>
            <w:sz w:val="22"/>
            <w:szCs w:val="22"/>
            <w:b w:val="0"/>
            <w:bCs w:val="0"/>
            <w:i w:val="0"/>
            <w:iCs w:val="0"/>
          </w:rPr>
          <w:t>دیوان مجد الدین فارسی‏</w:t>
        </w:r>
        <w:r>
          <w:tab/>
        </w:r>
        <w:r>
          <w:fldChar w:fldCharType="begin"/>
        </w:r>
        <w:r>
          <w:instrText xml:space="preserve">PAGEREF 7030 \h</w:instrText>
        </w:r>
        <w:r>
          <w:fldChar w:fldCharType="end"/>
        </w:r>
      </w:hyperlink>
    </w:p>
    <w:p>
      <w:pPr>
        <w:tabs>
          <w:tab w:val="right" w:leader="dot" w:pos="9062"/>
        </w:tabs>
        <w:ind w:left="440"/>
      </w:pPr>
      <w:hyperlink w:anchor="_Toc7031" w:history="1">
        <w:r>
          <w:rPr>
            <w:rFonts w:ascii="IRNazanin" w:hAnsi="IRNazanin" w:eastAsia="IRNazanin" w:cs="IRNazanin"/>
            <w:color w:val="111111"/>
            <w:sz w:val="22"/>
            <w:szCs w:val="22"/>
            <w:b w:val="0"/>
            <w:bCs w:val="0"/>
            <w:i w:val="0"/>
            <w:iCs w:val="0"/>
          </w:rPr>
          <w:t>6299- دیوان مجد الدین کاشی أو شعره‏</w:t>
        </w:r>
        <w:r>
          <w:tab/>
        </w:r>
        <w:r>
          <w:fldChar w:fldCharType="begin"/>
        </w:r>
        <w:r>
          <w:instrText xml:space="preserve">PAGEREF 7031 \h</w:instrText>
        </w:r>
        <w:r>
          <w:fldChar w:fldCharType="end"/>
        </w:r>
      </w:hyperlink>
    </w:p>
    <w:p>
      <w:pPr>
        <w:tabs>
          <w:tab w:val="right" w:leader="dot" w:pos="9062"/>
        </w:tabs>
        <w:ind w:left="440"/>
      </w:pPr>
      <w:hyperlink w:anchor="_Toc7032" w:history="1">
        <w:r>
          <w:rPr>
            <w:rFonts w:ascii="IRNazanin" w:hAnsi="IRNazanin" w:eastAsia="IRNazanin" w:cs="IRNazanin"/>
            <w:color w:val="111111"/>
            <w:sz w:val="22"/>
            <w:szCs w:val="22"/>
            <w:b w:val="0"/>
            <w:bCs w:val="0"/>
            <w:i w:val="0"/>
            <w:iCs w:val="0"/>
          </w:rPr>
          <w:t>6300- دیوان مجد الدین ندیم‏</w:t>
        </w:r>
        <w:r>
          <w:tab/>
        </w:r>
        <w:r>
          <w:fldChar w:fldCharType="begin"/>
        </w:r>
        <w:r>
          <w:instrText xml:space="preserve">PAGEREF 7032 \h</w:instrText>
        </w:r>
        <w:r>
          <w:fldChar w:fldCharType="end"/>
        </w:r>
      </w:hyperlink>
    </w:p>
    <w:p>
      <w:pPr>
        <w:tabs>
          <w:tab w:val="right" w:leader="dot" w:pos="9062"/>
        </w:tabs>
        <w:ind w:left="440"/>
      </w:pPr>
      <w:hyperlink w:anchor="_Toc7033" w:history="1">
        <w:r>
          <w:rPr>
            <w:rFonts w:ascii="IRNazanin" w:hAnsi="IRNazanin" w:eastAsia="IRNazanin" w:cs="IRNazanin"/>
            <w:color w:val="111111"/>
            <w:sz w:val="22"/>
            <w:szCs w:val="22"/>
            <w:b w:val="0"/>
            <w:bCs w:val="0"/>
            <w:i w:val="0"/>
            <w:iCs w:val="0"/>
          </w:rPr>
          <w:t>6301- دیوان مجد الدین نسوی‏</w:t>
        </w:r>
        <w:r>
          <w:tab/>
        </w:r>
        <w:r>
          <w:fldChar w:fldCharType="begin"/>
        </w:r>
        <w:r>
          <w:instrText xml:space="preserve">PAGEREF 7033 \h</w:instrText>
        </w:r>
        <w:r>
          <w:fldChar w:fldCharType="end"/>
        </w:r>
      </w:hyperlink>
    </w:p>
    <w:p>
      <w:pPr>
        <w:tabs>
          <w:tab w:val="right" w:leader="dot" w:pos="9062"/>
        </w:tabs>
        <w:ind w:left="440"/>
      </w:pPr>
      <w:hyperlink w:anchor="_Toc7034" w:history="1">
        <w:r>
          <w:rPr>
            <w:rFonts w:ascii="IRNazanin" w:hAnsi="IRNazanin" w:eastAsia="IRNazanin" w:cs="IRNazanin"/>
            <w:color w:val="111111"/>
            <w:sz w:val="22"/>
            <w:szCs w:val="22"/>
            <w:b w:val="0"/>
            <w:bCs w:val="0"/>
            <w:i w:val="0"/>
            <w:iCs w:val="0"/>
          </w:rPr>
          <w:t>6302- دیوان مجد الدین همگر</w:t>
        </w:r>
        <w:r>
          <w:tab/>
        </w:r>
        <w:r>
          <w:fldChar w:fldCharType="begin"/>
        </w:r>
        <w:r>
          <w:instrText xml:space="preserve">PAGEREF 7034 \h</w:instrText>
        </w:r>
        <w:r>
          <w:fldChar w:fldCharType="end"/>
        </w:r>
      </w:hyperlink>
    </w:p>
    <w:p>
      <w:pPr>
        <w:tabs>
          <w:tab w:val="right" w:leader="dot" w:pos="9062"/>
        </w:tabs>
        <w:ind w:left="440"/>
      </w:pPr>
      <w:hyperlink w:anchor="_Toc7035" w:history="1">
        <w:r>
          <w:rPr>
            <w:rFonts w:ascii="IRNazanin" w:hAnsi="IRNazanin" w:eastAsia="IRNazanin" w:cs="IRNazanin"/>
            <w:color w:val="111111"/>
            <w:sz w:val="22"/>
            <w:szCs w:val="22"/>
            <w:b w:val="0"/>
            <w:bCs w:val="0"/>
            <w:i w:val="0"/>
            <w:iCs w:val="0"/>
          </w:rPr>
          <w:t>دیوان مجد الشعراء</w:t>
        </w:r>
        <w:r>
          <w:tab/>
        </w:r>
        <w:r>
          <w:fldChar w:fldCharType="begin"/>
        </w:r>
        <w:r>
          <w:instrText xml:space="preserve">PAGEREF 7035 \h</w:instrText>
        </w:r>
        <w:r>
          <w:fldChar w:fldCharType="end"/>
        </w:r>
      </w:hyperlink>
    </w:p>
    <w:p>
      <w:pPr>
        <w:tabs>
          <w:tab w:val="right" w:leader="dot" w:pos="9062"/>
        </w:tabs>
        <w:ind w:left="440"/>
      </w:pPr>
      <w:hyperlink w:anchor="_Toc7036" w:history="1">
        <w:r>
          <w:rPr>
            <w:rFonts w:ascii="IRNazanin" w:hAnsi="IRNazanin" w:eastAsia="IRNazanin" w:cs="IRNazanin"/>
            <w:color w:val="111111"/>
            <w:sz w:val="22"/>
            <w:szCs w:val="22"/>
            <w:b w:val="0"/>
            <w:bCs w:val="0"/>
            <w:i w:val="0"/>
            <w:iCs w:val="0"/>
          </w:rPr>
          <w:t>6303- دیوان مجد العلی خراسانی‏</w:t>
        </w:r>
        <w:r>
          <w:tab/>
        </w:r>
        <w:r>
          <w:fldChar w:fldCharType="begin"/>
        </w:r>
        <w:r>
          <w:instrText xml:space="preserve">PAGEREF 7036 \h</w:instrText>
        </w:r>
        <w:r>
          <w:fldChar w:fldCharType="end"/>
        </w:r>
      </w:hyperlink>
    </w:p>
    <w:p>
      <w:pPr>
        <w:tabs>
          <w:tab w:val="right" w:leader="dot" w:pos="9062"/>
        </w:tabs>
        <w:ind w:left="440"/>
      </w:pPr>
      <w:hyperlink w:anchor="_Toc7037" w:history="1">
        <w:r>
          <w:rPr>
            <w:rFonts w:ascii="IRNazanin" w:hAnsi="IRNazanin" w:eastAsia="IRNazanin" w:cs="IRNazanin"/>
            <w:color w:val="111111"/>
            <w:sz w:val="22"/>
            <w:szCs w:val="22"/>
            <w:b w:val="0"/>
            <w:bCs w:val="0"/>
            <w:i w:val="0"/>
            <w:iCs w:val="0"/>
          </w:rPr>
          <w:t>6304- دیوان مجد مروزی‏</w:t>
        </w:r>
        <w:r>
          <w:tab/>
        </w:r>
        <w:r>
          <w:fldChar w:fldCharType="begin"/>
        </w:r>
        <w:r>
          <w:instrText xml:space="preserve">PAGEREF 7037 \h</w:instrText>
        </w:r>
        <w:r>
          <w:fldChar w:fldCharType="end"/>
        </w:r>
      </w:hyperlink>
    </w:p>
    <w:p>
      <w:pPr>
        <w:tabs>
          <w:tab w:val="right" w:leader="dot" w:pos="9062"/>
        </w:tabs>
        <w:ind w:left="440"/>
      </w:pPr>
      <w:hyperlink w:anchor="_Toc7038" w:history="1">
        <w:r>
          <w:rPr>
            <w:rFonts w:ascii="IRNazanin" w:hAnsi="IRNazanin" w:eastAsia="IRNazanin" w:cs="IRNazanin"/>
            <w:color w:val="111111"/>
            <w:sz w:val="22"/>
            <w:szCs w:val="22"/>
            <w:b w:val="0"/>
            <w:bCs w:val="0"/>
            <w:i w:val="0"/>
            <w:iCs w:val="0"/>
          </w:rPr>
          <w:t>6305- دیوان مجد نسائی أو شعره‏</w:t>
        </w:r>
        <w:r>
          <w:tab/>
        </w:r>
        <w:r>
          <w:fldChar w:fldCharType="begin"/>
        </w:r>
        <w:r>
          <w:instrText xml:space="preserve">PAGEREF 7038 \h</w:instrText>
        </w:r>
        <w:r>
          <w:fldChar w:fldCharType="end"/>
        </w:r>
      </w:hyperlink>
    </w:p>
    <w:p>
      <w:pPr>
        <w:tabs>
          <w:tab w:val="right" w:leader="dot" w:pos="9062"/>
        </w:tabs>
        <w:ind w:left="440"/>
      </w:pPr>
      <w:hyperlink w:anchor="_Toc7039" w:history="1">
        <w:r>
          <w:rPr>
            <w:rFonts w:ascii="IRNazanin" w:hAnsi="IRNazanin" w:eastAsia="IRNazanin" w:cs="IRNazanin"/>
            <w:color w:val="111111"/>
            <w:sz w:val="22"/>
            <w:szCs w:val="22"/>
            <w:b w:val="0"/>
            <w:bCs w:val="0"/>
            <w:i w:val="0"/>
            <w:iCs w:val="0"/>
          </w:rPr>
          <w:t>دیوان مجد همگر</w:t>
        </w:r>
        <w:r>
          <w:tab/>
        </w:r>
        <w:r>
          <w:fldChar w:fldCharType="begin"/>
        </w:r>
        <w:r>
          <w:instrText xml:space="preserve">PAGEREF 7039 \h</w:instrText>
        </w:r>
        <w:r>
          <w:fldChar w:fldCharType="end"/>
        </w:r>
      </w:hyperlink>
    </w:p>
    <w:p>
      <w:pPr>
        <w:tabs>
          <w:tab w:val="right" w:leader="dot" w:pos="9062"/>
        </w:tabs>
        <w:ind w:left="440"/>
      </w:pPr>
      <w:hyperlink w:anchor="_Toc7040" w:history="1">
        <w:r>
          <w:rPr>
            <w:rFonts w:ascii="IRNazanin" w:hAnsi="IRNazanin" w:eastAsia="IRNazanin" w:cs="IRNazanin"/>
            <w:color w:val="111111"/>
            <w:sz w:val="22"/>
            <w:szCs w:val="22"/>
            <w:b w:val="0"/>
            <w:bCs w:val="0"/>
            <w:i w:val="0"/>
            <w:iCs w:val="0"/>
          </w:rPr>
          <w:t>دیوان مجدود بن آدم‏</w:t>
        </w:r>
        <w:r>
          <w:tab/>
        </w:r>
        <w:r>
          <w:fldChar w:fldCharType="begin"/>
        </w:r>
        <w:r>
          <w:instrText xml:space="preserve">PAGEREF 7040 \h</w:instrText>
        </w:r>
        <w:r>
          <w:fldChar w:fldCharType="end"/>
        </w:r>
      </w:hyperlink>
    </w:p>
    <w:p>
      <w:pPr>
        <w:tabs>
          <w:tab w:val="right" w:leader="dot" w:pos="9062"/>
        </w:tabs>
        <w:ind w:left="440"/>
      </w:pPr>
      <w:hyperlink w:anchor="_Toc7041" w:history="1">
        <w:r>
          <w:rPr>
            <w:rFonts w:ascii="IRNazanin" w:hAnsi="IRNazanin" w:eastAsia="IRNazanin" w:cs="IRNazanin"/>
            <w:color w:val="111111"/>
            <w:sz w:val="22"/>
            <w:szCs w:val="22"/>
            <w:b w:val="0"/>
            <w:bCs w:val="0"/>
            <w:i w:val="0"/>
            <w:iCs w:val="0"/>
          </w:rPr>
          <w:t>6306- دیوان مجدی کردستانی‏</w:t>
        </w:r>
        <w:r>
          <w:tab/>
        </w:r>
        <w:r>
          <w:fldChar w:fldCharType="begin"/>
        </w:r>
        <w:r>
          <w:instrText xml:space="preserve">PAGEREF 7041 \h</w:instrText>
        </w:r>
        <w:r>
          <w:fldChar w:fldCharType="end"/>
        </w:r>
      </w:hyperlink>
    </w:p>
    <w:p>
      <w:pPr>
        <w:tabs>
          <w:tab w:val="right" w:leader="dot" w:pos="9062"/>
        </w:tabs>
        <w:ind w:left="440"/>
      </w:pPr>
      <w:hyperlink w:anchor="_Toc7042" w:history="1">
        <w:r>
          <w:rPr>
            <w:rFonts w:ascii="IRNazanin" w:hAnsi="IRNazanin" w:eastAsia="IRNazanin" w:cs="IRNazanin"/>
            <w:color w:val="111111"/>
            <w:sz w:val="22"/>
            <w:szCs w:val="22"/>
            <w:b w:val="0"/>
            <w:bCs w:val="0"/>
            <w:i w:val="0"/>
            <w:iCs w:val="0"/>
          </w:rPr>
          <w:t>6307- دیوان مجدی همدانی أو شعره‏</w:t>
        </w:r>
        <w:r>
          <w:tab/>
        </w:r>
        <w:r>
          <w:fldChar w:fldCharType="begin"/>
        </w:r>
        <w:r>
          <w:instrText xml:space="preserve">PAGEREF 7042 \h</w:instrText>
        </w:r>
        <w:r>
          <w:fldChar w:fldCharType="end"/>
        </w:r>
      </w:hyperlink>
    </w:p>
    <w:p>
      <w:pPr>
        <w:tabs>
          <w:tab w:val="right" w:leader="dot" w:pos="9062"/>
        </w:tabs>
        <w:ind w:left="440"/>
      </w:pPr>
      <w:hyperlink w:anchor="_Toc7043" w:history="1">
        <w:r>
          <w:rPr>
            <w:rFonts w:ascii="IRNazanin" w:hAnsi="IRNazanin" w:eastAsia="IRNazanin" w:cs="IRNazanin"/>
            <w:color w:val="111111"/>
            <w:sz w:val="22"/>
            <w:szCs w:val="22"/>
            <w:b w:val="0"/>
            <w:bCs w:val="0"/>
            <w:i w:val="0"/>
            <w:iCs w:val="0"/>
          </w:rPr>
          <w:t>6308- دیوان مجذوب تبریزی‏</w:t>
        </w:r>
        <w:r>
          <w:tab/>
        </w:r>
        <w:r>
          <w:fldChar w:fldCharType="begin"/>
        </w:r>
        <w:r>
          <w:instrText xml:space="preserve">PAGEREF 7043 \h</w:instrText>
        </w:r>
        <w:r>
          <w:fldChar w:fldCharType="end"/>
        </w:r>
      </w:hyperlink>
    </w:p>
    <w:p>
      <w:pPr>
        <w:tabs>
          <w:tab w:val="right" w:leader="dot" w:pos="9062"/>
        </w:tabs>
        <w:ind w:left="440"/>
      </w:pPr>
      <w:hyperlink w:anchor="_Toc7044" w:history="1">
        <w:r>
          <w:rPr>
            <w:rFonts w:ascii="IRNazanin" w:hAnsi="IRNazanin" w:eastAsia="IRNazanin" w:cs="IRNazanin"/>
            <w:color w:val="111111"/>
            <w:sz w:val="22"/>
            <w:szCs w:val="22"/>
            <w:b w:val="0"/>
            <w:bCs w:val="0"/>
            <w:i w:val="0"/>
            <w:iCs w:val="0"/>
          </w:rPr>
          <w:t>دیوان مجذوب علی شاه‏</w:t>
        </w:r>
        <w:r>
          <w:tab/>
        </w:r>
        <w:r>
          <w:fldChar w:fldCharType="begin"/>
        </w:r>
        <w:r>
          <w:instrText xml:space="preserve">PAGEREF 7044 \h</w:instrText>
        </w:r>
        <w:r>
          <w:fldChar w:fldCharType="end"/>
        </w:r>
      </w:hyperlink>
    </w:p>
    <w:p>
      <w:pPr>
        <w:tabs>
          <w:tab w:val="right" w:leader="dot" w:pos="9062"/>
        </w:tabs>
        <w:ind w:left="440"/>
      </w:pPr>
      <w:hyperlink w:anchor="_Toc7045" w:history="1">
        <w:r>
          <w:rPr>
            <w:rFonts w:ascii="IRNazanin" w:hAnsi="IRNazanin" w:eastAsia="IRNazanin" w:cs="IRNazanin"/>
            <w:color w:val="111111"/>
            <w:sz w:val="22"/>
            <w:szCs w:val="22"/>
            <w:b w:val="0"/>
            <w:bCs w:val="0"/>
            <w:i w:val="0"/>
            <w:iCs w:val="0"/>
          </w:rPr>
          <w:t>6309- دیوان مجذوب علی شاه‏</w:t>
        </w:r>
        <w:r>
          <w:tab/>
        </w:r>
        <w:r>
          <w:fldChar w:fldCharType="begin"/>
        </w:r>
        <w:r>
          <w:instrText xml:space="preserve">PAGEREF 7045 \h</w:instrText>
        </w:r>
        <w:r>
          <w:fldChar w:fldCharType="end"/>
        </w:r>
      </w:hyperlink>
    </w:p>
    <w:p>
      <w:pPr>
        <w:tabs>
          <w:tab w:val="right" w:leader="dot" w:pos="9062"/>
        </w:tabs>
        <w:ind w:left="440"/>
      </w:pPr>
      <w:hyperlink w:anchor="_Toc7046" w:history="1">
        <w:r>
          <w:rPr>
            <w:rFonts w:ascii="IRNazanin" w:hAnsi="IRNazanin" w:eastAsia="IRNazanin" w:cs="IRNazanin"/>
            <w:color w:val="111111"/>
            <w:sz w:val="22"/>
            <w:szCs w:val="22"/>
            <w:b w:val="0"/>
            <w:bCs w:val="0"/>
            <w:i w:val="0"/>
            <w:iCs w:val="0"/>
          </w:rPr>
          <w:t>6310- دیوان مجذوب هروی أو شعره‏</w:t>
        </w:r>
        <w:r>
          <w:tab/>
        </w:r>
        <w:r>
          <w:fldChar w:fldCharType="begin"/>
        </w:r>
        <w:r>
          <w:instrText xml:space="preserve">PAGEREF 7046 \h</w:instrText>
        </w:r>
        <w:r>
          <w:fldChar w:fldCharType="end"/>
        </w:r>
      </w:hyperlink>
    </w:p>
    <w:p>
      <w:pPr>
        <w:tabs>
          <w:tab w:val="right" w:leader="dot" w:pos="9062"/>
        </w:tabs>
        <w:ind w:left="440"/>
      </w:pPr>
      <w:hyperlink w:anchor="_Toc7047" w:history="1">
        <w:r>
          <w:rPr>
            <w:rFonts w:ascii="IRNazanin" w:hAnsi="IRNazanin" w:eastAsia="IRNazanin" w:cs="IRNazanin"/>
            <w:color w:val="111111"/>
            <w:sz w:val="22"/>
            <w:szCs w:val="22"/>
            <w:b w:val="0"/>
            <w:bCs w:val="0"/>
            <w:i w:val="0"/>
            <w:iCs w:val="0"/>
          </w:rPr>
          <w:t>6311- دیوان مجرم أصفهانی‏</w:t>
        </w:r>
        <w:r>
          <w:tab/>
        </w:r>
        <w:r>
          <w:fldChar w:fldCharType="begin"/>
        </w:r>
        <w:r>
          <w:instrText xml:space="preserve">PAGEREF 7047 \h</w:instrText>
        </w:r>
        <w:r>
          <w:fldChar w:fldCharType="end"/>
        </w:r>
      </w:hyperlink>
    </w:p>
    <w:p>
      <w:pPr>
        <w:tabs>
          <w:tab w:val="right" w:leader="dot" w:pos="9062"/>
        </w:tabs>
        <w:ind w:left="440"/>
      </w:pPr>
      <w:hyperlink w:anchor="_Toc7048" w:history="1">
        <w:r>
          <w:rPr>
            <w:rFonts w:ascii="IRNazanin" w:hAnsi="IRNazanin" w:eastAsia="IRNazanin" w:cs="IRNazanin"/>
            <w:color w:val="111111"/>
            <w:sz w:val="22"/>
            <w:szCs w:val="22"/>
            <w:b w:val="0"/>
            <w:bCs w:val="0"/>
            <w:i w:val="0"/>
            <w:iCs w:val="0"/>
          </w:rPr>
          <w:t>6312- دیوان مجرم خوسفی أو شعره‏</w:t>
        </w:r>
        <w:r>
          <w:tab/>
        </w:r>
        <w:r>
          <w:fldChar w:fldCharType="begin"/>
        </w:r>
        <w:r>
          <w:instrText xml:space="preserve">PAGEREF 7048 \h</w:instrText>
        </w:r>
        <w:r>
          <w:fldChar w:fldCharType="end"/>
        </w:r>
      </w:hyperlink>
    </w:p>
    <w:p>
      <w:pPr>
        <w:tabs>
          <w:tab w:val="right" w:leader="dot" w:pos="9062"/>
        </w:tabs>
        <w:ind w:left="440"/>
      </w:pPr>
      <w:hyperlink w:anchor="_Toc7049" w:history="1">
        <w:r>
          <w:rPr>
            <w:rFonts w:ascii="IRNazanin" w:hAnsi="IRNazanin" w:eastAsia="IRNazanin" w:cs="IRNazanin"/>
            <w:color w:val="111111"/>
            <w:sz w:val="22"/>
            <w:szCs w:val="22"/>
            <w:b w:val="0"/>
            <w:bCs w:val="0"/>
            <w:i w:val="0"/>
            <w:iCs w:val="0"/>
          </w:rPr>
          <w:t>6313- دیوان مجرم شاملو</w:t>
        </w:r>
        <w:r>
          <w:tab/>
        </w:r>
        <w:r>
          <w:fldChar w:fldCharType="begin"/>
        </w:r>
        <w:r>
          <w:instrText xml:space="preserve">PAGEREF 7049 \h</w:instrText>
        </w:r>
        <w:r>
          <w:fldChar w:fldCharType="end"/>
        </w:r>
      </w:hyperlink>
    </w:p>
    <w:p>
      <w:pPr>
        <w:tabs>
          <w:tab w:val="right" w:leader="dot" w:pos="9062"/>
        </w:tabs>
        <w:ind w:left="440"/>
      </w:pPr>
      <w:hyperlink w:anchor="_Toc7050" w:history="1">
        <w:r>
          <w:rPr>
            <w:rFonts w:ascii="IRNazanin" w:hAnsi="IRNazanin" w:eastAsia="IRNazanin" w:cs="IRNazanin"/>
            <w:color w:val="111111"/>
            <w:sz w:val="22"/>
            <w:szCs w:val="22"/>
            <w:b w:val="0"/>
            <w:bCs w:val="0"/>
            <w:i w:val="0"/>
            <w:iCs w:val="0"/>
          </w:rPr>
          <w:t>6314- دیوان مجرم عظیم‏آبادی أو شعره‏</w:t>
        </w:r>
        <w:r>
          <w:tab/>
        </w:r>
        <w:r>
          <w:fldChar w:fldCharType="begin"/>
        </w:r>
        <w:r>
          <w:instrText xml:space="preserve">PAGEREF 7050 \h</w:instrText>
        </w:r>
        <w:r>
          <w:fldChar w:fldCharType="end"/>
        </w:r>
      </w:hyperlink>
    </w:p>
    <w:p>
      <w:pPr>
        <w:tabs>
          <w:tab w:val="right" w:leader="dot" w:pos="9062"/>
        </w:tabs>
        <w:ind w:left="440"/>
      </w:pPr>
      <w:hyperlink w:anchor="_Toc7051" w:history="1">
        <w:r>
          <w:rPr>
            <w:rFonts w:ascii="IRNazanin" w:hAnsi="IRNazanin" w:eastAsia="IRNazanin" w:cs="IRNazanin"/>
            <w:color w:val="111111"/>
            <w:sz w:val="22"/>
            <w:szCs w:val="22"/>
            <w:b w:val="0"/>
            <w:bCs w:val="0"/>
            <w:i w:val="0"/>
            <w:iCs w:val="0"/>
          </w:rPr>
          <w:t>6315- دیوان مجرم کشمیری أو شعره‏</w:t>
        </w:r>
        <w:r>
          <w:tab/>
        </w:r>
        <w:r>
          <w:fldChar w:fldCharType="begin"/>
        </w:r>
        <w:r>
          <w:instrText xml:space="preserve">PAGEREF 7051 \h</w:instrText>
        </w:r>
        <w:r>
          <w:fldChar w:fldCharType="end"/>
        </w:r>
      </w:hyperlink>
    </w:p>
    <w:p>
      <w:pPr>
        <w:tabs>
          <w:tab w:val="right" w:leader="dot" w:pos="9062"/>
        </w:tabs>
        <w:ind w:left="440"/>
      </w:pPr>
      <w:hyperlink w:anchor="_Toc7052" w:history="1">
        <w:r>
          <w:rPr>
            <w:rFonts w:ascii="IRNazanin" w:hAnsi="IRNazanin" w:eastAsia="IRNazanin" w:cs="IRNazanin"/>
            <w:color w:val="111111"/>
            <w:sz w:val="22"/>
            <w:szCs w:val="22"/>
            <w:b w:val="0"/>
            <w:bCs w:val="0"/>
            <w:i w:val="0"/>
            <w:iCs w:val="0"/>
          </w:rPr>
          <w:t>6316- دیوان مجرم مراغه‏ای‏</w:t>
        </w:r>
        <w:r>
          <w:tab/>
        </w:r>
        <w:r>
          <w:fldChar w:fldCharType="begin"/>
        </w:r>
        <w:r>
          <w:instrText xml:space="preserve">PAGEREF 7052 \h</w:instrText>
        </w:r>
        <w:r>
          <w:fldChar w:fldCharType="end"/>
        </w:r>
      </w:hyperlink>
    </w:p>
    <w:p>
      <w:pPr>
        <w:tabs>
          <w:tab w:val="right" w:leader="dot" w:pos="9062"/>
        </w:tabs>
        <w:ind w:left="440"/>
      </w:pPr>
      <w:hyperlink w:anchor="_Toc7053" w:history="1">
        <w:r>
          <w:rPr>
            <w:rFonts w:ascii="IRNazanin" w:hAnsi="IRNazanin" w:eastAsia="IRNazanin" w:cs="IRNazanin"/>
            <w:color w:val="111111"/>
            <w:sz w:val="22"/>
            <w:szCs w:val="22"/>
            <w:b w:val="0"/>
            <w:bCs w:val="0"/>
            <w:i w:val="0"/>
            <w:iCs w:val="0"/>
          </w:rPr>
          <w:t>دیوان مجرم ورنوسفادرانی‏</w:t>
        </w:r>
        <w:r>
          <w:tab/>
        </w:r>
        <w:r>
          <w:fldChar w:fldCharType="begin"/>
        </w:r>
        <w:r>
          <w:instrText xml:space="preserve">PAGEREF 7053 \h</w:instrText>
        </w:r>
        <w:r>
          <w:fldChar w:fldCharType="end"/>
        </w:r>
      </w:hyperlink>
    </w:p>
    <w:p>
      <w:pPr>
        <w:tabs>
          <w:tab w:val="right" w:leader="dot" w:pos="9062"/>
        </w:tabs>
        <w:ind w:left="440"/>
      </w:pPr>
      <w:hyperlink w:anchor="_Toc7054" w:history="1">
        <w:r>
          <w:rPr>
            <w:rFonts w:ascii="IRNazanin" w:hAnsi="IRNazanin" w:eastAsia="IRNazanin" w:cs="IRNazanin"/>
            <w:color w:val="111111"/>
            <w:sz w:val="22"/>
            <w:szCs w:val="22"/>
            <w:b w:val="0"/>
            <w:bCs w:val="0"/>
            <w:i w:val="0"/>
            <w:iCs w:val="0"/>
          </w:rPr>
          <w:t>6317- دیوان مجرم هروی‏</w:t>
        </w:r>
        <w:r>
          <w:tab/>
        </w:r>
        <w:r>
          <w:fldChar w:fldCharType="begin"/>
        </w:r>
        <w:r>
          <w:instrText xml:space="preserve">PAGEREF 7054 \h</w:instrText>
        </w:r>
        <w:r>
          <w:fldChar w:fldCharType="end"/>
        </w:r>
      </w:hyperlink>
    </w:p>
    <w:p>
      <w:pPr>
        <w:tabs>
          <w:tab w:val="right" w:leader="dot" w:pos="9062"/>
        </w:tabs>
        <w:ind w:left="440"/>
      </w:pPr>
      <w:hyperlink w:anchor="_Toc7055" w:history="1">
        <w:r>
          <w:rPr>
            <w:rFonts w:ascii="IRNazanin" w:hAnsi="IRNazanin" w:eastAsia="IRNazanin" w:cs="IRNazanin"/>
            <w:color w:val="111111"/>
            <w:sz w:val="22"/>
            <w:szCs w:val="22"/>
            <w:b w:val="0"/>
            <w:bCs w:val="0"/>
            <w:i w:val="0"/>
            <w:iCs w:val="0"/>
          </w:rPr>
          <w:t>6318- دیوان مجرم یزدی أو شعره‏</w:t>
        </w:r>
        <w:r>
          <w:tab/>
        </w:r>
        <w:r>
          <w:fldChar w:fldCharType="begin"/>
        </w:r>
        <w:r>
          <w:instrText xml:space="preserve">PAGEREF 7055 \h</w:instrText>
        </w:r>
        <w:r>
          <w:fldChar w:fldCharType="end"/>
        </w:r>
      </w:hyperlink>
    </w:p>
    <w:p>
      <w:pPr>
        <w:tabs>
          <w:tab w:val="right" w:leader="dot" w:pos="9062"/>
        </w:tabs>
        <w:ind w:left="440"/>
      </w:pPr>
      <w:hyperlink w:anchor="_Toc7056" w:history="1">
        <w:r>
          <w:rPr>
            <w:rFonts w:ascii="IRNazanin" w:hAnsi="IRNazanin" w:eastAsia="IRNazanin" w:cs="IRNazanin"/>
            <w:color w:val="111111"/>
            <w:sz w:val="22"/>
            <w:szCs w:val="22"/>
            <w:b w:val="0"/>
            <w:bCs w:val="0"/>
            <w:i w:val="0"/>
            <w:iCs w:val="0"/>
          </w:rPr>
          <w:t>6319- دیوان مجرمی أردبیلی‏</w:t>
        </w:r>
        <w:r>
          <w:tab/>
        </w:r>
        <w:r>
          <w:fldChar w:fldCharType="begin"/>
        </w:r>
        <w:r>
          <w:instrText xml:space="preserve">PAGEREF 7056 \h</w:instrText>
        </w:r>
        <w:r>
          <w:fldChar w:fldCharType="end"/>
        </w:r>
      </w:hyperlink>
    </w:p>
    <w:p>
      <w:pPr>
        <w:tabs>
          <w:tab w:val="right" w:leader="dot" w:pos="9062"/>
        </w:tabs>
        <w:ind w:left="440"/>
      </w:pPr>
      <w:hyperlink w:anchor="_Toc7057" w:history="1">
        <w:r>
          <w:rPr>
            <w:rFonts w:ascii="IRNazanin" w:hAnsi="IRNazanin" w:eastAsia="IRNazanin" w:cs="IRNazanin"/>
            <w:color w:val="111111"/>
            <w:sz w:val="22"/>
            <w:szCs w:val="22"/>
            <w:b w:val="0"/>
            <w:bCs w:val="0"/>
            <w:i w:val="0"/>
            <w:iCs w:val="0"/>
          </w:rPr>
          <w:t>6320- دیوان مجرمی هروی أو شعره‏</w:t>
        </w:r>
        <w:r>
          <w:tab/>
        </w:r>
        <w:r>
          <w:fldChar w:fldCharType="begin"/>
        </w:r>
        <w:r>
          <w:instrText xml:space="preserve">PAGEREF 7057 \h</w:instrText>
        </w:r>
        <w:r>
          <w:fldChar w:fldCharType="end"/>
        </w:r>
      </w:hyperlink>
    </w:p>
    <w:p>
      <w:pPr>
        <w:tabs>
          <w:tab w:val="right" w:leader="dot" w:pos="9062"/>
        </w:tabs>
        <w:ind w:left="440"/>
      </w:pPr>
      <w:hyperlink w:anchor="_Toc7058" w:history="1">
        <w:r>
          <w:rPr>
            <w:rFonts w:ascii="IRNazanin" w:hAnsi="IRNazanin" w:eastAsia="IRNazanin" w:cs="IRNazanin"/>
            <w:color w:val="111111"/>
            <w:sz w:val="22"/>
            <w:szCs w:val="22"/>
            <w:b w:val="0"/>
            <w:bCs w:val="0"/>
            <w:i w:val="0"/>
            <w:iCs w:val="0"/>
          </w:rPr>
          <w:t>6321- دیوان مجروح بنارسی أو شعره‏</w:t>
        </w:r>
        <w:r>
          <w:tab/>
        </w:r>
        <w:r>
          <w:fldChar w:fldCharType="begin"/>
        </w:r>
        <w:r>
          <w:instrText xml:space="preserve">PAGEREF 7058 \h</w:instrText>
        </w:r>
        <w:r>
          <w:fldChar w:fldCharType="end"/>
        </w:r>
      </w:hyperlink>
    </w:p>
    <w:p>
      <w:pPr>
        <w:tabs>
          <w:tab w:val="right" w:leader="dot" w:pos="9062"/>
        </w:tabs>
        <w:ind w:left="440"/>
      </w:pPr>
      <w:hyperlink w:anchor="_Toc7059" w:history="1">
        <w:r>
          <w:rPr>
            <w:rFonts w:ascii="IRNazanin" w:hAnsi="IRNazanin" w:eastAsia="IRNazanin" w:cs="IRNazanin"/>
            <w:color w:val="111111"/>
            <w:sz w:val="22"/>
            <w:szCs w:val="22"/>
            <w:b w:val="0"/>
            <w:bCs w:val="0"/>
            <w:i w:val="0"/>
            <w:iCs w:val="0"/>
          </w:rPr>
          <w:t>6322- دیوان مجروح جاجمونی أو شعره‏</w:t>
        </w:r>
        <w:r>
          <w:tab/>
        </w:r>
        <w:r>
          <w:fldChar w:fldCharType="begin"/>
        </w:r>
        <w:r>
          <w:instrText xml:space="preserve">PAGEREF 7059 \h</w:instrText>
        </w:r>
        <w:r>
          <w:fldChar w:fldCharType="end"/>
        </w:r>
      </w:hyperlink>
    </w:p>
    <w:p>
      <w:pPr>
        <w:tabs>
          <w:tab w:val="right" w:leader="dot" w:pos="9062"/>
        </w:tabs>
        <w:ind w:left="440"/>
      </w:pPr>
      <w:hyperlink w:anchor="_Toc7060" w:history="1">
        <w:r>
          <w:rPr>
            <w:rFonts w:ascii="IRNazanin" w:hAnsi="IRNazanin" w:eastAsia="IRNazanin" w:cs="IRNazanin"/>
            <w:color w:val="111111"/>
            <w:sz w:val="22"/>
            <w:szCs w:val="22"/>
            <w:b w:val="0"/>
            <w:bCs w:val="0"/>
            <w:i w:val="0"/>
            <w:iCs w:val="0"/>
          </w:rPr>
          <w:t>6323- دیوان مجروح مغانی‏</w:t>
        </w:r>
        <w:r>
          <w:tab/>
        </w:r>
        <w:r>
          <w:fldChar w:fldCharType="begin"/>
        </w:r>
        <w:r>
          <w:instrText xml:space="preserve">PAGEREF 7060 \h</w:instrText>
        </w:r>
        <w:r>
          <w:fldChar w:fldCharType="end"/>
        </w:r>
      </w:hyperlink>
    </w:p>
    <w:p>
      <w:pPr>
        <w:tabs>
          <w:tab w:val="right" w:leader="dot" w:pos="9062"/>
        </w:tabs>
        <w:ind w:left="440"/>
      </w:pPr>
      <w:hyperlink w:anchor="_Toc7061" w:history="1">
        <w:r>
          <w:rPr>
            <w:rFonts w:ascii="IRNazanin" w:hAnsi="IRNazanin" w:eastAsia="IRNazanin" w:cs="IRNazanin"/>
            <w:color w:val="111111"/>
            <w:sz w:val="22"/>
            <w:szCs w:val="22"/>
            <w:b w:val="0"/>
            <w:bCs w:val="0"/>
            <w:i w:val="0"/>
            <w:iCs w:val="0"/>
          </w:rPr>
          <w:t>6324- دیوان مجلد خراسانی أو شعره‏</w:t>
        </w:r>
        <w:r>
          <w:tab/>
        </w:r>
        <w:r>
          <w:fldChar w:fldCharType="begin"/>
        </w:r>
        <w:r>
          <w:instrText xml:space="preserve">PAGEREF 7061 \h</w:instrText>
        </w:r>
        <w:r>
          <w:fldChar w:fldCharType="end"/>
        </w:r>
      </w:hyperlink>
    </w:p>
    <w:p>
      <w:pPr>
        <w:tabs>
          <w:tab w:val="right" w:leader="dot" w:pos="9062"/>
        </w:tabs>
        <w:ind w:left="440"/>
      </w:pPr>
      <w:hyperlink w:anchor="_Toc7062" w:history="1">
        <w:r>
          <w:rPr>
            <w:rFonts w:ascii="IRNazanin" w:hAnsi="IRNazanin" w:eastAsia="IRNazanin" w:cs="IRNazanin"/>
            <w:color w:val="111111"/>
            <w:sz w:val="22"/>
            <w:szCs w:val="22"/>
            <w:b w:val="0"/>
            <w:bCs w:val="0"/>
            <w:i w:val="0"/>
            <w:iCs w:val="0"/>
          </w:rPr>
          <w:t>6325- دیوان مجلسی أصفهانی أو شعره‏</w:t>
        </w:r>
        <w:r>
          <w:tab/>
        </w:r>
        <w:r>
          <w:fldChar w:fldCharType="begin"/>
        </w:r>
        <w:r>
          <w:instrText xml:space="preserve">PAGEREF 7062 \h</w:instrText>
        </w:r>
        <w:r>
          <w:fldChar w:fldCharType="end"/>
        </w:r>
      </w:hyperlink>
    </w:p>
    <w:p>
      <w:pPr>
        <w:tabs>
          <w:tab w:val="right" w:leader="dot" w:pos="9062"/>
        </w:tabs>
        <w:ind w:left="440"/>
      </w:pPr>
      <w:hyperlink w:anchor="_Toc7063" w:history="1">
        <w:r>
          <w:rPr>
            <w:rFonts w:ascii="IRNazanin" w:hAnsi="IRNazanin" w:eastAsia="IRNazanin" w:cs="IRNazanin"/>
            <w:color w:val="111111"/>
            <w:sz w:val="22"/>
            <w:szCs w:val="22"/>
            <w:b w:val="0"/>
            <w:bCs w:val="0"/>
            <w:i w:val="0"/>
            <w:iCs w:val="0"/>
          </w:rPr>
          <w:t>دیوان مجلسی أصفهانی أو شعره‏</w:t>
        </w:r>
        <w:r>
          <w:tab/>
        </w:r>
        <w:r>
          <w:fldChar w:fldCharType="begin"/>
        </w:r>
        <w:r>
          <w:instrText xml:space="preserve">PAGEREF 7063 \h</w:instrText>
        </w:r>
        <w:r>
          <w:fldChar w:fldCharType="end"/>
        </w:r>
      </w:hyperlink>
    </w:p>
    <w:p>
      <w:pPr>
        <w:tabs>
          <w:tab w:val="right" w:leader="dot" w:pos="9062"/>
        </w:tabs>
        <w:ind w:left="440"/>
      </w:pPr>
      <w:hyperlink w:anchor="_Toc7064" w:history="1">
        <w:r>
          <w:rPr>
            <w:rFonts w:ascii="IRNazanin" w:hAnsi="IRNazanin" w:eastAsia="IRNazanin" w:cs="IRNazanin"/>
            <w:color w:val="111111"/>
            <w:sz w:val="22"/>
            <w:szCs w:val="22"/>
            <w:b w:val="0"/>
            <w:bCs w:val="0"/>
            <w:i w:val="0"/>
            <w:iCs w:val="0"/>
          </w:rPr>
          <w:t>دیوان مجلسی خراسانی أو شعره‏</w:t>
        </w:r>
        <w:r>
          <w:tab/>
        </w:r>
        <w:r>
          <w:fldChar w:fldCharType="begin"/>
        </w:r>
        <w:r>
          <w:instrText xml:space="preserve">PAGEREF 7064 \h</w:instrText>
        </w:r>
        <w:r>
          <w:fldChar w:fldCharType="end"/>
        </w:r>
      </w:hyperlink>
    </w:p>
    <w:p>
      <w:pPr>
        <w:tabs>
          <w:tab w:val="right" w:leader="dot" w:pos="9062"/>
        </w:tabs>
        <w:ind w:left="440"/>
      </w:pPr>
      <w:hyperlink w:anchor="_Toc7065" w:history="1">
        <w:r>
          <w:rPr>
            <w:rFonts w:ascii="IRNazanin" w:hAnsi="IRNazanin" w:eastAsia="IRNazanin" w:cs="IRNazanin"/>
            <w:color w:val="111111"/>
            <w:sz w:val="22"/>
            <w:szCs w:val="22"/>
            <w:b w:val="0"/>
            <w:bCs w:val="0"/>
            <w:i w:val="0"/>
            <w:iCs w:val="0"/>
          </w:rPr>
          <w:t>دیوان مجلسی هروی‏</w:t>
        </w:r>
        <w:r>
          <w:tab/>
        </w:r>
        <w:r>
          <w:fldChar w:fldCharType="begin"/>
        </w:r>
        <w:r>
          <w:instrText xml:space="preserve">PAGEREF 7065 \h</w:instrText>
        </w:r>
        <w:r>
          <w:fldChar w:fldCharType="end"/>
        </w:r>
      </w:hyperlink>
    </w:p>
    <w:p>
      <w:pPr>
        <w:tabs>
          <w:tab w:val="right" w:leader="dot" w:pos="9062"/>
        </w:tabs>
        <w:ind w:left="440"/>
      </w:pPr>
      <w:hyperlink w:anchor="_Toc7066" w:history="1">
        <w:r>
          <w:rPr>
            <w:rFonts w:ascii="IRNazanin" w:hAnsi="IRNazanin" w:eastAsia="IRNazanin" w:cs="IRNazanin"/>
            <w:color w:val="111111"/>
            <w:sz w:val="22"/>
            <w:szCs w:val="22"/>
            <w:b w:val="0"/>
            <w:bCs w:val="0"/>
            <w:i w:val="0"/>
            <w:iCs w:val="0"/>
          </w:rPr>
          <w:t>6326- دیوان مجمر أصفهانی‏</w:t>
        </w:r>
        <w:r>
          <w:tab/>
        </w:r>
        <w:r>
          <w:fldChar w:fldCharType="begin"/>
        </w:r>
        <w:r>
          <w:instrText xml:space="preserve">PAGEREF 7066 \h</w:instrText>
        </w:r>
        <w:r>
          <w:fldChar w:fldCharType="end"/>
        </w:r>
      </w:hyperlink>
    </w:p>
    <w:p>
      <w:pPr>
        <w:tabs>
          <w:tab w:val="right" w:leader="dot" w:pos="9062"/>
        </w:tabs>
        <w:ind w:left="440"/>
      </w:pPr>
      <w:hyperlink w:anchor="_Toc7067" w:history="1">
        <w:r>
          <w:rPr>
            <w:rFonts w:ascii="IRNazanin" w:hAnsi="IRNazanin" w:eastAsia="IRNazanin" w:cs="IRNazanin"/>
            <w:color w:val="111111"/>
            <w:sz w:val="22"/>
            <w:szCs w:val="22"/>
            <w:b w:val="0"/>
            <w:bCs w:val="0"/>
            <w:i w:val="0"/>
            <w:iCs w:val="0"/>
          </w:rPr>
          <w:t>6327- دیوان مجمر شتربانی التبریزی‏</w:t>
        </w:r>
        <w:r>
          <w:tab/>
        </w:r>
        <w:r>
          <w:fldChar w:fldCharType="begin"/>
        </w:r>
        <w:r>
          <w:instrText xml:space="preserve">PAGEREF 7067 \h</w:instrText>
        </w:r>
        <w:r>
          <w:fldChar w:fldCharType="end"/>
        </w:r>
      </w:hyperlink>
    </w:p>
    <w:p>
      <w:pPr>
        <w:tabs>
          <w:tab w:val="right" w:leader="dot" w:pos="9062"/>
        </w:tabs>
        <w:ind w:left="440"/>
      </w:pPr>
      <w:hyperlink w:anchor="_Toc7068" w:history="1">
        <w:r>
          <w:rPr>
            <w:rFonts w:ascii="IRNazanin" w:hAnsi="IRNazanin" w:eastAsia="IRNazanin" w:cs="IRNazanin"/>
            <w:color w:val="111111"/>
            <w:sz w:val="22"/>
            <w:szCs w:val="22"/>
            <w:b w:val="0"/>
            <w:bCs w:val="0"/>
            <w:i w:val="0"/>
            <w:iCs w:val="0"/>
          </w:rPr>
          <w:t>6328- دیوان مجمع‏</w:t>
        </w:r>
        <w:r>
          <w:tab/>
        </w:r>
        <w:r>
          <w:fldChar w:fldCharType="begin"/>
        </w:r>
        <w:r>
          <w:instrText xml:space="preserve">PAGEREF 7068 \h</w:instrText>
        </w:r>
        <w:r>
          <w:fldChar w:fldCharType="end"/>
        </w:r>
      </w:hyperlink>
    </w:p>
    <w:p>
      <w:pPr>
        <w:tabs>
          <w:tab w:val="right" w:leader="dot" w:pos="9062"/>
        </w:tabs>
        <w:ind w:left="440"/>
      </w:pPr>
      <w:hyperlink w:anchor="_Toc7069" w:history="1">
        <w:r>
          <w:rPr>
            <w:rFonts w:ascii="IRNazanin" w:hAnsi="IRNazanin" w:eastAsia="IRNazanin" w:cs="IRNazanin"/>
            <w:color w:val="111111"/>
            <w:sz w:val="22"/>
            <w:szCs w:val="22"/>
            <w:b w:val="0"/>
            <w:bCs w:val="0"/>
            <w:i w:val="0"/>
            <w:iCs w:val="0"/>
          </w:rPr>
          <w:t>6329- دیوان مجنون أصفهانی‏</w:t>
        </w:r>
        <w:r>
          <w:tab/>
        </w:r>
        <w:r>
          <w:fldChar w:fldCharType="begin"/>
        </w:r>
        <w:r>
          <w:instrText xml:space="preserve">PAGEREF 7069 \h</w:instrText>
        </w:r>
        <w:r>
          <w:fldChar w:fldCharType="end"/>
        </w:r>
      </w:hyperlink>
    </w:p>
    <w:p>
      <w:pPr>
        <w:tabs>
          <w:tab w:val="right" w:leader="dot" w:pos="9062"/>
        </w:tabs>
        <w:ind w:left="440"/>
      </w:pPr>
      <w:hyperlink w:anchor="_Toc7070" w:history="1">
        <w:r>
          <w:rPr>
            <w:rFonts w:ascii="IRNazanin" w:hAnsi="IRNazanin" w:eastAsia="IRNazanin" w:cs="IRNazanin"/>
            <w:color w:val="111111"/>
            <w:sz w:val="22"/>
            <w:szCs w:val="22"/>
            <w:b w:val="0"/>
            <w:bCs w:val="0"/>
            <w:i w:val="0"/>
            <w:iCs w:val="0"/>
          </w:rPr>
          <w:t>6330- دیوان مجنون تبریزی أو شعره‏</w:t>
        </w:r>
        <w:r>
          <w:tab/>
        </w:r>
        <w:r>
          <w:fldChar w:fldCharType="begin"/>
        </w:r>
        <w:r>
          <w:instrText xml:space="preserve">PAGEREF 7070 \h</w:instrText>
        </w:r>
        <w:r>
          <w:fldChar w:fldCharType="end"/>
        </w:r>
      </w:hyperlink>
    </w:p>
    <w:p>
      <w:pPr>
        <w:tabs>
          <w:tab w:val="right" w:leader="dot" w:pos="9062"/>
        </w:tabs>
        <w:ind w:left="440"/>
      </w:pPr>
      <w:hyperlink w:anchor="_Toc7071" w:history="1">
        <w:r>
          <w:rPr>
            <w:rFonts w:ascii="IRNazanin" w:hAnsi="IRNazanin" w:eastAsia="IRNazanin" w:cs="IRNazanin"/>
            <w:color w:val="111111"/>
            <w:sz w:val="22"/>
            <w:szCs w:val="22"/>
            <w:b w:val="0"/>
            <w:bCs w:val="0"/>
            <w:i w:val="0"/>
            <w:iCs w:val="0"/>
          </w:rPr>
          <w:t>6331- دیوان مجنون تویسرکانی‏</w:t>
        </w:r>
        <w:r>
          <w:tab/>
        </w:r>
        <w:r>
          <w:fldChar w:fldCharType="begin"/>
        </w:r>
        <w:r>
          <w:instrText xml:space="preserve">PAGEREF 7071 \h</w:instrText>
        </w:r>
        <w:r>
          <w:fldChar w:fldCharType="end"/>
        </w:r>
      </w:hyperlink>
    </w:p>
    <w:p>
      <w:pPr>
        <w:tabs>
          <w:tab w:val="right" w:leader="dot" w:pos="9062"/>
        </w:tabs>
        <w:ind w:left="440"/>
      </w:pPr>
      <w:hyperlink w:anchor="_Toc7072" w:history="1">
        <w:r>
          <w:rPr>
            <w:rFonts w:ascii="IRNazanin" w:hAnsi="IRNazanin" w:eastAsia="IRNazanin" w:cs="IRNazanin"/>
            <w:color w:val="111111"/>
            <w:sz w:val="22"/>
            <w:szCs w:val="22"/>
            <w:b w:val="0"/>
            <w:bCs w:val="0"/>
            <w:i w:val="0"/>
            <w:iCs w:val="0"/>
          </w:rPr>
          <w:t>6332- دیوان مجنون تهرانی أو شعره‏</w:t>
        </w:r>
        <w:r>
          <w:tab/>
        </w:r>
        <w:r>
          <w:fldChar w:fldCharType="begin"/>
        </w:r>
        <w:r>
          <w:instrText xml:space="preserve">PAGEREF 7072 \h</w:instrText>
        </w:r>
        <w:r>
          <w:fldChar w:fldCharType="end"/>
        </w:r>
      </w:hyperlink>
    </w:p>
    <w:p>
      <w:pPr>
        <w:tabs>
          <w:tab w:val="right" w:leader="dot" w:pos="9062"/>
        </w:tabs>
        <w:ind w:left="440"/>
      </w:pPr>
      <w:hyperlink w:anchor="_Toc7073" w:history="1">
        <w:r>
          <w:rPr>
            <w:rFonts w:ascii="IRNazanin" w:hAnsi="IRNazanin" w:eastAsia="IRNazanin" w:cs="IRNazanin"/>
            <w:color w:val="111111"/>
            <w:sz w:val="22"/>
            <w:szCs w:val="22"/>
            <w:b w:val="0"/>
            <w:bCs w:val="0"/>
            <w:i w:val="0"/>
            <w:iCs w:val="0"/>
          </w:rPr>
          <w:t>دیوان مجنون جندقی‏</w:t>
        </w:r>
        <w:r>
          <w:tab/>
        </w:r>
        <w:r>
          <w:fldChar w:fldCharType="begin"/>
        </w:r>
        <w:r>
          <w:instrText xml:space="preserve">PAGEREF 7073 \h</w:instrText>
        </w:r>
        <w:r>
          <w:fldChar w:fldCharType="end"/>
        </w:r>
      </w:hyperlink>
    </w:p>
    <w:p>
      <w:pPr>
        <w:tabs>
          <w:tab w:val="right" w:leader="dot" w:pos="9062"/>
        </w:tabs>
        <w:ind w:left="440"/>
      </w:pPr>
      <w:hyperlink w:anchor="_Toc7074" w:history="1">
        <w:r>
          <w:rPr>
            <w:rFonts w:ascii="IRNazanin" w:hAnsi="IRNazanin" w:eastAsia="IRNazanin" w:cs="IRNazanin"/>
            <w:color w:val="111111"/>
            <w:sz w:val="22"/>
            <w:szCs w:val="22"/>
            <w:b w:val="0"/>
            <w:bCs w:val="0"/>
            <w:i w:val="0"/>
            <w:iCs w:val="0"/>
          </w:rPr>
          <w:t>6333- دیوان مجنون چپ نویس المشهدی‏</w:t>
        </w:r>
        <w:r>
          <w:tab/>
        </w:r>
        <w:r>
          <w:fldChar w:fldCharType="begin"/>
        </w:r>
        <w:r>
          <w:instrText xml:space="preserve">PAGEREF 7074 \h</w:instrText>
        </w:r>
        <w:r>
          <w:fldChar w:fldCharType="end"/>
        </w:r>
      </w:hyperlink>
    </w:p>
    <w:p>
      <w:pPr>
        <w:tabs>
          <w:tab w:val="right" w:leader="dot" w:pos="9062"/>
        </w:tabs>
        <w:ind w:left="440"/>
      </w:pPr>
      <w:hyperlink w:anchor="_Toc7075" w:history="1">
        <w:r>
          <w:rPr>
            <w:rFonts w:ascii="IRNazanin" w:hAnsi="IRNazanin" w:eastAsia="IRNazanin" w:cs="IRNazanin"/>
            <w:color w:val="111111"/>
            <w:sz w:val="22"/>
            <w:szCs w:val="22"/>
            <w:b w:val="0"/>
            <w:bCs w:val="0"/>
            <w:i w:val="0"/>
            <w:iCs w:val="0"/>
          </w:rPr>
          <w:t>6334- دیوان مجنون سمرقندی أو شعره‏</w:t>
        </w:r>
        <w:r>
          <w:tab/>
        </w:r>
        <w:r>
          <w:fldChar w:fldCharType="begin"/>
        </w:r>
        <w:r>
          <w:instrText xml:space="preserve">PAGEREF 7075 \h</w:instrText>
        </w:r>
        <w:r>
          <w:fldChar w:fldCharType="end"/>
        </w:r>
      </w:hyperlink>
    </w:p>
    <w:p>
      <w:pPr>
        <w:tabs>
          <w:tab w:val="right" w:leader="dot" w:pos="9062"/>
        </w:tabs>
        <w:ind w:left="440"/>
      </w:pPr>
      <w:hyperlink w:anchor="_Toc7076" w:history="1">
        <w:r>
          <w:rPr>
            <w:rFonts w:ascii="IRNazanin" w:hAnsi="IRNazanin" w:eastAsia="IRNazanin" w:cs="IRNazanin"/>
            <w:color w:val="111111"/>
            <w:sz w:val="22"/>
            <w:szCs w:val="22"/>
            <w:b w:val="0"/>
            <w:bCs w:val="0"/>
            <w:i w:val="0"/>
            <w:iCs w:val="0"/>
          </w:rPr>
          <w:t>دیوان مجنون شاه‏</w:t>
        </w:r>
        <w:r>
          <w:tab/>
        </w:r>
        <w:r>
          <w:fldChar w:fldCharType="begin"/>
        </w:r>
        <w:r>
          <w:instrText xml:space="preserve">PAGEREF 7076 \h</w:instrText>
        </w:r>
        <w:r>
          <w:fldChar w:fldCharType="end"/>
        </w:r>
      </w:hyperlink>
    </w:p>
    <w:p>
      <w:pPr>
        <w:tabs>
          <w:tab w:val="right" w:leader="dot" w:pos="9062"/>
        </w:tabs>
        <w:ind w:left="440"/>
      </w:pPr>
      <w:hyperlink w:anchor="_Toc7077" w:history="1">
        <w:r>
          <w:rPr>
            <w:rFonts w:ascii="IRNazanin" w:hAnsi="IRNazanin" w:eastAsia="IRNazanin" w:cs="IRNazanin"/>
            <w:color w:val="111111"/>
            <w:sz w:val="22"/>
            <w:szCs w:val="22"/>
            <w:b w:val="0"/>
            <w:bCs w:val="0"/>
            <w:i w:val="0"/>
            <w:iCs w:val="0"/>
          </w:rPr>
          <w:t>6335- دیوان مجنون عامری‏</w:t>
        </w:r>
        <w:r>
          <w:tab/>
        </w:r>
        <w:r>
          <w:fldChar w:fldCharType="begin"/>
        </w:r>
        <w:r>
          <w:instrText xml:space="preserve">PAGEREF 7077 \h</w:instrText>
        </w:r>
        <w:r>
          <w:fldChar w:fldCharType="end"/>
        </w:r>
      </w:hyperlink>
    </w:p>
    <w:p>
      <w:pPr>
        <w:tabs>
          <w:tab w:val="right" w:leader="dot" w:pos="9062"/>
        </w:tabs>
        <w:ind w:left="440"/>
      </w:pPr>
      <w:hyperlink w:anchor="_Toc7078" w:history="1">
        <w:r>
          <w:rPr>
            <w:rFonts w:ascii="IRNazanin" w:hAnsi="IRNazanin" w:eastAsia="IRNazanin" w:cs="IRNazanin"/>
            <w:color w:val="111111"/>
            <w:sz w:val="22"/>
            <w:szCs w:val="22"/>
            <w:b w:val="0"/>
            <w:bCs w:val="0"/>
            <w:i w:val="0"/>
            <w:iCs w:val="0"/>
          </w:rPr>
          <w:t>دیوان مجنون علی شاه‏</w:t>
        </w:r>
        <w:r>
          <w:tab/>
        </w:r>
        <w:r>
          <w:fldChar w:fldCharType="begin"/>
        </w:r>
        <w:r>
          <w:instrText xml:space="preserve">PAGEREF 7078 \h</w:instrText>
        </w:r>
        <w:r>
          <w:fldChar w:fldCharType="end"/>
        </w:r>
      </w:hyperlink>
    </w:p>
    <w:p>
      <w:pPr>
        <w:tabs>
          <w:tab w:val="right" w:leader="dot" w:pos="9062"/>
        </w:tabs>
        <w:ind w:left="440"/>
      </w:pPr>
      <w:hyperlink w:anchor="_Toc7079" w:history="1">
        <w:r>
          <w:rPr>
            <w:rFonts w:ascii="IRNazanin" w:hAnsi="IRNazanin" w:eastAsia="IRNazanin" w:cs="IRNazanin"/>
            <w:color w:val="111111"/>
            <w:sz w:val="22"/>
            <w:szCs w:val="22"/>
            <w:b w:val="0"/>
            <w:bCs w:val="0"/>
            <w:i w:val="0"/>
            <w:iCs w:val="0"/>
          </w:rPr>
          <w:t>6336- دیوان مجنون فارسی أو شعره‏</w:t>
        </w:r>
        <w:r>
          <w:tab/>
        </w:r>
        <w:r>
          <w:fldChar w:fldCharType="begin"/>
        </w:r>
        <w:r>
          <w:instrText xml:space="preserve">PAGEREF 7079 \h</w:instrText>
        </w:r>
        <w:r>
          <w:fldChar w:fldCharType="end"/>
        </w:r>
      </w:hyperlink>
    </w:p>
    <w:p>
      <w:pPr>
        <w:tabs>
          <w:tab w:val="right" w:leader="dot" w:pos="9062"/>
        </w:tabs>
        <w:ind w:left="440"/>
      </w:pPr>
      <w:hyperlink w:anchor="_Toc7080" w:history="1">
        <w:r>
          <w:rPr>
            <w:rFonts w:ascii="IRNazanin" w:hAnsi="IRNazanin" w:eastAsia="IRNazanin" w:cs="IRNazanin"/>
            <w:color w:val="111111"/>
            <w:sz w:val="22"/>
            <w:szCs w:val="22"/>
            <w:b w:val="0"/>
            <w:bCs w:val="0"/>
            <w:i w:val="0"/>
            <w:iCs w:val="0"/>
          </w:rPr>
          <w:t>6337- دیوان مجنون کشمیری أو شعره‏</w:t>
        </w:r>
        <w:r>
          <w:tab/>
        </w:r>
        <w:r>
          <w:fldChar w:fldCharType="begin"/>
        </w:r>
        <w:r>
          <w:instrText xml:space="preserve">PAGEREF 7080 \h</w:instrText>
        </w:r>
        <w:r>
          <w:fldChar w:fldCharType="end"/>
        </w:r>
      </w:hyperlink>
    </w:p>
    <w:p>
      <w:pPr>
        <w:tabs>
          <w:tab w:val="right" w:leader="dot" w:pos="9062"/>
        </w:tabs>
        <w:ind w:left="440"/>
      </w:pPr>
      <w:hyperlink w:anchor="_Toc7081" w:history="1">
        <w:r>
          <w:rPr>
            <w:rFonts w:ascii="IRNazanin" w:hAnsi="IRNazanin" w:eastAsia="IRNazanin" w:cs="IRNazanin"/>
            <w:color w:val="111111"/>
            <w:sz w:val="22"/>
            <w:szCs w:val="22"/>
            <w:b w:val="0"/>
            <w:bCs w:val="0"/>
            <w:i w:val="0"/>
            <w:iCs w:val="0"/>
          </w:rPr>
          <w:t>دیوان مجنون لیلی‏</w:t>
        </w:r>
        <w:r>
          <w:tab/>
        </w:r>
        <w:r>
          <w:fldChar w:fldCharType="begin"/>
        </w:r>
        <w:r>
          <w:instrText xml:space="preserve">PAGEREF 7081 \h</w:instrText>
        </w:r>
        <w:r>
          <w:fldChar w:fldCharType="end"/>
        </w:r>
      </w:hyperlink>
    </w:p>
    <w:p>
      <w:pPr>
        <w:tabs>
          <w:tab w:val="right" w:leader="dot" w:pos="9062"/>
        </w:tabs>
        <w:ind w:left="440"/>
      </w:pPr>
      <w:hyperlink w:anchor="_Toc7082" w:history="1">
        <w:r>
          <w:rPr>
            <w:rFonts w:ascii="IRNazanin" w:hAnsi="IRNazanin" w:eastAsia="IRNazanin" w:cs="IRNazanin"/>
            <w:color w:val="111111"/>
            <w:sz w:val="22"/>
            <w:szCs w:val="22"/>
            <w:b w:val="0"/>
            <w:bCs w:val="0"/>
            <w:i w:val="0"/>
            <w:iCs w:val="0"/>
          </w:rPr>
          <w:t>6338- دیوان مجنون مراغه‏ای‏</w:t>
        </w:r>
        <w:r>
          <w:tab/>
        </w:r>
        <w:r>
          <w:fldChar w:fldCharType="begin"/>
        </w:r>
        <w:r>
          <w:instrText xml:space="preserve">PAGEREF 7082 \h</w:instrText>
        </w:r>
        <w:r>
          <w:fldChar w:fldCharType="end"/>
        </w:r>
      </w:hyperlink>
    </w:p>
    <w:p>
      <w:pPr>
        <w:tabs>
          <w:tab w:val="right" w:leader="dot" w:pos="9062"/>
        </w:tabs>
        <w:ind w:left="440"/>
      </w:pPr>
      <w:hyperlink w:anchor="_Toc7083" w:history="1">
        <w:r>
          <w:rPr>
            <w:rFonts w:ascii="IRNazanin" w:hAnsi="IRNazanin" w:eastAsia="IRNazanin" w:cs="IRNazanin"/>
            <w:color w:val="111111"/>
            <w:sz w:val="22"/>
            <w:szCs w:val="22"/>
            <w:b w:val="0"/>
            <w:bCs w:val="0"/>
            <w:i w:val="0"/>
            <w:iCs w:val="0"/>
          </w:rPr>
          <w:t>دیوان مجنون مشهدی‏</w:t>
        </w:r>
        <w:r>
          <w:tab/>
        </w:r>
        <w:r>
          <w:fldChar w:fldCharType="begin"/>
        </w:r>
        <w:r>
          <w:instrText xml:space="preserve">PAGEREF 7083 \h</w:instrText>
        </w:r>
        <w:r>
          <w:fldChar w:fldCharType="end"/>
        </w:r>
      </w:hyperlink>
    </w:p>
    <w:p>
      <w:pPr>
        <w:tabs>
          <w:tab w:val="right" w:leader="dot" w:pos="9062"/>
        </w:tabs>
        <w:ind w:left="440"/>
      </w:pPr>
      <w:hyperlink w:anchor="_Toc7084" w:history="1">
        <w:r>
          <w:rPr>
            <w:rFonts w:ascii="IRNazanin" w:hAnsi="IRNazanin" w:eastAsia="IRNazanin" w:cs="IRNazanin"/>
            <w:color w:val="111111"/>
            <w:sz w:val="22"/>
            <w:szCs w:val="22"/>
            <w:b w:val="0"/>
            <w:bCs w:val="0"/>
            <w:i w:val="0"/>
            <w:iCs w:val="0"/>
          </w:rPr>
          <w:t>6339- دیوان مجنون یزدی‏</w:t>
        </w:r>
        <w:r>
          <w:tab/>
        </w:r>
        <w:r>
          <w:fldChar w:fldCharType="begin"/>
        </w:r>
        <w:r>
          <w:instrText xml:space="preserve">PAGEREF 7084 \h</w:instrText>
        </w:r>
        <w:r>
          <w:fldChar w:fldCharType="end"/>
        </w:r>
      </w:hyperlink>
    </w:p>
    <w:p>
      <w:pPr>
        <w:tabs>
          <w:tab w:val="right" w:leader="dot" w:pos="9062"/>
        </w:tabs>
        <w:ind w:left="440"/>
      </w:pPr>
      <w:hyperlink w:anchor="_Toc7085" w:history="1">
        <w:r>
          <w:rPr>
            <w:rFonts w:ascii="IRNazanin" w:hAnsi="IRNazanin" w:eastAsia="IRNazanin" w:cs="IRNazanin"/>
            <w:color w:val="111111"/>
            <w:sz w:val="22"/>
            <w:szCs w:val="22"/>
            <w:b w:val="0"/>
            <w:bCs w:val="0"/>
            <w:i w:val="0"/>
            <w:iCs w:val="0"/>
          </w:rPr>
          <w:t>6340- دیوان مجنونی بلخی أو شعره‏</w:t>
        </w:r>
        <w:r>
          <w:tab/>
        </w:r>
        <w:r>
          <w:fldChar w:fldCharType="begin"/>
        </w:r>
        <w:r>
          <w:instrText xml:space="preserve">PAGEREF 7085 \h</w:instrText>
        </w:r>
        <w:r>
          <w:fldChar w:fldCharType="end"/>
        </w:r>
      </w:hyperlink>
    </w:p>
    <w:p>
      <w:pPr>
        <w:tabs>
          <w:tab w:val="right" w:leader="dot" w:pos="9062"/>
        </w:tabs>
        <w:ind w:left="440"/>
      </w:pPr>
      <w:hyperlink w:anchor="_Toc7086" w:history="1">
        <w:r>
          <w:rPr>
            <w:rFonts w:ascii="IRNazanin" w:hAnsi="IRNazanin" w:eastAsia="IRNazanin" w:cs="IRNazanin"/>
            <w:color w:val="111111"/>
            <w:sz w:val="22"/>
            <w:szCs w:val="22"/>
            <w:b w:val="0"/>
            <w:bCs w:val="0"/>
            <w:i w:val="0"/>
            <w:iCs w:val="0"/>
          </w:rPr>
          <w:t>6341- دیوان مجیبی بهبهانی أو شعره‏</w:t>
        </w:r>
        <w:r>
          <w:tab/>
        </w:r>
        <w:r>
          <w:fldChar w:fldCharType="begin"/>
        </w:r>
        <w:r>
          <w:instrText xml:space="preserve">PAGEREF 7086 \h</w:instrText>
        </w:r>
        <w:r>
          <w:fldChar w:fldCharType="end"/>
        </w:r>
      </w:hyperlink>
    </w:p>
    <w:p>
      <w:pPr>
        <w:tabs>
          <w:tab w:val="right" w:leader="dot" w:pos="9062"/>
        </w:tabs>
        <w:ind w:left="440"/>
      </w:pPr>
      <w:hyperlink w:anchor="_Toc7087" w:history="1">
        <w:r>
          <w:rPr>
            <w:rFonts w:ascii="IRNazanin" w:hAnsi="IRNazanin" w:eastAsia="IRNazanin" w:cs="IRNazanin"/>
            <w:color w:val="111111"/>
            <w:sz w:val="22"/>
            <w:szCs w:val="22"/>
            <w:b w:val="0"/>
            <w:bCs w:val="0"/>
            <w:i w:val="0"/>
            <w:iCs w:val="0"/>
          </w:rPr>
          <w:t>6342- دیوان مجیبی شیرازی أو شعره‏</w:t>
        </w:r>
        <w:r>
          <w:tab/>
        </w:r>
        <w:r>
          <w:fldChar w:fldCharType="begin"/>
        </w:r>
        <w:r>
          <w:instrText xml:space="preserve">PAGEREF 7087 \h</w:instrText>
        </w:r>
        <w:r>
          <w:fldChar w:fldCharType="end"/>
        </w:r>
      </w:hyperlink>
    </w:p>
    <w:p>
      <w:pPr>
        <w:tabs>
          <w:tab w:val="right" w:leader="dot" w:pos="9062"/>
        </w:tabs>
        <w:ind w:left="440"/>
      </w:pPr>
      <w:hyperlink w:anchor="_Toc7088" w:history="1">
        <w:r>
          <w:rPr>
            <w:rFonts w:ascii="IRNazanin" w:hAnsi="IRNazanin" w:eastAsia="IRNazanin" w:cs="IRNazanin"/>
            <w:color w:val="111111"/>
            <w:sz w:val="22"/>
            <w:szCs w:val="22"/>
            <w:b w:val="0"/>
            <w:bCs w:val="0"/>
            <w:i w:val="0"/>
            <w:iCs w:val="0"/>
          </w:rPr>
          <w:t>6343- دیوان مجید أصفهانی أو شعره‏</w:t>
        </w:r>
        <w:r>
          <w:tab/>
        </w:r>
        <w:r>
          <w:fldChar w:fldCharType="begin"/>
        </w:r>
        <w:r>
          <w:instrText xml:space="preserve">PAGEREF 7088 \h</w:instrText>
        </w:r>
        <w:r>
          <w:fldChar w:fldCharType="end"/>
        </w:r>
      </w:hyperlink>
    </w:p>
    <w:p>
      <w:pPr>
        <w:tabs>
          <w:tab w:val="right" w:leader="dot" w:pos="9062"/>
        </w:tabs>
        <w:ind w:left="440"/>
      </w:pPr>
      <w:hyperlink w:anchor="_Toc7089" w:history="1">
        <w:r>
          <w:rPr>
            <w:rFonts w:ascii="IRNazanin" w:hAnsi="IRNazanin" w:eastAsia="IRNazanin" w:cs="IRNazanin"/>
            <w:color w:val="111111"/>
            <w:sz w:val="22"/>
            <w:szCs w:val="22"/>
            <w:b w:val="0"/>
            <w:bCs w:val="0"/>
            <w:i w:val="0"/>
            <w:iCs w:val="0"/>
          </w:rPr>
          <w:t>6344- دیوان مجید شوشتری أو شعره‏</w:t>
        </w:r>
        <w:r>
          <w:tab/>
        </w:r>
        <w:r>
          <w:fldChar w:fldCharType="begin"/>
        </w:r>
        <w:r>
          <w:instrText xml:space="preserve">PAGEREF 7089 \h</w:instrText>
        </w:r>
        <w:r>
          <w:fldChar w:fldCharType="end"/>
        </w:r>
      </w:hyperlink>
    </w:p>
    <w:p>
      <w:pPr>
        <w:tabs>
          <w:tab w:val="right" w:leader="dot" w:pos="9062"/>
        </w:tabs>
        <w:ind w:left="440"/>
      </w:pPr>
      <w:hyperlink w:anchor="_Toc7090" w:history="1">
        <w:r>
          <w:rPr>
            <w:rFonts w:ascii="IRNazanin" w:hAnsi="IRNazanin" w:eastAsia="IRNazanin" w:cs="IRNazanin"/>
            <w:color w:val="111111"/>
            <w:sz w:val="22"/>
            <w:szCs w:val="22"/>
            <w:b w:val="0"/>
            <w:bCs w:val="0"/>
            <w:i w:val="0"/>
            <w:iCs w:val="0"/>
          </w:rPr>
          <w:t>6345- دیوان مجید شیرازی أو شعره‏</w:t>
        </w:r>
        <w:r>
          <w:tab/>
        </w:r>
        <w:r>
          <w:fldChar w:fldCharType="begin"/>
        </w:r>
        <w:r>
          <w:instrText xml:space="preserve">PAGEREF 7090 \h</w:instrText>
        </w:r>
        <w:r>
          <w:fldChar w:fldCharType="end"/>
        </w:r>
      </w:hyperlink>
    </w:p>
    <w:p>
      <w:pPr>
        <w:tabs>
          <w:tab w:val="right" w:leader="dot" w:pos="9062"/>
        </w:tabs>
        <w:ind w:left="440"/>
      </w:pPr>
      <w:hyperlink w:anchor="_Toc7091" w:history="1">
        <w:r>
          <w:rPr>
            <w:rFonts w:ascii="IRNazanin" w:hAnsi="IRNazanin" w:eastAsia="IRNazanin" w:cs="IRNazanin"/>
            <w:color w:val="111111"/>
            <w:sz w:val="22"/>
            <w:szCs w:val="22"/>
            <w:b w:val="0"/>
            <w:bCs w:val="0"/>
            <w:i w:val="0"/>
            <w:iCs w:val="0"/>
          </w:rPr>
          <w:t>دیوان مجید طالقانی‏</w:t>
        </w:r>
        <w:r>
          <w:tab/>
        </w:r>
        <w:r>
          <w:fldChar w:fldCharType="begin"/>
        </w:r>
        <w:r>
          <w:instrText xml:space="preserve">PAGEREF 7091 \h</w:instrText>
        </w:r>
        <w:r>
          <w:fldChar w:fldCharType="end"/>
        </w:r>
      </w:hyperlink>
    </w:p>
    <w:p>
      <w:pPr>
        <w:tabs>
          <w:tab w:val="right" w:leader="dot" w:pos="9062"/>
        </w:tabs>
        <w:ind w:left="440"/>
      </w:pPr>
      <w:hyperlink w:anchor="_Toc7092" w:history="1">
        <w:r>
          <w:rPr>
            <w:rFonts w:ascii="IRNazanin" w:hAnsi="IRNazanin" w:eastAsia="IRNazanin" w:cs="IRNazanin"/>
            <w:color w:val="111111"/>
            <w:sz w:val="22"/>
            <w:szCs w:val="22"/>
            <w:b w:val="0"/>
            <w:bCs w:val="0"/>
            <w:i w:val="0"/>
            <w:iCs w:val="0"/>
          </w:rPr>
          <w:t>6346- دیوان مجیر بیلقانی‏</w:t>
        </w:r>
        <w:r>
          <w:tab/>
        </w:r>
        <w:r>
          <w:fldChar w:fldCharType="begin"/>
        </w:r>
        <w:r>
          <w:instrText xml:space="preserve">PAGEREF 7092 \h</w:instrText>
        </w:r>
        <w:r>
          <w:fldChar w:fldCharType="end"/>
        </w:r>
      </w:hyperlink>
    </w:p>
    <w:p>
      <w:pPr>
        <w:tabs>
          <w:tab w:val="right" w:leader="dot" w:pos="9062"/>
        </w:tabs>
        <w:ind w:left="440"/>
      </w:pPr>
      <w:hyperlink w:anchor="_Toc7093" w:history="1">
        <w:r>
          <w:rPr>
            <w:rFonts w:ascii="IRNazanin" w:hAnsi="IRNazanin" w:eastAsia="IRNazanin" w:cs="IRNazanin"/>
            <w:color w:val="111111"/>
            <w:sz w:val="22"/>
            <w:szCs w:val="22"/>
            <w:b w:val="0"/>
            <w:bCs w:val="0"/>
            <w:i w:val="0"/>
            <w:iCs w:val="0"/>
          </w:rPr>
          <w:t>6347- دیوان محب بلگرامی أو شعره‏</w:t>
        </w:r>
        <w:r>
          <w:tab/>
        </w:r>
        <w:r>
          <w:fldChar w:fldCharType="begin"/>
        </w:r>
        <w:r>
          <w:instrText xml:space="preserve">PAGEREF 7093 \h</w:instrText>
        </w:r>
        <w:r>
          <w:fldChar w:fldCharType="end"/>
        </w:r>
      </w:hyperlink>
    </w:p>
    <w:p>
      <w:pPr>
        <w:tabs>
          <w:tab w:val="right" w:leader="dot" w:pos="9062"/>
        </w:tabs>
        <w:ind w:left="440"/>
      </w:pPr>
      <w:hyperlink w:anchor="_Toc7094" w:history="1">
        <w:r>
          <w:rPr>
            <w:rFonts w:ascii="IRNazanin" w:hAnsi="IRNazanin" w:eastAsia="IRNazanin" w:cs="IRNazanin"/>
            <w:color w:val="111111"/>
            <w:sz w:val="22"/>
            <w:szCs w:val="22"/>
            <w:b w:val="0"/>
            <w:bCs w:val="0"/>
            <w:i w:val="0"/>
            <w:iCs w:val="0"/>
          </w:rPr>
          <w:t>6348- دیوان محبتی أو شعره‏</w:t>
        </w:r>
        <w:r>
          <w:tab/>
        </w:r>
        <w:r>
          <w:fldChar w:fldCharType="begin"/>
        </w:r>
        <w:r>
          <w:instrText xml:space="preserve">PAGEREF 7094 \h</w:instrText>
        </w:r>
        <w:r>
          <w:fldChar w:fldCharType="end"/>
        </w:r>
      </w:hyperlink>
    </w:p>
    <w:p>
      <w:pPr>
        <w:tabs>
          <w:tab w:val="right" w:leader="dot" w:pos="9062"/>
        </w:tabs>
        <w:ind w:left="440"/>
      </w:pPr>
      <w:hyperlink w:anchor="_Toc7095" w:history="1">
        <w:r>
          <w:rPr>
            <w:rFonts w:ascii="IRNazanin" w:hAnsi="IRNazanin" w:eastAsia="IRNazanin" w:cs="IRNazanin"/>
            <w:color w:val="111111"/>
            <w:sz w:val="22"/>
            <w:szCs w:val="22"/>
            <w:b w:val="0"/>
            <w:bCs w:val="0"/>
            <w:i w:val="0"/>
            <w:iCs w:val="0"/>
          </w:rPr>
          <w:t>دیوان محبتی لاری أو شعره‏</w:t>
        </w:r>
        <w:r>
          <w:tab/>
        </w:r>
        <w:r>
          <w:fldChar w:fldCharType="begin"/>
        </w:r>
        <w:r>
          <w:instrText xml:space="preserve">PAGEREF 7095 \h</w:instrText>
        </w:r>
        <w:r>
          <w:fldChar w:fldCharType="end"/>
        </w:r>
      </w:hyperlink>
    </w:p>
    <w:p>
      <w:pPr>
        <w:tabs>
          <w:tab w:val="right" w:leader="dot" w:pos="9062"/>
        </w:tabs>
        <w:ind w:left="440"/>
      </w:pPr>
      <w:hyperlink w:anchor="_Toc7096" w:history="1">
        <w:r>
          <w:rPr>
            <w:rFonts w:ascii="IRNazanin" w:hAnsi="IRNazanin" w:eastAsia="IRNazanin" w:cs="IRNazanin"/>
            <w:color w:val="111111"/>
            <w:sz w:val="22"/>
            <w:szCs w:val="22"/>
            <w:b w:val="0"/>
            <w:bCs w:val="0"/>
            <w:i w:val="0"/>
            <w:iCs w:val="0"/>
          </w:rPr>
          <w:t>6349- دیوان محب شیرازی أو شعره‏</w:t>
        </w:r>
        <w:r>
          <w:tab/>
        </w:r>
        <w:r>
          <w:fldChar w:fldCharType="begin"/>
        </w:r>
        <w:r>
          <w:instrText xml:space="preserve">PAGEREF 7096 \h</w:instrText>
        </w:r>
        <w:r>
          <w:fldChar w:fldCharType="end"/>
        </w:r>
      </w:hyperlink>
    </w:p>
    <w:p>
      <w:pPr>
        <w:tabs>
          <w:tab w:val="right" w:leader="dot" w:pos="9062"/>
        </w:tabs>
        <w:ind w:left="440"/>
      </w:pPr>
      <w:hyperlink w:anchor="_Toc7097" w:history="1">
        <w:r>
          <w:rPr>
            <w:rFonts w:ascii="IRNazanin" w:hAnsi="IRNazanin" w:eastAsia="IRNazanin" w:cs="IRNazanin"/>
            <w:color w:val="111111"/>
            <w:sz w:val="22"/>
            <w:szCs w:val="22"/>
            <w:b w:val="0"/>
            <w:bCs w:val="0"/>
            <w:i w:val="0"/>
            <w:iCs w:val="0"/>
          </w:rPr>
          <w:t>6350- دیوان محب علی سندی‏</w:t>
        </w:r>
        <w:r>
          <w:tab/>
        </w:r>
        <w:r>
          <w:fldChar w:fldCharType="begin"/>
        </w:r>
        <w:r>
          <w:instrText xml:space="preserve">PAGEREF 7097 \h</w:instrText>
        </w:r>
        <w:r>
          <w:fldChar w:fldCharType="end"/>
        </w:r>
      </w:hyperlink>
    </w:p>
    <w:p>
      <w:pPr>
        <w:tabs>
          <w:tab w:val="right" w:leader="dot" w:pos="9062"/>
        </w:tabs>
        <w:ind w:left="440"/>
      </w:pPr>
      <w:hyperlink w:anchor="_Toc7098" w:history="1">
        <w:r>
          <w:rPr>
            <w:rFonts w:ascii="IRNazanin" w:hAnsi="IRNazanin" w:eastAsia="IRNazanin" w:cs="IRNazanin"/>
            <w:color w:val="111111"/>
            <w:sz w:val="22"/>
            <w:szCs w:val="22"/>
            <w:b w:val="0"/>
            <w:bCs w:val="0"/>
            <w:i w:val="0"/>
            <w:iCs w:val="0"/>
          </w:rPr>
          <w:t>6351- دیوان محب علی مشهدی أو شعره‏</w:t>
        </w:r>
        <w:r>
          <w:tab/>
        </w:r>
        <w:r>
          <w:fldChar w:fldCharType="begin"/>
        </w:r>
        <w:r>
          <w:instrText xml:space="preserve">PAGEREF 7098 \h</w:instrText>
        </w:r>
        <w:r>
          <w:fldChar w:fldCharType="end"/>
        </w:r>
      </w:hyperlink>
    </w:p>
    <w:p>
      <w:pPr>
        <w:tabs>
          <w:tab w:val="right" w:leader="dot" w:pos="9062"/>
        </w:tabs>
        <w:ind w:left="440"/>
      </w:pPr>
      <w:hyperlink w:anchor="_Toc7099" w:history="1">
        <w:r>
          <w:rPr>
            <w:rFonts w:ascii="IRNazanin" w:hAnsi="IRNazanin" w:eastAsia="IRNazanin" w:cs="IRNazanin"/>
            <w:color w:val="111111"/>
            <w:sz w:val="22"/>
            <w:szCs w:val="22"/>
            <w:b w:val="0"/>
            <w:bCs w:val="0"/>
            <w:i w:val="0"/>
            <w:iCs w:val="0"/>
          </w:rPr>
          <w:t>6352- دیوان محب علی هروی أو شعره‏</w:t>
        </w:r>
        <w:r>
          <w:tab/>
        </w:r>
        <w:r>
          <w:fldChar w:fldCharType="begin"/>
        </w:r>
        <w:r>
          <w:instrText xml:space="preserve">PAGEREF 7099 \h</w:instrText>
        </w:r>
        <w:r>
          <w:fldChar w:fldCharType="end"/>
        </w:r>
      </w:hyperlink>
    </w:p>
    <w:p>
      <w:pPr>
        <w:tabs>
          <w:tab w:val="right" w:leader="dot" w:pos="9062"/>
        </w:tabs>
        <w:ind w:left="440"/>
      </w:pPr>
      <w:hyperlink w:anchor="_Toc7100" w:history="1">
        <w:r>
          <w:rPr>
            <w:rFonts w:ascii="IRNazanin" w:hAnsi="IRNazanin" w:eastAsia="IRNazanin" w:cs="IRNazanin"/>
            <w:color w:val="111111"/>
            <w:sz w:val="22"/>
            <w:szCs w:val="22"/>
            <w:b w:val="0"/>
            <w:bCs w:val="0"/>
            <w:i w:val="0"/>
            <w:iCs w:val="0"/>
          </w:rPr>
          <w:t>دیوان محب هروی‏</w:t>
        </w:r>
        <w:r>
          <w:tab/>
        </w:r>
        <w:r>
          <w:fldChar w:fldCharType="begin"/>
        </w:r>
        <w:r>
          <w:instrText xml:space="preserve">PAGEREF 7100 \h</w:instrText>
        </w:r>
        <w:r>
          <w:fldChar w:fldCharType="end"/>
        </w:r>
      </w:hyperlink>
    </w:p>
    <w:p>
      <w:pPr>
        <w:tabs>
          <w:tab w:val="right" w:leader="dot" w:pos="9062"/>
        </w:tabs>
        <w:ind w:left="440"/>
      </w:pPr>
      <w:hyperlink w:anchor="_Toc7101" w:history="1">
        <w:r>
          <w:rPr>
            <w:rFonts w:ascii="IRNazanin" w:hAnsi="IRNazanin" w:eastAsia="IRNazanin" w:cs="IRNazanin"/>
            <w:color w:val="111111"/>
            <w:sz w:val="22"/>
            <w:szCs w:val="22"/>
            <w:b w:val="0"/>
            <w:bCs w:val="0"/>
            <w:i w:val="0"/>
            <w:iCs w:val="0"/>
          </w:rPr>
          <w:t>6353- دیوان محبی آذربایجانی‏</w:t>
        </w:r>
        <w:r>
          <w:tab/>
        </w:r>
        <w:r>
          <w:fldChar w:fldCharType="begin"/>
        </w:r>
        <w:r>
          <w:instrText xml:space="preserve">PAGEREF 7101 \h</w:instrText>
        </w:r>
        <w:r>
          <w:fldChar w:fldCharType="end"/>
        </w:r>
      </w:hyperlink>
    </w:p>
    <w:p>
      <w:pPr>
        <w:tabs>
          <w:tab w:val="right" w:leader="dot" w:pos="9062"/>
        </w:tabs>
        <w:ind w:left="440"/>
      </w:pPr>
      <w:hyperlink w:anchor="_Toc7102" w:history="1">
        <w:r>
          <w:rPr>
            <w:rFonts w:ascii="IRNazanin" w:hAnsi="IRNazanin" w:eastAsia="IRNazanin" w:cs="IRNazanin"/>
            <w:color w:val="111111"/>
            <w:sz w:val="22"/>
            <w:szCs w:val="22"/>
            <w:b w:val="0"/>
            <w:bCs w:val="0"/>
            <w:i w:val="0"/>
            <w:iCs w:val="0"/>
          </w:rPr>
          <w:t>دیوان محبی بایسنقری‏</w:t>
        </w:r>
        <w:r>
          <w:tab/>
        </w:r>
        <w:r>
          <w:fldChar w:fldCharType="begin"/>
        </w:r>
        <w:r>
          <w:instrText xml:space="preserve">PAGEREF 7102 \h</w:instrText>
        </w:r>
        <w:r>
          <w:fldChar w:fldCharType="end"/>
        </w:r>
      </w:hyperlink>
    </w:p>
    <w:p>
      <w:pPr>
        <w:tabs>
          <w:tab w:val="right" w:leader="dot" w:pos="9062"/>
        </w:tabs>
        <w:ind w:left="440"/>
      </w:pPr>
      <w:hyperlink w:anchor="_Toc7103" w:history="1">
        <w:r>
          <w:rPr>
            <w:rFonts w:ascii="IRNazanin" w:hAnsi="IRNazanin" w:eastAsia="IRNazanin" w:cs="IRNazanin"/>
            <w:color w:val="111111"/>
            <w:sz w:val="22"/>
            <w:szCs w:val="22"/>
            <w:b w:val="0"/>
            <w:bCs w:val="0"/>
            <w:i w:val="0"/>
            <w:iCs w:val="0"/>
          </w:rPr>
          <w:t>6354- دیوان محبی بروجردی أو شعره‏</w:t>
        </w:r>
        <w:r>
          <w:tab/>
        </w:r>
        <w:r>
          <w:fldChar w:fldCharType="begin"/>
        </w:r>
        <w:r>
          <w:instrText xml:space="preserve">PAGEREF 7103 \h</w:instrText>
        </w:r>
        <w:r>
          <w:fldChar w:fldCharType="end"/>
        </w:r>
      </w:hyperlink>
    </w:p>
    <w:p>
      <w:pPr>
        <w:tabs>
          <w:tab w:val="right" w:leader="dot" w:pos="9062"/>
        </w:tabs>
        <w:ind w:left="440"/>
      </w:pPr>
      <w:hyperlink w:anchor="_Toc7104" w:history="1">
        <w:r>
          <w:rPr>
            <w:rFonts w:ascii="IRNazanin" w:hAnsi="IRNazanin" w:eastAsia="IRNazanin" w:cs="IRNazanin"/>
            <w:color w:val="111111"/>
            <w:sz w:val="22"/>
            <w:szCs w:val="22"/>
            <w:b w:val="0"/>
            <w:bCs w:val="0"/>
            <w:i w:val="0"/>
            <w:iCs w:val="0"/>
          </w:rPr>
          <w:t>6355- دیوان محبی خواندکار أو شعره‏</w:t>
        </w:r>
        <w:r>
          <w:tab/>
        </w:r>
        <w:r>
          <w:fldChar w:fldCharType="begin"/>
        </w:r>
        <w:r>
          <w:instrText xml:space="preserve">PAGEREF 7104 \h</w:instrText>
        </w:r>
        <w:r>
          <w:fldChar w:fldCharType="end"/>
        </w:r>
      </w:hyperlink>
    </w:p>
    <w:p>
      <w:pPr>
        <w:tabs>
          <w:tab w:val="right" w:leader="dot" w:pos="9062"/>
        </w:tabs>
        <w:ind w:left="440"/>
      </w:pPr>
      <w:hyperlink w:anchor="_Toc7105" w:history="1">
        <w:r>
          <w:rPr>
            <w:rFonts w:ascii="IRNazanin" w:hAnsi="IRNazanin" w:eastAsia="IRNazanin" w:cs="IRNazanin"/>
            <w:color w:val="111111"/>
            <w:sz w:val="22"/>
            <w:szCs w:val="22"/>
            <w:b w:val="0"/>
            <w:bCs w:val="0"/>
            <w:i w:val="0"/>
            <w:iCs w:val="0"/>
          </w:rPr>
          <w:t>6356- دیوان محبی دهلوی أو شعره‏</w:t>
        </w:r>
        <w:r>
          <w:tab/>
        </w:r>
        <w:r>
          <w:fldChar w:fldCharType="begin"/>
        </w:r>
        <w:r>
          <w:instrText xml:space="preserve">PAGEREF 7105 \h</w:instrText>
        </w:r>
        <w:r>
          <w:fldChar w:fldCharType="end"/>
        </w:r>
      </w:hyperlink>
    </w:p>
    <w:p>
      <w:pPr>
        <w:tabs>
          <w:tab w:val="right" w:leader="dot" w:pos="9062"/>
        </w:tabs>
        <w:ind w:left="440"/>
      </w:pPr>
      <w:hyperlink w:anchor="_Toc7106" w:history="1">
        <w:r>
          <w:rPr>
            <w:rFonts w:ascii="IRNazanin" w:hAnsi="IRNazanin" w:eastAsia="IRNazanin" w:cs="IRNazanin"/>
            <w:color w:val="111111"/>
            <w:sz w:val="22"/>
            <w:szCs w:val="22"/>
            <w:b w:val="0"/>
            <w:bCs w:val="0"/>
            <w:i w:val="0"/>
            <w:iCs w:val="0"/>
          </w:rPr>
          <w:t>6357- دیوان محبی لاری أو شعره‏</w:t>
        </w:r>
        <w:r>
          <w:tab/>
        </w:r>
        <w:r>
          <w:fldChar w:fldCharType="begin"/>
        </w:r>
        <w:r>
          <w:instrText xml:space="preserve">PAGEREF 7106 \h</w:instrText>
        </w:r>
        <w:r>
          <w:fldChar w:fldCharType="end"/>
        </w:r>
      </w:hyperlink>
    </w:p>
    <w:p>
      <w:pPr>
        <w:tabs>
          <w:tab w:val="right" w:leader="dot" w:pos="9062"/>
        </w:tabs>
        <w:ind w:left="440"/>
      </w:pPr>
      <w:hyperlink w:anchor="_Toc7107" w:history="1">
        <w:r>
          <w:rPr>
            <w:rFonts w:ascii="IRNazanin" w:hAnsi="IRNazanin" w:eastAsia="IRNazanin" w:cs="IRNazanin"/>
            <w:color w:val="111111"/>
            <w:sz w:val="22"/>
            <w:szCs w:val="22"/>
            <w:b w:val="0"/>
            <w:bCs w:val="0"/>
            <w:i w:val="0"/>
            <w:iCs w:val="0"/>
          </w:rPr>
          <w:t>6358- دیوان محبی نیشابوری أو شعره‏</w:t>
        </w:r>
        <w:r>
          <w:tab/>
        </w:r>
        <w:r>
          <w:fldChar w:fldCharType="begin"/>
        </w:r>
        <w:r>
          <w:instrText xml:space="preserve">PAGEREF 7107 \h</w:instrText>
        </w:r>
        <w:r>
          <w:fldChar w:fldCharType="end"/>
        </w:r>
      </w:hyperlink>
    </w:p>
    <w:p>
      <w:pPr>
        <w:tabs>
          <w:tab w:val="right" w:leader="dot" w:pos="9062"/>
        </w:tabs>
        <w:ind w:left="440"/>
      </w:pPr>
      <w:hyperlink w:anchor="_Toc7108" w:history="1">
        <w:r>
          <w:rPr>
            <w:rFonts w:ascii="IRNazanin" w:hAnsi="IRNazanin" w:eastAsia="IRNazanin" w:cs="IRNazanin"/>
            <w:color w:val="111111"/>
            <w:sz w:val="22"/>
            <w:szCs w:val="22"/>
            <w:b w:val="0"/>
            <w:bCs w:val="0"/>
            <w:i w:val="0"/>
            <w:iCs w:val="0"/>
          </w:rPr>
          <w:t>6359- دیوان محتاج چادگانی‏</w:t>
        </w:r>
        <w:r>
          <w:tab/>
        </w:r>
        <w:r>
          <w:fldChar w:fldCharType="begin"/>
        </w:r>
        <w:r>
          <w:instrText xml:space="preserve">PAGEREF 7108 \h</w:instrText>
        </w:r>
        <w:r>
          <w:fldChar w:fldCharType="end"/>
        </w:r>
      </w:hyperlink>
    </w:p>
    <w:p>
      <w:pPr>
        <w:tabs>
          <w:tab w:val="right" w:leader="dot" w:pos="9062"/>
        </w:tabs>
        <w:ind w:left="440"/>
      </w:pPr>
      <w:hyperlink w:anchor="_Toc7109" w:history="1">
        <w:r>
          <w:rPr>
            <w:rFonts w:ascii="IRNazanin" w:hAnsi="IRNazanin" w:eastAsia="IRNazanin" w:cs="IRNazanin"/>
            <w:color w:val="111111"/>
            <w:sz w:val="22"/>
            <w:szCs w:val="22"/>
            <w:b w:val="0"/>
            <w:bCs w:val="0"/>
            <w:i w:val="0"/>
            <w:iCs w:val="0"/>
          </w:rPr>
          <w:t>6360- دیوان محترم سمرقندی أو شعره‏</w:t>
        </w:r>
        <w:r>
          <w:tab/>
        </w:r>
        <w:r>
          <w:fldChar w:fldCharType="begin"/>
        </w:r>
        <w:r>
          <w:instrText xml:space="preserve">PAGEREF 7109 \h</w:instrText>
        </w:r>
        <w:r>
          <w:fldChar w:fldCharType="end"/>
        </w:r>
      </w:hyperlink>
    </w:p>
    <w:p>
      <w:pPr>
        <w:tabs>
          <w:tab w:val="right" w:leader="dot" w:pos="9062"/>
        </w:tabs>
        <w:ind w:left="440"/>
      </w:pPr>
      <w:hyperlink w:anchor="_Toc7110" w:history="1">
        <w:r>
          <w:rPr>
            <w:rFonts w:ascii="IRNazanin" w:hAnsi="IRNazanin" w:eastAsia="IRNazanin" w:cs="IRNazanin"/>
            <w:color w:val="111111"/>
            <w:sz w:val="22"/>
            <w:szCs w:val="22"/>
            <w:b w:val="0"/>
            <w:bCs w:val="0"/>
            <w:i w:val="0"/>
            <w:iCs w:val="0"/>
          </w:rPr>
          <w:t>دیوان محترم قصه‏خوان‏</w:t>
        </w:r>
        <w:r>
          <w:tab/>
        </w:r>
        <w:r>
          <w:fldChar w:fldCharType="begin"/>
        </w:r>
        <w:r>
          <w:instrText xml:space="preserve">PAGEREF 7110 \h</w:instrText>
        </w:r>
        <w:r>
          <w:fldChar w:fldCharType="end"/>
        </w:r>
      </w:hyperlink>
    </w:p>
    <w:p>
      <w:pPr>
        <w:tabs>
          <w:tab w:val="right" w:leader="dot" w:pos="9062"/>
        </w:tabs>
        <w:ind w:left="440"/>
      </w:pPr>
      <w:hyperlink w:anchor="_Toc7111" w:history="1">
        <w:r>
          <w:rPr>
            <w:rFonts w:ascii="IRNazanin" w:hAnsi="IRNazanin" w:eastAsia="IRNazanin" w:cs="IRNazanin"/>
            <w:color w:val="111111"/>
            <w:sz w:val="22"/>
            <w:szCs w:val="22"/>
            <w:b w:val="0"/>
            <w:bCs w:val="0"/>
            <w:i w:val="0"/>
            <w:iCs w:val="0"/>
          </w:rPr>
          <w:t>6361- دیوان محترم مشهدی أو شعرها</w:t>
        </w:r>
        <w:r>
          <w:tab/>
        </w:r>
        <w:r>
          <w:fldChar w:fldCharType="begin"/>
        </w:r>
        <w:r>
          <w:instrText xml:space="preserve">PAGEREF 7111 \h</w:instrText>
        </w:r>
        <w:r>
          <w:fldChar w:fldCharType="end"/>
        </w:r>
      </w:hyperlink>
    </w:p>
    <w:p>
      <w:pPr>
        <w:tabs>
          <w:tab w:val="right" w:leader="dot" w:pos="9062"/>
        </w:tabs>
        <w:ind w:left="440"/>
      </w:pPr>
      <w:hyperlink w:anchor="_Toc7112" w:history="1">
        <w:r>
          <w:rPr>
            <w:rFonts w:ascii="IRNazanin" w:hAnsi="IRNazanin" w:eastAsia="IRNazanin" w:cs="IRNazanin"/>
            <w:color w:val="111111"/>
            <w:sz w:val="22"/>
            <w:szCs w:val="22"/>
            <w:b w:val="0"/>
            <w:bCs w:val="0"/>
            <w:i w:val="0"/>
            <w:iCs w:val="0"/>
          </w:rPr>
          <w:t>دیوان محتشم بدخشی أو شعره‏</w:t>
        </w:r>
        <w:r>
          <w:tab/>
        </w:r>
        <w:r>
          <w:fldChar w:fldCharType="begin"/>
        </w:r>
        <w:r>
          <w:instrText xml:space="preserve">PAGEREF 7112 \h</w:instrText>
        </w:r>
        <w:r>
          <w:fldChar w:fldCharType="end"/>
        </w:r>
      </w:hyperlink>
    </w:p>
    <w:p>
      <w:pPr>
        <w:tabs>
          <w:tab w:val="right" w:leader="dot" w:pos="9062"/>
        </w:tabs>
        <w:ind w:left="440"/>
      </w:pPr>
      <w:hyperlink w:anchor="_Toc7113" w:history="1">
        <w:r>
          <w:rPr>
            <w:rFonts w:ascii="IRNazanin" w:hAnsi="IRNazanin" w:eastAsia="IRNazanin" w:cs="IRNazanin"/>
            <w:color w:val="111111"/>
            <w:sz w:val="22"/>
            <w:szCs w:val="22"/>
            <w:b w:val="0"/>
            <w:bCs w:val="0"/>
            <w:i w:val="0"/>
            <w:iCs w:val="0"/>
          </w:rPr>
          <w:t>6362- دیوان محتشم قائنی أو شعره‏</w:t>
        </w:r>
        <w:r>
          <w:tab/>
        </w:r>
        <w:r>
          <w:fldChar w:fldCharType="begin"/>
        </w:r>
        <w:r>
          <w:instrText xml:space="preserve">PAGEREF 7113 \h</w:instrText>
        </w:r>
        <w:r>
          <w:fldChar w:fldCharType="end"/>
        </w:r>
      </w:hyperlink>
    </w:p>
    <w:p>
      <w:pPr>
        <w:tabs>
          <w:tab w:val="right" w:leader="dot" w:pos="9062"/>
        </w:tabs>
        <w:ind w:left="440"/>
      </w:pPr>
      <w:hyperlink w:anchor="_Toc7114" w:history="1">
        <w:r>
          <w:rPr>
            <w:rFonts w:ascii="IRNazanin" w:hAnsi="IRNazanin" w:eastAsia="IRNazanin" w:cs="IRNazanin"/>
            <w:color w:val="111111"/>
            <w:sz w:val="22"/>
            <w:szCs w:val="22"/>
            <w:b w:val="0"/>
            <w:bCs w:val="0"/>
            <w:i w:val="0"/>
            <w:iCs w:val="0"/>
          </w:rPr>
          <w:t>6363- دیوان محتشم قائنی أو شعره‏</w:t>
        </w:r>
        <w:r>
          <w:tab/>
        </w:r>
        <w:r>
          <w:fldChar w:fldCharType="begin"/>
        </w:r>
        <w:r>
          <w:instrText xml:space="preserve">PAGEREF 7114 \h</w:instrText>
        </w:r>
        <w:r>
          <w:fldChar w:fldCharType="end"/>
        </w:r>
      </w:hyperlink>
    </w:p>
    <w:p>
      <w:pPr>
        <w:tabs>
          <w:tab w:val="right" w:leader="dot" w:pos="9062"/>
        </w:tabs>
        <w:ind w:left="440"/>
      </w:pPr>
      <w:hyperlink w:anchor="_Toc7115" w:history="1">
        <w:r>
          <w:rPr>
            <w:rFonts w:ascii="IRNazanin" w:hAnsi="IRNazanin" w:eastAsia="IRNazanin" w:cs="IRNazanin"/>
            <w:color w:val="111111"/>
            <w:sz w:val="22"/>
            <w:szCs w:val="22"/>
            <w:b w:val="0"/>
            <w:bCs w:val="0"/>
            <w:i w:val="0"/>
            <w:iCs w:val="0"/>
          </w:rPr>
          <w:t>6364- دیوان محتشم کاشانی‏</w:t>
        </w:r>
        <w:r>
          <w:tab/>
        </w:r>
        <w:r>
          <w:fldChar w:fldCharType="begin"/>
        </w:r>
        <w:r>
          <w:instrText xml:space="preserve">PAGEREF 7115 \h</w:instrText>
        </w:r>
        <w:r>
          <w:fldChar w:fldCharType="end"/>
        </w:r>
      </w:hyperlink>
    </w:p>
    <w:p>
      <w:pPr>
        <w:tabs>
          <w:tab w:val="right" w:leader="dot" w:pos="9062"/>
        </w:tabs>
        <w:ind w:left="440"/>
      </w:pPr>
      <w:hyperlink w:anchor="_Toc7116" w:history="1">
        <w:r>
          <w:rPr>
            <w:rFonts w:ascii="IRNazanin" w:hAnsi="IRNazanin" w:eastAsia="IRNazanin" w:cs="IRNazanin"/>
            <w:color w:val="111111"/>
            <w:sz w:val="22"/>
            <w:szCs w:val="22"/>
            <w:b w:val="0"/>
            <w:bCs w:val="0"/>
            <w:i w:val="0"/>
            <w:iCs w:val="0"/>
          </w:rPr>
          <w:t>6365- دیوان محجوب بروجردی‏</w:t>
        </w:r>
        <w:r>
          <w:tab/>
        </w:r>
        <w:r>
          <w:fldChar w:fldCharType="begin"/>
        </w:r>
        <w:r>
          <w:instrText xml:space="preserve">PAGEREF 7116 \h</w:instrText>
        </w:r>
        <w:r>
          <w:fldChar w:fldCharType="end"/>
        </w:r>
      </w:hyperlink>
    </w:p>
    <w:p>
      <w:pPr>
        <w:tabs>
          <w:tab w:val="right" w:leader="dot" w:pos="9062"/>
        </w:tabs>
        <w:ind w:left="440"/>
      </w:pPr>
      <w:hyperlink w:anchor="_Toc7117" w:history="1">
        <w:r>
          <w:rPr>
            <w:rFonts w:ascii="IRNazanin" w:hAnsi="IRNazanin" w:eastAsia="IRNazanin" w:cs="IRNazanin"/>
            <w:color w:val="111111"/>
            <w:sz w:val="22"/>
            <w:szCs w:val="22"/>
            <w:b w:val="0"/>
            <w:bCs w:val="0"/>
            <w:i w:val="0"/>
            <w:iCs w:val="0"/>
          </w:rPr>
          <w:t>6366- دیوان محجوب تبریزی أو شعره‏</w:t>
        </w:r>
        <w:r>
          <w:tab/>
        </w:r>
        <w:r>
          <w:fldChar w:fldCharType="begin"/>
        </w:r>
        <w:r>
          <w:instrText xml:space="preserve">PAGEREF 7117 \h</w:instrText>
        </w:r>
        <w:r>
          <w:fldChar w:fldCharType="end"/>
        </w:r>
      </w:hyperlink>
    </w:p>
    <w:p>
      <w:pPr>
        <w:tabs>
          <w:tab w:val="right" w:leader="dot" w:pos="9062"/>
        </w:tabs>
        <w:ind w:left="440"/>
      </w:pPr>
      <w:hyperlink w:anchor="_Toc7118" w:history="1">
        <w:r>
          <w:rPr>
            <w:rFonts w:ascii="IRNazanin" w:hAnsi="IRNazanin" w:eastAsia="IRNazanin" w:cs="IRNazanin"/>
            <w:color w:val="111111"/>
            <w:sz w:val="22"/>
            <w:szCs w:val="22"/>
            <w:b w:val="0"/>
            <w:bCs w:val="0"/>
            <w:i w:val="0"/>
            <w:iCs w:val="0"/>
          </w:rPr>
          <w:t>6367- دیوان محجوب ترشیزی‏</w:t>
        </w:r>
        <w:r>
          <w:tab/>
        </w:r>
        <w:r>
          <w:fldChar w:fldCharType="begin"/>
        </w:r>
        <w:r>
          <w:instrText xml:space="preserve">PAGEREF 7118 \h</w:instrText>
        </w:r>
        <w:r>
          <w:fldChar w:fldCharType="end"/>
        </w:r>
      </w:hyperlink>
    </w:p>
    <w:p>
      <w:pPr>
        <w:tabs>
          <w:tab w:val="right" w:leader="dot" w:pos="9062"/>
        </w:tabs>
        <w:ind w:left="440"/>
      </w:pPr>
      <w:hyperlink w:anchor="_Toc7119" w:history="1">
        <w:r>
          <w:rPr>
            <w:rFonts w:ascii="IRNazanin" w:hAnsi="IRNazanin" w:eastAsia="IRNazanin" w:cs="IRNazanin"/>
            <w:color w:val="111111"/>
            <w:sz w:val="22"/>
            <w:szCs w:val="22"/>
            <w:b w:val="0"/>
            <w:bCs w:val="0"/>
            <w:i w:val="0"/>
            <w:iCs w:val="0"/>
          </w:rPr>
          <w:t>6368- دیوان محرم أصفهانی‏</w:t>
        </w:r>
        <w:r>
          <w:tab/>
        </w:r>
        <w:r>
          <w:fldChar w:fldCharType="begin"/>
        </w:r>
        <w:r>
          <w:instrText xml:space="preserve">PAGEREF 7119 \h</w:instrText>
        </w:r>
        <w:r>
          <w:fldChar w:fldCharType="end"/>
        </w:r>
      </w:hyperlink>
    </w:p>
    <w:p>
      <w:pPr>
        <w:tabs>
          <w:tab w:val="right" w:leader="dot" w:pos="9062"/>
        </w:tabs>
        <w:ind w:left="440"/>
      </w:pPr>
      <w:hyperlink w:anchor="_Toc7120" w:history="1">
        <w:r>
          <w:rPr>
            <w:rFonts w:ascii="IRNazanin" w:hAnsi="IRNazanin" w:eastAsia="IRNazanin" w:cs="IRNazanin"/>
            <w:color w:val="111111"/>
            <w:sz w:val="22"/>
            <w:szCs w:val="22"/>
            <w:b w:val="0"/>
            <w:bCs w:val="0"/>
            <w:i w:val="0"/>
            <w:iCs w:val="0"/>
          </w:rPr>
          <w:t>6369- دیوان محرم جغتائی أو شعره‏</w:t>
        </w:r>
        <w:r>
          <w:tab/>
        </w:r>
        <w:r>
          <w:fldChar w:fldCharType="begin"/>
        </w:r>
        <w:r>
          <w:instrText xml:space="preserve">PAGEREF 7120 \h</w:instrText>
        </w:r>
        <w:r>
          <w:fldChar w:fldCharType="end"/>
        </w:r>
      </w:hyperlink>
    </w:p>
    <w:p>
      <w:pPr>
        <w:tabs>
          <w:tab w:val="right" w:leader="dot" w:pos="9062"/>
        </w:tabs>
        <w:ind w:left="440"/>
      </w:pPr>
      <w:hyperlink w:anchor="_Toc7121" w:history="1">
        <w:r>
          <w:rPr>
            <w:rFonts w:ascii="IRNazanin" w:hAnsi="IRNazanin" w:eastAsia="IRNazanin" w:cs="IRNazanin"/>
            <w:color w:val="111111"/>
            <w:sz w:val="22"/>
            <w:szCs w:val="22"/>
            <w:b w:val="0"/>
            <w:bCs w:val="0"/>
            <w:i w:val="0"/>
            <w:iCs w:val="0"/>
          </w:rPr>
          <w:t>6370- دیوان محرم جهرمی‏</w:t>
        </w:r>
        <w:r>
          <w:tab/>
        </w:r>
        <w:r>
          <w:fldChar w:fldCharType="begin"/>
        </w:r>
        <w:r>
          <w:instrText xml:space="preserve">PAGEREF 7121 \h</w:instrText>
        </w:r>
        <w:r>
          <w:fldChar w:fldCharType="end"/>
        </w:r>
      </w:hyperlink>
    </w:p>
    <w:p>
      <w:pPr>
        <w:tabs>
          <w:tab w:val="right" w:leader="dot" w:pos="9062"/>
        </w:tabs>
        <w:ind w:left="440"/>
      </w:pPr>
      <w:hyperlink w:anchor="_Toc7122" w:history="1">
        <w:r>
          <w:rPr>
            <w:rFonts w:ascii="IRNazanin" w:hAnsi="IRNazanin" w:eastAsia="IRNazanin" w:cs="IRNazanin"/>
            <w:color w:val="111111"/>
            <w:sz w:val="22"/>
            <w:szCs w:val="22"/>
            <w:b w:val="0"/>
            <w:bCs w:val="0"/>
            <w:i w:val="0"/>
            <w:iCs w:val="0"/>
          </w:rPr>
          <w:t>6371- دیوان محرم شیرازی‏</w:t>
        </w:r>
        <w:r>
          <w:tab/>
        </w:r>
        <w:r>
          <w:fldChar w:fldCharType="begin"/>
        </w:r>
        <w:r>
          <w:instrText xml:space="preserve">PAGEREF 7122 \h</w:instrText>
        </w:r>
        <w:r>
          <w:fldChar w:fldCharType="end"/>
        </w:r>
      </w:hyperlink>
    </w:p>
    <w:p>
      <w:pPr>
        <w:tabs>
          <w:tab w:val="right" w:leader="dot" w:pos="9062"/>
        </w:tabs>
        <w:ind w:left="440"/>
      </w:pPr>
      <w:hyperlink w:anchor="_Toc7123" w:history="1">
        <w:r>
          <w:rPr>
            <w:rFonts w:ascii="IRNazanin" w:hAnsi="IRNazanin" w:eastAsia="IRNazanin" w:cs="IRNazanin"/>
            <w:color w:val="111111"/>
            <w:sz w:val="22"/>
            <w:szCs w:val="22"/>
            <w:b w:val="0"/>
            <w:bCs w:val="0"/>
            <w:i w:val="0"/>
            <w:iCs w:val="0"/>
          </w:rPr>
          <w:t>6372- دیوان محرم یزدی‏</w:t>
        </w:r>
        <w:r>
          <w:tab/>
        </w:r>
        <w:r>
          <w:fldChar w:fldCharType="begin"/>
        </w:r>
        <w:r>
          <w:instrText xml:space="preserve">PAGEREF 7123 \h</w:instrText>
        </w:r>
        <w:r>
          <w:fldChar w:fldCharType="end"/>
        </w:r>
      </w:hyperlink>
    </w:p>
    <w:p>
      <w:pPr>
        <w:tabs>
          <w:tab w:val="right" w:leader="dot" w:pos="9062"/>
        </w:tabs>
        <w:ind w:left="440"/>
      </w:pPr>
      <w:hyperlink w:anchor="_Toc7124" w:history="1">
        <w:r>
          <w:rPr>
            <w:rFonts w:ascii="IRNazanin" w:hAnsi="IRNazanin" w:eastAsia="IRNazanin" w:cs="IRNazanin"/>
            <w:color w:val="111111"/>
            <w:sz w:val="22"/>
            <w:szCs w:val="22"/>
            <w:b w:val="0"/>
            <w:bCs w:val="0"/>
            <w:i w:val="0"/>
            <w:iCs w:val="0"/>
          </w:rPr>
          <w:t>6373- دیوان محرمی أردبیلی أو شعره‏</w:t>
        </w:r>
        <w:r>
          <w:tab/>
        </w:r>
        <w:r>
          <w:fldChar w:fldCharType="begin"/>
        </w:r>
        <w:r>
          <w:instrText xml:space="preserve">PAGEREF 7124 \h</w:instrText>
        </w:r>
        <w:r>
          <w:fldChar w:fldCharType="end"/>
        </w:r>
      </w:hyperlink>
    </w:p>
    <w:p>
      <w:pPr>
        <w:tabs>
          <w:tab w:val="right" w:leader="dot" w:pos="9062"/>
        </w:tabs>
        <w:ind w:left="440"/>
      </w:pPr>
      <w:hyperlink w:anchor="_Toc7125" w:history="1">
        <w:r>
          <w:rPr>
            <w:rFonts w:ascii="IRNazanin" w:hAnsi="IRNazanin" w:eastAsia="IRNazanin" w:cs="IRNazanin"/>
            <w:color w:val="111111"/>
            <w:sz w:val="22"/>
            <w:szCs w:val="22"/>
            <w:b w:val="0"/>
            <w:bCs w:val="0"/>
            <w:i w:val="0"/>
            <w:iCs w:val="0"/>
          </w:rPr>
          <w:t>6374- دیوان محرمی أسترآبادی أو شعره‏</w:t>
        </w:r>
        <w:r>
          <w:tab/>
        </w:r>
        <w:r>
          <w:fldChar w:fldCharType="begin"/>
        </w:r>
        <w:r>
          <w:instrText xml:space="preserve">PAGEREF 7125 \h</w:instrText>
        </w:r>
        <w:r>
          <w:fldChar w:fldCharType="end"/>
        </w:r>
      </w:hyperlink>
    </w:p>
    <w:p>
      <w:pPr>
        <w:tabs>
          <w:tab w:val="right" w:leader="dot" w:pos="9062"/>
        </w:tabs>
        <w:ind w:left="440"/>
      </w:pPr>
      <w:hyperlink w:anchor="_Toc7126" w:history="1">
        <w:r>
          <w:rPr>
            <w:rFonts w:ascii="IRNazanin" w:hAnsi="IRNazanin" w:eastAsia="IRNazanin" w:cs="IRNazanin"/>
            <w:color w:val="111111"/>
            <w:sz w:val="22"/>
            <w:szCs w:val="22"/>
            <w:b w:val="0"/>
            <w:bCs w:val="0"/>
            <w:i w:val="0"/>
            <w:iCs w:val="0"/>
          </w:rPr>
          <w:t>6375- دیوان محرمی میر شکار أو شعره‏</w:t>
        </w:r>
        <w:r>
          <w:tab/>
        </w:r>
        <w:r>
          <w:fldChar w:fldCharType="begin"/>
        </w:r>
        <w:r>
          <w:instrText xml:space="preserve">PAGEREF 7126 \h</w:instrText>
        </w:r>
        <w:r>
          <w:fldChar w:fldCharType="end"/>
        </w:r>
      </w:hyperlink>
    </w:p>
    <w:p>
      <w:pPr>
        <w:tabs>
          <w:tab w:val="right" w:leader="dot" w:pos="9062"/>
        </w:tabs>
        <w:ind w:left="440"/>
      </w:pPr>
      <w:hyperlink w:anchor="_Toc7127" w:history="1">
        <w:r>
          <w:rPr>
            <w:rFonts w:ascii="IRNazanin" w:hAnsi="IRNazanin" w:eastAsia="IRNazanin" w:cs="IRNazanin"/>
            <w:color w:val="111111"/>
            <w:sz w:val="22"/>
            <w:szCs w:val="22"/>
            <w:b w:val="0"/>
            <w:bCs w:val="0"/>
            <w:i w:val="0"/>
            <w:iCs w:val="0"/>
          </w:rPr>
          <w:t>6376- دیوان محروم رازی أو شعره‏</w:t>
        </w:r>
        <w:r>
          <w:tab/>
        </w:r>
        <w:r>
          <w:fldChar w:fldCharType="begin"/>
        </w:r>
        <w:r>
          <w:instrText xml:space="preserve">PAGEREF 7127 \h</w:instrText>
        </w:r>
        <w:r>
          <w:fldChar w:fldCharType="end"/>
        </w:r>
      </w:hyperlink>
    </w:p>
    <w:p>
      <w:pPr>
        <w:tabs>
          <w:tab w:val="right" w:leader="dot" w:pos="9062"/>
        </w:tabs>
        <w:ind w:left="440"/>
      </w:pPr>
      <w:hyperlink w:anchor="_Toc7128" w:history="1">
        <w:r>
          <w:rPr>
            <w:rFonts w:ascii="IRNazanin" w:hAnsi="IRNazanin" w:eastAsia="IRNazanin" w:cs="IRNazanin"/>
            <w:color w:val="111111"/>
            <w:sz w:val="22"/>
            <w:szCs w:val="22"/>
            <w:b w:val="0"/>
            <w:bCs w:val="0"/>
            <w:i w:val="0"/>
            <w:iCs w:val="0"/>
          </w:rPr>
          <w:t>6377- دیوان محزون‏</w:t>
        </w:r>
        <w:r>
          <w:tab/>
        </w:r>
        <w:r>
          <w:fldChar w:fldCharType="begin"/>
        </w:r>
        <w:r>
          <w:instrText xml:space="preserve">PAGEREF 7128 \h</w:instrText>
        </w:r>
        <w:r>
          <w:fldChar w:fldCharType="end"/>
        </w:r>
      </w:hyperlink>
    </w:p>
    <w:p>
      <w:pPr>
        <w:tabs>
          <w:tab w:val="right" w:leader="dot" w:pos="9062"/>
        </w:tabs>
        <w:ind w:left="440"/>
      </w:pPr>
      <w:hyperlink w:anchor="_Toc7129" w:history="1">
        <w:r>
          <w:rPr>
            <w:rFonts w:ascii="IRNazanin" w:hAnsi="IRNazanin" w:eastAsia="IRNazanin" w:cs="IRNazanin"/>
            <w:color w:val="111111"/>
            <w:sz w:val="22"/>
            <w:szCs w:val="22"/>
            <w:b w:val="0"/>
            <w:bCs w:val="0"/>
            <w:i w:val="0"/>
            <w:iCs w:val="0"/>
          </w:rPr>
          <w:t>6378- دیوان محزون أو شعره‏</w:t>
        </w:r>
        <w:r>
          <w:tab/>
        </w:r>
        <w:r>
          <w:fldChar w:fldCharType="begin"/>
        </w:r>
        <w:r>
          <w:instrText xml:space="preserve">PAGEREF 7129 \h</w:instrText>
        </w:r>
        <w:r>
          <w:fldChar w:fldCharType="end"/>
        </w:r>
      </w:hyperlink>
    </w:p>
    <w:p>
      <w:pPr>
        <w:tabs>
          <w:tab w:val="right" w:leader="dot" w:pos="9062"/>
        </w:tabs>
        <w:ind w:left="440"/>
      </w:pPr>
      <w:hyperlink w:anchor="_Toc7130" w:history="1">
        <w:r>
          <w:rPr>
            <w:rFonts w:ascii="IRNazanin" w:hAnsi="IRNazanin" w:eastAsia="IRNazanin" w:cs="IRNazanin"/>
            <w:color w:val="111111"/>
            <w:sz w:val="22"/>
            <w:szCs w:val="22"/>
            <w:b w:val="0"/>
            <w:bCs w:val="0"/>
            <w:i w:val="0"/>
            <w:iCs w:val="0"/>
          </w:rPr>
          <w:t>6379- دیوان محزون أسدآبادی‏</w:t>
        </w:r>
        <w:r>
          <w:tab/>
        </w:r>
        <w:r>
          <w:fldChar w:fldCharType="begin"/>
        </w:r>
        <w:r>
          <w:instrText xml:space="preserve">PAGEREF 7130 \h</w:instrText>
        </w:r>
        <w:r>
          <w:fldChar w:fldCharType="end"/>
        </w:r>
      </w:hyperlink>
    </w:p>
    <w:p>
      <w:pPr>
        <w:tabs>
          <w:tab w:val="right" w:leader="dot" w:pos="9062"/>
        </w:tabs>
        <w:ind w:left="440"/>
      </w:pPr>
      <w:hyperlink w:anchor="_Toc7131" w:history="1">
        <w:r>
          <w:rPr>
            <w:rFonts w:ascii="IRNazanin" w:hAnsi="IRNazanin" w:eastAsia="IRNazanin" w:cs="IRNazanin"/>
            <w:color w:val="111111"/>
            <w:sz w:val="22"/>
            <w:szCs w:val="22"/>
            <w:b w:val="0"/>
            <w:bCs w:val="0"/>
            <w:i w:val="0"/>
            <w:iCs w:val="0"/>
          </w:rPr>
          <w:t>6380- دیوان محزون أصفهانی‏</w:t>
        </w:r>
        <w:r>
          <w:tab/>
        </w:r>
        <w:r>
          <w:fldChar w:fldCharType="begin"/>
        </w:r>
        <w:r>
          <w:instrText xml:space="preserve">PAGEREF 7131 \h</w:instrText>
        </w:r>
        <w:r>
          <w:fldChar w:fldCharType="end"/>
        </w:r>
      </w:hyperlink>
    </w:p>
    <w:p>
      <w:pPr>
        <w:tabs>
          <w:tab w:val="right" w:leader="dot" w:pos="9062"/>
        </w:tabs>
        <w:ind w:left="440"/>
      </w:pPr>
      <w:hyperlink w:anchor="_Toc7132" w:history="1">
        <w:r>
          <w:rPr>
            <w:rFonts w:ascii="IRNazanin" w:hAnsi="IRNazanin" w:eastAsia="IRNazanin" w:cs="IRNazanin"/>
            <w:color w:val="111111"/>
            <w:sz w:val="22"/>
            <w:szCs w:val="22"/>
            <w:b w:val="0"/>
            <w:bCs w:val="0"/>
            <w:i w:val="0"/>
            <w:iCs w:val="0"/>
          </w:rPr>
          <w:t>6381- دیوان محزون بلگرامی أو شعره‏</w:t>
        </w:r>
        <w:r>
          <w:tab/>
        </w:r>
        <w:r>
          <w:fldChar w:fldCharType="begin"/>
        </w:r>
        <w:r>
          <w:instrText xml:space="preserve">PAGEREF 7132 \h</w:instrText>
        </w:r>
        <w:r>
          <w:fldChar w:fldCharType="end"/>
        </w:r>
      </w:hyperlink>
    </w:p>
    <w:p>
      <w:pPr>
        <w:tabs>
          <w:tab w:val="right" w:leader="dot" w:pos="9062"/>
        </w:tabs>
        <w:ind w:left="440"/>
      </w:pPr>
      <w:hyperlink w:anchor="_Toc7133" w:history="1">
        <w:r>
          <w:rPr>
            <w:rFonts w:ascii="IRNazanin" w:hAnsi="IRNazanin" w:eastAsia="IRNazanin" w:cs="IRNazanin"/>
            <w:color w:val="111111"/>
            <w:sz w:val="22"/>
            <w:szCs w:val="22"/>
            <w:b w:val="0"/>
            <w:bCs w:val="0"/>
            <w:i w:val="0"/>
            <w:iCs w:val="0"/>
          </w:rPr>
          <w:t>6382- دیوان محزون سدهی‏</w:t>
        </w:r>
        <w:r>
          <w:tab/>
        </w:r>
        <w:r>
          <w:fldChar w:fldCharType="begin"/>
        </w:r>
        <w:r>
          <w:instrText xml:space="preserve">PAGEREF 7133 \h</w:instrText>
        </w:r>
        <w:r>
          <w:fldChar w:fldCharType="end"/>
        </w:r>
      </w:hyperlink>
    </w:p>
    <w:p>
      <w:pPr>
        <w:tabs>
          <w:tab w:val="right" w:leader="dot" w:pos="9062"/>
        </w:tabs>
        <w:ind w:left="440"/>
      </w:pPr>
      <w:hyperlink w:anchor="_Toc7134" w:history="1">
        <w:r>
          <w:rPr>
            <w:rFonts w:ascii="IRNazanin" w:hAnsi="IRNazanin" w:eastAsia="IRNazanin" w:cs="IRNazanin"/>
            <w:color w:val="111111"/>
            <w:sz w:val="22"/>
            <w:szCs w:val="22"/>
            <w:b w:val="0"/>
            <w:bCs w:val="0"/>
            <w:i w:val="0"/>
            <w:iCs w:val="0"/>
          </w:rPr>
          <w:t>6383- دیوان محزون صدیقی أو شعره‏</w:t>
        </w:r>
        <w:r>
          <w:tab/>
        </w:r>
        <w:r>
          <w:fldChar w:fldCharType="begin"/>
        </w:r>
        <w:r>
          <w:instrText xml:space="preserve">PAGEREF 7134 \h</w:instrText>
        </w:r>
        <w:r>
          <w:fldChar w:fldCharType="end"/>
        </w:r>
      </w:hyperlink>
    </w:p>
    <w:p>
      <w:pPr>
        <w:tabs>
          <w:tab w:val="right" w:leader="dot" w:pos="9062"/>
        </w:tabs>
        <w:ind w:left="440"/>
      </w:pPr>
      <w:hyperlink w:anchor="_Toc7135" w:history="1">
        <w:r>
          <w:rPr>
            <w:rFonts w:ascii="IRNazanin" w:hAnsi="IRNazanin" w:eastAsia="IRNazanin" w:cs="IRNazanin"/>
            <w:color w:val="111111"/>
            <w:sz w:val="22"/>
            <w:szCs w:val="22"/>
            <w:b w:val="0"/>
            <w:bCs w:val="0"/>
            <w:i w:val="0"/>
            <w:iCs w:val="0"/>
          </w:rPr>
          <w:t>دیوان محزون همدانی‏</w:t>
        </w:r>
        <w:r>
          <w:tab/>
        </w:r>
        <w:r>
          <w:fldChar w:fldCharType="begin"/>
        </w:r>
        <w:r>
          <w:instrText xml:space="preserve">PAGEREF 7135 \h</w:instrText>
        </w:r>
        <w:r>
          <w:fldChar w:fldCharType="end"/>
        </w:r>
      </w:hyperlink>
    </w:p>
    <w:p>
      <w:pPr>
        <w:tabs>
          <w:tab w:val="right" w:leader="dot" w:pos="9062"/>
        </w:tabs>
        <w:ind w:left="440"/>
      </w:pPr>
      <w:hyperlink w:anchor="_Toc7136" w:history="1">
        <w:r>
          <w:rPr>
            <w:rFonts w:ascii="IRNazanin" w:hAnsi="IRNazanin" w:eastAsia="IRNazanin" w:cs="IRNazanin"/>
            <w:color w:val="111111"/>
            <w:sz w:val="22"/>
            <w:szCs w:val="22"/>
            <w:b w:val="0"/>
            <w:bCs w:val="0"/>
            <w:i w:val="0"/>
            <w:iCs w:val="0"/>
          </w:rPr>
          <w:t>6384- دیوان محزون همدانی أو شعره‏</w:t>
        </w:r>
        <w:r>
          <w:tab/>
        </w:r>
        <w:r>
          <w:fldChar w:fldCharType="begin"/>
        </w:r>
        <w:r>
          <w:instrText xml:space="preserve">PAGEREF 7136 \h</w:instrText>
        </w:r>
        <w:r>
          <w:fldChar w:fldCharType="end"/>
        </w:r>
      </w:hyperlink>
    </w:p>
    <w:p>
      <w:pPr>
        <w:tabs>
          <w:tab w:val="right" w:leader="dot" w:pos="9062"/>
        </w:tabs>
        <w:ind w:left="440"/>
      </w:pPr>
      <w:hyperlink w:anchor="_Toc7137" w:history="1">
        <w:r>
          <w:rPr>
            <w:rFonts w:ascii="IRNazanin" w:hAnsi="IRNazanin" w:eastAsia="IRNazanin" w:cs="IRNazanin"/>
            <w:color w:val="111111"/>
            <w:sz w:val="22"/>
            <w:szCs w:val="22"/>
            <w:b w:val="0"/>
            <w:bCs w:val="0"/>
            <w:i w:val="0"/>
            <w:iCs w:val="0"/>
          </w:rPr>
          <w:t>دیوان محسن بن سمیع‏</w:t>
        </w:r>
        <w:r>
          <w:tab/>
        </w:r>
        <w:r>
          <w:fldChar w:fldCharType="begin"/>
        </w:r>
        <w:r>
          <w:instrText xml:space="preserve">PAGEREF 7137 \h</w:instrText>
        </w:r>
        <w:r>
          <w:fldChar w:fldCharType="end"/>
        </w:r>
      </w:hyperlink>
    </w:p>
    <w:p>
      <w:pPr>
        <w:tabs>
          <w:tab w:val="right" w:leader="dot" w:pos="9062"/>
        </w:tabs>
        <w:ind w:left="440"/>
      </w:pPr>
      <w:hyperlink w:anchor="_Toc7138" w:history="1">
        <w:r>
          <w:rPr>
            <w:rFonts w:ascii="IRNazanin" w:hAnsi="IRNazanin" w:eastAsia="IRNazanin" w:cs="IRNazanin"/>
            <w:color w:val="111111"/>
            <w:sz w:val="22"/>
            <w:szCs w:val="22"/>
            <w:b w:val="0"/>
            <w:bCs w:val="0"/>
            <w:i w:val="0"/>
            <w:iCs w:val="0"/>
          </w:rPr>
          <w:t>6385- دیوان الشیخ محسن أبی الحب الصغیر الحائری‏</w:t>
        </w:r>
        <w:r>
          <w:tab/>
        </w:r>
        <w:r>
          <w:fldChar w:fldCharType="begin"/>
        </w:r>
        <w:r>
          <w:instrText xml:space="preserve">PAGEREF 7138 \h</w:instrText>
        </w:r>
        <w:r>
          <w:fldChar w:fldCharType="end"/>
        </w:r>
      </w:hyperlink>
    </w:p>
    <w:p>
      <w:pPr>
        <w:tabs>
          <w:tab w:val="right" w:leader="dot" w:pos="9062"/>
        </w:tabs>
        <w:ind w:left="440"/>
      </w:pPr>
      <w:hyperlink w:anchor="_Toc7139" w:history="1">
        <w:r>
          <w:rPr>
            <w:rFonts w:ascii="IRNazanin" w:hAnsi="IRNazanin" w:eastAsia="IRNazanin" w:cs="IRNazanin"/>
            <w:color w:val="111111"/>
            <w:sz w:val="22"/>
            <w:szCs w:val="22"/>
            <w:b w:val="0"/>
            <w:bCs w:val="0"/>
            <w:i w:val="0"/>
            <w:iCs w:val="0"/>
          </w:rPr>
          <w:t>6386- دیوان محسن أصفهانی أو شعره‏</w:t>
        </w:r>
        <w:r>
          <w:tab/>
        </w:r>
        <w:r>
          <w:fldChar w:fldCharType="begin"/>
        </w:r>
        <w:r>
          <w:instrText xml:space="preserve">PAGEREF 7139 \h</w:instrText>
        </w:r>
        <w:r>
          <w:fldChar w:fldCharType="end"/>
        </w:r>
      </w:hyperlink>
    </w:p>
    <w:p>
      <w:pPr>
        <w:tabs>
          <w:tab w:val="right" w:leader="dot" w:pos="9062"/>
        </w:tabs>
        <w:ind w:left="440"/>
      </w:pPr>
      <w:hyperlink w:anchor="_Toc7140" w:history="1">
        <w:r>
          <w:rPr>
            <w:rFonts w:ascii="IRNazanin" w:hAnsi="IRNazanin" w:eastAsia="IRNazanin" w:cs="IRNazanin"/>
            <w:color w:val="111111"/>
            <w:sz w:val="22"/>
            <w:szCs w:val="22"/>
            <w:b w:val="0"/>
            <w:bCs w:val="0"/>
            <w:i w:val="0"/>
            <w:iCs w:val="0"/>
          </w:rPr>
          <w:t>6387- دیوان محسن الأعرجی‏</w:t>
        </w:r>
        <w:r>
          <w:tab/>
        </w:r>
        <w:r>
          <w:fldChar w:fldCharType="begin"/>
        </w:r>
        <w:r>
          <w:instrText xml:space="preserve">PAGEREF 7140 \h</w:instrText>
        </w:r>
        <w:r>
          <w:fldChar w:fldCharType="end"/>
        </w:r>
      </w:hyperlink>
    </w:p>
    <w:p>
      <w:pPr>
        <w:tabs>
          <w:tab w:val="right" w:leader="dot" w:pos="9062"/>
        </w:tabs>
        <w:ind w:left="440"/>
      </w:pPr>
      <w:hyperlink w:anchor="_Toc7141" w:history="1">
        <w:r>
          <w:rPr>
            <w:rFonts w:ascii="IRNazanin" w:hAnsi="IRNazanin" w:eastAsia="IRNazanin" w:cs="IRNazanin"/>
            <w:color w:val="111111"/>
            <w:sz w:val="22"/>
            <w:szCs w:val="22"/>
            <w:b w:val="0"/>
            <w:bCs w:val="0"/>
            <w:i w:val="0"/>
            <w:iCs w:val="0"/>
          </w:rPr>
          <w:t>6388- دیوان السید محسن الأمین‏</w:t>
        </w:r>
        <w:r>
          <w:tab/>
        </w:r>
        <w:r>
          <w:fldChar w:fldCharType="begin"/>
        </w:r>
        <w:r>
          <w:instrText xml:space="preserve">PAGEREF 7141 \h</w:instrText>
        </w:r>
        <w:r>
          <w:fldChar w:fldCharType="end"/>
        </w:r>
      </w:hyperlink>
    </w:p>
    <w:p>
      <w:pPr>
        <w:tabs>
          <w:tab w:val="right" w:leader="dot" w:pos="9062"/>
        </w:tabs>
        <w:ind w:left="440"/>
      </w:pPr>
      <w:hyperlink w:anchor="_Toc7142" w:history="1">
        <w:r>
          <w:rPr>
            <w:rFonts w:ascii="IRNazanin" w:hAnsi="IRNazanin" w:eastAsia="IRNazanin" w:cs="IRNazanin"/>
            <w:color w:val="111111"/>
            <w:sz w:val="22"/>
            <w:szCs w:val="22"/>
            <w:b w:val="0"/>
            <w:bCs w:val="0"/>
            <w:i w:val="0"/>
            <w:iCs w:val="0"/>
          </w:rPr>
          <w:t>6389- دیوان محسن بلگرامی أو شعره‏</w:t>
        </w:r>
        <w:r>
          <w:tab/>
        </w:r>
        <w:r>
          <w:fldChar w:fldCharType="begin"/>
        </w:r>
        <w:r>
          <w:instrText xml:space="preserve">PAGEREF 7142 \h</w:instrText>
        </w:r>
        <w:r>
          <w:fldChar w:fldCharType="end"/>
        </w:r>
      </w:hyperlink>
    </w:p>
    <w:p>
      <w:pPr>
        <w:tabs>
          <w:tab w:val="right" w:leader="dot" w:pos="9062"/>
        </w:tabs>
        <w:ind w:left="440"/>
      </w:pPr>
      <w:hyperlink w:anchor="_Toc7143" w:history="1">
        <w:r>
          <w:rPr>
            <w:rFonts w:ascii="IRNazanin" w:hAnsi="IRNazanin" w:eastAsia="IRNazanin" w:cs="IRNazanin"/>
            <w:color w:val="111111"/>
            <w:sz w:val="22"/>
            <w:szCs w:val="22"/>
            <w:b w:val="0"/>
            <w:bCs w:val="0"/>
            <w:i w:val="0"/>
            <w:iCs w:val="0"/>
          </w:rPr>
          <w:t>دیوان میرزا محسن التبریزی‏</w:t>
        </w:r>
        <w:r>
          <w:tab/>
        </w:r>
        <w:r>
          <w:fldChar w:fldCharType="begin"/>
        </w:r>
        <w:r>
          <w:instrText xml:space="preserve">PAGEREF 7143 \h</w:instrText>
        </w:r>
        <w:r>
          <w:fldChar w:fldCharType="end"/>
        </w:r>
      </w:hyperlink>
    </w:p>
    <w:p>
      <w:pPr>
        <w:tabs>
          <w:tab w:val="right" w:leader="dot" w:pos="9062"/>
        </w:tabs>
        <w:ind w:left="440"/>
      </w:pPr>
      <w:hyperlink w:anchor="_Toc7144" w:history="1">
        <w:r>
          <w:rPr>
            <w:rFonts w:ascii="IRNazanin" w:hAnsi="IRNazanin" w:eastAsia="IRNazanin" w:cs="IRNazanin"/>
            <w:color w:val="111111"/>
            <w:sz w:val="22"/>
            <w:szCs w:val="22"/>
            <w:b w:val="0"/>
            <w:bCs w:val="0"/>
            <w:i w:val="0"/>
            <w:iCs w:val="0"/>
          </w:rPr>
          <w:t>دیوان محسن التنوخی‏</w:t>
        </w:r>
        <w:r>
          <w:tab/>
        </w:r>
        <w:r>
          <w:fldChar w:fldCharType="begin"/>
        </w:r>
        <w:r>
          <w:instrText xml:space="preserve">PAGEREF 7144 \h</w:instrText>
        </w:r>
        <w:r>
          <w:fldChar w:fldCharType="end"/>
        </w:r>
      </w:hyperlink>
    </w:p>
    <w:p>
      <w:pPr>
        <w:tabs>
          <w:tab w:val="right" w:leader="dot" w:pos="9062"/>
        </w:tabs>
        <w:ind w:left="440"/>
      </w:pPr>
      <w:hyperlink w:anchor="_Toc7145" w:history="1">
        <w:r>
          <w:rPr>
            <w:rFonts w:ascii="IRNazanin" w:hAnsi="IRNazanin" w:eastAsia="IRNazanin" w:cs="IRNazanin"/>
            <w:color w:val="111111"/>
            <w:sz w:val="22"/>
            <w:szCs w:val="22"/>
            <w:b w:val="0"/>
            <w:bCs w:val="0"/>
            <w:i w:val="0"/>
            <w:iCs w:val="0"/>
          </w:rPr>
          <w:t>6390- دیوان الشیخ محسن الجواهری‏</w:t>
        </w:r>
        <w:r>
          <w:tab/>
        </w:r>
        <w:r>
          <w:fldChar w:fldCharType="begin"/>
        </w:r>
        <w:r>
          <w:instrText xml:space="preserve">PAGEREF 7145 \h</w:instrText>
        </w:r>
        <w:r>
          <w:fldChar w:fldCharType="end"/>
        </w:r>
      </w:hyperlink>
    </w:p>
    <w:p>
      <w:pPr>
        <w:tabs>
          <w:tab w:val="right" w:leader="dot" w:pos="9062"/>
        </w:tabs>
        <w:ind w:left="440"/>
      </w:pPr>
      <w:hyperlink w:anchor="_Toc7146" w:history="1">
        <w:r>
          <w:rPr>
            <w:rFonts w:ascii="IRNazanin" w:hAnsi="IRNazanin" w:eastAsia="IRNazanin" w:cs="IRNazanin"/>
            <w:color w:val="111111"/>
            <w:sz w:val="22"/>
            <w:szCs w:val="22"/>
            <w:b w:val="0"/>
            <w:bCs w:val="0"/>
            <w:i w:val="0"/>
            <w:iCs w:val="0"/>
          </w:rPr>
          <w:t>6391- دیوان الشیخ محسن الحائری‏</w:t>
        </w:r>
        <w:r>
          <w:tab/>
        </w:r>
        <w:r>
          <w:fldChar w:fldCharType="begin"/>
        </w:r>
        <w:r>
          <w:instrText xml:space="preserve">PAGEREF 7146 \h</w:instrText>
        </w:r>
        <w:r>
          <w:fldChar w:fldCharType="end"/>
        </w:r>
      </w:hyperlink>
    </w:p>
    <w:p>
      <w:pPr>
        <w:tabs>
          <w:tab w:val="right" w:leader="dot" w:pos="9062"/>
        </w:tabs>
        <w:ind w:left="440"/>
      </w:pPr>
      <w:hyperlink w:anchor="_Toc7147" w:history="1">
        <w:r>
          <w:rPr>
            <w:rFonts w:ascii="IRNazanin" w:hAnsi="IRNazanin" w:eastAsia="IRNazanin" w:cs="IRNazanin"/>
            <w:color w:val="111111"/>
            <w:sz w:val="22"/>
            <w:szCs w:val="22"/>
            <w:b w:val="0"/>
            <w:bCs w:val="0"/>
            <w:i w:val="0"/>
            <w:iCs w:val="0"/>
          </w:rPr>
          <w:t>6392- دیوان الشیخ محسن الخضری‏</w:t>
        </w:r>
        <w:r>
          <w:tab/>
        </w:r>
        <w:r>
          <w:fldChar w:fldCharType="begin"/>
        </w:r>
        <w:r>
          <w:instrText xml:space="preserve">PAGEREF 7147 \h</w:instrText>
        </w:r>
        <w:r>
          <w:fldChar w:fldCharType="end"/>
        </w:r>
      </w:hyperlink>
    </w:p>
    <w:p>
      <w:pPr>
        <w:tabs>
          <w:tab w:val="right" w:leader="dot" w:pos="9062"/>
        </w:tabs>
        <w:ind w:left="440"/>
      </w:pPr>
      <w:hyperlink w:anchor="_Toc7148" w:history="1">
        <w:r>
          <w:rPr>
            <w:rFonts w:ascii="IRNazanin" w:hAnsi="IRNazanin" w:eastAsia="IRNazanin" w:cs="IRNazanin"/>
            <w:color w:val="111111"/>
            <w:sz w:val="22"/>
            <w:szCs w:val="22"/>
            <w:b w:val="0"/>
            <w:bCs w:val="0"/>
            <w:i w:val="0"/>
            <w:iCs w:val="0"/>
          </w:rPr>
          <w:t>6393- دیوان محسن دستغیب‏</w:t>
        </w:r>
        <w:r>
          <w:tab/>
        </w:r>
        <w:r>
          <w:fldChar w:fldCharType="begin"/>
        </w:r>
        <w:r>
          <w:instrText xml:space="preserve">PAGEREF 7148 \h</w:instrText>
        </w:r>
        <w:r>
          <w:fldChar w:fldCharType="end"/>
        </w:r>
      </w:hyperlink>
    </w:p>
    <w:p>
      <w:pPr>
        <w:tabs>
          <w:tab w:val="right" w:leader="dot" w:pos="9062"/>
        </w:tabs>
        <w:ind w:left="440"/>
      </w:pPr>
      <w:hyperlink w:anchor="_Toc7149" w:history="1">
        <w:r>
          <w:rPr>
            <w:rFonts w:ascii="IRNazanin" w:hAnsi="IRNazanin" w:eastAsia="IRNazanin" w:cs="IRNazanin"/>
            <w:color w:val="111111"/>
            <w:sz w:val="22"/>
            <w:szCs w:val="22"/>
            <w:b w:val="0"/>
            <w:bCs w:val="0"/>
            <w:i w:val="0"/>
            <w:iCs w:val="0"/>
          </w:rPr>
          <w:t>6394- دیوان محسن دها</w:t>
        </w:r>
        <w:r>
          <w:tab/>
        </w:r>
        <w:r>
          <w:fldChar w:fldCharType="begin"/>
        </w:r>
        <w:r>
          <w:instrText xml:space="preserve">PAGEREF 7149 \h</w:instrText>
        </w:r>
        <w:r>
          <w:fldChar w:fldCharType="end"/>
        </w:r>
      </w:hyperlink>
    </w:p>
    <w:p>
      <w:pPr>
        <w:tabs>
          <w:tab w:val="right" w:leader="dot" w:pos="9062"/>
        </w:tabs>
        <w:ind w:left="440"/>
      </w:pPr>
      <w:hyperlink w:anchor="_Toc7150" w:history="1">
        <w:r>
          <w:rPr>
            <w:rFonts w:ascii="IRNazanin" w:hAnsi="IRNazanin" w:eastAsia="IRNazanin" w:cs="IRNazanin"/>
            <w:color w:val="111111"/>
            <w:sz w:val="22"/>
            <w:szCs w:val="22"/>
            <w:b w:val="0"/>
            <w:bCs w:val="0"/>
            <w:i w:val="0"/>
            <w:iCs w:val="0"/>
          </w:rPr>
          <w:t>6395- دیوان محسن شایق‏</w:t>
        </w:r>
        <w:r>
          <w:tab/>
        </w:r>
        <w:r>
          <w:fldChar w:fldCharType="begin"/>
        </w:r>
        <w:r>
          <w:instrText xml:space="preserve">PAGEREF 7150 \h</w:instrText>
        </w:r>
        <w:r>
          <w:fldChar w:fldCharType="end"/>
        </w:r>
      </w:hyperlink>
    </w:p>
    <w:p>
      <w:pPr>
        <w:tabs>
          <w:tab w:val="right" w:leader="dot" w:pos="9062"/>
        </w:tabs>
        <w:ind w:left="440"/>
      </w:pPr>
      <w:hyperlink w:anchor="_Toc7151" w:history="1">
        <w:r>
          <w:rPr>
            <w:rFonts w:ascii="IRNazanin" w:hAnsi="IRNazanin" w:eastAsia="IRNazanin" w:cs="IRNazanin"/>
            <w:color w:val="111111"/>
            <w:sz w:val="22"/>
            <w:szCs w:val="22"/>
            <w:b w:val="0"/>
            <w:bCs w:val="0"/>
            <w:i w:val="0"/>
            <w:iCs w:val="0"/>
          </w:rPr>
          <w:t>6396- دیوان محسن شیرازی أو شعره‏</w:t>
        </w:r>
        <w:r>
          <w:tab/>
        </w:r>
        <w:r>
          <w:fldChar w:fldCharType="begin"/>
        </w:r>
        <w:r>
          <w:instrText xml:space="preserve">PAGEREF 7151 \h</w:instrText>
        </w:r>
        <w:r>
          <w:fldChar w:fldCharType="end"/>
        </w:r>
      </w:hyperlink>
    </w:p>
    <w:p>
      <w:pPr>
        <w:tabs>
          <w:tab w:val="right" w:leader="dot" w:pos="9062"/>
        </w:tabs>
        <w:ind w:left="440"/>
      </w:pPr>
      <w:hyperlink w:anchor="_Toc7152" w:history="1">
        <w:r>
          <w:rPr>
            <w:rFonts w:ascii="IRNazanin" w:hAnsi="IRNazanin" w:eastAsia="IRNazanin" w:cs="IRNazanin"/>
            <w:color w:val="111111"/>
            <w:sz w:val="22"/>
            <w:szCs w:val="22"/>
            <w:b w:val="0"/>
            <w:bCs w:val="0"/>
            <w:i w:val="0"/>
            <w:iCs w:val="0"/>
          </w:rPr>
          <w:t>6397- دیوان محسن شفائی‏</w:t>
        </w:r>
        <w:r>
          <w:tab/>
        </w:r>
        <w:r>
          <w:fldChar w:fldCharType="begin"/>
        </w:r>
        <w:r>
          <w:instrText xml:space="preserve">PAGEREF 7152 \h</w:instrText>
        </w:r>
        <w:r>
          <w:fldChar w:fldCharType="end"/>
        </w:r>
      </w:hyperlink>
    </w:p>
    <w:p>
      <w:pPr>
        <w:tabs>
          <w:tab w:val="right" w:leader="dot" w:pos="9062"/>
        </w:tabs>
        <w:ind w:left="440"/>
      </w:pPr>
      <w:hyperlink w:anchor="_Toc7153" w:history="1">
        <w:r>
          <w:rPr>
            <w:rFonts w:ascii="IRNazanin" w:hAnsi="IRNazanin" w:eastAsia="IRNazanin" w:cs="IRNazanin"/>
            <w:color w:val="111111"/>
            <w:sz w:val="22"/>
            <w:szCs w:val="22"/>
            <w:b w:val="0"/>
            <w:bCs w:val="0"/>
            <w:i w:val="0"/>
            <w:iCs w:val="0"/>
          </w:rPr>
          <w:t>6398- دیوان محسن شمس‏</w:t>
        </w:r>
        <w:r>
          <w:tab/>
        </w:r>
        <w:r>
          <w:fldChar w:fldCharType="begin"/>
        </w:r>
        <w:r>
          <w:instrText xml:space="preserve">PAGEREF 7153 \h</w:instrText>
        </w:r>
        <w:r>
          <w:fldChar w:fldCharType="end"/>
        </w:r>
      </w:hyperlink>
    </w:p>
    <w:p>
      <w:pPr>
        <w:tabs>
          <w:tab w:val="right" w:leader="dot" w:pos="9062"/>
        </w:tabs>
        <w:ind w:left="440"/>
      </w:pPr>
      <w:hyperlink w:anchor="_Toc7154" w:history="1">
        <w:r>
          <w:rPr>
            <w:rFonts w:ascii="IRNazanin" w:hAnsi="IRNazanin" w:eastAsia="IRNazanin" w:cs="IRNazanin"/>
            <w:color w:val="111111"/>
            <w:sz w:val="22"/>
            <w:szCs w:val="22"/>
            <w:b w:val="0"/>
            <w:bCs w:val="0"/>
            <w:i w:val="0"/>
            <w:iCs w:val="0"/>
          </w:rPr>
          <w:t>6399- دیوان الشیخ محسن العذاری‏</w:t>
        </w:r>
        <w:r>
          <w:tab/>
        </w:r>
        <w:r>
          <w:fldChar w:fldCharType="begin"/>
        </w:r>
        <w:r>
          <w:instrText xml:space="preserve">PAGEREF 7154 \h</w:instrText>
        </w:r>
        <w:r>
          <w:fldChar w:fldCharType="end"/>
        </w:r>
      </w:hyperlink>
    </w:p>
    <w:p>
      <w:pPr>
        <w:tabs>
          <w:tab w:val="right" w:leader="dot" w:pos="9062"/>
        </w:tabs>
        <w:ind w:left="440"/>
      </w:pPr>
      <w:hyperlink w:anchor="_Toc7155" w:history="1">
        <w:r>
          <w:rPr>
            <w:rFonts w:ascii="IRNazanin" w:hAnsi="IRNazanin" w:eastAsia="IRNazanin" w:cs="IRNazanin"/>
            <w:color w:val="111111"/>
            <w:sz w:val="22"/>
            <w:szCs w:val="22"/>
            <w:b w:val="0"/>
            <w:bCs w:val="0"/>
            <w:i w:val="0"/>
            <w:iCs w:val="0"/>
          </w:rPr>
          <w:t>دیوان محسن فانی‏</w:t>
        </w:r>
        <w:r>
          <w:tab/>
        </w:r>
        <w:r>
          <w:fldChar w:fldCharType="begin"/>
        </w:r>
        <w:r>
          <w:instrText xml:space="preserve">PAGEREF 7155 \h</w:instrText>
        </w:r>
        <w:r>
          <w:fldChar w:fldCharType="end"/>
        </w:r>
      </w:hyperlink>
    </w:p>
    <w:p>
      <w:pPr>
        <w:tabs>
          <w:tab w:val="right" w:leader="dot" w:pos="9062"/>
        </w:tabs>
        <w:ind w:left="440"/>
      </w:pPr>
      <w:hyperlink w:anchor="_Toc7156" w:history="1">
        <w:r>
          <w:rPr>
            <w:rFonts w:ascii="IRNazanin" w:hAnsi="IRNazanin" w:eastAsia="IRNazanin" w:cs="IRNazanin"/>
            <w:color w:val="111111"/>
            <w:sz w:val="22"/>
            <w:szCs w:val="22"/>
            <w:b w:val="0"/>
            <w:bCs w:val="0"/>
            <w:i w:val="0"/>
            <w:iCs w:val="0"/>
          </w:rPr>
          <w:t>6400- دیوان محسن فراهی‏</w:t>
        </w:r>
        <w:r>
          <w:tab/>
        </w:r>
        <w:r>
          <w:fldChar w:fldCharType="begin"/>
        </w:r>
        <w:r>
          <w:instrText xml:space="preserve">PAGEREF 7156 \h</w:instrText>
        </w:r>
        <w:r>
          <w:fldChar w:fldCharType="end"/>
        </w:r>
      </w:hyperlink>
    </w:p>
    <w:p>
      <w:pPr>
        <w:tabs>
          <w:tab w:val="right" w:leader="dot" w:pos="9062"/>
        </w:tabs>
        <w:ind w:left="440"/>
      </w:pPr>
      <w:hyperlink w:anchor="_Toc7157" w:history="1">
        <w:r>
          <w:rPr>
            <w:rFonts w:ascii="IRNazanin" w:hAnsi="IRNazanin" w:eastAsia="IRNazanin" w:cs="IRNazanin"/>
            <w:color w:val="111111"/>
            <w:sz w:val="22"/>
            <w:szCs w:val="22"/>
            <w:b w:val="0"/>
            <w:bCs w:val="0"/>
            <w:i w:val="0"/>
            <w:iCs w:val="0"/>
          </w:rPr>
          <w:t>6401- دیوان محسن فرج‏</w:t>
        </w:r>
        <w:r>
          <w:tab/>
        </w:r>
        <w:r>
          <w:fldChar w:fldCharType="begin"/>
        </w:r>
        <w:r>
          <w:instrText xml:space="preserve">PAGEREF 7157 \h</w:instrText>
        </w:r>
        <w:r>
          <w:fldChar w:fldCharType="end"/>
        </w:r>
      </w:hyperlink>
    </w:p>
    <w:p>
      <w:pPr>
        <w:tabs>
          <w:tab w:val="right" w:leader="dot" w:pos="9062"/>
        </w:tabs>
        <w:ind w:left="440"/>
      </w:pPr>
      <w:hyperlink w:anchor="_Toc7158" w:history="1">
        <w:r>
          <w:rPr>
            <w:rFonts w:ascii="IRNazanin" w:hAnsi="IRNazanin" w:eastAsia="IRNazanin" w:cs="IRNazanin"/>
            <w:color w:val="111111"/>
            <w:sz w:val="22"/>
            <w:szCs w:val="22"/>
            <w:b w:val="0"/>
            <w:bCs w:val="0"/>
            <w:i w:val="0"/>
            <w:iCs w:val="0"/>
          </w:rPr>
          <w:t>دیوان محسن الفیض الکاشانی‏</w:t>
        </w:r>
        <w:r>
          <w:tab/>
        </w:r>
        <w:r>
          <w:fldChar w:fldCharType="begin"/>
        </w:r>
        <w:r>
          <w:instrText xml:space="preserve">PAGEREF 7158 \h</w:instrText>
        </w:r>
        <w:r>
          <w:fldChar w:fldCharType="end"/>
        </w:r>
      </w:hyperlink>
    </w:p>
    <w:p>
      <w:pPr>
        <w:tabs>
          <w:tab w:val="right" w:leader="dot" w:pos="9062"/>
        </w:tabs>
        <w:ind w:left="440"/>
      </w:pPr>
      <w:hyperlink w:anchor="_Toc7159" w:history="1">
        <w:r>
          <w:rPr>
            <w:rFonts w:ascii="IRNazanin" w:hAnsi="IRNazanin" w:eastAsia="IRNazanin" w:cs="IRNazanin"/>
            <w:color w:val="111111"/>
            <w:sz w:val="22"/>
            <w:szCs w:val="22"/>
            <w:b w:val="0"/>
            <w:bCs w:val="0"/>
            <w:i w:val="0"/>
            <w:iCs w:val="0"/>
          </w:rPr>
          <w:t>6402- دیوان محسن قندهاری‏</w:t>
        </w:r>
        <w:r>
          <w:tab/>
        </w:r>
        <w:r>
          <w:fldChar w:fldCharType="begin"/>
        </w:r>
        <w:r>
          <w:instrText xml:space="preserve">PAGEREF 7159 \h</w:instrText>
        </w:r>
        <w:r>
          <w:fldChar w:fldCharType="end"/>
        </w:r>
      </w:hyperlink>
    </w:p>
    <w:p>
      <w:pPr>
        <w:tabs>
          <w:tab w:val="right" w:leader="dot" w:pos="9062"/>
        </w:tabs>
        <w:ind w:left="440"/>
      </w:pPr>
      <w:hyperlink w:anchor="_Toc7160" w:history="1">
        <w:r>
          <w:rPr>
            <w:rFonts w:ascii="IRNazanin" w:hAnsi="IRNazanin" w:eastAsia="IRNazanin" w:cs="IRNazanin"/>
            <w:color w:val="111111"/>
            <w:sz w:val="22"/>
            <w:szCs w:val="22"/>
            <w:b w:val="0"/>
            <w:bCs w:val="0"/>
            <w:i w:val="0"/>
            <w:iCs w:val="0"/>
          </w:rPr>
          <w:t>دیوان محسن کرمانشاهی‏</w:t>
        </w:r>
        <w:r>
          <w:tab/>
        </w:r>
        <w:r>
          <w:fldChar w:fldCharType="begin"/>
        </w:r>
        <w:r>
          <w:instrText xml:space="preserve">PAGEREF 7160 \h</w:instrText>
        </w:r>
        <w:r>
          <w:fldChar w:fldCharType="end"/>
        </w:r>
      </w:hyperlink>
    </w:p>
    <w:p>
      <w:pPr>
        <w:tabs>
          <w:tab w:val="right" w:leader="dot" w:pos="9062"/>
        </w:tabs>
        <w:ind w:left="440"/>
      </w:pPr>
      <w:hyperlink w:anchor="_Toc7161" w:history="1">
        <w:r>
          <w:rPr>
            <w:rFonts w:ascii="IRNazanin" w:hAnsi="IRNazanin" w:eastAsia="IRNazanin" w:cs="IRNazanin"/>
            <w:color w:val="111111"/>
            <w:sz w:val="22"/>
            <w:szCs w:val="22"/>
            <w:b w:val="0"/>
            <w:bCs w:val="0"/>
            <w:i w:val="0"/>
            <w:iCs w:val="0"/>
          </w:rPr>
          <w:t>6403- دیوان محسن لاری أو شعره‏</w:t>
        </w:r>
        <w:r>
          <w:tab/>
        </w:r>
        <w:r>
          <w:fldChar w:fldCharType="begin"/>
        </w:r>
        <w:r>
          <w:instrText xml:space="preserve">PAGEREF 7161 \h</w:instrText>
        </w:r>
        <w:r>
          <w:fldChar w:fldCharType="end"/>
        </w:r>
      </w:hyperlink>
    </w:p>
    <w:p>
      <w:pPr>
        <w:tabs>
          <w:tab w:val="right" w:leader="dot" w:pos="9062"/>
        </w:tabs>
        <w:ind w:left="440"/>
      </w:pPr>
      <w:hyperlink w:anchor="_Toc7162" w:history="1">
        <w:r>
          <w:rPr>
            <w:rFonts w:ascii="IRNazanin" w:hAnsi="IRNazanin" w:eastAsia="IRNazanin" w:cs="IRNazanin"/>
            <w:color w:val="111111"/>
            <w:sz w:val="22"/>
            <w:szCs w:val="22"/>
            <w:b w:val="0"/>
            <w:bCs w:val="0"/>
            <w:i w:val="0"/>
            <w:iCs w:val="0"/>
          </w:rPr>
          <w:t>دیوان محسن مدراسی‏</w:t>
        </w:r>
        <w:r>
          <w:tab/>
        </w:r>
        <w:r>
          <w:fldChar w:fldCharType="begin"/>
        </w:r>
        <w:r>
          <w:instrText xml:space="preserve">PAGEREF 7162 \h</w:instrText>
        </w:r>
        <w:r>
          <w:fldChar w:fldCharType="end"/>
        </w:r>
      </w:hyperlink>
    </w:p>
    <w:p>
      <w:pPr>
        <w:tabs>
          <w:tab w:val="right" w:leader="dot" w:pos="9062"/>
        </w:tabs>
        <w:ind w:left="440"/>
      </w:pPr>
      <w:hyperlink w:anchor="_Toc7163" w:history="1">
        <w:r>
          <w:rPr>
            <w:rFonts w:ascii="IRNazanin" w:hAnsi="IRNazanin" w:eastAsia="IRNazanin" w:cs="IRNazanin"/>
            <w:color w:val="111111"/>
            <w:sz w:val="22"/>
            <w:szCs w:val="22"/>
            <w:b w:val="0"/>
            <w:bCs w:val="0"/>
            <w:i w:val="0"/>
            <w:iCs w:val="0"/>
          </w:rPr>
          <w:t>6404- دیوان محسن نجفی أو شعره‏</w:t>
        </w:r>
        <w:r>
          <w:tab/>
        </w:r>
        <w:r>
          <w:fldChar w:fldCharType="begin"/>
        </w:r>
        <w:r>
          <w:instrText xml:space="preserve">PAGEREF 7163 \h</w:instrText>
        </w:r>
        <w:r>
          <w:fldChar w:fldCharType="end"/>
        </w:r>
      </w:hyperlink>
    </w:p>
    <w:p>
      <w:pPr>
        <w:tabs>
          <w:tab w:val="right" w:leader="dot" w:pos="9062"/>
        </w:tabs>
        <w:ind w:left="440"/>
      </w:pPr>
      <w:hyperlink w:anchor="_Toc7164" w:history="1">
        <w:r>
          <w:rPr>
            <w:rFonts w:ascii="IRNazanin" w:hAnsi="IRNazanin" w:eastAsia="IRNazanin" w:cs="IRNazanin"/>
            <w:color w:val="111111"/>
            <w:sz w:val="22"/>
            <w:szCs w:val="22"/>
            <w:b w:val="0"/>
            <w:bCs w:val="0"/>
            <w:i w:val="0"/>
            <w:iCs w:val="0"/>
          </w:rPr>
          <w:t>6405- دیوان محسن همدانی أو شعره‏</w:t>
        </w:r>
        <w:r>
          <w:tab/>
        </w:r>
        <w:r>
          <w:fldChar w:fldCharType="begin"/>
        </w:r>
        <w:r>
          <w:instrText xml:space="preserve">PAGEREF 7164 \h</w:instrText>
        </w:r>
        <w:r>
          <w:fldChar w:fldCharType="end"/>
        </w:r>
      </w:hyperlink>
    </w:p>
    <w:p>
      <w:pPr>
        <w:tabs>
          <w:tab w:val="right" w:leader="dot" w:pos="9062"/>
        </w:tabs>
        <w:ind w:left="440"/>
      </w:pPr>
      <w:hyperlink w:anchor="_Toc7165" w:history="1">
        <w:r>
          <w:rPr>
            <w:rFonts w:ascii="IRNazanin" w:hAnsi="IRNazanin" w:eastAsia="IRNazanin" w:cs="IRNazanin"/>
            <w:color w:val="111111"/>
            <w:sz w:val="22"/>
            <w:szCs w:val="22"/>
            <w:b w:val="0"/>
            <w:bCs w:val="0"/>
            <w:i w:val="0"/>
            <w:iCs w:val="0"/>
          </w:rPr>
          <w:t>6406- دیوان محسن هندی‏</w:t>
        </w:r>
        <w:r>
          <w:tab/>
        </w:r>
        <w:r>
          <w:fldChar w:fldCharType="begin"/>
        </w:r>
        <w:r>
          <w:instrText xml:space="preserve">PAGEREF 7165 \h</w:instrText>
        </w:r>
        <w:r>
          <w:fldChar w:fldCharType="end"/>
        </w:r>
      </w:hyperlink>
    </w:p>
    <w:p>
      <w:pPr>
        <w:tabs>
          <w:tab w:val="right" w:leader="dot" w:pos="9062"/>
        </w:tabs>
        <w:ind w:left="440"/>
      </w:pPr>
      <w:hyperlink w:anchor="_Toc7166" w:history="1">
        <w:r>
          <w:rPr>
            <w:rFonts w:ascii="IRNazanin" w:hAnsi="IRNazanin" w:eastAsia="IRNazanin" w:cs="IRNazanin"/>
            <w:color w:val="111111"/>
            <w:sz w:val="22"/>
            <w:szCs w:val="22"/>
            <w:b w:val="0"/>
            <w:bCs w:val="0"/>
            <w:i w:val="0"/>
            <w:iCs w:val="0"/>
          </w:rPr>
          <w:t>6407- دیوان محشر أردبیلی‏</w:t>
        </w:r>
        <w:r>
          <w:tab/>
        </w:r>
        <w:r>
          <w:fldChar w:fldCharType="begin"/>
        </w:r>
        <w:r>
          <w:instrText xml:space="preserve">PAGEREF 7166 \h</w:instrText>
        </w:r>
        <w:r>
          <w:fldChar w:fldCharType="end"/>
        </w:r>
      </w:hyperlink>
    </w:p>
    <w:p>
      <w:pPr>
        <w:tabs>
          <w:tab w:val="right" w:leader="dot" w:pos="9062"/>
        </w:tabs>
        <w:ind w:left="440"/>
      </w:pPr>
      <w:hyperlink w:anchor="_Toc7167" w:history="1">
        <w:r>
          <w:rPr>
            <w:rFonts w:ascii="IRNazanin" w:hAnsi="IRNazanin" w:eastAsia="IRNazanin" w:cs="IRNazanin"/>
            <w:color w:val="111111"/>
            <w:sz w:val="22"/>
            <w:szCs w:val="22"/>
            <w:b w:val="0"/>
            <w:bCs w:val="0"/>
            <w:i w:val="0"/>
            <w:iCs w:val="0"/>
          </w:rPr>
          <w:t>6408- دیوان محشری خوانساری‏</w:t>
        </w:r>
        <w:r>
          <w:tab/>
        </w:r>
        <w:r>
          <w:fldChar w:fldCharType="begin"/>
        </w:r>
        <w:r>
          <w:instrText xml:space="preserve">PAGEREF 7167 \h</w:instrText>
        </w:r>
        <w:r>
          <w:fldChar w:fldCharType="end"/>
        </w:r>
      </w:hyperlink>
    </w:p>
    <w:p>
      <w:pPr>
        <w:tabs>
          <w:tab w:val="right" w:leader="dot" w:pos="9062"/>
        </w:tabs>
        <w:ind w:left="440"/>
      </w:pPr>
      <w:hyperlink w:anchor="_Toc7168" w:history="1">
        <w:r>
          <w:rPr>
            <w:rFonts w:ascii="IRNazanin" w:hAnsi="IRNazanin" w:eastAsia="IRNazanin" w:cs="IRNazanin"/>
            <w:color w:val="111111"/>
            <w:sz w:val="22"/>
            <w:szCs w:val="22"/>
            <w:b w:val="0"/>
            <w:bCs w:val="0"/>
            <w:i w:val="0"/>
            <w:iCs w:val="0"/>
          </w:rPr>
          <w:t>6409- دیوان محشری نیشابوری أو شعره‏</w:t>
        </w:r>
        <w:r>
          <w:tab/>
        </w:r>
        <w:r>
          <w:fldChar w:fldCharType="begin"/>
        </w:r>
        <w:r>
          <w:instrText xml:space="preserve">PAGEREF 7168 \h</w:instrText>
        </w:r>
        <w:r>
          <w:fldChar w:fldCharType="end"/>
        </w:r>
      </w:hyperlink>
    </w:p>
    <w:p>
      <w:pPr>
        <w:tabs>
          <w:tab w:val="right" w:leader="dot" w:pos="9062"/>
        </w:tabs>
        <w:ind w:left="440"/>
      </w:pPr>
      <w:hyperlink w:anchor="_Toc7169" w:history="1">
        <w:r>
          <w:rPr>
            <w:rFonts w:ascii="IRNazanin" w:hAnsi="IRNazanin" w:eastAsia="IRNazanin" w:cs="IRNazanin"/>
            <w:color w:val="111111"/>
            <w:sz w:val="22"/>
            <w:szCs w:val="22"/>
            <w:b w:val="0"/>
            <w:bCs w:val="0"/>
            <w:i w:val="0"/>
            <w:iCs w:val="0"/>
          </w:rPr>
          <w:t>6410- دیوان محضری همدانی‏</w:t>
        </w:r>
        <w:r>
          <w:tab/>
        </w:r>
        <w:r>
          <w:fldChar w:fldCharType="begin"/>
        </w:r>
        <w:r>
          <w:instrText xml:space="preserve">PAGEREF 7169 \h</w:instrText>
        </w:r>
        <w:r>
          <w:fldChar w:fldCharType="end"/>
        </w:r>
      </w:hyperlink>
    </w:p>
    <w:p>
      <w:pPr>
        <w:tabs>
          <w:tab w:val="right" w:leader="dot" w:pos="9062"/>
        </w:tabs>
        <w:ind w:left="440"/>
      </w:pPr>
      <w:hyperlink w:anchor="_Toc7170" w:history="1">
        <w:r>
          <w:rPr>
            <w:rFonts w:ascii="IRNazanin" w:hAnsi="IRNazanin" w:eastAsia="IRNazanin" w:cs="IRNazanin"/>
            <w:color w:val="111111"/>
            <w:sz w:val="22"/>
            <w:szCs w:val="22"/>
            <w:b w:val="0"/>
            <w:bCs w:val="0"/>
            <w:i w:val="0"/>
            <w:iCs w:val="0"/>
          </w:rPr>
          <w:t>6411- دیوان محفوظ أو شعره‏</w:t>
        </w:r>
        <w:r>
          <w:tab/>
        </w:r>
        <w:r>
          <w:fldChar w:fldCharType="begin"/>
        </w:r>
        <w:r>
          <w:instrText xml:space="preserve">PAGEREF 7170 \h</w:instrText>
        </w:r>
        <w:r>
          <w:fldChar w:fldCharType="end"/>
        </w:r>
      </w:hyperlink>
    </w:p>
    <w:p>
      <w:pPr>
        <w:tabs>
          <w:tab w:val="right" w:leader="dot" w:pos="9062"/>
        </w:tabs>
        <w:ind w:left="440"/>
      </w:pPr>
      <w:hyperlink w:anchor="_Toc7171" w:history="1">
        <w:r>
          <w:rPr>
            <w:rFonts w:ascii="IRNazanin" w:hAnsi="IRNazanin" w:eastAsia="IRNazanin" w:cs="IRNazanin"/>
            <w:color w:val="111111"/>
            <w:sz w:val="22"/>
            <w:szCs w:val="22"/>
            <w:b w:val="0"/>
            <w:bCs w:val="0"/>
            <w:i w:val="0"/>
            <w:iCs w:val="0"/>
          </w:rPr>
          <w:t>6412- دیوان شمس الدین محفوظ أو شعره‏</w:t>
        </w:r>
        <w:r>
          <w:tab/>
        </w:r>
        <w:r>
          <w:fldChar w:fldCharType="begin"/>
        </w:r>
        <w:r>
          <w:instrText xml:space="preserve">PAGEREF 7171 \h</w:instrText>
        </w:r>
        <w:r>
          <w:fldChar w:fldCharType="end"/>
        </w:r>
      </w:hyperlink>
    </w:p>
    <w:p>
      <w:pPr>
        <w:tabs>
          <w:tab w:val="right" w:leader="dot" w:pos="9062"/>
        </w:tabs>
        <w:ind w:left="440"/>
      </w:pPr>
      <w:hyperlink w:anchor="_Toc7172" w:history="1">
        <w:r>
          <w:rPr>
            <w:rFonts w:ascii="IRNazanin" w:hAnsi="IRNazanin" w:eastAsia="IRNazanin" w:cs="IRNazanin"/>
            <w:color w:val="111111"/>
            <w:sz w:val="22"/>
            <w:szCs w:val="22"/>
            <w:b w:val="0"/>
            <w:bCs w:val="0"/>
            <w:i w:val="0"/>
            <w:iCs w:val="0"/>
          </w:rPr>
          <w:t>6413- دیوان محقر الله‏آبادی أو شعره‏</w:t>
        </w:r>
        <w:r>
          <w:tab/>
        </w:r>
        <w:r>
          <w:fldChar w:fldCharType="begin"/>
        </w:r>
        <w:r>
          <w:instrText xml:space="preserve">PAGEREF 7172 \h</w:instrText>
        </w:r>
        <w:r>
          <w:fldChar w:fldCharType="end"/>
        </w:r>
      </w:hyperlink>
    </w:p>
    <w:p>
      <w:pPr>
        <w:tabs>
          <w:tab w:val="right" w:leader="dot" w:pos="9062"/>
        </w:tabs>
        <w:ind w:left="440"/>
      </w:pPr>
      <w:hyperlink w:anchor="_Toc7173" w:history="1">
        <w:r>
          <w:rPr>
            <w:rFonts w:ascii="IRNazanin" w:hAnsi="IRNazanin" w:eastAsia="IRNazanin" w:cs="IRNazanin"/>
            <w:color w:val="111111"/>
            <w:sz w:val="22"/>
            <w:szCs w:val="22"/>
            <w:b w:val="0"/>
            <w:bCs w:val="0"/>
            <w:i w:val="0"/>
            <w:iCs w:val="0"/>
          </w:rPr>
          <w:t>6414- دیوان محقق حلی أو شعره‏</w:t>
        </w:r>
        <w:r>
          <w:tab/>
        </w:r>
        <w:r>
          <w:fldChar w:fldCharType="begin"/>
        </w:r>
        <w:r>
          <w:instrText xml:space="preserve">PAGEREF 7173 \h</w:instrText>
        </w:r>
        <w:r>
          <w:fldChar w:fldCharType="end"/>
        </w:r>
      </w:hyperlink>
    </w:p>
    <w:p>
      <w:pPr>
        <w:tabs>
          <w:tab w:val="right" w:leader="dot" w:pos="9062"/>
        </w:tabs>
        <w:ind w:left="440"/>
      </w:pPr>
      <w:hyperlink w:anchor="_Toc7174" w:history="1">
        <w:r>
          <w:rPr>
            <w:rFonts w:ascii="IRNazanin" w:hAnsi="IRNazanin" w:eastAsia="IRNazanin" w:cs="IRNazanin"/>
            <w:color w:val="111111"/>
            <w:sz w:val="22"/>
            <w:szCs w:val="22"/>
            <w:b w:val="0"/>
            <w:bCs w:val="0"/>
            <w:i w:val="0"/>
            <w:iCs w:val="0"/>
          </w:rPr>
          <w:t>6415- دیوان محققی شوشتری أو شعره‏</w:t>
        </w:r>
        <w:r>
          <w:tab/>
        </w:r>
        <w:r>
          <w:fldChar w:fldCharType="begin"/>
        </w:r>
        <w:r>
          <w:instrText xml:space="preserve">PAGEREF 7174 \h</w:instrText>
        </w:r>
        <w:r>
          <w:fldChar w:fldCharType="end"/>
        </w:r>
      </w:hyperlink>
    </w:p>
    <w:p>
      <w:pPr>
        <w:tabs>
          <w:tab w:val="right" w:leader="dot" w:pos="9062"/>
        </w:tabs>
        <w:ind w:left="440"/>
      </w:pPr>
      <w:hyperlink w:anchor="_Toc7175" w:history="1">
        <w:r>
          <w:rPr>
            <w:rFonts w:ascii="IRNazanin" w:hAnsi="IRNazanin" w:eastAsia="IRNazanin" w:cs="IRNazanin"/>
            <w:color w:val="111111"/>
            <w:sz w:val="22"/>
            <w:szCs w:val="22"/>
            <w:b w:val="0"/>
            <w:bCs w:val="0"/>
            <w:i w:val="0"/>
            <w:iCs w:val="0"/>
          </w:rPr>
          <w:t>6416- دیوان محکم بنارسی أو شعره‏</w:t>
        </w:r>
        <w:r>
          <w:tab/>
        </w:r>
        <w:r>
          <w:fldChar w:fldCharType="begin"/>
        </w:r>
        <w:r>
          <w:instrText xml:space="preserve">PAGEREF 7175 \h</w:instrText>
        </w:r>
        <w:r>
          <w:fldChar w:fldCharType="end"/>
        </w:r>
      </w:hyperlink>
    </w:p>
    <w:p>
      <w:pPr>
        <w:tabs>
          <w:tab w:val="right" w:leader="dot" w:pos="9062"/>
        </w:tabs>
        <w:ind w:left="440"/>
      </w:pPr>
      <w:hyperlink w:anchor="_Toc7176" w:history="1">
        <w:r>
          <w:rPr>
            <w:rFonts w:ascii="IRNazanin" w:hAnsi="IRNazanin" w:eastAsia="IRNazanin" w:cs="IRNazanin"/>
            <w:color w:val="111111"/>
            <w:sz w:val="22"/>
            <w:szCs w:val="22"/>
            <w:b w:val="0"/>
            <w:bCs w:val="0"/>
            <w:i w:val="0"/>
            <w:iCs w:val="0"/>
          </w:rPr>
          <w:t>6417- دیوان محمد آملی أو شعره‏</w:t>
        </w:r>
        <w:r>
          <w:tab/>
        </w:r>
        <w:r>
          <w:fldChar w:fldCharType="begin"/>
        </w:r>
        <w:r>
          <w:instrText xml:space="preserve">PAGEREF 7176 \h</w:instrText>
        </w:r>
        <w:r>
          <w:fldChar w:fldCharType="end"/>
        </w:r>
      </w:hyperlink>
    </w:p>
    <w:p>
      <w:pPr>
        <w:tabs>
          <w:tab w:val="right" w:leader="dot" w:pos="9062"/>
        </w:tabs>
        <w:ind w:left="440"/>
      </w:pPr>
      <w:hyperlink w:anchor="_Toc7177" w:history="1">
        <w:r>
          <w:rPr>
            <w:rFonts w:ascii="IRNazanin" w:hAnsi="IRNazanin" w:eastAsia="IRNazanin" w:cs="IRNazanin"/>
            <w:color w:val="111111"/>
            <w:sz w:val="22"/>
            <w:szCs w:val="22"/>
            <w:b w:val="0"/>
            <w:bCs w:val="0"/>
            <w:i w:val="0"/>
            <w:iCs w:val="0"/>
          </w:rPr>
          <w:t>دیوان محمد إبراهیم خراسانی‏</w:t>
        </w:r>
        <w:r>
          <w:tab/>
        </w:r>
        <w:r>
          <w:fldChar w:fldCharType="begin"/>
        </w:r>
        <w:r>
          <w:instrText xml:space="preserve">PAGEREF 7177 \h</w:instrText>
        </w:r>
        <w:r>
          <w:fldChar w:fldCharType="end"/>
        </w:r>
      </w:hyperlink>
    </w:p>
    <w:p>
      <w:pPr>
        <w:tabs>
          <w:tab w:val="right" w:leader="dot" w:pos="9062"/>
        </w:tabs>
        <w:ind w:left="440"/>
      </w:pPr>
      <w:hyperlink w:anchor="_Toc7178" w:history="1">
        <w:r>
          <w:rPr>
            <w:rFonts w:ascii="IRNazanin" w:hAnsi="IRNazanin" w:eastAsia="IRNazanin" w:cs="IRNazanin"/>
            <w:color w:val="111111"/>
            <w:sz w:val="22"/>
            <w:szCs w:val="22"/>
            <w:b w:val="0"/>
            <w:bCs w:val="0"/>
            <w:i w:val="0"/>
            <w:iCs w:val="0"/>
          </w:rPr>
          <w:t>دیوان محمد إبراهیم طهرانی‏</w:t>
        </w:r>
        <w:r>
          <w:tab/>
        </w:r>
        <w:r>
          <w:fldChar w:fldCharType="begin"/>
        </w:r>
        <w:r>
          <w:instrText xml:space="preserve">PAGEREF 7178 \h</w:instrText>
        </w:r>
        <w:r>
          <w:fldChar w:fldCharType="end"/>
        </w:r>
      </w:hyperlink>
    </w:p>
    <w:p>
      <w:pPr>
        <w:tabs>
          <w:tab w:val="right" w:leader="dot" w:pos="9062"/>
        </w:tabs>
        <w:ind w:left="440"/>
      </w:pPr>
      <w:hyperlink w:anchor="_Toc7179" w:history="1">
        <w:r>
          <w:rPr>
            <w:rFonts w:ascii="IRNazanin" w:hAnsi="IRNazanin" w:eastAsia="IRNazanin" w:cs="IRNazanin"/>
            <w:color w:val="111111"/>
            <w:sz w:val="22"/>
            <w:szCs w:val="22"/>
            <w:b w:val="0"/>
            <w:bCs w:val="0"/>
            <w:i w:val="0"/>
            <w:iCs w:val="0"/>
          </w:rPr>
          <w:t>دیوان محمد بن أبی القاسم‏</w:t>
        </w:r>
        <w:r>
          <w:tab/>
        </w:r>
        <w:r>
          <w:fldChar w:fldCharType="begin"/>
        </w:r>
        <w:r>
          <w:instrText xml:space="preserve">PAGEREF 7179 \h</w:instrText>
        </w:r>
        <w:r>
          <w:fldChar w:fldCharType="end"/>
        </w:r>
      </w:hyperlink>
    </w:p>
    <w:p>
      <w:pPr>
        <w:tabs>
          <w:tab w:val="right" w:leader="dot" w:pos="9062"/>
        </w:tabs>
        <w:ind w:left="440"/>
      </w:pPr>
      <w:hyperlink w:anchor="_Toc7180" w:history="1">
        <w:r>
          <w:rPr>
            <w:rFonts w:ascii="IRNazanin" w:hAnsi="IRNazanin" w:eastAsia="IRNazanin" w:cs="IRNazanin"/>
            <w:color w:val="111111"/>
            <w:sz w:val="22"/>
            <w:szCs w:val="22"/>
            <w:b w:val="0"/>
            <w:bCs w:val="0"/>
            <w:i w:val="0"/>
            <w:iCs w:val="0"/>
          </w:rPr>
          <w:t>6418- محمد بن أحمد أو شعره‏</w:t>
        </w:r>
        <w:r>
          <w:tab/>
        </w:r>
        <w:r>
          <w:fldChar w:fldCharType="begin"/>
        </w:r>
        <w:r>
          <w:instrText xml:space="preserve">PAGEREF 7180 \h</w:instrText>
        </w:r>
        <w:r>
          <w:fldChar w:fldCharType="end"/>
        </w:r>
      </w:hyperlink>
    </w:p>
    <w:p>
      <w:pPr>
        <w:tabs>
          <w:tab w:val="right" w:leader="dot" w:pos="9062"/>
        </w:tabs>
        <w:ind w:left="440"/>
      </w:pPr>
      <w:hyperlink w:anchor="_Toc7181" w:history="1">
        <w:r>
          <w:rPr>
            <w:rFonts w:ascii="IRNazanin" w:hAnsi="IRNazanin" w:eastAsia="IRNazanin" w:cs="IRNazanin"/>
            <w:color w:val="111111"/>
            <w:sz w:val="22"/>
            <w:szCs w:val="22"/>
            <w:b w:val="0"/>
            <w:bCs w:val="0"/>
            <w:i w:val="0"/>
            <w:iCs w:val="0"/>
          </w:rPr>
          <w:t>6419- دیوان الشیخ محمد بن أحمد</w:t>
        </w:r>
        <w:r>
          <w:tab/>
        </w:r>
        <w:r>
          <w:fldChar w:fldCharType="begin"/>
        </w:r>
        <w:r>
          <w:instrText xml:space="preserve">PAGEREF 7181 \h</w:instrText>
        </w:r>
        <w:r>
          <w:fldChar w:fldCharType="end"/>
        </w:r>
      </w:hyperlink>
    </w:p>
    <w:p>
      <w:pPr>
        <w:tabs>
          <w:tab w:val="right" w:leader="dot" w:pos="9062"/>
        </w:tabs>
        <w:ind w:left="440"/>
      </w:pPr>
      <w:hyperlink w:anchor="_Toc7182" w:history="1">
        <w:r>
          <w:rPr>
            <w:rFonts w:ascii="IRNazanin" w:hAnsi="IRNazanin" w:eastAsia="IRNazanin" w:cs="IRNazanin"/>
            <w:color w:val="111111"/>
            <w:sz w:val="22"/>
            <w:szCs w:val="22"/>
            <w:b w:val="0"/>
            <w:bCs w:val="0"/>
            <w:i w:val="0"/>
            <w:iCs w:val="0"/>
          </w:rPr>
          <w:t>6420- دیوان محمد بن أحمد أو شعره‏</w:t>
        </w:r>
        <w:r>
          <w:tab/>
        </w:r>
        <w:r>
          <w:fldChar w:fldCharType="begin"/>
        </w:r>
        <w:r>
          <w:instrText xml:space="preserve">PAGEREF 7182 \h</w:instrText>
        </w:r>
        <w:r>
          <w:fldChar w:fldCharType="end"/>
        </w:r>
      </w:hyperlink>
    </w:p>
    <w:p>
      <w:pPr>
        <w:tabs>
          <w:tab w:val="right" w:leader="dot" w:pos="9062"/>
        </w:tabs>
        <w:ind w:left="440"/>
      </w:pPr>
      <w:hyperlink w:anchor="_Toc7183" w:history="1">
        <w:r>
          <w:rPr>
            <w:rFonts w:ascii="IRNazanin" w:hAnsi="IRNazanin" w:eastAsia="IRNazanin" w:cs="IRNazanin"/>
            <w:color w:val="111111"/>
            <w:sz w:val="22"/>
            <w:szCs w:val="22"/>
            <w:b w:val="0"/>
            <w:bCs w:val="0"/>
            <w:i w:val="0"/>
            <w:iCs w:val="0"/>
          </w:rPr>
          <w:t>6421- دیوان الشیخ محمد بن أحمد</w:t>
        </w:r>
        <w:r>
          <w:tab/>
        </w:r>
        <w:r>
          <w:fldChar w:fldCharType="begin"/>
        </w:r>
        <w:r>
          <w:instrText xml:space="preserve">PAGEREF 7183 \h</w:instrText>
        </w:r>
        <w:r>
          <w:fldChar w:fldCharType="end"/>
        </w:r>
      </w:hyperlink>
    </w:p>
    <w:p>
      <w:pPr>
        <w:tabs>
          <w:tab w:val="right" w:leader="dot" w:pos="9062"/>
        </w:tabs>
        <w:ind w:left="440"/>
      </w:pPr>
      <w:hyperlink w:anchor="_Toc7184" w:history="1">
        <w:r>
          <w:rPr>
            <w:rFonts w:ascii="IRNazanin" w:hAnsi="IRNazanin" w:eastAsia="IRNazanin" w:cs="IRNazanin"/>
            <w:color w:val="111111"/>
            <w:sz w:val="22"/>
            <w:szCs w:val="22"/>
            <w:b w:val="0"/>
            <w:bCs w:val="0"/>
            <w:i w:val="0"/>
            <w:iCs w:val="0"/>
          </w:rPr>
          <w:t>6422- دیوان محمد بن أحمد</w:t>
        </w:r>
        <w:r>
          <w:tab/>
        </w:r>
        <w:r>
          <w:fldChar w:fldCharType="begin"/>
        </w:r>
        <w:r>
          <w:instrText xml:space="preserve">PAGEREF 7184 \h</w:instrText>
        </w:r>
        <w:r>
          <w:fldChar w:fldCharType="end"/>
        </w:r>
      </w:hyperlink>
    </w:p>
    <w:p>
      <w:pPr>
        <w:tabs>
          <w:tab w:val="right" w:leader="dot" w:pos="9062"/>
        </w:tabs>
        <w:ind w:left="440"/>
      </w:pPr>
      <w:hyperlink w:anchor="_Toc7185" w:history="1">
        <w:r>
          <w:rPr>
            <w:rFonts w:ascii="IRNazanin" w:hAnsi="IRNazanin" w:eastAsia="IRNazanin" w:cs="IRNazanin"/>
            <w:color w:val="111111"/>
            <w:sz w:val="22"/>
            <w:szCs w:val="22"/>
            <w:b w:val="0"/>
            <w:bCs w:val="0"/>
            <w:i w:val="0"/>
            <w:iCs w:val="0"/>
          </w:rPr>
          <w:t>6423- دیوان الشیخ محمد بن أحمد</w:t>
        </w:r>
        <w:r>
          <w:tab/>
        </w:r>
        <w:r>
          <w:fldChar w:fldCharType="begin"/>
        </w:r>
        <w:r>
          <w:instrText xml:space="preserve">PAGEREF 7185 \h</w:instrText>
        </w:r>
        <w:r>
          <w:fldChar w:fldCharType="end"/>
        </w:r>
      </w:hyperlink>
    </w:p>
    <w:p>
      <w:pPr>
        <w:tabs>
          <w:tab w:val="right" w:leader="dot" w:pos="9062"/>
        </w:tabs>
        <w:ind w:left="440"/>
      </w:pPr>
      <w:hyperlink w:anchor="_Toc7186" w:history="1">
        <w:r>
          <w:rPr>
            <w:rFonts w:ascii="IRNazanin" w:hAnsi="IRNazanin" w:eastAsia="IRNazanin" w:cs="IRNazanin"/>
            <w:color w:val="111111"/>
            <w:sz w:val="22"/>
            <w:szCs w:val="22"/>
            <w:b w:val="0"/>
            <w:bCs w:val="0"/>
            <w:i w:val="0"/>
            <w:iCs w:val="0"/>
          </w:rPr>
          <w:t>6424- دیوان محمد بن أحمد</w:t>
        </w:r>
        <w:r>
          <w:tab/>
        </w:r>
        <w:r>
          <w:fldChar w:fldCharType="begin"/>
        </w:r>
        <w:r>
          <w:instrText xml:space="preserve">PAGEREF 7186 \h</w:instrText>
        </w:r>
        <w:r>
          <w:fldChar w:fldCharType="end"/>
        </w:r>
      </w:hyperlink>
    </w:p>
    <w:p>
      <w:pPr>
        <w:tabs>
          <w:tab w:val="right" w:leader="dot" w:pos="9062"/>
        </w:tabs>
        <w:ind w:left="440"/>
      </w:pPr>
      <w:hyperlink w:anchor="_Toc7187" w:history="1">
        <w:r>
          <w:rPr>
            <w:rFonts w:ascii="IRNazanin" w:hAnsi="IRNazanin" w:eastAsia="IRNazanin" w:cs="IRNazanin"/>
            <w:color w:val="111111"/>
            <w:sz w:val="22"/>
            <w:szCs w:val="22"/>
            <w:b w:val="0"/>
            <w:bCs w:val="0"/>
            <w:i w:val="0"/>
            <w:iCs w:val="0"/>
          </w:rPr>
          <w:t>6425- دیوان محمد بن إسحاق‏</w:t>
        </w:r>
        <w:r>
          <w:tab/>
        </w:r>
        <w:r>
          <w:fldChar w:fldCharType="begin"/>
        </w:r>
        <w:r>
          <w:instrText xml:space="preserve">PAGEREF 7187 \h</w:instrText>
        </w:r>
        <w:r>
          <w:fldChar w:fldCharType="end"/>
        </w:r>
      </w:hyperlink>
    </w:p>
    <w:p>
      <w:pPr>
        <w:tabs>
          <w:tab w:val="right" w:leader="dot" w:pos="9062"/>
        </w:tabs>
        <w:ind w:left="440"/>
      </w:pPr>
      <w:hyperlink w:anchor="_Toc7188" w:history="1">
        <w:r>
          <w:rPr>
            <w:rFonts w:ascii="IRNazanin" w:hAnsi="IRNazanin" w:eastAsia="IRNazanin" w:cs="IRNazanin"/>
            <w:color w:val="111111"/>
            <w:sz w:val="22"/>
            <w:szCs w:val="22"/>
            <w:b w:val="0"/>
            <w:bCs w:val="0"/>
            <w:i w:val="0"/>
            <w:iCs w:val="0"/>
          </w:rPr>
          <w:t>6426- دیوان محمد بن إسماعیل أو شعره‏</w:t>
        </w:r>
        <w:r>
          <w:tab/>
        </w:r>
        <w:r>
          <w:fldChar w:fldCharType="begin"/>
        </w:r>
        <w:r>
          <w:instrText xml:space="preserve">PAGEREF 7188 \h</w:instrText>
        </w:r>
        <w:r>
          <w:fldChar w:fldCharType="end"/>
        </w:r>
      </w:hyperlink>
    </w:p>
    <w:p>
      <w:pPr>
        <w:tabs>
          <w:tab w:val="right" w:leader="dot" w:pos="9062"/>
        </w:tabs>
        <w:ind w:left="440"/>
      </w:pPr>
      <w:hyperlink w:anchor="_Toc7189" w:history="1">
        <w:r>
          <w:rPr>
            <w:rFonts w:ascii="IRNazanin" w:hAnsi="IRNazanin" w:eastAsia="IRNazanin" w:cs="IRNazanin"/>
            <w:color w:val="111111"/>
            <w:sz w:val="22"/>
            <w:szCs w:val="22"/>
            <w:b w:val="0"/>
            <w:bCs w:val="0"/>
            <w:i w:val="0"/>
            <w:iCs w:val="0"/>
          </w:rPr>
          <w:t>6427- دیوان محمد بن أمیرکا</w:t>
        </w:r>
        <w:r>
          <w:tab/>
        </w:r>
        <w:r>
          <w:fldChar w:fldCharType="begin"/>
        </w:r>
        <w:r>
          <w:instrText xml:space="preserve">PAGEREF 7189 \h</w:instrText>
        </w:r>
        <w:r>
          <w:fldChar w:fldCharType="end"/>
        </w:r>
      </w:hyperlink>
    </w:p>
    <w:p>
      <w:pPr>
        <w:tabs>
          <w:tab w:val="right" w:leader="dot" w:pos="9062"/>
        </w:tabs>
        <w:ind w:left="440"/>
      </w:pPr>
      <w:hyperlink w:anchor="_Toc7190" w:history="1">
        <w:r>
          <w:rPr>
            <w:rFonts w:ascii="IRNazanin" w:hAnsi="IRNazanin" w:eastAsia="IRNazanin" w:cs="IRNazanin"/>
            <w:color w:val="111111"/>
            <w:sz w:val="22"/>
            <w:szCs w:val="22"/>
            <w:b w:val="0"/>
            <w:bCs w:val="0"/>
            <w:i w:val="0"/>
            <w:iCs w:val="0"/>
          </w:rPr>
          <w:t>6428- دیوان محمد بن إیل طغان‏</w:t>
        </w:r>
        <w:r>
          <w:tab/>
        </w:r>
        <w:r>
          <w:fldChar w:fldCharType="begin"/>
        </w:r>
        <w:r>
          <w:instrText xml:space="preserve">PAGEREF 7190 \h</w:instrText>
        </w:r>
        <w:r>
          <w:fldChar w:fldCharType="end"/>
        </w:r>
      </w:hyperlink>
    </w:p>
    <w:p>
      <w:pPr>
        <w:tabs>
          <w:tab w:val="right" w:leader="dot" w:pos="9062"/>
        </w:tabs>
        <w:ind w:left="440"/>
      </w:pPr>
      <w:hyperlink w:anchor="_Toc7191" w:history="1">
        <w:r>
          <w:rPr>
            <w:rFonts w:ascii="IRNazanin" w:hAnsi="IRNazanin" w:eastAsia="IRNazanin" w:cs="IRNazanin"/>
            <w:color w:val="111111"/>
            <w:sz w:val="22"/>
            <w:szCs w:val="22"/>
            <w:b w:val="0"/>
            <w:bCs w:val="0"/>
            <w:i w:val="0"/>
            <w:iCs w:val="0"/>
          </w:rPr>
          <w:t>دیوان محمد بن بختیار</w:t>
        </w:r>
        <w:r>
          <w:tab/>
        </w:r>
        <w:r>
          <w:fldChar w:fldCharType="begin"/>
        </w:r>
        <w:r>
          <w:instrText xml:space="preserve">PAGEREF 7191 \h</w:instrText>
        </w:r>
        <w:r>
          <w:fldChar w:fldCharType="end"/>
        </w:r>
      </w:hyperlink>
    </w:p>
    <w:p>
      <w:pPr>
        <w:tabs>
          <w:tab w:val="right" w:leader="dot" w:pos="9062"/>
        </w:tabs>
        <w:ind w:left="440"/>
      </w:pPr>
      <w:hyperlink w:anchor="_Toc7192" w:history="1">
        <w:r>
          <w:rPr>
            <w:rFonts w:ascii="IRNazanin" w:hAnsi="IRNazanin" w:eastAsia="IRNazanin" w:cs="IRNazanin"/>
            <w:color w:val="111111"/>
            <w:sz w:val="22"/>
            <w:szCs w:val="22"/>
            <w:b w:val="0"/>
            <w:bCs w:val="0"/>
            <w:i w:val="0"/>
            <w:iCs w:val="0"/>
          </w:rPr>
          <w:t>6429- دیوان محمد بن بدر الجاجرمی‏</w:t>
        </w:r>
        <w:r>
          <w:tab/>
        </w:r>
        <w:r>
          <w:fldChar w:fldCharType="begin"/>
        </w:r>
        <w:r>
          <w:instrText xml:space="preserve">PAGEREF 7192 \h</w:instrText>
        </w:r>
        <w:r>
          <w:fldChar w:fldCharType="end"/>
        </w:r>
      </w:hyperlink>
    </w:p>
    <w:p>
      <w:pPr>
        <w:tabs>
          <w:tab w:val="right" w:leader="dot" w:pos="9062"/>
        </w:tabs>
        <w:ind w:left="440"/>
      </w:pPr>
      <w:hyperlink w:anchor="_Toc7193" w:history="1">
        <w:r>
          <w:rPr>
            <w:rFonts w:ascii="IRNazanin" w:hAnsi="IRNazanin" w:eastAsia="IRNazanin" w:cs="IRNazanin"/>
            <w:color w:val="111111"/>
            <w:sz w:val="22"/>
            <w:szCs w:val="22"/>
            <w:b w:val="0"/>
            <w:bCs w:val="0"/>
            <w:i w:val="0"/>
            <w:iCs w:val="0"/>
          </w:rPr>
          <w:t>6430- دیوان محمد بن الحارث الجزائری أو شعره‏</w:t>
        </w:r>
        <w:r>
          <w:tab/>
        </w:r>
        <w:r>
          <w:fldChar w:fldCharType="begin"/>
        </w:r>
        <w:r>
          <w:instrText xml:space="preserve">PAGEREF 7193 \h</w:instrText>
        </w:r>
        <w:r>
          <w:fldChar w:fldCharType="end"/>
        </w:r>
      </w:hyperlink>
    </w:p>
    <w:p>
      <w:pPr>
        <w:tabs>
          <w:tab w:val="right" w:leader="dot" w:pos="9062"/>
        </w:tabs>
        <w:ind w:left="440"/>
      </w:pPr>
      <w:hyperlink w:anchor="_Toc7194" w:history="1">
        <w:r>
          <w:rPr>
            <w:rFonts w:ascii="IRNazanin" w:hAnsi="IRNazanin" w:eastAsia="IRNazanin" w:cs="IRNazanin"/>
            <w:color w:val="111111"/>
            <w:sz w:val="22"/>
            <w:szCs w:val="22"/>
            <w:b w:val="0"/>
            <w:bCs w:val="0"/>
            <w:i w:val="0"/>
            <w:iCs w:val="0"/>
          </w:rPr>
          <w:t>دیوان محمد بن حسام الخوسفی‏</w:t>
        </w:r>
        <w:r>
          <w:tab/>
        </w:r>
        <w:r>
          <w:fldChar w:fldCharType="begin"/>
        </w:r>
        <w:r>
          <w:instrText xml:space="preserve">PAGEREF 7194 \h</w:instrText>
        </w:r>
        <w:r>
          <w:fldChar w:fldCharType="end"/>
        </w:r>
      </w:hyperlink>
    </w:p>
    <w:p>
      <w:pPr>
        <w:tabs>
          <w:tab w:val="right" w:leader="dot" w:pos="9062"/>
        </w:tabs>
        <w:ind w:left="440"/>
      </w:pPr>
      <w:hyperlink w:anchor="_Toc7195" w:history="1">
        <w:r>
          <w:rPr>
            <w:rFonts w:ascii="IRNazanin" w:hAnsi="IRNazanin" w:eastAsia="IRNazanin" w:cs="IRNazanin"/>
            <w:color w:val="111111"/>
            <w:sz w:val="22"/>
            <w:szCs w:val="22"/>
            <w:b w:val="0"/>
            <w:bCs w:val="0"/>
            <w:i w:val="0"/>
            <w:iCs w:val="0"/>
          </w:rPr>
          <w:t>6431- دیوان محمد بن الحسن الآملی المازندرانی أو شعره‏</w:t>
        </w:r>
        <w:r>
          <w:tab/>
        </w:r>
        <w:r>
          <w:fldChar w:fldCharType="begin"/>
        </w:r>
        <w:r>
          <w:instrText xml:space="preserve">PAGEREF 7195 \h</w:instrText>
        </w:r>
        <w:r>
          <w:fldChar w:fldCharType="end"/>
        </w:r>
      </w:hyperlink>
    </w:p>
    <w:p>
      <w:pPr>
        <w:tabs>
          <w:tab w:val="right" w:leader="dot" w:pos="9062"/>
        </w:tabs>
        <w:ind w:left="440"/>
      </w:pPr>
      <w:hyperlink w:anchor="_Toc7196" w:history="1">
        <w:r>
          <w:rPr>
            <w:rFonts w:ascii="IRNazanin" w:hAnsi="IRNazanin" w:eastAsia="IRNazanin" w:cs="IRNazanin"/>
            <w:color w:val="111111"/>
            <w:sz w:val="22"/>
            <w:szCs w:val="22"/>
            <w:b w:val="0"/>
            <w:bCs w:val="0"/>
            <w:i w:val="0"/>
            <w:iCs w:val="0"/>
          </w:rPr>
          <w:t>دیوان محمد بن الحسن الحر العاملی‏</w:t>
        </w:r>
        <w:r>
          <w:tab/>
        </w:r>
        <w:r>
          <w:fldChar w:fldCharType="begin"/>
        </w:r>
        <w:r>
          <w:instrText xml:space="preserve">PAGEREF 7196 \h</w:instrText>
        </w:r>
        <w:r>
          <w:fldChar w:fldCharType="end"/>
        </w:r>
      </w:hyperlink>
    </w:p>
    <w:p>
      <w:pPr>
        <w:tabs>
          <w:tab w:val="right" w:leader="dot" w:pos="9062"/>
        </w:tabs>
        <w:ind w:left="440"/>
      </w:pPr>
      <w:hyperlink w:anchor="_Toc7197" w:history="1">
        <w:r>
          <w:rPr>
            <w:rFonts w:ascii="IRNazanin" w:hAnsi="IRNazanin" w:eastAsia="IRNazanin" w:cs="IRNazanin"/>
            <w:color w:val="111111"/>
            <w:sz w:val="22"/>
            <w:szCs w:val="22"/>
            <w:b w:val="0"/>
            <w:bCs w:val="0"/>
            <w:i w:val="0"/>
            <w:iCs w:val="0"/>
          </w:rPr>
          <w:t>6432- دیوان السید صفی الدین محمد بن الحسن أبی الرضا العلوی البغدادی‏</w:t>
        </w:r>
        <w:r>
          <w:tab/>
        </w:r>
        <w:r>
          <w:fldChar w:fldCharType="begin"/>
        </w:r>
        <w:r>
          <w:instrText xml:space="preserve">PAGEREF 7197 \h</w:instrText>
        </w:r>
        <w:r>
          <w:fldChar w:fldCharType="end"/>
        </w:r>
      </w:hyperlink>
    </w:p>
    <w:p>
      <w:pPr>
        <w:tabs>
          <w:tab w:val="right" w:leader="dot" w:pos="9062"/>
        </w:tabs>
        <w:ind w:left="440"/>
      </w:pPr>
      <w:hyperlink w:anchor="_Toc7198" w:history="1">
        <w:r>
          <w:rPr>
            <w:rFonts w:ascii="IRNazanin" w:hAnsi="IRNazanin" w:eastAsia="IRNazanin" w:cs="IRNazanin"/>
            <w:color w:val="111111"/>
            <w:sz w:val="22"/>
            <w:szCs w:val="22"/>
            <w:b w:val="0"/>
            <w:bCs w:val="0"/>
            <w:i w:val="0"/>
            <w:iCs w:val="0"/>
          </w:rPr>
          <w:t>6433- دیوان محمد بن الحسن بن درید الأزدی‏</w:t>
        </w:r>
        <w:r>
          <w:tab/>
        </w:r>
        <w:r>
          <w:fldChar w:fldCharType="begin"/>
        </w:r>
        <w:r>
          <w:instrText xml:space="preserve">PAGEREF 7198 \h</w:instrText>
        </w:r>
        <w:r>
          <w:fldChar w:fldCharType="end"/>
        </w:r>
      </w:hyperlink>
    </w:p>
    <w:p>
      <w:pPr>
        <w:tabs>
          <w:tab w:val="right" w:leader="dot" w:pos="9062"/>
        </w:tabs>
        <w:ind w:left="440"/>
      </w:pPr>
      <w:hyperlink w:anchor="_Toc7199" w:history="1">
        <w:r>
          <w:rPr>
            <w:rFonts w:ascii="IRNazanin" w:hAnsi="IRNazanin" w:eastAsia="IRNazanin" w:cs="IRNazanin"/>
            <w:color w:val="111111"/>
            <w:sz w:val="22"/>
            <w:szCs w:val="22"/>
            <w:b w:val="0"/>
            <w:bCs w:val="0"/>
            <w:i w:val="0"/>
            <w:iCs w:val="0"/>
          </w:rPr>
          <w:t>6434- دیوان محمد بن الحسن‏</w:t>
        </w:r>
        <w:r>
          <w:tab/>
        </w:r>
        <w:r>
          <w:fldChar w:fldCharType="begin"/>
        </w:r>
        <w:r>
          <w:instrText xml:space="preserve">PAGEREF 7199 \h</w:instrText>
        </w:r>
        <w:r>
          <w:fldChar w:fldCharType="end"/>
        </w:r>
      </w:hyperlink>
    </w:p>
    <w:p>
      <w:pPr>
        <w:tabs>
          <w:tab w:val="right" w:leader="dot" w:pos="9062"/>
        </w:tabs>
        <w:ind w:left="440"/>
      </w:pPr>
      <w:hyperlink w:anchor="_Toc7200" w:history="1">
        <w:r>
          <w:rPr>
            <w:rFonts w:ascii="IRNazanin" w:hAnsi="IRNazanin" w:eastAsia="IRNazanin" w:cs="IRNazanin"/>
            <w:color w:val="111111"/>
            <w:sz w:val="22"/>
            <w:szCs w:val="22"/>
            <w:b w:val="0"/>
            <w:bCs w:val="0"/>
            <w:i w:val="0"/>
            <w:iCs w:val="0"/>
          </w:rPr>
          <w:t>6435- دیوان محمد بن الحسن الخراسانی‏</w:t>
        </w:r>
        <w:r>
          <w:tab/>
        </w:r>
        <w:r>
          <w:fldChar w:fldCharType="begin"/>
        </w:r>
        <w:r>
          <w:instrText xml:space="preserve">PAGEREF 7200 \h</w:instrText>
        </w:r>
        <w:r>
          <w:fldChar w:fldCharType="end"/>
        </w:r>
      </w:hyperlink>
    </w:p>
    <w:p>
      <w:pPr>
        <w:tabs>
          <w:tab w:val="right" w:leader="dot" w:pos="9062"/>
        </w:tabs>
        <w:ind w:left="440"/>
      </w:pPr>
      <w:hyperlink w:anchor="_Toc7201" w:history="1">
        <w:r>
          <w:rPr>
            <w:rFonts w:ascii="IRNazanin" w:hAnsi="IRNazanin" w:eastAsia="IRNazanin" w:cs="IRNazanin"/>
            <w:color w:val="111111"/>
            <w:sz w:val="22"/>
            <w:szCs w:val="22"/>
            <w:b w:val="0"/>
            <w:bCs w:val="0"/>
            <w:i w:val="0"/>
            <w:iCs w:val="0"/>
          </w:rPr>
          <w:t>6436- دیوان محمد بن الحسن الشیروالی‏</w:t>
        </w:r>
        <w:r>
          <w:tab/>
        </w:r>
        <w:r>
          <w:fldChar w:fldCharType="begin"/>
        </w:r>
        <w:r>
          <w:instrText xml:space="preserve">PAGEREF 7201 \h</w:instrText>
        </w:r>
        <w:r>
          <w:fldChar w:fldCharType="end"/>
        </w:r>
      </w:hyperlink>
    </w:p>
    <w:p>
      <w:pPr>
        <w:tabs>
          <w:tab w:val="right" w:leader="dot" w:pos="9062"/>
        </w:tabs>
        <w:ind w:left="440"/>
      </w:pPr>
      <w:hyperlink w:anchor="_Toc7202" w:history="1">
        <w:r>
          <w:rPr>
            <w:rFonts w:ascii="IRNazanin" w:hAnsi="IRNazanin" w:eastAsia="IRNazanin" w:cs="IRNazanin"/>
            <w:color w:val="111111"/>
            <w:sz w:val="22"/>
            <w:szCs w:val="22"/>
            <w:b w:val="0"/>
            <w:bCs w:val="0"/>
            <w:i w:val="0"/>
            <w:iCs w:val="0"/>
          </w:rPr>
          <w:t>دیوان محمد بن الحسین‏</w:t>
        </w:r>
        <w:r>
          <w:tab/>
        </w:r>
        <w:r>
          <w:fldChar w:fldCharType="begin"/>
        </w:r>
        <w:r>
          <w:instrText xml:space="preserve">PAGEREF 7202 \h</w:instrText>
        </w:r>
        <w:r>
          <w:fldChar w:fldCharType="end"/>
        </w:r>
      </w:hyperlink>
    </w:p>
    <w:p>
      <w:pPr>
        <w:tabs>
          <w:tab w:val="right" w:leader="dot" w:pos="9062"/>
        </w:tabs>
        <w:ind w:left="440"/>
      </w:pPr>
      <w:hyperlink w:anchor="_Toc7203" w:history="1">
        <w:r>
          <w:rPr>
            <w:rFonts w:ascii="IRNazanin" w:hAnsi="IRNazanin" w:eastAsia="IRNazanin" w:cs="IRNazanin"/>
            <w:color w:val="111111"/>
            <w:sz w:val="22"/>
            <w:szCs w:val="22"/>
            <w:b w:val="0"/>
            <w:bCs w:val="0"/>
            <w:i w:val="0"/>
            <w:iCs w:val="0"/>
          </w:rPr>
          <w:t>دیوان محمد بن الحسین‏</w:t>
        </w:r>
        <w:r>
          <w:tab/>
        </w:r>
        <w:r>
          <w:fldChar w:fldCharType="begin"/>
        </w:r>
        <w:r>
          <w:instrText xml:space="preserve">PAGEREF 7203 \h</w:instrText>
        </w:r>
        <w:r>
          <w:fldChar w:fldCharType="end"/>
        </w:r>
      </w:hyperlink>
    </w:p>
    <w:p>
      <w:pPr>
        <w:tabs>
          <w:tab w:val="right" w:leader="dot" w:pos="9062"/>
        </w:tabs>
        <w:ind w:left="440"/>
      </w:pPr>
      <w:hyperlink w:anchor="_Toc7204" w:history="1">
        <w:r>
          <w:rPr>
            <w:rFonts w:ascii="IRNazanin" w:hAnsi="IRNazanin" w:eastAsia="IRNazanin" w:cs="IRNazanin"/>
            <w:color w:val="111111"/>
            <w:sz w:val="22"/>
            <w:szCs w:val="22"/>
            <w:b w:val="0"/>
            <w:bCs w:val="0"/>
            <w:i w:val="0"/>
            <w:iCs w:val="0"/>
          </w:rPr>
          <w:t>6437- دیوان محمد بن الحسین‏</w:t>
        </w:r>
        <w:r>
          <w:tab/>
        </w:r>
        <w:r>
          <w:fldChar w:fldCharType="begin"/>
        </w:r>
        <w:r>
          <w:instrText xml:space="preserve">PAGEREF 7204 \h</w:instrText>
        </w:r>
        <w:r>
          <w:fldChar w:fldCharType="end"/>
        </w:r>
      </w:hyperlink>
    </w:p>
    <w:p>
      <w:pPr>
        <w:tabs>
          <w:tab w:val="right" w:leader="dot" w:pos="9062"/>
        </w:tabs>
        <w:ind w:left="440"/>
      </w:pPr>
      <w:hyperlink w:anchor="_Toc7205" w:history="1">
        <w:r>
          <w:rPr>
            <w:rFonts w:ascii="IRNazanin" w:hAnsi="IRNazanin" w:eastAsia="IRNazanin" w:cs="IRNazanin"/>
            <w:color w:val="111111"/>
            <w:sz w:val="22"/>
            <w:szCs w:val="22"/>
            <w:b w:val="0"/>
            <w:bCs w:val="0"/>
            <w:i w:val="0"/>
            <w:iCs w:val="0"/>
          </w:rPr>
          <w:t>دیوان محمد بن الحسین بن العمید</w:t>
        </w:r>
        <w:r>
          <w:tab/>
        </w:r>
        <w:r>
          <w:fldChar w:fldCharType="begin"/>
        </w:r>
        <w:r>
          <w:instrText xml:space="preserve">PAGEREF 7205 \h</w:instrText>
        </w:r>
        <w:r>
          <w:fldChar w:fldCharType="end"/>
        </w:r>
      </w:hyperlink>
    </w:p>
    <w:p>
      <w:pPr>
        <w:tabs>
          <w:tab w:val="right" w:leader="dot" w:pos="9062"/>
        </w:tabs>
        <w:ind w:left="440"/>
      </w:pPr>
      <w:hyperlink w:anchor="_Toc7206" w:history="1">
        <w:r>
          <w:rPr>
            <w:rFonts w:ascii="IRNazanin" w:hAnsi="IRNazanin" w:eastAsia="IRNazanin" w:cs="IRNazanin"/>
            <w:color w:val="111111"/>
            <w:sz w:val="22"/>
            <w:szCs w:val="22"/>
            <w:b w:val="0"/>
            <w:bCs w:val="0"/>
            <w:i w:val="0"/>
            <w:iCs w:val="0"/>
          </w:rPr>
          <w:t>6438- دیوان محمد بن الحسین‏</w:t>
        </w:r>
        <w:r>
          <w:tab/>
        </w:r>
        <w:r>
          <w:fldChar w:fldCharType="begin"/>
        </w:r>
        <w:r>
          <w:instrText xml:space="preserve">PAGEREF 7206 \h</w:instrText>
        </w:r>
        <w:r>
          <w:fldChar w:fldCharType="end"/>
        </w:r>
      </w:hyperlink>
    </w:p>
    <w:p>
      <w:pPr>
        <w:tabs>
          <w:tab w:val="right" w:leader="dot" w:pos="9062"/>
        </w:tabs>
        <w:ind w:left="440"/>
      </w:pPr>
      <w:hyperlink w:anchor="_Toc7207" w:history="1">
        <w:r>
          <w:rPr>
            <w:rFonts w:ascii="IRNazanin" w:hAnsi="IRNazanin" w:eastAsia="IRNazanin" w:cs="IRNazanin"/>
            <w:color w:val="111111"/>
            <w:sz w:val="22"/>
            <w:szCs w:val="22"/>
            <w:b w:val="0"/>
            <w:bCs w:val="0"/>
            <w:i w:val="0"/>
            <w:iCs w:val="0"/>
          </w:rPr>
          <w:t>6439- دیوان محمد بن حماد أو شعره‏</w:t>
        </w:r>
        <w:r>
          <w:tab/>
        </w:r>
        <w:r>
          <w:fldChar w:fldCharType="begin"/>
        </w:r>
        <w:r>
          <w:instrText xml:space="preserve">PAGEREF 7207 \h</w:instrText>
        </w:r>
        <w:r>
          <w:fldChar w:fldCharType="end"/>
        </w:r>
      </w:hyperlink>
    </w:p>
    <w:p>
      <w:pPr>
        <w:tabs>
          <w:tab w:val="right" w:leader="dot" w:pos="9062"/>
        </w:tabs>
        <w:ind w:left="440"/>
      </w:pPr>
      <w:hyperlink w:anchor="_Toc7208" w:history="1">
        <w:r>
          <w:rPr>
            <w:rFonts w:ascii="IRNazanin" w:hAnsi="IRNazanin" w:eastAsia="IRNazanin" w:cs="IRNazanin"/>
            <w:color w:val="111111"/>
            <w:sz w:val="22"/>
            <w:szCs w:val="22"/>
            <w:b w:val="0"/>
            <w:bCs w:val="0"/>
            <w:i w:val="0"/>
            <w:iCs w:val="0"/>
          </w:rPr>
          <w:t>دیوان الشیخ محمد بن حمزة</w:t>
        </w:r>
        <w:r>
          <w:tab/>
        </w:r>
        <w:r>
          <w:fldChar w:fldCharType="begin"/>
        </w:r>
        <w:r>
          <w:instrText xml:space="preserve">PAGEREF 7208 \h</w:instrText>
        </w:r>
        <w:r>
          <w:fldChar w:fldCharType="end"/>
        </w:r>
      </w:hyperlink>
    </w:p>
    <w:p>
      <w:pPr>
        <w:tabs>
          <w:tab w:val="right" w:leader="dot" w:pos="9062"/>
        </w:tabs>
        <w:ind w:left="440"/>
      </w:pPr>
      <w:hyperlink w:anchor="_Toc7209" w:history="1">
        <w:r>
          <w:rPr>
            <w:rFonts w:ascii="IRNazanin" w:hAnsi="IRNazanin" w:eastAsia="IRNazanin" w:cs="IRNazanin"/>
            <w:color w:val="111111"/>
            <w:sz w:val="22"/>
            <w:szCs w:val="22"/>
            <w:b w:val="0"/>
            <w:bCs w:val="0"/>
            <w:i w:val="0"/>
            <w:iCs w:val="0"/>
          </w:rPr>
          <w:t>6440- دیوان محمد بن حیدر أو شعره‏</w:t>
        </w:r>
        <w:r>
          <w:tab/>
        </w:r>
        <w:r>
          <w:fldChar w:fldCharType="begin"/>
        </w:r>
        <w:r>
          <w:instrText xml:space="preserve">PAGEREF 7209 \h</w:instrText>
        </w:r>
        <w:r>
          <w:fldChar w:fldCharType="end"/>
        </w:r>
      </w:hyperlink>
    </w:p>
    <w:p>
      <w:pPr>
        <w:tabs>
          <w:tab w:val="right" w:leader="dot" w:pos="9062"/>
        </w:tabs>
        <w:ind w:left="440"/>
      </w:pPr>
      <w:hyperlink w:anchor="_Toc7210" w:history="1">
        <w:r>
          <w:rPr>
            <w:rFonts w:ascii="IRNazanin" w:hAnsi="IRNazanin" w:eastAsia="IRNazanin" w:cs="IRNazanin"/>
            <w:color w:val="111111"/>
            <w:sz w:val="22"/>
            <w:szCs w:val="22"/>
            <w:b w:val="0"/>
            <w:bCs w:val="0"/>
            <w:i w:val="0"/>
            <w:iCs w:val="0"/>
          </w:rPr>
          <w:t>6441- دیوان محمد بن رضا</w:t>
        </w:r>
        <w:r>
          <w:tab/>
        </w:r>
        <w:r>
          <w:fldChar w:fldCharType="begin"/>
        </w:r>
        <w:r>
          <w:instrText xml:space="preserve">PAGEREF 7210 \h</w:instrText>
        </w:r>
        <w:r>
          <w:fldChar w:fldCharType="end"/>
        </w:r>
      </w:hyperlink>
    </w:p>
    <w:p>
      <w:pPr>
        <w:tabs>
          <w:tab w:val="right" w:leader="dot" w:pos="9062"/>
        </w:tabs>
        <w:ind w:left="440"/>
      </w:pPr>
      <w:hyperlink w:anchor="_Toc7211" w:history="1">
        <w:r>
          <w:rPr>
            <w:rFonts w:ascii="IRNazanin" w:hAnsi="IRNazanin" w:eastAsia="IRNazanin" w:cs="IRNazanin"/>
            <w:color w:val="111111"/>
            <w:sz w:val="22"/>
            <w:szCs w:val="22"/>
            <w:b w:val="0"/>
            <w:bCs w:val="0"/>
            <w:i w:val="0"/>
            <w:iCs w:val="0"/>
          </w:rPr>
          <w:t>6442- دیوان محمد بن زین الدین الحسینی‏</w:t>
        </w:r>
        <w:r>
          <w:tab/>
        </w:r>
        <w:r>
          <w:fldChar w:fldCharType="begin"/>
        </w:r>
        <w:r>
          <w:instrText xml:space="preserve">PAGEREF 7211 \h</w:instrText>
        </w:r>
        <w:r>
          <w:fldChar w:fldCharType="end"/>
        </w:r>
      </w:hyperlink>
    </w:p>
    <w:p>
      <w:pPr>
        <w:tabs>
          <w:tab w:val="right" w:leader="dot" w:pos="9062"/>
        </w:tabs>
        <w:ind w:left="440"/>
      </w:pPr>
      <w:hyperlink w:anchor="_Toc7212" w:history="1">
        <w:r>
          <w:rPr>
            <w:rFonts w:ascii="IRNazanin" w:hAnsi="IRNazanin" w:eastAsia="IRNazanin" w:cs="IRNazanin"/>
            <w:color w:val="111111"/>
            <w:sz w:val="22"/>
            <w:szCs w:val="22"/>
            <w:b w:val="0"/>
            <w:bCs w:val="0"/>
            <w:i w:val="0"/>
            <w:iCs w:val="0"/>
          </w:rPr>
          <w:t>6443- دیوان محمد بن زین العابدین أو شعره‏</w:t>
        </w:r>
        <w:r>
          <w:tab/>
        </w:r>
        <w:r>
          <w:fldChar w:fldCharType="begin"/>
        </w:r>
        <w:r>
          <w:instrText xml:space="preserve">PAGEREF 7212 \h</w:instrText>
        </w:r>
        <w:r>
          <w:fldChar w:fldCharType="end"/>
        </w:r>
      </w:hyperlink>
    </w:p>
    <w:p>
      <w:pPr>
        <w:tabs>
          <w:tab w:val="right" w:leader="dot" w:pos="9062"/>
        </w:tabs>
        <w:ind w:left="440"/>
      </w:pPr>
      <w:hyperlink w:anchor="_Toc7213" w:history="1">
        <w:r>
          <w:rPr>
            <w:rFonts w:ascii="IRNazanin" w:hAnsi="IRNazanin" w:eastAsia="IRNazanin" w:cs="IRNazanin"/>
            <w:color w:val="111111"/>
            <w:sz w:val="22"/>
            <w:szCs w:val="22"/>
            <w:b w:val="0"/>
            <w:bCs w:val="0"/>
            <w:i w:val="0"/>
            <w:iCs w:val="0"/>
          </w:rPr>
          <w:t>6444- دیوان المیرزا محمد بن سلیمان التنکابنی‏</w:t>
        </w:r>
        <w:r>
          <w:tab/>
        </w:r>
        <w:r>
          <w:fldChar w:fldCharType="begin"/>
        </w:r>
        <w:r>
          <w:instrText xml:space="preserve">PAGEREF 7213 \h</w:instrText>
        </w:r>
        <w:r>
          <w:fldChar w:fldCharType="end"/>
        </w:r>
      </w:hyperlink>
    </w:p>
    <w:p>
      <w:pPr>
        <w:tabs>
          <w:tab w:val="right" w:leader="dot" w:pos="9062"/>
        </w:tabs>
        <w:ind w:left="440"/>
      </w:pPr>
      <w:hyperlink w:anchor="_Toc7214" w:history="1">
        <w:r>
          <w:rPr>
            <w:rFonts w:ascii="IRNazanin" w:hAnsi="IRNazanin" w:eastAsia="IRNazanin" w:cs="IRNazanin"/>
            <w:color w:val="111111"/>
            <w:sz w:val="22"/>
            <w:szCs w:val="22"/>
            <w:b w:val="0"/>
            <w:bCs w:val="0"/>
            <w:i w:val="0"/>
            <w:iCs w:val="0"/>
          </w:rPr>
          <w:t>دیوان محمد بن محمد صادق‏</w:t>
        </w:r>
        <w:r>
          <w:tab/>
        </w:r>
        <w:r>
          <w:fldChar w:fldCharType="begin"/>
        </w:r>
        <w:r>
          <w:instrText xml:space="preserve">PAGEREF 7214 \h</w:instrText>
        </w:r>
        <w:r>
          <w:fldChar w:fldCharType="end"/>
        </w:r>
      </w:hyperlink>
    </w:p>
    <w:p>
      <w:pPr>
        <w:tabs>
          <w:tab w:val="right" w:leader="dot" w:pos="9062"/>
        </w:tabs>
        <w:ind w:left="440"/>
      </w:pPr>
      <w:hyperlink w:anchor="_Toc7215" w:history="1">
        <w:r>
          <w:rPr>
            <w:rFonts w:ascii="IRNazanin" w:hAnsi="IRNazanin" w:eastAsia="IRNazanin" w:cs="IRNazanin"/>
            <w:color w:val="111111"/>
            <w:sz w:val="22"/>
            <w:szCs w:val="22"/>
            <w:b w:val="0"/>
            <w:bCs w:val="0"/>
            <w:i w:val="0"/>
            <w:iCs w:val="0"/>
          </w:rPr>
          <w:t>6445- دیوان محمد بن صالح النوائحی المروی أو شعره‏</w:t>
        </w:r>
        <w:r>
          <w:tab/>
        </w:r>
        <w:r>
          <w:fldChar w:fldCharType="begin"/>
        </w:r>
        <w:r>
          <w:instrText xml:space="preserve">PAGEREF 7215 \h</w:instrText>
        </w:r>
        <w:r>
          <w:fldChar w:fldCharType="end"/>
        </w:r>
      </w:hyperlink>
    </w:p>
    <w:p>
      <w:pPr>
        <w:tabs>
          <w:tab w:val="right" w:leader="dot" w:pos="9062"/>
        </w:tabs>
        <w:ind w:left="440"/>
      </w:pPr>
      <w:hyperlink w:anchor="_Toc7216" w:history="1">
        <w:r>
          <w:rPr>
            <w:rFonts w:ascii="IRNazanin" w:hAnsi="IRNazanin" w:eastAsia="IRNazanin" w:cs="IRNazanin"/>
            <w:color w:val="111111"/>
            <w:sz w:val="22"/>
            <w:szCs w:val="22"/>
            <w:b w:val="0"/>
            <w:bCs w:val="0"/>
            <w:i w:val="0"/>
            <w:iCs w:val="0"/>
          </w:rPr>
          <w:t>6446- دیوان محمد بن صادق‏</w:t>
        </w:r>
        <w:r>
          <w:tab/>
        </w:r>
        <w:r>
          <w:fldChar w:fldCharType="begin"/>
        </w:r>
        <w:r>
          <w:instrText xml:space="preserve">PAGEREF 7216 \h</w:instrText>
        </w:r>
        <w:r>
          <w:fldChar w:fldCharType="end"/>
        </w:r>
      </w:hyperlink>
    </w:p>
    <w:p>
      <w:pPr>
        <w:tabs>
          <w:tab w:val="right" w:leader="dot" w:pos="9062"/>
        </w:tabs>
        <w:ind w:left="440"/>
      </w:pPr>
      <w:hyperlink w:anchor="_Toc7217" w:history="1">
        <w:r>
          <w:rPr>
            <w:rFonts w:ascii="IRNazanin" w:hAnsi="IRNazanin" w:eastAsia="IRNazanin" w:cs="IRNazanin"/>
            <w:color w:val="111111"/>
            <w:sz w:val="22"/>
            <w:szCs w:val="22"/>
            <w:b w:val="0"/>
            <w:bCs w:val="0"/>
            <w:i w:val="0"/>
            <w:iCs w:val="0"/>
          </w:rPr>
          <w:t>دیوان محمد بن طاهر</w:t>
        </w:r>
        <w:r>
          <w:tab/>
        </w:r>
        <w:r>
          <w:fldChar w:fldCharType="begin"/>
        </w:r>
        <w:r>
          <w:instrText xml:space="preserve">PAGEREF 7217 \h</w:instrText>
        </w:r>
        <w:r>
          <w:fldChar w:fldCharType="end"/>
        </w:r>
      </w:hyperlink>
    </w:p>
    <w:p>
      <w:pPr>
        <w:tabs>
          <w:tab w:val="right" w:leader="dot" w:pos="9062"/>
        </w:tabs>
        <w:ind w:left="440"/>
      </w:pPr>
      <w:hyperlink w:anchor="_Toc7218" w:history="1">
        <w:r>
          <w:rPr>
            <w:rFonts w:ascii="IRNazanin" w:hAnsi="IRNazanin" w:eastAsia="IRNazanin" w:cs="IRNazanin"/>
            <w:color w:val="111111"/>
            <w:sz w:val="22"/>
            <w:szCs w:val="22"/>
            <w:b w:val="0"/>
            <w:bCs w:val="0"/>
            <w:i w:val="0"/>
            <w:iCs w:val="0"/>
          </w:rPr>
          <w:t>6447- دیوان محمد بن العباس أو شعره‏</w:t>
        </w:r>
        <w:r>
          <w:tab/>
        </w:r>
        <w:r>
          <w:fldChar w:fldCharType="begin"/>
        </w:r>
        <w:r>
          <w:instrText xml:space="preserve">PAGEREF 7218 \h</w:instrText>
        </w:r>
        <w:r>
          <w:fldChar w:fldCharType="end"/>
        </w:r>
      </w:hyperlink>
    </w:p>
    <w:p>
      <w:pPr>
        <w:tabs>
          <w:tab w:val="right" w:leader="dot" w:pos="9062"/>
        </w:tabs>
        <w:ind w:left="440"/>
      </w:pPr>
      <w:hyperlink w:anchor="_Toc7219" w:history="1">
        <w:r>
          <w:rPr>
            <w:rFonts w:ascii="IRNazanin" w:hAnsi="IRNazanin" w:eastAsia="IRNazanin" w:cs="IRNazanin"/>
            <w:color w:val="111111"/>
            <w:sz w:val="22"/>
            <w:szCs w:val="22"/>
            <w:b w:val="0"/>
            <w:bCs w:val="0"/>
            <w:i w:val="0"/>
            <w:iCs w:val="0"/>
          </w:rPr>
          <w:t>6448- دیوان محمد بن عبد الحمید</w:t>
        </w:r>
        <w:r>
          <w:tab/>
        </w:r>
        <w:r>
          <w:fldChar w:fldCharType="begin"/>
        </w:r>
        <w:r>
          <w:instrText xml:space="preserve">PAGEREF 7219 \h</w:instrText>
        </w:r>
        <w:r>
          <w:fldChar w:fldCharType="end"/>
        </w:r>
      </w:hyperlink>
    </w:p>
    <w:p>
      <w:pPr>
        <w:tabs>
          <w:tab w:val="right" w:leader="dot" w:pos="9062"/>
        </w:tabs>
        <w:ind w:left="440"/>
      </w:pPr>
      <w:hyperlink w:anchor="_Toc7220" w:history="1">
        <w:r>
          <w:rPr>
            <w:rFonts w:ascii="IRNazanin" w:hAnsi="IRNazanin" w:eastAsia="IRNazanin" w:cs="IRNazanin"/>
            <w:color w:val="111111"/>
            <w:sz w:val="22"/>
            <w:szCs w:val="22"/>
            <w:b w:val="0"/>
            <w:bCs w:val="0"/>
            <w:i w:val="0"/>
            <w:iCs w:val="0"/>
          </w:rPr>
          <w:t>6449- دیوان محمد بن عبد الرزاق بیک‏</w:t>
        </w:r>
        <w:r>
          <w:tab/>
        </w:r>
        <w:r>
          <w:fldChar w:fldCharType="begin"/>
        </w:r>
        <w:r>
          <w:instrText xml:space="preserve">PAGEREF 7220 \h</w:instrText>
        </w:r>
        <w:r>
          <w:fldChar w:fldCharType="end"/>
        </w:r>
      </w:hyperlink>
    </w:p>
    <w:p>
      <w:pPr>
        <w:tabs>
          <w:tab w:val="right" w:leader="dot" w:pos="9062"/>
        </w:tabs>
        <w:ind w:left="440"/>
      </w:pPr>
      <w:hyperlink w:anchor="_Toc7221" w:history="1">
        <w:r>
          <w:rPr>
            <w:rFonts w:ascii="IRNazanin" w:hAnsi="IRNazanin" w:eastAsia="IRNazanin" w:cs="IRNazanin"/>
            <w:color w:val="111111"/>
            <w:sz w:val="22"/>
            <w:szCs w:val="22"/>
            <w:b w:val="0"/>
            <w:bCs w:val="0"/>
            <w:i w:val="0"/>
            <w:iCs w:val="0"/>
          </w:rPr>
          <w:t>6450- دیوان محمد بن عبد العزیز</w:t>
        </w:r>
        <w:r>
          <w:tab/>
        </w:r>
        <w:r>
          <w:fldChar w:fldCharType="begin"/>
        </w:r>
        <w:r>
          <w:instrText xml:space="preserve">PAGEREF 7221 \h</w:instrText>
        </w:r>
        <w:r>
          <w:fldChar w:fldCharType="end"/>
        </w:r>
      </w:hyperlink>
    </w:p>
    <w:p>
      <w:pPr>
        <w:tabs>
          <w:tab w:val="right" w:leader="dot" w:pos="9062"/>
        </w:tabs>
        <w:ind w:left="440"/>
      </w:pPr>
      <w:hyperlink w:anchor="_Toc7222" w:history="1">
        <w:r>
          <w:rPr>
            <w:rFonts w:ascii="IRNazanin" w:hAnsi="IRNazanin" w:eastAsia="IRNazanin" w:cs="IRNazanin"/>
            <w:color w:val="111111"/>
            <w:sz w:val="22"/>
            <w:szCs w:val="22"/>
            <w:b w:val="0"/>
            <w:bCs w:val="0"/>
            <w:i w:val="0"/>
            <w:iCs w:val="0"/>
          </w:rPr>
          <w:t>6451- دیوان محمد بن عبد الله الخطی‏</w:t>
        </w:r>
        <w:r>
          <w:tab/>
        </w:r>
        <w:r>
          <w:fldChar w:fldCharType="begin"/>
        </w:r>
        <w:r>
          <w:instrText xml:space="preserve">PAGEREF 7222 \h</w:instrText>
        </w:r>
        <w:r>
          <w:fldChar w:fldCharType="end"/>
        </w:r>
      </w:hyperlink>
    </w:p>
    <w:p>
      <w:pPr>
        <w:tabs>
          <w:tab w:val="right" w:leader="dot" w:pos="9062"/>
        </w:tabs>
        <w:ind w:left="440"/>
      </w:pPr>
      <w:hyperlink w:anchor="_Toc7223" w:history="1">
        <w:r>
          <w:rPr>
            <w:rFonts w:ascii="IRNazanin" w:hAnsi="IRNazanin" w:eastAsia="IRNazanin" w:cs="IRNazanin"/>
            <w:color w:val="111111"/>
            <w:sz w:val="22"/>
            <w:szCs w:val="22"/>
            <w:b w:val="0"/>
            <w:bCs w:val="0"/>
            <w:i w:val="0"/>
            <w:iCs w:val="0"/>
          </w:rPr>
          <w:t>دیوان محمد بن عبد النبی‏</w:t>
        </w:r>
        <w:r>
          <w:tab/>
        </w:r>
        <w:r>
          <w:fldChar w:fldCharType="begin"/>
        </w:r>
        <w:r>
          <w:instrText xml:space="preserve">PAGEREF 7223 \h</w:instrText>
        </w:r>
        <w:r>
          <w:fldChar w:fldCharType="end"/>
        </w:r>
      </w:hyperlink>
    </w:p>
    <w:p>
      <w:pPr>
        <w:tabs>
          <w:tab w:val="right" w:leader="dot" w:pos="9062"/>
        </w:tabs>
        <w:ind w:left="440"/>
      </w:pPr>
      <w:hyperlink w:anchor="_Toc7224" w:history="1">
        <w:r>
          <w:rPr>
            <w:rFonts w:ascii="IRNazanin" w:hAnsi="IRNazanin" w:eastAsia="IRNazanin" w:cs="IRNazanin"/>
            <w:color w:val="111111"/>
            <w:sz w:val="22"/>
            <w:szCs w:val="22"/>
            <w:b w:val="0"/>
            <w:bCs w:val="0"/>
            <w:i w:val="0"/>
            <w:iCs w:val="0"/>
          </w:rPr>
          <w:t>6452- دیوان الشیخ محمد بن علی‏</w:t>
        </w:r>
        <w:r>
          <w:tab/>
        </w:r>
        <w:r>
          <w:fldChar w:fldCharType="begin"/>
        </w:r>
        <w:r>
          <w:instrText xml:space="preserve">PAGEREF 7224 \h</w:instrText>
        </w:r>
        <w:r>
          <w:fldChar w:fldCharType="end"/>
        </w:r>
      </w:hyperlink>
    </w:p>
    <w:p>
      <w:pPr>
        <w:tabs>
          <w:tab w:val="right" w:leader="dot" w:pos="9062"/>
        </w:tabs>
        <w:ind w:left="440"/>
      </w:pPr>
      <w:hyperlink w:anchor="_Toc7225" w:history="1">
        <w:r>
          <w:rPr>
            <w:rFonts w:ascii="IRNazanin" w:hAnsi="IRNazanin" w:eastAsia="IRNazanin" w:cs="IRNazanin"/>
            <w:color w:val="111111"/>
            <w:sz w:val="22"/>
            <w:szCs w:val="22"/>
            <w:b w:val="0"/>
            <w:bCs w:val="0"/>
            <w:i w:val="0"/>
            <w:iCs w:val="0"/>
          </w:rPr>
          <w:t>6453- دیوان الشیخ محمد بن علی‏</w:t>
        </w:r>
        <w:r>
          <w:tab/>
        </w:r>
        <w:r>
          <w:fldChar w:fldCharType="begin"/>
        </w:r>
        <w:r>
          <w:instrText xml:space="preserve">PAGEREF 7225 \h</w:instrText>
        </w:r>
        <w:r>
          <w:fldChar w:fldCharType="end"/>
        </w:r>
      </w:hyperlink>
    </w:p>
    <w:p>
      <w:pPr>
        <w:tabs>
          <w:tab w:val="right" w:leader="dot" w:pos="9062"/>
        </w:tabs>
        <w:ind w:left="440"/>
      </w:pPr>
      <w:hyperlink w:anchor="_Toc7226" w:history="1">
        <w:r>
          <w:rPr>
            <w:rFonts w:ascii="IRNazanin" w:hAnsi="IRNazanin" w:eastAsia="IRNazanin" w:cs="IRNazanin"/>
            <w:color w:val="111111"/>
            <w:sz w:val="22"/>
            <w:szCs w:val="22"/>
            <w:b w:val="0"/>
            <w:bCs w:val="0"/>
            <w:i w:val="0"/>
            <w:iCs w:val="0"/>
          </w:rPr>
          <w:t>6454- دیوان محمد بن علی بن الحسن العودی العاملی الجزینی‏</w:t>
        </w:r>
        <w:r>
          <w:tab/>
        </w:r>
        <w:r>
          <w:fldChar w:fldCharType="begin"/>
        </w:r>
        <w:r>
          <w:instrText xml:space="preserve">PAGEREF 7226 \h</w:instrText>
        </w:r>
        <w:r>
          <w:fldChar w:fldCharType="end"/>
        </w:r>
      </w:hyperlink>
    </w:p>
    <w:p>
      <w:pPr>
        <w:tabs>
          <w:tab w:val="right" w:leader="dot" w:pos="9062"/>
        </w:tabs>
        <w:ind w:left="440"/>
      </w:pPr>
      <w:hyperlink w:anchor="_Toc7227" w:history="1">
        <w:r>
          <w:rPr>
            <w:rFonts w:ascii="IRNazanin" w:hAnsi="IRNazanin" w:eastAsia="IRNazanin" w:cs="IRNazanin"/>
            <w:color w:val="111111"/>
            <w:sz w:val="22"/>
            <w:szCs w:val="22"/>
            <w:b w:val="0"/>
            <w:bCs w:val="0"/>
            <w:i w:val="0"/>
            <w:iCs w:val="0"/>
          </w:rPr>
          <w:t>6455- دیوان محمد بن علی الحسنی أو شعره‏</w:t>
        </w:r>
        <w:r>
          <w:tab/>
        </w:r>
        <w:r>
          <w:fldChar w:fldCharType="begin"/>
        </w:r>
        <w:r>
          <w:instrText xml:space="preserve">PAGEREF 7227 \h</w:instrText>
        </w:r>
        <w:r>
          <w:fldChar w:fldCharType="end"/>
        </w:r>
      </w:hyperlink>
    </w:p>
    <w:p>
      <w:pPr>
        <w:tabs>
          <w:tab w:val="right" w:leader="dot" w:pos="9062"/>
        </w:tabs>
        <w:ind w:left="440"/>
      </w:pPr>
      <w:hyperlink w:anchor="_Toc7228" w:history="1">
        <w:r>
          <w:rPr>
            <w:rFonts w:ascii="IRNazanin" w:hAnsi="IRNazanin" w:eastAsia="IRNazanin" w:cs="IRNazanin"/>
            <w:color w:val="111111"/>
            <w:sz w:val="22"/>
            <w:szCs w:val="22"/>
            <w:b w:val="0"/>
            <w:bCs w:val="0"/>
            <w:i w:val="0"/>
            <w:iCs w:val="0"/>
          </w:rPr>
          <w:t>6456- دیوان علاء الدین محمد بن علی الحسنی أو شعره‏</w:t>
        </w:r>
        <w:r>
          <w:tab/>
        </w:r>
        <w:r>
          <w:fldChar w:fldCharType="begin"/>
        </w:r>
        <w:r>
          <w:instrText xml:space="preserve">PAGEREF 7228 \h</w:instrText>
        </w:r>
        <w:r>
          <w:fldChar w:fldCharType="end"/>
        </w:r>
      </w:hyperlink>
    </w:p>
    <w:p>
      <w:pPr>
        <w:tabs>
          <w:tab w:val="right" w:leader="dot" w:pos="9062"/>
        </w:tabs>
        <w:ind w:left="440"/>
      </w:pPr>
      <w:hyperlink w:anchor="_Toc7229" w:history="1">
        <w:r>
          <w:rPr>
            <w:rFonts w:ascii="IRNazanin" w:hAnsi="IRNazanin" w:eastAsia="IRNazanin" w:cs="IRNazanin"/>
            <w:color w:val="111111"/>
            <w:sz w:val="22"/>
            <w:szCs w:val="22"/>
            <w:b w:val="0"/>
            <w:bCs w:val="0"/>
            <w:i w:val="0"/>
            <w:iCs w:val="0"/>
          </w:rPr>
          <w:t>6457- دیوان شمس الدین محمد</w:t>
        </w:r>
        <w:r>
          <w:tab/>
        </w:r>
        <w:r>
          <w:fldChar w:fldCharType="begin"/>
        </w:r>
        <w:r>
          <w:instrText xml:space="preserve">PAGEREF 7229 \h</w:instrText>
        </w:r>
        <w:r>
          <w:fldChar w:fldCharType="end"/>
        </w:r>
      </w:hyperlink>
    </w:p>
    <w:p>
      <w:pPr>
        <w:tabs>
          <w:tab w:val="right" w:leader="dot" w:pos="9062"/>
        </w:tabs>
        <w:ind w:left="440"/>
      </w:pPr>
      <w:hyperlink w:anchor="_Toc7230" w:history="1">
        <w:r>
          <w:rPr>
            <w:rFonts w:ascii="IRNazanin" w:hAnsi="IRNazanin" w:eastAsia="IRNazanin" w:cs="IRNazanin"/>
            <w:color w:val="111111"/>
            <w:sz w:val="22"/>
            <w:szCs w:val="22"/>
            <w:b w:val="0"/>
            <w:bCs w:val="0"/>
            <w:i w:val="0"/>
            <w:iCs w:val="0"/>
          </w:rPr>
          <w:t>6458- دیوان رشید الدین محمد بن علی بن شهرآشوب المازندرانی‏</w:t>
        </w:r>
        <w:r>
          <w:tab/>
        </w:r>
        <w:r>
          <w:fldChar w:fldCharType="begin"/>
        </w:r>
        <w:r>
          <w:instrText xml:space="preserve">PAGEREF 7230 \h</w:instrText>
        </w:r>
        <w:r>
          <w:fldChar w:fldCharType="end"/>
        </w:r>
      </w:hyperlink>
    </w:p>
    <w:p>
      <w:pPr>
        <w:tabs>
          <w:tab w:val="right" w:leader="dot" w:pos="9062"/>
        </w:tabs>
        <w:ind w:left="440"/>
      </w:pPr>
      <w:hyperlink w:anchor="_Toc7231" w:history="1">
        <w:r>
          <w:rPr>
            <w:rFonts w:ascii="IRNazanin" w:hAnsi="IRNazanin" w:eastAsia="IRNazanin" w:cs="IRNazanin"/>
            <w:color w:val="111111"/>
            <w:sz w:val="22"/>
            <w:szCs w:val="22"/>
            <w:b w:val="0"/>
            <w:bCs w:val="0"/>
            <w:i w:val="0"/>
            <w:iCs w:val="0"/>
          </w:rPr>
          <w:t>6459- دیوان محمد بن علی بن عیسی الإربلی أو شعره‏</w:t>
        </w:r>
        <w:r>
          <w:tab/>
        </w:r>
        <w:r>
          <w:fldChar w:fldCharType="begin"/>
        </w:r>
        <w:r>
          <w:instrText xml:space="preserve">PAGEREF 7231 \h</w:instrText>
        </w:r>
        <w:r>
          <w:fldChar w:fldCharType="end"/>
        </w:r>
      </w:hyperlink>
    </w:p>
    <w:p>
      <w:pPr>
        <w:tabs>
          <w:tab w:val="right" w:leader="dot" w:pos="9062"/>
        </w:tabs>
        <w:ind w:left="440"/>
      </w:pPr>
      <w:hyperlink w:anchor="_Toc7232" w:history="1">
        <w:r>
          <w:rPr>
            <w:rFonts w:ascii="IRNazanin" w:hAnsi="IRNazanin" w:eastAsia="IRNazanin" w:cs="IRNazanin"/>
            <w:color w:val="111111"/>
            <w:sz w:val="22"/>
            <w:szCs w:val="22"/>
            <w:b w:val="0"/>
            <w:bCs w:val="0"/>
            <w:i w:val="0"/>
            <w:iCs w:val="0"/>
          </w:rPr>
          <w:t>دیوان محمد بن علی الحرفوشی‏</w:t>
        </w:r>
        <w:r>
          <w:tab/>
        </w:r>
        <w:r>
          <w:fldChar w:fldCharType="begin"/>
        </w:r>
        <w:r>
          <w:instrText xml:space="preserve">PAGEREF 7232 \h</w:instrText>
        </w:r>
        <w:r>
          <w:fldChar w:fldCharType="end"/>
        </w:r>
      </w:hyperlink>
    </w:p>
    <w:p>
      <w:pPr>
        <w:tabs>
          <w:tab w:val="right" w:leader="dot" w:pos="9062"/>
        </w:tabs>
        <w:ind w:left="440"/>
      </w:pPr>
      <w:hyperlink w:anchor="_Toc7233" w:history="1">
        <w:r>
          <w:rPr>
            <w:rFonts w:ascii="IRNazanin" w:hAnsi="IRNazanin" w:eastAsia="IRNazanin" w:cs="IRNazanin"/>
            <w:color w:val="111111"/>
            <w:sz w:val="22"/>
            <w:szCs w:val="22"/>
            <w:b w:val="0"/>
            <w:bCs w:val="0"/>
            <w:i w:val="0"/>
            <w:iCs w:val="0"/>
          </w:rPr>
          <w:t>6460- دیوان محمد بن علی‏</w:t>
        </w:r>
        <w:r>
          <w:tab/>
        </w:r>
        <w:r>
          <w:fldChar w:fldCharType="begin"/>
        </w:r>
        <w:r>
          <w:instrText xml:space="preserve">PAGEREF 7233 \h</w:instrText>
        </w:r>
        <w:r>
          <w:fldChar w:fldCharType="end"/>
        </w:r>
      </w:hyperlink>
    </w:p>
    <w:p>
      <w:pPr>
        <w:tabs>
          <w:tab w:val="right" w:leader="dot" w:pos="9062"/>
        </w:tabs>
        <w:ind w:left="440"/>
      </w:pPr>
      <w:hyperlink w:anchor="_Toc7234" w:history="1">
        <w:r>
          <w:rPr>
            <w:rFonts w:ascii="IRNazanin" w:hAnsi="IRNazanin" w:eastAsia="IRNazanin" w:cs="IRNazanin"/>
            <w:color w:val="111111"/>
            <w:sz w:val="22"/>
            <w:szCs w:val="22"/>
            <w:b w:val="0"/>
            <w:bCs w:val="0"/>
            <w:i w:val="0"/>
            <w:iCs w:val="0"/>
          </w:rPr>
          <w:t>6461- دیوان محمد بن علی بن محمود</w:t>
        </w:r>
        <w:r>
          <w:tab/>
        </w:r>
        <w:r>
          <w:fldChar w:fldCharType="begin"/>
        </w:r>
        <w:r>
          <w:instrText xml:space="preserve">PAGEREF 7234 \h</w:instrText>
        </w:r>
        <w:r>
          <w:fldChar w:fldCharType="end"/>
        </w:r>
      </w:hyperlink>
    </w:p>
    <w:p>
      <w:pPr>
        <w:tabs>
          <w:tab w:val="right" w:leader="dot" w:pos="9062"/>
        </w:tabs>
        <w:ind w:left="440"/>
      </w:pPr>
      <w:hyperlink w:anchor="_Toc7235" w:history="1">
        <w:r>
          <w:rPr>
            <w:rFonts w:ascii="IRNazanin" w:hAnsi="IRNazanin" w:eastAsia="IRNazanin" w:cs="IRNazanin"/>
            <w:color w:val="111111"/>
            <w:sz w:val="22"/>
            <w:szCs w:val="22"/>
            <w:b w:val="0"/>
            <w:bCs w:val="0"/>
            <w:i w:val="0"/>
            <w:iCs w:val="0"/>
          </w:rPr>
          <w:t>6462- دیوان محمد بن علی‏</w:t>
        </w:r>
        <w:r>
          <w:tab/>
        </w:r>
        <w:r>
          <w:fldChar w:fldCharType="begin"/>
        </w:r>
        <w:r>
          <w:instrText xml:space="preserve">PAGEREF 7235 \h</w:instrText>
        </w:r>
        <w:r>
          <w:fldChar w:fldCharType="end"/>
        </w:r>
      </w:hyperlink>
    </w:p>
    <w:p>
      <w:pPr>
        <w:tabs>
          <w:tab w:val="right" w:leader="dot" w:pos="9062"/>
        </w:tabs>
        <w:ind w:left="440"/>
      </w:pPr>
      <w:hyperlink w:anchor="_Toc7236" w:history="1">
        <w:r>
          <w:rPr>
            <w:rFonts w:ascii="IRNazanin" w:hAnsi="IRNazanin" w:eastAsia="IRNazanin" w:cs="IRNazanin"/>
            <w:color w:val="111111"/>
            <w:sz w:val="22"/>
            <w:szCs w:val="22"/>
            <w:b w:val="0"/>
            <w:bCs w:val="0"/>
            <w:i w:val="0"/>
            <w:iCs w:val="0"/>
          </w:rPr>
          <w:t>6463- دیوان محمد بن علی بن محیی الدین الموسوی العاملی‏</w:t>
        </w:r>
        <w:r>
          <w:tab/>
        </w:r>
        <w:r>
          <w:fldChar w:fldCharType="begin"/>
        </w:r>
        <w:r>
          <w:instrText xml:space="preserve">PAGEREF 7236 \h</w:instrText>
        </w:r>
        <w:r>
          <w:fldChar w:fldCharType="end"/>
        </w:r>
      </w:hyperlink>
    </w:p>
    <w:p>
      <w:pPr>
        <w:tabs>
          <w:tab w:val="right" w:leader="dot" w:pos="9062"/>
        </w:tabs>
        <w:ind w:left="440"/>
      </w:pPr>
      <w:hyperlink w:anchor="_Toc7237" w:history="1">
        <w:r>
          <w:rPr>
            <w:rFonts w:ascii="IRNazanin" w:hAnsi="IRNazanin" w:eastAsia="IRNazanin" w:cs="IRNazanin"/>
            <w:color w:val="111111"/>
            <w:sz w:val="22"/>
            <w:szCs w:val="22"/>
            <w:b w:val="0"/>
            <w:bCs w:val="0"/>
            <w:i w:val="0"/>
            <w:iCs w:val="0"/>
          </w:rPr>
          <w:t>6464- دیوان الشیخ محمد بن عیسی‏</w:t>
        </w:r>
        <w:r>
          <w:tab/>
        </w:r>
        <w:r>
          <w:fldChar w:fldCharType="begin"/>
        </w:r>
        <w:r>
          <w:instrText xml:space="preserve">PAGEREF 7237 \h</w:instrText>
        </w:r>
        <w:r>
          <w:fldChar w:fldCharType="end"/>
        </w:r>
      </w:hyperlink>
    </w:p>
    <w:p>
      <w:pPr>
        <w:tabs>
          <w:tab w:val="right" w:leader="dot" w:pos="9062"/>
        </w:tabs>
        <w:ind w:left="440"/>
      </w:pPr>
      <w:hyperlink w:anchor="_Toc7238" w:history="1">
        <w:r>
          <w:rPr>
            <w:rFonts w:ascii="IRNazanin" w:hAnsi="IRNazanin" w:eastAsia="IRNazanin" w:cs="IRNazanin"/>
            <w:color w:val="111111"/>
            <w:sz w:val="22"/>
            <w:szCs w:val="22"/>
            <w:b w:val="0"/>
            <w:bCs w:val="0"/>
            <w:i w:val="0"/>
            <w:iCs w:val="0"/>
          </w:rPr>
          <w:t>دیوان محمد بن غلام علی ریاحی‏</w:t>
        </w:r>
        <w:r>
          <w:tab/>
        </w:r>
        <w:r>
          <w:fldChar w:fldCharType="begin"/>
        </w:r>
        <w:r>
          <w:instrText xml:space="preserve">PAGEREF 7238 \h</w:instrText>
        </w:r>
        <w:r>
          <w:fldChar w:fldCharType="end"/>
        </w:r>
      </w:hyperlink>
    </w:p>
    <w:p>
      <w:pPr>
        <w:tabs>
          <w:tab w:val="right" w:leader="dot" w:pos="9062"/>
        </w:tabs>
        <w:ind w:left="440"/>
      </w:pPr>
      <w:hyperlink w:anchor="_Toc7239" w:history="1">
        <w:r>
          <w:rPr>
            <w:rFonts w:ascii="IRNazanin" w:hAnsi="IRNazanin" w:eastAsia="IRNazanin" w:cs="IRNazanin"/>
            <w:color w:val="111111"/>
            <w:sz w:val="22"/>
            <w:szCs w:val="22"/>
            <w:b w:val="0"/>
            <w:bCs w:val="0"/>
            <w:i w:val="0"/>
            <w:iCs w:val="0"/>
          </w:rPr>
          <w:t>6465- دیوان محمد بن القاسم بن معیة الحسنی الدیباجی أو شعره‏</w:t>
        </w:r>
        <w:r>
          <w:tab/>
        </w:r>
        <w:r>
          <w:fldChar w:fldCharType="begin"/>
        </w:r>
        <w:r>
          <w:instrText xml:space="preserve">PAGEREF 7239 \h</w:instrText>
        </w:r>
        <w:r>
          <w:fldChar w:fldCharType="end"/>
        </w:r>
      </w:hyperlink>
    </w:p>
    <w:p>
      <w:pPr>
        <w:tabs>
          <w:tab w:val="right" w:leader="dot" w:pos="9062"/>
        </w:tabs>
        <w:ind w:left="440"/>
      </w:pPr>
      <w:hyperlink w:anchor="_Toc7240" w:history="1">
        <w:r>
          <w:rPr>
            <w:rFonts w:ascii="IRNazanin" w:hAnsi="IRNazanin" w:eastAsia="IRNazanin" w:cs="IRNazanin"/>
            <w:color w:val="111111"/>
            <w:sz w:val="22"/>
            <w:szCs w:val="22"/>
            <w:b w:val="0"/>
            <w:bCs w:val="0"/>
            <w:i w:val="0"/>
            <w:iCs w:val="0"/>
          </w:rPr>
          <w:t>6466- دیوان محمد بن ماجد البحرانی أو شعره‏</w:t>
        </w:r>
        <w:r>
          <w:tab/>
        </w:r>
        <w:r>
          <w:fldChar w:fldCharType="begin"/>
        </w:r>
        <w:r>
          <w:instrText xml:space="preserve">PAGEREF 7240 \h</w:instrText>
        </w:r>
        <w:r>
          <w:fldChar w:fldCharType="end"/>
        </w:r>
      </w:hyperlink>
    </w:p>
    <w:p>
      <w:pPr>
        <w:tabs>
          <w:tab w:val="right" w:leader="dot" w:pos="9062"/>
        </w:tabs>
        <w:ind w:left="440"/>
      </w:pPr>
      <w:hyperlink w:anchor="_Toc7241" w:history="1">
        <w:r>
          <w:rPr>
            <w:rFonts w:ascii="IRNazanin" w:hAnsi="IRNazanin" w:eastAsia="IRNazanin" w:cs="IRNazanin"/>
            <w:color w:val="111111"/>
            <w:sz w:val="22"/>
            <w:szCs w:val="22"/>
            <w:b w:val="0"/>
            <w:bCs w:val="0"/>
            <w:i w:val="0"/>
            <w:iCs w:val="0"/>
          </w:rPr>
          <w:t>6467- دیوان السید محمد</w:t>
        </w:r>
        <w:r>
          <w:tab/>
        </w:r>
        <w:r>
          <w:fldChar w:fldCharType="begin"/>
        </w:r>
        <w:r>
          <w:instrText xml:space="preserve">PAGEREF 7241 \h</w:instrText>
        </w:r>
        <w:r>
          <w:fldChar w:fldCharType="end"/>
        </w:r>
      </w:hyperlink>
    </w:p>
    <w:p>
      <w:pPr>
        <w:tabs>
          <w:tab w:val="right" w:leader="dot" w:pos="9062"/>
        </w:tabs>
        <w:ind w:left="440"/>
      </w:pPr>
      <w:hyperlink w:anchor="_Toc7242" w:history="1">
        <w:r>
          <w:rPr>
            <w:rFonts w:ascii="IRNazanin" w:hAnsi="IRNazanin" w:eastAsia="IRNazanin" w:cs="IRNazanin"/>
            <w:color w:val="111111"/>
            <w:sz w:val="22"/>
            <w:szCs w:val="22"/>
            <w:b w:val="0"/>
            <w:bCs w:val="0"/>
            <w:i w:val="0"/>
            <w:iCs w:val="0"/>
          </w:rPr>
          <w:t>دیوان محمد بن المبارک القزوینی‏</w:t>
        </w:r>
        <w:r>
          <w:tab/>
        </w:r>
        <w:r>
          <w:fldChar w:fldCharType="begin"/>
        </w:r>
        <w:r>
          <w:instrText xml:space="preserve">PAGEREF 7242 \h</w:instrText>
        </w:r>
        <w:r>
          <w:fldChar w:fldCharType="end"/>
        </w:r>
      </w:hyperlink>
    </w:p>
    <w:p>
      <w:pPr>
        <w:tabs>
          <w:tab w:val="right" w:leader="dot" w:pos="9062"/>
        </w:tabs>
        <w:ind w:left="440"/>
      </w:pPr>
      <w:hyperlink w:anchor="_Toc7243" w:history="1">
        <w:r>
          <w:rPr>
            <w:rFonts w:ascii="IRNazanin" w:hAnsi="IRNazanin" w:eastAsia="IRNazanin" w:cs="IRNazanin"/>
            <w:color w:val="111111"/>
            <w:sz w:val="22"/>
            <w:szCs w:val="22"/>
            <w:b w:val="0"/>
            <w:bCs w:val="0"/>
            <w:i w:val="0"/>
            <w:iCs w:val="0"/>
          </w:rPr>
          <w:t>دیوان محمد بن محمد بن الحسن الطوسی‏</w:t>
        </w:r>
        <w:r>
          <w:tab/>
        </w:r>
        <w:r>
          <w:fldChar w:fldCharType="begin"/>
        </w:r>
        <w:r>
          <w:instrText xml:space="preserve">PAGEREF 7243 \h</w:instrText>
        </w:r>
        <w:r>
          <w:fldChar w:fldCharType="end"/>
        </w:r>
      </w:hyperlink>
    </w:p>
    <w:p>
      <w:pPr>
        <w:tabs>
          <w:tab w:val="right" w:leader="dot" w:pos="9062"/>
        </w:tabs>
        <w:ind w:left="440"/>
      </w:pPr>
      <w:hyperlink w:anchor="_Toc7244" w:history="1">
        <w:r>
          <w:rPr>
            <w:rFonts w:ascii="IRNazanin" w:hAnsi="IRNazanin" w:eastAsia="IRNazanin" w:cs="IRNazanin"/>
            <w:color w:val="111111"/>
            <w:sz w:val="22"/>
            <w:szCs w:val="22"/>
            <w:b w:val="0"/>
            <w:bCs w:val="0"/>
            <w:i w:val="0"/>
            <w:iCs w:val="0"/>
          </w:rPr>
          <w:t>6468- دیوان محمد بن محمد بن حسن‏</w:t>
        </w:r>
        <w:r>
          <w:tab/>
        </w:r>
        <w:r>
          <w:fldChar w:fldCharType="begin"/>
        </w:r>
        <w:r>
          <w:instrText xml:space="preserve">PAGEREF 7244 \h</w:instrText>
        </w:r>
        <w:r>
          <w:fldChar w:fldCharType="end"/>
        </w:r>
      </w:hyperlink>
    </w:p>
    <w:p>
      <w:pPr>
        <w:tabs>
          <w:tab w:val="right" w:leader="dot" w:pos="9062"/>
        </w:tabs>
        <w:ind w:left="440"/>
      </w:pPr>
      <w:hyperlink w:anchor="_Toc7245" w:history="1">
        <w:r>
          <w:rPr>
            <w:rFonts w:ascii="IRNazanin" w:hAnsi="IRNazanin" w:eastAsia="IRNazanin" w:cs="IRNazanin"/>
            <w:color w:val="111111"/>
            <w:sz w:val="22"/>
            <w:szCs w:val="22"/>
            <w:b w:val="0"/>
            <w:bCs w:val="0"/>
            <w:i w:val="0"/>
            <w:iCs w:val="0"/>
          </w:rPr>
          <w:t>6469- دیوان الشیخ محمد بن محمد بن الحسین الحر العاملی المشغری‏</w:t>
        </w:r>
        <w:r>
          <w:tab/>
        </w:r>
        <w:r>
          <w:fldChar w:fldCharType="begin"/>
        </w:r>
        <w:r>
          <w:instrText xml:space="preserve">PAGEREF 7245 \h</w:instrText>
        </w:r>
        <w:r>
          <w:fldChar w:fldCharType="end"/>
        </w:r>
      </w:hyperlink>
    </w:p>
    <w:p>
      <w:pPr>
        <w:tabs>
          <w:tab w:val="right" w:leader="dot" w:pos="9062"/>
        </w:tabs>
        <w:ind w:left="440"/>
      </w:pPr>
      <w:hyperlink w:anchor="_Toc7246" w:history="1">
        <w:r>
          <w:rPr>
            <w:rFonts w:ascii="IRNazanin" w:hAnsi="IRNazanin" w:eastAsia="IRNazanin" w:cs="IRNazanin"/>
            <w:color w:val="111111"/>
            <w:sz w:val="22"/>
            <w:szCs w:val="22"/>
            <w:b w:val="0"/>
            <w:bCs w:val="0"/>
            <w:i w:val="0"/>
            <w:iCs w:val="0"/>
          </w:rPr>
          <w:t>6470- دیوان محمد بن محمد بن محمد بن داود المؤذن الجزینی أو شعره‏</w:t>
        </w:r>
        <w:r>
          <w:tab/>
        </w:r>
        <w:r>
          <w:fldChar w:fldCharType="begin"/>
        </w:r>
        <w:r>
          <w:instrText xml:space="preserve">PAGEREF 7246 \h</w:instrText>
        </w:r>
        <w:r>
          <w:fldChar w:fldCharType="end"/>
        </w:r>
      </w:hyperlink>
    </w:p>
    <w:p>
      <w:pPr>
        <w:tabs>
          <w:tab w:val="right" w:leader="dot" w:pos="9062"/>
        </w:tabs>
        <w:ind w:left="440"/>
      </w:pPr>
      <w:hyperlink w:anchor="_Toc7247" w:history="1">
        <w:r>
          <w:rPr>
            <w:rFonts w:ascii="IRNazanin" w:hAnsi="IRNazanin" w:eastAsia="IRNazanin" w:cs="IRNazanin"/>
            <w:color w:val="111111"/>
            <w:sz w:val="22"/>
            <w:szCs w:val="22"/>
            <w:b w:val="0"/>
            <w:bCs w:val="0"/>
            <w:i w:val="0"/>
            <w:iCs w:val="0"/>
          </w:rPr>
          <w:t>دیوان محمد بن محمود البلخی‏</w:t>
        </w:r>
        <w:r>
          <w:tab/>
        </w:r>
        <w:r>
          <w:fldChar w:fldCharType="begin"/>
        </w:r>
        <w:r>
          <w:instrText xml:space="preserve">PAGEREF 7247 \h</w:instrText>
        </w:r>
        <w:r>
          <w:fldChar w:fldCharType="end"/>
        </w:r>
      </w:hyperlink>
    </w:p>
    <w:p>
      <w:pPr>
        <w:tabs>
          <w:tab w:val="right" w:leader="dot" w:pos="9062"/>
        </w:tabs>
        <w:ind w:left="440"/>
      </w:pPr>
      <w:hyperlink w:anchor="_Toc7248" w:history="1">
        <w:r>
          <w:rPr>
            <w:rFonts w:ascii="IRNazanin" w:hAnsi="IRNazanin" w:eastAsia="IRNazanin" w:cs="IRNazanin"/>
            <w:color w:val="111111"/>
            <w:sz w:val="22"/>
            <w:szCs w:val="22"/>
            <w:b w:val="0"/>
            <w:bCs w:val="0"/>
            <w:i w:val="0"/>
            <w:iCs w:val="0"/>
          </w:rPr>
          <w:t>دیوان محمد بن مکی الشهید أو شعره‏</w:t>
        </w:r>
        <w:r>
          <w:tab/>
        </w:r>
        <w:r>
          <w:fldChar w:fldCharType="begin"/>
        </w:r>
        <w:r>
          <w:instrText xml:space="preserve">PAGEREF 7248 \h</w:instrText>
        </w:r>
        <w:r>
          <w:fldChar w:fldCharType="end"/>
        </w:r>
      </w:hyperlink>
    </w:p>
    <w:p>
      <w:pPr>
        <w:tabs>
          <w:tab w:val="right" w:leader="dot" w:pos="9062"/>
        </w:tabs>
        <w:ind w:left="440"/>
      </w:pPr>
      <w:hyperlink w:anchor="_Toc7249" w:history="1">
        <w:r>
          <w:rPr>
            <w:rFonts w:ascii="IRNazanin" w:hAnsi="IRNazanin" w:eastAsia="IRNazanin" w:cs="IRNazanin"/>
            <w:color w:val="111111"/>
            <w:sz w:val="22"/>
            <w:szCs w:val="22"/>
            <w:b w:val="0"/>
            <w:bCs w:val="0"/>
            <w:i w:val="0"/>
            <w:iCs w:val="0"/>
          </w:rPr>
          <w:t>دیوان محمد بن مؤید البغدادی‏</w:t>
        </w:r>
        <w:r>
          <w:tab/>
        </w:r>
        <w:r>
          <w:fldChar w:fldCharType="begin"/>
        </w:r>
        <w:r>
          <w:instrText xml:space="preserve">PAGEREF 7249 \h</w:instrText>
        </w:r>
        <w:r>
          <w:fldChar w:fldCharType="end"/>
        </w:r>
      </w:hyperlink>
    </w:p>
    <w:p>
      <w:pPr>
        <w:tabs>
          <w:tab w:val="right" w:leader="dot" w:pos="9062"/>
        </w:tabs>
        <w:ind w:left="440"/>
      </w:pPr>
      <w:hyperlink w:anchor="_Toc7250" w:history="1">
        <w:r>
          <w:rPr>
            <w:rFonts w:ascii="IRNazanin" w:hAnsi="IRNazanin" w:eastAsia="IRNazanin" w:cs="IRNazanin"/>
            <w:color w:val="111111"/>
            <w:sz w:val="22"/>
            <w:szCs w:val="22"/>
            <w:b w:val="0"/>
            <w:bCs w:val="0"/>
            <w:i w:val="0"/>
            <w:iCs w:val="0"/>
          </w:rPr>
          <w:t>6471- دیوان محمد بن نصار</w:t>
        </w:r>
        <w:r>
          <w:tab/>
        </w:r>
        <w:r>
          <w:fldChar w:fldCharType="begin"/>
        </w:r>
        <w:r>
          <w:instrText xml:space="preserve">PAGEREF 7250 \h</w:instrText>
        </w:r>
        <w:r>
          <w:fldChar w:fldCharType="end"/>
        </w:r>
      </w:hyperlink>
    </w:p>
    <w:p>
      <w:pPr>
        <w:tabs>
          <w:tab w:val="right" w:leader="dot" w:pos="9062"/>
        </w:tabs>
        <w:ind w:left="440"/>
      </w:pPr>
      <w:hyperlink w:anchor="_Toc7251" w:history="1">
        <w:r>
          <w:rPr>
            <w:rFonts w:ascii="IRNazanin" w:hAnsi="IRNazanin" w:eastAsia="IRNazanin" w:cs="IRNazanin"/>
            <w:color w:val="111111"/>
            <w:sz w:val="22"/>
            <w:szCs w:val="22"/>
            <w:b w:val="0"/>
            <w:bCs w:val="0"/>
            <w:i w:val="0"/>
            <w:iCs w:val="0"/>
          </w:rPr>
          <w:t>6472- دیوان محمد بن نصیر</w:t>
        </w:r>
        <w:r>
          <w:tab/>
        </w:r>
        <w:r>
          <w:fldChar w:fldCharType="begin"/>
        </w:r>
        <w:r>
          <w:instrText xml:space="preserve">PAGEREF 7251 \h</w:instrText>
        </w:r>
        <w:r>
          <w:fldChar w:fldCharType="end"/>
        </w:r>
      </w:hyperlink>
    </w:p>
    <w:p>
      <w:pPr>
        <w:tabs>
          <w:tab w:val="right" w:leader="dot" w:pos="9062"/>
        </w:tabs>
        <w:ind w:left="440"/>
      </w:pPr>
      <w:hyperlink w:anchor="_Toc7252" w:history="1">
        <w:r>
          <w:rPr>
            <w:rFonts w:ascii="IRNazanin" w:hAnsi="IRNazanin" w:eastAsia="IRNazanin" w:cs="IRNazanin"/>
            <w:color w:val="111111"/>
            <w:sz w:val="22"/>
            <w:szCs w:val="22"/>
            <w:b w:val="0"/>
            <w:bCs w:val="0"/>
            <w:i w:val="0"/>
            <w:iCs w:val="0"/>
          </w:rPr>
          <w:t>دیوان محمد بن هانی الأندلسی‏</w:t>
        </w:r>
        <w:r>
          <w:tab/>
        </w:r>
        <w:r>
          <w:fldChar w:fldCharType="begin"/>
        </w:r>
        <w:r>
          <w:instrText xml:space="preserve">PAGEREF 7252 \h</w:instrText>
        </w:r>
        <w:r>
          <w:fldChar w:fldCharType="end"/>
        </w:r>
      </w:hyperlink>
    </w:p>
    <w:p>
      <w:pPr>
        <w:tabs>
          <w:tab w:val="right" w:leader="dot" w:pos="9062"/>
        </w:tabs>
        <w:ind w:left="440"/>
      </w:pPr>
      <w:hyperlink w:anchor="_Toc7253" w:history="1">
        <w:r>
          <w:rPr>
            <w:rFonts w:ascii="IRNazanin" w:hAnsi="IRNazanin" w:eastAsia="IRNazanin" w:cs="IRNazanin"/>
            <w:color w:val="111111"/>
            <w:sz w:val="22"/>
            <w:szCs w:val="22"/>
            <w:b w:val="0"/>
            <w:bCs w:val="0"/>
            <w:i w:val="0"/>
            <w:iCs w:val="0"/>
          </w:rPr>
          <w:t>دیوان محمد بن یوسف‏</w:t>
        </w:r>
        <w:r>
          <w:tab/>
        </w:r>
        <w:r>
          <w:fldChar w:fldCharType="begin"/>
        </w:r>
        <w:r>
          <w:instrText xml:space="preserve">PAGEREF 7253 \h</w:instrText>
        </w:r>
        <w:r>
          <w:fldChar w:fldCharType="end"/>
        </w:r>
      </w:hyperlink>
    </w:p>
    <w:p>
      <w:pPr>
        <w:tabs>
          <w:tab w:val="right" w:leader="dot" w:pos="9062"/>
        </w:tabs>
        <w:ind w:left="440"/>
      </w:pPr>
      <w:hyperlink w:anchor="_Toc7254" w:history="1">
        <w:r>
          <w:rPr>
            <w:rFonts w:ascii="IRNazanin" w:hAnsi="IRNazanin" w:eastAsia="IRNazanin" w:cs="IRNazanin"/>
            <w:color w:val="111111"/>
            <w:sz w:val="22"/>
            <w:szCs w:val="22"/>
            <w:b w:val="0"/>
            <w:bCs w:val="0"/>
            <w:i w:val="0"/>
            <w:iCs w:val="0"/>
          </w:rPr>
          <w:t>6473- دیوان محمد بن یوسف‏</w:t>
        </w:r>
        <w:r>
          <w:tab/>
        </w:r>
        <w:r>
          <w:fldChar w:fldCharType="begin"/>
        </w:r>
        <w:r>
          <w:instrText xml:space="preserve">PAGEREF 7254 \h</w:instrText>
        </w:r>
        <w:r>
          <w:fldChar w:fldCharType="end"/>
        </w:r>
      </w:hyperlink>
    </w:p>
    <w:p>
      <w:pPr>
        <w:tabs>
          <w:tab w:val="right" w:leader="dot" w:pos="9062"/>
        </w:tabs>
        <w:ind w:left="440"/>
      </w:pPr>
      <w:hyperlink w:anchor="_Toc7255" w:history="1">
        <w:r>
          <w:rPr>
            <w:rFonts w:ascii="IRNazanin" w:hAnsi="IRNazanin" w:eastAsia="IRNazanin" w:cs="IRNazanin"/>
            <w:color w:val="111111"/>
            <w:sz w:val="22"/>
            <w:szCs w:val="22"/>
            <w:b w:val="0"/>
            <w:bCs w:val="0"/>
            <w:i w:val="0"/>
            <w:iCs w:val="0"/>
          </w:rPr>
          <w:t>دیوان محمد إخباری‏</w:t>
        </w:r>
        <w:r>
          <w:tab/>
        </w:r>
        <w:r>
          <w:fldChar w:fldCharType="begin"/>
        </w:r>
        <w:r>
          <w:instrText xml:space="preserve">PAGEREF 7255 \h</w:instrText>
        </w:r>
        <w:r>
          <w:fldChar w:fldCharType="end"/>
        </w:r>
      </w:hyperlink>
    </w:p>
    <w:p>
      <w:pPr>
        <w:tabs>
          <w:tab w:val="right" w:leader="dot" w:pos="9062"/>
        </w:tabs>
        <w:ind w:left="440"/>
      </w:pPr>
      <w:hyperlink w:anchor="_Toc7256" w:history="1">
        <w:r>
          <w:rPr>
            <w:rFonts w:ascii="IRNazanin" w:hAnsi="IRNazanin" w:eastAsia="IRNazanin" w:cs="IRNazanin"/>
            <w:color w:val="111111"/>
            <w:sz w:val="22"/>
            <w:szCs w:val="22"/>
            <w:b w:val="0"/>
            <w:bCs w:val="0"/>
            <w:i w:val="0"/>
            <w:iCs w:val="0"/>
          </w:rPr>
          <w:t>دیوان محمد أدائی‏</w:t>
        </w:r>
        <w:r>
          <w:tab/>
        </w:r>
        <w:r>
          <w:fldChar w:fldCharType="begin"/>
        </w:r>
        <w:r>
          <w:instrText xml:space="preserve">PAGEREF 7256 \h</w:instrText>
        </w:r>
        <w:r>
          <w:fldChar w:fldCharType="end"/>
        </w:r>
      </w:hyperlink>
    </w:p>
    <w:p>
      <w:pPr>
        <w:tabs>
          <w:tab w:val="right" w:leader="dot" w:pos="9062"/>
        </w:tabs>
        <w:ind w:left="440"/>
      </w:pPr>
      <w:hyperlink w:anchor="_Toc7257" w:history="1">
        <w:r>
          <w:rPr>
            <w:rFonts w:ascii="IRNazanin" w:hAnsi="IRNazanin" w:eastAsia="IRNazanin" w:cs="IRNazanin"/>
            <w:color w:val="111111"/>
            <w:sz w:val="22"/>
            <w:szCs w:val="22"/>
            <w:b w:val="0"/>
            <w:bCs w:val="0"/>
            <w:i w:val="0"/>
            <w:iCs w:val="0"/>
          </w:rPr>
          <w:t>6474- دیوان میرزا محمد أردبیلی أو شعره‏</w:t>
        </w:r>
        <w:r>
          <w:tab/>
        </w:r>
        <w:r>
          <w:fldChar w:fldCharType="begin"/>
        </w:r>
        <w:r>
          <w:instrText xml:space="preserve">PAGEREF 7257 \h</w:instrText>
        </w:r>
        <w:r>
          <w:fldChar w:fldCharType="end"/>
        </w:r>
      </w:hyperlink>
    </w:p>
    <w:p>
      <w:pPr>
        <w:tabs>
          <w:tab w:val="right" w:leader="dot" w:pos="9062"/>
        </w:tabs>
        <w:ind w:left="440"/>
      </w:pPr>
      <w:hyperlink w:anchor="_Toc7258" w:history="1">
        <w:r>
          <w:rPr>
            <w:rFonts w:ascii="IRNazanin" w:hAnsi="IRNazanin" w:eastAsia="IRNazanin" w:cs="IRNazanin"/>
            <w:color w:val="111111"/>
            <w:sz w:val="22"/>
            <w:szCs w:val="22"/>
            <w:b w:val="0"/>
            <w:bCs w:val="0"/>
            <w:i w:val="0"/>
            <w:iCs w:val="0"/>
          </w:rPr>
          <w:t>6475- دیوان محمد ارتضا علی خشنود</w:t>
        </w:r>
        <w:r>
          <w:tab/>
        </w:r>
        <w:r>
          <w:fldChar w:fldCharType="begin"/>
        </w:r>
        <w:r>
          <w:instrText xml:space="preserve">PAGEREF 7258 \h</w:instrText>
        </w:r>
        <w:r>
          <w:fldChar w:fldCharType="end"/>
        </w:r>
      </w:hyperlink>
    </w:p>
    <w:p>
      <w:pPr>
        <w:tabs>
          <w:tab w:val="right" w:leader="dot" w:pos="9062"/>
        </w:tabs>
        <w:ind w:left="440"/>
      </w:pPr>
      <w:hyperlink w:anchor="_Toc7259" w:history="1">
        <w:r>
          <w:rPr>
            <w:rFonts w:ascii="IRNazanin" w:hAnsi="IRNazanin" w:eastAsia="IRNazanin" w:cs="IRNazanin"/>
            <w:color w:val="111111"/>
            <w:sz w:val="22"/>
            <w:szCs w:val="22"/>
            <w:b w:val="0"/>
            <w:bCs w:val="0"/>
            <w:i w:val="0"/>
            <w:iCs w:val="0"/>
          </w:rPr>
          <w:t>دیوان محمد أسترآبادی‏</w:t>
        </w:r>
        <w:r>
          <w:tab/>
        </w:r>
        <w:r>
          <w:fldChar w:fldCharType="begin"/>
        </w:r>
        <w:r>
          <w:instrText xml:space="preserve">PAGEREF 7259 \h</w:instrText>
        </w:r>
        <w:r>
          <w:fldChar w:fldCharType="end"/>
        </w:r>
      </w:hyperlink>
    </w:p>
    <w:p>
      <w:pPr>
        <w:tabs>
          <w:tab w:val="right" w:leader="dot" w:pos="9062"/>
        </w:tabs>
        <w:ind w:left="440"/>
      </w:pPr>
      <w:hyperlink w:anchor="_Toc7260" w:history="1">
        <w:r>
          <w:rPr>
            <w:rFonts w:ascii="IRNazanin" w:hAnsi="IRNazanin" w:eastAsia="IRNazanin" w:cs="IRNazanin"/>
            <w:color w:val="111111"/>
            <w:sz w:val="22"/>
            <w:szCs w:val="22"/>
            <w:b w:val="0"/>
            <w:bCs w:val="0"/>
            <w:i w:val="0"/>
            <w:iCs w:val="0"/>
          </w:rPr>
          <w:t>6476- دیوان محمد أسترآبادی أو شعره‏</w:t>
        </w:r>
        <w:r>
          <w:tab/>
        </w:r>
        <w:r>
          <w:fldChar w:fldCharType="begin"/>
        </w:r>
        <w:r>
          <w:instrText xml:space="preserve">PAGEREF 7260 \h</w:instrText>
        </w:r>
        <w:r>
          <w:fldChar w:fldCharType="end"/>
        </w:r>
      </w:hyperlink>
    </w:p>
    <w:p>
      <w:pPr>
        <w:tabs>
          <w:tab w:val="right" w:leader="dot" w:pos="9062"/>
        </w:tabs>
        <w:ind w:left="440"/>
      </w:pPr>
      <w:hyperlink w:anchor="_Toc7261" w:history="1">
        <w:r>
          <w:rPr>
            <w:rFonts w:ascii="IRNazanin" w:hAnsi="IRNazanin" w:eastAsia="IRNazanin" w:cs="IRNazanin"/>
            <w:color w:val="111111"/>
            <w:sz w:val="22"/>
            <w:szCs w:val="22"/>
            <w:b w:val="0"/>
            <w:bCs w:val="0"/>
            <w:i w:val="0"/>
            <w:iCs w:val="0"/>
          </w:rPr>
          <w:t>6477- دیوان محمد إسماعیل أبجدی‏</w:t>
        </w:r>
        <w:r>
          <w:tab/>
        </w:r>
        <w:r>
          <w:fldChar w:fldCharType="begin"/>
        </w:r>
        <w:r>
          <w:instrText xml:space="preserve">PAGEREF 7261 \h</w:instrText>
        </w:r>
        <w:r>
          <w:fldChar w:fldCharType="end"/>
        </w:r>
      </w:hyperlink>
    </w:p>
    <w:p>
      <w:pPr>
        <w:tabs>
          <w:tab w:val="right" w:leader="dot" w:pos="9062"/>
        </w:tabs>
        <w:ind w:left="440"/>
      </w:pPr>
      <w:hyperlink w:anchor="_Toc7262" w:history="1">
        <w:r>
          <w:rPr>
            <w:rFonts w:ascii="IRNazanin" w:hAnsi="IRNazanin" w:eastAsia="IRNazanin" w:cs="IRNazanin"/>
            <w:color w:val="111111"/>
            <w:sz w:val="22"/>
            <w:szCs w:val="22"/>
            <w:b w:val="0"/>
            <w:bCs w:val="0"/>
            <w:i w:val="0"/>
            <w:iCs w:val="0"/>
          </w:rPr>
          <w:t>دیوان محمد إصطهباناتی‏</w:t>
        </w:r>
        <w:r>
          <w:tab/>
        </w:r>
        <w:r>
          <w:fldChar w:fldCharType="begin"/>
        </w:r>
        <w:r>
          <w:instrText xml:space="preserve">PAGEREF 7262 \h</w:instrText>
        </w:r>
        <w:r>
          <w:fldChar w:fldCharType="end"/>
        </w:r>
      </w:hyperlink>
    </w:p>
    <w:p>
      <w:pPr>
        <w:tabs>
          <w:tab w:val="right" w:leader="dot" w:pos="9062"/>
        </w:tabs>
        <w:ind w:left="440"/>
      </w:pPr>
      <w:hyperlink w:anchor="_Toc7263" w:history="1">
        <w:r>
          <w:rPr>
            <w:rFonts w:ascii="IRNazanin" w:hAnsi="IRNazanin" w:eastAsia="IRNazanin" w:cs="IRNazanin"/>
            <w:color w:val="111111"/>
            <w:sz w:val="22"/>
            <w:szCs w:val="22"/>
            <w:b w:val="0"/>
            <w:bCs w:val="0"/>
            <w:i w:val="0"/>
            <w:iCs w:val="0"/>
          </w:rPr>
          <w:t>دیوان محمد أصفهانی‏</w:t>
        </w:r>
        <w:r>
          <w:tab/>
        </w:r>
        <w:r>
          <w:fldChar w:fldCharType="begin"/>
        </w:r>
        <w:r>
          <w:instrText xml:space="preserve">PAGEREF 7263 \h</w:instrText>
        </w:r>
        <w:r>
          <w:fldChar w:fldCharType="end"/>
        </w:r>
      </w:hyperlink>
    </w:p>
    <w:p>
      <w:pPr>
        <w:tabs>
          <w:tab w:val="right" w:leader="dot" w:pos="9062"/>
        </w:tabs>
        <w:ind w:left="440"/>
      </w:pPr>
      <w:hyperlink w:anchor="_Toc7264" w:history="1">
        <w:r>
          <w:rPr>
            <w:rFonts w:ascii="IRNazanin" w:hAnsi="IRNazanin" w:eastAsia="IRNazanin" w:cs="IRNazanin"/>
            <w:color w:val="111111"/>
            <w:sz w:val="22"/>
            <w:szCs w:val="22"/>
            <w:b w:val="0"/>
            <w:bCs w:val="0"/>
            <w:i w:val="0"/>
            <w:iCs w:val="0"/>
          </w:rPr>
          <w:t>دیوان محمد إقبال‏</w:t>
        </w:r>
        <w:r>
          <w:tab/>
        </w:r>
        <w:r>
          <w:fldChar w:fldCharType="begin"/>
        </w:r>
        <w:r>
          <w:instrText xml:space="preserve">PAGEREF 7264 \h</w:instrText>
        </w:r>
        <w:r>
          <w:fldChar w:fldCharType="end"/>
        </w:r>
      </w:hyperlink>
    </w:p>
    <w:p>
      <w:pPr>
        <w:tabs>
          <w:tab w:val="right" w:leader="dot" w:pos="9062"/>
        </w:tabs>
        <w:ind w:left="440"/>
      </w:pPr>
      <w:hyperlink w:anchor="_Toc7265" w:history="1">
        <w:r>
          <w:rPr>
            <w:rFonts w:ascii="IRNazanin" w:hAnsi="IRNazanin" w:eastAsia="IRNazanin" w:cs="IRNazanin"/>
            <w:color w:val="111111"/>
            <w:sz w:val="22"/>
            <w:szCs w:val="22"/>
            <w:b w:val="0"/>
            <w:bCs w:val="0"/>
            <w:i w:val="0"/>
            <w:iCs w:val="0"/>
          </w:rPr>
          <w:t>6478- دیوان محمد إمامی أو شعره‏</w:t>
        </w:r>
        <w:r>
          <w:tab/>
        </w:r>
        <w:r>
          <w:fldChar w:fldCharType="begin"/>
        </w:r>
        <w:r>
          <w:instrText xml:space="preserve">PAGEREF 7265 \h</w:instrText>
        </w:r>
        <w:r>
          <w:fldChar w:fldCharType="end"/>
        </w:r>
      </w:hyperlink>
    </w:p>
    <w:p>
      <w:pPr>
        <w:tabs>
          <w:tab w:val="right" w:leader="dot" w:pos="9062"/>
        </w:tabs>
        <w:ind w:left="440"/>
      </w:pPr>
      <w:hyperlink w:anchor="_Toc7266" w:history="1">
        <w:r>
          <w:rPr>
            <w:rFonts w:ascii="IRNazanin" w:hAnsi="IRNazanin" w:eastAsia="IRNazanin" w:cs="IRNazanin"/>
            <w:color w:val="111111"/>
            <w:sz w:val="22"/>
            <w:szCs w:val="22"/>
            <w:b w:val="0"/>
            <w:bCs w:val="0"/>
            <w:i w:val="0"/>
            <w:iCs w:val="0"/>
          </w:rPr>
          <w:t>دیوان محمد أمین إسرائیلی‏</w:t>
        </w:r>
        <w:r>
          <w:tab/>
        </w:r>
        <w:r>
          <w:fldChar w:fldCharType="begin"/>
        </w:r>
        <w:r>
          <w:instrText xml:space="preserve">PAGEREF 7266 \h</w:instrText>
        </w:r>
        <w:r>
          <w:fldChar w:fldCharType="end"/>
        </w:r>
      </w:hyperlink>
    </w:p>
    <w:p>
      <w:pPr>
        <w:tabs>
          <w:tab w:val="right" w:leader="dot" w:pos="9062"/>
        </w:tabs>
        <w:ind w:left="440"/>
      </w:pPr>
      <w:hyperlink w:anchor="_Toc7267" w:history="1">
        <w:r>
          <w:rPr>
            <w:rFonts w:ascii="IRNazanin" w:hAnsi="IRNazanin" w:eastAsia="IRNazanin" w:cs="IRNazanin"/>
            <w:color w:val="111111"/>
            <w:sz w:val="22"/>
            <w:szCs w:val="22"/>
            <w:b w:val="0"/>
            <w:bCs w:val="0"/>
            <w:i w:val="0"/>
            <w:iCs w:val="0"/>
          </w:rPr>
          <w:t>دیوان محمد أمین تبریزی‏</w:t>
        </w:r>
        <w:r>
          <w:tab/>
        </w:r>
        <w:r>
          <w:fldChar w:fldCharType="begin"/>
        </w:r>
        <w:r>
          <w:instrText xml:space="preserve">PAGEREF 7267 \h</w:instrText>
        </w:r>
        <w:r>
          <w:fldChar w:fldCharType="end"/>
        </w:r>
      </w:hyperlink>
    </w:p>
    <w:p>
      <w:pPr>
        <w:tabs>
          <w:tab w:val="right" w:leader="dot" w:pos="9062"/>
        </w:tabs>
        <w:ind w:left="440"/>
      </w:pPr>
      <w:hyperlink w:anchor="_Toc7268" w:history="1">
        <w:r>
          <w:rPr>
            <w:rFonts w:ascii="IRNazanin" w:hAnsi="IRNazanin" w:eastAsia="IRNazanin" w:cs="IRNazanin"/>
            <w:color w:val="111111"/>
            <w:sz w:val="22"/>
            <w:szCs w:val="22"/>
            <w:b w:val="0"/>
            <w:bCs w:val="0"/>
            <w:i w:val="0"/>
            <w:iCs w:val="0"/>
          </w:rPr>
          <w:t>دیوان محمد أمین ترکمان‏</w:t>
        </w:r>
        <w:r>
          <w:tab/>
        </w:r>
        <w:r>
          <w:fldChar w:fldCharType="begin"/>
        </w:r>
        <w:r>
          <w:instrText xml:space="preserve">PAGEREF 7268 \h</w:instrText>
        </w:r>
        <w:r>
          <w:fldChar w:fldCharType="end"/>
        </w:r>
      </w:hyperlink>
    </w:p>
    <w:p>
      <w:pPr>
        <w:tabs>
          <w:tab w:val="right" w:leader="dot" w:pos="9062"/>
        </w:tabs>
        <w:ind w:left="440"/>
      </w:pPr>
      <w:hyperlink w:anchor="_Toc7269" w:history="1">
        <w:r>
          <w:rPr>
            <w:rFonts w:ascii="IRNazanin" w:hAnsi="IRNazanin" w:eastAsia="IRNazanin" w:cs="IRNazanin"/>
            <w:color w:val="111111"/>
            <w:sz w:val="22"/>
            <w:szCs w:val="22"/>
            <w:b w:val="0"/>
            <w:bCs w:val="0"/>
            <w:i w:val="0"/>
            <w:iCs w:val="0"/>
          </w:rPr>
          <w:t>6479- دیوان محمد أمین جرفادقانی أو شعره‏</w:t>
        </w:r>
        <w:r>
          <w:tab/>
        </w:r>
        <w:r>
          <w:fldChar w:fldCharType="begin"/>
        </w:r>
        <w:r>
          <w:instrText xml:space="preserve">PAGEREF 7269 \h</w:instrText>
        </w:r>
        <w:r>
          <w:fldChar w:fldCharType="end"/>
        </w:r>
      </w:hyperlink>
    </w:p>
    <w:p>
      <w:pPr>
        <w:tabs>
          <w:tab w:val="right" w:leader="dot" w:pos="9062"/>
        </w:tabs>
        <w:ind w:left="440"/>
      </w:pPr>
      <w:hyperlink w:anchor="_Toc7270" w:history="1">
        <w:r>
          <w:rPr>
            <w:rFonts w:ascii="IRNazanin" w:hAnsi="IRNazanin" w:eastAsia="IRNazanin" w:cs="IRNazanin"/>
            <w:color w:val="111111"/>
            <w:sz w:val="22"/>
            <w:szCs w:val="22"/>
            <w:b w:val="0"/>
            <w:bCs w:val="0"/>
            <w:i w:val="0"/>
            <w:iCs w:val="0"/>
          </w:rPr>
          <w:t>6480- دیوان السید محمد الأمین العاملی‏</w:t>
        </w:r>
        <w:r>
          <w:tab/>
        </w:r>
        <w:r>
          <w:fldChar w:fldCharType="begin"/>
        </w:r>
        <w:r>
          <w:instrText xml:space="preserve">PAGEREF 7270 \h</w:instrText>
        </w:r>
        <w:r>
          <w:fldChar w:fldCharType="end"/>
        </w:r>
      </w:hyperlink>
    </w:p>
    <w:p>
      <w:pPr>
        <w:tabs>
          <w:tab w:val="right" w:leader="dot" w:pos="9062"/>
        </w:tabs>
        <w:ind w:left="440"/>
      </w:pPr>
      <w:hyperlink w:anchor="_Toc7271" w:history="1">
        <w:r>
          <w:rPr>
            <w:rFonts w:ascii="IRNazanin" w:hAnsi="IRNazanin" w:eastAsia="IRNazanin" w:cs="IRNazanin"/>
            <w:color w:val="111111"/>
            <w:sz w:val="22"/>
            <w:szCs w:val="22"/>
            <w:b w:val="0"/>
            <w:bCs w:val="0"/>
            <w:i w:val="0"/>
            <w:iCs w:val="0"/>
          </w:rPr>
          <w:t>6481- دیوان محمد ایزدی‏</w:t>
        </w:r>
        <w:r>
          <w:tab/>
        </w:r>
        <w:r>
          <w:fldChar w:fldCharType="begin"/>
        </w:r>
        <w:r>
          <w:instrText xml:space="preserve">PAGEREF 7271 \h</w:instrText>
        </w:r>
        <w:r>
          <w:fldChar w:fldCharType="end"/>
        </w:r>
      </w:hyperlink>
    </w:p>
    <w:p>
      <w:pPr>
        <w:tabs>
          <w:tab w:val="right" w:leader="dot" w:pos="9062"/>
        </w:tabs>
        <w:ind w:left="440"/>
      </w:pPr>
      <w:hyperlink w:anchor="_Toc7272" w:history="1">
        <w:r>
          <w:rPr>
            <w:rFonts w:ascii="IRNazanin" w:hAnsi="IRNazanin" w:eastAsia="IRNazanin" w:cs="IRNazanin"/>
            <w:color w:val="111111"/>
            <w:sz w:val="22"/>
            <w:szCs w:val="22"/>
            <w:b w:val="0"/>
            <w:bCs w:val="0"/>
            <w:i w:val="0"/>
            <w:iCs w:val="0"/>
          </w:rPr>
          <w:t>6482- دیوان محمد أمین مشهدی أو شعره‏</w:t>
        </w:r>
        <w:r>
          <w:tab/>
        </w:r>
        <w:r>
          <w:fldChar w:fldCharType="begin"/>
        </w:r>
        <w:r>
          <w:instrText xml:space="preserve">PAGEREF 7272 \h</w:instrText>
        </w:r>
        <w:r>
          <w:fldChar w:fldCharType="end"/>
        </w:r>
      </w:hyperlink>
    </w:p>
    <w:p>
      <w:pPr>
        <w:tabs>
          <w:tab w:val="right" w:leader="dot" w:pos="9062"/>
        </w:tabs>
        <w:ind w:left="440"/>
      </w:pPr>
      <w:hyperlink w:anchor="_Toc7273" w:history="1">
        <w:r>
          <w:rPr>
            <w:rFonts w:ascii="IRNazanin" w:hAnsi="IRNazanin" w:eastAsia="IRNazanin" w:cs="IRNazanin"/>
            <w:color w:val="111111"/>
            <w:sz w:val="22"/>
            <w:szCs w:val="22"/>
            <w:b w:val="0"/>
            <w:bCs w:val="0"/>
            <w:i w:val="0"/>
            <w:iCs w:val="0"/>
          </w:rPr>
          <w:t>6483- دیوان محمد أمین همدانی أو شعره‏</w:t>
        </w:r>
        <w:r>
          <w:tab/>
        </w:r>
        <w:r>
          <w:fldChar w:fldCharType="begin"/>
        </w:r>
        <w:r>
          <w:instrText xml:space="preserve">PAGEREF 7273 \h</w:instrText>
        </w:r>
        <w:r>
          <w:fldChar w:fldCharType="end"/>
        </w:r>
      </w:hyperlink>
    </w:p>
    <w:p>
      <w:pPr>
        <w:tabs>
          <w:tab w:val="right" w:leader="dot" w:pos="9062"/>
        </w:tabs>
        <w:ind w:left="440"/>
      </w:pPr>
      <w:hyperlink w:anchor="_Toc7274" w:history="1">
        <w:r>
          <w:rPr>
            <w:rFonts w:ascii="IRNazanin" w:hAnsi="IRNazanin" w:eastAsia="IRNazanin" w:cs="IRNazanin"/>
            <w:color w:val="111111"/>
            <w:sz w:val="22"/>
            <w:szCs w:val="22"/>
            <w:b w:val="0"/>
            <w:bCs w:val="0"/>
            <w:i w:val="0"/>
            <w:iCs w:val="0"/>
          </w:rPr>
          <w:t>6484- دیوان المیرزا محمد ایوأوغلی‏</w:t>
        </w:r>
        <w:r>
          <w:tab/>
        </w:r>
        <w:r>
          <w:fldChar w:fldCharType="begin"/>
        </w:r>
        <w:r>
          <w:instrText xml:space="preserve">PAGEREF 7274 \h</w:instrText>
        </w:r>
        <w:r>
          <w:fldChar w:fldCharType="end"/>
        </w:r>
      </w:hyperlink>
    </w:p>
    <w:p>
      <w:pPr>
        <w:tabs>
          <w:tab w:val="right" w:leader="dot" w:pos="9062"/>
        </w:tabs>
        <w:ind w:left="440"/>
      </w:pPr>
      <w:hyperlink w:anchor="_Toc7275" w:history="1">
        <w:r>
          <w:rPr>
            <w:rFonts w:ascii="IRNazanin" w:hAnsi="IRNazanin" w:eastAsia="IRNazanin" w:cs="IRNazanin"/>
            <w:color w:val="111111"/>
            <w:sz w:val="22"/>
            <w:szCs w:val="22"/>
            <w:b w:val="0"/>
            <w:bCs w:val="0"/>
            <w:i w:val="0"/>
            <w:iCs w:val="0"/>
          </w:rPr>
          <w:t>6485- دیوان محمد باقر آگاه أو شعره‏</w:t>
        </w:r>
        <w:r>
          <w:tab/>
        </w:r>
        <w:r>
          <w:fldChar w:fldCharType="begin"/>
        </w:r>
        <w:r>
          <w:instrText xml:space="preserve">PAGEREF 7275 \h</w:instrText>
        </w:r>
        <w:r>
          <w:fldChar w:fldCharType="end"/>
        </w:r>
      </w:hyperlink>
    </w:p>
    <w:p>
      <w:pPr>
        <w:tabs>
          <w:tab w:val="right" w:leader="dot" w:pos="9062"/>
        </w:tabs>
        <w:ind w:left="440"/>
      </w:pPr>
      <w:hyperlink w:anchor="_Toc7276" w:history="1">
        <w:r>
          <w:rPr>
            <w:rFonts w:ascii="IRNazanin" w:hAnsi="IRNazanin" w:eastAsia="IRNazanin" w:cs="IRNazanin"/>
            <w:color w:val="111111"/>
            <w:sz w:val="22"/>
            <w:szCs w:val="22"/>
            <w:b w:val="0"/>
            <w:bCs w:val="0"/>
            <w:i w:val="0"/>
            <w:iCs w:val="0"/>
          </w:rPr>
          <w:t>6486- دیوان محمد باقر جعفری أو شعره‏</w:t>
        </w:r>
        <w:r>
          <w:tab/>
        </w:r>
        <w:r>
          <w:fldChar w:fldCharType="begin"/>
        </w:r>
        <w:r>
          <w:instrText xml:space="preserve">PAGEREF 7276 \h</w:instrText>
        </w:r>
        <w:r>
          <w:fldChar w:fldCharType="end"/>
        </w:r>
      </w:hyperlink>
    </w:p>
    <w:p>
      <w:pPr>
        <w:tabs>
          <w:tab w:val="right" w:leader="dot" w:pos="9062"/>
        </w:tabs>
        <w:ind w:left="440"/>
      </w:pPr>
      <w:hyperlink w:anchor="_Toc7277" w:history="1">
        <w:r>
          <w:rPr>
            <w:rFonts w:ascii="IRNazanin" w:hAnsi="IRNazanin" w:eastAsia="IRNazanin" w:cs="IRNazanin"/>
            <w:color w:val="111111"/>
            <w:sz w:val="22"/>
            <w:szCs w:val="22"/>
            <w:b w:val="0"/>
            <w:bCs w:val="0"/>
            <w:i w:val="0"/>
            <w:iCs w:val="0"/>
          </w:rPr>
          <w:t>دیوان محمد بدخشی‏</w:t>
        </w:r>
        <w:r>
          <w:tab/>
        </w:r>
        <w:r>
          <w:fldChar w:fldCharType="begin"/>
        </w:r>
        <w:r>
          <w:instrText xml:space="preserve">PAGEREF 7277 \h</w:instrText>
        </w:r>
        <w:r>
          <w:fldChar w:fldCharType="end"/>
        </w:r>
      </w:hyperlink>
    </w:p>
    <w:p>
      <w:pPr>
        <w:tabs>
          <w:tab w:val="right" w:leader="dot" w:pos="9062"/>
        </w:tabs>
        <w:ind w:left="440"/>
      </w:pPr>
      <w:hyperlink w:anchor="_Toc7278" w:history="1">
        <w:r>
          <w:rPr>
            <w:rFonts w:ascii="IRNazanin" w:hAnsi="IRNazanin" w:eastAsia="IRNazanin" w:cs="IRNazanin"/>
            <w:color w:val="111111"/>
            <w:sz w:val="22"/>
            <w:szCs w:val="22"/>
            <w:b w:val="0"/>
            <w:bCs w:val="0"/>
            <w:i w:val="0"/>
            <w:iCs w:val="0"/>
          </w:rPr>
          <w:t>6487- دیوان محمد پاشا</w:t>
        </w:r>
        <w:r>
          <w:tab/>
        </w:r>
        <w:r>
          <w:fldChar w:fldCharType="begin"/>
        </w:r>
        <w:r>
          <w:instrText xml:space="preserve">PAGEREF 7278 \h</w:instrText>
        </w:r>
        <w:r>
          <w:fldChar w:fldCharType="end"/>
        </w:r>
      </w:hyperlink>
    </w:p>
    <w:p>
      <w:pPr>
        <w:tabs>
          <w:tab w:val="right" w:leader="dot" w:pos="9062"/>
        </w:tabs>
        <w:ind w:left="440"/>
      </w:pPr>
      <w:hyperlink w:anchor="_Toc7279" w:history="1">
        <w:r>
          <w:rPr>
            <w:rFonts w:ascii="IRNazanin" w:hAnsi="IRNazanin" w:eastAsia="IRNazanin" w:cs="IRNazanin"/>
            <w:color w:val="111111"/>
            <w:sz w:val="22"/>
            <w:szCs w:val="22"/>
            <w:b w:val="0"/>
            <w:bCs w:val="0"/>
            <w:i w:val="0"/>
            <w:iCs w:val="0"/>
          </w:rPr>
          <w:t>دیوان محمد پهلوان أو شعره‏</w:t>
        </w:r>
        <w:r>
          <w:tab/>
        </w:r>
        <w:r>
          <w:fldChar w:fldCharType="begin"/>
        </w:r>
        <w:r>
          <w:instrText xml:space="preserve">PAGEREF 7279 \h</w:instrText>
        </w:r>
        <w:r>
          <w:fldChar w:fldCharType="end"/>
        </w:r>
      </w:hyperlink>
    </w:p>
    <w:p>
      <w:pPr>
        <w:tabs>
          <w:tab w:val="right" w:leader="dot" w:pos="9062"/>
        </w:tabs>
        <w:ind w:left="440"/>
      </w:pPr>
      <w:hyperlink w:anchor="_Toc7280" w:history="1">
        <w:r>
          <w:rPr>
            <w:rFonts w:ascii="IRNazanin" w:hAnsi="IRNazanin" w:eastAsia="IRNazanin" w:cs="IRNazanin"/>
            <w:color w:val="111111"/>
            <w:sz w:val="22"/>
            <w:szCs w:val="22"/>
            <w:b w:val="0"/>
            <w:bCs w:val="0"/>
            <w:i w:val="0"/>
            <w:iCs w:val="0"/>
          </w:rPr>
          <w:t>. 6488- دیوان محمد تبادکانی‏</w:t>
        </w:r>
        <w:r>
          <w:tab/>
        </w:r>
        <w:r>
          <w:fldChar w:fldCharType="begin"/>
        </w:r>
        <w:r>
          <w:instrText xml:space="preserve">PAGEREF 7280 \h</w:instrText>
        </w:r>
        <w:r>
          <w:fldChar w:fldCharType="end"/>
        </w:r>
      </w:hyperlink>
    </w:p>
    <w:p>
      <w:pPr>
        <w:tabs>
          <w:tab w:val="right" w:leader="dot" w:pos="9062"/>
        </w:tabs>
        <w:ind w:left="440"/>
      </w:pPr>
      <w:hyperlink w:anchor="_Toc7281" w:history="1">
        <w:r>
          <w:rPr>
            <w:rFonts w:ascii="IRNazanin" w:hAnsi="IRNazanin" w:eastAsia="IRNazanin" w:cs="IRNazanin"/>
            <w:color w:val="111111"/>
            <w:sz w:val="22"/>
            <w:szCs w:val="22"/>
            <w:b w:val="0"/>
            <w:bCs w:val="0"/>
            <w:i w:val="0"/>
            <w:iCs w:val="0"/>
          </w:rPr>
          <w:t>6489- دیوان محمد تبریزی‏</w:t>
        </w:r>
        <w:r>
          <w:tab/>
        </w:r>
        <w:r>
          <w:fldChar w:fldCharType="begin"/>
        </w:r>
        <w:r>
          <w:instrText xml:space="preserve">PAGEREF 7281 \h</w:instrText>
        </w:r>
        <w:r>
          <w:fldChar w:fldCharType="end"/>
        </w:r>
      </w:hyperlink>
    </w:p>
    <w:p>
      <w:pPr>
        <w:tabs>
          <w:tab w:val="right" w:leader="dot" w:pos="9062"/>
        </w:tabs>
        <w:ind w:left="440"/>
      </w:pPr>
      <w:hyperlink w:anchor="_Toc7282" w:history="1">
        <w:r>
          <w:rPr>
            <w:rFonts w:ascii="IRNazanin" w:hAnsi="IRNazanin" w:eastAsia="IRNazanin" w:cs="IRNazanin"/>
            <w:color w:val="111111"/>
            <w:sz w:val="22"/>
            <w:szCs w:val="22"/>
            <w:b w:val="0"/>
            <w:bCs w:val="0"/>
            <w:i w:val="0"/>
            <w:iCs w:val="0"/>
          </w:rPr>
          <w:t>6490- دیوان محمد تبریزی أو شعره‏</w:t>
        </w:r>
        <w:r>
          <w:tab/>
        </w:r>
        <w:r>
          <w:fldChar w:fldCharType="begin"/>
        </w:r>
        <w:r>
          <w:instrText xml:space="preserve">PAGEREF 7282 \h</w:instrText>
        </w:r>
        <w:r>
          <w:fldChar w:fldCharType="end"/>
        </w:r>
      </w:hyperlink>
    </w:p>
    <w:p>
      <w:pPr>
        <w:tabs>
          <w:tab w:val="right" w:leader="dot" w:pos="9062"/>
        </w:tabs>
        <w:ind w:left="440"/>
      </w:pPr>
      <w:hyperlink w:anchor="_Toc7283" w:history="1">
        <w:r>
          <w:rPr>
            <w:rFonts w:ascii="IRNazanin" w:hAnsi="IRNazanin" w:eastAsia="IRNazanin" w:cs="IRNazanin"/>
            <w:color w:val="111111"/>
            <w:sz w:val="22"/>
            <w:szCs w:val="22"/>
            <w:b w:val="0"/>
            <w:bCs w:val="0"/>
            <w:i w:val="0"/>
            <w:iCs w:val="0"/>
          </w:rPr>
          <w:t>6491- دیوان میرزا محمد تبریزی‏</w:t>
        </w:r>
        <w:r>
          <w:tab/>
        </w:r>
        <w:r>
          <w:fldChar w:fldCharType="begin"/>
        </w:r>
        <w:r>
          <w:instrText xml:space="preserve">PAGEREF 7283 \h</w:instrText>
        </w:r>
        <w:r>
          <w:fldChar w:fldCharType="end"/>
        </w:r>
      </w:hyperlink>
    </w:p>
    <w:p>
      <w:pPr>
        <w:tabs>
          <w:tab w:val="right" w:leader="dot" w:pos="9062"/>
        </w:tabs>
        <w:ind w:left="440"/>
      </w:pPr>
      <w:hyperlink w:anchor="_Toc7284" w:history="1">
        <w:r>
          <w:rPr>
            <w:rFonts w:ascii="IRNazanin" w:hAnsi="IRNazanin" w:eastAsia="IRNazanin" w:cs="IRNazanin"/>
            <w:color w:val="111111"/>
            <w:sz w:val="22"/>
            <w:szCs w:val="22"/>
            <w:b w:val="0"/>
            <w:bCs w:val="0"/>
            <w:i w:val="0"/>
            <w:iCs w:val="0"/>
          </w:rPr>
          <w:t>دیوان شیخ محمد تبریزی‏</w:t>
        </w:r>
        <w:r>
          <w:tab/>
        </w:r>
        <w:r>
          <w:fldChar w:fldCharType="begin"/>
        </w:r>
        <w:r>
          <w:instrText xml:space="preserve">PAGEREF 7284 \h</w:instrText>
        </w:r>
        <w:r>
          <w:fldChar w:fldCharType="end"/>
        </w:r>
      </w:hyperlink>
    </w:p>
    <w:p>
      <w:pPr>
        <w:tabs>
          <w:tab w:val="right" w:leader="dot" w:pos="9062"/>
        </w:tabs>
        <w:ind w:left="440"/>
      </w:pPr>
      <w:hyperlink w:anchor="_Toc7285" w:history="1">
        <w:r>
          <w:rPr>
            <w:rFonts w:ascii="IRNazanin" w:hAnsi="IRNazanin" w:eastAsia="IRNazanin" w:cs="IRNazanin"/>
            <w:color w:val="111111"/>
            <w:sz w:val="22"/>
            <w:szCs w:val="22"/>
            <w:b w:val="0"/>
            <w:bCs w:val="0"/>
            <w:i w:val="0"/>
            <w:iCs w:val="0"/>
          </w:rPr>
          <w:t>6492- دیوان محمد تحصیلی‏</w:t>
        </w:r>
        <w:r>
          <w:tab/>
        </w:r>
        <w:r>
          <w:fldChar w:fldCharType="begin"/>
        </w:r>
        <w:r>
          <w:instrText xml:space="preserve">PAGEREF 7285 \h</w:instrText>
        </w:r>
        <w:r>
          <w:fldChar w:fldCharType="end"/>
        </w:r>
      </w:hyperlink>
    </w:p>
    <w:p>
      <w:pPr>
        <w:tabs>
          <w:tab w:val="right" w:leader="dot" w:pos="9062"/>
        </w:tabs>
        <w:ind w:left="440"/>
      </w:pPr>
      <w:hyperlink w:anchor="_Toc7286" w:history="1">
        <w:r>
          <w:rPr>
            <w:rFonts w:ascii="IRNazanin" w:hAnsi="IRNazanin" w:eastAsia="IRNazanin" w:cs="IRNazanin"/>
            <w:color w:val="111111"/>
            <w:sz w:val="22"/>
            <w:szCs w:val="22"/>
            <w:b w:val="0"/>
            <w:bCs w:val="0"/>
            <w:i w:val="0"/>
            <w:iCs w:val="0"/>
          </w:rPr>
          <w:t>6493- دیوان محمد تغلق شاه أو شعره‏</w:t>
        </w:r>
        <w:r>
          <w:tab/>
        </w:r>
        <w:r>
          <w:fldChar w:fldCharType="begin"/>
        </w:r>
        <w:r>
          <w:instrText xml:space="preserve">PAGEREF 7286 \h</w:instrText>
        </w:r>
        <w:r>
          <w:fldChar w:fldCharType="end"/>
        </w:r>
      </w:hyperlink>
    </w:p>
    <w:p>
      <w:pPr>
        <w:tabs>
          <w:tab w:val="right" w:leader="dot" w:pos="9062"/>
        </w:tabs>
        <w:ind w:left="440"/>
      </w:pPr>
      <w:hyperlink w:anchor="_Toc7287" w:history="1">
        <w:r>
          <w:rPr>
            <w:rFonts w:ascii="IRNazanin" w:hAnsi="IRNazanin" w:eastAsia="IRNazanin" w:cs="IRNazanin"/>
            <w:color w:val="111111"/>
            <w:sz w:val="22"/>
            <w:szCs w:val="22"/>
            <w:b w:val="0"/>
            <w:bCs w:val="0"/>
            <w:i w:val="0"/>
            <w:iCs w:val="0"/>
          </w:rPr>
          <w:t>دیوان محمد تقی اندجانی‏</w:t>
        </w:r>
        <w:r>
          <w:tab/>
        </w:r>
        <w:r>
          <w:fldChar w:fldCharType="begin"/>
        </w:r>
        <w:r>
          <w:instrText xml:space="preserve">PAGEREF 7287 \h</w:instrText>
        </w:r>
        <w:r>
          <w:fldChar w:fldCharType="end"/>
        </w:r>
      </w:hyperlink>
    </w:p>
    <w:p>
      <w:pPr>
        <w:tabs>
          <w:tab w:val="right" w:leader="dot" w:pos="9062"/>
        </w:tabs>
        <w:ind w:left="440"/>
      </w:pPr>
      <w:hyperlink w:anchor="_Toc7288" w:history="1">
        <w:r>
          <w:rPr>
            <w:rFonts w:ascii="IRNazanin" w:hAnsi="IRNazanin" w:eastAsia="IRNazanin" w:cs="IRNazanin"/>
            <w:color w:val="111111"/>
            <w:sz w:val="22"/>
            <w:szCs w:val="22"/>
            <w:b w:val="0"/>
            <w:bCs w:val="0"/>
            <w:i w:val="0"/>
            <w:iCs w:val="0"/>
          </w:rPr>
          <w:t>6494- دیوان السید محمد ثقة الإسلام‏</w:t>
        </w:r>
        <w:r>
          <w:tab/>
        </w:r>
        <w:r>
          <w:fldChar w:fldCharType="begin"/>
        </w:r>
        <w:r>
          <w:instrText xml:space="preserve">PAGEREF 7288 \h</w:instrText>
        </w:r>
        <w:r>
          <w:fldChar w:fldCharType="end"/>
        </w:r>
      </w:hyperlink>
    </w:p>
    <w:p>
      <w:pPr>
        <w:tabs>
          <w:tab w:val="right" w:leader="dot" w:pos="9062"/>
        </w:tabs>
        <w:ind w:left="440"/>
      </w:pPr>
      <w:hyperlink w:anchor="_Toc7289" w:history="1">
        <w:r>
          <w:rPr>
            <w:rFonts w:ascii="IRNazanin" w:hAnsi="IRNazanin" w:eastAsia="IRNazanin" w:cs="IRNazanin"/>
            <w:color w:val="111111"/>
            <w:sz w:val="22"/>
            <w:szCs w:val="22"/>
            <w:b w:val="0"/>
            <w:bCs w:val="0"/>
            <w:i w:val="0"/>
            <w:iCs w:val="0"/>
          </w:rPr>
          <w:t>6495- دیوان محمد جابر</w:t>
        </w:r>
        <w:r>
          <w:tab/>
        </w:r>
        <w:r>
          <w:fldChar w:fldCharType="begin"/>
        </w:r>
        <w:r>
          <w:instrText xml:space="preserve">PAGEREF 7289 \h</w:instrText>
        </w:r>
        <w:r>
          <w:fldChar w:fldCharType="end"/>
        </w:r>
      </w:hyperlink>
    </w:p>
    <w:p>
      <w:pPr>
        <w:tabs>
          <w:tab w:val="right" w:leader="dot" w:pos="9062"/>
        </w:tabs>
        <w:ind w:left="440"/>
      </w:pPr>
      <w:hyperlink w:anchor="_Toc7290" w:history="1">
        <w:r>
          <w:rPr>
            <w:rFonts w:ascii="IRNazanin" w:hAnsi="IRNazanin" w:eastAsia="IRNazanin" w:cs="IRNazanin"/>
            <w:color w:val="111111"/>
            <w:sz w:val="22"/>
            <w:szCs w:val="22"/>
            <w:b w:val="0"/>
            <w:bCs w:val="0"/>
            <w:i w:val="0"/>
            <w:iCs w:val="0"/>
          </w:rPr>
          <w:t>6496- دیوان محمد جامی أو شعره‏</w:t>
        </w:r>
        <w:r>
          <w:tab/>
        </w:r>
        <w:r>
          <w:fldChar w:fldCharType="begin"/>
        </w:r>
        <w:r>
          <w:instrText xml:space="preserve">PAGEREF 7290 \h</w:instrText>
        </w:r>
        <w:r>
          <w:fldChar w:fldCharType="end"/>
        </w:r>
      </w:hyperlink>
    </w:p>
    <w:p>
      <w:pPr>
        <w:tabs>
          <w:tab w:val="right" w:leader="dot" w:pos="9062"/>
        </w:tabs>
        <w:ind w:left="440"/>
      </w:pPr>
      <w:hyperlink w:anchor="_Toc7291" w:history="1">
        <w:r>
          <w:rPr>
            <w:rFonts w:ascii="IRNazanin" w:hAnsi="IRNazanin" w:eastAsia="IRNazanin" w:cs="IRNazanin"/>
            <w:color w:val="111111"/>
            <w:sz w:val="22"/>
            <w:szCs w:val="22"/>
            <w:b w:val="0"/>
            <w:bCs w:val="0"/>
            <w:i w:val="0"/>
            <w:iCs w:val="0"/>
          </w:rPr>
          <w:t>دیوان محمد جان مشهدی‏</w:t>
        </w:r>
        <w:r>
          <w:tab/>
        </w:r>
        <w:r>
          <w:fldChar w:fldCharType="begin"/>
        </w:r>
        <w:r>
          <w:instrText xml:space="preserve">PAGEREF 7291 \h</w:instrText>
        </w:r>
        <w:r>
          <w:fldChar w:fldCharType="end"/>
        </w:r>
      </w:hyperlink>
    </w:p>
    <w:p>
      <w:pPr>
        <w:tabs>
          <w:tab w:val="right" w:leader="dot" w:pos="9062"/>
        </w:tabs>
        <w:ind w:left="440"/>
      </w:pPr>
      <w:hyperlink w:anchor="_Toc7292" w:history="1">
        <w:r>
          <w:rPr>
            <w:rFonts w:ascii="IRNazanin" w:hAnsi="IRNazanin" w:eastAsia="IRNazanin" w:cs="IRNazanin"/>
            <w:color w:val="111111"/>
            <w:sz w:val="22"/>
            <w:szCs w:val="22"/>
            <w:b w:val="0"/>
            <w:bCs w:val="0"/>
            <w:i w:val="0"/>
            <w:iCs w:val="0"/>
          </w:rPr>
          <w:t>6497- دیوان محمد جرجانی أو شعره‏</w:t>
        </w:r>
        <w:r>
          <w:tab/>
        </w:r>
        <w:r>
          <w:fldChar w:fldCharType="begin"/>
        </w:r>
        <w:r>
          <w:instrText xml:space="preserve">PAGEREF 7292 \h</w:instrText>
        </w:r>
        <w:r>
          <w:fldChar w:fldCharType="end"/>
        </w:r>
      </w:hyperlink>
    </w:p>
    <w:p>
      <w:pPr>
        <w:tabs>
          <w:tab w:val="right" w:leader="dot" w:pos="9062"/>
        </w:tabs>
        <w:ind w:left="440"/>
      </w:pPr>
      <w:hyperlink w:anchor="_Toc7293" w:history="1">
        <w:r>
          <w:rPr>
            <w:rFonts w:ascii="IRNazanin" w:hAnsi="IRNazanin" w:eastAsia="IRNazanin" w:cs="IRNazanin"/>
            <w:color w:val="111111"/>
            <w:sz w:val="22"/>
            <w:szCs w:val="22"/>
            <w:b w:val="0"/>
            <w:bCs w:val="0"/>
            <w:i w:val="0"/>
            <w:iCs w:val="0"/>
          </w:rPr>
          <w:t>دیوان محمد جعفر</w:t>
        </w:r>
        <w:r>
          <w:tab/>
        </w:r>
        <w:r>
          <w:fldChar w:fldCharType="begin"/>
        </w:r>
        <w:r>
          <w:instrText xml:space="preserve">PAGEREF 7293 \h</w:instrText>
        </w:r>
        <w:r>
          <w:fldChar w:fldCharType="end"/>
        </w:r>
      </w:hyperlink>
    </w:p>
    <w:p>
      <w:pPr>
        <w:tabs>
          <w:tab w:val="right" w:leader="dot" w:pos="9062"/>
        </w:tabs>
        <w:ind w:left="440"/>
      </w:pPr>
      <w:hyperlink w:anchor="_Toc7294" w:history="1">
        <w:r>
          <w:rPr>
            <w:rFonts w:ascii="IRNazanin" w:hAnsi="IRNazanin" w:eastAsia="IRNazanin" w:cs="IRNazanin"/>
            <w:color w:val="111111"/>
            <w:sz w:val="22"/>
            <w:szCs w:val="22"/>
            <w:b w:val="0"/>
            <w:bCs w:val="0"/>
            <w:i w:val="0"/>
            <w:iCs w:val="0"/>
          </w:rPr>
          <w:t>6498- دیوان محمد جعفر مشهدی أو شعره‏</w:t>
        </w:r>
        <w:r>
          <w:tab/>
        </w:r>
        <w:r>
          <w:fldChar w:fldCharType="begin"/>
        </w:r>
        <w:r>
          <w:instrText xml:space="preserve">PAGEREF 7294 \h</w:instrText>
        </w:r>
        <w:r>
          <w:fldChar w:fldCharType="end"/>
        </w:r>
      </w:hyperlink>
    </w:p>
    <w:p>
      <w:pPr>
        <w:tabs>
          <w:tab w:val="right" w:leader="dot" w:pos="9062"/>
        </w:tabs>
        <w:ind w:left="440"/>
      </w:pPr>
      <w:hyperlink w:anchor="_Toc7295" w:history="1">
        <w:r>
          <w:rPr>
            <w:rFonts w:ascii="IRNazanin" w:hAnsi="IRNazanin" w:eastAsia="IRNazanin" w:cs="IRNazanin"/>
            <w:color w:val="111111"/>
            <w:sz w:val="22"/>
            <w:szCs w:val="22"/>
            <w:b w:val="0"/>
            <w:bCs w:val="0"/>
            <w:i w:val="0"/>
            <w:iCs w:val="0"/>
          </w:rPr>
          <w:t>6499- دیوان محمد جمال‏</w:t>
        </w:r>
        <w:r>
          <w:tab/>
        </w:r>
        <w:r>
          <w:fldChar w:fldCharType="begin"/>
        </w:r>
        <w:r>
          <w:instrText xml:space="preserve">PAGEREF 7295 \h</w:instrText>
        </w:r>
        <w:r>
          <w:fldChar w:fldCharType="end"/>
        </w:r>
      </w:hyperlink>
    </w:p>
    <w:p>
      <w:pPr>
        <w:tabs>
          <w:tab w:val="right" w:leader="dot" w:pos="9062"/>
        </w:tabs>
        <w:ind w:left="440"/>
      </w:pPr>
      <w:hyperlink w:anchor="_Toc7296" w:history="1">
        <w:r>
          <w:rPr>
            <w:rFonts w:ascii="IRNazanin" w:hAnsi="IRNazanin" w:eastAsia="IRNazanin" w:cs="IRNazanin"/>
            <w:color w:val="111111"/>
            <w:sz w:val="22"/>
            <w:szCs w:val="22"/>
            <w:b w:val="0"/>
            <w:bCs w:val="0"/>
            <w:i w:val="0"/>
            <w:iCs w:val="0"/>
          </w:rPr>
          <w:t>دیوان محمد حافظ</w:t>
        </w:r>
        <w:r>
          <w:tab/>
        </w:r>
        <w:r>
          <w:fldChar w:fldCharType="begin"/>
        </w:r>
        <w:r>
          <w:instrText xml:space="preserve">PAGEREF 7296 \h</w:instrText>
        </w:r>
        <w:r>
          <w:fldChar w:fldCharType="end"/>
        </w:r>
      </w:hyperlink>
    </w:p>
    <w:p>
      <w:pPr>
        <w:tabs>
          <w:tab w:val="right" w:leader="dot" w:pos="9062"/>
        </w:tabs>
        <w:ind w:left="440"/>
      </w:pPr>
      <w:hyperlink w:anchor="_Toc7297" w:history="1">
        <w:r>
          <w:rPr>
            <w:rFonts w:ascii="IRNazanin" w:hAnsi="IRNazanin" w:eastAsia="IRNazanin" w:cs="IRNazanin"/>
            <w:color w:val="111111"/>
            <w:sz w:val="22"/>
            <w:szCs w:val="22"/>
            <w:b w:val="0"/>
            <w:bCs w:val="0"/>
            <w:i w:val="0"/>
            <w:iCs w:val="0"/>
          </w:rPr>
          <w:t>دیوان محمد حسام‏</w:t>
        </w:r>
        <w:r>
          <w:tab/>
        </w:r>
        <w:r>
          <w:fldChar w:fldCharType="begin"/>
        </w:r>
        <w:r>
          <w:instrText xml:space="preserve">PAGEREF 7297 \h</w:instrText>
        </w:r>
        <w:r>
          <w:fldChar w:fldCharType="end"/>
        </w:r>
      </w:hyperlink>
    </w:p>
    <w:p>
      <w:pPr>
        <w:tabs>
          <w:tab w:val="right" w:leader="dot" w:pos="9062"/>
        </w:tabs>
        <w:ind w:left="440"/>
      </w:pPr>
      <w:hyperlink w:anchor="_Toc7298" w:history="1">
        <w:r>
          <w:rPr>
            <w:rFonts w:ascii="IRNazanin" w:hAnsi="IRNazanin" w:eastAsia="IRNazanin" w:cs="IRNazanin"/>
            <w:color w:val="111111"/>
            <w:sz w:val="22"/>
            <w:szCs w:val="22"/>
            <w:b w:val="0"/>
            <w:bCs w:val="0"/>
            <w:i w:val="0"/>
            <w:iCs w:val="0"/>
          </w:rPr>
          <w:t>دیوان محمد حسن‏</w:t>
        </w:r>
        <w:r>
          <w:tab/>
        </w:r>
        <w:r>
          <w:fldChar w:fldCharType="begin"/>
        </w:r>
        <w:r>
          <w:instrText xml:space="preserve">PAGEREF 7298 \h</w:instrText>
        </w:r>
        <w:r>
          <w:fldChar w:fldCharType="end"/>
        </w:r>
      </w:hyperlink>
    </w:p>
    <w:p>
      <w:pPr>
        <w:tabs>
          <w:tab w:val="right" w:leader="dot" w:pos="9062"/>
        </w:tabs>
        <w:ind w:left="440"/>
      </w:pPr>
      <w:hyperlink w:anchor="_Toc7299" w:history="1">
        <w:r>
          <w:rPr>
            <w:rFonts w:ascii="IRNazanin" w:hAnsi="IRNazanin" w:eastAsia="IRNazanin" w:cs="IRNazanin"/>
            <w:color w:val="111111"/>
            <w:sz w:val="22"/>
            <w:szCs w:val="22"/>
            <w:b w:val="0"/>
            <w:bCs w:val="0"/>
            <w:i w:val="0"/>
            <w:iCs w:val="0"/>
          </w:rPr>
          <w:t>دیوان محمد حسین‏</w:t>
        </w:r>
        <w:r>
          <w:tab/>
        </w:r>
        <w:r>
          <w:fldChar w:fldCharType="begin"/>
        </w:r>
        <w:r>
          <w:instrText xml:space="preserve">PAGEREF 7299 \h</w:instrText>
        </w:r>
        <w:r>
          <w:fldChar w:fldCharType="end"/>
        </w:r>
      </w:hyperlink>
    </w:p>
    <w:p>
      <w:pPr>
        <w:tabs>
          <w:tab w:val="right" w:leader="dot" w:pos="9062"/>
        </w:tabs>
        <w:ind w:left="440"/>
      </w:pPr>
      <w:hyperlink w:anchor="_Toc7300" w:history="1">
        <w:r>
          <w:rPr>
            <w:rFonts w:ascii="IRNazanin" w:hAnsi="IRNazanin" w:eastAsia="IRNazanin" w:cs="IRNazanin"/>
            <w:color w:val="111111"/>
            <w:sz w:val="22"/>
            <w:szCs w:val="22"/>
            <w:b w:val="0"/>
            <w:bCs w:val="0"/>
            <w:i w:val="0"/>
            <w:iCs w:val="0"/>
          </w:rPr>
          <w:t>6500- دیوان محمد حسین بن محسن آل شمس الدین‏</w:t>
        </w:r>
        <w:r>
          <w:tab/>
        </w:r>
        <w:r>
          <w:fldChar w:fldCharType="begin"/>
        </w:r>
        <w:r>
          <w:instrText xml:space="preserve">PAGEREF 7300 \h</w:instrText>
        </w:r>
        <w:r>
          <w:fldChar w:fldCharType="end"/>
        </w:r>
      </w:hyperlink>
    </w:p>
    <w:p>
      <w:pPr>
        <w:tabs>
          <w:tab w:val="right" w:leader="dot" w:pos="9062"/>
        </w:tabs>
        <w:ind w:left="440"/>
      </w:pPr>
      <w:hyperlink w:anchor="_Toc7301" w:history="1">
        <w:r>
          <w:rPr>
            <w:rFonts w:ascii="IRNazanin" w:hAnsi="IRNazanin" w:eastAsia="IRNazanin" w:cs="IRNazanin"/>
            <w:color w:val="111111"/>
            <w:sz w:val="22"/>
            <w:szCs w:val="22"/>
            <w:b w:val="0"/>
            <w:bCs w:val="0"/>
            <w:i w:val="0"/>
            <w:iCs w:val="0"/>
          </w:rPr>
          <w:t>6501- دیوان محمد حسین شهرستانی‏</w:t>
        </w:r>
        <w:r>
          <w:tab/>
        </w:r>
        <w:r>
          <w:fldChar w:fldCharType="begin"/>
        </w:r>
        <w:r>
          <w:instrText xml:space="preserve">PAGEREF 7301 \h</w:instrText>
        </w:r>
        <w:r>
          <w:fldChar w:fldCharType="end"/>
        </w:r>
      </w:hyperlink>
    </w:p>
    <w:p>
      <w:pPr>
        <w:tabs>
          <w:tab w:val="right" w:leader="dot" w:pos="9062"/>
        </w:tabs>
        <w:ind w:left="440"/>
      </w:pPr>
      <w:hyperlink w:anchor="_Toc7302" w:history="1">
        <w:r>
          <w:rPr>
            <w:rFonts w:ascii="IRNazanin" w:hAnsi="IRNazanin" w:eastAsia="IRNazanin" w:cs="IRNazanin"/>
            <w:color w:val="111111"/>
            <w:sz w:val="22"/>
            <w:szCs w:val="22"/>
            <w:b w:val="0"/>
            <w:bCs w:val="0"/>
            <w:i w:val="0"/>
            <w:iCs w:val="0"/>
          </w:rPr>
          <w:t>دیوان محمد حسین شهریار التبریزی‏</w:t>
        </w:r>
        <w:r>
          <w:tab/>
        </w:r>
        <w:r>
          <w:fldChar w:fldCharType="begin"/>
        </w:r>
        <w:r>
          <w:instrText xml:space="preserve">PAGEREF 7302 \h</w:instrText>
        </w:r>
        <w:r>
          <w:fldChar w:fldCharType="end"/>
        </w:r>
      </w:hyperlink>
    </w:p>
    <w:p>
      <w:pPr>
        <w:tabs>
          <w:tab w:val="right" w:leader="dot" w:pos="9062"/>
        </w:tabs>
        <w:ind w:left="440"/>
      </w:pPr>
      <w:hyperlink w:anchor="_Toc7303" w:history="1">
        <w:r>
          <w:rPr>
            <w:rFonts w:ascii="IRNazanin" w:hAnsi="IRNazanin" w:eastAsia="IRNazanin" w:cs="IRNazanin"/>
            <w:color w:val="111111"/>
            <w:sz w:val="22"/>
            <w:szCs w:val="22"/>
            <w:b w:val="0"/>
            <w:bCs w:val="0"/>
            <w:i w:val="0"/>
            <w:iCs w:val="0"/>
          </w:rPr>
          <w:t>دیوان محمد حسین قاجار دولو البیگلربیگی‏</w:t>
        </w:r>
        <w:r>
          <w:tab/>
        </w:r>
        <w:r>
          <w:fldChar w:fldCharType="begin"/>
        </w:r>
        <w:r>
          <w:instrText xml:space="preserve">PAGEREF 7303 \h</w:instrText>
        </w:r>
        <w:r>
          <w:fldChar w:fldCharType="end"/>
        </w:r>
      </w:hyperlink>
    </w:p>
    <w:p>
      <w:pPr>
        <w:tabs>
          <w:tab w:val="right" w:leader="dot" w:pos="9062"/>
        </w:tabs>
        <w:ind w:left="440"/>
      </w:pPr>
      <w:hyperlink w:anchor="_Toc7304" w:history="1">
        <w:r>
          <w:rPr>
            <w:rFonts w:ascii="IRNazanin" w:hAnsi="IRNazanin" w:eastAsia="IRNazanin" w:cs="IRNazanin"/>
            <w:color w:val="111111"/>
            <w:sz w:val="22"/>
            <w:szCs w:val="22"/>
            <w:b w:val="0"/>
            <w:bCs w:val="0"/>
            <w:i w:val="0"/>
            <w:iCs w:val="0"/>
          </w:rPr>
          <w:t>6502- دیوان محمد خاتونی‏</w:t>
        </w:r>
        <w:r>
          <w:tab/>
        </w:r>
        <w:r>
          <w:fldChar w:fldCharType="begin"/>
        </w:r>
        <w:r>
          <w:instrText xml:space="preserve">PAGEREF 7304 \h</w:instrText>
        </w:r>
        <w:r>
          <w:fldChar w:fldCharType="end"/>
        </w:r>
      </w:hyperlink>
    </w:p>
    <w:p>
      <w:pPr>
        <w:tabs>
          <w:tab w:val="right" w:leader="dot" w:pos="9062"/>
        </w:tabs>
        <w:ind w:left="440"/>
      </w:pPr>
      <w:hyperlink w:anchor="_Toc7305" w:history="1">
        <w:r>
          <w:rPr>
            <w:rFonts w:ascii="IRNazanin" w:hAnsi="IRNazanin" w:eastAsia="IRNazanin" w:cs="IRNazanin"/>
            <w:color w:val="111111"/>
            <w:sz w:val="22"/>
            <w:szCs w:val="22"/>
            <w:b w:val="0"/>
            <w:bCs w:val="0"/>
            <w:i w:val="0"/>
            <w:iCs w:val="0"/>
          </w:rPr>
          <w:t>دیوان محمد خالة البغدادی‏</w:t>
        </w:r>
        <w:r>
          <w:tab/>
        </w:r>
        <w:r>
          <w:fldChar w:fldCharType="begin"/>
        </w:r>
        <w:r>
          <w:instrText xml:space="preserve">PAGEREF 7305 \h</w:instrText>
        </w:r>
        <w:r>
          <w:fldChar w:fldCharType="end"/>
        </w:r>
      </w:hyperlink>
    </w:p>
    <w:p>
      <w:pPr>
        <w:tabs>
          <w:tab w:val="right" w:leader="dot" w:pos="9062"/>
        </w:tabs>
        <w:ind w:left="440"/>
      </w:pPr>
      <w:hyperlink w:anchor="_Toc7306" w:history="1">
        <w:r>
          <w:rPr>
            <w:rFonts w:ascii="IRNazanin" w:hAnsi="IRNazanin" w:eastAsia="IRNazanin" w:cs="IRNazanin"/>
            <w:color w:val="111111"/>
            <w:sz w:val="22"/>
            <w:szCs w:val="22"/>
            <w:b w:val="0"/>
            <w:bCs w:val="0"/>
            <w:i w:val="0"/>
            <w:iCs w:val="0"/>
          </w:rPr>
          <w:t>دیوان محمد خجندی‏</w:t>
        </w:r>
        <w:r>
          <w:tab/>
        </w:r>
        <w:r>
          <w:fldChar w:fldCharType="begin"/>
        </w:r>
        <w:r>
          <w:instrText xml:space="preserve">PAGEREF 7306 \h</w:instrText>
        </w:r>
        <w:r>
          <w:fldChar w:fldCharType="end"/>
        </w:r>
      </w:hyperlink>
    </w:p>
    <w:p>
      <w:pPr>
        <w:tabs>
          <w:tab w:val="right" w:leader="dot" w:pos="9062"/>
        </w:tabs>
        <w:ind w:left="440"/>
      </w:pPr>
      <w:hyperlink w:anchor="_Toc7307" w:history="1">
        <w:r>
          <w:rPr>
            <w:rFonts w:ascii="IRNazanin" w:hAnsi="IRNazanin" w:eastAsia="IRNazanin" w:cs="IRNazanin"/>
            <w:color w:val="111111"/>
            <w:sz w:val="22"/>
            <w:szCs w:val="22"/>
            <w:b w:val="0"/>
            <w:bCs w:val="0"/>
            <w:i w:val="0"/>
            <w:iCs w:val="0"/>
          </w:rPr>
          <w:t>6503- دیوان محمد خراسانی‏</w:t>
        </w:r>
        <w:r>
          <w:tab/>
        </w:r>
        <w:r>
          <w:fldChar w:fldCharType="begin"/>
        </w:r>
        <w:r>
          <w:instrText xml:space="preserve">PAGEREF 7307 \h</w:instrText>
        </w:r>
        <w:r>
          <w:fldChar w:fldCharType="end"/>
        </w:r>
      </w:hyperlink>
    </w:p>
    <w:p>
      <w:pPr>
        <w:tabs>
          <w:tab w:val="right" w:leader="dot" w:pos="9062"/>
        </w:tabs>
        <w:ind w:left="440"/>
      </w:pPr>
      <w:hyperlink w:anchor="_Toc7308" w:history="1">
        <w:r>
          <w:rPr>
            <w:rFonts w:ascii="IRNazanin" w:hAnsi="IRNazanin" w:eastAsia="IRNazanin" w:cs="IRNazanin"/>
            <w:color w:val="111111"/>
            <w:sz w:val="22"/>
            <w:szCs w:val="22"/>
            <w:b w:val="0"/>
            <w:bCs w:val="0"/>
            <w:i w:val="0"/>
            <w:iCs w:val="0"/>
          </w:rPr>
          <w:t>دیوان محمد خلقی‏</w:t>
        </w:r>
        <w:r>
          <w:tab/>
        </w:r>
        <w:r>
          <w:fldChar w:fldCharType="begin"/>
        </w:r>
        <w:r>
          <w:instrText xml:space="preserve">PAGEREF 7308 \h</w:instrText>
        </w:r>
        <w:r>
          <w:fldChar w:fldCharType="end"/>
        </w:r>
      </w:hyperlink>
    </w:p>
    <w:p>
      <w:pPr>
        <w:tabs>
          <w:tab w:val="right" w:leader="dot" w:pos="9062"/>
        </w:tabs>
        <w:ind w:left="440"/>
      </w:pPr>
      <w:hyperlink w:anchor="_Toc7309" w:history="1">
        <w:r>
          <w:rPr>
            <w:rFonts w:ascii="IRNazanin" w:hAnsi="IRNazanin" w:eastAsia="IRNazanin" w:cs="IRNazanin"/>
            <w:color w:val="111111"/>
            <w:sz w:val="22"/>
            <w:szCs w:val="22"/>
            <w:b w:val="0"/>
            <w:bCs w:val="0"/>
            <w:i w:val="0"/>
            <w:iCs w:val="0"/>
          </w:rPr>
          <w:t>دیوان محمد خلوص‏</w:t>
        </w:r>
        <w:r>
          <w:tab/>
        </w:r>
        <w:r>
          <w:fldChar w:fldCharType="begin"/>
        </w:r>
        <w:r>
          <w:instrText xml:space="preserve">PAGEREF 7309 \h</w:instrText>
        </w:r>
        <w:r>
          <w:fldChar w:fldCharType="end"/>
        </w:r>
      </w:hyperlink>
    </w:p>
    <w:p>
      <w:pPr>
        <w:tabs>
          <w:tab w:val="right" w:leader="dot" w:pos="9062"/>
        </w:tabs>
        <w:ind w:left="440"/>
      </w:pPr>
      <w:hyperlink w:anchor="_Toc7310" w:history="1">
        <w:r>
          <w:rPr>
            <w:rFonts w:ascii="IRNazanin" w:hAnsi="IRNazanin" w:eastAsia="IRNazanin" w:cs="IRNazanin"/>
            <w:color w:val="111111"/>
            <w:sz w:val="22"/>
            <w:szCs w:val="22"/>
            <w:b w:val="0"/>
            <w:bCs w:val="0"/>
            <w:i w:val="0"/>
            <w:iCs w:val="0"/>
          </w:rPr>
          <w:t>دیوان محمد خلیفة</w:t>
        </w:r>
        <w:r>
          <w:tab/>
        </w:r>
        <w:r>
          <w:fldChar w:fldCharType="begin"/>
        </w:r>
        <w:r>
          <w:instrText xml:space="preserve">PAGEREF 7310 \h</w:instrText>
        </w:r>
        <w:r>
          <w:fldChar w:fldCharType="end"/>
        </w:r>
      </w:hyperlink>
    </w:p>
    <w:p>
      <w:pPr>
        <w:tabs>
          <w:tab w:val="right" w:leader="dot" w:pos="9062"/>
        </w:tabs>
        <w:ind w:left="440"/>
      </w:pPr>
      <w:hyperlink w:anchor="_Toc7311" w:history="1">
        <w:r>
          <w:rPr>
            <w:rFonts w:ascii="IRNazanin" w:hAnsi="IRNazanin" w:eastAsia="IRNazanin" w:cs="IRNazanin"/>
            <w:color w:val="111111"/>
            <w:sz w:val="22"/>
            <w:szCs w:val="22"/>
            <w:b w:val="0"/>
            <w:bCs w:val="0"/>
            <w:i w:val="0"/>
            <w:iCs w:val="0"/>
          </w:rPr>
          <w:t>دیوان محمد خندان‏</w:t>
        </w:r>
        <w:r>
          <w:tab/>
        </w:r>
        <w:r>
          <w:fldChar w:fldCharType="begin"/>
        </w:r>
        <w:r>
          <w:instrText xml:space="preserve">PAGEREF 7311 \h</w:instrText>
        </w:r>
        <w:r>
          <w:fldChar w:fldCharType="end"/>
        </w:r>
      </w:hyperlink>
    </w:p>
    <w:p>
      <w:pPr>
        <w:tabs>
          <w:tab w:val="right" w:leader="dot" w:pos="9062"/>
        </w:tabs>
        <w:ind w:left="440"/>
      </w:pPr>
      <w:hyperlink w:anchor="_Toc7312" w:history="1">
        <w:r>
          <w:rPr>
            <w:rFonts w:ascii="IRNazanin" w:hAnsi="IRNazanin" w:eastAsia="IRNazanin" w:cs="IRNazanin"/>
            <w:color w:val="111111"/>
            <w:sz w:val="22"/>
            <w:szCs w:val="22"/>
            <w:b w:val="0"/>
            <w:bCs w:val="0"/>
            <w:i w:val="0"/>
            <w:iCs w:val="0"/>
          </w:rPr>
          <w:t>دیوان شاه محمد دارابجردی‏</w:t>
        </w:r>
        <w:r>
          <w:tab/>
        </w:r>
        <w:r>
          <w:fldChar w:fldCharType="begin"/>
        </w:r>
        <w:r>
          <w:instrText xml:space="preserve">PAGEREF 7312 \h</w:instrText>
        </w:r>
        <w:r>
          <w:fldChar w:fldCharType="end"/>
        </w:r>
      </w:hyperlink>
    </w:p>
    <w:p>
      <w:pPr>
        <w:tabs>
          <w:tab w:val="right" w:leader="dot" w:pos="9062"/>
        </w:tabs>
        <w:ind w:left="440"/>
      </w:pPr>
      <w:hyperlink w:anchor="_Toc7313" w:history="1">
        <w:r>
          <w:rPr>
            <w:rFonts w:ascii="IRNazanin" w:hAnsi="IRNazanin" w:eastAsia="IRNazanin" w:cs="IRNazanin"/>
            <w:color w:val="111111"/>
            <w:sz w:val="22"/>
            <w:szCs w:val="22"/>
            <w:b w:val="0"/>
            <w:bCs w:val="0"/>
            <w:i w:val="0"/>
            <w:iCs w:val="0"/>
          </w:rPr>
          <w:t>6504- دیوان محمد خان داغستانی أو شعره‏</w:t>
        </w:r>
        <w:r>
          <w:tab/>
        </w:r>
        <w:r>
          <w:fldChar w:fldCharType="begin"/>
        </w:r>
        <w:r>
          <w:instrText xml:space="preserve">PAGEREF 7313 \h</w:instrText>
        </w:r>
        <w:r>
          <w:fldChar w:fldCharType="end"/>
        </w:r>
      </w:hyperlink>
    </w:p>
    <w:p>
      <w:pPr>
        <w:tabs>
          <w:tab w:val="right" w:leader="dot" w:pos="9062"/>
        </w:tabs>
        <w:ind w:left="440"/>
      </w:pPr>
      <w:hyperlink w:anchor="_Toc7314" w:history="1">
        <w:r>
          <w:rPr>
            <w:rFonts w:ascii="IRNazanin" w:hAnsi="IRNazanin" w:eastAsia="IRNazanin" w:cs="IRNazanin"/>
            <w:color w:val="111111"/>
            <w:sz w:val="22"/>
            <w:szCs w:val="22"/>
            <w:b w:val="0"/>
            <w:bCs w:val="0"/>
            <w:i w:val="0"/>
            <w:iCs w:val="0"/>
          </w:rPr>
          <w:t>6505- دیوان محمد رحیم میرزا القاجار</w:t>
        </w:r>
        <w:r>
          <w:tab/>
        </w:r>
        <w:r>
          <w:fldChar w:fldCharType="begin"/>
        </w:r>
        <w:r>
          <w:instrText xml:space="preserve">PAGEREF 7314 \h</w:instrText>
        </w:r>
        <w:r>
          <w:fldChar w:fldCharType="end"/>
        </w:r>
      </w:hyperlink>
    </w:p>
    <w:p>
      <w:pPr>
        <w:tabs>
          <w:tab w:val="right" w:leader="dot" w:pos="9062"/>
        </w:tabs>
        <w:ind w:left="440"/>
      </w:pPr>
      <w:hyperlink w:anchor="_Toc7315" w:history="1">
        <w:r>
          <w:rPr>
            <w:rFonts w:ascii="IRNazanin" w:hAnsi="IRNazanin" w:eastAsia="IRNazanin" w:cs="IRNazanin"/>
            <w:color w:val="111111"/>
            <w:sz w:val="22"/>
            <w:szCs w:val="22"/>
            <w:b w:val="0"/>
            <w:bCs w:val="0"/>
            <w:i w:val="0"/>
            <w:iCs w:val="0"/>
          </w:rPr>
          <w:t>6506- دیوان محمد رضا چرخ تاب أو شعره‏</w:t>
        </w:r>
        <w:r>
          <w:tab/>
        </w:r>
        <w:r>
          <w:fldChar w:fldCharType="begin"/>
        </w:r>
        <w:r>
          <w:instrText xml:space="preserve">PAGEREF 7315 \h</w:instrText>
        </w:r>
        <w:r>
          <w:fldChar w:fldCharType="end"/>
        </w:r>
      </w:hyperlink>
    </w:p>
    <w:p>
      <w:pPr>
        <w:tabs>
          <w:tab w:val="right" w:leader="dot" w:pos="9062"/>
        </w:tabs>
        <w:ind w:left="440"/>
      </w:pPr>
      <w:hyperlink w:anchor="_Toc7316" w:history="1">
        <w:r>
          <w:rPr>
            <w:rFonts w:ascii="IRNazanin" w:hAnsi="IRNazanin" w:eastAsia="IRNazanin" w:cs="IRNazanin"/>
            <w:color w:val="111111"/>
            <w:sz w:val="22"/>
            <w:szCs w:val="22"/>
            <w:b w:val="0"/>
            <w:bCs w:val="0"/>
            <w:i w:val="0"/>
            <w:iCs w:val="0"/>
          </w:rPr>
          <w:t>6507- دیوان محمد رفیق‏</w:t>
        </w:r>
        <w:r>
          <w:tab/>
        </w:r>
        <w:r>
          <w:fldChar w:fldCharType="begin"/>
        </w:r>
        <w:r>
          <w:instrText xml:space="preserve">PAGEREF 7316 \h</w:instrText>
        </w:r>
        <w:r>
          <w:fldChar w:fldCharType="end"/>
        </w:r>
      </w:hyperlink>
    </w:p>
    <w:p>
      <w:pPr>
        <w:tabs>
          <w:tab w:val="right" w:leader="dot" w:pos="9062"/>
        </w:tabs>
        <w:ind w:left="440"/>
      </w:pPr>
      <w:hyperlink w:anchor="_Toc7317" w:history="1">
        <w:r>
          <w:rPr>
            <w:rFonts w:ascii="IRNazanin" w:hAnsi="IRNazanin" w:eastAsia="IRNazanin" w:cs="IRNazanin"/>
            <w:color w:val="111111"/>
            <w:sz w:val="22"/>
            <w:szCs w:val="22"/>
            <w:b w:val="0"/>
            <w:bCs w:val="0"/>
            <w:i w:val="0"/>
            <w:iCs w:val="0"/>
          </w:rPr>
          <w:t>دیوان قاضی محمد رهی‏</w:t>
        </w:r>
        <w:r>
          <w:tab/>
        </w:r>
        <w:r>
          <w:fldChar w:fldCharType="begin"/>
        </w:r>
        <w:r>
          <w:instrText xml:space="preserve">PAGEREF 7317 \h</w:instrText>
        </w:r>
        <w:r>
          <w:fldChar w:fldCharType="end"/>
        </w:r>
      </w:hyperlink>
    </w:p>
    <w:p>
      <w:pPr>
        <w:tabs>
          <w:tab w:val="right" w:leader="dot" w:pos="9062"/>
        </w:tabs>
        <w:ind w:left="440"/>
      </w:pPr>
      <w:hyperlink w:anchor="_Toc7318" w:history="1">
        <w:r>
          <w:rPr>
            <w:rFonts w:ascii="IRNazanin" w:hAnsi="IRNazanin" w:eastAsia="IRNazanin" w:cs="IRNazanin"/>
            <w:color w:val="111111"/>
            <w:sz w:val="22"/>
            <w:szCs w:val="22"/>
            <w:b w:val="0"/>
            <w:bCs w:val="0"/>
            <w:i w:val="0"/>
            <w:iCs w:val="0"/>
          </w:rPr>
          <w:t>6508- دیوان محمد زهری‏</w:t>
        </w:r>
        <w:r>
          <w:tab/>
        </w:r>
        <w:r>
          <w:fldChar w:fldCharType="begin"/>
        </w:r>
        <w:r>
          <w:instrText xml:space="preserve">PAGEREF 7318 \h</w:instrText>
        </w:r>
        <w:r>
          <w:fldChar w:fldCharType="end"/>
        </w:r>
      </w:hyperlink>
    </w:p>
    <w:p>
      <w:pPr>
        <w:tabs>
          <w:tab w:val="right" w:leader="dot" w:pos="9062"/>
        </w:tabs>
        <w:ind w:left="440"/>
      </w:pPr>
      <w:hyperlink w:anchor="_Toc7319" w:history="1">
        <w:r>
          <w:rPr>
            <w:rFonts w:ascii="IRNazanin" w:hAnsi="IRNazanin" w:eastAsia="IRNazanin" w:cs="IRNazanin"/>
            <w:color w:val="111111"/>
            <w:sz w:val="22"/>
            <w:szCs w:val="22"/>
            <w:b w:val="0"/>
            <w:bCs w:val="0"/>
            <w:i w:val="0"/>
            <w:iCs w:val="0"/>
          </w:rPr>
          <w:t>6509- دیوان محمد الزیات‏</w:t>
        </w:r>
        <w:r>
          <w:tab/>
        </w:r>
        <w:r>
          <w:fldChar w:fldCharType="begin"/>
        </w:r>
        <w:r>
          <w:instrText xml:space="preserve">PAGEREF 7319 \h</w:instrText>
        </w:r>
        <w:r>
          <w:fldChar w:fldCharType="end"/>
        </w:r>
      </w:hyperlink>
    </w:p>
    <w:p>
      <w:pPr>
        <w:tabs>
          <w:tab w:val="right" w:leader="dot" w:pos="9062"/>
        </w:tabs>
        <w:ind w:left="440"/>
      </w:pPr>
      <w:hyperlink w:anchor="_Toc7320" w:history="1">
        <w:r>
          <w:rPr>
            <w:rFonts w:ascii="IRNazanin" w:hAnsi="IRNazanin" w:eastAsia="IRNazanin" w:cs="IRNazanin"/>
            <w:color w:val="111111"/>
            <w:sz w:val="22"/>
            <w:szCs w:val="22"/>
            <w:b w:val="0"/>
            <w:bCs w:val="0"/>
            <w:i w:val="0"/>
            <w:iCs w:val="0"/>
          </w:rPr>
          <w:t>6510- دیوان محمد ساروی أو شعره‏</w:t>
        </w:r>
        <w:r>
          <w:tab/>
        </w:r>
        <w:r>
          <w:fldChar w:fldCharType="begin"/>
        </w:r>
        <w:r>
          <w:instrText xml:space="preserve">PAGEREF 7320 \h</w:instrText>
        </w:r>
        <w:r>
          <w:fldChar w:fldCharType="end"/>
        </w:r>
      </w:hyperlink>
    </w:p>
    <w:p>
      <w:pPr>
        <w:tabs>
          <w:tab w:val="right" w:leader="dot" w:pos="9062"/>
        </w:tabs>
        <w:ind w:left="440"/>
      </w:pPr>
      <w:hyperlink w:anchor="_Toc7321" w:history="1">
        <w:r>
          <w:rPr>
            <w:rFonts w:ascii="IRNazanin" w:hAnsi="IRNazanin" w:eastAsia="IRNazanin" w:cs="IRNazanin"/>
            <w:color w:val="111111"/>
            <w:sz w:val="22"/>
            <w:szCs w:val="22"/>
            <w:b w:val="0"/>
            <w:bCs w:val="0"/>
            <w:i w:val="0"/>
            <w:iCs w:val="0"/>
          </w:rPr>
          <w:t>6511- دیوان محمد سبزواری أو شعره‏</w:t>
        </w:r>
        <w:r>
          <w:tab/>
        </w:r>
        <w:r>
          <w:fldChar w:fldCharType="begin"/>
        </w:r>
        <w:r>
          <w:instrText xml:space="preserve">PAGEREF 7321 \h</w:instrText>
        </w:r>
        <w:r>
          <w:fldChar w:fldCharType="end"/>
        </w:r>
      </w:hyperlink>
    </w:p>
    <w:p>
      <w:pPr>
        <w:tabs>
          <w:tab w:val="right" w:leader="dot" w:pos="9062"/>
        </w:tabs>
        <w:ind w:left="440"/>
      </w:pPr>
      <w:hyperlink w:anchor="_Toc7322" w:history="1">
        <w:r>
          <w:rPr>
            <w:rFonts w:ascii="IRNazanin" w:hAnsi="IRNazanin" w:eastAsia="IRNazanin" w:cs="IRNazanin"/>
            <w:color w:val="111111"/>
            <w:sz w:val="22"/>
            <w:szCs w:val="22"/>
            <w:b w:val="0"/>
            <w:bCs w:val="0"/>
            <w:i w:val="0"/>
            <w:iCs w:val="0"/>
          </w:rPr>
          <w:t>6512- دیوان حاجی محمد سمرقندی أو شعره‏</w:t>
        </w:r>
        <w:r>
          <w:tab/>
        </w:r>
        <w:r>
          <w:fldChar w:fldCharType="begin"/>
        </w:r>
        <w:r>
          <w:instrText xml:space="preserve">PAGEREF 7322 \h</w:instrText>
        </w:r>
        <w:r>
          <w:fldChar w:fldCharType="end"/>
        </w:r>
      </w:hyperlink>
    </w:p>
    <w:p>
      <w:pPr>
        <w:tabs>
          <w:tab w:val="right" w:leader="dot" w:pos="9062"/>
        </w:tabs>
        <w:ind w:left="440"/>
      </w:pPr>
      <w:hyperlink w:anchor="_Toc7323" w:history="1">
        <w:r>
          <w:rPr>
            <w:rFonts w:ascii="IRNazanin" w:hAnsi="IRNazanin" w:eastAsia="IRNazanin" w:cs="IRNazanin"/>
            <w:color w:val="111111"/>
            <w:sz w:val="22"/>
            <w:szCs w:val="22"/>
            <w:b w:val="0"/>
            <w:bCs w:val="0"/>
            <w:i w:val="0"/>
            <w:iCs w:val="0"/>
          </w:rPr>
          <w:t>دیوان محمد شرفی‏</w:t>
        </w:r>
        <w:r>
          <w:tab/>
        </w:r>
        <w:r>
          <w:fldChar w:fldCharType="begin"/>
        </w:r>
        <w:r>
          <w:instrText xml:space="preserve">PAGEREF 7323 \h</w:instrText>
        </w:r>
        <w:r>
          <w:fldChar w:fldCharType="end"/>
        </w:r>
      </w:hyperlink>
    </w:p>
    <w:p>
      <w:pPr>
        <w:tabs>
          <w:tab w:val="right" w:leader="dot" w:pos="9062"/>
        </w:tabs>
        <w:ind w:left="440"/>
      </w:pPr>
      <w:hyperlink w:anchor="_Toc7324" w:history="1">
        <w:r>
          <w:rPr>
            <w:rFonts w:ascii="IRNazanin" w:hAnsi="IRNazanin" w:eastAsia="IRNazanin" w:cs="IRNazanin"/>
            <w:color w:val="111111"/>
            <w:sz w:val="22"/>
            <w:szCs w:val="22"/>
            <w:b w:val="0"/>
            <w:bCs w:val="0"/>
            <w:i w:val="0"/>
            <w:iCs w:val="0"/>
          </w:rPr>
          <w:t>6513- دیوان محمد شغانی أو شعره‏</w:t>
        </w:r>
        <w:r>
          <w:tab/>
        </w:r>
        <w:r>
          <w:fldChar w:fldCharType="begin"/>
        </w:r>
        <w:r>
          <w:instrText xml:space="preserve">PAGEREF 7324 \h</w:instrText>
        </w:r>
        <w:r>
          <w:fldChar w:fldCharType="end"/>
        </w:r>
      </w:hyperlink>
    </w:p>
    <w:p>
      <w:pPr>
        <w:tabs>
          <w:tab w:val="right" w:leader="dot" w:pos="9062"/>
        </w:tabs>
        <w:ind w:left="440"/>
      </w:pPr>
      <w:hyperlink w:anchor="_Toc7325" w:history="1">
        <w:r>
          <w:rPr>
            <w:rFonts w:ascii="IRNazanin" w:hAnsi="IRNazanin" w:eastAsia="IRNazanin" w:cs="IRNazanin"/>
            <w:color w:val="111111"/>
            <w:sz w:val="22"/>
            <w:szCs w:val="22"/>
            <w:b w:val="0"/>
            <w:bCs w:val="0"/>
            <w:i w:val="0"/>
            <w:iCs w:val="0"/>
          </w:rPr>
          <w:t>6514- دیوان محمد شارختی أو شعره‏</w:t>
        </w:r>
        <w:r>
          <w:tab/>
        </w:r>
        <w:r>
          <w:fldChar w:fldCharType="begin"/>
        </w:r>
        <w:r>
          <w:instrText xml:space="preserve">PAGEREF 7325 \h</w:instrText>
        </w:r>
        <w:r>
          <w:fldChar w:fldCharType="end"/>
        </w:r>
      </w:hyperlink>
    </w:p>
    <w:p>
      <w:pPr>
        <w:tabs>
          <w:tab w:val="right" w:leader="dot" w:pos="9062"/>
        </w:tabs>
        <w:ind w:left="440"/>
      </w:pPr>
      <w:hyperlink w:anchor="_Toc7326" w:history="1">
        <w:r>
          <w:rPr>
            <w:rFonts w:ascii="IRNazanin" w:hAnsi="IRNazanin" w:eastAsia="IRNazanin" w:cs="IRNazanin"/>
            <w:color w:val="111111"/>
            <w:sz w:val="22"/>
            <w:szCs w:val="22"/>
            <w:b w:val="0"/>
            <w:bCs w:val="0"/>
            <w:i w:val="0"/>
            <w:iCs w:val="0"/>
          </w:rPr>
          <w:t>6515- دیوان محمد شهرستانی أو شعره‏</w:t>
        </w:r>
        <w:r>
          <w:tab/>
        </w:r>
        <w:r>
          <w:fldChar w:fldCharType="begin"/>
        </w:r>
        <w:r>
          <w:instrText xml:space="preserve">PAGEREF 7326 \h</w:instrText>
        </w:r>
        <w:r>
          <w:fldChar w:fldCharType="end"/>
        </w:r>
      </w:hyperlink>
    </w:p>
    <w:p>
      <w:pPr>
        <w:tabs>
          <w:tab w:val="right" w:leader="dot" w:pos="9062"/>
        </w:tabs>
        <w:ind w:left="440"/>
      </w:pPr>
      <w:hyperlink w:anchor="_Toc7327" w:history="1">
        <w:r>
          <w:rPr>
            <w:rFonts w:ascii="IRNazanin" w:hAnsi="IRNazanin" w:eastAsia="IRNazanin" w:cs="IRNazanin"/>
            <w:color w:val="111111"/>
            <w:sz w:val="22"/>
            <w:szCs w:val="22"/>
            <w:b w:val="0"/>
            <w:bCs w:val="0"/>
            <w:i w:val="0"/>
            <w:iCs w:val="0"/>
          </w:rPr>
          <w:t>6516- دیوان محمد شیرازی أو شعره‏</w:t>
        </w:r>
        <w:r>
          <w:tab/>
        </w:r>
        <w:r>
          <w:fldChar w:fldCharType="begin"/>
        </w:r>
        <w:r>
          <w:instrText xml:space="preserve">PAGEREF 7327 \h</w:instrText>
        </w:r>
        <w:r>
          <w:fldChar w:fldCharType="end"/>
        </w:r>
      </w:hyperlink>
    </w:p>
    <w:p>
      <w:pPr>
        <w:tabs>
          <w:tab w:val="right" w:leader="dot" w:pos="9062"/>
        </w:tabs>
        <w:ind w:left="440"/>
      </w:pPr>
      <w:hyperlink w:anchor="_Toc7328" w:history="1">
        <w:r>
          <w:rPr>
            <w:rFonts w:ascii="IRNazanin" w:hAnsi="IRNazanin" w:eastAsia="IRNazanin" w:cs="IRNazanin"/>
            <w:color w:val="111111"/>
            <w:sz w:val="22"/>
            <w:szCs w:val="22"/>
            <w:b w:val="0"/>
            <w:bCs w:val="0"/>
            <w:i w:val="0"/>
            <w:iCs w:val="0"/>
          </w:rPr>
          <w:t>دیوان محمد صاحب‏</w:t>
        </w:r>
        <w:r>
          <w:tab/>
        </w:r>
        <w:r>
          <w:fldChar w:fldCharType="begin"/>
        </w:r>
        <w:r>
          <w:instrText xml:space="preserve">PAGEREF 7328 \h</w:instrText>
        </w:r>
        <w:r>
          <w:fldChar w:fldCharType="end"/>
        </w:r>
      </w:hyperlink>
    </w:p>
    <w:p>
      <w:pPr>
        <w:tabs>
          <w:tab w:val="right" w:leader="dot" w:pos="9062"/>
        </w:tabs>
        <w:ind w:left="440"/>
      </w:pPr>
      <w:hyperlink w:anchor="_Toc7329" w:history="1">
        <w:r>
          <w:rPr>
            <w:rFonts w:ascii="IRNazanin" w:hAnsi="IRNazanin" w:eastAsia="IRNazanin" w:cs="IRNazanin"/>
            <w:color w:val="111111"/>
            <w:sz w:val="22"/>
            <w:szCs w:val="22"/>
            <w:b w:val="0"/>
            <w:bCs w:val="0"/>
            <w:i w:val="0"/>
            <w:iCs w:val="0"/>
          </w:rPr>
          <w:t>دیوان محمد صادق أردستانی‏</w:t>
        </w:r>
        <w:r>
          <w:tab/>
        </w:r>
        <w:r>
          <w:fldChar w:fldCharType="begin"/>
        </w:r>
        <w:r>
          <w:instrText xml:space="preserve">PAGEREF 7329 \h</w:instrText>
        </w:r>
        <w:r>
          <w:fldChar w:fldCharType="end"/>
        </w:r>
      </w:hyperlink>
    </w:p>
    <w:p>
      <w:pPr>
        <w:tabs>
          <w:tab w:val="right" w:leader="dot" w:pos="9062"/>
        </w:tabs>
        <w:ind w:left="440"/>
      </w:pPr>
      <w:hyperlink w:anchor="_Toc7330" w:history="1">
        <w:r>
          <w:rPr>
            <w:rFonts w:ascii="IRNazanin" w:hAnsi="IRNazanin" w:eastAsia="IRNazanin" w:cs="IRNazanin"/>
            <w:color w:val="111111"/>
            <w:sz w:val="22"/>
            <w:szCs w:val="22"/>
            <w:b w:val="0"/>
            <w:bCs w:val="0"/>
            <w:i w:val="0"/>
            <w:iCs w:val="0"/>
          </w:rPr>
          <w:t>6517- دیوان محمد صادق أصفهانی أو شعره‏</w:t>
        </w:r>
        <w:r>
          <w:tab/>
        </w:r>
        <w:r>
          <w:fldChar w:fldCharType="begin"/>
        </w:r>
        <w:r>
          <w:instrText xml:space="preserve">PAGEREF 7330 \h</w:instrText>
        </w:r>
        <w:r>
          <w:fldChar w:fldCharType="end"/>
        </w:r>
      </w:hyperlink>
    </w:p>
    <w:p>
      <w:pPr>
        <w:tabs>
          <w:tab w:val="right" w:leader="dot" w:pos="9062"/>
        </w:tabs>
        <w:ind w:left="440"/>
      </w:pPr>
      <w:hyperlink w:anchor="_Toc7331" w:history="1">
        <w:r>
          <w:rPr>
            <w:rFonts w:ascii="IRNazanin" w:hAnsi="IRNazanin" w:eastAsia="IRNazanin" w:cs="IRNazanin"/>
            <w:color w:val="111111"/>
            <w:sz w:val="22"/>
            <w:szCs w:val="22"/>
            <w:b w:val="0"/>
            <w:bCs w:val="0"/>
            <w:i w:val="0"/>
            <w:iCs w:val="0"/>
          </w:rPr>
          <w:t>دیوان محمد صادق هندی‏</w:t>
        </w:r>
        <w:r>
          <w:tab/>
        </w:r>
        <w:r>
          <w:fldChar w:fldCharType="begin"/>
        </w:r>
        <w:r>
          <w:instrText xml:space="preserve">PAGEREF 7331 \h</w:instrText>
        </w:r>
        <w:r>
          <w:fldChar w:fldCharType="end"/>
        </w:r>
      </w:hyperlink>
    </w:p>
    <w:p>
      <w:pPr>
        <w:tabs>
          <w:tab w:val="right" w:leader="dot" w:pos="9062"/>
        </w:tabs>
        <w:ind w:left="440"/>
      </w:pPr>
      <w:hyperlink w:anchor="_Toc7332" w:history="1">
        <w:r>
          <w:rPr>
            <w:rFonts w:ascii="IRNazanin" w:hAnsi="IRNazanin" w:eastAsia="IRNazanin" w:cs="IRNazanin"/>
            <w:color w:val="111111"/>
            <w:sz w:val="22"/>
            <w:szCs w:val="22"/>
            <w:b w:val="0"/>
            <w:bCs w:val="0"/>
            <w:i w:val="0"/>
            <w:iCs w:val="0"/>
          </w:rPr>
          <w:t>6518- دیوان محمد صالح کرمانشاهی‏</w:t>
        </w:r>
        <w:r>
          <w:tab/>
        </w:r>
        <w:r>
          <w:fldChar w:fldCharType="begin"/>
        </w:r>
        <w:r>
          <w:instrText xml:space="preserve">PAGEREF 7332 \h</w:instrText>
        </w:r>
        <w:r>
          <w:fldChar w:fldCharType="end"/>
        </w:r>
      </w:hyperlink>
    </w:p>
    <w:p>
      <w:pPr>
        <w:tabs>
          <w:tab w:val="right" w:leader="dot" w:pos="9062"/>
        </w:tabs>
        <w:ind w:left="440"/>
      </w:pPr>
      <w:hyperlink w:anchor="_Toc7333" w:history="1">
        <w:r>
          <w:rPr>
            <w:rFonts w:ascii="IRNazanin" w:hAnsi="IRNazanin" w:eastAsia="IRNazanin" w:cs="IRNazanin"/>
            <w:color w:val="111111"/>
            <w:sz w:val="22"/>
            <w:szCs w:val="22"/>
            <w:b w:val="0"/>
            <w:bCs w:val="0"/>
            <w:i w:val="0"/>
            <w:iCs w:val="0"/>
          </w:rPr>
          <w:t>6519- دیوان محمد صدر أو شعره‏</w:t>
        </w:r>
        <w:r>
          <w:tab/>
        </w:r>
        <w:r>
          <w:fldChar w:fldCharType="begin"/>
        </w:r>
        <w:r>
          <w:instrText xml:space="preserve">PAGEREF 7333 \h</w:instrText>
        </w:r>
        <w:r>
          <w:fldChar w:fldCharType="end"/>
        </w:r>
      </w:hyperlink>
    </w:p>
    <w:p>
      <w:pPr>
        <w:tabs>
          <w:tab w:val="right" w:leader="dot" w:pos="9062"/>
        </w:tabs>
        <w:ind w:left="440"/>
      </w:pPr>
      <w:hyperlink w:anchor="_Toc7334" w:history="1">
        <w:r>
          <w:rPr>
            <w:rFonts w:ascii="IRNazanin" w:hAnsi="IRNazanin" w:eastAsia="IRNazanin" w:cs="IRNazanin"/>
            <w:color w:val="111111"/>
            <w:sz w:val="22"/>
            <w:szCs w:val="22"/>
            <w:b w:val="0"/>
            <w:bCs w:val="0"/>
            <w:i w:val="0"/>
            <w:iCs w:val="0"/>
          </w:rPr>
          <w:t>دیوان محمد صدیق یزدی‏</w:t>
        </w:r>
        <w:r>
          <w:tab/>
        </w:r>
        <w:r>
          <w:fldChar w:fldCharType="begin"/>
        </w:r>
        <w:r>
          <w:instrText xml:space="preserve">PAGEREF 7334 \h</w:instrText>
        </w:r>
        <w:r>
          <w:fldChar w:fldCharType="end"/>
        </w:r>
      </w:hyperlink>
    </w:p>
    <w:p>
      <w:pPr>
        <w:tabs>
          <w:tab w:val="right" w:leader="dot" w:pos="9062"/>
        </w:tabs>
        <w:ind w:left="440"/>
      </w:pPr>
      <w:hyperlink w:anchor="_Toc7335" w:history="1">
        <w:r>
          <w:rPr>
            <w:rFonts w:ascii="IRNazanin" w:hAnsi="IRNazanin" w:eastAsia="IRNazanin" w:cs="IRNazanin"/>
            <w:color w:val="111111"/>
            <w:sz w:val="22"/>
            <w:szCs w:val="22"/>
            <w:b w:val="0"/>
            <w:bCs w:val="0"/>
            <w:i w:val="0"/>
            <w:iCs w:val="0"/>
          </w:rPr>
          <w:t>6520- دیوان محمد صوفی مازندرانی‏</w:t>
        </w:r>
        <w:r>
          <w:tab/>
        </w:r>
        <w:r>
          <w:fldChar w:fldCharType="begin"/>
        </w:r>
        <w:r>
          <w:instrText xml:space="preserve">PAGEREF 7335 \h</w:instrText>
        </w:r>
        <w:r>
          <w:fldChar w:fldCharType="end"/>
        </w:r>
      </w:hyperlink>
    </w:p>
    <w:p>
      <w:pPr>
        <w:tabs>
          <w:tab w:val="right" w:leader="dot" w:pos="9062"/>
        </w:tabs>
        <w:ind w:left="440"/>
      </w:pPr>
      <w:hyperlink w:anchor="_Toc7336" w:history="1">
        <w:r>
          <w:rPr>
            <w:rFonts w:ascii="IRNazanin" w:hAnsi="IRNazanin" w:eastAsia="IRNazanin" w:cs="IRNazanin"/>
            <w:color w:val="111111"/>
            <w:sz w:val="22"/>
            <w:szCs w:val="22"/>
            <w:b w:val="0"/>
            <w:bCs w:val="0"/>
            <w:i w:val="0"/>
            <w:iCs w:val="0"/>
          </w:rPr>
          <w:t>6521- دیوان محمد طالب أو شعره‏</w:t>
        </w:r>
        <w:r>
          <w:tab/>
        </w:r>
        <w:r>
          <w:fldChar w:fldCharType="begin"/>
        </w:r>
        <w:r>
          <w:instrText xml:space="preserve">PAGEREF 7336 \h</w:instrText>
        </w:r>
        <w:r>
          <w:fldChar w:fldCharType="end"/>
        </w:r>
      </w:hyperlink>
    </w:p>
    <w:p>
      <w:pPr>
        <w:tabs>
          <w:tab w:val="right" w:leader="dot" w:pos="9062"/>
        </w:tabs>
        <w:ind w:left="440"/>
      </w:pPr>
      <w:hyperlink w:anchor="_Toc7337" w:history="1">
        <w:r>
          <w:rPr>
            <w:rFonts w:ascii="IRNazanin" w:hAnsi="IRNazanin" w:eastAsia="IRNazanin" w:cs="IRNazanin"/>
            <w:color w:val="111111"/>
            <w:sz w:val="22"/>
            <w:szCs w:val="22"/>
            <w:b w:val="0"/>
            <w:bCs w:val="0"/>
            <w:i w:val="0"/>
            <w:iCs w:val="0"/>
          </w:rPr>
          <w:t>دیوان محمد طاهر شاه جانی‏</w:t>
        </w:r>
        <w:r>
          <w:tab/>
        </w:r>
        <w:r>
          <w:fldChar w:fldCharType="begin"/>
        </w:r>
        <w:r>
          <w:instrText xml:space="preserve">PAGEREF 7337 \h</w:instrText>
        </w:r>
        <w:r>
          <w:fldChar w:fldCharType="end"/>
        </w:r>
      </w:hyperlink>
    </w:p>
    <w:p>
      <w:pPr>
        <w:tabs>
          <w:tab w:val="right" w:leader="dot" w:pos="9062"/>
        </w:tabs>
        <w:ind w:left="440"/>
      </w:pPr>
      <w:hyperlink w:anchor="_Toc7338" w:history="1">
        <w:r>
          <w:rPr>
            <w:rFonts w:ascii="IRNazanin" w:hAnsi="IRNazanin" w:eastAsia="IRNazanin" w:cs="IRNazanin"/>
            <w:color w:val="111111"/>
            <w:sz w:val="22"/>
            <w:szCs w:val="22"/>
            <w:b w:val="0"/>
            <w:bCs w:val="0"/>
            <w:i w:val="0"/>
            <w:iCs w:val="0"/>
          </w:rPr>
          <w:t>دیوان محمد طاهر</w:t>
        </w:r>
        <w:r>
          <w:tab/>
        </w:r>
        <w:r>
          <w:fldChar w:fldCharType="begin"/>
        </w:r>
        <w:r>
          <w:instrText xml:space="preserve">PAGEREF 7338 \h</w:instrText>
        </w:r>
        <w:r>
          <w:fldChar w:fldCharType="end"/>
        </w:r>
      </w:hyperlink>
    </w:p>
    <w:p>
      <w:pPr>
        <w:tabs>
          <w:tab w:val="right" w:leader="dot" w:pos="9062"/>
        </w:tabs>
        <w:ind w:left="440"/>
      </w:pPr>
      <w:hyperlink w:anchor="_Toc7339" w:history="1">
        <w:r>
          <w:rPr>
            <w:rFonts w:ascii="IRNazanin" w:hAnsi="IRNazanin" w:eastAsia="IRNazanin" w:cs="IRNazanin"/>
            <w:color w:val="111111"/>
            <w:sz w:val="22"/>
            <w:szCs w:val="22"/>
            <w:b w:val="0"/>
            <w:bCs w:val="0"/>
            <w:i w:val="0"/>
            <w:iCs w:val="0"/>
          </w:rPr>
          <w:t>6522- دیوان محمد طهرانی أو شعره‏</w:t>
        </w:r>
        <w:r>
          <w:tab/>
        </w:r>
        <w:r>
          <w:fldChar w:fldCharType="begin"/>
        </w:r>
        <w:r>
          <w:instrText xml:space="preserve">PAGEREF 7339 \h</w:instrText>
        </w:r>
        <w:r>
          <w:fldChar w:fldCharType="end"/>
        </w:r>
      </w:hyperlink>
    </w:p>
    <w:p>
      <w:pPr>
        <w:tabs>
          <w:tab w:val="right" w:leader="dot" w:pos="9062"/>
        </w:tabs>
        <w:ind w:left="440"/>
      </w:pPr>
      <w:hyperlink w:anchor="_Toc7340" w:history="1">
        <w:r>
          <w:rPr>
            <w:rFonts w:ascii="IRNazanin" w:hAnsi="IRNazanin" w:eastAsia="IRNazanin" w:cs="IRNazanin"/>
            <w:color w:val="111111"/>
            <w:sz w:val="22"/>
            <w:szCs w:val="22"/>
            <w:b w:val="0"/>
            <w:bCs w:val="0"/>
            <w:i w:val="0"/>
            <w:iCs w:val="0"/>
          </w:rPr>
          <w:t>6523- دیوان محمد عالم أو شعره‏</w:t>
        </w:r>
        <w:r>
          <w:tab/>
        </w:r>
        <w:r>
          <w:fldChar w:fldCharType="begin"/>
        </w:r>
        <w:r>
          <w:instrText xml:space="preserve">PAGEREF 7340 \h</w:instrText>
        </w:r>
        <w:r>
          <w:fldChar w:fldCharType="end"/>
        </w:r>
      </w:hyperlink>
    </w:p>
    <w:p>
      <w:pPr>
        <w:tabs>
          <w:tab w:val="right" w:leader="dot" w:pos="9062"/>
        </w:tabs>
        <w:ind w:left="440"/>
      </w:pPr>
      <w:hyperlink w:anchor="_Toc7341" w:history="1">
        <w:r>
          <w:rPr>
            <w:rFonts w:ascii="IRNazanin" w:hAnsi="IRNazanin" w:eastAsia="IRNazanin" w:cs="IRNazanin"/>
            <w:color w:val="111111"/>
            <w:sz w:val="22"/>
            <w:szCs w:val="22"/>
            <w:b w:val="0"/>
            <w:bCs w:val="0"/>
            <w:i w:val="0"/>
            <w:iCs w:val="0"/>
          </w:rPr>
          <w:t>دیوان محمد عباس التستری‏</w:t>
        </w:r>
        <w:r>
          <w:tab/>
        </w:r>
        <w:r>
          <w:fldChar w:fldCharType="begin"/>
        </w:r>
        <w:r>
          <w:instrText xml:space="preserve">PAGEREF 7341 \h</w:instrText>
        </w:r>
        <w:r>
          <w:fldChar w:fldCharType="end"/>
        </w:r>
      </w:hyperlink>
    </w:p>
    <w:p>
      <w:pPr>
        <w:tabs>
          <w:tab w:val="right" w:leader="dot" w:pos="9062"/>
        </w:tabs>
        <w:ind w:left="440"/>
      </w:pPr>
      <w:hyperlink w:anchor="_Toc7342" w:history="1">
        <w:r>
          <w:rPr>
            <w:rFonts w:ascii="IRNazanin" w:hAnsi="IRNazanin" w:eastAsia="IRNazanin" w:cs="IRNazanin"/>
            <w:color w:val="111111"/>
            <w:sz w:val="22"/>
            <w:szCs w:val="22"/>
            <w:b w:val="0"/>
            <w:bCs w:val="0"/>
            <w:i w:val="0"/>
            <w:iCs w:val="0"/>
          </w:rPr>
          <w:t>6524- دیوان محمد عرب‏</w:t>
        </w:r>
        <w:r>
          <w:tab/>
        </w:r>
        <w:r>
          <w:fldChar w:fldCharType="begin"/>
        </w:r>
        <w:r>
          <w:instrText xml:space="preserve">PAGEREF 7342 \h</w:instrText>
        </w:r>
        <w:r>
          <w:fldChar w:fldCharType="end"/>
        </w:r>
      </w:hyperlink>
    </w:p>
    <w:p>
      <w:pPr>
        <w:tabs>
          <w:tab w:val="right" w:leader="dot" w:pos="9062"/>
        </w:tabs>
        <w:ind w:left="440"/>
      </w:pPr>
      <w:hyperlink w:anchor="_Toc7343" w:history="1">
        <w:r>
          <w:rPr>
            <w:rFonts w:ascii="IRNazanin" w:hAnsi="IRNazanin" w:eastAsia="IRNazanin" w:cs="IRNazanin"/>
            <w:color w:val="111111"/>
            <w:sz w:val="22"/>
            <w:szCs w:val="22"/>
            <w:b w:val="0"/>
            <w:bCs w:val="0"/>
            <w:i w:val="0"/>
            <w:iCs w:val="0"/>
          </w:rPr>
          <w:t>دیوان السید محمد العصار التبریزی‏</w:t>
        </w:r>
        <w:r>
          <w:tab/>
        </w:r>
        <w:r>
          <w:fldChar w:fldCharType="begin"/>
        </w:r>
        <w:r>
          <w:instrText xml:space="preserve">PAGEREF 7343 \h</w:instrText>
        </w:r>
        <w:r>
          <w:fldChar w:fldCharType="end"/>
        </w:r>
      </w:hyperlink>
    </w:p>
    <w:p>
      <w:pPr>
        <w:tabs>
          <w:tab w:val="right" w:leader="dot" w:pos="9062"/>
        </w:tabs>
        <w:ind w:left="440"/>
      </w:pPr>
      <w:hyperlink w:anchor="_Toc7344" w:history="1">
        <w:r>
          <w:rPr>
            <w:rFonts w:ascii="IRNazanin" w:hAnsi="IRNazanin" w:eastAsia="IRNazanin" w:cs="IRNazanin"/>
            <w:color w:val="111111"/>
            <w:sz w:val="22"/>
            <w:szCs w:val="22"/>
            <w:b w:val="0"/>
            <w:bCs w:val="0"/>
            <w:i w:val="0"/>
            <w:iCs w:val="0"/>
          </w:rPr>
          <w:t>دیوان السید محمد العصار الطهرانی‏</w:t>
        </w:r>
        <w:r>
          <w:tab/>
        </w:r>
        <w:r>
          <w:fldChar w:fldCharType="begin"/>
        </w:r>
        <w:r>
          <w:instrText xml:space="preserve">PAGEREF 7344 \h</w:instrText>
        </w:r>
        <w:r>
          <w:fldChar w:fldCharType="end"/>
        </w:r>
      </w:hyperlink>
    </w:p>
    <w:p>
      <w:pPr>
        <w:tabs>
          <w:tab w:val="right" w:leader="dot" w:pos="9062"/>
        </w:tabs>
        <w:ind w:left="440"/>
      </w:pPr>
      <w:hyperlink w:anchor="_Toc7345" w:history="1">
        <w:r>
          <w:rPr>
            <w:rFonts w:ascii="IRNazanin" w:hAnsi="IRNazanin" w:eastAsia="IRNazanin" w:cs="IRNazanin"/>
            <w:color w:val="111111"/>
            <w:sz w:val="22"/>
            <w:szCs w:val="22"/>
            <w:b w:val="0"/>
            <w:bCs w:val="0"/>
            <w:i w:val="0"/>
            <w:iCs w:val="0"/>
          </w:rPr>
          <w:t>6525- دیوان محمد علی إسلامی‏</w:t>
        </w:r>
        <w:r>
          <w:tab/>
        </w:r>
        <w:r>
          <w:fldChar w:fldCharType="begin"/>
        </w:r>
        <w:r>
          <w:instrText xml:space="preserve">PAGEREF 7345 \h</w:instrText>
        </w:r>
        <w:r>
          <w:fldChar w:fldCharType="end"/>
        </w:r>
      </w:hyperlink>
    </w:p>
    <w:p>
      <w:pPr>
        <w:tabs>
          <w:tab w:val="right" w:leader="dot" w:pos="9062"/>
        </w:tabs>
        <w:ind w:left="440"/>
      </w:pPr>
      <w:hyperlink w:anchor="_Toc7346" w:history="1">
        <w:r>
          <w:rPr>
            <w:rFonts w:ascii="IRNazanin" w:hAnsi="IRNazanin" w:eastAsia="IRNazanin" w:cs="IRNazanin"/>
            <w:color w:val="111111"/>
            <w:sz w:val="22"/>
            <w:szCs w:val="22"/>
            <w:b w:val="0"/>
            <w:bCs w:val="0"/>
            <w:i w:val="0"/>
            <w:iCs w:val="0"/>
          </w:rPr>
          <w:t>6526- دیوان محمد علی أنصاری‏</w:t>
        </w:r>
        <w:r>
          <w:tab/>
        </w:r>
        <w:r>
          <w:fldChar w:fldCharType="begin"/>
        </w:r>
        <w:r>
          <w:instrText xml:space="preserve">PAGEREF 7346 \h</w:instrText>
        </w:r>
        <w:r>
          <w:fldChar w:fldCharType="end"/>
        </w:r>
      </w:hyperlink>
    </w:p>
    <w:p>
      <w:pPr>
        <w:tabs>
          <w:tab w:val="right" w:leader="dot" w:pos="9062"/>
        </w:tabs>
        <w:ind w:left="440"/>
      </w:pPr>
      <w:hyperlink w:anchor="_Toc7347" w:history="1">
        <w:r>
          <w:rPr>
            <w:rFonts w:ascii="IRNazanin" w:hAnsi="IRNazanin" w:eastAsia="IRNazanin" w:cs="IRNazanin"/>
            <w:color w:val="111111"/>
            <w:sz w:val="22"/>
            <w:szCs w:val="22"/>
            <w:b w:val="0"/>
            <w:bCs w:val="0"/>
            <w:i w:val="0"/>
            <w:iCs w:val="0"/>
          </w:rPr>
          <w:t>دیوان محمد علی حزین‏</w:t>
        </w:r>
        <w:r>
          <w:tab/>
        </w:r>
        <w:r>
          <w:fldChar w:fldCharType="begin"/>
        </w:r>
        <w:r>
          <w:instrText xml:space="preserve">PAGEREF 7347 \h</w:instrText>
        </w:r>
        <w:r>
          <w:fldChar w:fldCharType="end"/>
        </w:r>
      </w:hyperlink>
    </w:p>
    <w:p>
      <w:pPr>
        <w:tabs>
          <w:tab w:val="right" w:leader="dot" w:pos="9062"/>
        </w:tabs>
        <w:ind w:left="440"/>
      </w:pPr>
      <w:hyperlink w:anchor="_Toc7348" w:history="1">
        <w:r>
          <w:rPr>
            <w:rFonts w:ascii="IRNazanin" w:hAnsi="IRNazanin" w:eastAsia="IRNazanin" w:cs="IRNazanin"/>
            <w:color w:val="111111"/>
            <w:sz w:val="22"/>
            <w:szCs w:val="22"/>
            <w:b w:val="0"/>
            <w:bCs w:val="0"/>
            <w:i w:val="0"/>
            <w:iCs w:val="0"/>
          </w:rPr>
          <w:t>دیوان محمد علی دولت شاه‏</w:t>
        </w:r>
        <w:r>
          <w:tab/>
        </w:r>
        <w:r>
          <w:fldChar w:fldCharType="begin"/>
        </w:r>
        <w:r>
          <w:instrText xml:space="preserve">PAGEREF 7348 \h</w:instrText>
        </w:r>
        <w:r>
          <w:fldChar w:fldCharType="end"/>
        </w:r>
      </w:hyperlink>
    </w:p>
    <w:p>
      <w:pPr>
        <w:tabs>
          <w:tab w:val="right" w:leader="dot" w:pos="9062"/>
        </w:tabs>
        <w:ind w:left="440"/>
      </w:pPr>
      <w:hyperlink w:anchor="_Toc7349" w:history="1">
        <w:r>
          <w:rPr>
            <w:rFonts w:ascii="IRNazanin" w:hAnsi="IRNazanin" w:eastAsia="IRNazanin" w:cs="IRNazanin"/>
            <w:color w:val="111111"/>
            <w:sz w:val="22"/>
            <w:szCs w:val="22"/>
            <w:b w:val="0"/>
            <w:bCs w:val="0"/>
            <w:i w:val="0"/>
            <w:iCs w:val="0"/>
          </w:rPr>
          <w:t>6527- دیوان محمد علی روحی أصفهانی أو شعره‏</w:t>
        </w:r>
        <w:r>
          <w:tab/>
        </w:r>
        <w:r>
          <w:fldChar w:fldCharType="begin"/>
        </w:r>
        <w:r>
          <w:instrText xml:space="preserve">PAGEREF 7349 \h</w:instrText>
        </w:r>
        <w:r>
          <w:fldChar w:fldCharType="end"/>
        </w:r>
      </w:hyperlink>
    </w:p>
    <w:p>
      <w:pPr>
        <w:tabs>
          <w:tab w:val="right" w:leader="dot" w:pos="9062"/>
        </w:tabs>
        <w:ind w:left="440"/>
      </w:pPr>
      <w:hyperlink w:anchor="_Toc7350" w:history="1">
        <w:r>
          <w:rPr>
            <w:rFonts w:ascii="IRNazanin" w:hAnsi="IRNazanin" w:eastAsia="IRNazanin" w:cs="IRNazanin"/>
            <w:color w:val="111111"/>
            <w:sz w:val="22"/>
            <w:szCs w:val="22"/>
            <w:b w:val="0"/>
            <w:bCs w:val="0"/>
            <w:i w:val="0"/>
            <w:iCs w:val="0"/>
          </w:rPr>
          <w:t>دیوان محمد علی سروش‏</w:t>
        </w:r>
        <w:r>
          <w:tab/>
        </w:r>
        <w:r>
          <w:fldChar w:fldCharType="begin"/>
        </w:r>
        <w:r>
          <w:instrText xml:space="preserve">PAGEREF 7350 \h</w:instrText>
        </w:r>
        <w:r>
          <w:fldChar w:fldCharType="end"/>
        </w:r>
      </w:hyperlink>
    </w:p>
    <w:p>
      <w:pPr>
        <w:tabs>
          <w:tab w:val="right" w:leader="dot" w:pos="9062"/>
        </w:tabs>
        <w:ind w:left="440"/>
      </w:pPr>
      <w:hyperlink w:anchor="_Toc7351" w:history="1">
        <w:r>
          <w:rPr>
            <w:rFonts w:ascii="IRNazanin" w:hAnsi="IRNazanin" w:eastAsia="IRNazanin" w:cs="IRNazanin"/>
            <w:color w:val="111111"/>
            <w:sz w:val="22"/>
            <w:szCs w:val="22"/>
            <w:b w:val="0"/>
            <w:bCs w:val="0"/>
            <w:i w:val="0"/>
            <w:iCs w:val="0"/>
          </w:rPr>
          <w:t>6528- دیوان محمد علی عز الدین‏</w:t>
        </w:r>
        <w:r>
          <w:tab/>
        </w:r>
        <w:r>
          <w:fldChar w:fldCharType="begin"/>
        </w:r>
        <w:r>
          <w:instrText xml:space="preserve">PAGEREF 7351 \h</w:instrText>
        </w:r>
        <w:r>
          <w:fldChar w:fldCharType="end"/>
        </w:r>
      </w:hyperlink>
    </w:p>
    <w:p>
      <w:pPr>
        <w:tabs>
          <w:tab w:val="right" w:leader="dot" w:pos="9062"/>
        </w:tabs>
        <w:ind w:left="440"/>
      </w:pPr>
      <w:hyperlink w:anchor="_Toc7352" w:history="1">
        <w:r>
          <w:rPr>
            <w:rFonts w:ascii="IRNazanin" w:hAnsi="IRNazanin" w:eastAsia="IRNazanin" w:cs="IRNazanin"/>
            <w:color w:val="111111"/>
            <w:sz w:val="22"/>
            <w:szCs w:val="22"/>
            <w:b w:val="0"/>
            <w:bCs w:val="0"/>
            <w:i w:val="0"/>
            <w:iCs w:val="0"/>
          </w:rPr>
          <w:t>دیوان محمد علی مولوی‏</w:t>
        </w:r>
        <w:r>
          <w:tab/>
        </w:r>
        <w:r>
          <w:fldChar w:fldCharType="begin"/>
        </w:r>
        <w:r>
          <w:instrText xml:space="preserve">PAGEREF 7352 \h</w:instrText>
        </w:r>
        <w:r>
          <w:fldChar w:fldCharType="end"/>
        </w:r>
      </w:hyperlink>
    </w:p>
    <w:p>
      <w:pPr>
        <w:tabs>
          <w:tab w:val="right" w:leader="dot" w:pos="9062"/>
        </w:tabs>
        <w:ind w:left="440"/>
      </w:pPr>
      <w:hyperlink w:anchor="_Toc7353" w:history="1">
        <w:r>
          <w:rPr>
            <w:rFonts w:ascii="IRNazanin" w:hAnsi="IRNazanin" w:eastAsia="IRNazanin" w:cs="IRNazanin"/>
            <w:color w:val="111111"/>
            <w:sz w:val="22"/>
            <w:szCs w:val="22"/>
            <w:b w:val="0"/>
            <w:bCs w:val="0"/>
            <w:i w:val="0"/>
            <w:iCs w:val="0"/>
          </w:rPr>
          <w:t>دیوان سید محمد عوامل‏</w:t>
        </w:r>
        <w:r>
          <w:tab/>
        </w:r>
        <w:r>
          <w:fldChar w:fldCharType="begin"/>
        </w:r>
        <w:r>
          <w:instrText xml:space="preserve">PAGEREF 7353 \h</w:instrText>
        </w:r>
        <w:r>
          <w:fldChar w:fldCharType="end"/>
        </w:r>
      </w:hyperlink>
    </w:p>
    <w:p>
      <w:pPr>
        <w:tabs>
          <w:tab w:val="right" w:leader="dot" w:pos="9062"/>
        </w:tabs>
        <w:ind w:left="440"/>
      </w:pPr>
      <w:hyperlink w:anchor="_Toc7354" w:history="1">
        <w:r>
          <w:rPr>
            <w:rFonts w:ascii="IRNazanin" w:hAnsi="IRNazanin" w:eastAsia="IRNazanin" w:cs="IRNazanin"/>
            <w:color w:val="111111"/>
            <w:sz w:val="22"/>
            <w:szCs w:val="22"/>
            <w:b w:val="0"/>
            <w:bCs w:val="0"/>
            <w:i w:val="0"/>
            <w:iCs w:val="0"/>
          </w:rPr>
          <w:t>6529- دیوان محمد علی فردوسی ثانی‏</w:t>
        </w:r>
        <w:r>
          <w:tab/>
        </w:r>
        <w:r>
          <w:fldChar w:fldCharType="begin"/>
        </w:r>
        <w:r>
          <w:instrText xml:space="preserve">PAGEREF 7354 \h</w:instrText>
        </w:r>
        <w:r>
          <w:fldChar w:fldCharType="end"/>
        </w:r>
      </w:hyperlink>
    </w:p>
    <w:p>
      <w:pPr>
        <w:tabs>
          <w:tab w:val="right" w:leader="dot" w:pos="9062"/>
        </w:tabs>
        <w:ind w:left="440"/>
      </w:pPr>
      <w:hyperlink w:anchor="_Toc7355" w:history="1">
        <w:r>
          <w:rPr>
            <w:rFonts w:ascii="IRNazanin" w:hAnsi="IRNazanin" w:eastAsia="IRNazanin" w:cs="IRNazanin"/>
            <w:color w:val="111111"/>
            <w:sz w:val="22"/>
            <w:szCs w:val="22"/>
            <w:b w:val="0"/>
            <w:bCs w:val="0"/>
            <w:i w:val="0"/>
            <w:iCs w:val="0"/>
          </w:rPr>
          <w:t>دیوان محمد عوفی‏</w:t>
        </w:r>
        <w:r>
          <w:tab/>
        </w:r>
        <w:r>
          <w:fldChar w:fldCharType="begin"/>
        </w:r>
        <w:r>
          <w:instrText xml:space="preserve">PAGEREF 7355 \h</w:instrText>
        </w:r>
        <w:r>
          <w:fldChar w:fldCharType="end"/>
        </w:r>
      </w:hyperlink>
    </w:p>
    <w:p>
      <w:pPr>
        <w:tabs>
          <w:tab w:val="right" w:leader="dot" w:pos="9062"/>
        </w:tabs>
        <w:ind w:left="440"/>
      </w:pPr>
      <w:hyperlink w:anchor="_Toc7356" w:history="1">
        <w:r>
          <w:rPr>
            <w:rFonts w:ascii="IRNazanin" w:hAnsi="IRNazanin" w:eastAsia="IRNazanin" w:cs="IRNazanin"/>
            <w:color w:val="111111"/>
            <w:sz w:val="22"/>
            <w:szCs w:val="22"/>
            <w:b w:val="0"/>
            <w:bCs w:val="0"/>
            <w:i w:val="0"/>
            <w:iCs w:val="0"/>
          </w:rPr>
          <w:t>6530- دیوان محمد غزنوی أو شعره‏</w:t>
        </w:r>
        <w:r>
          <w:tab/>
        </w:r>
        <w:r>
          <w:fldChar w:fldCharType="begin"/>
        </w:r>
        <w:r>
          <w:instrText xml:space="preserve">PAGEREF 7356 \h</w:instrText>
        </w:r>
        <w:r>
          <w:fldChar w:fldCharType="end"/>
        </w:r>
      </w:hyperlink>
    </w:p>
    <w:p>
      <w:pPr>
        <w:tabs>
          <w:tab w:val="right" w:leader="dot" w:pos="9062"/>
        </w:tabs>
        <w:ind w:left="440"/>
      </w:pPr>
      <w:hyperlink w:anchor="_Toc7357" w:history="1">
        <w:r>
          <w:rPr>
            <w:rFonts w:ascii="IRNazanin" w:hAnsi="IRNazanin" w:eastAsia="IRNazanin" w:cs="IRNazanin"/>
            <w:color w:val="111111"/>
            <w:sz w:val="22"/>
            <w:szCs w:val="22"/>
            <w:b w:val="0"/>
            <w:bCs w:val="0"/>
            <w:i w:val="0"/>
            <w:iCs w:val="0"/>
          </w:rPr>
          <w:t>دیوان ملا محمد فارسی‏</w:t>
        </w:r>
        <w:r>
          <w:tab/>
        </w:r>
        <w:r>
          <w:fldChar w:fldCharType="begin"/>
        </w:r>
        <w:r>
          <w:instrText xml:space="preserve">PAGEREF 7357 \h</w:instrText>
        </w:r>
        <w:r>
          <w:fldChar w:fldCharType="end"/>
        </w:r>
      </w:hyperlink>
    </w:p>
    <w:p>
      <w:pPr>
        <w:tabs>
          <w:tab w:val="right" w:leader="dot" w:pos="9062"/>
        </w:tabs>
        <w:ind w:left="440"/>
      </w:pPr>
      <w:hyperlink w:anchor="_Toc7358" w:history="1">
        <w:r>
          <w:rPr>
            <w:rFonts w:ascii="IRNazanin" w:hAnsi="IRNazanin" w:eastAsia="IRNazanin" w:cs="IRNazanin"/>
            <w:color w:val="111111"/>
            <w:sz w:val="22"/>
            <w:szCs w:val="22"/>
            <w:b w:val="0"/>
            <w:bCs w:val="0"/>
            <w:i w:val="0"/>
            <w:iCs w:val="0"/>
          </w:rPr>
          <w:t>6531- دیوان محمد فارسی أو شعره‏</w:t>
        </w:r>
        <w:r>
          <w:tab/>
        </w:r>
        <w:r>
          <w:fldChar w:fldCharType="begin"/>
        </w:r>
        <w:r>
          <w:instrText xml:space="preserve">PAGEREF 7358 \h</w:instrText>
        </w:r>
        <w:r>
          <w:fldChar w:fldCharType="end"/>
        </w:r>
      </w:hyperlink>
    </w:p>
    <w:p>
      <w:pPr>
        <w:tabs>
          <w:tab w:val="right" w:leader="dot" w:pos="9062"/>
        </w:tabs>
        <w:ind w:left="440"/>
      </w:pPr>
      <w:hyperlink w:anchor="_Toc7359" w:history="1">
        <w:r>
          <w:rPr>
            <w:rFonts w:ascii="IRNazanin" w:hAnsi="IRNazanin" w:eastAsia="IRNazanin" w:cs="IRNazanin"/>
            <w:color w:val="111111"/>
            <w:sz w:val="22"/>
            <w:szCs w:val="22"/>
            <w:b w:val="0"/>
            <w:bCs w:val="0"/>
            <w:i w:val="0"/>
            <w:iCs w:val="0"/>
          </w:rPr>
          <w:t>6532- دیوان محمد فوطة سمرقندی أو شعره‏</w:t>
        </w:r>
        <w:r>
          <w:tab/>
        </w:r>
        <w:r>
          <w:fldChar w:fldCharType="begin"/>
        </w:r>
        <w:r>
          <w:instrText xml:space="preserve">PAGEREF 7359 \h</w:instrText>
        </w:r>
        <w:r>
          <w:fldChar w:fldCharType="end"/>
        </w:r>
      </w:hyperlink>
    </w:p>
    <w:p>
      <w:pPr>
        <w:tabs>
          <w:tab w:val="right" w:leader="dot" w:pos="9062"/>
        </w:tabs>
        <w:ind w:left="440"/>
      </w:pPr>
      <w:hyperlink w:anchor="_Toc7360" w:history="1">
        <w:r>
          <w:rPr>
            <w:rFonts w:ascii="IRNazanin" w:hAnsi="IRNazanin" w:eastAsia="IRNazanin" w:cs="IRNazanin"/>
            <w:color w:val="111111"/>
            <w:sz w:val="22"/>
            <w:szCs w:val="22"/>
            <w:b w:val="0"/>
            <w:bCs w:val="0"/>
            <w:i w:val="0"/>
            <w:iCs w:val="0"/>
          </w:rPr>
          <w:t>6533- دیوان الحکیم محمد القائنی أو شعره‏</w:t>
        </w:r>
        <w:r>
          <w:tab/>
        </w:r>
        <w:r>
          <w:fldChar w:fldCharType="begin"/>
        </w:r>
        <w:r>
          <w:instrText xml:space="preserve">PAGEREF 7360 \h</w:instrText>
        </w:r>
        <w:r>
          <w:fldChar w:fldCharType="end"/>
        </w:r>
      </w:hyperlink>
    </w:p>
    <w:p>
      <w:pPr>
        <w:tabs>
          <w:tab w:val="right" w:leader="dot" w:pos="9062"/>
        </w:tabs>
        <w:ind w:left="440"/>
      </w:pPr>
      <w:hyperlink w:anchor="_Toc7361" w:history="1">
        <w:r>
          <w:rPr>
            <w:rFonts w:ascii="IRNazanin" w:hAnsi="IRNazanin" w:eastAsia="IRNazanin" w:cs="IRNazanin"/>
            <w:color w:val="111111"/>
            <w:sz w:val="22"/>
            <w:szCs w:val="22"/>
            <w:b w:val="0"/>
            <w:bCs w:val="0"/>
            <w:i w:val="0"/>
            <w:iCs w:val="0"/>
          </w:rPr>
          <w:t>دیوان محمد قاضی خراسانی‏</w:t>
        </w:r>
        <w:r>
          <w:tab/>
        </w:r>
        <w:r>
          <w:fldChar w:fldCharType="begin"/>
        </w:r>
        <w:r>
          <w:instrText xml:space="preserve">PAGEREF 7361 \h</w:instrText>
        </w:r>
        <w:r>
          <w:fldChar w:fldCharType="end"/>
        </w:r>
      </w:hyperlink>
    </w:p>
    <w:p>
      <w:pPr>
        <w:tabs>
          <w:tab w:val="right" w:leader="dot" w:pos="9062"/>
        </w:tabs>
        <w:ind w:left="440"/>
      </w:pPr>
      <w:hyperlink w:anchor="_Toc7362" w:history="1">
        <w:r>
          <w:rPr>
            <w:rFonts w:ascii="IRNazanin" w:hAnsi="IRNazanin" w:eastAsia="IRNazanin" w:cs="IRNazanin"/>
            <w:color w:val="111111"/>
            <w:sz w:val="22"/>
            <w:szCs w:val="22"/>
            <w:b w:val="0"/>
            <w:bCs w:val="0"/>
            <w:i w:val="0"/>
            <w:iCs w:val="0"/>
          </w:rPr>
          <w:t>6534- دیوان محمد خان قبیچانی أو شعره‏</w:t>
        </w:r>
        <w:r>
          <w:tab/>
        </w:r>
        <w:r>
          <w:fldChar w:fldCharType="begin"/>
        </w:r>
        <w:r>
          <w:instrText xml:space="preserve">PAGEREF 7362 \h</w:instrText>
        </w:r>
        <w:r>
          <w:fldChar w:fldCharType="end"/>
        </w:r>
      </w:hyperlink>
    </w:p>
    <w:p>
      <w:pPr>
        <w:tabs>
          <w:tab w:val="right" w:leader="dot" w:pos="9062"/>
        </w:tabs>
        <w:ind w:left="440"/>
      </w:pPr>
      <w:hyperlink w:anchor="_Toc7363" w:history="1">
        <w:r>
          <w:rPr>
            <w:rFonts w:ascii="IRNazanin" w:hAnsi="IRNazanin" w:eastAsia="IRNazanin" w:cs="IRNazanin"/>
            <w:color w:val="111111"/>
            <w:sz w:val="22"/>
            <w:szCs w:val="22"/>
            <w:b w:val="0"/>
            <w:bCs w:val="0"/>
            <w:i w:val="0"/>
            <w:iCs w:val="0"/>
          </w:rPr>
          <w:t>دیوان محمد قزوینی‏</w:t>
        </w:r>
        <w:r>
          <w:tab/>
        </w:r>
        <w:r>
          <w:fldChar w:fldCharType="begin"/>
        </w:r>
        <w:r>
          <w:instrText xml:space="preserve">PAGEREF 7363 \h</w:instrText>
        </w:r>
        <w:r>
          <w:fldChar w:fldCharType="end"/>
        </w:r>
      </w:hyperlink>
    </w:p>
    <w:p>
      <w:pPr>
        <w:tabs>
          <w:tab w:val="right" w:leader="dot" w:pos="9062"/>
        </w:tabs>
        <w:ind w:left="440"/>
      </w:pPr>
      <w:hyperlink w:anchor="_Toc7364" w:history="1">
        <w:r>
          <w:rPr>
            <w:rFonts w:ascii="IRNazanin" w:hAnsi="IRNazanin" w:eastAsia="IRNazanin" w:cs="IRNazanin"/>
            <w:color w:val="111111"/>
            <w:sz w:val="22"/>
            <w:szCs w:val="22"/>
            <w:b w:val="0"/>
            <w:bCs w:val="0"/>
            <w:i w:val="0"/>
            <w:iCs w:val="0"/>
          </w:rPr>
          <w:t>6535- دیوان السید محمد القطیفی‏</w:t>
        </w:r>
        <w:r>
          <w:tab/>
        </w:r>
        <w:r>
          <w:fldChar w:fldCharType="begin"/>
        </w:r>
        <w:r>
          <w:instrText xml:space="preserve">PAGEREF 7364 \h</w:instrText>
        </w:r>
        <w:r>
          <w:fldChar w:fldCharType="end"/>
        </w:r>
      </w:hyperlink>
    </w:p>
    <w:p>
      <w:pPr>
        <w:tabs>
          <w:tab w:val="right" w:leader="dot" w:pos="9062"/>
        </w:tabs>
        <w:ind w:left="440"/>
      </w:pPr>
      <w:hyperlink w:anchor="_Toc7365" w:history="1">
        <w:r>
          <w:rPr>
            <w:rFonts w:ascii="IRNazanin" w:hAnsi="IRNazanin" w:eastAsia="IRNazanin" w:cs="IRNazanin"/>
            <w:color w:val="111111"/>
            <w:sz w:val="22"/>
            <w:szCs w:val="22"/>
            <w:b w:val="0"/>
            <w:bCs w:val="0"/>
            <w:i w:val="0"/>
            <w:iCs w:val="0"/>
          </w:rPr>
          <w:t>دیوان محمد قلی‏</w:t>
        </w:r>
        <w:r>
          <w:tab/>
        </w:r>
        <w:r>
          <w:fldChar w:fldCharType="begin"/>
        </w:r>
        <w:r>
          <w:instrText xml:space="preserve">PAGEREF 7365 \h</w:instrText>
        </w:r>
        <w:r>
          <w:fldChar w:fldCharType="end"/>
        </w:r>
      </w:hyperlink>
    </w:p>
    <w:p>
      <w:pPr>
        <w:tabs>
          <w:tab w:val="right" w:leader="dot" w:pos="9062"/>
        </w:tabs>
        <w:ind w:left="440"/>
      </w:pPr>
      <w:hyperlink w:anchor="_Toc7366" w:history="1">
        <w:r>
          <w:rPr>
            <w:rFonts w:ascii="IRNazanin" w:hAnsi="IRNazanin" w:eastAsia="IRNazanin" w:cs="IRNazanin"/>
            <w:color w:val="111111"/>
            <w:sz w:val="22"/>
            <w:szCs w:val="22"/>
            <w:b w:val="0"/>
            <w:bCs w:val="0"/>
            <w:i w:val="0"/>
            <w:iCs w:val="0"/>
          </w:rPr>
          <w:t>6536- دیوان محمد قلی خان الکازرونی أو شعره‏</w:t>
        </w:r>
        <w:r>
          <w:tab/>
        </w:r>
        <w:r>
          <w:fldChar w:fldCharType="begin"/>
        </w:r>
        <w:r>
          <w:instrText xml:space="preserve">PAGEREF 7366 \h</w:instrText>
        </w:r>
        <w:r>
          <w:fldChar w:fldCharType="end"/>
        </w:r>
      </w:hyperlink>
    </w:p>
    <w:p>
      <w:pPr>
        <w:tabs>
          <w:tab w:val="right" w:leader="dot" w:pos="9062"/>
        </w:tabs>
        <w:ind w:left="440"/>
      </w:pPr>
      <w:hyperlink w:anchor="_Toc7367" w:history="1">
        <w:r>
          <w:rPr>
            <w:rFonts w:ascii="IRNazanin" w:hAnsi="IRNazanin" w:eastAsia="IRNazanin" w:cs="IRNazanin"/>
            <w:color w:val="111111"/>
            <w:sz w:val="22"/>
            <w:szCs w:val="22"/>
            <w:b w:val="0"/>
            <w:bCs w:val="0"/>
            <w:i w:val="0"/>
            <w:iCs w:val="0"/>
          </w:rPr>
          <w:t>6537- دیوان شاه محمد قورچی أو شعره‏</w:t>
        </w:r>
        <w:r>
          <w:tab/>
        </w:r>
        <w:r>
          <w:fldChar w:fldCharType="begin"/>
        </w:r>
        <w:r>
          <w:instrText xml:space="preserve">PAGEREF 7367 \h</w:instrText>
        </w:r>
        <w:r>
          <w:fldChar w:fldCharType="end"/>
        </w:r>
      </w:hyperlink>
    </w:p>
    <w:p>
      <w:pPr>
        <w:tabs>
          <w:tab w:val="right" w:leader="dot" w:pos="9062"/>
        </w:tabs>
        <w:ind w:left="440"/>
      </w:pPr>
      <w:hyperlink w:anchor="_Toc7368" w:history="1">
        <w:r>
          <w:rPr>
            <w:rFonts w:ascii="IRNazanin" w:hAnsi="IRNazanin" w:eastAsia="IRNazanin" w:cs="IRNazanin"/>
            <w:color w:val="111111"/>
            <w:sz w:val="22"/>
            <w:szCs w:val="22"/>
            <w:b w:val="0"/>
            <w:bCs w:val="0"/>
            <w:i w:val="0"/>
            <w:iCs w:val="0"/>
          </w:rPr>
          <w:t>6538- دیوان ملا محمد کاشی أو شعره‏</w:t>
        </w:r>
        <w:r>
          <w:tab/>
        </w:r>
        <w:r>
          <w:fldChar w:fldCharType="begin"/>
        </w:r>
        <w:r>
          <w:instrText xml:space="preserve">PAGEREF 7368 \h</w:instrText>
        </w:r>
        <w:r>
          <w:fldChar w:fldCharType="end"/>
        </w:r>
      </w:hyperlink>
    </w:p>
    <w:p>
      <w:pPr>
        <w:tabs>
          <w:tab w:val="right" w:leader="dot" w:pos="9062"/>
        </w:tabs>
        <w:ind w:left="440"/>
      </w:pPr>
      <w:hyperlink w:anchor="_Toc7369" w:history="1">
        <w:r>
          <w:rPr>
            <w:rFonts w:ascii="IRNazanin" w:hAnsi="IRNazanin" w:eastAsia="IRNazanin" w:cs="IRNazanin"/>
            <w:color w:val="111111"/>
            <w:sz w:val="22"/>
            <w:szCs w:val="22"/>
            <w:b w:val="0"/>
            <w:bCs w:val="0"/>
            <w:i w:val="0"/>
            <w:iCs w:val="0"/>
          </w:rPr>
          <w:t>دیوان محمد کاکی‏</w:t>
        </w:r>
        <w:r>
          <w:tab/>
        </w:r>
        <w:r>
          <w:fldChar w:fldCharType="begin"/>
        </w:r>
        <w:r>
          <w:instrText xml:space="preserve">PAGEREF 7369 \h</w:instrText>
        </w:r>
        <w:r>
          <w:fldChar w:fldCharType="end"/>
        </w:r>
      </w:hyperlink>
    </w:p>
    <w:p>
      <w:pPr>
        <w:tabs>
          <w:tab w:val="right" w:leader="dot" w:pos="9062"/>
        </w:tabs>
        <w:ind w:left="440"/>
      </w:pPr>
      <w:hyperlink w:anchor="_Toc7370" w:history="1">
        <w:r>
          <w:rPr>
            <w:rFonts w:ascii="IRNazanin" w:hAnsi="IRNazanin" w:eastAsia="IRNazanin" w:cs="IRNazanin"/>
            <w:color w:val="111111"/>
            <w:sz w:val="22"/>
            <w:szCs w:val="22"/>
            <w:b w:val="0"/>
            <w:bCs w:val="0"/>
            <w:i w:val="0"/>
            <w:iCs w:val="0"/>
          </w:rPr>
          <w:t>6539- دیوان شاه محمد کتاب دار أو شعره‏</w:t>
        </w:r>
        <w:r>
          <w:tab/>
        </w:r>
        <w:r>
          <w:fldChar w:fldCharType="begin"/>
        </w:r>
        <w:r>
          <w:instrText xml:space="preserve">PAGEREF 7370 \h</w:instrText>
        </w:r>
        <w:r>
          <w:fldChar w:fldCharType="end"/>
        </w:r>
      </w:hyperlink>
    </w:p>
    <w:p>
      <w:pPr>
        <w:tabs>
          <w:tab w:val="right" w:leader="dot" w:pos="9062"/>
        </w:tabs>
        <w:ind w:left="440"/>
      </w:pPr>
      <w:hyperlink w:anchor="_Toc7371" w:history="1">
        <w:r>
          <w:rPr>
            <w:rFonts w:ascii="IRNazanin" w:hAnsi="IRNazanin" w:eastAsia="IRNazanin" w:cs="IRNazanin"/>
            <w:color w:val="111111"/>
            <w:sz w:val="22"/>
            <w:szCs w:val="22"/>
            <w:b w:val="0"/>
            <w:bCs w:val="0"/>
            <w:i w:val="0"/>
            <w:iCs w:val="0"/>
          </w:rPr>
          <w:t>6540- دیوان محمد کتف أندجانی أو شعره‏</w:t>
        </w:r>
        <w:r>
          <w:tab/>
        </w:r>
        <w:r>
          <w:fldChar w:fldCharType="begin"/>
        </w:r>
        <w:r>
          <w:instrText xml:space="preserve">PAGEREF 7371 \h</w:instrText>
        </w:r>
        <w:r>
          <w:fldChar w:fldCharType="end"/>
        </w:r>
      </w:hyperlink>
    </w:p>
    <w:p>
      <w:pPr>
        <w:tabs>
          <w:tab w:val="right" w:leader="dot" w:pos="9062"/>
        </w:tabs>
        <w:ind w:left="440"/>
      </w:pPr>
      <w:hyperlink w:anchor="_Toc7372" w:history="1">
        <w:r>
          <w:rPr>
            <w:rFonts w:ascii="IRNazanin" w:hAnsi="IRNazanin" w:eastAsia="IRNazanin" w:cs="IRNazanin"/>
            <w:color w:val="111111"/>
            <w:sz w:val="22"/>
            <w:szCs w:val="22"/>
            <w:b w:val="0"/>
            <w:bCs w:val="0"/>
            <w:i w:val="0"/>
            <w:iCs w:val="0"/>
          </w:rPr>
          <w:t>دیوان محمد کرمانی‏</w:t>
        </w:r>
        <w:r>
          <w:tab/>
        </w:r>
        <w:r>
          <w:fldChar w:fldCharType="begin"/>
        </w:r>
        <w:r>
          <w:instrText xml:space="preserve">PAGEREF 7372 \h</w:instrText>
        </w:r>
        <w:r>
          <w:fldChar w:fldCharType="end"/>
        </w:r>
      </w:hyperlink>
    </w:p>
    <w:p>
      <w:pPr>
        <w:tabs>
          <w:tab w:val="right" w:leader="dot" w:pos="9062"/>
        </w:tabs>
        <w:ind w:left="440"/>
      </w:pPr>
      <w:hyperlink w:anchor="_Toc7373" w:history="1">
        <w:r>
          <w:rPr>
            <w:rFonts w:ascii="IRNazanin" w:hAnsi="IRNazanin" w:eastAsia="IRNazanin" w:cs="IRNazanin"/>
            <w:color w:val="111111"/>
            <w:sz w:val="22"/>
            <w:szCs w:val="22"/>
            <w:b w:val="0"/>
            <w:bCs w:val="0"/>
            <w:i w:val="0"/>
            <w:iCs w:val="0"/>
          </w:rPr>
          <w:t>6541- دیوان محمد کسکنی سبزواری أو شعره‏</w:t>
        </w:r>
        <w:r>
          <w:tab/>
        </w:r>
        <w:r>
          <w:fldChar w:fldCharType="begin"/>
        </w:r>
        <w:r>
          <w:instrText xml:space="preserve">PAGEREF 7373 \h</w:instrText>
        </w:r>
        <w:r>
          <w:fldChar w:fldCharType="end"/>
        </w:r>
      </w:hyperlink>
    </w:p>
    <w:p>
      <w:pPr>
        <w:tabs>
          <w:tab w:val="right" w:leader="dot" w:pos="9062"/>
        </w:tabs>
        <w:ind w:left="440"/>
      </w:pPr>
      <w:hyperlink w:anchor="_Toc7374" w:history="1">
        <w:r>
          <w:rPr>
            <w:rFonts w:ascii="IRNazanin" w:hAnsi="IRNazanin" w:eastAsia="IRNazanin" w:cs="IRNazanin"/>
            <w:color w:val="111111"/>
            <w:sz w:val="22"/>
            <w:szCs w:val="22"/>
            <w:b w:val="0"/>
            <w:bCs w:val="0"/>
            <w:i w:val="0"/>
            <w:iCs w:val="0"/>
          </w:rPr>
          <w:t>6542- دیوان محمد کشمیری أو شعره‏</w:t>
        </w:r>
        <w:r>
          <w:tab/>
        </w:r>
        <w:r>
          <w:fldChar w:fldCharType="begin"/>
        </w:r>
        <w:r>
          <w:instrText xml:space="preserve">PAGEREF 7374 \h</w:instrText>
        </w:r>
        <w:r>
          <w:fldChar w:fldCharType="end"/>
        </w:r>
      </w:hyperlink>
    </w:p>
    <w:p>
      <w:pPr>
        <w:tabs>
          <w:tab w:val="right" w:leader="dot" w:pos="9062"/>
        </w:tabs>
        <w:ind w:left="440"/>
      </w:pPr>
      <w:hyperlink w:anchor="_Toc7375" w:history="1">
        <w:r>
          <w:rPr>
            <w:rFonts w:ascii="IRNazanin" w:hAnsi="IRNazanin" w:eastAsia="IRNazanin" w:cs="IRNazanin"/>
            <w:color w:val="111111"/>
            <w:sz w:val="22"/>
            <w:szCs w:val="22"/>
            <w:b w:val="0"/>
            <w:bCs w:val="0"/>
            <w:i w:val="0"/>
            <w:iCs w:val="0"/>
          </w:rPr>
          <w:t>دیوان محمد کوزه‏کنانی‏</w:t>
        </w:r>
        <w:r>
          <w:tab/>
        </w:r>
        <w:r>
          <w:fldChar w:fldCharType="begin"/>
        </w:r>
        <w:r>
          <w:instrText xml:space="preserve">PAGEREF 7375 \h</w:instrText>
        </w:r>
        <w:r>
          <w:fldChar w:fldCharType="end"/>
        </w:r>
      </w:hyperlink>
    </w:p>
    <w:p>
      <w:pPr>
        <w:tabs>
          <w:tab w:val="right" w:leader="dot" w:pos="9062"/>
        </w:tabs>
        <w:ind w:left="440"/>
      </w:pPr>
      <w:hyperlink w:anchor="_Toc7376" w:history="1">
        <w:r>
          <w:rPr>
            <w:rFonts w:ascii="IRNazanin" w:hAnsi="IRNazanin" w:eastAsia="IRNazanin" w:cs="IRNazanin"/>
            <w:color w:val="111111"/>
            <w:sz w:val="22"/>
            <w:szCs w:val="22"/>
            <w:b w:val="0"/>
            <w:bCs w:val="0"/>
            <w:i w:val="0"/>
            <w:iCs w:val="0"/>
          </w:rPr>
          <w:t>دیوان محمد گیلانی گرجی‏</w:t>
        </w:r>
        <w:r>
          <w:tab/>
        </w:r>
        <w:r>
          <w:fldChar w:fldCharType="begin"/>
        </w:r>
        <w:r>
          <w:instrText xml:space="preserve">PAGEREF 7376 \h</w:instrText>
        </w:r>
        <w:r>
          <w:fldChar w:fldCharType="end"/>
        </w:r>
      </w:hyperlink>
    </w:p>
    <w:p>
      <w:pPr>
        <w:tabs>
          <w:tab w:val="right" w:leader="dot" w:pos="9062"/>
        </w:tabs>
        <w:ind w:left="440"/>
      </w:pPr>
      <w:hyperlink w:anchor="_Toc7377" w:history="1">
        <w:r>
          <w:rPr>
            <w:rFonts w:ascii="IRNazanin" w:hAnsi="IRNazanin" w:eastAsia="IRNazanin" w:cs="IRNazanin"/>
            <w:color w:val="111111"/>
            <w:sz w:val="22"/>
            <w:szCs w:val="22"/>
            <w:b w:val="0"/>
            <w:bCs w:val="0"/>
            <w:i w:val="0"/>
            <w:iCs w:val="0"/>
          </w:rPr>
          <w:t>دیوان محمد لاهیجی‏</w:t>
        </w:r>
        <w:r>
          <w:tab/>
        </w:r>
        <w:r>
          <w:fldChar w:fldCharType="begin"/>
        </w:r>
        <w:r>
          <w:instrText xml:space="preserve">PAGEREF 7377 \h</w:instrText>
        </w:r>
        <w:r>
          <w:fldChar w:fldCharType="end"/>
        </w:r>
      </w:hyperlink>
    </w:p>
    <w:p>
      <w:pPr>
        <w:tabs>
          <w:tab w:val="right" w:leader="dot" w:pos="9062"/>
        </w:tabs>
        <w:ind w:left="440"/>
      </w:pPr>
      <w:hyperlink w:anchor="_Toc7378" w:history="1">
        <w:r>
          <w:rPr>
            <w:rFonts w:ascii="IRNazanin" w:hAnsi="IRNazanin" w:eastAsia="IRNazanin" w:cs="IRNazanin"/>
            <w:color w:val="111111"/>
            <w:sz w:val="22"/>
            <w:szCs w:val="22"/>
            <w:b w:val="0"/>
            <w:bCs w:val="0"/>
            <w:i w:val="0"/>
            <w:iCs w:val="0"/>
          </w:rPr>
          <w:t>دیوان محمد مجلد</w:t>
        </w:r>
        <w:r>
          <w:tab/>
        </w:r>
        <w:r>
          <w:fldChar w:fldCharType="begin"/>
        </w:r>
        <w:r>
          <w:instrText xml:space="preserve">PAGEREF 7378 \h</w:instrText>
        </w:r>
        <w:r>
          <w:fldChar w:fldCharType="end"/>
        </w:r>
      </w:hyperlink>
    </w:p>
    <w:p>
      <w:pPr>
        <w:tabs>
          <w:tab w:val="right" w:leader="dot" w:pos="9062"/>
        </w:tabs>
        <w:ind w:left="440"/>
      </w:pPr>
      <w:hyperlink w:anchor="_Toc7379" w:history="1">
        <w:r>
          <w:rPr>
            <w:rFonts w:ascii="IRNazanin" w:hAnsi="IRNazanin" w:eastAsia="IRNazanin" w:cs="IRNazanin"/>
            <w:color w:val="111111"/>
            <w:sz w:val="22"/>
            <w:szCs w:val="22"/>
            <w:b w:val="0"/>
            <w:bCs w:val="0"/>
            <w:i w:val="0"/>
            <w:iCs w:val="0"/>
          </w:rPr>
          <w:t>دیوان محمد محسن رشتی أصفهانی‏</w:t>
        </w:r>
        <w:r>
          <w:tab/>
        </w:r>
        <w:r>
          <w:fldChar w:fldCharType="begin"/>
        </w:r>
        <w:r>
          <w:instrText xml:space="preserve">PAGEREF 7379 \h</w:instrText>
        </w:r>
        <w:r>
          <w:fldChar w:fldCharType="end"/>
        </w:r>
      </w:hyperlink>
    </w:p>
    <w:p>
      <w:pPr>
        <w:tabs>
          <w:tab w:val="right" w:leader="dot" w:pos="9062"/>
        </w:tabs>
        <w:ind w:left="440"/>
      </w:pPr>
      <w:hyperlink w:anchor="_Toc7380" w:history="1">
        <w:r>
          <w:rPr>
            <w:rFonts w:ascii="IRNazanin" w:hAnsi="IRNazanin" w:eastAsia="IRNazanin" w:cs="IRNazanin"/>
            <w:color w:val="111111"/>
            <w:sz w:val="22"/>
            <w:szCs w:val="22"/>
            <w:b w:val="0"/>
            <w:bCs w:val="0"/>
            <w:i w:val="0"/>
            <w:iCs w:val="0"/>
          </w:rPr>
          <w:t>6543- دیوان محمد مذهب کرمانی أو شعره‏</w:t>
        </w:r>
        <w:r>
          <w:tab/>
        </w:r>
        <w:r>
          <w:fldChar w:fldCharType="begin"/>
        </w:r>
        <w:r>
          <w:instrText xml:space="preserve">PAGEREF 7380 \h</w:instrText>
        </w:r>
        <w:r>
          <w:fldChar w:fldCharType="end"/>
        </w:r>
      </w:hyperlink>
    </w:p>
    <w:p>
      <w:pPr>
        <w:tabs>
          <w:tab w:val="right" w:leader="dot" w:pos="9062"/>
        </w:tabs>
        <w:ind w:left="440"/>
      </w:pPr>
      <w:hyperlink w:anchor="_Toc7381" w:history="1">
        <w:r>
          <w:rPr>
            <w:rFonts w:ascii="IRNazanin" w:hAnsi="IRNazanin" w:eastAsia="IRNazanin" w:cs="IRNazanin"/>
            <w:color w:val="111111"/>
            <w:sz w:val="22"/>
            <w:szCs w:val="22"/>
            <w:b w:val="0"/>
            <w:bCs w:val="0"/>
            <w:i w:val="0"/>
            <w:iCs w:val="0"/>
          </w:rPr>
          <w:t>دیوان محمد مذهب‏</w:t>
        </w:r>
        <w:r>
          <w:tab/>
        </w:r>
        <w:r>
          <w:fldChar w:fldCharType="begin"/>
        </w:r>
        <w:r>
          <w:instrText xml:space="preserve">PAGEREF 7381 \h</w:instrText>
        </w:r>
        <w:r>
          <w:fldChar w:fldCharType="end"/>
        </w:r>
      </w:hyperlink>
    </w:p>
    <w:p>
      <w:pPr>
        <w:tabs>
          <w:tab w:val="right" w:leader="dot" w:pos="9062"/>
        </w:tabs>
        <w:ind w:left="440"/>
      </w:pPr>
      <w:hyperlink w:anchor="_Toc7382" w:history="1">
        <w:r>
          <w:rPr>
            <w:rFonts w:ascii="IRNazanin" w:hAnsi="IRNazanin" w:eastAsia="IRNazanin" w:cs="IRNazanin"/>
            <w:color w:val="111111"/>
            <w:sz w:val="22"/>
            <w:szCs w:val="22"/>
            <w:b w:val="0"/>
            <w:bCs w:val="0"/>
            <w:i w:val="0"/>
            <w:iCs w:val="0"/>
          </w:rPr>
          <w:t>6544- دیوان میر محمد مشهدی أو شعره‏</w:t>
        </w:r>
        <w:r>
          <w:tab/>
        </w:r>
        <w:r>
          <w:fldChar w:fldCharType="begin"/>
        </w:r>
        <w:r>
          <w:instrText xml:space="preserve">PAGEREF 7382 \h</w:instrText>
        </w:r>
        <w:r>
          <w:fldChar w:fldCharType="end"/>
        </w:r>
      </w:hyperlink>
    </w:p>
    <w:p>
      <w:pPr>
        <w:tabs>
          <w:tab w:val="right" w:leader="dot" w:pos="9062"/>
        </w:tabs>
        <w:ind w:left="440"/>
      </w:pPr>
      <w:hyperlink w:anchor="_Toc7383" w:history="1">
        <w:r>
          <w:rPr>
            <w:rFonts w:ascii="IRNazanin" w:hAnsi="IRNazanin" w:eastAsia="IRNazanin" w:cs="IRNazanin"/>
            <w:color w:val="111111"/>
            <w:sz w:val="22"/>
            <w:szCs w:val="22"/>
            <w:b w:val="0"/>
            <w:bCs w:val="0"/>
            <w:i w:val="0"/>
            <w:iCs w:val="0"/>
          </w:rPr>
          <w:t>6545- دیوان الشیخ محمد مطر</w:t>
        </w:r>
        <w:r>
          <w:tab/>
        </w:r>
        <w:r>
          <w:fldChar w:fldCharType="begin"/>
        </w:r>
        <w:r>
          <w:instrText xml:space="preserve">PAGEREF 7383 \h</w:instrText>
        </w:r>
        <w:r>
          <w:fldChar w:fldCharType="end"/>
        </w:r>
      </w:hyperlink>
    </w:p>
    <w:p>
      <w:pPr>
        <w:tabs>
          <w:tab w:val="right" w:leader="dot" w:pos="9062"/>
        </w:tabs>
        <w:ind w:left="440"/>
      </w:pPr>
      <w:hyperlink w:anchor="_Toc7384" w:history="1">
        <w:r>
          <w:rPr>
            <w:rFonts w:ascii="IRNazanin" w:hAnsi="IRNazanin" w:eastAsia="IRNazanin" w:cs="IRNazanin"/>
            <w:color w:val="111111"/>
            <w:sz w:val="22"/>
            <w:szCs w:val="22"/>
            <w:b w:val="0"/>
            <w:bCs w:val="0"/>
            <w:i w:val="0"/>
            <w:iCs w:val="0"/>
          </w:rPr>
          <w:t>6546- دیوان محمد معمایی أو شعره‏</w:t>
        </w:r>
        <w:r>
          <w:tab/>
        </w:r>
        <w:r>
          <w:fldChar w:fldCharType="begin"/>
        </w:r>
        <w:r>
          <w:instrText xml:space="preserve">PAGEREF 7384 \h</w:instrText>
        </w:r>
        <w:r>
          <w:fldChar w:fldCharType="end"/>
        </w:r>
      </w:hyperlink>
    </w:p>
    <w:p>
      <w:pPr>
        <w:tabs>
          <w:tab w:val="right" w:leader="dot" w:pos="9062"/>
        </w:tabs>
        <w:ind w:left="440"/>
      </w:pPr>
      <w:hyperlink w:anchor="_Toc7385" w:history="1">
        <w:r>
          <w:rPr>
            <w:rFonts w:ascii="IRNazanin" w:hAnsi="IRNazanin" w:eastAsia="IRNazanin" w:cs="IRNazanin"/>
            <w:color w:val="111111"/>
            <w:sz w:val="22"/>
            <w:szCs w:val="22"/>
            <w:b w:val="0"/>
            <w:bCs w:val="0"/>
            <w:i w:val="0"/>
            <w:iCs w:val="0"/>
          </w:rPr>
          <w:t>6547- دیوان محمد معمایی أو شعره‏</w:t>
        </w:r>
        <w:r>
          <w:tab/>
        </w:r>
        <w:r>
          <w:fldChar w:fldCharType="begin"/>
        </w:r>
        <w:r>
          <w:instrText xml:space="preserve">PAGEREF 7385 \h</w:instrText>
        </w:r>
        <w:r>
          <w:fldChar w:fldCharType="end"/>
        </w:r>
      </w:hyperlink>
    </w:p>
    <w:p>
      <w:pPr>
        <w:tabs>
          <w:tab w:val="right" w:leader="dot" w:pos="9062"/>
        </w:tabs>
        <w:ind w:left="440"/>
      </w:pPr>
      <w:hyperlink w:anchor="_Toc7386" w:history="1">
        <w:r>
          <w:rPr>
            <w:rFonts w:ascii="IRNazanin" w:hAnsi="IRNazanin" w:eastAsia="IRNazanin" w:cs="IRNazanin"/>
            <w:color w:val="111111"/>
            <w:sz w:val="22"/>
            <w:szCs w:val="22"/>
            <w:b w:val="0"/>
            <w:bCs w:val="0"/>
            <w:i w:val="0"/>
            <w:iCs w:val="0"/>
          </w:rPr>
          <w:t>6548- دیوان محمد نائنی أو شعره‏</w:t>
        </w:r>
        <w:r>
          <w:tab/>
        </w:r>
        <w:r>
          <w:fldChar w:fldCharType="begin"/>
        </w:r>
        <w:r>
          <w:instrText xml:space="preserve">PAGEREF 7386 \h</w:instrText>
        </w:r>
        <w:r>
          <w:fldChar w:fldCharType="end"/>
        </w:r>
      </w:hyperlink>
    </w:p>
    <w:p>
      <w:pPr>
        <w:tabs>
          <w:tab w:val="right" w:leader="dot" w:pos="9062"/>
        </w:tabs>
        <w:ind w:left="440"/>
      </w:pPr>
      <w:hyperlink w:anchor="_Toc7387" w:history="1">
        <w:r>
          <w:rPr>
            <w:rFonts w:ascii="IRNazanin" w:hAnsi="IRNazanin" w:eastAsia="IRNazanin" w:cs="IRNazanin"/>
            <w:color w:val="111111"/>
            <w:sz w:val="22"/>
            <w:szCs w:val="22"/>
            <w:b w:val="0"/>
            <w:bCs w:val="0"/>
            <w:i w:val="0"/>
            <w:iCs w:val="0"/>
          </w:rPr>
          <w:t>6549- دیوان محمد نجفی أو شعره‏</w:t>
        </w:r>
        <w:r>
          <w:tab/>
        </w:r>
        <w:r>
          <w:fldChar w:fldCharType="begin"/>
        </w:r>
        <w:r>
          <w:instrText xml:space="preserve">PAGEREF 7387 \h</w:instrText>
        </w:r>
        <w:r>
          <w:fldChar w:fldCharType="end"/>
        </w:r>
      </w:hyperlink>
    </w:p>
    <w:p>
      <w:pPr>
        <w:tabs>
          <w:tab w:val="right" w:leader="dot" w:pos="9062"/>
        </w:tabs>
        <w:ind w:left="440"/>
      </w:pPr>
      <w:hyperlink w:anchor="_Toc7388" w:history="1">
        <w:r>
          <w:rPr>
            <w:rFonts w:ascii="IRNazanin" w:hAnsi="IRNazanin" w:eastAsia="IRNazanin" w:cs="IRNazanin"/>
            <w:color w:val="111111"/>
            <w:sz w:val="22"/>
            <w:szCs w:val="22"/>
            <w:b w:val="0"/>
            <w:bCs w:val="0"/>
            <w:i w:val="0"/>
            <w:iCs w:val="0"/>
          </w:rPr>
          <w:t>6550- دیوان محمد نصرآبادی أو شعره‏</w:t>
        </w:r>
        <w:r>
          <w:tab/>
        </w:r>
        <w:r>
          <w:fldChar w:fldCharType="begin"/>
        </w:r>
        <w:r>
          <w:instrText xml:space="preserve">PAGEREF 7388 \h</w:instrText>
        </w:r>
        <w:r>
          <w:fldChar w:fldCharType="end"/>
        </w:r>
      </w:hyperlink>
    </w:p>
    <w:p>
      <w:pPr>
        <w:tabs>
          <w:tab w:val="right" w:leader="dot" w:pos="9062"/>
        </w:tabs>
        <w:ind w:left="440"/>
      </w:pPr>
      <w:hyperlink w:anchor="_Toc7389" w:history="1">
        <w:r>
          <w:rPr>
            <w:rFonts w:ascii="IRNazanin" w:hAnsi="IRNazanin" w:eastAsia="IRNazanin" w:cs="IRNazanin"/>
            <w:color w:val="111111"/>
            <w:sz w:val="22"/>
            <w:szCs w:val="22"/>
            <w:b w:val="0"/>
            <w:bCs w:val="0"/>
            <w:i w:val="0"/>
            <w:iCs w:val="0"/>
          </w:rPr>
          <w:t>دیوان محمد نصیر أصفهانی‏</w:t>
        </w:r>
        <w:r>
          <w:tab/>
        </w:r>
        <w:r>
          <w:fldChar w:fldCharType="begin"/>
        </w:r>
        <w:r>
          <w:instrText xml:space="preserve">PAGEREF 7389 \h</w:instrText>
        </w:r>
        <w:r>
          <w:fldChar w:fldCharType="end"/>
        </w:r>
      </w:hyperlink>
    </w:p>
    <w:p>
      <w:pPr>
        <w:tabs>
          <w:tab w:val="right" w:leader="dot" w:pos="9062"/>
        </w:tabs>
        <w:ind w:left="440"/>
      </w:pPr>
      <w:hyperlink w:anchor="_Toc7390" w:history="1">
        <w:r>
          <w:rPr>
            <w:rFonts w:ascii="IRNazanin" w:hAnsi="IRNazanin" w:eastAsia="IRNazanin" w:cs="IRNazanin"/>
            <w:color w:val="111111"/>
            <w:sz w:val="22"/>
            <w:szCs w:val="22"/>
            <w:b w:val="0"/>
            <w:bCs w:val="0"/>
            <w:i w:val="0"/>
            <w:iCs w:val="0"/>
          </w:rPr>
          <w:t>6551- دیوان مولانا محمد نعمت‏آبادی‏</w:t>
        </w:r>
        <w:r>
          <w:tab/>
        </w:r>
        <w:r>
          <w:fldChar w:fldCharType="begin"/>
        </w:r>
        <w:r>
          <w:instrText xml:space="preserve">PAGEREF 7390 \h</w:instrText>
        </w:r>
        <w:r>
          <w:fldChar w:fldCharType="end"/>
        </w:r>
      </w:hyperlink>
    </w:p>
    <w:p>
      <w:pPr>
        <w:tabs>
          <w:tab w:val="right" w:leader="dot" w:pos="9062"/>
        </w:tabs>
        <w:ind w:left="440"/>
      </w:pPr>
      <w:hyperlink w:anchor="_Toc7391" w:history="1">
        <w:r>
          <w:rPr>
            <w:rFonts w:ascii="IRNazanin" w:hAnsi="IRNazanin" w:eastAsia="IRNazanin" w:cs="IRNazanin"/>
            <w:color w:val="111111"/>
            <w:sz w:val="22"/>
            <w:szCs w:val="22"/>
            <w:b w:val="0"/>
            <w:bCs w:val="0"/>
            <w:i w:val="0"/>
            <w:iCs w:val="0"/>
          </w:rPr>
          <w:t>6552- دیوان محمد نقاش هروی أو شعره‏</w:t>
        </w:r>
        <w:r>
          <w:tab/>
        </w:r>
        <w:r>
          <w:fldChar w:fldCharType="begin"/>
        </w:r>
        <w:r>
          <w:instrText xml:space="preserve">PAGEREF 7391 \h</w:instrText>
        </w:r>
        <w:r>
          <w:fldChar w:fldCharType="end"/>
        </w:r>
      </w:hyperlink>
    </w:p>
    <w:p>
      <w:pPr>
        <w:tabs>
          <w:tab w:val="right" w:leader="dot" w:pos="9062"/>
        </w:tabs>
        <w:ind w:left="440"/>
      </w:pPr>
      <w:hyperlink w:anchor="_Toc7392" w:history="1">
        <w:r>
          <w:rPr>
            <w:rFonts w:ascii="IRNazanin" w:hAnsi="IRNazanin" w:eastAsia="IRNazanin" w:cs="IRNazanin"/>
            <w:color w:val="111111"/>
            <w:sz w:val="22"/>
            <w:szCs w:val="22"/>
            <w:b w:val="0"/>
            <w:bCs w:val="0"/>
            <w:i w:val="0"/>
            <w:iCs w:val="0"/>
          </w:rPr>
          <w:t>محمد نقیب سبزواری‏</w:t>
        </w:r>
        <w:r>
          <w:tab/>
        </w:r>
        <w:r>
          <w:fldChar w:fldCharType="begin"/>
        </w:r>
        <w:r>
          <w:instrText xml:space="preserve">PAGEREF 7392 \h</w:instrText>
        </w:r>
        <w:r>
          <w:fldChar w:fldCharType="end"/>
        </w:r>
      </w:hyperlink>
    </w:p>
    <w:p>
      <w:pPr>
        <w:tabs>
          <w:tab w:val="right" w:leader="dot" w:pos="9062"/>
        </w:tabs>
        <w:ind w:left="440"/>
      </w:pPr>
      <w:hyperlink w:anchor="_Toc7393" w:history="1">
        <w:r>
          <w:rPr>
            <w:rFonts w:ascii="IRNazanin" w:hAnsi="IRNazanin" w:eastAsia="IRNazanin" w:cs="IRNazanin"/>
            <w:color w:val="111111"/>
            <w:sz w:val="22"/>
            <w:szCs w:val="22"/>
            <w:b w:val="0"/>
            <w:bCs w:val="0"/>
            <w:i w:val="0"/>
            <w:iCs w:val="0"/>
          </w:rPr>
          <w:t>دیوان سید محمد نوربخش‏</w:t>
        </w:r>
        <w:r>
          <w:tab/>
        </w:r>
        <w:r>
          <w:fldChar w:fldCharType="begin"/>
        </w:r>
        <w:r>
          <w:instrText xml:space="preserve">PAGEREF 7393 \h</w:instrText>
        </w:r>
        <w:r>
          <w:fldChar w:fldCharType="end"/>
        </w:r>
      </w:hyperlink>
    </w:p>
    <w:p>
      <w:pPr>
        <w:tabs>
          <w:tab w:val="right" w:leader="dot" w:pos="9062"/>
        </w:tabs>
        <w:ind w:left="440"/>
      </w:pPr>
      <w:hyperlink w:anchor="_Toc7394" w:history="1">
        <w:r>
          <w:rPr>
            <w:rFonts w:ascii="IRNazanin" w:hAnsi="IRNazanin" w:eastAsia="IRNazanin" w:cs="IRNazanin"/>
            <w:color w:val="111111"/>
            <w:sz w:val="22"/>
            <w:szCs w:val="22"/>
            <w:b w:val="0"/>
            <w:bCs w:val="0"/>
            <w:i w:val="0"/>
            <w:iCs w:val="0"/>
          </w:rPr>
          <w:t>دیوان الشیخ محمد النوربخشی‏</w:t>
        </w:r>
        <w:r>
          <w:tab/>
        </w:r>
        <w:r>
          <w:fldChar w:fldCharType="begin"/>
        </w:r>
        <w:r>
          <w:instrText xml:space="preserve">PAGEREF 7394 \h</w:instrText>
        </w:r>
        <w:r>
          <w:fldChar w:fldCharType="end"/>
        </w:r>
      </w:hyperlink>
    </w:p>
    <w:p>
      <w:pPr>
        <w:tabs>
          <w:tab w:val="right" w:leader="dot" w:pos="9062"/>
        </w:tabs>
        <w:ind w:left="440"/>
      </w:pPr>
      <w:hyperlink w:anchor="_Toc7395" w:history="1">
        <w:r>
          <w:rPr>
            <w:rFonts w:ascii="IRNazanin" w:hAnsi="IRNazanin" w:eastAsia="IRNazanin" w:cs="IRNazanin"/>
            <w:color w:val="111111"/>
            <w:sz w:val="22"/>
            <w:szCs w:val="22"/>
            <w:b w:val="0"/>
            <w:bCs w:val="0"/>
            <w:i w:val="0"/>
            <w:iCs w:val="0"/>
          </w:rPr>
          <w:t>6553- دیوان محمد نهاوندی أو شعره‏</w:t>
        </w:r>
        <w:r>
          <w:tab/>
        </w:r>
        <w:r>
          <w:fldChar w:fldCharType="begin"/>
        </w:r>
        <w:r>
          <w:instrText xml:space="preserve">PAGEREF 7395 \h</w:instrText>
        </w:r>
        <w:r>
          <w:fldChar w:fldCharType="end"/>
        </w:r>
      </w:hyperlink>
    </w:p>
    <w:p>
      <w:pPr>
        <w:tabs>
          <w:tab w:val="right" w:leader="dot" w:pos="9062"/>
        </w:tabs>
        <w:ind w:left="440"/>
      </w:pPr>
      <w:hyperlink w:anchor="_Toc7396" w:history="1">
        <w:r>
          <w:rPr>
            <w:rFonts w:ascii="IRNazanin" w:hAnsi="IRNazanin" w:eastAsia="IRNazanin" w:cs="IRNazanin"/>
            <w:color w:val="111111"/>
            <w:sz w:val="22"/>
            <w:szCs w:val="22"/>
            <w:b w:val="0"/>
            <w:bCs w:val="0"/>
            <w:i w:val="0"/>
            <w:iCs w:val="0"/>
          </w:rPr>
          <w:t>6554- دیوان محمد نهاوندی‏</w:t>
        </w:r>
        <w:r>
          <w:tab/>
        </w:r>
        <w:r>
          <w:fldChar w:fldCharType="begin"/>
        </w:r>
        <w:r>
          <w:instrText xml:space="preserve">PAGEREF 7396 \h</w:instrText>
        </w:r>
        <w:r>
          <w:fldChar w:fldCharType="end"/>
        </w:r>
      </w:hyperlink>
    </w:p>
    <w:p>
      <w:pPr>
        <w:tabs>
          <w:tab w:val="right" w:leader="dot" w:pos="9062"/>
        </w:tabs>
        <w:ind w:left="440"/>
      </w:pPr>
      <w:hyperlink w:anchor="_Toc7397" w:history="1">
        <w:r>
          <w:rPr>
            <w:rFonts w:ascii="IRNazanin" w:hAnsi="IRNazanin" w:eastAsia="IRNazanin" w:cs="IRNazanin"/>
            <w:color w:val="111111"/>
            <w:sz w:val="22"/>
            <w:szCs w:val="22"/>
            <w:b w:val="0"/>
            <w:bCs w:val="0"/>
            <w:i w:val="0"/>
            <w:iCs w:val="0"/>
          </w:rPr>
          <w:t>6555- دیوان قاضی محمد ورامینی‏</w:t>
        </w:r>
        <w:r>
          <w:tab/>
        </w:r>
        <w:r>
          <w:fldChar w:fldCharType="begin"/>
        </w:r>
        <w:r>
          <w:instrText xml:space="preserve">PAGEREF 7397 \h</w:instrText>
        </w:r>
        <w:r>
          <w:fldChar w:fldCharType="end"/>
        </w:r>
      </w:hyperlink>
    </w:p>
    <w:p>
      <w:pPr>
        <w:tabs>
          <w:tab w:val="right" w:leader="dot" w:pos="9062"/>
        </w:tabs>
        <w:ind w:left="440"/>
      </w:pPr>
      <w:hyperlink w:anchor="_Toc7398" w:history="1">
        <w:r>
          <w:rPr>
            <w:rFonts w:ascii="IRNazanin" w:hAnsi="IRNazanin" w:eastAsia="IRNazanin" w:cs="IRNazanin"/>
            <w:color w:val="111111"/>
            <w:sz w:val="22"/>
            <w:szCs w:val="22"/>
            <w:b w:val="0"/>
            <w:bCs w:val="0"/>
            <w:i w:val="0"/>
            <w:iCs w:val="0"/>
          </w:rPr>
          <w:t>6556- دیوان محمد خان‏</w:t>
        </w:r>
        <w:r>
          <w:tab/>
        </w:r>
        <w:r>
          <w:fldChar w:fldCharType="begin"/>
        </w:r>
        <w:r>
          <w:instrText xml:space="preserve">PAGEREF 7398 \h</w:instrText>
        </w:r>
        <w:r>
          <w:fldChar w:fldCharType="end"/>
        </w:r>
      </w:hyperlink>
    </w:p>
    <w:p>
      <w:pPr>
        <w:tabs>
          <w:tab w:val="right" w:leader="dot" w:pos="9062"/>
        </w:tabs>
        <w:ind w:left="440"/>
      </w:pPr>
      <w:hyperlink w:anchor="_Toc7399" w:history="1">
        <w:r>
          <w:rPr>
            <w:rFonts w:ascii="IRNazanin" w:hAnsi="IRNazanin" w:eastAsia="IRNazanin" w:cs="IRNazanin"/>
            <w:color w:val="111111"/>
            <w:sz w:val="22"/>
            <w:szCs w:val="22"/>
            <w:b w:val="0"/>
            <w:bCs w:val="0"/>
            <w:i w:val="0"/>
            <w:iCs w:val="0"/>
          </w:rPr>
          <w:t>6557- دیوان محمد هروی أو شعره‏</w:t>
        </w:r>
        <w:r>
          <w:tab/>
        </w:r>
        <w:r>
          <w:fldChar w:fldCharType="begin"/>
        </w:r>
        <w:r>
          <w:instrText xml:space="preserve">PAGEREF 7399 \h</w:instrText>
        </w:r>
        <w:r>
          <w:fldChar w:fldCharType="end"/>
        </w:r>
      </w:hyperlink>
    </w:p>
    <w:p>
      <w:pPr>
        <w:tabs>
          <w:tab w:val="right" w:leader="dot" w:pos="9062"/>
        </w:tabs>
        <w:ind w:left="440"/>
      </w:pPr>
      <w:hyperlink w:anchor="_Toc7400" w:history="1">
        <w:r>
          <w:rPr>
            <w:rFonts w:ascii="IRNazanin" w:hAnsi="IRNazanin" w:eastAsia="IRNazanin" w:cs="IRNazanin"/>
            <w:color w:val="111111"/>
            <w:sz w:val="22"/>
            <w:szCs w:val="22"/>
            <w:b w:val="0"/>
            <w:bCs w:val="0"/>
            <w:i w:val="0"/>
            <w:iCs w:val="0"/>
          </w:rPr>
          <w:t>6558- دیوان محمد هندی‏</w:t>
        </w:r>
        <w:r>
          <w:tab/>
        </w:r>
        <w:r>
          <w:fldChar w:fldCharType="begin"/>
        </w:r>
        <w:r>
          <w:instrText xml:space="preserve">PAGEREF 7400 \h</w:instrText>
        </w:r>
        <w:r>
          <w:fldChar w:fldCharType="end"/>
        </w:r>
      </w:hyperlink>
    </w:p>
    <w:p>
      <w:pPr>
        <w:tabs>
          <w:tab w:val="right" w:leader="dot" w:pos="9062"/>
        </w:tabs>
        <w:ind w:left="440"/>
      </w:pPr>
      <w:hyperlink w:anchor="_Toc7401" w:history="1">
        <w:r>
          <w:rPr>
            <w:rFonts w:ascii="IRNazanin" w:hAnsi="IRNazanin" w:eastAsia="IRNazanin" w:cs="IRNazanin"/>
            <w:color w:val="111111"/>
            <w:sz w:val="22"/>
            <w:szCs w:val="22"/>
            <w:b w:val="0"/>
            <w:bCs w:val="0"/>
            <w:i w:val="0"/>
            <w:iCs w:val="0"/>
          </w:rPr>
          <w:t>6559- دیوان محمدی خان أو شعره‏</w:t>
        </w:r>
        <w:r>
          <w:tab/>
        </w:r>
        <w:r>
          <w:fldChar w:fldCharType="begin"/>
        </w:r>
        <w:r>
          <w:instrText xml:space="preserve">PAGEREF 7401 \h</w:instrText>
        </w:r>
        <w:r>
          <w:fldChar w:fldCharType="end"/>
        </w:r>
      </w:hyperlink>
    </w:p>
    <w:p>
      <w:pPr>
        <w:tabs>
          <w:tab w:val="right" w:leader="dot" w:pos="9062"/>
        </w:tabs>
        <w:ind w:left="440"/>
      </w:pPr>
      <w:hyperlink w:anchor="_Toc7402" w:history="1">
        <w:r>
          <w:rPr>
            <w:rFonts w:ascii="IRNazanin" w:hAnsi="IRNazanin" w:eastAsia="IRNazanin" w:cs="IRNazanin"/>
            <w:color w:val="111111"/>
            <w:sz w:val="22"/>
            <w:szCs w:val="22"/>
            <w:b w:val="0"/>
            <w:bCs w:val="0"/>
            <w:i w:val="0"/>
            <w:iCs w:val="0"/>
          </w:rPr>
          <w:t>6560- دیوان محمد یزدی أو شعره‏</w:t>
        </w:r>
        <w:r>
          <w:tab/>
        </w:r>
        <w:r>
          <w:fldChar w:fldCharType="begin"/>
        </w:r>
        <w:r>
          <w:instrText xml:space="preserve">PAGEREF 7402 \h</w:instrText>
        </w:r>
        <w:r>
          <w:fldChar w:fldCharType="end"/>
        </w:r>
      </w:hyperlink>
    </w:p>
    <w:p>
      <w:pPr>
        <w:tabs>
          <w:tab w:val="right" w:leader="dot" w:pos="9062"/>
        </w:tabs>
        <w:ind w:left="440"/>
      </w:pPr>
      <w:hyperlink w:anchor="_Toc7403" w:history="1">
        <w:r>
          <w:rPr>
            <w:rFonts w:ascii="IRNazanin" w:hAnsi="IRNazanin" w:eastAsia="IRNazanin" w:cs="IRNazanin"/>
            <w:color w:val="111111"/>
            <w:sz w:val="22"/>
            <w:szCs w:val="22"/>
            <w:b w:val="0"/>
            <w:bCs w:val="0"/>
            <w:i w:val="0"/>
            <w:iCs w:val="0"/>
          </w:rPr>
          <w:t>6561- دیوان محمد یوسف هروی أو شعره‏</w:t>
        </w:r>
        <w:r>
          <w:tab/>
        </w:r>
        <w:r>
          <w:fldChar w:fldCharType="begin"/>
        </w:r>
        <w:r>
          <w:instrText xml:space="preserve">PAGEREF 7403 \h</w:instrText>
        </w:r>
        <w:r>
          <w:fldChar w:fldCharType="end"/>
        </w:r>
      </w:hyperlink>
    </w:p>
    <w:p>
      <w:pPr>
        <w:tabs>
          <w:tab w:val="right" w:leader="dot" w:pos="9062"/>
        </w:tabs>
        <w:ind w:left="440"/>
      </w:pPr>
      <w:hyperlink w:anchor="_Toc7404" w:history="1">
        <w:r>
          <w:rPr>
            <w:rFonts w:ascii="IRNazanin" w:hAnsi="IRNazanin" w:eastAsia="IRNazanin" w:cs="IRNazanin"/>
            <w:color w:val="111111"/>
            <w:sz w:val="22"/>
            <w:szCs w:val="22"/>
            <w:b w:val="0"/>
            <w:bCs w:val="0"/>
            <w:i w:val="0"/>
            <w:iCs w:val="0"/>
          </w:rPr>
          <w:t>6562- دیوان محمد یوسف هندی‏</w:t>
        </w:r>
        <w:r>
          <w:tab/>
        </w:r>
        <w:r>
          <w:fldChar w:fldCharType="begin"/>
        </w:r>
        <w:r>
          <w:instrText xml:space="preserve">PAGEREF 7404 \h</w:instrText>
        </w:r>
        <w:r>
          <w:fldChar w:fldCharType="end"/>
        </w:r>
      </w:hyperlink>
    </w:p>
    <w:p>
      <w:pPr>
        <w:tabs>
          <w:tab w:val="right" w:leader="dot" w:pos="9062"/>
        </w:tabs>
        <w:ind w:left="440"/>
      </w:pPr>
      <w:hyperlink w:anchor="_Toc7405" w:history="1">
        <w:r>
          <w:rPr>
            <w:rFonts w:ascii="IRNazanin" w:hAnsi="IRNazanin" w:eastAsia="IRNazanin" w:cs="IRNazanin"/>
            <w:color w:val="111111"/>
            <w:sz w:val="22"/>
            <w:szCs w:val="22"/>
            <w:b w:val="0"/>
            <w:bCs w:val="0"/>
            <w:i w:val="0"/>
            <w:iCs w:val="0"/>
          </w:rPr>
          <w:t>6563- دیوان محمود آملی أو شعره‏</w:t>
        </w:r>
        <w:r>
          <w:tab/>
        </w:r>
        <w:r>
          <w:fldChar w:fldCharType="begin"/>
        </w:r>
        <w:r>
          <w:instrText xml:space="preserve">PAGEREF 7405 \h</w:instrText>
        </w:r>
        <w:r>
          <w:fldChar w:fldCharType="end"/>
        </w:r>
      </w:hyperlink>
    </w:p>
    <w:p>
      <w:pPr>
        <w:tabs>
          <w:tab w:val="right" w:leader="dot" w:pos="9062"/>
        </w:tabs>
        <w:ind w:left="440"/>
      </w:pPr>
      <w:hyperlink w:anchor="_Toc7406" w:history="1">
        <w:r>
          <w:rPr>
            <w:rFonts w:ascii="IRNazanin" w:hAnsi="IRNazanin" w:eastAsia="IRNazanin" w:cs="IRNazanin"/>
            <w:color w:val="111111"/>
            <w:sz w:val="22"/>
            <w:szCs w:val="22"/>
            <w:b w:val="0"/>
            <w:bCs w:val="0"/>
            <w:i w:val="0"/>
            <w:iCs w:val="0"/>
          </w:rPr>
          <w:t>دیوان محمود أصفهانی‏</w:t>
        </w:r>
        <w:r>
          <w:tab/>
        </w:r>
        <w:r>
          <w:fldChar w:fldCharType="begin"/>
        </w:r>
        <w:r>
          <w:instrText xml:space="preserve">PAGEREF 7406 \h</w:instrText>
        </w:r>
        <w:r>
          <w:fldChar w:fldCharType="end"/>
        </w:r>
      </w:hyperlink>
    </w:p>
    <w:p>
      <w:pPr>
        <w:tabs>
          <w:tab w:val="right" w:leader="dot" w:pos="9062"/>
        </w:tabs>
        <w:ind w:left="440"/>
      </w:pPr>
      <w:hyperlink w:anchor="_Toc7407" w:history="1">
        <w:r>
          <w:rPr>
            <w:rFonts w:ascii="IRNazanin" w:hAnsi="IRNazanin" w:eastAsia="IRNazanin" w:cs="IRNazanin"/>
            <w:color w:val="111111"/>
            <w:sz w:val="22"/>
            <w:szCs w:val="22"/>
            <w:b w:val="0"/>
            <w:bCs w:val="0"/>
            <w:i w:val="0"/>
            <w:iCs w:val="0"/>
          </w:rPr>
          <w:t>6564- دیوان محمود أصفهانی أو شعره‏</w:t>
        </w:r>
        <w:r>
          <w:tab/>
        </w:r>
        <w:r>
          <w:fldChar w:fldCharType="begin"/>
        </w:r>
        <w:r>
          <w:instrText xml:space="preserve">PAGEREF 7407 \h</w:instrText>
        </w:r>
        <w:r>
          <w:fldChar w:fldCharType="end"/>
        </w:r>
      </w:hyperlink>
    </w:p>
    <w:p>
      <w:pPr>
        <w:tabs>
          <w:tab w:val="right" w:leader="dot" w:pos="9062"/>
        </w:tabs>
        <w:ind w:left="440"/>
      </w:pPr>
      <w:hyperlink w:anchor="_Toc7408" w:history="1">
        <w:r>
          <w:rPr>
            <w:rFonts w:ascii="IRNazanin" w:hAnsi="IRNazanin" w:eastAsia="IRNazanin" w:cs="IRNazanin"/>
            <w:color w:val="111111"/>
            <w:sz w:val="22"/>
            <w:szCs w:val="22"/>
            <w:b w:val="0"/>
            <w:bCs w:val="0"/>
            <w:i w:val="0"/>
            <w:iCs w:val="0"/>
          </w:rPr>
          <w:t>6565- دیوان محمود أصفهانی‏</w:t>
        </w:r>
        <w:r>
          <w:tab/>
        </w:r>
        <w:r>
          <w:fldChar w:fldCharType="begin"/>
        </w:r>
        <w:r>
          <w:instrText xml:space="preserve">PAGEREF 7408 \h</w:instrText>
        </w:r>
        <w:r>
          <w:fldChar w:fldCharType="end"/>
        </w:r>
      </w:hyperlink>
    </w:p>
    <w:p>
      <w:pPr>
        <w:tabs>
          <w:tab w:val="right" w:leader="dot" w:pos="9062"/>
        </w:tabs>
        <w:ind w:left="440"/>
      </w:pPr>
      <w:hyperlink w:anchor="_Toc7409" w:history="1">
        <w:r>
          <w:rPr>
            <w:rFonts w:ascii="IRNazanin" w:hAnsi="IRNazanin" w:eastAsia="IRNazanin" w:cs="IRNazanin"/>
            <w:color w:val="111111"/>
            <w:sz w:val="22"/>
            <w:szCs w:val="22"/>
            <w:b w:val="0"/>
            <w:bCs w:val="0"/>
            <w:i w:val="0"/>
            <w:iCs w:val="0"/>
          </w:rPr>
          <w:t>6566- دیوان محمود بتکچی أو شعره‏</w:t>
        </w:r>
        <w:r>
          <w:tab/>
        </w:r>
        <w:r>
          <w:fldChar w:fldCharType="begin"/>
        </w:r>
        <w:r>
          <w:instrText xml:space="preserve">PAGEREF 7409 \h</w:instrText>
        </w:r>
        <w:r>
          <w:fldChar w:fldCharType="end"/>
        </w:r>
      </w:hyperlink>
    </w:p>
    <w:p>
      <w:pPr>
        <w:tabs>
          <w:tab w:val="right" w:leader="dot" w:pos="9062"/>
        </w:tabs>
        <w:ind w:left="440"/>
      </w:pPr>
      <w:hyperlink w:anchor="_Toc7410" w:history="1">
        <w:r>
          <w:rPr>
            <w:rFonts w:ascii="IRNazanin" w:hAnsi="IRNazanin" w:eastAsia="IRNazanin" w:cs="IRNazanin"/>
            <w:color w:val="111111"/>
            <w:sz w:val="22"/>
            <w:szCs w:val="22"/>
            <w:b w:val="0"/>
            <w:bCs w:val="0"/>
            <w:i w:val="0"/>
            <w:iCs w:val="0"/>
          </w:rPr>
          <w:t>6567- دیوان محمود برسه‏</w:t>
        </w:r>
        <w:r>
          <w:tab/>
        </w:r>
        <w:r>
          <w:fldChar w:fldCharType="begin"/>
        </w:r>
        <w:r>
          <w:instrText xml:space="preserve">PAGEREF 7410 \h</w:instrText>
        </w:r>
        <w:r>
          <w:fldChar w:fldCharType="end"/>
        </w:r>
      </w:hyperlink>
    </w:p>
    <w:p>
      <w:pPr>
        <w:tabs>
          <w:tab w:val="right" w:leader="dot" w:pos="9062"/>
        </w:tabs>
        <w:ind w:left="440"/>
      </w:pPr>
      <w:hyperlink w:anchor="_Toc7411" w:history="1">
        <w:r>
          <w:rPr>
            <w:rFonts w:ascii="IRNazanin" w:hAnsi="IRNazanin" w:eastAsia="IRNazanin" w:cs="IRNazanin"/>
            <w:color w:val="111111"/>
            <w:sz w:val="22"/>
            <w:szCs w:val="22"/>
            <w:b w:val="0"/>
            <w:bCs w:val="0"/>
            <w:i w:val="0"/>
            <w:iCs w:val="0"/>
          </w:rPr>
          <w:t>دیوان محمود بغدادی‏</w:t>
        </w:r>
        <w:r>
          <w:tab/>
        </w:r>
        <w:r>
          <w:fldChar w:fldCharType="begin"/>
        </w:r>
        <w:r>
          <w:instrText xml:space="preserve">PAGEREF 7411 \h</w:instrText>
        </w:r>
        <w:r>
          <w:fldChar w:fldCharType="end"/>
        </w:r>
      </w:hyperlink>
    </w:p>
    <w:p>
      <w:pPr>
        <w:tabs>
          <w:tab w:val="right" w:leader="dot" w:pos="9062"/>
        </w:tabs>
        <w:ind w:left="440"/>
      </w:pPr>
      <w:hyperlink w:anchor="_Toc7412" w:history="1">
        <w:r>
          <w:rPr>
            <w:rFonts w:ascii="IRNazanin" w:hAnsi="IRNazanin" w:eastAsia="IRNazanin" w:cs="IRNazanin"/>
            <w:color w:val="111111"/>
            <w:sz w:val="22"/>
            <w:szCs w:val="22"/>
            <w:b w:val="0"/>
            <w:bCs w:val="0"/>
            <w:i w:val="0"/>
            <w:iCs w:val="0"/>
          </w:rPr>
          <w:t>دیوان محمود بهبهانی‏</w:t>
        </w:r>
        <w:r>
          <w:tab/>
        </w:r>
        <w:r>
          <w:fldChar w:fldCharType="begin"/>
        </w:r>
        <w:r>
          <w:instrText xml:space="preserve">PAGEREF 7412 \h</w:instrText>
        </w:r>
        <w:r>
          <w:fldChar w:fldCharType="end"/>
        </w:r>
      </w:hyperlink>
    </w:p>
    <w:p>
      <w:pPr>
        <w:tabs>
          <w:tab w:val="right" w:leader="dot" w:pos="9062"/>
        </w:tabs>
        <w:ind w:left="440"/>
      </w:pPr>
      <w:hyperlink w:anchor="_Toc7413" w:history="1">
        <w:r>
          <w:rPr>
            <w:rFonts w:ascii="IRNazanin" w:hAnsi="IRNazanin" w:eastAsia="IRNazanin" w:cs="IRNazanin"/>
            <w:color w:val="111111"/>
            <w:sz w:val="22"/>
            <w:szCs w:val="22"/>
            <w:b w:val="0"/>
            <w:bCs w:val="0"/>
            <w:i w:val="0"/>
            <w:iCs w:val="0"/>
          </w:rPr>
          <w:t>دیوان محمود پهلوان پوریا</w:t>
        </w:r>
        <w:r>
          <w:tab/>
        </w:r>
        <w:r>
          <w:fldChar w:fldCharType="begin"/>
        </w:r>
        <w:r>
          <w:instrText xml:space="preserve">PAGEREF 7413 \h</w:instrText>
        </w:r>
        <w:r>
          <w:fldChar w:fldCharType="end"/>
        </w:r>
      </w:hyperlink>
    </w:p>
    <w:p>
      <w:pPr>
        <w:tabs>
          <w:tab w:val="right" w:leader="dot" w:pos="9062"/>
        </w:tabs>
        <w:ind w:left="440"/>
      </w:pPr>
      <w:hyperlink w:anchor="_Toc7414" w:history="1">
        <w:r>
          <w:rPr>
            <w:rFonts w:ascii="IRNazanin" w:hAnsi="IRNazanin" w:eastAsia="IRNazanin" w:cs="IRNazanin"/>
            <w:color w:val="111111"/>
            <w:sz w:val="22"/>
            <w:szCs w:val="22"/>
            <w:b w:val="0"/>
            <w:bCs w:val="0"/>
            <w:i w:val="0"/>
            <w:iCs w:val="0"/>
          </w:rPr>
          <w:t>دیوان محمود پیرلاس‏</w:t>
        </w:r>
        <w:r>
          <w:tab/>
        </w:r>
        <w:r>
          <w:fldChar w:fldCharType="begin"/>
        </w:r>
        <w:r>
          <w:instrText xml:space="preserve">PAGEREF 7414 \h</w:instrText>
        </w:r>
        <w:r>
          <w:fldChar w:fldCharType="end"/>
        </w:r>
      </w:hyperlink>
    </w:p>
    <w:p>
      <w:pPr>
        <w:tabs>
          <w:tab w:val="right" w:leader="dot" w:pos="9062"/>
        </w:tabs>
        <w:ind w:left="440"/>
      </w:pPr>
      <w:hyperlink w:anchor="_Toc7415" w:history="1">
        <w:r>
          <w:rPr>
            <w:rFonts w:ascii="IRNazanin" w:hAnsi="IRNazanin" w:eastAsia="IRNazanin" w:cs="IRNazanin"/>
            <w:color w:val="111111"/>
            <w:sz w:val="22"/>
            <w:szCs w:val="22"/>
            <w:b w:val="0"/>
            <w:bCs w:val="0"/>
            <w:i w:val="0"/>
            <w:iCs w:val="0"/>
          </w:rPr>
          <w:t>دیوان محمود تبریزچی‏</w:t>
        </w:r>
        <w:r>
          <w:tab/>
        </w:r>
        <w:r>
          <w:fldChar w:fldCharType="begin"/>
        </w:r>
        <w:r>
          <w:instrText xml:space="preserve">PAGEREF 7415 \h</w:instrText>
        </w:r>
        <w:r>
          <w:fldChar w:fldCharType="end"/>
        </w:r>
      </w:hyperlink>
    </w:p>
    <w:p>
      <w:pPr>
        <w:tabs>
          <w:tab w:val="right" w:leader="dot" w:pos="9062"/>
        </w:tabs>
        <w:ind w:left="440"/>
      </w:pPr>
      <w:hyperlink w:anchor="_Toc7416" w:history="1">
        <w:r>
          <w:rPr>
            <w:rFonts w:ascii="IRNazanin" w:hAnsi="IRNazanin" w:eastAsia="IRNazanin" w:cs="IRNazanin"/>
            <w:color w:val="111111"/>
            <w:sz w:val="22"/>
            <w:szCs w:val="22"/>
            <w:b w:val="0"/>
            <w:bCs w:val="0"/>
            <w:i w:val="0"/>
            <w:iCs w:val="0"/>
          </w:rPr>
          <w:t>6568- دیوان محمود ترکمان‏</w:t>
        </w:r>
        <w:r>
          <w:tab/>
        </w:r>
        <w:r>
          <w:fldChar w:fldCharType="begin"/>
        </w:r>
        <w:r>
          <w:instrText xml:space="preserve">PAGEREF 7416 \h</w:instrText>
        </w:r>
        <w:r>
          <w:fldChar w:fldCharType="end"/>
        </w:r>
      </w:hyperlink>
    </w:p>
    <w:p>
      <w:pPr>
        <w:tabs>
          <w:tab w:val="right" w:leader="dot" w:pos="9062"/>
        </w:tabs>
        <w:ind w:left="440"/>
      </w:pPr>
      <w:hyperlink w:anchor="_Toc7417" w:history="1">
        <w:r>
          <w:rPr>
            <w:rFonts w:ascii="IRNazanin" w:hAnsi="IRNazanin" w:eastAsia="IRNazanin" w:cs="IRNazanin"/>
            <w:color w:val="111111"/>
            <w:sz w:val="22"/>
            <w:szCs w:val="22"/>
            <w:b w:val="0"/>
            <w:bCs w:val="0"/>
            <w:i w:val="0"/>
            <w:iCs w:val="0"/>
          </w:rPr>
          <w:t>6569- دیوان محمود جان أو شعره‏</w:t>
        </w:r>
        <w:r>
          <w:tab/>
        </w:r>
        <w:r>
          <w:fldChar w:fldCharType="begin"/>
        </w:r>
        <w:r>
          <w:instrText xml:space="preserve">PAGEREF 7417 \h</w:instrText>
        </w:r>
        <w:r>
          <w:fldChar w:fldCharType="end"/>
        </w:r>
      </w:hyperlink>
    </w:p>
    <w:p>
      <w:pPr>
        <w:tabs>
          <w:tab w:val="right" w:leader="dot" w:pos="9062"/>
        </w:tabs>
        <w:ind w:left="440"/>
      </w:pPr>
      <w:hyperlink w:anchor="_Toc7418" w:history="1">
        <w:r>
          <w:rPr>
            <w:rFonts w:ascii="IRNazanin" w:hAnsi="IRNazanin" w:eastAsia="IRNazanin" w:cs="IRNazanin"/>
            <w:color w:val="111111"/>
            <w:sz w:val="22"/>
            <w:szCs w:val="22"/>
            <w:b w:val="0"/>
            <w:bCs w:val="0"/>
            <w:i w:val="0"/>
            <w:iCs w:val="0"/>
          </w:rPr>
          <w:t>6570- دیوان محمود الجزائری أو شعره‏</w:t>
        </w:r>
        <w:r>
          <w:tab/>
        </w:r>
        <w:r>
          <w:fldChar w:fldCharType="begin"/>
        </w:r>
        <w:r>
          <w:instrText xml:space="preserve">PAGEREF 7418 \h</w:instrText>
        </w:r>
        <w:r>
          <w:fldChar w:fldCharType="end"/>
        </w:r>
      </w:hyperlink>
    </w:p>
    <w:p>
      <w:pPr>
        <w:tabs>
          <w:tab w:val="right" w:leader="dot" w:pos="9062"/>
        </w:tabs>
        <w:ind w:left="440"/>
      </w:pPr>
      <w:hyperlink w:anchor="_Toc7419" w:history="1">
        <w:r>
          <w:rPr>
            <w:rFonts w:ascii="IRNazanin" w:hAnsi="IRNazanin" w:eastAsia="IRNazanin" w:cs="IRNazanin"/>
            <w:color w:val="111111"/>
            <w:sz w:val="22"/>
            <w:szCs w:val="22"/>
            <w:b w:val="0"/>
            <w:bCs w:val="0"/>
            <w:i w:val="0"/>
            <w:iCs w:val="0"/>
          </w:rPr>
          <w:t>6571- دیوان محمود الحمصی أو شعره‏</w:t>
        </w:r>
        <w:r>
          <w:tab/>
        </w:r>
        <w:r>
          <w:fldChar w:fldCharType="begin"/>
        </w:r>
        <w:r>
          <w:instrText xml:space="preserve">PAGEREF 7419 \h</w:instrText>
        </w:r>
        <w:r>
          <w:fldChar w:fldCharType="end"/>
        </w:r>
      </w:hyperlink>
    </w:p>
    <w:p>
      <w:pPr>
        <w:tabs>
          <w:tab w:val="right" w:leader="dot" w:pos="9062"/>
        </w:tabs>
        <w:ind w:left="440"/>
      </w:pPr>
      <w:hyperlink w:anchor="_Toc7420" w:history="1">
        <w:r>
          <w:rPr>
            <w:rFonts w:ascii="IRNazanin" w:hAnsi="IRNazanin" w:eastAsia="IRNazanin" w:cs="IRNazanin"/>
            <w:color w:val="111111"/>
            <w:sz w:val="22"/>
            <w:szCs w:val="22"/>
            <w:b w:val="0"/>
            <w:bCs w:val="0"/>
            <w:i w:val="0"/>
            <w:iCs w:val="0"/>
          </w:rPr>
          <w:t>دیوان محمود خوارزمی‏</w:t>
        </w:r>
        <w:r>
          <w:tab/>
        </w:r>
        <w:r>
          <w:fldChar w:fldCharType="begin"/>
        </w:r>
        <w:r>
          <w:instrText xml:space="preserve">PAGEREF 7420 \h</w:instrText>
        </w:r>
        <w:r>
          <w:fldChar w:fldCharType="end"/>
        </w:r>
      </w:hyperlink>
    </w:p>
    <w:p>
      <w:pPr>
        <w:tabs>
          <w:tab w:val="right" w:leader="dot" w:pos="9062"/>
        </w:tabs>
        <w:ind w:left="440"/>
      </w:pPr>
      <w:hyperlink w:anchor="_Toc7421" w:history="1">
        <w:r>
          <w:rPr>
            <w:rFonts w:ascii="IRNazanin" w:hAnsi="IRNazanin" w:eastAsia="IRNazanin" w:cs="IRNazanin"/>
            <w:color w:val="111111"/>
            <w:sz w:val="22"/>
            <w:szCs w:val="22"/>
            <w:b w:val="0"/>
            <w:bCs w:val="0"/>
            <w:i w:val="0"/>
            <w:iCs w:val="0"/>
          </w:rPr>
          <w:t>دیوان محمود دنبلی‏</w:t>
        </w:r>
        <w:r>
          <w:tab/>
        </w:r>
        <w:r>
          <w:fldChar w:fldCharType="begin"/>
        </w:r>
        <w:r>
          <w:instrText xml:space="preserve">PAGEREF 7421 \h</w:instrText>
        </w:r>
        <w:r>
          <w:fldChar w:fldCharType="end"/>
        </w:r>
      </w:hyperlink>
    </w:p>
    <w:p>
      <w:pPr>
        <w:tabs>
          <w:tab w:val="right" w:leader="dot" w:pos="9062"/>
        </w:tabs>
        <w:ind w:left="440"/>
      </w:pPr>
      <w:hyperlink w:anchor="_Toc7422" w:history="1">
        <w:r>
          <w:rPr>
            <w:rFonts w:ascii="IRNazanin" w:hAnsi="IRNazanin" w:eastAsia="IRNazanin" w:cs="IRNazanin"/>
            <w:color w:val="111111"/>
            <w:sz w:val="22"/>
            <w:szCs w:val="22"/>
            <w:b w:val="0"/>
            <w:bCs w:val="0"/>
            <w:i w:val="0"/>
            <w:iCs w:val="0"/>
          </w:rPr>
          <w:t>6572- دیوان محمود دیلمی أو شعره‏</w:t>
        </w:r>
        <w:r>
          <w:tab/>
        </w:r>
        <w:r>
          <w:fldChar w:fldCharType="begin"/>
        </w:r>
        <w:r>
          <w:instrText xml:space="preserve">PAGEREF 7422 \h</w:instrText>
        </w:r>
        <w:r>
          <w:fldChar w:fldCharType="end"/>
        </w:r>
      </w:hyperlink>
    </w:p>
    <w:p>
      <w:pPr>
        <w:tabs>
          <w:tab w:val="right" w:leader="dot" w:pos="9062"/>
        </w:tabs>
        <w:ind w:left="440"/>
      </w:pPr>
      <w:hyperlink w:anchor="_Toc7423" w:history="1">
        <w:r>
          <w:rPr>
            <w:rFonts w:ascii="IRNazanin" w:hAnsi="IRNazanin" w:eastAsia="IRNazanin" w:cs="IRNazanin"/>
            <w:color w:val="111111"/>
            <w:sz w:val="22"/>
            <w:szCs w:val="22"/>
            <w:b w:val="0"/>
            <w:bCs w:val="0"/>
            <w:i w:val="0"/>
            <w:iCs w:val="0"/>
          </w:rPr>
          <w:t>6573- دیوان محمود ستوده أو شعره‏</w:t>
        </w:r>
        <w:r>
          <w:tab/>
        </w:r>
        <w:r>
          <w:fldChar w:fldCharType="begin"/>
        </w:r>
        <w:r>
          <w:instrText xml:space="preserve">PAGEREF 7423 \h</w:instrText>
        </w:r>
        <w:r>
          <w:fldChar w:fldCharType="end"/>
        </w:r>
      </w:hyperlink>
    </w:p>
    <w:p>
      <w:pPr>
        <w:tabs>
          <w:tab w:val="right" w:leader="dot" w:pos="9062"/>
        </w:tabs>
        <w:ind w:left="440"/>
      </w:pPr>
      <w:hyperlink w:anchor="_Toc7424" w:history="1">
        <w:r>
          <w:rPr>
            <w:rFonts w:ascii="IRNazanin" w:hAnsi="IRNazanin" w:eastAsia="IRNazanin" w:cs="IRNazanin"/>
            <w:color w:val="111111"/>
            <w:sz w:val="22"/>
            <w:szCs w:val="22"/>
            <w:b w:val="0"/>
            <w:bCs w:val="0"/>
            <w:i w:val="0"/>
            <w:iCs w:val="0"/>
          </w:rPr>
          <w:t>6574- دیوان محمود زهگیر هروی أو شعره‏</w:t>
        </w:r>
        <w:r>
          <w:tab/>
        </w:r>
        <w:r>
          <w:fldChar w:fldCharType="begin"/>
        </w:r>
        <w:r>
          <w:instrText xml:space="preserve">PAGEREF 7424 \h</w:instrText>
        </w:r>
        <w:r>
          <w:fldChar w:fldCharType="end"/>
        </w:r>
      </w:hyperlink>
    </w:p>
    <w:p>
      <w:pPr>
        <w:tabs>
          <w:tab w:val="right" w:leader="dot" w:pos="9062"/>
        </w:tabs>
        <w:ind w:left="440"/>
      </w:pPr>
      <w:hyperlink w:anchor="_Toc7425" w:history="1">
        <w:r>
          <w:rPr>
            <w:rFonts w:ascii="IRNazanin" w:hAnsi="IRNazanin" w:eastAsia="IRNazanin" w:cs="IRNazanin"/>
            <w:color w:val="111111"/>
            <w:sz w:val="22"/>
            <w:szCs w:val="22"/>
            <w:b w:val="0"/>
            <w:bCs w:val="0"/>
            <w:i w:val="0"/>
            <w:iCs w:val="0"/>
          </w:rPr>
          <w:t>6575- دیوان محمود سبزواری‏</w:t>
        </w:r>
        <w:r>
          <w:tab/>
        </w:r>
        <w:r>
          <w:fldChar w:fldCharType="begin"/>
        </w:r>
        <w:r>
          <w:instrText xml:space="preserve">PAGEREF 7425 \h</w:instrText>
        </w:r>
        <w:r>
          <w:fldChar w:fldCharType="end"/>
        </w:r>
      </w:hyperlink>
    </w:p>
    <w:p>
      <w:pPr>
        <w:tabs>
          <w:tab w:val="right" w:leader="dot" w:pos="9062"/>
        </w:tabs>
        <w:ind w:left="440"/>
      </w:pPr>
      <w:hyperlink w:anchor="_Toc7426" w:history="1">
        <w:r>
          <w:rPr>
            <w:rFonts w:ascii="IRNazanin" w:hAnsi="IRNazanin" w:eastAsia="IRNazanin" w:cs="IRNazanin"/>
            <w:color w:val="111111"/>
            <w:sz w:val="22"/>
            <w:szCs w:val="22"/>
            <w:b w:val="0"/>
            <w:bCs w:val="0"/>
            <w:i w:val="0"/>
            <w:iCs w:val="0"/>
          </w:rPr>
          <w:t>دیوان محمود سنجانی‏</w:t>
        </w:r>
        <w:r>
          <w:tab/>
        </w:r>
        <w:r>
          <w:fldChar w:fldCharType="begin"/>
        </w:r>
        <w:r>
          <w:instrText xml:space="preserve">PAGEREF 7426 \h</w:instrText>
        </w:r>
        <w:r>
          <w:fldChar w:fldCharType="end"/>
        </w:r>
      </w:hyperlink>
    </w:p>
    <w:p>
      <w:pPr>
        <w:tabs>
          <w:tab w:val="right" w:leader="dot" w:pos="9062"/>
        </w:tabs>
        <w:ind w:left="440"/>
      </w:pPr>
      <w:hyperlink w:anchor="_Toc7427" w:history="1">
        <w:r>
          <w:rPr>
            <w:rFonts w:ascii="IRNazanin" w:hAnsi="IRNazanin" w:eastAsia="IRNazanin" w:cs="IRNazanin"/>
            <w:color w:val="111111"/>
            <w:sz w:val="22"/>
            <w:szCs w:val="22"/>
            <w:b w:val="0"/>
            <w:bCs w:val="0"/>
            <w:i w:val="0"/>
            <w:iCs w:val="0"/>
          </w:rPr>
          <w:t>دیوان محمود شبستری‏</w:t>
        </w:r>
        <w:r>
          <w:tab/>
        </w:r>
        <w:r>
          <w:fldChar w:fldCharType="begin"/>
        </w:r>
        <w:r>
          <w:instrText xml:space="preserve">PAGEREF 7427 \h</w:instrText>
        </w:r>
        <w:r>
          <w:fldChar w:fldCharType="end"/>
        </w:r>
      </w:hyperlink>
    </w:p>
    <w:p>
      <w:pPr>
        <w:tabs>
          <w:tab w:val="right" w:leader="dot" w:pos="9062"/>
        </w:tabs>
        <w:ind w:left="440"/>
      </w:pPr>
      <w:hyperlink w:anchor="_Toc7428" w:history="1">
        <w:r>
          <w:rPr>
            <w:rFonts w:ascii="IRNazanin" w:hAnsi="IRNazanin" w:eastAsia="IRNazanin" w:cs="IRNazanin"/>
            <w:color w:val="111111"/>
            <w:sz w:val="22"/>
            <w:szCs w:val="22"/>
            <w:b w:val="0"/>
            <w:bCs w:val="0"/>
            <w:i w:val="0"/>
            <w:iCs w:val="0"/>
          </w:rPr>
          <w:t>6576- دیوان محمود شهر کردی‏</w:t>
        </w:r>
        <w:r>
          <w:tab/>
        </w:r>
        <w:r>
          <w:fldChar w:fldCharType="begin"/>
        </w:r>
        <w:r>
          <w:instrText xml:space="preserve">PAGEREF 7428 \h</w:instrText>
        </w:r>
        <w:r>
          <w:fldChar w:fldCharType="end"/>
        </w:r>
      </w:hyperlink>
    </w:p>
    <w:p>
      <w:pPr>
        <w:tabs>
          <w:tab w:val="right" w:leader="dot" w:pos="9062"/>
        </w:tabs>
        <w:ind w:left="440"/>
      </w:pPr>
      <w:hyperlink w:anchor="_Toc7429" w:history="1">
        <w:r>
          <w:rPr>
            <w:rFonts w:ascii="IRNazanin" w:hAnsi="IRNazanin" w:eastAsia="IRNazanin" w:cs="IRNazanin"/>
            <w:color w:val="111111"/>
            <w:sz w:val="22"/>
            <w:szCs w:val="22"/>
            <w:b w:val="0"/>
            <w:bCs w:val="0"/>
            <w:i w:val="0"/>
            <w:iCs w:val="0"/>
          </w:rPr>
          <w:t>6577- دیوان محمود شیرازی أو شعره‏</w:t>
        </w:r>
        <w:r>
          <w:tab/>
        </w:r>
        <w:r>
          <w:fldChar w:fldCharType="begin"/>
        </w:r>
        <w:r>
          <w:instrText xml:space="preserve">PAGEREF 7429 \h</w:instrText>
        </w:r>
        <w:r>
          <w:fldChar w:fldCharType="end"/>
        </w:r>
      </w:hyperlink>
    </w:p>
    <w:p>
      <w:pPr>
        <w:tabs>
          <w:tab w:val="right" w:leader="dot" w:pos="9062"/>
        </w:tabs>
        <w:ind w:left="440"/>
      </w:pPr>
      <w:hyperlink w:anchor="_Toc7430" w:history="1">
        <w:r>
          <w:rPr>
            <w:rFonts w:ascii="IRNazanin" w:hAnsi="IRNazanin" w:eastAsia="IRNazanin" w:cs="IRNazanin"/>
            <w:color w:val="111111"/>
            <w:sz w:val="22"/>
            <w:szCs w:val="22"/>
            <w:b w:val="0"/>
            <w:bCs w:val="0"/>
            <w:i w:val="0"/>
            <w:iCs w:val="0"/>
          </w:rPr>
          <w:t>6578- دیوان محمود شیرازی أو شعره‏</w:t>
        </w:r>
        <w:r>
          <w:tab/>
        </w:r>
        <w:r>
          <w:fldChar w:fldCharType="begin"/>
        </w:r>
        <w:r>
          <w:instrText xml:space="preserve">PAGEREF 7430 \h</w:instrText>
        </w:r>
        <w:r>
          <w:fldChar w:fldCharType="end"/>
        </w:r>
      </w:hyperlink>
    </w:p>
    <w:p>
      <w:pPr>
        <w:tabs>
          <w:tab w:val="right" w:leader="dot" w:pos="9062"/>
        </w:tabs>
        <w:ind w:left="440"/>
      </w:pPr>
      <w:hyperlink w:anchor="_Toc7431" w:history="1">
        <w:r>
          <w:rPr>
            <w:rFonts w:ascii="IRNazanin" w:hAnsi="IRNazanin" w:eastAsia="IRNazanin" w:cs="IRNazanin"/>
            <w:color w:val="111111"/>
            <w:sz w:val="22"/>
            <w:szCs w:val="22"/>
            <w:b w:val="0"/>
            <w:bCs w:val="0"/>
            <w:i w:val="0"/>
            <w:iCs w:val="0"/>
          </w:rPr>
          <w:t>دیوان محمود شیرازی‏</w:t>
        </w:r>
        <w:r>
          <w:tab/>
        </w:r>
        <w:r>
          <w:fldChar w:fldCharType="begin"/>
        </w:r>
        <w:r>
          <w:instrText xml:space="preserve">PAGEREF 7431 \h</w:instrText>
        </w:r>
        <w:r>
          <w:fldChar w:fldCharType="end"/>
        </w:r>
      </w:hyperlink>
    </w:p>
    <w:p>
      <w:pPr>
        <w:tabs>
          <w:tab w:val="right" w:leader="dot" w:pos="9062"/>
        </w:tabs>
        <w:ind w:left="440"/>
      </w:pPr>
      <w:hyperlink w:anchor="_Toc7432" w:history="1">
        <w:r>
          <w:rPr>
            <w:rFonts w:ascii="IRNazanin" w:hAnsi="IRNazanin" w:eastAsia="IRNazanin" w:cs="IRNazanin"/>
            <w:color w:val="111111"/>
            <w:sz w:val="22"/>
            <w:szCs w:val="22"/>
            <w:b w:val="0"/>
            <w:bCs w:val="0"/>
            <w:i w:val="0"/>
            <w:iCs w:val="0"/>
          </w:rPr>
          <w:t>دیوان محمود شیوا أو شعره‏</w:t>
        </w:r>
        <w:r>
          <w:tab/>
        </w:r>
        <w:r>
          <w:fldChar w:fldCharType="begin"/>
        </w:r>
        <w:r>
          <w:instrText xml:space="preserve">PAGEREF 7432 \h</w:instrText>
        </w:r>
        <w:r>
          <w:fldChar w:fldCharType="end"/>
        </w:r>
      </w:hyperlink>
    </w:p>
    <w:p>
      <w:pPr>
        <w:tabs>
          <w:tab w:val="right" w:leader="dot" w:pos="9062"/>
        </w:tabs>
        <w:ind w:left="440"/>
      </w:pPr>
      <w:hyperlink w:anchor="_Toc7433" w:history="1">
        <w:r>
          <w:rPr>
            <w:rFonts w:ascii="IRNazanin" w:hAnsi="IRNazanin" w:eastAsia="IRNazanin" w:cs="IRNazanin"/>
            <w:color w:val="111111"/>
            <w:sz w:val="22"/>
            <w:szCs w:val="22"/>
            <w:b w:val="0"/>
            <w:bCs w:val="0"/>
            <w:i w:val="0"/>
            <w:iCs w:val="0"/>
          </w:rPr>
          <w:t>6579- دیوان محمود صبوری أو شعره‏</w:t>
        </w:r>
        <w:r>
          <w:tab/>
        </w:r>
        <w:r>
          <w:fldChar w:fldCharType="begin"/>
        </w:r>
        <w:r>
          <w:instrText xml:space="preserve">PAGEREF 7433 \h</w:instrText>
        </w:r>
        <w:r>
          <w:fldChar w:fldCharType="end"/>
        </w:r>
      </w:hyperlink>
    </w:p>
    <w:p>
      <w:pPr>
        <w:tabs>
          <w:tab w:val="right" w:leader="dot" w:pos="9062"/>
        </w:tabs>
        <w:ind w:left="440"/>
      </w:pPr>
      <w:hyperlink w:anchor="_Toc7434" w:history="1">
        <w:r>
          <w:rPr>
            <w:rFonts w:ascii="IRNazanin" w:hAnsi="IRNazanin" w:eastAsia="IRNazanin" w:cs="IRNazanin"/>
            <w:color w:val="111111"/>
            <w:sz w:val="22"/>
            <w:szCs w:val="22"/>
            <w:b w:val="0"/>
            <w:bCs w:val="0"/>
            <w:i w:val="0"/>
            <w:iCs w:val="0"/>
          </w:rPr>
          <w:t>6580- دیوان سلطان محمود غزنوی أو شعره‏</w:t>
        </w:r>
        <w:r>
          <w:tab/>
        </w:r>
        <w:r>
          <w:fldChar w:fldCharType="begin"/>
        </w:r>
        <w:r>
          <w:instrText xml:space="preserve">PAGEREF 7434 \h</w:instrText>
        </w:r>
        <w:r>
          <w:fldChar w:fldCharType="end"/>
        </w:r>
      </w:hyperlink>
    </w:p>
    <w:p>
      <w:pPr>
        <w:tabs>
          <w:tab w:val="right" w:leader="dot" w:pos="9062"/>
        </w:tabs>
        <w:ind w:left="440"/>
      </w:pPr>
      <w:hyperlink w:anchor="_Toc7435" w:history="1">
        <w:r>
          <w:rPr>
            <w:rFonts w:ascii="IRNazanin" w:hAnsi="IRNazanin" w:eastAsia="IRNazanin" w:cs="IRNazanin"/>
            <w:color w:val="111111"/>
            <w:sz w:val="22"/>
            <w:szCs w:val="22"/>
            <w:b w:val="0"/>
            <w:bCs w:val="0"/>
            <w:i w:val="0"/>
            <w:iCs w:val="0"/>
          </w:rPr>
          <w:t>دیوان محمود فریومذی‏</w:t>
        </w:r>
        <w:r>
          <w:tab/>
        </w:r>
        <w:r>
          <w:fldChar w:fldCharType="begin"/>
        </w:r>
        <w:r>
          <w:instrText xml:space="preserve">PAGEREF 7435 \h</w:instrText>
        </w:r>
        <w:r>
          <w:fldChar w:fldCharType="end"/>
        </w:r>
      </w:hyperlink>
    </w:p>
    <w:p>
      <w:pPr>
        <w:tabs>
          <w:tab w:val="right" w:leader="dot" w:pos="9062"/>
        </w:tabs>
        <w:ind w:left="440"/>
      </w:pPr>
      <w:hyperlink w:anchor="_Toc7436" w:history="1">
        <w:r>
          <w:rPr>
            <w:rFonts w:ascii="IRNazanin" w:hAnsi="IRNazanin" w:eastAsia="IRNazanin" w:cs="IRNazanin"/>
            <w:color w:val="111111"/>
            <w:sz w:val="22"/>
            <w:szCs w:val="22"/>
            <w:b w:val="0"/>
            <w:bCs w:val="0"/>
            <w:i w:val="0"/>
            <w:iCs w:val="0"/>
          </w:rPr>
          <w:t>دیوان شاه محمود فیروزآبادی فارسی‏</w:t>
        </w:r>
        <w:r>
          <w:tab/>
        </w:r>
        <w:r>
          <w:fldChar w:fldCharType="begin"/>
        </w:r>
        <w:r>
          <w:instrText xml:space="preserve">PAGEREF 7436 \h</w:instrText>
        </w:r>
        <w:r>
          <w:fldChar w:fldCharType="end"/>
        </w:r>
      </w:hyperlink>
    </w:p>
    <w:p>
      <w:pPr>
        <w:tabs>
          <w:tab w:val="right" w:leader="dot" w:pos="9062"/>
        </w:tabs>
        <w:ind w:left="440"/>
      </w:pPr>
      <w:hyperlink w:anchor="_Toc7437" w:history="1">
        <w:r>
          <w:rPr>
            <w:rFonts w:ascii="IRNazanin" w:hAnsi="IRNazanin" w:eastAsia="IRNazanin" w:cs="IRNazanin"/>
            <w:color w:val="111111"/>
            <w:sz w:val="22"/>
            <w:szCs w:val="22"/>
            <w:b w:val="0"/>
            <w:bCs w:val="0"/>
            <w:i w:val="0"/>
            <w:iCs w:val="0"/>
          </w:rPr>
          <w:t>6581- دیوان محمود قاجار</w:t>
        </w:r>
        <w:r>
          <w:tab/>
        </w:r>
        <w:r>
          <w:fldChar w:fldCharType="begin"/>
        </w:r>
        <w:r>
          <w:instrText xml:space="preserve">PAGEREF 7437 \h</w:instrText>
        </w:r>
        <w:r>
          <w:fldChar w:fldCharType="end"/>
        </w:r>
      </w:hyperlink>
    </w:p>
    <w:p>
      <w:pPr>
        <w:tabs>
          <w:tab w:val="right" w:leader="dot" w:pos="9062"/>
        </w:tabs>
        <w:ind w:left="440"/>
      </w:pPr>
      <w:hyperlink w:anchor="_Toc7438" w:history="1">
        <w:r>
          <w:rPr>
            <w:rFonts w:ascii="IRNazanin" w:hAnsi="IRNazanin" w:eastAsia="IRNazanin" w:cs="IRNazanin"/>
            <w:color w:val="111111"/>
            <w:sz w:val="22"/>
            <w:szCs w:val="22"/>
            <w:b w:val="0"/>
            <w:bCs w:val="0"/>
            <w:i w:val="0"/>
            <w:iCs w:val="0"/>
          </w:rPr>
          <w:t>6582- دیوان محمود کاتب أو شعره‏</w:t>
        </w:r>
        <w:r>
          <w:tab/>
        </w:r>
        <w:r>
          <w:fldChar w:fldCharType="begin"/>
        </w:r>
        <w:r>
          <w:instrText xml:space="preserve">PAGEREF 7438 \h</w:instrText>
        </w:r>
        <w:r>
          <w:fldChar w:fldCharType="end"/>
        </w:r>
      </w:hyperlink>
    </w:p>
    <w:p>
      <w:pPr>
        <w:tabs>
          <w:tab w:val="right" w:leader="dot" w:pos="9062"/>
        </w:tabs>
        <w:ind w:left="440"/>
      </w:pPr>
      <w:hyperlink w:anchor="_Toc7439" w:history="1">
        <w:r>
          <w:rPr>
            <w:rFonts w:ascii="IRNazanin" w:hAnsi="IRNazanin" w:eastAsia="IRNazanin" w:cs="IRNazanin"/>
            <w:color w:val="111111"/>
            <w:sz w:val="22"/>
            <w:szCs w:val="22"/>
            <w:b w:val="0"/>
            <w:bCs w:val="0"/>
            <w:i w:val="0"/>
            <w:iCs w:val="0"/>
          </w:rPr>
          <w:t>6583- دیوان محمود کاشی‏</w:t>
        </w:r>
        <w:r>
          <w:tab/>
        </w:r>
        <w:r>
          <w:fldChar w:fldCharType="begin"/>
        </w:r>
        <w:r>
          <w:instrText xml:space="preserve">PAGEREF 7439 \h</w:instrText>
        </w:r>
        <w:r>
          <w:fldChar w:fldCharType="end"/>
        </w:r>
      </w:hyperlink>
    </w:p>
    <w:p>
      <w:pPr>
        <w:tabs>
          <w:tab w:val="right" w:leader="dot" w:pos="9062"/>
        </w:tabs>
        <w:ind w:left="440"/>
      </w:pPr>
      <w:hyperlink w:anchor="_Toc7440" w:history="1">
        <w:r>
          <w:rPr>
            <w:rFonts w:ascii="IRNazanin" w:hAnsi="IRNazanin" w:eastAsia="IRNazanin" w:cs="IRNazanin"/>
            <w:color w:val="111111"/>
            <w:sz w:val="22"/>
            <w:szCs w:val="22"/>
            <w:b w:val="0"/>
            <w:bCs w:val="0"/>
            <w:i w:val="0"/>
            <w:iCs w:val="0"/>
          </w:rPr>
          <w:t>6584- دیوان محمود کبکانی‏</w:t>
        </w:r>
        <w:r>
          <w:tab/>
        </w:r>
        <w:r>
          <w:fldChar w:fldCharType="begin"/>
        </w:r>
        <w:r>
          <w:instrText xml:space="preserve">PAGEREF 7440 \h</w:instrText>
        </w:r>
        <w:r>
          <w:fldChar w:fldCharType="end"/>
        </w:r>
      </w:hyperlink>
    </w:p>
    <w:p>
      <w:pPr>
        <w:tabs>
          <w:tab w:val="right" w:leader="dot" w:pos="9062"/>
        </w:tabs>
        <w:ind w:left="440"/>
      </w:pPr>
      <w:hyperlink w:anchor="_Toc7441" w:history="1">
        <w:r>
          <w:rPr>
            <w:rFonts w:ascii="IRNazanin" w:hAnsi="IRNazanin" w:eastAsia="IRNazanin" w:cs="IRNazanin"/>
            <w:color w:val="111111"/>
            <w:sz w:val="22"/>
            <w:szCs w:val="22"/>
            <w:b w:val="0"/>
            <w:bCs w:val="0"/>
            <w:i w:val="0"/>
            <w:iCs w:val="0"/>
          </w:rPr>
          <w:t>دیوان الآقا محمود الکرمانشاهی‏</w:t>
        </w:r>
        <w:r>
          <w:tab/>
        </w:r>
        <w:r>
          <w:fldChar w:fldCharType="begin"/>
        </w:r>
        <w:r>
          <w:instrText xml:space="preserve">PAGEREF 7441 \h</w:instrText>
        </w:r>
        <w:r>
          <w:fldChar w:fldCharType="end"/>
        </w:r>
      </w:hyperlink>
    </w:p>
    <w:p>
      <w:pPr>
        <w:tabs>
          <w:tab w:val="right" w:leader="dot" w:pos="9062"/>
        </w:tabs>
        <w:ind w:left="440"/>
      </w:pPr>
      <w:hyperlink w:anchor="_Toc7442" w:history="1">
        <w:r>
          <w:rPr>
            <w:rFonts w:ascii="IRNazanin" w:hAnsi="IRNazanin" w:eastAsia="IRNazanin" w:cs="IRNazanin"/>
            <w:color w:val="111111"/>
            <w:sz w:val="22"/>
            <w:szCs w:val="22"/>
            <w:b w:val="0"/>
            <w:bCs w:val="0"/>
            <w:i w:val="0"/>
            <w:iCs w:val="0"/>
          </w:rPr>
          <w:t>6585- دیوان محمود کلابی أو شعره‏</w:t>
        </w:r>
        <w:r>
          <w:tab/>
        </w:r>
        <w:r>
          <w:fldChar w:fldCharType="begin"/>
        </w:r>
        <w:r>
          <w:instrText xml:space="preserve">PAGEREF 7442 \h</w:instrText>
        </w:r>
        <w:r>
          <w:fldChar w:fldCharType="end"/>
        </w:r>
      </w:hyperlink>
    </w:p>
    <w:p>
      <w:pPr>
        <w:tabs>
          <w:tab w:val="right" w:leader="dot" w:pos="9062"/>
        </w:tabs>
        <w:ind w:left="440"/>
      </w:pPr>
      <w:hyperlink w:anchor="_Toc7443" w:history="1">
        <w:r>
          <w:rPr>
            <w:rFonts w:ascii="IRNazanin" w:hAnsi="IRNazanin" w:eastAsia="IRNazanin" w:cs="IRNazanin"/>
            <w:color w:val="111111"/>
            <w:sz w:val="22"/>
            <w:szCs w:val="22"/>
            <w:b w:val="0"/>
            <w:bCs w:val="0"/>
            <w:i w:val="0"/>
            <w:iCs w:val="0"/>
          </w:rPr>
          <w:t>6586- دیوان محمود گیلانی أو شعره‏</w:t>
        </w:r>
        <w:r>
          <w:tab/>
        </w:r>
        <w:r>
          <w:fldChar w:fldCharType="begin"/>
        </w:r>
        <w:r>
          <w:instrText xml:space="preserve">PAGEREF 7443 \h</w:instrText>
        </w:r>
        <w:r>
          <w:fldChar w:fldCharType="end"/>
        </w:r>
      </w:hyperlink>
    </w:p>
    <w:p>
      <w:pPr>
        <w:tabs>
          <w:tab w:val="right" w:leader="dot" w:pos="9062"/>
        </w:tabs>
        <w:ind w:left="440"/>
      </w:pPr>
      <w:hyperlink w:anchor="_Toc7444" w:history="1">
        <w:r>
          <w:rPr>
            <w:rFonts w:ascii="IRNazanin" w:hAnsi="IRNazanin" w:eastAsia="IRNazanin" w:cs="IRNazanin"/>
            <w:color w:val="111111"/>
            <w:sz w:val="22"/>
            <w:szCs w:val="22"/>
            <w:b w:val="0"/>
            <w:bCs w:val="0"/>
            <w:i w:val="0"/>
            <w:iCs w:val="0"/>
          </w:rPr>
          <w:t>6587- دیوان محمود لاهیجی أو شعره‏</w:t>
        </w:r>
        <w:r>
          <w:tab/>
        </w:r>
        <w:r>
          <w:fldChar w:fldCharType="begin"/>
        </w:r>
        <w:r>
          <w:instrText xml:space="preserve">PAGEREF 7444 \h</w:instrText>
        </w:r>
        <w:r>
          <w:fldChar w:fldCharType="end"/>
        </w:r>
      </w:hyperlink>
    </w:p>
    <w:p>
      <w:pPr>
        <w:tabs>
          <w:tab w:val="right" w:leader="dot" w:pos="9062"/>
        </w:tabs>
        <w:ind w:left="440"/>
      </w:pPr>
      <w:hyperlink w:anchor="_Toc7445" w:history="1">
        <w:r>
          <w:rPr>
            <w:rFonts w:ascii="IRNazanin" w:hAnsi="IRNazanin" w:eastAsia="IRNazanin" w:cs="IRNazanin"/>
            <w:color w:val="111111"/>
            <w:sz w:val="22"/>
            <w:szCs w:val="22"/>
            <w:b w:val="0"/>
            <w:bCs w:val="0"/>
            <w:i w:val="0"/>
            <w:iCs w:val="0"/>
          </w:rPr>
          <w:t>6588- دیوان محمود مشکی‏</w:t>
        </w:r>
        <w:r>
          <w:tab/>
        </w:r>
        <w:r>
          <w:fldChar w:fldCharType="begin"/>
        </w:r>
        <w:r>
          <w:instrText xml:space="preserve">PAGEREF 7445 \h</w:instrText>
        </w:r>
        <w:r>
          <w:fldChar w:fldCharType="end"/>
        </w:r>
      </w:hyperlink>
    </w:p>
    <w:p>
      <w:pPr>
        <w:tabs>
          <w:tab w:val="right" w:leader="dot" w:pos="9062"/>
        </w:tabs>
        <w:ind w:left="440"/>
      </w:pPr>
      <w:hyperlink w:anchor="_Toc7446" w:history="1">
        <w:r>
          <w:rPr>
            <w:rFonts w:ascii="IRNazanin" w:hAnsi="IRNazanin" w:eastAsia="IRNazanin" w:cs="IRNazanin"/>
            <w:color w:val="111111"/>
            <w:sz w:val="22"/>
            <w:szCs w:val="22"/>
            <w:b w:val="0"/>
            <w:bCs w:val="0"/>
            <w:i w:val="0"/>
            <w:iCs w:val="0"/>
          </w:rPr>
          <w:t>6589- دیوان محمود مشهدی‏</w:t>
        </w:r>
        <w:r>
          <w:tab/>
        </w:r>
        <w:r>
          <w:fldChar w:fldCharType="begin"/>
        </w:r>
        <w:r>
          <w:instrText xml:space="preserve">PAGEREF 7446 \h</w:instrText>
        </w:r>
        <w:r>
          <w:fldChar w:fldCharType="end"/>
        </w:r>
      </w:hyperlink>
    </w:p>
    <w:p>
      <w:pPr>
        <w:tabs>
          <w:tab w:val="right" w:leader="dot" w:pos="9062"/>
        </w:tabs>
        <w:ind w:left="440"/>
      </w:pPr>
      <w:hyperlink w:anchor="_Toc7447" w:history="1">
        <w:r>
          <w:rPr>
            <w:rFonts w:ascii="IRNazanin" w:hAnsi="IRNazanin" w:eastAsia="IRNazanin" w:cs="IRNazanin"/>
            <w:color w:val="111111"/>
            <w:sz w:val="22"/>
            <w:szCs w:val="22"/>
            <w:b w:val="0"/>
            <w:bCs w:val="0"/>
            <w:i w:val="0"/>
            <w:iCs w:val="0"/>
          </w:rPr>
          <w:t>دیوان سلطان محمود میرزا</w:t>
        </w:r>
        <w:r>
          <w:tab/>
        </w:r>
        <w:r>
          <w:fldChar w:fldCharType="begin"/>
        </w:r>
        <w:r>
          <w:instrText xml:space="preserve">PAGEREF 7447 \h</w:instrText>
        </w:r>
        <w:r>
          <w:fldChar w:fldCharType="end"/>
        </w:r>
      </w:hyperlink>
    </w:p>
    <w:p>
      <w:pPr>
        <w:tabs>
          <w:tab w:val="right" w:leader="dot" w:pos="9062"/>
        </w:tabs>
        <w:ind w:left="440"/>
      </w:pPr>
      <w:hyperlink w:anchor="_Toc7448" w:history="1">
        <w:r>
          <w:rPr>
            <w:rFonts w:ascii="IRNazanin" w:hAnsi="IRNazanin" w:eastAsia="IRNazanin" w:cs="IRNazanin"/>
            <w:color w:val="111111"/>
            <w:sz w:val="22"/>
            <w:szCs w:val="22"/>
            <w:b w:val="0"/>
            <w:bCs w:val="0"/>
            <w:i w:val="0"/>
            <w:iCs w:val="0"/>
          </w:rPr>
          <w:t>6590- دیوان محمود ملک الشعراء</w:t>
        </w:r>
        <w:r>
          <w:tab/>
        </w:r>
        <w:r>
          <w:fldChar w:fldCharType="begin"/>
        </w:r>
        <w:r>
          <w:instrText xml:space="preserve">PAGEREF 7448 \h</w:instrText>
        </w:r>
        <w:r>
          <w:fldChar w:fldCharType="end"/>
        </w:r>
      </w:hyperlink>
    </w:p>
    <w:p>
      <w:pPr>
        <w:tabs>
          <w:tab w:val="right" w:leader="dot" w:pos="9062"/>
        </w:tabs>
        <w:ind w:left="440"/>
      </w:pPr>
      <w:hyperlink w:anchor="_Toc7449" w:history="1">
        <w:r>
          <w:rPr>
            <w:rFonts w:ascii="IRNazanin" w:hAnsi="IRNazanin" w:eastAsia="IRNazanin" w:cs="IRNazanin"/>
            <w:color w:val="111111"/>
            <w:sz w:val="22"/>
            <w:szCs w:val="22"/>
            <w:b w:val="0"/>
            <w:bCs w:val="0"/>
            <w:i w:val="0"/>
            <w:iCs w:val="0"/>
          </w:rPr>
          <w:t>6591- دیوان محمود نجم‏آبادی‏</w:t>
        </w:r>
        <w:r>
          <w:tab/>
        </w:r>
        <w:r>
          <w:fldChar w:fldCharType="begin"/>
        </w:r>
        <w:r>
          <w:instrText xml:space="preserve">PAGEREF 7449 \h</w:instrText>
        </w:r>
        <w:r>
          <w:fldChar w:fldCharType="end"/>
        </w:r>
      </w:hyperlink>
    </w:p>
    <w:p>
      <w:pPr>
        <w:tabs>
          <w:tab w:val="right" w:leader="dot" w:pos="9062"/>
        </w:tabs>
        <w:ind w:left="440"/>
      </w:pPr>
      <w:hyperlink w:anchor="_Toc7450" w:history="1">
        <w:r>
          <w:rPr>
            <w:rFonts w:ascii="IRNazanin" w:hAnsi="IRNazanin" w:eastAsia="IRNazanin" w:cs="IRNazanin"/>
            <w:color w:val="111111"/>
            <w:sz w:val="22"/>
            <w:szCs w:val="22"/>
            <w:b w:val="0"/>
            <w:bCs w:val="0"/>
            <w:i w:val="0"/>
            <w:iCs w:val="0"/>
          </w:rPr>
          <w:t>6592- دیوان محمود وراق هروی أو شعره‏</w:t>
        </w:r>
        <w:r>
          <w:tab/>
        </w:r>
        <w:r>
          <w:fldChar w:fldCharType="begin"/>
        </w:r>
        <w:r>
          <w:instrText xml:space="preserve">PAGEREF 7450 \h</w:instrText>
        </w:r>
        <w:r>
          <w:fldChar w:fldCharType="end"/>
        </w:r>
      </w:hyperlink>
    </w:p>
    <w:p>
      <w:pPr>
        <w:tabs>
          <w:tab w:val="right" w:leader="dot" w:pos="9062"/>
        </w:tabs>
        <w:ind w:left="440"/>
      </w:pPr>
      <w:hyperlink w:anchor="_Toc7451" w:history="1">
        <w:r>
          <w:rPr>
            <w:rFonts w:ascii="IRNazanin" w:hAnsi="IRNazanin" w:eastAsia="IRNazanin" w:cs="IRNazanin"/>
            <w:color w:val="111111"/>
            <w:sz w:val="22"/>
            <w:szCs w:val="22"/>
            <w:b w:val="0"/>
            <w:bCs w:val="0"/>
            <w:i w:val="0"/>
            <w:iCs w:val="0"/>
          </w:rPr>
          <w:t>6593- دیوان محنتی أردبیلی أو شعره‏</w:t>
        </w:r>
        <w:r>
          <w:tab/>
        </w:r>
        <w:r>
          <w:fldChar w:fldCharType="begin"/>
        </w:r>
        <w:r>
          <w:instrText xml:space="preserve">PAGEREF 7451 \h</w:instrText>
        </w:r>
        <w:r>
          <w:fldChar w:fldCharType="end"/>
        </w:r>
      </w:hyperlink>
    </w:p>
    <w:p>
      <w:pPr>
        <w:tabs>
          <w:tab w:val="right" w:leader="dot" w:pos="9062"/>
        </w:tabs>
        <w:ind w:left="440"/>
      </w:pPr>
      <w:hyperlink w:anchor="_Toc7452" w:history="1">
        <w:r>
          <w:rPr>
            <w:rFonts w:ascii="IRNazanin" w:hAnsi="IRNazanin" w:eastAsia="IRNazanin" w:cs="IRNazanin"/>
            <w:color w:val="111111"/>
            <w:sz w:val="22"/>
            <w:szCs w:val="22"/>
            <w:b w:val="0"/>
            <w:bCs w:val="0"/>
            <w:i w:val="0"/>
            <w:iCs w:val="0"/>
          </w:rPr>
          <w:t>6594- دیوان محنتی عظیم‏آبادی أو شعره‏</w:t>
        </w:r>
        <w:r>
          <w:tab/>
        </w:r>
        <w:r>
          <w:fldChar w:fldCharType="begin"/>
        </w:r>
        <w:r>
          <w:instrText xml:space="preserve">PAGEREF 7452 \h</w:instrText>
        </w:r>
        <w:r>
          <w:fldChar w:fldCharType="end"/>
        </w:r>
      </w:hyperlink>
    </w:p>
    <w:p>
      <w:pPr>
        <w:tabs>
          <w:tab w:val="right" w:leader="dot" w:pos="9062"/>
        </w:tabs>
        <w:ind w:left="440"/>
      </w:pPr>
      <w:hyperlink w:anchor="_Toc7453" w:history="1">
        <w:r>
          <w:rPr>
            <w:rFonts w:ascii="IRNazanin" w:hAnsi="IRNazanin" w:eastAsia="IRNazanin" w:cs="IRNazanin"/>
            <w:color w:val="111111"/>
            <w:sz w:val="22"/>
            <w:szCs w:val="22"/>
            <w:b w:val="0"/>
            <w:bCs w:val="0"/>
            <w:i w:val="0"/>
            <w:iCs w:val="0"/>
          </w:rPr>
          <w:t>دیوان محنتی هروی‏</w:t>
        </w:r>
        <w:r>
          <w:tab/>
        </w:r>
        <w:r>
          <w:fldChar w:fldCharType="begin"/>
        </w:r>
        <w:r>
          <w:instrText xml:space="preserve">PAGEREF 7453 \h</w:instrText>
        </w:r>
        <w:r>
          <w:fldChar w:fldCharType="end"/>
        </w:r>
      </w:hyperlink>
    </w:p>
    <w:p>
      <w:pPr>
        <w:tabs>
          <w:tab w:val="right" w:leader="dot" w:pos="9062"/>
        </w:tabs>
        <w:ind w:left="440"/>
      </w:pPr>
      <w:hyperlink w:anchor="_Toc7454" w:history="1">
        <w:r>
          <w:rPr>
            <w:rFonts w:ascii="IRNazanin" w:hAnsi="IRNazanin" w:eastAsia="IRNazanin" w:cs="IRNazanin"/>
            <w:color w:val="111111"/>
            <w:sz w:val="22"/>
            <w:szCs w:val="22"/>
            <w:b w:val="0"/>
            <w:bCs w:val="0"/>
            <w:i w:val="0"/>
            <w:iCs w:val="0"/>
          </w:rPr>
          <w:t>6595- دیوان محولاتی‏</w:t>
        </w:r>
        <w:r>
          <w:tab/>
        </w:r>
        <w:r>
          <w:fldChar w:fldCharType="begin"/>
        </w:r>
        <w:r>
          <w:instrText xml:space="preserve">PAGEREF 7454 \h</w:instrText>
        </w:r>
        <w:r>
          <w:fldChar w:fldCharType="end"/>
        </w:r>
      </w:hyperlink>
    </w:p>
    <w:p>
      <w:pPr>
        <w:tabs>
          <w:tab w:val="right" w:leader="dot" w:pos="9062"/>
        </w:tabs>
        <w:ind w:left="440"/>
      </w:pPr>
      <w:hyperlink w:anchor="_Toc7455" w:history="1">
        <w:r>
          <w:rPr>
            <w:rFonts w:ascii="IRNazanin" w:hAnsi="IRNazanin" w:eastAsia="IRNazanin" w:cs="IRNazanin"/>
            <w:color w:val="111111"/>
            <w:sz w:val="22"/>
            <w:szCs w:val="22"/>
            <w:b w:val="0"/>
            <w:bCs w:val="0"/>
            <w:i w:val="0"/>
            <w:iCs w:val="0"/>
          </w:rPr>
          <w:t>6596- دیوان محوی أردبیلی‏</w:t>
        </w:r>
        <w:r>
          <w:tab/>
        </w:r>
        <w:r>
          <w:fldChar w:fldCharType="begin"/>
        </w:r>
        <w:r>
          <w:instrText xml:space="preserve">PAGEREF 7455 \h</w:instrText>
        </w:r>
        <w:r>
          <w:fldChar w:fldCharType="end"/>
        </w:r>
      </w:hyperlink>
    </w:p>
    <w:p>
      <w:pPr>
        <w:tabs>
          <w:tab w:val="right" w:leader="dot" w:pos="9062"/>
        </w:tabs>
        <w:ind w:left="440"/>
      </w:pPr>
      <w:hyperlink w:anchor="_Toc7456" w:history="1">
        <w:r>
          <w:rPr>
            <w:rFonts w:ascii="IRNazanin" w:hAnsi="IRNazanin" w:eastAsia="IRNazanin" w:cs="IRNazanin"/>
            <w:color w:val="111111"/>
            <w:sz w:val="22"/>
            <w:szCs w:val="22"/>
            <w:b w:val="0"/>
            <w:bCs w:val="0"/>
            <w:i w:val="0"/>
            <w:iCs w:val="0"/>
          </w:rPr>
          <w:t>6597- دیوان محوی أسترآبادی أو شعره‏</w:t>
        </w:r>
        <w:r>
          <w:tab/>
        </w:r>
        <w:r>
          <w:fldChar w:fldCharType="begin"/>
        </w:r>
        <w:r>
          <w:instrText xml:space="preserve">PAGEREF 7456 \h</w:instrText>
        </w:r>
        <w:r>
          <w:fldChar w:fldCharType="end"/>
        </w:r>
      </w:hyperlink>
    </w:p>
    <w:p>
      <w:pPr>
        <w:tabs>
          <w:tab w:val="right" w:leader="dot" w:pos="9062"/>
        </w:tabs>
        <w:ind w:left="440"/>
      </w:pPr>
      <w:hyperlink w:anchor="_Toc7457" w:history="1">
        <w:r>
          <w:rPr>
            <w:rFonts w:ascii="IRNazanin" w:hAnsi="IRNazanin" w:eastAsia="IRNazanin" w:cs="IRNazanin"/>
            <w:color w:val="111111"/>
            <w:sz w:val="22"/>
            <w:szCs w:val="22"/>
            <w:b w:val="0"/>
            <w:bCs w:val="0"/>
            <w:i w:val="0"/>
            <w:iCs w:val="0"/>
          </w:rPr>
          <w:t>6597- دیوان محوی أصفهانی أو شعره‏</w:t>
        </w:r>
        <w:r>
          <w:tab/>
        </w:r>
        <w:r>
          <w:fldChar w:fldCharType="begin"/>
        </w:r>
        <w:r>
          <w:instrText xml:space="preserve">PAGEREF 7457 \h</w:instrText>
        </w:r>
        <w:r>
          <w:fldChar w:fldCharType="end"/>
        </w:r>
      </w:hyperlink>
    </w:p>
    <w:p>
      <w:pPr>
        <w:tabs>
          <w:tab w:val="right" w:leader="dot" w:pos="9062"/>
        </w:tabs>
        <w:ind w:left="440"/>
      </w:pPr>
      <w:hyperlink w:anchor="_Toc7458" w:history="1">
        <w:r>
          <w:rPr>
            <w:rFonts w:ascii="IRNazanin" w:hAnsi="IRNazanin" w:eastAsia="IRNazanin" w:cs="IRNazanin"/>
            <w:color w:val="111111"/>
            <w:sz w:val="22"/>
            <w:szCs w:val="22"/>
            <w:b w:val="0"/>
            <w:bCs w:val="0"/>
            <w:i w:val="0"/>
            <w:iCs w:val="0"/>
          </w:rPr>
          <w:t>6598- دیوان محوی بسطامی أو شعره‏</w:t>
        </w:r>
        <w:r>
          <w:tab/>
        </w:r>
        <w:r>
          <w:fldChar w:fldCharType="begin"/>
        </w:r>
        <w:r>
          <w:instrText xml:space="preserve">PAGEREF 7458 \h</w:instrText>
        </w:r>
        <w:r>
          <w:fldChar w:fldCharType="end"/>
        </w:r>
      </w:hyperlink>
    </w:p>
    <w:p>
      <w:pPr>
        <w:tabs>
          <w:tab w:val="right" w:leader="dot" w:pos="9062"/>
        </w:tabs>
        <w:ind w:left="440"/>
      </w:pPr>
      <w:hyperlink w:anchor="_Toc7459" w:history="1">
        <w:r>
          <w:rPr>
            <w:rFonts w:ascii="IRNazanin" w:hAnsi="IRNazanin" w:eastAsia="IRNazanin" w:cs="IRNazanin"/>
            <w:color w:val="111111"/>
            <w:sz w:val="22"/>
            <w:szCs w:val="22"/>
            <w:b w:val="0"/>
            <w:bCs w:val="0"/>
            <w:i w:val="0"/>
            <w:iCs w:val="0"/>
          </w:rPr>
          <w:t>6599- دیوان محوی پهلتی أو شعره‏</w:t>
        </w:r>
        <w:r>
          <w:tab/>
        </w:r>
        <w:r>
          <w:fldChar w:fldCharType="begin"/>
        </w:r>
        <w:r>
          <w:instrText xml:space="preserve">PAGEREF 7459 \h</w:instrText>
        </w:r>
        <w:r>
          <w:fldChar w:fldCharType="end"/>
        </w:r>
      </w:hyperlink>
    </w:p>
    <w:p>
      <w:pPr>
        <w:tabs>
          <w:tab w:val="right" w:leader="dot" w:pos="9062"/>
        </w:tabs>
        <w:ind w:left="440"/>
      </w:pPr>
      <w:hyperlink w:anchor="_Toc7460" w:history="1">
        <w:r>
          <w:rPr>
            <w:rFonts w:ascii="IRNazanin" w:hAnsi="IRNazanin" w:eastAsia="IRNazanin" w:cs="IRNazanin"/>
            <w:color w:val="111111"/>
            <w:sz w:val="22"/>
            <w:szCs w:val="22"/>
            <w:b w:val="0"/>
            <w:bCs w:val="0"/>
            <w:i w:val="0"/>
            <w:iCs w:val="0"/>
          </w:rPr>
          <w:t>6600- دیوان محوی خراسانی أو شعره‏</w:t>
        </w:r>
        <w:r>
          <w:tab/>
        </w:r>
        <w:r>
          <w:fldChar w:fldCharType="begin"/>
        </w:r>
        <w:r>
          <w:instrText xml:space="preserve">PAGEREF 7460 \h</w:instrText>
        </w:r>
        <w:r>
          <w:fldChar w:fldCharType="end"/>
        </w:r>
      </w:hyperlink>
    </w:p>
    <w:p>
      <w:pPr>
        <w:tabs>
          <w:tab w:val="right" w:leader="dot" w:pos="9062"/>
        </w:tabs>
        <w:ind w:left="440"/>
      </w:pPr>
      <w:hyperlink w:anchor="_Toc7461" w:history="1">
        <w:r>
          <w:rPr>
            <w:rFonts w:ascii="IRNazanin" w:hAnsi="IRNazanin" w:eastAsia="IRNazanin" w:cs="IRNazanin"/>
            <w:color w:val="111111"/>
            <w:sz w:val="22"/>
            <w:szCs w:val="22"/>
            <w:b w:val="0"/>
            <w:bCs w:val="0"/>
            <w:i w:val="0"/>
            <w:iCs w:val="0"/>
          </w:rPr>
          <w:t>6601- دیوان محوی همدانی‏</w:t>
        </w:r>
        <w:r>
          <w:tab/>
        </w:r>
        <w:r>
          <w:fldChar w:fldCharType="begin"/>
        </w:r>
        <w:r>
          <w:instrText xml:space="preserve">PAGEREF 7461 \h</w:instrText>
        </w:r>
        <w:r>
          <w:fldChar w:fldCharType="end"/>
        </w:r>
      </w:hyperlink>
    </w:p>
    <w:p>
      <w:pPr>
        <w:tabs>
          <w:tab w:val="right" w:leader="dot" w:pos="9062"/>
        </w:tabs>
        <w:ind w:left="440"/>
      </w:pPr>
      <w:hyperlink w:anchor="_Toc7462" w:history="1">
        <w:r>
          <w:rPr>
            <w:rFonts w:ascii="IRNazanin" w:hAnsi="IRNazanin" w:eastAsia="IRNazanin" w:cs="IRNazanin"/>
            <w:color w:val="111111"/>
            <w:sz w:val="22"/>
            <w:szCs w:val="22"/>
            <w:b w:val="0"/>
            <w:bCs w:val="0"/>
            <w:i w:val="0"/>
            <w:iCs w:val="0"/>
          </w:rPr>
          <w:t>6603- دیوان محوی هندی‏</w:t>
        </w:r>
        <w:r>
          <w:tab/>
        </w:r>
        <w:r>
          <w:fldChar w:fldCharType="begin"/>
        </w:r>
        <w:r>
          <w:instrText xml:space="preserve">PAGEREF 7462 \h</w:instrText>
        </w:r>
        <w:r>
          <w:fldChar w:fldCharType="end"/>
        </w:r>
      </w:hyperlink>
    </w:p>
    <w:p>
      <w:pPr>
        <w:tabs>
          <w:tab w:val="right" w:leader="dot" w:pos="9062"/>
        </w:tabs>
        <w:ind w:left="440"/>
      </w:pPr>
      <w:hyperlink w:anchor="_Toc7463" w:history="1">
        <w:r>
          <w:rPr>
            <w:rFonts w:ascii="IRNazanin" w:hAnsi="IRNazanin" w:eastAsia="IRNazanin" w:cs="IRNazanin"/>
            <w:color w:val="111111"/>
            <w:sz w:val="22"/>
            <w:szCs w:val="22"/>
            <w:b w:val="0"/>
            <w:bCs w:val="0"/>
            <w:i w:val="0"/>
            <w:iCs w:val="0"/>
          </w:rPr>
          <w:t>6604- دیوان محیط أصفهانی أو شعره‏</w:t>
        </w:r>
        <w:r>
          <w:tab/>
        </w:r>
        <w:r>
          <w:fldChar w:fldCharType="begin"/>
        </w:r>
        <w:r>
          <w:instrText xml:space="preserve">PAGEREF 7463 \h</w:instrText>
        </w:r>
        <w:r>
          <w:fldChar w:fldCharType="end"/>
        </w:r>
      </w:hyperlink>
    </w:p>
    <w:p>
      <w:pPr>
        <w:tabs>
          <w:tab w:val="right" w:leader="dot" w:pos="9062"/>
        </w:tabs>
        <w:ind w:left="440"/>
      </w:pPr>
      <w:hyperlink w:anchor="_Toc7464" w:history="1">
        <w:r>
          <w:rPr>
            <w:rFonts w:ascii="IRNazanin" w:hAnsi="IRNazanin" w:eastAsia="IRNazanin" w:cs="IRNazanin"/>
            <w:color w:val="111111"/>
            <w:sz w:val="22"/>
            <w:szCs w:val="22"/>
            <w:b w:val="0"/>
            <w:bCs w:val="0"/>
            <w:i w:val="0"/>
            <w:iCs w:val="0"/>
          </w:rPr>
          <w:t>6605- دیوان محیط سامانی‏</w:t>
        </w:r>
        <w:r>
          <w:tab/>
        </w:r>
        <w:r>
          <w:fldChar w:fldCharType="begin"/>
        </w:r>
        <w:r>
          <w:instrText xml:space="preserve">PAGEREF 7464 \h</w:instrText>
        </w:r>
        <w:r>
          <w:fldChar w:fldCharType="end"/>
        </w:r>
      </w:hyperlink>
    </w:p>
    <w:p>
      <w:pPr>
        <w:tabs>
          <w:tab w:val="right" w:leader="dot" w:pos="9062"/>
        </w:tabs>
        <w:ind w:left="440"/>
      </w:pPr>
      <w:hyperlink w:anchor="_Toc7465" w:history="1">
        <w:r>
          <w:rPr>
            <w:rFonts w:ascii="IRNazanin" w:hAnsi="IRNazanin" w:eastAsia="IRNazanin" w:cs="IRNazanin"/>
            <w:color w:val="111111"/>
            <w:sz w:val="22"/>
            <w:szCs w:val="22"/>
            <w:b w:val="0"/>
            <w:bCs w:val="0"/>
            <w:i w:val="0"/>
            <w:iCs w:val="0"/>
          </w:rPr>
          <w:t>6606- دیوان محیط فراهانی‏</w:t>
        </w:r>
        <w:r>
          <w:tab/>
        </w:r>
        <w:r>
          <w:fldChar w:fldCharType="begin"/>
        </w:r>
        <w:r>
          <w:instrText xml:space="preserve">PAGEREF 7465 \h</w:instrText>
        </w:r>
        <w:r>
          <w:fldChar w:fldCharType="end"/>
        </w:r>
      </w:hyperlink>
    </w:p>
    <w:p>
      <w:pPr>
        <w:tabs>
          <w:tab w:val="right" w:leader="dot" w:pos="9062"/>
        </w:tabs>
        <w:ind w:left="440"/>
      </w:pPr>
      <w:hyperlink w:anchor="_Toc7466" w:history="1">
        <w:r>
          <w:rPr>
            <w:rFonts w:ascii="IRNazanin" w:hAnsi="IRNazanin" w:eastAsia="IRNazanin" w:cs="IRNazanin"/>
            <w:color w:val="111111"/>
            <w:sz w:val="22"/>
            <w:szCs w:val="22"/>
            <w:b w:val="0"/>
            <w:bCs w:val="0"/>
            <w:i w:val="0"/>
            <w:iCs w:val="0"/>
          </w:rPr>
          <w:t>6607- دیوان محیط قمی‏</w:t>
        </w:r>
        <w:r>
          <w:tab/>
        </w:r>
        <w:r>
          <w:fldChar w:fldCharType="begin"/>
        </w:r>
        <w:r>
          <w:instrText xml:space="preserve">PAGEREF 7466 \h</w:instrText>
        </w:r>
        <w:r>
          <w:fldChar w:fldCharType="end"/>
        </w:r>
      </w:hyperlink>
    </w:p>
    <w:p>
      <w:pPr>
        <w:tabs>
          <w:tab w:val="right" w:leader="dot" w:pos="9062"/>
        </w:tabs>
        <w:ind w:left="440"/>
      </w:pPr>
      <w:hyperlink w:anchor="_Toc7467" w:history="1">
        <w:r>
          <w:rPr>
            <w:rFonts w:ascii="IRNazanin" w:hAnsi="IRNazanin" w:eastAsia="IRNazanin" w:cs="IRNazanin"/>
            <w:color w:val="111111"/>
            <w:sz w:val="22"/>
            <w:szCs w:val="22"/>
            <w:b w:val="0"/>
            <w:bCs w:val="0"/>
            <w:i w:val="0"/>
            <w:iCs w:val="0"/>
          </w:rPr>
          <w:t>6608- دیوان محیط مشهدی أو شعره‏</w:t>
        </w:r>
        <w:r>
          <w:tab/>
        </w:r>
        <w:r>
          <w:fldChar w:fldCharType="begin"/>
        </w:r>
        <w:r>
          <w:instrText xml:space="preserve">PAGEREF 7467 \h</w:instrText>
        </w:r>
        <w:r>
          <w:fldChar w:fldCharType="end"/>
        </w:r>
      </w:hyperlink>
    </w:p>
    <w:p>
      <w:pPr>
        <w:tabs>
          <w:tab w:val="right" w:leader="dot" w:pos="9062"/>
        </w:tabs>
        <w:ind w:left="440"/>
      </w:pPr>
      <w:hyperlink w:anchor="_Toc7468" w:history="1">
        <w:r>
          <w:rPr>
            <w:rFonts w:ascii="IRNazanin" w:hAnsi="IRNazanin" w:eastAsia="IRNazanin" w:cs="IRNazanin"/>
            <w:color w:val="111111"/>
            <w:sz w:val="22"/>
            <w:szCs w:val="22"/>
            <w:b w:val="0"/>
            <w:bCs w:val="0"/>
            <w:i w:val="0"/>
            <w:iCs w:val="0"/>
          </w:rPr>
          <w:t>6609- دیوان محیط نائینی‏</w:t>
        </w:r>
        <w:r>
          <w:tab/>
        </w:r>
        <w:r>
          <w:fldChar w:fldCharType="begin"/>
        </w:r>
        <w:r>
          <w:instrText xml:space="preserve">PAGEREF 7468 \h</w:instrText>
        </w:r>
        <w:r>
          <w:fldChar w:fldCharType="end"/>
        </w:r>
      </w:hyperlink>
    </w:p>
    <w:p>
      <w:pPr>
        <w:tabs>
          <w:tab w:val="right" w:leader="dot" w:pos="9062"/>
        </w:tabs>
        <w:ind w:left="440"/>
      </w:pPr>
      <w:hyperlink w:anchor="_Toc7469" w:history="1">
        <w:r>
          <w:rPr>
            <w:rFonts w:ascii="IRNazanin" w:hAnsi="IRNazanin" w:eastAsia="IRNazanin" w:cs="IRNazanin"/>
            <w:color w:val="111111"/>
            <w:sz w:val="22"/>
            <w:szCs w:val="22"/>
            <w:b w:val="0"/>
            <w:bCs w:val="0"/>
            <w:i w:val="0"/>
            <w:iCs w:val="0"/>
          </w:rPr>
          <w:t>6610- دیوان محیطی‏</w:t>
        </w:r>
        <w:r>
          <w:tab/>
        </w:r>
        <w:r>
          <w:fldChar w:fldCharType="begin"/>
        </w:r>
        <w:r>
          <w:instrText xml:space="preserve">PAGEREF 7469 \h</w:instrText>
        </w:r>
        <w:r>
          <w:fldChar w:fldCharType="end"/>
        </w:r>
      </w:hyperlink>
    </w:p>
    <w:p>
      <w:pPr>
        <w:tabs>
          <w:tab w:val="right" w:leader="dot" w:pos="9062"/>
        </w:tabs>
        <w:ind w:left="440"/>
      </w:pPr>
      <w:hyperlink w:anchor="_Toc7470" w:history="1">
        <w:r>
          <w:rPr>
            <w:rFonts w:ascii="IRNazanin" w:hAnsi="IRNazanin" w:eastAsia="IRNazanin" w:cs="IRNazanin"/>
            <w:color w:val="111111"/>
            <w:sz w:val="22"/>
            <w:szCs w:val="22"/>
            <w:b w:val="0"/>
            <w:bCs w:val="0"/>
            <w:i w:val="0"/>
            <w:iCs w:val="0"/>
          </w:rPr>
          <w:t>6611- دیوان محیی الدین أو شعره‏</w:t>
        </w:r>
        <w:r>
          <w:tab/>
        </w:r>
        <w:r>
          <w:fldChar w:fldCharType="begin"/>
        </w:r>
        <w:r>
          <w:instrText xml:space="preserve">PAGEREF 7470 \h</w:instrText>
        </w:r>
        <w:r>
          <w:fldChar w:fldCharType="end"/>
        </w:r>
      </w:hyperlink>
    </w:p>
    <w:p>
      <w:pPr>
        <w:tabs>
          <w:tab w:val="right" w:leader="dot" w:pos="9062"/>
        </w:tabs>
        <w:ind w:left="440"/>
      </w:pPr>
      <w:hyperlink w:anchor="_Toc7471" w:history="1">
        <w:r>
          <w:rPr>
            <w:rFonts w:ascii="IRNazanin" w:hAnsi="IRNazanin" w:eastAsia="IRNazanin" w:cs="IRNazanin"/>
            <w:color w:val="111111"/>
            <w:sz w:val="22"/>
            <w:szCs w:val="22"/>
            <w:b w:val="0"/>
            <w:bCs w:val="0"/>
            <w:i w:val="0"/>
            <w:iCs w:val="0"/>
          </w:rPr>
          <w:t>6612- دیوان الشیخ محیی الدین طریح النجفی‏</w:t>
        </w:r>
        <w:r>
          <w:tab/>
        </w:r>
        <w:r>
          <w:fldChar w:fldCharType="begin"/>
        </w:r>
        <w:r>
          <w:instrText xml:space="preserve">PAGEREF 7471 \h</w:instrText>
        </w:r>
        <w:r>
          <w:fldChar w:fldCharType="end"/>
        </w:r>
      </w:hyperlink>
    </w:p>
    <w:p>
      <w:pPr>
        <w:tabs>
          <w:tab w:val="right" w:leader="dot" w:pos="9062"/>
        </w:tabs>
        <w:ind w:left="440"/>
      </w:pPr>
      <w:hyperlink w:anchor="_Toc7472" w:history="1">
        <w:r>
          <w:rPr>
            <w:rFonts w:ascii="IRNazanin" w:hAnsi="IRNazanin" w:eastAsia="IRNazanin" w:cs="IRNazanin"/>
            <w:color w:val="111111"/>
            <w:sz w:val="22"/>
            <w:szCs w:val="22"/>
            <w:b w:val="0"/>
            <w:bCs w:val="0"/>
            <w:i w:val="0"/>
            <w:iCs w:val="0"/>
          </w:rPr>
          <w:t>6613- دیوان محیی الدین بن العربی‏</w:t>
        </w:r>
        <w:r>
          <w:tab/>
        </w:r>
        <w:r>
          <w:fldChar w:fldCharType="begin"/>
        </w:r>
        <w:r>
          <w:instrText xml:space="preserve">PAGEREF 7472 \h</w:instrText>
        </w:r>
        <w:r>
          <w:fldChar w:fldCharType="end"/>
        </w:r>
      </w:hyperlink>
    </w:p>
    <w:p>
      <w:pPr>
        <w:tabs>
          <w:tab w:val="right" w:leader="dot" w:pos="9062"/>
        </w:tabs>
        <w:ind w:left="440"/>
      </w:pPr>
      <w:hyperlink w:anchor="_Toc7473" w:history="1">
        <w:r>
          <w:rPr>
            <w:rFonts w:ascii="IRNazanin" w:hAnsi="IRNazanin" w:eastAsia="IRNazanin" w:cs="IRNazanin"/>
            <w:color w:val="111111"/>
            <w:sz w:val="22"/>
            <w:szCs w:val="22"/>
            <w:b w:val="0"/>
            <w:bCs w:val="0"/>
            <w:i w:val="0"/>
            <w:iCs w:val="0"/>
          </w:rPr>
          <w:t>6614- دیوان محیی شیرازی أو شعره‏</w:t>
        </w:r>
        <w:r>
          <w:tab/>
        </w:r>
        <w:r>
          <w:fldChar w:fldCharType="begin"/>
        </w:r>
        <w:r>
          <w:instrText xml:space="preserve">PAGEREF 7473 \h</w:instrText>
        </w:r>
        <w:r>
          <w:fldChar w:fldCharType="end"/>
        </w:r>
      </w:hyperlink>
    </w:p>
    <w:p>
      <w:pPr>
        <w:tabs>
          <w:tab w:val="right" w:leader="dot" w:pos="9062"/>
        </w:tabs>
        <w:ind w:left="440"/>
      </w:pPr>
      <w:hyperlink w:anchor="_Toc7474" w:history="1">
        <w:r>
          <w:rPr>
            <w:rFonts w:ascii="IRNazanin" w:hAnsi="IRNazanin" w:eastAsia="IRNazanin" w:cs="IRNazanin"/>
            <w:color w:val="111111"/>
            <w:sz w:val="22"/>
            <w:szCs w:val="22"/>
            <w:b w:val="0"/>
            <w:bCs w:val="0"/>
            <w:i w:val="0"/>
            <w:iCs w:val="0"/>
          </w:rPr>
          <w:t>6615- دیوان محیی گیلانی‏</w:t>
        </w:r>
        <w:r>
          <w:tab/>
        </w:r>
        <w:r>
          <w:fldChar w:fldCharType="begin"/>
        </w:r>
        <w:r>
          <w:instrText xml:space="preserve">PAGEREF 7474 \h</w:instrText>
        </w:r>
        <w:r>
          <w:fldChar w:fldCharType="end"/>
        </w:r>
      </w:hyperlink>
    </w:p>
    <w:p>
      <w:pPr>
        <w:tabs>
          <w:tab w:val="right" w:leader="dot" w:pos="9062"/>
        </w:tabs>
        <w:ind w:left="440"/>
      </w:pPr>
      <w:hyperlink w:anchor="_Toc7475" w:history="1">
        <w:r>
          <w:rPr>
            <w:rFonts w:ascii="IRNazanin" w:hAnsi="IRNazanin" w:eastAsia="IRNazanin" w:cs="IRNazanin"/>
            <w:color w:val="111111"/>
            <w:sz w:val="22"/>
            <w:szCs w:val="22"/>
            <w:b w:val="0"/>
            <w:bCs w:val="0"/>
            <w:i w:val="0"/>
            <w:iCs w:val="0"/>
          </w:rPr>
          <w:t>6616- دیوان ملا محیی لاری‏</w:t>
        </w:r>
        <w:r>
          <w:tab/>
        </w:r>
        <w:r>
          <w:fldChar w:fldCharType="begin"/>
        </w:r>
        <w:r>
          <w:instrText xml:space="preserve">PAGEREF 7475 \h</w:instrText>
        </w:r>
        <w:r>
          <w:fldChar w:fldCharType="end"/>
        </w:r>
      </w:hyperlink>
    </w:p>
    <w:p>
      <w:pPr>
        <w:tabs>
          <w:tab w:val="right" w:leader="dot" w:pos="9062"/>
        </w:tabs>
        <w:ind w:left="440"/>
      </w:pPr>
      <w:hyperlink w:anchor="_Toc7476" w:history="1">
        <w:r>
          <w:rPr>
            <w:rFonts w:ascii="IRNazanin" w:hAnsi="IRNazanin" w:eastAsia="IRNazanin" w:cs="IRNazanin"/>
            <w:color w:val="111111"/>
            <w:sz w:val="22"/>
            <w:szCs w:val="22"/>
            <w:b w:val="0"/>
            <w:bCs w:val="0"/>
            <w:i w:val="0"/>
            <w:iCs w:val="0"/>
          </w:rPr>
          <w:t>6617- دیوان مخبری همدانی أو شعره‏</w:t>
        </w:r>
        <w:r>
          <w:tab/>
        </w:r>
        <w:r>
          <w:fldChar w:fldCharType="begin"/>
        </w:r>
        <w:r>
          <w:instrText xml:space="preserve">PAGEREF 7476 \h</w:instrText>
        </w:r>
        <w:r>
          <w:fldChar w:fldCharType="end"/>
        </w:r>
      </w:hyperlink>
    </w:p>
    <w:p>
      <w:pPr>
        <w:tabs>
          <w:tab w:val="right" w:leader="dot" w:pos="9062"/>
        </w:tabs>
        <w:ind w:left="440"/>
      </w:pPr>
      <w:hyperlink w:anchor="_Toc7477" w:history="1">
        <w:r>
          <w:rPr>
            <w:rFonts w:ascii="IRNazanin" w:hAnsi="IRNazanin" w:eastAsia="IRNazanin" w:cs="IRNazanin"/>
            <w:color w:val="111111"/>
            <w:sz w:val="22"/>
            <w:szCs w:val="22"/>
            <w:b w:val="0"/>
            <w:bCs w:val="0"/>
            <w:i w:val="0"/>
            <w:iCs w:val="0"/>
          </w:rPr>
          <w:t>6618- دیوان مختار أصفهانی‏</w:t>
        </w:r>
        <w:r>
          <w:tab/>
        </w:r>
        <w:r>
          <w:fldChar w:fldCharType="begin"/>
        </w:r>
        <w:r>
          <w:instrText xml:space="preserve">PAGEREF 7477 \h</w:instrText>
        </w:r>
        <w:r>
          <w:fldChar w:fldCharType="end"/>
        </w:r>
      </w:hyperlink>
    </w:p>
    <w:p>
      <w:pPr>
        <w:tabs>
          <w:tab w:val="right" w:leader="dot" w:pos="9062"/>
        </w:tabs>
        <w:ind w:left="440"/>
      </w:pPr>
      <w:hyperlink w:anchor="_Toc7478" w:history="1">
        <w:r>
          <w:rPr>
            <w:rFonts w:ascii="IRNazanin" w:hAnsi="IRNazanin" w:eastAsia="IRNazanin" w:cs="IRNazanin"/>
            <w:color w:val="111111"/>
            <w:sz w:val="22"/>
            <w:szCs w:val="22"/>
            <w:b w:val="0"/>
            <w:bCs w:val="0"/>
            <w:i w:val="0"/>
            <w:iCs w:val="0"/>
          </w:rPr>
          <w:t>6619- دیوان مختار رشتی أو شعره‏</w:t>
        </w:r>
        <w:r>
          <w:tab/>
        </w:r>
        <w:r>
          <w:fldChar w:fldCharType="begin"/>
        </w:r>
        <w:r>
          <w:instrText xml:space="preserve">PAGEREF 7478 \h</w:instrText>
        </w:r>
        <w:r>
          <w:fldChar w:fldCharType="end"/>
        </w:r>
      </w:hyperlink>
    </w:p>
    <w:p>
      <w:pPr>
        <w:tabs>
          <w:tab w:val="right" w:leader="dot" w:pos="9062"/>
        </w:tabs>
        <w:ind w:left="440"/>
      </w:pPr>
      <w:hyperlink w:anchor="_Toc7479" w:history="1">
        <w:r>
          <w:rPr>
            <w:rFonts w:ascii="IRNazanin" w:hAnsi="IRNazanin" w:eastAsia="IRNazanin" w:cs="IRNazanin"/>
            <w:color w:val="111111"/>
            <w:sz w:val="22"/>
            <w:szCs w:val="22"/>
            <w:b w:val="0"/>
            <w:bCs w:val="0"/>
            <w:i w:val="0"/>
            <w:iCs w:val="0"/>
          </w:rPr>
          <w:t>6620- دیوان مختار سبزواری أو شعره‏</w:t>
        </w:r>
        <w:r>
          <w:tab/>
        </w:r>
        <w:r>
          <w:fldChar w:fldCharType="begin"/>
        </w:r>
        <w:r>
          <w:instrText xml:space="preserve">PAGEREF 7479 \h</w:instrText>
        </w:r>
        <w:r>
          <w:fldChar w:fldCharType="end"/>
        </w:r>
      </w:hyperlink>
    </w:p>
    <w:p>
      <w:pPr>
        <w:tabs>
          <w:tab w:val="right" w:leader="dot" w:pos="9062"/>
        </w:tabs>
        <w:ind w:left="440"/>
      </w:pPr>
      <w:hyperlink w:anchor="_Toc7480" w:history="1">
        <w:r>
          <w:rPr>
            <w:rFonts w:ascii="IRNazanin" w:hAnsi="IRNazanin" w:eastAsia="IRNazanin" w:cs="IRNazanin"/>
            <w:color w:val="111111"/>
            <w:sz w:val="22"/>
            <w:szCs w:val="22"/>
            <w:b w:val="0"/>
            <w:bCs w:val="0"/>
            <w:i w:val="0"/>
            <w:iCs w:val="0"/>
          </w:rPr>
          <w:t>6621- دیوان مختار لکهنوی أو شعره‏</w:t>
        </w:r>
        <w:r>
          <w:tab/>
        </w:r>
        <w:r>
          <w:fldChar w:fldCharType="begin"/>
        </w:r>
        <w:r>
          <w:instrText xml:space="preserve">PAGEREF 7480 \h</w:instrText>
        </w:r>
        <w:r>
          <w:fldChar w:fldCharType="end"/>
        </w:r>
      </w:hyperlink>
    </w:p>
    <w:p>
      <w:pPr>
        <w:tabs>
          <w:tab w:val="right" w:leader="dot" w:pos="9062"/>
        </w:tabs>
        <w:ind w:left="440"/>
      </w:pPr>
      <w:hyperlink w:anchor="_Toc7481" w:history="1">
        <w:r>
          <w:rPr>
            <w:rFonts w:ascii="IRNazanin" w:hAnsi="IRNazanin" w:eastAsia="IRNazanin" w:cs="IRNazanin"/>
            <w:color w:val="111111"/>
            <w:sz w:val="22"/>
            <w:szCs w:val="22"/>
            <w:b w:val="0"/>
            <w:bCs w:val="0"/>
            <w:i w:val="0"/>
            <w:iCs w:val="0"/>
          </w:rPr>
          <w:t>6622- دیوان مختار نهاوندی أو شعره‏</w:t>
        </w:r>
        <w:r>
          <w:tab/>
        </w:r>
        <w:r>
          <w:fldChar w:fldCharType="begin"/>
        </w:r>
        <w:r>
          <w:instrText xml:space="preserve">PAGEREF 7481 \h</w:instrText>
        </w:r>
        <w:r>
          <w:fldChar w:fldCharType="end"/>
        </w:r>
      </w:hyperlink>
    </w:p>
    <w:p>
      <w:pPr>
        <w:tabs>
          <w:tab w:val="right" w:leader="dot" w:pos="9062"/>
        </w:tabs>
        <w:ind w:left="440"/>
      </w:pPr>
      <w:hyperlink w:anchor="_Toc7482" w:history="1">
        <w:r>
          <w:rPr>
            <w:rFonts w:ascii="IRNazanin" w:hAnsi="IRNazanin" w:eastAsia="IRNazanin" w:cs="IRNazanin"/>
            <w:color w:val="111111"/>
            <w:sz w:val="22"/>
            <w:szCs w:val="22"/>
            <w:b w:val="0"/>
            <w:bCs w:val="0"/>
            <w:i w:val="0"/>
            <w:iCs w:val="0"/>
          </w:rPr>
          <w:t>6623- دیوان مختار هندی‏</w:t>
        </w:r>
        <w:r>
          <w:tab/>
        </w:r>
        <w:r>
          <w:fldChar w:fldCharType="begin"/>
        </w:r>
        <w:r>
          <w:instrText xml:space="preserve">PAGEREF 7482 \h</w:instrText>
        </w:r>
        <w:r>
          <w:fldChar w:fldCharType="end"/>
        </w:r>
      </w:hyperlink>
    </w:p>
    <w:p>
      <w:pPr>
        <w:tabs>
          <w:tab w:val="right" w:leader="dot" w:pos="9062"/>
        </w:tabs>
        <w:ind w:left="440"/>
      </w:pPr>
      <w:hyperlink w:anchor="_Toc7483" w:history="1">
        <w:r>
          <w:rPr>
            <w:rFonts w:ascii="IRNazanin" w:hAnsi="IRNazanin" w:eastAsia="IRNazanin" w:cs="IRNazanin"/>
            <w:color w:val="111111"/>
            <w:sz w:val="22"/>
            <w:szCs w:val="22"/>
            <w:b w:val="0"/>
            <w:bCs w:val="0"/>
            <w:i w:val="0"/>
            <w:iCs w:val="0"/>
          </w:rPr>
          <w:t>6624- دیوان مختاری غزنوی‏</w:t>
        </w:r>
        <w:r>
          <w:tab/>
        </w:r>
        <w:r>
          <w:fldChar w:fldCharType="begin"/>
        </w:r>
        <w:r>
          <w:instrText xml:space="preserve">PAGEREF 7483 \h</w:instrText>
        </w:r>
        <w:r>
          <w:fldChar w:fldCharType="end"/>
        </w:r>
      </w:hyperlink>
    </w:p>
    <w:p>
      <w:pPr>
        <w:tabs>
          <w:tab w:val="right" w:leader="dot" w:pos="9062"/>
        </w:tabs>
        <w:ind w:left="440"/>
      </w:pPr>
      <w:hyperlink w:anchor="_Toc7484" w:history="1">
        <w:r>
          <w:rPr>
            <w:rFonts w:ascii="IRNazanin" w:hAnsi="IRNazanin" w:eastAsia="IRNazanin" w:cs="IRNazanin"/>
            <w:color w:val="111111"/>
            <w:sz w:val="22"/>
            <w:szCs w:val="22"/>
            <w:b w:val="0"/>
            <w:bCs w:val="0"/>
            <w:i w:val="0"/>
            <w:iCs w:val="0"/>
          </w:rPr>
          <w:t>6625- دیوان میر مختوم نیشابوری‏</w:t>
        </w:r>
        <w:r>
          <w:tab/>
        </w:r>
        <w:r>
          <w:fldChar w:fldCharType="begin"/>
        </w:r>
        <w:r>
          <w:instrText xml:space="preserve">PAGEREF 7484 \h</w:instrText>
        </w:r>
        <w:r>
          <w:fldChar w:fldCharType="end"/>
        </w:r>
      </w:hyperlink>
    </w:p>
    <w:p>
      <w:pPr>
        <w:tabs>
          <w:tab w:val="right" w:leader="dot" w:pos="9062"/>
        </w:tabs>
        <w:ind w:left="440"/>
      </w:pPr>
      <w:hyperlink w:anchor="_Toc7485" w:history="1">
        <w:r>
          <w:rPr>
            <w:rFonts w:ascii="IRNazanin" w:hAnsi="IRNazanin" w:eastAsia="IRNazanin" w:cs="IRNazanin"/>
            <w:color w:val="111111"/>
            <w:sz w:val="22"/>
            <w:szCs w:val="22"/>
            <w:b w:val="0"/>
            <w:bCs w:val="0"/>
            <w:i w:val="0"/>
            <w:iCs w:val="0"/>
          </w:rPr>
          <w:t>دیوان میر مخدوم‏</w:t>
        </w:r>
        <w:r>
          <w:tab/>
        </w:r>
        <w:r>
          <w:fldChar w:fldCharType="begin"/>
        </w:r>
        <w:r>
          <w:instrText xml:space="preserve">PAGEREF 7485 \h</w:instrText>
        </w:r>
        <w:r>
          <w:fldChar w:fldCharType="end"/>
        </w:r>
      </w:hyperlink>
    </w:p>
    <w:p>
      <w:pPr>
        <w:tabs>
          <w:tab w:val="right" w:leader="dot" w:pos="9062"/>
        </w:tabs>
        <w:ind w:left="440"/>
      </w:pPr>
      <w:hyperlink w:anchor="_Toc7486" w:history="1">
        <w:r>
          <w:rPr>
            <w:rFonts w:ascii="IRNazanin" w:hAnsi="IRNazanin" w:eastAsia="IRNazanin" w:cs="IRNazanin"/>
            <w:color w:val="111111"/>
            <w:sz w:val="22"/>
            <w:szCs w:val="22"/>
            <w:b w:val="0"/>
            <w:bCs w:val="0"/>
            <w:i w:val="0"/>
            <w:iCs w:val="0"/>
          </w:rPr>
          <w:t>6626- دیوان مخدوم خبوشانی أو شعره‏</w:t>
        </w:r>
        <w:r>
          <w:tab/>
        </w:r>
        <w:r>
          <w:fldChar w:fldCharType="begin"/>
        </w:r>
        <w:r>
          <w:instrText xml:space="preserve">PAGEREF 7486 \h</w:instrText>
        </w:r>
        <w:r>
          <w:fldChar w:fldCharType="end"/>
        </w:r>
      </w:hyperlink>
    </w:p>
    <w:p>
      <w:pPr>
        <w:tabs>
          <w:tab w:val="right" w:leader="dot" w:pos="9062"/>
        </w:tabs>
        <w:ind w:left="440"/>
      </w:pPr>
      <w:hyperlink w:anchor="_Toc7487" w:history="1">
        <w:r>
          <w:rPr>
            <w:rFonts w:ascii="IRNazanin" w:hAnsi="IRNazanin" w:eastAsia="IRNazanin" w:cs="IRNazanin"/>
            <w:color w:val="111111"/>
            <w:sz w:val="22"/>
            <w:szCs w:val="22"/>
            <w:b w:val="0"/>
            <w:bCs w:val="0"/>
            <w:i w:val="0"/>
            <w:iCs w:val="0"/>
          </w:rPr>
          <w:t>دیوان میر مخدوم شریفی أو شعره‏</w:t>
        </w:r>
        <w:r>
          <w:tab/>
        </w:r>
        <w:r>
          <w:fldChar w:fldCharType="begin"/>
        </w:r>
        <w:r>
          <w:instrText xml:space="preserve">PAGEREF 7487 \h</w:instrText>
        </w:r>
        <w:r>
          <w:fldChar w:fldCharType="end"/>
        </w:r>
      </w:hyperlink>
    </w:p>
    <w:p>
      <w:pPr>
        <w:tabs>
          <w:tab w:val="right" w:leader="dot" w:pos="9062"/>
        </w:tabs>
        <w:ind w:left="440"/>
      </w:pPr>
      <w:hyperlink w:anchor="_Toc7488" w:history="1">
        <w:r>
          <w:rPr>
            <w:rFonts w:ascii="IRNazanin" w:hAnsi="IRNazanin" w:eastAsia="IRNazanin" w:cs="IRNazanin"/>
            <w:color w:val="111111"/>
            <w:sz w:val="22"/>
            <w:szCs w:val="22"/>
            <w:b w:val="0"/>
            <w:bCs w:val="0"/>
            <w:i w:val="0"/>
            <w:iCs w:val="0"/>
          </w:rPr>
          <w:t>6627- دیوان مخدومه یزدی أو شعرها</w:t>
        </w:r>
        <w:r>
          <w:tab/>
        </w:r>
        <w:r>
          <w:fldChar w:fldCharType="begin"/>
        </w:r>
        <w:r>
          <w:instrText xml:space="preserve">PAGEREF 7488 \h</w:instrText>
        </w:r>
        <w:r>
          <w:fldChar w:fldCharType="end"/>
        </w:r>
      </w:hyperlink>
    </w:p>
    <w:p>
      <w:pPr>
        <w:tabs>
          <w:tab w:val="right" w:leader="dot" w:pos="9062"/>
        </w:tabs>
        <w:ind w:left="440"/>
      </w:pPr>
      <w:hyperlink w:anchor="_Toc7489" w:history="1">
        <w:r>
          <w:rPr>
            <w:rFonts w:ascii="IRNazanin" w:hAnsi="IRNazanin" w:eastAsia="IRNazanin" w:cs="IRNazanin"/>
            <w:color w:val="111111"/>
            <w:sz w:val="22"/>
            <w:szCs w:val="22"/>
            <w:b w:val="0"/>
            <w:bCs w:val="0"/>
            <w:i w:val="0"/>
            <w:iCs w:val="0"/>
          </w:rPr>
          <w:t>6628- دیوان مخزن کرمانشاهی أو شعره‏</w:t>
        </w:r>
        <w:r>
          <w:tab/>
        </w:r>
        <w:r>
          <w:fldChar w:fldCharType="begin"/>
        </w:r>
        <w:r>
          <w:instrText xml:space="preserve">PAGEREF 7489 \h</w:instrText>
        </w:r>
        <w:r>
          <w:fldChar w:fldCharType="end"/>
        </w:r>
      </w:hyperlink>
    </w:p>
    <w:p>
      <w:pPr>
        <w:tabs>
          <w:tab w:val="right" w:leader="dot" w:pos="9062"/>
        </w:tabs>
        <w:ind w:left="440"/>
      </w:pPr>
      <w:hyperlink w:anchor="_Toc7490" w:history="1">
        <w:r>
          <w:rPr>
            <w:rFonts w:ascii="IRNazanin" w:hAnsi="IRNazanin" w:eastAsia="IRNazanin" w:cs="IRNazanin"/>
            <w:color w:val="111111"/>
            <w:sz w:val="22"/>
            <w:szCs w:val="22"/>
            <w:b w:val="0"/>
            <w:bCs w:val="0"/>
            <w:i w:val="0"/>
            <w:iCs w:val="0"/>
          </w:rPr>
          <w:t>6629- دیوان مخصوص طهرانی أو شعره‏</w:t>
        </w:r>
        <w:r>
          <w:tab/>
        </w:r>
        <w:r>
          <w:fldChar w:fldCharType="begin"/>
        </w:r>
        <w:r>
          <w:instrText xml:space="preserve">PAGEREF 7490 \h</w:instrText>
        </w:r>
        <w:r>
          <w:fldChar w:fldCharType="end"/>
        </w:r>
      </w:hyperlink>
    </w:p>
    <w:p>
      <w:pPr>
        <w:tabs>
          <w:tab w:val="right" w:leader="dot" w:pos="9062"/>
        </w:tabs>
        <w:ind w:left="440"/>
      </w:pPr>
      <w:hyperlink w:anchor="_Toc7491" w:history="1">
        <w:r>
          <w:rPr>
            <w:rFonts w:ascii="IRNazanin" w:hAnsi="IRNazanin" w:eastAsia="IRNazanin" w:cs="IRNazanin"/>
            <w:color w:val="111111"/>
            <w:sz w:val="22"/>
            <w:szCs w:val="22"/>
            <w:b w:val="0"/>
            <w:bCs w:val="0"/>
            <w:i w:val="0"/>
            <w:iCs w:val="0"/>
          </w:rPr>
          <w:t>6630- دیوان ملا مخفی رشتی‏</w:t>
        </w:r>
        <w:r>
          <w:tab/>
        </w:r>
        <w:r>
          <w:fldChar w:fldCharType="begin"/>
        </w:r>
        <w:r>
          <w:instrText xml:space="preserve">PAGEREF 7491 \h</w:instrText>
        </w:r>
        <w:r>
          <w:fldChar w:fldCharType="end"/>
        </w:r>
      </w:hyperlink>
    </w:p>
    <w:p>
      <w:pPr>
        <w:tabs>
          <w:tab w:val="right" w:leader="dot" w:pos="9062"/>
        </w:tabs>
        <w:ind w:left="440"/>
      </w:pPr>
      <w:hyperlink w:anchor="_Toc7492" w:history="1">
        <w:r>
          <w:rPr>
            <w:rFonts w:ascii="IRNazanin" w:hAnsi="IRNazanin" w:eastAsia="IRNazanin" w:cs="IRNazanin"/>
            <w:color w:val="111111"/>
            <w:sz w:val="22"/>
            <w:szCs w:val="22"/>
            <w:b w:val="0"/>
            <w:bCs w:val="0"/>
            <w:i w:val="0"/>
            <w:iCs w:val="0"/>
          </w:rPr>
          <w:t>6631- دیوان مخفی هندی أو شعرها</w:t>
        </w:r>
        <w:r>
          <w:tab/>
        </w:r>
        <w:r>
          <w:fldChar w:fldCharType="begin"/>
        </w:r>
        <w:r>
          <w:instrText xml:space="preserve">PAGEREF 7492 \h</w:instrText>
        </w:r>
        <w:r>
          <w:fldChar w:fldCharType="end"/>
        </w:r>
      </w:hyperlink>
    </w:p>
    <w:p>
      <w:pPr>
        <w:tabs>
          <w:tab w:val="right" w:leader="dot" w:pos="9062"/>
        </w:tabs>
        <w:ind w:left="440"/>
      </w:pPr>
      <w:hyperlink w:anchor="_Toc7493" w:history="1">
        <w:r>
          <w:rPr>
            <w:rFonts w:ascii="IRNazanin" w:hAnsi="IRNazanin" w:eastAsia="IRNazanin" w:cs="IRNazanin"/>
            <w:color w:val="111111"/>
            <w:sz w:val="22"/>
            <w:szCs w:val="22"/>
            <w:b w:val="0"/>
            <w:bCs w:val="0"/>
            <w:i w:val="0"/>
            <w:iCs w:val="0"/>
          </w:rPr>
          <w:t>6632- دیوان مخفی هندی أو شعرها</w:t>
        </w:r>
        <w:r>
          <w:tab/>
        </w:r>
        <w:r>
          <w:fldChar w:fldCharType="begin"/>
        </w:r>
        <w:r>
          <w:instrText xml:space="preserve">PAGEREF 7493 \h</w:instrText>
        </w:r>
        <w:r>
          <w:fldChar w:fldCharType="end"/>
        </w:r>
      </w:hyperlink>
    </w:p>
    <w:p>
      <w:pPr>
        <w:tabs>
          <w:tab w:val="right" w:leader="dot" w:pos="9062"/>
        </w:tabs>
        <w:ind w:left="440"/>
      </w:pPr>
      <w:hyperlink w:anchor="_Toc7494" w:history="1">
        <w:r>
          <w:rPr>
            <w:rFonts w:ascii="IRNazanin" w:hAnsi="IRNazanin" w:eastAsia="IRNazanin" w:cs="IRNazanin"/>
            <w:color w:val="111111"/>
            <w:sz w:val="22"/>
            <w:szCs w:val="22"/>
            <w:b w:val="0"/>
            <w:bCs w:val="0"/>
            <w:i w:val="0"/>
            <w:iCs w:val="0"/>
          </w:rPr>
          <w:t>6633- دیوان مخفی هندی‏</w:t>
        </w:r>
        <w:r>
          <w:tab/>
        </w:r>
        <w:r>
          <w:fldChar w:fldCharType="begin"/>
        </w:r>
        <w:r>
          <w:instrText xml:space="preserve">PAGEREF 7494 \h</w:instrText>
        </w:r>
        <w:r>
          <w:fldChar w:fldCharType="end"/>
        </w:r>
      </w:hyperlink>
    </w:p>
    <w:p>
      <w:pPr>
        <w:tabs>
          <w:tab w:val="right" w:leader="dot" w:pos="9062"/>
        </w:tabs>
        <w:ind w:left="440"/>
      </w:pPr>
      <w:hyperlink w:anchor="_Toc7495" w:history="1">
        <w:r>
          <w:rPr>
            <w:rFonts w:ascii="IRNazanin" w:hAnsi="IRNazanin" w:eastAsia="IRNazanin" w:cs="IRNazanin"/>
            <w:color w:val="111111"/>
            <w:sz w:val="22"/>
            <w:szCs w:val="22"/>
            <w:b w:val="0"/>
            <w:bCs w:val="0"/>
            <w:i w:val="0"/>
            <w:iCs w:val="0"/>
          </w:rPr>
          <w:t>6634- دیوان مخلدی گرگانی أو شعره‏</w:t>
        </w:r>
        <w:r>
          <w:tab/>
        </w:r>
        <w:r>
          <w:fldChar w:fldCharType="begin"/>
        </w:r>
        <w:r>
          <w:instrText xml:space="preserve">PAGEREF 7495 \h</w:instrText>
        </w:r>
        <w:r>
          <w:fldChar w:fldCharType="end"/>
        </w:r>
      </w:hyperlink>
    </w:p>
    <w:p>
      <w:pPr>
        <w:tabs>
          <w:tab w:val="right" w:leader="dot" w:pos="9062"/>
        </w:tabs>
        <w:ind w:left="440"/>
      </w:pPr>
      <w:hyperlink w:anchor="_Toc7496" w:history="1">
        <w:r>
          <w:rPr>
            <w:rFonts w:ascii="IRNazanin" w:hAnsi="IRNazanin" w:eastAsia="IRNazanin" w:cs="IRNazanin"/>
            <w:color w:val="111111"/>
            <w:sz w:val="22"/>
            <w:szCs w:val="22"/>
            <w:b w:val="0"/>
            <w:bCs w:val="0"/>
            <w:i w:val="0"/>
            <w:iCs w:val="0"/>
          </w:rPr>
          <w:t>6635- دیوان مخلص‏</w:t>
        </w:r>
        <w:r>
          <w:tab/>
        </w:r>
        <w:r>
          <w:fldChar w:fldCharType="begin"/>
        </w:r>
        <w:r>
          <w:instrText xml:space="preserve">PAGEREF 7496 \h</w:instrText>
        </w:r>
        <w:r>
          <w:fldChar w:fldCharType="end"/>
        </w:r>
      </w:hyperlink>
    </w:p>
    <w:p>
      <w:pPr>
        <w:tabs>
          <w:tab w:val="right" w:leader="dot" w:pos="9062"/>
        </w:tabs>
        <w:ind w:left="440"/>
      </w:pPr>
      <w:hyperlink w:anchor="_Toc7497" w:history="1">
        <w:r>
          <w:rPr>
            <w:rFonts w:ascii="IRNazanin" w:hAnsi="IRNazanin" w:eastAsia="IRNazanin" w:cs="IRNazanin"/>
            <w:color w:val="111111"/>
            <w:sz w:val="22"/>
            <w:szCs w:val="22"/>
            <w:b w:val="0"/>
            <w:bCs w:val="0"/>
            <w:i w:val="0"/>
            <w:iCs w:val="0"/>
          </w:rPr>
          <w:t>6636- دیوان مخلص انندرام هندی أو شعره‏</w:t>
        </w:r>
        <w:r>
          <w:tab/>
        </w:r>
        <w:r>
          <w:fldChar w:fldCharType="begin"/>
        </w:r>
        <w:r>
          <w:instrText xml:space="preserve">PAGEREF 7497 \h</w:instrText>
        </w:r>
        <w:r>
          <w:fldChar w:fldCharType="end"/>
        </w:r>
      </w:hyperlink>
    </w:p>
    <w:p>
      <w:pPr>
        <w:tabs>
          <w:tab w:val="right" w:leader="dot" w:pos="9062"/>
        </w:tabs>
        <w:ind w:left="440"/>
      </w:pPr>
      <w:hyperlink w:anchor="_Toc7498" w:history="1">
        <w:r>
          <w:rPr>
            <w:rFonts w:ascii="IRNazanin" w:hAnsi="IRNazanin" w:eastAsia="IRNazanin" w:cs="IRNazanin"/>
            <w:color w:val="111111"/>
            <w:sz w:val="22"/>
            <w:szCs w:val="22"/>
            <w:b w:val="0"/>
            <w:bCs w:val="0"/>
            <w:i w:val="0"/>
            <w:iCs w:val="0"/>
          </w:rPr>
          <w:t>دیوان مخلص تفرشی‏</w:t>
        </w:r>
        <w:r>
          <w:tab/>
        </w:r>
        <w:r>
          <w:fldChar w:fldCharType="begin"/>
        </w:r>
        <w:r>
          <w:instrText xml:space="preserve">PAGEREF 7498 \h</w:instrText>
        </w:r>
        <w:r>
          <w:fldChar w:fldCharType="end"/>
        </w:r>
      </w:hyperlink>
    </w:p>
    <w:p>
      <w:pPr>
        <w:tabs>
          <w:tab w:val="right" w:leader="dot" w:pos="9062"/>
        </w:tabs>
        <w:ind w:left="440"/>
      </w:pPr>
      <w:hyperlink w:anchor="_Toc7499" w:history="1">
        <w:r>
          <w:rPr>
            <w:rFonts w:ascii="IRNazanin" w:hAnsi="IRNazanin" w:eastAsia="IRNazanin" w:cs="IRNazanin"/>
            <w:color w:val="111111"/>
            <w:sz w:val="22"/>
            <w:szCs w:val="22"/>
            <w:b w:val="0"/>
            <w:bCs w:val="0"/>
            <w:i w:val="0"/>
            <w:iCs w:val="0"/>
          </w:rPr>
          <w:t>6637- دیوان مخلص تبریزی‏</w:t>
        </w:r>
        <w:r>
          <w:tab/>
        </w:r>
        <w:r>
          <w:fldChar w:fldCharType="begin"/>
        </w:r>
        <w:r>
          <w:instrText xml:space="preserve">PAGEREF 7499 \h</w:instrText>
        </w:r>
        <w:r>
          <w:fldChar w:fldCharType="end"/>
        </w:r>
      </w:hyperlink>
    </w:p>
    <w:p>
      <w:pPr>
        <w:tabs>
          <w:tab w:val="right" w:leader="dot" w:pos="9062"/>
        </w:tabs>
        <w:ind w:left="440"/>
      </w:pPr>
      <w:hyperlink w:anchor="_Toc7500" w:history="1">
        <w:r>
          <w:rPr>
            <w:rFonts w:ascii="IRNazanin" w:hAnsi="IRNazanin" w:eastAsia="IRNazanin" w:cs="IRNazanin"/>
            <w:color w:val="111111"/>
            <w:sz w:val="22"/>
            <w:szCs w:val="22"/>
            <w:b w:val="0"/>
            <w:bCs w:val="0"/>
            <w:i w:val="0"/>
            <w:iCs w:val="0"/>
          </w:rPr>
          <w:t>6638- دیوان مخلص سهرندی أو شعره‏</w:t>
        </w:r>
        <w:r>
          <w:tab/>
        </w:r>
        <w:r>
          <w:fldChar w:fldCharType="begin"/>
        </w:r>
        <w:r>
          <w:instrText xml:space="preserve">PAGEREF 7500 \h</w:instrText>
        </w:r>
        <w:r>
          <w:fldChar w:fldCharType="end"/>
        </w:r>
      </w:hyperlink>
    </w:p>
    <w:p>
      <w:pPr>
        <w:tabs>
          <w:tab w:val="right" w:leader="dot" w:pos="9062"/>
        </w:tabs>
        <w:ind w:left="440"/>
      </w:pPr>
      <w:hyperlink w:anchor="_Toc7501" w:history="1">
        <w:r>
          <w:rPr>
            <w:rFonts w:ascii="IRNazanin" w:hAnsi="IRNazanin" w:eastAsia="IRNazanin" w:cs="IRNazanin"/>
            <w:color w:val="111111"/>
            <w:sz w:val="22"/>
            <w:szCs w:val="22"/>
            <w:b w:val="0"/>
            <w:bCs w:val="0"/>
            <w:i w:val="0"/>
            <w:iCs w:val="0"/>
          </w:rPr>
          <w:t>6639- دیوان مخلص شیرازی أو شعره‏</w:t>
        </w:r>
        <w:r>
          <w:tab/>
        </w:r>
        <w:r>
          <w:fldChar w:fldCharType="begin"/>
        </w:r>
        <w:r>
          <w:instrText xml:space="preserve">PAGEREF 7501 \h</w:instrText>
        </w:r>
        <w:r>
          <w:fldChar w:fldCharType="end"/>
        </w:r>
      </w:hyperlink>
    </w:p>
    <w:p>
      <w:pPr>
        <w:tabs>
          <w:tab w:val="right" w:leader="dot" w:pos="9062"/>
        </w:tabs>
        <w:ind w:left="440"/>
      </w:pPr>
      <w:hyperlink w:anchor="_Toc7502" w:history="1">
        <w:r>
          <w:rPr>
            <w:rFonts w:ascii="IRNazanin" w:hAnsi="IRNazanin" w:eastAsia="IRNazanin" w:cs="IRNazanin"/>
            <w:color w:val="111111"/>
            <w:sz w:val="22"/>
            <w:szCs w:val="22"/>
            <w:b w:val="0"/>
            <w:bCs w:val="0"/>
            <w:i w:val="0"/>
            <w:iCs w:val="0"/>
          </w:rPr>
          <w:t>دیوان مخلص قمی‏</w:t>
        </w:r>
        <w:r>
          <w:tab/>
        </w:r>
        <w:r>
          <w:fldChar w:fldCharType="begin"/>
        </w:r>
        <w:r>
          <w:instrText xml:space="preserve">PAGEREF 7502 \h</w:instrText>
        </w:r>
        <w:r>
          <w:fldChar w:fldCharType="end"/>
        </w:r>
      </w:hyperlink>
    </w:p>
    <w:p>
      <w:pPr>
        <w:tabs>
          <w:tab w:val="right" w:leader="dot" w:pos="9062"/>
        </w:tabs>
        <w:ind w:left="440"/>
      </w:pPr>
      <w:hyperlink w:anchor="_Toc7503" w:history="1">
        <w:r>
          <w:rPr>
            <w:rFonts w:ascii="IRNazanin" w:hAnsi="IRNazanin" w:eastAsia="IRNazanin" w:cs="IRNazanin"/>
            <w:color w:val="111111"/>
            <w:sz w:val="22"/>
            <w:szCs w:val="22"/>
            <w:b w:val="0"/>
            <w:bCs w:val="0"/>
            <w:i w:val="0"/>
            <w:iCs w:val="0"/>
          </w:rPr>
          <w:t>6640- دیوان مخلص کاشانی‏</w:t>
        </w:r>
        <w:r>
          <w:tab/>
        </w:r>
        <w:r>
          <w:fldChar w:fldCharType="begin"/>
        </w:r>
        <w:r>
          <w:instrText xml:space="preserve">PAGEREF 7503 \h</w:instrText>
        </w:r>
        <w:r>
          <w:fldChar w:fldCharType="end"/>
        </w:r>
      </w:hyperlink>
    </w:p>
    <w:p>
      <w:pPr>
        <w:tabs>
          <w:tab w:val="right" w:leader="dot" w:pos="9062"/>
        </w:tabs>
        <w:ind w:left="440"/>
      </w:pPr>
      <w:hyperlink w:anchor="_Toc7504" w:history="1">
        <w:r>
          <w:rPr>
            <w:rFonts w:ascii="IRNazanin" w:hAnsi="IRNazanin" w:eastAsia="IRNazanin" w:cs="IRNazanin"/>
            <w:color w:val="111111"/>
            <w:sz w:val="22"/>
            <w:szCs w:val="22"/>
            <w:b w:val="0"/>
            <w:bCs w:val="0"/>
            <w:i w:val="0"/>
            <w:iCs w:val="0"/>
          </w:rPr>
          <w:t>6641- مخلص کشمیری أو شعره‏</w:t>
        </w:r>
        <w:r>
          <w:tab/>
        </w:r>
        <w:r>
          <w:fldChar w:fldCharType="begin"/>
        </w:r>
        <w:r>
          <w:instrText xml:space="preserve">PAGEREF 7504 \h</w:instrText>
        </w:r>
        <w:r>
          <w:fldChar w:fldCharType="end"/>
        </w:r>
      </w:hyperlink>
    </w:p>
    <w:p>
      <w:pPr>
        <w:tabs>
          <w:tab w:val="right" w:leader="dot" w:pos="9062"/>
        </w:tabs>
        <w:ind w:left="440"/>
      </w:pPr>
      <w:hyperlink w:anchor="_Toc7505" w:history="1">
        <w:r>
          <w:rPr>
            <w:rFonts w:ascii="IRNazanin" w:hAnsi="IRNazanin" w:eastAsia="IRNazanin" w:cs="IRNazanin"/>
            <w:color w:val="111111"/>
            <w:sz w:val="22"/>
            <w:szCs w:val="22"/>
            <w:b w:val="0"/>
            <w:bCs w:val="0"/>
            <w:i w:val="0"/>
            <w:iCs w:val="0"/>
          </w:rPr>
          <w:t>6642- دیوان مخلص میر بخشی أو شعره‏</w:t>
        </w:r>
        <w:r>
          <w:tab/>
        </w:r>
        <w:r>
          <w:fldChar w:fldCharType="begin"/>
        </w:r>
        <w:r>
          <w:instrText xml:space="preserve">PAGEREF 7505 \h</w:instrText>
        </w:r>
        <w:r>
          <w:fldChar w:fldCharType="end"/>
        </w:r>
      </w:hyperlink>
    </w:p>
    <w:p>
      <w:pPr>
        <w:tabs>
          <w:tab w:val="right" w:leader="dot" w:pos="9062"/>
        </w:tabs>
        <w:ind w:left="440"/>
      </w:pPr>
      <w:hyperlink w:anchor="_Toc7506" w:history="1">
        <w:r>
          <w:rPr>
            <w:rFonts w:ascii="IRNazanin" w:hAnsi="IRNazanin" w:eastAsia="IRNazanin" w:cs="IRNazanin"/>
            <w:color w:val="111111"/>
            <w:sz w:val="22"/>
            <w:szCs w:val="22"/>
            <w:b w:val="0"/>
            <w:bCs w:val="0"/>
            <w:i w:val="0"/>
            <w:iCs w:val="0"/>
          </w:rPr>
          <w:t>دیوان مخلص نراقی‏</w:t>
        </w:r>
        <w:r>
          <w:tab/>
        </w:r>
        <w:r>
          <w:fldChar w:fldCharType="begin"/>
        </w:r>
        <w:r>
          <w:instrText xml:space="preserve">PAGEREF 7506 \h</w:instrText>
        </w:r>
        <w:r>
          <w:fldChar w:fldCharType="end"/>
        </w:r>
      </w:hyperlink>
    </w:p>
    <w:p>
      <w:pPr>
        <w:tabs>
          <w:tab w:val="right" w:leader="dot" w:pos="9062"/>
        </w:tabs>
        <w:ind w:left="440"/>
      </w:pPr>
      <w:hyperlink w:anchor="_Toc7507" w:history="1">
        <w:r>
          <w:rPr>
            <w:rFonts w:ascii="IRNazanin" w:hAnsi="IRNazanin" w:eastAsia="IRNazanin" w:cs="IRNazanin"/>
            <w:color w:val="111111"/>
            <w:sz w:val="22"/>
            <w:szCs w:val="22"/>
            <w:b w:val="0"/>
            <w:bCs w:val="0"/>
            <w:i w:val="0"/>
            <w:iCs w:val="0"/>
          </w:rPr>
          <w:t>6643- دیوان مخلص نیشابوری‏</w:t>
        </w:r>
        <w:r>
          <w:tab/>
        </w:r>
        <w:r>
          <w:fldChar w:fldCharType="begin"/>
        </w:r>
        <w:r>
          <w:instrText xml:space="preserve">PAGEREF 7507 \h</w:instrText>
        </w:r>
        <w:r>
          <w:fldChar w:fldCharType="end"/>
        </w:r>
      </w:hyperlink>
    </w:p>
    <w:p>
      <w:pPr>
        <w:tabs>
          <w:tab w:val="right" w:leader="dot" w:pos="9062"/>
        </w:tabs>
        <w:ind w:left="440"/>
      </w:pPr>
      <w:hyperlink w:anchor="_Toc7508" w:history="1">
        <w:r>
          <w:rPr>
            <w:rFonts w:ascii="IRNazanin" w:hAnsi="IRNazanin" w:eastAsia="IRNazanin" w:cs="IRNazanin"/>
            <w:color w:val="111111"/>
            <w:sz w:val="22"/>
            <w:szCs w:val="22"/>
            <w:b w:val="0"/>
            <w:bCs w:val="0"/>
            <w:i w:val="0"/>
            <w:iCs w:val="0"/>
          </w:rPr>
          <w:t>دیوان مخلص هندی أو شعره‏</w:t>
        </w:r>
        <w:r>
          <w:tab/>
        </w:r>
        <w:r>
          <w:fldChar w:fldCharType="begin"/>
        </w:r>
        <w:r>
          <w:instrText xml:space="preserve">PAGEREF 7508 \h</w:instrText>
        </w:r>
        <w:r>
          <w:fldChar w:fldCharType="end"/>
        </w:r>
      </w:hyperlink>
    </w:p>
    <w:p>
      <w:pPr>
        <w:tabs>
          <w:tab w:val="right" w:leader="dot" w:pos="9062"/>
        </w:tabs>
        <w:ind w:left="440"/>
      </w:pPr>
      <w:hyperlink w:anchor="_Toc7509" w:history="1">
        <w:r>
          <w:rPr>
            <w:rFonts w:ascii="IRNazanin" w:hAnsi="IRNazanin" w:eastAsia="IRNazanin" w:cs="IRNazanin"/>
            <w:color w:val="111111"/>
            <w:sz w:val="22"/>
            <w:szCs w:val="22"/>
            <w:b w:val="0"/>
            <w:bCs w:val="0"/>
            <w:i w:val="0"/>
            <w:iCs w:val="0"/>
          </w:rPr>
          <w:t>6644- دیوان مخلصی آذربایجانی أو شعره‏</w:t>
        </w:r>
        <w:r>
          <w:tab/>
        </w:r>
        <w:r>
          <w:fldChar w:fldCharType="begin"/>
        </w:r>
        <w:r>
          <w:instrText xml:space="preserve">PAGEREF 7509 \h</w:instrText>
        </w:r>
        <w:r>
          <w:fldChar w:fldCharType="end"/>
        </w:r>
      </w:hyperlink>
    </w:p>
    <w:p>
      <w:pPr>
        <w:tabs>
          <w:tab w:val="right" w:leader="dot" w:pos="9062"/>
        </w:tabs>
        <w:ind w:left="440"/>
      </w:pPr>
      <w:hyperlink w:anchor="_Toc7510" w:history="1">
        <w:r>
          <w:rPr>
            <w:rFonts w:ascii="IRNazanin" w:hAnsi="IRNazanin" w:eastAsia="IRNazanin" w:cs="IRNazanin"/>
            <w:color w:val="111111"/>
            <w:sz w:val="22"/>
            <w:szCs w:val="22"/>
            <w:b w:val="0"/>
            <w:bCs w:val="0"/>
            <w:i w:val="0"/>
            <w:iCs w:val="0"/>
          </w:rPr>
          <w:t>6645- دیوان مخلصی سبزواری أو شعره‏</w:t>
        </w:r>
        <w:r>
          <w:tab/>
        </w:r>
        <w:r>
          <w:fldChar w:fldCharType="begin"/>
        </w:r>
        <w:r>
          <w:instrText xml:space="preserve">PAGEREF 7510 \h</w:instrText>
        </w:r>
        <w:r>
          <w:fldChar w:fldCharType="end"/>
        </w:r>
      </w:hyperlink>
    </w:p>
    <w:p>
      <w:pPr>
        <w:tabs>
          <w:tab w:val="right" w:leader="dot" w:pos="9062"/>
        </w:tabs>
        <w:ind w:left="440"/>
      </w:pPr>
      <w:hyperlink w:anchor="_Toc7511" w:history="1">
        <w:r>
          <w:rPr>
            <w:rFonts w:ascii="IRNazanin" w:hAnsi="IRNazanin" w:eastAsia="IRNazanin" w:cs="IRNazanin"/>
            <w:color w:val="111111"/>
            <w:sz w:val="22"/>
            <w:szCs w:val="22"/>
            <w:b w:val="0"/>
            <w:bCs w:val="0"/>
            <w:i w:val="0"/>
            <w:iCs w:val="0"/>
          </w:rPr>
          <w:t>6646- دیوان مخمور تبریزی‏</w:t>
        </w:r>
        <w:r>
          <w:tab/>
        </w:r>
        <w:r>
          <w:fldChar w:fldCharType="begin"/>
        </w:r>
        <w:r>
          <w:instrText xml:space="preserve">PAGEREF 7511 \h</w:instrText>
        </w:r>
        <w:r>
          <w:fldChar w:fldCharType="end"/>
        </w:r>
      </w:hyperlink>
    </w:p>
    <w:p>
      <w:pPr>
        <w:tabs>
          <w:tab w:val="right" w:leader="dot" w:pos="9062"/>
        </w:tabs>
        <w:ind w:left="440"/>
      </w:pPr>
      <w:hyperlink w:anchor="_Toc7512" w:history="1">
        <w:r>
          <w:rPr>
            <w:rFonts w:ascii="IRNazanin" w:hAnsi="IRNazanin" w:eastAsia="IRNazanin" w:cs="IRNazanin"/>
            <w:color w:val="111111"/>
            <w:sz w:val="22"/>
            <w:szCs w:val="22"/>
            <w:b w:val="0"/>
            <w:bCs w:val="0"/>
            <w:i w:val="0"/>
            <w:iCs w:val="0"/>
          </w:rPr>
          <w:t>6647- دیوان مخمور ملایری‏</w:t>
        </w:r>
        <w:r>
          <w:tab/>
        </w:r>
        <w:r>
          <w:fldChar w:fldCharType="begin"/>
        </w:r>
        <w:r>
          <w:instrText xml:space="preserve">PAGEREF 7512 \h</w:instrText>
        </w:r>
        <w:r>
          <w:fldChar w:fldCharType="end"/>
        </w:r>
      </w:hyperlink>
    </w:p>
    <w:p>
      <w:pPr>
        <w:tabs>
          <w:tab w:val="right" w:leader="dot" w:pos="9062"/>
        </w:tabs>
        <w:ind w:left="440"/>
      </w:pPr>
      <w:hyperlink w:anchor="_Toc7513" w:history="1">
        <w:r>
          <w:rPr>
            <w:rFonts w:ascii="IRNazanin" w:hAnsi="IRNazanin" w:eastAsia="IRNazanin" w:cs="IRNazanin"/>
            <w:color w:val="111111"/>
            <w:sz w:val="22"/>
            <w:szCs w:val="22"/>
            <w:b w:val="0"/>
            <w:bCs w:val="0"/>
            <w:i w:val="0"/>
            <w:iCs w:val="0"/>
          </w:rPr>
          <w:t>6648- دیوان مخمور مشهدی‏</w:t>
        </w:r>
        <w:r>
          <w:tab/>
        </w:r>
        <w:r>
          <w:fldChar w:fldCharType="begin"/>
        </w:r>
        <w:r>
          <w:instrText xml:space="preserve">PAGEREF 7513 \h</w:instrText>
        </w:r>
        <w:r>
          <w:fldChar w:fldCharType="end"/>
        </w:r>
      </w:hyperlink>
    </w:p>
    <w:p>
      <w:pPr>
        <w:tabs>
          <w:tab w:val="right" w:leader="dot" w:pos="9062"/>
        </w:tabs>
        <w:ind w:left="440"/>
      </w:pPr>
      <w:hyperlink w:anchor="_Toc7514" w:history="1">
        <w:r>
          <w:rPr>
            <w:rFonts w:ascii="IRNazanin" w:hAnsi="IRNazanin" w:eastAsia="IRNazanin" w:cs="IRNazanin"/>
            <w:color w:val="111111"/>
            <w:sz w:val="22"/>
            <w:szCs w:val="22"/>
            <w:b w:val="0"/>
            <w:bCs w:val="0"/>
            <w:i w:val="0"/>
            <w:iCs w:val="0"/>
          </w:rPr>
          <w:t>6649- دیوان مداح حبیب‏آبادی‏</w:t>
        </w:r>
        <w:r>
          <w:tab/>
        </w:r>
        <w:r>
          <w:fldChar w:fldCharType="begin"/>
        </w:r>
        <w:r>
          <w:instrText xml:space="preserve">PAGEREF 7514 \h</w:instrText>
        </w:r>
        <w:r>
          <w:fldChar w:fldCharType="end"/>
        </w:r>
      </w:hyperlink>
    </w:p>
    <w:p>
      <w:pPr>
        <w:tabs>
          <w:tab w:val="right" w:leader="dot" w:pos="9062"/>
        </w:tabs>
        <w:ind w:left="440"/>
      </w:pPr>
      <w:hyperlink w:anchor="_Toc7515" w:history="1">
        <w:r>
          <w:rPr>
            <w:rFonts w:ascii="IRNazanin" w:hAnsi="IRNazanin" w:eastAsia="IRNazanin" w:cs="IRNazanin"/>
            <w:color w:val="111111"/>
            <w:sz w:val="22"/>
            <w:szCs w:val="22"/>
            <w:b w:val="0"/>
            <w:bCs w:val="0"/>
            <w:i w:val="0"/>
            <w:iCs w:val="0"/>
          </w:rPr>
          <w:t>6650- دیوان مداح کشمیری‏</w:t>
        </w:r>
        <w:r>
          <w:tab/>
        </w:r>
        <w:r>
          <w:fldChar w:fldCharType="begin"/>
        </w:r>
        <w:r>
          <w:instrText xml:space="preserve">PAGEREF 7515 \h</w:instrText>
        </w:r>
        <w:r>
          <w:fldChar w:fldCharType="end"/>
        </w:r>
      </w:hyperlink>
    </w:p>
    <w:p>
      <w:pPr>
        <w:tabs>
          <w:tab w:val="right" w:leader="dot" w:pos="9062"/>
        </w:tabs>
        <w:ind w:left="440"/>
      </w:pPr>
      <w:hyperlink w:anchor="_Toc7516" w:history="1">
        <w:r>
          <w:rPr>
            <w:rFonts w:ascii="IRNazanin" w:hAnsi="IRNazanin" w:eastAsia="IRNazanin" w:cs="IRNazanin"/>
            <w:color w:val="111111"/>
            <w:sz w:val="22"/>
            <w:szCs w:val="22"/>
            <w:b w:val="0"/>
            <w:bCs w:val="0"/>
            <w:i w:val="0"/>
            <w:iCs w:val="0"/>
          </w:rPr>
          <w:t>6651- دیوان مداح مشهدی‏</w:t>
        </w:r>
        <w:r>
          <w:tab/>
        </w:r>
        <w:r>
          <w:fldChar w:fldCharType="begin"/>
        </w:r>
        <w:r>
          <w:instrText xml:space="preserve">PAGEREF 7516 \h</w:instrText>
        </w:r>
        <w:r>
          <w:fldChar w:fldCharType="end"/>
        </w:r>
      </w:hyperlink>
    </w:p>
    <w:p>
      <w:pPr>
        <w:tabs>
          <w:tab w:val="right" w:leader="dot" w:pos="9062"/>
        </w:tabs>
        <w:ind w:left="440"/>
      </w:pPr>
      <w:hyperlink w:anchor="_Toc7517" w:history="1">
        <w:r>
          <w:rPr>
            <w:rFonts w:ascii="IRNazanin" w:hAnsi="IRNazanin" w:eastAsia="IRNazanin" w:cs="IRNazanin"/>
            <w:color w:val="111111"/>
            <w:sz w:val="22"/>
            <w:szCs w:val="22"/>
            <w:b w:val="0"/>
            <w:bCs w:val="0"/>
            <w:i w:val="0"/>
            <w:iCs w:val="0"/>
          </w:rPr>
          <w:t>6652- دیوان مدامی أصفهانی أو شعره‏</w:t>
        </w:r>
        <w:r>
          <w:tab/>
        </w:r>
        <w:r>
          <w:fldChar w:fldCharType="begin"/>
        </w:r>
        <w:r>
          <w:instrText xml:space="preserve">PAGEREF 7517 \h</w:instrText>
        </w:r>
        <w:r>
          <w:fldChar w:fldCharType="end"/>
        </w:r>
      </w:hyperlink>
    </w:p>
    <w:p>
      <w:pPr>
        <w:tabs>
          <w:tab w:val="right" w:leader="dot" w:pos="9062"/>
        </w:tabs>
        <w:ind w:left="440"/>
      </w:pPr>
      <w:hyperlink w:anchor="_Toc7518" w:history="1">
        <w:r>
          <w:rPr>
            <w:rFonts w:ascii="IRNazanin" w:hAnsi="IRNazanin" w:eastAsia="IRNazanin" w:cs="IRNazanin"/>
            <w:color w:val="111111"/>
            <w:sz w:val="22"/>
            <w:szCs w:val="22"/>
            <w:b w:val="0"/>
            <w:bCs w:val="0"/>
            <w:i w:val="0"/>
            <w:iCs w:val="0"/>
          </w:rPr>
          <w:t>6653- دیوان مدامی همدانی أو شعره‏</w:t>
        </w:r>
        <w:r>
          <w:tab/>
        </w:r>
        <w:r>
          <w:fldChar w:fldCharType="begin"/>
        </w:r>
        <w:r>
          <w:instrText xml:space="preserve">PAGEREF 7518 \h</w:instrText>
        </w:r>
        <w:r>
          <w:fldChar w:fldCharType="end"/>
        </w:r>
      </w:hyperlink>
    </w:p>
    <w:p>
      <w:pPr>
        <w:tabs>
          <w:tab w:val="right" w:leader="dot" w:pos="9062"/>
        </w:tabs>
        <w:ind w:left="440"/>
      </w:pPr>
      <w:hyperlink w:anchor="_Toc7519" w:history="1">
        <w:r>
          <w:rPr>
            <w:rFonts w:ascii="IRNazanin" w:hAnsi="IRNazanin" w:eastAsia="IRNazanin" w:cs="IRNazanin"/>
            <w:color w:val="111111"/>
            <w:sz w:val="22"/>
            <w:szCs w:val="22"/>
            <w:b w:val="0"/>
            <w:bCs w:val="0"/>
            <w:i w:val="0"/>
            <w:iCs w:val="0"/>
          </w:rPr>
          <w:t>6654- دیوان مدامی هندی أو شعره‏</w:t>
        </w:r>
        <w:r>
          <w:tab/>
        </w:r>
        <w:r>
          <w:fldChar w:fldCharType="begin"/>
        </w:r>
        <w:r>
          <w:instrText xml:space="preserve">PAGEREF 7519 \h</w:instrText>
        </w:r>
        <w:r>
          <w:fldChar w:fldCharType="end"/>
        </w:r>
      </w:hyperlink>
    </w:p>
    <w:p>
      <w:pPr>
        <w:tabs>
          <w:tab w:val="right" w:leader="dot" w:pos="9062"/>
        </w:tabs>
        <w:ind w:left="440"/>
      </w:pPr>
      <w:hyperlink w:anchor="_Toc7520" w:history="1">
        <w:r>
          <w:rPr>
            <w:rFonts w:ascii="IRNazanin" w:hAnsi="IRNazanin" w:eastAsia="IRNazanin" w:cs="IRNazanin"/>
            <w:color w:val="111111"/>
            <w:sz w:val="22"/>
            <w:szCs w:val="22"/>
            <w:b w:val="0"/>
            <w:bCs w:val="0"/>
            <w:i w:val="0"/>
            <w:iCs w:val="0"/>
          </w:rPr>
          <w:t>6655- مدامی یزدی‏</w:t>
        </w:r>
        <w:r>
          <w:tab/>
        </w:r>
        <w:r>
          <w:fldChar w:fldCharType="begin"/>
        </w:r>
        <w:r>
          <w:instrText xml:space="preserve">PAGEREF 7520 \h</w:instrText>
        </w:r>
        <w:r>
          <w:fldChar w:fldCharType="end"/>
        </w:r>
      </w:hyperlink>
    </w:p>
    <w:p>
      <w:pPr>
        <w:tabs>
          <w:tab w:val="right" w:leader="dot" w:pos="9062"/>
        </w:tabs>
        <w:ind w:left="440"/>
      </w:pPr>
      <w:hyperlink w:anchor="_Toc7521" w:history="1">
        <w:r>
          <w:rPr>
            <w:rFonts w:ascii="IRNazanin" w:hAnsi="IRNazanin" w:eastAsia="IRNazanin" w:cs="IRNazanin"/>
            <w:color w:val="111111"/>
            <w:sz w:val="22"/>
            <w:szCs w:val="22"/>
            <w:b w:val="0"/>
            <w:bCs w:val="0"/>
            <w:i w:val="0"/>
            <w:iCs w:val="0"/>
          </w:rPr>
          <w:t>6656- دیوان مدرس أصفهانی‏</w:t>
        </w:r>
        <w:r>
          <w:tab/>
        </w:r>
        <w:r>
          <w:fldChar w:fldCharType="begin"/>
        </w:r>
        <w:r>
          <w:instrText xml:space="preserve">PAGEREF 7521 \h</w:instrText>
        </w:r>
        <w:r>
          <w:fldChar w:fldCharType="end"/>
        </w:r>
      </w:hyperlink>
    </w:p>
    <w:p>
      <w:pPr>
        <w:tabs>
          <w:tab w:val="right" w:leader="dot" w:pos="9062"/>
        </w:tabs>
        <w:ind w:left="440"/>
      </w:pPr>
      <w:hyperlink w:anchor="_Toc7522" w:history="1">
        <w:r>
          <w:rPr>
            <w:rFonts w:ascii="IRNazanin" w:hAnsi="IRNazanin" w:eastAsia="IRNazanin" w:cs="IRNazanin"/>
            <w:color w:val="111111"/>
            <w:sz w:val="22"/>
            <w:szCs w:val="22"/>
            <w:b w:val="0"/>
            <w:bCs w:val="0"/>
            <w:i w:val="0"/>
            <w:iCs w:val="0"/>
          </w:rPr>
          <w:t>دیوان مدرس حائری‏</w:t>
        </w:r>
        <w:r>
          <w:tab/>
        </w:r>
        <w:r>
          <w:fldChar w:fldCharType="begin"/>
        </w:r>
        <w:r>
          <w:instrText xml:space="preserve">PAGEREF 7522 \h</w:instrText>
        </w:r>
        <w:r>
          <w:fldChar w:fldCharType="end"/>
        </w:r>
      </w:hyperlink>
    </w:p>
    <w:p>
      <w:pPr>
        <w:tabs>
          <w:tab w:val="right" w:leader="dot" w:pos="9062"/>
        </w:tabs>
        <w:ind w:left="440"/>
      </w:pPr>
      <w:hyperlink w:anchor="_Toc7523" w:history="1">
        <w:r>
          <w:rPr>
            <w:rFonts w:ascii="IRNazanin" w:hAnsi="IRNazanin" w:eastAsia="IRNazanin" w:cs="IRNazanin"/>
            <w:color w:val="111111"/>
            <w:sz w:val="22"/>
            <w:szCs w:val="22"/>
            <w:b w:val="0"/>
            <w:bCs w:val="0"/>
            <w:i w:val="0"/>
            <w:iCs w:val="0"/>
          </w:rPr>
          <w:t>6657- دیوان مدرس زنجانی‏</w:t>
        </w:r>
        <w:r>
          <w:tab/>
        </w:r>
        <w:r>
          <w:fldChar w:fldCharType="begin"/>
        </w:r>
        <w:r>
          <w:instrText xml:space="preserve">PAGEREF 7523 \h</w:instrText>
        </w:r>
        <w:r>
          <w:fldChar w:fldCharType="end"/>
        </w:r>
      </w:hyperlink>
    </w:p>
    <w:p>
      <w:pPr>
        <w:tabs>
          <w:tab w:val="right" w:leader="dot" w:pos="9062"/>
        </w:tabs>
        <w:ind w:left="440"/>
      </w:pPr>
      <w:hyperlink w:anchor="_Toc7524" w:history="1">
        <w:r>
          <w:rPr>
            <w:rFonts w:ascii="IRNazanin" w:hAnsi="IRNazanin" w:eastAsia="IRNazanin" w:cs="IRNazanin"/>
            <w:color w:val="111111"/>
            <w:sz w:val="22"/>
            <w:szCs w:val="22"/>
            <w:b w:val="0"/>
            <w:bCs w:val="0"/>
            <w:i w:val="0"/>
            <w:iCs w:val="0"/>
          </w:rPr>
          <w:t>6658- دیوان مدرس شیرازی‏</w:t>
        </w:r>
        <w:r>
          <w:tab/>
        </w:r>
        <w:r>
          <w:fldChar w:fldCharType="begin"/>
        </w:r>
        <w:r>
          <w:instrText xml:space="preserve">PAGEREF 7524 \h</w:instrText>
        </w:r>
        <w:r>
          <w:fldChar w:fldCharType="end"/>
        </w:r>
      </w:hyperlink>
    </w:p>
    <w:p>
      <w:pPr>
        <w:tabs>
          <w:tab w:val="right" w:leader="dot" w:pos="9062"/>
        </w:tabs>
        <w:ind w:left="440"/>
      </w:pPr>
      <w:hyperlink w:anchor="_Toc7525" w:history="1">
        <w:r>
          <w:rPr>
            <w:rFonts w:ascii="IRNazanin" w:hAnsi="IRNazanin" w:eastAsia="IRNazanin" w:cs="IRNazanin"/>
            <w:color w:val="111111"/>
            <w:sz w:val="22"/>
            <w:szCs w:val="22"/>
            <w:b w:val="0"/>
            <w:bCs w:val="0"/>
            <w:i w:val="0"/>
            <w:iCs w:val="0"/>
          </w:rPr>
          <w:t>6659- دیوان مدرک شیرازی‏</w:t>
        </w:r>
        <w:r>
          <w:tab/>
        </w:r>
        <w:r>
          <w:fldChar w:fldCharType="begin"/>
        </w:r>
        <w:r>
          <w:instrText xml:space="preserve">PAGEREF 7525 \h</w:instrText>
        </w:r>
        <w:r>
          <w:fldChar w:fldCharType="end"/>
        </w:r>
      </w:hyperlink>
    </w:p>
    <w:p>
      <w:pPr>
        <w:tabs>
          <w:tab w:val="right" w:leader="dot" w:pos="9062"/>
        </w:tabs>
        <w:ind w:left="440"/>
      </w:pPr>
      <w:hyperlink w:anchor="_Toc7526" w:history="1">
        <w:r>
          <w:rPr>
            <w:rFonts w:ascii="IRNazanin" w:hAnsi="IRNazanin" w:eastAsia="IRNazanin" w:cs="IRNazanin"/>
            <w:color w:val="111111"/>
            <w:sz w:val="22"/>
            <w:szCs w:val="22"/>
            <w:b w:val="0"/>
            <w:bCs w:val="0"/>
            <w:i w:val="0"/>
            <w:iCs w:val="0"/>
          </w:rPr>
          <w:t>6660- دیوان مدرکی أو شعره‏</w:t>
        </w:r>
        <w:r>
          <w:tab/>
        </w:r>
        <w:r>
          <w:fldChar w:fldCharType="begin"/>
        </w:r>
        <w:r>
          <w:instrText xml:space="preserve">PAGEREF 7526 \h</w:instrText>
        </w:r>
        <w:r>
          <w:fldChar w:fldCharType="end"/>
        </w:r>
      </w:hyperlink>
    </w:p>
    <w:p>
      <w:pPr>
        <w:tabs>
          <w:tab w:val="right" w:leader="dot" w:pos="9062"/>
        </w:tabs>
        <w:ind w:left="440"/>
      </w:pPr>
      <w:hyperlink w:anchor="_Toc7527" w:history="1">
        <w:r>
          <w:rPr>
            <w:rFonts w:ascii="IRNazanin" w:hAnsi="IRNazanin" w:eastAsia="IRNazanin" w:cs="IRNazanin"/>
            <w:color w:val="111111"/>
            <w:sz w:val="22"/>
            <w:szCs w:val="22"/>
            <w:b w:val="0"/>
            <w:bCs w:val="0"/>
            <w:i w:val="0"/>
            <w:iCs w:val="0"/>
          </w:rPr>
          <w:t>دیوان مدهوش أصفهانی‏</w:t>
        </w:r>
        <w:r>
          <w:tab/>
        </w:r>
        <w:r>
          <w:fldChar w:fldCharType="begin"/>
        </w:r>
        <w:r>
          <w:instrText xml:space="preserve">PAGEREF 7527 \h</w:instrText>
        </w:r>
        <w:r>
          <w:fldChar w:fldCharType="end"/>
        </w:r>
      </w:hyperlink>
    </w:p>
    <w:p>
      <w:pPr>
        <w:tabs>
          <w:tab w:val="right" w:leader="dot" w:pos="9062"/>
        </w:tabs>
        <w:ind w:left="440"/>
      </w:pPr>
      <w:hyperlink w:anchor="_Toc7528" w:history="1">
        <w:r>
          <w:rPr>
            <w:rFonts w:ascii="IRNazanin" w:hAnsi="IRNazanin" w:eastAsia="IRNazanin" w:cs="IRNazanin"/>
            <w:color w:val="111111"/>
            <w:sz w:val="22"/>
            <w:szCs w:val="22"/>
            <w:b w:val="0"/>
            <w:bCs w:val="0"/>
            <w:i w:val="0"/>
            <w:iCs w:val="0"/>
          </w:rPr>
          <w:t>6661- دیوان مدهوش جرفادقانی أو شعره‏</w:t>
        </w:r>
        <w:r>
          <w:tab/>
        </w:r>
        <w:r>
          <w:fldChar w:fldCharType="begin"/>
        </w:r>
        <w:r>
          <w:instrText xml:space="preserve">PAGEREF 7528 \h</w:instrText>
        </w:r>
        <w:r>
          <w:fldChar w:fldCharType="end"/>
        </w:r>
      </w:hyperlink>
    </w:p>
    <w:p>
      <w:pPr>
        <w:tabs>
          <w:tab w:val="right" w:leader="dot" w:pos="9062"/>
        </w:tabs>
        <w:ind w:left="440"/>
      </w:pPr>
      <w:hyperlink w:anchor="_Toc7529" w:history="1">
        <w:r>
          <w:rPr>
            <w:rFonts w:ascii="IRNazanin" w:hAnsi="IRNazanin" w:eastAsia="IRNazanin" w:cs="IRNazanin"/>
            <w:color w:val="111111"/>
            <w:sz w:val="22"/>
            <w:szCs w:val="22"/>
            <w:b w:val="0"/>
            <w:bCs w:val="0"/>
            <w:i w:val="0"/>
            <w:iCs w:val="0"/>
          </w:rPr>
          <w:t>6662- دیوان مدهوش طهرانی‏</w:t>
        </w:r>
        <w:r>
          <w:tab/>
        </w:r>
        <w:r>
          <w:fldChar w:fldCharType="begin"/>
        </w:r>
        <w:r>
          <w:instrText xml:space="preserve">PAGEREF 7529 \h</w:instrText>
        </w:r>
        <w:r>
          <w:fldChar w:fldCharType="end"/>
        </w:r>
      </w:hyperlink>
    </w:p>
    <w:p>
      <w:pPr>
        <w:tabs>
          <w:tab w:val="right" w:leader="dot" w:pos="9062"/>
        </w:tabs>
        <w:ind w:left="440"/>
      </w:pPr>
      <w:hyperlink w:anchor="_Toc7530" w:history="1">
        <w:r>
          <w:rPr>
            <w:rFonts w:ascii="IRNazanin" w:hAnsi="IRNazanin" w:eastAsia="IRNazanin" w:cs="IRNazanin"/>
            <w:color w:val="111111"/>
            <w:sz w:val="22"/>
            <w:szCs w:val="22"/>
            <w:b w:val="0"/>
            <w:bCs w:val="0"/>
            <w:i w:val="0"/>
            <w:iCs w:val="0"/>
          </w:rPr>
          <w:t>6663- دیوان مدهوش عربستانی‏</w:t>
        </w:r>
        <w:r>
          <w:tab/>
        </w:r>
        <w:r>
          <w:fldChar w:fldCharType="begin"/>
        </w:r>
        <w:r>
          <w:instrText xml:space="preserve">PAGEREF 7530 \h</w:instrText>
        </w:r>
        <w:r>
          <w:fldChar w:fldCharType="end"/>
        </w:r>
      </w:hyperlink>
    </w:p>
    <w:p>
      <w:pPr>
        <w:tabs>
          <w:tab w:val="right" w:leader="dot" w:pos="9062"/>
        </w:tabs>
        <w:ind w:left="440"/>
      </w:pPr>
      <w:hyperlink w:anchor="_Toc7531" w:history="1">
        <w:r>
          <w:rPr>
            <w:rFonts w:ascii="IRNazanin" w:hAnsi="IRNazanin" w:eastAsia="IRNazanin" w:cs="IRNazanin"/>
            <w:color w:val="111111"/>
            <w:sz w:val="22"/>
            <w:szCs w:val="22"/>
            <w:b w:val="0"/>
            <w:bCs w:val="0"/>
            <w:i w:val="0"/>
            <w:iCs w:val="0"/>
          </w:rPr>
          <w:t>6664- دیوان مدهوش لاهوری أو شعره‏</w:t>
        </w:r>
        <w:r>
          <w:tab/>
        </w:r>
        <w:r>
          <w:fldChar w:fldCharType="begin"/>
        </w:r>
        <w:r>
          <w:instrText xml:space="preserve">PAGEREF 7531 \h</w:instrText>
        </w:r>
        <w:r>
          <w:fldChar w:fldCharType="end"/>
        </w:r>
      </w:hyperlink>
    </w:p>
    <w:p>
      <w:pPr>
        <w:tabs>
          <w:tab w:val="right" w:leader="dot" w:pos="9062"/>
        </w:tabs>
        <w:ind w:left="440"/>
      </w:pPr>
      <w:hyperlink w:anchor="_Toc7532" w:history="1">
        <w:r>
          <w:rPr>
            <w:rFonts w:ascii="IRNazanin" w:hAnsi="IRNazanin" w:eastAsia="IRNazanin" w:cs="IRNazanin"/>
            <w:color w:val="111111"/>
            <w:sz w:val="22"/>
            <w:szCs w:val="22"/>
            <w:b w:val="0"/>
            <w:bCs w:val="0"/>
            <w:i w:val="0"/>
            <w:iCs w:val="0"/>
          </w:rPr>
          <w:t>6665- دیوان مدیحی أو شعره‏</w:t>
        </w:r>
        <w:r>
          <w:tab/>
        </w:r>
        <w:r>
          <w:fldChar w:fldCharType="begin"/>
        </w:r>
        <w:r>
          <w:instrText xml:space="preserve">PAGEREF 7532 \h</w:instrText>
        </w:r>
        <w:r>
          <w:fldChar w:fldCharType="end"/>
        </w:r>
      </w:hyperlink>
    </w:p>
    <w:p>
      <w:pPr>
        <w:tabs>
          <w:tab w:val="right" w:leader="dot" w:pos="9062"/>
        </w:tabs>
        <w:ind w:left="440"/>
      </w:pPr>
      <w:hyperlink w:anchor="_Toc7533" w:history="1">
        <w:r>
          <w:rPr>
            <w:rFonts w:ascii="IRNazanin" w:hAnsi="IRNazanin" w:eastAsia="IRNazanin" w:cs="IRNazanin"/>
            <w:color w:val="111111"/>
            <w:sz w:val="22"/>
            <w:szCs w:val="22"/>
            <w:b w:val="0"/>
            <w:bCs w:val="0"/>
            <w:i w:val="0"/>
            <w:iCs w:val="0"/>
          </w:rPr>
          <w:t>6666- دیوان مذاق هندی‏</w:t>
        </w:r>
        <w:r>
          <w:tab/>
        </w:r>
        <w:r>
          <w:fldChar w:fldCharType="begin"/>
        </w:r>
        <w:r>
          <w:instrText xml:space="preserve">PAGEREF 7533 \h</w:instrText>
        </w:r>
        <w:r>
          <w:fldChar w:fldCharType="end"/>
        </w:r>
      </w:hyperlink>
    </w:p>
    <w:p>
      <w:pPr>
        <w:tabs>
          <w:tab w:val="right" w:leader="dot" w:pos="9062"/>
        </w:tabs>
        <w:ind w:left="440"/>
      </w:pPr>
      <w:hyperlink w:anchor="_Toc7534" w:history="1">
        <w:r>
          <w:rPr>
            <w:rFonts w:ascii="IRNazanin" w:hAnsi="IRNazanin" w:eastAsia="IRNazanin" w:cs="IRNazanin"/>
            <w:color w:val="111111"/>
            <w:sz w:val="22"/>
            <w:szCs w:val="22"/>
            <w:b w:val="0"/>
            <w:bCs w:val="0"/>
            <w:i w:val="0"/>
            <w:iCs w:val="0"/>
          </w:rPr>
          <w:t>6667- دیوان مذاقی تکلو أو شعره‏</w:t>
        </w:r>
        <w:r>
          <w:tab/>
        </w:r>
        <w:r>
          <w:fldChar w:fldCharType="begin"/>
        </w:r>
        <w:r>
          <w:instrText xml:space="preserve">PAGEREF 7534 \h</w:instrText>
        </w:r>
        <w:r>
          <w:fldChar w:fldCharType="end"/>
        </w:r>
      </w:hyperlink>
    </w:p>
    <w:p>
      <w:pPr>
        <w:tabs>
          <w:tab w:val="right" w:leader="dot" w:pos="9062"/>
        </w:tabs>
        <w:ind w:left="440"/>
      </w:pPr>
      <w:hyperlink w:anchor="_Toc7535" w:history="1">
        <w:r>
          <w:rPr>
            <w:rFonts w:ascii="IRNazanin" w:hAnsi="IRNazanin" w:eastAsia="IRNazanin" w:cs="IRNazanin"/>
            <w:color w:val="111111"/>
            <w:sz w:val="22"/>
            <w:szCs w:val="22"/>
            <w:b w:val="0"/>
            <w:bCs w:val="0"/>
            <w:i w:val="0"/>
            <w:iCs w:val="0"/>
          </w:rPr>
          <w:t>6668- دیوان مذاقی نائنی أو شعره‏</w:t>
        </w:r>
        <w:r>
          <w:tab/>
        </w:r>
        <w:r>
          <w:fldChar w:fldCharType="begin"/>
        </w:r>
        <w:r>
          <w:instrText xml:space="preserve">PAGEREF 7535 \h</w:instrText>
        </w:r>
        <w:r>
          <w:fldChar w:fldCharType="end"/>
        </w:r>
      </w:hyperlink>
    </w:p>
    <w:p>
      <w:pPr>
        <w:tabs>
          <w:tab w:val="right" w:leader="dot" w:pos="9062"/>
        </w:tabs>
        <w:ind w:left="440"/>
      </w:pPr>
      <w:hyperlink w:anchor="_Toc7536" w:history="1">
        <w:r>
          <w:rPr>
            <w:rFonts w:ascii="IRNazanin" w:hAnsi="IRNazanin" w:eastAsia="IRNazanin" w:cs="IRNazanin"/>
            <w:color w:val="111111"/>
            <w:sz w:val="22"/>
            <w:szCs w:val="22"/>
            <w:b w:val="0"/>
            <w:bCs w:val="0"/>
            <w:i w:val="0"/>
            <w:iCs w:val="0"/>
          </w:rPr>
          <w:t>6669- دیوان مذاقی نیشابوری أو شعره‏</w:t>
        </w:r>
        <w:r>
          <w:tab/>
        </w:r>
        <w:r>
          <w:fldChar w:fldCharType="begin"/>
        </w:r>
        <w:r>
          <w:instrText xml:space="preserve">PAGEREF 7536 \h</w:instrText>
        </w:r>
        <w:r>
          <w:fldChar w:fldCharType="end"/>
        </w:r>
      </w:hyperlink>
    </w:p>
    <w:p>
      <w:pPr>
        <w:tabs>
          <w:tab w:val="right" w:leader="dot" w:pos="9062"/>
        </w:tabs>
        <w:ind w:left="440"/>
      </w:pPr>
      <w:hyperlink w:anchor="_Toc7537" w:history="1">
        <w:r>
          <w:rPr>
            <w:rFonts w:ascii="IRNazanin" w:hAnsi="IRNazanin" w:eastAsia="IRNazanin" w:cs="IRNazanin"/>
            <w:color w:val="111111"/>
            <w:sz w:val="22"/>
            <w:szCs w:val="22"/>
            <w:b w:val="0"/>
            <w:bCs w:val="0"/>
            <w:i w:val="0"/>
            <w:iCs w:val="0"/>
          </w:rPr>
          <w:t>6670- دیوان مذنب‏</w:t>
        </w:r>
        <w:r>
          <w:tab/>
        </w:r>
        <w:r>
          <w:fldChar w:fldCharType="begin"/>
        </w:r>
        <w:r>
          <w:instrText xml:space="preserve">PAGEREF 7537 \h</w:instrText>
        </w:r>
        <w:r>
          <w:fldChar w:fldCharType="end"/>
        </w:r>
      </w:hyperlink>
    </w:p>
    <w:p>
      <w:pPr>
        <w:tabs>
          <w:tab w:val="right" w:leader="dot" w:pos="9062"/>
        </w:tabs>
        <w:ind w:left="440"/>
      </w:pPr>
      <w:hyperlink w:anchor="_Toc7538" w:history="1">
        <w:r>
          <w:rPr>
            <w:rFonts w:ascii="IRNazanin" w:hAnsi="IRNazanin" w:eastAsia="IRNazanin" w:cs="IRNazanin"/>
            <w:color w:val="111111"/>
            <w:sz w:val="22"/>
            <w:szCs w:val="22"/>
            <w:b w:val="0"/>
            <w:bCs w:val="0"/>
            <w:i w:val="0"/>
            <w:iCs w:val="0"/>
          </w:rPr>
          <w:t>6671- دیوان مذنب بدایونی‏</w:t>
        </w:r>
        <w:r>
          <w:tab/>
        </w:r>
        <w:r>
          <w:fldChar w:fldCharType="begin"/>
        </w:r>
        <w:r>
          <w:instrText xml:space="preserve">PAGEREF 7538 \h</w:instrText>
        </w:r>
        <w:r>
          <w:fldChar w:fldCharType="end"/>
        </w:r>
      </w:hyperlink>
    </w:p>
    <w:p>
      <w:pPr>
        <w:tabs>
          <w:tab w:val="right" w:leader="dot" w:pos="9062"/>
        </w:tabs>
        <w:ind w:left="440"/>
      </w:pPr>
      <w:hyperlink w:anchor="_Toc7539" w:history="1">
        <w:r>
          <w:rPr>
            <w:rFonts w:ascii="IRNazanin" w:hAnsi="IRNazanin" w:eastAsia="IRNazanin" w:cs="IRNazanin"/>
            <w:color w:val="111111"/>
            <w:sz w:val="22"/>
            <w:szCs w:val="22"/>
            <w:b w:val="0"/>
            <w:bCs w:val="0"/>
            <w:i w:val="0"/>
            <w:iCs w:val="0"/>
          </w:rPr>
          <w:t>6672- دیوان مذنب بمرودی‏</w:t>
        </w:r>
        <w:r>
          <w:tab/>
        </w:r>
        <w:r>
          <w:fldChar w:fldCharType="begin"/>
        </w:r>
        <w:r>
          <w:instrText xml:space="preserve">PAGEREF 7539 \h</w:instrText>
        </w:r>
        <w:r>
          <w:fldChar w:fldCharType="end"/>
        </w:r>
      </w:hyperlink>
    </w:p>
    <w:p>
      <w:pPr>
        <w:tabs>
          <w:tab w:val="right" w:leader="dot" w:pos="9062"/>
        </w:tabs>
        <w:ind w:left="440"/>
      </w:pPr>
      <w:hyperlink w:anchor="_Toc7540" w:history="1">
        <w:r>
          <w:rPr>
            <w:rFonts w:ascii="IRNazanin" w:hAnsi="IRNazanin" w:eastAsia="IRNazanin" w:cs="IRNazanin"/>
            <w:color w:val="111111"/>
            <w:sz w:val="22"/>
            <w:szCs w:val="22"/>
            <w:b w:val="0"/>
            <w:bCs w:val="0"/>
            <w:i w:val="0"/>
            <w:iCs w:val="0"/>
          </w:rPr>
          <w:t>6673- مذنب تبریزی‏</w:t>
        </w:r>
        <w:r>
          <w:tab/>
        </w:r>
        <w:r>
          <w:fldChar w:fldCharType="begin"/>
        </w:r>
        <w:r>
          <w:instrText xml:space="preserve">PAGEREF 7540 \h</w:instrText>
        </w:r>
        <w:r>
          <w:fldChar w:fldCharType="end"/>
        </w:r>
      </w:hyperlink>
    </w:p>
    <w:p>
      <w:pPr>
        <w:tabs>
          <w:tab w:val="right" w:leader="dot" w:pos="9062"/>
        </w:tabs>
        <w:ind w:left="440"/>
      </w:pPr>
      <w:hyperlink w:anchor="_Toc7541" w:history="1">
        <w:r>
          <w:rPr>
            <w:rFonts w:ascii="IRNazanin" w:hAnsi="IRNazanin" w:eastAsia="IRNazanin" w:cs="IRNazanin"/>
            <w:color w:val="111111"/>
            <w:sz w:val="22"/>
            <w:szCs w:val="22"/>
            <w:b w:val="0"/>
            <w:bCs w:val="0"/>
            <w:i w:val="0"/>
            <w:iCs w:val="0"/>
          </w:rPr>
          <w:t>6674- دیوان مذنب خراسانی‏</w:t>
        </w:r>
        <w:r>
          <w:tab/>
        </w:r>
        <w:r>
          <w:fldChar w:fldCharType="begin"/>
        </w:r>
        <w:r>
          <w:instrText xml:space="preserve">PAGEREF 7541 \h</w:instrText>
        </w:r>
        <w:r>
          <w:fldChar w:fldCharType="end"/>
        </w:r>
      </w:hyperlink>
    </w:p>
    <w:p>
      <w:pPr>
        <w:tabs>
          <w:tab w:val="right" w:leader="dot" w:pos="9062"/>
        </w:tabs>
        <w:ind w:left="440"/>
      </w:pPr>
      <w:hyperlink w:anchor="_Toc7542" w:history="1">
        <w:r>
          <w:rPr>
            <w:rFonts w:ascii="IRNazanin" w:hAnsi="IRNazanin" w:eastAsia="IRNazanin" w:cs="IRNazanin"/>
            <w:color w:val="111111"/>
            <w:sz w:val="22"/>
            <w:szCs w:val="22"/>
            <w:b w:val="0"/>
            <w:bCs w:val="0"/>
            <w:i w:val="0"/>
            <w:iCs w:val="0"/>
          </w:rPr>
          <w:t>6675- دیوان مذهب أو شعره‏</w:t>
        </w:r>
        <w:r>
          <w:tab/>
        </w:r>
        <w:r>
          <w:fldChar w:fldCharType="begin"/>
        </w:r>
        <w:r>
          <w:instrText xml:space="preserve">PAGEREF 7542 \h</w:instrText>
        </w:r>
        <w:r>
          <w:fldChar w:fldCharType="end"/>
        </w:r>
      </w:hyperlink>
    </w:p>
    <w:p>
      <w:pPr>
        <w:tabs>
          <w:tab w:val="right" w:leader="dot" w:pos="9062"/>
        </w:tabs>
        <w:ind w:left="440"/>
      </w:pPr>
      <w:hyperlink w:anchor="_Toc7543" w:history="1">
        <w:r>
          <w:rPr>
            <w:rFonts w:ascii="IRNazanin" w:hAnsi="IRNazanin" w:eastAsia="IRNazanin" w:cs="IRNazanin"/>
            <w:color w:val="111111"/>
            <w:sz w:val="22"/>
            <w:szCs w:val="22"/>
            <w:b w:val="0"/>
            <w:bCs w:val="0"/>
            <w:i w:val="0"/>
            <w:iCs w:val="0"/>
          </w:rPr>
          <w:t>6676- دیوان مذهب أصفهانی أو شعره‏</w:t>
        </w:r>
        <w:r>
          <w:tab/>
        </w:r>
        <w:r>
          <w:fldChar w:fldCharType="begin"/>
        </w:r>
        <w:r>
          <w:instrText xml:space="preserve">PAGEREF 7543 \h</w:instrText>
        </w:r>
        <w:r>
          <w:fldChar w:fldCharType="end"/>
        </w:r>
      </w:hyperlink>
    </w:p>
    <w:p>
      <w:pPr>
        <w:tabs>
          <w:tab w:val="right" w:leader="dot" w:pos="9062"/>
        </w:tabs>
        <w:ind w:left="440"/>
      </w:pPr>
      <w:hyperlink w:anchor="_Toc7544" w:history="1">
        <w:r>
          <w:rPr>
            <w:rFonts w:ascii="IRNazanin" w:hAnsi="IRNazanin" w:eastAsia="IRNazanin" w:cs="IRNazanin"/>
            <w:color w:val="111111"/>
            <w:sz w:val="22"/>
            <w:szCs w:val="22"/>
            <w:b w:val="0"/>
            <w:bCs w:val="0"/>
            <w:i w:val="0"/>
            <w:iCs w:val="0"/>
          </w:rPr>
          <w:t>6677- دیوان مراد پهلوان شیرازی‏</w:t>
        </w:r>
        <w:r>
          <w:tab/>
        </w:r>
        <w:r>
          <w:fldChar w:fldCharType="begin"/>
        </w:r>
        <w:r>
          <w:instrText xml:space="preserve">PAGEREF 7544 \h</w:instrText>
        </w:r>
        <w:r>
          <w:fldChar w:fldCharType="end"/>
        </w:r>
      </w:hyperlink>
    </w:p>
    <w:p>
      <w:pPr>
        <w:tabs>
          <w:tab w:val="right" w:leader="dot" w:pos="9062"/>
        </w:tabs>
        <w:ind w:left="440"/>
      </w:pPr>
      <w:hyperlink w:anchor="_Toc7545" w:history="1">
        <w:r>
          <w:rPr>
            <w:rFonts w:ascii="IRNazanin" w:hAnsi="IRNazanin" w:eastAsia="IRNazanin" w:cs="IRNazanin"/>
            <w:color w:val="111111"/>
            <w:sz w:val="22"/>
            <w:szCs w:val="22"/>
            <w:b w:val="0"/>
            <w:bCs w:val="0"/>
            <w:i w:val="0"/>
            <w:iCs w:val="0"/>
          </w:rPr>
          <w:t>6678- دیوان ملا مراد تسوجی‏</w:t>
        </w:r>
        <w:r>
          <w:tab/>
        </w:r>
        <w:r>
          <w:fldChar w:fldCharType="begin"/>
        </w:r>
        <w:r>
          <w:instrText xml:space="preserve">PAGEREF 7545 \h</w:instrText>
        </w:r>
        <w:r>
          <w:fldChar w:fldCharType="end"/>
        </w:r>
      </w:hyperlink>
    </w:p>
    <w:p>
      <w:pPr>
        <w:tabs>
          <w:tab w:val="right" w:leader="dot" w:pos="9062"/>
        </w:tabs>
        <w:ind w:left="440"/>
      </w:pPr>
      <w:hyperlink w:anchor="_Toc7546" w:history="1">
        <w:r>
          <w:rPr>
            <w:rFonts w:ascii="IRNazanin" w:hAnsi="IRNazanin" w:eastAsia="IRNazanin" w:cs="IRNazanin"/>
            <w:color w:val="111111"/>
            <w:sz w:val="22"/>
            <w:szCs w:val="22"/>
            <w:b w:val="0"/>
            <w:bCs w:val="0"/>
            <w:i w:val="0"/>
            <w:iCs w:val="0"/>
          </w:rPr>
          <w:t>6679- دیوان شاه مراد خوانساری‏</w:t>
        </w:r>
        <w:r>
          <w:tab/>
        </w:r>
        <w:r>
          <w:fldChar w:fldCharType="begin"/>
        </w:r>
        <w:r>
          <w:instrText xml:space="preserve">PAGEREF 7546 \h</w:instrText>
        </w:r>
        <w:r>
          <w:fldChar w:fldCharType="end"/>
        </w:r>
      </w:hyperlink>
    </w:p>
    <w:p>
      <w:pPr>
        <w:tabs>
          <w:tab w:val="right" w:leader="dot" w:pos="9062"/>
        </w:tabs>
        <w:ind w:left="440"/>
      </w:pPr>
      <w:hyperlink w:anchor="_Toc7547" w:history="1">
        <w:r>
          <w:rPr>
            <w:rFonts w:ascii="IRNazanin" w:hAnsi="IRNazanin" w:eastAsia="IRNazanin" w:cs="IRNazanin"/>
            <w:color w:val="111111"/>
            <w:sz w:val="22"/>
            <w:szCs w:val="22"/>
            <w:b w:val="0"/>
            <w:bCs w:val="0"/>
            <w:i w:val="0"/>
            <w:iCs w:val="0"/>
          </w:rPr>
          <w:t>6680- دیوان مراد میرزا صفوی أو شعره‏</w:t>
        </w:r>
        <w:r>
          <w:tab/>
        </w:r>
        <w:r>
          <w:fldChar w:fldCharType="begin"/>
        </w:r>
        <w:r>
          <w:instrText xml:space="preserve">PAGEREF 7547 \h</w:instrText>
        </w:r>
        <w:r>
          <w:fldChar w:fldCharType="end"/>
        </w:r>
      </w:hyperlink>
    </w:p>
    <w:p>
      <w:pPr>
        <w:tabs>
          <w:tab w:val="right" w:leader="dot" w:pos="9062"/>
        </w:tabs>
        <w:ind w:left="440"/>
      </w:pPr>
      <w:hyperlink w:anchor="_Toc7548" w:history="1">
        <w:r>
          <w:rPr>
            <w:rFonts w:ascii="IRNazanin" w:hAnsi="IRNazanin" w:eastAsia="IRNazanin" w:cs="IRNazanin"/>
            <w:color w:val="111111"/>
            <w:sz w:val="22"/>
            <w:szCs w:val="22"/>
            <w:b w:val="0"/>
            <w:bCs w:val="0"/>
            <w:i w:val="0"/>
            <w:iCs w:val="0"/>
          </w:rPr>
          <w:t>6681- دیوان مراد قزوینی‏</w:t>
        </w:r>
        <w:r>
          <w:tab/>
        </w:r>
        <w:r>
          <w:fldChar w:fldCharType="begin"/>
        </w:r>
        <w:r>
          <w:instrText xml:space="preserve">PAGEREF 7548 \h</w:instrText>
        </w:r>
        <w:r>
          <w:fldChar w:fldCharType="end"/>
        </w:r>
      </w:hyperlink>
    </w:p>
    <w:p>
      <w:pPr>
        <w:tabs>
          <w:tab w:val="right" w:leader="dot" w:pos="9062"/>
        </w:tabs>
        <w:ind w:left="440"/>
      </w:pPr>
      <w:hyperlink w:anchor="_Toc7549" w:history="1">
        <w:r>
          <w:rPr>
            <w:rFonts w:ascii="IRNazanin" w:hAnsi="IRNazanin" w:eastAsia="IRNazanin" w:cs="IRNazanin"/>
            <w:color w:val="111111"/>
            <w:sz w:val="22"/>
            <w:szCs w:val="22"/>
            <w:b w:val="0"/>
            <w:bCs w:val="0"/>
            <w:i w:val="0"/>
            <w:iCs w:val="0"/>
          </w:rPr>
          <w:t>6682- دیوان مراد کرمانی أو شعره‏</w:t>
        </w:r>
        <w:r>
          <w:tab/>
        </w:r>
        <w:r>
          <w:fldChar w:fldCharType="begin"/>
        </w:r>
        <w:r>
          <w:instrText xml:space="preserve">PAGEREF 7549 \h</w:instrText>
        </w:r>
        <w:r>
          <w:fldChar w:fldCharType="end"/>
        </w:r>
      </w:hyperlink>
    </w:p>
    <w:p>
      <w:pPr>
        <w:tabs>
          <w:tab w:val="right" w:leader="dot" w:pos="9062"/>
        </w:tabs>
        <w:ind w:left="440"/>
      </w:pPr>
      <w:hyperlink w:anchor="_Toc7550" w:history="1">
        <w:r>
          <w:rPr>
            <w:rFonts w:ascii="IRNazanin" w:hAnsi="IRNazanin" w:eastAsia="IRNazanin" w:cs="IRNazanin"/>
            <w:color w:val="111111"/>
            <w:sz w:val="22"/>
            <w:szCs w:val="22"/>
            <w:b w:val="0"/>
            <w:bCs w:val="0"/>
            <w:i w:val="0"/>
            <w:iCs w:val="0"/>
          </w:rPr>
          <w:t>6683- دیوان مرادی یزدی أو شعره‏</w:t>
        </w:r>
        <w:r>
          <w:tab/>
        </w:r>
        <w:r>
          <w:fldChar w:fldCharType="begin"/>
        </w:r>
        <w:r>
          <w:instrText xml:space="preserve">PAGEREF 7550 \h</w:instrText>
        </w:r>
        <w:r>
          <w:fldChar w:fldCharType="end"/>
        </w:r>
      </w:hyperlink>
    </w:p>
    <w:p>
      <w:pPr>
        <w:tabs>
          <w:tab w:val="right" w:leader="dot" w:pos="9062"/>
        </w:tabs>
        <w:ind w:left="440"/>
      </w:pPr>
      <w:hyperlink w:anchor="_Toc7551" w:history="1">
        <w:r>
          <w:rPr>
            <w:rFonts w:ascii="IRNazanin" w:hAnsi="IRNazanin" w:eastAsia="IRNazanin" w:cs="IRNazanin"/>
            <w:color w:val="111111"/>
            <w:sz w:val="22"/>
            <w:szCs w:val="22"/>
            <w:b w:val="0"/>
            <w:bCs w:val="0"/>
            <w:i w:val="0"/>
            <w:iCs w:val="0"/>
          </w:rPr>
          <w:t>دیوان مراغی‏</w:t>
        </w:r>
        <w:r>
          <w:tab/>
        </w:r>
        <w:r>
          <w:fldChar w:fldCharType="begin"/>
        </w:r>
        <w:r>
          <w:instrText xml:space="preserve">PAGEREF 7551 \h</w:instrText>
        </w:r>
        <w:r>
          <w:fldChar w:fldCharType="end"/>
        </w:r>
      </w:hyperlink>
    </w:p>
    <w:p>
      <w:pPr>
        <w:tabs>
          <w:tab w:val="right" w:leader="dot" w:pos="9062"/>
        </w:tabs>
        <w:ind w:left="440"/>
      </w:pPr>
      <w:hyperlink w:anchor="_Toc7552" w:history="1">
        <w:r>
          <w:rPr>
            <w:rFonts w:ascii="IRNazanin" w:hAnsi="IRNazanin" w:eastAsia="IRNazanin" w:cs="IRNazanin"/>
            <w:color w:val="111111"/>
            <w:sz w:val="22"/>
            <w:szCs w:val="22"/>
            <w:b w:val="0"/>
            <w:bCs w:val="0"/>
            <w:i w:val="0"/>
            <w:iCs w:val="0"/>
          </w:rPr>
          <w:t>6684- دیوان مرتاض نائینی‏</w:t>
        </w:r>
        <w:r>
          <w:tab/>
        </w:r>
        <w:r>
          <w:fldChar w:fldCharType="begin"/>
        </w:r>
        <w:r>
          <w:instrText xml:space="preserve">PAGEREF 7552 \h</w:instrText>
        </w:r>
        <w:r>
          <w:fldChar w:fldCharType="end"/>
        </w:r>
      </w:hyperlink>
    </w:p>
    <w:p>
      <w:pPr>
        <w:tabs>
          <w:tab w:val="right" w:leader="dot" w:pos="9062"/>
        </w:tabs>
        <w:ind w:left="440"/>
      </w:pPr>
      <w:hyperlink w:anchor="_Toc7553" w:history="1">
        <w:r>
          <w:rPr>
            <w:rFonts w:ascii="IRNazanin" w:hAnsi="IRNazanin" w:eastAsia="IRNazanin" w:cs="IRNazanin"/>
            <w:color w:val="111111"/>
            <w:sz w:val="22"/>
            <w:szCs w:val="22"/>
            <w:b w:val="0"/>
            <w:bCs w:val="0"/>
            <w:i w:val="0"/>
            <w:iCs w:val="0"/>
          </w:rPr>
          <w:t>6685- دیوان مرتاض هروی أو شعره‏</w:t>
        </w:r>
        <w:r>
          <w:tab/>
        </w:r>
        <w:r>
          <w:fldChar w:fldCharType="begin"/>
        </w:r>
        <w:r>
          <w:instrText xml:space="preserve">PAGEREF 7553 \h</w:instrText>
        </w:r>
        <w:r>
          <w:fldChar w:fldCharType="end"/>
        </w:r>
      </w:hyperlink>
    </w:p>
    <w:p>
      <w:pPr>
        <w:tabs>
          <w:tab w:val="right" w:leader="dot" w:pos="9062"/>
        </w:tabs>
        <w:ind w:left="440"/>
      </w:pPr>
      <w:hyperlink w:anchor="_Toc7554" w:history="1">
        <w:r>
          <w:rPr>
            <w:rFonts w:ascii="IRNazanin" w:hAnsi="IRNazanin" w:eastAsia="IRNazanin" w:cs="IRNazanin"/>
            <w:color w:val="111111"/>
            <w:sz w:val="22"/>
            <w:szCs w:val="22"/>
            <w:b w:val="0"/>
            <w:bCs w:val="0"/>
            <w:i w:val="0"/>
            <w:iCs w:val="0"/>
          </w:rPr>
          <w:t>6686- دیوان مرتضوی تبریزی‏</w:t>
        </w:r>
        <w:r>
          <w:tab/>
        </w:r>
        <w:r>
          <w:fldChar w:fldCharType="begin"/>
        </w:r>
        <w:r>
          <w:instrText xml:space="preserve">PAGEREF 7554 \h</w:instrText>
        </w:r>
        <w:r>
          <w:fldChar w:fldCharType="end"/>
        </w:r>
      </w:hyperlink>
    </w:p>
    <w:p>
      <w:pPr>
        <w:tabs>
          <w:tab w:val="right" w:leader="dot" w:pos="9062"/>
        </w:tabs>
        <w:ind w:left="440"/>
      </w:pPr>
      <w:hyperlink w:anchor="_Toc7555" w:history="1">
        <w:r>
          <w:rPr>
            <w:rFonts w:ascii="IRNazanin" w:hAnsi="IRNazanin" w:eastAsia="IRNazanin" w:cs="IRNazanin"/>
            <w:color w:val="111111"/>
            <w:sz w:val="22"/>
            <w:szCs w:val="22"/>
            <w:b w:val="0"/>
            <w:bCs w:val="0"/>
            <w:i w:val="0"/>
            <w:iCs w:val="0"/>
          </w:rPr>
          <w:t>6687- دیوان الشیخ مرتضی آل یاسین‏</w:t>
        </w:r>
        <w:r>
          <w:tab/>
        </w:r>
        <w:r>
          <w:fldChar w:fldCharType="begin"/>
        </w:r>
        <w:r>
          <w:instrText xml:space="preserve">PAGEREF 7555 \h</w:instrText>
        </w:r>
        <w:r>
          <w:fldChar w:fldCharType="end"/>
        </w:r>
      </w:hyperlink>
    </w:p>
    <w:p>
      <w:pPr>
        <w:tabs>
          <w:tab w:val="right" w:leader="dot" w:pos="9062"/>
        </w:tabs>
        <w:ind w:left="440"/>
      </w:pPr>
      <w:hyperlink w:anchor="_Toc7556" w:history="1">
        <w:r>
          <w:rPr>
            <w:rFonts w:ascii="IRNazanin" w:hAnsi="IRNazanin" w:eastAsia="IRNazanin" w:cs="IRNazanin"/>
            <w:color w:val="111111"/>
            <w:sz w:val="22"/>
            <w:szCs w:val="22"/>
            <w:b w:val="0"/>
            <w:bCs w:val="0"/>
            <w:i w:val="0"/>
            <w:iCs w:val="0"/>
          </w:rPr>
          <w:t>6688- دیوان مرتضی أرتیمانی أو شعره‏</w:t>
        </w:r>
        <w:r>
          <w:tab/>
        </w:r>
        <w:r>
          <w:fldChar w:fldCharType="begin"/>
        </w:r>
        <w:r>
          <w:instrText xml:space="preserve">PAGEREF 7556 \h</w:instrText>
        </w:r>
        <w:r>
          <w:fldChar w:fldCharType="end"/>
        </w:r>
      </w:hyperlink>
    </w:p>
    <w:p>
      <w:pPr>
        <w:tabs>
          <w:tab w:val="right" w:leader="dot" w:pos="9062"/>
        </w:tabs>
        <w:ind w:left="440"/>
      </w:pPr>
      <w:hyperlink w:anchor="_Toc7557" w:history="1">
        <w:r>
          <w:rPr>
            <w:rFonts w:ascii="IRNazanin" w:hAnsi="IRNazanin" w:eastAsia="IRNazanin" w:cs="IRNazanin"/>
            <w:color w:val="111111"/>
            <w:sz w:val="22"/>
            <w:szCs w:val="22"/>
            <w:b w:val="0"/>
            <w:bCs w:val="0"/>
            <w:i w:val="0"/>
            <w:iCs w:val="0"/>
          </w:rPr>
          <w:t>6689- دیوان سید مرتضی أصفهانی أو شعره‏</w:t>
        </w:r>
        <w:r>
          <w:tab/>
        </w:r>
        <w:r>
          <w:fldChar w:fldCharType="begin"/>
        </w:r>
        <w:r>
          <w:instrText xml:space="preserve">PAGEREF 7557 \h</w:instrText>
        </w:r>
        <w:r>
          <w:fldChar w:fldCharType="end"/>
        </w:r>
      </w:hyperlink>
    </w:p>
    <w:p>
      <w:pPr>
        <w:tabs>
          <w:tab w:val="right" w:leader="dot" w:pos="9062"/>
        </w:tabs>
        <w:ind w:left="440"/>
      </w:pPr>
      <w:hyperlink w:anchor="_Toc7558" w:history="1">
        <w:r>
          <w:rPr>
            <w:rFonts w:ascii="IRNazanin" w:hAnsi="IRNazanin" w:eastAsia="IRNazanin" w:cs="IRNazanin"/>
            <w:color w:val="111111"/>
            <w:sz w:val="22"/>
            <w:szCs w:val="22"/>
            <w:b w:val="0"/>
            <w:bCs w:val="0"/>
            <w:i w:val="0"/>
            <w:iCs w:val="0"/>
          </w:rPr>
          <w:t>دیوان الشریف المرتضی البغدادی‏</w:t>
        </w:r>
        <w:r>
          <w:tab/>
        </w:r>
        <w:r>
          <w:fldChar w:fldCharType="begin"/>
        </w:r>
        <w:r>
          <w:instrText xml:space="preserve">PAGEREF 7558 \h</w:instrText>
        </w:r>
        <w:r>
          <w:fldChar w:fldCharType="end"/>
        </w:r>
      </w:hyperlink>
    </w:p>
    <w:p>
      <w:pPr>
        <w:tabs>
          <w:tab w:val="right" w:leader="dot" w:pos="9062"/>
        </w:tabs>
        <w:ind w:left="440"/>
      </w:pPr>
      <w:hyperlink w:anchor="_Toc7559" w:history="1">
        <w:r>
          <w:rPr>
            <w:rFonts w:ascii="IRNazanin" w:hAnsi="IRNazanin" w:eastAsia="IRNazanin" w:cs="IRNazanin"/>
            <w:color w:val="111111"/>
            <w:sz w:val="22"/>
            <w:szCs w:val="22"/>
            <w:b w:val="0"/>
            <w:bCs w:val="0"/>
            <w:i w:val="0"/>
            <w:iCs w:val="0"/>
          </w:rPr>
          <w:t>6690- دیوان مرتضی تویسرکانی أو شعره‏</w:t>
        </w:r>
        <w:r>
          <w:tab/>
        </w:r>
        <w:r>
          <w:fldChar w:fldCharType="begin"/>
        </w:r>
        <w:r>
          <w:instrText xml:space="preserve">PAGEREF 7559 \h</w:instrText>
        </w:r>
        <w:r>
          <w:fldChar w:fldCharType="end"/>
        </w:r>
      </w:hyperlink>
    </w:p>
    <w:p>
      <w:pPr>
        <w:tabs>
          <w:tab w:val="right" w:leader="dot" w:pos="9062"/>
        </w:tabs>
        <w:ind w:left="440"/>
      </w:pPr>
      <w:hyperlink w:anchor="_Toc7560" w:history="1">
        <w:r>
          <w:rPr>
            <w:rFonts w:ascii="IRNazanin" w:hAnsi="IRNazanin" w:eastAsia="IRNazanin" w:cs="IRNazanin"/>
            <w:color w:val="111111"/>
            <w:sz w:val="22"/>
            <w:szCs w:val="22"/>
            <w:b w:val="0"/>
            <w:bCs w:val="0"/>
            <w:i w:val="0"/>
            <w:iCs w:val="0"/>
          </w:rPr>
          <w:t>6691- دیوان میر مرتضی زرگر أو شعره‏</w:t>
        </w:r>
        <w:r>
          <w:tab/>
        </w:r>
        <w:r>
          <w:fldChar w:fldCharType="begin"/>
        </w:r>
        <w:r>
          <w:instrText xml:space="preserve">PAGEREF 7560 \h</w:instrText>
        </w:r>
        <w:r>
          <w:fldChar w:fldCharType="end"/>
        </w:r>
      </w:hyperlink>
    </w:p>
    <w:p>
      <w:pPr>
        <w:tabs>
          <w:tab w:val="right" w:leader="dot" w:pos="9062"/>
        </w:tabs>
        <w:ind w:left="440"/>
      </w:pPr>
      <w:hyperlink w:anchor="_Toc7561" w:history="1">
        <w:r>
          <w:rPr>
            <w:rFonts w:ascii="IRNazanin" w:hAnsi="IRNazanin" w:eastAsia="IRNazanin" w:cs="IRNazanin"/>
            <w:color w:val="111111"/>
            <w:sz w:val="22"/>
            <w:szCs w:val="22"/>
            <w:b w:val="0"/>
            <w:bCs w:val="0"/>
            <w:i w:val="0"/>
            <w:iCs w:val="0"/>
          </w:rPr>
          <w:t>6692- دیوان مرتضی سمنانی أو شعره‏</w:t>
        </w:r>
        <w:r>
          <w:tab/>
        </w:r>
        <w:r>
          <w:fldChar w:fldCharType="begin"/>
        </w:r>
        <w:r>
          <w:instrText xml:space="preserve">PAGEREF 7561 \h</w:instrText>
        </w:r>
        <w:r>
          <w:fldChar w:fldCharType="end"/>
        </w:r>
      </w:hyperlink>
    </w:p>
    <w:p>
      <w:pPr>
        <w:tabs>
          <w:tab w:val="right" w:leader="dot" w:pos="9062"/>
        </w:tabs>
        <w:ind w:left="440"/>
      </w:pPr>
      <w:hyperlink w:anchor="_Toc7562" w:history="1">
        <w:r>
          <w:rPr>
            <w:rFonts w:ascii="IRNazanin" w:hAnsi="IRNazanin" w:eastAsia="IRNazanin" w:cs="IRNazanin"/>
            <w:color w:val="111111"/>
            <w:sz w:val="22"/>
            <w:szCs w:val="22"/>
            <w:b w:val="0"/>
            <w:bCs w:val="0"/>
            <w:i w:val="0"/>
            <w:iCs w:val="0"/>
          </w:rPr>
          <w:t>6693- دیوان مرتضی شاملو</w:t>
        </w:r>
        <w:r>
          <w:tab/>
        </w:r>
        <w:r>
          <w:fldChar w:fldCharType="begin"/>
        </w:r>
        <w:r>
          <w:instrText xml:space="preserve">PAGEREF 7562 \h</w:instrText>
        </w:r>
        <w:r>
          <w:fldChar w:fldCharType="end"/>
        </w:r>
      </w:hyperlink>
    </w:p>
    <w:p>
      <w:pPr>
        <w:tabs>
          <w:tab w:val="right" w:leader="dot" w:pos="9062"/>
        </w:tabs>
        <w:ind w:left="440"/>
      </w:pPr>
      <w:hyperlink w:anchor="_Toc7563" w:history="1">
        <w:r>
          <w:rPr>
            <w:rFonts w:ascii="IRNazanin" w:hAnsi="IRNazanin" w:eastAsia="IRNazanin" w:cs="IRNazanin"/>
            <w:color w:val="111111"/>
            <w:sz w:val="22"/>
            <w:szCs w:val="22"/>
            <w:b w:val="0"/>
            <w:bCs w:val="0"/>
            <w:i w:val="0"/>
            <w:iCs w:val="0"/>
          </w:rPr>
          <w:t>6694- دیوان مرتضی قزوینی أو شعره‏</w:t>
        </w:r>
        <w:r>
          <w:tab/>
        </w:r>
        <w:r>
          <w:fldChar w:fldCharType="begin"/>
        </w:r>
        <w:r>
          <w:instrText xml:space="preserve">PAGEREF 7563 \h</w:instrText>
        </w:r>
        <w:r>
          <w:fldChar w:fldCharType="end"/>
        </w:r>
      </w:hyperlink>
    </w:p>
    <w:p>
      <w:pPr>
        <w:tabs>
          <w:tab w:val="right" w:leader="dot" w:pos="9062"/>
        </w:tabs>
        <w:ind w:left="440"/>
      </w:pPr>
      <w:hyperlink w:anchor="_Toc7564" w:history="1">
        <w:r>
          <w:rPr>
            <w:rFonts w:ascii="IRNazanin" w:hAnsi="IRNazanin" w:eastAsia="IRNazanin" w:cs="IRNazanin"/>
            <w:color w:val="111111"/>
            <w:sz w:val="22"/>
            <w:szCs w:val="22"/>
            <w:b w:val="0"/>
            <w:bCs w:val="0"/>
            <w:i w:val="0"/>
            <w:iCs w:val="0"/>
          </w:rPr>
          <w:t>6695- دیوان مرتضی قلی بیک‏</w:t>
        </w:r>
        <w:r>
          <w:tab/>
        </w:r>
        <w:r>
          <w:fldChar w:fldCharType="begin"/>
        </w:r>
        <w:r>
          <w:instrText xml:space="preserve">PAGEREF 7564 \h</w:instrText>
        </w:r>
        <w:r>
          <w:fldChar w:fldCharType="end"/>
        </w:r>
      </w:hyperlink>
    </w:p>
    <w:p>
      <w:pPr>
        <w:tabs>
          <w:tab w:val="right" w:leader="dot" w:pos="9062"/>
        </w:tabs>
        <w:ind w:left="440"/>
      </w:pPr>
      <w:hyperlink w:anchor="_Toc7565" w:history="1">
        <w:r>
          <w:rPr>
            <w:rFonts w:ascii="IRNazanin" w:hAnsi="IRNazanin" w:eastAsia="IRNazanin" w:cs="IRNazanin"/>
            <w:color w:val="111111"/>
            <w:sz w:val="22"/>
            <w:szCs w:val="22"/>
            <w:b w:val="0"/>
            <w:bCs w:val="0"/>
            <w:i w:val="0"/>
            <w:iCs w:val="0"/>
          </w:rPr>
          <w:t>6696- دیوان مرتضی قلی بیک‏</w:t>
        </w:r>
        <w:r>
          <w:tab/>
        </w:r>
        <w:r>
          <w:fldChar w:fldCharType="begin"/>
        </w:r>
        <w:r>
          <w:instrText xml:space="preserve">PAGEREF 7565 \h</w:instrText>
        </w:r>
        <w:r>
          <w:fldChar w:fldCharType="end"/>
        </w:r>
      </w:hyperlink>
    </w:p>
    <w:p>
      <w:pPr>
        <w:tabs>
          <w:tab w:val="right" w:leader="dot" w:pos="9062"/>
        </w:tabs>
        <w:ind w:left="440"/>
      </w:pPr>
      <w:hyperlink w:anchor="_Toc7566" w:history="1">
        <w:r>
          <w:rPr>
            <w:rFonts w:ascii="IRNazanin" w:hAnsi="IRNazanin" w:eastAsia="IRNazanin" w:cs="IRNazanin"/>
            <w:color w:val="111111"/>
            <w:sz w:val="22"/>
            <w:szCs w:val="22"/>
            <w:b w:val="0"/>
            <w:bCs w:val="0"/>
            <w:i w:val="0"/>
            <w:iCs w:val="0"/>
          </w:rPr>
          <w:t>6697- دیوان مرتضی قلی خان‏</w:t>
        </w:r>
        <w:r>
          <w:tab/>
        </w:r>
        <w:r>
          <w:fldChar w:fldCharType="begin"/>
        </w:r>
        <w:r>
          <w:instrText xml:space="preserve">PAGEREF 7566 \h</w:instrText>
        </w:r>
        <w:r>
          <w:fldChar w:fldCharType="end"/>
        </w:r>
      </w:hyperlink>
    </w:p>
    <w:p>
      <w:pPr>
        <w:tabs>
          <w:tab w:val="right" w:leader="dot" w:pos="9062"/>
        </w:tabs>
        <w:ind w:left="440"/>
      </w:pPr>
      <w:hyperlink w:anchor="_Toc7567" w:history="1">
        <w:r>
          <w:rPr>
            <w:rFonts w:ascii="IRNazanin" w:hAnsi="IRNazanin" w:eastAsia="IRNazanin" w:cs="IRNazanin"/>
            <w:color w:val="111111"/>
            <w:sz w:val="22"/>
            <w:szCs w:val="22"/>
            <w:b w:val="0"/>
            <w:bCs w:val="0"/>
            <w:i w:val="0"/>
            <w:iCs w:val="0"/>
          </w:rPr>
          <w:t>دیوان مرتضی قلی خان شاملو</w:t>
        </w:r>
        <w:r>
          <w:tab/>
        </w:r>
        <w:r>
          <w:fldChar w:fldCharType="begin"/>
        </w:r>
        <w:r>
          <w:instrText xml:space="preserve">PAGEREF 7567 \h</w:instrText>
        </w:r>
        <w:r>
          <w:fldChar w:fldCharType="end"/>
        </w:r>
      </w:hyperlink>
    </w:p>
    <w:p>
      <w:pPr>
        <w:tabs>
          <w:tab w:val="right" w:leader="dot" w:pos="9062"/>
        </w:tabs>
        <w:ind w:left="440"/>
      </w:pPr>
      <w:hyperlink w:anchor="_Toc7568" w:history="1">
        <w:r>
          <w:rPr>
            <w:rFonts w:ascii="IRNazanin" w:hAnsi="IRNazanin" w:eastAsia="IRNazanin" w:cs="IRNazanin"/>
            <w:color w:val="111111"/>
            <w:sz w:val="22"/>
            <w:szCs w:val="22"/>
            <w:b w:val="0"/>
            <w:bCs w:val="0"/>
            <w:i w:val="0"/>
            <w:iCs w:val="0"/>
          </w:rPr>
          <w:t>6698- دیوان مرتضی قلی خان سلطان شاملو</w:t>
        </w:r>
        <w:r>
          <w:tab/>
        </w:r>
        <w:r>
          <w:fldChar w:fldCharType="begin"/>
        </w:r>
        <w:r>
          <w:instrText xml:space="preserve">PAGEREF 7568 \h</w:instrText>
        </w:r>
        <w:r>
          <w:fldChar w:fldCharType="end"/>
        </w:r>
      </w:hyperlink>
    </w:p>
    <w:p>
      <w:pPr>
        <w:tabs>
          <w:tab w:val="right" w:leader="dot" w:pos="9062"/>
        </w:tabs>
        <w:ind w:left="440"/>
      </w:pPr>
      <w:hyperlink w:anchor="_Toc7569" w:history="1">
        <w:r>
          <w:rPr>
            <w:rFonts w:ascii="IRNazanin" w:hAnsi="IRNazanin" w:eastAsia="IRNazanin" w:cs="IRNazanin"/>
            <w:color w:val="111111"/>
            <w:sz w:val="22"/>
            <w:szCs w:val="22"/>
            <w:b w:val="0"/>
            <w:bCs w:val="0"/>
            <w:i w:val="0"/>
            <w:iCs w:val="0"/>
          </w:rPr>
          <w:t>6699- دیوان مرتضی قلی خان نظام الدولة أو شعره‏</w:t>
        </w:r>
        <w:r>
          <w:tab/>
        </w:r>
        <w:r>
          <w:fldChar w:fldCharType="begin"/>
        </w:r>
        <w:r>
          <w:instrText xml:space="preserve">PAGEREF 7569 \h</w:instrText>
        </w:r>
        <w:r>
          <w:fldChar w:fldCharType="end"/>
        </w:r>
      </w:hyperlink>
    </w:p>
    <w:p>
      <w:pPr>
        <w:tabs>
          <w:tab w:val="right" w:leader="dot" w:pos="9062"/>
        </w:tabs>
        <w:ind w:left="440"/>
      </w:pPr>
      <w:hyperlink w:anchor="_Toc7570" w:history="1">
        <w:r>
          <w:rPr>
            <w:rFonts w:ascii="IRNazanin" w:hAnsi="IRNazanin" w:eastAsia="IRNazanin" w:cs="IRNazanin"/>
            <w:color w:val="111111"/>
            <w:sz w:val="22"/>
            <w:szCs w:val="22"/>
            <w:b w:val="0"/>
            <w:bCs w:val="0"/>
            <w:i w:val="0"/>
            <w:iCs w:val="0"/>
          </w:rPr>
          <w:t>6700- دیوان مرجع أصفهانی‏</w:t>
        </w:r>
        <w:r>
          <w:tab/>
        </w:r>
        <w:r>
          <w:fldChar w:fldCharType="begin"/>
        </w:r>
        <w:r>
          <w:instrText xml:space="preserve">PAGEREF 7570 \h</w:instrText>
        </w:r>
        <w:r>
          <w:fldChar w:fldCharType="end"/>
        </w:r>
      </w:hyperlink>
    </w:p>
    <w:p>
      <w:pPr>
        <w:tabs>
          <w:tab w:val="right" w:leader="dot" w:pos="9062"/>
        </w:tabs>
        <w:ind w:left="440"/>
      </w:pPr>
      <w:hyperlink w:anchor="_Toc7571" w:history="1">
        <w:r>
          <w:rPr>
            <w:rFonts w:ascii="IRNazanin" w:hAnsi="IRNazanin" w:eastAsia="IRNazanin" w:cs="IRNazanin"/>
            <w:color w:val="111111"/>
            <w:sz w:val="22"/>
            <w:szCs w:val="22"/>
            <w:b w:val="0"/>
            <w:bCs w:val="0"/>
            <w:i w:val="0"/>
            <w:iCs w:val="0"/>
          </w:rPr>
          <w:t>دیوان مردان علی خان‏</w:t>
        </w:r>
        <w:r>
          <w:tab/>
        </w:r>
        <w:r>
          <w:fldChar w:fldCharType="begin"/>
        </w:r>
        <w:r>
          <w:instrText xml:space="preserve">PAGEREF 7571 \h</w:instrText>
        </w:r>
        <w:r>
          <w:fldChar w:fldCharType="end"/>
        </w:r>
      </w:hyperlink>
    </w:p>
    <w:p>
      <w:pPr>
        <w:tabs>
          <w:tab w:val="right" w:leader="dot" w:pos="9062"/>
        </w:tabs>
        <w:ind w:left="440"/>
      </w:pPr>
      <w:hyperlink w:anchor="_Toc7572" w:history="1">
        <w:r>
          <w:rPr>
            <w:rFonts w:ascii="IRNazanin" w:hAnsi="IRNazanin" w:eastAsia="IRNazanin" w:cs="IRNazanin"/>
            <w:color w:val="111111"/>
            <w:sz w:val="22"/>
            <w:szCs w:val="22"/>
            <w:b w:val="0"/>
            <w:bCs w:val="0"/>
            <w:i w:val="0"/>
            <w:iCs w:val="0"/>
          </w:rPr>
          <w:t>6701- دیوان مردمی خراسانی‏</w:t>
        </w:r>
        <w:r>
          <w:tab/>
        </w:r>
        <w:r>
          <w:fldChar w:fldCharType="begin"/>
        </w:r>
        <w:r>
          <w:instrText xml:space="preserve">PAGEREF 7572 \h</w:instrText>
        </w:r>
        <w:r>
          <w:fldChar w:fldCharType="end"/>
        </w:r>
      </w:hyperlink>
    </w:p>
    <w:p>
      <w:pPr>
        <w:tabs>
          <w:tab w:val="right" w:leader="dot" w:pos="9062"/>
        </w:tabs>
        <w:ind w:left="440"/>
      </w:pPr>
      <w:hyperlink w:anchor="_Toc7573" w:history="1">
        <w:r>
          <w:rPr>
            <w:rFonts w:ascii="IRNazanin" w:hAnsi="IRNazanin" w:eastAsia="IRNazanin" w:cs="IRNazanin"/>
            <w:color w:val="111111"/>
            <w:sz w:val="22"/>
            <w:szCs w:val="22"/>
            <w:b w:val="0"/>
            <w:bCs w:val="0"/>
            <w:i w:val="0"/>
            <w:iCs w:val="0"/>
          </w:rPr>
          <w:t>6702- دیوان مردمی کاشانی أو شعره‏</w:t>
        </w:r>
        <w:r>
          <w:tab/>
        </w:r>
        <w:r>
          <w:fldChar w:fldCharType="begin"/>
        </w:r>
        <w:r>
          <w:instrText xml:space="preserve">PAGEREF 7573 \h</w:instrText>
        </w:r>
        <w:r>
          <w:fldChar w:fldCharType="end"/>
        </w:r>
      </w:hyperlink>
    </w:p>
    <w:p>
      <w:pPr>
        <w:tabs>
          <w:tab w:val="right" w:leader="dot" w:pos="9062"/>
        </w:tabs>
        <w:ind w:left="440"/>
      </w:pPr>
      <w:hyperlink w:anchor="_Toc7574" w:history="1">
        <w:r>
          <w:rPr>
            <w:rFonts w:ascii="IRNazanin" w:hAnsi="IRNazanin" w:eastAsia="IRNazanin" w:cs="IRNazanin"/>
            <w:color w:val="111111"/>
            <w:sz w:val="22"/>
            <w:szCs w:val="22"/>
            <w:b w:val="0"/>
            <w:bCs w:val="0"/>
            <w:i w:val="0"/>
            <w:iCs w:val="0"/>
          </w:rPr>
          <w:t>دیوان مرزبان دیلمی‏</w:t>
        </w:r>
        <w:r>
          <w:tab/>
        </w:r>
        <w:r>
          <w:fldChar w:fldCharType="begin"/>
        </w:r>
        <w:r>
          <w:instrText xml:space="preserve">PAGEREF 7574 \h</w:instrText>
        </w:r>
        <w:r>
          <w:fldChar w:fldCharType="end"/>
        </w:r>
      </w:hyperlink>
    </w:p>
    <w:p>
      <w:pPr>
        <w:tabs>
          <w:tab w:val="right" w:leader="dot" w:pos="9062"/>
        </w:tabs>
        <w:ind w:left="440"/>
      </w:pPr>
      <w:hyperlink w:anchor="_Toc7575" w:history="1">
        <w:r>
          <w:rPr>
            <w:rFonts w:ascii="IRNazanin" w:hAnsi="IRNazanin" w:eastAsia="IRNazanin" w:cs="IRNazanin"/>
            <w:color w:val="111111"/>
            <w:sz w:val="22"/>
            <w:szCs w:val="22"/>
            <w:b w:val="0"/>
            <w:bCs w:val="0"/>
            <w:i w:val="0"/>
            <w:iCs w:val="0"/>
          </w:rPr>
          <w:t>6703- دیوان مرزبان فارسی‏</w:t>
        </w:r>
        <w:r>
          <w:tab/>
        </w:r>
        <w:r>
          <w:fldChar w:fldCharType="begin"/>
        </w:r>
        <w:r>
          <w:instrText xml:space="preserve">PAGEREF 7575 \h</w:instrText>
        </w:r>
        <w:r>
          <w:fldChar w:fldCharType="end"/>
        </w:r>
      </w:hyperlink>
    </w:p>
    <w:p>
      <w:pPr>
        <w:tabs>
          <w:tab w:val="right" w:leader="dot" w:pos="9062"/>
        </w:tabs>
        <w:ind w:left="440"/>
      </w:pPr>
      <w:hyperlink w:anchor="_Toc7576" w:history="1">
        <w:r>
          <w:rPr>
            <w:rFonts w:ascii="IRNazanin" w:hAnsi="IRNazanin" w:eastAsia="IRNazanin" w:cs="IRNazanin"/>
            <w:color w:val="111111"/>
            <w:sz w:val="22"/>
            <w:szCs w:val="22"/>
            <w:b w:val="0"/>
            <w:bCs w:val="0"/>
            <w:i w:val="0"/>
            <w:iCs w:val="0"/>
          </w:rPr>
          <w:t>6704- دیوان المرزبانی‏</w:t>
        </w:r>
        <w:r>
          <w:tab/>
        </w:r>
        <w:r>
          <w:fldChar w:fldCharType="begin"/>
        </w:r>
        <w:r>
          <w:instrText xml:space="preserve">PAGEREF 7576 \h</w:instrText>
        </w:r>
        <w:r>
          <w:fldChar w:fldCharType="end"/>
        </w:r>
      </w:hyperlink>
    </w:p>
    <w:p>
      <w:pPr>
        <w:tabs>
          <w:tab w:val="right" w:leader="dot" w:pos="9062"/>
        </w:tabs>
        <w:ind w:left="440"/>
      </w:pPr>
      <w:hyperlink w:anchor="_Toc7577" w:history="1">
        <w:r>
          <w:rPr>
            <w:rFonts w:ascii="IRNazanin" w:hAnsi="IRNazanin" w:eastAsia="IRNazanin" w:cs="IRNazanin"/>
            <w:color w:val="111111"/>
            <w:sz w:val="22"/>
            <w:szCs w:val="22"/>
            <w:b w:val="0"/>
            <w:bCs w:val="0"/>
            <w:i w:val="0"/>
            <w:iCs w:val="0"/>
          </w:rPr>
          <w:t>6705- دیوان میر مرسل بزاز ساوجی أو شعره‏</w:t>
        </w:r>
        <w:r>
          <w:tab/>
        </w:r>
        <w:r>
          <w:fldChar w:fldCharType="begin"/>
        </w:r>
        <w:r>
          <w:instrText xml:space="preserve">PAGEREF 7577 \h</w:instrText>
        </w:r>
        <w:r>
          <w:fldChar w:fldCharType="end"/>
        </w:r>
      </w:hyperlink>
    </w:p>
    <w:p>
      <w:pPr>
        <w:tabs>
          <w:tab w:val="right" w:leader="dot" w:pos="9062"/>
        </w:tabs>
        <w:ind w:left="440"/>
      </w:pPr>
      <w:hyperlink w:anchor="_Toc7578" w:history="1">
        <w:r>
          <w:rPr>
            <w:rFonts w:ascii="IRNazanin" w:hAnsi="IRNazanin" w:eastAsia="IRNazanin" w:cs="IRNazanin"/>
            <w:color w:val="111111"/>
            <w:sz w:val="22"/>
            <w:szCs w:val="22"/>
            <w:b w:val="0"/>
            <w:bCs w:val="0"/>
            <w:i w:val="0"/>
            <w:iCs w:val="0"/>
          </w:rPr>
          <w:t>6706- دیوان مرشد أصفهانی أو شعره‏</w:t>
        </w:r>
        <w:r>
          <w:tab/>
        </w:r>
        <w:r>
          <w:fldChar w:fldCharType="begin"/>
        </w:r>
        <w:r>
          <w:instrText xml:space="preserve">PAGEREF 7578 \h</w:instrText>
        </w:r>
        <w:r>
          <w:fldChar w:fldCharType="end"/>
        </w:r>
      </w:hyperlink>
    </w:p>
    <w:p>
      <w:pPr>
        <w:tabs>
          <w:tab w:val="right" w:leader="dot" w:pos="9062"/>
        </w:tabs>
        <w:ind w:left="440"/>
      </w:pPr>
      <w:hyperlink w:anchor="_Toc7579" w:history="1">
        <w:r>
          <w:rPr>
            <w:rFonts w:ascii="IRNazanin" w:hAnsi="IRNazanin" w:eastAsia="IRNazanin" w:cs="IRNazanin"/>
            <w:color w:val="111111"/>
            <w:sz w:val="22"/>
            <w:szCs w:val="22"/>
            <w:b w:val="0"/>
            <w:bCs w:val="0"/>
            <w:i w:val="0"/>
            <w:iCs w:val="0"/>
          </w:rPr>
          <w:t>6707- دیوان مرشد بروجردی‏</w:t>
        </w:r>
        <w:r>
          <w:tab/>
        </w:r>
        <w:r>
          <w:fldChar w:fldCharType="begin"/>
        </w:r>
        <w:r>
          <w:instrText xml:space="preserve">PAGEREF 7579 \h</w:instrText>
        </w:r>
        <w:r>
          <w:fldChar w:fldCharType="end"/>
        </w:r>
      </w:hyperlink>
    </w:p>
    <w:p>
      <w:pPr>
        <w:tabs>
          <w:tab w:val="right" w:leader="dot" w:pos="9062"/>
        </w:tabs>
        <w:ind w:left="440"/>
      </w:pPr>
      <w:hyperlink w:anchor="_Toc7580" w:history="1">
        <w:r>
          <w:rPr>
            <w:rFonts w:ascii="IRNazanin" w:hAnsi="IRNazanin" w:eastAsia="IRNazanin" w:cs="IRNazanin"/>
            <w:color w:val="111111"/>
            <w:sz w:val="22"/>
            <w:szCs w:val="22"/>
            <w:b w:val="0"/>
            <w:bCs w:val="0"/>
            <w:i w:val="0"/>
            <w:iCs w:val="0"/>
          </w:rPr>
          <w:t>6708- دیوان مرشد الدین عمری أو شعره‏</w:t>
        </w:r>
        <w:r>
          <w:tab/>
        </w:r>
        <w:r>
          <w:fldChar w:fldCharType="begin"/>
        </w:r>
        <w:r>
          <w:instrText xml:space="preserve">PAGEREF 7580 \h</w:instrText>
        </w:r>
        <w:r>
          <w:fldChar w:fldCharType="end"/>
        </w:r>
      </w:hyperlink>
    </w:p>
    <w:p>
      <w:pPr>
        <w:tabs>
          <w:tab w:val="right" w:leader="dot" w:pos="9062"/>
        </w:tabs>
        <w:ind w:left="440"/>
      </w:pPr>
      <w:hyperlink w:anchor="_Toc7581" w:history="1">
        <w:r>
          <w:rPr>
            <w:rFonts w:ascii="IRNazanin" w:hAnsi="IRNazanin" w:eastAsia="IRNazanin" w:cs="IRNazanin"/>
            <w:color w:val="111111"/>
            <w:sz w:val="22"/>
            <w:szCs w:val="22"/>
            <w:b w:val="0"/>
            <w:bCs w:val="0"/>
            <w:i w:val="0"/>
            <w:iCs w:val="0"/>
          </w:rPr>
          <w:t>6709- دیوان مرشد شیرازی أو شعره‏</w:t>
        </w:r>
        <w:r>
          <w:tab/>
        </w:r>
        <w:r>
          <w:fldChar w:fldCharType="begin"/>
        </w:r>
        <w:r>
          <w:instrText xml:space="preserve">PAGEREF 7581 \h</w:instrText>
        </w:r>
        <w:r>
          <w:fldChar w:fldCharType="end"/>
        </w:r>
      </w:hyperlink>
    </w:p>
    <w:p>
      <w:pPr>
        <w:tabs>
          <w:tab w:val="right" w:leader="dot" w:pos="9062"/>
        </w:tabs>
        <w:ind w:left="440"/>
      </w:pPr>
      <w:hyperlink w:anchor="_Toc7582" w:history="1">
        <w:r>
          <w:rPr>
            <w:rFonts w:ascii="IRNazanin" w:hAnsi="IRNazanin" w:eastAsia="IRNazanin" w:cs="IRNazanin"/>
            <w:color w:val="111111"/>
            <w:sz w:val="22"/>
            <w:szCs w:val="22"/>
            <w:b w:val="0"/>
            <w:bCs w:val="0"/>
            <w:i w:val="0"/>
            <w:iCs w:val="0"/>
          </w:rPr>
          <w:t>6710- دیوان مرشد قلی بیک أو شعره‏</w:t>
        </w:r>
        <w:r>
          <w:tab/>
        </w:r>
        <w:r>
          <w:fldChar w:fldCharType="begin"/>
        </w:r>
        <w:r>
          <w:instrText xml:space="preserve">PAGEREF 7582 \h</w:instrText>
        </w:r>
        <w:r>
          <w:fldChar w:fldCharType="end"/>
        </w:r>
      </w:hyperlink>
    </w:p>
    <w:p>
      <w:pPr>
        <w:tabs>
          <w:tab w:val="right" w:leader="dot" w:pos="9062"/>
        </w:tabs>
        <w:ind w:left="440"/>
      </w:pPr>
      <w:hyperlink w:anchor="_Toc7583" w:history="1">
        <w:r>
          <w:rPr>
            <w:rFonts w:ascii="IRNazanin" w:hAnsi="IRNazanin" w:eastAsia="IRNazanin" w:cs="IRNazanin"/>
            <w:color w:val="111111"/>
            <w:sz w:val="22"/>
            <w:szCs w:val="22"/>
            <w:b w:val="0"/>
            <w:bCs w:val="0"/>
            <w:i w:val="0"/>
            <w:iCs w:val="0"/>
          </w:rPr>
          <w:t>6711- دیوان مرشدی زواری أو شعره‏</w:t>
        </w:r>
        <w:r>
          <w:tab/>
        </w:r>
        <w:r>
          <w:fldChar w:fldCharType="begin"/>
        </w:r>
        <w:r>
          <w:instrText xml:space="preserve">PAGEREF 7583 \h</w:instrText>
        </w:r>
        <w:r>
          <w:fldChar w:fldCharType="end"/>
        </w:r>
      </w:hyperlink>
    </w:p>
    <w:p>
      <w:pPr>
        <w:tabs>
          <w:tab w:val="right" w:leader="dot" w:pos="9062"/>
        </w:tabs>
        <w:ind w:left="440"/>
      </w:pPr>
      <w:hyperlink w:anchor="_Toc7584" w:history="1">
        <w:r>
          <w:rPr>
            <w:rFonts w:ascii="IRNazanin" w:hAnsi="IRNazanin" w:eastAsia="IRNazanin" w:cs="IRNazanin"/>
            <w:color w:val="111111"/>
            <w:sz w:val="22"/>
            <w:szCs w:val="22"/>
            <w:b w:val="0"/>
            <w:bCs w:val="0"/>
            <w:i w:val="0"/>
            <w:iCs w:val="0"/>
          </w:rPr>
          <w:t>6712- دیوان مرصع پیشاوری أو شعره‏</w:t>
        </w:r>
        <w:r>
          <w:tab/>
        </w:r>
        <w:r>
          <w:fldChar w:fldCharType="begin"/>
        </w:r>
        <w:r>
          <w:instrText xml:space="preserve">PAGEREF 7584 \h</w:instrText>
        </w:r>
        <w:r>
          <w:fldChar w:fldCharType="end"/>
        </w:r>
      </w:hyperlink>
    </w:p>
    <w:p>
      <w:pPr>
        <w:tabs>
          <w:tab w:val="right" w:leader="dot" w:pos="9062"/>
        </w:tabs>
        <w:ind w:left="440"/>
      </w:pPr>
      <w:hyperlink w:anchor="_Toc7585" w:history="1">
        <w:r>
          <w:rPr>
            <w:rFonts w:ascii="IRNazanin" w:hAnsi="IRNazanin" w:eastAsia="IRNazanin" w:cs="IRNazanin"/>
            <w:color w:val="111111"/>
            <w:sz w:val="22"/>
            <w:szCs w:val="22"/>
            <w:b w:val="0"/>
            <w:bCs w:val="0"/>
            <w:i w:val="0"/>
            <w:iCs w:val="0"/>
          </w:rPr>
          <w:t>6713- دیوان مرعشی‏</w:t>
        </w:r>
        <w:r>
          <w:tab/>
        </w:r>
        <w:r>
          <w:fldChar w:fldCharType="begin"/>
        </w:r>
        <w:r>
          <w:instrText xml:space="preserve">PAGEREF 7585 \h</w:instrText>
        </w:r>
        <w:r>
          <w:fldChar w:fldCharType="end"/>
        </w:r>
      </w:hyperlink>
    </w:p>
    <w:p>
      <w:pPr>
        <w:tabs>
          <w:tab w:val="right" w:leader="dot" w:pos="9062"/>
        </w:tabs>
        <w:ind w:left="440"/>
      </w:pPr>
      <w:hyperlink w:anchor="_Toc7586" w:history="1">
        <w:r>
          <w:rPr>
            <w:rFonts w:ascii="IRNazanin" w:hAnsi="IRNazanin" w:eastAsia="IRNazanin" w:cs="IRNazanin"/>
            <w:color w:val="111111"/>
            <w:sz w:val="22"/>
            <w:szCs w:val="22"/>
            <w:b w:val="0"/>
            <w:bCs w:val="0"/>
            <w:i w:val="0"/>
            <w:iCs w:val="0"/>
          </w:rPr>
          <w:t>6714- دیوان مرغوب نقوی‏</w:t>
        </w:r>
        <w:r>
          <w:tab/>
        </w:r>
        <w:r>
          <w:fldChar w:fldCharType="begin"/>
        </w:r>
        <w:r>
          <w:instrText xml:space="preserve">PAGEREF 7586 \h</w:instrText>
        </w:r>
        <w:r>
          <w:fldChar w:fldCharType="end"/>
        </w:r>
      </w:hyperlink>
    </w:p>
    <w:p>
      <w:pPr>
        <w:tabs>
          <w:tab w:val="right" w:leader="dot" w:pos="9062"/>
        </w:tabs>
        <w:ind w:left="440"/>
      </w:pPr>
      <w:hyperlink w:anchor="_Toc7587" w:history="1">
        <w:r>
          <w:rPr>
            <w:rFonts w:ascii="IRNazanin" w:hAnsi="IRNazanin" w:eastAsia="IRNazanin" w:cs="IRNazanin"/>
            <w:color w:val="111111"/>
            <w:sz w:val="22"/>
            <w:szCs w:val="22"/>
            <w:b w:val="0"/>
            <w:bCs w:val="0"/>
            <w:i w:val="0"/>
            <w:iCs w:val="0"/>
          </w:rPr>
          <w:t>6715- دیوان مرغینانی أو شعره‏</w:t>
        </w:r>
        <w:r>
          <w:tab/>
        </w:r>
        <w:r>
          <w:fldChar w:fldCharType="begin"/>
        </w:r>
        <w:r>
          <w:instrText xml:space="preserve">PAGEREF 7587 \h</w:instrText>
        </w:r>
        <w:r>
          <w:fldChar w:fldCharType="end"/>
        </w:r>
      </w:hyperlink>
    </w:p>
    <w:p>
      <w:pPr>
        <w:tabs>
          <w:tab w:val="right" w:leader="dot" w:pos="9062"/>
        </w:tabs>
        <w:ind w:left="440"/>
      </w:pPr>
      <w:hyperlink w:anchor="_Toc7588" w:history="1">
        <w:r>
          <w:rPr>
            <w:rFonts w:ascii="IRNazanin" w:hAnsi="IRNazanin" w:eastAsia="IRNazanin" w:cs="IRNazanin"/>
            <w:color w:val="111111"/>
            <w:sz w:val="22"/>
            <w:szCs w:val="22"/>
            <w:b w:val="0"/>
            <w:bCs w:val="0"/>
            <w:i w:val="0"/>
            <w:iCs w:val="0"/>
          </w:rPr>
          <w:t>6716- دیوان مروارید أو شعره‏</w:t>
        </w:r>
        <w:r>
          <w:tab/>
        </w:r>
        <w:r>
          <w:fldChar w:fldCharType="begin"/>
        </w:r>
        <w:r>
          <w:instrText xml:space="preserve">PAGEREF 7588 \h</w:instrText>
        </w:r>
        <w:r>
          <w:fldChar w:fldCharType="end"/>
        </w:r>
      </w:hyperlink>
    </w:p>
    <w:p>
      <w:pPr>
        <w:tabs>
          <w:tab w:val="right" w:leader="dot" w:pos="9062"/>
        </w:tabs>
        <w:ind w:left="440"/>
      </w:pPr>
      <w:hyperlink w:anchor="_Toc7589" w:history="1">
        <w:r>
          <w:rPr>
            <w:rFonts w:ascii="IRNazanin" w:hAnsi="IRNazanin" w:eastAsia="IRNazanin" w:cs="IRNazanin"/>
            <w:color w:val="111111"/>
            <w:sz w:val="22"/>
            <w:szCs w:val="22"/>
            <w:b w:val="0"/>
            <w:bCs w:val="0"/>
            <w:i w:val="0"/>
            <w:iCs w:val="0"/>
          </w:rPr>
          <w:t>6717- دیوان مروارید کاشی أو شعره‏</w:t>
        </w:r>
        <w:r>
          <w:tab/>
        </w:r>
        <w:r>
          <w:fldChar w:fldCharType="begin"/>
        </w:r>
        <w:r>
          <w:instrText xml:space="preserve">PAGEREF 7589 \h</w:instrText>
        </w:r>
        <w:r>
          <w:fldChar w:fldCharType="end"/>
        </w:r>
      </w:hyperlink>
    </w:p>
    <w:p>
      <w:pPr>
        <w:tabs>
          <w:tab w:val="right" w:leader="dot" w:pos="9062"/>
        </w:tabs>
        <w:ind w:left="440"/>
      </w:pPr>
      <w:hyperlink w:anchor="_Toc7590" w:history="1">
        <w:r>
          <w:rPr>
            <w:rFonts w:ascii="IRNazanin" w:hAnsi="IRNazanin" w:eastAsia="IRNazanin" w:cs="IRNazanin"/>
            <w:color w:val="111111"/>
            <w:sz w:val="22"/>
            <w:szCs w:val="22"/>
            <w:b w:val="0"/>
            <w:bCs w:val="0"/>
            <w:i w:val="0"/>
            <w:iCs w:val="0"/>
          </w:rPr>
          <w:t>دیوان مروارید کرمانی‏</w:t>
        </w:r>
        <w:r>
          <w:tab/>
        </w:r>
        <w:r>
          <w:fldChar w:fldCharType="begin"/>
        </w:r>
        <w:r>
          <w:instrText xml:space="preserve">PAGEREF 7590 \h</w:instrText>
        </w:r>
        <w:r>
          <w:fldChar w:fldCharType="end"/>
        </w:r>
      </w:hyperlink>
    </w:p>
    <w:p>
      <w:pPr>
        <w:tabs>
          <w:tab w:val="right" w:leader="dot" w:pos="9062"/>
        </w:tabs>
        <w:ind w:left="440"/>
      </w:pPr>
      <w:hyperlink w:anchor="_Toc7591" w:history="1">
        <w:r>
          <w:rPr>
            <w:rFonts w:ascii="IRNazanin" w:hAnsi="IRNazanin" w:eastAsia="IRNazanin" w:cs="IRNazanin"/>
            <w:color w:val="111111"/>
            <w:sz w:val="22"/>
            <w:szCs w:val="22"/>
            <w:b w:val="0"/>
            <w:bCs w:val="0"/>
            <w:i w:val="0"/>
            <w:iCs w:val="0"/>
          </w:rPr>
          <w:t>6718- دیوان مروت کشمیری أو شعره‏</w:t>
        </w:r>
        <w:r>
          <w:tab/>
        </w:r>
        <w:r>
          <w:fldChar w:fldCharType="begin"/>
        </w:r>
        <w:r>
          <w:instrText xml:space="preserve">PAGEREF 7591 \h</w:instrText>
        </w:r>
        <w:r>
          <w:fldChar w:fldCharType="end"/>
        </w:r>
      </w:hyperlink>
    </w:p>
    <w:p>
      <w:pPr>
        <w:tabs>
          <w:tab w:val="right" w:leader="dot" w:pos="9062"/>
        </w:tabs>
        <w:ind w:left="440"/>
      </w:pPr>
      <w:hyperlink w:anchor="_Toc7592" w:history="1">
        <w:r>
          <w:rPr>
            <w:rFonts w:ascii="IRNazanin" w:hAnsi="IRNazanin" w:eastAsia="IRNazanin" w:cs="IRNazanin"/>
            <w:color w:val="111111"/>
            <w:sz w:val="22"/>
            <w:szCs w:val="22"/>
            <w:b w:val="0"/>
            <w:bCs w:val="0"/>
            <w:i w:val="0"/>
            <w:iCs w:val="0"/>
          </w:rPr>
          <w:t>6719- دیوان المروة</w:t>
        </w:r>
        <w:r>
          <w:tab/>
        </w:r>
        <w:r>
          <w:fldChar w:fldCharType="begin"/>
        </w:r>
        <w:r>
          <w:instrText xml:space="preserve">PAGEREF 7592 \h</w:instrText>
        </w:r>
        <w:r>
          <w:fldChar w:fldCharType="end"/>
        </w:r>
      </w:hyperlink>
    </w:p>
    <w:p>
      <w:pPr>
        <w:tabs>
          <w:tab w:val="right" w:leader="dot" w:pos="9062"/>
        </w:tabs>
        <w:ind w:left="440"/>
      </w:pPr>
      <w:hyperlink w:anchor="_Toc7593" w:history="1">
        <w:r>
          <w:rPr>
            <w:rFonts w:ascii="IRNazanin" w:hAnsi="IRNazanin" w:eastAsia="IRNazanin" w:cs="IRNazanin"/>
            <w:color w:val="111111"/>
            <w:sz w:val="22"/>
            <w:szCs w:val="22"/>
            <w:b w:val="0"/>
            <w:bCs w:val="0"/>
            <w:i w:val="0"/>
            <w:iCs w:val="0"/>
          </w:rPr>
          <w:t>6720- دیوان مروی‏</w:t>
        </w:r>
        <w:r>
          <w:tab/>
        </w:r>
        <w:r>
          <w:fldChar w:fldCharType="begin"/>
        </w:r>
        <w:r>
          <w:instrText xml:space="preserve">PAGEREF 7593 \h</w:instrText>
        </w:r>
        <w:r>
          <w:fldChar w:fldCharType="end"/>
        </w:r>
      </w:hyperlink>
    </w:p>
    <w:p>
      <w:pPr>
        <w:tabs>
          <w:tab w:val="right" w:leader="dot" w:pos="9062"/>
        </w:tabs>
        <w:ind w:left="440"/>
      </w:pPr>
      <w:hyperlink w:anchor="_Toc7594" w:history="1">
        <w:r>
          <w:rPr>
            <w:rFonts w:ascii="IRNazanin" w:hAnsi="IRNazanin" w:eastAsia="IRNazanin" w:cs="IRNazanin"/>
            <w:color w:val="111111"/>
            <w:sz w:val="22"/>
            <w:szCs w:val="22"/>
            <w:b w:val="0"/>
            <w:bCs w:val="0"/>
            <w:i w:val="0"/>
            <w:iCs w:val="0"/>
          </w:rPr>
          <w:t>6721- دیوان مروی هروی أو شعره‏</w:t>
        </w:r>
        <w:r>
          <w:tab/>
        </w:r>
        <w:r>
          <w:fldChar w:fldCharType="begin"/>
        </w:r>
        <w:r>
          <w:instrText xml:space="preserve">PAGEREF 7594 \h</w:instrText>
        </w:r>
        <w:r>
          <w:fldChar w:fldCharType="end"/>
        </w:r>
      </w:hyperlink>
    </w:p>
    <w:p>
      <w:pPr>
        <w:tabs>
          <w:tab w:val="right" w:leader="dot" w:pos="9062"/>
        </w:tabs>
        <w:ind w:left="440"/>
      </w:pPr>
      <w:hyperlink w:anchor="_Toc7595" w:history="1">
        <w:r>
          <w:rPr>
            <w:rFonts w:ascii="IRNazanin" w:hAnsi="IRNazanin" w:eastAsia="IRNazanin" w:cs="IRNazanin"/>
            <w:color w:val="111111"/>
            <w:sz w:val="22"/>
            <w:szCs w:val="22"/>
            <w:b w:val="0"/>
            <w:bCs w:val="0"/>
            <w:i w:val="0"/>
            <w:iCs w:val="0"/>
          </w:rPr>
          <w:t>6722- دیوان مرهون الصفار</w:t>
        </w:r>
        <w:r>
          <w:tab/>
        </w:r>
        <w:r>
          <w:fldChar w:fldCharType="begin"/>
        </w:r>
        <w:r>
          <w:instrText xml:space="preserve">PAGEREF 7595 \h</w:instrText>
        </w:r>
        <w:r>
          <w:fldChar w:fldCharType="end"/>
        </w:r>
      </w:hyperlink>
    </w:p>
    <w:p>
      <w:pPr>
        <w:tabs>
          <w:tab w:val="right" w:leader="dot" w:pos="9062"/>
        </w:tabs>
        <w:ind w:left="440"/>
      </w:pPr>
      <w:hyperlink w:anchor="_Toc7596" w:history="1">
        <w:r>
          <w:rPr>
            <w:rFonts w:ascii="IRNazanin" w:hAnsi="IRNazanin" w:eastAsia="IRNazanin" w:cs="IRNazanin"/>
            <w:color w:val="111111"/>
            <w:sz w:val="22"/>
            <w:szCs w:val="22"/>
            <w:b w:val="0"/>
            <w:bCs w:val="0"/>
            <w:i w:val="0"/>
            <w:iCs w:val="0"/>
          </w:rPr>
          <w:t>6723- دیوان مریم ساوجی فاطمی‏</w:t>
        </w:r>
        <w:r>
          <w:tab/>
        </w:r>
        <w:r>
          <w:fldChar w:fldCharType="begin"/>
        </w:r>
        <w:r>
          <w:instrText xml:space="preserve">PAGEREF 7596 \h</w:instrText>
        </w:r>
        <w:r>
          <w:fldChar w:fldCharType="end"/>
        </w:r>
      </w:hyperlink>
    </w:p>
    <w:p>
      <w:pPr>
        <w:tabs>
          <w:tab w:val="right" w:leader="dot" w:pos="9062"/>
        </w:tabs>
        <w:ind w:left="440"/>
      </w:pPr>
      <w:hyperlink w:anchor="_Toc7597" w:history="1">
        <w:r>
          <w:rPr>
            <w:rFonts w:ascii="IRNazanin" w:hAnsi="IRNazanin" w:eastAsia="IRNazanin" w:cs="IRNazanin"/>
            <w:color w:val="111111"/>
            <w:sz w:val="22"/>
            <w:szCs w:val="22"/>
            <w:b w:val="0"/>
            <w:bCs w:val="0"/>
            <w:i w:val="0"/>
            <w:iCs w:val="0"/>
          </w:rPr>
          <w:t>6724- دیوان مریم قائم مقام أو شعرها</w:t>
        </w:r>
        <w:r>
          <w:tab/>
        </w:r>
        <w:r>
          <w:fldChar w:fldCharType="begin"/>
        </w:r>
        <w:r>
          <w:instrText xml:space="preserve">PAGEREF 7597 \h</w:instrText>
        </w:r>
        <w:r>
          <w:fldChar w:fldCharType="end"/>
        </w:r>
      </w:hyperlink>
    </w:p>
    <w:p>
      <w:pPr>
        <w:tabs>
          <w:tab w:val="right" w:leader="dot" w:pos="9062"/>
        </w:tabs>
        <w:ind w:left="440"/>
      </w:pPr>
      <w:hyperlink w:anchor="_Toc7598" w:history="1">
        <w:r>
          <w:rPr>
            <w:rFonts w:ascii="IRNazanin" w:hAnsi="IRNazanin" w:eastAsia="IRNazanin" w:cs="IRNazanin"/>
            <w:color w:val="111111"/>
            <w:sz w:val="22"/>
            <w:szCs w:val="22"/>
            <w:b w:val="0"/>
            <w:bCs w:val="0"/>
            <w:i w:val="0"/>
            <w:iCs w:val="0"/>
          </w:rPr>
          <w:t>6725- دیوان مژه أو شعره‏</w:t>
        </w:r>
        <w:r>
          <w:tab/>
        </w:r>
        <w:r>
          <w:fldChar w:fldCharType="begin"/>
        </w:r>
        <w:r>
          <w:instrText xml:space="preserve">PAGEREF 7598 \h</w:instrText>
        </w:r>
        <w:r>
          <w:fldChar w:fldCharType="end"/>
        </w:r>
      </w:hyperlink>
    </w:p>
    <w:p>
      <w:pPr>
        <w:tabs>
          <w:tab w:val="right" w:leader="dot" w:pos="9062"/>
        </w:tabs>
        <w:ind w:left="440"/>
      </w:pPr>
      <w:hyperlink w:anchor="_Toc7599" w:history="1">
        <w:r>
          <w:rPr>
            <w:rFonts w:ascii="IRNazanin" w:hAnsi="IRNazanin" w:eastAsia="IRNazanin" w:cs="IRNazanin"/>
            <w:color w:val="111111"/>
            <w:sz w:val="22"/>
            <w:szCs w:val="22"/>
            <w:b w:val="0"/>
            <w:bCs w:val="0"/>
            <w:i w:val="0"/>
            <w:iCs w:val="0"/>
          </w:rPr>
          <w:t>6725- دیوان مسافر</w:t>
        </w:r>
        <w:r>
          <w:tab/>
        </w:r>
        <w:r>
          <w:fldChar w:fldCharType="begin"/>
        </w:r>
        <w:r>
          <w:instrText xml:space="preserve">PAGEREF 7599 \h</w:instrText>
        </w:r>
        <w:r>
          <w:fldChar w:fldCharType="end"/>
        </w:r>
      </w:hyperlink>
    </w:p>
    <w:p>
      <w:pPr>
        <w:tabs>
          <w:tab w:val="right" w:leader="dot" w:pos="9062"/>
        </w:tabs>
        <w:ind w:left="440"/>
      </w:pPr>
      <w:hyperlink w:anchor="_Toc7600" w:history="1">
        <w:r>
          <w:rPr>
            <w:rFonts w:ascii="IRNazanin" w:hAnsi="IRNazanin" w:eastAsia="IRNazanin" w:cs="IRNazanin"/>
            <w:color w:val="111111"/>
            <w:sz w:val="22"/>
            <w:szCs w:val="22"/>
            <w:b w:val="0"/>
            <w:bCs w:val="0"/>
            <w:i w:val="0"/>
            <w:iCs w:val="0"/>
          </w:rPr>
          <w:t>6726- دیوان مست أصفهانی أو شعره‏</w:t>
        </w:r>
        <w:r>
          <w:tab/>
        </w:r>
        <w:r>
          <w:fldChar w:fldCharType="begin"/>
        </w:r>
        <w:r>
          <w:instrText xml:space="preserve">PAGEREF 7600 \h</w:instrText>
        </w:r>
        <w:r>
          <w:fldChar w:fldCharType="end"/>
        </w:r>
      </w:hyperlink>
    </w:p>
    <w:p>
      <w:pPr>
        <w:tabs>
          <w:tab w:val="right" w:leader="dot" w:pos="9062"/>
        </w:tabs>
        <w:ind w:left="440"/>
      </w:pPr>
      <w:hyperlink w:anchor="_Toc7601" w:history="1">
        <w:r>
          <w:rPr>
            <w:rFonts w:ascii="IRNazanin" w:hAnsi="IRNazanin" w:eastAsia="IRNazanin" w:cs="IRNazanin"/>
            <w:color w:val="111111"/>
            <w:sz w:val="22"/>
            <w:szCs w:val="22"/>
            <w:b w:val="0"/>
            <w:bCs w:val="0"/>
            <w:i w:val="0"/>
            <w:iCs w:val="0"/>
          </w:rPr>
          <w:t>6727- دیوان مست تبریزی أو شعره‏</w:t>
        </w:r>
        <w:r>
          <w:tab/>
        </w:r>
        <w:r>
          <w:fldChar w:fldCharType="begin"/>
        </w:r>
        <w:r>
          <w:instrText xml:space="preserve">PAGEREF 7601 \h</w:instrText>
        </w:r>
        <w:r>
          <w:fldChar w:fldCharType="end"/>
        </w:r>
      </w:hyperlink>
    </w:p>
    <w:p>
      <w:pPr>
        <w:tabs>
          <w:tab w:val="right" w:leader="dot" w:pos="9062"/>
        </w:tabs>
        <w:ind w:left="440"/>
      </w:pPr>
      <w:hyperlink w:anchor="_Toc7602" w:history="1">
        <w:r>
          <w:rPr>
            <w:rFonts w:ascii="IRNazanin" w:hAnsi="IRNazanin" w:eastAsia="IRNazanin" w:cs="IRNazanin"/>
            <w:color w:val="111111"/>
            <w:sz w:val="22"/>
            <w:szCs w:val="22"/>
            <w:b w:val="0"/>
            <w:bCs w:val="0"/>
            <w:i w:val="0"/>
            <w:iCs w:val="0"/>
          </w:rPr>
          <w:t>دیوان مستشار أعظم‏</w:t>
        </w:r>
        <w:r>
          <w:tab/>
        </w:r>
        <w:r>
          <w:fldChar w:fldCharType="begin"/>
        </w:r>
        <w:r>
          <w:instrText xml:space="preserve">PAGEREF 7602 \h</w:instrText>
        </w:r>
        <w:r>
          <w:fldChar w:fldCharType="end"/>
        </w:r>
      </w:hyperlink>
    </w:p>
    <w:p>
      <w:pPr>
        <w:tabs>
          <w:tab w:val="right" w:leader="dot" w:pos="9062"/>
        </w:tabs>
        <w:ind w:left="440"/>
      </w:pPr>
      <w:hyperlink w:anchor="_Toc7603" w:history="1">
        <w:r>
          <w:rPr>
            <w:rFonts w:ascii="IRNazanin" w:hAnsi="IRNazanin" w:eastAsia="IRNazanin" w:cs="IRNazanin"/>
            <w:color w:val="111111"/>
            <w:sz w:val="22"/>
            <w:szCs w:val="22"/>
            <w:b w:val="0"/>
            <w:bCs w:val="0"/>
            <w:i w:val="0"/>
            <w:iCs w:val="0"/>
          </w:rPr>
          <w:t>6728- دیوان مستعان کرمانی‏</w:t>
        </w:r>
        <w:r>
          <w:tab/>
        </w:r>
        <w:r>
          <w:fldChar w:fldCharType="begin"/>
        </w:r>
        <w:r>
          <w:instrText xml:space="preserve">PAGEREF 7603 \h</w:instrText>
        </w:r>
        <w:r>
          <w:fldChar w:fldCharType="end"/>
        </w:r>
      </w:hyperlink>
    </w:p>
    <w:p>
      <w:pPr>
        <w:tabs>
          <w:tab w:val="right" w:leader="dot" w:pos="9062"/>
        </w:tabs>
        <w:ind w:left="440"/>
      </w:pPr>
      <w:hyperlink w:anchor="_Toc7604" w:history="1">
        <w:r>
          <w:rPr>
            <w:rFonts w:ascii="IRNazanin" w:hAnsi="IRNazanin" w:eastAsia="IRNazanin" w:cs="IRNazanin"/>
            <w:color w:val="111111"/>
            <w:sz w:val="22"/>
            <w:szCs w:val="22"/>
            <w:b w:val="0"/>
            <w:bCs w:val="0"/>
            <w:i w:val="0"/>
            <w:iCs w:val="0"/>
          </w:rPr>
          <w:t>دیوان مست علی شاه‏</w:t>
        </w:r>
        <w:r>
          <w:tab/>
        </w:r>
        <w:r>
          <w:fldChar w:fldCharType="begin"/>
        </w:r>
        <w:r>
          <w:instrText xml:space="preserve">PAGEREF 7604 \h</w:instrText>
        </w:r>
        <w:r>
          <w:fldChar w:fldCharType="end"/>
        </w:r>
      </w:hyperlink>
    </w:p>
    <w:p>
      <w:pPr>
        <w:tabs>
          <w:tab w:val="right" w:leader="dot" w:pos="9062"/>
        </w:tabs>
        <w:ind w:left="440"/>
      </w:pPr>
      <w:hyperlink w:anchor="_Toc7605" w:history="1">
        <w:r>
          <w:rPr>
            <w:rFonts w:ascii="IRNazanin" w:hAnsi="IRNazanin" w:eastAsia="IRNazanin" w:cs="IRNazanin"/>
            <w:color w:val="111111"/>
            <w:sz w:val="22"/>
            <w:szCs w:val="22"/>
            <w:b w:val="0"/>
            <w:bCs w:val="0"/>
            <w:i w:val="0"/>
            <w:iCs w:val="0"/>
          </w:rPr>
          <w:t>6729- دیوان مستفید جلدکی‏</w:t>
        </w:r>
        <w:r>
          <w:tab/>
        </w:r>
        <w:r>
          <w:fldChar w:fldCharType="begin"/>
        </w:r>
        <w:r>
          <w:instrText xml:space="preserve">PAGEREF 7605 \h</w:instrText>
        </w:r>
        <w:r>
          <w:fldChar w:fldCharType="end"/>
        </w:r>
      </w:hyperlink>
    </w:p>
    <w:p>
      <w:pPr>
        <w:tabs>
          <w:tab w:val="right" w:leader="dot" w:pos="9062"/>
        </w:tabs>
        <w:ind w:left="440"/>
      </w:pPr>
      <w:hyperlink w:anchor="_Toc7606" w:history="1">
        <w:r>
          <w:rPr>
            <w:rFonts w:ascii="IRNazanin" w:hAnsi="IRNazanin" w:eastAsia="IRNazanin" w:cs="IRNazanin"/>
            <w:color w:val="111111"/>
            <w:sz w:val="22"/>
            <w:szCs w:val="22"/>
            <w:b w:val="0"/>
            <w:bCs w:val="0"/>
            <w:i w:val="0"/>
            <w:iCs w:val="0"/>
          </w:rPr>
          <w:t>دیوان ملا مستقیم بلخی‏</w:t>
        </w:r>
        <w:r>
          <w:tab/>
        </w:r>
        <w:r>
          <w:fldChar w:fldCharType="begin"/>
        </w:r>
        <w:r>
          <w:instrText xml:space="preserve">PAGEREF 7606 \h</w:instrText>
        </w:r>
        <w:r>
          <w:fldChar w:fldCharType="end"/>
        </w:r>
      </w:hyperlink>
    </w:p>
    <w:p>
      <w:pPr>
        <w:tabs>
          <w:tab w:val="right" w:leader="dot" w:pos="9062"/>
        </w:tabs>
        <w:ind w:left="440"/>
      </w:pPr>
      <w:hyperlink w:anchor="_Toc7607" w:history="1">
        <w:r>
          <w:rPr>
            <w:rFonts w:ascii="IRNazanin" w:hAnsi="IRNazanin" w:eastAsia="IRNazanin" w:cs="IRNazanin"/>
            <w:color w:val="111111"/>
            <w:sz w:val="22"/>
            <w:szCs w:val="22"/>
            <w:b w:val="0"/>
            <w:bCs w:val="0"/>
            <w:i w:val="0"/>
            <w:iCs w:val="0"/>
          </w:rPr>
          <w:t>دیوان مست هروی‏</w:t>
        </w:r>
        <w:r>
          <w:tab/>
        </w:r>
        <w:r>
          <w:fldChar w:fldCharType="begin"/>
        </w:r>
        <w:r>
          <w:instrText xml:space="preserve">PAGEREF 7607 \h</w:instrText>
        </w:r>
        <w:r>
          <w:fldChar w:fldCharType="end"/>
        </w:r>
      </w:hyperlink>
    </w:p>
    <w:p>
      <w:pPr>
        <w:tabs>
          <w:tab w:val="right" w:leader="dot" w:pos="9062"/>
        </w:tabs>
        <w:ind w:left="440"/>
      </w:pPr>
      <w:hyperlink w:anchor="_Toc7608" w:history="1">
        <w:r>
          <w:rPr>
            <w:rFonts w:ascii="IRNazanin" w:hAnsi="IRNazanin" w:eastAsia="IRNazanin" w:cs="IRNazanin"/>
            <w:color w:val="111111"/>
            <w:sz w:val="22"/>
            <w:szCs w:val="22"/>
            <w:b w:val="0"/>
            <w:bCs w:val="0"/>
            <w:i w:val="0"/>
            <w:iCs w:val="0"/>
          </w:rPr>
          <w:t>6730- دیوان مست هندی أو شعره‏</w:t>
        </w:r>
        <w:r>
          <w:tab/>
        </w:r>
        <w:r>
          <w:fldChar w:fldCharType="begin"/>
        </w:r>
        <w:r>
          <w:instrText xml:space="preserve">PAGEREF 7608 \h</w:instrText>
        </w:r>
        <w:r>
          <w:fldChar w:fldCharType="end"/>
        </w:r>
      </w:hyperlink>
    </w:p>
    <w:p>
      <w:pPr>
        <w:tabs>
          <w:tab w:val="right" w:leader="dot" w:pos="9062"/>
        </w:tabs>
        <w:ind w:left="440"/>
      </w:pPr>
      <w:hyperlink w:anchor="_Toc7609" w:history="1">
        <w:r>
          <w:rPr>
            <w:rFonts w:ascii="IRNazanin" w:hAnsi="IRNazanin" w:eastAsia="IRNazanin" w:cs="IRNazanin"/>
            <w:color w:val="111111"/>
            <w:sz w:val="22"/>
            <w:szCs w:val="22"/>
            <w:b w:val="0"/>
            <w:bCs w:val="0"/>
            <w:i w:val="0"/>
            <w:iCs w:val="0"/>
          </w:rPr>
          <w:t>6731- دیوان مسته مرد طبری أو شعره‏</w:t>
        </w:r>
        <w:r>
          <w:tab/>
        </w:r>
        <w:r>
          <w:fldChar w:fldCharType="begin"/>
        </w:r>
        <w:r>
          <w:instrText xml:space="preserve">PAGEREF 7609 \h</w:instrText>
        </w:r>
        <w:r>
          <w:fldChar w:fldCharType="end"/>
        </w:r>
      </w:hyperlink>
    </w:p>
    <w:p>
      <w:pPr>
        <w:tabs>
          <w:tab w:val="right" w:leader="dot" w:pos="9062"/>
        </w:tabs>
        <w:ind w:left="440"/>
      </w:pPr>
      <w:hyperlink w:anchor="_Toc7610" w:history="1">
        <w:r>
          <w:rPr>
            <w:rFonts w:ascii="IRNazanin" w:hAnsi="IRNazanin" w:eastAsia="IRNazanin" w:cs="IRNazanin"/>
            <w:color w:val="111111"/>
            <w:sz w:val="22"/>
            <w:szCs w:val="22"/>
            <w:b w:val="0"/>
            <w:bCs w:val="0"/>
            <w:i w:val="0"/>
            <w:iCs w:val="0"/>
          </w:rPr>
          <w:t>6732- دیوان مستور شیرازی أو شعره‏</w:t>
        </w:r>
        <w:r>
          <w:tab/>
        </w:r>
        <w:r>
          <w:fldChar w:fldCharType="begin"/>
        </w:r>
        <w:r>
          <w:instrText xml:space="preserve">PAGEREF 7610 \h</w:instrText>
        </w:r>
        <w:r>
          <w:fldChar w:fldCharType="end"/>
        </w:r>
      </w:hyperlink>
    </w:p>
    <w:p>
      <w:pPr>
        <w:tabs>
          <w:tab w:val="right" w:leader="dot" w:pos="9062"/>
        </w:tabs>
        <w:ind w:left="440"/>
      </w:pPr>
      <w:hyperlink w:anchor="_Toc7611" w:history="1">
        <w:r>
          <w:rPr>
            <w:rFonts w:ascii="IRNazanin" w:hAnsi="IRNazanin" w:eastAsia="IRNazanin" w:cs="IRNazanin"/>
            <w:color w:val="111111"/>
            <w:sz w:val="22"/>
            <w:szCs w:val="22"/>
            <w:b w:val="0"/>
            <w:bCs w:val="0"/>
            <w:i w:val="0"/>
            <w:iCs w:val="0"/>
          </w:rPr>
          <w:t>6733- دیوان مستوره کردستانی‏</w:t>
        </w:r>
        <w:r>
          <w:tab/>
        </w:r>
        <w:r>
          <w:fldChar w:fldCharType="begin"/>
        </w:r>
        <w:r>
          <w:instrText xml:space="preserve">PAGEREF 7611 \h</w:instrText>
        </w:r>
        <w:r>
          <w:fldChar w:fldCharType="end"/>
        </w:r>
      </w:hyperlink>
    </w:p>
    <w:p>
      <w:pPr>
        <w:tabs>
          <w:tab w:val="right" w:leader="dot" w:pos="9062"/>
        </w:tabs>
        <w:ind w:left="440"/>
      </w:pPr>
      <w:hyperlink w:anchor="_Toc7612" w:history="1">
        <w:r>
          <w:rPr>
            <w:rFonts w:ascii="IRNazanin" w:hAnsi="IRNazanin" w:eastAsia="IRNazanin" w:cs="IRNazanin"/>
            <w:color w:val="111111"/>
            <w:sz w:val="22"/>
            <w:szCs w:val="22"/>
            <w:b w:val="0"/>
            <w:bCs w:val="0"/>
            <w:i w:val="0"/>
            <w:iCs w:val="0"/>
          </w:rPr>
          <w:t>6734- دیوان مستوفی أردبیلی أو شعره‏</w:t>
        </w:r>
        <w:r>
          <w:tab/>
        </w:r>
        <w:r>
          <w:fldChar w:fldCharType="begin"/>
        </w:r>
        <w:r>
          <w:instrText xml:space="preserve">PAGEREF 7612 \h</w:instrText>
        </w:r>
        <w:r>
          <w:fldChar w:fldCharType="end"/>
        </w:r>
      </w:hyperlink>
    </w:p>
    <w:p>
      <w:pPr>
        <w:tabs>
          <w:tab w:val="right" w:leader="dot" w:pos="9062"/>
        </w:tabs>
        <w:ind w:left="440"/>
      </w:pPr>
      <w:hyperlink w:anchor="_Toc7613" w:history="1">
        <w:r>
          <w:rPr>
            <w:rFonts w:ascii="IRNazanin" w:hAnsi="IRNazanin" w:eastAsia="IRNazanin" w:cs="IRNazanin"/>
            <w:color w:val="111111"/>
            <w:sz w:val="22"/>
            <w:szCs w:val="22"/>
            <w:b w:val="0"/>
            <w:bCs w:val="0"/>
            <w:i w:val="0"/>
            <w:iCs w:val="0"/>
          </w:rPr>
          <w:t>6735- دیوان مستوفی قزوینی‏</w:t>
        </w:r>
        <w:r>
          <w:tab/>
        </w:r>
        <w:r>
          <w:fldChar w:fldCharType="begin"/>
        </w:r>
        <w:r>
          <w:instrText xml:space="preserve">PAGEREF 7613 \h</w:instrText>
        </w:r>
        <w:r>
          <w:fldChar w:fldCharType="end"/>
        </w:r>
      </w:hyperlink>
    </w:p>
    <w:p>
      <w:pPr>
        <w:tabs>
          <w:tab w:val="right" w:leader="dot" w:pos="9062"/>
        </w:tabs>
        <w:ind w:left="440"/>
      </w:pPr>
      <w:hyperlink w:anchor="_Toc7614" w:history="1">
        <w:r>
          <w:rPr>
            <w:rFonts w:ascii="IRNazanin" w:hAnsi="IRNazanin" w:eastAsia="IRNazanin" w:cs="IRNazanin"/>
            <w:color w:val="111111"/>
            <w:sz w:val="22"/>
            <w:szCs w:val="22"/>
            <w:b w:val="0"/>
            <w:bCs w:val="0"/>
            <w:i w:val="0"/>
            <w:iCs w:val="0"/>
          </w:rPr>
          <w:t>6736- دیوان مستوفی نیشابوری أو شعره‏</w:t>
        </w:r>
        <w:r>
          <w:tab/>
        </w:r>
        <w:r>
          <w:fldChar w:fldCharType="begin"/>
        </w:r>
        <w:r>
          <w:instrText xml:space="preserve">PAGEREF 7614 \h</w:instrText>
        </w:r>
        <w:r>
          <w:fldChar w:fldCharType="end"/>
        </w:r>
      </w:hyperlink>
    </w:p>
    <w:p>
      <w:pPr>
        <w:tabs>
          <w:tab w:val="right" w:leader="dot" w:pos="9062"/>
        </w:tabs>
        <w:ind w:left="440"/>
      </w:pPr>
      <w:hyperlink w:anchor="_Toc7615" w:history="1">
        <w:r>
          <w:rPr>
            <w:rFonts w:ascii="IRNazanin" w:hAnsi="IRNazanin" w:eastAsia="IRNazanin" w:cs="IRNazanin"/>
            <w:color w:val="111111"/>
            <w:sz w:val="22"/>
            <w:szCs w:val="22"/>
            <w:b w:val="0"/>
            <w:bCs w:val="0"/>
            <w:i w:val="0"/>
            <w:iCs w:val="0"/>
          </w:rPr>
          <w:t>6737- دیوان مستی رازی أو شعره‏</w:t>
        </w:r>
        <w:r>
          <w:tab/>
        </w:r>
        <w:r>
          <w:fldChar w:fldCharType="begin"/>
        </w:r>
        <w:r>
          <w:instrText xml:space="preserve">PAGEREF 7615 \h</w:instrText>
        </w:r>
        <w:r>
          <w:fldChar w:fldCharType="end"/>
        </w:r>
      </w:hyperlink>
    </w:p>
    <w:p>
      <w:pPr>
        <w:tabs>
          <w:tab w:val="right" w:leader="dot" w:pos="9062"/>
        </w:tabs>
        <w:ind w:left="440"/>
      </w:pPr>
      <w:hyperlink w:anchor="_Toc7616" w:history="1">
        <w:r>
          <w:rPr>
            <w:rFonts w:ascii="IRNazanin" w:hAnsi="IRNazanin" w:eastAsia="IRNazanin" w:cs="IRNazanin"/>
            <w:color w:val="111111"/>
            <w:sz w:val="22"/>
            <w:szCs w:val="22"/>
            <w:b w:val="0"/>
            <w:bCs w:val="0"/>
            <w:i w:val="0"/>
            <w:iCs w:val="0"/>
          </w:rPr>
          <w:t>6738- دیوان مسرور بروجنی‏</w:t>
        </w:r>
        <w:r>
          <w:tab/>
        </w:r>
        <w:r>
          <w:fldChar w:fldCharType="begin"/>
        </w:r>
        <w:r>
          <w:instrText xml:space="preserve">PAGEREF 7616 \h</w:instrText>
        </w:r>
        <w:r>
          <w:fldChar w:fldCharType="end"/>
        </w:r>
      </w:hyperlink>
    </w:p>
    <w:p>
      <w:pPr>
        <w:tabs>
          <w:tab w:val="right" w:leader="dot" w:pos="9062"/>
        </w:tabs>
        <w:ind w:left="440"/>
      </w:pPr>
      <w:hyperlink w:anchor="_Toc7617" w:history="1">
        <w:r>
          <w:rPr>
            <w:rFonts w:ascii="IRNazanin" w:hAnsi="IRNazanin" w:eastAsia="IRNazanin" w:cs="IRNazanin"/>
            <w:color w:val="111111"/>
            <w:sz w:val="22"/>
            <w:szCs w:val="22"/>
            <w:b w:val="0"/>
            <w:bCs w:val="0"/>
            <w:i w:val="0"/>
            <w:iCs w:val="0"/>
          </w:rPr>
          <w:t>6739- دیوان مسرور بیگدلی أو شعره‏</w:t>
        </w:r>
        <w:r>
          <w:tab/>
        </w:r>
        <w:r>
          <w:fldChar w:fldCharType="begin"/>
        </w:r>
        <w:r>
          <w:instrText xml:space="preserve">PAGEREF 7617 \h</w:instrText>
        </w:r>
        <w:r>
          <w:fldChar w:fldCharType="end"/>
        </w:r>
      </w:hyperlink>
    </w:p>
    <w:p>
      <w:pPr>
        <w:tabs>
          <w:tab w:val="right" w:leader="dot" w:pos="9062"/>
        </w:tabs>
        <w:ind w:left="440"/>
      </w:pPr>
      <w:hyperlink w:anchor="_Toc7618" w:history="1">
        <w:r>
          <w:rPr>
            <w:rFonts w:ascii="IRNazanin" w:hAnsi="IRNazanin" w:eastAsia="IRNazanin" w:cs="IRNazanin"/>
            <w:color w:val="111111"/>
            <w:sz w:val="22"/>
            <w:szCs w:val="22"/>
            <w:b w:val="0"/>
            <w:bCs w:val="0"/>
            <w:i w:val="0"/>
            <w:iCs w:val="0"/>
          </w:rPr>
          <w:t>6740- دیوان مسرور چهار محالی‏</w:t>
        </w:r>
        <w:r>
          <w:tab/>
        </w:r>
        <w:r>
          <w:fldChar w:fldCharType="begin"/>
        </w:r>
        <w:r>
          <w:instrText xml:space="preserve">PAGEREF 7618 \h</w:instrText>
        </w:r>
        <w:r>
          <w:fldChar w:fldCharType="end"/>
        </w:r>
      </w:hyperlink>
    </w:p>
    <w:p>
      <w:pPr>
        <w:tabs>
          <w:tab w:val="right" w:leader="dot" w:pos="9062"/>
        </w:tabs>
        <w:ind w:left="440"/>
      </w:pPr>
      <w:hyperlink w:anchor="_Toc7619" w:history="1">
        <w:r>
          <w:rPr>
            <w:rFonts w:ascii="IRNazanin" w:hAnsi="IRNazanin" w:eastAsia="IRNazanin" w:cs="IRNazanin"/>
            <w:color w:val="111111"/>
            <w:sz w:val="22"/>
            <w:szCs w:val="22"/>
            <w:b w:val="0"/>
            <w:bCs w:val="0"/>
            <w:i w:val="0"/>
            <w:iCs w:val="0"/>
          </w:rPr>
          <w:t>دیوان مسرور خراسانی‏</w:t>
        </w:r>
        <w:r>
          <w:tab/>
        </w:r>
        <w:r>
          <w:fldChar w:fldCharType="begin"/>
        </w:r>
        <w:r>
          <w:instrText xml:space="preserve">PAGEREF 7619 \h</w:instrText>
        </w:r>
        <w:r>
          <w:fldChar w:fldCharType="end"/>
        </w:r>
      </w:hyperlink>
    </w:p>
    <w:p>
      <w:pPr>
        <w:tabs>
          <w:tab w:val="right" w:leader="dot" w:pos="9062"/>
        </w:tabs>
        <w:ind w:left="440"/>
      </w:pPr>
      <w:hyperlink w:anchor="_Toc7620" w:history="1">
        <w:r>
          <w:rPr>
            <w:rFonts w:ascii="IRNazanin" w:hAnsi="IRNazanin" w:eastAsia="IRNazanin" w:cs="IRNazanin"/>
            <w:color w:val="111111"/>
            <w:sz w:val="22"/>
            <w:szCs w:val="22"/>
            <w:b w:val="0"/>
            <w:bCs w:val="0"/>
            <w:i w:val="0"/>
            <w:iCs w:val="0"/>
          </w:rPr>
          <w:t>دیوان مسرور شاملو</w:t>
        </w:r>
        <w:r>
          <w:tab/>
        </w:r>
        <w:r>
          <w:fldChar w:fldCharType="begin"/>
        </w:r>
        <w:r>
          <w:instrText xml:space="preserve">PAGEREF 7620 \h</w:instrText>
        </w:r>
        <w:r>
          <w:fldChar w:fldCharType="end"/>
        </w:r>
      </w:hyperlink>
    </w:p>
    <w:p>
      <w:pPr>
        <w:tabs>
          <w:tab w:val="right" w:leader="dot" w:pos="9062"/>
        </w:tabs>
        <w:ind w:left="440"/>
      </w:pPr>
      <w:hyperlink w:anchor="_Toc7621" w:history="1">
        <w:r>
          <w:rPr>
            <w:rFonts w:ascii="IRNazanin" w:hAnsi="IRNazanin" w:eastAsia="IRNazanin" w:cs="IRNazanin"/>
            <w:color w:val="111111"/>
            <w:sz w:val="22"/>
            <w:szCs w:val="22"/>
            <w:b w:val="0"/>
            <w:bCs w:val="0"/>
            <w:i w:val="0"/>
            <w:iCs w:val="0"/>
          </w:rPr>
          <w:t>6741- دیوان مسرور طالقانی‏</w:t>
        </w:r>
        <w:r>
          <w:tab/>
        </w:r>
        <w:r>
          <w:fldChar w:fldCharType="begin"/>
        </w:r>
        <w:r>
          <w:instrText xml:space="preserve">PAGEREF 7621 \h</w:instrText>
        </w:r>
        <w:r>
          <w:fldChar w:fldCharType="end"/>
        </w:r>
      </w:hyperlink>
    </w:p>
    <w:p>
      <w:pPr>
        <w:tabs>
          <w:tab w:val="right" w:leader="dot" w:pos="9062"/>
        </w:tabs>
        <w:ind w:left="440"/>
      </w:pPr>
      <w:hyperlink w:anchor="_Toc7622" w:history="1">
        <w:r>
          <w:rPr>
            <w:rFonts w:ascii="IRNazanin" w:hAnsi="IRNazanin" w:eastAsia="IRNazanin" w:cs="IRNazanin"/>
            <w:color w:val="111111"/>
            <w:sz w:val="22"/>
            <w:szCs w:val="22"/>
            <w:b w:val="0"/>
            <w:bCs w:val="0"/>
            <w:i w:val="0"/>
            <w:iCs w:val="0"/>
          </w:rPr>
          <w:t>6742- دیوان مسرور قزوینی أو شعره‏</w:t>
        </w:r>
        <w:r>
          <w:tab/>
        </w:r>
        <w:r>
          <w:fldChar w:fldCharType="begin"/>
        </w:r>
        <w:r>
          <w:instrText xml:space="preserve">PAGEREF 7622 \h</w:instrText>
        </w:r>
        <w:r>
          <w:fldChar w:fldCharType="end"/>
        </w:r>
      </w:hyperlink>
    </w:p>
    <w:p>
      <w:pPr>
        <w:tabs>
          <w:tab w:val="right" w:leader="dot" w:pos="9062"/>
        </w:tabs>
        <w:ind w:left="440"/>
      </w:pPr>
      <w:hyperlink w:anchor="_Toc7623" w:history="1">
        <w:r>
          <w:rPr>
            <w:rFonts w:ascii="IRNazanin" w:hAnsi="IRNazanin" w:eastAsia="IRNazanin" w:cs="IRNazanin"/>
            <w:color w:val="111111"/>
            <w:sz w:val="22"/>
            <w:szCs w:val="22"/>
            <w:b w:val="0"/>
            <w:bCs w:val="0"/>
            <w:i w:val="0"/>
            <w:iCs w:val="0"/>
          </w:rPr>
          <w:t>6743- دیوان مسرور کوهپائی‏</w:t>
        </w:r>
        <w:r>
          <w:tab/>
        </w:r>
        <w:r>
          <w:fldChar w:fldCharType="begin"/>
        </w:r>
        <w:r>
          <w:instrText xml:space="preserve">PAGEREF 7623 \h</w:instrText>
        </w:r>
        <w:r>
          <w:fldChar w:fldCharType="end"/>
        </w:r>
      </w:hyperlink>
    </w:p>
    <w:p>
      <w:pPr>
        <w:tabs>
          <w:tab w:val="right" w:leader="dot" w:pos="9062"/>
        </w:tabs>
        <w:ind w:left="440"/>
      </w:pPr>
      <w:hyperlink w:anchor="_Toc7624" w:history="1">
        <w:r>
          <w:rPr>
            <w:rFonts w:ascii="IRNazanin" w:hAnsi="IRNazanin" w:eastAsia="IRNazanin" w:cs="IRNazanin"/>
            <w:color w:val="111111"/>
            <w:sz w:val="22"/>
            <w:szCs w:val="22"/>
            <w:b w:val="0"/>
            <w:bCs w:val="0"/>
            <w:i w:val="0"/>
            <w:iCs w:val="0"/>
          </w:rPr>
          <w:t>دیوان مسعود أصفهانی‏</w:t>
        </w:r>
        <w:r>
          <w:tab/>
        </w:r>
        <w:r>
          <w:fldChar w:fldCharType="begin"/>
        </w:r>
        <w:r>
          <w:instrText xml:space="preserve">PAGEREF 7624 \h</w:instrText>
        </w:r>
        <w:r>
          <w:fldChar w:fldCharType="end"/>
        </w:r>
      </w:hyperlink>
    </w:p>
    <w:p>
      <w:pPr>
        <w:tabs>
          <w:tab w:val="right" w:leader="dot" w:pos="9062"/>
        </w:tabs>
        <w:ind w:left="440"/>
      </w:pPr>
      <w:hyperlink w:anchor="_Toc7625" w:history="1">
        <w:r>
          <w:rPr>
            <w:rFonts w:ascii="IRNazanin" w:hAnsi="IRNazanin" w:eastAsia="IRNazanin" w:cs="IRNazanin"/>
            <w:color w:val="111111"/>
            <w:sz w:val="22"/>
            <w:szCs w:val="22"/>
            <w:b w:val="0"/>
            <w:bCs w:val="0"/>
            <w:i w:val="0"/>
            <w:iCs w:val="0"/>
          </w:rPr>
          <w:t>6744- دیوان مسعود أصفهانی أو شعره‏</w:t>
        </w:r>
        <w:r>
          <w:tab/>
        </w:r>
        <w:r>
          <w:fldChar w:fldCharType="begin"/>
        </w:r>
        <w:r>
          <w:instrText xml:space="preserve">PAGEREF 7625 \h</w:instrText>
        </w:r>
        <w:r>
          <w:fldChar w:fldCharType="end"/>
        </w:r>
      </w:hyperlink>
    </w:p>
    <w:p>
      <w:pPr>
        <w:tabs>
          <w:tab w:val="right" w:leader="dot" w:pos="9062"/>
        </w:tabs>
        <w:ind w:left="440"/>
      </w:pPr>
      <w:hyperlink w:anchor="_Toc7626" w:history="1">
        <w:r>
          <w:rPr>
            <w:rFonts w:ascii="IRNazanin" w:hAnsi="IRNazanin" w:eastAsia="IRNazanin" w:cs="IRNazanin"/>
            <w:color w:val="111111"/>
            <w:sz w:val="22"/>
            <w:szCs w:val="22"/>
            <w:b w:val="0"/>
            <w:bCs w:val="0"/>
            <w:i w:val="0"/>
            <w:iCs w:val="0"/>
          </w:rPr>
          <w:t>6745- دیوان مسعود بخاری أو شعره‏</w:t>
        </w:r>
        <w:r>
          <w:tab/>
        </w:r>
        <w:r>
          <w:fldChar w:fldCharType="begin"/>
        </w:r>
        <w:r>
          <w:instrText xml:space="preserve">PAGEREF 7626 \h</w:instrText>
        </w:r>
        <w:r>
          <w:fldChar w:fldCharType="end"/>
        </w:r>
      </w:hyperlink>
    </w:p>
    <w:p>
      <w:pPr>
        <w:tabs>
          <w:tab w:val="right" w:leader="dot" w:pos="9062"/>
        </w:tabs>
        <w:ind w:left="440"/>
      </w:pPr>
      <w:hyperlink w:anchor="_Toc7627" w:history="1">
        <w:r>
          <w:rPr>
            <w:rFonts w:ascii="IRNazanin" w:hAnsi="IRNazanin" w:eastAsia="IRNazanin" w:cs="IRNazanin"/>
            <w:color w:val="111111"/>
            <w:sz w:val="22"/>
            <w:szCs w:val="22"/>
            <w:b w:val="0"/>
            <w:bCs w:val="0"/>
            <w:i w:val="0"/>
            <w:iCs w:val="0"/>
          </w:rPr>
          <w:t>دیوان مسعود ترک‏</w:t>
        </w:r>
        <w:r>
          <w:tab/>
        </w:r>
        <w:r>
          <w:fldChar w:fldCharType="begin"/>
        </w:r>
        <w:r>
          <w:instrText xml:space="preserve">PAGEREF 7627 \h</w:instrText>
        </w:r>
        <w:r>
          <w:fldChar w:fldCharType="end"/>
        </w:r>
      </w:hyperlink>
    </w:p>
    <w:p>
      <w:pPr>
        <w:tabs>
          <w:tab w:val="right" w:leader="dot" w:pos="9062"/>
        </w:tabs>
        <w:ind w:left="440"/>
      </w:pPr>
      <w:hyperlink w:anchor="_Toc7628" w:history="1">
        <w:r>
          <w:rPr>
            <w:rFonts w:ascii="IRNazanin" w:hAnsi="IRNazanin" w:eastAsia="IRNazanin" w:cs="IRNazanin"/>
            <w:color w:val="111111"/>
            <w:sz w:val="22"/>
            <w:szCs w:val="22"/>
            <w:b w:val="0"/>
            <w:bCs w:val="0"/>
            <w:i w:val="0"/>
            <w:iCs w:val="0"/>
          </w:rPr>
          <w:t>دیوان مسعود خجندی‏</w:t>
        </w:r>
        <w:r>
          <w:tab/>
        </w:r>
        <w:r>
          <w:fldChar w:fldCharType="begin"/>
        </w:r>
        <w:r>
          <w:instrText xml:space="preserve">PAGEREF 7628 \h</w:instrText>
        </w:r>
        <w:r>
          <w:fldChar w:fldCharType="end"/>
        </w:r>
      </w:hyperlink>
    </w:p>
    <w:p>
      <w:pPr>
        <w:tabs>
          <w:tab w:val="right" w:leader="dot" w:pos="9062"/>
        </w:tabs>
        <w:ind w:left="440"/>
      </w:pPr>
      <w:hyperlink w:anchor="_Toc7629" w:history="1">
        <w:r>
          <w:rPr>
            <w:rFonts w:ascii="IRNazanin" w:hAnsi="IRNazanin" w:eastAsia="IRNazanin" w:cs="IRNazanin"/>
            <w:color w:val="111111"/>
            <w:sz w:val="22"/>
            <w:szCs w:val="22"/>
            <w:b w:val="0"/>
            <w:bCs w:val="0"/>
            <w:i w:val="0"/>
            <w:iCs w:val="0"/>
          </w:rPr>
          <w:t>6746- دیوان مسعود دهلوی‏</w:t>
        </w:r>
        <w:r>
          <w:tab/>
        </w:r>
        <w:r>
          <w:fldChar w:fldCharType="begin"/>
        </w:r>
        <w:r>
          <w:instrText xml:space="preserve">PAGEREF 7629 \h</w:instrText>
        </w:r>
        <w:r>
          <w:fldChar w:fldCharType="end"/>
        </w:r>
      </w:hyperlink>
    </w:p>
    <w:p>
      <w:pPr>
        <w:tabs>
          <w:tab w:val="right" w:leader="dot" w:pos="9062"/>
        </w:tabs>
        <w:ind w:left="440"/>
      </w:pPr>
      <w:hyperlink w:anchor="_Toc7630" w:history="1">
        <w:r>
          <w:rPr>
            <w:rFonts w:ascii="IRNazanin" w:hAnsi="IRNazanin" w:eastAsia="IRNazanin" w:cs="IRNazanin"/>
            <w:color w:val="111111"/>
            <w:sz w:val="22"/>
            <w:szCs w:val="22"/>
            <w:b w:val="0"/>
            <w:bCs w:val="0"/>
            <w:i w:val="0"/>
            <w:iCs w:val="0"/>
          </w:rPr>
          <w:t>6747- دیوان مسعود رازی أو شعره‏</w:t>
        </w:r>
        <w:r>
          <w:tab/>
        </w:r>
        <w:r>
          <w:fldChar w:fldCharType="begin"/>
        </w:r>
        <w:r>
          <w:instrText xml:space="preserve">PAGEREF 7630 \h</w:instrText>
        </w:r>
        <w:r>
          <w:fldChar w:fldCharType="end"/>
        </w:r>
      </w:hyperlink>
    </w:p>
    <w:p>
      <w:pPr>
        <w:tabs>
          <w:tab w:val="right" w:leader="dot" w:pos="9062"/>
        </w:tabs>
        <w:ind w:left="440"/>
      </w:pPr>
      <w:hyperlink w:anchor="_Toc7631" w:history="1">
        <w:r>
          <w:rPr>
            <w:rFonts w:ascii="IRNazanin" w:hAnsi="IRNazanin" w:eastAsia="IRNazanin" w:cs="IRNazanin"/>
            <w:color w:val="111111"/>
            <w:sz w:val="22"/>
            <w:szCs w:val="22"/>
            <w:b w:val="0"/>
            <w:bCs w:val="0"/>
            <w:i w:val="0"/>
            <w:iCs w:val="0"/>
          </w:rPr>
          <w:t>6748- دیوان مسعود زرکش‏</w:t>
        </w:r>
        <w:r>
          <w:tab/>
        </w:r>
        <w:r>
          <w:fldChar w:fldCharType="begin"/>
        </w:r>
        <w:r>
          <w:instrText xml:space="preserve">PAGEREF 7631 \h</w:instrText>
        </w:r>
        <w:r>
          <w:fldChar w:fldCharType="end"/>
        </w:r>
      </w:hyperlink>
    </w:p>
    <w:p>
      <w:pPr>
        <w:tabs>
          <w:tab w:val="right" w:leader="dot" w:pos="9062"/>
        </w:tabs>
        <w:ind w:left="440"/>
      </w:pPr>
      <w:hyperlink w:anchor="_Toc7632" w:history="1">
        <w:r>
          <w:rPr>
            <w:rFonts w:ascii="IRNazanin" w:hAnsi="IRNazanin" w:eastAsia="IRNazanin" w:cs="IRNazanin"/>
            <w:color w:val="111111"/>
            <w:sz w:val="22"/>
            <w:szCs w:val="22"/>
            <w:b w:val="0"/>
            <w:bCs w:val="0"/>
            <w:i w:val="0"/>
            <w:iCs w:val="0"/>
          </w:rPr>
          <w:t>6749- دیوان مسعود سبزواری أو شعره‏</w:t>
        </w:r>
        <w:r>
          <w:tab/>
        </w:r>
        <w:r>
          <w:fldChar w:fldCharType="begin"/>
        </w:r>
        <w:r>
          <w:instrText xml:space="preserve">PAGEREF 7632 \h</w:instrText>
        </w:r>
        <w:r>
          <w:fldChar w:fldCharType="end"/>
        </w:r>
      </w:hyperlink>
    </w:p>
    <w:p>
      <w:pPr>
        <w:tabs>
          <w:tab w:val="right" w:leader="dot" w:pos="9062"/>
        </w:tabs>
        <w:ind w:left="440"/>
      </w:pPr>
      <w:hyperlink w:anchor="_Toc7633" w:history="1">
        <w:r>
          <w:rPr>
            <w:rFonts w:ascii="IRNazanin" w:hAnsi="IRNazanin" w:eastAsia="IRNazanin" w:cs="IRNazanin"/>
            <w:color w:val="111111"/>
            <w:sz w:val="22"/>
            <w:szCs w:val="22"/>
            <w:b w:val="0"/>
            <w:bCs w:val="0"/>
            <w:i w:val="0"/>
            <w:iCs w:val="0"/>
          </w:rPr>
          <w:t>6750- دیوان مسعود سعد سلمان‏</w:t>
        </w:r>
        <w:r>
          <w:tab/>
        </w:r>
        <w:r>
          <w:fldChar w:fldCharType="begin"/>
        </w:r>
        <w:r>
          <w:instrText xml:space="preserve">PAGEREF 7633 \h</w:instrText>
        </w:r>
        <w:r>
          <w:fldChar w:fldCharType="end"/>
        </w:r>
      </w:hyperlink>
    </w:p>
    <w:p>
      <w:pPr>
        <w:tabs>
          <w:tab w:val="right" w:leader="dot" w:pos="9062"/>
        </w:tabs>
        <w:ind w:left="440"/>
      </w:pPr>
      <w:hyperlink w:anchor="_Toc7634" w:history="1">
        <w:r>
          <w:rPr>
            <w:rFonts w:ascii="IRNazanin" w:hAnsi="IRNazanin" w:eastAsia="IRNazanin" w:cs="IRNazanin"/>
            <w:color w:val="111111"/>
            <w:sz w:val="22"/>
            <w:szCs w:val="22"/>
            <w:b w:val="0"/>
            <w:bCs w:val="0"/>
            <w:i w:val="0"/>
            <w:iCs w:val="0"/>
          </w:rPr>
          <w:t>6751- دیوان مسعود سیستانی أو شعره‏</w:t>
        </w:r>
        <w:r>
          <w:tab/>
        </w:r>
        <w:r>
          <w:fldChar w:fldCharType="begin"/>
        </w:r>
        <w:r>
          <w:instrText xml:space="preserve">PAGEREF 7634 \h</w:instrText>
        </w:r>
        <w:r>
          <w:fldChar w:fldCharType="end"/>
        </w:r>
      </w:hyperlink>
    </w:p>
    <w:p>
      <w:pPr>
        <w:tabs>
          <w:tab w:val="right" w:leader="dot" w:pos="9062"/>
        </w:tabs>
        <w:ind w:left="440"/>
      </w:pPr>
      <w:hyperlink w:anchor="_Toc7635" w:history="1">
        <w:r>
          <w:rPr>
            <w:rFonts w:ascii="IRNazanin" w:hAnsi="IRNazanin" w:eastAsia="IRNazanin" w:cs="IRNazanin"/>
            <w:color w:val="111111"/>
            <w:sz w:val="22"/>
            <w:szCs w:val="22"/>
            <w:b w:val="0"/>
            <w:bCs w:val="0"/>
            <w:i w:val="0"/>
            <w:iCs w:val="0"/>
          </w:rPr>
          <w:t>6752- دیوان مسعود شیرازی أو شعره‏</w:t>
        </w:r>
        <w:r>
          <w:tab/>
        </w:r>
        <w:r>
          <w:fldChar w:fldCharType="begin"/>
        </w:r>
        <w:r>
          <w:instrText xml:space="preserve">PAGEREF 7635 \h</w:instrText>
        </w:r>
        <w:r>
          <w:fldChar w:fldCharType="end"/>
        </w:r>
      </w:hyperlink>
    </w:p>
    <w:p>
      <w:pPr>
        <w:tabs>
          <w:tab w:val="right" w:leader="dot" w:pos="9062"/>
        </w:tabs>
        <w:ind w:left="440"/>
      </w:pPr>
      <w:hyperlink w:anchor="_Toc7636" w:history="1">
        <w:r>
          <w:rPr>
            <w:rFonts w:ascii="IRNazanin" w:hAnsi="IRNazanin" w:eastAsia="IRNazanin" w:cs="IRNazanin"/>
            <w:color w:val="111111"/>
            <w:sz w:val="22"/>
            <w:szCs w:val="22"/>
            <w:b w:val="0"/>
            <w:bCs w:val="0"/>
            <w:i w:val="0"/>
            <w:iCs w:val="0"/>
          </w:rPr>
          <w:t>دیوان مسعود شیروانی‏</w:t>
        </w:r>
        <w:r>
          <w:tab/>
        </w:r>
        <w:r>
          <w:fldChar w:fldCharType="begin"/>
        </w:r>
        <w:r>
          <w:instrText xml:space="preserve">PAGEREF 7636 \h</w:instrText>
        </w:r>
        <w:r>
          <w:fldChar w:fldCharType="end"/>
        </w:r>
      </w:hyperlink>
    </w:p>
    <w:p>
      <w:pPr>
        <w:tabs>
          <w:tab w:val="right" w:leader="dot" w:pos="9062"/>
        </w:tabs>
        <w:ind w:left="440"/>
      </w:pPr>
      <w:hyperlink w:anchor="_Toc7637" w:history="1">
        <w:r>
          <w:rPr>
            <w:rFonts w:ascii="IRNazanin" w:hAnsi="IRNazanin" w:eastAsia="IRNazanin" w:cs="IRNazanin"/>
            <w:color w:val="111111"/>
            <w:sz w:val="22"/>
            <w:szCs w:val="22"/>
            <w:b w:val="0"/>
            <w:bCs w:val="0"/>
            <w:i w:val="0"/>
            <w:iCs w:val="0"/>
          </w:rPr>
          <w:t>6753- دیوان مسعود عارفی‏</w:t>
        </w:r>
        <w:r>
          <w:tab/>
        </w:r>
        <w:r>
          <w:fldChar w:fldCharType="begin"/>
        </w:r>
        <w:r>
          <w:instrText xml:space="preserve">PAGEREF 7637 \h</w:instrText>
        </w:r>
        <w:r>
          <w:fldChar w:fldCharType="end"/>
        </w:r>
      </w:hyperlink>
    </w:p>
    <w:p>
      <w:pPr>
        <w:tabs>
          <w:tab w:val="right" w:leader="dot" w:pos="9062"/>
        </w:tabs>
        <w:ind w:left="440"/>
      </w:pPr>
      <w:hyperlink w:anchor="_Toc7638" w:history="1">
        <w:r>
          <w:rPr>
            <w:rFonts w:ascii="IRNazanin" w:hAnsi="IRNazanin" w:eastAsia="IRNazanin" w:cs="IRNazanin"/>
            <w:color w:val="111111"/>
            <w:sz w:val="22"/>
            <w:szCs w:val="22"/>
            <w:b w:val="0"/>
            <w:bCs w:val="0"/>
            <w:i w:val="0"/>
            <w:iCs w:val="0"/>
          </w:rPr>
          <w:t>6754- دیوان مسعود فاضلی أو شعره‏</w:t>
        </w:r>
        <w:r>
          <w:tab/>
        </w:r>
        <w:r>
          <w:fldChar w:fldCharType="begin"/>
        </w:r>
        <w:r>
          <w:instrText xml:space="preserve">PAGEREF 7638 \h</w:instrText>
        </w:r>
        <w:r>
          <w:fldChar w:fldCharType="end"/>
        </w:r>
      </w:hyperlink>
    </w:p>
    <w:p>
      <w:pPr>
        <w:tabs>
          <w:tab w:val="right" w:leader="dot" w:pos="9062"/>
        </w:tabs>
        <w:ind w:left="440"/>
      </w:pPr>
      <w:hyperlink w:anchor="_Toc7639" w:history="1">
        <w:r>
          <w:rPr>
            <w:rFonts w:ascii="IRNazanin" w:hAnsi="IRNazanin" w:eastAsia="IRNazanin" w:cs="IRNazanin"/>
            <w:color w:val="111111"/>
            <w:sz w:val="22"/>
            <w:szCs w:val="22"/>
            <w:b w:val="0"/>
            <w:bCs w:val="0"/>
            <w:i w:val="0"/>
            <w:iCs w:val="0"/>
          </w:rPr>
          <w:t>دیوان مسعود فرزاد</w:t>
        </w:r>
        <w:r>
          <w:tab/>
        </w:r>
        <w:r>
          <w:fldChar w:fldCharType="begin"/>
        </w:r>
        <w:r>
          <w:instrText xml:space="preserve">PAGEREF 7639 \h</w:instrText>
        </w:r>
        <w:r>
          <w:fldChar w:fldCharType="end"/>
        </w:r>
      </w:hyperlink>
    </w:p>
    <w:p>
      <w:pPr>
        <w:tabs>
          <w:tab w:val="right" w:leader="dot" w:pos="9062"/>
        </w:tabs>
        <w:ind w:left="440"/>
      </w:pPr>
      <w:hyperlink w:anchor="_Toc7640" w:history="1">
        <w:r>
          <w:rPr>
            <w:rFonts w:ascii="IRNazanin" w:hAnsi="IRNazanin" w:eastAsia="IRNazanin" w:cs="IRNazanin"/>
            <w:color w:val="111111"/>
            <w:sz w:val="22"/>
            <w:szCs w:val="22"/>
            <w:b w:val="0"/>
            <w:bCs w:val="0"/>
            <w:i w:val="0"/>
            <w:iCs w:val="0"/>
          </w:rPr>
          <w:t>6755- دیوان مسعود قزوینی أو شعره‏</w:t>
        </w:r>
        <w:r>
          <w:tab/>
        </w:r>
        <w:r>
          <w:fldChar w:fldCharType="begin"/>
        </w:r>
        <w:r>
          <w:instrText xml:space="preserve">PAGEREF 7640 \h</w:instrText>
        </w:r>
        <w:r>
          <w:fldChar w:fldCharType="end"/>
        </w:r>
      </w:hyperlink>
    </w:p>
    <w:p>
      <w:pPr>
        <w:tabs>
          <w:tab w:val="right" w:leader="dot" w:pos="9062"/>
        </w:tabs>
        <w:ind w:left="440"/>
      </w:pPr>
      <w:hyperlink w:anchor="_Toc7641" w:history="1">
        <w:r>
          <w:rPr>
            <w:rFonts w:ascii="IRNazanin" w:hAnsi="IRNazanin" w:eastAsia="IRNazanin" w:cs="IRNazanin"/>
            <w:color w:val="111111"/>
            <w:sz w:val="22"/>
            <w:szCs w:val="22"/>
            <w:b w:val="0"/>
            <w:bCs w:val="0"/>
            <w:i w:val="0"/>
            <w:iCs w:val="0"/>
          </w:rPr>
          <w:t>6756- دیوان مسعود قمی‏</w:t>
        </w:r>
        <w:r>
          <w:tab/>
        </w:r>
        <w:r>
          <w:fldChar w:fldCharType="begin"/>
        </w:r>
        <w:r>
          <w:instrText xml:space="preserve">PAGEREF 7641 \h</w:instrText>
        </w:r>
        <w:r>
          <w:fldChar w:fldCharType="end"/>
        </w:r>
      </w:hyperlink>
    </w:p>
    <w:p>
      <w:pPr>
        <w:tabs>
          <w:tab w:val="right" w:leader="dot" w:pos="9062"/>
        </w:tabs>
        <w:ind w:left="440"/>
      </w:pPr>
      <w:hyperlink w:anchor="_Toc7642" w:history="1">
        <w:r>
          <w:rPr>
            <w:rFonts w:ascii="IRNazanin" w:hAnsi="IRNazanin" w:eastAsia="IRNazanin" w:cs="IRNazanin"/>
            <w:color w:val="111111"/>
            <w:sz w:val="22"/>
            <w:szCs w:val="22"/>
            <w:b w:val="0"/>
            <w:bCs w:val="0"/>
            <w:i w:val="0"/>
            <w:iCs w:val="0"/>
          </w:rPr>
          <w:t>6757- دیوان مسعود کابلی أو شعره‏</w:t>
        </w:r>
        <w:r>
          <w:tab/>
        </w:r>
        <w:r>
          <w:fldChar w:fldCharType="begin"/>
        </w:r>
        <w:r>
          <w:instrText xml:space="preserve">PAGEREF 7642 \h</w:instrText>
        </w:r>
        <w:r>
          <w:fldChar w:fldCharType="end"/>
        </w:r>
      </w:hyperlink>
    </w:p>
    <w:p>
      <w:pPr>
        <w:tabs>
          <w:tab w:val="right" w:leader="dot" w:pos="9062"/>
        </w:tabs>
        <w:ind w:left="440"/>
      </w:pPr>
      <w:hyperlink w:anchor="_Toc7643" w:history="1">
        <w:r>
          <w:rPr>
            <w:rFonts w:ascii="IRNazanin" w:hAnsi="IRNazanin" w:eastAsia="IRNazanin" w:cs="IRNazanin"/>
            <w:color w:val="111111"/>
            <w:sz w:val="22"/>
            <w:szCs w:val="22"/>
            <w:b w:val="0"/>
            <w:bCs w:val="0"/>
            <w:i w:val="0"/>
            <w:iCs w:val="0"/>
          </w:rPr>
          <w:t>دیوان مسعود کاشانی‏</w:t>
        </w:r>
        <w:r>
          <w:tab/>
        </w:r>
        <w:r>
          <w:fldChar w:fldCharType="begin"/>
        </w:r>
        <w:r>
          <w:instrText xml:space="preserve">PAGEREF 7643 \h</w:instrText>
        </w:r>
        <w:r>
          <w:fldChar w:fldCharType="end"/>
        </w:r>
      </w:hyperlink>
    </w:p>
    <w:p>
      <w:pPr>
        <w:tabs>
          <w:tab w:val="right" w:leader="dot" w:pos="9062"/>
        </w:tabs>
        <w:ind w:left="440"/>
      </w:pPr>
      <w:hyperlink w:anchor="_Toc7644" w:history="1">
        <w:r>
          <w:rPr>
            <w:rFonts w:ascii="IRNazanin" w:hAnsi="IRNazanin" w:eastAsia="IRNazanin" w:cs="IRNazanin"/>
            <w:color w:val="111111"/>
            <w:sz w:val="22"/>
            <w:szCs w:val="22"/>
            <w:b w:val="0"/>
            <w:bCs w:val="0"/>
            <w:i w:val="0"/>
            <w:iCs w:val="0"/>
          </w:rPr>
          <w:t>دیوان مسعود هندی‏</w:t>
        </w:r>
        <w:r>
          <w:tab/>
        </w:r>
        <w:r>
          <w:fldChar w:fldCharType="begin"/>
        </w:r>
        <w:r>
          <w:instrText xml:space="preserve">PAGEREF 7644 \h</w:instrText>
        </w:r>
        <w:r>
          <w:fldChar w:fldCharType="end"/>
        </w:r>
      </w:hyperlink>
    </w:p>
    <w:p>
      <w:pPr>
        <w:tabs>
          <w:tab w:val="right" w:leader="dot" w:pos="9062"/>
        </w:tabs>
        <w:ind w:left="440"/>
      </w:pPr>
      <w:hyperlink w:anchor="_Toc7645" w:history="1">
        <w:r>
          <w:rPr>
            <w:rFonts w:ascii="IRNazanin" w:hAnsi="IRNazanin" w:eastAsia="IRNazanin" w:cs="IRNazanin"/>
            <w:color w:val="111111"/>
            <w:sz w:val="22"/>
            <w:szCs w:val="22"/>
            <w:b w:val="0"/>
            <w:bCs w:val="0"/>
            <w:i w:val="0"/>
            <w:iCs w:val="0"/>
          </w:rPr>
          <w:t>6758- دیوان مسعود یزدی أو شعره‏</w:t>
        </w:r>
        <w:r>
          <w:tab/>
        </w:r>
        <w:r>
          <w:fldChar w:fldCharType="begin"/>
        </w:r>
        <w:r>
          <w:instrText xml:space="preserve">PAGEREF 7645 \h</w:instrText>
        </w:r>
        <w:r>
          <w:fldChar w:fldCharType="end"/>
        </w:r>
      </w:hyperlink>
    </w:p>
    <w:p>
      <w:pPr>
        <w:tabs>
          <w:tab w:val="right" w:leader="dot" w:pos="9062"/>
        </w:tabs>
        <w:ind w:left="440"/>
      </w:pPr>
      <w:hyperlink w:anchor="_Toc7646" w:history="1">
        <w:r>
          <w:rPr>
            <w:rFonts w:ascii="IRNazanin" w:hAnsi="IRNazanin" w:eastAsia="IRNazanin" w:cs="IRNazanin"/>
            <w:color w:val="111111"/>
            <w:sz w:val="22"/>
            <w:szCs w:val="22"/>
            <w:b w:val="0"/>
            <w:bCs w:val="0"/>
            <w:i w:val="0"/>
            <w:iCs w:val="0"/>
          </w:rPr>
          <w:t>دیوان مسعودی رازی‏</w:t>
        </w:r>
        <w:r>
          <w:tab/>
        </w:r>
        <w:r>
          <w:fldChar w:fldCharType="begin"/>
        </w:r>
        <w:r>
          <w:instrText xml:space="preserve">PAGEREF 7646 \h</w:instrText>
        </w:r>
        <w:r>
          <w:fldChar w:fldCharType="end"/>
        </w:r>
      </w:hyperlink>
    </w:p>
    <w:p>
      <w:pPr>
        <w:tabs>
          <w:tab w:val="right" w:leader="dot" w:pos="9062"/>
        </w:tabs>
        <w:ind w:left="440"/>
      </w:pPr>
      <w:hyperlink w:anchor="_Toc7647" w:history="1">
        <w:r>
          <w:rPr>
            <w:rFonts w:ascii="IRNazanin" w:hAnsi="IRNazanin" w:eastAsia="IRNazanin" w:cs="IRNazanin"/>
            <w:color w:val="111111"/>
            <w:sz w:val="22"/>
            <w:szCs w:val="22"/>
            <w:b w:val="0"/>
            <w:bCs w:val="0"/>
            <w:i w:val="0"/>
            <w:iCs w:val="0"/>
          </w:rPr>
          <w:t>6759- دیوان مسکین أصفهانی‏</w:t>
        </w:r>
        <w:r>
          <w:tab/>
        </w:r>
        <w:r>
          <w:fldChar w:fldCharType="begin"/>
        </w:r>
        <w:r>
          <w:instrText xml:space="preserve">PAGEREF 7647 \h</w:instrText>
        </w:r>
        <w:r>
          <w:fldChar w:fldCharType="end"/>
        </w:r>
      </w:hyperlink>
    </w:p>
    <w:p>
      <w:pPr>
        <w:tabs>
          <w:tab w:val="right" w:leader="dot" w:pos="9062"/>
        </w:tabs>
        <w:ind w:left="440"/>
      </w:pPr>
      <w:hyperlink w:anchor="_Toc7648" w:history="1">
        <w:r>
          <w:rPr>
            <w:rFonts w:ascii="IRNazanin" w:hAnsi="IRNazanin" w:eastAsia="IRNazanin" w:cs="IRNazanin"/>
            <w:color w:val="111111"/>
            <w:sz w:val="22"/>
            <w:szCs w:val="22"/>
            <w:b w:val="0"/>
            <w:bCs w:val="0"/>
            <w:i w:val="0"/>
            <w:iCs w:val="0"/>
          </w:rPr>
          <w:t>6760- دیوان مسکین أکبرآبادی‏</w:t>
        </w:r>
        <w:r>
          <w:tab/>
        </w:r>
        <w:r>
          <w:fldChar w:fldCharType="begin"/>
        </w:r>
        <w:r>
          <w:instrText xml:space="preserve">PAGEREF 7648 \h</w:instrText>
        </w:r>
        <w:r>
          <w:fldChar w:fldCharType="end"/>
        </w:r>
      </w:hyperlink>
    </w:p>
    <w:p>
      <w:pPr>
        <w:tabs>
          <w:tab w:val="right" w:leader="dot" w:pos="9062"/>
        </w:tabs>
        <w:ind w:left="440"/>
      </w:pPr>
      <w:hyperlink w:anchor="_Toc7649" w:history="1">
        <w:r>
          <w:rPr>
            <w:rFonts w:ascii="IRNazanin" w:hAnsi="IRNazanin" w:eastAsia="IRNazanin" w:cs="IRNazanin"/>
            <w:color w:val="111111"/>
            <w:sz w:val="22"/>
            <w:szCs w:val="22"/>
            <w:b w:val="0"/>
            <w:bCs w:val="0"/>
            <w:i w:val="0"/>
            <w:iCs w:val="0"/>
          </w:rPr>
          <w:t>6761- دیوان مسکین بخاری أو شعره‏</w:t>
        </w:r>
        <w:r>
          <w:tab/>
        </w:r>
        <w:r>
          <w:fldChar w:fldCharType="begin"/>
        </w:r>
        <w:r>
          <w:instrText xml:space="preserve">PAGEREF 7649 \h</w:instrText>
        </w:r>
        <w:r>
          <w:fldChar w:fldCharType="end"/>
        </w:r>
      </w:hyperlink>
    </w:p>
    <w:p>
      <w:pPr>
        <w:tabs>
          <w:tab w:val="right" w:leader="dot" w:pos="9062"/>
        </w:tabs>
        <w:ind w:left="440"/>
      </w:pPr>
      <w:hyperlink w:anchor="_Toc7650" w:history="1">
        <w:r>
          <w:rPr>
            <w:rFonts w:ascii="IRNazanin" w:hAnsi="IRNazanin" w:eastAsia="IRNazanin" w:cs="IRNazanin"/>
            <w:color w:val="111111"/>
            <w:sz w:val="22"/>
            <w:szCs w:val="22"/>
            <w:b w:val="0"/>
            <w:bCs w:val="0"/>
            <w:i w:val="0"/>
            <w:iCs w:val="0"/>
          </w:rPr>
          <w:t>6762- دیوان مسکین تتوی‏</w:t>
        </w:r>
        <w:r>
          <w:tab/>
        </w:r>
        <w:r>
          <w:fldChar w:fldCharType="begin"/>
        </w:r>
        <w:r>
          <w:instrText xml:space="preserve">PAGEREF 7650 \h</w:instrText>
        </w:r>
        <w:r>
          <w:fldChar w:fldCharType="end"/>
        </w:r>
      </w:hyperlink>
    </w:p>
    <w:p>
      <w:pPr>
        <w:tabs>
          <w:tab w:val="right" w:leader="dot" w:pos="9062"/>
        </w:tabs>
        <w:ind w:left="440"/>
      </w:pPr>
      <w:hyperlink w:anchor="_Toc7651" w:history="1">
        <w:r>
          <w:rPr>
            <w:rFonts w:ascii="IRNazanin" w:hAnsi="IRNazanin" w:eastAsia="IRNazanin" w:cs="IRNazanin"/>
            <w:color w:val="111111"/>
            <w:sz w:val="22"/>
            <w:szCs w:val="22"/>
            <w:b w:val="0"/>
            <w:bCs w:val="0"/>
            <w:i w:val="0"/>
            <w:iCs w:val="0"/>
          </w:rPr>
          <w:t>6763- دیوان مسکین زنوزی أو شعره‏</w:t>
        </w:r>
        <w:r>
          <w:tab/>
        </w:r>
        <w:r>
          <w:fldChar w:fldCharType="begin"/>
        </w:r>
        <w:r>
          <w:instrText xml:space="preserve">PAGEREF 7651 \h</w:instrText>
        </w:r>
        <w:r>
          <w:fldChar w:fldCharType="end"/>
        </w:r>
      </w:hyperlink>
    </w:p>
    <w:p>
      <w:pPr>
        <w:tabs>
          <w:tab w:val="right" w:leader="dot" w:pos="9062"/>
        </w:tabs>
        <w:ind w:left="440"/>
      </w:pPr>
      <w:hyperlink w:anchor="_Toc7652" w:history="1">
        <w:r>
          <w:rPr>
            <w:rFonts w:ascii="IRNazanin" w:hAnsi="IRNazanin" w:eastAsia="IRNazanin" w:cs="IRNazanin"/>
            <w:color w:val="111111"/>
            <w:sz w:val="22"/>
            <w:szCs w:val="22"/>
            <w:b w:val="0"/>
            <w:bCs w:val="0"/>
            <w:i w:val="0"/>
            <w:iCs w:val="0"/>
          </w:rPr>
          <w:t>دیوان مسکین فراهی‏</w:t>
        </w:r>
        <w:r>
          <w:tab/>
        </w:r>
        <w:r>
          <w:fldChar w:fldCharType="begin"/>
        </w:r>
        <w:r>
          <w:instrText xml:space="preserve">PAGEREF 7652 \h</w:instrText>
        </w:r>
        <w:r>
          <w:fldChar w:fldCharType="end"/>
        </w:r>
      </w:hyperlink>
    </w:p>
    <w:p>
      <w:pPr>
        <w:tabs>
          <w:tab w:val="right" w:leader="dot" w:pos="9062"/>
        </w:tabs>
        <w:ind w:left="440"/>
      </w:pPr>
      <w:hyperlink w:anchor="_Toc7653" w:history="1">
        <w:r>
          <w:rPr>
            <w:rFonts w:ascii="IRNazanin" w:hAnsi="IRNazanin" w:eastAsia="IRNazanin" w:cs="IRNazanin"/>
            <w:color w:val="111111"/>
            <w:sz w:val="22"/>
            <w:szCs w:val="22"/>
            <w:b w:val="0"/>
            <w:bCs w:val="0"/>
            <w:i w:val="0"/>
            <w:iCs w:val="0"/>
          </w:rPr>
          <w:t>6764- دیوان مسکین محلاتی‏</w:t>
        </w:r>
        <w:r>
          <w:tab/>
        </w:r>
        <w:r>
          <w:fldChar w:fldCharType="begin"/>
        </w:r>
        <w:r>
          <w:instrText xml:space="preserve">PAGEREF 7653 \h</w:instrText>
        </w:r>
        <w:r>
          <w:fldChar w:fldCharType="end"/>
        </w:r>
      </w:hyperlink>
    </w:p>
    <w:p>
      <w:pPr>
        <w:tabs>
          <w:tab w:val="right" w:leader="dot" w:pos="9062"/>
        </w:tabs>
        <w:ind w:left="440"/>
      </w:pPr>
      <w:hyperlink w:anchor="_Toc7654" w:history="1">
        <w:r>
          <w:rPr>
            <w:rFonts w:ascii="IRNazanin" w:hAnsi="IRNazanin" w:eastAsia="IRNazanin" w:cs="IRNazanin"/>
            <w:color w:val="111111"/>
            <w:sz w:val="22"/>
            <w:szCs w:val="22"/>
            <w:b w:val="0"/>
            <w:bCs w:val="0"/>
            <w:i w:val="0"/>
            <w:iCs w:val="0"/>
          </w:rPr>
          <w:t>6765- دیوان مسکین ناظم الکتاب‏</w:t>
        </w:r>
        <w:r>
          <w:tab/>
        </w:r>
        <w:r>
          <w:fldChar w:fldCharType="begin"/>
        </w:r>
        <w:r>
          <w:instrText xml:space="preserve">PAGEREF 7654 \h</w:instrText>
        </w:r>
        <w:r>
          <w:fldChar w:fldCharType="end"/>
        </w:r>
      </w:hyperlink>
    </w:p>
    <w:p>
      <w:pPr>
        <w:tabs>
          <w:tab w:val="right" w:leader="dot" w:pos="9062"/>
        </w:tabs>
        <w:ind w:left="440"/>
      </w:pPr>
      <w:hyperlink w:anchor="_Toc7655" w:history="1">
        <w:r>
          <w:rPr>
            <w:rFonts w:ascii="IRNazanin" w:hAnsi="IRNazanin" w:eastAsia="IRNazanin" w:cs="IRNazanin"/>
            <w:color w:val="111111"/>
            <w:sz w:val="22"/>
            <w:szCs w:val="22"/>
            <w:b w:val="0"/>
            <w:bCs w:val="0"/>
            <w:i w:val="0"/>
            <w:iCs w:val="0"/>
          </w:rPr>
          <w:t>6766- دیوان مسکین هندی‏</w:t>
        </w:r>
        <w:r>
          <w:tab/>
        </w:r>
        <w:r>
          <w:fldChar w:fldCharType="begin"/>
        </w:r>
        <w:r>
          <w:instrText xml:space="preserve">PAGEREF 7655 \h</w:instrText>
        </w:r>
        <w:r>
          <w:fldChar w:fldCharType="end"/>
        </w:r>
      </w:hyperlink>
    </w:p>
    <w:p>
      <w:pPr>
        <w:tabs>
          <w:tab w:val="right" w:leader="dot" w:pos="9062"/>
        </w:tabs>
        <w:ind w:left="440"/>
      </w:pPr>
      <w:hyperlink w:anchor="_Toc7656" w:history="1">
        <w:r>
          <w:rPr>
            <w:rFonts w:ascii="IRNazanin" w:hAnsi="IRNazanin" w:eastAsia="IRNazanin" w:cs="IRNazanin"/>
            <w:color w:val="111111"/>
            <w:sz w:val="22"/>
            <w:szCs w:val="22"/>
            <w:b w:val="0"/>
            <w:bCs w:val="0"/>
            <w:i w:val="0"/>
            <w:iCs w:val="0"/>
          </w:rPr>
          <w:t>6767- دیوان مسلمی أسفراینی أو شعره‏</w:t>
        </w:r>
        <w:r>
          <w:tab/>
        </w:r>
        <w:r>
          <w:fldChar w:fldCharType="begin"/>
        </w:r>
        <w:r>
          <w:instrText xml:space="preserve">PAGEREF 7656 \h</w:instrText>
        </w:r>
        <w:r>
          <w:fldChar w:fldCharType="end"/>
        </w:r>
      </w:hyperlink>
    </w:p>
    <w:p>
      <w:pPr>
        <w:tabs>
          <w:tab w:val="right" w:leader="dot" w:pos="9062"/>
        </w:tabs>
        <w:ind w:left="440"/>
      </w:pPr>
      <w:hyperlink w:anchor="_Toc7657" w:history="1">
        <w:r>
          <w:rPr>
            <w:rFonts w:ascii="IRNazanin" w:hAnsi="IRNazanin" w:eastAsia="IRNazanin" w:cs="IRNazanin"/>
            <w:color w:val="111111"/>
            <w:sz w:val="22"/>
            <w:szCs w:val="22"/>
            <w:b w:val="0"/>
            <w:bCs w:val="0"/>
            <w:i w:val="0"/>
            <w:iCs w:val="0"/>
          </w:rPr>
          <w:t>6768- دیوان مسلمی شیرازی أو شعره‏</w:t>
        </w:r>
        <w:r>
          <w:tab/>
        </w:r>
        <w:r>
          <w:fldChar w:fldCharType="begin"/>
        </w:r>
        <w:r>
          <w:instrText xml:space="preserve">PAGEREF 7657 \h</w:instrText>
        </w:r>
        <w:r>
          <w:fldChar w:fldCharType="end"/>
        </w:r>
      </w:hyperlink>
    </w:p>
    <w:p>
      <w:pPr>
        <w:tabs>
          <w:tab w:val="right" w:leader="dot" w:pos="9062"/>
        </w:tabs>
        <w:ind w:left="440"/>
      </w:pPr>
      <w:hyperlink w:anchor="_Toc7658" w:history="1">
        <w:r>
          <w:rPr>
            <w:rFonts w:ascii="IRNazanin" w:hAnsi="IRNazanin" w:eastAsia="IRNazanin" w:cs="IRNazanin"/>
            <w:color w:val="111111"/>
            <w:sz w:val="22"/>
            <w:szCs w:val="22"/>
            <w:b w:val="0"/>
            <w:bCs w:val="0"/>
            <w:i w:val="0"/>
            <w:iCs w:val="0"/>
          </w:rPr>
          <w:t>6769- دیوان المسعودی‏</w:t>
        </w:r>
        <w:r>
          <w:tab/>
        </w:r>
        <w:r>
          <w:fldChar w:fldCharType="begin"/>
        </w:r>
        <w:r>
          <w:instrText xml:space="preserve">PAGEREF 7658 \h</w:instrText>
        </w:r>
        <w:r>
          <w:fldChar w:fldCharType="end"/>
        </w:r>
      </w:hyperlink>
    </w:p>
    <w:p>
      <w:pPr>
        <w:tabs>
          <w:tab w:val="right" w:leader="dot" w:pos="9062"/>
        </w:tabs>
        <w:ind w:left="440"/>
      </w:pPr>
      <w:hyperlink w:anchor="_Toc7659" w:history="1">
        <w:r>
          <w:rPr>
            <w:rFonts w:ascii="IRNazanin" w:hAnsi="IRNazanin" w:eastAsia="IRNazanin" w:cs="IRNazanin"/>
            <w:color w:val="111111"/>
            <w:sz w:val="22"/>
            <w:szCs w:val="22"/>
            <w:b w:val="0"/>
            <w:bCs w:val="0"/>
            <w:i w:val="0"/>
            <w:iCs w:val="0"/>
          </w:rPr>
          <w:t>6770- دیوان مسیب باخرزی‏</w:t>
        </w:r>
        <w:r>
          <w:tab/>
        </w:r>
        <w:r>
          <w:fldChar w:fldCharType="begin"/>
        </w:r>
        <w:r>
          <w:instrText xml:space="preserve">PAGEREF 7659 \h</w:instrText>
        </w:r>
        <w:r>
          <w:fldChar w:fldCharType="end"/>
        </w:r>
      </w:hyperlink>
    </w:p>
    <w:p>
      <w:pPr>
        <w:tabs>
          <w:tab w:val="right" w:leader="dot" w:pos="9062"/>
        </w:tabs>
        <w:ind w:left="440"/>
      </w:pPr>
      <w:hyperlink w:anchor="_Toc7660" w:history="1">
        <w:r>
          <w:rPr>
            <w:rFonts w:ascii="IRNazanin" w:hAnsi="IRNazanin" w:eastAsia="IRNazanin" w:cs="IRNazanin"/>
            <w:color w:val="111111"/>
            <w:sz w:val="22"/>
            <w:szCs w:val="22"/>
            <w:b w:val="0"/>
            <w:bCs w:val="0"/>
            <w:i w:val="0"/>
            <w:iCs w:val="0"/>
          </w:rPr>
          <w:t>6771- دیوان مسیب بیک أو شعره‏</w:t>
        </w:r>
        <w:r>
          <w:tab/>
        </w:r>
        <w:r>
          <w:fldChar w:fldCharType="begin"/>
        </w:r>
        <w:r>
          <w:instrText xml:space="preserve">PAGEREF 7660 \h</w:instrText>
        </w:r>
        <w:r>
          <w:fldChar w:fldCharType="end"/>
        </w:r>
      </w:hyperlink>
    </w:p>
    <w:p>
      <w:pPr>
        <w:tabs>
          <w:tab w:val="right" w:leader="dot" w:pos="9062"/>
        </w:tabs>
        <w:ind w:left="440"/>
      </w:pPr>
      <w:hyperlink w:anchor="_Toc7661" w:history="1">
        <w:r>
          <w:rPr>
            <w:rFonts w:ascii="IRNazanin" w:hAnsi="IRNazanin" w:eastAsia="IRNazanin" w:cs="IRNazanin"/>
            <w:color w:val="111111"/>
            <w:sz w:val="22"/>
            <w:szCs w:val="22"/>
            <w:b w:val="0"/>
            <w:bCs w:val="0"/>
            <w:i w:val="0"/>
            <w:iCs w:val="0"/>
          </w:rPr>
          <w:t>6772- دیوان مسیب تکلو</w:t>
        </w:r>
        <w:r>
          <w:tab/>
        </w:r>
        <w:r>
          <w:fldChar w:fldCharType="begin"/>
        </w:r>
        <w:r>
          <w:instrText xml:space="preserve">PAGEREF 7661 \h</w:instrText>
        </w:r>
        <w:r>
          <w:fldChar w:fldCharType="end"/>
        </w:r>
      </w:hyperlink>
    </w:p>
    <w:p>
      <w:pPr>
        <w:tabs>
          <w:tab w:val="right" w:leader="dot" w:pos="9062"/>
        </w:tabs>
        <w:ind w:left="440"/>
      </w:pPr>
      <w:hyperlink w:anchor="_Toc7662" w:history="1">
        <w:r>
          <w:rPr>
            <w:rFonts w:ascii="IRNazanin" w:hAnsi="IRNazanin" w:eastAsia="IRNazanin" w:cs="IRNazanin"/>
            <w:color w:val="111111"/>
            <w:sz w:val="22"/>
            <w:szCs w:val="22"/>
            <w:b w:val="0"/>
            <w:bCs w:val="0"/>
            <w:i w:val="0"/>
            <w:iCs w:val="0"/>
          </w:rPr>
          <w:t>دیوان مسیب کاشانی‏</w:t>
        </w:r>
        <w:r>
          <w:tab/>
        </w:r>
        <w:r>
          <w:fldChar w:fldCharType="begin"/>
        </w:r>
        <w:r>
          <w:instrText xml:space="preserve">PAGEREF 7662 \h</w:instrText>
        </w:r>
        <w:r>
          <w:fldChar w:fldCharType="end"/>
        </w:r>
      </w:hyperlink>
    </w:p>
    <w:p>
      <w:pPr>
        <w:tabs>
          <w:tab w:val="right" w:leader="dot" w:pos="9062"/>
        </w:tabs>
        <w:ind w:left="440"/>
      </w:pPr>
      <w:hyperlink w:anchor="_Toc7663" w:history="1">
        <w:r>
          <w:rPr>
            <w:rFonts w:ascii="IRNazanin" w:hAnsi="IRNazanin" w:eastAsia="IRNazanin" w:cs="IRNazanin"/>
            <w:color w:val="111111"/>
            <w:sz w:val="22"/>
            <w:szCs w:val="22"/>
            <w:b w:val="0"/>
            <w:bCs w:val="0"/>
            <w:i w:val="0"/>
            <w:iCs w:val="0"/>
          </w:rPr>
          <w:t>دیوان مسیحا</w:t>
        </w:r>
        <w:r>
          <w:tab/>
        </w:r>
        <w:r>
          <w:fldChar w:fldCharType="begin"/>
        </w:r>
        <w:r>
          <w:instrText xml:space="preserve">PAGEREF 7663 \h</w:instrText>
        </w:r>
        <w:r>
          <w:fldChar w:fldCharType="end"/>
        </w:r>
      </w:hyperlink>
    </w:p>
    <w:p>
      <w:pPr>
        <w:tabs>
          <w:tab w:val="right" w:leader="dot" w:pos="9062"/>
        </w:tabs>
        <w:ind w:left="440"/>
      </w:pPr>
      <w:hyperlink w:anchor="_Toc7664" w:history="1">
        <w:r>
          <w:rPr>
            <w:rFonts w:ascii="IRNazanin" w:hAnsi="IRNazanin" w:eastAsia="IRNazanin" w:cs="IRNazanin"/>
            <w:color w:val="111111"/>
            <w:sz w:val="22"/>
            <w:szCs w:val="22"/>
            <w:b w:val="0"/>
            <w:bCs w:val="0"/>
            <w:i w:val="0"/>
            <w:iCs w:val="0"/>
          </w:rPr>
          <w:t>6773- دیوان مسیح پانی‏پتی‏</w:t>
        </w:r>
        <w:r>
          <w:tab/>
        </w:r>
        <w:r>
          <w:fldChar w:fldCharType="begin"/>
        </w:r>
        <w:r>
          <w:instrText xml:space="preserve">PAGEREF 7664 \h</w:instrText>
        </w:r>
        <w:r>
          <w:fldChar w:fldCharType="end"/>
        </w:r>
      </w:hyperlink>
    </w:p>
    <w:p>
      <w:pPr>
        <w:tabs>
          <w:tab w:val="right" w:leader="dot" w:pos="9062"/>
        </w:tabs>
        <w:ind w:left="440"/>
      </w:pPr>
      <w:hyperlink w:anchor="_Toc7665" w:history="1">
        <w:r>
          <w:rPr>
            <w:rFonts w:ascii="IRNazanin" w:hAnsi="IRNazanin" w:eastAsia="IRNazanin" w:cs="IRNazanin"/>
            <w:color w:val="111111"/>
            <w:sz w:val="22"/>
            <w:szCs w:val="22"/>
            <w:b w:val="0"/>
            <w:bCs w:val="0"/>
            <w:i w:val="0"/>
            <w:iCs w:val="0"/>
          </w:rPr>
          <w:t>6774- دیوان مسیح تبریزی أو شعره‏</w:t>
        </w:r>
        <w:r>
          <w:tab/>
        </w:r>
        <w:r>
          <w:fldChar w:fldCharType="begin"/>
        </w:r>
        <w:r>
          <w:instrText xml:space="preserve">PAGEREF 7665 \h</w:instrText>
        </w:r>
        <w:r>
          <w:fldChar w:fldCharType="end"/>
        </w:r>
      </w:hyperlink>
    </w:p>
    <w:p>
      <w:pPr>
        <w:tabs>
          <w:tab w:val="right" w:leader="dot" w:pos="9062"/>
        </w:tabs>
        <w:ind w:left="440"/>
      </w:pPr>
      <w:hyperlink w:anchor="_Toc7666" w:history="1">
        <w:r>
          <w:rPr>
            <w:rFonts w:ascii="IRNazanin" w:hAnsi="IRNazanin" w:eastAsia="IRNazanin" w:cs="IRNazanin"/>
            <w:color w:val="111111"/>
            <w:sz w:val="22"/>
            <w:szCs w:val="22"/>
            <w:b w:val="0"/>
            <w:bCs w:val="0"/>
            <w:i w:val="0"/>
            <w:iCs w:val="0"/>
          </w:rPr>
          <w:t>دیوان مسیح الزمانی‏</w:t>
        </w:r>
        <w:r>
          <w:tab/>
        </w:r>
        <w:r>
          <w:fldChar w:fldCharType="begin"/>
        </w:r>
        <w:r>
          <w:instrText xml:space="preserve">PAGEREF 7666 \h</w:instrText>
        </w:r>
        <w:r>
          <w:fldChar w:fldCharType="end"/>
        </w:r>
      </w:hyperlink>
    </w:p>
    <w:p>
      <w:pPr>
        <w:tabs>
          <w:tab w:val="right" w:leader="dot" w:pos="9062"/>
        </w:tabs>
        <w:ind w:left="440"/>
      </w:pPr>
      <w:hyperlink w:anchor="_Toc7667" w:history="1">
        <w:r>
          <w:rPr>
            <w:rFonts w:ascii="IRNazanin" w:hAnsi="IRNazanin" w:eastAsia="IRNazanin" w:cs="IRNazanin"/>
            <w:color w:val="111111"/>
            <w:sz w:val="22"/>
            <w:szCs w:val="22"/>
            <w:b w:val="0"/>
            <w:bCs w:val="0"/>
            <w:i w:val="0"/>
            <w:iCs w:val="0"/>
          </w:rPr>
          <w:t>دیوان مسیح ساوجی‏</w:t>
        </w:r>
        <w:r>
          <w:tab/>
        </w:r>
        <w:r>
          <w:fldChar w:fldCharType="begin"/>
        </w:r>
        <w:r>
          <w:instrText xml:space="preserve">PAGEREF 7667 \h</w:instrText>
        </w:r>
        <w:r>
          <w:fldChar w:fldCharType="end"/>
        </w:r>
      </w:hyperlink>
    </w:p>
    <w:p>
      <w:pPr>
        <w:tabs>
          <w:tab w:val="right" w:leader="dot" w:pos="9062"/>
        </w:tabs>
        <w:ind w:left="440"/>
      </w:pPr>
      <w:hyperlink w:anchor="_Toc7668" w:history="1">
        <w:r>
          <w:rPr>
            <w:rFonts w:ascii="IRNazanin" w:hAnsi="IRNazanin" w:eastAsia="IRNazanin" w:cs="IRNazanin"/>
            <w:color w:val="111111"/>
            <w:sz w:val="22"/>
            <w:szCs w:val="22"/>
            <w:b w:val="0"/>
            <w:bCs w:val="0"/>
            <w:i w:val="0"/>
            <w:iCs w:val="0"/>
          </w:rPr>
          <w:t>دیوان مسیح شیرازی‏</w:t>
        </w:r>
        <w:r>
          <w:tab/>
        </w:r>
        <w:r>
          <w:fldChar w:fldCharType="begin"/>
        </w:r>
        <w:r>
          <w:instrText xml:space="preserve">PAGEREF 7668 \h</w:instrText>
        </w:r>
        <w:r>
          <w:fldChar w:fldCharType="end"/>
        </w:r>
      </w:hyperlink>
    </w:p>
    <w:p>
      <w:pPr>
        <w:tabs>
          <w:tab w:val="right" w:leader="dot" w:pos="9062"/>
        </w:tabs>
        <w:ind w:left="440"/>
      </w:pPr>
      <w:hyperlink w:anchor="_Toc7669" w:history="1">
        <w:r>
          <w:rPr>
            <w:rFonts w:ascii="IRNazanin" w:hAnsi="IRNazanin" w:eastAsia="IRNazanin" w:cs="IRNazanin"/>
            <w:color w:val="111111"/>
            <w:sz w:val="22"/>
            <w:szCs w:val="22"/>
            <w:b w:val="0"/>
            <w:bCs w:val="0"/>
            <w:i w:val="0"/>
            <w:iCs w:val="0"/>
          </w:rPr>
          <w:t>دیوان مسیح فسائی‏</w:t>
        </w:r>
        <w:r>
          <w:tab/>
        </w:r>
        <w:r>
          <w:fldChar w:fldCharType="begin"/>
        </w:r>
        <w:r>
          <w:instrText xml:space="preserve">PAGEREF 7669 \h</w:instrText>
        </w:r>
        <w:r>
          <w:fldChar w:fldCharType="end"/>
        </w:r>
      </w:hyperlink>
    </w:p>
    <w:p>
      <w:pPr>
        <w:tabs>
          <w:tab w:val="right" w:leader="dot" w:pos="9062"/>
        </w:tabs>
        <w:ind w:left="440"/>
      </w:pPr>
      <w:hyperlink w:anchor="_Toc7670" w:history="1">
        <w:r>
          <w:rPr>
            <w:rFonts w:ascii="IRNazanin" w:hAnsi="IRNazanin" w:eastAsia="IRNazanin" w:cs="IRNazanin"/>
            <w:color w:val="111111"/>
            <w:sz w:val="22"/>
            <w:szCs w:val="22"/>
            <w:b w:val="0"/>
            <w:bCs w:val="0"/>
            <w:i w:val="0"/>
            <w:iCs w:val="0"/>
          </w:rPr>
          <w:t>6775- دیوان مسیح قمی أو شعره‏</w:t>
        </w:r>
        <w:r>
          <w:tab/>
        </w:r>
        <w:r>
          <w:fldChar w:fldCharType="begin"/>
        </w:r>
        <w:r>
          <w:instrText xml:space="preserve">PAGEREF 7670 \h</w:instrText>
        </w:r>
        <w:r>
          <w:fldChar w:fldCharType="end"/>
        </w:r>
      </w:hyperlink>
    </w:p>
    <w:p>
      <w:pPr>
        <w:tabs>
          <w:tab w:val="right" w:leader="dot" w:pos="9062"/>
        </w:tabs>
        <w:ind w:left="440"/>
      </w:pPr>
      <w:hyperlink w:anchor="_Toc7671" w:history="1">
        <w:r>
          <w:rPr>
            <w:rFonts w:ascii="IRNazanin" w:hAnsi="IRNazanin" w:eastAsia="IRNazanin" w:cs="IRNazanin"/>
            <w:color w:val="111111"/>
            <w:sz w:val="22"/>
            <w:szCs w:val="22"/>
            <w:b w:val="0"/>
            <w:bCs w:val="0"/>
            <w:i w:val="0"/>
            <w:iCs w:val="0"/>
          </w:rPr>
          <w:t>دیوان مسیح قزوینی‏</w:t>
        </w:r>
        <w:r>
          <w:tab/>
        </w:r>
        <w:r>
          <w:fldChar w:fldCharType="begin"/>
        </w:r>
        <w:r>
          <w:instrText xml:space="preserve">PAGEREF 7671 \h</w:instrText>
        </w:r>
        <w:r>
          <w:fldChar w:fldCharType="end"/>
        </w:r>
      </w:hyperlink>
    </w:p>
    <w:p>
      <w:pPr>
        <w:tabs>
          <w:tab w:val="right" w:leader="dot" w:pos="9062"/>
        </w:tabs>
        <w:ind w:left="440"/>
      </w:pPr>
      <w:hyperlink w:anchor="_Toc7672" w:history="1">
        <w:r>
          <w:rPr>
            <w:rFonts w:ascii="IRNazanin" w:hAnsi="IRNazanin" w:eastAsia="IRNazanin" w:cs="IRNazanin"/>
            <w:color w:val="111111"/>
            <w:sz w:val="22"/>
            <w:szCs w:val="22"/>
            <w:b w:val="0"/>
            <w:bCs w:val="0"/>
            <w:i w:val="0"/>
            <w:iCs w:val="0"/>
          </w:rPr>
          <w:t>6776- دیوان مسیح کاشانی‏</w:t>
        </w:r>
        <w:r>
          <w:tab/>
        </w:r>
        <w:r>
          <w:fldChar w:fldCharType="begin"/>
        </w:r>
        <w:r>
          <w:instrText xml:space="preserve">PAGEREF 7672 \h</w:instrText>
        </w:r>
        <w:r>
          <w:fldChar w:fldCharType="end"/>
        </w:r>
      </w:hyperlink>
    </w:p>
    <w:p>
      <w:pPr>
        <w:tabs>
          <w:tab w:val="right" w:leader="dot" w:pos="9062"/>
        </w:tabs>
        <w:ind w:left="440"/>
      </w:pPr>
      <w:hyperlink w:anchor="_Toc7673" w:history="1">
        <w:r>
          <w:rPr>
            <w:rFonts w:ascii="IRNazanin" w:hAnsi="IRNazanin" w:eastAsia="IRNazanin" w:cs="IRNazanin"/>
            <w:color w:val="111111"/>
            <w:sz w:val="22"/>
            <w:szCs w:val="22"/>
            <w:b w:val="0"/>
            <w:bCs w:val="0"/>
            <w:i w:val="0"/>
            <w:iCs w:val="0"/>
          </w:rPr>
          <w:t>دیوان مسیح کاشانی‏</w:t>
        </w:r>
        <w:r>
          <w:tab/>
        </w:r>
        <w:r>
          <w:fldChar w:fldCharType="begin"/>
        </w:r>
        <w:r>
          <w:instrText xml:space="preserve">PAGEREF 7673 \h</w:instrText>
        </w:r>
        <w:r>
          <w:fldChar w:fldCharType="end"/>
        </w:r>
      </w:hyperlink>
    </w:p>
    <w:p>
      <w:pPr>
        <w:tabs>
          <w:tab w:val="right" w:leader="dot" w:pos="9062"/>
        </w:tabs>
        <w:ind w:left="440"/>
      </w:pPr>
      <w:hyperlink w:anchor="_Toc7674" w:history="1">
        <w:r>
          <w:rPr>
            <w:rFonts w:ascii="IRNazanin" w:hAnsi="IRNazanin" w:eastAsia="IRNazanin" w:cs="IRNazanin"/>
            <w:color w:val="111111"/>
            <w:sz w:val="22"/>
            <w:szCs w:val="22"/>
            <w:b w:val="0"/>
            <w:bCs w:val="0"/>
            <w:i w:val="0"/>
            <w:iCs w:val="0"/>
          </w:rPr>
          <w:t>6777- دیوان مسیح هندی أو شعره‏</w:t>
        </w:r>
        <w:r>
          <w:tab/>
        </w:r>
        <w:r>
          <w:fldChar w:fldCharType="begin"/>
        </w:r>
        <w:r>
          <w:instrText xml:space="preserve">PAGEREF 7674 \h</w:instrText>
        </w:r>
        <w:r>
          <w:fldChar w:fldCharType="end"/>
        </w:r>
      </w:hyperlink>
    </w:p>
    <w:p>
      <w:pPr>
        <w:tabs>
          <w:tab w:val="right" w:leader="dot" w:pos="9062"/>
        </w:tabs>
        <w:ind w:left="440"/>
      </w:pPr>
      <w:hyperlink w:anchor="_Toc7675" w:history="1">
        <w:r>
          <w:rPr>
            <w:rFonts w:ascii="IRNazanin" w:hAnsi="IRNazanin" w:eastAsia="IRNazanin" w:cs="IRNazanin"/>
            <w:color w:val="111111"/>
            <w:sz w:val="22"/>
            <w:szCs w:val="22"/>
            <w:b w:val="0"/>
            <w:bCs w:val="0"/>
            <w:i w:val="0"/>
            <w:iCs w:val="0"/>
          </w:rPr>
          <w:t>6778- دیوان مسیحی رازی‏</w:t>
        </w:r>
        <w:r>
          <w:tab/>
        </w:r>
        <w:r>
          <w:fldChar w:fldCharType="begin"/>
        </w:r>
        <w:r>
          <w:instrText xml:space="preserve">PAGEREF 7675 \h</w:instrText>
        </w:r>
        <w:r>
          <w:fldChar w:fldCharType="end"/>
        </w:r>
      </w:hyperlink>
    </w:p>
    <w:p>
      <w:pPr>
        <w:tabs>
          <w:tab w:val="right" w:leader="dot" w:pos="9062"/>
        </w:tabs>
        <w:ind w:left="440"/>
      </w:pPr>
      <w:hyperlink w:anchor="_Toc7676" w:history="1">
        <w:r>
          <w:rPr>
            <w:rFonts w:ascii="IRNazanin" w:hAnsi="IRNazanin" w:eastAsia="IRNazanin" w:cs="IRNazanin"/>
            <w:color w:val="111111"/>
            <w:sz w:val="22"/>
            <w:szCs w:val="22"/>
            <w:b w:val="0"/>
            <w:bCs w:val="0"/>
            <w:i w:val="0"/>
            <w:iCs w:val="0"/>
          </w:rPr>
          <w:t>6779- دیوان مسیحی فوشنجی أو شعره‏</w:t>
        </w:r>
        <w:r>
          <w:tab/>
        </w:r>
        <w:r>
          <w:fldChar w:fldCharType="begin"/>
        </w:r>
        <w:r>
          <w:instrText xml:space="preserve">PAGEREF 7676 \h</w:instrText>
        </w:r>
        <w:r>
          <w:fldChar w:fldCharType="end"/>
        </w:r>
      </w:hyperlink>
    </w:p>
    <w:p>
      <w:pPr>
        <w:tabs>
          <w:tab w:val="right" w:leader="dot" w:pos="9062"/>
        </w:tabs>
        <w:ind w:left="440"/>
      </w:pPr>
      <w:hyperlink w:anchor="_Toc7677" w:history="1">
        <w:r>
          <w:rPr>
            <w:rFonts w:ascii="IRNazanin" w:hAnsi="IRNazanin" w:eastAsia="IRNazanin" w:cs="IRNazanin"/>
            <w:color w:val="111111"/>
            <w:sz w:val="22"/>
            <w:szCs w:val="22"/>
            <w:b w:val="0"/>
            <w:bCs w:val="0"/>
            <w:i w:val="0"/>
            <w:iCs w:val="0"/>
          </w:rPr>
          <w:t>دیوان مسیحی کاشانی‏</w:t>
        </w:r>
        <w:r>
          <w:tab/>
        </w:r>
        <w:r>
          <w:fldChar w:fldCharType="begin"/>
        </w:r>
        <w:r>
          <w:instrText xml:space="preserve">PAGEREF 7677 \h</w:instrText>
        </w:r>
        <w:r>
          <w:fldChar w:fldCharType="end"/>
        </w:r>
      </w:hyperlink>
    </w:p>
    <w:p>
      <w:pPr>
        <w:tabs>
          <w:tab w:val="right" w:leader="dot" w:pos="9062"/>
        </w:tabs>
        <w:ind w:left="440"/>
      </w:pPr>
      <w:hyperlink w:anchor="_Toc7678" w:history="1">
        <w:r>
          <w:rPr>
            <w:rFonts w:ascii="IRNazanin" w:hAnsi="IRNazanin" w:eastAsia="IRNazanin" w:cs="IRNazanin"/>
            <w:color w:val="111111"/>
            <w:sz w:val="22"/>
            <w:szCs w:val="22"/>
            <w:b w:val="0"/>
            <w:bCs w:val="0"/>
            <w:i w:val="0"/>
            <w:iCs w:val="0"/>
          </w:rPr>
          <w:t>6780- دیوان مشتاق أحمدآبادی أو شعره‏</w:t>
        </w:r>
        <w:r>
          <w:tab/>
        </w:r>
        <w:r>
          <w:fldChar w:fldCharType="begin"/>
        </w:r>
        <w:r>
          <w:instrText xml:space="preserve">PAGEREF 7678 \h</w:instrText>
        </w:r>
        <w:r>
          <w:fldChar w:fldCharType="end"/>
        </w:r>
      </w:hyperlink>
    </w:p>
    <w:p>
      <w:pPr>
        <w:tabs>
          <w:tab w:val="right" w:leader="dot" w:pos="9062"/>
        </w:tabs>
        <w:ind w:left="440"/>
      </w:pPr>
      <w:hyperlink w:anchor="_Toc7679" w:history="1">
        <w:r>
          <w:rPr>
            <w:rFonts w:ascii="IRNazanin" w:hAnsi="IRNazanin" w:eastAsia="IRNazanin" w:cs="IRNazanin"/>
            <w:color w:val="111111"/>
            <w:sz w:val="22"/>
            <w:szCs w:val="22"/>
            <w:b w:val="0"/>
            <w:bCs w:val="0"/>
            <w:i w:val="0"/>
            <w:iCs w:val="0"/>
          </w:rPr>
          <w:t>6781- دیوان مشتاق أصفهانی‏</w:t>
        </w:r>
        <w:r>
          <w:tab/>
        </w:r>
        <w:r>
          <w:fldChar w:fldCharType="begin"/>
        </w:r>
        <w:r>
          <w:instrText xml:space="preserve">PAGEREF 7679 \h</w:instrText>
        </w:r>
        <w:r>
          <w:fldChar w:fldCharType="end"/>
        </w:r>
      </w:hyperlink>
    </w:p>
    <w:p>
      <w:pPr>
        <w:tabs>
          <w:tab w:val="right" w:leader="dot" w:pos="9062"/>
        </w:tabs>
        <w:ind w:left="440"/>
      </w:pPr>
      <w:hyperlink w:anchor="_Toc7680" w:history="1">
        <w:r>
          <w:rPr>
            <w:rFonts w:ascii="IRNazanin" w:hAnsi="IRNazanin" w:eastAsia="IRNazanin" w:cs="IRNazanin"/>
            <w:color w:val="111111"/>
            <w:sz w:val="22"/>
            <w:szCs w:val="22"/>
            <w:b w:val="0"/>
            <w:bCs w:val="0"/>
            <w:i w:val="0"/>
            <w:iCs w:val="0"/>
          </w:rPr>
          <w:t>6782- دیوان مشتاق أصفهانی‏</w:t>
        </w:r>
        <w:r>
          <w:tab/>
        </w:r>
        <w:r>
          <w:fldChar w:fldCharType="begin"/>
        </w:r>
        <w:r>
          <w:instrText xml:space="preserve">PAGEREF 7680 \h</w:instrText>
        </w:r>
        <w:r>
          <w:fldChar w:fldCharType="end"/>
        </w:r>
      </w:hyperlink>
    </w:p>
    <w:p>
      <w:pPr>
        <w:tabs>
          <w:tab w:val="right" w:leader="dot" w:pos="9062"/>
        </w:tabs>
        <w:ind w:left="440"/>
      </w:pPr>
      <w:hyperlink w:anchor="_Toc7681" w:history="1">
        <w:r>
          <w:rPr>
            <w:rFonts w:ascii="IRNazanin" w:hAnsi="IRNazanin" w:eastAsia="IRNazanin" w:cs="IRNazanin"/>
            <w:color w:val="111111"/>
            <w:sz w:val="22"/>
            <w:szCs w:val="22"/>
            <w:b w:val="0"/>
            <w:bCs w:val="0"/>
            <w:i w:val="0"/>
            <w:iCs w:val="0"/>
          </w:rPr>
          <w:t>6783- دیوان مشتاق تویسرکانی أو شعره‏</w:t>
        </w:r>
        <w:r>
          <w:tab/>
        </w:r>
        <w:r>
          <w:fldChar w:fldCharType="begin"/>
        </w:r>
        <w:r>
          <w:instrText xml:space="preserve">PAGEREF 7681 \h</w:instrText>
        </w:r>
        <w:r>
          <w:fldChar w:fldCharType="end"/>
        </w:r>
      </w:hyperlink>
    </w:p>
    <w:p>
      <w:pPr>
        <w:tabs>
          <w:tab w:val="right" w:leader="dot" w:pos="9062"/>
        </w:tabs>
        <w:ind w:left="440"/>
      </w:pPr>
      <w:hyperlink w:anchor="_Toc7682" w:history="1">
        <w:r>
          <w:rPr>
            <w:rFonts w:ascii="IRNazanin" w:hAnsi="IRNazanin" w:eastAsia="IRNazanin" w:cs="IRNazanin"/>
            <w:color w:val="111111"/>
            <w:sz w:val="22"/>
            <w:szCs w:val="22"/>
            <w:b w:val="0"/>
            <w:bCs w:val="0"/>
            <w:i w:val="0"/>
            <w:iCs w:val="0"/>
          </w:rPr>
          <w:t>6784- دیوان مشتاق دهلوی أو شعره‏</w:t>
        </w:r>
        <w:r>
          <w:tab/>
        </w:r>
        <w:r>
          <w:fldChar w:fldCharType="begin"/>
        </w:r>
        <w:r>
          <w:instrText xml:space="preserve">PAGEREF 7682 \h</w:instrText>
        </w:r>
        <w:r>
          <w:fldChar w:fldCharType="end"/>
        </w:r>
      </w:hyperlink>
    </w:p>
    <w:p>
      <w:pPr>
        <w:tabs>
          <w:tab w:val="right" w:leader="dot" w:pos="9062"/>
        </w:tabs>
        <w:ind w:left="440"/>
      </w:pPr>
      <w:hyperlink w:anchor="_Toc7683" w:history="1">
        <w:r>
          <w:rPr>
            <w:rFonts w:ascii="IRNazanin" w:hAnsi="IRNazanin" w:eastAsia="IRNazanin" w:cs="IRNazanin"/>
            <w:color w:val="111111"/>
            <w:sz w:val="22"/>
            <w:szCs w:val="22"/>
            <w:b w:val="0"/>
            <w:bCs w:val="0"/>
            <w:i w:val="0"/>
            <w:iCs w:val="0"/>
          </w:rPr>
          <w:t>6785- دیوان مشتاق شوشتری أو شعره‏</w:t>
        </w:r>
        <w:r>
          <w:tab/>
        </w:r>
        <w:r>
          <w:fldChar w:fldCharType="begin"/>
        </w:r>
        <w:r>
          <w:instrText xml:space="preserve">PAGEREF 7683 \h</w:instrText>
        </w:r>
        <w:r>
          <w:fldChar w:fldCharType="end"/>
        </w:r>
      </w:hyperlink>
    </w:p>
    <w:p>
      <w:pPr>
        <w:tabs>
          <w:tab w:val="right" w:leader="dot" w:pos="9062"/>
        </w:tabs>
        <w:ind w:left="440"/>
      </w:pPr>
      <w:hyperlink w:anchor="_Toc7684" w:history="1">
        <w:r>
          <w:rPr>
            <w:rFonts w:ascii="IRNazanin" w:hAnsi="IRNazanin" w:eastAsia="IRNazanin" w:cs="IRNazanin"/>
            <w:color w:val="111111"/>
            <w:sz w:val="22"/>
            <w:szCs w:val="22"/>
            <w:b w:val="0"/>
            <w:bCs w:val="0"/>
            <w:i w:val="0"/>
            <w:iCs w:val="0"/>
          </w:rPr>
          <w:t>دیوان مشتاق شیرازی‏</w:t>
        </w:r>
        <w:r>
          <w:tab/>
        </w:r>
        <w:r>
          <w:fldChar w:fldCharType="begin"/>
        </w:r>
        <w:r>
          <w:instrText xml:space="preserve">PAGEREF 7684 \h</w:instrText>
        </w:r>
        <w:r>
          <w:fldChar w:fldCharType="end"/>
        </w:r>
      </w:hyperlink>
    </w:p>
    <w:p>
      <w:pPr>
        <w:tabs>
          <w:tab w:val="right" w:leader="dot" w:pos="9062"/>
        </w:tabs>
        <w:ind w:left="440"/>
      </w:pPr>
      <w:hyperlink w:anchor="_Toc7685" w:history="1">
        <w:r>
          <w:rPr>
            <w:rFonts w:ascii="IRNazanin" w:hAnsi="IRNazanin" w:eastAsia="IRNazanin" w:cs="IRNazanin"/>
            <w:color w:val="111111"/>
            <w:sz w:val="22"/>
            <w:szCs w:val="22"/>
            <w:b w:val="0"/>
            <w:bCs w:val="0"/>
            <w:i w:val="0"/>
            <w:iCs w:val="0"/>
          </w:rPr>
          <w:t>6786- دیوان مشتاق علی شاه أو شعره‏</w:t>
        </w:r>
        <w:r>
          <w:tab/>
        </w:r>
        <w:r>
          <w:fldChar w:fldCharType="begin"/>
        </w:r>
        <w:r>
          <w:instrText xml:space="preserve">PAGEREF 7685 \h</w:instrText>
        </w:r>
        <w:r>
          <w:fldChar w:fldCharType="end"/>
        </w:r>
      </w:hyperlink>
    </w:p>
    <w:p>
      <w:pPr>
        <w:tabs>
          <w:tab w:val="right" w:leader="dot" w:pos="9062"/>
        </w:tabs>
        <w:ind w:left="440"/>
      </w:pPr>
      <w:hyperlink w:anchor="_Toc7686" w:history="1">
        <w:r>
          <w:rPr>
            <w:rFonts w:ascii="IRNazanin" w:hAnsi="IRNazanin" w:eastAsia="IRNazanin" w:cs="IRNazanin"/>
            <w:color w:val="111111"/>
            <w:sz w:val="22"/>
            <w:szCs w:val="22"/>
            <w:b w:val="0"/>
            <w:bCs w:val="0"/>
            <w:i w:val="0"/>
            <w:iCs w:val="0"/>
          </w:rPr>
          <w:t>6787- دیوان مشتاق کشمیری أو شعره‏</w:t>
        </w:r>
        <w:r>
          <w:tab/>
        </w:r>
        <w:r>
          <w:fldChar w:fldCharType="begin"/>
        </w:r>
        <w:r>
          <w:instrText xml:space="preserve">PAGEREF 7686 \h</w:instrText>
        </w:r>
        <w:r>
          <w:fldChar w:fldCharType="end"/>
        </w:r>
      </w:hyperlink>
    </w:p>
    <w:p>
      <w:pPr>
        <w:tabs>
          <w:tab w:val="right" w:leader="dot" w:pos="9062"/>
        </w:tabs>
        <w:ind w:left="440"/>
      </w:pPr>
      <w:hyperlink w:anchor="_Toc7687" w:history="1">
        <w:r>
          <w:rPr>
            <w:rFonts w:ascii="IRNazanin" w:hAnsi="IRNazanin" w:eastAsia="IRNazanin" w:cs="IRNazanin"/>
            <w:color w:val="111111"/>
            <w:sz w:val="22"/>
            <w:szCs w:val="22"/>
            <w:b w:val="0"/>
            <w:bCs w:val="0"/>
            <w:i w:val="0"/>
            <w:iCs w:val="0"/>
          </w:rPr>
          <w:t>6788- دیوان مشتاق لاهوری أو شعره‏</w:t>
        </w:r>
        <w:r>
          <w:tab/>
        </w:r>
        <w:r>
          <w:fldChar w:fldCharType="begin"/>
        </w:r>
        <w:r>
          <w:instrText xml:space="preserve">PAGEREF 7687 \h</w:instrText>
        </w:r>
        <w:r>
          <w:fldChar w:fldCharType="end"/>
        </w:r>
      </w:hyperlink>
    </w:p>
    <w:p>
      <w:pPr>
        <w:tabs>
          <w:tab w:val="right" w:leader="dot" w:pos="9062"/>
        </w:tabs>
        <w:ind w:left="440"/>
      </w:pPr>
      <w:hyperlink w:anchor="_Toc7688" w:history="1">
        <w:r>
          <w:rPr>
            <w:rFonts w:ascii="IRNazanin" w:hAnsi="IRNazanin" w:eastAsia="IRNazanin" w:cs="IRNazanin"/>
            <w:color w:val="111111"/>
            <w:sz w:val="22"/>
            <w:szCs w:val="22"/>
            <w:b w:val="0"/>
            <w:bCs w:val="0"/>
            <w:i w:val="0"/>
            <w:iCs w:val="0"/>
          </w:rPr>
          <w:t>6789- دیوان مشتاق هندی أو شعره‏</w:t>
        </w:r>
        <w:r>
          <w:tab/>
        </w:r>
        <w:r>
          <w:fldChar w:fldCharType="begin"/>
        </w:r>
        <w:r>
          <w:instrText xml:space="preserve">PAGEREF 7688 \h</w:instrText>
        </w:r>
        <w:r>
          <w:fldChar w:fldCharType="end"/>
        </w:r>
      </w:hyperlink>
    </w:p>
    <w:p>
      <w:pPr>
        <w:tabs>
          <w:tab w:val="right" w:leader="dot" w:pos="9062"/>
        </w:tabs>
        <w:ind w:left="440"/>
      </w:pPr>
      <w:hyperlink w:anchor="_Toc7689" w:history="1">
        <w:r>
          <w:rPr>
            <w:rFonts w:ascii="IRNazanin" w:hAnsi="IRNazanin" w:eastAsia="IRNazanin" w:cs="IRNazanin"/>
            <w:color w:val="111111"/>
            <w:sz w:val="22"/>
            <w:szCs w:val="22"/>
            <w:b w:val="0"/>
            <w:bCs w:val="0"/>
            <w:i w:val="0"/>
            <w:iCs w:val="0"/>
          </w:rPr>
          <w:t>6790- دیوان مشتاق یزدی‏</w:t>
        </w:r>
        <w:r>
          <w:tab/>
        </w:r>
        <w:r>
          <w:fldChar w:fldCharType="begin"/>
        </w:r>
        <w:r>
          <w:instrText xml:space="preserve">PAGEREF 7689 \h</w:instrText>
        </w:r>
        <w:r>
          <w:fldChar w:fldCharType="end"/>
        </w:r>
      </w:hyperlink>
    </w:p>
    <w:p>
      <w:pPr>
        <w:tabs>
          <w:tab w:val="right" w:leader="dot" w:pos="9062"/>
        </w:tabs>
        <w:ind w:left="440"/>
      </w:pPr>
      <w:hyperlink w:anchor="_Toc7690" w:history="1">
        <w:r>
          <w:rPr>
            <w:rFonts w:ascii="IRNazanin" w:hAnsi="IRNazanin" w:eastAsia="IRNazanin" w:cs="IRNazanin"/>
            <w:color w:val="111111"/>
            <w:sz w:val="22"/>
            <w:szCs w:val="22"/>
            <w:b w:val="0"/>
            <w:bCs w:val="0"/>
            <w:i w:val="0"/>
            <w:iCs w:val="0"/>
          </w:rPr>
          <w:t>6791- دیوان مشتاقی دهلوی أو شعره‏</w:t>
        </w:r>
        <w:r>
          <w:tab/>
        </w:r>
        <w:r>
          <w:fldChar w:fldCharType="begin"/>
        </w:r>
        <w:r>
          <w:instrText xml:space="preserve">PAGEREF 7690 \h</w:instrText>
        </w:r>
        <w:r>
          <w:fldChar w:fldCharType="end"/>
        </w:r>
      </w:hyperlink>
    </w:p>
    <w:p>
      <w:pPr>
        <w:tabs>
          <w:tab w:val="right" w:leader="dot" w:pos="9062"/>
        </w:tabs>
        <w:ind w:left="440"/>
      </w:pPr>
      <w:hyperlink w:anchor="_Toc7691" w:history="1">
        <w:r>
          <w:rPr>
            <w:rFonts w:ascii="IRNazanin" w:hAnsi="IRNazanin" w:eastAsia="IRNazanin" w:cs="IRNazanin"/>
            <w:color w:val="111111"/>
            <w:sz w:val="22"/>
            <w:szCs w:val="22"/>
            <w:b w:val="0"/>
            <w:bCs w:val="0"/>
            <w:i w:val="0"/>
            <w:iCs w:val="0"/>
          </w:rPr>
          <w:t>6792- دیوان مشتاقی شیرازی أو شعره‏</w:t>
        </w:r>
        <w:r>
          <w:tab/>
        </w:r>
        <w:r>
          <w:fldChar w:fldCharType="begin"/>
        </w:r>
        <w:r>
          <w:instrText xml:space="preserve">PAGEREF 7691 \h</w:instrText>
        </w:r>
        <w:r>
          <w:fldChar w:fldCharType="end"/>
        </w:r>
      </w:hyperlink>
    </w:p>
    <w:p>
      <w:pPr>
        <w:tabs>
          <w:tab w:val="right" w:leader="dot" w:pos="9062"/>
        </w:tabs>
        <w:ind w:left="440"/>
      </w:pPr>
      <w:hyperlink w:anchor="_Toc7692" w:history="1">
        <w:r>
          <w:rPr>
            <w:rFonts w:ascii="IRNazanin" w:hAnsi="IRNazanin" w:eastAsia="IRNazanin" w:cs="IRNazanin"/>
            <w:color w:val="111111"/>
            <w:sz w:val="22"/>
            <w:szCs w:val="22"/>
            <w:b w:val="0"/>
            <w:bCs w:val="0"/>
            <w:i w:val="0"/>
            <w:iCs w:val="0"/>
          </w:rPr>
          <w:t>6793- دیوان مشتاقیه‏</w:t>
        </w:r>
        <w:r>
          <w:tab/>
        </w:r>
        <w:r>
          <w:fldChar w:fldCharType="begin"/>
        </w:r>
        <w:r>
          <w:instrText xml:space="preserve">PAGEREF 7692 \h</w:instrText>
        </w:r>
        <w:r>
          <w:fldChar w:fldCharType="end"/>
        </w:r>
      </w:hyperlink>
    </w:p>
    <w:p>
      <w:pPr>
        <w:tabs>
          <w:tab w:val="right" w:leader="dot" w:pos="9062"/>
        </w:tabs>
        <w:ind w:left="440"/>
      </w:pPr>
      <w:hyperlink w:anchor="_Toc7693" w:history="1">
        <w:r>
          <w:rPr>
            <w:rFonts w:ascii="IRNazanin" w:hAnsi="IRNazanin" w:eastAsia="IRNazanin" w:cs="IRNazanin"/>
            <w:color w:val="111111"/>
            <w:sz w:val="22"/>
            <w:szCs w:val="22"/>
            <w:b w:val="0"/>
            <w:bCs w:val="0"/>
            <w:i w:val="0"/>
            <w:iCs w:val="0"/>
          </w:rPr>
          <w:t>6794- دیوان مشتاقی نائینی‏</w:t>
        </w:r>
        <w:r>
          <w:tab/>
        </w:r>
        <w:r>
          <w:fldChar w:fldCharType="begin"/>
        </w:r>
        <w:r>
          <w:instrText xml:space="preserve">PAGEREF 7693 \h</w:instrText>
        </w:r>
        <w:r>
          <w:fldChar w:fldCharType="end"/>
        </w:r>
      </w:hyperlink>
    </w:p>
    <w:p>
      <w:pPr>
        <w:tabs>
          <w:tab w:val="right" w:leader="dot" w:pos="9062"/>
        </w:tabs>
        <w:ind w:left="440"/>
      </w:pPr>
      <w:hyperlink w:anchor="_Toc7694" w:history="1">
        <w:r>
          <w:rPr>
            <w:rFonts w:ascii="IRNazanin" w:hAnsi="IRNazanin" w:eastAsia="IRNazanin" w:cs="IRNazanin"/>
            <w:color w:val="111111"/>
            <w:sz w:val="22"/>
            <w:szCs w:val="22"/>
            <w:b w:val="0"/>
            <w:bCs w:val="0"/>
            <w:i w:val="0"/>
            <w:iCs w:val="0"/>
          </w:rPr>
          <w:t>6795- دیوان مشتری أسترآبادی أو شعره‏</w:t>
        </w:r>
        <w:r>
          <w:tab/>
        </w:r>
        <w:r>
          <w:fldChar w:fldCharType="begin"/>
        </w:r>
        <w:r>
          <w:instrText xml:space="preserve">PAGEREF 7694 \h</w:instrText>
        </w:r>
        <w:r>
          <w:fldChar w:fldCharType="end"/>
        </w:r>
      </w:hyperlink>
    </w:p>
    <w:p>
      <w:pPr>
        <w:tabs>
          <w:tab w:val="right" w:leader="dot" w:pos="9062"/>
        </w:tabs>
        <w:ind w:left="440"/>
      </w:pPr>
      <w:hyperlink w:anchor="_Toc7695" w:history="1">
        <w:r>
          <w:rPr>
            <w:rFonts w:ascii="IRNazanin" w:hAnsi="IRNazanin" w:eastAsia="IRNazanin" w:cs="IRNazanin"/>
            <w:color w:val="111111"/>
            <w:sz w:val="22"/>
            <w:szCs w:val="22"/>
            <w:b w:val="0"/>
            <w:bCs w:val="0"/>
            <w:i w:val="0"/>
            <w:iCs w:val="0"/>
          </w:rPr>
          <w:t>6796- دیوان مشتری خراسانی‏</w:t>
        </w:r>
        <w:r>
          <w:tab/>
        </w:r>
        <w:r>
          <w:fldChar w:fldCharType="begin"/>
        </w:r>
        <w:r>
          <w:instrText xml:space="preserve">PAGEREF 7695 \h</w:instrText>
        </w:r>
        <w:r>
          <w:fldChar w:fldCharType="end"/>
        </w:r>
      </w:hyperlink>
    </w:p>
    <w:p>
      <w:pPr>
        <w:tabs>
          <w:tab w:val="right" w:leader="dot" w:pos="9062"/>
        </w:tabs>
        <w:ind w:left="440"/>
      </w:pPr>
      <w:hyperlink w:anchor="_Toc7696" w:history="1">
        <w:r>
          <w:rPr>
            <w:rFonts w:ascii="IRNazanin" w:hAnsi="IRNazanin" w:eastAsia="IRNazanin" w:cs="IRNazanin"/>
            <w:color w:val="111111"/>
            <w:sz w:val="22"/>
            <w:szCs w:val="22"/>
            <w:b w:val="0"/>
            <w:bCs w:val="0"/>
            <w:i w:val="0"/>
            <w:iCs w:val="0"/>
          </w:rPr>
          <w:t>6797- دیوان مشتری فراهانی أو شعره‏</w:t>
        </w:r>
        <w:r>
          <w:tab/>
        </w:r>
        <w:r>
          <w:fldChar w:fldCharType="begin"/>
        </w:r>
        <w:r>
          <w:instrText xml:space="preserve">PAGEREF 7696 \h</w:instrText>
        </w:r>
        <w:r>
          <w:fldChar w:fldCharType="end"/>
        </w:r>
      </w:hyperlink>
    </w:p>
    <w:p>
      <w:pPr>
        <w:tabs>
          <w:tab w:val="right" w:leader="dot" w:pos="9062"/>
        </w:tabs>
        <w:ind w:left="440"/>
      </w:pPr>
      <w:hyperlink w:anchor="_Toc7697" w:history="1">
        <w:r>
          <w:rPr>
            <w:rFonts w:ascii="IRNazanin" w:hAnsi="IRNazanin" w:eastAsia="IRNazanin" w:cs="IRNazanin"/>
            <w:color w:val="111111"/>
            <w:sz w:val="22"/>
            <w:szCs w:val="22"/>
            <w:b w:val="0"/>
            <w:bCs w:val="0"/>
            <w:i w:val="0"/>
            <w:iCs w:val="0"/>
          </w:rPr>
          <w:t>دیوان مشتری مشهدی‏</w:t>
        </w:r>
        <w:r>
          <w:tab/>
        </w:r>
        <w:r>
          <w:fldChar w:fldCharType="begin"/>
        </w:r>
        <w:r>
          <w:instrText xml:space="preserve">PAGEREF 7697 \h</w:instrText>
        </w:r>
        <w:r>
          <w:fldChar w:fldCharType="end"/>
        </w:r>
      </w:hyperlink>
    </w:p>
    <w:p>
      <w:pPr>
        <w:tabs>
          <w:tab w:val="right" w:leader="dot" w:pos="9062"/>
        </w:tabs>
        <w:ind w:left="440"/>
      </w:pPr>
      <w:hyperlink w:anchor="_Toc7698" w:history="1">
        <w:r>
          <w:rPr>
            <w:rFonts w:ascii="IRNazanin" w:hAnsi="IRNazanin" w:eastAsia="IRNazanin" w:cs="IRNazanin"/>
            <w:color w:val="111111"/>
            <w:sz w:val="22"/>
            <w:szCs w:val="22"/>
            <w:b w:val="0"/>
            <w:bCs w:val="0"/>
            <w:i w:val="0"/>
            <w:iCs w:val="0"/>
          </w:rPr>
          <w:t>6798- دیوان مشرب أصفهانی أو شعره‏</w:t>
        </w:r>
        <w:r>
          <w:tab/>
        </w:r>
        <w:r>
          <w:fldChar w:fldCharType="begin"/>
        </w:r>
        <w:r>
          <w:instrText xml:space="preserve">PAGEREF 7698 \h</w:instrText>
        </w:r>
        <w:r>
          <w:fldChar w:fldCharType="end"/>
        </w:r>
      </w:hyperlink>
    </w:p>
    <w:p>
      <w:pPr>
        <w:tabs>
          <w:tab w:val="right" w:leader="dot" w:pos="9062"/>
        </w:tabs>
        <w:ind w:left="440"/>
      </w:pPr>
      <w:hyperlink w:anchor="_Toc7699" w:history="1">
        <w:r>
          <w:rPr>
            <w:rFonts w:ascii="IRNazanin" w:hAnsi="IRNazanin" w:eastAsia="IRNazanin" w:cs="IRNazanin"/>
            <w:color w:val="111111"/>
            <w:sz w:val="22"/>
            <w:szCs w:val="22"/>
            <w:b w:val="0"/>
            <w:bCs w:val="0"/>
            <w:i w:val="0"/>
            <w:iCs w:val="0"/>
          </w:rPr>
          <w:t>6799- دیوان مشرب أکبرآبادی أو شعره‏</w:t>
        </w:r>
        <w:r>
          <w:tab/>
        </w:r>
        <w:r>
          <w:fldChar w:fldCharType="begin"/>
        </w:r>
        <w:r>
          <w:instrText xml:space="preserve">PAGEREF 7699 \h</w:instrText>
        </w:r>
        <w:r>
          <w:fldChar w:fldCharType="end"/>
        </w:r>
      </w:hyperlink>
    </w:p>
    <w:p>
      <w:pPr>
        <w:tabs>
          <w:tab w:val="right" w:leader="dot" w:pos="9062"/>
        </w:tabs>
        <w:ind w:left="440"/>
      </w:pPr>
      <w:hyperlink w:anchor="_Toc7700" w:history="1">
        <w:r>
          <w:rPr>
            <w:rFonts w:ascii="IRNazanin" w:hAnsi="IRNazanin" w:eastAsia="IRNazanin" w:cs="IRNazanin"/>
            <w:color w:val="111111"/>
            <w:sz w:val="22"/>
            <w:szCs w:val="22"/>
            <w:b w:val="0"/>
            <w:bCs w:val="0"/>
            <w:i w:val="0"/>
            <w:iCs w:val="0"/>
          </w:rPr>
          <w:t>6800- دیوان مشرب دهلوی أو شعره‏</w:t>
        </w:r>
        <w:r>
          <w:tab/>
        </w:r>
        <w:r>
          <w:fldChar w:fldCharType="begin"/>
        </w:r>
        <w:r>
          <w:instrText xml:space="preserve">PAGEREF 7700 \h</w:instrText>
        </w:r>
        <w:r>
          <w:fldChar w:fldCharType="end"/>
        </w:r>
      </w:hyperlink>
    </w:p>
    <w:p>
      <w:pPr>
        <w:tabs>
          <w:tab w:val="right" w:leader="dot" w:pos="9062"/>
        </w:tabs>
        <w:ind w:left="440"/>
      </w:pPr>
      <w:hyperlink w:anchor="_Toc7701" w:history="1">
        <w:r>
          <w:rPr>
            <w:rFonts w:ascii="IRNazanin" w:hAnsi="IRNazanin" w:eastAsia="IRNazanin" w:cs="IRNazanin"/>
            <w:color w:val="111111"/>
            <w:sz w:val="22"/>
            <w:szCs w:val="22"/>
            <w:b w:val="0"/>
            <w:bCs w:val="0"/>
            <w:i w:val="0"/>
            <w:iCs w:val="0"/>
          </w:rPr>
          <w:t>6801- دیوان مشرب شیرازی أو شعره‏</w:t>
        </w:r>
        <w:r>
          <w:tab/>
        </w:r>
        <w:r>
          <w:fldChar w:fldCharType="begin"/>
        </w:r>
        <w:r>
          <w:instrText xml:space="preserve">PAGEREF 7701 \h</w:instrText>
        </w:r>
        <w:r>
          <w:fldChar w:fldCharType="end"/>
        </w:r>
      </w:hyperlink>
    </w:p>
    <w:p>
      <w:pPr>
        <w:tabs>
          <w:tab w:val="right" w:leader="dot" w:pos="9062"/>
        </w:tabs>
        <w:ind w:left="440"/>
      </w:pPr>
      <w:hyperlink w:anchor="_Toc7702" w:history="1">
        <w:r>
          <w:rPr>
            <w:rFonts w:ascii="IRNazanin" w:hAnsi="IRNazanin" w:eastAsia="IRNazanin" w:cs="IRNazanin"/>
            <w:color w:val="111111"/>
            <w:sz w:val="22"/>
            <w:szCs w:val="22"/>
            <w:b w:val="0"/>
            <w:bCs w:val="0"/>
            <w:i w:val="0"/>
            <w:iCs w:val="0"/>
          </w:rPr>
          <w:t>6802- دیوان مشرب شیشه‏گره أو شعره‏</w:t>
        </w:r>
        <w:r>
          <w:tab/>
        </w:r>
        <w:r>
          <w:fldChar w:fldCharType="begin"/>
        </w:r>
        <w:r>
          <w:instrText xml:space="preserve">PAGEREF 7702 \h</w:instrText>
        </w:r>
        <w:r>
          <w:fldChar w:fldCharType="end"/>
        </w:r>
      </w:hyperlink>
    </w:p>
    <w:p>
      <w:pPr>
        <w:tabs>
          <w:tab w:val="right" w:leader="dot" w:pos="9062"/>
        </w:tabs>
        <w:ind w:left="440"/>
      </w:pPr>
      <w:hyperlink w:anchor="_Toc7703" w:history="1">
        <w:r>
          <w:rPr>
            <w:rFonts w:ascii="IRNazanin" w:hAnsi="IRNazanin" w:eastAsia="IRNazanin" w:cs="IRNazanin"/>
            <w:color w:val="111111"/>
            <w:sz w:val="22"/>
            <w:szCs w:val="22"/>
            <w:b w:val="0"/>
            <w:bCs w:val="0"/>
            <w:i w:val="0"/>
            <w:iCs w:val="0"/>
          </w:rPr>
          <w:t>6803- دیوان مشرب عامری أو شعره‏</w:t>
        </w:r>
        <w:r>
          <w:tab/>
        </w:r>
        <w:r>
          <w:fldChar w:fldCharType="begin"/>
        </w:r>
        <w:r>
          <w:instrText xml:space="preserve">PAGEREF 7703 \h</w:instrText>
        </w:r>
        <w:r>
          <w:fldChar w:fldCharType="end"/>
        </w:r>
      </w:hyperlink>
    </w:p>
    <w:p>
      <w:pPr>
        <w:tabs>
          <w:tab w:val="right" w:leader="dot" w:pos="9062"/>
        </w:tabs>
        <w:ind w:left="440"/>
      </w:pPr>
      <w:hyperlink w:anchor="_Toc7704" w:history="1">
        <w:r>
          <w:rPr>
            <w:rFonts w:ascii="IRNazanin" w:hAnsi="IRNazanin" w:eastAsia="IRNazanin" w:cs="IRNazanin"/>
            <w:color w:val="111111"/>
            <w:sz w:val="22"/>
            <w:szCs w:val="22"/>
            <w:b w:val="0"/>
            <w:bCs w:val="0"/>
            <w:i w:val="0"/>
            <w:iCs w:val="0"/>
          </w:rPr>
          <w:t>دیوان مشرب قمی‏</w:t>
        </w:r>
        <w:r>
          <w:tab/>
        </w:r>
        <w:r>
          <w:fldChar w:fldCharType="begin"/>
        </w:r>
        <w:r>
          <w:instrText xml:space="preserve">PAGEREF 7704 \h</w:instrText>
        </w:r>
        <w:r>
          <w:fldChar w:fldCharType="end"/>
        </w:r>
      </w:hyperlink>
    </w:p>
    <w:p>
      <w:pPr>
        <w:tabs>
          <w:tab w:val="right" w:leader="dot" w:pos="9062"/>
        </w:tabs>
        <w:ind w:left="440"/>
      </w:pPr>
      <w:hyperlink w:anchor="_Toc7705" w:history="1">
        <w:r>
          <w:rPr>
            <w:rFonts w:ascii="IRNazanin" w:hAnsi="IRNazanin" w:eastAsia="IRNazanin" w:cs="IRNazanin"/>
            <w:color w:val="111111"/>
            <w:sz w:val="22"/>
            <w:szCs w:val="22"/>
            <w:b w:val="0"/>
            <w:bCs w:val="0"/>
            <w:i w:val="0"/>
            <w:iCs w:val="0"/>
          </w:rPr>
          <w:t>دیوان مشرب کاشانی‏</w:t>
        </w:r>
        <w:r>
          <w:tab/>
        </w:r>
        <w:r>
          <w:fldChar w:fldCharType="begin"/>
        </w:r>
        <w:r>
          <w:instrText xml:space="preserve">PAGEREF 7705 \h</w:instrText>
        </w:r>
        <w:r>
          <w:fldChar w:fldCharType="end"/>
        </w:r>
      </w:hyperlink>
    </w:p>
    <w:p>
      <w:pPr>
        <w:tabs>
          <w:tab w:val="right" w:leader="dot" w:pos="9062"/>
        </w:tabs>
        <w:ind w:left="440"/>
      </w:pPr>
      <w:hyperlink w:anchor="_Toc7706" w:history="1">
        <w:r>
          <w:rPr>
            <w:rFonts w:ascii="IRNazanin" w:hAnsi="IRNazanin" w:eastAsia="IRNazanin" w:cs="IRNazanin"/>
            <w:color w:val="111111"/>
            <w:sz w:val="22"/>
            <w:szCs w:val="22"/>
            <w:b w:val="0"/>
            <w:bCs w:val="0"/>
            <w:i w:val="0"/>
            <w:iCs w:val="0"/>
          </w:rPr>
          <w:t>6804- دیوان مشرب نائنی أو شعره‏</w:t>
        </w:r>
        <w:r>
          <w:tab/>
        </w:r>
        <w:r>
          <w:fldChar w:fldCharType="begin"/>
        </w:r>
        <w:r>
          <w:instrText xml:space="preserve">PAGEREF 7706 \h</w:instrText>
        </w:r>
        <w:r>
          <w:fldChar w:fldCharType="end"/>
        </w:r>
      </w:hyperlink>
    </w:p>
    <w:p>
      <w:pPr>
        <w:tabs>
          <w:tab w:val="right" w:leader="dot" w:pos="9062"/>
        </w:tabs>
        <w:ind w:left="440"/>
      </w:pPr>
      <w:hyperlink w:anchor="_Toc7707" w:history="1">
        <w:r>
          <w:rPr>
            <w:rFonts w:ascii="IRNazanin" w:hAnsi="IRNazanin" w:eastAsia="IRNazanin" w:cs="IRNazanin"/>
            <w:color w:val="111111"/>
            <w:sz w:val="22"/>
            <w:szCs w:val="22"/>
            <w:b w:val="0"/>
            <w:bCs w:val="0"/>
            <w:i w:val="0"/>
            <w:iCs w:val="0"/>
          </w:rPr>
          <w:t>6805- دیوان مشربی أسترآبادی أو شعره‏</w:t>
        </w:r>
        <w:r>
          <w:tab/>
        </w:r>
        <w:r>
          <w:fldChar w:fldCharType="begin"/>
        </w:r>
        <w:r>
          <w:instrText xml:space="preserve">PAGEREF 7707 \h</w:instrText>
        </w:r>
        <w:r>
          <w:fldChar w:fldCharType="end"/>
        </w:r>
      </w:hyperlink>
    </w:p>
    <w:p>
      <w:pPr>
        <w:tabs>
          <w:tab w:val="right" w:leader="dot" w:pos="9062"/>
        </w:tabs>
        <w:ind w:left="440"/>
      </w:pPr>
      <w:hyperlink w:anchor="_Toc7708" w:history="1">
        <w:r>
          <w:rPr>
            <w:rFonts w:ascii="IRNazanin" w:hAnsi="IRNazanin" w:eastAsia="IRNazanin" w:cs="IRNazanin"/>
            <w:color w:val="111111"/>
            <w:sz w:val="22"/>
            <w:szCs w:val="22"/>
            <w:b w:val="0"/>
            <w:bCs w:val="0"/>
            <w:i w:val="0"/>
            <w:iCs w:val="0"/>
          </w:rPr>
          <w:t>6806- دیوان مشربی تکلو أو شعره‏</w:t>
        </w:r>
        <w:r>
          <w:tab/>
        </w:r>
        <w:r>
          <w:fldChar w:fldCharType="begin"/>
        </w:r>
        <w:r>
          <w:instrText xml:space="preserve">PAGEREF 7708 \h</w:instrText>
        </w:r>
        <w:r>
          <w:fldChar w:fldCharType="end"/>
        </w:r>
      </w:hyperlink>
    </w:p>
    <w:p>
      <w:pPr>
        <w:tabs>
          <w:tab w:val="right" w:leader="dot" w:pos="9062"/>
        </w:tabs>
        <w:ind w:left="440"/>
      </w:pPr>
      <w:hyperlink w:anchor="_Toc7709" w:history="1">
        <w:r>
          <w:rPr>
            <w:rFonts w:ascii="IRNazanin" w:hAnsi="IRNazanin" w:eastAsia="IRNazanin" w:cs="IRNazanin"/>
            <w:color w:val="111111"/>
            <w:sz w:val="22"/>
            <w:szCs w:val="22"/>
            <w:b w:val="0"/>
            <w:bCs w:val="0"/>
            <w:i w:val="0"/>
            <w:iCs w:val="0"/>
          </w:rPr>
          <w:t>6807- دیوان مشربی خوانساری أو شعره‏</w:t>
        </w:r>
        <w:r>
          <w:tab/>
        </w:r>
        <w:r>
          <w:fldChar w:fldCharType="begin"/>
        </w:r>
        <w:r>
          <w:instrText xml:space="preserve">PAGEREF 7709 \h</w:instrText>
        </w:r>
        <w:r>
          <w:fldChar w:fldCharType="end"/>
        </w:r>
      </w:hyperlink>
    </w:p>
    <w:p>
      <w:pPr>
        <w:tabs>
          <w:tab w:val="right" w:leader="dot" w:pos="9062"/>
        </w:tabs>
        <w:ind w:left="440"/>
      </w:pPr>
      <w:hyperlink w:anchor="_Toc7710" w:history="1">
        <w:r>
          <w:rPr>
            <w:rFonts w:ascii="IRNazanin" w:hAnsi="IRNazanin" w:eastAsia="IRNazanin" w:cs="IRNazanin"/>
            <w:color w:val="111111"/>
            <w:sz w:val="22"/>
            <w:szCs w:val="22"/>
            <w:b w:val="0"/>
            <w:bCs w:val="0"/>
            <w:i w:val="0"/>
            <w:iCs w:val="0"/>
          </w:rPr>
          <w:t>6808- دیوان مشربی سهوانی أو شعره‏</w:t>
        </w:r>
        <w:r>
          <w:tab/>
        </w:r>
        <w:r>
          <w:fldChar w:fldCharType="begin"/>
        </w:r>
        <w:r>
          <w:instrText xml:space="preserve">PAGEREF 7710 \h</w:instrText>
        </w:r>
        <w:r>
          <w:fldChar w:fldCharType="end"/>
        </w:r>
      </w:hyperlink>
    </w:p>
    <w:p>
      <w:pPr>
        <w:tabs>
          <w:tab w:val="right" w:leader="dot" w:pos="9062"/>
        </w:tabs>
        <w:ind w:left="440"/>
      </w:pPr>
      <w:hyperlink w:anchor="_Toc7711" w:history="1">
        <w:r>
          <w:rPr>
            <w:rFonts w:ascii="IRNazanin" w:hAnsi="IRNazanin" w:eastAsia="IRNazanin" w:cs="IRNazanin"/>
            <w:color w:val="111111"/>
            <w:sz w:val="22"/>
            <w:szCs w:val="22"/>
            <w:b w:val="0"/>
            <w:bCs w:val="0"/>
            <w:i w:val="0"/>
            <w:iCs w:val="0"/>
          </w:rPr>
          <w:t>6809- دیوان مشربی قمی أو شعره‏</w:t>
        </w:r>
        <w:r>
          <w:tab/>
        </w:r>
        <w:r>
          <w:fldChar w:fldCharType="begin"/>
        </w:r>
        <w:r>
          <w:instrText xml:space="preserve">PAGEREF 7711 \h</w:instrText>
        </w:r>
        <w:r>
          <w:fldChar w:fldCharType="end"/>
        </w:r>
      </w:hyperlink>
    </w:p>
    <w:p>
      <w:pPr>
        <w:tabs>
          <w:tab w:val="right" w:leader="dot" w:pos="9062"/>
        </w:tabs>
        <w:ind w:left="440"/>
      </w:pPr>
      <w:hyperlink w:anchor="_Toc7712" w:history="1">
        <w:r>
          <w:rPr>
            <w:rFonts w:ascii="IRNazanin" w:hAnsi="IRNazanin" w:eastAsia="IRNazanin" w:cs="IRNazanin"/>
            <w:color w:val="111111"/>
            <w:sz w:val="22"/>
            <w:szCs w:val="22"/>
            <w:b w:val="0"/>
            <w:bCs w:val="0"/>
            <w:i w:val="0"/>
            <w:iCs w:val="0"/>
          </w:rPr>
          <w:t>6810- دیوان مشربی مشهدی أو شعره‏</w:t>
        </w:r>
        <w:r>
          <w:tab/>
        </w:r>
        <w:r>
          <w:fldChar w:fldCharType="begin"/>
        </w:r>
        <w:r>
          <w:instrText xml:space="preserve">PAGEREF 7712 \h</w:instrText>
        </w:r>
        <w:r>
          <w:fldChar w:fldCharType="end"/>
        </w:r>
      </w:hyperlink>
    </w:p>
    <w:p>
      <w:pPr>
        <w:tabs>
          <w:tab w:val="right" w:leader="dot" w:pos="9062"/>
        </w:tabs>
        <w:ind w:left="440"/>
      </w:pPr>
      <w:hyperlink w:anchor="_Toc7713" w:history="1">
        <w:r>
          <w:rPr>
            <w:rFonts w:ascii="IRNazanin" w:hAnsi="IRNazanin" w:eastAsia="IRNazanin" w:cs="IRNazanin"/>
            <w:color w:val="111111"/>
            <w:sz w:val="22"/>
            <w:szCs w:val="22"/>
            <w:b w:val="0"/>
            <w:bCs w:val="0"/>
            <w:i w:val="0"/>
            <w:iCs w:val="0"/>
          </w:rPr>
          <w:t>دیوان مشرف أصفهانی‏</w:t>
        </w:r>
        <w:r>
          <w:tab/>
        </w:r>
        <w:r>
          <w:fldChar w:fldCharType="begin"/>
        </w:r>
        <w:r>
          <w:instrText xml:space="preserve">PAGEREF 7713 \h</w:instrText>
        </w:r>
        <w:r>
          <w:fldChar w:fldCharType="end"/>
        </w:r>
      </w:hyperlink>
    </w:p>
    <w:p>
      <w:pPr>
        <w:tabs>
          <w:tab w:val="right" w:leader="dot" w:pos="9062"/>
        </w:tabs>
        <w:ind w:left="440"/>
      </w:pPr>
      <w:hyperlink w:anchor="_Toc7714" w:history="1">
        <w:r>
          <w:rPr>
            <w:rFonts w:ascii="IRNazanin" w:hAnsi="IRNazanin" w:eastAsia="IRNazanin" w:cs="IRNazanin"/>
            <w:color w:val="111111"/>
            <w:sz w:val="22"/>
            <w:szCs w:val="22"/>
            <w:b w:val="0"/>
            <w:bCs w:val="0"/>
            <w:i w:val="0"/>
            <w:iCs w:val="0"/>
          </w:rPr>
          <w:t>6811- دیوان مشرف أصفهانی أو شعره‏</w:t>
        </w:r>
        <w:r>
          <w:tab/>
        </w:r>
        <w:r>
          <w:fldChar w:fldCharType="begin"/>
        </w:r>
        <w:r>
          <w:instrText xml:space="preserve">PAGEREF 7714 \h</w:instrText>
        </w:r>
        <w:r>
          <w:fldChar w:fldCharType="end"/>
        </w:r>
      </w:hyperlink>
    </w:p>
    <w:p>
      <w:pPr>
        <w:tabs>
          <w:tab w:val="right" w:leader="dot" w:pos="9062"/>
        </w:tabs>
        <w:ind w:left="440"/>
      </w:pPr>
      <w:hyperlink w:anchor="_Toc7715" w:history="1">
        <w:r>
          <w:rPr>
            <w:rFonts w:ascii="IRNazanin" w:hAnsi="IRNazanin" w:eastAsia="IRNazanin" w:cs="IRNazanin"/>
            <w:color w:val="111111"/>
            <w:sz w:val="22"/>
            <w:szCs w:val="22"/>
            <w:b w:val="0"/>
            <w:bCs w:val="0"/>
            <w:i w:val="0"/>
            <w:iCs w:val="0"/>
          </w:rPr>
          <w:t>6812- دیوان مشرف أصفهانی‏</w:t>
        </w:r>
        <w:r>
          <w:tab/>
        </w:r>
        <w:r>
          <w:fldChar w:fldCharType="begin"/>
        </w:r>
        <w:r>
          <w:instrText xml:space="preserve">PAGEREF 7715 \h</w:instrText>
        </w:r>
        <w:r>
          <w:fldChar w:fldCharType="end"/>
        </w:r>
      </w:hyperlink>
    </w:p>
    <w:p>
      <w:pPr>
        <w:tabs>
          <w:tab w:val="right" w:leader="dot" w:pos="9062"/>
        </w:tabs>
        <w:ind w:left="440"/>
      </w:pPr>
      <w:hyperlink w:anchor="_Toc7716" w:history="1">
        <w:r>
          <w:rPr>
            <w:rFonts w:ascii="IRNazanin" w:hAnsi="IRNazanin" w:eastAsia="IRNazanin" w:cs="IRNazanin"/>
            <w:color w:val="111111"/>
            <w:sz w:val="22"/>
            <w:szCs w:val="22"/>
            <w:b w:val="0"/>
            <w:bCs w:val="0"/>
            <w:i w:val="0"/>
            <w:iCs w:val="0"/>
          </w:rPr>
          <w:t>6813- دیوان مشرف شهر کردی‏</w:t>
        </w:r>
        <w:r>
          <w:tab/>
        </w:r>
        <w:r>
          <w:fldChar w:fldCharType="begin"/>
        </w:r>
        <w:r>
          <w:instrText xml:space="preserve">PAGEREF 7716 \h</w:instrText>
        </w:r>
        <w:r>
          <w:fldChar w:fldCharType="end"/>
        </w:r>
      </w:hyperlink>
    </w:p>
    <w:p>
      <w:pPr>
        <w:tabs>
          <w:tab w:val="right" w:leader="dot" w:pos="9062"/>
        </w:tabs>
        <w:ind w:left="440"/>
      </w:pPr>
      <w:hyperlink w:anchor="_Toc7717" w:history="1">
        <w:r>
          <w:rPr>
            <w:rFonts w:ascii="IRNazanin" w:hAnsi="IRNazanin" w:eastAsia="IRNazanin" w:cs="IRNazanin"/>
            <w:color w:val="111111"/>
            <w:sz w:val="22"/>
            <w:szCs w:val="22"/>
            <w:b w:val="0"/>
            <w:bCs w:val="0"/>
            <w:i w:val="0"/>
            <w:iCs w:val="0"/>
          </w:rPr>
          <w:t>6814- دیوان مشرفی هروی أو شعره‏</w:t>
        </w:r>
        <w:r>
          <w:tab/>
        </w:r>
        <w:r>
          <w:fldChar w:fldCharType="begin"/>
        </w:r>
        <w:r>
          <w:instrText xml:space="preserve">PAGEREF 7717 \h</w:instrText>
        </w:r>
        <w:r>
          <w:fldChar w:fldCharType="end"/>
        </w:r>
      </w:hyperlink>
    </w:p>
    <w:p>
      <w:pPr>
        <w:tabs>
          <w:tab w:val="right" w:leader="dot" w:pos="9062"/>
        </w:tabs>
        <w:ind w:left="440"/>
      </w:pPr>
      <w:hyperlink w:anchor="_Toc7718" w:history="1">
        <w:r>
          <w:rPr>
            <w:rFonts w:ascii="IRNazanin" w:hAnsi="IRNazanin" w:eastAsia="IRNazanin" w:cs="IRNazanin"/>
            <w:color w:val="111111"/>
            <w:sz w:val="22"/>
            <w:szCs w:val="22"/>
            <w:b w:val="0"/>
            <w:bCs w:val="0"/>
            <w:i w:val="0"/>
            <w:iCs w:val="0"/>
          </w:rPr>
          <w:t>6815- دیوان مشرق مازندرانی‏</w:t>
        </w:r>
        <w:r>
          <w:tab/>
        </w:r>
        <w:r>
          <w:fldChar w:fldCharType="begin"/>
        </w:r>
        <w:r>
          <w:instrText xml:space="preserve">PAGEREF 7718 \h</w:instrText>
        </w:r>
        <w:r>
          <w:fldChar w:fldCharType="end"/>
        </w:r>
      </w:hyperlink>
    </w:p>
    <w:p>
      <w:pPr>
        <w:tabs>
          <w:tab w:val="right" w:leader="dot" w:pos="9062"/>
        </w:tabs>
        <w:ind w:left="440"/>
      </w:pPr>
      <w:hyperlink w:anchor="_Toc7719" w:history="1">
        <w:r>
          <w:rPr>
            <w:rFonts w:ascii="IRNazanin" w:hAnsi="IRNazanin" w:eastAsia="IRNazanin" w:cs="IRNazanin"/>
            <w:color w:val="111111"/>
            <w:sz w:val="22"/>
            <w:szCs w:val="22"/>
            <w:b w:val="0"/>
            <w:bCs w:val="0"/>
            <w:i w:val="0"/>
            <w:iCs w:val="0"/>
          </w:rPr>
          <w:t>6816- دیوان مشرقی شیرازی‏</w:t>
        </w:r>
        <w:r>
          <w:tab/>
        </w:r>
        <w:r>
          <w:fldChar w:fldCharType="begin"/>
        </w:r>
        <w:r>
          <w:instrText xml:space="preserve">PAGEREF 7719 \h</w:instrText>
        </w:r>
        <w:r>
          <w:fldChar w:fldCharType="end"/>
        </w:r>
      </w:hyperlink>
    </w:p>
    <w:p>
      <w:pPr>
        <w:tabs>
          <w:tab w:val="right" w:leader="dot" w:pos="9062"/>
        </w:tabs>
        <w:ind w:left="440"/>
      </w:pPr>
      <w:hyperlink w:anchor="_Toc7720" w:history="1">
        <w:r>
          <w:rPr>
            <w:rFonts w:ascii="IRNazanin" w:hAnsi="IRNazanin" w:eastAsia="IRNazanin" w:cs="IRNazanin"/>
            <w:color w:val="111111"/>
            <w:sz w:val="22"/>
            <w:szCs w:val="22"/>
            <w:b w:val="0"/>
            <w:bCs w:val="0"/>
            <w:i w:val="0"/>
            <w:iCs w:val="0"/>
          </w:rPr>
          <w:t>6817- دیوان مشرقی کاشانی‏</w:t>
        </w:r>
        <w:r>
          <w:tab/>
        </w:r>
        <w:r>
          <w:fldChar w:fldCharType="begin"/>
        </w:r>
        <w:r>
          <w:instrText xml:space="preserve">PAGEREF 7720 \h</w:instrText>
        </w:r>
        <w:r>
          <w:fldChar w:fldCharType="end"/>
        </w:r>
      </w:hyperlink>
    </w:p>
    <w:p>
      <w:pPr>
        <w:tabs>
          <w:tab w:val="right" w:leader="dot" w:pos="9062"/>
        </w:tabs>
        <w:ind w:left="440"/>
      </w:pPr>
      <w:hyperlink w:anchor="_Toc7721" w:history="1">
        <w:r>
          <w:rPr>
            <w:rFonts w:ascii="IRNazanin" w:hAnsi="IRNazanin" w:eastAsia="IRNazanin" w:cs="IRNazanin"/>
            <w:color w:val="111111"/>
            <w:sz w:val="22"/>
            <w:szCs w:val="22"/>
            <w:b w:val="0"/>
            <w:bCs w:val="0"/>
            <w:i w:val="0"/>
            <w:iCs w:val="0"/>
          </w:rPr>
          <w:t>6818- دیوان مشرقی مشهدی‏</w:t>
        </w:r>
        <w:r>
          <w:tab/>
        </w:r>
        <w:r>
          <w:fldChar w:fldCharType="begin"/>
        </w:r>
        <w:r>
          <w:instrText xml:space="preserve">PAGEREF 7721 \h</w:instrText>
        </w:r>
        <w:r>
          <w:fldChar w:fldCharType="end"/>
        </w:r>
      </w:hyperlink>
    </w:p>
    <w:p>
      <w:pPr>
        <w:tabs>
          <w:tab w:val="right" w:leader="dot" w:pos="9062"/>
        </w:tabs>
        <w:ind w:left="440"/>
      </w:pPr>
      <w:hyperlink w:anchor="_Toc7722" w:history="1">
        <w:r>
          <w:rPr>
            <w:rFonts w:ascii="IRNazanin" w:hAnsi="IRNazanin" w:eastAsia="IRNazanin" w:cs="IRNazanin"/>
            <w:color w:val="111111"/>
            <w:sz w:val="22"/>
            <w:szCs w:val="22"/>
            <w:b w:val="0"/>
            <w:bCs w:val="0"/>
            <w:i w:val="0"/>
            <w:iCs w:val="0"/>
          </w:rPr>
          <w:t>6819- دیوان مشرقی مشهدی أو شعره‏</w:t>
        </w:r>
        <w:r>
          <w:tab/>
        </w:r>
        <w:r>
          <w:fldChar w:fldCharType="begin"/>
        </w:r>
        <w:r>
          <w:instrText xml:space="preserve">PAGEREF 7722 \h</w:instrText>
        </w:r>
        <w:r>
          <w:fldChar w:fldCharType="end"/>
        </w:r>
      </w:hyperlink>
    </w:p>
    <w:p>
      <w:pPr>
        <w:tabs>
          <w:tab w:val="right" w:leader="dot" w:pos="9062"/>
        </w:tabs>
        <w:ind w:left="440"/>
      </w:pPr>
      <w:hyperlink w:anchor="_Toc7723" w:history="1">
        <w:r>
          <w:rPr>
            <w:rFonts w:ascii="IRNazanin" w:hAnsi="IRNazanin" w:eastAsia="IRNazanin" w:cs="IRNazanin"/>
            <w:color w:val="111111"/>
            <w:sz w:val="22"/>
            <w:szCs w:val="22"/>
            <w:b w:val="0"/>
            <w:bCs w:val="0"/>
            <w:i w:val="0"/>
            <w:iCs w:val="0"/>
          </w:rPr>
          <w:t>6820- دیوان مشعوف قاجار</w:t>
        </w:r>
        <w:r>
          <w:tab/>
        </w:r>
        <w:r>
          <w:fldChar w:fldCharType="begin"/>
        </w:r>
        <w:r>
          <w:instrText xml:space="preserve">PAGEREF 7723 \h</w:instrText>
        </w:r>
        <w:r>
          <w:fldChar w:fldCharType="end"/>
        </w:r>
      </w:hyperlink>
    </w:p>
    <w:p>
      <w:pPr>
        <w:tabs>
          <w:tab w:val="right" w:leader="dot" w:pos="9062"/>
        </w:tabs>
        <w:ind w:left="440"/>
      </w:pPr>
      <w:hyperlink w:anchor="_Toc7724" w:history="1">
        <w:r>
          <w:rPr>
            <w:rFonts w:ascii="IRNazanin" w:hAnsi="IRNazanin" w:eastAsia="IRNazanin" w:cs="IRNazanin"/>
            <w:color w:val="111111"/>
            <w:sz w:val="22"/>
            <w:szCs w:val="22"/>
            <w:b w:val="0"/>
            <w:bCs w:val="0"/>
            <w:i w:val="0"/>
            <w:iCs w:val="0"/>
          </w:rPr>
          <w:t>6821- دیوان مشفق أسترآبادی أو شعره‏</w:t>
        </w:r>
        <w:r>
          <w:tab/>
        </w:r>
        <w:r>
          <w:fldChar w:fldCharType="begin"/>
        </w:r>
        <w:r>
          <w:instrText xml:space="preserve">PAGEREF 7724 \h</w:instrText>
        </w:r>
        <w:r>
          <w:fldChar w:fldCharType="end"/>
        </w:r>
      </w:hyperlink>
    </w:p>
    <w:p>
      <w:pPr>
        <w:tabs>
          <w:tab w:val="right" w:leader="dot" w:pos="9062"/>
        </w:tabs>
        <w:ind w:left="440"/>
      </w:pPr>
      <w:hyperlink w:anchor="_Toc7725" w:history="1">
        <w:r>
          <w:rPr>
            <w:rFonts w:ascii="IRNazanin" w:hAnsi="IRNazanin" w:eastAsia="IRNazanin" w:cs="IRNazanin"/>
            <w:color w:val="111111"/>
            <w:sz w:val="22"/>
            <w:szCs w:val="22"/>
            <w:b w:val="0"/>
            <w:bCs w:val="0"/>
            <w:i w:val="0"/>
            <w:iCs w:val="0"/>
          </w:rPr>
          <w:t>6822- دیوان مشفق أصفهانی‏</w:t>
        </w:r>
        <w:r>
          <w:tab/>
        </w:r>
        <w:r>
          <w:fldChar w:fldCharType="begin"/>
        </w:r>
        <w:r>
          <w:instrText xml:space="preserve">PAGEREF 7725 \h</w:instrText>
        </w:r>
        <w:r>
          <w:fldChar w:fldCharType="end"/>
        </w:r>
      </w:hyperlink>
    </w:p>
    <w:p>
      <w:pPr>
        <w:tabs>
          <w:tab w:val="right" w:leader="dot" w:pos="9062"/>
        </w:tabs>
        <w:ind w:left="440"/>
      </w:pPr>
      <w:hyperlink w:anchor="_Toc7726" w:history="1">
        <w:r>
          <w:rPr>
            <w:rFonts w:ascii="IRNazanin" w:hAnsi="IRNazanin" w:eastAsia="IRNazanin" w:cs="IRNazanin"/>
            <w:color w:val="111111"/>
            <w:sz w:val="22"/>
            <w:szCs w:val="22"/>
            <w:b w:val="0"/>
            <w:bCs w:val="0"/>
            <w:i w:val="0"/>
            <w:iCs w:val="0"/>
          </w:rPr>
          <w:t>6823- دیوان مشفق شیرازی أو شعره‏</w:t>
        </w:r>
        <w:r>
          <w:tab/>
        </w:r>
        <w:r>
          <w:fldChar w:fldCharType="begin"/>
        </w:r>
        <w:r>
          <w:instrText xml:space="preserve">PAGEREF 7726 \h</w:instrText>
        </w:r>
        <w:r>
          <w:fldChar w:fldCharType="end"/>
        </w:r>
      </w:hyperlink>
    </w:p>
    <w:p>
      <w:pPr>
        <w:tabs>
          <w:tab w:val="right" w:leader="dot" w:pos="9062"/>
        </w:tabs>
        <w:ind w:left="440"/>
      </w:pPr>
      <w:hyperlink w:anchor="_Toc7727" w:history="1">
        <w:r>
          <w:rPr>
            <w:rFonts w:ascii="IRNazanin" w:hAnsi="IRNazanin" w:eastAsia="IRNazanin" w:cs="IRNazanin"/>
            <w:color w:val="111111"/>
            <w:sz w:val="22"/>
            <w:szCs w:val="22"/>
            <w:b w:val="0"/>
            <w:bCs w:val="0"/>
            <w:i w:val="0"/>
            <w:iCs w:val="0"/>
          </w:rPr>
          <w:t>6824- دیوان مشفق کاشانی‏</w:t>
        </w:r>
        <w:r>
          <w:tab/>
        </w:r>
        <w:r>
          <w:fldChar w:fldCharType="begin"/>
        </w:r>
        <w:r>
          <w:instrText xml:space="preserve">PAGEREF 7727 \h</w:instrText>
        </w:r>
        <w:r>
          <w:fldChar w:fldCharType="end"/>
        </w:r>
      </w:hyperlink>
    </w:p>
    <w:p>
      <w:pPr>
        <w:tabs>
          <w:tab w:val="right" w:leader="dot" w:pos="9062"/>
        </w:tabs>
        <w:ind w:left="440"/>
      </w:pPr>
      <w:hyperlink w:anchor="_Toc7728" w:history="1">
        <w:r>
          <w:rPr>
            <w:rFonts w:ascii="IRNazanin" w:hAnsi="IRNazanin" w:eastAsia="IRNazanin" w:cs="IRNazanin"/>
            <w:color w:val="111111"/>
            <w:sz w:val="22"/>
            <w:szCs w:val="22"/>
            <w:b w:val="0"/>
            <w:bCs w:val="0"/>
            <w:i w:val="0"/>
            <w:iCs w:val="0"/>
          </w:rPr>
          <w:t>6825- دیوان مشفق کرمانشاهی‏</w:t>
        </w:r>
        <w:r>
          <w:tab/>
        </w:r>
        <w:r>
          <w:fldChar w:fldCharType="begin"/>
        </w:r>
        <w:r>
          <w:instrText xml:space="preserve">PAGEREF 7728 \h</w:instrText>
        </w:r>
        <w:r>
          <w:fldChar w:fldCharType="end"/>
        </w:r>
      </w:hyperlink>
    </w:p>
    <w:p>
      <w:pPr>
        <w:tabs>
          <w:tab w:val="right" w:leader="dot" w:pos="9062"/>
        </w:tabs>
        <w:ind w:left="440"/>
      </w:pPr>
      <w:hyperlink w:anchor="_Toc7729" w:history="1">
        <w:r>
          <w:rPr>
            <w:rFonts w:ascii="IRNazanin" w:hAnsi="IRNazanin" w:eastAsia="IRNazanin" w:cs="IRNazanin"/>
            <w:color w:val="111111"/>
            <w:sz w:val="22"/>
            <w:szCs w:val="22"/>
            <w:b w:val="0"/>
            <w:bCs w:val="0"/>
            <w:i w:val="0"/>
            <w:iCs w:val="0"/>
          </w:rPr>
          <w:t>6826- دیوان مشفقی بخاری‏</w:t>
        </w:r>
        <w:r>
          <w:tab/>
        </w:r>
        <w:r>
          <w:fldChar w:fldCharType="begin"/>
        </w:r>
        <w:r>
          <w:instrText xml:space="preserve">PAGEREF 7729 \h</w:instrText>
        </w:r>
        <w:r>
          <w:fldChar w:fldCharType="end"/>
        </w:r>
      </w:hyperlink>
    </w:p>
    <w:p>
      <w:pPr>
        <w:tabs>
          <w:tab w:val="right" w:leader="dot" w:pos="9062"/>
        </w:tabs>
        <w:ind w:left="440"/>
      </w:pPr>
      <w:hyperlink w:anchor="_Toc7730" w:history="1">
        <w:r>
          <w:rPr>
            <w:rFonts w:ascii="IRNazanin" w:hAnsi="IRNazanin" w:eastAsia="IRNazanin" w:cs="IRNazanin"/>
            <w:color w:val="111111"/>
            <w:sz w:val="22"/>
            <w:szCs w:val="22"/>
            <w:b w:val="0"/>
            <w:bCs w:val="0"/>
            <w:i w:val="0"/>
            <w:iCs w:val="0"/>
          </w:rPr>
          <w:t>6827- دیوان مولانا مشفقی بغدادی أو شعره‏</w:t>
        </w:r>
        <w:r>
          <w:tab/>
        </w:r>
        <w:r>
          <w:fldChar w:fldCharType="begin"/>
        </w:r>
        <w:r>
          <w:instrText xml:space="preserve">PAGEREF 7730 \h</w:instrText>
        </w:r>
        <w:r>
          <w:fldChar w:fldCharType="end"/>
        </w:r>
      </w:hyperlink>
    </w:p>
    <w:p>
      <w:pPr>
        <w:tabs>
          <w:tab w:val="right" w:leader="dot" w:pos="9062"/>
        </w:tabs>
        <w:ind w:left="440"/>
      </w:pPr>
      <w:hyperlink w:anchor="_Toc7731" w:history="1">
        <w:r>
          <w:rPr>
            <w:rFonts w:ascii="IRNazanin" w:hAnsi="IRNazanin" w:eastAsia="IRNazanin" w:cs="IRNazanin"/>
            <w:color w:val="111111"/>
            <w:sz w:val="22"/>
            <w:szCs w:val="22"/>
            <w:b w:val="0"/>
            <w:bCs w:val="0"/>
            <w:i w:val="0"/>
            <w:iCs w:val="0"/>
          </w:rPr>
          <w:t>6828- دیوان مشفقی قمی‏</w:t>
        </w:r>
        <w:r>
          <w:tab/>
        </w:r>
        <w:r>
          <w:fldChar w:fldCharType="begin"/>
        </w:r>
        <w:r>
          <w:instrText xml:space="preserve">PAGEREF 7731 \h</w:instrText>
        </w:r>
        <w:r>
          <w:fldChar w:fldCharType="end"/>
        </w:r>
      </w:hyperlink>
    </w:p>
    <w:p>
      <w:pPr>
        <w:tabs>
          <w:tab w:val="right" w:leader="dot" w:pos="9062"/>
        </w:tabs>
        <w:ind w:left="440"/>
      </w:pPr>
      <w:hyperlink w:anchor="_Toc7732" w:history="1">
        <w:r>
          <w:rPr>
            <w:rFonts w:ascii="IRNazanin" w:hAnsi="IRNazanin" w:eastAsia="IRNazanin" w:cs="IRNazanin"/>
            <w:color w:val="111111"/>
            <w:sz w:val="22"/>
            <w:szCs w:val="22"/>
            <w:b w:val="0"/>
            <w:bCs w:val="0"/>
            <w:i w:val="0"/>
            <w:iCs w:val="0"/>
          </w:rPr>
          <w:t>6829- دیوان مشفقی کاشانی أو شعره‏</w:t>
        </w:r>
        <w:r>
          <w:tab/>
        </w:r>
        <w:r>
          <w:fldChar w:fldCharType="begin"/>
        </w:r>
        <w:r>
          <w:instrText xml:space="preserve">PAGEREF 7732 \h</w:instrText>
        </w:r>
        <w:r>
          <w:fldChar w:fldCharType="end"/>
        </w:r>
      </w:hyperlink>
    </w:p>
    <w:p>
      <w:pPr>
        <w:tabs>
          <w:tab w:val="right" w:leader="dot" w:pos="9062"/>
        </w:tabs>
        <w:ind w:left="440"/>
      </w:pPr>
      <w:hyperlink w:anchor="_Toc7733" w:history="1">
        <w:r>
          <w:rPr>
            <w:rFonts w:ascii="IRNazanin" w:hAnsi="IRNazanin" w:eastAsia="IRNazanin" w:cs="IRNazanin"/>
            <w:color w:val="111111"/>
            <w:sz w:val="22"/>
            <w:szCs w:val="22"/>
            <w:b w:val="0"/>
            <w:bCs w:val="0"/>
            <w:i w:val="0"/>
            <w:iCs w:val="0"/>
          </w:rPr>
          <w:t>6830- دیوان مشفقی کشمیری أو شعره‏</w:t>
        </w:r>
        <w:r>
          <w:tab/>
        </w:r>
        <w:r>
          <w:fldChar w:fldCharType="begin"/>
        </w:r>
        <w:r>
          <w:instrText xml:space="preserve">PAGEREF 7733 \h</w:instrText>
        </w:r>
        <w:r>
          <w:fldChar w:fldCharType="end"/>
        </w:r>
      </w:hyperlink>
    </w:p>
    <w:p>
      <w:pPr>
        <w:tabs>
          <w:tab w:val="right" w:leader="dot" w:pos="9062"/>
        </w:tabs>
        <w:ind w:left="440"/>
      </w:pPr>
      <w:hyperlink w:anchor="_Toc7734" w:history="1">
        <w:r>
          <w:rPr>
            <w:rFonts w:ascii="IRNazanin" w:hAnsi="IRNazanin" w:eastAsia="IRNazanin" w:cs="IRNazanin"/>
            <w:color w:val="111111"/>
            <w:sz w:val="22"/>
            <w:szCs w:val="22"/>
            <w:b w:val="0"/>
            <w:bCs w:val="0"/>
            <w:i w:val="0"/>
            <w:iCs w:val="0"/>
          </w:rPr>
          <w:t>6831- دیوان مشفقی هروی‏</w:t>
        </w:r>
        <w:r>
          <w:tab/>
        </w:r>
        <w:r>
          <w:fldChar w:fldCharType="begin"/>
        </w:r>
        <w:r>
          <w:instrText xml:space="preserve">PAGEREF 7734 \h</w:instrText>
        </w:r>
        <w:r>
          <w:fldChar w:fldCharType="end"/>
        </w:r>
      </w:hyperlink>
    </w:p>
    <w:p>
      <w:pPr>
        <w:tabs>
          <w:tab w:val="right" w:leader="dot" w:pos="9062"/>
        </w:tabs>
        <w:ind w:left="440"/>
      </w:pPr>
      <w:hyperlink w:anchor="_Toc7735" w:history="1">
        <w:r>
          <w:rPr>
            <w:rFonts w:ascii="IRNazanin" w:hAnsi="IRNazanin" w:eastAsia="IRNazanin" w:cs="IRNazanin"/>
            <w:color w:val="111111"/>
            <w:sz w:val="22"/>
            <w:szCs w:val="22"/>
            <w:b w:val="0"/>
            <w:bCs w:val="0"/>
            <w:i w:val="0"/>
            <w:iCs w:val="0"/>
          </w:rPr>
          <w:t>6832- دیوان مشکاة بیرجندی‏</w:t>
        </w:r>
        <w:r>
          <w:tab/>
        </w:r>
        <w:r>
          <w:fldChar w:fldCharType="begin"/>
        </w:r>
        <w:r>
          <w:instrText xml:space="preserve">PAGEREF 7735 \h</w:instrText>
        </w:r>
        <w:r>
          <w:fldChar w:fldCharType="end"/>
        </w:r>
      </w:hyperlink>
    </w:p>
    <w:p>
      <w:pPr>
        <w:tabs>
          <w:tab w:val="right" w:leader="dot" w:pos="9062"/>
        </w:tabs>
        <w:ind w:left="440"/>
      </w:pPr>
      <w:hyperlink w:anchor="_Toc7736" w:history="1">
        <w:r>
          <w:rPr>
            <w:rFonts w:ascii="IRNazanin" w:hAnsi="IRNazanin" w:eastAsia="IRNazanin" w:cs="IRNazanin"/>
            <w:color w:val="111111"/>
            <w:sz w:val="22"/>
            <w:szCs w:val="22"/>
            <w:b w:val="0"/>
            <w:bCs w:val="0"/>
            <w:i w:val="0"/>
            <w:iCs w:val="0"/>
          </w:rPr>
          <w:t>6833- دیوان مشکاة المحبة</w:t>
        </w:r>
        <w:r>
          <w:tab/>
        </w:r>
        <w:r>
          <w:fldChar w:fldCharType="begin"/>
        </w:r>
        <w:r>
          <w:instrText xml:space="preserve">PAGEREF 7736 \h</w:instrText>
        </w:r>
        <w:r>
          <w:fldChar w:fldCharType="end"/>
        </w:r>
      </w:hyperlink>
    </w:p>
    <w:p>
      <w:pPr>
        <w:tabs>
          <w:tab w:val="right" w:leader="dot" w:pos="9062"/>
        </w:tabs>
        <w:ind w:left="440"/>
      </w:pPr>
      <w:hyperlink w:anchor="_Toc7737" w:history="1">
        <w:r>
          <w:rPr>
            <w:rFonts w:ascii="IRNazanin" w:hAnsi="IRNazanin" w:eastAsia="IRNazanin" w:cs="IRNazanin"/>
            <w:color w:val="111111"/>
            <w:sz w:val="22"/>
            <w:szCs w:val="22"/>
            <w:b w:val="0"/>
            <w:bCs w:val="0"/>
            <w:i w:val="0"/>
            <w:iCs w:val="0"/>
          </w:rPr>
          <w:t>6834- دیوان مشکی أصفهانی‏</w:t>
        </w:r>
        <w:r>
          <w:tab/>
        </w:r>
        <w:r>
          <w:fldChar w:fldCharType="begin"/>
        </w:r>
        <w:r>
          <w:instrText xml:space="preserve">PAGEREF 7737 \h</w:instrText>
        </w:r>
        <w:r>
          <w:fldChar w:fldCharType="end"/>
        </w:r>
      </w:hyperlink>
    </w:p>
    <w:p>
      <w:pPr>
        <w:tabs>
          <w:tab w:val="right" w:leader="dot" w:pos="9062"/>
        </w:tabs>
        <w:ind w:left="440"/>
      </w:pPr>
      <w:hyperlink w:anchor="_Toc7738" w:history="1">
        <w:r>
          <w:rPr>
            <w:rFonts w:ascii="IRNazanin" w:hAnsi="IRNazanin" w:eastAsia="IRNazanin" w:cs="IRNazanin"/>
            <w:color w:val="111111"/>
            <w:sz w:val="22"/>
            <w:szCs w:val="22"/>
            <w:b w:val="0"/>
            <w:bCs w:val="0"/>
            <w:i w:val="0"/>
            <w:iCs w:val="0"/>
          </w:rPr>
          <w:t>6835- دیوان مشکی تبریزی أو شعره‏</w:t>
        </w:r>
        <w:r>
          <w:tab/>
        </w:r>
        <w:r>
          <w:fldChar w:fldCharType="begin"/>
        </w:r>
        <w:r>
          <w:instrText xml:space="preserve">PAGEREF 7738 \h</w:instrText>
        </w:r>
        <w:r>
          <w:fldChar w:fldCharType="end"/>
        </w:r>
      </w:hyperlink>
    </w:p>
    <w:p>
      <w:pPr>
        <w:tabs>
          <w:tab w:val="right" w:leader="dot" w:pos="9062"/>
        </w:tabs>
        <w:ind w:left="440"/>
      </w:pPr>
      <w:hyperlink w:anchor="_Toc7739" w:history="1">
        <w:r>
          <w:rPr>
            <w:rFonts w:ascii="IRNazanin" w:hAnsi="IRNazanin" w:eastAsia="IRNazanin" w:cs="IRNazanin"/>
            <w:color w:val="111111"/>
            <w:sz w:val="22"/>
            <w:szCs w:val="22"/>
            <w:b w:val="0"/>
            <w:bCs w:val="0"/>
            <w:i w:val="0"/>
            <w:iCs w:val="0"/>
          </w:rPr>
          <w:t>6836- دیوان مشکی تبریزی أو شعره‏</w:t>
        </w:r>
        <w:r>
          <w:tab/>
        </w:r>
        <w:r>
          <w:fldChar w:fldCharType="begin"/>
        </w:r>
        <w:r>
          <w:instrText xml:space="preserve">PAGEREF 7739 \h</w:instrText>
        </w:r>
        <w:r>
          <w:fldChar w:fldCharType="end"/>
        </w:r>
      </w:hyperlink>
    </w:p>
    <w:p>
      <w:pPr>
        <w:tabs>
          <w:tab w:val="right" w:leader="dot" w:pos="9062"/>
        </w:tabs>
        <w:ind w:left="440"/>
      </w:pPr>
      <w:hyperlink w:anchor="_Toc7740" w:history="1">
        <w:r>
          <w:rPr>
            <w:rFonts w:ascii="IRNazanin" w:hAnsi="IRNazanin" w:eastAsia="IRNazanin" w:cs="IRNazanin"/>
            <w:color w:val="111111"/>
            <w:sz w:val="22"/>
            <w:szCs w:val="22"/>
            <w:b w:val="0"/>
            <w:bCs w:val="0"/>
            <w:i w:val="0"/>
            <w:iCs w:val="0"/>
          </w:rPr>
          <w:t>6837- دیوان مشکی غزنوی أو شعره‏</w:t>
        </w:r>
        <w:r>
          <w:tab/>
        </w:r>
        <w:r>
          <w:fldChar w:fldCharType="begin"/>
        </w:r>
        <w:r>
          <w:instrText xml:space="preserve">PAGEREF 7740 \h</w:instrText>
        </w:r>
        <w:r>
          <w:fldChar w:fldCharType="end"/>
        </w:r>
      </w:hyperlink>
    </w:p>
    <w:p>
      <w:pPr>
        <w:tabs>
          <w:tab w:val="right" w:leader="dot" w:pos="9062"/>
        </w:tabs>
        <w:ind w:left="440"/>
      </w:pPr>
      <w:hyperlink w:anchor="_Toc7741" w:history="1">
        <w:r>
          <w:rPr>
            <w:rFonts w:ascii="IRNazanin" w:hAnsi="IRNazanin" w:eastAsia="IRNazanin" w:cs="IRNazanin"/>
            <w:color w:val="111111"/>
            <w:sz w:val="22"/>
            <w:szCs w:val="22"/>
            <w:b w:val="0"/>
            <w:bCs w:val="0"/>
            <w:i w:val="0"/>
            <w:iCs w:val="0"/>
          </w:rPr>
          <w:t>6838- دیوان مشکین طهرانی‏</w:t>
        </w:r>
        <w:r>
          <w:tab/>
        </w:r>
        <w:r>
          <w:fldChar w:fldCharType="begin"/>
        </w:r>
        <w:r>
          <w:instrText xml:space="preserve">PAGEREF 7741 \h</w:instrText>
        </w:r>
        <w:r>
          <w:fldChar w:fldCharType="end"/>
        </w:r>
      </w:hyperlink>
    </w:p>
    <w:p>
      <w:pPr>
        <w:tabs>
          <w:tab w:val="right" w:leader="dot" w:pos="9062"/>
        </w:tabs>
        <w:ind w:left="440"/>
      </w:pPr>
      <w:hyperlink w:anchor="_Toc7742" w:history="1">
        <w:r>
          <w:rPr>
            <w:rFonts w:ascii="IRNazanin" w:hAnsi="IRNazanin" w:eastAsia="IRNazanin" w:cs="IRNazanin"/>
            <w:color w:val="111111"/>
            <w:sz w:val="22"/>
            <w:szCs w:val="22"/>
            <w:b w:val="0"/>
            <w:bCs w:val="0"/>
            <w:i w:val="0"/>
            <w:iCs w:val="0"/>
          </w:rPr>
          <w:t>دیوان مشهدی‏</w:t>
        </w:r>
        <w:r>
          <w:tab/>
        </w:r>
        <w:r>
          <w:fldChar w:fldCharType="begin"/>
        </w:r>
        <w:r>
          <w:instrText xml:space="preserve">PAGEREF 7742 \h</w:instrText>
        </w:r>
        <w:r>
          <w:fldChar w:fldCharType="end"/>
        </w:r>
      </w:hyperlink>
    </w:p>
    <w:p>
      <w:pPr>
        <w:tabs>
          <w:tab w:val="right" w:leader="dot" w:pos="9062"/>
        </w:tabs>
        <w:ind w:left="440"/>
      </w:pPr>
      <w:hyperlink w:anchor="_Toc7743" w:history="1">
        <w:r>
          <w:rPr>
            <w:rFonts w:ascii="IRNazanin" w:hAnsi="IRNazanin" w:eastAsia="IRNazanin" w:cs="IRNazanin"/>
            <w:color w:val="111111"/>
            <w:sz w:val="22"/>
            <w:szCs w:val="22"/>
            <w:b w:val="0"/>
            <w:bCs w:val="0"/>
            <w:i w:val="0"/>
            <w:iCs w:val="0"/>
          </w:rPr>
          <w:t>دیوان مشهدی‏</w:t>
        </w:r>
        <w:r>
          <w:tab/>
        </w:r>
        <w:r>
          <w:fldChar w:fldCharType="begin"/>
        </w:r>
        <w:r>
          <w:instrText xml:space="preserve">PAGEREF 7743 \h</w:instrText>
        </w:r>
        <w:r>
          <w:fldChar w:fldCharType="end"/>
        </w:r>
      </w:hyperlink>
    </w:p>
    <w:p>
      <w:pPr>
        <w:tabs>
          <w:tab w:val="right" w:leader="dot" w:pos="9062"/>
        </w:tabs>
        <w:ind w:left="440"/>
      </w:pPr>
      <w:hyperlink w:anchor="_Toc7744" w:history="1">
        <w:r>
          <w:rPr>
            <w:rFonts w:ascii="IRNazanin" w:hAnsi="IRNazanin" w:eastAsia="IRNazanin" w:cs="IRNazanin"/>
            <w:color w:val="111111"/>
            <w:sz w:val="22"/>
            <w:szCs w:val="22"/>
            <w:b w:val="0"/>
            <w:bCs w:val="0"/>
            <w:i w:val="0"/>
            <w:iCs w:val="0"/>
          </w:rPr>
          <w:t>6839- دیوان مشهدی سیتاپوری أو شعره‏</w:t>
        </w:r>
        <w:r>
          <w:tab/>
        </w:r>
        <w:r>
          <w:fldChar w:fldCharType="begin"/>
        </w:r>
        <w:r>
          <w:instrText xml:space="preserve">PAGEREF 7744 \h</w:instrText>
        </w:r>
        <w:r>
          <w:fldChar w:fldCharType="end"/>
        </w:r>
      </w:hyperlink>
    </w:p>
    <w:p>
      <w:pPr>
        <w:tabs>
          <w:tab w:val="right" w:leader="dot" w:pos="9062"/>
        </w:tabs>
        <w:ind w:left="440"/>
      </w:pPr>
      <w:hyperlink w:anchor="_Toc7745" w:history="1">
        <w:r>
          <w:rPr>
            <w:rFonts w:ascii="IRNazanin" w:hAnsi="IRNazanin" w:eastAsia="IRNazanin" w:cs="IRNazanin"/>
            <w:color w:val="111111"/>
            <w:sz w:val="22"/>
            <w:szCs w:val="22"/>
            <w:b w:val="0"/>
            <w:bCs w:val="0"/>
            <w:i w:val="0"/>
            <w:iCs w:val="0"/>
          </w:rPr>
          <w:t>6840- دیوان مشهور تبریزی أو شعره‏</w:t>
        </w:r>
        <w:r>
          <w:tab/>
        </w:r>
        <w:r>
          <w:fldChar w:fldCharType="begin"/>
        </w:r>
        <w:r>
          <w:instrText xml:space="preserve">PAGEREF 7745 \h</w:instrText>
        </w:r>
        <w:r>
          <w:fldChar w:fldCharType="end"/>
        </w:r>
      </w:hyperlink>
    </w:p>
    <w:p>
      <w:pPr>
        <w:tabs>
          <w:tab w:val="right" w:leader="dot" w:pos="9062"/>
        </w:tabs>
        <w:ind w:left="440"/>
      </w:pPr>
      <w:hyperlink w:anchor="_Toc7746" w:history="1">
        <w:r>
          <w:rPr>
            <w:rFonts w:ascii="IRNazanin" w:hAnsi="IRNazanin" w:eastAsia="IRNazanin" w:cs="IRNazanin"/>
            <w:color w:val="111111"/>
            <w:sz w:val="22"/>
            <w:szCs w:val="22"/>
            <w:b w:val="0"/>
            <w:bCs w:val="0"/>
            <w:i w:val="0"/>
            <w:iCs w:val="0"/>
          </w:rPr>
          <w:t>6841- دیوان مشیر هندی أو شعره‏</w:t>
        </w:r>
        <w:r>
          <w:tab/>
        </w:r>
        <w:r>
          <w:fldChar w:fldCharType="begin"/>
        </w:r>
        <w:r>
          <w:instrText xml:space="preserve">PAGEREF 7746 \h</w:instrText>
        </w:r>
        <w:r>
          <w:fldChar w:fldCharType="end"/>
        </w:r>
      </w:hyperlink>
    </w:p>
    <w:p>
      <w:pPr>
        <w:tabs>
          <w:tab w:val="right" w:leader="dot" w:pos="9062"/>
        </w:tabs>
        <w:ind w:left="440"/>
      </w:pPr>
      <w:hyperlink w:anchor="_Toc7747" w:history="1">
        <w:r>
          <w:rPr>
            <w:rFonts w:ascii="IRNazanin" w:hAnsi="IRNazanin" w:eastAsia="IRNazanin" w:cs="IRNazanin"/>
            <w:color w:val="111111"/>
            <w:sz w:val="22"/>
            <w:szCs w:val="22"/>
            <w:b w:val="0"/>
            <w:bCs w:val="0"/>
            <w:i w:val="0"/>
            <w:iCs w:val="0"/>
          </w:rPr>
          <w:t>دیوان مشیر فراهانی‏</w:t>
        </w:r>
        <w:r>
          <w:tab/>
        </w:r>
        <w:r>
          <w:fldChar w:fldCharType="begin"/>
        </w:r>
        <w:r>
          <w:instrText xml:space="preserve">PAGEREF 7747 \h</w:instrText>
        </w:r>
        <w:r>
          <w:fldChar w:fldCharType="end"/>
        </w:r>
      </w:hyperlink>
    </w:p>
    <w:p>
      <w:pPr>
        <w:tabs>
          <w:tab w:val="right" w:leader="dot" w:pos="9062"/>
        </w:tabs>
        <w:ind w:left="440"/>
      </w:pPr>
      <w:hyperlink w:anchor="_Toc7748" w:history="1">
        <w:r>
          <w:rPr>
            <w:rFonts w:ascii="IRNazanin" w:hAnsi="IRNazanin" w:eastAsia="IRNazanin" w:cs="IRNazanin"/>
            <w:color w:val="111111"/>
            <w:sz w:val="22"/>
            <w:szCs w:val="22"/>
            <w:b w:val="0"/>
            <w:bCs w:val="0"/>
            <w:i w:val="0"/>
            <w:iCs w:val="0"/>
          </w:rPr>
          <w:t>6842- دیوان مشیری تهرانی‏</w:t>
        </w:r>
        <w:r>
          <w:tab/>
        </w:r>
        <w:r>
          <w:fldChar w:fldCharType="begin"/>
        </w:r>
        <w:r>
          <w:instrText xml:space="preserve">PAGEREF 7748 \h</w:instrText>
        </w:r>
        <w:r>
          <w:fldChar w:fldCharType="end"/>
        </w:r>
      </w:hyperlink>
    </w:p>
    <w:p>
      <w:pPr>
        <w:tabs>
          <w:tab w:val="right" w:leader="dot" w:pos="9062"/>
        </w:tabs>
        <w:ind w:left="440"/>
      </w:pPr>
      <w:hyperlink w:anchor="_Toc7749" w:history="1">
        <w:r>
          <w:rPr>
            <w:rFonts w:ascii="IRNazanin" w:hAnsi="IRNazanin" w:eastAsia="IRNazanin" w:cs="IRNazanin"/>
            <w:color w:val="111111"/>
            <w:sz w:val="22"/>
            <w:szCs w:val="22"/>
            <w:b w:val="0"/>
            <w:bCs w:val="0"/>
            <w:i w:val="0"/>
            <w:iCs w:val="0"/>
          </w:rPr>
          <w:t>6843- دیوان مصاحب تبریزی أو شعره‏</w:t>
        </w:r>
        <w:r>
          <w:tab/>
        </w:r>
        <w:r>
          <w:fldChar w:fldCharType="begin"/>
        </w:r>
        <w:r>
          <w:instrText xml:space="preserve">PAGEREF 7749 \h</w:instrText>
        </w:r>
        <w:r>
          <w:fldChar w:fldCharType="end"/>
        </w:r>
      </w:hyperlink>
    </w:p>
    <w:p>
      <w:pPr>
        <w:tabs>
          <w:tab w:val="right" w:leader="dot" w:pos="9062"/>
        </w:tabs>
        <w:ind w:left="440"/>
      </w:pPr>
      <w:hyperlink w:anchor="_Toc7750" w:history="1">
        <w:r>
          <w:rPr>
            <w:rFonts w:ascii="IRNazanin" w:hAnsi="IRNazanin" w:eastAsia="IRNazanin" w:cs="IRNazanin"/>
            <w:color w:val="111111"/>
            <w:sz w:val="22"/>
            <w:szCs w:val="22"/>
            <w:b w:val="0"/>
            <w:bCs w:val="0"/>
            <w:i w:val="0"/>
            <w:iCs w:val="0"/>
          </w:rPr>
          <w:t>6844- دیوان مصاحب کشمیری أو شعره‏</w:t>
        </w:r>
        <w:r>
          <w:tab/>
        </w:r>
        <w:r>
          <w:fldChar w:fldCharType="begin"/>
        </w:r>
        <w:r>
          <w:instrText xml:space="preserve">PAGEREF 7750 \h</w:instrText>
        </w:r>
        <w:r>
          <w:fldChar w:fldCharType="end"/>
        </w:r>
      </w:hyperlink>
    </w:p>
    <w:p>
      <w:pPr>
        <w:tabs>
          <w:tab w:val="right" w:leader="dot" w:pos="9062"/>
        </w:tabs>
        <w:ind w:left="440"/>
      </w:pPr>
      <w:hyperlink w:anchor="_Toc7751" w:history="1">
        <w:r>
          <w:rPr>
            <w:rFonts w:ascii="IRNazanin" w:hAnsi="IRNazanin" w:eastAsia="IRNazanin" w:cs="IRNazanin"/>
            <w:color w:val="111111"/>
            <w:sz w:val="22"/>
            <w:szCs w:val="22"/>
            <w:b w:val="0"/>
            <w:bCs w:val="0"/>
            <w:i w:val="0"/>
            <w:iCs w:val="0"/>
          </w:rPr>
          <w:t>6845- دیوان مصاحب گنجی أو شعره‏</w:t>
        </w:r>
        <w:r>
          <w:tab/>
        </w:r>
        <w:r>
          <w:fldChar w:fldCharType="begin"/>
        </w:r>
        <w:r>
          <w:instrText xml:space="preserve">PAGEREF 7751 \h</w:instrText>
        </w:r>
        <w:r>
          <w:fldChar w:fldCharType="end"/>
        </w:r>
      </w:hyperlink>
    </w:p>
    <w:p>
      <w:pPr>
        <w:tabs>
          <w:tab w:val="right" w:leader="dot" w:pos="9062"/>
        </w:tabs>
        <w:ind w:left="440"/>
      </w:pPr>
      <w:hyperlink w:anchor="_Toc7752" w:history="1">
        <w:r>
          <w:rPr>
            <w:rFonts w:ascii="IRNazanin" w:hAnsi="IRNazanin" w:eastAsia="IRNazanin" w:cs="IRNazanin"/>
            <w:color w:val="111111"/>
            <w:sz w:val="22"/>
            <w:szCs w:val="22"/>
            <w:b w:val="0"/>
            <w:bCs w:val="0"/>
            <w:i w:val="0"/>
            <w:iCs w:val="0"/>
          </w:rPr>
          <w:t>6846- دیوان مصاحب نائنی‏</w:t>
        </w:r>
        <w:r>
          <w:tab/>
        </w:r>
        <w:r>
          <w:fldChar w:fldCharType="begin"/>
        </w:r>
        <w:r>
          <w:instrText xml:space="preserve">PAGEREF 7752 \h</w:instrText>
        </w:r>
        <w:r>
          <w:fldChar w:fldCharType="end"/>
        </w:r>
      </w:hyperlink>
    </w:p>
    <w:p>
      <w:pPr>
        <w:tabs>
          <w:tab w:val="right" w:leader="dot" w:pos="9062"/>
        </w:tabs>
        <w:ind w:left="440"/>
      </w:pPr>
      <w:hyperlink w:anchor="_Toc7753" w:history="1">
        <w:r>
          <w:rPr>
            <w:rFonts w:ascii="IRNazanin" w:hAnsi="IRNazanin" w:eastAsia="IRNazanin" w:cs="IRNazanin"/>
            <w:color w:val="111111"/>
            <w:sz w:val="22"/>
            <w:szCs w:val="22"/>
            <w:b w:val="0"/>
            <w:bCs w:val="0"/>
            <w:i w:val="0"/>
            <w:iCs w:val="0"/>
          </w:rPr>
          <w:t>6847- دیوان مصباح‏</w:t>
        </w:r>
        <w:r>
          <w:tab/>
        </w:r>
        <w:r>
          <w:fldChar w:fldCharType="begin"/>
        </w:r>
        <w:r>
          <w:instrText xml:space="preserve">PAGEREF 7753 \h</w:instrText>
        </w:r>
        <w:r>
          <w:fldChar w:fldCharType="end"/>
        </w:r>
      </w:hyperlink>
    </w:p>
    <w:p>
      <w:pPr>
        <w:tabs>
          <w:tab w:val="right" w:leader="dot" w:pos="9062"/>
        </w:tabs>
        <w:ind w:left="440"/>
      </w:pPr>
      <w:hyperlink w:anchor="_Toc7754" w:history="1">
        <w:r>
          <w:rPr>
            <w:rFonts w:ascii="IRNazanin" w:hAnsi="IRNazanin" w:eastAsia="IRNazanin" w:cs="IRNazanin"/>
            <w:color w:val="111111"/>
            <w:sz w:val="22"/>
            <w:szCs w:val="22"/>
            <w:b w:val="0"/>
            <w:bCs w:val="0"/>
            <w:i w:val="0"/>
            <w:iCs w:val="0"/>
          </w:rPr>
          <w:t>6848- دیوان مصباح قهفرخی أو شعره‏</w:t>
        </w:r>
        <w:r>
          <w:tab/>
        </w:r>
        <w:r>
          <w:fldChar w:fldCharType="begin"/>
        </w:r>
        <w:r>
          <w:instrText xml:space="preserve">PAGEREF 7754 \h</w:instrText>
        </w:r>
        <w:r>
          <w:fldChar w:fldCharType="end"/>
        </w:r>
      </w:hyperlink>
    </w:p>
    <w:p>
      <w:pPr>
        <w:tabs>
          <w:tab w:val="right" w:leader="dot" w:pos="9062"/>
        </w:tabs>
        <w:ind w:left="440"/>
      </w:pPr>
      <w:hyperlink w:anchor="_Toc7755" w:history="1">
        <w:r>
          <w:rPr>
            <w:rFonts w:ascii="IRNazanin" w:hAnsi="IRNazanin" w:eastAsia="IRNazanin" w:cs="IRNazanin"/>
            <w:color w:val="111111"/>
            <w:sz w:val="22"/>
            <w:szCs w:val="22"/>
            <w:b w:val="0"/>
            <w:bCs w:val="0"/>
            <w:i w:val="0"/>
            <w:iCs w:val="0"/>
          </w:rPr>
          <w:t>6849- دیوان مصحفی همدانی‏</w:t>
        </w:r>
        <w:r>
          <w:tab/>
        </w:r>
        <w:r>
          <w:fldChar w:fldCharType="begin"/>
        </w:r>
        <w:r>
          <w:instrText xml:space="preserve">PAGEREF 7755 \h</w:instrText>
        </w:r>
        <w:r>
          <w:fldChar w:fldCharType="end"/>
        </w:r>
      </w:hyperlink>
    </w:p>
    <w:p>
      <w:pPr>
        <w:tabs>
          <w:tab w:val="right" w:leader="dot" w:pos="9062"/>
        </w:tabs>
        <w:ind w:left="440"/>
      </w:pPr>
      <w:hyperlink w:anchor="_Toc7756" w:history="1">
        <w:r>
          <w:rPr>
            <w:rFonts w:ascii="IRNazanin" w:hAnsi="IRNazanin" w:eastAsia="IRNazanin" w:cs="IRNazanin"/>
            <w:color w:val="111111"/>
            <w:sz w:val="22"/>
            <w:szCs w:val="22"/>
            <w:b w:val="0"/>
            <w:bCs w:val="0"/>
            <w:i w:val="0"/>
            <w:iCs w:val="0"/>
          </w:rPr>
          <w:t>6850- دیوان مصدق نائینی أو شعره‏</w:t>
        </w:r>
        <w:r>
          <w:tab/>
        </w:r>
        <w:r>
          <w:fldChar w:fldCharType="begin"/>
        </w:r>
        <w:r>
          <w:instrText xml:space="preserve">PAGEREF 7756 \h</w:instrText>
        </w:r>
        <w:r>
          <w:fldChar w:fldCharType="end"/>
        </w:r>
      </w:hyperlink>
    </w:p>
    <w:p>
      <w:pPr>
        <w:tabs>
          <w:tab w:val="right" w:leader="dot" w:pos="9062"/>
        </w:tabs>
        <w:ind w:left="440"/>
      </w:pPr>
      <w:hyperlink w:anchor="_Toc7757" w:history="1">
        <w:r>
          <w:rPr>
            <w:rFonts w:ascii="IRNazanin" w:hAnsi="IRNazanin" w:eastAsia="IRNazanin" w:cs="IRNazanin"/>
            <w:color w:val="111111"/>
            <w:sz w:val="22"/>
            <w:szCs w:val="22"/>
            <w:b w:val="0"/>
            <w:bCs w:val="0"/>
            <w:i w:val="0"/>
            <w:iCs w:val="0"/>
          </w:rPr>
          <w:t>6851- دیوان مصطفی بغدادی أو شعره‏</w:t>
        </w:r>
        <w:r>
          <w:tab/>
        </w:r>
        <w:r>
          <w:fldChar w:fldCharType="begin"/>
        </w:r>
        <w:r>
          <w:instrText xml:space="preserve">PAGEREF 7757 \h</w:instrText>
        </w:r>
        <w:r>
          <w:fldChar w:fldCharType="end"/>
        </w:r>
      </w:hyperlink>
    </w:p>
    <w:p>
      <w:pPr>
        <w:tabs>
          <w:tab w:val="right" w:leader="dot" w:pos="9062"/>
        </w:tabs>
        <w:ind w:left="440"/>
      </w:pPr>
      <w:hyperlink w:anchor="_Toc7758" w:history="1">
        <w:r>
          <w:rPr>
            <w:rFonts w:ascii="IRNazanin" w:hAnsi="IRNazanin" w:eastAsia="IRNazanin" w:cs="IRNazanin"/>
            <w:color w:val="111111"/>
            <w:sz w:val="22"/>
            <w:szCs w:val="22"/>
            <w:b w:val="0"/>
            <w:bCs w:val="0"/>
            <w:i w:val="0"/>
            <w:iCs w:val="0"/>
          </w:rPr>
          <w:t>6852- دیوان مصطفی تکلو أو شعره‏</w:t>
        </w:r>
        <w:r>
          <w:tab/>
        </w:r>
        <w:r>
          <w:fldChar w:fldCharType="begin"/>
        </w:r>
        <w:r>
          <w:instrText xml:space="preserve">PAGEREF 7758 \h</w:instrText>
        </w:r>
        <w:r>
          <w:fldChar w:fldCharType="end"/>
        </w:r>
      </w:hyperlink>
    </w:p>
    <w:p>
      <w:pPr>
        <w:tabs>
          <w:tab w:val="right" w:leader="dot" w:pos="9062"/>
        </w:tabs>
        <w:ind w:left="440"/>
      </w:pPr>
      <w:hyperlink w:anchor="_Toc7759" w:history="1">
        <w:r>
          <w:rPr>
            <w:rFonts w:ascii="IRNazanin" w:hAnsi="IRNazanin" w:eastAsia="IRNazanin" w:cs="IRNazanin"/>
            <w:color w:val="111111"/>
            <w:sz w:val="22"/>
            <w:szCs w:val="22"/>
            <w:b w:val="0"/>
            <w:bCs w:val="0"/>
            <w:i w:val="0"/>
            <w:iCs w:val="0"/>
          </w:rPr>
          <w:t>6853- دیوان مصطفی جواد أو شعره‏</w:t>
        </w:r>
        <w:r>
          <w:tab/>
        </w:r>
        <w:r>
          <w:fldChar w:fldCharType="begin"/>
        </w:r>
        <w:r>
          <w:instrText xml:space="preserve">PAGEREF 7759 \h</w:instrText>
        </w:r>
        <w:r>
          <w:fldChar w:fldCharType="end"/>
        </w:r>
      </w:hyperlink>
    </w:p>
    <w:p>
      <w:pPr>
        <w:tabs>
          <w:tab w:val="right" w:leader="dot" w:pos="9062"/>
        </w:tabs>
        <w:ind w:left="440"/>
      </w:pPr>
      <w:hyperlink w:anchor="_Toc7760" w:history="1">
        <w:r>
          <w:rPr>
            <w:rFonts w:ascii="IRNazanin" w:hAnsi="IRNazanin" w:eastAsia="IRNazanin" w:cs="IRNazanin"/>
            <w:color w:val="111111"/>
            <w:sz w:val="22"/>
            <w:szCs w:val="22"/>
            <w:b w:val="0"/>
            <w:bCs w:val="0"/>
            <w:i w:val="0"/>
            <w:iCs w:val="0"/>
          </w:rPr>
          <w:t>6854- دیوان مصطفی خوش‏دل‏</w:t>
        </w:r>
        <w:r>
          <w:tab/>
        </w:r>
        <w:r>
          <w:fldChar w:fldCharType="begin"/>
        </w:r>
        <w:r>
          <w:instrText xml:space="preserve">PAGEREF 7760 \h</w:instrText>
        </w:r>
        <w:r>
          <w:fldChar w:fldCharType="end"/>
        </w:r>
      </w:hyperlink>
    </w:p>
    <w:p>
      <w:pPr>
        <w:tabs>
          <w:tab w:val="right" w:leader="dot" w:pos="9062"/>
        </w:tabs>
        <w:ind w:left="440"/>
      </w:pPr>
      <w:hyperlink w:anchor="_Toc7761" w:history="1">
        <w:r>
          <w:rPr>
            <w:rFonts w:ascii="IRNazanin" w:hAnsi="IRNazanin" w:eastAsia="IRNazanin" w:cs="IRNazanin"/>
            <w:color w:val="111111"/>
            <w:sz w:val="22"/>
            <w:szCs w:val="22"/>
            <w:b w:val="0"/>
            <w:bCs w:val="0"/>
            <w:i w:val="0"/>
            <w:iCs w:val="0"/>
          </w:rPr>
          <w:t>6855- دیوان مصطفی دهلوی أو شعره‏</w:t>
        </w:r>
        <w:r>
          <w:tab/>
        </w:r>
        <w:r>
          <w:fldChar w:fldCharType="begin"/>
        </w:r>
        <w:r>
          <w:instrText xml:space="preserve">PAGEREF 7761 \h</w:instrText>
        </w:r>
        <w:r>
          <w:fldChar w:fldCharType="end"/>
        </w:r>
      </w:hyperlink>
    </w:p>
    <w:p>
      <w:pPr>
        <w:tabs>
          <w:tab w:val="right" w:leader="dot" w:pos="9062"/>
        </w:tabs>
        <w:ind w:left="440"/>
      </w:pPr>
      <w:hyperlink w:anchor="_Toc7762" w:history="1">
        <w:r>
          <w:rPr>
            <w:rFonts w:ascii="IRNazanin" w:hAnsi="IRNazanin" w:eastAsia="IRNazanin" w:cs="IRNazanin"/>
            <w:color w:val="111111"/>
            <w:sz w:val="22"/>
            <w:szCs w:val="22"/>
            <w:b w:val="0"/>
            <w:bCs w:val="0"/>
            <w:i w:val="0"/>
            <w:iCs w:val="0"/>
          </w:rPr>
          <w:t>6856- دیوان مصطفی الزناقی أو شعره‏</w:t>
        </w:r>
        <w:r>
          <w:tab/>
        </w:r>
        <w:r>
          <w:fldChar w:fldCharType="begin"/>
        </w:r>
        <w:r>
          <w:instrText xml:space="preserve">PAGEREF 7762 \h</w:instrText>
        </w:r>
        <w:r>
          <w:fldChar w:fldCharType="end"/>
        </w:r>
      </w:hyperlink>
    </w:p>
    <w:p>
      <w:pPr>
        <w:tabs>
          <w:tab w:val="right" w:leader="dot" w:pos="9062"/>
        </w:tabs>
        <w:ind w:left="440"/>
      </w:pPr>
      <w:hyperlink w:anchor="_Toc7763" w:history="1">
        <w:r>
          <w:rPr>
            <w:rFonts w:ascii="IRNazanin" w:hAnsi="IRNazanin" w:eastAsia="IRNazanin" w:cs="IRNazanin"/>
            <w:color w:val="111111"/>
            <w:sz w:val="22"/>
            <w:szCs w:val="22"/>
            <w:b w:val="0"/>
            <w:bCs w:val="0"/>
            <w:i w:val="0"/>
            <w:iCs w:val="0"/>
          </w:rPr>
          <w:t>دیوان مصطفی سرابی‏</w:t>
        </w:r>
        <w:r>
          <w:tab/>
        </w:r>
        <w:r>
          <w:fldChar w:fldCharType="begin"/>
        </w:r>
        <w:r>
          <w:instrText xml:space="preserve">PAGEREF 7763 \h</w:instrText>
        </w:r>
        <w:r>
          <w:fldChar w:fldCharType="end"/>
        </w:r>
      </w:hyperlink>
    </w:p>
    <w:p>
      <w:pPr>
        <w:tabs>
          <w:tab w:val="right" w:leader="dot" w:pos="9062"/>
        </w:tabs>
        <w:ind w:left="440"/>
      </w:pPr>
      <w:hyperlink w:anchor="_Toc7764" w:history="1">
        <w:r>
          <w:rPr>
            <w:rFonts w:ascii="IRNazanin" w:hAnsi="IRNazanin" w:eastAsia="IRNazanin" w:cs="IRNazanin"/>
            <w:color w:val="111111"/>
            <w:sz w:val="22"/>
            <w:szCs w:val="22"/>
            <w:b w:val="0"/>
            <w:bCs w:val="0"/>
            <w:i w:val="0"/>
            <w:iCs w:val="0"/>
          </w:rPr>
          <w:t>6857- دیوان مصطفی سرخوش‏</w:t>
        </w:r>
        <w:r>
          <w:tab/>
        </w:r>
        <w:r>
          <w:fldChar w:fldCharType="begin"/>
        </w:r>
        <w:r>
          <w:instrText xml:space="preserve">PAGEREF 7764 \h</w:instrText>
        </w:r>
        <w:r>
          <w:fldChar w:fldCharType="end"/>
        </w:r>
      </w:hyperlink>
    </w:p>
    <w:p>
      <w:pPr>
        <w:tabs>
          <w:tab w:val="right" w:leader="dot" w:pos="9062"/>
        </w:tabs>
        <w:ind w:left="440"/>
      </w:pPr>
      <w:hyperlink w:anchor="_Toc7765" w:history="1">
        <w:r>
          <w:rPr>
            <w:rFonts w:ascii="IRNazanin" w:hAnsi="IRNazanin" w:eastAsia="IRNazanin" w:cs="IRNazanin"/>
            <w:color w:val="111111"/>
            <w:sz w:val="22"/>
            <w:szCs w:val="22"/>
            <w:b w:val="0"/>
            <w:bCs w:val="0"/>
            <w:i w:val="0"/>
            <w:iCs w:val="0"/>
          </w:rPr>
          <w:t>6858- دیوان مصطفی صفوی أو شعره‏</w:t>
        </w:r>
        <w:r>
          <w:tab/>
        </w:r>
        <w:r>
          <w:fldChar w:fldCharType="begin"/>
        </w:r>
        <w:r>
          <w:instrText xml:space="preserve">PAGEREF 7765 \h</w:instrText>
        </w:r>
        <w:r>
          <w:fldChar w:fldCharType="end"/>
        </w:r>
      </w:hyperlink>
    </w:p>
    <w:p>
      <w:pPr>
        <w:tabs>
          <w:tab w:val="right" w:leader="dot" w:pos="9062"/>
        </w:tabs>
        <w:ind w:left="440"/>
      </w:pPr>
      <w:hyperlink w:anchor="_Toc7766" w:history="1">
        <w:r>
          <w:rPr>
            <w:rFonts w:ascii="IRNazanin" w:hAnsi="IRNazanin" w:eastAsia="IRNazanin" w:cs="IRNazanin"/>
            <w:color w:val="111111"/>
            <w:sz w:val="22"/>
            <w:szCs w:val="22"/>
            <w:b w:val="0"/>
            <w:bCs w:val="0"/>
            <w:i w:val="0"/>
            <w:iCs w:val="0"/>
          </w:rPr>
          <w:t>دیوان مصطفی علی خان‏</w:t>
        </w:r>
        <w:r>
          <w:tab/>
        </w:r>
        <w:r>
          <w:fldChar w:fldCharType="begin"/>
        </w:r>
        <w:r>
          <w:instrText xml:space="preserve">PAGEREF 7766 \h</w:instrText>
        </w:r>
        <w:r>
          <w:fldChar w:fldCharType="end"/>
        </w:r>
      </w:hyperlink>
    </w:p>
    <w:p>
      <w:pPr>
        <w:tabs>
          <w:tab w:val="right" w:leader="dot" w:pos="9062"/>
        </w:tabs>
        <w:ind w:left="440"/>
      </w:pPr>
      <w:hyperlink w:anchor="_Toc7767" w:history="1">
        <w:r>
          <w:rPr>
            <w:rFonts w:ascii="IRNazanin" w:hAnsi="IRNazanin" w:eastAsia="IRNazanin" w:cs="IRNazanin"/>
            <w:color w:val="111111"/>
            <w:sz w:val="22"/>
            <w:szCs w:val="22"/>
            <w:b w:val="0"/>
            <w:bCs w:val="0"/>
            <w:i w:val="0"/>
            <w:iCs w:val="0"/>
          </w:rPr>
          <w:t>دیوان مصطفی قلی خان کرونی‏</w:t>
        </w:r>
        <w:r>
          <w:tab/>
        </w:r>
        <w:r>
          <w:fldChar w:fldCharType="begin"/>
        </w:r>
        <w:r>
          <w:instrText xml:space="preserve">PAGEREF 7767 \h</w:instrText>
        </w:r>
        <w:r>
          <w:fldChar w:fldCharType="end"/>
        </w:r>
      </w:hyperlink>
    </w:p>
    <w:p>
      <w:pPr>
        <w:tabs>
          <w:tab w:val="right" w:leader="dot" w:pos="9062"/>
        </w:tabs>
        <w:ind w:left="440"/>
      </w:pPr>
      <w:hyperlink w:anchor="_Toc7768" w:history="1">
        <w:r>
          <w:rPr>
            <w:rFonts w:ascii="IRNazanin" w:hAnsi="IRNazanin" w:eastAsia="IRNazanin" w:cs="IRNazanin"/>
            <w:color w:val="111111"/>
            <w:sz w:val="22"/>
            <w:szCs w:val="22"/>
            <w:b w:val="0"/>
            <w:bCs w:val="0"/>
            <w:i w:val="0"/>
            <w:iCs w:val="0"/>
          </w:rPr>
          <w:t>6859- دیوان مصطفی الکاشانی‏</w:t>
        </w:r>
        <w:r>
          <w:tab/>
        </w:r>
        <w:r>
          <w:fldChar w:fldCharType="begin"/>
        </w:r>
        <w:r>
          <w:instrText xml:space="preserve">PAGEREF 7768 \h</w:instrText>
        </w:r>
        <w:r>
          <w:fldChar w:fldCharType="end"/>
        </w:r>
      </w:hyperlink>
    </w:p>
    <w:p>
      <w:pPr>
        <w:tabs>
          <w:tab w:val="right" w:leader="dot" w:pos="9062"/>
        </w:tabs>
        <w:ind w:left="440"/>
      </w:pPr>
      <w:hyperlink w:anchor="_Toc7769" w:history="1">
        <w:r>
          <w:rPr>
            <w:rFonts w:ascii="IRNazanin" w:hAnsi="IRNazanin" w:eastAsia="IRNazanin" w:cs="IRNazanin"/>
            <w:color w:val="111111"/>
            <w:sz w:val="22"/>
            <w:szCs w:val="22"/>
            <w:b w:val="0"/>
            <w:bCs w:val="0"/>
            <w:i w:val="0"/>
            <w:iCs w:val="0"/>
          </w:rPr>
          <w:t>6860- دیوان مصطفی کشمیری أو شعره‏</w:t>
        </w:r>
        <w:r>
          <w:tab/>
        </w:r>
        <w:r>
          <w:fldChar w:fldCharType="begin"/>
        </w:r>
        <w:r>
          <w:instrText xml:space="preserve">PAGEREF 7769 \h</w:instrText>
        </w:r>
        <w:r>
          <w:fldChar w:fldCharType="end"/>
        </w:r>
      </w:hyperlink>
    </w:p>
    <w:p>
      <w:pPr>
        <w:tabs>
          <w:tab w:val="right" w:leader="dot" w:pos="9062"/>
        </w:tabs>
        <w:ind w:left="440"/>
      </w:pPr>
      <w:hyperlink w:anchor="_Toc7770" w:history="1">
        <w:r>
          <w:rPr>
            <w:rFonts w:ascii="IRNazanin" w:hAnsi="IRNazanin" w:eastAsia="IRNazanin" w:cs="IRNazanin"/>
            <w:color w:val="111111"/>
            <w:sz w:val="22"/>
            <w:szCs w:val="22"/>
            <w:b w:val="0"/>
            <w:bCs w:val="0"/>
            <w:i w:val="0"/>
            <w:iCs w:val="0"/>
          </w:rPr>
          <w:t>6861- دیوان مصطفی کلکتة أو شعره‏</w:t>
        </w:r>
        <w:r>
          <w:tab/>
        </w:r>
        <w:r>
          <w:fldChar w:fldCharType="begin"/>
        </w:r>
        <w:r>
          <w:instrText xml:space="preserve">PAGEREF 7770 \h</w:instrText>
        </w:r>
        <w:r>
          <w:fldChar w:fldCharType="end"/>
        </w:r>
      </w:hyperlink>
    </w:p>
    <w:p>
      <w:pPr>
        <w:tabs>
          <w:tab w:val="right" w:leader="dot" w:pos="9062"/>
        </w:tabs>
        <w:ind w:left="440"/>
      </w:pPr>
      <w:hyperlink w:anchor="_Toc7771" w:history="1">
        <w:r>
          <w:rPr>
            <w:rFonts w:ascii="IRNazanin" w:hAnsi="IRNazanin" w:eastAsia="IRNazanin" w:cs="IRNazanin"/>
            <w:color w:val="111111"/>
            <w:sz w:val="22"/>
            <w:szCs w:val="22"/>
            <w:b w:val="0"/>
            <w:bCs w:val="0"/>
            <w:i w:val="0"/>
            <w:iCs w:val="0"/>
          </w:rPr>
          <w:t>دیوان مصفا</w:t>
        </w:r>
        <w:r>
          <w:tab/>
        </w:r>
        <w:r>
          <w:fldChar w:fldCharType="begin"/>
        </w:r>
        <w:r>
          <w:instrText xml:space="preserve">PAGEREF 7771 \h</w:instrText>
        </w:r>
        <w:r>
          <w:fldChar w:fldCharType="end"/>
        </w:r>
      </w:hyperlink>
    </w:p>
    <w:p>
      <w:pPr>
        <w:tabs>
          <w:tab w:val="right" w:leader="dot" w:pos="9062"/>
        </w:tabs>
        <w:ind w:left="440"/>
      </w:pPr>
      <w:hyperlink w:anchor="_Toc7772" w:history="1">
        <w:r>
          <w:rPr>
            <w:rFonts w:ascii="IRNazanin" w:hAnsi="IRNazanin" w:eastAsia="IRNazanin" w:cs="IRNazanin"/>
            <w:color w:val="111111"/>
            <w:sz w:val="22"/>
            <w:szCs w:val="22"/>
            <w:b w:val="0"/>
            <w:bCs w:val="0"/>
            <w:i w:val="0"/>
            <w:iCs w:val="0"/>
          </w:rPr>
          <w:t>6862- دیوان مصعبی‏</w:t>
        </w:r>
        <w:r>
          <w:tab/>
        </w:r>
        <w:r>
          <w:fldChar w:fldCharType="begin"/>
        </w:r>
        <w:r>
          <w:instrText xml:space="preserve">PAGEREF 7772 \h</w:instrText>
        </w:r>
        <w:r>
          <w:fldChar w:fldCharType="end"/>
        </w:r>
      </w:hyperlink>
    </w:p>
    <w:p>
      <w:pPr>
        <w:tabs>
          <w:tab w:val="right" w:leader="dot" w:pos="9062"/>
        </w:tabs>
        <w:ind w:left="440"/>
      </w:pPr>
      <w:hyperlink w:anchor="_Toc7773" w:history="1">
        <w:r>
          <w:rPr>
            <w:rFonts w:ascii="IRNazanin" w:hAnsi="IRNazanin" w:eastAsia="IRNazanin" w:cs="IRNazanin"/>
            <w:color w:val="111111"/>
            <w:sz w:val="22"/>
            <w:szCs w:val="22"/>
            <w:b w:val="0"/>
            <w:bCs w:val="0"/>
            <w:i w:val="0"/>
            <w:iCs w:val="0"/>
          </w:rPr>
          <w:t>6863- دیوان مصور أصفهانی أو شعره‏</w:t>
        </w:r>
        <w:r>
          <w:tab/>
        </w:r>
        <w:r>
          <w:fldChar w:fldCharType="begin"/>
        </w:r>
        <w:r>
          <w:instrText xml:space="preserve">PAGEREF 7773 \h</w:instrText>
        </w:r>
        <w:r>
          <w:fldChar w:fldCharType="end"/>
        </w:r>
      </w:hyperlink>
    </w:p>
    <w:p>
      <w:pPr>
        <w:tabs>
          <w:tab w:val="right" w:leader="dot" w:pos="9062"/>
        </w:tabs>
        <w:ind w:left="440"/>
      </w:pPr>
      <w:hyperlink w:anchor="_Toc7774" w:history="1">
        <w:r>
          <w:rPr>
            <w:rFonts w:ascii="IRNazanin" w:hAnsi="IRNazanin" w:eastAsia="IRNazanin" w:cs="IRNazanin"/>
            <w:color w:val="111111"/>
            <w:sz w:val="22"/>
            <w:szCs w:val="22"/>
            <w:b w:val="0"/>
            <w:bCs w:val="0"/>
            <w:i w:val="0"/>
            <w:iCs w:val="0"/>
          </w:rPr>
          <w:t>6864- دیوان مصور أصفهانی أو شعره‏</w:t>
        </w:r>
        <w:r>
          <w:tab/>
        </w:r>
        <w:r>
          <w:fldChar w:fldCharType="begin"/>
        </w:r>
        <w:r>
          <w:instrText xml:space="preserve">PAGEREF 7774 \h</w:instrText>
        </w:r>
        <w:r>
          <w:fldChar w:fldCharType="end"/>
        </w:r>
      </w:hyperlink>
    </w:p>
    <w:p>
      <w:pPr>
        <w:tabs>
          <w:tab w:val="right" w:leader="dot" w:pos="9062"/>
        </w:tabs>
        <w:ind w:left="440"/>
      </w:pPr>
      <w:hyperlink w:anchor="_Toc7775" w:history="1">
        <w:r>
          <w:rPr>
            <w:rFonts w:ascii="IRNazanin" w:hAnsi="IRNazanin" w:eastAsia="IRNazanin" w:cs="IRNazanin"/>
            <w:color w:val="111111"/>
            <w:sz w:val="22"/>
            <w:szCs w:val="22"/>
            <w:b w:val="0"/>
            <w:bCs w:val="0"/>
            <w:i w:val="0"/>
            <w:iCs w:val="0"/>
          </w:rPr>
          <w:t>6865- دیوان مصور کاشانی أو شعره‏</w:t>
        </w:r>
        <w:r>
          <w:tab/>
        </w:r>
        <w:r>
          <w:fldChar w:fldCharType="begin"/>
        </w:r>
        <w:r>
          <w:instrText xml:space="preserve">PAGEREF 7775 \h</w:instrText>
        </w:r>
        <w:r>
          <w:fldChar w:fldCharType="end"/>
        </w:r>
      </w:hyperlink>
    </w:p>
    <w:p>
      <w:pPr>
        <w:tabs>
          <w:tab w:val="right" w:leader="dot" w:pos="9062"/>
        </w:tabs>
        <w:ind w:left="440"/>
      </w:pPr>
      <w:hyperlink w:anchor="_Toc7776" w:history="1">
        <w:r>
          <w:rPr>
            <w:rFonts w:ascii="IRNazanin" w:hAnsi="IRNazanin" w:eastAsia="IRNazanin" w:cs="IRNazanin"/>
            <w:color w:val="111111"/>
            <w:sz w:val="22"/>
            <w:szCs w:val="22"/>
            <w:b w:val="0"/>
            <w:bCs w:val="0"/>
            <w:i w:val="0"/>
            <w:iCs w:val="0"/>
          </w:rPr>
          <w:t>6866- دیوان مصور مشهدی أو شعره‏</w:t>
        </w:r>
        <w:r>
          <w:tab/>
        </w:r>
        <w:r>
          <w:fldChar w:fldCharType="begin"/>
        </w:r>
        <w:r>
          <w:instrText xml:space="preserve">PAGEREF 7776 \h</w:instrText>
        </w:r>
        <w:r>
          <w:fldChar w:fldCharType="end"/>
        </w:r>
      </w:hyperlink>
    </w:p>
    <w:p>
      <w:pPr>
        <w:tabs>
          <w:tab w:val="right" w:leader="dot" w:pos="9062"/>
        </w:tabs>
        <w:ind w:left="440"/>
      </w:pPr>
      <w:hyperlink w:anchor="_Toc7777" w:history="1">
        <w:r>
          <w:rPr>
            <w:rFonts w:ascii="IRNazanin" w:hAnsi="IRNazanin" w:eastAsia="IRNazanin" w:cs="IRNazanin"/>
            <w:color w:val="111111"/>
            <w:sz w:val="22"/>
            <w:szCs w:val="22"/>
            <w:b w:val="0"/>
            <w:bCs w:val="0"/>
            <w:i w:val="0"/>
            <w:iCs w:val="0"/>
          </w:rPr>
          <w:t>6867- دیوان مصیب هندی أو شعره‏</w:t>
        </w:r>
        <w:r>
          <w:tab/>
        </w:r>
        <w:r>
          <w:fldChar w:fldCharType="begin"/>
        </w:r>
        <w:r>
          <w:instrText xml:space="preserve">PAGEREF 7777 \h</w:instrText>
        </w:r>
        <w:r>
          <w:fldChar w:fldCharType="end"/>
        </w:r>
      </w:hyperlink>
    </w:p>
    <w:p>
      <w:pPr>
        <w:tabs>
          <w:tab w:val="right" w:leader="dot" w:pos="9062"/>
        </w:tabs>
        <w:ind w:left="440"/>
      </w:pPr>
      <w:hyperlink w:anchor="_Toc7778" w:history="1">
        <w:r>
          <w:rPr>
            <w:rFonts w:ascii="IRNazanin" w:hAnsi="IRNazanin" w:eastAsia="IRNazanin" w:cs="IRNazanin"/>
            <w:color w:val="111111"/>
            <w:sz w:val="22"/>
            <w:szCs w:val="22"/>
            <w:b w:val="0"/>
            <w:bCs w:val="0"/>
            <w:i w:val="0"/>
            <w:iCs w:val="0"/>
          </w:rPr>
          <w:t>6868- دیوان مضطر زنوزی‏</w:t>
        </w:r>
        <w:r>
          <w:tab/>
        </w:r>
        <w:r>
          <w:fldChar w:fldCharType="begin"/>
        </w:r>
        <w:r>
          <w:instrText xml:space="preserve">PAGEREF 7778 \h</w:instrText>
        </w:r>
        <w:r>
          <w:fldChar w:fldCharType="end"/>
        </w:r>
      </w:hyperlink>
    </w:p>
    <w:p>
      <w:pPr>
        <w:tabs>
          <w:tab w:val="right" w:leader="dot" w:pos="9062"/>
        </w:tabs>
        <w:ind w:left="440"/>
      </w:pPr>
      <w:hyperlink w:anchor="_Toc7779" w:history="1">
        <w:r>
          <w:rPr>
            <w:rFonts w:ascii="IRNazanin" w:hAnsi="IRNazanin" w:eastAsia="IRNazanin" w:cs="IRNazanin"/>
            <w:color w:val="111111"/>
            <w:sz w:val="22"/>
            <w:szCs w:val="22"/>
            <w:b w:val="0"/>
            <w:bCs w:val="0"/>
            <w:i w:val="0"/>
            <w:iCs w:val="0"/>
          </w:rPr>
          <w:t>6869- دیوان مضطر طبسی أو شعره‏</w:t>
        </w:r>
        <w:r>
          <w:tab/>
        </w:r>
        <w:r>
          <w:fldChar w:fldCharType="begin"/>
        </w:r>
        <w:r>
          <w:instrText xml:space="preserve">PAGEREF 7779 \h</w:instrText>
        </w:r>
        <w:r>
          <w:fldChar w:fldCharType="end"/>
        </w:r>
      </w:hyperlink>
    </w:p>
    <w:p>
      <w:pPr>
        <w:tabs>
          <w:tab w:val="right" w:leader="dot" w:pos="9062"/>
        </w:tabs>
        <w:ind w:left="440"/>
      </w:pPr>
      <w:hyperlink w:anchor="_Toc7780" w:history="1">
        <w:r>
          <w:rPr>
            <w:rFonts w:ascii="IRNazanin" w:hAnsi="IRNazanin" w:eastAsia="IRNazanin" w:cs="IRNazanin"/>
            <w:color w:val="111111"/>
            <w:sz w:val="22"/>
            <w:szCs w:val="22"/>
            <w:b w:val="0"/>
            <w:bCs w:val="0"/>
            <w:i w:val="0"/>
            <w:iCs w:val="0"/>
          </w:rPr>
          <w:t>6870- دیوان مضطر لکهنوی أو شعره‏</w:t>
        </w:r>
        <w:r>
          <w:tab/>
        </w:r>
        <w:r>
          <w:fldChar w:fldCharType="begin"/>
        </w:r>
        <w:r>
          <w:instrText xml:space="preserve">PAGEREF 7780 \h</w:instrText>
        </w:r>
        <w:r>
          <w:fldChar w:fldCharType="end"/>
        </w:r>
      </w:hyperlink>
    </w:p>
    <w:p>
      <w:pPr>
        <w:tabs>
          <w:tab w:val="right" w:leader="dot" w:pos="9062"/>
        </w:tabs>
        <w:ind w:left="440"/>
      </w:pPr>
      <w:hyperlink w:anchor="_Toc7781" w:history="1">
        <w:r>
          <w:rPr>
            <w:rFonts w:ascii="IRNazanin" w:hAnsi="IRNazanin" w:eastAsia="IRNazanin" w:cs="IRNazanin"/>
            <w:color w:val="111111"/>
            <w:sz w:val="22"/>
            <w:szCs w:val="22"/>
            <w:b w:val="0"/>
            <w:bCs w:val="0"/>
            <w:i w:val="0"/>
            <w:iCs w:val="0"/>
          </w:rPr>
          <w:t>6871- دیوان مضطر لکهنوی أو شعره‏</w:t>
        </w:r>
        <w:r>
          <w:tab/>
        </w:r>
        <w:r>
          <w:fldChar w:fldCharType="begin"/>
        </w:r>
        <w:r>
          <w:instrText xml:space="preserve">PAGEREF 7781 \h</w:instrText>
        </w:r>
        <w:r>
          <w:fldChar w:fldCharType="end"/>
        </w:r>
      </w:hyperlink>
    </w:p>
    <w:p>
      <w:pPr>
        <w:tabs>
          <w:tab w:val="right" w:leader="dot" w:pos="9062"/>
        </w:tabs>
        <w:ind w:left="440"/>
      </w:pPr>
      <w:hyperlink w:anchor="_Toc7782" w:history="1">
        <w:r>
          <w:rPr>
            <w:rFonts w:ascii="IRNazanin" w:hAnsi="IRNazanin" w:eastAsia="IRNazanin" w:cs="IRNazanin"/>
            <w:color w:val="111111"/>
            <w:sz w:val="22"/>
            <w:szCs w:val="22"/>
            <w:b w:val="0"/>
            <w:bCs w:val="0"/>
            <w:i w:val="0"/>
            <w:iCs w:val="0"/>
          </w:rPr>
          <w:t>6872- دیوان مضطر لکهنوی أو شعره‏</w:t>
        </w:r>
        <w:r>
          <w:tab/>
        </w:r>
        <w:r>
          <w:fldChar w:fldCharType="begin"/>
        </w:r>
        <w:r>
          <w:instrText xml:space="preserve">PAGEREF 7782 \h</w:instrText>
        </w:r>
        <w:r>
          <w:fldChar w:fldCharType="end"/>
        </w:r>
      </w:hyperlink>
    </w:p>
    <w:p>
      <w:pPr>
        <w:tabs>
          <w:tab w:val="right" w:leader="dot" w:pos="9062"/>
        </w:tabs>
        <w:ind w:left="440"/>
      </w:pPr>
      <w:hyperlink w:anchor="_Toc7783" w:history="1">
        <w:r>
          <w:rPr>
            <w:rFonts w:ascii="IRNazanin" w:hAnsi="IRNazanin" w:eastAsia="IRNazanin" w:cs="IRNazanin"/>
            <w:color w:val="111111"/>
            <w:sz w:val="22"/>
            <w:szCs w:val="22"/>
            <w:b w:val="0"/>
            <w:bCs w:val="0"/>
            <w:i w:val="0"/>
            <w:iCs w:val="0"/>
          </w:rPr>
          <w:t>6873- دیوان مضطر یزدی أو شعره‏</w:t>
        </w:r>
        <w:r>
          <w:tab/>
        </w:r>
        <w:r>
          <w:fldChar w:fldCharType="begin"/>
        </w:r>
        <w:r>
          <w:instrText xml:space="preserve">PAGEREF 7783 \h</w:instrText>
        </w:r>
        <w:r>
          <w:fldChar w:fldCharType="end"/>
        </w:r>
      </w:hyperlink>
    </w:p>
    <w:p>
      <w:pPr>
        <w:tabs>
          <w:tab w:val="right" w:leader="dot" w:pos="9062"/>
        </w:tabs>
        <w:ind w:left="440"/>
      </w:pPr>
      <w:hyperlink w:anchor="_Toc7784" w:history="1">
        <w:r>
          <w:rPr>
            <w:rFonts w:ascii="IRNazanin" w:hAnsi="IRNazanin" w:eastAsia="IRNazanin" w:cs="IRNazanin"/>
            <w:color w:val="111111"/>
            <w:sz w:val="22"/>
            <w:szCs w:val="22"/>
            <w:b w:val="0"/>
            <w:bCs w:val="0"/>
            <w:i w:val="0"/>
            <w:iCs w:val="0"/>
          </w:rPr>
          <w:t>6874- دیوان مضطرب شیرازی أو شعره‏</w:t>
        </w:r>
        <w:r>
          <w:tab/>
        </w:r>
        <w:r>
          <w:fldChar w:fldCharType="begin"/>
        </w:r>
        <w:r>
          <w:instrText xml:space="preserve">PAGEREF 7784 \h</w:instrText>
        </w:r>
        <w:r>
          <w:fldChar w:fldCharType="end"/>
        </w:r>
      </w:hyperlink>
    </w:p>
    <w:p>
      <w:pPr>
        <w:tabs>
          <w:tab w:val="right" w:leader="dot" w:pos="9062"/>
        </w:tabs>
        <w:ind w:left="440"/>
      </w:pPr>
      <w:hyperlink w:anchor="_Toc7785" w:history="1">
        <w:r>
          <w:rPr>
            <w:rFonts w:ascii="IRNazanin" w:hAnsi="IRNazanin" w:eastAsia="IRNazanin" w:cs="IRNazanin"/>
            <w:color w:val="111111"/>
            <w:sz w:val="22"/>
            <w:szCs w:val="22"/>
            <w:b w:val="0"/>
            <w:bCs w:val="0"/>
            <w:i w:val="0"/>
            <w:iCs w:val="0"/>
          </w:rPr>
          <w:t>6875- دیوان مضمون عظیم‏آبادی أو شعره‏</w:t>
        </w:r>
        <w:r>
          <w:tab/>
        </w:r>
        <w:r>
          <w:fldChar w:fldCharType="begin"/>
        </w:r>
        <w:r>
          <w:instrText xml:space="preserve">PAGEREF 7785 \h</w:instrText>
        </w:r>
        <w:r>
          <w:fldChar w:fldCharType="end"/>
        </w:r>
      </w:hyperlink>
    </w:p>
    <w:p>
      <w:pPr>
        <w:tabs>
          <w:tab w:val="right" w:leader="dot" w:pos="9062"/>
        </w:tabs>
        <w:ind w:left="440"/>
      </w:pPr>
      <w:hyperlink w:anchor="_Toc7786" w:history="1">
        <w:r>
          <w:rPr>
            <w:rFonts w:ascii="IRNazanin" w:hAnsi="IRNazanin" w:eastAsia="IRNazanin" w:cs="IRNazanin"/>
            <w:color w:val="111111"/>
            <w:sz w:val="22"/>
            <w:szCs w:val="22"/>
            <w:b w:val="0"/>
            <w:bCs w:val="0"/>
            <w:i w:val="0"/>
            <w:iCs w:val="0"/>
          </w:rPr>
          <w:t>6876- دیوان مطاع شیرازی أو شعره‏</w:t>
        </w:r>
        <w:r>
          <w:tab/>
        </w:r>
        <w:r>
          <w:fldChar w:fldCharType="begin"/>
        </w:r>
        <w:r>
          <w:instrText xml:space="preserve">PAGEREF 7786 \h</w:instrText>
        </w:r>
        <w:r>
          <w:fldChar w:fldCharType="end"/>
        </w:r>
      </w:hyperlink>
    </w:p>
    <w:p>
      <w:pPr>
        <w:tabs>
          <w:tab w:val="right" w:leader="dot" w:pos="9062"/>
        </w:tabs>
        <w:ind w:left="440"/>
      </w:pPr>
      <w:hyperlink w:anchor="_Toc7787" w:history="1">
        <w:r>
          <w:rPr>
            <w:rFonts w:ascii="IRNazanin" w:hAnsi="IRNazanin" w:eastAsia="IRNazanin" w:cs="IRNazanin"/>
            <w:color w:val="111111"/>
            <w:sz w:val="22"/>
            <w:szCs w:val="22"/>
            <w:b w:val="0"/>
            <w:bCs w:val="0"/>
            <w:i w:val="0"/>
            <w:iCs w:val="0"/>
          </w:rPr>
          <w:t>6877- دیوان مطبوع شیرازی أو شعره‏</w:t>
        </w:r>
        <w:r>
          <w:tab/>
        </w:r>
        <w:r>
          <w:fldChar w:fldCharType="begin"/>
        </w:r>
        <w:r>
          <w:instrText xml:space="preserve">PAGEREF 7787 \h</w:instrText>
        </w:r>
        <w:r>
          <w:fldChar w:fldCharType="end"/>
        </w:r>
      </w:hyperlink>
    </w:p>
    <w:p>
      <w:pPr>
        <w:tabs>
          <w:tab w:val="right" w:leader="dot" w:pos="9062"/>
        </w:tabs>
        <w:ind w:left="440"/>
      </w:pPr>
      <w:hyperlink w:anchor="_Toc7788" w:history="1">
        <w:r>
          <w:rPr>
            <w:rFonts w:ascii="IRNazanin" w:hAnsi="IRNazanin" w:eastAsia="IRNazanin" w:cs="IRNazanin"/>
            <w:color w:val="111111"/>
            <w:sz w:val="22"/>
            <w:szCs w:val="22"/>
            <w:b w:val="0"/>
            <w:bCs w:val="0"/>
            <w:i w:val="0"/>
            <w:iCs w:val="0"/>
          </w:rPr>
          <w:t>6878- دیوان مطرب همدانی أو شعره‏</w:t>
        </w:r>
        <w:r>
          <w:tab/>
        </w:r>
        <w:r>
          <w:fldChar w:fldCharType="begin"/>
        </w:r>
        <w:r>
          <w:instrText xml:space="preserve">PAGEREF 7788 \h</w:instrText>
        </w:r>
        <w:r>
          <w:fldChar w:fldCharType="end"/>
        </w:r>
      </w:hyperlink>
    </w:p>
    <w:p>
      <w:pPr>
        <w:tabs>
          <w:tab w:val="right" w:leader="dot" w:pos="9062"/>
        </w:tabs>
        <w:ind w:left="440"/>
      </w:pPr>
      <w:hyperlink w:anchor="_Toc7789" w:history="1">
        <w:r>
          <w:rPr>
            <w:rFonts w:ascii="IRNazanin" w:hAnsi="IRNazanin" w:eastAsia="IRNazanin" w:cs="IRNazanin"/>
            <w:color w:val="111111"/>
            <w:sz w:val="22"/>
            <w:szCs w:val="22"/>
            <w:b w:val="0"/>
            <w:bCs w:val="0"/>
            <w:i w:val="0"/>
            <w:iCs w:val="0"/>
          </w:rPr>
          <w:t>6879- دیوان مطربه کاشغری أو شعرها</w:t>
        </w:r>
        <w:r>
          <w:tab/>
        </w:r>
        <w:r>
          <w:fldChar w:fldCharType="begin"/>
        </w:r>
        <w:r>
          <w:instrText xml:space="preserve">PAGEREF 7789 \h</w:instrText>
        </w:r>
        <w:r>
          <w:fldChar w:fldCharType="end"/>
        </w:r>
      </w:hyperlink>
    </w:p>
    <w:p>
      <w:pPr>
        <w:tabs>
          <w:tab w:val="right" w:leader="dot" w:pos="9062"/>
        </w:tabs>
        <w:ind w:left="440"/>
      </w:pPr>
      <w:hyperlink w:anchor="_Toc7790" w:history="1">
        <w:r>
          <w:rPr>
            <w:rFonts w:ascii="IRNazanin" w:hAnsi="IRNazanin" w:eastAsia="IRNazanin" w:cs="IRNazanin"/>
            <w:color w:val="111111"/>
            <w:sz w:val="22"/>
            <w:szCs w:val="22"/>
            <w:b w:val="0"/>
            <w:bCs w:val="0"/>
            <w:i w:val="0"/>
            <w:iCs w:val="0"/>
          </w:rPr>
          <w:t>6880- دیوان مطربی قزوینی أو شعره‏</w:t>
        </w:r>
        <w:r>
          <w:tab/>
        </w:r>
        <w:r>
          <w:fldChar w:fldCharType="begin"/>
        </w:r>
        <w:r>
          <w:instrText xml:space="preserve">PAGEREF 7790 \h</w:instrText>
        </w:r>
        <w:r>
          <w:fldChar w:fldCharType="end"/>
        </w:r>
      </w:hyperlink>
    </w:p>
    <w:p>
      <w:pPr>
        <w:tabs>
          <w:tab w:val="right" w:leader="dot" w:pos="9062"/>
        </w:tabs>
        <w:ind w:left="440"/>
      </w:pPr>
      <w:hyperlink w:anchor="_Toc7791" w:history="1">
        <w:r>
          <w:rPr>
            <w:rFonts w:ascii="IRNazanin" w:hAnsi="IRNazanin" w:eastAsia="IRNazanin" w:cs="IRNazanin"/>
            <w:color w:val="111111"/>
            <w:sz w:val="22"/>
            <w:szCs w:val="22"/>
            <w:b w:val="0"/>
            <w:bCs w:val="0"/>
            <w:i w:val="0"/>
            <w:iCs w:val="0"/>
          </w:rPr>
          <w:t>6881- دیوان المطرق العبدی‏</w:t>
        </w:r>
        <w:r>
          <w:tab/>
        </w:r>
        <w:r>
          <w:fldChar w:fldCharType="begin"/>
        </w:r>
        <w:r>
          <w:instrText xml:space="preserve">PAGEREF 7791 \h</w:instrText>
        </w:r>
        <w:r>
          <w:fldChar w:fldCharType="end"/>
        </w:r>
      </w:hyperlink>
    </w:p>
    <w:p>
      <w:pPr>
        <w:tabs>
          <w:tab w:val="right" w:leader="dot" w:pos="9062"/>
        </w:tabs>
        <w:ind w:left="440"/>
      </w:pPr>
      <w:hyperlink w:anchor="_Toc7792" w:history="1">
        <w:r>
          <w:rPr>
            <w:rFonts w:ascii="IRNazanin" w:hAnsi="IRNazanin" w:eastAsia="IRNazanin" w:cs="IRNazanin"/>
            <w:color w:val="111111"/>
            <w:sz w:val="22"/>
            <w:szCs w:val="22"/>
            <w:b w:val="0"/>
            <w:bCs w:val="0"/>
            <w:i w:val="0"/>
            <w:iCs w:val="0"/>
          </w:rPr>
          <w:t>6882- دیوان مطلبی تونی أو شعره‏</w:t>
        </w:r>
        <w:r>
          <w:tab/>
        </w:r>
        <w:r>
          <w:fldChar w:fldCharType="begin"/>
        </w:r>
        <w:r>
          <w:instrText xml:space="preserve">PAGEREF 7792 \h</w:instrText>
        </w:r>
        <w:r>
          <w:fldChar w:fldCharType="end"/>
        </w:r>
      </w:hyperlink>
    </w:p>
    <w:p>
      <w:pPr>
        <w:tabs>
          <w:tab w:val="right" w:leader="dot" w:pos="9062"/>
        </w:tabs>
        <w:ind w:left="440"/>
      </w:pPr>
      <w:hyperlink w:anchor="_Toc7793" w:history="1">
        <w:r>
          <w:rPr>
            <w:rFonts w:ascii="IRNazanin" w:hAnsi="IRNazanin" w:eastAsia="IRNazanin" w:cs="IRNazanin"/>
            <w:color w:val="111111"/>
            <w:sz w:val="22"/>
            <w:szCs w:val="22"/>
            <w:b w:val="0"/>
            <w:bCs w:val="0"/>
            <w:i w:val="0"/>
            <w:iCs w:val="0"/>
          </w:rPr>
          <w:t>6883- دیوان مطلع أکبرآبادی أو شعره‏</w:t>
        </w:r>
        <w:r>
          <w:tab/>
        </w:r>
        <w:r>
          <w:fldChar w:fldCharType="begin"/>
        </w:r>
        <w:r>
          <w:instrText xml:space="preserve">PAGEREF 7793 \h</w:instrText>
        </w:r>
        <w:r>
          <w:fldChar w:fldCharType="end"/>
        </w:r>
      </w:hyperlink>
    </w:p>
    <w:p>
      <w:pPr>
        <w:tabs>
          <w:tab w:val="right" w:leader="dot" w:pos="9062"/>
        </w:tabs>
        <w:ind w:left="440"/>
      </w:pPr>
      <w:hyperlink w:anchor="_Toc7794" w:history="1">
        <w:r>
          <w:rPr>
            <w:rFonts w:ascii="IRNazanin" w:hAnsi="IRNazanin" w:eastAsia="IRNazanin" w:cs="IRNazanin"/>
            <w:color w:val="111111"/>
            <w:sz w:val="22"/>
            <w:szCs w:val="22"/>
            <w:b w:val="0"/>
            <w:bCs w:val="0"/>
            <w:i w:val="0"/>
            <w:iCs w:val="0"/>
          </w:rPr>
          <w:t>6884- دیوان مطلع براغوشی‏</w:t>
        </w:r>
        <w:r>
          <w:tab/>
        </w:r>
        <w:r>
          <w:fldChar w:fldCharType="begin"/>
        </w:r>
        <w:r>
          <w:instrText xml:space="preserve">PAGEREF 7794 \h</w:instrText>
        </w:r>
        <w:r>
          <w:fldChar w:fldCharType="end"/>
        </w:r>
      </w:hyperlink>
    </w:p>
    <w:p>
      <w:pPr>
        <w:tabs>
          <w:tab w:val="right" w:leader="dot" w:pos="9062"/>
        </w:tabs>
        <w:ind w:left="440"/>
      </w:pPr>
      <w:hyperlink w:anchor="_Toc7795" w:history="1">
        <w:r>
          <w:rPr>
            <w:rFonts w:ascii="IRNazanin" w:hAnsi="IRNazanin" w:eastAsia="IRNazanin" w:cs="IRNazanin"/>
            <w:color w:val="111111"/>
            <w:sz w:val="22"/>
            <w:szCs w:val="22"/>
            <w:b w:val="0"/>
            <w:bCs w:val="0"/>
            <w:i w:val="0"/>
            <w:iCs w:val="0"/>
          </w:rPr>
          <w:t>6885- دیوان مطلع شیرازی أو شعره‏</w:t>
        </w:r>
        <w:r>
          <w:tab/>
        </w:r>
        <w:r>
          <w:fldChar w:fldCharType="begin"/>
        </w:r>
        <w:r>
          <w:instrText xml:space="preserve">PAGEREF 7795 \h</w:instrText>
        </w:r>
        <w:r>
          <w:fldChar w:fldCharType="end"/>
        </w:r>
      </w:hyperlink>
    </w:p>
    <w:p>
      <w:pPr>
        <w:tabs>
          <w:tab w:val="right" w:leader="dot" w:pos="9062"/>
        </w:tabs>
        <w:ind w:left="440"/>
      </w:pPr>
      <w:hyperlink w:anchor="_Toc7796" w:history="1">
        <w:r>
          <w:rPr>
            <w:rFonts w:ascii="IRNazanin" w:hAnsi="IRNazanin" w:eastAsia="IRNazanin" w:cs="IRNazanin"/>
            <w:color w:val="111111"/>
            <w:sz w:val="22"/>
            <w:szCs w:val="22"/>
            <w:b w:val="0"/>
            <w:bCs w:val="0"/>
            <w:i w:val="0"/>
            <w:iCs w:val="0"/>
          </w:rPr>
          <w:t>6886- دیوان مطلعی قزوینی أو شعره‏</w:t>
        </w:r>
        <w:r>
          <w:tab/>
        </w:r>
        <w:r>
          <w:fldChar w:fldCharType="begin"/>
        </w:r>
        <w:r>
          <w:instrText xml:space="preserve">PAGEREF 7796 \h</w:instrText>
        </w:r>
        <w:r>
          <w:fldChar w:fldCharType="end"/>
        </w:r>
      </w:hyperlink>
    </w:p>
    <w:p>
      <w:pPr>
        <w:tabs>
          <w:tab w:val="right" w:leader="dot" w:pos="9062"/>
        </w:tabs>
        <w:ind w:left="440"/>
      </w:pPr>
      <w:hyperlink w:anchor="_Toc7797" w:history="1">
        <w:r>
          <w:rPr>
            <w:rFonts w:ascii="IRNazanin" w:hAnsi="IRNazanin" w:eastAsia="IRNazanin" w:cs="IRNazanin"/>
            <w:color w:val="111111"/>
            <w:sz w:val="22"/>
            <w:szCs w:val="22"/>
            <w:b w:val="0"/>
            <w:bCs w:val="0"/>
            <w:i w:val="0"/>
            <w:iCs w:val="0"/>
          </w:rPr>
          <w:t>6887- دیوان مطمئن أصفهانی‏</w:t>
        </w:r>
        <w:r>
          <w:tab/>
        </w:r>
        <w:r>
          <w:fldChar w:fldCharType="begin"/>
        </w:r>
        <w:r>
          <w:instrText xml:space="preserve">PAGEREF 7797 \h</w:instrText>
        </w:r>
        <w:r>
          <w:fldChar w:fldCharType="end"/>
        </w:r>
      </w:hyperlink>
    </w:p>
    <w:p>
      <w:pPr>
        <w:tabs>
          <w:tab w:val="right" w:leader="dot" w:pos="9062"/>
        </w:tabs>
        <w:ind w:left="440"/>
      </w:pPr>
      <w:hyperlink w:anchor="_Toc7798" w:history="1">
        <w:r>
          <w:rPr>
            <w:rFonts w:ascii="IRNazanin" w:hAnsi="IRNazanin" w:eastAsia="IRNazanin" w:cs="IRNazanin"/>
            <w:color w:val="111111"/>
            <w:sz w:val="22"/>
            <w:szCs w:val="22"/>
            <w:b w:val="0"/>
            <w:bCs w:val="0"/>
            <w:i w:val="0"/>
            <w:iCs w:val="0"/>
          </w:rPr>
          <w:t>6888- دیوان مطیع تبریزی‏</w:t>
        </w:r>
        <w:r>
          <w:tab/>
        </w:r>
        <w:r>
          <w:fldChar w:fldCharType="begin"/>
        </w:r>
        <w:r>
          <w:instrText xml:space="preserve">PAGEREF 7798 \h</w:instrText>
        </w:r>
        <w:r>
          <w:fldChar w:fldCharType="end"/>
        </w:r>
      </w:hyperlink>
    </w:p>
    <w:p>
      <w:pPr>
        <w:tabs>
          <w:tab w:val="right" w:leader="dot" w:pos="9062"/>
        </w:tabs>
        <w:ind w:left="440"/>
      </w:pPr>
      <w:hyperlink w:anchor="_Toc7799" w:history="1">
        <w:r>
          <w:rPr>
            <w:rFonts w:ascii="IRNazanin" w:hAnsi="IRNazanin" w:eastAsia="IRNazanin" w:cs="IRNazanin"/>
            <w:color w:val="111111"/>
            <w:sz w:val="22"/>
            <w:szCs w:val="22"/>
            <w:b w:val="0"/>
            <w:bCs w:val="0"/>
            <w:i w:val="0"/>
            <w:iCs w:val="0"/>
          </w:rPr>
          <w:t>6889- دیوان مطیع کاشغری أو شعره‏</w:t>
        </w:r>
        <w:r>
          <w:tab/>
        </w:r>
        <w:r>
          <w:fldChar w:fldCharType="begin"/>
        </w:r>
        <w:r>
          <w:instrText xml:space="preserve">PAGEREF 7799 \h</w:instrText>
        </w:r>
        <w:r>
          <w:fldChar w:fldCharType="end"/>
        </w:r>
      </w:hyperlink>
    </w:p>
    <w:p>
      <w:pPr>
        <w:tabs>
          <w:tab w:val="right" w:leader="dot" w:pos="9062"/>
        </w:tabs>
        <w:ind w:left="440"/>
      </w:pPr>
      <w:hyperlink w:anchor="_Toc7800" w:history="1">
        <w:r>
          <w:rPr>
            <w:rFonts w:ascii="IRNazanin" w:hAnsi="IRNazanin" w:eastAsia="IRNazanin" w:cs="IRNazanin"/>
            <w:color w:val="111111"/>
            <w:sz w:val="22"/>
            <w:szCs w:val="22"/>
            <w:b w:val="0"/>
            <w:bCs w:val="0"/>
            <w:i w:val="0"/>
            <w:iCs w:val="0"/>
          </w:rPr>
          <w:t>6890- دیوان مطیع لکهنوی أو شعره‏</w:t>
        </w:r>
        <w:r>
          <w:tab/>
        </w:r>
        <w:r>
          <w:fldChar w:fldCharType="begin"/>
        </w:r>
        <w:r>
          <w:instrText xml:space="preserve">PAGEREF 7800 \h</w:instrText>
        </w:r>
        <w:r>
          <w:fldChar w:fldCharType="end"/>
        </w:r>
      </w:hyperlink>
    </w:p>
    <w:p>
      <w:pPr>
        <w:tabs>
          <w:tab w:val="right" w:leader="dot" w:pos="9062"/>
        </w:tabs>
        <w:ind w:left="440"/>
      </w:pPr>
      <w:hyperlink w:anchor="_Toc7801" w:history="1">
        <w:r>
          <w:rPr>
            <w:rFonts w:ascii="IRNazanin" w:hAnsi="IRNazanin" w:eastAsia="IRNazanin" w:cs="IRNazanin"/>
            <w:color w:val="111111"/>
            <w:sz w:val="22"/>
            <w:szCs w:val="22"/>
            <w:b w:val="0"/>
            <w:bCs w:val="0"/>
            <w:i w:val="0"/>
            <w:iCs w:val="0"/>
          </w:rPr>
          <w:t>6891- دیوان مطیع مازندرانی أو شعره‏</w:t>
        </w:r>
        <w:r>
          <w:tab/>
        </w:r>
        <w:r>
          <w:fldChar w:fldCharType="begin"/>
        </w:r>
        <w:r>
          <w:instrText xml:space="preserve">PAGEREF 7801 \h</w:instrText>
        </w:r>
        <w:r>
          <w:fldChar w:fldCharType="end"/>
        </w:r>
      </w:hyperlink>
    </w:p>
    <w:p>
      <w:pPr>
        <w:tabs>
          <w:tab w:val="right" w:leader="dot" w:pos="9062"/>
        </w:tabs>
        <w:ind w:left="440"/>
      </w:pPr>
      <w:hyperlink w:anchor="_Toc7802" w:history="1">
        <w:r>
          <w:rPr>
            <w:rFonts w:ascii="IRNazanin" w:hAnsi="IRNazanin" w:eastAsia="IRNazanin" w:cs="IRNazanin"/>
            <w:color w:val="111111"/>
            <w:sz w:val="22"/>
            <w:szCs w:val="22"/>
            <w:b w:val="0"/>
            <w:bCs w:val="0"/>
            <w:i w:val="0"/>
            <w:iCs w:val="0"/>
          </w:rPr>
          <w:t>6892- دیوان مطیع همدانی أو شعره‏</w:t>
        </w:r>
        <w:r>
          <w:tab/>
        </w:r>
        <w:r>
          <w:fldChar w:fldCharType="begin"/>
        </w:r>
        <w:r>
          <w:instrText xml:space="preserve">PAGEREF 7802 \h</w:instrText>
        </w:r>
        <w:r>
          <w:fldChar w:fldCharType="end"/>
        </w:r>
      </w:hyperlink>
    </w:p>
    <w:p>
      <w:pPr>
        <w:tabs>
          <w:tab w:val="right" w:leader="dot" w:pos="9062"/>
        </w:tabs>
        <w:ind w:left="440"/>
      </w:pPr>
      <w:hyperlink w:anchor="_Toc7803" w:history="1">
        <w:r>
          <w:rPr>
            <w:rFonts w:ascii="IRNazanin" w:hAnsi="IRNazanin" w:eastAsia="IRNazanin" w:cs="IRNazanin"/>
            <w:color w:val="111111"/>
            <w:sz w:val="22"/>
            <w:szCs w:val="22"/>
            <w:b w:val="0"/>
            <w:bCs w:val="0"/>
            <w:i w:val="0"/>
            <w:iCs w:val="0"/>
          </w:rPr>
          <w:t>دیوان مطیعی بلخی‏</w:t>
        </w:r>
        <w:r>
          <w:tab/>
        </w:r>
        <w:r>
          <w:fldChar w:fldCharType="begin"/>
        </w:r>
        <w:r>
          <w:instrText xml:space="preserve">PAGEREF 7803 \h</w:instrText>
        </w:r>
        <w:r>
          <w:fldChar w:fldCharType="end"/>
        </w:r>
      </w:hyperlink>
    </w:p>
    <w:p>
      <w:pPr>
        <w:tabs>
          <w:tab w:val="right" w:leader="dot" w:pos="9062"/>
        </w:tabs>
        <w:ind w:left="440"/>
      </w:pPr>
      <w:hyperlink w:anchor="_Toc7804" w:history="1">
        <w:r>
          <w:rPr>
            <w:rFonts w:ascii="IRNazanin" w:hAnsi="IRNazanin" w:eastAsia="IRNazanin" w:cs="IRNazanin"/>
            <w:color w:val="111111"/>
            <w:sz w:val="22"/>
            <w:szCs w:val="22"/>
            <w:b w:val="0"/>
            <w:bCs w:val="0"/>
            <w:i w:val="0"/>
            <w:iCs w:val="0"/>
          </w:rPr>
          <w:t>6893- دیوان مطیعی تونی أو شعره‏</w:t>
        </w:r>
        <w:r>
          <w:tab/>
        </w:r>
        <w:r>
          <w:fldChar w:fldCharType="begin"/>
        </w:r>
        <w:r>
          <w:instrText xml:space="preserve">PAGEREF 7804 \h</w:instrText>
        </w:r>
        <w:r>
          <w:fldChar w:fldCharType="end"/>
        </w:r>
      </w:hyperlink>
    </w:p>
    <w:p>
      <w:pPr>
        <w:tabs>
          <w:tab w:val="right" w:leader="dot" w:pos="9062"/>
        </w:tabs>
        <w:ind w:left="440"/>
      </w:pPr>
      <w:hyperlink w:anchor="_Toc7805" w:history="1">
        <w:r>
          <w:rPr>
            <w:rFonts w:ascii="IRNazanin" w:hAnsi="IRNazanin" w:eastAsia="IRNazanin" w:cs="IRNazanin"/>
            <w:color w:val="111111"/>
            <w:sz w:val="22"/>
            <w:szCs w:val="22"/>
            <w:b w:val="0"/>
            <w:bCs w:val="0"/>
            <w:i w:val="0"/>
            <w:iCs w:val="0"/>
          </w:rPr>
          <w:t>6894- دیوان مظاهر تیرانی‏</w:t>
        </w:r>
        <w:r>
          <w:tab/>
        </w:r>
        <w:r>
          <w:fldChar w:fldCharType="begin"/>
        </w:r>
        <w:r>
          <w:instrText xml:space="preserve">PAGEREF 7805 \h</w:instrText>
        </w:r>
        <w:r>
          <w:fldChar w:fldCharType="end"/>
        </w:r>
      </w:hyperlink>
    </w:p>
    <w:p>
      <w:pPr>
        <w:tabs>
          <w:tab w:val="right" w:leader="dot" w:pos="9062"/>
        </w:tabs>
        <w:ind w:left="440"/>
      </w:pPr>
      <w:hyperlink w:anchor="_Toc7806" w:history="1">
        <w:r>
          <w:rPr>
            <w:rFonts w:ascii="IRNazanin" w:hAnsi="IRNazanin" w:eastAsia="IRNazanin" w:cs="IRNazanin"/>
            <w:color w:val="111111"/>
            <w:sz w:val="22"/>
            <w:szCs w:val="22"/>
            <w:b w:val="0"/>
            <w:bCs w:val="0"/>
            <w:i w:val="0"/>
            <w:iCs w:val="0"/>
          </w:rPr>
          <w:t>6895- دیوان مظاهر مصفی‏</w:t>
        </w:r>
        <w:r>
          <w:tab/>
        </w:r>
        <w:r>
          <w:fldChar w:fldCharType="begin"/>
        </w:r>
        <w:r>
          <w:instrText xml:space="preserve">PAGEREF 7806 \h</w:instrText>
        </w:r>
        <w:r>
          <w:fldChar w:fldCharType="end"/>
        </w:r>
      </w:hyperlink>
    </w:p>
    <w:p>
      <w:pPr>
        <w:tabs>
          <w:tab w:val="right" w:leader="dot" w:pos="9062"/>
        </w:tabs>
        <w:ind w:left="440"/>
      </w:pPr>
      <w:hyperlink w:anchor="_Toc7807" w:history="1">
        <w:r>
          <w:rPr>
            <w:rFonts w:ascii="IRNazanin" w:hAnsi="IRNazanin" w:eastAsia="IRNazanin" w:cs="IRNazanin"/>
            <w:color w:val="111111"/>
            <w:sz w:val="22"/>
            <w:szCs w:val="22"/>
            <w:b w:val="0"/>
            <w:bCs w:val="0"/>
            <w:i w:val="0"/>
            <w:iCs w:val="0"/>
          </w:rPr>
          <w:t>6896- دیوان مظفر تبریزی أو شعره‏</w:t>
        </w:r>
        <w:r>
          <w:tab/>
        </w:r>
        <w:r>
          <w:fldChar w:fldCharType="begin"/>
        </w:r>
        <w:r>
          <w:instrText xml:space="preserve">PAGEREF 7807 \h</w:instrText>
        </w:r>
        <w:r>
          <w:fldChar w:fldCharType="end"/>
        </w:r>
      </w:hyperlink>
    </w:p>
    <w:p>
      <w:pPr>
        <w:tabs>
          <w:tab w:val="right" w:leader="dot" w:pos="9062"/>
        </w:tabs>
        <w:ind w:left="440"/>
      </w:pPr>
      <w:hyperlink w:anchor="_Toc7808" w:history="1">
        <w:r>
          <w:rPr>
            <w:rFonts w:ascii="IRNazanin" w:hAnsi="IRNazanin" w:eastAsia="IRNazanin" w:cs="IRNazanin"/>
            <w:color w:val="111111"/>
            <w:sz w:val="22"/>
            <w:szCs w:val="22"/>
            <w:b w:val="0"/>
            <w:bCs w:val="0"/>
            <w:i w:val="0"/>
            <w:iCs w:val="0"/>
          </w:rPr>
          <w:t>6897- دیوان مظفر تربتی أو شعره‏</w:t>
        </w:r>
        <w:r>
          <w:tab/>
        </w:r>
        <w:r>
          <w:fldChar w:fldCharType="begin"/>
        </w:r>
        <w:r>
          <w:instrText xml:space="preserve">PAGEREF 7808 \h</w:instrText>
        </w:r>
        <w:r>
          <w:fldChar w:fldCharType="end"/>
        </w:r>
      </w:hyperlink>
    </w:p>
    <w:p>
      <w:pPr>
        <w:tabs>
          <w:tab w:val="right" w:leader="dot" w:pos="9062"/>
        </w:tabs>
        <w:ind w:left="440"/>
      </w:pPr>
      <w:hyperlink w:anchor="_Toc7809" w:history="1">
        <w:r>
          <w:rPr>
            <w:rFonts w:ascii="IRNazanin" w:hAnsi="IRNazanin" w:eastAsia="IRNazanin" w:cs="IRNazanin"/>
            <w:color w:val="111111"/>
            <w:sz w:val="22"/>
            <w:szCs w:val="22"/>
            <w:b w:val="0"/>
            <w:bCs w:val="0"/>
            <w:i w:val="0"/>
            <w:iCs w:val="0"/>
          </w:rPr>
          <w:t>6898- دیوان مظفر حسین هندی أو شعره‏</w:t>
        </w:r>
        <w:r>
          <w:tab/>
        </w:r>
        <w:r>
          <w:fldChar w:fldCharType="begin"/>
        </w:r>
        <w:r>
          <w:instrText xml:space="preserve">PAGEREF 7809 \h</w:instrText>
        </w:r>
        <w:r>
          <w:fldChar w:fldCharType="end"/>
        </w:r>
      </w:hyperlink>
    </w:p>
    <w:p>
      <w:pPr>
        <w:tabs>
          <w:tab w:val="right" w:leader="dot" w:pos="9062"/>
        </w:tabs>
        <w:ind w:left="440"/>
      </w:pPr>
      <w:hyperlink w:anchor="_Toc7810" w:history="1">
        <w:r>
          <w:rPr>
            <w:rFonts w:ascii="IRNazanin" w:hAnsi="IRNazanin" w:eastAsia="IRNazanin" w:cs="IRNazanin"/>
            <w:color w:val="111111"/>
            <w:sz w:val="22"/>
            <w:szCs w:val="22"/>
            <w:b w:val="0"/>
            <w:bCs w:val="0"/>
            <w:i w:val="0"/>
            <w:iCs w:val="0"/>
          </w:rPr>
          <w:t>دیوان مظفر حسین‏</w:t>
        </w:r>
        <w:r>
          <w:tab/>
        </w:r>
        <w:r>
          <w:fldChar w:fldCharType="begin"/>
        </w:r>
        <w:r>
          <w:instrText xml:space="preserve">PAGEREF 7810 \h</w:instrText>
        </w:r>
        <w:r>
          <w:fldChar w:fldCharType="end"/>
        </w:r>
      </w:hyperlink>
    </w:p>
    <w:p>
      <w:pPr>
        <w:tabs>
          <w:tab w:val="right" w:leader="dot" w:pos="9062"/>
        </w:tabs>
        <w:ind w:left="440"/>
      </w:pPr>
      <w:hyperlink w:anchor="_Toc7811" w:history="1">
        <w:r>
          <w:rPr>
            <w:rFonts w:ascii="IRNazanin" w:hAnsi="IRNazanin" w:eastAsia="IRNazanin" w:cs="IRNazanin"/>
            <w:color w:val="111111"/>
            <w:sz w:val="22"/>
            <w:szCs w:val="22"/>
            <w:b w:val="0"/>
            <w:bCs w:val="0"/>
            <w:i w:val="0"/>
            <w:iCs w:val="0"/>
          </w:rPr>
          <w:t>دیوان مظفر خانی‏</w:t>
        </w:r>
        <w:r>
          <w:tab/>
        </w:r>
        <w:r>
          <w:fldChar w:fldCharType="begin"/>
        </w:r>
        <w:r>
          <w:instrText xml:space="preserve">PAGEREF 7811 \h</w:instrText>
        </w:r>
        <w:r>
          <w:fldChar w:fldCharType="end"/>
        </w:r>
      </w:hyperlink>
    </w:p>
    <w:p>
      <w:pPr>
        <w:tabs>
          <w:tab w:val="right" w:leader="dot" w:pos="9062"/>
        </w:tabs>
        <w:ind w:left="440"/>
      </w:pPr>
      <w:hyperlink w:anchor="_Toc7812" w:history="1">
        <w:r>
          <w:rPr>
            <w:rFonts w:ascii="IRNazanin" w:hAnsi="IRNazanin" w:eastAsia="IRNazanin" w:cs="IRNazanin"/>
            <w:color w:val="111111"/>
            <w:sz w:val="22"/>
            <w:szCs w:val="22"/>
            <w:b w:val="0"/>
            <w:bCs w:val="0"/>
            <w:i w:val="0"/>
            <w:iCs w:val="0"/>
          </w:rPr>
          <w:t>دیوان مظفر خضردانی‏</w:t>
        </w:r>
        <w:r>
          <w:tab/>
        </w:r>
        <w:r>
          <w:fldChar w:fldCharType="begin"/>
        </w:r>
        <w:r>
          <w:instrText xml:space="preserve">PAGEREF 7812 \h</w:instrText>
        </w:r>
        <w:r>
          <w:fldChar w:fldCharType="end"/>
        </w:r>
      </w:hyperlink>
    </w:p>
    <w:p>
      <w:pPr>
        <w:tabs>
          <w:tab w:val="right" w:leader="dot" w:pos="9062"/>
        </w:tabs>
        <w:ind w:left="440"/>
      </w:pPr>
      <w:hyperlink w:anchor="_Toc7813" w:history="1">
        <w:r>
          <w:rPr>
            <w:rFonts w:ascii="IRNazanin" w:hAnsi="IRNazanin" w:eastAsia="IRNazanin" w:cs="IRNazanin"/>
            <w:color w:val="111111"/>
            <w:sz w:val="22"/>
            <w:szCs w:val="22"/>
            <w:b w:val="0"/>
            <w:bCs w:val="0"/>
            <w:i w:val="0"/>
            <w:iCs w:val="0"/>
          </w:rPr>
          <w:t>دیوان مظفر شبانکاره‏</w:t>
        </w:r>
        <w:r>
          <w:tab/>
        </w:r>
        <w:r>
          <w:fldChar w:fldCharType="begin"/>
        </w:r>
        <w:r>
          <w:instrText xml:space="preserve">PAGEREF 7813 \h</w:instrText>
        </w:r>
        <w:r>
          <w:fldChar w:fldCharType="end"/>
        </w:r>
      </w:hyperlink>
    </w:p>
    <w:p>
      <w:pPr>
        <w:tabs>
          <w:tab w:val="right" w:leader="dot" w:pos="9062"/>
        </w:tabs>
        <w:ind w:left="440"/>
      </w:pPr>
      <w:hyperlink w:anchor="_Toc7814" w:history="1">
        <w:r>
          <w:rPr>
            <w:rFonts w:ascii="IRNazanin" w:hAnsi="IRNazanin" w:eastAsia="IRNazanin" w:cs="IRNazanin"/>
            <w:color w:val="111111"/>
            <w:sz w:val="22"/>
            <w:szCs w:val="22"/>
            <w:b w:val="0"/>
            <w:bCs w:val="0"/>
            <w:i w:val="0"/>
            <w:iCs w:val="0"/>
          </w:rPr>
          <w:t>6899- دیوان مظفر شیرازی أو شعره‏</w:t>
        </w:r>
        <w:r>
          <w:tab/>
        </w:r>
        <w:r>
          <w:fldChar w:fldCharType="begin"/>
        </w:r>
        <w:r>
          <w:instrText xml:space="preserve">PAGEREF 7814 \h</w:instrText>
        </w:r>
        <w:r>
          <w:fldChar w:fldCharType="end"/>
        </w:r>
      </w:hyperlink>
    </w:p>
    <w:p>
      <w:pPr>
        <w:tabs>
          <w:tab w:val="right" w:leader="dot" w:pos="9062"/>
        </w:tabs>
        <w:ind w:left="440"/>
      </w:pPr>
      <w:hyperlink w:anchor="_Toc7815" w:history="1">
        <w:r>
          <w:rPr>
            <w:rFonts w:ascii="IRNazanin" w:hAnsi="IRNazanin" w:eastAsia="IRNazanin" w:cs="IRNazanin"/>
            <w:color w:val="111111"/>
            <w:sz w:val="22"/>
            <w:szCs w:val="22"/>
            <w:b w:val="0"/>
            <w:bCs w:val="0"/>
            <w:i w:val="0"/>
            <w:iCs w:val="0"/>
          </w:rPr>
          <w:t>6900- دیوان مظفر صفوی أو شعره‏</w:t>
        </w:r>
        <w:r>
          <w:tab/>
        </w:r>
        <w:r>
          <w:fldChar w:fldCharType="begin"/>
        </w:r>
        <w:r>
          <w:instrText xml:space="preserve">PAGEREF 7815 \h</w:instrText>
        </w:r>
        <w:r>
          <w:fldChar w:fldCharType="end"/>
        </w:r>
      </w:hyperlink>
    </w:p>
    <w:p>
      <w:pPr>
        <w:tabs>
          <w:tab w:val="right" w:leader="dot" w:pos="9062"/>
        </w:tabs>
        <w:ind w:left="440"/>
      </w:pPr>
      <w:hyperlink w:anchor="_Toc7816" w:history="1">
        <w:r>
          <w:rPr>
            <w:rFonts w:ascii="IRNazanin" w:hAnsi="IRNazanin" w:eastAsia="IRNazanin" w:cs="IRNazanin"/>
            <w:color w:val="111111"/>
            <w:sz w:val="22"/>
            <w:szCs w:val="22"/>
            <w:b w:val="0"/>
            <w:bCs w:val="0"/>
            <w:i w:val="0"/>
            <w:iCs w:val="0"/>
          </w:rPr>
          <w:t>6901- دیوان مظفر صفوی أو شعره‏</w:t>
        </w:r>
        <w:r>
          <w:tab/>
        </w:r>
        <w:r>
          <w:fldChar w:fldCharType="begin"/>
        </w:r>
        <w:r>
          <w:instrText xml:space="preserve">PAGEREF 7816 \h</w:instrText>
        </w:r>
        <w:r>
          <w:fldChar w:fldCharType="end"/>
        </w:r>
      </w:hyperlink>
    </w:p>
    <w:p>
      <w:pPr>
        <w:tabs>
          <w:tab w:val="right" w:leader="dot" w:pos="9062"/>
        </w:tabs>
        <w:ind w:left="440"/>
      </w:pPr>
      <w:hyperlink w:anchor="_Toc7817" w:history="1">
        <w:r>
          <w:rPr>
            <w:rFonts w:ascii="IRNazanin" w:hAnsi="IRNazanin" w:eastAsia="IRNazanin" w:cs="IRNazanin"/>
            <w:color w:val="111111"/>
            <w:sz w:val="22"/>
            <w:szCs w:val="22"/>
            <w:b w:val="0"/>
            <w:bCs w:val="0"/>
            <w:i w:val="0"/>
            <w:iCs w:val="0"/>
          </w:rPr>
          <w:t>6902- دیوان مظفر علی أمیر</w:t>
        </w:r>
        <w:r>
          <w:tab/>
        </w:r>
        <w:r>
          <w:fldChar w:fldCharType="begin"/>
        </w:r>
        <w:r>
          <w:instrText xml:space="preserve">PAGEREF 7817 \h</w:instrText>
        </w:r>
        <w:r>
          <w:fldChar w:fldCharType="end"/>
        </w:r>
      </w:hyperlink>
    </w:p>
    <w:p>
      <w:pPr>
        <w:tabs>
          <w:tab w:val="right" w:leader="dot" w:pos="9062"/>
        </w:tabs>
        <w:ind w:left="440"/>
      </w:pPr>
      <w:hyperlink w:anchor="_Toc7818" w:history="1">
        <w:r>
          <w:rPr>
            <w:rFonts w:ascii="IRNazanin" w:hAnsi="IRNazanin" w:eastAsia="IRNazanin" w:cs="IRNazanin"/>
            <w:color w:val="111111"/>
            <w:sz w:val="22"/>
            <w:szCs w:val="22"/>
            <w:b w:val="0"/>
            <w:bCs w:val="0"/>
            <w:i w:val="0"/>
            <w:iCs w:val="0"/>
          </w:rPr>
          <w:t>دیوان مظفر علی شاه‏</w:t>
        </w:r>
        <w:r>
          <w:tab/>
        </w:r>
        <w:r>
          <w:fldChar w:fldCharType="begin"/>
        </w:r>
        <w:r>
          <w:instrText xml:space="preserve">PAGEREF 7818 \h</w:instrText>
        </w:r>
        <w:r>
          <w:fldChar w:fldCharType="end"/>
        </w:r>
      </w:hyperlink>
    </w:p>
    <w:p>
      <w:pPr>
        <w:tabs>
          <w:tab w:val="right" w:leader="dot" w:pos="9062"/>
        </w:tabs>
        <w:ind w:left="440"/>
      </w:pPr>
      <w:hyperlink w:anchor="_Toc7819" w:history="1">
        <w:r>
          <w:rPr>
            <w:rFonts w:ascii="IRNazanin" w:hAnsi="IRNazanin" w:eastAsia="IRNazanin" w:cs="IRNazanin"/>
            <w:color w:val="111111"/>
            <w:sz w:val="22"/>
            <w:szCs w:val="22"/>
            <w:b w:val="0"/>
            <w:bCs w:val="0"/>
            <w:i w:val="0"/>
            <w:iCs w:val="0"/>
          </w:rPr>
          <w:t>6903- دیوان مظفر فارسی أو شعره‏</w:t>
        </w:r>
        <w:r>
          <w:tab/>
        </w:r>
        <w:r>
          <w:fldChar w:fldCharType="begin"/>
        </w:r>
        <w:r>
          <w:instrText xml:space="preserve">PAGEREF 7819 \h</w:instrText>
        </w:r>
        <w:r>
          <w:fldChar w:fldCharType="end"/>
        </w:r>
      </w:hyperlink>
    </w:p>
    <w:p>
      <w:pPr>
        <w:tabs>
          <w:tab w:val="right" w:leader="dot" w:pos="9062"/>
        </w:tabs>
        <w:ind w:left="440"/>
      </w:pPr>
      <w:hyperlink w:anchor="_Toc7820" w:history="1">
        <w:r>
          <w:rPr>
            <w:rFonts w:ascii="IRNazanin" w:hAnsi="IRNazanin" w:eastAsia="IRNazanin" w:cs="IRNazanin"/>
            <w:color w:val="111111"/>
            <w:sz w:val="22"/>
            <w:szCs w:val="22"/>
            <w:b w:val="0"/>
            <w:bCs w:val="0"/>
            <w:i w:val="0"/>
            <w:iCs w:val="0"/>
          </w:rPr>
          <w:t>دیوان مظفر قندهاری‏</w:t>
        </w:r>
        <w:r>
          <w:tab/>
        </w:r>
        <w:r>
          <w:fldChar w:fldCharType="begin"/>
        </w:r>
        <w:r>
          <w:instrText xml:space="preserve">PAGEREF 7820 \h</w:instrText>
        </w:r>
        <w:r>
          <w:fldChar w:fldCharType="end"/>
        </w:r>
      </w:hyperlink>
    </w:p>
    <w:p>
      <w:pPr>
        <w:tabs>
          <w:tab w:val="right" w:leader="dot" w:pos="9062"/>
        </w:tabs>
        <w:ind w:left="440"/>
      </w:pPr>
      <w:hyperlink w:anchor="_Toc7821" w:history="1">
        <w:r>
          <w:rPr>
            <w:rFonts w:ascii="IRNazanin" w:hAnsi="IRNazanin" w:eastAsia="IRNazanin" w:cs="IRNazanin"/>
            <w:color w:val="111111"/>
            <w:sz w:val="22"/>
            <w:szCs w:val="22"/>
            <w:b w:val="0"/>
            <w:bCs w:val="0"/>
            <w:i w:val="0"/>
            <w:iCs w:val="0"/>
          </w:rPr>
          <w:t>6904- دیوان مظفر کاشانی أو شعره‏</w:t>
        </w:r>
        <w:r>
          <w:tab/>
        </w:r>
        <w:r>
          <w:fldChar w:fldCharType="begin"/>
        </w:r>
        <w:r>
          <w:instrText xml:space="preserve">PAGEREF 7821 \h</w:instrText>
        </w:r>
        <w:r>
          <w:fldChar w:fldCharType="end"/>
        </w:r>
      </w:hyperlink>
    </w:p>
    <w:p>
      <w:pPr>
        <w:tabs>
          <w:tab w:val="right" w:leader="dot" w:pos="9062"/>
        </w:tabs>
        <w:ind w:left="440"/>
      </w:pPr>
      <w:hyperlink w:anchor="_Toc7822" w:history="1">
        <w:r>
          <w:rPr>
            <w:rFonts w:ascii="IRNazanin" w:hAnsi="IRNazanin" w:eastAsia="IRNazanin" w:cs="IRNazanin"/>
            <w:color w:val="111111"/>
            <w:sz w:val="22"/>
            <w:szCs w:val="22"/>
            <w:b w:val="0"/>
            <w:bCs w:val="0"/>
            <w:i w:val="0"/>
            <w:iCs w:val="0"/>
          </w:rPr>
          <w:t>6905- دیوان مظفر کاشانی أو شعره‏</w:t>
        </w:r>
        <w:r>
          <w:tab/>
        </w:r>
        <w:r>
          <w:fldChar w:fldCharType="begin"/>
        </w:r>
        <w:r>
          <w:instrText xml:space="preserve">PAGEREF 7822 \h</w:instrText>
        </w:r>
        <w:r>
          <w:fldChar w:fldCharType="end"/>
        </w:r>
      </w:hyperlink>
    </w:p>
    <w:p>
      <w:pPr>
        <w:tabs>
          <w:tab w:val="right" w:leader="dot" w:pos="9062"/>
        </w:tabs>
        <w:ind w:left="440"/>
      </w:pPr>
      <w:hyperlink w:anchor="_Toc7823" w:history="1">
        <w:r>
          <w:rPr>
            <w:rFonts w:ascii="IRNazanin" w:hAnsi="IRNazanin" w:eastAsia="IRNazanin" w:cs="IRNazanin"/>
            <w:color w:val="111111"/>
            <w:sz w:val="22"/>
            <w:szCs w:val="22"/>
            <w:b w:val="0"/>
            <w:bCs w:val="0"/>
            <w:i w:val="0"/>
            <w:iCs w:val="0"/>
          </w:rPr>
          <w:t>6906- دیوان مظفر کرمانی أو شعره‏</w:t>
        </w:r>
        <w:r>
          <w:tab/>
        </w:r>
        <w:r>
          <w:fldChar w:fldCharType="begin"/>
        </w:r>
        <w:r>
          <w:instrText xml:space="preserve">PAGEREF 7823 \h</w:instrText>
        </w:r>
        <w:r>
          <w:fldChar w:fldCharType="end"/>
        </w:r>
      </w:hyperlink>
    </w:p>
    <w:p>
      <w:pPr>
        <w:tabs>
          <w:tab w:val="right" w:leader="dot" w:pos="9062"/>
        </w:tabs>
        <w:ind w:left="440"/>
      </w:pPr>
      <w:hyperlink w:anchor="_Toc7824" w:history="1">
        <w:r>
          <w:rPr>
            <w:rFonts w:ascii="IRNazanin" w:hAnsi="IRNazanin" w:eastAsia="IRNazanin" w:cs="IRNazanin"/>
            <w:color w:val="111111"/>
            <w:sz w:val="22"/>
            <w:szCs w:val="22"/>
            <w:b w:val="0"/>
            <w:bCs w:val="0"/>
            <w:i w:val="0"/>
            <w:iCs w:val="0"/>
          </w:rPr>
          <w:t>دیوان مظفر کرمانی‏</w:t>
        </w:r>
        <w:r>
          <w:tab/>
        </w:r>
        <w:r>
          <w:fldChar w:fldCharType="begin"/>
        </w:r>
        <w:r>
          <w:instrText xml:space="preserve">PAGEREF 7824 \h</w:instrText>
        </w:r>
        <w:r>
          <w:fldChar w:fldCharType="end"/>
        </w:r>
      </w:hyperlink>
    </w:p>
    <w:p>
      <w:pPr>
        <w:tabs>
          <w:tab w:val="right" w:leader="dot" w:pos="9062"/>
        </w:tabs>
        <w:ind w:left="440"/>
      </w:pPr>
      <w:hyperlink w:anchor="_Toc7825" w:history="1">
        <w:r>
          <w:rPr>
            <w:rFonts w:ascii="IRNazanin" w:hAnsi="IRNazanin" w:eastAsia="IRNazanin" w:cs="IRNazanin"/>
            <w:color w:val="111111"/>
            <w:sz w:val="22"/>
            <w:szCs w:val="22"/>
            <w:b w:val="0"/>
            <w:bCs w:val="0"/>
            <w:i w:val="0"/>
            <w:iCs w:val="0"/>
          </w:rPr>
          <w:t>6907- دیوان مظفر کشمیری أو شعره‏</w:t>
        </w:r>
        <w:r>
          <w:tab/>
        </w:r>
        <w:r>
          <w:fldChar w:fldCharType="begin"/>
        </w:r>
        <w:r>
          <w:instrText xml:space="preserve">PAGEREF 7825 \h</w:instrText>
        </w:r>
        <w:r>
          <w:fldChar w:fldCharType="end"/>
        </w:r>
      </w:hyperlink>
    </w:p>
    <w:p>
      <w:pPr>
        <w:tabs>
          <w:tab w:val="right" w:leader="dot" w:pos="9062"/>
        </w:tabs>
        <w:ind w:left="440"/>
      </w:pPr>
      <w:hyperlink w:anchor="_Toc7826" w:history="1">
        <w:r>
          <w:rPr>
            <w:rFonts w:ascii="IRNazanin" w:hAnsi="IRNazanin" w:eastAsia="IRNazanin" w:cs="IRNazanin"/>
            <w:color w:val="111111"/>
            <w:sz w:val="22"/>
            <w:szCs w:val="22"/>
            <w:b w:val="0"/>
            <w:bCs w:val="0"/>
            <w:i w:val="0"/>
            <w:iCs w:val="0"/>
          </w:rPr>
          <w:t>6908- دیوان مظفر گنابادی أو شعره‏</w:t>
        </w:r>
        <w:r>
          <w:tab/>
        </w:r>
        <w:r>
          <w:fldChar w:fldCharType="begin"/>
        </w:r>
        <w:r>
          <w:instrText xml:space="preserve">PAGEREF 7826 \h</w:instrText>
        </w:r>
        <w:r>
          <w:fldChar w:fldCharType="end"/>
        </w:r>
      </w:hyperlink>
    </w:p>
    <w:p>
      <w:pPr>
        <w:tabs>
          <w:tab w:val="right" w:leader="dot" w:pos="9062"/>
        </w:tabs>
        <w:ind w:left="440"/>
      </w:pPr>
      <w:hyperlink w:anchor="_Toc7827" w:history="1">
        <w:r>
          <w:rPr>
            <w:rFonts w:ascii="IRNazanin" w:hAnsi="IRNazanin" w:eastAsia="IRNazanin" w:cs="IRNazanin"/>
            <w:color w:val="111111"/>
            <w:sz w:val="22"/>
            <w:szCs w:val="22"/>
            <w:b w:val="0"/>
            <w:bCs w:val="0"/>
            <w:i w:val="0"/>
            <w:iCs w:val="0"/>
          </w:rPr>
          <w:t>6909- دیوان مظفر معمار أو شعره‏</w:t>
        </w:r>
        <w:r>
          <w:tab/>
        </w:r>
        <w:r>
          <w:fldChar w:fldCharType="begin"/>
        </w:r>
        <w:r>
          <w:instrText xml:space="preserve">PAGEREF 7827 \h</w:instrText>
        </w:r>
        <w:r>
          <w:fldChar w:fldCharType="end"/>
        </w:r>
      </w:hyperlink>
    </w:p>
    <w:p>
      <w:pPr>
        <w:tabs>
          <w:tab w:val="right" w:leader="dot" w:pos="9062"/>
        </w:tabs>
        <w:ind w:left="440"/>
      </w:pPr>
      <w:hyperlink w:anchor="_Toc7828" w:history="1">
        <w:r>
          <w:rPr>
            <w:rFonts w:ascii="IRNazanin" w:hAnsi="IRNazanin" w:eastAsia="IRNazanin" w:cs="IRNazanin"/>
            <w:color w:val="111111"/>
            <w:sz w:val="22"/>
            <w:szCs w:val="22"/>
            <w:b w:val="0"/>
            <w:bCs w:val="0"/>
            <w:i w:val="0"/>
            <w:iCs w:val="0"/>
          </w:rPr>
          <w:t>6910- دیوان مظفر هروی الخافی‏</w:t>
        </w:r>
        <w:r>
          <w:tab/>
        </w:r>
        <w:r>
          <w:fldChar w:fldCharType="begin"/>
        </w:r>
        <w:r>
          <w:instrText xml:space="preserve">PAGEREF 7828 \h</w:instrText>
        </w:r>
        <w:r>
          <w:fldChar w:fldCharType="end"/>
        </w:r>
      </w:hyperlink>
    </w:p>
    <w:p>
      <w:pPr>
        <w:tabs>
          <w:tab w:val="right" w:leader="dot" w:pos="9062"/>
        </w:tabs>
        <w:ind w:left="440"/>
      </w:pPr>
      <w:hyperlink w:anchor="_Toc7829" w:history="1">
        <w:r>
          <w:rPr>
            <w:rFonts w:ascii="IRNazanin" w:hAnsi="IRNazanin" w:eastAsia="IRNazanin" w:cs="IRNazanin"/>
            <w:color w:val="111111"/>
            <w:sz w:val="22"/>
            <w:szCs w:val="22"/>
            <w:b w:val="0"/>
            <w:bCs w:val="0"/>
            <w:i w:val="0"/>
            <w:iCs w:val="0"/>
          </w:rPr>
          <w:t>6911- دیوان مظفر هندی أو شعره‏</w:t>
        </w:r>
        <w:r>
          <w:tab/>
        </w:r>
        <w:r>
          <w:fldChar w:fldCharType="begin"/>
        </w:r>
        <w:r>
          <w:instrText xml:space="preserve">PAGEREF 7829 \h</w:instrText>
        </w:r>
        <w:r>
          <w:fldChar w:fldCharType="end"/>
        </w:r>
      </w:hyperlink>
    </w:p>
    <w:p>
      <w:pPr>
        <w:tabs>
          <w:tab w:val="right" w:leader="dot" w:pos="9062"/>
        </w:tabs>
        <w:ind w:left="440"/>
      </w:pPr>
      <w:hyperlink w:anchor="_Toc7830" w:history="1">
        <w:r>
          <w:rPr>
            <w:rFonts w:ascii="IRNazanin" w:hAnsi="IRNazanin" w:eastAsia="IRNazanin" w:cs="IRNazanin"/>
            <w:color w:val="111111"/>
            <w:sz w:val="22"/>
            <w:szCs w:val="22"/>
            <w:b w:val="0"/>
            <w:bCs w:val="0"/>
            <w:i w:val="0"/>
            <w:iCs w:val="0"/>
          </w:rPr>
          <w:t>6912- دیوان مظفری پنجدهی أو شعره‏</w:t>
        </w:r>
        <w:r>
          <w:tab/>
        </w:r>
        <w:r>
          <w:fldChar w:fldCharType="begin"/>
        </w:r>
        <w:r>
          <w:instrText xml:space="preserve">PAGEREF 7830 \h</w:instrText>
        </w:r>
        <w:r>
          <w:fldChar w:fldCharType="end"/>
        </w:r>
      </w:hyperlink>
    </w:p>
    <w:p>
      <w:pPr>
        <w:tabs>
          <w:tab w:val="right" w:leader="dot" w:pos="9062"/>
        </w:tabs>
        <w:ind w:left="440"/>
      </w:pPr>
      <w:hyperlink w:anchor="_Toc7831" w:history="1">
        <w:r>
          <w:rPr>
            <w:rFonts w:ascii="IRNazanin" w:hAnsi="IRNazanin" w:eastAsia="IRNazanin" w:cs="IRNazanin"/>
            <w:color w:val="111111"/>
            <w:sz w:val="22"/>
            <w:szCs w:val="22"/>
            <w:b w:val="0"/>
            <w:bCs w:val="0"/>
            <w:i w:val="0"/>
            <w:iCs w:val="0"/>
          </w:rPr>
          <w:t>دیوان مظفری کشمیری‏</w:t>
        </w:r>
        <w:r>
          <w:tab/>
        </w:r>
        <w:r>
          <w:fldChar w:fldCharType="begin"/>
        </w:r>
        <w:r>
          <w:instrText xml:space="preserve">PAGEREF 7831 \h</w:instrText>
        </w:r>
        <w:r>
          <w:fldChar w:fldCharType="end"/>
        </w:r>
      </w:hyperlink>
    </w:p>
    <w:p>
      <w:pPr>
        <w:tabs>
          <w:tab w:val="right" w:leader="dot" w:pos="9062"/>
        </w:tabs>
        <w:ind w:left="440"/>
      </w:pPr>
      <w:hyperlink w:anchor="_Toc7832" w:history="1">
        <w:r>
          <w:rPr>
            <w:rFonts w:ascii="IRNazanin" w:hAnsi="IRNazanin" w:eastAsia="IRNazanin" w:cs="IRNazanin"/>
            <w:color w:val="111111"/>
            <w:sz w:val="22"/>
            <w:szCs w:val="22"/>
            <w:b w:val="0"/>
            <w:bCs w:val="0"/>
            <w:i w:val="0"/>
            <w:iCs w:val="0"/>
          </w:rPr>
          <w:t>6913- دیوان مظفری أو شعره‏</w:t>
        </w:r>
        <w:r>
          <w:tab/>
        </w:r>
        <w:r>
          <w:fldChar w:fldCharType="begin"/>
        </w:r>
        <w:r>
          <w:instrText xml:space="preserve">PAGEREF 7832 \h</w:instrText>
        </w:r>
        <w:r>
          <w:fldChar w:fldCharType="end"/>
        </w:r>
      </w:hyperlink>
    </w:p>
    <w:p>
      <w:pPr>
        <w:tabs>
          <w:tab w:val="right" w:leader="dot" w:pos="9062"/>
        </w:tabs>
        <w:ind w:left="440"/>
      </w:pPr>
      <w:hyperlink w:anchor="_Toc7833" w:history="1">
        <w:r>
          <w:rPr>
            <w:rFonts w:ascii="IRNazanin" w:hAnsi="IRNazanin" w:eastAsia="IRNazanin" w:cs="IRNazanin"/>
            <w:color w:val="111111"/>
            <w:sz w:val="22"/>
            <w:szCs w:val="22"/>
            <w:b w:val="0"/>
            <w:bCs w:val="0"/>
            <w:i w:val="0"/>
            <w:iCs w:val="0"/>
          </w:rPr>
          <w:t>6914- دیوان مظلوم أصفهانی أو شعره‏</w:t>
        </w:r>
        <w:r>
          <w:tab/>
        </w:r>
        <w:r>
          <w:fldChar w:fldCharType="begin"/>
        </w:r>
        <w:r>
          <w:instrText xml:space="preserve">PAGEREF 7833 \h</w:instrText>
        </w:r>
        <w:r>
          <w:fldChar w:fldCharType="end"/>
        </w:r>
      </w:hyperlink>
    </w:p>
    <w:p>
      <w:pPr>
        <w:tabs>
          <w:tab w:val="right" w:leader="dot" w:pos="9062"/>
        </w:tabs>
        <w:ind w:left="440"/>
      </w:pPr>
      <w:hyperlink w:anchor="_Toc7834" w:history="1">
        <w:r>
          <w:rPr>
            <w:rFonts w:ascii="IRNazanin" w:hAnsi="IRNazanin" w:eastAsia="IRNazanin" w:cs="IRNazanin"/>
            <w:color w:val="111111"/>
            <w:sz w:val="22"/>
            <w:szCs w:val="22"/>
            <w:b w:val="0"/>
            <w:bCs w:val="0"/>
            <w:i w:val="0"/>
            <w:iCs w:val="0"/>
          </w:rPr>
          <w:t>6915- دیوان مظلوم خنجی‏</w:t>
        </w:r>
        <w:r>
          <w:tab/>
        </w:r>
        <w:r>
          <w:fldChar w:fldCharType="begin"/>
        </w:r>
        <w:r>
          <w:instrText xml:space="preserve">PAGEREF 7834 \h</w:instrText>
        </w:r>
        <w:r>
          <w:fldChar w:fldCharType="end"/>
        </w:r>
      </w:hyperlink>
    </w:p>
    <w:p>
      <w:pPr>
        <w:tabs>
          <w:tab w:val="right" w:leader="dot" w:pos="9062"/>
        </w:tabs>
        <w:ind w:left="440"/>
      </w:pPr>
      <w:hyperlink w:anchor="_Toc7835" w:history="1">
        <w:r>
          <w:rPr>
            <w:rFonts w:ascii="IRNazanin" w:hAnsi="IRNazanin" w:eastAsia="IRNazanin" w:cs="IRNazanin"/>
            <w:color w:val="111111"/>
            <w:sz w:val="22"/>
            <w:szCs w:val="22"/>
            <w:b w:val="0"/>
            <w:bCs w:val="0"/>
            <w:i w:val="0"/>
            <w:iCs w:val="0"/>
          </w:rPr>
          <w:t>6916- دیوان مظهر أو شعره‏</w:t>
        </w:r>
        <w:r>
          <w:tab/>
        </w:r>
        <w:r>
          <w:fldChar w:fldCharType="begin"/>
        </w:r>
        <w:r>
          <w:instrText xml:space="preserve">PAGEREF 7835 \h</w:instrText>
        </w:r>
        <w:r>
          <w:fldChar w:fldCharType="end"/>
        </w:r>
      </w:hyperlink>
    </w:p>
    <w:p>
      <w:pPr>
        <w:tabs>
          <w:tab w:val="right" w:leader="dot" w:pos="9062"/>
        </w:tabs>
        <w:ind w:left="440"/>
      </w:pPr>
      <w:hyperlink w:anchor="_Toc7836" w:history="1">
        <w:r>
          <w:rPr>
            <w:rFonts w:ascii="IRNazanin" w:hAnsi="IRNazanin" w:eastAsia="IRNazanin" w:cs="IRNazanin"/>
            <w:color w:val="111111"/>
            <w:sz w:val="22"/>
            <w:szCs w:val="22"/>
            <w:b w:val="0"/>
            <w:bCs w:val="0"/>
            <w:i w:val="0"/>
            <w:iCs w:val="0"/>
          </w:rPr>
          <w:t>6917- دیوان مظهر أردستانی أو شعره‏</w:t>
        </w:r>
        <w:r>
          <w:tab/>
        </w:r>
        <w:r>
          <w:fldChar w:fldCharType="begin"/>
        </w:r>
        <w:r>
          <w:instrText xml:space="preserve">PAGEREF 7836 \h</w:instrText>
        </w:r>
        <w:r>
          <w:fldChar w:fldCharType="end"/>
        </w:r>
      </w:hyperlink>
    </w:p>
    <w:p>
      <w:pPr>
        <w:tabs>
          <w:tab w:val="right" w:leader="dot" w:pos="9062"/>
        </w:tabs>
        <w:ind w:left="440"/>
      </w:pPr>
      <w:hyperlink w:anchor="_Toc7837" w:history="1">
        <w:r>
          <w:rPr>
            <w:rFonts w:ascii="IRNazanin" w:hAnsi="IRNazanin" w:eastAsia="IRNazanin" w:cs="IRNazanin"/>
            <w:color w:val="111111"/>
            <w:sz w:val="22"/>
            <w:szCs w:val="22"/>
            <w:b w:val="0"/>
            <w:bCs w:val="0"/>
            <w:i w:val="0"/>
            <w:iCs w:val="0"/>
          </w:rPr>
          <w:t>6918- دیوان مظهر أسترآبادی أو شعره‏</w:t>
        </w:r>
        <w:r>
          <w:tab/>
        </w:r>
        <w:r>
          <w:fldChar w:fldCharType="begin"/>
        </w:r>
        <w:r>
          <w:instrText xml:space="preserve">PAGEREF 7837 \h</w:instrText>
        </w:r>
        <w:r>
          <w:fldChar w:fldCharType="end"/>
        </w:r>
      </w:hyperlink>
    </w:p>
    <w:p>
      <w:pPr>
        <w:tabs>
          <w:tab w:val="right" w:leader="dot" w:pos="9062"/>
        </w:tabs>
        <w:ind w:left="440"/>
      </w:pPr>
      <w:hyperlink w:anchor="_Toc7838" w:history="1">
        <w:r>
          <w:rPr>
            <w:rFonts w:ascii="IRNazanin" w:hAnsi="IRNazanin" w:eastAsia="IRNazanin" w:cs="IRNazanin"/>
            <w:color w:val="111111"/>
            <w:sz w:val="22"/>
            <w:szCs w:val="22"/>
            <w:b w:val="0"/>
            <w:bCs w:val="0"/>
            <w:i w:val="0"/>
            <w:iCs w:val="0"/>
          </w:rPr>
          <w:t>6919- دیوان مظهر أصفهانی أو شعره‏</w:t>
        </w:r>
        <w:r>
          <w:tab/>
        </w:r>
        <w:r>
          <w:fldChar w:fldCharType="begin"/>
        </w:r>
        <w:r>
          <w:instrText xml:space="preserve">PAGEREF 7838 \h</w:instrText>
        </w:r>
        <w:r>
          <w:fldChar w:fldCharType="end"/>
        </w:r>
      </w:hyperlink>
    </w:p>
    <w:p>
      <w:pPr>
        <w:tabs>
          <w:tab w:val="right" w:leader="dot" w:pos="9062"/>
        </w:tabs>
        <w:ind w:left="440"/>
      </w:pPr>
      <w:hyperlink w:anchor="_Toc7839" w:history="1">
        <w:r>
          <w:rPr>
            <w:rFonts w:ascii="IRNazanin" w:hAnsi="IRNazanin" w:eastAsia="IRNazanin" w:cs="IRNazanin"/>
            <w:color w:val="111111"/>
            <w:sz w:val="22"/>
            <w:szCs w:val="22"/>
            <w:b w:val="0"/>
            <w:bCs w:val="0"/>
            <w:i w:val="0"/>
            <w:iCs w:val="0"/>
          </w:rPr>
          <w:t>دیوان مظهر تبریزی‏</w:t>
        </w:r>
        <w:r>
          <w:tab/>
        </w:r>
        <w:r>
          <w:fldChar w:fldCharType="begin"/>
        </w:r>
        <w:r>
          <w:instrText xml:space="preserve">PAGEREF 7839 \h</w:instrText>
        </w:r>
        <w:r>
          <w:fldChar w:fldCharType="end"/>
        </w:r>
      </w:hyperlink>
    </w:p>
    <w:p>
      <w:pPr>
        <w:tabs>
          <w:tab w:val="right" w:leader="dot" w:pos="9062"/>
        </w:tabs>
        <w:ind w:left="440"/>
      </w:pPr>
      <w:hyperlink w:anchor="_Toc7840" w:history="1">
        <w:r>
          <w:rPr>
            <w:rFonts w:ascii="IRNazanin" w:hAnsi="IRNazanin" w:eastAsia="IRNazanin" w:cs="IRNazanin"/>
            <w:color w:val="111111"/>
            <w:sz w:val="22"/>
            <w:szCs w:val="22"/>
            <w:b w:val="0"/>
            <w:bCs w:val="0"/>
            <w:i w:val="0"/>
            <w:iCs w:val="0"/>
          </w:rPr>
          <w:t>دیوان مظهر تونی‏</w:t>
        </w:r>
        <w:r>
          <w:tab/>
        </w:r>
        <w:r>
          <w:fldChar w:fldCharType="begin"/>
        </w:r>
        <w:r>
          <w:instrText xml:space="preserve">PAGEREF 7840 \h</w:instrText>
        </w:r>
        <w:r>
          <w:fldChar w:fldCharType="end"/>
        </w:r>
      </w:hyperlink>
    </w:p>
    <w:p>
      <w:pPr>
        <w:tabs>
          <w:tab w:val="right" w:leader="dot" w:pos="9062"/>
        </w:tabs>
        <w:ind w:left="440"/>
      </w:pPr>
      <w:hyperlink w:anchor="_Toc7841" w:history="1">
        <w:r>
          <w:rPr>
            <w:rFonts w:ascii="IRNazanin" w:hAnsi="IRNazanin" w:eastAsia="IRNazanin" w:cs="IRNazanin"/>
            <w:color w:val="111111"/>
            <w:sz w:val="22"/>
            <w:szCs w:val="22"/>
            <w:b w:val="0"/>
            <w:bCs w:val="0"/>
            <w:i w:val="0"/>
            <w:iCs w:val="0"/>
          </w:rPr>
          <w:t>دیوان مظهر جان جانان‏</w:t>
        </w:r>
        <w:r>
          <w:tab/>
        </w:r>
        <w:r>
          <w:fldChar w:fldCharType="begin"/>
        </w:r>
        <w:r>
          <w:instrText xml:space="preserve">PAGEREF 7841 \h</w:instrText>
        </w:r>
        <w:r>
          <w:fldChar w:fldCharType="end"/>
        </w:r>
      </w:hyperlink>
    </w:p>
    <w:p>
      <w:pPr>
        <w:tabs>
          <w:tab w:val="right" w:leader="dot" w:pos="9062"/>
        </w:tabs>
        <w:ind w:left="440"/>
      </w:pPr>
      <w:hyperlink w:anchor="_Toc7842" w:history="1">
        <w:r>
          <w:rPr>
            <w:rFonts w:ascii="IRNazanin" w:hAnsi="IRNazanin" w:eastAsia="IRNazanin" w:cs="IRNazanin"/>
            <w:color w:val="111111"/>
            <w:sz w:val="22"/>
            <w:szCs w:val="22"/>
            <w:b w:val="0"/>
            <w:bCs w:val="0"/>
            <w:i w:val="0"/>
            <w:iCs w:val="0"/>
          </w:rPr>
          <w:t>6920- دیوان مظهر حسین‏</w:t>
        </w:r>
        <w:r>
          <w:tab/>
        </w:r>
        <w:r>
          <w:fldChar w:fldCharType="begin"/>
        </w:r>
        <w:r>
          <w:instrText xml:space="preserve">PAGEREF 7842 \h</w:instrText>
        </w:r>
        <w:r>
          <w:fldChar w:fldCharType="end"/>
        </w:r>
      </w:hyperlink>
    </w:p>
    <w:p>
      <w:pPr>
        <w:tabs>
          <w:tab w:val="right" w:leader="dot" w:pos="9062"/>
        </w:tabs>
        <w:ind w:left="440"/>
      </w:pPr>
      <w:hyperlink w:anchor="_Toc7843" w:history="1">
        <w:r>
          <w:rPr>
            <w:rFonts w:ascii="IRNazanin" w:hAnsi="IRNazanin" w:eastAsia="IRNazanin" w:cs="IRNazanin"/>
            <w:color w:val="111111"/>
            <w:sz w:val="22"/>
            <w:szCs w:val="22"/>
            <w:b w:val="0"/>
            <w:bCs w:val="0"/>
            <w:i w:val="0"/>
            <w:iCs w:val="0"/>
          </w:rPr>
          <w:t>6921- دیوان مظهر خوئی‏</w:t>
        </w:r>
        <w:r>
          <w:tab/>
        </w:r>
        <w:r>
          <w:fldChar w:fldCharType="begin"/>
        </w:r>
        <w:r>
          <w:instrText xml:space="preserve">PAGEREF 7843 \h</w:instrText>
        </w:r>
        <w:r>
          <w:fldChar w:fldCharType="end"/>
        </w:r>
      </w:hyperlink>
    </w:p>
    <w:p>
      <w:pPr>
        <w:tabs>
          <w:tab w:val="right" w:leader="dot" w:pos="9062"/>
        </w:tabs>
        <w:ind w:left="440"/>
      </w:pPr>
      <w:hyperlink w:anchor="_Toc7844" w:history="1">
        <w:r>
          <w:rPr>
            <w:rFonts w:ascii="IRNazanin" w:hAnsi="IRNazanin" w:eastAsia="IRNazanin" w:cs="IRNazanin"/>
            <w:color w:val="111111"/>
            <w:sz w:val="22"/>
            <w:szCs w:val="22"/>
            <w:b w:val="0"/>
            <w:bCs w:val="0"/>
            <w:i w:val="0"/>
            <w:iCs w:val="0"/>
          </w:rPr>
          <w:t>6922- دیوان مظهر دهلوی‏</w:t>
        </w:r>
        <w:r>
          <w:tab/>
        </w:r>
        <w:r>
          <w:fldChar w:fldCharType="begin"/>
        </w:r>
        <w:r>
          <w:instrText xml:space="preserve">PAGEREF 7844 \h</w:instrText>
        </w:r>
        <w:r>
          <w:fldChar w:fldCharType="end"/>
        </w:r>
      </w:hyperlink>
    </w:p>
    <w:p>
      <w:pPr>
        <w:tabs>
          <w:tab w:val="right" w:leader="dot" w:pos="9062"/>
        </w:tabs>
        <w:ind w:left="440"/>
      </w:pPr>
      <w:hyperlink w:anchor="_Toc7845" w:history="1">
        <w:r>
          <w:rPr>
            <w:rFonts w:ascii="IRNazanin" w:hAnsi="IRNazanin" w:eastAsia="IRNazanin" w:cs="IRNazanin"/>
            <w:color w:val="111111"/>
            <w:sz w:val="22"/>
            <w:szCs w:val="22"/>
            <w:b w:val="0"/>
            <w:bCs w:val="0"/>
            <w:i w:val="0"/>
            <w:iCs w:val="0"/>
          </w:rPr>
          <w:t>6923- دیوان مظهر دهلوی أو شعره‏</w:t>
        </w:r>
        <w:r>
          <w:tab/>
        </w:r>
        <w:r>
          <w:fldChar w:fldCharType="begin"/>
        </w:r>
        <w:r>
          <w:instrText xml:space="preserve">PAGEREF 7845 \h</w:instrText>
        </w:r>
        <w:r>
          <w:fldChar w:fldCharType="end"/>
        </w:r>
      </w:hyperlink>
    </w:p>
    <w:p>
      <w:pPr>
        <w:tabs>
          <w:tab w:val="right" w:leader="dot" w:pos="9062"/>
        </w:tabs>
        <w:ind w:left="440"/>
      </w:pPr>
      <w:hyperlink w:anchor="_Toc7846" w:history="1">
        <w:r>
          <w:rPr>
            <w:rFonts w:ascii="IRNazanin" w:hAnsi="IRNazanin" w:eastAsia="IRNazanin" w:cs="IRNazanin"/>
            <w:color w:val="111111"/>
            <w:sz w:val="22"/>
            <w:szCs w:val="22"/>
            <w:b w:val="0"/>
            <w:bCs w:val="0"/>
            <w:i w:val="0"/>
            <w:iCs w:val="0"/>
          </w:rPr>
          <w:t>6924- دیوان مظهر علی شاه‏</w:t>
        </w:r>
        <w:r>
          <w:tab/>
        </w:r>
        <w:r>
          <w:fldChar w:fldCharType="begin"/>
        </w:r>
        <w:r>
          <w:instrText xml:space="preserve">PAGEREF 7846 \h</w:instrText>
        </w:r>
        <w:r>
          <w:fldChar w:fldCharType="end"/>
        </w:r>
      </w:hyperlink>
    </w:p>
    <w:p>
      <w:pPr>
        <w:tabs>
          <w:tab w:val="right" w:leader="dot" w:pos="9062"/>
        </w:tabs>
        <w:ind w:left="440"/>
      </w:pPr>
      <w:hyperlink w:anchor="_Toc7847" w:history="1">
        <w:r>
          <w:rPr>
            <w:rFonts w:ascii="IRNazanin" w:hAnsi="IRNazanin" w:eastAsia="IRNazanin" w:cs="IRNazanin"/>
            <w:color w:val="111111"/>
            <w:sz w:val="22"/>
            <w:szCs w:val="22"/>
            <w:b w:val="0"/>
            <w:bCs w:val="0"/>
            <w:i w:val="0"/>
            <w:iCs w:val="0"/>
          </w:rPr>
          <w:t>6925- دیوان مظهر فوشنجی أو شعره‏</w:t>
        </w:r>
        <w:r>
          <w:tab/>
        </w:r>
        <w:r>
          <w:fldChar w:fldCharType="begin"/>
        </w:r>
        <w:r>
          <w:instrText xml:space="preserve">PAGEREF 7847 \h</w:instrText>
        </w:r>
        <w:r>
          <w:fldChar w:fldCharType="end"/>
        </w:r>
      </w:hyperlink>
    </w:p>
    <w:p>
      <w:pPr>
        <w:tabs>
          <w:tab w:val="right" w:leader="dot" w:pos="9062"/>
        </w:tabs>
        <w:ind w:left="440"/>
      </w:pPr>
      <w:hyperlink w:anchor="_Toc7848" w:history="1">
        <w:r>
          <w:rPr>
            <w:rFonts w:ascii="IRNazanin" w:hAnsi="IRNazanin" w:eastAsia="IRNazanin" w:cs="IRNazanin"/>
            <w:color w:val="111111"/>
            <w:sz w:val="22"/>
            <w:szCs w:val="22"/>
            <w:b w:val="0"/>
            <w:bCs w:val="0"/>
            <w:i w:val="0"/>
            <w:iCs w:val="0"/>
          </w:rPr>
          <w:t>6926- دیوان مظهر قاجار أو شعره‏</w:t>
        </w:r>
        <w:r>
          <w:tab/>
        </w:r>
        <w:r>
          <w:fldChar w:fldCharType="begin"/>
        </w:r>
        <w:r>
          <w:instrText xml:space="preserve">PAGEREF 7848 \h</w:instrText>
        </w:r>
        <w:r>
          <w:fldChar w:fldCharType="end"/>
        </w:r>
      </w:hyperlink>
    </w:p>
    <w:p>
      <w:pPr>
        <w:tabs>
          <w:tab w:val="right" w:leader="dot" w:pos="9062"/>
        </w:tabs>
        <w:ind w:left="440"/>
      </w:pPr>
      <w:hyperlink w:anchor="_Toc7849" w:history="1">
        <w:r>
          <w:rPr>
            <w:rFonts w:ascii="IRNazanin" w:hAnsi="IRNazanin" w:eastAsia="IRNazanin" w:cs="IRNazanin"/>
            <w:color w:val="111111"/>
            <w:sz w:val="22"/>
            <w:szCs w:val="22"/>
            <w:b w:val="0"/>
            <w:bCs w:val="0"/>
            <w:i w:val="0"/>
            <w:iCs w:val="0"/>
          </w:rPr>
          <w:t>دیوان مظهر کره‏ای‏</w:t>
        </w:r>
        <w:r>
          <w:tab/>
        </w:r>
        <w:r>
          <w:fldChar w:fldCharType="begin"/>
        </w:r>
        <w:r>
          <w:instrText xml:space="preserve">PAGEREF 7849 \h</w:instrText>
        </w:r>
        <w:r>
          <w:fldChar w:fldCharType="end"/>
        </w:r>
      </w:hyperlink>
    </w:p>
    <w:p>
      <w:pPr>
        <w:tabs>
          <w:tab w:val="right" w:leader="dot" w:pos="9062"/>
        </w:tabs>
        <w:ind w:left="440"/>
      </w:pPr>
      <w:hyperlink w:anchor="_Toc7850" w:history="1">
        <w:r>
          <w:rPr>
            <w:rFonts w:ascii="IRNazanin" w:hAnsi="IRNazanin" w:eastAsia="IRNazanin" w:cs="IRNazanin"/>
            <w:color w:val="111111"/>
            <w:sz w:val="22"/>
            <w:szCs w:val="22"/>
            <w:b w:val="0"/>
            <w:bCs w:val="0"/>
            <w:i w:val="0"/>
            <w:iCs w:val="0"/>
          </w:rPr>
          <w:t>6927- دیوان مظهر گجراتی‏</w:t>
        </w:r>
        <w:r>
          <w:tab/>
        </w:r>
        <w:r>
          <w:fldChar w:fldCharType="begin"/>
        </w:r>
        <w:r>
          <w:instrText xml:space="preserve">PAGEREF 7850 \h</w:instrText>
        </w:r>
        <w:r>
          <w:fldChar w:fldCharType="end"/>
        </w:r>
      </w:hyperlink>
    </w:p>
    <w:p>
      <w:pPr>
        <w:tabs>
          <w:tab w:val="right" w:leader="dot" w:pos="9062"/>
        </w:tabs>
        <w:ind w:left="440"/>
      </w:pPr>
      <w:hyperlink w:anchor="_Toc7851" w:history="1">
        <w:r>
          <w:rPr>
            <w:rFonts w:ascii="IRNazanin" w:hAnsi="IRNazanin" w:eastAsia="IRNazanin" w:cs="IRNazanin"/>
            <w:color w:val="111111"/>
            <w:sz w:val="22"/>
            <w:szCs w:val="22"/>
            <w:b w:val="0"/>
            <w:bCs w:val="0"/>
            <w:i w:val="0"/>
            <w:iCs w:val="0"/>
          </w:rPr>
          <w:t>6928- دیوان مظهر هندی‏</w:t>
        </w:r>
        <w:r>
          <w:tab/>
        </w:r>
        <w:r>
          <w:fldChar w:fldCharType="begin"/>
        </w:r>
        <w:r>
          <w:instrText xml:space="preserve">PAGEREF 7851 \h</w:instrText>
        </w:r>
        <w:r>
          <w:fldChar w:fldCharType="end"/>
        </w:r>
      </w:hyperlink>
    </w:p>
    <w:p>
      <w:pPr>
        <w:tabs>
          <w:tab w:val="right" w:leader="dot" w:pos="9062"/>
        </w:tabs>
        <w:ind w:left="440"/>
      </w:pPr>
      <w:hyperlink w:anchor="_Toc7852" w:history="1">
        <w:r>
          <w:rPr>
            <w:rFonts w:ascii="IRNazanin" w:hAnsi="IRNazanin" w:eastAsia="IRNazanin" w:cs="IRNazanin"/>
            <w:color w:val="111111"/>
            <w:sz w:val="22"/>
            <w:szCs w:val="22"/>
            <w:b w:val="0"/>
            <w:bCs w:val="0"/>
            <w:i w:val="0"/>
            <w:iCs w:val="0"/>
          </w:rPr>
          <w:t>6929- دیوان مظهری کشمیری‏</w:t>
        </w:r>
        <w:r>
          <w:tab/>
        </w:r>
        <w:r>
          <w:fldChar w:fldCharType="begin"/>
        </w:r>
        <w:r>
          <w:instrText xml:space="preserve">PAGEREF 7852 \h</w:instrText>
        </w:r>
        <w:r>
          <w:fldChar w:fldCharType="end"/>
        </w:r>
      </w:hyperlink>
    </w:p>
    <w:p>
      <w:pPr>
        <w:tabs>
          <w:tab w:val="right" w:leader="dot" w:pos="9062"/>
        </w:tabs>
        <w:ind w:left="440"/>
      </w:pPr>
      <w:hyperlink w:anchor="_Toc7853" w:history="1">
        <w:r>
          <w:rPr>
            <w:rFonts w:ascii="IRNazanin" w:hAnsi="IRNazanin" w:eastAsia="IRNazanin" w:cs="IRNazanin"/>
            <w:color w:val="111111"/>
            <w:sz w:val="22"/>
            <w:szCs w:val="22"/>
            <w:b w:val="0"/>
            <w:bCs w:val="0"/>
            <w:i w:val="0"/>
            <w:iCs w:val="0"/>
          </w:rPr>
          <w:t>6930- دیوان مظهری‏</w:t>
        </w:r>
        <w:r>
          <w:tab/>
        </w:r>
        <w:r>
          <w:fldChar w:fldCharType="begin"/>
        </w:r>
        <w:r>
          <w:instrText xml:space="preserve">PAGEREF 7853 \h</w:instrText>
        </w:r>
        <w:r>
          <w:fldChar w:fldCharType="end"/>
        </w:r>
      </w:hyperlink>
    </w:p>
    <w:p>
      <w:pPr>
        <w:tabs>
          <w:tab w:val="right" w:leader="dot" w:pos="9062"/>
        </w:tabs>
        <w:ind w:left="440"/>
      </w:pPr>
      <w:hyperlink w:anchor="_Toc7854" w:history="1">
        <w:r>
          <w:rPr>
            <w:rFonts w:ascii="IRNazanin" w:hAnsi="IRNazanin" w:eastAsia="IRNazanin" w:cs="IRNazanin"/>
            <w:color w:val="111111"/>
            <w:sz w:val="22"/>
            <w:szCs w:val="22"/>
            <w:b w:val="0"/>
            <w:bCs w:val="0"/>
            <w:i w:val="0"/>
            <w:iCs w:val="0"/>
          </w:rPr>
          <w:t>6931- دیوان معاذی تبریزی‏</w:t>
        </w:r>
        <w:r>
          <w:tab/>
        </w:r>
        <w:r>
          <w:fldChar w:fldCharType="begin"/>
        </w:r>
        <w:r>
          <w:instrText xml:space="preserve">PAGEREF 7854 \h</w:instrText>
        </w:r>
        <w:r>
          <w:fldChar w:fldCharType="end"/>
        </w:r>
      </w:hyperlink>
    </w:p>
    <w:p>
      <w:pPr>
        <w:tabs>
          <w:tab w:val="right" w:leader="dot" w:pos="9062"/>
        </w:tabs>
        <w:ind w:left="440"/>
      </w:pPr>
      <w:hyperlink w:anchor="_Toc7855" w:history="1">
        <w:r>
          <w:rPr>
            <w:rFonts w:ascii="IRNazanin" w:hAnsi="IRNazanin" w:eastAsia="IRNazanin" w:cs="IRNazanin"/>
            <w:color w:val="111111"/>
            <w:sz w:val="22"/>
            <w:szCs w:val="22"/>
            <w:b w:val="0"/>
            <w:bCs w:val="0"/>
            <w:i w:val="0"/>
            <w:iCs w:val="0"/>
          </w:rPr>
          <w:t>دیوان معانی فسائی‏</w:t>
        </w:r>
        <w:r>
          <w:tab/>
        </w:r>
        <w:r>
          <w:fldChar w:fldCharType="begin"/>
        </w:r>
        <w:r>
          <w:instrText xml:space="preserve">PAGEREF 7855 \h</w:instrText>
        </w:r>
        <w:r>
          <w:fldChar w:fldCharType="end"/>
        </w:r>
      </w:hyperlink>
    </w:p>
    <w:p>
      <w:pPr>
        <w:tabs>
          <w:tab w:val="right" w:leader="dot" w:pos="9062"/>
        </w:tabs>
        <w:ind w:left="440"/>
      </w:pPr>
      <w:hyperlink w:anchor="_Toc7856" w:history="1">
        <w:r>
          <w:rPr>
            <w:rFonts w:ascii="IRNazanin" w:hAnsi="IRNazanin" w:eastAsia="IRNazanin" w:cs="IRNazanin"/>
            <w:color w:val="111111"/>
            <w:sz w:val="22"/>
            <w:szCs w:val="22"/>
            <w:b w:val="0"/>
            <w:bCs w:val="0"/>
            <w:i w:val="0"/>
            <w:iCs w:val="0"/>
          </w:rPr>
          <w:t>6932- دیوان معانی یزدی أو شعره‏</w:t>
        </w:r>
        <w:r>
          <w:tab/>
        </w:r>
        <w:r>
          <w:fldChar w:fldCharType="begin"/>
        </w:r>
        <w:r>
          <w:instrText xml:space="preserve">PAGEREF 7856 \h</w:instrText>
        </w:r>
        <w:r>
          <w:fldChar w:fldCharType="end"/>
        </w:r>
      </w:hyperlink>
    </w:p>
    <w:p>
      <w:pPr>
        <w:tabs>
          <w:tab w:val="right" w:leader="dot" w:pos="9062"/>
        </w:tabs>
        <w:ind w:left="440"/>
      </w:pPr>
      <w:hyperlink w:anchor="_Toc7857" w:history="1">
        <w:r>
          <w:rPr>
            <w:rFonts w:ascii="IRNazanin" w:hAnsi="IRNazanin" w:eastAsia="IRNazanin" w:cs="IRNazanin"/>
            <w:color w:val="111111"/>
            <w:sz w:val="22"/>
            <w:szCs w:val="22"/>
            <w:b w:val="0"/>
            <w:bCs w:val="0"/>
            <w:i w:val="0"/>
            <w:iCs w:val="0"/>
          </w:rPr>
          <w:t>6933- دیوان معتقد ری‏شهری‏</w:t>
        </w:r>
        <w:r>
          <w:tab/>
        </w:r>
        <w:r>
          <w:fldChar w:fldCharType="begin"/>
        </w:r>
        <w:r>
          <w:instrText xml:space="preserve">PAGEREF 7857 \h</w:instrText>
        </w:r>
        <w:r>
          <w:fldChar w:fldCharType="end"/>
        </w:r>
      </w:hyperlink>
    </w:p>
    <w:p>
      <w:pPr>
        <w:tabs>
          <w:tab w:val="right" w:leader="dot" w:pos="9062"/>
        </w:tabs>
        <w:ind w:left="440"/>
      </w:pPr>
      <w:hyperlink w:anchor="_Toc7858" w:history="1">
        <w:r>
          <w:rPr>
            <w:rFonts w:ascii="IRNazanin" w:hAnsi="IRNazanin" w:eastAsia="IRNazanin" w:cs="IRNazanin"/>
            <w:color w:val="111111"/>
            <w:sz w:val="22"/>
            <w:szCs w:val="22"/>
            <w:b w:val="0"/>
            <w:bCs w:val="0"/>
            <w:i w:val="0"/>
            <w:iCs w:val="0"/>
          </w:rPr>
          <w:t>دیوان معتمد الدولة</w:t>
        </w:r>
        <w:r>
          <w:tab/>
        </w:r>
        <w:r>
          <w:fldChar w:fldCharType="begin"/>
        </w:r>
        <w:r>
          <w:instrText xml:space="preserve">PAGEREF 7858 \h</w:instrText>
        </w:r>
        <w:r>
          <w:fldChar w:fldCharType="end"/>
        </w:r>
      </w:hyperlink>
    </w:p>
    <w:p>
      <w:pPr>
        <w:tabs>
          <w:tab w:val="right" w:leader="dot" w:pos="9062"/>
        </w:tabs>
        <w:ind w:left="440"/>
      </w:pPr>
      <w:hyperlink w:anchor="_Toc7859" w:history="1">
        <w:r>
          <w:rPr>
            <w:rFonts w:ascii="IRNazanin" w:hAnsi="IRNazanin" w:eastAsia="IRNazanin" w:cs="IRNazanin"/>
            <w:color w:val="111111"/>
            <w:sz w:val="22"/>
            <w:szCs w:val="22"/>
            <w:b w:val="0"/>
            <w:bCs w:val="0"/>
            <w:i w:val="0"/>
            <w:iCs w:val="0"/>
          </w:rPr>
          <w:t>6934- دیوان معجری أو شعره‏</w:t>
        </w:r>
        <w:r>
          <w:tab/>
        </w:r>
        <w:r>
          <w:fldChar w:fldCharType="begin"/>
        </w:r>
        <w:r>
          <w:instrText xml:space="preserve">PAGEREF 7859 \h</w:instrText>
        </w:r>
        <w:r>
          <w:fldChar w:fldCharType="end"/>
        </w:r>
      </w:hyperlink>
    </w:p>
    <w:p>
      <w:pPr>
        <w:tabs>
          <w:tab w:val="right" w:leader="dot" w:pos="9062"/>
        </w:tabs>
        <w:ind w:left="440"/>
      </w:pPr>
      <w:hyperlink w:anchor="_Toc7860" w:history="1">
        <w:r>
          <w:rPr>
            <w:rFonts w:ascii="IRNazanin" w:hAnsi="IRNazanin" w:eastAsia="IRNazanin" w:cs="IRNazanin"/>
            <w:color w:val="111111"/>
            <w:sz w:val="22"/>
            <w:szCs w:val="22"/>
            <w:b w:val="0"/>
            <w:bCs w:val="0"/>
            <w:i w:val="0"/>
            <w:iCs w:val="0"/>
          </w:rPr>
          <w:t>6935- دیوان معجز کابلی أو شعره‏</w:t>
        </w:r>
        <w:r>
          <w:tab/>
        </w:r>
        <w:r>
          <w:fldChar w:fldCharType="begin"/>
        </w:r>
        <w:r>
          <w:instrText xml:space="preserve">PAGEREF 7860 \h</w:instrText>
        </w:r>
        <w:r>
          <w:fldChar w:fldCharType="end"/>
        </w:r>
      </w:hyperlink>
    </w:p>
    <w:p>
      <w:pPr>
        <w:tabs>
          <w:tab w:val="right" w:leader="dot" w:pos="9062"/>
        </w:tabs>
        <w:ind w:left="440"/>
      </w:pPr>
      <w:hyperlink w:anchor="_Toc7861" w:history="1">
        <w:r>
          <w:rPr>
            <w:rFonts w:ascii="IRNazanin" w:hAnsi="IRNazanin" w:eastAsia="IRNazanin" w:cs="IRNazanin"/>
            <w:color w:val="111111"/>
            <w:sz w:val="22"/>
            <w:szCs w:val="22"/>
            <w:b w:val="0"/>
            <w:bCs w:val="0"/>
            <w:i w:val="0"/>
            <w:iCs w:val="0"/>
          </w:rPr>
          <w:t>6936- دیوان معجز مدراسی أو شعره‏</w:t>
        </w:r>
        <w:r>
          <w:tab/>
        </w:r>
        <w:r>
          <w:fldChar w:fldCharType="begin"/>
        </w:r>
        <w:r>
          <w:instrText xml:space="preserve">PAGEREF 7861 \h</w:instrText>
        </w:r>
        <w:r>
          <w:fldChar w:fldCharType="end"/>
        </w:r>
      </w:hyperlink>
    </w:p>
    <w:p>
      <w:pPr>
        <w:tabs>
          <w:tab w:val="right" w:leader="dot" w:pos="9062"/>
        </w:tabs>
        <w:ind w:left="440"/>
      </w:pPr>
      <w:hyperlink w:anchor="_Toc7862" w:history="1">
        <w:r>
          <w:rPr>
            <w:rFonts w:ascii="IRNazanin" w:hAnsi="IRNazanin" w:eastAsia="IRNazanin" w:cs="IRNazanin"/>
            <w:color w:val="111111"/>
            <w:sz w:val="22"/>
            <w:szCs w:val="22"/>
            <w:b w:val="0"/>
            <w:bCs w:val="0"/>
            <w:i w:val="0"/>
            <w:iCs w:val="0"/>
          </w:rPr>
          <w:t>6937- دیوان معجزی تبریزی أو شعره‏</w:t>
        </w:r>
        <w:r>
          <w:tab/>
        </w:r>
        <w:r>
          <w:fldChar w:fldCharType="begin"/>
        </w:r>
        <w:r>
          <w:instrText xml:space="preserve">PAGEREF 7862 \h</w:instrText>
        </w:r>
        <w:r>
          <w:fldChar w:fldCharType="end"/>
        </w:r>
      </w:hyperlink>
    </w:p>
    <w:p>
      <w:pPr>
        <w:tabs>
          <w:tab w:val="right" w:leader="dot" w:pos="9062"/>
        </w:tabs>
        <w:ind w:left="440"/>
      </w:pPr>
      <w:hyperlink w:anchor="_Toc7863" w:history="1">
        <w:r>
          <w:rPr>
            <w:rFonts w:ascii="IRNazanin" w:hAnsi="IRNazanin" w:eastAsia="IRNazanin" w:cs="IRNazanin"/>
            <w:color w:val="111111"/>
            <w:sz w:val="22"/>
            <w:szCs w:val="22"/>
            <w:b w:val="0"/>
            <w:bCs w:val="0"/>
            <w:i w:val="0"/>
            <w:iCs w:val="0"/>
          </w:rPr>
          <w:t>دیوان معرف أصفهانی‏</w:t>
        </w:r>
        <w:r>
          <w:tab/>
        </w:r>
        <w:r>
          <w:fldChar w:fldCharType="begin"/>
        </w:r>
        <w:r>
          <w:instrText xml:space="preserve">PAGEREF 7863 \h</w:instrText>
        </w:r>
        <w:r>
          <w:fldChar w:fldCharType="end"/>
        </w:r>
      </w:hyperlink>
    </w:p>
    <w:p>
      <w:pPr>
        <w:tabs>
          <w:tab w:val="right" w:leader="dot" w:pos="9062"/>
        </w:tabs>
        <w:ind w:left="440"/>
      </w:pPr>
      <w:hyperlink w:anchor="_Toc7864" w:history="1">
        <w:r>
          <w:rPr>
            <w:rFonts w:ascii="IRNazanin" w:hAnsi="IRNazanin" w:eastAsia="IRNazanin" w:cs="IRNazanin"/>
            <w:color w:val="111111"/>
            <w:sz w:val="22"/>
            <w:szCs w:val="22"/>
            <w:b w:val="0"/>
            <w:bCs w:val="0"/>
            <w:i w:val="0"/>
            <w:iCs w:val="0"/>
          </w:rPr>
          <w:t>6938- دیوان معرفت کشمیری أو شعره‏</w:t>
        </w:r>
        <w:r>
          <w:tab/>
        </w:r>
        <w:r>
          <w:fldChar w:fldCharType="begin"/>
        </w:r>
        <w:r>
          <w:instrText xml:space="preserve">PAGEREF 7864 \h</w:instrText>
        </w:r>
        <w:r>
          <w:fldChar w:fldCharType="end"/>
        </w:r>
      </w:hyperlink>
    </w:p>
    <w:p>
      <w:pPr>
        <w:tabs>
          <w:tab w:val="right" w:leader="dot" w:pos="9062"/>
        </w:tabs>
        <w:ind w:left="440"/>
      </w:pPr>
      <w:hyperlink w:anchor="_Toc7865" w:history="1">
        <w:r>
          <w:rPr>
            <w:rFonts w:ascii="IRNazanin" w:hAnsi="IRNazanin" w:eastAsia="IRNazanin" w:cs="IRNazanin"/>
            <w:color w:val="111111"/>
            <w:sz w:val="22"/>
            <w:szCs w:val="22"/>
            <w:b w:val="0"/>
            <w:bCs w:val="0"/>
            <w:i w:val="0"/>
            <w:iCs w:val="0"/>
          </w:rPr>
          <w:t>6939- دیوان معروف أصفهانی أو شعره‏</w:t>
        </w:r>
        <w:r>
          <w:tab/>
        </w:r>
        <w:r>
          <w:fldChar w:fldCharType="begin"/>
        </w:r>
        <w:r>
          <w:instrText xml:space="preserve">PAGEREF 7865 \h</w:instrText>
        </w:r>
        <w:r>
          <w:fldChar w:fldCharType="end"/>
        </w:r>
      </w:hyperlink>
    </w:p>
    <w:p>
      <w:pPr>
        <w:tabs>
          <w:tab w:val="right" w:leader="dot" w:pos="9062"/>
        </w:tabs>
        <w:ind w:left="440"/>
      </w:pPr>
      <w:hyperlink w:anchor="_Toc7866" w:history="1">
        <w:r>
          <w:rPr>
            <w:rFonts w:ascii="IRNazanin" w:hAnsi="IRNazanin" w:eastAsia="IRNazanin" w:cs="IRNazanin"/>
            <w:color w:val="111111"/>
            <w:sz w:val="22"/>
            <w:szCs w:val="22"/>
            <w:b w:val="0"/>
            <w:bCs w:val="0"/>
            <w:i w:val="0"/>
            <w:iCs w:val="0"/>
          </w:rPr>
          <w:t>دیوان معروف بغدادی‏</w:t>
        </w:r>
        <w:r>
          <w:tab/>
        </w:r>
        <w:r>
          <w:fldChar w:fldCharType="begin"/>
        </w:r>
        <w:r>
          <w:instrText xml:space="preserve">PAGEREF 7866 \h</w:instrText>
        </w:r>
        <w:r>
          <w:fldChar w:fldCharType="end"/>
        </w:r>
      </w:hyperlink>
    </w:p>
    <w:p>
      <w:pPr>
        <w:tabs>
          <w:tab w:val="right" w:leader="dot" w:pos="9062"/>
        </w:tabs>
        <w:ind w:left="440"/>
      </w:pPr>
      <w:hyperlink w:anchor="_Toc7867" w:history="1">
        <w:r>
          <w:rPr>
            <w:rFonts w:ascii="IRNazanin" w:hAnsi="IRNazanin" w:eastAsia="IRNazanin" w:cs="IRNazanin"/>
            <w:color w:val="111111"/>
            <w:sz w:val="22"/>
            <w:szCs w:val="22"/>
            <w:b w:val="0"/>
            <w:bCs w:val="0"/>
            <w:i w:val="0"/>
            <w:iCs w:val="0"/>
          </w:rPr>
          <w:t>6940- دیوان معروف تبریزی أو شعره‏</w:t>
        </w:r>
        <w:r>
          <w:tab/>
        </w:r>
        <w:r>
          <w:fldChar w:fldCharType="begin"/>
        </w:r>
        <w:r>
          <w:instrText xml:space="preserve">PAGEREF 7867 \h</w:instrText>
        </w:r>
        <w:r>
          <w:fldChar w:fldCharType="end"/>
        </w:r>
      </w:hyperlink>
    </w:p>
    <w:p>
      <w:pPr>
        <w:tabs>
          <w:tab w:val="right" w:leader="dot" w:pos="9062"/>
        </w:tabs>
        <w:ind w:left="440"/>
      </w:pPr>
      <w:hyperlink w:anchor="_Toc7868" w:history="1">
        <w:r>
          <w:rPr>
            <w:rFonts w:ascii="IRNazanin" w:hAnsi="IRNazanin" w:eastAsia="IRNazanin" w:cs="IRNazanin"/>
            <w:color w:val="111111"/>
            <w:sz w:val="22"/>
            <w:szCs w:val="22"/>
            <w:b w:val="0"/>
            <w:bCs w:val="0"/>
            <w:i w:val="0"/>
            <w:iCs w:val="0"/>
          </w:rPr>
          <w:t>6941- دیوان معروف خطاط</w:t>
        </w:r>
        <w:r>
          <w:tab/>
        </w:r>
        <w:r>
          <w:fldChar w:fldCharType="begin"/>
        </w:r>
        <w:r>
          <w:instrText xml:space="preserve">PAGEREF 7868 \h</w:instrText>
        </w:r>
        <w:r>
          <w:fldChar w:fldCharType="end"/>
        </w:r>
      </w:hyperlink>
    </w:p>
    <w:p>
      <w:pPr>
        <w:tabs>
          <w:tab w:val="right" w:leader="dot" w:pos="9062"/>
        </w:tabs>
        <w:ind w:left="440"/>
      </w:pPr>
      <w:hyperlink w:anchor="_Toc7869" w:history="1">
        <w:r>
          <w:rPr>
            <w:rFonts w:ascii="IRNazanin" w:hAnsi="IRNazanin" w:eastAsia="IRNazanin" w:cs="IRNazanin"/>
            <w:color w:val="111111"/>
            <w:sz w:val="22"/>
            <w:szCs w:val="22"/>
            <w:b w:val="0"/>
            <w:bCs w:val="0"/>
            <w:i w:val="0"/>
            <w:iCs w:val="0"/>
          </w:rPr>
          <w:t>دیوان معروف رمال‏</w:t>
        </w:r>
        <w:r>
          <w:tab/>
        </w:r>
        <w:r>
          <w:fldChar w:fldCharType="begin"/>
        </w:r>
        <w:r>
          <w:instrText xml:space="preserve">PAGEREF 7869 \h</w:instrText>
        </w:r>
        <w:r>
          <w:fldChar w:fldCharType="end"/>
        </w:r>
      </w:hyperlink>
    </w:p>
    <w:p>
      <w:pPr>
        <w:tabs>
          <w:tab w:val="right" w:leader="dot" w:pos="9062"/>
        </w:tabs>
        <w:ind w:left="440"/>
      </w:pPr>
      <w:hyperlink w:anchor="_Toc7870" w:history="1">
        <w:r>
          <w:rPr>
            <w:rFonts w:ascii="IRNazanin" w:hAnsi="IRNazanin" w:eastAsia="IRNazanin" w:cs="IRNazanin"/>
            <w:color w:val="111111"/>
            <w:sz w:val="22"/>
            <w:szCs w:val="22"/>
            <w:b w:val="0"/>
            <w:bCs w:val="0"/>
            <w:i w:val="0"/>
            <w:iCs w:val="0"/>
          </w:rPr>
          <w:t>6942- دیوان معروف الرصافی‏</w:t>
        </w:r>
        <w:r>
          <w:tab/>
        </w:r>
        <w:r>
          <w:fldChar w:fldCharType="begin"/>
        </w:r>
        <w:r>
          <w:instrText xml:space="preserve">PAGEREF 7870 \h</w:instrText>
        </w:r>
        <w:r>
          <w:fldChar w:fldCharType="end"/>
        </w:r>
      </w:hyperlink>
    </w:p>
    <w:p>
      <w:pPr>
        <w:tabs>
          <w:tab w:val="right" w:leader="dot" w:pos="9062"/>
        </w:tabs>
        <w:ind w:left="440"/>
      </w:pPr>
      <w:hyperlink w:anchor="_Toc7871" w:history="1">
        <w:r>
          <w:rPr>
            <w:rFonts w:ascii="IRNazanin" w:hAnsi="IRNazanin" w:eastAsia="IRNazanin" w:cs="IRNazanin"/>
            <w:color w:val="111111"/>
            <w:sz w:val="22"/>
            <w:szCs w:val="22"/>
            <w:b w:val="0"/>
            <w:bCs w:val="0"/>
            <w:i w:val="0"/>
            <w:iCs w:val="0"/>
          </w:rPr>
          <w:t>دیوان معروف شیرازی‏</w:t>
        </w:r>
        <w:r>
          <w:tab/>
        </w:r>
        <w:r>
          <w:fldChar w:fldCharType="begin"/>
        </w:r>
        <w:r>
          <w:instrText xml:space="preserve">PAGEREF 7871 \h</w:instrText>
        </w:r>
        <w:r>
          <w:fldChar w:fldCharType="end"/>
        </w:r>
      </w:hyperlink>
    </w:p>
    <w:p>
      <w:pPr>
        <w:tabs>
          <w:tab w:val="right" w:leader="dot" w:pos="9062"/>
        </w:tabs>
        <w:ind w:left="440"/>
      </w:pPr>
      <w:hyperlink w:anchor="_Toc7872" w:history="1">
        <w:r>
          <w:rPr>
            <w:rFonts w:ascii="IRNazanin" w:hAnsi="IRNazanin" w:eastAsia="IRNazanin" w:cs="IRNazanin"/>
            <w:color w:val="111111"/>
            <w:sz w:val="22"/>
            <w:szCs w:val="22"/>
            <w:b w:val="0"/>
            <w:bCs w:val="0"/>
            <w:i w:val="0"/>
            <w:iCs w:val="0"/>
          </w:rPr>
          <w:t>6943- دیوان معروف کشمیری أو شعره‏</w:t>
        </w:r>
        <w:r>
          <w:tab/>
        </w:r>
        <w:r>
          <w:fldChar w:fldCharType="begin"/>
        </w:r>
        <w:r>
          <w:instrText xml:space="preserve">PAGEREF 7872 \h</w:instrText>
        </w:r>
        <w:r>
          <w:fldChar w:fldCharType="end"/>
        </w:r>
      </w:hyperlink>
    </w:p>
    <w:p>
      <w:pPr>
        <w:tabs>
          <w:tab w:val="right" w:leader="dot" w:pos="9062"/>
        </w:tabs>
        <w:ind w:left="440"/>
      </w:pPr>
      <w:hyperlink w:anchor="_Toc7873" w:history="1">
        <w:r>
          <w:rPr>
            <w:rFonts w:ascii="IRNazanin" w:hAnsi="IRNazanin" w:eastAsia="IRNazanin" w:cs="IRNazanin"/>
            <w:color w:val="111111"/>
            <w:sz w:val="22"/>
            <w:szCs w:val="22"/>
            <w:b w:val="0"/>
            <w:bCs w:val="0"/>
            <w:i w:val="0"/>
            <w:iCs w:val="0"/>
          </w:rPr>
          <w:t>6944- دیوان معروفی بلخی‏</w:t>
        </w:r>
        <w:r>
          <w:tab/>
        </w:r>
        <w:r>
          <w:fldChar w:fldCharType="begin"/>
        </w:r>
        <w:r>
          <w:instrText xml:space="preserve">PAGEREF 7873 \h</w:instrText>
        </w:r>
        <w:r>
          <w:fldChar w:fldCharType="end"/>
        </w:r>
      </w:hyperlink>
    </w:p>
    <w:p>
      <w:pPr>
        <w:tabs>
          <w:tab w:val="right" w:leader="dot" w:pos="9062"/>
        </w:tabs>
        <w:ind w:left="440"/>
      </w:pPr>
      <w:hyperlink w:anchor="_Toc7874" w:history="1">
        <w:r>
          <w:rPr>
            <w:rFonts w:ascii="IRNazanin" w:hAnsi="IRNazanin" w:eastAsia="IRNazanin" w:cs="IRNazanin"/>
            <w:color w:val="111111"/>
            <w:sz w:val="22"/>
            <w:szCs w:val="22"/>
            <w:b w:val="0"/>
            <w:bCs w:val="0"/>
            <w:i w:val="0"/>
            <w:iCs w:val="0"/>
          </w:rPr>
          <w:t>دیوان المعری‏</w:t>
        </w:r>
        <w:r>
          <w:tab/>
        </w:r>
        <w:r>
          <w:fldChar w:fldCharType="begin"/>
        </w:r>
        <w:r>
          <w:instrText xml:space="preserve">PAGEREF 7874 \h</w:instrText>
        </w:r>
        <w:r>
          <w:fldChar w:fldCharType="end"/>
        </w:r>
      </w:hyperlink>
    </w:p>
    <w:p>
      <w:pPr>
        <w:tabs>
          <w:tab w:val="right" w:leader="dot" w:pos="9062"/>
        </w:tabs>
        <w:ind w:left="440"/>
      </w:pPr>
      <w:hyperlink w:anchor="_Toc7875" w:history="1">
        <w:r>
          <w:rPr>
            <w:rFonts w:ascii="IRNazanin" w:hAnsi="IRNazanin" w:eastAsia="IRNazanin" w:cs="IRNazanin"/>
            <w:color w:val="111111"/>
            <w:sz w:val="22"/>
            <w:szCs w:val="22"/>
            <w:b w:val="0"/>
            <w:bCs w:val="0"/>
            <w:i w:val="0"/>
            <w:iCs w:val="0"/>
          </w:rPr>
          <w:t>6945- دیوان معز أو شعره‏</w:t>
        </w:r>
        <w:r>
          <w:tab/>
        </w:r>
        <w:r>
          <w:fldChar w:fldCharType="begin"/>
        </w:r>
        <w:r>
          <w:instrText xml:space="preserve">PAGEREF 7875 \h</w:instrText>
        </w:r>
        <w:r>
          <w:fldChar w:fldCharType="end"/>
        </w:r>
      </w:hyperlink>
    </w:p>
    <w:p>
      <w:pPr>
        <w:tabs>
          <w:tab w:val="right" w:leader="dot" w:pos="9062"/>
        </w:tabs>
        <w:ind w:left="440"/>
      </w:pPr>
      <w:hyperlink w:anchor="_Toc7876" w:history="1">
        <w:r>
          <w:rPr>
            <w:rFonts w:ascii="IRNazanin" w:hAnsi="IRNazanin" w:eastAsia="IRNazanin" w:cs="IRNazanin"/>
            <w:color w:val="111111"/>
            <w:sz w:val="22"/>
            <w:szCs w:val="22"/>
            <w:b w:val="0"/>
            <w:bCs w:val="0"/>
            <w:i w:val="0"/>
            <w:iCs w:val="0"/>
          </w:rPr>
          <w:t>6946- دیوان معز أصفهانی أو شعره‏</w:t>
        </w:r>
        <w:r>
          <w:tab/>
        </w:r>
        <w:r>
          <w:fldChar w:fldCharType="begin"/>
        </w:r>
        <w:r>
          <w:instrText xml:space="preserve">PAGEREF 7876 \h</w:instrText>
        </w:r>
        <w:r>
          <w:fldChar w:fldCharType="end"/>
        </w:r>
      </w:hyperlink>
    </w:p>
    <w:p>
      <w:pPr>
        <w:tabs>
          <w:tab w:val="right" w:leader="dot" w:pos="9062"/>
        </w:tabs>
        <w:ind w:left="440"/>
      </w:pPr>
      <w:hyperlink w:anchor="_Toc7877" w:history="1">
        <w:r>
          <w:rPr>
            <w:rFonts w:ascii="IRNazanin" w:hAnsi="IRNazanin" w:eastAsia="IRNazanin" w:cs="IRNazanin"/>
            <w:color w:val="111111"/>
            <w:sz w:val="22"/>
            <w:szCs w:val="22"/>
            <w:b w:val="0"/>
            <w:bCs w:val="0"/>
            <w:i w:val="0"/>
            <w:iCs w:val="0"/>
          </w:rPr>
          <w:t>دیوان معز أصفهانی‏</w:t>
        </w:r>
        <w:r>
          <w:tab/>
        </w:r>
        <w:r>
          <w:fldChar w:fldCharType="begin"/>
        </w:r>
        <w:r>
          <w:instrText xml:space="preserve">PAGEREF 7877 \h</w:instrText>
        </w:r>
        <w:r>
          <w:fldChar w:fldCharType="end"/>
        </w:r>
      </w:hyperlink>
    </w:p>
    <w:p>
      <w:pPr>
        <w:tabs>
          <w:tab w:val="right" w:leader="dot" w:pos="9062"/>
        </w:tabs>
        <w:ind w:left="440"/>
      </w:pPr>
      <w:hyperlink w:anchor="_Toc7878" w:history="1">
        <w:r>
          <w:rPr>
            <w:rFonts w:ascii="IRNazanin" w:hAnsi="IRNazanin" w:eastAsia="IRNazanin" w:cs="IRNazanin"/>
            <w:color w:val="111111"/>
            <w:sz w:val="22"/>
            <w:szCs w:val="22"/>
            <w:b w:val="0"/>
            <w:bCs w:val="0"/>
            <w:i w:val="0"/>
            <w:iCs w:val="0"/>
          </w:rPr>
          <w:t>دیوان معز أصفهانی أو شعره‏</w:t>
        </w:r>
        <w:r>
          <w:tab/>
        </w:r>
        <w:r>
          <w:fldChar w:fldCharType="begin"/>
        </w:r>
        <w:r>
          <w:instrText xml:space="preserve">PAGEREF 7878 \h</w:instrText>
        </w:r>
        <w:r>
          <w:fldChar w:fldCharType="end"/>
        </w:r>
      </w:hyperlink>
    </w:p>
    <w:p>
      <w:pPr>
        <w:tabs>
          <w:tab w:val="right" w:leader="dot" w:pos="9062"/>
        </w:tabs>
        <w:ind w:left="440"/>
      </w:pPr>
      <w:hyperlink w:anchor="_Toc7879" w:history="1">
        <w:r>
          <w:rPr>
            <w:rFonts w:ascii="IRNazanin" w:hAnsi="IRNazanin" w:eastAsia="IRNazanin" w:cs="IRNazanin"/>
            <w:color w:val="111111"/>
            <w:sz w:val="22"/>
            <w:szCs w:val="22"/>
            <w:b w:val="0"/>
            <w:bCs w:val="0"/>
            <w:i w:val="0"/>
            <w:iCs w:val="0"/>
          </w:rPr>
          <w:t>6947- دیوان معز تبریزی‏</w:t>
        </w:r>
        <w:r>
          <w:tab/>
        </w:r>
        <w:r>
          <w:fldChar w:fldCharType="begin"/>
        </w:r>
        <w:r>
          <w:instrText xml:space="preserve">PAGEREF 7879 \h</w:instrText>
        </w:r>
        <w:r>
          <w:fldChar w:fldCharType="end"/>
        </w:r>
      </w:hyperlink>
    </w:p>
    <w:p>
      <w:pPr>
        <w:tabs>
          <w:tab w:val="right" w:leader="dot" w:pos="9062"/>
        </w:tabs>
        <w:ind w:left="440"/>
      </w:pPr>
      <w:hyperlink w:anchor="_Toc7880" w:history="1">
        <w:r>
          <w:rPr>
            <w:rFonts w:ascii="IRNazanin" w:hAnsi="IRNazanin" w:eastAsia="IRNazanin" w:cs="IRNazanin"/>
            <w:color w:val="111111"/>
            <w:sz w:val="22"/>
            <w:szCs w:val="22"/>
            <w:b w:val="0"/>
            <w:bCs w:val="0"/>
            <w:i w:val="0"/>
            <w:iCs w:val="0"/>
          </w:rPr>
          <w:t>دیوان معز جوشقانی‏</w:t>
        </w:r>
        <w:r>
          <w:tab/>
        </w:r>
        <w:r>
          <w:fldChar w:fldCharType="begin"/>
        </w:r>
        <w:r>
          <w:instrText xml:space="preserve">PAGEREF 7880 \h</w:instrText>
        </w:r>
        <w:r>
          <w:fldChar w:fldCharType="end"/>
        </w:r>
      </w:hyperlink>
    </w:p>
    <w:p>
      <w:pPr>
        <w:tabs>
          <w:tab w:val="right" w:leader="dot" w:pos="9062"/>
        </w:tabs>
        <w:ind w:left="440"/>
      </w:pPr>
      <w:hyperlink w:anchor="_Toc7881" w:history="1">
        <w:r>
          <w:rPr>
            <w:rFonts w:ascii="IRNazanin" w:hAnsi="IRNazanin" w:eastAsia="IRNazanin" w:cs="IRNazanin"/>
            <w:color w:val="111111"/>
            <w:sz w:val="22"/>
            <w:szCs w:val="22"/>
            <w:b w:val="0"/>
            <w:bCs w:val="0"/>
            <w:i w:val="0"/>
            <w:iCs w:val="0"/>
          </w:rPr>
          <w:t>6948- دیوان معز کاشانی أو شعره‏</w:t>
        </w:r>
        <w:r>
          <w:tab/>
        </w:r>
        <w:r>
          <w:fldChar w:fldCharType="begin"/>
        </w:r>
        <w:r>
          <w:instrText xml:space="preserve">PAGEREF 7881 \h</w:instrText>
        </w:r>
        <w:r>
          <w:fldChar w:fldCharType="end"/>
        </w:r>
      </w:hyperlink>
    </w:p>
    <w:p>
      <w:pPr>
        <w:tabs>
          <w:tab w:val="right" w:leader="dot" w:pos="9062"/>
        </w:tabs>
        <w:ind w:left="440"/>
      </w:pPr>
      <w:hyperlink w:anchor="_Toc7882" w:history="1">
        <w:r>
          <w:rPr>
            <w:rFonts w:ascii="IRNazanin" w:hAnsi="IRNazanin" w:eastAsia="IRNazanin" w:cs="IRNazanin"/>
            <w:color w:val="111111"/>
            <w:sz w:val="22"/>
            <w:szCs w:val="22"/>
            <w:b w:val="0"/>
            <w:bCs w:val="0"/>
            <w:i w:val="0"/>
            <w:iCs w:val="0"/>
          </w:rPr>
          <w:t>6949- دیوان معز لکهنوی أو شعره‏</w:t>
        </w:r>
        <w:r>
          <w:tab/>
        </w:r>
        <w:r>
          <w:fldChar w:fldCharType="begin"/>
        </w:r>
        <w:r>
          <w:instrText xml:space="preserve">PAGEREF 7882 \h</w:instrText>
        </w:r>
        <w:r>
          <w:fldChar w:fldCharType="end"/>
        </w:r>
      </w:hyperlink>
    </w:p>
    <w:p>
      <w:pPr>
        <w:tabs>
          <w:tab w:val="right" w:leader="dot" w:pos="9062"/>
        </w:tabs>
        <w:ind w:left="440"/>
      </w:pPr>
      <w:hyperlink w:anchor="_Toc7883" w:history="1">
        <w:r>
          <w:rPr>
            <w:rFonts w:ascii="IRNazanin" w:hAnsi="IRNazanin" w:eastAsia="IRNazanin" w:cs="IRNazanin"/>
            <w:color w:val="111111"/>
            <w:sz w:val="22"/>
            <w:szCs w:val="22"/>
            <w:b w:val="0"/>
            <w:bCs w:val="0"/>
            <w:i w:val="0"/>
            <w:iCs w:val="0"/>
          </w:rPr>
          <w:t>دیوان معز مشهدی‏</w:t>
        </w:r>
        <w:r>
          <w:tab/>
        </w:r>
        <w:r>
          <w:fldChar w:fldCharType="begin"/>
        </w:r>
        <w:r>
          <w:instrText xml:space="preserve">PAGEREF 7883 \h</w:instrText>
        </w:r>
        <w:r>
          <w:fldChar w:fldCharType="end"/>
        </w:r>
      </w:hyperlink>
    </w:p>
    <w:p>
      <w:pPr>
        <w:tabs>
          <w:tab w:val="right" w:leader="dot" w:pos="9062"/>
        </w:tabs>
        <w:ind w:left="440"/>
      </w:pPr>
      <w:hyperlink w:anchor="_Toc7884" w:history="1">
        <w:r>
          <w:rPr>
            <w:rFonts w:ascii="IRNazanin" w:hAnsi="IRNazanin" w:eastAsia="IRNazanin" w:cs="IRNazanin"/>
            <w:color w:val="111111"/>
            <w:sz w:val="22"/>
            <w:szCs w:val="22"/>
            <w:b w:val="0"/>
            <w:bCs w:val="0"/>
            <w:i w:val="0"/>
            <w:iCs w:val="0"/>
          </w:rPr>
          <w:t>6950- دیوان معز یزدی أو شعره‏</w:t>
        </w:r>
        <w:r>
          <w:tab/>
        </w:r>
        <w:r>
          <w:fldChar w:fldCharType="begin"/>
        </w:r>
        <w:r>
          <w:instrText xml:space="preserve">PAGEREF 7884 \h</w:instrText>
        </w:r>
        <w:r>
          <w:fldChar w:fldCharType="end"/>
        </w:r>
      </w:hyperlink>
    </w:p>
    <w:p>
      <w:pPr>
        <w:tabs>
          <w:tab w:val="right" w:leader="dot" w:pos="9062"/>
        </w:tabs>
        <w:ind w:left="440"/>
      </w:pPr>
      <w:hyperlink w:anchor="_Toc7885" w:history="1">
        <w:r>
          <w:rPr>
            <w:rFonts w:ascii="IRNazanin" w:hAnsi="IRNazanin" w:eastAsia="IRNazanin" w:cs="IRNazanin"/>
            <w:color w:val="111111"/>
            <w:sz w:val="22"/>
            <w:szCs w:val="22"/>
            <w:b w:val="0"/>
            <w:bCs w:val="0"/>
            <w:i w:val="0"/>
            <w:iCs w:val="0"/>
          </w:rPr>
          <w:t>6951- دیوان معزی خراسانی أو شعره‏</w:t>
        </w:r>
        <w:r>
          <w:tab/>
        </w:r>
        <w:r>
          <w:fldChar w:fldCharType="begin"/>
        </w:r>
        <w:r>
          <w:instrText xml:space="preserve">PAGEREF 7885 \h</w:instrText>
        </w:r>
        <w:r>
          <w:fldChar w:fldCharType="end"/>
        </w:r>
      </w:hyperlink>
    </w:p>
    <w:p>
      <w:pPr>
        <w:tabs>
          <w:tab w:val="right" w:leader="dot" w:pos="9062"/>
        </w:tabs>
        <w:ind w:left="440"/>
      </w:pPr>
      <w:hyperlink w:anchor="_Toc7886" w:history="1">
        <w:r>
          <w:rPr>
            <w:rFonts w:ascii="IRNazanin" w:hAnsi="IRNazanin" w:eastAsia="IRNazanin" w:cs="IRNazanin"/>
            <w:color w:val="111111"/>
            <w:sz w:val="22"/>
            <w:szCs w:val="22"/>
            <w:b w:val="0"/>
            <w:bCs w:val="0"/>
            <w:i w:val="0"/>
            <w:iCs w:val="0"/>
          </w:rPr>
          <w:t>دیوان معزی سمرقندی‏</w:t>
        </w:r>
        <w:r>
          <w:tab/>
        </w:r>
        <w:r>
          <w:fldChar w:fldCharType="begin"/>
        </w:r>
        <w:r>
          <w:instrText xml:space="preserve">PAGEREF 7886 \h</w:instrText>
        </w:r>
        <w:r>
          <w:fldChar w:fldCharType="end"/>
        </w:r>
      </w:hyperlink>
    </w:p>
    <w:p>
      <w:pPr>
        <w:tabs>
          <w:tab w:val="right" w:leader="dot" w:pos="9062"/>
        </w:tabs>
        <w:ind w:left="440"/>
      </w:pPr>
      <w:hyperlink w:anchor="_Toc7887" w:history="1">
        <w:r>
          <w:rPr>
            <w:rFonts w:ascii="IRNazanin" w:hAnsi="IRNazanin" w:eastAsia="IRNazanin" w:cs="IRNazanin"/>
            <w:color w:val="111111"/>
            <w:sz w:val="22"/>
            <w:szCs w:val="22"/>
            <w:b w:val="0"/>
            <w:bCs w:val="0"/>
            <w:i w:val="0"/>
            <w:iCs w:val="0"/>
          </w:rPr>
          <w:t>6952- دیوان معزی غزنوی‏</w:t>
        </w:r>
        <w:r>
          <w:tab/>
        </w:r>
        <w:r>
          <w:fldChar w:fldCharType="begin"/>
        </w:r>
        <w:r>
          <w:instrText xml:space="preserve">PAGEREF 7887 \h</w:instrText>
        </w:r>
        <w:r>
          <w:fldChar w:fldCharType="end"/>
        </w:r>
      </w:hyperlink>
    </w:p>
    <w:p>
      <w:pPr>
        <w:tabs>
          <w:tab w:val="right" w:leader="dot" w:pos="9062"/>
        </w:tabs>
        <w:ind w:left="440"/>
      </w:pPr>
      <w:hyperlink w:anchor="_Toc7888" w:history="1">
        <w:r>
          <w:rPr>
            <w:rFonts w:ascii="IRNazanin" w:hAnsi="IRNazanin" w:eastAsia="IRNazanin" w:cs="IRNazanin"/>
            <w:color w:val="111111"/>
            <w:sz w:val="22"/>
            <w:szCs w:val="22"/>
            <w:b w:val="0"/>
            <w:bCs w:val="0"/>
            <w:i w:val="0"/>
            <w:iCs w:val="0"/>
          </w:rPr>
          <w:t>دیوان معزی لنگ‏</w:t>
        </w:r>
        <w:r>
          <w:tab/>
        </w:r>
        <w:r>
          <w:fldChar w:fldCharType="begin"/>
        </w:r>
        <w:r>
          <w:instrText xml:space="preserve">PAGEREF 7888 \h</w:instrText>
        </w:r>
        <w:r>
          <w:fldChar w:fldCharType="end"/>
        </w:r>
      </w:hyperlink>
    </w:p>
    <w:p>
      <w:pPr>
        <w:tabs>
          <w:tab w:val="right" w:leader="dot" w:pos="9062"/>
        </w:tabs>
        <w:ind w:left="440"/>
      </w:pPr>
      <w:hyperlink w:anchor="_Toc7889" w:history="1">
        <w:r>
          <w:rPr>
            <w:rFonts w:ascii="IRNazanin" w:hAnsi="IRNazanin" w:eastAsia="IRNazanin" w:cs="IRNazanin"/>
            <w:color w:val="111111"/>
            <w:sz w:val="22"/>
            <w:szCs w:val="22"/>
            <w:b w:val="0"/>
            <w:bCs w:val="0"/>
            <w:i w:val="0"/>
            <w:iCs w:val="0"/>
          </w:rPr>
          <w:t>دیوان معزی نسوی‏</w:t>
        </w:r>
        <w:r>
          <w:tab/>
        </w:r>
        <w:r>
          <w:fldChar w:fldCharType="begin"/>
        </w:r>
        <w:r>
          <w:instrText xml:space="preserve">PAGEREF 7889 \h</w:instrText>
        </w:r>
        <w:r>
          <w:fldChar w:fldCharType="end"/>
        </w:r>
      </w:hyperlink>
    </w:p>
    <w:p>
      <w:pPr>
        <w:tabs>
          <w:tab w:val="right" w:leader="dot" w:pos="9062"/>
        </w:tabs>
        <w:ind w:left="440"/>
      </w:pPr>
      <w:hyperlink w:anchor="_Toc7890" w:history="1">
        <w:r>
          <w:rPr>
            <w:rFonts w:ascii="IRNazanin" w:hAnsi="IRNazanin" w:eastAsia="IRNazanin" w:cs="IRNazanin"/>
            <w:color w:val="111111"/>
            <w:sz w:val="22"/>
            <w:szCs w:val="22"/>
            <w:b w:val="0"/>
            <w:bCs w:val="0"/>
            <w:i w:val="0"/>
            <w:iCs w:val="0"/>
          </w:rPr>
          <w:t>6953- دیوان معزی نیشابوری‏</w:t>
        </w:r>
        <w:r>
          <w:tab/>
        </w:r>
        <w:r>
          <w:fldChar w:fldCharType="begin"/>
        </w:r>
        <w:r>
          <w:instrText xml:space="preserve">PAGEREF 7890 \h</w:instrText>
        </w:r>
        <w:r>
          <w:fldChar w:fldCharType="end"/>
        </w:r>
      </w:hyperlink>
    </w:p>
    <w:p>
      <w:pPr>
        <w:tabs>
          <w:tab w:val="right" w:leader="dot" w:pos="9062"/>
        </w:tabs>
        <w:ind w:left="440"/>
      </w:pPr>
      <w:hyperlink w:anchor="_Toc7891" w:history="1">
        <w:r>
          <w:rPr>
            <w:rFonts w:ascii="IRNazanin" w:hAnsi="IRNazanin" w:eastAsia="IRNazanin" w:cs="IRNazanin"/>
            <w:color w:val="111111"/>
            <w:sz w:val="22"/>
            <w:szCs w:val="22"/>
            <w:b w:val="0"/>
            <w:bCs w:val="0"/>
            <w:i w:val="0"/>
            <w:iCs w:val="0"/>
          </w:rPr>
          <w:t>دیوان معصوم أسترآبادی‏</w:t>
        </w:r>
        <w:r>
          <w:tab/>
        </w:r>
        <w:r>
          <w:fldChar w:fldCharType="begin"/>
        </w:r>
        <w:r>
          <w:instrText xml:space="preserve">PAGEREF 7891 \h</w:instrText>
        </w:r>
        <w:r>
          <w:fldChar w:fldCharType="end"/>
        </w:r>
      </w:hyperlink>
    </w:p>
    <w:p>
      <w:pPr>
        <w:tabs>
          <w:tab w:val="right" w:leader="dot" w:pos="9062"/>
        </w:tabs>
        <w:ind w:left="440"/>
      </w:pPr>
      <w:hyperlink w:anchor="_Toc7892" w:history="1">
        <w:r>
          <w:rPr>
            <w:rFonts w:ascii="IRNazanin" w:hAnsi="IRNazanin" w:eastAsia="IRNazanin" w:cs="IRNazanin"/>
            <w:color w:val="111111"/>
            <w:sz w:val="22"/>
            <w:szCs w:val="22"/>
            <w:b w:val="0"/>
            <w:bCs w:val="0"/>
            <w:i w:val="0"/>
            <w:iCs w:val="0"/>
          </w:rPr>
          <w:t>6954- دیوان معصوم أصفهانی‏</w:t>
        </w:r>
        <w:r>
          <w:tab/>
        </w:r>
        <w:r>
          <w:fldChar w:fldCharType="begin"/>
        </w:r>
        <w:r>
          <w:instrText xml:space="preserve">PAGEREF 7892 \h</w:instrText>
        </w:r>
        <w:r>
          <w:fldChar w:fldCharType="end"/>
        </w:r>
      </w:hyperlink>
    </w:p>
    <w:p>
      <w:pPr>
        <w:tabs>
          <w:tab w:val="right" w:leader="dot" w:pos="9062"/>
        </w:tabs>
        <w:ind w:left="440"/>
      </w:pPr>
      <w:hyperlink w:anchor="_Toc7893" w:history="1">
        <w:r>
          <w:rPr>
            <w:rFonts w:ascii="IRNazanin" w:hAnsi="IRNazanin" w:eastAsia="IRNazanin" w:cs="IRNazanin"/>
            <w:color w:val="111111"/>
            <w:sz w:val="22"/>
            <w:szCs w:val="22"/>
            <w:b w:val="0"/>
            <w:bCs w:val="0"/>
            <w:i w:val="0"/>
            <w:iCs w:val="0"/>
          </w:rPr>
          <w:t>6955- دیوان معصوم تبریزی‏</w:t>
        </w:r>
        <w:r>
          <w:tab/>
        </w:r>
        <w:r>
          <w:fldChar w:fldCharType="begin"/>
        </w:r>
        <w:r>
          <w:instrText xml:space="preserve">PAGEREF 7893 \h</w:instrText>
        </w:r>
        <w:r>
          <w:fldChar w:fldCharType="end"/>
        </w:r>
      </w:hyperlink>
    </w:p>
    <w:p>
      <w:pPr>
        <w:tabs>
          <w:tab w:val="right" w:leader="dot" w:pos="9062"/>
        </w:tabs>
        <w:ind w:left="440"/>
      </w:pPr>
      <w:hyperlink w:anchor="_Toc7894" w:history="1">
        <w:r>
          <w:rPr>
            <w:rFonts w:ascii="IRNazanin" w:hAnsi="IRNazanin" w:eastAsia="IRNazanin" w:cs="IRNazanin"/>
            <w:color w:val="111111"/>
            <w:sz w:val="22"/>
            <w:szCs w:val="22"/>
            <w:b w:val="0"/>
            <w:bCs w:val="0"/>
            <w:i w:val="0"/>
            <w:iCs w:val="0"/>
          </w:rPr>
          <w:t>دیوان معصوم بهکری ترمذی‏</w:t>
        </w:r>
        <w:r>
          <w:tab/>
        </w:r>
        <w:r>
          <w:fldChar w:fldCharType="begin"/>
        </w:r>
        <w:r>
          <w:instrText xml:space="preserve">PAGEREF 7894 \h</w:instrText>
        </w:r>
        <w:r>
          <w:fldChar w:fldCharType="end"/>
        </w:r>
      </w:hyperlink>
    </w:p>
    <w:p>
      <w:pPr>
        <w:tabs>
          <w:tab w:val="right" w:leader="dot" w:pos="9062"/>
        </w:tabs>
        <w:ind w:left="440"/>
      </w:pPr>
      <w:hyperlink w:anchor="_Toc7895" w:history="1">
        <w:r>
          <w:rPr>
            <w:rFonts w:ascii="IRNazanin" w:hAnsi="IRNazanin" w:eastAsia="IRNazanin" w:cs="IRNazanin"/>
            <w:color w:val="111111"/>
            <w:sz w:val="22"/>
            <w:szCs w:val="22"/>
            <w:b w:val="0"/>
            <w:bCs w:val="0"/>
            <w:i w:val="0"/>
            <w:iCs w:val="0"/>
          </w:rPr>
          <w:t>دیوان معصوم شوشتری‏</w:t>
        </w:r>
        <w:r>
          <w:tab/>
        </w:r>
        <w:r>
          <w:fldChar w:fldCharType="begin"/>
        </w:r>
        <w:r>
          <w:instrText xml:space="preserve">PAGEREF 7895 \h</w:instrText>
        </w:r>
        <w:r>
          <w:fldChar w:fldCharType="end"/>
        </w:r>
      </w:hyperlink>
    </w:p>
    <w:p>
      <w:pPr>
        <w:tabs>
          <w:tab w:val="right" w:leader="dot" w:pos="9062"/>
        </w:tabs>
        <w:ind w:left="440"/>
      </w:pPr>
      <w:hyperlink w:anchor="_Toc7896" w:history="1">
        <w:r>
          <w:rPr>
            <w:rFonts w:ascii="IRNazanin" w:hAnsi="IRNazanin" w:eastAsia="IRNazanin" w:cs="IRNazanin"/>
            <w:color w:val="111111"/>
            <w:sz w:val="22"/>
            <w:szCs w:val="22"/>
            <w:b w:val="0"/>
            <w:bCs w:val="0"/>
            <w:i w:val="0"/>
            <w:iCs w:val="0"/>
          </w:rPr>
          <w:t>دیوان معصوم دشتکی‏</w:t>
        </w:r>
        <w:r>
          <w:tab/>
        </w:r>
        <w:r>
          <w:fldChar w:fldCharType="begin"/>
        </w:r>
        <w:r>
          <w:instrText xml:space="preserve">PAGEREF 7896 \h</w:instrText>
        </w:r>
        <w:r>
          <w:fldChar w:fldCharType="end"/>
        </w:r>
      </w:hyperlink>
    </w:p>
    <w:p>
      <w:pPr>
        <w:tabs>
          <w:tab w:val="right" w:leader="dot" w:pos="9062"/>
        </w:tabs>
        <w:ind w:left="440"/>
      </w:pPr>
      <w:hyperlink w:anchor="_Toc7897" w:history="1">
        <w:r>
          <w:rPr>
            <w:rFonts w:ascii="IRNazanin" w:hAnsi="IRNazanin" w:eastAsia="IRNazanin" w:cs="IRNazanin"/>
            <w:color w:val="111111"/>
            <w:sz w:val="22"/>
            <w:szCs w:val="22"/>
            <w:b w:val="0"/>
            <w:bCs w:val="0"/>
            <w:i w:val="0"/>
            <w:iCs w:val="0"/>
          </w:rPr>
          <w:t>دیوان معصوم شیرازی‏</w:t>
        </w:r>
        <w:r>
          <w:tab/>
        </w:r>
        <w:r>
          <w:fldChar w:fldCharType="begin"/>
        </w:r>
        <w:r>
          <w:instrText xml:space="preserve">PAGEREF 7897 \h</w:instrText>
        </w:r>
        <w:r>
          <w:fldChar w:fldCharType="end"/>
        </w:r>
      </w:hyperlink>
    </w:p>
    <w:p>
      <w:pPr>
        <w:tabs>
          <w:tab w:val="right" w:leader="dot" w:pos="9062"/>
        </w:tabs>
        <w:ind w:left="440"/>
      </w:pPr>
      <w:hyperlink w:anchor="_Toc7898" w:history="1">
        <w:r>
          <w:rPr>
            <w:rFonts w:ascii="IRNazanin" w:hAnsi="IRNazanin" w:eastAsia="IRNazanin" w:cs="IRNazanin"/>
            <w:color w:val="111111"/>
            <w:sz w:val="22"/>
            <w:szCs w:val="22"/>
            <w:b w:val="0"/>
            <w:bCs w:val="0"/>
            <w:i w:val="0"/>
            <w:iCs w:val="0"/>
          </w:rPr>
          <w:t>دیوان معصوم علی‏</w:t>
        </w:r>
        <w:r>
          <w:tab/>
        </w:r>
        <w:r>
          <w:fldChar w:fldCharType="begin"/>
        </w:r>
        <w:r>
          <w:instrText xml:space="preserve">PAGEREF 7898 \h</w:instrText>
        </w:r>
        <w:r>
          <w:fldChar w:fldCharType="end"/>
        </w:r>
      </w:hyperlink>
    </w:p>
    <w:p>
      <w:pPr>
        <w:tabs>
          <w:tab w:val="right" w:leader="dot" w:pos="9062"/>
        </w:tabs>
        <w:ind w:left="440"/>
      </w:pPr>
      <w:hyperlink w:anchor="_Toc7899" w:history="1">
        <w:r>
          <w:rPr>
            <w:rFonts w:ascii="IRNazanin" w:hAnsi="IRNazanin" w:eastAsia="IRNazanin" w:cs="IRNazanin"/>
            <w:color w:val="111111"/>
            <w:sz w:val="22"/>
            <w:szCs w:val="22"/>
            <w:b w:val="0"/>
            <w:bCs w:val="0"/>
            <w:i w:val="0"/>
            <w:iCs w:val="0"/>
          </w:rPr>
          <w:t>6956- دیوان معصوم علی شاه أو شعره‏</w:t>
        </w:r>
        <w:r>
          <w:tab/>
        </w:r>
        <w:r>
          <w:fldChar w:fldCharType="begin"/>
        </w:r>
        <w:r>
          <w:instrText xml:space="preserve">PAGEREF 7899 \h</w:instrText>
        </w:r>
        <w:r>
          <w:fldChar w:fldCharType="end"/>
        </w:r>
      </w:hyperlink>
    </w:p>
    <w:p>
      <w:pPr>
        <w:tabs>
          <w:tab w:val="right" w:leader="dot" w:pos="9062"/>
        </w:tabs>
        <w:ind w:left="440"/>
      </w:pPr>
      <w:hyperlink w:anchor="_Toc7900" w:history="1">
        <w:r>
          <w:rPr>
            <w:rFonts w:ascii="IRNazanin" w:hAnsi="IRNazanin" w:eastAsia="IRNazanin" w:cs="IRNazanin"/>
            <w:color w:val="111111"/>
            <w:sz w:val="22"/>
            <w:szCs w:val="22"/>
            <w:b w:val="0"/>
            <w:bCs w:val="0"/>
            <w:i w:val="0"/>
            <w:iCs w:val="0"/>
          </w:rPr>
          <w:t>6957- دیوان معصوم کاشانی أو شعره‏</w:t>
        </w:r>
        <w:r>
          <w:tab/>
        </w:r>
        <w:r>
          <w:fldChar w:fldCharType="begin"/>
        </w:r>
        <w:r>
          <w:instrText xml:space="preserve">PAGEREF 7900 \h</w:instrText>
        </w:r>
        <w:r>
          <w:fldChar w:fldCharType="end"/>
        </w:r>
      </w:hyperlink>
    </w:p>
    <w:p>
      <w:pPr>
        <w:tabs>
          <w:tab w:val="right" w:leader="dot" w:pos="9062"/>
        </w:tabs>
        <w:ind w:left="440"/>
      </w:pPr>
      <w:hyperlink w:anchor="_Toc7901" w:history="1">
        <w:r>
          <w:rPr>
            <w:rFonts w:ascii="IRNazanin" w:hAnsi="IRNazanin" w:eastAsia="IRNazanin" w:cs="IRNazanin"/>
            <w:color w:val="111111"/>
            <w:sz w:val="22"/>
            <w:szCs w:val="22"/>
            <w:b w:val="0"/>
            <w:bCs w:val="0"/>
            <w:i w:val="0"/>
            <w:iCs w:val="0"/>
          </w:rPr>
          <w:t>6958- دیوان معصوم لاری أو شعره‏</w:t>
        </w:r>
        <w:r>
          <w:tab/>
        </w:r>
        <w:r>
          <w:fldChar w:fldCharType="begin"/>
        </w:r>
        <w:r>
          <w:instrText xml:space="preserve">PAGEREF 7901 \h</w:instrText>
        </w:r>
        <w:r>
          <w:fldChar w:fldCharType="end"/>
        </w:r>
      </w:hyperlink>
    </w:p>
    <w:p>
      <w:pPr>
        <w:tabs>
          <w:tab w:val="right" w:leader="dot" w:pos="9062"/>
        </w:tabs>
        <w:ind w:left="440"/>
      </w:pPr>
      <w:hyperlink w:anchor="_Toc7902" w:history="1">
        <w:r>
          <w:rPr>
            <w:rFonts w:ascii="IRNazanin" w:hAnsi="IRNazanin" w:eastAsia="IRNazanin" w:cs="IRNazanin"/>
            <w:color w:val="111111"/>
            <w:sz w:val="22"/>
            <w:szCs w:val="22"/>
            <w:b w:val="0"/>
            <w:bCs w:val="0"/>
            <w:i w:val="0"/>
            <w:iCs w:val="0"/>
          </w:rPr>
          <w:t>6959- دیوان معصوم لاهوری أو شعره‏</w:t>
        </w:r>
        <w:r>
          <w:tab/>
        </w:r>
        <w:r>
          <w:fldChar w:fldCharType="begin"/>
        </w:r>
        <w:r>
          <w:instrText xml:space="preserve">PAGEREF 7902 \h</w:instrText>
        </w:r>
        <w:r>
          <w:fldChar w:fldCharType="end"/>
        </w:r>
      </w:hyperlink>
    </w:p>
    <w:p>
      <w:pPr>
        <w:tabs>
          <w:tab w:val="right" w:leader="dot" w:pos="9062"/>
        </w:tabs>
        <w:ind w:left="440"/>
      </w:pPr>
      <w:hyperlink w:anchor="_Toc7903" w:history="1">
        <w:r>
          <w:rPr>
            <w:rFonts w:ascii="IRNazanin" w:hAnsi="IRNazanin" w:eastAsia="IRNazanin" w:cs="IRNazanin"/>
            <w:color w:val="111111"/>
            <w:sz w:val="22"/>
            <w:szCs w:val="22"/>
            <w:b w:val="0"/>
            <w:bCs w:val="0"/>
            <w:i w:val="0"/>
            <w:iCs w:val="0"/>
          </w:rPr>
          <w:t>دیوان معصوم همدانی‏</w:t>
        </w:r>
        <w:r>
          <w:tab/>
        </w:r>
        <w:r>
          <w:fldChar w:fldCharType="begin"/>
        </w:r>
        <w:r>
          <w:instrText xml:space="preserve">PAGEREF 7903 \h</w:instrText>
        </w:r>
        <w:r>
          <w:fldChar w:fldCharType="end"/>
        </w:r>
      </w:hyperlink>
    </w:p>
    <w:p>
      <w:pPr>
        <w:tabs>
          <w:tab w:val="right" w:leader="dot" w:pos="9062"/>
        </w:tabs>
        <w:ind w:left="440"/>
      </w:pPr>
      <w:hyperlink w:anchor="_Toc7904" w:history="1">
        <w:r>
          <w:rPr>
            <w:rFonts w:ascii="IRNazanin" w:hAnsi="IRNazanin" w:eastAsia="IRNazanin" w:cs="IRNazanin"/>
            <w:color w:val="111111"/>
            <w:sz w:val="22"/>
            <w:szCs w:val="22"/>
            <w:b w:val="0"/>
            <w:bCs w:val="0"/>
            <w:i w:val="0"/>
            <w:iCs w:val="0"/>
          </w:rPr>
          <w:t>6960- دیوان معصومی گنابادی‏</w:t>
        </w:r>
        <w:r>
          <w:tab/>
        </w:r>
        <w:r>
          <w:fldChar w:fldCharType="begin"/>
        </w:r>
        <w:r>
          <w:instrText xml:space="preserve">PAGEREF 7904 \h</w:instrText>
        </w:r>
        <w:r>
          <w:fldChar w:fldCharType="end"/>
        </w:r>
      </w:hyperlink>
    </w:p>
    <w:p>
      <w:pPr>
        <w:tabs>
          <w:tab w:val="right" w:leader="dot" w:pos="9062"/>
        </w:tabs>
        <w:ind w:left="440"/>
      </w:pPr>
      <w:hyperlink w:anchor="_Toc7905" w:history="1">
        <w:r>
          <w:rPr>
            <w:rFonts w:ascii="IRNazanin" w:hAnsi="IRNazanin" w:eastAsia="IRNazanin" w:cs="IRNazanin"/>
            <w:color w:val="111111"/>
            <w:sz w:val="22"/>
            <w:szCs w:val="22"/>
            <w:b w:val="0"/>
            <w:bCs w:val="0"/>
            <w:i w:val="0"/>
            <w:iCs w:val="0"/>
          </w:rPr>
          <w:t>6961- دیوان معطر کرمانی‏</w:t>
        </w:r>
        <w:r>
          <w:tab/>
        </w:r>
        <w:r>
          <w:fldChar w:fldCharType="begin"/>
        </w:r>
        <w:r>
          <w:instrText xml:space="preserve">PAGEREF 7905 \h</w:instrText>
        </w:r>
        <w:r>
          <w:fldChar w:fldCharType="end"/>
        </w:r>
      </w:hyperlink>
    </w:p>
    <w:p>
      <w:pPr>
        <w:tabs>
          <w:tab w:val="right" w:leader="dot" w:pos="9062"/>
        </w:tabs>
        <w:ind w:left="440"/>
      </w:pPr>
      <w:hyperlink w:anchor="_Toc7906" w:history="1">
        <w:r>
          <w:rPr>
            <w:rFonts w:ascii="IRNazanin" w:hAnsi="IRNazanin" w:eastAsia="IRNazanin" w:cs="IRNazanin"/>
            <w:color w:val="111111"/>
            <w:sz w:val="22"/>
            <w:szCs w:val="22"/>
            <w:b w:val="0"/>
            <w:bCs w:val="0"/>
            <w:i w:val="0"/>
            <w:iCs w:val="0"/>
          </w:rPr>
          <w:t>6962- دیوان معظم أکبرآبادی أو شعره‏</w:t>
        </w:r>
        <w:r>
          <w:tab/>
        </w:r>
        <w:r>
          <w:fldChar w:fldCharType="begin"/>
        </w:r>
        <w:r>
          <w:instrText xml:space="preserve">PAGEREF 7906 \h</w:instrText>
        </w:r>
        <w:r>
          <w:fldChar w:fldCharType="end"/>
        </w:r>
      </w:hyperlink>
    </w:p>
    <w:p>
      <w:pPr>
        <w:tabs>
          <w:tab w:val="right" w:leader="dot" w:pos="9062"/>
        </w:tabs>
        <w:ind w:left="440"/>
      </w:pPr>
      <w:hyperlink w:anchor="_Toc7907" w:history="1">
        <w:r>
          <w:rPr>
            <w:rFonts w:ascii="IRNazanin" w:hAnsi="IRNazanin" w:eastAsia="IRNazanin" w:cs="IRNazanin"/>
            <w:color w:val="111111"/>
            <w:sz w:val="22"/>
            <w:szCs w:val="22"/>
            <w:b w:val="0"/>
            <w:bCs w:val="0"/>
            <w:i w:val="0"/>
            <w:iCs w:val="0"/>
          </w:rPr>
          <w:t>6963- دیوان معظم بهاری أو شعره‏</w:t>
        </w:r>
        <w:r>
          <w:tab/>
        </w:r>
        <w:r>
          <w:fldChar w:fldCharType="begin"/>
        </w:r>
        <w:r>
          <w:instrText xml:space="preserve">PAGEREF 7907 \h</w:instrText>
        </w:r>
        <w:r>
          <w:fldChar w:fldCharType="end"/>
        </w:r>
      </w:hyperlink>
    </w:p>
    <w:p>
      <w:pPr>
        <w:tabs>
          <w:tab w:val="right" w:leader="dot" w:pos="9062"/>
        </w:tabs>
        <w:ind w:left="440"/>
      </w:pPr>
      <w:hyperlink w:anchor="_Toc7908" w:history="1">
        <w:r>
          <w:rPr>
            <w:rFonts w:ascii="IRNazanin" w:hAnsi="IRNazanin" w:eastAsia="IRNazanin" w:cs="IRNazanin"/>
            <w:color w:val="111111"/>
            <w:sz w:val="22"/>
            <w:szCs w:val="22"/>
            <w:b w:val="0"/>
            <w:bCs w:val="0"/>
            <w:i w:val="0"/>
            <w:iCs w:val="0"/>
          </w:rPr>
          <w:t>6964- دیوان معظم السلطنة</w:t>
        </w:r>
        <w:r>
          <w:tab/>
        </w:r>
        <w:r>
          <w:fldChar w:fldCharType="begin"/>
        </w:r>
        <w:r>
          <w:instrText xml:space="preserve">PAGEREF 7908 \h</w:instrText>
        </w:r>
        <w:r>
          <w:fldChar w:fldCharType="end"/>
        </w:r>
      </w:hyperlink>
    </w:p>
    <w:p>
      <w:pPr>
        <w:tabs>
          <w:tab w:val="right" w:leader="dot" w:pos="9062"/>
        </w:tabs>
        <w:ind w:left="440"/>
      </w:pPr>
      <w:hyperlink w:anchor="_Toc7909" w:history="1">
        <w:r>
          <w:rPr>
            <w:rFonts w:ascii="IRNazanin" w:hAnsi="IRNazanin" w:eastAsia="IRNazanin" w:cs="IRNazanin"/>
            <w:color w:val="111111"/>
            <w:sz w:val="22"/>
            <w:szCs w:val="22"/>
            <w:b w:val="0"/>
            <w:bCs w:val="0"/>
            <w:i w:val="0"/>
            <w:iCs w:val="0"/>
          </w:rPr>
          <w:t>6965- دیوان معلم حبیب‏آبادی‏</w:t>
        </w:r>
        <w:r>
          <w:tab/>
        </w:r>
        <w:r>
          <w:fldChar w:fldCharType="begin"/>
        </w:r>
        <w:r>
          <w:instrText xml:space="preserve">PAGEREF 7909 \h</w:instrText>
        </w:r>
        <w:r>
          <w:fldChar w:fldCharType="end"/>
        </w:r>
      </w:hyperlink>
    </w:p>
    <w:p>
      <w:pPr>
        <w:tabs>
          <w:tab w:val="right" w:leader="dot" w:pos="9062"/>
        </w:tabs>
        <w:ind w:left="440"/>
      </w:pPr>
      <w:hyperlink w:anchor="_Toc7910" w:history="1">
        <w:r>
          <w:rPr>
            <w:rFonts w:ascii="IRNazanin" w:hAnsi="IRNazanin" w:eastAsia="IRNazanin" w:cs="IRNazanin"/>
            <w:color w:val="111111"/>
            <w:sz w:val="22"/>
            <w:szCs w:val="22"/>
            <w:b w:val="0"/>
            <w:bCs w:val="0"/>
            <w:i w:val="0"/>
            <w:iCs w:val="0"/>
          </w:rPr>
          <w:t>6966- دیوان معلم قاری‏</w:t>
        </w:r>
        <w:r>
          <w:tab/>
        </w:r>
        <w:r>
          <w:fldChar w:fldCharType="begin"/>
        </w:r>
        <w:r>
          <w:instrText xml:space="preserve">PAGEREF 7910 \h</w:instrText>
        </w:r>
        <w:r>
          <w:fldChar w:fldCharType="end"/>
        </w:r>
      </w:hyperlink>
    </w:p>
    <w:p>
      <w:pPr>
        <w:tabs>
          <w:tab w:val="right" w:leader="dot" w:pos="9062"/>
        </w:tabs>
        <w:ind w:left="440"/>
      </w:pPr>
      <w:hyperlink w:anchor="_Toc7911" w:history="1">
        <w:r>
          <w:rPr>
            <w:rFonts w:ascii="IRNazanin" w:hAnsi="IRNazanin" w:eastAsia="IRNazanin" w:cs="IRNazanin"/>
            <w:color w:val="111111"/>
            <w:sz w:val="22"/>
            <w:szCs w:val="22"/>
            <w:b w:val="0"/>
            <w:bCs w:val="0"/>
            <w:i w:val="0"/>
            <w:iCs w:val="0"/>
          </w:rPr>
          <w:t>6967- دیوان معلم کاشانی أو شعره‏</w:t>
        </w:r>
        <w:r>
          <w:tab/>
        </w:r>
        <w:r>
          <w:fldChar w:fldCharType="begin"/>
        </w:r>
        <w:r>
          <w:instrText xml:space="preserve">PAGEREF 7911 \h</w:instrText>
        </w:r>
        <w:r>
          <w:fldChar w:fldCharType="end"/>
        </w:r>
      </w:hyperlink>
    </w:p>
    <w:p>
      <w:pPr>
        <w:tabs>
          <w:tab w:val="right" w:leader="dot" w:pos="9062"/>
        </w:tabs>
        <w:ind w:left="440"/>
      </w:pPr>
      <w:hyperlink w:anchor="_Toc7912" w:history="1">
        <w:r>
          <w:rPr>
            <w:rFonts w:ascii="IRNazanin" w:hAnsi="IRNazanin" w:eastAsia="IRNazanin" w:cs="IRNazanin"/>
            <w:color w:val="111111"/>
            <w:sz w:val="22"/>
            <w:szCs w:val="22"/>
            <w:b w:val="0"/>
            <w:bCs w:val="0"/>
            <w:i w:val="0"/>
            <w:iCs w:val="0"/>
          </w:rPr>
          <w:t>6968- دیوان معلم لاهیجی أو شعره‏</w:t>
        </w:r>
        <w:r>
          <w:tab/>
        </w:r>
        <w:r>
          <w:fldChar w:fldCharType="begin"/>
        </w:r>
        <w:r>
          <w:instrText xml:space="preserve">PAGEREF 7912 \h</w:instrText>
        </w:r>
        <w:r>
          <w:fldChar w:fldCharType="end"/>
        </w:r>
      </w:hyperlink>
    </w:p>
    <w:p>
      <w:pPr>
        <w:tabs>
          <w:tab w:val="right" w:leader="dot" w:pos="9062"/>
        </w:tabs>
        <w:ind w:left="440"/>
      </w:pPr>
      <w:hyperlink w:anchor="_Toc7913" w:history="1">
        <w:r>
          <w:rPr>
            <w:rFonts w:ascii="IRNazanin" w:hAnsi="IRNazanin" w:eastAsia="IRNazanin" w:cs="IRNazanin"/>
            <w:color w:val="111111"/>
            <w:sz w:val="22"/>
            <w:szCs w:val="22"/>
            <w:b w:val="0"/>
            <w:bCs w:val="0"/>
            <w:i w:val="0"/>
            <w:iCs w:val="0"/>
          </w:rPr>
          <w:t>6969- دیوان معلوم تبریزی‏</w:t>
        </w:r>
        <w:r>
          <w:tab/>
        </w:r>
        <w:r>
          <w:fldChar w:fldCharType="begin"/>
        </w:r>
        <w:r>
          <w:instrText xml:space="preserve">PAGEREF 7913 \h</w:instrText>
        </w:r>
        <w:r>
          <w:fldChar w:fldCharType="end"/>
        </w:r>
      </w:hyperlink>
    </w:p>
    <w:p>
      <w:pPr>
        <w:tabs>
          <w:tab w:val="right" w:leader="dot" w:pos="9062"/>
        </w:tabs>
        <w:ind w:left="440"/>
      </w:pPr>
      <w:hyperlink w:anchor="_Toc7914" w:history="1">
        <w:r>
          <w:rPr>
            <w:rFonts w:ascii="IRNazanin" w:hAnsi="IRNazanin" w:eastAsia="IRNazanin" w:cs="IRNazanin"/>
            <w:color w:val="111111"/>
            <w:sz w:val="22"/>
            <w:szCs w:val="22"/>
            <w:b w:val="0"/>
            <w:bCs w:val="0"/>
            <w:i w:val="0"/>
            <w:iCs w:val="0"/>
          </w:rPr>
          <w:t>دیوان معمار</w:t>
        </w:r>
        <w:r>
          <w:tab/>
        </w:r>
        <w:r>
          <w:fldChar w:fldCharType="begin"/>
        </w:r>
        <w:r>
          <w:instrText xml:space="preserve">PAGEREF 7914 \h</w:instrText>
        </w:r>
        <w:r>
          <w:fldChar w:fldCharType="end"/>
        </w:r>
      </w:hyperlink>
    </w:p>
    <w:p>
      <w:pPr>
        <w:tabs>
          <w:tab w:val="right" w:leader="dot" w:pos="9062"/>
        </w:tabs>
        <w:ind w:left="440"/>
      </w:pPr>
      <w:hyperlink w:anchor="_Toc7915" w:history="1">
        <w:r>
          <w:rPr>
            <w:rFonts w:ascii="IRNazanin" w:hAnsi="IRNazanin" w:eastAsia="IRNazanin" w:cs="IRNazanin"/>
            <w:color w:val="111111"/>
            <w:sz w:val="22"/>
            <w:szCs w:val="22"/>
            <w:b w:val="0"/>
            <w:bCs w:val="0"/>
            <w:i w:val="0"/>
            <w:iCs w:val="0"/>
          </w:rPr>
          <w:t>دیوان معمایی أسترآبادی‏</w:t>
        </w:r>
        <w:r>
          <w:tab/>
        </w:r>
        <w:r>
          <w:fldChar w:fldCharType="begin"/>
        </w:r>
        <w:r>
          <w:instrText xml:space="preserve">PAGEREF 7915 \h</w:instrText>
        </w:r>
        <w:r>
          <w:fldChar w:fldCharType="end"/>
        </w:r>
      </w:hyperlink>
    </w:p>
    <w:p>
      <w:pPr>
        <w:tabs>
          <w:tab w:val="right" w:leader="dot" w:pos="9062"/>
        </w:tabs>
        <w:ind w:left="440"/>
      </w:pPr>
      <w:hyperlink w:anchor="_Toc7916" w:history="1">
        <w:r>
          <w:rPr>
            <w:rFonts w:ascii="IRNazanin" w:hAnsi="IRNazanin" w:eastAsia="IRNazanin" w:cs="IRNazanin"/>
            <w:color w:val="111111"/>
            <w:sz w:val="22"/>
            <w:szCs w:val="22"/>
            <w:b w:val="0"/>
            <w:bCs w:val="0"/>
            <w:i w:val="0"/>
            <w:iCs w:val="0"/>
          </w:rPr>
          <w:t>دیوان معمایی خراسانی‏</w:t>
        </w:r>
        <w:r>
          <w:tab/>
        </w:r>
        <w:r>
          <w:fldChar w:fldCharType="begin"/>
        </w:r>
        <w:r>
          <w:instrText xml:space="preserve">PAGEREF 7916 \h</w:instrText>
        </w:r>
        <w:r>
          <w:fldChar w:fldCharType="end"/>
        </w:r>
      </w:hyperlink>
    </w:p>
    <w:p>
      <w:pPr>
        <w:tabs>
          <w:tab w:val="right" w:leader="dot" w:pos="9062"/>
        </w:tabs>
        <w:ind w:left="440"/>
      </w:pPr>
      <w:hyperlink w:anchor="_Toc7917" w:history="1">
        <w:r>
          <w:rPr>
            <w:rFonts w:ascii="IRNazanin" w:hAnsi="IRNazanin" w:eastAsia="IRNazanin" w:cs="IRNazanin"/>
            <w:color w:val="111111"/>
            <w:sz w:val="22"/>
            <w:szCs w:val="22"/>
            <w:b w:val="0"/>
            <w:bCs w:val="0"/>
            <w:i w:val="0"/>
            <w:iCs w:val="0"/>
          </w:rPr>
          <w:t>دیوان معمایی کاشانی‏</w:t>
        </w:r>
        <w:r>
          <w:tab/>
        </w:r>
        <w:r>
          <w:fldChar w:fldCharType="begin"/>
        </w:r>
        <w:r>
          <w:instrText xml:space="preserve">PAGEREF 7917 \h</w:instrText>
        </w:r>
        <w:r>
          <w:fldChar w:fldCharType="end"/>
        </w:r>
      </w:hyperlink>
    </w:p>
    <w:p>
      <w:pPr>
        <w:tabs>
          <w:tab w:val="right" w:leader="dot" w:pos="9062"/>
        </w:tabs>
        <w:ind w:left="440"/>
      </w:pPr>
      <w:hyperlink w:anchor="_Toc7918" w:history="1">
        <w:r>
          <w:rPr>
            <w:rFonts w:ascii="IRNazanin" w:hAnsi="IRNazanin" w:eastAsia="IRNazanin" w:cs="IRNazanin"/>
            <w:color w:val="111111"/>
            <w:sz w:val="22"/>
            <w:szCs w:val="22"/>
            <w:b w:val="0"/>
            <w:bCs w:val="0"/>
            <w:i w:val="0"/>
            <w:iCs w:val="0"/>
          </w:rPr>
          <w:t>دیوان معمایی ما وراء النهری‏</w:t>
        </w:r>
        <w:r>
          <w:tab/>
        </w:r>
        <w:r>
          <w:fldChar w:fldCharType="begin"/>
        </w:r>
        <w:r>
          <w:instrText xml:space="preserve">PAGEREF 7918 \h</w:instrText>
        </w:r>
        <w:r>
          <w:fldChar w:fldCharType="end"/>
        </w:r>
      </w:hyperlink>
    </w:p>
    <w:p>
      <w:pPr>
        <w:tabs>
          <w:tab w:val="right" w:leader="dot" w:pos="9062"/>
        </w:tabs>
        <w:ind w:left="440"/>
      </w:pPr>
      <w:hyperlink w:anchor="_Toc7919" w:history="1">
        <w:r>
          <w:rPr>
            <w:rFonts w:ascii="IRNazanin" w:hAnsi="IRNazanin" w:eastAsia="IRNazanin" w:cs="IRNazanin"/>
            <w:color w:val="111111"/>
            <w:sz w:val="22"/>
            <w:szCs w:val="22"/>
            <w:b w:val="0"/>
            <w:bCs w:val="0"/>
            <w:i w:val="0"/>
            <w:iCs w:val="0"/>
          </w:rPr>
          <w:t>دیوان معمایی نیشابوری‏</w:t>
        </w:r>
        <w:r>
          <w:tab/>
        </w:r>
        <w:r>
          <w:fldChar w:fldCharType="begin"/>
        </w:r>
        <w:r>
          <w:instrText xml:space="preserve">PAGEREF 7919 \h</w:instrText>
        </w:r>
        <w:r>
          <w:fldChar w:fldCharType="end"/>
        </w:r>
      </w:hyperlink>
    </w:p>
    <w:p>
      <w:pPr>
        <w:tabs>
          <w:tab w:val="right" w:leader="dot" w:pos="9062"/>
        </w:tabs>
        <w:ind w:left="440"/>
      </w:pPr>
      <w:hyperlink w:anchor="_Toc7920" w:history="1">
        <w:r>
          <w:rPr>
            <w:rFonts w:ascii="IRNazanin" w:hAnsi="IRNazanin" w:eastAsia="IRNazanin" w:cs="IRNazanin"/>
            <w:color w:val="111111"/>
            <w:sz w:val="22"/>
            <w:szCs w:val="22"/>
            <w:b w:val="0"/>
            <w:bCs w:val="0"/>
            <w:i w:val="0"/>
            <w:iCs w:val="0"/>
          </w:rPr>
          <w:t>دیوان معمایی هروی‏</w:t>
        </w:r>
        <w:r>
          <w:tab/>
        </w:r>
        <w:r>
          <w:fldChar w:fldCharType="begin"/>
        </w:r>
        <w:r>
          <w:instrText xml:space="preserve">PAGEREF 7920 \h</w:instrText>
        </w:r>
        <w:r>
          <w:fldChar w:fldCharType="end"/>
        </w:r>
      </w:hyperlink>
    </w:p>
    <w:p>
      <w:pPr>
        <w:tabs>
          <w:tab w:val="right" w:leader="dot" w:pos="9062"/>
        </w:tabs>
        <w:ind w:left="440"/>
      </w:pPr>
      <w:hyperlink w:anchor="_Toc7921" w:history="1">
        <w:r>
          <w:rPr>
            <w:rFonts w:ascii="IRNazanin" w:hAnsi="IRNazanin" w:eastAsia="IRNazanin" w:cs="IRNazanin"/>
            <w:color w:val="111111"/>
            <w:sz w:val="22"/>
            <w:szCs w:val="22"/>
            <w:b w:val="0"/>
            <w:bCs w:val="0"/>
            <w:i w:val="0"/>
            <w:iCs w:val="0"/>
          </w:rPr>
          <w:t>دیوان معمایی یزدی‏</w:t>
        </w:r>
        <w:r>
          <w:tab/>
        </w:r>
        <w:r>
          <w:fldChar w:fldCharType="begin"/>
        </w:r>
        <w:r>
          <w:instrText xml:space="preserve">PAGEREF 7921 \h</w:instrText>
        </w:r>
        <w:r>
          <w:fldChar w:fldCharType="end"/>
        </w:r>
      </w:hyperlink>
    </w:p>
    <w:p>
      <w:pPr>
        <w:tabs>
          <w:tab w:val="right" w:leader="dot" w:pos="9062"/>
        </w:tabs>
        <w:ind w:left="440"/>
      </w:pPr>
      <w:hyperlink w:anchor="_Toc7922" w:history="1">
        <w:r>
          <w:rPr>
            <w:rFonts w:ascii="IRNazanin" w:hAnsi="IRNazanin" w:eastAsia="IRNazanin" w:cs="IRNazanin"/>
            <w:color w:val="111111"/>
            <w:sz w:val="22"/>
            <w:szCs w:val="22"/>
            <w:b w:val="0"/>
            <w:bCs w:val="0"/>
            <w:i w:val="0"/>
            <w:iCs w:val="0"/>
          </w:rPr>
          <w:t>6970- دیوان معمیات‏</w:t>
        </w:r>
        <w:r>
          <w:tab/>
        </w:r>
        <w:r>
          <w:fldChar w:fldCharType="begin"/>
        </w:r>
        <w:r>
          <w:instrText xml:space="preserve">PAGEREF 7922 \h</w:instrText>
        </w:r>
        <w:r>
          <w:fldChar w:fldCharType="end"/>
        </w:r>
      </w:hyperlink>
    </w:p>
    <w:p>
      <w:pPr>
        <w:tabs>
          <w:tab w:val="right" w:leader="dot" w:pos="9062"/>
        </w:tabs>
        <w:ind w:left="440"/>
      </w:pPr>
      <w:hyperlink w:anchor="_Toc7923" w:history="1">
        <w:r>
          <w:rPr>
            <w:rFonts w:ascii="IRNazanin" w:hAnsi="IRNazanin" w:eastAsia="IRNazanin" w:cs="IRNazanin"/>
            <w:color w:val="111111"/>
            <w:sz w:val="22"/>
            <w:szCs w:val="22"/>
            <w:b w:val="0"/>
            <w:bCs w:val="0"/>
            <w:i w:val="0"/>
            <w:iCs w:val="0"/>
          </w:rPr>
          <w:t>6971- دیوان معمری گرگانی أو شعره‏</w:t>
        </w:r>
        <w:r>
          <w:tab/>
        </w:r>
        <w:r>
          <w:fldChar w:fldCharType="begin"/>
        </w:r>
        <w:r>
          <w:instrText xml:space="preserve">PAGEREF 7923 \h</w:instrText>
        </w:r>
        <w:r>
          <w:fldChar w:fldCharType="end"/>
        </w:r>
      </w:hyperlink>
    </w:p>
    <w:p>
      <w:pPr>
        <w:tabs>
          <w:tab w:val="right" w:leader="dot" w:pos="9062"/>
        </w:tabs>
        <w:ind w:left="440"/>
      </w:pPr>
      <w:hyperlink w:anchor="_Toc7924" w:history="1">
        <w:r>
          <w:rPr>
            <w:rFonts w:ascii="IRNazanin" w:hAnsi="IRNazanin" w:eastAsia="IRNazanin" w:cs="IRNazanin"/>
            <w:color w:val="111111"/>
            <w:sz w:val="22"/>
            <w:szCs w:val="22"/>
            <w:b w:val="0"/>
            <w:bCs w:val="0"/>
            <w:i w:val="0"/>
            <w:iCs w:val="0"/>
          </w:rPr>
          <w:t>6972- دیوان معنوی بخارائی أو شعره‏</w:t>
        </w:r>
        <w:r>
          <w:tab/>
        </w:r>
        <w:r>
          <w:fldChar w:fldCharType="begin"/>
        </w:r>
        <w:r>
          <w:instrText xml:space="preserve">PAGEREF 7924 \h</w:instrText>
        </w:r>
        <w:r>
          <w:fldChar w:fldCharType="end"/>
        </w:r>
      </w:hyperlink>
    </w:p>
    <w:p>
      <w:pPr>
        <w:tabs>
          <w:tab w:val="right" w:leader="dot" w:pos="9062"/>
        </w:tabs>
        <w:ind w:left="440"/>
      </w:pPr>
      <w:hyperlink w:anchor="_Toc7925" w:history="1">
        <w:r>
          <w:rPr>
            <w:rFonts w:ascii="IRNazanin" w:hAnsi="IRNazanin" w:eastAsia="IRNazanin" w:cs="IRNazanin"/>
            <w:color w:val="111111"/>
            <w:sz w:val="22"/>
            <w:szCs w:val="22"/>
            <w:b w:val="0"/>
            <w:bCs w:val="0"/>
            <w:i w:val="0"/>
            <w:iCs w:val="0"/>
          </w:rPr>
          <w:t>6973- دیوان معنوی بخارائی أو شعره‏</w:t>
        </w:r>
        <w:r>
          <w:tab/>
        </w:r>
        <w:r>
          <w:fldChar w:fldCharType="begin"/>
        </w:r>
        <w:r>
          <w:instrText xml:space="preserve">PAGEREF 7925 \h</w:instrText>
        </w:r>
        <w:r>
          <w:fldChar w:fldCharType="end"/>
        </w:r>
      </w:hyperlink>
    </w:p>
    <w:p>
      <w:pPr>
        <w:tabs>
          <w:tab w:val="right" w:leader="dot" w:pos="9062"/>
        </w:tabs>
        <w:ind w:left="440"/>
      </w:pPr>
      <w:hyperlink w:anchor="_Toc7926" w:history="1">
        <w:r>
          <w:rPr>
            <w:rFonts w:ascii="IRNazanin" w:hAnsi="IRNazanin" w:eastAsia="IRNazanin" w:cs="IRNazanin"/>
            <w:color w:val="111111"/>
            <w:sz w:val="22"/>
            <w:szCs w:val="22"/>
            <w:b w:val="0"/>
            <w:bCs w:val="0"/>
            <w:i w:val="0"/>
            <w:iCs w:val="0"/>
          </w:rPr>
          <w:t>6974- دیوان معنوی جونپوری أو شعره‏</w:t>
        </w:r>
        <w:r>
          <w:tab/>
        </w:r>
        <w:r>
          <w:fldChar w:fldCharType="begin"/>
        </w:r>
        <w:r>
          <w:instrText xml:space="preserve">PAGEREF 7926 \h</w:instrText>
        </w:r>
        <w:r>
          <w:fldChar w:fldCharType="end"/>
        </w:r>
      </w:hyperlink>
    </w:p>
    <w:p>
      <w:pPr>
        <w:tabs>
          <w:tab w:val="right" w:leader="dot" w:pos="9062"/>
        </w:tabs>
        <w:ind w:left="440"/>
      </w:pPr>
      <w:hyperlink w:anchor="_Toc7927" w:history="1">
        <w:r>
          <w:rPr>
            <w:rFonts w:ascii="IRNazanin" w:hAnsi="IRNazanin" w:eastAsia="IRNazanin" w:cs="IRNazanin"/>
            <w:color w:val="111111"/>
            <w:sz w:val="22"/>
            <w:szCs w:val="22"/>
            <w:b w:val="0"/>
            <w:bCs w:val="0"/>
            <w:i w:val="0"/>
            <w:iCs w:val="0"/>
          </w:rPr>
          <w:t>دیوان معنوی رومی‏</w:t>
        </w:r>
        <w:r>
          <w:tab/>
        </w:r>
        <w:r>
          <w:fldChar w:fldCharType="begin"/>
        </w:r>
        <w:r>
          <w:instrText xml:space="preserve">PAGEREF 7927 \h</w:instrText>
        </w:r>
        <w:r>
          <w:fldChar w:fldCharType="end"/>
        </w:r>
      </w:hyperlink>
    </w:p>
    <w:p>
      <w:pPr>
        <w:tabs>
          <w:tab w:val="right" w:leader="dot" w:pos="9062"/>
        </w:tabs>
        <w:ind w:left="440"/>
      </w:pPr>
      <w:hyperlink w:anchor="_Toc7928" w:history="1">
        <w:r>
          <w:rPr>
            <w:rFonts w:ascii="IRNazanin" w:hAnsi="IRNazanin" w:eastAsia="IRNazanin" w:cs="IRNazanin"/>
            <w:color w:val="111111"/>
            <w:sz w:val="22"/>
            <w:szCs w:val="22"/>
            <w:b w:val="0"/>
            <w:bCs w:val="0"/>
            <w:i w:val="0"/>
            <w:iCs w:val="0"/>
          </w:rPr>
          <w:t>6975- دیوان معنوی هروی أو شعره‏</w:t>
        </w:r>
        <w:r>
          <w:tab/>
        </w:r>
        <w:r>
          <w:fldChar w:fldCharType="begin"/>
        </w:r>
        <w:r>
          <w:instrText xml:space="preserve">PAGEREF 7928 \h</w:instrText>
        </w:r>
        <w:r>
          <w:fldChar w:fldCharType="end"/>
        </w:r>
      </w:hyperlink>
    </w:p>
    <w:p>
      <w:pPr>
        <w:tabs>
          <w:tab w:val="right" w:leader="dot" w:pos="9062"/>
        </w:tabs>
        <w:ind w:left="440"/>
      </w:pPr>
      <w:hyperlink w:anchor="_Toc7929" w:history="1">
        <w:r>
          <w:rPr>
            <w:rFonts w:ascii="IRNazanin" w:hAnsi="IRNazanin" w:eastAsia="IRNazanin" w:cs="IRNazanin"/>
            <w:color w:val="111111"/>
            <w:sz w:val="22"/>
            <w:szCs w:val="22"/>
            <w:b w:val="0"/>
            <w:bCs w:val="0"/>
            <w:i w:val="0"/>
            <w:iCs w:val="0"/>
          </w:rPr>
          <w:t>6976- دیوان معنی أسترآبادی أو شعره‏</w:t>
        </w:r>
        <w:r>
          <w:tab/>
        </w:r>
        <w:r>
          <w:fldChar w:fldCharType="begin"/>
        </w:r>
        <w:r>
          <w:instrText xml:space="preserve">PAGEREF 7929 \h</w:instrText>
        </w:r>
        <w:r>
          <w:fldChar w:fldCharType="end"/>
        </w:r>
      </w:hyperlink>
    </w:p>
    <w:p>
      <w:pPr>
        <w:tabs>
          <w:tab w:val="right" w:leader="dot" w:pos="9062"/>
        </w:tabs>
        <w:ind w:left="440"/>
      </w:pPr>
      <w:hyperlink w:anchor="_Toc7930" w:history="1">
        <w:r>
          <w:rPr>
            <w:rFonts w:ascii="IRNazanin" w:hAnsi="IRNazanin" w:eastAsia="IRNazanin" w:cs="IRNazanin"/>
            <w:color w:val="111111"/>
            <w:sz w:val="22"/>
            <w:szCs w:val="22"/>
            <w:b w:val="0"/>
            <w:bCs w:val="0"/>
            <w:i w:val="0"/>
            <w:iCs w:val="0"/>
          </w:rPr>
          <w:t>6977- دیوان معنی أکبرآبادی أو شعره‏</w:t>
        </w:r>
        <w:r>
          <w:tab/>
        </w:r>
        <w:r>
          <w:fldChar w:fldCharType="begin"/>
        </w:r>
        <w:r>
          <w:instrText xml:space="preserve">PAGEREF 7930 \h</w:instrText>
        </w:r>
        <w:r>
          <w:fldChar w:fldCharType="end"/>
        </w:r>
      </w:hyperlink>
    </w:p>
    <w:p>
      <w:pPr>
        <w:tabs>
          <w:tab w:val="right" w:leader="dot" w:pos="9062"/>
        </w:tabs>
        <w:ind w:left="440"/>
      </w:pPr>
      <w:hyperlink w:anchor="_Toc7931" w:history="1">
        <w:r>
          <w:rPr>
            <w:rFonts w:ascii="IRNazanin" w:hAnsi="IRNazanin" w:eastAsia="IRNazanin" w:cs="IRNazanin"/>
            <w:color w:val="111111"/>
            <w:sz w:val="22"/>
            <w:szCs w:val="22"/>
            <w:b w:val="0"/>
            <w:bCs w:val="0"/>
            <w:i w:val="0"/>
            <w:iCs w:val="0"/>
          </w:rPr>
          <w:t>6978- دیوان معنی پنجابی أو شعره‏</w:t>
        </w:r>
        <w:r>
          <w:tab/>
        </w:r>
        <w:r>
          <w:fldChar w:fldCharType="begin"/>
        </w:r>
        <w:r>
          <w:instrText xml:space="preserve">PAGEREF 7931 \h</w:instrText>
        </w:r>
        <w:r>
          <w:fldChar w:fldCharType="end"/>
        </w:r>
      </w:hyperlink>
    </w:p>
    <w:p>
      <w:pPr>
        <w:tabs>
          <w:tab w:val="right" w:leader="dot" w:pos="9062"/>
        </w:tabs>
        <w:ind w:left="440"/>
      </w:pPr>
      <w:hyperlink w:anchor="_Toc7932" w:history="1">
        <w:r>
          <w:rPr>
            <w:rFonts w:ascii="IRNazanin" w:hAnsi="IRNazanin" w:eastAsia="IRNazanin" w:cs="IRNazanin"/>
            <w:color w:val="111111"/>
            <w:sz w:val="22"/>
            <w:szCs w:val="22"/>
            <w:b w:val="0"/>
            <w:bCs w:val="0"/>
            <w:i w:val="0"/>
            <w:iCs w:val="0"/>
          </w:rPr>
          <w:t>6979- دیوان معنی حیدرآبادی أو شعره‏</w:t>
        </w:r>
        <w:r>
          <w:tab/>
        </w:r>
        <w:r>
          <w:fldChar w:fldCharType="begin"/>
        </w:r>
        <w:r>
          <w:instrText xml:space="preserve">PAGEREF 7932 \h</w:instrText>
        </w:r>
        <w:r>
          <w:fldChar w:fldCharType="end"/>
        </w:r>
      </w:hyperlink>
    </w:p>
    <w:p>
      <w:pPr>
        <w:tabs>
          <w:tab w:val="right" w:leader="dot" w:pos="9062"/>
        </w:tabs>
        <w:ind w:left="440"/>
      </w:pPr>
      <w:hyperlink w:anchor="_Toc7933" w:history="1">
        <w:r>
          <w:rPr>
            <w:rFonts w:ascii="IRNazanin" w:hAnsi="IRNazanin" w:eastAsia="IRNazanin" w:cs="IRNazanin"/>
            <w:color w:val="111111"/>
            <w:sz w:val="22"/>
            <w:szCs w:val="22"/>
            <w:b w:val="0"/>
            <w:bCs w:val="0"/>
            <w:i w:val="0"/>
            <w:iCs w:val="0"/>
          </w:rPr>
          <w:t>6980- دیوان معنی دهلوی أو شعره‏</w:t>
        </w:r>
        <w:r>
          <w:tab/>
        </w:r>
        <w:r>
          <w:fldChar w:fldCharType="begin"/>
        </w:r>
        <w:r>
          <w:instrText xml:space="preserve">PAGEREF 7933 \h</w:instrText>
        </w:r>
        <w:r>
          <w:fldChar w:fldCharType="end"/>
        </w:r>
      </w:hyperlink>
    </w:p>
    <w:p>
      <w:pPr>
        <w:tabs>
          <w:tab w:val="right" w:leader="dot" w:pos="9062"/>
        </w:tabs>
        <w:ind w:left="440"/>
      </w:pPr>
      <w:hyperlink w:anchor="_Toc7934" w:history="1">
        <w:r>
          <w:rPr>
            <w:rFonts w:ascii="IRNazanin" w:hAnsi="IRNazanin" w:eastAsia="IRNazanin" w:cs="IRNazanin"/>
            <w:color w:val="111111"/>
            <w:sz w:val="22"/>
            <w:szCs w:val="22"/>
            <w:b w:val="0"/>
            <w:bCs w:val="0"/>
            <w:i w:val="0"/>
            <w:iCs w:val="0"/>
          </w:rPr>
          <w:t>6981- دیوان معنی شیرازی أو شعره‏</w:t>
        </w:r>
        <w:r>
          <w:tab/>
        </w:r>
        <w:r>
          <w:fldChar w:fldCharType="begin"/>
        </w:r>
        <w:r>
          <w:instrText xml:space="preserve">PAGEREF 7934 \h</w:instrText>
        </w:r>
        <w:r>
          <w:fldChar w:fldCharType="end"/>
        </w:r>
      </w:hyperlink>
    </w:p>
    <w:p>
      <w:pPr>
        <w:tabs>
          <w:tab w:val="right" w:leader="dot" w:pos="9062"/>
        </w:tabs>
        <w:ind w:left="440"/>
      </w:pPr>
      <w:hyperlink w:anchor="_Toc7935" w:history="1">
        <w:r>
          <w:rPr>
            <w:rFonts w:ascii="IRNazanin" w:hAnsi="IRNazanin" w:eastAsia="IRNazanin" w:cs="IRNazanin"/>
            <w:color w:val="111111"/>
            <w:sz w:val="22"/>
            <w:szCs w:val="22"/>
            <w:b w:val="0"/>
            <w:bCs w:val="0"/>
            <w:i w:val="0"/>
            <w:iCs w:val="0"/>
          </w:rPr>
          <w:t>6982- دیوان معنی فسائی‏</w:t>
        </w:r>
        <w:r>
          <w:tab/>
        </w:r>
        <w:r>
          <w:fldChar w:fldCharType="begin"/>
        </w:r>
        <w:r>
          <w:instrText xml:space="preserve">PAGEREF 7935 \h</w:instrText>
        </w:r>
        <w:r>
          <w:fldChar w:fldCharType="end"/>
        </w:r>
      </w:hyperlink>
    </w:p>
    <w:p>
      <w:pPr>
        <w:tabs>
          <w:tab w:val="right" w:leader="dot" w:pos="9062"/>
        </w:tabs>
        <w:ind w:left="440"/>
      </w:pPr>
      <w:hyperlink w:anchor="_Toc7936" w:history="1">
        <w:r>
          <w:rPr>
            <w:rFonts w:ascii="IRNazanin" w:hAnsi="IRNazanin" w:eastAsia="IRNazanin" w:cs="IRNazanin"/>
            <w:color w:val="111111"/>
            <w:sz w:val="22"/>
            <w:szCs w:val="22"/>
            <w:b w:val="0"/>
            <w:bCs w:val="0"/>
            <w:i w:val="0"/>
            <w:iCs w:val="0"/>
          </w:rPr>
          <w:t>دیوان معنی فسوی‏</w:t>
        </w:r>
        <w:r>
          <w:tab/>
        </w:r>
        <w:r>
          <w:fldChar w:fldCharType="begin"/>
        </w:r>
        <w:r>
          <w:instrText xml:space="preserve">PAGEREF 7936 \h</w:instrText>
        </w:r>
        <w:r>
          <w:fldChar w:fldCharType="end"/>
        </w:r>
      </w:hyperlink>
    </w:p>
    <w:p>
      <w:pPr>
        <w:tabs>
          <w:tab w:val="right" w:leader="dot" w:pos="9062"/>
        </w:tabs>
        <w:ind w:left="440"/>
      </w:pPr>
      <w:hyperlink w:anchor="_Toc7937" w:history="1">
        <w:r>
          <w:rPr>
            <w:rFonts w:ascii="IRNazanin" w:hAnsi="IRNazanin" w:eastAsia="IRNazanin" w:cs="IRNazanin"/>
            <w:color w:val="111111"/>
            <w:sz w:val="22"/>
            <w:szCs w:val="22"/>
            <w:b w:val="0"/>
            <w:bCs w:val="0"/>
            <w:i w:val="0"/>
            <w:iCs w:val="0"/>
          </w:rPr>
          <w:t>6983- دیوان معنی کشمیری أو شعره‏</w:t>
        </w:r>
        <w:r>
          <w:tab/>
        </w:r>
        <w:r>
          <w:fldChar w:fldCharType="begin"/>
        </w:r>
        <w:r>
          <w:instrText xml:space="preserve">PAGEREF 7937 \h</w:instrText>
        </w:r>
        <w:r>
          <w:fldChar w:fldCharType="end"/>
        </w:r>
      </w:hyperlink>
    </w:p>
    <w:p>
      <w:pPr>
        <w:tabs>
          <w:tab w:val="right" w:leader="dot" w:pos="9062"/>
        </w:tabs>
        <w:ind w:left="440"/>
      </w:pPr>
      <w:hyperlink w:anchor="_Toc7938" w:history="1">
        <w:r>
          <w:rPr>
            <w:rFonts w:ascii="IRNazanin" w:hAnsi="IRNazanin" w:eastAsia="IRNazanin" w:cs="IRNazanin"/>
            <w:color w:val="111111"/>
            <w:sz w:val="22"/>
            <w:szCs w:val="22"/>
            <w:b w:val="0"/>
            <w:bCs w:val="0"/>
            <w:i w:val="0"/>
            <w:iCs w:val="0"/>
          </w:rPr>
          <w:t>6984- دیوان معنی گیلانی‏</w:t>
        </w:r>
        <w:r>
          <w:tab/>
        </w:r>
        <w:r>
          <w:fldChar w:fldCharType="begin"/>
        </w:r>
        <w:r>
          <w:instrText xml:space="preserve">PAGEREF 7938 \h</w:instrText>
        </w:r>
        <w:r>
          <w:fldChar w:fldCharType="end"/>
        </w:r>
      </w:hyperlink>
    </w:p>
    <w:p>
      <w:pPr>
        <w:tabs>
          <w:tab w:val="right" w:leader="dot" w:pos="9062"/>
        </w:tabs>
        <w:ind w:left="440"/>
      </w:pPr>
      <w:hyperlink w:anchor="_Toc7939" w:history="1">
        <w:r>
          <w:rPr>
            <w:rFonts w:ascii="IRNazanin" w:hAnsi="IRNazanin" w:eastAsia="IRNazanin" w:cs="IRNazanin"/>
            <w:color w:val="111111"/>
            <w:sz w:val="22"/>
            <w:szCs w:val="22"/>
            <w:b w:val="0"/>
            <w:bCs w:val="0"/>
            <w:i w:val="0"/>
            <w:iCs w:val="0"/>
          </w:rPr>
          <w:t>6985- دیوان معنی هندی أو شعره‏</w:t>
        </w:r>
        <w:r>
          <w:tab/>
        </w:r>
        <w:r>
          <w:fldChar w:fldCharType="begin"/>
        </w:r>
        <w:r>
          <w:instrText xml:space="preserve">PAGEREF 7939 \h</w:instrText>
        </w:r>
        <w:r>
          <w:fldChar w:fldCharType="end"/>
        </w:r>
      </w:hyperlink>
    </w:p>
    <w:p>
      <w:pPr>
        <w:tabs>
          <w:tab w:val="right" w:leader="dot" w:pos="9062"/>
        </w:tabs>
        <w:ind w:left="440"/>
      </w:pPr>
      <w:hyperlink w:anchor="_Toc7940" w:history="1">
        <w:r>
          <w:rPr>
            <w:rFonts w:ascii="IRNazanin" w:hAnsi="IRNazanin" w:eastAsia="IRNazanin" w:cs="IRNazanin"/>
            <w:color w:val="111111"/>
            <w:sz w:val="22"/>
            <w:szCs w:val="22"/>
            <w:b w:val="0"/>
            <w:bCs w:val="0"/>
            <w:i w:val="0"/>
            <w:iCs w:val="0"/>
          </w:rPr>
          <w:t>6986- دیوان معیری‏</w:t>
        </w:r>
        <w:r>
          <w:tab/>
        </w:r>
        <w:r>
          <w:fldChar w:fldCharType="begin"/>
        </w:r>
        <w:r>
          <w:instrText xml:space="preserve">PAGEREF 7940 \h</w:instrText>
        </w:r>
        <w:r>
          <w:fldChar w:fldCharType="end"/>
        </w:r>
      </w:hyperlink>
    </w:p>
    <w:p>
      <w:pPr>
        <w:tabs>
          <w:tab w:val="right" w:leader="dot" w:pos="9062"/>
        </w:tabs>
        <w:ind w:left="440"/>
      </w:pPr>
      <w:hyperlink w:anchor="_Toc7941" w:history="1">
        <w:r>
          <w:rPr>
            <w:rFonts w:ascii="IRNazanin" w:hAnsi="IRNazanin" w:eastAsia="IRNazanin" w:cs="IRNazanin"/>
            <w:color w:val="111111"/>
            <w:sz w:val="22"/>
            <w:szCs w:val="22"/>
            <w:b w:val="0"/>
            <w:bCs w:val="0"/>
            <w:i w:val="0"/>
            <w:iCs w:val="0"/>
          </w:rPr>
          <w:t>6987- دیوان معین أسترآبادی أو شعره‏</w:t>
        </w:r>
        <w:r>
          <w:tab/>
        </w:r>
        <w:r>
          <w:fldChar w:fldCharType="begin"/>
        </w:r>
        <w:r>
          <w:instrText xml:space="preserve">PAGEREF 7941 \h</w:instrText>
        </w:r>
        <w:r>
          <w:fldChar w:fldCharType="end"/>
        </w:r>
      </w:hyperlink>
    </w:p>
    <w:p>
      <w:pPr>
        <w:tabs>
          <w:tab w:val="right" w:leader="dot" w:pos="9062"/>
        </w:tabs>
        <w:ind w:left="440"/>
      </w:pPr>
      <w:hyperlink w:anchor="_Toc7942" w:history="1">
        <w:r>
          <w:rPr>
            <w:rFonts w:ascii="IRNazanin" w:hAnsi="IRNazanin" w:eastAsia="IRNazanin" w:cs="IRNazanin"/>
            <w:color w:val="111111"/>
            <w:sz w:val="22"/>
            <w:szCs w:val="22"/>
            <w:b w:val="0"/>
            <w:bCs w:val="0"/>
            <w:i w:val="0"/>
            <w:iCs w:val="0"/>
          </w:rPr>
          <w:t>دیوان معین أسفراینی‏</w:t>
        </w:r>
        <w:r>
          <w:tab/>
        </w:r>
        <w:r>
          <w:fldChar w:fldCharType="begin"/>
        </w:r>
        <w:r>
          <w:instrText xml:space="preserve">PAGEREF 7942 \h</w:instrText>
        </w:r>
        <w:r>
          <w:fldChar w:fldCharType="end"/>
        </w:r>
      </w:hyperlink>
    </w:p>
    <w:p>
      <w:pPr>
        <w:tabs>
          <w:tab w:val="right" w:leader="dot" w:pos="9062"/>
        </w:tabs>
        <w:ind w:left="440"/>
      </w:pPr>
      <w:hyperlink w:anchor="_Toc7943" w:history="1">
        <w:r>
          <w:rPr>
            <w:rFonts w:ascii="IRNazanin" w:hAnsi="IRNazanin" w:eastAsia="IRNazanin" w:cs="IRNazanin"/>
            <w:color w:val="111111"/>
            <w:sz w:val="22"/>
            <w:szCs w:val="22"/>
            <w:b w:val="0"/>
            <w:bCs w:val="0"/>
            <w:i w:val="0"/>
            <w:iCs w:val="0"/>
          </w:rPr>
          <w:t>6988- دیوان معین أسفراینی أو شعره‏</w:t>
        </w:r>
        <w:r>
          <w:tab/>
        </w:r>
        <w:r>
          <w:fldChar w:fldCharType="begin"/>
        </w:r>
        <w:r>
          <w:instrText xml:space="preserve">PAGEREF 7943 \h</w:instrText>
        </w:r>
        <w:r>
          <w:fldChar w:fldCharType="end"/>
        </w:r>
      </w:hyperlink>
    </w:p>
    <w:p>
      <w:pPr>
        <w:tabs>
          <w:tab w:val="right" w:leader="dot" w:pos="9062"/>
        </w:tabs>
        <w:ind w:left="440"/>
      </w:pPr>
      <w:hyperlink w:anchor="_Toc7944" w:history="1">
        <w:r>
          <w:rPr>
            <w:rFonts w:ascii="IRNazanin" w:hAnsi="IRNazanin" w:eastAsia="IRNazanin" w:cs="IRNazanin"/>
            <w:color w:val="111111"/>
            <w:sz w:val="22"/>
            <w:szCs w:val="22"/>
            <w:b w:val="0"/>
            <w:bCs w:val="0"/>
            <w:i w:val="0"/>
            <w:iCs w:val="0"/>
          </w:rPr>
          <w:t>دیوان معین أشرفی السمرقندی‏</w:t>
        </w:r>
        <w:r>
          <w:tab/>
        </w:r>
        <w:r>
          <w:fldChar w:fldCharType="begin"/>
        </w:r>
        <w:r>
          <w:instrText xml:space="preserve">PAGEREF 7944 \h</w:instrText>
        </w:r>
        <w:r>
          <w:fldChar w:fldCharType="end"/>
        </w:r>
      </w:hyperlink>
    </w:p>
    <w:p>
      <w:pPr>
        <w:tabs>
          <w:tab w:val="right" w:leader="dot" w:pos="9062"/>
        </w:tabs>
        <w:ind w:left="440"/>
      </w:pPr>
      <w:hyperlink w:anchor="_Toc7945" w:history="1">
        <w:r>
          <w:rPr>
            <w:rFonts w:ascii="IRNazanin" w:hAnsi="IRNazanin" w:eastAsia="IRNazanin" w:cs="IRNazanin"/>
            <w:color w:val="111111"/>
            <w:sz w:val="22"/>
            <w:szCs w:val="22"/>
            <w:b w:val="0"/>
            <w:bCs w:val="0"/>
            <w:i w:val="0"/>
            <w:iCs w:val="0"/>
          </w:rPr>
          <w:t>6989- دیوان معین أصم أو شعره‏</w:t>
        </w:r>
        <w:r>
          <w:tab/>
        </w:r>
        <w:r>
          <w:fldChar w:fldCharType="begin"/>
        </w:r>
        <w:r>
          <w:instrText xml:space="preserve">PAGEREF 7945 \h</w:instrText>
        </w:r>
        <w:r>
          <w:fldChar w:fldCharType="end"/>
        </w:r>
      </w:hyperlink>
    </w:p>
    <w:p>
      <w:pPr>
        <w:tabs>
          <w:tab w:val="right" w:leader="dot" w:pos="9062"/>
        </w:tabs>
        <w:ind w:left="440"/>
      </w:pPr>
      <w:hyperlink w:anchor="_Toc7946" w:history="1">
        <w:r>
          <w:rPr>
            <w:rFonts w:ascii="IRNazanin" w:hAnsi="IRNazanin" w:eastAsia="IRNazanin" w:cs="IRNazanin"/>
            <w:color w:val="111111"/>
            <w:sz w:val="22"/>
            <w:szCs w:val="22"/>
            <w:b w:val="0"/>
            <w:bCs w:val="0"/>
            <w:i w:val="0"/>
            <w:iCs w:val="0"/>
          </w:rPr>
          <w:t>6990- دیوان معین بدیوانی أو شعره‏</w:t>
        </w:r>
        <w:r>
          <w:tab/>
        </w:r>
        <w:r>
          <w:fldChar w:fldCharType="begin"/>
        </w:r>
        <w:r>
          <w:instrText xml:space="preserve">PAGEREF 7946 \h</w:instrText>
        </w:r>
        <w:r>
          <w:fldChar w:fldCharType="end"/>
        </w:r>
      </w:hyperlink>
    </w:p>
    <w:p>
      <w:pPr>
        <w:tabs>
          <w:tab w:val="right" w:leader="dot" w:pos="9062"/>
        </w:tabs>
        <w:ind w:left="440"/>
      </w:pPr>
      <w:hyperlink w:anchor="_Toc7947" w:history="1">
        <w:r>
          <w:rPr>
            <w:rFonts w:ascii="IRNazanin" w:hAnsi="IRNazanin" w:eastAsia="IRNazanin" w:cs="IRNazanin"/>
            <w:color w:val="111111"/>
            <w:sz w:val="22"/>
            <w:szCs w:val="22"/>
            <w:b w:val="0"/>
            <w:bCs w:val="0"/>
            <w:i w:val="0"/>
            <w:iCs w:val="0"/>
          </w:rPr>
          <w:t>6991- دیوان معین بلیانی أو شعره‏</w:t>
        </w:r>
        <w:r>
          <w:tab/>
        </w:r>
        <w:r>
          <w:fldChar w:fldCharType="begin"/>
        </w:r>
        <w:r>
          <w:instrText xml:space="preserve">PAGEREF 7947 \h</w:instrText>
        </w:r>
        <w:r>
          <w:fldChar w:fldCharType="end"/>
        </w:r>
      </w:hyperlink>
    </w:p>
    <w:p>
      <w:pPr>
        <w:tabs>
          <w:tab w:val="right" w:leader="dot" w:pos="9062"/>
        </w:tabs>
        <w:ind w:left="440"/>
      </w:pPr>
      <w:hyperlink w:anchor="_Toc7948" w:history="1">
        <w:r>
          <w:rPr>
            <w:rFonts w:ascii="IRNazanin" w:hAnsi="IRNazanin" w:eastAsia="IRNazanin" w:cs="IRNazanin"/>
            <w:color w:val="111111"/>
            <w:sz w:val="22"/>
            <w:szCs w:val="22"/>
            <w:b w:val="0"/>
            <w:bCs w:val="0"/>
            <w:i w:val="0"/>
            <w:iCs w:val="0"/>
          </w:rPr>
          <w:t>دیوان معین چشتی‏</w:t>
        </w:r>
        <w:r>
          <w:tab/>
        </w:r>
        <w:r>
          <w:fldChar w:fldCharType="begin"/>
        </w:r>
        <w:r>
          <w:instrText xml:space="preserve">PAGEREF 7948 \h</w:instrText>
        </w:r>
        <w:r>
          <w:fldChar w:fldCharType="end"/>
        </w:r>
      </w:hyperlink>
    </w:p>
    <w:p>
      <w:pPr>
        <w:tabs>
          <w:tab w:val="right" w:leader="dot" w:pos="9062"/>
        </w:tabs>
        <w:ind w:left="440"/>
      </w:pPr>
      <w:hyperlink w:anchor="_Toc7949" w:history="1">
        <w:r>
          <w:rPr>
            <w:rFonts w:ascii="IRNazanin" w:hAnsi="IRNazanin" w:eastAsia="IRNazanin" w:cs="IRNazanin"/>
            <w:color w:val="111111"/>
            <w:sz w:val="22"/>
            <w:szCs w:val="22"/>
            <w:b w:val="0"/>
            <w:bCs w:val="0"/>
            <w:i w:val="0"/>
            <w:iCs w:val="0"/>
          </w:rPr>
          <w:t>6992- دیوان معین خراسانی أو شعره‏</w:t>
        </w:r>
        <w:r>
          <w:tab/>
        </w:r>
        <w:r>
          <w:fldChar w:fldCharType="begin"/>
        </w:r>
        <w:r>
          <w:instrText xml:space="preserve">PAGEREF 7949 \h</w:instrText>
        </w:r>
        <w:r>
          <w:fldChar w:fldCharType="end"/>
        </w:r>
      </w:hyperlink>
    </w:p>
    <w:p>
      <w:pPr>
        <w:tabs>
          <w:tab w:val="right" w:leader="dot" w:pos="9062"/>
        </w:tabs>
        <w:ind w:left="440"/>
      </w:pPr>
      <w:hyperlink w:anchor="_Toc7950" w:history="1">
        <w:r>
          <w:rPr>
            <w:rFonts w:ascii="IRNazanin" w:hAnsi="IRNazanin" w:eastAsia="IRNazanin" w:cs="IRNazanin"/>
            <w:color w:val="111111"/>
            <w:sz w:val="22"/>
            <w:szCs w:val="22"/>
            <w:b w:val="0"/>
            <w:bCs w:val="0"/>
            <w:i w:val="0"/>
            <w:iCs w:val="0"/>
          </w:rPr>
          <w:t>6993- دیوان معین خرم‏آبادی أو شعره‏</w:t>
        </w:r>
        <w:r>
          <w:tab/>
        </w:r>
        <w:r>
          <w:fldChar w:fldCharType="begin"/>
        </w:r>
        <w:r>
          <w:instrText xml:space="preserve">PAGEREF 7950 \h</w:instrText>
        </w:r>
        <w:r>
          <w:fldChar w:fldCharType="end"/>
        </w:r>
      </w:hyperlink>
    </w:p>
    <w:p>
      <w:pPr>
        <w:tabs>
          <w:tab w:val="right" w:leader="dot" w:pos="9062"/>
        </w:tabs>
        <w:ind w:left="440"/>
      </w:pPr>
      <w:hyperlink w:anchor="_Toc7951" w:history="1">
        <w:r>
          <w:rPr>
            <w:rFonts w:ascii="IRNazanin" w:hAnsi="IRNazanin" w:eastAsia="IRNazanin" w:cs="IRNazanin"/>
            <w:color w:val="111111"/>
            <w:sz w:val="22"/>
            <w:szCs w:val="22"/>
            <w:b w:val="0"/>
            <w:bCs w:val="0"/>
            <w:i w:val="0"/>
            <w:iCs w:val="0"/>
          </w:rPr>
          <w:t>دیوان معین دقاقی‏</w:t>
        </w:r>
        <w:r>
          <w:tab/>
        </w:r>
        <w:r>
          <w:fldChar w:fldCharType="begin"/>
        </w:r>
        <w:r>
          <w:instrText xml:space="preserve">PAGEREF 7951 \h</w:instrText>
        </w:r>
        <w:r>
          <w:fldChar w:fldCharType="end"/>
        </w:r>
      </w:hyperlink>
    </w:p>
    <w:p>
      <w:pPr>
        <w:tabs>
          <w:tab w:val="right" w:leader="dot" w:pos="9062"/>
        </w:tabs>
        <w:ind w:left="440"/>
      </w:pPr>
      <w:hyperlink w:anchor="_Toc7952" w:history="1">
        <w:r>
          <w:rPr>
            <w:rFonts w:ascii="IRNazanin" w:hAnsi="IRNazanin" w:eastAsia="IRNazanin" w:cs="IRNazanin"/>
            <w:color w:val="111111"/>
            <w:sz w:val="22"/>
            <w:szCs w:val="22"/>
            <w:b w:val="0"/>
            <w:bCs w:val="0"/>
            <w:i w:val="0"/>
            <w:iCs w:val="0"/>
          </w:rPr>
          <w:t>6994- دیوان معین الدین غازی أو شعره‏</w:t>
        </w:r>
        <w:r>
          <w:tab/>
        </w:r>
        <w:r>
          <w:fldChar w:fldCharType="begin"/>
        </w:r>
        <w:r>
          <w:instrText xml:space="preserve">PAGEREF 7952 \h</w:instrText>
        </w:r>
        <w:r>
          <w:fldChar w:fldCharType="end"/>
        </w:r>
      </w:hyperlink>
    </w:p>
    <w:p>
      <w:pPr>
        <w:tabs>
          <w:tab w:val="right" w:leader="dot" w:pos="9062"/>
        </w:tabs>
        <w:ind w:left="440"/>
      </w:pPr>
      <w:hyperlink w:anchor="_Toc7953" w:history="1">
        <w:r>
          <w:rPr>
            <w:rFonts w:ascii="IRNazanin" w:hAnsi="IRNazanin" w:eastAsia="IRNazanin" w:cs="IRNazanin"/>
            <w:color w:val="111111"/>
            <w:sz w:val="22"/>
            <w:szCs w:val="22"/>
            <w:b w:val="0"/>
            <w:bCs w:val="0"/>
            <w:i w:val="0"/>
            <w:iCs w:val="0"/>
          </w:rPr>
          <w:t>6995- دیوان معین سبزواری أو شعره‏</w:t>
        </w:r>
        <w:r>
          <w:tab/>
        </w:r>
        <w:r>
          <w:fldChar w:fldCharType="begin"/>
        </w:r>
        <w:r>
          <w:instrText xml:space="preserve">PAGEREF 7953 \h</w:instrText>
        </w:r>
        <w:r>
          <w:fldChar w:fldCharType="end"/>
        </w:r>
      </w:hyperlink>
    </w:p>
    <w:p>
      <w:pPr>
        <w:tabs>
          <w:tab w:val="right" w:leader="dot" w:pos="9062"/>
        </w:tabs>
        <w:ind w:left="440"/>
      </w:pPr>
      <w:hyperlink w:anchor="_Toc7954" w:history="1">
        <w:r>
          <w:rPr>
            <w:rFonts w:ascii="IRNazanin" w:hAnsi="IRNazanin" w:eastAsia="IRNazanin" w:cs="IRNazanin"/>
            <w:color w:val="111111"/>
            <w:sz w:val="22"/>
            <w:szCs w:val="22"/>
            <w:b w:val="0"/>
            <w:bCs w:val="0"/>
            <w:i w:val="0"/>
            <w:iCs w:val="0"/>
          </w:rPr>
          <w:t>دیوان معین سنجری‏</w:t>
        </w:r>
        <w:r>
          <w:tab/>
        </w:r>
        <w:r>
          <w:fldChar w:fldCharType="begin"/>
        </w:r>
        <w:r>
          <w:instrText xml:space="preserve">PAGEREF 7954 \h</w:instrText>
        </w:r>
        <w:r>
          <w:fldChar w:fldCharType="end"/>
        </w:r>
      </w:hyperlink>
    </w:p>
    <w:p>
      <w:pPr>
        <w:tabs>
          <w:tab w:val="right" w:leader="dot" w:pos="9062"/>
        </w:tabs>
        <w:ind w:left="440"/>
      </w:pPr>
      <w:hyperlink w:anchor="_Toc7955" w:history="1">
        <w:r>
          <w:rPr>
            <w:rFonts w:ascii="IRNazanin" w:hAnsi="IRNazanin" w:eastAsia="IRNazanin" w:cs="IRNazanin"/>
            <w:color w:val="111111"/>
            <w:sz w:val="22"/>
            <w:szCs w:val="22"/>
            <w:b w:val="0"/>
            <w:bCs w:val="0"/>
            <w:i w:val="0"/>
            <w:iCs w:val="0"/>
          </w:rPr>
          <w:t>6996- دیوان معین شاه‏جهان‏آبادی‏</w:t>
        </w:r>
        <w:r>
          <w:tab/>
        </w:r>
        <w:r>
          <w:fldChar w:fldCharType="begin"/>
        </w:r>
        <w:r>
          <w:instrText xml:space="preserve">PAGEREF 7955 \h</w:instrText>
        </w:r>
        <w:r>
          <w:fldChar w:fldCharType="end"/>
        </w:r>
      </w:hyperlink>
    </w:p>
    <w:p>
      <w:pPr>
        <w:tabs>
          <w:tab w:val="right" w:leader="dot" w:pos="9062"/>
        </w:tabs>
        <w:ind w:left="440"/>
      </w:pPr>
      <w:hyperlink w:anchor="_Toc7956" w:history="1">
        <w:r>
          <w:rPr>
            <w:rFonts w:ascii="IRNazanin" w:hAnsi="IRNazanin" w:eastAsia="IRNazanin" w:cs="IRNazanin"/>
            <w:color w:val="111111"/>
            <w:sz w:val="22"/>
            <w:szCs w:val="22"/>
            <w:b w:val="0"/>
            <w:bCs w:val="0"/>
            <w:i w:val="0"/>
            <w:iCs w:val="0"/>
          </w:rPr>
          <w:t>6997- دیوان معین شیرازی أو شعره‏</w:t>
        </w:r>
        <w:r>
          <w:tab/>
        </w:r>
        <w:r>
          <w:fldChar w:fldCharType="begin"/>
        </w:r>
        <w:r>
          <w:instrText xml:space="preserve">PAGEREF 7956 \h</w:instrText>
        </w:r>
        <w:r>
          <w:fldChar w:fldCharType="end"/>
        </w:r>
      </w:hyperlink>
    </w:p>
    <w:p>
      <w:pPr>
        <w:tabs>
          <w:tab w:val="right" w:leader="dot" w:pos="9062"/>
        </w:tabs>
        <w:ind w:left="440"/>
      </w:pPr>
      <w:hyperlink w:anchor="_Toc7957" w:history="1">
        <w:r>
          <w:rPr>
            <w:rFonts w:ascii="IRNazanin" w:hAnsi="IRNazanin" w:eastAsia="IRNazanin" w:cs="IRNazanin"/>
            <w:color w:val="111111"/>
            <w:sz w:val="22"/>
            <w:szCs w:val="22"/>
            <w:b w:val="0"/>
            <w:bCs w:val="0"/>
            <w:i w:val="0"/>
            <w:iCs w:val="0"/>
          </w:rPr>
          <w:t>6998- دیوان معین شیرازی أو شعره‏</w:t>
        </w:r>
        <w:r>
          <w:tab/>
        </w:r>
        <w:r>
          <w:fldChar w:fldCharType="begin"/>
        </w:r>
        <w:r>
          <w:instrText xml:space="preserve">PAGEREF 7957 \h</w:instrText>
        </w:r>
        <w:r>
          <w:fldChar w:fldCharType="end"/>
        </w:r>
      </w:hyperlink>
    </w:p>
    <w:p>
      <w:pPr>
        <w:tabs>
          <w:tab w:val="right" w:leader="dot" w:pos="9062"/>
        </w:tabs>
        <w:ind w:left="440"/>
      </w:pPr>
      <w:hyperlink w:anchor="_Toc7958" w:history="1">
        <w:r>
          <w:rPr>
            <w:rFonts w:ascii="IRNazanin" w:hAnsi="IRNazanin" w:eastAsia="IRNazanin" w:cs="IRNazanin"/>
            <w:color w:val="111111"/>
            <w:sz w:val="22"/>
            <w:szCs w:val="22"/>
            <w:b w:val="0"/>
            <w:bCs w:val="0"/>
            <w:i w:val="0"/>
            <w:iCs w:val="0"/>
          </w:rPr>
          <w:t>دیوان معین غازی‏</w:t>
        </w:r>
        <w:r>
          <w:tab/>
        </w:r>
        <w:r>
          <w:fldChar w:fldCharType="begin"/>
        </w:r>
        <w:r>
          <w:instrText xml:space="preserve">PAGEREF 7958 \h</w:instrText>
        </w:r>
        <w:r>
          <w:fldChar w:fldCharType="end"/>
        </w:r>
      </w:hyperlink>
    </w:p>
    <w:p>
      <w:pPr>
        <w:tabs>
          <w:tab w:val="right" w:leader="dot" w:pos="9062"/>
        </w:tabs>
        <w:ind w:left="440"/>
      </w:pPr>
      <w:hyperlink w:anchor="_Toc7959" w:history="1">
        <w:r>
          <w:rPr>
            <w:rFonts w:ascii="IRNazanin" w:hAnsi="IRNazanin" w:eastAsia="IRNazanin" w:cs="IRNazanin"/>
            <w:color w:val="111111"/>
            <w:sz w:val="22"/>
            <w:szCs w:val="22"/>
            <w:b w:val="0"/>
            <w:bCs w:val="0"/>
            <w:i w:val="0"/>
            <w:iCs w:val="0"/>
          </w:rPr>
          <w:t>6999- دیوان معین فراهی‏</w:t>
        </w:r>
        <w:r>
          <w:tab/>
        </w:r>
        <w:r>
          <w:fldChar w:fldCharType="begin"/>
        </w:r>
        <w:r>
          <w:instrText xml:space="preserve">PAGEREF 7959 \h</w:instrText>
        </w:r>
        <w:r>
          <w:fldChar w:fldCharType="end"/>
        </w:r>
      </w:hyperlink>
    </w:p>
    <w:p>
      <w:pPr>
        <w:tabs>
          <w:tab w:val="right" w:leader="dot" w:pos="9062"/>
        </w:tabs>
        <w:ind w:left="440"/>
      </w:pPr>
      <w:hyperlink w:anchor="_Toc7960" w:history="1">
        <w:r>
          <w:rPr>
            <w:rFonts w:ascii="IRNazanin" w:hAnsi="IRNazanin" w:eastAsia="IRNazanin" w:cs="IRNazanin"/>
            <w:color w:val="111111"/>
            <w:sz w:val="22"/>
            <w:szCs w:val="22"/>
            <w:b w:val="0"/>
            <w:bCs w:val="0"/>
            <w:i w:val="0"/>
            <w:iCs w:val="0"/>
          </w:rPr>
          <w:t>دیوان معین فطرت‏</w:t>
        </w:r>
        <w:r>
          <w:tab/>
        </w:r>
        <w:r>
          <w:fldChar w:fldCharType="begin"/>
        </w:r>
        <w:r>
          <w:instrText xml:space="preserve">PAGEREF 7960 \h</w:instrText>
        </w:r>
        <w:r>
          <w:fldChar w:fldCharType="end"/>
        </w:r>
      </w:hyperlink>
    </w:p>
    <w:p>
      <w:pPr>
        <w:tabs>
          <w:tab w:val="right" w:leader="dot" w:pos="9062"/>
        </w:tabs>
        <w:ind w:left="440"/>
      </w:pPr>
      <w:hyperlink w:anchor="_Toc7961" w:history="1">
        <w:r>
          <w:rPr>
            <w:rFonts w:ascii="IRNazanin" w:hAnsi="IRNazanin" w:eastAsia="IRNazanin" w:cs="IRNazanin"/>
            <w:color w:val="111111"/>
            <w:sz w:val="22"/>
            <w:szCs w:val="22"/>
            <w:b w:val="0"/>
            <w:bCs w:val="0"/>
            <w:i w:val="0"/>
            <w:iCs w:val="0"/>
          </w:rPr>
          <w:t>دیوان معین لذت‏</w:t>
        </w:r>
        <w:r>
          <w:tab/>
        </w:r>
        <w:r>
          <w:fldChar w:fldCharType="begin"/>
        </w:r>
        <w:r>
          <w:instrText xml:space="preserve">PAGEREF 7961 \h</w:instrText>
        </w:r>
        <w:r>
          <w:fldChar w:fldCharType="end"/>
        </w:r>
      </w:hyperlink>
    </w:p>
    <w:p>
      <w:pPr>
        <w:tabs>
          <w:tab w:val="right" w:leader="dot" w:pos="9062"/>
        </w:tabs>
        <w:ind w:left="440"/>
      </w:pPr>
      <w:hyperlink w:anchor="_Toc7962" w:history="1">
        <w:r>
          <w:rPr>
            <w:rFonts w:ascii="IRNazanin" w:hAnsi="IRNazanin" w:eastAsia="IRNazanin" w:cs="IRNazanin"/>
            <w:color w:val="111111"/>
            <w:sz w:val="22"/>
            <w:szCs w:val="22"/>
            <w:b w:val="0"/>
            <w:bCs w:val="0"/>
            <w:i w:val="0"/>
            <w:iCs w:val="0"/>
          </w:rPr>
          <w:t>دیوان معین ما وراء النهری‏</w:t>
        </w:r>
        <w:r>
          <w:tab/>
        </w:r>
        <w:r>
          <w:fldChar w:fldCharType="begin"/>
        </w:r>
        <w:r>
          <w:instrText xml:space="preserve">PAGEREF 7962 \h</w:instrText>
        </w:r>
        <w:r>
          <w:fldChar w:fldCharType="end"/>
        </w:r>
      </w:hyperlink>
    </w:p>
    <w:p>
      <w:pPr>
        <w:tabs>
          <w:tab w:val="right" w:leader="dot" w:pos="9062"/>
        </w:tabs>
        <w:ind w:left="440"/>
      </w:pPr>
      <w:hyperlink w:anchor="_Toc7963" w:history="1">
        <w:r>
          <w:rPr>
            <w:rFonts w:ascii="IRNazanin" w:hAnsi="IRNazanin" w:eastAsia="IRNazanin" w:cs="IRNazanin"/>
            <w:color w:val="111111"/>
            <w:sz w:val="22"/>
            <w:szCs w:val="22"/>
            <w:b w:val="0"/>
            <w:bCs w:val="0"/>
            <w:i w:val="0"/>
            <w:iCs w:val="0"/>
          </w:rPr>
          <w:t>دیوان معین مشهدی‏</w:t>
        </w:r>
        <w:r>
          <w:tab/>
        </w:r>
        <w:r>
          <w:fldChar w:fldCharType="begin"/>
        </w:r>
        <w:r>
          <w:instrText xml:space="preserve">PAGEREF 7963 \h</w:instrText>
        </w:r>
        <w:r>
          <w:fldChar w:fldCharType="end"/>
        </w:r>
      </w:hyperlink>
    </w:p>
    <w:p>
      <w:pPr>
        <w:tabs>
          <w:tab w:val="right" w:leader="dot" w:pos="9062"/>
        </w:tabs>
        <w:ind w:left="440"/>
      </w:pPr>
      <w:hyperlink w:anchor="_Toc7964" w:history="1">
        <w:r>
          <w:rPr>
            <w:rFonts w:ascii="IRNazanin" w:hAnsi="IRNazanin" w:eastAsia="IRNazanin" w:cs="IRNazanin"/>
            <w:color w:val="111111"/>
            <w:sz w:val="22"/>
            <w:szCs w:val="22"/>
            <w:b w:val="0"/>
            <w:bCs w:val="0"/>
            <w:i w:val="0"/>
            <w:iCs w:val="0"/>
          </w:rPr>
          <w:t>دیوان معین میبدی‏</w:t>
        </w:r>
        <w:r>
          <w:tab/>
        </w:r>
        <w:r>
          <w:fldChar w:fldCharType="begin"/>
        </w:r>
        <w:r>
          <w:instrText xml:space="preserve">PAGEREF 7964 \h</w:instrText>
        </w:r>
        <w:r>
          <w:fldChar w:fldCharType="end"/>
        </w:r>
      </w:hyperlink>
    </w:p>
    <w:p>
      <w:pPr>
        <w:tabs>
          <w:tab w:val="right" w:leader="dot" w:pos="9062"/>
        </w:tabs>
        <w:ind w:left="440"/>
      </w:pPr>
      <w:hyperlink w:anchor="_Toc7965" w:history="1">
        <w:r>
          <w:rPr>
            <w:rFonts w:ascii="IRNazanin" w:hAnsi="IRNazanin" w:eastAsia="IRNazanin" w:cs="IRNazanin"/>
            <w:color w:val="111111"/>
            <w:sz w:val="22"/>
            <w:szCs w:val="22"/>
            <w:b w:val="0"/>
            <w:bCs w:val="0"/>
            <w:i w:val="0"/>
            <w:iCs w:val="0"/>
          </w:rPr>
          <w:t>دیوان معین هروی‏</w:t>
        </w:r>
        <w:r>
          <w:tab/>
        </w:r>
        <w:r>
          <w:fldChar w:fldCharType="begin"/>
        </w:r>
        <w:r>
          <w:instrText xml:space="preserve">PAGEREF 7965 \h</w:instrText>
        </w:r>
        <w:r>
          <w:fldChar w:fldCharType="end"/>
        </w:r>
      </w:hyperlink>
    </w:p>
    <w:p>
      <w:pPr>
        <w:tabs>
          <w:tab w:val="right" w:leader="dot" w:pos="9062"/>
        </w:tabs>
        <w:ind w:left="440"/>
      </w:pPr>
      <w:hyperlink w:anchor="_Toc7966" w:history="1">
        <w:r>
          <w:rPr>
            <w:rFonts w:ascii="IRNazanin" w:hAnsi="IRNazanin" w:eastAsia="IRNazanin" w:cs="IRNazanin"/>
            <w:color w:val="111111"/>
            <w:sz w:val="22"/>
            <w:szCs w:val="22"/>
            <w:b w:val="0"/>
            <w:bCs w:val="0"/>
            <w:i w:val="0"/>
            <w:iCs w:val="0"/>
          </w:rPr>
          <w:t>7000- دیوان معین یزدی أو شعره‏</w:t>
        </w:r>
        <w:r>
          <w:tab/>
        </w:r>
        <w:r>
          <w:fldChar w:fldCharType="begin"/>
        </w:r>
        <w:r>
          <w:instrText xml:space="preserve">PAGEREF 7966 \h</w:instrText>
        </w:r>
        <w:r>
          <w:fldChar w:fldCharType="end"/>
        </w:r>
      </w:hyperlink>
    </w:p>
    <w:p>
      <w:pPr>
        <w:tabs>
          <w:tab w:val="right" w:leader="dot" w:pos="9062"/>
        </w:tabs>
        <w:ind w:left="440"/>
      </w:pPr>
      <w:hyperlink w:anchor="_Toc7967" w:history="1">
        <w:r>
          <w:rPr>
            <w:rFonts w:ascii="IRNazanin" w:hAnsi="IRNazanin" w:eastAsia="IRNazanin" w:cs="IRNazanin"/>
            <w:color w:val="111111"/>
            <w:sz w:val="22"/>
            <w:szCs w:val="22"/>
            <w:b w:val="0"/>
            <w:bCs w:val="0"/>
            <w:i w:val="0"/>
            <w:iCs w:val="0"/>
          </w:rPr>
          <w:t>دیوان معین یزدی‏</w:t>
        </w:r>
        <w:r>
          <w:tab/>
        </w:r>
        <w:r>
          <w:fldChar w:fldCharType="begin"/>
        </w:r>
        <w:r>
          <w:instrText xml:space="preserve">PAGEREF 7967 \h</w:instrText>
        </w:r>
        <w:r>
          <w:fldChar w:fldCharType="end"/>
        </w:r>
      </w:hyperlink>
    </w:p>
    <w:p>
      <w:pPr>
        <w:tabs>
          <w:tab w:val="right" w:leader="dot" w:pos="9062"/>
        </w:tabs>
        <w:ind w:left="440"/>
      </w:pPr>
      <w:hyperlink w:anchor="_Toc7968" w:history="1">
        <w:r>
          <w:rPr>
            <w:rFonts w:ascii="IRNazanin" w:hAnsi="IRNazanin" w:eastAsia="IRNazanin" w:cs="IRNazanin"/>
            <w:color w:val="111111"/>
            <w:sz w:val="22"/>
            <w:szCs w:val="22"/>
            <w:b w:val="0"/>
            <w:bCs w:val="0"/>
            <w:i w:val="0"/>
            <w:iCs w:val="0"/>
          </w:rPr>
          <w:t>7001- دیوان معینی جوینی‏</w:t>
        </w:r>
        <w:r>
          <w:tab/>
        </w:r>
        <w:r>
          <w:fldChar w:fldCharType="begin"/>
        </w:r>
        <w:r>
          <w:instrText xml:space="preserve">PAGEREF 7968 \h</w:instrText>
        </w:r>
        <w:r>
          <w:fldChar w:fldCharType="end"/>
        </w:r>
      </w:hyperlink>
    </w:p>
    <w:p>
      <w:pPr>
        <w:tabs>
          <w:tab w:val="right" w:leader="dot" w:pos="9062"/>
        </w:tabs>
        <w:ind w:left="440"/>
      </w:pPr>
      <w:hyperlink w:anchor="_Toc7969" w:history="1">
        <w:r>
          <w:rPr>
            <w:rFonts w:ascii="IRNazanin" w:hAnsi="IRNazanin" w:eastAsia="IRNazanin" w:cs="IRNazanin"/>
            <w:color w:val="111111"/>
            <w:sz w:val="22"/>
            <w:szCs w:val="22"/>
            <w:b w:val="0"/>
            <w:bCs w:val="0"/>
            <w:i w:val="0"/>
            <w:iCs w:val="0"/>
          </w:rPr>
          <w:t>دیوان معینی شیرازی أو شعره‏</w:t>
        </w:r>
        <w:r>
          <w:tab/>
        </w:r>
        <w:r>
          <w:fldChar w:fldCharType="begin"/>
        </w:r>
        <w:r>
          <w:instrText xml:space="preserve">PAGEREF 7969 \h</w:instrText>
        </w:r>
        <w:r>
          <w:fldChar w:fldCharType="end"/>
        </w:r>
      </w:hyperlink>
    </w:p>
    <w:p>
      <w:pPr>
        <w:tabs>
          <w:tab w:val="right" w:leader="dot" w:pos="9062"/>
        </w:tabs>
        <w:ind w:left="440"/>
      </w:pPr>
      <w:hyperlink w:anchor="_Toc7970" w:history="1">
        <w:r>
          <w:rPr>
            <w:rFonts w:ascii="IRNazanin" w:hAnsi="IRNazanin" w:eastAsia="IRNazanin" w:cs="IRNazanin"/>
            <w:color w:val="111111"/>
            <w:sz w:val="22"/>
            <w:szCs w:val="22"/>
            <w:b w:val="0"/>
            <w:bCs w:val="0"/>
            <w:i w:val="0"/>
            <w:iCs w:val="0"/>
          </w:rPr>
          <w:t>دیوان معینی فراهی‏</w:t>
        </w:r>
        <w:r>
          <w:tab/>
        </w:r>
        <w:r>
          <w:fldChar w:fldCharType="begin"/>
        </w:r>
        <w:r>
          <w:instrText xml:space="preserve">PAGEREF 7970 \h</w:instrText>
        </w:r>
        <w:r>
          <w:fldChar w:fldCharType="end"/>
        </w:r>
      </w:hyperlink>
    </w:p>
    <w:p>
      <w:pPr>
        <w:tabs>
          <w:tab w:val="right" w:leader="dot" w:pos="9062"/>
        </w:tabs>
        <w:ind w:left="440"/>
      </w:pPr>
      <w:hyperlink w:anchor="_Toc7971" w:history="1">
        <w:r>
          <w:rPr>
            <w:rFonts w:ascii="IRNazanin" w:hAnsi="IRNazanin" w:eastAsia="IRNazanin" w:cs="IRNazanin"/>
            <w:color w:val="111111"/>
            <w:sz w:val="22"/>
            <w:szCs w:val="22"/>
            <w:b w:val="0"/>
            <w:bCs w:val="0"/>
            <w:i w:val="0"/>
            <w:iCs w:val="0"/>
          </w:rPr>
          <w:t>7002- دیوان الشیخ مغامس‏</w:t>
        </w:r>
        <w:r>
          <w:tab/>
        </w:r>
        <w:r>
          <w:fldChar w:fldCharType="begin"/>
        </w:r>
        <w:r>
          <w:instrText xml:space="preserve">PAGEREF 7971 \h</w:instrText>
        </w:r>
        <w:r>
          <w:fldChar w:fldCharType="end"/>
        </w:r>
      </w:hyperlink>
    </w:p>
    <w:p>
      <w:pPr>
        <w:tabs>
          <w:tab w:val="right" w:leader="dot" w:pos="9062"/>
        </w:tabs>
        <w:ind w:left="440"/>
      </w:pPr>
      <w:hyperlink w:anchor="_Toc7972" w:history="1">
        <w:r>
          <w:rPr>
            <w:rFonts w:ascii="IRNazanin" w:hAnsi="IRNazanin" w:eastAsia="IRNazanin" w:cs="IRNazanin"/>
            <w:color w:val="111111"/>
            <w:sz w:val="22"/>
            <w:szCs w:val="22"/>
            <w:b w:val="0"/>
            <w:bCs w:val="0"/>
            <w:i w:val="0"/>
            <w:iCs w:val="0"/>
          </w:rPr>
          <w:t>7003- دیوان مغانی دامغانی أو شعره‏</w:t>
        </w:r>
        <w:r>
          <w:tab/>
        </w:r>
        <w:r>
          <w:fldChar w:fldCharType="begin"/>
        </w:r>
        <w:r>
          <w:instrText xml:space="preserve">PAGEREF 7972 \h</w:instrText>
        </w:r>
        <w:r>
          <w:fldChar w:fldCharType="end"/>
        </w:r>
      </w:hyperlink>
    </w:p>
    <w:p>
      <w:pPr>
        <w:tabs>
          <w:tab w:val="right" w:leader="dot" w:pos="9062"/>
        </w:tabs>
        <w:ind w:left="440"/>
      </w:pPr>
      <w:hyperlink w:anchor="_Toc7973" w:history="1">
        <w:r>
          <w:rPr>
            <w:rFonts w:ascii="IRNazanin" w:hAnsi="IRNazanin" w:eastAsia="IRNazanin" w:cs="IRNazanin"/>
            <w:color w:val="111111"/>
            <w:sz w:val="22"/>
            <w:szCs w:val="22"/>
            <w:b w:val="0"/>
            <w:bCs w:val="0"/>
            <w:i w:val="0"/>
            <w:iCs w:val="0"/>
          </w:rPr>
          <w:t>7004- دیوان مغتنم أو شعره‏</w:t>
        </w:r>
        <w:r>
          <w:tab/>
        </w:r>
        <w:r>
          <w:fldChar w:fldCharType="begin"/>
        </w:r>
        <w:r>
          <w:instrText xml:space="preserve">PAGEREF 7973 \h</w:instrText>
        </w:r>
        <w:r>
          <w:fldChar w:fldCharType="end"/>
        </w:r>
      </w:hyperlink>
    </w:p>
    <w:p>
      <w:pPr>
        <w:tabs>
          <w:tab w:val="right" w:leader="dot" w:pos="9062"/>
        </w:tabs>
        <w:ind w:left="440"/>
      </w:pPr>
      <w:hyperlink w:anchor="_Toc7974" w:history="1">
        <w:r>
          <w:rPr>
            <w:rFonts w:ascii="IRNazanin" w:hAnsi="IRNazanin" w:eastAsia="IRNazanin" w:cs="IRNazanin"/>
            <w:color w:val="111111"/>
            <w:sz w:val="22"/>
            <w:szCs w:val="22"/>
            <w:b w:val="0"/>
            <w:bCs w:val="0"/>
            <w:i w:val="0"/>
            <w:iCs w:val="0"/>
          </w:rPr>
          <w:t>7005- دیوان مغربی‏</w:t>
        </w:r>
        <w:r>
          <w:tab/>
        </w:r>
        <w:r>
          <w:fldChar w:fldCharType="begin"/>
        </w:r>
        <w:r>
          <w:instrText xml:space="preserve">PAGEREF 7974 \h</w:instrText>
        </w:r>
        <w:r>
          <w:fldChar w:fldCharType="end"/>
        </w:r>
      </w:hyperlink>
    </w:p>
    <w:p>
      <w:pPr>
        <w:tabs>
          <w:tab w:val="right" w:leader="dot" w:pos="9062"/>
        </w:tabs>
        <w:ind w:left="440"/>
      </w:pPr>
      <w:hyperlink w:anchor="_Toc7975" w:history="1">
        <w:r>
          <w:rPr>
            <w:rFonts w:ascii="IRNazanin" w:hAnsi="IRNazanin" w:eastAsia="IRNazanin" w:cs="IRNazanin"/>
            <w:color w:val="111111"/>
            <w:sz w:val="22"/>
            <w:szCs w:val="22"/>
            <w:b w:val="0"/>
            <w:bCs w:val="0"/>
            <w:i w:val="0"/>
            <w:iCs w:val="0"/>
          </w:rPr>
          <w:t>دیوان معلم قاینی‏</w:t>
        </w:r>
        <w:r>
          <w:tab/>
        </w:r>
        <w:r>
          <w:fldChar w:fldCharType="begin"/>
        </w:r>
        <w:r>
          <w:instrText xml:space="preserve">PAGEREF 7975 \h</w:instrText>
        </w:r>
        <w:r>
          <w:fldChar w:fldCharType="end"/>
        </w:r>
      </w:hyperlink>
    </w:p>
    <w:p>
      <w:pPr>
        <w:tabs>
          <w:tab w:val="right" w:leader="dot" w:pos="9062"/>
        </w:tabs>
        <w:ind w:left="440"/>
      </w:pPr>
      <w:hyperlink w:anchor="_Toc7976" w:history="1">
        <w:r>
          <w:rPr>
            <w:rFonts w:ascii="IRNazanin" w:hAnsi="IRNazanin" w:eastAsia="IRNazanin" w:cs="IRNazanin"/>
            <w:color w:val="111111"/>
            <w:sz w:val="22"/>
            <w:szCs w:val="22"/>
            <w:b w:val="0"/>
            <w:bCs w:val="0"/>
            <w:i w:val="0"/>
            <w:iCs w:val="0"/>
          </w:rPr>
          <w:t>7006- دیوان مغموم بروجنی‏</w:t>
        </w:r>
        <w:r>
          <w:tab/>
        </w:r>
        <w:r>
          <w:fldChar w:fldCharType="begin"/>
        </w:r>
        <w:r>
          <w:instrText xml:space="preserve">PAGEREF 7976 \h</w:instrText>
        </w:r>
        <w:r>
          <w:fldChar w:fldCharType="end"/>
        </w:r>
      </w:hyperlink>
    </w:p>
    <w:p>
      <w:pPr>
        <w:tabs>
          <w:tab w:val="right" w:leader="dot" w:pos="9062"/>
        </w:tabs>
        <w:ind w:left="440"/>
      </w:pPr>
      <w:hyperlink w:anchor="_Toc7977" w:history="1">
        <w:r>
          <w:rPr>
            <w:rFonts w:ascii="IRNazanin" w:hAnsi="IRNazanin" w:eastAsia="IRNazanin" w:cs="IRNazanin"/>
            <w:color w:val="111111"/>
            <w:sz w:val="22"/>
            <w:szCs w:val="22"/>
            <w:b w:val="0"/>
            <w:bCs w:val="0"/>
            <w:i w:val="0"/>
            <w:iCs w:val="0"/>
          </w:rPr>
          <w:t>7007- دیوان مغول سمرقندی أو شعره‏</w:t>
        </w:r>
        <w:r>
          <w:tab/>
        </w:r>
        <w:r>
          <w:fldChar w:fldCharType="begin"/>
        </w:r>
        <w:r>
          <w:instrText xml:space="preserve">PAGEREF 7977 \h</w:instrText>
        </w:r>
        <w:r>
          <w:fldChar w:fldCharType="end"/>
        </w:r>
      </w:hyperlink>
    </w:p>
    <w:p>
      <w:pPr>
        <w:tabs>
          <w:tab w:val="right" w:leader="dot" w:pos="9062"/>
        </w:tabs>
        <w:ind w:left="440"/>
      </w:pPr>
      <w:hyperlink w:anchor="_Toc7978" w:history="1">
        <w:r>
          <w:rPr>
            <w:rFonts w:ascii="IRNazanin" w:hAnsi="IRNazanin" w:eastAsia="IRNazanin" w:cs="IRNazanin"/>
            <w:color w:val="111111"/>
            <w:sz w:val="22"/>
            <w:szCs w:val="22"/>
            <w:b w:val="0"/>
            <w:bCs w:val="0"/>
            <w:i w:val="0"/>
            <w:iCs w:val="0"/>
          </w:rPr>
          <w:t>دیوان مغیث الدین أسدآبادی‏</w:t>
        </w:r>
        <w:r>
          <w:tab/>
        </w:r>
        <w:r>
          <w:fldChar w:fldCharType="begin"/>
        </w:r>
        <w:r>
          <w:instrText xml:space="preserve">PAGEREF 7978 \h</w:instrText>
        </w:r>
        <w:r>
          <w:fldChar w:fldCharType="end"/>
        </w:r>
      </w:hyperlink>
    </w:p>
    <w:p>
      <w:pPr>
        <w:tabs>
          <w:tab w:val="right" w:leader="dot" w:pos="9062"/>
        </w:tabs>
        <w:ind w:left="440"/>
      </w:pPr>
      <w:hyperlink w:anchor="_Toc7979" w:history="1">
        <w:r>
          <w:rPr>
            <w:rFonts w:ascii="IRNazanin" w:hAnsi="IRNazanin" w:eastAsia="IRNazanin" w:cs="IRNazanin"/>
            <w:color w:val="111111"/>
            <w:sz w:val="22"/>
            <w:szCs w:val="22"/>
            <w:b w:val="0"/>
            <w:bCs w:val="0"/>
            <w:i w:val="0"/>
            <w:iCs w:val="0"/>
          </w:rPr>
          <w:t>7008- دیوان مغیثی شیرازی‏</w:t>
        </w:r>
        <w:r>
          <w:tab/>
        </w:r>
        <w:r>
          <w:fldChar w:fldCharType="begin"/>
        </w:r>
        <w:r>
          <w:instrText xml:space="preserve">PAGEREF 7979 \h</w:instrText>
        </w:r>
        <w:r>
          <w:fldChar w:fldCharType="end"/>
        </w:r>
      </w:hyperlink>
    </w:p>
    <w:p>
      <w:pPr>
        <w:tabs>
          <w:tab w:val="right" w:leader="dot" w:pos="9062"/>
        </w:tabs>
        <w:ind w:left="440"/>
      </w:pPr>
      <w:hyperlink w:anchor="_Toc7980" w:history="1">
        <w:r>
          <w:rPr>
            <w:rFonts w:ascii="IRNazanin" w:hAnsi="IRNazanin" w:eastAsia="IRNazanin" w:cs="IRNazanin"/>
            <w:color w:val="111111"/>
            <w:sz w:val="22"/>
            <w:szCs w:val="22"/>
            <w:b w:val="0"/>
            <w:bCs w:val="0"/>
            <w:i w:val="0"/>
            <w:iCs w:val="0"/>
          </w:rPr>
          <w:t>7009- دیوان مغیثی گنجوی أو شعره‏</w:t>
        </w:r>
        <w:r>
          <w:tab/>
        </w:r>
        <w:r>
          <w:fldChar w:fldCharType="begin"/>
        </w:r>
        <w:r>
          <w:instrText xml:space="preserve">PAGEREF 7980 \h</w:instrText>
        </w:r>
        <w:r>
          <w:fldChar w:fldCharType="end"/>
        </w:r>
      </w:hyperlink>
    </w:p>
    <w:p>
      <w:pPr>
        <w:tabs>
          <w:tab w:val="right" w:leader="dot" w:pos="9062"/>
        </w:tabs>
        <w:ind w:left="440"/>
      </w:pPr>
      <w:hyperlink w:anchor="_Toc7981" w:history="1">
        <w:r>
          <w:rPr>
            <w:rFonts w:ascii="IRNazanin" w:hAnsi="IRNazanin" w:eastAsia="IRNazanin" w:cs="IRNazanin"/>
            <w:color w:val="111111"/>
            <w:sz w:val="22"/>
            <w:szCs w:val="22"/>
            <w:b w:val="0"/>
            <w:bCs w:val="0"/>
            <w:i w:val="0"/>
            <w:iCs w:val="0"/>
          </w:rPr>
          <w:t>دیوان مفاخر حسین‏</w:t>
        </w:r>
        <w:r>
          <w:tab/>
        </w:r>
        <w:r>
          <w:fldChar w:fldCharType="begin"/>
        </w:r>
        <w:r>
          <w:instrText xml:space="preserve">PAGEREF 7981 \h</w:instrText>
        </w:r>
        <w:r>
          <w:fldChar w:fldCharType="end"/>
        </w:r>
      </w:hyperlink>
    </w:p>
    <w:p>
      <w:pPr>
        <w:tabs>
          <w:tab w:val="right" w:leader="dot" w:pos="9062"/>
        </w:tabs>
        <w:ind w:left="440"/>
      </w:pPr>
      <w:hyperlink w:anchor="_Toc7982" w:history="1">
        <w:r>
          <w:rPr>
            <w:rFonts w:ascii="IRNazanin" w:hAnsi="IRNazanin" w:eastAsia="IRNazanin" w:cs="IRNazanin"/>
            <w:color w:val="111111"/>
            <w:sz w:val="22"/>
            <w:szCs w:val="22"/>
            <w:b w:val="0"/>
            <w:bCs w:val="0"/>
            <w:i w:val="0"/>
            <w:iCs w:val="0"/>
          </w:rPr>
          <w:t>7010- دیوان مفتقر أصفهانی‏</w:t>
        </w:r>
        <w:r>
          <w:tab/>
        </w:r>
        <w:r>
          <w:fldChar w:fldCharType="begin"/>
        </w:r>
        <w:r>
          <w:instrText xml:space="preserve">PAGEREF 7982 \h</w:instrText>
        </w:r>
        <w:r>
          <w:fldChar w:fldCharType="end"/>
        </w:r>
      </w:hyperlink>
    </w:p>
    <w:p>
      <w:pPr>
        <w:tabs>
          <w:tab w:val="right" w:leader="dot" w:pos="9062"/>
        </w:tabs>
        <w:ind w:left="440"/>
      </w:pPr>
      <w:hyperlink w:anchor="_Toc7983" w:history="1">
        <w:r>
          <w:rPr>
            <w:rFonts w:ascii="IRNazanin" w:hAnsi="IRNazanin" w:eastAsia="IRNazanin" w:cs="IRNazanin"/>
            <w:color w:val="111111"/>
            <w:sz w:val="22"/>
            <w:szCs w:val="22"/>
            <w:b w:val="0"/>
            <w:bCs w:val="0"/>
            <w:i w:val="0"/>
            <w:iCs w:val="0"/>
          </w:rPr>
          <w:t>7011- دیوان مفتون أصفهانی‏</w:t>
        </w:r>
        <w:r>
          <w:tab/>
        </w:r>
        <w:r>
          <w:fldChar w:fldCharType="begin"/>
        </w:r>
        <w:r>
          <w:instrText xml:space="preserve">PAGEREF 7983 \h</w:instrText>
        </w:r>
        <w:r>
          <w:fldChar w:fldCharType="end"/>
        </w:r>
      </w:hyperlink>
    </w:p>
    <w:p>
      <w:pPr>
        <w:tabs>
          <w:tab w:val="right" w:leader="dot" w:pos="9062"/>
        </w:tabs>
        <w:ind w:left="440"/>
      </w:pPr>
      <w:hyperlink w:anchor="_Toc7984" w:history="1">
        <w:r>
          <w:rPr>
            <w:rFonts w:ascii="IRNazanin" w:hAnsi="IRNazanin" w:eastAsia="IRNazanin" w:cs="IRNazanin"/>
            <w:color w:val="111111"/>
            <w:sz w:val="22"/>
            <w:szCs w:val="22"/>
            <w:b w:val="0"/>
            <w:bCs w:val="0"/>
            <w:i w:val="0"/>
            <w:iCs w:val="0"/>
          </w:rPr>
          <w:t>7012- دیوان مفتون دنبلی‏</w:t>
        </w:r>
        <w:r>
          <w:tab/>
        </w:r>
        <w:r>
          <w:fldChar w:fldCharType="begin"/>
        </w:r>
        <w:r>
          <w:instrText xml:space="preserve">PAGEREF 7984 \h</w:instrText>
        </w:r>
        <w:r>
          <w:fldChar w:fldCharType="end"/>
        </w:r>
      </w:hyperlink>
    </w:p>
    <w:p>
      <w:pPr>
        <w:tabs>
          <w:tab w:val="right" w:leader="dot" w:pos="9062"/>
        </w:tabs>
        <w:ind w:left="440"/>
      </w:pPr>
      <w:hyperlink w:anchor="_Toc7985" w:history="1">
        <w:r>
          <w:rPr>
            <w:rFonts w:ascii="IRNazanin" w:hAnsi="IRNazanin" w:eastAsia="IRNazanin" w:cs="IRNazanin"/>
            <w:color w:val="111111"/>
            <w:sz w:val="22"/>
            <w:szCs w:val="22"/>
            <w:b w:val="0"/>
            <w:bCs w:val="0"/>
            <w:i w:val="0"/>
            <w:iCs w:val="0"/>
          </w:rPr>
          <w:t>دیوان مفتون دهلوی‏</w:t>
        </w:r>
        <w:r>
          <w:tab/>
        </w:r>
        <w:r>
          <w:fldChar w:fldCharType="begin"/>
        </w:r>
        <w:r>
          <w:instrText xml:space="preserve">PAGEREF 7985 \h</w:instrText>
        </w:r>
        <w:r>
          <w:fldChar w:fldCharType="end"/>
        </w:r>
      </w:hyperlink>
    </w:p>
    <w:p>
      <w:pPr>
        <w:tabs>
          <w:tab w:val="right" w:leader="dot" w:pos="9062"/>
        </w:tabs>
        <w:ind w:left="440"/>
      </w:pPr>
      <w:hyperlink w:anchor="_Toc7986" w:history="1">
        <w:r>
          <w:rPr>
            <w:rFonts w:ascii="IRNazanin" w:hAnsi="IRNazanin" w:eastAsia="IRNazanin" w:cs="IRNazanin"/>
            <w:color w:val="111111"/>
            <w:sz w:val="22"/>
            <w:szCs w:val="22"/>
            <w:b w:val="0"/>
            <w:bCs w:val="0"/>
            <w:i w:val="0"/>
            <w:iCs w:val="0"/>
          </w:rPr>
          <w:t>7013- دیوان مفتون ساروی‏</w:t>
        </w:r>
        <w:r>
          <w:tab/>
        </w:r>
        <w:r>
          <w:fldChar w:fldCharType="begin"/>
        </w:r>
        <w:r>
          <w:instrText xml:space="preserve">PAGEREF 7986 \h</w:instrText>
        </w:r>
        <w:r>
          <w:fldChar w:fldCharType="end"/>
        </w:r>
      </w:hyperlink>
    </w:p>
    <w:p>
      <w:pPr>
        <w:tabs>
          <w:tab w:val="right" w:leader="dot" w:pos="9062"/>
        </w:tabs>
        <w:ind w:left="440"/>
      </w:pPr>
      <w:hyperlink w:anchor="_Toc7987" w:history="1">
        <w:r>
          <w:rPr>
            <w:rFonts w:ascii="IRNazanin" w:hAnsi="IRNazanin" w:eastAsia="IRNazanin" w:cs="IRNazanin"/>
            <w:color w:val="111111"/>
            <w:sz w:val="22"/>
            <w:szCs w:val="22"/>
            <w:b w:val="0"/>
            <w:bCs w:val="0"/>
            <w:i w:val="0"/>
            <w:iCs w:val="0"/>
          </w:rPr>
          <w:t>7014- دیوان مفتون شاه‏آبادی أو شعره‏</w:t>
        </w:r>
        <w:r>
          <w:tab/>
        </w:r>
        <w:r>
          <w:fldChar w:fldCharType="begin"/>
        </w:r>
        <w:r>
          <w:instrText xml:space="preserve">PAGEREF 7987 \h</w:instrText>
        </w:r>
        <w:r>
          <w:fldChar w:fldCharType="end"/>
        </w:r>
      </w:hyperlink>
    </w:p>
    <w:p>
      <w:pPr>
        <w:tabs>
          <w:tab w:val="right" w:leader="dot" w:pos="9062"/>
        </w:tabs>
        <w:ind w:left="440"/>
      </w:pPr>
      <w:hyperlink w:anchor="_Toc7988" w:history="1">
        <w:r>
          <w:rPr>
            <w:rFonts w:ascii="IRNazanin" w:hAnsi="IRNazanin" w:eastAsia="IRNazanin" w:cs="IRNazanin"/>
            <w:color w:val="111111"/>
            <w:sz w:val="22"/>
            <w:szCs w:val="22"/>
            <w:b w:val="0"/>
            <w:bCs w:val="0"/>
            <w:i w:val="0"/>
            <w:iCs w:val="0"/>
          </w:rPr>
          <w:t>7015- دیوان مفتون فارسی أو شعره‏</w:t>
        </w:r>
        <w:r>
          <w:tab/>
        </w:r>
        <w:r>
          <w:fldChar w:fldCharType="begin"/>
        </w:r>
        <w:r>
          <w:instrText xml:space="preserve">PAGEREF 7988 \h</w:instrText>
        </w:r>
        <w:r>
          <w:fldChar w:fldCharType="end"/>
        </w:r>
      </w:hyperlink>
    </w:p>
    <w:p>
      <w:pPr>
        <w:tabs>
          <w:tab w:val="right" w:leader="dot" w:pos="9062"/>
        </w:tabs>
        <w:ind w:left="440"/>
      </w:pPr>
      <w:hyperlink w:anchor="_Toc7989" w:history="1">
        <w:r>
          <w:rPr>
            <w:rFonts w:ascii="IRNazanin" w:hAnsi="IRNazanin" w:eastAsia="IRNazanin" w:cs="IRNazanin"/>
            <w:color w:val="111111"/>
            <w:sz w:val="22"/>
            <w:szCs w:val="22"/>
            <w:b w:val="0"/>
            <w:bCs w:val="0"/>
            <w:i w:val="0"/>
            <w:iCs w:val="0"/>
          </w:rPr>
          <w:t>7016- دیوان مفتون کاکوروی أو شعره‏</w:t>
        </w:r>
        <w:r>
          <w:tab/>
        </w:r>
        <w:r>
          <w:fldChar w:fldCharType="begin"/>
        </w:r>
        <w:r>
          <w:instrText xml:space="preserve">PAGEREF 7989 \h</w:instrText>
        </w:r>
        <w:r>
          <w:fldChar w:fldCharType="end"/>
        </w:r>
      </w:hyperlink>
    </w:p>
    <w:p>
      <w:pPr>
        <w:tabs>
          <w:tab w:val="right" w:leader="dot" w:pos="9062"/>
        </w:tabs>
        <w:ind w:left="440"/>
      </w:pPr>
      <w:hyperlink w:anchor="_Toc7990" w:history="1">
        <w:r>
          <w:rPr>
            <w:rFonts w:ascii="IRNazanin" w:hAnsi="IRNazanin" w:eastAsia="IRNazanin" w:cs="IRNazanin"/>
            <w:color w:val="111111"/>
            <w:sz w:val="22"/>
            <w:szCs w:val="22"/>
            <w:b w:val="0"/>
            <w:bCs w:val="0"/>
            <w:i w:val="0"/>
            <w:iCs w:val="0"/>
          </w:rPr>
          <w:t>7017- دیوان مفتون لاهوری أو شعره‏</w:t>
        </w:r>
        <w:r>
          <w:tab/>
        </w:r>
        <w:r>
          <w:fldChar w:fldCharType="begin"/>
        </w:r>
        <w:r>
          <w:instrText xml:space="preserve">PAGEREF 7990 \h</w:instrText>
        </w:r>
        <w:r>
          <w:fldChar w:fldCharType="end"/>
        </w:r>
      </w:hyperlink>
    </w:p>
    <w:p>
      <w:pPr>
        <w:tabs>
          <w:tab w:val="right" w:leader="dot" w:pos="9062"/>
        </w:tabs>
        <w:ind w:left="440"/>
      </w:pPr>
      <w:hyperlink w:anchor="_Toc7991" w:history="1">
        <w:r>
          <w:rPr>
            <w:rFonts w:ascii="IRNazanin" w:hAnsi="IRNazanin" w:eastAsia="IRNazanin" w:cs="IRNazanin"/>
            <w:color w:val="111111"/>
            <w:sz w:val="22"/>
            <w:szCs w:val="22"/>
            <w:b w:val="0"/>
            <w:bCs w:val="0"/>
            <w:i w:val="0"/>
            <w:iCs w:val="0"/>
          </w:rPr>
          <w:t>7018- دیوان مفتون لکهنوی أو شعره‏</w:t>
        </w:r>
        <w:r>
          <w:tab/>
        </w:r>
        <w:r>
          <w:fldChar w:fldCharType="begin"/>
        </w:r>
        <w:r>
          <w:instrText xml:space="preserve">PAGEREF 7991 \h</w:instrText>
        </w:r>
        <w:r>
          <w:fldChar w:fldCharType="end"/>
        </w:r>
      </w:hyperlink>
    </w:p>
    <w:p>
      <w:pPr>
        <w:tabs>
          <w:tab w:val="right" w:leader="dot" w:pos="9062"/>
        </w:tabs>
        <w:ind w:left="440"/>
      </w:pPr>
      <w:hyperlink w:anchor="_Toc7992" w:history="1">
        <w:r>
          <w:rPr>
            <w:rFonts w:ascii="IRNazanin" w:hAnsi="IRNazanin" w:eastAsia="IRNazanin" w:cs="IRNazanin"/>
            <w:color w:val="111111"/>
            <w:sz w:val="22"/>
            <w:szCs w:val="22"/>
            <w:b w:val="0"/>
            <w:bCs w:val="0"/>
            <w:i w:val="0"/>
            <w:iCs w:val="0"/>
          </w:rPr>
          <w:t>7019- دیوان مفتون محلاتی‏</w:t>
        </w:r>
        <w:r>
          <w:tab/>
        </w:r>
        <w:r>
          <w:fldChar w:fldCharType="begin"/>
        </w:r>
        <w:r>
          <w:instrText xml:space="preserve">PAGEREF 7992 \h</w:instrText>
        </w:r>
        <w:r>
          <w:fldChar w:fldCharType="end"/>
        </w:r>
      </w:hyperlink>
    </w:p>
    <w:p>
      <w:pPr>
        <w:tabs>
          <w:tab w:val="right" w:leader="dot" w:pos="9062"/>
        </w:tabs>
        <w:ind w:left="440"/>
      </w:pPr>
      <w:hyperlink w:anchor="_Toc7993" w:history="1">
        <w:r>
          <w:rPr>
            <w:rFonts w:ascii="IRNazanin" w:hAnsi="IRNazanin" w:eastAsia="IRNazanin" w:cs="IRNazanin"/>
            <w:color w:val="111111"/>
            <w:sz w:val="22"/>
            <w:szCs w:val="22"/>
            <w:b w:val="0"/>
            <w:bCs w:val="0"/>
            <w:i w:val="0"/>
            <w:iCs w:val="0"/>
          </w:rPr>
          <w:t>7020- دیوان مفتون همدانی‏</w:t>
        </w:r>
        <w:r>
          <w:tab/>
        </w:r>
        <w:r>
          <w:fldChar w:fldCharType="begin"/>
        </w:r>
        <w:r>
          <w:instrText xml:space="preserve">PAGEREF 7993 \h</w:instrText>
        </w:r>
        <w:r>
          <w:fldChar w:fldCharType="end"/>
        </w:r>
      </w:hyperlink>
    </w:p>
    <w:p>
      <w:pPr>
        <w:tabs>
          <w:tab w:val="right" w:leader="dot" w:pos="9062"/>
        </w:tabs>
        <w:ind w:left="440"/>
      </w:pPr>
      <w:hyperlink w:anchor="_Toc7994" w:history="1">
        <w:r>
          <w:rPr>
            <w:rFonts w:ascii="IRNazanin" w:hAnsi="IRNazanin" w:eastAsia="IRNazanin" w:cs="IRNazanin"/>
            <w:color w:val="111111"/>
            <w:sz w:val="22"/>
            <w:szCs w:val="22"/>
            <w:b w:val="0"/>
            <w:bCs w:val="0"/>
            <w:i w:val="0"/>
            <w:iCs w:val="0"/>
          </w:rPr>
          <w:t>7021- دیوان مفتون یزدی‏</w:t>
        </w:r>
        <w:r>
          <w:tab/>
        </w:r>
        <w:r>
          <w:fldChar w:fldCharType="begin"/>
        </w:r>
        <w:r>
          <w:instrText xml:space="preserve">PAGEREF 7994 \h</w:instrText>
        </w:r>
        <w:r>
          <w:fldChar w:fldCharType="end"/>
        </w:r>
      </w:hyperlink>
    </w:p>
    <w:p>
      <w:pPr>
        <w:tabs>
          <w:tab w:val="right" w:leader="dot" w:pos="9062"/>
        </w:tabs>
        <w:ind w:left="440"/>
      </w:pPr>
      <w:hyperlink w:anchor="_Toc7995" w:history="1">
        <w:r>
          <w:rPr>
            <w:rFonts w:ascii="IRNazanin" w:hAnsi="IRNazanin" w:eastAsia="IRNazanin" w:cs="IRNazanin"/>
            <w:color w:val="111111"/>
            <w:sz w:val="22"/>
            <w:szCs w:val="22"/>
            <w:b w:val="0"/>
            <w:bCs w:val="0"/>
            <w:i w:val="0"/>
            <w:iCs w:val="0"/>
          </w:rPr>
          <w:t>7022- دیوان مفتی تبریزی أو شعره‏</w:t>
        </w:r>
        <w:r>
          <w:tab/>
        </w:r>
        <w:r>
          <w:fldChar w:fldCharType="begin"/>
        </w:r>
        <w:r>
          <w:instrText xml:space="preserve">PAGEREF 7995 \h</w:instrText>
        </w:r>
        <w:r>
          <w:fldChar w:fldCharType="end"/>
        </w:r>
      </w:hyperlink>
    </w:p>
    <w:p>
      <w:pPr>
        <w:tabs>
          <w:tab w:val="right" w:leader="dot" w:pos="9062"/>
        </w:tabs>
        <w:ind w:left="440"/>
      </w:pPr>
      <w:hyperlink w:anchor="_Toc7996" w:history="1">
        <w:r>
          <w:rPr>
            <w:rFonts w:ascii="IRNazanin" w:hAnsi="IRNazanin" w:eastAsia="IRNazanin" w:cs="IRNazanin"/>
            <w:color w:val="111111"/>
            <w:sz w:val="22"/>
            <w:szCs w:val="22"/>
            <w:b w:val="0"/>
            <w:bCs w:val="0"/>
            <w:i w:val="0"/>
            <w:iCs w:val="0"/>
          </w:rPr>
          <w:t>7023- دیوان مفتی لاهوری‏</w:t>
        </w:r>
        <w:r>
          <w:tab/>
        </w:r>
        <w:r>
          <w:fldChar w:fldCharType="begin"/>
        </w:r>
        <w:r>
          <w:instrText xml:space="preserve">PAGEREF 7996 \h</w:instrText>
        </w:r>
        <w:r>
          <w:fldChar w:fldCharType="end"/>
        </w:r>
      </w:hyperlink>
    </w:p>
    <w:p>
      <w:pPr>
        <w:tabs>
          <w:tab w:val="right" w:leader="dot" w:pos="9062"/>
        </w:tabs>
        <w:ind w:left="440"/>
      </w:pPr>
      <w:hyperlink w:anchor="_Toc7997" w:history="1">
        <w:r>
          <w:rPr>
            <w:rFonts w:ascii="IRNazanin" w:hAnsi="IRNazanin" w:eastAsia="IRNazanin" w:cs="IRNazanin"/>
            <w:color w:val="111111"/>
            <w:sz w:val="22"/>
            <w:szCs w:val="22"/>
            <w:b w:val="0"/>
            <w:bCs w:val="0"/>
            <w:i w:val="0"/>
            <w:iCs w:val="0"/>
          </w:rPr>
          <w:t>7024- دیوان مفتی لکهنوی أو شعره‏</w:t>
        </w:r>
        <w:r>
          <w:tab/>
        </w:r>
        <w:r>
          <w:fldChar w:fldCharType="begin"/>
        </w:r>
        <w:r>
          <w:instrText xml:space="preserve">PAGEREF 7997 \h</w:instrText>
        </w:r>
        <w:r>
          <w:fldChar w:fldCharType="end"/>
        </w:r>
      </w:hyperlink>
    </w:p>
    <w:p>
      <w:pPr>
        <w:tabs>
          <w:tab w:val="right" w:leader="dot" w:pos="9062"/>
        </w:tabs>
        <w:ind w:left="440"/>
      </w:pPr>
      <w:hyperlink w:anchor="_Toc7998" w:history="1">
        <w:r>
          <w:rPr>
            <w:rFonts w:ascii="IRNazanin" w:hAnsi="IRNazanin" w:eastAsia="IRNazanin" w:cs="IRNazanin"/>
            <w:color w:val="111111"/>
            <w:sz w:val="22"/>
            <w:szCs w:val="22"/>
            <w:b w:val="0"/>
            <w:bCs w:val="0"/>
            <w:i w:val="0"/>
            <w:iCs w:val="0"/>
          </w:rPr>
          <w:t>7025- دیوان المفجع البصری‏</w:t>
        </w:r>
        <w:r>
          <w:tab/>
        </w:r>
        <w:r>
          <w:fldChar w:fldCharType="begin"/>
        </w:r>
        <w:r>
          <w:instrText xml:space="preserve">PAGEREF 7998 \h</w:instrText>
        </w:r>
        <w:r>
          <w:fldChar w:fldCharType="end"/>
        </w:r>
      </w:hyperlink>
    </w:p>
    <w:p>
      <w:pPr>
        <w:tabs>
          <w:tab w:val="right" w:leader="dot" w:pos="9062"/>
        </w:tabs>
        <w:ind w:left="440"/>
      </w:pPr>
      <w:hyperlink w:anchor="_Toc7999" w:history="1">
        <w:r>
          <w:rPr>
            <w:rFonts w:ascii="IRNazanin" w:hAnsi="IRNazanin" w:eastAsia="IRNazanin" w:cs="IRNazanin"/>
            <w:color w:val="111111"/>
            <w:sz w:val="22"/>
            <w:szCs w:val="22"/>
            <w:b w:val="0"/>
            <w:bCs w:val="0"/>
            <w:i w:val="0"/>
            <w:iCs w:val="0"/>
          </w:rPr>
          <w:t>دیوان مفرد أصفهانی‏</w:t>
        </w:r>
        <w:r>
          <w:tab/>
        </w:r>
        <w:r>
          <w:fldChar w:fldCharType="begin"/>
        </w:r>
        <w:r>
          <w:instrText xml:space="preserve">PAGEREF 7999 \h</w:instrText>
        </w:r>
        <w:r>
          <w:fldChar w:fldCharType="end"/>
        </w:r>
      </w:hyperlink>
    </w:p>
    <w:p>
      <w:pPr>
        <w:tabs>
          <w:tab w:val="right" w:leader="dot" w:pos="9062"/>
        </w:tabs>
        <w:ind w:left="440"/>
      </w:pPr>
      <w:hyperlink w:anchor="_Toc8000" w:history="1">
        <w:r>
          <w:rPr>
            <w:rFonts w:ascii="IRNazanin" w:hAnsi="IRNazanin" w:eastAsia="IRNazanin" w:cs="IRNazanin"/>
            <w:color w:val="111111"/>
            <w:sz w:val="22"/>
            <w:szCs w:val="22"/>
            <w:b w:val="0"/>
            <w:bCs w:val="0"/>
            <w:i w:val="0"/>
            <w:iCs w:val="0"/>
          </w:rPr>
          <w:t>7026- دیوان مفرد تبریزی‏</w:t>
        </w:r>
        <w:r>
          <w:tab/>
        </w:r>
        <w:r>
          <w:fldChar w:fldCharType="begin"/>
        </w:r>
        <w:r>
          <w:instrText xml:space="preserve">PAGEREF 8000 \h</w:instrText>
        </w:r>
        <w:r>
          <w:fldChar w:fldCharType="end"/>
        </w:r>
      </w:hyperlink>
    </w:p>
    <w:p>
      <w:pPr>
        <w:tabs>
          <w:tab w:val="right" w:leader="dot" w:pos="9062"/>
        </w:tabs>
        <w:ind w:left="440"/>
      </w:pPr>
      <w:hyperlink w:anchor="_Toc8001" w:history="1">
        <w:r>
          <w:rPr>
            <w:rFonts w:ascii="IRNazanin" w:hAnsi="IRNazanin" w:eastAsia="IRNazanin" w:cs="IRNazanin"/>
            <w:color w:val="111111"/>
            <w:sz w:val="22"/>
            <w:szCs w:val="22"/>
            <w:b w:val="0"/>
            <w:bCs w:val="0"/>
            <w:i w:val="0"/>
            <w:iCs w:val="0"/>
          </w:rPr>
          <w:t>7027- دیوان مفرد قمی أو شعره‏</w:t>
        </w:r>
        <w:r>
          <w:tab/>
        </w:r>
        <w:r>
          <w:fldChar w:fldCharType="begin"/>
        </w:r>
        <w:r>
          <w:instrText xml:space="preserve">PAGEREF 8001 \h</w:instrText>
        </w:r>
        <w:r>
          <w:fldChar w:fldCharType="end"/>
        </w:r>
      </w:hyperlink>
    </w:p>
    <w:p>
      <w:pPr>
        <w:tabs>
          <w:tab w:val="right" w:leader="dot" w:pos="9062"/>
        </w:tabs>
        <w:ind w:left="440"/>
      </w:pPr>
      <w:hyperlink w:anchor="_Toc8002" w:history="1">
        <w:r>
          <w:rPr>
            <w:rFonts w:ascii="IRNazanin" w:hAnsi="IRNazanin" w:eastAsia="IRNazanin" w:cs="IRNazanin"/>
            <w:color w:val="111111"/>
            <w:sz w:val="22"/>
            <w:szCs w:val="22"/>
            <w:b w:val="0"/>
            <w:bCs w:val="0"/>
            <w:i w:val="0"/>
            <w:iCs w:val="0"/>
          </w:rPr>
          <w:t>7028- دیوان مفرد همدانی أو شعره‏</w:t>
        </w:r>
        <w:r>
          <w:tab/>
        </w:r>
        <w:r>
          <w:fldChar w:fldCharType="begin"/>
        </w:r>
        <w:r>
          <w:instrText xml:space="preserve">PAGEREF 8002 \h</w:instrText>
        </w:r>
        <w:r>
          <w:fldChar w:fldCharType="end"/>
        </w:r>
      </w:hyperlink>
    </w:p>
    <w:p>
      <w:pPr>
        <w:tabs>
          <w:tab w:val="right" w:leader="dot" w:pos="9062"/>
        </w:tabs>
        <w:ind w:left="440"/>
      </w:pPr>
      <w:hyperlink w:anchor="_Toc8003" w:history="1">
        <w:r>
          <w:rPr>
            <w:rFonts w:ascii="IRNazanin" w:hAnsi="IRNazanin" w:eastAsia="IRNazanin" w:cs="IRNazanin"/>
            <w:color w:val="111111"/>
            <w:sz w:val="22"/>
            <w:szCs w:val="22"/>
            <w:b w:val="0"/>
            <w:bCs w:val="0"/>
            <w:i w:val="0"/>
            <w:iCs w:val="0"/>
          </w:rPr>
          <w:t>دیوان مفرده نویس‏</w:t>
        </w:r>
        <w:r>
          <w:tab/>
        </w:r>
        <w:r>
          <w:fldChar w:fldCharType="begin"/>
        </w:r>
        <w:r>
          <w:instrText xml:space="preserve">PAGEREF 8003 \h</w:instrText>
        </w:r>
        <w:r>
          <w:fldChar w:fldCharType="end"/>
        </w:r>
      </w:hyperlink>
    </w:p>
    <w:p>
      <w:pPr>
        <w:tabs>
          <w:tab w:val="right" w:leader="dot" w:pos="9062"/>
        </w:tabs>
        <w:ind w:left="440"/>
      </w:pPr>
      <w:hyperlink w:anchor="_Toc8004" w:history="1">
        <w:r>
          <w:rPr>
            <w:rFonts w:ascii="IRNazanin" w:hAnsi="IRNazanin" w:eastAsia="IRNazanin" w:cs="IRNazanin"/>
            <w:color w:val="111111"/>
            <w:sz w:val="22"/>
            <w:szCs w:val="22"/>
            <w:b w:val="0"/>
            <w:bCs w:val="0"/>
            <w:i w:val="0"/>
            <w:iCs w:val="0"/>
          </w:rPr>
          <w:t>7029- دیوان الشیخ مفلح‏</w:t>
        </w:r>
        <w:r>
          <w:tab/>
        </w:r>
        <w:r>
          <w:fldChar w:fldCharType="begin"/>
        </w:r>
        <w:r>
          <w:instrText xml:space="preserve">PAGEREF 8004 \h</w:instrText>
        </w:r>
        <w:r>
          <w:fldChar w:fldCharType="end"/>
        </w:r>
      </w:hyperlink>
    </w:p>
    <w:p>
      <w:pPr>
        <w:tabs>
          <w:tab w:val="right" w:leader="dot" w:pos="9062"/>
        </w:tabs>
        <w:ind w:left="440"/>
      </w:pPr>
      <w:hyperlink w:anchor="_Toc8005" w:history="1">
        <w:r>
          <w:rPr>
            <w:rFonts w:ascii="IRNazanin" w:hAnsi="IRNazanin" w:eastAsia="IRNazanin" w:cs="IRNazanin"/>
            <w:color w:val="111111"/>
            <w:sz w:val="22"/>
            <w:szCs w:val="22"/>
            <w:b w:val="0"/>
            <w:bCs w:val="0"/>
            <w:i w:val="0"/>
            <w:iCs w:val="0"/>
          </w:rPr>
          <w:t>دیوان مفلح أصفهانی‏</w:t>
        </w:r>
        <w:r>
          <w:tab/>
        </w:r>
        <w:r>
          <w:fldChar w:fldCharType="begin"/>
        </w:r>
        <w:r>
          <w:instrText xml:space="preserve">PAGEREF 8005 \h</w:instrText>
        </w:r>
        <w:r>
          <w:fldChar w:fldCharType="end"/>
        </w:r>
      </w:hyperlink>
    </w:p>
    <w:p>
      <w:pPr>
        <w:tabs>
          <w:tab w:val="right" w:leader="dot" w:pos="9062"/>
        </w:tabs>
        <w:ind w:left="440"/>
      </w:pPr>
      <w:hyperlink w:anchor="_Toc8006" w:history="1">
        <w:r>
          <w:rPr>
            <w:rFonts w:ascii="IRNazanin" w:hAnsi="IRNazanin" w:eastAsia="IRNazanin" w:cs="IRNazanin"/>
            <w:color w:val="111111"/>
            <w:sz w:val="22"/>
            <w:szCs w:val="22"/>
            <w:b w:val="0"/>
            <w:bCs w:val="0"/>
            <w:i w:val="0"/>
            <w:iCs w:val="0"/>
          </w:rPr>
          <w:t>7031- دیوان مفلس دهلوی أو شعره‏</w:t>
        </w:r>
        <w:r>
          <w:tab/>
        </w:r>
        <w:r>
          <w:fldChar w:fldCharType="begin"/>
        </w:r>
        <w:r>
          <w:instrText xml:space="preserve">PAGEREF 8006 \h</w:instrText>
        </w:r>
        <w:r>
          <w:fldChar w:fldCharType="end"/>
        </w:r>
      </w:hyperlink>
    </w:p>
    <w:p>
      <w:pPr>
        <w:tabs>
          <w:tab w:val="right" w:leader="dot" w:pos="9062"/>
        </w:tabs>
        <w:ind w:left="440"/>
      </w:pPr>
      <w:hyperlink w:anchor="_Toc8007" w:history="1">
        <w:r>
          <w:rPr>
            <w:rFonts w:ascii="IRNazanin" w:hAnsi="IRNazanin" w:eastAsia="IRNazanin" w:cs="IRNazanin"/>
            <w:color w:val="111111"/>
            <w:sz w:val="22"/>
            <w:szCs w:val="22"/>
            <w:b w:val="0"/>
            <w:bCs w:val="0"/>
            <w:i w:val="0"/>
            <w:iCs w:val="0"/>
          </w:rPr>
          <w:t>7032- دیوان مفلس قمی‏</w:t>
        </w:r>
        <w:r>
          <w:tab/>
        </w:r>
        <w:r>
          <w:fldChar w:fldCharType="begin"/>
        </w:r>
        <w:r>
          <w:instrText xml:space="preserve">PAGEREF 8007 \h</w:instrText>
        </w:r>
        <w:r>
          <w:fldChar w:fldCharType="end"/>
        </w:r>
      </w:hyperlink>
    </w:p>
    <w:p>
      <w:pPr>
        <w:tabs>
          <w:tab w:val="right" w:leader="dot" w:pos="9062"/>
        </w:tabs>
        <w:ind w:left="440"/>
      </w:pPr>
      <w:hyperlink w:anchor="_Toc8008" w:history="1">
        <w:r>
          <w:rPr>
            <w:rFonts w:ascii="IRNazanin" w:hAnsi="IRNazanin" w:eastAsia="IRNazanin" w:cs="IRNazanin"/>
            <w:color w:val="111111"/>
            <w:sz w:val="22"/>
            <w:szCs w:val="22"/>
            <w:b w:val="0"/>
            <w:bCs w:val="0"/>
            <w:i w:val="0"/>
            <w:iCs w:val="0"/>
          </w:rPr>
          <w:t>7033- دیوان مفلس گنابادی أو شعره‏</w:t>
        </w:r>
        <w:r>
          <w:tab/>
        </w:r>
        <w:r>
          <w:fldChar w:fldCharType="begin"/>
        </w:r>
        <w:r>
          <w:instrText xml:space="preserve">PAGEREF 8008 \h</w:instrText>
        </w:r>
        <w:r>
          <w:fldChar w:fldCharType="end"/>
        </w:r>
      </w:hyperlink>
    </w:p>
    <w:p>
      <w:pPr>
        <w:tabs>
          <w:tab w:val="right" w:leader="dot" w:pos="9062"/>
        </w:tabs>
        <w:ind w:left="440"/>
      </w:pPr>
      <w:hyperlink w:anchor="_Toc8009" w:history="1">
        <w:r>
          <w:rPr>
            <w:rFonts w:ascii="IRNazanin" w:hAnsi="IRNazanin" w:eastAsia="IRNazanin" w:cs="IRNazanin"/>
            <w:color w:val="111111"/>
            <w:sz w:val="22"/>
            <w:szCs w:val="22"/>
            <w:b w:val="0"/>
            <w:bCs w:val="0"/>
            <w:i w:val="0"/>
            <w:iCs w:val="0"/>
          </w:rPr>
          <w:t>7034- دیوان مفلسی خراسانی أو شعره‏</w:t>
        </w:r>
        <w:r>
          <w:tab/>
        </w:r>
        <w:r>
          <w:fldChar w:fldCharType="begin"/>
        </w:r>
        <w:r>
          <w:instrText xml:space="preserve">PAGEREF 8009 \h</w:instrText>
        </w:r>
        <w:r>
          <w:fldChar w:fldCharType="end"/>
        </w:r>
      </w:hyperlink>
    </w:p>
    <w:p>
      <w:pPr>
        <w:tabs>
          <w:tab w:val="right" w:leader="dot" w:pos="9062"/>
        </w:tabs>
        <w:ind w:left="440"/>
      </w:pPr>
      <w:hyperlink w:anchor="_Toc8010" w:history="1">
        <w:r>
          <w:rPr>
            <w:rFonts w:ascii="IRNazanin" w:hAnsi="IRNazanin" w:eastAsia="IRNazanin" w:cs="IRNazanin"/>
            <w:color w:val="111111"/>
            <w:sz w:val="22"/>
            <w:szCs w:val="22"/>
            <w:b w:val="0"/>
            <w:bCs w:val="0"/>
            <w:i w:val="0"/>
            <w:iCs w:val="0"/>
          </w:rPr>
          <w:t>7035- دیوان مفلق طهرانی‏</w:t>
        </w:r>
        <w:r>
          <w:tab/>
        </w:r>
        <w:r>
          <w:fldChar w:fldCharType="begin"/>
        </w:r>
        <w:r>
          <w:instrText xml:space="preserve">PAGEREF 8010 \h</w:instrText>
        </w:r>
        <w:r>
          <w:fldChar w:fldCharType="end"/>
        </w:r>
      </w:hyperlink>
    </w:p>
    <w:p>
      <w:pPr>
        <w:tabs>
          <w:tab w:val="right" w:leader="dot" w:pos="9062"/>
        </w:tabs>
        <w:ind w:left="440"/>
      </w:pPr>
      <w:hyperlink w:anchor="_Toc8011" w:history="1">
        <w:r>
          <w:rPr>
            <w:rFonts w:ascii="IRNazanin" w:hAnsi="IRNazanin" w:eastAsia="IRNazanin" w:cs="IRNazanin"/>
            <w:color w:val="111111"/>
            <w:sz w:val="22"/>
            <w:szCs w:val="22"/>
            <w:b w:val="0"/>
            <w:bCs w:val="0"/>
            <w:i w:val="0"/>
            <w:iCs w:val="0"/>
          </w:rPr>
          <w:t>7036- دیوان مفید إسکافی أو شعره‏</w:t>
        </w:r>
        <w:r>
          <w:tab/>
        </w:r>
        <w:r>
          <w:fldChar w:fldCharType="begin"/>
        </w:r>
        <w:r>
          <w:instrText xml:space="preserve">PAGEREF 8011 \h</w:instrText>
        </w:r>
        <w:r>
          <w:fldChar w:fldCharType="end"/>
        </w:r>
      </w:hyperlink>
    </w:p>
    <w:p>
      <w:pPr>
        <w:tabs>
          <w:tab w:val="right" w:leader="dot" w:pos="9062"/>
        </w:tabs>
        <w:ind w:left="440"/>
      </w:pPr>
      <w:hyperlink w:anchor="_Toc8012" w:history="1">
        <w:r>
          <w:rPr>
            <w:rFonts w:ascii="IRNazanin" w:hAnsi="IRNazanin" w:eastAsia="IRNazanin" w:cs="IRNazanin"/>
            <w:color w:val="111111"/>
            <w:sz w:val="22"/>
            <w:szCs w:val="22"/>
            <w:b w:val="0"/>
            <w:bCs w:val="0"/>
            <w:i w:val="0"/>
            <w:iCs w:val="0"/>
          </w:rPr>
          <w:t>7037- دیوان مفید بلخی‏</w:t>
        </w:r>
        <w:r>
          <w:tab/>
        </w:r>
        <w:r>
          <w:fldChar w:fldCharType="begin"/>
        </w:r>
        <w:r>
          <w:instrText xml:space="preserve">PAGEREF 8012 \h</w:instrText>
        </w:r>
        <w:r>
          <w:fldChar w:fldCharType="end"/>
        </w:r>
      </w:hyperlink>
    </w:p>
    <w:p>
      <w:pPr>
        <w:tabs>
          <w:tab w:val="right" w:leader="dot" w:pos="9062"/>
        </w:tabs>
        <w:ind w:left="440"/>
      </w:pPr>
      <w:hyperlink w:anchor="_Toc8013" w:history="1">
        <w:r>
          <w:rPr>
            <w:rFonts w:ascii="IRNazanin" w:hAnsi="IRNazanin" w:eastAsia="IRNazanin" w:cs="IRNazanin"/>
            <w:color w:val="111111"/>
            <w:sz w:val="22"/>
            <w:szCs w:val="22"/>
            <w:b w:val="0"/>
            <w:bCs w:val="0"/>
            <w:i w:val="0"/>
            <w:iCs w:val="0"/>
          </w:rPr>
          <w:t>دیوان مفید شیرازی‏</w:t>
        </w:r>
        <w:r>
          <w:tab/>
        </w:r>
        <w:r>
          <w:fldChar w:fldCharType="begin"/>
        </w:r>
        <w:r>
          <w:instrText xml:space="preserve">PAGEREF 8013 \h</w:instrText>
        </w:r>
        <w:r>
          <w:fldChar w:fldCharType="end"/>
        </w:r>
      </w:hyperlink>
    </w:p>
    <w:p>
      <w:pPr>
        <w:tabs>
          <w:tab w:val="right" w:leader="dot" w:pos="9062"/>
        </w:tabs>
        <w:ind w:left="440"/>
      </w:pPr>
      <w:hyperlink w:anchor="_Toc8014" w:history="1">
        <w:r>
          <w:rPr>
            <w:rFonts w:ascii="IRNazanin" w:hAnsi="IRNazanin" w:eastAsia="IRNazanin" w:cs="IRNazanin"/>
            <w:color w:val="111111"/>
            <w:sz w:val="22"/>
            <w:szCs w:val="22"/>
            <w:b w:val="0"/>
            <w:bCs w:val="0"/>
            <w:i w:val="0"/>
            <w:iCs w:val="0"/>
          </w:rPr>
          <w:t>7038- دیوان مفید شیرازی‏</w:t>
        </w:r>
        <w:r>
          <w:tab/>
        </w:r>
        <w:r>
          <w:fldChar w:fldCharType="begin"/>
        </w:r>
        <w:r>
          <w:instrText xml:space="preserve">PAGEREF 8014 \h</w:instrText>
        </w:r>
        <w:r>
          <w:fldChar w:fldCharType="end"/>
        </w:r>
      </w:hyperlink>
    </w:p>
    <w:p>
      <w:pPr>
        <w:tabs>
          <w:tab w:val="right" w:leader="dot" w:pos="9062"/>
        </w:tabs>
        <w:ind w:left="440"/>
      </w:pPr>
      <w:hyperlink w:anchor="_Toc8015" w:history="1">
        <w:r>
          <w:rPr>
            <w:rFonts w:ascii="IRNazanin" w:hAnsi="IRNazanin" w:eastAsia="IRNazanin" w:cs="IRNazanin"/>
            <w:color w:val="111111"/>
            <w:sz w:val="22"/>
            <w:szCs w:val="22"/>
            <w:b w:val="0"/>
            <w:bCs w:val="0"/>
            <w:i w:val="0"/>
            <w:iCs w:val="0"/>
          </w:rPr>
          <w:t>7039- دیوان مفیدی أصفهانی‏</w:t>
        </w:r>
        <w:r>
          <w:tab/>
        </w:r>
        <w:r>
          <w:fldChar w:fldCharType="begin"/>
        </w:r>
        <w:r>
          <w:instrText xml:space="preserve">PAGEREF 8015 \h</w:instrText>
        </w:r>
        <w:r>
          <w:fldChar w:fldCharType="end"/>
        </w:r>
      </w:hyperlink>
    </w:p>
    <w:p>
      <w:pPr>
        <w:tabs>
          <w:tab w:val="right" w:leader="dot" w:pos="9062"/>
        </w:tabs>
        <w:ind w:left="440"/>
      </w:pPr>
      <w:hyperlink w:anchor="_Toc8016" w:history="1">
        <w:r>
          <w:rPr>
            <w:rFonts w:ascii="IRNazanin" w:hAnsi="IRNazanin" w:eastAsia="IRNazanin" w:cs="IRNazanin"/>
            <w:color w:val="111111"/>
            <w:sz w:val="22"/>
            <w:szCs w:val="22"/>
            <w:b w:val="0"/>
            <w:bCs w:val="0"/>
            <w:i w:val="0"/>
            <w:iCs w:val="0"/>
          </w:rPr>
          <w:t>7040- دیوان مقبل أصفهانی‏</w:t>
        </w:r>
        <w:r>
          <w:tab/>
        </w:r>
        <w:r>
          <w:fldChar w:fldCharType="begin"/>
        </w:r>
        <w:r>
          <w:instrText xml:space="preserve">PAGEREF 8016 \h</w:instrText>
        </w:r>
        <w:r>
          <w:fldChar w:fldCharType="end"/>
        </w:r>
      </w:hyperlink>
    </w:p>
    <w:p>
      <w:pPr>
        <w:tabs>
          <w:tab w:val="right" w:leader="dot" w:pos="9062"/>
        </w:tabs>
        <w:ind w:left="440"/>
      </w:pPr>
      <w:hyperlink w:anchor="_Toc8017" w:history="1">
        <w:r>
          <w:rPr>
            <w:rFonts w:ascii="IRNazanin" w:hAnsi="IRNazanin" w:eastAsia="IRNazanin" w:cs="IRNazanin"/>
            <w:color w:val="111111"/>
            <w:sz w:val="22"/>
            <w:szCs w:val="22"/>
            <w:b w:val="0"/>
            <w:bCs w:val="0"/>
            <w:i w:val="0"/>
            <w:iCs w:val="0"/>
          </w:rPr>
          <w:t>7041- دیوان مقبل کرمانی أو شعره‏</w:t>
        </w:r>
        <w:r>
          <w:tab/>
        </w:r>
        <w:r>
          <w:fldChar w:fldCharType="begin"/>
        </w:r>
        <w:r>
          <w:instrText xml:space="preserve">PAGEREF 8017 \h</w:instrText>
        </w:r>
        <w:r>
          <w:fldChar w:fldCharType="end"/>
        </w:r>
      </w:hyperlink>
    </w:p>
    <w:p>
      <w:pPr>
        <w:tabs>
          <w:tab w:val="right" w:leader="dot" w:pos="9062"/>
        </w:tabs>
        <w:ind w:left="440"/>
      </w:pPr>
      <w:hyperlink w:anchor="_Toc8018" w:history="1">
        <w:r>
          <w:rPr>
            <w:rFonts w:ascii="IRNazanin" w:hAnsi="IRNazanin" w:eastAsia="IRNazanin" w:cs="IRNazanin"/>
            <w:color w:val="111111"/>
            <w:sz w:val="22"/>
            <w:szCs w:val="22"/>
            <w:b w:val="0"/>
            <w:bCs w:val="0"/>
            <w:i w:val="0"/>
            <w:iCs w:val="0"/>
          </w:rPr>
          <w:t>دیوان مقبلی ترشیزی أو شعره‏</w:t>
        </w:r>
        <w:r>
          <w:tab/>
        </w:r>
        <w:r>
          <w:fldChar w:fldCharType="begin"/>
        </w:r>
        <w:r>
          <w:instrText xml:space="preserve">PAGEREF 8018 \h</w:instrText>
        </w:r>
        <w:r>
          <w:fldChar w:fldCharType="end"/>
        </w:r>
      </w:hyperlink>
    </w:p>
    <w:p>
      <w:pPr>
        <w:tabs>
          <w:tab w:val="right" w:leader="dot" w:pos="9062"/>
        </w:tabs>
        <w:ind w:left="440"/>
      </w:pPr>
      <w:hyperlink w:anchor="_Toc8019" w:history="1">
        <w:r>
          <w:rPr>
            <w:rFonts w:ascii="IRNazanin" w:hAnsi="IRNazanin" w:eastAsia="IRNazanin" w:cs="IRNazanin"/>
            <w:color w:val="111111"/>
            <w:sz w:val="22"/>
            <w:szCs w:val="22"/>
            <w:b w:val="0"/>
            <w:bCs w:val="0"/>
            <w:i w:val="0"/>
            <w:iCs w:val="0"/>
          </w:rPr>
          <w:t>دیوان مقبول قمی أو شعره‏</w:t>
        </w:r>
        <w:r>
          <w:tab/>
        </w:r>
        <w:r>
          <w:fldChar w:fldCharType="begin"/>
        </w:r>
        <w:r>
          <w:instrText xml:space="preserve">PAGEREF 8019 \h</w:instrText>
        </w:r>
        <w:r>
          <w:fldChar w:fldCharType="end"/>
        </w:r>
      </w:hyperlink>
    </w:p>
    <w:p>
      <w:pPr>
        <w:tabs>
          <w:tab w:val="right" w:leader="dot" w:pos="9062"/>
        </w:tabs>
        <w:ind w:left="440"/>
      </w:pPr>
      <w:hyperlink w:anchor="_Toc8020" w:history="1">
        <w:r>
          <w:rPr>
            <w:rFonts w:ascii="IRNazanin" w:hAnsi="IRNazanin" w:eastAsia="IRNazanin" w:cs="IRNazanin"/>
            <w:color w:val="111111"/>
            <w:sz w:val="22"/>
            <w:szCs w:val="22"/>
            <w:b w:val="0"/>
            <w:bCs w:val="0"/>
            <w:i w:val="0"/>
            <w:iCs w:val="0"/>
          </w:rPr>
          <w:t>7042- دیوان مقبول لکهنوی أو شعره‏</w:t>
        </w:r>
        <w:r>
          <w:tab/>
        </w:r>
        <w:r>
          <w:fldChar w:fldCharType="begin"/>
        </w:r>
        <w:r>
          <w:instrText xml:space="preserve">PAGEREF 8020 \h</w:instrText>
        </w:r>
        <w:r>
          <w:fldChar w:fldCharType="end"/>
        </w:r>
      </w:hyperlink>
    </w:p>
    <w:p>
      <w:pPr>
        <w:tabs>
          <w:tab w:val="right" w:leader="dot" w:pos="9062"/>
        </w:tabs>
        <w:ind w:left="440"/>
      </w:pPr>
      <w:hyperlink w:anchor="_Toc8021" w:history="1">
        <w:r>
          <w:rPr>
            <w:rFonts w:ascii="IRNazanin" w:hAnsi="IRNazanin" w:eastAsia="IRNazanin" w:cs="IRNazanin"/>
            <w:color w:val="111111"/>
            <w:sz w:val="22"/>
            <w:szCs w:val="22"/>
            <w:b w:val="0"/>
            <w:bCs w:val="0"/>
            <w:i w:val="0"/>
            <w:iCs w:val="0"/>
          </w:rPr>
          <w:t>دیوان مقبول هروی‏</w:t>
        </w:r>
        <w:r>
          <w:tab/>
        </w:r>
        <w:r>
          <w:fldChar w:fldCharType="begin"/>
        </w:r>
        <w:r>
          <w:instrText xml:space="preserve">PAGEREF 8021 \h</w:instrText>
        </w:r>
        <w:r>
          <w:fldChar w:fldCharType="end"/>
        </w:r>
      </w:hyperlink>
    </w:p>
    <w:p>
      <w:pPr>
        <w:tabs>
          <w:tab w:val="right" w:leader="dot" w:pos="9062"/>
        </w:tabs>
        <w:ind w:left="440"/>
      </w:pPr>
      <w:hyperlink w:anchor="_Toc8022" w:history="1">
        <w:r>
          <w:rPr>
            <w:rFonts w:ascii="IRNazanin" w:hAnsi="IRNazanin" w:eastAsia="IRNazanin" w:cs="IRNazanin"/>
            <w:color w:val="111111"/>
            <w:sz w:val="22"/>
            <w:szCs w:val="22"/>
            <w:b w:val="0"/>
            <w:bCs w:val="0"/>
            <w:i w:val="0"/>
            <w:iCs w:val="0"/>
          </w:rPr>
          <w:t>7043- دیوان مقبولی أصفهانی أو شعره‏</w:t>
        </w:r>
        <w:r>
          <w:tab/>
        </w:r>
        <w:r>
          <w:fldChar w:fldCharType="begin"/>
        </w:r>
        <w:r>
          <w:instrText xml:space="preserve">PAGEREF 8022 \h</w:instrText>
        </w:r>
        <w:r>
          <w:fldChar w:fldCharType="end"/>
        </w:r>
      </w:hyperlink>
    </w:p>
    <w:p>
      <w:pPr>
        <w:tabs>
          <w:tab w:val="right" w:leader="dot" w:pos="9062"/>
        </w:tabs>
        <w:ind w:left="440"/>
      </w:pPr>
      <w:hyperlink w:anchor="_Toc8023" w:history="1">
        <w:r>
          <w:rPr>
            <w:rFonts w:ascii="IRNazanin" w:hAnsi="IRNazanin" w:eastAsia="IRNazanin" w:cs="IRNazanin"/>
            <w:color w:val="111111"/>
            <w:sz w:val="22"/>
            <w:szCs w:val="22"/>
            <w:b w:val="0"/>
            <w:bCs w:val="0"/>
            <w:i w:val="0"/>
            <w:iCs w:val="0"/>
          </w:rPr>
          <w:t>7044- دیوان مقدس أصفهانی أو شعره‏</w:t>
        </w:r>
        <w:r>
          <w:tab/>
        </w:r>
        <w:r>
          <w:fldChar w:fldCharType="begin"/>
        </w:r>
        <w:r>
          <w:instrText xml:space="preserve">PAGEREF 8023 \h</w:instrText>
        </w:r>
        <w:r>
          <w:fldChar w:fldCharType="end"/>
        </w:r>
      </w:hyperlink>
    </w:p>
    <w:p>
      <w:pPr>
        <w:tabs>
          <w:tab w:val="right" w:leader="dot" w:pos="9062"/>
        </w:tabs>
        <w:ind w:left="440"/>
      </w:pPr>
      <w:hyperlink w:anchor="_Toc8024" w:history="1">
        <w:r>
          <w:rPr>
            <w:rFonts w:ascii="IRNazanin" w:hAnsi="IRNazanin" w:eastAsia="IRNazanin" w:cs="IRNazanin"/>
            <w:color w:val="111111"/>
            <w:sz w:val="22"/>
            <w:szCs w:val="22"/>
            <w:b w:val="0"/>
            <w:bCs w:val="0"/>
            <w:i w:val="0"/>
            <w:iCs w:val="0"/>
          </w:rPr>
          <w:t>7045- دیوان مقصدی ساوجی أو شعره‏</w:t>
        </w:r>
        <w:r>
          <w:tab/>
        </w:r>
        <w:r>
          <w:fldChar w:fldCharType="begin"/>
        </w:r>
        <w:r>
          <w:instrText xml:space="preserve">PAGEREF 8024 \h</w:instrText>
        </w:r>
        <w:r>
          <w:fldChar w:fldCharType="end"/>
        </w:r>
      </w:hyperlink>
    </w:p>
    <w:p>
      <w:pPr>
        <w:tabs>
          <w:tab w:val="right" w:leader="dot" w:pos="9062"/>
        </w:tabs>
        <w:ind w:left="440"/>
      </w:pPr>
      <w:hyperlink w:anchor="_Toc8025" w:history="1">
        <w:r>
          <w:rPr>
            <w:rFonts w:ascii="IRNazanin" w:hAnsi="IRNazanin" w:eastAsia="IRNazanin" w:cs="IRNazanin"/>
            <w:color w:val="111111"/>
            <w:sz w:val="22"/>
            <w:szCs w:val="22"/>
            <w:b w:val="0"/>
            <w:bCs w:val="0"/>
            <w:i w:val="0"/>
            <w:iCs w:val="0"/>
          </w:rPr>
          <w:t>7046- دیوان مقصود أصفهانی أو شعره‏</w:t>
        </w:r>
        <w:r>
          <w:tab/>
        </w:r>
        <w:r>
          <w:fldChar w:fldCharType="begin"/>
        </w:r>
        <w:r>
          <w:instrText xml:space="preserve">PAGEREF 8025 \h</w:instrText>
        </w:r>
        <w:r>
          <w:fldChar w:fldCharType="end"/>
        </w:r>
      </w:hyperlink>
    </w:p>
    <w:p>
      <w:pPr>
        <w:tabs>
          <w:tab w:val="right" w:leader="dot" w:pos="9062"/>
        </w:tabs>
        <w:ind w:left="440"/>
      </w:pPr>
      <w:hyperlink w:anchor="_Toc8026" w:history="1">
        <w:r>
          <w:rPr>
            <w:rFonts w:ascii="IRNazanin" w:hAnsi="IRNazanin" w:eastAsia="IRNazanin" w:cs="IRNazanin"/>
            <w:color w:val="111111"/>
            <w:sz w:val="22"/>
            <w:szCs w:val="22"/>
            <w:b w:val="0"/>
            <w:bCs w:val="0"/>
            <w:i w:val="0"/>
            <w:iCs w:val="0"/>
          </w:rPr>
          <w:t>7047- دیوان مقصود أصفهانی‏</w:t>
        </w:r>
        <w:r>
          <w:tab/>
        </w:r>
        <w:r>
          <w:fldChar w:fldCharType="begin"/>
        </w:r>
        <w:r>
          <w:instrText xml:space="preserve">PAGEREF 8026 \h</w:instrText>
        </w:r>
        <w:r>
          <w:fldChar w:fldCharType="end"/>
        </w:r>
      </w:hyperlink>
    </w:p>
    <w:p>
      <w:pPr>
        <w:tabs>
          <w:tab w:val="right" w:leader="dot" w:pos="9062"/>
        </w:tabs>
        <w:ind w:left="440"/>
      </w:pPr>
      <w:hyperlink w:anchor="_Toc8027" w:history="1">
        <w:r>
          <w:rPr>
            <w:rFonts w:ascii="IRNazanin" w:hAnsi="IRNazanin" w:eastAsia="IRNazanin" w:cs="IRNazanin"/>
            <w:color w:val="111111"/>
            <w:sz w:val="22"/>
            <w:szCs w:val="22"/>
            <w:b w:val="0"/>
            <w:bCs w:val="0"/>
            <w:i w:val="0"/>
            <w:iCs w:val="0"/>
          </w:rPr>
          <w:t>دیوان مقصود بنا</w:t>
        </w:r>
        <w:r>
          <w:tab/>
        </w:r>
        <w:r>
          <w:fldChar w:fldCharType="begin"/>
        </w:r>
        <w:r>
          <w:instrText xml:space="preserve">PAGEREF 8027 \h</w:instrText>
        </w:r>
        <w:r>
          <w:fldChar w:fldCharType="end"/>
        </w:r>
      </w:hyperlink>
    </w:p>
    <w:p>
      <w:pPr>
        <w:tabs>
          <w:tab w:val="right" w:leader="dot" w:pos="9062"/>
        </w:tabs>
        <w:ind w:left="440"/>
      </w:pPr>
      <w:hyperlink w:anchor="_Toc8028" w:history="1">
        <w:r>
          <w:rPr>
            <w:rFonts w:ascii="IRNazanin" w:hAnsi="IRNazanin" w:eastAsia="IRNazanin" w:cs="IRNazanin"/>
            <w:color w:val="111111"/>
            <w:sz w:val="22"/>
            <w:szCs w:val="22"/>
            <w:b w:val="0"/>
            <w:bCs w:val="0"/>
            <w:i w:val="0"/>
            <w:iCs w:val="0"/>
          </w:rPr>
          <w:t>دیوان مقصود بخاری أو شعره‏</w:t>
        </w:r>
        <w:r>
          <w:tab/>
        </w:r>
        <w:r>
          <w:fldChar w:fldCharType="begin"/>
        </w:r>
        <w:r>
          <w:instrText xml:space="preserve">PAGEREF 8028 \h</w:instrText>
        </w:r>
        <w:r>
          <w:fldChar w:fldCharType="end"/>
        </w:r>
      </w:hyperlink>
    </w:p>
    <w:p>
      <w:pPr>
        <w:tabs>
          <w:tab w:val="right" w:leader="dot" w:pos="9062"/>
        </w:tabs>
        <w:ind w:left="440"/>
      </w:pPr>
      <w:hyperlink w:anchor="_Toc8029" w:history="1">
        <w:r>
          <w:rPr>
            <w:rFonts w:ascii="IRNazanin" w:hAnsi="IRNazanin" w:eastAsia="IRNazanin" w:cs="IRNazanin"/>
            <w:color w:val="111111"/>
            <w:sz w:val="22"/>
            <w:szCs w:val="22"/>
            <w:b w:val="0"/>
            <w:bCs w:val="0"/>
            <w:i w:val="0"/>
            <w:iCs w:val="0"/>
          </w:rPr>
          <w:t>7048- دیوان مقصود تبریزی‏</w:t>
        </w:r>
        <w:r>
          <w:tab/>
        </w:r>
        <w:r>
          <w:fldChar w:fldCharType="begin"/>
        </w:r>
        <w:r>
          <w:instrText xml:space="preserve">PAGEREF 8029 \h</w:instrText>
        </w:r>
        <w:r>
          <w:fldChar w:fldCharType="end"/>
        </w:r>
      </w:hyperlink>
    </w:p>
    <w:p>
      <w:pPr>
        <w:tabs>
          <w:tab w:val="right" w:leader="dot" w:pos="9062"/>
        </w:tabs>
        <w:ind w:left="440"/>
      </w:pPr>
      <w:hyperlink w:anchor="_Toc8030" w:history="1">
        <w:r>
          <w:rPr>
            <w:rFonts w:ascii="IRNazanin" w:hAnsi="IRNazanin" w:eastAsia="IRNazanin" w:cs="IRNazanin"/>
            <w:color w:val="111111"/>
            <w:sz w:val="22"/>
            <w:szCs w:val="22"/>
            <w:b w:val="0"/>
            <w:bCs w:val="0"/>
            <w:i w:val="0"/>
            <w:iCs w:val="0"/>
          </w:rPr>
          <w:t>7049- دیوان مقصود جهان‏آبادی أو شعره‏</w:t>
        </w:r>
        <w:r>
          <w:tab/>
        </w:r>
        <w:r>
          <w:fldChar w:fldCharType="begin"/>
        </w:r>
        <w:r>
          <w:instrText xml:space="preserve">PAGEREF 8030 \h</w:instrText>
        </w:r>
        <w:r>
          <w:fldChar w:fldCharType="end"/>
        </w:r>
      </w:hyperlink>
    </w:p>
    <w:p>
      <w:pPr>
        <w:tabs>
          <w:tab w:val="right" w:leader="dot" w:pos="9062"/>
        </w:tabs>
        <w:ind w:left="440"/>
      </w:pPr>
      <w:hyperlink w:anchor="_Toc8031" w:history="1">
        <w:r>
          <w:rPr>
            <w:rFonts w:ascii="IRNazanin" w:hAnsi="IRNazanin" w:eastAsia="IRNazanin" w:cs="IRNazanin"/>
            <w:color w:val="111111"/>
            <w:sz w:val="22"/>
            <w:szCs w:val="22"/>
            <w:b w:val="0"/>
            <w:bCs w:val="0"/>
            <w:i w:val="0"/>
            <w:iCs w:val="0"/>
          </w:rPr>
          <w:t>دیوان مقصود خراسانی‏</w:t>
        </w:r>
        <w:r>
          <w:tab/>
        </w:r>
        <w:r>
          <w:fldChar w:fldCharType="begin"/>
        </w:r>
        <w:r>
          <w:instrText xml:space="preserve">PAGEREF 8031 \h</w:instrText>
        </w:r>
        <w:r>
          <w:fldChar w:fldCharType="end"/>
        </w:r>
      </w:hyperlink>
    </w:p>
    <w:p>
      <w:pPr>
        <w:tabs>
          <w:tab w:val="right" w:leader="dot" w:pos="9062"/>
        </w:tabs>
        <w:ind w:left="440"/>
      </w:pPr>
      <w:hyperlink w:anchor="_Toc8032" w:history="1">
        <w:r>
          <w:rPr>
            <w:rFonts w:ascii="IRNazanin" w:hAnsi="IRNazanin" w:eastAsia="IRNazanin" w:cs="IRNazanin"/>
            <w:color w:val="111111"/>
            <w:sz w:val="22"/>
            <w:szCs w:val="22"/>
            <w:b w:val="0"/>
            <w:bCs w:val="0"/>
            <w:i w:val="0"/>
            <w:iCs w:val="0"/>
          </w:rPr>
          <w:t>دیوان مقصود خرده‏</w:t>
        </w:r>
        <w:r>
          <w:tab/>
        </w:r>
        <w:r>
          <w:fldChar w:fldCharType="begin"/>
        </w:r>
        <w:r>
          <w:instrText xml:space="preserve">PAGEREF 8032 \h</w:instrText>
        </w:r>
        <w:r>
          <w:fldChar w:fldCharType="end"/>
        </w:r>
      </w:hyperlink>
    </w:p>
    <w:p>
      <w:pPr>
        <w:tabs>
          <w:tab w:val="right" w:leader="dot" w:pos="9062"/>
        </w:tabs>
        <w:ind w:left="440"/>
      </w:pPr>
      <w:hyperlink w:anchor="_Toc8033" w:history="1">
        <w:r>
          <w:rPr>
            <w:rFonts w:ascii="IRNazanin" w:hAnsi="IRNazanin" w:eastAsia="IRNazanin" w:cs="IRNazanin"/>
            <w:color w:val="111111"/>
            <w:sz w:val="22"/>
            <w:szCs w:val="22"/>
            <w:b w:val="0"/>
            <w:bCs w:val="0"/>
            <w:i w:val="0"/>
            <w:iCs w:val="0"/>
          </w:rPr>
          <w:t>7050- دیوان مقصود خلخالی‏</w:t>
        </w:r>
        <w:r>
          <w:tab/>
        </w:r>
        <w:r>
          <w:fldChar w:fldCharType="begin"/>
        </w:r>
        <w:r>
          <w:instrText xml:space="preserve">PAGEREF 8033 \h</w:instrText>
        </w:r>
        <w:r>
          <w:fldChar w:fldCharType="end"/>
        </w:r>
      </w:hyperlink>
    </w:p>
    <w:p>
      <w:pPr>
        <w:tabs>
          <w:tab w:val="right" w:leader="dot" w:pos="9062"/>
        </w:tabs>
        <w:ind w:left="440"/>
      </w:pPr>
      <w:hyperlink w:anchor="_Toc8034" w:history="1">
        <w:r>
          <w:rPr>
            <w:rFonts w:ascii="IRNazanin" w:hAnsi="IRNazanin" w:eastAsia="IRNazanin" w:cs="IRNazanin"/>
            <w:color w:val="111111"/>
            <w:sz w:val="22"/>
            <w:szCs w:val="22"/>
            <w:b w:val="0"/>
            <w:bCs w:val="0"/>
            <w:i w:val="0"/>
            <w:iCs w:val="0"/>
          </w:rPr>
          <w:t>7051- دیوان مقصود سبزواری أو شعره‏</w:t>
        </w:r>
        <w:r>
          <w:tab/>
        </w:r>
        <w:r>
          <w:fldChar w:fldCharType="begin"/>
        </w:r>
        <w:r>
          <w:instrText xml:space="preserve">PAGEREF 8034 \h</w:instrText>
        </w:r>
        <w:r>
          <w:fldChar w:fldCharType="end"/>
        </w:r>
      </w:hyperlink>
    </w:p>
    <w:p>
      <w:pPr>
        <w:tabs>
          <w:tab w:val="right" w:leader="dot" w:pos="9062"/>
        </w:tabs>
        <w:ind w:left="440"/>
      </w:pPr>
      <w:hyperlink w:anchor="_Toc8035" w:history="1">
        <w:r>
          <w:rPr>
            <w:rFonts w:ascii="IRNazanin" w:hAnsi="IRNazanin" w:eastAsia="IRNazanin" w:cs="IRNazanin"/>
            <w:color w:val="111111"/>
            <w:sz w:val="22"/>
            <w:szCs w:val="22"/>
            <w:b w:val="0"/>
            <w:bCs w:val="0"/>
            <w:i w:val="0"/>
            <w:iCs w:val="0"/>
          </w:rPr>
          <w:t>دیوان مقصود سرخسی‏</w:t>
        </w:r>
        <w:r>
          <w:tab/>
        </w:r>
        <w:r>
          <w:fldChar w:fldCharType="begin"/>
        </w:r>
        <w:r>
          <w:instrText xml:space="preserve">PAGEREF 8035 \h</w:instrText>
        </w:r>
        <w:r>
          <w:fldChar w:fldCharType="end"/>
        </w:r>
      </w:hyperlink>
    </w:p>
    <w:p>
      <w:pPr>
        <w:tabs>
          <w:tab w:val="right" w:leader="dot" w:pos="9062"/>
        </w:tabs>
        <w:ind w:left="440"/>
      </w:pPr>
      <w:hyperlink w:anchor="_Toc8036" w:history="1">
        <w:r>
          <w:rPr>
            <w:rFonts w:ascii="IRNazanin" w:hAnsi="IRNazanin" w:eastAsia="IRNazanin" w:cs="IRNazanin"/>
            <w:color w:val="111111"/>
            <w:sz w:val="22"/>
            <w:szCs w:val="22"/>
            <w:b w:val="0"/>
            <w:bCs w:val="0"/>
            <w:i w:val="0"/>
            <w:iCs w:val="0"/>
          </w:rPr>
          <w:t>7052- دیوان مقصود شیرازی‏</w:t>
        </w:r>
        <w:r>
          <w:tab/>
        </w:r>
        <w:r>
          <w:fldChar w:fldCharType="begin"/>
        </w:r>
        <w:r>
          <w:instrText xml:space="preserve">PAGEREF 8036 \h</w:instrText>
        </w:r>
        <w:r>
          <w:fldChar w:fldCharType="end"/>
        </w:r>
      </w:hyperlink>
    </w:p>
    <w:p>
      <w:pPr>
        <w:tabs>
          <w:tab w:val="right" w:leader="dot" w:pos="9062"/>
        </w:tabs>
        <w:ind w:left="440"/>
      </w:pPr>
      <w:hyperlink w:anchor="_Toc8037" w:history="1">
        <w:r>
          <w:rPr>
            <w:rFonts w:ascii="IRNazanin" w:hAnsi="IRNazanin" w:eastAsia="IRNazanin" w:cs="IRNazanin"/>
            <w:color w:val="111111"/>
            <w:sz w:val="22"/>
            <w:szCs w:val="22"/>
            <w:b w:val="0"/>
            <w:bCs w:val="0"/>
            <w:i w:val="0"/>
            <w:iCs w:val="0"/>
          </w:rPr>
          <w:t>7053- دیوان مقصود عبدل أو شعره‏</w:t>
        </w:r>
        <w:r>
          <w:tab/>
        </w:r>
        <w:r>
          <w:fldChar w:fldCharType="begin"/>
        </w:r>
        <w:r>
          <w:instrText xml:space="preserve">PAGEREF 8037 \h</w:instrText>
        </w:r>
        <w:r>
          <w:fldChar w:fldCharType="end"/>
        </w:r>
      </w:hyperlink>
    </w:p>
    <w:p>
      <w:pPr>
        <w:tabs>
          <w:tab w:val="right" w:leader="dot" w:pos="9062"/>
        </w:tabs>
        <w:ind w:left="440"/>
      </w:pPr>
      <w:hyperlink w:anchor="_Toc8038" w:history="1">
        <w:r>
          <w:rPr>
            <w:rFonts w:ascii="IRNazanin" w:hAnsi="IRNazanin" w:eastAsia="IRNazanin" w:cs="IRNazanin"/>
            <w:color w:val="111111"/>
            <w:sz w:val="22"/>
            <w:szCs w:val="22"/>
            <w:b w:val="0"/>
            <w:bCs w:val="0"/>
            <w:i w:val="0"/>
            <w:iCs w:val="0"/>
          </w:rPr>
          <w:t>دیوان مقصود علی‏</w:t>
        </w:r>
        <w:r>
          <w:tab/>
        </w:r>
        <w:r>
          <w:fldChar w:fldCharType="begin"/>
        </w:r>
        <w:r>
          <w:instrText xml:space="preserve">PAGEREF 8038 \h</w:instrText>
        </w:r>
        <w:r>
          <w:fldChar w:fldCharType="end"/>
        </w:r>
      </w:hyperlink>
    </w:p>
    <w:p>
      <w:pPr>
        <w:tabs>
          <w:tab w:val="right" w:leader="dot" w:pos="9062"/>
        </w:tabs>
        <w:ind w:left="440"/>
      </w:pPr>
      <w:hyperlink w:anchor="_Toc8039" w:history="1">
        <w:r>
          <w:rPr>
            <w:rFonts w:ascii="IRNazanin" w:hAnsi="IRNazanin" w:eastAsia="IRNazanin" w:cs="IRNazanin"/>
            <w:color w:val="111111"/>
            <w:sz w:val="22"/>
            <w:szCs w:val="22"/>
            <w:b w:val="0"/>
            <w:bCs w:val="0"/>
            <w:i w:val="0"/>
            <w:iCs w:val="0"/>
          </w:rPr>
          <w:t>7054- دیوان مقصود قزوینی أو شعره‏</w:t>
        </w:r>
        <w:r>
          <w:tab/>
        </w:r>
        <w:r>
          <w:fldChar w:fldCharType="begin"/>
        </w:r>
        <w:r>
          <w:instrText xml:space="preserve">PAGEREF 8039 \h</w:instrText>
        </w:r>
        <w:r>
          <w:fldChar w:fldCharType="end"/>
        </w:r>
      </w:hyperlink>
    </w:p>
    <w:p>
      <w:pPr>
        <w:tabs>
          <w:tab w:val="right" w:leader="dot" w:pos="9062"/>
        </w:tabs>
        <w:ind w:left="440"/>
      </w:pPr>
      <w:hyperlink w:anchor="_Toc8040" w:history="1">
        <w:r>
          <w:rPr>
            <w:rFonts w:ascii="IRNazanin" w:hAnsi="IRNazanin" w:eastAsia="IRNazanin" w:cs="IRNazanin"/>
            <w:color w:val="111111"/>
            <w:sz w:val="22"/>
            <w:szCs w:val="22"/>
            <w:b w:val="0"/>
            <w:bCs w:val="0"/>
            <w:i w:val="0"/>
            <w:iCs w:val="0"/>
          </w:rPr>
          <w:t>7055- دیوان مقصود کازرونی أو شعره‏</w:t>
        </w:r>
        <w:r>
          <w:tab/>
        </w:r>
        <w:r>
          <w:fldChar w:fldCharType="begin"/>
        </w:r>
        <w:r>
          <w:instrText xml:space="preserve">PAGEREF 8040 \h</w:instrText>
        </w:r>
        <w:r>
          <w:fldChar w:fldCharType="end"/>
        </w:r>
      </w:hyperlink>
    </w:p>
    <w:p>
      <w:pPr>
        <w:tabs>
          <w:tab w:val="right" w:leader="dot" w:pos="9062"/>
        </w:tabs>
        <w:ind w:left="440"/>
      </w:pPr>
      <w:hyperlink w:anchor="_Toc8041" w:history="1">
        <w:r>
          <w:rPr>
            <w:rFonts w:ascii="IRNazanin" w:hAnsi="IRNazanin" w:eastAsia="IRNazanin" w:cs="IRNazanin"/>
            <w:color w:val="111111"/>
            <w:sz w:val="22"/>
            <w:szCs w:val="22"/>
            <w:b w:val="0"/>
            <w:bCs w:val="0"/>
            <w:i w:val="0"/>
            <w:iCs w:val="0"/>
          </w:rPr>
          <w:t>7056- دیوان مقصود کاشانی أو شعره‏</w:t>
        </w:r>
        <w:r>
          <w:tab/>
        </w:r>
        <w:r>
          <w:fldChar w:fldCharType="begin"/>
        </w:r>
        <w:r>
          <w:instrText xml:space="preserve">PAGEREF 8041 \h</w:instrText>
        </w:r>
        <w:r>
          <w:fldChar w:fldCharType="end"/>
        </w:r>
      </w:hyperlink>
    </w:p>
    <w:p>
      <w:pPr>
        <w:tabs>
          <w:tab w:val="right" w:leader="dot" w:pos="9062"/>
        </w:tabs>
        <w:ind w:left="440"/>
      </w:pPr>
      <w:hyperlink w:anchor="_Toc8042" w:history="1">
        <w:r>
          <w:rPr>
            <w:rFonts w:ascii="IRNazanin" w:hAnsi="IRNazanin" w:eastAsia="IRNazanin" w:cs="IRNazanin"/>
            <w:color w:val="111111"/>
            <w:sz w:val="22"/>
            <w:szCs w:val="22"/>
            <w:b w:val="0"/>
            <w:bCs w:val="0"/>
            <w:i w:val="0"/>
            <w:iCs w:val="0"/>
          </w:rPr>
          <w:t>7057- دیوان مقصود کاشانی أو شعره‏</w:t>
        </w:r>
        <w:r>
          <w:tab/>
        </w:r>
        <w:r>
          <w:fldChar w:fldCharType="begin"/>
        </w:r>
        <w:r>
          <w:instrText xml:space="preserve">PAGEREF 8042 \h</w:instrText>
        </w:r>
        <w:r>
          <w:fldChar w:fldCharType="end"/>
        </w:r>
      </w:hyperlink>
    </w:p>
    <w:p>
      <w:pPr>
        <w:tabs>
          <w:tab w:val="right" w:leader="dot" w:pos="9062"/>
        </w:tabs>
        <w:ind w:left="440"/>
      </w:pPr>
      <w:hyperlink w:anchor="_Toc8043" w:history="1">
        <w:r>
          <w:rPr>
            <w:rFonts w:ascii="IRNazanin" w:hAnsi="IRNazanin" w:eastAsia="IRNazanin" w:cs="IRNazanin"/>
            <w:color w:val="111111"/>
            <w:sz w:val="22"/>
            <w:szCs w:val="22"/>
            <w:b w:val="0"/>
            <w:bCs w:val="0"/>
            <w:i w:val="0"/>
            <w:iCs w:val="0"/>
          </w:rPr>
          <w:t>7058- دیوان مقصود کرمانی‏</w:t>
        </w:r>
        <w:r>
          <w:tab/>
        </w:r>
        <w:r>
          <w:fldChar w:fldCharType="begin"/>
        </w:r>
        <w:r>
          <w:instrText xml:space="preserve">PAGEREF 8043 \h</w:instrText>
        </w:r>
        <w:r>
          <w:fldChar w:fldCharType="end"/>
        </w:r>
      </w:hyperlink>
    </w:p>
    <w:p>
      <w:pPr>
        <w:tabs>
          <w:tab w:val="right" w:leader="dot" w:pos="9062"/>
        </w:tabs>
        <w:ind w:left="440"/>
      </w:pPr>
      <w:hyperlink w:anchor="_Toc8044" w:history="1">
        <w:r>
          <w:rPr>
            <w:rFonts w:ascii="IRNazanin" w:hAnsi="IRNazanin" w:eastAsia="IRNazanin" w:cs="IRNazanin"/>
            <w:color w:val="111111"/>
            <w:sz w:val="22"/>
            <w:szCs w:val="22"/>
            <w:b w:val="0"/>
            <w:bCs w:val="0"/>
            <w:i w:val="0"/>
            <w:iCs w:val="0"/>
          </w:rPr>
          <w:t>7059- دیوان مقصود لکهنوی‏</w:t>
        </w:r>
        <w:r>
          <w:tab/>
        </w:r>
        <w:r>
          <w:fldChar w:fldCharType="begin"/>
        </w:r>
        <w:r>
          <w:instrText xml:space="preserve">PAGEREF 8044 \h</w:instrText>
        </w:r>
        <w:r>
          <w:fldChar w:fldCharType="end"/>
        </w:r>
      </w:hyperlink>
    </w:p>
    <w:p>
      <w:pPr>
        <w:tabs>
          <w:tab w:val="right" w:leader="dot" w:pos="9062"/>
        </w:tabs>
        <w:ind w:left="440"/>
      </w:pPr>
      <w:hyperlink w:anchor="_Toc8045" w:history="1">
        <w:r>
          <w:rPr>
            <w:rFonts w:ascii="IRNazanin" w:hAnsi="IRNazanin" w:eastAsia="IRNazanin" w:cs="IRNazanin"/>
            <w:color w:val="111111"/>
            <w:sz w:val="22"/>
            <w:szCs w:val="22"/>
            <w:b w:val="0"/>
            <w:bCs w:val="0"/>
            <w:i w:val="0"/>
            <w:iCs w:val="0"/>
          </w:rPr>
          <w:t>دیوان مقصود مشهدی‏</w:t>
        </w:r>
        <w:r>
          <w:tab/>
        </w:r>
        <w:r>
          <w:fldChar w:fldCharType="begin"/>
        </w:r>
        <w:r>
          <w:instrText xml:space="preserve">PAGEREF 8045 \h</w:instrText>
        </w:r>
        <w:r>
          <w:fldChar w:fldCharType="end"/>
        </w:r>
      </w:hyperlink>
    </w:p>
    <w:p>
      <w:pPr>
        <w:tabs>
          <w:tab w:val="right" w:leader="dot" w:pos="9062"/>
        </w:tabs>
        <w:ind w:left="440"/>
      </w:pPr>
      <w:hyperlink w:anchor="_Toc8046" w:history="1">
        <w:r>
          <w:rPr>
            <w:rFonts w:ascii="IRNazanin" w:hAnsi="IRNazanin" w:eastAsia="IRNazanin" w:cs="IRNazanin"/>
            <w:color w:val="111111"/>
            <w:sz w:val="22"/>
            <w:szCs w:val="22"/>
            <w:b w:val="0"/>
            <w:bCs w:val="0"/>
            <w:i w:val="0"/>
            <w:iCs w:val="0"/>
          </w:rPr>
          <w:t>دیوان مقصود مقیما</w:t>
        </w:r>
        <w:r>
          <w:tab/>
        </w:r>
        <w:r>
          <w:fldChar w:fldCharType="begin"/>
        </w:r>
        <w:r>
          <w:instrText xml:space="preserve">PAGEREF 8046 \h</w:instrText>
        </w:r>
        <w:r>
          <w:fldChar w:fldCharType="end"/>
        </w:r>
      </w:hyperlink>
    </w:p>
    <w:p>
      <w:pPr>
        <w:tabs>
          <w:tab w:val="right" w:leader="dot" w:pos="9062"/>
        </w:tabs>
        <w:ind w:left="440"/>
      </w:pPr>
      <w:hyperlink w:anchor="_Toc8047" w:history="1">
        <w:r>
          <w:rPr>
            <w:rFonts w:ascii="IRNazanin" w:hAnsi="IRNazanin" w:eastAsia="IRNazanin" w:cs="IRNazanin"/>
            <w:color w:val="111111"/>
            <w:sz w:val="22"/>
            <w:szCs w:val="22"/>
            <w:b w:val="0"/>
            <w:bCs w:val="0"/>
            <w:i w:val="0"/>
            <w:iCs w:val="0"/>
          </w:rPr>
          <w:t>دیوان مقصود هروی تیرگر</w:t>
        </w:r>
        <w:r>
          <w:tab/>
        </w:r>
        <w:r>
          <w:fldChar w:fldCharType="begin"/>
        </w:r>
        <w:r>
          <w:instrText xml:space="preserve">PAGEREF 8047 \h</w:instrText>
        </w:r>
        <w:r>
          <w:fldChar w:fldCharType="end"/>
        </w:r>
      </w:hyperlink>
    </w:p>
    <w:p>
      <w:pPr>
        <w:tabs>
          <w:tab w:val="right" w:leader="dot" w:pos="9062"/>
        </w:tabs>
        <w:ind w:left="440"/>
      </w:pPr>
      <w:hyperlink w:anchor="_Toc8048" w:history="1">
        <w:r>
          <w:rPr>
            <w:rFonts w:ascii="IRNazanin" w:hAnsi="IRNazanin" w:eastAsia="IRNazanin" w:cs="IRNazanin"/>
            <w:color w:val="111111"/>
            <w:sz w:val="22"/>
            <w:szCs w:val="22"/>
            <w:b w:val="0"/>
            <w:bCs w:val="0"/>
            <w:i w:val="0"/>
            <w:iCs w:val="0"/>
          </w:rPr>
          <w:t>7060- دیوان مقصود هروی أو شعره‏</w:t>
        </w:r>
        <w:r>
          <w:tab/>
        </w:r>
        <w:r>
          <w:fldChar w:fldCharType="begin"/>
        </w:r>
        <w:r>
          <w:instrText xml:space="preserve">PAGEREF 8048 \h</w:instrText>
        </w:r>
        <w:r>
          <w:fldChar w:fldCharType="end"/>
        </w:r>
      </w:hyperlink>
    </w:p>
    <w:p>
      <w:pPr>
        <w:tabs>
          <w:tab w:val="right" w:leader="dot" w:pos="9062"/>
        </w:tabs>
        <w:ind w:left="440"/>
      </w:pPr>
      <w:hyperlink w:anchor="_Toc8049" w:history="1">
        <w:r>
          <w:rPr>
            <w:rFonts w:ascii="IRNazanin" w:hAnsi="IRNazanin" w:eastAsia="IRNazanin" w:cs="IRNazanin"/>
            <w:color w:val="111111"/>
            <w:sz w:val="22"/>
            <w:szCs w:val="22"/>
            <w:b w:val="0"/>
            <w:bCs w:val="0"/>
            <w:i w:val="0"/>
            <w:iCs w:val="0"/>
          </w:rPr>
          <w:t>دیوان مقیم‏</w:t>
        </w:r>
        <w:r>
          <w:tab/>
        </w:r>
        <w:r>
          <w:fldChar w:fldCharType="begin"/>
        </w:r>
        <w:r>
          <w:instrText xml:space="preserve">PAGEREF 8049 \h</w:instrText>
        </w:r>
        <w:r>
          <w:fldChar w:fldCharType="end"/>
        </w:r>
      </w:hyperlink>
    </w:p>
    <w:p>
      <w:pPr>
        <w:tabs>
          <w:tab w:val="right" w:leader="dot" w:pos="9062"/>
        </w:tabs>
        <w:ind w:left="440"/>
      </w:pPr>
      <w:hyperlink w:anchor="_Toc8050" w:history="1">
        <w:r>
          <w:rPr>
            <w:rFonts w:ascii="IRNazanin" w:hAnsi="IRNazanin" w:eastAsia="IRNazanin" w:cs="IRNazanin"/>
            <w:color w:val="111111"/>
            <w:sz w:val="22"/>
            <w:szCs w:val="22"/>
            <w:b w:val="0"/>
            <w:bCs w:val="0"/>
            <w:i w:val="0"/>
            <w:iCs w:val="0"/>
          </w:rPr>
          <w:t>7061- دیوان مقیم أسترآبادی أو شعره‏</w:t>
        </w:r>
        <w:r>
          <w:tab/>
        </w:r>
        <w:r>
          <w:fldChar w:fldCharType="begin"/>
        </w:r>
        <w:r>
          <w:instrText xml:space="preserve">PAGEREF 8050 \h</w:instrText>
        </w:r>
        <w:r>
          <w:fldChar w:fldCharType="end"/>
        </w:r>
      </w:hyperlink>
    </w:p>
    <w:p>
      <w:pPr>
        <w:tabs>
          <w:tab w:val="right" w:leader="dot" w:pos="9062"/>
        </w:tabs>
        <w:ind w:left="440"/>
      </w:pPr>
      <w:hyperlink w:anchor="_Toc8051" w:history="1">
        <w:r>
          <w:rPr>
            <w:rFonts w:ascii="IRNazanin" w:hAnsi="IRNazanin" w:eastAsia="IRNazanin" w:cs="IRNazanin"/>
            <w:color w:val="111111"/>
            <w:sz w:val="22"/>
            <w:szCs w:val="22"/>
            <w:b w:val="0"/>
            <w:bCs w:val="0"/>
            <w:i w:val="0"/>
            <w:iCs w:val="0"/>
          </w:rPr>
          <w:t>دیوان مقیم أصفهانی‏</w:t>
        </w:r>
        <w:r>
          <w:tab/>
        </w:r>
        <w:r>
          <w:fldChar w:fldCharType="begin"/>
        </w:r>
        <w:r>
          <w:instrText xml:space="preserve">PAGEREF 8051 \h</w:instrText>
        </w:r>
        <w:r>
          <w:fldChar w:fldCharType="end"/>
        </w:r>
      </w:hyperlink>
    </w:p>
    <w:p>
      <w:pPr>
        <w:tabs>
          <w:tab w:val="right" w:leader="dot" w:pos="9062"/>
        </w:tabs>
        <w:ind w:left="440"/>
      </w:pPr>
      <w:hyperlink w:anchor="_Toc8052" w:history="1">
        <w:r>
          <w:rPr>
            <w:rFonts w:ascii="IRNazanin" w:hAnsi="IRNazanin" w:eastAsia="IRNazanin" w:cs="IRNazanin"/>
            <w:color w:val="111111"/>
            <w:sz w:val="22"/>
            <w:szCs w:val="22"/>
            <w:b w:val="0"/>
            <w:bCs w:val="0"/>
            <w:i w:val="0"/>
            <w:iCs w:val="0"/>
          </w:rPr>
          <w:t>7062- دیوان مقیم أکبرآبادی أو شعره‏</w:t>
        </w:r>
        <w:r>
          <w:tab/>
        </w:r>
        <w:r>
          <w:fldChar w:fldCharType="begin"/>
        </w:r>
        <w:r>
          <w:instrText xml:space="preserve">PAGEREF 8052 \h</w:instrText>
        </w:r>
        <w:r>
          <w:fldChar w:fldCharType="end"/>
        </w:r>
      </w:hyperlink>
    </w:p>
    <w:p>
      <w:pPr>
        <w:tabs>
          <w:tab w:val="right" w:leader="dot" w:pos="9062"/>
        </w:tabs>
        <w:ind w:left="440"/>
      </w:pPr>
      <w:hyperlink w:anchor="_Toc8053" w:history="1">
        <w:r>
          <w:rPr>
            <w:rFonts w:ascii="IRNazanin" w:hAnsi="IRNazanin" w:eastAsia="IRNazanin" w:cs="IRNazanin"/>
            <w:color w:val="111111"/>
            <w:sz w:val="22"/>
            <w:szCs w:val="22"/>
            <w:b w:val="0"/>
            <w:bCs w:val="0"/>
            <w:i w:val="0"/>
            <w:iCs w:val="0"/>
          </w:rPr>
          <w:t>7063- دیوان مقیم بخاری أو شعره‏</w:t>
        </w:r>
        <w:r>
          <w:tab/>
        </w:r>
        <w:r>
          <w:fldChar w:fldCharType="begin"/>
        </w:r>
        <w:r>
          <w:instrText xml:space="preserve">PAGEREF 8053 \h</w:instrText>
        </w:r>
        <w:r>
          <w:fldChar w:fldCharType="end"/>
        </w:r>
      </w:hyperlink>
    </w:p>
    <w:p>
      <w:pPr>
        <w:tabs>
          <w:tab w:val="right" w:leader="dot" w:pos="9062"/>
        </w:tabs>
        <w:ind w:left="440"/>
      </w:pPr>
      <w:hyperlink w:anchor="_Toc8054" w:history="1">
        <w:r>
          <w:rPr>
            <w:rFonts w:ascii="IRNazanin" w:hAnsi="IRNazanin" w:eastAsia="IRNazanin" w:cs="IRNazanin"/>
            <w:color w:val="111111"/>
            <w:sz w:val="22"/>
            <w:szCs w:val="22"/>
            <w:b w:val="0"/>
            <w:bCs w:val="0"/>
            <w:i w:val="0"/>
            <w:iCs w:val="0"/>
          </w:rPr>
          <w:t>7064- دیوان مقیم تبریزی أو شعره‏</w:t>
        </w:r>
        <w:r>
          <w:tab/>
        </w:r>
        <w:r>
          <w:fldChar w:fldCharType="begin"/>
        </w:r>
        <w:r>
          <w:instrText xml:space="preserve">PAGEREF 8054 \h</w:instrText>
        </w:r>
        <w:r>
          <w:fldChar w:fldCharType="end"/>
        </w:r>
      </w:hyperlink>
    </w:p>
    <w:p>
      <w:pPr>
        <w:tabs>
          <w:tab w:val="right" w:leader="dot" w:pos="9062"/>
        </w:tabs>
        <w:ind w:left="440"/>
      </w:pPr>
      <w:hyperlink w:anchor="_Toc8055" w:history="1">
        <w:r>
          <w:rPr>
            <w:rFonts w:ascii="IRNazanin" w:hAnsi="IRNazanin" w:eastAsia="IRNazanin" w:cs="IRNazanin"/>
            <w:color w:val="111111"/>
            <w:sz w:val="22"/>
            <w:szCs w:val="22"/>
            <w:b w:val="0"/>
            <w:bCs w:val="0"/>
            <w:i w:val="0"/>
            <w:iCs w:val="0"/>
          </w:rPr>
          <w:t>دیوان مقیم تبریزی‏</w:t>
        </w:r>
        <w:r>
          <w:tab/>
        </w:r>
        <w:r>
          <w:fldChar w:fldCharType="begin"/>
        </w:r>
        <w:r>
          <w:instrText xml:space="preserve">PAGEREF 8055 \h</w:instrText>
        </w:r>
        <w:r>
          <w:fldChar w:fldCharType="end"/>
        </w:r>
      </w:hyperlink>
    </w:p>
    <w:p>
      <w:pPr>
        <w:tabs>
          <w:tab w:val="right" w:leader="dot" w:pos="9062"/>
        </w:tabs>
        <w:ind w:left="440"/>
      </w:pPr>
      <w:hyperlink w:anchor="_Toc8056" w:history="1">
        <w:r>
          <w:rPr>
            <w:rFonts w:ascii="IRNazanin" w:hAnsi="IRNazanin" w:eastAsia="IRNazanin" w:cs="IRNazanin"/>
            <w:color w:val="111111"/>
            <w:sz w:val="22"/>
            <w:szCs w:val="22"/>
            <w:b w:val="0"/>
            <w:bCs w:val="0"/>
            <w:i w:val="0"/>
            <w:iCs w:val="0"/>
          </w:rPr>
          <w:t>دیوان مقیم جعفری‏</w:t>
        </w:r>
        <w:r>
          <w:tab/>
        </w:r>
        <w:r>
          <w:fldChar w:fldCharType="begin"/>
        </w:r>
        <w:r>
          <w:instrText xml:space="preserve">PAGEREF 8056 \h</w:instrText>
        </w:r>
        <w:r>
          <w:fldChar w:fldCharType="end"/>
        </w:r>
      </w:hyperlink>
    </w:p>
    <w:p>
      <w:pPr>
        <w:tabs>
          <w:tab w:val="right" w:leader="dot" w:pos="9062"/>
        </w:tabs>
        <w:ind w:left="440"/>
      </w:pPr>
      <w:hyperlink w:anchor="_Toc8057" w:history="1">
        <w:r>
          <w:rPr>
            <w:rFonts w:ascii="IRNazanin" w:hAnsi="IRNazanin" w:eastAsia="IRNazanin" w:cs="IRNazanin"/>
            <w:color w:val="111111"/>
            <w:sz w:val="22"/>
            <w:szCs w:val="22"/>
            <w:b w:val="0"/>
            <w:bCs w:val="0"/>
            <w:i w:val="0"/>
            <w:iCs w:val="0"/>
          </w:rPr>
          <w:t>دیوان مقیم خراسانی‏</w:t>
        </w:r>
        <w:r>
          <w:tab/>
        </w:r>
        <w:r>
          <w:fldChar w:fldCharType="begin"/>
        </w:r>
        <w:r>
          <w:instrText xml:space="preserve">PAGEREF 8057 \h</w:instrText>
        </w:r>
        <w:r>
          <w:fldChar w:fldCharType="end"/>
        </w:r>
      </w:hyperlink>
    </w:p>
    <w:p>
      <w:pPr>
        <w:tabs>
          <w:tab w:val="right" w:leader="dot" w:pos="9062"/>
        </w:tabs>
        <w:ind w:left="440"/>
      </w:pPr>
      <w:hyperlink w:anchor="_Toc8058" w:history="1">
        <w:r>
          <w:rPr>
            <w:rFonts w:ascii="IRNazanin" w:hAnsi="IRNazanin" w:eastAsia="IRNazanin" w:cs="IRNazanin"/>
            <w:color w:val="111111"/>
            <w:sz w:val="22"/>
            <w:szCs w:val="22"/>
            <w:b w:val="0"/>
            <w:bCs w:val="0"/>
            <w:i w:val="0"/>
            <w:iCs w:val="0"/>
          </w:rPr>
          <w:t>دیوان مقیم رشتی أو شعره‏</w:t>
        </w:r>
        <w:r>
          <w:tab/>
        </w:r>
        <w:r>
          <w:fldChar w:fldCharType="begin"/>
        </w:r>
        <w:r>
          <w:instrText xml:space="preserve">PAGEREF 8058 \h</w:instrText>
        </w:r>
        <w:r>
          <w:fldChar w:fldCharType="end"/>
        </w:r>
      </w:hyperlink>
    </w:p>
    <w:p>
      <w:pPr>
        <w:tabs>
          <w:tab w:val="right" w:leader="dot" w:pos="9062"/>
        </w:tabs>
        <w:ind w:left="440"/>
      </w:pPr>
      <w:hyperlink w:anchor="_Toc8059" w:history="1">
        <w:r>
          <w:rPr>
            <w:rFonts w:ascii="IRNazanin" w:hAnsi="IRNazanin" w:eastAsia="IRNazanin" w:cs="IRNazanin"/>
            <w:color w:val="111111"/>
            <w:sz w:val="22"/>
            <w:szCs w:val="22"/>
            <w:b w:val="0"/>
            <w:bCs w:val="0"/>
            <w:i w:val="0"/>
            <w:iCs w:val="0"/>
          </w:rPr>
          <w:t>7065- دیوان مقیم سبزواری أو شعره‏</w:t>
        </w:r>
        <w:r>
          <w:tab/>
        </w:r>
        <w:r>
          <w:fldChar w:fldCharType="begin"/>
        </w:r>
        <w:r>
          <w:instrText xml:space="preserve">PAGEREF 8059 \h</w:instrText>
        </w:r>
        <w:r>
          <w:fldChar w:fldCharType="end"/>
        </w:r>
      </w:hyperlink>
    </w:p>
    <w:p>
      <w:pPr>
        <w:tabs>
          <w:tab w:val="right" w:leader="dot" w:pos="9062"/>
        </w:tabs>
        <w:ind w:left="440"/>
      </w:pPr>
      <w:hyperlink w:anchor="_Toc8060" w:history="1">
        <w:r>
          <w:rPr>
            <w:rFonts w:ascii="IRNazanin" w:hAnsi="IRNazanin" w:eastAsia="IRNazanin" w:cs="IRNazanin"/>
            <w:color w:val="111111"/>
            <w:sz w:val="22"/>
            <w:szCs w:val="22"/>
            <w:b w:val="0"/>
            <w:bCs w:val="0"/>
            <w:i w:val="0"/>
            <w:iCs w:val="0"/>
          </w:rPr>
          <w:t>7066- دیوان مقیم سهارن‏پوری‏</w:t>
        </w:r>
        <w:r>
          <w:tab/>
        </w:r>
        <w:r>
          <w:fldChar w:fldCharType="begin"/>
        </w:r>
        <w:r>
          <w:instrText xml:space="preserve">PAGEREF 8060 \h</w:instrText>
        </w:r>
        <w:r>
          <w:fldChar w:fldCharType="end"/>
        </w:r>
      </w:hyperlink>
    </w:p>
    <w:p>
      <w:pPr>
        <w:tabs>
          <w:tab w:val="right" w:leader="dot" w:pos="9062"/>
        </w:tabs>
        <w:ind w:left="440"/>
      </w:pPr>
      <w:hyperlink w:anchor="_Toc8061" w:history="1">
        <w:r>
          <w:rPr>
            <w:rFonts w:ascii="IRNazanin" w:hAnsi="IRNazanin" w:eastAsia="IRNazanin" w:cs="IRNazanin"/>
            <w:color w:val="111111"/>
            <w:sz w:val="22"/>
            <w:szCs w:val="22"/>
            <w:b w:val="0"/>
            <w:bCs w:val="0"/>
            <w:i w:val="0"/>
            <w:iCs w:val="0"/>
          </w:rPr>
          <w:t>دیوان مقیم شیرازی‏</w:t>
        </w:r>
        <w:r>
          <w:tab/>
        </w:r>
        <w:r>
          <w:fldChar w:fldCharType="begin"/>
        </w:r>
        <w:r>
          <w:instrText xml:space="preserve">PAGEREF 8061 \h</w:instrText>
        </w:r>
        <w:r>
          <w:fldChar w:fldCharType="end"/>
        </w:r>
      </w:hyperlink>
    </w:p>
    <w:p>
      <w:pPr>
        <w:tabs>
          <w:tab w:val="right" w:leader="dot" w:pos="9062"/>
        </w:tabs>
        <w:ind w:left="440"/>
      </w:pPr>
      <w:hyperlink w:anchor="_Toc8062" w:history="1">
        <w:r>
          <w:rPr>
            <w:rFonts w:ascii="IRNazanin" w:hAnsi="IRNazanin" w:eastAsia="IRNazanin" w:cs="IRNazanin"/>
            <w:color w:val="111111"/>
            <w:sz w:val="22"/>
            <w:szCs w:val="22"/>
            <w:b w:val="0"/>
            <w:bCs w:val="0"/>
            <w:i w:val="0"/>
            <w:iCs w:val="0"/>
          </w:rPr>
          <w:t>دیوان مقیم شیرازی‏</w:t>
        </w:r>
        <w:r>
          <w:tab/>
        </w:r>
        <w:r>
          <w:fldChar w:fldCharType="begin"/>
        </w:r>
        <w:r>
          <w:instrText xml:space="preserve">PAGEREF 8062 \h</w:instrText>
        </w:r>
        <w:r>
          <w:fldChar w:fldCharType="end"/>
        </w:r>
      </w:hyperlink>
    </w:p>
    <w:p>
      <w:pPr>
        <w:tabs>
          <w:tab w:val="right" w:leader="dot" w:pos="9062"/>
        </w:tabs>
        <w:ind w:left="440"/>
      </w:pPr>
      <w:hyperlink w:anchor="_Toc8063" w:history="1">
        <w:r>
          <w:rPr>
            <w:rFonts w:ascii="IRNazanin" w:hAnsi="IRNazanin" w:eastAsia="IRNazanin" w:cs="IRNazanin"/>
            <w:color w:val="111111"/>
            <w:sz w:val="22"/>
            <w:szCs w:val="22"/>
            <w:b w:val="0"/>
            <w:bCs w:val="0"/>
            <w:i w:val="0"/>
            <w:iCs w:val="0"/>
          </w:rPr>
          <w:t>7067- دیوان مقیم طهرانی أو شعره‏</w:t>
        </w:r>
        <w:r>
          <w:tab/>
        </w:r>
        <w:r>
          <w:fldChar w:fldCharType="begin"/>
        </w:r>
        <w:r>
          <w:instrText xml:space="preserve">PAGEREF 8063 \h</w:instrText>
        </w:r>
        <w:r>
          <w:fldChar w:fldCharType="end"/>
        </w:r>
      </w:hyperlink>
    </w:p>
    <w:p>
      <w:pPr>
        <w:tabs>
          <w:tab w:val="right" w:leader="dot" w:pos="9062"/>
        </w:tabs>
        <w:ind w:left="440"/>
      </w:pPr>
      <w:hyperlink w:anchor="_Toc8064" w:history="1">
        <w:r>
          <w:rPr>
            <w:rFonts w:ascii="IRNazanin" w:hAnsi="IRNazanin" w:eastAsia="IRNazanin" w:cs="IRNazanin"/>
            <w:color w:val="111111"/>
            <w:sz w:val="22"/>
            <w:szCs w:val="22"/>
            <w:b w:val="0"/>
            <w:bCs w:val="0"/>
            <w:i w:val="0"/>
            <w:iCs w:val="0"/>
          </w:rPr>
          <w:t>دیوان مقیم قزوینی‏</w:t>
        </w:r>
        <w:r>
          <w:tab/>
        </w:r>
        <w:r>
          <w:fldChar w:fldCharType="begin"/>
        </w:r>
        <w:r>
          <w:instrText xml:space="preserve">PAGEREF 8064 \h</w:instrText>
        </w:r>
        <w:r>
          <w:fldChar w:fldCharType="end"/>
        </w:r>
      </w:hyperlink>
    </w:p>
    <w:p>
      <w:pPr>
        <w:tabs>
          <w:tab w:val="right" w:leader="dot" w:pos="9062"/>
        </w:tabs>
        <w:ind w:left="440"/>
      </w:pPr>
      <w:hyperlink w:anchor="_Toc8065" w:history="1">
        <w:r>
          <w:rPr>
            <w:rFonts w:ascii="IRNazanin" w:hAnsi="IRNazanin" w:eastAsia="IRNazanin" w:cs="IRNazanin"/>
            <w:color w:val="111111"/>
            <w:sz w:val="22"/>
            <w:szCs w:val="22"/>
            <w:b w:val="0"/>
            <w:bCs w:val="0"/>
            <w:i w:val="0"/>
            <w:iCs w:val="0"/>
          </w:rPr>
          <w:t>دیوان مقیم قمی‏</w:t>
        </w:r>
        <w:r>
          <w:tab/>
        </w:r>
        <w:r>
          <w:fldChar w:fldCharType="begin"/>
        </w:r>
        <w:r>
          <w:instrText xml:space="preserve">PAGEREF 8065 \h</w:instrText>
        </w:r>
        <w:r>
          <w:fldChar w:fldCharType="end"/>
        </w:r>
      </w:hyperlink>
    </w:p>
    <w:p>
      <w:pPr>
        <w:tabs>
          <w:tab w:val="right" w:leader="dot" w:pos="9062"/>
        </w:tabs>
        <w:ind w:left="440"/>
      </w:pPr>
      <w:hyperlink w:anchor="_Toc8066" w:history="1">
        <w:r>
          <w:rPr>
            <w:rFonts w:ascii="IRNazanin" w:hAnsi="IRNazanin" w:eastAsia="IRNazanin" w:cs="IRNazanin"/>
            <w:color w:val="111111"/>
            <w:sz w:val="22"/>
            <w:szCs w:val="22"/>
            <w:b w:val="0"/>
            <w:bCs w:val="0"/>
            <w:i w:val="0"/>
            <w:iCs w:val="0"/>
          </w:rPr>
          <w:t>7068- دیوان مقیم کازرونی أو شعره‏</w:t>
        </w:r>
        <w:r>
          <w:tab/>
        </w:r>
        <w:r>
          <w:fldChar w:fldCharType="begin"/>
        </w:r>
        <w:r>
          <w:instrText xml:space="preserve">PAGEREF 8066 \h</w:instrText>
        </w:r>
        <w:r>
          <w:fldChar w:fldCharType="end"/>
        </w:r>
      </w:hyperlink>
    </w:p>
    <w:p>
      <w:pPr>
        <w:tabs>
          <w:tab w:val="right" w:leader="dot" w:pos="9062"/>
        </w:tabs>
        <w:ind w:left="440"/>
      </w:pPr>
      <w:hyperlink w:anchor="_Toc8067" w:history="1">
        <w:r>
          <w:rPr>
            <w:rFonts w:ascii="IRNazanin" w:hAnsi="IRNazanin" w:eastAsia="IRNazanin" w:cs="IRNazanin"/>
            <w:color w:val="111111"/>
            <w:sz w:val="22"/>
            <w:szCs w:val="22"/>
            <w:b w:val="0"/>
            <w:bCs w:val="0"/>
            <w:i w:val="0"/>
            <w:iCs w:val="0"/>
          </w:rPr>
          <w:t>دیوان مقیم کاشانی‏</w:t>
        </w:r>
        <w:r>
          <w:tab/>
        </w:r>
        <w:r>
          <w:fldChar w:fldCharType="begin"/>
        </w:r>
        <w:r>
          <w:instrText xml:space="preserve">PAGEREF 8067 \h</w:instrText>
        </w:r>
        <w:r>
          <w:fldChar w:fldCharType="end"/>
        </w:r>
      </w:hyperlink>
    </w:p>
    <w:p>
      <w:pPr>
        <w:tabs>
          <w:tab w:val="right" w:leader="dot" w:pos="9062"/>
        </w:tabs>
        <w:ind w:left="440"/>
      </w:pPr>
      <w:hyperlink w:anchor="_Toc8068" w:history="1">
        <w:r>
          <w:rPr>
            <w:rFonts w:ascii="IRNazanin" w:hAnsi="IRNazanin" w:eastAsia="IRNazanin" w:cs="IRNazanin"/>
            <w:color w:val="111111"/>
            <w:sz w:val="22"/>
            <w:szCs w:val="22"/>
            <w:b w:val="0"/>
            <w:bCs w:val="0"/>
            <w:i w:val="0"/>
            <w:iCs w:val="0"/>
          </w:rPr>
          <w:t>دیوان مقیم کتاب دار</w:t>
        </w:r>
        <w:r>
          <w:tab/>
        </w:r>
        <w:r>
          <w:fldChar w:fldCharType="begin"/>
        </w:r>
        <w:r>
          <w:instrText xml:space="preserve">PAGEREF 8068 \h</w:instrText>
        </w:r>
        <w:r>
          <w:fldChar w:fldCharType="end"/>
        </w:r>
      </w:hyperlink>
    </w:p>
    <w:p>
      <w:pPr>
        <w:tabs>
          <w:tab w:val="right" w:leader="dot" w:pos="9062"/>
        </w:tabs>
        <w:ind w:left="440"/>
      </w:pPr>
      <w:hyperlink w:anchor="_Toc8069" w:history="1">
        <w:r>
          <w:rPr>
            <w:rFonts w:ascii="IRNazanin" w:hAnsi="IRNazanin" w:eastAsia="IRNazanin" w:cs="IRNazanin"/>
            <w:color w:val="111111"/>
            <w:sz w:val="22"/>
            <w:szCs w:val="22"/>
            <w:b w:val="0"/>
            <w:bCs w:val="0"/>
            <w:i w:val="0"/>
            <w:iCs w:val="0"/>
          </w:rPr>
          <w:t>دیوان مقیم مشهدی‏</w:t>
        </w:r>
        <w:r>
          <w:tab/>
        </w:r>
        <w:r>
          <w:fldChar w:fldCharType="begin"/>
        </w:r>
        <w:r>
          <w:instrText xml:space="preserve">PAGEREF 8069 \h</w:instrText>
        </w:r>
        <w:r>
          <w:fldChar w:fldCharType="end"/>
        </w:r>
      </w:hyperlink>
    </w:p>
    <w:p>
      <w:pPr>
        <w:tabs>
          <w:tab w:val="right" w:leader="dot" w:pos="9062"/>
        </w:tabs>
        <w:ind w:left="440"/>
      </w:pPr>
      <w:hyperlink w:anchor="_Toc8070" w:history="1">
        <w:r>
          <w:rPr>
            <w:rFonts w:ascii="IRNazanin" w:hAnsi="IRNazanin" w:eastAsia="IRNazanin" w:cs="IRNazanin"/>
            <w:color w:val="111111"/>
            <w:sz w:val="22"/>
            <w:szCs w:val="22"/>
            <w:b w:val="0"/>
            <w:bCs w:val="0"/>
            <w:i w:val="0"/>
            <w:iCs w:val="0"/>
          </w:rPr>
          <w:t>7069- دیوان مقیم مقصود أو شعره‏</w:t>
        </w:r>
        <w:r>
          <w:tab/>
        </w:r>
        <w:r>
          <w:fldChar w:fldCharType="begin"/>
        </w:r>
        <w:r>
          <w:instrText xml:space="preserve">PAGEREF 8070 \h</w:instrText>
        </w:r>
        <w:r>
          <w:fldChar w:fldCharType="end"/>
        </w:r>
      </w:hyperlink>
    </w:p>
    <w:p>
      <w:pPr>
        <w:tabs>
          <w:tab w:val="right" w:leader="dot" w:pos="9062"/>
        </w:tabs>
        <w:ind w:left="440"/>
      </w:pPr>
      <w:hyperlink w:anchor="_Toc8071" w:history="1">
        <w:r>
          <w:rPr>
            <w:rFonts w:ascii="IRNazanin" w:hAnsi="IRNazanin" w:eastAsia="IRNazanin" w:cs="IRNazanin"/>
            <w:color w:val="111111"/>
            <w:sz w:val="22"/>
            <w:szCs w:val="22"/>
            <w:b w:val="0"/>
            <w:bCs w:val="0"/>
            <w:i w:val="0"/>
            <w:iCs w:val="0"/>
          </w:rPr>
          <w:t>دیوان مقیم نیشابوری‏</w:t>
        </w:r>
        <w:r>
          <w:tab/>
        </w:r>
        <w:r>
          <w:fldChar w:fldCharType="begin"/>
        </w:r>
        <w:r>
          <w:instrText xml:space="preserve">PAGEREF 8071 \h</w:instrText>
        </w:r>
        <w:r>
          <w:fldChar w:fldCharType="end"/>
        </w:r>
      </w:hyperlink>
    </w:p>
    <w:p>
      <w:pPr>
        <w:tabs>
          <w:tab w:val="right" w:leader="dot" w:pos="9062"/>
        </w:tabs>
        <w:ind w:left="440"/>
      </w:pPr>
      <w:hyperlink w:anchor="_Toc8072" w:history="1">
        <w:r>
          <w:rPr>
            <w:rFonts w:ascii="IRNazanin" w:hAnsi="IRNazanin" w:eastAsia="IRNazanin" w:cs="IRNazanin"/>
            <w:color w:val="111111"/>
            <w:sz w:val="22"/>
            <w:szCs w:val="22"/>
            <w:b w:val="0"/>
            <w:bCs w:val="0"/>
            <w:i w:val="0"/>
            <w:iCs w:val="0"/>
          </w:rPr>
          <w:t>7070- دیوان مقیم هندی أو شعره‏</w:t>
        </w:r>
        <w:r>
          <w:tab/>
        </w:r>
        <w:r>
          <w:fldChar w:fldCharType="begin"/>
        </w:r>
        <w:r>
          <w:instrText xml:space="preserve">PAGEREF 8072 \h</w:instrText>
        </w:r>
        <w:r>
          <w:fldChar w:fldCharType="end"/>
        </w:r>
      </w:hyperlink>
    </w:p>
    <w:p>
      <w:pPr>
        <w:tabs>
          <w:tab w:val="right" w:leader="dot" w:pos="9062"/>
        </w:tabs>
        <w:ind w:left="440"/>
      </w:pPr>
      <w:hyperlink w:anchor="_Toc8073" w:history="1">
        <w:r>
          <w:rPr>
            <w:rFonts w:ascii="IRNazanin" w:hAnsi="IRNazanin" w:eastAsia="IRNazanin" w:cs="IRNazanin"/>
            <w:color w:val="111111"/>
            <w:sz w:val="22"/>
            <w:szCs w:val="22"/>
            <w:b w:val="0"/>
            <w:bCs w:val="0"/>
            <w:i w:val="0"/>
            <w:iCs w:val="0"/>
          </w:rPr>
          <w:t>7071- دیوان مقیمی بخاری أو شعره‏</w:t>
        </w:r>
        <w:r>
          <w:tab/>
        </w:r>
        <w:r>
          <w:fldChar w:fldCharType="begin"/>
        </w:r>
        <w:r>
          <w:instrText xml:space="preserve">PAGEREF 8073 \h</w:instrText>
        </w:r>
        <w:r>
          <w:fldChar w:fldCharType="end"/>
        </w:r>
      </w:hyperlink>
    </w:p>
    <w:p>
      <w:pPr>
        <w:tabs>
          <w:tab w:val="right" w:leader="dot" w:pos="9062"/>
        </w:tabs>
        <w:ind w:left="440"/>
      </w:pPr>
      <w:hyperlink w:anchor="_Toc8074" w:history="1">
        <w:r>
          <w:rPr>
            <w:rFonts w:ascii="IRNazanin" w:hAnsi="IRNazanin" w:eastAsia="IRNazanin" w:cs="IRNazanin"/>
            <w:color w:val="111111"/>
            <w:sz w:val="22"/>
            <w:szCs w:val="22"/>
            <w:b w:val="0"/>
            <w:bCs w:val="0"/>
            <w:i w:val="0"/>
            <w:iCs w:val="0"/>
          </w:rPr>
          <w:t>7072- دیوان مقیمی تبریزی أو شعره‏</w:t>
        </w:r>
        <w:r>
          <w:tab/>
        </w:r>
        <w:r>
          <w:fldChar w:fldCharType="begin"/>
        </w:r>
        <w:r>
          <w:instrText xml:space="preserve">PAGEREF 8074 \h</w:instrText>
        </w:r>
        <w:r>
          <w:fldChar w:fldCharType="end"/>
        </w:r>
      </w:hyperlink>
    </w:p>
    <w:p>
      <w:pPr>
        <w:tabs>
          <w:tab w:val="right" w:leader="dot" w:pos="9062"/>
        </w:tabs>
        <w:ind w:left="440"/>
      </w:pPr>
      <w:hyperlink w:anchor="_Toc8075" w:history="1">
        <w:r>
          <w:rPr>
            <w:rFonts w:ascii="IRNazanin" w:hAnsi="IRNazanin" w:eastAsia="IRNazanin" w:cs="IRNazanin"/>
            <w:color w:val="111111"/>
            <w:sz w:val="22"/>
            <w:szCs w:val="22"/>
            <w:b w:val="0"/>
            <w:bCs w:val="0"/>
            <w:i w:val="0"/>
            <w:iCs w:val="0"/>
          </w:rPr>
          <w:t>دیوان مقیمی تبریزی‏</w:t>
        </w:r>
        <w:r>
          <w:tab/>
        </w:r>
        <w:r>
          <w:fldChar w:fldCharType="begin"/>
        </w:r>
        <w:r>
          <w:instrText xml:space="preserve">PAGEREF 8075 \h</w:instrText>
        </w:r>
        <w:r>
          <w:fldChar w:fldCharType="end"/>
        </w:r>
      </w:hyperlink>
    </w:p>
    <w:p>
      <w:pPr>
        <w:tabs>
          <w:tab w:val="right" w:leader="dot" w:pos="9062"/>
        </w:tabs>
        <w:ind w:left="440"/>
      </w:pPr>
      <w:hyperlink w:anchor="_Toc8076" w:history="1">
        <w:r>
          <w:rPr>
            <w:rFonts w:ascii="IRNazanin" w:hAnsi="IRNazanin" w:eastAsia="IRNazanin" w:cs="IRNazanin"/>
            <w:color w:val="111111"/>
            <w:sz w:val="22"/>
            <w:szCs w:val="22"/>
            <w:b w:val="0"/>
            <w:bCs w:val="0"/>
            <w:i w:val="0"/>
            <w:iCs w:val="0"/>
          </w:rPr>
          <w:t>دیوان مقیمی ترکمان‏</w:t>
        </w:r>
        <w:r>
          <w:tab/>
        </w:r>
        <w:r>
          <w:fldChar w:fldCharType="begin"/>
        </w:r>
        <w:r>
          <w:instrText xml:space="preserve">PAGEREF 8076 \h</w:instrText>
        </w:r>
        <w:r>
          <w:fldChar w:fldCharType="end"/>
        </w:r>
      </w:hyperlink>
    </w:p>
    <w:p>
      <w:pPr>
        <w:tabs>
          <w:tab w:val="right" w:leader="dot" w:pos="9062"/>
        </w:tabs>
        <w:ind w:left="440"/>
      </w:pPr>
      <w:hyperlink w:anchor="_Toc8077" w:history="1">
        <w:r>
          <w:rPr>
            <w:rFonts w:ascii="IRNazanin" w:hAnsi="IRNazanin" w:eastAsia="IRNazanin" w:cs="IRNazanin"/>
            <w:color w:val="111111"/>
            <w:sz w:val="22"/>
            <w:szCs w:val="22"/>
            <w:b w:val="0"/>
            <w:bCs w:val="0"/>
            <w:i w:val="0"/>
            <w:iCs w:val="0"/>
          </w:rPr>
          <w:t>7073- دیوان مقیمی هروی أو شعره‏</w:t>
        </w:r>
        <w:r>
          <w:tab/>
        </w:r>
        <w:r>
          <w:fldChar w:fldCharType="begin"/>
        </w:r>
        <w:r>
          <w:instrText xml:space="preserve">PAGEREF 8077 \h</w:instrText>
        </w:r>
        <w:r>
          <w:fldChar w:fldCharType="end"/>
        </w:r>
      </w:hyperlink>
    </w:p>
    <w:p>
      <w:pPr>
        <w:tabs>
          <w:tab w:val="right" w:leader="dot" w:pos="9062"/>
        </w:tabs>
        <w:ind w:left="440"/>
      </w:pPr>
      <w:hyperlink w:anchor="_Toc8078" w:history="1">
        <w:r>
          <w:rPr>
            <w:rFonts w:ascii="IRNazanin" w:hAnsi="IRNazanin" w:eastAsia="IRNazanin" w:cs="IRNazanin"/>
            <w:color w:val="111111"/>
            <w:sz w:val="22"/>
            <w:szCs w:val="22"/>
            <w:b w:val="0"/>
            <w:bCs w:val="0"/>
            <w:i w:val="0"/>
            <w:iCs w:val="0"/>
          </w:rPr>
          <w:t>7074- دیوان مکارم أکبرآبادی‏</w:t>
        </w:r>
        <w:r>
          <w:tab/>
        </w:r>
        <w:r>
          <w:fldChar w:fldCharType="begin"/>
        </w:r>
        <w:r>
          <w:instrText xml:space="preserve">PAGEREF 8078 \h</w:instrText>
        </w:r>
        <w:r>
          <w:fldChar w:fldCharType="end"/>
        </w:r>
      </w:hyperlink>
    </w:p>
    <w:p>
      <w:pPr>
        <w:tabs>
          <w:tab w:val="right" w:leader="dot" w:pos="9062"/>
        </w:tabs>
        <w:ind w:left="440"/>
      </w:pPr>
      <w:hyperlink w:anchor="_Toc8079" w:history="1">
        <w:r>
          <w:rPr>
            <w:rFonts w:ascii="IRNazanin" w:hAnsi="IRNazanin" w:eastAsia="IRNazanin" w:cs="IRNazanin"/>
            <w:color w:val="111111"/>
            <w:sz w:val="22"/>
            <w:szCs w:val="22"/>
            <w:b w:val="0"/>
            <w:bCs w:val="0"/>
            <w:i w:val="0"/>
            <w:iCs w:val="0"/>
          </w:rPr>
          <w:t>7075- دیوان مکارم قزوینی أو شعره‏</w:t>
        </w:r>
        <w:r>
          <w:tab/>
        </w:r>
        <w:r>
          <w:fldChar w:fldCharType="begin"/>
        </w:r>
        <w:r>
          <w:instrText xml:space="preserve">PAGEREF 8079 \h</w:instrText>
        </w:r>
        <w:r>
          <w:fldChar w:fldCharType="end"/>
        </w:r>
      </w:hyperlink>
    </w:p>
    <w:p>
      <w:pPr>
        <w:tabs>
          <w:tab w:val="right" w:leader="dot" w:pos="9062"/>
        </w:tabs>
        <w:ind w:left="440"/>
      </w:pPr>
      <w:hyperlink w:anchor="_Toc8080" w:history="1">
        <w:r>
          <w:rPr>
            <w:rFonts w:ascii="IRNazanin" w:hAnsi="IRNazanin" w:eastAsia="IRNazanin" w:cs="IRNazanin"/>
            <w:color w:val="111111"/>
            <w:sz w:val="22"/>
            <w:szCs w:val="22"/>
            <w:b w:val="0"/>
            <w:bCs w:val="0"/>
            <w:i w:val="0"/>
            <w:iCs w:val="0"/>
          </w:rPr>
          <w:t>7076- دیوان مکتبی شیرازی‏</w:t>
        </w:r>
        <w:r>
          <w:tab/>
        </w:r>
        <w:r>
          <w:fldChar w:fldCharType="begin"/>
        </w:r>
        <w:r>
          <w:instrText xml:space="preserve">PAGEREF 8080 \h</w:instrText>
        </w:r>
        <w:r>
          <w:fldChar w:fldCharType="end"/>
        </w:r>
      </w:hyperlink>
    </w:p>
    <w:p>
      <w:pPr>
        <w:tabs>
          <w:tab w:val="right" w:leader="dot" w:pos="9062"/>
        </w:tabs>
        <w:ind w:left="440"/>
      </w:pPr>
      <w:hyperlink w:anchor="_Toc8081" w:history="1">
        <w:r>
          <w:rPr>
            <w:rFonts w:ascii="IRNazanin" w:hAnsi="IRNazanin" w:eastAsia="IRNazanin" w:cs="IRNazanin"/>
            <w:color w:val="111111"/>
            <w:sz w:val="22"/>
            <w:szCs w:val="22"/>
            <w:b w:val="0"/>
            <w:bCs w:val="0"/>
            <w:i w:val="0"/>
            <w:iCs w:val="0"/>
          </w:rPr>
          <w:t>دیوان مکرم أصفهانی‏</w:t>
        </w:r>
        <w:r>
          <w:tab/>
        </w:r>
        <w:r>
          <w:fldChar w:fldCharType="begin"/>
        </w:r>
        <w:r>
          <w:instrText xml:space="preserve">PAGEREF 8081 \h</w:instrText>
        </w:r>
        <w:r>
          <w:fldChar w:fldCharType="end"/>
        </w:r>
      </w:hyperlink>
    </w:p>
    <w:p>
      <w:pPr>
        <w:tabs>
          <w:tab w:val="right" w:leader="dot" w:pos="9062"/>
        </w:tabs>
        <w:ind w:left="440"/>
      </w:pPr>
      <w:hyperlink w:anchor="_Toc8082" w:history="1">
        <w:r>
          <w:rPr>
            <w:rFonts w:ascii="IRNazanin" w:hAnsi="IRNazanin" w:eastAsia="IRNazanin" w:cs="IRNazanin"/>
            <w:color w:val="111111"/>
            <w:sz w:val="22"/>
            <w:szCs w:val="22"/>
            <w:b w:val="0"/>
            <w:bCs w:val="0"/>
            <w:i w:val="0"/>
            <w:iCs w:val="0"/>
          </w:rPr>
          <w:t>7077- دیوان مکرم حبیب‏آبادی‏</w:t>
        </w:r>
        <w:r>
          <w:tab/>
        </w:r>
        <w:r>
          <w:fldChar w:fldCharType="begin"/>
        </w:r>
        <w:r>
          <w:instrText xml:space="preserve">PAGEREF 8082 \h</w:instrText>
        </w:r>
        <w:r>
          <w:fldChar w:fldCharType="end"/>
        </w:r>
      </w:hyperlink>
    </w:p>
    <w:p>
      <w:pPr>
        <w:tabs>
          <w:tab w:val="right" w:leader="dot" w:pos="9062"/>
        </w:tabs>
        <w:ind w:left="440"/>
      </w:pPr>
      <w:hyperlink w:anchor="_Toc8083" w:history="1">
        <w:r>
          <w:rPr>
            <w:rFonts w:ascii="IRNazanin" w:hAnsi="IRNazanin" w:eastAsia="IRNazanin" w:cs="IRNazanin"/>
            <w:color w:val="111111"/>
            <w:sz w:val="22"/>
            <w:szCs w:val="22"/>
            <w:b w:val="0"/>
            <w:bCs w:val="0"/>
            <w:i w:val="0"/>
            <w:iCs w:val="0"/>
          </w:rPr>
          <w:t>7078- دیوان مکری کردستانی‏</w:t>
        </w:r>
        <w:r>
          <w:tab/>
        </w:r>
        <w:r>
          <w:fldChar w:fldCharType="begin"/>
        </w:r>
        <w:r>
          <w:instrText xml:space="preserve">PAGEREF 8083 \h</w:instrText>
        </w:r>
        <w:r>
          <w:fldChar w:fldCharType="end"/>
        </w:r>
      </w:hyperlink>
    </w:p>
    <w:p>
      <w:pPr>
        <w:tabs>
          <w:tab w:val="right" w:leader="dot" w:pos="9062"/>
        </w:tabs>
        <w:ind w:left="440"/>
      </w:pPr>
      <w:hyperlink w:anchor="_Toc8084" w:history="1">
        <w:r>
          <w:rPr>
            <w:rFonts w:ascii="IRNazanin" w:hAnsi="IRNazanin" w:eastAsia="IRNazanin" w:cs="IRNazanin"/>
            <w:color w:val="111111"/>
            <w:sz w:val="22"/>
            <w:szCs w:val="22"/>
            <w:b w:val="0"/>
            <w:bCs w:val="0"/>
            <w:i w:val="0"/>
            <w:iCs w:val="0"/>
          </w:rPr>
          <w:t>7079- دیوان مکنون گرجی أو شعره‏</w:t>
        </w:r>
        <w:r>
          <w:tab/>
        </w:r>
        <w:r>
          <w:fldChar w:fldCharType="begin"/>
        </w:r>
        <w:r>
          <w:instrText xml:space="preserve">PAGEREF 8084 \h</w:instrText>
        </w:r>
        <w:r>
          <w:fldChar w:fldCharType="end"/>
        </w:r>
      </w:hyperlink>
    </w:p>
    <w:p>
      <w:pPr>
        <w:tabs>
          <w:tab w:val="right" w:leader="dot" w:pos="9062"/>
        </w:tabs>
        <w:ind w:left="440"/>
      </w:pPr>
      <w:hyperlink w:anchor="_Toc8085" w:history="1">
        <w:r>
          <w:rPr>
            <w:rFonts w:ascii="IRNazanin" w:hAnsi="IRNazanin" w:eastAsia="IRNazanin" w:cs="IRNazanin"/>
            <w:color w:val="111111"/>
            <w:sz w:val="22"/>
            <w:szCs w:val="22"/>
            <w:b w:val="0"/>
            <w:bCs w:val="0"/>
            <w:i w:val="0"/>
            <w:iCs w:val="0"/>
          </w:rPr>
          <w:t>7080- دیوان مکی أصفهانی‏</w:t>
        </w:r>
        <w:r>
          <w:tab/>
        </w:r>
        <w:r>
          <w:fldChar w:fldCharType="begin"/>
        </w:r>
        <w:r>
          <w:instrText xml:space="preserve">PAGEREF 8085 \h</w:instrText>
        </w:r>
        <w:r>
          <w:fldChar w:fldCharType="end"/>
        </w:r>
      </w:hyperlink>
    </w:p>
    <w:p>
      <w:pPr>
        <w:tabs>
          <w:tab w:val="right" w:leader="dot" w:pos="9062"/>
        </w:tabs>
        <w:ind w:left="440"/>
      </w:pPr>
      <w:hyperlink w:anchor="_Toc8086" w:history="1">
        <w:r>
          <w:rPr>
            <w:rFonts w:ascii="IRNazanin" w:hAnsi="IRNazanin" w:eastAsia="IRNazanin" w:cs="IRNazanin"/>
            <w:color w:val="111111"/>
            <w:sz w:val="22"/>
            <w:szCs w:val="22"/>
            <w:b w:val="0"/>
            <w:bCs w:val="0"/>
            <w:i w:val="0"/>
            <w:iCs w:val="0"/>
          </w:rPr>
          <w:t>7081- دیوان مکین دهلوی‏</w:t>
        </w:r>
        <w:r>
          <w:tab/>
        </w:r>
        <w:r>
          <w:fldChar w:fldCharType="begin"/>
        </w:r>
        <w:r>
          <w:instrText xml:space="preserve">PAGEREF 8086 \h</w:instrText>
        </w:r>
        <w:r>
          <w:fldChar w:fldCharType="end"/>
        </w:r>
      </w:hyperlink>
    </w:p>
    <w:p>
      <w:pPr>
        <w:tabs>
          <w:tab w:val="right" w:leader="dot" w:pos="9062"/>
        </w:tabs>
        <w:ind w:left="440"/>
      </w:pPr>
      <w:hyperlink w:anchor="_Toc8087" w:history="1">
        <w:r>
          <w:rPr>
            <w:rFonts w:ascii="IRNazanin" w:hAnsi="IRNazanin" w:eastAsia="IRNazanin" w:cs="IRNazanin"/>
            <w:color w:val="111111"/>
            <w:sz w:val="22"/>
            <w:szCs w:val="22"/>
            <w:b w:val="0"/>
            <w:bCs w:val="0"/>
            <w:i w:val="0"/>
            <w:iCs w:val="0"/>
          </w:rPr>
          <w:t>7082- دیوان مکینی أو شعره‏</w:t>
        </w:r>
        <w:r>
          <w:tab/>
        </w:r>
        <w:r>
          <w:fldChar w:fldCharType="begin"/>
        </w:r>
        <w:r>
          <w:instrText xml:space="preserve">PAGEREF 8087 \h</w:instrText>
        </w:r>
        <w:r>
          <w:fldChar w:fldCharType="end"/>
        </w:r>
      </w:hyperlink>
    </w:p>
    <w:p>
      <w:pPr>
        <w:tabs>
          <w:tab w:val="right" w:leader="dot" w:pos="9062"/>
        </w:tabs>
        <w:ind w:left="440"/>
      </w:pPr>
      <w:hyperlink w:anchor="_Toc8088" w:history="1">
        <w:r>
          <w:rPr>
            <w:rFonts w:ascii="IRNazanin" w:hAnsi="IRNazanin" w:eastAsia="IRNazanin" w:cs="IRNazanin"/>
            <w:color w:val="111111"/>
            <w:sz w:val="22"/>
            <w:szCs w:val="22"/>
            <w:b w:val="0"/>
            <w:bCs w:val="0"/>
            <w:i w:val="0"/>
            <w:iCs w:val="0"/>
          </w:rPr>
          <w:t>7083- دیوان الملائکة</w:t>
        </w:r>
        <w:r>
          <w:tab/>
        </w:r>
        <w:r>
          <w:fldChar w:fldCharType="begin"/>
        </w:r>
        <w:r>
          <w:instrText xml:space="preserve">PAGEREF 8088 \h</w:instrText>
        </w:r>
        <w:r>
          <w:fldChar w:fldCharType="end"/>
        </w:r>
      </w:hyperlink>
    </w:p>
    <w:p>
      <w:pPr>
        <w:tabs>
          <w:tab w:val="right" w:leader="dot" w:pos="9062"/>
        </w:tabs>
        <w:ind w:left="440"/>
      </w:pPr>
      <w:hyperlink w:anchor="_Toc8089" w:history="1">
        <w:r>
          <w:rPr>
            <w:rFonts w:ascii="IRNazanin" w:hAnsi="IRNazanin" w:eastAsia="IRNazanin" w:cs="IRNazanin"/>
            <w:color w:val="111111"/>
            <w:sz w:val="22"/>
            <w:szCs w:val="22"/>
            <w:b w:val="0"/>
            <w:bCs w:val="0"/>
            <w:i w:val="0"/>
            <w:iCs w:val="0"/>
          </w:rPr>
          <w:t>7084- دیوان ملاباشی تسوجی‏</w:t>
        </w:r>
        <w:r>
          <w:tab/>
        </w:r>
        <w:r>
          <w:fldChar w:fldCharType="begin"/>
        </w:r>
        <w:r>
          <w:instrText xml:space="preserve">PAGEREF 8089 \h</w:instrText>
        </w:r>
        <w:r>
          <w:fldChar w:fldCharType="end"/>
        </w:r>
      </w:hyperlink>
    </w:p>
    <w:p>
      <w:pPr>
        <w:tabs>
          <w:tab w:val="right" w:leader="dot" w:pos="9062"/>
        </w:tabs>
        <w:ind w:left="440"/>
      </w:pPr>
      <w:hyperlink w:anchor="_Toc8090" w:history="1">
        <w:r>
          <w:rPr>
            <w:rFonts w:ascii="IRNazanin" w:hAnsi="IRNazanin" w:eastAsia="IRNazanin" w:cs="IRNazanin"/>
            <w:color w:val="111111"/>
            <w:sz w:val="22"/>
            <w:szCs w:val="22"/>
            <w:b w:val="0"/>
            <w:bCs w:val="0"/>
            <w:i w:val="0"/>
            <w:iCs w:val="0"/>
          </w:rPr>
          <w:t>7085- دیوان ملا جان کاشانی‏</w:t>
        </w:r>
        <w:r>
          <w:tab/>
        </w:r>
        <w:r>
          <w:fldChar w:fldCharType="begin"/>
        </w:r>
        <w:r>
          <w:instrText xml:space="preserve">PAGEREF 8090 \h</w:instrText>
        </w:r>
        <w:r>
          <w:fldChar w:fldCharType="end"/>
        </w:r>
      </w:hyperlink>
    </w:p>
    <w:p>
      <w:pPr>
        <w:tabs>
          <w:tab w:val="right" w:leader="dot" w:pos="9062"/>
        </w:tabs>
        <w:ind w:left="440"/>
      </w:pPr>
      <w:hyperlink w:anchor="_Toc8091" w:history="1">
        <w:r>
          <w:rPr>
            <w:rFonts w:ascii="IRNazanin" w:hAnsi="IRNazanin" w:eastAsia="IRNazanin" w:cs="IRNazanin"/>
            <w:color w:val="111111"/>
            <w:sz w:val="22"/>
            <w:szCs w:val="22"/>
            <w:b w:val="0"/>
            <w:bCs w:val="0"/>
            <w:i w:val="0"/>
            <w:iCs w:val="0"/>
          </w:rPr>
          <w:t>7086- دیوان ملازاده تاشکندی أو شعره‏</w:t>
        </w:r>
        <w:r>
          <w:tab/>
        </w:r>
        <w:r>
          <w:fldChar w:fldCharType="begin"/>
        </w:r>
        <w:r>
          <w:instrText xml:space="preserve">PAGEREF 8091 \h</w:instrText>
        </w:r>
        <w:r>
          <w:fldChar w:fldCharType="end"/>
        </w:r>
      </w:hyperlink>
    </w:p>
    <w:p>
      <w:pPr>
        <w:tabs>
          <w:tab w:val="right" w:leader="dot" w:pos="9062"/>
        </w:tabs>
        <w:ind w:left="440"/>
      </w:pPr>
      <w:hyperlink w:anchor="_Toc8092" w:history="1">
        <w:r>
          <w:rPr>
            <w:rFonts w:ascii="IRNazanin" w:hAnsi="IRNazanin" w:eastAsia="IRNazanin" w:cs="IRNazanin"/>
            <w:color w:val="111111"/>
            <w:sz w:val="22"/>
            <w:szCs w:val="22"/>
            <w:b w:val="0"/>
            <w:bCs w:val="0"/>
            <w:i w:val="0"/>
            <w:iCs w:val="0"/>
          </w:rPr>
          <w:t>دیوان ملا شاه بدخشانی‏</w:t>
        </w:r>
        <w:r>
          <w:tab/>
        </w:r>
        <w:r>
          <w:fldChar w:fldCharType="begin"/>
        </w:r>
        <w:r>
          <w:instrText xml:space="preserve">PAGEREF 8092 \h</w:instrText>
        </w:r>
        <w:r>
          <w:fldChar w:fldCharType="end"/>
        </w:r>
      </w:hyperlink>
    </w:p>
    <w:p>
      <w:pPr>
        <w:tabs>
          <w:tab w:val="right" w:leader="dot" w:pos="9062"/>
        </w:tabs>
        <w:ind w:left="440"/>
      </w:pPr>
      <w:hyperlink w:anchor="_Toc8093" w:history="1">
        <w:r>
          <w:rPr>
            <w:rFonts w:ascii="IRNazanin" w:hAnsi="IRNazanin" w:eastAsia="IRNazanin" w:cs="IRNazanin"/>
            <w:color w:val="111111"/>
            <w:sz w:val="22"/>
            <w:szCs w:val="22"/>
            <w:b w:val="0"/>
            <w:bCs w:val="0"/>
            <w:i w:val="0"/>
            <w:iCs w:val="0"/>
          </w:rPr>
          <w:t>7087- دیوان ملا شهنامه‏چی‏</w:t>
        </w:r>
        <w:r>
          <w:tab/>
        </w:r>
        <w:r>
          <w:fldChar w:fldCharType="begin"/>
        </w:r>
        <w:r>
          <w:instrText xml:space="preserve">PAGEREF 8093 \h</w:instrText>
        </w:r>
        <w:r>
          <w:fldChar w:fldCharType="end"/>
        </w:r>
      </w:hyperlink>
    </w:p>
    <w:p>
      <w:pPr>
        <w:tabs>
          <w:tab w:val="right" w:leader="dot" w:pos="9062"/>
        </w:tabs>
        <w:ind w:left="440"/>
      </w:pPr>
      <w:hyperlink w:anchor="_Toc8094" w:history="1">
        <w:r>
          <w:rPr>
            <w:rFonts w:ascii="IRNazanin" w:hAnsi="IRNazanin" w:eastAsia="IRNazanin" w:cs="IRNazanin"/>
            <w:color w:val="111111"/>
            <w:sz w:val="22"/>
            <w:szCs w:val="22"/>
            <w:b w:val="0"/>
            <w:bCs w:val="0"/>
            <w:i w:val="0"/>
            <w:iCs w:val="0"/>
          </w:rPr>
          <w:t>دیوان ملالی‏</w:t>
        </w:r>
        <w:r>
          <w:tab/>
        </w:r>
        <w:r>
          <w:fldChar w:fldCharType="begin"/>
        </w:r>
        <w:r>
          <w:instrText xml:space="preserve">PAGEREF 8094 \h</w:instrText>
        </w:r>
        <w:r>
          <w:fldChar w:fldCharType="end"/>
        </w:r>
      </w:hyperlink>
    </w:p>
    <w:p>
      <w:pPr>
        <w:tabs>
          <w:tab w:val="right" w:leader="dot" w:pos="9062"/>
        </w:tabs>
        <w:ind w:left="440"/>
      </w:pPr>
      <w:hyperlink w:anchor="_Toc8095" w:history="1">
        <w:r>
          <w:rPr>
            <w:rFonts w:ascii="IRNazanin" w:hAnsi="IRNazanin" w:eastAsia="IRNazanin" w:cs="IRNazanin"/>
            <w:color w:val="111111"/>
            <w:sz w:val="22"/>
            <w:szCs w:val="22"/>
            <w:b w:val="0"/>
            <w:bCs w:val="0"/>
            <w:i w:val="0"/>
            <w:iCs w:val="0"/>
          </w:rPr>
          <w:t>7088- دیوان ملالی سبزواری أو شعره‏</w:t>
        </w:r>
        <w:r>
          <w:tab/>
        </w:r>
        <w:r>
          <w:fldChar w:fldCharType="begin"/>
        </w:r>
        <w:r>
          <w:instrText xml:space="preserve">PAGEREF 8095 \h</w:instrText>
        </w:r>
        <w:r>
          <w:fldChar w:fldCharType="end"/>
        </w:r>
      </w:hyperlink>
    </w:p>
    <w:p>
      <w:pPr>
        <w:tabs>
          <w:tab w:val="right" w:leader="dot" w:pos="9062"/>
        </w:tabs>
        <w:ind w:left="440"/>
      </w:pPr>
      <w:hyperlink w:anchor="_Toc8096" w:history="1">
        <w:r>
          <w:rPr>
            <w:rFonts w:ascii="IRNazanin" w:hAnsi="IRNazanin" w:eastAsia="IRNazanin" w:cs="IRNazanin"/>
            <w:color w:val="111111"/>
            <w:sz w:val="22"/>
            <w:szCs w:val="22"/>
            <w:b w:val="0"/>
            <w:bCs w:val="0"/>
            <w:i w:val="0"/>
            <w:iCs w:val="0"/>
          </w:rPr>
          <w:t>7089- دیوان ملالی کاشانی أو شعره‏</w:t>
        </w:r>
        <w:r>
          <w:tab/>
        </w:r>
        <w:r>
          <w:fldChar w:fldCharType="begin"/>
        </w:r>
        <w:r>
          <w:instrText xml:space="preserve">PAGEREF 8096 \h</w:instrText>
        </w:r>
        <w:r>
          <w:fldChar w:fldCharType="end"/>
        </w:r>
      </w:hyperlink>
    </w:p>
    <w:p>
      <w:pPr>
        <w:tabs>
          <w:tab w:val="right" w:leader="dot" w:pos="9062"/>
        </w:tabs>
        <w:ind w:left="440"/>
      </w:pPr>
      <w:hyperlink w:anchor="_Toc8097" w:history="1">
        <w:r>
          <w:rPr>
            <w:rFonts w:ascii="IRNazanin" w:hAnsi="IRNazanin" w:eastAsia="IRNazanin" w:cs="IRNazanin"/>
            <w:color w:val="111111"/>
            <w:sz w:val="22"/>
            <w:szCs w:val="22"/>
            <w:b w:val="0"/>
            <w:bCs w:val="0"/>
            <w:i w:val="0"/>
            <w:iCs w:val="0"/>
          </w:rPr>
          <w:t>7090- دیوان ملا مراد قمی أو شعره‏</w:t>
        </w:r>
        <w:r>
          <w:tab/>
        </w:r>
        <w:r>
          <w:fldChar w:fldCharType="begin"/>
        </w:r>
        <w:r>
          <w:instrText xml:space="preserve">PAGEREF 8097 \h</w:instrText>
        </w:r>
        <w:r>
          <w:fldChar w:fldCharType="end"/>
        </w:r>
      </w:hyperlink>
    </w:p>
    <w:p>
      <w:pPr>
        <w:tabs>
          <w:tab w:val="right" w:leader="dot" w:pos="9062"/>
        </w:tabs>
        <w:ind w:left="440"/>
      </w:pPr>
      <w:hyperlink w:anchor="_Toc8098" w:history="1">
        <w:r>
          <w:rPr>
            <w:rFonts w:ascii="IRNazanin" w:hAnsi="IRNazanin" w:eastAsia="IRNazanin" w:cs="IRNazanin"/>
            <w:color w:val="111111"/>
            <w:sz w:val="22"/>
            <w:szCs w:val="22"/>
            <w:b w:val="0"/>
            <w:bCs w:val="0"/>
            <w:i w:val="0"/>
            <w:iCs w:val="0"/>
          </w:rPr>
          <w:t>دیوان ملای رومی‏</w:t>
        </w:r>
        <w:r>
          <w:tab/>
        </w:r>
        <w:r>
          <w:fldChar w:fldCharType="begin"/>
        </w:r>
        <w:r>
          <w:instrText xml:space="preserve">PAGEREF 8098 \h</w:instrText>
        </w:r>
        <w:r>
          <w:fldChar w:fldCharType="end"/>
        </w:r>
      </w:hyperlink>
    </w:p>
    <w:p>
      <w:pPr>
        <w:tabs>
          <w:tab w:val="right" w:leader="dot" w:pos="9062"/>
        </w:tabs>
        <w:ind w:left="440"/>
      </w:pPr>
      <w:hyperlink w:anchor="_Toc8099" w:history="1">
        <w:r>
          <w:rPr>
            <w:rFonts w:ascii="IRNazanin" w:hAnsi="IRNazanin" w:eastAsia="IRNazanin" w:cs="IRNazanin"/>
            <w:color w:val="111111"/>
            <w:sz w:val="22"/>
            <w:szCs w:val="22"/>
            <w:b w:val="0"/>
            <w:bCs w:val="0"/>
            <w:i w:val="0"/>
            <w:iCs w:val="0"/>
          </w:rPr>
          <w:t>7091- دیوان ملای فروشانی‏</w:t>
        </w:r>
        <w:r>
          <w:tab/>
        </w:r>
        <w:r>
          <w:fldChar w:fldCharType="begin"/>
        </w:r>
        <w:r>
          <w:instrText xml:space="preserve">PAGEREF 8099 \h</w:instrText>
        </w:r>
        <w:r>
          <w:fldChar w:fldCharType="end"/>
        </w:r>
      </w:hyperlink>
    </w:p>
    <w:p>
      <w:pPr>
        <w:tabs>
          <w:tab w:val="right" w:leader="dot" w:pos="9062"/>
        </w:tabs>
        <w:ind w:left="440"/>
      </w:pPr>
      <w:hyperlink w:anchor="_Toc8100" w:history="1">
        <w:r>
          <w:rPr>
            <w:rFonts w:ascii="IRNazanin" w:hAnsi="IRNazanin" w:eastAsia="IRNazanin" w:cs="IRNazanin"/>
            <w:color w:val="111111"/>
            <w:sz w:val="22"/>
            <w:szCs w:val="22"/>
            <w:b w:val="0"/>
            <w:bCs w:val="0"/>
            <w:i w:val="0"/>
            <w:iCs w:val="0"/>
          </w:rPr>
          <w:t>7092- دیوان ملتمس جهان‏آبادی أو شعره‏</w:t>
        </w:r>
        <w:r>
          <w:tab/>
        </w:r>
        <w:r>
          <w:fldChar w:fldCharType="begin"/>
        </w:r>
        <w:r>
          <w:instrText xml:space="preserve">PAGEREF 8100 \h</w:instrText>
        </w:r>
        <w:r>
          <w:fldChar w:fldCharType="end"/>
        </w:r>
      </w:hyperlink>
    </w:p>
    <w:p>
      <w:pPr>
        <w:tabs>
          <w:tab w:val="right" w:leader="dot" w:pos="9062"/>
        </w:tabs>
        <w:ind w:left="440"/>
      </w:pPr>
      <w:hyperlink w:anchor="_Toc8101" w:history="1">
        <w:r>
          <w:rPr>
            <w:rFonts w:ascii="IRNazanin" w:hAnsi="IRNazanin" w:eastAsia="IRNazanin" w:cs="IRNazanin"/>
            <w:color w:val="111111"/>
            <w:sz w:val="22"/>
            <w:szCs w:val="22"/>
            <w:b w:val="0"/>
            <w:bCs w:val="0"/>
            <w:i w:val="0"/>
            <w:iCs w:val="0"/>
          </w:rPr>
          <w:t>دیوان ملک‏آرا</w:t>
        </w:r>
        <w:r>
          <w:tab/>
        </w:r>
        <w:r>
          <w:fldChar w:fldCharType="begin"/>
        </w:r>
        <w:r>
          <w:instrText xml:space="preserve">PAGEREF 8101 \h</w:instrText>
        </w:r>
        <w:r>
          <w:fldChar w:fldCharType="end"/>
        </w:r>
      </w:hyperlink>
    </w:p>
    <w:p>
      <w:pPr>
        <w:tabs>
          <w:tab w:val="right" w:leader="dot" w:pos="9062"/>
        </w:tabs>
        <w:ind w:left="440"/>
      </w:pPr>
      <w:hyperlink w:anchor="_Toc8102" w:history="1">
        <w:r>
          <w:rPr>
            <w:rFonts w:ascii="IRNazanin" w:hAnsi="IRNazanin" w:eastAsia="IRNazanin" w:cs="IRNazanin"/>
            <w:color w:val="111111"/>
            <w:sz w:val="22"/>
            <w:szCs w:val="22"/>
            <w:b w:val="0"/>
            <w:bCs w:val="0"/>
            <w:i w:val="0"/>
            <w:iCs w:val="0"/>
          </w:rPr>
          <w:t>دیوان ملک أبو الفتح سیستانی أو شعره‏</w:t>
        </w:r>
        <w:r>
          <w:tab/>
        </w:r>
        <w:r>
          <w:fldChar w:fldCharType="begin"/>
        </w:r>
        <w:r>
          <w:instrText xml:space="preserve">PAGEREF 8102 \h</w:instrText>
        </w:r>
        <w:r>
          <w:fldChar w:fldCharType="end"/>
        </w:r>
      </w:hyperlink>
    </w:p>
    <w:p>
      <w:pPr>
        <w:tabs>
          <w:tab w:val="right" w:leader="dot" w:pos="9062"/>
        </w:tabs>
        <w:ind w:left="440"/>
      </w:pPr>
      <w:hyperlink w:anchor="_Toc8103" w:history="1">
        <w:r>
          <w:rPr>
            <w:rFonts w:ascii="IRNazanin" w:hAnsi="IRNazanin" w:eastAsia="IRNazanin" w:cs="IRNazanin"/>
            <w:color w:val="111111"/>
            <w:sz w:val="22"/>
            <w:szCs w:val="22"/>
            <w:b w:val="0"/>
            <w:bCs w:val="0"/>
            <w:i w:val="0"/>
            <w:iCs w:val="0"/>
          </w:rPr>
          <w:t>دیوان ملک الأدب‏</w:t>
        </w:r>
        <w:r>
          <w:tab/>
        </w:r>
        <w:r>
          <w:fldChar w:fldCharType="begin"/>
        </w:r>
        <w:r>
          <w:instrText xml:space="preserve">PAGEREF 8103 \h</w:instrText>
        </w:r>
        <w:r>
          <w:fldChar w:fldCharType="end"/>
        </w:r>
      </w:hyperlink>
    </w:p>
    <w:p>
      <w:pPr>
        <w:tabs>
          <w:tab w:val="right" w:leader="dot" w:pos="9062"/>
        </w:tabs>
        <w:ind w:left="440"/>
      </w:pPr>
      <w:hyperlink w:anchor="_Toc8104" w:history="1">
        <w:r>
          <w:rPr>
            <w:rFonts w:ascii="IRNazanin" w:hAnsi="IRNazanin" w:eastAsia="IRNazanin" w:cs="IRNazanin"/>
            <w:color w:val="111111"/>
            <w:sz w:val="22"/>
            <w:szCs w:val="22"/>
            <w:b w:val="0"/>
            <w:bCs w:val="0"/>
            <w:i w:val="0"/>
            <w:iCs w:val="0"/>
          </w:rPr>
          <w:t>دیوان ملک أصفهانی‏</w:t>
        </w:r>
        <w:r>
          <w:tab/>
        </w:r>
        <w:r>
          <w:fldChar w:fldCharType="begin"/>
        </w:r>
        <w:r>
          <w:instrText xml:space="preserve">PAGEREF 8104 \h</w:instrText>
        </w:r>
        <w:r>
          <w:fldChar w:fldCharType="end"/>
        </w:r>
      </w:hyperlink>
    </w:p>
    <w:p>
      <w:pPr>
        <w:tabs>
          <w:tab w:val="right" w:leader="dot" w:pos="9062"/>
        </w:tabs>
        <w:ind w:left="440"/>
      </w:pPr>
      <w:hyperlink w:anchor="_Toc8105" w:history="1">
        <w:r>
          <w:rPr>
            <w:rFonts w:ascii="IRNazanin" w:hAnsi="IRNazanin" w:eastAsia="IRNazanin" w:cs="IRNazanin"/>
            <w:color w:val="111111"/>
            <w:sz w:val="22"/>
            <w:szCs w:val="22"/>
            <w:b w:val="0"/>
            <w:bCs w:val="0"/>
            <w:i w:val="0"/>
            <w:iCs w:val="0"/>
          </w:rPr>
          <w:t>7093- دیوان ملک أنجدانی‏</w:t>
        </w:r>
        <w:r>
          <w:tab/>
        </w:r>
        <w:r>
          <w:fldChar w:fldCharType="begin"/>
        </w:r>
        <w:r>
          <w:instrText xml:space="preserve">PAGEREF 8105 \h</w:instrText>
        </w:r>
        <w:r>
          <w:fldChar w:fldCharType="end"/>
        </w:r>
      </w:hyperlink>
    </w:p>
    <w:p>
      <w:pPr>
        <w:tabs>
          <w:tab w:val="right" w:leader="dot" w:pos="9062"/>
        </w:tabs>
        <w:ind w:left="440"/>
      </w:pPr>
      <w:hyperlink w:anchor="_Toc8106" w:history="1">
        <w:r>
          <w:rPr>
            <w:rFonts w:ascii="IRNazanin" w:hAnsi="IRNazanin" w:eastAsia="IRNazanin" w:cs="IRNazanin"/>
            <w:color w:val="111111"/>
            <w:sz w:val="22"/>
            <w:szCs w:val="22"/>
            <w:b w:val="0"/>
            <w:bCs w:val="0"/>
            <w:i w:val="0"/>
            <w:iCs w:val="0"/>
          </w:rPr>
          <w:t>دیوان ملک أوجی‏</w:t>
        </w:r>
        <w:r>
          <w:tab/>
        </w:r>
        <w:r>
          <w:fldChar w:fldCharType="begin"/>
        </w:r>
        <w:r>
          <w:instrText xml:space="preserve">PAGEREF 8106 \h</w:instrText>
        </w:r>
        <w:r>
          <w:fldChar w:fldCharType="end"/>
        </w:r>
      </w:hyperlink>
    </w:p>
    <w:p>
      <w:pPr>
        <w:tabs>
          <w:tab w:val="right" w:leader="dot" w:pos="9062"/>
        </w:tabs>
        <w:ind w:left="440"/>
      </w:pPr>
      <w:hyperlink w:anchor="_Toc8107" w:history="1">
        <w:r>
          <w:rPr>
            <w:rFonts w:ascii="IRNazanin" w:hAnsi="IRNazanin" w:eastAsia="IRNazanin" w:cs="IRNazanin"/>
            <w:color w:val="111111"/>
            <w:sz w:val="22"/>
            <w:szCs w:val="22"/>
            <w:b w:val="0"/>
            <w:bCs w:val="0"/>
            <w:i w:val="0"/>
            <w:iCs w:val="0"/>
          </w:rPr>
          <w:t>7094- دیوان ملک بیک‏</w:t>
        </w:r>
        <w:r>
          <w:tab/>
        </w:r>
        <w:r>
          <w:fldChar w:fldCharType="begin"/>
        </w:r>
        <w:r>
          <w:instrText xml:space="preserve">PAGEREF 8107 \h</w:instrText>
        </w:r>
        <w:r>
          <w:fldChar w:fldCharType="end"/>
        </w:r>
      </w:hyperlink>
    </w:p>
    <w:p>
      <w:pPr>
        <w:tabs>
          <w:tab w:val="right" w:leader="dot" w:pos="9062"/>
        </w:tabs>
        <w:ind w:left="440"/>
      </w:pPr>
      <w:hyperlink w:anchor="_Toc8108" w:history="1">
        <w:r>
          <w:rPr>
            <w:rFonts w:ascii="IRNazanin" w:hAnsi="IRNazanin" w:eastAsia="IRNazanin" w:cs="IRNazanin"/>
            <w:color w:val="111111"/>
            <w:sz w:val="22"/>
            <w:szCs w:val="22"/>
            <w:b w:val="0"/>
            <w:bCs w:val="0"/>
            <w:i w:val="0"/>
            <w:iCs w:val="0"/>
          </w:rPr>
          <w:t>7095- دیوان ملک باخرزی‏</w:t>
        </w:r>
        <w:r>
          <w:tab/>
        </w:r>
        <w:r>
          <w:fldChar w:fldCharType="begin"/>
        </w:r>
        <w:r>
          <w:instrText xml:space="preserve">PAGEREF 8108 \h</w:instrText>
        </w:r>
        <w:r>
          <w:fldChar w:fldCharType="end"/>
        </w:r>
      </w:hyperlink>
    </w:p>
    <w:p>
      <w:pPr>
        <w:tabs>
          <w:tab w:val="right" w:leader="dot" w:pos="9062"/>
        </w:tabs>
        <w:ind w:left="440"/>
      </w:pPr>
      <w:hyperlink w:anchor="_Toc8109" w:history="1">
        <w:r>
          <w:rPr>
            <w:rFonts w:ascii="IRNazanin" w:hAnsi="IRNazanin" w:eastAsia="IRNazanin" w:cs="IRNazanin"/>
            <w:color w:val="111111"/>
            <w:sz w:val="22"/>
            <w:szCs w:val="22"/>
            <w:b w:val="0"/>
            <w:bCs w:val="0"/>
            <w:i w:val="0"/>
            <w:iCs w:val="0"/>
          </w:rPr>
          <w:t>دیوان ملک حمزة سیستانی‏</w:t>
        </w:r>
        <w:r>
          <w:tab/>
        </w:r>
        <w:r>
          <w:fldChar w:fldCharType="begin"/>
        </w:r>
        <w:r>
          <w:instrText xml:space="preserve">PAGEREF 8109 \h</w:instrText>
        </w:r>
        <w:r>
          <w:fldChar w:fldCharType="end"/>
        </w:r>
      </w:hyperlink>
    </w:p>
    <w:p>
      <w:pPr>
        <w:tabs>
          <w:tab w:val="right" w:leader="dot" w:pos="9062"/>
        </w:tabs>
        <w:ind w:left="440"/>
      </w:pPr>
      <w:hyperlink w:anchor="_Toc8110" w:history="1">
        <w:r>
          <w:rPr>
            <w:rFonts w:ascii="IRNazanin" w:hAnsi="IRNazanin" w:eastAsia="IRNazanin" w:cs="IRNazanin"/>
            <w:color w:val="111111"/>
            <w:sz w:val="22"/>
            <w:szCs w:val="22"/>
            <w:b w:val="0"/>
            <w:bCs w:val="0"/>
            <w:i w:val="0"/>
            <w:iCs w:val="0"/>
          </w:rPr>
          <w:t>7096- دیوان ملک الحکماء</w:t>
        </w:r>
        <w:r>
          <w:tab/>
        </w:r>
        <w:r>
          <w:fldChar w:fldCharType="begin"/>
        </w:r>
        <w:r>
          <w:instrText xml:space="preserve">PAGEREF 8110 \h</w:instrText>
        </w:r>
        <w:r>
          <w:fldChar w:fldCharType="end"/>
        </w:r>
      </w:hyperlink>
    </w:p>
    <w:p>
      <w:pPr>
        <w:tabs>
          <w:tab w:val="right" w:leader="dot" w:pos="9062"/>
        </w:tabs>
        <w:ind w:left="440"/>
      </w:pPr>
      <w:hyperlink w:anchor="_Toc8111" w:history="1">
        <w:r>
          <w:rPr>
            <w:rFonts w:ascii="IRNazanin" w:hAnsi="IRNazanin" w:eastAsia="IRNazanin" w:cs="IRNazanin"/>
            <w:color w:val="111111"/>
            <w:sz w:val="22"/>
            <w:szCs w:val="22"/>
            <w:b w:val="0"/>
            <w:bCs w:val="0"/>
            <w:i w:val="0"/>
            <w:iCs w:val="0"/>
          </w:rPr>
          <w:t>7097- دیوان ملک خانی خلخالی‏</w:t>
        </w:r>
        <w:r>
          <w:tab/>
        </w:r>
        <w:r>
          <w:fldChar w:fldCharType="begin"/>
        </w:r>
        <w:r>
          <w:instrText xml:space="preserve">PAGEREF 8111 \h</w:instrText>
        </w:r>
        <w:r>
          <w:fldChar w:fldCharType="end"/>
        </w:r>
      </w:hyperlink>
    </w:p>
    <w:p>
      <w:pPr>
        <w:tabs>
          <w:tab w:val="right" w:leader="dot" w:pos="9062"/>
        </w:tabs>
        <w:ind w:left="440"/>
      </w:pPr>
      <w:hyperlink w:anchor="_Toc8112" w:history="1">
        <w:r>
          <w:rPr>
            <w:rFonts w:ascii="IRNazanin" w:hAnsi="IRNazanin" w:eastAsia="IRNazanin" w:cs="IRNazanin"/>
            <w:color w:val="111111"/>
            <w:sz w:val="22"/>
            <w:szCs w:val="22"/>
            <w:b w:val="0"/>
            <w:bCs w:val="0"/>
            <w:i w:val="0"/>
            <w:iCs w:val="0"/>
          </w:rPr>
          <w:t>دیوان ملک خوافی‏</w:t>
        </w:r>
        <w:r>
          <w:tab/>
        </w:r>
        <w:r>
          <w:fldChar w:fldCharType="begin"/>
        </w:r>
        <w:r>
          <w:instrText xml:space="preserve">PAGEREF 8112 \h</w:instrText>
        </w:r>
        <w:r>
          <w:fldChar w:fldCharType="end"/>
        </w:r>
      </w:hyperlink>
    </w:p>
    <w:p>
      <w:pPr>
        <w:tabs>
          <w:tab w:val="right" w:leader="dot" w:pos="9062"/>
        </w:tabs>
        <w:ind w:left="440"/>
      </w:pPr>
      <w:hyperlink w:anchor="_Toc8113" w:history="1">
        <w:r>
          <w:rPr>
            <w:rFonts w:ascii="IRNazanin" w:hAnsi="IRNazanin" w:eastAsia="IRNazanin" w:cs="IRNazanin"/>
            <w:color w:val="111111"/>
            <w:sz w:val="22"/>
            <w:szCs w:val="22"/>
            <w:b w:val="0"/>
            <w:bCs w:val="0"/>
            <w:i w:val="0"/>
            <w:iCs w:val="0"/>
          </w:rPr>
          <w:t>دیوان ملک ساقی بیک‏</w:t>
        </w:r>
        <w:r>
          <w:tab/>
        </w:r>
        <w:r>
          <w:fldChar w:fldCharType="begin"/>
        </w:r>
        <w:r>
          <w:instrText xml:space="preserve">PAGEREF 8113 \h</w:instrText>
        </w:r>
        <w:r>
          <w:fldChar w:fldCharType="end"/>
        </w:r>
      </w:hyperlink>
    </w:p>
    <w:p>
      <w:pPr>
        <w:tabs>
          <w:tab w:val="right" w:leader="dot" w:pos="9062"/>
        </w:tabs>
        <w:ind w:left="440"/>
      </w:pPr>
      <w:hyperlink w:anchor="_Toc8114" w:history="1">
        <w:r>
          <w:rPr>
            <w:rFonts w:ascii="IRNazanin" w:hAnsi="IRNazanin" w:eastAsia="IRNazanin" w:cs="IRNazanin"/>
            <w:color w:val="111111"/>
            <w:sz w:val="22"/>
            <w:szCs w:val="22"/>
            <w:b w:val="0"/>
            <w:bCs w:val="0"/>
            <w:i w:val="0"/>
            <w:iCs w:val="0"/>
          </w:rPr>
          <w:t>دیوان ملک الرافضة</w:t>
        </w:r>
        <w:r>
          <w:tab/>
        </w:r>
        <w:r>
          <w:fldChar w:fldCharType="begin"/>
        </w:r>
        <w:r>
          <w:instrText xml:space="preserve">PAGEREF 8114 \h</w:instrText>
        </w:r>
        <w:r>
          <w:fldChar w:fldCharType="end"/>
        </w:r>
      </w:hyperlink>
    </w:p>
    <w:p>
      <w:pPr>
        <w:tabs>
          <w:tab w:val="right" w:leader="dot" w:pos="9062"/>
        </w:tabs>
        <w:ind w:left="440"/>
      </w:pPr>
      <w:hyperlink w:anchor="_Toc8115" w:history="1">
        <w:r>
          <w:rPr>
            <w:rFonts w:ascii="IRNazanin" w:hAnsi="IRNazanin" w:eastAsia="IRNazanin" w:cs="IRNazanin"/>
            <w:color w:val="111111"/>
            <w:sz w:val="22"/>
            <w:szCs w:val="22"/>
            <w:b w:val="0"/>
            <w:bCs w:val="0"/>
            <w:i w:val="0"/>
            <w:iCs w:val="0"/>
          </w:rPr>
          <w:t>دیوان ملک سیستانی‏</w:t>
        </w:r>
        <w:r>
          <w:tab/>
        </w:r>
        <w:r>
          <w:fldChar w:fldCharType="begin"/>
        </w:r>
        <w:r>
          <w:instrText xml:space="preserve">PAGEREF 8115 \h</w:instrText>
        </w:r>
        <w:r>
          <w:fldChar w:fldCharType="end"/>
        </w:r>
      </w:hyperlink>
    </w:p>
    <w:p>
      <w:pPr>
        <w:tabs>
          <w:tab w:val="right" w:leader="dot" w:pos="9062"/>
        </w:tabs>
        <w:ind w:left="440"/>
      </w:pPr>
      <w:hyperlink w:anchor="_Toc8116" w:history="1">
        <w:r>
          <w:rPr>
            <w:rFonts w:ascii="IRNazanin" w:hAnsi="IRNazanin" w:eastAsia="IRNazanin" w:cs="IRNazanin"/>
            <w:color w:val="111111"/>
            <w:sz w:val="22"/>
            <w:szCs w:val="22"/>
            <w:b w:val="0"/>
            <w:bCs w:val="0"/>
            <w:i w:val="0"/>
            <w:iCs w:val="0"/>
          </w:rPr>
          <w:t>دیوان ملک الشعراء</w:t>
        </w:r>
        <w:r>
          <w:tab/>
        </w:r>
        <w:r>
          <w:fldChar w:fldCharType="begin"/>
        </w:r>
        <w:r>
          <w:instrText xml:space="preserve">PAGEREF 8116 \h</w:instrText>
        </w:r>
        <w:r>
          <w:fldChar w:fldCharType="end"/>
        </w:r>
      </w:hyperlink>
    </w:p>
    <w:p>
      <w:pPr>
        <w:tabs>
          <w:tab w:val="right" w:leader="dot" w:pos="9062"/>
        </w:tabs>
        <w:ind w:left="440"/>
      </w:pPr>
      <w:hyperlink w:anchor="_Toc8117" w:history="1">
        <w:r>
          <w:rPr>
            <w:rFonts w:ascii="IRNazanin" w:hAnsi="IRNazanin" w:eastAsia="IRNazanin" w:cs="IRNazanin"/>
            <w:color w:val="111111"/>
            <w:sz w:val="22"/>
            <w:szCs w:val="22"/>
            <w:b w:val="0"/>
            <w:bCs w:val="0"/>
            <w:i w:val="0"/>
            <w:iCs w:val="0"/>
          </w:rPr>
          <w:t>دیوان ملک صحاف‏</w:t>
        </w:r>
        <w:r>
          <w:tab/>
        </w:r>
        <w:r>
          <w:fldChar w:fldCharType="begin"/>
        </w:r>
        <w:r>
          <w:instrText xml:space="preserve">PAGEREF 8117 \h</w:instrText>
        </w:r>
        <w:r>
          <w:fldChar w:fldCharType="end"/>
        </w:r>
      </w:hyperlink>
    </w:p>
    <w:p>
      <w:pPr>
        <w:tabs>
          <w:tab w:val="right" w:leader="dot" w:pos="9062"/>
        </w:tabs>
        <w:ind w:left="440"/>
      </w:pPr>
      <w:hyperlink w:anchor="_Toc8118" w:history="1">
        <w:r>
          <w:rPr>
            <w:rFonts w:ascii="IRNazanin" w:hAnsi="IRNazanin" w:eastAsia="IRNazanin" w:cs="IRNazanin"/>
            <w:color w:val="111111"/>
            <w:sz w:val="22"/>
            <w:szCs w:val="22"/>
            <w:b w:val="0"/>
            <w:bCs w:val="0"/>
            <w:i w:val="0"/>
            <w:iCs w:val="0"/>
          </w:rPr>
          <w:t>دیوان ملک طیفور</w:t>
        </w:r>
        <w:r>
          <w:tab/>
        </w:r>
        <w:r>
          <w:fldChar w:fldCharType="begin"/>
        </w:r>
        <w:r>
          <w:instrText xml:space="preserve">PAGEREF 8118 \h</w:instrText>
        </w:r>
        <w:r>
          <w:fldChar w:fldCharType="end"/>
        </w:r>
      </w:hyperlink>
    </w:p>
    <w:p>
      <w:pPr>
        <w:tabs>
          <w:tab w:val="right" w:leader="dot" w:pos="9062"/>
        </w:tabs>
        <w:ind w:left="440"/>
      </w:pPr>
      <w:hyperlink w:anchor="_Toc8119" w:history="1">
        <w:r>
          <w:rPr>
            <w:rFonts w:ascii="IRNazanin" w:hAnsi="IRNazanin" w:eastAsia="IRNazanin" w:cs="IRNazanin"/>
            <w:color w:val="111111"/>
            <w:sz w:val="22"/>
            <w:szCs w:val="22"/>
            <w:b w:val="0"/>
            <w:bCs w:val="0"/>
            <w:i w:val="0"/>
            <w:iCs w:val="0"/>
          </w:rPr>
          <w:t>7098- دیوان ملک القمی‏</w:t>
        </w:r>
        <w:r>
          <w:tab/>
        </w:r>
        <w:r>
          <w:fldChar w:fldCharType="begin"/>
        </w:r>
        <w:r>
          <w:instrText xml:space="preserve">PAGEREF 8119 \h</w:instrText>
        </w:r>
        <w:r>
          <w:fldChar w:fldCharType="end"/>
        </w:r>
      </w:hyperlink>
    </w:p>
    <w:p>
      <w:pPr>
        <w:tabs>
          <w:tab w:val="right" w:leader="dot" w:pos="9062"/>
        </w:tabs>
        <w:ind w:left="440"/>
      </w:pPr>
      <w:hyperlink w:anchor="_Toc8120" w:history="1">
        <w:r>
          <w:rPr>
            <w:rFonts w:ascii="IRNazanin" w:hAnsi="IRNazanin" w:eastAsia="IRNazanin" w:cs="IRNazanin"/>
            <w:color w:val="111111"/>
            <w:sz w:val="22"/>
            <w:szCs w:val="22"/>
            <w:b w:val="0"/>
            <w:bCs w:val="0"/>
            <w:i w:val="0"/>
            <w:iCs w:val="0"/>
          </w:rPr>
          <w:t>دیوان ملک کوته پای‏</w:t>
        </w:r>
        <w:r>
          <w:tab/>
        </w:r>
        <w:r>
          <w:fldChar w:fldCharType="begin"/>
        </w:r>
        <w:r>
          <w:instrText xml:space="preserve">PAGEREF 8120 \h</w:instrText>
        </w:r>
        <w:r>
          <w:fldChar w:fldCharType="end"/>
        </w:r>
      </w:hyperlink>
    </w:p>
    <w:p>
      <w:pPr>
        <w:tabs>
          <w:tab w:val="right" w:leader="dot" w:pos="9062"/>
        </w:tabs>
        <w:ind w:left="440"/>
      </w:pPr>
      <w:hyperlink w:anchor="_Toc8121" w:history="1">
        <w:r>
          <w:rPr>
            <w:rFonts w:ascii="IRNazanin" w:hAnsi="IRNazanin" w:eastAsia="IRNazanin" w:cs="IRNazanin"/>
            <w:color w:val="111111"/>
            <w:sz w:val="22"/>
            <w:szCs w:val="22"/>
            <w:b w:val="0"/>
            <w:bCs w:val="0"/>
            <w:i w:val="0"/>
            <w:iCs w:val="0"/>
          </w:rPr>
          <w:t>7099- دیوان ملک گرگانی‏</w:t>
        </w:r>
        <w:r>
          <w:tab/>
        </w:r>
        <w:r>
          <w:fldChar w:fldCharType="begin"/>
        </w:r>
        <w:r>
          <w:instrText xml:space="preserve">PAGEREF 8121 \h</w:instrText>
        </w:r>
        <w:r>
          <w:fldChar w:fldCharType="end"/>
        </w:r>
      </w:hyperlink>
    </w:p>
    <w:p>
      <w:pPr>
        <w:tabs>
          <w:tab w:val="right" w:leader="dot" w:pos="9062"/>
        </w:tabs>
        <w:ind w:left="440"/>
      </w:pPr>
      <w:hyperlink w:anchor="_Toc8122" w:history="1">
        <w:r>
          <w:rPr>
            <w:rFonts w:ascii="IRNazanin" w:hAnsi="IRNazanin" w:eastAsia="IRNazanin" w:cs="IRNazanin"/>
            <w:color w:val="111111"/>
            <w:sz w:val="22"/>
            <w:szCs w:val="22"/>
            <w:b w:val="0"/>
            <w:bCs w:val="0"/>
            <w:i w:val="0"/>
            <w:iCs w:val="0"/>
          </w:rPr>
          <w:t>دیوان ملک مشهدی‏</w:t>
        </w:r>
        <w:r>
          <w:tab/>
        </w:r>
        <w:r>
          <w:fldChar w:fldCharType="begin"/>
        </w:r>
        <w:r>
          <w:instrText xml:space="preserve">PAGEREF 8122 \h</w:instrText>
        </w:r>
        <w:r>
          <w:fldChar w:fldCharType="end"/>
        </w:r>
      </w:hyperlink>
    </w:p>
    <w:p>
      <w:pPr>
        <w:tabs>
          <w:tab w:val="right" w:leader="dot" w:pos="9062"/>
        </w:tabs>
        <w:ind w:left="440"/>
      </w:pPr>
      <w:hyperlink w:anchor="_Toc8123" w:history="1">
        <w:r>
          <w:rPr>
            <w:rFonts w:ascii="IRNazanin" w:hAnsi="IRNazanin" w:eastAsia="IRNazanin" w:cs="IRNazanin"/>
            <w:color w:val="111111"/>
            <w:sz w:val="22"/>
            <w:szCs w:val="22"/>
            <w:b w:val="0"/>
            <w:bCs w:val="0"/>
            <w:i w:val="0"/>
            <w:iCs w:val="0"/>
          </w:rPr>
          <w:t>7100- دیوان ملک معرف أصفهانی‏</w:t>
        </w:r>
        <w:r>
          <w:tab/>
        </w:r>
        <w:r>
          <w:fldChar w:fldCharType="begin"/>
        </w:r>
        <w:r>
          <w:instrText xml:space="preserve">PAGEREF 8123 \h</w:instrText>
        </w:r>
        <w:r>
          <w:fldChar w:fldCharType="end"/>
        </w:r>
      </w:hyperlink>
    </w:p>
    <w:p>
      <w:pPr>
        <w:tabs>
          <w:tab w:val="right" w:leader="dot" w:pos="9062"/>
        </w:tabs>
        <w:ind w:left="440"/>
      </w:pPr>
      <w:hyperlink w:anchor="_Toc8124" w:history="1">
        <w:r>
          <w:rPr>
            <w:rFonts w:ascii="IRNazanin" w:hAnsi="IRNazanin" w:eastAsia="IRNazanin" w:cs="IRNazanin"/>
            <w:color w:val="111111"/>
            <w:sz w:val="22"/>
            <w:szCs w:val="22"/>
            <w:b w:val="0"/>
            <w:bCs w:val="0"/>
            <w:i w:val="0"/>
            <w:iCs w:val="0"/>
          </w:rPr>
          <w:t>7101- دیوان ملکی سرکانی أو شعره‏</w:t>
        </w:r>
        <w:r>
          <w:tab/>
        </w:r>
        <w:r>
          <w:fldChar w:fldCharType="begin"/>
        </w:r>
        <w:r>
          <w:instrText xml:space="preserve">PAGEREF 8124 \h</w:instrText>
        </w:r>
        <w:r>
          <w:fldChar w:fldCharType="end"/>
        </w:r>
      </w:hyperlink>
    </w:p>
    <w:p>
      <w:pPr>
        <w:tabs>
          <w:tab w:val="right" w:leader="dot" w:pos="9062"/>
        </w:tabs>
        <w:ind w:left="440"/>
      </w:pPr>
      <w:hyperlink w:anchor="_Toc8125" w:history="1">
        <w:r>
          <w:rPr>
            <w:rFonts w:ascii="IRNazanin" w:hAnsi="IRNazanin" w:eastAsia="IRNazanin" w:cs="IRNazanin"/>
            <w:color w:val="111111"/>
            <w:sz w:val="22"/>
            <w:szCs w:val="22"/>
            <w:b w:val="0"/>
            <w:bCs w:val="0"/>
            <w:i w:val="0"/>
            <w:iCs w:val="0"/>
          </w:rPr>
          <w:t>7102- دیوان ملکی قزوینی‏</w:t>
        </w:r>
        <w:r>
          <w:tab/>
        </w:r>
        <w:r>
          <w:fldChar w:fldCharType="begin"/>
        </w:r>
        <w:r>
          <w:instrText xml:space="preserve">PAGEREF 8125 \h</w:instrText>
        </w:r>
        <w:r>
          <w:fldChar w:fldCharType="end"/>
        </w:r>
      </w:hyperlink>
    </w:p>
    <w:p>
      <w:pPr>
        <w:tabs>
          <w:tab w:val="right" w:leader="dot" w:pos="9062"/>
        </w:tabs>
        <w:ind w:left="440"/>
      </w:pPr>
      <w:hyperlink w:anchor="_Toc8126" w:history="1">
        <w:r>
          <w:rPr>
            <w:rFonts w:ascii="IRNazanin" w:hAnsi="IRNazanin" w:eastAsia="IRNazanin" w:cs="IRNazanin"/>
            <w:color w:val="111111"/>
            <w:sz w:val="22"/>
            <w:szCs w:val="22"/>
            <w:b w:val="0"/>
            <w:bCs w:val="0"/>
            <w:i w:val="0"/>
            <w:iCs w:val="0"/>
          </w:rPr>
          <w:t>7103- دیوان ملول تویسرکانی‏</w:t>
        </w:r>
        <w:r>
          <w:tab/>
        </w:r>
        <w:r>
          <w:fldChar w:fldCharType="begin"/>
        </w:r>
        <w:r>
          <w:instrText xml:space="preserve">PAGEREF 8126 \h</w:instrText>
        </w:r>
        <w:r>
          <w:fldChar w:fldCharType="end"/>
        </w:r>
      </w:hyperlink>
    </w:p>
    <w:p>
      <w:pPr>
        <w:tabs>
          <w:tab w:val="right" w:leader="dot" w:pos="9062"/>
        </w:tabs>
        <w:ind w:left="440"/>
      </w:pPr>
      <w:hyperlink w:anchor="_Toc8127" w:history="1">
        <w:r>
          <w:rPr>
            <w:rFonts w:ascii="IRNazanin" w:hAnsi="IRNazanin" w:eastAsia="IRNazanin" w:cs="IRNazanin"/>
            <w:color w:val="111111"/>
            <w:sz w:val="22"/>
            <w:szCs w:val="22"/>
            <w:b w:val="0"/>
            <w:bCs w:val="0"/>
            <w:i w:val="0"/>
            <w:iCs w:val="0"/>
          </w:rPr>
          <w:t>7104- دیوان ملول شیرازی‏</w:t>
        </w:r>
        <w:r>
          <w:tab/>
        </w:r>
        <w:r>
          <w:fldChar w:fldCharType="begin"/>
        </w:r>
        <w:r>
          <w:instrText xml:space="preserve">PAGEREF 8127 \h</w:instrText>
        </w:r>
        <w:r>
          <w:fldChar w:fldCharType="end"/>
        </w:r>
      </w:hyperlink>
    </w:p>
    <w:p>
      <w:pPr>
        <w:tabs>
          <w:tab w:val="right" w:leader="dot" w:pos="9062"/>
        </w:tabs>
        <w:ind w:left="440"/>
      </w:pPr>
      <w:hyperlink w:anchor="_Toc8128" w:history="1">
        <w:r>
          <w:rPr>
            <w:rFonts w:ascii="IRNazanin" w:hAnsi="IRNazanin" w:eastAsia="IRNazanin" w:cs="IRNazanin"/>
            <w:color w:val="111111"/>
            <w:sz w:val="22"/>
            <w:szCs w:val="22"/>
            <w:b w:val="0"/>
            <w:bCs w:val="0"/>
            <w:i w:val="0"/>
            <w:iCs w:val="0"/>
          </w:rPr>
          <w:t>7105- دیوان ملول لکهنوی أو شعره‏</w:t>
        </w:r>
        <w:r>
          <w:tab/>
        </w:r>
        <w:r>
          <w:fldChar w:fldCharType="begin"/>
        </w:r>
        <w:r>
          <w:instrText xml:space="preserve">PAGEREF 8128 \h</w:instrText>
        </w:r>
        <w:r>
          <w:fldChar w:fldCharType="end"/>
        </w:r>
      </w:hyperlink>
    </w:p>
    <w:p>
      <w:pPr>
        <w:tabs>
          <w:tab w:val="right" w:leader="dot" w:pos="9062"/>
        </w:tabs>
        <w:ind w:left="440"/>
      </w:pPr>
      <w:hyperlink w:anchor="_Toc8129" w:history="1">
        <w:r>
          <w:rPr>
            <w:rFonts w:ascii="IRNazanin" w:hAnsi="IRNazanin" w:eastAsia="IRNazanin" w:cs="IRNazanin"/>
            <w:color w:val="111111"/>
            <w:sz w:val="22"/>
            <w:szCs w:val="22"/>
            <w:b w:val="0"/>
            <w:bCs w:val="0"/>
            <w:i w:val="0"/>
            <w:iCs w:val="0"/>
          </w:rPr>
          <w:t>دیوان ملولی آذربایجانی‏</w:t>
        </w:r>
        <w:r>
          <w:tab/>
        </w:r>
        <w:r>
          <w:fldChar w:fldCharType="begin"/>
        </w:r>
        <w:r>
          <w:instrText xml:space="preserve">PAGEREF 8129 \h</w:instrText>
        </w:r>
        <w:r>
          <w:fldChar w:fldCharType="end"/>
        </w:r>
      </w:hyperlink>
    </w:p>
    <w:p>
      <w:pPr>
        <w:tabs>
          <w:tab w:val="right" w:leader="dot" w:pos="9062"/>
        </w:tabs>
        <w:ind w:left="440"/>
      </w:pPr>
      <w:hyperlink w:anchor="_Toc8130" w:history="1">
        <w:r>
          <w:rPr>
            <w:rFonts w:ascii="IRNazanin" w:hAnsi="IRNazanin" w:eastAsia="IRNazanin" w:cs="IRNazanin"/>
            <w:color w:val="111111"/>
            <w:sz w:val="22"/>
            <w:szCs w:val="22"/>
            <w:b w:val="0"/>
            <w:bCs w:val="0"/>
            <w:i w:val="0"/>
            <w:iCs w:val="0"/>
          </w:rPr>
          <w:t>7106- دیوان ملولی أصفهانی أو شعره‏</w:t>
        </w:r>
        <w:r>
          <w:tab/>
        </w:r>
        <w:r>
          <w:fldChar w:fldCharType="begin"/>
        </w:r>
        <w:r>
          <w:instrText xml:space="preserve">PAGEREF 8130 \h</w:instrText>
        </w:r>
        <w:r>
          <w:fldChar w:fldCharType="end"/>
        </w:r>
      </w:hyperlink>
    </w:p>
    <w:p>
      <w:pPr>
        <w:tabs>
          <w:tab w:val="right" w:leader="dot" w:pos="9062"/>
        </w:tabs>
        <w:ind w:left="440"/>
      </w:pPr>
      <w:hyperlink w:anchor="_Toc8131" w:history="1">
        <w:r>
          <w:rPr>
            <w:rFonts w:ascii="IRNazanin" w:hAnsi="IRNazanin" w:eastAsia="IRNazanin" w:cs="IRNazanin"/>
            <w:color w:val="111111"/>
            <w:sz w:val="22"/>
            <w:szCs w:val="22"/>
            <w:b w:val="0"/>
            <w:bCs w:val="0"/>
            <w:i w:val="0"/>
            <w:iCs w:val="0"/>
          </w:rPr>
          <w:t>7107- دیوان ملولی خطاط أو شعره‏</w:t>
        </w:r>
        <w:r>
          <w:tab/>
        </w:r>
        <w:r>
          <w:fldChar w:fldCharType="begin"/>
        </w:r>
        <w:r>
          <w:instrText xml:space="preserve">PAGEREF 8131 \h</w:instrText>
        </w:r>
        <w:r>
          <w:fldChar w:fldCharType="end"/>
        </w:r>
      </w:hyperlink>
    </w:p>
    <w:p>
      <w:pPr>
        <w:tabs>
          <w:tab w:val="right" w:leader="dot" w:pos="9062"/>
        </w:tabs>
        <w:ind w:left="440"/>
      </w:pPr>
      <w:hyperlink w:anchor="_Toc8132" w:history="1">
        <w:r>
          <w:rPr>
            <w:rFonts w:ascii="IRNazanin" w:hAnsi="IRNazanin" w:eastAsia="IRNazanin" w:cs="IRNazanin"/>
            <w:color w:val="111111"/>
            <w:sz w:val="22"/>
            <w:szCs w:val="22"/>
            <w:b w:val="0"/>
            <w:bCs w:val="0"/>
            <w:i w:val="0"/>
            <w:iCs w:val="0"/>
          </w:rPr>
          <w:t>دیوان ملولی شیرازی‏</w:t>
        </w:r>
        <w:r>
          <w:tab/>
        </w:r>
        <w:r>
          <w:fldChar w:fldCharType="begin"/>
        </w:r>
        <w:r>
          <w:instrText xml:space="preserve">PAGEREF 8132 \h</w:instrText>
        </w:r>
        <w:r>
          <w:fldChar w:fldCharType="end"/>
        </w:r>
      </w:hyperlink>
    </w:p>
    <w:p>
      <w:pPr>
        <w:tabs>
          <w:tab w:val="right" w:leader="dot" w:pos="9062"/>
        </w:tabs>
        <w:ind w:left="440"/>
      </w:pPr>
      <w:hyperlink w:anchor="_Toc8133" w:history="1">
        <w:r>
          <w:rPr>
            <w:rFonts w:ascii="IRNazanin" w:hAnsi="IRNazanin" w:eastAsia="IRNazanin" w:cs="IRNazanin"/>
            <w:color w:val="111111"/>
            <w:sz w:val="22"/>
            <w:szCs w:val="22"/>
            <w:b w:val="0"/>
            <w:bCs w:val="0"/>
            <w:i w:val="0"/>
            <w:iCs w:val="0"/>
          </w:rPr>
          <w:t>7108- دیوان ملهم شوشتری‏</w:t>
        </w:r>
        <w:r>
          <w:tab/>
        </w:r>
        <w:r>
          <w:fldChar w:fldCharType="begin"/>
        </w:r>
        <w:r>
          <w:instrText xml:space="preserve">PAGEREF 8133 \h</w:instrText>
        </w:r>
        <w:r>
          <w:fldChar w:fldCharType="end"/>
        </w:r>
      </w:hyperlink>
    </w:p>
    <w:p>
      <w:pPr>
        <w:tabs>
          <w:tab w:val="right" w:leader="dot" w:pos="9062"/>
        </w:tabs>
        <w:ind w:left="440"/>
      </w:pPr>
      <w:hyperlink w:anchor="_Toc8134" w:history="1">
        <w:r>
          <w:rPr>
            <w:rFonts w:ascii="IRNazanin" w:hAnsi="IRNazanin" w:eastAsia="IRNazanin" w:cs="IRNazanin"/>
            <w:color w:val="111111"/>
            <w:sz w:val="22"/>
            <w:szCs w:val="22"/>
            <w:b w:val="0"/>
            <w:bCs w:val="0"/>
            <w:i w:val="0"/>
            <w:iCs w:val="0"/>
          </w:rPr>
          <w:t>7109- دیوان ملهمی تبریزی‏</w:t>
        </w:r>
        <w:r>
          <w:tab/>
        </w:r>
        <w:r>
          <w:fldChar w:fldCharType="begin"/>
        </w:r>
        <w:r>
          <w:instrText xml:space="preserve">PAGEREF 8134 \h</w:instrText>
        </w:r>
        <w:r>
          <w:fldChar w:fldCharType="end"/>
        </w:r>
      </w:hyperlink>
    </w:p>
    <w:p>
      <w:pPr>
        <w:tabs>
          <w:tab w:val="right" w:leader="dot" w:pos="9062"/>
        </w:tabs>
        <w:ind w:left="440"/>
      </w:pPr>
      <w:hyperlink w:anchor="_Toc8135" w:history="1">
        <w:r>
          <w:rPr>
            <w:rFonts w:ascii="IRNazanin" w:hAnsi="IRNazanin" w:eastAsia="IRNazanin" w:cs="IRNazanin"/>
            <w:color w:val="111111"/>
            <w:sz w:val="22"/>
            <w:szCs w:val="22"/>
            <w:b w:val="0"/>
            <w:bCs w:val="0"/>
            <w:i w:val="0"/>
            <w:iCs w:val="0"/>
          </w:rPr>
          <w:t>7110- دیوان ملهمی شیرازی أو شعره‏</w:t>
        </w:r>
        <w:r>
          <w:tab/>
        </w:r>
        <w:r>
          <w:fldChar w:fldCharType="begin"/>
        </w:r>
        <w:r>
          <w:instrText xml:space="preserve">PAGEREF 8135 \h</w:instrText>
        </w:r>
        <w:r>
          <w:fldChar w:fldCharType="end"/>
        </w:r>
      </w:hyperlink>
    </w:p>
    <w:p>
      <w:pPr>
        <w:tabs>
          <w:tab w:val="right" w:leader="dot" w:pos="9062"/>
        </w:tabs>
        <w:ind w:left="440"/>
      </w:pPr>
      <w:hyperlink w:anchor="_Toc8136" w:history="1">
        <w:r>
          <w:rPr>
            <w:rFonts w:ascii="IRNazanin" w:hAnsi="IRNazanin" w:eastAsia="IRNazanin" w:cs="IRNazanin"/>
            <w:color w:val="111111"/>
            <w:sz w:val="22"/>
            <w:szCs w:val="22"/>
            <w:b w:val="0"/>
            <w:bCs w:val="0"/>
            <w:i w:val="0"/>
            <w:iCs w:val="0"/>
          </w:rPr>
          <w:t>7111- دیوان ملهمی کوکنی أو شعره‏</w:t>
        </w:r>
        <w:r>
          <w:tab/>
        </w:r>
        <w:r>
          <w:fldChar w:fldCharType="begin"/>
        </w:r>
        <w:r>
          <w:instrText xml:space="preserve">PAGEREF 8136 \h</w:instrText>
        </w:r>
        <w:r>
          <w:fldChar w:fldCharType="end"/>
        </w:r>
      </w:hyperlink>
    </w:p>
    <w:p>
      <w:pPr>
        <w:tabs>
          <w:tab w:val="right" w:leader="dot" w:pos="9062"/>
        </w:tabs>
        <w:ind w:left="440"/>
      </w:pPr>
      <w:hyperlink w:anchor="_Toc8137" w:history="1">
        <w:r>
          <w:rPr>
            <w:rFonts w:ascii="IRNazanin" w:hAnsi="IRNazanin" w:eastAsia="IRNazanin" w:cs="IRNazanin"/>
            <w:color w:val="111111"/>
            <w:sz w:val="22"/>
            <w:szCs w:val="22"/>
            <w:b w:val="0"/>
            <w:bCs w:val="0"/>
            <w:i w:val="0"/>
            <w:iCs w:val="0"/>
          </w:rPr>
          <w:t>7112- دیوان ملیح سمرقندی أو شعره‏</w:t>
        </w:r>
        <w:r>
          <w:tab/>
        </w:r>
        <w:r>
          <w:fldChar w:fldCharType="begin"/>
        </w:r>
        <w:r>
          <w:instrText xml:space="preserve">PAGEREF 8137 \h</w:instrText>
        </w:r>
        <w:r>
          <w:fldChar w:fldCharType="end"/>
        </w:r>
      </w:hyperlink>
    </w:p>
    <w:p>
      <w:pPr>
        <w:tabs>
          <w:tab w:val="right" w:leader="dot" w:pos="9062"/>
        </w:tabs>
        <w:ind w:left="440"/>
      </w:pPr>
      <w:hyperlink w:anchor="_Toc8138" w:history="1">
        <w:r>
          <w:rPr>
            <w:rFonts w:ascii="IRNazanin" w:hAnsi="IRNazanin" w:eastAsia="IRNazanin" w:cs="IRNazanin"/>
            <w:color w:val="111111"/>
            <w:sz w:val="22"/>
            <w:szCs w:val="22"/>
            <w:b w:val="0"/>
            <w:bCs w:val="0"/>
            <w:i w:val="0"/>
            <w:iCs w:val="0"/>
          </w:rPr>
          <w:t>7113- دیوان ملیحی بافقی أو شعره‏</w:t>
        </w:r>
        <w:r>
          <w:tab/>
        </w:r>
        <w:r>
          <w:fldChar w:fldCharType="begin"/>
        </w:r>
        <w:r>
          <w:instrText xml:space="preserve">PAGEREF 8138 \h</w:instrText>
        </w:r>
        <w:r>
          <w:fldChar w:fldCharType="end"/>
        </w:r>
      </w:hyperlink>
    </w:p>
    <w:p>
      <w:pPr>
        <w:tabs>
          <w:tab w:val="right" w:leader="dot" w:pos="9062"/>
        </w:tabs>
        <w:ind w:left="440"/>
      </w:pPr>
      <w:hyperlink w:anchor="_Toc8139" w:history="1">
        <w:r>
          <w:rPr>
            <w:rFonts w:ascii="IRNazanin" w:hAnsi="IRNazanin" w:eastAsia="IRNazanin" w:cs="IRNazanin"/>
            <w:color w:val="111111"/>
            <w:sz w:val="22"/>
            <w:szCs w:val="22"/>
            <w:b w:val="0"/>
            <w:bCs w:val="0"/>
            <w:i w:val="0"/>
            <w:iCs w:val="0"/>
          </w:rPr>
          <w:t>7114- دیوان ممتاز ترکمان فراهی‏</w:t>
        </w:r>
        <w:r>
          <w:tab/>
        </w:r>
        <w:r>
          <w:fldChar w:fldCharType="begin"/>
        </w:r>
        <w:r>
          <w:instrText xml:space="preserve">PAGEREF 8139 \h</w:instrText>
        </w:r>
        <w:r>
          <w:fldChar w:fldCharType="end"/>
        </w:r>
      </w:hyperlink>
    </w:p>
    <w:p>
      <w:pPr>
        <w:tabs>
          <w:tab w:val="right" w:leader="dot" w:pos="9062"/>
        </w:tabs>
        <w:ind w:left="440"/>
      </w:pPr>
      <w:hyperlink w:anchor="_Toc8140" w:history="1">
        <w:r>
          <w:rPr>
            <w:rFonts w:ascii="IRNazanin" w:hAnsi="IRNazanin" w:eastAsia="IRNazanin" w:cs="IRNazanin"/>
            <w:color w:val="111111"/>
            <w:sz w:val="22"/>
            <w:szCs w:val="22"/>
            <w:b w:val="0"/>
            <w:bCs w:val="0"/>
            <w:i w:val="0"/>
            <w:iCs w:val="0"/>
          </w:rPr>
          <w:t>7115- دیوان ممتاز خراسانی أو شعره‏</w:t>
        </w:r>
        <w:r>
          <w:tab/>
        </w:r>
        <w:r>
          <w:fldChar w:fldCharType="begin"/>
        </w:r>
        <w:r>
          <w:instrText xml:space="preserve">PAGEREF 8140 \h</w:instrText>
        </w:r>
        <w:r>
          <w:fldChar w:fldCharType="end"/>
        </w:r>
      </w:hyperlink>
    </w:p>
    <w:p>
      <w:pPr>
        <w:tabs>
          <w:tab w:val="right" w:leader="dot" w:pos="9062"/>
        </w:tabs>
        <w:ind w:left="440"/>
      </w:pPr>
      <w:hyperlink w:anchor="_Toc8141" w:history="1">
        <w:r>
          <w:rPr>
            <w:rFonts w:ascii="IRNazanin" w:hAnsi="IRNazanin" w:eastAsia="IRNazanin" w:cs="IRNazanin"/>
            <w:color w:val="111111"/>
            <w:sz w:val="22"/>
            <w:szCs w:val="22"/>
            <w:b w:val="0"/>
            <w:bCs w:val="0"/>
            <w:i w:val="0"/>
            <w:iCs w:val="0"/>
          </w:rPr>
          <w:t>7116- دیوان ممتاز سمرقندی أو شعره‏</w:t>
        </w:r>
        <w:r>
          <w:tab/>
        </w:r>
        <w:r>
          <w:fldChar w:fldCharType="begin"/>
        </w:r>
        <w:r>
          <w:instrText xml:space="preserve">PAGEREF 8141 \h</w:instrText>
        </w:r>
        <w:r>
          <w:fldChar w:fldCharType="end"/>
        </w:r>
      </w:hyperlink>
    </w:p>
    <w:p>
      <w:pPr>
        <w:tabs>
          <w:tab w:val="right" w:leader="dot" w:pos="9062"/>
        </w:tabs>
        <w:ind w:left="440"/>
      </w:pPr>
      <w:hyperlink w:anchor="_Toc8142" w:history="1">
        <w:r>
          <w:rPr>
            <w:rFonts w:ascii="IRNazanin" w:hAnsi="IRNazanin" w:eastAsia="IRNazanin" w:cs="IRNazanin"/>
            <w:color w:val="111111"/>
            <w:sz w:val="22"/>
            <w:szCs w:val="22"/>
            <w:b w:val="0"/>
            <w:bCs w:val="0"/>
            <w:i w:val="0"/>
            <w:iCs w:val="0"/>
          </w:rPr>
          <w:t>7117- دیوان ممتاز شولستانی أو شعره‏</w:t>
        </w:r>
        <w:r>
          <w:tab/>
        </w:r>
        <w:r>
          <w:fldChar w:fldCharType="begin"/>
        </w:r>
        <w:r>
          <w:instrText xml:space="preserve">PAGEREF 8142 \h</w:instrText>
        </w:r>
        <w:r>
          <w:fldChar w:fldCharType="end"/>
        </w:r>
      </w:hyperlink>
    </w:p>
    <w:p>
      <w:pPr>
        <w:tabs>
          <w:tab w:val="right" w:leader="dot" w:pos="9062"/>
        </w:tabs>
        <w:ind w:left="440"/>
      </w:pPr>
      <w:hyperlink w:anchor="_Toc8143" w:history="1">
        <w:r>
          <w:rPr>
            <w:rFonts w:ascii="IRNazanin" w:hAnsi="IRNazanin" w:eastAsia="IRNazanin" w:cs="IRNazanin"/>
            <w:color w:val="111111"/>
            <w:sz w:val="22"/>
            <w:szCs w:val="22"/>
            <w:b w:val="0"/>
            <w:bCs w:val="0"/>
            <w:i w:val="0"/>
            <w:iCs w:val="0"/>
          </w:rPr>
          <w:t>دیوان ممتاز غزنوی‏</w:t>
        </w:r>
        <w:r>
          <w:tab/>
        </w:r>
        <w:r>
          <w:fldChar w:fldCharType="begin"/>
        </w:r>
        <w:r>
          <w:instrText xml:space="preserve">PAGEREF 8143 \h</w:instrText>
        </w:r>
        <w:r>
          <w:fldChar w:fldCharType="end"/>
        </w:r>
      </w:hyperlink>
    </w:p>
    <w:p>
      <w:pPr>
        <w:tabs>
          <w:tab w:val="right" w:leader="dot" w:pos="9062"/>
        </w:tabs>
        <w:ind w:left="440"/>
      </w:pPr>
      <w:hyperlink w:anchor="_Toc8144" w:history="1">
        <w:r>
          <w:rPr>
            <w:rFonts w:ascii="IRNazanin" w:hAnsi="IRNazanin" w:eastAsia="IRNazanin" w:cs="IRNazanin"/>
            <w:color w:val="111111"/>
            <w:sz w:val="22"/>
            <w:szCs w:val="22"/>
            <w:b w:val="0"/>
            <w:bCs w:val="0"/>
            <w:i w:val="0"/>
            <w:iCs w:val="0"/>
          </w:rPr>
          <w:t>7118- دیوان ممتاز گرجی أو شعره‏</w:t>
        </w:r>
        <w:r>
          <w:tab/>
        </w:r>
        <w:r>
          <w:fldChar w:fldCharType="begin"/>
        </w:r>
        <w:r>
          <w:instrText xml:space="preserve">PAGEREF 8144 \h</w:instrText>
        </w:r>
        <w:r>
          <w:fldChar w:fldCharType="end"/>
        </w:r>
      </w:hyperlink>
    </w:p>
    <w:p>
      <w:pPr>
        <w:tabs>
          <w:tab w:val="right" w:leader="dot" w:pos="9062"/>
        </w:tabs>
        <w:ind w:left="440"/>
      </w:pPr>
      <w:hyperlink w:anchor="_Toc8145" w:history="1">
        <w:r>
          <w:rPr>
            <w:rFonts w:ascii="IRNazanin" w:hAnsi="IRNazanin" w:eastAsia="IRNazanin" w:cs="IRNazanin"/>
            <w:color w:val="111111"/>
            <w:sz w:val="22"/>
            <w:szCs w:val="22"/>
            <w:b w:val="0"/>
            <w:bCs w:val="0"/>
            <w:i w:val="0"/>
            <w:iCs w:val="0"/>
          </w:rPr>
          <w:t>7119- دیوان ممکن شاه‏جهان‏آبادی أو شعره‏</w:t>
        </w:r>
        <w:r>
          <w:tab/>
        </w:r>
        <w:r>
          <w:fldChar w:fldCharType="begin"/>
        </w:r>
        <w:r>
          <w:instrText xml:space="preserve">PAGEREF 8145 \h</w:instrText>
        </w:r>
        <w:r>
          <w:fldChar w:fldCharType="end"/>
        </w:r>
      </w:hyperlink>
    </w:p>
    <w:p>
      <w:pPr>
        <w:tabs>
          <w:tab w:val="right" w:leader="dot" w:pos="9062"/>
        </w:tabs>
        <w:ind w:left="440"/>
      </w:pPr>
      <w:hyperlink w:anchor="_Toc8146" w:history="1">
        <w:r>
          <w:rPr>
            <w:rFonts w:ascii="IRNazanin" w:hAnsi="IRNazanin" w:eastAsia="IRNazanin" w:cs="IRNazanin"/>
            <w:color w:val="111111"/>
            <w:sz w:val="22"/>
            <w:szCs w:val="22"/>
            <w:b w:val="0"/>
            <w:bCs w:val="0"/>
            <w:i w:val="0"/>
            <w:iCs w:val="0"/>
          </w:rPr>
          <w:t>7120- دیوان ممنون أفغانی أو شعره‏</w:t>
        </w:r>
        <w:r>
          <w:tab/>
        </w:r>
        <w:r>
          <w:fldChar w:fldCharType="begin"/>
        </w:r>
        <w:r>
          <w:instrText xml:space="preserve">PAGEREF 8146 \h</w:instrText>
        </w:r>
        <w:r>
          <w:fldChar w:fldCharType="end"/>
        </w:r>
      </w:hyperlink>
    </w:p>
    <w:p>
      <w:pPr>
        <w:tabs>
          <w:tab w:val="right" w:leader="dot" w:pos="9062"/>
        </w:tabs>
        <w:ind w:left="440"/>
      </w:pPr>
      <w:hyperlink w:anchor="_Toc8147" w:history="1">
        <w:r>
          <w:rPr>
            <w:rFonts w:ascii="IRNazanin" w:hAnsi="IRNazanin" w:eastAsia="IRNazanin" w:cs="IRNazanin"/>
            <w:color w:val="111111"/>
            <w:sz w:val="22"/>
            <w:szCs w:val="22"/>
            <w:b w:val="0"/>
            <w:bCs w:val="0"/>
            <w:i w:val="0"/>
            <w:iCs w:val="0"/>
          </w:rPr>
          <w:t>7121- دیوان ممنون دهلوی أو شعره‏</w:t>
        </w:r>
        <w:r>
          <w:tab/>
        </w:r>
        <w:r>
          <w:fldChar w:fldCharType="begin"/>
        </w:r>
        <w:r>
          <w:instrText xml:space="preserve">PAGEREF 8147 \h</w:instrText>
        </w:r>
        <w:r>
          <w:fldChar w:fldCharType="end"/>
        </w:r>
      </w:hyperlink>
    </w:p>
    <w:p>
      <w:pPr>
        <w:tabs>
          <w:tab w:val="right" w:leader="dot" w:pos="9062"/>
        </w:tabs>
        <w:ind w:left="440"/>
      </w:pPr>
      <w:hyperlink w:anchor="_Toc8148" w:history="1">
        <w:r>
          <w:rPr>
            <w:rFonts w:ascii="IRNazanin" w:hAnsi="IRNazanin" w:eastAsia="IRNazanin" w:cs="IRNazanin"/>
            <w:color w:val="111111"/>
            <w:sz w:val="22"/>
            <w:szCs w:val="22"/>
            <w:b w:val="0"/>
            <w:bCs w:val="0"/>
            <w:i w:val="0"/>
            <w:iCs w:val="0"/>
          </w:rPr>
          <w:t>7122- دیوان ممنون لکهنوی أو شعره‏</w:t>
        </w:r>
        <w:r>
          <w:tab/>
        </w:r>
        <w:r>
          <w:fldChar w:fldCharType="begin"/>
        </w:r>
        <w:r>
          <w:instrText xml:space="preserve">PAGEREF 8148 \h</w:instrText>
        </w:r>
        <w:r>
          <w:fldChar w:fldCharType="end"/>
        </w:r>
      </w:hyperlink>
    </w:p>
    <w:p>
      <w:pPr>
        <w:tabs>
          <w:tab w:val="right" w:leader="dot" w:pos="9062"/>
        </w:tabs>
        <w:ind w:left="440"/>
      </w:pPr>
      <w:hyperlink w:anchor="_Toc8149" w:history="1">
        <w:r>
          <w:rPr>
            <w:rFonts w:ascii="IRNazanin" w:hAnsi="IRNazanin" w:eastAsia="IRNazanin" w:cs="IRNazanin"/>
            <w:color w:val="111111"/>
            <w:sz w:val="22"/>
            <w:szCs w:val="22"/>
            <w:b w:val="0"/>
            <w:bCs w:val="0"/>
            <w:i w:val="0"/>
            <w:iCs w:val="0"/>
          </w:rPr>
          <w:t>7123- دیوان المنازی‏</w:t>
        </w:r>
        <w:r>
          <w:tab/>
        </w:r>
        <w:r>
          <w:fldChar w:fldCharType="begin"/>
        </w:r>
        <w:r>
          <w:instrText xml:space="preserve">PAGEREF 8149 \h</w:instrText>
        </w:r>
        <w:r>
          <w:fldChar w:fldCharType="end"/>
        </w:r>
      </w:hyperlink>
    </w:p>
    <w:p>
      <w:pPr>
        <w:tabs>
          <w:tab w:val="right" w:leader="dot" w:pos="9062"/>
        </w:tabs>
        <w:ind w:left="440"/>
      </w:pPr>
      <w:hyperlink w:anchor="_Toc8150" w:history="1">
        <w:r>
          <w:rPr>
            <w:rFonts w:ascii="IRNazanin" w:hAnsi="IRNazanin" w:eastAsia="IRNazanin" w:cs="IRNazanin"/>
            <w:color w:val="111111"/>
            <w:sz w:val="22"/>
            <w:szCs w:val="22"/>
            <w:b w:val="0"/>
            <w:bCs w:val="0"/>
            <w:i w:val="0"/>
            <w:iCs w:val="0"/>
          </w:rPr>
          <w:t>7124- دیوان مناسب کشمیری أو شعره‏</w:t>
        </w:r>
        <w:r>
          <w:tab/>
        </w:r>
        <w:r>
          <w:fldChar w:fldCharType="begin"/>
        </w:r>
        <w:r>
          <w:instrText xml:space="preserve">PAGEREF 8150 \h</w:instrText>
        </w:r>
        <w:r>
          <w:fldChar w:fldCharType="end"/>
        </w:r>
      </w:hyperlink>
    </w:p>
    <w:p>
      <w:pPr>
        <w:tabs>
          <w:tab w:val="right" w:leader="dot" w:pos="9062"/>
        </w:tabs>
        <w:ind w:left="440"/>
      </w:pPr>
      <w:hyperlink w:anchor="_Toc8151" w:history="1">
        <w:r>
          <w:rPr>
            <w:rFonts w:ascii="IRNazanin" w:hAnsi="IRNazanin" w:eastAsia="IRNazanin" w:cs="IRNazanin"/>
            <w:color w:val="111111"/>
            <w:sz w:val="22"/>
            <w:szCs w:val="22"/>
            <w:b w:val="0"/>
            <w:bCs w:val="0"/>
            <w:i w:val="0"/>
            <w:iCs w:val="0"/>
          </w:rPr>
          <w:t>دیوان مناسب هندی‏</w:t>
        </w:r>
        <w:r>
          <w:tab/>
        </w:r>
        <w:r>
          <w:fldChar w:fldCharType="begin"/>
        </w:r>
        <w:r>
          <w:instrText xml:space="preserve">PAGEREF 8151 \h</w:instrText>
        </w:r>
        <w:r>
          <w:fldChar w:fldCharType="end"/>
        </w:r>
      </w:hyperlink>
    </w:p>
    <w:p>
      <w:pPr>
        <w:tabs>
          <w:tab w:val="right" w:leader="dot" w:pos="9062"/>
        </w:tabs>
        <w:ind w:left="440"/>
      </w:pPr>
      <w:hyperlink w:anchor="_Toc8152" w:history="1">
        <w:r>
          <w:rPr>
            <w:rFonts w:ascii="IRNazanin" w:hAnsi="IRNazanin" w:eastAsia="IRNazanin" w:cs="IRNazanin"/>
            <w:color w:val="111111"/>
            <w:sz w:val="22"/>
            <w:szCs w:val="22"/>
            <w:b w:val="0"/>
            <w:bCs w:val="0"/>
            <w:i w:val="0"/>
            <w:iCs w:val="0"/>
          </w:rPr>
          <w:t>7125- دیوان منت أصفهانی أو شعره‏</w:t>
        </w:r>
        <w:r>
          <w:tab/>
        </w:r>
        <w:r>
          <w:fldChar w:fldCharType="begin"/>
        </w:r>
        <w:r>
          <w:instrText xml:space="preserve">PAGEREF 8152 \h</w:instrText>
        </w:r>
        <w:r>
          <w:fldChar w:fldCharType="end"/>
        </w:r>
      </w:hyperlink>
    </w:p>
    <w:p>
      <w:pPr>
        <w:tabs>
          <w:tab w:val="right" w:leader="dot" w:pos="9062"/>
        </w:tabs>
        <w:ind w:left="440"/>
      </w:pPr>
      <w:hyperlink w:anchor="_Toc8153" w:history="1">
        <w:r>
          <w:rPr>
            <w:rFonts w:ascii="IRNazanin" w:hAnsi="IRNazanin" w:eastAsia="IRNazanin" w:cs="IRNazanin"/>
            <w:color w:val="111111"/>
            <w:sz w:val="22"/>
            <w:szCs w:val="22"/>
            <w:b w:val="0"/>
            <w:bCs w:val="0"/>
            <w:i w:val="0"/>
            <w:iCs w:val="0"/>
          </w:rPr>
          <w:t>7126- دیوان منت دهلوی أو شعره‏</w:t>
        </w:r>
        <w:r>
          <w:tab/>
        </w:r>
        <w:r>
          <w:fldChar w:fldCharType="begin"/>
        </w:r>
        <w:r>
          <w:instrText xml:space="preserve">PAGEREF 8153 \h</w:instrText>
        </w:r>
        <w:r>
          <w:fldChar w:fldCharType="end"/>
        </w:r>
      </w:hyperlink>
    </w:p>
    <w:p>
      <w:pPr>
        <w:tabs>
          <w:tab w:val="right" w:leader="dot" w:pos="9062"/>
        </w:tabs>
        <w:ind w:left="440"/>
      </w:pPr>
      <w:hyperlink w:anchor="_Toc8154" w:history="1">
        <w:r>
          <w:rPr>
            <w:rFonts w:ascii="IRNazanin" w:hAnsi="IRNazanin" w:eastAsia="IRNazanin" w:cs="IRNazanin"/>
            <w:color w:val="111111"/>
            <w:sz w:val="22"/>
            <w:szCs w:val="22"/>
            <w:b w:val="0"/>
            <w:bCs w:val="0"/>
            <w:i w:val="0"/>
            <w:iCs w:val="0"/>
          </w:rPr>
          <w:t>دیوان منت مشهدی‏</w:t>
        </w:r>
        <w:r>
          <w:tab/>
        </w:r>
        <w:r>
          <w:fldChar w:fldCharType="begin"/>
        </w:r>
        <w:r>
          <w:instrText xml:space="preserve">PAGEREF 8154 \h</w:instrText>
        </w:r>
        <w:r>
          <w:fldChar w:fldCharType="end"/>
        </w:r>
      </w:hyperlink>
    </w:p>
    <w:p>
      <w:pPr>
        <w:tabs>
          <w:tab w:val="right" w:leader="dot" w:pos="9062"/>
        </w:tabs>
        <w:ind w:left="440"/>
      </w:pPr>
      <w:hyperlink w:anchor="_Toc8155" w:history="1">
        <w:r>
          <w:rPr>
            <w:rFonts w:ascii="IRNazanin" w:hAnsi="IRNazanin" w:eastAsia="IRNazanin" w:cs="IRNazanin"/>
            <w:color w:val="111111"/>
            <w:sz w:val="22"/>
            <w:szCs w:val="22"/>
            <w:b w:val="0"/>
            <w:bCs w:val="0"/>
            <w:i w:val="0"/>
            <w:iCs w:val="0"/>
          </w:rPr>
          <w:t>دیوان منتجب جوینی‏</w:t>
        </w:r>
        <w:r>
          <w:tab/>
        </w:r>
        <w:r>
          <w:fldChar w:fldCharType="begin"/>
        </w:r>
        <w:r>
          <w:instrText xml:space="preserve">PAGEREF 8155 \h</w:instrText>
        </w:r>
        <w:r>
          <w:fldChar w:fldCharType="end"/>
        </w:r>
      </w:hyperlink>
    </w:p>
    <w:p>
      <w:pPr>
        <w:tabs>
          <w:tab w:val="right" w:leader="dot" w:pos="9062"/>
        </w:tabs>
        <w:ind w:left="440"/>
      </w:pPr>
      <w:hyperlink w:anchor="_Toc8156" w:history="1">
        <w:r>
          <w:rPr>
            <w:rFonts w:ascii="IRNazanin" w:hAnsi="IRNazanin" w:eastAsia="IRNazanin" w:cs="IRNazanin"/>
            <w:color w:val="111111"/>
            <w:sz w:val="22"/>
            <w:szCs w:val="22"/>
            <w:b w:val="0"/>
            <w:bCs w:val="0"/>
            <w:i w:val="0"/>
            <w:iCs w:val="0"/>
          </w:rPr>
          <w:t>7127- دیوان منتخب ساوجی أو شعره‏</w:t>
        </w:r>
        <w:r>
          <w:tab/>
        </w:r>
        <w:r>
          <w:fldChar w:fldCharType="begin"/>
        </w:r>
        <w:r>
          <w:instrText xml:space="preserve">PAGEREF 8156 \h</w:instrText>
        </w:r>
        <w:r>
          <w:fldChar w:fldCharType="end"/>
        </w:r>
      </w:hyperlink>
    </w:p>
    <w:p>
      <w:pPr>
        <w:tabs>
          <w:tab w:val="right" w:leader="dot" w:pos="9062"/>
        </w:tabs>
        <w:ind w:left="440"/>
      </w:pPr>
      <w:hyperlink w:anchor="_Toc8157" w:history="1">
        <w:r>
          <w:rPr>
            <w:rFonts w:ascii="IRNazanin" w:hAnsi="IRNazanin" w:eastAsia="IRNazanin" w:cs="IRNazanin"/>
            <w:color w:val="111111"/>
            <w:sz w:val="22"/>
            <w:szCs w:val="22"/>
            <w:b w:val="0"/>
            <w:bCs w:val="0"/>
            <w:i w:val="0"/>
            <w:iCs w:val="0"/>
          </w:rPr>
          <w:t>7128- دیوان منتخب کشمیری أو شعره‏</w:t>
        </w:r>
        <w:r>
          <w:tab/>
        </w:r>
        <w:r>
          <w:fldChar w:fldCharType="begin"/>
        </w:r>
        <w:r>
          <w:instrText xml:space="preserve">PAGEREF 8157 \h</w:instrText>
        </w:r>
        <w:r>
          <w:fldChar w:fldCharType="end"/>
        </w:r>
      </w:hyperlink>
    </w:p>
    <w:p>
      <w:pPr>
        <w:tabs>
          <w:tab w:val="right" w:leader="dot" w:pos="9062"/>
        </w:tabs>
        <w:ind w:left="440"/>
      </w:pPr>
      <w:hyperlink w:anchor="_Toc8158" w:history="1">
        <w:r>
          <w:rPr>
            <w:rFonts w:ascii="IRNazanin" w:hAnsi="IRNazanin" w:eastAsia="IRNazanin" w:cs="IRNazanin"/>
            <w:color w:val="111111"/>
            <w:sz w:val="22"/>
            <w:szCs w:val="22"/>
            <w:b w:val="0"/>
            <w:bCs w:val="0"/>
            <w:i w:val="0"/>
            <w:iCs w:val="0"/>
          </w:rPr>
          <w:t>7129- دیوان منتصر أصفهانی‏</w:t>
        </w:r>
        <w:r>
          <w:tab/>
        </w:r>
        <w:r>
          <w:fldChar w:fldCharType="begin"/>
        </w:r>
        <w:r>
          <w:instrText xml:space="preserve">PAGEREF 8158 \h</w:instrText>
        </w:r>
        <w:r>
          <w:fldChar w:fldCharType="end"/>
        </w:r>
      </w:hyperlink>
    </w:p>
    <w:p>
      <w:pPr>
        <w:tabs>
          <w:tab w:val="right" w:leader="dot" w:pos="9062"/>
        </w:tabs>
        <w:ind w:left="440"/>
      </w:pPr>
      <w:hyperlink w:anchor="_Toc8159" w:history="1">
        <w:r>
          <w:rPr>
            <w:rFonts w:ascii="IRNazanin" w:hAnsi="IRNazanin" w:eastAsia="IRNazanin" w:cs="IRNazanin"/>
            <w:color w:val="111111"/>
            <w:sz w:val="22"/>
            <w:szCs w:val="22"/>
            <w:b w:val="0"/>
            <w:bCs w:val="0"/>
            <w:i w:val="0"/>
            <w:iCs w:val="0"/>
          </w:rPr>
          <w:t>دیوان منتهی طهرانی‏</w:t>
        </w:r>
        <w:r>
          <w:tab/>
        </w:r>
        <w:r>
          <w:fldChar w:fldCharType="begin"/>
        </w:r>
        <w:r>
          <w:instrText xml:space="preserve">PAGEREF 8159 \h</w:instrText>
        </w:r>
        <w:r>
          <w:fldChar w:fldCharType="end"/>
        </w:r>
      </w:hyperlink>
    </w:p>
    <w:p>
      <w:pPr>
        <w:tabs>
          <w:tab w:val="right" w:leader="dot" w:pos="9062"/>
        </w:tabs>
        <w:ind w:left="440"/>
      </w:pPr>
      <w:hyperlink w:anchor="_Toc8160" w:history="1">
        <w:r>
          <w:rPr>
            <w:rFonts w:ascii="IRNazanin" w:hAnsi="IRNazanin" w:eastAsia="IRNazanin" w:cs="IRNazanin"/>
            <w:color w:val="111111"/>
            <w:sz w:val="22"/>
            <w:szCs w:val="22"/>
            <w:b w:val="0"/>
            <w:bCs w:val="0"/>
            <w:i w:val="0"/>
            <w:iCs w:val="0"/>
          </w:rPr>
          <w:t>7130- دیوان منجم‏باشی‏</w:t>
        </w:r>
        <w:r>
          <w:tab/>
        </w:r>
        <w:r>
          <w:fldChar w:fldCharType="begin"/>
        </w:r>
        <w:r>
          <w:instrText xml:space="preserve">PAGEREF 8160 \h</w:instrText>
        </w:r>
        <w:r>
          <w:fldChar w:fldCharType="end"/>
        </w:r>
      </w:hyperlink>
    </w:p>
    <w:p>
      <w:pPr>
        <w:tabs>
          <w:tab w:val="right" w:leader="dot" w:pos="9062"/>
        </w:tabs>
        <w:ind w:left="440"/>
      </w:pPr>
      <w:hyperlink w:anchor="_Toc8161" w:history="1">
        <w:r>
          <w:rPr>
            <w:rFonts w:ascii="IRNazanin" w:hAnsi="IRNazanin" w:eastAsia="IRNazanin" w:cs="IRNazanin"/>
            <w:color w:val="111111"/>
            <w:sz w:val="22"/>
            <w:szCs w:val="22"/>
            <w:b w:val="0"/>
            <w:bCs w:val="0"/>
            <w:i w:val="0"/>
            <w:iCs w:val="0"/>
          </w:rPr>
          <w:t>7131- دیوان منجیک ترمذی أو شعره‏</w:t>
        </w:r>
        <w:r>
          <w:tab/>
        </w:r>
        <w:r>
          <w:fldChar w:fldCharType="begin"/>
        </w:r>
        <w:r>
          <w:instrText xml:space="preserve">PAGEREF 8161 \h</w:instrText>
        </w:r>
        <w:r>
          <w:fldChar w:fldCharType="end"/>
        </w:r>
      </w:hyperlink>
    </w:p>
    <w:p>
      <w:pPr>
        <w:tabs>
          <w:tab w:val="right" w:leader="dot" w:pos="9062"/>
        </w:tabs>
        <w:ind w:left="440"/>
      </w:pPr>
      <w:hyperlink w:anchor="_Toc8162" w:history="1">
        <w:r>
          <w:rPr>
            <w:rFonts w:ascii="IRNazanin" w:hAnsi="IRNazanin" w:eastAsia="IRNazanin" w:cs="IRNazanin"/>
            <w:color w:val="111111"/>
            <w:sz w:val="22"/>
            <w:szCs w:val="22"/>
            <w:b w:val="0"/>
            <w:bCs w:val="0"/>
            <w:i w:val="0"/>
            <w:iCs w:val="0"/>
          </w:rPr>
          <w:t>7132- دیوان منزوی بیرجندی‏</w:t>
        </w:r>
        <w:r>
          <w:tab/>
        </w:r>
        <w:r>
          <w:fldChar w:fldCharType="begin"/>
        </w:r>
        <w:r>
          <w:instrText xml:space="preserve">PAGEREF 8162 \h</w:instrText>
        </w:r>
        <w:r>
          <w:fldChar w:fldCharType="end"/>
        </w:r>
      </w:hyperlink>
    </w:p>
    <w:p>
      <w:pPr>
        <w:tabs>
          <w:tab w:val="right" w:leader="dot" w:pos="9062"/>
        </w:tabs>
        <w:ind w:left="440"/>
      </w:pPr>
      <w:hyperlink w:anchor="_Toc8163" w:history="1">
        <w:r>
          <w:rPr>
            <w:rFonts w:ascii="IRNazanin" w:hAnsi="IRNazanin" w:eastAsia="IRNazanin" w:cs="IRNazanin"/>
            <w:color w:val="111111"/>
            <w:sz w:val="22"/>
            <w:szCs w:val="22"/>
            <w:b w:val="0"/>
            <w:bCs w:val="0"/>
            <w:i w:val="0"/>
            <w:iCs w:val="0"/>
          </w:rPr>
          <w:t>7133- دیوان منشأ لکهنوی أو شعره‏</w:t>
        </w:r>
        <w:r>
          <w:tab/>
        </w:r>
        <w:r>
          <w:fldChar w:fldCharType="begin"/>
        </w:r>
        <w:r>
          <w:instrText xml:space="preserve">PAGEREF 8163 \h</w:instrText>
        </w:r>
        <w:r>
          <w:fldChar w:fldCharType="end"/>
        </w:r>
      </w:hyperlink>
    </w:p>
    <w:p>
      <w:pPr>
        <w:tabs>
          <w:tab w:val="right" w:leader="dot" w:pos="9062"/>
        </w:tabs>
        <w:ind w:left="440"/>
      </w:pPr>
      <w:hyperlink w:anchor="_Toc8164" w:history="1">
        <w:r>
          <w:rPr>
            <w:rFonts w:ascii="IRNazanin" w:hAnsi="IRNazanin" w:eastAsia="IRNazanin" w:cs="IRNazanin"/>
            <w:color w:val="111111"/>
            <w:sz w:val="22"/>
            <w:szCs w:val="22"/>
            <w:b w:val="0"/>
            <w:bCs w:val="0"/>
            <w:i w:val="0"/>
            <w:iCs w:val="0"/>
          </w:rPr>
          <w:t>7134- دیوان منشور الأصفهانی‏</w:t>
        </w:r>
        <w:r>
          <w:tab/>
        </w:r>
        <w:r>
          <w:fldChar w:fldCharType="begin"/>
        </w:r>
        <w:r>
          <w:instrText xml:space="preserve">PAGEREF 8164 \h</w:instrText>
        </w:r>
        <w:r>
          <w:fldChar w:fldCharType="end"/>
        </w:r>
      </w:hyperlink>
    </w:p>
    <w:p>
      <w:pPr>
        <w:tabs>
          <w:tab w:val="right" w:leader="dot" w:pos="9062"/>
        </w:tabs>
        <w:ind w:left="440"/>
      </w:pPr>
      <w:hyperlink w:anchor="_Toc8165" w:history="1">
        <w:r>
          <w:rPr>
            <w:rFonts w:ascii="IRNazanin" w:hAnsi="IRNazanin" w:eastAsia="IRNazanin" w:cs="IRNazanin"/>
            <w:color w:val="111111"/>
            <w:sz w:val="22"/>
            <w:szCs w:val="22"/>
            <w:b w:val="0"/>
            <w:bCs w:val="0"/>
            <w:i w:val="0"/>
            <w:iCs w:val="0"/>
          </w:rPr>
          <w:t>7135- دیوان منشوری سمرقندی‏</w:t>
        </w:r>
        <w:r>
          <w:tab/>
        </w:r>
        <w:r>
          <w:fldChar w:fldCharType="begin"/>
        </w:r>
        <w:r>
          <w:instrText xml:space="preserve">PAGEREF 8165 \h</w:instrText>
        </w:r>
        <w:r>
          <w:fldChar w:fldCharType="end"/>
        </w:r>
      </w:hyperlink>
    </w:p>
    <w:p>
      <w:pPr>
        <w:tabs>
          <w:tab w:val="right" w:leader="dot" w:pos="9062"/>
        </w:tabs>
        <w:ind w:left="440"/>
      </w:pPr>
      <w:hyperlink w:anchor="_Toc8166" w:history="1">
        <w:r>
          <w:rPr>
            <w:rFonts w:ascii="IRNazanin" w:hAnsi="IRNazanin" w:eastAsia="IRNazanin" w:cs="IRNazanin"/>
            <w:color w:val="111111"/>
            <w:sz w:val="22"/>
            <w:szCs w:val="22"/>
            <w:b w:val="0"/>
            <w:bCs w:val="0"/>
            <w:i w:val="0"/>
            <w:iCs w:val="0"/>
          </w:rPr>
          <w:t>7136- دیوان منشی أردوبادی‏</w:t>
        </w:r>
        <w:r>
          <w:tab/>
        </w:r>
        <w:r>
          <w:fldChar w:fldCharType="begin"/>
        </w:r>
        <w:r>
          <w:instrText xml:space="preserve">PAGEREF 8166 \h</w:instrText>
        </w:r>
        <w:r>
          <w:fldChar w:fldCharType="end"/>
        </w:r>
      </w:hyperlink>
    </w:p>
    <w:p>
      <w:pPr>
        <w:tabs>
          <w:tab w:val="right" w:leader="dot" w:pos="9062"/>
        </w:tabs>
        <w:ind w:left="440"/>
      </w:pPr>
      <w:hyperlink w:anchor="_Toc8167" w:history="1">
        <w:r>
          <w:rPr>
            <w:rFonts w:ascii="IRNazanin" w:hAnsi="IRNazanin" w:eastAsia="IRNazanin" w:cs="IRNazanin"/>
            <w:color w:val="111111"/>
            <w:sz w:val="22"/>
            <w:szCs w:val="22"/>
            <w:b w:val="0"/>
            <w:bCs w:val="0"/>
            <w:i w:val="0"/>
            <w:iCs w:val="0"/>
          </w:rPr>
          <w:t>7137- دیوان منشی أردوبادی أو شعره‏</w:t>
        </w:r>
        <w:r>
          <w:tab/>
        </w:r>
        <w:r>
          <w:fldChar w:fldCharType="begin"/>
        </w:r>
        <w:r>
          <w:instrText xml:space="preserve">PAGEREF 8167 \h</w:instrText>
        </w:r>
        <w:r>
          <w:fldChar w:fldCharType="end"/>
        </w:r>
      </w:hyperlink>
    </w:p>
    <w:p>
      <w:pPr>
        <w:tabs>
          <w:tab w:val="right" w:leader="dot" w:pos="9062"/>
        </w:tabs>
        <w:ind w:left="440"/>
      </w:pPr>
      <w:hyperlink w:anchor="_Toc8168" w:history="1">
        <w:r>
          <w:rPr>
            <w:rFonts w:ascii="IRNazanin" w:hAnsi="IRNazanin" w:eastAsia="IRNazanin" w:cs="IRNazanin"/>
            <w:color w:val="111111"/>
            <w:sz w:val="22"/>
            <w:szCs w:val="22"/>
            <w:b w:val="0"/>
            <w:bCs w:val="0"/>
            <w:i w:val="0"/>
            <w:iCs w:val="0"/>
          </w:rPr>
          <w:t>7136- دیوان منشی أصفهانی أو شعره‏</w:t>
        </w:r>
        <w:r>
          <w:tab/>
        </w:r>
        <w:r>
          <w:fldChar w:fldCharType="begin"/>
        </w:r>
        <w:r>
          <w:instrText xml:space="preserve">PAGEREF 8168 \h</w:instrText>
        </w:r>
        <w:r>
          <w:fldChar w:fldCharType="end"/>
        </w:r>
      </w:hyperlink>
    </w:p>
    <w:p>
      <w:pPr>
        <w:tabs>
          <w:tab w:val="right" w:leader="dot" w:pos="9062"/>
        </w:tabs>
        <w:ind w:left="440"/>
      </w:pPr>
      <w:hyperlink w:anchor="_Toc8169" w:history="1">
        <w:r>
          <w:rPr>
            <w:rFonts w:ascii="IRNazanin" w:hAnsi="IRNazanin" w:eastAsia="IRNazanin" w:cs="IRNazanin"/>
            <w:color w:val="111111"/>
            <w:sz w:val="22"/>
            <w:szCs w:val="22"/>
            <w:b w:val="0"/>
            <w:bCs w:val="0"/>
            <w:i w:val="0"/>
            <w:iCs w:val="0"/>
          </w:rPr>
          <w:t>7137- دیوان منشی بمرودی‏</w:t>
        </w:r>
        <w:r>
          <w:tab/>
        </w:r>
        <w:r>
          <w:fldChar w:fldCharType="begin"/>
        </w:r>
        <w:r>
          <w:instrText xml:space="preserve">PAGEREF 8169 \h</w:instrText>
        </w:r>
        <w:r>
          <w:fldChar w:fldCharType="end"/>
        </w:r>
      </w:hyperlink>
    </w:p>
    <w:p>
      <w:pPr>
        <w:tabs>
          <w:tab w:val="right" w:leader="dot" w:pos="9062"/>
        </w:tabs>
        <w:ind w:left="440"/>
      </w:pPr>
      <w:hyperlink w:anchor="_Toc8170" w:history="1">
        <w:r>
          <w:rPr>
            <w:rFonts w:ascii="IRNazanin" w:hAnsi="IRNazanin" w:eastAsia="IRNazanin" w:cs="IRNazanin"/>
            <w:color w:val="111111"/>
            <w:sz w:val="22"/>
            <w:szCs w:val="22"/>
            <w:b w:val="0"/>
            <w:bCs w:val="0"/>
            <w:i w:val="0"/>
            <w:iCs w:val="0"/>
          </w:rPr>
          <w:t>7138- دیوان منشی تبریزی‏</w:t>
        </w:r>
        <w:r>
          <w:tab/>
        </w:r>
        <w:r>
          <w:fldChar w:fldCharType="begin"/>
        </w:r>
        <w:r>
          <w:instrText xml:space="preserve">PAGEREF 8170 \h</w:instrText>
        </w:r>
        <w:r>
          <w:fldChar w:fldCharType="end"/>
        </w:r>
      </w:hyperlink>
    </w:p>
    <w:p>
      <w:pPr>
        <w:tabs>
          <w:tab w:val="right" w:leader="dot" w:pos="9062"/>
        </w:tabs>
        <w:ind w:left="440"/>
      </w:pPr>
      <w:hyperlink w:anchor="_Toc8171" w:history="1">
        <w:r>
          <w:rPr>
            <w:rFonts w:ascii="IRNazanin" w:hAnsi="IRNazanin" w:eastAsia="IRNazanin" w:cs="IRNazanin"/>
            <w:color w:val="111111"/>
            <w:sz w:val="22"/>
            <w:szCs w:val="22"/>
            <w:b w:val="0"/>
            <w:bCs w:val="0"/>
            <w:i w:val="0"/>
            <w:iCs w:val="0"/>
          </w:rPr>
          <w:t>7139- دیوان منشی خویی‏</w:t>
        </w:r>
        <w:r>
          <w:tab/>
        </w:r>
        <w:r>
          <w:fldChar w:fldCharType="begin"/>
        </w:r>
        <w:r>
          <w:instrText xml:space="preserve">PAGEREF 8171 \h</w:instrText>
        </w:r>
        <w:r>
          <w:fldChar w:fldCharType="end"/>
        </w:r>
      </w:hyperlink>
    </w:p>
    <w:p>
      <w:pPr>
        <w:tabs>
          <w:tab w:val="right" w:leader="dot" w:pos="9062"/>
        </w:tabs>
        <w:ind w:left="440"/>
      </w:pPr>
      <w:hyperlink w:anchor="_Toc8172" w:history="1">
        <w:r>
          <w:rPr>
            <w:rFonts w:ascii="IRNazanin" w:hAnsi="IRNazanin" w:eastAsia="IRNazanin" w:cs="IRNazanin"/>
            <w:color w:val="111111"/>
            <w:sz w:val="22"/>
            <w:szCs w:val="22"/>
            <w:b w:val="0"/>
            <w:bCs w:val="0"/>
            <w:i w:val="0"/>
            <w:iCs w:val="0"/>
          </w:rPr>
          <w:t>7140- دیوان منشی ساوجی أو شعره‏</w:t>
        </w:r>
        <w:r>
          <w:tab/>
        </w:r>
        <w:r>
          <w:fldChar w:fldCharType="begin"/>
        </w:r>
        <w:r>
          <w:instrText xml:space="preserve">PAGEREF 8172 \h</w:instrText>
        </w:r>
        <w:r>
          <w:fldChar w:fldCharType="end"/>
        </w:r>
      </w:hyperlink>
    </w:p>
    <w:p>
      <w:pPr>
        <w:tabs>
          <w:tab w:val="right" w:leader="dot" w:pos="9062"/>
        </w:tabs>
        <w:ind w:left="440"/>
      </w:pPr>
      <w:hyperlink w:anchor="_Toc8173" w:history="1">
        <w:r>
          <w:rPr>
            <w:rFonts w:ascii="IRNazanin" w:hAnsi="IRNazanin" w:eastAsia="IRNazanin" w:cs="IRNazanin"/>
            <w:color w:val="111111"/>
            <w:sz w:val="22"/>
            <w:szCs w:val="22"/>
            <w:b w:val="0"/>
            <w:bCs w:val="0"/>
            <w:i w:val="0"/>
            <w:iCs w:val="0"/>
          </w:rPr>
          <w:t>7141- دیوان منشی طبری‏</w:t>
        </w:r>
        <w:r>
          <w:tab/>
        </w:r>
        <w:r>
          <w:fldChar w:fldCharType="begin"/>
        </w:r>
        <w:r>
          <w:instrText xml:space="preserve">PAGEREF 8173 \h</w:instrText>
        </w:r>
        <w:r>
          <w:fldChar w:fldCharType="end"/>
        </w:r>
      </w:hyperlink>
    </w:p>
    <w:p>
      <w:pPr>
        <w:tabs>
          <w:tab w:val="right" w:leader="dot" w:pos="9062"/>
        </w:tabs>
        <w:ind w:left="440"/>
      </w:pPr>
      <w:hyperlink w:anchor="_Toc8174" w:history="1">
        <w:r>
          <w:rPr>
            <w:rFonts w:ascii="IRNazanin" w:hAnsi="IRNazanin" w:eastAsia="IRNazanin" w:cs="IRNazanin"/>
            <w:color w:val="111111"/>
            <w:sz w:val="22"/>
            <w:szCs w:val="22"/>
            <w:b w:val="0"/>
            <w:bCs w:val="0"/>
            <w:i w:val="0"/>
            <w:iCs w:val="0"/>
          </w:rPr>
          <w:t>دیوان منشی قزوینی‏</w:t>
        </w:r>
        <w:r>
          <w:tab/>
        </w:r>
        <w:r>
          <w:fldChar w:fldCharType="begin"/>
        </w:r>
        <w:r>
          <w:instrText xml:space="preserve">PAGEREF 8174 \h</w:instrText>
        </w:r>
        <w:r>
          <w:fldChar w:fldCharType="end"/>
        </w:r>
      </w:hyperlink>
    </w:p>
    <w:p>
      <w:pPr>
        <w:tabs>
          <w:tab w:val="right" w:leader="dot" w:pos="9062"/>
        </w:tabs>
        <w:ind w:left="440"/>
      </w:pPr>
      <w:hyperlink w:anchor="_Toc8175" w:history="1">
        <w:r>
          <w:rPr>
            <w:rFonts w:ascii="IRNazanin" w:hAnsi="IRNazanin" w:eastAsia="IRNazanin" w:cs="IRNazanin"/>
            <w:color w:val="111111"/>
            <w:sz w:val="22"/>
            <w:szCs w:val="22"/>
            <w:b w:val="0"/>
            <w:bCs w:val="0"/>
            <w:i w:val="0"/>
            <w:iCs w:val="0"/>
          </w:rPr>
          <w:t>7142- دیوان منشی قمی أو شعره‏</w:t>
        </w:r>
        <w:r>
          <w:tab/>
        </w:r>
        <w:r>
          <w:fldChar w:fldCharType="begin"/>
        </w:r>
        <w:r>
          <w:instrText xml:space="preserve">PAGEREF 8175 \h</w:instrText>
        </w:r>
        <w:r>
          <w:fldChar w:fldCharType="end"/>
        </w:r>
      </w:hyperlink>
    </w:p>
    <w:p>
      <w:pPr>
        <w:tabs>
          <w:tab w:val="right" w:leader="dot" w:pos="9062"/>
        </w:tabs>
        <w:ind w:left="440"/>
      </w:pPr>
      <w:hyperlink w:anchor="_Toc8176" w:history="1">
        <w:r>
          <w:rPr>
            <w:rFonts w:ascii="IRNazanin" w:hAnsi="IRNazanin" w:eastAsia="IRNazanin" w:cs="IRNazanin"/>
            <w:color w:val="111111"/>
            <w:sz w:val="22"/>
            <w:szCs w:val="22"/>
            <w:b w:val="0"/>
            <w:bCs w:val="0"/>
            <w:i w:val="0"/>
            <w:iCs w:val="0"/>
          </w:rPr>
          <w:t>7143- دیوان منشی کانپوری أو شعره‏</w:t>
        </w:r>
        <w:r>
          <w:tab/>
        </w:r>
        <w:r>
          <w:fldChar w:fldCharType="begin"/>
        </w:r>
        <w:r>
          <w:instrText xml:space="preserve">PAGEREF 8176 \h</w:instrText>
        </w:r>
        <w:r>
          <w:fldChar w:fldCharType="end"/>
        </w:r>
      </w:hyperlink>
    </w:p>
    <w:p>
      <w:pPr>
        <w:tabs>
          <w:tab w:val="right" w:leader="dot" w:pos="9062"/>
        </w:tabs>
        <w:ind w:left="440"/>
      </w:pPr>
      <w:hyperlink w:anchor="_Toc8177" w:history="1">
        <w:r>
          <w:rPr>
            <w:rFonts w:ascii="IRNazanin" w:hAnsi="IRNazanin" w:eastAsia="IRNazanin" w:cs="IRNazanin"/>
            <w:color w:val="111111"/>
            <w:sz w:val="22"/>
            <w:szCs w:val="22"/>
            <w:b w:val="0"/>
            <w:bCs w:val="0"/>
            <w:i w:val="0"/>
            <w:iCs w:val="0"/>
          </w:rPr>
          <w:t>7144- دیوان منصف أصفهانی‏</w:t>
        </w:r>
        <w:r>
          <w:tab/>
        </w:r>
        <w:r>
          <w:fldChar w:fldCharType="begin"/>
        </w:r>
        <w:r>
          <w:instrText xml:space="preserve">PAGEREF 8177 \h</w:instrText>
        </w:r>
        <w:r>
          <w:fldChar w:fldCharType="end"/>
        </w:r>
      </w:hyperlink>
    </w:p>
    <w:p>
      <w:pPr>
        <w:tabs>
          <w:tab w:val="right" w:leader="dot" w:pos="9062"/>
        </w:tabs>
        <w:ind w:left="440"/>
      </w:pPr>
      <w:hyperlink w:anchor="_Toc8178" w:history="1">
        <w:r>
          <w:rPr>
            <w:rFonts w:ascii="IRNazanin" w:hAnsi="IRNazanin" w:eastAsia="IRNazanin" w:cs="IRNazanin"/>
            <w:color w:val="111111"/>
            <w:sz w:val="22"/>
            <w:szCs w:val="22"/>
            <w:b w:val="0"/>
            <w:bCs w:val="0"/>
            <w:i w:val="0"/>
            <w:iCs w:val="0"/>
          </w:rPr>
          <w:t>دیوان منصف تجرشی‏</w:t>
        </w:r>
        <w:r>
          <w:tab/>
        </w:r>
        <w:r>
          <w:fldChar w:fldCharType="begin"/>
        </w:r>
        <w:r>
          <w:instrText xml:space="preserve">PAGEREF 8178 \h</w:instrText>
        </w:r>
        <w:r>
          <w:fldChar w:fldCharType="end"/>
        </w:r>
      </w:hyperlink>
    </w:p>
    <w:p>
      <w:pPr>
        <w:tabs>
          <w:tab w:val="right" w:leader="dot" w:pos="9062"/>
        </w:tabs>
        <w:ind w:left="440"/>
      </w:pPr>
      <w:hyperlink w:anchor="_Toc8179" w:history="1">
        <w:r>
          <w:rPr>
            <w:rFonts w:ascii="IRNazanin" w:hAnsi="IRNazanin" w:eastAsia="IRNazanin" w:cs="IRNazanin"/>
            <w:color w:val="111111"/>
            <w:sz w:val="22"/>
            <w:szCs w:val="22"/>
            <w:b w:val="0"/>
            <w:bCs w:val="0"/>
            <w:i w:val="0"/>
            <w:iCs w:val="0"/>
          </w:rPr>
          <w:t>7145- دیوان منصف دهلوی أو شعره‏</w:t>
        </w:r>
        <w:r>
          <w:tab/>
        </w:r>
        <w:r>
          <w:fldChar w:fldCharType="begin"/>
        </w:r>
        <w:r>
          <w:instrText xml:space="preserve">PAGEREF 8179 \h</w:instrText>
        </w:r>
        <w:r>
          <w:fldChar w:fldCharType="end"/>
        </w:r>
      </w:hyperlink>
    </w:p>
    <w:p>
      <w:pPr>
        <w:tabs>
          <w:tab w:val="right" w:leader="dot" w:pos="9062"/>
        </w:tabs>
        <w:ind w:left="440"/>
      </w:pPr>
      <w:hyperlink w:anchor="_Toc8180" w:history="1">
        <w:r>
          <w:rPr>
            <w:rFonts w:ascii="IRNazanin" w:hAnsi="IRNazanin" w:eastAsia="IRNazanin" w:cs="IRNazanin"/>
            <w:color w:val="111111"/>
            <w:sz w:val="22"/>
            <w:szCs w:val="22"/>
            <w:b w:val="0"/>
            <w:bCs w:val="0"/>
            <w:i w:val="0"/>
            <w:iCs w:val="0"/>
          </w:rPr>
          <w:t>7146- دیوان منصف شاه‏جهان‏آبادی أو شعره‏</w:t>
        </w:r>
        <w:r>
          <w:tab/>
        </w:r>
        <w:r>
          <w:fldChar w:fldCharType="begin"/>
        </w:r>
        <w:r>
          <w:instrText xml:space="preserve">PAGEREF 8180 \h</w:instrText>
        </w:r>
        <w:r>
          <w:fldChar w:fldCharType="end"/>
        </w:r>
      </w:hyperlink>
    </w:p>
    <w:p>
      <w:pPr>
        <w:tabs>
          <w:tab w:val="right" w:leader="dot" w:pos="9062"/>
        </w:tabs>
        <w:ind w:left="440"/>
      </w:pPr>
      <w:hyperlink w:anchor="_Toc8181" w:history="1">
        <w:r>
          <w:rPr>
            <w:rFonts w:ascii="IRNazanin" w:hAnsi="IRNazanin" w:eastAsia="IRNazanin" w:cs="IRNazanin"/>
            <w:color w:val="111111"/>
            <w:sz w:val="22"/>
            <w:szCs w:val="22"/>
            <w:b w:val="0"/>
            <w:bCs w:val="0"/>
            <w:i w:val="0"/>
            <w:iCs w:val="0"/>
          </w:rPr>
          <w:t>7147- دیوان منصف طهرانی‏</w:t>
        </w:r>
        <w:r>
          <w:tab/>
        </w:r>
        <w:r>
          <w:fldChar w:fldCharType="begin"/>
        </w:r>
        <w:r>
          <w:instrText xml:space="preserve">PAGEREF 8181 \h</w:instrText>
        </w:r>
        <w:r>
          <w:fldChar w:fldCharType="end"/>
        </w:r>
      </w:hyperlink>
    </w:p>
    <w:p>
      <w:pPr>
        <w:tabs>
          <w:tab w:val="right" w:leader="dot" w:pos="9062"/>
        </w:tabs>
        <w:ind w:left="440"/>
      </w:pPr>
      <w:hyperlink w:anchor="_Toc8182" w:history="1">
        <w:r>
          <w:rPr>
            <w:rFonts w:ascii="IRNazanin" w:hAnsi="IRNazanin" w:eastAsia="IRNazanin" w:cs="IRNazanin"/>
            <w:color w:val="111111"/>
            <w:sz w:val="22"/>
            <w:szCs w:val="22"/>
            <w:b w:val="0"/>
            <w:bCs w:val="0"/>
            <w:i w:val="0"/>
            <w:iCs w:val="0"/>
          </w:rPr>
          <w:t>7148- دیوان منصف قاجار</w:t>
        </w:r>
        <w:r>
          <w:tab/>
        </w:r>
        <w:r>
          <w:fldChar w:fldCharType="begin"/>
        </w:r>
        <w:r>
          <w:instrText xml:space="preserve">PAGEREF 8182 \h</w:instrText>
        </w:r>
        <w:r>
          <w:fldChar w:fldCharType="end"/>
        </w:r>
      </w:hyperlink>
    </w:p>
    <w:p>
      <w:pPr>
        <w:tabs>
          <w:tab w:val="right" w:leader="dot" w:pos="9062"/>
        </w:tabs>
        <w:ind w:left="440"/>
      </w:pPr>
      <w:hyperlink w:anchor="_Toc8183" w:history="1">
        <w:r>
          <w:rPr>
            <w:rFonts w:ascii="IRNazanin" w:hAnsi="IRNazanin" w:eastAsia="IRNazanin" w:cs="IRNazanin"/>
            <w:color w:val="111111"/>
            <w:sz w:val="22"/>
            <w:szCs w:val="22"/>
            <w:b w:val="0"/>
            <w:bCs w:val="0"/>
            <w:i w:val="0"/>
            <w:iCs w:val="0"/>
          </w:rPr>
          <w:t>7149- دیوان منصف مازندرانی أو شعره‏</w:t>
        </w:r>
        <w:r>
          <w:tab/>
        </w:r>
        <w:r>
          <w:fldChar w:fldCharType="begin"/>
        </w:r>
        <w:r>
          <w:instrText xml:space="preserve">PAGEREF 8183 \h</w:instrText>
        </w:r>
        <w:r>
          <w:fldChar w:fldCharType="end"/>
        </w:r>
      </w:hyperlink>
    </w:p>
    <w:p>
      <w:pPr>
        <w:tabs>
          <w:tab w:val="right" w:leader="dot" w:pos="9062"/>
        </w:tabs>
        <w:ind w:left="440"/>
      </w:pPr>
      <w:hyperlink w:anchor="_Toc8184" w:history="1">
        <w:r>
          <w:rPr>
            <w:rFonts w:ascii="IRNazanin" w:hAnsi="IRNazanin" w:eastAsia="IRNazanin" w:cs="IRNazanin"/>
            <w:color w:val="111111"/>
            <w:sz w:val="22"/>
            <w:szCs w:val="22"/>
            <w:b w:val="0"/>
            <w:bCs w:val="0"/>
            <w:i w:val="0"/>
            <w:iCs w:val="0"/>
          </w:rPr>
          <w:t>7150- دیوان منصور الآبی‏</w:t>
        </w:r>
        <w:r>
          <w:tab/>
        </w:r>
        <w:r>
          <w:fldChar w:fldCharType="begin"/>
        </w:r>
        <w:r>
          <w:instrText xml:space="preserve">PAGEREF 8184 \h</w:instrText>
        </w:r>
        <w:r>
          <w:fldChar w:fldCharType="end"/>
        </w:r>
      </w:hyperlink>
    </w:p>
    <w:p>
      <w:pPr>
        <w:tabs>
          <w:tab w:val="right" w:leader="dot" w:pos="9062"/>
        </w:tabs>
        <w:ind w:left="440"/>
      </w:pPr>
      <w:hyperlink w:anchor="_Toc8185" w:history="1">
        <w:r>
          <w:rPr>
            <w:rFonts w:ascii="IRNazanin" w:hAnsi="IRNazanin" w:eastAsia="IRNazanin" w:cs="IRNazanin"/>
            <w:color w:val="111111"/>
            <w:sz w:val="22"/>
            <w:szCs w:val="22"/>
            <w:b w:val="0"/>
            <w:bCs w:val="0"/>
            <w:i w:val="0"/>
            <w:iCs w:val="0"/>
          </w:rPr>
          <w:t>7151- دیوان منصور أصفهانی‏</w:t>
        </w:r>
        <w:r>
          <w:tab/>
        </w:r>
        <w:r>
          <w:fldChar w:fldCharType="begin"/>
        </w:r>
        <w:r>
          <w:instrText xml:space="preserve">PAGEREF 8185 \h</w:instrText>
        </w:r>
        <w:r>
          <w:fldChar w:fldCharType="end"/>
        </w:r>
      </w:hyperlink>
    </w:p>
    <w:p>
      <w:pPr>
        <w:tabs>
          <w:tab w:val="right" w:leader="dot" w:pos="9062"/>
        </w:tabs>
        <w:ind w:left="440"/>
      </w:pPr>
      <w:hyperlink w:anchor="_Toc8186" w:history="1">
        <w:r>
          <w:rPr>
            <w:rFonts w:ascii="IRNazanin" w:hAnsi="IRNazanin" w:eastAsia="IRNazanin" w:cs="IRNazanin"/>
            <w:color w:val="111111"/>
            <w:sz w:val="22"/>
            <w:szCs w:val="22"/>
            <w:b w:val="0"/>
            <w:bCs w:val="0"/>
            <w:i w:val="0"/>
            <w:iCs w:val="0"/>
          </w:rPr>
          <w:t>7152- دیوان منصور أکبرآبادی أو شعره‏</w:t>
        </w:r>
        <w:r>
          <w:tab/>
        </w:r>
        <w:r>
          <w:fldChar w:fldCharType="begin"/>
        </w:r>
        <w:r>
          <w:instrText xml:space="preserve">PAGEREF 8186 \h</w:instrText>
        </w:r>
        <w:r>
          <w:fldChar w:fldCharType="end"/>
        </w:r>
      </w:hyperlink>
    </w:p>
    <w:p>
      <w:pPr>
        <w:tabs>
          <w:tab w:val="right" w:leader="dot" w:pos="9062"/>
        </w:tabs>
        <w:ind w:left="440"/>
      </w:pPr>
      <w:hyperlink w:anchor="_Toc8187" w:history="1">
        <w:r>
          <w:rPr>
            <w:rFonts w:ascii="IRNazanin" w:hAnsi="IRNazanin" w:eastAsia="IRNazanin" w:cs="IRNazanin"/>
            <w:color w:val="111111"/>
            <w:sz w:val="22"/>
            <w:szCs w:val="22"/>
            <w:b w:val="0"/>
            <w:bCs w:val="0"/>
            <w:i w:val="0"/>
            <w:iCs w:val="0"/>
          </w:rPr>
          <w:t>دیوان منصور بخاری‏</w:t>
        </w:r>
        <w:r>
          <w:tab/>
        </w:r>
        <w:r>
          <w:fldChar w:fldCharType="begin"/>
        </w:r>
        <w:r>
          <w:instrText xml:space="preserve">PAGEREF 8187 \h</w:instrText>
        </w:r>
        <w:r>
          <w:fldChar w:fldCharType="end"/>
        </w:r>
      </w:hyperlink>
    </w:p>
    <w:p>
      <w:pPr>
        <w:tabs>
          <w:tab w:val="right" w:leader="dot" w:pos="9062"/>
        </w:tabs>
        <w:ind w:left="440"/>
      </w:pPr>
      <w:hyperlink w:anchor="_Toc8188" w:history="1">
        <w:r>
          <w:rPr>
            <w:rFonts w:ascii="IRNazanin" w:hAnsi="IRNazanin" w:eastAsia="IRNazanin" w:cs="IRNazanin"/>
            <w:color w:val="111111"/>
            <w:sz w:val="22"/>
            <w:szCs w:val="22"/>
            <w:b w:val="0"/>
            <w:bCs w:val="0"/>
            <w:i w:val="0"/>
            <w:iCs w:val="0"/>
          </w:rPr>
          <w:t>7153- دیوان منصور ترمذی‏</w:t>
        </w:r>
        <w:r>
          <w:tab/>
        </w:r>
        <w:r>
          <w:fldChar w:fldCharType="begin"/>
        </w:r>
        <w:r>
          <w:instrText xml:space="preserve">PAGEREF 8188 \h</w:instrText>
        </w:r>
        <w:r>
          <w:fldChar w:fldCharType="end"/>
        </w:r>
      </w:hyperlink>
    </w:p>
    <w:p>
      <w:pPr>
        <w:tabs>
          <w:tab w:val="right" w:leader="dot" w:pos="9062"/>
        </w:tabs>
        <w:ind w:left="440"/>
      </w:pPr>
      <w:hyperlink w:anchor="_Toc8189" w:history="1">
        <w:r>
          <w:rPr>
            <w:rFonts w:ascii="IRNazanin" w:hAnsi="IRNazanin" w:eastAsia="IRNazanin" w:cs="IRNazanin"/>
            <w:color w:val="111111"/>
            <w:sz w:val="22"/>
            <w:szCs w:val="22"/>
            <w:b w:val="0"/>
            <w:bCs w:val="0"/>
            <w:i w:val="0"/>
            <w:iCs w:val="0"/>
          </w:rPr>
          <w:t>7154- دیوان منصور جرجانی‏</w:t>
        </w:r>
        <w:r>
          <w:tab/>
        </w:r>
        <w:r>
          <w:fldChar w:fldCharType="begin"/>
        </w:r>
        <w:r>
          <w:instrText xml:space="preserve">PAGEREF 8189 \h</w:instrText>
        </w:r>
        <w:r>
          <w:fldChar w:fldCharType="end"/>
        </w:r>
      </w:hyperlink>
    </w:p>
    <w:p>
      <w:pPr>
        <w:tabs>
          <w:tab w:val="right" w:leader="dot" w:pos="9062"/>
        </w:tabs>
        <w:ind w:left="440"/>
      </w:pPr>
      <w:hyperlink w:anchor="_Toc8190" w:history="1">
        <w:r>
          <w:rPr>
            <w:rFonts w:ascii="IRNazanin" w:hAnsi="IRNazanin" w:eastAsia="IRNazanin" w:cs="IRNazanin"/>
            <w:color w:val="111111"/>
            <w:sz w:val="22"/>
            <w:szCs w:val="22"/>
            <w:b w:val="0"/>
            <w:bCs w:val="0"/>
            <w:i w:val="0"/>
            <w:iCs w:val="0"/>
          </w:rPr>
          <w:t>7155- دیوان منصور دامغانی‏</w:t>
        </w:r>
        <w:r>
          <w:tab/>
        </w:r>
        <w:r>
          <w:fldChar w:fldCharType="begin"/>
        </w:r>
        <w:r>
          <w:instrText xml:space="preserve">PAGEREF 8190 \h</w:instrText>
        </w:r>
        <w:r>
          <w:fldChar w:fldCharType="end"/>
        </w:r>
      </w:hyperlink>
    </w:p>
    <w:p>
      <w:pPr>
        <w:tabs>
          <w:tab w:val="right" w:leader="dot" w:pos="9062"/>
        </w:tabs>
        <w:ind w:left="440"/>
      </w:pPr>
      <w:hyperlink w:anchor="_Toc8191" w:history="1">
        <w:r>
          <w:rPr>
            <w:rFonts w:ascii="IRNazanin" w:hAnsi="IRNazanin" w:eastAsia="IRNazanin" w:cs="IRNazanin"/>
            <w:color w:val="111111"/>
            <w:sz w:val="22"/>
            <w:szCs w:val="22"/>
            <w:b w:val="0"/>
            <w:bCs w:val="0"/>
            <w:i w:val="0"/>
            <w:iCs w:val="0"/>
          </w:rPr>
          <w:t>دیوان منصور رازی‏</w:t>
        </w:r>
        <w:r>
          <w:tab/>
        </w:r>
        <w:r>
          <w:fldChar w:fldCharType="begin"/>
        </w:r>
        <w:r>
          <w:instrText xml:space="preserve">PAGEREF 8191 \h</w:instrText>
        </w:r>
        <w:r>
          <w:fldChar w:fldCharType="end"/>
        </w:r>
      </w:hyperlink>
    </w:p>
    <w:p>
      <w:pPr>
        <w:tabs>
          <w:tab w:val="right" w:leader="dot" w:pos="9062"/>
        </w:tabs>
        <w:ind w:left="440"/>
      </w:pPr>
      <w:hyperlink w:anchor="_Toc8192" w:history="1">
        <w:r>
          <w:rPr>
            <w:rFonts w:ascii="IRNazanin" w:hAnsi="IRNazanin" w:eastAsia="IRNazanin" w:cs="IRNazanin"/>
            <w:color w:val="111111"/>
            <w:sz w:val="22"/>
            <w:szCs w:val="22"/>
            <w:b w:val="0"/>
            <w:bCs w:val="0"/>
            <w:i w:val="0"/>
            <w:iCs w:val="0"/>
          </w:rPr>
          <w:t>7156- دیوان درویش منصور سبزواری‏</w:t>
        </w:r>
        <w:r>
          <w:tab/>
        </w:r>
        <w:r>
          <w:fldChar w:fldCharType="begin"/>
        </w:r>
        <w:r>
          <w:instrText xml:space="preserve">PAGEREF 8192 \h</w:instrText>
        </w:r>
        <w:r>
          <w:fldChar w:fldCharType="end"/>
        </w:r>
      </w:hyperlink>
    </w:p>
    <w:p>
      <w:pPr>
        <w:tabs>
          <w:tab w:val="right" w:leader="dot" w:pos="9062"/>
        </w:tabs>
        <w:ind w:left="440"/>
      </w:pPr>
      <w:hyperlink w:anchor="_Toc8193" w:history="1">
        <w:r>
          <w:rPr>
            <w:rFonts w:ascii="IRNazanin" w:hAnsi="IRNazanin" w:eastAsia="IRNazanin" w:cs="IRNazanin"/>
            <w:color w:val="111111"/>
            <w:sz w:val="22"/>
            <w:szCs w:val="22"/>
            <w:b w:val="0"/>
            <w:bCs w:val="0"/>
            <w:i w:val="0"/>
            <w:iCs w:val="0"/>
          </w:rPr>
          <w:t>دیوان منصور دشتکی الشیرازی الحسینی‏</w:t>
        </w:r>
        <w:r>
          <w:tab/>
        </w:r>
        <w:r>
          <w:fldChar w:fldCharType="begin"/>
        </w:r>
        <w:r>
          <w:instrText xml:space="preserve">PAGEREF 8193 \h</w:instrText>
        </w:r>
        <w:r>
          <w:fldChar w:fldCharType="end"/>
        </w:r>
      </w:hyperlink>
    </w:p>
    <w:p>
      <w:pPr>
        <w:tabs>
          <w:tab w:val="right" w:leader="dot" w:pos="9062"/>
        </w:tabs>
        <w:ind w:left="440"/>
      </w:pPr>
      <w:hyperlink w:anchor="_Toc8194" w:history="1">
        <w:r>
          <w:rPr>
            <w:rFonts w:ascii="IRNazanin" w:hAnsi="IRNazanin" w:eastAsia="IRNazanin" w:cs="IRNazanin"/>
            <w:color w:val="111111"/>
            <w:sz w:val="22"/>
            <w:szCs w:val="22"/>
            <w:b w:val="0"/>
            <w:bCs w:val="0"/>
            <w:i w:val="0"/>
            <w:iCs w:val="0"/>
          </w:rPr>
          <w:t>دیوان منصور شیرازی‏</w:t>
        </w:r>
        <w:r>
          <w:tab/>
        </w:r>
        <w:r>
          <w:fldChar w:fldCharType="begin"/>
        </w:r>
        <w:r>
          <w:instrText xml:space="preserve">PAGEREF 8194 \h</w:instrText>
        </w:r>
        <w:r>
          <w:fldChar w:fldCharType="end"/>
        </w:r>
      </w:hyperlink>
    </w:p>
    <w:p>
      <w:pPr>
        <w:tabs>
          <w:tab w:val="right" w:leader="dot" w:pos="9062"/>
        </w:tabs>
        <w:ind w:left="440"/>
      </w:pPr>
      <w:hyperlink w:anchor="_Toc8195" w:history="1">
        <w:r>
          <w:rPr>
            <w:rFonts w:ascii="IRNazanin" w:hAnsi="IRNazanin" w:eastAsia="IRNazanin" w:cs="IRNazanin"/>
            <w:color w:val="111111"/>
            <w:sz w:val="22"/>
            <w:szCs w:val="22"/>
            <w:b w:val="0"/>
            <w:bCs w:val="0"/>
            <w:i w:val="0"/>
            <w:iCs w:val="0"/>
          </w:rPr>
          <w:t>7157- دیوان منصور طوسی أو شعره‏</w:t>
        </w:r>
        <w:r>
          <w:tab/>
        </w:r>
        <w:r>
          <w:fldChar w:fldCharType="begin"/>
        </w:r>
        <w:r>
          <w:instrText xml:space="preserve">PAGEREF 8195 \h</w:instrText>
        </w:r>
        <w:r>
          <w:fldChar w:fldCharType="end"/>
        </w:r>
      </w:hyperlink>
    </w:p>
    <w:p>
      <w:pPr>
        <w:tabs>
          <w:tab w:val="right" w:leader="dot" w:pos="9062"/>
        </w:tabs>
        <w:ind w:left="440"/>
      </w:pPr>
      <w:hyperlink w:anchor="_Toc8196" w:history="1">
        <w:r>
          <w:rPr>
            <w:rFonts w:ascii="IRNazanin" w:hAnsi="IRNazanin" w:eastAsia="IRNazanin" w:cs="IRNazanin"/>
            <w:color w:val="111111"/>
            <w:sz w:val="22"/>
            <w:szCs w:val="22"/>
            <w:b w:val="0"/>
            <w:bCs w:val="0"/>
            <w:i w:val="0"/>
            <w:iCs w:val="0"/>
          </w:rPr>
          <w:t>دیوان منصور قرابوقة</w:t>
        </w:r>
        <w:r>
          <w:tab/>
        </w:r>
        <w:r>
          <w:fldChar w:fldCharType="begin"/>
        </w:r>
        <w:r>
          <w:instrText xml:space="preserve">PAGEREF 8196 \h</w:instrText>
        </w:r>
        <w:r>
          <w:fldChar w:fldCharType="end"/>
        </w:r>
      </w:hyperlink>
    </w:p>
    <w:p>
      <w:pPr>
        <w:tabs>
          <w:tab w:val="right" w:leader="dot" w:pos="9062"/>
        </w:tabs>
        <w:ind w:left="440"/>
      </w:pPr>
      <w:hyperlink w:anchor="_Toc8197" w:history="1">
        <w:r>
          <w:rPr>
            <w:rFonts w:ascii="IRNazanin" w:hAnsi="IRNazanin" w:eastAsia="IRNazanin" w:cs="IRNazanin"/>
            <w:color w:val="111111"/>
            <w:sz w:val="22"/>
            <w:szCs w:val="22"/>
            <w:b w:val="0"/>
            <w:bCs w:val="0"/>
            <w:i w:val="0"/>
            <w:iCs w:val="0"/>
          </w:rPr>
          <w:t>7158- دیوان منصور منطقی الرازی‏</w:t>
        </w:r>
        <w:r>
          <w:tab/>
        </w:r>
        <w:r>
          <w:fldChar w:fldCharType="begin"/>
        </w:r>
        <w:r>
          <w:instrText xml:space="preserve">PAGEREF 8197 \h</w:instrText>
        </w:r>
        <w:r>
          <w:fldChar w:fldCharType="end"/>
        </w:r>
      </w:hyperlink>
    </w:p>
    <w:p>
      <w:pPr>
        <w:tabs>
          <w:tab w:val="right" w:leader="dot" w:pos="9062"/>
        </w:tabs>
        <w:ind w:left="440"/>
      </w:pPr>
      <w:hyperlink w:anchor="_Toc8198" w:history="1">
        <w:r>
          <w:rPr>
            <w:rFonts w:ascii="IRNazanin" w:hAnsi="IRNazanin" w:eastAsia="IRNazanin" w:cs="IRNazanin"/>
            <w:color w:val="111111"/>
            <w:sz w:val="22"/>
            <w:szCs w:val="22"/>
            <w:b w:val="0"/>
            <w:bCs w:val="0"/>
            <w:i w:val="0"/>
            <w:iCs w:val="0"/>
          </w:rPr>
          <w:t>7159- دیوان منصور نائینی أو شعره‏</w:t>
        </w:r>
        <w:r>
          <w:tab/>
        </w:r>
        <w:r>
          <w:fldChar w:fldCharType="begin"/>
        </w:r>
        <w:r>
          <w:instrText xml:space="preserve">PAGEREF 8198 \h</w:instrText>
        </w:r>
        <w:r>
          <w:fldChar w:fldCharType="end"/>
        </w:r>
      </w:hyperlink>
    </w:p>
    <w:p>
      <w:pPr>
        <w:tabs>
          <w:tab w:val="right" w:leader="dot" w:pos="9062"/>
        </w:tabs>
        <w:ind w:left="440"/>
      </w:pPr>
      <w:hyperlink w:anchor="_Toc8199" w:history="1">
        <w:r>
          <w:rPr>
            <w:rFonts w:ascii="IRNazanin" w:hAnsi="IRNazanin" w:eastAsia="IRNazanin" w:cs="IRNazanin"/>
            <w:color w:val="111111"/>
            <w:sz w:val="22"/>
            <w:szCs w:val="22"/>
            <w:b w:val="0"/>
            <w:bCs w:val="0"/>
            <w:i w:val="0"/>
            <w:iCs w:val="0"/>
          </w:rPr>
          <w:t>دیوان منصور النمری‏</w:t>
        </w:r>
        <w:r>
          <w:tab/>
        </w:r>
        <w:r>
          <w:fldChar w:fldCharType="begin"/>
        </w:r>
        <w:r>
          <w:instrText xml:space="preserve">PAGEREF 8199 \h</w:instrText>
        </w:r>
        <w:r>
          <w:fldChar w:fldCharType="end"/>
        </w:r>
      </w:hyperlink>
    </w:p>
    <w:p>
      <w:pPr>
        <w:tabs>
          <w:tab w:val="right" w:leader="dot" w:pos="9062"/>
        </w:tabs>
        <w:ind w:left="440"/>
      </w:pPr>
      <w:hyperlink w:anchor="_Toc8200" w:history="1">
        <w:r>
          <w:rPr>
            <w:rFonts w:ascii="IRNazanin" w:hAnsi="IRNazanin" w:eastAsia="IRNazanin" w:cs="IRNazanin"/>
            <w:color w:val="111111"/>
            <w:sz w:val="22"/>
            <w:szCs w:val="22"/>
            <w:b w:val="0"/>
            <w:bCs w:val="0"/>
            <w:i w:val="0"/>
            <w:iCs w:val="0"/>
          </w:rPr>
          <w:t>7160- دیوان منصور هروی أو شعره‏</w:t>
        </w:r>
        <w:r>
          <w:tab/>
        </w:r>
        <w:r>
          <w:fldChar w:fldCharType="begin"/>
        </w:r>
        <w:r>
          <w:instrText xml:space="preserve">PAGEREF 8200 \h</w:instrText>
        </w:r>
        <w:r>
          <w:fldChar w:fldCharType="end"/>
        </w:r>
      </w:hyperlink>
    </w:p>
    <w:p>
      <w:pPr>
        <w:tabs>
          <w:tab w:val="right" w:leader="dot" w:pos="9062"/>
        </w:tabs>
        <w:ind w:left="440"/>
      </w:pPr>
      <w:hyperlink w:anchor="_Toc8201" w:history="1">
        <w:r>
          <w:rPr>
            <w:rFonts w:ascii="IRNazanin" w:hAnsi="IRNazanin" w:eastAsia="IRNazanin" w:cs="IRNazanin"/>
            <w:color w:val="111111"/>
            <w:sz w:val="22"/>
            <w:szCs w:val="22"/>
            <w:b w:val="0"/>
            <w:bCs w:val="0"/>
            <w:i w:val="0"/>
            <w:iCs w:val="0"/>
          </w:rPr>
          <w:t>7161- دیوان منصور هندی أو شعره‏</w:t>
        </w:r>
        <w:r>
          <w:tab/>
        </w:r>
        <w:r>
          <w:fldChar w:fldCharType="begin"/>
        </w:r>
        <w:r>
          <w:instrText xml:space="preserve">PAGEREF 8201 \h</w:instrText>
        </w:r>
        <w:r>
          <w:fldChar w:fldCharType="end"/>
        </w:r>
      </w:hyperlink>
    </w:p>
    <w:p>
      <w:pPr>
        <w:tabs>
          <w:tab w:val="right" w:leader="dot" w:pos="9062"/>
        </w:tabs>
        <w:ind w:left="440"/>
      </w:pPr>
      <w:hyperlink w:anchor="_Toc8202" w:history="1">
        <w:r>
          <w:rPr>
            <w:rFonts w:ascii="IRNazanin" w:hAnsi="IRNazanin" w:eastAsia="IRNazanin" w:cs="IRNazanin"/>
            <w:color w:val="111111"/>
            <w:sz w:val="22"/>
            <w:szCs w:val="22"/>
            <w:b w:val="0"/>
            <w:bCs w:val="0"/>
            <w:i w:val="0"/>
            <w:iCs w:val="0"/>
          </w:rPr>
          <w:t>دیوان منطقی رازی‏</w:t>
        </w:r>
        <w:r>
          <w:tab/>
        </w:r>
        <w:r>
          <w:fldChar w:fldCharType="begin"/>
        </w:r>
        <w:r>
          <w:instrText xml:space="preserve">PAGEREF 8202 \h</w:instrText>
        </w:r>
        <w:r>
          <w:fldChar w:fldCharType="end"/>
        </w:r>
      </w:hyperlink>
    </w:p>
    <w:p>
      <w:pPr>
        <w:tabs>
          <w:tab w:val="right" w:leader="dot" w:pos="9062"/>
        </w:tabs>
        <w:ind w:left="440"/>
      </w:pPr>
      <w:hyperlink w:anchor="_Toc8203" w:history="1">
        <w:r>
          <w:rPr>
            <w:rFonts w:ascii="IRNazanin" w:hAnsi="IRNazanin" w:eastAsia="IRNazanin" w:cs="IRNazanin"/>
            <w:color w:val="111111"/>
            <w:sz w:val="22"/>
            <w:szCs w:val="22"/>
            <w:b w:val="0"/>
            <w:bCs w:val="0"/>
            <w:i w:val="0"/>
            <w:iCs w:val="0"/>
          </w:rPr>
          <w:t>7162- دیوان منطقی میبدی‏</w:t>
        </w:r>
        <w:r>
          <w:tab/>
        </w:r>
        <w:r>
          <w:fldChar w:fldCharType="begin"/>
        </w:r>
        <w:r>
          <w:instrText xml:space="preserve">PAGEREF 8203 \h</w:instrText>
        </w:r>
        <w:r>
          <w:fldChar w:fldCharType="end"/>
        </w:r>
      </w:hyperlink>
    </w:p>
    <w:p>
      <w:pPr>
        <w:tabs>
          <w:tab w:val="right" w:leader="dot" w:pos="9062"/>
        </w:tabs>
        <w:ind w:left="440"/>
      </w:pPr>
      <w:hyperlink w:anchor="_Toc8204" w:history="1">
        <w:r>
          <w:rPr>
            <w:rFonts w:ascii="IRNazanin" w:hAnsi="IRNazanin" w:eastAsia="IRNazanin" w:cs="IRNazanin"/>
            <w:color w:val="111111"/>
            <w:sz w:val="22"/>
            <w:szCs w:val="22"/>
            <w:b w:val="0"/>
            <w:bCs w:val="0"/>
            <w:i w:val="0"/>
            <w:iCs w:val="0"/>
          </w:rPr>
          <w:t>7163- دیوان منظر أصفهانی‏</w:t>
        </w:r>
        <w:r>
          <w:tab/>
        </w:r>
        <w:r>
          <w:fldChar w:fldCharType="begin"/>
        </w:r>
        <w:r>
          <w:instrText xml:space="preserve">PAGEREF 8204 \h</w:instrText>
        </w:r>
        <w:r>
          <w:fldChar w:fldCharType="end"/>
        </w:r>
      </w:hyperlink>
    </w:p>
    <w:p>
      <w:pPr>
        <w:tabs>
          <w:tab w:val="right" w:leader="dot" w:pos="9062"/>
        </w:tabs>
        <w:ind w:left="440"/>
      </w:pPr>
      <w:hyperlink w:anchor="_Toc8205" w:history="1">
        <w:r>
          <w:rPr>
            <w:rFonts w:ascii="IRNazanin" w:hAnsi="IRNazanin" w:eastAsia="IRNazanin" w:cs="IRNazanin"/>
            <w:color w:val="111111"/>
            <w:sz w:val="22"/>
            <w:szCs w:val="22"/>
            <w:b w:val="0"/>
            <w:bCs w:val="0"/>
            <w:i w:val="0"/>
            <w:iCs w:val="0"/>
          </w:rPr>
          <w:t>7164- دیوان منظر شیرازی‏</w:t>
        </w:r>
        <w:r>
          <w:tab/>
        </w:r>
        <w:r>
          <w:fldChar w:fldCharType="begin"/>
        </w:r>
        <w:r>
          <w:instrText xml:space="preserve">PAGEREF 8205 \h</w:instrText>
        </w:r>
        <w:r>
          <w:fldChar w:fldCharType="end"/>
        </w:r>
      </w:hyperlink>
    </w:p>
    <w:p>
      <w:pPr>
        <w:tabs>
          <w:tab w:val="right" w:leader="dot" w:pos="9062"/>
        </w:tabs>
        <w:ind w:left="440"/>
      </w:pPr>
      <w:hyperlink w:anchor="_Toc8206" w:history="1">
        <w:r>
          <w:rPr>
            <w:rFonts w:ascii="IRNazanin" w:hAnsi="IRNazanin" w:eastAsia="IRNazanin" w:cs="IRNazanin"/>
            <w:color w:val="111111"/>
            <w:sz w:val="22"/>
            <w:szCs w:val="22"/>
            <w:b w:val="0"/>
            <w:bCs w:val="0"/>
            <w:i w:val="0"/>
            <w:iCs w:val="0"/>
          </w:rPr>
          <w:t>7165- دیوان منظر مازندرانی أو شعره‏</w:t>
        </w:r>
        <w:r>
          <w:tab/>
        </w:r>
        <w:r>
          <w:fldChar w:fldCharType="begin"/>
        </w:r>
        <w:r>
          <w:instrText xml:space="preserve">PAGEREF 8206 \h</w:instrText>
        </w:r>
        <w:r>
          <w:fldChar w:fldCharType="end"/>
        </w:r>
      </w:hyperlink>
    </w:p>
    <w:p>
      <w:pPr>
        <w:tabs>
          <w:tab w:val="right" w:leader="dot" w:pos="9062"/>
        </w:tabs>
        <w:ind w:left="440"/>
      </w:pPr>
      <w:hyperlink w:anchor="_Toc8207" w:history="1">
        <w:r>
          <w:rPr>
            <w:rFonts w:ascii="IRNazanin" w:hAnsi="IRNazanin" w:eastAsia="IRNazanin" w:cs="IRNazanin"/>
            <w:color w:val="111111"/>
            <w:sz w:val="22"/>
            <w:szCs w:val="22"/>
            <w:b w:val="0"/>
            <w:bCs w:val="0"/>
            <w:i w:val="0"/>
            <w:iCs w:val="0"/>
          </w:rPr>
          <w:t>7166- دیوان منظری سمرقندی‏</w:t>
        </w:r>
        <w:r>
          <w:tab/>
        </w:r>
        <w:r>
          <w:fldChar w:fldCharType="begin"/>
        </w:r>
        <w:r>
          <w:instrText xml:space="preserve">PAGEREF 8207 \h</w:instrText>
        </w:r>
        <w:r>
          <w:fldChar w:fldCharType="end"/>
        </w:r>
      </w:hyperlink>
    </w:p>
    <w:p>
      <w:pPr>
        <w:tabs>
          <w:tab w:val="right" w:leader="dot" w:pos="9062"/>
        </w:tabs>
        <w:ind w:left="440"/>
      </w:pPr>
      <w:hyperlink w:anchor="_Toc8208" w:history="1">
        <w:r>
          <w:rPr>
            <w:rFonts w:ascii="IRNazanin" w:hAnsi="IRNazanin" w:eastAsia="IRNazanin" w:cs="IRNazanin"/>
            <w:color w:val="111111"/>
            <w:sz w:val="22"/>
            <w:szCs w:val="22"/>
            <w:b w:val="0"/>
            <w:bCs w:val="0"/>
            <w:i w:val="0"/>
            <w:iCs w:val="0"/>
          </w:rPr>
          <w:t>7167- دیوان منظم بختیاری أو شعره‏</w:t>
        </w:r>
        <w:r>
          <w:tab/>
        </w:r>
        <w:r>
          <w:fldChar w:fldCharType="begin"/>
        </w:r>
        <w:r>
          <w:instrText xml:space="preserve">PAGEREF 8208 \h</w:instrText>
        </w:r>
        <w:r>
          <w:fldChar w:fldCharType="end"/>
        </w:r>
      </w:hyperlink>
    </w:p>
    <w:p>
      <w:pPr>
        <w:tabs>
          <w:tab w:val="right" w:leader="dot" w:pos="9062"/>
        </w:tabs>
        <w:ind w:left="440"/>
      </w:pPr>
      <w:hyperlink w:anchor="_Toc8209" w:history="1">
        <w:r>
          <w:rPr>
            <w:rFonts w:ascii="IRNazanin" w:hAnsi="IRNazanin" w:eastAsia="IRNazanin" w:cs="IRNazanin"/>
            <w:color w:val="111111"/>
            <w:sz w:val="22"/>
            <w:szCs w:val="22"/>
            <w:b w:val="0"/>
            <w:bCs w:val="0"/>
            <w:i w:val="0"/>
            <w:iCs w:val="0"/>
          </w:rPr>
          <w:t>7168- دیوان منظور آملی‏</w:t>
        </w:r>
        <w:r>
          <w:tab/>
        </w:r>
        <w:r>
          <w:fldChar w:fldCharType="begin"/>
        </w:r>
        <w:r>
          <w:instrText xml:space="preserve">PAGEREF 8209 \h</w:instrText>
        </w:r>
        <w:r>
          <w:fldChar w:fldCharType="end"/>
        </w:r>
      </w:hyperlink>
    </w:p>
    <w:p>
      <w:pPr>
        <w:tabs>
          <w:tab w:val="right" w:leader="dot" w:pos="9062"/>
        </w:tabs>
        <w:ind w:left="440"/>
      </w:pPr>
      <w:hyperlink w:anchor="_Toc8210" w:history="1">
        <w:r>
          <w:rPr>
            <w:rFonts w:ascii="IRNazanin" w:hAnsi="IRNazanin" w:eastAsia="IRNazanin" w:cs="IRNazanin"/>
            <w:color w:val="111111"/>
            <w:sz w:val="22"/>
            <w:szCs w:val="22"/>
            <w:b w:val="0"/>
            <w:bCs w:val="0"/>
            <w:i w:val="0"/>
            <w:iCs w:val="0"/>
          </w:rPr>
          <w:t>7169- دیوان منظور شیرازی‏</w:t>
        </w:r>
        <w:r>
          <w:tab/>
        </w:r>
        <w:r>
          <w:fldChar w:fldCharType="begin"/>
        </w:r>
        <w:r>
          <w:instrText xml:space="preserve">PAGEREF 8210 \h</w:instrText>
        </w:r>
        <w:r>
          <w:fldChar w:fldCharType="end"/>
        </w:r>
      </w:hyperlink>
    </w:p>
    <w:p>
      <w:pPr>
        <w:tabs>
          <w:tab w:val="right" w:leader="dot" w:pos="9062"/>
        </w:tabs>
        <w:ind w:left="440"/>
      </w:pPr>
      <w:hyperlink w:anchor="_Toc8211" w:history="1">
        <w:r>
          <w:rPr>
            <w:rFonts w:ascii="IRNazanin" w:hAnsi="IRNazanin" w:eastAsia="IRNazanin" w:cs="IRNazanin"/>
            <w:color w:val="111111"/>
            <w:sz w:val="22"/>
            <w:szCs w:val="22"/>
            <w:b w:val="0"/>
            <w:bCs w:val="0"/>
            <w:i w:val="0"/>
            <w:iCs w:val="0"/>
          </w:rPr>
          <w:t>7170- دیوان منظور أصفهانی‏</w:t>
        </w:r>
        <w:r>
          <w:tab/>
        </w:r>
        <w:r>
          <w:fldChar w:fldCharType="begin"/>
        </w:r>
        <w:r>
          <w:instrText xml:space="preserve">PAGEREF 8211 \h</w:instrText>
        </w:r>
        <w:r>
          <w:fldChar w:fldCharType="end"/>
        </w:r>
      </w:hyperlink>
    </w:p>
    <w:p>
      <w:pPr>
        <w:tabs>
          <w:tab w:val="right" w:leader="dot" w:pos="9062"/>
        </w:tabs>
        <w:ind w:left="440"/>
      </w:pPr>
      <w:hyperlink w:anchor="_Toc8212" w:history="1">
        <w:r>
          <w:rPr>
            <w:rFonts w:ascii="IRNazanin" w:hAnsi="IRNazanin" w:eastAsia="IRNazanin" w:cs="IRNazanin"/>
            <w:color w:val="111111"/>
            <w:sz w:val="22"/>
            <w:szCs w:val="22"/>
            <w:b w:val="0"/>
            <w:bCs w:val="0"/>
            <w:i w:val="0"/>
            <w:iCs w:val="0"/>
          </w:rPr>
          <w:t>7171- دیوان منظور بخارائی أو شعره‏</w:t>
        </w:r>
        <w:r>
          <w:tab/>
        </w:r>
        <w:r>
          <w:fldChar w:fldCharType="begin"/>
        </w:r>
        <w:r>
          <w:instrText xml:space="preserve">PAGEREF 8212 \h</w:instrText>
        </w:r>
        <w:r>
          <w:fldChar w:fldCharType="end"/>
        </w:r>
      </w:hyperlink>
    </w:p>
    <w:p>
      <w:pPr>
        <w:tabs>
          <w:tab w:val="right" w:leader="dot" w:pos="9062"/>
        </w:tabs>
        <w:ind w:left="440"/>
      </w:pPr>
      <w:hyperlink w:anchor="_Toc8213" w:history="1">
        <w:r>
          <w:rPr>
            <w:rFonts w:ascii="IRNazanin" w:hAnsi="IRNazanin" w:eastAsia="IRNazanin" w:cs="IRNazanin"/>
            <w:color w:val="111111"/>
            <w:sz w:val="22"/>
            <w:szCs w:val="22"/>
            <w:b w:val="0"/>
            <w:bCs w:val="0"/>
            <w:i w:val="0"/>
            <w:iCs w:val="0"/>
          </w:rPr>
          <w:t>7172- دیوان منظور خوانساری‏</w:t>
        </w:r>
        <w:r>
          <w:tab/>
        </w:r>
        <w:r>
          <w:fldChar w:fldCharType="begin"/>
        </w:r>
        <w:r>
          <w:instrText xml:space="preserve">PAGEREF 8213 \h</w:instrText>
        </w:r>
        <w:r>
          <w:fldChar w:fldCharType="end"/>
        </w:r>
      </w:hyperlink>
    </w:p>
    <w:p>
      <w:pPr>
        <w:tabs>
          <w:tab w:val="right" w:leader="dot" w:pos="9062"/>
        </w:tabs>
        <w:ind w:left="440"/>
      </w:pPr>
      <w:hyperlink w:anchor="_Toc8214" w:history="1">
        <w:r>
          <w:rPr>
            <w:rFonts w:ascii="IRNazanin" w:hAnsi="IRNazanin" w:eastAsia="IRNazanin" w:cs="IRNazanin"/>
            <w:color w:val="111111"/>
            <w:sz w:val="22"/>
            <w:szCs w:val="22"/>
            <w:b w:val="0"/>
            <w:bCs w:val="0"/>
            <w:i w:val="0"/>
            <w:iCs w:val="0"/>
          </w:rPr>
          <w:t>7173- دیوان منعم أصفهانی‏</w:t>
        </w:r>
        <w:r>
          <w:tab/>
        </w:r>
        <w:r>
          <w:fldChar w:fldCharType="begin"/>
        </w:r>
        <w:r>
          <w:instrText xml:space="preserve">PAGEREF 8214 \h</w:instrText>
        </w:r>
        <w:r>
          <w:fldChar w:fldCharType="end"/>
        </w:r>
      </w:hyperlink>
    </w:p>
    <w:p>
      <w:pPr>
        <w:tabs>
          <w:tab w:val="right" w:leader="dot" w:pos="9062"/>
        </w:tabs>
        <w:ind w:left="440"/>
      </w:pPr>
      <w:hyperlink w:anchor="_Toc8215" w:history="1">
        <w:r>
          <w:rPr>
            <w:rFonts w:ascii="IRNazanin" w:hAnsi="IRNazanin" w:eastAsia="IRNazanin" w:cs="IRNazanin"/>
            <w:color w:val="111111"/>
            <w:sz w:val="22"/>
            <w:szCs w:val="22"/>
            <w:b w:val="0"/>
            <w:bCs w:val="0"/>
            <w:i w:val="0"/>
            <w:iCs w:val="0"/>
          </w:rPr>
          <w:t>7174- دیوان منعم أکبرآبادی أو شعره‏</w:t>
        </w:r>
        <w:r>
          <w:tab/>
        </w:r>
        <w:r>
          <w:fldChar w:fldCharType="begin"/>
        </w:r>
        <w:r>
          <w:instrText xml:space="preserve">PAGEREF 8215 \h</w:instrText>
        </w:r>
        <w:r>
          <w:fldChar w:fldCharType="end"/>
        </w:r>
      </w:hyperlink>
    </w:p>
    <w:p>
      <w:pPr>
        <w:tabs>
          <w:tab w:val="right" w:leader="dot" w:pos="9062"/>
        </w:tabs>
        <w:ind w:left="440"/>
      </w:pPr>
      <w:hyperlink w:anchor="_Toc8216" w:history="1">
        <w:r>
          <w:rPr>
            <w:rFonts w:ascii="IRNazanin" w:hAnsi="IRNazanin" w:eastAsia="IRNazanin" w:cs="IRNazanin"/>
            <w:color w:val="111111"/>
            <w:sz w:val="22"/>
            <w:szCs w:val="22"/>
            <w:b w:val="0"/>
            <w:bCs w:val="0"/>
            <w:i w:val="0"/>
            <w:iCs w:val="0"/>
          </w:rPr>
          <w:t>7175- دیوان منعم بخاری أو شعره‏</w:t>
        </w:r>
        <w:r>
          <w:tab/>
        </w:r>
        <w:r>
          <w:fldChar w:fldCharType="begin"/>
        </w:r>
        <w:r>
          <w:instrText xml:space="preserve">PAGEREF 8216 \h</w:instrText>
        </w:r>
        <w:r>
          <w:fldChar w:fldCharType="end"/>
        </w:r>
      </w:hyperlink>
    </w:p>
    <w:p>
      <w:pPr>
        <w:tabs>
          <w:tab w:val="right" w:leader="dot" w:pos="9062"/>
        </w:tabs>
        <w:ind w:left="440"/>
      </w:pPr>
      <w:hyperlink w:anchor="_Toc8217" w:history="1">
        <w:r>
          <w:rPr>
            <w:rFonts w:ascii="IRNazanin" w:hAnsi="IRNazanin" w:eastAsia="IRNazanin" w:cs="IRNazanin"/>
            <w:color w:val="111111"/>
            <w:sz w:val="22"/>
            <w:szCs w:val="22"/>
            <w:b w:val="0"/>
            <w:bCs w:val="0"/>
            <w:i w:val="0"/>
            <w:iCs w:val="0"/>
          </w:rPr>
          <w:t>7176- دیوان منعم التبریزی‏</w:t>
        </w:r>
        <w:r>
          <w:tab/>
        </w:r>
        <w:r>
          <w:fldChar w:fldCharType="begin"/>
        </w:r>
        <w:r>
          <w:instrText xml:space="preserve">PAGEREF 8217 \h</w:instrText>
        </w:r>
        <w:r>
          <w:fldChar w:fldCharType="end"/>
        </w:r>
      </w:hyperlink>
    </w:p>
    <w:p>
      <w:pPr>
        <w:tabs>
          <w:tab w:val="right" w:leader="dot" w:pos="9062"/>
        </w:tabs>
        <w:ind w:left="440"/>
      </w:pPr>
      <w:hyperlink w:anchor="_Toc8218" w:history="1">
        <w:r>
          <w:rPr>
            <w:rFonts w:ascii="IRNazanin" w:hAnsi="IRNazanin" w:eastAsia="IRNazanin" w:cs="IRNazanin"/>
            <w:color w:val="111111"/>
            <w:sz w:val="22"/>
            <w:szCs w:val="22"/>
            <w:b w:val="0"/>
            <w:bCs w:val="0"/>
            <w:i w:val="0"/>
            <w:iCs w:val="0"/>
          </w:rPr>
          <w:t>7177- دیوان منعم رامپوری أو شعره‏</w:t>
        </w:r>
        <w:r>
          <w:tab/>
        </w:r>
        <w:r>
          <w:fldChar w:fldCharType="begin"/>
        </w:r>
        <w:r>
          <w:instrText xml:space="preserve">PAGEREF 8218 \h</w:instrText>
        </w:r>
        <w:r>
          <w:fldChar w:fldCharType="end"/>
        </w:r>
      </w:hyperlink>
    </w:p>
    <w:p>
      <w:pPr>
        <w:tabs>
          <w:tab w:val="right" w:leader="dot" w:pos="9062"/>
        </w:tabs>
        <w:ind w:left="440"/>
      </w:pPr>
      <w:hyperlink w:anchor="_Toc8219" w:history="1">
        <w:r>
          <w:rPr>
            <w:rFonts w:ascii="IRNazanin" w:hAnsi="IRNazanin" w:eastAsia="IRNazanin" w:cs="IRNazanin"/>
            <w:color w:val="111111"/>
            <w:sz w:val="22"/>
            <w:szCs w:val="22"/>
            <w:b w:val="0"/>
            <w:bCs w:val="0"/>
            <w:i w:val="0"/>
            <w:iCs w:val="0"/>
          </w:rPr>
          <w:t>7178- دیوان منعم شیرازی‏</w:t>
        </w:r>
        <w:r>
          <w:tab/>
        </w:r>
        <w:r>
          <w:fldChar w:fldCharType="begin"/>
        </w:r>
        <w:r>
          <w:instrText xml:space="preserve">PAGEREF 8219 \h</w:instrText>
        </w:r>
        <w:r>
          <w:fldChar w:fldCharType="end"/>
        </w:r>
      </w:hyperlink>
    </w:p>
    <w:p>
      <w:pPr>
        <w:tabs>
          <w:tab w:val="right" w:leader="dot" w:pos="9062"/>
        </w:tabs>
        <w:ind w:left="440"/>
      </w:pPr>
      <w:hyperlink w:anchor="_Toc8220" w:history="1">
        <w:r>
          <w:rPr>
            <w:rFonts w:ascii="IRNazanin" w:hAnsi="IRNazanin" w:eastAsia="IRNazanin" w:cs="IRNazanin"/>
            <w:color w:val="111111"/>
            <w:sz w:val="22"/>
            <w:szCs w:val="22"/>
            <w:b w:val="0"/>
            <w:bCs w:val="0"/>
            <w:i w:val="0"/>
            <w:iCs w:val="0"/>
          </w:rPr>
          <w:t>7179- دیوان منعم شیرازی‏</w:t>
        </w:r>
        <w:r>
          <w:tab/>
        </w:r>
        <w:r>
          <w:fldChar w:fldCharType="begin"/>
        </w:r>
        <w:r>
          <w:instrText xml:space="preserve">PAGEREF 8220 \h</w:instrText>
        </w:r>
        <w:r>
          <w:fldChar w:fldCharType="end"/>
        </w:r>
      </w:hyperlink>
    </w:p>
    <w:p>
      <w:pPr>
        <w:tabs>
          <w:tab w:val="right" w:leader="dot" w:pos="9062"/>
        </w:tabs>
        <w:ind w:left="440"/>
      </w:pPr>
      <w:hyperlink w:anchor="_Toc8221" w:history="1">
        <w:r>
          <w:rPr>
            <w:rFonts w:ascii="IRNazanin" w:hAnsi="IRNazanin" w:eastAsia="IRNazanin" w:cs="IRNazanin"/>
            <w:color w:val="111111"/>
            <w:sz w:val="22"/>
            <w:szCs w:val="22"/>
            <w:b w:val="0"/>
            <w:bCs w:val="0"/>
            <w:i w:val="0"/>
            <w:iCs w:val="0"/>
          </w:rPr>
          <w:t>دیوان منعم شیرازی‏</w:t>
        </w:r>
        <w:r>
          <w:tab/>
        </w:r>
        <w:r>
          <w:fldChar w:fldCharType="begin"/>
        </w:r>
        <w:r>
          <w:instrText xml:space="preserve">PAGEREF 8221 \h</w:instrText>
        </w:r>
        <w:r>
          <w:fldChar w:fldCharType="end"/>
        </w:r>
      </w:hyperlink>
    </w:p>
    <w:p>
      <w:pPr>
        <w:tabs>
          <w:tab w:val="right" w:leader="dot" w:pos="9062"/>
        </w:tabs>
        <w:ind w:left="440"/>
      </w:pPr>
      <w:hyperlink w:anchor="_Toc8222" w:history="1">
        <w:r>
          <w:rPr>
            <w:rFonts w:ascii="IRNazanin" w:hAnsi="IRNazanin" w:eastAsia="IRNazanin" w:cs="IRNazanin"/>
            <w:color w:val="111111"/>
            <w:sz w:val="22"/>
            <w:szCs w:val="22"/>
            <w:b w:val="0"/>
            <w:bCs w:val="0"/>
            <w:i w:val="0"/>
            <w:iCs w:val="0"/>
          </w:rPr>
          <w:t>7180- دیوان منعم لاهوری أو شعره‏</w:t>
        </w:r>
        <w:r>
          <w:tab/>
        </w:r>
        <w:r>
          <w:fldChar w:fldCharType="begin"/>
        </w:r>
        <w:r>
          <w:instrText xml:space="preserve">PAGEREF 8222 \h</w:instrText>
        </w:r>
        <w:r>
          <w:fldChar w:fldCharType="end"/>
        </w:r>
      </w:hyperlink>
    </w:p>
    <w:p>
      <w:pPr>
        <w:tabs>
          <w:tab w:val="right" w:leader="dot" w:pos="9062"/>
        </w:tabs>
        <w:ind w:left="440"/>
      </w:pPr>
      <w:hyperlink w:anchor="_Toc8223" w:history="1">
        <w:r>
          <w:rPr>
            <w:rFonts w:ascii="IRNazanin" w:hAnsi="IRNazanin" w:eastAsia="IRNazanin" w:cs="IRNazanin"/>
            <w:color w:val="111111"/>
            <w:sz w:val="22"/>
            <w:szCs w:val="22"/>
            <w:b w:val="0"/>
            <w:bCs w:val="0"/>
            <w:i w:val="0"/>
            <w:iCs w:val="0"/>
          </w:rPr>
          <w:t>7181- دیوان منعم مرادآبادی‏</w:t>
        </w:r>
        <w:r>
          <w:tab/>
        </w:r>
        <w:r>
          <w:fldChar w:fldCharType="begin"/>
        </w:r>
        <w:r>
          <w:instrText xml:space="preserve">PAGEREF 8223 \h</w:instrText>
        </w:r>
        <w:r>
          <w:fldChar w:fldCharType="end"/>
        </w:r>
      </w:hyperlink>
    </w:p>
    <w:p>
      <w:pPr>
        <w:tabs>
          <w:tab w:val="right" w:leader="dot" w:pos="9062"/>
        </w:tabs>
        <w:ind w:left="440"/>
      </w:pPr>
      <w:hyperlink w:anchor="_Toc8224" w:history="1">
        <w:r>
          <w:rPr>
            <w:rFonts w:ascii="IRNazanin" w:hAnsi="IRNazanin" w:eastAsia="IRNazanin" w:cs="IRNazanin"/>
            <w:color w:val="111111"/>
            <w:sz w:val="22"/>
            <w:szCs w:val="22"/>
            <w:b w:val="0"/>
            <w:bCs w:val="0"/>
            <w:i w:val="0"/>
            <w:iCs w:val="0"/>
          </w:rPr>
          <w:t>7182- دیوان منعم هندی‏</w:t>
        </w:r>
        <w:r>
          <w:tab/>
        </w:r>
        <w:r>
          <w:fldChar w:fldCharType="begin"/>
        </w:r>
        <w:r>
          <w:instrText xml:space="preserve">PAGEREF 8224 \h</w:instrText>
        </w:r>
        <w:r>
          <w:fldChar w:fldCharType="end"/>
        </w:r>
      </w:hyperlink>
    </w:p>
    <w:p>
      <w:pPr>
        <w:tabs>
          <w:tab w:val="right" w:leader="dot" w:pos="9062"/>
        </w:tabs>
        <w:ind w:left="440"/>
      </w:pPr>
      <w:hyperlink w:anchor="_Toc8225" w:history="1">
        <w:r>
          <w:rPr>
            <w:rFonts w:ascii="IRNazanin" w:hAnsi="IRNazanin" w:eastAsia="IRNazanin" w:cs="IRNazanin"/>
            <w:color w:val="111111"/>
            <w:sz w:val="22"/>
            <w:szCs w:val="22"/>
            <w:b w:val="0"/>
            <w:bCs w:val="0"/>
            <w:i w:val="0"/>
            <w:iCs w:val="0"/>
          </w:rPr>
          <w:t>7183- دیوان منوچهر خان‏لر أو شعره‏</w:t>
        </w:r>
        <w:r>
          <w:tab/>
        </w:r>
        <w:r>
          <w:fldChar w:fldCharType="begin"/>
        </w:r>
        <w:r>
          <w:instrText xml:space="preserve">PAGEREF 8225 \h</w:instrText>
        </w:r>
        <w:r>
          <w:fldChar w:fldCharType="end"/>
        </w:r>
      </w:hyperlink>
    </w:p>
    <w:p>
      <w:pPr>
        <w:tabs>
          <w:tab w:val="right" w:leader="dot" w:pos="9062"/>
        </w:tabs>
        <w:ind w:left="440"/>
      </w:pPr>
      <w:hyperlink w:anchor="_Toc8226" w:history="1">
        <w:r>
          <w:rPr>
            <w:rFonts w:ascii="IRNazanin" w:hAnsi="IRNazanin" w:eastAsia="IRNazanin" w:cs="IRNazanin"/>
            <w:color w:val="111111"/>
            <w:sz w:val="22"/>
            <w:szCs w:val="22"/>
            <w:b w:val="0"/>
            <w:bCs w:val="0"/>
            <w:i w:val="0"/>
            <w:iCs w:val="0"/>
          </w:rPr>
          <w:t>دیوان منوچهر شصت کله‏</w:t>
        </w:r>
        <w:r>
          <w:tab/>
        </w:r>
        <w:r>
          <w:fldChar w:fldCharType="begin"/>
        </w:r>
        <w:r>
          <w:instrText xml:space="preserve">PAGEREF 8226 \h</w:instrText>
        </w:r>
        <w:r>
          <w:fldChar w:fldCharType="end"/>
        </w:r>
      </w:hyperlink>
    </w:p>
    <w:p>
      <w:pPr>
        <w:tabs>
          <w:tab w:val="right" w:leader="dot" w:pos="9062"/>
        </w:tabs>
        <w:ind w:left="440"/>
      </w:pPr>
      <w:hyperlink w:anchor="_Toc8227" w:history="1">
        <w:r>
          <w:rPr>
            <w:rFonts w:ascii="IRNazanin" w:hAnsi="IRNazanin" w:eastAsia="IRNazanin" w:cs="IRNazanin"/>
            <w:color w:val="111111"/>
            <w:sz w:val="22"/>
            <w:szCs w:val="22"/>
            <w:b w:val="0"/>
            <w:bCs w:val="0"/>
            <w:i w:val="0"/>
            <w:iCs w:val="0"/>
          </w:rPr>
          <w:t>7184- دیوان منوچهر پراوی‏</w:t>
        </w:r>
        <w:r>
          <w:tab/>
        </w:r>
        <w:r>
          <w:fldChar w:fldCharType="begin"/>
        </w:r>
        <w:r>
          <w:instrText xml:space="preserve">PAGEREF 8227 \h</w:instrText>
        </w:r>
        <w:r>
          <w:fldChar w:fldCharType="end"/>
        </w:r>
      </w:hyperlink>
    </w:p>
    <w:p>
      <w:pPr>
        <w:tabs>
          <w:tab w:val="right" w:leader="dot" w:pos="9062"/>
        </w:tabs>
        <w:ind w:left="440"/>
      </w:pPr>
      <w:hyperlink w:anchor="_Toc8228" w:history="1">
        <w:r>
          <w:rPr>
            <w:rFonts w:ascii="IRNazanin" w:hAnsi="IRNazanin" w:eastAsia="IRNazanin" w:cs="IRNazanin"/>
            <w:color w:val="111111"/>
            <w:sz w:val="22"/>
            <w:szCs w:val="22"/>
            <w:b w:val="0"/>
            <w:bCs w:val="0"/>
            <w:i w:val="0"/>
            <w:iCs w:val="0"/>
          </w:rPr>
          <w:t>7185- دیوان منوچهری دامغانی‏</w:t>
        </w:r>
        <w:r>
          <w:tab/>
        </w:r>
        <w:r>
          <w:fldChar w:fldCharType="begin"/>
        </w:r>
        <w:r>
          <w:instrText xml:space="preserve">PAGEREF 8228 \h</w:instrText>
        </w:r>
        <w:r>
          <w:fldChar w:fldCharType="end"/>
        </w:r>
      </w:hyperlink>
    </w:p>
    <w:p>
      <w:pPr>
        <w:tabs>
          <w:tab w:val="right" w:leader="dot" w:pos="9062"/>
        </w:tabs>
        <w:ind w:left="440"/>
      </w:pPr>
      <w:hyperlink w:anchor="_Toc8229" w:history="1">
        <w:r>
          <w:rPr>
            <w:rFonts w:ascii="IRNazanin" w:hAnsi="IRNazanin" w:eastAsia="IRNazanin" w:cs="IRNazanin"/>
            <w:color w:val="111111"/>
            <w:sz w:val="22"/>
            <w:szCs w:val="22"/>
            <w:b w:val="0"/>
            <w:bCs w:val="0"/>
            <w:i w:val="0"/>
            <w:iCs w:val="0"/>
          </w:rPr>
          <w:t>7186- دیوان منور دهلوی أو شعره‏</w:t>
        </w:r>
        <w:r>
          <w:tab/>
        </w:r>
        <w:r>
          <w:fldChar w:fldCharType="begin"/>
        </w:r>
        <w:r>
          <w:instrText xml:space="preserve">PAGEREF 8229 \h</w:instrText>
        </w:r>
        <w:r>
          <w:fldChar w:fldCharType="end"/>
        </w:r>
      </w:hyperlink>
    </w:p>
    <w:p>
      <w:pPr>
        <w:tabs>
          <w:tab w:val="right" w:leader="dot" w:pos="9062"/>
        </w:tabs>
        <w:ind w:left="440"/>
      </w:pPr>
      <w:hyperlink w:anchor="_Toc8230" w:history="1">
        <w:r>
          <w:rPr>
            <w:rFonts w:ascii="IRNazanin" w:hAnsi="IRNazanin" w:eastAsia="IRNazanin" w:cs="IRNazanin"/>
            <w:color w:val="111111"/>
            <w:sz w:val="22"/>
            <w:szCs w:val="22"/>
            <w:b w:val="0"/>
            <w:bCs w:val="0"/>
            <w:i w:val="0"/>
            <w:iCs w:val="0"/>
          </w:rPr>
          <w:t>7187- دیوان منور رازی أو شعره‏</w:t>
        </w:r>
        <w:r>
          <w:tab/>
        </w:r>
        <w:r>
          <w:fldChar w:fldCharType="begin"/>
        </w:r>
        <w:r>
          <w:instrText xml:space="preserve">PAGEREF 8230 \h</w:instrText>
        </w:r>
        <w:r>
          <w:fldChar w:fldCharType="end"/>
        </w:r>
      </w:hyperlink>
    </w:p>
    <w:p>
      <w:pPr>
        <w:tabs>
          <w:tab w:val="right" w:leader="dot" w:pos="9062"/>
        </w:tabs>
        <w:ind w:left="440"/>
      </w:pPr>
      <w:hyperlink w:anchor="_Toc8231" w:history="1">
        <w:r>
          <w:rPr>
            <w:rFonts w:ascii="IRNazanin" w:hAnsi="IRNazanin" w:eastAsia="IRNazanin" w:cs="IRNazanin"/>
            <w:color w:val="111111"/>
            <w:sz w:val="22"/>
            <w:szCs w:val="22"/>
            <w:b w:val="0"/>
            <w:bCs w:val="0"/>
            <w:i w:val="0"/>
            <w:iCs w:val="0"/>
          </w:rPr>
          <w:t>7188- دیوان منور علی شاه شهر کردی‏</w:t>
        </w:r>
        <w:r>
          <w:tab/>
        </w:r>
        <w:r>
          <w:fldChar w:fldCharType="begin"/>
        </w:r>
        <w:r>
          <w:instrText xml:space="preserve">PAGEREF 8231 \h</w:instrText>
        </w:r>
        <w:r>
          <w:fldChar w:fldCharType="end"/>
        </w:r>
      </w:hyperlink>
    </w:p>
    <w:p>
      <w:pPr>
        <w:tabs>
          <w:tab w:val="right" w:leader="dot" w:pos="9062"/>
        </w:tabs>
        <w:ind w:left="440"/>
      </w:pPr>
      <w:hyperlink w:anchor="_Toc8232" w:history="1">
        <w:r>
          <w:rPr>
            <w:rFonts w:ascii="IRNazanin" w:hAnsi="IRNazanin" w:eastAsia="IRNazanin" w:cs="IRNazanin"/>
            <w:color w:val="111111"/>
            <w:sz w:val="22"/>
            <w:szCs w:val="22"/>
            <w:b w:val="0"/>
            <w:bCs w:val="0"/>
            <w:i w:val="0"/>
            <w:iCs w:val="0"/>
          </w:rPr>
          <w:t>7189- دیوان منور علی شاه أو شعره‏</w:t>
        </w:r>
        <w:r>
          <w:tab/>
        </w:r>
        <w:r>
          <w:fldChar w:fldCharType="begin"/>
        </w:r>
        <w:r>
          <w:instrText xml:space="preserve">PAGEREF 8232 \h</w:instrText>
        </w:r>
        <w:r>
          <w:fldChar w:fldCharType="end"/>
        </w:r>
      </w:hyperlink>
    </w:p>
    <w:p>
      <w:pPr>
        <w:tabs>
          <w:tab w:val="right" w:leader="dot" w:pos="9062"/>
        </w:tabs>
        <w:ind w:left="440"/>
      </w:pPr>
      <w:hyperlink w:anchor="_Toc8233" w:history="1">
        <w:r>
          <w:rPr>
            <w:rFonts w:ascii="IRNazanin" w:hAnsi="IRNazanin" w:eastAsia="IRNazanin" w:cs="IRNazanin"/>
            <w:color w:val="111111"/>
            <w:sz w:val="22"/>
            <w:szCs w:val="22"/>
            <w:b w:val="0"/>
            <w:bCs w:val="0"/>
            <w:i w:val="0"/>
            <w:iCs w:val="0"/>
          </w:rPr>
          <w:t>7190- دیوان منهی طهرانی أو شعره‏</w:t>
        </w:r>
        <w:r>
          <w:tab/>
        </w:r>
        <w:r>
          <w:fldChar w:fldCharType="begin"/>
        </w:r>
        <w:r>
          <w:instrText xml:space="preserve">PAGEREF 8233 \h</w:instrText>
        </w:r>
        <w:r>
          <w:fldChar w:fldCharType="end"/>
        </w:r>
      </w:hyperlink>
    </w:p>
    <w:p>
      <w:pPr>
        <w:tabs>
          <w:tab w:val="right" w:leader="dot" w:pos="9062"/>
        </w:tabs>
        <w:ind w:left="440"/>
      </w:pPr>
      <w:hyperlink w:anchor="_Toc8234" w:history="1">
        <w:r>
          <w:rPr>
            <w:rFonts w:ascii="IRNazanin" w:hAnsi="IRNazanin" w:eastAsia="IRNazanin" w:cs="IRNazanin"/>
            <w:color w:val="111111"/>
            <w:sz w:val="22"/>
            <w:szCs w:val="22"/>
            <w:b w:val="0"/>
            <w:bCs w:val="0"/>
            <w:i w:val="0"/>
            <w:iCs w:val="0"/>
          </w:rPr>
          <w:t>7191- دیوان میر منهی زواره‏ئی‏</w:t>
        </w:r>
        <w:r>
          <w:tab/>
        </w:r>
        <w:r>
          <w:fldChar w:fldCharType="begin"/>
        </w:r>
        <w:r>
          <w:instrText xml:space="preserve">PAGEREF 8234 \h</w:instrText>
        </w:r>
        <w:r>
          <w:fldChar w:fldCharType="end"/>
        </w:r>
      </w:hyperlink>
    </w:p>
    <w:p>
      <w:pPr>
        <w:tabs>
          <w:tab w:val="right" w:leader="dot" w:pos="9062"/>
        </w:tabs>
        <w:ind w:left="440"/>
      </w:pPr>
      <w:hyperlink w:anchor="_Toc8235" w:history="1">
        <w:r>
          <w:rPr>
            <w:rFonts w:ascii="IRNazanin" w:hAnsi="IRNazanin" w:eastAsia="IRNazanin" w:cs="IRNazanin"/>
            <w:color w:val="111111"/>
            <w:sz w:val="22"/>
            <w:szCs w:val="22"/>
            <w:b w:val="0"/>
            <w:bCs w:val="0"/>
            <w:i w:val="0"/>
            <w:iCs w:val="0"/>
          </w:rPr>
          <w:t>دیوان منیجک ترمذی‏</w:t>
        </w:r>
        <w:r>
          <w:tab/>
        </w:r>
        <w:r>
          <w:fldChar w:fldCharType="begin"/>
        </w:r>
        <w:r>
          <w:instrText xml:space="preserve">PAGEREF 8235 \h</w:instrText>
        </w:r>
        <w:r>
          <w:fldChar w:fldCharType="end"/>
        </w:r>
      </w:hyperlink>
    </w:p>
    <w:p>
      <w:pPr>
        <w:tabs>
          <w:tab w:val="right" w:leader="dot" w:pos="9062"/>
        </w:tabs>
        <w:ind w:left="440"/>
      </w:pPr>
      <w:hyperlink w:anchor="_Toc8236" w:history="1">
        <w:r>
          <w:rPr>
            <w:rFonts w:ascii="IRNazanin" w:hAnsi="IRNazanin" w:eastAsia="IRNazanin" w:cs="IRNazanin"/>
            <w:color w:val="111111"/>
            <w:sz w:val="22"/>
            <w:szCs w:val="22"/>
            <w:b w:val="0"/>
            <w:bCs w:val="0"/>
            <w:i w:val="0"/>
            <w:iCs w:val="0"/>
          </w:rPr>
          <w:t>7192- دیوان منیر أصفهانی أو شعره‏</w:t>
        </w:r>
        <w:r>
          <w:tab/>
        </w:r>
        <w:r>
          <w:fldChar w:fldCharType="begin"/>
        </w:r>
        <w:r>
          <w:instrText xml:space="preserve">PAGEREF 8236 \h</w:instrText>
        </w:r>
        <w:r>
          <w:fldChar w:fldCharType="end"/>
        </w:r>
      </w:hyperlink>
    </w:p>
    <w:p>
      <w:pPr>
        <w:tabs>
          <w:tab w:val="right" w:leader="dot" w:pos="9062"/>
        </w:tabs>
        <w:ind w:left="440"/>
      </w:pPr>
      <w:hyperlink w:anchor="_Toc8237" w:history="1">
        <w:r>
          <w:rPr>
            <w:rFonts w:ascii="IRNazanin" w:hAnsi="IRNazanin" w:eastAsia="IRNazanin" w:cs="IRNazanin"/>
            <w:color w:val="111111"/>
            <w:sz w:val="22"/>
            <w:szCs w:val="22"/>
            <w:b w:val="0"/>
            <w:bCs w:val="0"/>
            <w:i w:val="0"/>
            <w:iCs w:val="0"/>
          </w:rPr>
          <w:t>7193- دیوان ملا منیر بخاری‏</w:t>
        </w:r>
        <w:r>
          <w:tab/>
        </w:r>
        <w:r>
          <w:fldChar w:fldCharType="begin"/>
        </w:r>
        <w:r>
          <w:instrText xml:space="preserve">PAGEREF 8237 \h</w:instrText>
        </w:r>
        <w:r>
          <w:fldChar w:fldCharType="end"/>
        </w:r>
      </w:hyperlink>
    </w:p>
    <w:p>
      <w:pPr>
        <w:tabs>
          <w:tab w:val="right" w:leader="dot" w:pos="9062"/>
        </w:tabs>
        <w:ind w:left="440"/>
      </w:pPr>
      <w:hyperlink w:anchor="_Toc8238" w:history="1">
        <w:r>
          <w:rPr>
            <w:rFonts w:ascii="IRNazanin" w:hAnsi="IRNazanin" w:eastAsia="IRNazanin" w:cs="IRNazanin"/>
            <w:color w:val="111111"/>
            <w:sz w:val="22"/>
            <w:szCs w:val="22"/>
            <w:b w:val="0"/>
            <w:bCs w:val="0"/>
            <w:i w:val="0"/>
            <w:iCs w:val="0"/>
          </w:rPr>
          <w:t>7194- دیوان منیر دزفولی‏</w:t>
        </w:r>
        <w:r>
          <w:tab/>
        </w:r>
        <w:r>
          <w:fldChar w:fldCharType="begin"/>
        </w:r>
        <w:r>
          <w:instrText xml:space="preserve">PAGEREF 8238 \h</w:instrText>
        </w:r>
        <w:r>
          <w:fldChar w:fldCharType="end"/>
        </w:r>
      </w:hyperlink>
    </w:p>
    <w:p>
      <w:pPr>
        <w:tabs>
          <w:tab w:val="right" w:leader="dot" w:pos="9062"/>
        </w:tabs>
        <w:ind w:left="440"/>
      </w:pPr>
      <w:hyperlink w:anchor="_Toc8239" w:history="1">
        <w:r>
          <w:rPr>
            <w:rFonts w:ascii="IRNazanin" w:hAnsi="IRNazanin" w:eastAsia="IRNazanin" w:cs="IRNazanin"/>
            <w:color w:val="111111"/>
            <w:sz w:val="22"/>
            <w:szCs w:val="22"/>
            <w:b w:val="0"/>
            <w:bCs w:val="0"/>
            <w:i w:val="0"/>
            <w:iCs w:val="0"/>
          </w:rPr>
          <w:t>7195- دیوان منیر دهلوی أو شعره‏</w:t>
        </w:r>
        <w:r>
          <w:tab/>
        </w:r>
        <w:r>
          <w:fldChar w:fldCharType="begin"/>
        </w:r>
        <w:r>
          <w:instrText xml:space="preserve">PAGEREF 8239 \h</w:instrText>
        </w:r>
        <w:r>
          <w:fldChar w:fldCharType="end"/>
        </w:r>
      </w:hyperlink>
    </w:p>
    <w:p>
      <w:pPr>
        <w:tabs>
          <w:tab w:val="right" w:leader="dot" w:pos="9062"/>
        </w:tabs>
        <w:ind w:left="440"/>
      </w:pPr>
      <w:hyperlink w:anchor="_Toc8240" w:history="1">
        <w:r>
          <w:rPr>
            <w:rFonts w:ascii="IRNazanin" w:hAnsi="IRNazanin" w:eastAsia="IRNazanin" w:cs="IRNazanin"/>
            <w:color w:val="111111"/>
            <w:sz w:val="22"/>
            <w:szCs w:val="22"/>
            <w:b w:val="0"/>
            <w:bCs w:val="0"/>
            <w:i w:val="0"/>
            <w:iCs w:val="0"/>
          </w:rPr>
          <w:t>7196- دیوان منیر طاها</w:t>
        </w:r>
        <w:r>
          <w:tab/>
        </w:r>
        <w:r>
          <w:fldChar w:fldCharType="begin"/>
        </w:r>
        <w:r>
          <w:instrText xml:space="preserve">PAGEREF 8240 \h</w:instrText>
        </w:r>
        <w:r>
          <w:fldChar w:fldCharType="end"/>
        </w:r>
      </w:hyperlink>
    </w:p>
    <w:p>
      <w:pPr>
        <w:tabs>
          <w:tab w:val="right" w:leader="dot" w:pos="9062"/>
        </w:tabs>
        <w:ind w:left="440"/>
      </w:pPr>
      <w:hyperlink w:anchor="_Toc8241" w:history="1">
        <w:r>
          <w:rPr>
            <w:rFonts w:ascii="IRNazanin" w:hAnsi="IRNazanin" w:eastAsia="IRNazanin" w:cs="IRNazanin"/>
            <w:color w:val="111111"/>
            <w:sz w:val="22"/>
            <w:szCs w:val="22"/>
            <w:b w:val="0"/>
            <w:bCs w:val="0"/>
            <w:i w:val="0"/>
            <w:iCs w:val="0"/>
          </w:rPr>
          <w:t>7197- دیوان منیر کرمانی أو شعره‏</w:t>
        </w:r>
        <w:r>
          <w:tab/>
        </w:r>
        <w:r>
          <w:fldChar w:fldCharType="begin"/>
        </w:r>
        <w:r>
          <w:instrText xml:space="preserve">PAGEREF 8241 \h</w:instrText>
        </w:r>
        <w:r>
          <w:fldChar w:fldCharType="end"/>
        </w:r>
      </w:hyperlink>
    </w:p>
    <w:p>
      <w:pPr>
        <w:tabs>
          <w:tab w:val="right" w:leader="dot" w:pos="9062"/>
        </w:tabs>
        <w:ind w:left="440"/>
      </w:pPr>
      <w:hyperlink w:anchor="_Toc8242" w:history="1">
        <w:r>
          <w:rPr>
            <w:rFonts w:ascii="IRNazanin" w:hAnsi="IRNazanin" w:eastAsia="IRNazanin" w:cs="IRNazanin"/>
            <w:color w:val="111111"/>
            <w:sz w:val="22"/>
            <w:szCs w:val="22"/>
            <w:b w:val="0"/>
            <w:bCs w:val="0"/>
            <w:i w:val="0"/>
            <w:iCs w:val="0"/>
          </w:rPr>
          <w:t>7198- دیوان منیر لاهوری‏</w:t>
        </w:r>
        <w:r>
          <w:tab/>
        </w:r>
        <w:r>
          <w:fldChar w:fldCharType="begin"/>
        </w:r>
        <w:r>
          <w:instrText xml:space="preserve">PAGEREF 8242 \h</w:instrText>
        </w:r>
        <w:r>
          <w:fldChar w:fldCharType="end"/>
        </w:r>
      </w:hyperlink>
    </w:p>
    <w:p>
      <w:pPr>
        <w:tabs>
          <w:tab w:val="right" w:leader="dot" w:pos="9062"/>
        </w:tabs>
        <w:ind w:left="440"/>
      </w:pPr>
      <w:hyperlink w:anchor="_Toc8243" w:history="1">
        <w:r>
          <w:rPr>
            <w:rFonts w:ascii="IRNazanin" w:hAnsi="IRNazanin" w:eastAsia="IRNazanin" w:cs="IRNazanin"/>
            <w:color w:val="111111"/>
            <w:sz w:val="22"/>
            <w:szCs w:val="22"/>
            <w:b w:val="0"/>
            <w:bCs w:val="0"/>
            <w:i w:val="0"/>
            <w:iCs w:val="0"/>
          </w:rPr>
          <w:t>دیوان منیر ملتانی‏</w:t>
        </w:r>
        <w:r>
          <w:tab/>
        </w:r>
        <w:r>
          <w:fldChar w:fldCharType="begin"/>
        </w:r>
        <w:r>
          <w:instrText xml:space="preserve">PAGEREF 8243 \h</w:instrText>
        </w:r>
        <w:r>
          <w:fldChar w:fldCharType="end"/>
        </w:r>
      </w:hyperlink>
    </w:p>
    <w:p>
      <w:pPr>
        <w:tabs>
          <w:tab w:val="right" w:leader="dot" w:pos="9062"/>
        </w:tabs>
        <w:ind w:left="440"/>
      </w:pPr>
      <w:hyperlink w:anchor="_Toc8244" w:history="1">
        <w:r>
          <w:rPr>
            <w:rFonts w:ascii="IRNazanin" w:hAnsi="IRNazanin" w:eastAsia="IRNazanin" w:cs="IRNazanin"/>
            <w:color w:val="111111"/>
            <w:sz w:val="22"/>
            <w:szCs w:val="22"/>
            <w:b w:val="0"/>
            <w:bCs w:val="0"/>
            <w:i w:val="0"/>
            <w:iCs w:val="0"/>
          </w:rPr>
          <w:t>7199- دیوان منیر طالقانی أو شعره‏</w:t>
        </w:r>
        <w:r>
          <w:tab/>
        </w:r>
        <w:r>
          <w:fldChar w:fldCharType="begin"/>
        </w:r>
        <w:r>
          <w:instrText xml:space="preserve">PAGEREF 8244 \h</w:instrText>
        </w:r>
        <w:r>
          <w:fldChar w:fldCharType="end"/>
        </w:r>
      </w:hyperlink>
    </w:p>
    <w:p>
      <w:pPr>
        <w:tabs>
          <w:tab w:val="right" w:leader="dot" w:pos="9062"/>
        </w:tabs>
        <w:ind w:left="440"/>
      </w:pPr>
      <w:hyperlink w:anchor="_Toc8245" w:history="1">
        <w:r>
          <w:rPr>
            <w:rFonts w:ascii="IRNazanin" w:hAnsi="IRNazanin" w:eastAsia="IRNazanin" w:cs="IRNazanin"/>
            <w:color w:val="111111"/>
            <w:sz w:val="22"/>
            <w:szCs w:val="22"/>
            <w:b w:val="0"/>
            <w:bCs w:val="0"/>
            <w:i w:val="0"/>
            <w:iCs w:val="0"/>
          </w:rPr>
          <w:t>7200- دیوان منیری هندی‏</w:t>
        </w:r>
        <w:r>
          <w:tab/>
        </w:r>
        <w:r>
          <w:fldChar w:fldCharType="begin"/>
        </w:r>
        <w:r>
          <w:instrText xml:space="preserve">PAGEREF 8245 \h</w:instrText>
        </w:r>
        <w:r>
          <w:fldChar w:fldCharType="end"/>
        </w:r>
      </w:hyperlink>
    </w:p>
    <w:p>
      <w:pPr>
        <w:tabs>
          <w:tab w:val="right" w:leader="dot" w:pos="9062"/>
        </w:tabs>
        <w:ind w:left="440"/>
      </w:pPr>
      <w:hyperlink w:anchor="_Toc8246" w:history="1">
        <w:r>
          <w:rPr>
            <w:rFonts w:ascii="IRNazanin" w:hAnsi="IRNazanin" w:eastAsia="IRNazanin" w:cs="IRNazanin"/>
            <w:color w:val="111111"/>
            <w:sz w:val="22"/>
            <w:szCs w:val="22"/>
            <w:b w:val="0"/>
            <w:bCs w:val="0"/>
            <w:i w:val="0"/>
            <w:iCs w:val="0"/>
          </w:rPr>
          <w:t>7201- دیوان مواج أو شعره‏</w:t>
        </w:r>
        <w:r>
          <w:tab/>
        </w:r>
        <w:r>
          <w:fldChar w:fldCharType="begin"/>
        </w:r>
        <w:r>
          <w:instrText xml:space="preserve">PAGEREF 8246 \h</w:instrText>
        </w:r>
        <w:r>
          <w:fldChar w:fldCharType="end"/>
        </w:r>
      </w:hyperlink>
    </w:p>
    <w:p>
      <w:pPr>
        <w:tabs>
          <w:tab w:val="right" w:leader="dot" w:pos="9062"/>
        </w:tabs>
        <w:ind w:left="440"/>
      </w:pPr>
      <w:hyperlink w:anchor="_Toc8247" w:history="1">
        <w:r>
          <w:rPr>
            <w:rFonts w:ascii="IRNazanin" w:hAnsi="IRNazanin" w:eastAsia="IRNazanin" w:cs="IRNazanin"/>
            <w:color w:val="111111"/>
            <w:sz w:val="22"/>
            <w:szCs w:val="22"/>
            <w:b w:val="0"/>
            <w:bCs w:val="0"/>
            <w:i w:val="0"/>
            <w:iCs w:val="0"/>
          </w:rPr>
          <w:t>7202- دیوان موافق أصفهانی‏</w:t>
        </w:r>
        <w:r>
          <w:tab/>
        </w:r>
        <w:r>
          <w:fldChar w:fldCharType="begin"/>
        </w:r>
        <w:r>
          <w:instrText xml:space="preserve">PAGEREF 8247 \h</w:instrText>
        </w:r>
        <w:r>
          <w:fldChar w:fldCharType="end"/>
        </w:r>
      </w:hyperlink>
    </w:p>
    <w:p>
      <w:pPr>
        <w:tabs>
          <w:tab w:val="right" w:leader="dot" w:pos="9062"/>
        </w:tabs>
        <w:ind w:left="440"/>
      </w:pPr>
      <w:hyperlink w:anchor="_Toc8248" w:history="1">
        <w:r>
          <w:rPr>
            <w:rFonts w:ascii="IRNazanin" w:hAnsi="IRNazanin" w:eastAsia="IRNazanin" w:cs="IRNazanin"/>
            <w:color w:val="111111"/>
            <w:sz w:val="22"/>
            <w:szCs w:val="22"/>
            <w:b w:val="0"/>
            <w:bCs w:val="0"/>
            <w:i w:val="0"/>
            <w:iCs w:val="0"/>
          </w:rPr>
          <w:t>7203- دیوان موالی أصفهانی أو شعره‏</w:t>
        </w:r>
        <w:r>
          <w:tab/>
        </w:r>
        <w:r>
          <w:fldChar w:fldCharType="begin"/>
        </w:r>
        <w:r>
          <w:instrText xml:space="preserve">PAGEREF 8248 \h</w:instrText>
        </w:r>
        <w:r>
          <w:fldChar w:fldCharType="end"/>
        </w:r>
      </w:hyperlink>
    </w:p>
    <w:p>
      <w:pPr>
        <w:tabs>
          <w:tab w:val="right" w:leader="dot" w:pos="9062"/>
        </w:tabs>
        <w:ind w:left="440"/>
      </w:pPr>
      <w:hyperlink w:anchor="_Toc8249" w:history="1">
        <w:r>
          <w:rPr>
            <w:rFonts w:ascii="IRNazanin" w:hAnsi="IRNazanin" w:eastAsia="IRNazanin" w:cs="IRNazanin"/>
            <w:color w:val="111111"/>
            <w:sz w:val="22"/>
            <w:szCs w:val="22"/>
            <w:b w:val="0"/>
            <w:bCs w:val="0"/>
            <w:i w:val="0"/>
            <w:iCs w:val="0"/>
          </w:rPr>
          <w:t>7204- دیوان موالی ترکمان أو شعره‏</w:t>
        </w:r>
        <w:r>
          <w:tab/>
        </w:r>
        <w:r>
          <w:fldChar w:fldCharType="begin"/>
        </w:r>
        <w:r>
          <w:instrText xml:space="preserve">PAGEREF 8249 \h</w:instrText>
        </w:r>
        <w:r>
          <w:fldChar w:fldCharType="end"/>
        </w:r>
      </w:hyperlink>
    </w:p>
    <w:p>
      <w:pPr>
        <w:tabs>
          <w:tab w:val="right" w:leader="dot" w:pos="9062"/>
        </w:tabs>
        <w:ind w:left="440"/>
      </w:pPr>
      <w:hyperlink w:anchor="_Toc8250" w:history="1">
        <w:r>
          <w:rPr>
            <w:rFonts w:ascii="IRNazanin" w:hAnsi="IRNazanin" w:eastAsia="IRNazanin" w:cs="IRNazanin"/>
            <w:color w:val="111111"/>
            <w:sz w:val="22"/>
            <w:szCs w:val="22"/>
            <w:b w:val="0"/>
            <w:bCs w:val="0"/>
            <w:i w:val="0"/>
            <w:iCs w:val="0"/>
          </w:rPr>
          <w:t>7205- دیوان موالی تونی‏</w:t>
        </w:r>
        <w:r>
          <w:tab/>
        </w:r>
        <w:r>
          <w:fldChar w:fldCharType="begin"/>
        </w:r>
        <w:r>
          <w:instrText xml:space="preserve">PAGEREF 8250 \h</w:instrText>
        </w:r>
        <w:r>
          <w:fldChar w:fldCharType="end"/>
        </w:r>
      </w:hyperlink>
    </w:p>
    <w:p>
      <w:pPr>
        <w:tabs>
          <w:tab w:val="right" w:leader="dot" w:pos="9062"/>
        </w:tabs>
        <w:ind w:left="440"/>
      </w:pPr>
      <w:hyperlink w:anchor="_Toc8251" w:history="1">
        <w:r>
          <w:rPr>
            <w:rFonts w:ascii="IRNazanin" w:hAnsi="IRNazanin" w:eastAsia="IRNazanin" w:cs="IRNazanin"/>
            <w:color w:val="111111"/>
            <w:sz w:val="22"/>
            <w:szCs w:val="22"/>
            <w:b w:val="0"/>
            <w:bCs w:val="0"/>
            <w:i w:val="0"/>
            <w:iCs w:val="0"/>
          </w:rPr>
          <w:t>7206- دیوان موالی کشمیری أو شعره‏</w:t>
        </w:r>
        <w:r>
          <w:tab/>
        </w:r>
        <w:r>
          <w:fldChar w:fldCharType="begin"/>
        </w:r>
        <w:r>
          <w:instrText xml:space="preserve">PAGEREF 8251 \h</w:instrText>
        </w:r>
        <w:r>
          <w:fldChar w:fldCharType="end"/>
        </w:r>
      </w:hyperlink>
    </w:p>
    <w:p>
      <w:pPr>
        <w:tabs>
          <w:tab w:val="right" w:leader="dot" w:pos="9062"/>
        </w:tabs>
        <w:ind w:left="440"/>
      </w:pPr>
      <w:hyperlink w:anchor="_Toc8252" w:history="1">
        <w:r>
          <w:rPr>
            <w:rFonts w:ascii="IRNazanin" w:hAnsi="IRNazanin" w:eastAsia="IRNazanin" w:cs="IRNazanin"/>
            <w:color w:val="111111"/>
            <w:sz w:val="22"/>
            <w:szCs w:val="22"/>
            <w:b w:val="0"/>
            <w:bCs w:val="0"/>
            <w:i w:val="0"/>
            <w:iCs w:val="0"/>
          </w:rPr>
          <w:t>7207- دیوان موالی لاری أو شعره‏</w:t>
        </w:r>
        <w:r>
          <w:tab/>
        </w:r>
        <w:r>
          <w:fldChar w:fldCharType="begin"/>
        </w:r>
        <w:r>
          <w:instrText xml:space="preserve">PAGEREF 8252 \h</w:instrText>
        </w:r>
        <w:r>
          <w:fldChar w:fldCharType="end"/>
        </w:r>
      </w:hyperlink>
    </w:p>
    <w:p>
      <w:pPr>
        <w:tabs>
          <w:tab w:val="right" w:leader="dot" w:pos="9062"/>
        </w:tabs>
        <w:ind w:left="440"/>
      </w:pPr>
      <w:hyperlink w:anchor="_Toc8253" w:history="1">
        <w:r>
          <w:rPr>
            <w:rFonts w:ascii="IRNazanin" w:hAnsi="IRNazanin" w:eastAsia="IRNazanin" w:cs="IRNazanin"/>
            <w:color w:val="111111"/>
            <w:sz w:val="22"/>
            <w:szCs w:val="22"/>
            <w:b w:val="0"/>
            <w:bCs w:val="0"/>
            <w:i w:val="0"/>
            <w:iCs w:val="0"/>
          </w:rPr>
          <w:t>7208- دیوان مؤبد آذربایجانی أو شعره‏</w:t>
        </w:r>
        <w:r>
          <w:tab/>
        </w:r>
        <w:r>
          <w:fldChar w:fldCharType="begin"/>
        </w:r>
        <w:r>
          <w:instrText xml:space="preserve">PAGEREF 8253 \h</w:instrText>
        </w:r>
        <w:r>
          <w:fldChar w:fldCharType="end"/>
        </w:r>
      </w:hyperlink>
    </w:p>
    <w:p>
      <w:pPr>
        <w:tabs>
          <w:tab w:val="right" w:leader="dot" w:pos="9062"/>
        </w:tabs>
        <w:ind w:left="440"/>
      </w:pPr>
      <w:hyperlink w:anchor="_Toc8254" w:history="1">
        <w:r>
          <w:rPr>
            <w:rFonts w:ascii="IRNazanin" w:hAnsi="IRNazanin" w:eastAsia="IRNazanin" w:cs="IRNazanin"/>
            <w:color w:val="111111"/>
            <w:sz w:val="22"/>
            <w:szCs w:val="22"/>
            <w:b w:val="0"/>
            <w:bCs w:val="0"/>
            <w:i w:val="0"/>
            <w:iCs w:val="0"/>
          </w:rPr>
          <w:t>7209- دیوان مؤبد فارسی أو شعره‏</w:t>
        </w:r>
        <w:r>
          <w:tab/>
        </w:r>
        <w:r>
          <w:fldChar w:fldCharType="begin"/>
        </w:r>
        <w:r>
          <w:instrText xml:space="preserve">PAGEREF 8254 \h</w:instrText>
        </w:r>
        <w:r>
          <w:fldChar w:fldCharType="end"/>
        </w:r>
      </w:hyperlink>
    </w:p>
    <w:p>
      <w:pPr>
        <w:tabs>
          <w:tab w:val="right" w:leader="dot" w:pos="9062"/>
        </w:tabs>
        <w:ind w:left="440"/>
      </w:pPr>
      <w:hyperlink w:anchor="_Toc8255" w:history="1">
        <w:r>
          <w:rPr>
            <w:rFonts w:ascii="IRNazanin" w:hAnsi="IRNazanin" w:eastAsia="IRNazanin" w:cs="IRNazanin"/>
            <w:color w:val="111111"/>
            <w:sz w:val="22"/>
            <w:szCs w:val="22"/>
            <w:b w:val="0"/>
            <w:bCs w:val="0"/>
            <w:i w:val="0"/>
            <w:iCs w:val="0"/>
          </w:rPr>
          <w:t>7210- دیوان مؤبد کاشانی‏</w:t>
        </w:r>
        <w:r>
          <w:tab/>
        </w:r>
        <w:r>
          <w:fldChar w:fldCharType="begin"/>
        </w:r>
        <w:r>
          <w:instrText xml:space="preserve">PAGEREF 8255 \h</w:instrText>
        </w:r>
        <w:r>
          <w:fldChar w:fldCharType="end"/>
        </w:r>
      </w:hyperlink>
    </w:p>
    <w:p>
      <w:pPr>
        <w:tabs>
          <w:tab w:val="right" w:leader="dot" w:pos="9062"/>
        </w:tabs>
        <w:ind w:left="440"/>
      </w:pPr>
      <w:hyperlink w:anchor="_Toc8256" w:history="1">
        <w:r>
          <w:rPr>
            <w:rFonts w:ascii="IRNazanin" w:hAnsi="IRNazanin" w:eastAsia="IRNazanin" w:cs="IRNazanin"/>
            <w:color w:val="111111"/>
            <w:sz w:val="22"/>
            <w:szCs w:val="22"/>
            <w:b w:val="0"/>
            <w:bCs w:val="0"/>
            <w:i w:val="0"/>
            <w:iCs w:val="0"/>
          </w:rPr>
          <w:t>7211- دیوان مؤتمن الملک أنصاری أو شعره‏</w:t>
        </w:r>
        <w:r>
          <w:tab/>
        </w:r>
        <w:r>
          <w:fldChar w:fldCharType="begin"/>
        </w:r>
        <w:r>
          <w:instrText xml:space="preserve">PAGEREF 8256 \h</w:instrText>
        </w:r>
        <w:r>
          <w:fldChar w:fldCharType="end"/>
        </w:r>
      </w:hyperlink>
    </w:p>
    <w:p>
      <w:pPr>
        <w:tabs>
          <w:tab w:val="right" w:leader="dot" w:pos="9062"/>
        </w:tabs>
        <w:ind w:left="440"/>
      </w:pPr>
      <w:hyperlink w:anchor="_Toc8257" w:history="1">
        <w:r>
          <w:rPr>
            <w:rFonts w:ascii="IRNazanin" w:hAnsi="IRNazanin" w:eastAsia="IRNazanin" w:cs="IRNazanin"/>
            <w:color w:val="111111"/>
            <w:sz w:val="22"/>
            <w:szCs w:val="22"/>
            <w:b w:val="0"/>
            <w:bCs w:val="0"/>
            <w:i w:val="0"/>
            <w:iCs w:val="0"/>
          </w:rPr>
          <w:t>7212- دیوان موجد أصفهانی أو شعره‏</w:t>
        </w:r>
        <w:r>
          <w:tab/>
        </w:r>
        <w:r>
          <w:fldChar w:fldCharType="begin"/>
        </w:r>
        <w:r>
          <w:instrText xml:space="preserve">PAGEREF 8257 \h</w:instrText>
        </w:r>
        <w:r>
          <w:fldChar w:fldCharType="end"/>
        </w:r>
      </w:hyperlink>
    </w:p>
    <w:p>
      <w:pPr>
        <w:tabs>
          <w:tab w:val="right" w:leader="dot" w:pos="9062"/>
        </w:tabs>
        <w:ind w:left="440"/>
      </w:pPr>
      <w:hyperlink w:anchor="_Toc8258" w:history="1">
        <w:r>
          <w:rPr>
            <w:rFonts w:ascii="IRNazanin" w:hAnsi="IRNazanin" w:eastAsia="IRNazanin" w:cs="IRNazanin"/>
            <w:color w:val="111111"/>
            <w:sz w:val="22"/>
            <w:szCs w:val="22"/>
            <w:b w:val="0"/>
            <w:bCs w:val="0"/>
            <w:i w:val="0"/>
            <w:iCs w:val="0"/>
          </w:rPr>
          <w:t>7213- دیوان موجد بلگرامی أو شعره‏</w:t>
        </w:r>
        <w:r>
          <w:tab/>
        </w:r>
        <w:r>
          <w:fldChar w:fldCharType="begin"/>
        </w:r>
        <w:r>
          <w:instrText xml:space="preserve">PAGEREF 8258 \h</w:instrText>
        </w:r>
        <w:r>
          <w:fldChar w:fldCharType="end"/>
        </w:r>
      </w:hyperlink>
    </w:p>
    <w:p>
      <w:pPr>
        <w:tabs>
          <w:tab w:val="right" w:leader="dot" w:pos="9062"/>
        </w:tabs>
        <w:ind w:left="440"/>
      </w:pPr>
      <w:hyperlink w:anchor="_Toc8259" w:history="1">
        <w:r>
          <w:rPr>
            <w:rFonts w:ascii="IRNazanin" w:hAnsi="IRNazanin" w:eastAsia="IRNazanin" w:cs="IRNazanin"/>
            <w:color w:val="111111"/>
            <w:sz w:val="22"/>
            <w:szCs w:val="22"/>
            <w:b w:val="0"/>
            <w:bCs w:val="0"/>
            <w:i w:val="0"/>
            <w:iCs w:val="0"/>
          </w:rPr>
          <w:t>7214- دیوان موجد شیرازی أو شعره‏</w:t>
        </w:r>
        <w:r>
          <w:tab/>
        </w:r>
        <w:r>
          <w:fldChar w:fldCharType="begin"/>
        </w:r>
        <w:r>
          <w:instrText xml:space="preserve">PAGEREF 8259 \h</w:instrText>
        </w:r>
        <w:r>
          <w:fldChar w:fldCharType="end"/>
        </w:r>
      </w:hyperlink>
    </w:p>
    <w:p>
      <w:pPr>
        <w:tabs>
          <w:tab w:val="right" w:leader="dot" w:pos="9062"/>
        </w:tabs>
        <w:ind w:left="440"/>
      </w:pPr>
      <w:hyperlink w:anchor="_Toc8260" w:history="1">
        <w:r>
          <w:rPr>
            <w:rFonts w:ascii="IRNazanin" w:hAnsi="IRNazanin" w:eastAsia="IRNazanin" w:cs="IRNazanin"/>
            <w:color w:val="111111"/>
            <w:sz w:val="22"/>
            <w:szCs w:val="22"/>
            <w:b w:val="0"/>
            <w:bCs w:val="0"/>
            <w:i w:val="0"/>
            <w:iCs w:val="0"/>
          </w:rPr>
          <w:t>7215- دیوان موجد کلکته‏ای أو شعره‏</w:t>
        </w:r>
        <w:r>
          <w:tab/>
        </w:r>
        <w:r>
          <w:fldChar w:fldCharType="begin"/>
        </w:r>
        <w:r>
          <w:instrText xml:space="preserve">PAGEREF 8260 \h</w:instrText>
        </w:r>
        <w:r>
          <w:fldChar w:fldCharType="end"/>
        </w:r>
      </w:hyperlink>
    </w:p>
    <w:p>
      <w:pPr>
        <w:tabs>
          <w:tab w:val="right" w:leader="dot" w:pos="9062"/>
        </w:tabs>
        <w:ind w:left="440"/>
      </w:pPr>
      <w:hyperlink w:anchor="_Toc8261" w:history="1">
        <w:r>
          <w:rPr>
            <w:rFonts w:ascii="IRNazanin" w:hAnsi="IRNazanin" w:eastAsia="IRNazanin" w:cs="IRNazanin"/>
            <w:color w:val="111111"/>
            <w:sz w:val="22"/>
            <w:szCs w:val="22"/>
            <w:b w:val="0"/>
            <w:bCs w:val="0"/>
            <w:i w:val="0"/>
            <w:iCs w:val="0"/>
          </w:rPr>
          <w:t>دیوان موجد موهانی‏</w:t>
        </w:r>
        <w:r>
          <w:tab/>
        </w:r>
        <w:r>
          <w:fldChar w:fldCharType="begin"/>
        </w:r>
        <w:r>
          <w:instrText xml:space="preserve">PAGEREF 8261 \h</w:instrText>
        </w:r>
        <w:r>
          <w:fldChar w:fldCharType="end"/>
        </w:r>
      </w:hyperlink>
    </w:p>
    <w:p>
      <w:pPr>
        <w:tabs>
          <w:tab w:val="right" w:leader="dot" w:pos="9062"/>
        </w:tabs>
        <w:ind w:left="440"/>
      </w:pPr>
      <w:hyperlink w:anchor="_Toc8262" w:history="1">
        <w:r>
          <w:rPr>
            <w:rFonts w:ascii="IRNazanin" w:hAnsi="IRNazanin" w:eastAsia="IRNazanin" w:cs="IRNazanin"/>
            <w:color w:val="111111"/>
            <w:sz w:val="22"/>
            <w:szCs w:val="22"/>
            <w:b w:val="0"/>
            <w:bCs w:val="0"/>
            <w:i w:val="0"/>
            <w:iCs w:val="0"/>
          </w:rPr>
          <w:t>7216- دیوان موجد همدانی أو شعره‏</w:t>
        </w:r>
        <w:r>
          <w:tab/>
        </w:r>
        <w:r>
          <w:fldChar w:fldCharType="begin"/>
        </w:r>
        <w:r>
          <w:instrText xml:space="preserve">PAGEREF 8262 \h</w:instrText>
        </w:r>
        <w:r>
          <w:fldChar w:fldCharType="end"/>
        </w:r>
      </w:hyperlink>
    </w:p>
    <w:p>
      <w:pPr>
        <w:tabs>
          <w:tab w:val="right" w:leader="dot" w:pos="9062"/>
        </w:tabs>
        <w:ind w:left="440"/>
      </w:pPr>
      <w:hyperlink w:anchor="_Toc8263" w:history="1">
        <w:r>
          <w:rPr>
            <w:rFonts w:ascii="IRNazanin" w:hAnsi="IRNazanin" w:eastAsia="IRNazanin" w:cs="IRNazanin"/>
            <w:color w:val="111111"/>
            <w:sz w:val="22"/>
            <w:szCs w:val="22"/>
            <w:b w:val="0"/>
            <w:bCs w:val="0"/>
            <w:i w:val="0"/>
            <w:iCs w:val="0"/>
          </w:rPr>
          <w:t>7217- دیوان موجود أو شعره‏</w:t>
        </w:r>
        <w:r>
          <w:tab/>
        </w:r>
        <w:r>
          <w:fldChar w:fldCharType="begin"/>
        </w:r>
        <w:r>
          <w:instrText xml:space="preserve">PAGEREF 8263 \h</w:instrText>
        </w:r>
        <w:r>
          <w:fldChar w:fldCharType="end"/>
        </w:r>
      </w:hyperlink>
    </w:p>
    <w:p>
      <w:pPr>
        <w:tabs>
          <w:tab w:val="right" w:leader="dot" w:pos="9062"/>
        </w:tabs>
        <w:ind w:left="440"/>
      </w:pPr>
      <w:hyperlink w:anchor="_Toc8264" w:history="1">
        <w:r>
          <w:rPr>
            <w:rFonts w:ascii="IRNazanin" w:hAnsi="IRNazanin" w:eastAsia="IRNazanin" w:cs="IRNazanin"/>
            <w:color w:val="111111"/>
            <w:sz w:val="22"/>
            <w:szCs w:val="22"/>
            <w:b w:val="0"/>
            <w:bCs w:val="0"/>
            <w:i w:val="0"/>
            <w:iCs w:val="0"/>
          </w:rPr>
          <w:t>7218- دیوان موجی اهری أو شعره‏</w:t>
        </w:r>
        <w:r>
          <w:tab/>
        </w:r>
        <w:r>
          <w:fldChar w:fldCharType="begin"/>
        </w:r>
        <w:r>
          <w:instrText xml:space="preserve">PAGEREF 8264 \h</w:instrText>
        </w:r>
        <w:r>
          <w:fldChar w:fldCharType="end"/>
        </w:r>
      </w:hyperlink>
    </w:p>
    <w:p>
      <w:pPr>
        <w:tabs>
          <w:tab w:val="right" w:leader="dot" w:pos="9062"/>
        </w:tabs>
        <w:ind w:left="440"/>
      </w:pPr>
      <w:hyperlink w:anchor="_Toc8265" w:history="1">
        <w:r>
          <w:rPr>
            <w:rFonts w:ascii="IRNazanin" w:hAnsi="IRNazanin" w:eastAsia="IRNazanin" w:cs="IRNazanin"/>
            <w:color w:val="111111"/>
            <w:sz w:val="22"/>
            <w:szCs w:val="22"/>
            <w:b w:val="0"/>
            <w:bCs w:val="0"/>
            <w:i w:val="0"/>
            <w:iCs w:val="0"/>
          </w:rPr>
          <w:t>7219- دیوان موجی بدخشانی‏</w:t>
        </w:r>
        <w:r>
          <w:tab/>
        </w:r>
        <w:r>
          <w:fldChar w:fldCharType="begin"/>
        </w:r>
        <w:r>
          <w:instrText xml:space="preserve">PAGEREF 8265 \h</w:instrText>
        </w:r>
        <w:r>
          <w:fldChar w:fldCharType="end"/>
        </w:r>
      </w:hyperlink>
    </w:p>
    <w:p>
      <w:pPr>
        <w:tabs>
          <w:tab w:val="right" w:leader="dot" w:pos="9062"/>
        </w:tabs>
        <w:ind w:left="440"/>
      </w:pPr>
      <w:hyperlink w:anchor="_Toc8266" w:history="1">
        <w:r>
          <w:rPr>
            <w:rFonts w:ascii="IRNazanin" w:hAnsi="IRNazanin" w:eastAsia="IRNazanin" w:cs="IRNazanin"/>
            <w:color w:val="111111"/>
            <w:sz w:val="22"/>
            <w:szCs w:val="22"/>
            <w:b w:val="0"/>
            <w:bCs w:val="0"/>
            <w:i w:val="0"/>
            <w:iCs w:val="0"/>
          </w:rPr>
          <w:t>7220- دیوان موجی گرجی أو شعره‏</w:t>
        </w:r>
        <w:r>
          <w:tab/>
        </w:r>
        <w:r>
          <w:fldChar w:fldCharType="begin"/>
        </w:r>
        <w:r>
          <w:instrText xml:space="preserve">PAGEREF 8266 \h</w:instrText>
        </w:r>
        <w:r>
          <w:fldChar w:fldCharType="end"/>
        </w:r>
      </w:hyperlink>
    </w:p>
    <w:p>
      <w:pPr>
        <w:tabs>
          <w:tab w:val="right" w:leader="dot" w:pos="9062"/>
        </w:tabs>
        <w:ind w:left="440"/>
      </w:pPr>
      <w:hyperlink w:anchor="_Toc8267" w:history="1">
        <w:r>
          <w:rPr>
            <w:rFonts w:ascii="IRNazanin" w:hAnsi="IRNazanin" w:eastAsia="IRNazanin" w:cs="IRNazanin"/>
            <w:color w:val="111111"/>
            <w:sz w:val="22"/>
            <w:szCs w:val="22"/>
            <w:b w:val="0"/>
            <w:bCs w:val="0"/>
            <w:i w:val="0"/>
            <w:iCs w:val="0"/>
          </w:rPr>
          <w:t>دیوان موجد طالقانی‏</w:t>
        </w:r>
        <w:r>
          <w:tab/>
        </w:r>
        <w:r>
          <w:fldChar w:fldCharType="begin"/>
        </w:r>
        <w:r>
          <w:instrText xml:space="preserve">PAGEREF 8267 \h</w:instrText>
        </w:r>
        <w:r>
          <w:fldChar w:fldCharType="end"/>
        </w:r>
      </w:hyperlink>
    </w:p>
    <w:p>
      <w:pPr>
        <w:tabs>
          <w:tab w:val="right" w:leader="dot" w:pos="9062"/>
        </w:tabs>
        <w:ind w:left="440"/>
      </w:pPr>
      <w:hyperlink w:anchor="_Toc8268" w:history="1">
        <w:r>
          <w:rPr>
            <w:rFonts w:ascii="IRNazanin" w:hAnsi="IRNazanin" w:eastAsia="IRNazanin" w:cs="IRNazanin"/>
            <w:color w:val="111111"/>
            <w:sz w:val="22"/>
            <w:szCs w:val="22"/>
            <w:b w:val="0"/>
            <w:bCs w:val="0"/>
            <w:i w:val="0"/>
            <w:iCs w:val="0"/>
          </w:rPr>
          <w:t>7221- دیوان مودود چشتی أو شعره‏</w:t>
        </w:r>
        <w:r>
          <w:tab/>
        </w:r>
        <w:r>
          <w:fldChar w:fldCharType="begin"/>
        </w:r>
        <w:r>
          <w:instrText xml:space="preserve">PAGEREF 8268 \h</w:instrText>
        </w:r>
        <w:r>
          <w:fldChar w:fldCharType="end"/>
        </w:r>
      </w:hyperlink>
    </w:p>
    <w:p>
      <w:pPr>
        <w:tabs>
          <w:tab w:val="right" w:leader="dot" w:pos="9062"/>
        </w:tabs>
        <w:ind w:left="440"/>
      </w:pPr>
      <w:hyperlink w:anchor="_Toc8269" w:history="1">
        <w:r>
          <w:rPr>
            <w:rFonts w:ascii="IRNazanin" w:hAnsi="IRNazanin" w:eastAsia="IRNazanin" w:cs="IRNazanin"/>
            <w:color w:val="111111"/>
            <w:sz w:val="22"/>
            <w:szCs w:val="22"/>
            <w:b w:val="0"/>
            <w:bCs w:val="0"/>
            <w:i w:val="0"/>
            <w:iCs w:val="0"/>
          </w:rPr>
          <w:t>7222- دیوان مؤذن خراسانی‏</w:t>
        </w:r>
        <w:r>
          <w:tab/>
        </w:r>
        <w:r>
          <w:fldChar w:fldCharType="begin"/>
        </w:r>
        <w:r>
          <w:instrText xml:space="preserve">PAGEREF 8269 \h</w:instrText>
        </w:r>
        <w:r>
          <w:fldChar w:fldCharType="end"/>
        </w:r>
      </w:hyperlink>
    </w:p>
    <w:p>
      <w:pPr>
        <w:tabs>
          <w:tab w:val="right" w:leader="dot" w:pos="9062"/>
        </w:tabs>
        <w:ind w:left="440"/>
      </w:pPr>
      <w:hyperlink w:anchor="_Toc8270" w:history="1">
        <w:r>
          <w:rPr>
            <w:rFonts w:ascii="IRNazanin" w:hAnsi="IRNazanin" w:eastAsia="IRNazanin" w:cs="IRNazanin"/>
            <w:color w:val="111111"/>
            <w:sz w:val="22"/>
            <w:szCs w:val="22"/>
            <w:b w:val="0"/>
            <w:bCs w:val="0"/>
            <w:i w:val="0"/>
            <w:iCs w:val="0"/>
          </w:rPr>
          <w:t>7223- دیوان موزون أصفهانی‏</w:t>
        </w:r>
        <w:r>
          <w:tab/>
        </w:r>
        <w:r>
          <w:fldChar w:fldCharType="begin"/>
        </w:r>
        <w:r>
          <w:instrText xml:space="preserve">PAGEREF 8270 \h</w:instrText>
        </w:r>
        <w:r>
          <w:fldChar w:fldCharType="end"/>
        </w:r>
      </w:hyperlink>
    </w:p>
    <w:p>
      <w:pPr>
        <w:tabs>
          <w:tab w:val="right" w:leader="dot" w:pos="9062"/>
        </w:tabs>
        <w:ind w:left="440"/>
      </w:pPr>
      <w:hyperlink w:anchor="_Toc8271" w:history="1">
        <w:r>
          <w:rPr>
            <w:rFonts w:ascii="IRNazanin" w:hAnsi="IRNazanin" w:eastAsia="IRNazanin" w:cs="IRNazanin"/>
            <w:color w:val="111111"/>
            <w:sz w:val="22"/>
            <w:szCs w:val="22"/>
            <w:b w:val="0"/>
            <w:bCs w:val="0"/>
            <w:i w:val="0"/>
            <w:iCs w:val="0"/>
          </w:rPr>
          <w:t>7224- دیوان موزون الملک تبریزی أو شعره‏</w:t>
        </w:r>
        <w:r>
          <w:tab/>
        </w:r>
        <w:r>
          <w:fldChar w:fldCharType="begin"/>
        </w:r>
        <w:r>
          <w:instrText xml:space="preserve">PAGEREF 8271 \h</w:instrText>
        </w:r>
        <w:r>
          <w:fldChar w:fldCharType="end"/>
        </w:r>
      </w:hyperlink>
    </w:p>
    <w:p>
      <w:pPr>
        <w:tabs>
          <w:tab w:val="right" w:leader="dot" w:pos="9062"/>
        </w:tabs>
        <w:ind w:left="440"/>
      </w:pPr>
      <w:hyperlink w:anchor="_Toc8272" w:history="1">
        <w:r>
          <w:rPr>
            <w:rFonts w:ascii="IRNazanin" w:hAnsi="IRNazanin" w:eastAsia="IRNazanin" w:cs="IRNazanin"/>
            <w:color w:val="111111"/>
            <w:sz w:val="22"/>
            <w:szCs w:val="22"/>
            <w:b w:val="0"/>
            <w:bCs w:val="0"/>
            <w:i w:val="0"/>
            <w:iCs w:val="0"/>
          </w:rPr>
          <w:t>7225- دیوان موزون سمرقندی‏</w:t>
        </w:r>
        <w:r>
          <w:tab/>
        </w:r>
        <w:r>
          <w:fldChar w:fldCharType="begin"/>
        </w:r>
        <w:r>
          <w:instrText xml:space="preserve">PAGEREF 8272 \h</w:instrText>
        </w:r>
        <w:r>
          <w:fldChar w:fldCharType="end"/>
        </w:r>
      </w:hyperlink>
    </w:p>
    <w:p>
      <w:pPr>
        <w:tabs>
          <w:tab w:val="right" w:leader="dot" w:pos="9062"/>
        </w:tabs>
        <w:ind w:left="440"/>
      </w:pPr>
      <w:hyperlink w:anchor="_Toc8273" w:history="1">
        <w:r>
          <w:rPr>
            <w:rFonts w:ascii="IRNazanin" w:hAnsi="IRNazanin" w:eastAsia="IRNazanin" w:cs="IRNazanin"/>
            <w:color w:val="111111"/>
            <w:sz w:val="22"/>
            <w:szCs w:val="22"/>
            <w:b w:val="0"/>
            <w:bCs w:val="0"/>
            <w:i w:val="0"/>
            <w:iCs w:val="0"/>
          </w:rPr>
          <w:t>7226- دیوان موزون ناگوری أو شعره‏</w:t>
        </w:r>
        <w:r>
          <w:tab/>
        </w:r>
        <w:r>
          <w:fldChar w:fldCharType="begin"/>
        </w:r>
        <w:r>
          <w:instrText xml:space="preserve">PAGEREF 8273 \h</w:instrText>
        </w:r>
        <w:r>
          <w:fldChar w:fldCharType="end"/>
        </w:r>
      </w:hyperlink>
    </w:p>
    <w:p>
      <w:pPr>
        <w:tabs>
          <w:tab w:val="right" w:leader="dot" w:pos="9062"/>
        </w:tabs>
        <w:ind w:left="440"/>
      </w:pPr>
      <w:hyperlink w:anchor="_Toc8274" w:history="1">
        <w:r>
          <w:rPr>
            <w:rFonts w:ascii="IRNazanin" w:hAnsi="IRNazanin" w:eastAsia="IRNazanin" w:cs="IRNazanin"/>
            <w:color w:val="111111"/>
            <w:sz w:val="22"/>
            <w:szCs w:val="22"/>
            <w:b w:val="0"/>
            <w:bCs w:val="0"/>
            <w:i w:val="0"/>
            <w:iCs w:val="0"/>
          </w:rPr>
          <w:t>7227- دیوان موسوی خواب بین أو شعره‏</w:t>
        </w:r>
        <w:r>
          <w:tab/>
        </w:r>
        <w:r>
          <w:fldChar w:fldCharType="begin"/>
        </w:r>
        <w:r>
          <w:instrText xml:space="preserve">PAGEREF 8274 \h</w:instrText>
        </w:r>
        <w:r>
          <w:fldChar w:fldCharType="end"/>
        </w:r>
      </w:hyperlink>
    </w:p>
    <w:p>
      <w:pPr>
        <w:tabs>
          <w:tab w:val="right" w:leader="dot" w:pos="9062"/>
        </w:tabs>
        <w:ind w:left="440"/>
      </w:pPr>
      <w:hyperlink w:anchor="_Toc8275" w:history="1">
        <w:r>
          <w:rPr>
            <w:rFonts w:ascii="IRNazanin" w:hAnsi="IRNazanin" w:eastAsia="IRNazanin" w:cs="IRNazanin"/>
            <w:color w:val="111111"/>
            <w:sz w:val="22"/>
            <w:szCs w:val="22"/>
            <w:b w:val="0"/>
            <w:bCs w:val="0"/>
            <w:i w:val="0"/>
            <w:iCs w:val="0"/>
          </w:rPr>
          <w:t>7228- دیوان موسوی خوانساری‏</w:t>
        </w:r>
        <w:r>
          <w:tab/>
        </w:r>
        <w:r>
          <w:fldChar w:fldCharType="begin"/>
        </w:r>
        <w:r>
          <w:instrText xml:space="preserve">PAGEREF 8275 \h</w:instrText>
        </w:r>
        <w:r>
          <w:fldChar w:fldCharType="end"/>
        </w:r>
      </w:hyperlink>
    </w:p>
    <w:p>
      <w:pPr>
        <w:tabs>
          <w:tab w:val="right" w:leader="dot" w:pos="9062"/>
        </w:tabs>
        <w:ind w:left="440"/>
      </w:pPr>
      <w:hyperlink w:anchor="_Toc8276" w:history="1">
        <w:r>
          <w:rPr>
            <w:rFonts w:ascii="IRNazanin" w:hAnsi="IRNazanin" w:eastAsia="IRNazanin" w:cs="IRNazanin"/>
            <w:color w:val="111111"/>
            <w:sz w:val="22"/>
            <w:szCs w:val="22"/>
            <w:b w:val="0"/>
            <w:bCs w:val="0"/>
            <w:i w:val="0"/>
            <w:iCs w:val="0"/>
          </w:rPr>
          <w:t>دیوان موسوی مشهدی‏</w:t>
        </w:r>
        <w:r>
          <w:tab/>
        </w:r>
        <w:r>
          <w:fldChar w:fldCharType="begin"/>
        </w:r>
        <w:r>
          <w:instrText xml:space="preserve">PAGEREF 8276 \h</w:instrText>
        </w:r>
        <w:r>
          <w:fldChar w:fldCharType="end"/>
        </w:r>
      </w:hyperlink>
    </w:p>
    <w:p>
      <w:pPr>
        <w:tabs>
          <w:tab w:val="right" w:leader="dot" w:pos="9062"/>
        </w:tabs>
        <w:ind w:left="440"/>
      </w:pPr>
      <w:hyperlink w:anchor="_Toc8277" w:history="1">
        <w:r>
          <w:rPr>
            <w:rFonts w:ascii="IRNazanin" w:hAnsi="IRNazanin" w:eastAsia="IRNazanin" w:cs="IRNazanin"/>
            <w:color w:val="111111"/>
            <w:sz w:val="22"/>
            <w:szCs w:val="22"/>
            <w:b w:val="0"/>
            <w:bCs w:val="0"/>
            <w:i w:val="0"/>
            <w:iCs w:val="0"/>
          </w:rPr>
          <w:t>7229- دیوان موسوی مشهدی أو شعره‏</w:t>
        </w:r>
        <w:r>
          <w:tab/>
        </w:r>
        <w:r>
          <w:fldChar w:fldCharType="begin"/>
        </w:r>
        <w:r>
          <w:instrText xml:space="preserve">PAGEREF 8277 \h</w:instrText>
        </w:r>
        <w:r>
          <w:fldChar w:fldCharType="end"/>
        </w:r>
      </w:hyperlink>
    </w:p>
    <w:p>
      <w:pPr>
        <w:tabs>
          <w:tab w:val="right" w:leader="dot" w:pos="9062"/>
        </w:tabs>
        <w:ind w:left="440"/>
      </w:pPr>
      <w:hyperlink w:anchor="_Toc8278" w:history="1">
        <w:r>
          <w:rPr>
            <w:rFonts w:ascii="IRNazanin" w:hAnsi="IRNazanin" w:eastAsia="IRNazanin" w:cs="IRNazanin"/>
            <w:color w:val="111111"/>
            <w:sz w:val="22"/>
            <w:szCs w:val="22"/>
            <w:b w:val="0"/>
            <w:bCs w:val="0"/>
            <w:i w:val="0"/>
            <w:iCs w:val="0"/>
          </w:rPr>
          <w:t>7230- دیوان الشیخ موسی الأحسائی‏</w:t>
        </w:r>
        <w:r>
          <w:tab/>
        </w:r>
        <w:r>
          <w:fldChar w:fldCharType="begin"/>
        </w:r>
        <w:r>
          <w:instrText xml:space="preserve">PAGEREF 8278 \h</w:instrText>
        </w:r>
        <w:r>
          <w:fldChar w:fldCharType="end"/>
        </w:r>
      </w:hyperlink>
    </w:p>
    <w:p>
      <w:pPr>
        <w:tabs>
          <w:tab w:val="right" w:leader="dot" w:pos="9062"/>
        </w:tabs>
        <w:ind w:left="440"/>
      </w:pPr>
      <w:hyperlink w:anchor="_Toc8279" w:history="1">
        <w:r>
          <w:rPr>
            <w:rFonts w:ascii="IRNazanin" w:hAnsi="IRNazanin" w:eastAsia="IRNazanin" w:cs="IRNazanin"/>
            <w:color w:val="111111"/>
            <w:sz w:val="22"/>
            <w:szCs w:val="22"/>
            <w:b w:val="0"/>
            <w:bCs w:val="0"/>
            <w:i w:val="0"/>
            <w:iCs w:val="0"/>
          </w:rPr>
          <w:t>7231- دیوان موسی الحرفوشی‏</w:t>
        </w:r>
        <w:r>
          <w:tab/>
        </w:r>
        <w:r>
          <w:fldChar w:fldCharType="begin"/>
        </w:r>
        <w:r>
          <w:instrText xml:space="preserve">PAGEREF 8279 \h</w:instrText>
        </w:r>
        <w:r>
          <w:fldChar w:fldCharType="end"/>
        </w:r>
      </w:hyperlink>
    </w:p>
    <w:p>
      <w:pPr>
        <w:tabs>
          <w:tab w:val="right" w:leader="dot" w:pos="9062"/>
        </w:tabs>
        <w:ind w:left="440"/>
      </w:pPr>
      <w:hyperlink w:anchor="_Toc8280" w:history="1">
        <w:r>
          <w:rPr>
            <w:rFonts w:ascii="IRNazanin" w:hAnsi="IRNazanin" w:eastAsia="IRNazanin" w:cs="IRNazanin"/>
            <w:color w:val="111111"/>
            <w:sz w:val="22"/>
            <w:szCs w:val="22"/>
            <w:b w:val="0"/>
            <w:bCs w:val="0"/>
            <w:i w:val="0"/>
            <w:iCs w:val="0"/>
          </w:rPr>
          <w:t>7232- دیوان موسی سیفی أو شعره‏</w:t>
        </w:r>
        <w:r>
          <w:tab/>
        </w:r>
        <w:r>
          <w:fldChar w:fldCharType="begin"/>
        </w:r>
        <w:r>
          <w:instrText xml:space="preserve">PAGEREF 8280 \h</w:instrText>
        </w:r>
        <w:r>
          <w:fldChar w:fldCharType="end"/>
        </w:r>
      </w:hyperlink>
    </w:p>
    <w:p>
      <w:pPr>
        <w:tabs>
          <w:tab w:val="right" w:leader="dot" w:pos="9062"/>
        </w:tabs>
        <w:ind w:left="440"/>
      </w:pPr>
      <w:hyperlink w:anchor="_Toc8281" w:history="1">
        <w:r>
          <w:rPr>
            <w:rFonts w:ascii="IRNazanin" w:hAnsi="IRNazanin" w:eastAsia="IRNazanin" w:cs="IRNazanin"/>
            <w:color w:val="111111"/>
            <w:sz w:val="22"/>
            <w:szCs w:val="22"/>
            <w:b w:val="0"/>
            <w:bCs w:val="0"/>
            <w:i w:val="0"/>
            <w:iCs w:val="0"/>
          </w:rPr>
          <w:t>7233- دیوان السید موسی الطالقانی‏</w:t>
        </w:r>
        <w:r>
          <w:tab/>
        </w:r>
        <w:r>
          <w:fldChar w:fldCharType="begin"/>
        </w:r>
        <w:r>
          <w:instrText xml:space="preserve">PAGEREF 8281 \h</w:instrText>
        </w:r>
        <w:r>
          <w:fldChar w:fldCharType="end"/>
        </w:r>
      </w:hyperlink>
    </w:p>
    <w:p>
      <w:pPr>
        <w:tabs>
          <w:tab w:val="right" w:leader="dot" w:pos="9062"/>
        </w:tabs>
        <w:ind w:left="440"/>
      </w:pPr>
      <w:hyperlink w:anchor="_Toc8282" w:history="1">
        <w:r>
          <w:rPr>
            <w:rFonts w:ascii="IRNazanin" w:hAnsi="IRNazanin" w:eastAsia="IRNazanin" w:cs="IRNazanin"/>
            <w:color w:val="111111"/>
            <w:sz w:val="22"/>
            <w:szCs w:val="22"/>
            <w:b w:val="0"/>
            <w:bCs w:val="0"/>
            <w:i w:val="0"/>
            <w:iCs w:val="0"/>
          </w:rPr>
          <w:t>7234- دیوان الشیخ موسی العاملی‏</w:t>
        </w:r>
        <w:r>
          <w:tab/>
        </w:r>
        <w:r>
          <w:fldChar w:fldCharType="begin"/>
        </w:r>
        <w:r>
          <w:instrText xml:space="preserve">PAGEREF 8282 \h</w:instrText>
        </w:r>
        <w:r>
          <w:fldChar w:fldCharType="end"/>
        </w:r>
      </w:hyperlink>
    </w:p>
    <w:p>
      <w:pPr>
        <w:tabs>
          <w:tab w:val="right" w:leader="dot" w:pos="9062"/>
        </w:tabs>
        <w:ind w:left="440"/>
      </w:pPr>
      <w:hyperlink w:anchor="_Toc8283" w:history="1">
        <w:r>
          <w:rPr>
            <w:rFonts w:ascii="IRNazanin" w:hAnsi="IRNazanin" w:eastAsia="IRNazanin" w:cs="IRNazanin"/>
            <w:color w:val="111111"/>
            <w:sz w:val="22"/>
            <w:szCs w:val="22"/>
            <w:b w:val="0"/>
            <w:bCs w:val="0"/>
            <w:i w:val="0"/>
            <w:iCs w:val="0"/>
          </w:rPr>
          <w:t>7235- دیوان السید موسی العاملی‏</w:t>
        </w:r>
        <w:r>
          <w:tab/>
        </w:r>
        <w:r>
          <w:fldChar w:fldCharType="begin"/>
        </w:r>
        <w:r>
          <w:instrText xml:space="preserve">PAGEREF 8283 \h</w:instrText>
        </w:r>
        <w:r>
          <w:fldChar w:fldCharType="end"/>
        </w:r>
      </w:hyperlink>
    </w:p>
    <w:p>
      <w:pPr>
        <w:tabs>
          <w:tab w:val="right" w:leader="dot" w:pos="9062"/>
        </w:tabs>
        <w:ind w:left="440"/>
      </w:pPr>
      <w:hyperlink w:anchor="_Toc8284" w:history="1">
        <w:r>
          <w:rPr>
            <w:rFonts w:ascii="IRNazanin" w:hAnsi="IRNazanin" w:eastAsia="IRNazanin" w:cs="IRNazanin"/>
            <w:color w:val="111111"/>
            <w:sz w:val="22"/>
            <w:szCs w:val="22"/>
            <w:b w:val="0"/>
            <w:bCs w:val="0"/>
            <w:i w:val="0"/>
            <w:iCs w:val="0"/>
          </w:rPr>
          <w:t>7236- دیوان السید موسی العاملی‏</w:t>
        </w:r>
        <w:r>
          <w:tab/>
        </w:r>
        <w:r>
          <w:fldChar w:fldCharType="begin"/>
        </w:r>
        <w:r>
          <w:instrText xml:space="preserve">PAGEREF 8284 \h</w:instrText>
        </w:r>
        <w:r>
          <w:fldChar w:fldCharType="end"/>
        </w:r>
      </w:hyperlink>
    </w:p>
    <w:p>
      <w:pPr>
        <w:tabs>
          <w:tab w:val="right" w:leader="dot" w:pos="9062"/>
        </w:tabs>
        <w:ind w:left="440"/>
      </w:pPr>
      <w:hyperlink w:anchor="_Toc8285" w:history="1">
        <w:r>
          <w:rPr>
            <w:rFonts w:ascii="IRNazanin" w:hAnsi="IRNazanin" w:eastAsia="IRNazanin" w:cs="IRNazanin"/>
            <w:color w:val="111111"/>
            <w:sz w:val="22"/>
            <w:szCs w:val="22"/>
            <w:b w:val="0"/>
            <w:bCs w:val="0"/>
            <w:i w:val="0"/>
            <w:iCs w:val="0"/>
          </w:rPr>
          <w:t>7237- دیوان موسی النقدی‏</w:t>
        </w:r>
        <w:r>
          <w:tab/>
        </w:r>
        <w:r>
          <w:fldChar w:fldCharType="begin"/>
        </w:r>
        <w:r>
          <w:instrText xml:space="preserve">PAGEREF 8285 \h</w:instrText>
        </w:r>
        <w:r>
          <w:fldChar w:fldCharType="end"/>
        </w:r>
      </w:hyperlink>
    </w:p>
    <w:p>
      <w:pPr>
        <w:tabs>
          <w:tab w:val="right" w:leader="dot" w:pos="9062"/>
        </w:tabs>
        <w:ind w:left="440"/>
      </w:pPr>
      <w:hyperlink w:anchor="_Toc8286" w:history="1">
        <w:r>
          <w:rPr>
            <w:rFonts w:ascii="IRNazanin" w:hAnsi="IRNazanin" w:eastAsia="IRNazanin" w:cs="IRNazanin"/>
            <w:color w:val="111111"/>
            <w:sz w:val="22"/>
            <w:szCs w:val="22"/>
            <w:b w:val="0"/>
            <w:bCs w:val="0"/>
            <w:i w:val="0"/>
            <w:iCs w:val="0"/>
          </w:rPr>
          <w:t>7238- دیوان موسی همدانی أو شعره‏</w:t>
        </w:r>
        <w:r>
          <w:tab/>
        </w:r>
        <w:r>
          <w:fldChar w:fldCharType="begin"/>
        </w:r>
        <w:r>
          <w:instrText xml:space="preserve">PAGEREF 8286 \h</w:instrText>
        </w:r>
        <w:r>
          <w:fldChar w:fldCharType="end"/>
        </w:r>
      </w:hyperlink>
    </w:p>
    <w:p>
      <w:pPr>
        <w:tabs>
          <w:tab w:val="right" w:leader="dot" w:pos="9062"/>
        </w:tabs>
        <w:ind w:left="440"/>
      </w:pPr>
      <w:hyperlink w:anchor="_Toc8287" w:history="1">
        <w:r>
          <w:rPr>
            <w:rFonts w:ascii="IRNazanin" w:hAnsi="IRNazanin" w:eastAsia="IRNazanin" w:cs="IRNazanin"/>
            <w:color w:val="111111"/>
            <w:sz w:val="22"/>
            <w:szCs w:val="22"/>
            <w:b w:val="0"/>
            <w:bCs w:val="0"/>
            <w:i w:val="0"/>
            <w:iCs w:val="0"/>
          </w:rPr>
          <w:t>7239- دیوان موفق أندجانی أو شعره‏</w:t>
        </w:r>
        <w:r>
          <w:tab/>
        </w:r>
        <w:r>
          <w:fldChar w:fldCharType="begin"/>
        </w:r>
        <w:r>
          <w:instrText xml:space="preserve">PAGEREF 8287 \h</w:instrText>
        </w:r>
        <w:r>
          <w:fldChar w:fldCharType="end"/>
        </w:r>
      </w:hyperlink>
    </w:p>
    <w:p>
      <w:pPr>
        <w:tabs>
          <w:tab w:val="right" w:leader="dot" w:pos="9062"/>
        </w:tabs>
        <w:ind w:left="440"/>
      </w:pPr>
      <w:hyperlink w:anchor="_Toc8288" w:history="1">
        <w:r>
          <w:rPr>
            <w:rFonts w:ascii="IRNazanin" w:hAnsi="IRNazanin" w:eastAsia="IRNazanin" w:cs="IRNazanin"/>
            <w:color w:val="111111"/>
            <w:sz w:val="22"/>
            <w:szCs w:val="22"/>
            <w:b w:val="0"/>
            <w:bCs w:val="0"/>
            <w:i w:val="0"/>
            <w:iCs w:val="0"/>
          </w:rPr>
          <w:t>7240- دیوان مولا داده‏</w:t>
        </w:r>
        <w:r>
          <w:tab/>
        </w:r>
        <w:r>
          <w:fldChar w:fldCharType="begin"/>
        </w:r>
        <w:r>
          <w:instrText xml:space="preserve">PAGEREF 8288 \h</w:instrText>
        </w:r>
        <w:r>
          <w:fldChar w:fldCharType="end"/>
        </w:r>
      </w:hyperlink>
    </w:p>
    <w:p>
      <w:pPr>
        <w:tabs>
          <w:tab w:val="right" w:leader="dot" w:pos="9062"/>
        </w:tabs>
        <w:ind w:left="440"/>
      </w:pPr>
      <w:hyperlink w:anchor="_Toc8289" w:history="1">
        <w:r>
          <w:rPr>
            <w:rFonts w:ascii="IRNazanin" w:hAnsi="IRNazanin" w:eastAsia="IRNazanin" w:cs="IRNazanin"/>
            <w:color w:val="111111"/>
            <w:sz w:val="22"/>
            <w:szCs w:val="22"/>
            <w:b w:val="0"/>
            <w:bCs w:val="0"/>
            <w:i w:val="0"/>
            <w:iCs w:val="0"/>
          </w:rPr>
          <w:t>دیوان مولانا بلخی‏</w:t>
        </w:r>
        <w:r>
          <w:tab/>
        </w:r>
        <w:r>
          <w:fldChar w:fldCharType="begin"/>
        </w:r>
        <w:r>
          <w:instrText xml:space="preserve">PAGEREF 8289 \h</w:instrText>
        </w:r>
        <w:r>
          <w:fldChar w:fldCharType="end"/>
        </w:r>
      </w:hyperlink>
    </w:p>
    <w:p>
      <w:pPr>
        <w:tabs>
          <w:tab w:val="right" w:leader="dot" w:pos="9062"/>
        </w:tabs>
        <w:ind w:left="440"/>
      </w:pPr>
      <w:hyperlink w:anchor="_Toc8290" w:history="1">
        <w:r>
          <w:rPr>
            <w:rFonts w:ascii="IRNazanin" w:hAnsi="IRNazanin" w:eastAsia="IRNazanin" w:cs="IRNazanin"/>
            <w:color w:val="111111"/>
            <w:sz w:val="22"/>
            <w:szCs w:val="22"/>
            <w:b w:val="0"/>
            <w:bCs w:val="0"/>
            <w:i w:val="0"/>
            <w:iCs w:val="0"/>
          </w:rPr>
          <w:t>دیوان مولانازاده‏</w:t>
        </w:r>
        <w:r>
          <w:tab/>
        </w:r>
        <w:r>
          <w:fldChar w:fldCharType="begin"/>
        </w:r>
        <w:r>
          <w:instrText xml:space="preserve">PAGEREF 8290 \h</w:instrText>
        </w:r>
        <w:r>
          <w:fldChar w:fldCharType="end"/>
        </w:r>
      </w:hyperlink>
    </w:p>
    <w:p>
      <w:pPr>
        <w:tabs>
          <w:tab w:val="right" w:leader="dot" w:pos="9062"/>
        </w:tabs>
        <w:ind w:left="440"/>
      </w:pPr>
      <w:hyperlink w:anchor="_Toc8291" w:history="1">
        <w:r>
          <w:rPr>
            <w:rFonts w:ascii="IRNazanin" w:hAnsi="IRNazanin" w:eastAsia="IRNazanin" w:cs="IRNazanin"/>
            <w:color w:val="111111"/>
            <w:sz w:val="22"/>
            <w:szCs w:val="22"/>
            <w:b w:val="0"/>
            <w:bCs w:val="0"/>
            <w:i w:val="0"/>
            <w:iCs w:val="0"/>
          </w:rPr>
          <w:t>7241- دیوان مولای أصفهانی أو شعره‏</w:t>
        </w:r>
        <w:r>
          <w:tab/>
        </w:r>
        <w:r>
          <w:fldChar w:fldCharType="begin"/>
        </w:r>
        <w:r>
          <w:instrText xml:space="preserve">PAGEREF 8291 \h</w:instrText>
        </w:r>
        <w:r>
          <w:fldChar w:fldCharType="end"/>
        </w:r>
      </w:hyperlink>
    </w:p>
    <w:p>
      <w:pPr>
        <w:tabs>
          <w:tab w:val="right" w:leader="dot" w:pos="9062"/>
        </w:tabs>
        <w:ind w:left="440"/>
      </w:pPr>
      <w:hyperlink w:anchor="_Toc8292" w:history="1">
        <w:r>
          <w:rPr>
            <w:rFonts w:ascii="IRNazanin" w:hAnsi="IRNazanin" w:eastAsia="IRNazanin" w:cs="IRNazanin"/>
            <w:color w:val="111111"/>
            <w:sz w:val="22"/>
            <w:szCs w:val="22"/>
            <w:b w:val="0"/>
            <w:bCs w:val="0"/>
            <w:i w:val="0"/>
            <w:iCs w:val="0"/>
          </w:rPr>
          <w:t>7242- دیوان مولای أصفهانی أو شعره‏</w:t>
        </w:r>
        <w:r>
          <w:tab/>
        </w:r>
        <w:r>
          <w:fldChar w:fldCharType="begin"/>
        </w:r>
        <w:r>
          <w:instrText xml:space="preserve">PAGEREF 8292 \h</w:instrText>
        </w:r>
        <w:r>
          <w:fldChar w:fldCharType="end"/>
        </w:r>
      </w:hyperlink>
    </w:p>
    <w:p>
      <w:pPr>
        <w:tabs>
          <w:tab w:val="right" w:leader="dot" w:pos="9062"/>
        </w:tabs>
        <w:ind w:left="440"/>
      </w:pPr>
      <w:hyperlink w:anchor="_Toc8293" w:history="1">
        <w:r>
          <w:rPr>
            <w:rFonts w:ascii="IRNazanin" w:hAnsi="IRNazanin" w:eastAsia="IRNazanin" w:cs="IRNazanin"/>
            <w:color w:val="111111"/>
            <w:sz w:val="22"/>
            <w:szCs w:val="22"/>
            <w:b w:val="0"/>
            <w:bCs w:val="0"/>
            <w:i w:val="0"/>
            <w:iCs w:val="0"/>
          </w:rPr>
          <w:t>دیوان مولای سنجانی‏</w:t>
        </w:r>
        <w:r>
          <w:tab/>
        </w:r>
        <w:r>
          <w:fldChar w:fldCharType="begin"/>
        </w:r>
        <w:r>
          <w:instrText xml:space="preserve">PAGEREF 8293 \h</w:instrText>
        </w:r>
        <w:r>
          <w:fldChar w:fldCharType="end"/>
        </w:r>
      </w:hyperlink>
    </w:p>
    <w:p>
      <w:pPr>
        <w:tabs>
          <w:tab w:val="right" w:leader="dot" w:pos="9062"/>
        </w:tabs>
        <w:ind w:left="440"/>
      </w:pPr>
      <w:hyperlink w:anchor="_Toc8294" w:history="1">
        <w:r>
          <w:rPr>
            <w:rFonts w:ascii="IRNazanin" w:hAnsi="IRNazanin" w:eastAsia="IRNazanin" w:cs="IRNazanin"/>
            <w:color w:val="111111"/>
            <w:sz w:val="22"/>
            <w:szCs w:val="22"/>
            <w:b w:val="0"/>
            <w:bCs w:val="0"/>
            <w:i w:val="0"/>
            <w:iCs w:val="0"/>
          </w:rPr>
          <w:t>7243- دیوان مؤلف الدولة</w:t>
        </w:r>
        <w:r>
          <w:tab/>
        </w:r>
        <w:r>
          <w:fldChar w:fldCharType="begin"/>
        </w:r>
        <w:r>
          <w:instrText xml:space="preserve">PAGEREF 8294 \h</w:instrText>
        </w:r>
        <w:r>
          <w:fldChar w:fldCharType="end"/>
        </w:r>
      </w:hyperlink>
    </w:p>
    <w:p>
      <w:pPr>
        <w:tabs>
          <w:tab w:val="right" w:leader="dot" w:pos="9062"/>
        </w:tabs>
        <w:ind w:left="440"/>
      </w:pPr>
      <w:hyperlink w:anchor="_Toc8295" w:history="1">
        <w:r>
          <w:rPr>
            <w:rFonts w:ascii="IRNazanin" w:hAnsi="IRNazanin" w:eastAsia="IRNazanin" w:cs="IRNazanin"/>
            <w:color w:val="111111"/>
            <w:sz w:val="22"/>
            <w:szCs w:val="22"/>
            <w:b w:val="0"/>
            <w:bCs w:val="0"/>
            <w:i w:val="0"/>
            <w:iCs w:val="0"/>
          </w:rPr>
          <w:t>7244- دیوان مولوی بخاری أو شعره‏</w:t>
        </w:r>
        <w:r>
          <w:tab/>
        </w:r>
        <w:r>
          <w:fldChar w:fldCharType="begin"/>
        </w:r>
        <w:r>
          <w:instrText xml:space="preserve">PAGEREF 8295 \h</w:instrText>
        </w:r>
        <w:r>
          <w:fldChar w:fldCharType="end"/>
        </w:r>
      </w:hyperlink>
    </w:p>
    <w:p>
      <w:pPr>
        <w:tabs>
          <w:tab w:val="right" w:leader="dot" w:pos="9062"/>
        </w:tabs>
        <w:ind w:left="440"/>
      </w:pPr>
      <w:hyperlink w:anchor="_Toc8296" w:history="1">
        <w:r>
          <w:rPr>
            <w:rFonts w:ascii="IRNazanin" w:hAnsi="IRNazanin" w:eastAsia="IRNazanin" w:cs="IRNazanin"/>
            <w:color w:val="111111"/>
            <w:sz w:val="22"/>
            <w:szCs w:val="22"/>
            <w:b w:val="0"/>
            <w:bCs w:val="0"/>
            <w:i w:val="0"/>
            <w:iCs w:val="0"/>
          </w:rPr>
          <w:t>7245- دیوان مولوی رومی‏</w:t>
        </w:r>
        <w:r>
          <w:tab/>
        </w:r>
        <w:r>
          <w:fldChar w:fldCharType="begin"/>
        </w:r>
        <w:r>
          <w:instrText xml:space="preserve">PAGEREF 8296 \h</w:instrText>
        </w:r>
        <w:r>
          <w:fldChar w:fldCharType="end"/>
        </w:r>
      </w:hyperlink>
    </w:p>
    <w:p>
      <w:pPr>
        <w:tabs>
          <w:tab w:val="right" w:leader="dot" w:pos="9062"/>
        </w:tabs>
        <w:ind w:left="440"/>
      </w:pPr>
      <w:hyperlink w:anchor="_Toc8297" w:history="1">
        <w:r>
          <w:rPr>
            <w:rFonts w:ascii="IRNazanin" w:hAnsi="IRNazanin" w:eastAsia="IRNazanin" w:cs="IRNazanin"/>
            <w:color w:val="111111"/>
            <w:sz w:val="22"/>
            <w:szCs w:val="22"/>
            <w:b w:val="0"/>
            <w:bCs w:val="0"/>
            <w:i w:val="0"/>
            <w:iCs w:val="0"/>
          </w:rPr>
          <w:t>7246- دیوان مولوی سندی‏</w:t>
        </w:r>
        <w:r>
          <w:tab/>
        </w:r>
        <w:r>
          <w:fldChar w:fldCharType="begin"/>
        </w:r>
        <w:r>
          <w:instrText xml:space="preserve">PAGEREF 8297 \h</w:instrText>
        </w:r>
        <w:r>
          <w:fldChar w:fldCharType="end"/>
        </w:r>
      </w:hyperlink>
    </w:p>
    <w:p>
      <w:pPr>
        <w:tabs>
          <w:tab w:val="right" w:leader="dot" w:pos="9062"/>
        </w:tabs>
        <w:ind w:left="440"/>
      </w:pPr>
      <w:hyperlink w:anchor="_Toc8298" w:history="1">
        <w:r>
          <w:rPr>
            <w:rFonts w:ascii="IRNazanin" w:hAnsi="IRNazanin" w:eastAsia="IRNazanin" w:cs="IRNazanin"/>
            <w:color w:val="111111"/>
            <w:sz w:val="22"/>
            <w:szCs w:val="22"/>
            <w:b w:val="0"/>
            <w:bCs w:val="0"/>
            <w:i w:val="0"/>
            <w:iCs w:val="0"/>
          </w:rPr>
          <w:t>7247- دیوان مولوی سیستانی أو شعره‏</w:t>
        </w:r>
        <w:r>
          <w:tab/>
        </w:r>
        <w:r>
          <w:fldChar w:fldCharType="begin"/>
        </w:r>
        <w:r>
          <w:instrText xml:space="preserve">PAGEREF 8298 \h</w:instrText>
        </w:r>
        <w:r>
          <w:fldChar w:fldCharType="end"/>
        </w:r>
      </w:hyperlink>
    </w:p>
    <w:p>
      <w:pPr>
        <w:tabs>
          <w:tab w:val="right" w:leader="dot" w:pos="9062"/>
        </w:tabs>
        <w:ind w:left="440"/>
      </w:pPr>
      <w:hyperlink w:anchor="_Toc8299" w:history="1">
        <w:r>
          <w:rPr>
            <w:rFonts w:ascii="IRNazanin" w:hAnsi="IRNazanin" w:eastAsia="IRNazanin" w:cs="IRNazanin"/>
            <w:color w:val="111111"/>
            <w:sz w:val="22"/>
            <w:szCs w:val="22"/>
            <w:b w:val="0"/>
            <w:bCs w:val="0"/>
            <w:i w:val="0"/>
            <w:iCs w:val="0"/>
          </w:rPr>
          <w:t>7248- دیوان مولوی شیرازی‏</w:t>
        </w:r>
        <w:r>
          <w:tab/>
        </w:r>
        <w:r>
          <w:fldChar w:fldCharType="begin"/>
        </w:r>
        <w:r>
          <w:instrText xml:space="preserve">PAGEREF 8299 \h</w:instrText>
        </w:r>
        <w:r>
          <w:fldChar w:fldCharType="end"/>
        </w:r>
      </w:hyperlink>
    </w:p>
    <w:p>
      <w:pPr>
        <w:tabs>
          <w:tab w:val="right" w:leader="dot" w:pos="9062"/>
        </w:tabs>
        <w:ind w:left="440"/>
      </w:pPr>
      <w:hyperlink w:anchor="_Toc8300" w:history="1">
        <w:r>
          <w:rPr>
            <w:rFonts w:ascii="IRNazanin" w:hAnsi="IRNazanin" w:eastAsia="IRNazanin" w:cs="IRNazanin"/>
            <w:color w:val="111111"/>
            <w:sz w:val="22"/>
            <w:szCs w:val="22"/>
            <w:b w:val="0"/>
            <w:bCs w:val="0"/>
            <w:i w:val="0"/>
            <w:iCs w:val="0"/>
          </w:rPr>
          <w:t>7249- دیوان مولوی گیلانی‏</w:t>
        </w:r>
        <w:r>
          <w:tab/>
        </w:r>
        <w:r>
          <w:fldChar w:fldCharType="begin"/>
        </w:r>
        <w:r>
          <w:instrText xml:space="preserve">PAGEREF 8300 \h</w:instrText>
        </w:r>
        <w:r>
          <w:fldChar w:fldCharType="end"/>
        </w:r>
      </w:hyperlink>
    </w:p>
    <w:p>
      <w:pPr>
        <w:tabs>
          <w:tab w:val="right" w:leader="dot" w:pos="9062"/>
        </w:tabs>
        <w:ind w:left="440"/>
      </w:pPr>
      <w:hyperlink w:anchor="_Toc8301" w:history="1">
        <w:r>
          <w:rPr>
            <w:rFonts w:ascii="IRNazanin" w:hAnsi="IRNazanin" w:eastAsia="IRNazanin" w:cs="IRNazanin"/>
            <w:color w:val="111111"/>
            <w:sz w:val="22"/>
            <w:szCs w:val="22"/>
            <w:b w:val="0"/>
            <w:bCs w:val="0"/>
            <w:i w:val="0"/>
            <w:iCs w:val="0"/>
          </w:rPr>
          <w:t>7250- دیوان مؤمن ابرقوهی أو شعره‏</w:t>
        </w:r>
        <w:r>
          <w:tab/>
        </w:r>
        <w:r>
          <w:fldChar w:fldCharType="begin"/>
        </w:r>
        <w:r>
          <w:instrText xml:space="preserve">PAGEREF 8301 \h</w:instrText>
        </w:r>
        <w:r>
          <w:fldChar w:fldCharType="end"/>
        </w:r>
      </w:hyperlink>
    </w:p>
    <w:p>
      <w:pPr>
        <w:tabs>
          <w:tab w:val="right" w:leader="dot" w:pos="9062"/>
        </w:tabs>
        <w:ind w:left="440"/>
      </w:pPr>
      <w:hyperlink w:anchor="_Toc8302" w:history="1">
        <w:r>
          <w:rPr>
            <w:rFonts w:ascii="IRNazanin" w:hAnsi="IRNazanin" w:eastAsia="IRNazanin" w:cs="IRNazanin"/>
            <w:color w:val="111111"/>
            <w:sz w:val="22"/>
            <w:szCs w:val="22"/>
            <w:b w:val="0"/>
            <w:bCs w:val="0"/>
            <w:i w:val="0"/>
            <w:iCs w:val="0"/>
          </w:rPr>
          <w:t>7251- دیوان مؤمن أسترآبادی أو شعره‏</w:t>
        </w:r>
        <w:r>
          <w:tab/>
        </w:r>
        <w:r>
          <w:fldChar w:fldCharType="begin"/>
        </w:r>
        <w:r>
          <w:instrText xml:space="preserve">PAGEREF 8302 \h</w:instrText>
        </w:r>
        <w:r>
          <w:fldChar w:fldCharType="end"/>
        </w:r>
      </w:hyperlink>
    </w:p>
    <w:p>
      <w:pPr>
        <w:tabs>
          <w:tab w:val="right" w:leader="dot" w:pos="9062"/>
        </w:tabs>
        <w:ind w:left="440"/>
      </w:pPr>
      <w:hyperlink w:anchor="_Toc8303" w:history="1">
        <w:r>
          <w:rPr>
            <w:rFonts w:ascii="IRNazanin" w:hAnsi="IRNazanin" w:eastAsia="IRNazanin" w:cs="IRNazanin"/>
            <w:color w:val="111111"/>
            <w:sz w:val="22"/>
            <w:szCs w:val="22"/>
            <w:b w:val="0"/>
            <w:bCs w:val="0"/>
            <w:i w:val="0"/>
            <w:iCs w:val="0"/>
          </w:rPr>
          <w:t>7252- دیوان مؤمن أصفهانی أو شعره‏</w:t>
        </w:r>
        <w:r>
          <w:tab/>
        </w:r>
        <w:r>
          <w:fldChar w:fldCharType="begin"/>
        </w:r>
        <w:r>
          <w:instrText xml:space="preserve">PAGEREF 8303 \h</w:instrText>
        </w:r>
        <w:r>
          <w:fldChar w:fldCharType="end"/>
        </w:r>
      </w:hyperlink>
    </w:p>
    <w:p>
      <w:pPr>
        <w:tabs>
          <w:tab w:val="right" w:leader="dot" w:pos="9062"/>
        </w:tabs>
        <w:ind w:left="440"/>
      </w:pPr>
      <w:hyperlink w:anchor="_Toc8304" w:history="1">
        <w:r>
          <w:rPr>
            <w:rFonts w:ascii="IRNazanin" w:hAnsi="IRNazanin" w:eastAsia="IRNazanin" w:cs="IRNazanin"/>
            <w:color w:val="111111"/>
            <w:sz w:val="22"/>
            <w:szCs w:val="22"/>
            <w:b w:val="0"/>
            <w:bCs w:val="0"/>
            <w:i w:val="0"/>
            <w:iCs w:val="0"/>
          </w:rPr>
          <w:t>7253- دیوان مؤمن أصفهانی أو شعره‏</w:t>
        </w:r>
        <w:r>
          <w:tab/>
        </w:r>
        <w:r>
          <w:fldChar w:fldCharType="begin"/>
        </w:r>
        <w:r>
          <w:instrText xml:space="preserve">PAGEREF 8304 \h</w:instrText>
        </w:r>
        <w:r>
          <w:fldChar w:fldCharType="end"/>
        </w:r>
      </w:hyperlink>
    </w:p>
    <w:p>
      <w:pPr>
        <w:tabs>
          <w:tab w:val="right" w:leader="dot" w:pos="9062"/>
        </w:tabs>
        <w:ind w:left="440"/>
      </w:pPr>
      <w:hyperlink w:anchor="_Toc8305" w:history="1">
        <w:r>
          <w:rPr>
            <w:rFonts w:ascii="IRNazanin" w:hAnsi="IRNazanin" w:eastAsia="IRNazanin" w:cs="IRNazanin"/>
            <w:color w:val="111111"/>
            <w:sz w:val="22"/>
            <w:szCs w:val="22"/>
            <w:b w:val="0"/>
            <w:bCs w:val="0"/>
            <w:i w:val="0"/>
            <w:iCs w:val="0"/>
          </w:rPr>
          <w:t>دیوان مؤمن بفروئی‏</w:t>
        </w:r>
        <w:r>
          <w:tab/>
        </w:r>
        <w:r>
          <w:fldChar w:fldCharType="begin"/>
        </w:r>
        <w:r>
          <w:instrText xml:space="preserve">PAGEREF 8305 \h</w:instrText>
        </w:r>
        <w:r>
          <w:fldChar w:fldCharType="end"/>
        </w:r>
      </w:hyperlink>
    </w:p>
    <w:p>
      <w:pPr>
        <w:tabs>
          <w:tab w:val="right" w:leader="dot" w:pos="9062"/>
        </w:tabs>
        <w:ind w:left="440"/>
      </w:pPr>
      <w:hyperlink w:anchor="_Toc8306" w:history="1">
        <w:r>
          <w:rPr>
            <w:rFonts w:ascii="IRNazanin" w:hAnsi="IRNazanin" w:eastAsia="IRNazanin" w:cs="IRNazanin"/>
            <w:color w:val="111111"/>
            <w:sz w:val="22"/>
            <w:szCs w:val="22"/>
            <w:b w:val="0"/>
            <w:bCs w:val="0"/>
            <w:i w:val="0"/>
            <w:iCs w:val="0"/>
          </w:rPr>
          <w:t>دیوان مؤمن تبریزی‏</w:t>
        </w:r>
        <w:r>
          <w:tab/>
        </w:r>
        <w:r>
          <w:fldChar w:fldCharType="begin"/>
        </w:r>
        <w:r>
          <w:instrText xml:space="preserve">PAGEREF 8306 \h</w:instrText>
        </w:r>
        <w:r>
          <w:fldChar w:fldCharType="end"/>
        </w:r>
      </w:hyperlink>
    </w:p>
    <w:p>
      <w:pPr>
        <w:tabs>
          <w:tab w:val="right" w:leader="dot" w:pos="9062"/>
        </w:tabs>
        <w:ind w:left="440"/>
      </w:pPr>
      <w:hyperlink w:anchor="_Toc8307" w:history="1">
        <w:r>
          <w:rPr>
            <w:rFonts w:ascii="IRNazanin" w:hAnsi="IRNazanin" w:eastAsia="IRNazanin" w:cs="IRNazanin"/>
            <w:color w:val="111111"/>
            <w:sz w:val="22"/>
            <w:szCs w:val="22"/>
            <w:b w:val="0"/>
            <w:bCs w:val="0"/>
            <w:i w:val="0"/>
            <w:iCs w:val="0"/>
          </w:rPr>
          <w:t>7254- دیوان مؤمن ترکمان أو شعره‏</w:t>
        </w:r>
        <w:r>
          <w:tab/>
        </w:r>
        <w:r>
          <w:fldChar w:fldCharType="begin"/>
        </w:r>
        <w:r>
          <w:instrText xml:space="preserve">PAGEREF 8307 \h</w:instrText>
        </w:r>
        <w:r>
          <w:fldChar w:fldCharType="end"/>
        </w:r>
      </w:hyperlink>
    </w:p>
    <w:p>
      <w:pPr>
        <w:tabs>
          <w:tab w:val="right" w:leader="dot" w:pos="9062"/>
        </w:tabs>
        <w:ind w:left="440"/>
      </w:pPr>
      <w:hyperlink w:anchor="_Toc8308" w:history="1">
        <w:r>
          <w:rPr>
            <w:rFonts w:ascii="IRNazanin" w:hAnsi="IRNazanin" w:eastAsia="IRNazanin" w:cs="IRNazanin"/>
            <w:color w:val="111111"/>
            <w:sz w:val="22"/>
            <w:szCs w:val="22"/>
            <w:b w:val="0"/>
            <w:bCs w:val="0"/>
            <w:i w:val="0"/>
            <w:iCs w:val="0"/>
          </w:rPr>
          <w:t>7255- دیوان مؤمن تونی أو شعره‏</w:t>
        </w:r>
        <w:r>
          <w:tab/>
        </w:r>
        <w:r>
          <w:fldChar w:fldCharType="begin"/>
        </w:r>
        <w:r>
          <w:instrText xml:space="preserve">PAGEREF 8308 \h</w:instrText>
        </w:r>
        <w:r>
          <w:fldChar w:fldCharType="end"/>
        </w:r>
      </w:hyperlink>
    </w:p>
    <w:p>
      <w:pPr>
        <w:tabs>
          <w:tab w:val="right" w:leader="dot" w:pos="9062"/>
        </w:tabs>
        <w:ind w:left="440"/>
      </w:pPr>
      <w:hyperlink w:anchor="_Toc8309" w:history="1">
        <w:r>
          <w:rPr>
            <w:rFonts w:ascii="IRNazanin" w:hAnsi="IRNazanin" w:eastAsia="IRNazanin" w:cs="IRNazanin"/>
            <w:color w:val="111111"/>
            <w:sz w:val="22"/>
            <w:szCs w:val="22"/>
            <w:b w:val="0"/>
            <w:bCs w:val="0"/>
            <w:i w:val="0"/>
            <w:iCs w:val="0"/>
          </w:rPr>
          <w:t>7256- دیوان مؤمن جزائری‏</w:t>
        </w:r>
        <w:r>
          <w:tab/>
        </w:r>
        <w:r>
          <w:fldChar w:fldCharType="begin"/>
        </w:r>
        <w:r>
          <w:instrText xml:space="preserve">PAGEREF 8309 \h</w:instrText>
        </w:r>
        <w:r>
          <w:fldChar w:fldCharType="end"/>
        </w:r>
      </w:hyperlink>
    </w:p>
    <w:p>
      <w:pPr>
        <w:tabs>
          <w:tab w:val="right" w:leader="dot" w:pos="9062"/>
        </w:tabs>
        <w:ind w:left="440"/>
      </w:pPr>
      <w:hyperlink w:anchor="_Toc8310" w:history="1">
        <w:r>
          <w:rPr>
            <w:rFonts w:ascii="IRNazanin" w:hAnsi="IRNazanin" w:eastAsia="IRNazanin" w:cs="IRNazanin"/>
            <w:color w:val="111111"/>
            <w:sz w:val="22"/>
            <w:szCs w:val="22"/>
            <w:b w:val="0"/>
            <w:bCs w:val="0"/>
            <w:i w:val="0"/>
            <w:iCs w:val="0"/>
          </w:rPr>
          <w:t>7257- دیوان مؤمن خجندی أو شعره‏</w:t>
        </w:r>
        <w:r>
          <w:tab/>
        </w:r>
        <w:r>
          <w:fldChar w:fldCharType="begin"/>
        </w:r>
        <w:r>
          <w:instrText xml:space="preserve">PAGEREF 8310 \h</w:instrText>
        </w:r>
        <w:r>
          <w:fldChar w:fldCharType="end"/>
        </w:r>
      </w:hyperlink>
    </w:p>
    <w:p>
      <w:pPr>
        <w:tabs>
          <w:tab w:val="right" w:leader="dot" w:pos="9062"/>
        </w:tabs>
        <w:ind w:left="440"/>
      </w:pPr>
      <w:hyperlink w:anchor="_Toc8311" w:history="1">
        <w:r>
          <w:rPr>
            <w:rFonts w:ascii="IRNazanin" w:hAnsi="IRNazanin" w:eastAsia="IRNazanin" w:cs="IRNazanin"/>
            <w:color w:val="111111"/>
            <w:sz w:val="22"/>
            <w:szCs w:val="22"/>
            <w:b w:val="0"/>
            <w:bCs w:val="0"/>
            <w:i w:val="0"/>
            <w:iCs w:val="0"/>
          </w:rPr>
          <w:t>7258- دیوان مؤمن دامغانی أو شعره‏</w:t>
        </w:r>
        <w:r>
          <w:tab/>
        </w:r>
        <w:r>
          <w:fldChar w:fldCharType="begin"/>
        </w:r>
        <w:r>
          <w:instrText xml:space="preserve">PAGEREF 8311 \h</w:instrText>
        </w:r>
        <w:r>
          <w:fldChar w:fldCharType="end"/>
        </w:r>
      </w:hyperlink>
    </w:p>
    <w:p>
      <w:pPr>
        <w:tabs>
          <w:tab w:val="right" w:leader="dot" w:pos="9062"/>
        </w:tabs>
        <w:ind w:left="440"/>
      </w:pPr>
      <w:hyperlink w:anchor="_Toc8312" w:history="1">
        <w:r>
          <w:rPr>
            <w:rFonts w:ascii="IRNazanin" w:hAnsi="IRNazanin" w:eastAsia="IRNazanin" w:cs="IRNazanin"/>
            <w:color w:val="111111"/>
            <w:sz w:val="22"/>
            <w:szCs w:val="22"/>
            <w:b w:val="0"/>
            <w:bCs w:val="0"/>
            <w:i w:val="0"/>
            <w:iCs w:val="0"/>
          </w:rPr>
          <w:t>7259- دیوان مؤمن سبزواری أو شعره‏</w:t>
        </w:r>
        <w:r>
          <w:tab/>
        </w:r>
        <w:r>
          <w:fldChar w:fldCharType="begin"/>
        </w:r>
        <w:r>
          <w:instrText xml:space="preserve">PAGEREF 8312 \h</w:instrText>
        </w:r>
        <w:r>
          <w:fldChar w:fldCharType="end"/>
        </w:r>
      </w:hyperlink>
    </w:p>
    <w:p>
      <w:pPr>
        <w:tabs>
          <w:tab w:val="right" w:leader="dot" w:pos="9062"/>
        </w:tabs>
        <w:ind w:left="440"/>
      </w:pPr>
      <w:hyperlink w:anchor="_Toc8313" w:history="1">
        <w:r>
          <w:rPr>
            <w:rFonts w:ascii="IRNazanin" w:hAnsi="IRNazanin" w:eastAsia="IRNazanin" w:cs="IRNazanin"/>
            <w:color w:val="111111"/>
            <w:sz w:val="22"/>
            <w:szCs w:val="22"/>
            <w:b w:val="0"/>
            <w:bCs w:val="0"/>
            <w:i w:val="0"/>
            <w:iCs w:val="0"/>
          </w:rPr>
          <w:t>7260- دیوان مؤمن سمرقندی أو شعره‏</w:t>
        </w:r>
        <w:r>
          <w:tab/>
        </w:r>
        <w:r>
          <w:fldChar w:fldCharType="begin"/>
        </w:r>
        <w:r>
          <w:instrText xml:space="preserve">PAGEREF 8313 \h</w:instrText>
        </w:r>
        <w:r>
          <w:fldChar w:fldCharType="end"/>
        </w:r>
      </w:hyperlink>
    </w:p>
    <w:p>
      <w:pPr>
        <w:tabs>
          <w:tab w:val="right" w:leader="dot" w:pos="9062"/>
        </w:tabs>
        <w:ind w:left="440"/>
      </w:pPr>
      <w:hyperlink w:anchor="_Toc8314" w:history="1">
        <w:r>
          <w:rPr>
            <w:rFonts w:ascii="IRNazanin" w:hAnsi="IRNazanin" w:eastAsia="IRNazanin" w:cs="IRNazanin"/>
            <w:color w:val="111111"/>
            <w:sz w:val="22"/>
            <w:szCs w:val="22"/>
            <w:b w:val="0"/>
            <w:bCs w:val="0"/>
            <w:i w:val="0"/>
            <w:iCs w:val="0"/>
          </w:rPr>
          <w:t>7261- دیوان مؤمن شاملو أو شعره‏</w:t>
        </w:r>
        <w:r>
          <w:tab/>
        </w:r>
        <w:r>
          <w:fldChar w:fldCharType="begin"/>
        </w:r>
        <w:r>
          <w:instrText xml:space="preserve">PAGEREF 8314 \h</w:instrText>
        </w:r>
        <w:r>
          <w:fldChar w:fldCharType="end"/>
        </w:r>
      </w:hyperlink>
    </w:p>
    <w:p>
      <w:pPr>
        <w:tabs>
          <w:tab w:val="right" w:leader="dot" w:pos="9062"/>
        </w:tabs>
        <w:ind w:left="440"/>
      </w:pPr>
      <w:hyperlink w:anchor="_Toc8315" w:history="1">
        <w:r>
          <w:rPr>
            <w:rFonts w:ascii="IRNazanin" w:hAnsi="IRNazanin" w:eastAsia="IRNazanin" w:cs="IRNazanin"/>
            <w:color w:val="111111"/>
            <w:sz w:val="22"/>
            <w:szCs w:val="22"/>
            <w:b w:val="0"/>
            <w:bCs w:val="0"/>
            <w:i w:val="0"/>
            <w:iCs w:val="0"/>
          </w:rPr>
          <w:t>دیوان مؤمن فارسی الفیروزآبادی‏</w:t>
        </w:r>
        <w:r>
          <w:tab/>
        </w:r>
        <w:r>
          <w:fldChar w:fldCharType="begin"/>
        </w:r>
        <w:r>
          <w:instrText xml:space="preserve">PAGEREF 8315 \h</w:instrText>
        </w:r>
        <w:r>
          <w:fldChar w:fldCharType="end"/>
        </w:r>
      </w:hyperlink>
    </w:p>
    <w:p>
      <w:pPr>
        <w:tabs>
          <w:tab w:val="right" w:leader="dot" w:pos="9062"/>
        </w:tabs>
        <w:ind w:left="440"/>
      </w:pPr>
      <w:hyperlink w:anchor="_Toc8316" w:history="1">
        <w:r>
          <w:rPr>
            <w:rFonts w:ascii="IRNazanin" w:hAnsi="IRNazanin" w:eastAsia="IRNazanin" w:cs="IRNazanin"/>
            <w:color w:val="111111"/>
            <w:sz w:val="22"/>
            <w:szCs w:val="22"/>
            <w:b w:val="0"/>
            <w:bCs w:val="0"/>
            <w:i w:val="0"/>
            <w:iCs w:val="0"/>
          </w:rPr>
          <w:t>7262- دیوان مؤمن قومشهی‏</w:t>
        </w:r>
        <w:r>
          <w:tab/>
        </w:r>
        <w:r>
          <w:fldChar w:fldCharType="begin"/>
        </w:r>
        <w:r>
          <w:instrText xml:space="preserve">PAGEREF 8316 \h</w:instrText>
        </w:r>
        <w:r>
          <w:fldChar w:fldCharType="end"/>
        </w:r>
      </w:hyperlink>
    </w:p>
    <w:p>
      <w:pPr>
        <w:tabs>
          <w:tab w:val="right" w:leader="dot" w:pos="9062"/>
        </w:tabs>
        <w:ind w:left="440"/>
      </w:pPr>
      <w:hyperlink w:anchor="_Toc8317" w:history="1">
        <w:r>
          <w:rPr>
            <w:rFonts w:ascii="IRNazanin" w:hAnsi="IRNazanin" w:eastAsia="IRNazanin" w:cs="IRNazanin"/>
            <w:color w:val="111111"/>
            <w:sz w:val="22"/>
            <w:szCs w:val="22"/>
            <w:b w:val="0"/>
            <w:bCs w:val="0"/>
            <w:i w:val="0"/>
            <w:iCs w:val="0"/>
          </w:rPr>
          <w:t>7263- دیوان مؤمن کاشانی أو شعره‏</w:t>
        </w:r>
        <w:r>
          <w:tab/>
        </w:r>
        <w:r>
          <w:fldChar w:fldCharType="begin"/>
        </w:r>
        <w:r>
          <w:instrText xml:space="preserve">PAGEREF 8317 \h</w:instrText>
        </w:r>
        <w:r>
          <w:fldChar w:fldCharType="end"/>
        </w:r>
      </w:hyperlink>
    </w:p>
    <w:p>
      <w:pPr>
        <w:tabs>
          <w:tab w:val="right" w:leader="dot" w:pos="9062"/>
        </w:tabs>
        <w:ind w:left="440"/>
      </w:pPr>
      <w:hyperlink w:anchor="_Toc8318" w:history="1">
        <w:r>
          <w:rPr>
            <w:rFonts w:ascii="IRNazanin" w:hAnsi="IRNazanin" w:eastAsia="IRNazanin" w:cs="IRNazanin"/>
            <w:color w:val="111111"/>
            <w:sz w:val="22"/>
            <w:szCs w:val="22"/>
            <w:b w:val="0"/>
            <w:bCs w:val="0"/>
            <w:i w:val="0"/>
            <w:iCs w:val="0"/>
          </w:rPr>
          <w:t>7264- دیوان مؤمن گورکانی أو شعره‏</w:t>
        </w:r>
        <w:r>
          <w:tab/>
        </w:r>
        <w:r>
          <w:fldChar w:fldCharType="begin"/>
        </w:r>
        <w:r>
          <w:instrText xml:space="preserve">PAGEREF 8318 \h</w:instrText>
        </w:r>
        <w:r>
          <w:fldChar w:fldCharType="end"/>
        </w:r>
      </w:hyperlink>
    </w:p>
    <w:p>
      <w:pPr>
        <w:tabs>
          <w:tab w:val="right" w:leader="dot" w:pos="9062"/>
        </w:tabs>
        <w:ind w:left="440"/>
      </w:pPr>
      <w:hyperlink w:anchor="_Toc8319" w:history="1">
        <w:r>
          <w:rPr>
            <w:rFonts w:ascii="IRNazanin" w:hAnsi="IRNazanin" w:eastAsia="IRNazanin" w:cs="IRNazanin"/>
            <w:color w:val="111111"/>
            <w:sz w:val="22"/>
            <w:szCs w:val="22"/>
            <w:b w:val="0"/>
            <w:bCs w:val="0"/>
            <w:i w:val="0"/>
            <w:iCs w:val="0"/>
          </w:rPr>
          <w:t>دیوان مؤمن گاو</w:t>
        </w:r>
        <w:r>
          <w:tab/>
        </w:r>
        <w:r>
          <w:fldChar w:fldCharType="begin"/>
        </w:r>
        <w:r>
          <w:instrText xml:space="preserve">PAGEREF 8319 \h</w:instrText>
        </w:r>
        <w:r>
          <w:fldChar w:fldCharType="end"/>
        </w:r>
      </w:hyperlink>
    </w:p>
    <w:p>
      <w:pPr>
        <w:tabs>
          <w:tab w:val="right" w:leader="dot" w:pos="9062"/>
        </w:tabs>
        <w:ind w:left="440"/>
      </w:pPr>
      <w:hyperlink w:anchor="_Toc8320" w:history="1">
        <w:r>
          <w:rPr>
            <w:rFonts w:ascii="IRNazanin" w:hAnsi="IRNazanin" w:eastAsia="IRNazanin" w:cs="IRNazanin"/>
            <w:color w:val="111111"/>
            <w:sz w:val="22"/>
            <w:szCs w:val="22"/>
            <w:b w:val="0"/>
            <w:bCs w:val="0"/>
            <w:i w:val="0"/>
            <w:iCs w:val="0"/>
          </w:rPr>
          <w:t>دیوان مؤمن گنابادی‏</w:t>
        </w:r>
        <w:r>
          <w:tab/>
        </w:r>
        <w:r>
          <w:fldChar w:fldCharType="begin"/>
        </w:r>
        <w:r>
          <w:instrText xml:space="preserve">PAGEREF 8320 \h</w:instrText>
        </w:r>
        <w:r>
          <w:fldChar w:fldCharType="end"/>
        </w:r>
      </w:hyperlink>
    </w:p>
    <w:p>
      <w:pPr>
        <w:tabs>
          <w:tab w:val="right" w:leader="dot" w:pos="9062"/>
        </w:tabs>
        <w:ind w:left="440"/>
      </w:pPr>
      <w:hyperlink w:anchor="_Toc8321" w:history="1">
        <w:r>
          <w:rPr>
            <w:rFonts w:ascii="IRNazanin" w:hAnsi="IRNazanin" w:eastAsia="IRNazanin" w:cs="IRNazanin"/>
            <w:color w:val="111111"/>
            <w:sz w:val="22"/>
            <w:szCs w:val="22"/>
            <w:b w:val="0"/>
            <w:bCs w:val="0"/>
            <w:i w:val="0"/>
            <w:iCs w:val="0"/>
          </w:rPr>
          <w:t>دیوان مؤمن لنگ‏</w:t>
        </w:r>
        <w:r>
          <w:tab/>
        </w:r>
        <w:r>
          <w:fldChar w:fldCharType="begin"/>
        </w:r>
        <w:r>
          <w:instrText xml:space="preserve">PAGEREF 8321 \h</w:instrText>
        </w:r>
        <w:r>
          <w:fldChar w:fldCharType="end"/>
        </w:r>
      </w:hyperlink>
    </w:p>
    <w:p>
      <w:pPr>
        <w:tabs>
          <w:tab w:val="right" w:leader="dot" w:pos="9062"/>
        </w:tabs>
        <w:ind w:left="440"/>
      </w:pPr>
      <w:hyperlink w:anchor="_Toc8322" w:history="1">
        <w:r>
          <w:rPr>
            <w:rFonts w:ascii="IRNazanin" w:hAnsi="IRNazanin" w:eastAsia="IRNazanin" w:cs="IRNazanin"/>
            <w:color w:val="111111"/>
            <w:sz w:val="22"/>
            <w:szCs w:val="22"/>
            <w:b w:val="0"/>
            <w:bCs w:val="0"/>
            <w:i w:val="0"/>
            <w:iCs w:val="0"/>
          </w:rPr>
          <w:t>7265- دیوان مؤمن مروارید أو شعره‏</w:t>
        </w:r>
        <w:r>
          <w:tab/>
        </w:r>
        <w:r>
          <w:fldChar w:fldCharType="begin"/>
        </w:r>
        <w:r>
          <w:instrText xml:space="preserve">PAGEREF 8322 \h</w:instrText>
        </w:r>
        <w:r>
          <w:fldChar w:fldCharType="end"/>
        </w:r>
      </w:hyperlink>
    </w:p>
    <w:p>
      <w:pPr>
        <w:tabs>
          <w:tab w:val="right" w:leader="dot" w:pos="9062"/>
        </w:tabs>
        <w:ind w:left="440"/>
      </w:pPr>
      <w:hyperlink w:anchor="_Toc8323" w:history="1">
        <w:r>
          <w:rPr>
            <w:rFonts w:ascii="IRNazanin" w:hAnsi="IRNazanin" w:eastAsia="IRNazanin" w:cs="IRNazanin"/>
            <w:color w:val="111111"/>
            <w:sz w:val="22"/>
            <w:szCs w:val="22"/>
            <w:b w:val="0"/>
            <w:bCs w:val="0"/>
            <w:i w:val="0"/>
            <w:iCs w:val="0"/>
          </w:rPr>
          <w:t>دیوان مؤمن مشهدی‏</w:t>
        </w:r>
        <w:r>
          <w:tab/>
        </w:r>
        <w:r>
          <w:fldChar w:fldCharType="begin"/>
        </w:r>
        <w:r>
          <w:instrText xml:space="preserve">PAGEREF 8323 \h</w:instrText>
        </w:r>
        <w:r>
          <w:fldChar w:fldCharType="end"/>
        </w:r>
      </w:hyperlink>
    </w:p>
    <w:p>
      <w:pPr>
        <w:tabs>
          <w:tab w:val="right" w:leader="dot" w:pos="9062"/>
        </w:tabs>
        <w:ind w:left="440"/>
      </w:pPr>
      <w:hyperlink w:anchor="_Toc8324" w:history="1">
        <w:r>
          <w:rPr>
            <w:rFonts w:ascii="IRNazanin" w:hAnsi="IRNazanin" w:eastAsia="IRNazanin" w:cs="IRNazanin"/>
            <w:color w:val="111111"/>
            <w:sz w:val="22"/>
            <w:szCs w:val="22"/>
            <w:b w:val="0"/>
            <w:bCs w:val="0"/>
            <w:i w:val="0"/>
            <w:iCs w:val="0"/>
          </w:rPr>
          <w:t>7266- دیوان مؤمن نصرآبادی أو شعره‏</w:t>
        </w:r>
        <w:r>
          <w:tab/>
        </w:r>
        <w:r>
          <w:fldChar w:fldCharType="begin"/>
        </w:r>
        <w:r>
          <w:instrText xml:space="preserve">PAGEREF 8324 \h</w:instrText>
        </w:r>
        <w:r>
          <w:fldChar w:fldCharType="end"/>
        </w:r>
      </w:hyperlink>
    </w:p>
    <w:p>
      <w:pPr>
        <w:tabs>
          <w:tab w:val="right" w:leader="dot" w:pos="9062"/>
        </w:tabs>
        <w:ind w:left="440"/>
      </w:pPr>
      <w:hyperlink w:anchor="_Toc8325" w:history="1">
        <w:r>
          <w:rPr>
            <w:rFonts w:ascii="IRNazanin" w:hAnsi="IRNazanin" w:eastAsia="IRNazanin" w:cs="IRNazanin"/>
            <w:color w:val="111111"/>
            <w:sz w:val="22"/>
            <w:szCs w:val="22"/>
            <w:b w:val="0"/>
            <w:bCs w:val="0"/>
            <w:i w:val="0"/>
            <w:iCs w:val="0"/>
          </w:rPr>
          <w:t>7267- دیوان مؤمن یزدی‏</w:t>
        </w:r>
        <w:r>
          <w:tab/>
        </w:r>
        <w:r>
          <w:fldChar w:fldCharType="begin"/>
        </w:r>
        <w:r>
          <w:instrText xml:space="preserve">PAGEREF 8325 \h</w:instrText>
        </w:r>
        <w:r>
          <w:fldChar w:fldCharType="end"/>
        </w:r>
      </w:hyperlink>
    </w:p>
    <w:p>
      <w:pPr>
        <w:tabs>
          <w:tab w:val="right" w:leader="dot" w:pos="9062"/>
        </w:tabs>
        <w:ind w:left="440"/>
      </w:pPr>
      <w:hyperlink w:anchor="_Toc8326" w:history="1">
        <w:r>
          <w:rPr>
            <w:rFonts w:ascii="IRNazanin" w:hAnsi="IRNazanin" w:eastAsia="IRNazanin" w:cs="IRNazanin"/>
            <w:color w:val="111111"/>
            <w:sz w:val="22"/>
            <w:szCs w:val="22"/>
            <w:b w:val="0"/>
            <w:bCs w:val="0"/>
            <w:i w:val="0"/>
            <w:iCs w:val="0"/>
          </w:rPr>
          <w:t>دیوان مؤمن یکه‏سوار</w:t>
        </w:r>
        <w:r>
          <w:tab/>
        </w:r>
        <w:r>
          <w:fldChar w:fldCharType="begin"/>
        </w:r>
        <w:r>
          <w:instrText xml:space="preserve">PAGEREF 8326 \h</w:instrText>
        </w:r>
        <w:r>
          <w:fldChar w:fldCharType="end"/>
        </w:r>
      </w:hyperlink>
    </w:p>
    <w:p>
      <w:pPr>
        <w:tabs>
          <w:tab w:val="right" w:leader="dot" w:pos="9062"/>
        </w:tabs>
        <w:ind w:left="440"/>
      </w:pPr>
      <w:hyperlink w:anchor="_Toc8327" w:history="1">
        <w:r>
          <w:rPr>
            <w:rFonts w:ascii="IRNazanin" w:hAnsi="IRNazanin" w:eastAsia="IRNazanin" w:cs="IRNazanin"/>
            <w:color w:val="111111"/>
            <w:sz w:val="22"/>
            <w:szCs w:val="22"/>
            <w:b w:val="0"/>
            <w:bCs w:val="0"/>
            <w:i w:val="0"/>
            <w:iCs w:val="0"/>
          </w:rPr>
          <w:t>7268- دیوان مؤمنی أسترآبادی‏</w:t>
        </w:r>
        <w:r>
          <w:tab/>
        </w:r>
        <w:r>
          <w:fldChar w:fldCharType="begin"/>
        </w:r>
        <w:r>
          <w:instrText xml:space="preserve">PAGEREF 8327 \h</w:instrText>
        </w:r>
        <w:r>
          <w:fldChar w:fldCharType="end"/>
        </w:r>
      </w:hyperlink>
    </w:p>
    <w:p>
      <w:pPr>
        <w:tabs>
          <w:tab w:val="right" w:leader="dot" w:pos="9062"/>
        </w:tabs>
        <w:ind w:left="440"/>
      </w:pPr>
      <w:hyperlink w:anchor="_Toc8328" w:history="1">
        <w:r>
          <w:rPr>
            <w:rFonts w:ascii="IRNazanin" w:hAnsi="IRNazanin" w:eastAsia="IRNazanin" w:cs="IRNazanin"/>
            <w:color w:val="111111"/>
            <w:sz w:val="22"/>
            <w:szCs w:val="22"/>
            <w:b w:val="0"/>
            <w:bCs w:val="0"/>
            <w:i w:val="0"/>
            <w:iCs w:val="0"/>
          </w:rPr>
          <w:t>دیوان مولانا مؤمنی سمرقندی‏</w:t>
        </w:r>
        <w:r>
          <w:tab/>
        </w:r>
        <w:r>
          <w:fldChar w:fldCharType="begin"/>
        </w:r>
        <w:r>
          <w:instrText xml:space="preserve">PAGEREF 8328 \h</w:instrText>
        </w:r>
        <w:r>
          <w:fldChar w:fldCharType="end"/>
        </w:r>
      </w:hyperlink>
    </w:p>
    <w:p>
      <w:pPr>
        <w:tabs>
          <w:tab w:val="right" w:leader="dot" w:pos="9062"/>
        </w:tabs>
        <w:ind w:left="440"/>
      </w:pPr>
      <w:hyperlink w:anchor="_Toc8329" w:history="1">
        <w:r>
          <w:rPr>
            <w:rFonts w:ascii="IRNazanin" w:hAnsi="IRNazanin" w:eastAsia="IRNazanin" w:cs="IRNazanin"/>
            <w:color w:val="111111"/>
            <w:sz w:val="22"/>
            <w:szCs w:val="22"/>
            <w:b w:val="0"/>
            <w:bCs w:val="0"/>
            <w:i w:val="0"/>
            <w:iCs w:val="0"/>
          </w:rPr>
          <w:t>دیوان مؤمنی سمرقندی‏</w:t>
        </w:r>
        <w:r>
          <w:tab/>
        </w:r>
        <w:r>
          <w:fldChar w:fldCharType="begin"/>
        </w:r>
        <w:r>
          <w:instrText xml:space="preserve">PAGEREF 8329 \h</w:instrText>
        </w:r>
        <w:r>
          <w:fldChar w:fldCharType="end"/>
        </w:r>
      </w:hyperlink>
    </w:p>
    <w:p>
      <w:pPr>
        <w:tabs>
          <w:tab w:val="right" w:leader="dot" w:pos="9062"/>
        </w:tabs>
        <w:ind w:left="440"/>
      </w:pPr>
      <w:hyperlink w:anchor="_Toc8330" w:history="1">
        <w:r>
          <w:rPr>
            <w:rFonts w:ascii="IRNazanin" w:hAnsi="IRNazanin" w:eastAsia="IRNazanin" w:cs="IRNazanin"/>
            <w:color w:val="111111"/>
            <w:sz w:val="22"/>
            <w:szCs w:val="22"/>
            <w:b w:val="0"/>
            <w:bCs w:val="0"/>
            <w:i w:val="0"/>
            <w:iCs w:val="0"/>
          </w:rPr>
          <w:t>7269- دیوان مونس أصفهانی أو شعره‏</w:t>
        </w:r>
        <w:r>
          <w:tab/>
        </w:r>
        <w:r>
          <w:fldChar w:fldCharType="begin"/>
        </w:r>
        <w:r>
          <w:instrText xml:space="preserve">PAGEREF 8330 \h</w:instrText>
        </w:r>
        <w:r>
          <w:fldChar w:fldCharType="end"/>
        </w:r>
      </w:hyperlink>
    </w:p>
    <w:p>
      <w:pPr>
        <w:tabs>
          <w:tab w:val="right" w:leader="dot" w:pos="9062"/>
        </w:tabs>
        <w:ind w:left="440"/>
      </w:pPr>
      <w:hyperlink w:anchor="_Toc8331" w:history="1">
        <w:r>
          <w:rPr>
            <w:rFonts w:ascii="IRNazanin" w:hAnsi="IRNazanin" w:eastAsia="IRNazanin" w:cs="IRNazanin"/>
            <w:color w:val="111111"/>
            <w:sz w:val="22"/>
            <w:szCs w:val="22"/>
            <w:b w:val="0"/>
            <w:bCs w:val="0"/>
            <w:i w:val="0"/>
            <w:iCs w:val="0"/>
          </w:rPr>
          <w:t>7270- دیوان مونس أصفهانی أو شعره‏</w:t>
        </w:r>
        <w:r>
          <w:tab/>
        </w:r>
        <w:r>
          <w:fldChar w:fldCharType="begin"/>
        </w:r>
        <w:r>
          <w:instrText xml:space="preserve">PAGEREF 8331 \h</w:instrText>
        </w:r>
        <w:r>
          <w:fldChar w:fldCharType="end"/>
        </w:r>
      </w:hyperlink>
    </w:p>
    <w:p>
      <w:pPr>
        <w:tabs>
          <w:tab w:val="right" w:leader="dot" w:pos="9062"/>
        </w:tabs>
        <w:ind w:left="440"/>
      </w:pPr>
      <w:hyperlink w:anchor="_Toc8332" w:history="1">
        <w:r>
          <w:rPr>
            <w:rFonts w:ascii="IRNazanin" w:hAnsi="IRNazanin" w:eastAsia="IRNazanin" w:cs="IRNazanin"/>
            <w:color w:val="111111"/>
            <w:sz w:val="22"/>
            <w:szCs w:val="22"/>
            <w:b w:val="0"/>
            <w:bCs w:val="0"/>
            <w:i w:val="0"/>
            <w:iCs w:val="0"/>
          </w:rPr>
          <w:t>7271- دیوان مونس بارفروشی أو شعره‏</w:t>
        </w:r>
        <w:r>
          <w:tab/>
        </w:r>
        <w:r>
          <w:fldChar w:fldCharType="begin"/>
        </w:r>
        <w:r>
          <w:instrText xml:space="preserve">PAGEREF 8332 \h</w:instrText>
        </w:r>
        <w:r>
          <w:fldChar w:fldCharType="end"/>
        </w:r>
      </w:hyperlink>
    </w:p>
    <w:p>
      <w:pPr>
        <w:tabs>
          <w:tab w:val="right" w:leader="dot" w:pos="9062"/>
        </w:tabs>
        <w:ind w:left="440"/>
      </w:pPr>
      <w:hyperlink w:anchor="_Toc8333" w:history="1">
        <w:r>
          <w:rPr>
            <w:rFonts w:ascii="IRNazanin" w:hAnsi="IRNazanin" w:eastAsia="IRNazanin" w:cs="IRNazanin"/>
            <w:color w:val="111111"/>
            <w:sz w:val="22"/>
            <w:szCs w:val="22"/>
            <w:b w:val="0"/>
            <w:bCs w:val="0"/>
            <w:i w:val="0"/>
            <w:iCs w:val="0"/>
          </w:rPr>
          <w:t>7272- دیوان مونس بخاری أو شعره‏</w:t>
        </w:r>
        <w:r>
          <w:tab/>
        </w:r>
        <w:r>
          <w:fldChar w:fldCharType="begin"/>
        </w:r>
        <w:r>
          <w:instrText xml:space="preserve">PAGEREF 8333 \h</w:instrText>
        </w:r>
        <w:r>
          <w:fldChar w:fldCharType="end"/>
        </w:r>
      </w:hyperlink>
    </w:p>
    <w:p>
      <w:pPr>
        <w:tabs>
          <w:tab w:val="right" w:leader="dot" w:pos="9062"/>
        </w:tabs>
        <w:ind w:left="440"/>
      </w:pPr>
      <w:hyperlink w:anchor="_Toc8334" w:history="1">
        <w:r>
          <w:rPr>
            <w:rFonts w:ascii="IRNazanin" w:hAnsi="IRNazanin" w:eastAsia="IRNazanin" w:cs="IRNazanin"/>
            <w:color w:val="111111"/>
            <w:sz w:val="22"/>
            <w:szCs w:val="22"/>
            <w:b w:val="0"/>
            <w:bCs w:val="0"/>
            <w:i w:val="0"/>
            <w:iCs w:val="0"/>
          </w:rPr>
          <w:t>7273- دیوان مونس بهوپالی أو شعره‏</w:t>
        </w:r>
        <w:r>
          <w:tab/>
        </w:r>
        <w:r>
          <w:fldChar w:fldCharType="begin"/>
        </w:r>
        <w:r>
          <w:instrText xml:space="preserve">PAGEREF 8334 \h</w:instrText>
        </w:r>
        <w:r>
          <w:fldChar w:fldCharType="end"/>
        </w:r>
      </w:hyperlink>
    </w:p>
    <w:p>
      <w:pPr>
        <w:tabs>
          <w:tab w:val="right" w:leader="dot" w:pos="9062"/>
        </w:tabs>
        <w:ind w:left="440"/>
      </w:pPr>
      <w:hyperlink w:anchor="_Toc8335" w:history="1">
        <w:r>
          <w:rPr>
            <w:rFonts w:ascii="IRNazanin" w:hAnsi="IRNazanin" w:eastAsia="IRNazanin" w:cs="IRNazanin"/>
            <w:color w:val="111111"/>
            <w:sz w:val="22"/>
            <w:szCs w:val="22"/>
            <w:b w:val="0"/>
            <w:bCs w:val="0"/>
            <w:i w:val="0"/>
            <w:iCs w:val="0"/>
          </w:rPr>
          <w:t>7274- دیوان مونس شیرازی‏</w:t>
        </w:r>
        <w:r>
          <w:tab/>
        </w:r>
        <w:r>
          <w:fldChar w:fldCharType="begin"/>
        </w:r>
        <w:r>
          <w:instrText xml:space="preserve">PAGEREF 8335 \h</w:instrText>
        </w:r>
        <w:r>
          <w:fldChar w:fldCharType="end"/>
        </w:r>
      </w:hyperlink>
    </w:p>
    <w:p>
      <w:pPr>
        <w:tabs>
          <w:tab w:val="right" w:leader="dot" w:pos="9062"/>
        </w:tabs>
        <w:ind w:left="440"/>
      </w:pPr>
      <w:hyperlink w:anchor="_Toc8336" w:history="1">
        <w:r>
          <w:rPr>
            <w:rFonts w:ascii="IRNazanin" w:hAnsi="IRNazanin" w:eastAsia="IRNazanin" w:cs="IRNazanin"/>
            <w:color w:val="111111"/>
            <w:sz w:val="22"/>
            <w:szCs w:val="22"/>
            <w:b w:val="0"/>
            <w:bCs w:val="0"/>
            <w:i w:val="0"/>
            <w:iCs w:val="0"/>
          </w:rPr>
          <w:t>دیوان مونس مازندرانی‏</w:t>
        </w:r>
        <w:r>
          <w:tab/>
        </w:r>
        <w:r>
          <w:fldChar w:fldCharType="begin"/>
        </w:r>
        <w:r>
          <w:instrText xml:space="preserve">PAGEREF 8336 \h</w:instrText>
        </w:r>
        <w:r>
          <w:fldChar w:fldCharType="end"/>
        </w:r>
      </w:hyperlink>
    </w:p>
    <w:p>
      <w:pPr>
        <w:tabs>
          <w:tab w:val="right" w:leader="dot" w:pos="9062"/>
        </w:tabs>
        <w:ind w:left="440"/>
      </w:pPr>
      <w:hyperlink w:anchor="_Toc8337" w:history="1">
        <w:r>
          <w:rPr>
            <w:rFonts w:ascii="IRNazanin" w:hAnsi="IRNazanin" w:eastAsia="IRNazanin" w:cs="IRNazanin"/>
            <w:color w:val="111111"/>
            <w:sz w:val="22"/>
            <w:szCs w:val="22"/>
            <w:b w:val="0"/>
            <w:bCs w:val="0"/>
            <w:i w:val="0"/>
            <w:iCs w:val="0"/>
          </w:rPr>
          <w:t>7275- دیوان مونس هندی‏</w:t>
        </w:r>
        <w:r>
          <w:tab/>
        </w:r>
        <w:r>
          <w:fldChar w:fldCharType="begin"/>
        </w:r>
        <w:r>
          <w:instrText xml:space="preserve">PAGEREF 8337 \h</w:instrText>
        </w:r>
        <w:r>
          <w:fldChar w:fldCharType="end"/>
        </w:r>
      </w:hyperlink>
    </w:p>
    <w:p>
      <w:pPr>
        <w:tabs>
          <w:tab w:val="right" w:leader="dot" w:pos="9062"/>
        </w:tabs>
        <w:ind w:left="440"/>
      </w:pPr>
      <w:hyperlink w:anchor="_Toc8338" w:history="1">
        <w:r>
          <w:rPr>
            <w:rFonts w:ascii="IRNazanin" w:hAnsi="IRNazanin" w:eastAsia="IRNazanin" w:cs="IRNazanin"/>
            <w:color w:val="111111"/>
            <w:sz w:val="22"/>
            <w:szCs w:val="22"/>
            <w:b w:val="0"/>
            <w:bCs w:val="0"/>
            <w:i w:val="0"/>
            <w:iCs w:val="0"/>
          </w:rPr>
          <w:t>7276- دیوان مونسی شوشتری أو شعره‏</w:t>
        </w:r>
        <w:r>
          <w:tab/>
        </w:r>
        <w:r>
          <w:fldChar w:fldCharType="begin"/>
        </w:r>
        <w:r>
          <w:instrText xml:space="preserve">PAGEREF 8338 \h</w:instrText>
        </w:r>
        <w:r>
          <w:fldChar w:fldCharType="end"/>
        </w:r>
      </w:hyperlink>
    </w:p>
    <w:p>
      <w:pPr>
        <w:tabs>
          <w:tab w:val="right" w:leader="dot" w:pos="9062"/>
        </w:tabs>
        <w:ind w:left="440"/>
      </w:pPr>
      <w:hyperlink w:anchor="_Toc8339" w:history="1">
        <w:r>
          <w:rPr>
            <w:rFonts w:ascii="IRNazanin" w:hAnsi="IRNazanin" w:eastAsia="IRNazanin" w:cs="IRNazanin"/>
            <w:color w:val="111111"/>
            <w:sz w:val="22"/>
            <w:szCs w:val="22"/>
            <w:b w:val="0"/>
            <w:bCs w:val="0"/>
            <w:i w:val="0"/>
            <w:iCs w:val="0"/>
          </w:rPr>
          <w:t>7277- دیوان مؤید</w:t>
        </w:r>
        <w:r>
          <w:tab/>
        </w:r>
        <w:r>
          <w:fldChar w:fldCharType="begin"/>
        </w:r>
        <w:r>
          <w:instrText xml:space="preserve">PAGEREF 8339 \h</w:instrText>
        </w:r>
        <w:r>
          <w:fldChar w:fldCharType="end"/>
        </w:r>
      </w:hyperlink>
    </w:p>
    <w:p>
      <w:pPr>
        <w:tabs>
          <w:tab w:val="right" w:leader="dot" w:pos="9062"/>
        </w:tabs>
        <w:ind w:left="440"/>
      </w:pPr>
      <w:hyperlink w:anchor="_Toc8340" w:history="1">
        <w:r>
          <w:rPr>
            <w:rFonts w:ascii="IRNazanin" w:hAnsi="IRNazanin" w:eastAsia="IRNazanin" w:cs="IRNazanin"/>
            <w:color w:val="111111"/>
            <w:sz w:val="22"/>
            <w:szCs w:val="22"/>
            <w:b w:val="0"/>
            <w:bCs w:val="0"/>
            <w:i w:val="0"/>
            <w:iCs w:val="0"/>
          </w:rPr>
          <w:t>7278- دیوان المؤید بالله‏</w:t>
        </w:r>
        <w:r>
          <w:tab/>
        </w:r>
        <w:r>
          <w:fldChar w:fldCharType="begin"/>
        </w:r>
        <w:r>
          <w:instrText xml:space="preserve">PAGEREF 8340 \h</w:instrText>
        </w:r>
        <w:r>
          <w:fldChar w:fldCharType="end"/>
        </w:r>
      </w:hyperlink>
    </w:p>
    <w:p>
      <w:pPr>
        <w:tabs>
          <w:tab w:val="right" w:leader="dot" w:pos="9062"/>
        </w:tabs>
        <w:ind w:left="440"/>
      </w:pPr>
      <w:hyperlink w:anchor="_Toc8341" w:history="1">
        <w:r>
          <w:rPr>
            <w:rFonts w:ascii="IRNazanin" w:hAnsi="IRNazanin" w:eastAsia="IRNazanin" w:cs="IRNazanin"/>
            <w:color w:val="111111"/>
            <w:sz w:val="22"/>
            <w:szCs w:val="22"/>
            <w:b w:val="0"/>
            <w:bCs w:val="0"/>
            <w:i w:val="0"/>
            <w:iCs w:val="0"/>
          </w:rPr>
          <w:t>7279- دیوان مؤید التولیة</w:t>
        </w:r>
        <w:r>
          <w:tab/>
        </w:r>
        <w:r>
          <w:fldChar w:fldCharType="begin"/>
        </w:r>
        <w:r>
          <w:instrText xml:space="preserve">PAGEREF 8341 \h</w:instrText>
        </w:r>
        <w:r>
          <w:fldChar w:fldCharType="end"/>
        </w:r>
      </w:hyperlink>
    </w:p>
    <w:p>
      <w:pPr>
        <w:tabs>
          <w:tab w:val="right" w:leader="dot" w:pos="9062"/>
        </w:tabs>
        <w:ind w:left="440"/>
      </w:pPr>
      <w:hyperlink w:anchor="_Toc8342" w:history="1">
        <w:r>
          <w:rPr>
            <w:rFonts w:ascii="IRNazanin" w:hAnsi="IRNazanin" w:eastAsia="IRNazanin" w:cs="IRNazanin"/>
            <w:color w:val="111111"/>
            <w:sz w:val="22"/>
            <w:szCs w:val="22"/>
            <w:b w:val="0"/>
            <w:bCs w:val="0"/>
            <w:i w:val="0"/>
            <w:iCs w:val="0"/>
          </w:rPr>
          <w:t>7280- دیوان مؤید دیوانه‏</w:t>
        </w:r>
        <w:r>
          <w:tab/>
        </w:r>
        <w:r>
          <w:fldChar w:fldCharType="begin"/>
        </w:r>
        <w:r>
          <w:instrText xml:space="preserve">PAGEREF 8342 \h</w:instrText>
        </w:r>
        <w:r>
          <w:fldChar w:fldCharType="end"/>
        </w:r>
      </w:hyperlink>
    </w:p>
    <w:p>
      <w:pPr>
        <w:tabs>
          <w:tab w:val="right" w:leader="dot" w:pos="9062"/>
        </w:tabs>
        <w:ind w:left="440"/>
      </w:pPr>
      <w:hyperlink w:anchor="_Toc8343" w:history="1">
        <w:r>
          <w:rPr>
            <w:rFonts w:ascii="IRNazanin" w:hAnsi="IRNazanin" w:eastAsia="IRNazanin" w:cs="IRNazanin"/>
            <w:color w:val="111111"/>
            <w:sz w:val="22"/>
            <w:szCs w:val="22"/>
            <w:b w:val="0"/>
            <w:bCs w:val="0"/>
            <w:i w:val="0"/>
            <w:iCs w:val="0"/>
          </w:rPr>
          <w:t>7281- دیوان مؤید شولستانی أو شعره‏</w:t>
        </w:r>
        <w:r>
          <w:tab/>
        </w:r>
        <w:r>
          <w:fldChar w:fldCharType="begin"/>
        </w:r>
        <w:r>
          <w:instrText xml:space="preserve">PAGEREF 8343 \h</w:instrText>
        </w:r>
        <w:r>
          <w:fldChar w:fldCharType="end"/>
        </w:r>
      </w:hyperlink>
    </w:p>
    <w:p>
      <w:pPr>
        <w:tabs>
          <w:tab w:val="right" w:leader="dot" w:pos="9062"/>
        </w:tabs>
        <w:ind w:left="440"/>
      </w:pPr>
      <w:hyperlink w:anchor="_Toc8344" w:history="1">
        <w:r>
          <w:rPr>
            <w:rFonts w:ascii="IRNazanin" w:hAnsi="IRNazanin" w:eastAsia="IRNazanin" w:cs="IRNazanin"/>
            <w:color w:val="111111"/>
            <w:sz w:val="22"/>
            <w:szCs w:val="22"/>
            <w:b w:val="0"/>
            <w:bCs w:val="0"/>
            <w:i w:val="0"/>
            <w:iCs w:val="0"/>
          </w:rPr>
          <w:t>7282- دیوان المؤید فی الدین‏</w:t>
        </w:r>
        <w:r>
          <w:tab/>
        </w:r>
        <w:r>
          <w:fldChar w:fldCharType="begin"/>
        </w:r>
        <w:r>
          <w:instrText xml:space="preserve">PAGEREF 8344 \h</w:instrText>
        </w:r>
        <w:r>
          <w:fldChar w:fldCharType="end"/>
        </w:r>
      </w:hyperlink>
    </w:p>
    <w:p>
      <w:pPr>
        <w:tabs>
          <w:tab w:val="right" w:leader="dot" w:pos="9062"/>
        </w:tabs>
        <w:ind w:left="440"/>
      </w:pPr>
      <w:hyperlink w:anchor="_Toc8345" w:history="1">
        <w:r>
          <w:rPr>
            <w:rFonts w:ascii="IRNazanin" w:hAnsi="IRNazanin" w:eastAsia="IRNazanin" w:cs="IRNazanin"/>
            <w:color w:val="111111"/>
            <w:sz w:val="22"/>
            <w:szCs w:val="22"/>
            <w:b w:val="0"/>
            <w:bCs w:val="0"/>
            <w:i w:val="0"/>
            <w:iCs w:val="0"/>
          </w:rPr>
          <w:t>دیوان مؤید مشهدی‏</w:t>
        </w:r>
        <w:r>
          <w:tab/>
        </w:r>
        <w:r>
          <w:fldChar w:fldCharType="begin"/>
        </w:r>
        <w:r>
          <w:instrText xml:space="preserve">PAGEREF 8345 \h</w:instrText>
        </w:r>
        <w:r>
          <w:fldChar w:fldCharType="end"/>
        </w:r>
      </w:hyperlink>
    </w:p>
    <w:p>
      <w:pPr>
        <w:tabs>
          <w:tab w:val="right" w:leader="dot" w:pos="9062"/>
        </w:tabs>
        <w:ind w:left="440"/>
      </w:pPr>
      <w:hyperlink w:anchor="_Toc8346" w:history="1">
        <w:r>
          <w:rPr>
            <w:rFonts w:ascii="IRNazanin" w:hAnsi="IRNazanin" w:eastAsia="IRNazanin" w:cs="IRNazanin"/>
            <w:color w:val="111111"/>
            <w:sz w:val="22"/>
            <w:szCs w:val="22"/>
            <w:b w:val="0"/>
            <w:bCs w:val="0"/>
            <w:i w:val="0"/>
            <w:iCs w:val="0"/>
          </w:rPr>
          <w:t>7283- دیوان مؤید مهنة أو شعره‏</w:t>
        </w:r>
        <w:r>
          <w:tab/>
        </w:r>
        <w:r>
          <w:fldChar w:fldCharType="begin"/>
        </w:r>
        <w:r>
          <w:instrText xml:space="preserve">PAGEREF 8346 \h</w:instrText>
        </w:r>
        <w:r>
          <w:fldChar w:fldCharType="end"/>
        </w:r>
      </w:hyperlink>
    </w:p>
    <w:p>
      <w:pPr>
        <w:tabs>
          <w:tab w:val="right" w:leader="dot" w:pos="9062"/>
        </w:tabs>
        <w:ind w:left="440"/>
      </w:pPr>
      <w:hyperlink w:anchor="_Toc8347" w:history="1">
        <w:r>
          <w:rPr>
            <w:rFonts w:ascii="IRNazanin" w:hAnsi="IRNazanin" w:eastAsia="IRNazanin" w:cs="IRNazanin"/>
            <w:color w:val="111111"/>
            <w:sz w:val="22"/>
            <w:szCs w:val="22"/>
            <w:b w:val="0"/>
            <w:bCs w:val="0"/>
            <w:i w:val="0"/>
            <w:iCs w:val="0"/>
          </w:rPr>
          <w:t>7284- دیوان مؤید نسفی‏</w:t>
        </w:r>
        <w:r>
          <w:tab/>
        </w:r>
        <w:r>
          <w:fldChar w:fldCharType="begin"/>
        </w:r>
        <w:r>
          <w:instrText xml:space="preserve">PAGEREF 8347 \h</w:instrText>
        </w:r>
        <w:r>
          <w:fldChar w:fldCharType="end"/>
        </w:r>
      </w:hyperlink>
    </w:p>
    <w:p>
      <w:pPr>
        <w:tabs>
          <w:tab w:val="right" w:leader="dot" w:pos="9062"/>
        </w:tabs>
        <w:ind w:left="440"/>
      </w:pPr>
      <w:hyperlink w:anchor="_Toc8348" w:history="1">
        <w:r>
          <w:rPr>
            <w:rFonts w:ascii="IRNazanin" w:hAnsi="IRNazanin" w:eastAsia="IRNazanin" w:cs="IRNazanin"/>
            <w:color w:val="111111"/>
            <w:sz w:val="22"/>
            <w:szCs w:val="22"/>
            <w:b w:val="0"/>
            <w:bCs w:val="0"/>
            <w:i w:val="0"/>
            <w:iCs w:val="0"/>
          </w:rPr>
          <w:t>7285- دیوان مؤیدی‏</w:t>
        </w:r>
        <w:r>
          <w:tab/>
        </w:r>
        <w:r>
          <w:fldChar w:fldCharType="begin"/>
        </w:r>
        <w:r>
          <w:instrText xml:space="preserve">PAGEREF 8348 \h</w:instrText>
        </w:r>
        <w:r>
          <w:fldChar w:fldCharType="end"/>
        </w:r>
      </w:hyperlink>
    </w:p>
    <w:p>
      <w:pPr>
        <w:tabs>
          <w:tab w:val="right" w:leader="dot" w:pos="9062"/>
        </w:tabs>
        <w:ind w:left="440"/>
      </w:pPr>
      <w:hyperlink w:anchor="_Toc8349" w:history="1">
        <w:r>
          <w:rPr>
            <w:rFonts w:ascii="IRNazanin" w:hAnsi="IRNazanin" w:eastAsia="IRNazanin" w:cs="IRNazanin"/>
            <w:color w:val="111111"/>
            <w:sz w:val="22"/>
            <w:szCs w:val="22"/>
            <w:b w:val="0"/>
            <w:bCs w:val="0"/>
            <w:i w:val="0"/>
            <w:iCs w:val="0"/>
          </w:rPr>
          <w:t>7286- دیوان مهتاب‏</w:t>
        </w:r>
        <w:r>
          <w:tab/>
        </w:r>
        <w:r>
          <w:fldChar w:fldCharType="begin"/>
        </w:r>
        <w:r>
          <w:instrText xml:space="preserve">PAGEREF 8349 \h</w:instrText>
        </w:r>
        <w:r>
          <w:fldChar w:fldCharType="end"/>
        </w:r>
      </w:hyperlink>
    </w:p>
    <w:p>
      <w:pPr>
        <w:tabs>
          <w:tab w:val="right" w:leader="dot" w:pos="9062"/>
        </w:tabs>
        <w:ind w:left="440"/>
      </w:pPr>
      <w:hyperlink w:anchor="_Toc8350" w:history="1">
        <w:r>
          <w:rPr>
            <w:rFonts w:ascii="IRNazanin" w:hAnsi="IRNazanin" w:eastAsia="IRNazanin" w:cs="IRNazanin"/>
            <w:color w:val="111111"/>
            <w:sz w:val="22"/>
            <w:szCs w:val="22"/>
            <w:b w:val="0"/>
            <w:bCs w:val="0"/>
            <w:i w:val="0"/>
            <w:iCs w:val="0"/>
          </w:rPr>
          <w:t>7287- دیوان مهجور أصفهانی أو شعره‏</w:t>
        </w:r>
        <w:r>
          <w:tab/>
        </w:r>
        <w:r>
          <w:fldChar w:fldCharType="begin"/>
        </w:r>
        <w:r>
          <w:instrText xml:space="preserve">PAGEREF 8350 \h</w:instrText>
        </w:r>
        <w:r>
          <w:fldChar w:fldCharType="end"/>
        </w:r>
      </w:hyperlink>
    </w:p>
    <w:p>
      <w:pPr>
        <w:tabs>
          <w:tab w:val="right" w:leader="dot" w:pos="9062"/>
        </w:tabs>
        <w:ind w:left="440"/>
      </w:pPr>
      <w:hyperlink w:anchor="_Toc8351" w:history="1">
        <w:r>
          <w:rPr>
            <w:rFonts w:ascii="IRNazanin" w:hAnsi="IRNazanin" w:eastAsia="IRNazanin" w:cs="IRNazanin"/>
            <w:color w:val="111111"/>
            <w:sz w:val="22"/>
            <w:szCs w:val="22"/>
            <w:b w:val="0"/>
            <w:bCs w:val="0"/>
            <w:i w:val="0"/>
            <w:iCs w:val="0"/>
          </w:rPr>
          <w:t>7288- دیوان مهجور تبریزی أو شعره‏</w:t>
        </w:r>
        <w:r>
          <w:tab/>
        </w:r>
        <w:r>
          <w:fldChar w:fldCharType="begin"/>
        </w:r>
        <w:r>
          <w:instrText xml:space="preserve">PAGEREF 8351 \h</w:instrText>
        </w:r>
        <w:r>
          <w:fldChar w:fldCharType="end"/>
        </w:r>
      </w:hyperlink>
    </w:p>
    <w:p>
      <w:pPr>
        <w:tabs>
          <w:tab w:val="right" w:leader="dot" w:pos="9062"/>
        </w:tabs>
        <w:ind w:left="440"/>
      </w:pPr>
      <w:hyperlink w:anchor="_Toc8352" w:history="1">
        <w:r>
          <w:rPr>
            <w:rFonts w:ascii="IRNazanin" w:hAnsi="IRNazanin" w:eastAsia="IRNazanin" w:cs="IRNazanin"/>
            <w:color w:val="111111"/>
            <w:sz w:val="22"/>
            <w:szCs w:val="22"/>
            <w:b w:val="0"/>
            <w:bCs w:val="0"/>
            <w:i w:val="0"/>
            <w:iCs w:val="0"/>
          </w:rPr>
          <w:t>7289- دیوان مهجور شیرازی أو شعره‏</w:t>
        </w:r>
        <w:r>
          <w:tab/>
        </w:r>
        <w:r>
          <w:fldChar w:fldCharType="begin"/>
        </w:r>
        <w:r>
          <w:instrText xml:space="preserve">PAGEREF 8352 \h</w:instrText>
        </w:r>
        <w:r>
          <w:fldChar w:fldCharType="end"/>
        </w:r>
      </w:hyperlink>
    </w:p>
    <w:p>
      <w:pPr>
        <w:tabs>
          <w:tab w:val="right" w:leader="dot" w:pos="9062"/>
        </w:tabs>
        <w:ind w:left="440"/>
      </w:pPr>
      <w:hyperlink w:anchor="_Toc8353" w:history="1">
        <w:r>
          <w:rPr>
            <w:rFonts w:ascii="IRNazanin" w:hAnsi="IRNazanin" w:eastAsia="IRNazanin" w:cs="IRNazanin"/>
            <w:color w:val="111111"/>
            <w:sz w:val="22"/>
            <w:szCs w:val="22"/>
            <w:b w:val="0"/>
            <w:bCs w:val="0"/>
            <w:i w:val="0"/>
            <w:iCs w:val="0"/>
          </w:rPr>
          <w:t>دیوان مهجور شیرازی‏</w:t>
        </w:r>
        <w:r>
          <w:tab/>
        </w:r>
        <w:r>
          <w:fldChar w:fldCharType="begin"/>
        </w:r>
        <w:r>
          <w:instrText xml:space="preserve">PAGEREF 8353 \h</w:instrText>
        </w:r>
        <w:r>
          <w:fldChar w:fldCharType="end"/>
        </w:r>
      </w:hyperlink>
    </w:p>
    <w:p>
      <w:pPr>
        <w:tabs>
          <w:tab w:val="right" w:leader="dot" w:pos="9062"/>
        </w:tabs>
        <w:ind w:left="440"/>
      </w:pPr>
      <w:hyperlink w:anchor="_Toc8354" w:history="1">
        <w:r>
          <w:rPr>
            <w:rFonts w:ascii="IRNazanin" w:hAnsi="IRNazanin" w:eastAsia="IRNazanin" w:cs="IRNazanin"/>
            <w:color w:val="111111"/>
            <w:sz w:val="22"/>
            <w:szCs w:val="22"/>
            <w:b w:val="0"/>
            <w:bCs w:val="0"/>
            <w:i w:val="0"/>
            <w:iCs w:val="0"/>
          </w:rPr>
          <w:t>7290- دیوان مهجور قمی‏</w:t>
        </w:r>
        <w:r>
          <w:tab/>
        </w:r>
        <w:r>
          <w:fldChar w:fldCharType="begin"/>
        </w:r>
        <w:r>
          <w:instrText xml:space="preserve">PAGEREF 8354 \h</w:instrText>
        </w:r>
        <w:r>
          <w:fldChar w:fldCharType="end"/>
        </w:r>
      </w:hyperlink>
    </w:p>
    <w:p>
      <w:pPr>
        <w:tabs>
          <w:tab w:val="right" w:leader="dot" w:pos="9062"/>
        </w:tabs>
        <w:ind w:left="440"/>
      </w:pPr>
      <w:hyperlink w:anchor="_Toc8355" w:history="1">
        <w:r>
          <w:rPr>
            <w:rFonts w:ascii="IRNazanin" w:hAnsi="IRNazanin" w:eastAsia="IRNazanin" w:cs="IRNazanin"/>
            <w:color w:val="111111"/>
            <w:sz w:val="22"/>
            <w:szCs w:val="22"/>
            <w:b w:val="0"/>
            <w:bCs w:val="0"/>
            <w:i w:val="0"/>
            <w:iCs w:val="0"/>
          </w:rPr>
          <w:t>7291- دیوان مهجور کرمانشاهی أو شعره‏</w:t>
        </w:r>
        <w:r>
          <w:tab/>
        </w:r>
        <w:r>
          <w:fldChar w:fldCharType="begin"/>
        </w:r>
        <w:r>
          <w:instrText xml:space="preserve">PAGEREF 8355 \h</w:instrText>
        </w:r>
        <w:r>
          <w:fldChar w:fldCharType="end"/>
        </w:r>
      </w:hyperlink>
    </w:p>
    <w:p>
      <w:pPr>
        <w:tabs>
          <w:tab w:val="right" w:leader="dot" w:pos="9062"/>
        </w:tabs>
        <w:ind w:left="440"/>
      </w:pPr>
      <w:hyperlink w:anchor="_Toc8356" w:history="1">
        <w:r>
          <w:rPr>
            <w:rFonts w:ascii="IRNazanin" w:hAnsi="IRNazanin" w:eastAsia="IRNazanin" w:cs="IRNazanin"/>
            <w:color w:val="111111"/>
            <w:sz w:val="22"/>
            <w:szCs w:val="22"/>
            <w:b w:val="0"/>
            <w:bCs w:val="0"/>
            <w:i w:val="0"/>
            <w:iCs w:val="0"/>
          </w:rPr>
          <w:t>دیوان مهجور مالمیری‏</w:t>
        </w:r>
        <w:r>
          <w:tab/>
        </w:r>
        <w:r>
          <w:fldChar w:fldCharType="begin"/>
        </w:r>
        <w:r>
          <w:instrText xml:space="preserve">PAGEREF 8356 \h</w:instrText>
        </w:r>
        <w:r>
          <w:fldChar w:fldCharType="end"/>
        </w:r>
      </w:hyperlink>
    </w:p>
    <w:p>
      <w:pPr>
        <w:tabs>
          <w:tab w:val="right" w:leader="dot" w:pos="9062"/>
        </w:tabs>
        <w:ind w:left="440"/>
      </w:pPr>
      <w:hyperlink w:anchor="_Toc8357" w:history="1">
        <w:r>
          <w:rPr>
            <w:rFonts w:ascii="IRNazanin" w:hAnsi="IRNazanin" w:eastAsia="IRNazanin" w:cs="IRNazanin"/>
            <w:color w:val="111111"/>
            <w:sz w:val="22"/>
            <w:szCs w:val="22"/>
            <w:b w:val="0"/>
            <w:bCs w:val="0"/>
            <w:i w:val="0"/>
            <w:iCs w:val="0"/>
          </w:rPr>
          <w:t>7292- دیوان مهجور یزدی‏</w:t>
        </w:r>
        <w:r>
          <w:tab/>
        </w:r>
        <w:r>
          <w:fldChar w:fldCharType="begin"/>
        </w:r>
        <w:r>
          <w:instrText xml:space="preserve">PAGEREF 8357 \h</w:instrText>
        </w:r>
        <w:r>
          <w:fldChar w:fldCharType="end"/>
        </w:r>
      </w:hyperlink>
    </w:p>
    <w:p>
      <w:pPr>
        <w:tabs>
          <w:tab w:val="right" w:leader="dot" w:pos="9062"/>
        </w:tabs>
        <w:ind w:left="440"/>
      </w:pPr>
      <w:hyperlink w:anchor="_Toc8358" w:history="1">
        <w:r>
          <w:rPr>
            <w:rFonts w:ascii="IRNazanin" w:hAnsi="IRNazanin" w:eastAsia="IRNazanin" w:cs="IRNazanin"/>
            <w:color w:val="111111"/>
            <w:sz w:val="22"/>
            <w:szCs w:val="22"/>
            <w:b w:val="0"/>
            <w:bCs w:val="0"/>
            <w:i w:val="0"/>
            <w:iCs w:val="0"/>
          </w:rPr>
          <w:t>7293- دیوان مهجور یزدی أو شعره‏</w:t>
        </w:r>
        <w:r>
          <w:tab/>
        </w:r>
        <w:r>
          <w:fldChar w:fldCharType="begin"/>
        </w:r>
        <w:r>
          <w:instrText xml:space="preserve">PAGEREF 8358 \h</w:instrText>
        </w:r>
        <w:r>
          <w:fldChar w:fldCharType="end"/>
        </w:r>
      </w:hyperlink>
    </w:p>
    <w:p>
      <w:pPr>
        <w:tabs>
          <w:tab w:val="right" w:leader="dot" w:pos="9062"/>
        </w:tabs>
        <w:ind w:left="440"/>
      </w:pPr>
      <w:hyperlink w:anchor="_Toc8359" w:history="1">
        <w:r>
          <w:rPr>
            <w:rFonts w:ascii="IRNazanin" w:hAnsi="IRNazanin" w:eastAsia="IRNazanin" w:cs="IRNazanin"/>
            <w:color w:val="111111"/>
            <w:sz w:val="22"/>
            <w:szCs w:val="22"/>
            <w:b w:val="0"/>
            <w:bCs w:val="0"/>
            <w:i w:val="0"/>
            <w:iCs w:val="0"/>
          </w:rPr>
          <w:t>7294- دیوان مهدوی حسین‏آبادی أو شعره‏</w:t>
        </w:r>
        <w:r>
          <w:tab/>
        </w:r>
        <w:r>
          <w:fldChar w:fldCharType="begin"/>
        </w:r>
        <w:r>
          <w:instrText xml:space="preserve">PAGEREF 8359 \h</w:instrText>
        </w:r>
        <w:r>
          <w:fldChar w:fldCharType="end"/>
        </w:r>
      </w:hyperlink>
    </w:p>
    <w:p>
      <w:pPr>
        <w:tabs>
          <w:tab w:val="right" w:leader="dot" w:pos="9062"/>
        </w:tabs>
        <w:ind w:left="440"/>
      </w:pPr>
      <w:hyperlink w:anchor="_Toc8360" w:history="1">
        <w:r>
          <w:rPr>
            <w:rFonts w:ascii="IRNazanin" w:hAnsi="IRNazanin" w:eastAsia="IRNazanin" w:cs="IRNazanin"/>
            <w:color w:val="111111"/>
            <w:sz w:val="22"/>
            <w:szCs w:val="22"/>
            <w:b w:val="0"/>
            <w:bCs w:val="0"/>
            <w:i w:val="0"/>
            <w:iCs w:val="0"/>
          </w:rPr>
          <w:t>7295- دیوان مهدوی گزی‏</w:t>
        </w:r>
        <w:r>
          <w:tab/>
        </w:r>
        <w:r>
          <w:fldChar w:fldCharType="begin"/>
        </w:r>
        <w:r>
          <w:instrText xml:space="preserve">PAGEREF 8360 \h</w:instrText>
        </w:r>
        <w:r>
          <w:fldChar w:fldCharType="end"/>
        </w:r>
      </w:hyperlink>
    </w:p>
    <w:p>
      <w:pPr>
        <w:tabs>
          <w:tab w:val="right" w:leader="dot" w:pos="9062"/>
        </w:tabs>
        <w:ind w:left="440"/>
      </w:pPr>
      <w:hyperlink w:anchor="_Toc8361" w:history="1">
        <w:r>
          <w:rPr>
            <w:rFonts w:ascii="IRNazanin" w:hAnsi="IRNazanin" w:eastAsia="IRNazanin" w:cs="IRNazanin"/>
            <w:color w:val="111111"/>
            <w:sz w:val="22"/>
            <w:szCs w:val="22"/>
            <w:b w:val="0"/>
            <w:bCs w:val="0"/>
            <w:i w:val="0"/>
            <w:iCs w:val="0"/>
          </w:rPr>
          <w:t>7296- دیوان مهدی أسترآبادی‏</w:t>
        </w:r>
        <w:r>
          <w:tab/>
        </w:r>
        <w:r>
          <w:fldChar w:fldCharType="begin"/>
        </w:r>
        <w:r>
          <w:instrText xml:space="preserve">PAGEREF 8361 \h</w:instrText>
        </w:r>
        <w:r>
          <w:fldChar w:fldCharType="end"/>
        </w:r>
      </w:hyperlink>
    </w:p>
    <w:p>
      <w:pPr>
        <w:tabs>
          <w:tab w:val="right" w:leader="dot" w:pos="9062"/>
        </w:tabs>
        <w:ind w:left="440"/>
      </w:pPr>
      <w:hyperlink w:anchor="_Toc8362" w:history="1">
        <w:r>
          <w:rPr>
            <w:rFonts w:ascii="IRNazanin" w:hAnsi="IRNazanin" w:eastAsia="IRNazanin" w:cs="IRNazanin"/>
            <w:color w:val="111111"/>
            <w:sz w:val="22"/>
            <w:szCs w:val="22"/>
            <w:b w:val="0"/>
            <w:bCs w:val="0"/>
            <w:i w:val="0"/>
            <w:iCs w:val="0"/>
          </w:rPr>
          <w:t>7297- دیوان مهدی أسترآبادی‏</w:t>
        </w:r>
        <w:r>
          <w:tab/>
        </w:r>
        <w:r>
          <w:fldChar w:fldCharType="begin"/>
        </w:r>
        <w:r>
          <w:instrText xml:space="preserve">PAGEREF 8362 \h</w:instrText>
        </w:r>
        <w:r>
          <w:fldChar w:fldCharType="end"/>
        </w:r>
      </w:hyperlink>
    </w:p>
    <w:p>
      <w:pPr>
        <w:tabs>
          <w:tab w:val="right" w:leader="dot" w:pos="9062"/>
        </w:tabs>
        <w:ind w:left="440"/>
      </w:pPr>
      <w:hyperlink w:anchor="_Toc8363" w:history="1">
        <w:r>
          <w:rPr>
            <w:rFonts w:ascii="IRNazanin" w:hAnsi="IRNazanin" w:eastAsia="IRNazanin" w:cs="IRNazanin"/>
            <w:color w:val="111111"/>
            <w:sz w:val="22"/>
            <w:szCs w:val="22"/>
            <w:b w:val="0"/>
            <w:bCs w:val="0"/>
            <w:i w:val="0"/>
            <w:iCs w:val="0"/>
          </w:rPr>
          <w:t>دیوان مهدی أصفهانی‏</w:t>
        </w:r>
        <w:r>
          <w:tab/>
        </w:r>
        <w:r>
          <w:fldChar w:fldCharType="begin"/>
        </w:r>
        <w:r>
          <w:instrText xml:space="preserve">PAGEREF 8363 \h</w:instrText>
        </w:r>
        <w:r>
          <w:fldChar w:fldCharType="end"/>
        </w:r>
      </w:hyperlink>
    </w:p>
    <w:p>
      <w:pPr>
        <w:tabs>
          <w:tab w:val="right" w:leader="dot" w:pos="9062"/>
        </w:tabs>
        <w:ind w:left="440"/>
      </w:pPr>
      <w:hyperlink w:anchor="_Toc8364" w:history="1">
        <w:r>
          <w:rPr>
            <w:rFonts w:ascii="IRNazanin" w:hAnsi="IRNazanin" w:eastAsia="IRNazanin" w:cs="IRNazanin"/>
            <w:color w:val="111111"/>
            <w:sz w:val="22"/>
            <w:szCs w:val="22"/>
            <w:b w:val="0"/>
            <w:bCs w:val="0"/>
            <w:i w:val="0"/>
            <w:iCs w:val="0"/>
          </w:rPr>
          <w:t>7298- دیوان مهدی أصفهانی أو شعره‏</w:t>
        </w:r>
        <w:r>
          <w:tab/>
        </w:r>
        <w:r>
          <w:fldChar w:fldCharType="begin"/>
        </w:r>
        <w:r>
          <w:instrText xml:space="preserve">PAGEREF 8364 \h</w:instrText>
        </w:r>
        <w:r>
          <w:fldChar w:fldCharType="end"/>
        </w:r>
      </w:hyperlink>
    </w:p>
    <w:p>
      <w:pPr>
        <w:tabs>
          <w:tab w:val="right" w:leader="dot" w:pos="9062"/>
        </w:tabs>
        <w:ind w:left="440"/>
      </w:pPr>
      <w:hyperlink w:anchor="_Toc8365" w:history="1">
        <w:r>
          <w:rPr>
            <w:rFonts w:ascii="IRNazanin" w:hAnsi="IRNazanin" w:eastAsia="IRNazanin" w:cs="IRNazanin"/>
            <w:color w:val="111111"/>
            <w:sz w:val="22"/>
            <w:szCs w:val="22"/>
            <w:b w:val="0"/>
            <w:bCs w:val="0"/>
            <w:i w:val="0"/>
            <w:iCs w:val="0"/>
          </w:rPr>
          <w:t>7299- دیوان السید مهدی الأعرجی‏</w:t>
        </w:r>
        <w:r>
          <w:tab/>
        </w:r>
        <w:r>
          <w:fldChar w:fldCharType="begin"/>
        </w:r>
        <w:r>
          <w:instrText xml:space="preserve">PAGEREF 8365 \h</w:instrText>
        </w:r>
        <w:r>
          <w:fldChar w:fldCharType="end"/>
        </w:r>
      </w:hyperlink>
    </w:p>
    <w:p>
      <w:pPr>
        <w:tabs>
          <w:tab w:val="right" w:leader="dot" w:pos="9062"/>
        </w:tabs>
        <w:ind w:left="440"/>
      </w:pPr>
      <w:hyperlink w:anchor="_Toc8366" w:history="1">
        <w:r>
          <w:rPr>
            <w:rFonts w:ascii="IRNazanin" w:hAnsi="IRNazanin" w:eastAsia="IRNazanin" w:cs="IRNazanin"/>
            <w:color w:val="111111"/>
            <w:sz w:val="22"/>
            <w:szCs w:val="22"/>
            <w:b w:val="0"/>
            <w:bCs w:val="0"/>
            <w:i w:val="0"/>
            <w:iCs w:val="0"/>
          </w:rPr>
          <w:t>7300- دیوان السید محمد مهدی الأدیب اللکهنوی‏</w:t>
        </w:r>
        <w:r>
          <w:tab/>
        </w:r>
        <w:r>
          <w:fldChar w:fldCharType="begin"/>
        </w:r>
        <w:r>
          <w:instrText xml:space="preserve">PAGEREF 8366 \h</w:instrText>
        </w:r>
        <w:r>
          <w:fldChar w:fldCharType="end"/>
        </w:r>
      </w:hyperlink>
    </w:p>
    <w:p>
      <w:pPr>
        <w:tabs>
          <w:tab w:val="right" w:leader="dot" w:pos="9062"/>
        </w:tabs>
        <w:ind w:left="440"/>
      </w:pPr>
      <w:hyperlink w:anchor="_Toc8367" w:history="1">
        <w:r>
          <w:rPr>
            <w:rFonts w:ascii="IRNazanin" w:hAnsi="IRNazanin" w:eastAsia="IRNazanin" w:cs="IRNazanin"/>
            <w:color w:val="111111"/>
            <w:sz w:val="22"/>
            <w:szCs w:val="22"/>
            <w:b w:val="0"/>
            <w:bCs w:val="0"/>
            <w:i w:val="0"/>
            <w:iCs w:val="0"/>
          </w:rPr>
          <w:t>7301- دیوان السید مهدی بحر العلوم‏</w:t>
        </w:r>
        <w:r>
          <w:tab/>
        </w:r>
        <w:r>
          <w:fldChar w:fldCharType="begin"/>
        </w:r>
        <w:r>
          <w:instrText xml:space="preserve">PAGEREF 8367 \h</w:instrText>
        </w:r>
        <w:r>
          <w:fldChar w:fldCharType="end"/>
        </w:r>
      </w:hyperlink>
    </w:p>
    <w:p>
      <w:pPr>
        <w:tabs>
          <w:tab w:val="right" w:leader="dot" w:pos="9062"/>
        </w:tabs>
        <w:ind w:left="440"/>
      </w:pPr>
      <w:hyperlink w:anchor="_Toc8368" w:history="1">
        <w:r>
          <w:rPr>
            <w:rFonts w:ascii="IRNazanin" w:hAnsi="IRNazanin" w:eastAsia="IRNazanin" w:cs="IRNazanin"/>
            <w:color w:val="111111"/>
            <w:sz w:val="22"/>
            <w:szCs w:val="22"/>
            <w:b w:val="0"/>
            <w:bCs w:val="0"/>
            <w:i w:val="0"/>
            <w:iCs w:val="0"/>
          </w:rPr>
          <w:t>7302- دیوان السید مهدی‏</w:t>
        </w:r>
        <w:r>
          <w:tab/>
        </w:r>
        <w:r>
          <w:fldChar w:fldCharType="begin"/>
        </w:r>
        <w:r>
          <w:instrText xml:space="preserve">PAGEREF 8368 \h</w:instrText>
        </w:r>
        <w:r>
          <w:fldChar w:fldCharType="end"/>
        </w:r>
      </w:hyperlink>
    </w:p>
    <w:p>
      <w:pPr>
        <w:tabs>
          <w:tab w:val="right" w:leader="dot" w:pos="9062"/>
        </w:tabs>
        <w:ind w:left="440"/>
      </w:pPr>
      <w:hyperlink w:anchor="_Toc8369" w:history="1">
        <w:r>
          <w:rPr>
            <w:rFonts w:ascii="IRNazanin" w:hAnsi="IRNazanin" w:eastAsia="IRNazanin" w:cs="IRNazanin"/>
            <w:color w:val="111111"/>
            <w:sz w:val="22"/>
            <w:szCs w:val="22"/>
            <w:b w:val="0"/>
            <w:bCs w:val="0"/>
            <w:i w:val="0"/>
            <w:iCs w:val="0"/>
          </w:rPr>
          <w:t>7303- دیوان مهدی پهلوان أو شعره‏</w:t>
        </w:r>
        <w:r>
          <w:tab/>
        </w:r>
        <w:r>
          <w:fldChar w:fldCharType="begin"/>
        </w:r>
        <w:r>
          <w:instrText xml:space="preserve">PAGEREF 8369 \h</w:instrText>
        </w:r>
        <w:r>
          <w:fldChar w:fldCharType="end"/>
        </w:r>
      </w:hyperlink>
    </w:p>
    <w:p>
      <w:pPr>
        <w:tabs>
          <w:tab w:val="right" w:leader="dot" w:pos="9062"/>
        </w:tabs>
        <w:ind w:left="440"/>
      </w:pPr>
      <w:hyperlink w:anchor="_Toc8370" w:history="1">
        <w:r>
          <w:rPr>
            <w:rFonts w:ascii="IRNazanin" w:hAnsi="IRNazanin" w:eastAsia="IRNazanin" w:cs="IRNazanin"/>
            <w:color w:val="111111"/>
            <w:sz w:val="22"/>
            <w:szCs w:val="22"/>
            <w:b w:val="0"/>
            <w:bCs w:val="0"/>
            <w:i w:val="0"/>
            <w:iCs w:val="0"/>
          </w:rPr>
          <w:t>7304- دیوان مهدی تبریزی‏</w:t>
        </w:r>
        <w:r>
          <w:tab/>
        </w:r>
        <w:r>
          <w:fldChar w:fldCharType="begin"/>
        </w:r>
        <w:r>
          <w:instrText xml:space="preserve">PAGEREF 8370 \h</w:instrText>
        </w:r>
        <w:r>
          <w:fldChar w:fldCharType="end"/>
        </w:r>
      </w:hyperlink>
    </w:p>
    <w:p>
      <w:pPr>
        <w:tabs>
          <w:tab w:val="right" w:leader="dot" w:pos="9062"/>
        </w:tabs>
        <w:ind w:left="440"/>
      </w:pPr>
      <w:hyperlink w:anchor="_Toc8371" w:history="1">
        <w:r>
          <w:rPr>
            <w:rFonts w:ascii="IRNazanin" w:hAnsi="IRNazanin" w:eastAsia="IRNazanin" w:cs="IRNazanin"/>
            <w:color w:val="111111"/>
            <w:sz w:val="22"/>
            <w:szCs w:val="22"/>
            <w:b w:val="0"/>
            <w:bCs w:val="0"/>
            <w:i w:val="0"/>
            <w:iCs w:val="0"/>
          </w:rPr>
          <w:t>7305- دیوان مهدی تبریزی الشقاقی‏</w:t>
        </w:r>
        <w:r>
          <w:tab/>
        </w:r>
        <w:r>
          <w:fldChar w:fldCharType="begin"/>
        </w:r>
        <w:r>
          <w:instrText xml:space="preserve">PAGEREF 8371 \h</w:instrText>
        </w:r>
        <w:r>
          <w:fldChar w:fldCharType="end"/>
        </w:r>
      </w:hyperlink>
    </w:p>
    <w:p>
      <w:pPr>
        <w:tabs>
          <w:tab w:val="right" w:leader="dot" w:pos="9062"/>
        </w:tabs>
        <w:ind w:left="440"/>
      </w:pPr>
      <w:hyperlink w:anchor="_Toc8372" w:history="1">
        <w:r>
          <w:rPr>
            <w:rFonts w:ascii="IRNazanin" w:hAnsi="IRNazanin" w:eastAsia="IRNazanin" w:cs="IRNazanin"/>
            <w:color w:val="111111"/>
            <w:sz w:val="22"/>
            <w:szCs w:val="22"/>
            <w:b w:val="0"/>
            <w:bCs w:val="0"/>
            <w:i w:val="0"/>
            <w:iCs w:val="0"/>
          </w:rPr>
          <w:t>دیوان مهدی حمیدی‏</w:t>
        </w:r>
        <w:r>
          <w:tab/>
        </w:r>
        <w:r>
          <w:fldChar w:fldCharType="begin"/>
        </w:r>
        <w:r>
          <w:instrText xml:space="preserve">PAGEREF 8372 \h</w:instrText>
        </w:r>
        <w:r>
          <w:fldChar w:fldCharType="end"/>
        </w:r>
      </w:hyperlink>
    </w:p>
    <w:p>
      <w:pPr>
        <w:tabs>
          <w:tab w:val="right" w:leader="dot" w:pos="9062"/>
        </w:tabs>
        <w:ind w:left="440"/>
      </w:pPr>
      <w:hyperlink w:anchor="_Toc8373" w:history="1">
        <w:r>
          <w:rPr>
            <w:rFonts w:ascii="IRNazanin" w:hAnsi="IRNazanin" w:eastAsia="IRNazanin" w:cs="IRNazanin"/>
            <w:color w:val="111111"/>
            <w:sz w:val="22"/>
            <w:szCs w:val="22"/>
            <w:b w:val="0"/>
            <w:bCs w:val="0"/>
            <w:i w:val="0"/>
            <w:iCs w:val="0"/>
          </w:rPr>
          <w:t>دیوان الشیخ مهدی الحجار</w:t>
        </w:r>
        <w:r>
          <w:tab/>
        </w:r>
        <w:r>
          <w:fldChar w:fldCharType="begin"/>
        </w:r>
        <w:r>
          <w:instrText xml:space="preserve">PAGEREF 8373 \h</w:instrText>
        </w:r>
        <w:r>
          <w:fldChar w:fldCharType="end"/>
        </w:r>
      </w:hyperlink>
    </w:p>
    <w:p>
      <w:pPr>
        <w:tabs>
          <w:tab w:val="right" w:leader="dot" w:pos="9062"/>
        </w:tabs>
        <w:ind w:left="440"/>
      </w:pPr>
      <w:hyperlink w:anchor="_Toc8374" w:history="1">
        <w:r>
          <w:rPr>
            <w:rFonts w:ascii="IRNazanin" w:hAnsi="IRNazanin" w:eastAsia="IRNazanin" w:cs="IRNazanin"/>
            <w:color w:val="111111"/>
            <w:sz w:val="22"/>
            <w:szCs w:val="22"/>
            <w:b w:val="0"/>
            <w:bCs w:val="0"/>
            <w:i w:val="0"/>
            <w:iCs w:val="0"/>
          </w:rPr>
          <w:t>7306- دیوان السید مهدی الحلی‏</w:t>
        </w:r>
        <w:r>
          <w:tab/>
        </w:r>
        <w:r>
          <w:fldChar w:fldCharType="begin"/>
        </w:r>
        <w:r>
          <w:instrText xml:space="preserve">PAGEREF 8374 \h</w:instrText>
        </w:r>
        <w:r>
          <w:fldChar w:fldCharType="end"/>
        </w:r>
      </w:hyperlink>
    </w:p>
    <w:p>
      <w:pPr>
        <w:tabs>
          <w:tab w:val="right" w:leader="dot" w:pos="9062"/>
        </w:tabs>
        <w:ind w:left="440"/>
      </w:pPr>
      <w:hyperlink w:anchor="_Toc8375" w:history="1">
        <w:r>
          <w:rPr>
            <w:rFonts w:ascii="IRNazanin" w:hAnsi="IRNazanin" w:eastAsia="IRNazanin" w:cs="IRNazanin"/>
            <w:color w:val="111111"/>
            <w:sz w:val="22"/>
            <w:szCs w:val="22"/>
            <w:b w:val="0"/>
            <w:bCs w:val="0"/>
            <w:i w:val="0"/>
            <w:iCs w:val="0"/>
          </w:rPr>
          <w:t>7307- دیوان السید مهدی الحکیم‏</w:t>
        </w:r>
        <w:r>
          <w:tab/>
        </w:r>
        <w:r>
          <w:fldChar w:fldCharType="begin"/>
        </w:r>
        <w:r>
          <w:instrText xml:space="preserve">PAGEREF 8375 \h</w:instrText>
        </w:r>
        <w:r>
          <w:fldChar w:fldCharType="end"/>
        </w:r>
      </w:hyperlink>
    </w:p>
    <w:p>
      <w:pPr>
        <w:tabs>
          <w:tab w:val="right" w:leader="dot" w:pos="9062"/>
        </w:tabs>
        <w:ind w:left="440"/>
      </w:pPr>
      <w:hyperlink w:anchor="_Toc8376" w:history="1">
        <w:r>
          <w:rPr>
            <w:rFonts w:ascii="IRNazanin" w:hAnsi="IRNazanin" w:eastAsia="IRNazanin" w:cs="IRNazanin"/>
            <w:color w:val="111111"/>
            <w:sz w:val="22"/>
            <w:szCs w:val="22"/>
            <w:b w:val="0"/>
            <w:bCs w:val="0"/>
            <w:i w:val="0"/>
            <w:iCs w:val="0"/>
          </w:rPr>
          <w:t>7308- دیوان مهدی خویی‏</w:t>
        </w:r>
        <w:r>
          <w:tab/>
        </w:r>
        <w:r>
          <w:fldChar w:fldCharType="begin"/>
        </w:r>
        <w:r>
          <w:instrText xml:space="preserve">PAGEREF 8376 \h</w:instrText>
        </w:r>
        <w:r>
          <w:fldChar w:fldCharType="end"/>
        </w:r>
      </w:hyperlink>
    </w:p>
    <w:p>
      <w:pPr>
        <w:tabs>
          <w:tab w:val="right" w:leader="dot" w:pos="9062"/>
        </w:tabs>
        <w:ind w:left="440"/>
      </w:pPr>
      <w:hyperlink w:anchor="_Toc8377" w:history="1">
        <w:r>
          <w:rPr>
            <w:rFonts w:ascii="IRNazanin" w:hAnsi="IRNazanin" w:eastAsia="IRNazanin" w:cs="IRNazanin"/>
            <w:color w:val="111111"/>
            <w:sz w:val="22"/>
            <w:szCs w:val="22"/>
            <w:b w:val="0"/>
            <w:bCs w:val="0"/>
            <w:i w:val="0"/>
            <w:iCs w:val="0"/>
          </w:rPr>
          <w:t>7309- دیوان مهدی رازی أو شعره‏</w:t>
        </w:r>
        <w:r>
          <w:tab/>
        </w:r>
        <w:r>
          <w:fldChar w:fldCharType="begin"/>
        </w:r>
        <w:r>
          <w:instrText xml:space="preserve">PAGEREF 8377 \h</w:instrText>
        </w:r>
        <w:r>
          <w:fldChar w:fldCharType="end"/>
        </w:r>
      </w:hyperlink>
    </w:p>
    <w:p>
      <w:pPr>
        <w:tabs>
          <w:tab w:val="right" w:leader="dot" w:pos="9062"/>
        </w:tabs>
        <w:ind w:left="440"/>
      </w:pPr>
      <w:hyperlink w:anchor="_Toc8378" w:history="1">
        <w:r>
          <w:rPr>
            <w:rFonts w:ascii="IRNazanin" w:hAnsi="IRNazanin" w:eastAsia="IRNazanin" w:cs="IRNazanin"/>
            <w:color w:val="111111"/>
            <w:sz w:val="22"/>
            <w:szCs w:val="22"/>
            <w:b w:val="0"/>
            <w:bCs w:val="0"/>
            <w:i w:val="0"/>
            <w:iCs w:val="0"/>
          </w:rPr>
          <w:t>دیوان مهدی شقاقی‏</w:t>
        </w:r>
        <w:r>
          <w:tab/>
        </w:r>
        <w:r>
          <w:fldChar w:fldCharType="begin"/>
        </w:r>
        <w:r>
          <w:instrText xml:space="preserve">PAGEREF 8378 \h</w:instrText>
        </w:r>
        <w:r>
          <w:fldChar w:fldCharType="end"/>
        </w:r>
      </w:hyperlink>
    </w:p>
    <w:p>
      <w:pPr>
        <w:tabs>
          <w:tab w:val="right" w:leader="dot" w:pos="9062"/>
        </w:tabs>
        <w:ind w:left="440"/>
      </w:pPr>
      <w:hyperlink w:anchor="_Toc8379" w:history="1">
        <w:r>
          <w:rPr>
            <w:rFonts w:ascii="IRNazanin" w:hAnsi="IRNazanin" w:eastAsia="IRNazanin" w:cs="IRNazanin"/>
            <w:color w:val="111111"/>
            <w:sz w:val="22"/>
            <w:szCs w:val="22"/>
            <w:b w:val="0"/>
            <w:bCs w:val="0"/>
            <w:i w:val="0"/>
            <w:iCs w:val="0"/>
          </w:rPr>
          <w:t>دیوان مهدی شهرستانی‏</w:t>
        </w:r>
        <w:r>
          <w:tab/>
        </w:r>
        <w:r>
          <w:fldChar w:fldCharType="begin"/>
        </w:r>
        <w:r>
          <w:instrText xml:space="preserve">PAGEREF 8379 \h</w:instrText>
        </w:r>
        <w:r>
          <w:fldChar w:fldCharType="end"/>
        </w:r>
      </w:hyperlink>
    </w:p>
    <w:p>
      <w:pPr>
        <w:tabs>
          <w:tab w:val="right" w:leader="dot" w:pos="9062"/>
        </w:tabs>
        <w:ind w:left="440"/>
      </w:pPr>
      <w:hyperlink w:anchor="_Toc8380" w:history="1">
        <w:r>
          <w:rPr>
            <w:rFonts w:ascii="IRNazanin" w:hAnsi="IRNazanin" w:eastAsia="IRNazanin" w:cs="IRNazanin"/>
            <w:color w:val="111111"/>
            <w:sz w:val="22"/>
            <w:szCs w:val="22"/>
            <w:b w:val="0"/>
            <w:bCs w:val="0"/>
            <w:i w:val="0"/>
            <w:iCs w:val="0"/>
          </w:rPr>
          <w:t>7310- دیوان میرزا مهدی صدر</w:t>
        </w:r>
        <w:r>
          <w:tab/>
        </w:r>
        <w:r>
          <w:fldChar w:fldCharType="begin"/>
        </w:r>
        <w:r>
          <w:instrText xml:space="preserve">PAGEREF 8380 \h</w:instrText>
        </w:r>
        <w:r>
          <w:fldChar w:fldCharType="end"/>
        </w:r>
      </w:hyperlink>
    </w:p>
    <w:p>
      <w:pPr>
        <w:tabs>
          <w:tab w:val="right" w:leader="dot" w:pos="9062"/>
        </w:tabs>
        <w:ind w:left="440"/>
      </w:pPr>
      <w:hyperlink w:anchor="_Toc8381" w:history="1">
        <w:r>
          <w:rPr>
            <w:rFonts w:ascii="IRNazanin" w:hAnsi="IRNazanin" w:eastAsia="IRNazanin" w:cs="IRNazanin"/>
            <w:color w:val="111111"/>
            <w:sz w:val="22"/>
            <w:szCs w:val="22"/>
            <w:b w:val="0"/>
            <w:bCs w:val="0"/>
            <w:i w:val="0"/>
            <w:iCs w:val="0"/>
          </w:rPr>
          <w:t>دیوان مهدی طباطبائی‏</w:t>
        </w:r>
        <w:r>
          <w:tab/>
        </w:r>
        <w:r>
          <w:fldChar w:fldCharType="begin"/>
        </w:r>
        <w:r>
          <w:instrText xml:space="preserve">PAGEREF 8381 \h</w:instrText>
        </w:r>
        <w:r>
          <w:fldChar w:fldCharType="end"/>
        </w:r>
      </w:hyperlink>
    </w:p>
    <w:p>
      <w:pPr>
        <w:tabs>
          <w:tab w:val="right" w:leader="dot" w:pos="9062"/>
        </w:tabs>
        <w:ind w:left="440"/>
      </w:pPr>
      <w:hyperlink w:anchor="_Toc8382" w:history="1">
        <w:r>
          <w:rPr>
            <w:rFonts w:ascii="IRNazanin" w:hAnsi="IRNazanin" w:eastAsia="IRNazanin" w:cs="IRNazanin"/>
            <w:color w:val="111111"/>
            <w:sz w:val="22"/>
            <w:szCs w:val="22"/>
            <w:b w:val="0"/>
            <w:bCs w:val="0"/>
            <w:i w:val="0"/>
            <w:iCs w:val="0"/>
          </w:rPr>
          <w:t>دیوان مهدی طهرانی‏</w:t>
        </w:r>
        <w:r>
          <w:tab/>
        </w:r>
        <w:r>
          <w:fldChar w:fldCharType="begin"/>
        </w:r>
        <w:r>
          <w:instrText xml:space="preserve">PAGEREF 8382 \h</w:instrText>
        </w:r>
        <w:r>
          <w:fldChar w:fldCharType="end"/>
        </w:r>
      </w:hyperlink>
    </w:p>
    <w:p>
      <w:pPr>
        <w:tabs>
          <w:tab w:val="right" w:leader="dot" w:pos="9062"/>
        </w:tabs>
        <w:ind w:left="440"/>
      </w:pPr>
      <w:hyperlink w:anchor="_Toc8383" w:history="1">
        <w:r>
          <w:rPr>
            <w:rFonts w:ascii="IRNazanin" w:hAnsi="IRNazanin" w:eastAsia="IRNazanin" w:cs="IRNazanin"/>
            <w:color w:val="111111"/>
            <w:sz w:val="22"/>
            <w:szCs w:val="22"/>
            <w:b w:val="0"/>
            <w:bCs w:val="0"/>
            <w:i w:val="0"/>
            <w:iCs w:val="0"/>
          </w:rPr>
          <w:t>7311- دیوان مهدی فتح‏آبادی أو شعره‏</w:t>
        </w:r>
        <w:r>
          <w:tab/>
        </w:r>
        <w:r>
          <w:fldChar w:fldCharType="begin"/>
        </w:r>
        <w:r>
          <w:instrText xml:space="preserve">PAGEREF 8383 \h</w:instrText>
        </w:r>
        <w:r>
          <w:fldChar w:fldCharType="end"/>
        </w:r>
      </w:hyperlink>
    </w:p>
    <w:p>
      <w:pPr>
        <w:tabs>
          <w:tab w:val="right" w:leader="dot" w:pos="9062"/>
        </w:tabs>
        <w:ind w:left="440"/>
      </w:pPr>
      <w:hyperlink w:anchor="_Toc8384" w:history="1">
        <w:r>
          <w:rPr>
            <w:rFonts w:ascii="IRNazanin" w:hAnsi="IRNazanin" w:eastAsia="IRNazanin" w:cs="IRNazanin"/>
            <w:color w:val="111111"/>
            <w:sz w:val="22"/>
            <w:szCs w:val="22"/>
            <w:b w:val="0"/>
            <w:bCs w:val="0"/>
            <w:i w:val="0"/>
            <w:iCs w:val="0"/>
          </w:rPr>
          <w:t>7312- دیوان السید مهدی القزوینی‏</w:t>
        </w:r>
        <w:r>
          <w:tab/>
        </w:r>
        <w:r>
          <w:fldChar w:fldCharType="begin"/>
        </w:r>
        <w:r>
          <w:instrText xml:space="preserve">PAGEREF 8384 \h</w:instrText>
        </w:r>
        <w:r>
          <w:fldChar w:fldCharType="end"/>
        </w:r>
      </w:hyperlink>
    </w:p>
    <w:p>
      <w:pPr>
        <w:tabs>
          <w:tab w:val="right" w:leader="dot" w:pos="9062"/>
        </w:tabs>
        <w:ind w:left="440"/>
      </w:pPr>
      <w:hyperlink w:anchor="_Toc8385" w:history="1">
        <w:r>
          <w:rPr>
            <w:rFonts w:ascii="IRNazanin" w:hAnsi="IRNazanin" w:eastAsia="IRNazanin" w:cs="IRNazanin"/>
            <w:color w:val="111111"/>
            <w:sz w:val="22"/>
            <w:szCs w:val="22"/>
            <w:b w:val="0"/>
            <w:bCs w:val="0"/>
            <w:i w:val="0"/>
            <w:iCs w:val="0"/>
          </w:rPr>
          <w:t>7313- دیوان مهدی قزوینی أو شعره‏</w:t>
        </w:r>
        <w:r>
          <w:tab/>
        </w:r>
        <w:r>
          <w:fldChar w:fldCharType="begin"/>
        </w:r>
        <w:r>
          <w:instrText xml:space="preserve">PAGEREF 8385 \h</w:instrText>
        </w:r>
        <w:r>
          <w:fldChar w:fldCharType="end"/>
        </w:r>
      </w:hyperlink>
    </w:p>
    <w:p>
      <w:pPr>
        <w:tabs>
          <w:tab w:val="right" w:leader="dot" w:pos="9062"/>
        </w:tabs>
        <w:ind w:left="440"/>
      </w:pPr>
      <w:hyperlink w:anchor="_Toc8386" w:history="1">
        <w:r>
          <w:rPr>
            <w:rFonts w:ascii="IRNazanin" w:hAnsi="IRNazanin" w:eastAsia="IRNazanin" w:cs="IRNazanin"/>
            <w:color w:val="111111"/>
            <w:sz w:val="22"/>
            <w:szCs w:val="22"/>
            <w:b w:val="0"/>
            <w:bCs w:val="0"/>
            <w:i w:val="0"/>
            <w:iCs w:val="0"/>
          </w:rPr>
          <w:t>7314- دیوان مهدی قلی قادورقائی أو شعره‏</w:t>
        </w:r>
        <w:r>
          <w:tab/>
        </w:r>
        <w:r>
          <w:fldChar w:fldCharType="begin"/>
        </w:r>
        <w:r>
          <w:instrText xml:space="preserve">PAGEREF 8386 \h</w:instrText>
        </w:r>
        <w:r>
          <w:fldChar w:fldCharType="end"/>
        </w:r>
      </w:hyperlink>
    </w:p>
    <w:p>
      <w:pPr>
        <w:tabs>
          <w:tab w:val="right" w:leader="dot" w:pos="9062"/>
        </w:tabs>
        <w:ind w:left="440"/>
      </w:pPr>
      <w:hyperlink w:anchor="_Toc8387" w:history="1">
        <w:r>
          <w:rPr>
            <w:rFonts w:ascii="IRNazanin" w:hAnsi="IRNazanin" w:eastAsia="IRNazanin" w:cs="IRNazanin"/>
            <w:color w:val="111111"/>
            <w:sz w:val="22"/>
            <w:szCs w:val="22"/>
            <w:b w:val="0"/>
            <w:bCs w:val="0"/>
            <w:i w:val="0"/>
            <w:iCs w:val="0"/>
          </w:rPr>
          <w:t>7315- دیوان السید مهدی القطیفی‏</w:t>
        </w:r>
        <w:r>
          <w:tab/>
        </w:r>
        <w:r>
          <w:fldChar w:fldCharType="begin"/>
        </w:r>
        <w:r>
          <w:instrText xml:space="preserve">PAGEREF 8387 \h</w:instrText>
        </w:r>
        <w:r>
          <w:fldChar w:fldCharType="end"/>
        </w:r>
      </w:hyperlink>
    </w:p>
    <w:p>
      <w:pPr>
        <w:tabs>
          <w:tab w:val="right" w:leader="dot" w:pos="9062"/>
        </w:tabs>
        <w:ind w:left="440"/>
      </w:pPr>
      <w:hyperlink w:anchor="_Toc8388" w:history="1">
        <w:r>
          <w:rPr>
            <w:rFonts w:ascii="IRNazanin" w:hAnsi="IRNazanin" w:eastAsia="IRNazanin" w:cs="IRNazanin"/>
            <w:color w:val="111111"/>
            <w:sz w:val="22"/>
            <w:szCs w:val="22"/>
            <w:b w:val="0"/>
            <w:bCs w:val="0"/>
            <w:i w:val="0"/>
            <w:iCs w:val="0"/>
          </w:rPr>
          <w:t>دیوان مهدی قمشهی‏</w:t>
        </w:r>
        <w:r>
          <w:tab/>
        </w:r>
        <w:r>
          <w:fldChar w:fldCharType="begin"/>
        </w:r>
        <w:r>
          <w:instrText xml:space="preserve">PAGEREF 8388 \h</w:instrText>
        </w:r>
        <w:r>
          <w:fldChar w:fldCharType="end"/>
        </w:r>
      </w:hyperlink>
    </w:p>
    <w:p>
      <w:pPr>
        <w:tabs>
          <w:tab w:val="right" w:leader="dot" w:pos="9062"/>
        </w:tabs>
        <w:ind w:left="440"/>
      </w:pPr>
      <w:hyperlink w:anchor="_Toc8389" w:history="1">
        <w:r>
          <w:rPr>
            <w:rFonts w:ascii="IRNazanin" w:hAnsi="IRNazanin" w:eastAsia="IRNazanin" w:cs="IRNazanin"/>
            <w:color w:val="111111"/>
            <w:sz w:val="22"/>
            <w:szCs w:val="22"/>
            <w:b w:val="0"/>
            <w:bCs w:val="0"/>
            <w:i w:val="0"/>
            <w:iCs w:val="0"/>
          </w:rPr>
          <w:t>7316- دیوان مهدی قمی‏</w:t>
        </w:r>
        <w:r>
          <w:tab/>
        </w:r>
        <w:r>
          <w:fldChar w:fldCharType="begin"/>
        </w:r>
        <w:r>
          <w:instrText xml:space="preserve">PAGEREF 8389 \h</w:instrText>
        </w:r>
        <w:r>
          <w:fldChar w:fldCharType="end"/>
        </w:r>
      </w:hyperlink>
    </w:p>
    <w:p>
      <w:pPr>
        <w:tabs>
          <w:tab w:val="right" w:leader="dot" w:pos="9062"/>
        </w:tabs>
        <w:ind w:left="440"/>
      </w:pPr>
      <w:hyperlink w:anchor="_Toc8390" w:history="1">
        <w:r>
          <w:rPr>
            <w:rFonts w:ascii="IRNazanin" w:hAnsi="IRNazanin" w:eastAsia="IRNazanin" w:cs="IRNazanin"/>
            <w:color w:val="111111"/>
            <w:sz w:val="22"/>
            <w:szCs w:val="22"/>
            <w:b w:val="0"/>
            <w:bCs w:val="0"/>
            <w:i w:val="0"/>
            <w:iCs w:val="0"/>
          </w:rPr>
          <w:t>7317- دیوان مهدی گیلانی أو شعره‏</w:t>
        </w:r>
        <w:r>
          <w:tab/>
        </w:r>
        <w:r>
          <w:fldChar w:fldCharType="begin"/>
        </w:r>
        <w:r>
          <w:instrText xml:space="preserve">PAGEREF 8390 \h</w:instrText>
        </w:r>
        <w:r>
          <w:fldChar w:fldCharType="end"/>
        </w:r>
      </w:hyperlink>
    </w:p>
    <w:p>
      <w:pPr>
        <w:tabs>
          <w:tab w:val="right" w:leader="dot" w:pos="9062"/>
        </w:tabs>
        <w:ind w:left="440"/>
      </w:pPr>
      <w:hyperlink w:anchor="_Toc8391" w:history="1">
        <w:r>
          <w:rPr>
            <w:rFonts w:ascii="IRNazanin" w:hAnsi="IRNazanin" w:eastAsia="IRNazanin" w:cs="IRNazanin"/>
            <w:color w:val="111111"/>
            <w:sz w:val="22"/>
            <w:szCs w:val="22"/>
            <w:b w:val="0"/>
            <w:bCs w:val="0"/>
            <w:i w:val="0"/>
            <w:iCs w:val="0"/>
          </w:rPr>
          <w:t>7318- دیوان مهدی مستوفی أو شعره‏</w:t>
        </w:r>
        <w:r>
          <w:tab/>
        </w:r>
        <w:r>
          <w:fldChar w:fldCharType="begin"/>
        </w:r>
        <w:r>
          <w:instrText xml:space="preserve">PAGEREF 8391 \h</w:instrText>
        </w:r>
        <w:r>
          <w:fldChar w:fldCharType="end"/>
        </w:r>
      </w:hyperlink>
    </w:p>
    <w:p>
      <w:pPr>
        <w:tabs>
          <w:tab w:val="right" w:leader="dot" w:pos="9062"/>
        </w:tabs>
        <w:ind w:left="440"/>
      </w:pPr>
      <w:hyperlink w:anchor="_Toc8392" w:history="1">
        <w:r>
          <w:rPr>
            <w:rFonts w:ascii="IRNazanin" w:hAnsi="IRNazanin" w:eastAsia="IRNazanin" w:cs="IRNazanin"/>
            <w:color w:val="111111"/>
            <w:sz w:val="22"/>
            <w:szCs w:val="22"/>
            <w:b w:val="0"/>
            <w:bCs w:val="0"/>
            <w:i w:val="0"/>
            <w:iCs w:val="0"/>
          </w:rPr>
          <w:t>7319- دیوان المیرزا مهدی مشهدی‏</w:t>
        </w:r>
        <w:r>
          <w:tab/>
        </w:r>
        <w:r>
          <w:fldChar w:fldCharType="begin"/>
        </w:r>
        <w:r>
          <w:instrText xml:space="preserve">PAGEREF 8392 \h</w:instrText>
        </w:r>
        <w:r>
          <w:fldChar w:fldCharType="end"/>
        </w:r>
      </w:hyperlink>
    </w:p>
    <w:p>
      <w:pPr>
        <w:tabs>
          <w:tab w:val="right" w:leader="dot" w:pos="9062"/>
        </w:tabs>
        <w:ind w:left="440"/>
      </w:pPr>
      <w:hyperlink w:anchor="_Toc8393" w:history="1">
        <w:r>
          <w:rPr>
            <w:rFonts w:ascii="IRNazanin" w:hAnsi="IRNazanin" w:eastAsia="IRNazanin" w:cs="IRNazanin"/>
            <w:color w:val="111111"/>
            <w:sz w:val="22"/>
            <w:szCs w:val="22"/>
            <w:b w:val="0"/>
            <w:bCs w:val="0"/>
            <w:i w:val="0"/>
            <w:iCs w:val="0"/>
          </w:rPr>
          <w:t>دیوان المیرزا مهدی المنشی‏</w:t>
        </w:r>
        <w:r>
          <w:tab/>
        </w:r>
        <w:r>
          <w:fldChar w:fldCharType="begin"/>
        </w:r>
        <w:r>
          <w:instrText xml:space="preserve">PAGEREF 8393 \h</w:instrText>
        </w:r>
        <w:r>
          <w:fldChar w:fldCharType="end"/>
        </w:r>
      </w:hyperlink>
    </w:p>
    <w:p>
      <w:pPr>
        <w:tabs>
          <w:tab w:val="right" w:leader="dot" w:pos="9062"/>
        </w:tabs>
        <w:ind w:left="440"/>
      </w:pPr>
      <w:hyperlink w:anchor="_Toc8394" w:history="1">
        <w:r>
          <w:rPr>
            <w:rFonts w:ascii="IRNazanin" w:hAnsi="IRNazanin" w:eastAsia="IRNazanin" w:cs="IRNazanin"/>
            <w:color w:val="111111"/>
            <w:sz w:val="22"/>
            <w:szCs w:val="22"/>
            <w:b w:val="0"/>
            <w:bCs w:val="0"/>
            <w:i w:val="0"/>
            <w:iCs w:val="0"/>
          </w:rPr>
          <w:t>7320- دیوان مهدی مهرانی‏</w:t>
        </w:r>
        <w:r>
          <w:tab/>
        </w:r>
        <w:r>
          <w:fldChar w:fldCharType="begin"/>
        </w:r>
        <w:r>
          <w:instrText xml:space="preserve">PAGEREF 8394 \h</w:instrText>
        </w:r>
        <w:r>
          <w:fldChar w:fldCharType="end"/>
        </w:r>
      </w:hyperlink>
    </w:p>
    <w:p>
      <w:pPr>
        <w:tabs>
          <w:tab w:val="right" w:leader="dot" w:pos="9062"/>
        </w:tabs>
        <w:ind w:left="440"/>
      </w:pPr>
      <w:hyperlink w:anchor="_Toc8395" w:history="1">
        <w:r>
          <w:rPr>
            <w:rFonts w:ascii="IRNazanin" w:hAnsi="IRNazanin" w:eastAsia="IRNazanin" w:cs="IRNazanin"/>
            <w:color w:val="111111"/>
            <w:sz w:val="22"/>
            <w:szCs w:val="22"/>
            <w:b w:val="0"/>
            <w:bCs w:val="0"/>
            <w:i w:val="0"/>
            <w:iCs w:val="0"/>
          </w:rPr>
          <w:t>دیوان مهدی موافق‏</w:t>
        </w:r>
        <w:r>
          <w:tab/>
        </w:r>
        <w:r>
          <w:fldChar w:fldCharType="begin"/>
        </w:r>
        <w:r>
          <w:instrText xml:space="preserve">PAGEREF 8395 \h</w:instrText>
        </w:r>
        <w:r>
          <w:fldChar w:fldCharType="end"/>
        </w:r>
      </w:hyperlink>
    </w:p>
    <w:p>
      <w:pPr>
        <w:tabs>
          <w:tab w:val="right" w:leader="dot" w:pos="9062"/>
        </w:tabs>
        <w:ind w:left="440"/>
      </w:pPr>
      <w:hyperlink w:anchor="_Toc8396" w:history="1">
        <w:r>
          <w:rPr>
            <w:rFonts w:ascii="IRNazanin" w:hAnsi="IRNazanin" w:eastAsia="IRNazanin" w:cs="IRNazanin"/>
            <w:color w:val="111111"/>
            <w:sz w:val="22"/>
            <w:szCs w:val="22"/>
            <w:b w:val="0"/>
            <w:bCs w:val="0"/>
            <w:i w:val="0"/>
            <w:iCs w:val="0"/>
          </w:rPr>
          <w:t>دیوان مهدی نجفی‏</w:t>
        </w:r>
        <w:r>
          <w:tab/>
        </w:r>
        <w:r>
          <w:fldChar w:fldCharType="begin"/>
        </w:r>
        <w:r>
          <w:instrText xml:space="preserve">PAGEREF 8396 \h</w:instrText>
        </w:r>
        <w:r>
          <w:fldChar w:fldCharType="end"/>
        </w:r>
      </w:hyperlink>
    </w:p>
    <w:p>
      <w:pPr>
        <w:tabs>
          <w:tab w:val="right" w:leader="dot" w:pos="9062"/>
        </w:tabs>
        <w:ind w:left="440"/>
      </w:pPr>
      <w:hyperlink w:anchor="_Toc8397" w:history="1">
        <w:r>
          <w:rPr>
            <w:rFonts w:ascii="IRNazanin" w:hAnsi="IRNazanin" w:eastAsia="IRNazanin" w:cs="IRNazanin"/>
            <w:color w:val="111111"/>
            <w:sz w:val="22"/>
            <w:szCs w:val="22"/>
            <w:b w:val="0"/>
            <w:bCs w:val="0"/>
            <w:i w:val="0"/>
            <w:iCs w:val="0"/>
          </w:rPr>
          <w:t>دیوان مهدی نراقی‏</w:t>
        </w:r>
        <w:r>
          <w:tab/>
        </w:r>
        <w:r>
          <w:fldChar w:fldCharType="begin"/>
        </w:r>
        <w:r>
          <w:instrText xml:space="preserve">PAGEREF 8397 \h</w:instrText>
        </w:r>
        <w:r>
          <w:fldChar w:fldCharType="end"/>
        </w:r>
      </w:hyperlink>
    </w:p>
    <w:p>
      <w:pPr>
        <w:tabs>
          <w:tab w:val="right" w:leader="dot" w:pos="9062"/>
        </w:tabs>
        <w:ind w:left="440"/>
      </w:pPr>
      <w:hyperlink w:anchor="_Toc8398" w:history="1">
        <w:r>
          <w:rPr>
            <w:rFonts w:ascii="IRNazanin" w:hAnsi="IRNazanin" w:eastAsia="IRNazanin" w:cs="IRNazanin"/>
            <w:color w:val="111111"/>
            <w:sz w:val="22"/>
            <w:szCs w:val="22"/>
            <w:b w:val="0"/>
            <w:bCs w:val="0"/>
            <w:i w:val="0"/>
            <w:iCs w:val="0"/>
          </w:rPr>
          <w:t>دیوان مهدی همدانی‏</w:t>
        </w:r>
        <w:r>
          <w:tab/>
        </w:r>
        <w:r>
          <w:fldChar w:fldCharType="begin"/>
        </w:r>
        <w:r>
          <w:instrText xml:space="preserve">PAGEREF 8398 \h</w:instrText>
        </w:r>
        <w:r>
          <w:fldChar w:fldCharType="end"/>
        </w:r>
      </w:hyperlink>
    </w:p>
    <w:p>
      <w:pPr>
        <w:tabs>
          <w:tab w:val="right" w:leader="dot" w:pos="9062"/>
        </w:tabs>
        <w:ind w:left="440"/>
      </w:pPr>
      <w:hyperlink w:anchor="_Toc8399" w:history="1">
        <w:r>
          <w:rPr>
            <w:rFonts w:ascii="IRNazanin" w:hAnsi="IRNazanin" w:eastAsia="IRNazanin" w:cs="IRNazanin"/>
            <w:color w:val="111111"/>
            <w:sz w:val="22"/>
            <w:szCs w:val="22"/>
            <w:b w:val="0"/>
            <w:bCs w:val="0"/>
            <w:i w:val="0"/>
            <w:iCs w:val="0"/>
          </w:rPr>
          <w:t>7321- دیوان مهر أکبرآبادی أو شعره‏</w:t>
        </w:r>
        <w:r>
          <w:tab/>
        </w:r>
        <w:r>
          <w:fldChar w:fldCharType="begin"/>
        </w:r>
        <w:r>
          <w:instrText xml:space="preserve">PAGEREF 8399 \h</w:instrText>
        </w:r>
        <w:r>
          <w:fldChar w:fldCharType="end"/>
        </w:r>
      </w:hyperlink>
    </w:p>
    <w:p>
      <w:pPr>
        <w:tabs>
          <w:tab w:val="right" w:leader="dot" w:pos="9062"/>
        </w:tabs>
        <w:ind w:left="440"/>
      </w:pPr>
      <w:hyperlink w:anchor="_Toc8400" w:history="1">
        <w:r>
          <w:rPr>
            <w:rFonts w:ascii="IRNazanin" w:hAnsi="IRNazanin" w:eastAsia="IRNazanin" w:cs="IRNazanin"/>
            <w:color w:val="111111"/>
            <w:sz w:val="22"/>
            <w:szCs w:val="22"/>
            <w:b w:val="0"/>
            <w:bCs w:val="0"/>
            <w:i w:val="0"/>
            <w:iCs w:val="0"/>
          </w:rPr>
          <w:t>دیوان مهرانی‏</w:t>
        </w:r>
        <w:r>
          <w:tab/>
        </w:r>
        <w:r>
          <w:fldChar w:fldCharType="begin"/>
        </w:r>
        <w:r>
          <w:instrText xml:space="preserve">PAGEREF 8400 \h</w:instrText>
        </w:r>
        <w:r>
          <w:fldChar w:fldCharType="end"/>
        </w:r>
      </w:hyperlink>
    </w:p>
    <w:p>
      <w:pPr>
        <w:tabs>
          <w:tab w:val="right" w:leader="dot" w:pos="9062"/>
        </w:tabs>
        <w:ind w:left="440"/>
      </w:pPr>
      <w:hyperlink w:anchor="_Toc8401" w:history="1">
        <w:r>
          <w:rPr>
            <w:rFonts w:ascii="IRNazanin" w:hAnsi="IRNazanin" w:eastAsia="IRNazanin" w:cs="IRNazanin"/>
            <w:color w:val="111111"/>
            <w:sz w:val="22"/>
            <w:szCs w:val="22"/>
            <w:b w:val="0"/>
            <w:bCs w:val="0"/>
            <w:i w:val="0"/>
            <w:iCs w:val="0"/>
          </w:rPr>
          <w:t>7322- دیوان مهربان اورنگ‏آبادی أو شعره‏</w:t>
        </w:r>
        <w:r>
          <w:tab/>
        </w:r>
        <w:r>
          <w:fldChar w:fldCharType="begin"/>
        </w:r>
        <w:r>
          <w:instrText xml:space="preserve">PAGEREF 8401 \h</w:instrText>
        </w:r>
        <w:r>
          <w:fldChar w:fldCharType="end"/>
        </w:r>
      </w:hyperlink>
    </w:p>
    <w:p>
      <w:pPr>
        <w:tabs>
          <w:tab w:val="right" w:leader="dot" w:pos="9062"/>
        </w:tabs>
        <w:ind w:left="440"/>
      </w:pPr>
      <w:hyperlink w:anchor="_Toc8402" w:history="1">
        <w:r>
          <w:rPr>
            <w:rFonts w:ascii="IRNazanin" w:hAnsi="IRNazanin" w:eastAsia="IRNazanin" w:cs="IRNazanin"/>
            <w:color w:val="111111"/>
            <w:sz w:val="22"/>
            <w:szCs w:val="22"/>
            <w:b w:val="0"/>
            <w:bCs w:val="0"/>
            <w:i w:val="0"/>
            <w:iCs w:val="0"/>
          </w:rPr>
          <w:t>دیوان مهر پنجابی‏</w:t>
        </w:r>
        <w:r>
          <w:tab/>
        </w:r>
        <w:r>
          <w:fldChar w:fldCharType="begin"/>
        </w:r>
        <w:r>
          <w:instrText xml:space="preserve">PAGEREF 8402 \h</w:instrText>
        </w:r>
        <w:r>
          <w:fldChar w:fldCharType="end"/>
        </w:r>
      </w:hyperlink>
    </w:p>
    <w:p>
      <w:pPr>
        <w:tabs>
          <w:tab w:val="right" w:leader="dot" w:pos="9062"/>
        </w:tabs>
        <w:ind w:left="440"/>
      </w:pPr>
      <w:hyperlink w:anchor="_Toc8403" w:history="1">
        <w:r>
          <w:rPr>
            <w:rFonts w:ascii="IRNazanin" w:hAnsi="IRNazanin" w:eastAsia="IRNazanin" w:cs="IRNazanin"/>
            <w:color w:val="111111"/>
            <w:sz w:val="22"/>
            <w:szCs w:val="22"/>
            <w:b w:val="0"/>
            <w:bCs w:val="0"/>
            <w:i w:val="0"/>
            <w:iCs w:val="0"/>
          </w:rPr>
          <w:t>7323- دیوان مهر علی گرگانی‏</w:t>
        </w:r>
        <w:r>
          <w:tab/>
        </w:r>
        <w:r>
          <w:fldChar w:fldCharType="begin"/>
        </w:r>
        <w:r>
          <w:instrText xml:space="preserve">PAGEREF 8403 \h</w:instrText>
        </w:r>
        <w:r>
          <w:fldChar w:fldCharType="end"/>
        </w:r>
      </w:hyperlink>
    </w:p>
    <w:p>
      <w:pPr>
        <w:tabs>
          <w:tab w:val="right" w:leader="dot" w:pos="9062"/>
        </w:tabs>
        <w:ind w:left="440"/>
      </w:pPr>
      <w:hyperlink w:anchor="_Toc8404" w:history="1">
        <w:r>
          <w:rPr>
            <w:rFonts w:ascii="IRNazanin" w:hAnsi="IRNazanin" w:eastAsia="IRNazanin" w:cs="IRNazanin"/>
            <w:color w:val="111111"/>
            <w:sz w:val="22"/>
            <w:szCs w:val="22"/>
            <w:b w:val="0"/>
            <w:bCs w:val="0"/>
            <w:i w:val="0"/>
            <w:iCs w:val="0"/>
          </w:rPr>
          <w:t>7324- دیوان مهر خوئی‏</w:t>
        </w:r>
        <w:r>
          <w:tab/>
        </w:r>
        <w:r>
          <w:fldChar w:fldCharType="begin"/>
        </w:r>
        <w:r>
          <w:instrText xml:space="preserve">PAGEREF 8404 \h</w:instrText>
        </w:r>
        <w:r>
          <w:fldChar w:fldCharType="end"/>
        </w:r>
      </w:hyperlink>
    </w:p>
    <w:p>
      <w:pPr>
        <w:tabs>
          <w:tab w:val="right" w:leader="dot" w:pos="9062"/>
        </w:tabs>
        <w:ind w:left="440"/>
      </w:pPr>
      <w:hyperlink w:anchor="_Toc8405" w:history="1">
        <w:r>
          <w:rPr>
            <w:rFonts w:ascii="IRNazanin" w:hAnsi="IRNazanin" w:eastAsia="IRNazanin" w:cs="IRNazanin"/>
            <w:color w:val="111111"/>
            <w:sz w:val="22"/>
            <w:szCs w:val="22"/>
            <w:b w:val="0"/>
            <w:bCs w:val="0"/>
            <w:i w:val="0"/>
            <w:iCs w:val="0"/>
          </w:rPr>
          <w:t>7325- دیوان مهری عرب أو شعره‏</w:t>
        </w:r>
        <w:r>
          <w:tab/>
        </w:r>
        <w:r>
          <w:fldChar w:fldCharType="begin"/>
        </w:r>
        <w:r>
          <w:instrText xml:space="preserve">PAGEREF 8405 \h</w:instrText>
        </w:r>
        <w:r>
          <w:fldChar w:fldCharType="end"/>
        </w:r>
      </w:hyperlink>
    </w:p>
    <w:p>
      <w:pPr>
        <w:tabs>
          <w:tab w:val="right" w:leader="dot" w:pos="9062"/>
        </w:tabs>
        <w:ind w:left="440"/>
      </w:pPr>
      <w:hyperlink w:anchor="_Toc8406" w:history="1">
        <w:r>
          <w:rPr>
            <w:rFonts w:ascii="IRNazanin" w:hAnsi="IRNazanin" w:eastAsia="IRNazanin" w:cs="IRNazanin"/>
            <w:color w:val="111111"/>
            <w:sz w:val="22"/>
            <w:szCs w:val="22"/>
            <w:b w:val="0"/>
            <w:bCs w:val="0"/>
            <w:i w:val="0"/>
            <w:iCs w:val="0"/>
          </w:rPr>
          <w:t>7326- دیوان مهری مشهد أو شعره‏</w:t>
        </w:r>
        <w:r>
          <w:tab/>
        </w:r>
        <w:r>
          <w:fldChar w:fldCharType="begin"/>
        </w:r>
        <w:r>
          <w:instrText xml:space="preserve">PAGEREF 8406 \h</w:instrText>
        </w:r>
        <w:r>
          <w:fldChar w:fldCharType="end"/>
        </w:r>
      </w:hyperlink>
    </w:p>
    <w:p>
      <w:pPr>
        <w:tabs>
          <w:tab w:val="right" w:leader="dot" w:pos="9062"/>
        </w:tabs>
        <w:ind w:left="440"/>
      </w:pPr>
      <w:hyperlink w:anchor="_Toc8407" w:history="1">
        <w:r>
          <w:rPr>
            <w:rFonts w:ascii="IRNazanin" w:hAnsi="IRNazanin" w:eastAsia="IRNazanin" w:cs="IRNazanin"/>
            <w:color w:val="111111"/>
            <w:sz w:val="22"/>
            <w:szCs w:val="22"/>
            <w:b w:val="0"/>
            <w:bCs w:val="0"/>
            <w:i w:val="0"/>
            <w:iCs w:val="0"/>
          </w:rPr>
          <w:t>7327- دیوان مهری هروی‏</w:t>
        </w:r>
        <w:r>
          <w:tab/>
        </w:r>
        <w:r>
          <w:fldChar w:fldCharType="begin"/>
        </w:r>
        <w:r>
          <w:instrText xml:space="preserve">PAGEREF 8407 \h</w:instrText>
        </w:r>
        <w:r>
          <w:fldChar w:fldCharType="end"/>
        </w:r>
      </w:hyperlink>
    </w:p>
    <w:p>
      <w:pPr>
        <w:tabs>
          <w:tab w:val="right" w:leader="dot" w:pos="9062"/>
        </w:tabs>
        <w:ind w:left="440"/>
      </w:pPr>
      <w:hyperlink w:anchor="_Toc8408" w:history="1">
        <w:r>
          <w:rPr>
            <w:rFonts w:ascii="IRNazanin" w:hAnsi="IRNazanin" w:eastAsia="IRNazanin" w:cs="IRNazanin"/>
            <w:color w:val="111111"/>
            <w:sz w:val="22"/>
            <w:szCs w:val="22"/>
            <w:b w:val="0"/>
            <w:bCs w:val="0"/>
            <w:i w:val="0"/>
            <w:iCs w:val="0"/>
          </w:rPr>
          <w:t>7328- دیوان مهستی گنجوی‏</w:t>
        </w:r>
        <w:r>
          <w:tab/>
        </w:r>
        <w:r>
          <w:fldChar w:fldCharType="begin"/>
        </w:r>
        <w:r>
          <w:instrText xml:space="preserve">PAGEREF 8408 \h</w:instrText>
        </w:r>
        <w:r>
          <w:fldChar w:fldCharType="end"/>
        </w:r>
      </w:hyperlink>
    </w:p>
    <w:p>
      <w:pPr>
        <w:tabs>
          <w:tab w:val="right" w:leader="dot" w:pos="9062"/>
        </w:tabs>
        <w:ind w:left="440"/>
      </w:pPr>
      <w:hyperlink w:anchor="_Toc8409" w:history="1">
        <w:r>
          <w:rPr>
            <w:rFonts w:ascii="IRNazanin" w:hAnsi="IRNazanin" w:eastAsia="IRNazanin" w:cs="IRNazanin"/>
            <w:color w:val="111111"/>
            <w:sz w:val="22"/>
            <w:szCs w:val="22"/>
            <w:b w:val="0"/>
            <w:bCs w:val="0"/>
            <w:i w:val="0"/>
            <w:iCs w:val="0"/>
          </w:rPr>
          <w:t>7329- دیوان المهلبی أو شعره‏</w:t>
        </w:r>
        <w:r>
          <w:tab/>
        </w:r>
        <w:r>
          <w:fldChar w:fldCharType="begin"/>
        </w:r>
        <w:r>
          <w:instrText xml:space="preserve">PAGEREF 8409 \h</w:instrText>
        </w:r>
        <w:r>
          <w:fldChar w:fldCharType="end"/>
        </w:r>
      </w:hyperlink>
    </w:p>
    <w:p>
      <w:pPr>
        <w:tabs>
          <w:tab w:val="right" w:leader="dot" w:pos="9062"/>
        </w:tabs>
        <w:ind w:left="440"/>
      </w:pPr>
      <w:hyperlink w:anchor="_Toc8410" w:history="1">
        <w:r>
          <w:rPr>
            <w:rFonts w:ascii="IRNazanin" w:hAnsi="IRNazanin" w:eastAsia="IRNazanin" w:cs="IRNazanin"/>
            <w:color w:val="111111"/>
            <w:sz w:val="22"/>
            <w:szCs w:val="22"/>
            <w:b w:val="0"/>
            <w:bCs w:val="0"/>
            <w:i w:val="0"/>
            <w:iCs w:val="0"/>
          </w:rPr>
          <w:t>7330- دیوان مهمی تبریزی أو شعره‏</w:t>
        </w:r>
        <w:r>
          <w:tab/>
        </w:r>
        <w:r>
          <w:fldChar w:fldCharType="begin"/>
        </w:r>
        <w:r>
          <w:instrText xml:space="preserve">PAGEREF 8410 \h</w:instrText>
        </w:r>
        <w:r>
          <w:fldChar w:fldCharType="end"/>
        </w:r>
      </w:hyperlink>
    </w:p>
    <w:p>
      <w:pPr>
        <w:tabs>
          <w:tab w:val="right" w:leader="dot" w:pos="9062"/>
        </w:tabs>
        <w:ind w:left="440"/>
      </w:pPr>
      <w:hyperlink w:anchor="_Toc8411" w:history="1">
        <w:r>
          <w:rPr>
            <w:rFonts w:ascii="IRNazanin" w:hAnsi="IRNazanin" w:eastAsia="IRNazanin" w:cs="IRNazanin"/>
            <w:color w:val="111111"/>
            <w:sz w:val="22"/>
            <w:szCs w:val="22"/>
            <w:b w:val="0"/>
            <w:bCs w:val="0"/>
            <w:i w:val="0"/>
            <w:iCs w:val="0"/>
          </w:rPr>
          <w:t>7331- دیوان مهندس دستگردی‏</w:t>
        </w:r>
        <w:r>
          <w:tab/>
        </w:r>
        <w:r>
          <w:fldChar w:fldCharType="begin"/>
        </w:r>
        <w:r>
          <w:instrText xml:space="preserve">PAGEREF 8411 \h</w:instrText>
        </w:r>
        <w:r>
          <w:fldChar w:fldCharType="end"/>
        </w:r>
      </w:hyperlink>
    </w:p>
    <w:p>
      <w:pPr>
        <w:tabs>
          <w:tab w:val="right" w:leader="dot" w:pos="9062"/>
        </w:tabs>
        <w:ind w:left="440"/>
      </w:pPr>
      <w:hyperlink w:anchor="_Toc8412" w:history="1">
        <w:r>
          <w:rPr>
            <w:rFonts w:ascii="IRNazanin" w:hAnsi="IRNazanin" w:eastAsia="IRNazanin" w:cs="IRNazanin"/>
            <w:color w:val="111111"/>
            <w:sz w:val="22"/>
            <w:szCs w:val="22"/>
            <w:b w:val="0"/>
            <w:bCs w:val="0"/>
            <w:i w:val="0"/>
            <w:iCs w:val="0"/>
          </w:rPr>
          <w:t>7332- دیوان مهیار</w:t>
        </w:r>
        <w:r>
          <w:tab/>
        </w:r>
        <w:r>
          <w:fldChar w:fldCharType="begin"/>
        </w:r>
        <w:r>
          <w:instrText xml:space="preserve">PAGEREF 8412 \h</w:instrText>
        </w:r>
        <w:r>
          <w:fldChar w:fldCharType="end"/>
        </w:r>
      </w:hyperlink>
    </w:p>
    <w:p>
      <w:pPr>
        <w:tabs>
          <w:tab w:val="right" w:leader="dot" w:pos="9062"/>
        </w:tabs>
        <w:ind w:left="440"/>
      </w:pPr>
      <w:hyperlink w:anchor="_Toc8413" w:history="1">
        <w:r>
          <w:rPr>
            <w:rFonts w:ascii="IRNazanin" w:hAnsi="IRNazanin" w:eastAsia="IRNazanin" w:cs="IRNazanin"/>
            <w:color w:val="111111"/>
            <w:sz w:val="22"/>
            <w:szCs w:val="22"/>
            <w:b w:val="0"/>
            <w:bCs w:val="0"/>
            <w:i w:val="0"/>
            <w:iCs w:val="0"/>
          </w:rPr>
          <w:t>7333- دیوان مهین أصفهانی‏</w:t>
        </w:r>
        <w:r>
          <w:tab/>
        </w:r>
        <w:r>
          <w:fldChar w:fldCharType="begin"/>
        </w:r>
        <w:r>
          <w:instrText xml:space="preserve">PAGEREF 8413 \h</w:instrText>
        </w:r>
        <w:r>
          <w:fldChar w:fldCharType="end"/>
        </w:r>
      </w:hyperlink>
    </w:p>
    <w:p>
      <w:pPr>
        <w:tabs>
          <w:tab w:val="right" w:leader="dot" w:pos="9062"/>
        </w:tabs>
        <w:ind w:left="440"/>
      </w:pPr>
      <w:hyperlink w:anchor="_Toc8414" w:history="1">
        <w:r>
          <w:rPr>
            <w:rFonts w:ascii="IRNazanin" w:hAnsi="IRNazanin" w:eastAsia="IRNazanin" w:cs="IRNazanin"/>
            <w:color w:val="111111"/>
            <w:sz w:val="22"/>
            <w:szCs w:val="22"/>
            <w:b w:val="0"/>
            <w:bCs w:val="0"/>
            <w:i w:val="0"/>
            <w:iCs w:val="0"/>
          </w:rPr>
          <w:t>7334- دیوان مهین خطاط التبریزی،</w:t>
        </w:r>
        <w:r>
          <w:tab/>
        </w:r>
        <w:r>
          <w:fldChar w:fldCharType="begin"/>
        </w:r>
        <w:r>
          <w:instrText xml:space="preserve">PAGEREF 8414 \h</w:instrText>
        </w:r>
        <w:r>
          <w:fldChar w:fldCharType="end"/>
        </w:r>
      </w:hyperlink>
    </w:p>
    <w:p>
      <w:pPr>
        <w:tabs>
          <w:tab w:val="right" w:leader="dot" w:pos="9062"/>
        </w:tabs>
        <w:ind w:left="440"/>
      </w:pPr>
      <w:hyperlink w:anchor="_Toc8415" w:history="1">
        <w:r>
          <w:rPr>
            <w:rFonts w:ascii="IRNazanin" w:hAnsi="IRNazanin" w:eastAsia="IRNazanin" w:cs="IRNazanin"/>
            <w:color w:val="111111"/>
            <w:sz w:val="22"/>
            <w:szCs w:val="22"/>
            <w:b w:val="0"/>
            <w:bCs w:val="0"/>
            <w:i w:val="0"/>
            <w:iCs w:val="0"/>
          </w:rPr>
          <w:t>7335- دیوان مهین دارائی‏</w:t>
        </w:r>
        <w:r>
          <w:tab/>
        </w:r>
        <w:r>
          <w:fldChar w:fldCharType="begin"/>
        </w:r>
        <w:r>
          <w:instrText xml:space="preserve">PAGEREF 8415 \h</w:instrText>
        </w:r>
        <w:r>
          <w:fldChar w:fldCharType="end"/>
        </w:r>
      </w:hyperlink>
    </w:p>
    <w:p>
      <w:pPr>
        <w:tabs>
          <w:tab w:val="right" w:leader="dot" w:pos="9062"/>
        </w:tabs>
        <w:ind w:left="440"/>
      </w:pPr>
      <w:hyperlink w:anchor="_Toc8416" w:history="1">
        <w:r>
          <w:rPr>
            <w:rFonts w:ascii="IRNazanin" w:hAnsi="IRNazanin" w:eastAsia="IRNazanin" w:cs="IRNazanin"/>
            <w:color w:val="111111"/>
            <w:sz w:val="22"/>
            <w:szCs w:val="22"/>
            <w:b w:val="0"/>
            <w:bCs w:val="0"/>
            <w:i w:val="0"/>
            <w:iCs w:val="0"/>
          </w:rPr>
          <w:t>دیوان میان ناصر علی‏</w:t>
        </w:r>
        <w:r>
          <w:tab/>
        </w:r>
        <w:r>
          <w:fldChar w:fldCharType="begin"/>
        </w:r>
        <w:r>
          <w:instrText xml:space="preserve">PAGEREF 8416 \h</w:instrText>
        </w:r>
        <w:r>
          <w:fldChar w:fldCharType="end"/>
        </w:r>
      </w:hyperlink>
    </w:p>
    <w:p>
      <w:pPr>
        <w:tabs>
          <w:tab w:val="right" w:leader="dot" w:pos="9062"/>
        </w:tabs>
        <w:ind w:left="440"/>
      </w:pPr>
      <w:hyperlink w:anchor="_Toc8417" w:history="1">
        <w:r>
          <w:rPr>
            <w:rFonts w:ascii="IRNazanin" w:hAnsi="IRNazanin" w:eastAsia="IRNazanin" w:cs="IRNazanin"/>
            <w:color w:val="111111"/>
            <w:sz w:val="22"/>
            <w:szCs w:val="22"/>
            <w:b w:val="0"/>
            <w:bCs w:val="0"/>
            <w:i w:val="0"/>
            <w:iCs w:val="0"/>
          </w:rPr>
          <w:t>دیوان میبدی‏</w:t>
        </w:r>
        <w:r>
          <w:tab/>
        </w:r>
        <w:r>
          <w:fldChar w:fldCharType="begin"/>
        </w:r>
        <w:r>
          <w:instrText xml:space="preserve">PAGEREF 8417 \h</w:instrText>
        </w:r>
        <w:r>
          <w:fldChar w:fldCharType="end"/>
        </w:r>
      </w:hyperlink>
    </w:p>
    <w:p>
      <w:pPr>
        <w:tabs>
          <w:tab w:val="right" w:leader="dot" w:pos="9062"/>
        </w:tabs>
        <w:ind w:left="440"/>
      </w:pPr>
      <w:hyperlink w:anchor="_Toc8418" w:history="1">
        <w:r>
          <w:rPr>
            <w:rFonts w:ascii="IRNazanin" w:hAnsi="IRNazanin" w:eastAsia="IRNazanin" w:cs="IRNazanin"/>
            <w:color w:val="111111"/>
            <w:sz w:val="22"/>
            <w:szCs w:val="22"/>
            <w:b w:val="0"/>
            <w:bCs w:val="0"/>
            <w:i w:val="0"/>
            <w:iCs w:val="0"/>
          </w:rPr>
          <w:t>7336- دیوان میثمی عراقی‏</w:t>
        </w:r>
        <w:r>
          <w:tab/>
        </w:r>
        <w:r>
          <w:fldChar w:fldCharType="begin"/>
        </w:r>
        <w:r>
          <w:instrText xml:space="preserve">PAGEREF 8418 \h</w:instrText>
        </w:r>
        <w:r>
          <w:fldChar w:fldCharType="end"/>
        </w:r>
      </w:hyperlink>
    </w:p>
    <w:p>
      <w:pPr>
        <w:tabs>
          <w:tab w:val="right" w:leader="dot" w:pos="9062"/>
        </w:tabs>
        <w:ind w:left="440"/>
      </w:pPr>
      <w:hyperlink w:anchor="_Toc8419" w:history="1">
        <w:r>
          <w:rPr>
            <w:rFonts w:ascii="IRNazanin" w:hAnsi="IRNazanin" w:eastAsia="IRNazanin" w:cs="IRNazanin"/>
            <w:color w:val="111111"/>
            <w:sz w:val="22"/>
            <w:szCs w:val="22"/>
            <w:b w:val="0"/>
            <w:bCs w:val="0"/>
            <w:i w:val="0"/>
            <w:iCs w:val="0"/>
          </w:rPr>
          <w:t>دیوان میخچه‏</w:t>
        </w:r>
        <w:r>
          <w:tab/>
        </w:r>
        <w:r>
          <w:fldChar w:fldCharType="begin"/>
        </w:r>
        <w:r>
          <w:instrText xml:space="preserve">PAGEREF 8419 \h</w:instrText>
        </w:r>
        <w:r>
          <w:fldChar w:fldCharType="end"/>
        </w:r>
      </w:hyperlink>
    </w:p>
    <w:p>
      <w:pPr>
        <w:tabs>
          <w:tab w:val="right" w:leader="dot" w:pos="9062"/>
        </w:tabs>
        <w:ind w:left="440"/>
      </w:pPr>
      <w:hyperlink w:anchor="_Toc8420" w:history="1">
        <w:r>
          <w:rPr>
            <w:rFonts w:ascii="IRNazanin" w:hAnsi="IRNazanin" w:eastAsia="IRNazanin" w:cs="IRNazanin"/>
            <w:color w:val="111111"/>
            <w:sz w:val="22"/>
            <w:szCs w:val="22"/>
            <w:b w:val="0"/>
            <w:bCs w:val="0"/>
            <w:i w:val="0"/>
            <w:iCs w:val="0"/>
          </w:rPr>
          <w:t>7337- دیوان میر أبجدی‏</w:t>
        </w:r>
        <w:r>
          <w:tab/>
        </w:r>
        <w:r>
          <w:fldChar w:fldCharType="begin"/>
        </w:r>
        <w:r>
          <w:instrText xml:space="preserve">PAGEREF 8420 \h</w:instrText>
        </w:r>
        <w:r>
          <w:fldChar w:fldCharType="end"/>
        </w:r>
      </w:hyperlink>
    </w:p>
    <w:p>
      <w:pPr>
        <w:tabs>
          <w:tab w:val="right" w:leader="dot" w:pos="9062"/>
        </w:tabs>
        <w:ind w:left="440"/>
      </w:pPr>
      <w:hyperlink w:anchor="_Toc8421" w:history="1">
        <w:r>
          <w:rPr>
            <w:rFonts w:ascii="IRNazanin" w:hAnsi="IRNazanin" w:eastAsia="IRNazanin" w:cs="IRNazanin"/>
            <w:color w:val="111111"/>
            <w:sz w:val="22"/>
            <w:szCs w:val="22"/>
            <w:b w:val="0"/>
            <w:bCs w:val="0"/>
            <w:i w:val="0"/>
            <w:iCs w:val="0"/>
          </w:rPr>
          <w:t>7338- دیوان میر أکبرآبادی‏</w:t>
        </w:r>
        <w:r>
          <w:tab/>
        </w:r>
        <w:r>
          <w:fldChar w:fldCharType="begin"/>
        </w:r>
        <w:r>
          <w:instrText xml:space="preserve">PAGEREF 8421 \h</w:instrText>
        </w:r>
        <w:r>
          <w:fldChar w:fldCharType="end"/>
        </w:r>
      </w:hyperlink>
    </w:p>
    <w:p>
      <w:pPr>
        <w:tabs>
          <w:tab w:val="right" w:leader="dot" w:pos="9062"/>
        </w:tabs>
        <w:ind w:left="440"/>
      </w:pPr>
      <w:hyperlink w:anchor="_Toc8422" w:history="1">
        <w:r>
          <w:rPr>
            <w:rFonts w:ascii="IRNazanin" w:hAnsi="IRNazanin" w:eastAsia="IRNazanin" w:cs="IRNazanin"/>
            <w:color w:val="111111"/>
            <w:sz w:val="22"/>
            <w:szCs w:val="22"/>
            <w:b w:val="0"/>
            <w:bCs w:val="0"/>
            <w:i w:val="0"/>
            <w:iCs w:val="0"/>
          </w:rPr>
          <w:t>7339- دیوان میر تربتی أو شعره‏</w:t>
        </w:r>
        <w:r>
          <w:tab/>
        </w:r>
        <w:r>
          <w:fldChar w:fldCharType="begin"/>
        </w:r>
        <w:r>
          <w:instrText xml:space="preserve">PAGEREF 8422 \h</w:instrText>
        </w:r>
        <w:r>
          <w:fldChar w:fldCharType="end"/>
        </w:r>
      </w:hyperlink>
    </w:p>
    <w:p>
      <w:pPr>
        <w:tabs>
          <w:tab w:val="right" w:leader="dot" w:pos="9062"/>
        </w:tabs>
        <w:ind w:left="440"/>
      </w:pPr>
      <w:hyperlink w:anchor="_Toc8423" w:history="1">
        <w:r>
          <w:rPr>
            <w:rFonts w:ascii="IRNazanin" w:hAnsi="IRNazanin" w:eastAsia="IRNazanin" w:cs="IRNazanin"/>
            <w:color w:val="111111"/>
            <w:sz w:val="22"/>
            <w:szCs w:val="22"/>
            <w:b w:val="0"/>
            <w:bCs w:val="0"/>
            <w:i w:val="0"/>
            <w:iCs w:val="0"/>
          </w:rPr>
          <w:t>دیوان میر جلال‏</w:t>
        </w:r>
        <w:r>
          <w:tab/>
        </w:r>
        <w:r>
          <w:fldChar w:fldCharType="begin"/>
        </w:r>
        <w:r>
          <w:instrText xml:space="preserve">PAGEREF 8423 \h</w:instrText>
        </w:r>
        <w:r>
          <w:fldChar w:fldCharType="end"/>
        </w:r>
      </w:hyperlink>
    </w:p>
    <w:p>
      <w:pPr>
        <w:tabs>
          <w:tab w:val="right" w:leader="dot" w:pos="9062"/>
        </w:tabs>
        <w:ind w:left="440"/>
      </w:pPr>
      <w:hyperlink w:anchor="_Toc8424" w:history="1">
        <w:r>
          <w:rPr>
            <w:rFonts w:ascii="IRNazanin" w:hAnsi="IRNazanin" w:eastAsia="IRNazanin" w:cs="IRNazanin"/>
            <w:color w:val="111111"/>
            <w:sz w:val="22"/>
            <w:szCs w:val="22"/>
            <w:b w:val="0"/>
            <w:bCs w:val="0"/>
            <w:i w:val="0"/>
            <w:iCs w:val="0"/>
          </w:rPr>
          <w:t>دیوان میر جملة</w:t>
        </w:r>
        <w:r>
          <w:tab/>
        </w:r>
        <w:r>
          <w:fldChar w:fldCharType="begin"/>
        </w:r>
        <w:r>
          <w:instrText xml:space="preserve">PAGEREF 8424 \h</w:instrText>
        </w:r>
        <w:r>
          <w:fldChar w:fldCharType="end"/>
        </w:r>
      </w:hyperlink>
    </w:p>
    <w:p>
      <w:pPr>
        <w:tabs>
          <w:tab w:val="right" w:leader="dot" w:pos="9062"/>
        </w:tabs>
        <w:ind w:left="440"/>
      </w:pPr>
      <w:hyperlink w:anchor="_Toc8425" w:history="1">
        <w:r>
          <w:rPr>
            <w:rFonts w:ascii="IRNazanin" w:hAnsi="IRNazanin" w:eastAsia="IRNazanin" w:cs="IRNazanin"/>
            <w:color w:val="111111"/>
            <w:sz w:val="22"/>
            <w:szCs w:val="22"/>
            <w:b w:val="0"/>
            <w:bCs w:val="0"/>
            <w:i w:val="0"/>
            <w:iCs w:val="0"/>
          </w:rPr>
          <w:t>دیوان میر حاج‏</w:t>
        </w:r>
        <w:r>
          <w:tab/>
        </w:r>
        <w:r>
          <w:fldChar w:fldCharType="begin"/>
        </w:r>
        <w:r>
          <w:instrText xml:space="preserve">PAGEREF 8425 \h</w:instrText>
        </w:r>
        <w:r>
          <w:fldChar w:fldCharType="end"/>
        </w:r>
      </w:hyperlink>
    </w:p>
    <w:p>
      <w:pPr>
        <w:tabs>
          <w:tab w:val="right" w:leader="dot" w:pos="9062"/>
        </w:tabs>
        <w:ind w:left="440"/>
      </w:pPr>
      <w:hyperlink w:anchor="_Toc8426" w:history="1">
        <w:r>
          <w:rPr>
            <w:rFonts w:ascii="IRNazanin" w:hAnsi="IRNazanin" w:eastAsia="IRNazanin" w:cs="IRNazanin"/>
            <w:color w:val="111111"/>
            <w:sz w:val="22"/>
            <w:szCs w:val="22"/>
            <w:b w:val="0"/>
            <w:bCs w:val="0"/>
            <w:i w:val="0"/>
            <w:iCs w:val="0"/>
          </w:rPr>
          <w:t>دیوان میر حسینی‏</w:t>
        </w:r>
        <w:r>
          <w:tab/>
        </w:r>
        <w:r>
          <w:fldChar w:fldCharType="begin"/>
        </w:r>
        <w:r>
          <w:instrText xml:space="preserve">PAGEREF 8426 \h</w:instrText>
        </w:r>
        <w:r>
          <w:fldChar w:fldCharType="end"/>
        </w:r>
      </w:hyperlink>
    </w:p>
    <w:p>
      <w:pPr>
        <w:tabs>
          <w:tab w:val="right" w:leader="dot" w:pos="9062"/>
        </w:tabs>
        <w:ind w:left="440"/>
      </w:pPr>
      <w:hyperlink w:anchor="_Toc8427" w:history="1">
        <w:r>
          <w:rPr>
            <w:rFonts w:ascii="IRNazanin" w:hAnsi="IRNazanin" w:eastAsia="IRNazanin" w:cs="IRNazanin"/>
            <w:color w:val="111111"/>
            <w:sz w:val="22"/>
            <w:szCs w:val="22"/>
            <w:b w:val="0"/>
            <w:bCs w:val="0"/>
            <w:i w:val="0"/>
            <w:iCs w:val="0"/>
          </w:rPr>
          <w:t>دیوان میر حیدر تونی‏</w:t>
        </w:r>
        <w:r>
          <w:tab/>
        </w:r>
        <w:r>
          <w:fldChar w:fldCharType="begin"/>
        </w:r>
        <w:r>
          <w:instrText xml:space="preserve">PAGEREF 8427 \h</w:instrText>
        </w:r>
        <w:r>
          <w:fldChar w:fldCharType="end"/>
        </w:r>
      </w:hyperlink>
    </w:p>
    <w:p>
      <w:pPr>
        <w:tabs>
          <w:tab w:val="right" w:leader="dot" w:pos="9062"/>
        </w:tabs>
        <w:ind w:left="440"/>
      </w:pPr>
      <w:hyperlink w:anchor="_Toc8428" w:history="1">
        <w:r>
          <w:rPr>
            <w:rFonts w:ascii="IRNazanin" w:hAnsi="IRNazanin" w:eastAsia="IRNazanin" w:cs="IRNazanin"/>
            <w:color w:val="111111"/>
            <w:sz w:val="22"/>
            <w:szCs w:val="22"/>
            <w:b w:val="0"/>
            <w:bCs w:val="0"/>
            <w:i w:val="0"/>
            <w:iCs w:val="0"/>
          </w:rPr>
          <w:t>دیوان میر خواند</w:t>
        </w:r>
        <w:r>
          <w:tab/>
        </w:r>
        <w:r>
          <w:fldChar w:fldCharType="begin"/>
        </w:r>
        <w:r>
          <w:instrText xml:space="preserve">PAGEREF 8428 \h</w:instrText>
        </w:r>
        <w:r>
          <w:fldChar w:fldCharType="end"/>
        </w:r>
      </w:hyperlink>
    </w:p>
    <w:p>
      <w:pPr>
        <w:tabs>
          <w:tab w:val="right" w:leader="dot" w:pos="9062"/>
        </w:tabs>
        <w:ind w:left="440"/>
      </w:pPr>
      <w:hyperlink w:anchor="_Toc8429" w:history="1">
        <w:r>
          <w:rPr>
            <w:rFonts w:ascii="IRNazanin" w:hAnsi="IRNazanin" w:eastAsia="IRNazanin" w:cs="IRNazanin"/>
            <w:color w:val="111111"/>
            <w:sz w:val="22"/>
            <w:szCs w:val="22"/>
            <w:b w:val="0"/>
            <w:bCs w:val="0"/>
            <w:i w:val="0"/>
            <w:iCs w:val="0"/>
          </w:rPr>
          <w:t>7340- دیوان میر دهلوی أو شعره‏</w:t>
        </w:r>
        <w:r>
          <w:tab/>
        </w:r>
        <w:r>
          <w:fldChar w:fldCharType="begin"/>
        </w:r>
        <w:r>
          <w:instrText xml:space="preserve">PAGEREF 8429 \h</w:instrText>
        </w:r>
        <w:r>
          <w:fldChar w:fldCharType="end"/>
        </w:r>
      </w:hyperlink>
    </w:p>
    <w:p>
      <w:pPr>
        <w:tabs>
          <w:tab w:val="right" w:leader="dot" w:pos="9062"/>
        </w:tabs>
        <w:ind w:left="440"/>
      </w:pPr>
      <w:hyperlink w:anchor="_Toc8430" w:history="1">
        <w:r>
          <w:rPr>
            <w:rFonts w:ascii="IRNazanin" w:hAnsi="IRNazanin" w:eastAsia="IRNazanin" w:cs="IRNazanin"/>
            <w:color w:val="111111"/>
            <w:sz w:val="22"/>
            <w:szCs w:val="22"/>
            <w:b w:val="0"/>
            <w:bCs w:val="0"/>
            <w:i w:val="0"/>
            <w:iCs w:val="0"/>
          </w:rPr>
          <w:t>دیوان میر رباعی مشهدی‏</w:t>
        </w:r>
        <w:r>
          <w:tab/>
        </w:r>
        <w:r>
          <w:fldChar w:fldCharType="begin"/>
        </w:r>
        <w:r>
          <w:instrText xml:space="preserve">PAGEREF 8430 \h</w:instrText>
        </w:r>
        <w:r>
          <w:fldChar w:fldCharType="end"/>
        </w:r>
      </w:hyperlink>
    </w:p>
    <w:p>
      <w:pPr>
        <w:tabs>
          <w:tab w:val="right" w:leader="dot" w:pos="9062"/>
        </w:tabs>
        <w:ind w:left="440"/>
      </w:pPr>
      <w:hyperlink w:anchor="_Toc8431" w:history="1">
        <w:r>
          <w:rPr>
            <w:rFonts w:ascii="IRNazanin" w:hAnsi="IRNazanin" w:eastAsia="IRNazanin" w:cs="IRNazanin"/>
            <w:color w:val="111111"/>
            <w:sz w:val="22"/>
            <w:szCs w:val="22"/>
            <w:b w:val="0"/>
            <w:bCs w:val="0"/>
            <w:i w:val="0"/>
            <w:iCs w:val="0"/>
          </w:rPr>
          <w:t>دیوان میرزا بایسنقر</w:t>
        </w:r>
        <w:r>
          <w:tab/>
        </w:r>
        <w:r>
          <w:fldChar w:fldCharType="begin"/>
        </w:r>
        <w:r>
          <w:instrText xml:space="preserve">PAGEREF 8431 \h</w:instrText>
        </w:r>
        <w:r>
          <w:fldChar w:fldCharType="end"/>
        </w:r>
      </w:hyperlink>
    </w:p>
    <w:p>
      <w:pPr>
        <w:tabs>
          <w:tab w:val="right" w:leader="dot" w:pos="9062"/>
        </w:tabs>
        <w:ind w:left="440"/>
      </w:pPr>
      <w:hyperlink w:anchor="_Toc8432" w:history="1">
        <w:r>
          <w:rPr>
            <w:rFonts w:ascii="IRNazanin" w:hAnsi="IRNazanin" w:eastAsia="IRNazanin" w:cs="IRNazanin"/>
            <w:color w:val="111111"/>
            <w:sz w:val="22"/>
            <w:szCs w:val="22"/>
            <w:b w:val="0"/>
            <w:bCs w:val="0"/>
            <w:i w:val="0"/>
            <w:iCs w:val="0"/>
          </w:rPr>
          <w:t>7341- دیوان میرزا بزرگ تبریزی‏</w:t>
        </w:r>
        <w:r>
          <w:tab/>
        </w:r>
        <w:r>
          <w:fldChar w:fldCharType="begin"/>
        </w:r>
        <w:r>
          <w:instrText xml:space="preserve">PAGEREF 8432 \h</w:instrText>
        </w:r>
        <w:r>
          <w:fldChar w:fldCharType="end"/>
        </w:r>
      </w:hyperlink>
    </w:p>
    <w:p>
      <w:pPr>
        <w:tabs>
          <w:tab w:val="right" w:leader="dot" w:pos="9062"/>
        </w:tabs>
        <w:ind w:left="440"/>
      </w:pPr>
      <w:hyperlink w:anchor="_Toc8433" w:history="1">
        <w:r>
          <w:rPr>
            <w:rFonts w:ascii="IRNazanin" w:hAnsi="IRNazanin" w:eastAsia="IRNazanin" w:cs="IRNazanin"/>
            <w:color w:val="111111"/>
            <w:sz w:val="22"/>
            <w:szCs w:val="22"/>
            <w:b w:val="0"/>
            <w:bCs w:val="0"/>
            <w:i w:val="0"/>
            <w:iCs w:val="0"/>
          </w:rPr>
          <w:t>7342- دیوان میرزا جان باغنوی أو شعره‏</w:t>
        </w:r>
        <w:r>
          <w:tab/>
        </w:r>
        <w:r>
          <w:fldChar w:fldCharType="begin"/>
        </w:r>
        <w:r>
          <w:instrText xml:space="preserve">PAGEREF 8433 \h</w:instrText>
        </w:r>
        <w:r>
          <w:fldChar w:fldCharType="end"/>
        </w:r>
      </w:hyperlink>
    </w:p>
    <w:p>
      <w:pPr>
        <w:tabs>
          <w:tab w:val="right" w:leader="dot" w:pos="9062"/>
        </w:tabs>
        <w:ind w:left="440"/>
      </w:pPr>
      <w:hyperlink w:anchor="_Toc8434" w:history="1">
        <w:r>
          <w:rPr>
            <w:rFonts w:ascii="IRNazanin" w:hAnsi="IRNazanin" w:eastAsia="IRNazanin" w:cs="IRNazanin"/>
            <w:color w:val="111111"/>
            <w:sz w:val="22"/>
            <w:szCs w:val="22"/>
            <w:b w:val="0"/>
            <w:bCs w:val="0"/>
            <w:i w:val="0"/>
            <w:iCs w:val="0"/>
          </w:rPr>
          <w:t>دیوان میرزا رضی مشهدی‏</w:t>
        </w:r>
        <w:r>
          <w:tab/>
        </w:r>
        <w:r>
          <w:fldChar w:fldCharType="begin"/>
        </w:r>
        <w:r>
          <w:instrText xml:space="preserve">PAGEREF 8434 \h</w:instrText>
        </w:r>
        <w:r>
          <w:fldChar w:fldCharType="end"/>
        </w:r>
      </w:hyperlink>
    </w:p>
    <w:p>
      <w:pPr>
        <w:tabs>
          <w:tab w:val="right" w:leader="dot" w:pos="9062"/>
        </w:tabs>
        <w:ind w:left="440"/>
      </w:pPr>
      <w:hyperlink w:anchor="_Toc8435" w:history="1">
        <w:r>
          <w:rPr>
            <w:rFonts w:ascii="IRNazanin" w:hAnsi="IRNazanin" w:eastAsia="IRNazanin" w:cs="IRNazanin"/>
            <w:color w:val="111111"/>
            <w:sz w:val="22"/>
            <w:szCs w:val="22"/>
            <w:b w:val="0"/>
            <w:bCs w:val="0"/>
            <w:i w:val="0"/>
            <w:iCs w:val="0"/>
          </w:rPr>
          <w:t>7343- دیوان میرزای شیروانی‏</w:t>
        </w:r>
        <w:r>
          <w:tab/>
        </w:r>
        <w:r>
          <w:fldChar w:fldCharType="begin"/>
        </w:r>
        <w:r>
          <w:instrText xml:space="preserve">PAGEREF 8435 \h</w:instrText>
        </w:r>
        <w:r>
          <w:fldChar w:fldCharType="end"/>
        </w:r>
      </w:hyperlink>
    </w:p>
    <w:p>
      <w:pPr>
        <w:tabs>
          <w:tab w:val="right" w:leader="dot" w:pos="9062"/>
        </w:tabs>
        <w:ind w:left="440"/>
      </w:pPr>
      <w:hyperlink w:anchor="_Toc8436" w:history="1">
        <w:r>
          <w:rPr>
            <w:rFonts w:ascii="IRNazanin" w:hAnsi="IRNazanin" w:eastAsia="IRNazanin" w:cs="IRNazanin"/>
            <w:color w:val="111111"/>
            <w:sz w:val="22"/>
            <w:szCs w:val="22"/>
            <w:b w:val="0"/>
            <w:bCs w:val="0"/>
            <w:i w:val="0"/>
            <w:iCs w:val="0"/>
          </w:rPr>
          <w:t>7344- دیوان میرزای فیض‏آبادی أو شعره‏</w:t>
        </w:r>
        <w:r>
          <w:tab/>
        </w:r>
        <w:r>
          <w:fldChar w:fldCharType="begin"/>
        </w:r>
        <w:r>
          <w:instrText xml:space="preserve">PAGEREF 8436 \h</w:instrText>
        </w:r>
        <w:r>
          <w:fldChar w:fldCharType="end"/>
        </w:r>
      </w:hyperlink>
    </w:p>
    <w:p>
      <w:pPr>
        <w:tabs>
          <w:tab w:val="right" w:leader="dot" w:pos="9062"/>
        </w:tabs>
        <w:ind w:left="440"/>
      </w:pPr>
      <w:hyperlink w:anchor="_Toc8437" w:history="1">
        <w:r>
          <w:rPr>
            <w:rFonts w:ascii="IRNazanin" w:hAnsi="IRNazanin" w:eastAsia="IRNazanin" w:cs="IRNazanin"/>
            <w:color w:val="111111"/>
            <w:sz w:val="22"/>
            <w:szCs w:val="22"/>
            <w:b w:val="0"/>
            <w:bCs w:val="0"/>
            <w:i w:val="0"/>
            <w:iCs w:val="0"/>
          </w:rPr>
          <w:t>7345- دیوان میرزای همدانی أو شعره‏</w:t>
        </w:r>
        <w:r>
          <w:tab/>
        </w:r>
        <w:r>
          <w:fldChar w:fldCharType="begin"/>
        </w:r>
        <w:r>
          <w:instrText xml:space="preserve">PAGEREF 8437 \h</w:instrText>
        </w:r>
        <w:r>
          <w:fldChar w:fldCharType="end"/>
        </w:r>
      </w:hyperlink>
    </w:p>
    <w:p>
      <w:pPr>
        <w:tabs>
          <w:tab w:val="right" w:leader="dot" w:pos="9062"/>
        </w:tabs>
        <w:ind w:left="440"/>
      </w:pPr>
      <w:hyperlink w:anchor="_Toc8438" w:history="1">
        <w:r>
          <w:rPr>
            <w:rFonts w:ascii="IRNazanin" w:hAnsi="IRNazanin" w:eastAsia="IRNazanin" w:cs="IRNazanin"/>
            <w:color w:val="111111"/>
            <w:sz w:val="22"/>
            <w:szCs w:val="22"/>
            <w:b w:val="0"/>
            <w:bCs w:val="0"/>
            <w:i w:val="0"/>
            <w:iCs w:val="0"/>
          </w:rPr>
          <w:t>7346- دیوان میرزایی ساوجی أو شعره‏</w:t>
        </w:r>
        <w:r>
          <w:tab/>
        </w:r>
        <w:r>
          <w:fldChar w:fldCharType="begin"/>
        </w:r>
        <w:r>
          <w:instrText xml:space="preserve">PAGEREF 8438 \h</w:instrText>
        </w:r>
        <w:r>
          <w:fldChar w:fldCharType="end"/>
        </w:r>
      </w:hyperlink>
    </w:p>
    <w:p>
      <w:pPr>
        <w:tabs>
          <w:tab w:val="right" w:leader="dot" w:pos="9062"/>
        </w:tabs>
        <w:ind w:left="440"/>
      </w:pPr>
      <w:hyperlink w:anchor="_Toc8439" w:history="1">
        <w:r>
          <w:rPr>
            <w:rFonts w:ascii="IRNazanin" w:hAnsi="IRNazanin" w:eastAsia="IRNazanin" w:cs="IRNazanin"/>
            <w:color w:val="111111"/>
            <w:sz w:val="22"/>
            <w:szCs w:val="22"/>
            <w:b w:val="0"/>
            <w:bCs w:val="0"/>
            <w:i w:val="0"/>
            <w:iCs w:val="0"/>
          </w:rPr>
          <w:t>7347- دیوان میر سبزواری أو شعره‏</w:t>
        </w:r>
        <w:r>
          <w:tab/>
        </w:r>
        <w:r>
          <w:fldChar w:fldCharType="begin"/>
        </w:r>
        <w:r>
          <w:instrText xml:space="preserve">PAGEREF 8439 \h</w:instrText>
        </w:r>
        <w:r>
          <w:fldChar w:fldCharType="end"/>
        </w:r>
      </w:hyperlink>
    </w:p>
    <w:p>
      <w:pPr>
        <w:tabs>
          <w:tab w:val="right" w:leader="dot" w:pos="9062"/>
        </w:tabs>
        <w:ind w:left="440"/>
      </w:pPr>
      <w:hyperlink w:anchor="_Toc8440" w:history="1">
        <w:r>
          <w:rPr>
            <w:rFonts w:ascii="IRNazanin" w:hAnsi="IRNazanin" w:eastAsia="IRNazanin" w:cs="IRNazanin"/>
            <w:color w:val="111111"/>
            <w:sz w:val="22"/>
            <w:szCs w:val="22"/>
            <w:b w:val="0"/>
            <w:bCs w:val="0"/>
            <w:i w:val="0"/>
            <w:iCs w:val="0"/>
          </w:rPr>
          <w:t>دیوان میر سر برهنه‏</w:t>
        </w:r>
        <w:r>
          <w:tab/>
        </w:r>
        <w:r>
          <w:fldChar w:fldCharType="begin"/>
        </w:r>
        <w:r>
          <w:instrText xml:space="preserve">PAGEREF 8440 \h</w:instrText>
        </w:r>
        <w:r>
          <w:fldChar w:fldCharType="end"/>
        </w:r>
      </w:hyperlink>
    </w:p>
    <w:p>
      <w:pPr>
        <w:tabs>
          <w:tab w:val="right" w:leader="dot" w:pos="9062"/>
        </w:tabs>
        <w:ind w:left="440"/>
      </w:pPr>
      <w:hyperlink w:anchor="_Toc8441" w:history="1">
        <w:r>
          <w:rPr>
            <w:rFonts w:ascii="IRNazanin" w:hAnsi="IRNazanin" w:eastAsia="IRNazanin" w:cs="IRNazanin"/>
            <w:color w:val="111111"/>
            <w:sz w:val="22"/>
            <w:szCs w:val="22"/>
            <w:b w:val="0"/>
            <w:bCs w:val="0"/>
            <w:i w:val="0"/>
            <w:iCs w:val="0"/>
          </w:rPr>
          <w:t>7348- دیوان میر سیستانی أو شعره‏</w:t>
        </w:r>
        <w:r>
          <w:tab/>
        </w:r>
        <w:r>
          <w:fldChar w:fldCharType="begin"/>
        </w:r>
        <w:r>
          <w:instrText xml:space="preserve">PAGEREF 8441 \h</w:instrText>
        </w:r>
        <w:r>
          <w:fldChar w:fldCharType="end"/>
        </w:r>
      </w:hyperlink>
    </w:p>
    <w:p>
      <w:pPr>
        <w:tabs>
          <w:tab w:val="right" w:leader="dot" w:pos="9062"/>
        </w:tabs>
        <w:ind w:left="440"/>
      </w:pPr>
      <w:hyperlink w:anchor="_Toc8442" w:history="1">
        <w:r>
          <w:rPr>
            <w:rFonts w:ascii="IRNazanin" w:hAnsi="IRNazanin" w:eastAsia="IRNazanin" w:cs="IRNazanin"/>
            <w:color w:val="111111"/>
            <w:sz w:val="22"/>
            <w:szCs w:val="22"/>
            <w:b w:val="0"/>
            <w:bCs w:val="0"/>
            <w:i w:val="0"/>
            <w:iCs w:val="0"/>
          </w:rPr>
          <w:t>دیوان میر شاهی‏</w:t>
        </w:r>
        <w:r>
          <w:tab/>
        </w:r>
        <w:r>
          <w:fldChar w:fldCharType="begin"/>
        </w:r>
        <w:r>
          <w:instrText xml:space="preserve">PAGEREF 8442 \h</w:instrText>
        </w:r>
        <w:r>
          <w:fldChar w:fldCharType="end"/>
        </w:r>
      </w:hyperlink>
    </w:p>
    <w:p>
      <w:pPr>
        <w:tabs>
          <w:tab w:val="right" w:leader="dot" w:pos="9062"/>
        </w:tabs>
        <w:ind w:left="440"/>
      </w:pPr>
      <w:hyperlink w:anchor="_Toc8443" w:history="1">
        <w:r>
          <w:rPr>
            <w:rFonts w:ascii="IRNazanin" w:hAnsi="IRNazanin" w:eastAsia="IRNazanin" w:cs="IRNazanin"/>
            <w:color w:val="111111"/>
            <w:sz w:val="22"/>
            <w:szCs w:val="22"/>
            <w:b w:val="0"/>
            <w:bCs w:val="0"/>
            <w:i w:val="0"/>
            <w:iCs w:val="0"/>
          </w:rPr>
          <w:t>دیوان المیر علی أبو طبیخ‏</w:t>
        </w:r>
        <w:r>
          <w:tab/>
        </w:r>
        <w:r>
          <w:fldChar w:fldCharType="begin"/>
        </w:r>
        <w:r>
          <w:instrText xml:space="preserve">PAGEREF 8443 \h</w:instrText>
        </w:r>
        <w:r>
          <w:fldChar w:fldCharType="end"/>
        </w:r>
      </w:hyperlink>
    </w:p>
    <w:p>
      <w:pPr>
        <w:tabs>
          <w:tab w:val="right" w:leader="dot" w:pos="9062"/>
        </w:tabs>
        <w:ind w:left="440"/>
      </w:pPr>
      <w:hyperlink w:anchor="_Toc8444" w:history="1">
        <w:r>
          <w:rPr>
            <w:rFonts w:ascii="IRNazanin" w:hAnsi="IRNazanin" w:eastAsia="IRNazanin" w:cs="IRNazanin"/>
            <w:color w:val="111111"/>
            <w:sz w:val="22"/>
            <w:szCs w:val="22"/>
            <w:b w:val="0"/>
            <w:bCs w:val="0"/>
            <w:i w:val="0"/>
            <w:iCs w:val="0"/>
          </w:rPr>
          <w:t>دیوان میر علی هروی‏</w:t>
        </w:r>
        <w:r>
          <w:tab/>
        </w:r>
        <w:r>
          <w:fldChar w:fldCharType="begin"/>
        </w:r>
        <w:r>
          <w:instrText xml:space="preserve">PAGEREF 8444 \h</w:instrText>
        </w:r>
        <w:r>
          <w:fldChar w:fldCharType="end"/>
        </w:r>
      </w:hyperlink>
    </w:p>
    <w:p>
      <w:pPr>
        <w:tabs>
          <w:tab w:val="right" w:leader="dot" w:pos="9062"/>
        </w:tabs>
        <w:ind w:left="440"/>
      </w:pPr>
      <w:hyperlink w:anchor="_Toc8445" w:history="1">
        <w:r>
          <w:rPr>
            <w:rFonts w:ascii="IRNazanin" w:hAnsi="IRNazanin" w:eastAsia="IRNazanin" w:cs="IRNazanin"/>
            <w:color w:val="111111"/>
            <w:sz w:val="22"/>
            <w:szCs w:val="22"/>
            <w:b w:val="0"/>
            <w:bCs w:val="0"/>
            <w:i w:val="0"/>
            <w:iCs w:val="0"/>
          </w:rPr>
          <w:t>7349- دیوان میرک أصفهانی أو شعره‏</w:t>
        </w:r>
        <w:r>
          <w:tab/>
        </w:r>
        <w:r>
          <w:fldChar w:fldCharType="begin"/>
        </w:r>
        <w:r>
          <w:instrText xml:space="preserve">PAGEREF 8445 \h</w:instrText>
        </w:r>
        <w:r>
          <w:fldChar w:fldCharType="end"/>
        </w:r>
      </w:hyperlink>
    </w:p>
    <w:p>
      <w:pPr>
        <w:tabs>
          <w:tab w:val="right" w:leader="dot" w:pos="9062"/>
        </w:tabs>
        <w:ind w:left="440"/>
      </w:pPr>
      <w:hyperlink w:anchor="_Toc8446" w:history="1">
        <w:r>
          <w:rPr>
            <w:rFonts w:ascii="IRNazanin" w:hAnsi="IRNazanin" w:eastAsia="IRNazanin" w:cs="IRNazanin"/>
            <w:color w:val="111111"/>
            <w:sz w:val="22"/>
            <w:szCs w:val="22"/>
            <w:b w:val="0"/>
            <w:bCs w:val="0"/>
            <w:i w:val="0"/>
            <w:iCs w:val="0"/>
          </w:rPr>
          <w:t>7350- دیوان میرک بخارائی أو شعره‏</w:t>
        </w:r>
        <w:r>
          <w:tab/>
        </w:r>
        <w:r>
          <w:fldChar w:fldCharType="begin"/>
        </w:r>
        <w:r>
          <w:instrText xml:space="preserve">PAGEREF 8446 \h</w:instrText>
        </w:r>
        <w:r>
          <w:fldChar w:fldCharType="end"/>
        </w:r>
      </w:hyperlink>
    </w:p>
    <w:p>
      <w:pPr>
        <w:tabs>
          <w:tab w:val="right" w:leader="dot" w:pos="9062"/>
        </w:tabs>
        <w:ind w:left="440"/>
      </w:pPr>
      <w:hyperlink w:anchor="_Toc8447" w:history="1">
        <w:r>
          <w:rPr>
            <w:rFonts w:ascii="IRNazanin" w:hAnsi="IRNazanin" w:eastAsia="IRNazanin" w:cs="IRNazanin"/>
            <w:color w:val="111111"/>
            <w:sz w:val="22"/>
            <w:szCs w:val="22"/>
            <w:b w:val="0"/>
            <w:bCs w:val="0"/>
            <w:i w:val="0"/>
            <w:iCs w:val="0"/>
          </w:rPr>
          <w:t>دیوان میرک بخارائی‏</w:t>
        </w:r>
        <w:r>
          <w:tab/>
        </w:r>
        <w:r>
          <w:fldChar w:fldCharType="begin"/>
        </w:r>
        <w:r>
          <w:instrText xml:space="preserve">PAGEREF 8447 \h</w:instrText>
        </w:r>
        <w:r>
          <w:fldChar w:fldCharType="end"/>
        </w:r>
      </w:hyperlink>
    </w:p>
    <w:p>
      <w:pPr>
        <w:tabs>
          <w:tab w:val="right" w:leader="dot" w:pos="9062"/>
        </w:tabs>
        <w:ind w:left="440"/>
      </w:pPr>
      <w:hyperlink w:anchor="_Toc8448" w:history="1">
        <w:r>
          <w:rPr>
            <w:rFonts w:ascii="IRNazanin" w:hAnsi="IRNazanin" w:eastAsia="IRNazanin" w:cs="IRNazanin"/>
            <w:color w:val="111111"/>
            <w:sz w:val="22"/>
            <w:szCs w:val="22"/>
            <w:b w:val="0"/>
            <w:bCs w:val="0"/>
            <w:i w:val="0"/>
            <w:iCs w:val="0"/>
          </w:rPr>
          <w:t>دیوان میرک بلخی‏</w:t>
        </w:r>
        <w:r>
          <w:tab/>
        </w:r>
        <w:r>
          <w:fldChar w:fldCharType="begin"/>
        </w:r>
        <w:r>
          <w:instrText xml:space="preserve">PAGEREF 8448 \h</w:instrText>
        </w:r>
        <w:r>
          <w:fldChar w:fldCharType="end"/>
        </w:r>
      </w:hyperlink>
    </w:p>
    <w:p>
      <w:pPr>
        <w:tabs>
          <w:tab w:val="right" w:leader="dot" w:pos="9062"/>
        </w:tabs>
        <w:ind w:left="440"/>
      </w:pPr>
      <w:hyperlink w:anchor="_Toc8449" w:history="1">
        <w:r>
          <w:rPr>
            <w:rFonts w:ascii="IRNazanin" w:hAnsi="IRNazanin" w:eastAsia="IRNazanin" w:cs="IRNazanin"/>
            <w:color w:val="111111"/>
            <w:sz w:val="22"/>
            <w:szCs w:val="22"/>
            <w:b w:val="0"/>
            <w:bCs w:val="0"/>
            <w:i w:val="0"/>
            <w:iCs w:val="0"/>
          </w:rPr>
          <w:t>7351- دیوان میرک خراسانی أو شعره‏</w:t>
        </w:r>
        <w:r>
          <w:tab/>
        </w:r>
        <w:r>
          <w:fldChar w:fldCharType="begin"/>
        </w:r>
        <w:r>
          <w:instrText xml:space="preserve">PAGEREF 8449 \h</w:instrText>
        </w:r>
        <w:r>
          <w:fldChar w:fldCharType="end"/>
        </w:r>
      </w:hyperlink>
    </w:p>
    <w:p>
      <w:pPr>
        <w:tabs>
          <w:tab w:val="right" w:leader="dot" w:pos="9062"/>
        </w:tabs>
        <w:ind w:left="440"/>
      </w:pPr>
      <w:hyperlink w:anchor="_Toc8450" w:history="1">
        <w:r>
          <w:rPr>
            <w:rFonts w:ascii="IRNazanin" w:hAnsi="IRNazanin" w:eastAsia="IRNazanin" w:cs="IRNazanin"/>
            <w:color w:val="111111"/>
            <w:sz w:val="22"/>
            <w:szCs w:val="22"/>
            <w:b w:val="0"/>
            <w:bCs w:val="0"/>
            <w:i w:val="0"/>
            <w:iCs w:val="0"/>
          </w:rPr>
          <w:t>7352- دیوان میر کرمانی‏</w:t>
        </w:r>
        <w:r>
          <w:tab/>
        </w:r>
        <w:r>
          <w:fldChar w:fldCharType="begin"/>
        </w:r>
        <w:r>
          <w:instrText xml:space="preserve">PAGEREF 8450 \h</w:instrText>
        </w:r>
        <w:r>
          <w:fldChar w:fldCharType="end"/>
        </w:r>
      </w:hyperlink>
    </w:p>
    <w:p>
      <w:pPr>
        <w:tabs>
          <w:tab w:val="right" w:leader="dot" w:pos="9062"/>
        </w:tabs>
        <w:ind w:left="440"/>
      </w:pPr>
      <w:hyperlink w:anchor="_Toc8451" w:history="1">
        <w:r>
          <w:rPr>
            <w:rFonts w:ascii="IRNazanin" w:hAnsi="IRNazanin" w:eastAsia="IRNazanin" w:cs="IRNazanin"/>
            <w:color w:val="111111"/>
            <w:sz w:val="22"/>
            <w:szCs w:val="22"/>
            <w:b w:val="0"/>
            <w:bCs w:val="0"/>
            <w:i w:val="0"/>
            <w:iCs w:val="0"/>
          </w:rPr>
          <w:t>7353- دیوان میرک خورد أو شعره‏</w:t>
        </w:r>
        <w:r>
          <w:tab/>
        </w:r>
        <w:r>
          <w:fldChar w:fldCharType="begin"/>
        </w:r>
        <w:r>
          <w:instrText xml:space="preserve">PAGEREF 8451 \h</w:instrText>
        </w:r>
        <w:r>
          <w:fldChar w:fldCharType="end"/>
        </w:r>
      </w:hyperlink>
    </w:p>
    <w:p>
      <w:pPr>
        <w:tabs>
          <w:tab w:val="right" w:leader="dot" w:pos="9062"/>
        </w:tabs>
        <w:ind w:left="440"/>
      </w:pPr>
      <w:hyperlink w:anchor="_Toc8452" w:history="1">
        <w:r>
          <w:rPr>
            <w:rFonts w:ascii="IRNazanin" w:hAnsi="IRNazanin" w:eastAsia="IRNazanin" w:cs="IRNazanin"/>
            <w:color w:val="111111"/>
            <w:sz w:val="22"/>
            <w:szCs w:val="22"/>
            <w:b w:val="0"/>
            <w:bCs w:val="0"/>
            <w:i w:val="0"/>
            <w:iCs w:val="0"/>
          </w:rPr>
          <w:t>7354- دیوان میرک ساوجی أو شعره‏</w:t>
        </w:r>
        <w:r>
          <w:tab/>
        </w:r>
        <w:r>
          <w:fldChar w:fldCharType="begin"/>
        </w:r>
        <w:r>
          <w:instrText xml:space="preserve">PAGEREF 8452 \h</w:instrText>
        </w:r>
        <w:r>
          <w:fldChar w:fldCharType="end"/>
        </w:r>
      </w:hyperlink>
    </w:p>
    <w:p>
      <w:pPr>
        <w:tabs>
          <w:tab w:val="right" w:leader="dot" w:pos="9062"/>
        </w:tabs>
        <w:ind w:left="440"/>
      </w:pPr>
      <w:hyperlink w:anchor="_Toc8453" w:history="1">
        <w:r>
          <w:rPr>
            <w:rFonts w:ascii="IRNazanin" w:hAnsi="IRNazanin" w:eastAsia="IRNazanin" w:cs="IRNazanin"/>
            <w:color w:val="111111"/>
            <w:sz w:val="22"/>
            <w:szCs w:val="22"/>
            <w:b w:val="0"/>
            <w:bCs w:val="0"/>
            <w:i w:val="0"/>
            <w:iCs w:val="0"/>
          </w:rPr>
          <w:t>7355- دیوان میرک سبزواری أو شعره‏</w:t>
        </w:r>
        <w:r>
          <w:tab/>
        </w:r>
        <w:r>
          <w:fldChar w:fldCharType="begin"/>
        </w:r>
        <w:r>
          <w:instrText xml:space="preserve">PAGEREF 8453 \h</w:instrText>
        </w:r>
        <w:r>
          <w:fldChar w:fldCharType="end"/>
        </w:r>
      </w:hyperlink>
    </w:p>
    <w:p>
      <w:pPr>
        <w:tabs>
          <w:tab w:val="right" w:leader="dot" w:pos="9062"/>
        </w:tabs>
        <w:ind w:left="440"/>
      </w:pPr>
      <w:hyperlink w:anchor="_Toc8454" w:history="1">
        <w:r>
          <w:rPr>
            <w:rFonts w:ascii="IRNazanin" w:hAnsi="IRNazanin" w:eastAsia="IRNazanin" w:cs="IRNazanin"/>
            <w:color w:val="111111"/>
            <w:sz w:val="22"/>
            <w:szCs w:val="22"/>
            <w:b w:val="0"/>
            <w:bCs w:val="0"/>
            <w:i w:val="0"/>
            <w:iCs w:val="0"/>
          </w:rPr>
          <w:t>7356- دیوان میرک شیرازی‏</w:t>
        </w:r>
        <w:r>
          <w:tab/>
        </w:r>
        <w:r>
          <w:fldChar w:fldCharType="begin"/>
        </w:r>
        <w:r>
          <w:instrText xml:space="preserve">PAGEREF 8454 \h</w:instrText>
        </w:r>
        <w:r>
          <w:fldChar w:fldCharType="end"/>
        </w:r>
      </w:hyperlink>
    </w:p>
    <w:p>
      <w:pPr>
        <w:tabs>
          <w:tab w:val="right" w:leader="dot" w:pos="9062"/>
        </w:tabs>
        <w:ind w:left="440"/>
      </w:pPr>
      <w:hyperlink w:anchor="_Toc8455" w:history="1">
        <w:r>
          <w:rPr>
            <w:rFonts w:ascii="IRNazanin" w:hAnsi="IRNazanin" w:eastAsia="IRNazanin" w:cs="IRNazanin"/>
            <w:color w:val="111111"/>
            <w:sz w:val="22"/>
            <w:szCs w:val="22"/>
            <w:b w:val="0"/>
            <w:bCs w:val="0"/>
            <w:i w:val="0"/>
            <w:iCs w:val="0"/>
          </w:rPr>
          <w:t>7357- دیوان میرک قزوینی أو شعره‏</w:t>
        </w:r>
        <w:r>
          <w:tab/>
        </w:r>
        <w:r>
          <w:fldChar w:fldCharType="begin"/>
        </w:r>
        <w:r>
          <w:instrText xml:space="preserve">PAGEREF 8455 \h</w:instrText>
        </w:r>
        <w:r>
          <w:fldChar w:fldCharType="end"/>
        </w:r>
      </w:hyperlink>
    </w:p>
    <w:p>
      <w:pPr>
        <w:tabs>
          <w:tab w:val="right" w:leader="dot" w:pos="9062"/>
        </w:tabs>
        <w:ind w:left="440"/>
      </w:pPr>
      <w:hyperlink w:anchor="_Toc8456" w:history="1">
        <w:r>
          <w:rPr>
            <w:rFonts w:ascii="IRNazanin" w:hAnsi="IRNazanin" w:eastAsia="IRNazanin" w:cs="IRNazanin"/>
            <w:color w:val="111111"/>
            <w:sz w:val="22"/>
            <w:szCs w:val="22"/>
            <w:b w:val="0"/>
            <w:bCs w:val="0"/>
            <w:i w:val="0"/>
            <w:iCs w:val="0"/>
          </w:rPr>
          <w:t>دیوان میرک هروی‏</w:t>
        </w:r>
        <w:r>
          <w:tab/>
        </w:r>
        <w:r>
          <w:fldChar w:fldCharType="begin"/>
        </w:r>
        <w:r>
          <w:instrText xml:space="preserve">PAGEREF 8456 \h</w:instrText>
        </w:r>
        <w:r>
          <w:fldChar w:fldCharType="end"/>
        </w:r>
      </w:hyperlink>
    </w:p>
    <w:p>
      <w:pPr>
        <w:tabs>
          <w:tab w:val="right" w:leader="dot" w:pos="9062"/>
        </w:tabs>
        <w:ind w:left="440"/>
      </w:pPr>
      <w:hyperlink w:anchor="_Toc8457" w:history="1">
        <w:r>
          <w:rPr>
            <w:rFonts w:ascii="IRNazanin" w:hAnsi="IRNazanin" w:eastAsia="IRNazanin" w:cs="IRNazanin"/>
            <w:color w:val="111111"/>
            <w:sz w:val="22"/>
            <w:szCs w:val="22"/>
            <w:b w:val="0"/>
            <w:bCs w:val="0"/>
            <w:i w:val="0"/>
            <w:iCs w:val="0"/>
          </w:rPr>
          <w:t>7358- دیوان میرک هروی أو شعره‏</w:t>
        </w:r>
        <w:r>
          <w:tab/>
        </w:r>
        <w:r>
          <w:fldChar w:fldCharType="begin"/>
        </w:r>
        <w:r>
          <w:instrText xml:space="preserve">PAGEREF 8457 \h</w:instrText>
        </w:r>
        <w:r>
          <w:fldChar w:fldCharType="end"/>
        </w:r>
      </w:hyperlink>
    </w:p>
    <w:p>
      <w:pPr>
        <w:tabs>
          <w:tab w:val="right" w:leader="dot" w:pos="9062"/>
        </w:tabs>
        <w:ind w:left="440"/>
      </w:pPr>
      <w:hyperlink w:anchor="_Toc8458" w:history="1">
        <w:r>
          <w:rPr>
            <w:rFonts w:ascii="IRNazanin" w:hAnsi="IRNazanin" w:eastAsia="IRNazanin" w:cs="IRNazanin"/>
            <w:color w:val="111111"/>
            <w:sz w:val="22"/>
            <w:szCs w:val="22"/>
            <w:b w:val="0"/>
            <w:bCs w:val="0"/>
            <w:i w:val="0"/>
            <w:iCs w:val="0"/>
          </w:rPr>
          <w:t>7359- دیوان میرک هندی أو شعره‏</w:t>
        </w:r>
        <w:r>
          <w:tab/>
        </w:r>
        <w:r>
          <w:fldChar w:fldCharType="begin"/>
        </w:r>
        <w:r>
          <w:instrText xml:space="preserve">PAGEREF 8458 \h</w:instrText>
        </w:r>
        <w:r>
          <w:fldChar w:fldCharType="end"/>
        </w:r>
      </w:hyperlink>
    </w:p>
    <w:p>
      <w:pPr>
        <w:tabs>
          <w:tab w:val="right" w:leader="dot" w:pos="9062"/>
        </w:tabs>
        <w:ind w:left="440"/>
      </w:pPr>
      <w:hyperlink w:anchor="_Toc8459" w:history="1">
        <w:r>
          <w:rPr>
            <w:rFonts w:ascii="IRNazanin" w:hAnsi="IRNazanin" w:eastAsia="IRNazanin" w:cs="IRNazanin"/>
            <w:color w:val="111111"/>
            <w:sz w:val="22"/>
            <w:szCs w:val="22"/>
            <w:b w:val="0"/>
            <w:bCs w:val="0"/>
            <w:i w:val="0"/>
            <w:iCs w:val="0"/>
          </w:rPr>
          <w:t>7360- دیوان میر ما وراء النهری أو شعره‏</w:t>
        </w:r>
        <w:r>
          <w:tab/>
        </w:r>
        <w:r>
          <w:fldChar w:fldCharType="begin"/>
        </w:r>
        <w:r>
          <w:instrText xml:space="preserve">PAGEREF 8459 \h</w:instrText>
        </w:r>
        <w:r>
          <w:fldChar w:fldCharType="end"/>
        </w:r>
      </w:hyperlink>
    </w:p>
    <w:p>
      <w:pPr>
        <w:tabs>
          <w:tab w:val="right" w:leader="dot" w:pos="9062"/>
        </w:tabs>
        <w:ind w:left="440"/>
      </w:pPr>
      <w:hyperlink w:anchor="_Toc8460" w:history="1">
        <w:r>
          <w:rPr>
            <w:rFonts w:ascii="IRNazanin" w:hAnsi="IRNazanin" w:eastAsia="IRNazanin" w:cs="IRNazanin"/>
            <w:color w:val="111111"/>
            <w:sz w:val="22"/>
            <w:szCs w:val="22"/>
            <w:b w:val="0"/>
            <w:bCs w:val="0"/>
            <w:i w:val="0"/>
            <w:iCs w:val="0"/>
          </w:rPr>
          <w:t>دیوان میرم تویسرکانی‏</w:t>
        </w:r>
        <w:r>
          <w:tab/>
        </w:r>
        <w:r>
          <w:fldChar w:fldCharType="begin"/>
        </w:r>
        <w:r>
          <w:instrText xml:space="preserve">PAGEREF 8460 \h</w:instrText>
        </w:r>
        <w:r>
          <w:fldChar w:fldCharType="end"/>
        </w:r>
      </w:hyperlink>
    </w:p>
    <w:p>
      <w:pPr>
        <w:tabs>
          <w:tab w:val="right" w:leader="dot" w:pos="9062"/>
        </w:tabs>
        <w:ind w:left="440"/>
      </w:pPr>
      <w:hyperlink w:anchor="_Toc8461" w:history="1">
        <w:r>
          <w:rPr>
            <w:rFonts w:ascii="IRNazanin" w:hAnsi="IRNazanin" w:eastAsia="IRNazanin" w:cs="IRNazanin"/>
            <w:color w:val="111111"/>
            <w:sz w:val="22"/>
            <w:szCs w:val="22"/>
            <w:b w:val="0"/>
            <w:bCs w:val="0"/>
            <w:i w:val="0"/>
            <w:iCs w:val="0"/>
          </w:rPr>
          <w:t>7361- دیوان میرم غوری أو شعره‏</w:t>
        </w:r>
        <w:r>
          <w:tab/>
        </w:r>
        <w:r>
          <w:fldChar w:fldCharType="begin"/>
        </w:r>
        <w:r>
          <w:instrText xml:space="preserve">PAGEREF 8461 \h</w:instrText>
        </w:r>
        <w:r>
          <w:fldChar w:fldCharType="end"/>
        </w:r>
      </w:hyperlink>
    </w:p>
    <w:p>
      <w:pPr>
        <w:tabs>
          <w:tab w:val="right" w:leader="dot" w:pos="9062"/>
        </w:tabs>
        <w:ind w:left="440"/>
      </w:pPr>
      <w:hyperlink w:anchor="_Toc8462" w:history="1">
        <w:r>
          <w:rPr>
            <w:rFonts w:ascii="IRNazanin" w:hAnsi="IRNazanin" w:eastAsia="IRNazanin" w:cs="IRNazanin"/>
            <w:color w:val="111111"/>
            <w:sz w:val="22"/>
            <w:szCs w:val="22"/>
            <w:b w:val="0"/>
            <w:bCs w:val="0"/>
            <w:i w:val="0"/>
            <w:iCs w:val="0"/>
          </w:rPr>
          <w:t>7362- دیوان میرم هروی‏</w:t>
        </w:r>
        <w:r>
          <w:tab/>
        </w:r>
        <w:r>
          <w:fldChar w:fldCharType="begin"/>
        </w:r>
        <w:r>
          <w:instrText xml:space="preserve">PAGEREF 8462 \h</w:instrText>
        </w:r>
        <w:r>
          <w:fldChar w:fldCharType="end"/>
        </w:r>
      </w:hyperlink>
    </w:p>
    <w:p>
      <w:pPr>
        <w:tabs>
          <w:tab w:val="right" w:leader="dot" w:pos="9062"/>
        </w:tabs>
        <w:ind w:left="440"/>
      </w:pPr>
      <w:hyperlink w:anchor="_Toc8463" w:history="1">
        <w:r>
          <w:rPr>
            <w:rFonts w:ascii="IRNazanin" w:hAnsi="IRNazanin" w:eastAsia="IRNazanin" w:cs="IRNazanin"/>
            <w:color w:val="111111"/>
            <w:sz w:val="22"/>
            <w:szCs w:val="22"/>
            <w:b w:val="0"/>
            <w:bCs w:val="0"/>
            <w:i w:val="0"/>
            <w:iCs w:val="0"/>
          </w:rPr>
          <w:t>7363- دیوان میر میران قزوینی أو شعره‏</w:t>
        </w:r>
        <w:r>
          <w:tab/>
        </w:r>
        <w:r>
          <w:fldChar w:fldCharType="begin"/>
        </w:r>
        <w:r>
          <w:instrText xml:space="preserve">PAGEREF 8463 \h</w:instrText>
        </w:r>
        <w:r>
          <w:fldChar w:fldCharType="end"/>
        </w:r>
      </w:hyperlink>
    </w:p>
    <w:p>
      <w:pPr>
        <w:tabs>
          <w:tab w:val="right" w:leader="dot" w:pos="9062"/>
        </w:tabs>
        <w:ind w:left="440"/>
      </w:pPr>
      <w:hyperlink w:anchor="_Toc8464" w:history="1">
        <w:r>
          <w:rPr>
            <w:rFonts w:ascii="IRNazanin" w:hAnsi="IRNazanin" w:eastAsia="IRNazanin" w:cs="IRNazanin"/>
            <w:color w:val="111111"/>
            <w:sz w:val="22"/>
            <w:szCs w:val="22"/>
            <w:b w:val="0"/>
            <w:bCs w:val="0"/>
            <w:i w:val="0"/>
            <w:iCs w:val="0"/>
          </w:rPr>
          <w:t>7364- دیوان میر هادی‏</w:t>
        </w:r>
        <w:r>
          <w:tab/>
        </w:r>
        <w:r>
          <w:fldChar w:fldCharType="begin"/>
        </w:r>
        <w:r>
          <w:instrText xml:space="preserve">PAGEREF 8464 \h</w:instrText>
        </w:r>
        <w:r>
          <w:fldChar w:fldCharType="end"/>
        </w:r>
      </w:hyperlink>
    </w:p>
    <w:p>
      <w:pPr>
        <w:tabs>
          <w:tab w:val="right" w:leader="dot" w:pos="9062"/>
        </w:tabs>
        <w:ind w:left="440"/>
      </w:pPr>
      <w:hyperlink w:anchor="_Toc8465" w:history="1">
        <w:r>
          <w:rPr>
            <w:rFonts w:ascii="IRNazanin" w:hAnsi="IRNazanin" w:eastAsia="IRNazanin" w:cs="IRNazanin"/>
            <w:color w:val="111111"/>
            <w:sz w:val="22"/>
            <w:szCs w:val="22"/>
            <w:b w:val="0"/>
            <w:bCs w:val="0"/>
            <w:i w:val="0"/>
            <w:iCs w:val="0"/>
          </w:rPr>
          <w:t>7365- دیوان میکده‏</w:t>
        </w:r>
        <w:r>
          <w:tab/>
        </w:r>
        <w:r>
          <w:fldChar w:fldCharType="begin"/>
        </w:r>
        <w:r>
          <w:instrText xml:space="preserve">PAGEREF 8465 \h</w:instrText>
        </w:r>
        <w:r>
          <w:fldChar w:fldCharType="end"/>
        </w:r>
      </w:hyperlink>
    </w:p>
    <w:p>
      <w:pPr>
        <w:tabs>
          <w:tab w:val="right" w:leader="dot" w:pos="9062"/>
        </w:tabs>
        <w:ind w:left="440"/>
      </w:pPr>
      <w:hyperlink w:anchor="_Toc8466" w:history="1">
        <w:r>
          <w:rPr>
            <w:rFonts w:ascii="IRNazanin" w:hAnsi="IRNazanin" w:eastAsia="IRNazanin" w:cs="IRNazanin"/>
            <w:color w:val="111111"/>
            <w:sz w:val="22"/>
            <w:szCs w:val="22"/>
            <w:b w:val="0"/>
            <w:bCs w:val="0"/>
            <w:i w:val="0"/>
            <w:iCs w:val="0"/>
          </w:rPr>
          <w:t>7366- دیوان میکش دهلوی أو شعره‏</w:t>
        </w:r>
        <w:r>
          <w:tab/>
        </w:r>
        <w:r>
          <w:fldChar w:fldCharType="begin"/>
        </w:r>
        <w:r>
          <w:instrText xml:space="preserve">PAGEREF 8466 \h</w:instrText>
        </w:r>
        <w:r>
          <w:fldChar w:fldCharType="end"/>
        </w:r>
      </w:hyperlink>
    </w:p>
    <w:p>
      <w:pPr>
        <w:tabs>
          <w:tab w:val="right" w:leader="dot" w:pos="9062"/>
        </w:tabs>
        <w:ind w:left="440"/>
      </w:pPr>
      <w:hyperlink w:anchor="_Toc8467" w:history="1">
        <w:r>
          <w:rPr>
            <w:rFonts w:ascii="IRNazanin" w:hAnsi="IRNazanin" w:eastAsia="IRNazanin" w:cs="IRNazanin"/>
            <w:color w:val="111111"/>
            <w:sz w:val="22"/>
            <w:szCs w:val="22"/>
            <w:b w:val="0"/>
            <w:bCs w:val="0"/>
            <w:i w:val="0"/>
            <w:iCs w:val="0"/>
          </w:rPr>
          <w:t>7367- دیوان میلانی‏</w:t>
        </w:r>
        <w:r>
          <w:tab/>
        </w:r>
        <w:r>
          <w:fldChar w:fldCharType="begin"/>
        </w:r>
        <w:r>
          <w:instrText xml:space="preserve">PAGEREF 8467 \h</w:instrText>
        </w:r>
        <w:r>
          <w:fldChar w:fldCharType="end"/>
        </w:r>
      </w:hyperlink>
    </w:p>
    <w:p>
      <w:pPr>
        <w:tabs>
          <w:tab w:val="right" w:leader="dot" w:pos="9062"/>
        </w:tabs>
        <w:ind w:left="440"/>
      </w:pPr>
      <w:hyperlink w:anchor="_Toc8468" w:history="1">
        <w:r>
          <w:rPr>
            <w:rFonts w:ascii="IRNazanin" w:hAnsi="IRNazanin" w:eastAsia="IRNazanin" w:cs="IRNazanin"/>
            <w:color w:val="111111"/>
            <w:sz w:val="22"/>
            <w:szCs w:val="22"/>
            <w:b w:val="0"/>
            <w:bCs w:val="0"/>
            <w:i w:val="0"/>
            <w:iCs w:val="0"/>
          </w:rPr>
          <w:t>7368- دیوان میلی تبریزی أو شعره‏</w:t>
        </w:r>
        <w:r>
          <w:tab/>
        </w:r>
        <w:r>
          <w:fldChar w:fldCharType="begin"/>
        </w:r>
        <w:r>
          <w:instrText xml:space="preserve">PAGEREF 8468 \h</w:instrText>
        </w:r>
        <w:r>
          <w:fldChar w:fldCharType="end"/>
        </w:r>
      </w:hyperlink>
    </w:p>
    <w:p>
      <w:pPr>
        <w:tabs>
          <w:tab w:val="right" w:leader="dot" w:pos="9062"/>
        </w:tabs>
        <w:ind w:left="440"/>
      </w:pPr>
      <w:hyperlink w:anchor="_Toc8469" w:history="1">
        <w:r>
          <w:rPr>
            <w:rFonts w:ascii="IRNazanin" w:hAnsi="IRNazanin" w:eastAsia="IRNazanin" w:cs="IRNazanin"/>
            <w:color w:val="111111"/>
            <w:sz w:val="22"/>
            <w:szCs w:val="22"/>
            <w:b w:val="0"/>
            <w:bCs w:val="0"/>
            <w:i w:val="0"/>
            <w:iCs w:val="0"/>
          </w:rPr>
          <w:t>7369- دیوان میلی حصاری أو شعره‏</w:t>
        </w:r>
        <w:r>
          <w:tab/>
        </w:r>
        <w:r>
          <w:fldChar w:fldCharType="begin"/>
        </w:r>
        <w:r>
          <w:instrText xml:space="preserve">PAGEREF 8469 \h</w:instrText>
        </w:r>
        <w:r>
          <w:fldChar w:fldCharType="end"/>
        </w:r>
      </w:hyperlink>
    </w:p>
    <w:p>
      <w:pPr>
        <w:tabs>
          <w:tab w:val="right" w:leader="dot" w:pos="9062"/>
        </w:tabs>
        <w:ind w:left="440"/>
      </w:pPr>
      <w:hyperlink w:anchor="_Toc8470" w:history="1">
        <w:r>
          <w:rPr>
            <w:rFonts w:ascii="IRNazanin" w:hAnsi="IRNazanin" w:eastAsia="IRNazanin" w:cs="IRNazanin"/>
            <w:color w:val="111111"/>
            <w:sz w:val="22"/>
            <w:szCs w:val="22"/>
            <w:b w:val="0"/>
            <w:bCs w:val="0"/>
            <w:i w:val="0"/>
            <w:iCs w:val="0"/>
          </w:rPr>
          <w:t>7370- دیوان میلی قزوینی أو شعره‏</w:t>
        </w:r>
        <w:r>
          <w:tab/>
        </w:r>
        <w:r>
          <w:fldChar w:fldCharType="begin"/>
        </w:r>
        <w:r>
          <w:instrText xml:space="preserve">PAGEREF 8470 \h</w:instrText>
        </w:r>
        <w:r>
          <w:fldChar w:fldCharType="end"/>
        </w:r>
      </w:hyperlink>
    </w:p>
    <w:p>
      <w:pPr>
        <w:tabs>
          <w:tab w:val="right" w:leader="dot" w:pos="9062"/>
        </w:tabs>
        <w:ind w:left="440"/>
      </w:pPr>
      <w:hyperlink w:anchor="_Toc8471" w:history="1">
        <w:r>
          <w:rPr>
            <w:rFonts w:ascii="IRNazanin" w:hAnsi="IRNazanin" w:eastAsia="IRNazanin" w:cs="IRNazanin"/>
            <w:color w:val="111111"/>
            <w:sz w:val="22"/>
            <w:szCs w:val="22"/>
            <w:b w:val="0"/>
            <w:bCs w:val="0"/>
            <w:i w:val="0"/>
            <w:iCs w:val="0"/>
          </w:rPr>
          <w:t>7371- دیوان میلی هروی‏</w:t>
        </w:r>
        <w:r>
          <w:tab/>
        </w:r>
        <w:r>
          <w:fldChar w:fldCharType="begin"/>
        </w:r>
        <w:r>
          <w:instrText xml:space="preserve">PAGEREF 8471 \h</w:instrText>
        </w:r>
        <w:r>
          <w:fldChar w:fldCharType="end"/>
        </w:r>
      </w:hyperlink>
    </w:p>
    <w:p>
      <w:pPr>
        <w:tabs>
          <w:tab w:val="right" w:leader="dot" w:pos="9062"/>
        </w:tabs>
        <w:ind w:left="440"/>
      </w:pPr>
      <w:hyperlink w:anchor="_Toc8472" w:history="1">
        <w:r>
          <w:rPr>
            <w:rFonts w:ascii="IRNazanin" w:hAnsi="IRNazanin" w:eastAsia="IRNazanin" w:cs="IRNazanin"/>
            <w:color w:val="111111"/>
            <w:sz w:val="22"/>
            <w:szCs w:val="22"/>
            <w:b w:val="0"/>
            <w:bCs w:val="0"/>
            <w:i w:val="0"/>
            <w:iCs w:val="0"/>
          </w:rPr>
          <w:t>7372- دیوان میمنت کشمیری أو شعره‏</w:t>
        </w:r>
        <w:r>
          <w:tab/>
        </w:r>
        <w:r>
          <w:fldChar w:fldCharType="begin"/>
        </w:r>
        <w:r>
          <w:instrText xml:space="preserve">PAGEREF 8472 \h</w:instrText>
        </w:r>
        <w:r>
          <w:fldChar w:fldCharType="end"/>
        </w:r>
      </w:hyperlink>
    </w:p>
    <w:p>
      <w:pPr>
        <w:tabs>
          <w:tab w:val="right" w:leader="dot" w:pos="9062"/>
        </w:tabs>
        <w:ind w:left="440"/>
      </w:pPr>
      <w:hyperlink w:anchor="_Toc8473" w:history="1">
        <w:r>
          <w:rPr>
            <w:rFonts w:ascii="IRNazanin" w:hAnsi="IRNazanin" w:eastAsia="IRNazanin" w:cs="IRNazanin"/>
            <w:color w:val="111111"/>
            <w:sz w:val="22"/>
            <w:szCs w:val="22"/>
            <w:b w:val="0"/>
            <w:bCs w:val="0"/>
            <w:i w:val="0"/>
            <w:iCs w:val="0"/>
          </w:rPr>
          <w:t>7373- دیوان مینای أفشار</w:t>
        </w:r>
        <w:r>
          <w:tab/>
        </w:r>
        <w:r>
          <w:fldChar w:fldCharType="begin"/>
        </w:r>
        <w:r>
          <w:instrText xml:space="preserve">PAGEREF 8473 \h</w:instrText>
        </w:r>
        <w:r>
          <w:fldChar w:fldCharType="end"/>
        </w:r>
      </w:hyperlink>
    </w:p>
    <w:p>
      <w:pPr>
        <w:tabs>
          <w:tab w:val="right" w:leader="dot" w:pos="9062"/>
        </w:tabs>
        <w:ind w:left="440"/>
      </w:pPr>
      <w:hyperlink w:anchor="_Toc8474" w:history="1">
        <w:r>
          <w:rPr>
            <w:rFonts w:ascii="IRNazanin" w:hAnsi="IRNazanin" w:eastAsia="IRNazanin" w:cs="IRNazanin"/>
            <w:color w:val="111111"/>
            <w:sz w:val="22"/>
            <w:szCs w:val="22"/>
            <w:b w:val="0"/>
            <w:bCs w:val="0"/>
            <w:i w:val="0"/>
            <w:iCs w:val="0"/>
          </w:rPr>
          <w:t>7374- دیوان مینای زند</w:t>
        </w:r>
        <w:r>
          <w:tab/>
        </w:r>
        <w:r>
          <w:fldChar w:fldCharType="begin"/>
        </w:r>
        <w:r>
          <w:instrText xml:space="preserve">PAGEREF 8474 \h</w:instrText>
        </w:r>
        <w:r>
          <w:fldChar w:fldCharType="end"/>
        </w:r>
      </w:hyperlink>
    </w:p>
    <w:p>
      <w:pPr>
        <w:tabs>
          <w:tab w:val="right" w:leader="dot" w:pos="9062"/>
        </w:tabs>
        <w:ind w:left="440"/>
      </w:pPr>
      <w:hyperlink w:anchor="_Toc8475" w:history="1">
        <w:r>
          <w:rPr>
            <w:rFonts w:ascii="IRNazanin" w:hAnsi="IRNazanin" w:eastAsia="IRNazanin" w:cs="IRNazanin"/>
            <w:color w:val="111111"/>
            <w:sz w:val="22"/>
            <w:szCs w:val="22"/>
            <w:b w:val="0"/>
            <w:bCs w:val="0"/>
            <w:i w:val="0"/>
            <w:iCs w:val="0"/>
          </w:rPr>
          <w:t>دیوان مینای نصرآبادی هندی‏</w:t>
        </w:r>
        <w:r>
          <w:tab/>
        </w:r>
        <w:r>
          <w:fldChar w:fldCharType="begin"/>
        </w:r>
        <w:r>
          <w:instrText xml:space="preserve">PAGEREF 8475 \h</w:instrText>
        </w:r>
        <w:r>
          <w:fldChar w:fldCharType="end"/>
        </w:r>
      </w:hyperlink>
    </w:p>
    <w:p>
      <w:pPr>
        <w:tabs>
          <w:tab w:val="right" w:leader="dot" w:pos="9062"/>
        </w:tabs>
        <w:ind w:left="440"/>
      </w:pPr>
      <w:hyperlink w:anchor="_Toc8476" w:history="1">
        <w:r>
          <w:rPr>
            <w:rFonts w:ascii="IRNazanin" w:hAnsi="IRNazanin" w:eastAsia="IRNazanin" w:cs="IRNazanin"/>
            <w:color w:val="111111"/>
            <w:sz w:val="22"/>
            <w:szCs w:val="22"/>
            <w:b w:val="0"/>
            <w:bCs w:val="0"/>
            <w:i w:val="0"/>
            <w:iCs w:val="0"/>
          </w:rPr>
          <w:t>7375- دیوان مینوی شیرازی أو شعره‏</w:t>
        </w:r>
        <w:r>
          <w:tab/>
        </w:r>
        <w:r>
          <w:fldChar w:fldCharType="begin"/>
        </w:r>
        <w:r>
          <w:instrText xml:space="preserve">PAGEREF 8476 \h</w:instrText>
        </w:r>
        <w:r>
          <w:fldChar w:fldCharType="end"/>
        </w:r>
      </w:hyperlink>
    </w:p>
    <w:p>
      <w:pPr>
        <w:tabs>
          <w:tab w:val="right" w:leader="dot" w:pos="9062"/>
        </w:tabs>
        <w:ind w:left="440"/>
      </w:pPr>
      <w:hyperlink w:anchor="_Toc8477" w:history="1">
        <w:r>
          <w:rPr>
            <w:rFonts w:ascii="IRNazanin" w:hAnsi="IRNazanin" w:eastAsia="IRNazanin" w:cs="IRNazanin"/>
            <w:color w:val="111111"/>
            <w:sz w:val="22"/>
            <w:szCs w:val="22"/>
            <w:b w:val="0"/>
            <w:bCs w:val="0"/>
            <w:i w:val="0"/>
            <w:iCs w:val="0"/>
          </w:rPr>
          <w:t>7376- دیوان مینوی همدانی أو شعره‏</w:t>
        </w:r>
        <w:r>
          <w:tab/>
        </w:r>
        <w:r>
          <w:fldChar w:fldCharType="begin"/>
        </w:r>
        <w:r>
          <w:instrText xml:space="preserve">PAGEREF 8477 \h</w:instrText>
        </w:r>
        <w:r>
          <w:fldChar w:fldCharType="end"/>
        </w:r>
      </w:hyperlink>
    </w:p>
    <w:p>
      <w:pPr>
        <w:tabs>
          <w:tab w:val="right" w:leader="dot" w:pos="9062"/>
        </w:tabs>
        <w:ind w:left="220"/>
      </w:pPr>
      <w:hyperlink w:anchor="_Toc8478" w:history="1">
        <w:r>
          <w:rPr>
            <w:rFonts w:ascii="IRNazanin" w:hAnsi="IRNazanin" w:eastAsia="IRNazanin" w:cs="IRNazanin"/>
            <w:color w:val="111111"/>
            <w:sz w:val="22"/>
            <w:szCs w:val="22"/>
            <w:b w:val="0"/>
            <w:bCs w:val="0"/>
            <w:i w:val="0"/>
            <w:iCs w:val="0"/>
          </w:rPr>
          <w:t>الجزء الرابع</w:t>
        </w:r>
        <w:r>
          <w:tab/>
        </w:r>
        <w:r>
          <w:fldChar w:fldCharType="begin"/>
        </w:r>
        <w:r>
          <w:instrText xml:space="preserve">PAGEREF 8478 \h</w:instrText>
        </w:r>
        <w:r>
          <w:fldChar w:fldCharType="end"/>
        </w:r>
      </w:hyperlink>
    </w:p>
    <w:p>
      <w:pPr>
        <w:tabs>
          <w:tab w:val="right" w:leader="dot" w:pos="9062"/>
        </w:tabs>
        <w:ind w:left="440"/>
      </w:pPr>
      <w:hyperlink w:anchor="_Toc8479" w:history="1">
        <w:r>
          <w:rPr>
            <w:rFonts w:ascii="IRNazanin" w:hAnsi="IRNazanin" w:eastAsia="IRNazanin" w:cs="IRNazanin"/>
            <w:color w:val="111111"/>
            <w:sz w:val="22"/>
            <w:szCs w:val="22"/>
            <w:b w:val="0"/>
            <w:bCs w:val="0"/>
            <w:i w:val="0"/>
            <w:iCs w:val="0"/>
          </w:rPr>
          <w:t>دیوان نائب‏</w:t>
        </w:r>
        <w:r>
          <w:tab/>
        </w:r>
        <w:r>
          <w:fldChar w:fldCharType="begin"/>
        </w:r>
        <w:r>
          <w:instrText xml:space="preserve">PAGEREF 8479 \h</w:instrText>
        </w:r>
        <w:r>
          <w:fldChar w:fldCharType="end"/>
        </w:r>
      </w:hyperlink>
    </w:p>
    <w:p>
      <w:pPr>
        <w:tabs>
          <w:tab w:val="right" w:leader="dot" w:pos="9062"/>
        </w:tabs>
        <w:ind w:left="440"/>
      </w:pPr>
      <w:hyperlink w:anchor="_Toc8480" w:history="1">
        <w:r>
          <w:rPr>
            <w:rFonts w:ascii="IRNazanin" w:hAnsi="IRNazanin" w:eastAsia="IRNazanin" w:cs="IRNazanin"/>
            <w:color w:val="111111"/>
            <w:sz w:val="22"/>
            <w:szCs w:val="22"/>
            <w:b w:val="0"/>
            <w:bCs w:val="0"/>
            <w:i w:val="0"/>
            <w:iCs w:val="0"/>
          </w:rPr>
          <w:t>7377- دیوان النائلی‏</w:t>
        </w:r>
        <w:r>
          <w:tab/>
        </w:r>
        <w:r>
          <w:fldChar w:fldCharType="begin"/>
        </w:r>
        <w:r>
          <w:instrText xml:space="preserve">PAGEREF 8480 \h</w:instrText>
        </w:r>
        <w:r>
          <w:fldChar w:fldCharType="end"/>
        </w:r>
      </w:hyperlink>
    </w:p>
    <w:p>
      <w:pPr>
        <w:tabs>
          <w:tab w:val="right" w:leader="dot" w:pos="9062"/>
        </w:tabs>
        <w:ind w:left="440"/>
      </w:pPr>
      <w:hyperlink w:anchor="_Toc8481" w:history="1">
        <w:r>
          <w:rPr>
            <w:rFonts w:ascii="IRNazanin" w:hAnsi="IRNazanin" w:eastAsia="IRNazanin" w:cs="IRNazanin"/>
            <w:color w:val="111111"/>
            <w:sz w:val="22"/>
            <w:szCs w:val="22"/>
            <w:b w:val="0"/>
            <w:bCs w:val="0"/>
            <w:i w:val="0"/>
            <w:iCs w:val="0"/>
          </w:rPr>
          <w:t>7378- دیوان النابغة الجعدی‏</w:t>
        </w:r>
        <w:r>
          <w:tab/>
        </w:r>
        <w:r>
          <w:fldChar w:fldCharType="begin"/>
        </w:r>
        <w:r>
          <w:instrText xml:space="preserve">PAGEREF 8481 \h</w:instrText>
        </w:r>
        <w:r>
          <w:fldChar w:fldCharType="end"/>
        </w:r>
      </w:hyperlink>
    </w:p>
    <w:p>
      <w:pPr>
        <w:tabs>
          <w:tab w:val="right" w:leader="dot" w:pos="9062"/>
        </w:tabs>
        <w:ind w:left="440"/>
      </w:pPr>
      <w:hyperlink w:anchor="_Toc8482" w:history="1">
        <w:r>
          <w:rPr>
            <w:rFonts w:ascii="IRNazanin" w:hAnsi="IRNazanin" w:eastAsia="IRNazanin" w:cs="IRNazanin"/>
            <w:color w:val="111111"/>
            <w:sz w:val="22"/>
            <w:szCs w:val="22"/>
            <w:b w:val="0"/>
            <w:bCs w:val="0"/>
            <w:i w:val="0"/>
            <w:iCs w:val="0"/>
          </w:rPr>
          <w:t>7379- دیوان النابغة الذبیانی‏</w:t>
        </w:r>
        <w:r>
          <w:tab/>
        </w:r>
        <w:r>
          <w:fldChar w:fldCharType="begin"/>
        </w:r>
        <w:r>
          <w:instrText xml:space="preserve">PAGEREF 8482 \h</w:instrText>
        </w:r>
        <w:r>
          <w:fldChar w:fldCharType="end"/>
        </w:r>
      </w:hyperlink>
    </w:p>
    <w:p>
      <w:pPr>
        <w:tabs>
          <w:tab w:val="right" w:leader="dot" w:pos="9062"/>
        </w:tabs>
        <w:ind w:left="440"/>
      </w:pPr>
      <w:hyperlink w:anchor="_Toc8483" w:history="1">
        <w:r>
          <w:rPr>
            <w:rFonts w:ascii="IRNazanin" w:hAnsi="IRNazanin" w:eastAsia="IRNazanin" w:cs="IRNazanin"/>
            <w:color w:val="111111"/>
            <w:sz w:val="22"/>
            <w:szCs w:val="22"/>
            <w:b w:val="0"/>
            <w:bCs w:val="0"/>
            <w:i w:val="0"/>
            <w:iCs w:val="0"/>
          </w:rPr>
          <w:t>7380- دیوان ناجی أندجانی‏</w:t>
        </w:r>
        <w:r>
          <w:tab/>
        </w:r>
        <w:r>
          <w:fldChar w:fldCharType="begin"/>
        </w:r>
        <w:r>
          <w:instrText xml:space="preserve">PAGEREF 8483 \h</w:instrText>
        </w:r>
        <w:r>
          <w:fldChar w:fldCharType="end"/>
        </w:r>
      </w:hyperlink>
    </w:p>
    <w:p>
      <w:pPr>
        <w:tabs>
          <w:tab w:val="right" w:leader="dot" w:pos="9062"/>
        </w:tabs>
        <w:ind w:left="440"/>
      </w:pPr>
      <w:hyperlink w:anchor="_Toc8484" w:history="1">
        <w:r>
          <w:rPr>
            <w:rFonts w:ascii="IRNazanin" w:hAnsi="IRNazanin" w:eastAsia="IRNazanin" w:cs="IRNazanin"/>
            <w:color w:val="111111"/>
            <w:sz w:val="22"/>
            <w:szCs w:val="22"/>
            <w:b w:val="0"/>
            <w:bCs w:val="0"/>
            <w:i w:val="0"/>
            <w:iCs w:val="0"/>
          </w:rPr>
          <w:t>7381- دیوان ناجی أردوبادی‏</w:t>
        </w:r>
        <w:r>
          <w:tab/>
        </w:r>
        <w:r>
          <w:fldChar w:fldCharType="begin"/>
        </w:r>
        <w:r>
          <w:instrText xml:space="preserve">PAGEREF 8484 \h</w:instrText>
        </w:r>
        <w:r>
          <w:fldChar w:fldCharType="end"/>
        </w:r>
      </w:hyperlink>
    </w:p>
    <w:p>
      <w:pPr>
        <w:tabs>
          <w:tab w:val="right" w:leader="dot" w:pos="9062"/>
        </w:tabs>
        <w:ind w:left="440"/>
      </w:pPr>
      <w:hyperlink w:anchor="_Toc8485" w:history="1">
        <w:r>
          <w:rPr>
            <w:rFonts w:ascii="IRNazanin" w:hAnsi="IRNazanin" w:eastAsia="IRNazanin" w:cs="IRNazanin"/>
            <w:color w:val="111111"/>
            <w:sz w:val="22"/>
            <w:szCs w:val="22"/>
            <w:b w:val="0"/>
            <w:bCs w:val="0"/>
            <w:i w:val="0"/>
            <w:iCs w:val="0"/>
          </w:rPr>
          <w:t>7382- دیوان ناجی تبریزی‏</w:t>
        </w:r>
        <w:r>
          <w:tab/>
        </w:r>
        <w:r>
          <w:fldChar w:fldCharType="begin"/>
        </w:r>
        <w:r>
          <w:instrText xml:space="preserve">PAGEREF 8485 \h</w:instrText>
        </w:r>
        <w:r>
          <w:fldChar w:fldCharType="end"/>
        </w:r>
      </w:hyperlink>
    </w:p>
    <w:p>
      <w:pPr>
        <w:tabs>
          <w:tab w:val="right" w:leader="dot" w:pos="9062"/>
        </w:tabs>
        <w:ind w:left="440"/>
      </w:pPr>
      <w:hyperlink w:anchor="_Toc8486" w:history="1">
        <w:r>
          <w:rPr>
            <w:rFonts w:ascii="IRNazanin" w:hAnsi="IRNazanin" w:eastAsia="IRNazanin" w:cs="IRNazanin"/>
            <w:color w:val="111111"/>
            <w:sz w:val="22"/>
            <w:szCs w:val="22"/>
            <w:b w:val="0"/>
            <w:bCs w:val="0"/>
            <w:i w:val="0"/>
            <w:iCs w:val="0"/>
          </w:rPr>
          <w:t>7383- دیوان ناجی تبریزی‏</w:t>
        </w:r>
        <w:r>
          <w:tab/>
        </w:r>
        <w:r>
          <w:fldChar w:fldCharType="begin"/>
        </w:r>
        <w:r>
          <w:instrText xml:space="preserve">PAGEREF 8486 \h</w:instrText>
        </w:r>
        <w:r>
          <w:fldChar w:fldCharType="end"/>
        </w:r>
      </w:hyperlink>
    </w:p>
    <w:p>
      <w:pPr>
        <w:tabs>
          <w:tab w:val="right" w:leader="dot" w:pos="9062"/>
        </w:tabs>
        <w:ind w:left="440"/>
      </w:pPr>
      <w:hyperlink w:anchor="_Toc8487" w:history="1">
        <w:r>
          <w:rPr>
            <w:rFonts w:ascii="IRNazanin" w:hAnsi="IRNazanin" w:eastAsia="IRNazanin" w:cs="IRNazanin"/>
            <w:color w:val="111111"/>
            <w:sz w:val="22"/>
            <w:szCs w:val="22"/>
            <w:b w:val="0"/>
            <w:bCs w:val="0"/>
            <w:i w:val="0"/>
            <w:iCs w:val="0"/>
          </w:rPr>
          <w:t>7384- دیوان ناجی خوانساری‏</w:t>
        </w:r>
        <w:r>
          <w:tab/>
        </w:r>
        <w:r>
          <w:fldChar w:fldCharType="begin"/>
        </w:r>
        <w:r>
          <w:instrText xml:space="preserve">PAGEREF 8487 \h</w:instrText>
        </w:r>
        <w:r>
          <w:fldChar w:fldCharType="end"/>
        </w:r>
      </w:hyperlink>
    </w:p>
    <w:p>
      <w:pPr>
        <w:tabs>
          <w:tab w:val="right" w:leader="dot" w:pos="9062"/>
        </w:tabs>
        <w:ind w:left="440"/>
      </w:pPr>
      <w:hyperlink w:anchor="_Toc8488" w:history="1">
        <w:r>
          <w:rPr>
            <w:rFonts w:ascii="IRNazanin" w:hAnsi="IRNazanin" w:eastAsia="IRNazanin" w:cs="IRNazanin"/>
            <w:color w:val="111111"/>
            <w:sz w:val="22"/>
            <w:szCs w:val="22"/>
            <w:b w:val="0"/>
            <w:bCs w:val="0"/>
            <w:i w:val="0"/>
            <w:iCs w:val="0"/>
          </w:rPr>
          <w:t>7385- دیوان ناجی شوشتری‏</w:t>
        </w:r>
        <w:r>
          <w:tab/>
        </w:r>
        <w:r>
          <w:fldChar w:fldCharType="begin"/>
        </w:r>
        <w:r>
          <w:instrText xml:space="preserve">PAGEREF 8488 \h</w:instrText>
        </w:r>
        <w:r>
          <w:fldChar w:fldCharType="end"/>
        </w:r>
      </w:hyperlink>
    </w:p>
    <w:p>
      <w:pPr>
        <w:tabs>
          <w:tab w:val="right" w:leader="dot" w:pos="9062"/>
        </w:tabs>
        <w:ind w:left="440"/>
      </w:pPr>
      <w:hyperlink w:anchor="_Toc8489" w:history="1">
        <w:r>
          <w:rPr>
            <w:rFonts w:ascii="IRNazanin" w:hAnsi="IRNazanin" w:eastAsia="IRNazanin" w:cs="IRNazanin"/>
            <w:color w:val="111111"/>
            <w:sz w:val="22"/>
            <w:szCs w:val="22"/>
            <w:b w:val="0"/>
            <w:bCs w:val="0"/>
            <w:i w:val="0"/>
            <w:iCs w:val="0"/>
          </w:rPr>
          <w:t>دیوان ناجی شیرازی‏</w:t>
        </w:r>
        <w:r>
          <w:tab/>
        </w:r>
        <w:r>
          <w:fldChar w:fldCharType="begin"/>
        </w:r>
        <w:r>
          <w:instrText xml:space="preserve">PAGEREF 8489 \h</w:instrText>
        </w:r>
        <w:r>
          <w:fldChar w:fldCharType="end"/>
        </w:r>
      </w:hyperlink>
    </w:p>
    <w:p>
      <w:pPr>
        <w:tabs>
          <w:tab w:val="right" w:leader="dot" w:pos="9062"/>
        </w:tabs>
        <w:ind w:left="440"/>
      </w:pPr>
      <w:hyperlink w:anchor="_Toc8490" w:history="1">
        <w:r>
          <w:rPr>
            <w:rFonts w:ascii="IRNazanin" w:hAnsi="IRNazanin" w:eastAsia="IRNazanin" w:cs="IRNazanin"/>
            <w:color w:val="111111"/>
            <w:sz w:val="22"/>
            <w:szCs w:val="22"/>
            <w:b w:val="0"/>
            <w:bCs w:val="0"/>
            <w:i w:val="0"/>
            <w:iCs w:val="0"/>
          </w:rPr>
          <w:t>7386- دیوان ناجی قزوینی‏</w:t>
        </w:r>
        <w:r>
          <w:tab/>
        </w:r>
        <w:r>
          <w:fldChar w:fldCharType="begin"/>
        </w:r>
        <w:r>
          <w:instrText xml:space="preserve">PAGEREF 8490 \h</w:instrText>
        </w:r>
        <w:r>
          <w:fldChar w:fldCharType="end"/>
        </w:r>
      </w:hyperlink>
    </w:p>
    <w:p>
      <w:pPr>
        <w:tabs>
          <w:tab w:val="right" w:leader="dot" w:pos="9062"/>
        </w:tabs>
        <w:ind w:left="440"/>
      </w:pPr>
      <w:hyperlink w:anchor="_Toc8491" w:history="1">
        <w:r>
          <w:rPr>
            <w:rFonts w:ascii="IRNazanin" w:hAnsi="IRNazanin" w:eastAsia="IRNazanin" w:cs="IRNazanin"/>
            <w:color w:val="111111"/>
            <w:sz w:val="22"/>
            <w:szCs w:val="22"/>
            <w:b w:val="0"/>
            <w:bCs w:val="0"/>
            <w:i w:val="0"/>
            <w:iCs w:val="0"/>
          </w:rPr>
          <w:t>دیوان ناجی کاشی‏</w:t>
        </w:r>
        <w:r>
          <w:tab/>
        </w:r>
        <w:r>
          <w:fldChar w:fldCharType="begin"/>
        </w:r>
        <w:r>
          <w:instrText xml:space="preserve">PAGEREF 8491 \h</w:instrText>
        </w:r>
        <w:r>
          <w:fldChar w:fldCharType="end"/>
        </w:r>
      </w:hyperlink>
    </w:p>
    <w:p>
      <w:pPr>
        <w:tabs>
          <w:tab w:val="right" w:leader="dot" w:pos="9062"/>
        </w:tabs>
        <w:ind w:left="440"/>
      </w:pPr>
      <w:hyperlink w:anchor="_Toc8492" w:history="1">
        <w:r>
          <w:rPr>
            <w:rFonts w:ascii="IRNazanin" w:hAnsi="IRNazanin" w:eastAsia="IRNazanin" w:cs="IRNazanin"/>
            <w:color w:val="111111"/>
            <w:sz w:val="22"/>
            <w:szCs w:val="22"/>
            <w:b w:val="0"/>
            <w:bCs w:val="0"/>
            <w:i w:val="0"/>
            <w:iCs w:val="0"/>
          </w:rPr>
          <w:t>7387- دیوان ناجی لاهیجی‏</w:t>
        </w:r>
        <w:r>
          <w:tab/>
        </w:r>
        <w:r>
          <w:fldChar w:fldCharType="begin"/>
        </w:r>
        <w:r>
          <w:instrText xml:space="preserve">PAGEREF 8492 \h</w:instrText>
        </w:r>
        <w:r>
          <w:fldChar w:fldCharType="end"/>
        </w:r>
      </w:hyperlink>
    </w:p>
    <w:p>
      <w:pPr>
        <w:tabs>
          <w:tab w:val="right" w:leader="dot" w:pos="9062"/>
        </w:tabs>
        <w:ind w:left="440"/>
      </w:pPr>
      <w:hyperlink w:anchor="_Toc8493" w:history="1">
        <w:r>
          <w:rPr>
            <w:rFonts w:ascii="IRNazanin" w:hAnsi="IRNazanin" w:eastAsia="IRNazanin" w:cs="IRNazanin"/>
            <w:color w:val="111111"/>
            <w:sz w:val="22"/>
            <w:szCs w:val="22"/>
            <w:b w:val="0"/>
            <w:bCs w:val="0"/>
            <w:i w:val="0"/>
            <w:iCs w:val="0"/>
          </w:rPr>
          <w:t>7388- دیوان ناجی مشهدی أو شعره‏</w:t>
        </w:r>
        <w:r>
          <w:tab/>
        </w:r>
        <w:r>
          <w:fldChar w:fldCharType="begin"/>
        </w:r>
        <w:r>
          <w:instrText xml:space="preserve">PAGEREF 8493 \h</w:instrText>
        </w:r>
        <w:r>
          <w:fldChar w:fldCharType="end"/>
        </w:r>
      </w:hyperlink>
    </w:p>
    <w:p>
      <w:pPr>
        <w:tabs>
          <w:tab w:val="right" w:leader="dot" w:pos="9062"/>
        </w:tabs>
        <w:ind w:left="440"/>
      </w:pPr>
      <w:hyperlink w:anchor="_Toc8494" w:history="1">
        <w:r>
          <w:rPr>
            <w:rFonts w:ascii="IRNazanin" w:hAnsi="IRNazanin" w:eastAsia="IRNazanin" w:cs="IRNazanin"/>
            <w:color w:val="111111"/>
            <w:sz w:val="22"/>
            <w:szCs w:val="22"/>
            <w:b w:val="0"/>
            <w:bCs w:val="0"/>
            <w:i w:val="0"/>
            <w:iCs w:val="0"/>
          </w:rPr>
          <w:t>7389- دیوان ناخدای شیرازی‏</w:t>
        </w:r>
        <w:r>
          <w:tab/>
        </w:r>
        <w:r>
          <w:fldChar w:fldCharType="begin"/>
        </w:r>
        <w:r>
          <w:instrText xml:space="preserve">PAGEREF 8494 \h</w:instrText>
        </w:r>
        <w:r>
          <w:fldChar w:fldCharType="end"/>
        </w:r>
      </w:hyperlink>
    </w:p>
    <w:p>
      <w:pPr>
        <w:tabs>
          <w:tab w:val="right" w:leader="dot" w:pos="9062"/>
        </w:tabs>
        <w:ind w:left="440"/>
      </w:pPr>
      <w:hyperlink w:anchor="_Toc8495" w:history="1">
        <w:r>
          <w:rPr>
            <w:rFonts w:ascii="IRNazanin" w:hAnsi="IRNazanin" w:eastAsia="IRNazanin" w:cs="IRNazanin"/>
            <w:color w:val="111111"/>
            <w:sz w:val="22"/>
            <w:szCs w:val="22"/>
            <w:b w:val="0"/>
            <w:bCs w:val="0"/>
            <w:i w:val="0"/>
            <w:iCs w:val="0"/>
          </w:rPr>
          <w:t>7390- دیوان ناخدای یزدی‏</w:t>
        </w:r>
        <w:r>
          <w:tab/>
        </w:r>
        <w:r>
          <w:fldChar w:fldCharType="begin"/>
        </w:r>
        <w:r>
          <w:instrText xml:space="preserve">PAGEREF 8495 \h</w:instrText>
        </w:r>
        <w:r>
          <w:fldChar w:fldCharType="end"/>
        </w:r>
      </w:hyperlink>
    </w:p>
    <w:p>
      <w:pPr>
        <w:tabs>
          <w:tab w:val="right" w:leader="dot" w:pos="9062"/>
        </w:tabs>
        <w:ind w:left="440"/>
      </w:pPr>
      <w:hyperlink w:anchor="_Toc8496" w:history="1">
        <w:r>
          <w:rPr>
            <w:rFonts w:ascii="IRNazanin" w:hAnsi="IRNazanin" w:eastAsia="IRNazanin" w:cs="IRNazanin"/>
            <w:color w:val="111111"/>
            <w:sz w:val="22"/>
            <w:szCs w:val="22"/>
            <w:b w:val="0"/>
            <w:bCs w:val="0"/>
            <w:i w:val="0"/>
            <w:iCs w:val="0"/>
          </w:rPr>
          <w:t>7391- دیوان نادب‏</w:t>
        </w:r>
        <w:r>
          <w:tab/>
        </w:r>
        <w:r>
          <w:fldChar w:fldCharType="begin"/>
        </w:r>
        <w:r>
          <w:instrText xml:space="preserve">PAGEREF 8496 \h</w:instrText>
        </w:r>
        <w:r>
          <w:fldChar w:fldCharType="end"/>
        </w:r>
      </w:hyperlink>
    </w:p>
    <w:p>
      <w:pPr>
        <w:tabs>
          <w:tab w:val="right" w:leader="dot" w:pos="9062"/>
        </w:tabs>
        <w:ind w:left="440"/>
      </w:pPr>
      <w:hyperlink w:anchor="_Toc8497" w:history="1">
        <w:r>
          <w:rPr>
            <w:rFonts w:ascii="IRNazanin" w:hAnsi="IRNazanin" w:eastAsia="IRNazanin" w:cs="IRNazanin"/>
            <w:color w:val="111111"/>
            <w:sz w:val="22"/>
            <w:szCs w:val="22"/>
            <w:b w:val="0"/>
            <w:bCs w:val="0"/>
            <w:i w:val="0"/>
            <w:iCs w:val="0"/>
          </w:rPr>
          <w:t>دیوان نادر أصفهانی‏</w:t>
        </w:r>
        <w:r>
          <w:tab/>
        </w:r>
        <w:r>
          <w:fldChar w:fldCharType="begin"/>
        </w:r>
        <w:r>
          <w:instrText xml:space="preserve">PAGEREF 8497 \h</w:instrText>
        </w:r>
        <w:r>
          <w:fldChar w:fldCharType="end"/>
        </w:r>
      </w:hyperlink>
    </w:p>
    <w:p>
      <w:pPr>
        <w:tabs>
          <w:tab w:val="right" w:leader="dot" w:pos="9062"/>
        </w:tabs>
        <w:ind w:left="440"/>
      </w:pPr>
      <w:hyperlink w:anchor="_Toc8498" w:history="1">
        <w:r>
          <w:rPr>
            <w:rFonts w:ascii="IRNazanin" w:hAnsi="IRNazanin" w:eastAsia="IRNazanin" w:cs="IRNazanin"/>
            <w:color w:val="111111"/>
            <w:sz w:val="22"/>
            <w:szCs w:val="22"/>
            <w:b w:val="0"/>
            <w:bCs w:val="0"/>
            <w:i w:val="0"/>
            <w:iCs w:val="0"/>
          </w:rPr>
          <w:t>7392- دیوان نادرپور</w:t>
        </w:r>
        <w:r>
          <w:tab/>
        </w:r>
        <w:r>
          <w:fldChar w:fldCharType="begin"/>
        </w:r>
        <w:r>
          <w:instrText xml:space="preserve">PAGEREF 8498 \h</w:instrText>
        </w:r>
        <w:r>
          <w:fldChar w:fldCharType="end"/>
        </w:r>
      </w:hyperlink>
    </w:p>
    <w:p>
      <w:pPr>
        <w:tabs>
          <w:tab w:val="right" w:leader="dot" w:pos="9062"/>
        </w:tabs>
        <w:ind w:left="440"/>
      </w:pPr>
      <w:hyperlink w:anchor="_Toc8499" w:history="1">
        <w:r>
          <w:rPr>
            <w:rFonts w:ascii="IRNazanin" w:hAnsi="IRNazanin" w:eastAsia="IRNazanin" w:cs="IRNazanin"/>
            <w:color w:val="111111"/>
            <w:sz w:val="22"/>
            <w:szCs w:val="22"/>
            <w:b w:val="0"/>
            <w:bCs w:val="0"/>
            <w:i w:val="0"/>
            <w:iCs w:val="0"/>
          </w:rPr>
          <w:t>7393- دیوان نادر تبریزی‏</w:t>
        </w:r>
        <w:r>
          <w:tab/>
        </w:r>
        <w:r>
          <w:fldChar w:fldCharType="begin"/>
        </w:r>
        <w:r>
          <w:instrText xml:space="preserve">PAGEREF 8499 \h</w:instrText>
        </w:r>
        <w:r>
          <w:fldChar w:fldCharType="end"/>
        </w:r>
      </w:hyperlink>
    </w:p>
    <w:p>
      <w:pPr>
        <w:tabs>
          <w:tab w:val="right" w:leader="dot" w:pos="9062"/>
        </w:tabs>
        <w:ind w:left="440"/>
      </w:pPr>
      <w:hyperlink w:anchor="_Toc8500" w:history="1">
        <w:r>
          <w:rPr>
            <w:rFonts w:ascii="IRNazanin" w:hAnsi="IRNazanin" w:eastAsia="IRNazanin" w:cs="IRNazanin"/>
            <w:color w:val="111111"/>
            <w:sz w:val="22"/>
            <w:szCs w:val="22"/>
            <w:b w:val="0"/>
            <w:bCs w:val="0"/>
            <w:i w:val="0"/>
            <w:iCs w:val="0"/>
          </w:rPr>
          <w:t>7394- دیوان نادر دامغانی أو شعره‏</w:t>
        </w:r>
        <w:r>
          <w:tab/>
        </w:r>
        <w:r>
          <w:fldChar w:fldCharType="begin"/>
        </w:r>
        <w:r>
          <w:instrText xml:space="preserve">PAGEREF 8500 \h</w:instrText>
        </w:r>
        <w:r>
          <w:fldChar w:fldCharType="end"/>
        </w:r>
      </w:hyperlink>
    </w:p>
    <w:p>
      <w:pPr>
        <w:tabs>
          <w:tab w:val="right" w:leader="dot" w:pos="9062"/>
        </w:tabs>
        <w:ind w:left="440"/>
      </w:pPr>
      <w:hyperlink w:anchor="_Toc8501" w:history="1">
        <w:r>
          <w:rPr>
            <w:rFonts w:ascii="IRNazanin" w:hAnsi="IRNazanin" w:eastAsia="IRNazanin" w:cs="IRNazanin"/>
            <w:color w:val="111111"/>
            <w:sz w:val="22"/>
            <w:szCs w:val="22"/>
            <w:b w:val="0"/>
            <w:bCs w:val="0"/>
            <w:i w:val="0"/>
            <w:iCs w:val="0"/>
          </w:rPr>
          <w:t>7395- دیوان نادر شیرازی أو شعره‏</w:t>
        </w:r>
        <w:r>
          <w:tab/>
        </w:r>
        <w:r>
          <w:fldChar w:fldCharType="begin"/>
        </w:r>
        <w:r>
          <w:instrText xml:space="preserve">PAGEREF 8501 \h</w:instrText>
        </w:r>
        <w:r>
          <w:fldChar w:fldCharType="end"/>
        </w:r>
      </w:hyperlink>
    </w:p>
    <w:p>
      <w:pPr>
        <w:tabs>
          <w:tab w:val="right" w:leader="dot" w:pos="9062"/>
        </w:tabs>
        <w:ind w:left="440"/>
      </w:pPr>
      <w:hyperlink w:anchor="_Toc8502" w:history="1">
        <w:r>
          <w:rPr>
            <w:rFonts w:ascii="IRNazanin" w:hAnsi="IRNazanin" w:eastAsia="IRNazanin" w:cs="IRNazanin"/>
            <w:color w:val="111111"/>
            <w:sz w:val="22"/>
            <w:szCs w:val="22"/>
            <w:b w:val="0"/>
            <w:bCs w:val="0"/>
            <w:i w:val="0"/>
            <w:iCs w:val="0"/>
          </w:rPr>
          <w:t>7396- دیوان نادر علی شاه‏</w:t>
        </w:r>
        <w:r>
          <w:tab/>
        </w:r>
        <w:r>
          <w:fldChar w:fldCharType="begin"/>
        </w:r>
        <w:r>
          <w:instrText xml:space="preserve">PAGEREF 8502 \h</w:instrText>
        </w:r>
        <w:r>
          <w:fldChar w:fldCharType="end"/>
        </w:r>
      </w:hyperlink>
    </w:p>
    <w:p>
      <w:pPr>
        <w:tabs>
          <w:tab w:val="right" w:leader="dot" w:pos="9062"/>
        </w:tabs>
        <w:ind w:left="440"/>
      </w:pPr>
      <w:hyperlink w:anchor="_Toc8503" w:history="1">
        <w:r>
          <w:rPr>
            <w:rFonts w:ascii="IRNazanin" w:hAnsi="IRNazanin" w:eastAsia="IRNazanin" w:cs="IRNazanin"/>
            <w:color w:val="111111"/>
            <w:sz w:val="22"/>
            <w:szCs w:val="22"/>
            <w:b w:val="0"/>
            <w:bCs w:val="0"/>
            <w:i w:val="0"/>
            <w:iCs w:val="0"/>
          </w:rPr>
          <w:t>7397- دیوان نادر قاجار</w:t>
        </w:r>
        <w:r>
          <w:tab/>
        </w:r>
        <w:r>
          <w:fldChar w:fldCharType="begin"/>
        </w:r>
        <w:r>
          <w:instrText xml:space="preserve">PAGEREF 8503 \h</w:instrText>
        </w:r>
        <w:r>
          <w:fldChar w:fldCharType="end"/>
        </w:r>
      </w:hyperlink>
    </w:p>
    <w:p>
      <w:pPr>
        <w:tabs>
          <w:tab w:val="right" w:leader="dot" w:pos="9062"/>
        </w:tabs>
        <w:ind w:left="440"/>
      </w:pPr>
      <w:hyperlink w:anchor="_Toc8504" w:history="1">
        <w:r>
          <w:rPr>
            <w:rFonts w:ascii="IRNazanin" w:hAnsi="IRNazanin" w:eastAsia="IRNazanin" w:cs="IRNazanin"/>
            <w:color w:val="111111"/>
            <w:sz w:val="22"/>
            <w:szCs w:val="22"/>
            <w:b w:val="0"/>
            <w:bCs w:val="0"/>
            <w:i w:val="0"/>
            <w:iCs w:val="0"/>
          </w:rPr>
          <w:t>7398- دیوان نادر مازندرانی‏</w:t>
        </w:r>
        <w:r>
          <w:tab/>
        </w:r>
        <w:r>
          <w:fldChar w:fldCharType="begin"/>
        </w:r>
        <w:r>
          <w:instrText xml:space="preserve">PAGEREF 8504 \h</w:instrText>
        </w:r>
        <w:r>
          <w:fldChar w:fldCharType="end"/>
        </w:r>
      </w:hyperlink>
    </w:p>
    <w:p>
      <w:pPr>
        <w:tabs>
          <w:tab w:val="right" w:leader="dot" w:pos="9062"/>
        </w:tabs>
        <w:ind w:left="440"/>
      </w:pPr>
      <w:hyperlink w:anchor="_Toc8505" w:history="1">
        <w:r>
          <w:rPr>
            <w:rFonts w:ascii="IRNazanin" w:hAnsi="IRNazanin" w:eastAsia="IRNazanin" w:cs="IRNazanin"/>
            <w:color w:val="111111"/>
            <w:sz w:val="22"/>
            <w:szCs w:val="22"/>
            <w:b w:val="0"/>
            <w:bCs w:val="0"/>
            <w:i w:val="0"/>
            <w:iCs w:val="0"/>
          </w:rPr>
          <w:t>7399- دیوان نادری‏</w:t>
        </w:r>
        <w:r>
          <w:tab/>
        </w:r>
        <w:r>
          <w:fldChar w:fldCharType="begin"/>
        </w:r>
        <w:r>
          <w:instrText xml:space="preserve">PAGEREF 8505 \h</w:instrText>
        </w:r>
        <w:r>
          <w:fldChar w:fldCharType="end"/>
        </w:r>
      </w:hyperlink>
    </w:p>
    <w:p>
      <w:pPr>
        <w:tabs>
          <w:tab w:val="right" w:leader="dot" w:pos="9062"/>
        </w:tabs>
        <w:ind w:left="440"/>
      </w:pPr>
      <w:hyperlink w:anchor="_Toc8506" w:history="1">
        <w:r>
          <w:rPr>
            <w:rFonts w:ascii="IRNazanin" w:hAnsi="IRNazanin" w:eastAsia="IRNazanin" w:cs="IRNazanin"/>
            <w:color w:val="111111"/>
            <w:sz w:val="22"/>
            <w:szCs w:val="22"/>
            <w:b w:val="0"/>
            <w:bCs w:val="0"/>
            <w:i w:val="0"/>
            <w:iCs w:val="0"/>
          </w:rPr>
          <w:t>7400- دیوان نادری‏</w:t>
        </w:r>
        <w:r>
          <w:tab/>
        </w:r>
        <w:r>
          <w:fldChar w:fldCharType="begin"/>
        </w:r>
        <w:r>
          <w:instrText xml:space="preserve">PAGEREF 8506 \h</w:instrText>
        </w:r>
        <w:r>
          <w:fldChar w:fldCharType="end"/>
        </w:r>
      </w:hyperlink>
    </w:p>
    <w:p>
      <w:pPr>
        <w:tabs>
          <w:tab w:val="right" w:leader="dot" w:pos="9062"/>
        </w:tabs>
        <w:ind w:left="440"/>
      </w:pPr>
      <w:hyperlink w:anchor="_Toc8507" w:history="1">
        <w:r>
          <w:rPr>
            <w:rFonts w:ascii="IRNazanin" w:hAnsi="IRNazanin" w:eastAsia="IRNazanin" w:cs="IRNazanin"/>
            <w:color w:val="111111"/>
            <w:sz w:val="22"/>
            <w:szCs w:val="22"/>
            <w:b w:val="0"/>
            <w:bCs w:val="0"/>
            <w:i w:val="0"/>
            <w:iCs w:val="0"/>
          </w:rPr>
          <w:t>7401- دیوان نادری أفشار</w:t>
        </w:r>
        <w:r>
          <w:tab/>
        </w:r>
        <w:r>
          <w:fldChar w:fldCharType="begin"/>
        </w:r>
        <w:r>
          <w:instrText xml:space="preserve">PAGEREF 8507 \h</w:instrText>
        </w:r>
        <w:r>
          <w:fldChar w:fldCharType="end"/>
        </w:r>
      </w:hyperlink>
    </w:p>
    <w:p>
      <w:pPr>
        <w:tabs>
          <w:tab w:val="right" w:leader="dot" w:pos="9062"/>
        </w:tabs>
        <w:ind w:left="440"/>
      </w:pPr>
      <w:hyperlink w:anchor="_Toc8508" w:history="1">
        <w:r>
          <w:rPr>
            <w:rFonts w:ascii="IRNazanin" w:hAnsi="IRNazanin" w:eastAsia="IRNazanin" w:cs="IRNazanin"/>
            <w:color w:val="111111"/>
            <w:sz w:val="22"/>
            <w:szCs w:val="22"/>
            <w:b w:val="0"/>
            <w:bCs w:val="0"/>
            <w:i w:val="0"/>
            <w:iCs w:val="0"/>
          </w:rPr>
          <w:t>7402- دیوان نادری بخارائی أو شعره‏</w:t>
        </w:r>
        <w:r>
          <w:tab/>
        </w:r>
        <w:r>
          <w:fldChar w:fldCharType="begin"/>
        </w:r>
        <w:r>
          <w:instrText xml:space="preserve">PAGEREF 8508 \h</w:instrText>
        </w:r>
        <w:r>
          <w:fldChar w:fldCharType="end"/>
        </w:r>
      </w:hyperlink>
    </w:p>
    <w:p>
      <w:pPr>
        <w:tabs>
          <w:tab w:val="right" w:leader="dot" w:pos="9062"/>
        </w:tabs>
        <w:ind w:left="440"/>
      </w:pPr>
      <w:hyperlink w:anchor="_Toc8509" w:history="1">
        <w:r>
          <w:rPr>
            <w:rFonts w:ascii="IRNazanin" w:hAnsi="IRNazanin" w:eastAsia="IRNazanin" w:cs="IRNazanin"/>
            <w:color w:val="111111"/>
            <w:sz w:val="22"/>
            <w:szCs w:val="22"/>
            <w:b w:val="0"/>
            <w:bCs w:val="0"/>
            <w:i w:val="0"/>
            <w:iCs w:val="0"/>
          </w:rPr>
          <w:t>7403- دیوان نادری بغدادی أو شعره‏</w:t>
        </w:r>
        <w:r>
          <w:tab/>
        </w:r>
        <w:r>
          <w:fldChar w:fldCharType="begin"/>
        </w:r>
        <w:r>
          <w:instrText xml:space="preserve">PAGEREF 8509 \h</w:instrText>
        </w:r>
        <w:r>
          <w:fldChar w:fldCharType="end"/>
        </w:r>
      </w:hyperlink>
    </w:p>
    <w:p>
      <w:pPr>
        <w:tabs>
          <w:tab w:val="right" w:leader="dot" w:pos="9062"/>
        </w:tabs>
        <w:ind w:left="440"/>
      </w:pPr>
      <w:hyperlink w:anchor="_Toc8510" w:history="1">
        <w:r>
          <w:rPr>
            <w:rFonts w:ascii="IRNazanin" w:hAnsi="IRNazanin" w:eastAsia="IRNazanin" w:cs="IRNazanin"/>
            <w:color w:val="111111"/>
            <w:sz w:val="22"/>
            <w:szCs w:val="22"/>
            <w:b w:val="0"/>
            <w:bCs w:val="0"/>
            <w:i w:val="0"/>
            <w:iCs w:val="0"/>
          </w:rPr>
          <w:t>7404- دیوان نادری ترشیزی أو شعره‏</w:t>
        </w:r>
        <w:r>
          <w:tab/>
        </w:r>
        <w:r>
          <w:fldChar w:fldCharType="begin"/>
        </w:r>
        <w:r>
          <w:instrText xml:space="preserve">PAGEREF 8510 \h</w:instrText>
        </w:r>
        <w:r>
          <w:fldChar w:fldCharType="end"/>
        </w:r>
      </w:hyperlink>
    </w:p>
    <w:p>
      <w:pPr>
        <w:tabs>
          <w:tab w:val="right" w:leader="dot" w:pos="9062"/>
        </w:tabs>
        <w:ind w:left="440"/>
      </w:pPr>
      <w:hyperlink w:anchor="_Toc8511" w:history="1">
        <w:r>
          <w:rPr>
            <w:rFonts w:ascii="IRNazanin" w:hAnsi="IRNazanin" w:eastAsia="IRNazanin" w:cs="IRNazanin"/>
            <w:color w:val="111111"/>
            <w:sz w:val="22"/>
            <w:szCs w:val="22"/>
            <w:b w:val="0"/>
            <w:bCs w:val="0"/>
            <w:i w:val="0"/>
            <w:iCs w:val="0"/>
          </w:rPr>
          <w:t>7405- دیوان نادری سمرقندی‏</w:t>
        </w:r>
        <w:r>
          <w:tab/>
        </w:r>
        <w:r>
          <w:fldChar w:fldCharType="begin"/>
        </w:r>
        <w:r>
          <w:instrText xml:space="preserve">PAGEREF 8511 \h</w:instrText>
        </w:r>
        <w:r>
          <w:fldChar w:fldCharType="end"/>
        </w:r>
      </w:hyperlink>
    </w:p>
    <w:p>
      <w:pPr>
        <w:tabs>
          <w:tab w:val="right" w:leader="dot" w:pos="9062"/>
        </w:tabs>
        <w:ind w:left="440"/>
      </w:pPr>
      <w:hyperlink w:anchor="_Toc8512" w:history="1">
        <w:r>
          <w:rPr>
            <w:rFonts w:ascii="IRNazanin" w:hAnsi="IRNazanin" w:eastAsia="IRNazanin" w:cs="IRNazanin"/>
            <w:color w:val="111111"/>
            <w:sz w:val="22"/>
            <w:szCs w:val="22"/>
            <w:b w:val="0"/>
            <w:bCs w:val="0"/>
            <w:i w:val="0"/>
            <w:iCs w:val="0"/>
          </w:rPr>
          <w:t>7406- دیوان نادری سیالکوتی أو شعره‏</w:t>
        </w:r>
        <w:r>
          <w:tab/>
        </w:r>
        <w:r>
          <w:fldChar w:fldCharType="begin"/>
        </w:r>
        <w:r>
          <w:instrText xml:space="preserve">PAGEREF 8512 \h</w:instrText>
        </w:r>
        <w:r>
          <w:fldChar w:fldCharType="end"/>
        </w:r>
      </w:hyperlink>
    </w:p>
    <w:p>
      <w:pPr>
        <w:tabs>
          <w:tab w:val="right" w:leader="dot" w:pos="9062"/>
        </w:tabs>
        <w:ind w:left="440"/>
      </w:pPr>
      <w:hyperlink w:anchor="_Toc8513" w:history="1">
        <w:r>
          <w:rPr>
            <w:rFonts w:ascii="IRNazanin" w:hAnsi="IRNazanin" w:eastAsia="IRNazanin" w:cs="IRNazanin"/>
            <w:color w:val="111111"/>
            <w:sz w:val="22"/>
            <w:szCs w:val="22"/>
            <w:b w:val="0"/>
            <w:bCs w:val="0"/>
            <w:i w:val="0"/>
            <w:iCs w:val="0"/>
          </w:rPr>
          <w:t>7407- دیوان نادری شوشتری أو شعره‏</w:t>
        </w:r>
        <w:r>
          <w:tab/>
        </w:r>
        <w:r>
          <w:fldChar w:fldCharType="begin"/>
        </w:r>
        <w:r>
          <w:instrText xml:space="preserve">PAGEREF 8513 \h</w:instrText>
        </w:r>
        <w:r>
          <w:fldChar w:fldCharType="end"/>
        </w:r>
      </w:hyperlink>
    </w:p>
    <w:p>
      <w:pPr>
        <w:tabs>
          <w:tab w:val="right" w:leader="dot" w:pos="9062"/>
        </w:tabs>
        <w:ind w:left="440"/>
      </w:pPr>
      <w:hyperlink w:anchor="_Toc8514" w:history="1">
        <w:r>
          <w:rPr>
            <w:rFonts w:ascii="IRNazanin" w:hAnsi="IRNazanin" w:eastAsia="IRNazanin" w:cs="IRNazanin"/>
            <w:color w:val="111111"/>
            <w:sz w:val="22"/>
            <w:szCs w:val="22"/>
            <w:b w:val="0"/>
            <w:bCs w:val="0"/>
            <w:i w:val="0"/>
            <w:iCs w:val="0"/>
          </w:rPr>
          <w:t>7408- دیوان نادری کازرونی‏</w:t>
        </w:r>
        <w:r>
          <w:tab/>
        </w:r>
        <w:r>
          <w:fldChar w:fldCharType="begin"/>
        </w:r>
        <w:r>
          <w:instrText xml:space="preserve">PAGEREF 8514 \h</w:instrText>
        </w:r>
        <w:r>
          <w:fldChar w:fldCharType="end"/>
        </w:r>
      </w:hyperlink>
    </w:p>
    <w:p>
      <w:pPr>
        <w:tabs>
          <w:tab w:val="right" w:leader="dot" w:pos="9062"/>
        </w:tabs>
        <w:ind w:left="440"/>
      </w:pPr>
      <w:hyperlink w:anchor="_Toc8515" w:history="1">
        <w:r>
          <w:rPr>
            <w:rFonts w:ascii="IRNazanin" w:hAnsi="IRNazanin" w:eastAsia="IRNazanin" w:cs="IRNazanin"/>
            <w:color w:val="111111"/>
            <w:sz w:val="22"/>
            <w:szCs w:val="22"/>
            <w:b w:val="0"/>
            <w:bCs w:val="0"/>
            <w:i w:val="0"/>
            <w:iCs w:val="0"/>
          </w:rPr>
          <w:t>دیوان نادری لاهوری‏</w:t>
        </w:r>
        <w:r>
          <w:tab/>
        </w:r>
        <w:r>
          <w:fldChar w:fldCharType="begin"/>
        </w:r>
        <w:r>
          <w:instrText xml:space="preserve">PAGEREF 8515 \h</w:instrText>
        </w:r>
        <w:r>
          <w:fldChar w:fldCharType="end"/>
        </w:r>
      </w:hyperlink>
    </w:p>
    <w:p>
      <w:pPr>
        <w:tabs>
          <w:tab w:val="right" w:leader="dot" w:pos="9062"/>
        </w:tabs>
        <w:ind w:left="440"/>
      </w:pPr>
      <w:hyperlink w:anchor="_Toc8516" w:history="1">
        <w:r>
          <w:rPr>
            <w:rFonts w:ascii="IRNazanin" w:hAnsi="IRNazanin" w:eastAsia="IRNazanin" w:cs="IRNazanin"/>
            <w:color w:val="111111"/>
            <w:sz w:val="22"/>
            <w:szCs w:val="22"/>
            <w:b w:val="0"/>
            <w:bCs w:val="0"/>
            <w:i w:val="0"/>
            <w:iCs w:val="0"/>
          </w:rPr>
          <w:t>7409- دیوان نادری مروزی‏</w:t>
        </w:r>
        <w:r>
          <w:tab/>
        </w:r>
        <w:r>
          <w:fldChar w:fldCharType="begin"/>
        </w:r>
        <w:r>
          <w:instrText xml:space="preserve">PAGEREF 8516 \h</w:instrText>
        </w:r>
        <w:r>
          <w:fldChar w:fldCharType="end"/>
        </w:r>
      </w:hyperlink>
    </w:p>
    <w:p>
      <w:pPr>
        <w:tabs>
          <w:tab w:val="right" w:leader="dot" w:pos="9062"/>
        </w:tabs>
        <w:ind w:left="440"/>
      </w:pPr>
      <w:hyperlink w:anchor="_Toc8517" w:history="1">
        <w:r>
          <w:rPr>
            <w:rFonts w:ascii="IRNazanin" w:hAnsi="IRNazanin" w:eastAsia="IRNazanin" w:cs="IRNazanin"/>
            <w:color w:val="111111"/>
            <w:sz w:val="22"/>
            <w:szCs w:val="22"/>
            <w:b w:val="0"/>
            <w:bCs w:val="0"/>
            <w:i w:val="0"/>
            <w:iCs w:val="0"/>
          </w:rPr>
          <w:t>7410- دیوان نادری مشهدی أو شعره‏</w:t>
        </w:r>
        <w:r>
          <w:tab/>
        </w:r>
        <w:r>
          <w:fldChar w:fldCharType="begin"/>
        </w:r>
        <w:r>
          <w:instrText xml:space="preserve">PAGEREF 8517 \h</w:instrText>
        </w:r>
        <w:r>
          <w:fldChar w:fldCharType="end"/>
        </w:r>
      </w:hyperlink>
    </w:p>
    <w:p>
      <w:pPr>
        <w:tabs>
          <w:tab w:val="right" w:leader="dot" w:pos="9062"/>
        </w:tabs>
        <w:ind w:left="440"/>
      </w:pPr>
      <w:hyperlink w:anchor="_Toc8518" w:history="1">
        <w:r>
          <w:rPr>
            <w:rFonts w:ascii="IRNazanin" w:hAnsi="IRNazanin" w:eastAsia="IRNazanin" w:cs="IRNazanin"/>
            <w:color w:val="111111"/>
            <w:sz w:val="22"/>
            <w:szCs w:val="22"/>
            <w:b w:val="0"/>
            <w:bCs w:val="0"/>
            <w:i w:val="0"/>
            <w:iCs w:val="0"/>
          </w:rPr>
          <w:t>7411- دیوان نادری هروی أو شعره‏</w:t>
        </w:r>
        <w:r>
          <w:tab/>
        </w:r>
        <w:r>
          <w:fldChar w:fldCharType="begin"/>
        </w:r>
        <w:r>
          <w:instrText xml:space="preserve">PAGEREF 8518 \h</w:instrText>
        </w:r>
        <w:r>
          <w:fldChar w:fldCharType="end"/>
        </w:r>
      </w:hyperlink>
    </w:p>
    <w:p>
      <w:pPr>
        <w:tabs>
          <w:tab w:val="right" w:leader="dot" w:pos="9062"/>
        </w:tabs>
        <w:ind w:left="440"/>
      </w:pPr>
      <w:hyperlink w:anchor="_Toc8519" w:history="1">
        <w:r>
          <w:rPr>
            <w:rFonts w:ascii="IRNazanin" w:hAnsi="IRNazanin" w:eastAsia="IRNazanin" w:cs="IRNazanin"/>
            <w:color w:val="111111"/>
            <w:sz w:val="22"/>
            <w:szCs w:val="22"/>
            <w:b w:val="0"/>
            <w:bCs w:val="0"/>
            <w:i w:val="0"/>
            <w:iCs w:val="0"/>
          </w:rPr>
          <w:t>7412- دیوان ناد علی أصفهانی‏</w:t>
        </w:r>
        <w:r>
          <w:tab/>
        </w:r>
        <w:r>
          <w:fldChar w:fldCharType="begin"/>
        </w:r>
        <w:r>
          <w:instrText xml:space="preserve">PAGEREF 8519 \h</w:instrText>
        </w:r>
        <w:r>
          <w:fldChar w:fldCharType="end"/>
        </w:r>
      </w:hyperlink>
    </w:p>
    <w:p>
      <w:pPr>
        <w:tabs>
          <w:tab w:val="right" w:leader="dot" w:pos="9062"/>
        </w:tabs>
        <w:ind w:left="440"/>
      </w:pPr>
      <w:hyperlink w:anchor="_Toc8520" w:history="1">
        <w:r>
          <w:rPr>
            <w:rFonts w:ascii="IRNazanin" w:hAnsi="IRNazanin" w:eastAsia="IRNazanin" w:cs="IRNazanin"/>
            <w:color w:val="111111"/>
            <w:sz w:val="22"/>
            <w:szCs w:val="22"/>
            <w:b w:val="0"/>
            <w:bCs w:val="0"/>
            <w:i w:val="0"/>
            <w:iCs w:val="0"/>
          </w:rPr>
          <w:t>7413- دیوان نادم جاجرمی‏</w:t>
        </w:r>
        <w:r>
          <w:tab/>
        </w:r>
        <w:r>
          <w:fldChar w:fldCharType="begin"/>
        </w:r>
        <w:r>
          <w:instrText xml:space="preserve">PAGEREF 8520 \h</w:instrText>
        </w:r>
        <w:r>
          <w:fldChar w:fldCharType="end"/>
        </w:r>
      </w:hyperlink>
    </w:p>
    <w:p>
      <w:pPr>
        <w:tabs>
          <w:tab w:val="right" w:leader="dot" w:pos="9062"/>
        </w:tabs>
        <w:ind w:left="440"/>
      </w:pPr>
      <w:hyperlink w:anchor="_Toc8521" w:history="1">
        <w:r>
          <w:rPr>
            <w:rFonts w:ascii="IRNazanin" w:hAnsi="IRNazanin" w:eastAsia="IRNazanin" w:cs="IRNazanin"/>
            <w:color w:val="111111"/>
            <w:sz w:val="22"/>
            <w:szCs w:val="22"/>
            <w:b w:val="0"/>
            <w:bCs w:val="0"/>
            <w:i w:val="0"/>
            <w:iCs w:val="0"/>
          </w:rPr>
          <w:t>7414- دیوان نادم شفیعی‏</w:t>
        </w:r>
        <w:r>
          <w:tab/>
        </w:r>
        <w:r>
          <w:fldChar w:fldCharType="begin"/>
        </w:r>
        <w:r>
          <w:instrText xml:space="preserve">PAGEREF 8521 \h</w:instrText>
        </w:r>
        <w:r>
          <w:fldChar w:fldCharType="end"/>
        </w:r>
      </w:hyperlink>
    </w:p>
    <w:p>
      <w:pPr>
        <w:tabs>
          <w:tab w:val="right" w:leader="dot" w:pos="9062"/>
        </w:tabs>
        <w:ind w:left="440"/>
      </w:pPr>
      <w:hyperlink w:anchor="_Toc8522" w:history="1">
        <w:r>
          <w:rPr>
            <w:rFonts w:ascii="IRNazanin" w:hAnsi="IRNazanin" w:eastAsia="IRNazanin" w:cs="IRNazanin"/>
            <w:color w:val="111111"/>
            <w:sz w:val="22"/>
            <w:szCs w:val="22"/>
            <w:b w:val="0"/>
            <w:bCs w:val="0"/>
            <w:i w:val="0"/>
            <w:iCs w:val="0"/>
          </w:rPr>
          <w:t>دیوان نادم کایتة</w:t>
        </w:r>
        <w:r>
          <w:tab/>
        </w:r>
        <w:r>
          <w:fldChar w:fldCharType="begin"/>
        </w:r>
        <w:r>
          <w:instrText xml:space="preserve">PAGEREF 8522 \h</w:instrText>
        </w:r>
        <w:r>
          <w:fldChar w:fldCharType="end"/>
        </w:r>
      </w:hyperlink>
    </w:p>
    <w:p>
      <w:pPr>
        <w:tabs>
          <w:tab w:val="right" w:leader="dot" w:pos="9062"/>
        </w:tabs>
        <w:ind w:left="440"/>
      </w:pPr>
      <w:hyperlink w:anchor="_Toc8523" w:history="1">
        <w:r>
          <w:rPr>
            <w:rFonts w:ascii="IRNazanin" w:hAnsi="IRNazanin" w:eastAsia="IRNazanin" w:cs="IRNazanin"/>
            <w:color w:val="111111"/>
            <w:sz w:val="22"/>
            <w:szCs w:val="22"/>
            <w:b w:val="0"/>
            <w:bCs w:val="0"/>
            <w:i w:val="0"/>
            <w:iCs w:val="0"/>
          </w:rPr>
          <w:t>دیوان نادم گیلانی‏</w:t>
        </w:r>
        <w:r>
          <w:tab/>
        </w:r>
        <w:r>
          <w:fldChar w:fldCharType="begin"/>
        </w:r>
        <w:r>
          <w:instrText xml:space="preserve">PAGEREF 8523 \h</w:instrText>
        </w:r>
        <w:r>
          <w:fldChar w:fldCharType="end"/>
        </w:r>
      </w:hyperlink>
    </w:p>
    <w:p>
      <w:pPr>
        <w:tabs>
          <w:tab w:val="right" w:leader="dot" w:pos="9062"/>
        </w:tabs>
        <w:ind w:left="440"/>
      </w:pPr>
      <w:hyperlink w:anchor="_Toc8524" w:history="1">
        <w:r>
          <w:rPr>
            <w:rFonts w:ascii="IRNazanin" w:hAnsi="IRNazanin" w:eastAsia="IRNazanin" w:cs="IRNazanin"/>
            <w:color w:val="111111"/>
            <w:sz w:val="22"/>
            <w:szCs w:val="22"/>
            <w:b w:val="0"/>
            <w:bCs w:val="0"/>
            <w:i w:val="0"/>
            <w:iCs w:val="0"/>
          </w:rPr>
          <w:t>7415- دیوان نادم لاهیجی‏</w:t>
        </w:r>
        <w:r>
          <w:tab/>
        </w:r>
        <w:r>
          <w:fldChar w:fldCharType="begin"/>
        </w:r>
        <w:r>
          <w:instrText xml:space="preserve">PAGEREF 8524 \h</w:instrText>
        </w:r>
        <w:r>
          <w:fldChar w:fldCharType="end"/>
        </w:r>
      </w:hyperlink>
    </w:p>
    <w:p>
      <w:pPr>
        <w:tabs>
          <w:tab w:val="right" w:leader="dot" w:pos="9062"/>
        </w:tabs>
        <w:ind w:left="440"/>
      </w:pPr>
      <w:hyperlink w:anchor="_Toc8525" w:history="1">
        <w:r>
          <w:rPr>
            <w:rFonts w:ascii="IRNazanin" w:hAnsi="IRNazanin" w:eastAsia="IRNazanin" w:cs="IRNazanin"/>
            <w:color w:val="111111"/>
            <w:sz w:val="22"/>
            <w:szCs w:val="22"/>
            <w:b w:val="0"/>
            <w:bCs w:val="0"/>
            <w:i w:val="0"/>
            <w:iCs w:val="0"/>
          </w:rPr>
          <w:t>7416- دیوان نادم لکهنوی أو شعره‏</w:t>
        </w:r>
        <w:r>
          <w:tab/>
        </w:r>
        <w:r>
          <w:fldChar w:fldCharType="begin"/>
        </w:r>
        <w:r>
          <w:instrText xml:space="preserve">PAGEREF 8525 \h</w:instrText>
        </w:r>
        <w:r>
          <w:fldChar w:fldCharType="end"/>
        </w:r>
      </w:hyperlink>
    </w:p>
    <w:p>
      <w:pPr>
        <w:tabs>
          <w:tab w:val="right" w:leader="dot" w:pos="9062"/>
        </w:tabs>
        <w:ind w:left="440"/>
      </w:pPr>
      <w:hyperlink w:anchor="_Toc8526" w:history="1">
        <w:r>
          <w:rPr>
            <w:rFonts w:ascii="IRNazanin" w:hAnsi="IRNazanin" w:eastAsia="IRNazanin" w:cs="IRNazanin"/>
            <w:color w:val="111111"/>
            <w:sz w:val="22"/>
            <w:szCs w:val="22"/>
            <w:b w:val="0"/>
            <w:bCs w:val="0"/>
            <w:i w:val="0"/>
            <w:iCs w:val="0"/>
          </w:rPr>
          <w:t>7417- دیوان نادم هروی أو شعره‏</w:t>
        </w:r>
        <w:r>
          <w:tab/>
        </w:r>
        <w:r>
          <w:fldChar w:fldCharType="begin"/>
        </w:r>
        <w:r>
          <w:instrText xml:space="preserve">PAGEREF 8526 \h</w:instrText>
        </w:r>
        <w:r>
          <w:fldChar w:fldCharType="end"/>
        </w:r>
      </w:hyperlink>
    </w:p>
    <w:p>
      <w:pPr>
        <w:tabs>
          <w:tab w:val="right" w:leader="dot" w:pos="9062"/>
        </w:tabs>
        <w:ind w:left="440"/>
      </w:pPr>
      <w:hyperlink w:anchor="_Toc8527" w:history="1">
        <w:r>
          <w:rPr>
            <w:rFonts w:ascii="IRNazanin" w:hAnsi="IRNazanin" w:eastAsia="IRNazanin" w:cs="IRNazanin"/>
            <w:color w:val="111111"/>
            <w:sz w:val="22"/>
            <w:szCs w:val="22"/>
            <w:b w:val="0"/>
            <w:bCs w:val="0"/>
            <w:i w:val="0"/>
            <w:iCs w:val="0"/>
          </w:rPr>
          <w:t>7418- دیوان نادمی أصفهانی أو شعره‏</w:t>
        </w:r>
        <w:r>
          <w:tab/>
        </w:r>
        <w:r>
          <w:fldChar w:fldCharType="begin"/>
        </w:r>
        <w:r>
          <w:instrText xml:space="preserve">PAGEREF 8527 \h</w:instrText>
        </w:r>
        <w:r>
          <w:fldChar w:fldCharType="end"/>
        </w:r>
      </w:hyperlink>
    </w:p>
    <w:p>
      <w:pPr>
        <w:tabs>
          <w:tab w:val="right" w:leader="dot" w:pos="9062"/>
        </w:tabs>
        <w:ind w:left="440"/>
      </w:pPr>
      <w:hyperlink w:anchor="_Toc8528" w:history="1">
        <w:r>
          <w:rPr>
            <w:rFonts w:ascii="IRNazanin" w:hAnsi="IRNazanin" w:eastAsia="IRNazanin" w:cs="IRNazanin"/>
            <w:color w:val="111111"/>
            <w:sz w:val="22"/>
            <w:szCs w:val="22"/>
            <w:b w:val="0"/>
            <w:bCs w:val="0"/>
            <w:i w:val="0"/>
            <w:iCs w:val="0"/>
          </w:rPr>
          <w:t>7419- دیوان نارنجی أو شعره‏</w:t>
        </w:r>
        <w:r>
          <w:tab/>
        </w:r>
        <w:r>
          <w:fldChar w:fldCharType="begin"/>
        </w:r>
        <w:r>
          <w:instrText xml:space="preserve">PAGEREF 8528 \h</w:instrText>
        </w:r>
        <w:r>
          <w:fldChar w:fldCharType="end"/>
        </w:r>
      </w:hyperlink>
    </w:p>
    <w:p>
      <w:pPr>
        <w:tabs>
          <w:tab w:val="right" w:leader="dot" w:pos="9062"/>
        </w:tabs>
        <w:ind w:left="440"/>
      </w:pPr>
      <w:hyperlink w:anchor="_Toc8529" w:history="1">
        <w:r>
          <w:rPr>
            <w:rFonts w:ascii="IRNazanin" w:hAnsi="IRNazanin" w:eastAsia="IRNazanin" w:cs="IRNazanin"/>
            <w:color w:val="111111"/>
            <w:sz w:val="22"/>
            <w:szCs w:val="22"/>
            <w:b w:val="0"/>
            <w:bCs w:val="0"/>
            <w:i w:val="0"/>
            <w:iCs w:val="0"/>
          </w:rPr>
          <w:t>دیوان نازک خراسانی‏</w:t>
        </w:r>
        <w:r>
          <w:tab/>
        </w:r>
        <w:r>
          <w:fldChar w:fldCharType="begin"/>
        </w:r>
        <w:r>
          <w:instrText xml:space="preserve">PAGEREF 8529 \h</w:instrText>
        </w:r>
        <w:r>
          <w:fldChar w:fldCharType="end"/>
        </w:r>
      </w:hyperlink>
    </w:p>
    <w:p>
      <w:pPr>
        <w:tabs>
          <w:tab w:val="right" w:leader="dot" w:pos="9062"/>
        </w:tabs>
        <w:ind w:left="440"/>
      </w:pPr>
      <w:hyperlink w:anchor="_Toc8530" w:history="1">
        <w:r>
          <w:rPr>
            <w:rFonts w:ascii="IRNazanin" w:hAnsi="IRNazanin" w:eastAsia="IRNazanin" w:cs="IRNazanin"/>
            <w:color w:val="111111"/>
            <w:sz w:val="22"/>
            <w:szCs w:val="22"/>
            <w:b w:val="0"/>
            <w:bCs w:val="0"/>
            <w:i w:val="0"/>
            <w:iCs w:val="0"/>
          </w:rPr>
          <w:t>7420- دیوان نازک الملائکة</w:t>
        </w:r>
        <w:r>
          <w:tab/>
        </w:r>
        <w:r>
          <w:fldChar w:fldCharType="begin"/>
        </w:r>
        <w:r>
          <w:instrText xml:space="preserve">PAGEREF 8530 \h</w:instrText>
        </w:r>
        <w:r>
          <w:fldChar w:fldCharType="end"/>
        </w:r>
      </w:hyperlink>
    </w:p>
    <w:p>
      <w:pPr>
        <w:tabs>
          <w:tab w:val="right" w:leader="dot" w:pos="9062"/>
        </w:tabs>
        <w:ind w:left="440"/>
      </w:pPr>
      <w:hyperlink w:anchor="_Toc8531" w:history="1">
        <w:r>
          <w:rPr>
            <w:rFonts w:ascii="IRNazanin" w:hAnsi="IRNazanin" w:eastAsia="IRNazanin" w:cs="IRNazanin"/>
            <w:color w:val="111111"/>
            <w:sz w:val="22"/>
            <w:szCs w:val="22"/>
            <w:b w:val="0"/>
            <w:bCs w:val="0"/>
            <w:i w:val="0"/>
            <w:iCs w:val="0"/>
          </w:rPr>
          <w:t>7421- دیوان نازکی أسترآبادی أو شعره‏</w:t>
        </w:r>
        <w:r>
          <w:tab/>
        </w:r>
        <w:r>
          <w:fldChar w:fldCharType="begin"/>
        </w:r>
        <w:r>
          <w:instrText xml:space="preserve">PAGEREF 8531 \h</w:instrText>
        </w:r>
        <w:r>
          <w:fldChar w:fldCharType="end"/>
        </w:r>
      </w:hyperlink>
    </w:p>
    <w:p>
      <w:pPr>
        <w:tabs>
          <w:tab w:val="right" w:leader="dot" w:pos="9062"/>
        </w:tabs>
        <w:ind w:left="440"/>
      </w:pPr>
      <w:hyperlink w:anchor="_Toc8532" w:history="1">
        <w:r>
          <w:rPr>
            <w:rFonts w:ascii="IRNazanin" w:hAnsi="IRNazanin" w:eastAsia="IRNazanin" w:cs="IRNazanin"/>
            <w:color w:val="111111"/>
            <w:sz w:val="22"/>
            <w:szCs w:val="22"/>
            <w:b w:val="0"/>
            <w:bCs w:val="0"/>
            <w:i w:val="0"/>
            <w:iCs w:val="0"/>
          </w:rPr>
          <w:t>7422- دیوان نازکی تبریزی أو شعره‏</w:t>
        </w:r>
        <w:r>
          <w:tab/>
        </w:r>
        <w:r>
          <w:fldChar w:fldCharType="begin"/>
        </w:r>
        <w:r>
          <w:instrText xml:space="preserve">PAGEREF 8532 \h</w:instrText>
        </w:r>
        <w:r>
          <w:fldChar w:fldCharType="end"/>
        </w:r>
      </w:hyperlink>
    </w:p>
    <w:p>
      <w:pPr>
        <w:tabs>
          <w:tab w:val="right" w:leader="dot" w:pos="9062"/>
        </w:tabs>
        <w:ind w:left="440"/>
      </w:pPr>
      <w:hyperlink w:anchor="_Toc8533" w:history="1">
        <w:r>
          <w:rPr>
            <w:rFonts w:ascii="IRNazanin" w:hAnsi="IRNazanin" w:eastAsia="IRNazanin" w:cs="IRNazanin"/>
            <w:color w:val="111111"/>
            <w:sz w:val="22"/>
            <w:szCs w:val="22"/>
            <w:b w:val="0"/>
            <w:bCs w:val="0"/>
            <w:i w:val="0"/>
            <w:iCs w:val="0"/>
          </w:rPr>
          <w:t>7423- دیوان درویش نازکی خراسانی أو شعره‏</w:t>
        </w:r>
        <w:r>
          <w:tab/>
        </w:r>
        <w:r>
          <w:fldChar w:fldCharType="begin"/>
        </w:r>
        <w:r>
          <w:instrText xml:space="preserve">PAGEREF 8533 \h</w:instrText>
        </w:r>
        <w:r>
          <w:fldChar w:fldCharType="end"/>
        </w:r>
      </w:hyperlink>
    </w:p>
    <w:p>
      <w:pPr>
        <w:tabs>
          <w:tab w:val="right" w:leader="dot" w:pos="9062"/>
        </w:tabs>
        <w:ind w:left="440"/>
      </w:pPr>
      <w:hyperlink w:anchor="_Toc8534" w:history="1">
        <w:r>
          <w:rPr>
            <w:rFonts w:ascii="IRNazanin" w:hAnsi="IRNazanin" w:eastAsia="IRNazanin" w:cs="IRNazanin"/>
            <w:color w:val="111111"/>
            <w:sz w:val="22"/>
            <w:szCs w:val="22"/>
            <w:b w:val="0"/>
            <w:bCs w:val="0"/>
            <w:i w:val="0"/>
            <w:iCs w:val="0"/>
          </w:rPr>
          <w:t>7424- دیوان نازکی مراغی أو شعره‏</w:t>
        </w:r>
        <w:r>
          <w:tab/>
        </w:r>
        <w:r>
          <w:fldChar w:fldCharType="begin"/>
        </w:r>
        <w:r>
          <w:instrText xml:space="preserve">PAGEREF 8534 \h</w:instrText>
        </w:r>
        <w:r>
          <w:fldChar w:fldCharType="end"/>
        </w:r>
      </w:hyperlink>
    </w:p>
    <w:p>
      <w:pPr>
        <w:tabs>
          <w:tab w:val="right" w:leader="dot" w:pos="9062"/>
        </w:tabs>
        <w:ind w:left="440"/>
      </w:pPr>
      <w:hyperlink w:anchor="_Toc8535" w:history="1">
        <w:r>
          <w:rPr>
            <w:rFonts w:ascii="IRNazanin" w:hAnsi="IRNazanin" w:eastAsia="IRNazanin" w:cs="IRNazanin"/>
            <w:color w:val="111111"/>
            <w:sz w:val="22"/>
            <w:szCs w:val="22"/>
            <w:b w:val="0"/>
            <w:bCs w:val="0"/>
            <w:i w:val="0"/>
            <w:iCs w:val="0"/>
          </w:rPr>
          <w:t>7425- دیوان نازکی نهاوندی‏</w:t>
        </w:r>
        <w:r>
          <w:tab/>
        </w:r>
        <w:r>
          <w:fldChar w:fldCharType="begin"/>
        </w:r>
        <w:r>
          <w:instrText xml:space="preserve">PAGEREF 8535 \h</w:instrText>
        </w:r>
        <w:r>
          <w:fldChar w:fldCharType="end"/>
        </w:r>
      </w:hyperlink>
    </w:p>
    <w:p>
      <w:pPr>
        <w:tabs>
          <w:tab w:val="right" w:leader="dot" w:pos="9062"/>
        </w:tabs>
        <w:ind w:left="440"/>
      </w:pPr>
      <w:hyperlink w:anchor="_Toc8536" w:history="1">
        <w:r>
          <w:rPr>
            <w:rFonts w:ascii="IRNazanin" w:hAnsi="IRNazanin" w:eastAsia="IRNazanin" w:cs="IRNazanin"/>
            <w:color w:val="111111"/>
            <w:sz w:val="22"/>
            <w:szCs w:val="22"/>
            <w:b w:val="0"/>
            <w:bCs w:val="0"/>
            <w:i w:val="0"/>
            <w:iCs w:val="0"/>
          </w:rPr>
          <w:t>7426- دیوان نازکی همدانی‏</w:t>
        </w:r>
        <w:r>
          <w:tab/>
        </w:r>
        <w:r>
          <w:fldChar w:fldCharType="begin"/>
        </w:r>
        <w:r>
          <w:instrText xml:space="preserve">PAGEREF 8536 \h</w:instrText>
        </w:r>
        <w:r>
          <w:fldChar w:fldCharType="end"/>
        </w:r>
      </w:hyperlink>
    </w:p>
    <w:p>
      <w:pPr>
        <w:tabs>
          <w:tab w:val="right" w:leader="dot" w:pos="9062"/>
        </w:tabs>
        <w:ind w:left="440"/>
      </w:pPr>
      <w:hyperlink w:anchor="_Toc8537" w:history="1">
        <w:r>
          <w:rPr>
            <w:rFonts w:ascii="IRNazanin" w:hAnsi="IRNazanin" w:eastAsia="IRNazanin" w:cs="IRNazanin"/>
            <w:color w:val="111111"/>
            <w:sz w:val="22"/>
            <w:szCs w:val="22"/>
            <w:b w:val="0"/>
            <w:bCs w:val="0"/>
            <w:i w:val="0"/>
            <w:iCs w:val="0"/>
          </w:rPr>
          <w:t>7427- دیوان نازنینی سبزواری‏</w:t>
        </w:r>
        <w:r>
          <w:tab/>
        </w:r>
        <w:r>
          <w:fldChar w:fldCharType="begin"/>
        </w:r>
        <w:r>
          <w:instrText xml:space="preserve">PAGEREF 8537 \h</w:instrText>
        </w:r>
        <w:r>
          <w:fldChar w:fldCharType="end"/>
        </w:r>
      </w:hyperlink>
    </w:p>
    <w:p>
      <w:pPr>
        <w:tabs>
          <w:tab w:val="right" w:leader="dot" w:pos="9062"/>
        </w:tabs>
        <w:ind w:left="440"/>
      </w:pPr>
      <w:hyperlink w:anchor="_Toc8538" w:history="1">
        <w:r>
          <w:rPr>
            <w:rFonts w:ascii="IRNazanin" w:hAnsi="IRNazanin" w:eastAsia="IRNazanin" w:cs="IRNazanin"/>
            <w:color w:val="111111"/>
            <w:sz w:val="22"/>
            <w:szCs w:val="22"/>
            <w:b w:val="0"/>
            <w:bCs w:val="0"/>
            <w:i w:val="0"/>
            <w:iCs w:val="0"/>
          </w:rPr>
          <w:t>دیوان ناسخ ترک‏</w:t>
        </w:r>
        <w:r>
          <w:tab/>
        </w:r>
        <w:r>
          <w:fldChar w:fldCharType="begin"/>
        </w:r>
        <w:r>
          <w:instrText xml:space="preserve">PAGEREF 8538 \h</w:instrText>
        </w:r>
        <w:r>
          <w:fldChar w:fldCharType="end"/>
        </w:r>
      </w:hyperlink>
    </w:p>
    <w:p>
      <w:pPr>
        <w:tabs>
          <w:tab w:val="right" w:leader="dot" w:pos="9062"/>
        </w:tabs>
        <w:ind w:left="440"/>
      </w:pPr>
      <w:hyperlink w:anchor="_Toc8539" w:history="1">
        <w:r>
          <w:rPr>
            <w:rFonts w:ascii="IRNazanin" w:hAnsi="IRNazanin" w:eastAsia="IRNazanin" w:cs="IRNazanin"/>
            <w:color w:val="111111"/>
            <w:sz w:val="22"/>
            <w:szCs w:val="22"/>
            <w:b w:val="0"/>
            <w:bCs w:val="0"/>
            <w:i w:val="0"/>
            <w:iCs w:val="0"/>
          </w:rPr>
          <w:t>7428- دیوان ناسخ قاجار أو شعره‏</w:t>
        </w:r>
        <w:r>
          <w:tab/>
        </w:r>
        <w:r>
          <w:fldChar w:fldCharType="begin"/>
        </w:r>
        <w:r>
          <w:instrText xml:space="preserve">PAGEREF 8539 \h</w:instrText>
        </w:r>
        <w:r>
          <w:fldChar w:fldCharType="end"/>
        </w:r>
      </w:hyperlink>
    </w:p>
    <w:p>
      <w:pPr>
        <w:tabs>
          <w:tab w:val="right" w:leader="dot" w:pos="9062"/>
        </w:tabs>
        <w:ind w:left="440"/>
      </w:pPr>
      <w:hyperlink w:anchor="_Toc8540" w:history="1">
        <w:r>
          <w:rPr>
            <w:rFonts w:ascii="IRNazanin" w:hAnsi="IRNazanin" w:eastAsia="IRNazanin" w:cs="IRNazanin"/>
            <w:color w:val="111111"/>
            <w:sz w:val="22"/>
            <w:szCs w:val="22"/>
            <w:b w:val="0"/>
            <w:bCs w:val="0"/>
            <w:i w:val="0"/>
            <w:iCs w:val="0"/>
          </w:rPr>
          <w:t>7429- دیوان ناسخ لکهنوی‏</w:t>
        </w:r>
        <w:r>
          <w:tab/>
        </w:r>
        <w:r>
          <w:fldChar w:fldCharType="begin"/>
        </w:r>
        <w:r>
          <w:instrText xml:space="preserve">PAGEREF 8540 \h</w:instrText>
        </w:r>
        <w:r>
          <w:fldChar w:fldCharType="end"/>
        </w:r>
      </w:hyperlink>
    </w:p>
    <w:p>
      <w:pPr>
        <w:tabs>
          <w:tab w:val="right" w:leader="dot" w:pos="9062"/>
        </w:tabs>
        <w:ind w:left="440"/>
      </w:pPr>
      <w:hyperlink w:anchor="_Toc8541" w:history="1">
        <w:r>
          <w:rPr>
            <w:rFonts w:ascii="IRNazanin" w:hAnsi="IRNazanin" w:eastAsia="IRNazanin" w:cs="IRNazanin"/>
            <w:color w:val="111111"/>
            <w:sz w:val="22"/>
            <w:szCs w:val="22"/>
            <w:b w:val="0"/>
            <w:bCs w:val="0"/>
            <w:i w:val="0"/>
            <w:iCs w:val="0"/>
          </w:rPr>
          <w:t>دیوان الناشی‏</w:t>
        </w:r>
        <w:r>
          <w:tab/>
        </w:r>
        <w:r>
          <w:fldChar w:fldCharType="begin"/>
        </w:r>
        <w:r>
          <w:instrText xml:space="preserve">PAGEREF 8541 \h</w:instrText>
        </w:r>
        <w:r>
          <w:fldChar w:fldCharType="end"/>
        </w:r>
      </w:hyperlink>
    </w:p>
    <w:p>
      <w:pPr>
        <w:tabs>
          <w:tab w:val="right" w:leader="dot" w:pos="9062"/>
        </w:tabs>
        <w:ind w:left="440"/>
      </w:pPr>
      <w:hyperlink w:anchor="_Toc8542" w:history="1">
        <w:r>
          <w:rPr>
            <w:rFonts w:ascii="IRNazanin" w:hAnsi="IRNazanin" w:eastAsia="IRNazanin" w:cs="IRNazanin"/>
            <w:color w:val="111111"/>
            <w:sz w:val="22"/>
            <w:szCs w:val="22"/>
            <w:b w:val="0"/>
            <w:bCs w:val="0"/>
            <w:i w:val="0"/>
            <w:iCs w:val="0"/>
          </w:rPr>
          <w:t>7430- دیوان ناشی‏</w:t>
        </w:r>
        <w:r>
          <w:tab/>
        </w:r>
        <w:r>
          <w:fldChar w:fldCharType="begin"/>
        </w:r>
        <w:r>
          <w:instrText xml:space="preserve">PAGEREF 8542 \h</w:instrText>
        </w:r>
        <w:r>
          <w:fldChar w:fldCharType="end"/>
        </w:r>
      </w:hyperlink>
    </w:p>
    <w:p>
      <w:pPr>
        <w:tabs>
          <w:tab w:val="right" w:leader="dot" w:pos="9062"/>
        </w:tabs>
        <w:ind w:left="440"/>
      </w:pPr>
      <w:hyperlink w:anchor="_Toc8543" w:history="1">
        <w:r>
          <w:rPr>
            <w:rFonts w:ascii="IRNazanin" w:hAnsi="IRNazanin" w:eastAsia="IRNazanin" w:cs="IRNazanin"/>
            <w:color w:val="111111"/>
            <w:sz w:val="22"/>
            <w:szCs w:val="22"/>
            <w:b w:val="0"/>
            <w:bCs w:val="0"/>
            <w:i w:val="0"/>
            <w:iCs w:val="0"/>
          </w:rPr>
          <w:t>دیوان ناصح أصفهانی‏</w:t>
        </w:r>
        <w:r>
          <w:tab/>
        </w:r>
        <w:r>
          <w:fldChar w:fldCharType="begin"/>
        </w:r>
        <w:r>
          <w:instrText xml:space="preserve">PAGEREF 8543 \h</w:instrText>
        </w:r>
        <w:r>
          <w:fldChar w:fldCharType="end"/>
        </w:r>
      </w:hyperlink>
    </w:p>
    <w:p>
      <w:pPr>
        <w:tabs>
          <w:tab w:val="right" w:leader="dot" w:pos="9062"/>
        </w:tabs>
        <w:ind w:left="440"/>
      </w:pPr>
      <w:hyperlink w:anchor="_Toc8544" w:history="1">
        <w:r>
          <w:rPr>
            <w:rFonts w:ascii="IRNazanin" w:hAnsi="IRNazanin" w:eastAsia="IRNazanin" w:cs="IRNazanin"/>
            <w:color w:val="111111"/>
            <w:sz w:val="22"/>
            <w:szCs w:val="22"/>
            <w:b w:val="0"/>
            <w:bCs w:val="0"/>
            <w:i w:val="0"/>
            <w:iCs w:val="0"/>
          </w:rPr>
          <w:t>دیوان ناصح أصفهانی‏</w:t>
        </w:r>
        <w:r>
          <w:tab/>
        </w:r>
        <w:r>
          <w:fldChar w:fldCharType="begin"/>
        </w:r>
        <w:r>
          <w:instrText xml:space="preserve">PAGEREF 8544 \h</w:instrText>
        </w:r>
        <w:r>
          <w:fldChar w:fldCharType="end"/>
        </w:r>
      </w:hyperlink>
    </w:p>
    <w:p>
      <w:pPr>
        <w:tabs>
          <w:tab w:val="right" w:leader="dot" w:pos="9062"/>
        </w:tabs>
        <w:ind w:left="440"/>
      </w:pPr>
      <w:hyperlink w:anchor="_Toc8545" w:history="1">
        <w:r>
          <w:rPr>
            <w:rFonts w:ascii="IRNazanin" w:hAnsi="IRNazanin" w:eastAsia="IRNazanin" w:cs="IRNazanin"/>
            <w:color w:val="111111"/>
            <w:sz w:val="22"/>
            <w:szCs w:val="22"/>
            <w:b w:val="0"/>
            <w:bCs w:val="0"/>
            <w:i w:val="0"/>
            <w:iCs w:val="0"/>
          </w:rPr>
          <w:t>7431- دیوان ناصح بروجردی أو شعره‏</w:t>
        </w:r>
        <w:r>
          <w:tab/>
        </w:r>
        <w:r>
          <w:fldChar w:fldCharType="begin"/>
        </w:r>
        <w:r>
          <w:instrText xml:space="preserve">PAGEREF 8545 \h</w:instrText>
        </w:r>
        <w:r>
          <w:fldChar w:fldCharType="end"/>
        </w:r>
      </w:hyperlink>
    </w:p>
    <w:p>
      <w:pPr>
        <w:tabs>
          <w:tab w:val="right" w:leader="dot" w:pos="9062"/>
        </w:tabs>
        <w:ind w:left="440"/>
      </w:pPr>
      <w:hyperlink w:anchor="_Toc8546" w:history="1">
        <w:r>
          <w:rPr>
            <w:rFonts w:ascii="IRNazanin" w:hAnsi="IRNazanin" w:eastAsia="IRNazanin" w:cs="IRNazanin"/>
            <w:color w:val="111111"/>
            <w:sz w:val="22"/>
            <w:szCs w:val="22"/>
            <w:b w:val="0"/>
            <w:bCs w:val="0"/>
            <w:i w:val="0"/>
            <w:iCs w:val="0"/>
          </w:rPr>
          <w:t>7432- دیوان ناصح تهرانی أو شعره‏</w:t>
        </w:r>
        <w:r>
          <w:tab/>
        </w:r>
        <w:r>
          <w:fldChar w:fldCharType="begin"/>
        </w:r>
        <w:r>
          <w:instrText xml:space="preserve">PAGEREF 8546 \h</w:instrText>
        </w:r>
        <w:r>
          <w:fldChar w:fldCharType="end"/>
        </w:r>
      </w:hyperlink>
    </w:p>
    <w:p>
      <w:pPr>
        <w:tabs>
          <w:tab w:val="right" w:leader="dot" w:pos="9062"/>
        </w:tabs>
        <w:ind w:left="440"/>
      </w:pPr>
      <w:hyperlink w:anchor="_Toc8547" w:history="1">
        <w:r>
          <w:rPr>
            <w:rFonts w:ascii="IRNazanin" w:hAnsi="IRNazanin" w:eastAsia="IRNazanin" w:cs="IRNazanin"/>
            <w:color w:val="111111"/>
            <w:sz w:val="22"/>
            <w:szCs w:val="22"/>
            <w:b w:val="0"/>
            <w:bCs w:val="0"/>
            <w:i w:val="0"/>
            <w:iCs w:val="0"/>
          </w:rPr>
          <w:t>7433- دیوان ناصح دهخوارقانی‏</w:t>
        </w:r>
        <w:r>
          <w:tab/>
        </w:r>
        <w:r>
          <w:fldChar w:fldCharType="begin"/>
        </w:r>
        <w:r>
          <w:instrText xml:space="preserve">PAGEREF 8547 \h</w:instrText>
        </w:r>
        <w:r>
          <w:fldChar w:fldCharType="end"/>
        </w:r>
      </w:hyperlink>
    </w:p>
    <w:p>
      <w:pPr>
        <w:tabs>
          <w:tab w:val="right" w:leader="dot" w:pos="9062"/>
        </w:tabs>
        <w:ind w:left="440"/>
      </w:pPr>
      <w:hyperlink w:anchor="_Toc8548" w:history="1">
        <w:r>
          <w:rPr>
            <w:rFonts w:ascii="IRNazanin" w:hAnsi="IRNazanin" w:eastAsia="IRNazanin" w:cs="IRNazanin"/>
            <w:color w:val="111111"/>
            <w:sz w:val="22"/>
            <w:szCs w:val="22"/>
            <w:b w:val="0"/>
            <w:bCs w:val="0"/>
            <w:i w:val="0"/>
            <w:iCs w:val="0"/>
          </w:rPr>
          <w:t>7434- دیوان ناصح قمشهی أو شعره‏</w:t>
        </w:r>
        <w:r>
          <w:tab/>
        </w:r>
        <w:r>
          <w:fldChar w:fldCharType="begin"/>
        </w:r>
        <w:r>
          <w:instrText xml:space="preserve">PAGEREF 8548 \h</w:instrText>
        </w:r>
        <w:r>
          <w:fldChar w:fldCharType="end"/>
        </w:r>
      </w:hyperlink>
    </w:p>
    <w:p>
      <w:pPr>
        <w:tabs>
          <w:tab w:val="right" w:leader="dot" w:pos="9062"/>
        </w:tabs>
        <w:ind w:left="440"/>
      </w:pPr>
      <w:hyperlink w:anchor="_Toc8549" w:history="1">
        <w:r>
          <w:rPr>
            <w:rFonts w:ascii="IRNazanin" w:hAnsi="IRNazanin" w:eastAsia="IRNazanin" w:cs="IRNazanin"/>
            <w:color w:val="111111"/>
            <w:sz w:val="22"/>
            <w:szCs w:val="22"/>
            <w:b w:val="0"/>
            <w:bCs w:val="0"/>
            <w:i w:val="0"/>
            <w:iCs w:val="0"/>
          </w:rPr>
          <w:t>7435- دیوان ناصحی أو شعره‏</w:t>
        </w:r>
        <w:r>
          <w:tab/>
        </w:r>
        <w:r>
          <w:fldChar w:fldCharType="begin"/>
        </w:r>
        <w:r>
          <w:instrText xml:space="preserve">PAGEREF 8549 \h</w:instrText>
        </w:r>
        <w:r>
          <w:fldChar w:fldCharType="end"/>
        </w:r>
      </w:hyperlink>
    </w:p>
    <w:p>
      <w:pPr>
        <w:tabs>
          <w:tab w:val="right" w:leader="dot" w:pos="9062"/>
        </w:tabs>
        <w:ind w:left="440"/>
      </w:pPr>
      <w:hyperlink w:anchor="_Toc8550" w:history="1">
        <w:r>
          <w:rPr>
            <w:rFonts w:ascii="IRNazanin" w:hAnsi="IRNazanin" w:eastAsia="IRNazanin" w:cs="IRNazanin"/>
            <w:color w:val="111111"/>
            <w:sz w:val="22"/>
            <w:szCs w:val="22"/>
            <w:b w:val="0"/>
            <w:bCs w:val="0"/>
            <w:i w:val="0"/>
            <w:iCs w:val="0"/>
          </w:rPr>
          <w:t>7436- دیوان ناصحی بدیوانی أو شعره‏</w:t>
        </w:r>
        <w:r>
          <w:tab/>
        </w:r>
        <w:r>
          <w:fldChar w:fldCharType="begin"/>
        </w:r>
        <w:r>
          <w:instrText xml:space="preserve">PAGEREF 8550 \h</w:instrText>
        </w:r>
        <w:r>
          <w:fldChar w:fldCharType="end"/>
        </w:r>
      </w:hyperlink>
    </w:p>
    <w:p>
      <w:pPr>
        <w:tabs>
          <w:tab w:val="right" w:leader="dot" w:pos="9062"/>
        </w:tabs>
        <w:ind w:left="440"/>
      </w:pPr>
      <w:hyperlink w:anchor="_Toc8551" w:history="1">
        <w:r>
          <w:rPr>
            <w:rFonts w:ascii="IRNazanin" w:hAnsi="IRNazanin" w:eastAsia="IRNazanin" w:cs="IRNazanin"/>
            <w:color w:val="111111"/>
            <w:sz w:val="22"/>
            <w:szCs w:val="22"/>
            <w:b w:val="0"/>
            <w:bCs w:val="0"/>
            <w:i w:val="0"/>
            <w:iCs w:val="0"/>
          </w:rPr>
          <w:t>دیوان ناصر</w:t>
        </w:r>
        <w:r>
          <w:tab/>
        </w:r>
        <w:r>
          <w:fldChar w:fldCharType="begin"/>
        </w:r>
        <w:r>
          <w:instrText xml:space="preserve">PAGEREF 8551 \h</w:instrText>
        </w:r>
        <w:r>
          <w:fldChar w:fldCharType="end"/>
        </w:r>
      </w:hyperlink>
    </w:p>
    <w:p>
      <w:pPr>
        <w:tabs>
          <w:tab w:val="right" w:leader="dot" w:pos="9062"/>
        </w:tabs>
        <w:ind w:left="440"/>
      </w:pPr>
      <w:hyperlink w:anchor="_Toc8552" w:history="1">
        <w:r>
          <w:rPr>
            <w:rFonts w:ascii="IRNazanin" w:hAnsi="IRNazanin" w:eastAsia="IRNazanin" w:cs="IRNazanin"/>
            <w:color w:val="111111"/>
            <w:sz w:val="22"/>
            <w:szCs w:val="22"/>
            <w:b w:val="0"/>
            <w:bCs w:val="0"/>
            <w:i w:val="0"/>
            <w:iCs w:val="0"/>
          </w:rPr>
          <w:t>7437- دیوان ناصر أصفهانی أو شعره‏</w:t>
        </w:r>
        <w:r>
          <w:tab/>
        </w:r>
        <w:r>
          <w:fldChar w:fldCharType="begin"/>
        </w:r>
        <w:r>
          <w:instrText xml:space="preserve">PAGEREF 8552 \h</w:instrText>
        </w:r>
        <w:r>
          <w:fldChar w:fldCharType="end"/>
        </w:r>
      </w:hyperlink>
    </w:p>
    <w:p>
      <w:pPr>
        <w:tabs>
          <w:tab w:val="right" w:leader="dot" w:pos="9062"/>
        </w:tabs>
        <w:ind w:left="440"/>
      </w:pPr>
      <w:hyperlink w:anchor="_Toc8553" w:history="1">
        <w:r>
          <w:rPr>
            <w:rFonts w:ascii="IRNazanin" w:hAnsi="IRNazanin" w:eastAsia="IRNazanin" w:cs="IRNazanin"/>
            <w:color w:val="111111"/>
            <w:sz w:val="22"/>
            <w:szCs w:val="22"/>
            <w:b w:val="0"/>
            <w:bCs w:val="0"/>
            <w:i w:val="0"/>
            <w:iCs w:val="0"/>
          </w:rPr>
          <w:t>7438- دیوان ناصر بجه‏یی أو شعره‏</w:t>
        </w:r>
        <w:r>
          <w:tab/>
        </w:r>
        <w:r>
          <w:fldChar w:fldCharType="begin"/>
        </w:r>
        <w:r>
          <w:instrText xml:space="preserve">PAGEREF 8553 \h</w:instrText>
        </w:r>
        <w:r>
          <w:fldChar w:fldCharType="end"/>
        </w:r>
      </w:hyperlink>
    </w:p>
    <w:p>
      <w:pPr>
        <w:tabs>
          <w:tab w:val="right" w:leader="dot" w:pos="9062"/>
        </w:tabs>
        <w:ind w:left="440"/>
      </w:pPr>
      <w:hyperlink w:anchor="_Toc8554" w:history="1">
        <w:r>
          <w:rPr>
            <w:rFonts w:ascii="IRNazanin" w:hAnsi="IRNazanin" w:eastAsia="IRNazanin" w:cs="IRNazanin"/>
            <w:color w:val="111111"/>
            <w:sz w:val="22"/>
            <w:szCs w:val="22"/>
            <w:b w:val="0"/>
            <w:bCs w:val="0"/>
            <w:i w:val="0"/>
            <w:iCs w:val="0"/>
          </w:rPr>
          <w:t>7439- دیوان ناصر بخارائی‏</w:t>
        </w:r>
        <w:r>
          <w:tab/>
        </w:r>
        <w:r>
          <w:fldChar w:fldCharType="begin"/>
        </w:r>
        <w:r>
          <w:instrText xml:space="preserve">PAGEREF 8554 \h</w:instrText>
        </w:r>
        <w:r>
          <w:fldChar w:fldCharType="end"/>
        </w:r>
      </w:hyperlink>
    </w:p>
    <w:p>
      <w:pPr>
        <w:tabs>
          <w:tab w:val="right" w:leader="dot" w:pos="9062"/>
        </w:tabs>
        <w:ind w:left="440"/>
      </w:pPr>
      <w:hyperlink w:anchor="_Toc8555" w:history="1">
        <w:r>
          <w:rPr>
            <w:rFonts w:ascii="IRNazanin" w:hAnsi="IRNazanin" w:eastAsia="IRNazanin" w:cs="IRNazanin"/>
            <w:color w:val="111111"/>
            <w:sz w:val="22"/>
            <w:szCs w:val="22"/>
            <w:b w:val="0"/>
            <w:bCs w:val="0"/>
            <w:i w:val="0"/>
            <w:iCs w:val="0"/>
          </w:rPr>
          <w:t>7440- دیوان ناصر بخارائی أو شعره‏</w:t>
        </w:r>
        <w:r>
          <w:tab/>
        </w:r>
        <w:r>
          <w:fldChar w:fldCharType="begin"/>
        </w:r>
        <w:r>
          <w:instrText xml:space="preserve">PAGEREF 8555 \h</w:instrText>
        </w:r>
        <w:r>
          <w:fldChar w:fldCharType="end"/>
        </w:r>
      </w:hyperlink>
    </w:p>
    <w:p>
      <w:pPr>
        <w:tabs>
          <w:tab w:val="right" w:leader="dot" w:pos="9062"/>
        </w:tabs>
        <w:ind w:left="440"/>
      </w:pPr>
      <w:hyperlink w:anchor="_Toc8556" w:history="1">
        <w:r>
          <w:rPr>
            <w:rFonts w:ascii="IRNazanin" w:hAnsi="IRNazanin" w:eastAsia="IRNazanin" w:cs="IRNazanin"/>
            <w:color w:val="111111"/>
            <w:sz w:val="22"/>
            <w:szCs w:val="22"/>
            <w:b w:val="0"/>
            <w:bCs w:val="0"/>
            <w:i w:val="0"/>
            <w:iCs w:val="0"/>
          </w:rPr>
          <w:t>7441- دیوان ناصر بنارسی‏</w:t>
        </w:r>
        <w:r>
          <w:tab/>
        </w:r>
        <w:r>
          <w:fldChar w:fldCharType="begin"/>
        </w:r>
        <w:r>
          <w:instrText xml:space="preserve">PAGEREF 8556 \h</w:instrText>
        </w:r>
        <w:r>
          <w:fldChar w:fldCharType="end"/>
        </w:r>
      </w:hyperlink>
    </w:p>
    <w:p>
      <w:pPr>
        <w:tabs>
          <w:tab w:val="right" w:leader="dot" w:pos="9062"/>
        </w:tabs>
        <w:ind w:left="440"/>
      </w:pPr>
      <w:hyperlink w:anchor="_Toc8557" w:history="1">
        <w:r>
          <w:rPr>
            <w:rFonts w:ascii="IRNazanin" w:hAnsi="IRNazanin" w:eastAsia="IRNazanin" w:cs="IRNazanin"/>
            <w:color w:val="111111"/>
            <w:sz w:val="22"/>
            <w:szCs w:val="22"/>
            <w:b w:val="0"/>
            <w:bCs w:val="0"/>
            <w:i w:val="0"/>
            <w:iCs w:val="0"/>
          </w:rPr>
          <w:t>7442- دیوان ناصر بنگالی‏</w:t>
        </w:r>
        <w:r>
          <w:tab/>
        </w:r>
        <w:r>
          <w:fldChar w:fldCharType="begin"/>
        </w:r>
        <w:r>
          <w:instrText xml:space="preserve">PAGEREF 8557 \h</w:instrText>
        </w:r>
        <w:r>
          <w:fldChar w:fldCharType="end"/>
        </w:r>
      </w:hyperlink>
    </w:p>
    <w:p>
      <w:pPr>
        <w:tabs>
          <w:tab w:val="right" w:leader="dot" w:pos="9062"/>
        </w:tabs>
        <w:ind w:left="440"/>
      </w:pPr>
      <w:hyperlink w:anchor="_Toc8558" w:history="1">
        <w:r>
          <w:rPr>
            <w:rFonts w:ascii="IRNazanin" w:hAnsi="IRNazanin" w:eastAsia="IRNazanin" w:cs="IRNazanin"/>
            <w:color w:val="111111"/>
            <w:sz w:val="22"/>
            <w:szCs w:val="22"/>
            <w:b w:val="0"/>
            <w:bCs w:val="0"/>
            <w:i w:val="0"/>
            <w:iCs w:val="0"/>
          </w:rPr>
          <w:t>7443- دیوان ناصر ترمذی أو شعره‏</w:t>
        </w:r>
        <w:r>
          <w:tab/>
        </w:r>
        <w:r>
          <w:fldChar w:fldCharType="begin"/>
        </w:r>
        <w:r>
          <w:instrText xml:space="preserve">PAGEREF 8558 \h</w:instrText>
        </w:r>
        <w:r>
          <w:fldChar w:fldCharType="end"/>
        </w:r>
      </w:hyperlink>
    </w:p>
    <w:p>
      <w:pPr>
        <w:tabs>
          <w:tab w:val="right" w:leader="dot" w:pos="9062"/>
        </w:tabs>
        <w:ind w:left="440"/>
      </w:pPr>
      <w:hyperlink w:anchor="_Toc8559" w:history="1">
        <w:r>
          <w:rPr>
            <w:rFonts w:ascii="IRNazanin" w:hAnsi="IRNazanin" w:eastAsia="IRNazanin" w:cs="IRNazanin"/>
            <w:color w:val="111111"/>
            <w:sz w:val="22"/>
            <w:szCs w:val="22"/>
            <w:b w:val="0"/>
            <w:bCs w:val="0"/>
            <w:i w:val="0"/>
            <w:iCs w:val="0"/>
          </w:rPr>
          <w:t>7444- دیوان ناصر حیدرآبادی أو شعره‏</w:t>
        </w:r>
        <w:r>
          <w:tab/>
        </w:r>
        <w:r>
          <w:fldChar w:fldCharType="begin"/>
        </w:r>
        <w:r>
          <w:instrText xml:space="preserve">PAGEREF 8559 \h</w:instrText>
        </w:r>
        <w:r>
          <w:fldChar w:fldCharType="end"/>
        </w:r>
      </w:hyperlink>
    </w:p>
    <w:p>
      <w:pPr>
        <w:tabs>
          <w:tab w:val="right" w:leader="dot" w:pos="9062"/>
        </w:tabs>
        <w:ind w:left="440"/>
      </w:pPr>
      <w:hyperlink w:anchor="_Toc8560" w:history="1">
        <w:r>
          <w:rPr>
            <w:rFonts w:ascii="IRNazanin" w:hAnsi="IRNazanin" w:eastAsia="IRNazanin" w:cs="IRNazanin"/>
            <w:color w:val="111111"/>
            <w:sz w:val="22"/>
            <w:szCs w:val="22"/>
            <w:b w:val="0"/>
            <w:bCs w:val="0"/>
            <w:i w:val="0"/>
            <w:iCs w:val="0"/>
          </w:rPr>
          <w:t>7445- دیوان ناصر حسین‏</w:t>
        </w:r>
        <w:r>
          <w:tab/>
        </w:r>
        <w:r>
          <w:fldChar w:fldCharType="begin"/>
        </w:r>
        <w:r>
          <w:instrText xml:space="preserve">PAGEREF 8560 \h</w:instrText>
        </w:r>
        <w:r>
          <w:fldChar w:fldCharType="end"/>
        </w:r>
      </w:hyperlink>
    </w:p>
    <w:p>
      <w:pPr>
        <w:tabs>
          <w:tab w:val="right" w:leader="dot" w:pos="9062"/>
        </w:tabs>
        <w:ind w:left="440"/>
      </w:pPr>
      <w:hyperlink w:anchor="_Toc8561" w:history="1">
        <w:r>
          <w:rPr>
            <w:rFonts w:ascii="IRNazanin" w:hAnsi="IRNazanin" w:eastAsia="IRNazanin" w:cs="IRNazanin"/>
            <w:color w:val="111111"/>
            <w:sz w:val="22"/>
            <w:szCs w:val="22"/>
            <w:b w:val="0"/>
            <w:bCs w:val="0"/>
            <w:i w:val="0"/>
            <w:iCs w:val="0"/>
          </w:rPr>
          <w:t>7446- دیوان ناصر خسرو العلوی الإسماعیلی‏</w:t>
        </w:r>
        <w:r>
          <w:tab/>
        </w:r>
        <w:r>
          <w:fldChar w:fldCharType="begin"/>
        </w:r>
        <w:r>
          <w:instrText xml:space="preserve">PAGEREF 8561 \h</w:instrText>
        </w:r>
        <w:r>
          <w:fldChar w:fldCharType="end"/>
        </w:r>
      </w:hyperlink>
    </w:p>
    <w:p>
      <w:pPr>
        <w:tabs>
          <w:tab w:val="right" w:leader="dot" w:pos="9062"/>
        </w:tabs>
        <w:ind w:left="440"/>
      </w:pPr>
      <w:hyperlink w:anchor="_Toc8562" w:history="1">
        <w:r>
          <w:rPr>
            <w:rFonts w:ascii="IRNazanin" w:hAnsi="IRNazanin" w:eastAsia="IRNazanin" w:cs="IRNazanin"/>
            <w:color w:val="111111"/>
            <w:sz w:val="22"/>
            <w:szCs w:val="22"/>
            <w:b w:val="0"/>
            <w:bCs w:val="0"/>
            <w:i w:val="0"/>
            <w:iCs w:val="0"/>
          </w:rPr>
          <w:t>7447- دیوان ناصر الخطی‏</w:t>
        </w:r>
        <w:r>
          <w:tab/>
        </w:r>
        <w:r>
          <w:fldChar w:fldCharType="begin"/>
        </w:r>
        <w:r>
          <w:instrText xml:space="preserve">PAGEREF 8562 \h</w:instrText>
        </w:r>
        <w:r>
          <w:fldChar w:fldCharType="end"/>
        </w:r>
      </w:hyperlink>
    </w:p>
    <w:p>
      <w:pPr>
        <w:tabs>
          <w:tab w:val="right" w:leader="dot" w:pos="9062"/>
        </w:tabs>
        <w:ind w:left="440"/>
      </w:pPr>
      <w:hyperlink w:anchor="_Toc8563" w:history="1">
        <w:r>
          <w:rPr>
            <w:rFonts w:ascii="IRNazanin" w:hAnsi="IRNazanin" w:eastAsia="IRNazanin" w:cs="IRNazanin"/>
            <w:color w:val="111111"/>
            <w:sz w:val="22"/>
            <w:szCs w:val="22"/>
            <w:b w:val="0"/>
            <w:bCs w:val="0"/>
            <w:i w:val="0"/>
            <w:iCs w:val="0"/>
          </w:rPr>
          <w:t>7448- دیوان ناصر دولت‏آبادی‏</w:t>
        </w:r>
        <w:r>
          <w:tab/>
        </w:r>
        <w:r>
          <w:fldChar w:fldCharType="begin"/>
        </w:r>
        <w:r>
          <w:instrText xml:space="preserve">PAGEREF 8563 \h</w:instrText>
        </w:r>
        <w:r>
          <w:fldChar w:fldCharType="end"/>
        </w:r>
      </w:hyperlink>
    </w:p>
    <w:p>
      <w:pPr>
        <w:tabs>
          <w:tab w:val="right" w:leader="dot" w:pos="9062"/>
        </w:tabs>
        <w:ind w:left="440"/>
      </w:pPr>
      <w:hyperlink w:anchor="_Toc8564" w:history="1">
        <w:r>
          <w:rPr>
            <w:rFonts w:ascii="IRNazanin" w:hAnsi="IRNazanin" w:eastAsia="IRNazanin" w:cs="IRNazanin"/>
            <w:color w:val="111111"/>
            <w:sz w:val="22"/>
            <w:szCs w:val="22"/>
            <w:b w:val="0"/>
            <w:bCs w:val="0"/>
            <w:i w:val="0"/>
            <w:iCs w:val="0"/>
          </w:rPr>
          <w:t>7449- دیوان ناصر دهلوی أو شعره‏</w:t>
        </w:r>
        <w:r>
          <w:tab/>
        </w:r>
        <w:r>
          <w:fldChar w:fldCharType="begin"/>
        </w:r>
        <w:r>
          <w:instrText xml:space="preserve">PAGEREF 8564 \h</w:instrText>
        </w:r>
        <w:r>
          <w:fldChar w:fldCharType="end"/>
        </w:r>
      </w:hyperlink>
    </w:p>
    <w:p>
      <w:pPr>
        <w:tabs>
          <w:tab w:val="right" w:leader="dot" w:pos="9062"/>
        </w:tabs>
        <w:ind w:left="440"/>
      </w:pPr>
      <w:hyperlink w:anchor="_Toc8565" w:history="1">
        <w:r>
          <w:rPr>
            <w:rFonts w:ascii="IRNazanin" w:hAnsi="IRNazanin" w:eastAsia="IRNazanin" w:cs="IRNazanin"/>
            <w:color w:val="111111"/>
            <w:sz w:val="22"/>
            <w:szCs w:val="22"/>
            <w:b w:val="0"/>
            <w:bCs w:val="0"/>
            <w:i w:val="0"/>
            <w:iCs w:val="0"/>
          </w:rPr>
          <w:t>7450- دیوان ناصر الدین شاه قاجار</w:t>
        </w:r>
        <w:r>
          <w:tab/>
        </w:r>
        <w:r>
          <w:fldChar w:fldCharType="begin"/>
        </w:r>
        <w:r>
          <w:instrText xml:space="preserve">PAGEREF 8565 \h</w:instrText>
        </w:r>
        <w:r>
          <w:fldChar w:fldCharType="end"/>
        </w:r>
      </w:hyperlink>
    </w:p>
    <w:p>
      <w:pPr>
        <w:tabs>
          <w:tab w:val="right" w:leader="dot" w:pos="9062"/>
        </w:tabs>
        <w:ind w:left="440"/>
      </w:pPr>
      <w:hyperlink w:anchor="_Toc8566" w:history="1">
        <w:r>
          <w:rPr>
            <w:rFonts w:ascii="IRNazanin" w:hAnsi="IRNazanin" w:eastAsia="IRNazanin" w:cs="IRNazanin"/>
            <w:color w:val="111111"/>
            <w:sz w:val="22"/>
            <w:szCs w:val="22"/>
            <w:b w:val="0"/>
            <w:bCs w:val="0"/>
            <w:i w:val="0"/>
            <w:iCs w:val="0"/>
          </w:rPr>
          <w:t>7451- دیوان ناصر الدین عین الملک أو شعره‏</w:t>
        </w:r>
        <w:r>
          <w:tab/>
        </w:r>
        <w:r>
          <w:fldChar w:fldCharType="begin"/>
        </w:r>
        <w:r>
          <w:instrText xml:space="preserve">PAGEREF 8566 \h</w:instrText>
        </w:r>
        <w:r>
          <w:fldChar w:fldCharType="end"/>
        </w:r>
      </w:hyperlink>
    </w:p>
    <w:p>
      <w:pPr>
        <w:tabs>
          <w:tab w:val="right" w:leader="dot" w:pos="9062"/>
        </w:tabs>
        <w:ind w:left="440"/>
      </w:pPr>
      <w:hyperlink w:anchor="_Toc8567" w:history="1">
        <w:r>
          <w:rPr>
            <w:rFonts w:ascii="IRNazanin" w:hAnsi="IRNazanin" w:eastAsia="IRNazanin" w:cs="IRNazanin"/>
            <w:color w:val="111111"/>
            <w:sz w:val="22"/>
            <w:szCs w:val="22"/>
            <w:b w:val="0"/>
            <w:bCs w:val="0"/>
            <w:i w:val="0"/>
            <w:iCs w:val="0"/>
          </w:rPr>
          <w:t>7452- دیوان ناصر رامپوری أو شعره‏</w:t>
        </w:r>
        <w:r>
          <w:tab/>
        </w:r>
        <w:r>
          <w:fldChar w:fldCharType="begin"/>
        </w:r>
        <w:r>
          <w:instrText xml:space="preserve">PAGEREF 8567 \h</w:instrText>
        </w:r>
        <w:r>
          <w:fldChar w:fldCharType="end"/>
        </w:r>
      </w:hyperlink>
    </w:p>
    <w:p>
      <w:pPr>
        <w:tabs>
          <w:tab w:val="right" w:leader="dot" w:pos="9062"/>
        </w:tabs>
        <w:ind w:left="440"/>
      </w:pPr>
      <w:hyperlink w:anchor="_Toc8568" w:history="1">
        <w:r>
          <w:rPr>
            <w:rFonts w:ascii="IRNazanin" w:hAnsi="IRNazanin" w:eastAsia="IRNazanin" w:cs="IRNazanin"/>
            <w:color w:val="111111"/>
            <w:sz w:val="22"/>
            <w:szCs w:val="22"/>
            <w:b w:val="0"/>
            <w:bCs w:val="0"/>
            <w:i w:val="0"/>
            <w:iCs w:val="0"/>
          </w:rPr>
          <w:t>7453- دیوان ناصر سجزی أو شعره‏</w:t>
        </w:r>
        <w:r>
          <w:tab/>
        </w:r>
        <w:r>
          <w:fldChar w:fldCharType="begin"/>
        </w:r>
        <w:r>
          <w:instrText xml:space="preserve">PAGEREF 8568 \h</w:instrText>
        </w:r>
        <w:r>
          <w:fldChar w:fldCharType="end"/>
        </w:r>
      </w:hyperlink>
    </w:p>
    <w:p>
      <w:pPr>
        <w:tabs>
          <w:tab w:val="right" w:leader="dot" w:pos="9062"/>
        </w:tabs>
        <w:ind w:left="440"/>
      </w:pPr>
      <w:hyperlink w:anchor="_Toc8569" w:history="1">
        <w:r>
          <w:rPr>
            <w:rFonts w:ascii="IRNazanin" w:hAnsi="IRNazanin" w:eastAsia="IRNazanin" w:cs="IRNazanin"/>
            <w:color w:val="111111"/>
            <w:sz w:val="22"/>
            <w:szCs w:val="22"/>
            <w:b w:val="0"/>
            <w:bCs w:val="0"/>
            <w:i w:val="0"/>
            <w:iCs w:val="0"/>
          </w:rPr>
          <w:t>7454- دیوان ناصر سمرقندی أو شعره‏</w:t>
        </w:r>
        <w:r>
          <w:tab/>
        </w:r>
        <w:r>
          <w:fldChar w:fldCharType="begin"/>
        </w:r>
        <w:r>
          <w:instrText xml:space="preserve">PAGEREF 8569 \h</w:instrText>
        </w:r>
        <w:r>
          <w:fldChar w:fldCharType="end"/>
        </w:r>
      </w:hyperlink>
    </w:p>
    <w:p>
      <w:pPr>
        <w:tabs>
          <w:tab w:val="right" w:leader="dot" w:pos="9062"/>
        </w:tabs>
        <w:ind w:left="440"/>
      </w:pPr>
      <w:hyperlink w:anchor="_Toc8570" w:history="1">
        <w:r>
          <w:rPr>
            <w:rFonts w:ascii="IRNazanin" w:hAnsi="IRNazanin" w:eastAsia="IRNazanin" w:cs="IRNazanin"/>
            <w:color w:val="111111"/>
            <w:sz w:val="22"/>
            <w:szCs w:val="22"/>
            <w:b w:val="0"/>
            <w:bCs w:val="0"/>
            <w:i w:val="0"/>
            <w:iCs w:val="0"/>
          </w:rPr>
          <w:t>دیوان ناصر سهرندی‏</w:t>
        </w:r>
        <w:r>
          <w:tab/>
        </w:r>
        <w:r>
          <w:fldChar w:fldCharType="begin"/>
        </w:r>
        <w:r>
          <w:instrText xml:space="preserve">PAGEREF 8570 \h</w:instrText>
        </w:r>
        <w:r>
          <w:fldChar w:fldCharType="end"/>
        </w:r>
      </w:hyperlink>
    </w:p>
    <w:p>
      <w:pPr>
        <w:tabs>
          <w:tab w:val="right" w:leader="dot" w:pos="9062"/>
        </w:tabs>
        <w:ind w:left="440"/>
      </w:pPr>
      <w:hyperlink w:anchor="_Toc8571" w:history="1">
        <w:r>
          <w:rPr>
            <w:rFonts w:ascii="IRNazanin" w:hAnsi="IRNazanin" w:eastAsia="IRNazanin" w:cs="IRNazanin"/>
            <w:color w:val="111111"/>
            <w:sz w:val="22"/>
            <w:szCs w:val="22"/>
            <w:b w:val="0"/>
            <w:bCs w:val="0"/>
            <w:i w:val="0"/>
            <w:iCs w:val="0"/>
          </w:rPr>
          <w:t>7455- دیوان ناصر شیرازی أو شعره‏</w:t>
        </w:r>
        <w:r>
          <w:tab/>
        </w:r>
        <w:r>
          <w:fldChar w:fldCharType="begin"/>
        </w:r>
        <w:r>
          <w:instrText xml:space="preserve">PAGEREF 8571 \h</w:instrText>
        </w:r>
        <w:r>
          <w:fldChar w:fldCharType="end"/>
        </w:r>
      </w:hyperlink>
    </w:p>
    <w:p>
      <w:pPr>
        <w:tabs>
          <w:tab w:val="right" w:leader="dot" w:pos="9062"/>
        </w:tabs>
        <w:ind w:left="440"/>
      </w:pPr>
      <w:hyperlink w:anchor="_Toc8572" w:history="1">
        <w:r>
          <w:rPr>
            <w:rFonts w:ascii="IRNazanin" w:hAnsi="IRNazanin" w:eastAsia="IRNazanin" w:cs="IRNazanin"/>
            <w:color w:val="111111"/>
            <w:sz w:val="22"/>
            <w:szCs w:val="22"/>
            <w:b w:val="0"/>
            <w:bCs w:val="0"/>
            <w:i w:val="0"/>
            <w:iCs w:val="0"/>
          </w:rPr>
          <w:t>7456- دیوان ناصر شهید</w:t>
        </w:r>
        <w:r>
          <w:tab/>
        </w:r>
        <w:r>
          <w:fldChar w:fldCharType="begin"/>
        </w:r>
        <w:r>
          <w:instrText xml:space="preserve">PAGEREF 8572 \h</w:instrText>
        </w:r>
        <w:r>
          <w:fldChar w:fldCharType="end"/>
        </w:r>
      </w:hyperlink>
    </w:p>
    <w:p>
      <w:pPr>
        <w:tabs>
          <w:tab w:val="right" w:leader="dot" w:pos="9062"/>
        </w:tabs>
        <w:ind w:left="440"/>
      </w:pPr>
      <w:hyperlink w:anchor="_Toc8573" w:history="1">
        <w:r>
          <w:rPr>
            <w:rFonts w:ascii="IRNazanin" w:hAnsi="IRNazanin" w:eastAsia="IRNazanin" w:cs="IRNazanin"/>
            <w:color w:val="111111"/>
            <w:sz w:val="22"/>
            <w:szCs w:val="22"/>
            <w:b w:val="0"/>
            <w:bCs w:val="0"/>
            <w:i w:val="0"/>
            <w:iCs w:val="0"/>
          </w:rPr>
          <w:t>دیوان ناصر علوی قبادیانی‏</w:t>
        </w:r>
        <w:r>
          <w:tab/>
        </w:r>
        <w:r>
          <w:fldChar w:fldCharType="begin"/>
        </w:r>
        <w:r>
          <w:instrText xml:space="preserve">PAGEREF 8573 \h</w:instrText>
        </w:r>
        <w:r>
          <w:fldChar w:fldCharType="end"/>
        </w:r>
      </w:hyperlink>
    </w:p>
    <w:p>
      <w:pPr>
        <w:tabs>
          <w:tab w:val="right" w:leader="dot" w:pos="9062"/>
        </w:tabs>
        <w:ind w:left="440"/>
      </w:pPr>
      <w:hyperlink w:anchor="_Toc8574" w:history="1">
        <w:r>
          <w:rPr>
            <w:rFonts w:ascii="IRNazanin" w:hAnsi="IRNazanin" w:eastAsia="IRNazanin" w:cs="IRNazanin"/>
            <w:color w:val="111111"/>
            <w:sz w:val="22"/>
            <w:szCs w:val="22"/>
            <w:b w:val="0"/>
            <w:bCs w:val="0"/>
            <w:i w:val="0"/>
            <w:iCs w:val="0"/>
          </w:rPr>
          <w:t>دیوان ناصر علی سهرندی‏</w:t>
        </w:r>
        <w:r>
          <w:tab/>
        </w:r>
        <w:r>
          <w:fldChar w:fldCharType="begin"/>
        </w:r>
        <w:r>
          <w:instrText xml:space="preserve">PAGEREF 8574 \h</w:instrText>
        </w:r>
        <w:r>
          <w:fldChar w:fldCharType="end"/>
        </w:r>
      </w:hyperlink>
    </w:p>
    <w:p>
      <w:pPr>
        <w:tabs>
          <w:tab w:val="right" w:leader="dot" w:pos="9062"/>
        </w:tabs>
        <w:ind w:left="440"/>
      </w:pPr>
      <w:hyperlink w:anchor="_Toc8575" w:history="1">
        <w:r>
          <w:rPr>
            <w:rFonts w:ascii="IRNazanin" w:hAnsi="IRNazanin" w:eastAsia="IRNazanin" w:cs="IRNazanin"/>
            <w:color w:val="111111"/>
            <w:sz w:val="22"/>
            <w:szCs w:val="22"/>
            <w:b w:val="0"/>
            <w:bCs w:val="0"/>
            <w:i w:val="0"/>
            <w:iCs w:val="0"/>
          </w:rPr>
          <w:t>7457- دیوان ناصر علی کشمیری‏</w:t>
        </w:r>
        <w:r>
          <w:tab/>
        </w:r>
        <w:r>
          <w:fldChar w:fldCharType="begin"/>
        </w:r>
        <w:r>
          <w:instrText xml:space="preserve">PAGEREF 8575 \h</w:instrText>
        </w:r>
        <w:r>
          <w:fldChar w:fldCharType="end"/>
        </w:r>
      </w:hyperlink>
    </w:p>
    <w:p>
      <w:pPr>
        <w:tabs>
          <w:tab w:val="right" w:leader="dot" w:pos="9062"/>
        </w:tabs>
        <w:ind w:left="440"/>
      </w:pPr>
      <w:hyperlink w:anchor="_Toc8576" w:history="1">
        <w:r>
          <w:rPr>
            <w:rFonts w:ascii="IRNazanin" w:hAnsi="IRNazanin" w:eastAsia="IRNazanin" w:cs="IRNazanin"/>
            <w:color w:val="111111"/>
            <w:sz w:val="22"/>
            <w:szCs w:val="22"/>
            <w:b w:val="0"/>
            <w:bCs w:val="0"/>
            <w:i w:val="0"/>
            <w:iCs w:val="0"/>
          </w:rPr>
          <w:t>دیوان ناصر فارسی‏</w:t>
        </w:r>
        <w:r>
          <w:tab/>
        </w:r>
        <w:r>
          <w:fldChar w:fldCharType="begin"/>
        </w:r>
        <w:r>
          <w:instrText xml:space="preserve">PAGEREF 8576 \h</w:instrText>
        </w:r>
        <w:r>
          <w:fldChar w:fldCharType="end"/>
        </w:r>
      </w:hyperlink>
    </w:p>
    <w:p>
      <w:pPr>
        <w:tabs>
          <w:tab w:val="right" w:leader="dot" w:pos="9062"/>
        </w:tabs>
        <w:ind w:left="440"/>
      </w:pPr>
      <w:hyperlink w:anchor="_Toc8577" w:history="1">
        <w:r>
          <w:rPr>
            <w:rFonts w:ascii="IRNazanin" w:hAnsi="IRNazanin" w:eastAsia="IRNazanin" w:cs="IRNazanin"/>
            <w:color w:val="111111"/>
            <w:sz w:val="22"/>
            <w:szCs w:val="22"/>
            <w:b w:val="0"/>
            <w:bCs w:val="0"/>
            <w:i w:val="0"/>
            <w:iCs w:val="0"/>
          </w:rPr>
          <w:t>دیوان ناصر قاجار</w:t>
        </w:r>
        <w:r>
          <w:tab/>
        </w:r>
        <w:r>
          <w:fldChar w:fldCharType="begin"/>
        </w:r>
        <w:r>
          <w:instrText xml:space="preserve">PAGEREF 8577 \h</w:instrText>
        </w:r>
        <w:r>
          <w:fldChar w:fldCharType="end"/>
        </w:r>
      </w:hyperlink>
    </w:p>
    <w:p>
      <w:pPr>
        <w:tabs>
          <w:tab w:val="right" w:leader="dot" w:pos="9062"/>
        </w:tabs>
        <w:ind w:left="440"/>
      </w:pPr>
      <w:hyperlink w:anchor="_Toc8578" w:history="1">
        <w:r>
          <w:rPr>
            <w:rFonts w:ascii="IRNazanin" w:hAnsi="IRNazanin" w:eastAsia="IRNazanin" w:cs="IRNazanin"/>
            <w:color w:val="111111"/>
            <w:sz w:val="22"/>
            <w:szCs w:val="22"/>
            <w:b w:val="0"/>
            <w:bCs w:val="0"/>
            <w:i w:val="0"/>
            <w:iCs w:val="0"/>
          </w:rPr>
          <w:t>7458- دیوان ناصر قاضی أو شعره‏</w:t>
        </w:r>
        <w:r>
          <w:tab/>
        </w:r>
        <w:r>
          <w:fldChar w:fldCharType="begin"/>
        </w:r>
        <w:r>
          <w:instrText xml:space="preserve">PAGEREF 8578 \h</w:instrText>
        </w:r>
        <w:r>
          <w:fldChar w:fldCharType="end"/>
        </w:r>
      </w:hyperlink>
    </w:p>
    <w:p>
      <w:pPr>
        <w:tabs>
          <w:tab w:val="right" w:leader="dot" w:pos="9062"/>
        </w:tabs>
        <w:ind w:left="440"/>
      </w:pPr>
      <w:hyperlink w:anchor="_Toc8579" w:history="1">
        <w:r>
          <w:rPr>
            <w:rFonts w:ascii="IRNazanin" w:hAnsi="IRNazanin" w:eastAsia="IRNazanin" w:cs="IRNazanin"/>
            <w:color w:val="111111"/>
            <w:sz w:val="22"/>
            <w:szCs w:val="22"/>
            <w:b w:val="0"/>
            <w:bCs w:val="0"/>
            <w:i w:val="0"/>
            <w:iCs w:val="0"/>
          </w:rPr>
          <w:t>7459- دیوان ناصر کاشی‏</w:t>
        </w:r>
        <w:r>
          <w:tab/>
        </w:r>
        <w:r>
          <w:fldChar w:fldCharType="begin"/>
        </w:r>
        <w:r>
          <w:instrText xml:space="preserve">PAGEREF 8579 \h</w:instrText>
        </w:r>
        <w:r>
          <w:fldChar w:fldCharType="end"/>
        </w:r>
      </w:hyperlink>
    </w:p>
    <w:p>
      <w:pPr>
        <w:tabs>
          <w:tab w:val="right" w:leader="dot" w:pos="9062"/>
        </w:tabs>
        <w:ind w:left="440"/>
      </w:pPr>
      <w:hyperlink w:anchor="_Toc8580" w:history="1">
        <w:r>
          <w:rPr>
            <w:rFonts w:ascii="IRNazanin" w:hAnsi="IRNazanin" w:eastAsia="IRNazanin" w:cs="IRNazanin"/>
            <w:color w:val="111111"/>
            <w:sz w:val="22"/>
            <w:szCs w:val="22"/>
            <w:b w:val="0"/>
            <w:bCs w:val="0"/>
            <w:i w:val="0"/>
            <w:iCs w:val="0"/>
          </w:rPr>
          <w:t>7460- دیوان ناصر گیلانی أو شعره‏</w:t>
        </w:r>
        <w:r>
          <w:tab/>
        </w:r>
        <w:r>
          <w:fldChar w:fldCharType="begin"/>
        </w:r>
        <w:r>
          <w:instrText xml:space="preserve">PAGEREF 8580 \h</w:instrText>
        </w:r>
        <w:r>
          <w:fldChar w:fldCharType="end"/>
        </w:r>
      </w:hyperlink>
    </w:p>
    <w:p>
      <w:pPr>
        <w:tabs>
          <w:tab w:val="right" w:leader="dot" w:pos="9062"/>
        </w:tabs>
        <w:ind w:left="440"/>
      </w:pPr>
      <w:hyperlink w:anchor="_Toc8581" w:history="1">
        <w:r>
          <w:rPr>
            <w:rFonts w:ascii="IRNazanin" w:hAnsi="IRNazanin" w:eastAsia="IRNazanin" w:cs="IRNazanin"/>
            <w:color w:val="111111"/>
            <w:sz w:val="22"/>
            <w:szCs w:val="22"/>
            <w:b w:val="0"/>
            <w:bCs w:val="0"/>
            <w:i w:val="0"/>
            <w:iCs w:val="0"/>
          </w:rPr>
          <w:t>دیوان ناصر مهنة</w:t>
        </w:r>
        <w:r>
          <w:tab/>
        </w:r>
        <w:r>
          <w:fldChar w:fldCharType="begin"/>
        </w:r>
        <w:r>
          <w:instrText xml:space="preserve">PAGEREF 8581 \h</w:instrText>
        </w:r>
        <w:r>
          <w:fldChar w:fldCharType="end"/>
        </w:r>
      </w:hyperlink>
    </w:p>
    <w:p>
      <w:pPr>
        <w:tabs>
          <w:tab w:val="right" w:leader="dot" w:pos="9062"/>
        </w:tabs>
        <w:ind w:left="440"/>
      </w:pPr>
      <w:hyperlink w:anchor="_Toc8582" w:history="1">
        <w:r>
          <w:rPr>
            <w:rFonts w:ascii="IRNazanin" w:hAnsi="IRNazanin" w:eastAsia="IRNazanin" w:cs="IRNazanin"/>
            <w:color w:val="111111"/>
            <w:sz w:val="22"/>
            <w:szCs w:val="22"/>
            <w:b w:val="0"/>
            <w:bCs w:val="0"/>
            <w:i w:val="0"/>
            <w:iCs w:val="0"/>
          </w:rPr>
          <w:t>7461- دیوان ناصر مظفری‏</w:t>
        </w:r>
        <w:r>
          <w:tab/>
        </w:r>
        <w:r>
          <w:fldChar w:fldCharType="begin"/>
        </w:r>
        <w:r>
          <w:instrText xml:space="preserve">PAGEREF 8582 \h</w:instrText>
        </w:r>
        <w:r>
          <w:fldChar w:fldCharType="end"/>
        </w:r>
      </w:hyperlink>
    </w:p>
    <w:p>
      <w:pPr>
        <w:tabs>
          <w:tab w:val="right" w:leader="dot" w:pos="9062"/>
        </w:tabs>
        <w:ind w:left="440"/>
      </w:pPr>
      <w:hyperlink w:anchor="_Toc8583" w:history="1">
        <w:r>
          <w:rPr>
            <w:rFonts w:ascii="IRNazanin" w:hAnsi="IRNazanin" w:eastAsia="IRNazanin" w:cs="IRNazanin"/>
            <w:color w:val="111111"/>
            <w:sz w:val="22"/>
            <w:szCs w:val="22"/>
            <w:b w:val="0"/>
            <w:bCs w:val="0"/>
            <w:i w:val="0"/>
            <w:iCs w:val="0"/>
          </w:rPr>
          <w:t>7462- دیوان ناصر نجفی‏</w:t>
        </w:r>
        <w:r>
          <w:tab/>
        </w:r>
        <w:r>
          <w:fldChar w:fldCharType="begin"/>
        </w:r>
        <w:r>
          <w:instrText xml:space="preserve">PAGEREF 8583 \h</w:instrText>
        </w:r>
        <w:r>
          <w:fldChar w:fldCharType="end"/>
        </w:r>
      </w:hyperlink>
    </w:p>
    <w:p>
      <w:pPr>
        <w:tabs>
          <w:tab w:val="right" w:leader="dot" w:pos="9062"/>
        </w:tabs>
        <w:ind w:left="440"/>
      </w:pPr>
      <w:hyperlink w:anchor="_Toc8584" w:history="1">
        <w:r>
          <w:rPr>
            <w:rFonts w:ascii="IRNazanin" w:hAnsi="IRNazanin" w:eastAsia="IRNazanin" w:cs="IRNazanin"/>
            <w:color w:val="111111"/>
            <w:sz w:val="22"/>
            <w:szCs w:val="22"/>
            <w:b w:val="0"/>
            <w:bCs w:val="0"/>
            <w:i w:val="0"/>
            <w:iCs w:val="0"/>
          </w:rPr>
          <w:t>. 7463- دیوان ناصر نجف‏آبادی أو شعره‏</w:t>
        </w:r>
        <w:r>
          <w:tab/>
        </w:r>
        <w:r>
          <w:fldChar w:fldCharType="begin"/>
        </w:r>
        <w:r>
          <w:instrText xml:space="preserve">PAGEREF 8584 \h</w:instrText>
        </w:r>
        <w:r>
          <w:fldChar w:fldCharType="end"/>
        </w:r>
      </w:hyperlink>
    </w:p>
    <w:p>
      <w:pPr>
        <w:tabs>
          <w:tab w:val="right" w:leader="dot" w:pos="9062"/>
        </w:tabs>
        <w:ind w:left="440"/>
      </w:pPr>
      <w:hyperlink w:anchor="_Toc8585" w:history="1">
        <w:r>
          <w:rPr>
            <w:rFonts w:ascii="IRNazanin" w:hAnsi="IRNazanin" w:eastAsia="IRNazanin" w:cs="IRNazanin"/>
            <w:color w:val="111111"/>
            <w:sz w:val="22"/>
            <w:szCs w:val="22"/>
            <w:b w:val="0"/>
            <w:bCs w:val="0"/>
            <w:i w:val="0"/>
            <w:iCs w:val="0"/>
          </w:rPr>
          <w:t>7464- دیوان ناصر نسفی أو شعره‏</w:t>
        </w:r>
        <w:r>
          <w:tab/>
        </w:r>
        <w:r>
          <w:fldChar w:fldCharType="begin"/>
        </w:r>
        <w:r>
          <w:instrText xml:space="preserve">PAGEREF 8585 \h</w:instrText>
        </w:r>
        <w:r>
          <w:fldChar w:fldCharType="end"/>
        </w:r>
      </w:hyperlink>
    </w:p>
    <w:p>
      <w:pPr>
        <w:tabs>
          <w:tab w:val="right" w:leader="dot" w:pos="9062"/>
        </w:tabs>
        <w:ind w:left="440"/>
      </w:pPr>
      <w:hyperlink w:anchor="_Toc8586" w:history="1">
        <w:r>
          <w:rPr>
            <w:rFonts w:ascii="IRNazanin" w:hAnsi="IRNazanin" w:eastAsia="IRNazanin" w:cs="IRNazanin"/>
            <w:color w:val="111111"/>
            <w:sz w:val="22"/>
            <w:szCs w:val="22"/>
            <w:b w:val="0"/>
            <w:bCs w:val="0"/>
            <w:i w:val="0"/>
            <w:iCs w:val="0"/>
          </w:rPr>
          <w:t>7465- دیوان ناصر نظمی‏</w:t>
        </w:r>
        <w:r>
          <w:tab/>
        </w:r>
        <w:r>
          <w:fldChar w:fldCharType="begin"/>
        </w:r>
        <w:r>
          <w:instrText xml:space="preserve">PAGEREF 8586 \h</w:instrText>
        </w:r>
        <w:r>
          <w:fldChar w:fldCharType="end"/>
        </w:r>
      </w:hyperlink>
    </w:p>
    <w:p>
      <w:pPr>
        <w:tabs>
          <w:tab w:val="right" w:leader="dot" w:pos="9062"/>
        </w:tabs>
        <w:ind w:left="440"/>
      </w:pPr>
      <w:hyperlink w:anchor="_Toc8587" w:history="1">
        <w:r>
          <w:rPr>
            <w:rFonts w:ascii="IRNazanin" w:hAnsi="IRNazanin" w:eastAsia="IRNazanin" w:cs="IRNazanin"/>
            <w:color w:val="111111"/>
            <w:sz w:val="22"/>
            <w:szCs w:val="22"/>
            <w:b w:val="0"/>
            <w:bCs w:val="0"/>
            <w:i w:val="0"/>
            <w:iCs w:val="0"/>
          </w:rPr>
          <w:t>7466- دیوان ناصر هندی أو شعره‏</w:t>
        </w:r>
        <w:r>
          <w:tab/>
        </w:r>
        <w:r>
          <w:fldChar w:fldCharType="begin"/>
        </w:r>
        <w:r>
          <w:instrText xml:space="preserve">PAGEREF 8587 \h</w:instrText>
        </w:r>
        <w:r>
          <w:fldChar w:fldCharType="end"/>
        </w:r>
      </w:hyperlink>
    </w:p>
    <w:p>
      <w:pPr>
        <w:tabs>
          <w:tab w:val="right" w:leader="dot" w:pos="9062"/>
        </w:tabs>
        <w:ind w:left="440"/>
      </w:pPr>
      <w:hyperlink w:anchor="_Toc8588" w:history="1">
        <w:r>
          <w:rPr>
            <w:rFonts w:ascii="IRNazanin" w:hAnsi="IRNazanin" w:eastAsia="IRNazanin" w:cs="IRNazanin"/>
            <w:color w:val="111111"/>
            <w:sz w:val="22"/>
            <w:szCs w:val="22"/>
            <w:b w:val="0"/>
            <w:bCs w:val="0"/>
            <w:i w:val="0"/>
            <w:iCs w:val="0"/>
          </w:rPr>
          <w:t>7467- دیوان ناصر یزدی‏</w:t>
        </w:r>
        <w:r>
          <w:tab/>
        </w:r>
        <w:r>
          <w:fldChar w:fldCharType="begin"/>
        </w:r>
        <w:r>
          <w:instrText xml:space="preserve">PAGEREF 8588 \h</w:instrText>
        </w:r>
        <w:r>
          <w:fldChar w:fldCharType="end"/>
        </w:r>
      </w:hyperlink>
    </w:p>
    <w:p>
      <w:pPr>
        <w:tabs>
          <w:tab w:val="right" w:leader="dot" w:pos="9062"/>
        </w:tabs>
        <w:ind w:left="440"/>
      </w:pPr>
      <w:hyperlink w:anchor="_Toc8589" w:history="1">
        <w:r>
          <w:rPr>
            <w:rFonts w:ascii="IRNazanin" w:hAnsi="IRNazanin" w:eastAsia="IRNazanin" w:cs="IRNazanin"/>
            <w:color w:val="111111"/>
            <w:sz w:val="22"/>
            <w:szCs w:val="22"/>
            <w:b w:val="0"/>
            <w:bCs w:val="0"/>
            <w:i w:val="0"/>
            <w:iCs w:val="0"/>
          </w:rPr>
          <w:t>7468- دیوان ناصری شیرازی أو شعره‏</w:t>
        </w:r>
        <w:r>
          <w:tab/>
        </w:r>
        <w:r>
          <w:fldChar w:fldCharType="begin"/>
        </w:r>
        <w:r>
          <w:instrText xml:space="preserve">PAGEREF 8589 \h</w:instrText>
        </w:r>
        <w:r>
          <w:fldChar w:fldCharType="end"/>
        </w:r>
      </w:hyperlink>
    </w:p>
    <w:p>
      <w:pPr>
        <w:tabs>
          <w:tab w:val="right" w:leader="dot" w:pos="9062"/>
        </w:tabs>
        <w:ind w:left="440"/>
      </w:pPr>
      <w:hyperlink w:anchor="_Toc8590" w:history="1">
        <w:r>
          <w:rPr>
            <w:rFonts w:ascii="IRNazanin" w:hAnsi="IRNazanin" w:eastAsia="IRNazanin" w:cs="IRNazanin"/>
            <w:color w:val="111111"/>
            <w:sz w:val="22"/>
            <w:szCs w:val="22"/>
            <w:b w:val="0"/>
            <w:bCs w:val="0"/>
            <w:i w:val="0"/>
            <w:iCs w:val="0"/>
          </w:rPr>
          <w:t>7469- دیوان ناصری شیرازی أو شعره‏</w:t>
        </w:r>
        <w:r>
          <w:tab/>
        </w:r>
        <w:r>
          <w:fldChar w:fldCharType="begin"/>
        </w:r>
        <w:r>
          <w:instrText xml:space="preserve">PAGEREF 8590 \h</w:instrText>
        </w:r>
        <w:r>
          <w:fldChar w:fldCharType="end"/>
        </w:r>
      </w:hyperlink>
    </w:p>
    <w:p>
      <w:pPr>
        <w:tabs>
          <w:tab w:val="right" w:leader="dot" w:pos="9062"/>
        </w:tabs>
        <w:ind w:left="440"/>
      </w:pPr>
      <w:hyperlink w:anchor="_Toc8591" w:history="1">
        <w:r>
          <w:rPr>
            <w:rFonts w:ascii="IRNazanin" w:hAnsi="IRNazanin" w:eastAsia="IRNazanin" w:cs="IRNazanin"/>
            <w:color w:val="111111"/>
            <w:sz w:val="22"/>
            <w:szCs w:val="22"/>
            <w:b w:val="0"/>
            <w:bCs w:val="0"/>
            <w:i w:val="0"/>
            <w:iCs w:val="0"/>
          </w:rPr>
          <w:t>7470- دیوان ناصری گورکانی أو شعره‏</w:t>
        </w:r>
        <w:r>
          <w:tab/>
        </w:r>
        <w:r>
          <w:fldChar w:fldCharType="begin"/>
        </w:r>
        <w:r>
          <w:instrText xml:space="preserve">PAGEREF 8591 \h</w:instrText>
        </w:r>
        <w:r>
          <w:fldChar w:fldCharType="end"/>
        </w:r>
      </w:hyperlink>
    </w:p>
    <w:p>
      <w:pPr>
        <w:tabs>
          <w:tab w:val="right" w:leader="dot" w:pos="9062"/>
        </w:tabs>
        <w:ind w:left="440"/>
      </w:pPr>
      <w:hyperlink w:anchor="_Toc8592" w:history="1">
        <w:r>
          <w:rPr>
            <w:rFonts w:ascii="IRNazanin" w:hAnsi="IRNazanin" w:eastAsia="IRNazanin" w:cs="IRNazanin"/>
            <w:color w:val="111111"/>
            <w:sz w:val="22"/>
            <w:szCs w:val="22"/>
            <w:b w:val="0"/>
            <w:bCs w:val="0"/>
            <w:i w:val="0"/>
            <w:iCs w:val="0"/>
          </w:rPr>
          <w:t>7471- دیوان ناصری کرمانی‏</w:t>
        </w:r>
        <w:r>
          <w:tab/>
        </w:r>
        <w:r>
          <w:fldChar w:fldCharType="begin"/>
        </w:r>
        <w:r>
          <w:instrText xml:space="preserve">PAGEREF 8592 \h</w:instrText>
        </w:r>
        <w:r>
          <w:fldChar w:fldCharType="end"/>
        </w:r>
      </w:hyperlink>
    </w:p>
    <w:p>
      <w:pPr>
        <w:tabs>
          <w:tab w:val="right" w:leader="dot" w:pos="9062"/>
        </w:tabs>
        <w:ind w:left="440"/>
      </w:pPr>
      <w:hyperlink w:anchor="_Toc8593" w:history="1">
        <w:r>
          <w:rPr>
            <w:rFonts w:ascii="IRNazanin" w:hAnsi="IRNazanin" w:eastAsia="IRNazanin" w:cs="IRNazanin"/>
            <w:color w:val="111111"/>
            <w:sz w:val="22"/>
            <w:szCs w:val="22"/>
            <w:b w:val="0"/>
            <w:bCs w:val="0"/>
            <w:i w:val="0"/>
            <w:iCs w:val="0"/>
          </w:rPr>
          <w:t>7472- دیوان ناصری مهنة</w:t>
        </w:r>
        <w:r>
          <w:tab/>
        </w:r>
        <w:r>
          <w:fldChar w:fldCharType="begin"/>
        </w:r>
        <w:r>
          <w:instrText xml:space="preserve">PAGEREF 8593 \h</w:instrText>
        </w:r>
        <w:r>
          <w:fldChar w:fldCharType="end"/>
        </w:r>
      </w:hyperlink>
    </w:p>
    <w:p>
      <w:pPr>
        <w:tabs>
          <w:tab w:val="right" w:leader="dot" w:pos="9062"/>
        </w:tabs>
        <w:ind w:left="440"/>
      </w:pPr>
      <w:hyperlink w:anchor="_Toc8594" w:history="1">
        <w:r>
          <w:rPr>
            <w:rFonts w:ascii="IRNazanin" w:hAnsi="IRNazanin" w:eastAsia="IRNazanin" w:cs="IRNazanin"/>
            <w:color w:val="111111"/>
            <w:sz w:val="22"/>
            <w:szCs w:val="22"/>
            <w:b w:val="0"/>
            <w:bCs w:val="0"/>
            <w:i w:val="0"/>
            <w:iCs w:val="0"/>
          </w:rPr>
          <w:t>دیوان ناصری نیشابوری‏</w:t>
        </w:r>
        <w:r>
          <w:tab/>
        </w:r>
        <w:r>
          <w:fldChar w:fldCharType="begin"/>
        </w:r>
        <w:r>
          <w:instrText xml:space="preserve">PAGEREF 8594 \h</w:instrText>
        </w:r>
        <w:r>
          <w:fldChar w:fldCharType="end"/>
        </w:r>
      </w:hyperlink>
    </w:p>
    <w:p>
      <w:pPr>
        <w:tabs>
          <w:tab w:val="right" w:leader="dot" w:pos="9062"/>
        </w:tabs>
        <w:ind w:left="440"/>
      </w:pPr>
      <w:hyperlink w:anchor="_Toc8595" w:history="1">
        <w:r>
          <w:rPr>
            <w:rFonts w:ascii="IRNazanin" w:hAnsi="IRNazanin" w:eastAsia="IRNazanin" w:cs="IRNazanin"/>
            <w:color w:val="111111"/>
            <w:sz w:val="22"/>
            <w:szCs w:val="22"/>
            <w:b w:val="0"/>
            <w:bCs w:val="0"/>
            <w:i w:val="0"/>
            <w:iCs w:val="0"/>
          </w:rPr>
          <w:t>7473- دیوان ناطق أصفهانی‏</w:t>
        </w:r>
        <w:r>
          <w:tab/>
        </w:r>
        <w:r>
          <w:fldChar w:fldCharType="begin"/>
        </w:r>
        <w:r>
          <w:instrText xml:space="preserve">PAGEREF 8595 \h</w:instrText>
        </w:r>
        <w:r>
          <w:fldChar w:fldCharType="end"/>
        </w:r>
      </w:hyperlink>
    </w:p>
    <w:p>
      <w:pPr>
        <w:tabs>
          <w:tab w:val="right" w:leader="dot" w:pos="9062"/>
        </w:tabs>
        <w:ind w:left="440"/>
      </w:pPr>
      <w:hyperlink w:anchor="_Toc8596" w:history="1">
        <w:r>
          <w:rPr>
            <w:rFonts w:ascii="IRNazanin" w:hAnsi="IRNazanin" w:eastAsia="IRNazanin" w:cs="IRNazanin"/>
            <w:color w:val="111111"/>
            <w:sz w:val="22"/>
            <w:szCs w:val="22"/>
            <w:b w:val="0"/>
            <w:bCs w:val="0"/>
            <w:i w:val="0"/>
            <w:iCs w:val="0"/>
          </w:rPr>
          <w:t>7474- دیوان ناطق أصفهانی أو شعره‏</w:t>
        </w:r>
        <w:r>
          <w:tab/>
        </w:r>
        <w:r>
          <w:fldChar w:fldCharType="begin"/>
        </w:r>
        <w:r>
          <w:instrText xml:space="preserve">PAGEREF 8596 \h</w:instrText>
        </w:r>
        <w:r>
          <w:fldChar w:fldCharType="end"/>
        </w:r>
      </w:hyperlink>
    </w:p>
    <w:p>
      <w:pPr>
        <w:tabs>
          <w:tab w:val="right" w:leader="dot" w:pos="9062"/>
        </w:tabs>
        <w:ind w:left="440"/>
      </w:pPr>
      <w:hyperlink w:anchor="_Toc8597" w:history="1">
        <w:r>
          <w:rPr>
            <w:rFonts w:ascii="IRNazanin" w:hAnsi="IRNazanin" w:eastAsia="IRNazanin" w:cs="IRNazanin"/>
            <w:color w:val="111111"/>
            <w:sz w:val="22"/>
            <w:szCs w:val="22"/>
            <w:b w:val="0"/>
            <w:bCs w:val="0"/>
            <w:i w:val="0"/>
            <w:iCs w:val="0"/>
          </w:rPr>
          <w:t>7475- دیوان ناطق بنارسی أو شعره‏</w:t>
        </w:r>
        <w:r>
          <w:tab/>
        </w:r>
        <w:r>
          <w:fldChar w:fldCharType="begin"/>
        </w:r>
        <w:r>
          <w:instrText xml:space="preserve">PAGEREF 8597 \h</w:instrText>
        </w:r>
        <w:r>
          <w:fldChar w:fldCharType="end"/>
        </w:r>
      </w:hyperlink>
    </w:p>
    <w:p>
      <w:pPr>
        <w:tabs>
          <w:tab w:val="right" w:leader="dot" w:pos="9062"/>
        </w:tabs>
        <w:ind w:left="440"/>
      </w:pPr>
      <w:hyperlink w:anchor="_Toc8598" w:history="1">
        <w:r>
          <w:rPr>
            <w:rFonts w:ascii="IRNazanin" w:hAnsi="IRNazanin" w:eastAsia="IRNazanin" w:cs="IRNazanin"/>
            <w:color w:val="111111"/>
            <w:sz w:val="22"/>
            <w:szCs w:val="22"/>
            <w:b w:val="0"/>
            <w:bCs w:val="0"/>
            <w:i w:val="0"/>
            <w:iCs w:val="0"/>
          </w:rPr>
          <w:t>7476- دیوان ناطق دنبلی أو شعره‏</w:t>
        </w:r>
        <w:r>
          <w:tab/>
        </w:r>
        <w:r>
          <w:fldChar w:fldCharType="begin"/>
        </w:r>
        <w:r>
          <w:instrText xml:space="preserve">PAGEREF 8598 \h</w:instrText>
        </w:r>
        <w:r>
          <w:fldChar w:fldCharType="end"/>
        </w:r>
      </w:hyperlink>
    </w:p>
    <w:p>
      <w:pPr>
        <w:tabs>
          <w:tab w:val="right" w:leader="dot" w:pos="9062"/>
        </w:tabs>
        <w:ind w:left="440"/>
      </w:pPr>
      <w:hyperlink w:anchor="_Toc8599" w:history="1">
        <w:r>
          <w:rPr>
            <w:rFonts w:ascii="IRNazanin" w:hAnsi="IRNazanin" w:eastAsia="IRNazanin" w:cs="IRNazanin"/>
            <w:color w:val="111111"/>
            <w:sz w:val="22"/>
            <w:szCs w:val="22"/>
            <w:b w:val="0"/>
            <w:bCs w:val="0"/>
            <w:i w:val="0"/>
            <w:iCs w:val="0"/>
          </w:rPr>
          <w:t>7477- دیوان ناطق دهلوی أو شعره‏</w:t>
        </w:r>
        <w:r>
          <w:tab/>
        </w:r>
        <w:r>
          <w:fldChar w:fldCharType="begin"/>
        </w:r>
        <w:r>
          <w:instrText xml:space="preserve">PAGEREF 8599 \h</w:instrText>
        </w:r>
        <w:r>
          <w:fldChar w:fldCharType="end"/>
        </w:r>
      </w:hyperlink>
    </w:p>
    <w:p>
      <w:pPr>
        <w:tabs>
          <w:tab w:val="right" w:leader="dot" w:pos="9062"/>
        </w:tabs>
        <w:ind w:left="440"/>
      </w:pPr>
      <w:hyperlink w:anchor="_Toc8600" w:history="1">
        <w:r>
          <w:rPr>
            <w:rFonts w:ascii="IRNazanin" w:hAnsi="IRNazanin" w:eastAsia="IRNazanin" w:cs="IRNazanin"/>
            <w:color w:val="111111"/>
            <w:sz w:val="22"/>
            <w:szCs w:val="22"/>
            <w:b w:val="0"/>
            <w:bCs w:val="0"/>
            <w:i w:val="0"/>
            <w:iCs w:val="0"/>
          </w:rPr>
          <w:t>7478- دیوان ناطق شیرازی أو شعره‏</w:t>
        </w:r>
        <w:r>
          <w:tab/>
        </w:r>
        <w:r>
          <w:fldChar w:fldCharType="begin"/>
        </w:r>
        <w:r>
          <w:instrText xml:space="preserve">PAGEREF 8600 \h</w:instrText>
        </w:r>
        <w:r>
          <w:fldChar w:fldCharType="end"/>
        </w:r>
      </w:hyperlink>
    </w:p>
    <w:p>
      <w:pPr>
        <w:tabs>
          <w:tab w:val="right" w:leader="dot" w:pos="9062"/>
        </w:tabs>
        <w:ind w:left="440"/>
      </w:pPr>
      <w:hyperlink w:anchor="_Toc8601" w:history="1">
        <w:r>
          <w:rPr>
            <w:rFonts w:ascii="IRNazanin" w:hAnsi="IRNazanin" w:eastAsia="IRNazanin" w:cs="IRNazanin"/>
            <w:color w:val="111111"/>
            <w:sz w:val="22"/>
            <w:szCs w:val="22"/>
            <w:b w:val="0"/>
            <w:bCs w:val="0"/>
            <w:i w:val="0"/>
            <w:iCs w:val="0"/>
          </w:rPr>
          <w:t>7479- دیوان ناطق شیرازی‏</w:t>
        </w:r>
        <w:r>
          <w:tab/>
        </w:r>
        <w:r>
          <w:fldChar w:fldCharType="begin"/>
        </w:r>
        <w:r>
          <w:instrText xml:space="preserve">PAGEREF 8601 \h</w:instrText>
        </w:r>
        <w:r>
          <w:fldChar w:fldCharType="end"/>
        </w:r>
      </w:hyperlink>
    </w:p>
    <w:p>
      <w:pPr>
        <w:tabs>
          <w:tab w:val="right" w:leader="dot" w:pos="9062"/>
        </w:tabs>
        <w:ind w:left="440"/>
      </w:pPr>
      <w:hyperlink w:anchor="_Toc8602" w:history="1">
        <w:r>
          <w:rPr>
            <w:rFonts w:ascii="IRNazanin" w:hAnsi="IRNazanin" w:eastAsia="IRNazanin" w:cs="IRNazanin"/>
            <w:color w:val="111111"/>
            <w:sz w:val="22"/>
            <w:szCs w:val="22"/>
            <w:b w:val="0"/>
            <w:bCs w:val="0"/>
            <w:i w:val="0"/>
            <w:iCs w:val="0"/>
          </w:rPr>
          <w:t>7480- دیوان ناطق قهپائی‏</w:t>
        </w:r>
        <w:r>
          <w:tab/>
        </w:r>
        <w:r>
          <w:fldChar w:fldCharType="begin"/>
        </w:r>
        <w:r>
          <w:instrText xml:space="preserve">PAGEREF 8602 \h</w:instrText>
        </w:r>
        <w:r>
          <w:fldChar w:fldCharType="end"/>
        </w:r>
      </w:hyperlink>
    </w:p>
    <w:p>
      <w:pPr>
        <w:tabs>
          <w:tab w:val="right" w:leader="dot" w:pos="9062"/>
        </w:tabs>
        <w:ind w:left="440"/>
      </w:pPr>
      <w:hyperlink w:anchor="_Toc8603" w:history="1">
        <w:r>
          <w:rPr>
            <w:rFonts w:ascii="IRNazanin" w:hAnsi="IRNazanin" w:eastAsia="IRNazanin" w:cs="IRNazanin"/>
            <w:color w:val="111111"/>
            <w:sz w:val="22"/>
            <w:szCs w:val="22"/>
            <w:b w:val="0"/>
            <w:bCs w:val="0"/>
            <w:i w:val="0"/>
            <w:iCs w:val="0"/>
          </w:rPr>
          <w:t>7481- دیوان ناطق کاشانی‏</w:t>
        </w:r>
        <w:r>
          <w:tab/>
        </w:r>
        <w:r>
          <w:fldChar w:fldCharType="begin"/>
        </w:r>
        <w:r>
          <w:instrText xml:space="preserve">PAGEREF 8603 \h</w:instrText>
        </w:r>
        <w:r>
          <w:fldChar w:fldCharType="end"/>
        </w:r>
      </w:hyperlink>
    </w:p>
    <w:p>
      <w:pPr>
        <w:tabs>
          <w:tab w:val="right" w:leader="dot" w:pos="9062"/>
        </w:tabs>
        <w:ind w:left="440"/>
      </w:pPr>
      <w:hyperlink w:anchor="_Toc8604" w:history="1">
        <w:r>
          <w:rPr>
            <w:rFonts w:ascii="IRNazanin" w:hAnsi="IRNazanin" w:eastAsia="IRNazanin" w:cs="IRNazanin"/>
            <w:color w:val="111111"/>
            <w:sz w:val="22"/>
            <w:szCs w:val="22"/>
            <w:b w:val="0"/>
            <w:bCs w:val="0"/>
            <w:i w:val="0"/>
            <w:iCs w:val="0"/>
          </w:rPr>
          <w:t>7482- دیوان ناطق کرمانی‏</w:t>
        </w:r>
        <w:r>
          <w:tab/>
        </w:r>
        <w:r>
          <w:fldChar w:fldCharType="begin"/>
        </w:r>
        <w:r>
          <w:instrText xml:space="preserve">PAGEREF 8604 \h</w:instrText>
        </w:r>
        <w:r>
          <w:fldChar w:fldCharType="end"/>
        </w:r>
      </w:hyperlink>
    </w:p>
    <w:p>
      <w:pPr>
        <w:tabs>
          <w:tab w:val="right" w:leader="dot" w:pos="9062"/>
        </w:tabs>
        <w:ind w:left="440"/>
      </w:pPr>
      <w:hyperlink w:anchor="_Toc8605" w:history="1">
        <w:r>
          <w:rPr>
            <w:rFonts w:ascii="IRNazanin" w:hAnsi="IRNazanin" w:eastAsia="IRNazanin" w:cs="IRNazanin"/>
            <w:color w:val="111111"/>
            <w:sz w:val="22"/>
            <w:szCs w:val="22"/>
            <w:b w:val="0"/>
            <w:bCs w:val="0"/>
            <w:i w:val="0"/>
            <w:iCs w:val="0"/>
          </w:rPr>
          <w:t>7483- دیوان مولانا ناطق کشمیری أو شعره‏</w:t>
        </w:r>
        <w:r>
          <w:tab/>
        </w:r>
        <w:r>
          <w:fldChar w:fldCharType="begin"/>
        </w:r>
        <w:r>
          <w:instrText xml:space="preserve">PAGEREF 8605 \h</w:instrText>
        </w:r>
        <w:r>
          <w:fldChar w:fldCharType="end"/>
        </w:r>
      </w:hyperlink>
    </w:p>
    <w:p>
      <w:pPr>
        <w:tabs>
          <w:tab w:val="right" w:leader="dot" w:pos="9062"/>
        </w:tabs>
        <w:ind w:left="440"/>
      </w:pPr>
      <w:hyperlink w:anchor="_Toc8606" w:history="1">
        <w:r>
          <w:rPr>
            <w:rFonts w:ascii="IRNazanin" w:hAnsi="IRNazanin" w:eastAsia="IRNazanin" w:cs="IRNazanin"/>
            <w:color w:val="111111"/>
            <w:sz w:val="22"/>
            <w:szCs w:val="22"/>
            <w:b w:val="0"/>
            <w:bCs w:val="0"/>
            <w:i w:val="0"/>
            <w:iCs w:val="0"/>
          </w:rPr>
          <w:t>7484- دیوان ناطق لاهوری أو شعره‏</w:t>
        </w:r>
        <w:r>
          <w:tab/>
        </w:r>
        <w:r>
          <w:fldChar w:fldCharType="begin"/>
        </w:r>
        <w:r>
          <w:instrText xml:space="preserve">PAGEREF 8606 \h</w:instrText>
        </w:r>
        <w:r>
          <w:fldChar w:fldCharType="end"/>
        </w:r>
      </w:hyperlink>
    </w:p>
    <w:p>
      <w:pPr>
        <w:tabs>
          <w:tab w:val="right" w:leader="dot" w:pos="9062"/>
        </w:tabs>
        <w:ind w:left="440"/>
      </w:pPr>
      <w:hyperlink w:anchor="_Toc8607" w:history="1">
        <w:r>
          <w:rPr>
            <w:rFonts w:ascii="IRNazanin" w:hAnsi="IRNazanin" w:eastAsia="IRNazanin" w:cs="IRNazanin"/>
            <w:color w:val="111111"/>
            <w:sz w:val="22"/>
            <w:szCs w:val="22"/>
            <w:b w:val="0"/>
            <w:bCs w:val="0"/>
            <w:i w:val="0"/>
            <w:iCs w:val="0"/>
          </w:rPr>
          <w:t>دیوان ناطق مکرانی‏</w:t>
        </w:r>
        <w:r>
          <w:tab/>
        </w:r>
        <w:r>
          <w:fldChar w:fldCharType="begin"/>
        </w:r>
        <w:r>
          <w:instrText xml:space="preserve">PAGEREF 8607 \h</w:instrText>
        </w:r>
        <w:r>
          <w:fldChar w:fldCharType="end"/>
        </w:r>
      </w:hyperlink>
    </w:p>
    <w:p>
      <w:pPr>
        <w:tabs>
          <w:tab w:val="right" w:leader="dot" w:pos="9062"/>
        </w:tabs>
        <w:ind w:left="440"/>
      </w:pPr>
      <w:hyperlink w:anchor="_Toc8608" w:history="1">
        <w:r>
          <w:rPr>
            <w:rFonts w:ascii="IRNazanin" w:hAnsi="IRNazanin" w:eastAsia="IRNazanin" w:cs="IRNazanin"/>
            <w:color w:val="111111"/>
            <w:sz w:val="22"/>
            <w:szCs w:val="22"/>
            <w:b w:val="0"/>
            <w:bCs w:val="0"/>
            <w:i w:val="0"/>
            <w:iCs w:val="0"/>
          </w:rPr>
          <w:t>دیوان ناطق نیشابوری أو شعره‏</w:t>
        </w:r>
        <w:r>
          <w:tab/>
        </w:r>
        <w:r>
          <w:fldChar w:fldCharType="begin"/>
        </w:r>
        <w:r>
          <w:instrText xml:space="preserve">PAGEREF 8608 \h</w:instrText>
        </w:r>
        <w:r>
          <w:fldChar w:fldCharType="end"/>
        </w:r>
      </w:hyperlink>
    </w:p>
    <w:p>
      <w:pPr>
        <w:tabs>
          <w:tab w:val="right" w:leader="dot" w:pos="9062"/>
        </w:tabs>
        <w:ind w:left="440"/>
      </w:pPr>
      <w:hyperlink w:anchor="_Toc8609" w:history="1">
        <w:r>
          <w:rPr>
            <w:rFonts w:ascii="IRNazanin" w:hAnsi="IRNazanin" w:eastAsia="IRNazanin" w:cs="IRNazanin"/>
            <w:color w:val="111111"/>
            <w:sz w:val="22"/>
            <w:szCs w:val="22"/>
            <w:b w:val="0"/>
            <w:bCs w:val="0"/>
            <w:i w:val="0"/>
            <w:iCs w:val="0"/>
          </w:rPr>
          <w:t>7485- دیوان ناطقی أسترآبادی أو شعره‏</w:t>
        </w:r>
        <w:r>
          <w:tab/>
        </w:r>
        <w:r>
          <w:fldChar w:fldCharType="begin"/>
        </w:r>
        <w:r>
          <w:instrText xml:space="preserve">PAGEREF 8609 \h</w:instrText>
        </w:r>
        <w:r>
          <w:fldChar w:fldCharType="end"/>
        </w:r>
      </w:hyperlink>
    </w:p>
    <w:p>
      <w:pPr>
        <w:tabs>
          <w:tab w:val="right" w:leader="dot" w:pos="9062"/>
        </w:tabs>
        <w:ind w:left="440"/>
      </w:pPr>
      <w:hyperlink w:anchor="_Toc8610" w:history="1">
        <w:r>
          <w:rPr>
            <w:rFonts w:ascii="IRNazanin" w:hAnsi="IRNazanin" w:eastAsia="IRNazanin" w:cs="IRNazanin"/>
            <w:color w:val="111111"/>
            <w:sz w:val="22"/>
            <w:szCs w:val="22"/>
            <w:b w:val="0"/>
            <w:bCs w:val="0"/>
            <w:i w:val="0"/>
            <w:iCs w:val="0"/>
          </w:rPr>
          <w:t>7486- دیوان ناطقی سبزواری أو شعره‏</w:t>
        </w:r>
        <w:r>
          <w:tab/>
        </w:r>
        <w:r>
          <w:fldChar w:fldCharType="begin"/>
        </w:r>
        <w:r>
          <w:instrText xml:space="preserve">PAGEREF 8610 \h</w:instrText>
        </w:r>
        <w:r>
          <w:fldChar w:fldCharType="end"/>
        </w:r>
      </w:hyperlink>
    </w:p>
    <w:p>
      <w:pPr>
        <w:tabs>
          <w:tab w:val="right" w:leader="dot" w:pos="9062"/>
        </w:tabs>
        <w:ind w:left="440"/>
      </w:pPr>
      <w:hyperlink w:anchor="_Toc8611" w:history="1">
        <w:r>
          <w:rPr>
            <w:rFonts w:ascii="IRNazanin" w:hAnsi="IRNazanin" w:eastAsia="IRNazanin" w:cs="IRNazanin"/>
            <w:color w:val="111111"/>
            <w:sz w:val="22"/>
            <w:szCs w:val="22"/>
            <w:b w:val="0"/>
            <w:bCs w:val="0"/>
            <w:i w:val="0"/>
            <w:iCs w:val="0"/>
          </w:rPr>
          <w:t>7487- دیوان ناطق قزوینی أو شعره‏</w:t>
        </w:r>
        <w:r>
          <w:tab/>
        </w:r>
        <w:r>
          <w:fldChar w:fldCharType="begin"/>
        </w:r>
        <w:r>
          <w:instrText xml:space="preserve">PAGEREF 8611 \h</w:instrText>
        </w:r>
        <w:r>
          <w:fldChar w:fldCharType="end"/>
        </w:r>
      </w:hyperlink>
    </w:p>
    <w:p>
      <w:pPr>
        <w:tabs>
          <w:tab w:val="right" w:leader="dot" w:pos="9062"/>
        </w:tabs>
        <w:ind w:left="440"/>
      </w:pPr>
      <w:hyperlink w:anchor="_Toc8612" w:history="1">
        <w:r>
          <w:rPr>
            <w:rFonts w:ascii="IRNazanin" w:hAnsi="IRNazanin" w:eastAsia="IRNazanin" w:cs="IRNazanin"/>
            <w:color w:val="111111"/>
            <w:sz w:val="22"/>
            <w:szCs w:val="22"/>
            <w:b w:val="0"/>
            <w:bCs w:val="0"/>
            <w:i w:val="0"/>
            <w:iCs w:val="0"/>
          </w:rPr>
          <w:t>7488- دیوان ناظر بستی‏</w:t>
        </w:r>
        <w:r>
          <w:tab/>
        </w:r>
        <w:r>
          <w:fldChar w:fldCharType="begin"/>
        </w:r>
        <w:r>
          <w:instrText xml:space="preserve">PAGEREF 8612 \h</w:instrText>
        </w:r>
        <w:r>
          <w:fldChar w:fldCharType="end"/>
        </w:r>
      </w:hyperlink>
    </w:p>
    <w:p>
      <w:pPr>
        <w:tabs>
          <w:tab w:val="right" w:leader="dot" w:pos="9062"/>
        </w:tabs>
        <w:ind w:left="440"/>
      </w:pPr>
      <w:hyperlink w:anchor="_Toc8613" w:history="1">
        <w:r>
          <w:rPr>
            <w:rFonts w:ascii="IRNazanin" w:hAnsi="IRNazanin" w:eastAsia="IRNazanin" w:cs="IRNazanin"/>
            <w:color w:val="111111"/>
            <w:sz w:val="22"/>
            <w:szCs w:val="22"/>
            <w:b w:val="0"/>
            <w:bCs w:val="0"/>
            <w:i w:val="0"/>
            <w:iCs w:val="0"/>
          </w:rPr>
          <w:t>7489- دیوان ناظر دهلوی أو شعره‏</w:t>
        </w:r>
        <w:r>
          <w:tab/>
        </w:r>
        <w:r>
          <w:fldChar w:fldCharType="begin"/>
        </w:r>
        <w:r>
          <w:instrText xml:space="preserve">PAGEREF 8613 \h</w:instrText>
        </w:r>
        <w:r>
          <w:fldChar w:fldCharType="end"/>
        </w:r>
      </w:hyperlink>
    </w:p>
    <w:p>
      <w:pPr>
        <w:tabs>
          <w:tab w:val="right" w:leader="dot" w:pos="9062"/>
        </w:tabs>
        <w:ind w:left="440"/>
      </w:pPr>
      <w:hyperlink w:anchor="_Toc8614" w:history="1">
        <w:r>
          <w:rPr>
            <w:rFonts w:ascii="IRNazanin" w:hAnsi="IRNazanin" w:eastAsia="IRNazanin" w:cs="IRNazanin"/>
            <w:color w:val="111111"/>
            <w:sz w:val="22"/>
            <w:szCs w:val="22"/>
            <w:b w:val="0"/>
            <w:bCs w:val="0"/>
            <w:i w:val="0"/>
            <w:iCs w:val="0"/>
          </w:rPr>
          <w:t>7490- دیوان ناظرزاده کرمانی‏</w:t>
        </w:r>
        <w:r>
          <w:tab/>
        </w:r>
        <w:r>
          <w:fldChar w:fldCharType="begin"/>
        </w:r>
        <w:r>
          <w:instrText xml:space="preserve">PAGEREF 8614 \h</w:instrText>
        </w:r>
        <w:r>
          <w:fldChar w:fldCharType="end"/>
        </w:r>
      </w:hyperlink>
    </w:p>
    <w:p>
      <w:pPr>
        <w:tabs>
          <w:tab w:val="right" w:leader="dot" w:pos="9062"/>
        </w:tabs>
        <w:ind w:left="440"/>
      </w:pPr>
      <w:hyperlink w:anchor="_Toc8615" w:history="1">
        <w:r>
          <w:rPr>
            <w:rFonts w:ascii="IRNazanin" w:hAnsi="IRNazanin" w:eastAsia="IRNazanin" w:cs="IRNazanin"/>
            <w:color w:val="111111"/>
            <w:sz w:val="22"/>
            <w:szCs w:val="22"/>
            <w:b w:val="0"/>
            <w:bCs w:val="0"/>
            <w:i w:val="0"/>
            <w:iCs w:val="0"/>
          </w:rPr>
          <w:t>7491- دیوان ناظر کازرونی أو شعره‏</w:t>
        </w:r>
        <w:r>
          <w:tab/>
        </w:r>
        <w:r>
          <w:fldChar w:fldCharType="begin"/>
        </w:r>
        <w:r>
          <w:instrText xml:space="preserve">PAGEREF 8615 \h</w:instrText>
        </w:r>
        <w:r>
          <w:fldChar w:fldCharType="end"/>
        </w:r>
      </w:hyperlink>
    </w:p>
    <w:p>
      <w:pPr>
        <w:tabs>
          <w:tab w:val="right" w:leader="dot" w:pos="9062"/>
        </w:tabs>
        <w:ind w:left="440"/>
      </w:pPr>
      <w:hyperlink w:anchor="_Toc8616" w:history="1">
        <w:r>
          <w:rPr>
            <w:rFonts w:ascii="IRNazanin" w:hAnsi="IRNazanin" w:eastAsia="IRNazanin" w:cs="IRNazanin"/>
            <w:color w:val="111111"/>
            <w:sz w:val="22"/>
            <w:szCs w:val="22"/>
            <w:b w:val="0"/>
            <w:bCs w:val="0"/>
            <w:i w:val="0"/>
            <w:iCs w:val="0"/>
          </w:rPr>
          <w:t>دیوان ناظر الکوفة</w:t>
        </w:r>
        <w:r>
          <w:tab/>
        </w:r>
        <w:r>
          <w:fldChar w:fldCharType="begin"/>
        </w:r>
        <w:r>
          <w:instrText xml:space="preserve">PAGEREF 8616 \h</w:instrText>
        </w:r>
        <w:r>
          <w:fldChar w:fldCharType="end"/>
        </w:r>
      </w:hyperlink>
    </w:p>
    <w:p>
      <w:pPr>
        <w:tabs>
          <w:tab w:val="right" w:leader="dot" w:pos="9062"/>
        </w:tabs>
        <w:ind w:left="440"/>
      </w:pPr>
      <w:hyperlink w:anchor="_Toc8617" w:history="1">
        <w:r>
          <w:rPr>
            <w:rFonts w:ascii="IRNazanin" w:hAnsi="IRNazanin" w:eastAsia="IRNazanin" w:cs="IRNazanin"/>
            <w:color w:val="111111"/>
            <w:sz w:val="22"/>
            <w:szCs w:val="22"/>
            <w:b w:val="0"/>
            <w:bCs w:val="0"/>
            <w:i w:val="0"/>
            <w:iCs w:val="0"/>
          </w:rPr>
          <w:t>7492- دیوان ناظر گیلانی أو شعره‏</w:t>
        </w:r>
        <w:r>
          <w:tab/>
        </w:r>
        <w:r>
          <w:fldChar w:fldCharType="begin"/>
        </w:r>
        <w:r>
          <w:instrText xml:space="preserve">PAGEREF 8617 \h</w:instrText>
        </w:r>
        <w:r>
          <w:fldChar w:fldCharType="end"/>
        </w:r>
      </w:hyperlink>
    </w:p>
    <w:p>
      <w:pPr>
        <w:tabs>
          <w:tab w:val="right" w:leader="dot" w:pos="9062"/>
        </w:tabs>
        <w:ind w:left="440"/>
      </w:pPr>
      <w:hyperlink w:anchor="_Toc8618" w:history="1">
        <w:r>
          <w:rPr>
            <w:rFonts w:ascii="IRNazanin" w:hAnsi="IRNazanin" w:eastAsia="IRNazanin" w:cs="IRNazanin"/>
            <w:color w:val="111111"/>
            <w:sz w:val="22"/>
            <w:szCs w:val="22"/>
            <w:b w:val="0"/>
            <w:bCs w:val="0"/>
            <w:i w:val="0"/>
            <w:iCs w:val="0"/>
          </w:rPr>
          <w:t>7493- دیوان ناظر مازندرانی أو شعره‏</w:t>
        </w:r>
        <w:r>
          <w:tab/>
        </w:r>
        <w:r>
          <w:fldChar w:fldCharType="begin"/>
        </w:r>
        <w:r>
          <w:instrText xml:space="preserve">PAGEREF 8618 \h</w:instrText>
        </w:r>
        <w:r>
          <w:fldChar w:fldCharType="end"/>
        </w:r>
      </w:hyperlink>
    </w:p>
    <w:p>
      <w:pPr>
        <w:tabs>
          <w:tab w:val="right" w:leader="dot" w:pos="9062"/>
        </w:tabs>
        <w:ind w:left="440"/>
      </w:pPr>
      <w:hyperlink w:anchor="_Toc8619" w:history="1">
        <w:r>
          <w:rPr>
            <w:rFonts w:ascii="IRNazanin" w:hAnsi="IRNazanin" w:eastAsia="IRNazanin" w:cs="IRNazanin"/>
            <w:color w:val="111111"/>
            <w:sz w:val="22"/>
            <w:szCs w:val="22"/>
            <w:b w:val="0"/>
            <w:bCs w:val="0"/>
            <w:i w:val="0"/>
            <w:iCs w:val="0"/>
          </w:rPr>
          <w:t>دیوان ناظر مشهدی‏</w:t>
        </w:r>
        <w:r>
          <w:tab/>
        </w:r>
        <w:r>
          <w:fldChar w:fldCharType="begin"/>
        </w:r>
        <w:r>
          <w:instrText xml:space="preserve">PAGEREF 8619 \h</w:instrText>
        </w:r>
        <w:r>
          <w:fldChar w:fldCharType="end"/>
        </w:r>
      </w:hyperlink>
    </w:p>
    <w:p>
      <w:pPr>
        <w:tabs>
          <w:tab w:val="right" w:leader="dot" w:pos="9062"/>
        </w:tabs>
        <w:ind w:left="440"/>
      </w:pPr>
      <w:hyperlink w:anchor="_Toc8620" w:history="1">
        <w:r>
          <w:rPr>
            <w:rFonts w:ascii="IRNazanin" w:hAnsi="IRNazanin" w:eastAsia="IRNazanin" w:cs="IRNazanin"/>
            <w:color w:val="111111"/>
            <w:sz w:val="22"/>
            <w:szCs w:val="22"/>
            <w:b w:val="0"/>
            <w:bCs w:val="0"/>
            <w:i w:val="0"/>
            <w:iCs w:val="0"/>
          </w:rPr>
          <w:t>دیوان ناظری‏</w:t>
        </w:r>
        <w:r>
          <w:tab/>
        </w:r>
        <w:r>
          <w:fldChar w:fldCharType="begin"/>
        </w:r>
        <w:r>
          <w:instrText xml:space="preserve">PAGEREF 8620 \h</w:instrText>
        </w:r>
        <w:r>
          <w:fldChar w:fldCharType="end"/>
        </w:r>
      </w:hyperlink>
    </w:p>
    <w:p>
      <w:pPr>
        <w:tabs>
          <w:tab w:val="right" w:leader="dot" w:pos="9062"/>
        </w:tabs>
        <w:ind w:left="440"/>
      </w:pPr>
      <w:hyperlink w:anchor="_Toc8621" w:history="1">
        <w:r>
          <w:rPr>
            <w:rFonts w:ascii="IRNazanin" w:hAnsi="IRNazanin" w:eastAsia="IRNazanin" w:cs="IRNazanin"/>
            <w:color w:val="111111"/>
            <w:sz w:val="22"/>
            <w:szCs w:val="22"/>
            <w:b w:val="0"/>
            <w:bCs w:val="0"/>
            <w:i w:val="0"/>
            <w:iCs w:val="0"/>
          </w:rPr>
          <w:t>7494- دیوان ناظری مشهدی أو شعره‏</w:t>
        </w:r>
        <w:r>
          <w:tab/>
        </w:r>
        <w:r>
          <w:fldChar w:fldCharType="begin"/>
        </w:r>
        <w:r>
          <w:instrText xml:space="preserve">PAGEREF 8621 \h</w:instrText>
        </w:r>
        <w:r>
          <w:fldChar w:fldCharType="end"/>
        </w:r>
      </w:hyperlink>
    </w:p>
    <w:p>
      <w:pPr>
        <w:tabs>
          <w:tab w:val="right" w:leader="dot" w:pos="9062"/>
        </w:tabs>
        <w:ind w:left="440"/>
      </w:pPr>
      <w:hyperlink w:anchor="_Toc8622" w:history="1">
        <w:r>
          <w:rPr>
            <w:rFonts w:ascii="IRNazanin" w:hAnsi="IRNazanin" w:eastAsia="IRNazanin" w:cs="IRNazanin"/>
            <w:color w:val="111111"/>
            <w:sz w:val="22"/>
            <w:szCs w:val="22"/>
            <w:b w:val="0"/>
            <w:bCs w:val="0"/>
            <w:i w:val="0"/>
            <w:iCs w:val="0"/>
          </w:rPr>
          <w:t>7495- دیوان ناظم ایروانی‏</w:t>
        </w:r>
        <w:r>
          <w:tab/>
        </w:r>
        <w:r>
          <w:fldChar w:fldCharType="begin"/>
        </w:r>
        <w:r>
          <w:instrText xml:space="preserve">PAGEREF 8622 \h</w:instrText>
        </w:r>
        <w:r>
          <w:fldChar w:fldCharType="end"/>
        </w:r>
      </w:hyperlink>
    </w:p>
    <w:p>
      <w:pPr>
        <w:tabs>
          <w:tab w:val="right" w:leader="dot" w:pos="9062"/>
        </w:tabs>
        <w:ind w:left="440"/>
      </w:pPr>
      <w:hyperlink w:anchor="_Toc8623" w:history="1">
        <w:r>
          <w:rPr>
            <w:rFonts w:ascii="IRNazanin" w:hAnsi="IRNazanin" w:eastAsia="IRNazanin" w:cs="IRNazanin"/>
            <w:color w:val="111111"/>
            <w:sz w:val="22"/>
            <w:szCs w:val="22"/>
            <w:b w:val="0"/>
            <w:bCs w:val="0"/>
            <w:i w:val="0"/>
            <w:iCs w:val="0"/>
          </w:rPr>
          <w:t>7496- دیوان ناظم بختیاری‏</w:t>
        </w:r>
        <w:r>
          <w:tab/>
        </w:r>
        <w:r>
          <w:fldChar w:fldCharType="begin"/>
        </w:r>
        <w:r>
          <w:instrText xml:space="preserve">PAGEREF 8623 \h</w:instrText>
        </w:r>
        <w:r>
          <w:fldChar w:fldCharType="end"/>
        </w:r>
      </w:hyperlink>
    </w:p>
    <w:p>
      <w:pPr>
        <w:tabs>
          <w:tab w:val="right" w:leader="dot" w:pos="9062"/>
        </w:tabs>
        <w:ind w:left="440"/>
      </w:pPr>
      <w:hyperlink w:anchor="_Toc8624" w:history="1">
        <w:r>
          <w:rPr>
            <w:rFonts w:ascii="IRNazanin" w:hAnsi="IRNazanin" w:eastAsia="IRNazanin" w:cs="IRNazanin"/>
            <w:color w:val="111111"/>
            <w:sz w:val="22"/>
            <w:szCs w:val="22"/>
            <w:b w:val="0"/>
            <w:bCs w:val="0"/>
            <w:i w:val="0"/>
            <w:iCs w:val="0"/>
          </w:rPr>
          <w:t>7497- دیوان ناظم بنارسی أو شعره‏</w:t>
        </w:r>
        <w:r>
          <w:tab/>
        </w:r>
        <w:r>
          <w:fldChar w:fldCharType="begin"/>
        </w:r>
        <w:r>
          <w:instrText xml:space="preserve">PAGEREF 8624 \h</w:instrText>
        </w:r>
        <w:r>
          <w:fldChar w:fldCharType="end"/>
        </w:r>
      </w:hyperlink>
    </w:p>
    <w:p>
      <w:pPr>
        <w:tabs>
          <w:tab w:val="right" w:leader="dot" w:pos="9062"/>
        </w:tabs>
        <w:ind w:left="440"/>
      </w:pPr>
      <w:hyperlink w:anchor="_Toc8625" w:history="1">
        <w:r>
          <w:rPr>
            <w:rFonts w:ascii="IRNazanin" w:hAnsi="IRNazanin" w:eastAsia="IRNazanin" w:cs="IRNazanin"/>
            <w:color w:val="111111"/>
            <w:sz w:val="22"/>
            <w:szCs w:val="22"/>
            <w:b w:val="0"/>
            <w:bCs w:val="0"/>
            <w:i w:val="0"/>
            <w:iCs w:val="0"/>
          </w:rPr>
          <w:t>7498- دیوان ناظم تبریزی‏</w:t>
        </w:r>
        <w:r>
          <w:tab/>
        </w:r>
        <w:r>
          <w:fldChar w:fldCharType="begin"/>
        </w:r>
        <w:r>
          <w:instrText xml:space="preserve">PAGEREF 8625 \h</w:instrText>
        </w:r>
        <w:r>
          <w:fldChar w:fldCharType="end"/>
        </w:r>
      </w:hyperlink>
    </w:p>
    <w:p>
      <w:pPr>
        <w:tabs>
          <w:tab w:val="right" w:leader="dot" w:pos="9062"/>
        </w:tabs>
        <w:ind w:left="440"/>
      </w:pPr>
      <w:hyperlink w:anchor="_Toc8626" w:history="1">
        <w:r>
          <w:rPr>
            <w:rFonts w:ascii="IRNazanin" w:hAnsi="IRNazanin" w:eastAsia="IRNazanin" w:cs="IRNazanin"/>
            <w:color w:val="111111"/>
            <w:sz w:val="22"/>
            <w:szCs w:val="22"/>
            <w:b w:val="0"/>
            <w:bCs w:val="0"/>
            <w:i w:val="0"/>
            <w:iCs w:val="0"/>
          </w:rPr>
          <w:t>7499- دیوان ناظم دکنی‏</w:t>
        </w:r>
        <w:r>
          <w:tab/>
        </w:r>
        <w:r>
          <w:fldChar w:fldCharType="begin"/>
        </w:r>
        <w:r>
          <w:instrText xml:space="preserve">PAGEREF 8626 \h</w:instrText>
        </w:r>
        <w:r>
          <w:fldChar w:fldCharType="end"/>
        </w:r>
      </w:hyperlink>
    </w:p>
    <w:p>
      <w:pPr>
        <w:tabs>
          <w:tab w:val="right" w:leader="dot" w:pos="9062"/>
        </w:tabs>
        <w:ind w:left="440"/>
      </w:pPr>
      <w:hyperlink w:anchor="_Toc8627" w:history="1">
        <w:r>
          <w:rPr>
            <w:rFonts w:ascii="IRNazanin" w:hAnsi="IRNazanin" w:eastAsia="IRNazanin" w:cs="IRNazanin"/>
            <w:color w:val="111111"/>
            <w:sz w:val="22"/>
            <w:szCs w:val="22"/>
            <w:b w:val="0"/>
            <w:bCs w:val="0"/>
            <w:i w:val="0"/>
            <w:iCs w:val="0"/>
          </w:rPr>
          <w:t>دیوان ناظم سبزواری‏</w:t>
        </w:r>
        <w:r>
          <w:tab/>
        </w:r>
        <w:r>
          <w:fldChar w:fldCharType="begin"/>
        </w:r>
        <w:r>
          <w:instrText xml:space="preserve">PAGEREF 8627 \h</w:instrText>
        </w:r>
        <w:r>
          <w:fldChar w:fldCharType="end"/>
        </w:r>
      </w:hyperlink>
    </w:p>
    <w:p>
      <w:pPr>
        <w:tabs>
          <w:tab w:val="right" w:leader="dot" w:pos="9062"/>
        </w:tabs>
        <w:ind w:left="440"/>
      </w:pPr>
      <w:hyperlink w:anchor="_Toc8628" w:history="1">
        <w:r>
          <w:rPr>
            <w:rFonts w:ascii="IRNazanin" w:hAnsi="IRNazanin" w:eastAsia="IRNazanin" w:cs="IRNazanin"/>
            <w:color w:val="111111"/>
            <w:sz w:val="22"/>
            <w:szCs w:val="22"/>
            <w:b w:val="0"/>
            <w:bCs w:val="0"/>
            <w:i w:val="0"/>
            <w:iCs w:val="0"/>
          </w:rPr>
          <w:t>7500- دیوان ناظم شیرازی أو شعره‏</w:t>
        </w:r>
        <w:r>
          <w:tab/>
        </w:r>
        <w:r>
          <w:fldChar w:fldCharType="begin"/>
        </w:r>
        <w:r>
          <w:instrText xml:space="preserve">PAGEREF 8628 \h</w:instrText>
        </w:r>
        <w:r>
          <w:fldChar w:fldCharType="end"/>
        </w:r>
      </w:hyperlink>
    </w:p>
    <w:p>
      <w:pPr>
        <w:tabs>
          <w:tab w:val="right" w:leader="dot" w:pos="9062"/>
        </w:tabs>
        <w:ind w:left="440"/>
      </w:pPr>
      <w:hyperlink w:anchor="_Toc8629" w:history="1">
        <w:r>
          <w:rPr>
            <w:rFonts w:ascii="IRNazanin" w:hAnsi="IRNazanin" w:eastAsia="IRNazanin" w:cs="IRNazanin"/>
            <w:color w:val="111111"/>
            <w:sz w:val="22"/>
            <w:szCs w:val="22"/>
            <w:b w:val="0"/>
            <w:bCs w:val="0"/>
            <w:i w:val="0"/>
            <w:iCs w:val="0"/>
          </w:rPr>
          <w:t>7501- دیوان ناظم شیرازی أو شعره‏</w:t>
        </w:r>
        <w:r>
          <w:tab/>
        </w:r>
        <w:r>
          <w:fldChar w:fldCharType="begin"/>
        </w:r>
        <w:r>
          <w:instrText xml:space="preserve">PAGEREF 8629 \h</w:instrText>
        </w:r>
        <w:r>
          <w:fldChar w:fldCharType="end"/>
        </w:r>
      </w:hyperlink>
    </w:p>
    <w:p>
      <w:pPr>
        <w:tabs>
          <w:tab w:val="right" w:leader="dot" w:pos="9062"/>
        </w:tabs>
        <w:ind w:left="440"/>
      </w:pPr>
      <w:hyperlink w:anchor="_Toc8630" w:history="1">
        <w:r>
          <w:rPr>
            <w:rFonts w:ascii="IRNazanin" w:hAnsi="IRNazanin" w:eastAsia="IRNazanin" w:cs="IRNazanin"/>
            <w:color w:val="111111"/>
            <w:sz w:val="22"/>
            <w:szCs w:val="22"/>
            <w:b w:val="0"/>
            <w:bCs w:val="0"/>
            <w:i w:val="0"/>
            <w:iCs w:val="0"/>
          </w:rPr>
          <w:t>7502- دیوان ناظم صابونی‏</w:t>
        </w:r>
        <w:r>
          <w:tab/>
        </w:r>
        <w:r>
          <w:fldChar w:fldCharType="begin"/>
        </w:r>
        <w:r>
          <w:instrText xml:space="preserve">PAGEREF 8630 \h</w:instrText>
        </w:r>
        <w:r>
          <w:fldChar w:fldCharType="end"/>
        </w:r>
      </w:hyperlink>
    </w:p>
    <w:p>
      <w:pPr>
        <w:tabs>
          <w:tab w:val="right" w:leader="dot" w:pos="9062"/>
        </w:tabs>
        <w:ind w:left="440"/>
      </w:pPr>
      <w:hyperlink w:anchor="_Toc8631" w:history="1">
        <w:r>
          <w:rPr>
            <w:rFonts w:ascii="IRNazanin" w:hAnsi="IRNazanin" w:eastAsia="IRNazanin" w:cs="IRNazanin"/>
            <w:color w:val="111111"/>
            <w:sz w:val="22"/>
            <w:szCs w:val="22"/>
            <w:b w:val="0"/>
            <w:bCs w:val="0"/>
            <w:i w:val="0"/>
            <w:iCs w:val="0"/>
          </w:rPr>
          <w:t>دیوان ناظم طهرانی‏</w:t>
        </w:r>
        <w:r>
          <w:tab/>
        </w:r>
        <w:r>
          <w:fldChar w:fldCharType="begin"/>
        </w:r>
        <w:r>
          <w:instrText xml:space="preserve">PAGEREF 8631 \h</w:instrText>
        </w:r>
        <w:r>
          <w:fldChar w:fldCharType="end"/>
        </w:r>
      </w:hyperlink>
    </w:p>
    <w:p>
      <w:pPr>
        <w:tabs>
          <w:tab w:val="right" w:leader="dot" w:pos="9062"/>
        </w:tabs>
        <w:ind w:left="440"/>
      </w:pPr>
      <w:hyperlink w:anchor="_Toc8632" w:history="1">
        <w:r>
          <w:rPr>
            <w:rFonts w:ascii="IRNazanin" w:hAnsi="IRNazanin" w:eastAsia="IRNazanin" w:cs="IRNazanin"/>
            <w:color w:val="111111"/>
            <w:sz w:val="22"/>
            <w:szCs w:val="22"/>
            <w:b w:val="0"/>
            <w:bCs w:val="0"/>
            <w:i w:val="0"/>
            <w:iCs w:val="0"/>
          </w:rPr>
          <w:t>7503- دیوان ناظم کرمانی أو شعره‏</w:t>
        </w:r>
        <w:r>
          <w:tab/>
        </w:r>
        <w:r>
          <w:fldChar w:fldCharType="begin"/>
        </w:r>
        <w:r>
          <w:instrText xml:space="preserve">PAGEREF 8632 \h</w:instrText>
        </w:r>
        <w:r>
          <w:fldChar w:fldCharType="end"/>
        </w:r>
      </w:hyperlink>
    </w:p>
    <w:p>
      <w:pPr>
        <w:tabs>
          <w:tab w:val="right" w:leader="dot" w:pos="9062"/>
        </w:tabs>
        <w:ind w:left="440"/>
      </w:pPr>
      <w:hyperlink w:anchor="_Toc8633" w:history="1">
        <w:r>
          <w:rPr>
            <w:rFonts w:ascii="IRNazanin" w:hAnsi="IRNazanin" w:eastAsia="IRNazanin" w:cs="IRNazanin"/>
            <w:color w:val="111111"/>
            <w:sz w:val="22"/>
            <w:szCs w:val="22"/>
            <w:b w:val="0"/>
            <w:bCs w:val="0"/>
            <w:i w:val="0"/>
            <w:iCs w:val="0"/>
          </w:rPr>
          <w:t>7504- دیوان ناظم کرمانی أو شعره‏</w:t>
        </w:r>
        <w:r>
          <w:tab/>
        </w:r>
        <w:r>
          <w:fldChar w:fldCharType="begin"/>
        </w:r>
        <w:r>
          <w:instrText xml:space="preserve">PAGEREF 8633 \h</w:instrText>
        </w:r>
        <w:r>
          <w:fldChar w:fldCharType="end"/>
        </w:r>
      </w:hyperlink>
    </w:p>
    <w:p>
      <w:pPr>
        <w:tabs>
          <w:tab w:val="right" w:leader="dot" w:pos="9062"/>
        </w:tabs>
        <w:ind w:left="440"/>
      </w:pPr>
      <w:hyperlink w:anchor="_Toc8634" w:history="1">
        <w:r>
          <w:rPr>
            <w:rFonts w:ascii="IRNazanin" w:hAnsi="IRNazanin" w:eastAsia="IRNazanin" w:cs="IRNazanin"/>
            <w:color w:val="111111"/>
            <w:sz w:val="22"/>
            <w:szCs w:val="22"/>
            <w:b w:val="0"/>
            <w:bCs w:val="0"/>
            <w:i w:val="0"/>
            <w:iCs w:val="0"/>
          </w:rPr>
          <w:t>دیوان ناظم گلپایگانی‏</w:t>
        </w:r>
        <w:r>
          <w:tab/>
        </w:r>
        <w:r>
          <w:fldChar w:fldCharType="begin"/>
        </w:r>
        <w:r>
          <w:instrText xml:space="preserve">PAGEREF 8634 \h</w:instrText>
        </w:r>
        <w:r>
          <w:fldChar w:fldCharType="end"/>
        </w:r>
      </w:hyperlink>
    </w:p>
    <w:p>
      <w:pPr>
        <w:tabs>
          <w:tab w:val="right" w:leader="dot" w:pos="9062"/>
        </w:tabs>
        <w:ind w:left="440"/>
      </w:pPr>
      <w:hyperlink w:anchor="_Toc8635" w:history="1">
        <w:r>
          <w:rPr>
            <w:rFonts w:ascii="IRNazanin" w:hAnsi="IRNazanin" w:eastAsia="IRNazanin" w:cs="IRNazanin"/>
            <w:color w:val="111111"/>
            <w:sz w:val="22"/>
            <w:szCs w:val="22"/>
            <w:b w:val="0"/>
            <w:bCs w:val="0"/>
            <w:i w:val="0"/>
            <w:iCs w:val="0"/>
          </w:rPr>
          <w:t>دیوان ناظم الملک‏</w:t>
        </w:r>
        <w:r>
          <w:tab/>
        </w:r>
        <w:r>
          <w:fldChar w:fldCharType="begin"/>
        </w:r>
        <w:r>
          <w:instrText xml:space="preserve">PAGEREF 8635 \h</w:instrText>
        </w:r>
        <w:r>
          <w:fldChar w:fldCharType="end"/>
        </w:r>
      </w:hyperlink>
    </w:p>
    <w:p>
      <w:pPr>
        <w:tabs>
          <w:tab w:val="right" w:leader="dot" w:pos="9062"/>
        </w:tabs>
        <w:ind w:left="440"/>
      </w:pPr>
      <w:hyperlink w:anchor="_Toc8636" w:history="1">
        <w:r>
          <w:rPr>
            <w:rFonts w:ascii="IRNazanin" w:hAnsi="IRNazanin" w:eastAsia="IRNazanin" w:cs="IRNazanin"/>
            <w:color w:val="111111"/>
            <w:sz w:val="22"/>
            <w:szCs w:val="22"/>
            <w:b w:val="0"/>
            <w:bCs w:val="0"/>
            <w:i w:val="0"/>
            <w:iCs w:val="0"/>
          </w:rPr>
          <w:t>7505- دیوان ناظم هروی‏</w:t>
        </w:r>
        <w:r>
          <w:tab/>
        </w:r>
        <w:r>
          <w:fldChar w:fldCharType="begin"/>
        </w:r>
        <w:r>
          <w:instrText xml:space="preserve">PAGEREF 8636 \h</w:instrText>
        </w:r>
        <w:r>
          <w:fldChar w:fldCharType="end"/>
        </w:r>
      </w:hyperlink>
    </w:p>
    <w:p>
      <w:pPr>
        <w:tabs>
          <w:tab w:val="right" w:leader="dot" w:pos="9062"/>
        </w:tabs>
        <w:ind w:left="440"/>
      </w:pPr>
      <w:hyperlink w:anchor="_Toc8637" w:history="1">
        <w:r>
          <w:rPr>
            <w:rFonts w:ascii="IRNazanin" w:hAnsi="IRNazanin" w:eastAsia="IRNazanin" w:cs="IRNazanin"/>
            <w:color w:val="111111"/>
            <w:sz w:val="22"/>
            <w:szCs w:val="22"/>
            <w:b w:val="0"/>
            <w:bCs w:val="0"/>
            <w:i w:val="0"/>
            <w:iCs w:val="0"/>
          </w:rPr>
          <w:t>7506- دیوان ناظم یزدی أو شعره‏</w:t>
        </w:r>
        <w:r>
          <w:tab/>
        </w:r>
        <w:r>
          <w:fldChar w:fldCharType="begin"/>
        </w:r>
        <w:r>
          <w:instrText xml:space="preserve">PAGEREF 8637 \h</w:instrText>
        </w:r>
        <w:r>
          <w:fldChar w:fldCharType="end"/>
        </w:r>
      </w:hyperlink>
    </w:p>
    <w:p>
      <w:pPr>
        <w:tabs>
          <w:tab w:val="right" w:leader="dot" w:pos="9062"/>
        </w:tabs>
        <w:ind w:left="440"/>
      </w:pPr>
      <w:hyperlink w:anchor="_Toc8638" w:history="1">
        <w:r>
          <w:rPr>
            <w:rFonts w:ascii="IRNazanin" w:hAnsi="IRNazanin" w:eastAsia="IRNazanin" w:cs="IRNazanin"/>
            <w:color w:val="111111"/>
            <w:sz w:val="22"/>
            <w:szCs w:val="22"/>
            <w:b w:val="0"/>
            <w:bCs w:val="0"/>
            <w:i w:val="0"/>
            <w:iCs w:val="0"/>
          </w:rPr>
          <w:t>7507- دیوان ناظمی أو شعره‏</w:t>
        </w:r>
        <w:r>
          <w:tab/>
        </w:r>
        <w:r>
          <w:fldChar w:fldCharType="begin"/>
        </w:r>
        <w:r>
          <w:instrText xml:space="preserve">PAGEREF 8638 \h</w:instrText>
        </w:r>
        <w:r>
          <w:fldChar w:fldCharType="end"/>
        </w:r>
      </w:hyperlink>
    </w:p>
    <w:p>
      <w:pPr>
        <w:tabs>
          <w:tab w:val="right" w:leader="dot" w:pos="9062"/>
        </w:tabs>
        <w:ind w:left="440"/>
      </w:pPr>
      <w:hyperlink w:anchor="_Toc8639" w:history="1">
        <w:r>
          <w:rPr>
            <w:rFonts w:ascii="IRNazanin" w:hAnsi="IRNazanin" w:eastAsia="IRNazanin" w:cs="IRNazanin"/>
            <w:color w:val="111111"/>
            <w:sz w:val="22"/>
            <w:szCs w:val="22"/>
            <w:b w:val="0"/>
            <w:bCs w:val="0"/>
            <w:i w:val="0"/>
            <w:iCs w:val="0"/>
          </w:rPr>
          <w:t>7508- دیوان نافذ بروجردی‏</w:t>
        </w:r>
        <w:r>
          <w:tab/>
        </w:r>
        <w:r>
          <w:fldChar w:fldCharType="begin"/>
        </w:r>
        <w:r>
          <w:instrText xml:space="preserve">PAGEREF 8639 \h</w:instrText>
        </w:r>
        <w:r>
          <w:fldChar w:fldCharType="end"/>
        </w:r>
      </w:hyperlink>
    </w:p>
    <w:p>
      <w:pPr>
        <w:tabs>
          <w:tab w:val="right" w:leader="dot" w:pos="9062"/>
        </w:tabs>
        <w:ind w:left="440"/>
      </w:pPr>
      <w:hyperlink w:anchor="_Toc8640" w:history="1">
        <w:r>
          <w:rPr>
            <w:rFonts w:ascii="IRNazanin" w:hAnsi="IRNazanin" w:eastAsia="IRNazanin" w:cs="IRNazanin"/>
            <w:color w:val="111111"/>
            <w:sz w:val="22"/>
            <w:szCs w:val="22"/>
            <w:b w:val="0"/>
            <w:bCs w:val="0"/>
            <w:i w:val="0"/>
            <w:iCs w:val="0"/>
          </w:rPr>
          <w:t>7509- دیوان نافع قمی‏</w:t>
        </w:r>
        <w:r>
          <w:tab/>
        </w:r>
        <w:r>
          <w:fldChar w:fldCharType="begin"/>
        </w:r>
        <w:r>
          <w:instrText xml:space="preserve">PAGEREF 8640 \h</w:instrText>
        </w:r>
        <w:r>
          <w:fldChar w:fldCharType="end"/>
        </w:r>
      </w:hyperlink>
    </w:p>
    <w:p>
      <w:pPr>
        <w:tabs>
          <w:tab w:val="right" w:leader="dot" w:pos="9062"/>
        </w:tabs>
        <w:ind w:left="440"/>
      </w:pPr>
      <w:hyperlink w:anchor="_Toc8641" w:history="1">
        <w:r>
          <w:rPr>
            <w:rFonts w:ascii="IRNazanin" w:hAnsi="IRNazanin" w:eastAsia="IRNazanin" w:cs="IRNazanin"/>
            <w:color w:val="111111"/>
            <w:sz w:val="22"/>
            <w:szCs w:val="22"/>
            <w:b w:val="0"/>
            <w:bCs w:val="0"/>
            <w:i w:val="0"/>
            <w:iCs w:val="0"/>
          </w:rPr>
          <w:t>7510- دیوان ناقد هروی أو شعره‏</w:t>
        </w:r>
        <w:r>
          <w:tab/>
        </w:r>
        <w:r>
          <w:fldChar w:fldCharType="begin"/>
        </w:r>
        <w:r>
          <w:instrText xml:space="preserve">PAGEREF 8641 \h</w:instrText>
        </w:r>
        <w:r>
          <w:fldChar w:fldCharType="end"/>
        </w:r>
      </w:hyperlink>
    </w:p>
    <w:p>
      <w:pPr>
        <w:tabs>
          <w:tab w:val="right" w:leader="dot" w:pos="9062"/>
        </w:tabs>
        <w:ind w:left="440"/>
      </w:pPr>
      <w:hyperlink w:anchor="_Toc8642" w:history="1">
        <w:r>
          <w:rPr>
            <w:rFonts w:ascii="IRNazanin" w:hAnsi="IRNazanin" w:eastAsia="IRNazanin" w:cs="IRNazanin"/>
            <w:color w:val="111111"/>
            <w:sz w:val="22"/>
            <w:szCs w:val="22"/>
            <w:b w:val="0"/>
            <w:bCs w:val="0"/>
            <w:i w:val="0"/>
            <w:iCs w:val="0"/>
          </w:rPr>
          <w:t>7511- دیوان ناکام بخارائی أو شعره‏</w:t>
        </w:r>
        <w:r>
          <w:tab/>
        </w:r>
        <w:r>
          <w:fldChar w:fldCharType="begin"/>
        </w:r>
        <w:r>
          <w:instrText xml:space="preserve">PAGEREF 8642 \h</w:instrText>
        </w:r>
        <w:r>
          <w:fldChar w:fldCharType="end"/>
        </w:r>
      </w:hyperlink>
    </w:p>
    <w:p>
      <w:pPr>
        <w:tabs>
          <w:tab w:val="right" w:leader="dot" w:pos="9062"/>
        </w:tabs>
        <w:ind w:left="440"/>
      </w:pPr>
      <w:hyperlink w:anchor="_Toc8643" w:history="1">
        <w:r>
          <w:rPr>
            <w:rFonts w:ascii="IRNazanin" w:hAnsi="IRNazanin" w:eastAsia="IRNazanin" w:cs="IRNazanin"/>
            <w:color w:val="111111"/>
            <w:sz w:val="22"/>
            <w:szCs w:val="22"/>
            <w:b w:val="0"/>
            <w:bCs w:val="0"/>
            <w:i w:val="0"/>
            <w:iCs w:val="0"/>
          </w:rPr>
          <w:t>دیوان ناکوک‏</w:t>
        </w:r>
        <w:r>
          <w:tab/>
        </w:r>
        <w:r>
          <w:fldChar w:fldCharType="begin"/>
        </w:r>
        <w:r>
          <w:instrText xml:space="preserve">PAGEREF 8643 \h</w:instrText>
        </w:r>
        <w:r>
          <w:fldChar w:fldCharType="end"/>
        </w:r>
      </w:hyperlink>
    </w:p>
    <w:p>
      <w:pPr>
        <w:tabs>
          <w:tab w:val="right" w:leader="dot" w:pos="9062"/>
        </w:tabs>
        <w:ind w:left="440"/>
      </w:pPr>
      <w:hyperlink w:anchor="_Toc8644" w:history="1">
        <w:r>
          <w:rPr>
            <w:rFonts w:ascii="IRNazanin" w:hAnsi="IRNazanin" w:eastAsia="IRNazanin" w:cs="IRNazanin"/>
            <w:color w:val="111111"/>
            <w:sz w:val="22"/>
            <w:szCs w:val="22"/>
            <w:b w:val="0"/>
            <w:bCs w:val="0"/>
            <w:i w:val="0"/>
            <w:iCs w:val="0"/>
          </w:rPr>
          <w:t>7512- دیوان نالان لکهنوی أو شعره‏</w:t>
        </w:r>
        <w:r>
          <w:tab/>
        </w:r>
        <w:r>
          <w:fldChar w:fldCharType="begin"/>
        </w:r>
        <w:r>
          <w:instrText xml:space="preserve">PAGEREF 8644 \h</w:instrText>
        </w:r>
        <w:r>
          <w:fldChar w:fldCharType="end"/>
        </w:r>
      </w:hyperlink>
    </w:p>
    <w:p>
      <w:pPr>
        <w:tabs>
          <w:tab w:val="right" w:leader="dot" w:pos="9062"/>
        </w:tabs>
        <w:ind w:left="440"/>
      </w:pPr>
      <w:hyperlink w:anchor="_Toc8645" w:history="1">
        <w:r>
          <w:rPr>
            <w:rFonts w:ascii="IRNazanin" w:hAnsi="IRNazanin" w:eastAsia="IRNazanin" w:cs="IRNazanin"/>
            <w:color w:val="111111"/>
            <w:sz w:val="22"/>
            <w:szCs w:val="22"/>
            <w:b w:val="0"/>
            <w:bCs w:val="0"/>
            <w:i w:val="0"/>
            <w:iCs w:val="0"/>
          </w:rPr>
          <w:t>7513- دیوان ناله بغدادی أو شعره‏</w:t>
        </w:r>
        <w:r>
          <w:tab/>
        </w:r>
        <w:r>
          <w:fldChar w:fldCharType="begin"/>
        </w:r>
        <w:r>
          <w:instrText xml:space="preserve">PAGEREF 8645 \h</w:instrText>
        </w:r>
        <w:r>
          <w:fldChar w:fldCharType="end"/>
        </w:r>
      </w:hyperlink>
    </w:p>
    <w:p>
      <w:pPr>
        <w:tabs>
          <w:tab w:val="right" w:leader="dot" w:pos="9062"/>
        </w:tabs>
        <w:ind w:left="440"/>
      </w:pPr>
      <w:hyperlink w:anchor="_Toc8646" w:history="1">
        <w:r>
          <w:rPr>
            <w:rFonts w:ascii="IRNazanin" w:hAnsi="IRNazanin" w:eastAsia="IRNazanin" w:cs="IRNazanin"/>
            <w:color w:val="111111"/>
            <w:sz w:val="22"/>
            <w:szCs w:val="22"/>
            <w:b w:val="0"/>
            <w:bCs w:val="0"/>
            <w:i w:val="0"/>
            <w:iCs w:val="0"/>
          </w:rPr>
          <w:t>7514- دیوان ناله شیرازی‏</w:t>
        </w:r>
        <w:r>
          <w:tab/>
        </w:r>
        <w:r>
          <w:fldChar w:fldCharType="begin"/>
        </w:r>
        <w:r>
          <w:instrText xml:space="preserve">PAGEREF 8646 \h</w:instrText>
        </w:r>
        <w:r>
          <w:fldChar w:fldCharType="end"/>
        </w:r>
      </w:hyperlink>
    </w:p>
    <w:p>
      <w:pPr>
        <w:tabs>
          <w:tab w:val="right" w:leader="dot" w:pos="9062"/>
        </w:tabs>
        <w:ind w:left="440"/>
      </w:pPr>
      <w:hyperlink w:anchor="_Toc8647" w:history="1">
        <w:r>
          <w:rPr>
            <w:rFonts w:ascii="IRNazanin" w:hAnsi="IRNazanin" w:eastAsia="IRNazanin" w:cs="IRNazanin"/>
            <w:color w:val="111111"/>
            <w:sz w:val="22"/>
            <w:szCs w:val="22"/>
            <w:b w:val="0"/>
            <w:bCs w:val="0"/>
            <w:i w:val="0"/>
            <w:iCs w:val="0"/>
          </w:rPr>
          <w:t>7515- دیوان نامی أبهری أو شعره‏</w:t>
        </w:r>
        <w:r>
          <w:tab/>
        </w:r>
        <w:r>
          <w:fldChar w:fldCharType="begin"/>
        </w:r>
        <w:r>
          <w:instrText xml:space="preserve">PAGEREF 8647 \h</w:instrText>
        </w:r>
        <w:r>
          <w:fldChar w:fldCharType="end"/>
        </w:r>
      </w:hyperlink>
    </w:p>
    <w:p>
      <w:pPr>
        <w:tabs>
          <w:tab w:val="right" w:leader="dot" w:pos="9062"/>
        </w:tabs>
        <w:ind w:left="440"/>
      </w:pPr>
      <w:hyperlink w:anchor="_Toc8648" w:history="1">
        <w:r>
          <w:rPr>
            <w:rFonts w:ascii="IRNazanin" w:hAnsi="IRNazanin" w:eastAsia="IRNazanin" w:cs="IRNazanin"/>
            <w:color w:val="111111"/>
            <w:sz w:val="22"/>
            <w:szCs w:val="22"/>
            <w:b w:val="0"/>
            <w:bCs w:val="0"/>
            <w:i w:val="0"/>
            <w:iCs w:val="0"/>
          </w:rPr>
          <w:t>دیوان نامی أردوبادی‏</w:t>
        </w:r>
        <w:r>
          <w:tab/>
        </w:r>
        <w:r>
          <w:fldChar w:fldCharType="begin"/>
        </w:r>
        <w:r>
          <w:instrText xml:space="preserve">PAGEREF 8648 \h</w:instrText>
        </w:r>
        <w:r>
          <w:fldChar w:fldCharType="end"/>
        </w:r>
      </w:hyperlink>
    </w:p>
    <w:p>
      <w:pPr>
        <w:tabs>
          <w:tab w:val="right" w:leader="dot" w:pos="9062"/>
        </w:tabs>
        <w:ind w:left="440"/>
      </w:pPr>
      <w:hyperlink w:anchor="_Toc8649" w:history="1">
        <w:r>
          <w:rPr>
            <w:rFonts w:ascii="IRNazanin" w:hAnsi="IRNazanin" w:eastAsia="IRNazanin" w:cs="IRNazanin"/>
            <w:color w:val="111111"/>
            <w:sz w:val="22"/>
            <w:szCs w:val="22"/>
            <w:b w:val="0"/>
            <w:bCs w:val="0"/>
            <w:i w:val="0"/>
            <w:iCs w:val="0"/>
          </w:rPr>
          <w:t>دیوان نامی إسفزاری‏</w:t>
        </w:r>
        <w:r>
          <w:tab/>
        </w:r>
        <w:r>
          <w:fldChar w:fldCharType="begin"/>
        </w:r>
        <w:r>
          <w:instrText xml:space="preserve">PAGEREF 8649 \h</w:instrText>
        </w:r>
        <w:r>
          <w:fldChar w:fldCharType="end"/>
        </w:r>
      </w:hyperlink>
    </w:p>
    <w:p>
      <w:pPr>
        <w:tabs>
          <w:tab w:val="right" w:leader="dot" w:pos="9062"/>
        </w:tabs>
        <w:ind w:left="440"/>
      </w:pPr>
      <w:hyperlink w:anchor="_Toc8650" w:history="1">
        <w:r>
          <w:rPr>
            <w:rFonts w:ascii="IRNazanin" w:hAnsi="IRNazanin" w:eastAsia="IRNazanin" w:cs="IRNazanin"/>
            <w:color w:val="111111"/>
            <w:sz w:val="22"/>
            <w:szCs w:val="22"/>
            <w:b w:val="0"/>
            <w:bCs w:val="0"/>
            <w:i w:val="0"/>
            <w:iCs w:val="0"/>
          </w:rPr>
          <w:t>7516- دیوان نامی أصفهانی‏</w:t>
        </w:r>
        <w:r>
          <w:tab/>
        </w:r>
        <w:r>
          <w:fldChar w:fldCharType="begin"/>
        </w:r>
        <w:r>
          <w:instrText xml:space="preserve">PAGEREF 8650 \h</w:instrText>
        </w:r>
        <w:r>
          <w:fldChar w:fldCharType="end"/>
        </w:r>
      </w:hyperlink>
    </w:p>
    <w:p>
      <w:pPr>
        <w:tabs>
          <w:tab w:val="right" w:leader="dot" w:pos="9062"/>
        </w:tabs>
        <w:ind w:left="440"/>
      </w:pPr>
      <w:hyperlink w:anchor="_Toc8651" w:history="1">
        <w:r>
          <w:rPr>
            <w:rFonts w:ascii="IRNazanin" w:hAnsi="IRNazanin" w:eastAsia="IRNazanin" w:cs="IRNazanin"/>
            <w:color w:val="111111"/>
            <w:sz w:val="22"/>
            <w:szCs w:val="22"/>
            <w:b w:val="0"/>
            <w:bCs w:val="0"/>
            <w:i w:val="0"/>
            <w:iCs w:val="0"/>
          </w:rPr>
          <w:t>7517- دیوان نامی أصفهانی أو شعره‏</w:t>
        </w:r>
        <w:r>
          <w:tab/>
        </w:r>
        <w:r>
          <w:fldChar w:fldCharType="begin"/>
        </w:r>
        <w:r>
          <w:instrText xml:space="preserve">PAGEREF 8651 \h</w:instrText>
        </w:r>
        <w:r>
          <w:fldChar w:fldCharType="end"/>
        </w:r>
      </w:hyperlink>
    </w:p>
    <w:p>
      <w:pPr>
        <w:tabs>
          <w:tab w:val="right" w:leader="dot" w:pos="9062"/>
        </w:tabs>
        <w:ind w:left="440"/>
      </w:pPr>
      <w:hyperlink w:anchor="_Toc8652" w:history="1">
        <w:r>
          <w:rPr>
            <w:rFonts w:ascii="IRNazanin" w:hAnsi="IRNazanin" w:eastAsia="IRNazanin" w:cs="IRNazanin"/>
            <w:color w:val="111111"/>
            <w:sz w:val="22"/>
            <w:szCs w:val="22"/>
            <w:b w:val="0"/>
            <w:bCs w:val="0"/>
            <w:i w:val="0"/>
            <w:iCs w:val="0"/>
          </w:rPr>
          <w:t>7518- دیوان نامی أصفهانی‏</w:t>
        </w:r>
        <w:r>
          <w:tab/>
        </w:r>
        <w:r>
          <w:fldChar w:fldCharType="begin"/>
        </w:r>
        <w:r>
          <w:instrText xml:space="preserve">PAGEREF 8652 \h</w:instrText>
        </w:r>
        <w:r>
          <w:fldChar w:fldCharType="end"/>
        </w:r>
      </w:hyperlink>
    </w:p>
    <w:p>
      <w:pPr>
        <w:tabs>
          <w:tab w:val="right" w:leader="dot" w:pos="9062"/>
        </w:tabs>
        <w:ind w:left="440"/>
      </w:pPr>
      <w:hyperlink w:anchor="_Toc8653" w:history="1">
        <w:r>
          <w:rPr>
            <w:rFonts w:ascii="IRNazanin" w:hAnsi="IRNazanin" w:eastAsia="IRNazanin" w:cs="IRNazanin"/>
            <w:color w:val="111111"/>
            <w:sz w:val="22"/>
            <w:szCs w:val="22"/>
            <w:b w:val="0"/>
            <w:bCs w:val="0"/>
            <w:i w:val="0"/>
            <w:iCs w:val="0"/>
          </w:rPr>
          <w:t>7519- دیوان نامی بدیوانی أو شعره‏</w:t>
        </w:r>
        <w:r>
          <w:tab/>
        </w:r>
        <w:r>
          <w:fldChar w:fldCharType="begin"/>
        </w:r>
        <w:r>
          <w:instrText xml:space="preserve">PAGEREF 8653 \h</w:instrText>
        </w:r>
        <w:r>
          <w:fldChar w:fldCharType="end"/>
        </w:r>
      </w:hyperlink>
    </w:p>
    <w:p>
      <w:pPr>
        <w:tabs>
          <w:tab w:val="right" w:leader="dot" w:pos="9062"/>
        </w:tabs>
        <w:ind w:left="440"/>
      </w:pPr>
      <w:hyperlink w:anchor="_Toc8654" w:history="1">
        <w:r>
          <w:rPr>
            <w:rFonts w:ascii="IRNazanin" w:hAnsi="IRNazanin" w:eastAsia="IRNazanin" w:cs="IRNazanin"/>
            <w:color w:val="111111"/>
            <w:sz w:val="22"/>
            <w:szCs w:val="22"/>
            <w:b w:val="0"/>
            <w:bCs w:val="0"/>
            <w:i w:val="0"/>
            <w:iCs w:val="0"/>
          </w:rPr>
          <w:t>7520- دیوان نامی بهکری ترمذی‏</w:t>
        </w:r>
        <w:r>
          <w:tab/>
        </w:r>
        <w:r>
          <w:fldChar w:fldCharType="begin"/>
        </w:r>
        <w:r>
          <w:instrText xml:space="preserve">PAGEREF 8654 \h</w:instrText>
        </w:r>
        <w:r>
          <w:fldChar w:fldCharType="end"/>
        </w:r>
      </w:hyperlink>
    </w:p>
    <w:p>
      <w:pPr>
        <w:tabs>
          <w:tab w:val="right" w:leader="dot" w:pos="9062"/>
        </w:tabs>
        <w:ind w:left="440"/>
      </w:pPr>
      <w:hyperlink w:anchor="_Toc8655" w:history="1">
        <w:r>
          <w:rPr>
            <w:rFonts w:ascii="IRNazanin" w:hAnsi="IRNazanin" w:eastAsia="IRNazanin" w:cs="IRNazanin"/>
            <w:color w:val="111111"/>
            <w:sz w:val="22"/>
            <w:szCs w:val="22"/>
            <w:b w:val="0"/>
            <w:bCs w:val="0"/>
            <w:i w:val="0"/>
            <w:iCs w:val="0"/>
          </w:rPr>
          <w:t>7521- دیوان نامی تبریزی‏</w:t>
        </w:r>
        <w:r>
          <w:tab/>
        </w:r>
        <w:r>
          <w:fldChar w:fldCharType="begin"/>
        </w:r>
        <w:r>
          <w:instrText xml:space="preserve">PAGEREF 8655 \h</w:instrText>
        </w:r>
        <w:r>
          <w:fldChar w:fldCharType="end"/>
        </w:r>
      </w:hyperlink>
    </w:p>
    <w:p>
      <w:pPr>
        <w:tabs>
          <w:tab w:val="right" w:leader="dot" w:pos="9062"/>
        </w:tabs>
        <w:ind w:left="440"/>
      </w:pPr>
      <w:hyperlink w:anchor="_Toc8656" w:history="1">
        <w:r>
          <w:rPr>
            <w:rFonts w:ascii="IRNazanin" w:hAnsi="IRNazanin" w:eastAsia="IRNazanin" w:cs="IRNazanin"/>
            <w:color w:val="111111"/>
            <w:sz w:val="22"/>
            <w:szCs w:val="22"/>
            <w:b w:val="0"/>
            <w:bCs w:val="0"/>
            <w:i w:val="0"/>
            <w:iCs w:val="0"/>
          </w:rPr>
          <w:t>دیوان نامی ترمذی‏</w:t>
        </w:r>
        <w:r>
          <w:tab/>
        </w:r>
        <w:r>
          <w:fldChar w:fldCharType="begin"/>
        </w:r>
        <w:r>
          <w:instrText xml:space="preserve">PAGEREF 8656 \h</w:instrText>
        </w:r>
        <w:r>
          <w:fldChar w:fldCharType="end"/>
        </w:r>
      </w:hyperlink>
    </w:p>
    <w:p>
      <w:pPr>
        <w:tabs>
          <w:tab w:val="right" w:leader="dot" w:pos="9062"/>
        </w:tabs>
        <w:ind w:left="440"/>
      </w:pPr>
      <w:hyperlink w:anchor="_Toc8657" w:history="1">
        <w:r>
          <w:rPr>
            <w:rFonts w:ascii="IRNazanin" w:hAnsi="IRNazanin" w:eastAsia="IRNazanin" w:cs="IRNazanin"/>
            <w:color w:val="111111"/>
            <w:sz w:val="22"/>
            <w:szCs w:val="22"/>
            <w:b w:val="0"/>
            <w:bCs w:val="0"/>
            <w:i w:val="0"/>
            <w:iCs w:val="0"/>
          </w:rPr>
          <w:t>7522- دیوان نامی خلجستانی أو شعره‏</w:t>
        </w:r>
        <w:r>
          <w:tab/>
        </w:r>
        <w:r>
          <w:fldChar w:fldCharType="begin"/>
        </w:r>
        <w:r>
          <w:instrText xml:space="preserve">PAGEREF 8657 \h</w:instrText>
        </w:r>
        <w:r>
          <w:fldChar w:fldCharType="end"/>
        </w:r>
      </w:hyperlink>
    </w:p>
    <w:p>
      <w:pPr>
        <w:tabs>
          <w:tab w:val="right" w:leader="dot" w:pos="9062"/>
        </w:tabs>
        <w:ind w:left="440"/>
      </w:pPr>
      <w:hyperlink w:anchor="_Toc8658" w:history="1">
        <w:r>
          <w:rPr>
            <w:rFonts w:ascii="IRNazanin" w:hAnsi="IRNazanin" w:eastAsia="IRNazanin" w:cs="IRNazanin"/>
            <w:color w:val="111111"/>
            <w:sz w:val="22"/>
            <w:szCs w:val="22"/>
            <w:b w:val="0"/>
            <w:bCs w:val="0"/>
            <w:i w:val="0"/>
            <w:iCs w:val="0"/>
          </w:rPr>
          <w:t>7523- دیوان نامی خیرآبادی‏</w:t>
        </w:r>
        <w:r>
          <w:tab/>
        </w:r>
        <w:r>
          <w:fldChar w:fldCharType="begin"/>
        </w:r>
        <w:r>
          <w:instrText xml:space="preserve">PAGEREF 8658 \h</w:instrText>
        </w:r>
        <w:r>
          <w:fldChar w:fldCharType="end"/>
        </w:r>
      </w:hyperlink>
    </w:p>
    <w:p>
      <w:pPr>
        <w:tabs>
          <w:tab w:val="right" w:leader="dot" w:pos="9062"/>
        </w:tabs>
        <w:ind w:left="440"/>
      </w:pPr>
      <w:hyperlink w:anchor="_Toc8659" w:history="1">
        <w:r>
          <w:rPr>
            <w:rFonts w:ascii="IRNazanin" w:hAnsi="IRNazanin" w:eastAsia="IRNazanin" w:cs="IRNazanin"/>
            <w:color w:val="111111"/>
            <w:sz w:val="22"/>
            <w:szCs w:val="22"/>
            <w:b w:val="0"/>
            <w:bCs w:val="0"/>
            <w:i w:val="0"/>
            <w:iCs w:val="0"/>
          </w:rPr>
          <w:t>دیوان نامی رازی‏</w:t>
        </w:r>
        <w:r>
          <w:tab/>
        </w:r>
        <w:r>
          <w:fldChar w:fldCharType="begin"/>
        </w:r>
        <w:r>
          <w:instrText xml:space="preserve">PAGEREF 8659 \h</w:instrText>
        </w:r>
        <w:r>
          <w:fldChar w:fldCharType="end"/>
        </w:r>
      </w:hyperlink>
    </w:p>
    <w:p>
      <w:pPr>
        <w:tabs>
          <w:tab w:val="right" w:leader="dot" w:pos="9062"/>
        </w:tabs>
        <w:ind w:left="440"/>
      </w:pPr>
      <w:hyperlink w:anchor="_Toc8660" w:history="1">
        <w:r>
          <w:rPr>
            <w:rFonts w:ascii="IRNazanin" w:hAnsi="IRNazanin" w:eastAsia="IRNazanin" w:cs="IRNazanin"/>
            <w:color w:val="111111"/>
            <w:sz w:val="22"/>
            <w:szCs w:val="22"/>
            <w:b w:val="0"/>
            <w:bCs w:val="0"/>
            <w:i w:val="0"/>
            <w:iCs w:val="0"/>
          </w:rPr>
          <w:t>7524- دیوان نامی سبزواری أو شعره‏</w:t>
        </w:r>
        <w:r>
          <w:tab/>
        </w:r>
        <w:r>
          <w:fldChar w:fldCharType="begin"/>
        </w:r>
        <w:r>
          <w:instrText xml:space="preserve">PAGEREF 8660 \h</w:instrText>
        </w:r>
        <w:r>
          <w:fldChar w:fldCharType="end"/>
        </w:r>
      </w:hyperlink>
    </w:p>
    <w:p>
      <w:pPr>
        <w:tabs>
          <w:tab w:val="right" w:leader="dot" w:pos="9062"/>
        </w:tabs>
        <w:ind w:left="440"/>
      </w:pPr>
      <w:hyperlink w:anchor="_Toc8661" w:history="1">
        <w:r>
          <w:rPr>
            <w:rFonts w:ascii="IRNazanin" w:hAnsi="IRNazanin" w:eastAsia="IRNazanin" w:cs="IRNazanin"/>
            <w:color w:val="111111"/>
            <w:sz w:val="22"/>
            <w:szCs w:val="22"/>
            <w:b w:val="0"/>
            <w:bCs w:val="0"/>
            <w:i w:val="0"/>
            <w:iCs w:val="0"/>
          </w:rPr>
          <w:t>دیوان نامی سندی‏</w:t>
        </w:r>
        <w:r>
          <w:tab/>
        </w:r>
        <w:r>
          <w:fldChar w:fldCharType="begin"/>
        </w:r>
        <w:r>
          <w:instrText xml:space="preserve">PAGEREF 8661 \h</w:instrText>
        </w:r>
        <w:r>
          <w:fldChar w:fldCharType="end"/>
        </w:r>
      </w:hyperlink>
    </w:p>
    <w:p>
      <w:pPr>
        <w:tabs>
          <w:tab w:val="right" w:leader="dot" w:pos="9062"/>
        </w:tabs>
        <w:ind w:left="440"/>
      </w:pPr>
      <w:hyperlink w:anchor="_Toc8662" w:history="1">
        <w:r>
          <w:rPr>
            <w:rFonts w:ascii="IRNazanin" w:hAnsi="IRNazanin" w:eastAsia="IRNazanin" w:cs="IRNazanin"/>
            <w:color w:val="111111"/>
            <w:sz w:val="22"/>
            <w:szCs w:val="22"/>
            <w:b w:val="0"/>
            <w:bCs w:val="0"/>
            <w:i w:val="0"/>
            <w:iCs w:val="0"/>
          </w:rPr>
          <w:t>7525- دیوان نامی شمسی أو شعره‏</w:t>
        </w:r>
        <w:r>
          <w:tab/>
        </w:r>
        <w:r>
          <w:fldChar w:fldCharType="begin"/>
        </w:r>
        <w:r>
          <w:instrText xml:space="preserve">PAGEREF 8662 \h</w:instrText>
        </w:r>
        <w:r>
          <w:fldChar w:fldCharType="end"/>
        </w:r>
      </w:hyperlink>
    </w:p>
    <w:p>
      <w:pPr>
        <w:tabs>
          <w:tab w:val="right" w:leader="dot" w:pos="9062"/>
        </w:tabs>
        <w:ind w:left="440"/>
      </w:pPr>
      <w:hyperlink w:anchor="_Toc8663" w:history="1">
        <w:r>
          <w:rPr>
            <w:rFonts w:ascii="IRNazanin" w:hAnsi="IRNazanin" w:eastAsia="IRNazanin" w:cs="IRNazanin"/>
            <w:color w:val="111111"/>
            <w:sz w:val="22"/>
            <w:szCs w:val="22"/>
            <w:b w:val="0"/>
            <w:bCs w:val="0"/>
            <w:i w:val="0"/>
            <w:iCs w:val="0"/>
          </w:rPr>
          <w:t>دیوان نامی طهرانی‏</w:t>
        </w:r>
        <w:r>
          <w:tab/>
        </w:r>
        <w:r>
          <w:fldChar w:fldCharType="begin"/>
        </w:r>
        <w:r>
          <w:instrText xml:space="preserve">PAGEREF 8663 \h</w:instrText>
        </w:r>
        <w:r>
          <w:fldChar w:fldCharType="end"/>
        </w:r>
      </w:hyperlink>
    </w:p>
    <w:p>
      <w:pPr>
        <w:tabs>
          <w:tab w:val="right" w:leader="dot" w:pos="9062"/>
        </w:tabs>
        <w:ind w:left="440"/>
      </w:pPr>
      <w:hyperlink w:anchor="_Toc8664" w:history="1">
        <w:r>
          <w:rPr>
            <w:rFonts w:ascii="IRNazanin" w:hAnsi="IRNazanin" w:eastAsia="IRNazanin" w:cs="IRNazanin"/>
            <w:color w:val="111111"/>
            <w:sz w:val="22"/>
            <w:szCs w:val="22"/>
            <w:b w:val="0"/>
            <w:bCs w:val="0"/>
            <w:i w:val="0"/>
            <w:iCs w:val="0"/>
          </w:rPr>
          <w:t>7526- دیوان نامی کرمانشاهی أو شعره‏</w:t>
        </w:r>
        <w:r>
          <w:tab/>
        </w:r>
        <w:r>
          <w:fldChar w:fldCharType="begin"/>
        </w:r>
        <w:r>
          <w:instrText xml:space="preserve">PAGEREF 8664 \h</w:instrText>
        </w:r>
        <w:r>
          <w:fldChar w:fldCharType="end"/>
        </w:r>
      </w:hyperlink>
    </w:p>
    <w:p>
      <w:pPr>
        <w:tabs>
          <w:tab w:val="right" w:leader="dot" w:pos="9062"/>
        </w:tabs>
        <w:ind w:left="440"/>
      </w:pPr>
      <w:hyperlink w:anchor="_Toc8665" w:history="1">
        <w:r>
          <w:rPr>
            <w:rFonts w:ascii="IRNazanin" w:hAnsi="IRNazanin" w:eastAsia="IRNazanin" w:cs="IRNazanin"/>
            <w:color w:val="111111"/>
            <w:sz w:val="22"/>
            <w:szCs w:val="22"/>
            <w:b w:val="0"/>
            <w:bCs w:val="0"/>
            <w:i w:val="0"/>
            <w:iCs w:val="0"/>
          </w:rPr>
          <w:t>7527- دیوان نامی کشمیری أو شعره‏</w:t>
        </w:r>
        <w:r>
          <w:tab/>
        </w:r>
        <w:r>
          <w:fldChar w:fldCharType="begin"/>
        </w:r>
        <w:r>
          <w:instrText xml:space="preserve">PAGEREF 8665 \h</w:instrText>
        </w:r>
        <w:r>
          <w:fldChar w:fldCharType="end"/>
        </w:r>
      </w:hyperlink>
    </w:p>
    <w:p>
      <w:pPr>
        <w:tabs>
          <w:tab w:val="right" w:leader="dot" w:pos="9062"/>
        </w:tabs>
        <w:ind w:left="440"/>
      </w:pPr>
      <w:hyperlink w:anchor="_Toc8666" w:history="1">
        <w:r>
          <w:rPr>
            <w:rFonts w:ascii="IRNazanin" w:hAnsi="IRNazanin" w:eastAsia="IRNazanin" w:cs="IRNazanin"/>
            <w:color w:val="111111"/>
            <w:sz w:val="22"/>
            <w:szCs w:val="22"/>
            <w:b w:val="0"/>
            <w:bCs w:val="0"/>
            <w:i w:val="0"/>
            <w:iCs w:val="0"/>
          </w:rPr>
          <w:t>7528- دیوان نامی لکهنوی أو شعره‏</w:t>
        </w:r>
        <w:r>
          <w:tab/>
        </w:r>
        <w:r>
          <w:fldChar w:fldCharType="begin"/>
        </w:r>
        <w:r>
          <w:instrText xml:space="preserve">PAGEREF 8666 \h</w:instrText>
        </w:r>
        <w:r>
          <w:fldChar w:fldCharType="end"/>
        </w:r>
      </w:hyperlink>
    </w:p>
    <w:p>
      <w:pPr>
        <w:tabs>
          <w:tab w:val="right" w:leader="dot" w:pos="9062"/>
        </w:tabs>
        <w:ind w:left="440"/>
      </w:pPr>
      <w:hyperlink w:anchor="_Toc8667" w:history="1">
        <w:r>
          <w:rPr>
            <w:rFonts w:ascii="IRNazanin" w:hAnsi="IRNazanin" w:eastAsia="IRNazanin" w:cs="IRNazanin"/>
            <w:color w:val="111111"/>
            <w:sz w:val="22"/>
            <w:szCs w:val="22"/>
            <w:b w:val="0"/>
            <w:bCs w:val="0"/>
            <w:i w:val="0"/>
            <w:iCs w:val="0"/>
          </w:rPr>
          <w:t>دیوان نامی هروی‏</w:t>
        </w:r>
        <w:r>
          <w:tab/>
        </w:r>
        <w:r>
          <w:fldChar w:fldCharType="begin"/>
        </w:r>
        <w:r>
          <w:instrText xml:space="preserve">PAGEREF 8667 \h</w:instrText>
        </w:r>
        <w:r>
          <w:fldChar w:fldCharType="end"/>
        </w:r>
      </w:hyperlink>
    </w:p>
    <w:p>
      <w:pPr>
        <w:tabs>
          <w:tab w:val="right" w:leader="dot" w:pos="9062"/>
        </w:tabs>
        <w:ind w:left="440"/>
      </w:pPr>
      <w:hyperlink w:anchor="_Toc8668" w:history="1">
        <w:r>
          <w:rPr>
            <w:rFonts w:ascii="IRNazanin" w:hAnsi="IRNazanin" w:eastAsia="IRNazanin" w:cs="IRNazanin"/>
            <w:color w:val="111111"/>
            <w:sz w:val="22"/>
            <w:szCs w:val="22"/>
            <w:b w:val="0"/>
            <w:bCs w:val="0"/>
            <w:i w:val="0"/>
            <w:iCs w:val="0"/>
          </w:rPr>
          <w:t>دیوان ناهید تبریزی‏</w:t>
        </w:r>
        <w:r>
          <w:tab/>
        </w:r>
        <w:r>
          <w:fldChar w:fldCharType="begin"/>
        </w:r>
        <w:r>
          <w:instrText xml:space="preserve">PAGEREF 8668 \h</w:instrText>
        </w:r>
        <w:r>
          <w:fldChar w:fldCharType="end"/>
        </w:r>
      </w:hyperlink>
    </w:p>
    <w:p>
      <w:pPr>
        <w:tabs>
          <w:tab w:val="right" w:leader="dot" w:pos="9062"/>
        </w:tabs>
        <w:ind w:left="440"/>
      </w:pPr>
      <w:hyperlink w:anchor="_Toc8669" w:history="1">
        <w:r>
          <w:rPr>
            <w:rFonts w:ascii="IRNazanin" w:hAnsi="IRNazanin" w:eastAsia="IRNazanin" w:cs="IRNazanin"/>
            <w:color w:val="111111"/>
            <w:sz w:val="22"/>
            <w:szCs w:val="22"/>
            <w:b w:val="0"/>
            <w:bCs w:val="0"/>
            <w:i w:val="0"/>
            <w:iCs w:val="0"/>
          </w:rPr>
          <w:t>7529- دیوان ناهید میر هادی‏</w:t>
        </w:r>
        <w:r>
          <w:tab/>
        </w:r>
        <w:r>
          <w:fldChar w:fldCharType="begin"/>
        </w:r>
        <w:r>
          <w:instrText xml:space="preserve">PAGEREF 8669 \h</w:instrText>
        </w:r>
        <w:r>
          <w:fldChar w:fldCharType="end"/>
        </w:r>
      </w:hyperlink>
    </w:p>
    <w:p>
      <w:pPr>
        <w:tabs>
          <w:tab w:val="right" w:leader="dot" w:pos="9062"/>
        </w:tabs>
        <w:ind w:left="440"/>
      </w:pPr>
      <w:hyperlink w:anchor="_Toc8670" w:history="1">
        <w:r>
          <w:rPr>
            <w:rFonts w:ascii="IRNazanin" w:hAnsi="IRNazanin" w:eastAsia="IRNazanin" w:cs="IRNazanin"/>
            <w:color w:val="111111"/>
            <w:sz w:val="22"/>
            <w:szCs w:val="22"/>
            <w:b w:val="0"/>
            <w:bCs w:val="0"/>
            <w:i w:val="0"/>
            <w:iCs w:val="0"/>
          </w:rPr>
          <w:t>7530- دیوان ناهید همدانی أو شعره‏</w:t>
        </w:r>
        <w:r>
          <w:tab/>
        </w:r>
        <w:r>
          <w:fldChar w:fldCharType="begin"/>
        </w:r>
        <w:r>
          <w:instrText xml:space="preserve">PAGEREF 8670 \h</w:instrText>
        </w:r>
        <w:r>
          <w:fldChar w:fldCharType="end"/>
        </w:r>
      </w:hyperlink>
    </w:p>
    <w:p>
      <w:pPr>
        <w:tabs>
          <w:tab w:val="right" w:leader="dot" w:pos="9062"/>
        </w:tabs>
        <w:ind w:left="440"/>
      </w:pPr>
      <w:hyperlink w:anchor="_Toc8671" w:history="1">
        <w:r>
          <w:rPr>
            <w:rFonts w:ascii="IRNazanin" w:hAnsi="IRNazanin" w:eastAsia="IRNazanin" w:cs="IRNazanin"/>
            <w:color w:val="111111"/>
            <w:sz w:val="22"/>
            <w:szCs w:val="22"/>
            <w:b w:val="0"/>
            <w:bCs w:val="0"/>
            <w:i w:val="0"/>
            <w:iCs w:val="0"/>
          </w:rPr>
          <w:t>7531- دیوان نائب أصفهانی أو شعره‏</w:t>
        </w:r>
        <w:r>
          <w:tab/>
        </w:r>
        <w:r>
          <w:fldChar w:fldCharType="begin"/>
        </w:r>
        <w:r>
          <w:instrText xml:space="preserve">PAGEREF 8671 \h</w:instrText>
        </w:r>
        <w:r>
          <w:fldChar w:fldCharType="end"/>
        </w:r>
      </w:hyperlink>
    </w:p>
    <w:p>
      <w:pPr>
        <w:tabs>
          <w:tab w:val="right" w:leader="dot" w:pos="9062"/>
        </w:tabs>
        <w:ind w:left="440"/>
      </w:pPr>
      <w:hyperlink w:anchor="_Toc8672" w:history="1">
        <w:r>
          <w:rPr>
            <w:rFonts w:ascii="IRNazanin" w:hAnsi="IRNazanin" w:eastAsia="IRNazanin" w:cs="IRNazanin"/>
            <w:color w:val="111111"/>
            <w:sz w:val="22"/>
            <w:szCs w:val="22"/>
            <w:b w:val="0"/>
            <w:bCs w:val="0"/>
            <w:i w:val="0"/>
            <w:iCs w:val="0"/>
          </w:rPr>
          <w:t>دیوان نائب أفشار</w:t>
        </w:r>
        <w:r>
          <w:tab/>
        </w:r>
        <w:r>
          <w:fldChar w:fldCharType="begin"/>
        </w:r>
        <w:r>
          <w:instrText xml:space="preserve">PAGEREF 8672 \h</w:instrText>
        </w:r>
        <w:r>
          <w:fldChar w:fldCharType="end"/>
        </w:r>
      </w:hyperlink>
    </w:p>
    <w:p>
      <w:pPr>
        <w:tabs>
          <w:tab w:val="right" w:leader="dot" w:pos="9062"/>
        </w:tabs>
        <w:ind w:left="440"/>
      </w:pPr>
      <w:hyperlink w:anchor="_Toc8673" w:history="1">
        <w:r>
          <w:rPr>
            <w:rFonts w:ascii="IRNazanin" w:hAnsi="IRNazanin" w:eastAsia="IRNazanin" w:cs="IRNazanin"/>
            <w:color w:val="111111"/>
            <w:sz w:val="22"/>
            <w:szCs w:val="22"/>
            <w:b w:val="0"/>
            <w:bCs w:val="0"/>
            <w:i w:val="0"/>
            <w:iCs w:val="0"/>
          </w:rPr>
          <w:t>دیوان نائب الصدر أفشار</w:t>
        </w:r>
        <w:r>
          <w:tab/>
        </w:r>
        <w:r>
          <w:fldChar w:fldCharType="begin"/>
        </w:r>
        <w:r>
          <w:instrText xml:space="preserve">PAGEREF 8673 \h</w:instrText>
        </w:r>
        <w:r>
          <w:fldChar w:fldCharType="end"/>
        </w:r>
      </w:hyperlink>
    </w:p>
    <w:p>
      <w:pPr>
        <w:tabs>
          <w:tab w:val="right" w:leader="dot" w:pos="9062"/>
        </w:tabs>
        <w:ind w:left="440"/>
      </w:pPr>
      <w:hyperlink w:anchor="_Toc8674" w:history="1">
        <w:r>
          <w:rPr>
            <w:rFonts w:ascii="IRNazanin" w:hAnsi="IRNazanin" w:eastAsia="IRNazanin" w:cs="IRNazanin"/>
            <w:color w:val="111111"/>
            <w:sz w:val="22"/>
            <w:szCs w:val="22"/>
            <w:b w:val="0"/>
            <w:bCs w:val="0"/>
            <w:i w:val="0"/>
            <w:iCs w:val="0"/>
          </w:rPr>
          <w:t>دیوان نائب الصدر تبریزی‏</w:t>
        </w:r>
        <w:r>
          <w:tab/>
        </w:r>
        <w:r>
          <w:fldChar w:fldCharType="begin"/>
        </w:r>
        <w:r>
          <w:instrText xml:space="preserve">PAGEREF 8674 \h</w:instrText>
        </w:r>
        <w:r>
          <w:fldChar w:fldCharType="end"/>
        </w:r>
      </w:hyperlink>
    </w:p>
    <w:p>
      <w:pPr>
        <w:tabs>
          <w:tab w:val="right" w:leader="dot" w:pos="9062"/>
        </w:tabs>
        <w:ind w:left="440"/>
      </w:pPr>
      <w:hyperlink w:anchor="_Toc8675" w:history="1">
        <w:r>
          <w:rPr>
            <w:rFonts w:ascii="IRNazanin" w:hAnsi="IRNazanin" w:eastAsia="IRNazanin" w:cs="IRNazanin"/>
            <w:color w:val="111111"/>
            <w:sz w:val="22"/>
            <w:szCs w:val="22"/>
            <w:b w:val="0"/>
            <w:bCs w:val="0"/>
            <w:i w:val="0"/>
            <w:iCs w:val="0"/>
          </w:rPr>
          <w:t>دیوان نائب الصدر شیرازی القزوینی‏</w:t>
        </w:r>
        <w:r>
          <w:tab/>
        </w:r>
        <w:r>
          <w:fldChar w:fldCharType="begin"/>
        </w:r>
        <w:r>
          <w:instrText xml:space="preserve">PAGEREF 8675 \h</w:instrText>
        </w:r>
        <w:r>
          <w:fldChar w:fldCharType="end"/>
        </w:r>
      </w:hyperlink>
    </w:p>
    <w:p>
      <w:pPr>
        <w:tabs>
          <w:tab w:val="right" w:leader="dot" w:pos="9062"/>
        </w:tabs>
        <w:ind w:left="440"/>
      </w:pPr>
      <w:hyperlink w:anchor="_Toc8676" w:history="1">
        <w:r>
          <w:rPr>
            <w:rFonts w:ascii="IRNazanin" w:hAnsi="IRNazanin" w:eastAsia="IRNazanin" w:cs="IRNazanin"/>
            <w:color w:val="111111"/>
            <w:sz w:val="22"/>
            <w:szCs w:val="22"/>
            <w:b w:val="0"/>
            <w:bCs w:val="0"/>
            <w:i w:val="0"/>
            <w:iCs w:val="0"/>
          </w:rPr>
          <w:t>دیوان نائب الصدر قزوینی‏</w:t>
        </w:r>
        <w:r>
          <w:tab/>
        </w:r>
        <w:r>
          <w:fldChar w:fldCharType="begin"/>
        </w:r>
        <w:r>
          <w:instrText xml:space="preserve">PAGEREF 8676 \h</w:instrText>
        </w:r>
        <w:r>
          <w:fldChar w:fldCharType="end"/>
        </w:r>
      </w:hyperlink>
    </w:p>
    <w:p>
      <w:pPr>
        <w:tabs>
          <w:tab w:val="right" w:leader="dot" w:pos="9062"/>
        </w:tabs>
        <w:ind w:left="440"/>
      </w:pPr>
      <w:hyperlink w:anchor="_Toc8677" w:history="1">
        <w:r>
          <w:rPr>
            <w:rFonts w:ascii="IRNazanin" w:hAnsi="IRNazanin" w:eastAsia="IRNazanin" w:cs="IRNazanin"/>
            <w:color w:val="111111"/>
            <w:sz w:val="22"/>
            <w:szCs w:val="22"/>
            <w:b w:val="0"/>
            <w:bCs w:val="0"/>
            <w:i w:val="0"/>
            <w:iCs w:val="0"/>
          </w:rPr>
          <w:t>7532- دیوان نائب الصدر قزوینی‏</w:t>
        </w:r>
        <w:r>
          <w:tab/>
        </w:r>
        <w:r>
          <w:fldChar w:fldCharType="begin"/>
        </w:r>
        <w:r>
          <w:instrText xml:space="preserve">PAGEREF 8677 \h</w:instrText>
        </w:r>
        <w:r>
          <w:fldChar w:fldCharType="end"/>
        </w:r>
      </w:hyperlink>
    </w:p>
    <w:p>
      <w:pPr>
        <w:tabs>
          <w:tab w:val="right" w:leader="dot" w:pos="9062"/>
        </w:tabs>
        <w:ind w:left="440"/>
      </w:pPr>
      <w:hyperlink w:anchor="_Toc8678" w:history="1">
        <w:r>
          <w:rPr>
            <w:rFonts w:ascii="IRNazanin" w:hAnsi="IRNazanin" w:eastAsia="IRNazanin" w:cs="IRNazanin"/>
            <w:color w:val="111111"/>
            <w:sz w:val="22"/>
            <w:szCs w:val="22"/>
            <w:b w:val="0"/>
            <w:bCs w:val="0"/>
            <w:i w:val="0"/>
            <w:iCs w:val="0"/>
          </w:rPr>
          <w:t>دیوان نائب نائنی‏</w:t>
        </w:r>
        <w:r>
          <w:tab/>
        </w:r>
        <w:r>
          <w:fldChar w:fldCharType="begin"/>
        </w:r>
        <w:r>
          <w:instrText xml:space="preserve">PAGEREF 8678 \h</w:instrText>
        </w:r>
        <w:r>
          <w:fldChar w:fldCharType="end"/>
        </w:r>
      </w:hyperlink>
    </w:p>
    <w:p>
      <w:pPr>
        <w:tabs>
          <w:tab w:val="right" w:leader="dot" w:pos="9062"/>
        </w:tabs>
        <w:ind w:left="440"/>
      </w:pPr>
      <w:hyperlink w:anchor="_Toc8679" w:history="1">
        <w:r>
          <w:rPr>
            <w:rFonts w:ascii="IRNazanin" w:hAnsi="IRNazanin" w:eastAsia="IRNazanin" w:cs="IRNazanin"/>
            <w:color w:val="111111"/>
            <w:sz w:val="22"/>
            <w:szCs w:val="22"/>
            <w:b w:val="0"/>
            <w:bCs w:val="0"/>
            <w:i w:val="0"/>
            <w:iCs w:val="0"/>
          </w:rPr>
          <w:t>7533- دیوان نائب همدانی أو شعره‏</w:t>
        </w:r>
        <w:r>
          <w:tab/>
        </w:r>
        <w:r>
          <w:fldChar w:fldCharType="begin"/>
        </w:r>
        <w:r>
          <w:instrText xml:space="preserve">PAGEREF 8679 \h</w:instrText>
        </w:r>
        <w:r>
          <w:fldChar w:fldCharType="end"/>
        </w:r>
      </w:hyperlink>
    </w:p>
    <w:p>
      <w:pPr>
        <w:tabs>
          <w:tab w:val="right" w:leader="dot" w:pos="9062"/>
        </w:tabs>
        <w:ind w:left="440"/>
      </w:pPr>
      <w:hyperlink w:anchor="_Toc8680" w:history="1">
        <w:r>
          <w:rPr>
            <w:rFonts w:ascii="IRNazanin" w:hAnsi="IRNazanin" w:eastAsia="IRNazanin" w:cs="IRNazanin"/>
            <w:color w:val="111111"/>
            <w:sz w:val="22"/>
            <w:szCs w:val="22"/>
            <w:b w:val="0"/>
            <w:bCs w:val="0"/>
            <w:i w:val="0"/>
            <w:iCs w:val="0"/>
          </w:rPr>
          <w:t>دیوان نایی هروی أو شعره‏</w:t>
        </w:r>
        <w:r>
          <w:tab/>
        </w:r>
        <w:r>
          <w:fldChar w:fldCharType="begin"/>
        </w:r>
        <w:r>
          <w:instrText xml:space="preserve">PAGEREF 8680 \h</w:instrText>
        </w:r>
        <w:r>
          <w:fldChar w:fldCharType="end"/>
        </w:r>
      </w:hyperlink>
    </w:p>
    <w:p>
      <w:pPr>
        <w:tabs>
          <w:tab w:val="right" w:leader="dot" w:pos="9062"/>
        </w:tabs>
        <w:ind w:left="440"/>
      </w:pPr>
      <w:hyperlink w:anchor="_Toc8681" w:history="1">
        <w:r>
          <w:rPr>
            <w:rFonts w:ascii="IRNazanin" w:hAnsi="IRNazanin" w:eastAsia="IRNazanin" w:cs="IRNazanin"/>
            <w:color w:val="111111"/>
            <w:sz w:val="22"/>
            <w:szCs w:val="22"/>
            <w:b w:val="0"/>
            <w:bCs w:val="0"/>
            <w:i w:val="0"/>
            <w:iCs w:val="0"/>
          </w:rPr>
          <w:t>دیوان نباتی اشتبلینی‏</w:t>
        </w:r>
        <w:r>
          <w:tab/>
        </w:r>
        <w:r>
          <w:fldChar w:fldCharType="begin"/>
        </w:r>
        <w:r>
          <w:instrText xml:space="preserve">PAGEREF 8681 \h</w:instrText>
        </w:r>
        <w:r>
          <w:fldChar w:fldCharType="end"/>
        </w:r>
      </w:hyperlink>
    </w:p>
    <w:p>
      <w:pPr>
        <w:tabs>
          <w:tab w:val="right" w:leader="dot" w:pos="9062"/>
        </w:tabs>
        <w:ind w:left="440"/>
      </w:pPr>
      <w:hyperlink w:anchor="_Toc8682" w:history="1">
        <w:r>
          <w:rPr>
            <w:rFonts w:ascii="IRNazanin" w:hAnsi="IRNazanin" w:eastAsia="IRNazanin" w:cs="IRNazanin"/>
            <w:color w:val="111111"/>
            <w:sz w:val="22"/>
            <w:szCs w:val="22"/>
            <w:b w:val="0"/>
            <w:bCs w:val="0"/>
            <w:i w:val="0"/>
            <w:iCs w:val="0"/>
          </w:rPr>
          <w:t>7534- دیوان نباتی تبریزی أو شعره،</w:t>
        </w:r>
        <w:r>
          <w:tab/>
        </w:r>
        <w:r>
          <w:fldChar w:fldCharType="begin"/>
        </w:r>
        <w:r>
          <w:instrText xml:space="preserve">PAGEREF 8682 \h</w:instrText>
        </w:r>
        <w:r>
          <w:fldChar w:fldCharType="end"/>
        </w:r>
      </w:hyperlink>
    </w:p>
    <w:p>
      <w:pPr>
        <w:tabs>
          <w:tab w:val="right" w:leader="dot" w:pos="9062"/>
        </w:tabs>
        <w:ind w:left="440"/>
      </w:pPr>
      <w:hyperlink w:anchor="_Toc8683" w:history="1">
        <w:r>
          <w:rPr>
            <w:rFonts w:ascii="IRNazanin" w:hAnsi="IRNazanin" w:eastAsia="IRNazanin" w:cs="IRNazanin"/>
            <w:color w:val="111111"/>
            <w:sz w:val="22"/>
            <w:szCs w:val="22"/>
            <w:b w:val="0"/>
            <w:bCs w:val="0"/>
            <w:i w:val="0"/>
            <w:iCs w:val="0"/>
          </w:rPr>
          <w:t>7535- دیوان نباتی قراچه‏داغی‏</w:t>
        </w:r>
        <w:r>
          <w:tab/>
        </w:r>
        <w:r>
          <w:fldChar w:fldCharType="begin"/>
        </w:r>
        <w:r>
          <w:instrText xml:space="preserve">PAGEREF 8683 \h</w:instrText>
        </w:r>
        <w:r>
          <w:fldChar w:fldCharType="end"/>
        </w:r>
      </w:hyperlink>
    </w:p>
    <w:p>
      <w:pPr>
        <w:tabs>
          <w:tab w:val="right" w:leader="dot" w:pos="9062"/>
        </w:tabs>
        <w:ind w:left="440"/>
      </w:pPr>
      <w:hyperlink w:anchor="_Toc8684" w:history="1">
        <w:r>
          <w:rPr>
            <w:rFonts w:ascii="IRNazanin" w:hAnsi="IRNazanin" w:eastAsia="IRNazanin" w:cs="IRNazanin"/>
            <w:color w:val="111111"/>
            <w:sz w:val="22"/>
            <w:szCs w:val="22"/>
            <w:b w:val="0"/>
            <w:bCs w:val="0"/>
            <w:i w:val="0"/>
            <w:iCs w:val="0"/>
          </w:rPr>
          <w:t>7536- دیوان نبوی‏</w:t>
        </w:r>
        <w:r>
          <w:tab/>
        </w:r>
        <w:r>
          <w:fldChar w:fldCharType="begin"/>
        </w:r>
        <w:r>
          <w:instrText xml:space="preserve">PAGEREF 8684 \h</w:instrText>
        </w:r>
        <w:r>
          <w:fldChar w:fldCharType="end"/>
        </w:r>
      </w:hyperlink>
    </w:p>
    <w:p>
      <w:pPr>
        <w:tabs>
          <w:tab w:val="right" w:leader="dot" w:pos="9062"/>
        </w:tabs>
        <w:ind w:left="440"/>
      </w:pPr>
      <w:hyperlink w:anchor="_Toc8685" w:history="1">
        <w:r>
          <w:rPr>
            <w:rFonts w:ascii="IRNazanin" w:hAnsi="IRNazanin" w:eastAsia="IRNazanin" w:cs="IRNazanin"/>
            <w:color w:val="111111"/>
            <w:sz w:val="22"/>
            <w:szCs w:val="22"/>
            <w:b w:val="0"/>
            <w:bCs w:val="0"/>
            <w:i w:val="0"/>
            <w:iCs w:val="0"/>
          </w:rPr>
          <w:t>7537- دیوان نبوی أصفهانی أو شعره‏</w:t>
        </w:r>
        <w:r>
          <w:tab/>
        </w:r>
        <w:r>
          <w:fldChar w:fldCharType="begin"/>
        </w:r>
        <w:r>
          <w:instrText xml:space="preserve">PAGEREF 8685 \h</w:instrText>
        </w:r>
        <w:r>
          <w:fldChar w:fldCharType="end"/>
        </w:r>
      </w:hyperlink>
    </w:p>
    <w:p>
      <w:pPr>
        <w:tabs>
          <w:tab w:val="right" w:leader="dot" w:pos="9062"/>
        </w:tabs>
        <w:ind w:left="440"/>
      </w:pPr>
      <w:hyperlink w:anchor="_Toc8686" w:history="1">
        <w:r>
          <w:rPr>
            <w:rFonts w:ascii="IRNazanin" w:hAnsi="IRNazanin" w:eastAsia="IRNazanin" w:cs="IRNazanin"/>
            <w:color w:val="111111"/>
            <w:sz w:val="22"/>
            <w:szCs w:val="22"/>
            <w:b w:val="0"/>
            <w:bCs w:val="0"/>
            <w:i w:val="0"/>
            <w:iCs w:val="0"/>
          </w:rPr>
          <w:t>7538- دیوان النبهانی‏</w:t>
        </w:r>
        <w:r>
          <w:tab/>
        </w:r>
        <w:r>
          <w:fldChar w:fldCharType="begin"/>
        </w:r>
        <w:r>
          <w:instrText xml:space="preserve">PAGEREF 8686 \h</w:instrText>
        </w:r>
        <w:r>
          <w:fldChar w:fldCharType="end"/>
        </w:r>
      </w:hyperlink>
    </w:p>
    <w:p>
      <w:pPr>
        <w:tabs>
          <w:tab w:val="right" w:leader="dot" w:pos="9062"/>
        </w:tabs>
        <w:ind w:left="440"/>
      </w:pPr>
      <w:hyperlink w:anchor="_Toc8687" w:history="1">
        <w:r>
          <w:rPr>
            <w:rFonts w:ascii="IRNazanin" w:hAnsi="IRNazanin" w:eastAsia="IRNazanin" w:cs="IRNazanin"/>
            <w:color w:val="111111"/>
            <w:sz w:val="22"/>
            <w:szCs w:val="22"/>
            <w:b w:val="0"/>
            <w:bCs w:val="0"/>
            <w:i w:val="0"/>
            <w:iCs w:val="0"/>
          </w:rPr>
          <w:t>دیوان نبی قزوینی‏</w:t>
        </w:r>
        <w:r>
          <w:tab/>
        </w:r>
        <w:r>
          <w:fldChar w:fldCharType="begin"/>
        </w:r>
        <w:r>
          <w:instrText xml:space="preserve">PAGEREF 8687 \h</w:instrText>
        </w:r>
        <w:r>
          <w:fldChar w:fldCharType="end"/>
        </w:r>
      </w:hyperlink>
    </w:p>
    <w:p>
      <w:pPr>
        <w:tabs>
          <w:tab w:val="right" w:leader="dot" w:pos="9062"/>
        </w:tabs>
        <w:ind w:left="440"/>
      </w:pPr>
      <w:hyperlink w:anchor="_Toc8688" w:history="1">
        <w:r>
          <w:rPr>
            <w:rFonts w:ascii="IRNazanin" w:hAnsi="IRNazanin" w:eastAsia="IRNazanin" w:cs="IRNazanin"/>
            <w:color w:val="111111"/>
            <w:sz w:val="22"/>
            <w:szCs w:val="22"/>
            <w:b w:val="0"/>
            <w:bCs w:val="0"/>
            <w:i w:val="0"/>
            <w:iCs w:val="0"/>
          </w:rPr>
          <w:t>دیوان نثار تبریزی‏</w:t>
        </w:r>
        <w:r>
          <w:tab/>
        </w:r>
        <w:r>
          <w:fldChar w:fldCharType="begin"/>
        </w:r>
        <w:r>
          <w:instrText xml:space="preserve">PAGEREF 8688 \h</w:instrText>
        </w:r>
        <w:r>
          <w:fldChar w:fldCharType="end"/>
        </w:r>
      </w:hyperlink>
    </w:p>
    <w:p>
      <w:pPr>
        <w:tabs>
          <w:tab w:val="right" w:leader="dot" w:pos="9062"/>
        </w:tabs>
        <w:ind w:left="440"/>
      </w:pPr>
      <w:hyperlink w:anchor="_Toc8689" w:history="1">
        <w:r>
          <w:rPr>
            <w:rFonts w:ascii="IRNazanin" w:hAnsi="IRNazanin" w:eastAsia="IRNazanin" w:cs="IRNazanin"/>
            <w:color w:val="111111"/>
            <w:sz w:val="22"/>
            <w:szCs w:val="22"/>
            <w:b w:val="0"/>
            <w:bCs w:val="0"/>
            <w:i w:val="0"/>
            <w:iCs w:val="0"/>
          </w:rPr>
          <w:t>7539- دیوان نثار دهلوی أو شعره‏</w:t>
        </w:r>
        <w:r>
          <w:tab/>
        </w:r>
        <w:r>
          <w:fldChar w:fldCharType="begin"/>
        </w:r>
        <w:r>
          <w:instrText xml:space="preserve">PAGEREF 8689 \h</w:instrText>
        </w:r>
        <w:r>
          <w:fldChar w:fldCharType="end"/>
        </w:r>
      </w:hyperlink>
    </w:p>
    <w:p>
      <w:pPr>
        <w:tabs>
          <w:tab w:val="right" w:leader="dot" w:pos="9062"/>
        </w:tabs>
        <w:ind w:left="440"/>
      </w:pPr>
      <w:hyperlink w:anchor="_Toc8690" w:history="1">
        <w:r>
          <w:rPr>
            <w:rFonts w:ascii="IRNazanin" w:hAnsi="IRNazanin" w:eastAsia="IRNazanin" w:cs="IRNazanin"/>
            <w:color w:val="111111"/>
            <w:sz w:val="22"/>
            <w:szCs w:val="22"/>
            <w:b w:val="0"/>
            <w:bCs w:val="0"/>
            <w:i w:val="0"/>
            <w:iCs w:val="0"/>
          </w:rPr>
          <w:t>7540- دیوان نثار دهلوی أو شعره‏</w:t>
        </w:r>
        <w:r>
          <w:tab/>
        </w:r>
        <w:r>
          <w:fldChar w:fldCharType="begin"/>
        </w:r>
        <w:r>
          <w:instrText xml:space="preserve">PAGEREF 8690 \h</w:instrText>
        </w:r>
        <w:r>
          <w:fldChar w:fldCharType="end"/>
        </w:r>
      </w:hyperlink>
    </w:p>
    <w:p>
      <w:pPr>
        <w:tabs>
          <w:tab w:val="right" w:leader="dot" w:pos="9062"/>
        </w:tabs>
        <w:ind w:left="440"/>
      </w:pPr>
      <w:hyperlink w:anchor="_Toc8691" w:history="1">
        <w:r>
          <w:rPr>
            <w:rFonts w:ascii="IRNazanin" w:hAnsi="IRNazanin" w:eastAsia="IRNazanin" w:cs="IRNazanin"/>
            <w:color w:val="111111"/>
            <w:sz w:val="22"/>
            <w:szCs w:val="22"/>
            <w:b w:val="0"/>
            <w:bCs w:val="0"/>
            <w:i w:val="0"/>
            <w:iCs w:val="0"/>
          </w:rPr>
          <w:t>7541- دیوان نثار رضوی أو شعره‏</w:t>
        </w:r>
        <w:r>
          <w:tab/>
        </w:r>
        <w:r>
          <w:fldChar w:fldCharType="begin"/>
        </w:r>
        <w:r>
          <w:instrText xml:space="preserve">PAGEREF 8691 \h</w:instrText>
        </w:r>
        <w:r>
          <w:fldChar w:fldCharType="end"/>
        </w:r>
      </w:hyperlink>
    </w:p>
    <w:p>
      <w:pPr>
        <w:tabs>
          <w:tab w:val="right" w:leader="dot" w:pos="9062"/>
        </w:tabs>
        <w:ind w:left="440"/>
      </w:pPr>
      <w:hyperlink w:anchor="_Toc8692" w:history="1">
        <w:r>
          <w:rPr>
            <w:rFonts w:ascii="IRNazanin" w:hAnsi="IRNazanin" w:eastAsia="IRNazanin" w:cs="IRNazanin"/>
            <w:color w:val="111111"/>
            <w:sz w:val="22"/>
            <w:szCs w:val="22"/>
            <w:b w:val="0"/>
            <w:bCs w:val="0"/>
            <w:i w:val="0"/>
            <w:iCs w:val="0"/>
          </w:rPr>
          <w:t>7542- دیوان نثار شیرازی‏</w:t>
        </w:r>
        <w:r>
          <w:tab/>
        </w:r>
        <w:r>
          <w:fldChar w:fldCharType="begin"/>
        </w:r>
        <w:r>
          <w:instrText xml:space="preserve">PAGEREF 8692 \h</w:instrText>
        </w:r>
        <w:r>
          <w:fldChar w:fldCharType="end"/>
        </w:r>
      </w:hyperlink>
    </w:p>
    <w:p>
      <w:pPr>
        <w:tabs>
          <w:tab w:val="right" w:leader="dot" w:pos="9062"/>
        </w:tabs>
        <w:ind w:left="440"/>
      </w:pPr>
      <w:hyperlink w:anchor="_Toc8693" w:history="1">
        <w:r>
          <w:rPr>
            <w:rFonts w:ascii="IRNazanin" w:hAnsi="IRNazanin" w:eastAsia="IRNazanin" w:cs="IRNazanin"/>
            <w:color w:val="111111"/>
            <w:sz w:val="22"/>
            <w:szCs w:val="22"/>
            <w:b w:val="0"/>
            <w:bCs w:val="0"/>
            <w:i w:val="0"/>
            <w:iCs w:val="0"/>
          </w:rPr>
          <w:t>7543- دیوان نثار گرم‏رودی‏</w:t>
        </w:r>
        <w:r>
          <w:tab/>
        </w:r>
        <w:r>
          <w:fldChar w:fldCharType="begin"/>
        </w:r>
        <w:r>
          <w:instrText xml:space="preserve">PAGEREF 8693 \h</w:instrText>
        </w:r>
        <w:r>
          <w:fldChar w:fldCharType="end"/>
        </w:r>
      </w:hyperlink>
    </w:p>
    <w:p>
      <w:pPr>
        <w:tabs>
          <w:tab w:val="right" w:leader="dot" w:pos="9062"/>
        </w:tabs>
        <w:ind w:left="440"/>
      </w:pPr>
      <w:hyperlink w:anchor="_Toc8694" w:history="1">
        <w:r>
          <w:rPr>
            <w:rFonts w:ascii="IRNazanin" w:hAnsi="IRNazanin" w:eastAsia="IRNazanin" w:cs="IRNazanin"/>
            <w:color w:val="111111"/>
            <w:sz w:val="22"/>
            <w:szCs w:val="22"/>
            <w:b w:val="0"/>
            <w:bCs w:val="0"/>
            <w:i w:val="0"/>
            <w:iCs w:val="0"/>
          </w:rPr>
          <w:t>7544- دیوان نثاری أصفهانی أو شعره‏</w:t>
        </w:r>
        <w:r>
          <w:tab/>
        </w:r>
        <w:r>
          <w:fldChar w:fldCharType="begin"/>
        </w:r>
        <w:r>
          <w:instrText xml:space="preserve">PAGEREF 8694 \h</w:instrText>
        </w:r>
        <w:r>
          <w:fldChar w:fldCharType="end"/>
        </w:r>
      </w:hyperlink>
    </w:p>
    <w:p>
      <w:pPr>
        <w:tabs>
          <w:tab w:val="right" w:leader="dot" w:pos="9062"/>
        </w:tabs>
        <w:ind w:left="440"/>
      </w:pPr>
      <w:hyperlink w:anchor="_Toc8695" w:history="1">
        <w:r>
          <w:rPr>
            <w:rFonts w:ascii="IRNazanin" w:hAnsi="IRNazanin" w:eastAsia="IRNazanin" w:cs="IRNazanin"/>
            <w:color w:val="111111"/>
            <w:sz w:val="22"/>
            <w:szCs w:val="22"/>
            <w:b w:val="0"/>
            <w:bCs w:val="0"/>
            <w:i w:val="0"/>
            <w:iCs w:val="0"/>
          </w:rPr>
          <w:t>7545- دیوان نثاری بخارائی‏</w:t>
        </w:r>
        <w:r>
          <w:tab/>
        </w:r>
        <w:r>
          <w:fldChar w:fldCharType="begin"/>
        </w:r>
        <w:r>
          <w:instrText xml:space="preserve">PAGEREF 8695 \h</w:instrText>
        </w:r>
        <w:r>
          <w:fldChar w:fldCharType="end"/>
        </w:r>
      </w:hyperlink>
    </w:p>
    <w:p>
      <w:pPr>
        <w:tabs>
          <w:tab w:val="right" w:leader="dot" w:pos="9062"/>
        </w:tabs>
        <w:ind w:left="440"/>
      </w:pPr>
      <w:hyperlink w:anchor="_Toc8696" w:history="1">
        <w:r>
          <w:rPr>
            <w:rFonts w:ascii="IRNazanin" w:hAnsi="IRNazanin" w:eastAsia="IRNazanin" w:cs="IRNazanin"/>
            <w:color w:val="111111"/>
            <w:sz w:val="22"/>
            <w:szCs w:val="22"/>
            <w:b w:val="0"/>
            <w:bCs w:val="0"/>
            <w:i w:val="0"/>
            <w:iCs w:val="0"/>
          </w:rPr>
          <w:t>7546- دیوان نثاری تبریزی‏</w:t>
        </w:r>
        <w:r>
          <w:tab/>
        </w:r>
        <w:r>
          <w:fldChar w:fldCharType="begin"/>
        </w:r>
        <w:r>
          <w:instrText xml:space="preserve">PAGEREF 8696 \h</w:instrText>
        </w:r>
        <w:r>
          <w:fldChar w:fldCharType="end"/>
        </w:r>
      </w:hyperlink>
    </w:p>
    <w:p>
      <w:pPr>
        <w:tabs>
          <w:tab w:val="right" w:leader="dot" w:pos="9062"/>
        </w:tabs>
        <w:ind w:left="440"/>
      </w:pPr>
      <w:hyperlink w:anchor="_Toc8697" w:history="1">
        <w:r>
          <w:rPr>
            <w:rFonts w:ascii="IRNazanin" w:hAnsi="IRNazanin" w:eastAsia="IRNazanin" w:cs="IRNazanin"/>
            <w:color w:val="111111"/>
            <w:sz w:val="22"/>
            <w:szCs w:val="22"/>
            <w:b w:val="0"/>
            <w:bCs w:val="0"/>
            <w:i w:val="0"/>
            <w:iCs w:val="0"/>
          </w:rPr>
          <w:t>7547- دیوان نثاری تونی‏</w:t>
        </w:r>
        <w:r>
          <w:tab/>
        </w:r>
        <w:r>
          <w:fldChar w:fldCharType="begin"/>
        </w:r>
        <w:r>
          <w:instrText xml:space="preserve">PAGEREF 8697 \h</w:instrText>
        </w:r>
        <w:r>
          <w:fldChar w:fldCharType="end"/>
        </w:r>
      </w:hyperlink>
    </w:p>
    <w:p>
      <w:pPr>
        <w:tabs>
          <w:tab w:val="right" w:leader="dot" w:pos="9062"/>
        </w:tabs>
        <w:ind w:left="440"/>
      </w:pPr>
      <w:hyperlink w:anchor="_Toc8698" w:history="1">
        <w:r>
          <w:rPr>
            <w:rFonts w:ascii="IRNazanin" w:hAnsi="IRNazanin" w:eastAsia="IRNazanin" w:cs="IRNazanin"/>
            <w:color w:val="111111"/>
            <w:sz w:val="22"/>
            <w:szCs w:val="22"/>
            <w:b w:val="0"/>
            <w:bCs w:val="0"/>
            <w:i w:val="0"/>
            <w:iCs w:val="0"/>
          </w:rPr>
          <w:t>7548- دیوان نثاری جلایری‏</w:t>
        </w:r>
        <w:r>
          <w:tab/>
        </w:r>
        <w:r>
          <w:fldChar w:fldCharType="begin"/>
        </w:r>
        <w:r>
          <w:instrText xml:space="preserve">PAGEREF 8698 \h</w:instrText>
        </w:r>
        <w:r>
          <w:fldChar w:fldCharType="end"/>
        </w:r>
      </w:hyperlink>
    </w:p>
    <w:p>
      <w:pPr>
        <w:tabs>
          <w:tab w:val="right" w:leader="dot" w:pos="9062"/>
        </w:tabs>
        <w:ind w:left="440"/>
      </w:pPr>
      <w:hyperlink w:anchor="_Toc8699" w:history="1">
        <w:r>
          <w:rPr>
            <w:rFonts w:ascii="IRNazanin" w:hAnsi="IRNazanin" w:eastAsia="IRNazanin" w:cs="IRNazanin"/>
            <w:color w:val="111111"/>
            <w:sz w:val="22"/>
            <w:szCs w:val="22"/>
            <w:b w:val="0"/>
            <w:bCs w:val="0"/>
            <w:i w:val="0"/>
            <w:iCs w:val="0"/>
          </w:rPr>
          <w:t>دیوان نثاری خراسانی‏</w:t>
        </w:r>
        <w:r>
          <w:tab/>
        </w:r>
        <w:r>
          <w:fldChar w:fldCharType="begin"/>
        </w:r>
        <w:r>
          <w:instrText xml:space="preserve">PAGEREF 8699 \h</w:instrText>
        </w:r>
        <w:r>
          <w:fldChar w:fldCharType="end"/>
        </w:r>
      </w:hyperlink>
    </w:p>
    <w:p>
      <w:pPr>
        <w:tabs>
          <w:tab w:val="right" w:leader="dot" w:pos="9062"/>
        </w:tabs>
        <w:ind w:left="440"/>
      </w:pPr>
      <w:hyperlink w:anchor="_Toc8700" w:history="1">
        <w:r>
          <w:rPr>
            <w:rFonts w:ascii="IRNazanin" w:hAnsi="IRNazanin" w:eastAsia="IRNazanin" w:cs="IRNazanin"/>
            <w:color w:val="111111"/>
            <w:sz w:val="22"/>
            <w:szCs w:val="22"/>
            <w:b w:val="0"/>
            <w:bCs w:val="0"/>
            <w:i w:val="0"/>
            <w:iCs w:val="0"/>
          </w:rPr>
          <w:t>7549- دیوان النثر</w:t>
        </w:r>
        <w:r>
          <w:tab/>
        </w:r>
        <w:r>
          <w:fldChar w:fldCharType="begin"/>
        </w:r>
        <w:r>
          <w:instrText xml:space="preserve">PAGEREF 8700 \h</w:instrText>
        </w:r>
        <w:r>
          <w:fldChar w:fldCharType="end"/>
        </w:r>
      </w:hyperlink>
    </w:p>
    <w:p>
      <w:pPr>
        <w:tabs>
          <w:tab w:val="right" w:leader="dot" w:pos="9062"/>
        </w:tabs>
        <w:ind w:left="440"/>
      </w:pPr>
      <w:hyperlink w:anchor="_Toc8701" w:history="1">
        <w:r>
          <w:rPr>
            <w:rFonts w:ascii="IRNazanin" w:hAnsi="IRNazanin" w:eastAsia="IRNazanin" w:cs="IRNazanin"/>
            <w:color w:val="111111"/>
            <w:sz w:val="22"/>
            <w:szCs w:val="22"/>
            <w:b w:val="0"/>
            <w:bCs w:val="0"/>
            <w:i w:val="0"/>
            <w:iCs w:val="0"/>
          </w:rPr>
          <w:t>7550- دیوان النثر</w:t>
        </w:r>
        <w:r>
          <w:tab/>
        </w:r>
        <w:r>
          <w:fldChar w:fldCharType="begin"/>
        </w:r>
        <w:r>
          <w:instrText xml:space="preserve">PAGEREF 8701 \h</w:instrText>
        </w:r>
        <w:r>
          <w:fldChar w:fldCharType="end"/>
        </w:r>
      </w:hyperlink>
    </w:p>
    <w:p>
      <w:pPr>
        <w:tabs>
          <w:tab w:val="right" w:leader="dot" w:pos="9062"/>
        </w:tabs>
        <w:ind w:left="440"/>
      </w:pPr>
      <w:hyperlink w:anchor="_Toc8702" w:history="1">
        <w:r>
          <w:rPr>
            <w:rFonts w:ascii="IRNazanin" w:hAnsi="IRNazanin" w:eastAsia="IRNazanin" w:cs="IRNazanin"/>
            <w:color w:val="111111"/>
            <w:sz w:val="22"/>
            <w:szCs w:val="22"/>
            <w:b w:val="0"/>
            <w:bCs w:val="0"/>
            <w:i w:val="0"/>
            <w:iCs w:val="0"/>
          </w:rPr>
          <w:t>7551- دیوان نثری گیلانی‏</w:t>
        </w:r>
        <w:r>
          <w:tab/>
        </w:r>
        <w:r>
          <w:fldChar w:fldCharType="begin"/>
        </w:r>
        <w:r>
          <w:instrText xml:space="preserve">PAGEREF 8702 \h</w:instrText>
        </w:r>
        <w:r>
          <w:fldChar w:fldCharType="end"/>
        </w:r>
      </w:hyperlink>
    </w:p>
    <w:p>
      <w:pPr>
        <w:tabs>
          <w:tab w:val="right" w:leader="dot" w:pos="9062"/>
        </w:tabs>
        <w:ind w:left="440"/>
      </w:pPr>
      <w:hyperlink w:anchor="_Toc8703" w:history="1">
        <w:r>
          <w:rPr>
            <w:rFonts w:ascii="IRNazanin" w:hAnsi="IRNazanin" w:eastAsia="IRNazanin" w:cs="IRNazanin"/>
            <w:color w:val="111111"/>
            <w:sz w:val="22"/>
            <w:szCs w:val="22"/>
            <w:b w:val="0"/>
            <w:bCs w:val="0"/>
            <w:i w:val="0"/>
            <w:iCs w:val="0"/>
          </w:rPr>
          <w:t>7552- دیوان نجابت بهونگامی أو شعره‏</w:t>
        </w:r>
        <w:r>
          <w:tab/>
        </w:r>
        <w:r>
          <w:fldChar w:fldCharType="begin"/>
        </w:r>
        <w:r>
          <w:instrText xml:space="preserve">PAGEREF 8703 \h</w:instrText>
        </w:r>
        <w:r>
          <w:fldChar w:fldCharType="end"/>
        </w:r>
      </w:hyperlink>
    </w:p>
    <w:p>
      <w:pPr>
        <w:tabs>
          <w:tab w:val="right" w:leader="dot" w:pos="9062"/>
        </w:tabs>
        <w:ind w:left="440"/>
      </w:pPr>
      <w:hyperlink w:anchor="_Toc8704" w:history="1">
        <w:r>
          <w:rPr>
            <w:rFonts w:ascii="IRNazanin" w:hAnsi="IRNazanin" w:eastAsia="IRNazanin" w:cs="IRNazanin"/>
            <w:color w:val="111111"/>
            <w:sz w:val="22"/>
            <w:szCs w:val="22"/>
            <w:b w:val="0"/>
            <w:bCs w:val="0"/>
            <w:i w:val="0"/>
            <w:iCs w:val="0"/>
          </w:rPr>
          <w:t>7553- دیوان نجابت لاهوری أو شعره‏</w:t>
        </w:r>
        <w:r>
          <w:tab/>
        </w:r>
        <w:r>
          <w:fldChar w:fldCharType="begin"/>
        </w:r>
        <w:r>
          <w:instrText xml:space="preserve">PAGEREF 8704 \h</w:instrText>
        </w:r>
        <w:r>
          <w:fldChar w:fldCharType="end"/>
        </w:r>
      </w:hyperlink>
    </w:p>
    <w:p>
      <w:pPr>
        <w:tabs>
          <w:tab w:val="right" w:leader="dot" w:pos="9062"/>
        </w:tabs>
        <w:ind w:left="440"/>
      </w:pPr>
      <w:hyperlink w:anchor="_Toc8705" w:history="1">
        <w:r>
          <w:rPr>
            <w:rFonts w:ascii="IRNazanin" w:hAnsi="IRNazanin" w:eastAsia="IRNazanin" w:cs="IRNazanin"/>
            <w:color w:val="111111"/>
            <w:sz w:val="22"/>
            <w:szCs w:val="22"/>
            <w:b w:val="0"/>
            <w:bCs w:val="0"/>
            <w:i w:val="0"/>
            <w:iCs w:val="0"/>
          </w:rPr>
          <w:t>7554- دیوان نجات أصفهانی‏</w:t>
        </w:r>
        <w:r>
          <w:tab/>
        </w:r>
        <w:r>
          <w:fldChar w:fldCharType="begin"/>
        </w:r>
        <w:r>
          <w:instrText xml:space="preserve">PAGEREF 8705 \h</w:instrText>
        </w:r>
        <w:r>
          <w:fldChar w:fldCharType="end"/>
        </w:r>
      </w:hyperlink>
    </w:p>
    <w:p>
      <w:pPr>
        <w:tabs>
          <w:tab w:val="right" w:leader="dot" w:pos="9062"/>
        </w:tabs>
        <w:ind w:left="440"/>
      </w:pPr>
      <w:hyperlink w:anchor="_Toc8706" w:history="1">
        <w:r>
          <w:rPr>
            <w:rFonts w:ascii="IRNazanin" w:hAnsi="IRNazanin" w:eastAsia="IRNazanin" w:cs="IRNazanin"/>
            <w:color w:val="111111"/>
            <w:sz w:val="22"/>
            <w:szCs w:val="22"/>
            <w:b w:val="0"/>
            <w:bCs w:val="0"/>
            <w:i w:val="0"/>
            <w:iCs w:val="0"/>
          </w:rPr>
          <w:t>7555- دیوان نجات تبریزی‏</w:t>
        </w:r>
        <w:r>
          <w:tab/>
        </w:r>
        <w:r>
          <w:fldChar w:fldCharType="begin"/>
        </w:r>
        <w:r>
          <w:instrText xml:space="preserve">PAGEREF 8706 \h</w:instrText>
        </w:r>
        <w:r>
          <w:fldChar w:fldCharType="end"/>
        </w:r>
      </w:hyperlink>
    </w:p>
    <w:p>
      <w:pPr>
        <w:tabs>
          <w:tab w:val="right" w:leader="dot" w:pos="9062"/>
        </w:tabs>
        <w:ind w:left="440"/>
      </w:pPr>
      <w:hyperlink w:anchor="_Toc8707" w:history="1">
        <w:r>
          <w:rPr>
            <w:rFonts w:ascii="IRNazanin" w:hAnsi="IRNazanin" w:eastAsia="IRNazanin" w:cs="IRNazanin"/>
            <w:color w:val="111111"/>
            <w:sz w:val="22"/>
            <w:szCs w:val="22"/>
            <w:b w:val="0"/>
            <w:bCs w:val="0"/>
            <w:i w:val="0"/>
            <w:iCs w:val="0"/>
          </w:rPr>
          <w:t>7556- دیوان نجات قمی‏</w:t>
        </w:r>
        <w:r>
          <w:tab/>
        </w:r>
        <w:r>
          <w:fldChar w:fldCharType="begin"/>
        </w:r>
        <w:r>
          <w:instrText xml:space="preserve">PAGEREF 8707 \h</w:instrText>
        </w:r>
        <w:r>
          <w:fldChar w:fldCharType="end"/>
        </w:r>
      </w:hyperlink>
    </w:p>
    <w:p>
      <w:pPr>
        <w:tabs>
          <w:tab w:val="right" w:leader="dot" w:pos="9062"/>
        </w:tabs>
        <w:ind w:left="440"/>
      </w:pPr>
      <w:hyperlink w:anchor="_Toc8708" w:history="1">
        <w:r>
          <w:rPr>
            <w:rFonts w:ascii="IRNazanin" w:hAnsi="IRNazanin" w:eastAsia="IRNazanin" w:cs="IRNazanin"/>
            <w:color w:val="111111"/>
            <w:sz w:val="22"/>
            <w:szCs w:val="22"/>
            <w:b w:val="0"/>
            <w:bCs w:val="0"/>
            <w:i w:val="0"/>
            <w:iCs w:val="0"/>
          </w:rPr>
          <w:t>دیوان نجات کاشی‏</w:t>
        </w:r>
        <w:r>
          <w:tab/>
        </w:r>
        <w:r>
          <w:fldChar w:fldCharType="begin"/>
        </w:r>
        <w:r>
          <w:instrText xml:space="preserve">PAGEREF 8708 \h</w:instrText>
        </w:r>
        <w:r>
          <w:fldChar w:fldCharType="end"/>
        </w:r>
      </w:hyperlink>
    </w:p>
    <w:p>
      <w:pPr>
        <w:tabs>
          <w:tab w:val="right" w:leader="dot" w:pos="9062"/>
        </w:tabs>
        <w:ind w:left="440"/>
      </w:pPr>
      <w:hyperlink w:anchor="_Toc8709" w:history="1">
        <w:r>
          <w:rPr>
            <w:rFonts w:ascii="IRNazanin" w:hAnsi="IRNazanin" w:eastAsia="IRNazanin" w:cs="IRNazanin"/>
            <w:color w:val="111111"/>
            <w:sz w:val="22"/>
            <w:szCs w:val="22"/>
            <w:b w:val="0"/>
            <w:bCs w:val="0"/>
            <w:i w:val="0"/>
            <w:iCs w:val="0"/>
          </w:rPr>
          <w:t>7557- دیوان نجاتی أسترآبادی أو شعره‏</w:t>
        </w:r>
        <w:r>
          <w:tab/>
        </w:r>
        <w:r>
          <w:fldChar w:fldCharType="begin"/>
        </w:r>
        <w:r>
          <w:instrText xml:space="preserve">PAGEREF 8709 \h</w:instrText>
        </w:r>
        <w:r>
          <w:fldChar w:fldCharType="end"/>
        </w:r>
      </w:hyperlink>
    </w:p>
    <w:p>
      <w:pPr>
        <w:tabs>
          <w:tab w:val="right" w:leader="dot" w:pos="9062"/>
        </w:tabs>
        <w:ind w:left="440"/>
      </w:pPr>
      <w:hyperlink w:anchor="_Toc8710" w:history="1">
        <w:r>
          <w:rPr>
            <w:rFonts w:ascii="IRNazanin" w:hAnsi="IRNazanin" w:eastAsia="IRNazanin" w:cs="IRNazanin"/>
            <w:color w:val="111111"/>
            <w:sz w:val="22"/>
            <w:szCs w:val="22"/>
            <w:b w:val="0"/>
            <w:bCs w:val="0"/>
            <w:i w:val="0"/>
            <w:iCs w:val="0"/>
          </w:rPr>
          <w:t>7558- دیوان نجاتی بافقی‏</w:t>
        </w:r>
        <w:r>
          <w:tab/>
        </w:r>
        <w:r>
          <w:fldChar w:fldCharType="begin"/>
        </w:r>
        <w:r>
          <w:instrText xml:space="preserve">PAGEREF 8710 \h</w:instrText>
        </w:r>
        <w:r>
          <w:fldChar w:fldCharType="end"/>
        </w:r>
      </w:hyperlink>
    </w:p>
    <w:p>
      <w:pPr>
        <w:tabs>
          <w:tab w:val="right" w:leader="dot" w:pos="9062"/>
        </w:tabs>
        <w:ind w:left="440"/>
      </w:pPr>
      <w:hyperlink w:anchor="_Toc8711" w:history="1">
        <w:r>
          <w:rPr>
            <w:rFonts w:ascii="IRNazanin" w:hAnsi="IRNazanin" w:eastAsia="IRNazanin" w:cs="IRNazanin"/>
            <w:color w:val="111111"/>
            <w:sz w:val="22"/>
            <w:szCs w:val="22"/>
            <w:b w:val="0"/>
            <w:bCs w:val="0"/>
            <w:i w:val="0"/>
            <w:iCs w:val="0"/>
          </w:rPr>
          <w:t>7559- دیوان نجاتی بخاری أو شعره‏</w:t>
        </w:r>
        <w:r>
          <w:tab/>
        </w:r>
        <w:r>
          <w:fldChar w:fldCharType="begin"/>
        </w:r>
        <w:r>
          <w:instrText xml:space="preserve">PAGEREF 8711 \h</w:instrText>
        </w:r>
        <w:r>
          <w:fldChar w:fldCharType="end"/>
        </w:r>
      </w:hyperlink>
    </w:p>
    <w:p>
      <w:pPr>
        <w:tabs>
          <w:tab w:val="right" w:leader="dot" w:pos="9062"/>
        </w:tabs>
        <w:ind w:left="440"/>
      </w:pPr>
      <w:hyperlink w:anchor="_Toc8712" w:history="1">
        <w:r>
          <w:rPr>
            <w:rFonts w:ascii="IRNazanin" w:hAnsi="IRNazanin" w:eastAsia="IRNazanin" w:cs="IRNazanin"/>
            <w:color w:val="111111"/>
            <w:sz w:val="22"/>
            <w:szCs w:val="22"/>
            <w:b w:val="0"/>
            <w:bCs w:val="0"/>
            <w:i w:val="0"/>
            <w:iCs w:val="0"/>
          </w:rPr>
          <w:t>7560- دیوان نجاتی تبریزی خیابانی‏</w:t>
        </w:r>
        <w:r>
          <w:tab/>
        </w:r>
        <w:r>
          <w:fldChar w:fldCharType="begin"/>
        </w:r>
        <w:r>
          <w:instrText xml:space="preserve">PAGEREF 8712 \h</w:instrText>
        </w:r>
        <w:r>
          <w:fldChar w:fldCharType="end"/>
        </w:r>
      </w:hyperlink>
    </w:p>
    <w:p>
      <w:pPr>
        <w:tabs>
          <w:tab w:val="right" w:leader="dot" w:pos="9062"/>
        </w:tabs>
        <w:ind w:left="440"/>
      </w:pPr>
      <w:hyperlink w:anchor="_Toc8713" w:history="1">
        <w:r>
          <w:rPr>
            <w:rFonts w:ascii="IRNazanin" w:hAnsi="IRNazanin" w:eastAsia="IRNazanin" w:cs="IRNazanin"/>
            <w:color w:val="111111"/>
            <w:sz w:val="22"/>
            <w:szCs w:val="22"/>
            <w:b w:val="0"/>
            <w:bCs w:val="0"/>
            <w:i w:val="0"/>
            <w:iCs w:val="0"/>
          </w:rPr>
          <w:t>7561- دیوان نجاتی طهرانی‏</w:t>
        </w:r>
        <w:r>
          <w:tab/>
        </w:r>
        <w:r>
          <w:fldChar w:fldCharType="begin"/>
        </w:r>
        <w:r>
          <w:instrText xml:space="preserve">PAGEREF 8713 \h</w:instrText>
        </w:r>
        <w:r>
          <w:fldChar w:fldCharType="end"/>
        </w:r>
      </w:hyperlink>
    </w:p>
    <w:p>
      <w:pPr>
        <w:tabs>
          <w:tab w:val="right" w:leader="dot" w:pos="9062"/>
        </w:tabs>
        <w:ind w:left="440"/>
      </w:pPr>
      <w:hyperlink w:anchor="_Toc8714" w:history="1">
        <w:r>
          <w:rPr>
            <w:rFonts w:ascii="IRNazanin" w:hAnsi="IRNazanin" w:eastAsia="IRNazanin" w:cs="IRNazanin"/>
            <w:color w:val="111111"/>
            <w:sz w:val="22"/>
            <w:szCs w:val="22"/>
            <w:b w:val="0"/>
            <w:bCs w:val="0"/>
            <w:i w:val="0"/>
            <w:iCs w:val="0"/>
          </w:rPr>
          <w:t>7562- دیوان نجاتی رومی أو شعره‏</w:t>
        </w:r>
        <w:r>
          <w:tab/>
        </w:r>
        <w:r>
          <w:fldChar w:fldCharType="begin"/>
        </w:r>
        <w:r>
          <w:instrText xml:space="preserve">PAGEREF 8714 \h</w:instrText>
        </w:r>
        <w:r>
          <w:fldChar w:fldCharType="end"/>
        </w:r>
      </w:hyperlink>
    </w:p>
    <w:p>
      <w:pPr>
        <w:tabs>
          <w:tab w:val="right" w:leader="dot" w:pos="9062"/>
        </w:tabs>
        <w:ind w:left="440"/>
      </w:pPr>
      <w:hyperlink w:anchor="_Toc8715" w:history="1">
        <w:r>
          <w:rPr>
            <w:rFonts w:ascii="IRNazanin" w:hAnsi="IRNazanin" w:eastAsia="IRNazanin" w:cs="IRNazanin"/>
            <w:color w:val="111111"/>
            <w:sz w:val="22"/>
            <w:szCs w:val="22"/>
            <w:b w:val="0"/>
            <w:bCs w:val="0"/>
            <w:i w:val="0"/>
            <w:iCs w:val="0"/>
          </w:rPr>
          <w:t>7563- دیوان نجاتی شیرازی أو شعره‏</w:t>
        </w:r>
        <w:r>
          <w:tab/>
        </w:r>
        <w:r>
          <w:fldChar w:fldCharType="begin"/>
        </w:r>
        <w:r>
          <w:instrText xml:space="preserve">PAGEREF 8715 \h</w:instrText>
        </w:r>
        <w:r>
          <w:fldChar w:fldCharType="end"/>
        </w:r>
      </w:hyperlink>
    </w:p>
    <w:p>
      <w:pPr>
        <w:tabs>
          <w:tab w:val="right" w:leader="dot" w:pos="9062"/>
        </w:tabs>
        <w:ind w:left="440"/>
      </w:pPr>
      <w:hyperlink w:anchor="_Toc8716" w:history="1">
        <w:r>
          <w:rPr>
            <w:rFonts w:ascii="IRNazanin" w:hAnsi="IRNazanin" w:eastAsia="IRNazanin" w:cs="IRNazanin"/>
            <w:color w:val="111111"/>
            <w:sz w:val="22"/>
            <w:szCs w:val="22"/>
            <w:b w:val="0"/>
            <w:bCs w:val="0"/>
            <w:i w:val="0"/>
            <w:iCs w:val="0"/>
          </w:rPr>
          <w:t>دیوان نجاتی طوسی‏</w:t>
        </w:r>
        <w:r>
          <w:tab/>
        </w:r>
        <w:r>
          <w:fldChar w:fldCharType="begin"/>
        </w:r>
        <w:r>
          <w:instrText xml:space="preserve">PAGEREF 8716 \h</w:instrText>
        </w:r>
        <w:r>
          <w:fldChar w:fldCharType="end"/>
        </w:r>
      </w:hyperlink>
    </w:p>
    <w:p>
      <w:pPr>
        <w:tabs>
          <w:tab w:val="right" w:leader="dot" w:pos="9062"/>
        </w:tabs>
        <w:ind w:left="440"/>
      </w:pPr>
      <w:hyperlink w:anchor="_Toc8717" w:history="1">
        <w:r>
          <w:rPr>
            <w:rFonts w:ascii="IRNazanin" w:hAnsi="IRNazanin" w:eastAsia="IRNazanin" w:cs="IRNazanin"/>
            <w:color w:val="111111"/>
            <w:sz w:val="22"/>
            <w:szCs w:val="22"/>
            <w:b w:val="0"/>
            <w:bCs w:val="0"/>
            <w:i w:val="0"/>
            <w:iCs w:val="0"/>
          </w:rPr>
          <w:t>دیوان نجاتی مشهدی‏</w:t>
        </w:r>
        <w:r>
          <w:tab/>
        </w:r>
        <w:r>
          <w:fldChar w:fldCharType="begin"/>
        </w:r>
        <w:r>
          <w:instrText xml:space="preserve">PAGEREF 8717 \h</w:instrText>
        </w:r>
        <w:r>
          <w:fldChar w:fldCharType="end"/>
        </w:r>
      </w:hyperlink>
    </w:p>
    <w:p>
      <w:pPr>
        <w:tabs>
          <w:tab w:val="right" w:leader="dot" w:pos="9062"/>
        </w:tabs>
        <w:ind w:left="440"/>
      </w:pPr>
      <w:hyperlink w:anchor="_Toc8718" w:history="1">
        <w:r>
          <w:rPr>
            <w:rFonts w:ascii="IRNazanin" w:hAnsi="IRNazanin" w:eastAsia="IRNazanin" w:cs="IRNazanin"/>
            <w:color w:val="111111"/>
            <w:sz w:val="22"/>
            <w:szCs w:val="22"/>
            <w:b w:val="0"/>
            <w:bCs w:val="0"/>
            <w:i w:val="0"/>
            <w:iCs w:val="0"/>
          </w:rPr>
          <w:t>7564- دیوان نجاتی نیشابوری‏</w:t>
        </w:r>
        <w:r>
          <w:tab/>
        </w:r>
        <w:r>
          <w:fldChar w:fldCharType="begin"/>
        </w:r>
        <w:r>
          <w:instrText xml:space="preserve">PAGEREF 8718 \h</w:instrText>
        </w:r>
        <w:r>
          <w:fldChar w:fldCharType="end"/>
        </w:r>
      </w:hyperlink>
    </w:p>
    <w:p>
      <w:pPr>
        <w:tabs>
          <w:tab w:val="right" w:leader="dot" w:pos="9062"/>
        </w:tabs>
        <w:ind w:left="440"/>
      </w:pPr>
      <w:hyperlink w:anchor="_Toc8719" w:history="1">
        <w:r>
          <w:rPr>
            <w:rFonts w:ascii="IRNazanin" w:hAnsi="IRNazanin" w:eastAsia="IRNazanin" w:cs="IRNazanin"/>
            <w:color w:val="111111"/>
            <w:sz w:val="22"/>
            <w:szCs w:val="22"/>
            <w:b w:val="0"/>
            <w:bCs w:val="0"/>
            <w:i w:val="0"/>
            <w:iCs w:val="0"/>
          </w:rPr>
          <w:t>7565- دیوان نجار أراکی‏</w:t>
        </w:r>
        <w:r>
          <w:tab/>
        </w:r>
        <w:r>
          <w:fldChar w:fldCharType="begin"/>
        </w:r>
        <w:r>
          <w:instrText xml:space="preserve">PAGEREF 8719 \h</w:instrText>
        </w:r>
        <w:r>
          <w:fldChar w:fldCharType="end"/>
        </w:r>
      </w:hyperlink>
    </w:p>
    <w:p>
      <w:pPr>
        <w:tabs>
          <w:tab w:val="right" w:leader="dot" w:pos="9062"/>
        </w:tabs>
        <w:ind w:left="440"/>
      </w:pPr>
      <w:hyperlink w:anchor="_Toc8720" w:history="1">
        <w:r>
          <w:rPr>
            <w:rFonts w:ascii="IRNazanin" w:hAnsi="IRNazanin" w:eastAsia="IRNazanin" w:cs="IRNazanin"/>
            <w:color w:val="111111"/>
            <w:sz w:val="22"/>
            <w:szCs w:val="22"/>
            <w:b w:val="0"/>
            <w:bCs w:val="0"/>
            <w:i w:val="0"/>
            <w:iCs w:val="0"/>
          </w:rPr>
          <w:t>7566- دیوان نجار ساغرچی أو شعره‏</w:t>
        </w:r>
        <w:r>
          <w:tab/>
        </w:r>
        <w:r>
          <w:fldChar w:fldCharType="begin"/>
        </w:r>
        <w:r>
          <w:instrText xml:space="preserve">PAGEREF 8720 \h</w:instrText>
        </w:r>
        <w:r>
          <w:fldChar w:fldCharType="end"/>
        </w:r>
      </w:hyperlink>
    </w:p>
    <w:p>
      <w:pPr>
        <w:tabs>
          <w:tab w:val="right" w:leader="dot" w:pos="9062"/>
        </w:tabs>
        <w:ind w:left="440"/>
      </w:pPr>
      <w:hyperlink w:anchor="_Toc8721" w:history="1">
        <w:r>
          <w:rPr>
            <w:rFonts w:ascii="IRNazanin" w:hAnsi="IRNazanin" w:eastAsia="IRNazanin" w:cs="IRNazanin"/>
            <w:color w:val="111111"/>
            <w:sz w:val="22"/>
            <w:szCs w:val="22"/>
            <w:b w:val="0"/>
            <w:bCs w:val="0"/>
            <w:i w:val="0"/>
            <w:iCs w:val="0"/>
          </w:rPr>
          <w:t>7567- دیوان نجاری سمرقندی أو شعره‏</w:t>
        </w:r>
        <w:r>
          <w:tab/>
        </w:r>
        <w:r>
          <w:fldChar w:fldCharType="begin"/>
        </w:r>
        <w:r>
          <w:instrText xml:space="preserve">PAGEREF 8721 \h</w:instrText>
        </w:r>
        <w:r>
          <w:fldChar w:fldCharType="end"/>
        </w:r>
      </w:hyperlink>
    </w:p>
    <w:p>
      <w:pPr>
        <w:tabs>
          <w:tab w:val="right" w:leader="dot" w:pos="9062"/>
        </w:tabs>
        <w:ind w:left="440"/>
      </w:pPr>
      <w:hyperlink w:anchor="_Toc8722" w:history="1">
        <w:r>
          <w:rPr>
            <w:rFonts w:ascii="IRNazanin" w:hAnsi="IRNazanin" w:eastAsia="IRNazanin" w:cs="IRNazanin"/>
            <w:color w:val="111111"/>
            <w:sz w:val="22"/>
            <w:szCs w:val="22"/>
            <w:b w:val="0"/>
            <w:bCs w:val="0"/>
            <w:i w:val="0"/>
            <w:iCs w:val="0"/>
          </w:rPr>
          <w:t>7568- دیوان النجاشی أو شعره‏</w:t>
        </w:r>
        <w:r>
          <w:tab/>
        </w:r>
        <w:r>
          <w:fldChar w:fldCharType="begin"/>
        </w:r>
        <w:r>
          <w:instrText xml:space="preserve">PAGEREF 8722 \h</w:instrText>
        </w:r>
        <w:r>
          <w:fldChar w:fldCharType="end"/>
        </w:r>
      </w:hyperlink>
    </w:p>
    <w:p>
      <w:pPr>
        <w:tabs>
          <w:tab w:val="right" w:leader="dot" w:pos="9062"/>
        </w:tabs>
        <w:ind w:left="440"/>
      </w:pPr>
      <w:hyperlink w:anchor="_Toc8723" w:history="1">
        <w:r>
          <w:rPr>
            <w:rFonts w:ascii="IRNazanin" w:hAnsi="IRNazanin" w:eastAsia="IRNazanin" w:cs="IRNazanin"/>
            <w:color w:val="111111"/>
            <w:sz w:val="22"/>
            <w:szCs w:val="22"/>
            <w:b w:val="0"/>
            <w:bCs w:val="0"/>
            <w:i w:val="0"/>
            <w:iCs w:val="0"/>
          </w:rPr>
          <w:t>7569- دیوان نجاشی‏</w:t>
        </w:r>
        <w:r>
          <w:tab/>
        </w:r>
        <w:r>
          <w:fldChar w:fldCharType="begin"/>
        </w:r>
        <w:r>
          <w:instrText xml:space="preserve">PAGEREF 8723 \h</w:instrText>
        </w:r>
        <w:r>
          <w:fldChar w:fldCharType="end"/>
        </w:r>
      </w:hyperlink>
    </w:p>
    <w:p>
      <w:pPr>
        <w:tabs>
          <w:tab w:val="right" w:leader="dot" w:pos="9062"/>
        </w:tabs>
        <w:ind w:left="440"/>
      </w:pPr>
      <w:hyperlink w:anchor="_Toc8724" w:history="1">
        <w:r>
          <w:rPr>
            <w:rFonts w:ascii="IRNazanin" w:hAnsi="IRNazanin" w:eastAsia="IRNazanin" w:cs="IRNazanin"/>
            <w:color w:val="111111"/>
            <w:sz w:val="22"/>
            <w:szCs w:val="22"/>
            <w:b w:val="0"/>
            <w:bCs w:val="0"/>
            <w:i w:val="0"/>
            <w:iCs w:val="0"/>
          </w:rPr>
          <w:t>7570- دیوان نجدة یزدی أو شعره‏</w:t>
        </w:r>
        <w:r>
          <w:tab/>
        </w:r>
        <w:r>
          <w:fldChar w:fldCharType="begin"/>
        </w:r>
        <w:r>
          <w:instrText xml:space="preserve">PAGEREF 8724 \h</w:instrText>
        </w:r>
        <w:r>
          <w:fldChar w:fldCharType="end"/>
        </w:r>
      </w:hyperlink>
    </w:p>
    <w:p>
      <w:pPr>
        <w:tabs>
          <w:tab w:val="right" w:leader="dot" w:pos="9062"/>
        </w:tabs>
        <w:ind w:left="440"/>
      </w:pPr>
      <w:hyperlink w:anchor="_Toc8725" w:history="1">
        <w:r>
          <w:rPr>
            <w:rFonts w:ascii="IRNazanin" w:hAnsi="IRNazanin" w:eastAsia="IRNazanin" w:cs="IRNazanin"/>
            <w:color w:val="111111"/>
            <w:sz w:val="22"/>
            <w:szCs w:val="22"/>
            <w:b w:val="0"/>
            <w:bCs w:val="0"/>
            <w:i w:val="0"/>
            <w:iCs w:val="0"/>
          </w:rPr>
          <w:t>7571- دیوان نجف أصفهانی أو شعره‏</w:t>
        </w:r>
        <w:r>
          <w:tab/>
        </w:r>
        <w:r>
          <w:fldChar w:fldCharType="begin"/>
        </w:r>
        <w:r>
          <w:instrText xml:space="preserve">PAGEREF 8725 \h</w:instrText>
        </w:r>
        <w:r>
          <w:fldChar w:fldCharType="end"/>
        </w:r>
      </w:hyperlink>
    </w:p>
    <w:p>
      <w:pPr>
        <w:tabs>
          <w:tab w:val="right" w:leader="dot" w:pos="9062"/>
        </w:tabs>
        <w:ind w:left="440"/>
      </w:pPr>
      <w:hyperlink w:anchor="_Toc8726" w:history="1">
        <w:r>
          <w:rPr>
            <w:rFonts w:ascii="IRNazanin" w:hAnsi="IRNazanin" w:eastAsia="IRNazanin" w:cs="IRNazanin"/>
            <w:color w:val="111111"/>
            <w:sz w:val="22"/>
            <w:szCs w:val="22"/>
            <w:b w:val="0"/>
            <w:bCs w:val="0"/>
            <w:i w:val="0"/>
            <w:iCs w:val="0"/>
          </w:rPr>
          <w:t>7572- دیوان نجف شاه‏جهان‏آبادی‏</w:t>
        </w:r>
        <w:r>
          <w:tab/>
        </w:r>
        <w:r>
          <w:fldChar w:fldCharType="begin"/>
        </w:r>
        <w:r>
          <w:instrText xml:space="preserve">PAGEREF 8726 \h</w:instrText>
        </w:r>
        <w:r>
          <w:fldChar w:fldCharType="end"/>
        </w:r>
      </w:hyperlink>
    </w:p>
    <w:p>
      <w:pPr>
        <w:tabs>
          <w:tab w:val="right" w:leader="dot" w:pos="9062"/>
        </w:tabs>
        <w:ind w:left="440"/>
      </w:pPr>
      <w:hyperlink w:anchor="_Toc8727" w:history="1">
        <w:r>
          <w:rPr>
            <w:rFonts w:ascii="IRNazanin" w:hAnsi="IRNazanin" w:eastAsia="IRNazanin" w:cs="IRNazanin"/>
            <w:color w:val="111111"/>
            <w:sz w:val="22"/>
            <w:szCs w:val="22"/>
            <w:b w:val="0"/>
            <w:bCs w:val="0"/>
            <w:i w:val="0"/>
            <w:iCs w:val="0"/>
          </w:rPr>
          <w:t>دیوان نجف بختیاری‏</w:t>
        </w:r>
        <w:r>
          <w:tab/>
        </w:r>
        <w:r>
          <w:fldChar w:fldCharType="begin"/>
        </w:r>
        <w:r>
          <w:instrText xml:space="preserve">PAGEREF 8727 \h</w:instrText>
        </w:r>
        <w:r>
          <w:fldChar w:fldCharType="end"/>
        </w:r>
      </w:hyperlink>
    </w:p>
    <w:p>
      <w:pPr>
        <w:tabs>
          <w:tab w:val="right" w:leader="dot" w:pos="9062"/>
        </w:tabs>
        <w:ind w:left="440"/>
      </w:pPr>
      <w:hyperlink w:anchor="_Toc8728" w:history="1">
        <w:r>
          <w:rPr>
            <w:rFonts w:ascii="IRNazanin" w:hAnsi="IRNazanin" w:eastAsia="IRNazanin" w:cs="IRNazanin"/>
            <w:color w:val="111111"/>
            <w:sz w:val="22"/>
            <w:szCs w:val="22"/>
            <w:b w:val="0"/>
            <w:bCs w:val="0"/>
            <w:i w:val="0"/>
            <w:iCs w:val="0"/>
          </w:rPr>
          <w:t>دیوان نجف زنگنه‏</w:t>
        </w:r>
        <w:r>
          <w:tab/>
        </w:r>
        <w:r>
          <w:fldChar w:fldCharType="begin"/>
        </w:r>
        <w:r>
          <w:instrText xml:space="preserve">PAGEREF 8728 \h</w:instrText>
        </w:r>
        <w:r>
          <w:fldChar w:fldCharType="end"/>
        </w:r>
      </w:hyperlink>
    </w:p>
    <w:p>
      <w:pPr>
        <w:tabs>
          <w:tab w:val="right" w:leader="dot" w:pos="9062"/>
        </w:tabs>
        <w:ind w:left="440"/>
      </w:pPr>
      <w:hyperlink w:anchor="_Toc8729" w:history="1">
        <w:r>
          <w:rPr>
            <w:rFonts w:ascii="IRNazanin" w:hAnsi="IRNazanin" w:eastAsia="IRNazanin" w:cs="IRNazanin"/>
            <w:color w:val="111111"/>
            <w:sz w:val="22"/>
            <w:szCs w:val="22"/>
            <w:b w:val="0"/>
            <w:bCs w:val="0"/>
            <w:i w:val="0"/>
            <w:iCs w:val="0"/>
          </w:rPr>
          <w:t>7573- دیوان نجف قلی خان زنگنه‏</w:t>
        </w:r>
        <w:r>
          <w:tab/>
        </w:r>
        <w:r>
          <w:fldChar w:fldCharType="begin"/>
        </w:r>
        <w:r>
          <w:instrText xml:space="preserve">PAGEREF 8729 \h</w:instrText>
        </w:r>
        <w:r>
          <w:fldChar w:fldCharType="end"/>
        </w:r>
      </w:hyperlink>
    </w:p>
    <w:p>
      <w:pPr>
        <w:tabs>
          <w:tab w:val="right" w:leader="dot" w:pos="9062"/>
        </w:tabs>
        <w:ind w:left="440"/>
      </w:pPr>
      <w:hyperlink w:anchor="_Toc8730" w:history="1">
        <w:r>
          <w:rPr>
            <w:rFonts w:ascii="IRNazanin" w:hAnsi="IRNazanin" w:eastAsia="IRNazanin" w:cs="IRNazanin"/>
            <w:color w:val="111111"/>
            <w:sz w:val="22"/>
            <w:szCs w:val="22"/>
            <w:b w:val="0"/>
            <w:bCs w:val="0"/>
            <w:i w:val="0"/>
            <w:iCs w:val="0"/>
          </w:rPr>
          <w:t>7574- دیوان نجف لکهنوی أو شعره‏</w:t>
        </w:r>
        <w:r>
          <w:tab/>
        </w:r>
        <w:r>
          <w:fldChar w:fldCharType="begin"/>
        </w:r>
        <w:r>
          <w:instrText xml:space="preserve">PAGEREF 8730 \h</w:instrText>
        </w:r>
        <w:r>
          <w:fldChar w:fldCharType="end"/>
        </w:r>
      </w:hyperlink>
    </w:p>
    <w:p>
      <w:pPr>
        <w:tabs>
          <w:tab w:val="right" w:leader="dot" w:pos="9062"/>
        </w:tabs>
        <w:ind w:left="440"/>
      </w:pPr>
      <w:hyperlink w:anchor="_Toc8731" w:history="1">
        <w:r>
          <w:rPr>
            <w:rFonts w:ascii="IRNazanin" w:hAnsi="IRNazanin" w:eastAsia="IRNazanin" w:cs="IRNazanin"/>
            <w:color w:val="111111"/>
            <w:sz w:val="22"/>
            <w:szCs w:val="22"/>
            <w:b w:val="0"/>
            <w:bCs w:val="0"/>
            <w:i w:val="0"/>
            <w:iCs w:val="0"/>
          </w:rPr>
          <w:t>7575- دیوان نجفی الله‏آبادی أو شعره‏</w:t>
        </w:r>
        <w:r>
          <w:tab/>
        </w:r>
        <w:r>
          <w:fldChar w:fldCharType="begin"/>
        </w:r>
        <w:r>
          <w:instrText xml:space="preserve">PAGEREF 8731 \h</w:instrText>
        </w:r>
        <w:r>
          <w:fldChar w:fldCharType="end"/>
        </w:r>
      </w:hyperlink>
    </w:p>
    <w:p>
      <w:pPr>
        <w:tabs>
          <w:tab w:val="right" w:leader="dot" w:pos="9062"/>
        </w:tabs>
        <w:ind w:left="440"/>
      </w:pPr>
      <w:hyperlink w:anchor="_Toc8732" w:history="1">
        <w:r>
          <w:rPr>
            <w:rFonts w:ascii="IRNazanin" w:hAnsi="IRNazanin" w:eastAsia="IRNazanin" w:cs="IRNazanin"/>
            <w:color w:val="111111"/>
            <w:sz w:val="22"/>
            <w:szCs w:val="22"/>
            <w:b w:val="0"/>
            <w:bCs w:val="0"/>
            <w:i w:val="0"/>
            <w:iCs w:val="0"/>
          </w:rPr>
          <w:t>7576- دیوان نجم‏آبادی‏</w:t>
        </w:r>
        <w:r>
          <w:tab/>
        </w:r>
        <w:r>
          <w:fldChar w:fldCharType="begin"/>
        </w:r>
        <w:r>
          <w:instrText xml:space="preserve">PAGEREF 8732 \h</w:instrText>
        </w:r>
        <w:r>
          <w:fldChar w:fldCharType="end"/>
        </w:r>
      </w:hyperlink>
    </w:p>
    <w:p>
      <w:pPr>
        <w:tabs>
          <w:tab w:val="right" w:leader="dot" w:pos="9062"/>
        </w:tabs>
        <w:ind w:left="440"/>
      </w:pPr>
      <w:hyperlink w:anchor="_Toc8733" w:history="1">
        <w:r>
          <w:rPr>
            <w:rFonts w:ascii="IRNazanin" w:hAnsi="IRNazanin" w:eastAsia="IRNazanin" w:cs="IRNazanin"/>
            <w:color w:val="111111"/>
            <w:sz w:val="22"/>
            <w:szCs w:val="22"/>
            <w:b w:val="0"/>
            <w:bCs w:val="0"/>
            <w:i w:val="0"/>
            <w:iCs w:val="0"/>
          </w:rPr>
          <w:t>دیوان نجم پروانه‏چی‏</w:t>
        </w:r>
        <w:r>
          <w:tab/>
        </w:r>
        <w:r>
          <w:fldChar w:fldCharType="begin"/>
        </w:r>
        <w:r>
          <w:instrText xml:space="preserve">PAGEREF 8733 \h</w:instrText>
        </w:r>
        <w:r>
          <w:fldChar w:fldCharType="end"/>
        </w:r>
      </w:hyperlink>
    </w:p>
    <w:p>
      <w:pPr>
        <w:tabs>
          <w:tab w:val="right" w:leader="dot" w:pos="9062"/>
        </w:tabs>
        <w:ind w:left="440"/>
      </w:pPr>
      <w:hyperlink w:anchor="_Toc8734" w:history="1">
        <w:r>
          <w:rPr>
            <w:rFonts w:ascii="IRNazanin" w:hAnsi="IRNazanin" w:eastAsia="IRNazanin" w:cs="IRNazanin"/>
            <w:color w:val="111111"/>
            <w:sz w:val="22"/>
            <w:szCs w:val="22"/>
            <w:b w:val="0"/>
            <w:bCs w:val="0"/>
            <w:i w:val="0"/>
            <w:iCs w:val="0"/>
          </w:rPr>
          <w:t>دیوان نجم ثاقب‏</w:t>
        </w:r>
        <w:r>
          <w:tab/>
        </w:r>
        <w:r>
          <w:fldChar w:fldCharType="begin"/>
        </w:r>
        <w:r>
          <w:instrText xml:space="preserve">PAGEREF 8734 \h</w:instrText>
        </w:r>
        <w:r>
          <w:fldChar w:fldCharType="end"/>
        </w:r>
      </w:hyperlink>
    </w:p>
    <w:p>
      <w:pPr>
        <w:tabs>
          <w:tab w:val="right" w:leader="dot" w:pos="9062"/>
        </w:tabs>
        <w:ind w:left="440"/>
      </w:pPr>
      <w:hyperlink w:anchor="_Toc8735" w:history="1">
        <w:r>
          <w:rPr>
            <w:rFonts w:ascii="IRNazanin" w:hAnsi="IRNazanin" w:eastAsia="IRNazanin" w:cs="IRNazanin"/>
            <w:color w:val="111111"/>
            <w:sz w:val="22"/>
            <w:szCs w:val="22"/>
            <w:b w:val="0"/>
            <w:bCs w:val="0"/>
            <w:i w:val="0"/>
            <w:iCs w:val="0"/>
          </w:rPr>
          <w:t>7577- دیوان نجم أصفهانی أو شعره‏</w:t>
        </w:r>
        <w:r>
          <w:tab/>
        </w:r>
        <w:r>
          <w:fldChar w:fldCharType="begin"/>
        </w:r>
        <w:r>
          <w:instrText xml:space="preserve">PAGEREF 8735 \h</w:instrText>
        </w:r>
        <w:r>
          <w:fldChar w:fldCharType="end"/>
        </w:r>
      </w:hyperlink>
    </w:p>
    <w:p>
      <w:pPr>
        <w:tabs>
          <w:tab w:val="right" w:leader="dot" w:pos="9062"/>
        </w:tabs>
        <w:ind w:left="440"/>
      </w:pPr>
      <w:hyperlink w:anchor="_Toc8736" w:history="1">
        <w:r>
          <w:rPr>
            <w:rFonts w:ascii="IRNazanin" w:hAnsi="IRNazanin" w:eastAsia="IRNazanin" w:cs="IRNazanin"/>
            <w:color w:val="111111"/>
            <w:sz w:val="22"/>
            <w:szCs w:val="22"/>
            <w:b w:val="0"/>
            <w:bCs w:val="0"/>
            <w:i w:val="0"/>
            <w:iCs w:val="0"/>
          </w:rPr>
          <w:t>دیوان نجم دایة</w:t>
        </w:r>
        <w:r>
          <w:tab/>
        </w:r>
        <w:r>
          <w:fldChar w:fldCharType="begin"/>
        </w:r>
        <w:r>
          <w:instrText xml:space="preserve">PAGEREF 8736 \h</w:instrText>
        </w:r>
        <w:r>
          <w:fldChar w:fldCharType="end"/>
        </w:r>
      </w:hyperlink>
    </w:p>
    <w:p>
      <w:pPr>
        <w:tabs>
          <w:tab w:val="right" w:leader="dot" w:pos="9062"/>
        </w:tabs>
        <w:ind w:left="440"/>
      </w:pPr>
      <w:hyperlink w:anchor="_Toc8737" w:history="1">
        <w:r>
          <w:rPr>
            <w:rFonts w:ascii="IRNazanin" w:hAnsi="IRNazanin" w:eastAsia="IRNazanin" w:cs="IRNazanin"/>
            <w:color w:val="111111"/>
            <w:sz w:val="22"/>
            <w:szCs w:val="22"/>
            <w:b w:val="0"/>
            <w:bCs w:val="0"/>
            <w:i w:val="0"/>
            <w:iCs w:val="0"/>
          </w:rPr>
          <w:t>دیوان نجم الدین‏</w:t>
        </w:r>
        <w:r>
          <w:tab/>
        </w:r>
        <w:r>
          <w:fldChar w:fldCharType="begin"/>
        </w:r>
        <w:r>
          <w:instrText xml:space="preserve">PAGEREF 8737 \h</w:instrText>
        </w:r>
        <w:r>
          <w:fldChar w:fldCharType="end"/>
        </w:r>
      </w:hyperlink>
    </w:p>
    <w:p>
      <w:pPr>
        <w:tabs>
          <w:tab w:val="right" w:leader="dot" w:pos="9062"/>
        </w:tabs>
        <w:ind w:left="440"/>
      </w:pPr>
      <w:hyperlink w:anchor="_Toc8738" w:history="1">
        <w:r>
          <w:rPr>
            <w:rFonts w:ascii="IRNazanin" w:hAnsi="IRNazanin" w:eastAsia="IRNazanin" w:cs="IRNazanin"/>
            <w:color w:val="111111"/>
            <w:sz w:val="22"/>
            <w:szCs w:val="22"/>
            <w:b w:val="0"/>
            <w:bCs w:val="0"/>
            <w:i w:val="0"/>
            <w:iCs w:val="0"/>
          </w:rPr>
          <w:t>7578- دیوان نجم رازی‏</w:t>
        </w:r>
        <w:r>
          <w:tab/>
        </w:r>
        <w:r>
          <w:fldChar w:fldCharType="begin"/>
        </w:r>
        <w:r>
          <w:instrText xml:space="preserve">PAGEREF 8738 \h</w:instrText>
        </w:r>
        <w:r>
          <w:fldChar w:fldCharType="end"/>
        </w:r>
      </w:hyperlink>
    </w:p>
    <w:p>
      <w:pPr>
        <w:tabs>
          <w:tab w:val="right" w:leader="dot" w:pos="9062"/>
        </w:tabs>
        <w:ind w:left="440"/>
      </w:pPr>
      <w:hyperlink w:anchor="_Toc8739" w:history="1">
        <w:r>
          <w:rPr>
            <w:rFonts w:ascii="IRNazanin" w:hAnsi="IRNazanin" w:eastAsia="IRNazanin" w:cs="IRNazanin"/>
            <w:color w:val="111111"/>
            <w:sz w:val="22"/>
            <w:szCs w:val="22"/>
            <w:b w:val="0"/>
            <w:bCs w:val="0"/>
            <w:i w:val="0"/>
            <w:iCs w:val="0"/>
          </w:rPr>
          <w:t>دیوان نجم زرکوب‏</w:t>
        </w:r>
        <w:r>
          <w:tab/>
        </w:r>
        <w:r>
          <w:fldChar w:fldCharType="begin"/>
        </w:r>
        <w:r>
          <w:instrText xml:space="preserve">PAGEREF 8739 \h</w:instrText>
        </w:r>
        <w:r>
          <w:fldChar w:fldCharType="end"/>
        </w:r>
      </w:hyperlink>
    </w:p>
    <w:p>
      <w:pPr>
        <w:tabs>
          <w:tab w:val="right" w:leader="dot" w:pos="9062"/>
        </w:tabs>
        <w:ind w:left="440"/>
      </w:pPr>
      <w:hyperlink w:anchor="_Toc8740" w:history="1">
        <w:r>
          <w:rPr>
            <w:rFonts w:ascii="IRNazanin" w:hAnsi="IRNazanin" w:eastAsia="IRNazanin" w:cs="IRNazanin"/>
            <w:color w:val="111111"/>
            <w:sz w:val="22"/>
            <w:szCs w:val="22"/>
            <w:b w:val="0"/>
            <w:bCs w:val="0"/>
            <w:i w:val="0"/>
            <w:iCs w:val="0"/>
          </w:rPr>
          <w:t>7579- دیوان نجم ساوجی أو شعره‏</w:t>
        </w:r>
        <w:r>
          <w:tab/>
        </w:r>
        <w:r>
          <w:fldChar w:fldCharType="begin"/>
        </w:r>
        <w:r>
          <w:instrText xml:space="preserve">PAGEREF 8740 \h</w:instrText>
        </w:r>
        <w:r>
          <w:fldChar w:fldCharType="end"/>
        </w:r>
      </w:hyperlink>
    </w:p>
    <w:p>
      <w:pPr>
        <w:tabs>
          <w:tab w:val="right" w:leader="dot" w:pos="9062"/>
        </w:tabs>
        <w:ind w:left="440"/>
      </w:pPr>
      <w:hyperlink w:anchor="_Toc8741" w:history="1">
        <w:r>
          <w:rPr>
            <w:rFonts w:ascii="IRNazanin" w:hAnsi="IRNazanin" w:eastAsia="IRNazanin" w:cs="IRNazanin"/>
            <w:color w:val="111111"/>
            <w:sz w:val="22"/>
            <w:szCs w:val="22"/>
            <w:b w:val="0"/>
            <w:bCs w:val="0"/>
            <w:i w:val="0"/>
            <w:iCs w:val="0"/>
          </w:rPr>
          <w:t>7580- دیوان نجم سمنانی أو شعره‏</w:t>
        </w:r>
        <w:r>
          <w:tab/>
        </w:r>
        <w:r>
          <w:fldChar w:fldCharType="begin"/>
        </w:r>
        <w:r>
          <w:instrText xml:space="preserve">PAGEREF 8741 \h</w:instrText>
        </w:r>
        <w:r>
          <w:fldChar w:fldCharType="end"/>
        </w:r>
      </w:hyperlink>
    </w:p>
    <w:p>
      <w:pPr>
        <w:tabs>
          <w:tab w:val="right" w:leader="dot" w:pos="9062"/>
        </w:tabs>
        <w:ind w:left="440"/>
      </w:pPr>
      <w:hyperlink w:anchor="_Toc8742" w:history="1">
        <w:r>
          <w:rPr>
            <w:rFonts w:ascii="IRNazanin" w:hAnsi="IRNazanin" w:eastAsia="IRNazanin" w:cs="IRNazanin"/>
            <w:color w:val="111111"/>
            <w:sz w:val="22"/>
            <w:szCs w:val="22"/>
            <w:b w:val="0"/>
            <w:bCs w:val="0"/>
            <w:i w:val="0"/>
            <w:iCs w:val="0"/>
          </w:rPr>
          <w:t>دیوان نجم سنجری‏</w:t>
        </w:r>
        <w:r>
          <w:tab/>
        </w:r>
        <w:r>
          <w:fldChar w:fldCharType="begin"/>
        </w:r>
        <w:r>
          <w:instrText xml:space="preserve">PAGEREF 8742 \h</w:instrText>
        </w:r>
        <w:r>
          <w:fldChar w:fldCharType="end"/>
        </w:r>
      </w:hyperlink>
    </w:p>
    <w:p>
      <w:pPr>
        <w:tabs>
          <w:tab w:val="right" w:leader="dot" w:pos="9062"/>
        </w:tabs>
        <w:ind w:left="440"/>
      </w:pPr>
      <w:hyperlink w:anchor="_Toc8743" w:history="1">
        <w:r>
          <w:rPr>
            <w:rFonts w:ascii="IRNazanin" w:hAnsi="IRNazanin" w:eastAsia="IRNazanin" w:cs="IRNazanin"/>
            <w:color w:val="111111"/>
            <w:sz w:val="22"/>
            <w:szCs w:val="22"/>
            <w:b w:val="0"/>
            <w:bCs w:val="0"/>
            <w:i w:val="0"/>
            <w:iCs w:val="0"/>
          </w:rPr>
          <w:t>7581- دیوان نجم شوشتری أو شعره‏</w:t>
        </w:r>
        <w:r>
          <w:tab/>
        </w:r>
        <w:r>
          <w:fldChar w:fldCharType="begin"/>
        </w:r>
        <w:r>
          <w:instrText xml:space="preserve">PAGEREF 8743 \h</w:instrText>
        </w:r>
        <w:r>
          <w:fldChar w:fldCharType="end"/>
        </w:r>
      </w:hyperlink>
    </w:p>
    <w:p>
      <w:pPr>
        <w:tabs>
          <w:tab w:val="right" w:leader="dot" w:pos="9062"/>
        </w:tabs>
        <w:ind w:left="440"/>
      </w:pPr>
      <w:hyperlink w:anchor="_Toc8744" w:history="1">
        <w:r>
          <w:rPr>
            <w:rFonts w:ascii="IRNazanin" w:hAnsi="IRNazanin" w:eastAsia="IRNazanin" w:cs="IRNazanin"/>
            <w:color w:val="111111"/>
            <w:sz w:val="22"/>
            <w:szCs w:val="22"/>
            <w:b w:val="0"/>
            <w:bCs w:val="0"/>
            <w:i w:val="0"/>
            <w:iCs w:val="0"/>
          </w:rPr>
          <w:t>7582- دیوان نجم کبری‏</w:t>
        </w:r>
        <w:r>
          <w:tab/>
        </w:r>
        <w:r>
          <w:fldChar w:fldCharType="begin"/>
        </w:r>
        <w:r>
          <w:instrText xml:space="preserve">PAGEREF 8744 \h</w:instrText>
        </w:r>
        <w:r>
          <w:fldChar w:fldCharType="end"/>
        </w:r>
      </w:hyperlink>
    </w:p>
    <w:p>
      <w:pPr>
        <w:tabs>
          <w:tab w:val="right" w:leader="dot" w:pos="9062"/>
        </w:tabs>
        <w:ind w:left="440"/>
      </w:pPr>
      <w:hyperlink w:anchor="_Toc8745" w:history="1">
        <w:r>
          <w:rPr>
            <w:rFonts w:ascii="IRNazanin" w:hAnsi="IRNazanin" w:eastAsia="IRNazanin" w:cs="IRNazanin"/>
            <w:color w:val="111111"/>
            <w:sz w:val="22"/>
            <w:szCs w:val="22"/>
            <w:b w:val="0"/>
            <w:bCs w:val="0"/>
            <w:i w:val="0"/>
            <w:iCs w:val="0"/>
          </w:rPr>
          <w:t>7583- دیوان نجم کرمانی أو شعره‏</w:t>
        </w:r>
        <w:r>
          <w:tab/>
        </w:r>
        <w:r>
          <w:fldChar w:fldCharType="begin"/>
        </w:r>
        <w:r>
          <w:instrText xml:space="preserve">PAGEREF 8745 \h</w:instrText>
        </w:r>
        <w:r>
          <w:fldChar w:fldCharType="end"/>
        </w:r>
      </w:hyperlink>
    </w:p>
    <w:p>
      <w:pPr>
        <w:tabs>
          <w:tab w:val="right" w:leader="dot" w:pos="9062"/>
        </w:tabs>
        <w:ind w:left="440"/>
      </w:pPr>
      <w:hyperlink w:anchor="_Toc8746" w:history="1">
        <w:r>
          <w:rPr>
            <w:rFonts w:ascii="IRNazanin" w:hAnsi="IRNazanin" w:eastAsia="IRNazanin" w:cs="IRNazanin"/>
            <w:color w:val="111111"/>
            <w:sz w:val="22"/>
            <w:szCs w:val="22"/>
            <w:b w:val="0"/>
            <w:bCs w:val="0"/>
            <w:i w:val="0"/>
            <w:iCs w:val="0"/>
          </w:rPr>
          <w:t>7584- دیوان نجمی أو شعره‏</w:t>
        </w:r>
        <w:r>
          <w:tab/>
        </w:r>
        <w:r>
          <w:fldChar w:fldCharType="begin"/>
        </w:r>
        <w:r>
          <w:instrText xml:space="preserve">PAGEREF 8746 \h</w:instrText>
        </w:r>
        <w:r>
          <w:fldChar w:fldCharType="end"/>
        </w:r>
      </w:hyperlink>
    </w:p>
    <w:p>
      <w:pPr>
        <w:tabs>
          <w:tab w:val="right" w:leader="dot" w:pos="9062"/>
        </w:tabs>
        <w:ind w:left="440"/>
      </w:pPr>
      <w:hyperlink w:anchor="_Toc8747" w:history="1">
        <w:r>
          <w:rPr>
            <w:rFonts w:ascii="IRNazanin" w:hAnsi="IRNazanin" w:eastAsia="IRNazanin" w:cs="IRNazanin"/>
            <w:color w:val="111111"/>
            <w:sz w:val="22"/>
            <w:szCs w:val="22"/>
            <w:b w:val="0"/>
            <w:bCs w:val="0"/>
            <w:i w:val="0"/>
            <w:iCs w:val="0"/>
          </w:rPr>
          <w:t>7585- دیوان نجمی أصفهانی أو شعره‏</w:t>
        </w:r>
        <w:r>
          <w:tab/>
        </w:r>
        <w:r>
          <w:fldChar w:fldCharType="begin"/>
        </w:r>
        <w:r>
          <w:instrText xml:space="preserve">PAGEREF 8747 \h</w:instrText>
        </w:r>
        <w:r>
          <w:fldChar w:fldCharType="end"/>
        </w:r>
      </w:hyperlink>
    </w:p>
    <w:p>
      <w:pPr>
        <w:tabs>
          <w:tab w:val="right" w:leader="dot" w:pos="9062"/>
        </w:tabs>
        <w:ind w:left="440"/>
      </w:pPr>
      <w:hyperlink w:anchor="_Toc8748" w:history="1">
        <w:r>
          <w:rPr>
            <w:rFonts w:ascii="IRNazanin" w:hAnsi="IRNazanin" w:eastAsia="IRNazanin" w:cs="IRNazanin"/>
            <w:color w:val="111111"/>
            <w:sz w:val="22"/>
            <w:szCs w:val="22"/>
            <w:b w:val="0"/>
            <w:bCs w:val="0"/>
            <w:i w:val="0"/>
            <w:iCs w:val="0"/>
          </w:rPr>
          <w:t>7586- دیوان نجمی أصفهانی‏</w:t>
        </w:r>
        <w:r>
          <w:tab/>
        </w:r>
        <w:r>
          <w:fldChar w:fldCharType="begin"/>
        </w:r>
        <w:r>
          <w:instrText xml:space="preserve">PAGEREF 8748 \h</w:instrText>
        </w:r>
        <w:r>
          <w:fldChar w:fldCharType="end"/>
        </w:r>
      </w:hyperlink>
    </w:p>
    <w:p>
      <w:pPr>
        <w:tabs>
          <w:tab w:val="right" w:leader="dot" w:pos="9062"/>
        </w:tabs>
        <w:ind w:left="440"/>
      </w:pPr>
      <w:hyperlink w:anchor="_Toc8749" w:history="1">
        <w:r>
          <w:rPr>
            <w:rFonts w:ascii="IRNazanin" w:hAnsi="IRNazanin" w:eastAsia="IRNazanin" w:cs="IRNazanin"/>
            <w:color w:val="111111"/>
            <w:sz w:val="22"/>
            <w:szCs w:val="22"/>
            <w:b w:val="0"/>
            <w:bCs w:val="0"/>
            <w:i w:val="0"/>
            <w:iCs w:val="0"/>
          </w:rPr>
          <w:t>7587- دیوان نجمی شروانی أو شعره‏</w:t>
        </w:r>
        <w:r>
          <w:tab/>
        </w:r>
        <w:r>
          <w:fldChar w:fldCharType="begin"/>
        </w:r>
        <w:r>
          <w:instrText xml:space="preserve">PAGEREF 8749 \h</w:instrText>
        </w:r>
        <w:r>
          <w:fldChar w:fldCharType="end"/>
        </w:r>
      </w:hyperlink>
    </w:p>
    <w:p>
      <w:pPr>
        <w:tabs>
          <w:tab w:val="right" w:leader="dot" w:pos="9062"/>
        </w:tabs>
        <w:ind w:left="440"/>
      </w:pPr>
      <w:hyperlink w:anchor="_Toc8750" w:history="1">
        <w:r>
          <w:rPr>
            <w:rFonts w:ascii="IRNazanin" w:hAnsi="IRNazanin" w:eastAsia="IRNazanin" w:cs="IRNazanin"/>
            <w:color w:val="111111"/>
            <w:sz w:val="22"/>
            <w:szCs w:val="22"/>
            <w:b w:val="0"/>
            <w:bCs w:val="0"/>
            <w:i w:val="0"/>
            <w:iCs w:val="0"/>
          </w:rPr>
          <w:t>دیوان نجمی شهر کردی‏</w:t>
        </w:r>
        <w:r>
          <w:tab/>
        </w:r>
        <w:r>
          <w:fldChar w:fldCharType="begin"/>
        </w:r>
        <w:r>
          <w:instrText xml:space="preserve">PAGEREF 8750 \h</w:instrText>
        </w:r>
        <w:r>
          <w:fldChar w:fldCharType="end"/>
        </w:r>
      </w:hyperlink>
    </w:p>
    <w:p>
      <w:pPr>
        <w:tabs>
          <w:tab w:val="right" w:leader="dot" w:pos="9062"/>
        </w:tabs>
        <w:ind w:left="440"/>
      </w:pPr>
      <w:hyperlink w:anchor="_Toc8751" w:history="1">
        <w:r>
          <w:rPr>
            <w:rFonts w:ascii="IRNazanin" w:hAnsi="IRNazanin" w:eastAsia="IRNazanin" w:cs="IRNazanin"/>
            <w:color w:val="111111"/>
            <w:sz w:val="22"/>
            <w:szCs w:val="22"/>
            <w:b w:val="0"/>
            <w:bCs w:val="0"/>
            <w:i w:val="0"/>
            <w:iCs w:val="0"/>
          </w:rPr>
          <w:t>7588- دیوان نجمی کشمیری أو شعره‏</w:t>
        </w:r>
        <w:r>
          <w:tab/>
        </w:r>
        <w:r>
          <w:fldChar w:fldCharType="begin"/>
        </w:r>
        <w:r>
          <w:instrText xml:space="preserve">PAGEREF 8751 \h</w:instrText>
        </w:r>
        <w:r>
          <w:fldChar w:fldCharType="end"/>
        </w:r>
      </w:hyperlink>
    </w:p>
    <w:p>
      <w:pPr>
        <w:tabs>
          <w:tab w:val="right" w:leader="dot" w:pos="9062"/>
        </w:tabs>
        <w:ind w:left="440"/>
      </w:pPr>
      <w:hyperlink w:anchor="_Toc8752" w:history="1">
        <w:r>
          <w:rPr>
            <w:rFonts w:ascii="IRNazanin" w:hAnsi="IRNazanin" w:eastAsia="IRNazanin" w:cs="IRNazanin"/>
            <w:color w:val="111111"/>
            <w:sz w:val="22"/>
            <w:szCs w:val="22"/>
            <w:b w:val="0"/>
            <w:bCs w:val="0"/>
            <w:i w:val="0"/>
            <w:iCs w:val="0"/>
          </w:rPr>
          <w:t>7589- دیوان نجمی مشهدی أو شعره‏</w:t>
        </w:r>
        <w:r>
          <w:tab/>
        </w:r>
        <w:r>
          <w:fldChar w:fldCharType="begin"/>
        </w:r>
        <w:r>
          <w:instrText xml:space="preserve">PAGEREF 8752 \h</w:instrText>
        </w:r>
        <w:r>
          <w:fldChar w:fldCharType="end"/>
        </w:r>
      </w:hyperlink>
    </w:p>
    <w:p>
      <w:pPr>
        <w:tabs>
          <w:tab w:val="right" w:leader="dot" w:pos="9062"/>
        </w:tabs>
        <w:ind w:left="440"/>
      </w:pPr>
      <w:hyperlink w:anchor="_Toc8753" w:history="1">
        <w:r>
          <w:rPr>
            <w:rFonts w:ascii="IRNazanin" w:hAnsi="IRNazanin" w:eastAsia="IRNazanin" w:cs="IRNazanin"/>
            <w:color w:val="111111"/>
            <w:sz w:val="22"/>
            <w:szCs w:val="22"/>
            <w:b w:val="0"/>
            <w:bCs w:val="0"/>
            <w:i w:val="0"/>
            <w:iCs w:val="0"/>
          </w:rPr>
          <w:t>7590- دیوان نجومی کاشانی أو شعره‏</w:t>
        </w:r>
        <w:r>
          <w:tab/>
        </w:r>
        <w:r>
          <w:fldChar w:fldCharType="begin"/>
        </w:r>
        <w:r>
          <w:instrText xml:space="preserve">PAGEREF 8753 \h</w:instrText>
        </w:r>
        <w:r>
          <w:fldChar w:fldCharType="end"/>
        </w:r>
      </w:hyperlink>
    </w:p>
    <w:p>
      <w:pPr>
        <w:tabs>
          <w:tab w:val="right" w:leader="dot" w:pos="9062"/>
        </w:tabs>
        <w:ind w:left="440"/>
      </w:pPr>
      <w:hyperlink w:anchor="_Toc8754" w:history="1">
        <w:r>
          <w:rPr>
            <w:rFonts w:ascii="IRNazanin" w:hAnsi="IRNazanin" w:eastAsia="IRNazanin" w:cs="IRNazanin"/>
            <w:color w:val="111111"/>
            <w:sz w:val="22"/>
            <w:szCs w:val="22"/>
            <w:b w:val="0"/>
            <w:bCs w:val="0"/>
            <w:i w:val="0"/>
            <w:iCs w:val="0"/>
          </w:rPr>
          <w:t>7591- دیوان نجومی هروی أو شعره‏</w:t>
        </w:r>
        <w:r>
          <w:tab/>
        </w:r>
        <w:r>
          <w:fldChar w:fldCharType="begin"/>
        </w:r>
        <w:r>
          <w:instrText xml:space="preserve">PAGEREF 8754 \h</w:instrText>
        </w:r>
        <w:r>
          <w:fldChar w:fldCharType="end"/>
        </w:r>
      </w:hyperlink>
    </w:p>
    <w:p>
      <w:pPr>
        <w:tabs>
          <w:tab w:val="right" w:leader="dot" w:pos="9062"/>
        </w:tabs>
        <w:ind w:left="440"/>
      </w:pPr>
      <w:hyperlink w:anchor="_Toc8755" w:history="1">
        <w:r>
          <w:rPr>
            <w:rFonts w:ascii="IRNazanin" w:hAnsi="IRNazanin" w:eastAsia="IRNazanin" w:cs="IRNazanin"/>
            <w:color w:val="111111"/>
            <w:sz w:val="22"/>
            <w:szCs w:val="22"/>
            <w:b w:val="0"/>
            <w:bCs w:val="0"/>
            <w:i w:val="0"/>
            <w:iCs w:val="0"/>
          </w:rPr>
          <w:t>7592- دیوان نجیب‏</w:t>
        </w:r>
        <w:r>
          <w:tab/>
        </w:r>
        <w:r>
          <w:fldChar w:fldCharType="begin"/>
        </w:r>
        <w:r>
          <w:instrText xml:space="preserve">PAGEREF 8755 \h</w:instrText>
        </w:r>
        <w:r>
          <w:fldChar w:fldCharType="end"/>
        </w:r>
      </w:hyperlink>
    </w:p>
    <w:p>
      <w:pPr>
        <w:tabs>
          <w:tab w:val="right" w:leader="dot" w:pos="9062"/>
        </w:tabs>
        <w:ind w:left="440"/>
      </w:pPr>
      <w:hyperlink w:anchor="_Toc8756" w:history="1">
        <w:r>
          <w:rPr>
            <w:rFonts w:ascii="IRNazanin" w:hAnsi="IRNazanin" w:eastAsia="IRNazanin" w:cs="IRNazanin"/>
            <w:color w:val="111111"/>
            <w:sz w:val="22"/>
            <w:szCs w:val="22"/>
            <w:b w:val="0"/>
            <w:bCs w:val="0"/>
            <w:i w:val="0"/>
            <w:iCs w:val="0"/>
          </w:rPr>
          <w:t>7593- دیوان نجیب أسترآبادی أو شعره‏</w:t>
        </w:r>
        <w:r>
          <w:tab/>
        </w:r>
        <w:r>
          <w:fldChar w:fldCharType="begin"/>
        </w:r>
        <w:r>
          <w:instrText xml:space="preserve">PAGEREF 8756 \h</w:instrText>
        </w:r>
        <w:r>
          <w:fldChar w:fldCharType="end"/>
        </w:r>
      </w:hyperlink>
    </w:p>
    <w:p>
      <w:pPr>
        <w:tabs>
          <w:tab w:val="right" w:leader="dot" w:pos="9062"/>
        </w:tabs>
        <w:ind w:left="440"/>
      </w:pPr>
      <w:hyperlink w:anchor="_Toc8757" w:history="1">
        <w:r>
          <w:rPr>
            <w:rFonts w:ascii="IRNazanin" w:hAnsi="IRNazanin" w:eastAsia="IRNazanin" w:cs="IRNazanin"/>
            <w:color w:val="111111"/>
            <w:sz w:val="22"/>
            <w:szCs w:val="22"/>
            <w:b w:val="0"/>
            <w:bCs w:val="0"/>
            <w:i w:val="0"/>
            <w:iCs w:val="0"/>
          </w:rPr>
          <w:t>7594- دیوان نجیب أصفهانی‏</w:t>
        </w:r>
        <w:r>
          <w:tab/>
        </w:r>
        <w:r>
          <w:fldChar w:fldCharType="begin"/>
        </w:r>
        <w:r>
          <w:instrText xml:space="preserve">PAGEREF 8757 \h</w:instrText>
        </w:r>
        <w:r>
          <w:fldChar w:fldCharType="end"/>
        </w:r>
      </w:hyperlink>
    </w:p>
    <w:p>
      <w:pPr>
        <w:tabs>
          <w:tab w:val="right" w:leader="dot" w:pos="9062"/>
        </w:tabs>
        <w:ind w:left="440"/>
      </w:pPr>
      <w:hyperlink w:anchor="_Toc8758" w:history="1">
        <w:r>
          <w:rPr>
            <w:rFonts w:ascii="IRNazanin" w:hAnsi="IRNazanin" w:eastAsia="IRNazanin" w:cs="IRNazanin"/>
            <w:color w:val="111111"/>
            <w:sz w:val="22"/>
            <w:szCs w:val="22"/>
            <w:b w:val="0"/>
            <w:bCs w:val="0"/>
            <w:i w:val="0"/>
            <w:iCs w:val="0"/>
          </w:rPr>
          <w:t>دیوان نجیب أصفهانی‏</w:t>
        </w:r>
        <w:r>
          <w:tab/>
        </w:r>
        <w:r>
          <w:fldChar w:fldCharType="begin"/>
        </w:r>
        <w:r>
          <w:instrText xml:space="preserve">PAGEREF 8758 \h</w:instrText>
        </w:r>
        <w:r>
          <w:fldChar w:fldCharType="end"/>
        </w:r>
      </w:hyperlink>
    </w:p>
    <w:p>
      <w:pPr>
        <w:tabs>
          <w:tab w:val="right" w:leader="dot" w:pos="9062"/>
        </w:tabs>
        <w:ind w:left="440"/>
      </w:pPr>
      <w:hyperlink w:anchor="_Toc8759" w:history="1">
        <w:r>
          <w:rPr>
            <w:rFonts w:ascii="IRNazanin" w:hAnsi="IRNazanin" w:eastAsia="IRNazanin" w:cs="IRNazanin"/>
            <w:color w:val="111111"/>
            <w:sz w:val="22"/>
            <w:szCs w:val="22"/>
            <w:b w:val="0"/>
            <w:bCs w:val="0"/>
            <w:i w:val="0"/>
            <w:iCs w:val="0"/>
          </w:rPr>
          <w:t>دیوان نجیب تبریزی‏</w:t>
        </w:r>
        <w:r>
          <w:tab/>
        </w:r>
        <w:r>
          <w:fldChar w:fldCharType="begin"/>
        </w:r>
        <w:r>
          <w:instrText xml:space="preserve">PAGEREF 8759 \h</w:instrText>
        </w:r>
        <w:r>
          <w:fldChar w:fldCharType="end"/>
        </w:r>
      </w:hyperlink>
    </w:p>
    <w:p>
      <w:pPr>
        <w:tabs>
          <w:tab w:val="right" w:leader="dot" w:pos="9062"/>
        </w:tabs>
        <w:ind w:left="440"/>
      </w:pPr>
      <w:hyperlink w:anchor="_Toc8760" w:history="1">
        <w:r>
          <w:rPr>
            <w:rFonts w:ascii="IRNazanin" w:hAnsi="IRNazanin" w:eastAsia="IRNazanin" w:cs="IRNazanin"/>
            <w:color w:val="111111"/>
            <w:sz w:val="22"/>
            <w:szCs w:val="22"/>
            <w:b w:val="0"/>
            <w:bCs w:val="0"/>
            <w:i w:val="0"/>
            <w:iCs w:val="0"/>
          </w:rPr>
          <w:t>7595- دیوان نجیب ترمذی أو شعره‏</w:t>
        </w:r>
        <w:r>
          <w:tab/>
        </w:r>
        <w:r>
          <w:fldChar w:fldCharType="begin"/>
        </w:r>
        <w:r>
          <w:instrText xml:space="preserve">PAGEREF 8760 \h</w:instrText>
        </w:r>
        <w:r>
          <w:fldChar w:fldCharType="end"/>
        </w:r>
      </w:hyperlink>
    </w:p>
    <w:p>
      <w:pPr>
        <w:tabs>
          <w:tab w:val="right" w:leader="dot" w:pos="9062"/>
        </w:tabs>
        <w:ind w:left="440"/>
      </w:pPr>
      <w:hyperlink w:anchor="_Toc8761" w:history="1">
        <w:r>
          <w:rPr>
            <w:rFonts w:ascii="IRNazanin" w:hAnsi="IRNazanin" w:eastAsia="IRNazanin" w:cs="IRNazanin"/>
            <w:color w:val="111111"/>
            <w:sz w:val="22"/>
            <w:szCs w:val="22"/>
            <w:b w:val="0"/>
            <w:bCs w:val="0"/>
            <w:i w:val="0"/>
            <w:iCs w:val="0"/>
          </w:rPr>
          <w:t>دیوان نجیب چرکس‏</w:t>
        </w:r>
        <w:r>
          <w:tab/>
        </w:r>
        <w:r>
          <w:fldChar w:fldCharType="begin"/>
        </w:r>
        <w:r>
          <w:instrText xml:space="preserve">PAGEREF 8761 \h</w:instrText>
        </w:r>
        <w:r>
          <w:fldChar w:fldCharType="end"/>
        </w:r>
      </w:hyperlink>
    </w:p>
    <w:p>
      <w:pPr>
        <w:tabs>
          <w:tab w:val="right" w:leader="dot" w:pos="9062"/>
        </w:tabs>
        <w:ind w:left="440"/>
      </w:pPr>
      <w:hyperlink w:anchor="_Toc8762" w:history="1">
        <w:r>
          <w:rPr>
            <w:rFonts w:ascii="IRNazanin" w:hAnsi="IRNazanin" w:eastAsia="IRNazanin" w:cs="IRNazanin"/>
            <w:color w:val="111111"/>
            <w:sz w:val="22"/>
            <w:szCs w:val="22"/>
            <w:b w:val="0"/>
            <w:bCs w:val="0"/>
            <w:i w:val="0"/>
            <w:iCs w:val="0"/>
          </w:rPr>
          <w:t>7596- دیوان نجیب الدین العاملی‏</w:t>
        </w:r>
        <w:r>
          <w:tab/>
        </w:r>
        <w:r>
          <w:fldChar w:fldCharType="begin"/>
        </w:r>
        <w:r>
          <w:instrText xml:space="preserve">PAGEREF 8762 \h</w:instrText>
        </w:r>
        <w:r>
          <w:fldChar w:fldCharType="end"/>
        </w:r>
      </w:hyperlink>
    </w:p>
    <w:p>
      <w:pPr>
        <w:tabs>
          <w:tab w:val="right" w:leader="dot" w:pos="9062"/>
        </w:tabs>
        <w:ind w:left="440"/>
      </w:pPr>
      <w:hyperlink w:anchor="_Toc8763" w:history="1">
        <w:r>
          <w:rPr>
            <w:rFonts w:ascii="IRNazanin" w:hAnsi="IRNazanin" w:eastAsia="IRNazanin" w:cs="IRNazanin"/>
            <w:color w:val="111111"/>
            <w:sz w:val="22"/>
            <w:szCs w:val="22"/>
            <w:b w:val="0"/>
            <w:bCs w:val="0"/>
            <w:i w:val="0"/>
            <w:iCs w:val="0"/>
          </w:rPr>
          <w:t>7597- دیوان نجیب شیرازی أو شعره‏</w:t>
        </w:r>
        <w:r>
          <w:tab/>
        </w:r>
        <w:r>
          <w:fldChar w:fldCharType="begin"/>
        </w:r>
        <w:r>
          <w:instrText xml:space="preserve">PAGEREF 8763 \h</w:instrText>
        </w:r>
        <w:r>
          <w:fldChar w:fldCharType="end"/>
        </w:r>
      </w:hyperlink>
    </w:p>
    <w:p>
      <w:pPr>
        <w:tabs>
          <w:tab w:val="right" w:leader="dot" w:pos="9062"/>
        </w:tabs>
        <w:ind w:left="440"/>
      </w:pPr>
      <w:hyperlink w:anchor="_Toc8764" w:history="1">
        <w:r>
          <w:rPr>
            <w:rFonts w:ascii="IRNazanin" w:hAnsi="IRNazanin" w:eastAsia="IRNazanin" w:cs="IRNazanin"/>
            <w:color w:val="111111"/>
            <w:sz w:val="22"/>
            <w:szCs w:val="22"/>
            <w:b w:val="0"/>
            <w:bCs w:val="0"/>
            <w:i w:val="0"/>
            <w:iCs w:val="0"/>
          </w:rPr>
          <w:t>7598- دیوان نجیب کاشانی أو شعره‏</w:t>
        </w:r>
        <w:r>
          <w:tab/>
        </w:r>
        <w:r>
          <w:fldChar w:fldCharType="begin"/>
        </w:r>
        <w:r>
          <w:instrText xml:space="preserve">PAGEREF 8764 \h</w:instrText>
        </w:r>
        <w:r>
          <w:fldChar w:fldCharType="end"/>
        </w:r>
      </w:hyperlink>
    </w:p>
    <w:p>
      <w:pPr>
        <w:tabs>
          <w:tab w:val="right" w:leader="dot" w:pos="9062"/>
        </w:tabs>
        <w:ind w:left="440"/>
      </w:pPr>
      <w:hyperlink w:anchor="_Toc8765" w:history="1">
        <w:r>
          <w:rPr>
            <w:rFonts w:ascii="IRNazanin" w:hAnsi="IRNazanin" w:eastAsia="IRNazanin" w:cs="IRNazanin"/>
            <w:color w:val="111111"/>
            <w:sz w:val="22"/>
            <w:szCs w:val="22"/>
            <w:b w:val="0"/>
            <w:bCs w:val="0"/>
            <w:i w:val="0"/>
            <w:iCs w:val="0"/>
          </w:rPr>
          <w:t>7599- دیوان نجیب گلپایگانی أو شعره‏</w:t>
        </w:r>
        <w:r>
          <w:tab/>
        </w:r>
        <w:r>
          <w:fldChar w:fldCharType="begin"/>
        </w:r>
        <w:r>
          <w:instrText xml:space="preserve">PAGEREF 8765 \h</w:instrText>
        </w:r>
        <w:r>
          <w:fldChar w:fldCharType="end"/>
        </w:r>
      </w:hyperlink>
    </w:p>
    <w:p>
      <w:pPr>
        <w:tabs>
          <w:tab w:val="right" w:leader="dot" w:pos="9062"/>
        </w:tabs>
        <w:ind w:left="440"/>
      </w:pPr>
      <w:hyperlink w:anchor="_Toc8766" w:history="1">
        <w:r>
          <w:rPr>
            <w:rFonts w:ascii="IRNazanin" w:hAnsi="IRNazanin" w:eastAsia="IRNazanin" w:cs="IRNazanin"/>
            <w:color w:val="111111"/>
            <w:sz w:val="22"/>
            <w:szCs w:val="22"/>
            <w:b w:val="0"/>
            <w:bCs w:val="0"/>
            <w:i w:val="0"/>
            <w:iCs w:val="0"/>
          </w:rPr>
          <w:t>7600- دیوان نجیب لنجانی أو شعره‏</w:t>
        </w:r>
        <w:r>
          <w:tab/>
        </w:r>
        <w:r>
          <w:fldChar w:fldCharType="begin"/>
        </w:r>
        <w:r>
          <w:instrText xml:space="preserve">PAGEREF 8766 \h</w:instrText>
        </w:r>
        <w:r>
          <w:fldChar w:fldCharType="end"/>
        </w:r>
      </w:hyperlink>
    </w:p>
    <w:p>
      <w:pPr>
        <w:tabs>
          <w:tab w:val="right" w:leader="dot" w:pos="9062"/>
        </w:tabs>
        <w:ind w:left="440"/>
      </w:pPr>
      <w:hyperlink w:anchor="_Toc8767" w:history="1">
        <w:r>
          <w:rPr>
            <w:rFonts w:ascii="IRNazanin" w:hAnsi="IRNazanin" w:eastAsia="IRNazanin" w:cs="IRNazanin"/>
            <w:color w:val="111111"/>
            <w:sz w:val="22"/>
            <w:szCs w:val="22"/>
            <w:b w:val="0"/>
            <w:bCs w:val="0"/>
            <w:i w:val="0"/>
            <w:iCs w:val="0"/>
          </w:rPr>
          <w:t>دیوان نحاس أصفهانی‏</w:t>
        </w:r>
        <w:r>
          <w:tab/>
        </w:r>
        <w:r>
          <w:fldChar w:fldCharType="begin"/>
        </w:r>
        <w:r>
          <w:instrText xml:space="preserve">PAGEREF 8767 \h</w:instrText>
        </w:r>
        <w:r>
          <w:fldChar w:fldCharType="end"/>
        </w:r>
      </w:hyperlink>
    </w:p>
    <w:p>
      <w:pPr>
        <w:tabs>
          <w:tab w:val="right" w:leader="dot" w:pos="9062"/>
        </w:tabs>
        <w:ind w:left="440"/>
      </w:pPr>
      <w:hyperlink w:anchor="_Toc8768" w:history="1">
        <w:r>
          <w:rPr>
            <w:rFonts w:ascii="IRNazanin" w:hAnsi="IRNazanin" w:eastAsia="IRNazanin" w:cs="IRNazanin"/>
            <w:color w:val="111111"/>
            <w:sz w:val="22"/>
            <w:szCs w:val="22"/>
            <w:b w:val="0"/>
            <w:bCs w:val="0"/>
            <w:i w:val="0"/>
            <w:iCs w:val="0"/>
          </w:rPr>
          <w:t>7601- دیوان النحوی‏</w:t>
        </w:r>
        <w:r>
          <w:tab/>
        </w:r>
        <w:r>
          <w:fldChar w:fldCharType="begin"/>
        </w:r>
        <w:r>
          <w:instrText xml:space="preserve">PAGEREF 8768 \h</w:instrText>
        </w:r>
        <w:r>
          <w:fldChar w:fldCharType="end"/>
        </w:r>
      </w:hyperlink>
    </w:p>
    <w:p>
      <w:pPr>
        <w:tabs>
          <w:tab w:val="right" w:leader="dot" w:pos="9062"/>
        </w:tabs>
        <w:ind w:left="440"/>
      </w:pPr>
      <w:hyperlink w:anchor="_Toc8769" w:history="1">
        <w:r>
          <w:rPr>
            <w:rFonts w:ascii="IRNazanin" w:hAnsi="IRNazanin" w:eastAsia="IRNazanin" w:cs="IRNazanin"/>
            <w:color w:val="111111"/>
            <w:sz w:val="22"/>
            <w:szCs w:val="22"/>
            <w:b w:val="0"/>
            <w:bCs w:val="0"/>
            <w:i w:val="0"/>
            <w:iCs w:val="0"/>
          </w:rPr>
          <w:t>7602- دیوان نحوی کشمیری أو شعره‏</w:t>
        </w:r>
        <w:r>
          <w:tab/>
        </w:r>
        <w:r>
          <w:fldChar w:fldCharType="begin"/>
        </w:r>
        <w:r>
          <w:instrText xml:space="preserve">PAGEREF 8769 \h</w:instrText>
        </w:r>
        <w:r>
          <w:fldChar w:fldCharType="end"/>
        </w:r>
      </w:hyperlink>
    </w:p>
    <w:p>
      <w:pPr>
        <w:tabs>
          <w:tab w:val="right" w:leader="dot" w:pos="9062"/>
        </w:tabs>
        <w:ind w:left="440"/>
      </w:pPr>
      <w:hyperlink w:anchor="_Toc8770" w:history="1">
        <w:r>
          <w:rPr>
            <w:rFonts w:ascii="IRNazanin" w:hAnsi="IRNazanin" w:eastAsia="IRNazanin" w:cs="IRNazanin"/>
            <w:color w:val="111111"/>
            <w:sz w:val="22"/>
            <w:szCs w:val="22"/>
            <w:b w:val="0"/>
            <w:bCs w:val="0"/>
            <w:i w:val="0"/>
            <w:iCs w:val="0"/>
          </w:rPr>
          <w:t>7603- دیوان نحیف بهوپالی أو شعره‏</w:t>
        </w:r>
        <w:r>
          <w:tab/>
        </w:r>
        <w:r>
          <w:fldChar w:fldCharType="begin"/>
        </w:r>
        <w:r>
          <w:instrText xml:space="preserve">PAGEREF 8770 \h</w:instrText>
        </w:r>
        <w:r>
          <w:fldChar w:fldCharType="end"/>
        </w:r>
      </w:hyperlink>
    </w:p>
    <w:p>
      <w:pPr>
        <w:tabs>
          <w:tab w:val="right" w:leader="dot" w:pos="9062"/>
        </w:tabs>
        <w:ind w:left="440"/>
      </w:pPr>
      <w:hyperlink w:anchor="_Toc8771" w:history="1">
        <w:r>
          <w:rPr>
            <w:rFonts w:ascii="IRNazanin" w:hAnsi="IRNazanin" w:eastAsia="IRNazanin" w:cs="IRNazanin"/>
            <w:color w:val="111111"/>
            <w:sz w:val="22"/>
            <w:szCs w:val="22"/>
            <w:b w:val="0"/>
            <w:bCs w:val="0"/>
            <w:i w:val="0"/>
            <w:iCs w:val="0"/>
          </w:rPr>
          <w:t>7604- دیوان نحیف شاملو أو شعره‏</w:t>
        </w:r>
        <w:r>
          <w:tab/>
        </w:r>
        <w:r>
          <w:fldChar w:fldCharType="begin"/>
        </w:r>
        <w:r>
          <w:instrText xml:space="preserve">PAGEREF 8771 \h</w:instrText>
        </w:r>
        <w:r>
          <w:fldChar w:fldCharType="end"/>
        </w:r>
      </w:hyperlink>
    </w:p>
    <w:p>
      <w:pPr>
        <w:tabs>
          <w:tab w:val="right" w:leader="dot" w:pos="9062"/>
        </w:tabs>
        <w:ind w:left="440"/>
      </w:pPr>
      <w:hyperlink w:anchor="_Toc8772" w:history="1">
        <w:r>
          <w:rPr>
            <w:rFonts w:ascii="IRNazanin" w:hAnsi="IRNazanin" w:eastAsia="IRNazanin" w:cs="IRNazanin"/>
            <w:color w:val="111111"/>
            <w:sz w:val="22"/>
            <w:szCs w:val="22"/>
            <w:b w:val="0"/>
            <w:bCs w:val="0"/>
            <w:i w:val="0"/>
            <w:iCs w:val="0"/>
          </w:rPr>
          <w:t>7605- دیوان نخشبی بدیوانی‏</w:t>
        </w:r>
        <w:r>
          <w:tab/>
        </w:r>
        <w:r>
          <w:fldChar w:fldCharType="begin"/>
        </w:r>
        <w:r>
          <w:instrText xml:space="preserve">PAGEREF 8772 \h</w:instrText>
        </w:r>
        <w:r>
          <w:fldChar w:fldCharType="end"/>
        </w:r>
      </w:hyperlink>
    </w:p>
    <w:p>
      <w:pPr>
        <w:tabs>
          <w:tab w:val="right" w:leader="dot" w:pos="9062"/>
        </w:tabs>
        <w:ind w:left="440"/>
      </w:pPr>
      <w:hyperlink w:anchor="_Toc8773" w:history="1">
        <w:r>
          <w:rPr>
            <w:rFonts w:ascii="IRNazanin" w:hAnsi="IRNazanin" w:eastAsia="IRNazanin" w:cs="IRNazanin"/>
            <w:color w:val="111111"/>
            <w:sz w:val="22"/>
            <w:szCs w:val="22"/>
            <w:b w:val="0"/>
            <w:bCs w:val="0"/>
            <w:i w:val="0"/>
            <w:iCs w:val="0"/>
          </w:rPr>
          <w:t>7606- دیوان نخلی بخارائی أو شعره‏</w:t>
        </w:r>
        <w:r>
          <w:tab/>
        </w:r>
        <w:r>
          <w:fldChar w:fldCharType="begin"/>
        </w:r>
        <w:r>
          <w:instrText xml:space="preserve">PAGEREF 8773 \h</w:instrText>
        </w:r>
        <w:r>
          <w:fldChar w:fldCharType="end"/>
        </w:r>
      </w:hyperlink>
    </w:p>
    <w:p>
      <w:pPr>
        <w:tabs>
          <w:tab w:val="right" w:leader="dot" w:pos="9062"/>
        </w:tabs>
        <w:ind w:left="440"/>
      </w:pPr>
      <w:hyperlink w:anchor="_Toc8774" w:history="1">
        <w:r>
          <w:rPr>
            <w:rFonts w:ascii="IRNazanin" w:hAnsi="IRNazanin" w:eastAsia="IRNazanin" w:cs="IRNazanin"/>
            <w:color w:val="111111"/>
            <w:sz w:val="22"/>
            <w:szCs w:val="22"/>
            <w:b w:val="0"/>
            <w:bCs w:val="0"/>
            <w:i w:val="0"/>
            <w:iCs w:val="0"/>
          </w:rPr>
          <w:t>7607- دیوان ندائی سمرقندی‏</w:t>
        </w:r>
        <w:r>
          <w:tab/>
        </w:r>
        <w:r>
          <w:fldChar w:fldCharType="begin"/>
        </w:r>
        <w:r>
          <w:instrText xml:space="preserve">PAGEREF 8774 \h</w:instrText>
        </w:r>
        <w:r>
          <w:fldChar w:fldCharType="end"/>
        </w:r>
      </w:hyperlink>
    </w:p>
    <w:p>
      <w:pPr>
        <w:tabs>
          <w:tab w:val="right" w:leader="dot" w:pos="9062"/>
        </w:tabs>
        <w:ind w:left="440"/>
      </w:pPr>
      <w:hyperlink w:anchor="_Toc8775" w:history="1">
        <w:r>
          <w:rPr>
            <w:rFonts w:ascii="IRNazanin" w:hAnsi="IRNazanin" w:eastAsia="IRNazanin" w:cs="IRNazanin"/>
            <w:color w:val="111111"/>
            <w:sz w:val="22"/>
            <w:szCs w:val="22"/>
            <w:b w:val="0"/>
            <w:bCs w:val="0"/>
            <w:i w:val="0"/>
            <w:iCs w:val="0"/>
          </w:rPr>
          <w:t>7608- دیوان ندائی کاشغری‏</w:t>
        </w:r>
        <w:r>
          <w:tab/>
        </w:r>
        <w:r>
          <w:fldChar w:fldCharType="begin"/>
        </w:r>
        <w:r>
          <w:instrText xml:space="preserve">PAGEREF 8775 \h</w:instrText>
        </w:r>
        <w:r>
          <w:fldChar w:fldCharType="end"/>
        </w:r>
      </w:hyperlink>
    </w:p>
    <w:p>
      <w:pPr>
        <w:tabs>
          <w:tab w:val="right" w:leader="dot" w:pos="9062"/>
        </w:tabs>
        <w:ind w:left="440"/>
      </w:pPr>
      <w:hyperlink w:anchor="_Toc8776" w:history="1">
        <w:r>
          <w:rPr>
            <w:rFonts w:ascii="IRNazanin" w:hAnsi="IRNazanin" w:eastAsia="IRNazanin" w:cs="IRNazanin"/>
            <w:color w:val="111111"/>
            <w:sz w:val="22"/>
            <w:szCs w:val="22"/>
            <w:b w:val="0"/>
            <w:bCs w:val="0"/>
            <w:i w:val="0"/>
            <w:iCs w:val="0"/>
          </w:rPr>
          <w:t>7609- دیوان ندائی گیلانی أو شعره‏</w:t>
        </w:r>
        <w:r>
          <w:tab/>
        </w:r>
        <w:r>
          <w:fldChar w:fldCharType="begin"/>
        </w:r>
        <w:r>
          <w:instrText xml:space="preserve">PAGEREF 8776 \h</w:instrText>
        </w:r>
        <w:r>
          <w:fldChar w:fldCharType="end"/>
        </w:r>
      </w:hyperlink>
    </w:p>
    <w:p>
      <w:pPr>
        <w:tabs>
          <w:tab w:val="right" w:leader="dot" w:pos="9062"/>
        </w:tabs>
        <w:ind w:left="440"/>
      </w:pPr>
      <w:hyperlink w:anchor="_Toc8777" w:history="1">
        <w:r>
          <w:rPr>
            <w:rFonts w:ascii="IRNazanin" w:hAnsi="IRNazanin" w:eastAsia="IRNazanin" w:cs="IRNazanin"/>
            <w:color w:val="111111"/>
            <w:sz w:val="22"/>
            <w:szCs w:val="22"/>
            <w:b w:val="0"/>
            <w:bCs w:val="0"/>
            <w:i w:val="0"/>
            <w:iCs w:val="0"/>
          </w:rPr>
          <w:t>دیوان ندائی نیشابوری‏</w:t>
        </w:r>
        <w:r>
          <w:tab/>
        </w:r>
        <w:r>
          <w:fldChar w:fldCharType="begin"/>
        </w:r>
        <w:r>
          <w:instrText xml:space="preserve">PAGEREF 8777 \h</w:instrText>
        </w:r>
        <w:r>
          <w:fldChar w:fldCharType="end"/>
        </w:r>
      </w:hyperlink>
    </w:p>
    <w:p>
      <w:pPr>
        <w:tabs>
          <w:tab w:val="right" w:leader="dot" w:pos="9062"/>
        </w:tabs>
        <w:ind w:left="440"/>
      </w:pPr>
      <w:hyperlink w:anchor="_Toc8778" w:history="1">
        <w:r>
          <w:rPr>
            <w:rFonts w:ascii="IRNazanin" w:hAnsi="IRNazanin" w:eastAsia="IRNazanin" w:cs="IRNazanin"/>
            <w:color w:val="111111"/>
            <w:sz w:val="22"/>
            <w:szCs w:val="22"/>
            <w:b w:val="0"/>
            <w:bCs w:val="0"/>
            <w:i w:val="0"/>
            <w:iCs w:val="0"/>
          </w:rPr>
          <w:t>7610- دیوان ندائی هروی أو شعره‏</w:t>
        </w:r>
        <w:r>
          <w:tab/>
        </w:r>
        <w:r>
          <w:fldChar w:fldCharType="begin"/>
        </w:r>
        <w:r>
          <w:instrText xml:space="preserve">PAGEREF 8778 \h</w:instrText>
        </w:r>
        <w:r>
          <w:fldChar w:fldCharType="end"/>
        </w:r>
      </w:hyperlink>
    </w:p>
    <w:p>
      <w:pPr>
        <w:tabs>
          <w:tab w:val="right" w:leader="dot" w:pos="9062"/>
        </w:tabs>
        <w:ind w:left="440"/>
      </w:pPr>
      <w:hyperlink w:anchor="_Toc8779" w:history="1">
        <w:r>
          <w:rPr>
            <w:rFonts w:ascii="IRNazanin" w:hAnsi="IRNazanin" w:eastAsia="IRNazanin" w:cs="IRNazanin"/>
            <w:color w:val="111111"/>
            <w:sz w:val="22"/>
            <w:szCs w:val="22"/>
            <w:b w:val="0"/>
            <w:bCs w:val="0"/>
            <w:i w:val="0"/>
            <w:iCs w:val="0"/>
          </w:rPr>
          <w:t>7611- دیوان ندائی یزدی‏</w:t>
        </w:r>
        <w:r>
          <w:tab/>
        </w:r>
        <w:r>
          <w:fldChar w:fldCharType="begin"/>
        </w:r>
        <w:r>
          <w:instrText xml:space="preserve">PAGEREF 8779 \h</w:instrText>
        </w:r>
        <w:r>
          <w:fldChar w:fldCharType="end"/>
        </w:r>
      </w:hyperlink>
    </w:p>
    <w:p>
      <w:pPr>
        <w:tabs>
          <w:tab w:val="right" w:leader="dot" w:pos="9062"/>
        </w:tabs>
        <w:ind w:left="440"/>
      </w:pPr>
      <w:hyperlink w:anchor="_Toc8780" w:history="1">
        <w:r>
          <w:rPr>
            <w:rFonts w:ascii="IRNazanin" w:hAnsi="IRNazanin" w:eastAsia="IRNazanin" w:cs="IRNazanin"/>
            <w:color w:val="111111"/>
            <w:sz w:val="22"/>
            <w:szCs w:val="22"/>
            <w:b w:val="0"/>
            <w:bCs w:val="0"/>
            <w:i w:val="0"/>
            <w:iCs w:val="0"/>
          </w:rPr>
          <w:t>7612- دیوان ندرت تهانیسری‏</w:t>
        </w:r>
        <w:r>
          <w:tab/>
        </w:r>
        <w:r>
          <w:fldChar w:fldCharType="begin"/>
        </w:r>
        <w:r>
          <w:instrText xml:space="preserve">PAGEREF 8780 \h</w:instrText>
        </w:r>
        <w:r>
          <w:fldChar w:fldCharType="end"/>
        </w:r>
      </w:hyperlink>
    </w:p>
    <w:p>
      <w:pPr>
        <w:tabs>
          <w:tab w:val="right" w:leader="dot" w:pos="9062"/>
        </w:tabs>
        <w:ind w:left="440"/>
      </w:pPr>
      <w:hyperlink w:anchor="_Toc8781" w:history="1">
        <w:r>
          <w:rPr>
            <w:rFonts w:ascii="IRNazanin" w:hAnsi="IRNazanin" w:eastAsia="IRNazanin" w:cs="IRNazanin"/>
            <w:color w:val="111111"/>
            <w:sz w:val="22"/>
            <w:szCs w:val="22"/>
            <w:b w:val="0"/>
            <w:bCs w:val="0"/>
            <w:i w:val="0"/>
            <w:iCs w:val="0"/>
          </w:rPr>
          <w:t>7613- دیوان ندیم أصفهانی أو شعره‏</w:t>
        </w:r>
        <w:r>
          <w:tab/>
        </w:r>
        <w:r>
          <w:fldChar w:fldCharType="begin"/>
        </w:r>
        <w:r>
          <w:instrText xml:space="preserve">PAGEREF 8781 \h</w:instrText>
        </w:r>
        <w:r>
          <w:fldChar w:fldCharType="end"/>
        </w:r>
      </w:hyperlink>
    </w:p>
    <w:p>
      <w:pPr>
        <w:tabs>
          <w:tab w:val="right" w:leader="dot" w:pos="9062"/>
        </w:tabs>
        <w:ind w:left="440"/>
      </w:pPr>
      <w:hyperlink w:anchor="_Toc8782" w:history="1">
        <w:r>
          <w:rPr>
            <w:rFonts w:ascii="IRNazanin" w:hAnsi="IRNazanin" w:eastAsia="IRNazanin" w:cs="IRNazanin"/>
            <w:color w:val="111111"/>
            <w:sz w:val="22"/>
            <w:szCs w:val="22"/>
            <w:b w:val="0"/>
            <w:bCs w:val="0"/>
            <w:i w:val="0"/>
            <w:iCs w:val="0"/>
          </w:rPr>
          <w:t>دیوان ندیم‏باشی کاشانی‏</w:t>
        </w:r>
        <w:r>
          <w:tab/>
        </w:r>
        <w:r>
          <w:fldChar w:fldCharType="begin"/>
        </w:r>
        <w:r>
          <w:instrText xml:space="preserve">PAGEREF 8782 \h</w:instrText>
        </w:r>
        <w:r>
          <w:fldChar w:fldCharType="end"/>
        </w:r>
      </w:hyperlink>
    </w:p>
    <w:p>
      <w:pPr>
        <w:tabs>
          <w:tab w:val="right" w:leader="dot" w:pos="9062"/>
        </w:tabs>
        <w:ind w:left="440"/>
      </w:pPr>
      <w:hyperlink w:anchor="_Toc8783" w:history="1">
        <w:r>
          <w:rPr>
            <w:rFonts w:ascii="IRNazanin" w:hAnsi="IRNazanin" w:eastAsia="IRNazanin" w:cs="IRNazanin"/>
            <w:color w:val="111111"/>
            <w:sz w:val="22"/>
            <w:szCs w:val="22"/>
            <w:b w:val="0"/>
            <w:bCs w:val="0"/>
            <w:i w:val="0"/>
            <w:iCs w:val="0"/>
          </w:rPr>
          <w:t>7614- دیوان ندیم دهلوی أو شعره‏</w:t>
        </w:r>
        <w:r>
          <w:tab/>
        </w:r>
        <w:r>
          <w:fldChar w:fldCharType="begin"/>
        </w:r>
        <w:r>
          <w:instrText xml:space="preserve">PAGEREF 8783 \h</w:instrText>
        </w:r>
        <w:r>
          <w:fldChar w:fldCharType="end"/>
        </w:r>
      </w:hyperlink>
    </w:p>
    <w:p>
      <w:pPr>
        <w:tabs>
          <w:tab w:val="right" w:leader="dot" w:pos="9062"/>
        </w:tabs>
        <w:ind w:left="440"/>
      </w:pPr>
      <w:hyperlink w:anchor="_Toc8784" w:history="1">
        <w:r>
          <w:rPr>
            <w:rFonts w:ascii="IRNazanin" w:hAnsi="IRNazanin" w:eastAsia="IRNazanin" w:cs="IRNazanin"/>
            <w:color w:val="111111"/>
            <w:sz w:val="22"/>
            <w:szCs w:val="22"/>
            <w:b w:val="0"/>
            <w:bCs w:val="0"/>
            <w:i w:val="0"/>
            <w:iCs w:val="0"/>
          </w:rPr>
          <w:t>7615- دیوان ندیم شیرازی‏</w:t>
        </w:r>
        <w:r>
          <w:tab/>
        </w:r>
        <w:r>
          <w:fldChar w:fldCharType="begin"/>
        </w:r>
        <w:r>
          <w:instrText xml:space="preserve">PAGEREF 8784 \h</w:instrText>
        </w:r>
        <w:r>
          <w:fldChar w:fldCharType="end"/>
        </w:r>
      </w:hyperlink>
    </w:p>
    <w:p>
      <w:pPr>
        <w:tabs>
          <w:tab w:val="right" w:leader="dot" w:pos="9062"/>
        </w:tabs>
        <w:ind w:left="440"/>
      </w:pPr>
      <w:hyperlink w:anchor="_Toc8785" w:history="1">
        <w:r>
          <w:rPr>
            <w:rFonts w:ascii="IRNazanin" w:hAnsi="IRNazanin" w:eastAsia="IRNazanin" w:cs="IRNazanin"/>
            <w:color w:val="111111"/>
            <w:sz w:val="22"/>
            <w:szCs w:val="22"/>
            <w:b w:val="0"/>
            <w:bCs w:val="0"/>
            <w:i w:val="0"/>
            <w:iCs w:val="0"/>
          </w:rPr>
          <w:t>7616- دیوان ندیم کشمیری أو شعره‏</w:t>
        </w:r>
        <w:r>
          <w:tab/>
        </w:r>
        <w:r>
          <w:fldChar w:fldCharType="begin"/>
        </w:r>
        <w:r>
          <w:instrText xml:space="preserve">PAGEREF 8785 \h</w:instrText>
        </w:r>
        <w:r>
          <w:fldChar w:fldCharType="end"/>
        </w:r>
      </w:hyperlink>
    </w:p>
    <w:p>
      <w:pPr>
        <w:tabs>
          <w:tab w:val="right" w:leader="dot" w:pos="9062"/>
        </w:tabs>
        <w:ind w:left="440"/>
      </w:pPr>
      <w:hyperlink w:anchor="_Toc8786" w:history="1">
        <w:r>
          <w:rPr>
            <w:rFonts w:ascii="IRNazanin" w:hAnsi="IRNazanin" w:eastAsia="IRNazanin" w:cs="IRNazanin"/>
            <w:color w:val="111111"/>
            <w:sz w:val="22"/>
            <w:szCs w:val="22"/>
            <w:b w:val="0"/>
            <w:bCs w:val="0"/>
            <w:i w:val="0"/>
            <w:iCs w:val="0"/>
          </w:rPr>
          <w:t>7617- دیوان ندیم لکهنوی أو شعره‏</w:t>
        </w:r>
        <w:r>
          <w:tab/>
        </w:r>
        <w:r>
          <w:fldChar w:fldCharType="begin"/>
        </w:r>
        <w:r>
          <w:instrText xml:space="preserve">PAGEREF 8786 \h</w:instrText>
        </w:r>
        <w:r>
          <w:fldChar w:fldCharType="end"/>
        </w:r>
      </w:hyperlink>
    </w:p>
    <w:p>
      <w:pPr>
        <w:tabs>
          <w:tab w:val="right" w:leader="dot" w:pos="9062"/>
        </w:tabs>
        <w:ind w:left="440"/>
      </w:pPr>
      <w:hyperlink w:anchor="_Toc8787" w:history="1">
        <w:r>
          <w:rPr>
            <w:rFonts w:ascii="IRNazanin" w:hAnsi="IRNazanin" w:eastAsia="IRNazanin" w:cs="IRNazanin"/>
            <w:color w:val="111111"/>
            <w:sz w:val="22"/>
            <w:szCs w:val="22"/>
            <w:b w:val="0"/>
            <w:bCs w:val="0"/>
            <w:i w:val="0"/>
            <w:iCs w:val="0"/>
          </w:rPr>
          <w:t>7618- دیوان ندیم مازندرانی‏</w:t>
        </w:r>
        <w:r>
          <w:tab/>
        </w:r>
        <w:r>
          <w:fldChar w:fldCharType="begin"/>
        </w:r>
        <w:r>
          <w:instrText xml:space="preserve">PAGEREF 8787 \h</w:instrText>
        </w:r>
        <w:r>
          <w:fldChar w:fldCharType="end"/>
        </w:r>
      </w:hyperlink>
    </w:p>
    <w:p>
      <w:pPr>
        <w:tabs>
          <w:tab w:val="right" w:leader="dot" w:pos="9062"/>
        </w:tabs>
        <w:ind w:left="440"/>
      </w:pPr>
      <w:hyperlink w:anchor="_Toc8788" w:history="1">
        <w:r>
          <w:rPr>
            <w:rFonts w:ascii="IRNazanin" w:hAnsi="IRNazanin" w:eastAsia="IRNazanin" w:cs="IRNazanin"/>
            <w:color w:val="111111"/>
            <w:sz w:val="22"/>
            <w:szCs w:val="22"/>
            <w:b w:val="0"/>
            <w:bCs w:val="0"/>
            <w:i w:val="0"/>
            <w:iCs w:val="0"/>
          </w:rPr>
          <w:t>7619- دیوان ندیم مشهدی‏</w:t>
        </w:r>
        <w:r>
          <w:tab/>
        </w:r>
        <w:r>
          <w:fldChar w:fldCharType="begin"/>
        </w:r>
        <w:r>
          <w:instrText xml:space="preserve">PAGEREF 8788 \h</w:instrText>
        </w:r>
        <w:r>
          <w:fldChar w:fldCharType="end"/>
        </w:r>
      </w:hyperlink>
    </w:p>
    <w:p>
      <w:pPr>
        <w:tabs>
          <w:tab w:val="right" w:leader="dot" w:pos="9062"/>
        </w:tabs>
        <w:ind w:left="440"/>
      </w:pPr>
      <w:hyperlink w:anchor="_Toc8789" w:history="1">
        <w:r>
          <w:rPr>
            <w:rFonts w:ascii="IRNazanin" w:hAnsi="IRNazanin" w:eastAsia="IRNazanin" w:cs="IRNazanin"/>
            <w:color w:val="111111"/>
            <w:sz w:val="22"/>
            <w:szCs w:val="22"/>
            <w:b w:val="0"/>
            <w:bCs w:val="0"/>
            <w:i w:val="0"/>
            <w:iCs w:val="0"/>
          </w:rPr>
          <w:t>7620- دیوان ندیم هروی أو شعره‏</w:t>
        </w:r>
        <w:r>
          <w:tab/>
        </w:r>
        <w:r>
          <w:fldChar w:fldCharType="begin"/>
        </w:r>
        <w:r>
          <w:instrText xml:space="preserve">PAGEREF 8789 \h</w:instrText>
        </w:r>
        <w:r>
          <w:fldChar w:fldCharType="end"/>
        </w:r>
      </w:hyperlink>
    </w:p>
    <w:p>
      <w:pPr>
        <w:tabs>
          <w:tab w:val="right" w:leader="dot" w:pos="9062"/>
        </w:tabs>
        <w:ind w:left="440"/>
      </w:pPr>
      <w:hyperlink w:anchor="_Toc8790" w:history="1">
        <w:r>
          <w:rPr>
            <w:rFonts w:ascii="IRNazanin" w:hAnsi="IRNazanin" w:eastAsia="IRNazanin" w:cs="IRNazanin"/>
            <w:color w:val="111111"/>
            <w:sz w:val="22"/>
            <w:szCs w:val="22"/>
            <w:b w:val="0"/>
            <w:bCs w:val="0"/>
            <w:i w:val="0"/>
            <w:iCs w:val="0"/>
          </w:rPr>
          <w:t>7621- دیوان ندیم هندی أو شعره‏</w:t>
        </w:r>
        <w:r>
          <w:tab/>
        </w:r>
        <w:r>
          <w:fldChar w:fldCharType="begin"/>
        </w:r>
        <w:r>
          <w:instrText xml:space="preserve">PAGEREF 8790 \h</w:instrText>
        </w:r>
        <w:r>
          <w:fldChar w:fldCharType="end"/>
        </w:r>
      </w:hyperlink>
    </w:p>
    <w:p>
      <w:pPr>
        <w:tabs>
          <w:tab w:val="right" w:leader="dot" w:pos="9062"/>
        </w:tabs>
        <w:ind w:left="440"/>
      </w:pPr>
      <w:hyperlink w:anchor="_Toc8791" w:history="1">
        <w:r>
          <w:rPr>
            <w:rFonts w:ascii="IRNazanin" w:hAnsi="IRNazanin" w:eastAsia="IRNazanin" w:cs="IRNazanin"/>
            <w:color w:val="111111"/>
            <w:sz w:val="22"/>
            <w:szCs w:val="22"/>
            <w:b w:val="0"/>
            <w:bCs w:val="0"/>
            <w:i w:val="0"/>
            <w:iCs w:val="0"/>
          </w:rPr>
          <w:t>7622- دیوان ندیمی أصفهانی أو شعره‏</w:t>
        </w:r>
        <w:r>
          <w:tab/>
        </w:r>
        <w:r>
          <w:fldChar w:fldCharType="begin"/>
        </w:r>
        <w:r>
          <w:instrText xml:space="preserve">PAGEREF 8791 \h</w:instrText>
        </w:r>
        <w:r>
          <w:fldChar w:fldCharType="end"/>
        </w:r>
      </w:hyperlink>
    </w:p>
    <w:p>
      <w:pPr>
        <w:tabs>
          <w:tab w:val="right" w:leader="dot" w:pos="9062"/>
        </w:tabs>
        <w:ind w:left="440"/>
      </w:pPr>
      <w:hyperlink w:anchor="_Toc8792" w:history="1">
        <w:r>
          <w:rPr>
            <w:rFonts w:ascii="IRNazanin" w:hAnsi="IRNazanin" w:eastAsia="IRNazanin" w:cs="IRNazanin"/>
            <w:color w:val="111111"/>
            <w:sz w:val="22"/>
            <w:szCs w:val="22"/>
            <w:b w:val="0"/>
            <w:bCs w:val="0"/>
            <w:i w:val="0"/>
            <w:iCs w:val="0"/>
          </w:rPr>
          <w:t>7623- دیوان ندیمی بلخی أو شعره‏</w:t>
        </w:r>
        <w:r>
          <w:tab/>
        </w:r>
        <w:r>
          <w:fldChar w:fldCharType="begin"/>
        </w:r>
        <w:r>
          <w:instrText xml:space="preserve">PAGEREF 8792 \h</w:instrText>
        </w:r>
        <w:r>
          <w:fldChar w:fldCharType="end"/>
        </w:r>
      </w:hyperlink>
    </w:p>
    <w:p>
      <w:pPr>
        <w:tabs>
          <w:tab w:val="right" w:leader="dot" w:pos="9062"/>
        </w:tabs>
        <w:ind w:left="440"/>
      </w:pPr>
      <w:hyperlink w:anchor="_Toc8793" w:history="1">
        <w:r>
          <w:rPr>
            <w:rFonts w:ascii="IRNazanin" w:hAnsi="IRNazanin" w:eastAsia="IRNazanin" w:cs="IRNazanin"/>
            <w:color w:val="111111"/>
            <w:sz w:val="22"/>
            <w:szCs w:val="22"/>
            <w:b w:val="0"/>
            <w:bCs w:val="0"/>
            <w:i w:val="0"/>
            <w:iCs w:val="0"/>
          </w:rPr>
          <w:t>7624- دیوان ندیمی نقاره‏چی أو شعره‏</w:t>
        </w:r>
        <w:r>
          <w:tab/>
        </w:r>
        <w:r>
          <w:fldChar w:fldCharType="begin"/>
        </w:r>
        <w:r>
          <w:instrText xml:space="preserve">PAGEREF 8793 \h</w:instrText>
        </w:r>
        <w:r>
          <w:fldChar w:fldCharType="end"/>
        </w:r>
      </w:hyperlink>
    </w:p>
    <w:p>
      <w:pPr>
        <w:tabs>
          <w:tab w:val="right" w:leader="dot" w:pos="9062"/>
        </w:tabs>
        <w:ind w:left="440"/>
      </w:pPr>
      <w:hyperlink w:anchor="_Toc8794" w:history="1">
        <w:r>
          <w:rPr>
            <w:rFonts w:ascii="IRNazanin" w:hAnsi="IRNazanin" w:eastAsia="IRNazanin" w:cs="IRNazanin"/>
            <w:color w:val="111111"/>
            <w:sz w:val="22"/>
            <w:szCs w:val="22"/>
            <w:b w:val="0"/>
            <w:bCs w:val="0"/>
            <w:i w:val="0"/>
            <w:iCs w:val="0"/>
          </w:rPr>
          <w:t>7625- دیوان نذری شاملو أو شعره‏</w:t>
        </w:r>
        <w:r>
          <w:tab/>
        </w:r>
        <w:r>
          <w:fldChar w:fldCharType="begin"/>
        </w:r>
        <w:r>
          <w:instrText xml:space="preserve">PAGEREF 8794 \h</w:instrText>
        </w:r>
        <w:r>
          <w:fldChar w:fldCharType="end"/>
        </w:r>
      </w:hyperlink>
    </w:p>
    <w:p>
      <w:pPr>
        <w:tabs>
          <w:tab w:val="right" w:leader="dot" w:pos="9062"/>
        </w:tabs>
        <w:ind w:left="440"/>
      </w:pPr>
      <w:hyperlink w:anchor="_Toc8795" w:history="1">
        <w:r>
          <w:rPr>
            <w:rFonts w:ascii="IRNazanin" w:hAnsi="IRNazanin" w:eastAsia="IRNazanin" w:cs="IRNazanin"/>
            <w:color w:val="111111"/>
            <w:sz w:val="22"/>
            <w:szCs w:val="22"/>
            <w:b w:val="0"/>
            <w:bCs w:val="0"/>
            <w:i w:val="0"/>
            <w:iCs w:val="0"/>
          </w:rPr>
          <w:t>7626- دیوان نذری کاشی أو شعره‏</w:t>
        </w:r>
        <w:r>
          <w:tab/>
        </w:r>
        <w:r>
          <w:fldChar w:fldCharType="begin"/>
        </w:r>
        <w:r>
          <w:instrText xml:space="preserve">PAGEREF 8795 \h</w:instrText>
        </w:r>
        <w:r>
          <w:fldChar w:fldCharType="end"/>
        </w:r>
      </w:hyperlink>
    </w:p>
    <w:p>
      <w:pPr>
        <w:tabs>
          <w:tab w:val="right" w:leader="dot" w:pos="9062"/>
        </w:tabs>
        <w:ind w:left="440"/>
      </w:pPr>
      <w:hyperlink w:anchor="_Toc8796" w:history="1">
        <w:r>
          <w:rPr>
            <w:rFonts w:ascii="IRNazanin" w:hAnsi="IRNazanin" w:eastAsia="IRNazanin" w:cs="IRNazanin"/>
            <w:color w:val="111111"/>
            <w:sz w:val="22"/>
            <w:szCs w:val="22"/>
            <w:b w:val="0"/>
            <w:bCs w:val="0"/>
            <w:i w:val="0"/>
            <w:iCs w:val="0"/>
          </w:rPr>
          <w:t>7627- دیوان نذیر خیرآبادی أو شعره‏</w:t>
        </w:r>
        <w:r>
          <w:tab/>
        </w:r>
        <w:r>
          <w:fldChar w:fldCharType="begin"/>
        </w:r>
        <w:r>
          <w:instrText xml:space="preserve">PAGEREF 8796 \h</w:instrText>
        </w:r>
        <w:r>
          <w:fldChar w:fldCharType="end"/>
        </w:r>
      </w:hyperlink>
    </w:p>
    <w:p>
      <w:pPr>
        <w:tabs>
          <w:tab w:val="right" w:leader="dot" w:pos="9062"/>
        </w:tabs>
        <w:ind w:left="440"/>
      </w:pPr>
      <w:hyperlink w:anchor="_Toc8797" w:history="1">
        <w:r>
          <w:rPr>
            <w:rFonts w:ascii="IRNazanin" w:hAnsi="IRNazanin" w:eastAsia="IRNazanin" w:cs="IRNazanin"/>
            <w:color w:val="111111"/>
            <w:sz w:val="22"/>
            <w:szCs w:val="22"/>
            <w:b w:val="0"/>
            <w:bCs w:val="0"/>
            <w:i w:val="0"/>
            <w:iCs w:val="0"/>
          </w:rPr>
          <w:t>7628- دیوان نذیر لکهنوی أو شعره‏</w:t>
        </w:r>
        <w:r>
          <w:tab/>
        </w:r>
        <w:r>
          <w:fldChar w:fldCharType="begin"/>
        </w:r>
        <w:r>
          <w:instrText xml:space="preserve">PAGEREF 8797 \h</w:instrText>
        </w:r>
        <w:r>
          <w:fldChar w:fldCharType="end"/>
        </w:r>
      </w:hyperlink>
    </w:p>
    <w:p>
      <w:pPr>
        <w:tabs>
          <w:tab w:val="right" w:leader="dot" w:pos="9062"/>
        </w:tabs>
        <w:ind w:left="440"/>
      </w:pPr>
      <w:hyperlink w:anchor="_Toc8798" w:history="1">
        <w:r>
          <w:rPr>
            <w:rFonts w:ascii="IRNazanin" w:hAnsi="IRNazanin" w:eastAsia="IRNazanin" w:cs="IRNazanin"/>
            <w:color w:val="111111"/>
            <w:sz w:val="22"/>
            <w:szCs w:val="22"/>
            <w:b w:val="0"/>
            <w:bCs w:val="0"/>
            <w:i w:val="0"/>
            <w:iCs w:val="0"/>
          </w:rPr>
          <w:t>دیوان نراقی‏</w:t>
        </w:r>
        <w:r>
          <w:tab/>
        </w:r>
        <w:r>
          <w:fldChar w:fldCharType="begin"/>
        </w:r>
        <w:r>
          <w:instrText xml:space="preserve">PAGEREF 8798 \h</w:instrText>
        </w:r>
        <w:r>
          <w:fldChar w:fldCharType="end"/>
        </w:r>
      </w:hyperlink>
    </w:p>
    <w:p>
      <w:pPr>
        <w:tabs>
          <w:tab w:val="right" w:leader="dot" w:pos="9062"/>
        </w:tabs>
        <w:ind w:left="440"/>
      </w:pPr>
      <w:hyperlink w:anchor="_Toc8799" w:history="1">
        <w:r>
          <w:rPr>
            <w:rFonts w:ascii="IRNazanin" w:hAnsi="IRNazanin" w:eastAsia="IRNazanin" w:cs="IRNazanin"/>
            <w:color w:val="111111"/>
            <w:sz w:val="22"/>
            <w:szCs w:val="22"/>
            <w:b w:val="0"/>
            <w:bCs w:val="0"/>
            <w:i w:val="0"/>
            <w:iCs w:val="0"/>
          </w:rPr>
          <w:t>7629- دیوان نرگس أبهری‏</w:t>
        </w:r>
        <w:r>
          <w:tab/>
        </w:r>
        <w:r>
          <w:fldChar w:fldCharType="begin"/>
        </w:r>
        <w:r>
          <w:instrText xml:space="preserve">PAGEREF 8799 \h</w:instrText>
        </w:r>
        <w:r>
          <w:fldChar w:fldCharType="end"/>
        </w:r>
      </w:hyperlink>
    </w:p>
    <w:p>
      <w:pPr>
        <w:tabs>
          <w:tab w:val="right" w:leader="dot" w:pos="9062"/>
        </w:tabs>
        <w:ind w:left="440"/>
      </w:pPr>
      <w:hyperlink w:anchor="_Toc8800" w:history="1">
        <w:r>
          <w:rPr>
            <w:rFonts w:ascii="IRNazanin" w:hAnsi="IRNazanin" w:eastAsia="IRNazanin" w:cs="IRNazanin"/>
            <w:color w:val="111111"/>
            <w:sz w:val="22"/>
            <w:szCs w:val="22"/>
            <w:b w:val="0"/>
            <w:bCs w:val="0"/>
            <w:i w:val="0"/>
            <w:iCs w:val="0"/>
          </w:rPr>
          <w:t>7630- دیوان نرگس بخاری دهلوی أو شعره‏</w:t>
        </w:r>
        <w:r>
          <w:tab/>
        </w:r>
        <w:r>
          <w:fldChar w:fldCharType="begin"/>
        </w:r>
        <w:r>
          <w:instrText xml:space="preserve">PAGEREF 8800 \h</w:instrText>
        </w:r>
        <w:r>
          <w:fldChar w:fldCharType="end"/>
        </w:r>
      </w:hyperlink>
    </w:p>
    <w:p>
      <w:pPr>
        <w:tabs>
          <w:tab w:val="right" w:leader="dot" w:pos="9062"/>
        </w:tabs>
        <w:ind w:left="440"/>
      </w:pPr>
      <w:hyperlink w:anchor="_Toc8801" w:history="1">
        <w:r>
          <w:rPr>
            <w:rFonts w:ascii="IRNazanin" w:hAnsi="IRNazanin" w:eastAsia="IRNazanin" w:cs="IRNazanin"/>
            <w:color w:val="111111"/>
            <w:sz w:val="22"/>
            <w:szCs w:val="22"/>
            <w:b w:val="0"/>
            <w:bCs w:val="0"/>
            <w:i w:val="0"/>
            <w:iCs w:val="0"/>
          </w:rPr>
          <w:t>7631- دیوان نرگس کاشغری أو شعره‏</w:t>
        </w:r>
        <w:r>
          <w:tab/>
        </w:r>
        <w:r>
          <w:fldChar w:fldCharType="begin"/>
        </w:r>
        <w:r>
          <w:instrText xml:space="preserve">PAGEREF 8801 \h</w:instrText>
        </w:r>
        <w:r>
          <w:fldChar w:fldCharType="end"/>
        </w:r>
      </w:hyperlink>
    </w:p>
    <w:p>
      <w:pPr>
        <w:tabs>
          <w:tab w:val="right" w:leader="dot" w:pos="9062"/>
        </w:tabs>
        <w:ind w:left="440"/>
      </w:pPr>
      <w:hyperlink w:anchor="_Toc8802" w:history="1">
        <w:r>
          <w:rPr>
            <w:rFonts w:ascii="IRNazanin" w:hAnsi="IRNazanin" w:eastAsia="IRNazanin" w:cs="IRNazanin"/>
            <w:color w:val="111111"/>
            <w:sz w:val="22"/>
            <w:szCs w:val="22"/>
            <w:b w:val="0"/>
            <w:bCs w:val="0"/>
            <w:i w:val="0"/>
            <w:iCs w:val="0"/>
          </w:rPr>
          <w:t>دیوان نرگس هروی‏</w:t>
        </w:r>
        <w:r>
          <w:tab/>
        </w:r>
        <w:r>
          <w:fldChar w:fldCharType="begin"/>
        </w:r>
        <w:r>
          <w:instrText xml:space="preserve">PAGEREF 8802 \h</w:instrText>
        </w:r>
        <w:r>
          <w:fldChar w:fldCharType="end"/>
        </w:r>
      </w:hyperlink>
    </w:p>
    <w:p>
      <w:pPr>
        <w:tabs>
          <w:tab w:val="right" w:leader="dot" w:pos="9062"/>
        </w:tabs>
        <w:ind w:left="440"/>
      </w:pPr>
      <w:hyperlink w:anchor="_Toc8803" w:history="1">
        <w:r>
          <w:rPr>
            <w:rFonts w:ascii="IRNazanin" w:hAnsi="IRNazanin" w:eastAsia="IRNazanin" w:cs="IRNazanin"/>
            <w:color w:val="111111"/>
            <w:sz w:val="22"/>
            <w:szCs w:val="22"/>
            <w:b w:val="0"/>
            <w:bCs w:val="0"/>
            <w:i w:val="0"/>
            <w:iCs w:val="0"/>
          </w:rPr>
          <w:t>7632- دیوان نزاری أردبیلی أو شعره‏</w:t>
        </w:r>
        <w:r>
          <w:tab/>
        </w:r>
        <w:r>
          <w:fldChar w:fldCharType="begin"/>
        </w:r>
        <w:r>
          <w:instrText xml:space="preserve">PAGEREF 8803 \h</w:instrText>
        </w:r>
        <w:r>
          <w:fldChar w:fldCharType="end"/>
        </w:r>
      </w:hyperlink>
    </w:p>
    <w:p>
      <w:pPr>
        <w:tabs>
          <w:tab w:val="right" w:leader="dot" w:pos="9062"/>
        </w:tabs>
        <w:ind w:left="440"/>
      </w:pPr>
      <w:hyperlink w:anchor="_Toc8804" w:history="1">
        <w:r>
          <w:rPr>
            <w:rFonts w:ascii="IRNazanin" w:hAnsi="IRNazanin" w:eastAsia="IRNazanin" w:cs="IRNazanin"/>
            <w:color w:val="111111"/>
            <w:sz w:val="22"/>
            <w:szCs w:val="22"/>
            <w:b w:val="0"/>
            <w:bCs w:val="0"/>
            <w:i w:val="0"/>
            <w:iCs w:val="0"/>
          </w:rPr>
          <w:t>7633- دیوان نزاری قهستانی‏</w:t>
        </w:r>
        <w:r>
          <w:tab/>
        </w:r>
        <w:r>
          <w:fldChar w:fldCharType="begin"/>
        </w:r>
        <w:r>
          <w:instrText xml:space="preserve">PAGEREF 8804 \h</w:instrText>
        </w:r>
        <w:r>
          <w:fldChar w:fldCharType="end"/>
        </w:r>
      </w:hyperlink>
    </w:p>
    <w:p>
      <w:pPr>
        <w:tabs>
          <w:tab w:val="right" w:leader="dot" w:pos="9062"/>
        </w:tabs>
        <w:ind w:left="440"/>
      </w:pPr>
      <w:hyperlink w:anchor="_Toc8805" w:history="1">
        <w:r>
          <w:rPr>
            <w:rFonts w:ascii="IRNazanin" w:hAnsi="IRNazanin" w:eastAsia="IRNazanin" w:cs="IRNazanin"/>
            <w:color w:val="111111"/>
            <w:sz w:val="22"/>
            <w:szCs w:val="22"/>
            <w:b w:val="0"/>
            <w:bCs w:val="0"/>
            <w:i w:val="0"/>
            <w:iCs w:val="0"/>
          </w:rPr>
          <w:t>7634- دیوان نزهت أردستانی‏</w:t>
        </w:r>
        <w:r>
          <w:tab/>
        </w:r>
        <w:r>
          <w:fldChar w:fldCharType="begin"/>
        </w:r>
        <w:r>
          <w:instrText xml:space="preserve">PAGEREF 8805 \h</w:instrText>
        </w:r>
        <w:r>
          <w:fldChar w:fldCharType="end"/>
        </w:r>
      </w:hyperlink>
    </w:p>
    <w:p>
      <w:pPr>
        <w:tabs>
          <w:tab w:val="right" w:leader="dot" w:pos="9062"/>
        </w:tabs>
        <w:ind w:left="440"/>
      </w:pPr>
      <w:hyperlink w:anchor="_Toc8806" w:history="1">
        <w:r>
          <w:rPr>
            <w:rFonts w:ascii="IRNazanin" w:hAnsi="IRNazanin" w:eastAsia="IRNazanin" w:cs="IRNazanin"/>
            <w:color w:val="111111"/>
            <w:sz w:val="22"/>
            <w:szCs w:val="22"/>
            <w:b w:val="0"/>
            <w:bCs w:val="0"/>
            <w:i w:val="0"/>
            <w:iCs w:val="0"/>
          </w:rPr>
          <w:t>7635- دیوان نزهت أصفهانی أو شعره‏</w:t>
        </w:r>
        <w:r>
          <w:tab/>
        </w:r>
        <w:r>
          <w:fldChar w:fldCharType="begin"/>
        </w:r>
        <w:r>
          <w:instrText xml:space="preserve">PAGEREF 8806 \h</w:instrText>
        </w:r>
        <w:r>
          <w:fldChar w:fldCharType="end"/>
        </w:r>
      </w:hyperlink>
    </w:p>
    <w:p>
      <w:pPr>
        <w:tabs>
          <w:tab w:val="right" w:leader="dot" w:pos="9062"/>
        </w:tabs>
        <w:ind w:left="440"/>
      </w:pPr>
      <w:hyperlink w:anchor="_Toc8807" w:history="1">
        <w:r>
          <w:rPr>
            <w:rFonts w:ascii="IRNazanin" w:hAnsi="IRNazanin" w:eastAsia="IRNazanin" w:cs="IRNazanin"/>
            <w:color w:val="111111"/>
            <w:sz w:val="22"/>
            <w:szCs w:val="22"/>
            <w:b w:val="0"/>
            <w:bCs w:val="0"/>
            <w:i w:val="0"/>
            <w:iCs w:val="0"/>
          </w:rPr>
          <w:t>7636- دیوان نزهت دامغانی أو شعره‏</w:t>
        </w:r>
        <w:r>
          <w:tab/>
        </w:r>
        <w:r>
          <w:fldChar w:fldCharType="begin"/>
        </w:r>
        <w:r>
          <w:instrText xml:space="preserve">PAGEREF 8807 \h</w:instrText>
        </w:r>
        <w:r>
          <w:fldChar w:fldCharType="end"/>
        </w:r>
      </w:hyperlink>
    </w:p>
    <w:p>
      <w:pPr>
        <w:tabs>
          <w:tab w:val="right" w:leader="dot" w:pos="9062"/>
        </w:tabs>
        <w:ind w:left="440"/>
      </w:pPr>
      <w:hyperlink w:anchor="_Toc8808" w:history="1">
        <w:r>
          <w:rPr>
            <w:rFonts w:ascii="IRNazanin" w:hAnsi="IRNazanin" w:eastAsia="IRNazanin" w:cs="IRNazanin"/>
            <w:color w:val="111111"/>
            <w:sz w:val="22"/>
            <w:szCs w:val="22"/>
            <w:b w:val="0"/>
            <w:bCs w:val="0"/>
            <w:i w:val="0"/>
            <w:iCs w:val="0"/>
          </w:rPr>
          <w:t>7637- دیوان نزهت کشمیری أو شعره‏</w:t>
        </w:r>
        <w:r>
          <w:tab/>
        </w:r>
        <w:r>
          <w:fldChar w:fldCharType="begin"/>
        </w:r>
        <w:r>
          <w:instrText xml:space="preserve">PAGEREF 8808 \h</w:instrText>
        </w:r>
        <w:r>
          <w:fldChar w:fldCharType="end"/>
        </w:r>
      </w:hyperlink>
    </w:p>
    <w:p>
      <w:pPr>
        <w:tabs>
          <w:tab w:val="right" w:leader="dot" w:pos="9062"/>
        </w:tabs>
        <w:ind w:left="440"/>
      </w:pPr>
      <w:hyperlink w:anchor="_Toc8809" w:history="1">
        <w:r>
          <w:rPr>
            <w:rFonts w:ascii="IRNazanin" w:hAnsi="IRNazanin" w:eastAsia="IRNazanin" w:cs="IRNazanin"/>
            <w:color w:val="111111"/>
            <w:sz w:val="22"/>
            <w:szCs w:val="22"/>
            <w:b w:val="0"/>
            <w:bCs w:val="0"/>
            <w:i w:val="0"/>
            <w:iCs w:val="0"/>
          </w:rPr>
          <w:t>7638- دیوان نزهت لکهنوی أو شعره‏</w:t>
        </w:r>
        <w:r>
          <w:tab/>
        </w:r>
        <w:r>
          <w:fldChar w:fldCharType="begin"/>
        </w:r>
        <w:r>
          <w:instrText xml:space="preserve">PAGEREF 8809 \h</w:instrText>
        </w:r>
        <w:r>
          <w:fldChar w:fldCharType="end"/>
        </w:r>
      </w:hyperlink>
    </w:p>
    <w:p>
      <w:pPr>
        <w:tabs>
          <w:tab w:val="right" w:leader="dot" w:pos="9062"/>
        </w:tabs>
        <w:ind w:left="440"/>
      </w:pPr>
      <w:hyperlink w:anchor="_Toc8810" w:history="1">
        <w:r>
          <w:rPr>
            <w:rFonts w:ascii="IRNazanin" w:hAnsi="IRNazanin" w:eastAsia="IRNazanin" w:cs="IRNazanin"/>
            <w:color w:val="111111"/>
            <w:sz w:val="22"/>
            <w:szCs w:val="22"/>
            <w:b w:val="0"/>
            <w:bCs w:val="0"/>
            <w:i w:val="0"/>
            <w:iCs w:val="0"/>
          </w:rPr>
          <w:t>7639- دیوان نزهتی أو شعره‏</w:t>
        </w:r>
        <w:r>
          <w:tab/>
        </w:r>
        <w:r>
          <w:fldChar w:fldCharType="begin"/>
        </w:r>
        <w:r>
          <w:instrText xml:space="preserve">PAGEREF 8810 \h</w:instrText>
        </w:r>
        <w:r>
          <w:fldChar w:fldCharType="end"/>
        </w:r>
      </w:hyperlink>
    </w:p>
    <w:p>
      <w:pPr>
        <w:tabs>
          <w:tab w:val="right" w:leader="dot" w:pos="9062"/>
        </w:tabs>
        <w:ind w:left="440"/>
      </w:pPr>
      <w:hyperlink w:anchor="_Toc8811" w:history="1">
        <w:r>
          <w:rPr>
            <w:rFonts w:ascii="IRNazanin" w:hAnsi="IRNazanin" w:eastAsia="IRNazanin" w:cs="IRNazanin"/>
            <w:color w:val="111111"/>
            <w:sz w:val="22"/>
            <w:szCs w:val="22"/>
            <w:b w:val="0"/>
            <w:bCs w:val="0"/>
            <w:i w:val="0"/>
            <w:iCs w:val="0"/>
          </w:rPr>
          <w:t>7640- دیوان نژاد گرجی أو شعره‏</w:t>
        </w:r>
        <w:r>
          <w:tab/>
        </w:r>
        <w:r>
          <w:fldChar w:fldCharType="begin"/>
        </w:r>
        <w:r>
          <w:instrText xml:space="preserve">PAGEREF 8811 \h</w:instrText>
        </w:r>
        <w:r>
          <w:fldChar w:fldCharType="end"/>
        </w:r>
      </w:hyperlink>
    </w:p>
    <w:p>
      <w:pPr>
        <w:tabs>
          <w:tab w:val="right" w:leader="dot" w:pos="9062"/>
        </w:tabs>
        <w:ind w:left="440"/>
      </w:pPr>
      <w:hyperlink w:anchor="_Toc8812" w:history="1">
        <w:r>
          <w:rPr>
            <w:rFonts w:ascii="IRNazanin" w:hAnsi="IRNazanin" w:eastAsia="IRNazanin" w:cs="IRNazanin"/>
            <w:color w:val="111111"/>
            <w:sz w:val="22"/>
            <w:szCs w:val="22"/>
            <w:b w:val="0"/>
            <w:bCs w:val="0"/>
            <w:i w:val="0"/>
            <w:iCs w:val="0"/>
          </w:rPr>
          <w:t>7641- دیوان نساء نسائی أو شعرها</w:t>
        </w:r>
        <w:r>
          <w:tab/>
        </w:r>
        <w:r>
          <w:fldChar w:fldCharType="begin"/>
        </w:r>
        <w:r>
          <w:instrText xml:space="preserve">PAGEREF 8812 \h</w:instrText>
        </w:r>
        <w:r>
          <w:fldChar w:fldCharType="end"/>
        </w:r>
      </w:hyperlink>
    </w:p>
    <w:p>
      <w:pPr>
        <w:tabs>
          <w:tab w:val="right" w:leader="dot" w:pos="9062"/>
        </w:tabs>
        <w:ind w:left="440"/>
      </w:pPr>
      <w:hyperlink w:anchor="_Toc8813" w:history="1">
        <w:r>
          <w:rPr>
            <w:rFonts w:ascii="IRNazanin" w:hAnsi="IRNazanin" w:eastAsia="IRNazanin" w:cs="IRNazanin"/>
            <w:color w:val="111111"/>
            <w:sz w:val="22"/>
            <w:szCs w:val="22"/>
            <w:b w:val="0"/>
            <w:bCs w:val="0"/>
            <w:i w:val="0"/>
            <w:iCs w:val="0"/>
          </w:rPr>
          <w:t>7642- دیوان نسائی‏</w:t>
        </w:r>
        <w:r>
          <w:tab/>
        </w:r>
        <w:r>
          <w:fldChar w:fldCharType="begin"/>
        </w:r>
        <w:r>
          <w:instrText xml:space="preserve">PAGEREF 8813 \h</w:instrText>
        </w:r>
        <w:r>
          <w:fldChar w:fldCharType="end"/>
        </w:r>
      </w:hyperlink>
    </w:p>
    <w:p>
      <w:pPr>
        <w:tabs>
          <w:tab w:val="right" w:leader="dot" w:pos="9062"/>
        </w:tabs>
        <w:ind w:left="440"/>
      </w:pPr>
      <w:hyperlink w:anchor="_Toc8814" w:history="1">
        <w:r>
          <w:rPr>
            <w:rFonts w:ascii="IRNazanin" w:hAnsi="IRNazanin" w:eastAsia="IRNazanin" w:cs="IRNazanin"/>
            <w:color w:val="111111"/>
            <w:sz w:val="22"/>
            <w:szCs w:val="22"/>
            <w:b w:val="0"/>
            <w:bCs w:val="0"/>
            <w:i w:val="0"/>
            <w:iCs w:val="0"/>
          </w:rPr>
          <w:t>7643- دیوان النسب‏</w:t>
        </w:r>
        <w:r>
          <w:tab/>
        </w:r>
        <w:r>
          <w:fldChar w:fldCharType="begin"/>
        </w:r>
        <w:r>
          <w:instrText xml:space="preserve">PAGEREF 8814 \h</w:instrText>
        </w:r>
        <w:r>
          <w:fldChar w:fldCharType="end"/>
        </w:r>
      </w:hyperlink>
    </w:p>
    <w:p>
      <w:pPr>
        <w:tabs>
          <w:tab w:val="right" w:leader="dot" w:pos="9062"/>
        </w:tabs>
        <w:ind w:left="440"/>
      </w:pPr>
      <w:hyperlink w:anchor="_Toc8815" w:history="1">
        <w:r>
          <w:rPr>
            <w:rFonts w:ascii="IRNazanin" w:hAnsi="IRNazanin" w:eastAsia="IRNazanin" w:cs="IRNazanin"/>
            <w:color w:val="111111"/>
            <w:sz w:val="22"/>
            <w:szCs w:val="22"/>
            <w:b w:val="0"/>
            <w:bCs w:val="0"/>
            <w:i w:val="0"/>
            <w:iCs w:val="0"/>
          </w:rPr>
          <w:t>7644- دیوان نسبت شوشتری أو شعره‏</w:t>
        </w:r>
        <w:r>
          <w:tab/>
        </w:r>
        <w:r>
          <w:fldChar w:fldCharType="begin"/>
        </w:r>
        <w:r>
          <w:instrText xml:space="preserve">PAGEREF 8815 \h</w:instrText>
        </w:r>
        <w:r>
          <w:fldChar w:fldCharType="end"/>
        </w:r>
      </w:hyperlink>
    </w:p>
    <w:p>
      <w:pPr>
        <w:tabs>
          <w:tab w:val="right" w:leader="dot" w:pos="9062"/>
        </w:tabs>
        <w:ind w:left="440"/>
      </w:pPr>
      <w:hyperlink w:anchor="_Toc8816" w:history="1">
        <w:r>
          <w:rPr>
            <w:rFonts w:ascii="IRNazanin" w:hAnsi="IRNazanin" w:eastAsia="IRNazanin" w:cs="IRNazanin"/>
            <w:color w:val="111111"/>
            <w:sz w:val="22"/>
            <w:szCs w:val="22"/>
            <w:b w:val="0"/>
            <w:bCs w:val="0"/>
            <w:i w:val="0"/>
            <w:iCs w:val="0"/>
          </w:rPr>
          <w:t>دیوان نسبت کلو</w:t>
        </w:r>
        <w:r>
          <w:tab/>
        </w:r>
        <w:r>
          <w:fldChar w:fldCharType="begin"/>
        </w:r>
        <w:r>
          <w:instrText xml:space="preserve">PAGEREF 8816 \h</w:instrText>
        </w:r>
        <w:r>
          <w:fldChar w:fldCharType="end"/>
        </w:r>
      </w:hyperlink>
    </w:p>
    <w:p>
      <w:pPr>
        <w:tabs>
          <w:tab w:val="right" w:leader="dot" w:pos="9062"/>
        </w:tabs>
        <w:ind w:left="440"/>
      </w:pPr>
      <w:hyperlink w:anchor="_Toc8817" w:history="1">
        <w:r>
          <w:rPr>
            <w:rFonts w:ascii="IRNazanin" w:hAnsi="IRNazanin" w:eastAsia="IRNazanin" w:cs="IRNazanin"/>
            <w:color w:val="111111"/>
            <w:sz w:val="22"/>
            <w:szCs w:val="22"/>
            <w:b w:val="0"/>
            <w:bCs w:val="0"/>
            <w:i w:val="0"/>
            <w:iCs w:val="0"/>
          </w:rPr>
          <w:t>7645- دیوان نیریزی‏</w:t>
        </w:r>
        <w:r>
          <w:tab/>
        </w:r>
        <w:r>
          <w:fldChar w:fldCharType="begin"/>
        </w:r>
        <w:r>
          <w:instrText xml:space="preserve">PAGEREF 8817 \h</w:instrText>
        </w:r>
        <w:r>
          <w:fldChar w:fldCharType="end"/>
        </w:r>
      </w:hyperlink>
    </w:p>
    <w:p>
      <w:pPr>
        <w:tabs>
          <w:tab w:val="right" w:leader="dot" w:pos="9062"/>
        </w:tabs>
        <w:ind w:left="440"/>
      </w:pPr>
      <w:hyperlink w:anchor="_Toc8818" w:history="1">
        <w:r>
          <w:rPr>
            <w:rFonts w:ascii="IRNazanin" w:hAnsi="IRNazanin" w:eastAsia="IRNazanin" w:cs="IRNazanin"/>
            <w:color w:val="111111"/>
            <w:sz w:val="22"/>
            <w:szCs w:val="22"/>
            <w:b w:val="0"/>
            <w:bCs w:val="0"/>
            <w:i w:val="0"/>
            <w:iCs w:val="0"/>
          </w:rPr>
          <w:t>7646- دیوان نسبتی تانی‏سری أو شعره‏</w:t>
        </w:r>
        <w:r>
          <w:tab/>
        </w:r>
        <w:r>
          <w:fldChar w:fldCharType="begin"/>
        </w:r>
        <w:r>
          <w:instrText xml:space="preserve">PAGEREF 8818 \h</w:instrText>
        </w:r>
        <w:r>
          <w:fldChar w:fldCharType="end"/>
        </w:r>
      </w:hyperlink>
    </w:p>
    <w:p>
      <w:pPr>
        <w:tabs>
          <w:tab w:val="right" w:leader="dot" w:pos="9062"/>
        </w:tabs>
        <w:ind w:left="440"/>
      </w:pPr>
      <w:hyperlink w:anchor="_Toc8819" w:history="1">
        <w:r>
          <w:rPr>
            <w:rFonts w:ascii="IRNazanin" w:hAnsi="IRNazanin" w:eastAsia="IRNazanin" w:cs="IRNazanin"/>
            <w:color w:val="111111"/>
            <w:sz w:val="22"/>
            <w:szCs w:val="22"/>
            <w:b w:val="0"/>
            <w:bCs w:val="0"/>
            <w:i w:val="0"/>
            <w:iCs w:val="0"/>
          </w:rPr>
          <w:t>7647- دیوان نسبتی مشهدی‏</w:t>
        </w:r>
        <w:r>
          <w:tab/>
        </w:r>
        <w:r>
          <w:fldChar w:fldCharType="begin"/>
        </w:r>
        <w:r>
          <w:instrText xml:space="preserve">PAGEREF 8819 \h</w:instrText>
        </w:r>
        <w:r>
          <w:fldChar w:fldCharType="end"/>
        </w:r>
      </w:hyperlink>
    </w:p>
    <w:p>
      <w:pPr>
        <w:tabs>
          <w:tab w:val="right" w:leader="dot" w:pos="9062"/>
        </w:tabs>
        <w:ind w:left="440"/>
      </w:pPr>
      <w:hyperlink w:anchor="_Toc8820" w:history="1">
        <w:r>
          <w:rPr>
            <w:rFonts w:ascii="IRNazanin" w:hAnsi="IRNazanin" w:eastAsia="IRNazanin" w:cs="IRNazanin"/>
            <w:color w:val="111111"/>
            <w:sz w:val="22"/>
            <w:szCs w:val="22"/>
            <w:b w:val="0"/>
            <w:bCs w:val="0"/>
            <w:i w:val="0"/>
            <w:iCs w:val="0"/>
          </w:rPr>
          <w:t>دیوان النسفی‏</w:t>
        </w:r>
        <w:r>
          <w:tab/>
        </w:r>
        <w:r>
          <w:fldChar w:fldCharType="begin"/>
        </w:r>
        <w:r>
          <w:instrText xml:space="preserve">PAGEREF 8820 \h</w:instrText>
        </w:r>
        <w:r>
          <w:fldChar w:fldCharType="end"/>
        </w:r>
      </w:hyperlink>
    </w:p>
    <w:p>
      <w:pPr>
        <w:tabs>
          <w:tab w:val="right" w:leader="dot" w:pos="9062"/>
        </w:tabs>
        <w:ind w:left="440"/>
      </w:pPr>
      <w:hyperlink w:anchor="_Toc8821" w:history="1">
        <w:r>
          <w:rPr>
            <w:rFonts w:ascii="IRNazanin" w:hAnsi="IRNazanin" w:eastAsia="IRNazanin" w:cs="IRNazanin"/>
            <w:color w:val="111111"/>
            <w:sz w:val="22"/>
            <w:szCs w:val="22"/>
            <w:b w:val="0"/>
            <w:bCs w:val="0"/>
            <w:i w:val="0"/>
            <w:iCs w:val="0"/>
          </w:rPr>
          <w:t>7648- دیوان نسودی تبریزی‏</w:t>
        </w:r>
        <w:r>
          <w:tab/>
        </w:r>
        <w:r>
          <w:fldChar w:fldCharType="begin"/>
        </w:r>
        <w:r>
          <w:instrText xml:space="preserve">PAGEREF 8821 \h</w:instrText>
        </w:r>
        <w:r>
          <w:fldChar w:fldCharType="end"/>
        </w:r>
      </w:hyperlink>
    </w:p>
    <w:p>
      <w:pPr>
        <w:tabs>
          <w:tab w:val="right" w:leader="dot" w:pos="9062"/>
        </w:tabs>
        <w:ind w:left="440"/>
      </w:pPr>
      <w:hyperlink w:anchor="_Toc8822" w:history="1">
        <w:r>
          <w:rPr>
            <w:rFonts w:ascii="IRNazanin" w:hAnsi="IRNazanin" w:eastAsia="IRNazanin" w:cs="IRNazanin"/>
            <w:color w:val="111111"/>
            <w:sz w:val="22"/>
            <w:szCs w:val="22"/>
            <w:b w:val="0"/>
            <w:bCs w:val="0"/>
            <w:i w:val="0"/>
            <w:iCs w:val="0"/>
          </w:rPr>
          <w:t>7649- دیوان نسیم أردکانی‏</w:t>
        </w:r>
        <w:r>
          <w:tab/>
        </w:r>
        <w:r>
          <w:fldChar w:fldCharType="begin"/>
        </w:r>
        <w:r>
          <w:instrText xml:space="preserve">PAGEREF 8822 \h</w:instrText>
        </w:r>
        <w:r>
          <w:fldChar w:fldCharType="end"/>
        </w:r>
      </w:hyperlink>
    </w:p>
    <w:p>
      <w:pPr>
        <w:tabs>
          <w:tab w:val="right" w:leader="dot" w:pos="9062"/>
        </w:tabs>
        <w:ind w:left="440"/>
      </w:pPr>
      <w:hyperlink w:anchor="_Toc8823" w:history="1">
        <w:r>
          <w:rPr>
            <w:rFonts w:ascii="IRNazanin" w:hAnsi="IRNazanin" w:eastAsia="IRNazanin" w:cs="IRNazanin"/>
            <w:color w:val="111111"/>
            <w:sz w:val="22"/>
            <w:szCs w:val="22"/>
            <w:b w:val="0"/>
            <w:bCs w:val="0"/>
            <w:i w:val="0"/>
            <w:iCs w:val="0"/>
          </w:rPr>
          <w:t>7650- دیوان نسیم أمروهی‏</w:t>
        </w:r>
        <w:r>
          <w:tab/>
        </w:r>
        <w:r>
          <w:fldChar w:fldCharType="begin"/>
        </w:r>
        <w:r>
          <w:instrText xml:space="preserve">PAGEREF 8823 \h</w:instrText>
        </w:r>
        <w:r>
          <w:fldChar w:fldCharType="end"/>
        </w:r>
      </w:hyperlink>
    </w:p>
    <w:p>
      <w:pPr>
        <w:tabs>
          <w:tab w:val="right" w:leader="dot" w:pos="9062"/>
        </w:tabs>
        <w:ind w:left="440"/>
      </w:pPr>
      <w:hyperlink w:anchor="_Toc8824" w:history="1">
        <w:r>
          <w:rPr>
            <w:rFonts w:ascii="IRNazanin" w:hAnsi="IRNazanin" w:eastAsia="IRNazanin" w:cs="IRNazanin"/>
            <w:color w:val="111111"/>
            <w:sz w:val="22"/>
            <w:szCs w:val="22"/>
            <w:b w:val="0"/>
            <w:bCs w:val="0"/>
            <w:i w:val="0"/>
            <w:iCs w:val="0"/>
          </w:rPr>
          <w:t>7651- دیوان نسیم دستگردی‏</w:t>
        </w:r>
        <w:r>
          <w:tab/>
        </w:r>
        <w:r>
          <w:fldChar w:fldCharType="begin"/>
        </w:r>
        <w:r>
          <w:instrText xml:space="preserve">PAGEREF 8824 \h</w:instrText>
        </w:r>
        <w:r>
          <w:fldChar w:fldCharType="end"/>
        </w:r>
      </w:hyperlink>
    </w:p>
    <w:p>
      <w:pPr>
        <w:tabs>
          <w:tab w:val="right" w:leader="dot" w:pos="9062"/>
        </w:tabs>
        <w:ind w:left="440"/>
      </w:pPr>
      <w:hyperlink w:anchor="_Toc8825" w:history="1">
        <w:r>
          <w:rPr>
            <w:rFonts w:ascii="IRNazanin" w:hAnsi="IRNazanin" w:eastAsia="IRNazanin" w:cs="IRNazanin"/>
            <w:color w:val="111111"/>
            <w:sz w:val="22"/>
            <w:szCs w:val="22"/>
            <w:b w:val="0"/>
            <w:bCs w:val="0"/>
            <w:i w:val="0"/>
            <w:iCs w:val="0"/>
          </w:rPr>
          <w:t>دیوان نسیم دهلوی‏</w:t>
        </w:r>
        <w:r>
          <w:tab/>
        </w:r>
        <w:r>
          <w:fldChar w:fldCharType="begin"/>
        </w:r>
        <w:r>
          <w:instrText xml:space="preserve">PAGEREF 8825 \h</w:instrText>
        </w:r>
        <w:r>
          <w:fldChar w:fldCharType="end"/>
        </w:r>
      </w:hyperlink>
    </w:p>
    <w:p>
      <w:pPr>
        <w:tabs>
          <w:tab w:val="right" w:leader="dot" w:pos="9062"/>
        </w:tabs>
        <w:ind w:left="440"/>
      </w:pPr>
      <w:hyperlink w:anchor="_Toc8826" w:history="1">
        <w:r>
          <w:rPr>
            <w:rFonts w:ascii="IRNazanin" w:hAnsi="IRNazanin" w:eastAsia="IRNazanin" w:cs="IRNazanin"/>
            <w:color w:val="111111"/>
            <w:sz w:val="22"/>
            <w:szCs w:val="22"/>
            <w:b w:val="0"/>
            <w:bCs w:val="0"/>
            <w:i w:val="0"/>
            <w:iCs w:val="0"/>
          </w:rPr>
          <w:t>دیوان نسیم رشتی‏</w:t>
        </w:r>
        <w:r>
          <w:tab/>
        </w:r>
        <w:r>
          <w:fldChar w:fldCharType="begin"/>
        </w:r>
        <w:r>
          <w:instrText xml:space="preserve">PAGEREF 8826 \h</w:instrText>
        </w:r>
        <w:r>
          <w:fldChar w:fldCharType="end"/>
        </w:r>
      </w:hyperlink>
    </w:p>
    <w:p>
      <w:pPr>
        <w:tabs>
          <w:tab w:val="right" w:leader="dot" w:pos="9062"/>
        </w:tabs>
        <w:ind w:left="440"/>
      </w:pPr>
      <w:hyperlink w:anchor="_Toc8827" w:history="1">
        <w:r>
          <w:rPr>
            <w:rFonts w:ascii="IRNazanin" w:hAnsi="IRNazanin" w:eastAsia="IRNazanin" w:cs="IRNazanin"/>
            <w:color w:val="111111"/>
            <w:sz w:val="22"/>
            <w:szCs w:val="22"/>
            <w:b w:val="0"/>
            <w:bCs w:val="0"/>
            <w:i w:val="0"/>
            <w:iCs w:val="0"/>
          </w:rPr>
          <w:t>7652- دیوان نسیم شاملو أو شعره‏</w:t>
        </w:r>
        <w:r>
          <w:tab/>
        </w:r>
        <w:r>
          <w:fldChar w:fldCharType="begin"/>
        </w:r>
        <w:r>
          <w:instrText xml:space="preserve">PAGEREF 8827 \h</w:instrText>
        </w:r>
        <w:r>
          <w:fldChar w:fldCharType="end"/>
        </w:r>
      </w:hyperlink>
    </w:p>
    <w:p>
      <w:pPr>
        <w:tabs>
          <w:tab w:val="right" w:leader="dot" w:pos="9062"/>
        </w:tabs>
        <w:ind w:left="440"/>
      </w:pPr>
      <w:hyperlink w:anchor="_Toc8828" w:history="1">
        <w:r>
          <w:rPr>
            <w:rFonts w:ascii="IRNazanin" w:hAnsi="IRNazanin" w:eastAsia="IRNazanin" w:cs="IRNazanin"/>
            <w:color w:val="111111"/>
            <w:sz w:val="22"/>
            <w:szCs w:val="22"/>
            <w:b w:val="0"/>
            <w:bCs w:val="0"/>
            <w:i w:val="0"/>
            <w:iCs w:val="0"/>
          </w:rPr>
          <w:t>7653- دیوان نسیم شاه‏جهان‏آبادی أو شعره‏</w:t>
        </w:r>
        <w:r>
          <w:tab/>
        </w:r>
        <w:r>
          <w:fldChar w:fldCharType="begin"/>
        </w:r>
        <w:r>
          <w:instrText xml:space="preserve">PAGEREF 8828 \h</w:instrText>
        </w:r>
        <w:r>
          <w:fldChar w:fldCharType="end"/>
        </w:r>
      </w:hyperlink>
    </w:p>
    <w:p>
      <w:pPr>
        <w:tabs>
          <w:tab w:val="right" w:leader="dot" w:pos="9062"/>
        </w:tabs>
        <w:ind w:left="440"/>
      </w:pPr>
      <w:hyperlink w:anchor="_Toc8829" w:history="1">
        <w:r>
          <w:rPr>
            <w:rFonts w:ascii="IRNazanin" w:hAnsi="IRNazanin" w:eastAsia="IRNazanin" w:cs="IRNazanin"/>
            <w:color w:val="111111"/>
            <w:sz w:val="22"/>
            <w:szCs w:val="22"/>
            <w:b w:val="0"/>
            <w:bCs w:val="0"/>
            <w:i w:val="0"/>
            <w:iCs w:val="0"/>
          </w:rPr>
          <w:t>7654- دیوان نسیم شمال‏</w:t>
        </w:r>
        <w:r>
          <w:tab/>
        </w:r>
        <w:r>
          <w:fldChar w:fldCharType="begin"/>
        </w:r>
        <w:r>
          <w:instrText xml:space="preserve">PAGEREF 8829 \h</w:instrText>
        </w:r>
        <w:r>
          <w:fldChar w:fldCharType="end"/>
        </w:r>
      </w:hyperlink>
    </w:p>
    <w:p>
      <w:pPr>
        <w:tabs>
          <w:tab w:val="right" w:leader="dot" w:pos="9062"/>
        </w:tabs>
        <w:ind w:left="440"/>
      </w:pPr>
      <w:hyperlink w:anchor="_Toc8830" w:history="1">
        <w:r>
          <w:rPr>
            <w:rFonts w:ascii="IRNazanin" w:hAnsi="IRNazanin" w:eastAsia="IRNazanin" w:cs="IRNazanin"/>
            <w:color w:val="111111"/>
            <w:sz w:val="22"/>
            <w:szCs w:val="22"/>
            <w:b w:val="0"/>
            <w:bCs w:val="0"/>
            <w:i w:val="0"/>
            <w:iCs w:val="0"/>
          </w:rPr>
          <w:t>7655- دیوان نسیم غازی‏پوری أو شعره‏</w:t>
        </w:r>
        <w:r>
          <w:tab/>
        </w:r>
        <w:r>
          <w:fldChar w:fldCharType="begin"/>
        </w:r>
        <w:r>
          <w:instrText xml:space="preserve">PAGEREF 8830 \h</w:instrText>
        </w:r>
        <w:r>
          <w:fldChar w:fldCharType="end"/>
        </w:r>
      </w:hyperlink>
    </w:p>
    <w:p>
      <w:pPr>
        <w:tabs>
          <w:tab w:val="right" w:leader="dot" w:pos="9062"/>
        </w:tabs>
        <w:ind w:left="440"/>
      </w:pPr>
      <w:hyperlink w:anchor="_Toc8831" w:history="1">
        <w:r>
          <w:rPr>
            <w:rFonts w:ascii="IRNazanin" w:hAnsi="IRNazanin" w:eastAsia="IRNazanin" w:cs="IRNazanin"/>
            <w:color w:val="111111"/>
            <w:sz w:val="22"/>
            <w:szCs w:val="22"/>
            <w:b w:val="0"/>
            <w:bCs w:val="0"/>
            <w:i w:val="0"/>
            <w:iCs w:val="0"/>
          </w:rPr>
          <w:t>دیوان نسیم یزدی‏</w:t>
        </w:r>
        <w:r>
          <w:tab/>
        </w:r>
        <w:r>
          <w:fldChar w:fldCharType="begin"/>
        </w:r>
        <w:r>
          <w:instrText xml:space="preserve">PAGEREF 8831 \h</w:instrText>
        </w:r>
        <w:r>
          <w:fldChar w:fldCharType="end"/>
        </w:r>
      </w:hyperlink>
    </w:p>
    <w:p>
      <w:pPr>
        <w:tabs>
          <w:tab w:val="right" w:leader="dot" w:pos="9062"/>
        </w:tabs>
        <w:ind w:left="440"/>
      </w:pPr>
      <w:hyperlink w:anchor="_Toc8832" w:history="1">
        <w:r>
          <w:rPr>
            <w:rFonts w:ascii="IRNazanin" w:hAnsi="IRNazanin" w:eastAsia="IRNazanin" w:cs="IRNazanin"/>
            <w:color w:val="111111"/>
            <w:sz w:val="22"/>
            <w:szCs w:val="22"/>
            <w:b w:val="0"/>
            <w:bCs w:val="0"/>
            <w:i w:val="0"/>
            <w:iCs w:val="0"/>
          </w:rPr>
          <w:t>دیوان نسیمی بغدادی‏</w:t>
        </w:r>
        <w:r>
          <w:tab/>
        </w:r>
        <w:r>
          <w:fldChar w:fldCharType="begin"/>
        </w:r>
        <w:r>
          <w:instrText xml:space="preserve">PAGEREF 8832 \h</w:instrText>
        </w:r>
        <w:r>
          <w:fldChar w:fldCharType="end"/>
        </w:r>
      </w:hyperlink>
    </w:p>
    <w:p>
      <w:pPr>
        <w:tabs>
          <w:tab w:val="right" w:leader="dot" w:pos="9062"/>
        </w:tabs>
        <w:ind w:left="440"/>
      </w:pPr>
      <w:hyperlink w:anchor="_Toc8833" w:history="1">
        <w:r>
          <w:rPr>
            <w:rFonts w:ascii="IRNazanin" w:hAnsi="IRNazanin" w:eastAsia="IRNazanin" w:cs="IRNazanin"/>
            <w:color w:val="111111"/>
            <w:sz w:val="22"/>
            <w:szCs w:val="22"/>
            <w:b w:val="0"/>
            <w:bCs w:val="0"/>
            <w:i w:val="0"/>
            <w:iCs w:val="0"/>
          </w:rPr>
          <w:t>دیوان نسیمی ترک‏</w:t>
        </w:r>
        <w:r>
          <w:tab/>
        </w:r>
        <w:r>
          <w:fldChar w:fldCharType="begin"/>
        </w:r>
        <w:r>
          <w:instrText xml:space="preserve">PAGEREF 8833 \h</w:instrText>
        </w:r>
        <w:r>
          <w:fldChar w:fldCharType="end"/>
        </w:r>
      </w:hyperlink>
    </w:p>
    <w:p>
      <w:pPr>
        <w:tabs>
          <w:tab w:val="right" w:leader="dot" w:pos="9062"/>
        </w:tabs>
        <w:ind w:left="440"/>
      </w:pPr>
      <w:hyperlink w:anchor="_Toc8834" w:history="1">
        <w:r>
          <w:rPr>
            <w:rFonts w:ascii="IRNazanin" w:hAnsi="IRNazanin" w:eastAsia="IRNazanin" w:cs="IRNazanin"/>
            <w:color w:val="111111"/>
            <w:sz w:val="22"/>
            <w:szCs w:val="22"/>
            <w:b w:val="0"/>
            <w:bCs w:val="0"/>
            <w:i w:val="0"/>
            <w:iCs w:val="0"/>
          </w:rPr>
          <w:t>7656- دیوان نسیمی شیرازی‏</w:t>
        </w:r>
        <w:r>
          <w:tab/>
        </w:r>
        <w:r>
          <w:fldChar w:fldCharType="begin"/>
        </w:r>
        <w:r>
          <w:instrText xml:space="preserve">PAGEREF 8834 \h</w:instrText>
        </w:r>
        <w:r>
          <w:fldChar w:fldCharType="end"/>
        </w:r>
      </w:hyperlink>
    </w:p>
    <w:p>
      <w:pPr>
        <w:tabs>
          <w:tab w:val="right" w:leader="dot" w:pos="9062"/>
        </w:tabs>
        <w:ind w:left="440"/>
      </w:pPr>
      <w:hyperlink w:anchor="_Toc8835" w:history="1">
        <w:r>
          <w:rPr>
            <w:rFonts w:ascii="IRNazanin" w:hAnsi="IRNazanin" w:eastAsia="IRNazanin" w:cs="IRNazanin"/>
            <w:color w:val="111111"/>
            <w:sz w:val="22"/>
            <w:szCs w:val="22"/>
            <w:b w:val="0"/>
            <w:bCs w:val="0"/>
            <w:i w:val="0"/>
            <w:iCs w:val="0"/>
          </w:rPr>
          <w:t>7657- دیوان نسیمی فرخاری أو شعره‏</w:t>
        </w:r>
        <w:r>
          <w:tab/>
        </w:r>
        <w:r>
          <w:fldChar w:fldCharType="begin"/>
        </w:r>
        <w:r>
          <w:instrText xml:space="preserve">PAGEREF 8835 \h</w:instrText>
        </w:r>
        <w:r>
          <w:fldChar w:fldCharType="end"/>
        </w:r>
      </w:hyperlink>
    </w:p>
    <w:p>
      <w:pPr>
        <w:tabs>
          <w:tab w:val="right" w:leader="dot" w:pos="9062"/>
        </w:tabs>
        <w:ind w:left="440"/>
      </w:pPr>
      <w:hyperlink w:anchor="_Toc8836" w:history="1">
        <w:r>
          <w:rPr>
            <w:rFonts w:ascii="IRNazanin" w:hAnsi="IRNazanin" w:eastAsia="IRNazanin" w:cs="IRNazanin"/>
            <w:color w:val="111111"/>
            <w:sz w:val="22"/>
            <w:szCs w:val="22"/>
            <w:b w:val="0"/>
            <w:bCs w:val="0"/>
            <w:i w:val="0"/>
            <w:iCs w:val="0"/>
          </w:rPr>
          <w:t>دیوان نسیمی نیشابوری‏</w:t>
        </w:r>
        <w:r>
          <w:tab/>
        </w:r>
        <w:r>
          <w:fldChar w:fldCharType="begin"/>
        </w:r>
        <w:r>
          <w:instrText xml:space="preserve">PAGEREF 8836 \h</w:instrText>
        </w:r>
        <w:r>
          <w:fldChar w:fldCharType="end"/>
        </w:r>
      </w:hyperlink>
    </w:p>
    <w:p>
      <w:pPr>
        <w:tabs>
          <w:tab w:val="right" w:leader="dot" w:pos="9062"/>
        </w:tabs>
        <w:ind w:left="440"/>
      </w:pPr>
      <w:hyperlink w:anchor="_Toc8837" w:history="1">
        <w:r>
          <w:rPr>
            <w:rFonts w:ascii="IRNazanin" w:hAnsi="IRNazanin" w:eastAsia="IRNazanin" w:cs="IRNazanin"/>
            <w:color w:val="111111"/>
            <w:sz w:val="22"/>
            <w:szCs w:val="22"/>
            <w:b w:val="0"/>
            <w:bCs w:val="0"/>
            <w:i w:val="0"/>
            <w:iCs w:val="0"/>
          </w:rPr>
          <w:t>7658- دیوان نسیمی هروی‏</w:t>
        </w:r>
        <w:r>
          <w:tab/>
        </w:r>
        <w:r>
          <w:fldChar w:fldCharType="begin"/>
        </w:r>
        <w:r>
          <w:instrText xml:space="preserve">PAGEREF 8837 \h</w:instrText>
        </w:r>
        <w:r>
          <w:fldChar w:fldCharType="end"/>
        </w:r>
      </w:hyperlink>
    </w:p>
    <w:p>
      <w:pPr>
        <w:tabs>
          <w:tab w:val="right" w:leader="dot" w:pos="9062"/>
        </w:tabs>
        <w:ind w:left="440"/>
      </w:pPr>
      <w:hyperlink w:anchor="_Toc8838" w:history="1">
        <w:r>
          <w:rPr>
            <w:rFonts w:ascii="IRNazanin" w:hAnsi="IRNazanin" w:eastAsia="IRNazanin" w:cs="IRNazanin"/>
            <w:color w:val="111111"/>
            <w:sz w:val="22"/>
            <w:szCs w:val="22"/>
            <w:b w:val="0"/>
            <w:bCs w:val="0"/>
            <w:i w:val="0"/>
            <w:iCs w:val="0"/>
          </w:rPr>
          <w:t>7659- دیوان نسیمی همدانی أو شعره‏</w:t>
        </w:r>
        <w:r>
          <w:tab/>
        </w:r>
        <w:r>
          <w:fldChar w:fldCharType="begin"/>
        </w:r>
        <w:r>
          <w:instrText xml:space="preserve">PAGEREF 8838 \h</w:instrText>
        </w:r>
        <w:r>
          <w:fldChar w:fldCharType="end"/>
        </w:r>
      </w:hyperlink>
    </w:p>
    <w:p>
      <w:pPr>
        <w:tabs>
          <w:tab w:val="right" w:leader="dot" w:pos="9062"/>
        </w:tabs>
        <w:ind w:left="440"/>
      </w:pPr>
      <w:hyperlink w:anchor="_Toc8839" w:history="1">
        <w:r>
          <w:rPr>
            <w:rFonts w:ascii="IRNazanin" w:hAnsi="IRNazanin" w:eastAsia="IRNazanin" w:cs="IRNazanin"/>
            <w:color w:val="111111"/>
            <w:sz w:val="22"/>
            <w:szCs w:val="22"/>
            <w:b w:val="0"/>
            <w:bCs w:val="0"/>
            <w:i w:val="0"/>
            <w:iCs w:val="0"/>
          </w:rPr>
          <w:t>7660- دیوان نشاء تبریزی‏</w:t>
        </w:r>
        <w:r>
          <w:tab/>
        </w:r>
        <w:r>
          <w:fldChar w:fldCharType="begin"/>
        </w:r>
        <w:r>
          <w:instrText xml:space="preserve">PAGEREF 8839 \h</w:instrText>
        </w:r>
        <w:r>
          <w:fldChar w:fldCharType="end"/>
        </w:r>
      </w:hyperlink>
    </w:p>
    <w:p>
      <w:pPr>
        <w:tabs>
          <w:tab w:val="right" w:leader="dot" w:pos="9062"/>
        </w:tabs>
        <w:ind w:left="440"/>
      </w:pPr>
      <w:hyperlink w:anchor="_Toc8840" w:history="1">
        <w:r>
          <w:rPr>
            <w:rFonts w:ascii="IRNazanin" w:hAnsi="IRNazanin" w:eastAsia="IRNazanin" w:cs="IRNazanin"/>
            <w:color w:val="111111"/>
            <w:sz w:val="22"/>
            <w:szCs w:val="22"/>
            <w:b w:val="0"/>
            <w:bCs w:val="0"/>
            <w:i w:val="0"/>
            <w:iCs w:val="0"/>
          </w:rPr>
          <w:t>نشاء دهلوی‏</w:t>
        </w:r>
        <w:r>
          <w:tab/>
        </w:r>
        <w:r>
          <w:fldChar w:fldCharType="begin"/>
        </w:r>
        <w:r>
          <w:instrText xml:space="preserve">PAGEREF 8840 \h</w:instrText>
        </w:r>
        <w:r>
          <w:fldChar w:fldCharType="end"/>
        </w:r>
      </w:hyperlink>
    </w:p>
    <w:p>
      <w:pPr>
        <w:tabs>
          <w:tab w:val="right" w:leader="dot" w:pos="9062"/>
        </w:tabs>
        <w:ind w:left="440"/>
      </w:pPr>
      <w:hyperlink w:anchor="_Toc8841" w:history="1">
        <w:r>
          <w:rPr>
            <w:rFonts w:ascii="IRNazanin" w:hAnsi="IRNazanin" w:eastAsia="IRNazanin" w:cs="IRNazanin"/>
            <w:color w:val="111111"/>
            <w:sz w:val="22"/>
            <w:szCs w:val="22"/>
            <w:b w:val="0"/>
            <w:bCs w:val="0"/>
            <w:i w:val="0"/>
            <w:iCs w:val="0"/>
          </w:rPr>
          <w:t>7661- دیوان نشاء سمرقندی أو شعره‏</w:t>
        </w:r>
        <w:r>
          <w:tab/>
        </w:r>
        <w:r>
          <w:fldChar w:fldCharType="begin"/>
        </w:r>
        <w:r>
          <w:instrText xml:space="preserve">PAGEREF 8841 \h</w:instrText>
        </w:r>
        <w:r>
          <w:fldChar w:fldCharType="end"/>
        </w:r>
      </w:hyperlink>
    </w:p>
    <w:p>
      <w:pPr>
        <w:tabs>
          <w:tab w:val="right" w:leader="dot" w:pos="9062"/>
        </w:tabs>
        <w:ind w:left="440"/>
      </w:pPr>
      <w:hyperlink w:anchor="_Toc8842" w:history="1">
        <w:r>
          <w:rPr>
            <w:rFonts w:ascii="IRNazanin" w:hAnsi="IRNazanin" w:eastAsia="IRNazanin" w:cs="IRNazanin"/>
            <w:color w:val="111111"/>
            <w:sz w:val="22"/>
            <w:szCs w:val="22"/>
            <w:b w:val="0"/>
            <w:bCs w:val="0"/>
            <w:i w:val="0"/>
            <w:iCs w:val="0"/>
          </w:rPr>
          <w:t>نشاء مشهدی‏</w:t>
        </w:r>
        <w:r>
          <w:tab/>
        </w:r>
        <w:r>
          <w:fldChar w:fldCharType="begin"/>
        </w:r>
        <w:r>
          <w:instrText xml:space="preserve">PAGEREF 8842 \h</w:instrText>
        </w:r>
        <w:r>
          <w:fldChar w:fldCharType="end"/>
        </w:r>
      </w:hyperlink>
    </w:p>
    <w:p>
      <w:pPr>
        <w:tabs>
          <w:tab w:val="right" w:leader="dot" w:pos="9062"/>
        </w:tabs>
        <w:ind w:left="440"/>
      </w:pPr>
      <w:hyperlink w:anchor="_Toc8843" w:history="1">
        <w:r>
          <w:rPr>
            <w:rFonts w:ascii="IRNazanin" w:hAnsi="IRNazanin" w:eastAsia="IRNazanin" w:cs="IRNazanin"/>
            <w:color w:val="111111"/>
            <w:sz w:val="22"/>
            <w:szCs w:val="22"/>
            <w:b w:val="0"/>
            <w:bCs w:val="0"/>
            <w:i w:val="0"/>
            <w:iCs w:val="0"/>
          </w:rPr>
          <w:t>دیوان نشاط أصفهانی‏</w:t>
        </w:r>
        <w:r>
          <w:tab/>
        </w:r>
        <w:r>
          <w:fldChar w:fldCharType="begin"/>
        </w:r>
        <w:r>
          <w:instrText xml:space="preserve">PAGEREF 8843 \h</w:instrText>
        </w:r>
        <w:r>
          <w:fldChar w:fldCharType="end"/>
        </w:r>
      </w:hyperlink>
    </w:p>
    <w:p>
      <w:pPr>
        <w:tabs>
          <w:tab w:val="right" w:leader="dot" w:pos="9062"/>
        </w:tabs>
        <w:ind w:left="440"/>
      </w:pPr>
      <w:hyperlink w:anchor="_Toc8844" w:history="1">
        <w:r>
          <w:rPr>
            <w:rFonts w:ascii="IRNazanin" w:hAnsi="IRNazanin" w:eastAsia="IRNazanin" w:cs="IRNazanin"/>
            <w:color w:val="111111"/>
            <w:sz w:val="22"/>
            <w:szCs w:val="22"/>
            <w:b w:val="0"/>
            <w:bCs w:val="0"/>
            <w:i w:val="0"/>
            <w:iCs w:val="0"/>
          </w:rPr>
          <w:t>7662- دیوان نشاط أصفهانی أو شعرها</w:t>
        </w:r>
        <w:r>
          <w:tab/>
        </w:r>
        <w:r>
          <w:fldChar w:fldCharType="begin"/>
        </w:r>
        <w:r>
          <w:instrText xml:space="preserve">PAGEREF 8844 \h</w:instrText>
        </w:r>
        <w:r>
          <w:fldChar w:fldCharType="end"/>
        </w:r>
      </w:hyperlink>
    </w:p>
    <w:p>
      <w:pPr>
        <w:tabs>
          <w:tab w:val="right" w:leader="dot" w:pos="9062"/>
        </w:tabs>
        <w:ind w:left="440"/>
      </w:pPr>
      <w:hyperlink w:anchor="_Toc8845" w:history="1">
        <w:r>
          <w:rPr>
            <w:rFonts w:ascii="IRNazanin" w:hAnsi="IRNazanin" w:eastAsia="IRNazanin" w:cs="IRNazanin"/>
            <w:color w:val="111111"/>
            <w:sz w:val="22"/>
            <w:szCs w:val="22"/>
            <w:b w:val="0"/>
            <w:bCs w:val="0"/>
            <w:i w:val="0"/>
            <w:iCs w:val="0"/>
          </w:rPr>
          <w:t>7663- دیوان نشاط أصفهانی‏</w:t>
        </w:r>
        <w:r>
          <w:tab/>
        </w:r>
        <w:r>
          <w:fldChar w:fldCharType="begin"/>
        </w:r>
        <w:r>
          <w:instrText xml:space="preserve">PAGEREF 8845 \h</w:instrText>
        </w:r>
        <w:r>
          <w:fldChar w:fldCharType="end"/>
        </w:r>
      </w:hyperlink>
    </w:p>
    <w:p>
      <w:pPr>
        <w:tabs>
          <w:tab w:val="right" w:leader="dot" w:pos="9062"/>
        </w:tabs>
        <w:ind w:left="440"/>
      </w:pPr>
      <w:hyperlink w:anchor="_Toc8846" w:history="1">
        <w:r>
          <w:rPr>
            <w:rFonts w:ascii="IRNazanin" w:hAnsi="IRNazanin" w:eastAsia="IRNazanin" w:cs="IRNazanin"/>
            <w:color w:val="111111"/>
            <w:sz w:val="22"/>
            <w:szCs w:val="22"/>
            <w:b w:val="0"/>
            <w:bCs w:val="0"/>
            <w:i w:val="0"/>
            <w:iCs w:val="0"/>
          </w:rPr>
          <w:t>7664- دیوان نشاط دهلوی أو شعره‏</w:t>
        </w:r>
        <w:r>
          <w:tab/>
        </w:r>
        <w:r>
          <w:fldChar w:fldCharType="begin"/>
        </w:r>
        <w:r>
          <w:instrText xml:space="preserve">PAGEREF 8846 \h</w:instrText>
        </w:r>
        <w:r>
          <w:fldChar w:fldCharType="end"/>
        </w:r>
      </w:hyperlink>
    </w:p>
    <w:p>
      <w:pPr>
        <w:tabs>
          <w:tab w:val="right" w:leader="dot" w:pos="9062"/>
        </w:tabs>
        <w:ind w:left="440"/>
      </w:pPr>
      <w:hyperlink w:anchor="_Toc8847" w:history="1">
        <w:r>
          <w:rPr>
            <w:rFonts w:ascii="IRNazanin" w:hAnsi="IRNazanin" w:eastAsia="IRNazanin" w:cs="IRNazanin"/>
            <w:color w:val="111111"/>
            <w:sz w:val="22"/>
            <w:szCs w:val="22"/>
            <w:b w:val="0"/>
            <w:bCs w:val="0"/>
            <w:i w:val="0"/>
            <w:iCs w:val="0"/>
          </w:rPr>
          <w:t>7665- دیوان نشاط شیروانی أو شعره‏</w:t>
        </w:r>
        <w:r>
          <w:tab/>
        </w:r>
        <w:r>
          <w:fldChar w:fldCharType="begin"/>
        </w:r>
        <w:r>
          <w:instrText xml:space="preserve">PAGEREF 8847 \h</w:instrText>
        </w:r>
        <w:r>
          <w:fldChar w:fldCharType="end"/>
        </w:r>
      </w:hyperlink>
    </w:p>
    <w:p>
      <w:pPr>
        <w:tabs>
          <w:tab w:val="right" w:leader="dot" w:pos="9062"/>
        </w:tabs>
        <w:ind w:left="440"/>
      </w:pPr>
      <w:hyperlink w:anchor="_Toc8848" w:history="1">
        <w:r>
          <w:rPr>
            <w:rFonts w:ascii="IRNazanin" w:hAnsi="IRNazanin" w:eastAsia="IRNazanin" w:cs="IRNazanin"/>
            <w:color w:val="111111"/>
            <w:sz w:val="22"/>
            <w:szCs w:val="22"/>
            <w:b w:val="0"/>
            <w:bCs w:val="0"/>
            <w:i w:val="0"/>
            <w:iCs w:val="0"/>
          </w:rPr>
          <w:t>7666- دیوان نشاط قمی أو شعره‏</w:t>
        </w:r>
        <w:r>
          <w:tab/>
        </w:r>
        <w:r>
          <w:fldChar w:fldCharType="begin"/>
        </w:r>
        <w:r>
          <w:instrText xml:space="preserve">PAGEREF 8848 \h</w:instrText>
        </w:r>
        <w:r>
          <w:fldChar w:fldCharType="end"/>
        </w:r>
      </w:hyperlink>
    </w:p>
    <w:p>
      <w:pPr>
        <w:tabs>
          <w:tab w:val="right" w:leader="dot" w:pos="9062"/>
        </w:tabs>
        <w:ind w:left="440"/>
      </w:pPr>
      <w:hyperlink w:anchor="_Toc8849" w:history="1">
        <w:r>
          <w:rPr>
            <w:rFonts w:ascii="IRNazanin" w:hAnsi="IRNazanin" w:eastAsia="IRNazanin" w:cs="IRNazanin"/>
            <w:color w:val="111111"/>
            <w:sz w:val="22"/>
            <w:szCs w:val="22"/>
            <w:b w:val="0"/>
            <w:bCs w:val="0"/>
            <w:i w:val="0"/>
            <w:iCs w:val="0"/>
          </w:rPr>
          <w:t>7667- دیوان نشاط مشهدی أو شعره‏</w:t>
        </w:r>
        <w:r>
          <w:tab/>
        </w:r>
        <w:r>
          <w:fldChar w:fldCharType="begin"/>
        </w:r>
        <w:r>
          <w:instrText xml:space="preserve">PAGEREF 8849 \h</w:instrText>
        </w:r>
        <w:r>
          <w:fldChar w:fldCharType="end"/>
        </w:r>
      </w:hyperlink>
    </w:p>
    <w:p>
      <w:pPr>
        <w:tabs>
          <w:tab w:val="right" w:leader="dot" w:pos="9062"/>
        </w:tabs>
        <w:ind w:left="440"/>
      </w:pPr>
      <w:hyperlink w:anchor="_Toc8850" w:history="1">
        <w:r>
          <w:rPr>
            <w:rFonts w:ascii="IRNazanin" w:hAnsi="IRNazanin" w:eastAsia="IRNazanin" w:cs="IRNazanin"/>
            <w:color w:val="111111"/>
            <w:sz w:val="22"/>
            <w:szCs w:val="22"/>
            <w:b w:val="0"/>
            <w:bCs w:val="0"/>
            <w:i w:val="0"/>
            <w:iCs w:val="0"/>
          </w:rPr>
          <w:t>7668- دیوان نشاط هندی‏</w:t>
        </w:r>
        <w:r>
          <w:tab/>
        </w:r>
        <w:r>
          <w:fldChar w:fldCharType="begin"/>
        </w:r>
        <w:r>
          <w:instrText xml:space="preserve">PAGEREF 8850 \h</w:instrText>
        </w:r>
        <w:r>
          <w:fldChar w:fldCharType="end"/>
        </w:r>
      </w:hyperlink>
    </w:p>
    <w:p>
      <w:pPr>
        <w:tabs>
          <w:tab w:val="right" w:leader="dot" w:pos="9062"/>
        </w:tabs>
        <w:ind w:left="440"/>
      </w:pPr>
      <w:hyperlink w:anchor="_Toc8851" w:history="1">
        <w:r>
          <w:rPr>
            <w:rFonts w:ascii="IRNazanin" w:hAnsi="IRNazanin" w:eastAsia="IRNazanin" w:cs="IRNazanin"/>
            <w:color w:val="111111"/>
            <w:sz w:val="22"/>
            <w:szCs w:val="22"/>
            <w:b w:val="0"/>
            <w:bCs w:val="0"/>
            <w:i w:val="0"/>
            <w:iCs w:val="0"/>
          </w:rPr>
          <w:t>دیوان نشاطی بلخی‏</w:t>
        </w:r>
        <w:r>
          <w:tab/>
        </w:r>
        <w:r>
          <w:fldChar w:fldCharType="begin"/>
        </w:r>
        <w:r>
          <w:instrText xml:space="preserve">PAGEREF 8851 \h</w:instrText>
        </w:r>
        <w:r>
          <w:fldChar w:fldCharType="end"/>
        </w:r>
      </w:hyperlink>
    </w:p>
    <w:p>
      <w:pPr>
        <w:tabs>
          <w:tab w:val="right" w:leader="dot" w:pos="9062"/>
        </w:tabs>
        <w:ind w:left="440"/>
      </w:pPr>
      <w:hyperlink w:anchor="_Toc8852" w:history="1">
        <w:r>
          <w:rPr>
            <w:rFonts w:ascii="IRNazanin" w:hAnsi="IRNazanin" w:eastAsia="IRNazanin" w:cs="IRNazanin"/>
            <w:color w:val="111111"/>
            <w:sz w:val="22"/>
            <w:szCs w:val="22"/>
            <w:b w:val="0"/>
            <w:bCs w:val="0"/>
            <w:i w:val="0"/>
            <w:iCs w:val="0"/>
          </w:rPr>
          <w:t>7669- دیوان نشاطی دماوندی‏</w:t>
        </w:r>
        <w:r>
          <w:tab/>
        </w:r>
        <w:r>
          <w:fldChar w:fldCharType="begin"/>
        </w:r>
        <w:r>
          <w:instrText xml:space="preserve">PAGEREF 8852 \h</w:instrText>
        </w:r>
        <w:r>
          <w:fldChar w:fldCharType="end"/>
        </w:r>
      </w:hyperlink>
    </w:p>
    <w:p>
      <w:pPr>
        <w:tabs>
          <w:tab w:val="right" w:leader="dot" w:pos="9062"/>
        </w:tabs>
        <w:ind w:left="440"/>
      </w:pPr>
      <w:hyperlink w:anchor="_Toc8853" w:history="1">
        <w:r>
          <w:rPr>
            <w:rFonts w:ascii="IRNazanin" w:hAnsi="IRNazanin" w:eastAsia="IRNazanin" w:cs="IRNazanin"/>
            <w:color w:val="111111"/>
            <w:sz w:val="22"/>
            <w:szCs w:val="22"/>
            <w:b w:val="0"/>
            <w:bCs w:val="0"/>
            <w:i w:val="0"/>
            <w:iCs w:val="0"/>
          </w:rPr>
          <w:t>7670- دیوان نشاطی دهلوی أو شعره‏</w:t>
        </w:r>
        <w:r>
          <w:tab/>
        </w:r>
        <w:r>
          <w:fldChar w:fldCharType="begin"/>
        </w:r>
        <w:r>
          <w:instrText xml:space="preserve">PAGEREF 8853 \h</w:instrText>
        </w:r>
        <w:r>
          <w:fldChar w:fldCharType="end"/>
        </w:r>
      </w:hyperlink>
    </w:p>
    <w:p>
      <w:pPr>
        <w:tabs>
          <w:tab w:val="right" w:leader="dot" w:pos="9062"/>
        </w:tabs>
        <w:ind w:left="440"/>
      </w:pPr>
      <w:hyperlink w:anchor="_Toc8854" w:history="1">
        <w:r>
          <w:rPr>
            <w:rFonts w:ascii="IRNazanin" w:hAnsi="IRNazanin" w:eastAsia="IRNazanin" w:cs="IRNazanin"/>
            <w:color w:val="111111"/>
            <w:sz w:val="22"/>
            <w:szCs w:val="22"/>
            <w:b w:val="0"/>
            <w:bCs w:val="0"/>
            <w:i w:val="0"/>
            <w:iCs w:val="0"/>
          </w:rPr>
          <w:t>دیوان نشاطی سمنانی‏</w:t>
        </w:r>
        <w:r>
          <w:tab/>
        </w:r>
        <w:r>
          <w:fldChar w:fldCharType="begin"/>
        </w:r>
        <w:r>
          <w:instrText xml:space="preserve">PAGEREF 8854 \h</w:instrText>
        </w:r>
        <w:r>
          <w:fldChar w:fldCharType="end"/>
        </w:r>
      </w:hyperlink>
    </w:p>
    <w:p>
      <w:pPr>
        <w:tabs>
          <w:tab w:val="right" w:leader="dot" w:pos="9062"/>
        </w:tabs>
        <w:ind w:left="440"/>
      </w:pPr>
      <w:hyperlink w:anchor="_Toc8855" w:history="1">
        <w:r>
          <w:rPr>
            <w:rFonts w:ascii="IRNazanin" w:hAnsi="IRNazanin" w:eastAsia="IRNazanin" w:cs="IRNazanin"/>
            <w:color w:val="111111"/>
            <w:sz w:val="22"/>
            <w:szCs w:val="22"/>
            <w:b w:val="0"/>
            <w:bCs w:val="0"/>
            <w:i w:val="0"/>
            <w:iCs w:val="0"/>
          </w:rPr>
          <w:t>7671- دیوان نشاطی شوشتری أو شعره‏</w:t>
        </w:r>
        <w:r>
          <w:tab/>
        </w:r>
        <w:r>
          <w:fldChar w:fldCharType="begin"/>
        </w:r>
        <w:r>
          <w:instrText xml:space="preserve">PAGEREF 8855 \h</w:instrText>
        </w:r>
        <w:r>
          <w:fldChar w:fldCharType="end"/>
        </w:r>
      </w:hyperlink>
    </w:p>
    <w:p>
      <w:pPr>
        <w:tabs>
          <w:tab w:val="right" w:leader="dot" w:pos="9062"/>
        </w:tabs>
        <w:ind w:left="440"/>
      </w:pPr>
      <w:hyperlink w:anchor="_Toc8856" w:history="1">
        <w:r>
          <w:rPr>
            <w:rFonts w:ascii="IRNazanin" w:hAnsi="IRNazanin" w:eastAsia="IRNazanin" w:cs="IRNazanin"/>
            <w:color w:val="111111"/>
            <w:sz w:val="22"/>
            <w:szCs w:val="22"/>
            <w:b w:val="0"/>
            <w:bCs w:val="0"/>
            <w:i w:val="0"/>
            <w:iCs w:val="0"/>
          </w:rPr>
          <w:t>7672- دیوان نشاطی گرجی الأصفهانی‏</w:t>
        </w:r>
        <w:r>
          <w:tab/>
        </w:r>
        <w:r>
          <w:fldChar w:fldCharType="begin"/>
        </w:r>
        <w:r>
          <w:instrText xml:space="preserve">PAGEREF 8856 \h</w:instrText>
        </w:r>
        <w:r>
          <w:fldChar w:fldCharType="end"/>
        </w:r>
      </w:hyperlink>
    </w:p>
    <w:p>
      <w:pPr>
        <w:tabs>
          <w:tab w:val="right" w:leader="dot" w:pos="9062"/>
        </w:tabs>
        <w:ind w:left="440"/>
      </w:pPr>
      <w:hyperlink w:anchor="_Toc8857" w:history="1">
        <w:r>
          <w:rPr>
            <w:rFonts w:ascii="IRNazanin" w:hAnsi="IRNazanin" w:eastAsia="IRNazanin" w:cs="IRNazanin"/>
            <w:color w:val="111111"/>
            <w:sz w:val="22"/>
            <w:szCs w:val="22"/>
            <w:b w:val="0"/>
            <w:bCs w:val="0"/>
            <w:i w:val="0"/>
            <w:iCs w:val="0"/>
          </w:rPr>
          <w:t>7673- دیوان نشاطی هزار جریبی‏</w:t>
        </w:r>
        <w:r>
          <w:tab/>
        </w:r>
        <w:r>
          <w:fldChar w:fldCharType="begin"/>
        </w:r>
        <w:r>
          <w:instrText xml:space="preserve">PAGEREF 8857 \h</w:instrText>
        </w:r>
        <w:r>
          <w:fldChar w:fldCharType="end"/>
        </w:r>
      </w:hyperlink>
    </w:p>
    <w:p>
      <w:pPr>
        <w:tabs>
          <w:tab w:val="right" w:leader="dot" w:pos="9062"/>
        </w:tabs>
        <w:ind w:left="440"/>
      </w:pPr>
      <w:hyperlink w:anchor="_Toc8858" w:history="1">
        <w:r>
          <w:rPr>
            <w:rFonts w:ascii="IRNazanin" w:hAnsi="IRNazanin" w:eastAsia="IRNazanin" w:cs="IRNazanin"/>
            <w:color w:val="111111"/>
            <w:sz w:val="22"/>
            <w:szCs w:val="22"/>
            <w:b w:val="0"/>
            <w:bCs w:val="0"/>
            <w:i w:val="0"/>
            <w:iCs w:val="0"/>
          </w:rPr>
          <w:t>7674- دیوان نشانی دهلوی أو شعره‏</w:t>
        </w:r>
        <w:r>
          <w:tab/>
        </w:r>
        <w:r>
          <w:fldChar w:fldCharType="begin"/>
        </w:r>
        <w:r>
          <w:instrText xml:space="preserve">PAGEREF 8858 \h</w:instrText>
        </w:r>
        <w:r>
          <w:fldChar w:fldCharType="end"/>
        </w:r>
      </w:hyperlink>
    </w:p>
    <w:p>
      <w:pPr>
        <w:tabs>
          <w:tab w:val="right" w:leader="dot" w:pos="9062"/>
        </w:tabs>
        <w:ind w:left="440"/>
      </w:pPr>
      <w:hyperlink w:anchor="_Toc8859" w:history="1">
        <w:r>
          <w:rPr>
            <w:rFonts w:ascii="IRNazanin" w:hAnsi="IRNazanin" w:eastAsia="IRNazanin" w:cs="IRNazanin"/>
            <w:color w:val="111111"/>
            <w:sz w:val="22"/>
            <w:szCs w:val="22"/>
            <w:b w:val="0"/>
            <w:bCs w:val="0"/>
            <w:i w:val="0"/>
            <w:iCs w:val="0"/>
          </w:rPr>
          <w:t>7675- دیوان نشانی شیروانی أو شعره‏</w:t>
        </w:r>
        <w:r>
          <w:tab/>
        </w:r>
        <w:r>
          <w:fldChar w:fldCharType="begin"/>
        </w:r>
        <w:r>
          <w:instrText xml:space="preserve">PAGEREF 8859 \h</w:instrText>
        </w:r>
        <w:r>
          <w:fldChar w:fldCharType="end"/>
        </w:r>
      </w:hyperlink>
    </w:p>
    <w:p>
      <w:pPr>
        <w:tabs>
          <w:tab w:val="right" w:leader="dot" w:pos="9062"/>
        </w:tabs>
        <w:ind w:left="440"/>
      </w:pPr>
      <w:hyperlink w:anchor="_Toc8860" w:history="1">
        <w:r>
          <w:rPr>
            <w:rFonts w:ascii="IRNazanin" w:hAnsi="IRNazanin" w:eastAsia="IRNazanin" w:cs="IRNazanin"/>
            <w:color w:val="111111"/>
            <w:sz w:val="22"/>
            <w:szCs w:val="22"/>
            <w:b w:val="0"/>
            <w:bCs w:val="0"/>
            <w:i w:val="0"/>
            <w:iCs w:val="0"/>
          </w:rPr>
          <w:t>دیوان نصرآبادی‏</w:t>
        </w:r>
        <w:r>
          <w:tab/>
        </w:r>
        <w:r>
          <w:fldChar w:fldCharType="begin"/>
        </w:r>
        <w:r>
          <w:instrText xml:space="preserve">PAGEREF 8860 \h</w:instrText>
        </w:r>
        <w:r>
          <w:fldChar w:fldCharType="end"/>
        </w:r>
      </w:hyperlink>
    </w:p>
    <w:p>
      <w:pPr>
        <w:tabs>
          <w:tab w:val="right" w:leader="dot" w:pos="9062"/>
        </w:tabs>
        <w:ind w:left="440"/>
      </w:pPr>
      <w:hyperlink w:anchor="_Toc8861" w:history="1">
        <w:r>
          <w:rPr>
            <w:rFonts w:ascii="IRNazanin" w:hAnsi="IRNazanin" w:eastAsia="IRNazanin" w:cs="IRNazanin"/>
            <w:color w:val="111111"/>
            <w:sz w:val="22"/>
            <w:szCs w:val="22"/>
            <w:b w:val="0"/>
            <w:bCs w:val="0"/>
            <w:i w:val="0"/>
            <w:iCs w:val="0"/>
          </w:rPr>
          <w:t>7676- دیوان نصرآبادی‏</w:t>
        </w:r>
        <w:r>
          <w:tab/>
        </w:r>
        <w:r>
          <w:fldChar w:fldCharType="begin"/>
        </w:r>
        <w:r>
          <w:instrText xml:space="preserve">PAGEREF 8861 \h</w:instrText>
        </w:r>
        <w:r>
          <w:fldChar w:fldCharType="end"/>
        </w:r>
      </w:hyperlink>
    </w:p>
    <w:p>
      <w:pPr>
        <w:tabs>
          <w:tab w:val="right" w:leader="dot" w:pos="9062"/>
        </w:tabs>
        <w:ind w:left="440"/>
      </w:pPr>
      <w:hyperlink w:anchor="_Toc8862" w:history="1">
        <w:r>
          <w:rPr>
            <w:rFonts w:ascii="IRNazanin" w:hAnsi="IRNazanin" w:eastAsia="IRNazanin" w:cs="IRNazanin"/>
            <w:color w:val="111111"/>
            <w:sz w:val="22"/>
            <w:szCs w:val="22"/>
            <w:b w:val="0"/>
            <w:bCs w:val="0"/>
            <w:i w:val="0"/>
            <w:iCs w:val="0"/>
          </w:rPr>
          <w:t>دیوان نصر بن أحمد بن نصر</w:t>
        </w:r>
        <w:r>
          <w:tab/>
        </w:r>
        <w:r>
          <w:fldChar w:fldCharType="begin"/>
        </w:r>
        <w:r>
          <w:instrText xml:space="preserve">PAGEREF 8862 \h</w:instrText>
        </w:r>
        <w:r>
          <w:fldChar w:fldCharType="end"/>
        </w:r>
      </w:hyperlink>
    </w:p>
    <w:p>
      <w:pPr>
        <w:tabs>
          <w:tab w:val="right" w:leader="dot" w:pos="9062"/>
        </w:tabs>
        <w:ind w:left="440"/>
      </w:pPr>
      <w:hyperlink w:anchor="_Toc8863" w:history="1">
        <w:r>
          <w:rPr>
            <w:rFonts w:ascii="IRNazanin" w:hAnsi="IRNazanin" w:eastAsia="IRNazanin" w:cs="IRNazanin"/>
            <w:color w:val="111111"/>
            <w:sz w:val="22"/>
            <w:szCs w:val="22"/>
            <w:b w:val="0"/>
            <w:bCs w:val="0"/>
            <w:i w:val="0"/>
            <w:iCs w:val="0"/>
          </w:rPr>
          <w:t>7677- دیوان نصر أودی أو شعره‏</w:t>
        </w:r>
        <w:r>
          <w:tab/>
        </w:r>
        <w:r>
          <w:fldChar w:fldCharType="begin"/>
        </w:r>
        <w:r>
          <w:instrText xml:space="preserve">PAGEREF 8863 \h</w:instrText>
        </w:r>
        <w:r>
          <w:fldChar w:fldCharType="end"/>
        </w:r>
      </w:hyperlink>
    </w:p>
    <w:p>
      <w:pPr>
        <w:tabs>
          <w:tab w:val="right" w:leader="dot" w:pos="9062"/>
        </w:tabs>
        <w:ind w:left="440"/>
      </w:pPr>
      <w:hyperlink w:anchor="_Toc8864" w:history="1">
        <w:r>
          <w:rPr>
            <w:rFonts w:ascii="IRNazanin" w:hAnsi="IRNazanin" w:eastAsia="IRNazanin" w:cs="IRNazanin"/>
            <w:color w:val="111111"/>
            <w:sz w:val="22"/>
            <w:szCs w:val="22"/>
            <w:b w:val="0"/>
            <w:bCs w:val="0"/>
            <w:i w:val="0"/>
            <w:iCs w:val="0"/>
          </w:rPr>
          <w:t>7678- دیوان نصرت أردبیلی‏</w:t>
        </w:r>
        <w:r>
          <w:tab/>
        </w:r>
        <w:r>
          <w:fldChar w:fldCharType="begin"/>
        </w:r>
        <w:r>
          <w:instrText xml:space="preserve">PAGEREF 8864 \h</w:instrText>
        </w:r>
        <w:r>
          <w:fldChar w:fldCharType="end"/>
        </w:r>
      </w:hyperlink>
    </w:p>
    <w:p>
      <w:pPr>
        <w:tabs>
          <w:tab w:val="right" w:leader="dot" w:pos="9062"/>
        </w:tabs>
        <w:ind w:left="440"/>
      </w:pPr>
      <w:hyperlink w:anchor="_Toc8865" w:history="1">
        <w:r>
          <w:rPr>
            <w:rFonts w:ascii="IRNazanin" w:hAnsi="IRNazanin" w:eastAsia="IRNazanin" w:cs="IRNazanin"/>
            <w:color w:val="111111"/>
            <w:sz w:val="22"/>
            <w:szCs w:val="22"/>
            <w:b w:val="0"/>
            <w:bCs w:val="0"/>
            <w:i w:val="0"/>
            <w:iCs w:val="0"/>
          </w:rPr>
          <w:t>دیوان نصرت أرموی‏</w:t>
        </w:r>
        <w:r>
          <w:tab/>
        </w:r>
        <w:r>
          <w:fldChar w:fldCharType="begin"/>
        </w:r>
        <w:r>
          <w:instrText xml:space="preserve">PAGEREF 8865 \h</w:instrText>
        </w:r>
        <w:r>
          <w:fldChar w:fldCharType="end"/>
        </w:r>
      </w:hyperlink>
    </w:p>
    <w:p>
      <w:pPr>
        <w:tabs>
          <w:tab w:val="right" w:leader="dot" w:pos="9062"/>
        </w:tabs>
        <w:ind w:left="440"/>
      </w:pPr>
      <w:hyperlink w:anchor="_Toc8866" w:history="1">
        <w:r>
          <w:rPr>
            <w:rFonts w:ascii="IRNazanin" w:hAnsi="IRNazanin" w:eastAsia="IRNazanin" w:cs="IRNazanin"/>
            <w:color w:val="111111"/>
            <w:sz w:val="22"/>
            <w:szCs w:val="22"/>
            <w:b w:val="0"/>
            <w:bCs w:val="0"/>
            <w:i w:val="0"/>
            <w:iCs w:val="0"/>
          </w:rPr>
          <w:t>دیوان نصرت أصفهانی‏</w:t>
        </w:r>
        <w:r>
          <w:tab/>
        </w:r>
        <w:r>
          <w:fldChar w:fldCharType="begin"/>
        </w:r>
        <w:r>
          <w:instrText xml:space="preserve">PAGEREF 8866 \h</w:instrText>
        </w:r>
        <w:r>
          <w:fldChar w:fldCharType="end"/>
        </w:r>
      </w:hyperlink>
    </w:p>
    <w:p>
      <w:pPr>
        <w:tabs>
          <w:tab w:val="right" w:leader="dot" w:pos="9062"/>
        </w:tabs>
        <w:ind w:left="440"/>
      </w:pPr>
      <w:hyperlink w:anchor="_Toc8867" w:history="1">
        <w:r>
          <w:rPr>
            <w:rFonts w:ascii="IRNazanin" w:hAnsi="IRNazanin" w:eastAsia="IRNazanin" w:cs="IRNazanin"/>
            <w:color w:val="111111"/>
            <w:sz w:val="22"/>
            <w:szCs w:val="22"/>
            <w:b w:val="0"/>
            <w:bCs w:val="0"/>
            <w:i w:val="0"/>
            <w:iCs w:val="0"/>
          </w:rPr>
          <w:t>7679- دیوان نصرت ترشیزی أو شعره‏</w:t>
        </w:r>
        <w:r>
          <w:tab/>
        </w:r>
        <w:r>
          <w:fldChar w:fldCharType="begin"/>
        </w:r>
        <w:r>
          <w:instrText xml:space="preserve">PAGEREF 8867 \h</w:instrText>
        </w:r>
        <w:r>
          <w:fldChar w:fldCharType="end"/>
        </w:r>
      </w:hyperlink>
    </w:p>
    <w:p>
      <w:pPr>
        <w:tabs>
          <w:tab w:val="right" w:leader="dot" w:pos="9062"/>
        </w:tabs>
        <w:ind w:left="440"/>
      </w:pPr>
      <w:hyperlink w:anchor="_Toc8868" w:history="1">
        <w:r>
          <w:rPr>
            <w:rFonts w:ascii="IRNazanin" w:hAnsi="IRNazanin" w:eastAsia="IRNazanin" w:cs="IRNazanin"/>
            <w:color w:val="111111"/>
            <w:sz w:val="22"/>
            <w:szCs w:val="22"/>
            <w:b w:val="0"/>
            <w:bCs w:val="0"/>
            <w:i w:val="0"/>
            <w:iCs w:val="0"/>
          </w:rPr>
          <w:t>7680- دیوان نصرت خراسانی‏</w:t>
        </w:r>
        <w:r>
          <w:tab/>
        </w:r>
        <w:r>
          <w:fldChar w:fldCharType="begin"/>
        </w:r>
        <w:r>
          <w:instrText xml:space="preserve">PAGEREF 8868 \h</w:instrText>
        </w:r>
        <w:r>
          <w:fldChar w:fldCharType="end"/>
        </w:r>
      </w:hyperlink>
    </w:p>
    <w:p>
      <w:pPr>
        <w:tabs>
          <w:tab w:val="right" w:leader="dot" w:pos="9062"/>
        </w:tabs>
        <w:ind w:left="440"/>
      </w:pPr>
      <w:hyperlink w:anchor="_Toc8869" w:history="1">
        <w:r>
          <w:rPr>
            <w:rFonts w:ascii="IRNazanin" w:hAnsi="IRNazanin" w:eastAsia="IRNazanin" w:cs="IRNazanin"/>
            <w:color w:val="111111"/>
            <w:sz w:val="22"/>
            <w:szCs w:val="22"/>
            <w:b w:val="0"/>
            <w:bCs w:val="0"/>
            <w:i w:val="0"/>
            <w:iCs w:val="0"/>
          </w:rPr>
          <w:t>دیوان نصرت خراسانی‏</w:t>
        </w:r>
        <w:r>
          <w:tab/>
        </w:r>
        <w:r>
          <w:fldChar w:fldCharType="begin"/>
        </w:r>
        <w:r>
          <w:instrText xml:space="preserve">PAGEREF 8869 \h</w:instrText>
        </w:r>
        <w:r>
          <w:fldChar w:fldCharType="end"/>
        </w:r>
      </w:hyperlink>
    </w:p>
    <w:p>
      <w:pPr>
        <w:tabs>
          <w:tab w:val="right" w:leader="dot" w:pos="9062"/>
        </w:tabs>
        <w:ind w:left="440"/>
      </w:pPr>
      <w:hyperlink w:anchor="_Toc8870" w:history="1">
        <w:r>
          <w:rPr>
            <w:rFonts w:ascii="IRNazanin" w:hAnsi="IRNazanin" w:eastAsia="IRNazanin" w:cs="IRNazanin"/>
            <w:color w:val="111111"/>
            <w:sz w:val="22"/>
            <w:szCs w:val="22"/>
            <w:b w:val="0"/>
            <w:bCs w:val="0"/>
            <w:i w:val="0"/>
            <w:iCs w:val="0"/>
          </w:rPr>
          <w:t>7681- دیوان نصرت دکنی أو شعره‏</w:t>
        </w:r>
        <w:r>
          <w:tab/>
        </w:r>
        <w:r>
          <w:fldChar w:fldCharType="begin"/>
        </w:r>
        <w:r>
          <w:instrText xml:space="preserve">PAGEREF 8870 \h</w:instrText>
        </w:r>
        <w:r>
          <w:fldChar w:fldCharType="end"/>
        </w:r>
      </w:hyperlink>
    </w:p>
    <w:p>
      <w:pPr>
        <w:tabs>
          <w:tab w:val="right" w:leader="dot" w:pos="9062"/>
        </w:tabs>
        <w:ind w:left="440"/>
      </w:pPr>
      <w:hyperlink w:anchor="_Toc8871" w:history="1">
        <w:r>
          <w:rPr>
            <w:rFonts w:ascii="IRNazanin" w:hAnsi="IRNazanin" w:eastAsia="IRNazanin" w:cs="IRNazanin"/>
            <w:color w:val="111111"/>
            <w:sz w:val="22"/>
            <w:szCs w:val="22"/>
            <w:b w:val="0"/>
            <w:bCs w:val="0"/>
            <w:i w:val="0"/>
            <w:iCs w:val="0"/>
          </w:rPr>
          <w:t>7682- دیوان نصرت دهلوی أو شعره‏</w:t>
        </w:r>
        <w:r>
          <w:tab/>
        </w:r>
        <w:r>
          <w:fldChar w:fldCharType="begin"/>
        </w:r>
        <w:r>
          <w:instrText xml:space="preserve">PAGEREF 8871 \h</w:instrText>
        </w:r>
        <w:r>
          <w:fldChar w:fldCharType="end"/>
        </w:r>
      </w:hyperlink>
    </w:p>
    <w:p>
      <w:pPr>
        <w:tabs>
          <w:tab w:val="right" w:leader="dot" w:pos="9062"/>
        </w:tabs>
        <w:ind w:left="440"/>
      </w:pPr>
      <w:hyperlink w:anchor="_Toc8872" w:history="1">
        <w:r>
          <w:rPr>
            <w:rFonts w:ascii="IRNazanin" w:hAnsi="IRNazanin" w:eastAsia="IRNazanin" w:cs="IRNazanin"/>
            <w:color w:val="111111"/>
            <w:sz w:val="22"/>
            <w:szCs w:val="22"/>
            <w:b w:val="0"/>
            <w:bCs w:val="0"/>
            <w:i w:val="0"/>
            <w:iCs w:val="0"/>
          </w:rPr>
          <w:t>7683- دیوان نصرت رحمانی‏</w:t>
        </w:r>
        <w:r>
          <w:tab/>
        </w:r>
        <w:r>
          <w:fldChar w:fldCharType="begin"/>
        </w:r>
        <w:r>
          <w:instrText xml:space="preserve">PAGEREF 8872 \h</w:instrText>
        </w:r>
        <w:r>
          <w:fldChar w:fldCharType="end"/>
        </w:r>
      </w:hyperlink>
    </w:p>
    <w:p>
      <w:pPr>
        <w:tabs>
          <w:tab w:val="right" w:leader="dot" w:pos="9062"/>
        </w:tabs>
        <w:ind w:left="440"/>
      </w:pPr>
      <w:hyperlink w:anchor="_Toc8873" w:history="1">
        <w:r>
          <w:rPr>
            <w:rFonts w:ascii="IRNazanin" w:hAnsi="IRNazanin" w:eastAsia="IRNazanin" w:cs="IRNazanin"/>
            <w:color w:val="111111"/>
            <w:sz w:val="22"/>
            <w:szCs w:val="22"/>
            <w:b w:val="0"/>
            <w:bCs w:val="0"/>
            <w:i w:val="0"/>
            <w:iCs w:val="0"/>
          </w:rPr>
          <w:t>7684- دیوان نصرت سیالکوتی‏</w:t>
        </w:r>
        <w:r>
          <w:tab/>
        </w:r>
        <w:r>
          <w:fldChar w:fldCharType="begin"/>
        </w:r>
        <w:r>
          <w:instrText xml:space="preserve">PAGEREF 8873 \h</w:instrText>
        </w:r>
        <w:r>
          <w:fldChar w:fldCharType="end"/>
        </w:r>
      </w:hyperlink>
    </w:p>
    <w:p>
      <w:pPr>
        <w:tabs>
          <w:tab w:val="right" w:leader="dot" w:pos="9062"/>
        </w:tabs>
        <w:ind w:left="440"/>
      </w:pPr>
      <w:hyperlink w:anchor="_Toc8874" w:history="1">
        <w:r>
          <w:rPr>
            <w:rFonts w:ascii="IRNazanin" w:hAnsi="IRNazanin" w:eastAsia="IRNazanin" w:cs="IRNazanin"/>
            <w:color w:val="111111"/>
            <w:sz w:val="22"/>
            <w:szCs w:val="22"/>
            <w:b w:val="0"/>
            <w:bCs w:val="0"/>
            <w:i w:val="0"/>
            <w:iCs w:val="0"/>
          </w:rPr>
          <w:t>7685- دیوان نصرت طالشی الگیلانی‏</w:t>
        </w:r>
        <w:r>
          <w:tab/>
        </w:r>
        <w:r>
          <w:fldChar w:fldCharType="begin"/>
        </w:r>
        <w:r>
          <w:instrText xml:space="preserve">PAGEREF 8874 \h</w:instrText>
        </w:r>
        <w:r>
          <w:fldChar w:fldCharType="end"/>
        </w:r>
      </w:hyperlink>
    </w:p>
    <w:p>
      <w:pPr>
        <w:tabs>
          <w:tab w:val="right" w:leader="dot" w:pos="9062"/>
        </w:tabs>
        <w:ind w:left="440"/>
      </w:pPr>
      <w:hyperlink w:anchor="_Toc8875" w:history="1">
        <w:r>
          <w:rPr>
            <w:rFonts w:ascii="IRNazanin" w:hAnsi="IRNazanin" w:eastAsia="IRNazanin" w:cs="IRNazanin"/>
            <w:color w:val="111111"/>
            <w:sz w:val="22"/>
            <w:szCs w:val="22"/>
            <w:b w:val="0"/>
            <w:bCs w:val="0"/>
            <w:i w:val="0"/>
            <w:iCs w:val="0"/>
          </w:rPr>
          <w:t>7686- دیوان نصرت علی شاه‏</w:t>
        </w:r>
        <w:r>
          <w:tab/>
        </w:r>
        <w:r>
          <w:fldChar w:fldCharType="begin"/>
        </w:r>
        <w:r>
          <w:instrText xml:space="preserve">PAGEREF 8875 \h</w:instrText>
        </w:r>
        <w:r>
          <w:fldChar w:fldCharType="end"/>
        </w:r>
      </w:hyperlink>
    </w:p>
    <w:p>
      <w:pPr>
        <w:tabs>
          <w:tab w:val="right" w:leader="dot" w:pos="9062"/>
        </w:tabs>
        <w:ind w:left="440"/>
      </w:pPr>
      <w:hyperlink w:anchor="_Toc8876" w:history="1">
        <w:r>
          <w:rPr>
            <w:rFonts w:ascii="IRNazanin" w:hAnsi="IRNazanin" w:eastAsia="IRNazanin" w:cs="IRNazanin"/>
            <w:color w:val="111111"/>
            <w:sz w:val="22"/>
            <w:szCs w:val="22"/>
            <w:b w:val="0"/>
            <w:bCs w:val="0"/>
            <w:i w:val="0"/>
            <w:iCs w:val="0"/>
          </w:rPr>
          <w:t>دیوان نصرت کبود جامه أسترآبادی‏</w:t>
        </w:r>
        <w:r>
          <w:tab/>
        </w:r>
        <w:r>
          <w:fldChar w:fldCharType="begin"/>
        </w:r>
        <w:r>
          <w:instrText xml:space="preserve">PAGEREF 8876 \h</w:instrText>
        </w:r>
        <w:r>
          <w:fldChar w:fldCharType="end"/>
        </w:r>
      </w:hyperlink>
    </w:p>
    <w:p>
      <w:pPr>
        <w:tabs>
          <w:tab w:val="right" w:leader="dot" w:pos="9062"/>
        </w:tabs>
        <w:ind w:left="440"/>
      </w:pPr>
      <w:hyperlink w:anchor="_Toc8877" w:history="1">
        <w:r>
          <w:rPr>
            <w:rFonts w:ascii="IRNazanin" w:hAnsi="IRNazanin" w:eastAsia="IRNazanin" w:cs="IRNazanin"/>
            <w:color w:val="111111"/>
            <w:sz w:val="22"/>
            <w:szCs w:val="22"/>
            <w:b w:val="0"/>
            <w:bCs w:val="0"/>
            <w:i w:val="0"/>
            <w:iCs w:val="0"/>
          </w:rPr>
          <w:t>دیوان نصرت گیلانی‏</w:t>
        </w:r>
        <w:r>
          <w:tab/>
        </w:r>
        <w:r>
          <w:fldChar w:fldCharType="begin"/>
        </w:r>
        <w:r>
          <w:instrText xml:space="preserve">PAGEREF 8877 \h</w:instrText>
        </w:r>
        <w:r>
          <w:fldChar w:fldCharType="end"/>
        </w:r>
      </w:hyperlink>
    </w:p>
    <w:p>
      <w:pPr>
        <w:tabs>
          <w:tab w:val="right" w:leader="dot" w:pos="9062"/>
        </w:tabs>
        <w:ind w:left="440"/>
      </w:pPr>
      <w:hyperlink w:anchor="_Toc8878" w:history="1">
        <w:r>
          <w:rPr>
            <w:rFonts w:ascii="IRNazanin" w:hAnsi="IRNazanin" w:eastAsia="IRNazanin" w:cs="IRNazanin"/>
            <w:color w:val="111111"/>
            <w:sz w:val="22"/>
            <w:szCs w:val="22"/>
            <w:b w:val="0"/>
            <w:bCs w:val="0"/>
            <w:i w:val="0"/>
            <w:iCs w:val="0"/>
          </w:rPr>
          <w:t>7687- دیوان نصرت مشهدی أو شعره‏</w:t>
        </w:r>
        <w:r>
          <w:tab/>
        </w:r>
        <w:r>
          <w:fldChar w:fldCharType="begin"/>
        </w:r>
        <w:r>
          <w:instrText xml:space="preserve">PAGEREF 8878 \h</w:instrText>
        </w:r>
        <w:r>
          <w:fldChar w:fldCharType="end"/>
        </w:r>
      </w:hyperlink>
    </w:p>
    <w:p>
      <w:pPr>
        <w:tabs>
          <w:tab w:val="right" w:leader="dot" w:pos="9062"/>
        </w:tabs>
        <w:ind w:left="440"/>
      </w:pPr>
      <w:hyperlink w:anchor="_Toc8879" w:history="1">
        <w:r>
          <w:rPr>
            <w:rFonts w:ascii="IRNazanin" w:hAnsi="IRNazanin" w:eastAsia="IRNazanin" w:cs="IRNazanin"/>
            <w:color w:val="111111"/>
            <w:sz w:val="22"/>
            <w:szCs w:val="22"/>
            <w:b w:val="0"/>
            <w:bCs w:val="0"/>
            <w:i w:val="0"/>
            <w:iCs w:val="0"/>
          </w:rPr>
          <w:t>دیوان نصرت الوزارة بهبهانی‏</w:t>
        </w:r>
        <w:r>
          <w:tab/>
        </w:r>
        <w:r>
          <w:fldChar w:fldCharType="begin"/>
        </w:r>
        <w:r>
          <w:instrText xml:space="preserve">PAGEREF 8879 \h</w:instrText>
        </w:r>
        <w:r>
          <w:fldChar w:fldCharType="end"/>
        </w:r>
      </w:hyperlink>
    </w:p>
    <w:p>
      <w:pPr>
        <w:tabs>
          <w:tab w:val="right" w:leader="dot" w:pos="9062"/>
        </w:tabs>
        <w:ind w:left="440"/>
      </w:pPr>
      <w:hyperlink w:anchor="_Toc8880" w:history="1">
        <w:r>
          <w:rPr>
            <w:rFonts w:ascii="IRNazanin" w:hAnsi="IRNazanin" w:eastAsia="IRNazanin" w:cs="IRNazanin"/>
            <w:color w:val="111111"/>
            <w:sz w:val="22"/>
            <w:szCs w:val="22"/>
            <w:b w:val="0"/>
            <w:bCs w:val="0"/>
            <w:i w:val="0"/>
            <w:iCs w:val="0"/>
          </w:rPr>
          <w:t>7688- دیوان نصرتی أصفهانی أو شعره‏</w:t>
        </w:r>
        <w:r>
          <w:tab/>
        </w:r>
        <w:r>
          <w:fldChar w:fldCharType="begin"/>
        </w:r>
        <w:r>
          <w:instrText xml:space="preserve">PAGEREF 8880 \h</w:instrText>
        </w:r>
        <w:r>
          <w:fldChar w:fldCharType="end"/>
        </w:r>
      </w:hyperlink>
    </w:p>
    <w:p>
      <w:pPr>
        <w:tabs>
          <w:tab w:val="right" w:leader="dot" w:pos="9062"/>
        </w:tabs>
        <w:ind w:left="440"/>
      </w:pPr>
      <w:hyperlink w:anchor="_Toc8881" w:history="1">
        <w:r>
          <w:rPr>
            <w:rFonts w:ascii="IRNazanin" w:hAnsi="IRNazanin" w:eastAsia="IRNazanin" w:cs="IRNazanin"/>
            <w:color w:val="111111"/>
            <w:sz w:val="22"/>
            <w:szCs w:val="22"/>
            <w:b w:val="0"/>
            <w:bCs w:val="0"/>
            <w:i w:val="0"/>
            <w:iCs w:val="0"/>
          </w:rPr>
          <w:t>دیوان نصرتی گیلانی‏</w:t>
        </w:r>
        <w:r>
          <w:tab/>
        </w:r>
        <w:r>
          <w:fldChar w:fldCharType="begin"/>
        </w:r>
        <w:r>
          <w:instrText xml:space="preserve">PAGEREF 8881 \h</w:instrText>
        </w:r>
        <w:r>
          <w:fldChar w:fldCharType="end"/>
        </w:r>
      </w:hyperlink>
    </w:p>
    <w:p>
      <w:pPr>
        <w:tabs>
          <w:tab w:val="right" w:leader="dot" w:pos="9062"/>
        </w:tabs>
        <w:ind w:left="440"/>
      </w:pPr>
      <w:hyperlink w:anchor="_Toc8882" w:history="1">
        <w:r>
          <w:rPr>
            <w:rFonts w:ascii="IRNazanin" w:hAnsi="IRNazanin" w:eastAsia="IRNazanin" w:cs="IRNazanin"/>
            <w:color w:val="111111"/>
            <w:sz w:val="22"/>
            <w:szCs w:val="22"/>
            <w:b w:val="0"/>
            <w:bCs w:val="0"/>
            <w:i w:val="0"/>
            <w:iCs w:val="0"/>
          </w:rPr>
          <w:t>7689- دیوان نصرتی هندی‏</w:t>
        </w:r>
        <w:r>
          <w:tab/>
        </w:r>
        <w:r>
          <w:fldChar w:fldCharType="begin"/>
        </w:r>
        <w:r>
          <w:instrText xml:space="preserve">PAGEREF 8882 \h</w:instrText>
        </w:r>
        <w:r>
          <w:fldChar w:fldCharType="end"/>
        </w:r>
      </w:hyperlink>
    </w:p>
    <w:p>
      <w:pPr>
        <w:tabs>
          <w:tab w:val="right" w:leader="dot" w:pos="9062"/>
        </w:tabs>
        <w:ind w:left="440"/>
      </w:pPr>
      <w:hyperlink w:anchor="_Toc8883" w:history="1">
        <w:r>
          <w:rPr>
            <w:rFonts w:ascii="IRNazanin" w:hAnsi="IRNazanin" w:eastAsia="IRNazanin" w:cs="IRNazanin"/>
            <w:color w:val="111111"/>
            <w:sz w:val="22"/>
            <w:szCs w:val="22"/>
            <w:b w:val="0"/>
            <w:bCs w:val="0"/>
            <w:i w:val="0"/>
            <w:iCs w:val="0"/>
          </w:rPr>
          <w:t>7690- دیوان نصر شکاربوری أو شعر</w:t>
        </w:r>
        <w:r>
          <w:tab/>
        </w:r>
        <w:r>
          <w:fldChar w:fldCharType="begin"/>
        </w:r>
        <w:r>
          <w:instrText xml:space="preserve">PAGEREF 8883 \h</w:instrText>
        </w:r>
        <w:r>
          <w:fldChar w:fldCharType="end"/>
        </w:r>
      </w:hyperlink>
    </w:p>
    <w:p>
      <w:pPr>
        <w:tabs>
          <w:tab w:val="right" w:leader="dot" w:pos="9062"/>
        </w:tabs>
        <w:ind w:left="440"/>
      </w:pPr>
      <w:hyperlink w:anchor="_Toc8884" w:history="1">
        <w:r>
          <w:rPr>
            <w:rFonts w:ascii="IRNazanin" w:hAnsi="IRNazanin" w:eastAsia="IRNazanin" w:cs="IRNazanin"/>
            <w:color w:val="111111"/>
            <w:sz w:val="22"/>
            <w:szCs w:val="22"/>
            <w:b w:val="0"/>
            <w:bCs w:val="0"/>
            <w:i w:val="0"/>
            <w:iCs w:val="0"/>
          </w:rPr>
          <w:t>7691- دیوان نصر شیرازی‏</w:t>
        </w:r>
        <w:r>
          <w:tab/>
        </w:r>
        <w:r>
          <w:fldChar w:fldCharType="begin"/>
        </w:r>
        <w:r>
          <w:instrText xml:space="preserve">PAGEREF 8884 \h</w:instrText>
        </w:r>
        <w:r>
          <w:fldChar w:fldCharType="end"/>
        </w:r>
      </w:hyperlink>
    </w:p>
    <w:p>
      <w:pPr>
        <w:tabs>
          <w:tab w:val="right" w:leader="dot" w:pos="9062"/>
        </w:tabs>
        <w:ind w:left="440"/>
      </w:pPr>
      <w:hyperlink w:anchor="_Toc8885" w:history="1">
        <w:r>
          <w:rPr>
            <w:rFonts w:ascii="IRNazanin" w:hAnsi="IRNazanin" w:eastAsia="IRNazanin" w:cs="IRNazanin"/>
            <w:color w:val="111111"/>
            <w:sz w:val="22"/>
            <w:szCs w:val="22"/>
            <w:b w:val="0"/>
            <w:bCs w:val="0"/>
            <w:i w:val="0"/>
            <w:iCs w:val="0"/>
          </w:rPr>
          <w:t>دیوان نصر قراگوزلو</w:t>
        </w:r>
        <w:r>
          <w:tab/>
        </w:r>
        <w:r>
          <w:fldChar w:fldCharType="begin"/>
        </w:r>
        <w:r>
          <w:instrText xml:space="preserve">PAGEREF 8885 \h</w:instrText>
        </w:r>
        <w:r>
          <w:fldChar w:fldCharType="end"/>
        </w:r>
      </w:hyperlink>
    </w:p>
    <w:p>
      <w:pPr>
        <w:tabs>
          <w:tab w:val="right" w:leader="dot" w:pos="9062"/>
        </w:tabs>
        <w:ind w:left="440"/>
      </w:pPr>
      <w:hyperlink w:anchor="_Toc8886" w:history="1">
        <w:r>
          <w:rPr>
            <w:rFonts w:ascii="IRNazanin" w:hAnsi="IRNazanin" w:eastAsia="IRNazanin" w:cs="IRNazanin"/>
            <w:color w:val="111111"/>
            <w:sz w:val="22"/>
            <w:szCs w:val="22"/>
            <w:b w:val="0"/>
            <w:bCs w:val="0"/>
            <w:i w:val="0"/>
            <w:iCs w:val="0"/>
          </w:rPr>
          <w:t>7692- دیوان سید نصر الله تقوی‏</w:t>
        </w:r>
        <w:r>
          <w:tab/>
        </w:r>
        <w:r>
          <w:fldChar w:fldCharType="begin"/>
        </w:r>
        <w:r>
          <w:instrText xml:space="preserve">PAGEREF 8886 \h</w:instrText>
        </w:r>
        <w:r>
          <w:fldChar w:fldCharType="end"/>
        </w:r>
      </w:hyperlink>
    </w:p>
    <w:p>
      <w:pPr>
        <w:tabs>
          <w:tab w:val="right" w:leader="dot" w:pos="9062"/>
        </w:tabs>
        <w:ind w:left="440"/>
      </w:pPr>
      <w:hyperlink w:anchor="_Toc8887" w:history="1">
        <w:r>
          <w:rPr>
            <w:rFonts w:ascii="IRNazanin" w:hAnsi="IRNazanin" w:eastAsia="IRNazanin" w:cs="IRNazanin"/>
            <w:color w:val="111111"/>
            <w:sz w:val="22"/>
            <w:szCs w:val="22"/>
            <w:b w:val="0"/>
            <w:bCs w:val="0"/>
            <w:i w:val="0"/>
            <w:iCs w:val="0"/>
          </w:rPr>
          <w:t>7693- دیوان نصر الله خان قراگوزلو</w:t>
        </w:r>
        <w:r>
          <w:tab/>
        </w:r>
        <w:r>
          <w:fldChar w:fldCharType="begin"/>
        </w:r>
        <w:r>
          <w:instrText xml:space="preserve">PAGEREF 8887 \h</w:instrText>
        </w:r>
        <w:r>
          <w:fldChar w:fldCharType="end"/>
        </w:r>
      </w:hyperlink>
    </w:p>
    <w:p>
      <w:pPr>
        <w:tabs>
          <w:tab w:val="right" w:leader="dot" w:pos="9062"/>
        </w:tabs>
        <w:ind w:left="440"/>
      </w:pPr>
      <w:hyperlink w:anchor="_Toc8888" w:history="1">
        <w:r>
          <w:rPr>
            <w:rFonts w:ascii="IRNazanin" w:hAnsi="IRNazanin" w:eastAsia="IRNazanin" w:cs="IRNazanin"/>
            <w:color w:val="111111"/>
            <w:sz w:val="22"/>
            <w:szCs w:val="22"/>
            <w:b w:val="0"/>
            <w:bCs w:val="0"/>
            <w:i w:val="0"/>
            <w:iCs w:val="0"/>
          </w:rPr>
          <w:t>7694- دیوان محمد نصر الله شیرازی المعمائی‏</w:t>
        </w:r>
        <w:r>
          <w:tab/>
        </w:r>
        <w:r>
          <w:fldChar w:fldCharType="begin"/>
        </w:r>
        <w:r>
          <w:instrText xml:space="preserve">PAGEREF 8888 \h</w:instrText>
        </w:r>
        <w:r>
          <w:fldChar w:fldCharType="end"/>
        </w:r>
      </w:hyperlink>
    </w:p>
    <w:p>
      <w:pPr>
        <w:tabs>
          <w:tab w:val="right" w:leader="dot" w:pos="9062"/>
        </w:tabs>
        <w:ind w:left="440"/>
      </w:pPr>
      <w:hyperlink w:anchor="_Toc8889" w:history="1">
        <w:r>
          <w:rPr>
            <w:rFonts w:ascii="IRNazanin" w:hAnsi="IRNazanin" w:eastAsia="IRNazanin" w:cs="IRNazanin"/>
            <w:color w:val="111111"/>
            <w:sz w:val="22"/>
            <w:szCs w:val="22"/>
            <w:b w:val="0"/>
            <w:bCs w:val="0"/>
            <w:i w:val="0"/>
            <w:iCs w:val="0"/>
          </w:rPr>
          <w:t>7695- دیوان السید نصر الله المدرس الشهید</w:t>
        </w:r>
        <w:r>
          <w:tab/>
        </w:r>
        <w:r>
          <w:fldChar w:fldCharType="begin"/>
        </w:r>
        <w:r>
          <w:instrText xml:space="preserve">PAGEREF 8889 \h</w:instrText>
        </w:r>
        <w:r>
          <w:fldChar w:fldCharType="end"/>
        </w:r>
      </w:hyperlink>
    </w:p>
    <w:p>
      <w:pPr>
        <w:tabs>
          <w:tab w:val="right" w:leader="dot" w:pos="9062"/>
        </w:tabs>
        <w:ind w:left="440"/>
      </w:pPr>
      <w:hyperlink w:anchor="_Toc8890" w:history="1">
        <w:r>
          <w:rPr>
            <w:rFonts w:ascii="IRNazanin" w:hAnsi="IRNazanin" w:eastAsia="IRNazanin" w:cs="IRNazanin"/>
            <w:color w:val="111111"/>
            <w:sz w:val="22"/>
            <w:szCs w:val="22"/>
            <w:b w:val="0"/>
            <w:bCs w:val="0"/>
            <w:i w:val="0"/>
            <w:iCs w:val="0"/>
          </w:rPr>
          <w:t>دیوان نصر همدانی‏</w:t>
        </w:r>
        <w:r>
          <w:tab/>
        </w:r>
        <w:r>
          <w:fldChar w:fldCharType="begin"/>
        </w:r>
        <w:r>
          <w:instrText xml:space="preserve">PAGEREF 8890 \h</w:instrText>
        </w:r>
        <w:r>
          <w:fldChar w:fldCharType="end"/>
        </w:r>
      </w:hyperlink>
    </w:p>
    <w:p>
      <w:pPr>
        <w:tabs>
          <w:tab w:val="right" w:leader="dot" w:pos="9062"/>
        </w:tabs>
        <w:ind w:left="440"/>
      </w:pPr>
      <w:hyperlink w:anchor="_Toc8891" w:history="1">
        <w:r>
          <w:rPr>
            <w:rFonts w:ascii="IRNazanin" w:hAnsi="IRNazanin" w:eastAsia="IRNazanin" w:cs="IRNazanin"/>
            <w:color w:val="111111"/>
            <w:sz w:val="22"/>
            <w:szCs w:val="22"/>
            <w:b w:val="0"/>
            <w:bCs w:val="0"/>
            <w:i w:val="0"/>
            <w:iCs w:val="0"/>
          </w:rPr>
          <w:t>7696- دیوان نصیب أصفهانی أو شعره‏</w:t>
        </w:r>
        <w:r>
          <w:tab/>
        </w:r>
        <w:r>
          <w:fldChar w:fldCharType="begin"/>
        </w:r>
        <w:r>
          <w:instrText xml:space="preserve">PAGEREF 8891 \h</w:instrText>
        </w:r>
        <w:r>
          <w:fldChar w:fldCharType="end"/>
        </w:r>
      </w:hyperlink>
    </w:p>
    <w:p>
      <w:pPr>
        <w:tabs>
          <w:tab w:val="right" w:leader="dot" w:pos="9062"/>
        </w:tabs>
        <w:ind w:left="440"/>
      </w:pPr>
      <w:hyperlink w:anchor="_Toc8892" w:history="1">
        <w:r>
          <w:rPr>
            <w:rFonts w:ascii="IRNazanin" w:hAnsi="IRNazanin" w:eastAsia="IRNazanin" w:cs="IRNazanin"/>
            <w:color w:val="111111"/>
            <w:sz w:val="22"/>
            <w:szCs w:val="22"/>
            <w:b w:val="0"/>
            <w:bCs w:val="0"/>
            <w:i w:val="0"/>
            <w:iCs w:val="0"/>
          </w:rPr>
          <w:t>7697- دیوان نصیب أصفهانی أو شعره‏</w:t>
        </w:r>
        <w:r>
          <w:tab/>
        </w:r>
        <w:r>
          <w:fldChar w:fldCharType="begin"/>
        </w:r>
        <w:r>
          <w:instrText xml:space="preserve">PAGEREF 8892 \h</w:instrText>
        </w:r>
        <w:r>
          <w:fldChar w:fldCharType="end"/>
        </w:r>
      </w:hyperlink>
    </w:p>
    <w:p>
      <w:pPr>
        <w:tabs>
          <w:tab w:val="right" w:leader="dot" w:pos="9062"/>
        </w:tabs>
        <w:ind w:left="440"/>
      </w:pPr>
      <w:hyperlink w:anchor="_Toc8893" w:history="1">
        <w:r>
          <w:rPr>
            <w:rFonts w:ascii="IRNazanin" w:hAnsi="IRNazanin" w:eastAsia="IRNazanin" w:cs="IRNazanin"/>
            <w:color w:val="111111"/>
            <w:sz w:val="22"/>
            <w:szCs w:val="22"/>
            <w:b w:val="0"/>
            <w:bCs w:val="0"/>
            <w:i w:val="0"/>
            <w:iCs w:val="0"/>
          </w:rPr>
          <w:t>7698- دیوان نصیب رازی أو شعره‏</w:t>
        </w:r>
        <w:r>
          <w:tab/>
        </w:r>
        <w:r>
          <w:fldChar w:fldCharType="begin"/>
        </w:r>
        <w:r>
          <w:instrText xml:space="preserve">PAGEREF 8893 \h</w:instrText>
        </w:r>
        <w:r>
          <w:fldChar w:fldCharType="end"/>
        </w:r>
      </w:hyperlink>
    </w:p>
    <w:p>
      <w:pPr>
        <w:tabs>
          <w:tab w:val="right" w:leader="dot" w:pos="9062"/>
        </w:tabs>
        <w:ind w:left="440"/>
      </w:pPr>
      <w:hyperlink w:anchor="_Toc8894" w:history="1">
        <w:r>
          <w:rPr>
            <w:rFonts w:ascii="IRNazanin" w:hAnsi="IRNazanin" w:eastAsia="IRNazanin" w:cs="IRNazanin"/>
            <w:color w:val="111111"/>
            <w:sz w:val="22"/>
            <w:szCs w:val="22"/>
            <w:b w:val="0"/>
            <w:bCs w:val="0"/>
            <w:i w:val="0"/>
            <w:iCs w:val="0"/>
          </w:rPr>
          <w:t>7699- دیوان نصیب سبزواری أو شعره‏</w:t>
        </w:r>
        <w:r>
          <w:tab/>
        </w:r>
        <w:r>
          <w:fldChar w:fldCharType="begin"/>
        </w:r>
        <w:r>
          <w:instrText xml:space="preserve">PAGEREF 8894 \h</w:instrText>
        </w:r>
        <w:r>
          <w:fldChar w:fldCharType="end"/>
        </w:r>
      </w:hyperlink>
    </w:p>
    <w:p>
      <w:pPr>
        <w:tabs>
          <w:tab w:val="right" w:leader="dot" w:pos="9062"/>
        </w:tabs>
        <w:ind w:left="440"/>
      </w:pPr>
      <w:hyperlink w:anchor="_Toc8895" w:history="1">
        <w:r>
          <w:rPr>
            <w:rFonts w:ascii="IRNazanin" w:hAnsi="IRNazanin" w:eastAsia="IRNazanin" w:cs="IRNazanin"/>
            <w:color w:val="111111"/>
            <w:sz w:val="22"/>
            <w:szCs w:val="22"/>
            <w:b w:val="0"/>
            <w:bCs w:val="0"/>
            <w:i w:val="0"/>
            <w:iCs w:val="0"/>
          </w:rPr>
          <w:t>7700- دیوان نصیب شاه أو شعره‏</w:t>
        </w:r>
        <w:r>
          <w:tab/>
        </w:r>
        <w:r>
          <w:fldChar w:fldCharType="begin"/>
        </w:r>
        <w:r>
          <w:instrText xml:space="preserve">PAGEREF 8895 \h</w:instrText>
        </w:r>
        <w:r>
          <w:fldChar w:fldCharType="end"/>
        </w:r>
      </w:hyperlink>
    </w:p>
    <w:p>
      <w:pPr>
        <w:tabs>
          <w:tab w:val="right" w:leader="dot" w:pos="9062"/>
        </w:tabs>
        <w:ind w:left="440"/>
      </w:pPr>
      <w:hyperlink w:anchor="_Toc8896" w:history="1">
        <w:r>
          <w:rPr>
            <w:rFonts w:ascii="IRNazanin" w:hAnsi="IRNazanin" w:eastAsia="IRNazanin" w:cs="IRNazanin"/>
            <w:color w:val="111111"/>
            <w:sz w:val="22"/>
            <w:szCs w:val="22"/>
            <w:b w:val="0"/>
            <w:bCs w:val="0"/>
            <w:i w:val="0"/>
            <w:iCs w:val="0"/>
          </w:rPr>
          <w:t>7701- دیوان نصیب قزوینی أو شعره‏</w:t>
        </w:r>
        <w:r>
          <w:tab/>
        </w:r>
        <w:r>
          <w:fldChar w:fldCharType="begin"/>
        </w:r>
        <w:r>
          <w:instrText xml:space="preserve">PAGEREF 8896 \h</w:instrText>
        </w:r>
        <w:r>
          <w:fldChar w:fldCharType="end"/>
        </w:r>
      </w:hyperlink>
    </w:p>
    <w:p>
      <w:pPr>
        <w:tabs>
          <w:tab w:val="right" w:leader="dot" w:pos="9062"/>
        </w:tabs>
        <w:ind w:left="440"/>
      </w:pPr>
      <w:hyperlink w:anchor="_Toc8897" w:history="1">
        <w:r>
          <w:rPr>
            <w:rFonts w:ascii="IRNazanin" w:hAnsi="IRNazanin" w:eastAsia="IRNazanin" w:cs="IRNazanin"/>
            <w:color w:val="111111"/>
            <w:sz w:val="22"/>
            <w:szCs w:val="22"/>
            <w:b w:val="0"/>
            <w:bCs w:val="0"/>
            <w:i w:val="0"/>
            <w:iCs w:val="0"/>
          </w:rPr>
          <w:t>دیوان نصیبی رازی‏</w:t>
        </w:r>
        <w:r>
          <w:tab/>
        </w:r>
        <w:r>
          <w:fldChar w:fldCharType="begin"/>
        </w:r>
        <w:r>
          <w:instrText xml:space="preserve">PAGEREF 8897 \h</w:instrText>
        </w:r>
        <w:r>
          <w:fldChar w:fldCharType="end"/>
        </w:r>
      </w:hyperlink>
    </w:p>
    <w:p>
      <w:pPr>
        <w:tabs>
          <w:tab w:val="right" w:leader="dot" w:pos="9062"/>
        </w:tabs>
        <w:ind w:left="440"/>
      </w:pPr>
      <w:hyperlink w:anchor="_Toc8898" w:history="1">
        <w:r>
          <w:rPr>
            <w:rFonts w:ascii="IRNazanin" w:hAnsi="IRNazanin" w:eastAsia="IRNazanin" w:cs="IRNazanin"/>
            <w:color w:val="111111"/>
            <w:sz w:val="22"/>
            <w:szCs w:val="22"/>
            <w:b w:val="0"/>
            <w:bCs w:val="0"/>
            <w:i w:val="0"/>
            <w:iCs w:val="0"/>
          </w:rPr>
          <w:t>7702- دیوان نصیبی شیرازی أو شعره‏</w:t>
        </w:r>
        <w:r>
          <w:tab/>
        </w:r>
        <w:r>
          <w:fldChar w:fldCharType="begin"/>
        </w:r>
        <w:r>
          <w:instrText xml:space="preserve">PAGEREF 8898 \h</w:instrText>
        </w:r>
        <w:r>
          <w:fldChar w:fldCharType="end"/>
        </w:r>
      </w:hyperlink>
    </w:p>
    <w:p>
      <w:pPr>
        <w:tabs>
          <w:tab w:val="right" w:leader="dot" w:pos="9062"/>
        </w:tabs>
        <w:ind w:left="440"/>
      </w:pPr>
      <w:hyperlink w:anchor="_Toc8899" w:history="1">
        <w:r>
          <w:rPr>
            <w:rFonts w:ascii="IRNazanin" w:hAnsi="IRNazanin" w:eastAsia="IRNazanin" w:cs="IRNazanin"/>
            <w:color w:val="111111"/>
            <w:sz w:val="22"/>
            <w:szCs w:val="22"/>
            <w:b w:val="0"/>
            <w:bCs w:val="0"/>
            <w:i w:val="0"/>
            <w:iCs w:val="0"/>
          </w:rPr>
          <w:t>7703- دیوان نصیبی کرمانشاهی أو شعره‏</w:t>
        </w:r>
        <w:r>
          <w:tab/>
        </w:r>
        <w:r>
          <w:fldChar w:fldCharType="begin"/>
        </w:r>
        <w:r>
          <w:instrText xml:space="preserve">PAGEREF 8899 \h</w:instrText>
        </w:r>
        <w:r>
          <w:fldChar w:fldCharType="end"/>
        </w:r>
      </w:hyperlink>
    </w:p>
    <w:p>
      <w:pPr>
        <w:tabs>
          <w:tab w:val="right" w:leader="dot" w:pos="9062"/>
        </w:tabs>
        <w:ind w:left="440"/>
      </w:pPr>
      <w:hyperlink w:anchor="_Toc8900" w:history="1">
        <w:r>
          <w:rPr>
            <w:rFonts w:ascii="IRNazanin" w:hAnsi="IRNazanin" w:eastAsia="IRNazanin" w:cs="IRNazanin"/>
            <w:color w:val="111111"/>
            <w:sz w:val="22"/>
            <w:szCs w:val="22"/>
            <w:b w:val="0"/>
            <w:bCs w:val="0"/>
            <w:i w:val="0"/>
            <w:iCs w:val="0"/>
          </w:rPr>
          <w:t>7704- دیوان نصیبی گیلانی‏</w:t>
        </w:r>
        <w:r>
          <w:tab/>
        </w:r>
        <w:r>
          <w:fldChar w:fldCharType="begin"/>
        </w:r>
        <w:r>
          <w:instrText xml:space="preserve">PAGEREF 8900 \h</w:instrText>
        </w:r>
        <w:r>
          <w:fldChar w:fldCharType="end"/>
        </w:r>
      </w:hyperlink>
    </w:p>
    <w:p>
      <w:pPr>
        <w:tabs>
          <w:tab w:val="right" w:leader="dot" w:pos="9062"/>
        </w:tabs>
        <w:ind w:left="440"/>
      </w:pPr>
      <w:hyperlink w:anchor="_Toc8901" w:history="1">
        <w:r>
          <w:rPr>
            <w:rFonts w:ascii="IRNazanin" w:hAnsi="IRNazanin" w:eastAsia="IRNazanin" w:cs="IRNazanin"/>
            <w:color w:val="111111"/>
            <w:sz w:val="22"/>
            <w:szCs w:val="22"/>
            <w:b w:val="0"/>
            <w:bCs w:val="0"/>
            <w:i w:val="0"/>
            <w:iCs w:val="0"/>
          </w:rPr>
          <w:t>دیوان نصیبی نوربخشی‏</w:t>
        </w:r>
        <w:r>
          <w:tab/>
        </w:r>
        <w:r>
          <w:fldChar w:fldCharType="begin"/>
        </w:r>
        <w:r>
          <w:instrText xml:space="preserve">PAGEREF 8901 \h</w:instrText>
        </w:r>
        <w:r>
          <w:fldChar w:fldCharType="end"/>
        </w:r>
      </w:hyperlink>
    </w:p>
    <w:p>
      <w:pPr>
        <w:tabs>
          <w:tab w:val="right" w:leader="dot" w:pos="9062"/>
        </w:tabs>
        <w:ind w:left="440"/>
      </w:pPr>
      <w:hyperlink w:anchor="_Toc8902" w:history="1">
        <w:r>
          <w:rPr>
            <w:rFonts w:ascii="IRNazanin" w:hAnsi="IRNazanin" w:eastAsia="IRNazanin" w:cs="IRNazanin"/>
            <w:color w:val="111111"/>
            <w:sz w:val="22"/>
            <w:szCs w:val="22"/>
            <w:b w:val="0"/>
            <w:bCs w:val="0"/>
            <w:i w:val="0"/>
            <w:iCs w:val="0"/>
          </w:rPr>
          <w:t>7705- دیوان نصیبی یزدی‏</w:t>
        </w:r>
        <w:r>
          <w:tab/>
        </w:r>
        <w:r>
          <w:fldChar w:fldCharType="begin"/>
        </w:r>
        <w:r>
          <w:instrText xml:space="preserve">PAGEREF 8902 \h</w:instrText>
        </w:r>
        <w:r>
          <w:fldChar w:fldCharType="end"/>
        </w:r>
      </w:hyperlink>
    </w:p>
    <w:p>
      <w:pPr>
        <w:tabs>
          <w:tab w:val="right" w:leader="dot" w:pos="9062"/>
        </w:tabs>
        <w:ind w:left="440"/>
      </w:pPr>
      <w:hyperlink w:anchor="_Toc8903" w:history="1">
        <w:r>
          <w:rPr>
            <w:rFonts w:ascii="IRNazanin" w:hAnsi="IRNazanin" w:eastAsia="IRNazanin" w:cs="IRNazanin"/>
            <w:color w:val="111111"/>
            <w:sz w:val="22"/>
            <w:szCs w:val="22"/>
            <w:b w:val="0"/>
            <w:bCs w:val="0"/>
            <w:i w:val="0"/>
            <w:iCs w:val="0"/>
          </w:rPr>
          <w:t>7706- دیوان نصیر أصفهانی أو شعره‏</w:t>
        </w:r>
        <w:r>
          <w:tab/>
        </w:r>
        <w:r>
          <w:fldChar w:fldCharType="begin"/>
        </w:r>
        <w:r>
          <w:instrText xml:space="preserve">PAGEREF 8903 \h</w:instrText>
        </w:r>
        <w:r>
          <w:fldChar w:fldCharType="end"/>
        </w:r>
      </w:hyperlink>
    </w:p>
    <w:p>
      <w:pPr>
        <w:tabs>
          <w:tab w:val="right" w:leader="dot" w:pos="9062"/>
        </w:tabs>
        <w:ind w:left="440"/>
      </w:pPr>
      <w:hyperlink w:anchor="_Toc8904" w:history="1">
        <w:r>
          <w:rPr>
            <w:rFonts w:ascii="IRNazanin" w:hAnsi="IRNazanin" w:eastAsia="IRNazanin" w:cs="IRNazanin"/>
            <w:color w:val="111111"/>
            <w:sz w:val="22"/>
            <w:szCs w:val="22"/>
            <w:b w:val="0"/>
            <w:bCs w:val="0"/>
            <w:i w:val="0"/>
            <w:iCs w:val="0"/>
          </w:rPr>
          <w:t>7707- دیوان نصیر أصفهانی‏</w:t>
        </w:r>
        <w:r>
          <w:tab/>
        </w:r>
        <w:r>
          <w:fldChar w:fldCharType="begin"/>
        </w:r>
        <w:r>
          <w:instrText xml:space="preserve">PAGEREF 8904 \h</w:instrText>
        </w:r>
        <w:r>
          <w:fldChar w:fldCharType="end"/>
        </w:r>
      </w:hyperlink>
    </w:p>
    <w:p>
      <w:pPr>
        <w:tabs>
          <w:tab w:val="right" w:leader="dot" w:pos="9062"/>
        </w:tabs>
        <w:ind w:left="440"/>
      </w:pPr>
      <w:hyperlink w:anchor="_Toc8905" w:history="1">
        <w:r>
          <w:rPr>
            <w:rFonts w:ascii="IRNazanin" w:hAnsi="IRNazanin" w:eastAsia="IRNazanin" w:cs="IRNazanin"/>
            <w:color w:val="111111"/>
            <w:sz w:val="22"/>
            <w:szCs w:val="22"/>
            <w:b w:val="0"/>
            <w:bCs w:val="0"/>
            <w:i w:val="0"/>
            <w:iCs w:val="0"/>
          </w:rPr>
          <w:t>7708- دیوان نصیر بدخشانی أو شعره‏</w:t>
        </w:r>
        <w:r>
          <w:tab/>
        </w:r>
        <w:r>
          <w:fldChar w:fldCharType="begin"/>
        </w:r>
        <w:r>
          <w:instrText xml:space="preserve">PAGEREF 8905 \h</w:instrText>
        </w:r>
        <w:r>
          <w:fldChar w:fldCharType="end"/>
        </w:r>
      </w:hyperlink>
    </w:p>
    <w:p>
      <w:pPr>
        <w:tabs>
          <w:tab w:val="right" w:leader="dot" w:pos="9062"/>
        </w:tabs>
        <w:ind w:left="440"/>
      </w:pPr>
      <w:hyperlink w:anchor="_Toc8906" w:history="1">
        <w:r>
          <w:rPr>
            <w:rFonts w:ascii="IRNazanin" w:hAnsi="IRNazanin" w:eastAsia="IRNazanin" w:cs="IRNazanin"/>
            <w:color w:val="111111"/>
            <w:sz w:val="22"/>
            <w:szCs w:val="22"/>
            <w:b w:val="0"/>
            <w:bCs w:val="0"/>
            <w:i w:val="0"/>
            <w:iCs w:val="0"/>
          </w:rPr>
          <w:t>7709- دیوان نصیر بروجردی أو شعره‏</w:t>
        </w:r>
        <w:r>
          <w:tab/>
        </w:r>
        <w:r>
          <w:fldChar w:fldCharType="begin"/>
        </w:r>
        <w:r>
          <w:instrText xml:space="preserve">PAGEREF 8906 \h</w:instrText>
        </w:r>
        <w:r>
          <w:fldChar w:fldCharType="end"/>
        </w:r>
      </w:hyperlink>
    </w:p>
    <w:p>
      <w:pPr>
        <w:tabs>
          <w:tab w:val="right" w:leader="dot" w:pos="9062"/>
        </w:tabs>
        <w:ind w:left="440"/>
      </w:pPr>
      <w:hyperlink w:anchor="_Toc8907" w:history="1">
        <w:r>
          <w:rPr>
            <w:rFonts w:ascii="IRNazanin" w:hAnsi="IRNazanin" w:eastAsia="IRNazanin" w:cs="IRNazanin"/>
            <w:color w:val="111111"/>
            <w:sz w:val="22"/>
            <w:szCs w:val="22"/>
            <w:b w:val="0"/>
            <w:bCs w:val="0"/>
            <w:i w:val="0"/>
            <w:iCs w:val="0"/>
          </w:rPr>
          <w:t>7710- دیوان نصیر تبریزی أو شعره‏</w:t>
        </w:r>
        <w:r>
          <w:tab/>
        </w:r>
        <w:r>
          <w:fldChar w:fldCharType="begin"/>
        </w:r>
        <w:r>
          <w:instrText xml:space="preserve">PAGEREF 8907 \h</w:instrText>
        </w:r>
        <w:r>
          <w:fldChar w:fldCharType="end"/>
        </w:r>
      </w:hyperlink>
    </w:p>
    <w:p>
      <w:pPr>
        <w:tabs>
          <w:tab w:val="right" w:leader="dot" w:pos="9062"/>
        </w:tabs>
        <w:ind w:left="440"/>
      </w:pPr>
      <w:hyperlink w:anchor="_Toc8908" w:history="1">
        <w:r>
          <w:rPr>
            <w:rFonts w:ascii="IRNazanin" w:hAnsi="IRNazanin" w:eastAsia="IRNazanin" w:cs="IRNazanin"/>
            <w:color w:val="111111"/>
            <w:sz w:val="22"/>
            <w:szCs w:val="22"/>
            <w:b w:val="0"/>
            <w:bCs w:val="0"/>
            <w:i w:val="0"/>
            <w:iCs w:val="0"/>
          </w:rPr>
          <w:t>7711- دیوان نصیر تنکابنی أو شعره‏</w:t>
        </w:r>
        <w:r>
          <w:tab/>
        </w:r>
        <w:r>
          <w:fldChar w:fldCharType="begin"/>
        </w:r>
        <w:r>
          <w:instrText xml:space="preserve">PAGEREF 8908 \h</w:instrText>
        </w:r>
        <w:r>
          <w:fldChar w:fldCharType="end"/>
        </w:r>
      </w:hyperlink>
    </w:p>
    <w:p>
      <w:pPr>
        <w:tabs>
          <w:tab w:val="right" w:leader="dot" w:pos="9062"/>
        </w:tabs>
        <w:ind w:left="440"/>
      </w:pPr>
      <w:hyperlink w:anchor="_Toc8909" w:history="1">
        <w:r>
          <w:rPr>
            <w:rFonts w:ascii="IRNazanin" w:hAnsi="IRNazanin" w:eastAsia="IRNazanin" w:cs="IRNazanin"/>
            <w:color w:val="111111"/>
            <w:sz w:val="22"/>
            <w:szCs w:val="22"/>
            <w:b w:val="0"/>
            <w:bCs w:val="0"/>
            <w:i w:val="0"/>
            <w:iCs w:val="0"/>
          </w:rPr>
          <w:t>دیوان نصیر تویسرکانی‏</w:t>
        </w:r>
        <w:r>
          <w:tab/>
        </w:r>
        <w:r>
          <w:fldChar w:fldCharType="begin"/>
        </w:r>
        <w:r>
          <w:instrText xml:space="preserve">PAGEREF 8909 \h</w:instrText>
        </w:r>
        <w:r>
          <w:fldChar w:fldCharType="end"/>
        </w:r>
      </w:hyperlink>
    </w:p>
    <w:p>
      <w:pPr>
        <w:tabs>
          <w:tab w:val="right" w:leader="dot" w:pos="9062"/>
        </w:tabs>
        <w:ind w:left="440"/>
      </w:pPr>
      <w:hyperlink w:anchor="_Toc8910" w:history="1">
        <w:r>
          <w:rPr>
            <w:rFonts w:ascii="IRNazanin" w:hAnsi="IRNazanin" w:eastAsia="IRNazanin" w:cs="IRNazanin"/>
            <w:color w:val="111111"/>
            <w:sz w:val="22"/>
            <w:szCs w:val="22"/>
            <w:b w:val="0"/>
            <w:bCs w:val="0"/>
            <w:i w:val="0"/>
            <w:iCs w:val="0"/>
          </w:rPr>
          <w:t>7712- دیوان نصیر دهلوی أو شعره‏</w:t>
        </w:r>
        <w:r>
          <w:tab/>
        </w:r>
        <w:r>
          <w:fldChar w:fldCharType="begin"/>
        </w:r>
        <w:r>
          <w:instrText xml:space="preserve">PAGEREF 8910 \h</w:instrText>
        </w:r>
        <w:r>
          <w:fldChar w:fldCharType="end"/>
        </w:r>
      </w:hyperlink>
    </w:p>
    <w:p>
      <w:pPr>
        <w:tabs>
          <w:tab w:val="right" w:leader="dot" w:pos="9062"/>
        </w:tabs>
        <w:ind w:left="440"/>
      </w:pPr>
      <w:hyperlink w:anchor="_Toc8911" w:history="1">
        <w:r>
          <w:rPr>
            <w:rFonts w:ascii="IRNazanin" w:hAnsi="IRNazanin" w:eastAsia="IRNazanin" w:cs="IRNazanin"/>
            <w:color w:val="111111"/>
            <w:sz w:val="22"/>
            <w:szCs w:val="22"/>
            <w:b w:val="0"/>
            <w:bCs w:val="0"/>
            <w:i w:val="0"/>
            <w:iCs w:val="0"/>
          </w:rPr>
          <w:t>دیوان نصیر سرخسی‏</w:t>
        </w:r>
        <w:r>
          <w:tab/>
        </w:r>
        <w:r>
          <w:fldChar w:fldCharType="begin"/>
        </w:r>
        <w:r>
          <w:instrText xml:space="preserve">PAGEREF 8911 \h</w:instrText>
        </w:r>
        <w:r>
          <w:fldChar w:fldCharType="end"/>
        </w:r>
      </w:hyperlink>
    </w:p>
    <w:p>
      <w:pPr>
        <w:tabs>
          <w:tab w:val="right" w:leader="dot" w:pos="9062"/>
        </w:tabs>
        <w:ind w:left="440"/>
      </w:pPr>
      <w:hyperlink w:anchor="_Toc8912" w:history="1">
        <w:r>
          <w:rPr>
            <w:rFonts w:ascii="IRNazanin" w:hAnsi="IRNazanin" w:eastAsia="IRNazanin" w:cs="IRNazanin"/>
            <w:color w:val="111111"/>
            <w:sz w:val="22"/>
            <w:szCs w:val="22"/>
            <w:b w:val="0"/>
            <w:bCs w:val="0"/>
            <w:i w:val="0"/>
            <w:iCs w:val="0"/>
          </w:rPr>
          <w:t>7713- دیوان نصیر سیستانی أو شعره‏</w:t>
        </w:r>
        <w:r>
          <w:tab/>
        </w:r>
        <w:r>
          <w:fldChar w:fldCharType="begin"/>
        </w:r>
        <w:r>
          <w:instrText xml:space="preserve">PAGEREF 8912 \h</w:instrText>
        </w:r>
        <w:r>
          <w:fldChar w:fldCharType="end"/>
        </w:r>
      </w:hyperlink>
    </w:p>
    <w:p>
      <w:pPr>
        <w:tabs>
          <w:tab w:val="right" w:leader="dot" w:pos="9062"/>
        </w:tabs>
        <w:ind w:left="440"/>
      </w:pPr>
      <w:hyperlink w:anchor="_Toc8913" w:history="1">
        <w:r>
          <w:rPr>
            <w:rFonts w:ascii="IRNazanin" w:hAnsi="IRNazanin" w:eastAsia="IRNazanin" w:cs="IRNazanin"/>
            <w:color w:val="111111"/>
            <w:sz w:val="22"/>
            <w:szCs w:val="22"/>
            <w:b w:val="0"/>
            <w:bCs w:val="0"/>
            <w:i w:val="0"/>
            <w:iCs w:val="0"/>
          </w:rPr>
          <w:t>7714- دیوان نصیر شیرازی أو شعره‏</w:t>
        </w:r>
        <w:r>
          <w:tab/>
        </w:r>
        <w:r>
          <w:fldChar w:fldCharType="begin"/>
        </w:r>
        <w:r>
          <w:instrText xml:space="preserve">PAGEREF 8913 \h</w:instrText>
        </w:r>
        <w:r>
          <w:fldChar w:fldCharType="end"/>
        </w:r>
      </w:hyperlink>
    </w:p>
    <w:p>
      <w:pPr>
        <w:tabs>
          <w:tab w:val="right" w:leader="dot" w:pos="9062"/>
        </w:tabs>
        <w:ind w:left="440"/>
      </w:pPr>
      <w:hyperlink w:anchor="_Toc8914" w:history="1">
        <w:r>
          <w:rPr>
            <w:rFonts w:ascii="IRNazanin" w:hAnsi="IRNazanin" w:eastAsia="IRNazanin" w:cs="IRNazanin"/>
            <w:color w:val="111111"/>
            <w:sz w:val="22"/>
            <w:szCs w:val="22"/>
            <w:b w:val="0"/>
            <w:bCs w:val="0"/>
            <w:i w:val="0"/>
            <w:iCs w:val="0"/>
          </w:rPr>
          <w:t>دیوان نصیر شیرازی أو شعره‏</w:t>
        </w:r>
        <w:r>
          <w:tab/>
        </w:r>
        <w:r>
          <w:fldChar w:fldCharType="begin"/>
        </w:r>
        <w:r>
          <w:instrText xml:space="preserve">PAGEREF 8914 \h</w:instrText>
        </w:r>
        <w:r>
          <w:fldChar w:fldCharType="end"/>
        </w:r>
      </w:hyperlink>
    </w:p>
    <w:p>
      <w:pPr>
        <w:tabs>
          <w:tab w:val="right" w:leader="dot" w:pos="9062"/>
        </w:tabs>
        <w:ind w:left="440"/>
      </w:pPr>
      <w:hyperlink w:anchor="_Toc8915" w:history="1">
        <w:r>
          <w:rPr>
            <w:rFonts w:ascii="IRNazanin" w:hAnsi="IRNazanin" w:eastAsia="IRNazanin" w:cs="IRNazanin"/>
            <w:color w:val="111111"/>
            <w:sz w:val="22"/>
            <w:szCs w:val="22"/>
            <w:b w:val="0"/>
            <w:bCs w:val="0"/>
            <w:i w:val="0"/>
            <w:iCs w:val="0"/>
          </w:rPr>
          <w:t>دیوان نصیر شیرازی‏</w:t>
        </w:r>
        <w:r>
          <w:tab/>
        </w:r>
        <w:r>
          <w:fldChar w:fldCharType="begin"/>
        </w:r>
        <w:r>
          <w:instrText xml:space="preserve">PAGEREF 8915 \h</w:instrText>
        </w:r>
        <w:r>
          <w:fldChar w:fldCharType="end"/>
        </w:r>
      </w:hyperlink>
    </w:p>
    <w:p>
      <w:pPr>
        <w:tabs>
          <w:tab w:val="right" w:leader="dot" w:pos="9062"/>
        </w:tabs>
        <w:ind w:left="440"/>
      </w:pPr>
      <w:hyperlink w:anchor="_Toc8916" w:history="1">
        <w:r>
          <w:rPr>
            <w:rFonts w:ascii="IRNazanin" w:hAnsi="IRNazanin" w:eastAsia="IRNazanin" w:cs="IRNazanin"/>
            <w:color w:val="111111"/>
            <w:sz w:val="22"/>
            <w:szCs w:val="22"/>
            <w:b w:val="0"/>
            <w:bCs w:val="0"/>
            <w:i w:val="0"/>
            <w:iCs w:val="0"/>
          </w:rPr>
          <w:t>دیوان نصیر طبیب‏</w:t>
        </w:r>
        <w:r>
          <w:tab/>
        </w:r>
        <w:r>
          <w:fldChar w:fldCharType="begin"/>
        </w:r>
        <w:r>
          <w:instrText xml:space="preserve">PAGEREF 8916 \h</w:instrText>
        </w:r>
        <w:r>
          <w:fldChar w:fldCharType="end"/>
        </w:r>
      </w:hyperlink>
    </w:p>
    <w:p>
      <w:pPr>
        <w:tabs>
          <w:tab w:val="right" w:leader="dot" w:pos="9062"/>
        </w:tabs>
        <w:ind w:left="440"/>
      </w:pPr>
      <w:hyperlink w:anchor="_Toc8917" w:history="1">
        <w:r>
          <w:rPr>
            <w:rFonts w:ascii="IRNazanin" w:hAnsi="IRNazanin" w:eastAsia="IRNazanin" w:cs="IRNazanin"/>
            <w:color w:val="111111"/>
            <w:sz w:val="22"/>
            <w:szCs w:val="22"/>
            <w:b w:val="0"/>
            <w:bCs w:val="0"/>
            <w:i w:val="0"/>
            <w:iCs w:val="0"/>
          </w:rPr>
          <w:t>دیوان نصیر الدین الطوسی‏</w:t>
        </w:r>
        <w:r>
          <w:tab/>
        </w:r>
        <w:r>
          <w:fldChar w:fldCharType="begin"/>
        </w:r>
        <w:r>
          <w:instrText xml:space="preserve">PAGEREF 8917 \h</w:instrText>
        </w:r>
        <w:r>
          <w:fldChar w:fldCharType="end"/>
        </w:r>
      </w:hyperlink>
    </w:p>
    <w:p>
      <w:pPr>
        <w:tabs>
          <w:tab w:val="right" w:leader="dot" w:pos="9062"/>
        </w:tabs>
        <w:ind w:left="440"/>
      </w:pPr>
      <w:hyperlink w:anchor="_Toc8918" w:history="1">
        <w:r>
          <w:rPr>
            <w:rFonts w:ascii="IRNazanin" w:hAnsi="IRNazanin" w:eastAsia="IRNazanin" w:cs="IRNazanin"/>
            <w:color w:val="111111"/>
            <w:sz w:val="22"/>
            <w:szCs w:val="22"/>
            <w:b w:val="0"/>
            <w:bCs w:val="0"/>
            <w:i w:val="0"/>
            <w:iCs w:val="0"/>
          </w:rPr>
          <w:t>7715- دیوان نصیر طهرانی أو شعره‏</w:t>
        </w:r>
        <w:r>
          <w:tab/>
        </w:r>
        <w:r>
          <w:fldChar w:fldCharType="begin"/>
        </w:r>
        <w:r>
          <w:instrText xml:space="preserve">PAGEREF 8918 \h</w:instrText>
        </w:r>
        <w:r>
          <w:fldChar w:fldCharType="end"/>
        </w:r>
      </w:hyperlink>
    </w:p>
    <w:p>
      <w:pPr>
        <w:tabs>
          <w:tab w:val="right" w:leader="dot" w:pos="9062"/>
        </w:tabs>
        <w:ind w:left="440"/>
      </w:pPr>
      <w:hyperlink w:anchor="_Toc8919" w:history="1">
        <w:r>
          <w:rPr>
            <w:rFonts w:ascii="IRNazanin" w:hAnsi="IRNazanin" w:eastAsia="IRNazanin" w:cs="IRNazanin"/>
            <w:color w:val="111111"/>
            <w:sz w:val="22"/>
            <w:szCs w:val="22"/>
            <w:b w:val="0"/>
            <w:bCs w:val="0"/>
            <w:i w:val="0"/>
            <w:iCs w:val="0"/>
          </w:rPr>
          <w:t>دیوان نصیر قزوینی‏</w:t>
        </w:r>
        <w:r>
          <w:tab/>
        </w:r>
        <w:r>
          <w:fldChar w:fldCharType="begin"/>
        </w:r>
        <w:r>
          <w:instrText xml:space="preserve">PAGEREF 8919 \h</w:instrText>
        </w:r>
        <w:r>
          <w:fldChar w:fldCharType="end"/>
        </w:r>
      </w:hyperlink>
    </w:p>
    <w:p>
      <w:pPr>
        <w:tabs>
          <w:tab w:val="right" w:leader="dot" w:pos="9062"/>
        </w:tabs>
        <w:ind w:left="440"/>
      </w:pPr>
      <w:hyperlink w:anchor="_Toc8920" w:history="1">
        <w:r>
          <w:rPr>
            <w:rFonts w:ascii="IRNazanin" w:hAnsi="IRNazanin" w:eastAsia="IRNazanin" w:cs="IRNazanin"/>
            <w:color w:val="111111"/>
            <w:sz w:val="22"/>
            <w:szCs w:val="22"/>
            <w:b w:val="0"/>
            <w:bCs w:val="0"/>
            <w:i w:val="0"/>
            <w:iCs w:val="0"/>
          </w:rPr>
          <w:t>7716- دیوان نصیر کشمیری أو شعره‏</w:t>
        </w:r>
        <w:r>
          <w:tab/>
        </w:r>
        <w:r>
          <w:fldChar w:fldCharType="begin"/>
        </w:r>
        <w:r>
          <w:instrText xml:space="preserve">PAGEREF 8920 \h</w:instrText>
        </w:r>
        <w:r>
          <w:fldChar w:fldCharType="end"/>
        </w:r>
      </w:hyperlink>
    </w:p>
    <w:p>
      <w:pPr>
        <w:tabs>
          <w:tab w:val="right" w:leader="dot" w:pos="9062"/>
        </w:tabs>
        <w:ind w:left="440"/>
      </w:pPr>
      <w:hyperlink w:anchor="_Toc8921" w:history="1">
        <w:r>
          <w:rPr>
            <w:rFonts w:ascii="IRNazanin" w:hAnsi="IRNazanin" w:eastAsia="IRNazanin" w:cs="IRNazanin"/>
            <w:color w:val="111111"/>
            <w:sz w:val="22"/>
            <w:szCs w:val="22"/>
            <w:b w:val="0"/>
            <w:bCs w:val="0"/>
            <w:i w:val="0"/>
            <w:iCs w:val="0"/>
          </w:rPr>
          <w:t>دیوان نصیر لنگ‏</w:t>
        </w:r>
        <w:r>
          <w:tab/>
        </w:r>
        <w:r>
          <w:fldChar w:fldCharType="begin"/>
        </w:r>
        <w:r>
          <w:instrText xml:space="preserve">PAGEREF 8921 \h</w:instrText>
        </w:r>
        <w:r>
          <w:fldChar w:fldCharType="end"/>
        </w:r>
      </w:hyperlink>
    </w:p>
    <w:p>
      <w:pPr>
        <w:tabs>
          <w:tab w:val="right" w:leader="dot" w:pos="9062"/>
        </w:tabs>
        <w:ind w:left="440"/>
      </w:pPr>
      <w:hyperlink w:anchor="_Toc8922" w:history="1">
        <w:r>
          <w:rPr>
            <w:rFonts w:ascii="IRNazanin" w:hAnsi="IRNazanin" w:eastAsia="IRNazanin" w:cs="IRNazanin"/>
            <w:color w:val="111111"/>
            <w:sz w:val="22"/>
            <w:szCs w:val="22"/>
            <w:b w:val="0"/>
            <w:bCs w:val="0"/>
            <w:i w:val="0"/>
            <w:iCs w:val="0"/>
          </w:rPr>
          <w:t>7717- دیوان نصیر لکهنوی أو شعره‏</w:t>
        </w:r>
        <w:r>
          <w:tab/>
        </w:r>
        <w:r>
          <w:fldChar w:fldCharType="begin"/>
        </w:r>
        <w:r>
          <w:instrText xml:space="preserve">PAGEREF 8922 \h</w:instrText>
        </w:r>
        <w:r>
          <w:fldChar w:fldCharType="end"/>
        </w:r>
      </w:hyperlink>
    </w:p>
    <w:p>
      <w:pPr>
        <w:tabs>
          <w:tab w:val="right" w:leader="dot" w:pos="9062"/>
        </w:tabs>
        <w:ind w:left="440"/>
      </w:pPr>
      <w:hyperlink w:anchor="_Toc8923" w:history="1">
        <w:r>
          <w:rPr>
            <w:rFonts w:ascii="IRNazanin" w:hAnsi="IRNazanin" w:eastAsia="IRNazanin" w:cs="IRNazanin"/>
            <w:color w:val="111111"/>
            <w:sz w:val="22"/>
            <w:szCs w:val="22"/>
            <w:b w:val="0"/>
            <w:bCs w:val="0"/>
            <w:i w:val="0"/>
            <w:iCs w:val="0"/>
          </w:rPr>
          <w:t>7718- دیوان نصیر نائنی أو شعره‏</w:t>
        </w:r>
        <w:r>
          <w:tab/>
        </w:r>
        <w:r>
          <w:fldChar w:fldCharType="begin"/>
        </w:r>
        <w:r>
          <w:instrText xml:space="preserve">PAGEREF 8923 \h</w:instrText>
        </w:r>
        <w:r>
          <w:fldChar w:fldCharType="end"/>
        </w:r>
      </w:hyperlink>
    </w:p>
    <w:p>
      <w:pPr>
        <w:tabs>
          <w:tab w:val="right" w:leader="dot" w:pos="9062"/>
        </w:tabs>
        <w:ind w:left="440"/>
      </w:pPr>
      <w:hyperlink w:anchor="_Toc8924" w:history="1">
        <w:r>
          <w:rPr>
            <w:rFonts w:ascii="IRNazanin" w:hAnsi="IRNazanin" w:eastAsia="IRNazanin" w:cs="IRNazanin"/>
            <w:color w:val="111111"/>
            <w:sz w:val="22"/>
            <w:szCs w:val="22"/>
            <w:b w:val="0"/>
            <w:bCs w:val="0"/>
            <w:i w:val="0"/>
            <w:iCs w:val="0"/>
          </w:rPr>
          <w:t>7719- دیوان نصیر نیشابوری أو شعره‏</w:t>
        </w:r>
        <w:r>
          <w:tab/>
        </w:r>
        <w:r>
          <w:fldChar w:fldCharType="begin"/>
        </w:r>
        <w:r>
          <w:instrText xml:space="preserve">PAGEREF 8924 \h</w:instrText>
        </w:r>
        <w:r>
          <w:fldChar w:fldCharType="end"/>
        </w:r>
      </w:hyperlink>
    </w:p>
    <w:p>
      <w:pPr>
        <w:tabs>
          <w:tab w:val="right" w:leader="dot" w:pos="9062"/>
        </w:tabs>
        <w:ind w:left="440"/>
      </w:pPr>
      <w:hyperlink w:anchor="_Toc8925" w:history="1">
        <w:r>
          <w:rPr>
            <w:rFonts w:ascii="IRNazanin" w:hAnsi="IRNazanin" w:eastAsia="IRNazanin" w:cs="IRNazanin"/>
            <w:color w:val="111111"/>
            <w:sz w:val="22"/>
            <w:szCs w:val="22"/>
            <w:b w:val="0"/>
            <w:bCs w:val="0"/>
            <w:i w:val="0"/>
            <w:iCs w:val="0"/>
          </w:rPr>
          <w:t>7720- دیوان نصیر همدانی‏</w:t>
        </w:r>
        <w:r>
          <w:tab/>
        </w:r>
        <w:r>
          <w:fldChar w:fldCharType="begin"/>
        </w:r>
        <w:r>
          <w:instrText xml:space="preserve">PAGEREF 8925 \h</w:instrText>
        </w:r>
        <w:r>
          <w:fldChar w:fldCharType="end"/>
        </w:r>
      </w:hyperlink>
    </w:p>
    <w:p>
      <w:pPr>
        <w:tabs>
          <w:tab w:val="right" w:leader="dot" w:pos="9062"/>
        </w:tabs>
        <w:ind w:left="440"/>
      </w:pPr>
      <w:hyperlink w:anchor="_Toc8926" w:history="1">
        <w:r>
          <w:rPr>
            <w:rFonts w:ascii="IRNazanin" w:hAnsi="IRNazanin" w:eastAsia="IRNazanin" w:cs="IRNazanin"/>
            <w:color w:val="111111"/>
            <w:sz w:val="22"/>
            <w:szCs w:val="22"/>
            <w:b w:val="0"/>
            <w:bCs w:val="0"/>
            <w:i w:val="0"/>
            <w:iCs w:val="0"/>
          </w:rPr>
          <w:t>دیوان نصیر هندی‏</w:t>
        </w:r>
        <w:r>
          <w:tab/>
        </w:r>
        <w:r>
          <w:fldChar w:fldCharType="begin"/>
        </w:r>
        <w:r>
          <w:instrText xml:space="preserve">PAGEREF 8926 \h</w:instrText>
        </w:r>
        <w:r>
          <w:fldChar w:fldCharType="end"/>
        </w:r>
      </w:hyperlink>
    </w:p>
    <w:p>
      <w:pPr>
        <w:tabs>
          <w:tab w:val="right" w:leader="dot" w:pos="9062"/>
        </w:tabs>
        <w:ind w:left="440"/>
      </w:pPr>
      <w:hyperlink w:anchor="_Toc8927" w:history="1">
        <w:r>
          <w:rPr>
            <w:rFonts w:ascii="IRNazanin" w:hAnsi="IRNazanin" w:eastAsia="IRNazanin" w:cs="IRNazanin"/>
            <w:color w:val="111111"/>
            <w:sz w:val="22"/>
            <w:szCs w:val="22"/>
            <w:b w:val="0"/>
            <w:bCs w:val="0"/>
            <w:i w:val="0"/>
            <w:iCs w:val="0"/>
          </w:rPr>
          <w:t>7721- دیوان نصیری أردوبادی أو شعره‏</w:t>
        </w:r>
        <w:r>
          <w:tab/>
        </w:r>
        <w:r>
          <w:fldChar w:fldCharType="begin"/>
        </w:r>
        <w:r>
          <w:instrText xml:space="preserve">PAGEREF 8927 \h</w:instrText>
        </w:r>
        <w:r>
          <w:fldChar w:fldCharType="end"/>
        </w:r>
      </w:hyperlink>
    </w:p>
    <w:p>
      <w:pPr>
        <w:tabs>
          <w:tab w:val="right" w:leader="dot" w:pos="9062"/>
        </w:tabs>
        <w:ind w:left="440"/>
      </w:pPr>
      <w:hyperlink w:anchor="_Toc8928" w:history="1">
        <w:r>
          <w:rPr>
            <w:rFonts w:ascii="IRNazanin" w:hAnsi="IRNazanin" w:eastAsia="IRNazanin" w:cs="IRNazanin"/>
            <w:color w:val="111111"/>
            <w:sz w:val="22"/>
            <w:szCs w:val="22"/>
            <w:b w:val="0"/>
            <w:bCs w:val="0"/>
            <w:i w:val="0"/>
            <w:iCs w:val="0"/>
          </w:rPr>
          <w:t>دیوان نصیری أصفهانی‏</w:t>
        </w:r>
        <w:r>
          <w:tab/>
        </w:r>
        <w:r>
          <w:fldChar w:fldCharType="begin"/>
        </w:r>
        <w:r>
          <w:instrText xml:space="preserve">PAGEREF 8928 \h</w:instrText>
        </w:r>
        <w:r>
          <w:fldChar w:fldCharType="end"/>
        </w:r>
      </w:hyperlink>
    </w:p>
    <w:p>
      <w:pPr>
        <w:tabs>
          <w:tab w:val="right" w:leader="dot" w:pos="9062"/>
        </w:tabs>
        <w:ind w:left="440"/>
      </w:pPr>
      <w:hyperlink w:anchor="_Toc8929" w:history="1">
        <w:r>
          <w:rPr>
            <w:rFonts w:ascii="IRNazanin" w:hAnsi="IRNazanin" w:eastAsia="IRNazanin" w:cs="IRNazanin"/>
            <w:color w:val="111111"/>
            <w:sz w:val="22"/>
            <w:szCs w:val="22"/>
            <w:b w:val="0"/>
            <w:bCs w:val="0"/>
            <w:i w:val="0"/>
            <w:iCs w:val="0"/>
          </w:rPr>
          <w:t>دیوان نصیری بخاری‏</w:t>
        </w:r>
        <w:r>
          <w:tab/>
        </w:r>
        <w:r>
          <w:fldChar w:fldCharType="begin"/>
        </w:r>
        <w:r>
          <w:instrText xml:space="preserve">PAGEREF 8929 \h</w:instrText>
        </w:r>
        <w:r>
          <w:fldChar w:fldCharType="end"/>
        </w:r>
      </w:hyperlink>
    </w:p>
    <w:p>
      <w:pPr>
        <w:tabs>
          <w:tab w:val="right" w:leader="dot" w:pos="9062"/>
        </w:tabs>
        <w:ind w:left="440"/>
      </w:pPr>
      <w:hyperlink w:anchor="_Toc8930" w:history="1">
        <w:r>
          <w:rPr>
            <w:rFonts w:ascii="IRNazanin" w:hAnsi="IRNazanin" w:eastAsia="IRNazanin" w:cs="IRNazanin"/>
            <w:color w:val="111111"/>
            <w:sz w:val="22"/>
            <w:szCs w:val="22"/>
            <w:b w:val="0"/>
            <w:bCs w:val="0"/>
            <w:i w:val="0"/>
            <w:iCs w:val="0"/>
          </w:rPr>
          <w:t>دیوان نصیری تبریزی‏</w:t>
        </w:r>
        <w:r>
          <w:tab/>
        </w:r>
        <w:r>
          <w:fldChar w:fldCharType="begin"/>
        </w:r>
        <w:r>
          <w:instrText xml:space="preserve">PAGEREF 8930 \h</w:instrText>
        </w:r>
        <w:r>
          <w:fldChar w:fldCharType="end"/>
        </w:r>
      </w:hyperlink>
    </w:p>
    <w:p>
      <w:pPr>
        <w:tabs>
          <w:tab w:val="right" w:leader="dot" w:pos="9062"/>
        </w:tabs>
        <w:ind w:left="440"/>
      </w:pPr>
      <w:hyperlink w:anchor="_Toc8931" w:history="1">
        <w:r>
          <w:rPr>
            <w:rFonts w:ascii="IRNazanin" w:hAnsi="IRNazanin" w:eastAsia="IRNazanin" w:cs="IRNazanin"/>
            <w:color w:val="111111"/>
            <w:sz w:val="22"/>
            <w:szCs w:val="22"/>
            <w:b w:val="0"/>
            <w:bCs w:val="0"/>
            <w:i w:val="0"/>
            <w:iCs w:val="0"/>
          </w:rPr>
          <w:t>7722- دیوان نصیری شیرازی‏</w:t>
        </w:r>
        <w:r>
          <w:tab/>
        </w:r>
        <w:r>
          <w:fldChar w:fldCharType="begin"/>
        </w:r>
        <w:r>
          <w:instrText xml:space="preserve">PAGEREF 8931 \h</w:instrText>
        </w:r>
        <w:r>
          <w:fldChar w:fldCharType="end"/>
        </w:r>
      </w:hyperlink>
    </w:p>
    <w:p>
      <w:pPr>
        <w:tabs>
          <w:tab w:val="right" w:leader="dot" w:pos="9062"/>
        </w:tabs>
        <w:ind w:left="440"/>
      </w:pPr>
      <w:hyperlink w:anchor="_Toc8932" w:history="1">
        <w:r>
          <w:rPr>
            <w:rFonts w:ascii="IRNazanin" w:hAnsi="IRNazanin" w:eastAsia="IRNazanin" w:cs="IRNazanin"/>
            <w:color w:val="111111"/>
            <w:sz w:val="22"/>
            <w:szCs w:val="22"/>
            <w:b w:val="0"/>
            <w:bCs w:val="0"/>
            <w:i w:val="0"/>
            <w:iCs w:val="0"/>
          </w:rPr>
          <w:t>7723- دیوان نصیری کرمانی أو شعره‏</w:t>
        </w:r>
        <w:r>
          <w:tab/>
        </w:r>
        <w:r>
          <w:fldChar w:fldCharType="begin"/>
        </w:r>
        <w:r>
          <w:instrText xml:space="preserve">PAGEREF 8932 \h</w:instrText>
        </w:r>
        <w:r>
          <w:fldChar w:fldCharType="end"/>
        </w:r>
      </w:hyperlink>
    </w:p>
    <w:p>
      <w:pPr>
        <w:tabs>
          <w:tab w:val="right" w:leader="dot" w:pos="9062"/>
        </w:tabs>
        <w:ind w:left="440"/>
      </w:pPr>
      <w:hyperlink w:anchor="_Toc8933" w:history="1">
        <w:r>
          <w:rPr>
            <w:rFonts w:ascii="IRNazanin" w:hAnsi="IRNazanin" w:eastAsia="IRNazanin" w:cs="IRNazanin"/>
            <w:color w:val="111111"/>
            <w:sz w:val="22"/>
            <w:szCs w:val="22"/>
            <w:b w:val="0"/>
            <w:bCs w:val="0"/>
            <w:i w:val="0"/>
            <w:iCs w:val="0"/>
          </w:rPr>
          <w:t>7724- دیوان نصیری هندی أو شعره‏</w:t>
        </w:r>
        <w:r>
          <w:tab/>
        </w:r>
        <w:r>
          <w:fldChar w:fldCharType="begin"/>
        </w:r>
        <w:r>
          <w:instrText xml:space="preserve">PAGEREF 8933 \h</w:instrText>
        </w:r>
        <w:r>
          <w:fldChar w:fldCharType="end"/>
        </w:r>
      </w:hyperlink>
    </w:p>
    <w:p>
      <w:pPr>
        <w:tabs>
          <w:tab w:val="right" w:leader="dot" w:pos="9062"/>
        </w:tabs>
        <w:ind w:left="440"/>
      </w:pPr>
      <w:hyperlink w:anchor="_Toc8934" w:history="1">
        <w:r>
          <w:rPr>
            <w:rFonts w:ascii="IRNazanin" w:hAnsi="IRNazanin" w:eastAsia="IRNazanin" w:cs="IRNazanin"/>
            <w:color w:val="111111"/>
            <w:sz w:val="22"/>
            <w:szCs w:val="22"/>
            <w:b w:val="0"/>
            <w:bCs w:val="0"/>
            <w:i w:val="0"/>
            <w:iCs w:val="0"/>
          </w:rPr>
          <w:t>7725- دیوان نطقی أسترآبادی أو شعره‏</w:t>
        </w:r>
        <w:r>
          <w:tab/>
        </w:r>
        <w:r>
          <w:fldChar w:fldCharType="begin"/>
        </w:r>
        <w:r>
          <w:instrText xml:space="preserve">PAGEREF 8934 \h</w:instrText>
        </w:r>
        <w:r>
          <w:fldChar w:fldCharType="end"/>
        </w:r>
      </w:hyperlink>
    </w:p>
    <w:p>
      <w:pPr>
        <w:tabs>
          <w:tab w:val="right" w:leader="dot" w:pos="9062"/>
        </w:tabs>
        <w:ind w:left="440"/>
      </w:pPr>
      <w:hyperlink w:anchor="_Toc8935" w:history="1">
        <w:r>
          <w:rPr>
            <w:rFonts w:ascii="IRNazanin" w:hAnsi="IRNazanin" w:eastAsia="IRNazanin" w:cs="IRNazanin"/>
            <w:color w:val="111111"/>
            <w:sz w:val="22"/>
            <w:szCs w:val="22"/>
            <w:b w:val="0"/>
            <w:bCs w:val="0"/>
            <w:i w:val="0"/>
            <w:iCs w:val="0"/>
          </w:rPr>
          <w:t>7726- دیوان نطقی بافقی أو شعره‏</w:t>
        </w:r>
        <w:r>
          <w:tab/>
        </w:r>
        <w:r>
          <w:fldChar w:fldCharType="begin"/>
        </w:r>
        <w:r>
          <w:instrText xml:space="preserve">PAGEREF 8935 \h</w:instrText>
        </w:r>
        <w:r>
          <w:fldChar w:fldCharType="end"/>
        </w:r>
      </w:hyperlink>
    </w:p>
    <w:p>
      <w:pPr>
        <w:tabs>
          <w:tab w:val="right" w:leader="dot" w:pos="9062"/>
        </w:tabs>
        <w:ind w:left="440"/>
      </w:pPr>
      <w:hyperlink w:anchor="_Toc8936" w:history="1">
        <w:r>
          <w:rPr>
            <w:rFonts w:ascii="IRNazanin" w:hAnsi="IRNazanin" w:eastAsia="IRNazanin" w:cs="IRNazanin"/>
            <w:color w:val="111111"/>
            <w:sz w:val="22"/>
            <w:szCs w:val="22"/>
            <w:b w:val="0"/>
            <w:bCs w:val="0"/>
            <w:i w:val="0"/>
            <w:iCs w:val="0"/>
          </w:rPr>
          <w:t>7727- دیوان نطقی تبریزی أو شعره‏</w:t>
        </w:r>
        <w:r>
          <w:tab/>
        </w:r>
        <w:r>
          <w:fldChar w:fldCharType="begin"/>
        </w:r>
        <w:r>
          <w:instrText xml:space="preserve">PAGEREF 8936 \h</w:instrText>
        </w:r>
        <w:r>
          <w:fldChar w:fldCharType="end"/>
        </w:r>
      </w:hyperlink>
    </w:p>
    <w:p>
      <w:pPr>
        <w:tabs>
          <w:tab w:val="right" w:leader="dot" w:pos="9062"/>
        </w:tabs>
        <w:ind w:left="440"/>
      </w:pPr>
      <w:hyperlink w:anchor="_Toc8937" w:history="1">
        <w:r>
          <w:rPr>
            <w:rFonts w:ascii="IRNazanin" w:hAnsi="IRNazanin" w:eastAsia="IRNazanin" w:cs="IRNazanin"/>
            <w:color w:val="111111"/>
            <w:sz w:val="22"/>
            <w:szCs w:val="22"/>
            <w:b w:val="0"/>
            <w:bCs w:val="0"/>
            <w:i w:val="0"/>
            <w:iCs w:val="0"/>
          </w:rPr>
          <w:t>7728- دیوان نطقی شیرازی أو شعره‏</w:t>
        </w:r>
        <w:r>
          <w:tab/>
        </w:r>
        <w:r>
          <w:fldChar w:fldCharType="begin"/>
        </w:r>
        <w:r>
          <w:instrText xml:space="preserve">PAGEREF 8937 \h</w:instrText>
        </w:r>
        <w:r>
          <w:fldChar w:fldCharType="end"/>
        </w:r>
      </w:hyperlink>
    </w:p>
    <w:p>
      <w:pPr>
        <w:tabs>
          <w:tab w:val="right" w:leader="dot" w:pos="9062"/>
        </w:tabs>
        <w:ind w:left="440"/>
      </w:pPr>
      <w:hyperlink w:anchor="_Toc8938" w:history="1">
        <w:r>
          <w:rPr>
            <w:rFonts w:ascii="IRNazanin" w:hAnsi="IRNazanin" w:eastAsia="IRNazanin" w:cs="IRNazanin"/>
            <w:color w:val="111111"/>
            <w:sz w:val="22"/>
            <w:szCs w:val="22"/>
            <w:b w:val="0"/>
            <w:bCs w:val="0"/>
            <w:i w:val="0"/>
            <w:iCs w:val="0"/>
          </w:rPr>
          <w:t>7729- دیوان نطقی نیشابوری أو شعره‏</w:t>
        </w:r>
        <w:r>
          <w:tab/>
        </w:r>
        <w:r>
          <w:fldChar w:fldCharType="begin"/>
        </w:r>
        <w:r>
          <w:instrText xml:space="preserve">PAGEREF 8938 \h</w:instrText>
        </w:r>
        <w:r>
          <w:fldChar w:fldCharType="end"/>
        </w:r>
      </w:hyperlink>
    </w:p>
    <w:p>
      <w:pPr>
        <w:tabs>
          <w:tab w:val="right" w:leader="dot" w:pos="9062"/>
        </w:tabs>
        <w:ind w:left="440"/>
      </w:pPr>
      <w:hyperlink w:anchor="_Toc8939" w:history="1">
        <w:r>
          <w:rPr>
            <w:rFonts w:ascii="IRNazanin" w:hAnsi="IRNazanin" w:eastAsia="IRNazanin" w:cs="IRNazanin"/>
            <w:color w:val="111111"/>
            <w:sz w:val="22"/>
            <w:szCs w:val="22"/>
            <w:b w:val="0"/>
            <w:bCs w:val="0"/>
            <w:i w:val="0"/>
            <w:iCs w:val="0"/>
          </w:rPr>
          <w:t>دیوان نظام أسترآبادی کبود جامه‏</w:t>
        </w:r>
        <w:r>
          <w:tab/>
        </w:r>
        <w:r>
          <w:fldChar w:fldCharType="begin"/>
        </w:r>
        <w:r>
          <w:instrText xml:space="preserve">PAGEREF 8939 \h</w:instrText>
        </w:r>
        <w:r>
          <w:fldChar w:fldCharType="end"/>
        </w:r>
      </w:hyperlink>
    </w:p>
    <w:p>
      <w:pPr>
        <w:tabs>
          <w:tab w:val="right" w:leader="dot" w:pos="9062"/>
        </w:tabs>
        <w:ind w:left="440"/>
      </w:pPr>
      <w:hyperlink w:anchor="_Toc8940" w:history="1">
        <w:r>
          <w:rPr>
            <w:rFonts w:ascii="IRNazanin" w:hAnsi="IRNazanin" w:eastAsia="IRNazanin" w:cs="IRNazanin"/>
            <w:color w:val="111111"/>
            <w:sz w:val="22"/>
            <w:szCs w:val="22"/>
            <w:b w:val="0"/>
            <w:bCs w:val="0"/>
            <w:i w:val="0"/>
            <w:iCs w:val="0"/>
          </w:rPr>
          <w:t>7730- دیوان نظام أسترآبادی‏</w:t>
        </w:r>
        <w:r>
          <w:tab/>
        </w:r>
        <w:r>
          <w:fldChar w:fldCharType="begin"/>
        </w:r>
        <w:r>
          <w:instrText xml:space="preserve">PAGEREF 8940 \h</w:instrText>
        </w:r>
        <w:r>
          <w:fldChar w:fldCharType="end"/>
        </w:r>
      </w:hyperlink>
    </w:p>
    <w:p>
      <w:pPr>
        <w:tabs>
          <w:tab w:val="right" w:leader="dot" w:pos="9062"/>
        </w:tabs>
        <w:ind w:left="440"/>
      </w:pPr>
      <w:hyperlink w:anchor="_Toc8941" w:history="1">
        <w:r>
          <w:rPr>
            <w:rFonts w:ascii="IRNazanin" w:hAnsi="IRNazanin" w:eastAsia="IRNazanin" w:cs="IRNazanin"/>
            <w:color w:val="111111"/>
            <w:sz w:val="22"/>
            <w:szCs w:val="22"/>
            <w:b w:val="0"/>
            <w:bCs w:val="0"/>
            <w:i w:val="0"/>
            <w:iCs w:val="0"/>
          </w:rPr>
          <w:t>7731- دیوان نظام أسکوئی أو شعره‏</w:t>
        </w:r>
        <w:r>
          <w:tab/>
        </w:r>
        <w:r>
          <w:fldChar w:fldCharType="begin"/>
        </w:r>
        <w:r>
          <w:instrText xml:space="preserve">PAGEREF 8941 \h</w:instrText>
        </w:r>
        <w:r>
          <w:fldChar w:fldCharType="end"/>
        </w:r>
      </w:hyperlink>
    </w:p>
    <w:p>
      <w:pPr>
        <w:tabs>
          <w:tab w:val="right" w:leader="dot" w:pos="9062"/>
        </w:tabs>
        <w:ind w:left="440"/>
      </w:pPr>
      <w:hyperlink w:anchor="_Toc8942" w:history="1">
        <w:r>
          <w:rPr>
            <w:rFonts w:ascii="IRNazanin" w:hAnsi="IRNazanin" w:eastAsia="IRNazanin" w:cs="IRNazanin"/>
            <w:color w:val="111111"/>
            <w:sz w:val="22"/>
            <w:szCs w:val="22"/>
            <w:b w:val="0"/>
            <w:bCs w:val="0"/>
            <w:i w:val="0"/>
            <w:iCs w:val="0"/>
          </w:rPr>
          <w:t>7732- دیوان نظام أصفهانی أو شعره‏</w:t>
        </w:r>
        <w:r>
          <w:tab/>
        </w:r>
        <w:r>
          <w:fldChar w:fldCharType="begin"/>
        </w:r>
        <w:r>
          <w:instrText xml:space="preserve">PAGEREF 8942 \h</w:instrText>
        </w:r>
        <w:r>
          <w:fldChar w:fldCharType="end"/>
        </w:r>
      </w:hyperlink>
    </w:p>
    <w:p>
      <w:pPr>
        <w:tabs>
          <w:tab w:val="right" w:leader="dot" w:pos="9062"/>
        </w:tabs>
        <w:ind w:left="440"/>
      </w:pPr>
      <w:hyperlink w:anchor="_Toc8943" w:history="1">
        <w:r>
          <w:rPr>
            <w:rFonts w:ascii="IRNazanin" w:hAnsi="IRNazanin" w:eastAsia="IRNazanin" w:cs="IRNazanin"/>
            <w:color w:val="111111"/>
            <w:sz w:val="22"/>
            <w:szCs w:val="22"/>
            <w:b w:val="0"/>
            <w:bCs w:val="0"/>
            <w:i w:val="0"/>
            <w:iCs w:val="0"/>
          </w:rPr>
          <w:t>7733- دیوان نظام أصفهانی أو شعره‏</w:t>
        </w:r>
        <w:r>
          <w:tab/>
        </w:r>
        <w:r>
          <w:fldChar w:fldCharType="begin"/>
        </w:r>
        <w:r>
          <w:instrText xml:space="preserve">PAGEREF 8943 \h</w:instrText>
        </w:r>
        <w:r>
          <w:fldChar w:fldCharType="end"/>
        </w:r>
      </w:hyperlink>
    </w:p>
    <w:p>
      <w:pPr>
        <w:tabs>
          <w:tab w:val="right" w:leader="dot" w:pos="9062"/>
        </w:tabs>
        <w:ind w:left="440"/>
      </w:pPr>
      <w:hyperlink w:anchor="_Toc8944" w:history="1">
        <w:r>
          <w:rPr>
            <w:rFonts w:ascii="IRNazanin" w:hAnsi="IRNazanin" w:eastAsia="IRNazanin" w:cs="IRNazanin"/>
            <w:color w:val="111111"/>
            <w:sz w:val="22"/>
            <w:szCs w:val="22"/>
            <w:b w:val="0"/>
            <w:bCs w:val="0"/>
            <w:i w:val="0"/>
            <w:iCs w:val="0"/>
          </w:rPr>
          <w:t>7734- دیوان نظام أعرج أو شعره‏</w:t>
        </w:r>
        <w:r>
          <w:tab/>
        </w:r>
        <w:r>
          <w:fldChar w:fldCharType="begin"/>
        </w:r>
        <w:r>
          <w:instrText xml:space="preserve">PAGEREF 8944 \h</w:instrText>
        </w:r>
        <w:r>
          <w:fldChar w:fldCharType="end"/>
        </w:r>
      </w:hyperlink>
    </w:p>
    <w:p>
      <w:pPr>
        <w:tabs>
          <w:tab w:val="right" w:leader="dot" w:pos="9062"/>
        </w:tabs>
        <w:ind w:left="440"/>
      </w:pPr>
      <w:hyperlink w:anchor="_Toc8945" w:history="1">
        <w:r>
          <w:rPr>
            <w:rFonts w:ascii="IRNazanin" w:hAnsi="IRNazanin" w:eastAsia="IRNazanin" w:cs="IRNazanin"/>
            <w:color w:val="111111"/>
            <w:sz w:val="22"/>
            <w:szCs w:val="22"/>
            <w:b w:val="0"/>
            <w:bCs w:val="0"/>
            <w:i w:val="0"/>
            <w:iCs w:val="0"/>
          </w:rPr>
          <w:t>7735- دیوان نظام أفشار</w:t>
        </w:r>
        <w:r>
          <w:tab/>
        </w:r>
        <w:r>
          <w:fldChar w:fldCharType="begin"/>
        </w:r>
        <w:r>
          <w:instrText xml:space="preserve">PAGEREF 8945 \h</w:instrText>
        </w:r>
        <w:r>
          <w:fldChar w:fldCharType="end"/>
        </w:r>
      </w:hyperlink>
    </w:p>
    <w:p>
      <w:pPr>
        <w:tabs>
          <w:tab w:val="right" w:leader="dot" w:pos="9062"/>
        </w:tabs>
        <w:ind w:left="440"/>
      </w:pPr>
      <w:hyperlink w:anchor="_Toc8946" w:history="1">
        <w:r>
          <w:rPr>
            <w:rFonts w:ascii="IRNazanin" w:hAnsi="IRNazanin" w:eastAsia="IRNazanin" w:cs="IRNazanin"/>
            <w:color w:val="111111"/>
            <w:sz w:val="22"/>
            <w:szCs w:val="22"/>
            <w:b w:val="0"/>
            <w:bCs w:val="0"/>
            <w:i w:val="0"/>
            <w:iCs w:val="0"/>
          </w:rPr>
          <w:t>دیوان نظام أولیاء</w:t>
        </w:r>
        <w:r>
          <w:tab/>
        </w:r>
        <w:r>
          <w:fldChar w:fldCharType="begin"/>
        </w:r>
        <w:r>
          <w:instrText xml:space="preserve">PAGEREF 8946 \h</w:instrText>
        </w:r>
        <w:r>
          <w:fldChar w:fldCharType="end"/>
        </w:r>
      </w:hyperlink>
    </w:p>
    <w:p>
      <w:pPr>
        <w:tabs>
          <w:tab w:val="right" w:leader="dot" w:pos="9062"/>
        </w:tabs>
        <w:ind w:left="440"/>
      </w:pPr>
      <w:hyperlink w:anchor="_Toc8947" w:history="1">
        <w:r>
          <w:rPr>
            <w:rFonts w:ascii="IRNazanin" w:hAnsi="IRNazanin" w:eastAsia="IRNazanin" w:cs="IRNazanin"/>
            <w:color w:val="111111"/>
            <w:sz w:val="22"/>
            <w:szCs w:val="22"/>
            <w:b w:val="0"/>
            <w:bCs w:val="0"/>
            <w:i w:val="0"/>
            <w:iCs w:val="0"/>
          </w:rPr>
          <w:t>7736- دیوان نظام بخاری أو شعره‏</w:t>
        </w:r>
        <w:r>
          <w:tab/>
        </w:r>
        <w:r>
          <w:fldChar w:fldCharType="begin"/>
        </w:r>
        <w:r>
          <w:instrText xml:space="preserve">PAGEREF 8947 \h</w:instrText>
        </w:r>
        <w:r>
          <w:fldChar w:fldCharType="end"/>
        </w:r>
      </w:hyperlink>
    </w:p>
    <w:p>
      <w:pPr>
        <w:tabs>
          <w:tab w:val="right" w:leader="dot" w:pos="9062"/>
        </w:tabs>
        <w:ind w:left="440"/>
      </w:pPr>
      <w:hyperlink w:anchor="_Toc8948" w:history="1">
        <w:r>
          <w:rPr>
            <w:rFonts w:ascii="IRNazanin" w:hAnsi="IRNazanin" w:eastAsia="IRNazanin" w:cs="IRNazanin"/>
            <w:color w:val="111111"/>
            <w:sz w:val="22"/>
            <w:szCs w:val="22"/>
            <w:b w:val="0"/>
            <w:bCs w:val="0"/>
            <w:i w:val="0"/>
            <w:iCs w:val="0"/>
          </w:rPr>
          <w:t>دیوان نظام بخاری‏</w:t>
        </w:r>
        <w:r>
          <w:tab/>
        </w:r>
        <w:r>
          <w:fldChar w:fldCharType="begin"/>
        </w:r>
        <w:r>
          <w:instrText xml:space="preserve">PAGEREF 8948 \h</w:instrText>
        </w:r>
        <w:r>
          <w:fldChar w:fldCharType="end"/>
        </w:r>
      </w:hyperlink>
    </w:p>
    <w:p>
      <w:pPr>
        <w:tabs>
          <w:tab w:val="right" w:leader="dot" w:pos="9062"/>
        </w:tabs>
        <w:ind w:left="440"/>
      </w:pPr>
      <w:hyperlink w:anchor="_Toc8949" w:history="1">
        <w:r>
          <w:rPr>
            <w:rFonts w:ascii="IRNazanin" w:hAnsi="IRNazanin" w:eastAsia="IRNazanin" w:cs="IRNazanin"/>
            <w:color w:val="111111"/>
            <w:sz w:val="22"/>
            <w:szCs w:val="22"/>
            <w:b w:val="0"/>
            <w:bCs w:val="0"/>
            <w:i w:val="0"/>
            <w:iCs w:val="0"/>
          </w:rPr>
          <w:t>دیوان نظام بدر</w:t>
        </w:r>
        <w:r>
          <w:tab/>
        </w:r>
        <w:r>
          <w:fldChar w:fldCharType="begin"/>
        </w:r>
        <w:r>
          <w:instrText xml:space="preserve">PAGEREF 8949 \h</w:instrText>
        </w:r>
        <w:r>
          <w:fldChar w:fldCharType="end"/>
        </w:r>
      </w:hyperlink>
    </w:p>
    <w:p>
      <w:pPr>
        <w:tabs>
          <w:tab w:val="right" w:leader="dot" w:pos="9062"/>
        </w:tabs>
        <w:ind w:left="440"/>
      </w:pPr>
      <w:hyperlink w:anchor="_Toc8950" w:history="1">
        <w:r>
          <w:rPr>
            <w:rFonts w:ascii="IRNazanin" w:hAnsi="IRNazanin" w:eastAsia="IRNazanin" w:cs="IRNazanin"/>
            <w:color w:val="111111"/>
            <w:sz w:val="22"/>
            <w:szCs w:val="22"/>
            <w:b w:val="0"/>
            <w:bCs w:val="0"/>
            <w:i w:val="0"/>
            <w:iCs w:val="0"/>
          </w:rPr>
          <w:t>7737- دیوان نظام تبریزی أو شعره‏</w:t>
        </w:r>
        <w:r>
          <w:tab/>
        </w:r>
        <w:r>
          <w:fldChar w:fldCharType="begin"/>
        </w:r>
        <w:r>
          <w:instrText xml:space="preserve">PAGEREF 8950 \h</w:instrText>
        </w:r>
        <w:r>
          <w:fldChar w:fldCharType="end"/>
        </w:r>
      </w:hyperlink>
    </w:p>
    <w:p>
      <w:pPr>
        <w:tabs>
          <w:tab w:val="right" w:leader="dot" w:pos="9062"/>
        </w:tabs>
        <w:ind w:left="440"/>
      </w:pPr>
      <w:hyperlink w:anchor="_Toc8951" w:history="1">
        <w:r>
          <w:rPr>
            <w:rFonts w:ascii="IRNazanin" w:hAnsi="IRNazanin" w:eastAsia="IRNazanin" w:cs="IRNazanin"/>
            <w:color w:val="111111"/>
            <w:sz w:val="22"/>
            <w:szCs w:val="22"/>
            <w:b w:val="0"/>
            <w:bCs w:val="0"/>
            <w:i w:val="0"/>
            <w:iCs w:val="0"/>
          </w:rPr>
          <w:t>7738- دیوان نظام تبریزی‏</w:t>
        </w:r>
        <w:r>
          <w:tab/>
        </w:r>
        <w:r>
          <w:fldChar w:fldCharType="begin"/>
        </w:r>
        <w:r>
          <w:instrText xml:space="preserve">PAGEREF 8951 \h</w:instrText>
        </w:r>
        <w:r>
          <w:fldChar w:fldCharType="end"/>
        </w:r>
      </w:hyperlink>
    </w:p>
    <w:p>
      <w:pPr>
        <w:tabs>
          <w:tab w:val="right" w:leader="dot" w:pos="9062"/>
        </w:tabs>
        <w:ind w:left="440"/>
      </w:pPr>
      <w:hyperlink w:anchor="_Toc8952" w:history="1">
        <w:r>
          <w:rPr>
            <w:rFonts w:ascii="IRNazanin" w:hAnsi="IRNazanin" w:eastAsia="IRNazanin" w:cs="IRNazanin"/>
            <w:color w:val="111111"/>
            <w:sz w:val="22"/>
            <w:szCs w:val="22"/>
            <w:b w:val="0"/>
            <w:bCs w:val="0"/>
            <w:i w:val="0"/>
            <w:iCs w:val="0"/>
          </w:rPr>
          <w:t>7739- دیوان نظام تفرشی أو شعره‏</w:t>
        </w:r>
        <w:r>
          <w:tab/>
        </w:r>
        <w:r>
          <w:fldChar w:fldCharType="begin"/>
        </w:r>
        <w:r>
          <w:instrText xml:space="preserve">PAGEREF 8952 \h</w:instrText>
        </w:r>
        <w:r>
          <w:fldChar w:fldCharType="end"/>
        </w:r>
      </w:hyperlink>
    </w:p>
    <w:p>
      <w:pPr>
        <w:tabs>
          <w:tab w:val="right" w:leader="dot" w:pos="9062"/>
        </w:tabs>
        <w:ind w:left="440"/>
      </w:pPr>
      <w:hyperlink w:anchor="_Toc8953" w:history="1">
        <w:r>
          <w:rPr>
            <w:rFonts w:ascii="IRNazanin" w:hAnsi="IRNazanin" w:eastAsia="IRNazanin" w:cs="IRNazanin"/>
            <w:color w:val="111111"/>
            <w:sz w:val="22"/>
            <w:szCs w:val="22"/>
            <w:b w:val="0"/>
            <w:bCs w:val="0"/>
            <w:i w:val="0"/>
            <w:iCs w:val="0"/>
          </w:rPr>
          <w:t>7740- دیوان نظام تویسرکانی أو شعره‏</w:t>
        </w:r>
        <w:r>
          <w:tab/>
        </w:r>
        <w:r>
          <w:fldChar w:fldCharType="begin"/>
        </w:r>
        <w:r>
          <w:instrText xml:space="preserve">PAGEREF 8953 \h</w:instrText>
        </w:r>
        <w:r>
          <w:fldChar w:fldCharType="end"/>
        </w:r>
      </w:hyperlink>
    </w:p>
    <w:p>
      <w:pPr>
        <w:tabs>
          <w:tab w:val="right" w:leader="dot" w:pos="9062"/>
        </w:tabs>
        <w:ind w:left="440"/>
      </w:pPr>
      <w:hyperlink w:anchor="_Toc8954" w:history="1">
        <w:r>
          <w:rPr>
            <w:rFonts w:ascii="IRNazanin" w:hAnsi="IRNazanin" w:eastAsia="IRNazanin" w:cs="IRNazanin"/>
            <w:color w:val="111111"/>
            <w:sz w:val="22"/>
            <w:szCs w:val="22"/>
            <w:b w:val="0"/>
            <w:bCs w:val="0"/>
            <w:i w:val="0"/>
            <w:iCs w:val="0"/>
          </w:rPr>
          <w:t>7741- دیوان نظام جامی أو شعره‏</w:t>
        </w:r>
        <w:r>
          <w:tab/>
        </w:r>
        <w:r>
          <w:fldChar w:fldCharType="begin"/>
        </w:r>
        <w:r>
          <w:instrText xml:space="preserve">PAGEREF 8954 \h</w:instrText>
        </w:r>
        <w:r>
          <w:fldChar w:fldCharType="end"/>
        </w:r>
      </w:hyperlink>
    </w:p>
    <w:p>
      <w:pPr>
        <w:tabs>
          <w:tab w:val="right" w:leader="dot" w:pos="9062"/>
        </w:tabs>
        <w:ind w:left="440"/>
      </w:pPr>
      <w:hyperlink w:anchor="_Toc8955" w:history="1">
        <w:r>
          <w:rPr>
            <w:rFonts w:ascii="IRNazanin" w:hAnsi="IRNazanin" w:eastAsia="IRNazanin" w:cs="IRNazanin"/>
            <w:color w:val="111111"/>
            <w:sz w:val="22"/>
            <w:szCs w:val="22"/>
            <w:b w:val="0"/>
            <w:bCs w:val="0"/>
            <w:i w:val="0"/>
            <w:iCs w:val="0"/>
          </w:rPr>
          <w:t>7742- دیوان نظام خوانساری أو شعره‏</w:t>
        </w:r>
        <w:r>
          <w:tab/>
        </w:r>
        <w:r>
          <w:fldChar w:fldCharType="begin"/>
        </w:r>
        <w:r>
          <w:instrText xml:space="preserve">PAGEREF 8955 \h</w:instrText>
        </w:r>
        <w:r>
          <w:fldChar w:fldCharType="end"/>
        </w:r>
      </w:hyperlink>
    </w:p>
    <w:p>
      <w:pPr>
        <w:tabs>
          <w:tab w:val="right" w:leader="dot" w:pos="9062"/>
        </w:tabs>
        <w:ind w:left="440"/>
      </w:pPr>
      <w:hyperlink w:anchor="_Toc8956" w:history="1">
        <w:r>
          <w:rPr>
            <w:rFonts w:ascii="IRNazanin" w:hAnsi="IRNazanin" w:eastAsia="IRNazanin" w:cs="IRNazanin"/>
            <w:color w:val="111111"/>
            <w:sz w:val="22"/>
            <w:szCs w:val="22"/>
            <w:b w:val="0"/>
            <w:bCs w:val="0"/>
            <w:i w:val="0"/>
            <w:iCs w:val="0"/>
          </w:rPr>
          <w:t>دیوان نظام دستغیب‏</w:t>
        </w:r>
        <w:r>
          <w:tab/>
        </w:r>
        <w:r>
          <w:fldChar w:fldCharType="begin"/>
        </w:r>
        <w:r>
          <w:instrText xml:space="preserve">PAGEREF 8956 \h</w:instrText>
        </w:r>
        <w:r>
          <w:fldChar w:fldCharType="end"/>
        </w:r>
      </w:hyperlink>
    </w:p>
    <w:p>
      <w:pPr>
        <w:tabs>
          <w:tab w:val="right" w:leader="dot" w:pos="9062"/>
        </w:tabs>
        <w:ind w:left="440"/>
      </w:pPr>
      <w:hyperlink w:anchor="_Toc8957" w:history="1">
        <w:r>
          <w:rPr>
            <w:rFonts w:ascii="IRNazanin" w:hAnsi="IRNazanin" w:eastAsia="IRNazanin" w:cs="IRNazanin"/>
            <w:color w:val="111111"/>
            <w:sz w:val="22"/>
            <w:szCs w:val="22"/>
            <w:b w:val="0"/>
            <w:bCs w:val="0"/>
            <w:i w:val="0"/>
            <w:iCs w:val="0"/>
          </w:rPr>
          <w:t>7743- دیوان نظام دشتکی أو شعره‏</w:t>
        </w:r>
        <w:r>
          <w:tab/>
        </w:r>
        <w:r>
          <w:fldChar w:fldCharType="begin"/>
        </w:r>
        <w:r>
          <w:instrText xml:space="preserve">PAGEREF 8957 \h</w:instrText>
        </w:r>
        <w:r>
          <w:fldChar w:fldCharType="end"/>
        </w:r>
      </w:hyperlink>
    </w:p>
    <w:p>
      <w:pPr>
        <w:tabs>
          <w:tab w:val="right" w:leader="dot" w:pos="9062"/>
        </w:tabs>
        <w:ind w:left="440"/>
      </w:pPr>
      <w:hyperlink w:anchor="_Toc8958" w:history="1">
        <w:r>
          <w:rPr>
            <w:rFonts w:ascii="IRNazanin" w:hAnsi="IRNazanin" w:eastAsia="IRNazanin" w:cs="IRNazanin"/>
            <w:color w:val="111111"/>
            <w:sz w:val="22"/>
            <w:szCs w:val="22"/>
            <w:b w:val="0"/>
            <w:bCs w:val="0"/>
            <w:i w:val="0"/>
            <w:iCs w:val="0"/>
          </w:rPr>
          <w:t>7744- دیوان نظام دهلوی‏</w:t>
        </w:r>
        <w:r>
          <w:tab/>
        </w:r>
        <w:r>
          <w:fldChar w:fldCharType="begin"/>
        </w:r>
        <w:r>
          <w:instrText xml:space="preserve">PAGEREF 8958 \h</w:instrText>
        </w:r>
        <w:r>
          <w:fldChar w:fldCharType="end"/>
        </w:r>
      </w:hyperlink>
    </w:p>
    <w:p>
      <w:pPr>
        <w:tabs>
          <w:tab w:val="right" w:leader="dot" w:pos="9062"/>
        </w:tabs>
        <w:ind w:left="440"/>
      </w:pPr>
      <w:hyperlink w:anchor="_Toc8959" w:history="1">
        <w:r>
          <w:rPr>
            <w:rFonts w:ascii="IRNazanin" w:hAnsi="IRNazanin" w:eastAsia="IRNazanin" w:cs="IRNazanin"/>
            <w:color w:val="111111"/>
            <w:sz w:val="22"/>
            <w:szCs w:val="22"/>
            <w:b w:val="0"/>
            <w:bCs w:val="0"/>
            <w:i w:val="0"/>
            <w:iCs w:val="0"/>
          </w:rPr>
          <w:t>7745- دیوان نظام دهلوی أو شعره‏</w:t>
        </w:r>
        <w:r>
          <w:tab/>
        </w:r>
        <w:r>
          <w:fldChar w:fldCharType="begin"/>
        </w:r>
        <w:r>
          <w:instrText xml:space="preserve">PAGEREF 8959 \h</w:instrText>
        </w:r>
        <w:r>
          <w:fldChar w:fldCharType="end"/>
        </w:r>
      </w:hyperlink>
    </w:p>
    <w:p>
      <w:pPr>
        <w:tabs>
          <w:tab w:val="right" w:leader="dot" w:pos="9062"/>
        </w:tabs>
        <w:ind w:left="440"/>
      </w:pPr>
      <w:hyperlink w:anchor="_Toc8960" w:history="1">
        <w:r>
          <w:rPr>
            <w:rFonts w:ascii="IRNazanin" w:hAnsi="IRNazanin" w:eastAsia="IRNazanin" w:cs="IRNazanin"/>
            <w:color w:val="111111"/>
            <w:sz w:val="22"/>
            <w:szCs w:val="22"/>
            <w:b w:val="0"/>
            <w:bCs w:val="0"/>
            <w:i w:val="0"/>
            <w:iCs w:val="0"/>
          </w:rPr>
          <w:t>7746- دیوان نظام الدولة</w:t>
        </w:r>
        <w:r>
          <w:tab/>
        </w:r>
        <w:r>
          <w:fldChar w:fldCharType="begin"/>
        </w:r>
        <w:r>
          <w:instrText xml:space="preserve">PAGEREF 8960 \h</w:instrText>
        </w:r>
        <w:r>
          <w:fldChar w:fldCharType="end"/>
        </w:r>
      </w:hyperlink>
    </w:p>
    <w:p>
      <w:pPr>
        <w:tabs>
          <w:tab w:val="right" w:leader="dot" w:pos="9062"/>
        </w:tabs>
        <w:ind w:left="440"/>
      </w:pPr>
      <w:hyperlink w:anchor="_Toc8961" w:history="1">
        <w:r>
          <w:rPr>
            <w:rFonts w:ascii="IRNazanin" w:hAnsi="IRNazanin" w:eastAsia="IRNazanin" w:cs="IRNazanin"/>
            <w:color w:val="111111"/>
            <w:sz w:val="22"/>
            <w:szCs w:val="22"/>
            <w:b w:val="0"/>
            <w:bCs w:val="0"/>
            <w:i w:val="0"/>
            <w:iCs w:val="0"/>
          </w:rPr>
          <w:t>دیوان نظام الدین‏</w:t>
        </w:r>
        <w:r>
          <w:tab/>
        </w:r>
        <w:r>
          <w:fldChar w:fldCharType="begin"/>
        </w:r>
        <w:r>
          <w:instrText xml:space="preserve">PAGEREF 8961 \h</w:instrText>
        </w:r>
        <w:r>
          <w:fldChar w:fldCharType="end"/>
        </w:r>
      </w:hyperlink>
    </w:p>
    <w:p>
      <w:pPr>
        <w:tabs>
          <w:tab w:val="right" w:leader="dot" w:pos="9062"/>
        </w:tabs>
        <w:ind w:left="440"/>
      </w:pPr>
      <w:hyperlink w:anchor="_Toc8962" w:history="1">
        <w:r>
          <w:rPr>
            <w:rFonts w:ascii="IRNazanin" w:hAnsi="IRNazanin" w:eastAsia="IRNazanin" w:cs="IRNazanin"/>
            <w:color w:val="111111"/>
            <w:sz w:val="22"/>
            <w:szCs w:val="22"/>
            <w:b w:val="0"/>
            <w:bCs w:val="0"/>
            <w:i w:val="0"/>
            <w:iCs w:val="0"/>
          </w:rPr>
          <w:t>دیوان نظام الدین البغدادی‏</w:t>
        </w:r>
        <w:r>
          <w:tab/>
        </w:r>
        <w:r>
          <w:fldChar w:fldCharType="begin"/>
        </w:r>
        <w:r>
          <w:instrText xml:space="preserve">PAGEREF 8962 \h</w:instrText>
        </w:r>
        <w:r>
          <w:fldChar w:fldCharType="end"/>
        </w:r>
      </w:hyperlink>
    </w:p>
    <w:p>
      <w:pPr>
        <w:tabs>
          <w:tab w:val="right" w:leader="dot" w:pos="9062"/>
        </w:tabs>
        <w:ind w:left="440"/>
      </w:pPr>
      <w:hyperlink w:anchor="_Toc8963" w:history="1">
        <w:r>
          <w:rPr>
            <w:rFonts w:ascii="IRNazanin" w:hAnsi="IRNazanin" w:eastAsia="IRNazanin" w:cs="IRNazanin"/>
            <w:color w:val="111111"/>
            <w:sz w:val="22"/>
            <w:szCs w:val="22"/>
            <w:b w:val="0"/>
            <w:bCs w:val="0"/>
            <w:i w:val="0"/>
            <w:iCs w:val="0"/>
          </w:rPr>
          <w:t>. 7747- دیوان نظام رازی أو شعره‏</w:t>
        </w:r>
        <w:r>
          <w:tab/>
        </w:r>
        <w:r>
          <w:fldChar w:fldCharType="begin"/>
        </w:r>
        <w:r>
          <w:instrText xml:space="preserve">PAGEREF 8963 \h</w:instrText>
        </w:r>
        <w:r>
          <w:fldChar w:fldCharType="end"/>
        </w:r>
      </w:hyperlink>
    </w:p>
    <w:p>
      <w:pPr>
        <w:tabs>
          <w:tab w:val="right" w:leader="dot" w:pos="9062"/>
        </w:tabs>
        <w:ind w:left="440"/>
      </w:pPr>
      <w:hyperlink w:anchor="_Toc8964" w:history="1">
        <w:r>
          <w:rPr>
            <w:rFonts w:ascii="IRNazanin" w:hAnsi="IRNazanin" w:eastAsia="IRNazanin" w:cs="IRNazanin"/>
            <w:color w:val="111111"/>
            <w:sz w:val="22"/>
            <w:szCs w:val="22"/>
            <w:b w:val="0"/>
            <w:bCs w:val="0"/>
            <w:i w:val="0"/>
            <w:iCs w:val="0"/>
          </w:rPr>
          <w:t>7748- دیوان نظام شیرازی‏</w:t>
        </w:r>
        <w:r>
          <w:tab/>
        </w:r>
        <w:r>
          <w:fldChar w:fldCharType="begin"/>
        </w:r>
        <w:r>
          <w:instrText xml:space="preserve">PAGEREF 8964 \h</w:instrText>
        </w:r>
        <w:r>
          <w:fldChar w:fldCharType="end"/>
        </w:r>
      </w:hyperlink>
    </w:p>
    <w:p>
      <w:pPr>
        <w:tabs>
          <w:tab w:val="right" w:leader="dot" w:pos="9062"/>
        </w:tabs>
        <w:ind w:left="440"/>
      </w:pPr>
      <w:hyperlink w:anchor="_Toc8965" w:history="1">
        <w:r>
          <w:rPr>
            <w:rFonts w:ascii="IRNazanin" w:hAnsi="IRNazanin" w:eastAsia="IRNazanin" w:cs="IRNazanin"/>
            <w:color w:val="111111"/>
            <w:sz w:val="22"/>
            <w:szCs w:val="22"/>
            <w:b w:val="0"/>
            <w:bCs w:val="0"/>
            <w:i w:val="0"/>
            <w:iCs w:val="0"/>
          </w:rPr>
          <w:t>دیوان نظام شیرازی‏</w:t>
        </w:r>
        <w:r>
          <w:tab/>
        </w:r>
        <w:r>
          <w:fldChar w:fldCharType="begin"/>
        </w:r>
        <w:r>
          <w:instrText xml:space="preserve">PAGEREF 8965 \h</w:instrText>
        </w:r>
        <w:r>
          <w:fldChar w:fldCharType="end"/>
        </w:r>
      </w:hyperlink>
    </w:p>
    <w:p>
      <w:pPr>
        <w:tabs>
          <w:tab w:val="right" w:leader="dot" w:pos="9062"/>
        </w:tabs>
        <w:ind w:left="440"/>
      </w:pPr>
      <w:hyperlink w:anchor="_Toc8966" w:history="1">
        <w:r>
          <w:rPr>
            <w:rFonts w:ascii="IRNazanin" w:hAnsi="IRNazanin" w:eastAsia="IRNazanin" w:cs="IRNazanin"/>
            <w:color w:val="111111"/>
            <w:sz w:val="22"/>
            <w:szCs w:val="22"/>
            <w:b w:val="0"/>
            <w:bCs w:val="0"/>
            <w:i w:val="0"/>
            <w:iCs w:val="0"/>
          </w:rPr>
          <w:t>دیوان نظام طباطبائی‏</w:t>
        </w:r>
        <w:r>
          <w:tab/>
        </w:r>
        <w:r>
          <w:fldChar w:fldCharType="begin"/>
        </w:r>
        <w:r>
          <w:instrText xml:space="preserve">PAGEREF 8966 \h</w:instrText>
        </w:r>
        <w:r>
          <w:fldChar w:fldCharType="end"/>
        </w:r>
      </w:hyperlink>
    </w:p>
    <w:p>
      <w:pPr>
        <w:tabs>
          <w:tab w:val="right" w:leader="dot" w:pos="9062"/>
        </w:tabs>
        <w:ind w:left="440"/>
      </w:pPr>
      <w:hyperlink w:anchor="_Toc8967" w:history="1">
        <w:r>
          <w:rPr>
            <w:rFonts w:ascii="IRNazanin" w:hAnsi="IRNazanin" w:eastAsia="IRNazanin" w:cs="IRNazanin"/>
            <w:color w:val="111111"/>
            <w:sz w:val="22"/>
            <w:szCs w:val="22"/>
            <w:b w:val="0"/>
            <w:bCs w:val="0"/>
            <w:i w:val="0"/>
            <w:iCs w:val="0"/>
          </w:rPr>
          <w:t>7749- دیوان نظام علی خان‏</w:t>
        </w:r>
        <w:r>
          <w:tab/>
        </w:r>
        <w:r>
          <w:fldChar w:fldCharType="begin"/>
        </w:r>
        <w:r>
          <w:instrText xml:space="preserve">PAGEREF 8967 \h</w:instrText>
        </w:r>
        <w:r>
          <w:fldChar w:fldCharType="end"/>
        </w:r>
      </w:hyperlink>
    </w:p>
    <w:p>
      <w:pPr>
        <w:tabs>
          <w:tab w:val="right" w:leader="dot" w:pos="9062"/>
        </w:tabs>
        <w:ind w:left="440"/>
      </w:pPr>
      <w:hyperlink w:anchor="_Toc8968" w:history="1">
        <w:r>
          <w:rPr>
            <w:rFonts w:ascii="IRNazanin" w:hAnsi="IRNazanin" w:eastAsia="IRNazanin" w:cs="IRNazanin"/>
            <w:color w:val="111111"/>
            <w:sz w:val="22"/>
            <w:szCs w:val="22"/>
            <w:b w:val="0"/>
            <w:bCs w:val="0"/>
            <w:i w:val="0"/>
            <w:iCs w:val="0"/>
          </w:rPr>
          <w:t>دیوان نظام علی شاه‏</w:t>
        </w:r>
        <w:r>
          <w:tab/>
        </w:r>
        <w:r>
          <w:fldChar w:fldCharType="begin"/>
        </w:r>
        <w:r>
          <w:instrText xml:space="preserve">PAGEREF 8968 \h</w:instrText>
        </w:r>
        <w:r>
          <w:fldChar w:fldCharType="end"/>
        </w:r>
      </w:hyperlink>
    </w:p>
    <w:p>
      <w:pPr>
        <w:tabs>
          <w:tab w:val="right" w:leader="dot" w:pos="9062"/>
        </w:tabs>
        <w:ind w:left="440"/>
      </w:pPr>
      <w:hyperlink w:anchor="_Toc8969" w:history="1">
        <w:r>
          <w:rPr>
            <w:rFonts w:ascii="IRNazanin" w:hAnsi="IRNazanin" w:eastAsia="IRNazanin" w:cs="IRNazanin"/>
            <w:color w:val="111111"/>
            <w:sz w:val="22"/>
            <w:szCs w:val="22"/>
            <w:b w:val="0"/>
            <w:bCs w:val="0"/>
            <w:i w:val="0"/>
            <w:iCs w:val="0"/>
          </w:rPr>
          <w:t>7750- دیوان نظام فارسی أو شعره‏</w:t>
        </w:r>
        <w:r>
          <w:tab/>
        </w:r>
        <w:r>
          <w:fldChar w:fldCharType="begin"/>
        </w:r>
        <w:r>
          <w:instrText xml:space="preserve">PAGEREF 8969 \h</w:instrText>
        </w:r>
        <w:r>
          <w:fldChar w:fldCharType="end"/>
        </w:r>
      </w:hyperlink>
    </w:p>
    <w:p>
      <w:pPr>
        <w:tabs>
          <w:tab w:val="right" w:leader="dot" w:pos="9062"/>
        </w:tabs>
        <w:ind w:left="440"/>
      </w:pPr>
      <w:hyperlink w:anchor="_Toc8970" w:history="1">
        <w:r>
          <w:rPr>
            <w:rFonts w:ascii="IRNazanin" w:hAnsi="IRNazanin" w:eastAsia="IRNazanin" w:cs="IRNazanin"/>
            <w:color w:val="111111"/>
            <w:sz w:val="22"/>
            <w:szCs w:val="22"/>
            <w:b w:val="0"/>
            <w:bCs w:val="0"/>
            <w:i w:val="0"/>
            <w:iCs w:val="0"/>
          </w:rPr>
          <w:t>دیوان نظام فرغانی أو شعره‏</w:t>
        </w:r>
        <w:r>
          <w:tab/>
        </w:r>
        <w:r>
          <w:fldChar w:fldCharType="begin"/>
        </w:r>
        <w:r>
          <w:instrText xml:space="preserve">PAGEREF 8970 \h</w:instrText>
        </w:r>
        <w:r>
          <w:fldChar w:fldCharType="end"/>
        </w:r>
      </w:hyperlink>
    </w:p>
    <w:p>
      <w:pPr>
        <w:tabs>
          <w:tab w:val="right" w:leader="dot" w:pos="9062"/>
        </w:tabs>
        <w:ind w:left="440"/>
      </w:pPr>
      <w:hyperlink w:anchor="_Toc8971" w:history="1">
        <w:r>
          <w:rPr>
            <w:rFonts w:ascii="IRNazanin" w:hAnsi="IRNazanin" w:eastAsia="IRNazanin" w:cs="IRNazanin"/>
            <w:color w:val="111111"/>
            <w:sz w:val="22"/>
            <w:szCs w:val="22"/>
            <w:b w:val="0"/>
            <w:bCs w:val="0"/>
            <w:i w:val="0"/>
            <w:iCs w:val="0"/>
          </w:rPr>
          <w:t>دیوان نظام قاری‏</w:t>
        </w:r>
        <w:r>
          <w:tab/>
        </w:r>
        <w:r>
          <w:fldChar w:fldCharType="begin"/>
        </w:r>
        <w:r>
          <w:instrText xml:space="preserve">PAGEREF 8971 \h</w:instrText>
        </w:r>
        <w:r>
          <w:fldChar w:fldCharType="end"/>
        </w:r>
      </w:hyperlink>
    </w:p>
    <w:p>
      <w:pPr>
        <w:tabs>
          <w:tab w:val="right" w:leader="dot" w:pos="9062"/>
        </w:tabs>
        <w:ind w:left="440"/>
      </w:pPr>
      <w:hyperlink w:anchor="_Toc8972" w:history="1">
        <w:r>
          <w:rPr>
            <w:rFonts w:ascii="IRNazanin" w:hAnsi="IRNazanin" w:eastAsia="IRNazanin" w:cs="IRNazanin"/>
            <w:color w:val="111111"/>
            <w:sz w:val="22"/>
            <w:szCs w:val="22"/>
            <w:b w:val="0"/>
            <w:bCs w:val="0"/>
            <w:i w:val="0"/>
            <w:iCs w:val="0"/>
          </w:rPr>
          <w:t>7751- دیوان نظام قزوینی أو شعره‏</w:t>
        </w:r>
        <w:r>
          <w:tab/>
        </w:r>
        <w:r>
          <w:fldChar w:fldCharType="begin"/>
        </w:r>
        <w:r>
          <w:instrText xml:space="preserve">PAGEREF 8972 \h</w:instrText>
        </w:r>
        <w:r>
          <w:fldChar w:fldCharType="end"/>
        </w:r>
      </w:hyperlink>
    </w:p>
    <w:p>
      <w:pPr>
        <w:tabs>
          <w:tab w:val="right" w:leader="dot" w:pos="9062"/>
        </w:tabs>
        <w:ind w:left="440"/>
      </w:pPr>
      <w:hyperlink w:anchor="_Toc8973" w:history="1">
        <w:r>
          <w:rPr>
            <w:rFonts w:ascii="IRNazanin" w:hAnsi="IRNazanin" w:eastAsia="IRNazanin" w:cs="IRNazanin"/>
            <w:color w:val="111111"/>
            <w:sz w:val="22"/>
            <w:szCs w:val="22"/>
            <w:b w:val="0"/>
            <w:bCs w:val="0"/>
            <w:i w:val="0"/>
            <w:iCs w:val="0"/>
          </w:rPr>
          <w:t>7752- دیوان نظام قزوینی أو شعره‏</w:t>
        </w:r>
        <w:r>
          <w:tab/>
        </w:r>
        <w:r>
          <w:fldChar w:fldCharType="begin"/>
        </w:r>
        <w:r>
          <w:instrText xml:space="preserve">PAGEREF 8973 \h</w:instrText>
        </w:r>
        <w:r>
          <w:fldChar w:fldCharType="end"/>
        </w:r>
      </w:hyperlink>
    </w:p>
    <w:p>
      <w:pPr>
        <w:tabs>
          <w:tab w:val="right" w:leader="dot" w:pos="9062"/>
        </w:tabs>
        <w:ind w:left="440"/>
      </w:pPr>
      <w:hyperlink w:anchor="_Toc8974" w:history="1">
        <w:r>
          <w:rPr>
            <w:rFonts w:ascii="IRNazanin" w:hAnsi="IRNazanin" w:eastAsia="IRNazanin" w:cs="IRNazanin"/>
            <w:color w:val="111111"/>
            <w:sz w:val="22"/>
            <w:szCs w:val="22"/>
            <w:b w:val="0"/>
            <w:bCs w:val="0"/>
            <w:i w:val="0"/>
            <w:iCs w:val="0"/>
          </w:rPr>
          <w:t>دیوان نظام قمری‏</w:t>
        </w:r>
        <w:r>
          <w:tab/>
        </w:r>
        <w:r>
          <w:fldChar w:fldCharType="begin"/>
        </w:r>
        <w:r>
          <w:instrText xml:space="preserve">PAGEREF 8974 \h</w:instrText>
        </w:r>
        <w:r>
          <w:fldChar w:fldCharType="end"/>
        </w:r>
      </w:hyperlink>
    </w:p>
    <w:p>
      <w:pPr>
        <w:tabs>
          <w:tab w:val="right" w:leader="dot" w:pos="9062"/>
        </w:tabs>
        <w:ind w:left="440"/>
      </w:pPr>
      <w:hyperlink w:anchor="_Toc8975" w:history="1">
        <w:r>
          <w:rPr>
            <w:rFonts w:ascii="IRNazanin" w:hAnsi="IRNazanin" w:eastAsia="IRNazanin" w:cs="IRNazanin"/>
            <w:color w:val="111111"/>
            <w:sz w:val="22"/>
            <w:szCs w:val="22"/>
            <w:b w:val="0"/>
            <w:bCs w:val="0"/>
            <w:i w:val="0"/>
            <w:iCs w:val="0"/>
          </w:rPr>
          <w:t>7753- دیوان نظام کابلی أو شعره‏</w:t>
        </w:r>
        <w:r>
          <w:tab/>
        </w:r>
        <w:r>
          <w:fldChar w:fldCharType="begin"/>
        </w:r>
        <w:r>
          <w:instrText xml:space="preserve">PAGEREF 8975 \h</w:instrText>
        </w:r>
        <w:r>
          <w:fldChar w:fldCharType="end"/>
        </w:r>
      </w:hyperlink>
    </w:p>
    <w:p>
      <w:pPr>
        <w:tabs>
          <w:tab w:val="right" w:leader="dot" w:pos="9062"/>
        </w:tabs>
        <w:ind w:left="440"/>
      </w:pPr>
      <w:hyperlink w:anchor="_Toc8976" w:history="1">
        <w:r>
          <w:rPr>
            <w:rFonts w:ascii="IRNazanin" w:hAnsi="IRNazanin" w:eastAsia="IRNazanin" w:cs="IRNazanin"/>
            <w:color w:val="111111"/>
            <w:sz w:val="22"/>
            <w:szCs w:val="22"/>
            <w:b w:val="0"/>
            <w:bCs w:val="0"/>
            <w:i w:val="0"/>
            <w:iCs w:val="0"/>
          </w:rPr>
          <w:t>7754- دیوان نظام کاشانی أو شعره‏</w:t>
        </w:r>
        <w:r>
          <w:tab/>
        </w:r>
        <w:r>
          <w:fldChar w:fldCharType="begin"/>
        </w:r>
        <w:r>
          <w:instrText xml:space="preserve">PAGEREF 8976 \h</w:instrText>
        </w:r>
        <w:r>
          <w:fldChar w:fldCharType="end"/>
        </w:r>
      </w:hyperlink>
    </w:p>
    <w:p>
      <w:pPr>
        <w:tabs>
          <w:tab w:val="right" w:leader="dot" w:pos="9062"/>
        </w:tabs>
        <w:ind w:left="440"/>
      </w:pPr>
      <w:hyperlink w:anchor="_Toc8977" w:history="1">
        <w:r>
          <w:rPr>
            <w:rFonts w:ascii="IRNazanin" w:hAnsi="IRNazanin" w:eastAsia="IRNazanin" w:cs="IRNazanin"/>
            <w:color w:val="111111"/>
            <w:sz w:val="22"/>
            <w:szCs w:val="22"/>
            <w:b w:val="0"/>
            <w:bCs w:val="0"/>
            <w:i w:val="0"/>
            <w:iCs w:val="0"/>
          </w:rPr>
          <w:t>7755- دیوان نظام کاشانی أو شعره‏</w:t>
        </w:r>
        <w:r>
          <w:tab/>
        </w:r>
        <w:r>
          <w:fldChar w:fldCharType="begin"/>
        </w:r>
        <w:r>
          <w:instrText xml:space="preserve">PAGEREF 8977 \h</w:instrText>
        </w:r>
        <w:r>
          <w:fldChar w:fldCharType="end"/>
        </w:r>
      </w:hyperlink>
    </w:p>
    <w:p>
      <w:pPr>
        <w:tabs>
          <w:tab w:val="right" w:leader="dot" w:pos="9062"/>
        </w:tabs>
        <w:ind w:left="440"/>
      </w:pPr>
      <w:hyperlink w:anchor="_Toc8978" w:history="1">
        <w:r>
          <w:rPr>
            <w:rFonts w:ascii="IRNazanin" w:hAnsi="IRNazanin" w:eastAsia="IRNazanin" w:cs="IRNazanin"/>
            <w:color w:val="111111"/>
            <w:sz w:val="22"/>
            <w:szCs w:val="22"/>
            <w:b w:val="0"/>
            <w:bCs w:val="0"/>
            <w:i w:val="0"/>
            <w:iCs w:val="0"/>
          </w:rPr>
          <w:t>دیوان نظام کاشانی‏</w:t>
        </w:r>
        <w:r>
          <w:tab/>
        </w:r>
        <w:r>
          <w:fldChar w:fldCharType="begin"/>
        </w:r>
        <w:r>
          <w:instrText xml:space="preserve">PAGEREF 8978 \h</w:instrText>
        </w:r>
        <w:r>
          <w:fldChar w:fldCharType="end"/>
        </w:r>
      </w:hyperlink>
    </w:p>
    <w:p>
      <w:pPr>
        <w:tabs>
          <w:tab w:val="right" w:leader="dot" w:pos="9062"/>
        </w:tabs>
        <w:ind w:left="440"/>
      </w:pPr>
      <w:hyperlink w:anchor="_Toc8979" w:history="1">
        <w:r>
          <w:rPr>
            <w:rFonts w:ascii="IRNazanin" w:hAnsi="IRNazanin" w:eastAsia="IRNazanin" w:cs="IRNazanin"/>
            <w:color w:val="111111"/>
            <w:sz w:val="22"/>
            <w:szCs w:val="22"/>
            <w:b w:val="0"/>
            <w:bCs w:val="0"/>
            <w:i w:val="0"/>
            <w:iCs w:val="0"/>
          </w:rPr>
          <w:t>دیوان نظام کبود جامه‏</w:t>
        </w:r>
        <w:r>
          <w:tab/>
        </w:r>
        <w:r>
          <w:fldChar w:fldCharType="begin"/>
        </w:r>
        <w:r>
          <w:instrText xml:space="preserve">PAGEREF 8979 \h</w:instrText>
        </w:r>
        <w:r>
          <w:fldChar w:fldCharType="end"/>
        </w:r>
      </w:hyperlink>
    </w:p>
    <w:p>
      <w:pPr>
        <w:tabs>
          <w:tab w:val="right" w:leader="dot" w:pos="9062"/>
        </w:tabs>
        <w:ind w:left="440"/>
      </w:pPr>
      <w:hyperlink w:anchor="_Toc8980" w:history="1">
        <w:r>
          <w:rPr>
            <w:rFonts w:ascii="IRNazanin" w:hAnsi="IRNazanin" w:eastAsia="IRNazanin" w:cs="IRNazanin"/>
            <w:color w:val="111111"/>
            <w:sz w:val="22"/>
            <w:szCs w:val="22"/>
            <w:b w:val="0"/>
            <w:bCs w:val="0"/>
            <w:i w:val="0"/>
            <w:iCs w:val="0"/>
          </w:rPr>
          <w:t>7756- دیوان نظام کرمانی‏</w:t>
        </w:r>
        <w:r>
          <w:tab/>
        </w:r>
        <w:r>
          <w:fldChar w:fldCharType="begin"/>
        </w:r>
        <w:r>
          <w:instrText xml:space="preserve">PAGEREF 8980 \h</w:instrText>
        </w:r>
        <w:r>
          <w:fldChar w:fldCharType="end"/>
        </w:r>
      </w:hyperlink>
    </w:p>
    <w:p>
      <w:pPr>
        <w:tabs>
          <w:tab w:val="right" w:leader="dot" w:pos="9062"/>
        </w:tabs>
        <w:ind w:left="440"/>
      </w:pPr>
      <w:hyperlink w:anchor="_Toc8981" w:history="1">
        <w:r>
          <w:rPr>
            <w:rFonts w:ascii="IRNazanin" w:hAnsi="IRNazanin" w:eastAsia="IRNazanin" w:cs="IRNazanin"/>
            <w:color w:val="111111"/>
            <w:sz w:val="22"/>
            <w:szCs w:val="22"/>
            <w:b w:val="0"/>
            <w:bCs w:val="0"/>
            <w:i w:val="0"/>
            <w:iCs w:val="0"/>
          </w:rPr>
          <w:t>7757- دیوان نظام گجراتی أو شعره‏</w:t>
        </w:r>
        <w:r>
          <w:tab/>
        </w:r>
        <w:r>
          <w:fldChar w:fldCharType="begin"/>
        </w:r>
        <w:r>
          <w:instrText xml:space="preserve">PAGEREF 8981 \h</w:instrText>
        </w:r>
        <w:r>
          <w:fldChar w:fldCharType="end"/>
        </w:r>
      </w:hyperlink>
    </w:p>
    <w:p>
      <w:pPr>
        <w:tabs>
          <w:tab w:val="right" w:leader="dot" w:pos="9062"/>
        </w:tabs>
        <w:ind w:left="440"/>
      </w:pPr>
      <w:hyperlink w:anchor="_Toc8982" w:history="1">
        <w:r>
          <w:rPr>
            <w:rFonts w:ascii="IRNazanin" w:hAnsi="IRNazanin" w:eastAsia="IRNazanin" w:cs="IRNazanin"/>
            <w:color w:val="111111"/>
            <w:sz w:val="22"/>
            <w:szCs w:val="22"/>
            <w:b w:val="0"/>
            <w:bCs w:val="0"/>
            <w:i w:val="0"/>
            <w:iCs w:val="0"/>
          </w:rPr>
          <w:t>7758- دیوان نظام مشهدی أو شعره‏</w:t>
        </w:r>
        <w:r>
          <w:tab/>
        </w:r>
        <w:r>
          <w:fldChar w:fldCharType="begin"/>
        </w:r>
        <w:r>
          <w:instrText xml:space="preserve">PAGEREF 8982 \h</w:instrText>
        </w:r>
        <w:r>
          <w:fldChar w:fldCharType="end"/>
        </w:r>
      </w:hyperlink>
    </w:p>
    <w:p>
      <w:pPr>
        <w:tabs>
          <w:tab w:val="right" w:leader="dot" w:pos="9062"/>
        </w:tabs>
        <w:ind w:left="440"/>
      </w:pPr>
      <w:hyperlink w:anchor="_Toc8983" w:history="1">
        <w:r>
          <w:rPr>
            <w:rFonts w:ascii="IRNazanin" w:hAnsi="IRNazanin" w:eastAsia="IRNazanin" w:cs="IRNazanin"/>
            <w:color w:val="111111"/>
            <w:sz w:val="22"/>
            <w:szCs w:val="22"/>
            <w:b w:val="0"/>
            <w:bCs w:val="0"/>
            <w:i w:val="0"/>
            <w:iCs w:val="0"/>
          </w:rPr>
          <w:t>دیوان نظام معمایی‏</w:t>
        </w:r>
        <w:r>
          <w:tab/>
        </w:r>
        <w:r>
          <w:fldChar w:fldCharType="begin"/>
        </w:r>
        <w:r>
          <w:instrText xml:space="preserve">PAGEREF 8983 \h</w:instrText>
        </w:r>
        <w:r>
          <w:fldChar w:fldCharType="end"/>
        </w:r>
      </w:hyperlink>
    </w:p>
    <w:p>
      <w:pPr>
        <w:tabs>
          <w:tab w:val="right" w:leader="dot" w:pos="9062"/>
        </w:tabs>
        <w:ind w:left="440"/>
      </w:pPr>
      <w:hyperlink w:anchor="_Toc8984" w:history="1">
        <w:r>
          <w:rPr>
            <w:rFonts w:ascii="IRNazanin" w:hAnsi="IRNazanin" w:eastAsia="IRNazanin" w:cs="IRNazanin"/>
            <w:color w:val="111111"/>
            <w:sz w:val="22"/>
            <w:szCs w:val="22"/>
            <w:b w:val="0"/>
            <w:bCs w:val="0"/>
            <w:i w:val="0"/>
            <w:iCs w:val="0"/>
          </w:rPr>
          <w:t>دیوان نظام الملک‏</w:t>
        </w:r>
        <w:r>
          <w:tab/>
        </w:r>
        <w:r>
          <w:fldChar w:fldCharType="begin"/>
        </w:r>
        <w:r>
          <w:instrText xml:space="preserve">PAGEREF 8984 \h</w:instrText>
        </w:r>
        <w:r>
          <w:fldChar w:fldCharType="end"/>
        </w:r>
      </w:hyperlink>
    </w:p>
    <w:p>
      <w:pPr>
        <w:tabs>
          <w:tab w:val="right" w:leader="dot" w:pos="9062"/>
        </w:tabs>
        <w:ind w:left="440"/>
      </w:pPr>
      <w:hyperlink w:anchor="_Toc8985" w:history="1">
        <w:r>
          <w:rPr>
            <w:rFonts w:ascii="IRNazanin" w:hAnsi="IRNazanin" w:eastAsia="IRNazanin" w:cs="IRNazanin"/>
            <w:color w:val="111111"/>
            <w:sz w:val="22"/>
            <w:szCs w:val="22"/>
            <w:b w:val="0"/>
            <w:bCs w:val="0"/>
            <w:i w:val="0"/>
            <w:iCs w:val="0"/>
          </w:rPr>
          <w:t>7759- دیوان نظام الملک هندی‏</w:t>
        </w:r>
        <w:r>
          <w:tab/>
        </w:r>
        <w:r>
          <w:fldChar w:fldCharType="begin"/>
        </w:r>
        <w:r>
          <w:instrText xml:space="preserve">PAGEREF 8985 \h</w:instrText>
        </w:r>
        <w:r>
          <w:fldChar w:fldCharType="end"/>
        </w:r>
      </w:hyperlink>
    </w:p>
    <w:p>
      <w:pPr>
        <w:tabs>
          <w:tab w:val="right" w:leader="dot" w:pos="9062"/>
        </w:tabs>
        <w:ind w:left="440"/>
      </w:pPr>
      <w:hyperlink w:anchor="_Toc8986" w:history="1">
        <w:r>
          <w:rPr>
            <w:rFonts w:ascii="IRNazanin" w:hAnsi="IRNazanin" w:eastAsia="IRNazanin" w:cs="IRNazanin"/>
            <w:color w:val="111111"/>
            <w:sz w:val="22"/>
            <w:szCs w:val="22"/>
            <w:b w:val="0"/>
            <w:bCs w:val="0"/>
            <w:i w:val="0"/>
            <w:iCs w:val="0"/>
          </w:rPr>
          <w:t>7760- دیوان نظام نیشابوری أو شعره‏</w:t>
        </w:r>
        <w:r>
          <w:tab/>
        </w:r>
        <w:r>
          <w:fldChar w:fldCharType="begin"/>
        </w:r>
        <w:r>
          <w:instrText xml:space="preserve">PAGEREF 8986 \h</w:instrText>
        </w:r>
        <w:r>
          <w:fldChar w:fldCharType="end"/>
        </w:r>
      </w:hyperlink>
    </w:p>
    <w:p>
      <w:pPr>
        <w:tabs>
          <w:tab w:val="right" w:leader="dot" w:pos="9062"/>
        </w:tabs>
        <w:ind w:left="440"/>
      </w:pPr>
      <w:hyperlink w:anchor="_Toc8987" w:history="1">
        <w:r>
          <w:rPr>
            <w:rFonts w:ascii="IRNazanin" w:hAnsi="IRNazanin" w:eastAsia="IRNazanin" w:cs="IRNazanin"/>
            <w:color w:val="111111"/>
            <w:sz w:val="22"/>
            <w:szCs w:val="22"/>
            <w:b w:val="0"/>
            <w:bCs w:val="0"/>
            <w:i w:val="0"/>
            <w:iCs w:val="0"/>
          </w:rPr>
          <w:t>7761- دیوان نظام وفا</w:t>
        </w:r>
        <w:r>
          <w:tab/>
        </w:r>
        <w:r>
          <w:fldChar w:fldCharType="begin"/>
        </w:r>
        <w:r>
          <w:instrText xml:space="preserve">PAGEREF 8987 \h</w:instrText>
        </w:r>
        <w:r>
          <w:fldChar w:fldCharType="end"/>
        </w:r>
      </w:hyperlink>
    </w:p>
    <w:p>
      <w:pPr>
        <w:tabs>
          <w:tab w:val="right" w:leader="dot" w:pos="9062"/>
        </w:tabs>
        <w:ind w:left="440"/>
      </w:pPr>
      <w:hyperlink w:anchor="_Toc8988" w:history="1">
        <w:r>
          <w:rPr>
            <w:rFonts w:ascii="IRNazanin" w:hAnsi="IRNazanin" w:eastAsia="IRNazanin" w:cs="IRNazanin"/>
            <w:color w:val="111111"/>
            <w:sz w:val="22"/>
            <w:szCs w:val="22"/>
            <w:b w:val="0"/>
            <w:bCs w:val="0"/>
            <w:i w:val="0"/>
            <w:iCs w:val="0"/>
          </w:rPr>
          <w:t>7762- دیوان نظام هروی أو شعره‏</w:t>
        </w:r>
        <w:r>
          <w:tab/>
        </w:r>
        <w:r>
          <w:fldChar w:fldCharType="begin"/>
        </w:r>
        <w:r>
          <w:instrText xml:space="preserve">PAGEREF 8988 \h</w:instrText>
        </w:r>
        <w:r>
          <w:fldChar w:fldCharType="end"/>
        </w:r>
      </w:hyperlink>
    </w:p>
    <w:p>
      <w:pPr>
        <w:tabs>
          <w:tab w:val="right" w:leader="dot" w:pos="9062"/>
        </w:tabs>
        <w:ind w:left="440"/>
      </w:pPr>
      <w:hyperlink w:anchor="_Toc8989" w:history="1">
        <w:r>
          <w:rPr>
            <w:rFonts w:ascii="IRNazanin" w:hAnsi="IRNazanin" w:eastAsia="IRNazanin" w:cs="IRNazanin"/>
            <w:color w:val="111111"/>
            <w:sz w:val="22"/>
            <w:szCs w:val="22"/>
            <w:b w:val="0"/>
            <w:bCs w:val="0"/>
            <w:i w:val="0"/>
            <w:iCs w:val="0"/>
          </w:rPr>
          <w:t>7763- دیوان نظام هروی أو شعره‏</w:t>
        </w:r>
        <w:r>
          <w:tab/>
        </w:r>
        <w:r>
          <w:fldChar w:fldCharType="begin"/>
        </w:r>
        <w:r>
          <w:instrText xml:space="preserve">PAGEREF 8989 \h</w:instrText>
        </w:r>
        <w:r>
          <w:fldChar w:fldCharType="end"/>
        </w:r>
      </w:hyperlink>
    </w:p>
    <w:p>
      <w:pPr>
        <w:tabs>
          <w:tab w:val="right" w:leader="dot" w:pos="9062"/>
        </w:tabs>
        <w:ind w:left="440"/>
      </w:pPr>
      <w:hyperlink w:anchor="_Toc8990" w:history="1">
        <w:r>
          <w:rPr>
            <w:rFonts w:ascii="IRNazanin" w:hAnsi="IRNazanin" w:eastAsia="IRNazanin" w:cs="IRNazanin"/>
            <w:color w:val="111111"/>
            <w:sz w:val="22"/>
            <w:szCs w:val="22"/>
            <w:b w:val="0"/>
            <w:bCs w:val="0"/>
            <w:i w:val="0"/>
            <w:iCs w:val="0"/>
          </w:rPr>
          <w:t>دیوان نظام همایون‏</w:t>
        </w:r>
        <w:r>
          <w:tab/>
        </w:r>
        <w:r>
          <w:fldChar w:fldCharType="begin"/>
        </w:r>
        <w:r>
          <w:instrText xml:space="preserve">PAGEREF 8990 \h</w:instrText>
        </w:r>
        <w:r>
          <w:fldChar w:fldCharType="end"/>
        </w:r>
      </w:hyperlink>
    </w:p>
    <w:p>
      <w:pPr>
        <w:tabs>
          <w:tab w:val="right" w:leader="dot" w:pos="9062"/>
        </w:tabs>
        <w:ind w:left="440"/>
      </w:pPr>
      <w:hyperlink w:anchor="_Toc8991" w:history="1">
        <w:r>
          <w:rPr>
            <w:rFonts w:ascii="IRNazanin" w:hAnsi="IRNazanin" w:eastAsia="IRNazanin" w:cs="IRNazanin"/>
            <w:color w:val="111111"/>
            <w:sz w:val="22"/>
            <w:szCs w:val="22"/>
            <w:b w:val="0"/>
            <w:bCs w:val="0"/>
            <w:i w:val="0"/>
            <w:iCs w:val="0"/>
          </w:rPr>
          <w:t>7764- دیوان نظامی بلند شهری‏</w:t>
        </w:r>
        <w:r>
          <w:tab/>
        </w:r>
        <w:r>
          <w:fldChar w:fldCharType="begin"/>
        </w:r>
        <w:r>
          <w:instrText xml:space="preserve">PAGEREF 8991 \h</w:instrText>
        </w:r>
        <w:r>
          <w:fldChar w:fldCharType="end"/>
        </w:r>
      </w:hyperlink>
    </w:p>
    <w:p>
      <w:pPr>
        <w:tabs>
          <w:tab w:val="right" w:leader="dot" w:pos="9062"/>
        </w:tabs>
        <w:ind w:left="440"/>
      </w:pPr>
      <w:hyperlink w:anchor="_Toc8992" w:history="1">
        <w:r>
          <w:rPr>
            <w:rFonts w:ascii="IRNazanin" w:hAnsi="IRNazanin" w:eastAsia="IRNazanin" w:cs="IRNazanin"/>
            <w:color w:val="111111"/>
            <w:sz w:val="22"/>
            <w:szCs w:val="22"/>
            <w:b w:val="0"/>
            <w:bCs w:val="0"/>
            <w:i w:val="0"/>
            <w:iCs w:val="0"/>
          </w:rPr>
          <w:t>7765- دیوان نظامی تبریزی‏</w:t>
        </w:r>
        <w:r>
          <w:tab/>
        </w:r>
        <w:r>
          <w:fldChar w:fldCharType="begin"/>
        </w:r>
        <w:r>
          <w:instrText xml:space="preserve">PAGEREF 8992 \h</w:instrText>
        </w:r>
        <w:r>
          <w:fldChar w:fldCharType="end"/>
        </w:r>
      </w:hyperlink>
    </w:p>
    <w:p>
      <w:pPr>
        <w:tabs>
          <w:tab w:val="right" w:leader="dot" w:pos="9062"/>
        </w:tabs>
        <w:ind w:left="440"/>
      </w:pPr>
      <w:hyperlink w:anchor="_Toc8993" w:history="1">
        <w:r>
          <w:rPr>
            <w:rFonts w:ascii="IRNazanin" w:hAnsi="IRNazanin" w:eastAsia="IRNazanin" w:cs="IRNazanin"/>
            <w:color w:val="111111"/>
            <w:sz w:val="22"/>
            <w:szCs w:val="22"/>
            <w:b w:val="0"/>
            <w:bCs w:val="0"/>
            <w:i w:val="0"/>
            <w:iCs w:val="0"/>
          </w:rPr>
          <w:t>7766- دیوان النظامی الخطاط أو شعره‏</w:t>
        </w:r>
        <w:r>
          <w:tab/>
        </w:r>
        <w:r>
          <w:fldChar w:fldCharType="begin"/>
        </w:r>
        <w:r>
          <w:instrText xml:space="preserve">PAGEREF 8993 \h</w:instrText>
        </w:r>
        <w:r>
          <w:fldChar w:fldCharType="end"/>
        </w:r>
      </w:hyperlink>
    </w:p>
    <w:p>
      <w:pPr>
        <w:tabs>
          <w:tab w:val="right" w:leader="dot" w:pos="9062"/>
        </w:tabs>
        <w:ind w:left="440"/>
      </w:pPr>
      <w:hyperlink w:anchor="_Toc8994" w:history="1">
        <w:r>
          <w:rPr>
            <w:rFonts w:ascii="IRNazanin" w:hAnsi="IRNazanin" w:eastAsia="IRNazanin" w:cs="IRNazanin"/>
            <w:color w:val="111111"/>
            <w:sz w:val="22"/>
            <w:szCs w:val="22"/>
            <w:b w:val="0"/>
            <w:bCs w:val="0"/>
            <w:i w:val="0"/>
            <w:iCs w:val="0"/>
          </w:rPr>
          <w:t>دیوان نظامی سمرقندی‏</w:t>
        </w:r>
        <w:r>
          <w:tab/>
        </w:r>
        <w:r>
          <w:fldChar w:fldCharType="begin"/>
        </w:r>
        <w:r>
          <w:instrText xml:space="preserve">PAGEREF 8994 \h</w:instrText>
        </w:r>
        <w:r>
          <w:fldChar w:fldCharType="end"/>
        </w:r>
      </w:hyperlink>
    </w:p>
    <w:p>
      <w:pPr>
        <w:tabs>
          <w:tab w:val="right" w:leader="dot" w:pos="9062"/>
        </w:tabs>
        <w:ind w:left="440"/>
      </w:pPr>
      <w:hyperlink w:anchor="_Toc8995" w:history="1">
        <w:r>
          <w:rPr>
            <w:rFonts w:ascii="IRNazanin" w:hAnsi="IRNazanin" w:eastAsia="IRNazanin" w:cs="IRNazanin"/>
            <w:color w:val="111111"/>
            <w:sz w:val="22"/>
            <w:szCs w:val="22"/>
            <w:b w:val="0"/>
            <w:bCs w:val="0"/>
            <w:i w:val="0"/>
            <w:iCs w:val="0"/>
          </w:rPr>
          <w:t>7767- دیوان نظامی عروضی أو شعره‏</w:t>
        </w:r>
        <w:r>
          <w:tab/>
        </w:r>
        <w:r>
          <w:fldChar w:fldCharType="begin"/>
        </w:r>
        <w:r>
          <w:instrText xml:space="preserve">PAGEREF 8995 \h</w:instrText>
        </w:r>
        <w:r>
          <w:fldChar w:fldCharType="end"/>
        </w:r>
      </w:hyperlink>
    </w:p>
    <w:p>
      <w:pPr>
        <w:tabs>
          <w:tab w:val="right" w:leader="dot" w:pos="9062"/>
        </w:tabs>
        <w:ind w:left="440"/>
      </w:pPr>
      <w:hyperlink w:anchor="_Toc8996" w:history="1">
        <w:r>
          <w:rPr>
            <w:rFonts w:ascii="IRNazanin" w:hAnsi="IRNazanin" w:eastAsia="IRNazanin" w:cs="IRNazanin"/>
            <w:color w:val="111111"/>
            <w:sz w:val="22"/>
            <w:szCs w:val="22"/>
            <w:b w:val="0"/>
            <w:bCs w:val="0"/>
            <w:i w:val="0"/>
            <w:iCs w:val="0"/>
          </w:rPr>
          <w:t>دیوان نظامی قهستانی‏</w:t>
        </w:r>
        <w:r>
          <w:tab/>
        </w:r>
        <w:r>
          <w:fldChar w:fldCharType="begin"/>
        </w:r>
        <w:r>
          <w:instrText xml:space="preserve">PAGEREF 8996 \h</w:instrText>
        </w:r>
        <w:r>
          <w:fldChar w:fldCharType="end"/>
        </w:r>
      </w:hyperlink>
    </w:p>
    <w:p>
      <w:pPr>
        <w:tabs>
          <w:tab w:val="right" w:leader="dot" w:pos="9062"/>
        </w:tabs>
        <w:ind w:left="440"/>
      </w:pPr>
      <w:hyperlink w:anchor="_Toc8997" w:history="1">
        <w:r>
          <w:rPr>
            <w:rFonts w:ascii="IRNazanin" w:hAnsi="IRNazanin" w:eastAsia="IRNazanin" w:cs="IRNazanin"/>
            <w:color w:val="111111"/>
            <w:sz w:val="22"/>
            <w:szCs w:val="22"/>
            <w:b w:val="0"/>
            <w:bCs w:val="0"/>
            <w:i w:val="0"/>
            <w:iCs w:val="0"/>
          </w:rPr>
          <w:t>7768- دیوان نظامی گنجوی‏</w:t>
        </w:r>
        <w:r>
          <w:tab/>
        </w:r>
        <w:r>
          <w:fldChar w:fldCharType="begin"/>
        </w:r>
        <w:r>
          <w:instrText xml:space="preserve">PAGEREF 8997 \h</w:instrText>
        </w:r>
        <w:r>
          <w:fldChar w:fldCharType="end"/>
        </w:r>
      </w:hyperlink>
    </w:p>
    <w:p>
      <w:pPr>
        <w:tabs>
          <w:tab w:val="right" w:leader="dot" w:pos="9062"/>
        </w:tabs>
        <w:ind w:left="440"/>
      </w:pPr>
      <w:hyperlink w:anchor="_Toc8998" w:history="1">
        <w:r>
          <w:rPr>
            <w:rFonts w:ascii="IRNazanin" w:hAnsi="IRNazanin" w:eastAsia="IRNazanin" w:cs="IRNazanin"/>
            <w:color w:val="111111"/>
            <w:sz w:val="22"/>
            <w:szCs w:val="22"/>
            <w:b w:val="0"/>
            <w:bCs w:val="0"/>
            <w:i w:val="0"/>
            <w:iCs w:val="0"/>
          </w:rPr>
          <w:t>7769- دیوان نظر علی شاه أو شعره‏</w:t>
        </w:r>
        <w:r>
          <w:tab/>
        </w:r>
        <w:r>
          <w:fldChar w:fldCharType="begin"/>
        </w:r>
        <w:r>
          <w:instrText xml:space="preserve">PAGEREF 8998 \h</w:instrText>
        </w:r>
        <w:r>
          <w:fldChar w:fldCharType="end"/>
        </w:r>
      </w:hyperlink>
    </w:p>
    <w:p>
      <w:pPr>
        <w:tabs>
          <w:tab w:val="right" w:leader="dot" w:pos="9062"/>
        </w:tabs>
        <w:ind w:left="440"/>
      </w:pPr>
      <w:hyperlink w:anchor="_Toc8999" w:history="1">
        <w:r>
          <w:rPr>
            <w:rFonts w:ascii="IRNazanin" w:hAnsi="IRNazanin" w:eastAsia="IRNazanin" w:cs="IRNazanin"/>
            <w:color w:val="111111"/>
            <w:sz w:val="22"/>
            <w:szCs w:val="22"/>
            <w:b w:val="0"/>
            <w:bCs w:val="0"/>
            <w:i w:val="0"/>
            <w:iCs w:val="0"/>
          </w:rPr>
          <w:t>7770- دیوان نظر قمشهی‏</w:t>
        </w:r>
        <w:r>
          <w:tab/>
        </w:r>
        <w:r>
          <w:fldChar w:fldCharType="begin"/>
        </w:r>
        <w:r>
          <w:instrText xml:space="preserve">PAGEREF 8999 \h</w:instrText>
        </w:r>
        <w:r>
          <w:fldChar w:fldCharType="end"/>
        </w:r>
      </w:hyperlink>
    </w:p>
    <w:p>
      <w:pPr>
        <w:tabs>
          <w:tab w:val="right" w:leader="dot" w:pos="9062"/>
        </w:tabs>
        <w:ind w:left="440"/>
      </w:pPr>
      <w:hyperlink w:anchor="_Toc9000" w:history="1">
        <w:r>
          <w:rPr>
            <w:rFonts w:ascii="IRNazanin" w:hAnsi="IRNazanin" w:eastAsia="IRNazanin" w:cs="IRNazanin"/>
            <w:color w:val="111111"/>
            <w:sz w:val="22"/>
            <w:szCs w:val="22"/>
            <w:b w:val="0"/>
            <w:bCs w:val="0"/>
            <w:i w:val="0"/>
            <w:iCs w:val="0"/>
          </w:rPr>
          <w:t>7771- دیوان نظر لکهنوی أو شعره‏</w:t>
        </w:r>
        <w:r>
          <w:tab/>
        </w:r>
        <w:r>
          <w:fldChar w:fldCharType="begin"/>
        </w:r>
        <w:r>
          <w:instrText xml:space="preserve">PAGEREF 9000 \h</w:instrText>
        </w:r>
        <w:r>
          <w:fldChar w:fldCharType="end"/>
        </w:r>
      </w:hyperlink>
    </w:p>
    <w:p>
      <w:pPr>
        <w:tabs>
          <w:tab w:val="right" w:leader="dot" w:pos="9062"/>
        </w:tabs>
        <w:ind w:left="440"/>
      </w:pPr>
      <w:hyperlink w:anchor="_Toc9001" w:history="1">
        <w:r>
          <w:rPr>
            <w:rFonts w:ascii="IRNazanin" w:hAnsi="IRNazanin" w:eastAsia="IRNazanin" w:cs="IRNazanin"/>
            <w:color w:val="111111"/>
            <w:sz w:val="22"/>
            <w:szCs w:val="22"/>
            <w:b w:val="0"/>
            <w:bCs w:val="0"/>
            <w:i w:val="0"/>
            <w:iCs w:val="0"/>
          </w:rPr>
          <w:t>دیوان نظر نائنی‏</w:t>
        </w:r>
        <w:r>
          <w:tab/>
        </w:r>
        <w:r>
          <w:fldChar w:fldCharType="begin"/>
        </w:r>
        <w:r>
          <w:instrText xml:space="preserve">PAGEREF 9001 \h</w:instrText>
        </w:r>
        <w:r>
          <w:fldChar w:fldCharType="end"/>
        </w:r>
      </w:hyperlink>
    </w:p>
    <w:p>
      <w:pPr>
        <w:tabs>
          <w:tab w:val="right" w:leader="dot" w:pos="9062"/>
        </w:tabs>
        <w:ind w:left="440"/>
      </w:pPr>
      <w:hyperlink w:anchor="_Toc9002" w:history="1">
        <w:r>
          <w:rPr>
            <w:rFonts w:ascii="IRNazanin" w:hAnsi="IRNazanin" w:eastAsia="IRNazanin" w:cs="IRNazanin"/>
            <w:color w:val="111111"/>
            <w:sz w:val="22"/>
            <w:szCs w:val="22"/>
            <w:b w:val="0"/>
            <w:bCs w:val="0"/>
            <w:i w:val="0"/>
            <w:iCs w:val="0"/>
          </w:rPr>
          <w:t>دیوان نظم حیدرآبادی‏</w:t>
        </w:r>
        <w:r>
          <w:tab/>
        </w:r>
        <w:r>
          <w:fldChar w:fldCharType="begin"/>
        </w:r>
        <w:r>
          <w:instrText xml:space="preserve">PAGEREF 9002 \h</w:instrText>
        </w:r>
        <w:r>
          <w:fldChar w:fldCharType="end"/>
        </w:r>
      </w:hyperlink>
    </w:p>
    <w:p>
      <w:pPr>
        <w:tabs>
          <w:tab w:val="right" w:leader="dot" w:pos="9062"/>
        </w:tabs>
        <w:ind w:left="440"/>
      </w:pPr>
      <w:hyperlink w:anchor="_Toc9003" w:history="1">
        <w:r>
          <w:rPr>
            <w:rFonts w:ascii="IRNazanin" w:hAnsi="IRNazanin" w:eastAsia="IRNazanin" w:cs="IRNazanin"/>
            <w:color w:val="111111"/>
            <w:sz w:val="22"/>
            <w:szCs w:val="22"/>
            <w:b w:val="0"/>
            <w:bCs w:val="0"/>
            <w:i w:val="0"/>
            <w:iCs w:val="0"/>
          </w:rPr>
          <w:t>7772- دیوان نظمی أصفهانی أو شعره‏</w:t>
        </w:r>
        <w:r>
          <w:tab/>
        </w:r>
        <w:r>
          <w:fldChar w:fldCharType="begin"/>
        </w:r>
        <w:r>
          <w:instrText xml:space="preserve">PAGEREF 9003 \h</w:instrText>
        </w:r>
        <w:r>
          <w:fldChar w:fldCharType="end"/>
        </w:r>
      </w:hyperlink>
    </w:p>
    <w:p>
      <w:pPr>
        <w:tabs>
          <w:tab w:val="right" w:leader="dot" w:pos="9062"/>
        </w:tabs>
        <w:ind w:left="440"/>
      </w:pPr>
      <w:hyperlink w:anchor="_Toc9004" w:history="1">
        <w:r>
          <w:rPr>
            <w:rFonts w:ascii="IRNazanin" w:hAnsi="IRNazanin" w:eastAsia="IRNazanin" w:cs="IRNazanin"/>
            <w:color w:val="111111"/>
            <w:sz w:val="22"/>
            <w:szCs w:val="22"/>
            <w:b w:val="0"/>
            <w:bCs w:val="0"/>
            <w:i w:val="0"/>
            <w:iCs w:val="0"/>
          </w:rPr>
          <w:t>7773- دیوان نظمی الله‏آبادی أو شعره‏</w:t>
        </w:r>
        <w:r>
          <w:tab/>
        </w:r>
        <w:r>
          <w:fldChar w:fldCharType="begin"/>
        </w:r>
        <w:r>
          <w:instrText xml:space="preserve">PAGEREF 9004 \h</w:instrText>
        </w:r>
        <w:r>
          <w:fldChar w:fldCharType="end"/>
        </w:r>
      </w:hyperlink>
    </w:p>
    <w:p>
      <w:pPr>
        <w:tabs>
          <w:tab w:val="right" w:leader="dot" w:pos="9062"/>
        </w:tabs>
        <w:ind w:left="440"/>
      </w:pPr>
      <w:hyperlink w:anchor="_Toc9005" w:history="1">
        <w:r>
          <w:rPr>
            <w:rFonts w:ascii="IRNazanin" w:hAnsi="IRNazanin" w:eastAsia="IRNazanin" w:cs="IRNazanin"/>
            <w:color w:val="111111"/>
            <w:sz w:val="22"/>
            <w:szCs w:val="22"/>
            <w:b w:val="0"/>
            <w:bCs w:val="0"/>
            <w:i w:val="0"/>
            <w:iCs w:val="0"/>
          </w:rPr>
          <w:t>7774- دیوان نظمی بلخی أو شعره‏</w:t>
        </w:r>
        <w:r>
          <w:tab/>
        </w:r>
        <w:r>
          <w:fldChar w:fldCharType="begin"/>
        </w:r>
        <w:r>
          <w:instrText xml:space="preserve">PAGEREF 9005 \h</w:instrText>
        </w:r>
        <w:r>
          <w:fldChar w:fldCharType="end"/>
        </w:r>
      </w:hyperlink>
    </w:p>
    <w:p>
      <w:pPr>
        <w:tabs>
          <w:tab w:val="right" w:leader="dot" w:pos="9062"/>
        </w:tabs>
        <w:ind w:left="440"/>
      </w:pPr>
      <w:hyperlink w:anchor="_Toc9006" w:history="1">
        <w:r>
          <w:rPr>
            <w:rFonts w:ascii="IRNazanin" w:hAnsi="IRNazanin" w:eastAsia="IRNazanin" w:cs="IRNazanin"/>
            <w:color w:val="111111"/>
            <w:sz w:val="22"/>
            <w:szCs w:val="22"/>
            <w:b w:val="0"/>
            <w:bCs w:val="0"/>
            <w:i w:val="0"/>
            <w:iCs w:val="0"/>
          </w:rPr>
          <w:t>7775- دیوان نظمی بهبهانی أو شعره‏</w:t>
        </w:r>
        <w:r>
          <w:tab/>
        </w:r>
        <w:r>
          <w:fldChar w:fldCharType="begin"/>
        </w:r>
        <w:r>
          <w:instrText xml:space="preserve">PAGEREF 9006 \h</w:instrText>
        </w:r>
        <w:r>
          <w:fldChar w:fldCharType="end"/>
        </w:r>
      </w:hyperlink>
    </w:p>
    <w:p>
      <w:pPr>
        <w:tabs>
          <w:tab w:val="right" w:leader="dot" w:pos="9062"/>
        </w:tabs>
        <w:ind w:left="440"/>
      </w:pPr>
      <w:hyperlink w:anchor="_Toc9007" w:history="1">
        <w:r>
          <w:rPr>
            <w:rFonts w:ascii="IRNazanin" w:hAnsi="IRNazanin" w:eastAsia="IRNazanin" w:cs="IRNazanin"/>
            <w:color w:val="111111"/>
            <w:sz w:val="22"/>
            <w:szCs w:val="22"/>
            <w:b w:val="0"/>
            <w:bCs w:val="0"/>
            <w:i w:val="0"/>
            <w:iCs w:val="0"/>
          </w:rPr>
          <w:t>7776- دیوان نظمی تبریزی‏</w:t>
        </w:r>
        <w:r>
          <w:tab/>
        </w:r>
        <w:r>
          <w:fldChar w:fldCharType="begin"/>
        </w:r>
        <w:r>
          <w:instrText xml:space="preserve">PAGEREF 9007 \h</w:instrText>
        </w:r>
        <w:r>
          <w:fldChar w:fldCharType="end"/>
        </w:r>
      </w:hyperlink>
    </w:p>
    <w:p>
      <w:pPr>
        <w:tabs>
          <w:tab w:val="right" w:leader="dot" w:pos="9062"/>
        </w:tabs>
        <w:ind w:left="440"/>
      </w:pPr>
      <w:hyperlink w:anchor="_Toc9008" w:history="1">
        <w:r>
          <w:rPr>
            <w:rFonts w:ascii="IRNazanin" w:hAnsi="IRNazanin" w:eastAsia="IRNazanin" w:cs="IRNazanin"/>
            <w:color w:val="111111"/>
            <w:sz w:val="22"/>
            <w:szCs w:val="22"/>
            <w:b w:val="0"/>
            <w:bCs w:val="0"/>
            <w:i w:val="0"/>
            <w:iCs w:val="0"/>
          </w:rPr>
          <w:t>دیوان نظمی تهرانی‏</w:t>
        </w:r>
        <w:r>
          <w:tab/>
        </w:r>
        <w:r>
          <w:fldChar w:fldCharType="begin"/>
        </w:r>
        <w:r>
          <w:instrText xml:space="preserve">PAGEREF 9008 \h</w:instrText>
        </w:r>
        <w:r>
          <w:fldChar w:fldCharType="end"/>
        </w:r>
      </w:hyperlink>
    </w:p>
    <w:p>
      <w:pPr>
        <w:tabs>
          <w:tab w:val="right" w:leader="dot" w:pos="9062"/>
        </w:tabs>
        <w:ind w:left="440"/>
      </w:pPr>
      <w:hyperlink w:anchor="_Toc9009" w:history="1">
        <w:r>
          <w:rPr>
            <w:rFonts w:ascii="IRNazanin" w:hAnsi="IRNazanin" w:eastAsia="IRNazanin" w:cs="IRNazanin"/>
            <w:color w:val="111111"/>
            <w:sz w:val="22"/>
            <w:szCs w:val="22"/>
            <w:b w:val="0"/>
            <w:bCs w:val="0"/>
            <w:i w:val="0"/>
            <w:iCs w:val="0"/>
          </w:rPr>
          <w:t>7777- دیوان نظمی خراسانی أو شعره‏</w:t>
        </w:r>
        <w:r>
          <w:tab/>
        </w:r>
        <w:r>
          <w:fldChar w:fldCharType="begin"/>
        </w:r>
        <w:r>
          <w:instrText xml:space="preserve">PAGEREF 9009 \h</w:instrText>
        </w:r>
        <w:r>
          <w:fldChar w:fldCharType="end"/>
        </w:r>
      </w:hyperlink>
    </w:p>
    <w:p>
      <w:pPr>
        <w:tabs>
          <w:tab w:val="right" w:leader="dot" w:pos="9062"/>
        </w:tabs>
        <w:ind w:left="440"/>
      </w:pPr>
      <w:hyperlink w:anchor="_Toc9010" w:history="1">
        <w:r>
          <w:rPr>
            <w:rFonts w:ascii="IRNazanin" w:hAnsi="IRNazanin" w:eastAsia="IRNazanin" w:cs="IRNazanin"/>
            <w:color w:val="111111"/>
            <w:sz w:val="22"/>
            <w:szCs w:val="22"/>
            <w:b w:val="0"/>
            <w:bCs w:val="0"/>
            <w:i w:val="0"/>
            <w:iCs w:val="0"/>
          </w:rPr>
          <w:t>7778- دیوان نظمی هروی أو شعره‏</w:t>
        </w:r>
        <w:r>
          <w:tab/>
        </w:r>
        <w:r>
          <w:fldChar w:fldCharType="begin"/>
        </w:r>
        <w:r>
          <w:instrText xml:space="preserve">PAGEREF 9010 \h</w:instrText>
        </w:r>
        <w:r>
          <w:fldChar w:fldCharType="end"/>
        </w:r>
      </w:hyperlink>
    </w:p>
    <w:p>
      <w:pPr>
        <w:tabs>
          <w:tab w:val="right" w:leader="dot" w:pos="9062"/>
        </w:tabs>
        <w:ind w:left="440"/>
      </w:pPr>
      <w:hyperlink w:anchor="_Toc9011" w:history="1">
        <w:r>
          <w:rPr>
            <w:rFonts w:ascii="IRNazanin" w:hAnsi="IRNazanin" w:eastAsia="IRNazanin" w:cs="IRNazanin"/>
            <w:color w:val="111111"/>
            <w:sz w:val="22"/>
            <w:szCs w:val="22"/>
            <w:b w:val="0"/>
            <w:bCs w:val="0"/>
            <w:i w:val="0"/>
            <w:iCs w:val="0"/>
          </w:rPr>
          <w:t>7779- دیوان نظیر أکبرآبادی‏</w:t>
        </w:r>
        <w:r>
          <w:tab/>
        </w:r>
        <w:r>
          <w:fldChar w:fldCharType="begin"/>
        </w:r>
        <w:r>
          <w:instrText xml:space="preserve">PAGEREF 9011 \h</w:instrText>
        </w:r>
        <w:r>
          <w:fldChar w:fldCharType="end"/>
        </w:r>
      </w:hyperlink>
    </w:p>
    <w:p>
      <w:pPr>
        <w:tabs>
          <w:tab w:val="right" w:leader="dot" w:pos="9062"/>
        </w:tabs>
        <w:ind w:left="440"/>
      </w:pPr>
      <w:hyperlink w:anchor="_Toc9012" w:history="1">
        <w:r>
          <w:rPr>
            <w:rFonts w:ascii="IRNazanin" w:hAnsi="IRNazanin" w:eastAsia="IRNazanin" w:cs="IRNazanin"/>
            <w:color w:val="111111"/>
            <w:sz w:val="22"/>
            <w:szCs w:val="22"/>
            <w:b w:val="0"/>
            <w:bCs w:val="0"/>
            <w:i w:val="0"/>
            <w:iCs w:val="0"/>
          </w:rPr>
          <w:t>7780- دیوان نظیر الدین أو شعره‏</w:t>
        </w:r>
        <w:r>
          <w:tab/>
        </w:r>
        <w:r>
          <w:fldChar w:fldCharType="begin"/>
        </w:r>
        <w:r>
          <w:instrText xml:space="preserve">PAGEREF 9012 \h</w:instrText>
        </w:r>
        <w:r>
          <w:fldChar w:fldCharType="end"/>
        </w:r>
      </w:hyperlink>
    </w:p>
    <w:p>
      <w:pPr>
        <w:tabs>
          <w:tab w:val="right" w:leader="dot" w:pos="9062"/>
        </w:tabs>
        <w:ind w:left="440"/>
      </w:pPr>
      <w:hyperlink w:anchor="_Toc9013" w:history="1">
        <w:r>
          <w:rPr>
            <w:rFonts w:ascii="IRNazanin" w:hAnsi="IRNazanin" w:eastAsia="IRNazanin" w:cs="IRNazanin"/>
            <w:color w:val="111111"/>
            <w:sz w:val="22"/>
            <w:szCs w:val="22"/>
            <w:b w:val="0"/>
            <w:bCs w:val="0"/>
            <w:i w:val="0"/>
            <w:iCs w:val="0"/>
          </w:rPr>
          <w:t>7781- دیوان نظیر زنگنه أو شعره‏</w:t>
        </w:r>
        <w:r>
          <w:tab/>
        </w:r>
        <w:r>
          <w:fldChar w:fldCharType="begin"/>
        </w:r>
        <w:r>
          <w:instrText xml:space="preserve">PAGEREF 9013 \h</w:instrText>
        </w:r>
        <w:r>
          <w:fldChar w:fldCharType="end"/>
        </w:r>
      </w:hyperlink>
    </w:p>
    <w:p>
      <w:pPr>
        <w:tabs>
          <w:tab w:val="right" w:leader="dot" w:pos="9062"/>
        </w:tabs>
        <w:ind w:left="440"/>
      </w:pPr>
      <w:hyperlink w:anchor="_Toc9014" w:history="1">
        <w:r>
          <w:rPr>
            <w:rFonts w:ascii="IRNazanin" w:hAnsi="IRNazanin" w:eastAsia="IRNazanin" w:cs="IRNazanin"/>
            <w:color w:val="111111"/>
            <w:sz w:val="22"/>
            <w:szCs w:val="22"/>
            <w:b w:val="0"/>
            <w:bCs w:val="0"/>
            <w:i w:val="0"/>
            <w:iCs w:val="0"/>
          </w:rPr>
          <w:t>دیوان نظیر شیرازی‏</w:t>
        </w:r>
        <w:r>
          <w:tab/>
        </w:r>
        <w:r>
          <w:fldChar w:fldCharType="begin"/>
        </w:r>
        <w:r>
          <w:instrText xml:space="preserve">PAGEREF 9014 \h</w:instrText>
        </w:r>
        <w:r>
          <w:fldChar w:fldCharType="end"/>
        </w:r>
      </w:hyperlink>
    </w:p>
    <w:p>
      <w:pPr>
        <w:tabs>
          <w:tab w:val="right" w:leader="dot" w:pos="9062"/>
        </w:tabs>
        <w:ind w:left="440"/>
      </w:pPr>
      <w:hyperlink w:anchor="_Toc9015" w:history="1">
        <w:r>
          <w:rPr>
            <w:rFonts w:ascii="IRNazanin" w:hAnsi="IRNazanin" w:eastAsia="IRNazanin" w:cs="IRNazanin"/>
            <w:color w:val="111111"/>
            <w:sz w:val="22"/>
            <w:szCs w:val="22"/>
            <w:b w:val="0"/>
            <w:bCs w:val="0"/>
            <w:i w:val="0"/>
            <w:iCs w:val="0"/>
          </w:rPr>
          <w:t>7782- دیوان نظیر مشهدی أو شعره‏</w:t>
        </w:r>
        <w:r>
          <w:tab/>
        </w:r>
        <w:r>
          <w:fldChar w:fldCharType="begin"/>
        </w:r>
        <w:r>
          <w:instrText xml:space="preserve">PAGEREF 9015 \h</w:instrText>
        </w:r>
        <w:r>
          <w:fldChar w:fldCharType="end"/>
        </w:r>
      </w:hyperlink>
    </w:p>
    <w:p>
      <w:pPr>
        <w:tabs>
          <w:tab w:val="right" w:leader="dot" w:pos="9062"/>
        </w:tabs>
        <w:ind w:left="440"/>
      </w:pPr>
      <w:hyperlink w:anchor="_Toc9016" w:history="1">
        <w:r>
          <w:rPr>
            <w:rFonts w:ascii="IRNazanin" w:hAnsi="IRNazanin" w:eastAsia="IRNazanin" w:cs="IRNazanin"/>
            <w:color w:val="111111"/>
            <w:sz w:val="22"/>
            <w:szCs w:val="22"/>
            <w:b w:val="0"/>
            <w:bCs w:val="0"/>
            <w:i w:val="0"/>
            <w:iCs w:val="0"/>
          </w:rPr>
          <w:t>دیوان نظیری جوینی‏</w:t>
        </w:r>
        <w:r>
          <w:tab/>
        </w:r>
        <w:r>
          <w:fldChar w:fldCharType="begin"/>
        </w:r>
        <w:r>
          <w:instrText xml:space="preserve">PAGEREF 9016 \h</w:instrText>
        </w:r>
        <w:r>
          <w:fldChar w:fldCharType="end"/>
        </w:r>
      </w:hyperlink>
    </w:p>
    <w:p>
      <w:pPr>
        <w:tabs>
          <w:tab w:val="right" w:leader="dot" w:pos="9062"/>
        </w:tabs>
        <w:ind w:left="440"/>
      </w:pPr>
      <w:hyperlink w:anchor="_Toc9017" w:history="1">
        <w:r>
          <w:rPr>
            <w:rFonts w:ascii="IRNazanin" w:hAnsi="IRNazanin" w:eastAsia="IRNazanin" w:cs="IRNazanin"/>
            <w:color w:val="111111"/>
            <w:sz w:val="22"/>
            <w:szCs w:val="22"/>
            <w:b w:val="0"/>
            <w:bCs w:val="0"/>
            <w:i w:val="0"/>
            <w:iCs w:val="0"/>
          </w:rPr>
          <w:t>7783- دیوان نظیری قمی أو شعره‏</w:t>
        </w:r>
        <w:r>
          <w:tab/>
        </w:r>
        <w:r>
          <w:fldChar w:fldCharType="begin"/>
        </w:r>
        <w:r>
          <w:instrText xml:space="preserve">PAGEREF 9017 \h</w:instrText>
        </w:r>
        <w:r>
          <w:fldChar w:fldCharType="end"/>
        </w:r>
      </w:hyperlink>
    </w:p>
    <w:p>
      <w:pPr>
        <w:tabs>
          <w:tab w:val="right" w:leader="dot" w:pos="9062"/>
        </w:tabs>
        <w:ind w:left="440"/>
      </w:pPr>
      <w:hyperlink w:anchor="_Toc9018" w:history="1">
        <w:r>
          <w:rPr>
            <w:rFonts w:ascii="IRNazanin" w:hAnsi="IRNazanin" w:eastAsia="IRNazanin" w:cs="IRNazanin"/>
            <w:color w:val="111111"/>
            <w:sz w:val="22"/>
            <w:szCs w:val="22"/>
            <w:b w:val="0"/>
            <w:bCs w:val="0"/>
            <w:i w:val="0"/>
            <w:iCs w:val="0"/>
          </w:rPr>
          <w:t>دیوان نظیری مشهدی‏</w:t>
        </w:r>
        <w:r>
          <w:tab/>
        </w:r>
        <w:r>
          <w:fldChar w:fldCharType="begin"/>
        </w:r>
        <w:r>
          <w:instrText xml:space="preserve">PAGEREF 9018 \h</w:instrText>
        </w:r>
        <w:r>
          <w:fldChar w:fldCharType="end"/>
        </w:r>
      </w:hyperlink>
    </w:p>
    <w:p>
      <w:pPr>
        <w:tabs>
          <w:tab w:val="right" w:leader="dot" w:pos="9062"/>
        </w:tabs>
        <w:ind w:left="440"/>
      </w:pPr>
      <w:hyperlink w:anchor="_Toc9019" w:history="1">
        <w:r>
          <w:rPr>
            <w:rFonts w:ascii="IRNazanin" w:hAnsi="IRNazanin" w:eastAsia="IRNazanin" w:cs="IRNazanin"/>
            <w:color w:val="111111"/>
            <w:sz w:val="22"/>
            <w:szCs w:val="22"/>
            <w:b w:val="0"/>
            <w:bCs w:val="0"/>
            <w:i w:val="0"/>
            <w:iCs w:val="0"/>
          </w:rPr>
          <w:t>7784- دیوان نظیری نیشابوری‏</w:t>
        </w:r>
        <w:r>
          <w:tab/>
        </w:r>
        <w:r>
          <w:fldChar w:fldCharType="begin"/>
        </w:r>
        <w:r>
          <w:instrText xml:space="preserve">PAGEREF 9019 \h</w:instrText>
        </w:r>
        <w:r>
          <w:fldChar w:fldCharType="end"/>
        </w:r>
      </w:hyperlink>
    </w:p>
    <w:p>
      <w:pPr>
        <w:tabs>
          <w:tab w:val="right" w:leader="dot" w:pos="9062"/>
        </w:tabs>
        <w:ind w:left="440"/>
      </w:pPr>
      <w:hyperlink w:anchor="_Toc9020" w:history="1">
        <w:r>
          <w:rPr>
            <w:rFonts w:ascii="IRNazanin" w:hAnsi="IRNazanin" w:eastAsia="IRNazanin" w:cs="IRNazanin"/>
            <w:color w:val="111111"/>
            <w:sz w:val="22"/>
            <w:szCs w:val="22"/>
            <w:b w:val="0"/>
            <w:bCs w:val="0"/>
            <w:i w:val="0"/>
            <w:iCs w:val="0"/>
          </w:rPr>
          <w:t>7785- دیوان نظیم بخارائی‏</w:t>
        </w:r>
        <w:r>
          <w:tab/>
        </w:r>
        <w:r>
          <w:fldChar w:fldCharType="begin"/>
        </w:r>
        <w:r>
          <w:instrText xml:space="preserve">PAGEREF 9020 \h</w:instrText>
        </w:r>
        <w:r>
          <w:fldChar w:fldCharType="end"/>
        </w:r>
      </w:hyperlink>
    </w:p>
    <w:p>
      <w:pPr>
        <w:tabs>
          <w:tab w:val="right" w:leader="dot" w:pos="9062"/>
        </w:tabs>
        <w:ind w:left="440"/>
      </w:pPr>
      <w:hyperlink w:anchor="_Toc9021" w:history="1">
        <w:r>
          <w:rPr>
            <w:rFonts w:ascii="IRNazanin" w:hAnsi="IRNazanin" w:eastAsia="IRNazanin" w:cs="IRNazanin"/>
            <w:color w:val="111111"/>
            <w:sz w:val="22"/>
            <w:szCs w:val="22"/>
            <w:b w:val="0"/>
            <w:bCs w:val="0"/>
            <w:i w:val="0"/>
            <w:iCs w:val="0"/>
          </w:rPr>
          <w:t>7786- دیوان النعمان الحلی‏</w:t>
        </w:r>
        <w:r>
          <w:tab/>
        </w:r>
        <w:r>
          <w:fldChar w:fldCharType="begin"/>
        </w:r>
        <w:r>
          <w:instrText xml:space="preserve">PAGEREF 9021 \h</w:instrText>
        </w:r>
        <w:r>
          <w:fldChar w:fldCharType="end"/>
        </w:r>
      </w:hyperlink>
    </w:p>
    <w:p>
      <w:pPr>
        <w:tabs>
          <w:tab w:val="right" w:leader="dot" w:pos="9062"/>
        </w:tabs>
        <w:ind w:left="440"/>
      </w:pPr>
      <w:hyperlink w:anchor="_Toc9022" w:history="1">
        <w:r>
          <w:rPr>
            <w:rFonts w:ascii="IRNazanin" w:hAnsi="IRNazanin" w:eastAsia="IRNazanin" w:cs="IRNazanin"/>
            <w:color w:val="111111"/>
            <w:sz w:val="22"/>
            <w:szCs w:val="22"/>
            <w:b w:val="0"/>
            <w:bCs w:val="0"/>
            <w:i w:val="0"/>
            <w:iCs w:val="0"/>
          </w:rPr>
          <w:t>7787- دیوان النعمان المغربی‏</w:t>
        </w:r>
        <w:r>
          <w:tab/>
        </w:r>
        <w:r>
          <w:fldChar w:fldCharType="begin"/>
        </w:r>
        <w:r>
          <w:instrText xml:space="preserve">PAGEREF 9022 \h</w:instrText>
        </w:r>
        <w:r>
          <w:fldChar w:fldCharType="end"/>
        </w:r>
      </w:hyperlink>
    </w:p>
    <w:p>
      <w:pPr>
        <w:tabs>
          <w:tab w:val="right" w:leader="dot" w:pos="9062"/>
        </w:tabs>
        <w:ind w:left="440"/>
      </w:pPr>
      <w:hyperlink w:anchor="_Toc9023" w:history="1">
        <w:r>
          <w:rPr>
            <w:rFonts w:ascii="IRNazanin" w:hAnsi="IRNazanin" w:eastAsia="IRNazanin" w:cs="IRNazanin"/>
            <w:color w:val="111111"/>
            <w:sz w:val="22"/>
            <w:szCs w:val="22"/>
            <w:b w:val="0"/>
            <w:bCs w:val="0"/>
            <w:i w:val="0"/>
            <w:iCs w:val="0"/>
          </w:rPr>
          <w:t>فهرس المجدوع‏</w:t>
        </w:r>
        <w:r>
          <w:tab/>
        </w:r>
        <w:r>
          <w:fldChar w:fldCharType="begin"/>
        </w:r>
        <w:r>
          <w:instrText xml:space="preserve">PAGEREF 9023 \h</w:instrText>
        </w:r>
        <w:r>
          <w:fldChar w:fldCharType="end"/>
        </w:r>
      </w:hyperlink>
    </w:p>
    <w:p>
      <w:pPr>
        <w:tabs>
          <w:tab w:val="right" w:leader="dot" w:pos="9062"/>
        </w:tabs>
        <w:ind w:left="440"/>
      </w:pPr>
      <w:hyperlink w:anchor="_Toc9024" w:history="1">
        <w:r>
          <w:rPr>
            <w:rFonts w:ascii="IRNazanin" w:hAnsi="IRNazanin" w:eastAsia="IRNazanin" w:cs="IRNazanin"/>
            <w:color w:val="111111"/>
            <w:sz w:val="22"/>
            <w:szCs w:val="22"/>
            <w:b w:val="0"/>
            <w:bCs w:val="0"/>
            <w:i w:val="0"/>
            <w:iCs w:val="0"/>
          </w:rPr>
          <w:t>دیوان نعمانی‏</w:t>
        </w:r>
        <w:r>
          <w:tab/>
        </w:r>
        <w:r>
          <w:fldChar w:fldCharType="begin"/>
        </w:r>
        <w:r>
          <w:instrText xml:space="preserve">PAGEREF 9024 \h</w:instrText>
        </w:r>
        <w:r>
          <w:fldChar w:fldCharType="end"/>
        </w:r>
      </w:hyperlink>
    </w:p>
    <w:p>
      <w:pPr>
        <w:tabs>
          <w:tab w:val="right" w:leader="dot" w:pos="9062"/>
        </w:tabs>
        <w:ind w:left="440"/>
      </w:pPr>
      <w:hyperlink w:anchor="_Toc9025" w:history="1">
        <w:r>
          <w:rPr>
            <w:rFonts w:ascii="IRNazanin" w:hAnsi="IRNazanin" w:eastAsia="IRNazanin" w:cs="IRNazanin"/>
            <w:color w:val="111111"/>
            <w:sz w:val="22"/>
            <w:szCs w:val="22"/>
            <w:b w:val="0"/>
            <w:bCs w:val="0"/>
            <w:i w:val="0"/>
            <w:iCs w:val="0"/>
          </w:rPr>
          <w:t>دیوان نعمت تبریزی‏</w:t>
        </w:r>
        <w:r>
          <w:tab/>
        </w:r>
        <w:r>
          <w:fldChar w:fldCharType="begin"/>
        </w:r>
        <w:r>
          <w:instrText xml:space="preserve">PAGEREF 9025 \h</w:instrText>
        </w:r>
        <w:r>
          <w:fldChar w:fldCharType="end"/>
        </w:r>
      </w:hyperlink>
    </w:p>
    <w:p>
      <w:pPr>
        <w:tabs>
          <w:tab w:val="right" w:leader="dot" w:pos="9062"/>
        </w:tabs>
        <w:ind w:left="440"/>
      </w:pPr>
      <w:hyperlink w:anchor="_Toc9026" w:history="1">
        <w:r>
          <w:rPr>
            <w:rFonts w:ascii="IRNazanin" w:hAnsi="IRNazanin" w:eastAsia="IRNazanin" w:cs="IRNazanin"/>
            <w:color w:val="111111"/>
            <w:sz w:val="22"/>
            <w:szCs w:val="22"/>
            <w:b w:val="0"/>
            <w:bCs w:val="0"/>
            <w:i w:val="0"/>
            <w:iCs w:val="0"/>
          </w:rPr>
          <w:t>7788- دیوان نعمت خراسانی‏</w:t>
        </w:r>
        <w:r>
          <w:tab/>
        </w:r>
        <w:r>
          <w:fldChar w:fldCharType="begin"/>
        </w:r>
        <w:r>
          <w:instrText xml:space="preserve">PAGEREF 9026 \h</w:instrText>
        </w:r>
        <w:r>
          <w:fldChar w:fldCharType="end"/>
        </w:r>
      </w:hyperlink>
    </w:p>
    <w:p>
      <w:pPr>
        <w:tabs>
          <w:tab w:val="right" w:leader="dot" w:pos="9062"/>
        </w:tabs>
        <w:ind w:left="440"/>
      </w:pPr>
      <w:hyperlink w:anchor="_Toc9027" w:history="1">
        <w:r>
          <w:rPr>
            <w:rFonts w:ascii="IRNazanin" w:hAnsi="IRNazanin" w:eastAsia="IRNazanin" w:cs="IRNazanin"/>
            <w:color w:val="111111"/>
            <w:sz w:val="22"/>
            <w:szCs w:val="22"/>
            <w:b w:val="0"/>
            <w:bCs w:val="0"/>
            <w:i w:val="0"/>
            <w:iCs w:val="0"/>
          </w:rPr>
          <w:t>دیوان نعمت شیرازی‏</w:t>
        </w:r>
        <w:r>
          <w:tab/>
        </w:r>
        <w:r>
          <w:fldChar w:fldCharType="begin"/>
        </w:r>
        <w:r>
          <w:instrText xml:space="preserve">PAGEREF 9027 \h</w:instrText>
        </w:r>
        <w:r>
          <w:fldChar w:fldCharType="end"/>
        </w:r>
      </w:hyperlink>
    </w:p>
    <w:p>
      <w:pPr>
        <w:tabs>
          <w:tab w:val="right" w:leader="dot" w:pos="9062"/>
        </w:tabs>
        <w:ind w:left="440"/>
      </w:pPr>
      <w:hyperlink w:anchor="_Toc9028" w:history="1">
        <w:r>
          <w:rPr>
            <w:rFonts w:ascii="IRNazanin" w:hAnsi="IRNazanin" w:eastAsia="IRNazanin" w:cs="IRNazanin"/>
            <w:color w:val="111111"/>
            <w:sz w:val="22"/>
            <w:szCs w:val="22"/>
            <w:b w:val="0"/>
            <w:bCs w:val="0"/>
            <w:i w:val="0"/>
            <w:iCs w:val="0"/>
          </w:rPr>
          <w:t>دیوان نعمت شیرازی‏</w:t>
        </w:r>
        <w:r>
          <w:tab/>
        </w:r>
        <w:r>
          <w:fldChar w:fldCharType="begin"/>
        </w:r>
        <w:r>
          <w:instrText xml:space="preserve">PAGEREF 9028 \h</w:instrText>
        </w:r>
        <w:r>
          <w:fldChar w:fldCharType="end"/>
        </w:r>
      </w:hyperlink>
    </w:p>
    <w:p>
      <w:pPr>
        <w:tabs>
          <w:tab w:val="right" w:leader="dot" w:pos="9062"/>
        </w:tabs>
        <w:ind w:left="440"/>
      </w:pPr>
      <w:hyperlink w:anchor="_Toc9029" w:history="1">
        <w:r>
          <w:rPr>
            <w:rFonts w:ascii="IRNazanin" w:hAnsi="IRNazanin" w:eastAsia="IRNazanin" w:cs="IRNazanin"/>
            <w:color w:val="111111"/>
            <w:sz w:val="22"/>
            <w:szCs w:val="22"/>
            <w:b w:val="0"/>
            <w:bCs w:val="0"/>
            <w:i w:val="0"/>
            <w:iCs w:val="0"/>
          </w:rPr>
          <w:t>7789- دیوان نعمت صفوی أو شعره‏</w:t>
        </w:r>
        <w:r>
          <w:tab/>
        </w:r>
        <w:r>
          <w:fldChar w:fldCharType="begin"/>
        </w:r>
        <w:r>
          <w:instrText xml:space="preserve">PAGEREF 9029 \h</w:instrText>
        </w:r>
        <w:r>
          <w:fldChar w:fldCharType="end"/>
        </w:r>
      </w:hyperlink>
    </w:p>
    <w:p>
      <w:pPr>
        <w:tabs>
          <w:tab w:val="right" w:leader="dot" w:pos="9062"/>
        </w:tabs>
        <w:ind w:left="440"/>
      </w:pPr>
      <w:hyperlink w:anchor="_Toc9030" w:history="1">
        <w:r>
          <w:rPr>
            <w:rFonts w:ascii="IRNazanin" w:hAnsi="IRNazanin" w:eastAsia="IRNazanin" w:cs="IRNazanin"/>
            <w:color w:val="111111"/>
            <w:sz w:val="22"/>
            <w:szCs w:val="22"/>
            <w:b w:val="0"/>
            <w:bCs w:val="0"/>
            <w:i w:val="0"/>
            <w:iCs w:val="0"/>
          </w:rPr>
          <w:t>7790- دیوان نعمت طهرانی أو شعره‏</w:t>
        </w:r>
        <w:r>
          <w:tab/>
        </w:r>
        <w:r>
          <w:fldChar w:fldCharType="begin"/>
        </w:r>
        <w:r>
          <w:instrText xml:space="preserve">PAGEREF 9030 \h</w:instrText>
        </w:r>
        <w:r>
          <w:fldChar w:fldCharType="end"/>
        </w:r>
      </w:hyperlink>
    </w:p>
    <w:p>
      <w:pPr>
        <w:tabs>
          <w:tab w:val="right" w:leader="dot" w:pos="9062"/>
        </w:tabs>
        <w:ind w:left="440"/>
      </w:pPr>
      <w:hyperlink w:anchor="_Toc9031" w:history="1">
        <w:r>
          <w:rPr>
            <w:rFonts w:ascii="IRNazanin" w:hAnsi="IRNazanin" w:eastAsia="IRNazanin" w:cs="IRNazanin"/>
            <w:color w:val="111111"/>
            <w:sz w:val="22"/>
            <w:szCs w:val="22"/>
            <w:b w:val="0"/>
            <w:bCs w:val="0"/>
            <w:i w:val="0"/>
            <w:iCs w:val="0"/>
          </w:rPr>
          <w:t>7791- دیوان نعمت علی کرمانی‏</w:t>
        </w:r>
        <w:r>
          <w:tab/>
        </w:r>
        <w:r>
          <w:fldChar w:fldCharType="begin"/>
        </w:r>
        <w:r>
          <w:instrText xml:space="preserve">PAGEREF 9031 \h</w:instrText>
        </w:r>
        <w:r>
          <w:fldChar w:fldCharType="end"/>
        </w:r>
      </w:hyperlink>
    </w:p>
    <w:p>
      <w:pPr>
        <w:tabs>
          <w:tab w:val="right" w:leader="dot" w:pos="9062"/>
        </w:tabs>
        <w:ind w:left="440"/>
      </w:pPr>
      <w:hyperlink w:anchor="_Toc9032" w:history="1">
        <w:r>
          <w:rPr>
            <w:rFonts w:ascii="IRNazanin" w:hAnsi="IRNazanin" w:eastAsia="IRNazanin" w:cs="IRNazanin"/>
            <w:color w:val="111111"/>
            <w:sz w:val="22"/>
            <w:szCs w:val="22"/>
            <w:b w:val="0"/>
            <w:bCs w:val="0"/>
            <w:i w:val="0"/>
            <w:iCs w:val="0"/>
          </w:rPr>
          <w:t>7792- دیوان نعمت فسائی‏</w:t>
        </w:r>
        <w:r>
          <w:tab/>
        </w:r>
        <w:r>
          <w:fldChar w:fldCharType="begin"/>
        </w:r>
        <w:r>
          <w:instrText xml:space="preserve">PAGEREF 9032 \h</w:instrText>
        </w:r>
        <w:r>
          <w:fldChar w:fldCharType="end"/>
        </w:r>
      </w:hyperlink>
    </w:p>
    <w:p>
      <w:pPr>
        <w:tabs>
          <w:tab w:val="right" w:leader="dot" w:pos="9062"/>
        </w:tabs>
        <w:ind w:left="440"/>
      </w:pPr>
      <w:hyperlink w:anchor="_Toc9033" w:history="1">
        <w:r>
          <w:rPr>
            <w:rFonts w:ascii="IRNazanin" w:hAnsi="IRNazanin" w:eastAsia="IRNazanin" w:cs="IRNazanin"/>
            <w:color w:val="111111"/>
            <w:sz w:val="22"/>
            <w:szCs w:val="22"/>
            <w:b w:val="0"/>
            <w:bCs w:val="0"/>
            <w:i w:val="0"/>
            <w:iCs w:val="0"/>
          </w:rPr>
          <w:t>دیوان نعمت کرمانی‏</w:t>
        </w:r>
        <w:r>
          <w:tab/>
        </w:r>
        <w:r>
          <w:fldChar w:fldCharType="begin"/>
        </w:r>
        <w:r>
          <w:instrText xml:space="preserve">PAGEREF 9033 \h</w:instrText>
        </w:r>
        <w:r>
          <w:fldChar w:fldCharType="end"/>
        </w:r>
      </w:hyperlink>
    </w:p>
    <w:p>
      <w:pPr>
        <w:tabs>
          <w:tab w:val="right" w:leader="dot" w:pos="9062"/>
        </w:tabs>
        <w:ind w:left="440"/>
      </w:pPr>
      <w:hyperlink w:anchor="_Toc9034" w:history="1">
        <w:r>
          <w:rPr>
            <w:rFonts w:ascii="IRNazanin" w:hAnsi="IRNazanin" w:eastAsia="IRNazanin" w:cs="IRNazanin"/>
            <w:color w:val="111111"/>
            <w:sz w:val="22"/>
            <w:szCs w:val="22"/>
            <w:b w:val="0"/>
            <w:bCs w:val="0"/>
            <w:i w:val="0"/>
            <w:iCs w:val="0"/>
          </w:rPr>
          <w:t>7793- دیوان نعمت گنابادی أو شعره‏</w:t>
        </w:r>
        <w:r>
          <w:tab/>
        </w:r>
        <w:r>
          <w:fldChar w:fldCharType="begin"/>
        </w:r>
        <w:r>
          <w:instrText xml:space="preserve">PAGEREF 9034 \h</w:instrText>
        </w:r>
        <w:r>
          <w:fldChar w:fldCharType="end"/>
        </w:r>
      </w:hyperlink>
    </w:p>
    <w:p>
      <w:pPr>
        <w:tabs>
          <w:tab w:val="right" w:leader="dot" w:pos="9062"/>
        </w:tabs>
        <w:ind w:left="440"/>
      </w:pPr>
      <w:hyperlink w:anchor="_Toc9035" w:history="1">
        <w:r>
          <w:rPr>
            <w:rFonts w:ascii="IRNazanin" w:hAnsi="IRNazanin" w:eastAsia="IRNazanin" w:cs="IRNazanin"/>
            <w:color w:val="111111"/>
            <w:sz w:val="22"/>
            <w:szCs w:val="22"/>
            <w:b w:val="0"/>
            <w:bCs w:val="0"/>
            <w:i w:val="0"/>
            <w:iCs w:val="0"/>
          </w:rPr>
          <w:t>7794- دیوان شاه نعمة الله ولی‏</w:t>
        </w:r>
        <w:r>
          <w:tab/>
        </w:r>
        <w:r>
          <w:fldChar w:fldCharType="begin"/>
        </w:r>
        <w:r>
          <w:instrText xml:space="preserve">PAGEREF 9035 \h</w:instrText>
        </w:r>
        <w:r>
          <w:fldChar w:fldCharType="end"/>
        </w:r>
      </w:hyperlink>
    </w:p>
    <w:p>
      <w:pPr>
        <w:tabs>
          <w:tab w:val="right" w:leader="dot" w:pos="9062"/>
        </w:tabs>
        <w:ind w:left="440"/>
      </w:pPr>
      <w:hyperlink w:anchor="_Toc9036" w:history="1">
        <w:r>
          <w:rPr>
            <w:rFonts w:ascii="IRNazanin" w:hAnsi="IRNazanin" w:eastAsia="IRNazanin" w:cs="IRNazanin"/>
            <w:color w:val="111111"/>
            <w:sz w:val="22"/>
            <w:szCs w:val="22"/>
            <w:b w:val="0"/>
            <w:bCs w:val="0"/>
            <w:i w:val="0"/>
            <w:iCs w:val="0"/>
          </w:rPr>
          <w:t>7795- دیوان نعمت نارنولی أو شعره‏</w:t>
        </w:r>
        <w:r>
          <w:tab/>
        </w:r>
        <w:r>
          <w:fldChar w:fldCharType="begin"/>
        </w:r>
        <w:r>
          <w:instrText xml:space="preserve">PAGEREF 9036 \h</w:instrText>
        </w:r>
        <w:r>
          <w:fldChar w:fldCharType="end"/>
        </w:r>
      </w:hyperlink>
    </w:p>
    <w:p>
      <w:pPr>
        <w:tabs>
          <w:tab w:val="right" w:leader="dot" w:pos="9062"/>
        </w:tabs>
        <w:ind w:left="440"/>
      </w:pPr>
      <w:hyperlink w:anchor="_Toc9037" w:history="1">
        <w:r>
          <w:rPr>
            <w:rFonts w:ascii="IRNazanin" w:hAnsi="IRNazanin" w:eastAsia="IRNazanin" w:cs="IRNazanin"/>
            <w:color w:val="111111"/>
            <w:sz w:val="22"/>
            <w:szCs w:val="22"/>
            <w:b w:val="0"/>
            <w:bCs w:val="0"/>
            <w:i w:val="0"/>
            <w:iCs w:val="0"/>
          </w:rPr>
          <w:t>دیوان نعمت هندوستانی‏</w:t>
        </w:r>
        <w:r>
          <w:tab/>
        </w:r>
        <w:r>
          <w:fldChar w:fldCharType="begin"/>
        </w:r>
        <w:r>
          <w:instrText xml:space="preserve">PAGEREF 9037 \h</w:instrText>
        </w:r>
        <w:r>
          <w:fldChar w:fldCharType="end"/>
        </w:r>
      </w:hyperlink>
    </w:p>
    <w:p>
      <w:pPr>
        <w:tabs>
          <w:tab w:val="right" w:leader="dot" w:pos="9062"/>
        </w:tabs>
        <w:ind w:left="440"/>
      </w:pPr>
      <w:hyperlink w:anchor="_Toc9038" w:history="1">
        <w:r>
          <w:rPr>
            <w:rFonts w:ascii="IRNazanin" w:hAnsi="IRNazanin" w:eastAsia="IRNazanin" w:cs="IRNazanin"/>
            <w:color w:val="111111"/>
            <w:sz w:val="22"/>
            <w:szCs w:val="22"/>
            <w:b w:val="0"/>
            <w:bCs w:val="0"/>
            <w:i w:val="0"/>
            <w:iCs w:val="0"/>
          </w:rPr>
          <w:t>7796- دیوان نعمتی کاشانی‏</w:t>
        </w:r>
        <w:r>
          <w:tab/>
        </w:r>
        <w:r>
          <w:fldChar w:fldCharType="begin"/>
        </w:r>
        <w:r>
          <w:instrText xml:space="preserve">PAGEREF 9038 \h</w:instrText>
        </w:r>
        <w:r>
          <w:fldChar w:fldCharType="end"/>
        </w:r>
      </w:hyperlink>
    </w:p>
    <w:p>
      <w:pPr>
        <w:tabs>
          <w:tab w:val="right" w:leader="dot" w:pos="9062"/>
        </w:tabs>
        <w:ind w:left="440"/>
      </w:pPr>
      <w:hyperlink w:anchor="_Toc9039" w:history="1">
        <w:r>
          <w:rPr>
            <w:rFonts w:ascii="IRNazanin" w:hAnsi="IRNazanin" w:eastAsia="IRNazanin" w:cs="IRNazanin"/>
            <w:color w:val="111111"/>
            <w:sz w:val="22"/>
            <w:szCs w:val="22"/>
            <w:b w:val="0"/>
            <w:bCs w:val="0"/>
            <w:i w:val="0"/>
            <w:iCs w:val="0"/>
          </w:rPr>
          <w:t>7797- دیوان نعیم سمرقندی‏</w:t>
        </w:r>
        <w:r>
          <w:tab/>
        </w:r>
        <w:r>
          <w:fldChar w:fldCharType="begin"/>
        </w:r>
        <w:r>
          <w:instrText xml:space="preserve">PAGEREF 9039 \h</w:instrText>
        </w:r>
        <w:r>
          <w:fldChar w:fldCharType="end"/>
        </w:r>
      </w:hyperlink>
    </w:p>
    <w:p>
      <w:pPr>
        <w:tabs>
          <w:tab w:val="right" w:leader="dot" w:pos="9062"/>
        </w:tabs>
        <w:ind w:left="440"/>
      </w:pPr>
      <w:hyperlink w:anchor="_Toc9040" w:history="1">
        <w:r>
          <w:rPr>
            <w:rFonts w:ascii="IRNazanin" w:hAnsi="IRNazanin" w:eastAsia="IRNazanin" w:cs="IRNazanin"/>
            <w:color w:val="111111"/>
            <w:sz w:val="22"/>
            <w:szCs w:val="22"/>
            <w:b w:val="0"/>
            <w:bCs w:val="0"/>
            <w:i w:val="0"/>
            <w:iCs w:val="0"/>
          </w:rPr>
          <w:t>7798- دیوان نعیم شیرازی أو شعره‏</w:t>
        </w:r>
        <w:r>
          <w:tab/>
        </w:r>
        <w:r>
          <w:fldChar w:fldCharType="begin"/>
        </w:r>
        <w:r>
          <w:instrText xml:space="preserve">PAGEREF 9040 \h</w:instrText>
        </w:r>
        <w:r>
          <w:fldChar w:fldCharType="end"/>
        </w:r>
      </w:hyperlink>
    </w:p>
    <w:p>
      <w:pPr>
        <w:tabs>
          <w:tab w:val="right" w:leader="dot" w:pos="9062"/>
        </w:tabs>
        <w:ind w:left="440"/>
      </w:pPr>
      <w:hyperlink w:anchor="_Toc9041" w:history="1">
        <w:r>
          <w:rPr>
            <w:rFonts w:ascii="IRNazanin" w:hAnsi="IRNazanin" w:eastAsia="IRNazanin" w:cs="IRNazanin"/>
            <w:color w:val="111111"/>
            <w:sz w:val="22"/>
            <w:szCs w:val="22"/>
            <w:b w:val="0"/>
            <w:bCs w:val="0"/>
            <w:i w:val="0"/>
            <w:iCs w:val="0"/>
          </w:rPr>
          <w:t>7799- دیوان نعیم قمی أو شعره‏</w:t>
        </w:r>
        <w:r>
          <w:tab/>
        </w:r>
        <w:r>
          <w:fldChar w:fldCharType="begin"/>
        </w:r>
        <w:r>
          <w:instrText xml:space="preserve">PAGEREF 9041 \h</w:instrText>
        </w:r>
        <w:r>
          <w:fldChar w:fldCharType="end"/>
        </w:r>
      </w:hyperlink>
    </w:p>
    <w:p>
      <w:pPr>
        <w:tabs>
          <w:tab w:val="right" w:leader="dot" w:pos="9062"/>
        </w:tabs>
        <w:ind w:left="440"/>
      </w:pPr>
      <w:hyperlink w:anchor="_Toc9042" w:history="1">
        <w:r>
          <w:rPr>
            <w:rFonts w:ascii="IRNazanin" w:hAnsi="IRNazanin" w:eastAsia="IRNazanin" w:cs="IRNazanin"/>
            <w:color w:val="111111"/>
            <w:sz w:val="22"/>
            <w:szCs w:val="22"/>
            <w:b w:val="0"/>
            <w:bCs w:val="0"/>
            <w:i w:val="0"/>
            <w:iCs w:val="0"/>
          </w:rPr>
          <w:t>7800- دیوان نعیمی أسترآبادی‏</w:t>
        </w:r>
        <w:r>
          <w:tab/>
        </w:r>
        <w:r>
          <w:fldChar w:fldCharType="begin"/>
        </w:r>
        <w:r>
          <w:instrText xml:space="preserve">PAGEREF 9042 \h</w:instrText>
        </w:r>
        <w:r>
          <w:fldChar w:fldCharType="end"/>
        </w:r>
      </w:hyperlink>
    </w:p>
    <w:p>
      <w:pPr>
        <w:tabs>
          <w:tab w:val="right" w:leader="dot" w:pos="9062"/>
        </w:tabs>
        <w:ind w:left="440"/>
      </w:pPr>
      <w:hyperlink w:anchor="_Toc9043" w:history="1">
        <w:r>
          <w:rPr>
            <w:rFonts w:ascii="IRNazanin" w:hAnsi="IRNazanin" w:eastAsia="IRNazanin" w:cs="IRNazanin"/>
            <w:color w:val="111111"/>
            <w:sz w:val="22"/>
            <w:szCs w:val="22"/>
            <w:b w:val="0"/>
            <w:bCs w:val="0"/>
            <w:i w:val="0"/>
            <w:iCs w:val="0"/>
          </w:rPr>
          <w:t>دیوان نعیمی تبریزی‏</w:t>
        </w:r>
        <w:r>
          <w:tab/>
        </w:r>
        <w:r>
          <w:fldChar w:fldCharType="begin"/>
        </w:r>
        <w:r>
          <w:instrText xml:space="preserve">PAGEREF 9043 \h</w:instrText>
        </w:r>
        <w:r>
          <w:fldChar w:fldCharType="end"/>
        </w:r>
      </w:hyperlink>
    </w:p>
    <w:p>
      <w:pPr>
        <w:tabs>
          <w:tab w:val="right" w:leader="dot" w:pos="9062"/>
        </w:tabs>
        <w:ind w:left="440"/>
      </w:pPr>
      <w:hyperlink w:anchor="_Toc9044" w:history="1">
        <w:r>
          <w:rPr>
            <w:rFonts w:ascii="IRNazanin" w:hAnsi="IRNazanin" w:eastAsia="IRNazanin" w:cs="IRNazanin"/>
            <w:color w:val="111111"/>
            <w:sz w:val="22"/>
            <w:szCs w:val="22"/>
            <w:b w:val="0"/>
            <w:bCs w:val="0"/>
            <w:i w:val="0"/>
            <w:iCs w:val="0"/>
          </w:rPr>
          <w:t>7801- دیوان نعیمی هروی أو شعره‏</w:t>
        </w:r>
        <w:r>
          <w:tab/>
        </w:r>
        <w:r>
          <w:fldChar w:fldCharType="begin"/>
        </w:r>
        <w:r>
          <w:instrText xml:space="preserve">PAGEREF 9044 \h</w:instrText>
        </w:r>
        <w:r>
          <w:fldChar w:fldCharType="end"/>
        </w:r>
      </w:hyperlink>
    </w:p>
    <w:p>
      <w:pPr>
        <w:tabs>
          <w:tab w:val="right" w:leader="dot" w:pos="9062"/>
        </w:tabs>
        <w:ind w:left="440"/>
      </w:pPr>
      <w:hyperlink w:anchor="_Toc9045" w:history="1">
        <w:r>
          <w:rPr>
            <w:rFonts w:ascii="IRNazanin" w:hAnsi="IRNazanin" w:eastAsia="IRNazanin" w:cs="IRNazanin"/>
            <w:color w:val="111111"/>
            <w:sz w:val="22"/>
            <w:szCs w:val="22"/>
            <w:b w:val="0"/>
            <w:bCs w:val="0"/>
            <w:i w:val="0"/>
            <w:iCs w:val="0"/>
          </w:rPr>
          <w:t>7802- دیوان نغز مازندرانی أو شعره‏</w:t>
        </w:r>
        <w:r>
          <w:tab/>
        </w:r>
        <w:r>
          <w:fldChar w:fldCharType="begin"/>
        </w:r>
        <w:r>
          <w:instrText xml:space="preserve">PAGEREF 9045 \h</w:instrText>
        </w:r>
        <w:r>
          <w:fldChar w:fldCharType="end"/>
        </w:r>
      </w:hyperlink>
    </w:p>
    <w:p>
      <w:pPr>
        <w:tabs>
          <w:tab w:val="right" w:leader="dot" w:pos="9062"/>
        </w:tabs>
        <w:ind w:left="440"/>
      </w:pPr>
      <w:hyperlink w:anchor="_Toc9046" w:history="1">
        <w:r>
          <w:rPr>
            <w:rFonts w:ascii="IRNazanin" w:hAnsi="IRNazanin" w:eastAsia="IRNazanin" w:cs="IRNazanin"/>
            <w:color w:val="111111"/>
            <w:sz w:val="22"/>
            <w:szCs w:val="22"/>
            <w:b w:val="0"/>
            <w:bCs w:val="0"/>
            <w:i w:val="0"/>
            <w:iCs w:val="0"/>
          </w:rPr>
          <w:t>7803- دیوان نغمه خراسانی أو شعره‏</w:t>
        </w:r>
        <w:r>
          <w:tab/>
        </w:r>
        <w:r>
          <w:fldChar w:fldCharType="begin"/>
        </w:r>
        <w:r>
          <w:instrText xml:space="preserve">PAGEREF 9046 \h</w:instrText>
        </w:r>
        <w:r>
          <w:fldChar w:fldCharType="end"/>
        </w:r>
      </w:hyperlink>
    </w:p>
    <w:p>
      <w:pPr>
        <w:tabs>
          <w:tab w:val="right" w:leader="dot" w:pos="9062"/>
        </w:tabs>
        <w:ind w:left="440"/>
      </w:pPr>
      <w:hyperlink w:anchor="_Toc9047" w:history="1">
        <w:r>
          <w:rPr>
            <w:rFonts w:ascii="IRNazanin" w:hAnsi="IRNazanin" w:eastAsia="IRNazanin" w:cs="IRNazanin"/>
            <w:color w:val="111111"/>
            <w:sz w:val="22"/>
            <w:szCs w:val="22"/>
            <w:b w:val="0"/>
            <w:bCs w:val="0"/>
            <w:i w:val="0"/>
            <w:iCs w:val="0"/>
          </w:rPr>
          <w:t>7804- دیوان نغمه مازندرانی أو شعره‏</w:t>
        </w:r>
        <w:r>
          <w:tab/>
        </w:r>
        <w:r>
          <w:fldChar w:fldCharType="begin"/>
        </w:r>
        <w:r>
          <w:instrText xml:space="preserve">PAGEREF 9047 \h</w:instrText>
        </w:r>
        <w:r>
          <w:fldChar w:fldCharType="end"/>
        </w:r>
      </w:hyperlink>
    </w:p>
    <w:p>
      <w:pPr>
        <w:tabs>
          <w:tab w:val="right" w:leader="dot" w:pos="9062"/>
        </w:tabs>
        <w:ind w:left="440"/>
      </w:pPr>
      <w:hyperlink w:anchor="_Toc9048" w:history="1">
        <w:r>
          <w:rPr>
            <w:rFonts w:ascii="IRNazanin" w:hAnsi="IRNazanin" w:eastAsia="IRNazanin" w:cs="IRNazanin"/>
            <w:color w:val="111111"/>
            <w:sz w:val="22"/>
            <w:szCs w:val="22"/>
            <w:b w:val="0"/>
            <w:bCs w:val="0"/>
            <w:i w:val="0"/>
            <w:iCs w:val="0"/>
          </w:rPr>
          <w:t>7805- دیوان نفیس قزوینی أو شعره‏</w:t>
        </w:r>
        <w:r>
          <w:tab/>
        </w:r>
        <w:r>
          <w:fldChar w:fldCharType="begin"/>
        </w:r>
        <w:r>
          <w:instrText xml:space="preserve">PAGEREF 9048 \h</w:instrText>
        </w:r>
        <w:r>
          <w:fldChar w:fldCharType="end"/>
        </w:r>
      </w:hyperlink>
    </w:p>
    <w:p>
      <w:pPr>
        <w:tabs>
          <w:tab w:val="right" w:leader="dot" w:pos="9062"/>
        </w:tabs>
        <w:ind w:left="440"/>
      </w:pPr>
      <w:hyperlink w:anchor="_Toc9049" w:history="1">
        <w:r>
          <w:rPr>
            <w:rFonts w:ascii="IRNazanin" w:hAnsi="IRNazanin" w:eastAsia="IRNazanin" w:cs="IRNazanin"/>
            <w:color w:val="111111"/>
            <w:sz w:val="22"/>
            <w:szCs w:val="22"/>
            <w:b w:val="0"/>
            <w:bCs w:val="0"/>
            <w:i w:val="0"/>
            <w:iCs w:val="0"/>
          </w:rPr>
          <w:t>7806- دیوان نفیس لکهنوی‏</w:t>
        </w:r>
        <w:r>
          <w:tab/>
        </w:r>
        <w:r>
          <w:fldChar w:fldCharType="begin"/>
        </w:r>
        <w:r>
          <w:instrText xml:space="preserve">PAGEREF 9049 \h</w:instrText>
        </w:r>
        <w:r>
          <w:fldChar w:fldCharType="end"/>
        </w:r>
      </w:hyperlink>
    </w:p>
    <w:p>
      <w:pPr>
        <w:tabs>
          <w:tab w:val="right" w:leader="dot" w:pos="9062"/>
        </w:tabs>
        <w:ind w:left="440"/>
      </w:pPr>
      <w:hyperlink w:anchor="_Toc9050" w:history="1">
        <w:r>
          <w:rPr>
            <w:rFonts w:ascii="IRNazanin" w:hAnsi="IRNazanin" w:eastAsia="IRNazanin" w:cs="IRNazanin"/>
            <w:color w:val="111111"/>
            <w:sz w:val="22"/>
            <w:szCs w:val="22"/>
            <w:b w:val="0"/>
            <w:bCs w:val="0"/>
            <w:i w:val="0"/>
            <w:iCs w:val="0"/>
          </w:rPr>
          <w:t>7807- دیوان نفیسی تهرانی‏</w:t>
        </w:r>
        <w:r>
          <w:tab/>
        </w:r>
        <w:r>
          <w:fldChar w:fldCharType="begin"/>
        </w:r>
        <w:r>
          <w:instrText xml:space="preserve">PAGEREF 9050 \h</w:instrText>
        </w:r>
        <w:r>
          <w:fldChar w:fldCharType="end"/>
        </w:r>
      </w:hyperlink>
    </w:p>
    <w:p>
      <w:pPr>
        <w:tabs>
          <w:tab w:val="right" w:leader="dot" w:pos="9062"/>
        </w:tabs>
        <w:ind w:left="440"/>
      </w:pPr>
      <w:hyperlink w:anchor="_Toc9051" w:history="1">
        <w:r>
          <w:rPr>
            <w:rFonts w:ascii="IRNazanin" w:hAnsi="IRNazanin" w:eastAsia="IRNazanin" w:cs="IRNazanin"/>
            <w:color w:val="111111"/>
            <w:sz w:val="22"/>
            <w:szCs w:val="22"/>
            <w:b w:val="0"/>
            <w:bCs w:val="0"/>
            <w:i w:val="0"/>
            <w:iCs w:val="0"/>
          </w:rPr>
          <w:t>7808- دیوان نفیسی کاشانی أو شعره‏</w:t>
        </w:r>
        <w:r>
          <w:tab/>
        </w:r>
        <w:r>
          <w:fldChar w:fldCharType="begin"/>
        </w:r>
        <w:r>
          <w:instrText xml:space="preserve">PAGEREF 9051 \h</w:instrText>
        </w:r>
        <w:r>
          <w:fldChar w:fldCharType="end"/>
        </w:r>
      </w:hyperlink>
    </w:p>
    <w:p>
      <w:pPr>
        <w:tabs>
          <w:tab w:val="right" w:leader="dot" w:pos="9062"/>
        </w:tabs>
        <w:ind w:left="440"/>
      </w:pPr>
      <w:hyperlink w:anchor="_Toc9052" w:history="1">
        <w:r>
          <w:rPr>
            <w:rFonts w:ascii="IRNazanin" w:hAnsi="IRNazanin" w:eastAsia="IRNazanin" w:cs="IRNazanin"/>
            <w:color w:val="111111"/>
            <w:sz w:val="22"/>
            <w:szCs w:val="22"/>
            <w:b w:val="0"/>
            <w:bCs w:val="0"/>
            <w:i w:val="0"/>
            <w:iCs w:val="0"/>
          </w:rPr>
          <w:t>دیوان نقابی بدخشانی‏</w:t>
        </w:r>
        <w:r>
          <w:tab/>
        </w:r>
        <w:r>
          <w:fldChar w:fldCharType="begin"/>
        </w:r>
        <w:r>
          <w:instrText xml:space="preserve">PAGEREF 9052 \h</w:instrText>
        </w:r>
        <w:r>
          <w:fldChar w:fldCharType="end"/>
        </w:r>
      </w:hyperlink>
    </w:p>
    <w:p>
      <w:pPr>
        <w:tabs>
          <w:tab w:val="right" w:leader="dot" w:pos="9062"/>
        </w:tabs>
        <w:ind w:left="440"/>
      </w:pPr>
      <w:hyperlink w:anchor="_Toc9053" w:history="1">
        <w:r>
          <w:rPr>
            <w:rFonts w:ascii="IRNazanin" w:hAnsi="IRNazanin" w:eastAsia="IRNazanin" w:cs="IRNazanin"/>
            <w:color w:val="111111"/>
            <w:sz w:val="22"/>
            <w:szCs w:val="22"/>
            <w:b w:val="0"/>
            <w:bCs w:val="0"/>
            <w:i w:val="0"/>
            <w:iCs w:val="0"/>
          </w:rPr>
          <w:t>7809- دیوان نقار کشمیری أو شعره‏</w:t>
        </w:r>
        <w:r>
          <w:tab/>
        </w:r>
        <w:r>
          <w:fldChar w:fldCharType="begin"/>
        </w:r>
        <w:r>
          <w:instrText xml:space="preserve">PAGEREF 9053 \h</w:instrText>
        </w:r>
        <w:r>
          <w:fldChar w:fldCharType="end"/>
        </w:r>
      </w:hyperlink>
    </w:p>
    <w:p>
      <w:pPr>
        <w:tabs>
          <w:tab w:val="right" w:leader="dot" w:pos="9062"/>
        </w:tabs>
        <w:ind w:left="440"/>
      </w:pPr>
      <w:hyperlink w:anchor="_Toc9054" w:history="1">
        <w:r>
          <w:rPr>
            <w:rFonts w:ascii="IRNazanin" w:hAnsi="IRNazanin" w:eastAsia="IRNazanin" w:cs="IRNazanin"/>
            <w:color w:val="111111"/>
            <w:sz w:val="22"/>
            <w:szCs w:val="22"/>
            <w:b w:val="0"/>
            <w:bCs w:val="0"/>
            <w:i w:val="0"/>
            <w:iCs w:val="0"/>
          </w:rPr>
          <w:t>7810- دیوان نقاش‏</w:t>
        </w:r>
        <w:r>
          <w:tab/>
        </w:r>
        <w:r>
          <w:fldChar w:fldCharType="begin"/>
        </w:r>
        <w:r>
          <w:instrText xml:space="preserve">PAGEREF 9054 \h</w:instrText>
        </w:r>
        <w:r>
          <w:fldChar w:fldCharType="end"/>
        </w:r>
      </w:hyperlink>
    </w:p>
    <w:p>
      <w:pPr>
        <w:tabs>
          <w:tab w:val="right" w:leader="dot" w:pos="9062"/>
        </w:tabs>
        <w:ind w:left="440"/>
      </w:pPr>
      <w:hyperlink w:anchor="_Toc9055" w:history="1">
        <w:r>
          <w:rPr>
            <w:rFonts w:ascii="IRNazanin" w:hAnsi="IRNazanin" w:eastAsia="IRNazanin" w:cs="IRNazanin"/>
            <w:color w:val="111111"/>
            <w:sz w:val="22"/>
            <w:szCs w:val="22"/>
            <w:b w:val="0"/>
            <w:bCs w:val="0"/>
            <w:i w:val="0"/>
            <w:iCs w:val="0"/>
          </w:rPr>
          <w:t>7811- دیوان نقاش أصفهانی‏</w:t>
        </w:r>
        <w:r>
          <w:tab/>
        </w:r>
        <w:r>
          <w:fldChar w:fldCharType="begin"/>
        </w:r>
        <w:r>
          <w:instrText xml:space="preserve">PAGEREF 9055 \h</w:instrText>
        </w:r>
        <w:r>
          <w:fldChar w:fldCharType="end"/>
        </w:r>
      </w:hyperlink>
    </w:p>
    <w:p>
      <w:pPr>
        <w:tabs>
          <w:tab w:val="right" w:leader="dot" w:pos="9062"/>
        </w:tabs>
        <w:ind w:left="440"/>
      </w:pPr>
      <w:hyperlink w:anchor="_Toc9056" w:history="1">
        <w:r>
          <w:rPr>
            <w:rFonts w:ascii="IRNazanin" w:hAnsi="IRNazanin" w:eastAsia="IRNazanin" w:cs="IRNazanin"/>
            <w:color w:val="111111"/>
            <w:sz w:val="22"/>
            <w:szCs w:val="22"/>
            <w:b w:val="0"/>
            <w:bCs w:val="0"/>
            <w:i w:val="0"/>
            <w:iCs w:val="0"/>
          </w:rPr>
          <w:t>دیوان نقاش أصفهانی‏</w:t>
        </w:r>
        <w:r>
          <w:tab/>
        </w:r>
        <w:r>
          <w:fldChar w:fldCharType="begin"/>
        </w:r>
        <w:r>
          <w:instrText xml:space="preserve">PAGEREF 9056 \h</w:instrText>
        </w:r>
        <w:r>
          <w:fldChar w:fldCharType="end"/>
        </w:r>
      </w:hyperlink>
    </w:p>
    <w:p>
      <w:pPr>
        <w:tabs>
          <w:tab w:val="right" w:leader="dot" w:pos="9062"/>
        </w:tabs>
        <w:ind w:left="440"/>
      </w:pPr>
      <w:hyperlink w:anchor="_Toc9057" w:history="1">
        <w:r>
          <w:rPr>
            <w:rFonts w:ascii="IRNazanin" w:hAnsi="IRNazanin" w:eastAsia="IRNazanin" w:cs="IRNazanin"/>
            <w:color w:val="111111"/>
            <w:sz w:val="22"/>
            <w:szCs w:val="22"/>
            <w:b w:val="0"/>
            <w:bCs w:val="0"/>
            <w:i w:val="0"/>
            <w:iCs w:val="0"/>
          </w:rPr>
          <w:t>7812- دیوان نقاش شیرازی أو شعره‏</w:t>
        </w:r>
        <w:r>
          <w:tab/>
        </w:r>
        <w:r>
          <w:fldChar w:fldCharType="begin"/>
        </w:r>
        <w:r>
          <w:instrText xml:space="preserve">PAGEREF 9057 \h</w:instrText>
        </w:r>
        <w:r>
          <w:fldChar w:fldCharType="end"/>
        </w:r>
      </w:hyperlink>
    </w:p>
    <w:p>
      <w:pPr>
        <w:tabs>
          <w:tab w:val="right" w:leader="dot" w:pos="9062"/>
        </w:tabs>
        <w:ind w:left="440"/>
      </w:pPr>
      <w:hyperlink w:anchor="_Toc9058" w:history="1">
        <w:r>
          <w:rPr>
            <w:rFonts w:ascii="IRNazanin" w:hAnsi="IRNazanin" w:eastAsia="IRNazanin" w:cs="IRNazanin"/>
            <w:color w:val="111111"/>
            <w:sz w:val="22"/>
            <w:szCs w:val="22"/>
            <w:b w:val="0"/>
            <w:bCs w:val="0"/>
            <w:i w:val="0"/>
            <w:iCs w:val="0"/>
          </w:rPr>
          <w:t>دیوان نقاش قزوینی‏</w:t>
        </w:r>
        <w:r>
          <w:tab/>
        </w:r>
        <w:r>
          <w:fldChar w:fldCharType="begin"/>
        </w:r>
        <w:r>
          <w:instrText xml:space="preserve">PAGEREF 9058 \h</w:instrText>
        </w:r>
        <w:r>
          <w:fldChar w:fldCharType="end"/>
        </w:r>
      </w:hyperlink>
    </w:p>
    <w:p>
      <w:pPr>
        <w:tabs>
          <w:tab w:val="right" w:leader="dot" w:pos="9062"/>
        </w:tabs>
        <w:ind w:left="440"/>
      </w:pPr>
      <w:hyperlink w:anchor="_Toc9059" w:history="1">
        <w:r>
          <w:rPr>
            <w:rFonts w:ascii="IRNazanin" w:hAnsi="IRNazanin" w:eastAsia="IRNazanin" w:cs="IRNazanin"/>
            <w:color w:val="111111"/>
            <w:sz w:val="22"/>
            <w:szCs w:val="22"/>
            <w:b w:val="0"/>
            <w:bCs w:val="0"/>
            <w:i w:val="0"/>
            <w:iCs w:val="0"/>
          </w:rPr>
          <w:t>7813- دیوان نقاش کاشانی أو شعره‏</w:t>
        </w:r>
        <w:r>
          <w:tab/>
        </w:r>
        <w:r>
          <w:fldChar w:fldCharType="begin"/>
        </w:r>
        <w:r>
          <w:instrText xml:space="preserve">PAGEREF 9059 \h</w:instrText>
        </w:r>
        <w:r>
          <w:fldChar w:fldCharType="end"/>
        </w:r>
      </w:hyperlink>
    </w:p>
    <w:p>
      <w:pPr>
        <w:tabs>
          <w:tab w:val="right" w:leader="dot" w:pos="9062"/>
        </w:tabs>
        <w:ind w:left="440"/>
      </w:pPr>
      <w:hyperlink w:anchor="_Toc9060" w:history="1">
        <w:r>
          <w:rPr>
            <w:rFonts w:ascii="IRNazanin" w:hAnsi="IRNazanin" w:eastAsia="IRNazanin" w:cs="IRNazanin"/>
            <w:color w:val="111111"/>
            <w:sz w:val="22"/>
            <w:szCs w:val="22"/>
            <w:b w:val="0"/>
            <w:bCs w:val="0"/>
            <w:i w:val="0"/>
            <w:iCs w:val="0"/>
          </w:rPr>
          <w:t>دیوان نقاش گلپایگانی أو شعره‏</w:t>
        </w:r>
        <w:r>
          <w:tab/>
        </w:r>
        <w:r>
          <w:fldChar w:fldCharType="begin"/>
        </w:r>
        <w:r>
          <w:instrText xml:space="preserve">PAGEREF 9060 \h</w:instrText>
        </w:r>
        <w:r>
          <w:fldChar w:fldCharType="end"/>
        </w:r>
      </w:hyperlink>
    </w:p>
    <w:p>
      <w:pPr>
        <w:tabs>
          <w:tab w:val="right" w:leader="dot" w:pos="9062"/>
        </w:tabs>
        <w:ind w:left="440"/>
      </w:pPr>
      <w:hyperlink w:anchor="_Toc9061" w:history="1">
        <w:r>
          <w:rPr>
            <w:rFonts w:ascii="IRNazanin" w:hAnsi="IRNazanin" w:eastAsia="IRNazanin" w:cs="IRNazanin"/>
            <w:color w:val="111111"/>
            <w:sz w:val="22"/>
            <w:szCs w:val="22"/>
            <w:b w:val="0"/>
            <w:bCs w:val="0"/>
            <w:i w:val="0"/>
            <w:iCs w:val="0"/>
          </w:rPr>
          <w:t>7814- دیوان نقد علی شوشتری أو شعره‏</w:t>
        </w:r>
        <w:r>
          <w:tab/>
        </w:r>
        <w:r>
          <w:fldChar w:fldCharType="begin"/>
        </w:r>
        <w:r>
          <w:instrText xml:space="preserve">PAGEREF 9061 \h</w:instrText>
        </w:r>
        <w:r>
          <w:fldChar w:fldCharType="end"/>
        </w:r>
      </w:hyperlink>
    </w:p>
    <w:p>
      <w:pPr>
        <w:tabs>
          <w:tab w:val="right" w:leader="dot" w:pos="9062"/>
        </w:tabs>
        <w:ind w:left="440"/>
      </w:pPr>
      <w:hyperlink w:anchor="_Toc9062" w:history="1">
        <w:r>
          <w:rPr>
            <w:rFonts w:ascii="IRNazanin" w:hAnsi="IRNazanin" w:eastAsia="IRNazanin" w:cs="IRNazanin"/>
            <w:color w:val="111111"/>
            <w:sz w:val="22"/>
            <w:szCs w:val="22"/>
            <w:b w:val="0"/>
            <w:bCs w:val="0"/>
            <w:i w:val="0"/>
            <w:iCs w:val="0"/>
          </w:rPr>
          <w:t>دیوان النقدی‏</w:t>
        </w:r>
        <w:r>
          <w:tab/>
        </w:r>
        <w:r>
          <w:fldChar w:fldCharType="begin"/>
        </w:r>
        <w:r>
          <w:instrText xml:space="preserve">PAGEREF 9062 \h</w:instrText>
        </w:r>
        <w:r>
          <w:fldChar w:fldCharType="end"/>
        </w:r>
      </w:hyperlink>
    </w:p>
    <w:p>
      <w:pPr>
        <w:tabs>
          <w:tab w:val="right" w:leader="dot" w:pos="9062"/>
        </w:tabs>
        <w:ind w:left="440"/>
      </w:pPr>
      <w:hyperlink w:anchor="_Toc9063" w:history="1">
        <w:r>
          <w:rPr>
            <w:rFonts w:ascii="IRNazanin" w:hAnsi="IRNazanin" w:eastAsia="IRNazanin" w:cs="IRNazanin"/>
            <w:color w:val="111111"/>
            <w:sz w:val="22"/>
            <w:szCs w:val="22"/>
            <w:b w:val="0"/>
            <w:bCs w:val="0"/>
            <w:i w:val="0"/>
            <w:iCs w:val="0"/>
          </w:rPr>
          <w:t>7815- دیوان نقشبندی‏</w:t>
        </w:r>
        <w:r>
          <w:tab/>
        </w:r>
        <w:r>
          <w:fldChar w:fldCharType="begin"/>
        </w:r>
        <w:r>
          <w:instrText xml:space="preserve">PAGEREF 9063 \h</w:instrText>
        </w:r>
        <w:r>
          <w:fldChar w:fldCharType="end"/>
        </w:r>
      </w:hyperlink>
    </w:p>
    <w:p>
      <w:pPr>
        <w:tabs>
          <w:tab w:val="right" w:leader="dot" w:pos="9062"/>
        </w:tabs>
        <w:ind w:left="440"/>
      </w:pPr>
      <w:hyperlink w:anchor="_Toc9064" w:history="1">
        <w:r>
          <w:rPr>
            <w:rFonts w:ascii="IRNazanin" w:hAnsi="IRNazanin" w:eastAsia="IRNazanin" w:cs="IRNazanin"/>
            <w:color w:val="111111"/>
            <w:sz w:val="22"/>
            <w:szCs w:val="22"/>
            <w:b w:val="0"/>
            <w:bCs w:val="0"/>
            <w:i w:val="0"/>
            <w:iCs w:val="0"/>
          </w:rPr>
          <w:t>7816- دیوان نقش لکهنوی‏</w:t>
        </w:r>
        <w:r>
          <w:tab/>
        </w:r>
        <w:r>
          <w:fldChar w:fldCharType="begin"/>
        </w:r>
        <w:r>
          <w:instrText xml:space="preserve">PAGEREF 9064 \h</w:instrText>
        </w:r>
        <w:r>
          <w:fldChar w:fldCharType="end"/>
        </w:r>
      </w:hyperlink>
    </w:p>
    <w:p>
      <w:pPr>
        <w:tabs>
          <w:tab w:val="right" w:leader="dot" w:pos="9062"/>
        </w:tabs>
        <w:ind w:left="440"/>
      </w:pPr>
      <w:hyperlink w:anchor="_Toc9065" w:history="1">
        <w:r>
          <w:rPr>
            <w:rFonts w:ascii="IRNazanin" w:hAnsi="IRNazanin" w:eastAsia="IRNazanin" w:cs="IRNazanin"/>
            <w:color w:val="111111"/>
            <w:sz w:val="22"/>
            <w:szCs w:val="22"/>
            <w:b w:val="0"/>
            <w:bCs w:val="0"/>
            <w:i w:val="0"/>
            <w:iCs w:val="0"/>
          </w:rPr>
          <w:t>7817- دیوان نقشی دهلوی أو شعره‏</w:t>
        </w:r>
        <w:r>
          <w:tab/>
        </w:r>
        <w:r>
          <w:fldChar w:fldCharType="begin"/>
        </w:r>
        <w:r>
          <w:instrText xml:space="preserve">PAGEREF 9065 \h</w:instrText>
        </w:r>
        <w:r>
          <w:fldChar w:fldCharType="end"/>
        </w:r>
      </w:hyperlink>
    </w:p>
    <w:p>
      <w:pPr>
        <w:tabs>
          <w:tab w:val="right" w:leader="dot" w:pos="9062"/>
        </w:tabs>
        <w:ind w:left="440"/>
      </w:pPr>
      <w:hyperlink w:anchor="_Toc9066" w:history="1">
        <w:r>
          <w:rPr>
            <w:rFonts w:ascii="IRNazanin" w:hAnsi="IRNazanin" w:eastAsia="IRNazanin" w:cs="IRNazanin"/>
            <w:color w:val="111111"/>
            <w:sz w:val="22"/>
            <w:szCs w:val="22"/>
            <w:b w:val="0"/>
            <w:bCs w:val="0"/>
            <w:i w:val="0"/>
            <w:iCs w:val="0"/>
          </w:rPr>
          <w:t>دیوان نقطوی‏</w:t>
        </w:r>
        <w:r>
          <w:tab/>
        </w:r>
        <w:r>
          <w:fldChar w:fldCharType="begin"/>
        </w:r>
        <w:r>
          <w:instrText xml:space="preserve">PAGEREF 9066 \h</w:instrText>
        </w:r>
        <w:r>
          <w:fldChar w:fldCharType="end"/>
        </w:r>
      </w:hyperlink>
    </w:p>
    <w:p>
      <w:pPr>
        <w:tabs>
          <w:tab w:val="right" w:leader="dot" w:pos="9062"/>
        </w:tabs>
        <w:ind w:left="440"/>
      </w:pPr>
      <w:hyperlink w:anchor="_Toc9067" w:history="1">
        <w:r>
          <w:rPr>
            <w:rFonts w:ascii="IRNazanin" w:hAnsi="IRNazanin" w:eastAsia="IRNazanin" w:cs="IRNazanin"/>
            <w:color w:val="111111"/>
            <w:sz w:val="22"/>
            <w:szCs w:val="22"/>
            <w:b w:val="0"/>
            <w:bCs w:val="0"/>
            <w:i w:val="0"/>
            <w:iCs w:val="0"/>
          </w:rPr>
          <w:t>7818- دیوان النقوی الجائسی‏</w:t>
        </w:r>
        <w:r>
          <w:tab/>
        </w:r>
        <w:r>
          <w:fldChar w:fldCharType="begin"/>
        </w:r>
        <w:r>
          <w:instrText xml:space="preserve">PAGEREF 9067 \h</w:instrText>
        </w:r>
        <w:r>
          <w:fldChar w:fldCharType="end"/>
        </w:r>
      </w:hyperlink>
    </w:p>
    <w:p>
      <w:pPr>
        <w:tabs>
          <w:tab w:val="right" w:leader="dot" w:pos="9062"/>
        </w:tabs>
        <w:ind w:left="440"/>
      </w:pPr>
      <w:hyperlink w:anchor="_Toc9068" w:history="1">
        <w:r>
          <w:rPr>
            <w:rFonts w:ascii="IRNazanin" w:hAnsi="IRNazanin" w:eastAsia="IRNazanin" w:cs="IRNazanin"/>
            <w:color w:val="111111"/>
            <w:sz w:val="22"/>
            <w:szCs w:val="22"/>
            <w:b w:val="0"/>
            <w:bCs w:val="0"/>
            <w:i w:val="0"/>
            <w:iCs w:val="0"/>
          </w:rPr>
          <w:t>7819- دیوان نقی أوحدی‏</w:t>
        </w:r>
        <w:r>
          <w:tab/>
        </w:r>
        <w:r>
          <w:fldChar w:fldCharType="begin"/>
        </w:r>
        <w:r>
          <w:instrText xml:space="preserve">PAGEREF 9068 \h</w:instrText>
        </w:r>
        <w:r>
          <w:fldChar w:fldCharType="end"/>
        </w:r>
      </w:hyperlink>
    </w:p>
    <w:p>
      <w:pPr>
        <w:tabs>
          <w:tab w:val="right" w:leader="dot" w:pos="9062"/>
        </w:tabs>
        <w:ind w:left="440"/>
      </w:pPr>
      <w:hyperlink w:anchor="_Toc9069" w:history="1">
        <w:r>
          <w:rPr>
            <w:rFonts w:ascii="IRNazanin" w:hAnsi="IRNazanin" w:eastAsia="IRNazanin" w:cs="IRNazanin"/>
            <w:color w:val="111111"/>
            <w:sz w:val="22"/>
            <w:szCs w:val="22"/>
            <w:b w:val="0"/>
            <w:bCs w:val="0"/>
            <w:i w:val="0"/>
            <w:iCs w:val="0"/>
          </w:rPr>
          <w:t>7820- دیوان نقیب أصفهانی أو شعره‏</w:t>
        </w:r>
        <w:r>
          <w:tab/>
        </w:r>
        <w:r>
          <w:fldChar w:fldCharType="begin"/>
        </w:r>
        <w:r>
          <w:instrText xml:space="preserve">PAGEREF 9069 \h</w:instrText>
        </w:r>
        <w:r>
          <w:fldChar w:fldCharType="end"/>
        </w:r>
      </w:hyperlink>
    </w:p>
    <w:p>
      <w:pPr>
        <w:tabs>
          <w:tab w:val="right" w:leader="dot" w:pos="9062"/>
        </w:tabs>
        <w:ind w:left="440"/>
      </w:pPr>
      <w:hyperlink w:anchor="_Toc9070" w:history="1">
        <w:r>
          <w:rPr>
            <w:rFonts w:ascii="IRNazanin" w:hAnsi="IRNazanin" w:eastAsia="IRNazanin" w:cs="IRNazanin"/>
            <w:color w:val="111111"/>
            <w:sz w:val="22"/>
            <w:szCs w:val="22"/>
            <w:b w:val="0"/>
            <w:bCs w:val="0"/>
            <w:i w:val="0"/>
            <w:iCs w:val="0"/>
          </w:rPr>
          <w:t>7821- دیوان نقیب سبزواری أو شعره‏</w:t>
        </w:r>
        <w:r>
          <w:tab/>
        </w:r>
        <w:r>
          <w:fldChar w:fldCharType="begin"/>
        </w:r>
        <w:r>
          <w:instrText xml:space="preserve">PAGEREF 9070 \h</w:instrText>
        </w:r>
        <w:r>
          <w:fldChar w:fldCharType="end"/>
        </w:r>
      </w:hyperlink>
    </w:p>
    <w:p>
      <w:pPr>
        <w:tabs>
          <w:tab w:val="right" w:leader="dot" w:pos="9062"/>
        </w:tabs>
        <w:ind w:left="440"/>
      </w:pPr>
      <w:hyperlink w:anchor="_Toc9071" w:history="1">
        <w:r>
          <w:rPr>
            <w:rFonts w:ascii="IRNazanin" w:hAnsi="IRNazanin" w:eastAsia="IRNazanin" w:cs="IRNazanin"/>
            <w:color w:val="111111"/>
            <w:sz w:val="22"/>
            <w:szCs w:val="22"/>
            <w:b w:val="0"/>
            <w:bCs w:val="0"/>
            <w:i w:val="0"/>
            <w:iCs w:val="0"/>
          </w:rPr>
          <w:t>7822- دیوان نقیب شیرازی‏</w:t>
        </w:r>
        <w:r>
          <w:tab/>
        </w:r>
        <w:r>
          <w:fldChar w:fldCharType="begin"/>
        </w:r>
        <w:r>
          <w:instrText xml:space="preserve">PAGEREF 9071 \h</w:instrText>
        </w:r>
        <w:r>
          <w:fldChar w:fldCharType="end"/>
        </w:r>
      </w:hyperlink>
    </w:p>
    <w:p>
      <w:pPr>
        <w:tabs>
          <w:tab w:val="right" w:leader="dot" w:pos="9062"/>
        </w:tabs>
        <w:ind w:left="440"/>
      </w:pPr>
      <w:hyperlink w:anchor="_Toc9072" w:history="1">
        <w:r>
          <w:rPr>
            <w:rFonts w:ascii="IRNazanin" w:hAnsi="IRNazanin" w:eastAsia="IRNazanin" w:cs="IRNazanin"/>
            <w:color w:val="111111"/>
            <w:sz w:val="22"/>
            <w:szCs w:val="22"/>
            <w:b w:val="0"/>
            <w:bCs w:val="0"/>
            <w:i w:val="0"/>
            <w:iCs w:val="0"/>
          </w:rPr>
          <w:t>7823- دیوان نقیب شیرازی أو شعره‏</w:t>
        </w:r>
        <w:r>
          <w:tab/>
        </w:r>
        <w:r>
          <w:fldChar w:fldCharType="begin"/>
        </w:r>
        <w:r>
          <w:instrText xml:space="preserve">PAGEREF 9072 \h</w:instrText>
        </w:r>
        <w:r>
          <w:fldChar w:fldCharType="end"/>
        </w:r>
      </w:hyperlink>
    </w:p>
    <w:p>
      <w:pPr>
        <w:tabs>
          <w:tab w:val="right" w:leader="dot" w:pos="9062"/>
        </w:tabs>
        <w:ind w:left="440"/>
      </w:pPr>
      <w:hyperlink w:anchor="_Toc9073" w:history="1">
        <w:r>
          <w:rPr>
            <w:rFonts w:ascii="IRNazanin" w:hAnsi="IRNazanin" w:eastAsia="IRNazanin" w:cs="IRNazanin"/>
            <w:color w:val="111111"/>
            <w:sz w:val="22"/>
            <w:szCs w:val="22"/>
            <w:b w:val="0"/>
            <w:bCs w:val="0"/>
            <w:i w:val="0"/>
            <w:iCs w:val="0"/>
          </w:rPr>
          <w:t>7824- دیوان نقیب قزوینی أو شعره‏</w:t>
        </w:r>
        <w:r>
          <w:tab/>
        </w:r>
        <w:r>
          <w:fldChar w:fldCharType="begin"/>
        </w:r>
        <w:r>
          <w:instrText xml:space="preserve">PAGEREF 9073 \h</w:instrText>
        </w:r>
        <w:r>
          <w:fldChar w:fldCharType="end"/>
        </w:r>
      </w:hyperlink>
    </w:p>
    <w:p>
      <w:pPr>
        <w:tabs>
          <w:tab w:val="right" w:leader="dot" w:pos="9062"/>
        </w:tabs>
        <w:ind w:left="440"/>
      </w:pPr>
      <w:hyperlink w:anchor="_Toc9074" w:history="1">
        <w:r>
          <w:rPr>
            <w:rFonts w:ascii="IRNazanin" w:hAnsi="IRNazanin" w:eastAsia="IRNazanin" w:cs="IRNazanin"/>
            <w:color w:val="111111"/>
            <w:sz w:val="22"/>
            <w:szCs w:val="22"/>
            <w:b w:val="0"/>
            <w:bCs w:val="0"/>
            <w:i w:val="0"/>
            <w:iCs w:val="0"/>
          </w:rPr>
          <w:t>دیوان نقیب الممالک‏</w:t>
        </w:r>
        <w:r>
          <w:tab/>
        </w:r>
        <w:r>
          <w:fldChar w:fldCharType="begin"/>
        </w:r>
        <w:r>
          <w:instrText xml:space="preserve">PAGEREF 9074 \h</w:instrText>
        </w:r>
        <w:r>
          <w:fldChar w:fldCharType="end"/>
        </w:r>
      </w:hyperlink>
    </w:p>
    <w:p>
      <w:pPr>
        <w:tabs>
          <w:tab w:val="right" w:leader="dot" w:pos="9062"/>
        </w:tabs>
        <w:ind w:left="440"/>
      </w:pPr>
      <w:hyperlink w:anchor="_Toc9075" w:history="1">
        <w:r>
          <w:rPr>
            <w:rFonts w:ascii="IRNazanin" w:hAnsi="IRNazanin" w:eastAsia="IRNazanin" w:cs="IRNazanin"/>
            <w:color w:val="111111"/>
            <w:sz w:val="22"/>
            <w:szCs w:val="22"/>
            <w:b w:val="0"/>
            <w:bCs w:val="0"/>
            <w:i w:val="0"/>
            <w:iCs w:val="0"/>
          </w:rPr>
          <w:t>7825- دیوان نقیبی أصفهانی أو شعره‏</w:t>
        </w:r>
        <w:r>
          <w:tab/>
        </w:r>
        <w:r>
          <w:fldChar w:fldCharType="begin"/>
        </w:r>
        <w:r>
          <w:instrText xml:space="preserve">PAGEREF 9075 \h</w:instrText>
        </w:r>
        <w:r>
          <w:fldChar w:fldCharType="end"/>
        </w:r>
      </w:hyperlink>
    </w:p>
    <w:p>
      <w:pPr>
        <w:tabs>
          <w:tab w:val="right" w:leader="dot" w:pos="9062"/>
        </w:tabs>
        <w:ind w:left="440"/>
      </w:pPr>
      <w:hyperlink w:anchor="_Toc9076" w:history="1">
        <w:r>
          <w:rPr>
            <w:rFonts w:ascii="IRNazanin" w:hAnsi="IRNazanin" w:eastAsia="IRNazanin" w:cs="IRNazanin"/>
            <w:color w:val="111111"/>
            <w:sz w:val="22"/>
            <w:szCs w:val="22"/>
            <w:b w:val="0"/>
            <w:bCs w:val="0"/>
            <w:i w:val="0"/>
            <w:iCs w:val="0"/>
          </w:rPr>
          <w:t>7826- دیوان نقیبی هروی أو شعره‏</w:t>
        </w:r>
        <w:r>
          <w:tab/>
        </w:r>
        <w:r>
          <w:fldChar w:fldCharType="begin"/>
        </w:r>
        <w:r>
          <w:instrText xml:space="preserve">PAGEREF 9076 \h</w:instrText>
        </w:r>
        <w:r>
          <w:fldChar w:fldCharType="end"/>
        </w:r>
      </w:hyperlink>
    </w:p>
    <w:p>
      <w:pPr>
        <w:tabs>
          <w:tab w:val="right" w:leader="dot" w:pos="9062"/>
        </w:tabs>
        <w:ind w:left="440"/>
      </w:pPr>
      <w:hyperlink w:anchor="_Toc9077" w:history="1">
        <w:r>
          <w:rPr>
            <w:rFonts w:ascii="IRNazanin" w:hAnsi="IRNazanin" w:eastAsia="IRNazanin" w:cs="IRNazanin"/>
            <w:color w:val="111111"/>
            <w:sz w:val="22"/>
            <w:szCs w:val="22"/>
            <w:b w:val="0"/>
            <w:bCs w:val="0"/>
            <w:i w:val="0"/>
            <w:iCs w:val="0"/>
          </w:rPr>
          <w:t>دیوان نقی أصفهانی‏</w:t>
        </w:r>
        <w:r>
          <w:tab/>
        </w:r>
        <w:r>
          <w:fldChar w:fldCharType="begin"/>
        </w:r>
        <w:r>
          <w:instrText xml:space="preserve">PAGEREF 9077 \h</w:instrText>
        </w:r>
        <w:r>
          <w:fldChar w:fldCharType="end"/>
        </w:r>
      </w:hyperlink>
    </w:p>
    <w:p>
      <w:pPr>
        <w:tabs>
          <w:tab w:val="right" w:leader="dot" w:pos="9062"/>
        </w:tabs>
        <w:ind w:left="440"/>
      </w:pPr>
      <w:hyperlink w:anchor="_Toc9078" w:history="1">
        <w:r>
          <w:rPr>
            <w:rFonts w:ascii="IRNazanin" w:hAnsi="IRNazanin" w:eastAsia="IRNazanin" w:cs="IRNazanin"/>
            <w:color w:val="111111"/>
            <w:sz w:val="22"/>
            <w:szCs w:val="22"/>
            <w:b w:val="0"/>
            <w:bCs w:val="0"/>
            <w:i w:val="0"/>
            <w:iCs w:val="0"/>
          </w:rPr>
          <w:t>7827- دیوان نقی بروجردی أو شعره‏</w:t>
        </w:r>
        <w:r>
          <w:tab/>
        </w:r>
        <w:r>
          <w:fldChar w:fldCharType="begin"/>
        </w:r>
        <w:r>
          <w:instrText xml:space="preserve">PAGEREF 9078 \h</w:instrText>
        </w:r>
        <w:r>
          <w:fldChar w:fldCharType="end"/>
        </w:r>
      </w:hyperlink>
    </w:p>
    <w:p>
      <w:pPr>
        <w:tabs>
          <w:tab w:val="right" w:leader="dot" w:pos="9062"/>
        </w:tabs>
        <w:ind w:left="440"/>
      </w:pPr>
      <w:hyperlink w:anchor="_Toc9079" w:history="1">
        <w:r>
          <w:rPr>
            <w:rFonts w:ascii="IRNazanin" w:hAnsi="IRNazanin" w:eastAsia="IRNazanin" w:cs="IRNazanin"/>
            <w:color w:val="111111"/>
            <w:sz w:val="22"/>
            <w:szCs w:val="22"/>
            <w:b w:val="0"/>
            <w:bCs w:val="0"/>
            <w:i w:val="0"/>
            <w:iCs w:val="0"/>
          </w:rPr>
          <w:t>7828- دیوان نقی سهرندی أو شعره‏</w:t>
        </w:r>
        <w:r>
          <w:tab/>
        </w:r>
        <w:r>
          <w:fldChar w:fldCharType="begin"/>
        </w:r>
        <w:r>
          <w:instrText xml:space="preserve">PAGEREF 9079 \h</w:instrText>
        </w:r>
        <w:r>
          <w:fldChar w:fldCharType="end"/>
        </w:r>
      </w:hyperlink>
    </w:p>
    <w:p>
      <w:pPr>
        <w:tabs>
          <w:tab w:val="right" w:leader="dot" w:pos="9062"/>
        </w:tabs>
        <w:ind w:left="440"/>
      </w:pPr>
      <w:hyperlink w:anchor="_Toc9080" w:history="1">
        <w:r>
          <w:rPr>
            <w:rFonts w:ascii="IRNazanin" w:hAnsi="IRNazanin" w:eastAsia="IRNazanin" w:cs="IRNazanin"/>
            <w:color w:val="111111"/>
            <w:sz w:val="22"/>
            <w:szCs w:val="22"/>
            <w:b w:val="0"/>
            <w:bCs w:val="0"/>
            <w:i w:val="0"/>
            <w:iCs w:val="0"/>
          </w:rPr>
          <w:t>7829- دیوان نقی کمره‏ای گلپایگانی الشیرازی الأصفهانی‏</w:t>
        </w:r>
        <w:r>
          <w:tab/>
        </w:r>
        <w:r>
          <w:fldChar w:fldCharType="begin"/>
        </w:r>
        <w:r>
          <w:instrText xml:space="preserve">PAGEREF 9080 \h</w:instrText>
        </w:r>
        <w:r>
          <w:fldChar w:fldCharType="end"/>
        </w:r>
      </w:hyperlink>
    </w:p>
    <w:p>
      <w:pPr>
        <w:tabs>
          <w:tab w:val="right" w:leader="dot" w:pos="9062"/>
        </w:tabs>
        <w:ind w:left="440"/>
      </w:pPr>
      <w:hyperlink w:anchor="_Toc9081" w:history="1">
        <w:r>
          <w:rPr>
            <w:rFonts w:ascii="IRNazanin" w:hAnsi="IRNazanin" w:eastAsia="IRNazanin" w:cs="IRNazanin"/>
            <w:color w:val="111111"/>
            <w:sz w:val="22"/>
            <w:szCs w:val="22"/>
            <w:b w:val="0"/>
            <w:bCs w:val="0"/>
            <w:i w:val="0"/>
            <w:iCs w:val="0"/>
          </w:rPr>
          <w:t>دیوان نقی لاهوری‏</w:t>
        </w:r>
        <w:r>
          <w:tab/>
        </w:r>
        <w:r>
          <w:fldChar w:fldCharType="begin"/>
        </w:r>
        <w:r>
          <w:instrText xml:space="preserve">PAGEREF 9081 \h</w:instrText>
        </w:r>
        <w:r>
          <w:fldChar w:fldCharType="end"/>
        </w:r>
      </w:hyperlink>
    </w:p>
    <w:p>
      <w:pPr>
        <w:tabs>
          <w:tab w:val="right" w:leader="dot" w:pos="9062"/>
        </w:tabs>
        <w:ind w:left="440"/>
      </w:pPr>
      <w:hyperlink w:anchor="_Toc9082" w:history="1">
        <w:r>
          <w:rPr>
            <w:rFonts w:ascii="IRNazanin" w:hAnsi="IRNazanin" w:eastAsia="IRNazanin" w:cs="IRNazanin"/>
            <w:color w:val="111111"/>
            <w:sz w:val="22"/>
            <w:szCs w:val="22"/>
            <w:b w:val="0"/>
            <w:bCs w:val="0"/>
            <w:i w:val="0"/>
            <w:iCs w:val="0"/>
          </w:rPr>
          <w:t>7830- دیوان نقی مشهدی أو شعره‏</w:t>
        </w:r>
        <w:r>
          <w:tab/>
        </w:r>
        <w:r>
          <w:fldChar w:fldCharType="begin"/>
        </w:r>
        <w:r>
          <w:instrText xml:space="preserve">PAGEREF 9082 \h</w:instrText>
        </w:r>
        <w:r>
          <w:fldChar w:fldCharType="end"/>
        </w:r>
      </w:hyperlink>
    </w:p>
    <w:p>
      <w:pPr>
        <w:tabs>
          <w:tab w:val="right" w:leader="dot" w:pos="9062"/>
        </w:tabs>
        <w:ind w:left="440"/>
      </w:pPr>
      <w:hyperlink w:anchor="_Toc9083" w:history="1">
        <w:r>
          <w:rPr>
            <w:rFonts w:ascii="IRNazanin" w:hAnsi="IRNazanin" w:eastAsia="IRNazanin" w:cs="IRNazanin"/>
            <w:color w:val="111111"/>
            <w:sz w:val="22"/>
            <w:szCs w:val="22"/>
            <w:b w:val="0"/>
            <w:bCs w:val="0"/>
            <w:i w:val="0"/>
            <w:iCs w:val="0"/>
          </w:rPr>
          <w:t>7831- دیوان نقی ملتانی أو شعره‏</w:t>
        </w:r>
        <w:r>
          <w:tab/>
        </w:r>
        <w:r>
          <w:fldChar w:fldCharType="begin"/>
        </w:r>
        <w:r>
          <w:instrText xml:space="preserve">PAGEREF 9083 \h</w:instrText>
        </w:r>
        <w:r>
          <w:fldChar w:fldCharType="end"/>
        </w:r>
      </w:hyperlink>
    </w:p>
    <w:p>
      <w:pPr>
        <w:tabs>
          <w:tab w:val="right" w:leader="dot" w:pos="9062"/>
        </w:tabs>
        <w:ind w:left="440"/>
      </w:pPr>
      <w:hyperlink w:anchor="_Toc9084" w:history="1">
        <w:r>
          <w:rPr>
            <w:rFonts w:ascii="IRNazanin" w:hAnsi="IRNazanin" w:eastAsia="IRNazanin" w:cs="IRNazanin"/>
            <w:color w:val="111111"/>
            <w:sz w:val="22"/>
            <w:szCs w:val="22"/>
            <w:b w:val="0"/>
            <w:bCs w:val="0"/>
            <w:i w:val="0"/>
            <w:iCs w:val="0"/>
          </w:rPr>
          <w:t>7832- دیوان نقی همدانی أو شعره‏</w:t>
        </w:r>
        <w:r>
          <w:tab/>
        </w:r>
        <w:r>
          <w:fldChar w:fldCharType="begin"/>
        </w:r>
        <w:r>
          <w:instrText xml:space="preserve">PAGEREF 9084 \h</w:instrText>
        </w:r>
        <w:r>
          <w:fldChar w:fldCharType="end"/>
        </w:r>
      </w:hyperlink>
    </w:p>
    <w:p>
      <w:pPr>
        <w:tabs>
          <w:tab w:val="right" w:leader="dot" w:pos="9062"/>
        </w:tabs>
        <w:ind w:left="440"/>
      </w:pPr>
      <w:hyperlink w:anchor="_Toc9085" w:history="1">
        <w:r>
          <w:rPr>
            <w:rFonts w:ascii="IRNazanin" w:hAnsi="IRNazanin" w:eastAsia="IRNazanin" w:cs="IRNazanin"/>
            <w:color w:val="111111"/>
            <w:sz w:val="22"/>
            <w:szCs w:val="22"/>
            <w:b w:val="0"/>
            <w:bCs w:val="0"/>
            <w:i w:val="0"/>
            <w:iCs w:val="0"/>
          </w:rPr>
          <w:t>7833- دیوان نکتی لاهوری أو شعره‏</w:t>
        </w:r>
        <w:r>
          <w:tab/>
        </w:r>
        <w:r>
          <w:fldChar w:fldCharType="begin"/>
        </w:r>
        <w:r>
          <w:instrText xml:space="preserve">PAGEREF 9085 \h</w:instrText>
        </w:r>
        <w:r>
          <w:fldChar w:fldCharType="end"/>
        </w:r>
      </w:hyperlink>
    </w:p>
    <w:p>
      <w:pPr>
        <w:tabs>
          <w:tab w:val="right" w:leader="dot" w:pos="9062"/>
        </w:tabs>
        <w:ind w:left="440"/>
      </w:pPr>
      <w:hyperlink w:anchor="_Toc9086" w:history="1">
        <w:r>
          <w:rPr>
            <w:rFonts w:ascii="IRNazanin" w:hAnsi="IRNazanin" w:eastAsia="IRNazanin" w:cs="IRNazanin"/>
            <w:color w:val="111111"/>
            <w:sz w:val="22"/>
            <w:szCs w:val="22"/>
            <w:b w:val="0"/>
            <w:bCs w:val="0"/>
            <w:i w:val="0"/>
            <w:iCs w:val="0"/>
          </w:rPr>
          <w:t>7834- دیوان نکویی هروی أو شعره‏</w:t>
        </w:r>
        <w:r>
          <w:tab/>
        </w:r>
        <w:r>
          <w:fldChar w:fldCharType="begin"/>
        </w:r>
        <w:r>
          <w:instrText xml:space="preserve">PAGEREF 9086 \h</w:instrText>
        </w:r>
        <w:r>
          <w:fldChar w:fldCharType="end"/>
        </w:r>
      </w:hyperlink>
    </w:p>
    <w:p>
      <w:pPr>
        <w:tabs>
          <w:tab w:val="right" w:leader="dot" w:pos="9062"/>
        </w:tabs>
        <w:ind w:left="440"/>
      </w:pPr>
      <w:hyperlink w:anchor="_Toc9087" w:history="1">
        <w:r>
          <w:rPr>
            <w:rFonts w:ascii="IRNazanin" w:hAnsi="IRNazanin" w:eastAsia="IRNazanin" w:cs="IRNazanin"/>
            <w:color w:val="111111"/>
            <w:sz w:val="22"/>
            <w:szCs w:val="22"/>
            <w:b w:val="0"/>
            <w:bCs w:val="0"/>
            <w:i w:val="0"/>
            <w:iCs w:val="0"/>
          </w:rPr>
          <w:t>7835- دیوان نکهت أردبیلی أو شعره‏</w:t>
        </w:r>
        <w:r>
          <w:tab/>
        </w:r>
        <w:r>
          <w:fldChar w:fldCharType="begin"/>
        </w:r>
        <w:r>
          <w:instrText xml:space="preserve">PAGEREF 9087 \h</w:instrText>
        </w:r>
        <w:r>
          <w:fldChar w:fldCharType="end"/>
        </w:r>
      </w:hyperlink>
    </w:p>
    <w:p>
      <w:pPr>
        <w:tabs>
          <w:tab w:val="right" w:leader="dot" w:pos="9062"/>
        </w:tabs>
        <w:ind w:left="440"/>
      </w:pPr>
      <w:hyperlink w:anchor="_Toc9088" w:history="1">
        <w:r>
          <w:rPr>
            <w:rFonts w:ascii="IRNazanin" w:hAnsi="IRNazanin" w:eastAsia="IRNazanin" w:cs="IRNazanin"/>
            <w:color w:val="111111"/>
            <w:sz w:val="22"/>
            <w:szCs w:val="22"/>
            <w:b w:val="0"/>
            <w:bCs w:val="0"/>
            <w:i w:val="0"/>
            <w:iCs w:val="0"/>
          </w:rPr>
          <w:t>7836- دیوان نکهت برهان‏پوری أو شعره‏</w:t>
        </w:r>
        <w:r>
          <w:tab/>
        </w:r>
        <w:r>
          <w:fldChar w:fldCharType="begin"/>
        </w:r>
        <w:r>
          <w:instrText xml:space="preserve">PAGEREF 9088 \h</w:instrText>
        </w:r>
        <w:r>
          <w:fldChar w:fldCharType="end"/>
        </w:r>
      </w:hyperlink>
    </w:p>
    <w:p>
      <w:pPr>
        <w:tabs>
          <w:tab w:val="right" w:leader="dot" w:pos="9062"/>
        </w:tabs>
        <w:ind w:left="440"/>
      </w:pPr>
      <w:hyperlink w:anchor="_Toc9089" w:history="1">
        <w:r>
          <w:rPr>
            <w:rFonts w:ascii="IRNazanin" w:hAnsi="IRNazanin" w:eastAsia="IRNazanin" w:cs="IRNazanin"/>
            <w:color w:val="111111"/>
            <w:sz w:val="22"/>
            <w:szCs w:val="22"/>
            <w:b w:val="0"/>
            <w:bCs w:val="0"/>
            <w:i w:val="0"/>
            <w:iCs w:val="0"/>
          </w:rPr>
          <w:t>دیوان نکهت بیگدلی‏</w:t>
        </w:r>
        <w:r>
          <w:tab/>
        </w:r>
        <w:r>
          <w:fldChar w:fldCharType="begin"/>
        </w:r>
        <w:r>
          <w:instrText xml:space="preserve">PAGEREF 9089 \h</w:instrText>
        </w:r>
        <w:r>
          <w:fldChar w:fldCharType="end"/>
        </w:r>
      </w:hyperlink>
    </w:p>
    <w:p>
      <w:pPr>
        <w:tabs>
          <w:tab w:val="right" w:leader="dot" w:pos="9062"/>
        </w:tabs>
        <w:ind w:left="440"/>
      </w:pPr>
      <w:hyperlink w:anchor="_Toc9090" w:history="1">
        <w:r>
          <w:rPr>
            <w:rFonts w:ascii="IRNazanin" w:hAnsi="IRNazanin" w:eastAsia="IRNazanin" w:cs="IRNazanin"/>
            <w:color w:val="111111"/>
            <w:sz w:val="22"/>
            <w:szCs w:val="22"/>
            <w:b w:val="0"/>
            <w:bCs w:val="0"/>
            <w:i w:val="0"/>
            <w:iCs w:val="0"/>
          </w:rPr>
          <w:t>7837- دیوان نکهت سمرقندی أو شعره‏</w:t>
        </w:r>
        <w:r>
          <w:tab/>
        </w:r>
        <w:r>
          <w:fldChar w:fldCharType="begin"/>
        </w:r>
        <w:r>
          <w:instrText xml:space="preserve">PAGEREF 9090 \h</w:instrText>
        </w:r>
        <w:r>
          <w:fldChar w:fldCharType="end"/>
        </w:r>
      </w:hyperlink>
    </w:p>
    <w:p>
      <w:pPr>
        <w:tabs>
          <w:tab w:val="right" w:leader="dot" w:pos="9062"/>
        </w:tabs>
        <w:ind w:left="440"/>
      </w:pPr>
      <w:hyperlink w:anchor="_Toc9091" w:history="1">
        <w:r>
          <w:rPr>
            <w:rFonts w:ascii="IRNazanin" w:hAnsi="IRNazanin" w:eastAsia="IRNazanin" w:cs="IRNazanin"/>
            <w:color w:val="111111"/>
            <w:sz w:val="22"/>
            <w:szCs w:val="22"/>
            <w:b w:val="0"/>
            <w:bCs w:val="0"/>
            <w:i w:val="0"/>
            <w:iCs w:val="0"/>
          </w:rPr>
          <w:t>7838- دیوان نکهت شیرازی أو شعره‏</w:t>
        </w:r>
        <w:r>
          <w:tab/>
        </w:r>
        <w:r>
          <w:fldChar w:fldCharType="begin"/>
        </w:r>
        <w:r>
          <w:instrText xml:space="preserve">PAGEREF 9091 \h</w:instrText>
        </w:r>
        <w:r>
          <w:fldChar w:fldCharType="end"/>
        </w:r>
      </w:hyperlink>
    </w:p>
    <w:p>
      <w:pPr>
        <w:tabs>
          <w:tab w:val="right" w:leader="dot" w:pos="9062"/>
        </w:tabs>
        <w:ind w:left="440"/>
      </w:pPr>
      <w:hyperlink w:anchor="_Toc9092" w:history="1">
        <w:r>
          <w:rPr>
            <w:rFonts w:ascii="IRNazanin" w:hAnsi="IRNazanin" w:eastAsia="IRNazanin" w:cs="IRNazanin"/>
            <w:color w:val="111111"/>
            <w:sz w:val="22"/>
            <w:szCs w:val="22"/>
            <w:b w:val="0"/>
            <w:bCs w:val="0"/>
            <w:i w:val="0"/>
            <w:iCs w:val="0"/>
          </w:rPr>
          <w:t>7839- دیوان نکهت کرمانی أو شعره‏</w:t>
        </w:r>
        <w:r>
          <w:tab/>
        </w:r>
        <w:r>
          <w:fldChar w:fldCharType="begin"/>
        </w:r>
        <w:r>
          <w:instrText xml:space="preserve">PAGEREF 9092 \h</w:instrText>
        </w:r>
        <w:r>
          <w:fldChar w:fldCharType="end"/>
        </w:r>
      </w:hyperlink>
    </w:p>
    <w:p>
      <w:pPr>
        <w:tabs>
          <w:tab w:val="right" w:leader="dot" w:pos="9062"/>
        </w:tabs>
        <w:ind w:left="440"/>
      </w:pPr>
      <w:hyperlink w:anchor="_Toc9093" w:history="1">
        <w:r>
          <w:rPr>
            <w:rFonts w:ascii="IRNazanin" w:hAnsi="IRNazanin" w:eastAsia="IRNazanin" w:cs="IRNazanin"/>
            <w:color w:val="111111"/>
            <w:sz w:val="22"/>
            <w:szCs w:val="22"/>
            <w:b w:val="0"/>
            <w:bCs w:val="0"/>
            <w:i w:val="0"/>
            <w:iCs w:val="0"/>
          </w:rPr>
          <w:t>7840- دیوان نکهت لکهنوی أو شعره‏</w:t>
        </w:r>
        <w:r>
          <w:tab/>
        </w:r>
        <w:r>
          <w:fldChar w:fldCharType="begin"/>
        </w:r>
        <w:r>
          <w:instrText xml:space="preserve">PAGEREF 9093 \h</w:instrText>
        </w:r>
        <w:r>
          <w:fldChar w:fldCharType="end"/>
        </w:r>
      </w:hyperlink>
    </w:p>
    <w:p>
      <w:pPr>
        <w:tabs>
          <w:tab w:val="right" w:leader="dot" w:pos="9062"/>
        </w:tabs>
        <w:ind w:left="440"/>
      </w:pPr>
      <w:hyperlink w:anchor="_Toc9094" w:history="1">
        <w:r>
          <w:rPr>
            <w:rFonts w:ascii="IRNazanin" w:hAnsi="IRNazanin" w:eastAsia="IRNazanin" w:cs="IRNazanin"/>
            <w:color w:val="111111"/>
            <w:sz w:val="22"/>
            <w:szCs w:val="22"/>
            <w:b w:val="0"/>
            <w:bCs w:val="0"/>
            <w:i w:val="0"/>
            <w:iCs w:val="0"/>
          </w:rPr>
          <w:t>7841- دیوان نکهتی شیرازی‏</w:t>
        </w:r>
        <w:r>
          <w:tab/>
        </w:r>
        <w:r>
          <w:fldChar w:fldCharType="begin"/>
        </w:r>
        <w:r>
          <w:instrText xml:space="preserve">PAGEREF 9094 \h</w:instrText>
        </w:r>
        <w:r>
          <w:fldChar w:fldCharType="end"/>
        </w:r>
      </w:hyperlink>
    </w:p>
    <w:p>
      <w:pPr>
        <w:tabs>
          <w:tab w:val="right" w:leader="dot" w:pos="9062"/>
        </w:tabs>
        <w:ind w:left="440"/>
      </w:pPr>
      <w:hyperlink w:anchor="_Toc9095" w:history="1">
        <w:r>
          <w:rPr>
            <w:rFonts w:ascii="IRNazanin" w:hAnsi="IRNazanin" w:eastAsia="IRNazanin" w:cs="IRNazanin"/>
            <w:color w:val="111111"/>
            <w:sz w:val="22"/>
            <w:szCs w:val="22"/>
            <w:b w:val="0"/>
            <w:bCs w:val="0"/>
            <w:i w:val="0"/>
            <w:iCs w:val="0"/>
          </w:rPr>
          <w:t>7842- دیوان نگار هندی‏</w:t>
        </w:r>
        <w:r>
          <w:tab/>
        </w:r>
        <w:r>
          <w:fldChar w:fldCharType="begin"/>
        </w:r>
        <w:r>
          <w:instrText xml:space="preserve">PAGEREF 9095 \h</w:instrText>
        </w:r>
        <w:r>
          <w:fldChar w:fldCharType="end"/>
        </w:r>
      </w:hyperlink>
    </w:p>
    <w:p>
      <w:pPr>
        <w:tabs>
          <w:tab w:val="right" w:leader="dot" w:pos="9062"/>
        </w:tabs>
        <w:ind w:left="440"/>
      </w:pPr>
      <w:hyperlink w:anchor="_Toc9096" w:history="1">
        <w:r>
          <w:rPr>
            <w:rFonts w:ascii="IRNazanin" w:hAnsi="IRNazanin" w:eastAsia="IRNazanin" w:cs="IRNazanin"/>
            <w:color w:val="111111"/>
            <w:sz w:val="22"/>
            <w:szCs w:val="22"/>
            <w:b w:val="0"/>
            <w:bCs w:val="0"/>
            <w:i w:val="0"/>
            <w:iCs w:val="0"/>
          </w:rPr>
          <w:t>7843- دیوان نگار شروانی‏</w:t>
        </w:r>
        <w:r>
          <w:tab/>
        </w:r>
        <w:r>
          <w:fldChar w:fldCharType="begin"/>
        </w:r>
        <w:r>
          <w:instrText xml:space="preserve">PAGEREF 9096 \h</w:instrText>
        </w:r>
        <w:r>
          <w:fldChar w:fldCharType="end"/>
        </w:r>
      </w:hyperlink>
    </w:p>
    <w:p>
      <w:pPr>
        <w:tabs>
          <w:tab w:val="right" w:leader="dot" w:pos="9062"/>
        </w:tabs>
        <w:ind w:left="440"/>
      </w:pPr>
      <w:hyperlink w:anchor="_Toc9097" w:history="1">
        <w:r>
          <w:rPr>
            <w:rFonts w:ascii="IRNazanin" w:hAnsi="IRNazanin" w:eastAsia="IRNazanin" w:cs="IRNazanin"/>
            <w:color w:val="111111"/>
            <w:sz w:val="22"/>
            <w:szCs w:val="22"/>
            <w:b w:val="0"/>
            <w:bCs w:val="0"/>
            <w:i w:val="0"/>
            <w:iCs w:val="0"/>
          </w:rPr>
          <w:t>7844- دیوان نگاهی ابرقوهی أو شعره‏</w:t>
        </w:r>
        <w:r>
          <w:tab/>
        </w:r>
        <w:r>
          <w:fldChar w:fldCharType="begin"/>
        </w:r>
        <w:r>
          <w:instrText xml:space="preserve">PAGEREF 9097 \h</w:instrText>
        </w:r>
        <w:r>
          <w:fldChar w:fldCharType="end"/>
        </w:r>
      </w:hyperlink>
    </w:p>
    <w:p>
      <w:pPr>
        <w:tabs>
          <w:tab w:val="right" w:leader="dot" w:pos="9062"/>
        </w:tabs>
        <w:ind w:left="440"/>
      </w:pPr>
      <w:hyperlink w:anchor="_Toc9098" w:history="1">
        <w:r>
          <w:rPr>
            <w:rFonts w:ascii="IRNazanin" w:hAnsi="IRNazanin" w:eastAsia="IRNazanin" w:cs="IRNazanin"/>
            <w:color w:val="111111"/>
            <w:sz w:val="22"/>
            <w:szCs w:val="22"/>
            <w:b w:val="0"/>
            <w:bCs w:val="0"/>
            <w:i w:val="0"/>
            <w:iCs w:val="0"/>
          </w:rPr>
          <w:t>7845- دیوان نگاهی أرانی أو شعره‏</w:t>
        </w:r>
        <w:r>
          <w:tab/>
        </w:r>
        <w:r>
          <w:fldChar w:fldCharType="begin"/>
        </w:r>
        <w:r>
          <w:instrText xml:space="preserve">PAGEREF 9098 \h</w:instrText>
        </w:r>
        <w:r>
          <w:fldChar w:fldCharType="end"/>
        </w:r>
      </w:hyperlink>
    </w:p>
    <w:p>
      <w:pPr>
        <w:tabs>
          <w:tab w:val="right" w:leader="dot" w:pos="9062"/>
        </w:tabs>
        <w:ind w:left="440"/>
      </w:pPr>
      <w:hyperlink w:anchor="_Toc9099" w:history="1">
        <w:r>
          <w:rPr>
            <w:rFonts w:ascii="IRNazanin" w:hAnsi="IRNazanin" w:eastAsia="IRNazanin" w:cs="IRNazanin"/>
            <w:color w:val="111111"/>
            <w:sz w:val="22"/>
            <w:szCs w:val="22"/>
            <w:b w:val="0"/>
            <w:bCs w:val="0"/>
            <w:i w:val="0"/>
            <w:iCs w:val="0"/>
          </w:rPr>
          <w:t>7846- دیوان نگاهی بهبهانی أو شعره‏</w:t>
        </w:r>
        <w:r>
          <w:tab/>
        </w:r>
        <w:r>
          <w:fldChar w:fldCharType="begin"/>
        </w:r>
        <w:r>
          <w:instrText xml:space="preserve">PAGEREF 9099 \h</w:instrText>
        </w:r>
        <w:r>
          <w:fldChar w:fldCharType="end"/>
        </w:r>
      </w:hyperlink>
    </w:p>
    <w:p>
      <w:pPr>
        <w:tabs>
          <w:tab w:val="right" w:leader="dot" w:pos="9062"/>
        </w:tabs>
        <w:ind w:left="440"/>
      </w:pPr>
      <w:hyperlink w:anchor="_Toc9100" w:history="1">
        <w:r>
          <w:rPr>
            <w:rFonts w:ascii="IRNazanin" w:hAnsi="IRNazanin" w:eastAsia="IRNazanin" w:cs="IRNazanin"/>
            <w:color w:val="111111"/>
            <w:sz w:val="22"/>
            <w:szCs w:val="22"/>
            <w:b w:val="0"/>
            <w:bCs w:val="0"/>
            <w:i w:val="0"/>
            <w:iCs w:val="0"/>
          </w:rPr>
          <w:t>7847- دیوان نگاهی نیشابوری أو شعره‏</w:t>
        </w:r>
        <w:r>
          <w:tab/>
        </w:r>
        <w:r>
          <w:fldChar w:fldCharType="begin"/>
        </w:r>
        <w:r>
          <w:instrText xml:space="preserve">PAGEREF 9100 \h</w:instrText>
        </w:r>
        <w:r>
          <w:fldChar w:fldCharType="end"/>
        </w:r>
      </w:hyperlink>
    </w:p>
    <w:p>
      <w:pPr>
        <w:tabs>
          <w:tab w:val="right" w:leader="dot" w:pos="9062"/>
        </w:tabs>
        <w:ind w:left="440"/>
      </w:pPr>
      <w:hyperlink w:anchor="_Toc9101" w:history="1">
        <w:r>
          <w:rPr>
            <w:rFonts w:ascii="IRNazanin" w:hAnsi="IRNazanin" w:eastAsia="IRNazanin" w:cs="IRNazanin"/>
            <w:color w:val="111111"/>
            <w:sz w:val="22"/>
            <w:szCs w:val="22"/>
            <w:b w:val="0"/>
            <w:bCs w:val="0"/>
            <w:i w:val="0"/>
            <w:iCs w:val="0"/>
          </w:rPr>
          <w:t>دیوان نگاهی هروی‏</w:t>
        </w:r>
        <w:r>
          <w:tab/>
        </w:r>
        <w:r>
          <w:fldChar w:fldCharType="begin"/>
        </w:r>
        <w:r>
          <w:instrText xml:space="preserve">PAGEREF 9101 \h</w:instrText>
        </w:r>
        <w:r>
          <w:fldChar w:fldCharType="end"/>
        </w:r>
      </w:hyperlink>
    </w:p>
    <w:p>
      <w:pPr>
        <w:tabs>
          <w:tab w:val="right" w:leader="dot" w:pos="9062"/>
        </w:tabs>
        <w:ind w:left="440"/>
      </w:pPr>
      <w:hyperlink w:anchor="_Toc9102" w:history="1">
        <w:r>
          <w:rPr>
            <w:rFonts w:ascii="IRNazanin" w:hAnsi="IRNazanin" w:eastAsia="IRNazanin" w:cs="IRNazanin"/>
            <w:color w:val="111111"/>
            <w:sz w:val="22"/>
            <w:szCs w:val="22"/>
            <w:b w:val="0"/>
            <w:bCs w:val="0"/>
            <w:i w:val="0"/>
            <w:iCs w:val="0"/>
          </w:rPr>
          <w:t>7848- دیوان نمکانی‏</w:t>
        </w:r>
        <w:r>
          <w:tab/>
        </w:r>
        <w:r>
          <w:fldChar w:fldCharType="begin"/>
        </w:r>
        <w:r>
          <w:instrText xml:space="preserve">PAGEREF 9102 \h</w:instrText>
        </w:r>
        <w:r>
          <w:fldChar w:fldCharType="end"/>
        </w:r>
      </w:hyperlink>
    </w:p>
    <w:p>
      <w:pPr>
        <w:tabs>
          <w:tab w:val="right" w:leader="dot" w:pos="9062"/>
        </w:tabs>
        <w:ind w:left="440"/>
      </w:pPr>
      <w:hyperlink w:anchor="_Toc9103" w:history="1">
        <w:r>
          <w:rPr>
            <w:rFonts w:ascii="IRNazanin" w:hAnsi="IRNazanin" w:eastAsia="IRNazanin" w:cs="IRNazanin"/>
            <w:color w:val="111111"/>
            <w:sz w:val="22"/>
            <w:szCs w:val="22"/>
            <w:b w:val="0"/>
            <w:bCs w:val="0"/>
            <w:i w:val="0"/>
            <w:iCs w:val="0"/>
          </w:rPr>
          <w:t>7849- دیوان نواب بنارسی أو شعره‏</w:t>
        </w:r>
        <w:r>
          <w:tab/>
        </w:r>
        <w:r>
          <w:fldChar w:fldCharType="begin"/>
        </w:r>
        <w:r>
          <w:instrText xml:space="preserve">PAGEREF 9103 \h</w:instrText>
        </w:r>
        <w:r>
          <w:fldChar w:fldCharType="end"/>
        </w:r>
      </w:hyperlink>
    </w:p>
    <w:p>
      <w:pPr>
        <w:tabs>
          <w:tab w:val="right" w:leader="dot" w:pos="9062"/>
        </w:tabs>
        <w:ind w:left="440"/>
      </w:pPr>
      <w:hyperlink w:anchor="_Toc9104" w:history="1">
        <w:r>
          <w:rPr>
            <w:rFonts w:ascii="IRNazanin" w:hAnsi="IRNazanin" w:eastAsia="IRNazanin" w:cs="IRNazanin"/>
            <w:color w:val="111111"/>
            <w:sz w:val="22"/>
            <w:szCs w:val="22"/>
            <w:b w:val="0"/>
            <w:bCs w:val="0"/>
            <w:i w:val="0"/>
            <w:iCs w:val="0"/>
          </w:rPr>
          <w:t>7850- دیوان نواب رضوی أو شعره‏</w:t>
        </w:r>
        <w:r>
          <w:tab/>
        </w:r>
        <w:r>
          <w:fldChar w:fldCharType="begin"/>
        </w:r>
        <w:r>
          <w:instrText xml:space="preserve">PAGEREF 9104 \h</w:instrText>
        </w:r>
        <w:r>
          <w:fldChar w:fldCharType="end"/>
        </w:r>
      </w:hyperlink>
    </w:p>
    <w:p>
      <w:pPr>
        <w:tabs>
          <w:tab w:val="right" w:leader="dot" w:pos="9062"/>
        </w:tabs>
        <w:ind w:left="440"/>
      </w:pPr>
      <w:hyperlink w:anchor="_Toc9105" w:history="1">
        <w:r>
          <w:rPr>
            <w:rFonts w:ascii="IRNazanin" w:hAnsi="IRNazanin" w:eastAsia="IRNazanin" w:cs="IRNazanin"/>
            <w:color w:val="111111"/>
            <w:sz w:val="22"/>
            <w:szCs w:val="22"/>
            <w:b w:val="0"/>
            <w:bCs w:val="0"/>
            <w:i w:val="0"/>
            <w:iCs w:val="0"/>
          </w:rPr>
          <w:t>7851- دیوان نواب صفا</w:t>
        </w:r>
        <w:r>
          <w:tab/>
        </w:r>
        <w:r>
          <w:fldChar w:fldCharType="begin"/>
        </w:r>
        <w:r>
          <w:instrText xml:space="preserve">PAGEREF 9105 \h</w:instrText>
        </w:r>
        <w:r>
          <w:fldChar w:fldCharType="end"/>
        </w:r>
      </w:hyperlink>
    </w:p>
    <w:p>
      <w:pPr>
        <w:tabs>
          <w:tab w:val="right" w:leader="dot" w:pos="9062"/>
        </w:tabs>
        <w:ind w:left="440"/>
      </w:pPr>
      <w:hyperlink w:anchor="_Toc9106" w:history="1">
        <w:r>
          <w:rPr>
            <w:rFonts w:ascii="IRNazanin" w:hAnsi="IRNazanin" w:eastAsia="IRNazanin" w:cs="IRNazanin"/>
            <w:color w:val="111111"/>
            <w:sz w:val="22"/>
            <w:szCs w:val="22"/>
            <w:b w:val="0"/>
            <w:bCs w:val="0"/>
            <w:i w:val="0"/>
            <w:iCs w:val="0"/>
          </w:rPr>
          <w:t>7852- دیوان نواب قنوجی أو شعره‏</w:t>
        </w:r>
        <w:r>
          <w:tab/>
        </w:r>
        <w:r>
          <w:fldChar w:fldCharType="begin"/>
        </w:r>
        <w:r>
          <w:instrText xml:space="preserve">PAGEREF 9106 \h</w:instrText>
        </w:r>
        <w:r>
          <w:fldChar w:fldCharType="end"/>
        </w:r>
      </w:hyperlink>
    </w:p>
    <w:p>
      <w:pPr>
        <w:tabs>
          <w:tab w:val="right" w:leader="dot" w:pos="9062"/>
        </w:tabs>
        <w:ind w:left="440"/>
      </w:pPr>
      <w:hyperlink w:anchor="_Toc9107" w:history="1">
        <w:r>
          <w:rPr>
            <w:rFonts w:ascii="IRNazanin" w:hAnsi="IRNazanin" w:eastAsia="IRNazanin" w:cs="IRNazanin"/>
            <w:color w:val="111111"/>
            <w:sz w:val="22"/>
            <w:szCs w:val="22"/>
            <w:b w:val="0"/>
            <w:bCs w:val="0"/>
            <w:i w:val="0"/>
            <w:iCs w:val="0"/>
          </w:rPr>
          <w:t>دیوان نواب یزدی‏</w:t>
        </w:r>
        <w:r>
          <w:tab/>
        </w:r>
        <w:r>
          <w:fldChar w:fldCharType="begin"/>
        </w:r>
        <w:r>
          <w:instrText xml:space="preserve">PAGEREF 9107 \h</w:instrText>
        </w:r>
        <w:r>
          <w:fldChar w:fldCharType="end"/>
        </w:r>
      </w:hyperlink>
    </w:p>
    <w:p>
      <w:pPr>
        <w:tabs>
          <w:tab w:val="right" w:leader="dot" w:pos="9062"/>
        </w:tabs>
        <w:ind w:left="440"/>
      </w:pPr>
      <w:hyperlink w:anchor="_Toc9108" w:history="1">
        <w:r>
          <w:rPr>
            <w:rFonts w:ascii="IRNazanin" w:hAnsi="IRNazanin" w:eastAsia="IRNazanin" w:cs="IRNazanin"/>
            <w:color w:val="111111"/>
            <w:sz w:val="22"/>
            <w:szCs w:val="22"/>
            <w:b w:val="0"/>
            <w:bCs w:val="0"/>
            <w:i w:val="0"/>
            <w:iCs w:val="0"/>
          </w:rPr>
          <w:t>7853- دیوان نواب یزدی أو شعره‏</w:t>
        </w:r>
        <w:r>
          <w:tab/>
        </w:r>
        <w:r>
          <w:fldChar w:fldCharType="begin"/>
        </w:r>
        <w:r>
          <w:instrText xml:space="preserve">PAGEREF 9108 \h</w:instrText>
        </w:r>
        <w:r>
          <w:fldChar w:fldCharType="end"/>
        </w:r>
      </w:hyperlink>
    </w:p>
    <w:p>
      <w:pPr>
        <w:tabs>
          <w:tab w:val="right" w:leader="dot" w:pos="9062"/>
        </w:tabs>
        <w:ind w:left="440"/>
      </w:pPr>
      <w:hyperlink w:anchor="_Toc9109" w:history="1">
        <w:r>
          <w:rPr>
            <w:rFonts w:ascii="IRNazanin" w:hAnsi="IRNazanin" w:eastAsia="IRNazanin" w:cs="IRNazanin"/>
            <w:color w:val="111111"/>
            <w:sz w:val="22"/>
            <w:szCs w:val="22"/>
            <w:b w:val="0"/>
            <w:bCs w:val="0"/>
            <w:i w:val="0"/>
            <w:iCs w:val="0"/>
          </w:rPr>
          <w:t>7854- دیوان نوازش لکهنوی أو شعره‏</w:t>
        </w:r>
        <w:r>
          <w:tab/>
        </w:r>
        <w:r>
          <w:fldChar w:fldCharType="begin"/>
        </w:r>
        <w:r>
          <w:instrText xml:space="preserve">PAGEREF 9109 \h</w:instrText>
        </w:r>
        <w:r>
          <w:fldChar w:fldCharType="end"/>
        </w:r>
      </w:hyperlink>
    </w:p>
    <w:p>
      <w:pPr>
        <w:tabs>
          <w:tab w:val="right" w:leader="dot" w:pos="9062"/>
        </w:tabs>
        <w:ind w:left="440"/>
      </w:pPr>
      <w:hyperlink w:anchor="_Toc9110" w:history="1">
        <w:r>
          <w:rPr>
            <w:rFonts w:ascii="IRNazanin" w:hAnsi="IRNazanin" w:eastAsia="IRNazanin" w:cs="IRNazanin"/>
            <w:color w:val="111111"/>
            <w:sz w:val="22"/>
            <w:szCs w:val="22"/>
            <w:b w:val="0"/>
            <w:bCs w:val="0"/>
            <w:i w:val="0"/>
            <w:iCs w:val="0"/>
          </w:rPr>
          <w:t>7855- دیوان نوای أصفهانی‏</w:t>
        </w:r>
        <w:r>
          <w:tab/>
        </w:r>
        <w:r>
          <w:fldChar w:fldCharType="begin"/>
        </w:r>
        <w:r>
          <w:instrText xml:space="preserve">PAGEREF 9110 \h</w:instrText>
        </w:r>
        <w:r>
          <w:fldChar w:fldCharType="end"/>
        </w:r>
      </w:hyperlink>
    </w:p>
    <w:p>
      <w:pPr>
        <w:tabs>
          <w:tab w:val="right" w:leader="dot" w:pos="9062"/>
        </w:tabs>
        <w:ind w:left="440"/>
      </w:pPr>
      <w:hyperlink w:anchor="_Toc9111" w:history="1">
        <w:r>
          <w:rPr>
            <w:rFonts w:ascii="IRNazanin" w:hAnsi="IRNazanin" w:eastAsia="IRNazanin" w:cs="IRNazanin"/>
            <w:color w:val="111111"/>
            <w:sz w:val="22"/>
            <w:szCs w:val="22"/>
            <w:b w:val="0"/>
            <w:bCs w:val="0"/>
            <w:i w:val="0"/>
            <w:iCs w:val="0"/>
          </w:rPr>
          <w:t>7856- دیوان نوای بدیوانی‏</w:t>
        </w:r>
        <w:r>
          <w:tab/>
        </w:r>
        <w:r>
          <w:fldChar w:fldCharType="begin"/>
        </w:r>
        <w:r>
          <w:instrText xml:space="preserve">PAGEREF 9111 \h</w:instrText>
        </w:r>
        <w:r>
          <w:fldChar w:fldCharType="end"/>
        </w:r>
      </w:hyperlink>
    </w:p>
    <w:p>
      <w:pPr>
        <w:tabs>
          <w:tab w:val="right" w:leader="dot" w:pos="9062"/>
        </w:tabs>
        <w:ind w:left="440"/>
      </w:pPr>
      <w:hyperlink w:anchor="_Toc9112" w:history="1">
        <w:r>
          <w:rPr>
            <w:rFonts w:ascii="IRNazanin" w:hAnsi="IRNazanin" w:eastAsia="IRNazanin" w:cs="IRNazanin"/>
            <w:color w:val="111111"/>
            <w:sz w:val="22"/>
            <w:szCs w:val="22"/>
            <w:b w:val="0"/>
            <w:bCs w:val="0"/>
            <w:i w:val="0"/>
            <w:iCs w:val="0"/>
          </w:rPr>
          <w:t>دیوان نوای دهلوی‏</w:t>
        </w:r>
        <w:r>
          <w:tab/>
        </w:r>
        <w:r>
          <w:fldChar w:fldCharType="begin"/>
        </w:r>
        <w:r>
          <w:instrText xml:space="preserve">PAGEREF 9112 \h</w:instrText>
        </w:r>
        <w:r>
          <w:fldChar w:fldCharType="end"/>
        </w:r>
      </w:hyperlink>
    </w:p>
    <w:p>
      <w:pPr>
        <w:tabs>
          <w:tab w:val="right" w:leader="dot" w:pos="9062"/>
        </w:tabs>
        <w:ind w:left="440"/>
      </w:pPr>
      <w:hyperlink w:anchor="_Toc9113" w:history="1">
        <w:r>
          <w:rPr>
            <w:rFonts w:ascii="IRNazanin" w:hAnsi="IRNazanin" w:eastAsia="IRNazanin" w:cs="IRNazanin"/>
            <w:color w:val="111111"/>
            <w:sz w:val="22"/>
            <w:szCs w:val="22"/>
            <w:b w:val="0"/>
            <w:bCs w:val="0"/>
            <w:i w:val="0"/>
            <w:iCs w:val="0"/>
          </w:rPr>
          <w:t>7857- دیوان نوای شیرازی‏</w:t>
        </w:r>
        <w:r>
          <w:tab/>
        </w:r>
        <w:r>
          <w:fldChar w:fldCharType="begin"/>
        </w:r>
        <w:r>
          <w:instrText xml:space="preserve">PAGEREF 9113 \h</w:instrText>
        </w:r>
        <w:r>
          <w:fldChar w:fldCharType="end"/>
        </w:r>
      </w:hyperlink>
    </w:p>
    <w:p>
      <w:pPr>
        <w:tabs>
          <w:tab w:val="right" w:leader="dot" w:pos="9062"/>
        </w:tabs>
        <w:ind w:left="440"/>
      </w:pPr>
      <w:hyperlink w:anchor="_Toc9114" w:history="1">
        <w:r>
          <w:rPr>
            <w:rFonts w:ascii="IRNazanin" w:hAnsi="IRNazanin" w:eastAsia="IRNazanin" w:cs="IRNazanin"/>
            <w:color w:val="111111"/>
            <w:sz w:val="22"/>
            <w:szCs w:val="22"/>
            <w:b w:val="0"/>
            <w:bCs w:val="0"/>
            <w:i w:val="0"/>
            <w:iCs w:val="0"/>
          </w:rPr>
          <w:t>7858- دیوان نوای کاشانی أو شعره‏</w:t>
        </w:r>
        <w:r>
          <w:tab/>
        </w:r>
        <w:r>
          <w:fldChar w:fldCharType="begin"/>
        </w:r>
        <w:r>
          <w:instrText xml:space="preserve">PAGEREF 9114 \h</w:instrText>
        </w:r>
        <w:r>
          <w:fldChar w:fldCharType="end"/>
        </w:r>
      </w:hyperlink>
    </w:p>
    <w:p>
      <w:pPr>
        <w:tabs>
          <w:tab w:val="right" w:leader="dot" w:pos="9062"/>
        </w:tabs>
        <w:ind w:left="440"/>
      </w:pPr>
      <w:hyperlink w:anchor="_Toc9115" w:history="1">
        <w:r>
          <w:rPr>
            <w:rFonts w:ascii="IRNazanin" w:hAnsi="IRNazanin" w:eastAsia="IRNazanin" w:cs="IRNazanin"/>
            <w:color w:val="111111"/>
            <w:sz w:val="22"/>
            <w:szCs w:val="22"/>
            <w:b w:val="0"/>
            <w:bCs w:val="0"/>
            <w:i w:val="0"/>
            <w:iCs w:val="0"/>
          </w:rPr>
          <w:t>7859- دیوان نوائی بافقی أو شعره‏</w:t>
        </w:r>
        <w:r>
          <w:tab/>
        </w:r>
        <w:r>
          <w:fldChar w:fldCharType="begin"/>
        </w:r>
        <w:r>
          <w:instrText xml:space="preserve">PAGEREF 9115 \h</w:instrText>
        </w:r>
        <w:r>
          <w:fldChar w:fldCharType="end"/>
        </w:r>
      </w:hyperlink>
    </w:p>
    <w:p>
      <w:pPr>
        <w:tabs>
          <w:tab w:val="right" w:leader="dot" w:pos="9062"/>
        </w:tabs>
        <w:ind w:left="440"/>
      </w:pPr>
      <w:hyperlink w:anchor="_Toc9116" w:history="1">
        <w:r>
          <w:rPr>
            <w:rFonts w:ascii="IRNazanin" w:hAnsi="IRNazanin" w:eastAsia="IRNazanin" w:cs="IRNazanin"/>
            <w:color w:val="111111"/>
            <w:sz w:val="22"/>
            <w:szCs w:val="22"/>
            <w:b w:val="0"/>
            <w:bCs w:val="0"/>
            <w:i w:val="0"/>
            <w:iCs w:val="0"/>
          </w:rPr>
          <w:t>دیوان نوائی جغتائی‏</w:t>
        </w:r>
        <w:r>
          <w:tab/>
        </w:r>
        <w:r>
          <w:fldChar w:fldCharType="begin"/>
        </w:r>
        <w:r>
          <w:instrText xml:space="preserve">PAGEREF 9116 \h</w:instrText>
        </w:r>
        <w:r>
          <w:fldChar w:fldCharType="end"/>
        </w:r>
      </w:hyperlink>
    </w:p>
    <w:p>
      <w:pPr>
        <w:tabs>
          <w:tab w:val="right" w:leader="dot" w:pos="9062"/>
        </w:tabs>
        <w:ind w:left="440"/>
      </w:pPr>
      <w:hyperlink w:anchor="_Toc9117" w:history="1">
        <w:r>
          <w:rPr>
            <w:rFonts w:ascii="IRNazanin" w:hAnsi="IRNazanin" w:eastAsia="IRNazanin" w:cs="IRNazanin"/>
            <w:color w:val="111111"/>
            <w:sz w:val="22"/>
            <w:szCs w:val="22"/>
            <w:b w:val="0"/>
            <w:bCs w:val="0"/>
            <w:i w:val="0"/>
            <w:iCs w:val="0"/>
          </w:rPr>
          <w:t>7860- دیوان نوائی خراسانی أو شعره‏</w:t>
        </w:r>
        <w:r>
          <w:tab/>
        </w:r>
        <w:r>
          <w:fldChar w:fldCharType="begin"/>
        </w:r>
        <w:r>
          <w:instrText xml:space="preserve">PAGEREF 9117 \h</w:instrText>
        </w:r>
        <w:r>
          <w:fldChar w:fldCharType="end"/>
        </w:r>
      </w:hyperlink>
    </w:p>
    <w:p>
      <w:pPr>
        <w:tabs>
          <w:tab w:val="right" w:leader="dot" w:pos="9062"/>
        </w:tabs>
        <w:ind w:left="440"/>
      </w:pPr>
      <w:hyperlink w:anchor="_Toc9118" w:history="1">
        <w:r>
          <w:rPr>
            <w:rFonts w:ascii="IRNazanin" w:hAnsi="IRNazanin" w:eastAsia="IRNazanin" w:cs="IRNazanin"/>
            <w:color w:val="111111"/>
            <w:sz w:val="22"/>
            <w:szCs w:val="22"/>
            <w:b w:val="0"/>
            <w:bCs w:val="0"/>
            <w:i w:val="0"/>
            <w:iCs w:val="0"/>
          </w:rPr>
          <w:t>7861- دیوان نوائی زرقانی أو شعره‏</w:t>
        </w:r>
        <w:r>
          <w:tab/>
        </w:r>
        <w:r>
          <w:fldChar w:fldCharType="begin"/>
        </w:r>
        <w:r>
          <w:instrText xml:space="preserve">PAGEREF 9118 \h</w:instrText>
        </w:r>
        <w:r>
          <w:fldChar w:fldCharType="end"/>
        </w:r>
      </w:hyperlink>
    </w:p>
    <w:p>
      <w:pPr>
        <w:tabs>
          <w:tab w:val="right" w:leader="dot" w:pos="9062"/>
        </w:tabs>
        <w:ind w:left="440"/>
      </w:pPr>
      <w:hyperlink w:anchor="_Toc9119" w:history="1">
        <w:r>
          <w:rPr>
            <w:rFonts w:ascii="IRNazanin" w:hAnsi="IRNazanin" w:eastAsia="IRNazanin" w:cs="IRNazanin"/>
            <w:color w:val="111111"/>
            <w:sz w:val="22"/>
            <w:szCs w:val="22"/>
            <w:b w:val="0"/>
            <w:bCs w:val="0"/>
            <w:i w:val="0"/>
            <w:iCs w:val="0"/>
          </w:rPr>
          <w:t>7862- دیوان نوائی شیرازی أو شعره‏</w:t>
        </w:r>
        <w:r>
          <w:tab/>
        </w:r>
        <w:r>
          <w:fldChar w:fldCharType="begin"/>
        </w:r>
        <w:r>
          <w:instrText xml:space="preserve">PAGEREF 9119 \h</w:instrText>
        </w:r>
        <w:r>
          <w:fldChar w:fldCharType="end"/>
        </w:r>
      </w:hyperlink>
    </w:p>
    <w:p>
      <w:pPr>
        <w:tabs>
          <w:tab w:val="right" w:leader="dot" w:pos="9062"/>
        </w:tabs>
        <w:ind w:left="440"/>
      </w:pPr>
      <w:hyperlink w:anchor="_Toc9120" w:history="1">
        <w:r>
          <w:rPr>
            <w:rFonts w:ascii="IRNazanin" w:hAnsi="IRNazanin" w:eastAsia="IRNazanin" w:cs="IRNazanin"/>
            <w:color w:val="111111"/>
            <w:sz w:val="22"/>
            <w:szCs w:val="22"/>
            <w:b w:val="0"/>
            <w:bCs w:val="0"/>
            <w:i w:val="0"/>
            <w:iCs w:val="0"/>
          </w:rPr>
          <w:t>7863- دیوان نوائی طهرانی‏</w:t>
        </w:r>
        <w:r>
          <w:tab/>
        </w:r>
        <w:r>
          <w:fldChar w:fldCharType="begin"/>
        </w:r>
        <w:r>
          <w:instrText xml:space="preserve">PAGEREF 9120 \h</w:instrText>
        </w:r>
        <w:r>
          <w:fldChar w:fldCharType="end"/>
        </w:r>
      </w:hyperlink>
    </w:p>
    <w:p>
      <w:pPr>
        <w:tabs>
          <w:tab w:val="right" w:leader="dot" w:pos="9062"/>
        </w:tabs>
        <w:ind w:left="440"/>
      </w:pPr>
      <w:hyperlink w:anchor="_Toc9121" w:history="1">
        <w:r>
          <w:rPr>
            <w:rFonts w:ascii="IRNazanin" w:hAnsi="IRNazanin" w:eastAsia="IRNazanin" w:cs="IRNazanin"/>
            <w:color w:val="111111"/>
            <w:sz w:val="22"/>
            <w:szCs w:val="22"/>
            <w:b w:val="0"/>
            <w:bCs w:val="0"/>
            <w:i w:val="0"/>
            <w:iCs w:val="0"/>
          </w:rPr>
          <w:t>7864- دیوان نوائی کربلائی أو شعره‏</w:t>
        </w:r>
        <w:r>
          <w:tab/>
        </w:r>
        <w:r>
          <w:fldChar w:fldCharType="begin"/>
        </w:r>
        <w:r>
          <w:instrText xml:space="preserve">PAGEREF 9121 \h</w:instrText>
        </w:r>
        <w:r>
          <w:fldChar w:fldCharType="end"/>
        </w:r>
      </w:hyperlink>
    </w:p>
    <w:p>
      <w:pPr>
        <w:tabs>
          <w:tab w:val="right" w:leader="dot" w:pos="9062"/>
        </w:tabs>
        <w:ind w:left="440"/>
      </w:pPr>
      <w:hyperlink w:anchor="_Toc9122" w:history="1">
        <w:r>
          <w:rPr>
            <w:rFonts w:ascii="IRNazanin" w:hAnsi="IRNazanin" w:eastAsia="IRNazanin" w:cs="IRNazanin"/>
            <w:color w:val="111111"/>
            <w:sz w:val="22"/>
            <w:szCs w:val="22"/>
            <w:b w:val="0"/>
            <w:bCs w:val="0"/>
            <w:i w:val="0"/>
            <w:iCs w:val="0"/>
          </w:rPr>
          <w:t>دیوان نوائی مازندرانی‏</w:t>
        </w:r>
        <w:r>
          <w:tab/>
        </w:r>
        <w:r>
          <w:fldChar w:fldCharType="begin"/>
        </w:r>
        <w:r>
          <w:instrText xml:space="preserve">PAGEREF 9122 \h</w:instrText>
        </w:r>
        <w:r>
          <w:fldChar w:fldCharType="end"/>
        </w:r>
      </w:hyperlink>
    </w:p>
    <w:p>
      <w:pPr>
        <w:tabs>
          <w:tab w:val="right" w:leader="dot" w:pos="9062"/>
        </w:tabs>
        <w:ind w:left="440"/>
      </w:pPr>
      <w:hyperlink w:anchor="_Toc9123" w:history="1">
        <w:r>
          <w:rPr>
            <w:rFonts w:ascii="IRNazanin" w:hAnsi="IRNazanin" w:eastAsia="IRNazanin" w:cs="IRNazanin"/>
            <w:color w:val="111111"/>
            <w:sz w:val="22"/>
            <w:szCs w:val="22"/>
            <w:b w:val="0"/>
            <w:bCs w:val="0"/>
            <w:i w:val="0"/>
            <w:iCs w:val="0"/>
          </w:rPr>
          <w:t>7865- دیوان نوائی نوائی‏</w:t>
        </w:r>
        <w:r>
          <w:tab/>
        </w:r>
        <w:r>
          <w:fldChar w:fldCharType="begin"/>
        </w:r>
        <w:r>
          <w:instrText xml:space="preserve">PAGEREF 9123 \h</w:instrText>
        </w:r>
        <w:r>
          <w:fldChar w:fldCharType="end"/>
        </w:r>
      </w:hyperlink>
    </w:p>
    <w:p>
      <w:pPr>
        <w:tabs>
          <w:tab w:val="right" w:leader="dot" w:pos="9062"/>
        </w:tabs>
        <w:ind w:left="440"/>
      </w:pPr>
      <w:hyperlink w:anchor="_Toc9124" w:history="1">
        <w:r>
          <w:rPr>
            <w:rFonts w:ascii="IRNazanin" w:hAnsi="IRNazanin" w:eastAsia="IRNazanin" w:cs="IRNazanin"/>
            <w:color w:val="111111"/>
            <w:sz w:val="22"/>
            <w:szCs w:val="22"/>
            <w:b w:val="0"/>
            <w:bCs w:val="0"/>
            <w:i w:val="0"/>
            <w:iCs w:val="0"/>
          </w:rPr>
          <w:t>دیوان نوائی یزدی‏</w:t>
        </w:r>
        <w:r>
          <w:tab/>
        </w:r>
        <w:r>
          <w:fldChar w:fldCharType="begin"/>
        </w:r>
        <w:r>
          <w:instrText xml:space="preserve">PAGEREF 9124 \h</w:instrText>
        </w:r>
        <w:r>
          <w:fldChar w:fldCharType="end"/>
        </w:r>
      </w:hyperlink>
    </w:p>
    <w:p>
      <w:pPr>
        <w:tabs>
          <w:tab w:val="right" w:leader="dot" w:pos="9062"/>
        </w:tabs>
        <w:ind w:left="440"/>
      </w:pPr>
      <w:hyperlink w:anchor="_Toc9125" w:history="1">
        <w:r>
          <w:rPr>
            <w:rFonts w:ascii="IRNazanin" w:hAnsi="IRNazanin" w:eastAsia="IRNazanin" w:cs="IRNazanin"/>
            <w:color w:val="111111"/>
            <w:sz w:val="22"/>
            <w:szCs w:val="22"/>
            <w:b w:val="0"/>
            <w:bCs w:val="0"/>
            <w:i w:val="0"/>
            <w:iCs w:val="0"/>
          </w:rPr>
          <w:t>7866- دیوان نوائی قمی أو شعره‏</w:t>
        </w:r>
        <w:r>
          <w:tab/>
        </w:r>
        <w:r>
          <w:fldChar w:fldCharType="begin"/>
        </w:r>
        <w:r>
          <w:instrText xml:space="preserve">PAGEREF 9125 \h</w:instrText>
        </w:r>
        <w:r>
          <w:fldChar w:fldCharType="end"/>
        </w:r>
      </w:hyperlink>
    </w:p>
    <w:p>
      <w:pPr>
        <w:tabs>
          <w:tab w:val="right" w:leader="dot" w:pos="9062"/>
        </w:tabs>
        <w:ind w:left="440"/>
      </w:pPr>
      <w:hyperlink w:anchor="_Toc9126" w:history="1">
        <w:r>
          <w:rPr>
            <w:rFonts w:ascii="IRNazanin" w:hAnsi="IRNazanin" w:eastAsia="IRNazanin" w:cs="IRNazanin"/>
            <w:color w:val="111111"/>
            <w:sz w:val="22"/>
            <w:szCs w:val="22"/>
            <w:b w:val="0"/>
            <w:bCs w:val="0"/>
            <w:i w:val="0"/>
            <w:iCs w:val="0"/>
          </w:rPr>
          <w:t>7867- دیوان نوائی کاشانی أو شعره‏</w:t>
        </w:r>
        <w:r>
          <w:tab/>
        </w:r>
        <w:r>
          <w:fldChar w:fldCharType="begin"/>
        </w:r>
        <w:r>
          <w:instrText xml:space="preserve">PAGEREF 9126 \h</w:instrText>
        </w:r>
        <w:r>
          <w:fldChar w:fldCharType="end"/>
        </w:r>
      </w:hyperlink>
    </w:p>
    <w:p>
      <w:pPr>
        <w:tabs>
          <w:tab w:val="right" w:leader="dot" w:pos="9062"/>
        </w:tabs>
        <w:ind w:left="440"/>
      </w:pPr>
      <w:hyperlink w:anchor="_Toc9127" w:history="1">
        <w:r>
          <w:rPr>
            <w:rFonts w:ascii="IRNazanin" w:hAnsi="IRNazanin" w:eastAsia="IRNazanin" w:cs="IRNazanin"/>
            <w:color w:val="111111"/>
            <w:sz w:val="22"/>
            <w:szCs w:val="22"/>
            <w:b w:val="0"/>
            <w:bCs w:val="0"/>
            <w:i w:val="0"/>
            <w:iCs w:val="0"/>
          </w:rPr>
          <w:t>7868- دیوان نوبخت‏</w:t>
        </w:r>
        <w:r>
          <w:tab/>
        </w:r>
        <w:r>
          <w:fldChar w:fldCharType="begin"/>
        </w:r>
        <w:r>
          <w:instrText xml:space="preserve">PAGEREF 9127 \h</w:instrText>
        </w:r>
        <w:r>
          <w:fldChar w:fldCharType="end"/>
        </w:r>
      </w:hyperlink>
    </w:p>
    <w:p>
      <w:pPr>
        <w:tabs>
          <w:tab w:val="right" w:leader="dot" w:pos="9062"/>
        </w:tabs>
        <w:ind w:left="440"/>
      </w:pPr>
      <w:hyperlink w:anchor="_Toc9128" w:history="1">
        <w:r>
          <w:rPr>
            <w:rFonts w:ascii="IRNazanin" w:hAnsi="IRNazanin" w:eastAsia="IRNazanin" w:cs="IRNazanin"/>
            <w:color w:val="111111"/>
            <w:sz w:val="22"/>
            <w:szCs w:val="22"/>
            <w:b w:val="0"/>
            <w:bCs w:val="0"/>
            <w:i w:val="0"/>
            <w:iCs w:val="0"/>
          </w:rPr>
          <w:t>7869- دیوان النوبختی‏</w:t>
        </w:r>
        <w:r>
          <w:tab/>
        </w:r>
        <w:r>
          <w:fldChar w:fldCharType="begin"/>
        </w:r>
        <w:r>
          <w:instrText xml:space="preserve">PAGEREF 9128 \h</w:instrText>
        </w:r>
        <w:r>
          <w:fldChar w:fldCharType="end"/>
        </w:r>
      </w:hyperlink>
    </w:p>
    <w:p>
      <w:pPr>
        <w:tabs>
          <w:tab w:val="right" w:leader="dot" w:pos="9062"/>
        </w:tabs>
        <w:ind w:left="440"/>
      </w:pPr>
      <w:hyperlink w:anchor="_Toc9129" w:history="1">
        <w:r>
          <w:rPr>
            <w:rFonts w:ascii="IRNazanin" w:hAnsi="IRNazanin" w:eastAsia="IRNazanin" w:cs="IRNazanin"/>
            <w:color w:val="111111"/>
            <w:sz w:val="22"/>
            <w:szCs w:val="22"/>
            <w:b w:val="0"/>
            <w:bCs w:val="0"/>
            <w:i w:val="0"/>
            <w:iCs w:val="0"/>
          </w:rPr>
          <w:t>7870- دیوان نوح أصفهانی أو شعره‏</w:t>
        </w:r>
        <w:r>
          <w:tab/>
        </w:r>
        <w:r>
          <w:fldChar w:fldCharType="begin"/>
        </w:r>
        <w:r>
          <w:instrText xml:space="preserve">PAGEREF 9129 \h</w:instrText>
        </w:r>
        <w:r>
          <w:fldChar w:fldCharType="end"/>
        </w:r>
      </w:hyperlink>
    </w:p>
    <w:p>
      <w:pPr>
        <w:tabs>
          <w:tab w:val="right" w:leader="dot" w:pos="9062"/>
        </w:tabs>
        <w:ind w:left="440"/>
      </w:pPr>
      <w:hyperlink w:anchor="_Toc9130" w:history="1">
        <w:r>
          <w:rPr>
            <w:rFonts w:ascii="IRNazanin" w:hAnsi="IRNazanin" w:eastAsia="IRNazanin" w:cs="IRNazanin"/>
            <w:color w:val="111111"/>
            <w:sz w:val="22"/>
            <w:szCs w:val="22"/>
            <w:b w:val="0"/>
            <w:bCs w:val="0"/>
            <w:i w:val="0"/>
            <w:iCs w:val="0"/>
          </w:rPr>
          <w:t>7871- دیوان نوح فریدنی أو شعره‏</w:t>
        </w:r>
        <w:r>
          <w:tab/>
        </w:r>
        <w:r>
          <w:fldChar w:fldCharType="begin"/>
        </w:r>
        <w:r>
          <w:instrText xml:space="preserve">PAGEREF 9130 \h</w:instrText>
        </w:r>
        <w:r>
          <w:fldChar w:fldCharType="end"/>
        </w:r>
      </w:hyperlink>
    </w:p>
    <w:p>
      <w:pPr>
        <w:tabs>
          <w:tab w:val="right" w:leader="dot" w:pos="9062"/>
        </w:tabs>
        <w:ind w:left="440"/>
      </w:pPr>
      <w:hyperlink w:anchor="_Toc9131" w:history="1">
        <w:r>
          <w:rPr>
            <w:rFonts w:ascii="IRNazanin" w:hAnsi="IRNazanin" w:eastAsia="IRNazanin" w:cs="IRNazanin"/>
            <w:color w:val="111111"/>
            <w:sz w:val="22"/>
            <w:szCs w:val="22"/>
            <w:b w:val="0"/>
            <w:bCs w:val="0"/>
            <w:i w:val="0"/>
            <w:iCs w:val="0"/>
          </w:rPr>
          <w:t>دیوان نور أصفهانی‏</w:t>
        </w:r>
        <w:r>
          <w:tab/>
        </w:r>
        <w:r>
          <w:fldChar w:fldCharType="begin"/>
        </w:r>
        <w:r>
          <w:instrText xml:space="preserve">PAGEREF 9131 \h</w:instrText>
        </w:r>
        <w:r>
          <w:fldChar w:fldCharType="end"/>
        </w:r>
      </w:hyperlink>
    </w:p>
    <w:p>
      <w:pPr>
        <w:tabs>
          <w:tab w:val="right" w:leader="dot" w:pos="9062"/>
        </w:tabs>
        <w:ind w:left="440"/>
      </w:pPr>
      <w:hyperlink w:anchor="_Toc9132" w:history="1">
        <w:r>
          <w:rPr>
            <w:rFonts w:ascii="IRNazanin" w:hAnsi="IRNazanin" w:eastAsia="IRNazanin" w:cs="IRNazanin"/>
            <w:color w:val="111111"/>
            <w:sz w:val="22"/>
            <w:szCs w:val="22"/>
            <w:b w:val="0"/>
            <w:bCs w:val="0"/>
            <w:i w:val="0"/>
            <w:iCs w:val="0"/>
          </w:rPr>
          <w:t>7872- دیوان نور أکبرآبادی أو شعره‏</w:t>
        </w:r>
        <w:r>
          <w:tab/>
        </w:r>
        <w:r>
          <w:fldChar w:fldCharType="begin"/>
        </w:r>
        <w:r>
          <w:instrText xml:space="preserve">PAGEREF 9132 \h</w:instrText>
        </w:r>
        <w:r>
          <w:fldChar w:fldCharType="end"/>
        </w:r>
      </w:hyperlink>
    </w:p>
    <w:p>
      <w:pPr>
        <w:tabs>
          <w:tab w:val="right" w:leader="dot" w:pos="9062"/>
        </w:tabs>
        <w:ind w:left="440"/>
      </w:pPr>
      <w:hyperlink w:anchor="_Toc9133" w:history="1">
        <w:r>
          <w:rPr>
            <w:rFonts w:ascii="IRNazanin" w:hAnsi="IRNazanin" w:eastAsia="IRNazanin" w:cs="IRNazanin"/>
            <w:color w:val="111111"/>
            <w:sz w:val="22"/>
            <w:szCs w:val="22"/>
            <w:b w:val="0"/>
            <w:bCs w:val="0"/>
            <w:i w:val="0"/>
            <w:iCs w:val="0"/>
          </w:rPr>
          <w:t>7873- دیوان نوربخش خراسانی‏</w:t>
        </w:r>
        <w:r>
          <w:tab/>
        </w:r>
        <w:r>
          <w:fldChar w:fldCharType="begin"/>
        </w:r>
        <w:r>
          <w:instrText xml:space="preserve">PAGEREF 9133 \h</w:instrText>
        </w:r>
        <w:r>
          <w:fldChar w:fldCharType="end"/>
        </w:r>
      </w:hyperlink>
    </w:p>
    <w:p>
      <w:pPr>
        <w:tabs>
          <w:tab w:val="right" w:leader="dot" w:pos="9062"/>
        </w:tabs>
        <w:ind w:left="440"/>
      </w:pPr>
      <w:hyperlink w:anchor="_Toc9134" w:history="1">
        <w:r>
          <w:rPr>
            <w:rFonts w:ascii="IRNazanin" w:hAnsi="IRNazanin" w:eastAsia="IRNazanin" w:cs="IRNazanin"/>
            <w:color w:val="111111"/>
            <w:sz w:val="22"/>
            <w:szCs w:val="22"/>
            <w:b w:val="0"/>
            <w:bCs w:val="0"/>
            <w:i w:val="0"/>
            <w:iCs w:val="0"/>
          </w:rPr>
          <w:t>7874- دیوان نوربخش خراسانی‏</w:t>
        </w:r>
        <w:r>
          <w:tab/>
        </w:r>
        <w:r>
          <w:fldChar w:fldCharType="begin"/>
        </w:r>
        <w:r>
          <w:instrText xml:space="preserve">PAGEREF 9134 \h</w:instrText>
        </w:r>
        <w:r>
          <w:fldChar w:fldCharType="end"/>
        </w:r>
      </w:hyperlink>
    </w:p>
    <w:p>
      <w:pPr>
        <w:tabs>
          <w:tab w:val="right" w:leader="dot" w:pos="9062"/>
        </w:tabs>
        <w:ind w:left="440"/>
      </w:pPr>
      <w:hyperlink w:anchor="_Toc9135" w:history="1">
        <w:r>
          <w:rPr>
            <w:rFonts w:ascii="IRNazanin" w:hAnsi="IRNazanin" w:eastAsia="IRNazanin" w:cs="IRNazanin"/>
            <w:color w:val="111111"/>
            <w:sz w:val="22"/>
            <w:szCs w:val="22"/>
            <w:b w:val="0"/>
            <w:bCs w:val="0"/>
            <w:i w:val="0"/>
            <w:iCs w:val="0"/>
          </w:rPr>
          <w:t>7875- دیوان نوربخش خراسانی أو شعره‏</w:t>
        </w:r>
        <w:r>
          <w:tab/>
        </w:r>
        <w:r>
          <w:fldChar w:fldCharType="begin"/>
        </w:r>
        <w:r>
          <w:instrText xml:space="preserve">PAGEREF 9135 \h</w:instrText>
        </w:r>
        <w:r>
          <w:fldChar w:fldCharType="end"/>
        </w:r>
      </w:hyperlink>
    </w:p>
    <w:p>
      <w:pPr>
        <w:tabs>
          <w:tab w:val="right" w:leader="dot" w:pos="9062"/>
        </w:tabs>
        <w:ind w:left="440"/>
      </w:pPr>
      <w:hyperlink w:anchor="_Toc9136" w:history="1">
        <w:r>
          <w:rPr>
            <w:rFonts w:ascii="IRNazanin" w:hAnsi="IRNazanin" w:eastAsia="IRNazanin" w:cs="IRNazanin"/>
            <w:color w:val="111111"/>
            <w:sz w:val="22"/>
            <w:szCs w:val="22"/>
            <w:b w:val="0"/>
            <w:bCs w:val="0"/>
            <w:i w:val="0"/>
            <w:iCs w:val="0"/>
          </w:rPr>
          <w:t>دیوان نوربخش دهکردی‏</w:t>
        </w:r>
        <w:r>
          <w:tab/>
        </w:r>
        <w:r>
          <w:fldChar w:fldCharType="begin"/>
        </w:r>
        <w:r>
          <w:instrText xml:space="preserve">PAGEREF 9136 \h</w:instrText>
        </w:r>
        <w:r>
          <w:fldChar w:fldCharType="end"/>
        </w:r>
      </w:hyperlink>
    </w:p>
    <w:p>
      <w:pPr>
        <w:tabs>
          <w:tab w:val="right" w:leader="dot" w:pos="9062"/>
        </w:tabs>
        <w:ind w:left="440"/>
      </w:pPr>
      <w:hyperlink w:anchor="_Toc9137" w:history="1">
        <w:r>
          <w:rPr>
            <w:rFonts w:ascii="IRNazanin" w:hAnsi="IRNazanin" w:eastAsia="IRNazanin" w:cs="IRNazanin"/>
            <w:color w:val="111111"/>
            <w:sz w:val="22"/>
            <w:szCs w:val="22"/>
            <w:b w:val="0"/>
            <w:bCs w:val="0"/>
            <w:i w:val="0"/>
            <w:iCs w:val="0"/>
          </w:rPr>
          <w:t>7876- دیوان نوربخشی أو شعره‏</w:t>
        </w:r>
        <w:r>
          <w:tab/>
        </w:r>
        <w:r>
          <w:fldChar w:fldCharType="begin"/>
        </w:r>
        <w:r>
          <w:instrText xml:space="preserve">PAGEREF 9137 \h</w:instrText>
        </w:r>
        <w:r>
          <w:fldChar w:fldCharType="end"/>
        </w:r>
      </w:hyperlink>
    </w:p>
    <w:p>
      <w:pPr>
        <w:tabs>
          <w:tab w:val="right" w:leader="dot" w:pos="9062"/>
        </w:tabs>
        <w:ind w:left="440"/>
      </w:pPr>
      <w:hyperlink w:anchor="_Toc9138" w:history="1">
        <w:r>
          <w:rPr>
            <w:rFonts w:ascii="IRNazanin" w:hAnsi="IRNazanin" w:eastAsia="IRNazanin" w:cs="IRNazanin"/>
            <w:color w:val="111111"/>
            <w:sz w:val="22"/>
            <w:szCs w:val="22"/>
            <w:b w:val="0"/>
            <w:bCs w:val="0"/>
            <w:i w:val="0"/>
            <w:iCs w:val="0"/>
          </w:rPr>
          <w:t>7877- دیوان نور بنگاله‏ای أو شعره‏</w:t>
        </w:r>
        <w:r>
          <w:tab/>
        </w:r>
        <w:r>
          <w:fldChar w:fldCharType="begin"/>
        </w:r>
        <w:r>
          <w:instrText xml:space="preserve">PAGEREF 9138 \h</w:instrText>
        </w:r>
        <w:r>
          <w:fldChar w:fldCharType="end"/>
        </w:r>
      </w:hyperlink>
    </w:p>
    <w:p>
      <w:pPr>
        <w:tabs>
          <w:tab w:val="right" w:leader="dot" w:pos="9062"/>
        </w:tabs>
        <w:ind w:left="440"/>
      </w:pPr>
      <w:hyperlink w:anchor="_Toc9139" w:history="1">
        <w:r>
          <w:rPr>
            <w:rFonts w:ascii="IRNazanin" w:hAnsi="IRNazanin" w:eastAsia="IRNazanin" w:cs="IRNazanin"/>
            <w:color w:val="111111"/>
            <w:sz w:val="22"/>
            <w:szCs w:val="22"/>
            <w:b w:val="0"/>
            <w:bCs w:val="0"/>
            <w:i w:val="0"/>
            <w:iCs w:val="0"/>
          </w:rPr>
          <w:t>دیوان نورجهان‏</w:t>
        </w:r>
        <w:r>
          <w:tab/>
        </w:r>
        <w:r>
          <w:fldChar w:fldCharType="begin"/>
        </w:r>
        <w:r>
          <w:instrText xml:space="preserve">PAGEREF 9139 \h</w:instrText>
        </w:r>
        <w:r>
          <w:fldChar w:fldCharType="end"/>
        </w:r>
      </w:hyperlink>
    </w:p>
    <w:p>
      <w:pPr>
        <w:tabs>
          <w:tab w:val="right" w:leader="dot" w:pos="9062"/>
        </w:tabs>
        <w:ind w:left="440"/>
      </w:pPr>
      <w:hyperlink w:anchor="_Toc9140" w:history="1">
        <w:r>
          <w:rPr>
            <w:rFonts w:ascii="IRNazanin" w:hAnsi="IRNazanin" w:eastAsia="IRNazanin" w:cs="IRNazanin"/>
            <w:color w:val="111111"/>
            <w:sz w:val="22"/>
            <w:szCs w:val="22"/>
            <w:b w:val="0"/>
            <w:bCs w:val="0"/>
            <w:i w:val="0"/>
            <w:iCs w:val="0"/>
          </w:rPr>
          <w:t>7878- دیوان نور خراسانی أو شعره‏</w:t>
        </w:r>
        <w:r>
          <w:tab/>
        </w:r>
        <w:r>
          <w:fldChar w:fldCharType="begin"/>
        </w:r>
        <w:r>
          <w:instrText xml:space="preserve">PAGEREF 9140 \h</w:instrText>
        </w:r>
        <w:r>
          <w:fldChar w:fldCharType="end"/>
        </w:r>
      </w:hyperlink>
    </w:p>
    <w:p>
      <w:pPr>
        <w:tabs>
          <w:tab w:val="right" w:leader="dot" w:pos="9062"/>
        </w:tabs>
        <w:ind w:left="440"/>
      </w:pPr>
      <w:hyperlink w:anchor="_Toc9141" w:history="1">
        <w:r>
          <w:rPr>
            <w:rFonts w:ascii="IRNazanin" w:hAnsi="IRNazanin" w:eastAsia="IRNazanin" w:cs="IRNazanin"/>
            <w:color w:val="111111"/>
            <w:sz w:val="22"/>
            <w:szCs w:val="22"/>
            <w:b w:val="0"/>
            <w:bCs w:val="0"/>
            <w:i w:val="0"/>
            <w:iCs w:val="0"/>
          </w:rPr>
          <w:t>7879- دیوان نور دهلوی أو شعره‏</w:t>
        </w:r>
        <w:r>
          <w:tab/>
        </w:r>
        <w:r>
          <w:fldChar w:fldCharType="begin"/>
        </w:r>
        <w:r>
          <w:instrText xml:space="preserve">PAGEREF 9141 \h</w:instrText>
        </w:r>
        <w:r>
          <w:fldChar w:fldCharType="end"/>
        </w:r>
      </w:hyperlink>
    </w:p>
    <w:p>
      <w:pPr>
        <w:tabs>
          <w:tab w:val="right" w:leader="dot" w:pos="9062"/>
        </w:tabs>
        <w:ind w:left="440"/>
      </w:pPr>
      <w:hyperlink w:anchor="_Toc9142" w:history="1">
        <w:r>
          <w:rPr>
            <w:rFonts w:ascii="IRNazanin" w:hAnsi="IRNazanin" w:eastAsia="IRNazanin" w:cs="IRNazanin"/>
            <w:color w:val="111111"/>
            <w:sz w:val="22"/>
            <w:szCs w:val="22"/>
            <w:b w:val="0"/>
            <w:bCs w:val="0"/>
            <w:i w:val="0"/>
            <w:iCs w:val="0"/>
          </w:rPr>
          <w:t>دیوان نور الدین‏</w:t>
        </w:r>
        <w:r>
          <w:tab/>
        </w:r>
        <w:r>
          <w:fldChar w:fldCharType="begin"/>
        </w:r>
        <w:r>
          <w:instrText xml:space="preserve">PAGEREF 9142 \h</w:instrText>
        </w:r>
        <w:r>
          <w:fldChar w:fldCharType="end"/>
        </w:r>
      </w:hyperlink>
    </w:p>
    <w:p>
      <w:pPr>
        <w:tabs>
          <w:tab w:val="right" w:leader="dot" w:pos="9062"/>
        </w:tabs>
        <w:ind w:left="440"/>
      </w:pPr>
      <w:hyperlink w:anchor="_Toc9143" w:history="1">
        <w:r>
          <w:rPr>
            <w:rFonts w:ascii="IRNazanin" w:hAnsi="IRNazanin" w:eastAsia="IRNazanin" w:cs="IRNazanin"/>
            <w:color w:val="111111"/>
            <w:sz w:val="22"/>
            <w:szCs w:val="22"/>
            <w:b w:val="0"/>
            <w:bCs w:val="0"/>
            <w:i w:val="0"/>
            <w:iCs w:val="0"/>
          </w:rPr>
          <w:t>7880- دیوان نور الدین مشعشعی‏</w:t>
        </w:r>
        <w:r>
          <w:tab/>
        </w:r>
        <w:r>
          <w:fldChar w:fldCharType="begin"/>
        </w:r>
        <w:r>
          <w:instrText xml:space="preserve">PAGEREF 9143 \h</w:instrText>
        </w:r>
        <w:r>
          <w:fldChar w:fldCharType="end"/>
        </w:r>
      </w:hyperlink>
    </w:p>
    <w:p>
      <w:pPr>
        <w:tabs>
          <w:tab w:val="right" w:leader="dot" w:pos="9062"/>
        </w:tabs>
        <w:ind w:left="440"/>
      </w:pPr>
      <w:hyperlink w:anchor="_Toc9144" w:history="1">
        <w:r>
          <w:rPr>
            <w:rFonts w:ascii="IRNazanin" w:hAnsi="IRNazanin" w:eastAsia="IRNazanin" w:cs="IRNazanin"/>
            <w:color w:val="111111"/>
            <w:sz w:val="22"/>
            <w:szCs w:val="22"/>
            <w:b w:val="0"/>
            <w:bCs w:val="0"/>
            <w:i w:val="0"/>
            <w:iCs w:val="0"/>
          </w:rPr>
          <w:t>7881- دیوان نور الدین العاملی‏</w:t>
        </w:r>
        <w:r>
          <w:tab/>
        </w:r>
        <w:r>
          <w:fldChar w:fldCharType="begin"/>
        </w:r>
        <w:r>
          <w:instrText xml:space="preserve">PAGEREF 9144 \h</w:instrText>
        </w:r>
        <w:r>
          <w:fldChar w:fldCharType="end"/>
        </w:r>
      </w:hyperlink>
    </w:p>
    <w:p>
      <w:pPr>
        <w:tabs>
          <w:tab w:val="right" w:leader="dot" w:pos="9062"/>
        </w:tabs>
        <w:ind w:left="440"/>
      </w:pPr>
      <w:hyperlink w:anchor="_Toc9145" w:history="1">
        <w:r>
          <w:rPr>
            <w:rFonts w:ascii="IRNazanin" w:hAnsi="IRNazanin" w:eastAsia="IRNazanin" w:cs="IRNazanin"/>
            <w:color w:val="111111"/>
            <w:sz w:val="22"/>
            <w:szCs w:val="22"/>
            <w:b w:val="0"/>
            <w:bCs w:val="0"/>
            <w:i w:val="0"/>
            <w:iCs w:val="0"/>
          </w:rPr>
          <w:t>7882- دیوان نور الدین محمد الزیدری‏</w:t>
        </w:r>
        <w:r>
          <w:tab/>
        </w:r>
        <w:r>
          <w:fldChar w:fldCharType="begin"/>
        </w:r>
        <w:r>
          <w:instrText xml:space="preserve">PAGEREF 9145 \h</w:instrText>
        </w:r>
        <w:r>
          <w:fldChar w:fldCharType="end"/>
        </w:r>
      </w:hyperlink>
    </w:p>
    <w:p>
      <w:pPr>
        <w:tabs>
          <w:tab w:val="right" w:leader="dot" w:pos="9062"/>
        </w:tabs>
        <w:ind w:left="440"/>
      </w:pPr>
      <w:hyperlink w:anchor="_Toc9146" w:history="1">
        <w:r>
          <w:rPr>
            <w:rFonts w:ascii="IRNazanin" w:hAnsi="IRNazanin" w:eastAsia="IRNazanin" w:cs="IRNazanin"/>
            <w:color w:val="111111"/>
            <w:sz w:val="22"/>
            <w:szCs w:val="22"/>
            <w:b w:val="0"/>
            <w:bCs w:val="0"/>
            <w:i w:val="0"/>
            <w:iCs w:val="0"/>
          </w:rPr>
          <w:t>7883- دیوان نور رازی أو شعره‏</w:t>
        </w:r>
        <w:r>
          <w:tab/>
        </w:r>
        <w:r>
          <w:fldChar w:fldCharType="begin"/>
        </w:r>
        <w:r>
          <w:instrText xml:space="preserve">PAGEREF 9146 \h</w:instrText>
        </w:r>
        <w:r>
          <w:fldChar w:fldCharType="end"/>
        </w:r>
      </w:hyperlink>
    </w:p>
    <w:p>
      <w:pPr>
        <w:tabs>
          <w:tab w:val="right" w:leader="dot" w:pos="9062"/>
        </w:tabs>
        <w:ind w:left="440"/>
      </w:pPr>
      <w:hyperlink w:anchor="_Toc9147" w:history="1">
        <w:r>
          <w:rPr>
            <w:rFonts w:ascii="IRNazanin" w:hAnsi="IRNazanin" w:eastAsia="IRNazanin" w:cs="IRNazanin"/>
            <w:color w:val="111111"/>
            <w:sz w:val="22"/>
            <w:szCs w:val="22"/>
            <w:b w:val="0"/>
            <w:bCs w:val="0"/>
            <w:i w:val="0"/>
            <w:iCs w:val="0"/>
          </w:rPr>
          <w:t>دیوان نور رویدشتی‏</w:t>
        </w:r>
        <w:r>
          <w:tab/>
        </w:r>
        <w:r>
          <w:fldChar w:fldCharType="begin"/>
        </w:r>
        <w:r>
          <w:instrText xml:space="preserve">PAGEREF 9147 \h</w:instrText>
        </w:r>
        <w:r>
          <w:fldChar w:fldCharType="end"/>
        </w:r>
      </w:hyperlink>
    </w:p>
    <w:p>
      <w:pPr>
        <w:tabs>
          <w:tab w:val="right" w:leader="dot" w:pos="9062"/>
        </w:tabs>
        <w:ind w:left="440"/>
      </w:pPr>
      <w:hyperlink w:anchor="_Toc9148" w:history="1">
        <w:r>
          <w:rPr>
            <w:rFonts w:ascii="IRNazanin" w:hAnsi="IRNazanin" w:eastAsia="IRNazanin" w:cs="IRNazanin"/>
            <w:color w:val="111111"/>
            <w:sz w:val="22"/>
            <w:szCs w:val="22"/>
            <w:b w:val="0"/>
            <w:bCs w:val="0"/>
            <w:i w:val="0"/>
            <w:iCs w:val="0"/>
          </w:rPr>
          <w:t>دیوان نور ساوجی أو شعره‏</w:t>
        </w:r>
        <w:r>
          <w:tab/>
        </w:r>
        <w:r>
          <w:fldChar w:fldCharType="begin"/>
        </w:r>
        <w:r>
          <w:instrText xml:space="preserve">PAGEREF 9148 \h</w:instrText>
        </w:r>
        <w:r>
          <w:fldChar w:fldCharType="end"/>
        </w:r>
      </w:hyperlink>
    </w:p>
    <w:p>
      <w:pPr>
        <w:tabs>
          <w:tab w:val="right" w:leader="dot" w:pos="9062"/>
        </w:tabs>
        <w:ind w:left="440"/>
      </w:pPr>
      <w:hyperlink w:anchor="_Toc9149" w:history="1">
        <w:r>
          <w:rPr>
            <w:rFonts w:ascii="IRNazanin" w:hAnsi="IRNazanin" w:eastAsia="IRNazanin" w:cs="IRNazanin"/>
            <w:color w:val="111111"/>
            <w:sz w:val="22"/>
            <w:szCs w:val="22"/>
            <w:b w:val="0"/>
            <w:bCs w:val="0"/>
            <w:i w:val="0"/>
            <w:iCs w:val="0"/>
          </w:rPr>
          <w:t>7884- دیوان نورس دماوندی أو شعره‏</w:t>
        </w:r>
        <w:r>
          <w:tab/>
        </w:r>
        <w:r>
          <w:fldChar w:fldCharType="begin"/>
        </w:r>
        <w:r>
          <w:instrText xml:space="preserve">PAGEREF 9149 \h</w:instrText>
        </w:r>
        <w:r>
          <w:fldChar w:fldCharType="end"/>
        </w:r>
      </w:hyperlink>
    </w:p>
    <w:p>
      <w:pPr>
        <w:tabs>
          <w:tab w:val="right" w:leader="dot" w:pos="9062"/>
        </w:tabs>
        <w:ind w:left="440"/>
      </w:pPr>
      <w:hyperlink w:anchor="_Toc9150" w:history="1">
        <w:r>
          <w:rPr>
            <w:rFonts w:ascii="IRNazanin" w:hAnsi="IRNazanin" w:eastAsia="IRNazanin" w:cs="IRNazanin"/>
            <w:color w:val="111111"/>
            <w:sz w:val="22"/>
            <w:szCs w:val="22"/>
            <w:b w:val="0"/>
            <w:bCs w:val="0"/>
            <w:i w:val="0"/>
            <w:iCs w:val="0"/>
          </w:rPr>
          <w:t>7885- دیوان نورس قزوینی أو شعره‏</w:t>
        </w:r>
        <w:r>
          <w:tab/>
        </w:r>
        <w:r>
          <w:fldChar w:fldCharType="begin"/>
        </w:r>
        <w:r>
          <w:instrText xml:space="preserve">PAGEREF 9150 \h</w:instrText>
        </w:r>
        <w:r>
          <w:fldChar w:fldCharType="end"/>
        </w:r>
      </w:hyperlink>
    </w:p>
    <w:p>
      <w:pPr>
        <w:tabs>
          <w:tab w:val="right" w:leader="dot" w:pos="9062"/>
        </w:tabs>
        <w:ind w:left="440"/>
      </w:pPr>
      <w:hyperlink w:anchor="_Toc9151" w:history="1">
        <w:r>
          <w:rPr>
            <w:rFonts w:ascii="IRNazanin" w:hAnsi="IRNazanin" w:eastAsia="IRNazanin" w:cs="IRNazanin"/>
            <w:color w:val="111111"/>
            <w:sz w:val="22"/>
            <w:szCs w:val="22"/>
            <w:b w:val="0"/>
            <w:bCs w:val="0"/>
            <w:i w:val="0"/>
            <w:iCs w:val="0"/>
          </w:rPr>
          <w:t>7886- دیوان نور علی شاه‏</w:t>
        </w:r>
        <w:r>
          <w:tab/>
        </w:r>
        <w:r>
          <w:fldChar w:fldCharType="begin"/>
        </w:r>
        <w:r>
          <w:instrText xml:space="preserve">PAGEREF 9151 \h</w:instrText>
        </w:r>
        <w:r>
          <w:fldChar w:fldCharType="end"/>
        </w:r>
      </w:hyperlink>
    </w:p>
    <w:p>
      <w:pPr>
        <w:tabs>
          <w:tab w:val="right" w:leader="dot" w:pos="9062"/>
        </w:tabs>
        <w:ind w:left="440"/>
      </w:pPr>
      <w:hyperlink w:anchor="_Toc9152" w:history="1">
        <w:r>
          <w:rPr>
            <w:rFonts w:ascii="IRNazanin" w:hAnsi="IRNazanin" w:eastAsia="IRNazanin" w:cs="IRNazanin"/>
            <w:color w:val="111111"/>
            <w:sz w:val="22"/>
            <w:szCs w:val="22"/>
            <w:b w:val="0"/>
            <w:bCs w:val="0"/>
            <w:i w:val="0"/>
            <w:iCs w:val="0"/>
          </w:rPr>
          <w:t>7887- دیوان نور قزوینی أو شعره‏</w:t>
        </w:r>
        <w:r>
          <w:tab/>
        </w:r>
        <w:r>
          <w:fldChar w:fldCharType="begin"/>
        </w:r>
        <w:r>
          <w:instrText xml:space="preserve">PAGEREF 9152 \h</w:instrText>
        </w:r>
        <w:r>
          <w:fldChar w:fldCharType="end"/>
        </w:r>
      </w:hyperlink>
    </w:p>
    <w:p>
      <w:pPr>
        <w:tabs>
          <w:tab w:val="right" w:leader="dot" w:pos="9062"/>
        </w:tabs>
        <w:ind w:left="440"/>
      </w:pPr>
      <w:hyperlink w:anchor="_Toc9153" w:history="1">
        <w:r>
          <w:rPr>
            <w:rFonts w:ascii="IRNazanin" w:hAnsi="IRNazanin" w:eastAsia="IRNazanin" w:cs="IRNazanin"/>
            <w:color w:val="111111"/>
            <w:sz w:val="22"/>
            <w:szCs w:val="22"/>
            <w:b w:val="0"/>
            <w:bCs w:val="0"/>
            <w:i w:val="0"/>
            <w:iCs w:val="0"/>
          </w:rPr>
          <w:t>7888- دیوان نور قنوجی أو شعره‏</w:t>
        </w:r>
        <w:r>
          <w:tab/>
        </w:r>
        <w:r>
          <w:fldChar w:fldCharType="begin"/>
        </w:r>
        <w:r>
          <w:instrText xml:space="preserve">PAGEREF 9153 \h</w:instrText>
        </w:r>
        <w:r>
          <w:fldChar w:fldCharType="end"/>
        </w:r>
      </w:hyperlink>
    </w:p>
    <w:p>
      <w:pPr>
        <w:tabs>
          <w:tab w:val="right" w:leader="dot" w:pos="9062"/>
        </w:tabs>
        <w:ind w:left="440"/>
      </w:pPr>
      <w:hyperlink w:anchor="_Toc9154" w:history="1">
        <w:r>
          <w:rPr>
            <w:rFonts w:ascii="IRNazanin" w:hAnsi="IRNazanin" w:eastAsia="IRNazanin" w:cs="IRNazanin"/>
            <w:color w:val="111111"/>
            <w:sz w:val="22"/>
            <w:szCs w:val="22"/>
            <w:b w:val="0"/>
            <w:bCs w:val="0"/>
            <w:i w:val="0"/>
            <w:iCs w:val="0"/>
          </w:rPr>
          <w:t>دیوان نور کاشانی‏</w:t>
        </w:r>
        <w:r>
          <w:tab/>
        </w:r>
        <w:r>
          <w:fldChar w:fldCharType="begin"/>
        </w:r>
        <w:r>
          <w:instrText xml:space="preserve">PAGEREF 9154 \h</w:instrText>
        </w:r>
        <w:r>
          <w:fldChar w:fldCharType="end"/>
        </w:r>
      </w:hyperlink>
    </w:p>
    <w:p>
      <w:pPr>
        <w:tabs>
          <w:tab w:val="right" w:leader="dot" w:pos="9062"/>
        </w:tabs>
        <w:ind w:left="440"/>
      </w:pPr>
      <w:hyperlink w:anchor="_Toc9155" w:history="1">
        <w:r>
          <w:rPr>
            <w:rFonts w:ascii="IRNazanin" w:hAnsi="IRNazanin" w:eastAsia="IRNazanin" w:cs="IRNazanin"/>
            <w:color w:val="111111"/>
            <w:sz w:val="22"/>
            <w:szCs w:val="22"/>
            <w:b w:val="0"/>
            <w:bCs w:val="0"/>
            <w:i w:val="0"/>
            <w:iCs w:val="0"/>
          </w:rPr>
          <w:t>7889- دیوان نور گیلانی أو شعره‏</w:t>
        </w:r>
        <w:r>
          <w:tab/>
        </w:r>
        <w:r>
          <w:fldChar w:fldCharType="begin"/>
        </w:r>
        <w:r>
          <w:instrText xml:space="preserve">PAGEREF 9155 \h</w:instrText>
        </w:r>
        <w:r>
          <w:fldChar w:fldCharType="end"/>
        </w:r>
      </w:hyperlink>
    </w:p>
    <w:p>
      <w:pPr>
        <w:tabs>
          <w:tab w:val="right" w:leader="dot" w:pos="9062"/>
        </w:tabs>
        <w:ind w:left="440"/>
      </w:pPr>
      <w:hyperlink w:anchor="_Toc9156" w:history="1">
        <w:r>
          <w:rPr>
            <w:rFonts w:ascii="IRNazanin" w:hAnsi="IRNazanin" w:eastAsia="IRNazanin" w:cs="IRNazanin"/>
            <w:color w:val="111111"/>
            <w:sz w:val="22"/>
            <w:szCs w:val="22"/>
            <w:b w:val="0"/>
            <w:bCs w:val="0"/>
            <w:i w:val="0"/>
            <w:iCs w:val="0"/>
          </w:rPr>
          <w:t>7890- دیوان میرزا نور الله رویدشتی‏</w:t>
        </w:r>
        <w:r>
          <w:tab/>
        </w:r>
        <w:r>
          <w:fldChar w:fldCharType="begin"/>
        </w:r>
        <w:r>
          <w:instrText xml:space="preserve">PAGEREF 9156 \h</w:instrText>
        </w:r>
        <w:r>
          <w:fldChar w:fldCharType="end"/>
        </w:r>
      </w:hyperlink>
    </w:p>
    <w:p>
      <w:pPr>
        <w:tabs>
          <w:tab w:val="right" w:leader="dot" w:pos="9062"/>
        </w:tabs>
        <w:ind w:left="440"/>
      </w:pPr>
      <w:hyperlink w:anchor="_Toc9157" w:history="1">
        <w:r>
          <w:rPr>
            <w:rFonts w:ascii="IRNazanin" w:hAnsi="IRNazanin" w:eastAsia="IRNazanin" w:cs="IRNazanin"/>
            <w:color w:val="111111"/>
            <w:sz w:val="22"/>
            <w:szCs w:val="22"/>
            <w:b w:val="0"/>
            <w:bCs w:val="0"/>
            <w:i w:val="0"/>
            <w:iCs w:val="0"/>
          </w:rPr>
          <w:t>دیوان نور الله شوشتری‏</w:t>
        </w:r>
        <w:r>
          <w:tab/>
        </w:r>
        <w:r>
          <w:fldChar w:fldCharType="begin"/>
        </w:r>
        <w:r>
          <w:instrText xml:space="preserve">PAGEREF 9157 \h</w:instrText>
        </w:r>
        <w:r>
          <w:fldChar w:fldCharType="end"/>
        </w:r>
      </w:hyperlink>
    </w:p>
    <w:p>
      <w:pPr>
        <w:tabs>
          <w:tab w:val="right" w:leader="dot" w:pos="9062"/>
        </w:tabs>
        <w:ind w:left="440"/>
      </w:pPr>
      <w:hyperlink w:anchor="_Toc9158" w:history="1">
        <w:r>
          <w:rPr>
            <w:rFonts w:ascii="IRNazanin" w:hAnsi="IRNazanin" w:eastAsia="IRNazanin" w:cs="IRNazanin"/>
            <w:color w:val="111111"/>
            <w:sz w:val="22"/>
            <w:szCs w:val="22"/>
            <w:b w:val="0"/>
            <w:bCs w:val="0"/>
            <w:i w:val="0"/>
            <w:iCs w:val="0"/>
          </w:rPr>
          <w:t>7891- دیوان نور الله قهستانی‏</w:t>
        </w:r>
        <w:r>
          <w:tab/>
        </w:r>
        <w:r>
          <w:fldChar w:fldCharType="begin"/>
        </w:r>
        <w:r>
          <w:instrText xml:space="preserve">PAGEREF 9158 \h</w:instrText>
        </w:r>
        <w:r>
          <w:fldChar w:fldCharType="end"/>
        </w:r>
      </w:hyperlink>
    </w:p>
    <w:p>
      <w:pPr>
        <w:tabs>
          <w:tab w:val="right" w:leader="dot" w:pos="9062"/>
        </w:tabs>
        <w:ind w:left="440"/>
      </w:pPr>
      <w:hyperlink w:anchor="_Toc9159" w:history="1">
        <w:r>
          <w:rPr>
            <w:rFonts w:ascii="IRNazanin" w:hAnsi="IRNazanin" w:eastAsia="IRNazanin" w:cs="IRNazanin"/>
            <w:color w:val="111111"/>
            <w:sz w:val="22"/>
            <w:szCs w:val="22"/>
            <w:b w:val="0"/>
            <w:bCs w:val="0"/>
            <w:i w:val="0"/>
            <w:iCs w:val="0"/>
          </w:rPr>
          <w:t>7892- دیوان نور الله هروی أو شعره‏</w:t>
        </w:r>
        <w:r>
          <w:tab/>
        </w:r>
        <w:r>
          <w:fldChar w:fldCharType="begin"/>
        </w:r>
        <w:r>
          <w:instrText xml:space="preserve">PAGEREF 9159 \h</w:instrText>
        </w:r>
        <w:r>
          <w:fldChar w:fldCharType="end"/>
        </w:r>
      </w:hyperlink>
    </w:p>
    <w:p>
      <w:pPr>
        <w:tabs>
          <w:tab w:val="right" w:leader="dot" w:pos="9062"/>
        </w:tabs>
        <w:ind w:left="440"/>
      </w:pPr>
      <w:hyperlink w:anchor="_Toc9160" w:history="1">
        <w:r>
          <w:rPr>
            <w:rFonts w:ascii="IRNazanin" w:hAnsi="IRNazanin" w:eastAsia="IRNazanin" w:cs="IRNazanin"/>
            <w:color w:val="111111"/>
            <w:sz w:val="22"/>
            <w:szCs w:val="22"/>
            <w:b w:val="0"/>
            <w:bCs w:val="0"/>
            <w:i w:val="0"/>
            <w:iCs w:val="0"/>
          </w:rPr>
          <w:t>7893- دیوان نور مرادآبادی أو شعره‏</w:t>
        </w:r>
        <w:r>
          <w:tab/>
        </w:r>
        <w:r>
          <w:fldChar w:fldCharType="begin"/>
        </w:r>
        <w:r>
          <w:instrText xml:space="preserve">PAGEREF 9160 \h</w:instrText>
        </w:r>
        <w:r>
          <w:fldChar w:fldCharType="end"/>
        </w:r>
      </w:hyperlink>
    </w:p>
    <w:p>
      <w:pPr>
        <w:tabs>
          <w:tab w:val="right" w:leader="dot" w:pos="9062"/>
        </w:tabs>
        <w:ind w:left="440"/>
      </w:pPr>
      <w:hyperlink w:anchor="_Toc9161" w:history="1">
        <w:r>
          <w:rPr>
            <w:rFonts w:ascii="IRNazanin" w:hAnsi="IRNazanin" w:eastAsia="IRNazanin" w:cs="IRNazanin"/>
            <w:color w:val="111111"/>
            <w:sz w:val="22"/>
            <w:szCs w:val="22"/>
            <w:b w:val="0"/>
            <w:bCs w:val="0"/>
            <w:i w:val="0"/>
            <w:iCs w:val="0"/>
          </w:rPr>
          <w:t>7894- دیوان نوروز علی شاملو أو شعره‏</w:t>
        </w:r>
        <w:r>
          <w:tab/>
        </w:r>
        <w:r>
          <w:fldChar w:fldCharType="begin"/>
        </w:r>
        <w:r>
          <w:instrText xml:space="preserve">PAGEREF 9161 \h</w:instrText>
        </w:r>
        <w:r>
          <w:fldChar w:fldCharType="end"/>
        </w:r>
      </w:hyperlink>
    </w:p>
    <w:p>
      <w:pPr>
        <w:tabs>
          <w:tab w:val="right" w:leader="dot" w:pos="9062"/>
        </w:tabs>
        <w:ind w:left="440"/>
      </w:pPr>
      <w:hyperlink w:anchor="_Toc9162" w:history="1">
        <w:r>
          <w:rPr>
            <w:rFonts w:ascii="IRNazanin" w:hAnsi="IRNazanin" w:eastAsia="IRNazanin" w:cs="IRNazanin"/>
            <w:color w:val="111111"/>
            <w:sz w:val="22"/>
            <w:szCs w:val="22"/>
            <w:b w:val="0"/>
            <w:bCs w:val="0"/>
            <w:i w:val="0"/>
            <w:iCs w:val="0"/>
          </w:rPr>
          <w:t>دیوان نور هروی‏</w:t>
        </w:r>
        <w:r>
          <w:tab/>
        </w:r>
        <w:r>
          <w:fldChar w:fldCharType="begin"/>
        </w:r>
        <w:r>
          <w:instrText xml:space="preserve">PAGEREF 9162 \h</w:instrText>
        </w:r>
        <w:r>
          <w:fldChar w:fldCharType="end"/>
        </w:r>
      </w:hyperlink>
    </w:p>
    <w:p>
      <w:pPr>
        <w:tabs>
          <w:tab w:val="right" w:leader="dot" w:pos="9062"/>
        </w:tabs>
        <w:ind w:left="440"/>
      </w:pPr>
      <w:hyperlink w:anchor="_Toc9163" w:history="1">
        <w:r>
          <w:rPr>
            <w:rFonts w:ascii="IRNazanin" w:hAnsi="IRNazanin" w:eastAsia="IRNazanin" w:cs="IRNazanin"/>
            <w:color w:val="111111"/>
            <w:sz w:val="22"/>
            <w:szCs w:val="22"/>
            <w:b w:val="0"/>
            <w:bCs w:val="0"/>
            <w:i w:val="0"/>
            <w:iCs w:val="0"/>
          </w:rPr>
          <w:t>7895- دیوان نور هروی أو شعره‏</w:t>
        </w:r>
        <w:r>
          <w:tab/>
        </w:r>
        <w:r>
          <w:fldChar w:fldCharType="begin"/>
        </w:r>
        <w:r>
          <w:instrText xml:space="preserve">PAGEREF 9163 \h</w:instrText>
        </w:r>
        <w:r>
          <w:fldChar w:fldCharType="end"/>
        </w:r>
      </w:hyperlink>
    </w:p>
    <w:p>
      <w:pPr>
        <w:tabs>
          <w:tab w:val="right" w:leader="dot" w:pos="9062"/>
        </w:tabs>
        <w:ind w:left="440"/>
      </w:pPr>
      <w:hyperlink w:anchor="_Toc9164" w:history="1">
        <w:r>
          <w:rPr>
            <w:rFonts w:ascii="IRNazanin" w:hAnsi="IRNazanin" w:eastAsia="IRNazanin" w:cs="IRNazanin"/>
            <w:color w:val="111111"/>
            <w:sz w:val="22"/>
            <w:szCs w:val="22"/>
            <w:b w:val="0"/>
            <w:bCs w:val="0"/>
            <w:i w:val="0"/>
            <w:iCs w:val="0"/>
          </w:rPr>
          <w:t>7896- دیوان نور یزدی أو شعره‏</w:t>
        </w:r>
        <w:r>
          <w:tab/>
        </w:r>
        <w:r>
          <w:fldChar w:fldCharType="begin"/>
        </w:r>
        <w:r>
          <w:instrText xml:space="preserve">PAGEREF 9164 \h</w:instrText>
        </w:r>
        <w:r>
          <w:fldChar w:fldCharType="end"/>
        </w:r>
      </w:hyperlink>
    </w:p>
    <w:p>
      <w:pPr>
        <w:tabs>
          <w:tab w:val="right" w:leader="dot" w:pos="9062"/>
        </w:tabs>
        <w:ind w:left="440"/>
      </w:pPr>
      <w:hyperlink w:anchor="_Toc9165" w:history="1">
        <w:r>
          <w:rPr>
            <w:rFonts w:ascii="IRNazanin" w:hAnsi="IRNazanin" w:eastAsia="IRNazanin" w:cs="IRNazanin"/>
            <w:color w:val="111111"/>
            <w:sz w:val="22"/>
            <w:szCs w:val="22"/>
            <w:b w:val="0"/>
            <w:bCs w:val="0"/>
            <w:i w:val="0"/>
            <w:iCs w:val="0"/>
          </w:rPr>
          <w:t>7897- دیوان نوری‏</w:t>
        </w:r>
        <w:r>
          <w:tab/>
        </w:r>
        <w:r>
          <w:fldChar w:fldCharType="begin"/>
        </w:r>
        <w:r>
          <w:instrText xml:space="preserve">PAGEREF 9165 \h</w:instrText>
        </w:r>
        <w:r>
          <w:fldChar w:fldCharType="end"/>
        </w:r>
      </w:hyperlink>
    </w:p>
    <w:p>
      <w:pPr>
        <w:tabs>
          <w:tab w:val="right" w:leader="dot" w:pos="9062"/>
        </w:tabs>
        <w:ind w:left="440"/>
      </w:pPr>
      <w:hyperlink w:anchor="_Toc9166" w:history="1">
        <w:r>
          <w:rPr>
            <w:rFonts w:ascii="IRNazanin" w:hAnsi="IRNazanin" w:eastAsia="IRNazanin" w:cs="IRNazanin"/>
            <w:color w:val="111111"/>
            <w:sz w:val="22"/>
            <w:szCs w:val="22"/>
            <w:b w:val="0"/>
            <w:bCs w:val="0"/>
            <w:i w:val="0"/>
            <w:iCs w:val="0"/>
          </w:rPr>
          <w:t>7898- دیوان نوری أردبیلی أو شعره‏</w:t>
        </w:r>
        <w:r>
          <w:tab/>
        </w:r>
        <w:r>
          <w:fldChar w:fldCharType="begin"/>
        </w:r>
        <w:r>
          <w:instrText xml:space="preserve">PAGEREF 9166 \h</w:instrText>
        </w:r>
        <w:r>
          <w:fldChar w:fldCharType="end"/>
        </w:r>
      </w:hyperlink>
    </w:p>
    <w:p>
      <w:pPr>
        <w:tabs>
          <w:tab w:val="right" w:leader="dot" w:pos="9062"/>
        </w:tabs>
        <w:ind w:left="440"/>
      </w:pPr>
      <w:hyperlink w:anchor="_Toc9167" w:history="1">
        <w:r>
          <w:rPr>
            <w:rFonts w:ascii="IRNazanin" w:hAnsi="IRNazanin" w:eastAsia="IRNazanin" w:cs="IRNazanin"/>
            <w:color w:val="111111"/>
            <w:sz w:val="22"/>
            <w:szCs w:val="22"/>
            <w:b w:val="0"/>
            <w:bCs w:val="0"/>
            <w:i w:val="0"/>
            <w:iCs w:val="0"/>
          </w:rPr>
          <w:t>دیوان نوری إسفیدنی أو شعره‏</w:t>
        </w:r>
        <w:r>
          <w:tab/>
        </w:r>
        <w:r>
          <w:fldChar w:fldCharType="begin"/>
        </w:r>
        <w:r>
          <w:instrText xml:space="preserve">PAGEREF 9167 \h</w:instrText>
        </w:r>
        <w:r>
          <w:fldChar w:fldCharType="end"/>
        </w:r>
      </w:hyperlink>
    </w:p>
    <w:p>
      <w:pPr>
        <w:tabs>
          <w:tab w:val="right" w:leader="dot" w:pos="9062"/>
        </w:tabs>
        <w:ind w:left="440"/>
      </w:pPr>
      <w:hyperlink w:anchor="_Toc9168" w:history="1">
        <w:r>
          <w:rPr>
            <w:rFonts w:ascii="IRNazanin" w:hAnsi="IRNazanin" w:eastAsia="IRNazanin" w:cs="IRNazanin"/>
            <w:color w:val="111111"/>
            <w:sz w:val="22"/>
            <w:szCs w:val="22"/>
            <w:b w:val="0"/>
            <w:bCs w:val="0"/>
            <w:i w:val="0"/>
            <w:iCs w:val="0"/>
          </w:rPr>
          <w:t>7899- دیوان نوری أصفهانی أو شعره‏</w:t>
        </w:r>
        <w:r>
          <w:tab/>
        </w:r>
        <w:r>
          <w:fldChar w:fldCharType="begin"/>
        </w:r>
        <w:r>
          <w:instrText xml:space="preserve">PAGEREF 9168 \h</w:instrText>
        </w:r>
        <w:r>
          <w:fldChar w:fldCharType="end"/>
        </w:r>
      </w:hyperlink>
    </w:p>
    <w:p>
      <w:pPr>
        <w:tabs>
          <w:tab w:val="right" w:leader="dot" w:pos="9062"/>
        </w:tabs>
        <w:ind w:left="440"/>
      </w:pPr>
      <w:hyperlink w:anchor="_Toc9169" w:history="1">
        <w:r>
          <w:rPr>
            <w:rFonts w:ascii="IRNazanin" w:hAnsi="IRNazanin" w:eastAsia="IRNazanin" w:cs="IRNazanin"/>
            <w:color w:val="111111"/>
            <w:sz w:val="22"/>
            <w:szCs w:val="22"/>
            <w:b w:val="0"/>
            <w:bCs w:val="0"/>
            <w:i w:val="0"/>
            <w:iCs w:val="0"/>
          </w:rPr>
          <w:t>7900- دیوان نوری أصفهانی أو شعره‏</w:t>
        </w:r>
        <w:r>
          <w:tab/>
        </w:r>
        <w:r>
          <w:fldChar w:fldCharType="begin"/>
        </w:r>
        <w:r>
          <w:instrText xml:space="preserve">PAGEREF 9169 \h</w:instrText>
        </w:r>
        <w:r>
          <w:fldChar w:fldCharType="end"/>
        </w:r>
      </w:hyperlink>
    </w:p>
    <w:p>
      <w:pPr>
        <w:tabs>
          <w:tab w:val="right" w:leader="dot" w:pos="9062"/>
        </w:tabs>
        <w:ind w:left="440"/>
      </w:pPr>
      <w:hyperlink w:anchor="_Toc9170" w:history="1">
        <w:r>
          <w:rPr>
            <w:rFonts w:ascii="IRNazanin" w:hAnsi="IRNazanin" w:eastAsia="IRNazanin" w:cs="IRNazanin"/>
            <w:color w:val="111111"/>
            <w:sz w:val="22"/>
            <w:szCs w:val="22"/>
            <w:b w:val="0"/>
            <w:bCs w:val="0"/>
            <w:i w:val="0"/>
            <w:iCs w:val="0"/>
          </w:rPr>
          <w:t>7901- دیوان نوری تبریزی أو شعره‏</w:t>
        </w:r>
        <w:r>
          <w:tab/>
        </w:r>
        <w:r>
          <w:fldChar w:fldCharType="begin"/>
        </w:r>
        <w:r>
          <w:instrText xml:space="preserve">PAGEREF 9170 \h</w:instrText>
        </w:r>
        <w:r>
          <w:fldChar w:fldCharType="end"/>
        </w:r>
      </w:hyperlink>
    </w:p>
    <w:p>
      <w:pPr>
        <w:tabs>
          <w:tab w:val="right" w:leader="dot" w:pos="9062"/>
        </w:tabs>
        <w:ind w:left="440"/>
      </w:pPr>
      <w:hyperlink w:anchor="_Toc9171" w:history="1">
        <w:r>
          <w:rPr>
            <w:rFonts w:ascii="IRNazanin" w:hAnsi="IRNazanin" w:eastAsia="IRNazanin" w:cs="IRNazanin"/>
            <w:color w:val="111111"/>
            <w:sz w:val="22"/>
            <w:szCs w:val="22"/>
            <w:b w:val="0"/>
            <w:bCs w:val="0"/>
            <w:i w:val="0"/>
            <w:iCs w:val="0"/>
          </w:rPr>
          <w:t>7902- دیوان نوری تبریزی‏</w:t>
        </w:r>
        <w:r>
          <w:tab/>
        </w:r>
        <w:r>
          <w:fldChar w:fldCharType="begin"/>
        </w:r>
        <w:r>
          <w:instrText xml:space="preserve">PAGEREF 9171 \h</w:instrText>
        </w:r>
        <w:r>
          <w:fldChar w:fldCharType="end"/>
        </w:r>
      </w:hyperlink>
    </w:p>
    <w:p>
      <w:pPr>
        <w:tabs>
          <w:tab w:val="right" w:leader="dot" w:pos="9062"/>
        </w:tabs>
        <w:ind w:left="440"/>
      </w:pPr>
      <w:hyperlink w:anchor="_Toc9172" w:history="1">
        <w:r>
          <w:rPr>
            <w:rFonts w:ascii="IRNazanin" w:hAnsi="IRNazanin" w:eastAsia="IRNazanin" w:cs="IRNazanin"/>
            <w:color w:val="111111"/>
            <w:sz w:val="22"/>
            <w:szCs w:val="22"/>
            <w:b w:val="0"/>
            <w:bCs w:val="0"/>
            <w:i w:val="0"/>
            <w:iCs w:val="0"/>
          </w:rPr>
          <w:t>دیوان نوری دندانی‏</w:t>
        </w:r>
        <w:r>
          <w:tab/>
        </w:r>
        <w:r>
          <w:fldChar w:fldCharType="begin"/>
        </w:r>
        <w:r>
          <w:instrText xml:space="preserve">PAGEREF 9172 \h</w:instrText>
        </w:r>
        <w:r>
          <w:fldChar w:fldCharType="end"/>
        </w:r>
      </w:hyperlink>
    </w:p>
    <w:p>
      <w:pPr>
        <w:tabs>
          <w:tab w:val="right" w:leader="dot" w:pos="9062"/>
        </w:tabs>
        <w:ind w:left="440"/>
      </w:pPr>
      <w:hyperlink w:anchor="_Toc9173" w:history="1">
        <w:r>
          <w:rPr>
            <w:rFonts w:ascii="IRNazanin" w:hAnsi="IRNazanin" w:eastAsia="IRNazanin" w:cs="IRNazanin"/>
            <w:color w:val="111111"/>
            <w:sz w:val="22"/>
            <w:szCs w:val="22"/>
            <w:b w:val="0"/>
            <w:bCs w:val="0"/>
            <w:i w:val="0"/>
            <w:iCs w:val="0"/>
          </w:rPr>
          <w:t>7903- دیوان نوری دهلوی أو شعره‏</w:t>
        </w:r>
        <w:r>
          <w:tab/>
        </w:r>
        <w:r>
          <w:fldChar w:fldCharType="begin"/>
        </w:r>
        <w:r>
          <w:instrText xml:space="preserve">PAGEREF 9173 \h</w:instrText>
        </w:r>
        <w:r>
          <w:fldChar w:fldCharType="end"/>
        </w:r>
      </w:hyperlink>
    </w:p>
    <w:p>
      <w:pPr>
        <w:tabs>
          <w:tab w:val="right" w:leader="dot" w:pos="9062"/>
        </w:tabs>
        <w:ind w:left="440"/>
      </w:pPr>
      <w:hyperlink w:anchor="_Toc9174" w:history="1">
        <w:r>
          <w:rPr>
            <w:rFonts w:ascii="IRNazanin" w:hAnsi="IRNazanin" w:eastAsia="IRNazanin" w:cs="IRNazanin"/>
            <w:color w:val="111111"/>
            <w:sz w:val="22"/>
            <w:szCs w:val="22"/>
            <w:b w:val="0"/>
            <w:bCs w:val="0"/>
            <w:i w:val="0"/>
            <w:iCs w:val="0"/>
          </w:rPr>
          <w:t>7904- دیوان نوری شوشتری‏</w:t>
        </w:r>
        <w:r>
          <w:tab/>
        </w:r>
        <w:r>
          <w:fldChar w:fldCharType="begin"/>
        </w:r>
        <w:r>
          <w:instrText xml:space="preserve">PAGEREF 9174 \h</w:instrText>
        </w:r>
        <w:r>
          <w:fldChar w:fldCharType="end"/>
        </w:r>
      </w:hyperlink>
    </w:p>
    <w:p>
      <w:pPr>
        <w:tabs>
          <w:tab w:val="right" w:leader="dot" w:pos="9062"/>
        </w:tabs>
        <w:ind w:left="440"/>
      </w:pPr>
      <w:hyperlink w:anchor="_Toc9175" w:history="1">
        <w:r>
          <w:rPr>
            <w:rFonts w:ascii="IRNazanin" w:hAnsi="IRNazanin" w:eastAsia="IRNazanin" w:cs="IRNazanin"/>
            <w:color w:val="111111"/>
            <w:sz w:val="22"/>
            <w:szCs w:val="22"/>
            <w:b w:val="0"/>
            <w:bCs w:val="0"/>
            <w:i w:val="0"/>
            <w:iCs w:val="0"/>
          </w:rPr>
          <w:t>7905- دیوان نوری لاهوری أو شعره‏</w:t>
        </w:r>
        <w:r>
          <w:tab/>
        </w:r>
        <w:r>
          <w:fldChar w:fldCharType="begin"/>
        </w:r>
        <w:r>
          <w:instrText xml:space="preserve">PAGEREF 9175 \h</w:instrText>
        </w:r>
        <w:r>
          <w:fldChar w:fldCharType="end"/>
        </w:r>
      </w:hyperlink>
    </w:p>
    <w:p>
      <w:pPr>
        <w:tabs>
          <w:tab w:val="right" w:leader="dot" w:pos="9062"/>
        </w:tabs>
        <w:ind w:left="440"/>
      </w:pPr>
      <w:hyperlink w:anchor="_Toc9176" w:history="1">
        <w:r>
          <w:rPr>
            <w:rFonts w:ascii="IRNazanin" w:hAnsi="IRNazanin" w:eastAsia="IRNazanin" w:cs="IRNazanin"/>
            <w:color w:val="111111"/>
            <w:sz w:val="22"/>
            <w:szCs w:val="22"/>
            <w:b w:val="0"/>
            <w:bCs w:val="0"/>
            <w:i w:val="0"/>
            <w:iCs w:val="0"/>
          </w:rPr>
          <w:t>7906- دیوان نوری مازندرانی‏</w:t>
        </w:r>
        <w:r>
          <w:tab/>
        </w:r>
        <w:r>
          <w:fldChar w:fldCharType="begin"/>
        </w:r>
        <w:r>
          <w:instrText xml:space="preserve">PAGEREF 9176 \h</w:instrText>
        </w:r>
        <w:r>
          <w:fldChar w:fldCharType="end"/>
        </w:r>
      </w:hyperlink>
    </w:p>
    <w:p>
      <w:pPr>
        <w:tabs>
          <w:tab w:val="right" w:leader="dot" w:pos="9062"/>
        </w:tabs>
        <w:ind w:left="440"/>
      </w:pPr>
      <w:hyperlink w:anchor="_Toc9177" w:history="1">
        <w:r>
          <w:rPr>
            <w:rFonts w:ascii="IRNazanin" w:hAnsi="IRNazanin" w:eastAsia="IRNazanin" w:cs="IRNazanin"/>
            <w:color w:val="111111"/>
            <w:sz w:val="22"/>
            <w:szCs w:val="22"/>
            <w:b w:val="0"/>
            <w:bCs w:val="0"/>
            <w:i w:val="0"/>
            <w:iCs w:val="0"/>
          </w:rPr>
          <w:t>7907- دیوان نوری مازندرانی‏</w:t>
        </w:r>
        <w:r>
          <w:tab/>
        </w:r>
        <w:r>
          <w:fldChar w:fldCharType="begin"/>
        </w:r>
        <w:r>
          <w:instrText xml:space="preserve">PAGEREF 9177 \h</w:instrText>
        </w:r>
        <w:r>
          <w:fldChar w:fldCharType="end"/>
        </w:r>
      </w:hyperlink>
    </w:p>
    <w:p>
      <w:pPr>
        <w:tabs>
          <w:tab w:val="right" w:leader="dot" w:pos="9062"/>
        </w:tabs>
        <w:ind w:left="440"/>
      </w:pPr>
      <w:hyperlink w:anchor="_Toc9178" w:history="1">
        <w:r>
          <w:rPr>
            <w:rFonts w:ascii="IRNazanin" w:hAnsi="IRNazanin" w:eastAsia="IRNazanin" w:cs="IRNazanin"/>
            <w:color w:val="111111"/>
            <w:sz w:val="22"/>
            <w:szCs w:val="22"/>
            <w:b w:val="0"/>
            <w:bCs w:val="0"/>
            <w:i w:val="0"/>
            <w:iCs w:val="0"/>
          </w:rPr>
          <w:t>7908- دیوان نوری مشهدی أو شعره‏</w:t>
        </w:r>
        <w:r>
          <w:tab/>
        </w:r>
        <w:r>
          <w:fldChar w:fldCharType="begin"/>
        </w:r>
        <w:r>
          <w:instrText xml:space="preserve">PAGEREF 9178 \h</w:instrText>
        </w:r>
        <w:r>
          <w:fldChar w:fldCharType="end"/>
        </w:r>
      </w:hyperlink>
    </w:p>
    <w:p>
      <w:pPr>
        <w:tabs>
          <w:tab w:val="right" w:leader="dot" w:pos="9062"/>
        </w:tabs>
        <w:ind w:left="440"/>
      </w:pPr>
      <w:hyperlink w:anchor="_Toc9179" w:history="1">
        <w:r>
          <w:rPr>
            <w:rFonts w:ascii="IRNazanin" w:hAnsi="IRNazanin" w:eastAsia="IRNazanin" w:cs="IRNazanin"/>
            <w:color w:val="111111"/>
            <w:sz w:val="22"/>
            <w:szCs w:val="22"/>
            <w:b w:val="0"/>
            <w:bCs w:val="0"/>
            <w:i w:val="0"/>
            <w:iCs w:val="0"/>
          </w:rPr>
          <w:t>7909- دیوان نوری نیشابوری أو شعره‏</w:t>
        </w:r>
        <w:r>
          <w:tab/>
        </w:r>
        <w:r>
          <w:fldChar w:fldCharType="begin"/>
        </w:r>
        <w:r>
          <w:instrText xml:space="preserve">PAGEREF 9179 \h</w:instrText>
        </w:r>
        <w:r>
          <w:fldChar w:fldCharType="end"/>
        </w:r>
      </w:hyperlink>
    </w:p>
    <w:p>
      <w:pPr>
        <w:tabs>
          <w:tab w:val="right" w:leader="dot" w:pos="9062"/>
        </w:tabs>
        <w:ind w:left="440"/>
      </w:pPr>
      <w:hyperlink w:anchor="_Toc9180" w:history="1">
        <w:r>
          <w:rPr>
            <w:rFonts w:ascii="IRNazanin" w:hAnsi="IRNazanin" w:eastAsia="IRNazanin" w:cs="IRNazanin"/>
            <w:color w:val="111111"/>
            <w:sz w:val="22"/>
            <w:szCs w:val="22"/>
            <w:b w:val="0"/>
            <w:bCs w:val="0"/>
            <w:i w:val="0"/>
            <w:iCs w:val="0"/>
          </w:rPr>
          <w:t>7910- دیوان نوری هرمزی أو شعره‏</w:t>
        </w:r>
        <w:r>
          <w:tab/>
        </w:r>
        <w:r>
          <w:fldChar w:fldCharType="begin"/>
        </w:r>
        <w:r>
          <w:instrText xml:space="preserve">PAGEREF 9180 \h</w:instrText>
        </w:r>
        <w:r>
          <w:fldChar w:fldCharType="end"/>
        </w:r>
      </w:hyperlink>
    </w:p>
    <w:p>
      <w:pPr>
        <w:tabs>
          <w:tab w:val="right" w:leader="dot" w:pos="9062"/>
        </w:tabs>
        <w:ind w:left="440"/>
      </w:pPr>
      <w:hyperlink w:anchor="_Toc9181" w:history="1">
        <w:r>
          <w:rPr>
            <w:rFonts w:ascii="IRNazanin" w:hAnsi="IRNazanin" w:eastAsia="IRNazanin" w:cs="IRNazanin"/>
            <w:color w:val="111111"/>
            <w:sz w:val="22"/>
            <w:szCs w:val="22"/>
            <w:b w:val="0"/>
            <w:bCs w:val="0"/>
            <w:i w:val="0"/>
            <w:iCs w:val="0"/>
          </w:rPr>
          <w:t>7911- دیوان نوری هروی أو شعره‏</w:t>
        </w:r>
        <w:r>
          <w:tab/>
        </w:r>
        <w:r>
          <w:fldChar w:fldCharType="begin"/>
        </w:r>
        <w:r>
          <w:instrText xml:space="preserve">PAGEREF 9181 \h</w:instrText>
        </w:r>
        <w:r>
          <w:fldChar w:fldCharType="end"/>
        </w:r>
      </w:hyperlink>
    </w:p>
    <w:p>
      <w:pPr>
        <w:tabs>
          <w:tab w:val="right" w:leader="dot" w:pos="9062"/>
        </w:tabs>
        <w:ind w:left="440"/>
      </w:pPr>
      <w:hyperlink w:anchor="_Toc9182" w:history="1">
        <w:r>
          <w:rPr>
            <w:rFonts w:ascii="IRNazanin" w:hAnsi="IRNazanin" w:eastAsia="IRNazanin" w:cs="IRNazanin"/>
            <w:color w:val="111111"/>
            <w:sz w:val="22"/>
            <w:szCs w:val="22"/>
            <w:b w:val="0"/>
            <w:bCs w:val="0"/>
            <w:i w:val="0"/>
            <w:iCs w:val="0"/>
          </w:rPr>
          <w:t>7912- دیوان نوش‏زند أو شعره‏</w:t>
        </w:r>
        <w:r>
          <w:tab/>
        </w:r>
        <w:r>
          <w:fldChar w:fldCharType="begin"/>
        </w:r>
        <w:r>
          <w:instrText xml:space="preserve">PAGEREF 9182 \h</w:instrText>
        </w:r>
        <w:r>
          <w:fldChar w:fldCharType="end"/>
        </w:r>
      </w:hyperlink>
    </w:p>
    <w:p>
      <w:pPr>
        <w:tabs>
          <w:tab w:val="right" w:leader="dot" w:pos="9062"/>
        </w:tabs>
        <w:ind w:left="440"/>
      </w:pPr>
      <w:hyperlink w:anchor="_Toc9183" w:history="1">
        <w:r>
          <w:rPr>
            <w:rFonts w:ascii="IRNazanin" w:hAnsi="IRNazanin" w:eastAsia="IRNazanin" w:cs="IRNazanin"/>
            <w:color w:val="111111"/>
            <w:sz w:val="22"/>
            <w:szCs w:val="22"/>
            <w:b w:val="0"/>
            <w:bCs w:val="0"/>
            <w:i w:val="0"/>
            <w:iCs w:val="0"/>
          </w:rPr>
          <w:t>7913- دیوان نوشی سبزواری أو شعره‏</w:t>
        </w:r>
        <w:r>
          <w:tab/>
        </w:r>
        <w:r>
          <w:fldChar w:fldCharType="begin"/>
        </w:r>
        <w:r>
          <w:instrText xml:space="preserve">PAGEREF 9183 \h</w:instrText>
        </w:r>
        <w:r>
          <w:fldChar w:fldCharType="end"/>
        </w:r>
      </w:hyperlink>
    </w:p>
    <w:p>
      <w:pPr>
        <w:tabs>
          <w:tab w:val="right" w:leader="dot" w:pos="9062"/>
        </w:tabs>
        <w:ind w:left="440"/>
      </w:pPr>
      <w:hyperlink w:anchor="_Toc9184" w:history="1">
        <w:r>
          <w:rPr>
            <w:rFonts w:ascii="IRNazanin" w:hAnsi="IRNazanin" w:eastAsia="IRNazanin" w:cs="IRNazanin"/>
            <w:color w:val="111111"/>
            <w:sz w:val="22"/>
            <w:szCs w:val="22"/>
            <w:b w:val="0"/>
            <w:bCs w:val="0"/>
            <w:i w:val="0"/>
            <w:iCs w:val="0"/>
          </w:rPr>
          <w:t>7914- دیوان نوعی خبوشانی‏</w:t>
        </w:r>
        <w:r>
          <w:tab/>
        </w:r>
        <w:r>
          <w:fldChar w:fldCharType="begin"/>
        </w:r>
        <w:r>
          <w:instrText xml:space="preserve">PAGEREF 9184 \h</w:instrText>
        </w:r>
        <w:r>
          <w:fldChar w:fldCharType="end"/>
        </w:r>
      </w:hyperlink>
    </w:p>
    <w:p>
      <w:pPr>
        <w:tabs>
          <w:tab w:val="right" w:leader="dot" w:pos="9062"/>
        </w:tabs>
        <w:ind w:left="440"/>
      </w:pPr>
      <w:hyperlink w:anchor="_Toc9185" w:history="1">
        <w:r>
          <w:rPr>
            <w:rFonts w:ascii="IRNazanin" w:hAnsi="IRNazanin" w:eastAsia="IRNazanin" w:cs="IRNazanin"/>
            <w:color w:val="111111"/>
            <w:sz w:val="22"/>
            <w:szCs w:val="22"/>
            <w:b w:val="0"/>
            <w:bCs w:val="0"/>
            <w:i w:val="0"/>
            <w:iCs w:val="0"/>
          </w:rPr>
          <w:t>7915- دیوان نوعی‏زاده‏</w:t>
        </w:r>
        <w:r>
          <w:tab/>
        </w:r>
        <w:r>
          <w:fldChar w:fldCharType="begin"/>
        </w:r>
        <w:r>
          <w:instrText xml:space="preserve">PAGEREF 9185 \h</w:instrText>
        </w:r>
        <w:r>
          <w:fldChar w:fldCharType="end"/>
        </w:r>
      </w:hyperlink>
    </w:p>
    <w:p>
      <w:pPr>
        <w:tabs>
          <w:tab w:val="right" w:leader="dot" w:pos="9062"/>
        </w:tabs>
        <w:ind w:left="440"/>
      </w:pPr>
      <w:hyperlink w:anchor="_Toc9186" w:history="1">
        <w:r>
          <w:rPr>
            <w:rFonts w:ascii="IRNazanin" w:hAnsi="IRNazanin" w:eastAsia="IRNazanin" w:cs="IRNazanin"/>
            <w:color w:val="111111"/>
            <w:sz w:val="22"/>
            <w:szCs w:val="22"/>
            <w:b w:val="0"/>
            <w:bCs w:val="0"/>
            <w:i w:val="0"/>
            <w:iCs w:val="0"/>
          </w:rPr>
          <w:t>7916- دیوان نوعی ساوجی‏</w:t>
        </w:r>
        <w:r>
          <w:tab/>
        </w:r>
        <w:r>
          <w:fldChar w:fldCharType="begin"/>
        </w:r>
        <w:r>
          <w:instrText xml:space="preserve">PAGEREF 9186 \h</w:instrText>
        </w:r>
        <w:r>
          <w:fldChar w:fldCharType="end"/>
        </w:r>
      </w:hyperlink>
    </w:p>
    <w:p>
      <w:pPr>
        <w:tabs>
          <w:tab w:val="right" w:leader="dot" w:pos="9062"/>
        </w:tabs>
        <w:ind w:left="440"/>
      </w:pPr>
      <w:hyperlink w:anchor="_Toc9187" w:history="1">
        <w:r>
          <w:rPr>
            <w:rFonts w:ascii="IRNazanin" w:hAnsi="IRNazanin" w:eastAsia="IRNazanin" w:cs="IRNazanin"/>
            <w:color w:val="111111"/>
            <w:sz w:val="22"/>
            <w:szCs w:val="22"/>
            <w:b w:val="0"/>
            <w:bCs w:val="0"/>
            <w:i w:val="0"/>
            <w:iCs w:val="0"/>
          </w:rPr>
          <w:t>7917- دیوان نوکی گنابادی أو شعره‏</w:t>
        </w:r>
        <w:r>
          <w:tab/>
        </w:r>
        <w:r>
          <w:fldChar w:fldCharType="begin"/>
        </w:r>
        <w:r>
          <w:instrText xml:space="preserve">PAGEREF 9187 \h</w:instrText>
        </w:r>
        <w:r>
          <w:fldChar w:fldCharType="end"/>
        </w:r>
      </w:hyperlink>
    </w:p>
    <w:p>
      <w:pPr>
        <w:tabs>
          <w:tab w:val="right" w:leader="dot" w:pos="9062"/>
        </w:tabs>
        <w:ind w:left="440"/>
      </w:pPr>
      <w:hyperlink w:anchor="_Toc9188" w:history="1">
        <w:r>
          <w:rPr>
            <w:rFonts w:ascii="IRNazanin" w:hAnsi="IRNazanin" w:eastAsia="IRNazanin" w:cs="IRNazanin"/>
            <w:color w:val="111111"/>
            <w:sz w:val="22"/>
            <w:szCs w:val="22"/>
            <w:b w:val="0"/>
            <w:bCs w:val="0"/>
            <w:i w:val="0"/>
            <w:iCs w:val="0"/>
          </w:rPr>
          <w:t>7918- دیوان نوید أصفهانی‏</w:t>
        </w:r>
        <w:r>
          <w:tab/>
        </w:r>
        <w:r>
          <w:fldChar w:fldCharType="begin"/>
        </w:r>
        <w:r>
          <w:instrText xml:space="preserve">PAGEREF 9188 \h</w:instrText>
        </w:r>
        <w:r>
          <w:fldChar w:fldCharType="end"/>
        </w:r>
      </w:hyperlink>
    </w:p>
    <w:p>
      <w:pPr>
        <w:tabs>
          <w:tab w:val="right" w:leader="dot" w:pos="9062"/>
        </w:tabs>
        <w:ind w:left="440"/>
      </w:pPr>
      <w:hyperlink w:anchor="_Toc9189" w:history="1">
        <w:r>
          <w:rPr>
            <w:rFonts w:ascii="IRNazanin" w:hAnsi="IRNazanin" w:eastAsia="IRNazanin" w:cs="IRNazanin"/>
            <w:color w:val="111111"/>
            <w:sz w:val="22"/>
            <w:szCs w:val="22"/>
            <w:b w:val="0"/>
            <w:bCs w:val="0"/>
            <w:i w:val="0"/>
            <w:iCs w:val="0"/>
          </w:rPr>
          <w:t>7919- دیوان نوید أصفهانی‏</w:t>
        </w:r>
        <w:r>
          <w:tab/>
        </w:r>
        <w:r>
          <w:fldChar w:fldCharType="begin"/>
        </w:r>
        <w:r>
          <w:instrText xml:space="preserve">PAGEREF 9189 \h</w:instrText>
        </w:r>
        <w:r>
          <w:fldChar w:fldCharType="end"/>
        </w:r>
      </w:hyperlink>
    </w:p>
    <w:p>
      <w:pPr>
        <w:tabs>
          <w:tab w:val="right" w:leader="dot" w:pos="9062"/>
        </w:tabs>
        <w:ind w:left="440"/>
      </w:pPr>
      <w:hyperlink w:anchor="_Toc9190" w:history="1">
        <w:r>
          <w:rPr>
            <w:rFonts w:ascii="IRNazanin" w:hAnsi="IRNazanin" w:eastAsia="IRNazanin" w:cs="IRNazanin"/>
            <w:color w:val="111111"/>
            <w:sz w:val="22"/>
            <w:szCs w:val="22"/>
            <w:b w:val="0"/>
            <w:bCs w:val="0"/>
            <w:i w:val="0"/>
            <w:iCs w:val="0"/>
          </w:rPr>
          <w:t>7920- دیوان نوید الله‏آبادی أو شعره‏</w:t>
        </w:r>
        <w:r>
          <w:tab/>
        </w:r>
        <w:r>
          <w:fldChar w:fldCharType="begin"/>
        </w:r>
        <w:r>
          <w:instrText xml:space="preserve">PAGEREF 9190 \h</w:instrText>
        </w:r>
        <w:r>
          <w:fldChar w:fldCharType="end"/>
        </w:r>
      </w:hyperlink>
    </w:p>
    <w:p>
      <w:pPr>
        <w:tabs>
          <w:tab w:val="right" w:leader="dot" w:pos="9062"/>
        </w:tabs>
        <w:ind w:left="440"/>
      </w:pPr>
      <w:hyperlink w:anchor="_Toc9191" w:history="1">
        <w:r>
          <w:rPr>
            <w:rFonts w:ascii="IRNazanin" w:hAnsi="IRNazanin" w:eastAsia="IRNazanin" w:cs="IRNazanin"/>
            <w:color w:val="111111"/>
            <w:sz w:val="22"/>
            <w:szCs w:val="22"/>
            <w:b w:val="0"/>
            <w:bCs w:val="0"/>
            <w:i w:val="0"/>
            <w:iCs w:val="0"/>
          </w:rPr>
          <w:t>7921- دیوان نوید خراسانی‏</w:t>
        </w:r>
        <w:r>
          <w:tab/>
        </w:r>
        <w:r>
          <w:fldChar w:fldCharType="begin"/>
        </w:r>
        <w:r>
          <w:instrText xml:space="preserve">PAGEREF 9191 \h</w:instrText>
        </w:r>
        <w:r>
          <w:fldChar w:fldCharType="end"/>
        </w:r>
      </w:hyperlink>
    </w:p>
    <w:p>
      <w:pPr>
        <w:tabs>
          <w:tab w:val="right" w:leader="dot" w:pos="9062"/>
        </w:tabs>
        <w:ind w:left="440"/>
      </w:pPr>
      <w:hyperlink w:anchor="_Toc9192" w:history="1">
        <w:r>
          <w:rPr>
            <w:rFonts w:ascii="IRNazanin" w:hAnsi="IRNazanin" w:eastAsia="IRNazanin" w:cs="IRNazanin"/>
            <w:color w:val="111111"/>
            <w:sz w:val="22"/>
            <w:szCs w:val="22"/>
            <w:b w:val="0"/>
            <w:bCs w:val="0"/>
            <w:i w:val="0"/>
            <w:iCs w:val="0"/>
          </w:rPr>
          <w:t>7922- دیوان نوید دهلوی أو شعره‏</w:t>
        </w:r>
        <w:r>
          <w:tab/>
        </w:r>
        <w:r>
          <w:fldChar w:fldCharType="begin"/>
        </w:r>
        <w:r>
          <w:instrText xml:space="preserve">PAGEREF 9192 \h</w:instrText>
        </w:r>
        <w:r>
          <w:fldChar w:fldCharType="end"/>
        </w:r>
      </w:hyperlink>
    </w:p>
    <w:p>
      <w:pPr>
        <w:tabs>
          <w:tab w:val="right" w:leader="dot" w:pos="9062"/>
        </w:tabs>
        <w:ind w:left="440"/>
      </w:pPr>
      <w:hyperlink w:anchor="_Toc9193" w:history="1">
        <w:r>
          <w:rPr>
            <w:rFonts w:ascii="IRNazanin" w:hAnsi="IRNazanin" w:eastAsia="IRNazanin" w:cs="IRNazanin"/>
            <w:color w:val="111111"/>
            <w:sz w:val="22"/>
            <w:szCs w:val="22"/>
            <w:b w:val="0"/>
            <w:bCs w:val="0"/>
            <w:i w:val="0"/>
            <w:iCs w:val="0"/>
          </w:rPr>
          <w:t>7923- دیوان نویدی تربتی أو شعره‏</w:t>
        </w:r>
        <w:r>
          <w:tab/>
        </w:r>
        <w:r>
          <w:fldChar w:fldCharType="begin"/>
        </w:r>
        <w:r>
          <w:instrText xml:space="preserve">PAGEREF 9193 \h</w:instrText>
        </w:r>
        <w:r>
          <w:fldChar w:fldCharType="end"/>
        </w:r>
      </w:hyperlink>
    </w:p>
    <w:p>
      <w:pPr>
        <w:tabs>
          <w:tab w:val="right" w:leader="dot" w:pos="9062"/>
        </w:tabs>
        <w:ind w:left="440"/>
      </w:pPr>
      <w:hyperlink w:anchor="_Toc9194" w:history="1">
        <w:r>
          <w:rPr>
            <w:rFonts w:ascii="IRNazanin" w:hAnsi="IRNazanin" w:eastAsia="IRNazanin" w:cs="IRNazanin"/>
            <w:color w:val="111111"/>
            <w:sz w:val="22"/>
            <w:szCs w:val="22"/>
            <w:b w:val="0"/>
            <w:bCs w:val="0"/>
            <w:i w:val="0"/>
            <w:iCs w:val="0"/>
          </w:rPr>
          <w:t>7924- دیوان نویدی سمرقندی أو شعره‏</w:t>
        </w:r>
        <w:r>
          <w:tab/>
        </w:r>
        <w:r>
          <w:fldChar w:fldCharType="begin"/>
        </w:r>
        <w:r>
          <w:instrText xml:space="preserve">PAGEREF 9194 \h</w:instrText>
        </w:r>
        <w:r>
          <w:fldChar w:fldCharType="end"/>
        </w:r>
      </w:hyperlink>
    </w:p>
    <w:p>
      <w:pPr>
        <w:tabs>
          <w:tab w:val="right" w:leader="dot" w:pos="9062"/>
        </w:tabs>
        <w:ind w:left="440"/>
      </w:pPr>
      <w:hyperlink w:anchor="_Toc9195" w:history="1">
        <w:r>
          <w:rPr>
            <w:rFonts w:ascii="IRNazanin" w:hAnsi="IRNazanin" w:eastAsia="IRNazanin" w:cs="IRNazanin"/>
            <w:color w:val="111111"/>
            <w:sz w:val="22"/>
            <w:szCs w:val="22"/>
            <w:b w:val="0"/>
            <w:bCs w:val="0"/>
            <w:i w:val="0"/>
            <w:iCs w:val="0"/>
          </w:rPr>
          <w:t>7925- دیوان نویدی شیرازی‏</w:t>
        </w:r>
        <w:r>
          <w:tab/>
        </w:r>
        <w:r>
          <w:fldChar w:fldCharType="begin"/>
        </w:r>
        <w:r>
          <w:instrText xml:space="preserve">PAGEREF 9195 \h</w:instrText>
        </w:r>
        <w:r>
          <w:fldChar w:fldCharType="end"/>
        </w:r>
      </w:hyperlink>
    </w:p>
    <w:p>
      <w:pPr>
        <w:tabs>
          <w:tab w:val="right" w:leader="dot" w:pos="9062"/>
        </w:tabs>
        <w:ind w:left="440"/>
      </w:pPr>
      <w:hyperlink w:anchor="_Toc9196" w:history="1">
        <w:r>
          <w:rPr>
            <w:rFonts w:ascii="IRNazanin" w:hAnsi="IRNazanin" w:eastAsia="IRNazanin" w:cs="IRNazanin"/>
            <w:color w:val="111111"/>
            <w:sz w:val="22"/>
            <w:szCs w:val="22"/>
            <w:b w:val="0"/>
            <w:bCs w:val="0"/>
            <w:i w:val="0"/>
            <w:iCs w:val="0"/>
          </w:rPr>
          <w:t>7926- دیوان نویدی شیرازی أو شعره‏</w:t>
        </w:r>
        <w:r>
          <w:tab/>
        </w:r>
        <w:r>
          <w:fldChar w:fldCharType="begin"/>
        </w:r>
        <w:r>
          <w:instrText xml:space="preserve">PAGEREF 9196 \h</w:instrText>
        </w:r>
        <w:r>
          <w:fldChar w:fldCharType="end"/>
        </w:r>
      </w:hyperlink>
    </w:p>
    <w:p>
      <w:pPr>
        <w:tabs>
          <w:tab w:val="right" w:leader="dot" w:pos="9062"/>
        </w:tabs>
        <w:ind w:left="440"/>
      </w:pPr>
      <w:hyperlink w:anchor="_Toc9197" w:history="1">
        <w:r>
          <w:rPr>
            <w:rFonts w:ascii="IRNazanin" w:hAnsi="IRNazanin" w:eastAsia="IRNazanin" w:cs="IRNazanin"/>
            <w:color w:val="111111"/>
            <w:sz w:val="22"/>
            <w:szCs w:val="22"/>
            <w:b w:val="0"/>
            <w:bCs w:val="0"/>
            <w:i w:val="0"/>
            <w:iCs w:val="0"/>
          </w:rPr>
          <w:t>7927- دیوان نویدی طهرانی أو شعره‏</w:t>
        </w:r>
        <w:r>
          <w:tab/>
        </w:r>
        <w:r>
          <w:fldChar w:fldCharType="begin"/>
        </w:r>
        <w:r>
          <w:instrText xml:space="preserve">PAGEREF 9197 \h</w:instrText>
        </w:r>
        <w:r>
          <w:fldChar w:fldCharType="end"/>
        </w:r>
      </w:hyperlink>
    </w:p>
    <w:p>
      <w:pPr>
        <w:tabs>
          <w:tab w:val="right" w:leader="dot" w:pos="9062"/>
        </w:tabs>
        <w:ind w:left="440"/>
      </w:pPr>
      <w:hyperlink w:anchor="_Toc9198" w:history="1">
        <w:r>
          <w:rPr>
            <w:rFonts w:ascii="IRNazanin" w:hAnsi="IRNazanin" w:eastAsia="IRNazanin" w:cs="IRNazanin"/>
            <w:color w:val="111111"/>
            <w:sz w:val="22"/>
            <w:szCs w:val="22"/>
            <w:b w:val="0"/>
            <w:bCs w:val="0"/>
            <w:i w:val="0"/>
            <w:iCs w:val="0"/>
          </w:rPr>
          <w:t>دیوان نویدی گیلانی‏</w:t>
        </w:r>
        <w:r>
          <w:tab/>
        </w:r>
        <w:r>
          <w:fldChar w:fldCharType="begin"/>
        </w:r>
        <w:r>
          <w:instrText xml:space="preserve">PAGEREF 9198 \h</w:instrText>
        </w:r>
        <w:r>
          <w:fldChar w:fldCharType="end"/>
        </w:r>
      </w:hyperlink>
    </w:p>
    <w:p>
      <w:pPr>
        <w:tabs>
          <w:tab w:val="right" w:leader="dot" w:pos="9062"/>
        </w:tabs>
        <w:ind w:left="440"/>
      </w:pPr>
      <w:hyperlink w:anchor="_Toc9199" w:history="1">
        <w:r>
          <w:rPr>
            <w:rFonts w:ascii="IRNazanin" w:hAnsi="IRNazanin" w:eastAsia="IRNazanin" w:cs="IRNazanin"/>
            <w:color w:val="111111"/>
            <w:sz w:val="22"/>
            <w:szCs w:val="22"/>
            <w:b w:val="0"/>
            <w:bCs w:val="0"/>
            <w:i w:val="0"/>
            <w:iCs w:val="0"/>
          </w:rPr>
          <w:t>7928- دیوان نویدی نیشابوری‏</w:t>
        </w:r>
        <w:r>
          <w:tab/>
        </w:r>
        <w:r>
          <w:fldChar w:fldCharType="begin"/>
        </w:r>
        <w:r>
          <w:instrText xml:space="preserve">PAGEREF 9199 \h</w:instrText>
        </w:r>
        <w:r>
          <w:fldChar w:fldCharType="end"/>
        </w:r>
      </w:hyperlink>
    </w:p>
    <w:p>
      <w:pPr>
        <w:tabs>
          <w:tab w:val="right" w:leader="dot" w:pos="9062"/>
        </w:tabs>
        <w:ind w:left="440"/>
      </w:pPr>
      <w:hyperlink w:anchor="_Toc9200" w:history="1">
        <w:r>
          <w:rPr>
            <w:rFonts w:ascii="IRNazanin" w:hAnsi="IRNazanin" w:eastAsia="IRNazanin" w:cs="IRNazanin"/>
            <w:color w:val="111111"/>
            <w:sz w:val="22"/>
            <w:szCs w:val="22"/>
            <w:b w:val="0"/>
            <w:bCs w:val="0"/>
            <w:i w:val="0"/>
            <w:iCs w:val="0"/>
          </w:rPr>
          <w:t>7929- دیوان نهالی‏</w:t>
        </w:r>
        <w:r>
          <w:tab/>
        </w:r>
        <w:r>
          <w:fldChar w:fldCharType="begin"/>
        </w:r>
        <w:r>
          <w:instrText xml:space="preserve">PAGEREF 9200 \h</w:instrText>
        </w:r>
        <w:r>
          <w:fldChar w:fldCharType="end"/>
        </w:r>
      </w:hyperlink>
    </w:p>
    <w:p>
      <w:pPr>
        <w:tabs>
          <w:tab w:val="right" w:leader="dot" w:pos="9062"/>
        </w:tabs>
        <w:ind w:left="440"/>
      </w:pPr>
      <w:hyperlink w:anchor="_Toc9201" w:history="1">
        <w:r>
          <w:rPr>
            <w:rFonts w:ascii="IRNazanin" w:hAnsi="IRNazanin" w:eastAsia="IRNazanin" w:cs="IRNazanin"/>
            <w:color w:val="111111"/>
            <w:sz w:val="22"/>
            <w:szCs w:val="22"/>
            <w:b w:val="0"/>
            <w:bCs w:val="0"/>
            <w:i w:val="0"/>
            <w:iCs w:val="0"/>
          </w:rPr>
          <w:t>7930- دیوان نهالی سمرقندی أو شعرها</w:t>
        </w:r>
        <w:r>
          <w:tab/>
        </w:r>
        <w:r>
          <w:fldChar w:fldCharType="begin"/>
        </w:r>
        <w:r>
          <w:instrText xml:space="preserve">PAGEREF 9201 \h</w:instrText>
        </w:r>
        <w:r>
          <w:fldChar w:fldCharType="end"/>
        </w:r>
      </w:hyperlink>
    </w:p>
    <w:p>
      <w:pPr>
        <w:tabs>
          <w:tab w:val="right" w:leader="dot" w:pos="9062"/>
        </w:tabs>
        <w:ind w:left="440"/>
      </w:pPr>
      <w:hyperlink w:anchor="_Toc9202" w:history="1">
        <w:r>
          <w:rPr>
            <w:rFonts w:ascii="IRNazanin" w:hAnsi="IRNazanin" w:eastAsia="IRNazanin" w:cs="IRNazanin"/>
            <w:color w:val="111111"/>
            <w:sz w:val="22"/>
            <w:szCs w:val="22"/>
            <w:b w:val="0"/>
            <w:bCs w:val="0"/>
            <w:i w:val="0"/>
            <w:iCs w:val="0"/>
          </w:rPr>
          <w:t>دیوان نهانی أصفهانی‏</w:t>
        </w:r>
        <w:r>
          <w:tab/>
        </w:r>
        <w:r>
          <w:fldChar w:fldCharType="begin"/>
        </w:r>
        <w:r>
          <w:instrText xml:space="preserve">PAGEREF 9202 \h</w:instrText>
        </w:r>
        <w:r>
          <w:fldChar w:fldCharType="end"/>
        </w:r>
      </w:hyperlink>
    </w:p>
    <w:p>
      <w:pPr>
        <w:tabs>
          <w:tab w:val="right" w:leader="dot" w:pos="9062"/>
        </w:tabs>
        <w:ind w:left="440"/>
      </w:pPr>
      <w:hyperlink w:anchor="_Toc9203" w:history="1">
        <w:r>
          <w:rPr>
            <w:rFonts w:ascii="IRNazanin" w:hAnsi="IRNazanin" w:eastAsia="IRNazanin" w:cs="IRNazanin"/>
            <w:color w:val="111111"/>
            <w:sz w:val="22"/>
            <w:szCs w:val="22"/>
            <w:b w:val="0"/>
            <w:bCs w:val="0"/>
            <w:i w:val="0"/>
            <w:iCs w:val="0"/>
          </w:rPr>
          <w:t>7931- دیوان نهانی أصفهانی أو شعرها</w:t>
        </w:r>
        <w:r>
          <w:tab/>
        </w:r>
        <w:r>
          <w:fldChar w:fldCharType="begin"/>
        </w:r>
        <w:r>
          <w:instrText xml:space="preserve">PAGEREF 9203 \h</w:instrText>
        </w:r>
        <w:r>
          <w:fldChar w:fldCharType="end"/>
        </w:r>
      </w:hyperlink>
    </w:p>
    <w:p>
      <w:pPr>
        <w:tabs>
          <w:tab w:val="right" w:leader="dot" w:pos="9062"/>
        </w:tabs>
        <w:ind w:left="440"/>
      </w:pPr>
      <w:hyperlink w:anchor="_Toc9204" w:history="1">
        <w:r>
          <w:rPr>
            <w:rFonts w:ascii="IRNazanin" w:hAnsi="IRNazanin" w:eastAsia="IRNazanin" w:cs="IRNazanin"/>
            <w:color w:val="111111"/>
            <w:sz w:val="22"/>
            <w:szCs w:val="22"/>
            <w:b w:val="0"/>
            <w:bCs w:val="0"/>
            <w:i w:val="0"/>
            <w:iCs w:val="0"/>
          </w:rPr>
          <w:t>7932- دیوان نهانی أکبرآبادی أو شعرها</w:t>
        </w:r>
        <w:r>
          <w:tab/>
        </w:r>
        <w:r>
          <w:fldChar w:fldCharType="begin"/>
        </w:r>
        <w:r>
          <w:instrText xml:space="preserve">PAGEREF 9204 \h</w:instrText>
        </w:r>
        <w:r>
          <w:fldChar w:fldCharType="end"/>
        </w:r>
      </w:hyperlink>
    </w:p>
    <w:p>
      <w:pPr>
        <w:tabs>
          <w:tab w:val="right" w:leader="dot" w:pos="9062"/>
        </w:tabs>
        <w:ind w:left="440"/>
      </w:pPr>
      <w:hyperlink w:anchor="_Toc9205" w:history="1">
        <w:r>
          <w:rPr>
            <w:rFonts w:ascii="IRNazanin" w:hAnsi="IRNazanin" w:eastAsia="IRNazanin" w:cs="IRNazanin"/>
            <w:color w:val="111111"/>
            <w:sz w:val="22"/>
            <w:szCs w:val="22"/>
            <w:b w:val="0"/>
            <w:bCs w:val="0"/>
            <w:i w:val="0"/>
            <w:iCs w:val="0"/>
          </w:rPr>
          <w:t>7933- دیوان نهانی شیرازی أو شعرها</w:t>
        </w:r>
        <w:r>
          <w:tab/>
        </w:r>
        <w:r>
          <w:fldChar w:fldCharType="begin"/>
        </w:r>
        <w:r>
          <w:instrText xml:space="preserve">PAGEREF 9205 \h</w:instrText>
        </w:r>
        <w:r>
          <w:fldChar w:fldCharType="end"/>
        </w:r>
      </w:hyperlink>
    </w:p>
    <w:p>
      <w:pPr>
        <w:tabs>
          <w:tab w:val="right" w:leader="dot" w:pos="9062"/>
        </w:tabs>
        <w:ind w:left="440"/>
      </w:pPr>
      <w:hyperlink w:anchor="_Toc9206" w:history="1">
        <w:r>
          <w:rPr>
            <w:rFonts w:ascii="IRNazanin" w:hAnsi="IRNazanin" w:eastAsia="IRNazanin" w:cs="IRNazanin"/>
            <w:color w:val="111111"/>
            <w:sz w:val="22"/>
            <w:szCs w:val="22"/>
            <w:b w:val="0"/>
            <w:bCs w:val="0"/>
            <w:i w:val="0"/>
            <w:iCs w:val="0"/>
          </w:rPr>
          <w:t>7934- دیوان نهانی قاینی أو شعرها</w:t>
        </w:r>
        <w:r>
          <w:tab/>
        </w:r>
        <w:r>
          <w:fldChar w:fldCharType="begin"/>
        </w:r>
        <w:r>
          <w:instrText xml:space="preserve">PAGEREF 9206 \h</w:instrText>
        </w:r>
        <w:r>
          <w:fldChar w:fldCharType="end"/>
        </w:r>
      </w:hyperlink>
    </w:p>
    <w:p>
      <w:pPr>
        <w:tabs>
          <w:tab w:val="right" w:leader="dot" w:pos="9062"/>
        </w:tabs>
        <w:ind w:left="440"/>
      </w:pPr>
      <w:hyperlink w:anchor="_Toc9207" w:history="1">
        <w:r>
          <w:rPr>
            <w:rFonts w:ascii="IRNazanin" w:hAnsi="IRNazanin" w:eastAsia="IRNazanin" w:cs="IRNazanin"/>
            <w:color w:val="111111"/>
            <w:sz w:val="22"/>
            <w:szCs w:val="22"/>
            <w:b w:val="0"/>
            <w:bCs w:val="0"/>
            <w:i w:val="0"/>
            <w:iCs w:val="0"/>
          </w:rPr>
          <w:t>7935- دیوان نهانی کرمانی أو شعرها</w:t>
        </w:r>
        <w:r>
          <w:tab/>
        </w:r>
        <w:r>
          <w:fldChar w:fldCharType="begin"/>
        </w:r>
        <w:r>
          <w:instrText xml:space="preserve">PAGEREF 9207 \h</w:instrText>
        </w:r>
        <w:r>
          <w:fldChar w:fldCharType="end"/>
        </w:r>
      </w:hyperlink>
    </w:p>
    <w:p>
      <w:pPr>
        <w:tabs>
          <w:tab w:val="right" w:leader="dot" w:pos="9062"/>
        </w:tabs>
        <w:ind w:left="440"/>
      </w:pPr>
      <w:hyperlink w:anchor="_Toc9208" w:history="1">
        <w:r>
          <w:rPr>
            <w:rFonts w:ascii="IRNazanin" w:hAnsi="IRNazanin" w:eastAsia="IRNazanin" w:cs="IRNazanin"/>
            <w:color w:val="111111"/>
            <w:sz w:val="22"/>
            <w:szCs w:val="22"/>
            <w:b w:val="0"/>
            <w:bCs w:val="0"/>
            <w:i w:val="0"/>
            <w:iCs w:val="0"/>
          </w:rPr>
          <w:t>دیوان نیاز أصفهانی‏</w:t>
        </w:r>
        <w:r>
          <w:tab/>
        </w:r>
        <w:r>
          <w:fldChar w:fldCharType="begin"/>
        </w:r>
        <w:r>
          <w:instrText xml:space="preserve">PAGEREF 9208 \h</w:instrText>
        </w:r>
        <w:r>
          <w:fldChar w:fldCharType="end"/>
        </w:r>
      </w:hyperlink>
    </w:p>
    <w:p>
      <w:pPr>
        <w:tabs>
          <w:tab w:val="right" w:leader="dot" w:pos="9062"/>
        </w:tabs>
        <w:ind w:left="440"/>
      </w:pPr>
      <w:hyperlink w:anchor="_Toc9209" w:history="1">
        <w:r>
          <w:rPr>
            <w:rFonts w:ascii="IRNazanin" w:hAnsi="IRNazanin" w:eastAsia="IRNazanin" w:cs="IRNazanin"/>
            <w:color w:val="111111"/>
            <w:sz w:val="22"/>
            <w:szCs w:val="22"/>
            <w:b w:val="0"/>
            <w:bCs w:val="0"/>
            <w:i w:val="0"/>
            <w:iCs w:val="0"/>
          </w:rPr>
          <w:t>7936- دیوان نیاز بریلوی‏</w:t>
        </w:r>
        <w:r>
          <w:tab/>
        </w:r>
        <w:r>
          <w:fldChar w:fldCharType="begin"/>
        </w:r>
        <w:r>
          <w:instrText xml:space="preserve">PAGEREF 9209 \h</w:instrText>
        </w:r>
        <w:r>
          <w:fldChar w:fldCharType="end"/>
        </w:r>
      </w:hyperlink>
    </w:p>
    <w:p>
      <w:pPr>
        <w:tabs>
          <w:tab w:val="right" w:leader="dot" w:pos="9062"/>
        </w:tabs>
        <w:ind w:left="440"/>
      </w:pPr>
      <w:hyperlink w:anchor="_Toc9210" w:history="1">
        <w:r>
          <w:rPr>
            <w:rFonts w:ascii="IRNazanin" w:hAnsi="IRNazanin" w:eastAsia="IRNazanin" w:cs="IRNazanin"/>
            <w:color w:val="111111"/>
            <w:sz w:val="22"/>
            <w:szCs w:val="22"/>
            <w:b w:val="0"/>
            <w:bCs w:val="0"/>
            <w:i w:val="0"/>
            <w:iCs w:val="0"/>
          </w:rPr>
          <w:t>7937- دیوان نیاز تبریزی أو شعره‏</w:t>
        </w:r>
        <w:r>
          <w:tab/>
        </w:r>
        <w:r>
          <w:fldChar w:fldCharType="begin"/>
        </w:r>
        <w:r>
          <w:instrText xml:space="preserve">PAGEREF 9210 \h</w:instrText>
        </w:r>
        <w:r>
          <w:fldChar w:fldCharType="end"/>
        </w:r>
      </w:hyperlink>
    </w:p>
    <w:p>
      <w:pPr>
        <w:tabs>
          <w:tab w:val="right" w:leader="dot" w:pos="9062"/>
        </w:tabs>
        <w:ind w:left="440"/>
      </w:pPr>
      <w:hyperlink w:anchor="_Toc9211" w:history="1">
        <w:r>
          <w:rPr>
            <w:rFonts w:ascii="IRNazanin" w:hAnsi="IRNazanin" w:eastAsia="IRNazanin" w:cs="IRNazanin"/>
            <w:color w:val="111111"/>
            <w:sz w:val="22"/>
            <w:szCs w:val="22"/>
            <w:b w:val="0"/>
            <w:bCs w:val="0"/>
            <w:i w:val="0"/>
            <w:iCs w:val="0"/>
          </w:rPr>
          <w:t>7938- دیوان نیاز جوشقانی‏</w:t>
        </w:r>
        <w:r>
          <w:tab/>
        </w:r>
        <w:r>
          <w:fldChar w:fldCharType="begin"/>
        </w:r>
        <w:r>
          <w:instrText xml:space="preserve">PAGEREF 9211 \h</w:instrText>
        </w:r>
        <w:r>
          <w:fldChar w:fldCharType="end"/>
        </w:r>
      </w:hyperlink>
    </w:p>
    <w:p>
      <w:pPr>
        <w:tabs>
          <w:tab w:val="right" w:leader="dot" w:pos="9062"/>
        </w:tabs>
        <w:ind w:left="440"/>
      </w:pPr>
      <w:hyperlink w:anchor="_Toc9212" w:history="1">
        <w:r>
          <w:rPr>
            <w:rFonts w:ascii="IRNazanin" w:hAnsi="IRNazanin" w:eastAsia="IRNazanin" w:cs="IRNazanin"/>
            <w:color w:val="111111"/>
            <w:sz w:val="22"/>
            <w:szCs w:val="22"/>
            <w:b w:val="0"/>
            <w:bCs w:val="0"/>
            <w:i w:val="0"/>
            <w:iCs w:val="0"/>
          </w:rPr>
          <w:t>7939- دیوان نیاز دهلوی أو شعره‏</w:t>
        </w:r>
        <w:r>
          <w:tab/>
        </w:r>
        <w:r>
          <w:fldChar w:fldCharType="begin"/>
        </w:r>
        <w:r>
          <w:instrText xml:space="preserve">PAGEREF 9212 \h</w:instrText>
        </w:r>
        <w:r>
          <w:fldChar w:fldCharType="end"/>
        </w:r>
      </w:hyperlink>
    </w:p>
    <w:p>
      <w:pPr>
        <w:tabs>
          <w:tab w:val="right" w:leader="dot" w:pos="9062"/>
        </w:tabs>
        <w:ind w:left="440"/>
      </w:pPr>
      <w:hyperlink w:anchor="_Toc9213" w:history="1">
        <w:r>
          <w:rPr>
            <w:rFonts w:ascii="IRNazanin" w:hAnsi="IRNazanin" w:eastAsia="IRNazanin" w:cs="IRNazanin"/>
            <w:color w:val="111111"/>
            <w:sz w:val="22"/>
            <w:szCs w:val="22"/>
            <w:b w:val="0"/>
            <w:bCs w:val="0"/>
            <w:i w:val="0"/>
            <w:iCs w:val="0"/>
          </w:rPr>
          <w:t>دیوان نیاز السلاطین‏</w:t>
        </w:r>
        <w:r>
          <w:tab/>
        </w:r>
        <w:r>
          <w:fldChar w:fldCharType="begin"/>
        </w:r>
        <w:r>
          <w:instrText xml:space="preserve">PAGEREF 9213 \h</w:instrText>
        </w:r>
        <w:r>
          <w:fldChar w:fldCharType="end"/>
        </w:r>
      </w:hyperlink>
    </w:p>
    <w:p>
      <w:pPr>
        <w:tabs>
          <w:tab w:val="right" w:leader="dot" w:pos="9062"/>
        </w:tabs>
        <w:ind w:left="440"/>
      </w:pPr>
      <w:hyperlink w:anchor="_Toc9214" w:history="1">
        <w:r>
          <w:rPr>
            <w:rFonts w:ascii="IRNazanin" w:hAnsi="IRNazanin" w:eastAsia="IRNazanin" w:cs="IRNazanin"/>
            <w:color w:val="111111"/>
            <w:sz w:val="22"/>
            <w:szCs w:val="22"/>
            <w:b w:val="0"/>
            <w:bCs w:val="0"/>
            <w:i w:val="0"/>
            <w:iCs w:val="0"/>
          </w:rPr>
          <w:t>7940- دیوان نیاز شیرازی‏</w:t>
        </w:r>
        <w:r>
          <w:tab/>
        </w:r>
        <w:r>
          <w:fldChar w:fldCharType="begin"/>
        </w:r>
        <w:r>
          <w:instrText xml:space="preserve">PAGEREF 9214 \h</w:instrText>
        </w:r>
        <w:r>
          <w:fldChar w:fldCharType="end"/>
        </w:r>
      </w:hyperlink>
    </w:p>
    <w:p>
      <w:pPr>
        <w:tabs>
          <w:tab w:val="right" w:leader="dot" w:pos="9062"/>
        </w:tabs>
        <w:ind w:left="440"/>
      </w:pPr>
      <w:hyperlink w:anchor="_Toc9215" w:history="1">
        <w:r>
          <w:rPr>
            <w:rFonts w:ascii="IRNazanin" w:hAnsi="IRNazanin" w:eastAsia="IRNazanin" w:cs="IRNazanin"/>
            <w:color w:val="111111"/>
            <w:sz w:val="22"/>
            <w:szCs w:val="22"/>
            <w:b w:val="0"/>
            <w:bCs w:val="0"/>
            <w:i w:val="0"/>
            <w:iCs w:val="0"/>
          </w:rPr>
          <w:t>7941- دیوان نیاز شیرازی‏</w:t>
        </w:r>
        <w:r>
          <w:tab/>
        </w:r>
        <w:r>
          <w:fldChar w:fldCharType="begin"/>
        </w:r>
        <w:r>
          <w:instrText xml:space="preserve">PAGEREF 9215 \h</w:instrText>
        </w:r>
        <w:r>
          <w:fldChar w:fldCharType="end"/>
        </w:r>
      </w:hyperlink>
    </w:p>
    <w:p>
      <w:pPr>
        <w:tabs>
          <w:tab w:val="right" w:leader="dot" w:pos="9062"/>
        </w:tabs>
        <w:ind w:left="440"/>
      </w:pPr>
      <w:hyperlink w:anchor="_Toc9216" w:history="1">
        <w:r>
          <w:rPr>
            <w:rFonts w:ascii="IRNazanin" w:hAnsi="IRNazanin" w:eastAsia="IRNazanin" w:cs="IRNazanin"/>
            <w:color w:val="111111"/>
            <w:sz w:val="22"/>
            <w:szCs w:val="22"/>
            <w:b w:val="0"/>
            <w:bCs w:val="0"/>
            <w:i w:val="0"/>
            <w:iCs w:val="0"/>
          </w:rPr>
          <w:t>7942- دیوان نیاز هندی أو شعره‏</w:t>
        </w:r>
        <w:r>
          <w:tab/>
        </w:r>
        <w:r>
          <w:fldChar w:fldCharType="begin"/>
        </w:r>
        <w:r>
          <w:instrText xml:space="preserve">PAGEREF 9216 \h</w:instrText>
        </w:r>
        <w:r>
          <w:fldChar w:fldCharType="end"/>
        </w:r>
      </w:hyperlink>
    </w:p>
    <w:p>
      <w:pPr>
        <w:tabs>
          <w:tab w:val="right" w:leader="dot" w:pos="9062"/>
        </w:tabs>
        <w:ind w:left="440"/>
      </w:pPr>
      <w:hyperlink w:anchor="_Toc9217" w:history="1">
        <w:r>
          <w:rPr>
            <w:rFonts w:ascii="IRNazanin" w:hAnsi="IRNazanin" w:eastAsia="IRNazanin" w:cs="IRNazanin"/>
            <w:color w:val="111111"/>
            <w:sz w:val="22"/>
            <w:szCs w:val="22"/>
            <w:b w:val="0"/>
            <w:bCs w:val="0"/>
            <w:i w:val="0"/>
            <w:iCs w:val="0"/>
          </w:rPr>
          <w:t>7943- دیوان نیاز أسترآبادی أو شعره‏</w:t>
        </w:r>
        <w:r>
          <w:tab/>
        </w:r>
        <w:r>
          <w:fldChar w:fldCharType="begin"/>
        </w:r>
        <w:r>
          <w:instrText xml:space="preserve">PAGEREF 9217 \h</w:instrText>
        </w:r>
        <w:r>
          <w:fldChar w:fldCharType="end"/>
        </w:r>
      </w:hyperlink>
    </w:p>
    <w:p>
      <w:pPr>
        <w:tabs>
          <w:tab w:val="right" w:leader="dot" w:pos="9062"/>
        </w:tabs>
        <w:ind w:left="440"/>
      </w:pPr>
      <w:hyperlink w:anchor="_Toc9218" w:history="1">
        <w:r>
          <w:rPr>
            <w:rFonts w:ascii="IRNazanin" w:hAnsi="IRNazanin" w:eastAsia="IRNazanin" w:cs="IRNazanin"/>
            <w:color w:val="111111"/>
            <w:sz w:val="22"/>
            <w:szCs w:val="22"/>
            <w:b w:val="0"/>
            <w:bCs w:val="0"/>
            <w:i w:val="0"/>
            <w:iCs w:val="0"/>
          </w:rPr>
          <w:t>دیوان نیازی أصفهانی‏</w:t>
        </w:r>
        <w:r>
          <w:tab/>
        </w:r>
        <w:r>
          <w:fldChar w:fldCharType="begin"/>
        </w:r>
        <w:r>
          <w:instrText xml:space="preserve">PAGEREF 9218 \h</w:instrText>
        </w:r>
        <w:r>
          <w:fldChar w:fldCharType="end"/>
        </w:r>
      </w:hyperlink>
    </w:p>
    <w:p>
      <w:pPr>
        <w:tabs>
          <w:tab w:val="right" w:leader="dot" w:pos="9062"/>
        </w:tabs>
        <w:ind w:left="440"/>
      </w:pPr>
      <w:hyperlink w:anchor="_Toc9219" w:history="1">
        <w:r>
          <w:rPr>
            <w:rFonts w:ascii="IRNazanin" w:hAnsi="IRNazanin" w:eastAsia="IRNazanin" w:cs="IRNazanin"/>
            <w:color w:val="111111"/>
            <w:sz w:val="22"/>
            <w:szCs w:val="22"/>
            <w:b w:val="0"/>
            <w:bCs w:val="0"/>
            <w:i w:val="0"/>
            <w:iCs w:val="0"/>
          </w:rPr>
          <w:t>7944- دیوان نیازی أصفهانی أو شعره‏</w:t>
        </w:r>
        <w:r>
          <w:tab/>
        </w:r>
        <w:r>
          <w:fldChar w:fldCharType="begin"/>
        </w:r>
        <w:r>
          <w:instrText xml:space="preserve">PAGEREF 9219 \h</w:instrText>
        </w:r>
        <w:r>
          <w:fldChar w:fldCharType="end"/>
        </w:r>
      </w:hyperlink>
    </w:p>
    <w:p>
      <w:pPr>
        <w:tabs>
          <w:tab w:val="right" w:leader="dot" w:pos="9062"/>
        </w:tabs>
        <w:ind w:left="440"/>
      </w:pPr>
      <w:hyperlink w:anchor="_Toc9220" w:history="1">
        <w:r>
          <w:rPr>
            <w:rFonts w:ascii="IRNazanin" w:hAnsi="IRNazanin" w:eastAsia="IRNazanin" w:cs="IRNazanin"/>
            <w:color w:val="111111"/>
            <w:sz w:val="22"/>
            <w:szCs w:val="22"/>
            <w:b w:val="0"/>
            <w:bCs w:val="0"/>
            <w:i w:val="0"/>
            <w:iCs w:val="0"/>
          </w:rPr>
          <w:t>7945- دیوان نیازی بخاری أو شعره‏</w:t>
        </w:r>
        <w:r>
          <w:tab/>
        </w:r>
        <w:r>
          <w:fldChar w:fldCharType="begin"/>
        </w:r>
        <w:r>
          <w:instrText xml:space="preserve">PAGEREF 9220 \h</w:instrText>
        </w:r>
        <w:r>
          <w:fldChar w:fldCharType="end"/>
        </w:r>
      </w:hyperlink>
    </w:p>
    <w:p>
      <w:pPr>
        <w:tabs>
          <w:tab w:val="right" w:leader="dot" w:pos="9062"/>
        </w:tabs>
        <w:ind w:left="440"/>
      </w:pPr>
      <w:hyperlink w:anchor="_Toc9221" w:history="1">
        <w:r>
          <w:rPr>
            <w:rFonts w:ascii="IRNazanin" w:hAnsi="IRNazanin" w:eastAsia="IRNazanin" w:cs="IRNazanin"/>
            <w:color w:val="111111"/>
            <w:sz w:val="22"/>
            <w:szCs w:val="22"/>
            <w:b w:val="0"/>
            <w:bCs w:val="0"/>
            <w:i w:val="0"/>
            <w:iCs w:val="0"/>
          </w:rPr>
          <w:t>7946- دیوان نیازی بدخشی أو شعره‏</w:t>
        </w:r>
        <w:r>
          <w:tab/>
        </w:r>
        <w:r>
          <w:fldChar w:fldCharType="begin"/>
        </w:r>
        <w:r>
          <w:instrText xml:space="preserve">PAGEREF 9221 \h</w:instrText>
        </w:r>
        <w:r>
          <w:fldChar w:fldCharType="end"/>
        </w:r>
      </w:hyperlink>
    </w:p>
    <w:p>
      <w:pPr>
        <w:tabs>
          <w:tab w:val="right" w:leader="dot" w:pos="9062"/>
        </w:tabs>
        <w:ind w:left="440"/>
      </w:pPr>
      <w:hyperlink w:anchor="_Toc9222" w:history="1">
        <w:r>
          <w:rPr>
            <w:rFonts w:ascii="IRNazanin" w:hAnsi="IRNazanin" w:eastAsia="IRNazanin" w:cs="IRNazanin"/>
            <w:color w:val="111111"/>
            <w:sz w:val="22"/>
            <w:szCs w:val="22"/>
            <w:b w:val="0"/>
            <w:bCs w:val="0"/>
            <w:i w:val="0"/>
            <w:iCs w:val="0"/>
          </w:rPr>
          <w:t>7947- دیوان نیازی حجازی‏</w:t>
        </w:r>
        <w:r>
          <w:tab/>
        </w:r>
        <w:r>
          <w:fldChar w:fldCharType="begin"/>
        </w:r>
        <w:r>
          <w:instrText xml:space="preserve">PAGEREF 9222 \h</w:instrText>
        </w:r>
        <w:r>
          <w:fldChar w:fldCharType="end"/>
        </w:r>
      </w:hyperlink>
    </w:p>
    <w:p>
      <w:pPr>
        <w:tabs>
          <w:tab w:val="right" w:leader="dot" w:pos="9062"/>
        </w:tabs>
        <w:ind w:left="440"/>
      </w:pPr>
      <w:hyperlink w:anchor="_Toc9223" w:history="1">
        <w:r>
          <w:rPr>
            <w:rFonts w:ascii="IRNazanin" w:hAnsi="IRNazanin" w:eastAsia="IRNazanin" w:cs="IRNazanin"/>
            <w:color w:val="111111"/>
            <w:sz w:val="22"/>
            <w:szCs w:val="22"/>
            <w:b w:val="0"/>
            <w:bCs w:val="0"/>
            <w:i w:val="0"/>
            <w:iCs w:val="0"/>
          </w:rPr>
          <w:t>7948- دیوان نیازی دهلوی أو شعره‏</w:t>
        </w:r>
        <w:r>
          <w:tab/>
        </w:r>
        <w:r>
          <w:fldChar w:fldCharType="begin"/>
        </w:r>
        <w:r>
          <w:instrText xml:space="preserve">PAGEREF 9223 \h</w:instrText>
        </w:r>
        <w:r>
          <w:fldChar w:fldCharType="end"/>
        </w:r>
      </w:hyperlink>
    </w:p>
    <w:p>
      <w:pPr>
        <w:tabs>
          <w:tab w:val="right" w:leader="dot" w:pos="9062"/>
        </w:tabs>
        <w:ind w:left="440"/>
      </w:pPr>
      <w:hyperlink w:anchor="_Toc9224" w:history="1">
        <w:r>
          <w:rPr>
            <w:rFonts w:ascii="IRNazanin" w:hAnsi="IRNazanin" w:eastAsia="IRNazanin" w:cs="IRNazanin"/>
            <w:color w:val="111111"/>
            <w:sz w:val="22"/>
            <w:szCs w:val="22"/>
            <w:b w:val="0"/>
            <w:bCs w:val="0"/>
            <w:i w:val="0"/>
            <w:iCs w:val="0"/>
          </w:rPr>
          <w:t>دیوان نیازی سمرقندی‏</w:t>
        </w:r>
        <w:r>
          <w:tab/>
        </w:r>
        <w:r>
          <w:fldChar w:fldCharType="begin"/>
        </w:r>
        <w:r>
          <w:instrText xml:space="preserve">PAGEREF 9224 \h</w:instrText>
        </w:r>
        <w:r>
          <w:fldChar w:fldCharType="end"/>
        </w:r>
      </w:hyperlink>
    </w:p>
    <w:p>
      <w:pPr>
        <w:tabs>
          <w:tab w:val="right" w:leader="dot" w:pos="9062"/>
        </w:tabs>
        <w:ind w:left="440"/>
      </w:pPr>
      <w:hyperlink w:anchor="_Toc9225" w:history="1">
        <w:r>
          <w:rPr>
            <w:rFonts w:ascii="IRNazanin" w:hAnsi="IRNazanin" w:eastAsia="IRNazanin" w:cs="IRNazanin"/>
            <w:color w:val="111111"/>
            <w:sz w:val="22"/>
            <w:szCs w:val="22"/>
            <w:b w:val="0"/>
            <w:bCs w:val="0"/>
            <w:i w:val="0"/>
            <w:iCs w:val="0"/>
          </w:rPr>
          <w:t>دیوان نیازی شرفی‏</w:t>
        </w:r>
        <w:r>
          <w:tab/>
        </w:r>
        <w:r>
          <w:fldChar w:fldCharType="begin"/>
        </w:r>
        <w:r>
          <w:instrText xml:space="preserve">PAGEREF 9225 \h</w:instrText>
        </w:r>
        <w:r>
          <w:fldChar w:fldCharType="end"/>
        </w:r>
      </w:hyperlink>
    </w:p>
    <w:p>
      <w:pPr>
        <w:tabs>
          <w:tab w:val="right" w:leader="dot" w:pos="9062"/>
        </w:tabs>
        <w:ind w:left="440"/>
      </w:pPr>
      <w:hyperlink w:anchor="_Toc9226" w:history="1">
        <w:r>
          <w:rPr>
            <w:rFonts w:ascii="IRNazanin" w:hAnsi="IRNazanin" w:eastAsia="IRNazanin" w:cs="IRNazanin"/>
            <w:color w:val="111111"/>
            <w:sz w:val="22"/>
            <w:szCs w:val="22"/>
            <w:b w:val="0"/>
            <w:bCs w:val="0"/>
            <w:i w:val="0"/>
            <w:iCs w:val="0"/>
          </w:rPr>
          <w:t>7949- دیوان نیازی شوشتری أو شعره‏</w:t>
        </w:r>
        <w:r>
          <w:tab/>
        </w:r>
        <w:r>
          <w:fldChar w:fldCharType="begin"/>
        </w:r>
        <w:r>
          <w:instrText xml:space="preserve">PAGEREF 9226 \h</w:instrText>
        </w:r>
        <w:r>
          <w:fldChar w:fldCharType="end"/>
        </w:r>
      </w:hyperlink>
    </w:p>
    <w:p>
      <w:pPr>
        <w:tabs>
          <w:tab w:val="right" w:leader="dot" w:pos="9062"/>
        </w:tabs>
        <w:ind w:left="440"/>
      </w:pPr>
      <w:hyperlink w:anchor="_Toc9227" w:history="1">
        <w:r>
          <w:rPr>
            <w:rFonts w:ascii="IRNazanin" w:hAnsi="IRNazanin" w:eastAsia="IRNazanin" w:cs="IRNazanin"/>
            <w:color w:val="111111"/>
            <w:sz w:val="22"/>
            <w:szCs w:val="22"/>
            <w:b w:val="0"/>
            <w:bCs w:val="0"/>
            <w:i w:val="0"/>
            <w:iCs w:val="0"/>
          </w:rPr>
          <w:t>7950- دیوان نیازی صفوی‏</w:t>
        </w:r>
        <w:r>
          <w:tab/>
        </w:r>
        <w:r>
          <w:fldChar w:fldCharType="begin"/>
        </w:r>
        <w:r>
          <w:instrText xml:space="preserve">PAGEREF 9227 \h</w:instrText>
        </w:r>
        <w:r>
          <w:fldChar w:fldCharType="end"/>
        </w:r>
      </w:hyperlink>
    </w:p>
    <w:p>
      <w:pPr>
        <w:tabs>
          <w:tab w:val="right" w:leader="dot" w:pos="9062"/>
        </w:tabs>
        <w:ind w:left="440"/>
      </w:pPr>
      <w:hyperlink w:anchor="_Toc9228" w:history="1">
        <w:r>
          <w:rPr>
            <w:rFonts w:ascii="IRNazanin" w:hAnsi="IRNazanin" w:eastAsia="IRNazanin" w:cs="IRNazanin"/>
            <w:color w:val="111111"/>
            <w:sz w:val="22"/>
            <w:szCs w:val="22"/>
            <w:b w:val="0"/>
            <w:bCs w:val="0"/>
            <w:i w:val="0"/>
            <w:iCs w:val="0"/>
          </w:rPr>
          <w:t>7951- دیوان نیازی قزوینی أو شعره‏</w:t>
        </w:r>
        <w:r>
          <w:tab/>
        </w:r>
        <w:r>
          <w:fldChar w:fldCharType="begin"/>
        </w:r>
        <w:r>
          <w:instrText xml:space="preserve">PAGEREF 9228 \h</w:instrText>
        </w:r>
        <w:r>
          <w:fldChar w:fldCharType="end"/>
        </w:r>
      </w:hyperlink>
    </w:p>
    <w:p>
      <w:pPr>
        <w:tabs>
          <w:tab w:val="right" w:leader="dot" w:pos="9062"/>
        </w:tabs>
        <w:ind w:left="440"/>
      </w:pPr>
      <w:hyperlink w:anchor="_Toc9229" w:history="1">
        <w:r>
          <w:rPr>
            <w:rFonts w:ascii="IRNazanin" w:hAnsi="IRNazanin" w:eastAsia="IRNazanin" w:cs="IRNazanin"/>
            <w:color w:val="111111"/>
            <w:sz w:val="22"/>
            <w:szCs w:val="22"/>
            <w:b w:val="0"/>
            <w:bCs w:val="0"/>
            <w:i w:val="0"/>
            <w:iCs w:val="0"/>
          </w:rPr>
          <w:t>7952- دیوان نیازی هروی أو شعره‏</w:t>
        </w:r>
        <w:r>
          <w:tab/>
        </w:r>
        <w:r>
          <w:fldChar w:fldCharType="begin"/>
        </w:r>
        <w:r>
          <w:instrText xml:space="preserve">PAGEREF 9229 \h</w:instrText>
        </w:r>
        <w:r>
          <w:fldChar w:fldCharType="end"/>
        </w:r>
      </w:hyperlink>
    </w:p>
    <w:p>
      <w:pPr>
        <w:tabs>
          <w:tab w:val="right" w:leader="dot" w:pos="9062"/>
        </w:tabs>
        <w:ind w:left="440"/>
      </w:pPr>
      <w:hyperlink w:anchor="_Toc9230" w:history="1">
        <w:r>
          <w:rPr>
            <w:rFonts w:ascii="IRNazanin" w:hAnsi="IRNazanin" w:eastAsia="IRNazanin" w:cs="IRNazanin"/>
            <w:color w:val="111111"/>
            <w:sz w:val="22"/>
            <w:szCs w:val="22"/>
            <w:b w:val="0"/>
            <w:bCs w:val="0"/>
            <w:i w:val="0"/>
            <w:iCs w:val="0"/>
          </w:rPr>
          <w:t>دیوان نیازی یزدی‏</w:t>
        </w:r>
        <w:r>
          <w:tab/>
        </w:r>
        <w:r>
          <w:fldChar w:fldCharType="begin"/>
        </w:r>
        <w:r>
          <w:instrText xml:space="preserve">PAGEREF 9230 \h</w:instrText>
        </w:r>
        <w:r>
          <w:fldChar w:fldCharType="end"/>
        </w:r>
      </w:hyperlink>
    </w:p>
    <w:p>
      <w:pPr>
        <w:tabs>
          <w:tab w:val="right" w:leader="dot" w:pos="9062"/>
        </w:tabs>
        <w:ind w:left="440"/>
      </w:pPr>
      <w:hyperlink w:anchor="_Toc9231" w:history="1">
        <w:r>
          <w:rPr>
            <w:rFonts w:ascii="IRNazanin" w:hAnsi="IRNazanin" w:eastAsia="IRNazanin" w:cs="IRNazanin"/>
            <w:color w:val="111111"/>
            <w:sz w:val="22"/>
            <w:szCs w:val="22"/>
            <w:b w:val="0"/>
            <w:bCs w:val="0"/>
            <w:i w:val="0"/>
            <w:iCs w:val="0"/>
          </w:rPr>
          <w:t>7953- دیوان نیر أصفهانی‏</w:t>
        </w:r>
        <w:r>
          <w:tab/>
        </w:r>
        <w:r>
          <w:fldChar w:fldCharType="begin"/>
        </w:r>
        <w:r>
          <w:instrText xml:space="preserve">PAGEREF 9231 \h</w:instrText>
        </w:r>
        <w:r>
          <w:fldChar w:fldCharType="end"/>
        </w:r>
      </w:hyperlink>
    </w:p>
    <w:p>
      <w:pPr>
        <w:tabs>
          <w:tab w:val="right" w:leader="dot" w:pos="9062"/>
        </w:tabs>
        <w:ind w:left="440"/>
      </w:pPr>
      <w:hyperlink w:anchor="_Toc9232" w:history="1">
        <w:r>
          <w:rPr>
            <w:rFonts w:ascii="IRNazanin" w:hAnsi="IRNazanin" w:eastAsia="IRNazanin" w:cs="IRNazanin"/>
            <w:color w:val="111111"/>
            <w:sz w:val="22"/>
            <w:szCs w:val="22"/>
            <w:b w:val="0"/>
            <w:bCs w:val="0"/>
            <w:i w:val="0"/>
            <w:iCs w:val="0"/>
          </w:rPr>
          <w:t>7954- دیوان نیر أصفهانی‏</w:t>
        </w:r>
        <w:r>
          <w:tab/>
        </w:r>
        <w:r>
          <w:fldChar w:fldCharType="begin"/>
        </w:r>
        <w:r>
          <w:instrText xml:space="preserve">PAGEREF 9232 \h</w:instrText>
        </w:r>
        <w:r>
          <w:fldChar w:fldCharType="end"/>
        </w:r>
      </w:hyperlink>
    </w:p>
    <w:p>
      <w:pPr>
        <w:tabs>
          <w:tab w:val="right" w:leader="dot" w:pos="9062"/>
        </w:tabs>
        <w:ind w:left="440"/>
      </w:pPr>
      <w:hyperlink w:anchor="_Toc9233" w:history="1">
        <w:r>
          <w:rPr>
            <w:rFonts w:ascii="IRNazanin" w:hAnsi="IRNazanin" w:eastAsia="IRNazanin" w:cs="IRNazanin"/>
            <w:color w:val="111111"/>
            <w:sz w:val="22"/>
            <w:szCs w:val="22"/>
            <w:b w:val="0"/>
            <w:bCs w:val="0"/>
            <w:i w:val="0"/>
            <w:iCs w:val="0"/>
          </w:rPr>
          <w:t>7955- دیوان نیر بروجردی‏</w:t>
        </w:r>
        <w:r>
          <w:tab/>
        </w:r>
        <w:r>
          <w:fldChar w:fldCharType="begin"/>
        </w:r>
        <w:r>
          <w:instrText xml:space="preserve">PAGEREF 9233 \h</w:instrText>
        </w:r>
        <w:r>
          <w:fldChar w:fldCharType="end"/>
        </w:r>
      </w:hyperlink>
    </w:p>
    <w:p>
      <w:pPr>
        <w:tabs>
          <w:tab w:val="right" w:leader="dot" w:pos="9062"/>
        </w:tabs>
        <w:ind w:left="440"/>
      </w:pPr>
      <w:hyperlink w:anchor="_Toc9234" w:history="1">
        <w:r>
          <w:rPr>
            <w:rFonts w:ascii="IRNazanin" w:hAnsi="IRNazanin" w:eastAsia="IRNazanin" w:cs="IRNazanin"/>
            <w:color w:val="111111"/>
            <w:sz w:val="22"/>
            <w:szCs w:val="22"/>
            <w:b w:val="0"/>
            <w:bCs w:val="0"/>
            <w:i w:val="0"/>
            <w:iCs w:val="0"/>
          </w:rPr>
          <w:t>7956- دیوان نیر تبریزی‏</w:t>
        </w:r>
        <w:r>
          <w:tab/>
        </w:r>
        <w:r>
          <w:fldChar w:fldCharType="begin"/>
        </w:r>
        <w:r>
          <w:instrText xml:space="preserve">PAGEREF 9234 \h</w:instrText>
        </w:r>
        <w:r>
          <w:fldChar w:fldCharType="end"/>
        </w:r>
      </w:hyperlink>
    </w:p>
    <w:p>
      <w:pPr>
        <w:tabs>
          <w:tab w:val="right" w:leader="dot" w:pos="9062"/>
        </w:tabs>
        <w:ind w:left="440"/>
      </w:pPr>
      <w:hyperlink w:anchor="_Toc9235" w:history="1">
        <w:r>
          <w:rPr>
            <w:rFonts w:ascii="IRNazanin" w:hAnsi="IRNazanin" w:eastAsia="IRNazanin" w:cs="IRNazanin"/>
            <w:color w:val="111111"/>
            <w:sz w:val="22"/>
            <w:szCs w:val="22"/>
            <w:b w:val="0"/>
            <w:bCs w:val="0"/>
            <w:i w:val="0"/>
            <w:iCs w:val="0"/>
          </w:rPr>
          <w:t>7957- دیوان نیر حیدرآبادی أو شعره‏</w:t>
        </w:r>
        <w:r>
          <w:tab/>
        </w:r>
        <w:r>
          <w:fldChar w:fldCharType="begin"/>
        </w:r>
        <w:r>
          <w:instrText xml:space="preserve">PAGEREF 9235 \h</w:instrText>
        </w:r>
        <w:r>
          <w:fldChar w:fldCharType="end"/>
        </w:r>
      </w:hyperlink>
    </w:p>
    <w:p>
      <w:pPr>
        <w:tabs>
          <w:tab w:val="right" w:leader="dot" w:pos="9062"/>
        </w:tabs>
        <w:ind w:left="440"/>
      </w:pPr>
      <w:hyperlink w:anchor="_Toc9236" w:history="1">
        <w:r>
          <w:rPr>
            <w:rFonts w:ascii="IRNazanin" w:hAnsi="IRNazanin" w:eastAsia="IRNazanin" w:cs="IRNazanin"/>
            <w:color w:val="111111"/>
            <w:sz w:val="22"/>
            <w:szCs w:val="22"/>
            <w:b w:val="0"/>
            <w:bCs w:val="0"/>
            <w:i w:val="0"/>
            <w:iCs w:val="0"/>
          </w:rPr>
          <w:t>7958- دیوان نیر دهلوی أو شعره‏</w:t>
        </w:r>
        <w:r>
          <w:tab/>
        </w:r>
        <w:r>
          <w:fldChar w:fldCharType="begin"/>
        </w:r>
        <w:r>
          <w:instrText xml:space="preserve">PAGEREF 9236 \h</w:instrText>
        </w:r>
        <w:r>
          <w:fldChar w:fldCharType="end"/>
        </w:r>
      </w:hyperlink>
    </w:p>
    <w:p>
      <w:pPr>
        <w:tabs>
          <w:tab w:val="right" w:leader="dot" w:pos="9062"/>
        </w:tabs>
        <w:ind w:left="440"/>
      </w:pPr>
      <w:hyperlink w:anchor="_Toc9237" w:history="1">
        <w:r>
          <w:rPr>
            <w:rFonts w:ascii="IRNazanin" w:hAnsi="IRNazanin" w:eastAsia="IRNazanin" w:cs="IRNazanin"/>
            <w:color w:val="111111"/>
            <w:sz w:val="22"/>
            <w:szCs w:val="22"/>
            <w:b w:val="0"/>
            <w:bCs w:val="0"/>
            <w:i w:val="0"/>
            <w:iCs w:val="0"/>
          </w:rPr>
          <w:t>7959- دیوان نیر دهلوی أو شعره‏</w:t>
        </w:r>
        <w:r>
          <w:tab/>
        </w:r>
        <w:r>
          <w:fldChar w:fldCharType="begin"/>
        </w:r>
        <w:r>
          <w:instrText xml:space="preserve">PAGEREF 9237 \h</w:instrText>
        </w:r>
        <w:r>
          <w:fldChar w:fldCharType="end"/>
        </w:r>
      </w:hyperlink>
    </w:p>
    <w:p>
      <w:pPr>
        <w:tabs>
          <w:tab w:val="right" w:leader="dot" w:pos="9062"/>
        </w:tabs>
        <w:ind w:left="440"/>
      </w:pPr>
      <w:hyperlink w:anchor="_Toc9238" w:history="1">
        <w:r>
          <w:rPr>
            <w:rFonts w:ascii="IRNazanin" w:hAnsi="IRNazanin" w:eastAsia="IRNazanin" w:cs="IRNazanin"/>
            <w:color w:val="111111"/>
            <w:sz w:val="22"/>
            <w:szCs w:val="22"/>
            <w:b w:val="0"/>
            <w:bCs w:val="0"/>
            <w:i w:val="0"/>
            <w:iCs w:val="0"/>
          </w:rPr>
          <w:t>7960- دیوان نیر شیرازی‏</w:t>
        </w:r>
        <w:r>
          <w:tab/>
        </w:r>
        <w:r>
          <w:fldChar w:fldCharType="begin"/>
        </w:r>
        <w:r>
          <w:instrText xml:space="preserve">PAGEREF 9238 \h</w:instrText>
        </w:r>
        <w:r>
          <w:fldChar w:fldCharType="end"/>
        </w:r>
      </w:hyperlink>
    </w:p>
    <w:p>
      <w:pPr>
        <w:tabs>
          <w:tab w:val="right" w:leader="dot" w:pos="9062"/>
        </w:tabs>
        <w:ind w:left="440"/>
      </w:pPr>
      <w:hyperlink w:anchor="_Toc9239" w:history="1">
        <w:r>
          <w:rPr>
            <w:rFonts w:ascii="IRNazanin" w:hAnsi="IRNazanin" w:eastAsia="IRNazanin" w:cs="IRNazanin"/>
            <w:color w:val="111111"/>
            <w:sz w:val="22"/>
            <w:szCs w:val="22"/>
            <w:b w:val="0"/>
            <w:bCs w:val="0"/>
            <w:i w:val="0"/>
            <w:iCs w:val="0"/>
          </w:rPr>
          <w:t>7961- دیوان نیرنگ دهلوی أو شعره‏</w:t>
        </w:r>
        <w:r>
          <w:tab/>
        </w:r>
        <w:r>
          <w:fldChar w:fldCharType="begin"/>
        </w:r>
        <w:r>
          <w:instrText xml:space="preserve">PAGEREF 9239 \h</w:instrText>
        </w:r>
        <w:r>
          <w:fldChar w:fldCharType="end"/>
        </w:r>
      </w:hyperlink>
    </w:p>
    <w:p>
      <w:pPr>
        <w:tabs>
          <w:tab w:val="right" w:leader="dot" w:pos="9062"/>
        </w:tabs>
        <w:ind w:left="440"/>
      </w:pPr>
      <w:hyperlink w:anchor="_Toc9240" w:history="1">
        <w:r>
          <w:rPr>
            <w:rFonts w:ascii="IRNazanin" w:hAnsi="IRNazanin" w:eastAsia="IRNazanin" w:cs="IRNazanin"/>
            <w:color w:val="111111"/>
            <w:sz w:val="22"/>
            <w:szCs w:val="22"/>
            <w:b w:val="0"/>
            <w:bCs w:val="0"/>
            <w:i w:val="0"/>
            <w:iCs w:val="0"/>
          </w:rPr>
          <w:t>7962- دیوان نیر نوری‏</w:t>
        </w:r>
        <w:r>
          <w:tab/>
        </w:r>
        <w:r>
          <w:fldChar w:fldCharType="begin"/>
        </w:r>
        <w:r>
          <w:instrText xml:space="preserve">PAGEREF 9240 \h</w:instrText>
        </w:r>
        <w:r>
          <w:fldChar w:fldCharType="end"/>
        </w:r>
      </w:hyperlink>
    </w:p>
    <w:p>
      <w:pPr>
        <w:tabs>
          <w:tab w:val="right" w:leader="dot" w:pos="9062"/>
        </w:tabs>
        <w:ind w:left="440"/>
      </w:pPr>
      <w:hyperlink w:anchor="_Toc9241" w:history="1">
        <w:r>
          <w:rPr>
            <w:rFonts w:ascii="IRNazanin" w:hAnsi="IRNazanin" w:eastAsia="IRNazanin" w:cs="IRNazanin"/>
            <w:color w:val="111111"/>
            <w:sz w:val="22"/>
            <w:szCs w:val="22"/>
            <w:b w:val="0"/>
            <w:bCs w:val="0"/>
            <w:i w:val="0"/>
            <w:iCs w:val="0"/>
          </w:rPr>
          <w:t>7963- دیوان نیریزی‏</w:t>
        </w:r>
        <w:r>
          <w:tab/>
        </w:r>
        <w:r>
          <w:fldChar w:fldCharType="begin"/>
        </w:r>
        <w:r>
          <w:instrText xml:space="preserve">PAGEREF 9241 \h</w:instrText>
        </w:r>
        <w:r>
          <w:fldChar w:fldCharType="end"/>
        </w:r>
      </w:hyperlink>
    </w:p>
    <w:p>
      <w:pPr>
        <w:tabs>
          <w:tab w:val="right" w:leader="dot" w:pos="9062"/>
        </w:tabs>
        <w:ind w:left="440"/>
      </w:pPr>
      <w:hyperlink w:anchor="_Toc9242" w:history="1">
        <w:r>
          <w:rPr>
            <w:rFonts w:ascii="IRNazanin" w:hAnsi="IRNazanin" w:eastAsia="IRNazanin" w:cs="IRNazanin"/>
            <w:color w:val="111111"/>
            <w:sz w:val="22"/>
            <w:szCs w:val="22"/>
            <w:b w:val="0"/>
            <w:bCs w:val="0"/>
            <w:i w:val="0"/>
            <w:iCs w:val="0"/>
          </w:rPr>
          <w:t>7964- دیوان نیری شیرازی‏</w:t>
        </w:r>
        <w:r>
          <w:tab/>
        </w:r>
        <w:r>
          <w:fldChar w:fldCharType="begin"/>
        </w:r>
        <w:r>
          <w:instrText xml:space="preserve">PAGEREF 9242 \h</w:instrText>
        </w:r>
        <w:r>
          <w:fldChar w:fldCharType="end"/>
        </w:r>
      </w:hyperlink>
    </w:p>
    <w:p>
      <w:pPr>
        <w:tabs>
          <w:tab w:val="right" w:leader="dot" w:pos="9062"/>
        </w:tabs>
        <w:ind w:left="440"/>
      </w:pPr>
      <w:hyperlink w:anchor="_Toc9243" w:history="1">
        <w:r>
          <w:rPr>
            <w:rFonts w:ascii="IRNazanin" w:hAnsi="IRNazanin" w:eastAsia="IRNazanin" w:cs="IRNazanin"/>
            <w:color w:val="111111"/>
            <w:sz w:val="22"/>
            <w:szCs w:val="22"/>
            <w:b w:val="0"/>
            <w:bCs w:val="0"/>
            <w:i w:val="0"/>
            <w:iCs w:val="0"/>
          </w:rPr>
          <w:t>7965- دیوان نیسان شهشهانی‏</w:t>
        </w:r>
        <w:r>
          <w:tab/>
        </w:r>
        <w:r>
          <w:fldChar w:fldCharType="begin"/>
        </w:r>
        <w:r>
          <w:instrText xml:space="preserve">PAGEREF 9243 \h</w:instrText>
        </w:r>
        <w:r>
          <w:fldChar w:fldCharType="end"/>
        </w:r>
      </w:hyperlink>
    </w:p>
    <w:p>
      <w:pPr>
        <w:tabs>
          <w:tab w:val="right" w:leader="dot" w:pos="9062"/>
        </w:tabs>
        <w:ind w:left="440"/>
      </w:pPr>
      <w:hyperlink w:anchor="_Toc9244" w:history="1">
        <w:r>
          <w:rPr>
            <w:rFonts w:ascii="IRNazanin" w:hAnsi="IRNazanin" w:eastAsia="IRNazanin" w:cs="IRNazanin"/>
            <w:color w:val="111111"/>
            <w:sz w:val="22"/>
            <w:szCs w:val="22"/>
            <w:b w:val="0"/>
            <w:bCs w:val="0"/>
            <w:i w:val="0"/>
            <w:iCs w:val="0"/>
          </w:rPr>
          <w:t>دیوان نیستانکی‏</w:t>
        </w:r>
        <w:r>
          <w:tab/>
        </w:r>
        <w:r>
          <w:fldChar w:fldCharType="begin"/>
        </w:r>
        <w:r>
          <w:instrText xml:space="preserve">PAGEREF 9244 \h</w:instrText>
        </w:r>
        <w:r>
          <w:fldChar w:fldCharType="end"/>
        </w:r>
      </w:hyperlink>
    </w:p>
    <w:p>
      <w:pPr>
        <w:tabs>
          <w:tab w:val="right" w:leader="dot" w:pos="9062"/>
        </w:tabs>
        <w:ind w:left="440"/>
      </w:pPr>
      <w:hyperlink w:anchor="_Toc9245" w:history="1">
        <w:r>
          <w:rPr>
            <w:rFonts w:ascii="IRNazanin" w:hAnsi="IRNazanin" w:eastAsia="IRNazanin" w:cs="IRNazanin"/>
            <w:color w:val="111111"/>
            <w:sz w:val="22"/>
            <w:szCs w:val="22"/>
            <w:b w:val="0"/>
            <w:bCs w:val="0"/>
            <w:i w:val="0"/>
            <w:iCs w:val="0"/>
          </w:rPr>
          <w:t>7966- دیوان نیستانکی‏</w:t>
        </w:r>
        <w:r>
          <w:tab/>
        </w:r>
        <w:r>
          <w:fldChar w:fldCharType="begin"/>
        </w:r>
        <w:r>
          <w:instrText xml:space="preserve">PAGEREF 9245 \h</w:instrText>
        </w:r>
        <w:r>
          <w:fldChar w:fldCharType="end"/>
        </w:r>
      </w:hyperlink>
    </w:p>
    <w:p>
      <w:pPr>
        <w:tabs>
          <w:tab w:val="right" w:leader="dot" w:pos="9062"/>
        </w:tabs>
        <w:ind w:left="440"/>
      </w:pPr>
      <w:hyperlink w:anchor="_Toc9246" w:history="1">
        <w:r>
          <w:rPr>
            <w:rFonts w:ascii="IRNazanin" w:hAnsi="IRNazanin" w:eastAsia="IRNazanin" w:cs="IRNazanin"/>
            <w:color w:val="111111"/>
            <w:sz w:val="22"/>
            <w:szCs w:val="22"/>
            <w:b w:val="0"/>
            <w:bCs w:val="0"/>
            <w:i w:val="0"/>
            <w:iCs w:val="0"/>
          </w:rPr>
          <w:t>7967- دیوان نیستی تبریزی أو شعره‏</w:t>
        </w:r>
        <w:r>
          <w:tab/>
        </w:r>
        <w:r>
          <w:fldChar w:fldCharType="begin"/>
        </w:r>
        <w:r>
          <w:instrText xml:space="preserve">PAGEREF 9246 \h</w:instrText>
        </w:r>
        <w:r>
          <w:fldChar w:fldCharType="end"/>
        </w:r>
      </w:hyperlink>
    </w:p>
    <w:p>
      <w:pPr>
        <w:tabs>
          <w:tab w:val="right" w:leader="dot" w:pos="9062"/>
        </w:tabs>
        <w:ind w:left="440"/>
      </w:pPr>
      <w:hyperlink w:anchor="_Toc9247" w:history="1">
        <w:r>
          <w:rPr>
            <w:rFonts w:ascii="IRNazanin" w:hAnsi="IRNazanin" w:eastAsia="IRNazanin" w:cs="IRNazanin"/>
            <w:color w:val="111111"/>
            <w:sz w:val="22"/>
            <w:szCs w:val="22"/>
            <w:b w:val="0"/>
            <w:bCs w:val="0"/>
            <w:i w:val="0"/>
            <w:iCs w:val="0"/>
          </w:rPr>
          <w:t>7968- دیوان نیستی رازی أو شعره‏</w:t>
        </w:r>
        <w:r>
          <w:tab/>
        </w:r>
        <w:r>
          <w:fldChar w:fldCharType="begin"/>
        </w:r>
        <w:r>
          <w:instrText xml:space="preserve">PAGEREF 9247 \h</w:instrText>
        </w:r>
        <w:r>
          <w:fldChar w:fldCharType="end"/>
        </w:r>
      </w:hyperlink>
    </w:p>
    <w:p>
      <w:pPr>
        <w:tabs>
          <w:tab w:val="right" w:leader="dot" w:pos="9062"/>
        </w:tabs>
        <w:ind w:left="440"/>
      </w:pPr>
      <w:hyperlink w:anchor="_Toc9248" w:history="1">
        <w:r>
          <w:rPr>
            <w:rFonts w:ascii="IRNazanin" w:hAnsi="IRNazanin" w:eastAsia="IRNazanin" w:cs="IRNazanin"/>
            <w:color w:val="111111"/>
            <w:sz w:val="22"/>
            <w:szCs w:val="22"/>
            <w:b w:val="0"/>
            <w:bCs w:val="0"/>
            <w:i w:val="0"/>
            <w:iCs w:val="0"/>
          </w:rPr>
          <w:t>7969- دیوان النیسی‏</w:t>
        </w:r>
        <w:r>
          <w:tab/>
        </w:r>
        <w:r>
          <w:fldChar w:fldCharType="begin"/>
        </w:r>
        <w:r>
          <w:instrText xml:space="preserve">PAGEREF 9248 \h</w:instrText>
        </w:r>
        <w:r>
          <w:fldChar w:fldCharType="end"/>
        </w:r>
      </w:hyperlink>
    </w:p>
    <w:p>
      <w:pPr>
        <w:tabs>
          <w:tab w:val="right" w:leader="dot" w:pos="9062"/>
        </w:tabs>
        <w:ind w:left="440"/>
      </w:pPr>
      <w:hyperlink w:anchor="_Toc9249" w:history="1">
        <w:r>
          <w:rPr>
            <w:rFonts w:ascii="IRNazanin" w:hAnsi="IRNazanin" w:eastAsia="IRNazanin" w:cs="IRNazanin"/>
            <w:color w:val="111111"/>
            <w:sz w:val="22"/>
            <w:szCs w:val="22"/>
            <w:b w:val="0"/>
            <w:bCs w:val="0"/>
            <w:i w:val="0"/>
            <w:iCs w:val="0"/>
          </w:rPr>
          <w:t>دیوان نیشابوری‏</w:t>
        </w:r>
        <w:r>
          <w:tab/>
        </w:r>
        <w:r>
          <w:fldChar w:fldCharType="begin"/>
        </w:r>
        <w:r>
          <w:instrText xml:space="preserve">PAGEREF 9249 \h</w:instrText>
        </w:r>
        <w:r>
          <w:fldChar w:fldCharType="end"/>
        </w:r>
      </w:hyperlink>
    </w:p>
    <w:p>
      <w:pPr>
        <w:tabs>
          <w:tab w:val="right" w:leader="dot" w:pos="9062"/>
        </w:tabs>
        <w:ind w:left="440"/>
      </w:pPr>
      <w:hyperlink w:anchor="_Toc9250" w:history="1">
        <w:r>
          <w:rPr>
            <w:rFonts w:ascii="IRNazanin" w:hAnsi="IRNazanin" w:eastAsia="IRNazanin" w:cs="IRNazanin"/>
            <w:color w:val="111111"/>
            <w:sz w:val="22"/>
            <w:szCs w:val="22"/>
            <w:b w:val="0"/>
            <w:bCs w:val="0"/>
            <w:i w:val="0"/>
            <w:iCs w:val="0"/>
          </w:rPr>
          <w:t>7970- دیوان نیکی أصفهانی‏</w:t>
        </w:r>
        <w:r>
          <w:tab/>
        </w:r>
        <w:r>
          <w:fldChar w:fldCharType="begin"/>
        </w:r>
        <w:r>
          <w:instrText xml:space="preserve">PAGEREF 9250 \h</w:instrText>
        </w:r>
        <w:r>
          <w:fldChar w:fldCharType="end"/>
        </w:r>
      </w:hyperlink>
    </w:p>
    <w:p>
      <w:pPr>
        <w:tabs>
          <w:tab w:val="right" w:leader="dot" w:pos="9062"/>
        </w:tabs>
        <w:ind w:left="440"/>
      </w:pPr>
      <w:hyperlink w:anchor="_Toc9251" w:history="1">
        <w:r>
          <w:rPr>
            <w:rFonts w:ascii="IRNazanin" w:hAnsi="IRNazanin" w:eastAsia="IRNazanin" w:cs="IRNazanin"/>
            <w:color w:val="111111"/>
            <w:sz w:val="22"/>
            <w:szCs w:val="22"/>
            <w:b w:val="0"/>
            <w:bCs w:val="0"/>
            <w:i w:val="0"/>
            <w:iCs w:val="0"/>
          </w:rPr>
          <w:t>7971- دیوان نیما یوشیج‏</w:t>
        </w:r>
        <w:r>
          <w:tab/>
        </w:r>
        <w:r>
          <w:fldChar w:fldCharType="begin"/>
        </w:r>
        <w:r>
          <w:instrText xml:space="preserve">PAGEREF 9251 \h</w:instrText>
        </w:r>
        <w:r>
          <w:fldChar w:fldCharType="end"/>
        </w:r>
      </w:hyperlink>
    </w:p>
    <w:p>
      <w:pPr>
        <w:tabs>
          <w:tab w:val="right" w:leader="dot" w:pos="9062"/>
        </w:tabs>
        <w:ind w:left="440"/>
      </w:pPr>
      <w:hyperlink w:anchor="_Toc9252" w:history="1">
        <w:r>
          <w:rPr>
            <w:rFonts w:ascii="IRNazanin" w:hAnsi="IRNazanin" w:eastAsia="IRNazanin" w:cs="IRNazanin"/>
            <w:color w:val="111111"/>
            <w:sz w:val="22"/>
            <w:szCs w:val="22"/>
            <w:b w:val="0"/>
            <w:bCs w:val="0"/>
            <w:i w:val="0"/>
            <w:iCs w:val="0"/>
          </w:rPr>
          <w:t>7972- دیوان نیمتاج سلماسی‏</w:t>
        </w:r>
        <w:r>
          <w:tab/>
        </w:r>
        <w:r>
          <w:fldChar w:fldCharType="begin"/>
        </w:r>
        <w:r>
          <w:instrText xml:space="preserve">PAGEREF 9252 \h</w:instrText>
        </w:r>
        <w:r>
          <w:fldChar w:fldCharType="end"/>
        </w:r>
      </w:hyperlink>
    </w:p>
    <w:p>
      <w:pPr>
        <w:tabs>
          <w:tab w:val="right" w:leader="dot" w:pos="9062"/>
        </w:tabs>
        <w:ind w:left="440"/>
      </w:pPr>
      <w:hyperlink w:anchor="_Toc9253" w:history="1">
        <w:r>
          <w:rPr>
            <w:rFonts w:ascii="IRNazanin" w:hAnsi="IRNazanin" w:eastAsia="IRNazanin" w:cs="IRNazanin"/>
            <w:color w:val="111111"/>
            <w:sz w:val="22"/>
            <w:szCs w:val="22"/>
            <w:b w:val="0"/>
            <w:bCs w:val="0"/>
            <w:i w:val="0"/>
            <w:iCs w:val="0"/>
          </w:rPr>
          <w:t>7973- دیوان نیهی‏</w:t>
        </w:r>
        <w:r>
          <w:tab/>
        </w:r>
        <w:r>
          <w:fldChar w:fldCharType="begin"/>
        </w:r>
        <w:r>
          <w:instrText xml:space="preserve">PAGEREF 9253 \h</w:instrText>
        </w:r>
        <w:r>
          <w:fldChar w:fldCharType="end"/>
        </w:r>
      </w:hyperlink>
    </w:p>
    <w:p>
      <w:pPr>
        <w:tabs>
          <w:tab w:val="right" w:leader="dot" w:pos="9062"/>
        </w:tabs>
        <w:ind w:left="440"/>
      </w:pPr>
      <w:hyperlink w:anchor="_Toc9254" w:history="1">
        <w:r>
          <w:rPr>
            <w:rFonts w:ascii="IRNazanin" w:hAnsi="IRNazanin" w:eastAsia="IRNazanin" w:cs="IRNazanin"/>
            <w:color w:val="111111"/>
            <w:sz w:val="22"/>
            <w:szCs w:val="22"/>
            <w:b w:val="0"/>
            <w:bCs w:val="0"/>
            <w:i w:val="0"/>
            <w:iCs w:val="0"/>
          </w:rPr>
          <w:t>و</w:t>
        </w:r>
        <w:r>
          <w:tab/>
        </w:r>
        <w:r>
          <w:fldChar w:fldCharType="begin"/>
        </w:r>
        <w:r>
          <w:instrText xml:space="preserve">PAGEREF 9254 \h</w:instrText>
        </w:r>
        <w:r>
          <w:fldChar w:fldCharType="end"/>
        </w:r>
      </w:hyperlink>
    </w:p>
    <w:p>
      <w:pPr>
        <w:tabs>
          <w:tab w:val="right" w:leader="dot" w:pos="9062"/>
        </w:tabs>
        <w:ind w:left="440"/>
      </w:pPr>
      <w:hyperlink w:anchor="_Toc9255" w:history="1">
        <w:r>
          <w:rPr>
            <w:rFonts w:ascii="IRNazanin" w:hAnsi="IRNazanin" w:eastAsia="IRNazanin" w:cs="IRNazanin"/>
            <w:color w:val="111111"/>
            <w:sz w:val="22"/>
            <w:szCs w:val="22"/>
            <w:b w:val="0"/>
            <w:bCs w:val="0"/>
            <w:i w:val="0"/>
            <w:iCs w:val="0"/>
          </w:rPr>
          <w:t>7974- دیوان الوائلی‏</w:t>
        </w:r>
        <w:r>
          <w:tab/>
        </w:r>
        <w:r>
          <w:fldChar w:fldCharType="begin"/>
        </w:r>
        <w:r>
          <w:instrText xml:space="preserve">PAGEREF 9255 \h</w:instrText>
        </w:r>
        <w:r>
          <w:fldChar w:fldCharType="end"/>
        </w:r>
      </w:hyperlink>
    </w:p>
    <w:p>
      <w:pPr>
        <w:tabs>
          <w:tab w:val="right" w:leader="dot" w:pos="9062"/>
        </w:tabs>
        <w:ind w:left="440"/>
      </w:pPr>
      <w:hyperlink w:anchor="_Toc9256" w:history="1">
        <w:r>
          <w:rPr>
            <w:rFonts w:ascii="IRNazanin" w:hAnsi="IRNazanin" w:eastAsia="IRNazanin" w:cs="IRNazanin"/>
            <w:color w:val="111111"/>
            <w:sz w:val="22"/>
            <w:szCs w:val="22"/>
            <w:b w:val="0"/>
            <w:bCs w:val="0"/>
            <w:i w:val="0"/>
            <w:iCs w:val="0"/>
          </w:rPr>
          <w:t>7975- دیوان واثق أصفهانی أو شعره‏</w:t>
        </w:r>
        <w:r>
          <w:tab/>
        </w:r>
        <w:r>
          <w:fldChar w:fldCharType="begin"/>
        </w:r>
        <w:r>
          <w:instrText xml:space="preserve">PAGEREF 9256 \h</w:instrText>
        </w:r>
        <w:r>
          <w:fldChar w:fldCharType="end"/>
        </w:r>
      </w:hyperlink>
    </w:p>
    <w:p>
      <w:pPr>
        <w:tabs>
          <w:tab w:val="right" w:leader="dot" w:pos="9062"/>
        </w:tabs>
        <w:ind w:left="440"/>
      </w:pPr>
      <w:hyperlink w:anchor="_Toc9257" w:history="1">
        <w:r>
          <w:rPr>
            <w:rFonts w:ascii="IRNazanin" w:hAnsi="IRNazanin" w:eastAsia="IRNazanin" w:cs="IRNazanin"/>
            <w:color w:val="111111"/>
            <w:sz w:val="22"/>
            <w:szCs w:val="22"/>
            <w:b w:val="0"/>
            <w:bCs w:val="0"/>
            <w:i w:val="0"/>
            <w:iCs w:val="0"/>
          </w:rPr>
          <w:t>دیوان واثق دهلوی‏</w:t>
        </w:r>
        <w:r>
          <w:tab/>
        </w:r>
        <w:r>
          <w:fldChar w:fldCharType="begin"/>
        </w:r>
        <w:r>
          <w:instrText xml:space="preserve">PAGEREF 9257 \h</w:instrText>
        </w:r>
        <w:r>
          <w:fldChar w:fldCharType="end"/>
        </w:r>
      </w:hyperlink>
    </w:p>
    <w:p>
      <w:pPr>
        <w:tabs>
          <w:tab w:val="right" w:leader="dot" w:pos="9062"/>
        </w:tabs>
        <w:ind w:left="440"/>
      </w:pPr>
      <w:hyperlink w:anchor="_Toc9258" w:history="1">
        <w:r>
          <w:rPr>
            <w:rFonts w:ascii="IRNazanin" w:hAnsi="IRNazanin" w:eastAsia="IRNazanin" w:cs="IRNazanin"/>
            <w:color w:val="111111"/>
            <w:sz w:val="22"/>
            <w:szCs w:val="22"/>
            <w:b w:val="0"/>
            <w:bCs w:val="0"/>
            <w:i w:val="0"/>
            <w:iCs w:val="0"/>
          </w:rPr>
          <w:t>7976- دیوان واثق رشتی أو شعره‏</w:t>
        </w:r>
        <w:r>
          <w:tab/>
        </w:r>
        <w:r>
          <w:fldChar w:fldCharType="begin"/>
        </w:r>
        <w:r>
          <w:instrText xml:space="preserve">PAGEREF 9258 \h</w:instrText>
        </w:r>
        <w:r>
          <w:fldChar w:fldCharType="end"/>
        </w:r>
      </w:hyperlink>
    </w:p>
    <w:p>
      <w:pPr>
        <w:tabs>
          <w:tab w:val="right" w:leader="dot" w:pos="9062"/>
        </w:tabs>
        <w:ind w:left="440"/>
      </w:pPr>
      <w:hyperlink w:anchor="_Toc9259" w:history="1">
        <w:r>
          <w:rPr>
            <w:rFonts w:ascii="IRNazanin" w:hAnsi="IRNazanin" w:eastAsia="IRNazanin" w:cs="IRNazanin"/>
            <w:color w:val="111111"/>
            <w:sz w:val="22"/>
            <w:szCs w:val="22"/>
            <w:b w:val="0"/>
            <w:bCs w:val="0"/>
            <w:i w:val="0"/>
            <w:iCs w:val="0"/>
          </w:rPr>
          <w:t>7977- دیوان واثق شیرازی أو شعره‏</w:t>
        </w:r>
        <w:r>
          <w:tab/>
        </w:r>
        <w:r>
          <w:fldChar w:fldCharType="begin"/>
        </w:r>
        <w:r>
          <w:instrText xml:space="preserve">PAGEREF 9259 \h</w:instrText>
        </w:r>
        <w:r>
          <w:fldChar w:fldCharType="end"/>
        </w:r>
      </w:hyperlink>
    </w:p>
    <w:p>
      <w:pPr>
        <w:tabs>
          <w:tab w:val="right" w:leader="dot" w:pos="9062"/>
        </w:tabs>
        <w:ind w:left="440"/>
      </w:pPr>
      <w:hyperlink w:anchor="_Toc9260" w:history="1">
        <w:r>
          <w:rPr>
            <w:rFonts w:ascii="IRNazanin" w:hAnsi="IRNazanin" w:eastAsia="IRNazanin" w:cs="IRNazanin"/>
            <w:color w:val="111111"/>
            <w:sz w:val="22"/>
            <w:szCs w:val="22"/>
            <w:b w:val="0"/>
            <w:bCs w:val="0"/>
            <w:i w:val="0"/>
            <w:iCs w:val="0"/>
          </w:rPr>
          <w:t>7978- دیوان واثق نجفی أو شعره‏</w:t>
        </w:r>
        <w:r>
          <w:tab/>
        </w:r>
        <w:r>
          <w:fldChar w:fldCharType="begin"/>
        </w:r>
        <w:r>
          <w:instrText xml:space="preserve">PAGEREF 9260 \h</w:instrText>
        </w:r>
        <w:r>
          <w:fldChar w:fldCharType="end"/>
        </w:r>
      </w:hyperlink>
    </w:p>
    <w:p>
      <w:pPr>
        <w:tabs>
          <w:tab w:val="right" w:leader="dot" w:pos="9062"/>
        </w:tabs>
        <w:ind w:left="440"/>
      </w:pPr>
      <w:hyperlink w:anchor="_Toc9261" w:history="1">
        <w:r>
          <w:rPr>
            <w:rFonts w:ascii="IRNazanin" w:hAnsi="IRNazanin" w:eastAsia="IRNazanin" w:cs="IRNazanin"/>
            <w:color w:val="111111"/>
            <w:sz w:val="22"/>
            <w:szCs w:val="22"/>
            <w:b w:val="0"/>
            <w:bCs w:val="0"/>
            <w:i w:val="0"/>
            <w:iCs w:val="0"/>
          </w:rPr>
          <w:t>7979- دیوان ملا واثق نیشابوری‏</w:t>
        </w:r>
        <w:r>
          <w:tab/>
        </w:r>
        <w:r>
          <w:fldChar w:fldCharType="begin"/>
        </w:r>
        <w:r>
          <w:instrText xml:space="preserve">PAGEREF 9261 \h</w:instrText>
        </w:r>
        <w:r>
          <w:fldChar w:fldCharType="end"/>
        </w:r>
      </w:hyperlink>
    </w:p>
    <w:p>
      <w:pPr>
        <w:tabs>
          <w:tab w:val="right" w:leader="dot" w:pos="9062"/>
        </w:tabs>
        <w:ind w:left="440"/>
      </w:pPr>
      <w:hyperlink w:anchor="_Toc9262" w:history="1">
        <w:r>
          <w:rPr>
            <w:rFonts w:ascii="IRNazanin" w:hAnsi="IRNazanin" w:eastAsia="IRNazanin" w:cs="IRNazanin"/>
            <w:color w:val="111111"/>
            <w:sz w:val="22"/>
            <w:szCs w:val="22"/>
            <w:b w:val="0"/>
            <w:bCs w:val="0"/>
            <w:i w:val="0"/>
            <w:iCs w:val="0"/>
          </w:rPr>
          <w:t>7980- دیوان واثق همدانی‏</w:t>
        </w:r>
        <w:r>
          <w:tab/>
        </w:r>
        <w:r>
          <w:fldChar w:fldCharType="begin"/>
        </w:r>
        <w:r>
          <w:instrText xml:space="preserve">PAGEREF 9262 \h</w:instrText>
        </w:r>
        <w:r>
          <w:fldChar w:fldCharType="end"/>
        </w:r>
      </w:hyperlink>
    </w:p>
    <w:p>
      <w:pPr>
        <w:tabs>
          <w:tab w:val="right" w:leader="dot" w:pos="9062"/>
        </w:tabs>
        <w:ind w:left="440"/>
      </w:pPr>
      <w:hyperlink w:anchor="_Toc9263" w:history="1">
        <w:r>
          <w:rPr>
            <w:rFonts w:ascii="IRNazanin" w:hAnsi="IRNazanin" w:eastAsia="IRNazanin" w:cs="IRNazanin"/>
            <w:color w:val="111111"/>
            <w:sz w:val="22"/>
            <w:szCs w:val="22"/>
            <w:b w:val="0"/>
            <w:bCs w:val="0"/>
            <w:i w:val="0"/>
            <w:iCs w:val="0"/>
          </w:rPr>
          <w:t>7981- دیوان واثقی لکهنوی أو شعره‏</w:t>
        </w:r>
        <w:r>
          <w:tab/>
        </w:r>
        <w:r>
          <w:fldChar w:fldCharType="begin"/>
        </w:r>
        <w:r>
          <w:instrText xml:space="preserve">PAGEREF 9263 \h</w:instrText>
        </w:r>
        <w:r>
          <w:fldChar w:fldCharType="end"/>
        </w:r>
      </w:hyperlink>
    </w:p>
    <w:p>
      <w:pPr>
        <w:tabs>
          <w:tab w:val="right" w:leader="dot" w:pos="9062"/>
        </w:tabs>
        <w:ind w:left="440"/>
      </w:pPr>
      <w:hyperlink w:anchor="_Toc9264" w:history="1">
        <w:r>
          <w:rPr>
            <w:rFonts w:ascii="IRNazanin" w:hAnsi="IRNazanin" w:eastAsia="IRNazanin" w:cs="IRNazanin"/>
            <w:color w:val="111111"/>
            <w:sz w:val="22"/>
            <w:szCs w:val="22"/>
            <w:b w:val="0"/>
            <w:bCs w:val="0"/>
            <w:i w:val="0"/>
            <w:iCs w:val="0"/>
          </w:rPr>
          <w:t>7982- دیوان واثقی مشهدی أو شعره‏</w:t>
        </w:r>
        <w:r>
          <w:tab/>
        </w:r>
        <w:r>
          <w:fldChar w:fldCharType="begin"/>
        </w:r>
        <w:r>
          <w:instrText xml:space="preserve">PAGEREF 9264 \h</w:instrText>
        </w:r>
        <w:r>
          <w:fldChar w:fldCharType="end"/>
        </w:r>
      </w:hyperlink>
    </w:p>
    <w:p>
      <w:pPr>
        <w:tabs>
          <w:tab w:val="right" w:leader="dot" w:pos="9062"/>
        </w:tabs>
        <w:ind w:left="440"/>
      </w:pPr>
      <w:hyperlink w:anchor="_Toc9265" w:history="1">
        <w:r>
          <w:rPr>
            <w:rFonts w:ascii="IRNazanin" w:hAnsi="IRNazanin" w:eastAsia="IRNazanin" w:cs="IRNazanin"/>
            <w:color w:val="111111"/>
            <w:sz w:val="22"/>
            <w:szCs w:val="22"/>
            <w:b w:val="0"/>
            <w:bCs w:val="0"/>
            <w:i w:val="0"/>
            <w:iCs w:val="0"/>
          </w:rPr>
          <w:t>7983- دیوان واثقی نیشابوری‏</w:t>
        </w:r>
        <w:r>
          <w:tab/>
        </w:r>
        <w:r>
          <w:fldChar w:fldCharType="begin"/>
        </w:r>
        <w:r>
          <w:instrText xml:space="preserve">PAGEREF 9265 \h</w:instrText>
        </w:r>
        <w:r>
          <w:fldChar w:fldCharType="end"/>
        </w:r>
      </w:hyperlink>
    </w:p>
    <w:p>
      <w:pPr>
        <w:tabs>
          <w:tab w:val="right" w:leader="dot" w:pos="9062"/>
        </w:tabs>
        <w:ind w:left="440"/>
      </w:pPr>
      <w:hyperlink w:anchor="_Toc9266" w:history="1">
        <w:r>
          <w:rPr>
            <w:rFonts w:ascii="IRNazanin" w:hAnsi="IRNazanin" w:eastAsia="IRNazanin" w:cs="IRNazanin"/>
            <w:color w:val="111111"/>
            <w:sz w:val="22"/>
            <w:szCs w:val="22"/>
            <w:b w:val="0"/>
            <w:bCs w:val="0"/>
            <w:i w:val="0"/>
            <w:iCs w:val="0"/>
          </w:rPr>
          <w:t>دیوان واجد علی شاه‏</w:t>
        </w:r>
        <w:r>
          <w:tab/>
        </w:r>
        <w:r>
          <w:fldChar w:fldCharType="begin"/>
        </w:r>
        <w:r>
          <w:instrText xml:space="preserve">PAGEREF 9266 \h</w:instrText>
        </w:r>
        <w:r>
          <w:fldChar w:fldCharType="end"/>
        </w:r>
      </w:hyperlink>
    </w:p>
    <w:p>
      <w:pPr>
        <w:tabs>
          <w:tab w:val="right" w:leader="dot" w:pos="9062"/>
        </w:tabs>
        <w:ind w:left="440"/>
      </w:pPr>
      <w:hyperlink w:anchor="_Toc9267" w:history="1">
        <w:r>
          <w:rPr>
            <w:rFonts w:ascii="IRNazanin" w:hAnsi="IRNazanin" w:eastAsia="IRNazanin" w:cs="IRNazanin"/>
            <w:color w:val="111111"/>
            <w:sz w:val="22"/>
            <w:szCs w:val="22"/>
            <w:b w:val="0"/>
            <w:bCs w:val="0"/>
            <w:i w:val="0"/>
            <w:iCs w:val="0"/>
          </w:rPr>
          <w:t>7984- دیوان واجد کابلی‏</w:t>
        </w:r>
        <w:r>
          <w:tab/>
        </w:r>
        <w:r>
          <w:fldChar w:fldCharType="begin"/>
        </w:r>
        <w:r>
          <w:instrText xml:space="preserve">PAGEREF 9267 \h</w:instrText>
        </w:r>
        <w:r>
          <w:fldChar w:fldCharType="end"/>
        </w:r>
      </w:hyperlink>
    </w:p>
    <w:p>
      <w:pPr>
        <w:tabs>
          <w:tab w:val="right" w:leader="dot" w:pos="9062"/>
        </w:tabs>
        <w:ind w:left="440"/>
      </w:pPr>
      <w:hyperlink w:anchor="_Toc9268" w:history="1">
        <w:r>
          <w:rPr>
            <w:rFonts w:ascii="IRNazanin" w:hAnsi="IRNazanin" w:eastAsia="IRNazanin" w:cs="IRNazanin"/>
            <w:color w:val="111111"/>
            <w:sz w:val="22"/>
            <w:szCs w:val="22"/>
            <w:b w:val="0"/>
            <w:bCs w:val="0"/>
            <w:i w:val="0"/>
            <w:iCs w:val="0"/>
          </w:rPr>
          <w:t>7985- دیوان واجد کلکته‏ای أو شعره‏</w:t>
        </w:r>
        <w:r>
          <w:tab/>
        </w:r>
        <w:r>
          <w:fldChar w:fldCharType="begin"/>
        </w:r>
        <w:r>
          <w:instrText xml:space="preserve">PAGEREF 9268 \h</w:instrText>
        </w:r>
        <w:r>
          <w:fldChar w:fldCharType="end"/>
        </w:r>
      </w:hyperlink>
    </w:p>
    <w:p>
      <w:pPr>
        <w:tabs>
          <w:tab w:val="right" w:leader="dot" w:pos="9062"/>
        </w:tabs>
        <w:ind w:left="440"/>
      </w:pPr>
      <w:hyperlink w:anchor="_Toc9269" w:history="1">
        <w:r>
          <w:rPr>
            <w:rFonts w:ascii="IRNazanin" w:hAnsi="IRNazanin" w:eastAsia="IRNazanin" w:cs="IRNazanin"/>
            <w:color w:val="111111"/>
            <w:sz w:val="22"/>
            <w:szCs w:val="22"/>
            <w:b w:val="0"/>
            <w:bCs w:val="0"/>
            <w:i w:val="0"/>
            <w:iCs w:val="0"/>
          </w:rPr>
          <w:t>7986- دیوان واحد أصفهانی أو شعره‏</w:t>
        </w:r>
        <w:r>
          <w:tab/>
        </w:r>
        <w:r>
          <w:fldChar w:fldCharType="begin"/>
        </w:r>
        <w:r>
          <w:instrText xml:space="preserve">PAGEREF 9269 \h</w:instrText>
        </w:r>
        <w:r>
          <w:fldChar w:fldCharType="end"/>
        </w:r>
      </w:hyperlink>
    </w:p>
    <w:p>
      <w:pPr>
        <w:tabs>
          <w:tab w:val="right" w:leader="dot" w:pos="9062"/>
        </w:tabs>
        <w:ind w:left="440"/>
      </w:pPr>
      <w:hyperlink w:anchor="_Toc9270" w:history="1">
        <w:r>
          <w:rPr>
            <w:rFonts w:ascii="IRNazanin" w:hAnsi="IRNazanin" w:eastAsia="IRNazanin" w:cs="IRNazanin"/>
            <w:color w:val="111111"/>
            <w:sz w:val="22"/>
            <w:szCs w:val="22"/>
            <w:b w:val="0"/>
            <w:bCs w:val="0"/>
            <w:i w:val="0"/>
            <w:iCs w:val="0"/>
          </w:rPr>
          <w:t>7987- دیوان واحد بلگرامی أو شعره‏</w:t>
        </w:r>
        <w:r>
          <w:tab/>
        </w:r>
        <w:r>
          <w:fldChar w:fldCharType="begin"/>
        </w:r>
        <w:r>
          <w:instrText xml:space="preserve">PAGEREF 9270 \h</w:instrText>
        </w:r>
        <w:r>
          <w:fldChar w:fldCharType="end"/>
        </w:r>
      </w:hyperlink>
    </w:p>
    <w:p>
      <w:pPr>
        <w:tabs>
          <w:tab w:val="right" w:leader="dot" w:pos="9062"/>
        </w:tabs>
        <w:ind w:left="440"/>
      </w:pPr>
      <w:hyperlink w:anchor="_Toc9271" w:history="1">
        <w:r>
          <w:rPr>
            <w:rFonts w:ascii="IRNazanin" w:hAnsi="IRNazanin" w:eastAsia="IRNazanin" w:cs="IRNazanin"/>
            <w:color w:val="111111"/>
            <w:sz w:val="22"/>
            <w:szCs w:val="22"/>
            <w:b w:val="0"/>
            <w:bCs w:val="0"/>
            <w:i w:val="0"/>
            <w:iCs w:val="0"/>
          </w:rPr>
          <w:t>7988- دیوان واحد تبریزی أو شعره‏</w:t>
        </w:r>
        <w:r>
          <w:tab/>
        </w:r>
        <w:r>
          <w:fldChar w:fldCharType="begin"/>
        </w:r>
        <w:r>
          <w:instrText xml:space="preserve">PAGEREF 9271 \h</w:instrText>
        </w:r>
        <w:r>
          <w:fldChar w:fldCharType="end"/>
        </w:r>
      </w:hyperlink>
    </w:p>
    <w:p>
      <w:pPr>
        <w:tabs>
          <w:tab w:val="right" w:leader="dot" w:pos="9062"/>
        </w:tabs>
        <w:ind w:left="440"/>
      </w:pPr>
      <w:hyperlink w:anchor="_Toc9272" w:history="1">
        <w:r>
          <w:rPr>
            <w:rFonts w:ascii="IRNazanin" w:hAnsi="IRNazanin" w:eastAsia="IRNazanin" w:cs="IRNazanin"/>
            <w:color w:val="111111"/>
            <w:sz w:val="22"/>
            <w:szCs w:val="22"/>
            <w:b w:val="0"/>
            <w:bCs w:val="0"/>
            <w:i w:val="0"/>
            <w:iCs w:val="0"/>
          </w:rPr>
          <w:t>دیوان واحد تتوی‏</w:t>
        </w:r>
        <w:r>
          <w:tab/>
        </w:r>
        <w:r>
          <w:fldChar w:fldCharType="begin"/>
        </w:r>
        <w:r>
          <w:instrText xml:space="preserve">PAGEREF 9272 \h</w:instrText>
        </w:r>
        <w:r>
          <w:fldChar w:fldCharType="end"/>
        </w:r>
      </w:hyperlink>
    </w:p>
    <w:p>
      <w:pPr>
        <w:tabs>
          <w:tab w:val="right" w:leader="dot" w:pos="9062"/>
        </w:tabs>
        <w:ind w:left="440"/>
      </w:pPr>
      <w:hyperlink w:anchor="_Toc9273" w:history="1">
        <w:r>
          <w:rPr>
            <w:rFonts w:ascii="IRNazanin" w:hAnsi="IRNazanin" w:eastAsia="IRNazanin" w:cs="IRNazanin"/>
            <w:color w:val="111111"/>
            <w:sz w:val="22"/>
            <w:szCs w:val="22"/>
            <w:b w:val="0"/>
            <w:bCs w:val="0"/>
            <w:i w:val="0"/>
            <w:iCs w:val="0"/>
          </w:rPr>
          <w:t>7989- دیوان واحد شیرازی أو شعره‏</w:t>
        </w:r>
        <w:r>
          <w:tab/>
        </w:r>
        <w:r>
          <w:fldChar w:fldCharType="begin"/>
        </w:r>
        <w:r>
          <w:instrText xml:space="preserve">PAGEREF 9273 \h</w:instrText>
        </w:r>
        <w:r>
          <w:fldChar w:fldCharType="end"/>
        </w:r>
      </w:hyperlink>
    </w:p>
    <w:p>
      <w:pPr>
        <w:tabs>
          <w:tab w:val="right" w:leader="dot" w:pos="9062"/>
        </w:tabs>
        <w:ind w:left="440"/>
      </w:pPr>
      <w:hyperlink w:anchor="_Toc9274" w:history="1">
        <w:r>
          <w:rPr>
            <w:rFonts w:ascii="IRNazanin" w:hAnsi="IRNazanin" w:eastAsia="IRNazanin" w:cs="IRNazanin"/>
            <w:color w:val="111111"/>
            <w:sz w:val="22"/>
            <w:szCs w:val="22"/>
            <w:b w:val="0"/>
            <w:bCs w:val="0"/>
            <w:i w:val="0"/>
            <w:iCs w:val="0"/>
          </w:rPr>
          <w:t>7990- دیوان واحد قمی أو شعره‏</w:t>
        </w:r>
        <w:r>
          <w:tab/>
        </w:r>
        <w:r>
          <w:fldChar w:fldCharType="begin"/>
        </w:r>
        <w:r>
          <w:instrText xml:space="preserve">PAGEREF 9274 \h</w:instrText>
        </w:r>
        <w:r>
          <w:fldChar w:fldCharType="end"/>
        </w:r>
      </w:hyperlink>
    </w:p>
    <w:p>
      <w:pPr>
        <w:tabs>
          <w:tab w:val="right" w:leader="dot" w:pos="9062"/>
        </w:tabs>
        <w:ind w:left="440"/>
      </w:pPr>
      <w:hyperlink w:anchor="_Toc9275" w:history="1">
        <w:r>
          <w:rPr>
            <w:rFonts w:ascii="IRNazanin" w:hAnsi="IRNazanin" w:eastAsia="IRNazanin" w:cs="IRNazanin"/>
            <w:color w:val="111111"/>
            <w:sz w:val="22"/>
            <w:szCs w:val="22"/>
            <w:b w:val="0"/>
            <w:bCs w:val="0"/>
            <w:i w:val="0"/>
            <w:iCs w:val="0"/>
          </w:rPr>
          <w:t>7991- دیوان واحد کرمانی أو شعره‏</w:t>
        </w:r>
        <w:r>
          <w:tab/>
        </w:r>
        <w:r>
          <w:fldChar w:fldCharType="begin"/>
        </w:r>
        <w:r>
          <w:instrText xml:space="preserve">PAGEREF 9275 \h</w:instrText>
        </w:r>
        <w:r>
          <w:fldChar w:fldCharType="end"/>
        </w:r>
      </w:hyperlink>
    </w:p>
    <w:p>
      <w:pPr>
        <w:tabs>
          <w:tab w:val="right" w:leader="dot" w:pos="9062"/>
        </w:tabs>
        <w:ind w:left="440"/>
      </w:pPr>
      <w:hyperlink w:anchor="_Toc9276" w:history="1">
        <w:r>
          <w:rPr>
            <w:rFonts w:ascii="IRNazanin" w:hAnsi="IRNazanin" w:eastAsia="IRNazanin" w:cs="IRNazanin"/>
            <w:color w:val="111111"/>
            <w:sz w:val="22"/>
            <w:szCs w:val="22"/>
            <w:b w:val="0"/>
            <w:bCs w:val="0"/>
            <w:i w:val="0"/>
            <w:iCs w:val="0"/>
          </w:rPr>
          <w:t>7992- دیوان واحدی مشهدی أو شعره‏</w:t>
        </w:r>
        <w:r>
          <w:tab/>
        </w:r>
        <w:r>
          <w:fldChar w:fldCharType="begin"/>
        </w:r>
        <w:r>
          <w:instrText xml:space="preserve">PAGEREF 9276 \h</w:instrText>
        </w:r>
        <w:r>
          <w:fldChar w:fldCharType="end"/>
        </w:r>
      </w:hyperlink>
    </w:p>
    <w:p>
      <w:pPr>
        <w:tabs>
          <w:tab w:val="right" w:leader="dot" w:pos="9062"/>
        </w:tabs>
        <w:ind w:left="440"/>
      </w:pPr>
      <w:hyperlink w:anchor="_Toc9277" w:history="1">
        <w:r>
          <w:rPr>
            <w:rFonts w:ascii="IRNazanin" w:hAnsi="IRNazanin" w:eastAsia="IRNazanin" w:cs="IRNazanin"/>
            <w:color w:val="111111"/>
            <w:sz w:val="22"/>
            <w:szCs w:val="22"/>
            <w:b w:val="0"/>
            <w:bCs w:val="0"/>
            <w:i w:val="0"/>
            <w:iCs w:val="0"/>
          </w:rPr>
          <w:t>7993- دیوان واحدی هندی أو شعره‏</w:t>
        </w:r>
        <w:r>
          <w:tab/>
        </w:r>
        <w:r>
          <w:fldChar w:fldCharType="begin"/>
        </w:r>
        <w:r>
          <w:instrText xml:space="preserve">PAGEREF 9277 \h</w:instrText>
        </w:r>
        <w:r>
          <w:fldChar w:fldCharType="end"/>
        </w:r>
      </w:hyperlink>
    </w:p>
    <w:p>
      <w:pPr>
        <w:tabs>
          <w:tab w:val="right" w:leader="dot" w:pos="9062"/>
        </w:tabs>
        <w:ind w:left="440"/>
      </w:pPr>
      <w:hyperlink w:anchor="_Toc9278" w:history="1">
        <w:r>
          <w:rPr>
            <w:rFonts w:ascii="IRNazanin" w:hAnsi="IRNazanin" w:eastAsia="IRNazanin" w:cs="IRNazanin"/>
            <w:color w:val="111111"/>
            <w:sz w:val="22"/>
            <w:szCs w:val="22"/>
            <w:b w:val="0"/>
            <w:bCs w:val="0"/>
            <w:i w:val="0"/>
            <w:iCs w:val="0"/>
          </w:rPr>
          <w:t>7994- دیوان وارث الله‏آبادی أو شعره‏</w:t>
        </w:r>
        <w:r>
          <w:tab/>
        </w:r>
        <w:r>
          <w:fldChar w:fldCharType="begin"/>
        </w:r>
        <w:r>
          <w:instrText xml:space="preserve">PAGEREF 9278 \h</w:instrText>
        </w:r>
        <w:r>
          <w:fldChar w:fldCharType="end"/>
        </w:r>
      </w:hyperlink>
    </w:p>
    <w:p>
      <w:pPr>
        <w:tabs>
          <w:tab w:val="right" w:leader="dot" w:pos="9062"/>
        </w:tabs>
        <w:ind w:left="440"/>
      </w:pPr>
      <w:hyperlink w:anchor="_Toc9279" w:history="1">
        <w:r>
          <w:rPr>
            <w:rFonts w:ascii="IRNazanin" w:hAnsi="IRNazanin" w:eastAsia="IRNazanin" w:cs="IRNazanin"/>
            <w:color w:val="111111"/>
            <w:sz w:val="22"/>
            <w:szCs w:val="22"/>
            <w:b w:val="0"/>
            <w:bCs w:val="0"/>
            <w:i w:val="0"/>
            <w:iCs w:val="0"/>
          </w:rPr>
          <w:t>7995- دیوان وارث لاهوری أو شعره‏</w:t>
        </w:r>
        <w:r>
          <w:tab/>
        </w:r>
        <w:r>
          <w:fldChar w:fldCharType="begin"/>
        </w:r>
        <w:r>
          <w:instrText xml:space="preserve">PAGEREF 9279 \h</w:instrText>
        </w:r>
        <w:r>
          <w:fldChar w:fldCharType="end"/>
        </w:r>
      </w:hyperlink>
    </w:p>
    <w:p>
      <w:pPr>
        <w:tabs>
          <w:tab w:val="right" w:leader="dot" w:pos="9062"/>
        </w:tabs>
        <w:ind w:left="440"/>
      </w:pPr>
      <w:hyperlink w:anchor="_Toc9280" w:history="1">
        <w:r>
          <w:rPr>
            <w:rFonts w:ascii="IRNazanin" w:hAnsi="IRNazanin" w:eastAsia="IRNazanin" w:cs="IRNazanin"/>
            <w:color w:val="111111"/>
            <w:sz w:val="22"/>
            <w:szCs w:val="22"/>
            <w:b w:val="0"/>
            <w:bCs w:val="0"/>
            <w:i w:val="0"/>
            <w:iCs w:val="0"/>
          </w:rPr>
          <w:t>7996- دیوان وارثی أردبیلی أو شعره‏</w:t>
        </w:r>
        <w:r>
          <w:tab/>
        </w:r>
        <w:r>
          <w:fldChar w:fldCharType="begin"/>
        </w:r>
        <w:r>
          <w:instrText xml:space="preserve">PAGEREF 9280 \h</w:instrText>
        </w:r>
        <w:r>
          <w:fldChar w:fldCharType="end"/>
        </w:r>
      </w:hyperlink>
    </w:p>
    <w:p>
      <w:pPr>
        <w:tabs>
          <w:tab w:val="right" w:leader="dot" w:pos="9062"/>
        </w:tabs>
        <w:ind w:left="440"/>
      </w:pPr>
      <w:hyperlink w:anchor="_Toc9281" w:history="1">
        <w:r>
          <w:rPr>
            <w:rFonts w:ascii="IRNazanin" w:hAnsi="IRNazanin" w:eastAsia="IRNazanin" w:cs="IRNazanin"/>
            <w:color w:val="111111"/>
            <w:sz w:val="22"/>
            <w:szCs w:val="22"/>
            <w:b w:val="0"/>
            <w:bCs w:val="0"/>
            <w:i w:val="0"/>
            <w:iCs w:val="0"/>
          </w:rPr>
          <w:t>7997- دیوان وارثی سبزواری أو شعره‏</w:t>
        </w:r>
        <w:r>
          <w:tab/>
        </w:r>
        <w:r>
          <w:fldChar w:fldCharType="begin"/>
        </w:r>
        <w:r>
          <w:instrText xml:space="preserve">PAGEREF 9281 \h</w:instrText>
        </w:r>
        <w:r>
          <w:fldChar w:fldCharType="end"/>
        </w:r>
      </w:hyperlink>
    </w:p>
    <w:p>
      <w:pPr>
        <w:tabs>
          <w:tab w:val="right" w:leader="dot" w:pos="9062"/>
        </w:tabs>
        <w:ind w:left="440"/>
      </w:pPr>
      <w:hyperlink w:anchor="_Toc9282" w:history="1">
        <w:r>
          <w:rPr>
            <w:rFonts w:ascii="IRNazanin" w:hAnsi="IRNazanin" w:eastAsia="IRNazanin" w:cs="IRNazanin"/>
            <w:color w:val="111111"/>
            <w:sz w:val="22"/>
            <w:szCs w:val="22"/>
            <w:b w:val="0"/>
            <w:bCs w:val="0"/>
            <w:i w:val="0"/>
            <w:iCs w:val="0"/>
          </w:rPr>
          <w:t>7998- دیوان وارد شاه‏جهان‏آبادی أو شعره‏</w:t>
        </w:r>
        <w:r>
          <w:tab/>
        </w:r>
        <w:r>
          <w:fldChar w:fldCharType="begin"/>
        </w:r>
        <w:r>
          <w:instrText xml:space="preserve">PAGEREF 9282 \h</w:instrText>
        </w:r>
        <w:r>
          <w:fldChar w:fldCharType="end"/>
        </w:r>
      </w:hyperlink>
    </w:p>
    <w:p>
      <w:pPr>
        <w:tabs>
          <w:tab w:val="right" w:leader="dot" w:pos="9062"/>
        </w:tabs>
        <w:ind w:left="440"/>
      </w:pPr>
      <w:hyperlink w:anchor="_Toc9283" w:history="1">
        <w:r>
          <w:rPr>
            <w:rFonts w:ascii="IRNazanin" w:hAnsi="IRNazanin" w:eastAsia="IRNazanin" w:cs="IRNazanin"/>
            <w:color w:val="111111"/>
            <w:sz w:val="22"/>
            <w:szCs w:val="22"/>
            <w:b w:val="0"/>
            <w:bCs w:val="0"/>
            <w:i w:val="0"/>
            <w:iCs w:val="0"/>
          </w:rPr>
          <w:t>7999- دیوان وارد هندی أو شعره‏</w:t>
        </w:r>
        <w:r>
          <w:tab/>
        </w:r>
        <w:r>
          <w:fldChar w:fldCharType="begin"/>
        </w:r>
        <w:r>
          <w:instrText xml:space="preserve">PAGEREF 9283 \h</w:instrText>
        </w:r>
        <w:r>
          <w:fldChar w:fldCharType="end"/>
        </w:r>
      </w:hyperlink>
    </w:p>
    <w:p>
      <w:pPr>
        <w:tabs>
          <w:tab w:val="right" w:leader="dot" w:pos="9062"/>
        </w:tabs>
        <w:ind w:left="440"/>
      </w:pPr>
      <w:hyperlink w:anchor="_Toc9284" w:history="1">
        <w:r>
          <w:rPr>
            <w:rFonts w:ascii="IRNazanin" w:hAnsi="IRNazanin" w:eastAsia="IRNazanin" w:cs="IRNazanin"/>
            <w:color w:val="111111"/>
            <w:sz w:val="22"/>
            <w:szCs w:val="22"/>
            <w:b w:val="0"/>
            <w:bCs w:val="0"/>
            <w:i w:val="0"/>
            <w:iCs w:val="0"/>
          </w:rPr>
          <w:t>8000- دیوان وارسته چکنی‏</w:t>
        </w:r>
        <w:r>
          <w:tab/>
        </w:r>
        <w:r>
          <w:fldChar w:fldCharType="begin"/>
        </w:r>
        <w:r>
          <w:instrText xml:space="preserve">PAGEREF 9284 \h</w:instrText>
        </w:r>
        <w:r>
          <w:fldChar w:fldCharType="end"/>
        </w:r>
      </w:hyperlink>
    </w:p>
    <w:p>
      <w:pPr>
        <w:tabs>
          <w:tab w:val="right" w:leader="dot" w:pos="9062"/>
        </w:tabs>
        <w:ind w:left="440"/>
      </w:pPr>
      <w:hyperlink w:anchor="_Toc9285" w:history="1">
        <w:r>
          <w:rPr>
            <w:rFonts w:ascii="IRNazanin" w:hAnsi="IRNazanin" w:eastAsia="IRNazanin" w:cs="IRNazanin"/>
            <w:color w:val="111111"/>
            <w:sz w:val="22"/>
            <w:szCs w:val="22"/>
            <w:b w:val="0"/>
            <w:bCs w:val="0"/>
            <w:i w:val="0"/>
            <w:iCs w:val="0"/>
          </w:rPr>
          <w:t>8001- دیوان وارسته دهلوی أو شعره‏</w:t>
        </w:r>
        <w:r>
          <w:tab/>
        </w:r>
        <w:r>
          <w:fldChar w:fldCharType="begin"/>
        </w:r>
        <w:r>
          <w:instrText xml:space="preserve">PAGEREF 9285 \h</w:instrText>
        </w:r>
        <w:r>
          <w:fldChar w:fldCharType="end"/>
        </w:r>
      </w:hyperlink>
    </w:p>
    <w:p>
      <w:pPr>
        <w:tabs>
          <w:tab w:val="right" w:leader="dot" w:pos="9062"/>
        </w:tabs>
        <w:ind w:left="440"/>
      </w:pPr>
      <w:hyperlink w:anchor="_Toc9286" w:history="1">
        <w:r>
          <w:rPr>
            <w:rFonts w:ascii="IRNazanin" w:hAnsi="IRNazanin" w:eastAsia="IRNazanin" w:cs="IRNazanin"/>
            <w:color w:val="111111"/>
            <w:sz w:val="22"/>
            <w:szCs w:val="22"/>
            <w:b w:val="0"/>
            <w:bCs w:val="0"/>
            <w:i w:val="0"/>
            <w:iCs w:val="0"/>
          </w:rPr>
          <w:t>8002- دیوان وارسته سیالکوتی‏</w:t>
        </w:r>
        <w:r>
          <w:tab/>
        </w:r>
        <w:r>
          <w:fldChar w:fldCharType="begin"/>
        </w:r>
        <w:r>
          <w:instrText xml:space="preserve">PAGEREF 9286 \h</w:instrText>
        </w:r>
        <w:r>
          <w:fldChar w:fldCharType="end"/>
        </w:r>
      </w:hyperlink>
    </w:p>
    <w:p>
      <w:pPr>
        <w:tabs>
          <w:tab w:val="right" w:leader="dot" w:pos="9062"/>
        </w:tabs>
        <w:ind w:left="440"/>
      </w:pPr>
      <w:hyperlink w:anchor="_Toc9287" w:history="1">
        <w:r>
          <w:rPr>
            <w:rFonts w:ascii="IRNazanin" w:hAnsi="IRNazanin" w:eastAsia="IRNazanin" w:cs="IRNazanin"/>
            <w:color w:val="111111"/>
            <w:sz w:val="22"/>
            <w:szCs w:val="22"/>
            <w:b w:val="0"/>
            <w:bCs w:val="0"/>
            <w:i w:val="0"/>
            <w:iCs w:val="0"/>
          </w:rPr>
          <w:t>8003- دیوان وارسته فرخ‏آبادی أو شعره‏</w:t>
        </w:r>
        <w:r>
          <w:tab/>
        </w:r>
        <w:r>
          <w:fldChar w:fldCharType="begin"/>
        </w:r>
        <w:r>
          <w:instrText xml:space="preserve">PAGEREF 9287 \h</w:instrText>
        </w:r>
        <w:r>
          <w:fldChar w:fldCharType="end"/>
        </w:r>
      </w:hyperlink>
    </w:p>
    <w:p>
      <w:pPr>
        <w:tabs>
          <w:tab w:val="right" w:leader="dot" w:pos="9062"/>
        </w:tabs>
        <w:ind w:left="440"/>
      </w:pPr>
      <w:hyperlink w:anchor="_Toc9288" w:history="1">
        <w:r>
          <w:rPr>
            <w:rFonts w:ascii="IRNazanin" w:hAnsi="IRNazanin" w:eastAsia="IRNazanin" w:cs="IRNazanin"/>
            <w:color w:val="111111"/>
            <w:sz w:val="22"/>
            <w:szCs w:val="22"/>
            <w:b w:val="0"/>
            <w:bCs w:val="0"/>
            <w:i w:val="0"/>
            <w:iCs w:val="0"/>
          </w:rPr>
          <w:t>8004- دیوان واسطی بلگرامی أو شعره‏</w:t>
        </w:r>
        <w:r>
          <w:tab/>
        </w:r>
        <w:r>
          <w:fldChar w:fldCharType="begin"/>
        </w:r>
        <w:r>
          <w:instrText xml:space="preserve">PAGEREF 9288 \h</w:instrText>
        </w:r>
        <w:r>
          <w:fldChar w:fldCharType="end"/>
        </w:r>
      </w:hyperlink>
    </w:p>
    <w:p>
      <w:pPr>
        <w:tabs>
          <w:tab w:val="right" w:leader="dot" w:pos="9062"/>
        </w:tabs>
        <w:ind w:left="440"/>
      </w:pPr>
      <w:hyperlink w:anchor="_Toc9289" w:history="1">
        <w:r>
          <w:rPr>
            <w:rFonts w:ascii="IRNazanin" w:hAnsi="IRNazanin" w:eastAsia="IRNazanin" w:cs="IRNazanin"/>
            <w:color w:val="111111"/>
            <w:sz w:val="22"/>
            <w:szCs w:val="22"/>
            <w:b w:val="0"/>
            <w:bCs w:val="0"/>
            <w:i w:val="0"/>
            <w:iCs w:val="0"/>
          </w:rPr>
          <w:t>8005- دیوان واشی لاهوری أو شعره‏</w:t>
        </w:r>
        <w:r>
          <w:tab/>
        </w:r>
        <w:r>
          <w:fldChar w:fldCharType="begin"/>
        </w:r>
        <w:r>
          <w:instrText xml:space="preserve">PAGEREF 9289 \h</w:instrText>
        </w:r>
        <w:r>
          <w:fldChar w:fldCharType="end"/>
        </w:r>
      </w:hyperlink>
    </w:p>
    <w:p>
      <w:pPr>
        <w:tabs>
          <w:tab w:val="right" w:leader="dot" w:pos="9062"/>
        </w:tabs>
        <w:ind w:left="440"/>
      </w:pPr>
      <w:hyperlink w:anchor="_Toc9290" w:history="1">
        <w:r>
          <w:rPr>
            <w:rFonts w:ascii="IRNazanin" w:hAnsi="IRNazanin" w:eastAsia="IRNazanin" w:cs="IRNazanin"/>
            <w:color w:val="111111"/>
            <w:sz w:val="22"/>
            <w:szCs w:val="22"/>
            <w:b w:val="0"/>
            <w:bCs w:val="0"/>
            <w:i w:val="0"/>
            <w:iCs w:val="0"/>
          </w:rPr>
          <w:t>8006- دیوان واصب قندهاری‏</w:t>
        </w:r>
        <w:r>
          <w:tab/>
        </w:r>
        <w:r>
          <w:fldChar w:fldCharType="begin"/>
        </w:r>
        <w:r>
          <w:instrText xml:space="preserve">PAGEREF 9290 \h</w:instrText>
        </w:r>
        <w:r>
          <w:fldChar w:fldCharType="end"/>
        </w:r>
      </w:hyperlink>
    </w:p>
    <w:p>
      <w:pPr>
        <w:tabs>
          <w:tab w:val="right" w:leader="dot" w:pos="9062"/>
        </w:tabs>
        <w:ind w:left="440"/>
      </w:pPr>
      <w:hyperlink w:anchor="_Toc9291" w:history="1">
        <w:r>
          <w:rPr>
            <w:rFonts w:ascii="IRNazanin" w:hAnsi="IRNazanin" w:eastAsia="IRNazanin" w:cs="IRNazanin"/>
            <w:color w:val="111111"/>
            <w:sz w:val="22"/>
            <w:szCs w:val="22"/>
            <w:b w:val="0"/>
            <w:bCs w:val="0"/>
            <w:i w:val="0"/>
            <w:iCs w:val="0"/>
          </w:rPr>
          <w:t>8007- دیوان واصف کشمیری أو شعره‏</w:t>
        </w:r>
        <w:r>
          <w:tab/>
        </w:r>
        <w:r>
          <w:fldChar w:fldCharType="begin"/>
        </w:r>
        <w:r>
          <w:instrText xml:space="preserve">PAGEREF 9291 \h</w:instrText>
        </w:r>
        <w:r>
          <w:fldChar w:fldCharType="end"/>
        </w:r>
      </w:hyperlink>
    </w:p>
    <w:p>
      <w:pPr>
        <w:tabs>
          <w:tab w:val="right" w:leader="dot" w:pos="9062"/>
        </w:tabs>
        <w:ind w:left="440"/>
      </w:pPr>
      <w:hyperlink w:anchor="_Toc9292" w:history="1">
        <w:r>
          <w:rPr>
            <w:rFonts w:ascii="IRNazanin" w:hAnsi="IRNazanin" w:eastAsia="IRNazanin" w:cs="IRNazanin"/>
            <w:color w:val="111111"/>
            <w:sz w:val="22"/>
            <w:szCs w:val="22"/>
            <w:b w:val="0"/>
            <w:bCs w:val="0"/>
            <w:i w:val="0"/>
            <w:iCs w:val="0"/>
          </w:rPr>
          <w:t>8008- دیوان واصف مشهدی‏</w:t>
        </w:r>
        <w:r>
          <w:tab/>
        </w:r>
        <w:r>
          <w:fldChar w:fldCharType="begin"/>
        </w:r>
        <w:r>
          <w:instrText xml:space="preserve">PAGEREF 9292 \h</w:instrText>
        </w:r>
        <w:r>
          <w:fldChar w:fldCharType="end"/>
        </w:r>
      </w:hyperlink>
    </w:p>
    <w:p>
      <w:pPr>
        <w:tabs>
          <w:tab w:val="right" w:leader="dot" w:pos="9062"/>
        </w:tabs>
        <w:ind w:left="440"/>
      </w:pPr>
      <w:hyperlink w:anchor="_Toc9293" w:history="1">
        <w:r>
          <w:rPr>
            <w:rFonts w:ascii="IRNazanin" w:hAnsi="IRNazanin" w:eastAsia="IRNazanin" w:cs="IRNazanin"/>
            <w:color w:val="111111"/>
            <w:sz w:val="22"/>
            <w:szCs w:val="22"/>
            <w:b w:val="0"/>
            <w:bCs w:val="0"/>
            <w:i w:val="0"/>
            <w:iCs w:val="0"/>
          </w:rPr>
          <w:t>8009- دیوان واصفی هروی‏</w:t>
        </w:r>
        <w:r>
          <w:tab/>
        </w:r>
        <w:r>
          <w:fldChar w:fldCharType="begin"/>
        </w:r>
        <w:r>
          <w:instrText xml:space="preserve">PAGEREF 9293 \h</w:instrText>
        </w:r>
        <w:r>
          <w:fldChar w:fldCharType="end"/>
        </w:r>
      </w:hyperlink>
    </w:p>
    <w:p>
      <w:pPr>
        <w:tabs>
          <w:tab w:val="right" w:leader="dot" w:pos="9062"/>
        </w:tabs>
        <w:ind w:left="440"/>
      </w:pPr>
      <w:hyperlink w:anchor="_Toc9294" w:history="1">
        <w:r>
          <w:rPr>
            <w:rFonts w:ascii="IRNazanin" w:hAnsi="IRNazanin" w:eastAsia="IRNazanin" w:cs="IRNazanin"/>
            <w:color w:val="111111"/>
            <w:sz w:val="22"/>
            <w:szCs w:val="22"/>
            <w:b w:val="0"/>
            <w:bCs w:val="0"/>
            <w:i w:val="0"/>
            <w:iCs w:val="0"/>
          </w:rPr>
          <w:t>8010- دیوان واصل کرمانی أو شعره‏</w:t>
        </w:r>
        <w:r>
          <w:tab/>
        </w:r>
        <w:r>
          <w:fldChar w:fldCharType="begin"/>
        </w:r>
        <w:r>
          <w:instrText xml:space="preserve">PAGEREF 9294 \h</w:instrText>
        </w:r>
        <w:r>
          <w:fldChar w:fldCharType="end"/>
        </w:r>
      </w:hyperlink>
    </w:p>
    <w:p>
      <w:pPr>
        <w:tabs>
          <w:tab w:val="right" w:leader="dot" w:pos="9062"/>
        </w:tabs>
        <w:ind w:left="440"/>
      </w:pPr>
      <w:hyperlink w:anchor="_Toc9295" w:history="1">
        <w:r>
          <w:rPr>
            <w:rFonts w:ascii="IRNazanin" w:hAnsi="IRNazanin" w:eastAsia="IRNazanin" w:cs="IRNazanin"/>
            <w:color w:val="111111"/>
            <w:sz w:val="22"/>
            <w:szCs w:val="22"/>
            <w:b w:val="0"/>
            <w:bCs w:val="0"/>
            <w:i w:val="0"/>
            <w:iCs w:val="0"/>
          </w:rPr>
          <w:t>8011- دیوان واصل کشمیری أو شعره‏</w:t>
        </w:r>
        <w:r>
          <w:tab/>
        </w:r>
        <w:r>
          <w:fldChar w:fldCharType="begin"/>
        </w:r>
        <w:r>
          <w:instrText xml:space="preserve">PAGEREF 9295 \h</w:instrText>
        </w:r>
        <w:r>
          <w:fldChar w:fldCharType="end"/>
        </w:r>
      </w:hyperlink>
    </w:p>
    <w:p>
      <w:pPr>
        <w:tabs>
          <w:tab w:val="right" w:leader="dot" w:pos="9062"/>
        </w:tabs>
        <w:ind w:left="440"/>
      </w:pPr>
      <w:hyperlink w:anchor="_Toc9296" w:history="1">
        <w:r>
          <w:rPr>
            <w:rFonts w:ascii="IRNazanin" w:hAnsi="IRNazanin" w:eastAsia="IRNazanin" w:cs="IRNazanin"/>
            <w:color w:val="111111"/>
            <w:sz w:val="22"/>
            <w:szCs w:val="22"/>
            <w:b w:val="0"/>
            <w:bCs w:val="0"/>
            <w:i w:val="0"/>
            <w:iCs w:val="0"/>
          </w:rPr>
          <w:t>8012- دیوان واصل کشمیری أو شعره‏</w:t>
        </w:r>
        <w:r>
          <w:tab/>
        </w:r>
        <w:r>
          <w:fldChar w:fldCharType="begin"/>
        </w:r>
        <w:r>
          <w:instrText xml:space="preserve">PAGEREF 9296 \h</w:instrText>
        </w:r>
        <w:r>
          <w:fldChar w:fldCharType="end"/>
        </w:r>
      </w:hyperlink>
    </w:p>
    <w:p>
      <w:pPr>
        <w:tabs>
          <w:tab w:val="right" w:leader="dot" w:pos="9062"/>
        </w:tabs>
        <w:ind w:left="440"/>
      </w:pPr>
      <w:hyperlink w:anchor="_Toc9297" w:history="1">
        <w:r>
          <w:rPr>
            <w:rFonts w:ascii="IRNazanin" w:hAnsi="IRNazanin" w:eastAsia="IRNazanin" w:cs="IRNazanin"/>
            <w:color w:val="111111"/>
            <w:sz w:val="22"/>
            <w:szCs w:val="22"/>
            <w:b w:val="0"/>
            <w:bCs w:val="0"/>
            <w:i w:val="0"/>
            <w:iCs w:val="0"/>
          </w:rPr>
          <w:t>8013- دیوان واصل لاهیجی‏</w:t>
        </w:r>
        <w:r>
          <w:tab/>
        </w:r>
        <w:r>
          <w:fldChar w:fldCharType="begin"/>
        </w:r>
        <w:r>
          <w:instrText xml:space="preserve">PAGEREF 9297 \h</w:instrText>
        </w:r>
        <w:r>
          <w:fldChar w:fldCharType="end"/>
        </w:r>
      </w:hyperlink>
    </w:p>
    <w:p>
      <w:pPr>
        <w:tabs>
          <w:tab w:val="right" w:leader="dot" w:pos="9062"/>
        </w:tabs>
        <w:ind w:left="440"/>
      </w:pPr>
      <w:hyperlink w:anchor="_Toc9298" w:history="1">
        <w:r>
          <w:rPr>
            <w:rFonts w:ascii="IRNazanin" w:hAnsi="IRNazanin" w:eastAsia="IRNazanin" w:cs="IRNazanin"/>
            <w:color w:val="111111"/>
            <w:sz w:val="22"/>
            <w:szCs w:val="22"/>
            <w:b w:val="0"/>
            <w:bCs w:val="0"/>
            <w:i w:val="0"/>
            <w:iCs w:val="0"/>
          </w:rPr>
          <w:t>8014- دیوان واصل هندی أو شعره‏</w:t>
        </w:r>
        <w:r>
          <w:tab/>
        </w:r>
        <w:r>
          <w:fldChar w:fldCharType="begin"/>
        </w:r>
        <w:r>
          <w:instrText xml:space="preserve">PAGEREF 9298 \h</w:instrText>
        </w:r>
        <w:r>
          <w:fldChar w:fldCharType="end"/>
        </w:r>
      </w:hyperlink>
    </w:p>
    <w:p>
      <w:pPr>
        <w:tabs>
          <w:tab w:val="right" w:leader="dot" w:pos="9062"/>
        </w:tabs>
        <w:ind w:left="440"/>
      </w:pPr>
      <w:hyperlink w:anchor="_Toc9299" w:history="1">
        <w:r>
          <w:rPr>
            <w:rFonts w:ascii="IRNazanin" w:hAnsi="IRNazanin" w:eastAsia="IRNazanin" w:cs="IRNazanin"/>
            <w:color w:val="111111"/>
            <w:sz w:val="22"/>
            <w:szCs w:val="22"/>
            <w:b w:val="0"/>
            <w:bCs w:val="0"/>
            <w:i w:val="0"/>
            <w:iCs w:val="0"/>
          </w:rPr>
          <w:t>8015- دیوان واصل یزدی‏</w:t>
        </w:r>
        <w:r>
          <w:tab/>
        </w:r>
        <w:r>
          <w:fldChar w:fldCharType="begin"/>
        </w:r>
        <w:r>
          <w:instrText xml:space="preserve">PAGEREF 9299 \h</w:instrText>
        </w:r>
        <w:r>
          <w:fldChar w:fldCharType="end"/>
        </w:r>
      </w:hyperlink>
    </w:p>
    <w:p>
      <w:pPr>
        <w:tabs>
          <w:tab w:val="right" w:leader="dot" w:pos="9062"/>
        </w:tabs>
        <w:ind w:left="440"/>
      </w:pPr>
      <w:hyperlink w:anchor="_Toc9300" w:history="1">
        <w:r>
          <w:rPr>
            <w:rFonts w:ascii="IRNazanin" w:hAnsi="IRNazanin" w:eastAsia="IRNazanin" w:cs="IRNazanin"/>
            <w:color w:val="111111"/>
            <w:sz w:val="22"/>
            <w:szCs w:val="22"/>
            <w:b w:val="0"/>
            <w:bCs w:val="0"/>
            <w:i w:val="0"/>
            <w:iCs w:val="0"/>
          </w:rPr>
          <w:t>8016- دیوان واصلی بخاری أو شعره‏</w:t>
        </w:r>
        <w:r>
          <w:tab/>
        </w:r>
        <w:r>
          <w:fldChar w:fldCharType="begin"/>
        </w:r>
        <w:r>
          <w:instrText xml:space="preserve">PAGEREF 9300 \h</w:instrText>
        </w:r>
        <w:r>
          <w:fldChar w:fldCharType="end"/>
        </w:r>
      </w:hyperlink>
    </w:p>
    <w:p>
      <w:pPr>
        <w:tabs>
          <w:tab w:val="right" w:leader="dot" w:pos="9062"/>
        </w:tabs>
        <w:ind w:left="440"/>
      </w:pPr>
      <w:hyperlink w:anchor="_Toc9301" w:history="1">
        <w:r>
          <w:rPr>
            <w:rFonts w:ascii="IRNazanin" w:hAnsi="IRNazanin" w:eastAsia="IRNazanin" w:cs="IRNazanin"/>
            <w:color w:val="111111"/>
            <w:sz w:val="22"/>
            <w:szCs w:val="22"/>
            <w:b w:val="0"/>
            <w:bCs w:val="0"/>
            <w:i w:val="0"/>
            <w:iCs w:val="0"/>
          </w:rPr>
          <w:t>8017- دیوان واصلی تبریزی أو شعره‏</w:t>
        </w:r>
        <w:r>
          <w:tab/>
        </w:r>
        <w:r>
          <w:fldChar w:fldCharType="begin"/>
        </w:r>
        <w:r>
          <w:instrText xml:space="preserve">PAGEREF 9301 \h</w:instrText>
        </w:r>
        <w:r>
          <w:fldChar w:fldCharType="end"/>
        </w:r>
      </w:hyperlink>
    </w:p>
    <w:p>
      <w:pPr>
        <w:tabs>
          <w:tab w:val="right" w:leader="dot" w:pos="9062"/>
        </w:tabs>
        <w:ind w:left="440"/>
      </w:pPr>
      <w:hyperlink w:anchor="_Toc9302" w:history="1">
        <w:r>
          <w:rPr>
            <w:rFonts w:ascii="IRNazanin" w:hAnsi="IRNazanin" w:eastAsia="IRNazanin" w:cs="IRNazanin"/>
            <w:color w:val="111111"/>
            <w:sz w:val="22"/>
            <w:szCs w:val="22"/>
            <w:b w:val="0"/>
            <w:bCs w:val="0"/>
            <w:i w:val="0"/>
            <w:iCs w:val="0"/>
          </w:rPr>
          <w:t>8018- دیوان واصلی شاه‏جهان‏آبادی‏</w:t>
        </w:r>
        <w:r>
          <w:tab/>
        </w:r>
        <w:r>
          <w:fldChar w:fldCharType="begin"/>
        </w:r>
        <w:r>
          <w:instrText xml:space="preserve">PAGEREF 9302 \h</w:instrText>
        </w:r>
        <w:r>
          <w:fldChar w:fldCharType="end"/>
        </w:r>
      </w:hyperlink>
    </w:p>
    <w:p>
      <w:pPr>
        <w:tabs>
          <w:tab w:val="right" w:leader="dot" w:pos="9062"/>
        </w:tabs>
        <w:ind w:left="440"/>
      </w:pPr>
      <w:hyperlink w:anchor="_Toc9303" w:history="1">
        <w:r>
          <w:rPr>
            <w:rFonts w:ascii="IRNazanin" w:hAnsi="IRNazanin" w:eastAsia="IRNazanin" w:cs="IRNazanin"/>
            <w:color w:val="111111"/>
            <w:sz w:val="22"/>
            <w:szCs w:val="22"/>
            <w:b w:val="0"/>
            <w:bCs w:val="0"/>
            <w:i w:val="0"/>
            <w:iCs w:val="0"/>
          </w:rPr>
          <w:t>8019- دیوان واصلی شیرازی أو شعره‏</w:t>
        </w:r>
        <w:r>
          <w:tab/>
        </w:r>
        <w:r>
          <w:fldChar w:fldCharType="begin"/>
        </w:r>
        <w:r>
          <w:instrText xml:space="preserve">PAGEREF 9303 \h</w:instrText>
        </w:r>
        <w:r>
          <w:fldChar w:fldCharType="end"/>
        </w:r>
      </w:hyperlink>
    </w:p>
    <w:p>
      <w:pPr>
        <w:tabs>
          <w:tab w:val="right" w:leader="dot" w:pos="9062"/>
        </w:tabs>
        <w:ind w:left="440"/>
      </w:pPr>
      <w:hyperlink w:anchor="_Toc9304" w:history="1">
        <w:r>
          <w:rPr>
            <w:rFonts w:ascii="IRNazanin" w:hAnsi="IRNazanin" w:eastAsia="IRNazanin" w:cs="IRNazanin"/>
            <w:color w:val="111111"/>
            <w:sz w:val="22"/>
            <w:szCs w:val="22"/>
            <w:b w:val="0"/>
            <w:bCs w:val="0"/>
            <w:i w:val="0"/>
            <w:iCs w:val="0"/>
          </w:rPr>
          <w:t>دیوان واصلی کابلی‏</w:t>
        </w:r>
        <w:r>
          <w:tab/>
        </w:r>
        <w:r>
          <w:fldChar w:fldCharType="begin"/>
        </w:r>
        <w:r>
          <w:instrText xml:space="preserve">PAGEREF 9304 \h</w:instrText>
        </w:r>
        <w:r>
          <w:fldChar w:fldCharType="end"/>
        </w:r>
      </w:hyperlink>
    </w:p>
    <w:p>
      <w:pPr>
        <w:tabs>
          <w:tab w:val="right" w:leader="dot" w:pos="9062"/>
        </w:tabs>
        <w:ind w:left="440"/>
      </w:pPr>
      <w:hyperlink w:anchor="_Toc9305" w:history="1">
        <w:r>
          <w:rPr>
            <w:rFonts w:ascii="IRNazanin" w:hAnsi="IRNazanin" w:eastAsia="IRNazanin" w:cs="IRNazanin"/>
            <w:color w:val="111111"/>
            <w:sz w:val="22"/>
            <w:szCs w:val="22"/>
            <w:b w:val="0"/>
            <w:bCs w:val="0"/>
            <w:i w:val="0"/>
            <w:iCs w:val="0"/>
          </w:rPr>
          <w:t>8020- دیوان واصلی لکهنوی أو شعره‏</w:t>
        </w:r>
        <w:r>
          <w:tab/>
        </w:r>
        <w:r>
          <w:fldChar w:fldCharType="begin"/>
        </w:r>
        <w:r>
          <w:instrText xml:space="preserve">PAGEREF 9305 \h</w:instrText>
        </w:r>
        <w:r>
          <w:fldChar w:fldCharType="end"/>
        </w:r>
      </w:hyperlink>
    </w:p>
    <w:p>
      <w:pPr>
        <w:tabs>
          <w:tab w:val="right" w:leader="dot" w:pos="9062"/>
        </w:tabs>
        <w:ind w:left="440"/>
      </w:pPr>
      <w:hyperlink w:anchor="_Toc9306" w:history="1">
        <w:r>
          <w:rPr>
            <w:rFonts w:ascii="IRNazanin" w:hAnsi="IRNazanin" w:eastAsia="IRNazanin" w:cs="IRNazanin"/>
            <w:color w:val="111111"/>
            <w:sz w:val="22"/>
            <w:szCs w:val="22"/>
            <w:b w:val="0"/>
            <w:bCs w:val="0"/>
            <w:i w:val="0"/>
            <w:iCs w:val="0"/>
          </w:rPr>
          <w:t>8021- دیوان واصلی مروزی أو شعره‏</w:t>
        </w:r>
        <w:r>
          <w:tab/>
        </w:r>
        <w:r>
          <w:fldChar w:fldCharType="begin"/>
        </w:r>
        <w:r>
          <w:instrText xml:space="preserve">PAGEREF 9306 \h</w:instrText>
        </w:r>
        <w:r>
          <w:fldChar w:fldCharType="end"/>
        </w:r>
      </w:hyperlink>
    </w:p>
    <w:p>
      <w:pPr>
        <w:tabs>
          <w:tab w:val="right" w:leader="dot" w:pos="9062"/>
        </w:tabs>
        <w:ind w:left="440"/>
      </w:pPr>
      <w:hyperlink w:anchor="_Toc9307" w:history="1">
        <w:r>
          <w:rPr>
            <w:rFonts w:ascii="IRNazanin" w:hAnsi="IRNazanin" w:eastAsia="IRNazanin" w:cs="IRNazanin"/>
            <w:color w:val="111111"/>
            <w:sz w:val="22"/>
            <w:szCs w:val="22"/>
            <w:b w:val="0"/>
            <w:bCs w:val="0"/>
            <w:i w:val="0"/>
            <w:iCs w:val="0"/>
          </w:rPr>
          <w:t>8022- دیوان واضح أصفهانی أو شعره‏</w:t>
        </w:r>
        <w:r>
          <w:tab/>
        </w:r>
        <w:r>
          <w:fldChar w:fldCharType="begin"/>
        </w:r>
        <w:r>
          <w:instrText xml:space="preserve">PAGEREF 9307 \h</w:instrText>
        </w:r>
        <w:r>
          <w:fldChar w:fldCharType="end"/>
        </w:r>
      </w:hyperlink>
    </w:p>
    <w:p>
      <w:pPr>
        <w:tabs>
          <w:tab w:val="right" w:leader="dot" w:pos="9062"/>
        </w:tabs>
        <w:ind w:left="440"/>
      </w:pPr>
      <w:hyperlink w:anchor="_Toc9308" w:history="1">
        <w:r>
          <w:rPr>
            <w:rFonts w:ascii="IRNazanin" w:hAnsi="IRNazanin" w:eastAsia="IRNazanin" w:cs="IRNazanin"/>
            <w:color w:val="111111"/>
            <w:sz w:val="22"/>
            <w:szCs w:val="22"/>
            <w:b w:val="0"/>
            <w:bCs w:val="0"/>
            <w:i w:val="0"/>
            <w:iCs w:val="0"/>
          </w:rPr>
          <w:t>8023- دیوان واضح ساوجی‏</w:t>
        </w:r>
        <w:r>
          <w:tab/>
        </w:r>
        <w:r>
          <w:fldChar w:fldCharType="begin"/>
        </w:r>
        <w:r>
          <w:instrText xml:space="preserve">PAGEREF 9308 \h</w:instrText>
        </w:r>
        <w:r>
          <w:fldChar w:fldCharType="end"/>
        </w:r>
      </w:hyperlink>
    </w:p>
    <w:p>
      <w:pPr>
        <w:tabs>
          <w:tab w:val="right" w:leader="dot" w:pos="9062"/>
        </w:tabs>
        <w:ind w:left="440"/>
      </w:pPr>
      <w:hyperlink w:anchor="_Toc9309" w:history="1">
        <w:r>
          <w:rPr>
            <w:rFonts w:ascii="IRNazanin" w:hAnsi="IRNazanin" w:eastAsia="IRNazanin" w:cs="IRNazanin"/>
            <w:color w:val="111111"/>
            <w:sz w:val="22"/>
            <w:szCs w:val="22"/>
            <w:b w:val="0"/>
            <w:bCs w:val="0"/>
            <w:i w:val="0"/>
            <w:iCs w:val="0"/>
          </w:rPr>
          <w:t>دیوان واضع أصفهانی‏</w:t>
        </w:r>
        <w:r>
          <w:tab/>
        </w:r>
        <w:r>
          <w:fldChar w:fldCharType="begin"/>
        </w:r>
        <w:r>
          <w:instrText xml:space="preserve">PAGEREF 9309 \h</w:instrText>
        </w:r>
        <w:r>
          <w:fldChar w:fldCharType="end"/>
        </w:r>
      </w:hyperlink>
    </w:p>
    <w:p>
      <w:pPr>
        <w:tabs>
          <w:tab w:val="right" w:leader="dot" w:pos="9062"/>
        </w:tabs>
        <w:ind w:left="440"/>
      </w:pPr>
      <w:hyperlink w:anchor="_Toc9310" w:history="1">
        <w:r>
          <w:rPr>
            <w:rFonts w:ascii="IRNazanin" w:hAnsi="IRNazanin" w:eastAsia="IRNazanin" w:cs="IRNazanin"/>
            <w:color w:val="111111"/>
            <w:sz w:val="22"/>
            <w:szCs w:val="22"/>
            <w:b w:val="0"/>
            <w:bCs w:val="0"/>
            <w:i w:val="0"/>
            <w:iCs w:val="0"/>
          </w:rPr>
          <w:t>8024- دیوان واعظ خراسانی‏</w:t>
        </w:r>
        <w:r>
          <w:tab/>
        </w:r>
        <w:r>
          <w:fldChar w:fldCharType="begin"/>
        </w:r>
        <w:r>
          <w:instrText xml:space="preserve">PAGEREF 9310 \h</w:instrText>
        </w:r>
        <w:r>
          <w:fldChar w:fldCharType="end"/>
        </w:r>
      </w:hyperlink>
    </w:p>
    <w:p>
      <w:pPr>
        <w:tabs>
          <w:tab w:val="right" w:leader="dot" w:pos="9062"/>
        </w:tabs>
        <w:ind w:left="440"/>
      </w:pPr>
      <w:hyperlink w:anchor="_Toc9311" w:history="1">
        <w:r>
          <w:rPr>
            <w:rFonts w:ascii="IRNazanin" w:hAnsi="IRNazanin" w:eastAsia="IRNazanin" w:cs="IRNazanin"/>
            <w:color w:val="111111"/>
            <w:sz w:val="22"/>
            <w:szCs w:val="22"/>
            <w:b w:val="0"/>
            <w:bCs w:val="0"/>
            <w:i w:val="0"/>
            <w:iCs w:val="0"/>
          </w:rPr>
          <w:t>دیوان واعظ شیروانی‏</w:t>
        </w:r>
        <w:r>
          <w:tab/>
        </w:r>
        <w:r>
          <w:fldChar w:fldCharType="begin"/>
        </w:r>
        <w:r>
          <w:instrText xml:space="preserve">PAGEREF 9311 \h</w:instrText>
        </w:r>
        <w:r>
          <w:fldChar w:fldCharType="end"/>
        </w:r>
      </w:hyperlink>
    </w:p>
    <w:p>
      <w:pPr>
        <w:tabs>
          <w:tab w:val="right" w:leader="dot" w:pos="9062"/>
        </w:tabs>
        <w:ind w:left="440"/>
      </w:pPr>
      <w:hyperlink w:anchor="_Toc9312" w:history="1">
        <w:r>
          <w:rPr>
            <w:rFonts w:ascii="IRNazanin" w:hAnsi="IRNazanin" w:eastAsia="IRNazanin" w:cs="IRNazanin"/>
            <w:color w:val="111111"/>
            <w:sz w:val="22"/>
            <w:szCs w:val="22"/>
            <w:b w:val="0"/>
            <w:bCs w:val="0"/>
            <w:i w:val="0"/>
            <w:iCs w:val="0"/>
          </w:rPr>
          <w:t>دیوان واعظ صفی‏آبادی‏</w:t>
        </w:r>
        <w:r>
          <w:tab/>
        </w:r>
        <w:r>
          <w:fldChar w:fldCharType="begin"/>
        </w:r>
        <w:r>
          <w:instrText xml:space="preserve">PAGEREF 9312 \h</w:instrText>
        </w:r>
        <w:r>
          <w:fldChar w:fldCharType="end"/>
        </w:r>
      </w:hyperlink>
    </w:p>
    <w:p>
      <w:pPr>
        <w:tabs>
          <w:tab w:val="right" w:leader="dot" w:pos="9062"/>
        </w:tabs>
        <w:ind w:left="440"/>
      </w:pPr>
      <w:hyperlink w:anchor="_Toc9313" w:history="1">
        <w:r>
          <w:rPr>
            <w:rFonts w:ascii="IRNazanin" w:hAnsi="IRNazanin" w:eastAsia="IRNazanin" w:cs="IRNazanin"/>
            <w:color w:val="111111"/>
            <w:sz w:val="22"/>
            <w:szCs w:val="22"/>
            <w:b w:val="0"/>
            <w:bCs w:val="0"/>
            <w:i w:val="0"/>
            <w:iCs w:val="0"/>
          </w:rPr>
          <w:t>8025- دیوان واعظ قاینی‏</w:t>
        </w:r>
        <w:r>
          <w:tab/>
        </w:r>
        <w:r>
          <w:fldChar w:fldCharType="begin"/>
        </w:r>
        <w:r>
          <w:instrText xml:space="preserve">PAGEREF 9313 \h</w:instrText>
        </w:r>
        <w:r>
          <w:fldChar w:fldCharType="end"/>
        </w:r>
      </w:hyperlink>
    </w:p>
    <w:p>
      <w:pPr>
        <w:tabs>
          <w:tab w:val="right" w:leader="dot" w:pos="9062"/>
        </w:tabs>
        <w:ind w:left="440"/>
      </w:pPr>
      <w:hyperlink w:anchor="_Toc9314" w:history="1">
        <w:r>
          <w:rPr>
            <w:rFonts w:ascii="IRNazanin" w:hAnsi="IRNazanin" w:eastAsia="IRNazanin" w:cs="IRNazanin"/>
            <w:color w:val="111111"/>
            <w:sz w:val="22"/>
            <w:szCs w:val="22"/>
            <w:b w:val="0"/>
            <w:bCs w:val="0"/>
            <w:i w:val="0"/>
            <w:iCs w:val="0"/>
          </w:rPr>
          <w:t>8026- دیوان واعظ قزوینی أو شعره‏</w:t>
        </w:r>
        <w:r>
          <w:tab/>
        </w:r>
        <w:r>
          <w:fldChar w:fldCharType="begin"/>
        </w:r>
        <w:r>
          <w:instrText xml:space="preserve">PAGEREF 9314 \h</w:instrText>
        </w:r>
        <w:r>
          <w:fldChar w:fldCharType="end"/>
        </w:r>
      </w:hyperlink>
    </w:p>
    <w:p>
      <w:pPr>
        <w:tabs>
          <w:tab w:val="right" w:leader="dot" w:pos="9062"/>
        </w:tabs>
        <w:ind w:left="440"/>
      </w:pPr>
      <w:hyperlink w:anchor="_Toc9315" w:history="1">
        <w:r>
          <w:rPr>
            <w:rFonts w:ascii="IRNazanin" w:hAnsi="IRNazanin" w:eastAsia="IRNazanin" w:cs="IRNazanin"/>
            <w:color w:val="111111"/>
            <w:sz w:val="22"/>
            <w:szCs w:val="22"/>
            <w:b w:val="0"/>
            <w:bCs w:val="0"/>
            <w:i w:val="0"/>
            <w:iCs w:val="0"/>
          </w:rPr>
          <w:t>8027- دیوان واعظ قزوینی‏</w:t>
        </w:r>
        <w:r>
          <w:tab/>
        </w:r>
        <w:r>
          <w:fldChar w:fldCharType="begin"/>
        </w:r>
        <w:r>
          <w:instrText xml:space="preserve">PAGEREF 9315 \h</w:instrText>
        </w:r>
        <w:r>
          <w:fldChar w:fldCharType="end"/>
        </w:r>
      </w:hyperlink>
    </w:p>
    <w:p>
      <w:pPr>
        <w:tabs>
          <w:tab w:val="right" w:leader="dot" w:pos="9062"/>
        </w:tabs>
        <w:ind w:left="440"/>
      </w:pPr>
      <w:hyperlink w:anchor="_Toc9316" w:history="1">
        <w:r>
          <w:rPr>
            <w:rFonts w:ascii="IRNazanin" w:hAnsi="IRNazanin" w:eastAsia="IRNazanin" w:cs="IRNazanin"/>
            <w:color w:val="111111"/>
            <w:sz w:val="22"/>
            <w:szCs w:val="22"/>
            <w:b w:val="0"/>
            <w:bCs w:val="0"/>
            <w:i w:val="0"/>
            <w:iCs w:val="0"/>
          </w:rPr>
          <w:t>دیوان واعظ کاشفی‏</w:t>
        </w:r>
        <w:r>
          <w:tab/>
        </w:r>
        <w:r>
          <w:fldChar w:fldCharType="begin"/>
        </w:r>
        <w:r>
          <w:instrText xml:space="preserve">PAGEREF 9316 \h</w:instrText>
        </w:r>
        <w:r>
          <w:fldChar w:fldCharType="end"/>
        </w:r>
      </w:hyperlink>
    </w:p>
    <w:p>
      <w:pPr>
        <w:tabs>
          <w:tab w:val="right" w:leader="dot" w:pos="9062"/>
        </w:tabs>
        <w:ind w:left="440"/>
      </w:pPr>
      <w:hyperlink w:anchor="_Toc9317" w:history="1">
        <w:r>
          <w:rPr>
            <w:rFonts w:ascii="IRNazanin" w:hAnsi="IRNazanin" w:eastAsia="IRNazanin" w:cs="IRNazanin"/>
            <w:color w:val="111111"/>
            <w:sz w:val="22"/>
            <w:szCs w:val="22"/>
            <w:b w:val="0"/>
            <w:bCs w:val="0"/>
            <w:i w:val="0"/>
            <w:iCs w:val="0"/>
          </w:rPr>
          <w:t>8028- دیوان واعظ میثمی أو شعره‏</w:t>
        </w:r>
        <w:r>
          <w:tab/>
        </w:r>
        <w:r>
          <w:fldChar w:fldCharType="begin"/>
        </w:r>
        <w:r>
          <w:instrText xml:space="preserve">PAGEREF 9317 \h</w:instrText>
        </w:r>
        <w:r>
          <w:fldChar w:fldCharType="end"/>
        </w:r>
      </w:hyperlink>
    </w:p>
    <w:p>
      <w:pPr>
        <w:tabs>
          <w:tab w:val="right" w:leader="dot" w:pos="9062"/>
        </w:tabs>
        <w:ind w:left="440"/>
      </w:pPr>
      <w:hyperlink w:anchor="_Toc9318" w:history="1">
        <w:r>
          <w:rPr>
            <w:rFonts w:ascii="IRNazanin" w:hAnsi="IRNazanin" w:eastAsia="IRNazanin" w:cs="IRNazanin"/>
            <w:color w:val="111111"/>
            <w:sz w:val="22"/>
            <w:szCs w:val="22"/>
            <w:b w:val="0"/>
            <w:bCs w:val="0"/>
            <w:i w:val="0"/>
            <w:iCs w:val="0"/>
          </w:rPr>
          <w:t>8029- دیوان واعظ هروی أو شعره‏</w:t>
        </w:r>
        <w:r>
          <w:tab/>
        </w:r>
        <w:r>
          <w:fldChar w:fldCharType="begin"/>
        </w:r>
        <w:r>
          <w:instrText xml:space="preserve">PAGEREF 9318 \h</w:instrText>
        </w:r>
        <w:r>
          <w:fldChar w:fldCharType="end"/>
        </w:r>
      </w:hyperlink>
    </w:p>
    <w:p>
      <w:pPr>
        <w:tabs>
          <w:tab w:val="right" w:leader="dot" w:pos="9062"/>
        </w:tabs>
        <w:ind w:left="440"/>
      </w:pPr>
      <w:hyperlink w:anchor="_Toc9319" w:history="1">
        <w:r>
          <w:rPr>
            <w:rFonts w:ascii="IRNazanin" w:hAnsi="IRNazanin" w:eastAsia="IRNazanin" w:cs="IRNazanin"/>
            <w:color w:val="111111"/>
            <w:sz w:val="22"/>
            <w:szCs w:val="22"/>
            <w:b w:val="0"/>
            <w:bCs w:val="0"/>
            <w:i w:val="0"/>
            <w:iCs w:val="0"/>
          </w:rPr>
          <w:t>دیوان واعظ هروی‏</w:t>
        </w:r>
        <w:r>
          <w:tab/>
        </w:r>
        <w:r>
          <w:fldChar w:fldCharType="begin"/>
        </w:r>
        <w:r>
          <w:instrText xml:space="preserve">PAGEREF 9319 \h</w:instrText>
        </w:r>
        <w:r>
          <w:fldChar w:fldCharType="end"/>
        </w:r>
      </w:hyperlink>
    </w:p>
    <w:p>
      <w:pPr>
        <w:tabs>
          <w:tab w:val="right" w:leader="dot" w:pos="9062"/>
        </w:tabs>
        <w:ind w:left="440"/>
      </w:pPr>
      <w:hyperlink w:anchor="_Toc9320" w:history="1">
        <w:r>
          <w:rPr>
            <w:rFonts w:ascii="IRNazanin" w:hAnsi="IRNazanin" w:eastAsia="IRNazanin" w:cs="IRNazanin"/>
            <w:color w:val="111111"/>
            <w:sz w:val="22"/>
            <w:szCs w:val="22"/>
            <w:b w:val="0"/>
            <w:bCs w:val="0"/>
            <w:i w:val="0"/>
            <w:iCs w:val="0"/>
          </w:rPr>
          <w:t>8030- دیوان واعظی بلخی أو شعره‏</w:t>
        </w:r>
        <w:r>
          <w:tab/>
        </w:r>
        <w:r>
          <w:fldChar w:fldCharType="begin"/>
        </w:r>
        <w:r>
          <w:instrText xml:space="preserve">PAGEREF 9320 \h</w:instrText>
        </w:r>
        <w:r>
          <w:fldChar w:fldCharType="end"/>
        </w:r>
      </w:hyperlink>
    </w:p>
    <w:p>
      <w:pPr>
        <w:tabs>
          <w:tab w:val="right" w:leader="dot" w:pos="9062"/>
        </w:tabs>
        <w:ind w:left="440"/>
      </w:pPr>
      <w:hyperlink w:anchor="_Toc9321" w:history="1">
        <w:r>
          <w:rPr>
            <w:rFonts w:ascii="IRNazanin" w:hAnsi="IRNazanin" w:eastAsia="IRNazanin" w:cs="IRNazanin"/>
            <w:color w:val="111111"/>
            <w:sz w:val="22"/>
            <w:szCs w:val="22"/>
            <w:b w:val="0"/>
            <w:bCs w:val="0"/>
            <w:i w:val="0"/>
            <w:iCs w:val="0"/>
          </w:rPr>
          <w:t>8031- دیوان وافی الله‏آبادی أو شعره‏</w:t>
        </w:r>
        <w:r>
          <w:tab/>
        </w:r>
        <w:r>
          <w:fldChar w:fldCharType="begin"/>
        </w:r>
        <w:r>
          <w:instrText xml:space="preserve">PAGEREF 9321 \h</w:instrText>
        </w:r>
        <w:r>
          <w:fldChar w:fldCharType="end"/>
        </w:r>
      </w:hyperlink>
    </w:p>
    <w:p>
      <w:pPr>
        <w:tabs>
          <w:tab w:val="right" w:leader="dot" w:pos="9062"/>
        </w:tabs>
        <w:ind w:left="440"/>
      </w:pPr>
      <w:hyperlink w:anchor="_Toc9322" w:history="1">
        <w:r>
          <w:rPr>
            <w:rFonts w:ascii="IRNazanin" w:hAnsi="IRNazanin" w:eastAsia="IRNazanin" w:cs="IRNazanin"/>
            <w:color w:val="111111"/>
            <w:sz w:val="22"/>
            <w:szCs w:val="22"/>
            <w:b w:val="0"/>
            <w:bCs w:val="0"/>
            <w:i w:val="0"/>
            <w:iCs w:val="0"/>
          </w:rPr>
          <w:t>8032- دیوان وافی تبریزی أو شعره‏</w:t>
        </w:r>
        <w:r>
          <w:tab/>
        </w:r>
        <w:r>
          <w:fldChar w:fldCharType="begin"/>
        </w:r>
        <w:r>
          <w:instrText xml:space="preserve">PAGEREF 9322 \h</w:instrText>
        </w:r>
        <w:r>
          <w:fldChar w:fldCharType="end"/>
        </w:r>
      </w:hyperlink>
    </w:p>
    <w:p>
      <w:pPr>
        <w:tabs>
          <w:tab w:val="right" w:leader="dot" w:pos="9062"/>
        </w:tabs>
        <w:ind w:left="440"/>
      </w:pPr>
      <w:hyperlink w:anchor="_Toc9323" w:history="1">
        <w:r>
          <w:rPr>
            <w:rFonts w:ascii="IRNazanin" w:hAnsi="IRNazanin" w:eastAsia="IRNazanin" w:cs="IRNazanin"/>
            <w:color w:val="111111"/>
            <w:sz w:val="22"/>
            <w:szCs w:val="22"/>
            <w:b w:val="0"/>
            <w:bCs w:val="0"/>
            <w:i w:val="0"/>
            <w:iCs w:val="0"/>
          </w:rPr>
          <w:t>8033- دیوان وافی دهلوی أو شعره‏</w:t>
        </w:r>
        <w:r>
          <w:tab/>
        </w:r>
        <w:r>
          <w:fldChar w:fldCharType="begin"/>
        </w:r>
        <w:r>
          <w:instrText xml:space="preserve">PAGEREF 9323 \h</w:instrText>
        </w:r>
        <w:r>
          <w:fldChar w:fldCharType="end"/>
        </w:r>
      </w:hyperlink>
    </w:p>
    <w:p>
      <w:pPr>
        <w:tabs>
          <w:tab w:val="right" w:leader="dot" w:pos="9062"/>
        </w:tabs>
        <w:ind w:left="440"/>
      </w:pPr>
      <w:hyperlink w:anchor="_Toc9324" w:history="1">
        <w:r>
          <w:rPr>
            <w:rFonts w:ascii="IRNazanin" w:hAnsi="IRNazanin" w:eastAsia="IRNazanin" w:cs="IRNazanin"/>
            <w:color w:val="111111"/>
            <w:sz w:val="22"/>
            <w:szCs w:val="22"/>
            <w:b w:val="0"/>
            <w:bCs w:val="0"/>
            <w:i w:val="0"/>
            <w:iCs w:val="0"/>
          </w:rPr>
          <w:t>8034- دیوان وافی کشمیری أو شعره‏</w:t>
        </w:r>
        <w:r>
          <w:tab/>
        </w:r>
        <w:r>
          <w:fldChar w:fldCharType="begin"/>
        </w:r>
        <w:r>
          <w:instrText xml:space="preserve">PAGEREF 9324 \h</w:instrText>
        </w:r>
        <w:r>
          <w:fldChar w:fldCharType="end"/>
        </w:r>
      </w:hyperlink>
    </w:p>
    <w:p>
      <w:pPr>
        <w:tabs>
          <w:tab w:val="right" w:leader="dot" w:pos="9062"/>
        </w:tabs>
        <w:ind w:left="440"/>
      </w:pPr>
      <w:hyperlink w:anchor="_Toc9325" w:history="1">
        <w:r>
          <w:rPr>
            <w:rFonts w:ascii="IRNazanin" w:hAnsi="IRNazanin" w:eastAsia="IRNazanin" w:cs="IRNazanin"/>
            <w:color w:val="111111"/>
            <w:sz w:val="22"/>
            <w:szCs w:val="22"/>
            <w:b w:val="0"/>
            <w:bCs w:val="0"/>
            <w:i w:val="0"/>
            <w:iCs w:val="0"/>
          </w:rPr>
          <w:t>8035- دیوان وافی هروی أو شعره‏</w:t>
        </w:r>
        <w:r>
          <w:tab/>
        </w:r>
        <w:r>
          <w:fldChar w:fldCharType="begin"/>
        </w:r>
        <w:r>
          <w:instrText xml:space="preserve">PAGEREF 9325 \h</w:instrText>
        </w:r>
        <w:r>
          <w:fldChar w:fldCharType="end"/>
        </w:r>
      </w:hyperlink>
    </w:p>
    <w:p>
      <w:pPr>
        <w:tabs>
          <w:tab w:val="right" w:leader="dot" w:pos="9062"/>
        </w:tabs>
        <w:ind w:left="440"/>
      </w:pPr>
      <w:hyperlink w:anchor="_Toc9326" w:history="1">
        <w:r>
          <w:rPr>
            <w:rFonts w:ascii="IRNazanin" w:hAnsi="IRNazanin" w:eastAsia="IRNazanin" w:cs="IRNazanin"/>
            <w:color w:val="111111"/>
            <w:sz w:val="22"/>
            <w:szCs w:val="22"/>
            <w:b w:val="0"/>
            <w:bCs w:val="0"/>
            <w:i w:val="0"/>
            <w:iCs w:val="0"/>
          </w:rPr>
          <w:t>8036- دیوان واقعی هروی أو شعره‏</w:t>
        </w:r>
        <w:r>
          <w:tab/>
        </w:r>
        <w:r>
          <w:fldChar w:fldCharType="begin"/>
        </w:r>
        <w:r>
          <w:instrText xml:space="preserve">PAGEREF 9326 \h</w:instrText>
        </w:r>
        <w:r>
          <w:fldChar w:fldCharType="end"/>
        </w:r>
      </w:hyperlink>
    </w:p>
    <w:p>
      <w:pPr>
        <w:tabs>
          <w:tab w:val="right" w:leader="dot" w:pos="9062"/>
        </w:tabs>
        <w:ind w:left="440"/>
      </w:pPr>
      <w:hyperlink w:anchor="_Toc9327" w:history="1">
        <w:r>
          <w:rPr>
            <w:rFonts w:ascii="IRNazanin" w:hAnsi="IRNazanin" w:eastAsia="IRNazanin" w:cs="IRNazanin"/>
            <w:color w:val="111111"/>
            <w:sz w:val="22"/>
            <w:szCs w:val="22"/>
            <w:b w:val="0"/>
            <w:bCs w:val="0"/>
            <w:i w:val="0"/>
            <w:iCs w:val="0"/>
          </w:rPr>
          <w:t>8037- دیوان واقعی مشهدی أو شعره‏</w:t>
        </w:r>
        <w:r>
          <w:tab/>
        </w:r>
        <w:r>
          <w:fldChar w:fldCharType="begin"/>
        </w:r>
        <w:r>
          <w:instrText xml:space="preserve">PAGEREF 9327 \h</w:instrText>
        </w:r>
        <w:r>
          <w:fldChar w:fldCharType="end"/>
        </w:r>
      </w:hyperlink>
    </w:p>
    <w:p>
      <w:pPr>
        <w:tabs>
          <w:tab w:val="right" w:leader="dot" w:pos="9062"/>
        </w:tabs>
        <w:ind w:left="440"/>
      </w:pPr>
      <w:hyperlink w:anchor="_Toc9328" w:history="1">
        <w:r>
          <w:rPr>
            <w:rFonts w:ascii="IRNazanin" w:hAnsi="IRNazanin" w:eastAsia="IRNazanin" w:cs="IRNazanin"/>
            <w:color w:val="111111"/>
            <w:sz w:val="22"/>
            <w:szCs w:val="22"/>
            <w:b w:val="0"/>
            <w:bCs w:val="0"/>
            <w:i w:val="0"/>
            <w:iCs w:val="0"/>
          </w:rPr>
          <w:t>8038- دیوان واقف خلخالی‏</w:t>
        </w:r>
        <w:r>
          <w:tab/>
        </w:r>
        <w:r>
          <w:fldChar w:fldCharType="begin"/>
        </w:r>
        <w:r>
          <w:instrText xml:space="preserve">PAGEREF 9328 \h</w:instrText>
        </w:r>
        <w:r>
          <w:fldChar w:fldCharType="end"/>
        </w:r>
      </w:hyperlink>
    </w:p>
    <w:p>
      <w:pPr>
        <w:tabs>
          <w:tab w:val="right" w:leader="dot" w:pos="9062"/>
        </w:tabs>
        <w:ind w:left="440"/>
      </w:pPr>
      <w:hyperlink w:anchor="_Toc9329" w:history="1">
        <w:r>
          <w:rPr>
            <w:rFonts w:ascii="IRNazanin" w:hAnsi="IRNazanin" w:eastAsia="IRNazanin" w:cs="IRNazanin"/>
            <w:color w:val="111111"/>
            <w:sz w:val="22"/>
            <w:szCs w:val="22"/>
            <w:b w:val="0"/>
            <w:bCs w:val="0"/>
            <w:i w:val="0"/>
            <w:iCs w:val="0"/>
          </w:rPr>
          <w:t>8039- دیوان واقف خلخالی‏</w:t>
        </w:r>
        <w:r>
          <w:tab/>
        </w:r>
        <w:r>
          <w:fldChar w:fldCharType="begin"/>
        </w:r>
        <w:r>
          <w:instrText xml:space="preserve">PAGEREF 9329 \h</w:instrText>
        </w:r>
        <w:r>
          <w:fldChar w:fldCharType="end"/>
        </w:r>
      </w:hyperlink>
    </w:p>
    <w:p>
      <w:pPr>
        <w:tabs>
          <w:tab w:val="right" w:leader="dot" w:pos="9062"/>
        </w:tabs>
        <w:ind w:left="440"/>
      </w:pPr>
      <w:hyperlink w:anchor="_Toc9330" w:history="1">
        <w:r>
          <w:rPr>
            <w:rFonts w:ascii="IRNazanin" w:hAnsi="IRNazanin" w:eastAsia="IRNazanin" w:cs="IRNazanin"/>
            <w:color w:val="111111"/>
            <w:sz w:val="22"/>
            <w:szCs w:val="22"/>
            <w:b w:val="0"/>
            <w:bCs w:val="0"/>
            <w:i w:val="0"/>
            <w:iCs w:val="0"/>
          </w:rPr>
          <w:t>8040- دیوان واقف دهلوی أو شعره‏</w:t>
        </w:r>
        <w:r>
          <w:tab/>
        </w:r>
        <w:r>
          <w:fldChar w:fldCharType="begin"/>
        </w:r>
        <w:r>
          <w:instrText xml:space="preserve">PAGEREF 9330 \h</w:instrText>
        </w:r>
        <w:r>
          <w:fldChar w:fldCharType="end"/>
        </w:r>
      </w:hyperlink>
    </w:p>
    <w:p>
      <w:pPr>
        <w:tabs>
          <w:tab w:val="right" w:leader="dot" w:pos="9062"/>
        </w:tabs>
        <w:ind w:left="440"/>
      </w:pPr>
      <w:hyperlink w:anchor="_Toc9331" w:history="1">
        <w:r>
          <w:rPr>
            <w:rFonts w:ascii="IRNazanin" w:hAnsi="IRNazanin" w:eastAsia="IRNazanin" w:cs="IRNazanin"/>
            <w:color w:val="111111"/>
            <w:sz w:val="22"/>
            <w:szCs w:val="22"/>
            <w:b w:val="0"/>
            <w:bCs w:val="0"/>
            <w:i w:val="0"/>
            <w:iCs w:val="0"/>
          </w:rPr>
          <w:t>8041- دیوان واقف لاهوری‏</w:t>
        </w:r>
        <w:r>
          <w:tab/>
        </w:r>
        <w:r>
          <w:fldChar w:fldCharType="begin"/>
        </w:r>
        <w:r>
          <w:instrText xml:space="preserve">PAGEREF 9331 \h</w:instrText>
        </w:r>
        <w:r>
          <w:fldChar w:fldCharType="end"/>
        </w:r>
      </w:hyperlink>
    </w:p>
    <w:p>
      <w:pPr>
        <w:tabs>
          <w:tab w:val="right" w:leader="dot" w:pos="9062"/>
        </w:tabs>
        <w:ind w:left="440"/>
      </w:pPr>
      <w:hyperlink w:anchor="_Toc9332" w:history="1">
        <w:r>
          <w:rPr>
            <w:rFonts w:ascii="IRNazanin" w:hAnsi="IRNazanin" w:eastAsia="IRNazanin" w:cs="IRNazanin"/>
            <w:color w:val="111111"/>
            <w:sz w:val="22"/>
            <w:szCs w:val="22"/>
            <w:b w:val="0"/>
            <w:bCs w:val="0"/>
            <w:i w:val="0"/>
            <w:iCs w:val="0"/>
          </w:rPr>
          <w:t>8042- دیوان واقف لکهنوی أو شعره‏</w:t>
        </w:r>
        <w:r>
          <w:tab/>
        </w:r>
        <w:r>
          <w:fldChar w:fldCharType="begin"/>
        </w:r>
        <w:r>
          <w:instrText xml:space="preserve">PAGEREF 9332 \h</w:instrText>
        </w:r>
        <w:r>
          <w:fldChar w:fldCharType="end"/>
        </w:r>
      </w:hyperlink>
    </w:p>
    <w:p>
      <w:pPr>
        <w:tabs>
          <w:tab w:val="right" w:leader="dot" w:pos="9062"/>
        </w:tabs>
        <w:ind w:left="440"/>
      </w:pPr>
      <w:hyperlink w:anchor="_Toc9333" w:history="1">
        <w:r>
          <w:rPr>
            <w:rFonts w:ascii="IRNazanin" w:hAnsi="IRNazanin" w:eastAsia="IRNazanin" w:cs="IRNazanin"/>
            <w:color w:val="111111"/>
            <w:sz w:val="22"/>
            <w:szCs w:val="22"/>
            <w:b w:val="0"/>
            <w:bCs w:val="0"/>
            <w:i w:val="0"/>
            <w:iCs w:val="0"/>
          </w:rPr>
          <w:t>8043- دیوان واقفی عراقی أو شعره‏</w:t>
        </w:r>
        <w:r>
          <w:tab/>
        </w:r>
        <w:r>
          <w:fldChar w:fldCharType="begin"/>
        </w:r>
        <w:r>
          <w:instrText xml:space="preserve">PAGEREF 9333 \h</w:instrText>
        </w:r>
        <w:r>
          <w:fldChar w:fldCharType="end"/>
        </w:r>
      </w:hyperlink>
    </w:p>
    <w:p>
      <w:pPr>
        <w:tabs>
          <w:tab w:val="right" w:leader="dot" w:pos="9062"/>
        </w:tabs>
        <w:ind w:left="440"/>
      </w:pPr>
      <w:hyperlink w:anchor="_Toc9334" w:history="1">
        <w:r>
          <w:rPr>
            <w:rFonts w:ascii="IRNazanin" w:hAnsi="IRNazanin" w:eastAsia="IRNazanin" w:cs="IRNazanin"/>
            <w:color w:val="111111"/>
            <w:sz w:val="22"/>
            <w:szCs w:val="22"/>
            <w:b w:val="0"/>
            <w:bCs w:val="0"/>
            <w:i w:val="0"/>
            <w:iCs w:val="0"/>
          </w:rPr>
          <w:t>8044- دیوان واقفی مشهدی‏</w:t>
        </w:r>
        <w:r>
          <w:tab/>
        </w:r>
        <w:r>
          <w:fldChar w:fldCharType="begin"/>
        </w:r>
        <w:r>
          <w:instrText xml:space="preserve">PAGEREF 9334 \h</w:instrText>
        </w:r>
        <w:r>
          <w:fldChar w:fldCharType="end"/>
        </w:r>
      </w:hyperlink>
    </w:p>
    <w:p>
      <w:pPr>
        <w:tabs>
          <w:tab w:val="right" w:leader="dot" w:pos="9062"/>
        </w:tabs>
        <w:ind w:left="440"/>
      </w:pPr>
      <w:hyperlink w:anchor="_Toc9335" w:history="1">
        <w:r>
          <w:rPr>
            <w:rFonts w:ascii="IRNazanin" w:hAnsi="IRNazanin" w:eastAsia="IRNazanin" w:cs="IRNazanin"/>
            <w:color w:val="111111"/>
            <w:sz w:val="22"/>
            <w:szCs w:val="22"/>
            <w:b w:val="0"/>
            <w:bCs w:val="0"/>
            <w:i w:val="0"/>
            <w:iCs w:val="0"/>
          </w:rPr>
          <w:t>دیوان واقفی مشهدی‏</w:t>
        </w:r>
        <w:r>
          <w:tab/>
        </w:r>
        <w:r>
          <w:fldChar w:fldCharType="begin"/>
        </w:r>
        <w:r>
          <w:instrText xml:space="preserve">PAGEREF 9335 \h</w:instrText>
        </w:r>
        <w:r>
          <w:fldChar w:fldCharType="end"/>
        </w:r>
      </w:hyperlink>
    </w:p>
    <w:p>
      <w:pPr>
        <w:tabs>
          <w:tab w:val="right" w:leader="dot" w:pos="9062"/>
        </w:tabs>
        <w:ind w:left="440"/>
      </w:pPr>
      <w:hyperlink w:anchor="_Toc9336" w:history="1">
        <w:r>
          <w:rPr>
            <w:rFonts w:ascii="IRNazanin" w:hAnsi="IRNazanin" w:eastAsia="IRNazanin" w:cs="IRNazanin"/>
            <w:color w:val="111111"/>
            <w:sz w:val="22"/>
            <w:szCs w:val="22"/>
            <w:b w:val="0"/>
            <w:bCs w:val="0"/>
            <w:i w:val="0"/>
            <w:iCs w:val="0"/>
          </w:rPr>
          <w:t>8045- دیوان واقفی نیشابوری أو شعره‏</w:t>
        </w:r>
        <w:r>
          <w:tab/>
        </w:r>
        <w:r>
          <w:fldChar w:fldCharType="begin"/>
        </w:r>
        <w:r>
          <w:instrText xml:space="preserve">PAGEREF 9336 \h</w:instrText>
        </w:r>
        <w:r>
          <w:fldChar w:fldCharType="end"/>
        </w:r>
      </w:hyperlink>
    </w:p>
    <w:p>
      <w:pPr>
        <w:tabs>
          <w:tab w:val="right" w:leader="dot" w:pos="9062"/>
        </w:tabs>
        <w:ind w:left="440"/>
      </w:pPr>
      <w:hyperlink w:anchor="_Toc9337" w:history="1">
        <w:r>
          <w:rPr>
            <w:rFonts w:ascii="IRNazanin" w:hAnsi="IRNazanin" w:eastAsia="IRNazanin" w:cs="IRNazanin"/>
            <w:color w:val="111111"/>
            <w:sz w:val="22"/>
            <w:szCs w:val="22"/>
            <w:b w:val="0"/>
            <w:bCs w:val="0"/>
            <w:i w:val="0"/>
            <w:iCs w:val="0"/>
          </w:rPr>
          <w:t>8046- دیوان والای بدخشی أو شعره‏</w:t>
        </w:r>
        <w:r>
          <w:tab/>
        </w:r>
        <w:r>
          <w:fldChar w:fldCharType="begin"/>
        </w:r>
        <w:r>
          <w:instrText xml:space="preserve">PAGEREF 9337 \h</w:instrText>
        </w:r>
        <w:r>
          <w:fldChar w:fldCharType="end"/>
        </w:r>
      </w:hyperlink>
    </w:p>
    <w:p>
      <w:pPr>
        <w:tabs>
          <w:tab w:val="right" w:leader="dot" w:pos="9062"/>
        </w:tabs>
        <w:ind w:left="440"/>
      </w:pPr>
      <w:hyperlink w:anchor="_Toc9338" w:history="1">
        <w:r>
          <w:rPr>
            <w:rFonts w:ascii="IRNazanin" w:hAnsi="IRNazanin" w:eastAsia="IRNazanin" w:cs="IRNazanin"/>
            <w:color w:val="111111"/>
            <w:sz w:val="22"/>
            <w:szCs w:val="22"/>
            <w:b w:val="0"/>
            <w:bCs w:val="0"/>
            <w:i w:val="0"/>
            <w:iCs w:val="0"/>
          </w:rPr>
          <w:t>8047- دیوان والای قاجار</w:t>
        </w:r>
        <w:r>
          <w:tab/>
        </w:r>
        <w:r>
          <w:fldChar w:fldCharType="begin"/>
        </w:r>
        <w:r>
          <w:instrText xml:space="preserve">PAGEREF 9338 \h</w:instrText>
        </w:r>
        <w:r>
          <w:fldChar w:fldCharType="end"/>
        </w:r>
      </w:hyperlink>
    </w:p>
    <w:p>
      <w:pPr>
        <w:tabs>
          <w:tab w:val="right" w:leader="dot" w:pos="9062"/>
        </w:tabs>
        <w:ind w:left="440"/>
      </w:pPr>
      <w:hyperlink w:anchor="_Toc9339" w:history="1">
        <w:r>
          <w:rPr>
            <w:rFonts w:ascii="IRNazanin" w:hAnsi="IRNazanin" w:eastAsia="IRNazanin" w:cs="IRNazanin"/>
            <w:color w:val="111111"/>
            <w:sz w:val="22"/>
            <w:szCs w:val="22"/>
            <w:b w:val="0"/>
            <w:bCs w:val="0"/>
            <w:i w:val="0"/>
            <w:iCs w:val="0"/>
          </w:rPr>
          <w:t>8048- دیوان والای مدراسی أو شعره‏</w:t>
        </w:r>
        <w:r>
          <w:tab/>
        </w:r>
        <w:r>
          <w:fldChar w:fldCharType="begin"/>
        </w:r>
        <w:r>
          <w:instrText xml:space="preserve">PAGEREF 9339 \h</w:instrText>
        </w:r>
        <w:r>
          <w:fldChar w:fldCharType="end"/>
        </w:r>
      </w:hyperlink>
    </w:p>
    <w:p>
      <w:pPr>
        <w:tabs>
          <w:tab w:val="right" w:leader="dot" w:pos="9062"/>
        </w:tabs>
        <w:ind w:left="440"/>
      </w:pPr>
      <w:hyperlink w:anchor="_Toc9340" w:history="1">
        <w:r>
          <w:rPr>
            <w:rFonts w:ascii="IRNazanin" w:hAnsi="IRNazanin" w:eastAsia="IRNazanin" w:cs="IRNazanin"/>
            <w:color w:val="111111"/>
            <w:sz w:val="22"/>
            <w:szCs w:val="22"/>
            <w:b w:val="0"/>
            <w:bCs w:val="0"/>
            <w:i w:val="0"/>
            <w:iCs w:val="0"/>
          </w:rPr>
          <w:t>8049- دیوان والای هندی أو شعره‏</w:t>
        </w:r>
        <w:r>
          <w:tab/>
        </w:r>
        <w:r>
          <w:fldChar w:fldCharType="begin"/>
        </w:r>
        <w:r>
          <w:instrText xml:space="preserve">PAGEREF 9340 \h</w:instrText>
        </w:r>
        <w:r>
          <w:fldChar w:fldCharType="end"/>
        </w:r>
      </w:hyperlink>
    </w:p>
    <w:p>
      <w:pPr>
        <w:tabs>
          <w:tab w:val="right" w:leader="dot" w:pos="9062"/>
        </w:tabs>
        <w:ind w:left="440"/>
      </w:pPr>
      <w:hyperlink w:anchor="_Toc9341" w:history="1">
        <w:r>
          <w:rPr>
            <w:rFonts w:ascii="IRNazanin" w:hAnsi="IRNazanin" w:eastAsia="IRNazanin" w:cs="IRNazanin"/>
            <w:color w:val="111111"/>
            <w:sz w:val="22"/>
            <w:szCs w:val="22"/>
            <w:b w:val="0"/>
            <w:bCs w:val="0"/>
            <w:i w:val="0"/>
            <w:iCs w:val="0"/>
          </w:rPr>
          <w:t>8050- دیوان والای هندی‏</w:t>
        </w:r>
        <w:r>
          <w:tab/>
        </w:r>
        <w:r>
          <w:fldChar w:fldCharType="begin"/>
        </w:r>
        <w:r>
          <w:instrText xml:space="preserve">PAGEREF 9341 \h</w:instrText>
        </w:r>
        <w:r>
          <w:fldChar w:fldCharType="end"/>
        </w:r>
      </w:hyperlink>
    </w:p>
    <w:p>
      <w:pPr>
        <w:tabs>
          <w:tab w:val="right" w:leader="dot" w:pos="9062"/>
        </w:tabs>
        <w:ind w:left="440"/>
      </w:pPr>
      <w:hyperlink w:anchor="_Toc9342" w:history="1">
        <w:r>
          <w:rPr>
            <w:rFonts w:ascii="IRNazanin" w:hAnsi="IRNazanin" w:eastAsia="IRNazanin" w:cs="IRNazanin"/>
            <w:color w:val="111111"/>
            <w:sz w:val="22"/>
            <w:szCs w:val="22"/>
            <w:b w:val="0"/>
            <w:bCs w:val="0"/>
            <w:i w:val="0"/>
            <w:iCs w:val="0"/>
          </w:rPr>
          <w:t>8051- دیوان واله أصفهانی‏</w:t>
        </w:r>
        <w:r>
          <w:tab/>
        </w:r>
        <w:r>
          <w:fldChar w:fldCharType="begin"/>
        </w:r>
        <w:r>
          <w:instrText xml:space="preserve">PAGEREF 9342 \h</w:instrText>
        </w:r>
        <w:r>
          <w:fldChar w:fldCharType="end"/>
        </w:r>
      </w:hyperlink>
    </w:p>
    <w:p>
      <w:pPr>
        <w:tabs>
          <w:tab w:val="right" w:leader="dot" w:pos="9062"/>
        </w:tabs>
        <w:ind w:left="440"/>
      </w:pPr>
      <w:hyperlink w:anchor="_Toc9343" w:history="1">
        <w:r>
          <w:rPr>
            <w:rFonts w:ascii="IRNazanin" w:hAnsi="IRNazanin" w:eastAsia="IRNazanin" w:cs="IRNazanin"/>
            <w:color w:val="111111"/>
            <w:sz w:val="22"/>
            <w:szCs w:val="22"/>
            <w:b w:val="0"/>
            <w:bCs w:val="0"/>
            <w:i w:val="0"/>
            <w:iCs w:val="0"/>
          </w:rPr>
          <w:t>8052- دیوان واله أصفهانی أو شعره‏</w:t>
        </w:r>
        <w:r>
          <w:tab/>
        </w:r>
        <w:r>
          <w:fldChar w:fldCharType="begin"/>
        </w:r>
        <w:r>
          <w:instrText xml:space="preserve">PAGEREF 9343 \h</w:instrText>
        </w:r>
        <w:r>
          <w:fldChar w:fldCharType="end"/>
        </w:r>
      </w:hyperlink>
    </w:p>
    <w:p>
      <w:pPr>
        <w:tabs>
          <w:tab w:val="right" w:leader="dot" w:pos="9062"/>
        </w:tabs>
        <w:ind w:left="440"/>
      </w:pPr>
      <w:hyperlink w:anchor="_Toc9344" w:history="1">
        <w:r>
          <w:rPr>
            <w:rFonts w:ascii="IRNazanin" w:hAnsi="IRNazanin" w:eastAsia="IRNazanin" w:cs="IRNazanin"/>
            <w:color w:val="111111"/>
            <w:sz w:val="22"/>
            <w:szCs w:val="22"/>
            <w:b w:val="0"/>
            <w:bCs w:val="0"/>
            <w:i w:val="0"/>
            <w:iCs w:val="0"/>
          </w:rPr>
          <w:t>8053- دیوان واله أفشار</w:t>
        </w:r>
        <w:r>
          <w:tab/>
        </w:r>
        <w:r>
          <w:fldChar w:fldCharType="begin"/>
        </w:r>
        <w:r>
          <w:instrText xml:space="preserve">PAGEREF 9344 \h</w:instrText>
        </w:r>
        <w:r>
          <w:fldChar w:fldCharType="end"/>
        </w:r>
      </w:hyperlink>
    </w:p>
    <w:p>
      <w:pPr>
        <w:tabs>
          <w:tab w:val="right" w:leader="dot" w:pos="9062"/>
        </w:tabs>
        <w:ind w:left="440"/>
      </w:pPr>
      <w:hyperlink w:anchor="_Toc9345" w:history="1">
        <w:r>
          <w:rPr>
            <w:rFonts w:ascii="IRNazanin" w:hAnsi="IRNazanin" w:eastAsia="IRNazanin" w:cs="IRNazanin"/>
            <w:color w:val="111111"/>
            <w:sz w:val="22"/>
            <w:szCs w:val="22"/>
            <w:b w:val="0"/>
            <w:bCs w:val="0"/>
            <w:i w:val="0"/>
            <w:iCs w:val="0"/>
          </w:rPr>
          <w:t>8054- دیوان واله بروجردی أو شعره‏</w:t>
        </w:r>
        <w:r>
          <w:tab/>
        </w:r>
        <w:r>
          <w:fldChar w:fldCharType="begin"/>
        </w:r>
        <w:r>
          <w:instrText xml:space="preserve">PAGEREF 9345 \h</w:instrText>
        </w:r>
        <w:r>
          <w:fldChar w:fldCharType="end"/>
        </w:r>
      </w:hyperlink>
    </w:p>
    <w:p>
      <w:pPr>
        <w:tabs>
          <w:tab w:val="right" w:leader="dot" w:pos="9062"/>
        </w:tabs>
        <w:ind w:left="440"/>
      </w:pPr>
      <w:hyperlink w:anchor="_Toc9346" w:history="1">
        <w:r>
          <w:rPr>
            <w:rFonts w:ascii="IRNazanin" w:hAnsi="IRNazanin" w:eastAsia="IRNazanin" w:cs="IRNazanin"/>
            <w:color w:val="111111"/>
            <w:sz w:val="22"/>
            <w:szCs w:val="22"/>
            <w:b w:val="0"/>
            <w:bCs w:val="0"/>
            <w:i w:val="0"/>
            <w:iCs w:val="0"/>
          </w:rPr>
          <w:t>8055- دیوان واله داغستانی‏</w:t>
        </w:r>
        <w:r>
          <w:tab/>
        </w:r>
        <w:r>
          <w:fldChar w:fldCharType="begin"/>
        </w:r>
        <w:r>
          <w:instrText xml:space="preserve">PAGEREF 9346 \h</w:instrText>
        </w:r>
        <w:r>
          <w:fldChar w:fldCharType="end"/>
        </w:r>
      </w:hyperlink>
    </w:p>
    <w:p>
      <w:pPr>
        <w:tabs>
          <w:tab w:val="right" w:leader="dot" w:pos="9062"/>
        </w:tabs>
        <w:ind w:left="440"/>
      </w:pPr>
      <w:hyperlink w:anchor="_Toc9347" w:history="1">
        <w:r>
          <w:rPr>
            <w:rFonts w:ascii="IRNazanin" w:hAnsi="IRNazanin" w:eastAsia="IRNazanin" w:cs="IRNazanin"/>
            <w:color w:val="111111"/>
            <w:sz w:val="22"/>
            <w:szCs w:val="22"/>
            <w:b w:val="0"/>
            <w:bCs w:val="0"/>
            <w:i w:val="0"/>
            <w:iCs w:val="0"/>
          </w:rPr>
          <w:t>8056- دیوان واله شیرازی أو شعره‏</w:t>
        </w:r>
        <w:r>
          <w:tab/>
        </w:r>
        <w:r>
          <w:fldChar w:fldCharType="begin"/>
        </w:r>
        <w:r>
          <w:instrText xml:space="preserve">PAGEREF 9347 \h</w:instrText>
        </w:r>
        <w:r>
          <w:fldChar w:fldCharType="end"/>
        </w:r>
      </w:hyperlink>
    </w:p>
    <w:p>
      <w:pPr>
        <w:tabs>
          <w:tab w:val="right" w:leader="dot" w:pos="9062"/>
        </w:tabs>
        <w:ind w:left="440"/>
      </w:pPr>
      <w:hyperlink w:anchor="_Toc9348" w:history="1">
        <w:r>
          <w:rPr>
            <w:rFonts w:ascii="IRNazanin" w:hAnsi="IRNazanin" w:eastAsia="IRNazanin" w:cs="IRNazanin"/>
            <w:color w:val="111111"/>
            <w:sz w:val="22"/>
            <w:szCs w:val="22"/>
            <w:b w:val="0"/>
            <w:bCs w:val="0"/>
            <w:i w:val="0"/>
            <w:iCs w:val="0"/>
          </w:rPr>
          <w:t>8057- دیوان واله عجمی‏</w:t>
        </w:r>
        <w:r>
          <w:tab/>
        </w:r>
        <w:r>
          <w:fldChar w:fldCharType="begin"/>
        </w:r>
        <w:r>
          <w:instrText xml:space="preserve">PAGEREF 9348 \h</w:instrText>
        </w:r>
        <w:r>
          <w:fldChar w:fldCharType="end"/>
        </w:r>
      </w:hyperlink>
    </w:p>
    <w:p>
      <w:pPr>
        <w:tabs>
          <w:tab w:val="right" w:leader="dot" w:pos="9062"/>
        </w:tabs>
        <w:ind w:left="440"/>
      </w:pPr>
      <w:hyperlink w:anchor="_Toc9349" w:history="1">
        <w:r>
          <w:rPr>
            <w:rFonts w:ascii="IRNazanin" w:hAnsi="IRNazanin" w:eastAsia="IRNazanin" w:cs="IRNazanin"/>
            <w:color w:val="111111"/>
            <w:sz w:val="22"/>
            <w:szCs w:val="22"/>
            <w:b w:val="0"/>
            <w:bCs w:val="0"/>
            <w:i w:val="0"/>
            <w:iCs w:val="0"/>
          </w:rPr>
          <w:t>8058- دیوان واله کشمیری أو شعره‏</w:t>
        </w:r>
        <w:r>
          <w:tab/>
        </w:r>
        <w:r>
          <w:fldChar w:fldCharType="begin"/>
        </w:r>
        <w:r>
          <w:instrText xml:space="preserve">PAGEREF 9349 \h</w:instrText>
        </w:r>
        <w:r>
          <w:fldChar w:fldCharType="end"/>
        </w:r>
      </w:hyperlink>
    </w:p>
    <w:p>
      <w:pPr>
        <w:tabs>
          <w:tab w:val="right" w:leader="dot" w:pos="9062"/>
        </w:tabs>
        <w:ind w:left="440"/>
      </w:pPr>
      <w:hyperlink w:anchor="_Toc9350" w:history="1">
        <w:r>
          <w:rPr>
            <w:rFonts w:ascii="IRNazanin" w:hAnsi="IRNazanin" w:eastAsia="IRNazanin" w:cs="IRNazanin"/>
            <w:color w:val="111111"/>
            <w:sz w:val="22"/>
            <w:szCs w:val="22"/>
            <w:b w:val="0"/>
            <w:bCs w:val="0"/>
            <w:i w:val="0"/>
            <w:iCs w:val="0"/>
          </w:rPr>
          <w:t>8059- دیوان واله مشهدی أو شعره‏</w:t>
        </w:r>
        <w:r>
          <w:tab/>
        </w:r>
        <w:r>
          <w:fldChar w:fldCharType="begin"/>
        </w:r>
        <w:r>
          <w:instrText xml:space="preserve">PAGEREF 9350 \h</w:instrText>
        </w:r>
        <w:r>
          <w:fldChar w:fldCharType="end"/>
        </w:r>
      </w:hyperlink>
    </w:p>
    <w:p>
      <w:pPr>
        <w:tabs>
          <w:tab w:val="right" w:leader="dot" w:pos="9062"/>
        </w:tabs>
        <w:ind w:left="440"/>
      </w:pPr>
      <w:hyperlink w:anchor="_Toc9351" w:history="1">
        <w:r>
          <w:rPr>
            <w:rFonts w:ascii="IRNazanin" w:hAnsi="IRNazanin" w:eastAsia="IRNazanin" w:cs="IRNazanin"/>
            <w:color w:val="111111"/>
            <w:sz w:val="22"/>
            <w:szCs w:val="22"/>
            <w:b w:val="0"/>
            <w:bCs w:val="0"/>
            <w:i w:val="0"/>
            <w:iCs w:val="0"/>
          </w:rPr>
          <w:t>8060- دیوان واله هروی‏</w:t>
        </w:r>
        <w:r>
          <w:tab/>
        </w:r>
        <w:r>
          <w:fldChar w:fldCharType="begin"/>
        </w:r>
        <w:r>
          <w:instrText xml:space="preserve">PAGEREF 9351 \h</w:instrText>
        </w:r>
        <w:r>
          <w:fldChar w:fldCharType="end"/>
        </w:r>
      </w:hyperlink>
    </w:p>
    <w:p>
      <w:pPr>
        <w:tabs>
          <w:tab w:val="right" w:leader="dot" w:pos="9062"/>
        </w:tabs>
        <w:ind w:left="440"/>
      </w:pPr>
      <w:hyperlink w:anchor="_Toc9352" w:history="1">
        <w:r>
          <w:rPr>
            <w:rFonts w:ascii="IRNazanin" w:hAnsi="IRNazanin" w:eastAsia="IRNazanin" w:cs="IRNazanin"/>
            <w:color w:val="111111"/>
            <w:sz w:val="22"/>
            <w:szCs w:val="22"/>
            <w:b w:val="0"/>
            <w:bCs w:val="0"/>
            <w:i w:val="0"/>
            <w:iCs w:val="0"/>
          </w:rPr>
          <w:t>8061- دیوان واله همدانی أو شعره‏</w:t>
        </w:r>
        <w:r>
          <w:tab/>
        </w:r>
        <w:r>
          <w:fldChar w:fldCharType="begin"/>
        </w:r>
        <w:r>
          <w:instrText xml:space="preserve">PAGEREF 9352 \h</w:instrText>
        </w:r>
        <w:r>
          <w:fldChar w:fldCharType="end"/>
        </w:r>
      </w:hyperlink>
    </w:p>
    <w:p>
      <w:pPr>
        <w:tabs>
          <w:tab w:val="right" w:leader="dot" w:pos="9062"/>
        </w:tabs>
        <w:ind w:left="440"/>
      </w:pPr>
      <w:hyperlink w:anchor="_Toc9353" w:history="1">
        <w:r>
          <w:rPr>
            <w:rFonts w:ascii="IRNazanin" w:hAnsi="IRNazanin" w:eastAsia="IRNazanin" w:cs="IRNazanin"/>
            <w:color w:val="111111"/>
            <w:sz w:val="22"/>
            <w:szCs w:val="22"/>
            <w:b w:val="0"/>
            <w:bCs w:val="0"/>
            <w:i w:val="0"/>
            <w:iCs w:val="0"/>
          </w:rPr>
          <w:t>8062- دیوان والهی أردبیلی أو شعره‏</w:t>
        </w:r>
        <w:r>
          <w:tab/>
        </w:r>
        <w:r>
          <w:fldChar w:fldCharType="begin"/>
        </w:r>
        <w:r>
          <w:instrText xml:space="preserve">PAGEREF 9353 \h</w:instrText>
        </w:r>
        <w:r>
          <w:fldChar w:fldCharType="end"/>
        </w:r>
      </w:hyperlink>
    </w:p>
    <w:p>
      <w:pPr>
        <w:tabs>
          <w:tab w:val="right" w:leader="dot" w:pos="9062"/>
        </w:tabs>
        <w:ind w:left="440"/>
      </w:pPr>
      <w:hyperlink w:anchor="_Toc9354" w:history="1">
        <w:r>
          <w:rPr>
            <w:rFonts w:ascii="IRNazanin" w:hAnsi="IRNazanin" w:eastAsia="IRNazanin" w:cs="IRNazanin"/>
            <w:color w:val="111111"/>
            <w:sz w:val="22"/>
            <w:szCs w:val="22"/>
            <w:b w:val="0"/>
            <w:bCs w:val="0"/>
            <w:i w:val="0"/>
            <w:iCs w:val="0"/>
          </w:rPr>
          <w:t>8063- دیوان والهی أسترآبادی أو شعره‏</w:t>
        </w:r>
        <w:r>
          <w:tab/>
        </w:r>
        <w:r>
          <w:fldChar w:fldCharType="begin"/>
        </w:r>
        <w:r>
          <w:instrText xml:space="preserve">PAGEREF 9354 \h</w:instrText>
        </w:r>
        <w:r>
          <w:fldChar w:fldCharType="end"/>
        </w:r>
      </w:hyperlink>
    </w:p>
    <w:p>
      <w:pPr>
        <w:tabs>
          <w:tab w:val="right" w:leader="dot" w:pos="9062"/>
        </w:tabs>
        <w:ind w:left="440"/>
      </w:pPr>
      <w:hyperlink w:anchor="_Toc9355" w:history="1">
        <w:r>
          <w:rPr>
            <w:rFonts w:ascii="IRNazanin" w:hAnsi="IRNazanin" w:eastAsia="IRNazanin" w:cs="IRNazanin"/>
            <w:color w:val="111111"/>
            <w:sz w:val="22"/>
            <w:szCs w:val="22"/>
            <w:b w:val="0"/>
            <w:bCs w:val="0"/>
            <w:i w:val="0"/>
            <w:iCs w:val="0"/>
          </w:rPr>
          <w:t>دیوان والهی بخاری أو شعره‏</w:t>
        </w:r>
        <w:r>
          <w:tab/>
        </w:r>
        <w:r>
          <w:fldChar w:fldCharType="begin"/>
        </w:r>
        <w:r>
          <w:instrText xml:space="preserve">PAGEREF 9355 \h</w:instrText>
        </w:r>
        <w:r>
          <w:fldChar w:fldCharType="end"/>
        </w:r>
      </w:hyperlink>
    </w:p>
    <w:p>
      <w:pPr>
        <w:tabs>
          <w:tab w:val="right" w:leader="dot" w:pos="9062"/>
        </w:tabs>
        <w:ind w:left="440"/>
      </w:pPr>
      <w:hyperlink w:anchor="_Toc9356" w:history="1">
        <w:r>
          <w:rPr>
            <w:rFonts w:ascii="IRNazanin" w:hAnsi="IRNazanin" w:eastAsia="IRNazanin" w:cs="IRNazanin"/>
            <w:color w:val="111111"/>
            <w:sz w:val="22"/>
            <w:szCs w:val="22"/>
            <w:b w:val="0"/>
            <w:bCs w:val="0"/>
            <w:i w:val="0"/>
            <w:iCs w:val="0"/>
          </w:rPr>
          <w:t>8064- دیوان والهی بغدادی أو شعره‏</w:t>
        </w:r>
        <w:r>
          <w:tab/>
        </w:r>
        <w:r>
          <w:fldChar w:fldCharType="begin"/>
        </w:r>
        <w:r>
          <w:instrText xml:space="preserve">PAGEREF 9356 \h</w:instrText>
        </w:r>
        <w:r>
          <w:fldChar w:fldCharType="end"/>
        </w:r>
      </w:hyperlink>
    </w:p>
    <w:p>
      <w:pPr>
        <w:tabs>
          <w:tab w:val="right" w:leader="dot" w:pos="9062"/>
        </w:tabs>
        <w:ind w:left="440"/>
      </w:pPr>
      <w:hyperlink w:anchor="_Toc9357" w:history="1">
        <w:r>
          <w:rPr>
            <w:rFonts w:ascii="IRNazanin" w:hAnsi="IRNazanin" w:eastAsia="IRNazanin" w:cs="IRNazanin"/>
            <w:color w:val="111111"/>
            <w:sz w:val="22"/>
            <w:szCs w:val="22"/>
            <w:b w:val="0"/>
            <w:bCs w:val="0"/>
            <w:i w:val="0"/>
            <w:iCs w:val="0"/>
          </w:rPr>
          <w:t>8065- دیوان والهی دانه‏ای خراسانی أو شعره‏</w:t>
        </w:r>
        <w:r>
          <w:tab/>
        </w:r>
        <w:r>
          <w:fldChar w:fldCharType="begin"/>
        </w:r>
        <w:r>
          <w:instrText xml:space="preserve">PAGEREF 9357 \h</w:instrText>
        </w:r>
        <w:r>
          <w:fldChar w:fldCharType="end"/>
        </w:r>
      </w:hyperlink>
    </w:p>
    <w:p>
      <w:pPr>
        <w:tabs>
          <w:tab w:val="right" w:leader="dot" w:pos="9062"/>
        </w:tabs>
        <w:ind w:left="440"/>
      </w:pPr>
      <w:hyperlink w:anchor="_Toc9358" w:history="1">
        <w:r>
          <w:rPr>
            <w:rFonts w:ascii="IRNazanin" w:hAnsi="IRNazanin" w:eastAsia="IRNazanin" w:cs="IRNazanin"/>
            <w:color w:val="111111"/>
            <w:sz w:val="22"/>
            <w:szCs w:val="22"/>
            <w:b w:val="0"/>
            <w:bCs w:val="0"/>
            <w:i w:val="0"/>
            <w:iCs w:val="0"/>
          </w:rPr>
          <w:t>8066- دیوان والهی سمرقندی‏</w:t>
        </w:r>
        <w:r>
          <w:tab/>
        </w:r>
        <w:r>
          <w:fldChar w:fldCharType="begin"/>
        </w:r>
        <w:r>
          <w:instrText xml:space="preserve">PAGEREF 9358 \h</w:instrText>
        </w:r>
        <w:r>
          <w:fldChar w:fldCharType="end"/>
        </w:r>
      </w:hyperlink>
    </w:p>
    <w:p>
      <w:pPr>
        <w:tabs>
          <w:tab w:val="right" w:leader="dot" w:pos="9062"/>
        </w:tabs>
        <w:ind w:left="440"/>
      </w:pPr>
      <w:hyperlink w:anchor="_Toc9359" w:history="1">
        <w:r>
          <w:rPr>
            <w:rFonts w:ascii="IRNazanin" w:hAnsi="IRNazanin" w:eastAsia="IRNazanin" w:cs="IRNazanin"/>
            <w:color w:val="111111"/>
            <w:sz w:val="22"/>
            <w:szCs w:val="22"/>
            <w:b w:val="0"/>
            <w:bCs w:val="0"/>
            <w:i w:val="0"/>
            <w:iCs w:val="0"/>
          </w:rPr>
          <w:t>8067- دیوان والهی قصاب أو شعره‏</w:t>
        </w:r>
        <w:r>
          <w:tab/>
        </w:r>
        <w:r>
          <w:fldChar w:fldCharType="begin"/>
        </w:r>
        <w:r>
          <w:instrText xml:space="preserve">PAGEREF 9359 \h</w:instrText>
        </w:r>
        <w:r>
          <w:fldChar w:fldCharType="end"/>
        </w:r>
      </w:hyperlink>
    </w:p>
    <w:p>
      <w:pPr>
        <w:tabs>
          <w:tab w:val="right" w:leader="dot" w:pos="9062"/>
        </w:tabs>
        <w:ind w:left="440"/>
      </w:pPr>
      <w:hyperlink w:anchor="_Toc9360" w:history="1">
        <w:r>
          <w:rPr>
            <w:rFonts w:ascii="IRNazanin" w:hAnsi="IRNazanin" w:eastAsia="IRNazanin" w:cs="IRNazanin"/>
            <w:color w:val="111111"/>
            <w:sz w:val="22"/>
            <w:szCs w:val="22"/>
            <w:b w:val="0"/>
            <w:bCs w:val="0"/>
            <w:i w:val="0"/>
            <w:iCs w:val="0"/>
          </w:rPr>
          <w:t>8068- دیوان والهی قمی أو شعره‏</w:t>
        </w:r>
        <w:r>
          <w:tab/>
        </w:r>
        <w:r>
          <w:fldChar w:fldCharType="begin"/>
        </w:r>
        <w:r>
          <w:instrText xml:space="preserve">PAGEREF 9360 \h</w:instrText>
        </w:r>
        <w:r>
          <w:fldChar w:fldCharType="end"/>
        </w:r>
      </w:hyperlink>
    </w:p>
    <w:p>
      <w:pPr>
        <w:tabs>
          <w:tab w:val="right" w:leader="dot" w:pos="9062"/>
        </w:tabs>
        <w:ind w:left="440"/>
      </w:pPr>
      <w:hyperlink w:anchor="_Toc9361" w:history="1">
        <w:r>
          <w:rPr>
            <w:rFonts w:ascii="IRNazanin" w:hAnsi="IRNazanin" w:eastAsia="IRNazanin" w:cs="IRNazanin"/>
            <w:color w:val="111111"/>
            <w:sz w:val="22"/>
            <w:szCs w:val="22"/>
            <w:b w:val="0"/>
            <w:bCs w:val="0"/>
            <w:i w:val="0"/>
            <w:iCs w:val="0"/>
          </w:rPr>
          <w:t>دیوان والهی مشهدی‏</w:t>
        </w:r>
        <w:r>
          <w:tab/>
        </w:r>
        <w:r>
          <w:fldChar w:fldCharType="begin"/>
        </w:r>
        <w:r>
          <w:instrText xml:space="preserve">PAGEREF 9361 \h</w:instrText>
        </w:r>
        <w:r>
          <w:fldChar w:fldCharType="end"/>
        </w:r>
      </w:hyperlink>
    </w:p>
    <w:p>
      <w:pPr>
        <w:tabs>
          <w:tab w:val="right" w:leader="dot" w:pos="9062"/>
        </w:tabs>
        <w:ind w:left="440"/>
      </w:pPr>
      <w:hyperlink w:anchor="_Toc9362" w:history="1">
        <w:r>
          <w:rPr>
            <w:rFonts w:ascii="IRNazanin" w:hAnsi="IRNazanin" w:eastAsia="IRNazanin" w:cs="IRNazanin"/>
            <w:color w:val="111111"/>
            <w:sz w:val="22"/>
            <w:szCs w:val="22"/>
            <w:b w:val="0"/>
            <w:bCs w:val="0"/>
            <w:i w:val="0"/>
            <w:iCs w:val="0"/>
          </w:rPr>
          <w:t>دیوان والهی هروی‏</w:t>
        </w:r>
        <w:r>
          <w:tab/>
        </w:r>
        <w:r>
          <w:fldChar w:fldCharType="begin"/>
        </w:r>
        <w:r>
          <w:instrText xml:space="preserve">PAGEREF 9362 \h</w:instrText>
        </w:r>
        <w:r>
          <w:fldChar w:fldCharType="end"/>
        </w:r>
      </w:hyperlink>
    </w:p>
    <w:p>
      <w:pPr>
        <w:tabs>
          <w:tab w:val="right" w:leader="dot" w:pos="9062"/>
        </w:tabs>
        <w:ind w:left="440"/>
      </w:pPr>
      <w:hyperlink w:anchor="_Toc9363" w:history="1">
        <w:r>
          <w:rPr>
            <w:rFonts w:ascii="IRNazanin" w:hAnsi="IRNazanin" w:eastAsia="IRNazanin" w:cs="IRNazanin"/>
            <w:color w:val="111111"/>
            <w:sz w:val="22"/>
            <w:szCs w:val="22"/>
            <w:b w:val="0"/>
            <w:bCs w:val="0"/>
            <w:i w:val="0"/>
            <w:iCs w:val="0"/>
          </w:rPr>
          <w:t>8069- دیوان والی بخارائی أو شعره‏</w:t>
        </w:r>
        <w:r>
          <w:tab/>
        </w:r>
        <w:r>
          <w:fldChar w:fldCharType="begin"/>
        </w:r>
        <w:r>
          <w:instrText xml:space="preserve">PAGEREF 9363 \h</w:instrText>
        </w:r>
        <w:r>
          <w:fldChar w:fldCharType="end"/>
        </w:r>
      </w:hyperlink>
    </w:p>
    <w:p>
      <w:pPr>
        <w:tabs>
          <w:tab w:val="right" w:leader="dot" w:pos="9062"/>
        </w:tabs>
        <w:ind w:left="440"/>
      </w:pPr>
      <w:hyperlink w:anchor="_Toc9364" w:history="1">
        <w:r>
          <w:rPr>
            <w:rFonts w:ascii="IRNazanin" w:hAnsi="IRNazanin" w:eastAsia="IRNazanin" w:cs="IRNazanin"/>
            <w:color w:val="111111"/>
            <w:sz w:val="22"/>
            <w:szCs w:val="22"/>
            <w:b w:val="0"/>
            <w:bCs w:val="0"/>
            <w:i w:val="0"/>
            <w:iCs w:val="0"/>
          </w:rPr>
          <w:t>8070- دیوان والی بختیاری أو شعره‏</w:t>
        </w:r>
        <w:r>
          <w:tab/>
        </w:r>
        <w:r>
          <w:fldChar w:fldCharType="begin"/>
        </w:r>
        <w:r>
          <w:instrText xml:space="preserve">PAGEREF 9364 \h</w:instrText>
        </w:r>
        <w:r>
          <w:fldChar w:fldCharType="end"/>
        </w:r>
      </w:hyperlink>
    </w:p>
    <w:p>
      <w:pPr>
        <w:tabs>
          <w:tab w:val="right" w:leader="dot" w:pos="9062"/>
        </w:tabs>
        <w:ind w:left="440"/>
      </w:pPr>
      <w:hyperlink w:anchor="_Toc9365" w:history="1">
        <w:r>
          <w:rPr>
            <w:rFonts w:ascii="IRNazanin" w:hAnsi="IRNazanin" w:eastAsia="IRNazanin" w:cs="IRNazanin"/>
            <w:color w:val="111111"/>
            <w:sz w:val="22"/>
            <w:szCs w:val="22"/>
            <w:b w:val="0"/>
            <w:bCs w:val="0"/>
            <w:i w:val="0"/>
            <w:iCs w:val="0"/>
          </w:rPr>
          <w:t>8071- دیوان والی قاجار أو شعره‏</w:t>
        </w:r>
        <w:r>
          <w:tab/>
        </w:r>
        <w:r>
          <w:fldChar w:fldCharType="begin"/>
        </w:r>
        <w:r>
          <w:instrText xml:space="preserve">PAGEREF 9365 \h</w:instrText>
        </w:r>
        <w:r>
          <w:fldChar w:fldCharType="end"/>
        </w:r>
      </w:hyperlink>
    </w:p>
    <w:p>
      <w:pPr>
        <w:tabs>
          <w:tab w:val="right" w:leader="dot" w:pos="9062"/>
        </w:tabs>
        <w:ind w:left="440"/>
      </w:pPr>
      <w:hyperlink w:anchor="_Toc9366" w:history="1">
        <w:r>
          <w:rPr>
            <w:rFonts w:ascii="IRNazanin" w:hAnsi="IRNazanin" w:eastAsia="IRNazanin" w:cs="IRNazanin"/>
            <w:color w:val="111111"/>
            <w:sz w:val="22"/>
            <w:szCs w:val="22"/>
            <w:b w:val="0"/>
            <w:bCs w:val="0"/>
            <w:i w:val="0"/>
            <w:iCs w:val="0"/>
          </w:rPr>
          <w:t>8072- دیوان والی کردستانی‏</w:t>
        </w:r>
        <w:r>
          <w:tab/>
        </w:r>
        <w:r>
          <w:fldChar w:fldCharType="begin"/>
        </w:r>
        <w:r>
          <w:instrText xml:space="preserve">PAGEREF 9366 \h</w:instrText>
        </w:r>
        <w:r>
          <w:fldChar w:fldCharType="end"/>
        </w:r>
      </w:hyperlink>
    </w:p>
    <w:p>
      <w:pPr>
        <w:tabs>
          <w:tab w:val="right" w:leader="dot" w:pos="9062"/>
        </w:tabs>
        <w:ind w:left="440"/>
      </w:pPr>
      <w:hyperlink w:anchor="_Toc9367" w:history="1">
        <w:r>
          <w:rPr>
            <w:rFonts w:ascii="IRNazanin" w:hAnsi="IRNazanin" w:eastAsia="IRNazanin" w:cs="IRNazanin"/>
            <w:color w:val="111111"/>
            <w:sz w:val="22"/>
            <w:szCs w:val="22"/>
            <w:b w:val="0"/>
            <w:bCs w:val="0"/>
            <w:i w:val="0"/>
            <w:iCs w:val="0"/>
          </w:rPr>
          <w:t>دیوان والی هروی‏</w:t>
        </w:r>
        <w:r>
          <w:tab/>
        </w:r>
        <w:r>
          <w:fldChar w:fldCharType="begin"/>
        </w:r>
        <w:r>
          <w:instrText xml:space="preserve">PAGEREF 9367 \h</w:instrText>
        </w:r>
        <w:r>
          <w:fldChar w:fldCharType="end"/>
        </w:r>
      </w:hyperlink>
    </w:p>
    <w:p>
      <w:pPr>
        <w:tabs>
          <w:tab w:val="right" w:leader="dot" w:pos="9062"/>
        </w:tabs>
        <w:ind w:left="440"/>
      </w:pPr>
      <w:hyperlink w:anchor="_Toc9368" w:history="1">
        <w:r>
          <w:rPr>
            <w:rFonts w:ascii="IRNazanin" w:hAnsi="IRNazanin" w:eastAsia="IRNazanin" w:cs="IRNazanin"/>
            <w:color w:val="111111"/>
            <w:sz w:val="22"/>
            <w:szCs w:val="22"/>
            <w:b w:val="0"/>
            <w:bCs w:val="0"/>
            <w:i w:val="0"/>
            <w:iCs w:val="0"/>
          </w:rPr>
          <w:t>8073- دیوان والی یزدی أو شعره‏</w:t>
        </w:r>
        <w:r>
          <w:tab/>
        </w:r>
        <w:r>
          <w:fldChar w:fldCharType="begin"/>
        </w:r>
        <w:r>
          <w:instrText xml:space="preserve">PAGEREF 9368 \h</w:instrText>
        </w:r>
        <w:r>
          <w:fldChar w:fldCharType="end"/>
        </w:r>
      </w:hyperlink>
    </w:p>
    <w:p>
      <w:pPr>
        <w:tabs>
          <w:tab w:val="right" w:leader="dot" w:pos="9062"/>
        </w:tabs>
        <w:ind w:left="440"/>
      </w:pPr>
      <w:hyperlink w:anchor="_Toc9369" w:history="1">
        <w:r>
          <w:rPr>
            <w:rFonts w:ascii="IRNazanin" w:hAnsi="IRNazanin" w:eastAsia="IRNazanin" w:cs="IRNazanin"/>
            <w:color w:val="111111"/>
            <w:sz w:val="22"/>
            <w:szCs w:val="22"/>
            <w:b w:val="0"/>
            <w:bCs w:val="0"/>
            <w:i w:val="0"/>
            <w:iCs w:val="0"/>
          </w:rPr>
          <w:t>8074- دیوان والیه قاجار</w:t>
        </w:r>
        <w:r>
          <w:tab/>
        </w:r>
        <w:r>
          <w:fldChar w:fldCharType="begin"/>
        </w:r>
        <w:r>
          <w:instrText xml:space="preserve">PAGEREF 9369 \h</w:instrText>
        </w:r>
        <w:r>
          <w:fldChar w:fldCharType="end"/>
        </w:r>
      </w:hyperlink>
    </w:p>
    <w:p>
      <w:pPr>
        <w:tabs>
          <w:tab w:val="right" w:leader="dot" w:pos="9062"/>
        </w:tabs>
        <w:ind w:left="440"/>
      </w:pPr>
      <w:hyperlink w:anchor="_Toc9370" w:history="1">
        <w:r>
          <w:rPr>
            <w:rFonts w:ascii="IRNazanin" w:hAnsi="IRNazanin" w:eastAsia="IRNazanin" w:cs="IRNazanin"/>
            <w:color w:val="111111"/>
            <w:sz w:val="22"/>
            <w:szCs w:val="22"/>
            <w:b w:val="0"/>
            <w:bCs w:val="0"/>
            <w:i w:val="0"/>
            <w:iCs w:val="0"/>
          </w:rPr>
          <w:t>8075- دیوان الوامق أو شعره‏</w:t>
        </w:r>
        <w:r>
          <w:tab/>
        </w:r>
        <w:r>
          <w:fldChar w:fldCharType="begin"/>
        </w:r>
        <w:r>
          <w:instrText xml:space="preserve">PAGEREF 9370 \h</w:instrText>
        </w:r>
        <w:r>
          <w:fldChar w:fldCharType="end"/>
        </w:r>
      </w:hyperlink>
    </w:p>
    <w:p>
      <w:pPr>
        <w:tabs>
          <w:tab w:val="right" w:leader="dot" w:pos="9062"/>
        </w:tabs>
        <w:ind w:left="440"/>
      </w:pPr>
      <w:hyperlink w:anchor="_Toc9371" w:history="1">
        <w:r>
          <w:rPr>
            <w:rFonts w:ascii="IRNazanin" w:hAnsi="IRNazanin" w:eastAsia="IRNazanin" w:cs="IRNazanin"/>
            <w:color w:val="111111"/>
            <w:sz w:val="22"/>
            <w:szCs w:val="22"/>
            <w:b w:val="0"/>
            <w:bCs w:val="0"/>
            <w:i w:val="0"/>
            <w:iCs w:val="0"/>
          </w:rPr>
          <w:t>8076- دیوان وامق أصفهانی‏</w:t>
        </w:r>
        <w:r>
          <w:tab/>
        </w:r>
        <w:r>
          <w:fldChar w:fldCharType="begin"/>
        </w:r>
        <w:r>
          <w:instrText xml:space="preserve">PAGEREF 9371 \h</w:instrText>
        </w:r>
        <w:r>
          <w:fldChar w:fldCharType="end"/>
        </w:r>
      </w:hyperlink>
    </w:p>
    <w:p>
      <w:pPr>
        <w:tabs>
          <w:tab w:val="right" w:leader="dot" w:pos="9062"/>
        </w:tabs>
        <w:ind w:left="440"/>
      </w:pPr>
      <w:hyperlink w:anchor="_Toc9372" w:history="1">
        <w:r>
          <w:rPr>
            <w:rFonts w:ascii="IRNazanin" w:hAnsi="IRNazanin" w:eastAsia="IRNazanin" w:cs="IRNazanin"/>
            <w:color w:val="111111"/>
            <w:sz w:val="22"/>
            <w:szCs w:val="22"/>
            <w:b w:val="0"/>
            <w:bCs w:val="0"/>
            <w:i w:val="0"/>
            <w:iCs w:val="0"/>
          </w:rPr>
          <w:t>8077- دیوان وامق بلگرامی أو شعره‏</w:t>
        </w:r>
        <w:r>
          <w:tab/>
        </w:r>
        <w:r>
          <w:fldChar w:fldCharType="begin"/>
        </w:r>
        <w:r>
          <w:instrText xml:space="preserve">PAGEREF 9372 \h</w:instrText>
        </w:r>
        <w:r>
          <w:fldChar w:fldCharType="end"/>
        </w:r>
      </w:hyperlink>
    </w:p>
    <w:p>
      <w:pPr>
        <w:tabs>
          <w:tab w:val="right" w:leader="dot" w:pos="9062"/>
        </w:tabs>
        <w:ind w:left="440"/>
      </w:pPr>
      <w:hyperlink w:anchor="_Toc9373" w:history="1">
        <w:r>
          <w:rPr>
            <w:rFonts w:ascii="IRNazanin" w:hAnsi="IRNazanin" w:eastAsia="IRNazanin" w:cs="IRNazanin"/>
            <w:color w:val="111111"/>
            <w:sz w:val="22"/>
            <w:szCs w:val="22"/>
            <w:b w:val="0"/>
            <w:bCs w:val="0"/>
            <w:i w:val="0"/>
            <w:iCs w:val="0"/>
          </w:rPr>
          <w:t>8078- دیوان وامق هندی أو شعره‏</w:t>
        </w:r>
        <w:r>
          <w:tab/>
        </w:r>
        <w:r>
          <w:fldChar w:fldCharType="begin"/>
        </w:r>
        <w:r>
          <w:instrText xml:space="preserve">PAGEREF 9373 \h</w:instrText>
        </w:r>
        <w:r>
          <w:fldChar w:fldCharType="end"/>
        </w:r>
      </w:hyperlink>
    </w:p>
    <w:p>
      <w:pPr>
        <w:tabs>
          <w:tab w:val="right" w:leader="dot" w:pos="9062"/>
        </w:tabs>
        <w:ind w:left="440"/>
      </w:pPr>
      <w:hyperlink w:anchor="_Toc9374" w:history="1">
        <w:r>
          <w:rPr>
            <w:rFonts w:ascii="IRNazanin" w:hAnsi="IRNazanin" w:eastAsia="IRNazanin" w:cs="IRNazanin"/>
            <w:color w:val="111111"/>
            <w:sz w:val="22"/>
            <w:szCs w:val="22"/>
            <w:b w:val="0"/>
            <w:bCs w:val="0"/>
            <w:i w:val="0"/>
            <w:iCs w:val="0"/>
          </w:rPr>
          <w:t>8079- دیوان وامق یزدی‏</w:t>
        </w:r>
        <w:r>
          <w:tab/>
        </w:r>
        <w:r>
          <w:fldChar w:fldCharType="begin"/>
        </w:r>
        <w:r>
          <w:instrText xml:space="preserve">PAGEREF 9374 \h</w:instrText>
        </w:r>
        <w:r>
          <w:fldChar w:fldCharType="end"/>
        </w:r>
      </w:hyperlink>
    </w:p>
    <w:p>
      <w:pPr>
        <w:tabs>
          <w:tab w:val="right" w:leader="dot" w:pos="9062"/>
        </w:tabs>
        <w:ind w:left="440"/>
      </w:pPr>
      <w:hyperlink w:anchor="_Toc9375" w:history="1">
        <w:r>
          <w:rPr>
            <w:rFonts w:ascii="IRNazanin" w:hAnsi="IRNazanin" w:eastAsia="IRNazanin" w:cs="IRNazanin"/>
            <w:color w:val="111111"/>
            <w:sz w:val="22"/>
            <w:szCs w:val="22"/>
            <w:b w:val="0"/>
            <w:bCs w:val="0"/>
            <w:i w:val="0"/>
            <w:iCs w:val="0"/>
          </w:rPr>
          <w:t>8080- دیوان وامق یزدی أو شعره‏</w:t>
        </w:r>
        <w:r>
          <w:tab/>
        </w:r>
        <w:r>
          <w:fldChar w:fldCharType="begin"/>
        </w:r>
        <w:r>
          <w:instrText xml:space="preserve">PAGEREF 9375 \h</w:instrText>
        </w:r>
        <w:r>
          <w:fldChar w:fldCharType="end"/>
        </w:r>
      </w:hyperlink>
    </w:p>
    <w:p>
      <w:pPr>
        <w:tabs>
          <w:tab w:val="right" w:leader="dot" w:pos="9062"/>
        </w:tabs>
        <w:ind w:left="440"/>
      </w:pPr>
      <w:hyperlink w:anchor="_Toc9376" w:history="1">
        <w:r>
          <w:rPr>
            <w:rFonts w:ascii="IRNazanin" w:hAnsi="IRNazanin" w:eastAsia="IRNazanin" w:cs="IRNazanin"/>
            <w:color w:val="111111"/>
            <w:sz w:val="22"/>
            <w:szCs w:val="22"/>
            <w:b w:val="0"/>
            <w:bCs w:val="0"/>
            <w:i w:val="0"/>
            <w:iCs w:val="0"/>
          </w:rPr>
          <w:t>دیوان وامق یزدی‏</w:t>
        </w:r>
        <w:r>
          <w:tab/>
        </w:r>
        <w:r>
          <w:fldChar w:fldCharType="begin"/>
        </w:r>
        <w:r>
          <w:instrText xml:space="preserve">PAGEREF 9376 \h</w:instrText>
        </w:r>
        <w:r>
          <w:fldChar w:fldCharType="end"/>
        </w:r>
      </w:hyperlink>
    </w:p>
    <w:p>
      <w:pPr>
        <w:tabs>
          <w:tab w:val="right" w:leader="dot" w:pos="9062"/>
        </w:tabs>
        <w:ind w:left="440"/>
      </w:pPr>
      <w:hyperlink w:anchor="_Toc9377" w:history="1">
        <w:r>
          <w:rPr>
            <w:rFonts w:ascii="IRNazanin" w:hAnsi="IRNazanin" w:eastAsia="IRNazanin" w:cs="IRNazanin"/>
            <w:color w:val="111111"/>
            <w:sz w:val="22"/>
            <w:szCs w:val="22"/>
            <w:b w:val="0"/>
            <w:bCs w:val="0"/>
            <w:i w:val="0"/>
            <w:iCs w:val="0"/>
          </w:rPr>
          <w:t>8081- دیوان واهب أصفهانی‏</w:t>
        </w:r>
        <w:r>
          <w:tab/>
        </w:r>
        <w:r>
          <w:fldChar w:fldCharType="begin"/>
        </w:r>
        <w:r>
          <w:instrText xml:space="preserve">PAGEREF 9377 \h</w:instrText>
        </w:r>
        <w:r>
          <w:fldChar w:fldCharType="end"/>
        </w:r>
      </w:hyperlink>
    </w:p>
    <w:p>
      <w:pPr>
        <w:tabs>
          <w:tab w:val="right" w:leader="dot" w:pos="9062"/>
        </w:tabs>
        <w:ind w:left="440"/>
      </w:pPr>
      <w:hyperlink w:anchor="_Toc9378" w:history="1">
        <w:r>
          <w:rPr>
            <w:rFonts w:ascii="IRNazanin" w:hAnsi="IRNazanin" w:eastAsia="IRNazanin" w:cs="IRNazanin"/>
            <w:color w:val="111111"/>
            <w:sz w:val="22"/>
            <w:szCs w:val="22"/>
            <w:b w:val="0"/>
            <w:bCs w:val="0"/>
            <w:i w:val="0"/>
            <w:iCs w:val="0"/>
          </w:rPr>
          <w:t>8082- دیوان واهب بخارائی أو شعره‏</w:t>
        </w:r>
        <w:r>
          <w:tab/>
        </w:r>
        <w:r>
          <w:fldChar w:fldCharType="begin"/>
        </w:r>
        <w:r>
          <w:instrText xml:space="preserve">PAGEREF 9378 \h</w:instrText>
        </w:r>
        <w:r>
          <w:fldChar w:fldCharType="end"/>
        </w:r>
      </w:hyperlink>
    </w:p>
    <w:p>
      <w:pPr>
        <w:tabs>
          <w:tab w:val="right" w:leader="dot" w:pos="9062"/>
        </w:tabs>
        <w:ind w:left="440"/>
      </w:pPr>
      <w:hyperlink w:anchor="_Toc9379" w:history="1">
        <w:r>
          <w:rPr>
            <w:rFonts w:ascii="IRNazanin" w:hAnsi="IRNazanin" w:eastAsia="IRNazanin" w:cs="IRNazanin"/>
            <w:color w:val="111111"/>
            <w:sz w:val="22"/>
            <w:szCs w:val="22"/>
            <w:b w:val="0"/>
            <w:bCs w:val="0"/>
            <w:i w:val="0"/>
            <w:iCs w:val="0"/>
          </w:rPr>
          <w:t>دیوان واهب قندهاری‏</w:t>
        </w:r>
        <w:r>
          <w:tab/>
        </w:r>
        <w:r>
          <w:fldChar w:fldCharType="begin"/>
        </w:r>
        <w:r>
          <w:instrText xml:space="preserve">PAGEREF 9379 \h</w:instrText>
        </w:r>
        <w:r>
          <w:fldChar w:fldCharType="end"/>
        </w:r>
      </w:hyperlink>
    </w:p>
    <w:p>
      <w:pPr>
        <w:tabs>
          <w:tab w:val="right" w:leader="dot" w:pos="9062"/>
        </w:tabs>
        <w:ind w:left="440"/>
      </w:pPr>
      <w:hyperlink w:anchor="_Toc9380" w:history="1">
        <w:r>
          <w:rPr>
            <w:rFonts w:ascii="IRNazanin" w:hAnsi="IRNazanin" w:eastAsia="IRNazanin" w:cs="IRNazanin"/>
            <w:color w:val="111111"/>
            <w:sz w:val="22"/>
            <w:szCs w:val="22"/>
            <w:b w:val="0"/>
            <w:bCs w:val="0"/>
            <w:i w:val="0"/>
            <w:iCs w:val="0"/>
          </w:rPr>
          <w:t>8083- دیوان واهب همدانی أو شعره‏</w:t>
        </w:r>
        <w:r>
          <w:tab/>
        </w:r>
        <w:r>
          <w:fldChar w:fldCharType="begin"/>
        </w:r>
        <w:r>
          <w:instrText xml:space="preserve">PAGEREF 9380 \h</w:instrText>
        </w:r>
        <w:r>
          <w:fldChar w:fldCharType="end"/>
        </w:r>
      </w:hyperlink>
    </w:p>
    <w:p>
      <w:pPr>
        <w:tabs>
          <w:tab w:val="right" w:leader="dot" w:pos="9062"/>
        </w:tabs>
        <w:ind w:left="440"/>
      </w:pPr>
      <w:hyperlink w:anchor="_Toc9381" w:history="1">
        <w:r>
          <w:rPr>
            <w:rFonts w:ascii="IRNazanin" w:hAnsi="IRNazanin" w:eastAsia="IRNazanin" w:cs="IRNazanin"/>
            <w:color w:val="111111"/>
            <w:sz w:val="22"/>
            <w:szCs w:val="22"/>
            <w:b w:val="0"/>
            <w:bCs w:val="0"/>
            <w:i w:val="0"/>
            <w:iCs w:val="0"/>
          </w:rPr>
          <w:t>دیوان واهب یزدی‏</w:t>
        </w:r>
        <w:r>
          <w:tab/>
        </w:r>
        <w:r>
          <w:fldChar w:fldCharType="begin"/>
        </w:r>
        <w:r>
          <w:instrText xml:space="preserve">PAGEREF 9381 \h</w:instrText>
        </w:r>
        <w:r>
          <w:fldChar w:fldCharType="end"/>
        </w:r>
      </w:hyperlink>
    </w:p>
    <w:p>
      <w:pPr>
        <w:tabs>
          <w:tab w:val="right" w:leader="dot" w:pos="9062"/>
        </w:tabs>
        <w:ind w:left="440"/>
      </w:pPr>
      <w:hyperlink w:anchor="_Toc9382" w:history="1">
        <w:r>
          <w:rPr>
            <w:rFonts w:ascii="IRNazanin" w:hAnsi="IRNazanin" w:eastAsia="IRNazanin" w:cs="IRNazanin"/>
            <w:color w:val="111111"/>
            <w:sz w:val="22"/>
            <w:szCs w:val="22"/>
            <w:b w:val="0"/>
            <w:bCs w:val="0"/>
            <w:i w:val="0"/>
            <w:iCs w:val="0"/>
          </w:rPr>
          <w:t>8084- دیوان واهبی أسترآبادی أو شعره‏</w:t>
        </w:r>
        <w:r>
          <w:tab/>
        </w:r>
        <w:r>
          <w:fldChar w:fldCharType="begin"/>
        </w:r>
        <w:r>
          <w:instrText xml:space="preserve">PAGEREF 9382 \h</w:instrText>
        </w:r>
        <w:r>
          <w:fldChar w:fldCharType="end"/>
        </w:r>
      </w:hyperlink>
    </w:p>
    <w:p>
      <w:pPr>
        <w:tabs>
          <w:tab w:val="right" w:leader="dot" w:pos="9062"/>
        </w:tabs>
        <w:ind w:left="440"/>
      </w:pPr>
      <w:hyperlink w:anchor="_Toc9383" w:history="1">
        <w:r>
          <w:rPr>
            <w:rFonts w:ascii="IRNazanin" w:hAnsi="IRNazanin" w:eastAsia="IRNazanin" w:cs="IRNazanin"/>
            <w:color w:val="111111"/>
            <w:sz w:val="22"/>
            <w:szCs w:val="22"/>
            <w:b w:val="0"/>
            <w:bCs w:val="0"/>
            <w:i w:val="0"/>
            <w:iCs w:val="0"/>
          </w:rPr>
          <w:t>8085- دیوان واهبی خراسانی أو شعره‏</w:t>
        </w:r>
        <w:r>
          <w:tab/>
        </w:r>
        <w:r>
          <w:fldChar w:fldCharType="begin"/>
        </w:r>
        <w:r>
          <w:instrText xml:space="preserve">PAGEREF 9383 \h</w:instrText>
        </w:r>
        <w:r>
          <w:fldChar w:fldCharType="end"/>
        </w:r>
      </w:hyperlink>
    </w:p>
    <w:p>
      <w:pPr>
        <w:tabs>
          <w:tab w:val="right" w:leader="dot" w:pos="9062"/>
        </w:tabs>
        <w:ind w:left="440"/>
      </w:pPr>
      <w:hyperlink w:anchor="_Toc9384" w:history="1">
        <w:r>
          <w:rPr>
            <w:rFonts w:ascii="IRNazanin" w:hAnsi="IRNazanin" w:eastAsia="IRNazanin" w:cs="IRNazanin"/>
            <w:color w:val="111111"/>
            <w:sz w:val="22"/>
            <w:szCs w:val="22"/>
            <w:b w:val="0"/>
            <w:bCs w:val="0"/>
            <w:i w:val="0"/>
            <w:iCs w:val="0"/>
          </w:rPr>
          <w:t>دیوان الوأواء</w:t>
        </w:r>
        <w:r>
          <w:tab/>
        </w:r>
        <w:r>
          <w:fldChar w:fldCharType="begin"/>
        </w:r>
        <w:r>
          <w:instrText xml:space="preserve">PAGEREF 9384 \h</w:instrText>
        </w:r>
        <w:r>
          <w:fldChar w:fldCharType="end"/>
        </w:r>
      </w:hyperlink>
    </w:p>
    <w:p>
      <w:pPr>
        <w:tabs>
          <w:tab w:val="right" w:leader="dot" w:pos="9062"/>
        </w:tabs>
        <w:ind w:left="440"/>
      </w:pPr>
      <w:hyperlink w:anchor="_Toc9385" w:history="1">
        <w:r>
          <w:rPr>
            <w:rFonts w:ascii="IRNazanin" w:hAnsi="IRNazanin" w:eastAsia="IRNazanin" w:cs="IRNazanin"/>
            <w:color w:val="111111"/>
            <w:sz w:val="22"/>
            <w:szCs w:val="22"/>
            <w:b w:val="0"/>
            <w:bCs w:val="0"/>
            <w:i w:val="0"/>
            <w:iCs w:val="0"/>
          </w:rPr>
          <w:t>8086- دیوان وثوق طهرانی‏</w:t>
        </w:r>
        <w:r>
          <w:tab/>
        </w:r>
        <w:r>
          <w:fldChar w:fldCharType="begin"/>
        </w:r>
        <w:r>
          <w:instrText xml:space="preserve">PAGEREF 9385 \h</w:instrText>
        </w:r>
        <w:r>
          <w:fldChar w:fldCharType="end"/>
        </w:r>
      </w:hyperlink>
    </w:p>
    <w:p>
      <w:pPr>
        <w:tabs>
          <w:tab w:val="right" w:leader="dot" w:pos="9062"/>
        </w:tabs>
        <w:ind w:left="440"/>
      </w:pPr>
      <w:hyperlink w:anchor="_Toc9386" w:history="1">
        <w:r>
          <w:rPr>
            <w:rFonts w:ascii="IRNazanin" w:hAnsi="IRNazanin" w:eastAsia="IRNazanin" w:cs="IRNazanin"/>
            <w:color w:val="111111"/>
            <w:sz w:val="22"/>
            <w:szCs w:val="22"/>
            <w:b w:val="0"/>
            <w:bCs w:val="0"/>
            <w:i w:val="0"/>
            <w:iCs w:val="0"/>
          </w:rPr>
          <w:t>8087- دیوان وجدان تبریزی‏</w:t>
        </w:r>
        <w:r>
          <w:tab/>
        </w:r>
        <w:r>
          <w:fldChar w:fldCharType="begin"/>
        </w:r>
        <w:r>
          <w:instrText xml:space="preserve">PAGEREF 9386 \h</w:instrText>
        </w:r>
        <w:r>
          <w:fldChar w:fldCharType="end"/>
        </w:r>
      </w:hyperlink>
    </w:p>
    <w:p>
      <w:pPr>
        <w:tabs>
          <w:tab w:val="right" w:leader="dot" w:pos="9062"/>
        </w:tabs>
        <w:ind w:left="440"/>
      </w:pPr>
      <w:hyperlink w:anchor="_Toc9387" w:history="1">
        <w:r>
          <w:rPr>
            <w:rFonts w:ascii="IRNazanin" w:hAnsi="IRNazanin" w:eastAsia="IRNazanin" w:cs="IRNazanin"/>
            <w:color w:val="111111"/>
            <w:sz w:val="22"/>
            <w:szCs w:val="22"/>
            <w:b w:val="0"/>
            <w:bCs w:val="0"/>
            <w:i w:val="0"/>
            <w:iCs w:val="0"/>
          </w:rPr>
          <w:t>8088- دیوان وجدان سهرندی أو شعره‏</w:t>
        </w:r>
        <w:r>
          <w:tab/>
        </w:r>
        <w:r>
          <w:fldChar w:fldCharType="begin"/>
        </w:r>
        <w:r>
          <w:instrText xml:space="preserve">PAGEREF 9387 \h</w:instrText>
        </w:r>
        <w:r>
          <w:fldChar w:fldCharType="end"/>
        </w:r>
      </w:hyperlink>
    </w:p>
    <w:p>
      <w:pPr>
        <w:tabs>
          <w:tab w:val="right" w:leader="dot" w:pos="9062"/>
        </w:tabs>
        <w:ind w:left="440"/>
      </w:pPr>
      <w:hyperlink w:anchor="_Toc9388" w:history="1">
        <w:r>
          <w:rPr>
            <w:rFonts w:ascii="IRNazanin" w:hAnsi="IRNazanin" w:eastAsia="IRNazanin" w:cs="IRNazanin"/>
            <w:color w:val="111111"/>
            <w:sz w:val="22"/>
            <w:szCs w:val="22"/>
            <w:b w:val="0"/>
            <w:bCs w:val="0"/>
            <w:i w:val="0"/>
            <w:iCs w:val="0"/>
          </w:rPr>
          <w:t>8089- دیوان وجدی خراسانی أزغدی‏</w:t>
        </w:r>
        <w:r>
          <w:tab/>
        </w:r>
        <w:r>
          <w:fldChar w:fldCharType="begin"/>
        </w:r>
        <w:r>
          <w:instrText xml:space="preserve">PAGEREF 9388 \h</w:instrText>
        </w:r>
        <w:r>
          <w:fldChar w:fldCharType="end"/>
        </w:r>
      </w:hyperlink>
    </w:p>
    <w:p>
      <w:pPr>
        <w:tabs>
          <w:tab w:val="right" w:leader="dot" w:pos="9062"/>
        </w:tabs>
        <w:ind w:left="440"/>
      </w:pPr>
      <w:hyperlink w:anchor="_Toc9389" w:history="1">
        <w:r>
          <w:rPr>
            <w:rFonts w:ascii="IRNazanin" w:hAnsi="IRNazanin" w:eastAsia="IRNazanin" w:cs="IRNazanin"/>
            <w:color w:val="111111"/>
            <w:sz w:val="22"/>
            <w:szCs w:val="22"/>
            <w:b w:val="0"/>
            <w:bCs w:val="0"/>
            <w:i w:val="0"/>
            <w:iCs w:val="0"/>
          </w:rPr>
          <w:t>8090- دیوان وجدی شیرازی‏</w:t>
        </w:r>
        <w:r>
          <w:tab/>
        </w:r>
        <w:r>
          <w:fldChar w:fldCharType="begin"/>
        </w:r>
        <w:r>
          <w:instrText xml:space="preserve">PAGEREF 9389 \h</w:instrText>
        </w:r>
        <w:r>
          <w:fldChar w:fldCharType="end"/>
        </w:r>
      </w:hyperlink>
    </w:p>
    <w:p>
      <w:pPr>
        <w:tabs>
          <w:tab w:val="right" w:leader="dot" w:pos="9062"/>
        </w:tabs>
        <w:ind w:left="440"/>
      </w:pPr>
      <w:hyperlink w:anchor="_Toc9390" w:history="1">
        <w:r>
          <w:rPr>
            <w:rFonts w:ascii="IRNazanin" w:hAnsi="IRNazanin" w:eastAsia="IRNazanin" w:cs="IRNazanin"/>
            <w:color w:val="111111"/>
            <w:sz w:val="22"/>
            <w:szCs w:val="22"/>
            <w:b w:val="0"/>
            <w:bCs w:val="0"/>
            <w:i w:val="0"/>
            <w:iCs w:val="0"/>
          </w:rPr>
          <w:t>8091- دیوان وجدی لکهنوی‏</w:t>
        </w:r>
        <w:r>
          <w:tab/>
        </w:r>
        <w:r>
          <w:fldChar w:fldCharType="begin"/>
        </w:r>
        <w:r>
          <w:instrText xml:space="preserve">PAGEREF 9390 \h</w:instrText>
        </w:r>
        <w:r>
          <w:fldChar w:fldCharType="end"/>
        </w:r>
      </w:hyperlink>
    </w:p>
    <w:p>
      <w:pPr>
        <w:tabs>
          <w:tab w:val="right" w:leader="dot" w:pos="9062"/>
        </w:tabs>
        <w:ind w:left="440"/>
      </w:pPr>
      <w:hyperlink w:anchor="_Toc9391" w:history="1">
        <w:r>
          <w:rPr>
            <w:rFonts w:ascii="IRNazanin" w:hAnsi="IRNazanin" w:eastAsia="IRNazanin" w:cs="IRNazanin"/>
            <w:color w:val="111111"/>
            <w:sz w:val="22"/>
            <w:szCs w:val="22"/>
            <w:b w:val="0"/>
            <w:bCs w:val="0"/>
            <w:i w:val="0"/>
            <w:iCs w:val="0"/>
          </w:rPr>
          <w:t>دیوان وجدی مشهدی‏</w:t>
        </w:r>
        <w:r>
          <w:tab/>
        </w:r>
        <w:r>
          <w:fldChar w:fldCharType="begin"/>
        </w:r>
        <w:r>
          <w:instrText xml:space="preserve">PAGEREF 9391 \h</w:instrText>
        </w:r>
        <w:r>
          <w:fldChar w:fldCharType="end"/>
        </w:r>
      </w:hyperlink>
    </w:p>
    <w:p>
      <w:pPr>
        <w:tabs>
          <w:tab w:val="right" w:leader="dot" w:pos="9062"/>
        </w:tabs>
        <w:ind w:left="440"/>
      </w:pPr>
      <w:hyperlink w:anchor="_Toc9392" w:history="1">
        <w:r>
          <w:rPr>
            <w:rFonts w:ascii="IRNazanin" w:hAnsi="IRNazanin" w:eastAsia="IRNazanin" w:cs="IRNazanin"/>
            <w:color w:val="111111"/>
            <w:sz w:val="22"/>
            <w:szCs w:val="22"/>
            <w:b w:val="0"/>
            <w:bCs w:val="0"/>
            <w:i w:val="0"/>
            <w:iCs w:val="0"/>
          </w:rPr>
          <w:t>8092- دیوان وجدی همدانی أو شعره‏</w:t>
        </w:r>
        <w:r>
          <w:tab/>
        </w:r>
        <w:r>
          <w:fldChar w:fldCharType="begin"/>
        </w:r>
        <w:r>
          <w:instrText xml:space="preserve">PAGEREF 9392 \h</w:instrText>
        </w:r>
        <w:r>
          <w:fldChar w:fldCharType="end"/>
        </w:r>
      </w:hyperlink>
    </w:p>
    <w:p>
      <w:pPr>
        <w:tabs>
          <w:tab w:val="right" w:leader="dot" w:pos="9062"/>
        </w:tabs>
        <w:ind w:left="440"/>
      </w:pPr>
      <w:hyperlink w:anchor="_Toc9393" w:history="1">
        <w:r>
          <w:rPr>
            <w:rFonts w:ascii="IRNazanin" w:hAnsi="IRNazanin" w:eastAsia="IRNazanin" w:cs="IRNazanin"/>
            <w:color w:val="111111"/>
            <w:sz w:val="22"/>
            <w:szCs w:val="22"/>
            <w:b w:val="0"/>
            <w:bCs w:val="0"/>
            <w:i w:val="0"/>
            <w:iCs w:val="0"/>
          </w:rPr>
          <w:t>8093- دیوان وجهی أصفهانی‏</w:t>
        </w:r>
        <w:r>
          <w:tab/>
        </w:r>
        <w:r>
          <w:fldChar w:fldCharType="begin"/>
        </w:r>
        <w:r>
          <w:instrText xml:space="preserve">PAGEREF 9393 \h</w:instrText>
        </w:r>
        <w:r>
          <w:fldChar w:fldCharType="end"/>
        </w:r>
      </w:hyperlink>
    </w:p>
    <w:p>
      <w:pPr>
        <w:tabs>
          <w:tab w:val="right" w:leader="dot" w:pos="9062"/>
        </w:tabs>
        <w:ind w:left="440"/>
      </w:pPr>
      <w:hyperlink w:anchor="_Toc9394" w:history="1">
        <w:r>
          <w:rPr>
            <w:rFonts w:ascii="IRNazanin" w:hAnsi="IRNazanin" w:eastAsia="IRNazanin" w:cs="IRNazanin"/>
            <w:color w:val="111111"/>
            <w:sz w:val="22"/>
            <w:szCs w:val="22"/>
            <w:b w:val="0"/>
            <w:bCs w:val="0"/>
            <w:i w:val="0"/>
            <w:iCs w:val="0"/>
          </w:rPr>
          <w:t>8094- دیوان وجهی أصفهانی أو شعره‏</w:t>
        </w:r>
        <w:r>
          <w:tab/>
        </w:r>
        <w:r>
          <w:fldChar w:fldCharType="begin"/>
        </w:r>
        <w:r>
          <w:instrText xml:space="preserve">PAGEREF 9394 \h</w:instrText>
        </w:r>
        <w:r>
          <w:fldChar w:fldCharType="end"/>
        </w:r>
      </w:hyperlink>
    </w:p>
    <w:p>
      <w:pPr>
        <w:tabs>
          <w:tab w:val="right" w:leader="dot" w:pos="9062"/>
        </w:tabs>
        <w:ind w:left="440"/>
      </w:pPr>
      <w:hyperlink w:anchor="_Toc9395" w:history="1">
        <w:r>
          <w:rPr>
            <w:rFonts w:ascii="IRNazanin" w:hAnsi="IRNazanin" w:eastAsia="IRNazanin" w:cs="IRNazanin"/>
            <w:color w:val="111111"/>
            <w:sz w:val="22"/>
            <w:szCs w:val="22"/>
            <w:b w:val="0"/>
            <w:bCs w:val="0"/>
            <w:i w:val="0"/>
            <w:iCs w:val="0"/>
          </w:rPr>
          <w:t>8095- دیوان وجهی تفرشی أو شعره‏</w:t>
        </w:r>
        <w:r>
          <w:tab/>
        </w:r>
        <w:r>
          <w:fldChar w:fldCharType="begin"/>
        </w:r>
        <w:r>
          <w:instrText xml:space="preserve">PAGEREF 9395 \h</w:instrText>
        </w:r>
        <w:r>
          <w:fldChar w:fldCharType="end"/>
        </w:r>
      </w:hyperlink>
    </w:p>
    <w:p>
      <w:pPr>
        <w:tabs>
          <w:tab w:val="right" w:leader="dot" w:pos="9062"/>
        </w:tabs>
        <w:ind w:left="440"/>
      </w:pPr>
      <w:hyperlink w:anchor="_Toc9396" w:history="1">
        <w:r>
          <w:rPr>
            <w:rFonts w:ascii="IRNazanin" w:hAnsi="IRNazanin" w:eastAsia="IRNazanin" w:cs="IRNazanin"/>
            <w:color w:val="111111"/>
            <w:sz w:val="22"/>
            <w:szCs w:val="22"/>
            <w:b w:val="0"/>
            <w:bCs w:val="0"/>
            <w:i w:val="0"/>
            <w:iCs w:val="0"/>
          </w:rPr>
          <w:t>8096- دیوان وجهی سنجاری أو شعره‏</w:t>
        </w:r>
        <w:r>
          <w:tab/>
        </w:r>
        <w:r>
          <w:fldChar w:fldCharType="begin"/>
        </w:r>
        <w:r>
          <w:instrText xml:space="preserve">PAGEREF 9396 \h</w:instrText>
        </w:r>
        <w:r>
          <w:fldChar w:fldCharType="end"/>
        </w:r>
      </w:hyperlink>
    </w:p>
    <w:p>
      <w:pPr>
        <w:tabs>
          <w:tab w:val="right" w:leader="dot" w:pos="9062"/>
        </w:tabs>
        <w:ind w:left="440"/>
      </w:pPr>
      <w:hyperlink w:anchor="_Toc9397" w:history="1">
        <w:r>
          <w:rPr>
            <w:rFonts w:ascii="IRNazanin" w:hAnsi="IRNazanin" w:eastAsia="IRNazanin" w:cs="IRNazanin"/>
            <w:color w:val="111111"/>
            <w:sz w:val="22"/>
            <w:szCs w:val="22"/>
            <w:b w:val="0"/>
            <w:bCs w:val="0"/>
            <w:i w:val="0"/>
            <w:iCs w:val="0"/>
          </w:rPr>
          <w:t>دیوان وجهی کرد</w:t>
        </w:r>
        <w:r>
          <w:tab/>
        </w:r>
        <w:r>
          <w:fldChar w:fldCharType="begin"/>
        </w:r>
        <w:r>
          <w:instrText xml:space="preserve">PAGEREF 9397 \h</w:instrText>
        </w:r>
        <w:r>
          <w:fldChar w:fldCharType="end"/>
        </w:r>
      </w:hyperlink>
    </w:p>
    <w:p>
      <w:pPr>
        <w:tabs>
          <w:tab w:val="right" w:leader="dot" w:pos="9062"/>
        </w:tabs>
        <w:ind w:left="440"/>
      </w:pPr>
      <w:hyperlink w:anchor="_Toc9398" w:history="1">
        <w:r>
          <w:rPr>
            <w:rFonts w:ascii="IRNazanin" w:hAnsi="IRNazanin" w:eastAsia="IRNazanin" w:cs="IRNazanin"/>
            <w:color w:val="111111"/>
            <w:sz w:val="22"/>
            <w:szCs w:val="22"/>
            <w:b w:val="0"/>
            <w:bCs w:val="0"/>
            <w:i w:val="0"/>
            <w:iCs w:val="0"/>
          </w:rPr>
          <w:t>دیوان وجهی هروی‏</w:t>
        </w:r>
        <w:r>
          <w:tab/>
        </w:r>
        <w:r>
          <w:fldChar w:fldCharType="begin"/>
        </w:r>
        <w:r>
          <w:instrText xml:space="preserve">PAGEREF 9398 \h</w:instrText>
        </w:r>
        <w:r>
          <w:fldChar w:fldCharType="end"/>
        </w:r>
      </w:hyperlink>
    </w:p>
    <w:p>
      <w:pPr>
        <w:tabs>
          <w:tab w:val="right" w:leader="dot" w:pos="9062"/>
        </w:tabs>
        <w:ind w:left="440"/>
      </w:pPr>
      <w:hyperlink w:anchor="_Toc9399" w:history="1">
        <w:r>
          <w:rPr>
            <w:rFonts w:ascii="IRNazanin" w:hAnsi="IRNazanin" w:eastAsia="IRNazanin" w:cs="IRNazanin"/>
            <w:color w:val="111111"/>
            <w:sz w:val="22"/>
            <w:szCs w:val="22"/>
            <w:b w:val="0"/>
            <w:bCs w:val="0"/>
            <w:i w:val="0"/>
            <w:iCs w:val="0"/>
          </w:rPr>
          <w:t>8097- دیوان وجیه أحمدآبادی أو شعره‏</w:t>
        </w:r>
        <w:r>
          <w:tab/>
        </w:r>
        <w:r>
          <w:fldChar w:fldCharType="begin"/>
        </w:r>
        <w:r>
          <w:instrText xml:space="preserve">PAGEREF 9399 \h</w:instrText>
        </w:r>
        <w:r>
          <w:fldChar w:fldCharType="end"/>
        </w:r>
      </w:hyperlink>
    </w:p>
    <w:p>
      <w:pPr>
        <w:tabs>
          <w:tab w:val="right" w:leader="dot" w:pos="9062"/>
        </w:tabs>
        <w:ind w:left="440"/>
      </w:pPr>
      <w:hyperlink w:anchor="_Toc9400" w:history="1">
        <w:r>
          <w:rPr>
            <w:rFonts w:ascii="IRNazanin" w:hAnsi="IRNazanin" w:eastAsia="IRNazanin" w:cs="IRNazanin"/>
            <w:color w:val="111111"/>
            <w:sz w:val="22"/>
            <w:szCs w:val="22"/>
            <w:b w:val="0"/>
            <w:bCs w:val="0"/>
            <w:i w:val="0"/>
            <w:iCs w:val="0"/>
          </w:rPr>
          <w:t>8098- دیوان وجیه بهاری أو شعره‏</w:t>
        </w:r>
        <w:r>
          <w:tab/>
        </w:r>
        <w:r>
          <w:fldChar w:fldCharType="begin"/>
        </w:r>
        <w:r>
          <w:instrText xml:space="preserve">PAGEREF 9400 \h</w:instrText>
        </w:r>
        <w:r>
          <w:fldChar w:fldCharType="end"/>
        </w:r>
      </w:hyperlink>
    </w:p>
    <w:p>
      <w:pPr>
        <w:tabs>
          <w:tab w:val="right" w:leader="dot" w:pos="9062"/>
        </w:tabs>
        <w:ind w:left="440"/>
      </w:pPr>
      <w:hyperlink w:anchor="_Toc9401" w:history="1">
        <w:r>
          <w:rPr>
            <w:rFonts w:ascii="IRNazanin" w:hAnsi="IRNazanin" w:eastAsia="IRNazanin" w:cs="IRNazanin"/>
            <w:color w:val="111111"/>
            <w:sz w:val="22"/>
            <w:szCs w:val="22"/>
            <w:b w:val="0"/>
            <w:bCs w:val="0"/>
            <w:i w:val="0"/>
            <w:iCs w:val="0"/>
          </w:rPr>
          <w:t>8099- دیوان وجیه پنجابی أو شعره‏</w:t>
        </w:r>
        <w:r>
          <w:tab/>
        </w:r>
        <w:r>
          <w:fldChar w:fldCharType="begin"/>
        </w:r>
        <w:r>
          <w:instrText xml:space="preserve">PAGEREF 9401 \h</w:instrText>
        </w:r>
        <w:r>
          <w:fldChar w:fldCharType="end"/>
        </w:r>
      </w:hyperlink>
    </w:p>
    <w:p>
      <w:pPr>
        <w:tabs>
          <w:tab w:val="right" w:leader="dot" w:pos="9062"/>
        </w:tabs>
        <w:ind w:left="440"/>
      </w:pPr>
      <w:hyperlink w:anchor="_Toc9402" w:history="1">
        <w:r>
          <w:rPr>
            <w:rFonts w:ascii="IRNazanin" w:hAnsi="IRNazanin" w:eastAsia="IRNazanin" w:cs="IRNazanin"/>
            <w:color w:val="111111"/>
            <w:sz w:val="22"/>
            <w:szCs w:val="22"/>
            <w:b w:val="0"/>
            <w:bCs w:val="0"/>
            <w:i w:val="0"/>
            <w:iCs w:val="0"/>
          </w:rPr>
          <w:t>8100- دیوان وحدت سهرندی‏</w:t>
        </w:r>
        <w:r>
          <w:tab/>
        </w:r>
        <w:r>
          <w:fldChar w:fldCharType="begin"/>
        </w:r>
        <w:r>
          <w:instrText xml:space="preserve">PAGEREF 9402 \h</w:instrText>
        </w:r>
        <w:r>
          <w:fldChar w:fldCharType="end"/>
        </w:r>
      </w:hyperlink>
    </w:p>
    <w:p>
      <w:pPr>
        <w:tabs>
          <w:tab w:val="right" w:leader="dot" w:pos="9062"/>
        </w:tabs>
        <w:ind w:left="440"/>
      </w:pPr>
      <w:hyperlink w:anchor="_Toc9403" w:history="1">
        <w:r>
          <w:rPr>
            <w:rFonts w:ascii="IRNazanin" w:hAnsi="IRNazanin" w:eastAsia="IRNazanin" w:cs="IRNazanin"/>
            <w:color w:val="111111"/>
            <w:sz w:val="22"/>
            <w:szCs w:val="22"/>
            <w:b w:val="0"/>
            <w:bCs w:val="0"/>
            <w:i w:val="0"/>
            <w:iCs w:val="0"/>
          </w:rPr>
          <w:t>8101- دیوان وحدت شیرازی‏</w:t>
        </w:r>
        <w:r>
          <w:tab/>
        </w:r>
        <w:r>
          <w:fldChar w:fldCharType="begin"/>
        </w:r>
        <w:r>
          <w:instrText xml:space="preserve">PAGEREF 9403 \h</w:instrText>
        </w:r>
        <w:r>
          <w:fldChar w:fldCharType="end"/>
        </w:r>
      </w:hyperlink>
    </w:p>
    <w:p>
      <w:pPr>
        <w:tabs>
          <w:tab w:val="right" w:leader="dot" w:pos="9062"/>
        </w:tabs>
        <w:ind w:left="440"/>
      </w:pPr>
      <w:hyperlink w:anchor="_Toc9404" w:history="1">
        <w:r>
          <w:rPr>
            <w:rFonts w:ascii="IRNazanin" w:hAnsi="IRNazanin" w:eastAsia="IRNazanin" w:cs="IRNazanin"/>
            <w:color w:val="111111"/>
            <w:sz w:val="22"/>
            <w:szCs w:val="22"/>
            <w:b w:val="0"/>
            <w:bCs w:val="0"/>
            <w:i w:val="0"/>
            <w:iCs w:val="0"/>
          </w:rPr>
          <w:t>دیوان وحدت علی شاه‏</w:t>
        </w:r>
        <w:r>
          <w:tab/>
        </w:r>
        <w:r>
          <w:fldChar w:fldCharType="begin"/>
        </w:r>
        <w:r>
          <w:instrText xml:space="preserve">PAGEREF 9404 \h</w:instrText>
        </w:r>
        <w:r>
          <w:fldChar w:fldCharType="end"/>
        </w:r>
      </w:hyperlink>
    </w:p>
    <w:p>
      <w:pPr>
        <w:tabs>
          <w:tab w:val="right" w:leader="dot" w:pos="9062"/>
        </w:tabs>
        <w:ind w:left="440"/>
      </w:pPr>
      <w:hyperlink w:anchor="_Toc9405" w:history="1">
        <w:r>
          <w:rPr>
            <w:rFonts w:ascii="IRNazanin" w:hAnsi="IRNazanin" w:eastAsia="IRNazanin" w:cs="IRNazanin"/>
            <w:color w:val="111111"/>
            <w:sz w:val="22"/>
            <w:szCs w:val="22"/>
            <w:b w:val="0"/>
            <w:bCs w:val="0"/>
            <w:i w:val="0"/>
            <w:iCs w:val="0"/>
          </w:rPr>
          <w:t>8102- دیوان وحدت قمی‏</w:t>
        </w:r>
        <w:r>
          <w:tab/>
        </w:r>
        <w:r>
          <w:fldChar w:fldCharType="begin"/>
        </w:r>
        <w:r>
          <w:instrText xml:space="preserve">PAGEREF 9405 \h</w:instrText>
        </w:r>
        <w:r>
          <w:fldChar w:fldCharType="end"/>
        </w:r>
      </w:hyperlink>
    </w:p>
    <w:p>
      <w:pPr>
        <w:tabs>
          <w:tab w:val="right" w:leader="dot" w:pos="9062"/>
        </w:tabs>
        <w:ind w:left="440"/>
      </w:pPr>
      <w:hyperlink w:anchor="_Toc9406" w:history="1">
        <w:r>
          <w:rPr>
            <w:rFonts w:ascii="IRNazanin" w:hAnsi="IRNazanin" w:eastAsia="IRNazanin" w:cs="IRNazanin"/>
            <w:color w:val="111111"/>
            <w:sz w:val="22"/>
            <w:szCs w:val="22"/>
            <w:b w:val="0"/>
            <w:bCs w:val="0"/>
            <w:i w:val="0"/>
            <w:iCs w:val="0"/>
          </w:rPr>
          <w:t>دیوان وحدت کاشانی‏</w:t>
        </w:r>
        <w:r>
          <w:tab/>
        </w:r>
        <w:r>
          <w:fldChar w:fldCharType="begin"/>
        </w:r>
        <w:r>
          <w:instrText xml:space="preserve">PAGEREF 9406 \h</w:instrText>
        </w:r>
        <w:r>
          <w:fldChar w:fldCharType="end"/>
        </w:r>
      </w:hyperlink>
    </w:p>
    <w:p>
      <w:pPr>
        <w:tabs>
          <w:tab w:val="right" w:leader="dot" w:pos="9062"/>
        </w:tabs>
        <w:ind w:left="440"/>
      </w:pPr>
      <w:hyperlink w:anchor="_Toc9407" w:history="1">
        <w:r>
          <w:rPr>
            <w:rFonts w:ascii="IRNazanin" w:hAnsi="IRNazanin" w:eastAsia="IRNazanin" w:cs="IRNazanin"/>
            <w:color w:val="111111"/>
            <w:sz w:val="22"/>
            <w:szCs w:val="22"/>
            <w:b w:val="0"/>
            <w:bCs w:val="0"/>
            <w:i w:val="0"/>
            <w:iCs w:val="0"/>
          </w:rPr>
          <w:t>دیوان وحدت کرمانشاهی‏</w:t>
        </w:r>
        <w:r>
          <w:tab/>
        </w:r>
        <w:r>
          <w:fldChar w:fldCharType="begin"/>
        </w:r>
        <w:r>
          <w:instrText xml:space="preserve">PAGEREF 9407 \h</w:instrText>
        </w:r>
        <w:r>
          <w:fldChar w:fldCharType="end"/>
        </w:r>
      </w:hyperlink>
    </w:p>
    <w:p>
      <w:pPr>
        <w:tabs>
          <w:tab w:val="right" w:leader="dot" w:pos="9062"/>
        </w:tabs>
        <w:ind w:left="440"/>
      </w:pPr>
      <w:hyperlink w:anchor="_Toc9408" w:history="1">
        <w:r>
          <w:rPr>
            <w:rFonts w:ascii="IRNazanin" w:hAnsi="IRNazanin" w:eastAsia="IRNazanin" w:cs="IRNazanin"/>
            <w:color w:val="111111"/>
            <w:sz w:val="22"/>
            <w:szCs w:val="22"/>
            <w:b w:val="0"/>
            <w:bCs w:val="0"/>
            <w:i w:val="0"/>
            <w:iCs w:val="0"/>
          </w:rPr>
          <w:t>8103- دیوان وحدت کلهر</w:t>
        </w:r>
        <w:r>
          <w:tab/>
        </w:r>
        <w:r>
          <w:fldChar w:fldCharType="begin"/>
        </w:r>
        <w:r>
          <w:instrText xml:space="preserve">PAGEREF 9408 \h</w:instrText>
        </w:r>
        <w:r>
          <w:fldChar w:fldCharType="end"/>
        </w:r>
      </w:hyperlink>
    </w:p>
    <w:p>
      <w:pPr>
        <w:tabs>
          <w:tab w:val="right" w:leader="dot" w:pos="9062"/>
        </w:tabs>
        <w:ind w:left="440"/>
      </w:pPr>
      <w:hyperlink w:anchor="_Toc9409" w:history="1">
        <w:r>
          <w:rPr>
            <w:rFonts w:ascii="IRNazanin" w:hAnsi="IRNazanin" w:eastAsia="IRNazanin" w:cs="IRNazanin"/>
            <w:color w:val="111111"/>
            <w:sz w:val="22"/>
            <w:szCs w:val="22"/>
            <w:b w:val="0"/>
            <w:bCs w:val="0"/>
            <w:i w:val="0"/>
            <w:iCs w:val="0"/>
          </w:rPr>
          <w:t>8104- دیوان وحدت کلکته‏ای‏</w:t>
        </w:r>
        <w:r>
          <w:tab/>
        </w:r>
        <w:r>
          <w:fldChar w:fldCharType="begin"/>
        </w:r>
        <w:r>
          <w:instrText xml:space="preserve">PAGEREF 9409 \h</w:instrText>
        </w:r>
        <w:r>
          <w:fldChar w:fldCharType="end"/>
        </w:r>
      </w:hyperlink>
    </w:p>
    <w:p>
      <w:pPr>
        <w:tabs>
          <w:tab w:val="right" w:leader="dot" w:pos="9062"/>
        </w:tabs>
        <w:ind w:left="440"/>
      </w:pPr>
      <w:hyperlink w:anchor="_Toc9410" w:history="1">
        <w:r>
          <w:rPr>
            <w:rFonts w:ascii="IRNazanin" w:hAnsi="IRNazanin" w:eastAsia="IRNazanin" w:cs="IRNazanin"/>
            <w:color w:val="111111"/>
            <w:sz w:val="22"/>
            <w:szCs w:val="22"/>
            <w:b w:val="0"/>
            <w:bCs w:val="0"/>
            <w:i w:val="0"/>
            <w:iCs w:val="0"/>
          </w:rPr>
          <w:t>8105- دیوان وحدتی خراسانی أو شعره‏</w:t>
        </w:r>
        <w:r>
          <w:tab/>
        </w:r>
        <w:r>
          <w:fldChar w:fldCharType="begin"/>
        </w:r>
        <w:r>
          <w:instrText xml:space="preserve">PAGEREF 9410 \h</w:instrText>
        </w:r>
        <w:r>
          <w:fldChar w:fldCharType="end"/>
        </w:r>
      </w:hyperlink>
    </w:p>
    <w:p>
      <w:pPr>
        <w:tabs>
          <w:tab w:val="right" w:leader="dot" w:pos="9062"/>
        </w:tabs>
        <w:ind w:left="440"/>
      </w:pPr>
      <w:hyperlink w:anchor="_Toc9411" w:history="1">
        <w:r>
          <w:rPr>
            <w:rFonts w:ascii="IRNazanin" w:hAnsi="IRNazanin" w:eastAsia="IRNazanin" w:cs="IRNazanin"/>
            <w:color w:val="111111"/>
            <w:sz w:val="22"/>
            <w:szCs w:val="22"/>
            <w:b w:val="0"/>
            <w:bCs w:val="0"/>
            <w:i w:val="0"/>
            <w:iCs w:val="0"/>
          </w:rPr>
          <w:t>8106- دیوان وحشت أردستانی‏</w:t>
        </w:r>
        <w:r>
          <w:tab/>
        </w:r>
        <w:r>
          <w:fldChar w:fldCharType="begin"/>
        </w:r>
        <w:r>
          <w:instrText xml:space="preserve">PAGEREF 9411 \h</w:instrText>
        </w:r>
        <w:r>
          <w:fldChar w:fldCharType="end"/>
        </w:r>
      </w:hyperlink>
    </w:p>
    <w:p>
      <w:pPr>
        <w:tabs>
          <w:tab w:val="right" w:leader="dot" w:pos="9062"/>
        </w:tabs>
        <w:ind w:left="440"/>
      </w:pPr>
      <w:hyperlink w:anchor="_Toc9412" w:history="1">
        <w:r>
          <w:rPr>
            <w:rFonts w:ascii="IRNazanin" w:hAnsi="IRNazanin" w:eastAsia="IRNazanin" w:cs="IRNazanin"/>
            <w:color w:val="111111"/>
            <w:sz w:val="22"/>
            <w:szCs w:val="22"/>
            <w:b w:val="0"/>
            <w:bCs w:val="0"/>
            <w:i w:val="0"/>
            <w:iCs w:val="0"/>
          </w:rPr>
          <w:t>8107- دیوان وحشت أصفهانی أو شعره‏</w:t>
        </w:r>
        <w:r>
          <w:tab/>
        </w:r>
        <w:r>
          <w:fldChar w:fldCharType="begin"/>
        </w:r>
        <w:r>
          <w:instrText xml:space="preserve">PAGEREF 9412 \h</w:instrText>
        </w:r>
        <w:r>
          <w:fldChar w:fldCharType="end"/>
        </w:r>
      </w:hyperlink>
    </w:p>
    <w:p>
      <w:pPr>
        <w:tabs>
          <w:tab w:val="right" w:leader="dot" w:pos="9062"/>
        </w:tabs>
        <w:ind w:left="440"/>
      </w:pPr>
      <w:hyperlink w:anchor="_Toc9413" w:history="1">
        <w:r>
          <w:rPr>
            <w:rFonts w:ascii="IRNazanin" w:hAnsi="IRNazanin" w:eastAsia="IRNazanin" w:cs="IRNazanin"/>
            <w:color w:val="111111"/>
            <w:sz w:val="22"/>
            <w:szCs w:val="22"/>
            <w:b w:val="0"/>
            <w:bCs w:val="0"/>
            <w:i w:val="0"/>
            <w:iCs w:val="0"/>
          </w:rPr>
          <w:t>8108- دیوان وحشت بختیاری أو شعره‏</w:t>
        </w:r>
        <w:r>
          <w:tab/>
        </w:r>
        <w:r>
          <w:fldChar w:fldCharType="begin"/>
        </w:r>
        <w:r>
          <w:instrText xml:space="preserve">PAGEREF 9413 \h</w:instrText>
        </w:r>
        <w:r>
          <w:fldChar w:fldCharType="end"/>
        </w:r>
      </w:hyperlink>
    </w:p>
    <w:p>
      <w:pPr>
        <w:tabs>
          <w:tab w:val="right" w:leader="dot" w:pos="9062"/>
        </w:tabs>
        <w:ind w:left="440"/>
      </w:pPr>
      <w:hyperlink w:anchor="_Toc9414" w:history="1">
        <w:r>
          <w:rPr>
            <w:rFonts w:ascii="IRNazanin" w:hAnsi="IRNazanin" w:eastAsia="IRNazanin" w:cs="IRNazanin"/>
            <w:color w:val="111111"/>
            <w:sz w:val="22"/>
            <w:szCs w:val="22"/>
            <w:b w:val="0"/>
            <w:bCs w:val="0"/>
            <w:i w:val="0"/>
            <w:iCs w:val="0"/>
          </w:rPr>
          <w:t>8109- دیوان وحشت تهانیسری أو شعره‏</w:t>
        </w:r>
        <w:r>
          <w:tab/>
        </w:r>
        <w:r>
          <w:fldChar w:fldCharType="begin"/>
        </w:r>
        <w:r>
          <w:instrText xml:space="preserve">PAGEREF 9414 \h</w:instrText>
        </w:r>
        <w:r>
          <w:fldChar w:fldCharType="end"/>
        </w:r>
      </w:hyperlink>
    </w:p>
    <w:p>
      <w:pPr>
        <w:tabs>
          <w:tab w:val="right" w:leader="dot" w:pos="9062"/>
        </w:tabs>
        <w:ind w:left="440"/>
      </w:pPr>
      <w:hyperlink w:anchor="_Toc9415" w:history="1">
        <w:r>
          <w:rPr>
            <w:rFonts w:ascii="IRNazanin" w:hAnsi="IRNazanin" w:eastAsia="IRNazanin" w:cs="IRNazanin"/>
            <w:color w:val="111111"/>
            <w:sz w:val="22"/>
            <w:szCs w:val="22"/>
            <w:b w:val="0"/>
            <w:bCs w:val="0"/>
            <w:i w:val="0"/>
            <w:iCs w:val="0"/>
          </w:rPr>
          <w:t>دیوان وحشت تهانیسری‏</w:t>
        </w:r>
        <w:r>
          <w:tab/>
        </w:r>
        <w:r>
          <w:fldChar w:fldCharType="begin"/>
        </w:r>
        <w:r>
          <w:instrText xml:space="preserve">PAGEREF 9415 \h</w:instrText>
        </w:r>
        <w:r>
          <w:fldChar w:fldCharType="end"/>
        </w:r>
      </w:hyperlink>
    </w:p>
    <w:p>
      <w:pPr>
        <w:tabs>
          <w:tab w:val="right" w:leader="dot" w:pos="9062"/>
        </w:tabs>
        <w:ind w:left="440"/>
      </w:pPr>
      <w:hyperlink w:anchor="_Toc9416" w:history="1">
        <w:r>
          <w:rPr>
            <w:rFonts w:ascii="IRNazanin" w:hAnsi="IRNazanin" w:eastAsia="IRNazanin" w:cs="IRNazanin"/>
            <w:color w:val="111111"/>
            <w:sz w:val="22"/>
            <w:szCs w:val="22"/>
            <w:b w:val="0"/>
            <w:bCs w:val="0"/>
            <w:i w:val="0"/>
            <w:iCs w:val="0"/>
          </w:rPr>
          <w:t>8110- دیوان وحشت کشمیری أو شعره‏</w:t>
        </w:r>
        <w:r>
          <w:tab/>
        </w:r>
        <w:r>
          <w:fldChar w:fldCharType="begin"/>
        </w:r>
        <w:r>
          <w:instrText xml:space="preserve">PAGEREF 9416 \h</w:instrText>
        </w:r>
        <w:r>
          <w:fldChar w:fldCharType="end"/>
        </w:r>
      </w:hyperlink>
    </w:p>
    <w:p>
      <w:pPr>
        <w:tabs>
          <w:tab w:val="right" w:leader="dot" w:pos="9062"/>
        </w:tabs>
        <w:ind w:left="440"/>
      </w:pPr>
      <w:hyperlink w:anchor="_Toc9417" w:history="1">
        <w:r>
          <w:rPr>
            <w:rFonts w:ascii="IRNazanin" w:hAnsi="IRNazanin" w:eastAsia="IRNazanin" w:cs="IRNazanin"/>
            <w:color w:val="111111"/>
            <w:sz w:val="22"/>
            <w:szCs w:val="22"/>
            <w:b w:val="0"/>
            <w:bCs w:val="0"/>
            <w:i w:val="0"/>
            <w:iCs w:val="0"/>
          </w:rPr>
          <w:t>8111- دیوان وحشت هندی‏</w:t>
        </w:r>
        <w:r>
          <w:tab/>
        </w:r>
        <w:r>
          <w:fldChar w:fldCharType="begin"/>
        </w:r>
        <w:r>
          <w:instrText xml:space="preserve">PAGEREF 9417 \h</w:instrText>
        </w:r>
        <w:r>
          <w:fldChar w:fldCharType="end"/>
        </w:r>
      </w:hyperlink>
    </w:p>
    <w:p>
      <w:pPr>
        <w:tabs>
          <w:tab w:val="right" w:leader="dot" w:pos="9062"/>
        </w:tabs>
        <w:ind w:left="440"/>
      </w:pPr>
      <w:hyperlink w:anchor="_Toc9418" w:history="1">
        <w:r>
          <w:rPr>
            <w:rFonts w:ascii="IRNazanin" w:hAnsi="IRNazanin" w:eastAsia="IRNazanin" w:cs="IRNazanin"/>
            <w:color w:val="111111"/>
            <w:sz w:val="22"/>
            <w:szCs w:val="22"/>
            <w:b w:val="0"/>
            <w:bCs w:val="0"/>
            <w:i w:val="0"/>
            <w:iCs w:val="0"/>
          </w:rPr>
          <w:t>8112- دیوان وحشتی آکره‏ای أو شعره‏</w:t>
        </w:r>
        <w:r>
          <w:tab/>
        </w:r>
        <w:r>
          <w:fldChar w:fldCharType="begin"/>
        </w:r>
        <w:r>
          <w:instrText xml:space="preserve">PAGEREF 9418 \h</w:instrText>
        </w:r>
        <w:r>
          <w:fldChar w:fldCharType="end"/>
        </w:r>
      </w:hyperlink>
    </w:p>
    <w:p>
      <w:pPr>
        <w:tabs>
          <w:tab w:val="right" w:leader="dot" w:pos="9062"/>
        </w:tabs>
        <w:ind w:left="440"/>
      </w:pPr>
      <w:hyperlink w:anchor="_Toc9419" w:history="1">
        <w:r>
          <w:rPr>
            <w:rFonts w:ascii="IRNazanin" w:hAnsi="IRNazanin" w:eastAsia="IRNazanin" w:cs="IRNazanin"/>
            <w:color w:val="111111"/>
            <w:sz w:val="22"/>
            <w:szCs w:val="22"/>
            <w:b w:val="0"/>
            <w:bCs w:val="0"/>
            <w:i w:val="0"/>
            <w:iCs w:val="0"/>
          </w:rPr>
          <w:t>8113- دیوان وحشتی جوشقانی أو شعره‏</w:t>
        </w:r>
        <w:r>
          <w:tab/>
        </w:r>
        <w:r>
          <w:fldChar w:fldCharType="begin"/>
        </w:r>
        <w:r>
          <w:instrText xml:space="preserve">PAGEREF 9419 \h</w:instrText>
        </w:r>
        <w:r>
          <w:fldChar w:fldCharType="end"/>
        </w:r>
      </w:hyperlink>
    </w:p>
    <w:p>
      <w:pPr>
        <w:tabs>
          <w:tab w:val="right" w:leader="dot" w:pos="9062"/>
        </w:tabs>
        <w:ind w:left="440"/>
      </w:pPr>
      <w:hyperlink w:anchor="_Toc9420" w:history="1">
        <w:r>
          <w:rPr>
            <w:rFonts w:ascii="IRNazanin" w:hAnsi="IRNazanin" w:eastAsia="IRNazanin" w:cs="IRNazanin"/>
            <w:color w:val="111111"/>
            <w:sz w:val="22"/>
            <w:szCs w:val="22"/>
            <w:b w:val="0"/>
            <w:bCs w:val="0"/>
            <w:i w:val="0"/>
            <w:iCs w:val="0"/>
          </w:rPr>
          <w:t>8114- دیوان وحشتی عظیم‏آبادی‏</w:t>
        </w:r>
        <w:r>
          <w:tab/>
        </w:r>
        <w:r>
          <w:fldChar w:fldCharType="begin"/>
        </w:r>
        <w:r>
          <w:instrText xml:space="preserve">PAGEREF 9420 \h</w:instrText>
        </w:r>
        <w:r>
          <w:fldChar w:fldCharType="end"/>
        </w:r>
      </w:hyperlink>
    </w:p>
    <w:p>
      <w:pPr>
        <w:tabs>
          <w:tab w:val="right" w:leader="dot" w:pos="9062"/>
        </w:tabs>
        <w:ind w:left="440"/>
      </w:pPr>
      <w:hyperlink w:anchor="_Toc9421" w:history="1">
        <w:r>
          <w:rPr>
            <w:rFonts w:ascii="IRNazanin" w:hAnsi="IRNazanin" w:eastAsia="IRNazanin" w:cs="IRNazanin"/>
            <w:color w:val="111111"/>
            <w:sz w:val="22"/>
            <w:szCs w:val="22"/>
            <w:b w:val="0"/>
            <w:bCs w:val="0"/>
            <w:i w:val="0"/>
            <w:iCs w:val="0"/>
          </w:rPr>
          <w:t>8115- دیوان وحشی کاکوروی أو شعره‏</w:t>
        </w:r>
        <w:r>
          <w:tab/>
        </w:r>
        <w:r>
          <w:fldChar w:fldCharType="begin"/>
        </w:r>
        <w:r>
          <w:instrText xml:space="preserve">PAGEREF 9421 \h</w:instrText>
        </w:r>
        <w:r>
          <w:fldChar w:fldCharType="end"/>
        </w:r>
      </w:hyperlink>
    </w:p>
    <w:p>
      <w:pPr>
        <w:tabs>
          <w:tab w:val="right" w:leader="dot" w:pos="9062"/>
        </w:tabs>
        <w:ind w:left="440"/>
      </w:pPr>
      <w:hyperlink w:anchor="_Toc9422" w:history="1">
        <w:r>
          <w:rPr>
            <w:rFonts w:ascii="IRNazanin" w:hAnsi="IRNazanin" w:eastAsia="IRNazanin" w:cs="IRNazanin"/>
            <w:color w:val="111111"/>
            <w:sz w:val="22"/>
            <w:szCs w:val="22"/>
            <w:b w:val="0"/>
            <w:bCs w:val="0"/>
            <w:i w:val="0"/>
            <w:iCs w:val="0"/>
          </w:rPr>
          <w:t>8116- دیوان وحشی البافقی‏</w:t>
        </w:r>
        <w:r>
          <w:tab/>
        </w:r>
        <w:r>
          <w:fldChar w:fldCharType="begin"/>
        </w:r>
        <w:r>
          <w:instrText xml:space="preserve">PAGEREF 9422 \h</w:instrText>
        </w:r>
        <w:r>
          <w:fldChar w:fldCharType="end"/>
        </w:r>
      </w:hyperlink>
    </w:p>
    <w:p>
      <w:pPr>
        <w:tabs>
          <w:tab w:val="right" w:leader="dot" w:pos="9062"/>
        </w:tabs>
        <w:ind w:left="440"/>
      </w:pPr>
      <w:hyperlink w:anchor="_Toc9423" w:history="1">
        <w:r>
          <w:rPr>
            <w:rFonts w:ascii="IRNazanin" w:hAnsi="IRNazanin" w:eastAsia="IRNazanin" w:cs="IRNazanin"/>
            <w:color w:val="111111"/>
            <w:sz w:val="22"/>
            <w:szCs w:val="22"/>
            <w:b w:val="0"/>
            <w:bCs w:val="0"/>
            <w:i w:val="0"/>
            <w:iCs w:val="0"/>
          </w:rPr>
          <w:t>8117- دیوان وحشی بیرجندی‏</w:t>
        </w:r>
        <w:r>
          <w:tab/>
        </w:r>
        <w:r>
          <w:fldChar w:fldCharType="begin"/>
        </w:r>
        <w:r>
          <w:instrText xml:space="preserve">PAGEREF 9423 \h</w:instrText>
        </w:r>
        <w:r>
          <w:fldChar w:fldCharType="end"/>
        </w:r>
      </w:hyperlink>
    </w:p>
    <w:p>
      <w:pPr>
        <w:tabs>
          <w:tab w:val="right" w:leader="dot" w:pos="9062"/>
        </w:tabs>
        <w:ind w:left="440"/>
      </w:pPr>
      <w:hyperlink w:anchor="_Toc9424" w:history="1">
        <w:r>
          <w:rPr>
            <w:rFonts w:ascii="IRNazanin" w:hAnsi="IRNazanin" w:eastAsia="IRNazanin" w:cs="IRNazanin"/>
            <w:color w:val="111111"/>
            <w:sz w:val="22"/>
            <w:szCs w:val="22"/>
            <w:b w:val="0"/>
            <w:bCs w:val="0"/>
            <w:i w:val="0"/>
            <w:iCs w:val="0"/>
          </w:rPr>
          <w:t>8118- دیوان وحشی تبریزی‏</w:t>
        </w:r>
        <w:r>
          <w:tab/>
        </w:r>
        <w:r>
          <w:fldChar w:fldCharType="begin"/>
        </w:r>
        <w:r>
          <w:instrText xml:space="preserve">PAGEREF 9424 \h</w:instrText>
        </w:r>
        <w:r>
          <w:fldChar w:fldCharType="end"/>
        </w:r>
      </w:hyperlink>
    </w:p>
    <w:p>
      <w:pPr>
        <w:tabs>
          <w:tab w:val="right" w:leader="dot" w:pos="9062"/>
        </w:tabs>
        <w:ind w:left="440"/>
      </w:pPr>
      <w:hyperlink w:anchor="_Toc9425" w:history="1">
        <w:r>
          <w:rPr>
            <w:rFonts w:ascii="IRNazanin" w:hAnsi="IRNazanin" w:eastAsia="IRNazanin" w:cs="IRNazanin"/>
            <w:color w:val="111111"/>
            <w:sz w:val="22"/>
            <w:szCs w:val="22"/>
            <w:b w:val="0"/>
            <w:bCs w:val="0"/>
            <w:i w:val="0"/>
            <w:iCs w:val="0"/>
          </w:rPr>
          <w:t>دیوان وحشی جوشقانی‏</w:t>
        </w:r>
        <w:r>
          <w:tab/>
        </w:r>
        <w:r>
          <w:fldChar w:fldCharType="begin"/>
        </w:r>
        <w:r>
          <w:instrText xml:space="preserve">PAGEREF 9425 \h</w:instrText>
        </w:r>
        <w:r>
          <w:fldChar w:fldCharType="end"/>
        </w:r>
      </w:hyperlink>
    </w:p>
    <w:p>
      <w:pPr>
        <w:tabs>
          <w:tab w:val="right" w:leader="dot" w:pos="9062"/>
        </w:tabs>
        <w:ind w:left="440"/>
      </w:pPr>
      <w:hyperlink w:anchor="_Toc9426" w:history="1">
        <w:r>
          <w:rPr>
            <w:rFonts w:ascii="IRNazanin" w:hAnsi="IRNazanin" w:eastAsia="IRNazanin" w:cs="IRNazanin"/>
            <w:color w:val="111111"/>
            <w:sz w:val="22"/>
            <w:szCs w:val="22"/>
            <w:b w:val="0"/>
            <w:bCs w:val="0"/>
            <w:i w:val="0"/>
            <w:iCs w:val="0"/>
          </w:rPr>
          <w:t>8119- دیوان وحشی فرخ‏آبادی أو شعره‏</w:t>
        </w:r>
        <w:r>
          <w:tab/>
        </w:r>
        <w:r>
          <w:fldChar w:fldCharType="begin"/>
        </w:r>
        <w:r>
          <w:instrText xml:space="preserve">PAGEREF 9426 \h</w:instrText>
        </w:r>
        <w:r>
          <w:fldChar w:fldCharType="end"/>
        </w:r>
      </w:hyperlink>
    </w:p>
    <w:p>
      <w:pPr>
        <w:tabs>
          <w:tab w:val="right" w:leader="dot" w:pos="9062"/>
        </w:tabs>
        <w:ind w:left="440"/>
      </w:pPr>
      <w:hyperlink w:anchor="_Toc9427" w:history="1">
        <w:r>
          <w:rPr>
            <w:rFonts w:ascii="IRNazanin" w:hAnsi="IRNazanin" w:eastAsia="IRNazanin" w:cs="IRNazanin"/>
            <w:color w:val="111111"/>
            <w:sz w:val="22"/>
            <w:szCs w:val="22"/>
            <w:b w:val="0"/>
            <w:bCs w:val="0"/>
            <w:i w:val="0"/>
            <w:iCs w:val="0"/>
          </w:rPr>
          <w:t>دیوان وحشی کاشانی‏</w:t>
        </w:r>
        <w:r>
          <w:tab/>
        </w:r>
        <w:r>
          <w:fldChar w:fldCharType="begin"/>
        </w:r>
        <w:r>
          <w:instrText xml:space="preserve">PAGEREF 9427 \h</w:instrText>
        </w:r>
        <w:r>
          <w:fldChar w:fldCharType="end"/>
        </w:r>
      </w:hyperlink>
    </w:p>
    <w:p>
      <w:pPr>
        <w:tabs>
          <w:tab w:val="right" w:leader="dot" w:pos="9062"/>
        </w:tabs>
        <w:ind w:left="440"/>
      </w:pPr>
      <w:hyperlink w:anchor="_Toc9428" w:history="1">
        <w:r>
          <w:rPr>
            <w:rFonts w:ascii="IRNazanin" w:hAnsi="IRNazanin" w:eastAsia="IRNazanin" w:cs="IRNazanin"/>
            <w:color w:val="111111"/>
            <w:sz w:val="22"/>
            <w:szCs w:val="22"/>
            <w:b w:val="0"/>
            <w:bCs w:val="0"/>
            <w:i w:val="0"/>
            <w:iCs w:val="0"/>
          </w:rPr>
          <w:t>8120- دیوان وحید تبریزی‏</w:t>
        </w:r>
        <w:r>
          <w:tab/>
        </w:r>
        <w:r>
          <w:fldChar w:fldCharType="begin"/>
        </w:r>
        <w:r>
          <w:instrText xml:space="preserve">PAGEREF 9428 \h</w:instrText>
        </w:r>
        <w:r>
          <w:fldChar w:fldCharType="end"/>
        </w:r>
      </w:hyperlink>
    </w:p>
    <w:p>
      <w:pPr>
        <w:tabs>
          <w:tab w:val="right" w:leader="dot" w:pos="9062"/>
        </w:tabs>
        <w:ind w:left="440"/>
      </w:pPr>
      <w:hyperlink w:anchor="_Toc9429" w:history="1">
        <w:r>
          <w:rPr>
            <w:rFonts w:ascii="IRNazanin" w:hAnsi="IRNazanin" w:eastAsia="IRNazanin" w:cs="IRNazanin"/>
            <w:color w:val="111111"/>
            <w:sz w:val="22"/>
            <w:szCs w:val="22"/>
            <w:b w:val="0"/>
            <w:bCs w:val="0"/>
            <w:i w:val="0"/>
            <w:iCs w:val="0"/>
          </w:rPr>
          <w:t>8121- دیوان وحید دستگردی‏</w:t>
        </w:r>
        <w:r>
          <w:tab/>
        </w:r>
        <w:r>
          <w:fldChar w:fldCharType="begin"/>
        </w:r>
        <w:r>
          <w:instrText xml:space="preserve">PAGEREF 9429 \h</w:instrText>
        </w:r>
        <w:r>
          <w:fldChar w:fldCharType="end"/>
        </w:r>
      </w:hyperlink>
    </w:p>
    <w:p>
      <w:pPr>
        <w:tabs>
          <w:tab w:val="right" w:leader="dot" w:pos="9062"/>
        </w:tabs>
        <w:ind w:left="440"/>
      </w:pPr>
      <w:hyperlink w:anchor="_Toc9430" w:history="1">
        <w:r>
          <w:rPr>
            <w:rFonts w:ascii="IRNazanin" w:hAnsi="IRNazanin" w:eastAsia="IRNazanin" w:cs="IRNazanin"/>
            <w:color w:val="111111"/>
            <w:sz w:val="22"/>
            <w:szCs w:val="22"/>
            <w:b w:val="0"/>
            <w:bCs w:val="0"/>
            <w:i w:val="0"/>
            <w:iCs w:val="0"/>
          </w:rPr>
          <w:t>8122- دیوان وحید فارسی‏</w:t>
        </w:r>
        <w:r>
          <w:tab/>
        </w:r>
        <w:r>
          <w:fldChar w:fldCharType="begin"/>
        </w:r>
        <w:r>
          <w:instrText xml:space="preserve">PAGEREF 9430 \h</w:instrText>
        </w:r>
        <w:r>
          <w:fldChar w:fldCharType="end"/>
        </w:r>
      </w:hyperlink>
    </w:p>
    <w:p>
      <w:pPr>
        <w:tabs>
          <w:tab w:val="right" w:leader="dot" w:pos="9062"/>
        </w:tabs>
        <w:ind w:left="440"/>
      </w:pPr>
      <w:hyperlink w:anchor="_Toc9431" w:history="1">
        <w:r>
          <w:rPr>
            <w:rFonts w:ascii="IRNazanin" w:hAnsi="IRNazanin" w:eastAsia="IRNazanin" w:cs="IRNazanin"/>
            <w:color w:val="111111"/>
            <w:sz w:val="22"/>
            <w:szCs w:val="22"/>
            <w:b w:val="0"/>
            <w:bCs w:val="0"/>
            <w:i w:val="0"/>
            <w:iCs w:val="0"/>
          </w:rPr>
          <w:t>8123- دیوان وحید قزوینی‏</w:t>
        </w:r>
        <w:r>
          <w:tab/>
        </w:r>
        <w:r>
          <w:fldChar w:fldCharType="begin"/>
        </w:r>
        <w:r>
          <w:instrText xml:space="preserve">PAGEREF 9431 \h</w:instrText>
        </w:r>
        <w:r>
          <w:fldChar w:fldCharType="end"/>
        </w:r>
      </w:hyperlink>
    </w:p>
    <w:p>
      <w:pPr>
        <w:tabs>
          <w:tab w:val="right" w:leader="dot" w:pos="9062"/>
        </w:tabs>
        <w:ind w:left="440"/>
      </w:pPr>
      <w:hyperlink w:anchor="_Toc9432" w:history="1">
        <w:r>
          <w:rPr>
            <w:rFonts w:ascii="IRNazanin" w:hAnsi="IRNazanin" w:eastAsia="IRNazanin" w:cs="IRNazanin"/>
            <w:color w:val="111111"/>
            <w:sz w:val="22"/>
            <w:szCs w:val="22"/>
            <w:b w:val="0"/>
            <w:bCs w:val="0"/>
            <w:i w:val="0"/>
            <w:iCs w:val="0"/>
          </w:rPr>
          <w:t>8124- دیوان وحید کلکته‏ای‏</w:t>
        </w:r>
        <w:r>
          <w:tab/>
        </w:r>
        <w:r>
          <w:fldChar w:fldCharType="begin"/>
        </w:r>
        <w:r>
          <w:instrText xml:space="preserve">PAGEREF 9432 \h</w:instrText>
        </w:r>
        <w:r>
          <w:fldChar w:fldCharType="end"/>
        </w:r>
      </w:hyperlink>
    </w:p>
    <w:p>
      <w:pPr>
        <w:tabs>
          <w:tab w:val="right" w:leader="dot" w:pos="9062"/>
        </w:tabs>
        <w:ind w:left="440"/>
      </w:pPr>
      <w:hyperlink w:anchor="_Toc9433" w:history="1">
        <w:r>
          <w:rPr>
            <w:rFonts w:ascii="IRNazanin" w:hAnsi="IRNazanin" w:eastAsia="IRNazanin" w:cs="IRNazanin"/>
            <w:color w:val="111111"/>
            <w:sz w:val="22"/>
            <w:szCs w:val="22"/>
            <w:b w:val="0"/>
            <w:bCs w:val="0"/>
            <w:i w:val="0"/>
            <w:iCs w:val="0"/>
          </w:rPr>
          <w:t>8125- دیوان وحیدی قمی أو شعره‏</w:t>
        </w:r>
        <w:r>
          <w:tab/>
        </w:r>
        <w:r>
          <w:fldChar w:fldCharType="begin"/>
        </w:r>
        <w:r>
          <w:instrText xml:space="preserve">PAGEREF 9433 \h</w:instrText>
        </w:r>
        <w:r>
          <w:fldChar w:fldCharType="end"/>
        </w:r>
      </w:hyperlink>
    </w:p>
    <w:p>
      <w:pPr>
        <w:tabs>
          <w:tab w:val="right" w:leader="dot" w:pos="9062"/>
        </w:tabs>
        <w:ind w:left="440"/>
      </w:pPr>
      <w:hyperlink w:anchor="_Toc9434" w:history="1">
        <w:r>
          <w:rPr>
            <w:rFonts w:ascii="IRNazanin" w:hAnsi="IRNazanin" w:eastAsia="IRNazanin" w:cs="IRNazanin"/>
            <w:color w:val="111111"/>
            <w:sz w:val="22"/>
            <w:szCs w:val="22"/>
            <w:b w:val="0"/>
            <w:bCs w:val="0"/>
            <w:i w:val="0"/>
            <w:iCs w:val="0"/>
          </w:rPr>
          <w:t>8126- دیوان وداد دهلوی أو شعره‏</w:t>
        </w:r>
        <w:r>
          <w:tab/>
        </w:r>
        <w:r>
          <w:fldChar w:fldCharType="begin"/>
        </w:r>
        <w:r>
          <w:instrText xml:space="preserve">PAGEREF 9434 \h</w:instrText>
        </w:r>
        <w:r>
          <w:fldChar w:fldCharType="end"/>
        </w:r>
      </w:hyperlink>
    </w:p>
    <w:p>
      <w:pPr>
        <w:tabs>
          <w:tab w:val="right" w:leader="dot" w:pos="9062"/>
        </w:tabs>
        <w:ind w:left="440"/>
      </w:pPr>
      <w:hyperlink w:anchor="_Toc9435" w:history="1">
        <w:r>
          <w:rPr>
            <w:rFonts w:ascii="IRNazanin" w:hAnsi="IRNazanin" w:eastAsia="IRNazanin" w:cs="IRNazanin"/>
            <w:color w:val="111111"/>
            <w:sz w:val="22"/>
            <w:szCs w:val="22"/>
            <w:b w:val="0"/>
            <w:bCs w:val="0"/>
            <w:i w:val="0"/>
            <w:iCs w:val="0"/>
          </w:rPr>
          <w:t>8127- دیوان وداعی بلخی أو شعره‏</w:t>
        </w:r>
        <w:r>
          <w:tab/>
        </w:r>
        <w:r>
          <w:fldChar w:fldCharType="begin"/>
        </w:r>
        <w:r>
          <w:instrText xml:space="preserve">PAGEREF 9435 \h</w:instrText>
        </w:r>
        <w:r>
          <w:fldChar w:fldCharType="end"/>
        </w:r>
      </w:hyperlink>
    </w:p>
    <w:p>
      <w:pPr>
        <w:tabs>
          <w:tab w:val="right" w:leader="dot" w:pos="9062"/>
        </w:tabs>
        <w:ind w:left="440"/>
      </w:pPr>
      <w:hyperlink w:anchor="_Toc9436" w:history="1">
        <w:r>
          <w:rPr>
            <w:rFonts w:ascii="IRNazanin" w:hAnsi="IRNazanin" w:eastAsia="IRNazanin" w:cs="IRNazanin"/>
            <w:color w:val="111111"/>
            <w:sz w:val="22"/>
            <w:szCs w:val="22"/>
            <w:b w:val="0"/>
            <w:bCs w:val="0"/>
            <w:i w:val="0"/>
            <w:iCs w:val="0"/>
          </w:rPr>
          <w:t>8128- دیوان وزیر بلگرامی أو شعره‏</w:t>
        </w:r>
        <w:r>
          <w:tab/>
        </w:r>
        <w:r>
          <w:fldChar w:fldCharType="begin"/>
        </w:r>
        <w:r>
          <w:instrText xml:space="preserve">PAGEREF 9436 \h</w:instrText>
        </w:r>
        <w:r>
          <w:fldChar w:fldCharType="end"/>
        </w:r>
      </w:hyperlink>
    </w:p>
    <w:p>
      <w:pPr>
        <w:tabs>
          <w:tab w:val="right" w:leader="dot" w:pos="9062"/>
        </w:tabs>
        <w:ind w:left="440"/>
      </w:pPr>
      <w:hyperlink w:anchor="_Toc9437" w:history="1">
        <w:r>
          <w:rPr>
            <w:rFonts w:ascii="IRNazanin" w:hAnsi="IRNazanin" w:eastAsia="IRNazanin" w:cs="IRNazanin"/>
            <w:color w:val="111111"/>
            <w:sz w:val="22"/>
            <w:szCs w:val="22"/>
            <w:b w:val="0"/>
            <w:bCs w:val="0"/>
            <w:i w:val="0"/>
            <w:iCs w:val="0"/>
          </w:rPr>
          <w:t>8129- دیوان وزیر شاه‏جهان‏آبادی أو شعرها</w:t>
        </w:r>
        <w:r>
          <w:tab/>
        </w:r>
        <w:r>
          <w:fldChar w:fldCharType="begin"/>
        </w:r>
        <w:r>
          <w:instrText xml:space="preserve">PAGEREF 9437 \h</w:instrText>
        </w:r>
        <w:r>
          <w:fldChar w:fldCharType="end"/>
        </w:r>
      </w:hyperlink>
    </w:p>
    <w:p>
      <w:pPr>
        <w:tabs>
          <w:tab w:val="right" w:leader="dot" w:pos="9062"/>
        </w:tabs>
        <w:ind w:left="440"/>
      </w:pPr>
      <w:hyperlink w:anchor="_Toc9438" w:history="1">
        <w:r>
          <w:rPr>
            <w:rFonts w:ascii="IRNazanin" w:hAnsi="IRNazanin" w:eastAsia="IRNazanin" w:cs="IRNazanin"/>
            <w:color w:val="111111"/>
            <w:sz w:val="22"/>
            <w:szCs w:val="22"/>
            <w:b w:val="0"/>
            <w:bCs w:val="0"/>
            <w:i w:val="0"/>
            <w:iCs w:val="0"/>
          </w:rPr>
          <w:t>8130- دیوان وزیر لکهنوی‏</w:t>
        </w:r>
        <w:r>
          <w:tab/>
        </w:r>
        <w:r>
          <w:fldChar w:fldCharType="begin"/>
        </w:r>
        <w:r>
          <w:instrText xml:space="preserve">PAGEREF 9438 \h</w:instrText>
        </w:r>
        <w:r>
          <w:fldChar w:fldCharType="end"/>
        </w:r>
      </w:hyperlink>
    </w:p>
    <w:p>
      <w:pPr>
        <w:tabs>
          <w:tab w:val="right" w:leader="dot" w:pos="9062"/>
        </w:tabs>
        <w:ind w:left="440"/>
      </w:pPr>
      <w:hyperlink w:anchor="_Toc9439" w:history="1">
        <w:r>
          <w:rPr>
            <w:rFonts w:ascii="IRNazanin" w:hAnsi="IRNazanin" w:eastAsia="IRNazanin" w:cs="IRNazanin"/>
            <w:color w:val="111111"/>
            <w:sz w:val="22"/>
            <w:szCs w:val="22"/>
            <w:b w:val="0"/>
            <w:bCs w:val="0"/>
            <w:i w:val="0"/>
            <w:iCs w:val="0"/>
          </w:rPr>
          <w:t>8131- دیوان الوزیر المغربی‏</w:t>
        </w:r>
        <w:r>
          <w:tab/>
        </w:r>
        <w:r>
          <w:fldChar w:fldCharType="begin"/>
        </w:r>
        <w:r>
          <w:instrText xml:space="preserve">PAGEREF 9439 \h</w:instrText>
        </w:r>
        <w:r>
          <w:fldChar w:fldCharType="end"/>
        </w:r>
      </w:hyperlink>
    </w:p>
    <w:p>
      <w:pPr>
        <w:tabs>
          <w:tab w:val="right" w:leader="dot" w:pos="9062"/>
        </w:tabs>
        <w:ind w:left="440"/>
      </w:pPr>
      <w:hyperlink w:anchor="_Toc9440" w:history="1">
        <w:r>
          <w:rPr>
            <w:rFonts w:ascii="IRNazanin" w:hAnsi="IRNazanin" w:eastAsia="IRNazanin" w:cs="IRNazanin"/>
            <w:color w:val="111111"/>
            <w:sz w:val="22"/>
            <w:szCs w:val="22"/>
            <w:b w:val="0"/>
            <w:bCs w:val="0"/>
            <w:i w:val="0"/>
            <w:iCs w:val="0"/>
          </w:rPr>
          <w:t>8132- دیوان وسعت سرهندی أو شعره‏</w:t>
        </w:r>
        <w:r>
          <w:tab/>
        </w:r>
        <w:r>
          <w:fldChar w:fldCharType="begin"/>
        </w:r>
        <w:r>
          <w:instrText xml:space="preserve">PAGEREF 9440 \h</w:instrText>
        </w:r>
        <w:r>
          <w:fldChar w:fldCharType="end"/>
        </w:r>
      </w:hyperlink>
    </w:p>
    <w:p>
      <w:pPr>
        <w:tabs>
          <w:tab w:val="right" w:leader="dot" w:pos="9062"/>
        </w:tabs>
        <w:ind w:left="440"/>
      </w:pPr>
      <w:hyperlink w:anchor="_Toc9441" w:history="1">
        <w:r>
          <w:rPr>
            <w:rFonts w:ascii="IRNazanin" w:hAnsi="IRNazanin" w:eastAsia="IRNazanin" w:cs="IRNazanin"/>
            <w:color w:val="111111"/>
            <w:sz w:val="22"/>
            <w:szCs w:val="22"/>
            <w:b w:val="0"/>
            <w:bCs w:val="0"/>
            <w:i w:val="0"/>
            <w:iCs w:val="0"/>
          </w:rPr>
          <w:t>دیوان وصاف شیرازی‏</w:t>
        </w:r>
        <w:r>
          <w:tab/>
        </w:r>
        <w:r>
          <w:fldChar w:fldCharType="begin"/>
        </w:r>
        <w:r>
          <w:instrText xml:space="preserve">PAGEREF 9441 \h</w:instrText>
        </w:r>
        <w:r>
          <w:fldChar w:fldCharType="end"/>
        </w:r>
      </w:hyperlink>
    </w:p>
    <w:p>
      <w:pPr>
        <w:tabs>
          <w:tab w:val="right" w:leader="dot" w:pos="9062"/>
        </w:tabs>
        <w:ind w:left="440"/>
      </w:pPr>
      <w:hyperlink w:anchor="_Toc9442" w:history="1">
        <w:r>
          <w:rPr>
            <w:rFonts w:ascii="IRNazanin" w:hAnsi="IRNazanin" w:eastAsia="IRNazanin" w:cs="IRNazanin"/>
            <w:color w:val="111111"/>
            <w:sz w:val="22"/>
            <w:szCs w:val="22"/>
            <w:b w:val="0"/>
            <w:bCs w:val="0"/>
            <w:i w:val="0"/>
            <w:iCs w:val="0"/>
          </w:rPr>
          <w:t>8133- دیوان وصاف قاجار أو شعره‏</w:t>
        </w:r>
        <w:r>
          <w:tab/>
        </w:r>
        <w:r>
          <w:fldChar w:fldCharType="begin"/>
        </w:r>
        <w:r>
          <w:instrText xml:space="preserve">PAGEREF 9442 \h</w:instrText>
        </w:r>
        <w:r>
          <w:fldChar w:fldCharType="end"/>
        </w:r>
      </w:hyperlink>
    </w:p>
    <w:p>
      <w:pPr>
        <w:tabs>
          <w:tab w:val="right" w:leader="dot" w:pos="9062"/>
        </w:tabs>
        <w:ind w:left="440"/>
      </w:pPr>
      <w:hyperlink w:anchor="_Toc9443" w:history="1">
        <w:r>
          <w:rPr>
            <w:rFonts w:ascii="IRNazanin" w:hAnsi="IRNazanin" w:eastAsia="IRNazanin" w:cs="IRNazanin"/>
            <w:color w:val="111111"/>
            <w:sz w:val="22"/>
            <w:szCs w:val="22"/>
            <w:b w:val="0"/>
            <w:bCs w:val="0"/>
            <w:i w:val="0"/>
            <w:iCs w:val="0"/>
          </w:rPr>
          <w:t>8134- دیوان وصال شیرازی‏</w:t>
        </w:r>
        <w:r>
          <w:tab/>
        </w:r>
        <w:r>
          <w:fldChar w:fldCharType="begin"/>
        </w:r>
        <w:r>
          <w:instrText xml:space="preserve">PAGEREF 9443 \h</w:instrText>
        </w:r>
        <w:r>
          <w:fldChar w:fldCharType="end"/>
        </w:r>
      </w:hyperlink>
    </w:p>
    <w:p>
      <w:pPr>
        <w:tabs>
          <w:tab w:val="right" w:leader="dot" w:pos="9062"/>
        </w:tabs>
        <w:ind w:left="440"/>
      </w:pPr>
      <w:hyperlink w:anchor="_Toc9444" w:history="1">
        <w:r>
          <w:rPr>
            <w:rFonts w:ascii="IRNazanin" w:hAnsi="IRNazanin" w:eastAsia="IRNazanin" w:cs="IRNazanin"/>
            <w:color w:val="111111"/>
            <w:sz w:val="22"/>
            <w:szCs w:val="22"/>
            <w:b w:val="0"/>
            <w:bCs w:val="0"/>
            <w:i w:val="0"/>
            <w:iCs w:val="0"/>
          </w:rPr>
          <w:t>8135- دیوان وصالی تبریزی أو شعره‏</w:t>
        </w:r>
        <w:r>
          <w:tab/>
        </w:r>
        <w:r>
          <w:fldChar w:fldCharType="begin"/>
        </w:r>
        <w:r>
          <w:instrText xml:space="preserve">PAGEREF 9444 \h</w:instrText>
        </w:r>
        <w:r>
          <w:fldChar w:fldCharType="end"/>
        </w:r>
      </w:hyperlink>
    </w:p>
    <w:p>
      <w:pPr>
        <w:tabs>
          <w:tab w:val="right" w:leader="dot" w:pos="9062"/>
        </w:tabs>
        <w:ind w:left="440"/>
      </w:pPr>
      <w:hyperlink w:anchor="_Toc9445" w:history="1">
        <w:r>
          <w:rPr>
            <w:rFonts w:ascii="IRNazanin" w:hAnsi="IRNazanin" w:eastAsia="IRNazanin" w:cs="IRNazanin"/>
            <w:color w:val="111111"/>
            <w:sz w:val="22"/>
            <w:szCs w:val="22"/>
            <w:b w:val="0"/>
            <w:bCs w:val="0"/>
            <w:i w:val="0"/>
            <w:iCs w:val="0"/>
          </w:rPr>
          <w:t>8136- دیوان وصالی تونی أو شعره‏</w:t>
        </w:r>
        <w:r>
          <w:tab/>
        </w:r>
        <w:r>
          <w:fldChar w:fldCharType="begin"/>
        </w:r>
        <w:r>
          <w:instrText xml:space="preserve">PAGEREF 9445 \h</w:instrText>
        </w:r>
        <w:r>
          <w:fldChar w:fldCharType="end"/>
        </w:r>
      </w:hyperlink>
    </w:p>
    <w:p>
      <w:pPr>
        <w:tabs>
          <w:tab w:val="right" w:leader="dot" w:pos="9062"/>
        </w:tabs>
        <w:ind w:left="440"/>
      </w:pPr>
      <w:hyperlink w:anchor="_Toc9446" w:history="1">
        <w:r>
          <w:rPr>
            <w:rFonts w:ascii="IRNazanin" w:hAnsi="IRNazanin" w:eastAsia="IRNazanin" w:cs="IRNazanin"/>
            <w:color w:val="111111"/>
            <w:sz w:val="22"/>
            <w:szCs w:val="22"/>
            <w:b w:val="0"/>
            <w:bCs w:val="0"/>
            <w:i w:val="0"/>
            <w:iCs w:val="0"/>
          </w:rPr>
          <w:t>8137- دیوان وصالی رازی‏</w:t>
        </w:r>
        <w:r>
          <w:tab/>
        </w:r>
        <w:r>
          <w:fldChar w:fldCharType="begin"/>
        </w:r>
        <w:r>
          <w:instrText xml:space="preserve">PAGEREF 9446 \h</w:instrText>
        </w:r>
        <w:r>
          <w:fldChar w:fldCharType="end"/>
        </w:r>
      </w:hyperlink>
    </w:p>
    <w:p>
      <w:pPr>
        <w:tabs>
          <w:tab w:val="right" w:leader="dot" w:pos="9062"/>
        </w:tabs>
        <w:ind w:left="440"/>
      </w:pPr>
      <w:hyperlink w:anchor="_Toc9447" w:history="1">
        <w:r>
          <w:rPr>
            <w:rFonts w:ascii="IRNazanin" w:hAnsi="IRNazanin" w:eastAsia="IRNazanin" w:cs="IRNazanin"/>
            <w:color w:val="111111"/>
            <w:sz w:val="22"/>
            <w:szCs w:val="22"/>
            <w:b w:val="0"/>
            <w:bCs w:val="0"/>
            <w:i w:val="0"/>
            <w:iCs w:val="0"/>
          </w:rPr>
          <w:t>دیوان وصالی طبسی‏</w:t>
        </w:r>
        <w:r>
          <w:tab/>
        </w:r>
        <w:r>
          <w:fldChar w:fldCharType="begin"/>
        </w:r>
        <w:r>
          <w:instrText xml:space="preserve">PAGEREF 9447 \h</w:instrText>
        </w:r>
        <w:r>
          <w:fldChar w:fldCharType="end"/>
        </w:r>
      </w:hyperlink>
    </w:p>
    <w:p>
      <w:pPr>
        <w:tabs>
          <w:tab w:val="right" w:leader="dot" w:pos="9062"/>
        </w:tabs>
        <w:ind w:left="440"/>
      </w:pPr>
      <w:hyperlink w:anchor="_Toc9448" w:history="1">
        <w:r>
          <w:rPr>
            <w:rFonts w:ascii="IRNazanin" w:hAnsi="IRNazanin" w:eastAsia="IRNazanin" w:cs="IRNazanin"/>
            <w:color w:val="111111"/>
            <w:sz w:val="22"/>
            <w:szCs w:val="22"/>
            <w:b w:val="0"/>
            <w:bCs w:val="0"/>
            <w:i w:val="0"/>
            <w:iCs w:val="0"/>
          </w:rPr>
          <w:t>دیوان وصالی کاشانی‏</w:t>
        </w:r>
        <w:r>
          <w:tab/>
        </w:r>
        <w:r>
          <w:fldChar w:fldCharType="begin"/>
        </w:r>
        <w:r>
          <w:instrText xml:space="preserve">PAGEREF 9448 \h</w:instrText>
        </w:r>
        <w:r>
          <w:fldChar w:fldCharType="end"/>
        </w:r>
      </w:hyperlink>
    </w:p>
    <w:p>
      <w:pPr>
        <w:tabs>
          <w:tab w:val="right" w:leader="dot" w:pos="9062"/>
        </w:tabs>
        <w:ind w:left="440"/>
      </w:pPr>
      <w:hyperlink w:anchor="_Toc9449" w:history="1">
        <w:r>
          <w:rPr>
            <w:rFonts w:ascii="IRNazanin" w:hAnsi="IRNazanin" w:eastAsia="IRNazanin" w:cs="IRNazanin"/>
            <w:color w:val="111111"/>
            <w:sz w:val="22"/>
            <w:szCs w:val="22"/>
            <w:b w:val="0"/>
            <w:bCs w:val="0"/>
            <w:i w:val="0"/>
            <w:iCs w:val="0"/>
          </w:rPr>
          <w:t>8138- دیوان وصالی مازندرانی‏</w:t>
        </w:r>
        <w:r>
          <w:tab/>
        </w:r>
        <w:r>
          <w:fldChar w:fldCharType="begin"/>
        </w:r>
        <w:r>
          <w:instrText xml:space="preserve">PAGEREF 9449 \h</w:instrText>
        </w:r>
        <w:r>
          <w:fldChar w:fldCharType="end"/>
        </w:r>
      </w:hyperlink>
    </w:p>
    <w:p>
      <w:pPr>
        <w:tabs>
          <w:tab w:val="right" w:leader="dot" w:pos="9062"/>
        </w:tabs>
        <w:ind w:left="440"/>
      </w:pPr>
      <w:hyperlink w:anchor="_Toc9450" w:history="1">
        <w:r>
          <w:rPr>
            <w:rFonts w:ascii="IRNazanin" w:hAnsi="IRNazanin" w:eastAsia="IRNazanin" w:cs="IRNazanin"/>
            <w:color w:val="111111"/>
            <w:sz w:val="22"/>
            <w:szCs w:val="22"/>
            <w:b w:val="0"/>
            <w:bCs w:val="0"/>
            <w:i w:val="0"/>
            <w:iCs w:val="0"/>
          </w:rPr>
          <w:t>8139- دیوان وصفی أصفهانی أو شعره‏</w:t>
        </w:r>
        <w:r>
          <w:tab/>
        </w:r>
        <w:r>
          <w:fldChar w:fldCharType="begin"/>
        </w:r>
        <w:r>
          <w:instrText xml:space="preserve">PAGEREF 9450 \h</w:instrText>
        </w:r>
        <w:r>
          <w:fldChar w:fldCharType="end"/>
        </w:r>
      </w:hyperlink>
    </w:p>
    <w:p>
      <w:pPr>
        <w:tabs>
          <w:tab w:val="right" w:leader="dot" w:pos="9062"/>
        </w:tabs>
        <w:ind w:left="440"/>
      </w:pPr>
      <w:hyperlink w:anchor="_Toc9451" w:history="1">
        <w:r>
          <w:rPr>
            <w:rFonts w:ascii="IRNazanin" w:hAnsi="IRNazanin" w:eastAsia="IRNazanin" w:cs="IRNazanin"/>
            <w:color w:val="111111"/>
            <w:sz w:val="22"/>
            <w:szCs w:val="22"/>
            <w:b w:val="0"/>
            <w:bCs w:val="0"/>
            <w:i w:val="0"/>
            <w:iCs w:val="0"/>
          </w:rPr>
          <w:t>8140- دیوان وصفی سمرقندی أو شعره‏</w:t>
        </w:r>
        <w:r>
          <w:tab/>
        </w:r>
        <w:r>
          <w:fldChar w:fldCharType="begin"/>
        </w:r>
        <w:r>
          <w:instrText xml:space="preserve">PAGEREF 9451 \h</w:instrText>
        </w:r>
        <w:r>
          <w:fldChar w:fldCharType="end"/>
        </w:r>
      </w:hyperlink>
    </w:p>
    <w:p>
      <w:pPr>
        <w:tabs>
          <w:tab w:val="right" w:leader="dot" w:pos="9062"/>
        </w:tabs>
        <w:ind w:left="440"/>
      </w:pPr>
      <w:hyperlink w:anchor="_Toc9452" w:history="1">
        <w:r>
          <w:rPr>
            <w:rFonts w:ascii="IRNazanin" w:hAnsi="IRNazanin" w:eastAsia="IRNazanin" w:cs="IRNazanin"/>
            <w:color w:val="111111"/>
            <w:sz w:val="22"/>
            <w:szCs w:val="22"/>
            <w:b w:val="0"/>
            <w:bCs w:val="0"/>
            <w:i w:val="0"/>
            <w:iCs w:val="0"/>
          </w:rPr>
          <w:t>8141- دیوان وصفی کرمانی‏</w:t>
        </w:r>
        <w:r>
          <w:tab/>
        </w:r>
        <w:r>
          <w:fldChar w:fldCharType="begin"/>
        </w:r>
        <w:r>
          <w:instrText xml:space="preserve">PAGEREF 9452 \h</w:instrText>
        </w:r>
        <w:r>
          <w:fldChar w:fldCharType="end"/>
        </w:r>
      </w:hyperlink>
    </w:p>
    <w:p>
      <w:pPr>
        <w:tabs>
          <w:tab w:val="right" w:leader="dot" w:pos="9062"/>
        </w:tabs>
        <w:ind w:left="440"/>
      </w:pPr>
      <w:hyperlink w:anchor="_Toc9453" w:history="1">
        <w:r>
          <w:rPr>
            <w:rFonts w:ascii="IRNazanin" w:hAnsi="IRNazanin" w:eastAsia="IRNazanin" w:cs="IRNazanin"/>
            <w:color w:val="111111"/>
            <w:sz w:val="22"/>
            <w:szCs w:val="22"/>
            <w:b w:val="0"/>
            <w:bCs w:val="0"/>
            <w:i w:val="0"/>
            <w:iCs w:val="0"/>
          </w:rPr>
          <w:t>8142- دیوان وصفی ورامینی أو شعره‏</w:t>
        </w:r>
        <w:r>
          <w:tab/>
        </w:r>
        <w:r>
          <w:fldChar w:fldCharType="begin"/>
        </w:r>
        <w:r>
          <w:instrText xml:space="preserve">PAGEREF 9453 \h</w:instrText>
        </w:r>
        <w:r>
          <w:fldChar w:fldCharType="end"/>
        </w:r>
      </w:hyperlink>
    </w:p>
    <w:p>
      <w:pPr>
        <w:tabs>
          <w:tab w:val="right" w:leader="dot" w:pos="9062"/>
        </w:tabs>
        <w:ind w:left="440"/>
      </w:pPr>
      <w:hyperlink w:anchor="_Toc9454" w:history="1">
        <w:r>
          <w:rPr>
            <w:rFonts w:ascii="IRNazanin" w:hAnsi="IRNazanin" w:eastAsia="IRNazanin" w:cs="IRNazanin"/>
            <w:color w:val="111111"/>
            <w:sz w:val="22"/>
            <w:szCs w:val="22"/>
            <w:b w:val="0"/>
            <w:bCs w:val="0"/>
            <w:i w:val="0"/>
            <w:iCs w:val="0"/>
          </w:rPr>
          <w:t>8143- دیوان وصفی هروی أو شعره‏</w:t>
        </w:r>
        <w:r>
          <w:tab/>
        </w:r>
        <w:r>
          <w:fldChar w:fldCharType="begin"/>
        </w:r>
        <w:r>
          <w:instrText xml:space="preserve">PAGEREF 9454 \h</w:instrText>
        </w:r>
        <w:r>
          <w:fldChar w:fldCharType="end"/>
        </w:r>
      </w:hyperlink>
    </w:p>
    <w:p>
      <w:pPr>
        <w:tabs>
          <w:tab w:val="right" w:leader="dot" w:pos="9062"/>
        </w:tabs>
        <w:ind w:left="440"/>
      </w:pPr>
      <w:hyperlink w:anchor="_Toc9455" w:history="1">
        <w:r>
          <w:rPr>
            <w:rFonts w:ascii="IRNazanin" w:hAnsi="IRNazanin" w:eastAsia="IRNazanin" w:cs="IRNazanin"/>
            <w:color w:val="111111"/>
            <w:sz w:val="22"/>
            <w:szCs w:val="22"/>
            <w:b w:val="0"/>
            <w:bCs w:val="0"/>
            <w:i w:val="0"/>
            <w:iCs w:val="0"/>
          </w:rPr>
          <w:t>8144- دیوان وصلی أصفهانی أو شعره‏</w:t>
        </w:r>
        <w:r>
          <w:tab/>
        </w:r>
        <w:r>
          <w:fldChar w:fldCharType="begin"/>
        </w:r>
        <w:r>
          <w:instrText xml:space="preserve">PAGEREF 9455 \h</w:instrText>
        </w:r>
        <w:r>
          <w:fldChar w:fldCharType="end"/>
        </w:r>
      </w:hyperlink>
    </w:p>
    <w:p>
      <w:pPr>
        <w:tabs>
          <w:tab w:val="right" w:leader="dot" w:pos="9062"/>
        </w:tabs>
        <w:ind w:left="440"/>
      </w:pPr>
      <w:hyperlink w:anchor="_Toc9456" w:history="1">
        <w:r>
          <w:rPr>
            <w:rFonts w:ascii="IRNazanin" w:hAnsi="IRNazanin" w:eastAsia="IRNazanin" w:cs="IRNazanin"/>
            <w:color w:val="111111"/>
            <w:sz w:val="22"/>
            <w:szCs w:val="22"/>
            <w:b w:val="0"/>
            <w:bCs w:val="0"/>
            <w:i w:val="0"/>
            <w:iCs w:val="0"/>
          </w:rPr>
          <w:t>8145- دیوان وصلی تبریزی أو شعره‏</w:t>
        </w:r>
        <w:r>
          <w:tab/>
        </w:r>
        <w:r>
          <w:fldChar w:fldCharType="begin"/>
        </w:r>
        <w:r>
          <w:instrText xml:space="preserve">PAGEREF 9456 \h</w:instrText>
        </w:r>
        <w:r>
          <w:fldChar w:fldCharType="end"/>
        </w:r>
      </w:hyperlink>
    </w:p>
    <w:p>
      <w:pPr>
        <w:tabs>
          <w:tab w:val="right" w:leader="dot" w:pos="9062"/>
        </w:tabs>
        <w:ind w:left="440"/>
      </w:pPr>
      <w:hyperlink w:anchor="_Toc9457" w:history="1">
        <w:r>
          <w:rPr>
            <w:rFonts w:ascii="IRNazanin" w:hAnsi="IRNazanin" w:eastAsia="IRNazanin" w:cs="IRNazanin"/>
            <w:color w:val="111111"/>
            <w:sz w:val="22"/>
            <w:szCs w:val="22"/>
            <w:b w:val="0"/>
            <w:bCs w:val="0"/>
            <w:i w:val="0"/>
            <w:iCs w:val="0"/>
          </w:rPr>
          <w:t>8146- دیوان وصلی سارانی أو شعره‏</w:t>
        </w:r>
        <w:r>
          <w:tab/>
        </w:r>
        <w:r>
          <w:fldChar w:fldCharType="begin"/>
        </w:r>
        <w:r>
          <w:instrText xml:space="preserve">PAGEREF 9457 \h</w:instrText>
        </w:r>
        <w:r>
          <w:fldChar w:fldCharType="end"/>
        </w:r>
      </w:hyperlink>
    </w:p>
    <w:p>
      <w:pPr>
        <w:tabs>
          <w:tab w:val="right" w:leader="dot" w:pos="9062"/>
        </w:tabs>
        <w:ind w:left="440"/>
      </w:pPr>
      <w:hyperlink w:anchor="_Toc9458" w:history="1">
        <w:r>
          <w:rPr>
            <w:rFonts w:ascii="IRNazanin" w:hAnsi="IRNazanin" w:eastAsia="IRNazanin" w:cs="IRNazanin"/>
            <w:color w:val="111111"/>
            <w:sz w:val="22"/>
            <w:szCs w:val="22"/>
            <w:b w:val="0"/>
            <w:bCs w:val="0"/>
            <w:i w:val="0"/>
            <w:iCs w:val="0"/>
          </w:rPr>
          <w:t>8147- دیوان وصلی شیرازی‏</w:t>
        </w:r>
        <w:r>
          <w:tab/>
        </w:r>
        <w:r>
          <w:fldChar w:fldCharType="begin"/>
        </w:r>
        <w:r>
          <w:instrText xml:space="preserve">PAGEREF 9458 \h</w:instrText>
        </w:r>
        <w:r>
          <w:fldChar w:fldCharType="end"/>
        </w:r>
      </w:hyperlink>
    </w:p>
    <w:p>
      <w:pPr>
        <w:tabs>
          <w:tab w:val="right" w:leader="dot" w:pos="9062"/>
        </w:tabs>
        <w:ind w:left="440"/>
      </w:pPr>
      <w:hyperlink w:anchor="_Toc9459" w:history="1">
        <w:r>
          <w:rPr>
            <w:rFonts w:ascii="IRNazanin" w:hAnsi="IRNazanin" w:eastAsia="IRNazanin" w:cs="IRNazanin"/>
            <w:color w:val="111111"/>
            <w:sz w:val="22"/>
            <w:szCs w:val="22"/>
            <w:b w:val="0"/>
            <w:bCs w:val="0"/>
            <w:i w:val="0"/>
            <w:iCs w:val="0"/>
          </w:rPr>
          <w:t>8148- دیوان وصلی طهرانی أو شعره‏</w:t>
        </w:r>
        <w:r>
          <w:tab/>
        </w:r>
        <w:r>
          <w:fldChar w:fldCharType="begin"/>
        </w:r>
        <w:r>
          <w:instrText xml:space="preserve">PAGEREF 9459 \h</w:instrText>
        </w:r>
        <w:r>
          <w:fldChar w:fldCharType="end"/>
        </w:r>
      </w:hyperlink>
    </w:p>
    <w:p>
      <w:pPr>
        <w:tabs>
          <w:tab w:val="right" w:leader="dot" w:pos="9062"/>
        </w:tabs>
        <w:ind w:left="440"/>
      </w:pPr>
      <w:hyperlink w:anchor="_Toc9460" w:history="1">
        <w:r>
          <w:rPr>
            <w:rFonts w:ascii="IRNazanin" w:hAnsi="IRNazanin" w:eastAsia="IRNazanin" w:cs="IRNazanin"/>
            <w:color w:val="111111"/>
            <w:sz w:val="22"/>
            <w:szCs w:val="22"/>
            <w:b w:val="0"/>
            <w:bCs w:val="0"/>
            <w:i w:val="0"/>
            <w:iCs w:val="0"/>
          </w:rPr>
          <w:t>8149- دیوان مولانا وصلی هروی‏</w:t>
        </w:r>
        <w:r>
          <w:tab/>
        </w:r>
        <w:r>
          <w:fldChar w:fldCharType="begin"/>
        </w:r>
        <w:r>
          <w:instrText xml:space="preserve">PAGEREF 9460 \h</w:instrText>
        </w:r>
        <w:r>
          <w:fldChar w:fldCharType="end"/>
        </w:r>
      </w:hyperlink>
    </w:p>
    <w:p>
      <w:pPr>
        <w:tabs>
          <w:tab w:val="right" w:leader="dot" w:pos="9062"/>
        </w:tabs>
        <w:ind w:left="440"/>
      </w:pPr>
      <w:hyperlink w:anchor="_Toc9461" w:history="1">
        <w:r>
          <w:rPr>
            <w:rFonts w:ascii="IRNazanin" w:hAnsi="IRNazanin" w:eastAsia="IRNazanin" w:cs="IRNazanin"/>
            <w:color w:val="111111"/>
            <w:sz w:val="22"/>
            <w:szCs w:val="22"/>
            <w:b w:val="0"/>
            <w:bCs w:val="0"/>
            <w:i w:val="0"/>
            <w:iCs w:val="0"/>
          </w:rPr>
          <w:t>8150- دیوان وصی أحمد</w:t>
        </w:r>
        <w:r>
          <w:tab/>
        </w:r>
        <w:r>
          <w:fldChar w:fldCharType="begin"/>
        </w:r>
        <w:r>
          <w:instrText xml:space="preserve">PAGEREF 9461 \h</w:instrText>
        </w:r>
        <w:r>
          <w:fldChar w:fldCharType="end"/>
        </w:r>
      </w:hyperlink>
    </w:p>
    <w:p>
      <w:pPr>
        <w:tabs>
          <w:tab w:val="right" w:leader="dot" w:pos="9062"/>
        </w:tabs>
        <w:ind w:left="440"/>
      </w:pPr>
      <w:hyperlink w:anchor="_Toc9462" w:history="1">
        <w:r>
          <w:rPr>
            <w:rFonts w:ascii="IRNazanin" w:hAnsi="IRNazanin" w:eastAsia="IRNazanin" w:cs="IRNazanin"/>
            <w:color w:val="111111"/>
            <w:sz w:val="22"/>
            <w:szCs w:val="22"/>
            <w:b w:val="0"/>
            <w:bCs w:val="0"/>
            <w:i w:val="0"/>
            <w:iCs w:val="0"/>
          </w:rPr>
          <w:t>8151- دیوان وطواط</w:t>
        </w:r>
        <w:r>
          <w:tab/>
        </w:r>
        <w:r>
          <w:fldChar w:fldCharType="begin"/>
        </w:r>
        <w:r>
          <w:instrText xml:space="preserve">PAGEREF 9462 \h</w:instrText>
        </w:r>
        <w:r>
          <w:fldChar w:fldCharType="end"/>
        </w:r>
      </w:hyperlink>
    </w:p>
    <w:p>
      <w:pPr>
        <w:tabs>
          <w:tab w:val="right" w:leader="dot" w:pos="9062"/>
        </w:tabs>
        <w:ind w:left="440"/>
      </w:pPr>
      <w:hyperlink w:anchor="_Toc9463" w:history="1">
        <w:r>
          <w:rPr>
            <w:rFonts w:ascii="IRNazanin" w:hAnsi="IRNazanin" w:eastAsia="IRNazanin" w:cs="IRNazanin"/>
            <w:color w:val="111111"/>
            <w:sz w:val="22"/>
            <w:szCs w:val="22"/>
            <w:b w:val="0"/>
            <w:bCs w:val="0"/>
            <w:i w:val="0"/>
            <w:iCs w:val="0"/>
          </w:rPr>
          <w:t>دیوان وفا علی شاه‏</w:t>
        </w:r>
        <w:r>
          <w:tab/>
        </w:r>
        <w:r>
          <w:fldChar w:fldCharType="begin"/>
        </w:r>
        <w:r>
          <w:instrText xml:space="preserve">PAGEREF 9463 \h</w:instrText>
        </w:r>
        <w:r>
          <w:fldChar w:fldCharType="end"/>
        </w:r>
      </w:hyperlink>
    </w:p>
    <w:p>
      <w:pPr>
        <w:tabs>
          <w:tab w:val="right" w:leader="dot" w:pos="9062"/>
        </w:tabs>
        <w:ind w:left="440"/>
      </w:pPr>
      <w:hyperlink w:anchor="_Toc9464" w:history="1">
        <w:r>
          <w:rPr>
            <w:rFonts w:ascii="IRNazanin" w:hAnsi="IRNazanin" w:eastAsia="IRNazanin" w:cs="IRNazanin"/>
            <w:color w:val="111111"/>
            <w:sz w:val="22"/>
            <w:szCs w:val="22"/>
            <w:b w:val="0"/>
            <w:bCs w:val="0"/>
            <w:i w:val="0"/>
            <w:iCs w:val="0"/>
          </w:rPr>
          <w:t>8152- دیوان وفای أشرفی أو شعره‏</w:t>
        </w:r>
        <w:r>
          <w:tab/>
        </w:r>
        <w:r>
          <w:fldChar w:fldCharType="begin"/>
        </w:r>
        <w:r>
          <w:instrText xml:space="preserve">PAGEREF 9464 \h</w:instrText>
        </w:r>
        <w:r>
          <w:fldChar w:fldCharType="end"/>
        </w:r>
      </w:hyperlink>
    </w:p>
    <w:p>
      <w:pPr>
        <w:tabs>
          <w:tab w:val="right" w:leader="dot" w:pos="9062"/>
        </w:tabs>
        <w:ind w:left="440"/>
      </w:pPr>
      <w:hyperlink w:anchor="_Toc9465" w:history="1">
        <w:r>
          <w:rPr>
            <w:rFonts w:ascii="IRNazanin" w:hAnsi="IRNazanin" w:eastAsia="IRNazanin" w:cs="IRNazanin"/>
            <w:color w:val="111111"/>
            <w:sz w:val="22"/>
            <w:szCs w:val="22"/>
            <w:b w:val="0"/>
            <w:bCs w:val="0"/>
            <w:i w:val="0"/>
            <w:iCs w:val="0"/>
          </w:rPr>
          <w:t>8153- دیوان وفای أصفهانی أو شعره‏</w:t>
        </w:r>
        <w:r>
          <w:tab/>
        </w:r>
        <w:r>
          <w:fldChar w:fldCharType="begin"/>
        </w:r>
        <w:r>
          <w:instrText xml:space="preserve">PAGEREF 9465 \h</w:instrText>
        </w:r>
        <w:r>
          <w:fldChar w:fldCharType="end"/>
        </w:r>
      </w:hyperlink>
    </w:p>
    <w:p>
      <w:pPr>
        <w:tabs>
          <w:tab w:val="right" w:leader="dot" w:pos="9062"/>
        </w:tabs>
        <w:ind w:left="440"/>
      </w:pPr>
      <w:hyperlink w:anchor="_Toc9466" w:history="1">
        <w:r>
          <w:rPr>
            <w:rFonts w:ascii="IRNazanin" w:hAnsi="IRNazanin" w:eastAsia="IRNazanin" w:cs="IRNazanin"/>
            <w:color w:val="111111"/>
            <w:sz w:val="22"/>
            <w:szCs w:val="22"/>
            <w:b w:val="0"/>
            <w:bCs w:val="0"/>
            <w:i w:val="0"/>
            <w:iCs w:val="0"/>
          </w:rPr>
          <w:t>8154- دیوان وفای أصفهانی أو شعره‏</w:t>
        </w:r>
        <w:r>
          <w:tab/>
        </w:r>
        <w:r>
          <w:fldChar w:fldCharType="begin"/>
        </w:r>
        <w:r>
          <w:instrText xml:space="preserve">PAGEREF 9466 \h</w:instrText>
        </w:r>
        <w:r>
          <w:fldChar w:fldCharType="end"/>
        </w:r>
      </w:hyperlink>
    </w:p>
    <w:p>
      <w:pPr>
        <w:tabs>
          <w:tab w:val="right" w:leader="dot" w:pos="9062"/>
        </w:tabs>
        <w:ind w:left="440"/>
      </w:pPr>
      <w:hyperlink w:anchor="_Toc9467" w:history="1">
        <w:r>
          <w:rPr>
            <w:rFonts w:ascii="IRNazanin" w:hAnsi="IRNazanin" w:eastAsia="IRNazanin" w:cs="IRNazanin"/>
            <w:color w:val="111111"/>
            <w:sz w:val="22"/>
            <w:szCs w:val="22"/>
            <w:b w:val="0"/>
            <w:bCs w:val="0"/>
            <w:i w:val="0"/>
            <w:iCs w:val="0"/>
          </w:rPr>
          <w:t>8155- دیوان وفای تویسرکانی أو شعره‏</w:t>
        </w:r>
        <w:r>
          <w:tab/>
        </w:r>
        <w:r>
          <w:fldChar w:fldCharType="begin"/>
        </w:r>
        <w:r>
          <w:instrText xml:space="preserve">PAGEREF 9467 \h</w:instrText>
        </w:r>
        <w:r>
          <w:fldChar w:fldCharType="end"/>
        </w:r>
      </w:hyperlink>
    </w:p>
    <w:p>
      <w:pPr>
        <w:tabs>
          <w:tab w:val="right" w:leader="dot" w:pos="9062"/>
        </w:tabs>
        <w:ind w:left="440"/>
      </w:pPr>
      <w:hyperlink w:anchor="_Toc9468" w:history="1">
        <w:r>
          <w:rPr>
            <w:rFonts w:ascii="IRNazanin" w:hAnsi="IRNazanin" w:eastAsia="IRNazanin" w:cs="IRNazanin"/>
            <w:color w:val="111111"/>
            <w:sz w:val="22"/>
            <w:szCs w:val="22"/>
            <w:b w:val="0"/>
            <w:bCs w:val="0"/>
            <w:i w:val="0"/>
            <w:iCs w:val="0"/>
          </w:rPr>
          <w:t>دیوان وفای بدخشانی‏</w:t>
        </w:r>
        <w:r>
          <w:tab/>
        </w:r>
        <w:r>
          <w:fldChar w:fldCharType="begin"/>
        </w:r>
        <w:r>
          <w:instrText xml:space="preserve">PAGEREF 9468 \h</w:instrText>
        </w:r>
        <w:r>
          <w:fldChar w:fldCharType="end"/>
        </w:r>
      </w:hyperlink>
    </w:p>
    <w:p>
      <w:pPr>
        <w:tabs>
          <w:tab w:val="right" w:leader="dot" w:pos="9062"/>
        </w:tabs>
        <w:ind w:left="440"/>
      </w:pPr>
      <w:hyperlink w:anchor="_Toc9469" w:history="1">
        <w:r>
          <w:rPr>
            <w:rFonts w:ascii="IRNazanin" w:hAnsi="IRNazanin" w:eastAsia="IRNazanin" w:cs="IRNazanin"/>
            <w:color w:val="111111"/>
            <w:sz w:val="22"/>
            <w:szCs w:val="22"/>
            <w:b w:val="0"/>
            <w:bCs w:val="0"/>
            <w:i w:val="0"/>
            <w:iCs w:val="0"/>
          </w:rPr>
          <w:t>8156- دیوان وفای رامپوری أو شعره‏</w:t>
        </w:r>
        <w:r>
          <w:tab/>
        </w:r>
        <w:r>
          <w:fldChar w:fldCharType="begin"/>
        </w:r>
        <w:r>
          <w:instrText xml:space="preserve">PAGEREF 9469 \h</w:instrText>
        </w:r>
        <w:r>
          <w:fldChar w:fldCharType="end"/>
        </w:r>
      </w:hyperlink>
    </w:p>
    <w:p>
      <w:pPr>
        <w:tabs>
          <w:tab w:val="right" w:leader="dot" w:pos="9062"/>
        </w:tabs>
        <w:ind w:left="440"/>
      </w:pPr>
      <w:hyperlink w:anchor="_Toc9470" w:history="1">
        <w:r>
          <w:rPr>
            <w:rFonts w:ascii="IRNazanin" w:hAnsi="IRNazanin" w:eastAsia="IRNazanin" w:cs="IRNazanin"/>
            <w:color w:val="111111"/>
            <w:sz w:val="22"/>
            <w:szCs w:val="22"/>
            <w:b w:val="0"/>
            <w:bCs w:val="0"/>
            <w:i w:val="0"/>
            <w:iCs w:val="0"/>
          </w:rPr>
          <w:t>8157- دیوان وفای زواری‏</w:t>
        </w:r>
        <w:r>
          <w:tab/>
        </w:r>
        <w:r>
          <w:fldChar w:fldCharType="begin"/>
        </w:r>
        <w:r>
          <w:instrText xml:space="preserve">PAGEREF 9470 \h</w:instrText>
        </w:r>
        <w:r>
          <w:fldChar w:fldCharType="end"/>
        </w:r>
      </w:hyperlink>
    </w:p>
    <w:p>
      <w:pPr>
        <w:tabs>
          <w:tab w:val="right" w:leader="dot" w:pos="9062"/>
        </w:tabs>
        <w:ind w:left="440"/>
      </w:pPr>
      <w:hyperlink w:anchor="_Toc9471" w:history="1">
        <w:r>
          <w:rPr>
            <w:rFonts w:ascii="IRNazanin" w:hAnsi="IRNazanin" w:eastAsia="IRNazanin" w:cs="IRNazanin"/>
            <w:color w:val="111111"/>
            <w:sz w:val="22"/>
            <w:szCs w:val="22"/>
            <w:b w:val="0"/>
            <w:bCs w:val="0"/>
            <w:i w:val="0"/>
            <w:iCs w:val="0"/>
          </w:rPr>
          <w:t>8158- دیوان وفای شیرازی‏</w:t>
        </w:r>
        <w:r>
          <w:tab/>
        </w:r>
        <w:r>
          <w:fldChar w:fldCharType="begin"/>
        </w:r>
        <w:r>
          <w:instrText xml:space="preserve">PAGEREF 9471 \h</w:instrText>
        </w:r>
        <w:r>
          <w:fldChar w:fldCharType="end"/>
        </w:r>
      </w:hyperlink>
    </w:p>
    <w:p>
      <w:pPr>
        <w:tabs>
          <w:tab w:val="right" w:leader="dot" w:pos="9062"/>
        </w:tabs>
        <w:ind w:left="440"/>
      </w:pPr>
      <w:hyperlink w:anchor="_Toc9472" w:history="1">
        <w:r>
          <w:rPr>
            <w:rFonts w:ascii="IRNazanin" w:hAnsi="IRNazanin" w:eastAsia="IRNazanin" w:cs="IRNazanin"/>
            <w:color w:val="111111"/>
            <w:sz w:val="22"/>
            <w:szCs w:val="22"/>
            <w:b w:val="0"/>
            <w:bCs w:val="0"/>
            <w:i w:val="0"/>
            <w:iCs w:val="0"/>
          </w:rPr>
          <w:t>8159- دیوان وفای شیرازی‏</w:t>
        </w:r>
        <w:r>
          <w:tab/>
        </w:r>
        <w:r>
          <w:fldChar w:fldCharType="begin"/>
        </w:r>
        <w:r>
          <w:instrText xml:space="preserve">PAGEREF 9472 \h</w:instrText>
        </w:r>
        <w:r>
          <w:fldChar w:fldCharType="end"/>
        </w:r>
      </w:hyperlink>
    </w:p>
    <w:p>
      <w:pPr>
        <w:tabs>
          <w:tab w:val="right" w:leader="dot" w:pos="9062"/>
        </w:tabs>
        <w:ind w:left="440"/>
      </w:pPr>
      <w:hyperlink w:anchor="_Toc9473" w:history="1">
        <w:r>
          <w:rPr>
            <w:rFonts w:ascii="IRNazanin" w:hAnsi="IRNazanin" w:eastAsia="IRNazanin" w:cs="IRNazanin"/>
            <w:color w:val="111111"/>
            <w:sz w:val="22"/>
            <w:szCs w:val="22"/>
            <w:b w:val="0"/>
            <w:bCs w:val="0"/>
            <w:i w:val="0"/>
            <w:iCs w:val="0"/>
          </w:rPr>
          <w:t>8160- دیوان وفای فراهانی‏</w:t>
        </w:r>
        <w:r>
          <w:tab/>
        </w:r>
        <w:r>
          <w:fldChar w:fldCharType="begin"/>
        </w:r>
        <w:r>
          <w:instrText xml:space="preserve">PAGEREF 9473 \h</w:instrText>
        </w:r>
        <w:r>
          <w:fldChar w:fldCharType="end"/>
        </w:r>
      </w:hyperlink>
    </w:p>
    <w:p>
      <w:pPr>
        <w:tabs>
          <w:tab w:val="right" w:leader="dot" w:pos="9062"/>
        </w:tabs>
        <w:ind w:left="440"/>
      </w:pPr>
      <w:hyperlink w:anchor="_Toc9474" w:history="1">
        <w:r>
          <w:rPr>
            <w:rFonts w:ascii="IRNazanin" w:hAnsi="IRNazanin" w:eastAsia="IRNazanin" w:cs="IRNazanin"/>
            <w:color w:val="111111"/>
            <w:sz w:val="22"/>
            <w:szCs w:val="22"/>
            <w:b w:val="0"/>
            <w:bCs w:val="0"/>
            <w:i w:val="0"/>
            <w:iCs w:val="0"/>
          </w:rPr>
          <w:t>8161- دیوان وفای قمی أو شعره‏</w:t>
        </w:r>
        <w:r>
          <w:tab/>
        </w:r>
        <w:r>
          <w:fldChar w:fldCharType="begin"/>
        </w:r>
        <w:r>
          <w:instrText xml:space="preserve">PAGEREF 9474 \h</w:instrText>
        </w:r>
        <w:r>
          <w:fldChar w:fldCharType="end"/>
        </w:r>
      </w:hyperlink>
    </w:p>
    <w:p>
      <w:pPr>
        <w:tabs>
          <w:tab w:val="right" w:leader="dot" w:pos="9062"/>
        </w:tabs>
        <w:ind w:left="440"/>
      </w:pPr>
      <w:hyperlink w:anchor="_Toc9475" w:history="1">
        <w:r>
          <w:rPr>
            <w:rFonts w:ascii="IRNazanin" w:hAnsi="IRNazanin" w:eastAsia="IRNazanin" w:cs="IRNazanin"/>
            <w:color w:val="111111"/>
            <w:sz w:val="22"/>
            <w:szCs w:val="22"/>
            <w:b w:val="0"/>
            <w:bCs w:val="0"/>
            <w:i w:val="0"/>
            <w:iCs w:val="0"/>
          </w:rPr>
          <w:t>دیوان وفای کاشانی‏</w:t>
        </w:r>
        <w:r>
          <w:tab/>
        </w:r>
        <w:r>
          <w:fldChar w:fldCharType="begin"/>
        </w:r>
        <w:r>
          <w:instrText xml:space="preserve">PAGEREF 9475 \h</w:instrText>
        </w:r>
        <w:r>
          <w:fldChar w:fldCharType="end"/>
        </w:r>
      </w:hyperlink>
    </w:p>
    <w:p>
      <w:pPr>
        <w:tabs>
          <w:tab w:val="right" w:leader="dot" w:pos="9062"/>
        </w:tabs>
        <w:ind w:left="440"/>
      </w:pPr>
      <w:hyperlink w:anchor="_Toc9476" w:history="1">
        <w:r>
          <w:rPr>
            <w:rFonts w:ascii="IRNazanin" w:hAnsi="IRNazanin" w:eastAsia="IRNazanin" w:cs="IRNazanin"/>
            <w:color w:val="111111"/>
            <w:sz w:val="22"/>
            <w:szCs w:val="22"/>
            <w:b w:val="0"/>
            <w:bCs w:val="0"/>
            <w:i w:val="0"/>
            <w:iCs w:val="0"/>
          </w:rPr>
          <w:t>8162- دیوان وفای لکهنوی أو شعره‏</w:t>
        </w:r>
        <w:r>
          <w:tab/>
        </w:r>
        <w:r>
          <w:fldChar w:fldCharType="begin"/>
        </w:r>
        <w:r>
          <w:instrText xml:space="preserve">PAGEREF 9476 \h</w:instrText>
        </w:r>
        <w:r>
          <w:fldChar w:fldCharType="end"/>
        </w:r>
      </w:hyperlink>
    </w:p>
    <w:p>
      <w:pPr>
        <w:tabs>
          <w:tab w:val="right" w:leader="dot" w:pos="9062"/>
        </w:tabs>
        <w:ind w:left="440"/>
      </w:pPr>
      <w:hyperlink w:anchor="_Toc9477" w:history="1">
        <w:r>
          <w:rPr>
            <w:rFonts w:ascii="IRNazanin" w:hAnsi="IRNazanin" w:eastAsia="IRNazanin" w:cs="IRNazanin"/>
            <w:color w:val="111111"/>
            <w:sz w:val="22"/>
            <w:szCs w:val="22"/>
            <w:b w:val="0"/>
            <w:bCs w:val="0"/>
            <w:i w:val="0"/>
            <w:iCs w:val="0"/>
          </w:rPr>
          <w:t>8163- دیوان وفای مازندرانی‏</w:t>
        </w:r>
        <w:r>
          <w:tab/>
        </w:r>
        <w:r>
          <w:fldChar w:fldCharType="begin"/>
        </w:r>
        <w:r>
          <w:instrText xml:space="preserve">PAGEREF 9477 \h</w:instrText>
        </w:r>
        <w:r>
          <w:fldChar w:fldCharType="end"/>
        </w:r>
      </w:hyperlink>
    </w:p>
    <w:p>
      <w:pPr>
        <w:tabs>
          <w:tab w:val="right" w:leader="dot" w:pos="9062"/>
        </w:tabs>
        <w:ind w:left="440"/>
      </w:pPr>
      <w:hyperlink w:anchor="_Toc9478" w:history="1">
        <w:r>
          <w:rPr>
            <w:rFonts w:ascii="IRNazanin" w:hAnsi="IRNazanin" w:eastAsia="IRNazanin" w:cs="IRNazanin"/>
            <w:color w:val="111111"/>
            <w:sz w:val="22"/>
            <w:szCs w:val="22"/>
            <w:b w:val="0"/>
            <w:bCs w:val="0"/>
            <w:i w:val="0"/>
            <w:iCs w:val="0"/>
          </w:rPr>
          <w:t>دیوان وفای هروی‏</w:t>
        </w:r>
        <w:r>
          <w:tab/>
        </w:r>
        <w:r>
          <w:fldChar w:fldCharType="begin"/>
        </w:r>
        <w:r>
          <w:instrText xml:space="preserve">PAGEREF 9478 \h</w:instrText>
        </w:r>
        <w:r>
          <w:fldChar w:fldCharType="end"/>
        </w:r>
      </w:hyperlink>
    </w:p>
    <w:p>
      <w:pPr>
        <w:tabs>
          <w:tab w:val="right" w:leader="dot" w:pos="9062"/>
        </w:tabs>
        <w:ind w:left="440"/>
      </w:pPr>
      <w:hyperlink w:anchor="_Toc9479" w:history="1">
        <w:r>
          <w:rPr>
            <w:rFonts w:ascii="IRNazanin" w:hAnsi="IRNazanin" w:eastAsia="IRNazanin" w:cs="IRNazanin"/>
            <w:color w:val="111111"/>
            <w:sz w:val="22"/>
            <w:szCs w:val="22"/>
            <w:b w:val="0"/>
            <w:bCs w:val="0"/>
            <w:i w:val="0"/>
            <w:iCs w:val="0"/>
          </w:rPr>
          <w:t>دیوان وفای همدانی‏</w:t>
        </w:r>
        <w:r>
          <w:tab/>
        </w:r>
        <w:r>
          <w:fldChar w:fldCharType="begin"/>
        </w:r>
        <w:r>
          <w:instrText xml:space="preserve">PAGEREF 9479 \h</w:instrText>
        </w:r>
        <w:r>
          <w:fldChar w:fldCharType="end"/>
        </w:r>
      </w:hyperlink>
    </w:p>
    <w:p>
      <w:pPr>
        <w:tabs>
          <w:tab w:val="right" w:leader="dot" w:pos="9062"/>
        </w:tabs>
        <w:ind w:left="440"/>
      </w:pPr>
      <w:hyperlink w:anchor="_Toc9480" w:history="1">
        <w:r>
          <w:rPr>
            <w:rFonts w:ascii="IRNazanin" w:hAnsi="IRNazanin" w:eastAsia="IRNazanin" w:cs="IRNazanin"/>
            <w:color w:val="111111"/>
            <w:sz w:val="22"/>
            <w:szCs w:val="22"/>
            <w:b w:val="0"/>
            <w:bCs w:val="0"/>
            <w:i w:val="0"/>
            <w:iCs w:val="0"/>
          </w:rPr>
          <w:t>دیوان وفای یزدی‏</w:t>
        </w:r>
        <w:r>
          <w:tab/>
        </w:r>
        <w:r>
          <w:fldChar w:fldCharType="begin"/>
        </w:r>
        <w:r>
          <w:instrText xml:space="preserve">PAGEREF 9480 \h</w:instrText>
        </w:r>
        <w:r>
          <w:fldChar w:fldCharType="end"/>
        </w:r>
      </w:hyperlink>
    </w:p>
    <w:p>
      <w:pPr>
        <w:tabs>
          <w:tab w:val="right" w:leader="dot" w:pos="9062"/>
        </w:tabs>
        <w:ind w:left="440"/>
      </w:pPr>
      <w:hyperlink w:anchor="_Toc9481" w:history="1">
        <w:r>
          <w:rPr>
            <w:rFonts w:ascii="IRNazanin" w:hAnsi="IRNazanin" w:eastAsia="IRNazanin" w:cs="IRNazanin"/>
            <w:color w:val="111111"/>
            <w:sz w:val="22"/>
            <w:szCs w:val="22"/>
            <w:b w:val="0"/>
            <w:bCs w:val="0"/>
            <w:i w:val="0"/>
            <w:iCs w:val="0"/>
          </w:rPr>
          <w:t>دیوان وفائی آملی‏</w:t>
        </w:r>
        <w:r>
          <w:tab/>
        </w:r>
        <w:r>
          <w:fldChar w:fldCharType="begin"/>
        </w:r>
        <w:r>
          <w:instrText xml:space="preserve">PAGEREF 9481 \h</w:instrText>
        </w:r>
        <w:r>
          <w:fldChar w:fldCharType="end"/>
        </w:r>
      </w:hyperlink>
    </w:p>
    <w:p>
      <w:pPr>
        <w:tabs>
          <w:tab w:val="right" w:leader="dot" w:pos="9062"/>
        </w:tabs>
        <w:ind w:left="440"/>
      </w:pPr>
      <w:hyperlink w:anchor="_Toc9482" w:history="1">
        <w:r>
          <w:rPr>
            <w:rFonts w:ascii="IRNazanin" w:hAnsi="IRNazanin" w:eastAsia="IRNazanin" w:cs="IRNazanin"/>
            <w:color w:val="111111"/>
            <w:sz w:val="22"/>
            <w:szCs w:val="22"/>
            <w:b w:val="0"/>
            <w:bCs w:val="0"/>
            <w:i w:val="0"/>
            <w:iCs w:val="0"/>
          </w:rPr>
          <w:t>8164- دیوان وفائی أردبیلی أو شعره‏</w:t>
        </w:r>
        <w:r>
          <w:tab/>
        </w:r>
        <w:r>
          <w:fldChar w:fldCharType="begin"/>
        </w:r>
        <w:r>
          <w:instrText xml:space="preserve">PAGEREF 9482 \h</w:instrText>
        </w:r>
        <w:r>
          <w:fldChar w:fldCharType="end"/>
        </w:r>
      </w:hyperlink>
    </w:p>
    <w:p>
      <w:pPr>
        <w:tabs>
          <w:tab w:val="right" w:leader="dot" w:pos="9062"/>
        </w:tabs>
        <w:ind w:left="440"/>
      </w:pPr>
      <w:hyperlink w:anchor="_Toc9483" w:history="1">
        <w:r>
          <w:rPr>
            <w:rFonts w:ascii="IRNazanin" w:hAnsi="IRNazanin" w:eastAsia="IRNazanin" w:cs="IRNazanin"/>
            <w:color w:val="111111"/>
            <w:sz w:val="22"/>
            <w:szCs w:val="22"/>
            <w:b w:val="0"/>
            <w:bCs w:val="0"/>
            <w:i w:val="0"/>
            <w:iCs w:val="0"/>
          </w:rPr>
          <w:t>8165- دیوان وفائی أصفهانی أو شعره‏</w:t>
        </w:r>
        <w:r>
          <w:tab/>
        </w:r>
        <w:r>
          <w:fldChar w:fldCharType="begin"/>
        </w:r>
        <w:r>
          <w:instrText xml:space="preserve">PAGEREF 9483 \h</w:instrText>
        </w:r>
        <w:r>
          <w:fldChar w:fldCharType="end"/>
        </w:r>
      </w:hyperlink>
    </w:p>
    <w:p>
      <w:pPr>
        <w:tabs>
          <w:tab w:val="right" w:leader="dot" w:pos="9062"/>
        </w:tabs>
        <w:ind w:left="440"/>
      </w:pPr>
      <w:hyperlink w:anchor="_Toc9484" w:history="1">
        <w:r>
          <w:rPr>
            <w:rFonts w:ascii="IRNazanin" w:hAnsi="IRNazanin" w:eastAsia="IRNazanin" w:cs="IRNazanin"/>
            <w:color w:val="111111"/>
            <w:sz w:val="22"/>
            <w:szCs w:val="22"/>
            <w:b w:val="0"/>
            <w:bCs w:val="0"/>
            <w:i w:val="0"/>
            <w:iCs w:val="0"/>
          </w:rPr>
          <w:t>8166- دیوان وفائی أصفهانی‏</w:t>
        </w:r>
        <w:r>
          <w:tab/>
        </w:r>
        <w:r>
          <w:fldChar w:fldCharType="begin"/>
        </w:r>
        <w:r>
          <w:instrText xml:space="preserve">PAGEREF 9484 \h</w:instrText>
        </w:r>
        <w:r>
          <w:fldChar w:fldCharType="end"/>
        </w:r>
      </w:hyperlink>
    </w:p>
    <w:p>
      <w:pPr>
        <w:tabs>
          <w:tab w:val="right" w:leader="dot" w:pos="9062"/>
        </w:tabs>
        <w:ind w:left="440"/>
      </w:pPr>
      <w:hyperlink w:anchor="_Toc9485" w:history="1">
        <w:r>
          <w:rPr>
            <w:rFonts w:ascii="IRNazanin" w:hAnsi="IRNazanin" w:eastAsia="IRNazanin" w:cs="IRNazanin"/>
            <w:color w:val="111111"/>
            <w:sz w:val="22"/>
            <w:szCs w:val="22"/>
            <w:b w:val="0"/>
            <w:bCs w:val="0"/>
            <w:i w:val="0"/>
            <w:iCs w:val="0"/>
          </w:rPr>
          <w:t>8167- دیوان وفائی أکبرآبادی‏</w:t>
        </w:r>
        <w:r>
          <w:tab/>
        </w:r>
        <w:r>
          <w:fldChar w:fldCharType="begin"/>
        </w:r>
        <w:r>
          <w:instrText xml:space="preserve">PAGEREF 9485 \h</w:instrText>
        </w:r>
        <w:r>
          <w:fldChar w:fldCharType="end"/>
        </w:r>
      </w:hyperlink>
    </w:p>
    <w:p>
      <w:pPr>
        <w:tabs>
          <w:tab w:val="right" w:leader="dot" w:pos="9062"/>
        </w:tabs>
        <w:ind w:left="440"/>
      </w:pPr>
      <w:hyperlink w:anchor="_Toc9486" w:history="1">
        <w:r>
          <w:rPr>
            <w:rFonts w:ascii="IRNazanin" w:hAnsi="IRNazanin" w:eastAsia="IRNazanin" w:cs="IRNazanin"/>
            <w:color w:val="111111"/>
            <w:sz w:val="22"/>
            <w:szCs w:val="22"/>
            <w:b w:val="0"/>
            <w:bCs w:val="0"/>
            <w:i w:val="0"/>
            <w:iCs w:val="0"/>
          </w:rPr>
          <w:t>8168- دیوان وفائی بدخشانی أو شعره‏</w:t>
        </w:r>
        <w:r>
          <w:tab/>
        </w:r>
        <w:r>
          <w:fldChar w:fldCharType="begin"/>
        </w:r>
        <w:r>
          <w:instrText xml:space="preserve">PAGEREF 9486 \h</w:instrText>
        </w:r>
        <w:r>
          <w:fldChar w:fldCharType="end"/>
        </w:r>
      </w:hyperlink>
    </w:p>
    <w:p>
      <w:pPr>
        <w:tabs>
          <w:tab w:val="right" w:leader="dot" w:pos="9062"/>
        </w:tabs>
        <w:ind w:left="440"/>
      </w:pPr>
      <w:hyperlink w:anchor="_Toc9487" w:history="1">
        <w:r>
          <w:rPr>
            <w:rFonts w:ascii="IRNazanin" w:hAnsi="IRNazanin" w:eastAsia="IRNazanin" w:cs="IRNazanin"/>
            <w:color w:val="111111"/>
            <w:sz w:val="22"/>
            <w:szCs w:val="22"/>
            <w:b w:val="0"/>
            <w:bCs w:val="0"/>
            <w:i w:val="0"/>
            <w:iCs w:val="0"/>
          </w:rPr>
          <w:t>8169- دیوان وفائی تاجیک أو شعره‏</w:t>
        </w:r>
        <w:r>
          <w:tab/>
        </w:r>
        <w:r>
          <w:fldChar w:fldCharType="begin"/>
        </w:r>
        <w:r>
          <w:instrText xml:space="preserve">PAGEREF 9487 \h</w:instrText>
        </w:r>
        <w:r>
          <w:fldChar w:fldCharType="end"/>
        </w:r>
      </w:hyperlink>
    </w:p>
    <w:p>
      <w:pPr>
        <w:tabs>
          <w:tab w:val="right" w:leader="dot" w:pos="9062"/>
        </w:tabs>
        <w:ind w:left="440"/>
      </w:pPr>
      <w:hyperlink w:anchor="_Toc9488" w:history="1">
        <w:r>
          <w:rPr>
            <w:rFonts w:ascii="IRNazanin" w:hAnsi="IRNazanin" w:eastAsia="IRNazanin" w:cs="IRNazanin"/>
            <w:color w:val="111111"/>
            <w:sz w:val="22"/>
            <w:szCs w:val="22"/>
            <w:b w:val="0"/>
            <w:bCs w:val="0"/>
            <w:i w:val="0"/>
            <w:iCs w:val="0"/>
          </w:rPr>
          <w:t>8170- دیوان وفائی تبریزی أو شعره‏</w:t>
        </w:r>
        <w:r>
          <w:tab/>
        </w:r>
        <w:r>
          <w:fldChar w:fldCharType="begin"/>
        </w:r>
        <w:r>
          <w:instrText xml:space="preserve">PAGEREF 9488 \h</w:instrText>
        </w:r>
        <w:r>
          <w:fldChar w:fldCharType="end"/>
        </w:r>
      </w:hyperlink>
    </w:p>
    <w:p>
      <w:pPr>
        <w:tabs>
          <w:tab w:val="right" w:leader="dot" w:pos="9062"/>
        </w:tabs>
        <w:ind w:left="440"/>
      </w:pPr>
      <w:hyperlink w:anchor="_Toc9489" w:history="1">
        <w:r>
          <w:rPr>
            <w:rFonts w:ascii="IRNazanin" w:hAnsi="IRNazanin" w:eastAsia="IRNazanin" w:cs="IRNazanin"/>
            <w:color w:val="111111"/>
            <w:sz w:val="22"/>
            <w:szCs w:val="22"/>
            <w:b w:val="0"/>
            <w:bCs w:val="0"/>
            <w:i w:val="0"/>
            <w:iCs w:val="0"/>
          </w:rPr>
          <w:t>8171- دیوان وفائی تفرشی أو شعره‏</w:t>
        </w:r>
        <w:r>
          <w:tab/>
        </w:r>
        <w:r>
          <w:fldChar w:fldCharType="begin"/>
        </w:r>
        <w:r>
          <w:instrText xml:space="preserve">PAGEREF 9489 \h</w:instrText>
        </w:r>
        <w:r>
          <w:fldChar w:fldCharType="end"/>
        </w:r>
      </w:hyperlink>
    </w:p>
    <w:p>
      <w:pPr>
        <w:tabs>
          <w:tab w:val="right" w:leader="dot" w:pos="9062"/>
        </w:tabs>
        <w:ind w:left="440"/>
      </w:pPr>
      <w:hyperlink w:anchor="_Toc9490" w:history="1">
        <w:r>
          <w:rPr>
            <w:rFonts w:ascii="IRNazanin" w:hAnsi="IRNazanin" w:eastAsia="IRNazanin" w:cs="IRNazanin"/>
            <w:color w:val="111111"/>
            <w:sz w:val="22"/>
            <w:szCs w:val="22"/>
            <w:b w:val="0"/>
            <w:bCs w:val="0"/>
            <w:i w:val="0"/>
            <w:iCs w:val="0"/>
          </w:rPr>
          <w:t>دیوان وفائی خراسانی‏</w:t>
        </w:r>
        <w:r>
          <w:tab/>
        </w:r>
        <w:r>
          <w:fldChar w:fldCharType="begin"/>
        </w:r>
        <w:r>
          <w:instrText xml:space="preserve">PAGEREF 9490 \h</w:instrText>
        </w:r>
        <w:r>
          <w:fldChar w:fldCharType="end"/>
        </w:r>
      </w:hyperlink>
    </w:p>
    <w:p>
      <w:pPr>
        <w:tabs>
          <w:tab w:val="right" w:leader="dot" w:pos="9062"/>
        </w:tabs>
        <w:ind w:left="440"/>
      </w:pPr>
      <w:hyperlink w:anchor="_Toc9491" w:history="1">
        <w:r>
          <w:rPr>
            <w:rFonts w:ascii="IRNazanin" w:hAnsi="IRNazanin" w:eastAsia="IRNazanin" w:cs="IRNazanin"/>
            <w:color w:val="111111"/>
            <w:sz w:val="22"/>
            <w:szCs w:val="22"/>
            <w:b w:val="0"/>
            <w:bCs w:val="0"/>
            <w:i w:val="0"/>
            <w:iCs w:val="0"/>
          </w:rPr>
          <w:t>دیوان وفائی خوافی‏</w:t>
        </w:r>
        <w:r>
          <w:tab/>
        </w:r>
        <w:r>
          <w:fldChar w:fldCharType="begin"/>
        </w:r>
        <w:r>
          <w:instrText xml:space="preserve">PAGEREF 9491 \h</w:instrText>
        </w:r>
        <w:r>
          <w:fldChar w:fldCharType="end"/>
        </w:r>
      </w:hyperlink>
    </w:p>
    <w:p>
      <w:pPr>
        <w:tabs>
          <w:tab w:val="right" w:leader="dot" w:pos="9062"/>
        </w:tabs>
        <w:ind w:left="440"/>
      </w:pPr>
      <w:hyperlink w:anchor="_Toc9492" w:history="1">
        <w:r>
          <w:rPr>
            <w:rFonts w:ascii="IRNazanin" w:hAnsi="IRNazanin" w:eastAsia="IRNazanin" w:cs="IRNazanin"/>
            <w:color w:val="111111"/>
            <w:sz w:val="22"/>
            <w:szCs w:val="22"/>
            <w:b w:val="0"/>
            <w:bCs w:val="0"/>
            <w:i w:val="0"/>
            <w:iCs w:val="0"/>
          </w:rPr>
          <w:t>8172- دیوان وفائی دکنی‏</w:t>
        </w:r>
        <w:r>
          <w:tab/>
        </w:r>
        <w:r>
          <w:fldChar w:fldCharType="begin"/>
        </w:r>
        <w:r>
          <w:instrText xml:space="preserve">PAGEREF 9492 \h</w:instrText>
        </w:r>
        <w:r>
          <w:fldChar w:fldCharType="end"/>
        </w:r>
      </w:hyperlink>
    </w:p>
    <w:p>
      <w:pPr>
        <w:tabs>
          <w:tab w:val="right" w:leader="dot" w:pos="9062"/>
        </w:tabs>
        <w:ind w:left="440"/>
      </w:pPr>
      <w:hyperlink w:anchor="_Toc9493" w:history="1">
        <w:r>
          <w:rPr>
            <w:rFonts w:ascii="IRNazanin" w:hAnsi="IRNazanin" w:eastAsia="IRNazanin" w:cs="IRNazanin"/>
            <w:color w:val="111111"/>
            <w:sz w:val="22"/>
            <w:szCs w:val="22"/>
            <w:b w:val="0"/>
            <w:bCs w:val="0"/>
            <w:i w:val="0"/>
            <w:iCs w:val="0"/>
          </w:rPr>
          <w:t>8173- دیوان وفائی دهلوی أو شعره‏</w:t>
        </w:r>
        <w:r>
          <w:tab/>
        </w:r>
        <w:r>
          <w:fldChar w:fldCharType="begin"/>
        </w:r>
        <w:r>
          <w:instrText xml:space="preserve">PAGEREF 9493 \h</w:instrText>
        </w:r>
        <w:r>
          <w:fldChar w:fldCharType="end"/>
        </w:r>
      </w:hyperlink>
    </w:p>
    <w:p>
      <w:pPr>
        <w:tabs>
          <w:tab w:val="right" w:leader="dot" w:pos="9062"/>
        </w:tabs>
        <w:ind w:left="440"/>
      </w:pPr>
      <w:hyperlink w:anchor="_Toc9494" w:history="1">
        <w:r>
          <w:rPr>
            <w:rFonts w:ascii="IRNazanin" w:hAnsi="IRNazanin" w:eastAsia="IRNazanin" w:cs="IRNazanin"/>
            <w:color w:val="111111"/>
            <w:sz w:val="22"/>
            <w:szCs w:val="22"/>
            <w:b w:val="0"/>
            <w:bCs w:val="0"/>
            <w:i w:val="0"/>
            <w:iCs w:val="0"/>
          </w:rPr>
          <w:t>8174- دیوان وفائی دهلوی أو شعره‏</w:t>
        </w:r>
        <w:r>
          <w:tab/>
        </w:r>
        <w:r>
          <w:fldChar w:fldCharType="begin"/>
        </w:r>
        <w:r>
          <w:instrText xml:space="preserve">PAGEREF 9494 \h</w:instrText>
        </w:r>
        <w:r>
          <w:fldChar w:fldCharType="end"/>
        </w:r>
      </w:hyperlink>
    </w:p>
    <w:p>
      <w:pPr>
        <w:tabs>
          <w:tab w:val="right" w:leader="dot" w:pos="9062"/>
        </w:tabs>
        <w:ind w:left="440"/>
      </w:pPr>
      <w:hyperlink w:anchor="_Toc9495" w:history="1">
        <w:r>
          <w:rPr>
            <w:rFonts w:ascii="IRNazanin" w:hAnsi="IRNazanin" w:eastAsia="IRNazanin" w:cs="IRNazanin"/>
            <w:color w:val="111111"/>
            <w:sz w:val="22"/>
            <w:szCs w:val="22"/>
            <w:b w:val="0"/>
            <w:bCs w:val="0"/>
            <w:i w:val="0"/>
            <w:iCs w:val="0"/>
          </w:rPr>
          <w:t>8175- دیوان وفائی رازی أو شعره‏</w:t>
        </w:r>
        <w:r>
          <w:tab/>
        </w:r>
        <w:r>
          <w:fldChar w:fldCharType="begin"/>
        </w:r>
        <w:r>
          <w:instrText xml:space="preserve">PAGEREF 9495 \h</w:instrText>
        </w:r>
        <w:r>
          <w:fldChar w:fldCharType="end"/>
        </w:r>
      </w:hyperlink>
    </w:p>
    <w:p>
      <w:pPr>
        <w:tabs>
          <w:tab w:val="right" w:leader="dot" w:pos="9062"/>
        </w:tabs>
        <w:ind w:left="440"/>
      </w:pPr>
      <w:hyperlink w:anchor="_Toc9496" w:history="1">
        <w:r>
          <w:rPr>
            <w:rFonts w:ascii="IRNazanin" w:hAnsi="IRNazanin" w:eastAsia="IRNazanin" w:cs="IRNazanin"/>
            <w:color w:val="111111"/>
            <w:sz w:val="22"/>
            <w:szCs w:val="22"/>
            <w:b w:val="0"/>
            <w:bCs w:val="0"/>
            <w:i w:val="0"/>
            <w:iCs w:val="0"/>
          </w:rPr>
          <w:t>8176- دیوان وفائی سبزواری أو شعره‏</w:t>
        </w:r>
        <w:r>
          <w:tab/>
        </w:r>
        <w:r>
          <w:fldChar w:fldCharType="begin"/>
        </w:r>
        <w:r>
          <w:instrText xml:space="preserve">PAGEREF 9496 \h</w:instrText>
        </w:r>
        <w:r>
          <w:fldChar w:fldCharType="end"/>
        </w:r>
      </w:hyperlink>
    </w:p>
    <w:p>
      <w:pPr>
        <w:tabs>
          <w:tab w:val="right" w:leader="dot" w:pos="9062"/>
        </w:tabs>
        <w:ind w:left="440"/>
      </w:pPr>
      <w:hyperlink w:anchor="_Toc9497" w:history="1">
        <w:r>
          <w:rPr>
            <w:rFonts w:ascii="IRNazanin" w:hAnsi="IRNazanin" w:eastAsia="IRNazanin" w:cs="IRNazanin"/>
            <w:color w:val="111111"/>
            <w:sz w:val="22"/>
            <w:szCs w:val="22"/>
            <w:b w:val="0"/>
            <w:bCs w:val="0"/>
            <w:i w:val="0"/>
            <w:iCs w:val="0"/>
          </w:rPr>
          <w:t>8177- دیوان وفائی سمنانی أو شعره‏</w:t>
        </w:r>
        <w:r>
          <w:tab/>
        </w:r>
        <w:r>
          <w:fldChar w:fldCharType="begin"/>
        </w:r>
        <w:r>
          <w:instrText xml:space="preserve">PAGEREF 9497 \h</w:instrText>
        </w:r>
        <w:r>
          <w:fldChar w:fldCharType="end"/>
        </w:r>
      </w:hyperlink>
    </w:p>
    <w:p>
      <w:pPr>
        <w:tabs>
          <w:tab w:val="right" w:leader="dot" w:pos="9062"/>
        </w:tabs>
        <w:ind w:left="440"/>
      </w:pPr>
      <w:hyperlink w:anchor="_Toc9498" w:history="1">
        <w:r>
          <w:rPr>
            <w:rFonts w:ascii="IRNazanin" w:hAnsi="IRNazanin" w:eastAsia="IRNazanin" w:cs="IRNazanin"/>
            <w:color w:val="111111"/>
            <w:sz w:val="22"/>
            <w:szCs w:val="22"/>
            <w:b w:val="0"/>
            <w:bCs w:val="0"/>
            <w:i w:val="0"/>
            <w:iCs w:val="0"/>
          </w:rPr>
          <w:t>8178- دیوان وفائی شوشتری‏</w:t>
        </w:r>
        <w:r>
          <w:tab/>
        </w:r>
        <w:r>
          <w:fldChar w:fldCharType="begin"/>
        </w:r>
        <w:r>
          <w:instrText xml:space="preserve">PAGEREF 9498 \h</w:instrText>
        </w:r>
        <w:r>
          <w:fldChar w:fldCharType="end"/>
        </w:r>
      </w:hyperlink>
    </w:p>
    <w:p>
      <w:pPr>
        <w:tabs>
          <w:tab w:val="right" w:leader="dot" w:pos="9062"/>
        </w:tabs>
        <w:ind w:left="440"/>
      </w:pPr>
      <w:hyperlink w:anchor="_Toc9499" w:history="1">
        <w:r>
          <w:rPr>
            <w:rFonts w:ascii="IRNazanin" w:hAnsi="IRNazanin" w:eastAsia="IRNazanin" w:cs="IRNazanin"/>
            <w:color w:val="111111"/>
            <w:sz w:val="22"/>
            <w:szCs w:val="22"/>
            <w:b w:val="0"/>
            <w:bCs w:val="0"/>
            <w:i w:val="0"/>
            <w:iCs w:val="0"/>
          </w:rPr>
          <w:t>8179- دیوان وفائی شیرازی أو شعره‏</w:t>
        </w:r>
        <w:r>
          <w:tab/>
        </w:r>
        <w:r>
          <w:fldChar w:fldCharType="begin"/>
        </w:r>
        <w:r>
          <w:instrText xml:space="preserve">PAGEREF 9499 \h</w:instrText>
        </w:r>
        <w:r>
          <w:fldChar w:fldCharType="end"/>
        </w:r>
      </w:hyperlink>
    </w:p>
    <w:p>
      <w:pPr>
        <w:tabs>
          <w:tab w:val="right" w:leader="dot" w:pos="9062"/>
        </w:tabs>
        <w:ind w:left="440"/>
      </w:pPr>
      <w:hyperlink w:anchor="_Toc9500" w:history="1">
        <w:r>
          <w:rPr>
            <w:rFonts w:ascii="IRNazanin" w:hAnsi="IRNazanin" w:eastAsia="IRNazanin" w:cs="IRNazanin"/>
            <w:color w:val="111111"/>
            <w:sz w:val="22"/>
            <w:szCs w:val="22"/>
            <w:b w:val="0"/>
            <w:bCs w:val="0"/>
            <w:i w:val="0"/>
            <w:iCs w:val="0"/>
          </w:rPr>
          <w:t>دیوان وفائی قمی‏</w:t>
        </w:r>
        <w:r>
          <w:tab/>
        </w:r>
        <w:r>
          <w:fldChar w:fldCharType="begin"/>
        </w:r>
        <w:r>
          <w:instrText xml:space="preserve">PAGEREF 9500 \h</w:instrText>
        </w:r>
        <w:r>
          <w:fldChar w:fldCharType="end"/>
        </w:r>
      </w:hyperlink>
    </w:p>
    <w:p>
      <w:pPr>
        <w:tabs>
          <w:tab w:val="right" w:leader="dot" w:pos="9062"/>
        </w:tabs>
        <w:ind w:left="440"/>
      </w:pPr>
      <w:hyperlink w:anchor="_Toc9501" w:history="1">
        <w:r>
          <w:rPr>
            <w:rFonts w:ascii="IRNazanin" w:hAnsi="IRNazanin" w:eastAsia="IRNazanin" w:cs="IRNazanin"/>
            <w:color w:val="111111"/>
            <w:sz w:val="22"/>
            <w:szCs w:val="22"/>
            <w:b w:val="0"/>
            <w:bCs w:val="0"/>
            <w:i w:val="0"/>
            <w:iCs w:val="0"/>
          </w:rPr>
          <w:t>8180- دیوان وفائی کرد أو شعره‏</w:t>
        </w:r>
        <w:r>
          <w:tab/>
        </w:r>
        <w:r>
          <w:fldChar w:fldCharType="begin"/>
        </w:r>
        <w:r>
          <w:instrText xml:space="preserve">PAGEREF 9501 \h</w:instrText>
        </w:r>
        <w:r>
          <w:fldChar w:fldCharType="end"/>
        </w:r>
      </w:hyperlink>
    </w:p>
    <w:p>
      <w:pPr>
        <w:tabs>
          <w:tab w:val="right" w:leader="dot" w:pos="9062"/>
        </w:tabs>
        <w:ind w:left="440"/>
      </w:pPr>
      <w:hyperlink w:anchor="_Toc9502" w:history="1">
        <w:r>
          <w:rPr>
            <w:rFonts w:ascii="IRNazanin" w:hAnsi="IRNazanin" w:eastAsia="IRNazanin" w:cs="IRNazanin"/>
            <w:color w:val="111111"/>
            <w:sz w:val="22"/>
            <w:szCs w:val="22"/>
            <w:b w:val="0"/>
            <w:bCs w:val="0"/>
            <w:i w:val="0"/>
            <w:iCs w:val="0"/>
          </w:rPr>
          <w:t>8181- دیوان وفائی کاشغری أو شعره‏</w:t>
        </w:r>
        <w:r>
          <w:tab/>
        </w:r>
        <w:r>
          <w:fldChar w:fldCharType="begin"/>
        </w:r>
        <w:r>
          <w:instrText xml:space="preserve">PAGEREF 9502 \h</w:instrText>
        </w:r>
        <w:r>
          <w:fldChar w:fldCharType="end"/>
        </w:r>
      </w:hyperlink>
    </w:p>
    <w:p>
      <w:pPr>
        <w:tabs>
          <w:tab w:val="right" w:leader="dot" w:pos="9062"/>
        </w:tabs>
        <w:ind w:left="440"/>
      </w:pPr>
      <w:hyperlink w:anchor="_Toc9503" w:history="1">
        <w:r>
          <w:rPr>
            <w:rFonts w:ascii="IRNazanin" w:hAnsi="IRNazanin" w:eastAsia="IRNazanin" w:cs="IRNazanin"/>
            <w:color w:val="111111"/>
            <w:sz w:val="22"/>
            <w:szCs w:val="22"/>
            <w:b w:val="0"/>
            <w:bCs w:val="0"/>
            <w:i w:val="0"/>
            <w:iCs w:val="0"/>
          </w:rPr>
          <w:t>دیوان وفائی مشهدی‏</w:t>
        </w:r>
        <w:r>
          <w:tab/>
        </w:r>
        <w:r>
          <w:fldChar w:fldCharType="begin"/>
        </w:r>
        <w:r>
          <w:instrText xml:space="preserve">PAGEREF 9503 \h</w:instrText>
        </w:r>
        <w:r>
          <w:fldChar w:fldCharType="end"/>
        </w:r>
      </w:hyperlink>
    </w:p>
    <w:p>
      <w:pPr>
        <w:tabs>
          <w:tab w:val="right" w:leader="dot" w:pos="9062"/>
        </w:tabs>
        <w:ind w:left="440"/>
      </w:pPr>
      <w:hyperlink w:anchor="_Toc9504" w:history="1">
        <w:r>
          <w:rPr>
            <w:rFonts w:ascii="IRNazanin" w:hAnsi="IRNazanin" w:eastAsia="IRNazanin" w:cs="IRNazanin"/>
            <w:color w:val="111111"/>
            <w:sz w:val="22"/>
            <w:szCs w:val="22"/>
            <w:b w:val="0"/>
            <w:bCs w:val="0"/>
            <w:i w:val="0"/>
            <w:iCs w:val="0"/>
          </w:rPr>
          <w:t>8182- دیوان وفائی هروی أو شعره‏</w:t>
        </w:r>
        <w:r>
          <w:tab/>
        </w:r>
        <w:r>
          <w:fldChar w:fldCharType="begin"/>
        </w:r>
        <w:r>
          <w:instrText xml:space="preserve">PAGEREF 9504 \h</w:instrText>
        </w:r>
        <w:r>
          <w:fldChar w:fldCharType="end"/>
        </w:r>
      </w:hyperlink>
    </w:p>
    <w:p>
      <w:pPr>
        <w:tabs>
          <w:tab w:val="right" w:leader="dot" w:pos="9062"/>
        </w:tabs>
        <w:ind w:left="440"/>
      </w:pPr>
      <w:hyperlink w:anchor="_Toc9505" w:history="1">
        <w:r>
          <w:rPr>
            <w:rFonts w:ascii="IRNazanin" w:hAnsi="IRNazanin" w:eastAsia="IRNazanin" w:cs="IRNazanin"/>
            <w:color w:val="111111"/>
            <w:sz w:val="22"/>
            <w:szCs w:val="22"/>
            <w:b w:val="0"/>
            <w:bCs w:val="0"/>
            <w:i w:val="0"/>
            <w:iCs w:val="0"/>
          </w:rPr>
          <w:t>8183- دیوان وفائی یزدی أو شعره‏</w:t>
        </w:r>
        <w:r>
          <w:tab/>
        </w:r>
        <w:r>
          <w:fldChar w:fldCharType="begin"/>
        </w:r>
        <w:r>
          <w:instrText xml:space="preserve">PAGEREF 9505 \h</w:instrText>
        </w:r>
        <w:r>
          <w:fldChar w:fldCharType="end"/>
        </w:r>
      </w:hyperlink>
    </w:p>
    <w:p>
      <w:pPr>
        <w:tabs>
          <w:tab w:val="right" w:leader="dot" w:pos="9062"/>
        </w:tabs>
        <w:ind w:left="440"/>
      </w:pPr>
      <w:hyperlink w:anchor="_Toc9506" w:history="1">
        <w:r>
          <w:rPr>
            <w:rFonts w:ascii="IRNazanin" w:hAnsi="IRNazanin" w:eastAsia="IRNazanin" w:cs="IRNazanin"/>
            <w:color w:val="111111"/>
            <w:sz w:val="22"/>
            <w:szCs w:val="22"/>
            <w:b w:val="0"/>
            <w:bCs w:val="0"/>
            <w:i w:val="0"/>
            <w:iCs w:val="0"/>
          </w:rPr>
          <w:t>8184- دیوان وفی‏</w:t>
        </w:r>
        <w:r>
          <w:tab/>
        </w:r>
        <w:r>
          <w:fldChar w:fldCharType="begin"/>
        </w:r>
        <w:r>
          <w:instrText xml:space="preserve">PAGEREF 9506 \h</w:instrText>
        </w:r>
        <w:r>
          <w:fldChar w:fldCharType="end"/>
        </w:r>
      </w:hyperlink>
    </w:p>
    <w:p>
      <w:pPr>
        <w:tabs>
          <w:tab w:val="right" w:leader="dot" w:pos="9062"/>
        </w:tabs>
        <w:ind w:left="440"/>
      </w:pPr>
      <w:hyperlink w:anchor="_Toc9507" w:history="1">
        <w:r>
          <w:rPr>
            <w:rFonts w:ascii="IRNazanin" w:hAnsi="IRNazanin" w:eastAsia="IRNazanin" w:cs="IRNazanin"/>
            <w:color w:val="111111"/>
            <w:sz w:val="22"/>
            <w:szCs w:val="22"/>
            <w:b w:val="0"/>
            <w:bCs w:val="0"/>
            <w:i w:val="0"/>
            <w:iCs w:val="0"/>
          </w:rPr>
          <w:t>دیوان وقار اورنگ‏آبادی‏</w:t>
        </w:r>
        <w:r>
          <w:tab/>
        </w:r>
        <w:r>
          <w:fldChar w:fldCharType="begin"/>
        </w:r>
        <w:r>
          <w:instrText xml:space="preserve">PAGEREF 9507 \h</w:instrText>
        </w:r>
        <w:r>
          <w:fldChar w:fldCharType="end"/>
        </w:r>
      </w:hyperlink>
    </w:p>
    <w:p>
      <w:pPr>
        <w:tabs>
          <w:tab w:val="right" w:leader="dot" w:pos="9062"/>
        </w:tabs>
        <w:ind w:left="440"/>
      </w:pPr>
      <w:hyperlink w:anchor="_Toc9508" w:history="1">
        <w:r>
          <w:rPr>
            <w:rFonts w:ascii="IRNazanin" w:hAnsi="IRNazanin" w:eastAsia="IRNazanin" w:cs="IRNazanin"/>
            <w:color w:val="111111"/>
            <w:sz w:val="22"/>
            <w:szCs w:val="22"/>
            <w:b w:val="0"/>
            <w:bCs w:val="0"/>
            <w:i w:val="0"/>
            <w:iCs w:val="0"/>
          </w:rPr>
          <w:t>8185- دیوان وقار شیرازی‏</w:t>
        </w:r>
        <w:r>
          <w:tab/>
        </w:r>
        <w:r>
          <w:fldChar w:fldCharType="begin"/>
        </w:r>
        <w:r>
          <w:instrText xml:space="preserve">PAGEREF 9508 \h</w:instrText>
        </w:r>
        <w:r>
          <w:fldChar w:fldCharType="end"/>
        </w:r>
      </w:hyperlink>
    </w:p>
    <w:p>
      <w:pPr>
        <w:tabs>
          <w:tab w:val="right" w:leader="dot" w:pos="9062"/>
        </w:tabs>
        <w:ind w:left="440"/>
      </w:pPr>
      <w:hyperlink w:anchor="_Toc9509" w:history="1">
        <w:r>
          <w:rPr>
            <w:rFonts w:ascii="IRNazanin" w:hAnsi="IRNazanin" w:eastAsia="IRNazanin" w:cs="IRNazanin"/>
            <w:color w:val="111111"/>
            <w:sz w:val="22"/>
            <w:szCs w:val="22"/>
            <w:b w:val="0"/>
            <w:bCs w:val="0"/>
            <w:i w:val="0"/>
            <w:iCs w:val="0"/>
          </w:rPr>
          <w:t>دیوان وقار طبسی‏</w:t>
        </w:r>
        <w:r>
          <w:tab/>
        </w:r>
        <w:r>
          <w:fldChar w:fldCharType="begin"/>
        </w:r>
        <w:r>
          <w:instrText xml:space="preserve">PAGEREF 9509 \h</w:instrText>
        </w:r>
        <w:r>
          <w:fldChar w:fldCharType="end"/>
        </w:r>
      </w:hyperlink>
    </w:p>
    <w:p>
      <w:pPr>
        <w:tabs>
          <w:tab w:val="right" w:leader="dot" w:pos="9062"/>
        </w:tabs>
        <w:ind w:left="440"/>
      </w:pPr>
      <w:hyperlink w:anchor="_Toc9510" w:history="1">
        <w:r>
          <w:rPr>
            <w:rFonts w:ascii="IRNazanin" w:hAnsi="IRNazanin" w:eastAsia="IRNazanin" w:cs="IRNazanin"/>
            <w:color w:val="111111"/>
            <w:sz w:val="22"/>
            <w:szCs w:val="22"/>
            <w:b w:val="0"/>
            <w:bCs w:val="0"/>
            <w:i w:val="0"/>
            <w:iCs w:val="0"/>
          </w:rPr>
          <w:t>8186- دیوان وقاری أصفهانی أو شعره‏</w:t>
        </w:r>
        <w:r>
          <w:tab/>
        </w:r>
        <w:r>
          <w:fldChar w:fldCharType="begin"/>
        </w:r>
        <w:r>
          <w:instrText xml:space="preserve">PAGEREF 9510 \h</w:instrText>
        </w:r>
        <w:r>
          <w:fldChar w:fldCharType="end"/>
        </w:r>
      </w:hyperlink>
    </w:p>
    <w:p>
      <w:pPr>
        <w:tabs>
          <w:tab w:val="right" w:leader="dot" w:pos="9062"/>
        </w:tabs>
        <w:ind w:left="440"/>
      </w:pPr>
      <w:hyperlink w:anchor="_Toc9511" w:history="1">
        <w:r>
          <w:rPr>
            <w:rFonts w:ascii="IRNazanin" w:hAnsi="IRNazanin" w:eastAsia="IRNazanin" w:cs="IRNazanin"/>
            <w:color w:val="111111"/>
            <w:sz w:val="22"/>
            <w:szCs w:val="22"/>
            <w:b w:val="0"/>
            <w:bCs w:val="0"/>
            <w:i w:val="0"/>
            <w:iCs w:val="0"/>
          </w:rPr>
          <w:t>8187- دیوان وقاری تتوی‏</w:t>
        </w:r>
        <w:r>
          <w:tab/>
        </w:r>
        <w:r>
          <w:fldChar w:fldCharType="begin"/>
        </w:r>
        <w:r>
          <w:instrText xml:space="preserve">PAGEREF 9511 \h</w:instrText>
        </w:r>
        <w:r>
          <w:fldChar w:fldCharType="end"/>
        </w:r>
      </w:hyperlink>
    </w:p>
    <w:p>
      <w:pPr>
        <w:tabs>
          <w:tab w:val="right" w:leader="dot" w:pos="9062"/>
        </w:tabs>
        <w:ind w:left="440"/>
      </w:pPr>
      <w:hyperlink w:anchor="_Toc9512" w:history="1">
        <w:r>
          <w:rPr>
            <w:rFonts w:ascii="IRNazanin" w:hAnsi="IRNazanin" w:eastAsia="IRNazanin" w:cs="IRNazanin"/>
            <w:color w:val="111111"/>
            <w:sz w:val="22"/>
            <w:szCs w:val="22"/>
            <w:b w:val="0"/>
            <w:bCs w:val="0"/>
            <w:i w:val="0"/>
            <w:iCs w:val="0"/>
          </w:rPr>
          <w:t>8188- دیوان وقاری طبسی‏</w:t>
        </w:r>
        <w:r>
          <w:tab/>
        </w:r>
        <w:r>
          <w:fldChar w:fldCharType="begin"/>
        </w:r>
        <w:r>
          <w:instrText xml:space="preserve">PAGEREF 9512 \h</w:instrText>
        </w:r>
        <w:r>
          <w:fldChar w:fldCharType="end"/>
        </w:r>
      </w:hyperlink>
    </w:p>
    <w:p>
      <w:pPr>
        <w:tabs>
          <w:tab w:val="right" w:leader="dot" w:pos="9062"/>
        </w:tabs>
        <w:ind w:left="440"/>
      </w:pPr>
      <w:hyperlink w:anchor="_Toc9513" w:history="1">
        <w:r>
          <w:rPr>
            <w:rFonts w:ascii="IRNazanin" w:hAnsi="IRNazanin" w:eastAsia="IRNazanin" w:cs="IRNazanin"/>
            <w:color w:val="111111"/>
            <w:sz w:val="22"/>
            <w:szCs w:val="22"/>
            <w:b w:val="0"/>
            <w:bCs w:val="0"/>
            <w:i w:val="0"/>
            <w:iCs w:val="0"/>
          </w:rPr>
          <w:t>دیوان وقاری یزدی‏</w:t>
        </w:r>
        <w:r>
          <w:tab/>
        </w:r>
        <w:r>
          <w:fldChar w:fldCharType="begin"/>
        </w:r>
        <w:r>
          <w:instrText xml:space="preserve">PAGEREF 9513 \h</w:instrText>
        </w:r>
        <w:r>
          <w:fldChar w:fldCharType="end"/>
        </w:r>
      </w:hyperlink>
    </w:p>
    <w:p>
      <w:pPr>
        <w:tabs>
          <w:tab w:val="right" w:leader="dot" w:pos="9062"/>
        </w:tabs>
        <w:ind w:left="440"/>
      </w:pPr>
      <w:hyperlink w:anchor="_Toc9514" w:history="1">
        <w:r>
          <w:rPr>
            <w:rFonts w:ascii="IRNazanin" w:hAnsi="IRNazanin" w:eastAsia="IRNazanin" w:cs="IRNazanin"/>
            <w:color w:val="111111"/>
            <w:sz w:val="22"/>
            <w:szCs w:val="22"/>
            <w:b w:val="0"/>
            <w:bCs w:val="0"/>
            <w:i w:val="0"/>
            <w:iCs w:val="0"/>
          </w:rPr>
          <w:t>8189- دیوان وقوعی تبریزی‏</w:t>
        </w:r>
        <w:r>
          <w:tab/>
        </w:r>
        <w:r>
          <w:fldChar w:fldCharType="begin"/>
        </w:r>
        <w:r>
          <w:instrText xml:space="preserve">PAGEREF 9514 \h</w:instrText>
        </w:r>
        <w:r>
          <w:fldChar w:fldCharType="end"/>
        </w:r>
      </w:hyperlink>
    </w:p>
    <w:p>
      <w:pPr>
        <w:tabs>
          <w:tab w:val="right" w:leader="dot" w:pos="9062"/>
        </w:tabs>
        <w:ind w:left="440"/>
      </w:pPr>
      <w:hyperlink w:anchor="_Toc9515" w:history="1">
        <w:r>
          <w:rPr>
            <w:rFonts w:ascii="IRNazanin" w:hAnsi="IRNazanin" w:eastAsia="IRNazanin" w:cs="IRNazanin"/>
            <w:color w:val="111111"/>
            <w:sz w:val="22"/>
            <w:szCs w:val="22"/>
            <w:b w:val="0"/>
            <w:bCs w:val="0"/>
            <w:i w:val="0"/>
            <w:iCs w:val="0"/>
          </w:rPr>
          <w:t>دیوان وقوعی سمنانی‏</w:t>
        </w:r>
        <w:r>
          <w:tab/>
        </w:r>
        <w:r>
          <w:fldChar w:fldCharType="begin"/>
        </w:r>
        <w:r>
          <w:instrText xml:space="preserve">PAGEREF 9515 \h</w:instrText>
        </w:r>
        <w:r>
          <w:fldChar w:fldCharType="end"/>
        </w:r>
      </w:hyperlink>
    </w:p>
    <w:p>
      <w:pPr>
        <w:tabs>
          <w:tab w:val="right" w:leader="dot" w:pos="9062"/>
        </w:tabs>
        <w:ind w:left="440"/>
      </w:pPr>
      <w:hyperlink w:anchor="_Toc9516" w:history="1">
        <w:r>
          <w:rPr>
            <w:rFonts w:ascii="IRNazanin" w:hAnsi="IRNazanin" w:eastAsia="IRNazanin" w:cs="IRNazanin"/>
            <w:color w:val="111111"/>
            <w:sz w:val="22"/>
            <w:szCs w:val="22"/>
            <w:b w:val="0"/>
            <w:bCs w:val="0"/>
            <w:i w:val="0"/>
            <w:iCs w:val="0"/>
          </w:rPr>
          <w:t>8190- دیوان وقوعی نیشابوری‏</w:t>
        </w:r>
        <w:r>
          <w:tab/>
        </w:r>
        <w:r>
          <w:fldChar w:fldCharType="begin"/>
        </w:r>
        <w:r>
          <w:instrText xml:space="preserve">PAGEREF 9516 \h</w:instrText>
        </w:r>
        <w:r>
          <w:fldChar w:fldCharType="end"/>
        </w:r>
      </w:hyperlink>
    </w:p>
    <w:p>
      <w:pPr>
        <w:tabs>
          <w:tab w:val="right" w:leader="dot" w:pos="9062"/>
        </w:tabs>
        <w:ind w:left="440"/>
      </w:pPr>
      <w:hyperlink w:anchor="_Toc9517" w:history="1">
        <w:r>
          <w:rPr>
            <w:rFonts w:ascii="IRNazanin" w:hAnsi="IRNazanin" w:eastAsia="IRNazanin" w:cs="IRNazanin"/>
            <w:color w:val="111111"/>
            <w:sz w:val="22"/>
            <w:szCs w:val="22"/>
            <w:b w:val="0"/>
            <w:bCs w:val="0"/>
            <w:i w:val="0"/>
            <w:iCs w:val="0"/>
          </w:rPr>
          <w:t>8191- دیوان وقوعی هروی أو شعره‏</w:t>
        </w:r>
        <w:r>
          <w:tab/>
        </w:r>
        <w:r>
          <w:fldChar w:fldCharType="begin"/>
        </w:r>
        <w:r>
          <w:instrText xml:space="preserve">PAGEREF 9517 \h</w:instrText>
        </w:r>
        <w:r>
          <w:fldChar w:fldCharType="end"/>
        </w:r>
      </w:hyperlink>
    </w:p>
    <w:p>
      <w:pPr>
        <w:tabs>
          <w:tab w:val="right" w:leader="dot" w:pos="9062"/>
        </w:tabs>
        <w:ind w:left="440"/>
      </w:pPr>
      <w:hyperlink w:anchor="_Toc9518" w:history="1">
        <w:r>
          <w:rPr>
            <w:rFonts w:ascii="IRNazanin" w:hAnsi="IRNazanin" w:eastAsia="IRNazanin" w:cs="IRNazanin"/>
            <w:color w:val="111111"/>
            <w:sz w:val="22"/>
            <w:szCs w:val="22"/>
            <w:b w:val="0"/>
            <w:bCs w:val="0"/>
            <w:i w:val="0"/>
            <w:iCs w:val="0"/>
          </w:rPr>
          <w:t>8192- دیوان وکیل قمی أو شعره‏</w:t>
        </w:r>
        <w:r>
          <w:tab/>
        </w:r>
        <w:r>
          <w:fldChar w:fldCharType="begin"/>
        </w:r>
        <w:r>
          <w:instrText xml:space="preserve">PAGEREF 9518 \h</w:instrText>
        </w:r>
        <w:r>
          <w:fldChar w:fldCharType="end"/>
        </w:r>
      </w:hyperlink>
    </w:p>
    <w:p>
      <w:pPr>
        <w:tabs>
          <w:tab w:val="right" w:leader="dot" w:pos="9062"/>
        </w:tabs>
        <w:ind w:left="440"/>
      </w:pPr>
      <w:hyperlink w:anchor="_Toc9519" w:history="1">
        <w:r>
          <w:rPr>
            <w:rFonts w:ascii="IRNazanin" w:hAnsi="IRNazanin" w:eastAsia="IRNazanin" w:cs="IRNazanin"/>
            <w:color w:val="111111"/>
            <w:sz w:val="22"/>
            <w:szCs w:val="22"/>
            <w:b w:val="0"/>
            <w:bCs w:val="0"/>
            <w:i w:val="0"/>
            <w:iCs w:val="0"/>
          </w:rPr>
          <w:t>8193- دیوان وکیلی قمی‏</w:t>
        </w:r>
        <w:r>
          <w:tab/>
        </w:r>
        <w:r>
          <w:fldChar w:fldCharType="begin"/>
        </w:r>
        <w:r>
          <w:instrText xml:space="preserve">PAGEREF 9519 \h</w:instrText>
        </w:r>
        <w:r>
          <w:fldChar w:fldCharType="end"/>
        </w:r>
      </w:hyperlink>
    </w:p>
    <w:p>
      <w:pPr>
        <w:tabs>
          <w:tab w:val="right" w:leader="dot" w:pos="9062"/>
        </w:tabs>
        <w:ind w:left="440"/>
      </w:pPr>
      <w:hyperlink w:anchor="_Toc9520" w:history="1">
        <w:r>
          <w:rPr>
            <w:rFonts w:ascii="IRNazanin" w:hAnsi="IRNazanin" w:eastAsia="IRNazanin" w:cs="IRNazanin"/>
            <w:color w:val="111111"/>
            <w:sz w:val="22"/>
            <w:szCs w:val="22"/>
            <w:b w:val="0"/>
            <w:bCs w:val="0"/>
            <w:i w:val="0"/>
            <w:iCs w:val="0"/>
          </w:rPr>
          <w:t>8194- دیوان ولایت الله‏آبادی‏</w:t>
        </w:r>
        <w:r>
          <w:tab/>
        </w:r>
        <w:r>
          <w:fldChar w:fldCharType="begin"/>
        </w:r>
        <w:r>
          <w:instrText xml:space="preserve">PAGEREF 9520 \h</w:instrText>
        </w:r>
        <w:r>
          <w:fldChar w:fldCharType="end"/>
        </w:r>
      </w:hyperlink>
    </w:p>
    <w:p>
      <w:pPr>
        <w:tabs>
          <w:tab w:val="right" w:leader="dot" w:pos="9062"/>
        </w:tabs>
        <w:ind w:left="440"/>
      </w:pPr>
      <w:hyperlink w:anchor="_Toc9521" w:history="1">
        <w:r>
          <w:rPr>
            <w:rFonts w:ascii="IRNazanin" w:hAnsi="IRNazanin" w:eastAsia="IRNazanin" w:cs="IRNazanin"/>
            <w:color w:val="111111"/>
            <w:sz w:val="22"/>
            <w:szCs w:val="22"/>
            <w:b w:val="0"/>
            <w:bCs w:val="0"/>
            <w:i w:val="0"/>
            <w:iCs w:val="0"/>
          </w:rPr>
          <w:t>8195- دیوان ولای لکهنوی أو شعره‏</w:t>
        </w:r>
        <w:r>
          <w:tab/>
        </w:r>
        <w:r>
          <w:fldChar w:fldCharType="begin"/>
        </w:r>
        <w:r>
          <w:instrText xml:space="preserve">PAGEREF 9521 \h</w:instrText>
        </w:r>
        <w:r>
          <w:fldChar w:fldCharType="end"/>
        </w:r>
      </w:hyperlink>
    </w:p>
    <w:p>
      <w:pPr>
        <w:tabs>
          <w:tab w:val="right" w:leader="dot" w:pos="9062"/>
        </w:tabs>
        <w:ind w:left="440"/>
      </w:pPr>
      <w:hyperlink w:anchor="_Toc9522" w:history="1">
        <w:r>
          <w:rPr>
            <w:rFonts w:ascii="IRNazanin" w:hAnsi="IRNazanin" w:eastAsia="IRNazanin" w:cs="IRNazanin"/>
            <w:color w:val="111111"/>
            <w:sz w:val="22"/>
            <w:szCs w:val="22"/>
            <w:b w:val="0"/>
            <w:bCs w:val="0"/>
            <w:i w:val="0"/>
            <w:iCs w:val="0"/>
          </w:rPr>
          <w:t>8196- دیوان ولائی أردستانی أو شعره‏</w:t>
        </w:r>
        <w:r>
          <w:tab/>
        </w:r>
        <w:r>
          <w:fldChar w:fldCharType="begin"/>
        </w:r>
        <w:r>
          <w:instrText xml:space="preserve">PAGEREF 9522 \h</w:instrText>
        </w:r>
        <w:r>
          <w:fldChar w:fldCharType="end"/>
        </w:r>
      </w:hyperlink>
    </w:p>
    <w:p>
      <w:pPr>
        <w:tabs>
          <w:tab w:val="right" w:leader="dot" w:pos="9062"/>
        </w:tabs>
        <w:ind w:left="440"/>
      </w:pPr>
      <w:hyperlink w:anchor="_Toc9523" w:history="1">
        <w:r>
          <w:rPr>
            <w:rFonts w:ascii="IRNazanin" w:hAnsi="IRNazanin" w:eastAsia="IRNazanin" w:cs="IRNazanin"/>
            <w:color w:val="111111"/>
            <w:sz w:val="22"/>
            <w:szCs w:val="22"/>
            <w:b w:val="0"/>
            <w:bCs w:val="0"/>
            <w:i w:val="0"/>
            <w:iCs w:val="0"/>
          </w:rPr>
          <w:t>8197- دیوان ولائی أسترآبادی أو شعره‏</w:t>
        </w:r>
        <w:r>
          <w:tab/>
        </w:r>
        <w:r>
          <w:fldChar w:fldCharType="begin"/>
        </w:r>
        <w:r>
          <w:instrText xml:space="preserve">PAGEREF 9523 \h</w:instrText>
        </w:r>
        <w:r>
          <w:fldChar w:fldCharType="end"/>
        </w:r>
      </w:hyperlink>
    </w:p>
    <w:p>
      <w:pPr>
        <w:tabs>
          <w:tab w:val="right" w:leader="dot" w:pos="9062"/>
        </w:tabs>
        <w:ind w:left="440"/>
      </w:pPr>
      <w:hyperlink w:anchor="_Toc9524" w:history="1">
        <w:r>
          <w:rPr>
            <w:rFonts w:ascii="IRNazanin" w:hAnsi="IRNazanin" w:eastAsia="IRNazanin" w:cs="IRNazanin"/>
            <w:color w:val="111111"/>
            <w:sz w:val="22"/>
            <w:szCs w:val="22"/>
            <w:b w:val="0"/>
            <w:bCs w:val="0"/>
            <w:i w:val="0"/>
            <w:iCs w:val="0"/>
          </w:rPr>
          <w:t>8198- دیوان ولائی دهلوی أو شعره‏</w:t>
        </w:r>
        <w:r>
          <w:tab/>
        </w:r>
        <w:r>
          <w:fldChar w:fldCharType="begin"/>
        </w:r>
        <w:r>
          <w:instrText xml:space="preserve">PAGEREF 9524 \h</w:instrText>
        </w:r>
        <w:r>
          <w:fldChar w:fldCharType="end"/>
        </w:r>
      </w:hyperlink>
    </w:p>
    <w:p>
      <w:pPr>
        <w:tabs>
          <w:tab w:val="right" w:leader="dot" w:pos="9062"/>
        </w:tabs>
        <w:ind w:left="440"/>
      </w:pPr>
      <w:hyperlink w:anchor="_Toc9525" w:history="1">
        <w:r>
          <w:rPr>
            <w:rFonts w:ascii="IRNazanin" w:hAnsi="IRNazanin" w:eastAsia="IRNazanin" w:cs="IRNazanin"/>
            <w:color w:val="111111"/>
            <w:sz w:val="22"/>
            <w:szCs w:val="22"/>
            <w:b w:val="0"/>
            <w:bCs w:val="0"/>
            <w:i w:val="0"/>
            <w:iCs w:val="0"/>
          </w:rPr>
          <w:t>8199- دیوان ولائی سیستانی أو شعره‏</w:t>
        </w:r>
        <w:r>
          <w:tab/>
        </w:r>
        <w:r>
          <w:fldChar w:fldCharType="begin"/>
        </w:r>
        <w:r>
          <w:instrText xml:space="preserve">PAGEREF 9525 \h</w:instrText>
        </w:r>
        <w:r>
          <w:fldChar w:fldCharType="end"/>
        </w:r>
      </w:hyperlink>
    </w:p>
    <w:p>
      <w:pPr>
        <w:tabs>
          <w:tab w:val="right" w:leader="dot" w:pos="9062"/>
        </w:tabs>
        <w:ind w:left="440"/>
      </w:pPr>
      <w:hyperlink w:anchor="_Toc9526" w:history="1">
        <w:r>
          <w:rPr>
            <w:rFonts w:ascii="IRNazanin" w:hAnsi="IRNazanin" w:eastAsia="IRNazanin" w:cs="IRNazanin"/>
            <w:color w:val="111111"/>
            <w:sz w:val="22"/>
            <w:szCs w:val="22"/>
            <w:b w:val="0"/>
            <w:bCs w:val="0"/>
            <w:i w:val="0"/>
            <w:iCs w:val="0"/>
          </w:rPr>
          <w:t>8200- دیوان سلطان ولد</w:t>
        </w:r>
        <w:r>
          <w:tab/>
        </w:r>
        <w:r>
          <w:fldChar w:fldCharType="begin"/>
        </w:r>
        <w:r>
          <w:instrText xml:space="preserve">PAGEREF 9526 \h</w:instrText>
        </w:r>
        <w:r>
          <w:fldChar w:fldCharType="end"/>
        </w:r>
      </w:hyperlink>
    </w:p>
    <w:p>
      <w:pPr>
        <w:tabs>
          <w:tab w:val="right" w:leader="dot" w:pos="9062"/>
        </w:tabs>
        <w:ind w:left="440"/>
      </w:pPr>
      <w:hyperlink w:anchor="_Toc9527" w:history="1">
        <w:r>
          <w:rPr>
            <w:rFonts w:ascii="IRNazanin" w:hAnsi="IRNazanin" w:eastAsia="IRNazanin" w:cs="IRNazanin"/>
            <w:color w:val="111111"/>
            <w:sz w:val="22"/>
            <w:szCs w:val="22"/>
            <w:b w:val="0"/>
            <w:bCs w:val="0"/>
            <w:i w:val="0"/>
            <w:iCs w:val="0"/>
          </w:rPr>
          <w:t>دیوان حسین ولد</w:t>
        </w:r>
        <w:r>
          <w:tab/>
        </w:r>
        <w:r>
          <w:fldChar w:fldCharType="begin"/>
        </w:r>
        <w:r>
          <w:instrText xml:space="preserve">PAGEREF 9527 \h</w:instrText>
        </w:r>
        <w:r>
          <w:fldChar w:fldCharType="end"/>
        </w:r>
      </w:hyperlink>
    </w:p>
    <w:p>
      <w:pPr>
        <w:tabs>
          <w:tab w:val="right" w:leader="dot" w:pos="9062"/>
        </w:tabs>
        <w:ind w:left="440"/>
      </w:pPr>
      <w:hyperlink w:anchor="_Toc9528" w:history="1">
        <w:r>
          <w:rPr>
            <w:rFonts w:ascii="IRNazanin" w:hAnsi="IRNazanin" w:eastAsia="IRNazanin" w:cs="IRNazanin"/>
            <w:color w:val="111111"/>
            <w:sz w:val="22"/>
            <w:szCs w:val="22"/>
            <w:b w:val="0"/>
            <w:bCs w:val="0"/>
            <w:i w:val="0"/>
            <w:iCs w:val="0"/>
          </w:rPr>
          <w:t>8201- دیوان ولدی أو شعره‏</w:t>
        </w:r>
        <w:r>
          <w:tab/>
        </w:r>
        <w:r>
          <w:fldChar w:fldCharType="begin"/>
        </w:r>
        <w:r>
          <w:instrText xml:space="preserve">PAGEREF 9528 \h</w:instrText>
        </w:r>
        <w:r>
          <w:fldChar w:fldCharType="end"/>
        </w:r>
      </w:hyperlink>
    </w:p>
    <w:p>
      <w:pPr>
        <w:tabs>
          <w:tab w:val="right" w:leader="dot" w:pos="9062"/>
        </w:tabs>
        <w:ind w:left="440"/>
      </w:pPr>
      <w:hyperlink w:anchor="_Toc9529" w:history="1">
        <w:r>
          <w:rPr>
            <w:rFonts w:ascii="IRNazanin" w:hAnsi="IRNazanin" w:eastAsia="IRNazanin" w:cs="IRNazanin"/>
            <w:color w:val="111111"/>
            <w:sz w:val="22"/>
            <w:szCs w:val="22"/>
            <w:b w:val="0"/>
            <w:bCs w:val="0"/>
            <w:i w:val="0"/>
            <w:iCs w:val="0"/>
          </w:rPr>
          <w:t>8202- دیوان ولی بلوچ‏</w:t>
        </w:r>
        <w:r>
          <w:tab/>
        </w:r>
        <w:r>
          <w:fldChar w:fldCharType="begin"/>
        </w:r>
        <w:r>
          <w:instrText xml:space="preserve">PAGEREF 9529 \h</w:instrText>
        </w:r>
        <w:r>
          <w:fldChar w:fldCharType="end"/>
        </w:r>
      </w:hyperlink>
    </w:p>
    <w:p>
      <w:pPr>
        <w:tabs>
          <w:tab w:val="right" w:leader="dot" w:pos="9062"/>
        </w:tabs>
        <w:ind w:left="440"/>
      </w:pPr>
      <w:hyperlink w:anchor="_Toc9530" w:history="1">
        <w:r>
          <w:rPr>
            <w:rFonts w:ascii="IRNazanin" w:hAnsi="IRNazanin" w:eastAsia="IRNazanin" w:cs="IRNazanin"/>
            <w:color w:val="111111"/>
            <w:sz w:val="22"/>
            <w:szCs w:val="22"/>
            <w:b w:val="0"/>
            <w:bCs w:val="0"/>
            <w:i w:val="0"/>
            <w:iCs w:val="0"/>
          </w:rPr>
          <w:t>8203- دیوان ولی خرم‏آبادی‏</w:t>
        </w:r>
        <w:r>
          <w:tab/>
        </w:r>
        <w:r>
          <w:fldChar w:fldCharType="begin"/>
        </w:r>
        <w:r>
          <w:instrText xml:space="preserve">PAGEREF 9530 \h</w:instrText>
        </w:r>
        <w:r>
          <w:fldChar w:fldCharType="end"/>
        </w:r>
      </w:hyperlink>
    </w:p>
    <w:p>
      <w:pPr>
        <w:tabs>
          <w:tab w:val="right" w:leader="dot" w:pos="9062"/>
        </w:tabs>
        <w:ind w:left="440"/>
      </w:pPr>
      <w:hyperlink w:anchor="_Toc9531" w:history="1">
        <w:r>
          <w:rPr>
            <w:rFonts w:ascii="IRNazanin" w:hAnsi="IRNazanin" w:eastAsia="IRNazanin" w:cs="IRNazanin"/>
            <w:color w:val="111111"/>
            <w:sz w:val="22"/>
            <w:szCs w:val="22"/>
            <w:b w:val="0"/>
            <w:bCs w:val="0"/>
            <w:i w:val="0"/>
            <w:iCs w:val="0"/>
          </w:rPr>
          <w:t>8204- دیوان ولی دشت بیاضی‏</w:t>
        </w:r>
        <w:r>
          <w:tab/>
        </w:r>
        <w:r>
          <w:fldChar w:fldCharType="begin"/>
        </w:r>
        <w:r>
          <w:instrText xml:space="preserve">PAGEREF 9531 \h</w:instrText>
        </w:r>
        <w:r>
          <w:fldChar w:fldCharType="end"/>
        </w:r>
      </w:hyperlink>
    </w:p>
    <w:p>
      <w:pPr>
        <w:tabs>
          <w:tab w:val="right" w:leader="dot" w:pos="9062"/>
        </w:tabs>
        <w:ind w:left="440"/>
      </w:pPr>
      <w:hyperlink w:anchor="_Toc9532" w:history="1">
        <w:r>
          <w:rPr>
            <w:rFonts w:ascii="IRNazanin" w:hAnsi="IRNazanin" w:eastAsia="IRNazanin" w:cs="IRNazanin"/>
            <w:color w:val="111111"/>
            <w:sz w:val="22"/>
            <w:szCs w:val="22"/>
            <w:b w:val="0"/>
            <w:bCs w:val="0"/>
            <w:i w:val="0"/>
            <w:iCs w:val="0"/>
          </w:rPr>
          <w:t>8205- دیوان ولی دهلوی أو شعره‏</w:t>
        </w:r>
        <w:r>
          <w:tab/>
        </w:r>
        <w:r>
          <w:fldChar w:fldCharType="begin"/>
        </w:r>
        <w:r>
          <w:instrText xml:space="preserve">PAGEREF 9532 \h</w:instrText>
        </w:r>
        <w:r>
          <w:fldChar w:fldCharType="end"/>
        </w:r>
      </w:hyperlink>
    </w:p>
    <w:p>
      <w:pPr>
        <w:tabs>
          <w:tab w:val="right" w:leader="dot" w:pos="9062"/>
        </w:tabs>
        <w:ind w:left="440"/>
      </w:pPr>
      <w:hyperlink w:anchor="_Toc9533" w:history="1">
        <w:r>
          <w:rPr>
            <w:rFonts w:ascii="IRNazanin" w:hAnsi="IRNazanin" w:eastAsia="IRNazanin" w:cs="IRNazanin"/>
            <w:color w:val="111111"/>
            <w:sz w:val="22"/>
            <w:szCs w:val="22"/>
            <w:b w:val="0"/>
            <w:bCs w:val="0"/>
            <w:i w:val="0"/>
            <w:iCs w:val="0"/>
          </w:rPr>
          <w:t>دیوان ولی شاملو</w:t>
        </w:r>
        <w:r>
          <w:tab/>
        </w:r>
        <w:r>
          <w:fldChar w:fldCharType="begin"/>
        </w:r>
        <w:r>
          <w:instrText xml:space="preserve">PAGEREF 9533 \h</w:instrText>
        </w:r>
        <w:r>
          <w:fldChar w:fldCharType="end"/>
        </w:r>
      </w:hyperlink>
    </w:p>
    <w:p>
      <w:pPr>
        <w:tabs>
          <w:tab w:val="right" w:leader="dot" w:pos="9062"/>
        </w:tabs>
        <w:ind w:left="440"/>
      </w:pPr>
      <w:hyperlink w:anchor="_Toc9534" w:history="1">
        <w:r>
          <w:rPr>
            <w:rFonts w:ascii="IRNazanin" w:hAnsi="IRNazanin" w:eastAsia="IRNazanin" w:cs="IRNazanin"/>
            <w:color w:val="111111"/>
            <w:sz w:val="22"/>
            <w:szCs w:val="22"/>
            <w:b w:val="0"/>
            <w:bCs w:val="0"/>
            <w:i w:val="0"/>
            <w:iCs w:val="0"/>
          </w:rPr>
          <w:t>8206- دیوان ولی شیرازی أو شعره‏</w:t>
        </w:r>
        <w:r>
          <w:tab/>
        </w:r>
        <w:r>
          <w:fldChar w:fldCharType="begin"/>
        </w:r>
        <w:r>
          <w:instrText xml:space="preserve">PAGEREF 9534 \h</w:instrText>
        </w:r>
        <w:r>
          <w:fldChar w:fldCharType="end"/>
        </w:r>
      </w:hyperlink>
    </w:p>
    <w:p>
      <w:pPr>
        <w:tabs>
          <w:tab w:val="right" w:leader="dot" w:pos="9062"/>
        </w:tabs>
        <w:ind w:left="440"/>
      </w:pPr>
      <w:hyperlink w:anchor="_Toc9535" w:history="1">
        <w:r>
          <w:rPr>
            <w:rFonts w:ascii="IRNazanin" w:hAnsi="IRNazanin" w:eastAsia="IRNazanin" w:cs="IRNazanin"/>
            <w:color w:val="111111"/>
            <w:sz w:val="22"/>
            <w:szCs w:val="22"/>
            <w:b w:val="0"/>
            <w:bCs w:val="0"/>
            <w:i w:val="0"/>
            <w:iCs w:val="0"/>
          </w:rPr>
          <w:t>8207- دیوان ولی شیرازی أو شعره‏</w:t>
        </w:r>
        <w:r>
          <w:tab/>
        </w:r>
        <w:r>
          <w:fldChar w:fldCharType="begin"/>
        </w:r>
        <w:r>
          <w:instrText xml:space="preserve">PAGEREF 9535 \h</w:instrText>
        </w:r>
        <w:r>
          <w:fldChar w:fldCharType="end"/>
        </w:r>
      </w:hyperlink>
    </w:p>
    <w:p>
      <w:pPr>
        <w:tabs>
          <w:tab w:val="right" w:leader="dot" w:pos="9062"/>
        </w:tabs>
        <w:ind w:left="440"/>
      </w:pPr>
      <w:hyperlink w:anchor="_Toc9536" w:history="1">
        <w:r>
          <w:rPr>
            <w:rFonts w:ascii="IRNazanin" w:hAnsi="IRNazanin" w:eastAsia="IRNazanin" w:cs="IRNazanin"/>
            <w:color w:val="111111"/>
            <w:sz w:val="22"/>
            <w:szCs w:val="22"/>
            <w:b w:val="0"/>
            <w:bCs w:val="0"/>
            <w:i w:val="0"/>
            <w:iCs w:val="0"/>
          </w:rPr>
          <w:t>دیوان ولی قاینی‏</w:t>
        </w:r>
        <w:r>
          <w:tab/>
        </w:r>
        <w:r>
          <w:fldChar w:fldCharType="begin"/>
        </w:r>
        <w:r>
          <w:instrText xml:space="preserve">PAGEREF 9536 \h</w:instrText>
        </w:r>
        <w:r>
          <w:fldChar w:fldCharType="end"/>
        </w:r>
      </w:hyperlink>
    </w:p>
    <w:p>
      <w:pPr>
        <w:tabs>
          <w:tab w:val="right" w:leader="dot" w:pos="9062"/>
        </w:tabs>
        <w:ind w:left="440"/>
      </w:pPr>
      <w:hyperlink w:anchor="_Toc9537" w:history="1">
        <w:r>
          <w:rPr>
            <w:rFonts w:ascii="IRNazanin" w:hAnsi="IRNazanin" w:eastAsia="IRNazanin" w:cs="IRNazanin"/>
            <w:color w:val="111111"/>
            <w:sz w:val="22"/>
            <w:szCs w:val="22"/>
            <w:b w:val="0"/>
            <w:bCs w:val="0"/>
            <w:i w:val="0"/>
            <w:iCs w:val="0"/>
          </w:rPr>
          <w:t>8208- ولی قلندر أو شعره‏</w:t>
        </w:r>
        <w:r>
          <w:tab/>
        </w:r>
        <w:r>
          <w:fldChar w:fldCharType="begin"/>
        </w:r>
        <w:r>
          <w:instrText xml:space="preserve">PAGEREF 9537 \h</w:instrText>
        </w:r>
        <w:r>
          <w:fldChar w:fldCharType="end"/>
        </w:r>
      </w:hyperlink>
    </w:p>
    <w:p>
      <w:pPr>
        <w:tabs>
          <w:tab w:val="right" w:leader="dot" w:pos="9062"/>
        </w:tabs>
        <w:ind w:left="440"/>
      </w:pPr>
      <w:hyperlink w:anchor="_Toc9538" w:history="1">
        <w:r>
          <w:rPr>
            <w:rFonts w:ascii="IRNazanin" w:hAnsi="IRNazanin" w:eastAsia="IRNazanin" w:cs="IRNazanin"/>
            <w:color w:val="111111"/>
            <w:sz w:val="22"/>
            <w:szCs w:val="22"/>
            <w:b w:val="0"/>
            <w:bCs w:val="0"/>
            <w:i w:val="0"/>
            <w:iCs w:val="0"/>
          </w:rPr>
          <w:t>8209- دیوان ولی قلی شاملو</w:t>
        </w:r>
        <w:r>
          <w:tab/>
        </w:r>
        <w:r>
          <w:fldChar w:fldCharType="begin"/>
        </w:r>
        <w:r>
          <w:instrText xml:space="preserve">PAGEREF 9538 \h</w:instrText>
        </w:r>
        <w:r>
          <w:fldChar w:fldCharType="end"/>
        </w:r>
      </w:hyperlink>
    </w:p>
    <w:p>
      <w:pPr>
        <w:tabs>
          <w:tab w:val="right" w:leader="dot" w:pos="9062"/>
        </w:tabs>
        <w:ind w:left="440"/>
      </w:pPr>
      <w:hyperlink w:anchor="_Toc9539" w:history="1">
        <w:r>
          <w:rPr>
            <w:rFonts w:ascii="IRNazanin" w:hAnsi="IRNazanin" w:eastAsia="IRNazanin" w:cs="IRNazanin"/>
            <w:color w:val="111111"/>
            <w:sz w:val="22"/>
            <w:szCs w:val="22"/>
            <w:b w:val="0"/>
            <w:bCs w:val="0"/>
            <w:i w:val="0"/>
            <w:iCs w:val="0"/>
          </w:rPr>
          <w:t>8210- دیوان ولی قهستانی أو شعره‏</w:t>
        </w:r>
        <w:r>
          <w:tab/>
        </w:r>
        <w:r>
          <w:fldChar w:fldCharType="begin"/>
        </w:r>
        <w:r>
          <w:instrText xml:space="preserve">PAGEREF 9539 \h</w:instrText>
        </w:r>
        <w:r>
          <w:fldChar w:fldCharType="end"/>
        </w:r>
      </w:hyperlink>
    </w:p>
    <w:p>
      <w:pPr>
        <w:tabs>
          <w:tab w:val="right" w:leader="dot" w:pos="9062"/>
        </w:tabs>
        <w:ind w:left="440"/>
      </w:pPr>
      <w:hyperlink w:anchor="_Toc9540" w:history="1">
        <w:r>
          <w:rPr>
            <w:rFonts w:ascii="IRNazanin" w:hAnsi="IRNazanin" w:eastAsia="IRNazanin" w:cs="IRNazanin"/>
            <w:color w:val="111111"/>
            <w:sz w:val="22"/>
            <w:szCs w:val="22"/>
            <w:b w:val="0"/>
            <w:bCs w:val="0"/>
            <w:i w:val="0"/>
            <w:iCs w:val="0"/>
          </w:rPr>
          <w:t>دیوان ولی کرمانی‏</w:t>
        </w:r>
        <w:r>
          <w:tab/>
        </w:r>
        <w:r>
          <w:fldChar w:fldCharType="begin"/>
        </w:r>
        <w:r>
          <w:instrText xml:space="preserve">PAGEREF 9540 \h</w:instrText>
        </w:r>
        <w:r>
          <w:fldChar w:fldCharType="end"/>
        </w:r>
      </w:hyperlink>
    </w:p>
    <w:p>
      <w:pPr>
        <w:tabs>
          <w:tab w:val="right" w:leader="dot" w:pos="9062"/>
        </w:tabs>
        <w:ind w:left="440"/>
      </w:pPr>
      <w:hyperlink w:anchor="_Toc9541" w:history="1">
        <w:r>
          <w:rPr>
            <w:rFonts w:ascii="IRNazanin" w:hAnsi="IRNazanin" w:eastAsia="IRNazanin" w:cs="IRNazanin"/>
            <w:color w:val="111111"/>
            <w:sz w:val="22"/>
            <w:szCs w:val="22"/>
            <w:b w:val="0"/>
            <w:bCs w:val="0"/>
            <w:i w:val="0"/>
            <w:iCs w:val="0"/>
          </w:rPr>
          <w:t>8211- دیوان ولی گرجی أو شعره‏</w:t>
        </w:r>
        <w:r>
          <w:tab/>
        </w:r>
        <w:r>
          <w:fldChar w:fldCharType="begin"/>
        </w:r>
        <w:r>
          <w:instrText xml:space="preserve">PAGEREF 9541 \h</w:instrText>
        </w:r>
        <w:r>
          <w:fldChar w:fldCharType="end"/>
        </w:r>
      </w:hyperlink>
    </w:p>
    <w:p>
      <w:pPr>
        <w:tabs>
          <w:tab w:val="right" w:leader="dot" w:pos="9062"/>
        </w:tabs>
        <w:ind w:left="440"/>
      </w:pPr>
      <w:hyperlink w:anchor="_Toc9542" w:history="1">
        <w:r>
          <w:rPr>
            <w:rFonts w:ascii="IRNazanin" w:hAnsi="IRNazanin" w:eastAsia="IRNazanin" w:cs="IRNazanin"/>
            <w:color w:val="111111"/>
            <w:sz w:val="22"/>
            <w:szCs w:val="22"/>
            <w:b w:val="0"/>
            <w:bCs w:val="0"/>
            <w:i w:val="0"/>
            <w:iCs w:val="0"/>
          </w:rPr>
          <w:t>8212- دیوان ولی لاریجانی‏</w:t>
        </w:r>
        <w:r>
          <w:tab/>
        </w:r>
        <w:r>
          <w:fldChar w:fldCharType="begin"/>
        </w:r>
        <w:r>
          <w:instrText xml:space="preserve">PAGEREF 9542 \h</w:instrText>
        </w:r>
        <w:r>
          <w:fldChar w:fldCharType="end"/>
        </w:r>
      </w:hyperlink>
    </w:p>
    <w:p>
      <w:pPr>
        <w:tabs>
          <w:tab w:val="right" w:leader="dot" w:pos="9062"/>
        </w:tabs>
        <w:ind w:left="440"/>
      </w:pPr>
      <w:hyperlink w:anchor="_Toc9543" w:history="1">
        <w:r>
          <w:rPr>
            <w:rFonts w:ascii="IRNazanin" w:hAnsi="IRNazanin" w:eastAsia="IRNazanin" w:cs="IRNazanin"/>
            <w:color w:val="111111"/>
            <w:sz w:val="22"/>
            <w:szCs w:val="22"/>
            <w:b w:val="0"/>
            <w:bCs w:val="0"/>
            <w:i w:val="0"/>
            <w:iCs w:val="0"/>
          </w:rPr>
          <w:t>دیوان ولی هروی‏</w:t>
        </w:r>
        <w:r>
          <w:tab/>
        </w:r>
        <w:r>
          <w:fldChar w:fldCharType="begin"/>
        </w:r>
        <w:r>
          <w:instrText xml:space="preserve">PAGEREF 9543 \h</w:instrText>
        </w:r>
        <w:r>
          <w:fldChar w:fldCharType="end"/>
        </w:r>
      </w:hyperlink>
    </w:p>
    <w:p>
      <w:pPr>
        <w:tabs>
          <w:tab w:val="right" w:leader="dot" w:pos="9062"/>
        </w:tabs>
        <w:ind w:left="440"/>
      </w:pPr>
      <w:hyperlink w:anchor="_Toc9544" w:history="1">
        <w:r>
          <w:rPr>
            <w:rFonts w:ascii="IRNazanin" w:hAnsi="IRNazanin" w:eastAsia="IRNazanin" w:cs="IRNazanin"/>
            <w:color w:val="111111"/>
            <w:sz w:val="22"/>
            <w:szCs w:val="22"/>
            <w:b w:val="0"/>
            <w:bCs w:val="0"/>
            <w:i w:val="0"/>
            <w:iCs w:val="0"/>
          </w:rPr>
          <w:t>8213- دیوان ولی هروی أو شعره‏</w:t>
        </w:r>
        <w:r>
          <w:tab/>
        </w:r>
        <w:r>
          <w:fldChar w:fldCharType="begin"/>
        </w:r>
        <w:r>
          <w:instrText xml:space="preserve">PAGEREF 9544 \h</w:instrText>
        </w:r>
        <w:r>
          <w:fldChar w:fldCharType="end"/>
        </w:r>
      </w:hyperlink>
    </w:p>
    <w:p>
      <w:pPr>
        <w:tabs>
          <w:tab w:val="right" w:leader="dot" w:pos="9062"/>
        </w:tabs>
        <w:ind w:left="440"/>
      </w:pPr>
      <w:hyperlink w:anchor="_Toc9545" w:history="1">
        <w:r>
          <w:rPr>
            <w:rFonts w:ascii="IRNazanin" w:hAnsi="IRNazanin" w:eastAsia="IRNazanin" w:cs="IRNazanin"/>
            <w:color w:val="111111"/>
            <w:sz w:val="22"/>
            <w:szCs w:val="22"/>
            <w:b w:val="0"/>
            <w:bCs w:val="0"/>
            <w:i w:val="0"/>
            <w:iCs w:val="0"/>
          </w:rPr>
          <w:t>8214- دیوان وهبی شاه جهان‏پوری أو شعره‏</w:t>
        </w:r>
        <w:r>
          <w:tab/>
        </w:r>
        <w:r>
          <w:fldChar w:fldCharType="begin"/>
        </w:r>
        <w:r>
          <w:instrText xml:space="preserve">PAGEREF 9545 \h</w:instrText>
        </w:r>
        <w:r>
          <w:fldChar w:fldCharType="end"/>
        </w:r>
      </w:hyperlink>
    </w:p>
    <w:p>
      <w:pPr>
        <w:tabs>
          <w:tab w:val="right" w:leader="dot" w:pos="9062"/>
        </w:tabs>
        <w:ind w:left="440"/>
      </w:pPr>
      <w:hyperlink w:anchor="_Toc9546" w:history="1">
        <w:r>
          <w:rPr>
            <w:rFonts w:ascii="IRNazanin" w:hAnsi="IRNazanin" w:eastAsia="IRNazanin" w:cs="IRNazanin"/>
            <w:color w:val="111111"/>
            <w:sz w:val="22"/>
            <w:szCs w:val="22"/>
            <w:b w:val="0"/>
            <w:bCs w:val="0"/>
            <w:i w:val="0"/>
            <w:iCs w:val="0"/>
          </w:rPr>
          <w:t>8215- دیوان وهمی قمی أو شعره‏</w:t>
        </w:r>
        <w:r>
          <w:tab/>
        </w:r>
        <w:r>
          <w:fldChar w:fldCharType="begin"/>
        </w:r>
        <w:r>
          <w:instrText xml:space="preserve">PAGEREF 9546 \h</w:instrText>
        </w:r>
        <w:r>
          <w:fldChar w:fldCharType="end"/>
        </w:r>
      </w:hyperlink>
    </w:p>
    <w:p>
      <w:pPr>
        <w:tabs>
          <w:tab w:val="right" w:leader="dot" w:pos="9062"/>
        </w:tabs>
        <w:ind w:left="440"/>
      </w:pPr>
      <w:hyperlink w:anchor="_Toc9547" w:history="1">
        <w:r>
          <w:rPr>
            <w:rFonts w:ascii="IRNazanin" w:hAnsi="IRNazanin" w:eastAsia="IRNazanin" w:cs="IRNazanin"/>
            <w:color w:val="111111"/>
            <w:sz w:val="22"/>
            <w:szCs w:val="22"/>
            <w:b w:val="0"/>
            <w:bCs w:val="0"/>
            <w:i w:val="0"/>
            <w:iCs w:val="0"/>
          </w:rPr>
          <w:t>8216- دیوان وهمی قندهاری أو شعره‏</w:t>
        </w:r>
        <w:r>
          <w:tab/>
        </w:r>
        <w:r>
          <w:fldChar w:fldCharType="begin"/>
        </w:r>
        <w:r>
          <w:instrText xml:space="preserve">PAGEREF 9547 \h</w:instrText>
        </w:r>
        <w:r>
          <w:fldChar w:fldCharType="end"/>
        </w:r>
      </w:hyperlink>
    </w:p>
    <w:p>
      <w:pPr>
        <w:tabs>
          <w:tab w:val="right" w:leader="dot" w:pos="9062"/>
        </w:tabs>
        <w:ind w:left="440"/>
      </w:pPr>
      <w:hyperlink w:anchor="_Toc9548" w:history="1">
        <w:r>
          <w:rPr>
            <w:rFonts w:ascii="IRNazanin" w:hAnsi="IRNazanin" w:eastAsia="IRNazanin" w:cs="IRNazanin"/>
            <w:color w:val="111111"/>
            <w:sz w:val="22"/>
            <w:szCs w:val="22"/>
            <w:b w:val="0"/>
            <w:bCs w:val="0"/>
            <w:i w:val="0"/>
            <w:iCs w:val="0"/>
          </w:rPr>
          <w:t>8217- دیوان ویرانی إبدال أو شعره‏</w:t>
        </w:r>
        <w:r>
          <w:tab/>
        </w:r>
        <w:r>
          <w:fldChar w:fldCharType="begin"/>
        </w:r>
        <w:r>
          <w:instrText xml:space="preserve">PAGEREF 9548 \h</w:instrText>
        </w:r>
        <w:r>
          <w:fldChar w:fldCharType="end"/>
        </w:r>
      </w:hyperlink>
    </w:p>
    <w:p>
      <w:pPr>
        <w:tabs>
          <w:tab w:val="right" w:leader="dot" w:pos="9062"/>
        </w:tabs>
        <w:ind w:left="440"/>
      </w:pPr>
      <w:hyperlink w:anchor="_Toc9549" w:history="1">
        <w:r>
          <w:rPr>
            <w:rFonts w:ascii="IRNazanin" w:hAnsi="IRNazanin" w:eastAsia="IRNazanin" w:cs="IRNazanin"/>
            <w:color w:val="111111"/>
            <w:sz w:val="22"/>
            <w:szCs w:val="22"/>
            <w:b w:val="0"/>
            <w:bCs w:val="0"/>
            <w:i w:val="0"/>
            <w:iCs w:val="0"/>
          </w:rPr>
          <w:t>8218- دیوان ویسی سمرقندی أو شعره‏</w:t>
        </w:r>
        <w:r>
          <w:tab/>
        </w:r>
        <w:r>
          <w:fldChar w:fldCharType="begin"/>
        </w:r>
        <w:r>
          <w:instrText xml:space="preserve">PAGEREF 9549 \h</w:instrText>
        </w:r>
        <w:r>
          <w:fldChar w:fldCharType="end"/>
        </w:r>
      </w:hyperlink>
    </w:p>
    <w:p>
      <w:pPr>
        <w:tabs>
          <w:tab w:val="right" w:leader="dot" w:pos="9062"/>
        </w:tabs>
        <w:ind w:left="440"/>
      </w:pPr>
      <w:hyperlink w:anchor="_Toc9550" w:history="1">
        <w:r>
          <w:rPr>
            <w:rFonts w:ascii="IRNazanin" w:hAnsi="IRNazanin" w:eastAsia="IRNazanin" w:cs="IRNazanin"/>
            <w:color w:val="111111"/>
            <w:sz w:val="22"/>
            <w:szCs w:val="22"/>
            <w:b w:val="0"/>
            <w:bCs w:val="0"/>
            <w:i w:val="0"/>
            <w:iCs w:val="0"/>
          </w:rPr>
          <w:t>8219- دیوان ویسی هروی‏</w:t>
        </w:r>
        <w:r>
          <w:tab/>
        </w:r>
        <w:r>
          <w:fldChar w:fldCharType="begin"/>
        </w:r>
        <w:r>
          <w:instrText xml:space="preserve">PAGEREF 9550 \h</w:instrText>
        </w:r>
        <w:r>
          <w:fldChar w:fldCharType="end"/>
        </w:r>
      </w:hyperlink>
    </w:p>
    <w:p>
      <w:pPr>
        <w:tabs>
          <w:tab w:val="right" w:leader="dot" w:pos="9062"/>
        </w:tabs>
        <w:ind w:left="440"/>
      </w:pPr>
      <w:hyperlink w:anchor="_Toc9551" w:history="1">
        <w:r>
          <w:rPr>
            <w:rFonts w:ascii="IRNazanin" w:hAnsi="IRNazanin" w:eastAsia="IRNazanin" w:cs="IRNazanin"/>
            <w:color w:val="111111"/>
            <w:sz w:val="22"/>
            <w:szCs w:val="22"/>
            <w:b w:val="0"/>
            <w:bCs w:val="0"/>
            <w:i w:val="0"/>
            <w:iCs w:val="0"/>
          </w:rPr>
          <w:t>ه</w:t>
        </w:r>
        <w:r>
          <w:tab/>
        </w:r>
        <w:r>
          <w:fldChar w:fldCharType="begin"/>
        </w:r>
        <w:r>
          <w:instrText xml:space="preserve">PAGEREF 9551 \h</w:instrText>
        </w:r>
        <w:r>
          <w:fldChar w:fldCharType="end"/>
        </w:r>
      </w:hyperlink>
    </w:p>
    <w:p>
      <w:pPr>
        <w:tabs>
          <w:tab w:val="right" w:leader="dot" w:pos="9062"/>
        </w:tabs>
        <w:ind w:left="440"/>
      </w:pPr>
      <w:hyperlink w:anchor="_Toc9552" w:history="1">
        <w:r>
          <w:rPr>
            <w:rFonts w:ascii="IRNazanin" w:hAnsi="IRNazanin" w:eastAsia="IRNazanin" w:cs="IRNazanin"/>
            <w:color w:val="111111"/>
            <w:sz w:val="22"/>
            <w:szCs w:val="22"/>
            <w:b w:val="0"/>
            <w:bCs w:val="0"/>
            <w:i w:val="0"/>
            <w:iCs w:val="0"/>
          </w:rPr>
          <w:t>دیوان هابط</w:t>
        </w:r>
        <w:r>
          <w:tab/>
        </w:r>
        <w:r>
          <w:fldChar w:fldCharType="begin"/>
        </w:r>
        <w:r>
          <w:instrText xml:space="preserve">PAGEREF 9552 \h</w:instrText>
        </w:r>
        <w:r>
          <w:fldChar w:fldCharType="end"/>
        </w:r>
      </w:hyperlink>
    </w:p>
    <w:p>
      <w:pPr>
        <w:tabs>
          <w:tab w:val="right" w:leader="dot" w:pos="9062"/>
        </w:tabs>
        <w:ind w:left="440"/>
      </w:pPr>
      <w:hyperlink w:anchor="_Toc9553" w:history="1">
        <w:r>
          <w:rPr>
            <w:rFonts w:ascii="IRNazanin" w:hAnsi="IRNazanin" w:eastAsia="IRNazanin" w:cs="IRNazanin"/>
            <w:color w:val="111111"/>
            <w:sz w:val="22"/>
            <w:szCs w:val="22"/>
            <w:b w:val="0"/>
            <w:bCs w:val="0"/>
            <w:i w:val="0"/>
            <w:iCs w:val="0"/>
          </w:rPr>
          <w:t>8220- دیوان هاتف أصفهانی‏</w:t>
        </w:r>
        <w:r>
          <w:tab/>
        </w:r>
        <w:r>
          <w:fldChar w:fldCharType="begin"/>
        </w:r>
        <w:r>
          <w:instrText xml:space="preserve">PAGEREF 9553 \h</w:instrText>
        </w:r>
        <w:r>
          <w:fldChar w:fldCharType="end"/>
        </w:r>
      </w:hyperlink>
    </w:p>
    <w:p>
      <w:pPr>
        <w:tabs>
          <w:tab w:val="right" w:leader="dot" w:pos="9062"/>
        </w:tabs>
        <w:ind w:left="440"/>
      </w:pPr>
      <w:hyperlink w:anchor="_Toc9554" w:history="1">
        <w:r>
          <w:rPr>
            <w:rFonts w:ascii="IRNazanin" w:hAnsi="IRNazanin" w:eastAsia="IRNazanin" w:cs="IRNazanin"/>
            <w:color w:val="111111"/>
            <w:sz w:val="22"/>
            <w:szCs w:val="22"/>
            <w:b w:val="0"/>
            <w:bCs w:val="0"/>
            <w:i w:val="0"/>
            <w:iCs w:val="0"/>
          </w:rPr>
          <w:t>8221- دیوان هاتف أصفهانی أو شعره‏</w:t>
        </w:r>
        <w:r>
          <w:tab/>
        </w:r>
        <w:r>
          <w:fldChar w:fldCharType="begin"/>
        </w:r>
        <w:r>
          <w:instrText xml:space="preserve">PAGEREF 9554 \h</w:instrText>
        </w:r>
        <w:r>
          <w:fldChar w:fldCharType="end"/>
        </w:r>
      </w:hyperlink>
    </w:p>
    <w:p>
      <w:pPr>
        <w:tabs>
          <w:tab w:val="right" w:leader="dot" w:pos="9062"/>
        </w:tabs>
        <w:ind w:left="440"/>
      </w:pPr>
      <w:hyperlink w:anchor="_Toc9555" w:history="1">
        <w:r>
          <w:rPr>
            <w:rFonts w:ascii="IRNazanin" w:hAnsi="IRNazanin" w:eastAsia="IRNazanin" w:cs="IRNazanin"/>
            <w:color w:val="111111"/>
            <w:sz w:val="22"/>
            <w:szCs w:val="22"/>
            <w:b w:val="0"/>
            <w:bCs w:val="0"/>
            <w:i w:val="0"/>
            <w:iCs w:val="0"/>
          </w:rPr>
          <w:t>دیوان هاتف قزوینی‏</w:t>
        </w:r>
        <w:r>
          <w:tab/>
        </w:r>
        <w:r>
          <w:fldChar w:fldCharType="begin"/>
        </w:r>
        <w:r>
          <w:instrText xml:space="preserve">PAGEREF 9555 \h</w:instrText>
        </w:r>
        <w:r>
          <w:fldChar w:fldCharType="end"/>
        </w:r>
      </w:hyperlink>
    </w:p>
    <w:p>
      <w:pPr>
        <w:tabs>
          <w:tab w:val="right" w:leader="dot" w:pos="9062"/>
        </w:tabs>
        <w:ind w:left="440"/>
      </w:pPr>
      <w:hyperlink w:anchor="_Toc9556" w:history="1">
        <w:r>
          <w:rPr>
            <w:rFonts w:ascii="IRNazanin" w:hAnsi="IRNazanin" w:eastAsia="IRNazanin" w:cs="IRNazanin"/>
            <w:color w:val="111111"/>
            <w:sz w:val="22"/>
            <w:szCs w:val="22"/>
            <w:b w:val="0"/>
            <w:bCs w:val="0"/>
            <w:i w:val="0"/>
            <w:iCs w:val="0"/>
          </w:rPr>
          <w:t>8222- دیوان هاتفی جامی‏</w:t>
        </w:r>
        <w:r>
          <w:tab/>
        </w:r>
        <w:r>
          <w:fldChar w:fldCharType="begin"/>
        </w:r>
        <w:r>
          <w:instrText xml:space="preserve">PAGEREF 9556 \h</w:instrText>
        </w:r>
        <w:r>
          <w:fldChar w:fldCharType="end"/>
        </w:r>
      </w:hyperlink>
    </w:p>
    <w:p>
      <w:pPr>
        <w:tabs>
          <w:tab w:val="right" w:leader="dot" w:pos="9062"/>
        </w:tabs>
        <w:ind w:left="440"/>
      </w:pPr>
      <w:hyperlink w:anchor="_Toc9557" w:history="1">
        <w:r>
          <w:rPr>
            <w:rFonts w:ascii="IRNazanin" w:hAnsi="IRNazanin" w:eastAsia="IRNazanin" w:cs="IRNazanin"/>
            <w:color w:val="111111"/>
            <w:sz w:val="22"/>
            <w:szCs w:val="22"/>
            <w:b w:val="0"/>
            <w:bCs w:val="0"/>
            <w:i w:val="0"/>
            <w:iCs w:val="0"/>
          </w:rPr>
          <w:t>8223- دیوان هاتفی قزوینی أو شعره‏</w:t>
        </w:r>
        <w:r>
          <w:tab/>
        </w:r>
        <w:r>
          <w:fldChar w:fldCharType="begin"/>
        </w:r>
        <w:r>
          <w:instrText xml:space="preserve">PAGEREF 9557 \h</w:instrText>
        </w:r>
        <w:r>
          <w:fldChar w:fldCharType="end"/>
        </w:r>
      </w:hyperlink>
    </w:p>
    <w:p>
      <w:pPr>
        <w:tabs>
          <w:tab w:val="right" w:leader="dot" w:pos="9062"/>
        </w:tabs>
        <w:ind w:left="440"/>
      </w:pPr>
      <w:hyperlink w:anchor="_Toc9558" w:history="1">
        <w:r>
          <w:rPr>
            <w:rFonts w:ascii="IRNazanin" w:hAnsi="IRNazanin" w:eastAsia="IRNazanin" w:cs="IRNazanin"/>
            <w:color w:val="111111"/>
            <w:sz w:val="22"/>
            <w:szCs w:val="22"/>
            <w:b w:val="0"/>
            <w:bCs w:val="0"/>
            <w:i w:val="0"/>
            <w:iCs w:val="0"/>
          </w:rPr>
          <w:t>8224- دیوان هاتفی قهفرخی أصفهانی‏</w:t>
        </w:r>
        <w:r>
          <w:tab/>
        </w:r>
        <w:r>
          <w:fldChar w:fldCharType="begin"/>
        </w:r>
        <w:r>
          <w:instrText xml:space="preserve">PAGEREF 9558 \h</w:instrText>
        </w:r>
        <w:r>
          <w:fldChar w:fldCharType="end"/>
        </w:r>
      </w:hyperlink>
    </w:p>
    <w:p>
      <w:pPr>
        <w:tabs>
          <w:tab w:val="right" w:leader="dot" w:pos="9062"/>
        </w:tabs>
        <w:ind w:left="440"/>
      </w:pPr>
      <w:hyperlink w:anchor="_Toc9559" w:history="1">
        <w:r>
          <w:rPr>
            <w:rFonts w:ascii="IRNazanin" w:hAnsi="IRNazanin" w:eastAsia="IRNazanin" w:cs="IRNazanin"/>
            <w:color w:val="111111"/>
            <w:sz w:val="22"/>
            <w:szCs w:val="22"/>
            <w:b w:val="0"/>
            <w:bCs w:val="0"/>
            <w:i w:val="0"/>
            <w:iCs w:val="0"/>
          </w:rPr>
          <w:t>8225- دیوان هادی ابرقوهی‏</w:t>
        </w:r>
        <w:r>
          <w:tab/>
        </w:r>
        <w:r>
          <w:fldChar w:fldCharType="begin"/>
        </w:r>
        <w:r>
          <w:instrText xml:space="preserve">PAGEREF 9559 \h</w:instrText>
        </w:r>
        <w:r>
          <w:fldChar w:fldCharType="end"/>
        </w:r>
      </w:hyperlink>
    </w:p>
    <w:p>
      <w:pPr>
        <w:tabs>
          <w:tab w:val="right" w:leader="dot" w:pos="9062"/>
        </w:tabs>
        <w:ind w:left="440"/>
      </w:pPr>
      <w:hyperlink w:anchor="_Toc9560" w:history="1">
        <w:r>
          <w:rPr>
            <w:rFonts w:ascii="IRNazanin" w:hAnsi="IRNazanin" w:eastAsia="IRNazanin" w:cs="IRNazanin"/>
            <w:color w:val="111111"/>
            <w:sz w:val="22"/>
            <w:szCs w:val="22"/>
            <w:b w:val="0"/>
            <w:bCs w:val="0"/>
            <w:i w:val="0"/>
            <w:iCs w:val="0"/>
          </w:rPr>
          <w:t>8226- دیوان هادی أسترآبادی أو شعره‏</w:t>
        </w:r>
        <w:r>
          <w:tab/>
        </w:r>
        <w:r>
          <w:fldChar w:fldCharType="begin"/>
        </w:r>
        <w:r>
          <w:instrText xml:space="preserve">PAGEREF 9560 \h</w:instrText>
        </w:r>
        <w:r>
          <w:fldChar w:fldCharType="end"/>
        </w:r>
      </w:hyperlink>
    </w:p>
    <w:p>
      <w:pPr>
        <w:tabs>
          <w:tab w:val="right" w:leader="dot" w:pos="9062"/>
        </w:tabs>
        <w:ind w:left="440"/>
      </w:pPr>
      <w:hyperlink w:anchor="_Toc9561" w:history="1">
        <w:r>
          <w:rPr>
            <w:rFonts w:ascii="IRNazanin" w:hAnsi="IRNazanin" w:eastAsia="IRNazanin" w:cs="IRNazanin"/>
            <w:color w:val="111111"/>
            <w:sz w:val="22"/>
            <w:szCs w:val="22"/>
            <w:b w:val="0"/>
            <w:bCs w:val="0"/>
            <w:i w:val="0"/>
            <w:iCs w:val="0"/>
          </w:rPr>
          <w:t>8227- دیوان هادی أصفهانی أو شعره‏</w:t>
        </w:r>
        <w:r>
          <w:tab/>
        </w:r>
        <w:r>
          <w:fldChar w:fldCharType="begin"/>
        </w:r>
        <w:r>
          <w:instrText xml:space="preserve">PAGEREF 9561 \h</w:instrText>
        </w:r>
        <w:r>
          <w:fldChar w:fldCharType="end"/>
        </w:r>
      </w:hyperlink>
    </w:p>
    <w:p>
      <w:pPr>
        <w:tabs>
          <w:tab w:val="right" w:leader="dot" w:pos="9062"/>
        </w:tabs>
        <w:ind w:left="440"/>
      </w:pPr>
      <w:hyperlink w:anchor="_Toc9562" w:history="1">
        <w:r>
          <w:rPr>
            <w:rFonts w:ascii="IRNazanin" w:hAnsi="IRNazanin" w:eastAsia="IRNazanin" w:cs="IRNazanin"/>
            <w:color w:val="111111"/>
            <w:sz w:val="22"/>
            <w:szCs w:val="22"/>
            <w:b w:val="0"/>
            <w:bCs w:val="0"/>
            <w:i w:val="0"/>
            <w:iCs w:val="0"/>
          </w:rPr>
          <w:t>8228- دیوان هادی أصفهانی أو شعره‏</w:t>
        </w:r>
        <w:r>
          <w:tab/>
        </w:r>
        <w:r>
          <w:fldChar w:fldCharType="begin"/>
        </w:r>
        <w:r>
          <w:instrText xml:space="preserve">PAGEREF 9562 \h</w:instrText>
        </w:r>
        <w:r>
          <w:fldChar w:fldCharType="end"/>
        </w:r>
      </w:hyperlink>
    </w:p>
    <w:p>
      <w:pPr>
        <w:tabs>
          <w:tab w:val="right" w:leader="dot" w:pos="9062"/>
        </w:tabs>
        <w:ind w:left="440"/>
      </w:pPr>
      <w:hyperlink w:anchor="_Toc9563" w:history="1">
        <w:r>
          <w:rPr>
            <w:rFonts w:ascii="IRNazanin" w:hAnsi="IRNazanin" w:eastAsia="IRNazanin" w:cs="IRNazanin"/>
            <w:color w:val="111111"/>
            <w:sz w:val="22"/>
            <w:szCs w:val="22"/>
            <w:b w:val="0"/>
            <w:bCs w:val="0"/>
            <w:i w:val="0"/>
            <w:iCs w:val="0"/>
          </w:rPr>
          <w:t>8229- دیوان محمد هادی البصری‏</w:t>
        </w:r>
        <w:r>
          <w:tab/>
        </w:r>
        <w:r>
          <w:fldChar w:fldCharType="begin"/>
        </w:r>
        <w:r>
          <w:instrText xml:space="preserve">PAGEREF 9563 \h</w:instrText>
        </w:r>
        <w:r>
          <w:fldChar w:fldCharType="end"/>
        </w:r>
      </w:hyperlink>
    </w:p>
    <w:p>
      <w:pPr>
        <w:tabs>
          <w:tab w:val="right" w:leader="dot" w:pos="9062"/>
        </w:tabs>
        <w:ind w:left="440"/>
      </w:pPr>
      <w:hyperlink w:anchor="_Toc9564" w:history="1">
        <w:r>
          <w:rPr>
            <w:rFonts w:ascii="IRNazanin" w:hAnsi="IRNazanin" w:eastAsia="IRNazanin" w:cs="IRNazanin"/>
            <w:color w:val="111111"/>
            <w:sz w:val="22"/>
            <w:szCs w:val="22"/>
            <w:b w:val="0"/>
            <w:bCs w:val="0"/>
            <w:i w:val="0"/>
            <w:iCs w:val="0"/>
          </w:rPr>
          <w:t>8230- دیوان الشیخ هادی البیرجندی‏</w:t>
        </w:r>
        <w:r>
          <w:tab/>
        </w:r>
        <w:r>
          <w:fldChar w:fldCharType="begin"/>
        </w:r>
        <w:r>
          <w:instrText xml:space="preserve">PAGEREF 9564 \h</w:instrText>
        </w:r>
        <w:r>
          <w:fldChar w:fldCharType="end"/>
        </w:r>
      </w:hyperlink>
    </w:p>
    <w:p>
      <w:pPr>
        <w:tabs>
          <w:tab w:val="right" w:leader="dot" w:pos="9062"/>
        </w:tabs>
        <w:ind w:left="440"/>
      </w:pPr>
      <w:hyperlink w:anchor="_Toc9565" w:history="1">
        <w:r>
          <w:rPr>
            <w:rFonts w:ascii="IRNazanin" w:hAnsi="IRNazanin" w:eastAsia="IRNazanin" w:cs="IRNazanin"/>
            <w:color w:val="111111"/>
            <w:sz w:val="22"/>
            <w:szCs w:val="22"/>
            <w:b w:val="0"/>
            <w:bCs w:val="0"/>
            <w:i w:val="0"/>
            <w:iCs w:val="0"/>
          </w:rPr>
          <w:t>8231- دیوان هادی حائری‏</w:t>
        </w:r>
        <w:r>
          <w:tab/>
        </w:r>
        <w:r>
          <w:fldChar w:fldCharType="begin"/>
        </w:r>
        <w:r>
          <w:instrText xml:space="preserve">PAGEREF 9565 \h</w:instrText>
        </w:r>
        <w:r>
          <w:fldChar w:fldCharType="end"/>
        </w:r>
      </w:hyperlink>
    </w:p>
    <w:p>
      <w:pPr>
        <w:tabs>
          <w:tab w:val="right" w:leader="dot" w:pos="9062"/>
        </w:tabs>
        <w:ind w:left="440"/>
      </w:pPr>
      <w:hyperlink w:anchor="_Toc9566" w:history="1">
        <w:r>
          <w:rPr>
            <w:rFonts w:ascii="IRNazanin" w:hAnsi="IRNazanin" w:eastAsia="IRNazanin" w:cs="IRNazanin"/>
            <w:color w:val="111111"/>
            <w:sz w:val="22"/>
            <w:szCs w:val="22"/>
            <w:b w:val="0"/>
            <w:bCs w:val="0"/>
            <w:i w:val="0"/>
            <w:iCs w:val="0"/>
          </w:rPr>
          <w:t>8232- دیوان هادی دهلوی أو شعره‏</w:t>
        </w:r>
        <w:r>
          <w:tab/>
        </w:r>
        <w:r>
          <w:fldChar w:fldCharType="begin"/>
        </w:r>
        <w:r>
          <w:instrText xml:space="preserve">PAGEREF 9566 \h</w:instrText>
        </w:r>
        <w:r>
          <w:fldChar w:fldCharType="end"/>
        </w:r>
      </w:hyperlink>
    </w:p>
    <w:p>
      <w:pPr>
        <w:tabs>
          <w:tab w:val="right" w:leader="dot" w:pos="9062"/>
        </w:tabs>
        <w:ind w:left="440"/>
      </w:pPr>
      <w:hyperlink w:anchor="_Toc9567" w:history="1">
        <w:r>
          <w:rPr>
            <w:rFonts w:ascii="IRNazanin" w:hAnsi="IRNazanin" w:eastAsia="IRNazanin" w:cs="IRNazanin"/>
            <w:color w:val="111111"/>
            <w:sz w:val="22"/>
            <w:szCs w:val="22"/>
            <w:b w:val="0"/>
            <w:bCs w:val="0"/>
            <w:i w:val="0"/>
            <w:iCs w:val="0"/>
          </w:rPr>
          <w:t>8233- دیوان هادی رنگرز أو شعره‏</w:t>
        </w:r>
        <w:r>
          <w:tab/>
        </w:r>
        <w:r>
          <w:fldChar w:fldCharType="begin"/>
        </w:r>
        <w:r>
          <w:instrText xml:space="preserve">PAGEREF 9567 \h</w:instrText>
        </w:r>
        <w:r>
          <w:fldChar w:fldCharType="end"/>
        </w:r>
      </w:hyperlink>
    </w:p>
    <w:p>
      <w:pPr>
        <w:tabs>
          <w:tab w:val="right" w:leader="dot" w:pos="9062"/>
        </w:tabs>
        <w:ind w:left="440"/>
      </w:pPr>
      <w:hyperlink w:anchor="_Toc9568" w:history="1">
        <w:r>
          <w:rPr>
            <w:rFonts w:ascii="IRNazanin" w:hAnsi="IRNazanin" w:eastAsia="IRNazanin" w:cs="IRNazanin"/>
            <w:color w:val="111111"/>
            <w:sz w:val="22"/>
            <w:szCs w:val="22"/>
            <w:b w:val="0"/>
            <w:bCs w:val="0"/>
            <w:i w:val="0"/>
            <w:iCs w:val="0"/>
          </w:rPr>
          <w:t>دیوان هادی سبزواری‏</w:t>
        </w:r>
        <w:r>
          <w:tab/>
        </w:r>
        <w:r>
          <w:fldChar w:fldCharType="begin"/>
        </w:r>
        <w:r>
          <w:instrText xml:space="preserve">PAGEREF 9568 \h</w:instrText>
        </w:r>
        <w:r>
          <w:fldChar w:fldCharType="end"/>
        </w:r>
      </w:hyperlink>
    </w:p>
    <w:p>
      <w:pPr>
        <w:tabs>
          <w:tab w:val="right" w:leader="dot" w:pos="9062"/>
        </w:tabs>
        <w:ind w:left="440"/>
      </w:pPr>
      <w:hyperlink w:anchor="_Toc9569" w:history="1">
        <w:r>
          <w:rPr>
            <w:rFonts w:ascii="IRNazanin" w:hAnsi="IRNazanin" w:eastAsia="IRNazanin" w:cs="IRNazanin"/>
            <w:color w:val="111111"/>
            <w:sz w:val="22"/>
            <w:szCs w:val="22"/>
            <w:b w:val="0"/>
            <w:bCs w:val="0"/>
            <w:i w:val="0"/>
            <w:iCs w:val="0"/>
          </w:rPr>
          <w:t>8234- دیوان هادی شهرستانی‏</w:t>
        </w:r>
        <w:r>
          <w:tab/>
        </w:r>
        <w:r>
          <w:fldChar w:fldCharType="begin"/>
        </w:r>
        <w:r>
          <w:instrText xml:space="preserve">PAGEREF 9569 \h</w:instrText>
        </w:r>
        <w:r>
          <w:fldChar w:fldCharType="end"/>
        </w:r>
      </w:hyperlink>
    </w:p>
    <w:p>
      <w:pPr>
        <w:tabs>
          <w:tab w:val="right" w:leader="dot" w:pos="9062"/>
        </w:tabs>
        <w:ind w:left="440"/>
      </w:pPr>
      <w:hyperlink w:anchor="_Toc9570" w:history="1">
        <w:r>
          <w:rPr>
            <w:rFonts w:ascii="IRNazanin" w:hAnsi="IRNazanin" w:eastAsia="IRNazanin" w:cs="IRNazanin"/>
            <w:color w:val="111111"/>
            <w:sz w:val="22"/>
            <w:szCs w:val="22"/>
            <w:b w:val="0"/>
            <w:bCs w:val="0"/>
            <w:i w:val="0"/>
            <w:iCs w:val="0"/>
          </w:rPr>
          <w:t>8235- دیوان هادی شیرازی أو شعره‏</w:t>
        </w:r>
        <w:r>
          <w:tab/>
        </w:r>
        <w:r>
          <w:fldChar w:fldCharType="begin"/>
        </w:r>
        <w:r>
          <w:instrText xml:space="preserve">PAGEREF 9570 \h</w:instrText>
        </w:r>
        <w:r>
          <w:fldChar w:fldCharType="end"/>
        </w:r>
      </w:hyperlink>
    </w:p>
    <w:p>
      <w:pPr>
        <w:tabs>
          <w:tab w:val="right" w:leader="dot" w:pos="9062"/>
        </w:tabs>
        <w:ind w:left="440"/>
      </w:pPr>
      <w:hyperlink w:anchor="_Toc9571" w:history="1">
        <w:r>
          <w:rPr>
            <w:rFonts w:ascii="IRNazanin" w:hAnsi="IRNazanin" w:eastAsia="IRNazanin" w:cs="IRNazanin"/>
            <w:color w:val="111111"/>
            <w:sz w:val="22"/>
            <w:szCs w:val="22"/>
            <w:b w:val="0"/>
            <w:bCs w:val="0"/>
            <w:i w:val="0"/>
            <w:iCs w:val="0"/>
          </w:rPr>
          <w:t>8236- دیوان هادی قزوینی أو شعره‏</w:t>
        </w:r>
        <w:r>
          <w:tab/>
        </w:r>
        <w:r>
          <w:fldChar w:fldCharType="begin"/>
        </w:r>
        <w:r>
          <w:instrText xml:space="preserve">PAGEREF 9571 \h</w:instrText>
        </w:r>
        <w:r>
          <w:fldChar w:fldCharType="end"/>
        </w:r>
      </w:hyperlink>
    </w:p>
    <w:p>
      <w:pPr>
        <w:tabs>
          <w:tab w:val="right" w:leader="dot" w:pos="9062"/>
        </w:tabs>
        <w:ind w:left="440"/>
      </w:pPr>
      <w:hyperlink w:anchor="_Toc9572" w:history="1">
        <w:r>
          <w:rPr>
            <w:rFonts w:ascii="IRNazanin" w:hAnsi="IRNazanin" w:eastAsia="IRNazanin" w:cs="IRNazanin"/>
            <w:color w:val="111111"/>
            <w:sz w:val="22"/>
            <w:szCs w:val="22"/>
            <w:b w:val="0"/>
            <w:bCs w:val="0"/>
            <w:i w:val="0"/>
            <w:iCs w:val="0"/>
          </w:rPr>
          <w:t>دیوان هادی قهستانی‏</w:t>
        </w:r>
        <w:r>
          <w:tab/>
        </w:r>
        <w:r>
          <w:fldChar w:fldCharType="begin"/>
        </w:r>
        <w:r>
          <w:instrText xml:space="preserve">PAGEREF 9572 \h</w:instrText>
        </w:r>
        <w:r>
          <w:fldChar w:fldCharType="end"/>
        </w:r>
      </w:hyperlink>
    </w:p>
    <w:p>
      <w:pPr>
        <w:tabs>
          <w:tab w:val="right" w:leader="dot" w:pos="9062"/>
        </w:tabs>
        <w:ind w:left="440"/>
      </w:pPr>
      <w:hyperlink w:anchor="_Toc9573" w:history="1">
        <w:r>
          <w:rPr>
            <w:rFonts w:ascii="IRNazanin" w:hAnsi="IRNazanin" w:eastAsia="IRNazanin" w:cs="IRNazanin"/>
            <w:color w:val="111111"/>
            <w:sz w:val="22"/>
            <w:szCs w:val="22"/>
            <w:b w:val="0"/>
            <w:bCs w:val="0"/>
            <w:i w:val="0"/>
            <w:iCs w:val="0"/>
          </w:rPr>
          <w:t>دیوان هادی کاشانی الیزدجردی البروجردی‏</w:t>
        </w:r>
        <w:r>
          <w:tab/>
        </w:r>
        <w:r>
          <w:fldChar w:fldCharType="begin"/>
        </w:r>
        <w:r>
          <w:instrText xml:space="preserve">PAGEREF 9573 \h</w:instrText>
        </w:r>
        <w:r>
          <w:fldChar w:fldCharType="end"/>
        </w:r>
      </w:hyperlink>
    </w:p>
    <w:p>
      <w:pPr>
        <w:tabs>
          <w:tab w:val="right" w:leader="dot" w:pos="9062"/>
        </w:tabs>
        <w:ind w:left="440"/>
      </w:pPr>
      <w:hyperlink w:anchor="_Toc9574" w:history="1">
        <w:r>
          <w:rPr>
            <w:rFonts w:ascii="IRNazanin" w:hAnsi="IRNazanin" w:eastAsia="IRNazanin" w:cs="IRNazanin"/>
            <w:color w:val="111111"/>
            <w:sz w:val="22"/>
            <w:szCs w:val="22"/>
            <w:b w:val="0"/>
            <w:bCs w:val="0"/>
            <w:i w:val="0"/>
            <w:iCs w:val="0"/>
          </w:rPr>
          <w:t>8237- دیوان هادی کاشانی أو شعره‏</w:t>
        </w:r>
        <w:r>
          <w:tab/>
        </w:r>
        <w:r>
          <w:fldChar w:fldCharType="begin"/>
        </w:r>
        <w:r>
          <w:instrText xml:space="preserve">PAGEREF 9574 \h</w:instrText>
        </w:r>
        <w:r>
          <w:fldChar w:fldCharType="end"/>
        </w:r>
      </w:hyperlink>
    </w:p>
    <w:p>
      <w:pPr>
        <w:tabs>
          <w:tab w:val="right" w:leader="dot" w:pos="9062"/>
        </w:tabs>
        <w:ind w:left="440"/>
      </w:pPr>
      <w:hyperlink w:anchor="_Toc9575" w:history="1">
        <w:r>
          <w:rPr>
            <w:rFonts w:ascii="IRNazanin" w:hAnsi="IRNazanin" w:eastAsia="IRNazanin" w:cs="IRNazanin"/>
            <w:color w:val="111111"/>
            <w:sz w:val="22"/>
            <w:szCs w:val="22"/>
            <w:b w:val="0"/>
            <w:bCs w:val="0"/>
            <w:i w:val="0"/>
            <w:iCs w:val="0"/>
          </w:rPr>
          <w:t>8238- دیوان هادی کاشانی أو شعره‏</w:t>
        </w:r>
        <w:r>
          <w:tab/>
        </w:r>
        <w:r>
          <w:fldChar w:fldCharType="begin"/>
        </w:r>
        <w:r>
          <w:instrText xml:space="preserve">PAGEREF 9575 \h</w:instrText>
        </w:r>
        <w:r>
          <w:fldChar w:fldCharType="end"/>
        </w:r>
      </w:hyperlink>
    </w:p>
    <w:p>
      <w:pPr>
        <w:tabs>
          <w:tab w:val="right" w:leader="dot" w:pos="9062"/>
        </w:tabs>
        <w:ind w:left="440"/>
      </w:pPr>
      <w:hyperlink w:anchor="_Toc9576" w:history="1">
        <w:r>
          <w:rPr>
            <w:rFonts w:ascii="IRNazanin" w:hAnsi="IRNazanin" w:eastAsia="IRNazanin" w:cs="IRNazanin"/>
            <w:color w:val="111111"/>
            <w:sz w:val="22"/>
            <w:szCs w:val="22"/>
            <w:b w:val="0"/>
            <w:bCs w:val="0"/>
            <w:i w:val="0"/>
            <w:iCs w:val="0"/>
          </w:rPr>
          <w:t>8239- دیوان هادی مشهدی أو شعره‏</w:t>
        </w:r>
        <w:r>
          <w:tab/>
        </w:r>
        <w:r>
          <w:fldChar w:fldCharType="begin"/>
        </w:r>
        <w:r>
          <w:instrText xml:space="preserve">PAGEREF 9576 \h</w:instrText>
        </w:r>
        <w:r>
          <w:fldChar w:fldCharType="end"/>
        </w:r>
      </w:hyperlink>
    </w:p>
    <w:p>
      <w:pPr>
        <w:tabs>
          <w:tab w:val="right" w:leader="dot" w:pos="9062"/>
        </w:tabs>
        <w:ind w:left="440"/>
      </w:pPr>
      <w:hyperlink w:anchor="_Toc9577" w:history="1">
        <w:r>
          <w:rPr>
            <w:rFonts w:ascii="IRNazanin" w:hAnsi="IRNazanin" w:eastAsia="IRNazanin" w:cs="IRNazanin"/>
            <w:color w:val="111111"/>
            <w:sz w:val="22"/>
            <w:szCs w:val="22"/>
            <w:b w:val="0"/>
            <w:bCs w:val="0"/>
            <w:i w:val="0"/>
            <w:iCs w:val="0"/>
          </w:rPr>
          <w:t>دیوان هادی موسوی‏</w:t>
        </w:r>
        <w:r>
          <w:tab/>
        </w:r>
        <w:r>
          <w:fldChar w:fldCharType="begin"/>
        </w:r>
        <w:r>
          <w:instrText xml:space="preserve">PAGEREF 9577 \h</w:instrText>
        </w:r>
        <w:r>
          <w:fldChar w:fldCharType="end"/>
        </w:r>
      </w:hyperlink>
    </w:p>
    <w:p>
      <w:pPr>
        <w:tabs>
          <w:tab w:val="right" w:leader="dot" w:pos="9062"/>
        </w:tabs>
        <w:ind w:left="440"/>
      </w:pPr>
      <w:hyperlink w:anchor="_Toc9578" w:history="1">
        <w:r>
          <w:rPr>
            <w:rFonts w:ascii="IRNazanin" w:hAnsi="IRNazanin" w:eastAsia="IRNazanin" w:cs="IRNazanin"/>
            <w:color w:val="111111"/>
            <w:sz w:val="22"/>
            <w:szCs w:val="22"/>
            <w:b w:val="0"/>
            <w:bCs w:val="0"/>
            <w:i w:val="0"/>
            <w:iCs w:val="0"/>
          </w:rPr>
          <w:t>8240- دیوان هادی نائنی أو شعره‏</w:t>
        </w:r>
        <w:r>
          <w:tab/>
        </w:r>
        <w:r>
          <w:fldChar w:fldCharType="begin"/>
        </w:r>
        <w:r>
          <w:instrText xml:space="preserve">PAGEREF 9578 \h</w:instrText>
        </w:r>
        <w:r>
          <w:fldChar w:fldCharType="end"/>
        </w:r>
      </w:hyperlink>
    </w:p>
    <w:p>
      <w:pPr>
        <w:tabs>
          <w:tab w:val="right" w:leader="dot" w:pos="9062"/>
        </w:tabs>
        <w:ind w:left="440"/>
      </w:pPr>
      <w:hyperlink w:anchor="_Toc9579" w:history="1">
        <w:r>
          <w:rPr>
            <w:rFonts w:ascii="IRNazanin" w:hAnsi="IRNazanin" w:eastAsia="IRNazanin" w:cs="IRNazanin"/>
            <w:color w:val="111111"/>
            <w:sz w:val="22"/>
            <w:szCs w:val="22"/>
            <w:b w:val="0"/>
            <w:bCs w:val="0"/>
            <w:i w:val="0"/>
            <w:iCs w:val="0"/>
          </w:rPr>
          <w:t>8241- دیوان الشیخ هادی النحوی‏</w:t>
        </w:r>
        <w:r>
          <w:tab/>
        </w:r>
        <w:r>
          <w:fldChar w:fldCharType="begin"/>
        </w:r>
        <w:r>
          <w:instrText xml:space="preserve">PAGEREF 9579 \h</w:instrText>
        </w:r>
        <w:r>
          <w:fldChar w:fldCharType="end"/>
        </w:r>
      </w:hyperlink>
    </w:p>
    <w:p>
      <w:pPr>
        <w:tabs>
          <w:tab w:val="right" w:leader="dot" w:pos="9062"/>
        </w:tabs>
        <w:ind w:left="440"/>
      </w:pPr>
      <w:hyperlink w:anchor="_Toc9580" w:history="1">
        <w:r>
          <w:rPr>
            <w:rFonts w:ascii="IRNazanin" w:hAnsi="IRNazanin" w:eastAsia="IRNazanin" w:cs="IRNazanin"/>
            <w:color w:val="111111"/>
            <w:sz w:val="22"/>
            <w:szCs w:val="22"/>
            <w:b w:val="0"/>
            <w:bCs w:val="0"/>
            <w:i w:val="0"/>
            <w:iCs w:val="0"/>
          </w:rPr>
          <w:t>8242- دیوان هارون جوینی‏</w:t>
        </w:r>
        <w:r>
          <w:tab/>
        </w:r>
        <w:r>
          <w:fldChar w:fldCharType="begin"/>
        </w:r>
        <w:r>
          <w:instrText xml:space="preserve">PAGEREF 9580 \h</w:instrText>
        </w:r>
        <w:r>
          <w:fldChar w:fldCharType="end"/>
        </w:r>
      </w:hyperlink>
    </w:p>
    <w:p>
      <w:pPr>
        <w:tabs>
          <w:tab w:val="right" w:leader="dot" w:pos="9062"/>
        </w:tabs>
        <w:ind w:left="440"/>
      </w:pPr>
      <w:hyperlink w:anchor="_Toc9581" w:history="1">
        <w:r>
          <w:rPr>
            <w:rFonts w:ascii="IRNazanin" w:hAnsi="IRNazanin" w:eastAsia="IRNazanin" w:cs="IRNazanin"/>
            <w:color w:val="111111"/>
            <w:sz w:val="22"/>
            <w:szCs w:val="22"/>
            <w:b w:val="0"/>
            <w:bCs w:val="0"/>
            <w:i w:val="0"/>
            <w:iCs w:val="0"/>
          </w:rPr>
          <w:t>8243- دیوان هاشم ابرقوهی أو شعره‏</w:t>
        </w:r>
        <w:r>
          <w:tab/>
        </w:r>
        <w:r>
          <w:fldChar w:fldCharType="begin"/>
        </w:r>
        <w:r>
          <w:instrText xml:space="preserve">PAGEREF 9581 \h</w:instrText>
        </w:r>
        <w:r>
          <w:fldChar w:fldCharType="end"/>
        </w:r>
      </w:hyperlink>
    </w:p>
    <w:p>
      <w:pPr>
        <w:tabs>
          <w:tab w:val="right" w:leader="dot" w:pos="9062"/>
        </w:tabs>
        <w:ind w:left="440"/>
      </w:pPr>
      <w:hyperlink w:anchor="_Toc9582" w:history="1">
        <w:r>
          <w:rPr>
            <w:rFonts w:ascii="IRNazanin" w:hAnsi="IRNazanin" w:eastAsia="IRNazanin" w:cs="IRNazanin"/>
            <w:color w:val="111111"/>
            <w:sz w:val="22"/>
            <w:szCs w:val="22"/>
            <w:b w:val="0"/>
            <w:bCs w:val="0"/>
            <w:i w:val="0"/>
            <w:iCs w:val="0"/>
          </w:rPr>
          <w:t>دیوان هاشم أرتیمانی‏</w:t>
        </w:r>
        <w:r>
          <w:tab/>
        </w:r>
        <w:r>
          <w:fldChar w:fldCharType="begin"/>
        </w:r>
        <w:r>
          <w:instrText xml:space="preserve">PAGEREF 9582 \h</w:instrText>
        </w:r>
        <w:r>
          <w:fldChar w:fldCharType="end"/>
        </w:r>
      </w:hyperlink>
    </w:p>
    <w:p>
      <w:pPr>
        <w:tabs>
          <w:tab w:val="right" w:leader="dot" w:pos="9062"/>
        </w:tabs>
        <w:ind w:left="440"/>
      </w:pPr>
      <w:hyperlink w:anchor="_Toc9583" w:history="1">
        <w:r>
          <w:rPr>
            <w:rFonts w:ascii="IRNazanin" w:hAnsi="IRNazanin" w:eastAsia="IRNazanin" w:cs="IRNazanin"/>
            <w:color w:val="111111"/>
            <w:sz w:val="22"/>
            <w:szCs w:val="22"/>
            <w:b w:val="0"/>
            <w:bCs w:val="0"/>
            <w:i w:val="0"/>
            <w:iCs w:val="0"/>
          </w:rPr>
          <w:t>دیوان هاشم بخارائی‏</w:t>
        </w:r>
        <w:r>
          <w:tab/>
        </w:r>
        <w:r>
          <w:fldChar w:fldCharType="begin"/>
        </w:r>
        <w:r>
          <w:instrText xml:space="preserve">PAGEREF 9583 \h</w:instrText>
        </w:r>
        <w:r>
          <w:fldChar w:fldCharType="end"/>
        </w:r>
      </w:hyperlink>
    </w:p>
    <w:p>
      <w:pPr>
        <w:tabs>
          <w:tab w:val="right" w:leader="dot" w:pos="9062"/>
        </w:tabs>
        <w:ind w:left="440"/>
      </w:pPr>
      <w:hyperlink w:anchor="_Toc9584" w:history="1">
        <w:r>
          <w:rPr>
            <w:rFonts w:ascii="IRNazanin" w:hAnsi="IRNazanin" w:eastAsia="IRNazanin" w:cs="IRNazanin"/>
            <w:color w:val="111111"/>
            <w:sz w:val="22"/>
            <w:szCs w:val="22"/>
            <w:b w:val="0"/>
            <w:bCs w:val="0"/>
            <w:i w:val="0"/>
            <w:iCs w:val="0"/>
          </w:rPr>
          <w:t>دیوان الحاج هاشم البصری‏</w:t>
        </w:r>
        <w:r>
          <w:tab/>
        </w:r>
        <w:r>
          <w:fldChar w:fldCharType="begin"/>
        </w:r>
        <w:r>
          <w:instrText xml:space="preserve">PAGEREF 9584 \h</w:instrText>
        </w:r>
        <w:r>
          <w:fldChar w:fldCharType="end"/>
        </w:r>
      </w:hyperlink>
    </w:p>
    <w:p>
      <w:pPr>
        <w:tabs>
          <w:tab w:val="right" w:leader="dot" w:pos="9062"/>
        </w:tabs>
        <w:ind w:left="440"/>
      </w:pPr>
      <w:hyperlink w:anchor="_Toc9585" w:history="1">
        <w:r>
          <w:rPr>
            <w:rFonts w:ascii="IRNazanin" w:hAnsi="IRNazanin" w:eastAsia="IRNazanin" w:cs="IRNazanin"/>
            <w:color w:val="111111"/>
            <w:sz w:val="22"/>
            <w:szCs w:val="22"/>
            <w:b w:val="0"/>
            <w:bCs w:val="0"/>
            <w:i w:val="0"/>
            <w:iCs w:val="0"/>
          </w:rPr>
          <w:t>دیوان هاشم درویش‏</w:t>
        </w:r>
        <w:r>
          <w:tab/>
        </w:r>
        <w:r>
          <w:fldChar w:fldCharType="begin"/>
        </w:r>
        <w:r>
          <w:instrText xml:space="preserve">PAGEREF 9585 \h</w:instrText>
        </w:r>
        <w:r>
          <w:fldChar w:fldCharType="end"/>
        </w:r>
      </w:hyperlink>
    </w:p>
    <w:p>
      <w:pPr>
        <w:tabs>
          <w:tab w:val="right" w:leader="dot" w:pos="9062"/>
        </w:tabs>
        <w:ind w:left="440"/>
      </w:pPr>
      <w:hyperlink w:anchor="_Toc9586" w:history="1">
        <w:r>
          <w:rPr>
            <w:rFonts w:ascii="IRNazanin" w:hAnsi="IRNazanin" w:eastAsia="IRNazanin" w:cs="IRNazanin"/>
            <w:color w:val="111111"/>
            <w:sz w:val="22"/>
            <w:szCs w:val="22"/>
            <w:b w:val="0"/>
            <w:bCs w:val="0"/>
            <w:i w:val="0"/>
            <w:iCs w:val="0"/>
          </w:rPr>
          <w:t>دیوان هاشم الدورقی‏</w:t>
        </w:r>
        <w:r>
          <w:tab/>
        </w:r>
        <w:r>
          <w:fldChar w:fldCharType="begin"/>
        </w:r>
        <w:r>
          <w:instrText xml:space="preserve">PAGEREF 9586 \h</w:instrText>
        </w:r>
        <w:r>
          <w:fldChar w:fldCharType="end"/>
        </w:r>
      </w:hyperlink>
    </w:p>
    <w:p>
      <w:pPr>
        <w:tabs>
          <w:tab w:val="right" w:leader="dot" w:pos="9062"/>
        </w:tabs>
        <w:ind w:left="440"/>
      </w:pPr>
      <w:hyperlink w:anchor="_Toc9587" w:history="1">
        <w:r>
          <w:rPr>
            <w:rFonts w:ascii="IRNazanin" w:hAnsi="IRNazanin" w:eastAsia="IRNazanin" w:cs="IRNazanin"/>
            <w:color w:val="111111"/>
            <w:sz w:val="22"/>
            <w:szCs w:val="22"/>
            <w:b w:val="0"/>
            <w:bCs w:val="0"/>
            <w:i w:val="0"/>
            <w:iCs w:val="0"/>
          </w:rPr>
          <w:t>دیوان هاشم ذهبی‏</w:t>
        </w:r>
        <w:r>
          <w:tab/>
        </w:r>
        <w:r>
          <w:fldChar w:fldCharType="begin"/>
        </w:r>
        <w:r>
          <w:instrText xml:space="preserve">PAGEREF 9587 \h</w:instrText>
        </w:r>
        <w:r>
          <w:fldChar w:fldCharType="end"/>
        </w:r>
      </w:hyperlink>
    </w:p>
    <w:p>
      <w:pPr>
        <w:tabs>
          <w:tab w:val="right" w:leader="dot" w:pos="9062"/>
        </w:tabs>
        <w:ind w:left="440"/>
      </w:pPr>
      <w:hyperlink w:anchor="_Toc9588" w:history="1">
        <w:r>
          <w:rPr>
            <w:rFonts w:ascii="IRNazanin" w:hAnsi="IRNazanin" w:eastAsia="IRNazanin" w:cs="IRNazanin"/>
            <w:color w:val="111111"/>
            <w:sz w:val="22"/>
            <w:szCs w:val="22"/>
            <w:b w:val="0"/>
            <w:bCs w:val="0"/>
            <w:i w:val="0"/>
            <w:iCs w:val="0"/>
          </w:rPr>
          <w:t>8244- دیوان محمد هاشم شیرازی‏</w:t>
        </w:r>
        <w:r>
          <w:tab/>
        </w:r>
        <w:r>
          <w:fldChar w:fldCharType="begin"/>
        </w:r>
        <w:r>
          <w:instrText xml:space="preserve">PAGEREF 9588 \h</w:instrText>
        </w:r>
        <w:r>
          <w:fldChar w:fldCharType="end"/>
        </w:r>
      </w:hyperlink>
    </w:p>
    <w:p>
      <w:pPr>
        <w:tabs>
          <w:tab w:val="right" w:leader="dot" w:pos="9062"/>
        </w:tabs>
        <w:ind w:left="440"/>
      </w:pPr>
      <w:hyperlink w:anchor="_Toc9589" w:history="1">
        <w:r>
          <w:rPr>
            <w:rFonts w:ascii="IRNazanin" w:hAnsi="IRNazanin" w:eastAsia="IRNazanin" w:cs="IRNazanin"/>
            <w:color w:val="111111"/>
            <w:sz w:val="22"/>
            <w:szCs w:val="22"/>
            <w:b w:val="0"/>
            <w:bCs w:val="0"/>
            <w:i w:val="0"/>
            <w:iCs w:val="0"/>
          </w:rPr>
          <w:t>8245- دیوان آقا محمد هاشم شیرازی‏</w:t>
        </w:r>
        <w:r>
          <w:tab/>
        </w:r>
        <w:r>
          <w:fldChar w:fldCharType="begin"/>
        </w:r>
        <w:r>
          <w:instrText xml:space="preserve">PAGEREF 9589 \h</w:instrText>
        </w:r>
        <w:r>
          <w:fldChar w:fldCharType="end"/>
        </w:r>
      </w:hyperlink>
    </w:p>
    <w:p>
      <w:pPr>
        <w:tabs>
          <w:tab w:val="right" w:leader="dot" w:pos="9062"/>
        </w:tabs>
        <w:ind w:left="440"/>
      </w:pPr>
      <w:hyperlink w:anchor="_Toc9590" w:history="1">
        <w:r>
          <w:rPr>
            <w:rFonts w:ascii="IRNazanin" w:hAnsi="IRNazanin" w:eastAsia="IRNazanin" w:cs="IRNazanin"/>
            <w:color w:val="111111"/>
            <w:sz w:val="22"/>
            <w:szCs w:val="22"/>
            <w:b w:val="0"/>
            <w:bCs w:val="0"/>
            <w:i w:val="0"/>
            <w:iCs w:val="0"/>
          </w:rPr>
          <w:t>8246- دیوان هاشم قندهاری‏</w:t>
        </w:r>
        <w:r>
          <w:tab/>
        </w:r>
        <w:r>
          <w:fldChar w:fldCharType="begin"/>
        </w:r>
        <w:r>
          <w:instrText xml:space="preserve">PAGEREF 9590 \h</w:instrText>
        </w:r>
        <w:r>
          <w:fldChar w:fldCharType="end"/>
        </w:r>
      </w:hyperlink>
    </w:p>
    <w:p>
      <w:pPr>
        <w:tabs>
          <w:tab w:val="right" w:leader="dot" w:pos="9062"/>
        </w:tabs>
        <w:ind w:left="440"/>
      </w:pPr>
      <w:hyperlink w:anchor="_Toc9591" w:history="1">
        <w:r>
          <w:rPr>
            <w:rFonts w:ascii="IRNazanin" w:hAnsi="IRNazanin" w:eastAsia="IRNazanin" w:cs="IRNazanin"/>
            <w:color w:val="111111"/>
            <w:sz w:val="22"/>
            <w:szCs w:val="22"/>
            <w:b w:val="0"/>
            <w:bCs w:val="0"/>
            <w:i w:val="0"/>
            <w:iCs w:val="0"/>
          </w:rPr>
          <w:t>8247- دیوان هاشم کاشانی أو شعره‏</w:t>
        </w:r>
        <w:r>
          <w:tab/>
        </w:r>
        <w:r>
          <w:fldChar w:fldCharType="begin"/>
        </w:r>
        <w:r>
          <w:instrText xml:space="preserve">PAGEREF 9591 \h</w:instrText>
        </w:r>
        <w:r>
          <w:fldChar w:fldCharType="end"/>
        </w:r>
      </w:hyperlink>
    </w:p>
    <w:p>
      <w:pPr>
        <w:tabs>
          <w:tab w:val="right" w:leader="dot" w:pos="9062"/>
        </w:tabs>
        <w:ind w:left="440"/>
      </w:pPr>
      <w:hyperlink w:anchor="_Toc9592" w:history="1">
        <w:r>
          <w:rPr>
            <w:rFonts w:ascii="IRNazanin" w:hAnsi="IRNazanin" w:eastAsia="IRNazanin" w:cs="IRNazanin"/>
            <w:color w:val="111111"/>
            <w:sz w:val="22"/>
            <w:szCs w:val="22"/>
            <w:b w:val="0"/>
            <w:bCs w:val="0"/>
            <w:i w:val="0"/>
            <w:iCs w:val="0"/>
          </w:rPr>
          <w:t>8248- دیوان هاشم کشمیری أو شعره‏</w:t>
        </w:r>
        <w:r>
          <w:tab/>
        </w:r>
        <w:r>
          <w:fldChar w:fldCharType="begin"/>
        </w:r>
        <w:r>
          <w:instrText xml:space="preserve">PAGEREF 9592 \h</w:instrText>
        </w:r>
        <w:r>
          <w:fldChar w:fldCharType="end"/>
        </w:r>
      </w:hyperlink>
    </w:p>
    <w:p>
      <w:pPr>
        <w:tabs>
          <w:tab w:val="right" w:leader="dot" w:pos="9062"/>
        </w:tabs>
        <w:ind w:left="440"/>
      </w:pPr>
      <w:hyperlink w:anchor="_Toc9593" w:history="1">
        <w:r>
          <w:rPr>
            <w:rFonts w:ascii="IRNazanin" w:hAnsi="IRNazanin" w:eastAsia="IRNazanin" w:cs="IRNazanin"/>
            <w:color w:val="111111"/>
            <w:sz w:val="22"/>
            <w:szCs w:val="22"/>
            <w:b w:val="0"/>
            <w:bCs w:val="0"/>
            <w:i w:val="0"/>
            <w:iCs w:val="0"/>
          </w:rPr>
          <w:t>دیوان هاشم الکعبی‏</w:t>
        </w:r>
        <w:r>
          <w:tab/>
        </w:r>
        <w:r>
          <w:fldChar w:fldCharType="begin"/>
        </w:r>
        <w:r>
          <w:instrText xml:space="preserve">PAGEREF 9593 \h</w:instrText>
        </w:r>
        <w:r>
          <w:fldChar w:fldCharType="end"/>
        </w:r>
      </w:hyperlink>
    </w:p>
    <w:p>
      <w:pPr>
        <w:tabs>
          <w:tab w:val="right" w:leader="dot" w:pos="9062"/>
        </w:tabs>
        <w:ind w:left="440"/>
      </w:pPr>
      <w:hyperlink w:anchor="_Toc9594" w:history="1">
        <w:r>
          <w:rPr>
            <w:rFonts w:ascii="IRNazanin" w:hAnsi="IRNazanin" w:eastAsia="IRNazanin" w:cs="IRNazanin"/>
            <w:color w:val="111111"/>
            <w:sz w:val="22"/>
            <w:szCs w:val="22"/>
            <w:b w:val="0"/>
            <w:bCs w:val="0"/>
            <w:i w:val="0"/>
            <w:iCs w:val="0"/>
          </w:rPr>
          <w:t>8249- دیوان هاشم هروی أو شعره‏</w:t>
        </w:r>
        <w:r>
          <w:tab/>
        </w:r>
        <w:r>
          <w:fldChar w:fldCharType="begin"/>
        </w:r>
        <w:r>
          <w:instrText xml:space="preserve">PAGEREF 9594 \h</w:instrText>
        </w:r>
        <w:r>
          <w:fldChar w:fldCharType="end"/>
        </w:r>
      </w:hyperlink>
    </w:p>
    <w:p>
      <w:pPr>
        <w:tabs>
          <w:tab w:val="right" w:leader="dot" w:pos="9062"/>
        </w:tabs>
        <w:ind w:left="440"/>
      </w:pPr>
      <w:hyperlink w:anchor="_Toc9595" w:history="1">
        <w:r>
          <w:rPr>
            <w:rFonts w:ascii="IRNazanin" w:hAnsi="IRNazanin" w:eastAsia="IRNazanin" w:cs="IRNazanin"/>
            <w:color w:val="111111"/>
            <w:sz w:val="22"/>
            <w:szCs w:val="22"/>
            <w:b w:val="0"/>
            <w:bCs w:val="0"/>
            <w:i w:val="0"/>
            <w:iCs w:val="0"/>
          </w:rPr>
          <w:t>8250- دیوان هاشم هندی أو شعره‏</w:t>
        </w:r>
        <w:r>
          <w:tab/>
        </w:r>
        <w:r>
          <w:fldChar w:fldCharType="begin"/>
        </w:r>
        <w:r>
          <w:instrText xml:space="preserve">PAGEREF 9595 \h</w:instrText>
        </w:r>
        <w:r>
          <w:fldChar w:fldCharType="end"/>
        </w:r>
      </w:hyperlink>
    </w:p>
    <w:p>
      <w:pPr>
        <w:tabs>
          <w:tab w:val="right" w:leader="dot" w:pos="9062"/>
        </w:tabs>
        <w:ind w:left="440"/>
      </w:pPr>
      <w:hyperlink w:anchor="_Toc9596" w:history="1">
        <w:r>
          <w:rPr>
            <w:rFonts w:ascii="IRNazanin" w:hAnsi="IRNazanin" w:eastAsia="IRNazanin" w:cs="IRNazanin"/>
            <w:color w:val="111111"/>
            <w:sz w:val="22"/>
            <w:szCs w:val="22"/>
            <w:b w:val="0"/>
            <w:bCs w:val="0"/>
            <w:i w:val="0"/>
            <w:iCs w:val="0"/>
          </w:rPr>
          <w:t>8251- دیوان هاشمی أسترآبادی أو شعره‏</w:t>
        </w:r>
        <w:r>
          <w:tab/>
        </w:r>
        <w:r>
          <w:fldChar w:fldCharType="begin"/>
        </w:r>
        <w:r>
          <w:instrText xml:space="preserve">PAGEREF 9596 \h</w:instrText>
        </w:r>
        <w:r>
          <w:fldChar w:fldCharType="end"/>
        </w:r>
      </w:hyperlink>
    </w:p>
    <w:p>
      <w:pPr>
        <w:tabs>
          <w:tab w:val="right" w:leader="dot" w:pos="9062"/>
        </w:tabs>
        <w:ind w:left="440"/>
      </w:pPr>
      <w:hyperlink w:anchor="_Toc9597" w:history="1">
        <w:r>
          <w:rPr>
            <w:rFonts w:ascii="IRNazanin" w:hAnsi="IRNazanin" w:eastAsia="IRNazanin" w:cs="IRNazanin"/>
            <w:color w:val="111111"/>
            <w:sz w:val="22"/>
            <w:szCs w:val="22"/>
            <w:b w:val="0"/>
            <w:bCs w:val="0"/>
            <w:i w:val="0"/>
            <w:iCs w:val="0"/>
          </w:rPr>
          <w:t>8252- دیوان هاشمی أصفهانی أو شعره‏</w:t>
        </w:r>
        <w:r>
          <w:tab/>
        </w:r>
        <w:r>
          <w:fldChar w:fldCharType="begin"/>
        </w:r>
        <w:r>
          <w:instrText xml:space="preserve">PAGEREF 9597 \h</w:instrText>
        </w:r>
        <w:r>
          <w:fldChar w:fldCharType="end"/>
        </w:r>
      </w:hyperlink>
    </w:p>
    <w:p>
      <w:pPr>
        <w:tabs>
          <w:tab w:val="right" w:leader="dot" w:pos="9062"/>
        </w:tabs>
        <w:ind w:left="440"/>
      </w:pPr>
      <w:hyperlink w:anchor="_Toc9598" w:history="1">
        <w:r>
          <w:rPr>
            <w:rFonts w:ascii="IRNazanin" w:hAnsi="IRNazanin" w:eastAsia="IRNazanin" w:cs="IRNazanin"/>
            <w:color w:val="111111"/>
            <w:sz w:val="22"/>
            <w:szCs w:val="22"/>
            <w:b w:val="0"/>
            <w:bCs w:val="0"/>
            <w:i w:val="0"/>
            <w:iCs w:val="0"/>
          </w:rPr>
          <w:t>8253- دیوان هاشمی بخارائی‏</w:t>
        </w:r>
        <w:r>
          <w:tab/>
        </w:r>
        <w:r>
          <w:fldChar w:fldCharType="begin"/>
        </w:r>
        <w:r>
          <w:instrText xml:space="preserve">PAGEREF 9598 \h</w:instrText>
        </w:r>
        <w:r>
          <w:fldChar w:fldCharType="end"/>
        </w:r>
      </w:hyperlink>
    </w:p>
    <w:p>
      <w:pPr>
        <w:tabs>
          <w:tab w:val="right" w:leader="dot" w:pos="9062"/>
        </w:tabs>
        <w:ind w:left="440"/>
      </w:pPr>
      <w:hyperlink w:anchor="_Toc9599" w:history="1">
        <w:r>
          <w:rPr>
            <w:rFonts w:ascii="IRNazanin" w:hAnsi="IRNazanin" w:eastAsia="IRNazanin" w:cs="IRNazanin"/>
            <w:color w:val="111111"/>
            <w:sz w:val="22"/>
            <w:szCs w:val="22"/>
            <w:b w:val="0"/>
            <w:bCs w:val="0"/>
            <w:i w:val="0"/>
            <w:iCs w:val="0"/>
          </w:rPr>
          <w:t>8254- دیوان هاشمی دهلوی‏</w:t>
        </w:r>
        <w:r>
          <w:tab/>
        </w:r>
        <w:r>
          <w:fldChar w:fldCharType="begin"/>
        </w:r>
        <w:r>
          <w:instrText xml:space="preserve">PAGEREF 9599 \h</w:instrText>
        </w:r>
        <w:r>
          <w:fldChar w:fldCharType="end"/>
        </w:r>
      </w:hyperlink>
    </w:p>
    <w:p>
      <w:pPr>
        <w:tabs>
          <w:tab w:val="right" w:leader="dot" w:pos="9062"/>
        </w:tabs>
        <w:ind w:left="440"/>
      </w:pPr>
      <w:hyperlink w:anchor="_Toc9600" w:history="1">
        <w:r>
          <w:rPr>
            <w:rFonts w:ascii="IRNazanin" w:hAnsi="IRNazanin" w:eastAsia="IRNazanin" w:cs="IRNazanin"/>
            <w:color w:val="111111"/>
            <w:sz w:val="22"/>
            <w:szCs w:val="22"/>
            <w:b w:val="0"/>
            <w:bCs w:val="0"/>
            <w:i w:val="0"/>
            <w:iCs w:val="0"/>
          </w:rPr>
          <w:t>8255- دیوان هاشمی ساروی‏</w:t>
        </w:r>
        <w:r>
          <w:tab/>
        </w:r>
        <w:r>
          <w:fldChar w:fldCharType="begin"/>
        </w:r>
        <w:r>
          <w:instrText xml:space="preserve">PAGEREF 9600 \h</w:instrText>
        </w:r>
        <w:r>
          <w:fldChar w:fldCharType="end"/>
        </w:r>
      </w:hyperlink>
    </w:p>
    <w:p>
      <w:pPr>
        <w:tabs>
          <w:tab w:val="right" w:leader="dot" w:pos="9062"/>
        </w:tabs>
        <w:ind w:left="440"/>
      </w:pPr>
      <w:hyperlink w:anchor="_Toc9601" w:history="1">
        <w:r>
          <w:rPr>
            <w:rFonts w:ascii="IRNazanin" w:hAnsi="IRNazanin" w:eastAsia="IRNazanin" w:cs="IRNazanin"/>
            <w:color w:val="111111"/>
            <w:sz w:val="22"/>
            <w:szCs w:val="22"/>
            <w:b w:val="0"/>
            <w:bCs w:val="0"/>
            <w:i w:val="0"/>
            <w:iCs w:val="0"/>
          </w:rPr>
          <w:t>8256- دیوان هاشمی فراهی أو شعره‏</w:t>
        </w:r>
        <w:r>
          <w:tab/>
        </w:r>
        <w:r>
          <w:fldChar w:fldCharType="begin"/>
        </w:r>
        <w:r>
          <w:instrText xml:space="preserve">PAGEREF 9601 \h</w:instrText>
        </w:r>
        <w:r>
          <w:fldChar w:fldCharType="end"/>
        </w:r>
      </w:hyperlink>
    </w:p>
    <w:p>
      <w:pPr>
        <w:tabs>
          <w:tab w:val="right" w:leader="dot" w:pos="9062"/>
        </w:tabs>
        <w:ind w:left="440"/>
      </w:pPr>
      <w:hyperlink w:anchor="_Toc9602" w:history="1">
        <w:r>
          <w:rPr>
            <w:rFonts w:ascii="IRNazanin" w:hAnsi="IRNazanin" w:eastAsia="IRNazanin" w:cs="IRNazanin"/>
            <w:color w:val="111111"/>
            <w:sz w:val="22"/>
            <w:szCs w:val="22"/>
            <w:b w:val="0"/>
            <w:bCs w:val="0"/>
            <w:i w:val="0"/>
            <w:iCs w:val="0"/>
          </w:rPr>
          <w:t>8257- دیوان هاشمی قمی أو شعره‏</w:t>
        </w:r>
        <w:r>
          <w:tab/>
        </w:r>
        <w:r>
          <w:fldChar w:fldCharType="begin"/>
        </w:r>
        <w:r>
          <w:instrText xml:space="preserve">PAGEREF 9602 \h</w:instrText>
        </w:r>
        <w:r>
          <w:fldChar w:fldCharType="end"/>
        </w:r>
      </w:hyperlink>
    </w:p>
    <w:p>
      <w:pPr>
        <w:tabs>
          <w:tab w:val="right" w:leader="dot" w:pos="9062"/>
        </w:tabs>
        <w:ind w:left="440"/>
      </w:pPr>
      <w:hyperlink w:anchor="_Toc9603" w:history="1">
        <w:r>
          <w:rPr>
            <w:rFonts w:ascii="IRNazanin" w:hAnsi="IRNazanin" w:eastAsia="IRNazanin" w:cs="IRNazanin"/>
            <w:color w:val="111111"/>
            <w:sz w:val="22"/>
            <w:szCs w:val="22"/>
            <w:b w:val="0"/>
            <w:bCs w:val="0"/>
            <w:i w:val="0"/>
            <w:iCs w:val="0"/>
          </w:rPr>
          <w:t>دیوان هاشمی قندهاری‏</w:t>
        </w:r>
        <w:r>
          <w:tab/>
        </w:r>
        <w:r>
          <w:fldChar w:fldCharType="begin"/>
        </w:r>
        <w:r>
          <w:instrText xml:space="preserve">PAGEREF 9603 \h</w:instrText>
        </w:r>
        <w:r>
          <w:fldChar w:fldCharType="end"/>
        </w:r>
      </w:hyperlink>
    </w:p>
    <w:p>
      <w:pPr>
        <w:tabs>
          <w:tab w:val="right" w:leader="dot" w:pos="9062"/>
        </w:tabs>
        <w:ind w:left="440"/>
      </w:pPr>
      <w:hyperlink w:anchor="_Toc9604" w:history="1">
        <w:r>
          <w:rPr>
            <w:rFonts w:ascii="IRNazanin" w:hAnsi="IRNazanin" w:eastAsia="IRNazanin" w:cs="IRNazanin"/>
            <w:color w:val="111111"/>
            <w:sz w:val="22"/>
            <w:szCs w:val="22"/>
            <w:b w:val="0"/>
            <w:bCs w:val="0"/>
            <w:i w:val="0"/>
            <w:iCs w:val="0"/>
          </w:rPr>
          <w:t>8258- دیوان هاشمی کاشانی أو شعره‏</w:t>
        </w:r>
        <w:r>
          <w:tab/>
        </w:r>
        <w:r>
          <w:fldChar w:fldCharType="begin"/>
        </w:r>
        <w:r>
          <w:instrText xml:space="preserve">PAGEREF 9604 \h</w:instrText>
        </w:r>
        <w:r>
          <w:fldChar w:fldCharType="end"/>
        </w:r>
      </w:hyperlink>
    </w:p>
    <w:p>
      <w:pPr>
        <w:tabs>
          <w:tab w:val="right" w:leader="dot" w:pos="9062"/>
        </w:tabs>
        <w:ind w:left="440"/>
      </w:pPr>
      <w:hyperlink w:anchor="_Toc9605" w:history="1">
        <w:r>
          <w:rPr>
            <w:rFonts w:ascii="IRNazanin" w:hAnsi="IRNazanin" w:eastAsia="IRNazanin" w:cs="IRNazanin"/>
            <w:color w:val="111111"/>
            <w:sz w:val="22"/>
            <w:szCs w:val="22"/>
            <w:b w:val="0"/>
            <w:bCs w:val="0"/>
            <w:i w:val="0"/>
            <w:iCs w:val="0"/>
          </w:rPr>
          <w:t>8259- دیوان هاشمی کرمانی‏</w:t>
        </w:r>
        <w:r>
          <w:tab/>
        </w:r>
        <w:r>
          <w:fldChar w:fldCharType="begin"/>
        </w:r>
        <w:r>
          <w:instrText xml:space="preserve">PAGEREF 9605 \h</w:instrText>
        </w:r>
        <w:r>
          <w:fldChar w:fldCharType="end"/>
        </w:r>
      </w:hyperlink>
    </w:p>
    <w:p>
      <w:pPr>
        <w:tabs>
          <w:tab w:val="right" w:leader="dot" w:pos="9062"/>
        </w:tabs>
        <w:ind w:left="440"/>
      </w:pPr>
      <w:hyperlink w:anchor="_Toc9606" w:history="1">
        <w:r>
          <w:rPr>
            <w:rFonts w:ascii="IRNazanin" w:hAnsi="IRNazanin" w:eastAsia="IRNazanin" w:cs="IRNazanin"/>
            <w:color w:val="111111"/>
            <w:sz w:val="22"/>
            <w:szCs w:val="22"/>
            <w:b w:val="0"/>
            <w:bCs w:val="0"/>
            <w:i w:val="0"/>
            <w:iCs w:val="0"/>
          </w:rPr>
          <w:t>8260- دیوان هاشمی کوفته‏گر أو شعره‏</w:t>
        </w:r>
        <w:r>
          <w:tab/>
        </w:r>
        <w:r>
          <w:fldChar w:fldCharType="begin"/>
        </w:r>
        <w:r>
          <w:instrText xml:space="preserve">PAGEREF 9606 \h</w:instrText>
        </w:r>
        <w:r>
          <w:fldChar w:fldCharType="end"/>
        </w:r>
      </w:hyperlink>
    </w:p>
    <w:p>
      <w:pPr>
        <w:tabs>
          <w:tab w:val="right" w:leader="dot" w:pos="9062"/>
        </w:tabs>
        <w:ind w:left="440"/>
      </w:pPr>
      <w:hyperlink w:anchor="_Toc9607" w:history="1">
        <w:r>
          <w:rPr>
            <w:rFonts w:ascii="IRNazanin" w:hAnsi="IRNazanin" w:eastAsia="IRNazanin" w:cs="IRNazanin"/>
            <w:color w:val="111111"/>
            <w:sz w:val="22"/>
            <w:szCs w:val="22"/>
            <w:b w:val="0"/>
            <w:bCs w:val="0"/>
            <w:i w:val="0"/>
            <w:iCs w:val="0"/>
          </w:rPr>
          <w:t>8261- دیوان هاشمی گیلانی أو شعره‏</w:t>
        </w:r>
        <w:r>
          <w:tab/>
        </w:r>
        <w:r>
          <w:fldChar w:fldCharType="begin"/>
        </w:r>
        <w:r>
          <w:instrText xml:space="preserve">PAGEREF 9607 \h</w:instrText>
        </w:r>
        <w:r>
          <w:fldChar w:fldCharType="end"/>
        </w:r>
      </w:hyperlink>
    </w:p>
    <w:p>
      <w:pPr>
        <w:tabs>
          <w:tab w:val="right" w:leader="dot" w:pos="9062"/>
        </w:tabs>
        <w:ind w:left="440"/>
      </w:pPr>
      <w:hyperlink w:anchor="_Toc9608" w:history="1">
        <w:r>
          <w:rPr>
            <w:rFonts w:ascii="IRNazanin" w:hAnsi="IRNazanin" w:eastAsia="IRNazanin" w:cs="IRNazanin"/>
            <w:color w:val="111111"/>
            <w:sz w:val="22"/>
            <w:szCs w:val="22"/>
            <w:b w:val="0"/>
            <w:bCs w:val="0"/>
            <w:i w:val="0"/>
            <w:iCs w:val="0"/>
          </w:rPr>
          <w:t>8262- دیوان هاشمی لکهنوی أو شعره‏</w:t>
        </w:r>
        <w:r>
          <w:tab/>
        </w:r>
        <w:r>
          <w:fldChar w:fldCharType="begin"/>
        </w:r>
        <w:r>
          <w:instrText xml:space="preserve">PAGEREF 9608 \h</w:instrText>
        </w:r>
        <w:r>
          <w:fldChar w:fldCharType="end"/>
        </w:r>
      </w:hyperlink>
    </w:p>
    <w:p>
      <w:pPr>
        <w:tabs>
          <w:tab w:val="right" w:leader="dot" w:pos="9062"/>
        </w:tabs>
        <w:ind w:left="440"/>
      </w:pPr>
      <w:hyperlink w:anchor="_Toc9609" w:history="1">
        <w:r>
          <w:rPr>
            <w:rFonts w:ascii="IRNazanin" w:hAnsi="IRNazanin" w:eastAsia="IRNazanin" w:cs="IRNazanin"/>
            <w:color w:val="111111"/>
            <w:sz w:val="22"/>
            <w:szCs w:val="22"/>
            <w:b w:val="0"/>
            <w:bCs w:val="0"/>
            <w:i w:val="0"/>
            <w:iCs w:val="0"/>
          </w:rPr>
          <w:t>8263- هاشمی همدانی أو شعره‏</w:t>
        </w:r>
        <w:r>
          <w:tab/>
        </w:r>
        <w:r>
          <w:fldChar w:fldCharType="begin"/>
        </w:r>
        <w:r>
          <w:instrText xml:space="preserve">PAGEREF 9609 \h</w:instrText>
        </w:r>
        <w:r>
          <w:fldChar w:fldCharType="end"/>
        </w:r>
      </w:hyperlink>
    </w:p>
    <w:p>
      <w:pPr>
        <w:tabs>
          <w:tab w:val="right" w:leader="dot" w:pos="9062"/>
        </w:tabs>
        <w:ind w:left="440"/>
      </w:pPr>
      <w:hyperlink w:anchor="_Toc9610" w:history="1">
        <w:r>
          <w:rPr>
            <w:rFonts w:ascii="IRNazanin" w:hAnsi="IRNazanin" w:eastAsia="IRNazanin" w:cs="IRNazanin"/>
            <w:color w:val="111111"/>
            <w:sz w:val="22"/>
            <w:szCs w:val="22"/>
            <w:b w:val="0"/>
            <w:bCs w:val="0"/>
            <w:i w:val="0"/>
            <w:iCs w:val="0"/>
          </w:rPr>
          <w:t>8264- دیوان هاله طهرانی‏</w:t>
        </w:r>
        <w:r>
          <w:tab/>
        </w:r>
        <w:r>
          <w:fldChar w:fldCharType="begin"/>
        </w:r>
        <w:r>
          <w:instrText xml:space="preserve">PAGEREF 9610 \h</w:instrText>
        </w:r>
        <w:r>
          <w:fldChar w:fldCharType="end"/>
        </w:r>
      </w:hyperlink>
    </w:p>
    <w:p>
      <w:pPr>
        <w:tabs>
          <w:tab w:val="right" w:leader="dot" w:pos="9062"/>
        </w:tabs>
        <w:ind w:left="440"/>
      </w:pPr>
      <w:hyperlink w:anchor="_Toc9611" w:history="1">
        <w:r>
          <w:rPr>
            <w:rFonts w:ascii="IRNazanin" w:hAnsi="IRNazanin" w:eastAsia="IRNazanin" w:cs="IRNazanin"/>
            <w:color w:val="111111"/>
            <w:sz w:val="22"/>
            <w:szCs w:val="22"/>
            <w:b w:val="0"/>
            <w:bCs w:val="0"/>
            <w:i w:val="0"/>
            <w:iCs w:val="0"/>
          </w:rPr>
          <w:t>8265- دیوان هبة الدین الشهرستانی‏</w:t>
        </w:r>
        <w:r>
          <w:tab/>
        </w:r>
        <w:r>
          <w:fldChar w:fldCharType="begin"/>
        </w:r>
        <w:r>
          <w:instrText xml:space="preserve">PAGEREF 9611 \h</w:instrText>
        </w:r>
        <w:r>
          <w:fldChar w:fldCharType="end"/>
        </w:r>
      </w:hyperlink>
    </w:p>
    <w:p>
      <w:pPr>
        <w:tabs>
          <w:tab w:val="right" w:leader="dot" w:pos="9062"/>
        </w:tabs>
        <w:ind w:left="440"/>
      </w:pPr>
      <w:hyperlink w:anchor="_Toc9612" w:history="1">
        <w:r>
          <w:rPr>
            <w:rFonts w:ascii="IRNazanin" w:hAnsi="IRNazanin" w:eastAsia="IRNazanin" w:cs="IRNazanin"/>
            <w:color w:val="111111"/>
            <w:sz w:val="22"/>
            <w:szCs w:val="22"/>
            <w:b w:val="0"/>
            <w:bCs w:val="0"/>
            <w:i w:val="0"/>
            <w:iCs w:val="0"/>
          </w:rPr>
          <w:t>8266- دیوان هبة الله کاشی أو شعره‏</w:t>
        </w:r>
        <w:r>
          <w:tab/>
        </w:r>
        <w:r>
          <w:fldChar w:fldCharType="begin"/>
        </w:r>
        <w:r>
          <w:instrText xml:space="preserve">PAGEREF 9612 \h</w:instrText>
        </w:r>
        <w:r>
          <w:fldChar w:fldCharType="end"/>
        </w:r>
      </w:hyperlink>
    </w:p>
    <w:p>
      <w:pPr>
        <w:tabs>
          <w:tab w:val="right" w:leader="dot" w:pos="9062"/>
        </w:tabs>
        <w:ind w:left="440"/>
      </w:pPr>
      <w:hyperlink w:anchor="_Toc9613" w:history="1">
        <w:r>
          <w:rPr>
            <w:rFonts w:ascii="IRNazanin" w:hAnsi="IRNazanin" w:eastAsia="IRNazanin" w:cs="IRNazanin"/>
            <w:color w:val="111111"/>
            <w:sz w:val="22"/>
            <w:szCs w:val="22"/>
            <w:b w:val="0"/>
            <w:bCs w:val="0"/>
            <w:i w:val="0"/>
            <w:iCs w:val="0"/>
          </w:rPr>
          <w:t>8267- دیوان هجر هندی أو شعره‏</w:t>
        </w:r>
        <w:r>
          <w:tab/>
        </w:r>
        <w:r>
          <w:fldChar w:fldCharType="begin"/>
        </w:r>
        <w:r>
          <w:instrText xml:space="preserve">PAGEREF 9613 \h</w:instrText>
        </w:r>
        <w:r>
          <w:fldChar w:fldCharType="end"/>
        </w:r>
      </w:hyperlink>
    </w:p>
    <w:p>
      <w:pPr>
        <w:tabs>
          <w:tab w:val="right" w:leader="dot" w:pos="9062"/>
        </w:tabs>
        <w:ind w:left="440"/>
      </w:pPr>
      <w:hyperlink w:anchor="_Toc9614" w:history="1">
        <w:r>
          <w:rPr>
            <w:rFonts w:ascii="IRNazanin" w:hAnsi="IRNazanin" w:eastAsia="IRNazanin" w:cs="IRNazanin"/>
            <w:color w:val="111111"/>
            <w:sz w:val="22"/>
            <w:szCs w:val="22"/>
            <w:b w:val="0"/>
            <w:bCs w:val="0"/>
            <w:i w:val="0"/>
            <w:iCs w:val="0"/>
          </w:rPr>
          <w:t>دیوان هجری أصفهانی‏</w:t>
        </w:r>
        <w:r>
          <w:tab/>
        </w:r>
        <w:r>
          <w:fldChar w:fldCharType="begin"/>
        </w:r>
        <w:r>
          <w:instrText xml:space="preserve">PAGEREF 9614 \h</w:instrText>
        </w:r>
        <w:r>
          <w:fldChar w:fldCharType="end"/>
        </w:r>
      </w:hyperlink>
    </w:p>
    <w:p>
      <w:pPr>
        <w:tabs>
          <w:tab w:val="right" w:leader="dot" w:pos="9062"/>
        </w:tabs>
        <w:ind w:left="440"/>
      </w:pPr>
      <w:hyperlink w:anchor="_Toc9615" w:history="1">
        <w:r>
          <w:rPr>
            <w:rFonts w:ascii="IRNazanin" w:hAnsi="IRNazanin" w:eastAsia="IRNazanin" w:cs="IRNazanin"/>
            <w:color w:val="111111"/>
            <w:sz w:val="22"/>
            <w:szCs w:val="22"/>
            <w:b w:val="0"/>
            <w:bCs w:val="0"/>
            <w:i w:val="0"/>
            <w:iCs w:val="0"/>
          </w:rPr>
          <w:t>8268- دیوان هجری أفشار أو شعره‏</w:t>
        </w:r>
        <w:r>
          <w:tab/>
        </w:r>
        <w:r>
          <w:fldChar w:fldCharType="begin"/>
        </w:r>
        <w:r>
          <w:instrText xml:space="preserve">PAGEREF 9615 \h</w:instrText>
        </w:r>
        <w:r>
          <w:fldChar w:fldCharType="end"/>
        </w:r>
      </w:hyperlink>
    </w:p>
    <w:p>
      <w:pPr>
        <w:tabs>
          <w:tab w:val="right" w:leader="dot" w:pos="9062"/>
        </w:tabs>
        <w:ind w:left="440"/>
      </w:pPr>
      <w:hyperlink w:anchor="_Toc9616" w:history="1">
        <w:r>
          <w:rPr>
            <w:rFonts w:ascii="IRNazanin" w:hAnsi="IRNazanin" w:eastAsia="IRNazanin" w:cs="IRNazanin"/>
            <w:color w:val="111111"/>
            <w:sz w:val="22"/>
            <w:szCs w:val="22"/>
            <w:b w:val="0"/>
            <w:bCs w:val="0"/>
            <w:i w:val="0"/>
            <w:iCs w:val="0"/>
          </w:rPr>
          <w:t>8269- دیوان هجری اندجانی أو شعره‏</w:t>
        </w:r>
        <w:r>
          <w:tab/>
        </w:r>
        <w:r>
          <w:fldChar w:fldCharType="begin"/>
        </w:r>
        <w:r>
          <w:instrText xml:space="preserve">PAGEREF 9616 \h</w:instrText>
        </w:r>
        <w:r>
          <w:fldChar w:fldCharType="end"/>
        </w:r>
      </w:hyperlink>
    </w:p>
    <w:p>
      <w:pPr>
        <w:tabs>
          <w:tab w:val="right" w:leader="dot" w:pos="9062"/>
        </w:tabs>
        <w:ind w:left="440"/>
      </w:pPr>
      <w:hyperlink w:anchor="_Toc9617" w:history="1">
        <w:r>
          <w:rPr>
            <w:rFonts w:ascii="IRNazanin" w:hAnsi="IRNazanin" w:eastAsia="IRNazanin" w:cs="IRNazanin"/>
            <w:color w:val="111111"/>
            <w:sz w:val="22"/>
            <w:szCs w:val="22"/>
            <w:b w:val="0"/>
            <w:bCs w:val="0"/>
            <w:i w:val="0"/>
            <w:iCs w:val="0"/>
          </w:rPr>
          <w:t>8270- دیوان هجری تفرشی‏</w:t>
        </w:r>
        <w:r>
          <w:tab/>
        </w:r>
        <w:r>
          <w:fldChar w:fldCharType="begin"/>
        </w:r>
        <w:r>
          <w:instrText xml:space="preserve">PAGEREF 9617 \h</w:instrText>
        </w:r>
        <w:r>
          <w:fldChar w:fldCharType="end"/>
        </w:r>
      </w:hyperlink>
    </w:p>
    <w:p>
      <w:pPr>
        <w:tabs>
          <w:tab w:val="right" w:leader="dot" w:pos="9062"/>
        </w:tabs>
        <w:ind w:left="440"/>
      </w:pPr>
      <w:hyperlink w:anchor="_Toc9618" w:history="1">
        <w:r>
          <w:rPr>
            <w:rFonts w:ascii="IRNazanin" w:hAnsi="IRNazanin" w:eastAsia="IRNazanin" w:cs="IRNazanin"/>
            <w:color w:val="111111"/>
            <w:sz w:val="22"/>
            <w:szCs w:val="22"/>
            <w:b w:val="0"/>
            <w:bCs w:val="0"/>
            <w:i w:val="0"/>
            <w:iCs w:val="0"/>
          </w:rPr>
          <w:t>8271- دیوان هجری جامی أو شعره‏</w:t>
        </w:r>
        <w:r>
          <w:tab/>
        </w:r>
        <w:r>
          <w:fldChar w:fldCharType="begin"/>
        </w:r>
        <w:r>
          <w:instrText xml:space="preserve">PAGEREF 9618 \h</w:instrText>
        </w:r>
        <w:r>
          <w:fldChar w:fldCharType="end"/>
        </w:r>
      </w:hyperlink>
    </w:p>
    <w:p>
      <w:pPr>
        <w:tabs>
          <w:tab w:val="right" w:leader="dot" w:pos="9062"/>
        </w:tabs>
        <w:ind w:left="440"/>
      </w:pPr>
      <w:hyperlink w:anchor="_Toc9619" w:history="1">
        <w:r>
          <w:rPr>
            <w:rFonts w:ascii="IRNazanin" w:hAnsi="IRNazanin" w:eastAsia="IRNazanin" w:cs="IRNazanin"/>
            <w:color w:val="111111"/>
            <w:sz w:val="22"/>
            <w:szCs w:val="22"/>
            <w:b w:val="0"/>
            <w:bCs w:val="0"/>
            <w:i w:val="0"/>
            <w:iCs w:val="0"/>
          </w:rPr>
          <w:t>8272- دیوان هجری دده‏</w:t>
        </w:r>
        <w:r>
          <w:tab/>
        </w:r>
        <w:r>
          <w:fldChar w:fldCharType="begin"/>
        </w:r>
        <w:r>
          <w:instrText xml:space="preserve">PAGEREF 9619 \h</w:instrText>
        </w:r>
        <w:r>
          <w:fldChar w:fldCharType="end"/>
        </w:r>
      </w:hyperlink>
    </w:p>
    <w:p>
      <w:pPr>
        <w:tabs>
          <w:tab w:val="right" w:leader="dot" w:pos="9062"/>
        </w:tabs>
        <w:ind w:left="440"/>
      </w:pPr>
      <w:hyperlink w:anchor="_Toc9620" w:history="1">
        <w:r>
          <w:rPr>
            <w:rFonts w:ascii="IRNazanin" w:hAnsi="IRNazanin" w:eastAsia="IRNazanin" w:cs="IRNazanin"/>
            <w:color w:val="111111"/>
            <w:sz w:val="22"/>
            <w:szCs w:val="22"/>
            <w:b w:val="0"/>
            <w:bCs w:val="0"/>
            <w:i w:val="0"/>
            <w:iCs w:val="0"/>
          </w:rPr>
          <w:t>دیوان هجری رازی‏</w:t>
        </w:r>
        <w:r>
          <w:tab/>
        </w:r>
        <w:r>
          <w:fldChar w:fldCharType="begin"/>
        </w:r>
        <w:r>
          <w:instrText xml:space="preserve">PAGEREF 9620 \h</w:instrText>
        </w:r>
        <w:r>
          <w:fldChar w:fldCharType="end"/>
        </w:r>
      </w:hyperlink>
    </w:p>
    <w:p>
      <w:pPr>
        <w:tabs>
          <w:tab w:val="right" w:leader="dot" w:pos="9062"/>
        </w:tabs>
        <w:ind w:left="440"/>
      </w:pPr>
      <w:hyperlink w:anchor="_Toc9621" w:history="1">
        <w:r>
          <w:rPr>
            <w:rFonts w:ascii="IRNazanin" w:hAnsi="IRNazanin" w:eastAsia="IRNazanin" w:cs="IRNazanin"/>
            <w:color w:val="111111"/>
            <w:sz w:val="22"/>
            <w:szCs w:val="22"/>
            <w:b w:val="0"/>
            <w:bCs w:val="0"/>
            <w:i w:val="0"/>
            <w:iCs w:val="0"/>
          </w:rPr>
          <w:t>8273- دیوان هجری طهرانی‏</w:t>
        </w:r>
        <w:r>
          <w:tab/>
        </w:r>
        <w:r>
          <w:fldChar w:fldCharType="begin"/>
        </w:r>
        <w:r>
          <w:instrText xml:space="preserve">PAGEREF 9621 \h</w:instrText>
        </w:r>
        <w:r>
          <w:fldChar w:fldCharType="end"/>
        </w:r>
      </w:hyperlink>
    </w:p>
    <w:p>
      <w:pPr>
        <w:tabs>
          <w:tab w:val="right" w:leader="dot" w:pos="9062"/>
        </w:tabs>
        <w:ind w:left="440"/>
      </w:pPr>
      <w:hyperlink w:anchor="_Toc9622" w:history="1">
        <w:r>
          <w:rPr>
            <w:rFonts w:ascii="IRNazanin" w:hAnsi="IRNazanin" w:eastAsia="IRNazanin" w:cs="IRNazanin"/>
            <w:color w:val="111111"/>
            <w:sz w:val="22"/>
            <w:szCs w:val="22"/>
            <w:b w:val="0"/>
            <w:bCs w:val="0"/>
            <w:i w:val="0"/>
            <w:iCs w:val="0"/>
          </w:rPr>
          <w:t>دیوان هجری فرغانه‏ای‏</w:t>
        </w:r>
        <w:r>
          <w:tab/>
        </w:r>
        <w:r>
          <w:fldChar w:fldCharType="begin"/>
        </w:r>
        <w:r>
          <w:instrText xml:space="preserve">PAGEREF 9622 \h</w:instrText>
        </w:r>
        <w:r>
          <w:fldChar w:fldCharType="end"/>
        </w:r>
      </w:hyperlink>
    </w:p>
    <w:p>
      <w:pPr>
        <w:tabs>
          <w:tab w:val="right" w:leader="dot" w:pos="9062"/>
        </w:tabs>
        <w:ind w:left="440"/>
      </w:pPr>
      <w:hyperlink w:anchor="_Toc9623" w:history="1">
        <w:r>
          <w:rPr>
            <w:rFonts w:ascii="IRNazanin" w:hAnsi="IRNazanin" w:eastAsia="IRNazanin" w:cs="IRNazanin"/>
            <w:color w:val="111111"/>
            <w:sz w:val="22"/>
            <w:szCs w:val="22"/>
            <w:b w:val="0"/>
            <w:bCs w:val="0"/>
            <w:i w:val="0"/>
            <w:iCs w:val="0"/>
          </w:rPr>
          <w:t>دیوان هجری قزوینی‏</w:t>
        </w:r>
        <w:r>
          <w:tab/>
        </w:r>
        <w:r>
          <w:fldChar w:fldCharType="begin"/>
        </w:r>
        <w:r>
          <w:instrText xml:space="preserve">PAGEREF 9623 \h</w:instrText>
        </w:r>
        <w:r>
          <w:fldChar w:fldCharType="end"/>
        </w:r>
      </w:hyperlink>
    </w:p>
    <w:p>
      <w:pPr>
        <w:tabs>
          <w:tab w:val="right" w:leader="dot" w:pos="9062"/>
        </w:tabs>
        <w:ind w:left="440"/>
      </w:pPr>
      <w:hyperlink w:anchor="_Toc9624" w:history="1">
        <w:r>
          <w:rPr>
            <w:rFonts w:ascii="IRNazanin" w:hAnsi="IRNazanin" w:eastAsia="IRNazanin" w:cs="IRNazanin"/>
            <w:color w:val="111111"/>
            <w:sz w:val="22"/>
            <w:szCs w:val="22"/>
            <w:b w:val="0"/>
            <w:bCs w:val="0"/>
            <w:i w:val="0"/>
            <w:iCs w:val="0"/>
          </w:rPr>
          <w:t>8274- دیوان هجری قمی‏</w:t>
        </w:r>
        <w:r>
          <w:tab/>
        </w:r>
        <w:r>
          <w:fldChar w:fldCharType="begin"/>
        </w:r>
        <w:r>
          <w:instrText xml:space="preserve">PAGEREF 9624 \h</w:instrText>
        </w:r>
        <w:r>
          <w:fldChar w:fldCharType="end"/>
        </w:r>
      </w:hyperlink>
    </w:p>
    <w:p>
      <w:pPr>
        <w:tabs>
          <w:tab w:val="right" w:leader="dot" w:pos="9062"/>
        </w:tabs>
        <w:ind w:left="440"/>
      </w:pPr>
      <w:hyperlink w:anchor="_Toc9625" w:history="1">
        <w:r>
          <w:rPr>
            <w:rFonts w:ascii="IRNazanin" w:hAnsi="IRNazanin" w:eastAsia="IRNazanin" w:cs="IRNazanin"/>
            <w:color w:val="111111"/>
            <w:sz w:val="22"/>
            <w:szCs w:val="22"/>
            <w:b w:val="0"/>
            <w:bCs w:val="0"/>
            <w:i w:val="0"/>
            <w:iCs w:val="0"/>
          </w:rPr>
          <w:t>دیوان هجری کاشانی‏</w:t>
        </w:r>
        <w:r>
          <w:tab/>
        </w:r>
        <w:r>
          <w:fldChar w:fldCharType="begin"/>
        </w:r>
        <w:r>
          <w:instrText xml:space="preserve">PAGEREF 9625 \h</w:instrText>
        </w:r>
        <w:r>
          <w:fldChar w:fldCharType="end"/>
        </w:r>
      </w:hyperlink>
    </w:p>
    <w:p>
      <w:pPr>
        <w:tabs>
          <w:tab w:val="right" w:leader="dot" w:pos="9062"/>
        </w:tabs>
        <w:ind w:left="440"/>
      </w:pPr>
      <w:hyperlink w:anchor="_Toc9626" w:history="1">
        <w:r>
          <w:rPr>
            <w:rFonts w:ascii="IRNazanin" w:hAnsi="IRNazanin" w:eastAsia="IRNazanin" w:cs="IRNazanin"/>
            <w:color w:val="111111"/>
            <w:sz w:val="22"/>
            <w:szCs w:val="22"/>
            <w:b w:val="0"/>
            <w:bCs w:val="0"/>
            <w:i w:val="0"/>
            <w:iCs w:val="0"/>
          </w:rPr>
          <w:t>8275- دیوان هجری گنابادی أو شعره‏</w:t>
        </w:r>
        <w:r>
          <w:tab/>
        </w:r>
        <w:r>
          <w:fldChar w:fldCharType="begin"/>
        </w:r>
        <w:r>
          <w:instrText xml:space="preserve">PAGEREF 9626 \h</w:instrText>
        </w:r>
        <w:r>
          <w:fldChar w:fldCharType="end"/>
        </w:r>
      </w:hyperlink>
    </w:p>
    <w:p>
      <w:pPr>
        <w:tabs>
          <w:tab w:val="right" w:leader="dot" w:pos="9062"/>
        </w:tabs>
        <w:ind w:left="440"/>
      </w:pPr>
      <w:hyperlink w:anchor="_Toc9627" w:history="1">
        <w:r>
          <w:rPr>
            <w:rFonts w:ascii="IRNazanin" w:hAnsi="IRNazanin" w:eastAsia="IRNazanin" w:cs="IRNazanin"/>
            <w:color w:val="111111"/>
            <w:sz w:val="22"/>
            <w:szCs w:val="22"/>
            <w:b w:val="0"/>
            <w:bCs w:val="0"/>
            <w:i w:val="0"/>
            <w:iCs w:val="0"/>
          </w:rPr>
          <w:t>8276- دیوان هجری مشهدی أو شعره‏</w:t>
        </w:r>
        <w:r>
          <w:tab/>
        </w:r>
        <w:r>
          <w:fldChar w:fldCharType="begin"/>
        </w:r>
        <w:r>
          <w:instrText xml:space="preserve">PAGEREF 9627 \h</w:instrText>
        </w:r>
        <w:r>
          <w:fldChar w:fldCharType="end"/>
        </w:r>
      </w:hyperlink>
    </w:p>
    <w:p>
      <w:pPr>
        <w:tabs>
          <w:tab w:val="right" w:leader="dot" w:pos="9062"/>
        </w:tabs>
        <w:ind w:left="440"/>
      </w:pPr>
      <w:hyperlink w:anchor="_Toc9628" w:history="1">
        <w:r>
          <w:rPr>
            <w:rFonts w:ascii="IRNazanin" w:hAnsi="IRNazanin" w:eastAsia="IRNazanin" w:cs="IRNazanin"/>
            <w:color w:val="111111"/>
            <w:sz w:val="22"/>
            <w:szCs w:val="22"/>
            <w:b w:val="0"/>
            <w:bCs w:val="0"/>
            <w:i w:val="0"/>
            <w:iCs w:val="0"/>
          </w:rPr>
          <w:t>8277- دیوان هجری هروی أو شعره‏</w:t>
        </w:r>
        <w:r>
          <w:tab/>
        </w:r>
        <w:r>
          <w:fldChar w:fldCharType="begin"/>
        </w:r>
        <w:r>
          <w:instrText xml:space="preserve">PAGEREF 9628 \h</w:instrText>
        </w:r>
        <w:r>
          <w:fldChar w:fldCharType="end"/>
        </w:r>
      </w:hyperlink>
    </w:p>
    <w:p>
      <w:pPr>
        <w:tabs>
          <w:tab w:val="right" w:leader="dot" w:pos="9062"/>
        </w:tabs>
        <w:ind w:left="440"/>
      </w:pPr>
      <w:hyperlink w:anchor="_Toc9629" w:history="1">
        <w:r>
          <w:rPr>
            <w:rFonts w:ascii="IRNazanin" w:hAnsi="IRNazanin" w:eastAsia="IRNazanin" w:cs="IRNazanin"/>
            <w:color w:val="111111"/>
            <w:sz w:val="22"/>
            <w:szCs w:val="22"/>
            <w:b w:val="0"/>
            <w:bCs w:val="0"/>
            <w:i w:val="0"/>
            <w:iCs w:val="0"/>
          </w:rPr>
          <w:t>8278- دیوان هدایت آشتیانی‏</w:t>
        </w:r>
        <w:r>
          <w:tab/>
        </w:r>
        <w:r>
          <w:fldChar w:fldCharType="begin"/>
        </w:r>
        <w:r>
          <w:instrText xml:space="preserve">PAGEREF 9629 \h</w:instrText>
        </w:r>
        <w:r>
          <w:fldChar w:fldCharType="end"/>
        </w:r>
      </w:hyperlink>
    </w:p>
    <w:p>
      <w:pPr>
        <w:tabs>
          <w:tab w:val="right" w:leader="dot" w:pos="9062"/>
        </w:tabs>
        <w:ind w:left="440"/>
      </w:pPr>
      <w:hyperlink w:anchor="_Toc9630" w:history="1">
        <w:r>
          <w:rPr>
            <w:rFonts w:ascii="IRNazanin" w:hAnsi="IRNazanin" w:eastAsia="IRNazanin" w:cs="IRNazanin"/>
            <w:color w:val="111111"/>
            <w:sz w:val="22"/>
            <w:szCs w:val="22"/>
            <w:b w:val="0"/>
            <w:bCs w:val="0"/>
            <w:i w:val="0"/>
            <w:iCs w:val="0"/>
          </w:rPr>
          <w:t>8279- دیوان هدایت أصفهانی‏</w:t>
        </w:r>
        <w:r>
          <w:tab/>
        </w:r>
        <w:r>
          <w:fldChar w:fldCharType="begin"/>
        </w:r>
        <w:r>
          <w:instrText xml:space="preserve">PAGEREF 9630 \h</w:instrText>
        </w:r>
        <w:r>
          <w:fldChar w:fldCharType="end"/>
        </w:r>
      </w:hyperlink>
    </w:p>
    <w:p>
      <w:pPr>
        <w:tabs>
          <w:tab w:val="right" w:leader="dot" w:pos="9062"/>
        </w:tabs>
        <w:ind w:left="440"/>
      </w:pPr>
      <w:hyperlink w:anchor="_Toc9631" w:history="1">
        <w:r>
          <w:rPr>
            <w:rFonts w:ascii="IRNazanin" w:hAnsi="IRNazanin" w:eastAsia="IRNazanin" w:cs="IRNazanin"/>
            <w:color w:val="111111"/>
            <w:sz w:val="22"/>
            <w:szCs w:val="22"/>
            <w:b w:val="0"/>
            <w:bCs w:val="0"/>
            <w:i w:val="0"/>
            <w:iCs w:val="0"/>
          </w:rPr>
          <w:t>8280- دیوان هدایت رازی‏</w:t>
        </w:r>
        <w:r>
          <w:tab/>
        </w:r>
        <w:r>
          <w:fldChar w:fldCharType="begin"/>
        </w:r>
        <w:r>
          <w:instrText xml:space="preserve">PAGEREF 9631 \h</w:instrText>
        </w:r>
        <w:r>
          <w:fldChar w:fldCharType="end"/>
        </w:r>
      </w:hyperlink>
    </w:p>
    <w:p>
      <w:pPr>
        <w:tabs>
          <w:tab w:val="right" w:leader="dot" w:pos="9062"/>
        </w:tabs>
        <w:ind w:left="440"/>
      </w:pPr>
      <w:hyperlink w:anchor="_Toc9632" w:history="1">
        <w:r>
          <w:rPr>
            <w:rFonts w:ascii="IRNazanin" w:hAnsi="IRNazanin" w:eastAsia="IRNazanin" w:cs="IRNazanin"/>
            <w:color w:val="111111"/>
            <w:sz w:val="22"/>
            <w:szCs w:val="22"/>
            <w:b w:val="0"/>
            <w:bCs w:val="0"/>
            <w:i w:val="0"/>
            <w:iCs w:val="0"/>
          </w:rPr>
          <w:t>8281- دیوان هدایت طبرستانی‏</w:t>
        </w:r>
        <w:r>
          <w:tab/>
        </w:r>
        <w:r>
          <w:fldChar w:fldCharType="begin"/>
        </w:r>
        <w:r>
          <w:instrText xml:space="preserve">PAGEREF 9632 \h</w:instrText>
        </w:r>
        <w:r>
          <w:fldChar w:fldCharType="end"/>
        </w:r>
      </w:hyperlink>
    </w:p>
    <w:p>
      <w:pPr>
        <w:tabs>
          <w:tab w:val="right" w:leader="dot" w:pos="9062"/>
        </w:tabs>
        <w:ind w:left="440"/>
      </w:pPr>
      <w:hyperlink w:anchor="_Toc9633" w:history="1">
        <w:r>
          <w:rPr>
            <w:rFonts w:ascii="IRNazanin" w:hAnsi="IRNazanin" w:eastAsia="IRNazanin" w:cs="IRNazanin"/>
            <w:color w:val="111111"/>
            <w:sz w:val="22"/>
            <w:szCs w:val="22"/>
            <w:b w:val="0"/>
            <w:bCs w:val="0"/>
            <w:i w:val="0"/>
            <w:iCs w:val="0"/>
          </w:rPr>
          <w:t>8282- دیوان هدایت کشمیری أو شعره‏</w:t>
        </w:r>
        <w:r>
          <w:tab/>
        </w:r>
        <w:r>
          <w:fldChar w:fldCharType="begin"/>
        </w:r>
        <w:r>
          <w:instrText xml:space="preserve">PAGEREF 9633 \h</w:instrText>
        </w:r>
        <w:r>
          <w:fldChar w:fldCharType="end"/>
        </w:r>
      </w:hyperlink>
    </w:p>
    <w:p>
      <w:pPr>
        <w:tabs>
          <w:tab w:val="right" w:leader="dot" w:pos="9062"/>
        </w:tabs>
        <w:ind w:left="440"/>
      </w:pPr>
      <w:hyperlink w:anchor="_Toc9634" w:history="1">
        <w:r>
          <w:rPr>
            <w:rFonts w:ascii="IRNazanin" w:hAnsi="IRNazanin" w:eastAsia="IRNazanin" w:cs="IRNazanin"/>
            <w:color w:val="111111"/>
            <w:sz w:val="22"/>
            <w:szCs w:val="22"/>
            <w:b w:val="0"/>
            <w:bCs w:val="0"/>
            <w:i w:val="0"/>
            <w:iCs w:val="0"/>
          </w:rPr>
          <w:t>8283- دیوان هدایت مشهدی أو شعره‏</w:t>
        </w:r>
        <w:r>
          <w:tab/>
        </w:r>
        <w:r>
          <w:fldChar w:fldCharType="begin"/>
        </w:r>
        <w:r>
          <w:instrText xml:space="preserve">PAGEREF 9634 \h</w:instrText>
        </w:r>
        <w:r>
          <w:fldChar w:fldCharType="end"/>
        </w:r>
      </w:hyperlink>
    </w:p>
    <w:p>
      <w:pPr>
        <w:tabs>
          <w:tab w:val="right" w:leader="dot" w:pos="9062"/>
        </w:tabs>
        <w:ind w:left="440"/>
      </w:pPr>
      <w:hyperlink w:anchor="_Toc9635" w:history="1">
        <w:r>
          <w:rPr>
            <w:rFonts w:ascii="IRNazanin" w:hAnsi="IRNazanin" w:eastAsia="IRNazanin" w:cs="IRNazanin"/>
            <w:color w:val="111111"/>
            <w:sz w:val="22"/>
            <w:szCs w:val="22"/>
            <w:b w:val="0"/>
            <w:bCs w:val="0"/>
            <w:i w:val="0"/>
            <w:iCs w:val="0"/>
          </w:rPr>
          <w:t>8284- دیوان هدایت نائنی أو شعره‏</w:t>
        </w:r>
        <w:r>
          <w:tab/>
        </w:r>
        <w:r>
          <w:fldChar w:fldCharType="begin"/>
        </w:r>
        <w:r>
          <w:instrText xml:space="preserve">PAGEREF 9635 \h</w:instrText>
        </w:r>
        <w:r>
          <w:fldChar w:fldCharType="end"/>
        </w:r>
      </w:hyperlink>
    </w:p>
    <w:p>
      <w:pPr>
        <w:tabs>
          <w:tab w:val="right" w:leader="dot" w:pos="9062"/>
        </w:tabs>
        <w:ind w:left="440"/>
      </w:pPr>
      <w:hyperlink w:anchor="_Toc9636" w:history="1">
        <w:r>
          <w:rPr>
            <w:rFonts w:ascii="IRNazanin" w:hAnsi="IRNazanin" w:eastAsia="IRNazanin" w:cs="IRNazanin"/>
            <w:color w:val="111111"/>
            <w:sz w:val="22"/>
            <w:szCs w:val="22"/>
            <w:b w:val="0"/>
            <w:bCs w:val="0"/>
            <w:i w:val="0"/>
            <w:iCs w:val="0"/>
          </w:rPr>
          <w:t>8285- دیوان هدای کاشانی أو شعره‏</w:t>
        </w:r>
        <w:r>
          <w:tab/>
        </w:r>
        <w:r>
          <w:fldChar w:fldCharType="begin"/>
        </w:r>
        <w:r>
          <w:instrText xml:space="preserve">PAGEREF 9636 \h</w:instrText>
        </w:r>
        <w:r>
          <w:fldChar w:fldCharType="end"/>
        </w:r>
      </w:hyperlink>
    </w:p>
    <w:p>
      <w:pPr>
        <w:tabs>
          <w:tab w:val="right" w:leader="dot" w:pos="9062"/>
        </w:tabs>
        <w:ind w:left="440"/>
      </w:pPr>
      <w:hyperlink w:anchor="_Toc9637" w:history="1">
        <w:r>
          <w:rPr>
            <w:rFonts w:ascii="IRNazanin" w:hAnsi="IRNazanin" w:eastAsia="IRNazanin" w:cs="IRNazanin"/>
            <w:color w:val="111111"/>
            <w:sz w:val="22"/>
            <w:szCs w:val="22"/>
            <w:b w:val="0"/>
            <w:bCs w:val="0"/>
            <w:i w:val="0"/>
            <w:iCs w:val="0"/>
          </w:rPr>
          <w:t>8286- دیوان هراتی أو شعره‏</w:t>
        </w:r>
        <w:r>
          <w:tab/>
        </w:r>
        <w:r>
          <w:fldChar w:fldCharType="begin"/>
        </w:r>
        <w:r>
          <w:instrText xml:space="preserve">PAGEREF 9637 \h</w:instrText>
        </w:r>
        <w:r>
          <w:fldChar w:fldCharType="end"/>
        </w:r>
      </w:hyperlink>
    </w:p>
    <w:p>
      <w:pPr>
        <w:tabs>
          <w:tab w:val="right" w:leader="dot" w:pos="9062"/>
        </w:tabs>
        <w:ind w:left="440"/>
      </w:pPr>
      <w:hyperlink w:anchor="_Toc9638" w:history="1">
        <w:r>
          <w:rPr>
            <w:rFonts w:ascii="IRNazanin" w:hAnsi="IRNazanin" w:eastAsia="IRNazanin" w:cs="IRNazanin"/>
            <w:color w:val="111111"/>
            <w:sz w:val="22"/>
            <w:szCs w:val="22"/>
            <w:b w:val="0"/>
            <w:bCs w:val="0"/>
            <w:i w:val="0"/>
            <w:iCs w:val="0"/>
          </w:rPr>
          <w:t>دیوان هروی‏</w:t>
        </w:r>
        <w:r>
          <w:tab/>
        </w:r>
        <w:r>
          <w:fldChar w:fldCharType="begin"/>
        </w:r>
        <w:r>
          <w:instrText xml:space="preserve">PAGEREF 9638 \h</w:instrText>
        </w:r>
        <w:r>
          <w:fldChar w:fldCharType="end"/>
        </w:r>
      </w:hyperlink>
    </w:p>
    <w:p>
      <w:pPr>
        <w:tabs>
          <w:tab w:val="right" w:leader="dot" w:pos="9062"/>
        </w:tabs>
        <w:ind w:left="440"/>
      </w:pPr>
      <w:hyperlink w:anchor="_Toc9639" w:history="1">
        <w:r>
          <w:rPr>
            <w:rFonts w:ascii="IRNazanin" w:hAnsi="IRNazanin" w:eastAsia="IRNazanin" w:cs="IRNazanin"/>
            <w:color w:val="111111"/>
            <w:sz w:val="22"/>
            <w:szCs w:val="22"/>
            <w:b w:val="0"/>
            <w:bCs w:val="0"/>
            <w:i w:val="0"/>
            <w:iCs w:val="0"/>
          </w:rPr>
          <w:t>8287- دیوان هزاره أصفهانی أو شعره‏</w:t>
        </w:r>
        <w:r>
          <w:tab/>
        </w:r>
        <w:r>
          <w:fldChar w:fldCharType="begin"/>
        </w:r>
        <w:r>
          <w:instrText xml:space="preserve">PAGEREF 9639 \h</w:instrText>
        </w:r>
        <w:r>
          <w:fldChar w:fldCharType="end"/>
        </w:r>
      </w:hyperlink>
    </w:p>
    <w:p>
      <w:pPr>
        <w:tabs>
          <w:tab w:val="right" w:leader="dot" w:pos="9062"/>
        </w:tabs>
        <w:ind w:left="440"/>
      </w:pPr>
      <w:hyperlink w:anchor="_Toc9640" w:history="1">
        <w:r>
          <w:rPr>
            <w:rFonts w:ascii="IRNazanin" w:hAnsi="IRNazanin" w:eastAsia="IRNazanin" w:cs="IRNazanin"/>
            <w:color w:val="111111"/>
            <w:sz w:val="22"/>
            <w:szCs w:val="22"/>
            <w:b w:val="0"/>
            <w:bCs w:val="0"/>
            <w:i w:val="0"/>
            <w:iCs w:val="0"/>
          </w:rPr>
          <w:t>8288- دیوان هشترودی‏</w:t>
        </w:r>
        <w:r>
          <w:tab/>
        </w:r>
        <w:r>
          <w:fldChar w:fldCharType="begin"/>
        </w:r>
        <w:r>
          <w:instrText xml:space="preserve">PAGEREF 9640 \h</w:instrText>
        </w:r>
        <w:r>
          <w:fldChar w:fldCharType="end"/>
        </w:r>
      </w:hyperlink>
    </w:p>
    <w:p>
      <w:pPr>
        <w:tabs>
          <w:tab w:val="right" w:leader="dot" w:pos="9062"/>
        </w:tabs>
        <w:ind w:left="440"/>
      </w:pPr>
      <w:hyperlink w:anchor="_Toc9641" w:history="1">
        <w:r>
          <w:rPr>
            <w:rFonts w:ascii="IRNazanin" w:hAnsi="IRNazanin" w:eastAsia="IRNazanin" w:cs="IRNazanin"/>
            <w:color w:val="111111"/>
            <w:sz w:val="22"/>
            <w:szCs w:val="22"/>
            <w:b w:val="0"/>
            <w:bCs w:val="0"/>
            <w:i w:val="0"/>
            <w:iCs w:val="0"/>
          </w:rPr>
          <w:t>8289- دیوان هشیار شیرازی أو شعره‏</w:t>
        </w:r>
        <w:r>
          <w:tab/>
        </w:r>
        <w:r>
          <w:fldChar w:fldCharType="begin"/>
        </w:r>
        <w:r>
          <w:instrText xml:space="preserve">PAGEREF 9641 \h</w:instrText>
        </w:r>
        <w:r>
          <w:fldChar w:fldCharType="end"/>
        </w:r>
      </w:hyperlink>
    </w:p>
    <w:p>
      <w:pPr>
        <w:tabs>
          <w:tab w:val="right" w:leader="dot" w:pos="9062"/>
        </w:tabs>
        <w:ind w:left="440"/>
      </w:pPr>
      <w:hyperlink w:anchor="_Toc9642" w:history="1">
        <w:r>
          <w:rPr>
            <w:rFonts w:ascii="IRNazanin" w:hAnsi="IRNazanin" w:eastAsia="IRNazanin" w:cs="IRNazanin"/>
            <w:color w:val="111111"/>
            <w:sz w:val="22"/>
            <w:szCs w:val="22"/>
            <w:b w:val="0"/>
            <w:bCs w:val="0"/>
            <w:i w:val="0"/>
            <w:iCs w:val="0"/>
          </w:rPr>
          <w:t>8290- دیوان هشیار شیرازی أو شعره‏</w:t>
        </w:r>
        <w:r>
          <w:tab/>
        </w:r>
        <w:r>
          <w:fldChar w:fldCharType="begin"/>
        </w:r>
        <w:r>
          <w:instrText xml:space="preserve">PAGEREF 9642 \h</w:instrText>
        </w:r>
        <w:r>
          <w:fldChar w:fldCharType="end"/>
        </w:r>
      </w:hyperlink>
    </w:p>
    <w:p>
      <w:pPr>
        <w:tabs>
          <w:tab w:val="right" w:leader="dot" w:pos="9062"/>
        </w:tabs>
        <w:ind w:left="440"/>
      </w:pPr>
      <w:hyperlink w:anchor="_Toc9643" w:history="1">
        <w:r>
          <w:rPr>
            <w:rFonts w:ascii="IRNazanin" w:hAnsi="IRNazanin" w:eastAsia="IRNazanin" w:cs="IRNazanin"/>
            <w:color w:val="111111"/>
            <w:sz w:val="22"/>
            <w:szCs w:val="22"/>
            <w:b w:val="0"/>
            <w:bCs w:val="0"/>
            <w:i w:val="0"/>
            <w:iCs w:val="0"/>
          </w:rPr>
          <w:t>8291- دیوان هشیار کرد</w:t>
        </w:r>
        <w:r>
          <w:tab/>
        </w:r>
        <w:r>
          <w:fldChar w:fldCharType="begin"/>
        </w:r>
        <w:r>
          <w:instrText xml:space="preserve">PAGEREF 9643 \h</w:instrText>
        </w:r>
        <w:r>
          <w:fldChar w:fldCharType="end"/>
        </w:r>
      </w:hyperlink>
    </w:p>
    <w:p>
      <w:pPr>
        <w:tabs>
          <w:tab w:val="right" w:leader="dot" w:pos="9062"/>
        </w:tabs>
        <w:ind w:left="440"/>
      </w:pPr>
      <w:hyperlink w:anchor="_Toc9644" w:history="1">
        <w:r>
          <w:rPr>
            <w:rFonts w:ascii="IRNazanin" w:hAnsi="IRNazanin" w:eastAsia="IRNazanin" w:cs="IRNazanin"/>
            <w:color w:val="111111"/>
            <w:sz w:val="22"/>
            <w:szCs w:val="22"/>
            <w:b w:val="0"/>
            <w:bCs w:val="0"/>
            <w:i w:val="0"/>
            <w:iCs w:val="0"/>
          </w:rPr>
          <w:t>دیوان هشیار هزار جریبی‏</w:t>
        </w:r>
        <w:r>
          <w:tab/>
        </w:r>
        <w:r>
          <w:fldChar w:fldCharType="begin"/>
        </w:r>
        <w:r>
          <w:instrText xml:space="preserve">PAGEREF 9644 \h</w:instrText>
        </w:r>
        <w:r>
          <w:fldChar w:fldCharType="end"/>
        </w:r>
      </w:hyperlink>
    </w:p>
    <w:p>
      <w:pPr>
        <w:tabs>
          <w:tab w:val="right" w:leader="dot" w:pos="9062"/>
        </w:tabs>
        <w:ind w:left="440"/>
      </w:pPr>
      <w:hyperlink w:anchor="_Toc9645" w:history="1">
        <w:r>
          <w:rPr>
            <w:rFonts w:ascii="IRNazanin" w:hAnsi="IRNazanin" w:eastAsia="IRNazanin" w:cs="IRNazanin"/>
            <w:color w:val="111111"/>
            <w:sz w:val="22"/>
            <w:szCs w:val="22"/>
            <w:b w:val="0"/>
            <w:bCs w:val="0"/>
            <w:i w:val="0"/>
            <w:iCs w:val="0"/>
          </w:rPr>
          <w:t>8292- دیوان هفت رنگی أو شعره‏</w:t>
        </w:r>
        <w:r>
          <w:tab/>
        </w:r>
        <w:r>
          <w:fldChar w:fldCharType="begin"/>
        </w:r>
        <w:r>
          <w:instrText xml:space="preserve">PAGEREF 9645 \h</w:instrText>
        </w:r>
        <w:r>
          <w:fldChar w:fldCharType="end"/>
        </w:r>
      </w:hyperlink>
    </w:p>
    <w:p>
      <w:pPr>
        <w:tabs>
          <w:tab w:val="right" w:leader="dot" w:pos="9062"/>
        </w:tabs>
        <w:ind w:left="440"/>
      </w:pPr>
      <w:hyperlink w:anchor="_Toc9646" w:history="1">
        <w:r>
          <w:rPr>
            <w:rFonts w:ascii="IRNazanin" w:hAnsi="IRNazanin" w:eastAsia="IRNazanin" w:cs="IRNazanin"/>
            <w:color w:val="111111"/>
            <w:sz w:val="22"/>
            <w:szCs w:val="22"/>
            <w:b w:val="0"/>
            <w:bCs w:val="0"/>
            <w:i w:val="0"/>
            <w:iCs w:val="0"/>
          </w:rPr>
          <w:t>8293- دیوان هلاکی أو شعره‏</w:t>
        </w:r>
        <w:r>
          <w:tab/>
        </w:r>
        <w:r>
          <w:fldChar w:fldCharType="begin"/>
        </w:r>
        <w:r>
          <w:instrText xml:space="preserve">PAGEREF 9646 \h</w:instrText>
        </w:r>
        <w:r>
          <w:fldChar w:fldCharType="end"/>
        </w:r>
      </w:hyperlink>
    </w:p>
    <w:p>
      <w:pPr>
        <w:tabs>
          <w:tab w:val="right" w:leader="dot" w:pos="9062"/>
        </w:tabs>
        <w:ind w:left="440"/>
      </w:pPr>
      <w:hyperlink w:anchor="_Toc9647" w:history="1">
        <w:r>
          <w:rPr>
            <w:rFonts w:ascii="IRNazanin" w:hAnsi="IRNazanin" w:eastAsia="IRNazanin" w:cs="IRNazanin"/>
            <w:color w:val="111111"/>
            <w:sz w:val="22"/>
            <w:szCs w:val="22"/>
            <w:b w:val="0"/>
            <w:bCs w:val="0"/>
            <w:i w:val="0"/>
            <w:iCs w:val="0"/>
          </w:rPr>
          <w:t>8294- دیوان هلاکی هروی أو شعره‏</w:t>
        </w:r>
        <w:r>
          <w:tab/>
        </w:r>
        <w:r>
          <w:fldChar w:fldCharType="begin"/>
        </w:r>
        <w:r>
          <w:instrText xml:space="preserve">PAGEREF 9647 \h</w:instrText>
        </w:r>
        <w:r>
          <w:fldChar w:fldCharType="end"/>
        </w:r>
      </w:hyperlink>
    </w:p>
    <w:p>
      <w:pPr>
        <w:tabs>
          <w:tab w:val="right" w:leader="dot" w:pos="9062"/>
        </w:tabs>
        <w:ind w:left="440"/>
      </w:pPr>
      <w:hyperlink w:anchor="_Toc9648" w:history="1">
        <w:r>
          <w:rPr>
            <w:rFonts w:ascii="IRNazanin" w:hAnsi="IRNazanin" w:eastAsia="IRNazanin" w:cs="IRNazanin"/>
            <w:color w:val="111111"/>
            <w:sz w:val="22"/>
            <w:szCs w:val="22"/>
            <w:b w:val="0"/>
            <w:bCs w:val="0"/>
            <w:i w:val="0"/>
            <w:iCs w:val="0"/>
          </w:rPr>
          <w:t>8295- دیوان هلاکی همدانی‏</w:t>
        </w:r>
        <w:r>
          <w:tab/>
        </w:r>
        <w:r>
          <w:fldChar w:fldCharType="begin"/>
        </w:r>
        <w:r>
          <w:instrText xml:space="preserve">PAGEREF 9648 \h</w:instrText>
        </w:r>
        <w:r>
          <w:fldChar w:fldCharType="end"/>
        </w:r>
      </w:hyperlink>
    </w:p>
    <w:p>
      <w:pPr>
        <w:tabs>
          <w:tab w:val="right" w:leader="dot" w:pos="9062"/>
        </w:tabs>
        <w:ind w:left="440"/>
      </w:pPr>
      <w:hyperlink w:anchor="_Toc9649" w:history="1">
        <w:r>
          <w:rPr>
            <w:rFonts w:ascii="IRNazanin" w:hAnsi="IRNazanin" w:eastAsia="IRNazanin" w:cs="IRNazanin"/>
            <w:color w:val="111111"/>
            <w:sz w:val="22"/>
            <w:szCs w:val="22"/>
            <w:b w:val="0"/>
            <w:bCs w:val="0"/>
            <w:i w:val="0"/>
            <w:iCs w:val="0"/>
          </w:rPr>
          <w:t>8296- دیوان هلال قهستانی أو شعره‏</w:t>
        </w:r>
        <w:r>
          <w:tab/>
        </w:r>
        <w:r>
          <w:fldChar w:fldCharType="begin"/>
        </w:r>
        <w:r>
          <w:instrText xml:space="preserve">PAGEREF 9649 \h</w:instrText>
        </w:r>
        <w:r>
          <w:fldChar w:fldCharType="end"/>
        </w:r>
      </w:hyperlink>
    </w:p>
    <w:p>
      <w:pPr>
        <w:tabs>
          <w:tab w:val="right" w:leader="dot" w:pos="9062"/>
        </w:tabs>
        <w:ind w:left="440"/>
      </w:pPr>
      <w:hyperlink w:anchor="_Toc9650" w:history="1">
        <w:r>
          <w:rPr>
            <w:rFonts w:ascii="IRNazanin" w:hAnsi="IRNazanin" w:eastAsia="IRNazanin" w:cs="IRNazanin"/>
            <w:color w:val="111111"/>
            <w:sz w:val="22"/>
            <w:szCs w:val="22"/>
            <w:b w:val="0"/>
            <w:bCs w:val="0"/>
            <w:i w:val="0"/>
            <w:iCs w:val="0"/>
          </w:rPr>
          <w:t>8297- دیوان هلال قزوینی أو شعره‏</w:t>
        </w:r>
        <w:r>
          <w:tab/>
        </w:r>
        <w:r>
          <w:fldChar w:fldCharType="begin"/>
        </w:r>
        <w:r>
          <w:instrText xml:space="preserve">PAGEREF 9650 \h</w:instrText>
        </w:r>
        <w:r>
          <w:fldChar w:fldCharType="end"/>
        </w:r>
      </w:hyperlink>
    </w:p>
    <w:p>
      <w:pPr>
        <w:tabs>
          <w:tab w:val="right" w:leader="dot" w:pos="9062"/>
        </w:tabs>
        <w:ind w:left="440"/>
      </w:pPr>
      <w:hyperlink w:anchor="_Toc9651" w:history="1">
        <w:r>
          <w:rPr>
            <w:rFonts w:ascii="IRNazanin" w:hAnsi="IRNazanin" w:eastAsia="IRNazanin" w:cs="IRNazanin"/>
            <w:color w:val="111111"/>
            <w:sz w:val="22"/>
            <w:szCs w:val="22"/>
            <w:b w:val="0"/>
            <w:bCs w:val="0"/>
            <w:i w:val="0"/>
            <w:iCs w:val="0"/>
          </w:rPr>
          <w:t>8298- دیوان هلال کاشانی أو شعره‏</w:t>
        </w:r>
        <w:r>
          <w:tab/>
        </w:r>
        <w:r>
          <w:fldChar w:fldCharType="begin"/>
        </w:r>
        <w:r>
          <w:instrText xml:space="preserve">PAGEREF 9651 \h</w:instrText>
        </w:r>
        <w:r>
          <w:fldChar w:fldCharType="end"/>
        </w:r>
      </w:hyperlink>
    </w:p>
    <w:p>
      <w:pPr>
        <w:tabs>
          <w:tab w:val="right" w:leader="dot" w:pos="9062"/>
        </w:tabs>
        <w:ind w:left="440"/>
      </w:pPr>
      <w:hyperlink w:anchor="_Toc9652" w:history="1">
        <w:r>
          <w:rPr>
            <w:rFonts w:ascii="IRNazanin" w:hAnsi="IRNazanin" w:eastAsia="IRNazanin" w:cs="IRNazanin"/>
            <w:color w:val="111111"/>
            <w:sz w:val="22"/>
            <w:szCs w:val="22"/>
            <w:b w:val="0"/>
            <w:bCs w:val="0"/>
            <w:i w:val="0"/>
            <w:iCs w:val="0"/>
          </w:rPr>
          <w:t>دیوان هلال هروی‏</w:t>
        </w:r>
        <w:r>
          <w:tab/>
        </w:r>
        <w:r>
          <w:fldChar w:fldCharType="begin"/>
        </w:r>
        <w:r>
          <w:instrText xml:space="preserve">PAGEREF 9652 \h</w:instrText>
        </w:r>
        <w:r>
          <w:fldChar w:fldCharType="end"/>
        </w:r>
      </w:hyperlink>
    </w:p>
    <w:p>
      <w:pPr>
        <w:tabs>
          <w:tab w:val="right" w:leader="dot" w:pos="9062"/>
        </w:tabs>
        <w:ind w:left="440"/>
      </w:pPr>
      <w:hyperlink w:anchor="_Toc9653" w:history="1">
        <w:r>
          <w:rPr>
            <w:rFonts w:ascii="IRNazanin" w:hAnsi="IRNazanin" w:eastAsia="IRNazanin" w:cs="IRNazanin"/>
            <w:color w:val="111111"/>
            <w:sz w:val="22"/>
            <w:szCs w:val="22"/>
            <w:b w:val="0"/>
            <w:bCs w:val="0"/>
            <w:i w:val="0"/>
            <w:iCs w:val="0"/>
          </w:rPr>
          <w:t>دیوان هلالی أسترآبادی‏</w:t>
        </w:r>
        <w:r>
          <w:tab/>
        </w:r>
        <w:r>
          <w:fldChar w:fldCharType="begin"/>
        </w:r>
        <w:r>
          <w:instrText xml:space="preserve">PAGEREF 9653 \h</w:instrText>
        </w:r>
        <w:r>
          <w:fldChar w:fldCharType="end"/>
        </w:r>
      </w:hyperlink>
    </w:p>
    <w:p>
      <w:pPr>
        <w:tabs>
          <w:tab w:val="right" w:leader="dot" w:pos="9062"/>
        </w:tabs>
        <w:ind w:left="440"/>
      </w:pPr>
      <w:hyperlink w:anchor="_Toc9654" w:history="1">
        <w:r>
          <w:rPr>
            <w:rFonts w:ascii="IRNazanin" w:hAnsi="IRNazanin" w:eastAsia="IRNazanin" w:cs="IRNazanin"/>
            <w:color w:val="111111"/>
            <w:sz w:val="22"/>
            <w:szCs w:val="22"/>
            <w:b w:val="0"/>
            <w:bCs w:val="0"/>
            <w:i w:val="0"/>
            <w:iCs w:val="0"/>
          </w:rPr>
          <w:t>8299- دیوان هلالی ترک أو شعره‏</w:t>
        </w:r>
        <w:r>
          <w:tab/>
        </w:r>
        <w:r>
          <w:fldChar w:fldCharType="begin"/>
        </w:r>
        <w:r>
          <w:instrText xml:space="preserve">PAGEREF 9654 \h</w:instrText>
        </w:r>
        <w:r>
          <w:fldChar w:fldCharType="end"/>
        </w:r>
      </w:hyperlink>
    </w:p>
    <w:p>
      <w:pPr>
        <w:tabs>
          <w:tab w:val="right" w:leader="dot" w:pos="9062"/>
        </w:tabs>
        <w:ind w:left="440"/>
      </w:pPr>
      <w:hyperlink w:anchor="_Toc9655" w:history="1">
        <w:r>
          <w:rPr>
            <w:rFonts w:ascii="IRNazanin" w:hAnsi="IRNazanin" w:eastAsia="IRNazanin" w:cs="IRNazanin"/>
            <w:color w:val="111111"/>
            <w:sz w:val="22"/>
            <w:szCs w:val="22"/>
            <w:b w:val="0"/>
            <w:bCs w:val="0"/>
            <w:i w:val="0"/>
            <w:iCs w:val="0"/>
          </w:rPr>
          <w:t>8300- دیوان هلالی جغتائی‏</w:t>
        </w:r>
        <w:r>
          <w:tab/>
        </w:r>
        <w:r>
          <w:fldChar w:fldCharType="begin"/>
        </w:r>
        <w:r>
          <w:instrText xml:space="preserve">PAGEREF 9655 \h</w:instrText>
        </w:r>
        <w:r>
          <w:fldChar w:fldCharType="end"/>
        </w:r>
      </w:hyperlink>
    </w:p>
    <w:p>
      <w:pPr>
        <w:tabs>
          <w:tab w:val="right" w:leader="dot" w:pos="9062"/>
        </w:tabs>
        <w:ind w:left="440"/>
      </w:pPr>
      <w:hyperlink w:anchor="_Toc9656" w:history="1">
        <w:r>
          <w:rPr>
            <w:rFonts w:ascii="IRNazanin" w:hAnsi="IRNazanin" w:eastAsia="IRNazanin" w:cs="IRNazanin"/>
            <w:color w:val="111111"/>
            <w:sz w:val="22"/>
            <w:szCs w:val="22"/>
            <w:b w:val="0"/>
            <w:bCs w:val="0"/>
            <w:i w:val="0"/>
            <w:iCs w:val="0"/>
          </w:rPr>
          <w:t>8301- دیوان هلالی سبزواری أو شعره‏</w:t>
        </w:r>
        <w:r>
          <w:tab/>
        </w:r>
        <w:r>
          <w:fldChar w:fldCharType="begin"/>
        </w:r>
        <w:r>
          <w:instrText xml:space="preserve">PAGEREF 9656 \h</w:instrText>
        </w:r>
        <w:r>
          <w:fldChar w:fldCharType="end"/>
        </w:r>
      </w:hyperlink>
    </w:p>
    <w:p>
      <w:pPr>
        <w:tabs>
          <w:tab w:val="right" w:leader="dot" w:pos="9062"/>
        </w:tabs>
        <w:ind w:left="440"/>
      </w:pPr>
      <w:hyperlink w:anchor="_Toc9657" w:history="1">
        <w:r>
          <w:rPr>
            <w:rFonts w:ascii="IRNazanin" w:hAnsi="IRNazanin" w:eastAsia="IRNazanin" w:cs="IRNazanin"/>
            <w:color w:val="111111"/>
            <w:sz w:val="22"/>
            <w:szCs w:val="22"/>
            <w:b w:val="0"/>
            <w:bCs w:val="0"/>
            <w:i w:val="0"/>
            <w:iCs w:val="0"/>
          </w:rPr>
          <w:t>دیوان هلالی شیرازی‏</w:t>
        </w:r>
        <w:r>
          <w:tab/>
        </w:r>
        <w:r>
          <w:fldChar w:fldCharType="begin"/>
        </w:r>
        <w:r>
          <w:instrText xml:space="preserve">PAGEREF 9657 \h</w:instrText>
        </w:r>
        <w:r>
          <w:fldChar w:fldCharType="end"/>
        </w:r>
      </w:hyperlink>
    </w:p>
    <w:p>
      <w:pPr>
        <w:tabs>
          <w:tab w:val="right" w:leader="dot" w:pos="9062"/>
        </w:tabs>
        <w:ind w:left="440"/>
      </w:pPr>
      <w:hyperlink w:anchor="_Toc9658" w:history="1">
        <w:r>
          <w:rPr>
            <w:rFonts w:ascii="IRNazanin" w:hAnsi="IRNazanin" w:eastAsia="IRNazanin" w:cs="IRNazanin"/>
            <w:color w:val="111111"/>
            <w:sz w:val="22"/>
            <w:szCs w:val="22"/>
            <w:b w:val="0"/>
            <w:bCs w:val="0"/>
            <w:i w:val="0"/>
            <w:iCs w:val="0"/>
          </w:rPr>
          <w:t>8302- دیوان هلالی قزوینی أو شعره‏</w:t>
        </w:r>
        <w:r>
          <w:tab/>
        </w:r>
        <w:r>
          <w:fldChar w:fldCharType="begin"/>
        </w:r>
        <w:r>
          <w:instrText xml:space="preserve">PAGEREF 9658 \h</w:instrText>
        </w:r>
        <w:r>
          <w:fldChar w:fldCharType="end"/>
        </w:r>
      </w:hyperlink>
    </w:p>
    <w:p>
      <w:pPr>
        <w:tabs>
          <w:tab w:val="right" w:leader="dot" w:pos="9062"/>
        </w:tabs>
        <w:ind w:left="440"/>
      </w:pPr>
      <w:hyperlink w:anchor="_Toc9659" w:history="1">
        <w:r>
          <w:rPr>
            <w:rFonts w:ascii="IRNazanin" w:hAnsi="IRNazanin" w:eastAsia="IRNazanin" w:cs="IRNazanin"/>
            <w:color w:val="111111"/>
            <w:sz w:val="22"/>
            <w:szCs w:val="22"/>
            <w:b w:val="0"/>
            <w:bCs w:val="0"/>
            <w:i w:val="0"/>
            <w:iCs w:val="0"/>
          </w:rPr>
          <w:t>8303- دیوان هلالی قاجار أو شعرها</w:t>
        </w:r>
        <w:r>
          <w:tab/>
        </w:r>
        <w:r>
          <w:fldChar w:fldCharType="begin"/>
        </w:r>
        <w:r>
          <w:instrText xml:space="preserve">PAGEREF 9659 \h</w:instrText>
        </w:r>
        <w:r>
          <w:fldChar w:fldCharType="end"/>
        </w:r>
      </w:hyperlink>
    </w:p>
    <w:p>
      <w:pPr>
        <w:tabs>
          <w:tab w:val="right" w:leader="dot" w:pos="9062"/>
        </w:tabs>
        <w:ind w:left="440"/>
      </w:pPr>
      <w:hyperlink w:anchor="_Toc9660" w:history="1">
        <w:r>
          <w:rPr>
            <w:rFonts w:ascii="IRNazanin" w:hAnsi="IRNazanin" w:eastAsia="IRNazanin" w:cs="IRNazanin"/>
            <w:color w:val="111111"/>
            <w:sz w:val="22"/>
            <w:szCs w:val="22"/>
            <w:b w:val="0"/>
            <w:bCs w:val="0"/>
            <w:i w:val="0"/>
            <w:iCs w:val="0"/>
          </w:rPr>
          <w:t>8304- دیوان هلالی هروی أو شعره‏</w:t>
        </w:r>
        <w:r>
          <w:tab/>
        </w:r>
        <w:r>
          <w:fldChar w:fldCharType="begin"/>
        </w:r>
        <w:r>
          <w:instrText xml:space="preserve">PAGEREF 9660 \h</w:instrText>
        </w:r>
        <w:r>
          <w:fldChar w:fldCharType="end"/>
        </w:r>
      </w:hyperlink>
    </w:p>
    <w:p>
      <w:pPr>
        <w:tabs>
          <w:tab w:val="right" w:leader="dot" w:pos="9062"/>
        </w:tabs>
        <w:ind w:left="440"/>
      </w:pPr>
      <w:hyperlink w:anchor="_Toc9661" w:history="1">
        <w:r>
          <w:rPr>
            <w:rFonts w:ascii="IRNazanin" w:hAnsi="IRNazanin" w:eastAsia="IRNazanin" w:cs="IRNazanin"/>
            <w:color w:val="111111"/>
            <w:sz w:val="22"/>
            <w:szCs w:val="22"/>
            <w:b w:val="0"/>
            <w:bCs w:val="0"/>
            <w:i w:val="0"/>
            <w:iCs w:val="0"/>
          </w:rPr>
          <w:t>دیوان هلالی هروی‏</w:t>
        </w:r>
        <w:r>
          <w:tab/>
        </w:r>
        <w:r>
          <w:fldChar w:fldCharType="begin"/>
        </w:r>
        <w:r>
          <w:instrText xml:space="preserve">PAGEREF 9661 \h</w:instrText>
        </w:r>
        <w:r>
          <w:fldChar w:fldCharType="end"/>
        </w:r>
      </w:hyperlink>
    </w:p>
    <w:p>
      <w:pPr>
        <w:tabs>
          <w:tab w:val="right" w:leader="dot" w:pos="9062"/>
        </w:tabs>
        <w:ind w:left="440"/>
      </w:pPr>
      <w:hyperlink w:anchor="_Toc9662" w:history="1">
        <w:r>
          <w:rPr>
            <w:rFonts w:ascii="IRNazanin" w:hAnsi="IRNazanin" w:eastAsia="IRNazanin" w:cs="IRNazanin"/>
            <w:color w:val="111111"/>
            <w:sz w:val="22"/>
            <w:szCs w:val="22"/>
            <w:b w:val="0"/>
            <w:bCs w:val="0"/>
            <w:i w:val="0"/>
            <w:iCs w:val="0"/>
          </w:rPr>
          <w:t>8305- دیوان همام تبریزی‏</w:t>
        </w:r>
        <w:r>
          <w:tab/>
        </w:r>
        <w:r>
          <w:fldChar w:fldCharType="begin"/>
        </w:r>
        <w:r>
          <w:instrText xml:space="preserve">PAGEREF 9662 \h</w:instrText>
        </w:r>
        <w:r>
          <w:fldChar w:fldCharType="end"/>
        </w:r>
      </w:hyperlink>
    </w:p>
    <w:p>
      <w:pPr>
        <w:tabs>
          <w:tab w:val="right" w:leader="dot" w:pos="9062"/>
        </w:tabs>
        <w:ind w:left="440"/>
      </w:pPr>
      <w:hyperlink w:anchor="_Toc9663" w:history="1">
        <w:r>
          <w:rPr>
            <w:rFonts w:ascii="IRNazanin" w:hAnsi="IRNazanin" w:eastAsia="IRNazanin" w:cs="IRNazanin"/>
            <w:color w:val="111111"/>
            <w:sz w:val="22"/>
            <w:szCs w:val="22"/>
            <w:b w:val="0"/>
            <w:bCs w:val="0"/>
            <w:i w:val="0"/>
            <w:iCs w:val="0"/>
          </w:rPr>
          <w:t>8306- دیوان همام یزدی أو شعره‏</w:t>
        </w:r>
        <w:r>
          <w:tab/>
        </w:r>
        <w:r>
          <w:fldChar w:fldCharType="begin"/>
        </w:r>
        <w:r>
          <w:instrText xml:space="preserve">PAGEREF 9663 \h</w:instrText>
        </w:r>
        <w:r>
          <w:fldChar w:fldCharType="end"/>
        </w:r>
      </w:hyperlink>
    </w:p>
    <w:p>
      <w:pPr>
        <w:tabs>
          <w:tab w:val="right" w:leader="dot" w:pos="9062"/>
        </w:tabs>
        <w:ind w:left="440"/>
      </w:pPr>
      <w:hyperlink w:anchor="_Toc9664" w:history="1">
        <w:r>
          <w:rPr>
            <w:rFonts w:ascii="IRNazanin" w:hAnsi="IRNazanin" w:eastAsia="IRNazanin" w:cs="IRNazanin"/>
            <w:color w:val="111111"/>
            <w:sz w:val="22"/>
            <w:szCs w:val="22"/>
            <w:b w:val="0"/>
            <w:bCs w:val="0"/>
            <w:i w:val="0"/>
            <w:iCs w:val="0"/>
          </w:rPr>
          <w:t>دیوان همای أصفهانی‏</w:t>
        </w:r>
        <w:r>
          <w:tab/>
        </w:r>
        <w:r>
          <w:fldChar w:fldCharType="begin"/>
        </w:r>
        <w:r>
          <w:instrText xml:space="preserve">PAGEREF 9664 \h</w:instrText>
        </w:r>
        <w:r>
          <w:fldChar w:fldCharType="end"/>
        </w:r>
      </w:hyperlink>
    </w:p>
    <w:p>
      <w:pPr>
        <w:tabs>
          <w:tab w:val="right" w:leader="dot" w:pos="9062"/>
        </w:tabs>
        <w:ind w:left="440"/>
      </w:pPr>
      <w:hyperlink w:anchor="_Toc9665" w:history="1">
        <w:r>
          <w:rPr>
            <w:rFonts w:ascii="IRNazanin" w:hAnsi="IRNazanin" w:eastAsia="IRNazanin" w:cs="IRNazanin"/>
            <w:color w:val="111111"/>
            <w:sz w:val="22"/>
            <w:szCs w:val="22"/>
            <w:b w:val="0"/>
            <w:bCs w:val="0"/>
            <w:i w:val="0"/>
            <w:iCs w:val="0"/>
          </w:rPr>
          <w:t>8307- دیوان همای شیرازی‏</w:t>
        </w:r>
        <w:r>
          <w:tab/>
        </w:r>
        <w:r>
          <w:fldChar w:fldCharType="begin"/>
        </w:r>
        <w:r>
          <w:instrText xml:space="preserve">PAGEREF 9665 \h</w:instrText>
        </w:r>
        <w:r>
          <w:fldChar w:fldCharType="end"/>
        </w:r>
      </w:hyperlink>
    </w:p>
    <w:p>
      <w:pPr>
        <w:tabs>
          <w:tab w:val="right" w:leader="dot" w:pos="9062"/>
        </w:tabs>
        <w:ind w:left="440"/>
      </w:pPr>
      <w:hyperlink w:anchor="_Toc9666" w:history="1">
        <w:r>
          <w:rPr>
            <w:rFonts w:ascii="IRNazanin" w:hAnsi="IRNazanin" w:eastAsia="IRNazanin" w:cs="IRNazanin"/>
            <w:color w:val="111111"/>
            <w:sz w:val="22"/>
            <w:szCs w:val="22"/>
            <w:b w:val="0"/>
            <w:bCs w:val="0"/>
            <w:i w:val="0"/>
            <w:iCs w:val="0"/>
          </w:rPr>
          <w:t>8308- دیوان همای کشمیری أو شعره‏</w:t>
        </w:r>
        <w:r>
          <w:tab/>
        </w:r>
        <w:r>
          <w:fldChar w:fldCharType="begin"/>
        </w:r>
        <w:r>
          <w:instrText xml:space="preserve">PAGEREF 9666 \h</w:instrText>
        </w:r>
        <w:r>
          <w:fldChar w:fldCharType="end"/>
        </w:r>
      </w:hyperlink>
    </w:p>
    <w:p>
      <w:pPr>
        <w:tabs>
          <w:tab w:val="right" w:leader="dot" w:pos="9062"/>
        </w:tabs>
        <w:ind w:left="440"/>
      </w:pPr>
      <w:hyperlink w:anchor="_Toc9667" w:history="1">
        <w:r>
          <w:rPr>
            <w:rFonts w:ascii="IRNazanin" w:hAnsi="IRNazanin" w:eastAsia="IRNazanin" w:cs="IRNazanin"/>
            <w:color w:val="111111"/>
            <w:sz w:val="22"/>
            <w:szCs w:val="22"/>
            <w:b w:val="0"/>
            <w:bCs w:val="0"/>
            <w:i w:val="0"/>
            <w:iCs w:val="0"/>
          </w:rPr>
          <w:t>8309- دیوان همای مروزی‏</w:t>
        </w:r>
        <w:r>
          <w:tab/>
        </w:r>
        <w:r>
          <w:fldChar w:fldCharType="begin"/>
        </w:r>
        <w:r>
          <w:instrText xml:space="preserve">PAGEREF 9667 \h</w:instrText>
        </w:r>
        <w:r>
          <w:fldChar w:fldCharType="end"/>
        </w:r>
      </w:hyperlink>
    </w:p>
    <w:p>
      <w:pPr>
        <w:tabs>
          <w:tab w:val="right" w:leader="dot" w:pos="9062"/>
        </w:tabs>
        <w:ind w:left="440"/>
      </w:pPr>
      <w:hyperlink w:anchor="_Toc9668" w:history="1">
        <w:r>
          <w:rPr>
            <w:rFonts w:ascii="IRNazanin" w:hAnsi="IRNazanin" w:eastAsia="IRNazanin" w:cs="IRNazanin"/>
            <w:color w:val="111111"/>
            <w:sz w:val="22"/>
            <w:szCs w:val="22"/>
            <w:b w:val="0"/>
            <w:bCs w:val="0"/>
            <w:i w:val="0"/>
            <w:iCs w:val="0"/>
          </w:rPr>
          <w:t>8310- دیوان همایون أسترآبادی أو شعره‏</w:t>
        </w:r>
        <w:r>
          <w:tab/>
        </w:r>
        <w:r>
          <w:fldChar w:fldCharType="begin"/>
        </w:r>
        <w:r>
          <w:instrText xml:space="preserve">PAGEREF 9668 \h</w:instrText>
        </w:r>
        <w:r>
          <w:fldChar w:fldCharType="end"/>
        </w:r>
      </w:hyperlink>
    </w:p>
    <w:p>
      <w:pPr>
        <w:tabs>
          <w:tab w:val="right" w:leader="dot" w:pos="9062"/>
        </w:tabs>
        <w:ind w:left="440"/>
      </w:pPr>
      <w:hyperlink w:anchor="_Toc9669" w:history="1">
        <w:r>
          <w:rPr>
            <w:rFonts w:ascii="IRNazanin" w:hAnsi="IRNazanin" w:eastAsia="IRNazanin" w:cs="IRNazanin"/>
            <w:color w:val="111111"/>
            <w:sz w:val="22"/>
            <w:szCs w:val="22"/>
            <w:b w:val="0"/>
            <w:bCs w:val="0"/>
            <w:i w:val="0"/>
            <w:iCs w:val="0"/>
          </w:rPr>
          <w:t>8311- دیوان همایون أسفراینی‏</w:t>
        </w:r>
        <w:r>
          <w:tab/>
        </w:r>
        <w:r>
          <w:fldChar w:fldCharType="begin"/>
        </w:r>
        <w:r>
          <w:instrText xml:space="preserve">PAGEREF 9669 \h</w:instrText>
        </w:r>
        <w:r>
          <w:fldChar w:fldCharType="end"/>
        </w:r>
      </w:hyperlink>
    </w:p>
    <w:p>
      <w:pPr>
        <w:tabs>
          <w:tab w:val="right" w:leader="dot" w:pos="9062"/>
        </w:tabs>
        <w:ind w:left="440"/>
      </w:pPr>
      <w:hyperlink w:anchor="_Toc9670" w:history="1">
        <w:r>
          <w:rPr>
            <w:rFonts w:ascii="IRNazanin" w:hAnsi="IRNazanin" w:eastAsia="IRNazanin" w:cs="IRNazanin"/>
            <w:color w:val="111111"/>
            <w:sz w:val="22"/>
            <w:szCs w:val="22"/>
            <w:b w:val="0"/>
            <w:bCs w:val="0"/>
            <w:i w:val="0"/>
            <w:iCs w:val="0"/>
          </w:rPr>
          <w:t>دیوان همایون بابر</w:t>
        </w:r>
        <w:r>
          <w:tab/>
        </w:r>
        <w:r>
          <w:fldChar w:fldCharType="begin"/>
        </w:r>
        <w:r>
          <w:instrText xml:space="preserve">PAGEREF 9670 \h</w:instrText>
        </w:r>
        <w:r>
          <w:fldChar w:fldCharType="end"/>
        </w:r>
      </w:hyperlink>
    </w:p>
    <w:p>
      <w:pPr>
        <w:tabs>
          <w:tab w:val="right" w:leader="dot" w:pos="9062"/>
        </w:tabs>
        <w:ind w:left="440"/>
      </w:pPr>
      <w:hyperlink w:anchor="_Toc9671" w:history="1">
        <w:r>
          <w:rPr>
            <w:rFonts w:ascii="IRNazanin" w:hAnsi="IRNazanin" w:eastAsia="IRNazanin" w:cs="IRNazanin"/>
            <w:color w:val="111111"/>
            <w:sz w:val="22"/>
            <w:szCs w:val="22"/>
            <w:b w:val="0"/>
            <w:bCs w:val="0"/>
            <w:i w:val="0"/>
            <w:iCs w:val="0"/>
          </w:rPr>
          <w:t>8312- دیوان همایون بروجردی‏</w:t>
        </w:r>
        <w:r>
          <w:tab/>
        </w:r>
        <w:r>
          <w:fldChar w:fldCharType="begin"/>
        </w:r>
        <w:r>
          <w:instrText xml:space="preserve">PAGEREF 9671 \h</w:instrText>
        </w:r>
        <w:r>
          <w:fldChar w:fldCharType="end"/>
        </w:r>
      </w:hyperlink>
    </w:p>
    <w:p>
      <w:pPr>
        <w:tabs>
          <w:tab w:val="right" w:leader="dot" w:pos="9062"/>
        </w:tabs>
        <w:ind w:left="440"/>
      </w:pPr>
      <w:hyperlink w:anchor="_Toc9672" w:history="1">
        <w:r>
          <w:rPr>
            <w:rFonts w:ascii="IRNazanin" w:hAnsi="IRNazanin" w:eastAsia="IRNazanin" w:cs="IRNazanin"/>
            <w:color w:val="111111"/>
            <w:sz w:val="22"/>
            <w:szCs w:val="22"/>
            <w:b w:val="0"/>
            <w:bCs w:val="0"/>
            <w:i w:val="0"/>
            <w:iCs w:val="0"/>
          </w:rPr>
          <w:t>8313- دیوان همایون پادشاه‏</w:t>
        </w:r>
        <w:r>
          <w:tab/>
        </w:r>
        <w:r>
          <w:fldChar w:fldCharType="begin"/>
        </w:r>
        <w:r>
          <w:instrText xml:space="preserve">PAGEREF 9672 \h</w:instrText>
        </w:r>
        <w:r>
          <w:fldChar w:fldCharType="end"/>
        </w:r>
      </w:hyperlink>
    </w:p>
    <w:p>
      <w:pPr>
        <w:tabs>
          <w:tab w:val="right" w:leader="dot" w:pos="9062"/>
        </w:tabs>
        <w:ind w:left="440"/>
      </w:pPr>
      <w:hyperlink w:anchor="_Toc9673" w:history="1">
        <w:r>
          <w:rPr>
            <w:rFonts w:ascii="IRNazanin" w:hAnsi="IRNazanin" w:eastAsia="IRNazanin" w:cs="IRNazanin"/>
            <w:color w:val="111111"/>
            <w:sz w:val="22"/>
            <w:szCs w:val="22"/>
            <w:b w:val="0"/>
            <w:bCs w:val="0"/>
            <w:i w:val="0"/>
            <w:iCs w:val="0"/>
          </w:rPr>
          <w:t>دیوان همایون عراقی‏</w:t>
        </w:r>
        <w:r>
          <w:tab/>
        </w:r>
        <w:r>
          <w:fldChar w:fldCharType="begin"/>
        </w:r>
        <w:r>
          <w:instrText xml:space="preserve">PAGEREF 9673 \h</w:instrText>
        </w:r>
        <w:r>
          <w:fldChar w:fldCharType="end"/>
        </w:r>
      </w:hyperlink>
    </w:p>
    <w:p>
      <w:pPr>
        <w:tabs>
          <w:tab w:val="right" w:leader="dot" w:pos="9062"/>
        </w:tabs>
        <w:ind w:left="440"/>
      </w:pPr>
      <w:hyperlink w:anchor="_Toc9674" w:history="1">
        <w:r>
          <w:rPr>
            <w:rFonts w:ascii="IRNazanin" w:hAnsi="IRNazanin" w:eastAsia="IRNazanin" w:cs="IRNazanin"/>
            <w:color w:val="111111"/>
            <w:sz w:val="22"/>
            <w:szCs w:val="22"/>
            <w:b w:val="0"/>
            <w:bCs w:val="0"/>
            <w:i w:val="0"/>
            <w:iCs w:val="0"/>
          </w:rPr>
          <w:t>8314- دیوان همایون فریدنی‏</w:t>
        </w:r>
        <w:r>
          <w:tab/>
        </w:r>
        <w:r>
          <w:fldChar w:fldCharType="begin"/>
        </w:r>
        <w:r>
          <w:instrText xml:space="preserve">PAGEREF 9674 \h</w:instrText>
        </w:r>
        <w:r>
          <w:fldChar w:fldCharType="end"/>
        </w:r>
      </w:hyperlink>
    </w:p>
    <w:p>
      <w:pPr>
        <w:tabs>
          <w:tab w:val="right" w:leader="dot" w:pos="9062"/>
        </w:tabs>
        <w:ind w:left="440"/>
      </w:pPr>
      <w:hyperlink w:anchor="_Toc9675" w:history="1">
        <w:r>
          <w:rPr>
            <w:rFonts w:ascii="IRNazanin" w:hAnsi="IRNazanin" w:eastAsia="IRNazanin" w:cs="IRNazanin"/>
            <w:color w:val="111111"/>
            <w:sz w:val="22"/>
            <w:szCs w:val="22"/>
            <w:b w:val="0"/>
            <w:bCs w:val="0"/>
            <w:i w:val="0"/>
            <w:iCs w:val="0"/>
          </w:rPr>
          <w:t>دیوان همایون قاجار</w:t>
        </w:r>
        <w:r>
          <w:tab/>
        </w:r>
        <w:r>
          <w:fldChar w:fldCharType="begin"/>
        </w:r>
        <w:r>
          <w:instrText xml:space="preserve">PAGEREF 9675 \h</w:instrText>
        </w:r>
        <w:r>
          <w:fldChar w:fldCharType="end"/>
        </w:r>
      </w:hyperlink>
    </w:p>
    <w:p>
      <w:pPr>
        <w:tabs>
          <w:tab w:val="right" w:leader="dot" w:pos="9062"/>
        </w:tabs>
        <w:ind w:left="440"/>
      </w:pPr>
      <w:hyperlink w:anchor="_Toc9676" w:history="1">
        <w:r>
          <w:rPr>
            <w:rFonts w:ascii="IRNazanin" w:hAnsi="IRNazanin" w:eastAsia="IRNazanin" w:cs="IRNazanin"/>
            <w:color w:val="111111"/>
            <w:sz w:val="22"/>
            <w:szCs w:val="22"/>
            <w:b w:val="0"/>
            <w:bCs w:val="0"/>
            <w:i w:val="0"/>
            <w:iCs w:val="0"/>
          </w:rPr>
          <w:t>دیوان همایون کرکی‏</w:t>
        </w:r>
        <w:r>
          <w:tab/>
        </w:r>
        <w:r>
          <w:fldChar w:fldCharType="begin"/>
        </w:r>
        <w:r>
          <w:instrText xml:space="preserve">PAGEREF 9676 \h</w:instrText>
        </w:r>
        <w:r>
          <w:fldChar w:fldCharType="end"/>
        </w:r>
      </w:hyperlink>
    </w:p>
    <w:p>
      <w:pPr>
        <w:tabs>
          <w:tab w:val="right" w:leader="dot" w:pos="9062"/>
        </w:tabs>
        <w:ind w:left="440"/>
      </w:pPr>
      <w:hyperlink w:anchor="_Toc9677" w:history="1">
        <w:r>
          <w:rPr>
            <w:rFonts w:ascii="IRNazanin" w:hAnsi="IRNazanin" w:eastAsia="IRNazanin" w:cs="IRNazanin"/>
            <w:color w:val="111111"/>
            <w:sz w:val="22"/>
            <w:szCs w:val="22"/>
            <w:b w:val="0"/>
            <w:bCs w:val="0"/>
            <w:i w:val="0"/>
            <w:iCs w:val="0"/>
          </w:rPr>
          <w:t>8315- دیوان همایون کرمانی‏</w:t>
        </w:r>
        <w:r>
          <w:tab/>
        </w:r>
        <w:r>
          <w:fldChar w:fldCharType="begin"/>
        </w:r>
        <w:r>
          <w:instrText xml:space="preserve">PAGEREF 9677 \h</w:instrText>
        </w:r>
        <w:r>
          <w:fldChar w:fldCharType="end"/>
        </w:r>
      </w:hyperlink>
    </w:p>
    <w:p>
      <w:pPr>
        <w:tabs>
          <w:tab w:val="right" w:leader="dot" w:pos="9062"/>
        </w:tabs>
        <w:ind w:left="440"/>
      </w:pPr>
      <w:hyperlink w:anchor="_Toc9678" w:history="1">
        <w:r>
          <w:rPr>
            <w:rFonts w:ascii="IRNazanin" w:hAnsi="IRNazanin" w:eastAsia="IRNazanin" w:cs="IRNazanin"/>
            <w:color w:val="111111"/>
            <w:sz w:val="22"/>
            <w:szCs w:val="22"/>
            <w:b w:val="0"/>
            <w:bCs w:val="0"/>
            <w:i w:val="0"/>
            <w:iCs w:val="0"/>
          </w:rPr>
          <w:t>8316- دیوان همایون همدانی‏</w:t>
        </w:r>
        <w:r>
          <w:tab/>
        </w:r>
        <w:r>
          <w:fldChar w:fldCharType="begin"/>
        </w:r>
        <w:r>
          <w:instrText xml:space="preserve">PAGEREF 9678 \h</w:instrText>
        </w:r>
        <w:r>
          <w:fldChar w:fldCharType="end"/>
        </w:r>
      </w:hyperlink>
    </w:p>
    <w:p>
      <w:pPr>
        <w:tabs>
          <w:tab w:val="right" w:leader="dot" w:pos="9062"/>
        </w:tabs>
        <w:ind w:left="440"/>
      </w:pPr>
      <w:hyperlink w:anchor="_Toc9679" w:history="1">
        <w:r>
          <w:rPr>
            <w:rFonts w:ascii="IRNazanin" w:hAnsi="IRNazanin" w:eastAsia="IRNazanin" w:cs="IRNazanin"/>
            <w:color w:val="111111"/>
            <w:sz w:val="22"/>
            <w:szCs w:val="22"/>
            <w:b w:val="0"/>
            <w:bCs w:val="0"/>
            <w:i w:val="0"/>
            <w:iCs w:val="0"/>
          </w:rPr>
          <w:t>دیوان همایون هندی‏</w:t>
        </w:r>
        <w:r>
          <w:tab/>
        </w:r>
        <w:r>
          <w:fldChar w:fldCharType="begin"/>
        </w:r>
        <w:r>
          <w:instrText xml:space="preserve">PAGEREF 9679 \h</w:instrText>
        </w:r>
        <w:r>
          <w:fldChar w:fldCharType="end"/>
        </w:r>
      </w:hyperlink>
    </w:p>
    <w:p>
      <w:pPr>
        <w:tabs>
          <w:tab w:val="right" w:leader="dot" w:pos="9062"/>
        </w:tabs>
        <w:ind w:left="440"/>
      </w:pPr>
      <w:hyperlink w:anchor="_Toc9680" w:history="1">
        <w:r>
          <w:rPr>
            <w:rFonts w:ascii="IRNazanin" w:hAnsi="IRNazanin" w:eastAsia="IRNazanin" w:cs="IRNazanin"/>
            <w:color w:val="111111"/>
            <w:sz w:val="22"/>
            <w:szCs w:val="22"/>
            <w:b w:val="0"/>
            <w:bCs w:val="0"/>
            <w:i w:val="0"/>
            <w:iCs w:val="0"/>
          </w:rPr>
          <w:t>8317- دیوان همائی آذربایجانی‏</w:t>
        </w:r>
        <w:r>
          <w:tab/>
        </w:r>
        <w:r>
          <w:fldChar w:fldCharType="begin"/>
        </w:r>
        <w:r>
          <w:instrText xml:space="preserve">PAGEREF 9680 \h</w:instrText>
        </w:r>
        <w:r>
          <w:fldChar w:fldCharType="end"/>
        </w:r>
      </w:hyperlink>
    </w:p>
    <w:p>
      <w:pPr>
        <w:tabs>
          <w:tab w:val="right" w:leader="dot" w:pos="9062"/>
        </w:tabs>
        <w:ind w:left="440"/>
      </w:pPr>
      <w:hyperlink w:anchor="_Toc9681" w:history="1">
        <w:r>
          <w:rPr>
            <w:rFonts w:ascii="IRNazanin" w:hAnsi="IRNazanin" w:eastAsia="IRNazanin" w:cs="IRNazanin"/>
            <w:color w:val="111111"/>
            <w:sz w:val="22"/>
            <w:szCs w:val="22"/>
            <w:b w:val="0"/>
            <w:bCs w:val="0"/>
            <w:i w:val="0"/>
            <w:iCs w:val="0"/>
          </w:rPr>
          <w:t>دیوان همائی أصفهانی‏</w:t>
        </w:r>
        <w:r>
          <w:tab/>
        </w:r>
        <w:r>
          <w:fldChar w:fldCharType="begin"/>
        </w:r>
        <w:r>
          <w:instrText xml:space="preserve">PAGEREF 9681 \h</w:instrText>
        </w:r>
        <w:r>
          <w:fldChar w:fldCharType="end"/>
        </w:r>
      </w:hyperlink>
    </w:p>
    <w:p>
      <w:pPr>
        <w:tabs>
          <w:tab w:val="right" w:leader="dot" w:pos="9062"/>
        </w:tabs>
        <w:ind w:left="440"/>
      </w:pPr>
      <w:hyperlink w:anchor="_Toc9682" w:history="1">
        <w:r>
          <w:rPr>
            <w:rFonts w:ascii="IRNazanin" w:hAnsi="IRNazanin" w:eastAsia="IRNazanin" w:cs="IRNazanin"/>
            <w:color w:val="111111"/>
            <w:sz w:val="22"/>
            <w:szCs w:val="22"/>
            <w:b w:val="0"/>
            <w:bCs w:val="0"/>
            <w:i w:val="0"/>
            <w:iCs w:val="0"/>
          </w:rPr>
          <w:t>8318- دیوان همائی ترک‏</w:t>
        </w:r>
        <w:r>
          <w:tab/>
        </w:r>
        <w:r>
          <w:fldChar w:fldCharType="begin"/>
        </w:r>
        <w:r>
          <w:instrText xml:space="preserve">PAGEREF 9682 \h</w:instrText>
        </w:r>
        <w:r>
          <w:fldChar w:fldCharType="end"/>
        </w:r>
      </w:hyperlink>
    </w:p>
    <w:p>
      <w:pPr>
        <w:tabs>
          <w:tab w:val="right" w:leader="dot" w:pos="9062"/>
        </w:tabs>
        <w:ind w:left="440"/>
      </w:pPr>
      <w:hyperlink w:anchor="_Toc9683" w:history="1">
        <w:r>
          <w:rPr>
            <w:rFonts w:ascii="IRNazanin" w:hAnsi="IRNazanin" w:eastAsia="IRNazanin" w:cs="IRNazanin"/>
            <w:color w:val="111111"/>
            <w:sz w:val="22"/>
            <w:szCs w:val="22"/>
            <w:b w:val="0"/>
            <w:bCs w:val="0"/>
            <w:i w:val="0"/>
            <w:iCs w:val="0"/>
          </w:rPr>
          <w:t>8319- دیوان همائی سمرقندی‏</w:t>
        </w:r>
        <w:r>
          <w:tab/>
        </w:r>
        <w:r>
          <w:fldChar w:fldCharType="begin"/>
        </w:r>
        <w:r>
          <w:instrText xml:space="preserve">PAGEREF 9683 \h</w:instrText>
        </w:r>
        <w:r>
          <w:fldChar w:fldCharType="end"/>
        </w:r>
      </w:hyperlink>
    </w:p>
    <w:p>
      <w:pPr>
        <w:tabs>
          <w:tab w:val="right" w:leader="dot" w:pos="9062"/>
        </w:tabs>
        <w:ind w:left="440"/>
      </w:pPr>
      <w:hyperlink w:anchor="_Toc9684" w:history="1">
        <w:r>
          <w:rPr>
            <w:rFonts w:ascii="IRNazanin" w:hAnsi="IRNazanin" w:eastAsia="IRNazanin" w:cs="IRNazanin"/>
            <w:color w:val="111111"/>
            <w:sz w:val="22"/>
            <w:szCs w:val="22"/>
            <w:b w:val="0"/>
            <w:bCs w:val="0"/>
            <w:i w:val="0"/>
            <w:iCs w:val="0"/>
          </w:rPr>
          <w:t>دیوان همائی عراقی‏</w:t>
        </w:r>
        <w:r>
          <w:tab/>
        </w:r>
        <w:r>
          <w:fldChar w:fldCharType="begin"/>
        </w:r>
        <w:r>
          <w:instrText xml:space="preserve">PAGEREF 9684 \h</w:instrText>
        </w:r>
        <w:r>
          <w:fldChar w:fldCharType="end"/>
        </w:r>
      </w:hyperlink>
    </w:p>
    <w:p>
      <w:pPr>
        <w:tabs>
          <w:tab w:val="right" w:leader="dot" w:pos="9062"/>
        </w:tabs>
        <w:ind w:left="440"/>
      </w:pPr>
      <w:hyperlink w:anchor="_Toc9685" w:history="1">
        <w:r>
          <w:rPr>
            <w:rFonts w:ascii="IRNazanin" w:hAnsi="IRNazanin" w:eastAsia="IRNazanin" w:cs="IRNazanin"/>
            <w:color w:val="111111"/>
            <w:sz w:val="22"/>
            <w:szCs w:val="22"/>
            <w:b w:val="0"/>
            <w:bCs w:val="0"/>
            <w:i w:val="0"/>
            <w:iCs w:val="0"/>
          </w:rPr>
          <w:t>8320- دیوان همائی نسوی أو شعره‏</w:t>
        </w:r>
        <w:r>
          <w:tab/>
        </w:r>
        <w:r>
          <w:fldChar w:fldCharType="begin"/>
        </w:r>
        <w:r>
          <w:instrText xml:space="preserve">PAGEREF 9685 \h</w:instrText>
        </w:r>
        <w:r>
          <w:fldChar w:fldCharType="end"/>
        </w:r>
      </w:hyperlink>
    </w:p>
    <w:p>
      <w:pPr>
        <w:tabs>
          <w:tab w:val="right" w:leader="dot" w:pos="9062"/>
        </w:tabs>
        <w:ind w:left="440"/>
      </w:pPr>
      <w:hyperlink w:anchor="_Toc9686" w:history="1">
        <w:r>
          <w:rPr>
            <w:rFonts w:ascii="IRNazanin" w:hAnsi="IRNazanin" w:eastAsia="IRNazanin" w:cs="IRNazanin"/>
            <w:color w:val="111111"/>
            <w:sz w:val="22"/>
            <w:szCs w:val="22"/>
            <w:b w:val="0"/>
            <w:bCs w:val="0"/>
            <w:i w:val="0"/>
            <w:iCs w:val="0"/>
          </w:rPr>
          <w:t>8321- دیوان همت أردبیلی أو شعره‏</w:t>
        </w:r>
        <w:r>
          <w:tab/>
        </w:r>
        <w:r>
          <w:fldChar w:fldCharType="begin"/>
        </w:r>
        <w:r>
          <w:instrText xml:space="preserve">PAGEREF 9686 \h</w:instrText>
        </w:r>
        <w:r>
          <w:fldChar w:fldCharType="end"/>
        </w:r>
      </w:hyperlink>
    </w:p>
    <w:p>
      <w:pPr>
        <w:tabs>
          <w:tab w:val="right" w:leader="dot" w:pos="9062"/>
        </w:tabs>
        <w:ind w:left="440"/>
      </w:pPr>
      <w:hyperlink w:anchor="_Toc9687" w:history="1">
        <w:r>
          <w:rPr>
            <w:rFonts w:ascii="IRNazanin" w:hAnsi="IRNazanin" w:eastAsia="IRNazanin" w:cs="IRNazanin"/>
            <w:color w:val="111111"/>
            <w:sz w:val="22"/>
            <w:szCs w:val="22"/>
            <w:b w:val="0"/>
            <w:bCs w:val="0"/>
            <w:i w:val="0"/>
            <w:iCs w:val="0"/>
          </w:rPr>
          <w:t>8322- دیوان همت أصفهانی‏</w:t>
        </w:r>
        <w:r>
          <w:tab/>
        </w:r>
        <w:r>
          <w:fldChar w:fldCharType="begin"/>
        </w:r>
        <w:r>
          <w:instrText xml:space="preserve">PAGEREF 9687 \h</w:instrText>
        </w:r>
        <w:r>
          <w:fldChar w:fldCharType="end"/>
        </w:r>
      </w:hyperlink>
    </w:p>
    <w:p>
      <w:pPr>
        <w:tabs>
          <w:tab w:val="right" w:leader="dot" w:pos="9062"/>
        </w:tabs>
        <w:ind w:left="440"/>
      </w:pPr>
      <w:hyperlink w:anchor="_Toc9688" w:history="1">
        <w:r>
          <w:rPr>
            <w:rFonts w:ascii="IRNazanin" w:hAnsi="IRNazanin" w:eastAsia="IRNazanin" w:cs="IRNazanin"/>
            <w:color w:val="111111"/>
            <w:sz w:val="22"/>
            <w:szCs w:val="22"/>
            <w:b w:val="0"/>
            <w:bCs w:val="0"/>
            <w:i w:val="0"/>
            <w:iCs w:val="0"/>
          </w:rPr>
          <w:t>8323- دیوان همت بدخشی أو شعره‏</w:t>
        </w:r>
        <w:r>
          <w:tab/>
        </w:r>
        <w:r>
          <w:fldChar w:fldCharType="begin"/>
        </w:r>
        <w:r>
          <w:instrText xml:space="preserve">PAGEREF 9688 \h</w:instrText>
        </w:r>
        <w:r>
          <w:fldChar w:fldCharType="end"/>
        </w:r>
      </w:hyperlink>
    </w:p>
    <w:p>
      <w:pPr>
        <w:tabs>
          <w:tab w:val="right" w:leader="dot" w:pos="9062"/>
        </w:tabs>
        <w:ind w:left="440"/>
      </w:pPr>
      <w:hyperlink w:anchor="_Toc9689" w:history="1">
        <w:r>
          <w:rPr>
            <w:rFonts w:ascii="IRNazanin" w:hAnsi="IRNazanin" w:eastAsia="IRNazanin" w:cs="IRNazanin"/>
            <w:color w:val="111111"/>
            <w:sz w:val="22"/>
            <w:szCs w:val="22"/>
            <w:b w:val="0"/>
            <w:bCs w:val="0"/>
            <w:i w:val="0"/>
            <w:iCs w:val="0"/>
          </w:rPr>
          <w:t>8324- دیوان همت سیستانی‏</w:t>
        </w:r>
        <w:r>
          <w:tab/>
        </w:r>
        <w:r>
          <w:fldChar w:fldCharType="begin"/>
        </w:r>
        <w:r>
          <w:instrText xml:space="preserve">PAGEREF 9689 \h</w:instrText>
        </w:r>
        <w:r>
          <w:fldChar w:fldCharType="end"/>
        </w:r>
      </w:hyperlink>
    </w:p>
    <w:p>
      <w:pPr>
        <w:tabs>
          <w:tab w:val="right" w:leader="dot" w:pos="9062"/>
        </w:tabs>
        <w:ind w:left="440"/>
      </w:pPr>
      <w:hyperlink w:anchor="_Toc9690" w:history="1">
        <w:r>
          <w:rPr>
            <w:rFonts w:ascii="IRNazanin" w:hAnsi="IRNazanin" w:eastAsia="IRNazanin" w:cs="IRNazanin"/>
            <w:color w:val="111111"/>
            <w:sz w:val="22"/>
            <w:szCs w:val="22"/>
            <w:b w:val="0"/>
            <w:bCs w:val="0"/>
            <w:i w:val="0"/>
            <w:iCs w:val="0"/>
          </w:rPr>
          <w:t>8325- دیوان همت شیرازی‏</w:t>
        </w:r>
        <w:r>
          <w:tab/>
        </w:r>
        <w:r>
          <w:fldChar w:fldCharType="begin"/>
        </w:r>
        <w:r>
          <w:instrText xml:space="preserve">PAGEREF 9690 \h</w:instrText>
        </w:r>
        <w:r>
          <w:fldChar w:fldCharType="end"/>
        </w:r>
      </w:hyperlink>
    </w:p>
    <w:p>
      <w:pPr>
        <w:tabs>
          <w:tab w:val="right" w:leader="dot" w:pos="9062"/>
        </w:tabs>
        <w:ind w:left="440"/>
      </w:pPr>
      <w:hyperlink w:anchor="_Toc9691" w:history="1">
        <w:r>
          <w:rPr>
            <w:rFonts w:ascii="IRNazanin" w:hAnsi="IRNazanin" w:eastAsia="IRNazanin" w:cs="IRNazanin"/>
            <w:color w:val="111111"/>
            <w:sz w:val="22"/>
            <w:szCs w:val="22"/>
            <w:b w:val="0"/>
            <w:bCs w:val="0"/>
            <w:i w:val="0"/>
            <w:iCs w:val="0"/>
          </w:rPr>
          <w:t>8326- دیوان همت فرح‏آبادی أو شعره‏</w:t>
        </w:r>
        <w:r>
          <w:tab/>
        </w:r>
        <w:r>
          <w:fldChar w:fldCharType="begin"/>
        </w:r>
        <w:r>
          <w:instrText xml:space="preserve">PAGEREF 9691 \h</w:instrText>
        </w:r>
        <w:r>
          <w:fldChar w:fldCharType="end"/>
        </w:r>
      </w:hyperlink>
    </w:p>
    <w:p>
      <w:pPr>
        <w:tabs>
          <w:tab w:val="right" w:leader="dot" w:pos="9062"/>
        </w:tabs>
        <w:ind w:left="440"/>
      </w:pPr>
      <w:hyperlink w:anchor="_Toc9692" w:history="1">
        <w:r>
          <w:rPr>
            <w:rFonts w:ascii="IRNazanin" w:hAnsi="IRNazanin" w:eastAsia="IRNazanin" w:cs="IRNazanin"/>
            <w:color w:val="111111"/>
            <w:sz w:val="22"/>
            <w:szCs w:val="22"/>
            <w:b w:val="0"/>
            <w:bCs w:val="0"/>
            <w:i w:val="0"/>
            <w:iCs w:val="0"/>
          </w:rPr>
          <w:t>8327- دیوان همت گورکه‏پوری أو شعره‏</w:t>
        </w:r>
        <w:r>
          <w:tab/>
        </w:r>
        <w:r>
          <w:fldChar w:fldCharType="begin"/>
        </w:r>
        <w:r>
          <w:instrText xml:space="preserve">PAGEREF 9692 \h</w:instrText>
        </w:r>
        <w:r>
          <w:fldChar w:fldCharType="end"/>
        </w:r>
      </w:hyperlink>
    </w:p>
    <w:p>
      <w:pPr>
        <w:tabs>
          <w:tab w:val="right" w:leader="dot" w:pos="9062"/>
        </w:tabs>
        <w:ind w:left="440"/>
      </w:pPr>
      <w:hyperlink w:anchor="_Toc9693" w:history="1">
        <w:r>
          <w:rPr>
            <w:rFonts w:ascii="IRNazanin" w:hAnsi="IRNazanin" w:eastAsia="IRNazanin" w:cs="IRNazanin"/>
            <w:color w:val="111111"/>
            <w:sz w:val="22"/>
            <w:szCs w:val="22"/>
            <w:b w:val="0"/>
            <w:bCs w:val="0"/>
            <w:i w:val="0"/>
            <w:iCs w:val="0"/>
          </w:rPr>
          <w:t>8328- دیوان همتی أصفهانی أو شعره‏</w:t>
        </w:r>
        <w:r>
          <w:tab/>
        </w:r>
        <w:r>
          <w:fldChar w:fldCharType="begin"/>
        </w:r>
        <w:r>
          <w:instrText xml:space="preserve">PAGEREF 9693 \h</w:instrText>
        </w:r>
        <w:r>
          <w:fldChar w:fldCharType="end"/>
        </w:r>
      </w:hyperlink>
    </w:p>
    <w:p>
      <w:pPr>
        <w:tabs>
          <w:tab w:val="right" w:leader="dot" w:pos="9062"/>
        </w:tabs>
        <w:ind w:left="440"/>
      </w:pPr>
      <w:hyperlink w:anchor="_Toc9694" w:history="1">
        <w:r>
          <w:rPr>
            <w:rFonts w:ascii="IRNazanin" w:hAnsi="IRNazanin" w:eastAsia="IRNazanin" w:cs="IRNazanin"/>
            <w:color w:val="111111"/>
            <w:sz w:val="22"/>
            <w:szCs w:val="22"/>
            <w:b w:val="0"/>
            <w:bCs w:val="0"/>
            <w:i w:val="0"/>
            <w:iCs w:val="0"/>
          </w:rPr>
          <w:t>8329- دیوان همتی بافقی أو شعره‏</w:t>
        </w:r>
        <w:r>
          <w:tab/>
        </w:r>
        <w:r>
          <w:fldChar w:fldCharType="begin"/>
        </w:r>
        <w:r>
          <w:instrText xml:space="preserve">PAGEREF 9694 \h</w:instrText>
        </w:r>
        <w:r>
          <w:fldChar w:fldCharType="end"/>
        </w:r>
      </w:hyperlink>
    </w:p>
    <w:p>
      <w:pPr>
        <w:tabs>
          <w:tab w:val="right" w:leader="dot" w:pos="9062"/>
        </w:tabs>
        <w:ind w:left="440"/>
      </w:pPr>
      <w:hyperlink w:anchor="_Toc9695" w:history="1">
        <w:r>
          <w:rPr>
            <w:rFonts w:ascii="IRNazanin" w:hAnsi="IRNazanin" w:eastAsia="IRNazanin" w:cs="IRNazanin"/>
            <w:color w:val="111111"/>
            <w:sz w:val="22"/>
            <w:szCs w:val="22"/>
            <w:b w:val="0"/>
            <w:bCs w:val="0"/>
            <w:i w:val="0"/>
            <w:iCs w:val="0"/>
          </w:rPr>
          <w:t>8330- دیوان همتی بلخی أو شعره‏</w:t>
        </w:r>
        <w:r>
          <w:tab/>
        </w:r>
        <w:r>
          <w:fldChar w:fldCharType="begin"/>
        </w:r>
        <w:r>
          <w:instrText xml:space="preserve">PAGEREF 9695 \h</w:instrText>
        </w:r>
        <w:r>
          <w:fldChar w:fldCharType="end"/>
        </w:r>
      </w:hyperlink>
    </w:p>
    <w:p>
      <w:pPr>
        <w:tabs>
          <w:tab w:val="right" w:leader="dot" w:pos="9062"/>
        </w:tabs>
        <w:ind w:left="440"/>
      </w:pPr>
      <w:hyperlink w:anchor="_Toc9696" w:history="1">
        <w:r>
          <w:rPr>
            <w:rFonts w:ascii="IRNazanin" w:hAnsi="IRNazanin" w:eastAsia="IRNazanin" w:cs="IRNazanin"/>
            <w:color w:val="111111"/>
            <w:sz w:val="22"/>
            <w:szCs w:val="22"/>
            <w:b w:val="0"/>
            <w:bCs w:val="0"/>
            <w:i w:val="0"/>
            <w:iCs w:val="0"/>
          </w:rPr>
          <w:t>8331- دیوان همدم سمنانی‏</w:t>
        </w:r>
        <w:r>
          <w:tab/>
        </w:r>
        <w:r>
          <w:fldChar w:fldCharType="begin"/>
        </w:r>
        <w:r>
          <w:instrText xml:space="preserve">PAGEREF 9696 \h</w:instrText>
        </w:r>
        <w:r>
          <w:fldChar w:fldCharType="end"/>
        </w:r>
      </w:hyperlink>
    </w:p>
    <w:p>
      <w:pPr>
        <w:tabs>
          <w:tab w:val="right" w:leader="dot" w:pos="9062"/>
        </w:tabs>
        <w:ind w:left="440"/>
      </w:pPr>
      <w:hyperlink w:anchor="_Toc9697" w:history="1">
        <w:r>
          <w:rPr>
            <w:rFonts w:ascii="IRNazanin" w:hAnsi="IRNazanin" w:eastAsia="IRNazanin" w:cs="IRNazanin"/>
            <w:color w:val="111111"/>
            <w:sz w:val="22"/>
            <w:szCs w:val="22"/>
            <w:b w:val="0"/>
            <w:bCs w:val="0"/>
            <w:i w:val="0"/>
            <w:iCs w:val="0"/>
          </w:rPr>
          <w:t>8332- دیوان همدم شیرازی‏</w:t>
        </w:r>
        <w:r>
          <w:tab/>
        </w:r>
        <w:r>
          <w:fldChar w:fldCharType="begin"/>
        </w:r>
        <w:r>
          <w:instrText xml:space="preserve">PAGEREF 9697 \h</w:instrText>
        </w:r>
        <w:r>
          <w:fldChar w:fldCharType="end"/>
        </w:r>
      </w:hyperlink>
    </w:p>
    <w:p>
      <w:pPr>
        <w:tabs>
          <w:tab w:val="right" w:leader="dot" w:pos="9062"/>
        </w:tabs>
        <w:ind w:left="440"/>
      </w:pPr>
      <w:hyperlink w:anchor="_Toc9698" w:history="1">
        <w:r>
          <w:rPr>
            <w:rFonts w:ascii="IRNazanin" w:hAnsi="IRNazanin" w:eastAsia="IRNazanin" w:cs="IRNazanin"/>
            <w:color w:val="111111"/>
            <w:sz w:val="22"/>
            <w:szCs w:val="22"/>
            <w:b w:val="0"/>
            <w:bCs w:val="0"/>
            <w:i w:val="0"/>
            <w:iCs w:val="0"/>
          </w:rPr>
          <w:t>8333- دیوان همدم شیرازی أو شعره‏</w:t>
        </w:r>
        <w:r>
          <w:tab/>
        </w:r>
        <w:r>
          <w:fldChar w:fldCharType="begin"/>
        </w:r>
        <w:r>
          <w:instrText xml:space="preserve">PAGEREF 9698 \h</w:instrText>
        </w:r>
        <w:r>
          <w:fldChar w:fldCharType="end"/>
        </w:r>
      </w:hyperlink>
    </w:p>
    <w:p>
      <w:pPr>
        <w:tabs>
          <w:tab w:val="right" w:leader="dot" w:pos="9062"/>
        </w:tabs>
        <w:ind w:left="440"/>
      </w:pPr>
      <w:hyperlink w:anchor="_Toc9699" w:history="1">
        <w:r>
          <w:rPr>
            <w:rFonts w:ascii="IRNazanin" w:hAnsi="IRNazanin" w:eastAsia="IRNazanin" w:cs="IRNazanin"/>
            <w:color w:val="111111"/>
            <w:sz w:val="22"/>
            <w:szCs w:val="22"/>
            <w:b w:val="0"/>
            <w:bCs w:val="0"/>
            <w:i w:val="0"/>
            <w:iCs w:val="0"/>
          </w:rPr>
          <w:t>8334- دیوان همدم هندی أو شعره‏</w:t>
        </w:r>
        <w:r>
          <w:tab/>
        </w:r>
        <w:r>
          <w:fldChar w:fldCharType="begin"/>
        </w:r>
        <w:r>
          <w:instrText xml:space="preserve">PAGEREF 9699 \h</w:instrText>
        </w:r>
        <w:r>
          <w:fldChar w:fldCharType="end"/>
        </w:r>
      </w:hyperlink>
    </w:p>
    <w:p>
      <w:pPr>
        <w:tabs>
          <w:tab w:val="right" w:leader="dot" w:pos="9062"/>
        </w:tabs>
        <w:ind w:left="440"/>
      </w:pPr>
      <w:hyperlink w:anchor="_Toc9700" w:history="1">
        <w:r>
          <w:rPr>
            <w:rFonts w:ascii="IRNazanin" w:hAnsi="IRNazanin" w:eastAsia="IRNazanin" w:cs="IRNazanin"/>
            <w:color w:val="111111"/>
            <w:sz w:val="22"/>
            <w:szCs w:val="22"/>
            <w:b w:val="0"/>
            <w:bCs w:val="0"/>
            <w:i w:val="0"/>
            <w:iCs w:val="0"/>
          </w:rPr>
          <w:t>8335- دیوان همدمی جرجانی أو شعرها</w:t>
        </w:r>
        <w:r>
          <w:tab/>
        </w:r>
        <w:r>
          <w:fldChar w:fldCharType="begin"/>
        </w:r>
        <w:r>
          <w:instrText xml:space="preserve">PAGEREF 9700 \h</w:instrText>
        </w:r>
        <w:r>
          <w:fldChar w:fldCharType="end"/>
        </w:r>
      </w:hyperlink>
    </w:p>
    <w:p>
      <w:pPr>
        <w:tabs>
          <w:tab w:val="right" w:leader="dot" w:pos="9062"/>
        </w:tabs>
        <w:ind w:left="440"/>
      </w:pPr>
      <w:hyperlink w:anchor="_Toc9701" w:history="1">
        <w:r>
          <w:rPr>
            <w:rFonts w:ascii="IRNazanin" w:hAnsi="IRNazanin" w:eastAsia="IRNazanin" w:cs="IRNazanin"/>
            <w:color w:val="111111"/>
            <w:sz w:val="22"/>
            <w:szCs w:val="22"/>
            <w:b w:val="0"/>
            <w:bCs w:val="0"/>
            <w:i w:val="0"/>
            <w:iCs w:val="0"/>
          </w:rPr>
          <w:t>8336- دیوان همدمی رازی أو شعره‏</w:t>
        </w:r>
        <w:r>
          <w:tab/>
        </w:r>
        <w:r>
          <w:fldChar w:fldCharType="begin"/>
        </w:r>
        <w:r>
          <w:instrText xml:space="preserve">PAGEREF 9701 \h</w:instrText>
        </w:r>
        <w:r>
          <w:fldChar w:fldCharType="end"/>
        </w:r>
      </w:hyperlink>
    </w:p>
    <w:p>
      <w:pPr>
        <w:tabs>
          <w:tab w:val="right" w:leader="dot" w:pos="9062"/>
        </w:tabs>
        <w:ind w:left="440"/>
      </w:pPr>
      <w:hyperlink w:anchor="_Toc9702" w:history="1">
        <w:r>
          <w:rPr>
            <w:rFonts w:ascii="IRNazanin" w:hAnsi="IRNazanin" w:eastAsia="IRNazanin" w:cs="IRNazanin"/>
            <w:color w:val="111111"/>
            <w:sz w:val="22"/>
            <w:szCs w:val="22"/>
            <w:b w:val="0"/>
            <w:bCs w:val="0"/>
            <w:i w:val="0"/>
            <w:iCs w:val="0"/>
          </w:rPr>
          <w:t>8337- دیوان همدمی سمرقندی أو شعره‏</w:t>
        </w:r>
        <w:r>
          <w:tab/>
        </w:r>
        <w:r>
          <w:fldChar w:fldCharType="begin"/>
        </w:r>
        <w:r>
          <w:instrText xml:space="preserve">PAGEREF 9702 \h</w:instrText>
        </w:r>
        <w:r>
          <w:fldChar w:fldCharType="end"/>
        </w:r>
      </w:hyperlink>
    </w:p>
    <w:p>
      <w:pPr>
        <w:tabs>
          <w:tab w:val="right" w:leader="dot" w:pos="9062"/>
        </w:tabs>
        <w:ind w:left="440"/>
      </w:pPr>
      <w:hyperlink w:anchor="_Toc9703" w:history="1">
        <w:r>
          <w:rPr>
            <w:rFonts w:ascii="IRNazanin" w:hAnsi="IRNazanin" w:eastAsia="IRNazanin" w:cs="IRNazanin"/>
            <w:color w:val="111111"/>
            <w:sz w:val="22"/>
            <w:szCs w:val="22"/>
            <w:b w:val="0"/>
            <w:bCs w:val="0"/>
            <w:i w:val="0"/>
            <w:iCs w:val="0"/>
          </w:rPr>
          <w:t>8338- دیوان همدمی شیرازی أو شعره‏</w:t>
        </w:r>
        <w:r>
          <w:tab/>
        </w:r>
        <w:r>
          <w:fldChar w:fldCharType="begin"/>
        </w:r>
        <w:r>
          <w:instrText xml:space="preserve">PAGEREF 9703 \h</w:instrText>
        </w:r>
        <w:r>
          <w:fldChar w:fldCharType="end"/>
        </w:r>
      </w:hyperlink>
    </w:p>
    <w:p>
      <w:pPr>
        <w:tabs>
          <w:tab w:val="right" w:leader="dot" w:pos="9062"/>
        </w:tabs>
        <w:ind w:left="440"/>
      </w:pPr>
      <w:hyperlink w:anchor="_Toc9704" w:history="1">
        <w:r>
          <w:rPr>
            <w:rFonts w:ascii="IRNazanin" w:hAnsi="IRNazanin" w:eastAsia="IRNazanin" w:cs="IRNazanin"/>
            <w:color w:val="111111"/>
            <w:sz w:val="22"/>
            <w:szCs w:val="22"/>
            <w:b w:val="0"/>
            <w:bCs w:val="0"/>
            <w:i w:val="0"/>
            <w:iCs w:val="0"/>
          </w:rPr>
          <w:t>8339- دیوان همدمی کاشانی أو شعره‏</w:t>
        </w:r>
        <w:r>
          <w:tab/>
        </w:r>
        <w:r>
          <w:fldChar w:fldCharType="begin"/>
        </w:r>
        <w:r>
          <w:instrText xml:space="preserve">PAGEREF 9704 \h</w:instrText>
        </w:r>
        <w:r>
          <w:fldChar w:fldCharType="end"/>
        </w:r>
      </w:hyperlink>
    </w:p>
    <w:p>
      <w:pPr>
        <w:tabs>
          <w:tab w:val="right" w:leader="dot" w:pos="9062"/>
        </w:tabs>
        <w:ind w:left="440"/>
      </w:pPr>
      <w:hyperlink w:anchor="_Toc9705" w:history="1">
        <w:r>
          <w:rPr>
            <w:rFonts w:ascii="IRNazanin" w:hAnsi="IRNazanin" w:eastAsia="IRNazanin" w:cs="IRNazanin"/>
            <w:color w:val="111111"/>
            <w:sz w:val="22"/>
            <w:szCs w:val="22"/>
            <w:b w:val="0"/>
            <w:bCs w:val="0"/>
            <w:i w:val="0"/>
            <w:iCs w:val="0"/>
          </w:rPr>
          <w:t>8340- دیوان همدمی مشهدی أو شعره‏</w:t>
        </w:r>
        <w:r>
          <w:tab/>
        </w:r>
        <w:r>
          <w:fldChar w:fldCharType="begin"/>
        </w:r>
        <w:r>
          <w:instrText xml:space="preserve">PAGEREF 9705 \h</w:instrText>
        </w:r>
        <w:r>
          <w:fldChar w:fldCharType="end"/>
        </w:r>
      </w:hyperlink>
    </w:p>
    <w:p>
      <w:pPr>
        <w:tabs>
          <w:tab w:val="right" w:leader="dot" w:pos="9062"/>
        </w:tabs>
        <w:ind w:left="440"/>
      </w:pPr>
      <w:hyperlink w:anchor="_Toc9706" w:history="1">
        <w:r>
          <w:rPr>
            <w:rFonts w:ascii="IRNazanin" w:hAnsi="IRNazanin" w:eastAsia="IRNazanin" w:cs="IRNazanin"/>
            <w:color w:val="111111"/>
            <w:sz w:val="22"/>
            <w:szCs w:val="22"/>
            <w:b w:val="0"/>
            <w:bCs w:val="0"/>
            <w:i w:val="0"/>
            <w:iCs w:val="0"/>
          </w:rPr>
          <w:t>8341- دیوان همدمی مشهدی أو شعره‏</w:t>
        </w:r>
        <w:r>
          <w:tab/>
        </w:r>
        <w:r>
          <w:fldChar w:fldCharType="begin"/>
        </w:r>
        <w:r>
          <w:instrText xml:space="preserve">PAGEREF 9706 \h</w:instrText>
        </w:r>
        <w:r>
          <w:fldChar w:fldCharType="end"/>
        </w:r>
      </w:hyperlink>
    </w:p>
    <w:p>
      <w:pPr>
        <w:tabs>
          <w:tab w:val="right" w:leader="dot" w:pos="9062"/>
        </w:tabs>
        <w:ind w:left="440"/>
      </w:pPr>
      <w:hyperlink w:anchor="_Toc9707" w:history="1">
        <w:r>
          <w:rPr>
            <w:rFonts w:ascii="IRNazanin" w:hAnsi="IRNazanin" w:eastAsia="IRNazanin" w:cs="IRNazanin"/>
            <w:color w:val="111111"/>
            <w:sz w:val="22"/>
            <w:szCs w:val="22"/>
            <w:b w:val="0"/>
            <w:bCs w:val="0"/>
            <w:i w:val="0"/>
            <w:iCs w:val="0"/>
          </w:rPr>
          <w:t>8342- دیوان همدمی هروی أو شعره‏</w:t>
        </w:r>
        <w:r>
          <w:tab/>
        </w:r>
        <w:r>
          <w:fldChar w:fldCharType="begin"/>
        </w:r>
        <w:r>
          <w:instrText xml:space="preserve">PAGEREF 9707 \h</w:instrText>
        </w:r>
        <w:r>
          <w:fldChar w:fldCharType="end"/>
        </w:r>
      </w:hyperlink>
    </w:p>
    <w:p>
      <w:pPr>
        <w:tabs>
          <w:tab w:val="right" w:leader="dot" w:pos="9062"/>
        </w:tabs>
        <w:ind w:left="440"/>
      </w:pPr>
      <w:hyperlink w:anchor="_Toc9708" w:history="1">
        <w:r>
          <w:rPr>
            <w:rFonts w:ascii="IRNazanin" w:hAnsi="IRNazanin" w:eastAsia="IRNazanin" w:cs="IRNazanin"/>
            <w:color w:val="111111"/>
            <w:sz w:val="22"/>
            <w:szCs w:val="22"/>
            <w:b w:val="0"/>
            <w:bCs w:val="0"/>
            <w:i w:val="0"/>
            <w:iCs w:val="0"/>
          </w:rPr>
          <w:t>8343- دیوان همدمی همدانی أو شعره‏</w:t>
        </w:r>
        <w:r>
          <w:tab/>
        </w:r>
        <w:r>
          <w:fldChar w:fldCharType="begin"/>
        </w:r>
        <w:r>
          <w:instrText xml:space="preserve">PAGEREF 9708 \h</w:instrText>
        </w:r>
        <w:r>
          <w:fldChar w:fldCharType="end"/>
        </w:r>
      </w:hyperlink>
    </w:p>
    <w:p>
      <w:pPr>
        <w:tabs>
          <w:tab w:val="right" w:leader="dot" w:pos="9062"/>
        </w:tabs>
        <w:ind w:left="440"/>
      </w:pPr>
      <w:hyperlink w:anchor="_Toc9709" w:history="1">
        <w:r>
          <w:rPr>
            <w:rFonts w:ascii="IRNazanin" w:hAnsi="IRNazanin" w:eastAsia="IRNazanin" w:cs="IRNazanin"/>
            <w:color w:val="111111"/>
            <w:sz w:val="22"/>
            <w:szCs w:val="22"/>
            <w:b w:val="0"/>
            <w:bCs w:val="0"/>
            <w:i w:val="0"/>
            <w:iCs w:val="0"/>
          </w:rPr>
          <w:t>دیوان همگر</w:t>
        </w:r>
        <w:r>
          <w:tab/>
        </w:r>
        <w:r>
          <w:fldChar w:fldCharType="begin"/>
        </w:r>
        <w:r>
          <w:instrText xml:space="preserve">PAGEREF 9709 \h</w:instrText>
        </w:r>
        <w:r>
          <w:fldChar w:fldCharType="end"/>
        </w:r>
      </w:hyperlink>
    </w:p>
    <w:p>
      <w:pPr>
        <w:tabs>
          <w:tab w:val="right" w:leader="dot" w:pos="9062"/>
        </w:tabs>
        <w:ind w:left="440"/>
      </w:pPr>
      <w:hyperlink w:anchor="_Toc9710" w:history="1">
        <w:r>
          <w:rPr>
            <w:rFonts w:ascii="IRNazanin" w:hAnsi="IRNazanin" w:eastAsia="IRNazanin" w:cs="IRNazanin"/>
            <w:color w:val="111111"/>
            <w:sz w:val="22"/>
            <w:szCs w:val="22"/>
            <w:b w:val="0"/>
            <w:bCs w:val="0"/>
            <w:i w:val="0"/>
            <w:iCs w:val="0"/>
          </w:rPr>
          <w:t>8344- دیوان هندال هندی‏</w:t>
        </w:r>
        <w:r>
          <w:tab/>
        </w:r>
        <w:r>
          <w:fldChar w:fldCharType="begin"/>
        </w:r>
        <w:r>
          <w:instrText xml:space="preserve">PAGEREF 9710 \h</w:instrText>
        </w:r>
        <w:r>
          <w:fldChar w:fldCharType="end"/>
        </w:r>
      </w:hyperlink>
    </w:p>
    <w:p>
      <w:pPr>
        <w:tabs>
          <w:tab w:val="right" w:leader="dot" w:pos="9062"/>
        </w:tabs>
        <w:ind w:left="440"/>
      </w:pPr>
      <w:hyperlink w:anchor="_Toc9711" w:history="1">
        <w:r>
          <w:rPr>
            <w:rFonts w:ascii="IRNazanin" w:hAnsi="IRNazanin" w:eastAsia="IRNazanin" w:cs="IRNazanin"/>
            <w:color w:val="111111"/>
            <w:sz w:val="22"/>
            <w:szCs w:val="22"/>
            <w:b w:val="0"/>
            <w:bCs w:val="0"/>
            <w:i w:val="0"/>
            <w:iCs w:val="0"/>
          </w:rPr>
          <w:t>8345- دیوان الهنداوی‏</w:t>
        </w:r>
        <w:r>
          <w:tab/>
        </w:r>
        <w:r>
          <w:fldChar w:fldCharType="begin"/>
        </w:r>
        <w:r>
          <w:instrText xml:space="preserve">PAGEREF 9711 \h</w:instrText>
        </w:r>
        <w:r>
          <w:fldChar w:fldCharType="end"/>
        </w:r>
      </w:hyperlink>
    </w:p>
    <w:p>
      <w:pPr>
        <w:tabs>
          <w:tab w:val="right" w:leader="dot" w:pos="9062"/>
        </w:tabs>
        <w:ind w:left="440"/>
      </w:pPr>
      <w:hyperlink w:anchor="_Toc9712" w:history="1">
        <w:r>
          <w:rPr>
            <w:rFonts w:ascii="IRNazanin" w:hAnsi="IRNazanin" w:eastAsia="IRNazanin" w:cs="IRNazanin"/>
            <w:color w:val="111111"/>
            <w:sz w:val="22"/>
            <w:szCs w:val="22"/>
            <w:b w:val="0"/>
            <w:bCs w:val="0"/>
            <w:i w:val="0"/>
            <w:iCs w:val="0"/>
          </w:rPr>
          <w:t>8346- دیوان هندی‏</w:t>
        </w:r>
        <w:r>
          <w:tab/>
        </w:r>
        <w:r>
          <w:fldChar w:fldCharType="begin"/>
        </w:r>
        <w:r>
          <w:instrText xml:space="preserve">PAGEREF 9712 \h</w:instrText>
        </w:r>
        <w:r>
          <w:fldChar w:fldCharType="end"/>
        </w:r>
      </w:hyperlink>
    </w:p>
    <w:p>
      <w:pPr>
        <w:tabs>
          <w:tab w:val="right" w:leader="dot" w:pos="9062"/>
        </w:tabs>
        <w:ind w:left="440"/>
      </w:pPr>
      <w:hyperlink w:anchor="_Toc9713" w:history="1">
        <w:r>
          <w:rPr>
            <w:rFonts w:ascii="IRNazanin" w:hAnsi="IRNazanin" w:eastAsia="IRNazanin" w:cs="IRNazanin"/>
            <w:color w:val="111111"/>
            <w:sz w:val="22"/>
            <w:szCs w:val="22"/>
            <w:b w:val="0"/>
            <w:bCs w:val="0"/>
            <w:i w:val="0"/>
            <w:iCs w:val="0"/>
          </w:rPr>
          <w:t>8347- دیوان هندو شاه‏</w:t>
        </w:r>
        <w:r>
          <w:tab/>
        </w:r>
        <w:r>
          <w:fldChar w:fldCharType="begin"/>
        </w:r>
        <w:r>
          <w:instrText xml:space="preserve">PAGEREF 9713 \h</w:instrText>
        </w:r>
        <w:r>
          <w:fldChar w:fldCharType="end"/>
        </w:r>
      </w:hyperlink>
    </w:p>
    <w:p>
      <w:pPr>
        <w:tabs>
          <w:tab w:val="right" w:leader="dot" w:pos="9062"/>
        </w:tabs>
        <w:ind w:left="440"/>
      </w:pPr>
      <w:hyperlink w:anchor="_Toc9714" w:history="1">
        <w:r>
          <w:rPr>
            <w:rFonts w:ascii="IRNazanin" w:hAnsi="IRNazanin" w:eastAsia="IRNazanin" w:cs="IRNazanin"/>
            <w:color w:val="111111"/>
            <w:sz w:val="22"/>
            <w:szCs w:val="22"/>
            <w:b w:val="0"/>
            <w:bCs w:val="0"/>
            <w:i w:val="0"/>
            <w:iCs w:val="0"/>
          </w:rPr>
          <w:t>8348- دیوان هنر الله‏آبادی أو شعره‏</w:t>
        </w:r>
        <w:r>
          <w:tab/>
        </w:r>
        <w:r>
          <w:fldChar w:fldCharType="begin"/>
        </w:r>
        <w:r>
          <w:instrText xml:space="preserve">PAGEREF 9714 \h</w:instrText>
        </w:r>
        <w:r>
          <w:fldChar w:fldCharType="end"/>
        </w:r>
      </w:hyperlink>
    </w:p>
    <w:p>
      <w:pPr>
        <w:tabs>
          <w:tab w:val="right" w:leader="dot" w:pos="9062"/>
        </w:tabs>
        <w:ind w:left="440"/>
      </w:pPr>
      <w:hyperlink w:anchor="_Toc9715" w:history="1">
        <w:r>
          <w:rPr>
            <w:rFonts w:ascii="IRNazanin" w:hAnsi="IRNazanin" w:eastAsia="IRNazanin" w:cs="IRNazanin"/>
            <w:color w:val="111111"/>
            <w:sz w:val="22"/>
            <w:szCs w:val="22"/>
            <w:b w:val="0"/>
            <w:bCs w:val="0"/>
            <w:i w:val="0"/>
            <w:iCs w:val="0"/>
          </w:rPr>
          <w:t>دیوان هنر تبریزی‏</w:t>
        </w:r>
        <w:r>
          <w:tab/>
        </w:r>
        <w:r>
          <w:fldChar w:fldCharType="begin"/>
        </w:r>
        <w:r>
          <w:instrText xml:space="preserve">PAGEREF 9715 \h</w:instrText>
        </w:r>
        <w:r>
          <w:fldChar w:fldCharType="end"/>
        </w:r>
      </w:hyperlink>
    </w:p>
    <w:p>
      <w:pPr>
        <w:tabs>
          <w:tab w:val="right" w:leader="dot" w:pos="9062"/>
        </w:tabs>
        <w:ind w:left="440"/>
      </w:pPr>
      <w:hyperlink w:anchor="_Toc9716" w:history="1">
        <w:r>
          <w:rPr>
            <w:rFonts w:ascii="IRNazanin" w:hAnsi="IRNazanin" w:eastAsia="IRNazanin" w:cs="IRNazanin"/>
            <w:color w:val="111111"/>
            <w:sz w:val="22"/>
            <w:szCs w:val="22"/>
            <w:b w:val="0"/>
            <w:bCs w:val="0"/>
            <w:i w:val="0"/>
            <w:iCs w:val="0"/>
          </w:rPr>
          <w:t>8349- دیوان هنر جندقی‏</w:t>
        </w:r>
        <w:r>
          <w:tab/>
        </w:r>
        <w:r>
          <w:fldChar w:fldCharType="begin"/>
        </w:r>
        <w:r>
          <w:instrText xml:space="preserve">PAGEREF 9716 \h</w:instrText>
        </w:r>
        <w:r>
          <w:fldChar w:fldCharType="end"/>
        </w:r>
      </w:hyperlink>
    </w:p>
    <w:p>
      <w:pPr>
        <w:tabs>
          <w:tab w:val="right" w:leader="dot" w:pos="9062"/>
        </w:tabs>
        <w:ind w:left="440"/>
      </w:pPr>
      <w:hyperlink w:anchor="_Toc9717" w:history="1">
        <w:r>
          <w:rPr>
            <w:rFonts w:ascii="IRNazanin" w:hAnsi="IRNazanin" w:eastAsia="IRNazanin" w:cs="IRNazanin"/>
            <w:color w:val="111111"/>
            <w:sz w:val="22"/>
            <w:szCs w:val="22"/>
            <w:b w:val="0"/>
            <w:bCs w:val="0"/>
            <w:i w:val="0"/>
            <w:iCs w:val="0"/>
          </w:rPr>
          <w:t>8350- دیوان هنر جهرمی أو شعره‏</w:t>
        </w:r>
        <w:r>
          <w:tab/>
        </w:r>
        <w:r>
          <w:fldChar w:fldCharType="begin"/>
        </w:r>
        <w:r>
          <w:instrText xml:space="preserve">PAGEREF 9717 \h</w:instrText>
        </w:r>
        <w:r>
          <w:fldChar w:fldCharType="end"/>
        </w:r>
      </w:hyperlink>
    </w:p>
    <w:p>
      <w:pPr>
        <w:tabs>
          <w:tab w:val="right" w:leader="dot" w:pos="9062"/>
        </w:tabs>
        <w:ind w:left="440"/>
      </w:pPr>
      <w:hyperlink w:anchor="_Toc9718" w:history="1">
        <w:r>
          <w:rPr>
            <w:rFonts w:ascii="IRNazanin" w:hAnsi="IRNazanin" w:eastAsia="IRNazanin" w:cs="IRNazanin"/>
            <w:color w:val="111111"/>
            <w:sz w:val="22"/>
            <w:szCs w:val="22"/>
            <w:b w:val="0"/>
            <w:bCs w:val="0"/>
            <w:i w:val="0"/>
            <w:iCs w:val="0"/>
          </w:rPr>
          <w:t>8351- دیوان هنر شاه‏جهان‏آبادی أو شعره‏</w:t>
        </w:r>
        <w:r>
          <w:tab/>
        </w:r>
        <w:r>
          <w:fldChar w:fldCharType="begin"/>
        </w:r>
        <w:r>
          <w:instrText xml:space="preserve">PAGEREF 9718 \h</w:instrText>
        </w:r>
        <w:r>
          <w:fldChar w:fldCharType="end"/>
        </w:r>
      </w:hyperlink>
    </w:p>
    <w:p>
      <w:pPr>
        <w:tabs>
          <w:tab w:val="right" w:leader="dot" w:pos="9062"/>
        </w:tabs>
        <w:ind w:left="440"/>
      </w:pPr>
      <w:hyperlink w:anchor="_Toc9719" w:history="1">
        <w:r>
          <w:rPr>
            <w:rFonts w:ascii="IRNazanin" w:hAnsi="IRNazanin" w:eastAsia="IRNazanin" w:cs="IRNazanin"/>
            <w:color w:val="111111"/>
            <w:sz w:val="22"/>
            <w:szCs w:val="22"/>
            <w:b w:val="0"/>
            <w:bCs w:val="0"/>
            <w:i w:val="0"/>
            <w:iCs w:val="0"/>
          </w:rPr>
          <w:t>8352- دیوان هند هنری أو شعره‏</w:t>
        </w:r>
        <w:r>
          <w:tab/>
        </w:r>
        <w:r>
          <w:fldChar w:fldCharType="begin"/>
        </w:r>
        <w:r>
          <w:instrText xml:space="preserve">PAGEREF 9719 \h</w:instrText>
        </w:r>
        <w:r>
          <w:fldChar w:fldCharType="end"/>
        </w:r>
      </w:hyperlink>
    </w:p>
    <w:p>
      <w:pPr>
        <w:tabs>
          <w:tab w:val="right" w:leader="dot" w:pos="9062"/>
        </w:tabs>
        <w:ind w:left="440"/>
      </w:pPr>
      <w:hyperlink w:anchor="_Toc9720" w:history="1">
        <w:r>
          <w:rPr>
            <w:rFonts w:ascii="IRNazanin" w:hAnsi="IRNazanin" w:eastAsia="IRNazanin" w:cs="IRNazanin"/>
            <w:color w:val="111111"/>
            <w:sz w:val="22"/>
            <w:szCs w:val="22"/>
            <w:b w:val="0"/>
            <w:bCs w:val="0"/>
            <w:i w:val="0"/>
            <w:iCs w:val="0"/>
          </w:rPr>
          <w:t>8353- دیوان هوائی تونی أو شعره‏</w:t>
        </w:r>
        <w:r>
          <w:tab/>
        </w:r>
        <w:r>
          <w:fldChar w:fldCharType="begin"/>
        </w:r>
        <w:r>
          <w:instrText xml:space="preserve">PAGEREF 9720 \h</w:instrText>
        </w:r>
        <w:r>
          <w:fldChar w:fldCharType="end"/>
        </w:r>
      </w:hyperlink>
    </w:p>
    <w:p>
      <w:pPr>
        <w:tabs>
          <w:tab w:val="right" w:leader="dot" w:pos="9062"/>
        </w:tabs>
        <w:ind w:left="440"/>
      </w:pPr>
      <w:hyperlink w:anchor="_Toc9721" w:history="1">
        <w:r>
          <w:rPr>
            <w:rFonts w:ascii="IRNazanin" w:hAnsi="IRNazanin" w:eastAsia="IRNazanin" w:cs="IRNazanin"/>
            <w:color w:val="111111"/>
            <w:sz w:val="22"/>
            <w:szCs w:val="22"/>
            <w:b w:val="0"/>
            <w:bCs w:val="0"/>
            <w:i w:val="0"/>
            <w:iCs w:val="0"/>
          </w:rPr>
          <w:t>8354- دیوان هوائی مشهدی‏</w:t>
        </w:r>
        <w:r>
          <w:tab/>
        </w:r>
        <w:r>
          <w:fldChar w:fldCharType="begin"/>
        </w:r>
        <w:r>
          <w:instrText xml:space="preserve">PAGEREF 9721 \h</w:instrText>
        </w:r>
        <w:r>
          <w:fldChar w:fldCharType="end"/>
        </w:r>
      </w:hyperlink>
    </w:p>
    <w:p>
      <w:pPr>
        <w:tabs>
          <w:tab w:val="right" w:leader="dot" w:pos="9062"/>
        </w:tabs>
        <w:ind w:left="440"/>
      </w:pPr>
      <w:hyperlink w:anchor="_Toc9722" w:history="1">
        <w:r>
          <w:rPr>
            <w:rFonts w:ascii="IRNazanin" w:hAnsi="IRNazanin" w:eastAsia="IRNazanin" w:cs="IRNazanin"/>
            <w:color w:val="111111"/>
            <w:sz w:val="22"/>
            <w:szCs w:val="22"/>
            <w:b w:val="0"/>
            <w:bCs w:val="0"/>
            <w:i w:val="0"/>
            <w:iCs w:val="0"/>
          </w:rPr>
          <w:t>8355- دیوان هوائی هندی أو شعره‏</w:t>
        </w:r>
        <w:r>
          <w:tab/>
        </w:r>
        <w:r>
          <w:fldChar w:fldCharType="begin"/>
        </w:r>
        <w:r>
          <w:instrText xml:space="preserve">PAGEREF 9722 \h</w:instrText>
        </w:r>
        <w:r>
          <w:fldChar w:fldCharType="end"/>
        </w:r>
      </w:hyperlink>
    </w:p>
    <w:p>
      <w:pPr>
        <w:tabs>
          <w:tab w:val="right" w:leader="dot" w:pos="9062"/>
        </w:tabs>
        <w:ind w:left="440"/>
      </w:pPr>
      <w:hyperlink w:anchor="_Toc9723" w:history="1">
        <w:r>
          <w:rPr>
            <w:rFonts w:ascii="IRNazanin" w:hAnsi="IRNazanin" w:eastAsia="IRNazanin" w:cs="IRNazanin"/>
            <w:color w:val="111111"/>
            <w:sz w:val="22"/>
            <w:szCs w:val="22"/>
            <w:b w:val="0"/>
            <w:bCs w:val="0"/>
            <w:i w:val="0"/>
            <w:iCs w:val="0"/>
          </w:rPr>
          <w:t>8356- دیوان هور أصفهانی‏</w:t>
        </w:r>
        <w:r>
          <w:tab/>
        </w:r>
        <w:r>
          <w:fldChar w:fldCharType="begin"/>
        </w:r>
        <w:r>
          <w:instrText xml:space="preserve">PAGEREF 9723 \h</w:instrText>
        </w:r>
        <w:r>
          <w:fldChar w:fldCharType="end"/>
        </w:r>
      </w:hyperlink>
    </w:p>
    <w:p>
      <w:pPr>
        <w:tabs>
          <w:tab w:val="right" w:leader="dot" w:pos="9062"/>
        </w:tabs>
        <w:ind w:left="440"/>
      </w:pPr>
      <w:hyperlink w:anchor="_Toc9724" w:history="1">
        <w:r>
          <w:rPr>
            <w:rFonts w:ascii="IRNazanin" w:hAnsi="IRNazanin" w:eastAsia="IRNazanin" w:cs="IRNazanin"/>
            <w:color w:val="111111"/>
            <w:sz w:val="22"/>
            <w:szCs w:val="22"/>
            <w:b w:val="0"/>
            <w:bCs w:val="0"/>
            <w:i w:val="0"/>
            <w:iCs w:val="0"/>
          </w:rPr>
          <w:t>8357- دیوان هوس جندقی أو شعره‏</w:t>
        </w:r>
        <w:r>
          <w:tab/>
        </w:r>
        <w:r>
          <w:fldChar w:fldCharType="begin"/>
        </w:r>
        <w:r>
          <w:instrText xml:space="preserve">PAGEREF 9724 \h</w:instrText>
        </w:r>
        <w:r>
          <w:fldChar w:fldCharType="end"/>
        </w:r>
      </w:hyperlink>
    </w:p>
    <w:p>
      <w:pPr>
        <w:tabs>
          <w:tab w:val="right" w:leader="dot" w:pos="9062"/>
        </w:tabs>
        <w:ind w:left="440"/>
      </w:pPr>
      <w:hyperlink w:anchor="_Toc9725" w:history="1">
        <w:r>
          <w:rPr>
            <w:rFonts w:ascii="IRNazanin" w:hAnsi="IRNazanin" w:eastAsia="IRNazanin" w:cs="IRNazanin"/>
            <w:color w:val="111111"/>
            <w:sz w:val="22"/>
            <w:szCs w:val="22"/>
            <w:b w:val="0"/>
            <w:bCs w:val="0"/>
            <w:i w:val="0"/>
            <w:iCs w:val="0"/>
          </w:rPr>
          <w:t>8358- دیوان هوس هندی‏</w:t>
        </w:r>
        <w:r>
          <w:tab/>
        </w:r>
        <w:r>
          <w:fldChar w:fldCharType="begin"/>
        </w:r>
        <w:r>
          <w:instrText xml:space="preserve">PAGEREF 9725 \h</w:instrText>
        </w:r>
        <w:r>
          <w:fldChar w:fldCharType="end"/>
        </w:r>
      </w:hyperlink>
    </w:p>
    <w:p>
      <w:pPr>
        <w:tabs>
          <w:tab w:val="right" w:leader="dot" w:pos="9062"/>
        </w:tabs>
        <w:ind w:left="440"/>
      </w:pPr>
      <w:hyperlink w:anchor="_Toc9726" w:history="1">
        <w:r>
          <w:rPr>
            <w:rFonts w:ascii="IRNazanin" w:hAnsi="IRNazanin" w:eastAsia="IRNazanin" w:cs="IRNazanin"/>
            <w:color w:val="111111"/>
            <w:sz w:val="22"/>
            <w:szCs w:val="22"/>
            <w:b w:val="0"/>
            <w:bCs w:val="0"/>
            <w:i w:val="0"/>
            <w:iCs w:val="0"/>
          </w:rPr>
          <w:t>8359- دیوان هوشنگ ابتهاج‏</w:t>
        </w:r>
        <w:r>
          <w:tab/>
        </w:r>
        <w:r>
          <w:fldChar w:fldCharType="begin"/>
        </w:r>
        <w:r>
          <w:instrText xml:space="preserve">PAGEREF 9726 \h</w:instrText>
        </w:r>
        <w:r>
          <w:fldChar w:fldCharType="end"/>
        </w:r>
      </w:hyperlink>
    </w:p>
    <w:p>
      <w:pPr>
        <w:tabs>
          <w:tab w:val="right" w:leader="dot" w:pos="9062"/>
        </w:tabs>
        <w:ind w:left="440"/>
      </w:pPr>
      <w:hyperlink w:anchor="_Toc9727" w:history="1">
        <w:r>
          <w:rPr>
            <w:rFonts w:ascii="IRNazanin" w:hAnsi="IRNazanin" w:eastAsia="IRNazanin" w:cs="IRNazanin"/>
            <w:color w:val="111111"/>
            <w:sz w:val="22"/>
            <w:szCs w:val="22"/>
            <w:b w:val="0"/>
            <w:bCs w:val="0"/>
            <w:i w:val="0"/>
            <w:iCs w:val="0"/>
          </w:rPr>
          <w:t>8360- دیوان هوشی خراسانی أو شعره‏</w:t>
        </w:r>
        <w:r>
          <w:tab/>
        </w:r>
        <w:r>
          <w:fldChar w:fldCharType="begin"/>
        </w:r>
        <w:r>
          <w:instrText xml:space="preserve">PAGEREF 9727 \h</w:instrText>
        </w:r>
        <w:r>
          <w:fldChar w:fldCharType="end"/>
        </w:r>
      </w:hyperlink>
    </w:p>
    <w:p>
      <w:pPr>
        <w:tabs>
          <w:tab w:val="right" w:leader="dot" w:pos="9062"/>
        </w:tabs>
        <w:ind w:left="440"/>
      </w:pPr>
      <w:hyperlink w:anchor="_Toc9728" w:history="1">
        <w:r>
          <w:rPr>
            <w:rFonts w:ascii="IRNazanin" w:hAnsi="IRNazanin" w:eastAsia="IRNazanin" w:cs="IRNazanin"/>
            <w:color w:val="111111"/>
            <w:sz w:val="22"/>
            <w:szCs w:val="22"/>
            <w:b w:val="0"/>
            <w:bCs w:val="0"/>
            <w:i w:val="0"/>
            <w:iCs w:val="0"/>
          </w:rPr>
          <w:t>8361- دیوان هوشی سنقری أو شعره‏</w:t>
        </w:r>
        <w:r>
          <w:tab/>
        </w:r>
        <w:r>
          <w:fldChar w:fldCharType="begin"/>
        </w:r>
        <w:r>
          <w:instrText xml:space="preserve">PAGEREF 9728 \h</w:instrText>
        </w:r>
        <w:r>
          <w:fldChar w:fldCharType="end"/>
        </w:r>
      </w:hyperlink>
    </w:p>
    <w:p>
      <w:pPr>
        <w:tabs>
          <w:tab w:val="right" w:leader="dot" w:pos="9062"/>
        </w:tabs>
        <w:ind w:left="440"/>
      </w:pPr>
      <w:hyperlink w:anchor="_Toc9729" w:history="1">
        <w:r>
          <w:rPr>
            <w:rFonts w:ascii="IRNazanin" w:hAnsi="IRNazanin" w:eastAsia="IRNazanin" w:cs="IRNazanin"/>
            <w:color w:val="111111"/>
            <w:sz w:val="22"/>
            <w:szCs w:val="22"/>
            <w:b w:val="0"/>
            <w:bCs w:val="0"/>
            <w:i w:val="0"/>
            <w:iCs w:val="0"/>
          </w:rPr>
          <w:t>8362- دیوان هوشی شیرازی أو شعره‏</w:t>
        </w:r>
        <w:r>
          <w:tab/>
        </w:r>
        <w:r>
          <w:fldChar w:fldCharType="begin"/>
        </w:r>
        <w:r>
          <w:instrText xml:space="preserve">PAGEREF 9729 \h</w:instrText>
        </w:r>
        <w:r>
          <w:fldChar w:fldCharType="end"/>
        </w:r>
      </w:hyperlink>
    </w:p>
    <w:p>
      <w:pPr>
        <w:tabs>
          <w:tab w:val="right" w:leader="dot" w:pos="9062"/>
        </w:tabs>
        <w:ind w:left="440"/>
      </w:pPr>
      <w:hyperlink w:anchor="_Toc9730" w:history="1">
        <w:r>
          <w:rPr>
            <w:rFonts w:ascii="IRNazanin" w:hAnsi="IRNazanin" w:eastAsia="IRNazanin" w:cs="IRNazanin"/>
            <w:color w:val="111111"/>
            <w:sz w:val="22"/>
            <w:szCs w:val="22"/>
            <w:b w:val="0"/>
            <w:bCs w:val="0"/>
            <w:i w:val="0"/>
            <w:iCs w:val="0"/>
          </w:rPr>
          <w:t>دیوان هوشی همدانی‏</w:t>
        </w:r>
        <w:r>
          <w:tab/>
        </w:r>
        <w:r>
          <w:fldChar w:fldCharType="begin"/>
        </w:r>
        <w:r>
          <w:instrText xml:space="preserve">PAGEREF 9730 \h</w:instrText>
        </w:r>
        <w:r>
          <w:fldChar w:fldCharType="end"/>
        </w:r>
      </w:hyperlink>
    </w:p>
    <w:p>
      <w:pPr>
        <w:tabs>
          <w:tab w:val="right" w:leader="dot" w:pos="9062"/>
        </w:tabs>
        <w:ind w:left="440"/>
      </w:pPr>
      <w:hyperlink w:anchor="_Toc9731" w:history="1">
        <w:r>
          <w:rPr>
            <w:rFonts w:ascii="IRNazanin" w:hAnsi="IRNazanin" w:eastAsia="IRNazanin" w:cs="IRNazanin"/>
            <w:color w:val="111111"/>
            <w:sz w:val="22"/>
            <w:szCs w:val="22"/>
            <w:b w:val="0"/>
            <w:bCs w:val="0"/>
            <w:i w:val="0"/>
            <w:iCs w:val="0"/>
          </w:rPr>
          <w:t>8363- دیوان هیبت أصفهانی أو شعره‏</w:t>
        </w:r>
        <w:r>
          <w:tab/>
        </w:r>
        <w:r>
          <w:fldChar w:fldCharType="begin"/>
        </w:r>
        <w:r>
          <w:instrText xml:space="preserve">PAGEREF 9731 \h</w:instrText>
        </w:r>
        <w:r>
          <w:fldChar w:fldCharType="end"/>
        </w:r>
      </w:hyperlink>
    </w:p>
    <w:p>
      <w:pPr>
        <w:tabs>
          <w:tab w:val="right" w:leader="dot" w:pos="9062"/>
        </w:tabs>
        <w:ind w:left="440"/>
      </w:pPr>
      <w:hyperlink w:anchor="_Toc9732" w:history="1">
        <w:r>
          <w:rPr>
            <w:rFonts w:ascii="IRNazanin" w:hAnsi="IRNazanin" w:eastAsia="IRNazanin" w:cs="IRNazanin"/>
            <w:color w:val="111111"/>
            <w:sz w:val="22"/>
            <w:szCs w:val="22"/>
            <w:b w:val="0"/>
            <w:bCs w:val="0"/>
            <w:i w:val="0"/>
            <w:iCs w:val="0"/>
          </w:rPr>
          <w:t>دیوان هیبت کاشی‏</w:t>
        </w:r>
        <w:r>
          <w:tab/>
        </w:r>
        <w:r>
          <w:fldChar w:fldCharType="begin"/>
        </w:r>
        <w:r>
          <w:instrText xml:space="preserve">PAGEREF 9732 \h</w:instrText>
        </w:r>
        <w:r>
          <w:fldChar w:fldCharType="end"/>
        </w:r>
      </w:hyperlink>
    </w:p>
    <w:p>
      <w:pPr>
        <w:tabs>
          <w:tab w:val="right" w:leader="dot" w:pos="9062"/>
        </w:tabs>
        <w:ind w:left="440"/>
      </w:pPr>
      <w:hyperlink w:anchor="_Toc9733" w:history="1">
        <w:r>
          <w:rPr>
            <w:rFonts w:ascii="IRNazanin" w:hAnsi="IRNazanin" w:eastAsia="IRNazanin" w:cs="IRNazanin"/>
            <w:color w:val="111111"/>
            <w:sz w:val="22"/>
            <w:szCs w:val="22"/>
            <w:b w:val="0"/>
            <w:bCs w:val="0"/>
            <w:i w:val="0"/>
            <w:iCs w:val="0"/>
          </w:rPr>
          <w:t>8364- دیوان هیدجی‏</w:t>
        </w:r>
        <w:r>
          <w:tab/>
        </w:r>
        <w:r>
          <w:fldChar w:fldCharType="begin"/>
        </w:r>
        <w:r>
          <w:instrText xml:space="preserve">PAGEREF 9733 \h</w:instrText>
        </w:r>
        <w:r>
          <w:fldChar w:fldCharType="end"/>
        </w:r>
      </w:hyperlink>
    </w:p>
    <w:p>
      <w:pPr>
        <w:tabs>
          <w:tab w:val="right" w:leader="dot" w:pos="9062"/>
        </w:tabs>
        <w:ind w:left="440"/>
      </w:pPr>
      <w:hyperlink w:anchor="_Toc9734" w:history="1">
        <w:r>
          <w:rPr>
            <w:rFonts w:ascii="IRNazanin" w:hAnsi="IRNazanin" w:eastAsia="IRNazanin" w:cs="IRNazanin"/>
            <w:color w:val="111111"/>
            <w:sz w:val="22"/>
            <w:szCs w:val="22"/>
            <w:b w:val="0"/>
            <w:bCs w:val="0"/>
            <w:i w:val="0"/>
            <w:iCs w:val="0"/>
          </w:rPr>
          <w:t>ی‏</w:t>
        </w:r>
        <w:r>
          <w:tab/>
        </w:r>
        <w:r>
          <w:fldChar w:fldCharType="begin"/>
        </w:r>
        <w:r>
          <w:instrText xml:space="preserve">PAGEREF 9734 \h</w:instrText>
        </w:r>
        <w:r>
          <w:fldChar w:fldCharType="end"/>
        </w:r>
      </w:hyperlink>
    </w:p>
    <w:p>
      <w:pPr>
        <w:tabs>
          <w:tab w:val="right" w:leader="dot" w:pos="9062"/>
        </w:tabs>
        <w:ind w:left="440"/>
      </w:pPr>
      <w:hyperlink w:anchor="_Toc9735" w:history="1">
        <w:r>
          <w:rPr>
            <w:rFonts w:ascii="IRNazanin" w:hAnsi="IRNazanin" w:eastAsia="IRNazanin" w:cs="IRNazanin"/>
            <w:color w:val="111111"/>
            <w:sz w:val="22"/>
            <w:szCs w:val="22"/>
            <w:b w:val="0"/>
            <w:bCs w:val="0"/>
            <w:i w:val="0"/>
            <w:iCs w:val="0"/>
          </w:rPr>
          <w:t>8365- دیوان یادگار بیگ أو شعره‏</w:t>
        </w:r>
        <w:r>
          <w:tab/>
        </w:r>
        <w:r>
          <w:fldChar w:fldCharType="begin"/>
        </w:r>
        <w:r>
          <w:instrText xml:space="preserve">PAGEREF 9735 \h</w:instrText>
        </w:r>
        <w:r>
          <w:fldChar w:fldCharType="end"/>
        </w:r>
      </w:hyperlink>
    </w:p>
    <w:p>
      <w:pPr>
        <w:tabs>
          <w:tab w:val="right" w:leader="dot" w:pos="9062"/>
        </w:tabs>
        <w:ind w:left="440"/>
      </w:pPr>
      <w:hyperlink w:anchor="_Toc9736" w:history="1">
        <w:r>
          <w:rPr>
            <w:rFonts w:ascii="IRNazanin" w:hAnsi="IRNazanin" w:eastAsia="IRNazanin" w:cs="IRNazanin"/>
            <w:color w:val="111111"/>
            <w:sz w:val="22"/>
            <w:szCs w:val="22"/>
            <w:b w:val="0"/>
            <w:bCs w:val="0"/>
            <w:i w:val="0"/>
            <w:iCs w:val="0"/>
          </w:rPr>
          <w:t>دیوان یادگار خراسانی‏</w:t>
        </w:r>
        <w:r>
          <w:tab/>
        </w:r>
        <w:r>
          <w:fldChar w:fldCharType="begin"/>
        </w:r>
        <w:r>
          <w:instrText xml:space="preserve">PAGEREF 9736 \h</w:instrText>
        </w:r>
        <w:r>
          <w:fldChar w:fldCharType="end"/>
        </w:r>
      </w:hyperlink>
    </w:p>
    <w:p>
      <w:pPr>
        <w:tabs>
          <w:tab w:val="right" w:leader="dot" w:pos="9062"/>
        </w:tabs>
        <w:ind w:left="440"/>
      </w:pPr>
      <w:hyperlink w:anchor="_Toc9737" w:history="1">
        <w:r>
          <w:rPr>
            <w:rFonts w:ascii="IRNazanin" w:hAnsi="IRNazanin" w:eastAsia="IRNazanin" w:cs="IRNazanin"/>
            <w:color w:val="111111"/>
            <w:sz w:val="22"/>
            <w:szCs w:val="22"/>
            <w:b w:val="0"/>
            <w:bCs w:val="0"/>
            <w:i w:val="0"/>
            <w:iCs w:val="0"/>
          </w:rPr>
          <w:t>8366- دیوان یارأحمد تبریزی أو شعره‏</w:t>
        </w:r>
        <w:r>
          <w:tab/>
        </w:r>
        <w:r>
          <w:fldChar w:fldCharType="begin"/>
        </w:r>
        <w:r>
          <w:instrText xml:space="preserve">PAGEREF 9737 \h</w:instrText>
        </w:r>
        <w:r>
          <w:fldChar w:fldCharType="end"/>
        </w:r>
      </w:hyperlink>
    </w:p>
    <w:p>
      <w:pPr>
        <w:tabs>
          <w:tab w:val="right" w:leader="dot" w:pos="9062"/>
        </w:tabs>
        <w:ind w:left="440"/>
      </w:pPr>
      <w:hyperlink w:anchor="_Toc9738" w:history="1">
        <w:r>
          <w:rPr>
            <w:rFonts w:ascii="IRNazanin" w:hAnsi="IRNazanin" w:eastAsia="IRNazanin" w:cs="IRNazanin"/>
            <w:color w:val="111111"/>
            <w:sz w:val="22"/>
            <w:szCs w:val="22"/>
            <w:b w:val="0"/>
            <w:bCs w:val="0"/>
            <w:i w:val="0"/>
            <w:iCs w:val="0"/>
          </w:rPr>
          <w:t>8367- دیوان یار اورنگ‏آبادی أو شعره‏</w:t>
        </w:r>
        <w:r>
          <w:tab/>
        </w:r>
        <w:r>
          <w:fldChar w:fldCharType="begin"/>
        </w:r>
        <w:r>
          <w:instrText xml:space="preserve">PAGEREF 9738 \h</w:instrText>
        </w:r>
        <w:r>
          <w:fldChar w:fldCharType="end"/>
        </w:r>
      </w:hyperlink>
    </w:p>
    <w:p>
      <w:pPr>
        <w:tabs>
          <w:tab w:val="right" w:leader="dot" w:pos="9062"/>
        </w:tabs>
        <w:ind w:left="440"/>
      </w:pPr>
      <w:hyperlink w:anchor="_Toc9739" w:history="1">
        <w:r>
          <w:rPr>
            <w:rFonts w:ascii="IRNazanin" w:hAnsi="IRNazanin" w:eastAsia="IRNazanin" w:cs="IRNazanin"/>
            <w:color w:val="111111"/>
            <w:sz w:val="22"/>
            <w:szCs w:val="22"/>
            <w:b w:val="0"/>
            <w:bCs w:val="0"/>
            <w:i w:val="0"/>
            <w:iCs w:val="0"/>
          </w:rPr>
          <w:t>8368- دیوان یارعلی شیرازی‏</w:t>
        </w:r>
        <w:r>
          <w:tab/>
        </w:r>
        <w:r>
          <w:fldChar w:fldCharType="begin"/>
        </w:r>
        <w:r>
          <w:instrText xml:space="preserve">PAGEREF 9739 \h</w:instrText>
        </w:r>
        <w:r>
          <w:fldChar w:fldCharType="end"/>
        </w:r>
      </w:hyperlink>
    </w:p>
    <w:p>
      <w:pPr>
        <w:tabs>
          <w:tab w:val="right" w:leader="dot" w:pos="9062"/>
        </w:tabs>
        <w:ind w:left="440"/>
      </w:pPr>
      <w:hyperlink w:anchor="_Toc9740" w:history="1">
        <w:r>
          <w:rPr>
            <w:rFonts w:ascii="IRNazanin" w:hAnsi="IRNazanin" w:eastAsia="IRNazanin" w:cs="IRNazanin"/>
            <w:color w:val="111111"/>
            <w:sz w:val="22"/>
            <w:szCs w:val="22"/>
            <w:b w:val="0"/>
            <w:bCs w:val="0"/>
            <w:i w:val="0"/>
            <w:iCs w:val="0"/>
          </w:rPr>
          <w:t>8369- دیوان یارعلی طهرانی أو شعره‏</w:t>
        </w:r>
        <w:r>
          <w:tab/>
        </w:r>
        <w:r>
          <w:fldChar w:fldCharType="begin"/>
        </w:r>
        <w:r>
          <w:instrText xml:space="preserve">PAGEREF 9740 \h</w:instrText>
        </w:r>
        <w:r>
          <w:fldChar w:fldCharType="end"/>
        </w:r>
      </w:hyperlink>
    </w:p>
    <w:p>
      <w:pPr>
        <w:tabs>
          <w:tab w:val="right" w:leader="dot" w:pos="9062"/>
        </w:tabs>
        <w:ind w:left="440"/>
      </w:pPr>
      <w:hyperlink w:anchor="_Toc9741" w:history="1">
        <w:r>
          <w:rPr>
            <w:rFonts w:ascii="IRNazanin" w:hAnsi="IRNazanin" w:eastAsia="IRNazanin" w:cs="IRNazanin"/>
            <w:color w:val="111111"/>
            <w:sz w:val="22"/>
            <w:szCs w:val="22"/>
            <w:b w:val="0"/>
            <w:bCs w:val="0"/>
            <w:i w:val="0"/>
            <w:iCs w:val="0"/>
          </w:rPr>
          <w:t>8370- دیوان یارک قزوینی أو شعره‏</w:t>
        </w:r>
        <w:r>
          <w:tab/>
        </w:r>
        <w:r>
          <w:fldChar w:fldCharType="begin"/>
        </w:r>
        <w:r>
          <w:instrText xml:space="preserve">PAGEREF 9741 \h</w:instrText>
        </w:r>
        <w:r>
          <w:fldChar w:fldCharType="end"/>
        </w:r>
      </w:hyperlink>
    </w:p>
    <w:p>
      <w:pPr>
        <w:tabs>
          <w:tab w:val="right" w:leader="dot" w:pos="9062"/>
        </w:tabs>
        <w:ind w:left="440"/>
      </w:pPr>
      <w:hyperlink w:anchor="_Toc9742" w:history="1">
        <w:r>
          <w:rPr>
            <w:rFonts w:ascii="IRNazanin" w:hAnsi="IRNazanin" w:eastAsia="IRNazanin" w:cs="IRNazanin"/>
            <w:color w:val="111111"/>
            <w:sz w:val="22"/>
            <w:szCs w:val="22"/>
            <w:b w:val="0"/>
            <w:bCs w:val="0"/>
            <w:i w:val="0"/>
            <w:iCs w:val="0"/>
          </w:rPr>
          <w:t>8371- دیوان یارمحمد أو شعره‏</w:t>
        </w:r>
        <w:r>
          <w:tab/>
        </w:r>
        <w:r>
          <w:fldChar w:fldCharType="begin"/>
        </w:r>
        <w:r>
          <w:instrText xml:space="preserve">PAGEREF 9742 \h</w:instrText>
        </w:r>
        <w:r>
          <w:fldChar w:fldCharType="end"/>
        </w:r>
      </w:hyperlink>
    </w:p>
    <w:p>
      <w:pPr>
        <w:tabs>
          <w:tab w:val="right" w:leader="dot" w:pos="9062"/>
        </w:tabs>
        <w:ind w:left="440"/>
      </w:pPr>
      <w:hyperlink w:anchor="_Toc9743" w:history="1">
        <w:r>
          <w:rPr>
            <w:rFonts w:ascii="IRNazanin" w:hAnsi="IRNazanin" w:eastAsia="IRNazanin" w:cs="IRNazanin"/>
            <w:color w:val="111111"/>
            <w:sz w:val="22"/>
            <w:szCs w:val="22"/>
            <w:b w:val="0"/>
            <w:bCs w:val="0"/>
            <w:i w:val="0"/>
            <w:iCs w:val="0"/>
          </w:rPr>
          <w:t>8372- دیوان یاری أسترآبادی أو شعره‏</w:t>
        </w:r>
        <w:r>
          <w:tab/>
        </w:r>
        <w:r>
          <w:fldChar w:fldCharType="begin"/>
        </w:r>
        <w:r>
          <w:instrText xml:space="preserve">PAGEREF 9743 \h</w:instrText>
        </w:r>
        <w:r>
          <w:fldChar w:fldCharType="end"/>
        </w:r>
      </w:hyperlink>
    </w:p>
    <w:p>
      <w:pPr>
        <w:tabs>
          <w:tab w:val="right" w:leader="dot" w:pos="9062"/>
        </w:tabs>
        <w:ind w:left="440"/>
      </w:pPr>
      <w:hyperlink w:anchor="_Toc9744" w:history="1">
        <w:r>
          <w:rPr>
            <w:rFonts w:ascii="IRNazanin" w:hAnsi="IRNazanin" w:eastAsia="IRNazanin" w:cs="IRNazanin"/>
            <w:color w:val="111111"/>
            <w:sz w:val="22"/>
            <w:szCs w:val="22"/>
            <w:b w:val="0"/>
            <w:bCs w:val="0"/>
            <w:i w:val="0"/>
            <w:iCs w:val="0"/>
          </w:rPr>
          <w:t>8373- دیوان یاری أصفهانی أو شعره‏</w:t>
        </w:r>
        <w:r>
          <w:tab/>
        </w:r>
        <w:r>
          <w:fldChar w:fldCharType="begin"/>
        </w:r>
        <w:r>
          <w:instrText xml:space="preserve">PAGEREF 9744 \h</w:instrText>
        </w:r>
        <w:r>
          <w:fldChar w:fldCharType="end"/>
        </w:r>
      </w:hyperlink>
    </w:p>
    <w:p>
      <w:pPr>
        <w:tabs>
          <w:tab w:val="right" w:leader="dot" w:pos="9062"/>
        </w:tabs>
        <w:ind w:left="440"/>
      </w:pPr>
      <w:hyperlink w:anchor="_Toc9745" w:history="1">
        <w:r>
          <w:rPr>
            <w:rFonts w:ascii="IRNazanin" w:hAnsi="IRNazanin" w:eastAsia="IRNazanin" w:cs="IRNazanin"/>
            <w:color w:val="111111"/>
            <w:sz w:val="22"/>
            <w:szCs w:val="22"/>
            <w:b w:val="0"/>
            <w:bCs w:val="0"/>
            <w:i w:val="0"/>
            <w:iCs w:val="0"/>
          </w:rPr>
          <w:t>8374- دیوان یاری بلخی أو شعره‏</w:t>
        </w:r>
        <w:r>
          <w:tab/>
        </w:r>
        <w:r>
          <w:fldChar w:fldCharType="begin"/>
        </w:r>
        <w:r>
          <w:instrText xml:space="preserve">PAGEREF 9745 \h</w:instrText>
        </w:r>
        <w:r>
          <w:fldChar w:fldCharType="end"/>
        </w:r>
      </w:hyperlink>
    </w:p>
    <w:p>
      <w:pPr>
        <w:tabs>
          <w:tab w:val="right" w:leader="dot" w:pos="9062"/>
        </w:tabs>
        <w:ind w:left="440"/>
      </w:pPr>
      <w:hyperlink w:anchor="_Toc9746" w:history="1">
        <w:r>
          <w:rPr>
            <w:rFonts w:ascii="IRNazanin" w:hAnsi="IRNazanin" w:eastAsia="IRNazanin" w:cs="IRNazanin"/>
            <w:color w:val="111111"/>
            <w:sz w:val="22"/>
            <w:szCs w:val="22"/>
            <w:b w:val="0"/>
            <w:bCs w:val="0"/>
            <w:i w:val="0"/>
            <w:iCs w:val="0"/>
          </w:rPr>
          <w:t>8375- دیوان یاری تبریزی أو شعره‏</w:t>
        </w:r>
        <w:r>
          <w:tab/>
        </w:r>
        <w:r>
          <w:fldChar w:fldCharType="begin"/>
        </w:r>
        <w:r>
          <w:instrText xml:space="preserve">PAGEREF 9746 \h</w:instrText>
        </w:r>
        <w:r>
          <w:fldChar w:fldCharType="end"/>
        </w:r>
      </w:hyperlink>
    </w:p>
    <w:p>
      <w:pPr>
        <w:tabs>
          <w:tab w:val="right" w:leader="dot" w:pos="9062"/>
        </w:tabs>
        <w:ind w:left="440"/>
      </w:pPr>
      <w:hyperlink w:anchor="_Toc9747" w:history="1">
        <w:r>
          <w:rPr>
            <w:rFonts w:ascii="IRNazanin" w:hAnsi="IRNazanin" w:eastAsia="IRNazanin" w:cs="IRNazanin"/>
            <w:color w:val="111111"/>
            <w:sz w:val="22"/>
            <w:szCs w:val="22"/>
            <w:b w:val="0"/>
            <w:bCs w:val="0"/>
            <w:i w:val="0"/>
            <w:iCs w:val="0"/>
          </w:rPr>
          <w:t>دیوان یاری حافظ</w:t>
        </w:r>
        <w:r>
          <w:tab/>
        </w:r>
        <w:r>
          <w:fldChar w:fldCharType="begin"/>
        </w:r>
        <w:r>
          <w:instrText xml:space="preserve">PAGEREF 9747 \h</w:instrText>
        </w:r>
        <w:r>
          <w:fldChar w:fldCharType="end"/>
        </w:r>
      </w:hyperlink>
    </w:p>
    <w:p>
      <w:pPr>
        <w:tabs>
          <w:tab w:val="right" w:leader="dot" w:pos="9062"/>
        </w:tabs>
        <w:ind w:left="440"/>
      </w:pPr>
      <w:hyperlink w:anchor="_Toc9748" w:history="1">
        <w:r>
          <w:rPr>
            <w:rFonts w:ascii="IRNazanin" w:hAnsi="IRNazanin" w:eastAsia="IRNazanin" w:cs="IRNazanin"/>
            <w:color w:val="111111"/>
            <w:sz w:val="22"/>
            <w:szCs w:val="22"/>
            <w:b w:val="0"/>
            <w:bCs w:val="0"/>
            <w:i w:val="0"/>
            <w:iCs w:val="0"/>
          </w:rPr>
          <w:t>دیوان یاری خراسانی‏</w:t>
        </w:r>
        <w:r>
          <w:tab/>
        </w:r>
        <w:r>
          <w:fldChar w:fldCharType="begin"/>
        </w:r>
        <w:r>
          <w:instrText xml:space="preserve">PAGEREF 9748 \h</w:instrText>
        </w:r>
        <w:r>
          <w:fldChar w:fldCharType="end"/>
        </w:r>
      </w:hyperlink>
    </w:p>
    <w:p>
      <w:pPr>
        <w:tabs>
          <w:tab w:val="right" w:leader="dot" w:pos="9062"/>
        </w:tabs>
        <w:ind w:left="440"/>
      </w:pPr>
      <w:hyperlink w:anchor="_Toc9749" w:history="1">
        <w:r>
          <w:rPr>
            <w:rFonts w:ascii="IRNazanin" w:hAnsi="IRNazanin" w:eastAsia="IRNazanin" w:cs="IRNazanin"/>
            <w:color w:val="111111"/>
            <w:sz w:val="22"/>
            <w:szCs w:val="22"/>
            <w:b w:val="0"/>
            <w:bCs w:val="0"/>
            <w:i w:val="0"/>
            <w:iCs w:val="0"/>
          </w:rPr>
          <w:t>8376- دیوان یاری شیرازی أو شعره‏</w:t>
        </w:r>
        <w:r>
          <w:tab/>
        </w:r>
        <w:r>
          <w:fldChar w:fldCharType="begin"/>
        </w:r>
        <w:r>
          <w:instrText xml:space="preserve">PAGEREF 9749 \h</w:instrText>
        </w:r>
        <w:r>
          <w:fldChar w:fldCharType="end"/>
        </w:r>
      </w:hyperlink>
    </w:p>
    <w:p>
      <w:pPr>
        <w:tabs>
          <w:tab w:val="right" w:leader="dot" w:pos="9062"/>
        </w:tabs>
        <w:ind w:left="440"/>
      </w:pPr>
      <w:hyperlink w:anchor="_Toc9750" w:history="1">
        <w:r>
          <w:rPr>
            <w:rFonts w:ascii="IRNazanin" w:hAnsi="IRNazanin" w:eastAsia="IRNazanin" w:cs="IRNazanin"/>
            <w:color w:val="111111"/>
            <w:sz w:val="22"/>
            <w:szCs w:val="22"/>
            <w:b w:val="0"/>
            <w:bCs w:val="0"/>
            <w:i w:val="0"/>
            <w:iCs w:val="0"/>
          </w:rPr>
          <w:t>8377- دیوان یاری هروی أو شعره‏</w:t>
        </w:r>
        <w:r>
          <w:tab/>
        </w:r>
        <w:r>
          <w:fldChar w:fldCharType="begin"/>
        </w:r>
        <w:r>
          <w:instrText xml:space="preserve">PAGEREF 9750 \h</w:instrText>
        </w:r>
        <w:r>
          <w:fldChar w:fldCharType="end"/>
        </w:r>
      </w:hyperlink>
    </w:p>
    <w:p>
      <w:pPr>
        <w:tabs>
          <w:tab w:val="right" w:leader="dot" w:pos="9062"/>
        </w:tabs>
        <w:ind w:left="440"/>
      </w:pPr>
      <w:hyperlink w:anchor="_Toc9751" w:history="1">
        <w:r>
          <w:rPr>
            <w:rFonts w:ascii="IRNazanin" w:hAnsi="IRNazanin" w:eastAsia="IRNazanin" w:cs="IRNazanin"/>
            <w:color w:val="111111"/>
            <w:sz w:val="22"/>
            <w:szCs w:val="22"/>
            <w:b w:val="0"/>
            <w:bCs w:val="0"/>
            <w:i w:val="0"/>
            <w:iCs w:val="0"/>
          </w:rPr>
          <w:t>8378- دیوان یاری یزدی أو شعره‏</w:t>
        </w:r>
        <w:r>
          <w:tab/>
        </w:r>
        <w:r>
          <w:fldChar w:fldCharType="begin"/>
        </w:r>
        <w:r>
          <w:instrText xml:space="preserve">PAGEREF 9751 \h</w:instrText>
        </w:r>
        <w:r>
          <w:fldChar w:fldCharType="end"/>
        </w:r>
      </w:hyperlink>
    </w:p>
    <w:p>
      <w:pPr>
        <w:tabs>
          <w:tab w:val="right" w:leader="dot" w:pos="9062"/>
        </w:tabs>
        <w:ind w:left="440"/>
      </w:pPr>
      <w:hyperlink w:anchor="_Toc9752" w:history="1">
        <w:r>
          <w:rPr>
            <w:rFonts w:ascii="IRNazanin" w:hAnsi="IRNazanin" w:eastAsia="IRNazanin" w:cs="IRNazanin"/>
            <w:color w:val="111111"/>
            <w:sz w:val="22"/>
            <w:szCs w:val="22"/>
            <w:b w:val="0"/>
            <w:bCs w:val="0"/>
            <w:i w:val="0"/>
            <w:iCs w:val="0"/>
          </w:rPr>
          <w:t>8379- دیوان یأس آره‏ای أو شعره‏</w:t>
        </w:r>
        <w:r>
          <w:tab/>
        </w:r>
        <w:r>
          <w:fldChar w:fldCharType="begin"/>
        </w:r>
        <w:r>
          <w:instrText xml:space="preserve">PAGEREF 9752 \h</w:instrText>
        </w:r>
        <w:r>
          <w:fldChar w:fldCharType="end"/>
        </w:r>
      </w:hyperlink>
    </w:p>
    <w:p>
      <w:pPr>
        <w:tabs>
          <w:tab w:val="right" w:leader="dot" w:pos="9062"/>
        </w:tabs>
        <w:ind w:left="440"/>
      </w:pPr>
      <w:hyperlink w:anchor="_Toc9753" w:history="1">
        <w:r>
          <w:rPr>
            <w:rFonts w:ascii="IRNazanin" w:hAnsi="IRNazanin" w:eastAsia="IRNazanin" w:cs="IRNazanin"/>
            <w:color w:val="111111"/>
            <w:sz w:val="22"/>
            <w:szCs w:val="22"/>
            <w:b w:val="0"/>
            <w:bCs w:val="0"/>
            <w:i w:val="0"/>
            <w:iCs w:val="0"/>
          </w:rPr>
          <w:t>8380- دیوان یاسمن بودامغانی‏</w:t>
        </w:r>
        <w:r>
          <w:tab/>
        </w:r>
        <w:r>
          <w:fldChar w:fldCharType="begin"/>
        </w:r>
        <w:r>
          <w:instrText xml:space="preserve">PAGEREF 9753 \h</w:instrText>
        </w:r>
        <w:r>
          <w:fldChar w:fldCharType="end"/>
        </w:r>
      </w:hyperlink>
    </w:p>
    <w:p>
      <w:pPr>
        <w:tabs>
          <w:tab w:val="right" w:leader="dot" w:pos="9062"/>
        </w:tabs>
        <w:ind w:left="440"/>
      </w:pPr>
      <w:hyperlink w:anchor="_Toc9754" w:history="1">
        <w:r>
          <w:rPr>
            <w:rFonts w:ascii="IRNazanin" w:hAnsi="IRNazanin" w:eastAsia="IRNazanin" w:cs="IRNazanin"/>
            <w:color w:val="111111"/>
            <w:sz w:val="22"/>
            <w:szCs w:val="22"/>
            <w:b w:val="0"/>
            <w:bCs w:val="0"/>
            <w:i w:val="0"/>
            <w:iCs w:val="0"/>
          </w:rPr>
          <w:t>دیوان یاسمی‏</w:t>
        </w:r>
        <w:r>
          <w:tab/>
        </w:r>
        <w:r>
          <w:fldChar w:fldCharType="begin"/>
        </w:r>
        <w:r>
          <w:instrText xml:space="preserve">PAGEREF 9754 \h</w:instrText>
        </w:r>
        <w:r>
          <w:fldChar w:fldCharType="end"/>
        </w:r>
      </w:hyperlink>
    </w:p>
    <w:p>
      <w:pPr>
        <w:tabs>
          <w:tab w:val="right" w:leader="dot" w:pos="9062"/>
        </w:tabs>
        <w:ind w:left="440"/>
      </w:pPr>
      <w:hyperlink w:anchor="_Toc9755" w:history="1">
        <w:r>
          <w:rPr>
            <w:rFonts w:ascii="IRNazanin" w:hAnsi="IRNazanin" w:eastAsia="IRNazanin" w:cs="IRNazanin"/>
            <w:color w:val="111111"/>
            <w:sz w:val="22"/>
            <w:szCs w:val="22"/>
            <w:b w:val="0"/>
            <w:bCs w:val="0"/>
            <w:i w:val="0"/>
            <w:iCs w:val="0"/>
          </w:rPr>
          <w:t>8381- دیوان یاسین علی شاه‏</w:t>
        </w:r>
        <w:r>
          <w:tab/>
        </w:r>
        <w:r>
          <w:fldChar w:fldCharType="begin"/>
        </w:r>
        <w:r>
          <w:instrText xml:space="preserve">PAGEREF 9755 \h</w:instrText>
        </w:r>
        <w:r>
          <w:fldChar w:fldCharType="end"/>
        </w:r>
      </w:hyperlink>
    </w:p>
    <w:p>
      <w:pPr>
        <w:tabs>
          <w:tab w:val="right" w:leader="dot" w:pos="9062"/>
        </w:tabs>
        <w:ind w:left="440"/>
      </w:pPr>
      <w:hyperlink w:anchor="_Toc9756" w:history="1">
        <w:r>
          <w:rPr>
            <w:rFonts w:ascii="IRNazanin" w:hAnsi="IRNazanin" w:eastAsia="IRNazanin" w:cs="IRNazanin"/>
            <w:color w:val="111111"/>
            <w:sz w:val="22"/>
            <w:szCs w:val="22"/>
            <w:b w:val="0"/>
            <w:bCs w:val="0"/>
            <w:i w:val="0"/>
            <w:iCs w:val="0"/>
          </w:rPr>
          <w:t>8382- دیوان الیافعی الشافعی أو شعره‏</w:t>
        </w:r>
        <w:r>
          <w:tab/>
        </w:r>
        <w:r>
          <w:fldChar w:fldCharType="begin"/>
        </w:r>
        <w:r>
          <w:instrText xml:space="preserve">PAGEREF 9756 \h</w:instrText>
        </w:r>
        <w:r>
          <w:fldChar w:fldCharType="end"/>
        </w:r>
      </w:hyperlink>
    </w:p>
    <w:p>
      <w:pPr>
        <w:tabs>
          <w:tab w:val="right" w:leader="dot" w:pos="9062"/>
        </w:tabs>
        <w:ind w:left="440"/>
      </w:pPr>
      <w:hyperlink w:anchor="_Toc9757" w:history="1">
        <w:r>
          <w:rPr>
            <w:rFonts w:ascii="IRNazanin" w:hAnsi="IRNazanin" w:eastAsia="IRNazanin" w:cs="IRNazanin"/>
            <w:color w:val="111111"/>
            <w:sz w:val="22"/>
            <w:szCs w:val="22"/>
            <w:b w:val="0"/>
            <w:bCs w:val="0"/>
            <w:i w:val="0"/>
            <w:iCs w:val="0"/>
          </w:rPr>
          <w:t>8383- دیوان یا لیت أسترآبادی أو شعره‏</w:t>
        </w:r>
        <w:r>
          <w:tab/>
        </w:r>
        <w:r>
          <w:fldChar w:fldCharType="begin"/>
        </w:r>
        <w:r>
          <w:instrText xml:space="preserve">PAGEREF 9757 \h</w:instrText>
        </w:r>
        <w:r>
          <w:fldChar w:fldCharType="end"/>
        </w:r>
      </w:hyperlink>
    </w:p>
    <w:p>
      <w:pPr>
        <w:tabs>
          <w:tab w:val="right" w:leader="dot" w:pos="9062"/>
        </w:tabs>
        <w:ind w:left="440"/>
      </w:pPr>
      <w:hyperlink w:anchor="_Toc9758" w:history="1">
        <w:r>
          <w:rPr>
            <w:rFonts w:ascii="IRNazanin" w:hAnsi="IRNazanin" w:eastAsia="IRNazanin" w:cs="IRNazanin"/>
            <w:color w:val="111111"/>
            <w:sz w:val="22"/>
            <w:szCs w:val="22"/>
            <w:b w:val="0"/>
            <w:bCs w:val="0"/>
            <w:i w:val="0"/>
            <w:iCs w:val="0"/>
          </w:rPr>
          <w:t>8384- دیوان یتیم بروجردی أو شعره‏</w:t>
        </w:r>
        <w:r>
          <w:tab/>
        </w:r>
        <w:r>
          <w:fldChar w:fldCharType="begin"/>
        </w:r>
        <w:r>
          <w:instrText xml:space="preserve">PAGEREF 9758 \h</w:instrText>
        </w:r>
        <w:r>
          <w:fldChar w:fldCharType="end"/>
        </w:r>
      </w:hyperlink>
    </w:p>
    <w:p>
      <w:pPr>
        <w:tabs>
          <w:tab w:val="right" w:leader="dot" w:pos="9062"/>
        </w:tabs>
        <w:ind w:left="440"/>
      </w:pPr>
      <w:hyperlink w:anchor="_Toc9759" w:history="1">
        <w:r>
          <w:rPr>
            <w:rFonts w:ascii="IRNazanin" w:hAnsi="IRNazanin" w:eastAsia="IRNazanin" w:cs="IRNazanin"/>
            <w:color w:val="111111"/>
            <w:sz w:val="22"/>
            <w:szCs w:val="22"/>
            <w:b w:val="0"/>
            <w:bCs w:val="0"/>
            <w:i w:val="0"/>
            <w:iCs w:val="0"/>
          </w:rPr>
          <w:t>8385- دیوان یتیم لاهوری أو شعره‏</w:t>
        </w:r>
        <w:r>
          <w:tab/>
        </w:r>
        <w:r>
          <w:fldChar w:fldCharType="begin"/>
        </w:r>
        <w:r>
          <w:instrText xml:space="preserve">PAGEREF 9759 \h</w:instrText>
        </w:r>
        <w:r>
          <w:fldChar w:fldCharType="end"/>
        </w:r>
      </w:hyperlink>
    </w:p>
    <w:p>
      <w:pPr>
        <w:tabs>
          <w:tab w:val="right" w:leader="dot" w:pos="9062"/>
        </w:tabs>
        <w:ind w:left="440"/>
      </w:pPr>
      <w:hyperlink w:anchor="_Toc9760" w:history="1">
        <w:r>
          <w:rPr>
            <w:rFonts w:ascii="IRNazanin" w:hAnsi="IRNazanin" w:eastAsia="IRNazanin" w:cs="IRNazanin"/>
            <w:color w:val="111111"/>
            <w:sz w:val="22"/>
            <w:szCs w:val="22"/>
            <w:b w:val="0"/>
            <w:bCs w:val="0"/>
            <w:i w:val="0"/>
            <w:iCs w:val="0"/>
          </w:rPr>
          <w:t>دیوان یتیم همدانی‏</w:t>
        </w:r>
        <w:r>
          <w:tab/>
        </w:r>
        <w:r>
          <w:fldChar w:fldCharType="begin"/>
        </w:r>
        <w:r>
          <w:instrText xml:space="preserve">PAGEREF 9760 \h</w:instrText>
        </w:r>
        <w:r>
          <w:fldChar w:fldCharType="end"/>
        </w:r>
      </w:hyperlink>
    </w:p>
    <w:p>
      <w:pPr>
        <w:tabs>
          <w:tab w:val="right" w:leader="dot" w:pos="9062"/>
        </w:tabs>
        <w:ind w:left="440"/>
      </w:pPr>
      <w:hyperlink w:anchor="_Toc9761" w:history="1">
        <w:r>
          <w:rPr>
            <w:rFonts w:ascii="IRNazanin" w:hAnsi="IRNazanin" w:eastAsia="IRNazanin" w:cs="IRNazanin"/>
            <w:color w:val="111111"/>
            <w:sz w:val="22"/>
            <w:szCs w:val="22"/>
            <w:b w:val="0"/>
            <w:bCs w:val="0"/>
            <w:i w:val="0"/>
            <w:iCs w:val="0"/>
          </w:rPr>
          <w:t>8386- دیوان یتیمی هروی أو شعره‏</w:t>
        </w:r>
        <w:r>
          <w:tab/>
        </w:r>
        <w:r>
          <w:fldChar w:fldCharType="begin"/>
        </w:r>
        <w:r>
          <w:instrText xml:space="preserve">PAGEREF 9761 \h</w:instrText>
        </w:r>
        <w:r>
          <w:fldChar w:fldCharType="end"/>
        </w:r>
      </w:hyperlink>
    </w:p>
    <w:p>
      <w:pPr>
        <w:tabs>
          <w:tab w:val="right" w:leader="dot" w:pos="9062"/>
        </w:tabs>
        <w:ind w:left="440"/>
      </w:pPr>
      <w:hyperlink w:anchor="_Toc9762" w:history="1">
        <w:r>
          <w:rPr>
            <w:rFonts w:ascii="IRNazanin" w:hAnsi="IRNazanin" w:eastAsia="IRNazanin" w:cs="IRNazanin"/>
            <w:color w:val="111111"/>
            <w:sz w:val="22"/>
            <w:szCs w:val="22"/>
            <w:b w:val="0"/>
            <w:bCs w:val="0"/>
            <w:i w:val="0"/>
            <w:iCs w:val="0"/>
          </w:rPr>
          <w:t>8387- دیوان یحیای أحمدآبادی أو شعره‏</w:t>
        </w:r>
        <w:r>
          <w:tab/>
        </w:r>
        <w:r>
          <w:fldChar w:fldCharType="begin"/>
        </w:r>
        <w:r>
          <w:instrText xml:space="preserve">PAGEREF 9762 \h</w:instrText>
        </w:r>
        <w:r>
          <w:fldChar w:fldCharType="end"/>
        </w:r>
      </w:hyperlink>
    </w:p>
    <w:p>
      <w:pPr>
        <w:tabs>
          <w:tab w:val="right" w:leader="dot" w:pos="9062"/>
        </w:tabs>
        <w:ind w:left="440"/>
      </w:pPr>
      <w:hyperlink w:anchor="_Toc9763" w:history="1">
        <w:r>
          <w:rPr>
            <w:rFonts w:ascii="IRNazanin" w:hAnsi="IRNazanin" w:eastAsia="IRNazanin" w:cs="IRNazanin"/>
            <w:color w:val="111111"/>
            <w:sz w:val="22"/>
            <w:szCs w:val="22"/>
            <w:b w:val="0"/>
            <w:bCs w:val="0"/>
            <w:i w:val="0"/>
            <w:iCs w:val="0"/>
          </w:rPr>
          <w:t>8388- دیوان یحیای أصفهانی أو شعره‏</w:t>
        </w:r>
        <w:r>
          <w:tab/>
        </w:r>
        <w:r>
          <w:fldChar w:fldCharType="begin"/>
        </w:r>
        <w:r>
          <w:instrText xml:space="preserve">PAGEREF 9763 \h</w:instrText>
        </w:r>
        <w:r>
          <w:fldChar w:fldCharType="end"/>
        </w:r>
      </w:hyperlink>
    </w:p>
    <w:p>
      <w:pPr>
        <w:tabs>
          <w:tab w:val="right" w:leader="dot" w:pos="9062"/>
        </w:tabs>
        <w:ind w:left="440"/>
      </w:pPr>
      <w:hyperlink w:anchor="_Toc9764" w:history="1">
        <w:r>
          <w:rPr>
            <w:rFonts w:ascii="IRNazanin" w:hAnsi="IRNazanin" w:eastAsia="IRNazanin" w:cs="IRNazanin"/>
            <w:color w:val="111111"/>
            <w:sz w:val="22"/>
            <w:szCs w:val="22"/>
            <w:b w:val="0"/>
            <w:bCs w:val="0"/>
            <w:i w:val="0"/>
            <w:iCs w:val="0"/>
          </w:rPr>
          <w:t>8389- دیوان یحیای الله‏آبادی أو شعره‏</w:t>
        </w:r>
        <w:r>
          <w:tab/>
        </w:r>
        <w:r>
          <w:fldChar w:fldCharType="begin"/>
        </w:r>
        <w:r>
          <w:instrText xml:space="preserve">PAGEREF 9764 \h</w:instrText>
        </w:r>
        <w:r>
          <w:fldChar w:fldCharType="end"/>
        </w:r>
      </w:hyperlink>
    </w:p>
    <w:p>
      <w:pPr>
        <w:tabs>
          <w:tab w:val="right" w:leader="dot" w:pos="9062"/>
        </w:tabs>
        <w:ind w:left="440"/>
      </w:pPr>
      <w:hyperlink w:anchor="_Toc9765" w:history="1">
        <w:r>
          <w:rPr>
            <w:rFonts w:ascii="IRNazanin" w:hAnsi="IRNazanin" w:eastAsia="IRNazanin" w:cs="IRNazanin"/>
            <w:color w:val="111111"/>
            <w:sz w:val="22"/>
            <w:szCs w:val="22"/>
            <w:b w:val="0"/>
            <w:bCs w:val="0"/>
            <w:i w:val="0"/>
            <w:iCs w:val="0"/>
          </w:rPr>
          <w:t>دیوان یحیای أوزبک‏</w:t>
        </w:r>
        <w:r>
          <w:tab/>
        </w:r>
        <w:r>
          <w:fldChar w:fldCharType="begin"/>
        </w:r>
        <w:r>
          <w:instrText xml:space="preserve">PAGEREF 9765 \h</w:instrText>
        </w:r>
        <w:r>
          <w:fldChar w:fldCharType="end"/>
        </w:r>
      </w:hyperlink>
    </w:p>
    <w:p>
      <w:pPr>
        <w:tabs>
          <w:tab w:val="right" w:leader="dot" w:pos="9062"/>
        </w:tabs>
        <w:ind w:left="440"/>
      </w:pPr>
      <w:hyperlink w:anchor="_Toc9766" w:history="1">
        <w:r>
          <w:rPr>
            <w:rFonts w:ascii="IRNazanin" w:hAnsi="IRNazanin" w:eastAsia="IRNazanin" w:cs="IRNazanin"/>
            <w:color w:val="111111"/>
            <w:sz w:val="22"/>
            <w:szCs w:val="22"/>
            <w:b w:val="0"/>
            <w:bCs w:val="0"/>
            <w:i w:val="0"/>
            <w:iCs w:val="0"/>
          </w:rPr>
          <w:t>8390- دیوان یحیای بمی‏</w:t>
        </w:r>
        <w:r>
          <w:tab/>
        </w:r>
        <w:r>
          <w:fldChar w:fldCharType="begin"/>
        </w:r>
        <w:r>
          <w:instrText xml:space="preserve">PAGEREF 9766 \h</w:instrText>
        </w:r>
        <w:r>
          <w:fldChar w:fldCharType="end"/>
        </w:r>
      </w:hyperlink>
    </w:p>
    <w:p>
      <w:pPr>
        <w:tabs>
          <w:tab w:val="right" w:leader="dot" w:pos="9062"/>
        </w:tabs>
        <w:ind w:left="440"/>
      </w:pPr>
      <w:hyperlink w:anchor="_Toc9767" w:history="1">
        <w:r>
          <w:rPr>
            <w:rFonts w:ascii="IRNazanin" w:hAnsi="IRNazanin" w:eastAsia="IRNazanin" w:cs="IRNazanin"/>
            <w:color w:val="111111"/>
            <w:sz w:val="22"/>
            <w:szCs w:val="22"/>
            <w:b w:val="0"/>
            <w:bCs w:val="0"/>
            <w:i w:val="0"/>
            <w:iCs w:val="0"/>
          </w:rPr>
          <w:t>8391- دیوان المیرزا یحیی‏</w:t>
        </w:r>
        <w:r>
          <w:tab/>
        </w:r>
        <w:r>
          <w:fldChar w:fldCharType="begin"/>
        </w:r>
        <w:r>
          <w:instrText xml:space="preserve">PAGEREF 9767 \h</w:instrText>
        </w:r>
        <w:r>
          <w:fldChar w:fldCharType="end"/>
        </w:r>
      </w:hyperlink>
    </w:p>
    <w:p>
      <w:pPr>
        <w:tabs>
          <w:tab w:val="right" w:leader="dot" w:pos="9062"/>
        </w:tabs>
        <w:ind w:left="440"/>
      </w:pPr>
      <w:hyperlink w:anchor="_Toc9768" w:history="1">
        <w:r>
          <w:rPr>
            <w:rFonts w:ascii="IRNazanin" w:hAnsi="IRNazanin" w:eastAsia="IRNazanin" w:cs="IRNazanin"/>
            <w:color w:val="111111"/>
            <w:sz w:val="22"/>
            <w:szCs w:val="22"/>
            <w:b w:val="0"/>
            <w:bCs w:val="0"/>
            <w:i w:val="0"/>
            <w:iCs w:val="0"/>
          </w:rPr>
          <w:t>8392- دیوان السید یحیی الدشتکی‏</w:t>
        </w:r>
        <w:r>
          <w:tab/>
        </w:r>
        <w:r>
          <w:fldChar w:fldCharType="begin"/>
        </w:r>
        <w:r>
          <w:instrText xml:space="preserve">PAGEREF 9768 \h</w:instrText>
        </w:r>
        <w:r>
          <w:fldChar w:fldCharType="end"/>
        </w:r>
      </w:hyperlink>
    </w:p>
    <w:p>
      <w:pPr>
        <w:tabs>
          <w:tab w:val="right" w:leader="dot" w:pos="9062"/>
        </w:tabs>
        <w:ind w:left="440"/>
      </w:pPr>
      <w:hyperlink w:anchor="_Toc9769" w:history="1">
        <w:r>
          <w:rPr>
            <w:rFonts w:ascii="IRNazanin" w:hAnsi="IRNazanin" w:eastAsia="IRNazanin" w:cs="IRNazanin"/>
            <w:color w:val="111111"/>
            <w:sz w:val="22"/>
            <w:szCs w:val="22"/>
            <w:b w:val="0"/>
            <w:bCs w:val="0"/>
            <w:i w:val="0"/>
            <w:iCs w:val="0"/>
          </w:rPr>
          <w:t>8393- دیوان الشیخ یحیی أبی الفضل‏</w:t>
        </w:r>
        <w:r>
          <w:tab/>
        </w:r>
        <w:r>
          <w:fldChar w:fldCharType="begin"/>
        </w:r>
        <w:r>
          <w:instrText xml:space="preserve">PAGEREF 9769 \h</w:instrText>
        </w:r>
        <w:r>
          <w:fldChar w:fldCharType="end"/>
        </w:r>
      </w:hyperlink>
    </w:p>
    <w:p>
      <w:pPr>
        <w:tabs>
          <w:tab w:val="right" w:leader="dot" w:pos="9062"/>
        </w:tabs>
        <w:ind w:left="440"/>
      </w:pPr>
      <w:hyperlink w:anchor="_Toc9770" w:history="1">
        <w:r>
          <w:rPr>
            <w:rFonts w:ascii="IRNazanin" w:hAnsi="IRNazanin" w:eastAsia="IRNazanin" w:cs="IRNazanin"/>
            <w:color w:val="111111"/>
            <w:sz w:val="22"/>
            <w:szCs w:val="22"/>
            <w:b w:val="0"/>
            <w:bCs w:val="0"/>
            <w:i w:val="0"/>
            <w:iCs w:val="0"/>
          </w:rPr>
          <w:t>8394- دیوان یحیای دولت‏آبادی‏</w:t>
        </w:r>
        <w:r>
          <w:tab/>
        </w:r>
        <w:r>
          <w:fldChar w:fldCharType="begin"/>
        </w:r>
        <w:r>
          <w:instrText xml:space="preserve">PAGEREF 9770 \h</w:instrText>
        </w:r>
        <w:r>
          <w:fldChar w:fldCharType="end"/>
        </w:r>
      </w:hyperlink>
    </w:p>
    <w:p>
      <w:pPr>
        <w:tabs>
          <w:tab w:val="right" w:leader="dot" w:pos="9062"/>
        </w:tabs>
        <w:ind w:left="440"/>
      </w:pPr>
      <w:hyperlink w:anchor="_Toc9771" w:history="1">
        <w:r>
          <w:rPr>
            <w:rFonts w:ascii="IRNazanin" w:hAnsi="IRNazanin" w:eastAsia="IRNazanin" w:cs="IRNazanin"/>
            <w:color w:val="111111"/>
            <w:sz w:val="22"/>
            <w:szCs w:val="22"/>
            <w:b w:val="0"/>
            <w:bCs w:val="0"/>
            <w:i w:val="0"/>
            <w:iCs w:val="0"/>
          </w:rPr>
          <w:t>8395- دیوان یحیای سبزواری أو شعره‏</w:t>
        </w:r>
        <w:r>
          <w:tab/>
        </w:r>
        <w:r>
          <w:fldChar w:fldCharType="begin"/>
        </w:r>
        <w:r>
          <w:instrText xml:space="preserve">PAGEREF 9771 \h</w:instrText>
        </w:r>
        <w:r>
          <w:fldChar w:fldCharType="end"/>
        </w:r>
      </w:hyperlink>
    </w:p>
    <w:p>
      <w:pPr>
        <w:tabs>
          <w:tab w:val="right" w:leader="dot" w:pos="9062"/>
        </w:tabs>
        <w:ind w:left="440"/>
      </w:pPr>
      <w:hyperlink w:anchor="_Toc9772" w:history="1">
        <w:r>
          <w:rPr>
            <w:rFonts w:ascii="IRNazanin" w:hAnsi="IRNazanin" w:eastAsia="IRNazanin" w:cs="IRNazanin"/>
            <w:color w:val="111111"/>
            <w:sz w:val="22"/>
            <w:szCs w:val="22"/>
            <w:b w:val="0"/>
            <w:bCs w:val="0"/>
            <w:i w:val="0"/>
            <w:iCs w:val="0"/>
          </w:rPr>
          <w:t>دیوان یحیای سرخوش‏</w:t>
        </w:r>
        <w:r>
          <w:tab/>
        </w:r>
        <w:r>
          <w:fldChar w:fldCharType="begin"/>
        </w:r>
        <w:r>
          <w:instrText xml:space="preserve">PAGEREF 9772 \h</w:instrText>
        </w:r>
        <w:r>
          <w:fldChar w:fldCharType="end"/>
        </w:r>
      </w:hyperlink>
    </w:p>
    <w:p>
      <w:pPr>
        <w:tabs>
          <w:tab w:val="right" w:leader="dot" w:pos="9062"/>
        </w:tabs>
        <w:ind w:left="440"/>
      </w:pPr>
      <w:hyperlink w:anchor="_Toc9773" w:history="1">
        <w:r>
          <w:rPr>
            <w:rFonts w:ascii="IRNazanin" w:hAnsi="IRNazanin" w:eastAsia="IRNazanin" w:cs="IRNazanin"/>
            <w:color w:val="111111"/>
            <w:sz w:val="22"/>
            <w:szCs w:val="22"/>
            <w:b w:val="0"/>
            <w:bCs w:val="0"/>
            <w:i w:val="0"/>
            <w:iCs w:val="0"/>
          </w:rPr>
          <w:t>8396- دیوان یحیای سمرقندی أو شعره‏</w:t>
        </w:r>
        <w:r>
          <w:tab/>
        </w:r>
        <w:r>
          <w:fldChar w:fldCharType="begin"/>
        </w:r>
        <w:r>
          <w:instrText xml:space="preserve">PAGEREF 9773 \h</w:instrText>
        </w:r>
        <w:r>
          <w:fldChar w:fldCharType="end"/>
        </w:r>
      </w:hyperlink>
    </w:p>
    <w:p>
      <w:pPr>
        <w:tabs>
          <w:tab w:val="right" w:leader="dot" w:pos="9062"/>
        </w:tabs>
        <w:ind w:left="440"/>
      </w:pPr>
      <w:hyperlink w:anchor="_Toc9774" w:history="1">
        <w:r>
          <w:rPr>
            <w:rFonts w:ascii="IRNazanin" w:hAnsi="IRNazanin" w:eastAsia="IRNazanin" w:cs="IRNazanin"/>
            <w:color w:val="111111"/>
            <w:sz w:val="22"/>
            <w:szCs w:val="22"/>
            <w:b w:val="0"/>
            <w:bCs w:val="0"/>
            <w:i w:val="0"/>
            <w:iCs w:val="0"/>
          </w:rPr>
          <w:t>8397- دیوان یحیای سیستانی أو شعره‏</w:t>
        </w:r>
        <w:r>
          <w:tab/>
        </w:r>
        <w:r>
          <w:fldChar w:fldCharType="begin"/>
        </w:r>
        <w:r>
          <w:instrText xml:space="preserve">PAGEREF 9774 \h</w:instrText>
        </w:r>
        <w:r>
          <w:fldChar w:fldCharType="end"/>
        </w:r>
      </w:hyperlink>
    </w:p>
    <w:p>
      <w:pPr>
        <w:tabs>
          <w:tab w:val="right" w:leader="dot" w:pos="9062"/>
        </w:tabs>
        <w:ind w:left="440"/>
      </w:pPr>
      <w:hyperlink w:anchor="_Toc9775" w:history="1">
        <w:r>
          <w:rPr>
            <w:rFonts w:ascii="IRNazanin" w:hAnsi="IRNazanin" w:eastAsia="IRNazanin" w:cs="IRNazanin"/>
            <w:color w:val="111111"/>
            <w:sz w:val="22"/>
            <w:szCs w:val="22"/>
            <w:b w:val="0"/>
            <w:bCs w:val="0"/>
            <w:i w:val="0"/>
            <w:iCs w:val="0"/>
          </w:rPr>
          <w:t>8398- دیوان یحیای شیبک‏</w:t>
        </w:r>
        <w:r>
          <w:tab/>
        </w:r>
        <w:r>
          <w:fldChar w:fldCharType="begin"/>
        </w:r>
        <w:r>
          <w:instrText xml:space="preserve">PAGEREF 9775 \h</w:instrText>
        </w:r>
        <w:r>
          <w:fldChar w:fldCharType="end"/>
        </w:r>
      </w:hyperlink>
    </w:p>
    <w:p>
      <w:pPr>
        <w:tabs>
          <w:tab w:val="right" w:leader="dot" w:pos="9062"/>
        </w:tabs>
        <w:ind w:left="440"/>
      </w:pPr>
      <w:hyperlink w:anchor="_Toc9776" w:history="1">
        <w:r>
          <w:rPr>
            <w:rFonts w:ascii="IRNazanin" w:hAnsi="IRNazanin" w:eastAsia="IRNazanin" w:cs="IRNazanin"/>
            <w:color w:val="111111"/>
            <w:sz w:val="22"/>
            <w:szCs w:val="22"/>
            <w:b w:val="0"/>
            <w:bCs w:val="0"/>
            <w:i w:val="0"/>
            <w:iCs w:val="0"/>
          </w:rPr>
          <w:t>8399- دیوان یحیای عظیم‏آبادی أو شعره‏</w:t>
        </w:r>
        <w:r>
          <w:tab/>
        </w:r>
        <w:r>
          <w:fldChar w:fldCharType="begin"/>
        </w:r>
        <w:r>
          <w:instrText xml:space="preserve">PAGEREF 9776 \h</w:instrText>
        </w:r>
        <w:r>
          <w:fldChar w:fldCharType="end"/>
        </w:r>
      </w:hyperlink>
    </w:p>
    <w:p>
      <w:pPr>
        <w:tabs>
          <w:tab w:val="right" w:leader="dot" w:pos="9062"/>
        </w:tabs>
        <w:ind w:left="440"/>
      </w:pPr>
      <w:hyperlink w:anchor="_Toc9777" w:history="1">
        <w:r>
          <w:rPr>
            <w:rFonts w:ascii="IRNazanin" w:hAnsi="IRNazanin" w:eastAsia="IRNazanin" w:cs="IRNazanin"/>
            <w:color w:val="111111"/>
            <w:sz w:val="22"/>
            <w:szCs w:val="22"/>
            <w:b w:val="0"/>
            <w:bCs w:val="0"/>
            <w:i w:val="0"/>
            <w:iCs w:val="0"/>
          </w:rPr>
          <w:t>8400- دیوان یحیای غوث أعظم‏</w:t>
        </w:r>
        <w:r>
          <w:tab/>
        </w:r>
        <w:r>
          <w:fldChar w:fldCharType="begin"/>
        </w:r>
        <w:r>
          <w:instrText xml:space="preserve">PAGEREF 9777 \h</w:instrText>
        </w:r>
        <w:r>
          <w:fldChar w:fldCharType="end"/>
        </w:r>
      </w:hyperlink>
    </w:p>
    <w:p>
      <w:pPr>
        <w:tabs>
          <w:tab w:val="right" w:leader="dot" w:pos="9062"/>
        </w:tabs>
        <w:ind w:left="440"/>
      </w:pPr>
      <w:hyperlink w:anchor="_Toc9778" w:history="1">
        <w:r>
          <w:rPr>
            <w:rFonts w:ascii="IRNazanin" w:hAnsi="IRNazanin" w:eastAsia="IRNazanin" w:cs="IRNazanin"/>
            <w:color w:val="111111"/>
            <w:sz w:val="22"/>
            <w:szCs w:val="22"/>
            <w:b w:val="0"/>
            <w:bCs w:val="0"/>
            <w:i w:val="0"/>
            <w:iCs w:val="0"/>
          </w:rPr>
          <w:t>8401- دیوان یحیای قزوینی أو شعره‏</w:t>
        </w:r>
        <w:r>
          <w:tab/>
        </w:r>
        <w:r>
          <w:fldChar w:fldCharType="begin"/>
        </w:r>
        <w:r>
          <w:instrText xml:space="preserve">PAGEREF 9778 \h</w:instrText>
        </w:r>
        <w:r>
          <w:fldChar w:fldCharType="end"/>
        </w:r>
      </w:hyperlink>
    </w:p>
    <w:p>
      <w:pPr>
        <w:tabs>
          <w:tab w:val="right" w:leader="dot" w:pos="9062"/>
        </w:tabs>
        <w:ind w:left="440"/>
      </w:pPr>
      <w:hyperlink w:anchor="_Toc9779" w:history="1">
        <w:r>
          <w:rPr>
            <w:rFonts w:ascii="IRNazanin" w:hAnsi="IRNazanin" w:eastAsia="IRNazanin" w:cs="IRNazanin"/>
            <w:color w:val="111111"/>
            <w:sz w:val="22"/>
            <w:szCs w:val="22"/>
            <w:b w:val="0"/>
            <w:bCs w:val="0"/>
            <w:i w:val="0"/>
            <w:iCs w:val="0"/>
          </w:rPr>
          <w:t>دیوان یحیای قمی‏</w:t>
        </w:r>
        <w:r>
          <w:tab/>
        </w:r>
        <w:r>
          <w:fldChar w:fldCharType="begin"/>
        </w:r>
        <w:r>
          <w:instrText xml:space="preserve">PAGEREF 9779 \h</w:instrText>
        </w:r>
        <w:r>
          <w:fldChar w:fldCharType="end"/>
        </w:r>
      </w:hyperlink>
    </w:p>
    <w:p>
      <w:pPr>
        <w:tabs>
          <w:tab w:val="right" w:leader="dot" w:pos="9062"/>
        </w:tabs>
        <w:ind w:left="440"/>
      </w:pPr>
      <w:hyperlink w:anchor="_Toc9780" w:history="1">
        <w:r>
          <w:rPr>
            <w:rFonts w:ascii="IRNazanin" w:hAnsi="IRNazanin" w:eastAsia="IRNazanin" w:cs="IRNazanin"/>
            <w:color w:val="111111"/>
            <w:sz w:val="22"/>
            <w:szCs w:val="22"/>
            <w:b w:val="0"/>
            <w:bCs w:val="0"/>
            <w:i w:val="0"/>
            <w:iCs w:val="0"/>
          </w:rPr>
          <w:t>8402- دیوان یحیای کاشانی‏</w:t>
        </w:r>
        <w:r>
          <w:tab/>
        </w:r>
        <w:r>
          <w:fldChar w:fldCharType="begin"/>
        </w:r>
        <w:r>
          <w:instrText xml:space="preserve">PAGEREF 9780 \h</w:instrText>
        </w:r>
        <w:r>
          <w:fldChar w:fldCharType="end"/>
        </w:r>
      </w:hyperlink>
    </w:p>
    <w:p>
      <w:pPr>
        <w:tabs>
          <w:tab w:val="right" w:leader="dot" w:pos="9062"/>
        </w:tabs>
        <w:ind w:left="440"/>
      </w:pPr>
      <w:hyperlink w:anchor="_Toc9781" w:history="1">
        <w:r>
          <w:rPr>
            <w:rFonts w:ascii="IRNazanin" w:hAnsi="IRNazanin" w:eastAsia="IRNazanin" w:cs="IRNazanin"/>
            <w:color w:val="111111"/>
            <w:sz w:val="22"/>
            <w:szCs w:val="22"/>
            <w:b w:val="0"/>
            <w:bCs w:val="0"/>
            <w:i w:val="0"/>
            <w:iCs w:val="0"/>
          </w:rPr>
          <w:t>دیوان یحیای گیلانی‏</w:t>
        </w:r>
        <w:r>
          <w:tab/>
        </w:r>
        <w:r>
          <w:fldChar w:fldCharType="begin"/>
        </w:r>
        <w:r>
          <w:instrText xml:space="preserve">PAGEREF 9781 \h</w:instrText>
        </w:r>
        <w:r>
          <w:fldChar w:fldCharType="end"/>
        </w:r>
      </w:hyperlink>
    </w:p>
    <w:p>
      <w:pPr>
        <w:tabs>
          <w:tab w:val="right" w:leader="dot" w:pos="9062"/>
        </w:tabs>
        <w:ind w:left="440"/>
      </w:pPr>
      <w:hyperlink w:anchor="_Toc9782" w:history="1">
        <w:r>
          <w:rPr>
            <w:rFonts w:ascii="IRNazanin" w:hAnsi="IRNazanin" w:eastAsia="IRNazanin" w:cs="IRNazanin"/>
            <w:color w:val="111111"/>
            <w:sz w:val="22"/>
            <w:szCs w:val="22"/>
            <w:b w:val="0"/>
            <w:bCs w:val="0"/>
            <w:i w:val="0"/>
            <w:iCs w:val="0"/>
          </w:rPr>
          <w:t>8403- دیوان یحیای گیلانی أو شعره‏</w:t>
        </w:r>
        <w:r>
          <w:tab/>
        </w:r>
        <w:r>
          <w:fldChar w:fldCharType="begin"/>
        </w:r>
        <w:r>
          <w:instrText xml:space="preserve">PAGEREF 9782 \h</w:instrText>
        </w:r>
        <w:r>
          <w:fldChar w:fldCharType="end"/>
        </w:r>
      </w:hyperlink>
    </w:p>
    <w:p>
      <w:pPr>
        <w:tabs>
          <w:tab w:val="right" w:leader="dot" w:pos="9062"/>
        </w:tabs>
        <w:ind w:left="440"/>
      </w:pPr>
      <w:hyperlink w:anchor="_Toc9783" w:history="1">
        <w:r>
          <w:rPr>
            <w:rFonts w:ascii="IRNazanin" w:hAnsi="IRNazanin" w:eastAsia="IRNazanin" w:cs="IRNazanin"/>
            <w:color w:val="111111"/>
            <w:sz w:val="22"/>
            <w:szCs w:val="22"/>
            <w:b w:val="0"/>
            <w:bCs w:val="0"/>
            <w:i w:val="0"/>
            <w:iCs w:val="0"/>
          </w:rPr>
          <w:t>8404- دیوان یحیای لاری أو شعره‏</w:t>
        </w:r>
        <w:r>
          <w:tab/>
        </w:r>
        <w:r>
          <w:fldChar w:fldCharType="begin"/>
        </w:r>
        <w:r>
          <w:instrText xml:space="preserve">PAGEREF 9783 \h</w:instrText>
        </w:r>
        <w:r>
          <w:fldChar w:fldCharType="end"/>
        </w:r>
      </w:hyperlink>
    </w:p>
    <w:p>
      <w:pPr>
        <w:tabs>
          <w:tab w:val="right" w:leader="dot" w:pos="9062"/>
        </w:tabs>
        <w:ind w:left="440"/>
      </w:pPr>
      <w:hyperlink w:anchor="_Toc9784" w:history="1">
        <w:r>
          <w:rPr>
            <w:rFonts w:ascii="IRNazanin" w:hAnsi="IRNazanin" w:eastAsia="IRNazanin" w:cs="IRNazanin"/>
            <w:color w:val="111111"/>
            <w:sz w:val="22"/>
            <w:szCs w:val="22"/>
            <w:b w:val="0"/>
            <w:bCs w:val="0"/>
            <w:i w:val="0"/>
            <w:iCs w:val="0"/>
          </w:rPr>
          <w:t>8405- دیوان یحیای لاهیجی أو شعره‏</w:t>
        </w:r>
        <w:r>
          <w:tab/>
        </w:r>
        <w:r>
          <w:fldChar w:fldCharType="begin"/>
        </w:r>
        <w:r>
          <w:instrText xml:space="preserve">PAGEREF 9784 \h</w:instrText>
        </w:r>
        <w:r>
          <w:fldChar w:fldCharType="end"/>
        </w:r>
      </w:hyperlink>
    </w:p>
    <w:p>
      <w:pPr>
        <w:tabs>
          <w:tab w:val="right" w:leader="dot" w:pos="9062"/>
        </w:tabs>
        <w:ind w:left="440"/>
      </w:pPr>
      <w:hyperlink w:anchor="_Toc9785" w:history="1">
        <w:r>
          <w:rPr>
            <w:rFonts w:ascii="IRNazanin" w:hAnsi="IRNazanin" w:eastAsia="IRNazanin" w:cs="IRNazanin"/>
            <w:color w:val="111111"/>
            <w:sz w:val="22"/>
            <w:szCs w:val="22"/>
            <w:b w:val="0"/>
            <w:bCs w:val="0"/>
            <w:i w:val="0"/>
            <w:iCs w:val="0"/>
          </w:rPr>
          <w:t>8406- دیوان یحیای لکهنوی أو شعره‏</w:t>
        </w:r>
        <w:r>
          <w:tab/>
        </w:r>
        <w:r>
          <w:fldChar w:fldCharType="begin"/>
        </w:r>
        <w:r>
          <w:instrText xml:space="preserve">PAGEREF 9785 \h</w:instrText>
        </w:r>
        <w:r>
          <w:fldChar w:fldCharType="end"/>
        </w:r>
      </w:hyperlink>
    </w:p>
    <w:p>
      <w:pPr>
        <w:tabs>
          <w:tab w:val="right" w:leader="dot" w:pos="9062"/>
        </w:tabs>
        <w:ind w:left="440"/>
      </w:pPr>
      <w:hyperlink w:anchor="_Toc9786" w:history="1">
        <w:r>
          <w:rPr>
            <w:rFonts w:ascii="IRNazanin" w:hAnsi="IRNazanin" w:eastAsia="IRNazanin" w:cs="IRNazanin"/>
            <w:color w:val="111111"/>
            <w:sz w:val="22"/>
            <w:szCs w:val="22"/>
            <w:b w:val="0"/>
            <w:bCs w:val="0"/>
            <w:i w:val="0"/>
            <w:iCs w:val="0"/>
          </w:rPr>
          <w:t>دیوان یحیای مروارید</w:t>
        </w:r>
        <w:r>
          <w:tab/>
        </w:r>
        <w:r>
          <w:fldChar w:fldCharType="begin"/>
        </w:r>
        <w:r>
          <w:instrText xml:space="preserve">PAGEREF 9786 \h</w:instrText>
        </w:r>
        <w:r>
          <w:fldChar w:fldCharType="end"/>
        </w:r>
      </w:hyperlink>
    </w:p>
    <w:p>
      <w:pPr>
        <w:tabs>
          <w:tab w:val="right" w:leader="dot" w:pos="9062"/>
        </w:tabs>
        <w:ind w:left="440"/>
      </w:pPr>
      <w:hyperlink w:anchor="_Toc9787" w:history="1">
        <w:r>
          <w:rPr>
            <w:rFonts w:ascii="IRNazanin" w:hAnsi="IRNazanin" w:eastAsia="IRNazanin" w:cs="IRNazanin"/>
            <w:color w:val="111111"/>
            <w:sz w:val="22"/>
            <w:szCs w:val="22"/>
            <w:b w:val="0"/>
            <w:bCs w:val="0"/>
            <w:i w:val="0"/>
            <w:iCs w:val="0"/>
          </w:rPr>
          <w:t>8407- دیوان یحیای ملایری‏</w:t>
        </w:r>
        <w:r>
          <w:tab/>
        </w:r>
        <w:r>
          <w:fldChar w:fldCharType="begin"/>
        </w:r>
        <w:r>
          <w:instrText xml:space="preserve">PAGEREF 9787 \h</w:instrText>
        </w:r>
        <w:r>
          <w:fldChar w:fldCharType="end"/>
        </w:r>
      </w:hyperlink>
    </w:p>
    <w:p>
      <w:pPr>
        <w:tabs>
          <w:tab w:val="right" w:leader="dot" w:pos="9062"/>
        </w:tabs>
        <w:ind w:left="440"/>
      </w:pPr>
      <w:hyperlink w:anchor="_Toc9788" w:history="1">
        <w:r>
          <w:rPr>
            <w:rFonts w:ascii="IRNazanin" w:hAnsi="IRNazanin" w:eastAsia="IRNazanin" w:cs="IRNazanin"/>
            <w:color w:val="111111"/>
            <w:sz w:val="22"/>
            <w:szCs w:val="22"/>
            <w:b w:val="0"/>
            <w:bCs w:val="0"/>
            <w:i w:val="0"/>
            <w:iCs w:val="0"/>
          </w:rPr>
          <w:t>8408- دیوان یحیای نیشابوری أو شعره‏</w:t>
        </w:r>
        <w:r>
          <w:tab/>
        </w:r>
        <w:r>
          <w:fldChar w:fldCharType="begin"/>
        </w:r>
        <w:r>
          <w:instrText xml:space="preserve">PAGEREF 9788 \h</w:instrText>
        </w:r>
        <w:r>
          <w:fldChar w:fldCharType="end"/>
        </w:r>
      </w:hyperlink>
    </w:p>
    <w:p>
      <w:pPr>
        <w:tabs>
          <w:tab w:val="right" w:leader="dot" w:pos="9062"/>
        </w:tabs>
        <w:ind w:left="440"/>
      </w:pPr>
      <w:hyperlink w:anchor="_Toc9789" w:history="1">
        <w:r>
          <w:rPr>
            <w:rFonts w:ascii="IRNazanin" w:hAnsi="IRNazanin" w:eastAsia="IRNazanin" w:cs="IRNazanin"/>
            <w:color w:val="111111"/>
            <w:sz w:val="22"/>
            <w:szCs w:val="22"/>
            <w:b w:val="0"/>
            <w:bCs w:val="0"/>
            <w:i w:val="0"/>
            <w:iCs w:val="0"/>
          </w:rPr>
          <w:t>8409- دیوان یزدان قلی بیک بخارائی أو شعره‏</w:t>
        </w:r>
        <w:r>
          <w:tab/>
        </w:r>
        <w:r>
          <w:fldChar w:fldCharType="begin"/>
        </w:r>
        <w:r>
          <w:instrText xml:space="preserve">PAGEREF 9789 \h</w:instrText>
        </w:r>
        <w:r>
          <w:fldChar w:fldCharType="end"/>
        </w:r>
      </w:hyperlink>
    </w:p>
    <w:p>
      <w:pPr>
        <w:tabs>
          <w:tab w:val="right" w:leader="dot" w:pos="9062"/>
        </w:tabs>
        <w:ind w:left="440"/>
      </w:pPr>
      <w:hyperlink w:anchor="_Toc9790" w:history="1">
        <w:r>
          <w:rPr>
            <w:rFonts w:ascii="IRNazanin" w:hAnsi="IRNazanin" w:eastAsia="IRNazanin" w:cs="IRNazanin"/>
            <w:color w:val="111111"/>
            <w:sz w:val="22"/>
            <w:szCs w:val="22"/>
            <w:b w:val="0"/>
            <w:bCs w:val="0"/>
            <w:i w:val="0"/>
            <w:iCs w:val="0"/>
          </w:rPr>
          <w:t>8410- دیوان یزدانی شیرازی أو شعره‏</w:t>
        </w:r>
        <w:r>
          <w:tab/>
        </w:r>
        <w:r>
          <w:fldChar w:fldCharType="begin"/>
        </w:r>
        <w:r>
          <w:instrText xml:space="preserve">PAGEREF 9790 \h</w:instrText>
        </w:r>
        <w:r>
          <w:fldChar w:fldCharType="end"/>
        </w:r>
      </w:hyperlink>
    </w:p>
    <w:p>
      <w:pPr>
        <w:tabs>
          <w:tab w:val="right" w:leader="dot" w:pos="9062"/>
        </w:tabs>
        <w:ind w:left="440"/>
      </w:pPr>
      <w:hyperlink w:anchor="_Toc9791" w:history="1">
        <w:r>
          <w:rPr>
            <w:rFonts w:ascii="IRNazanin" w:hAnsi="IRNazanin" w:eastAsia="IRNazanin" w:cs="IRNazanin"/>
            <w:color w:val="111111"/>
            <w:sz w:val="22"/>
            <w:szCs w:val="22"/>
            <w:b w:val="0"/>
            <w:bCs w:val="0"/>
            <w:i w:val="0"/>
            <w:iCs w:val="0"/>
          </w:rPr>
          <w:t>دیوان یعقوب آق‏قوینلو</w:t>
        </w:r>
        <w:r>
          <w:tab/>
        </w:r>
        <w:r>
          <w:fldChar w:fldCharType="begin"/>
        </w:r>
        <w:r>
          <w:instrText xml:space="preserve">PAGEREF 9791 \h</w:instrText>
        </w:r>
        <w:r>
          <w:fldChar w:fldCharType="end"/>
        </w:r>
      </w:hyperlink>
    </w:p>
    <w:p>
      <w:pPr>
        <w:tabs>
          <w:tab w:val="right" w:leader="dot" w:pos="9062"/>
        </w:tabs>
        <w:ind w:left="440"/>
      </w:pPr>
      <w:hyperlink w:anchor="_Toc9792" w:history="1">
        <w:r>
          <w:rPr>
            <w:rFonts w:ascii="IRNazanin" w:hAnsi="IRNazanin" w:eastAsia="IRNazanin" w:cs="IRNazanin"/>
            <w:color w:val="111111"/>
            <w:sz w:val="22"/>
            <w:szCs w:val="22"/>
            <w:b w:val="0"/>
            <w:bCs w:val="0"/>
            <w:i w:val="0"/>
            <w:iCs w:val="0"/>
          </w:rPr>
          <w:t>8411- دیوان یعقوب أردبیلی‏</w:t>
        </w:r>
        <w:r>
          <w:tab/>
        </w:r>
        <w:r>
          <w:fldChar w:fldCharType="begin"/>
        </w:r>
        <w:r>
          <w:instrText xml:space="preserve">PAGEREF 9792 \h</w:instrText>
        </w:r>
        <w:r>
          <w:fldChar w:fldCharType="end"/>
        </w:r>
      </w:hyperlink>
    </w:p>
    <w:p>
      <w:pPr>
        <w:tabs>
          <w:tab w:val="right" w:leader="dot" w:pos="9062"/>
        </w:tabs>
        <w:ind w:left="440"/>
      </w:pPr>
      <w:hyperlink w:anchor="_Toc9793" w:history="1">
        <w:r>
          <w:rPr>
            <w:rFonts w:ascii="IRNazanin" w:hAnsi="IRNazanin" w:eastAsia="IRNazanin" w:cs="IRNazanin"/>
            <w:color w:val="111111"/>
            <w:sz w:val="22"/>
            <w:szCs w:val="22"/>
            <w:b w:val="0"/>
            <w:bCs w:val="0"/>
            <w:i w:val="0"/>
            <w:iCs w:val="0"/>
          </w:rPr>
          <w:t>8412- دیوان یعقوب أستاجلو أو شعره‏</w:t>
        </w:r>
        <w:r>
          <w:tab/>
        </w:r>
        <w:r>
          <w:fldChar w:fldCharType="begin"/>
        </w:r>
        <w:r>
          <w:instrText xml:space="preserve">PAGEREF 9793 \h</w:instrText>
        </w:r>
        <w:r>
          <w:fldChar w:fldCharType="end"/>
        </w:r>
      </w:hyperlink>
    </w:p>
    <w:p>
      <w:pPr>
        <w:tabs>
          <w:tab w:val="right" w:leader="dot" w:pos="9062"/>
        </w:tabs>
        <w:ind w:left="440"/>
      </w:pPr>
      <w:hyperlink w:anchor="_Toc9794" w:history="1">
        <w:r>
          <w:rPr>
            <w:rFonts w:ascii="IRNazanin" w:hAnsi="IRNazanin" w:eastAsia="IRNazanin" w:cs="IRNazanin"/>
            <w:color w:val="111111"/>
            <w:sz w:val="22"/>
            <w:szCs w:val="22"/>
            <w:b w:val="0"/>
            <w:bCs w:val="0"/>
            <w:i w:val="0"/>
            <w:iCs w:val="0"/>
          </w:rPr>
          <w:t>8413- دیوان یعقوب ترکمان‏</w:t>
        </w:r>
        <w:r>
          <w:tab/>
        </w:r>
        <w:r>
          <w:fldChar w:fldCharType="begin"/>
        </w:r>
        <w:r>
          <w:instrText xml:space="preserve">PAGEREF 9794 \h</w:instrText>
        </w:r>
        <w:r>
          <w:fldChar w:fldCharType="end"/>
        </w:r>
      </w:hyperlink>
    </w:p>
    <w:p>
      <w:pPr>
        <w:tabs>
          <w:tab w:val="right" w:leader="dot" w:pos="9062"/>
        </w:tabs>
        <w:ind w:left="440"/>
      </w:pPr>
      <w:hyperlink w:anchor="_Toc9795" w:history="1">
        <w:r>
          <w:rPr>
            <w:rFonts w:ascii="IRNazanin" w:hAnsi="IRNazanin" w:eastAsia="IRNazanin" w:cs="IRNazanin"/>
            <w:color w:val="111111"/>
            <w:sz w:val="22"/>
            <w:szCs w:val="22"/>
            <w:b w:val="0"/>
            <w:bCs w:val="0"/>
            <w:i w:val="0"/>
            <w:iCs w:val="0"/>
          </w:rPr>
          <w:t>8414- دیوان یعقوب چرخی أو شعره‏</w:t>
        </w:r>
        <w:r>
          <w:tab/>
        </w:r>
        <w:r>
          <w:fldChar w:fldCharType="begin"/>
        </w:r>
        <w:r>
          <w:instrText xml:space="preserve">PAGEREF 9795 \h</w:instrText>
        </w:r>
        <w:r>
          <w:fldChar w:fldCharType="end"/>
        </w:r>
      </w:hyperlink>
    </w:p>
    <w:p>
      <w:pPr>
        <w:tabs>
          <w:tab w:val="right" w:leader="dot" w:pos="9062"/>
        </w:tabs>
        <w:ind w:left="440"/>
      </w:pPr>
      <w:hyperlink w:anchor="_Toc9796" w:history="1">
        <w:r>
          <w:rPr>
            <w:rFonts w:ascii="IRNazanin" w:hAnsi="IRNazanin" w:eastAsia="IRNazanin" w:cs="IRNazanin"/>
            <w:color w:val="111111"/>
            <w:sz w:val="22"/>
            <w:szCs w:val="22"/>
            <w:b w:val="0"/>
            <w:bCs w:val="0"/>
            <w:i w:val="0"/>
            <w:iCs w:val="0"/>
          </w:rPr>
          <w:t>8415- دیوان الشیخ یعقوب الحلی‏</w:t>
        </w:r>
        <w:r>
          <w:tab/>
        </w:r>
        <w:r>
          <w:fldChar w:fldCharType="begin"/>
        </w:r>
        <w:r>
          <w:instrText xml:space="preserve">PAGEREF 9796 \h</w:instrText>
        </w:r>
        <w:r>
          <w:fldChar w:fldCharType="end"/>
        </w:r>
      </w:hyperlink>
    </w:p>
    <w:p>
      <w:pPr>
        <w:tabs>
          <w:tab w:val="right" w:leader="dot" w:pos="9062"/>
        </w:tabs>
        <w:ind w:left="440"/>
      </w:pPr>
      <w:hyperlink w:anchor="_Toc9797" w:history="1">
        <w:r>
          <w:rPr>
            <w:rFonts w:ascii="IRNazanin" w:hAnsi="IRNazanin" w:eastAsia="IRNazanin" w:cs="IRNazanin"/>
            <w:color w:val="111111"/>
            <w:sz w:val="22"/>
            <w:szCs w:val="22"/>
            <w:b w:val="0"/>
            <w:bCs w:val="0"/>
            <w:i w:val="0"/>
            <w:iCs w:val="0"/>
          </w:rPr>
          <w:t>دیوان یعقوب ساوجی‏</w:t>
        </w:r>
        <w:r>
          <w:tab/>
        </w:r>
        <w:r>
          <w:fldChar w:fldCharType="begin"/>
        </w:r>
        <w:r>
          <w:instrText xml:space="preserve">PAGEREF 9797 \h</w:instrText>
        </w:r>
        <w:r>
          <w:fldChar w:fldCharType="end"/>
        </w:r>
      </w:hyperlink>
    </w:p>
    <w:p>
      <w:pPr>
        <w:tabs>
          <w:tab w:val="right" w:leader="dot" w:pos="9062"/>
        </w:tabs>
        <w:ind w:left="440"/>
      </w:pPr>
      <w:hyperlink w:anchor="_Toc9798" w:history="1">
        <w:r>
          <w:rPr>
            <w:rFonts w:ascii="IRNazanin" w:hAnsi="IRNazanin" w:eastAsia="IRNazanin" w:cs="IRNazanin"/>
            <w:color w:val="111111"/>
            <w:sz w:val="22"/>
            <w:szCs w:val="22"/>
            <w:b w:val="0"/>
            <w:bCs w:val="0"/>
            <w:i w:val="0"/>
            <w:iCs w:val="0"/>
          </w:rPr>
          <w:t>8416- دیوان یعقوب غیاث‏پوری أو شعره‏</w:t>
        </w:r>
        <w:r>
          <w:tab/>
        </w:r>
        <w:r>
          <w:fldChar w:fldCharType="begin"/>
        </w:r>
        <w:r>
          <w:instrText xml:space="preserve">PAGEREF 9798 \h</w:instrText>
        </w:r>
        <w:r>
          <w:fldChar w:fldCharType="end"/>
        </w:r>
      </w:hyperlink>
    </w:p>
    <w:p>
      <w:pPr>
        <w:tabs>
          <w:tab w:val="right" w:leader="dot" w:pos="9062"/>
        </w:tabs>
        <w:ind w:left="440"/>
      </w:pPr>
      <w:hyperlink w:anchor="_Toc9799" w:history="1">
        <w:r>
          <w:rPr>
            <w:rFonts w:ascii="IRNazanin" w:hAnsi="IRNazanin" w:eastAsia="IRNazanin" w:cs="IRNazanin"/>
            <w:color w:val="111111"/>
            <w:sz w:val="22"/>
            <w:szCs w:val="22"/>
            <w:b w:val="0"/>
            <w:bCs w:val="0"/>
            <w:i w:val="0"/>
            <w:iCs w:val="0"/>
          </w:rPr>
          <w:t>دیوان یعقوب قمی‏</w:t>
        </w:r>
        <w:r>
          <w:tab/>
        </w:r>
        <w:r>
          <w:fldChar w:fldCharType="begin"/>
        </w:r>
        <w:r>
          <w:instrText xml:space="preserve">PAGEREF 9799 \h</w:instrText>
        </w:r>
        <w:r>
          <w:fldChar w:fldCharType="end"/>
        </w:r>
      </w:hyperlink>
    </w:p>
    <w:p>
      <w:pPr>
        <w:tabs>
          <w:tab w:val="right" w:leader="dot" w:pos="9062"/>
        </w:tabs>
        <w:ind w:left="440"/>
      </w:pPr>
      <w:hyperlink w:anchor="_Toc9800" w:history="1">
        <w:r>
          <w:rPr>
            <w:rFonts w:ascii="IRNazanin" w:hAnsi="IRNazanin" w:eastAsia="IRNazanin" w:cs="IRNazanin"/>
            <w:color w:val="111111"/>
            <w:sz w:val="22"/>
            <w:szCs w:val="22"/>
            <w:b w:val="0"/>
            <w:bCs w:val="0"/>
            <w:i w:val="0"/>
            <w:iCs w:val="0"/>
          </w:rPr>
          <w:t>8417- دیوان یعقوب کشمیری أو شعره‏</w:t>
        </w:r>
        <w:r>
          <w:tab/>
        </w:r>
        <w:r>
          <w:fldChar w:fldCharType="begin"/>
        </w:r>
        <w:r>
          <w:instrText xml:space="preserve">PAGEREF 9800 \h</w:instrText>
        </w:r>
        <w:r>
          <w:fldChar w:fldCharType="end"/>
        </w:r>
      </w:hyperlink>
    </w:p>
    <w:p>
      <w:pPr>
        <w:tabs>
          <w:tab w:val="right" w:leader="dot" w:pos="9062"/>
        </w:tabs>
        <w:ind w:left="440"/>
      </w:pPr>
      <w:hyperlink w:anchor="_Toc9801" w:history="1">
        <w:r>
          <w:rPr>
            <w:rFonts w:ascii="IRNazanin" w:hAnsi="IRNazanin" w:eastAsia="IRNazanin" w:cs="IRNazanin"/>
            <w:color w:val="111111"/>
            <w:sz w:val="22"/>
            <w:szCs w:val="22"/>
            <w:b w:val="0"/>
            <w:bCs w:val="0"/>
            <w:i w:val="0"/>
            <w:iCs w:val="0"/>
          </w:rPr>
          <w:t>8418- دیوان یعقوب ماهی‏دشتی‏</w:t>
        </w:r>
        <w:r>
          <w:tab/>
        </w:r>
        <w:r>
          <w:fldChar w:fldCharType="begin"/>
        </w:r>
        <w:r>
          <w:instrText xml:space="preserve">PAGEREF 9801 \h</w:instrText>
        </w:r>
        <w:r>
          <w:fldChar w:fldCharType="end"/>
        </w:r>
      </w:hyperlink>
    </w:p>
    <w:p>
      <w:pPr>
        <w:tabs>
          <w:tab w:val="right" w:leader="dot" w:pos="9062"/>
        </w:tabs>
        <w:ind w:left="440"/>
      </w:pPr>
      <w:hyperlink w:anchor="_Toc9802" w:history="1">
        <w:r>
          <w:rPr>
            <w:rFonts w:ascii="IRNazanin" w:hAnsi="IRNazanin" w:eastAsia="IRNazanin" w:cs="IRNazanin"/>
            <w:color w:val="111111"/>
            <w:sz w:val="22"/>
            <w:szCs w:val="22"/>
            <w:b w:val="0"/>
            <w:bCs w:val="0"/>
            <w:i w:val="0"/>
            <w:iCs w:val="0"/>
          </w:rPr>
          <w:t>8419- دیوان یعقوب هندی‏</w:t>
        </w:r>
        <w:r>
          <w:tab/>
        </w:r>
        <w:r>
          <w:fldChar w:fldCharType="begin"/>
        </w:r>
        <w:r>
          <w:instrText xml:space="preserve">PAGEREF 9802 \h</w:instrText>
        </w:r>
        <w:r>
          <w:fldChar w:fldCharType="end"/>
        </w:r>
      </w:hyperlink>
    </w:p>
    <w:p>
      <w:pPr>
        <w:tabs>
          <w:tab w:val="right" w:leader="dot" w:pos="9062"/>
        </w:tabs>
        <w:ind w:left="440"/>
      </w:pPr>
      <w:hyperlink w:anchor="_Toc9803" w:history="1">
        <w:r>
          <w:rPr>
            <w:rFonts w:ascii="IRNazanin" w:hAnsi="IRNazanin" w:eastAsia="IRNazanin" w:cs="IRNazanin"/>
            <w:color w:val="111111"/>
            <w:sz w:val="22"/>
            <w:szCs w:val="22"/>
            <w:b w:val="0"/>
            <w:bCs w:val="0"/>
            <w:i w:val="0"/>
            <w:iCs w:val="0"/>
          </w:rPr>
          <w:t>دیوان یعقوبی ساوجی‏</w:t>
        </w:r>
        <w:r>
          <w:tab/>
        </w:r>
        <w:r>
          <w:fldChar w:fldCharType="begin"/>
        </w:r>
        <w:r>
          <w:instrText xml:space="preserve">PAGEREF 9803 \h</w:instrText>
        </w:r>
        <w:r>
          <w:fldChar w:fldCharType="end"/>
        </w:r>
      </w:hyperlink>
    </w:p>
    <w:p>
      <w:pPr>
        <w:tabs>
          <w:tab w:val="right" w:leader="dot" w:pos="9062"/>
        </w:tabs>
        <w:ind w:left="440"/>
      </w:pPr>
      <w:hyperlink w:anchor="_Toc9804" w:history="1">
        <w:r>
          <w:rPr>
            <w:rFonts w:ascii="IRNazanin" w:hAnsi="IRNazanin" w:eastAsia="IRNazanin" w:cs="IRNazanin"/>
            <w:color w:val="111111"/>
            <w:sz w:val="22"/>
            <w:szCs w:val="22"/>
            <w:b w:val="0"/>
            <w:bCs w:val="0"/>
            <w:i w:val="0"/>
            <w:iCs w:val="0"/>
          </w:rPr>
          <w:t>8420- دیوان یعقوبی قمی أو شعره‏</w:t>
        </w:r>
        <w:r>
          <w:tab/>
        </w:r>
        <w:r>
          <w:fldChar w:fldCharType="begin"/>
        </w:r>
        <w:r>
          <w:instrText xml:space="preserve">PAGEREF 9804 \h</w:instrText>
        </w:r>
        <w:r>
          <w:fldChar w:fldCharType="end"/>
        </w:r>
      </w:hyperlink>
    </w:p>
    <w:p>
      <w:pPr>
        <w:tabs>
          <w:tab w:val="right" w:leader="dot" w:pos="9062"/>
        </w:tabs>
        <w:ind w:left="440"/>
      </w:pPr>
      <w:hyperlink w:anchor="_Toc9805" w:history="1">
        <w:r>
          <w:rPr>
            <w:rFonts w:ascii="IRNazanin" w:hAnsi="IRNazanin" w:eastAsia="IRNazanin" w:cs="IRNazanin"/>
            <w:color w:val="111111"/>
            <w:sz w:val="22"/>
            <w:szCs w:val="22"/>
            <w:b w:val="0"/>
            <w:bCs w:val="0"/>
            <w:i w:val="0"/>
            <w:iCs w:val="0"/>
          </w:rPr>
          <w:t>دیوان یعقوبی کاشی‏</w:t>
        </w:r>
        <w:r>
          <w:tab/>
        </w:r>
        <w:r>
          <w:fldChar w:fldCharType="begin"/>
        </w:r>
        <w:r>
          <w:instrText xml:space="preserve">PAGEREF 9805 \h</w:instrText>
        </w:r>
        <w:r>
          <w:fldChar w:fldCharType="end"/>
        </w:r>
      </w:hyperlink>
    </w:p>
    <w:p>
      <w:pPr>
        <w:tabs>
          <w:tab w:val="right" w:leader="dot" w:pos="9062"/>
        </w:tabs>
        <w:ind w:left="440"/>
      </w:pPr>
      <w:hyperlink w:anchor="_Toc9806" w:history="1">
        <w:r>
          <w:rPr>
            <w:rFonts w:ascii="IRNazanin" w:hAnsi="IRNazanin" w:eastAsia="IRNazanin" w:cs="IRNazanin"/>
            <w:color w:val="111111"/>
            <w:sz w:val="22"/>
            <w:szCs w:val="22"/>
            <w:b w:val="0"/>
            <w:bCs w:val="0"/>
            <w:i w:val="0"/>
            <w:iCs w:val="0"/>
          </w:rPr>
          <w:t>8421- دیوان الیعقوبی النجفی‏</w:t>
        </w:r>
        <w:r>
          <w:tab/>
        </w:r>
        <w:r>
          <w:fldChar w:fldCharType="begin"/>
        </w:r>
        <w:r>
          <w:instrText xml:space="preserve">PAGEREF 9806 \h</w:instrText>
        </w:r>
        <w:r>
          <w:fldChar w:fldCharType="end"/>
        </w:r>
      </w:hyperlink>
    </w:p>
    <w:p>
      <w:pPr>
        <w:tabs>
          <w:tab w:val="right" w:leader="dot" w:pos="9062"/>
        </w:tabs>
        <w:ind w:left="440"/>
      </w:pPr>
      <w:hyperlink w:anchor="_Toc9807" w:history="1">
        <w:r>
          <w:rPr>
            <w:rFonts w:ascii="IRNazanin" w:hAnsi="IRNazanin" w:eastAsia="IRNazanin" w:cs="IRNazanin"/>
            <w:color w:val="111111"/>
            <w:sz w:val="22"/>
            <w:szCs w:val="22"/>
            <w:b w:val="0"/>
            <w:bCs w:val="0"/>
            <w:i w:val="0"/>
            <w:iCs w:val="0"/>
          </w:rPr>
          <w:t>8422- دیوان یغمای جندقی‏</w:t>
        </w:r>
        <w:r>
          <w:tab/>
        </w:r>
        <w:r>
          <w:fldChar w:fldCharType="begin"/>
        </w:r>
        <w:r>
          <w:instrText xml:space="preserve">PAGEREF 9807 \h</w:instrText>
        </w:r>
        <w:r>
          <w:fldChar w:fldCharType="end"/>
        </w:r>
      </w:hyperlink>
    </w:p>
    <w:p>
      <w:pPr>
        <w:tabs>
          <w:tab w:val="right" w:leader="dot" w:pos="9062"/>
        </w:tabs>
        <w:ind w:left="440"/>
      </w:pPr>
      <w:hyperlink w:anchor="_Toc9808" w:history="1">
        <w:r>
          <w:rPr>
            <w:rFonts w:ascii="IRNazanin" w:hAnsi="IRNazanin" w:eastAsia="IRNazanin" w:cs="IRNazanin"/>
            <w:color w:val="111111"/>
            <w:sz w:val="22"/>
            <w:szCs w:val="22"/>
            <w:b w:val="0"/>
            <w:bCs w:val="0"/>
            <w:i w:val="0"/>
            <w:iCs w:val="0"/>
          </w:rPr>
          <w:t>8423- دیوان یغمای خیاط أو شعره‏</w:t>
        </w:r>
        <w:r>
          <w:tab/>
        </w:r>
        <w:r>
          <w:fldChar w:fldCharType="begin"/>
        </w:r>
        <w:r>
          <w:instrText xml:space="preserve">PAGEREF 9808 \h</w:instrText>
        </w:r>
        <w:r>
          <w:fldChar w:fldCharType="end"/>
        </w:r>
      </w:hyperlink>
    </w:p>
    <w:p>
      <w:pPr>
        <w:tabs>
          <w:tab w:val="right" w:leader="dot" w:pos="9062"/>
        </w:tabs>
        <w:ind w:left="440"/>
      </w:pPr>
      <w:hyperlink w:anchor="_Toc9809" w:history="1">
        <w:r>
          <w:rPr>
            <w:rFonts w:ascii="IRNazanin" w:hAnsi="IRNazanin" w:eastAsia="IRNazanin" w:cs="IRNazanin"/>
            <w:color w:val="111111"/>
            <w:sz w:val="22"/>
            <w:szCs w:val="22"/>
            <w:b w:val="0"/>
            <w:bCs w:val="0"/>
            <w:i w:val="0"/>
            <w:iCs w:val="0"/>
          </w:rPr>
          <w:t>8424- دیوان یغمای قمی أو شعره‏</w:t>
        </w:r>
        <w:r>
          <w:tab/>
        </w:r>
        <w:r>
          <w:fldChar w:fldCharType="begin"/>
        </w:r>
        <w:r>
          <w:instrText xml:space="preserve">PAGEREF 9809 \h</w:instrText>
        </w:r>
        <w:r>
          <w:fldChar w:fldCharType="end"/>
        </w:r>
      </w:hyperlink>
    </w:p>
    <w:p>
      <w:pPr>
        <w:tabs>
          <w:tab w:val="right" w:leader="dot" w:pos="9062"/>
        </w:tabs>
        <w:ind w:left="440"/>
      </w:pPr>
      <w:hyperlink w:anchor="_Toc9810" w:history="1">
        <w:r>
          <w:rPr>
            <w:rFonts w:ascii="IRNazanin" w:hAnsi="IRNazanin" w:eastAsia="IRNazanin" w:cs="IRNazanin"/>
            <w:color w:val="111111"/>
            <w:sz w:val="22"/>
            <w:szCs w:val="22"/>
            <w:b w:val="0"/>
            <w:bCs w:val="0"/>
            <w:i w:val="0"/>
            <w:iCs w:val="0"/>
          </w:rPr>
          <w:t>8425- دیوان یغمائی‏</w:t>
        </w:r>
        <w:r>
          <w:tab/>
        </w:r>
        <w:r>
          <w:fldChar w:fldCharType="begin"/>
        </w:r>
        <w:r>
          <w:instrText xml:space="preserve">PAGEREF 9810 \h</w:instrText>
        </w:r>
        <w:r>
          <w:fldChar w:fldCharType="end"/>
        </w:r>
      </w:hyperlink>
    </w:p>
    <w:p>
      <w:pPr>
        <w:tabs>
          <w:tab w:val="right" w:leader="dot" w:pos="9062"/>
        </w:tabs>
        <w:ind w:left="440"/>
      </w:pPr>
      <w:hyperlink w:anchor="_Toc9811" w:history="1">
        <w:r>
          <w:rPr>
            <w:rFonts w:ascii="IRNazanin" w:hAnsi="IRNazanin" w:eastAsia="IRNazanin" w:cs="IRNazanin"/>
            <w:color w:val="111111"/>
            <w:sz w:val="22"/>
            <w:szCs w:val="22"/>
            <w:b w:val="0"/>
            <w:bCs w:val="0"/>
            <w:i w:val="0"/>
            <w:iCs w:val="0"/>
          </w:rPr>
          <w:t>8426- دیوان یقین کاشی أو شعره‏</w:t>
        </w:r>
        <w:r>
          <w:tab/>
        </w:r>
        <w:r>
          <w:fldChar w:fldCharType="begin"/>
        </w:r>
        <w:r>
          <w:instrText xml:space="preserve">PAGEREF 9811 \h</w:instrText>
        </w:r>
        <w:r>
          <w:fldChar w:fldCharType="end"/>
        </w:r>
      </w:hyperlink>
    </w:p>
    <w:p>
      <w:pPr>
        <w:tabs>
          <w:tab w:val="right" w:leader="dot" w:pos="9062"/>
        </w:tabs>
        <w:ind w:left="440"/>
      </w:pPr>
      <w:hyperlink w:anchor="_Toc9812" w:history="1">
        <w:r>
          <w:rPr>
            <w:rFonts w:ascii="IRNazanin" w:hAnsi="IRNazanin" w:eastAsia="IRNazanin" w:cs="IRNazanin"/>
            <w:color w:val="111111"/>
            <w:sz w:val="22"/>
            <w:szCs w:val="22"/>
            <w:b w:val="0"/>
            <w:bCs w:val="0"/>
            <w:i w:val="0"/>
            <w:iCs w:val="0"/>
          </w:rPr>
          <w:t>8427- دیوان یقینی خلخالی أو شعره‏</w:t>
        </w:r>
        <w:r>
          <w:tab/>
        </w:r>
        <w:r>
          <w:fldChar w:fldCharType="begin"/>
        </w:r>
        <w:r>
          <w:instrText xml:space="preserve">PAGEREF 9812 \h</w:instrText>
        </w:r>
        <w:r>
          <w:fldChar w:fldCharType="end"/>
        </w:r>
      </w:hyperlink>
    </w:p>
    <w:p>
      <w:pPr>
        <w:tabs>
          <w:tab w:val="right" w:leader="dot" w:pos="9062"/>
        </w:tabs>
        <w:ind w:left="440"/>
      </w:pPr>
      <w:hyperlink w:anchor="_Toc9813" w:history="1">
        <w:r>
          <w:rPr>
            <w:rFonts w:ascii="IRNazanin" w:hAnsi="IRNazanin" w:eastAsia="IRNazanin" w:cs="IRNazanin"/>
            <w:color w:val="111111"/>
            <w:sz w:val="22"/>
            <w:szCs w:val="22"/>
            <w:b w:val="0"/>
            <w:bCs w:val="0"/>
            <w:i w:val="0"/>
            <w:iCs w:val="0"/>
          </w:rPr>
          <w:t>8428- دیوان یقینی شیروانی‏</w:t>
        </w:r>
        <w:r>
          <w:tab/>
        </w:r>
        <w:r>
          <w:fldChar w:fldCharType="begin"/>
        </w:r>
        <w:r>
          <w:instrText xml:space="preserve">PAGEREF 9813 \h</w:instrText>
        </w:r>
        <w:r>
          <w:fldChar w:fldCharType="end"/>
        </w:r>
      </w:hyperlink>
    </w:p>
    <w:p>
      <w:pPr>
        <w:tabs>
          <w:tab w:val="right" w:leader="dot" w:pos="9062"/>
        </w:tabs>
        <w:ind w:left="440"/>
      </w:pPr>
      <w:hyperlink w:anchor="_Toc9814" w:history="1">
        <w:r>
          <w:rPr>
            <w:rFonts w:ascii="IRNazanin" w:hAnsi="IRNazanin" w:eastAsia="IRNazanin" w:cs="IRNazanin"/>
            <w:color w:val="111111"/>
            <w:sz w:val="22"/>
            <w:szCs w:val="22"/>
            <w:b w:val="0"/>
            <w:bCs w:val="0"/>
            <w:i w:val="0"/>
            <w:iCs w:val="0"/>
          </w:rPr>
          <w:t>8429- دیوان یقینی لاهیجی‏</w:t>
        </w:r>
        <w:r>
          <w:tab/>
        </w:r>
        <w:r>
          <w:fldChar w:fldCharType="begin"/>
        </w:r>
        <w:r>
          <w:instrText xml:space="preserve">PAGEREF 9814 \h</w:instrText>
        </w:r>
        <w:r>
          <w:fldChar w:fldCharType="end"/>
        </w:r>
      </w:hyperlink>
    </w:p>
    <w:p>
      <w:pPr>
        <w:tabs>
          <w:tab w:val="right" w:leader="dot" w:pos="9062"/>
        </w:tabs>
        <w:ind w:left="440"/>
      </w:pPr>
      <w:hyperlink w:anchor="_Toc9815" w:history="1">
        <w:r>
          <w:rPr>
            <w:rFonts w:ascii="IRNazanin" w:hAnsi="IRNazanin" w:eastAsia="IRNazanin" w:cs="IRNazanin"/>
            <w:color w:val="111111"/>
            <w:sz w:val="22"/>
            <w:szCs w:val="22"/>
            <w:b w:val="0"/>
            <w:bCs w:val="0"/>
            <w:i w:val="0"/>
            <w:iCs w:val="0"/>
          </w:rPr>
          <w:t>8430- دیوان یقینی هروی أو شعره‏</w:t>
        </w:r>
        <w:r>
          <w:tab/>
        </w:r>
        <w:r>
          <w:fldChar w:fldCharType="begin"/>
        </w:r>
        <w:r>
          <w:instrText xml:space="preserve">PAGEREF 9815 \h</w:instrText>
        </w:r>
        <w:r>
          <w:fldChar w:fldCharType="end"/>
        </w:r>
      </w:hyperlink>
    </w:p>
    <w:p>
      <w:pPr>
        <w:tabs>
          <w:tab w:val="right" w:leader="dot" w:pos="9062"/>
        </w:tabs>
        <w:ind w:left="440"/>
      </w:pPr>
      <w:hyperlink w:anchor="_Toc9816" w:history="1">
        <w:r>
          <w:rPr>
            <w:rFonts w:ascii="IRNazanin" w:hAnsi="IRNazanin" w:eastAsia="IRNazanin" w:cs="IRNazanin"/>
            <w:color w:val="111111"/>
            <w:sz w:val="22"/>
            <w:szCs w:val="22"/>
            <w:b w:val="0"/>
            <w:bCs w:val="0"/>
            <w:i w:val="0"/>
            <w:iCs w:val="0"/>
          </w:rPr>
          <w:t>8431- دیوان یکتای أصفهانی‏</w:t>
        </w:r>
        <w:r>
          <w:tab/>
        </w:r>
        <w:r>
          <w:fldChar w:fldCharType="begin"/>
        </w:r>
        <w:r>
          <w:instrText xml:space="preserve">PAGEREF 9816 \h</w:instrText>
        </w:r>
        <w:r>
          <w:fldChar w:fldCharType="end"/>
        </w:r>
      </w:hyperlink>
    </w:p>
    <w:p>
      <w:pPr>
        <w:tabs>
          <w:tab w:val="right" w:leader="dot" w:pos="9062"/>
        </w:tabs>
        <w:ind w:left="440"/>
      </w:pPr>
      <w:hyperlink w:anchor="_Toc9817" w:history="1">
        <w:r>
          <w:rPr>
            <w:rFonts w:ascii="IRNazanin" w:hAnsi="IRNazanin" w:eastAsia="IRNazanin" w:cs="IRNazanin"/>
            <w:color w:val="111111"/>
            <w:sz w:val="22"/>
            <w:szCs w:val="22"/>
            <w:b w:val="0"/>
            <w:bCs w:val="0"/>
            <w:i w:val="0"/>
            <w:iCs w:val="0"/>
          </w:rPr>
          <w:t>8432- دیوان یکتای بلخی أو شعره‏</w:t>
        </w:r>
        <w:r>
          <w:tab/>
        </w:r>
        <w:r>
          <w:fldChar w:fldCharType="begin"/>
        </w:r>
        <w:r>
          <w:instrText xml:space="preserve">PAGEREF 9817 \h</w:instrText>
        </w:r>
        <w:r>
          <w:fldChar w:fldCharType="end"/>
        </w:r>
      </w:hyperlink>
    </w:p>
    <w:p>
      <w:pPr>
        <w:tabs>
          <w:tab w:val="right" w:leader="dot" w:pos="9062"/>
        </w:tabs>
        <w:ind w:left="440"/>
      </w:pPr>
      <w:hyperlink w:anchor="_Toc9818" w:history="1">
        <w:r>
          <w:rPr>
            <w:rFonts w:ascii="IRNazanin" w:hAnsi="IRNazanin" w:eastAsia="IRNazanin" w:cs="IRNazanin"/>
            <w:color w:val="111111"/>
            <w:sz w:val="22"/>
            <w:szCs w:val="22"/>
            <w:b w:val="0"/>
            <w:bCs w:val="0"/>
            <w:i w:val="0"/>
            <w:iCs w:val="0"/>
          </w:rPr>
          <w:t>8433- دیوان یکتای جوشقانی‏</w:t>
        </w:r>
        <w:r>
          <w:tab/>
        </w:r>
        <w:r>
          <w:fldChar w:fldCharType="begin"/>
        </w:r>
        <w:r>
          <w:instrText xml:space="preserve">PAGEREF 9818 \h</w:instrText>
        </w:r>
        <w:r>
          <w:fldChar w:fldCharType="end"/>
        </w:r>
      </w:hyperlink>
    </w:p>
    <w:p>
      <w:pPr>
        <w:tabs>
          <w:tab w:val="right" w:leader="dot" w:pos="9062"/>
        </w:tabs>
        <w:ind w:left="440"/>
      </w:pPr>
      <w:hyperlink w:anchor="_Toc9819" w:history="1">
        <w:r>
          <w:rPr>
            <w:rFonts w:ascii="IRNazanin" w:hAnsi="IRNazanin" w:eastAsia="IRNazanin" w:cs="IRNazanin"/>
            <w:color w:val="111111"/>
            <w:sz w:val="22"/>
            <w:szCs w:val="22"/>
            <w:b w:val="0"/>
            <w:bCs w:val="0"/>
            <w:i w:val="0"/>
            <w:iCs w:val="0"/>
          </w:rPr>
          <w:t>8434- دیوان یکتای کشمیری أو شعره‏</w:t>
        </w:r>
        <w:r>
          <w:tab/>
        </w:r>
        <w:r>
          <w:fldChar w:fldCharType="begin"/>
        </w:r>
        <w:r>
          <w:instrText xml:space="preserve">PAGEREF 9819 \h</w:instrText>
        </w:r>
        <w:r>
          <w:fldChar w:fldCharType="end"/>
        </w:r>
      </w:hyperlink>
    </w:p>
    <w:p>
      <w:pPr>
        <w:tabs>
          <w:tab w:val="right" w:leader="dot" w:pos="9062"/>
        </w:tabs>
        <w:ind w:left="440"/>
      </w:pPr>
      <w:hyperlink w:anchor="_Toc9820" w:history="1">
        <w:r>
          <w:rPr>
            <w:rFonts w:ascii="IRNazanin" w:hAnsi="IRNazanin" w:eastAsia="IRNazanin" w:cs="IRNazanin"/>
            <w:color w:val="111111"/>
            <w:sz w:val="22"/>
            <w:szCs w:val="22"/>
            <w:b w:val="0"/>
            <w:bCs w:val="0"/>
            <w:i w:val="0"/>
            <w:iCs w:val="0"/>
          </w:rPr>
          <w:t>8435- دیوان یکتای لاهوری‏</w:t>
        </w:r>
        <w:r>
          <w:tab/>
        </w:r>
        <w:r>
          <w:fldChar w:fldCharType="begin"/>
        </w:r>
        <w:r>
          <w:instrText xml:space="preserve">PAGEREF 9820 \h</w:instrText>
        </w:r>
        <w:r>
          <w:fldChar w:fldCharType="end"/>
        </w:r>
      </w:hyperlink>
    </w:p>
    <w:p>
      <w:pPr>
        <w:tabs>
          <w:tab w:val="right" w:leader="dot" w:pos="9062"/>
        </w:tabs>
        <w:ind w:left="440"/>
      </w:pPr>
      <w:hyperlink w:anchor="_Toc9821" w:history="1">
        <w:r>
          <w:rPr>
            <w:rFonts w:ascii="IRNazanin" w:hAnsi="IRNazanin" w:eastAsia="IRNazanin" w:cs="IRNazanin"/>
            <w:color w:val="111111"/>
            <w:sz w:val="22"/>
            <w:szCs w:val="22"/>
            <w:b w:val="0"/>
            <w:bCs w:val="0"/>
            <w:i w:val="0"/>
            <w:iCs w:val="0"/>
          </w:rPr>
          <w:t>8436- دیوان یکتای لاهوری أو شعره‏</w:t>
        </w:r>
        <w:r>
          <w:tab/>
        </w:r>
        <w:r>
          <w:fldChar w:fldCharType="begin"/>
        </w:r>
        <w:r>
          <w:instrText xml:space="preserve">PAGEREF 9821 \h</w:instrText>
        </w:r>
        <w:r>
          <w:fldChar w:fldCharType="end"/>
        </w:r>
      </w:hyperlink>
    </w:p>
    <w:p>
      <w:pPr>
        <w:tabs>
          <w:tab w:val="right" w:leader="dot" w:pos="9062"/>
        </w:tabs>
        <w:ind w:left="440"/>
      </w:pPr>
      <w:hyperlink w:anchor="_Toc9822" w:history="1">
        <w:r>
          <w:rPr>
            <w:rFonts w:ascii="IRNazanin" w:hAnsi="IRNazanin" w:eastAsia="IRNazanin" w:cs="IRNazanin"/>
            <w:color w:val="111111"/>
            <w:sz w:val="22"/>
            <w:szCs w:val="22"/>
            <w:b w:val="0"/>
            <w:bCs w:val="0"/>
            <w:i w:val="0"/>
            <w:iCs w:val="0"/>
          </w:rPr>
          <w:t>8437- دیوان یک دل مرادآبادی أو شعره‏</w:t>
        </w:r>
        <w:r>
          <w:tab/>
        </w:r>
        <w:r>
          <w:fldChar w:fldCharType="begin"/>
        </w:r>
        <w:r>
          <w:instrText xml:space="preserve">PAGEREF 9822 \h</w:instrText>
        </w:r>
        <w:r>
          <w:fldChar w:fldCharType="end"/>
        </w:r>
      </w:hyperlink>
    </w:p>
    <w:p>
      <w:pPr>
        <w:tabs>
          <w:tab w:val="right" w:leader="dot" w:pos="9062"/>
        </w:tabs>
        <w:ind w:left="440"/>
      </w:pPr>
      <w:hyperlink w:anchor="_Toc9823" w:history="1">
        <w:r>
          <w:rPr>
            <w:rFonts w:ascii="IRNazanin" w:hAnsi="IRNazanin" w:eastAsia="IRNazanin" w:cs="IRNazanin"/>
            <w:color w:val="111111"/>
            <w:sz w:val="22"/>
            <w:szCs w:val="22"/>
            <w:b w:val="0"/>
            <w:bCs w:val="0"/>
            <w:i w:val="0"/>
            <w:iCs w:val="0"/>
          </w:rPr>
          <w:t>8438- دیوان یکسان دهلوی أو شعره‏</w:t>
        </w:r>
        <w:r>
          <w:tab/>
        </w:r>
        <w:r>
          <w:fldChar w:fldCharType="begin"/>
        </w:r>
        <w:r>
          <w:instrText xml:space="preserve">PAGEREF 9823 \h</w:instrText>
        </w:r>
        <w:r>
          <w:fldChar w:fldCharType="end"/>
        </w:r>
      </w:hyperlink>
    </w:p>
    <w:p>
      <w:pPr>
        <w:tabs>
          <w:tab w:val="right" w:leader="dot" w:pos="9062"/>
        </w:tabs>
        <w:ind w:left="440"/>
      </w:pPr>
      <w:hyperlink w:anchor="_Toc9824" w:history="1">
        <w:r>
          <w:rPr>
            <w:rFonts w:ascii="IRNazanin" w:hAnsi="IRNazanin" w:eastAsia="IRNazanin" w:cs="IRNazanin"/>
            <w:color w:val="111111"/>
            <w:sz w:val="22"/>
            <w:szCs w:val="22"/>
            <w:b w:val="0"/>
            <w:bCs w:val="0"/>
            <w:i w:val="0"/>
            <w:iCs w:val="0"/>
          </w:rPr>
          <w:t>دیوان یک و دو</w:t>
        </w:r>
        <w:r>
          <w:tab/>
        </w:r>
        <w:r>
          <w:fldChar w:fldCharType="begin"/>
        </w:r>
        <w:r>
          <w:instrText xml:space="preserve">PAGEREF 9824 \h</w:instrText>
        </w:r>
        <w:r>
          <w:fldChar w:fldCharType="end"/>
        </w:r>
      </w:hyperlink>
    </w:p>
    <w:p>
      <w:pPr>
        <w:tabs>
          <w:tab w:val="right" w:leader="dot" w:pos="9062"/>
        </w:tabs>
        <w:ind w:left="440"/>
      </w:pPr>
      <w:hyperlink w:anchor="_Toc9825" w:history="1">
        <w:r>
          <w:rPr>
            <w:rFonts w:ascii="IRNazanin" w:hAnsi="IRNazanin" w:eastAsia="IRNazanin" w:cs="IRNazanin"/>
            <w:color w:val="111111"/>
            <w:sz w:val="22"/>
            <w:szCs w:val="22"/>
            <w:b w:val="0"/>
            <w:bCs w:val="0"/>
            <w:i w:val="0"/>
            <w:iCs w:val="0"/>
          </w:rPr>
          <w:t>دیوان یکه‏سوار</w:t>
        </w:r>
        <w:r>
          <w:tab/>
        </w:r>
        <w:r>
          <w:fldChar w:fldCharType="begin"/>
        </w:r>
        <w:r>
          <w:instrText xml:space="preserve">PAGEREF 9825 \h</w:instrText>
        </w:r>
        <w:r>
          <w:fldChar w:fldCharType="end"/>
        </w:r>
      </w:hyperlink>
    </w:p>
    <w:p>
      <w:pPr>
        <w:tabs>
          <w:tab w:val="right" w:leader="dot" w:pos="9062"/>
        </w:tabs>
        <w:ind w:left="440"/>
      </w:pPr>
      <w:hyperlink w:anchor="_Toc9826" w:history="1">
        <w:r>
          <w:rPr>
            <w:rFonts w:ascii="IRNazanin" w:hAnsi="IRNazanin" w:eastAsia="IRNazanin" w:cs="IRNazanin"/>
            <w:color w:val="111111"/>
            <w:sz w:val="22"/>
            <w:szCs w:val="22"/>
            <w:b w:val="0"/>
            <w:bCs w:val="0"/>
            <w:i w:val="0"/>
            <w:iCs w:val="0"/>
          </w:rPr>
          <w:t>8439- دیوان یگانه بلخی أو شعره‏</w:t>
        </w:r>
        <w:r>
          <w:tab/>
        </w:r>
        <w:r>
          <w:fldChar w:fldCharType="begin"/>
        </w:r>
        <w:r>
          <w:instrText xml:space="preserve">PAGEREF 9826 \h</w:instrText>
        </w:r>
        <w:r>
          <w:fldChar w:fldCharType="end"/>
        </w:r>
      </w:hyperlink>
    </w:p>
    <w:p>
      <w:pPr>
        <w:tabs>
          <w:tab w:val="right" w:leader="dot" w:pos="9062"/>
        </w:tabs>
        <w:ind w:left="440"/>
      </w:pPr>
      <w:hyperlink w:anchor="_Toc9827" w:history="1">
        <w:r>
          <w:rPr>
            <w:rFonts w:ascii="IRNazanin" w:hAnsi="IRNazanin" w:eastAsia="IRNazanin" w:cs="IRNazanin"/>
            <w:color w:val="111111"/>
            <w:sz w:val="22"/>
            <w:szCs w:val="22"/>
            <w:b w:val="0"/>
            <w:bCs w:val="0"/>
            <w:i w:val="0"/>
            <w:iCs w:val="0"/>
          </w:rPr>
          <w:t>دیوان یلدای ماکوئی‏</w:t>
        </w:r>
        <w:r>
          <w:tab/>
        </w:r>
        <w:r>
          <w:fldChar w:fldCharType="begin"/>
        </w:r>
        <w:r>
          <w:instrText xml:space="preserve">PAGEREF 9827 \h</w:instrText>
        </w:r>
        <w:r>
          <w:fldChar w:fldCharType="end"/>
        </w:r>
      </w:hyperlink>
    </w:p>
    <w:p>
      <w:pPr>
        <w:tabs>
          <w:tab w:val="right" w:leader="dot" w:pos="9062"/>
        </w:tabs>
        <w:ind w:left="440"/>
      </w:pPr>
      <w:hyperlink w:anchor="_Toc9828" w:history="1">
        <w:r>
          <w:rPr>
            <w:rFonts w:ascii="IRNazanin" w:hAnsi="IRNazanin" w:eastAsia="IRNazanin" w:cs="IRNazanin"/>
            <w:color w:val="111111"/>
            <w:sz w:val="22"/>
            <w:szCs w:val="22"/>
            <w:b w:val="0"/>
            <w:bCs w:val="0"/>
            <w:i w:val="0"/>
            <w:iCs w:val="0"/>
          </w:rPr>
          <w:t>دیوان یمین سمنانی‏</w:t>
        </w:r>
        <w:r>
          <w:tab/>
        </w:r>
        <w:r>
          <w:fldChar w:fldCharType="begin"/>
        </w:r>
        <w:r>
          <w:instrText xml:space="preserve">PAGEREF 9828 \h</w:instrText>
        </w:r>
        <w:r>
          <w:fldChar w:fldCharType="end"/>
        </w:r>
      </w:hyperlink>
    </w:p>
    <w:p>
      <w:pPr>
        <w:tabs>
          <w:tab w:val="right" w:leader="dot" w:pos="9062"/>
        </w:tabs>
        <w:ind w:left="440"/>
      </w:pPr>
      <w:hyperlink w:anchor="_Toc9829" w:history="1">
        <w:r>
          <w:rPr>
            <w:rFonts w:ascii="IRNazanin" w:hAnsi="IRNazanin" w:eastAsia="IRNazanin" w:cs="IRNazanin"/>
            <w:color w:val="111111"/>
            <w:sz w:val="22"/>
            <w:szCs w:val="22"/>
            <w:b w:val="0"/>
            <w:bCs w:val="0"/>
            <w:i w:val="0"/>
            <w:iCs w:val="0"/>
          </w:rPr>
          <w:t>8440- دیوان یمین فریومدی‏</w:t>
        </w:r>
        <w:r>
          <w:tab/>
        </w:r>
        <w:r>
          <w:fldChar w:fldCharType="begin"/>
        </w:r>
        <w:r>
          <w:instrText xml:space="preserve">PAGEREF 9829 \h</w:instrText>
        </w:r>
        <w:r>
          <w:fldChar w:fldCharType="end"/>
        </w:r>
      </w:hyperlink>
    </w:p>
    <w:p>
      <w:pPr>
        <w:tabs>
          <w:tab w:val="right" w:leader="dot" w:pos="9062"/>
        </w:tabs>
        <w:ind w:left="440"/>
      </w:pPr>
      <w:hyperlink w:anchor="_Toc9830" w:history="1">
        <w:r>
          <w:rPr>
            <w:rFonts w:ascii="IRNazanin" w:hAnsi="IRNazanin" w:eastAsia="IRNazanin" w:cs="IRNazanin"/>
            <w:color w:val="111111"/>
            <w:sz w:val="22"/>
            <w:szCs w:val="22"/>
            <w:b w:val="0"/>
            <w:bCs w:val="0"/>
            <w:i w:val="0"/>
            <w:iCs w:val="0"/>
          </w:rPr>
          <w:t>8441- دیوان یمینی تهرانی‏</w:t>
        </w:r>
        <w:r>
          <w:tab/>
        </w:r>
        <w:r>
          <w:fldChar w:fldCharType="begin"/>
        </w:r>
        <w:r>
          <w:instrText xml:space="preserve">PAGEREF 9830 \h</w:instrText>
        </w:r>
        <w:r>
          <w:fldChar w:fldCharType="end"/>
        </w:r>
      </w:hyperlink>
    </w:p>
    <w:p>
      <w:pPr>
        <w:tabs>
          <w:tab w:val="right" w:leader="dot" w:pos="9062"/>
        </w:tabs>
        <w:ind w:left="440"/>
      </w:pPr>
      <w:hyperlink w:anchor="_Toc9831" w:history="1">
        <w:r>
          <w:rPr>
            <w:rFonts w:ascii="IRNazanin" w:hAnsi="IRNazanin" w:eastAsia="IRNazanin" w:cs="IRNazanin"/>
            <w:color w:val="111111"/>
            <w:sz w:val="22"/>
            <w:szCs w:val="22"/>
            <w:b w:val="0"/>
            <w:bCs w:val="0"/>
            <w:i w:val="0"/>
            <w:iCs w:val="0"/>
          </w:rPr>
          <w:t>8442- دیوان یمینی سمنانی أو شعره‏</w:t>
        </w:r>
        <w:r>
          <w:tab/>
        </w:r>
        <w:r>
          <w:fldChar w:fldCharType="begin"/>
        </w:r>
        <w:r>
          <w:instrText xml:space="preserve">PAGEREF 9831 \h</w:instrText>
        </w:r>
        <w:r>
          <w:fldChar w:fldCharType="end"/>
        </w:r>
      </w:hyperlink>
    </w:p>
    <w:p>
      <w:pPr>
        <w:tabs>
          <w:tab w:val="right" w:leader="dot" w:pos="9062"/>
        </w:tabs>
        <w:ind w:left="440"/>
      </w:pPr>
      <w:hyperlink w:anchor="_Toc9832" w:history="1">
        <w:r>
          <w:rPr>
            <w:rFonts w:ascii="IRNazanin" w:hAnsi="IRNazanin" w:eastAsia="IRNazanin" w:cs="IRNazanin"/>
            <w:color w:val="111111"/>
            <w:sz w:val="22"/>
            <w:szCs w:val="22"/>
            <w:b w:val="0"/>
            <w:bCs w:val="0"/>
            <w:i w:val="0"/>
            <w:iCs w:val="0"/>
          </w:rPr>
          <w:t>8443- دیوان یمین شاه‏آبادی أو شعره‏</w:t>
        </w:r>
        <w:r>
          <w:tab/>
        </w:r>
        <w:r>
          <w:fldChar w:fldCharType="begin"/>
        </w:r>
        <w:r>
          <w:instrText xml:space="preserve">PAGEREF 9832 \h</w:instrText>
        </w:r>
        <w:r>
          <w:fldChar w:fldCharType="end"/>
        </w:r>
      </w:hyperlink>
    </w:p>
    <w:p>
      <w:pPr>
        <w:tabs>
          <w:tab w:val="right" w:leader="dot" w:pos="9062"/>
        </w:tabs>
        <w:ind w:left="440"/>
      </w:pPr>
      <w:hyperlink w:anchor="_Toc9833" w:history="1">
        <w:r>
          <w:rPr>
            <w:rFonts w:ascii="IRNazanin" w:hAnsi="IRNazanin" w:eastAsia="IRNazanin" w:cs="IRNazanin"/>
            <w:color w:val="111111"/>
            <w:sz w:val="22"/>
            <w:szCs w:val="22"/>
            <w:b w:val="0"/>
            <w:bCs w:val="0"/>
            <w:i w:val="0"/>
            <w:iCs w:val="0"/>
          </w:rPr>
          <w:t>8444- دیوان یمین غزنوی أو شعره‏</w:t>
        </w:r>
        <w:r>
          <w:tab/>
        </w:r>
        <w:r>
          <w:fldChar w:fldCharType="begin"/>
        </w:r>
        <w:r>
          <w:instrText xml:space="preserve">PAGEREF 9833 \h</w:instrText>
        </w:r>
        <w:r>
          <w:fldChar w:fldCharType="end"/>
        </w:r>
      </w:hyperlink>
    </w:p>
    <w:p>
      <w:pPr>
        <w:tabs>
          <w:tab w:val="right" w:leader="dot" w:pos="9062"/>
        </w:tabs>
        <w:ind w:left="440"/>
      </w:pPr>
      <w:hyperlink w:anchor="_Toc9834" w:history="1">
        <w:r>
          <w:rPr>
            <w:rFonts w:ascii="IRNazanin" w:hAnsi="IRNazanin" w:eastAsia="IRNazanin" w:cs="IRNazanin"/>
            <w:color w:val="111111"/>
            <w:sz w:val="22"/>
            <w:szCs w:val="22"/>
            <w:b w:val="0"/>
            <w:bCs w:val="0"/>
            <w:i w:val="0"/>
            <w:iCs w:val="0"/>
          </w:rPr>
          <w:t>8445- دیوان یمین گرجی أو شعره‏</w:t>
        </w:r>
        <w:r>
          <w:tab/>
        </w:r>
        <w:r>
          <w:fldChar w:fldCharType="begin"/>
        </w:r>
        <w:r>
          <w:instrText xml:space="preserve">PAGEREF 9834 \h</w:instrText>
        </w:r>
        <w:r>
          <w:fldChar w:fldCharType="end"/>
        </w:r>
      </w:hyperlink>
    </w:p>
    <w:p>
      <w:pPr>
        <w:tabs>
          <w:tab w:val="right" w:leader="dot" w:pos="9062"/>
        </w:tabs>
        <w:ind w:left="440"/>
      </w:pPr>
      <w:hyperlink w:anchor="_Toc9835" w:history="1">
        <w:r>
          <w:rPr>
            <w:rFonts w:ascii="IRNazanin" w:hAnsi="IRNazanin" w:eastAsia="IRNazanin" w:cs="IRNazanin"/>
            <w:color w:val="111111"/>
            <w:sz w:val="22"/>
            <w:szCs w:val="22"/>
            <w:b w:val="0"/>
            <w:bCs w:val="0"/>
            <w:i w:val="0"/>
            <w:iCs w:val="0"/>
          </w:rPr>
          <w:t>8446- دیوان یوسف أرومی أو شعره‏</w:t>
        </w:r>
        <w:r>
          <w:tab/>
        </w:r>
        <w:r>
          <w:fldChar w:fldCharType="begin"/>
        </w:r>
        <w:r>
          <w:instrText xml:space="preserve">PAGEREF 9835 \h</w:instrText>
        </w:r>
        <w:r>
          <w:fldChar w:fldCharType="end"/>
        </w:r>
      </w:hyperlink>
    </w:p>
    <w:p>
      <w:pPr>
        <w:tabs>
          <w:tab w:val="right" w:leader="dot" w:pos="9062"/>
        </w:tabs>
        <w:ind w:left="440"/>
      </w:pPr>
      <w:hyperlink w:anchor="_Toc9836" w:history="1">
        <w:r>
          <w:rPr>
            <w:rFonts w:ascii="IRNazanin" w:hAnsi="IRNazanin" w:eastAsia="IRNazanin" w:cs="IRNazanin"/>
            <w:color w:val="111111"/>
            <w:sz w:val="22"/>
            <w:szCs w:val="22"/>
            <w:b w:val="0"/>
            <w:bCs w:val="0"/>
            <w:i w:val="0"/>
            <w:iCs w:val="0"/>
          </w:rPr>
          <w:t>8447- دیوان یوسف أستاجلو أو شعره‏</w:t>
        </w:r>
        <w:r>
          <w:tab/>
        </w:r>
        <w:r>
          <w:fldChar w:fldCharType="begin"/>
        </w:r>
        <w:r>
          <w:instrText xml:space="preserve">PAGEREF 9836 \h</w:instrText>
        </w:r>
        <w:r>
          <w:fldChar w:fldCharType="end"/>
        </w:r>
      </w:hyperlink>
    </w:p>
    <w:p>
      <w:pPr>
        <w:tabs>
          <w:tab w:val="right" w:leader="dot" w:pos="9062"/>
        </w:tabs>
        <w:ind w:left="440"/>
      </w:pPr>
      <w:hyperlink w:anchor="_Toc9837" w:history="1">
        <w:r>
          <w:rPr>
            <w:rFonts w:ascii="IRNazanin" w:hAnsi="IRNazanin" w:eastAsia="IRNazanin" w:cs="IRNazanin"/>
            <w:color w:val="111111"/>
            <w:sz w:val="22"/>
            <w:szCs w:val="22"/>
            <w:b w:val="0"/>
            <w:bCs w:val="0"/>
            <w:i w:val="0"/>
            <w:iCs w:val="0"/>
          </w:rPr>
          <w:t>8448- دیوان یوسف أسترآبادی أو شعره‏</w:t>
        </w:r>
        <w:r>
          <w:tab/>
        </w:r>
        <w:r>
          <w:fldChar w:fldCharType="begin"/>
        </w:r>
        <w:r>
          <w:instrText xml:space="preserve">PAGEREF 9837 \h</w:instrText>
        </w:r>
        <w:r>
          <w:fldChar w:fldCharType="end"/>
        </w:r>
      </w:hyperlink>
    </w:p>
    <w:p>
      <w:pPr>
        <w:tabs>
          <w:tab w:val="right" w:leader="dot" w:pos="9062"/>
        </w:tabs>
        <w:ind w:left="440"/>
      </w:pPr>
      <w:hyperlink w:anchor="_Toc9838" w:history="1">
        <w:r>
          <w:rPr>
            <w:rFonts w:ascii="IRNazanin" w:hAnsi="IRNazanin" w:eastAsia="IRNazanin" w:cs="IRNazanin"/>
            <w:color w:val="111111"/>
            <w:sz w:val="22"/>
            <w:szCs w:val="22"/>
            <w:b w:val="0"/>
            <w:bCs w:val="0"/>
            <w:i w:val="0"/>
            <w:iCs w:val="0"/>
          </w:rPr>
          <w:t>دیوان یوسف أصفهانی‏</w:t>
        </w:r>
        <w:r>
          <w:tab/>
        </w:r>
        <w:r>
          <w:fldChar w:fldCharType="begin"/>
        </w:r>
        <w:r>
          <w:instrText xml:space="preserve">PAGEREF 9838 \h</w:instrText>
        </w:r>
        <w:r>
          <w:fldChar w:fldCharType="end"/>
        </w:r>
      </w:hyperlink>
    </w:p>
    <w:p>
      <w:pPr>
        <w:tabs>
          <w:tab w:val="right" w:leader="dot" w:pos="9062"/>
        </w:tabs>
        <w:ind w:left="440"/>
      </w:pPr>
      <w:hyperlink w:anchor="_Toc9839" w:history="1">
        <w:r>
          <w:rPr>
            <w:rFonts w:ascii="IRNazanin" w:hAnsi="IRNazanin" w:eastAsia="IRNazanin" w:cs="IRNazanin"/>
            <w:color w:val="111111"/>
            <w:sz w:val="22"/>
            <w:szCs w:val="22"/>
            <w:b w:val="0"/>
            <w:bCs w:val="0"/>
            <w:i w:val="0"/>
            <w:iCs w:val="0"/>
          </w:rPr>
          <w:t>8449- دیوان یوسف أمیری أو شعره‏</w:t>
        </w:r>
        <w:r>
          <w:tab/>
        </w:r>
        <w:r>
          <w:fldChar w:fldCharType="begin"/>
        </w:r>
        <w:r>
          <w:instrText xml:space="preserve">PAGEREF 9839 \h</w:instrText>
        </w:r>
        <w:r>
          <w:fldChar w:fldCharType="end"/>
        </w:r>
      </w:hyperlink>
    </w:p>
    <w:p>
      <w:pPr>
        <w:tabs>
          <w:tab w:val="right" w:leader="dot" w:pos="9062"/>
        </w:tabs>
        <w:ind w:left="440"/>
      </w:pPr>
      <w:hyperlink w:anchor="_Toc9840" w:history="1">
        <w:r>
          <w:rPr>
            <w:rFonts w:ascii="IRNazanin" w:hAnsi="IRNazanin" w:eastAsia="IRNazanin" w:cs="IRNazanin"/>
            <w:color w:val="111111"/>
            <w:sz w:val="22"/>
            <w:szCs w:val="22"/>
            <w:b w:val="0"/>
            <w:bCs w:val="0"/>
            <w:i w:val="0"/>
            <w:iCs w:val="0"/>
          </w:rPr>
          <w:t>8450- دیوان یوسف بختیاری‏</w:t>
        </w:r>
        <w:r>
          <w:tab/>
        </w:r>
        <w:r>
          <w:fldChar w:fldCharType="begin"/>
        </w:r>
        <w:r>
          <w:instrText xml:space="preserve">PAGEREF 9840 \h</w:instrText>
        </w:r>
        <w:r>
          <w:fldChar w:fldCharType="end"/>
        </w:r>
      </w:hyperlink>
    </w:p>
    <w:p>
      <w:pPr>
        <w:tabs>
          <w:tab w:val="right" w:leader="dot" w:pos="9062"/>
        </w:tabs>
        <w:ind w:left="440"/>
      </w:pPr>
      <w:hyperlink w:anchor="_Toc9841" w:history="1">
        <w:r>
          <w:rPr>
            <w:rFonts w:ascii="IRNazanin" w:hAnsi="IRNazanin" w:eastAsia="IRNazanin" w:cs="IRNazanin"/>
            <w:color w:val="111111"/>
            <w:sz w:val="22"/>
            <w:szCs w:val="22"/>
            <w:b w:val="0"/>
            <w:bCs w:val="0"/>
            <w:i w:val="0"/>
            <w:iCs w:val="0"/>
          </w:rPr>
          <w:t>8451- دیوان یوسف بلخی أو شعره‏</w:t>
        </w:r>
        <w:r>
          <w:tab/>
        </w:r>
        <w:r>
          <w:fldChar w:fldCharType="begin"/>
        </w:r>
        <w:r>
          <w:instrText xml:space="preserve">PAGEREF 9841 \h</w:instrText>
        </w:r>
        <w:r>
          <w:fldChar w:fldCharType="end"/>
        </w:r>
      </w:hyperlink>
    </w:p>
    <w:p>
      <w:pPr>
        <w:tabs>
          <w:tab w:val="right" w:leader="dot" w:pos="9062"/>
        </w:tabs>
        <w:ind w:left="440"/>
      </w:pPr>
      <w:hyperlink w:anchor="_Toc9842" w:history="1">
        <w:r>
          <w:rPr>
            <w:rFonts w:ascii="IRNazanin" w:hAnsi="IRNazanin" w:eastAsia="IRNazanin" w:cs="IRNazanin"/>
            <w:color w:val="111111"/>
            <w:sz w:val="22"/>
            <w:szCs w:val="22"/>
            <w:b w:val="0"/>
            <w:bCs w:val="0"/>
            <w:i w:val="0"/>
            <w:iCs w:val="0"/>
          </w:rPr>
          <w:t>8452- دیوان یوسف بلگرامی أو شعره‏</w:t>
        </w:r>
        <w:r>
          <w:tab/>
        </w:r>
        <w:r>
          <w:fldChar w:fldCharType="begin"/>
        </w:r>
        <w:r>
          <w:instrText xml:space="preserve">PAGEREF 9842 \h</w:instrText>
        </w:r>
        <w:r>
          <w:fldChar w:fldCharType="end"/>
        </w:r>
      </w:hyperlink>
    </w:p>
    <w:p>
      <w:pPr>
        <w:tabs>
          <w:tab w:val="right" w:leader="dot" w:pos="9062"/>
        </w:tabs>
        <w:ind w:left="440"/>
      </w:pPr>
      <w:hyperlink w:anchor="_Toc9843" w:history="1">
        <w:r>
          <w:rPr>
            <w:rFonts w:ascii="IRNazanin" w:hAnsi="IRNazanin" w:eastAsia="IRNazanin" w:cs="IRNazanin"/>
            <w:color w:val="111111"/>
            <w:sz w:val="22"/>
            <w:szCs w:val="22"/>
            <w:b w:val="0"/>
            <w:bCs w:val="0"/>
            <w:i w:val="0"/>
            <w:iCs w:val="0"/>
          </w:rPr>
          <w:t>8453- دیوان یوسف بیرجندی‏</w:t>
        </w:r>
        <w:r>
          <w:tab/>
        </w:r>
        <w:r>
          <w:fldChar w:fldCharType="begin"/>
        </w:r>
        <w:r>
          <w:instrText xml:space="preserve">PAGEREF 9843 \h</w:instrText>
        </w:r>
        <w:r>
          <w:fldChar w:fldCharType="end"/>
        </w:r>
      </w:hyperlink>
    </w:p>
    <w:p>
      <w:pPr>
        <w:tabs>
          <w:tab w:val="right" w:leader="dot" w:pos="9062"/>
        </w:tabs>
        <w:ind w:left="440"/>
      </w:pPr>
      <w:hyperlink w:anchor="_Toc9844" w:history="1">
        <w:r>
          <w:rPr>
            <w:rFonts w:ascii="IRNazanin" w:hAnsi="IRNazanin" w:eastAsia="IRNazanin" w:cs="IRNazanin"/>
            <w:color w:val="111111"/>
            <w:sz w:val="22"/>
            <w:szCs w:val="22"/>
            <w:b w:val="0"/>
            <w:bCs w:val="0"/>
            <w:i w:val="0"/>
            <w:iCs w:val="0"/>
          </w:rPr>
          <w:t>8454- دیوان یوسف تبریزی‏</w:t>
        </w:r>
        <w:r>
          <w:tab/>
        </w:r>
        <w:r>
          <w:fldChar w:fldCharType="begin"/>
        </w:r>
        <w:r>
          <w:instrText xml:space="preserve">PAGEREF 9844 \h</w:instrText>
        </w:r>
        <w:r>
          <w:fldChar w:fldCharType="end"/>
        </w:r>
      </w:hyperlink>
    </w:p>
    <w:p>
      <w:pPr>
        <w:tabs>
          <w:tab w:val="right" w:leader="dot" w:pos="9062"/>
        </w:tabs>
        <w:ind w:left="440"/>
      </w:pPr>
      <w:hyperlink w:anchor="_Toc9845" w:history="1">
        <w:r>
          <w:rPr>
            <w:rFonts w:ascii="IRNazanin" w:hAnsi="IRNazanin" w:eastAsia="IRNazanin" w:cs="IRNazanin"/>
            <w:color w:val="111111"/>
            <w:sz w:val="22"/>
            <w:szCs w:val="22"/>
            <w:b w:val="0"/>
            <w:bCs w:val="0"/>
            <w:i w:val="0"/>
            <w:iCs w:val="0"/>
          </w:rPr>
          <w:t>8455- دیوان یوسف تبریزی أو شعره‏</w:t>
        </w:r>
        <w:r>
          <w:tab/>
        </w:r>
        <w:r>
          <w:fldChar w:fldCharType="begin"/>
        </w:r>
        <w:r>
          <w:instrText xml:space="preserve">PAGEREF 9845 \h</w:instrText>
        </w:r>
        <w:r>
          <w:fldChar w:fldCharType="end"/>
        </w:r>
      </w:hyperlink>
    </w:p>
    <w:p>
      <w:pPr>
        <w:tabs>
          <w:tab w:val="right" w:leader="dot" w:pos="9062"/>
        </w:tabs>
        <w:ind w:left="440"/>
      </w:pPr>
      <w:hyperlink w:anchor="_Toc9846" w:history="1">
        <w:r>
          <w:rPr>
            <w:rFonts w:ascii="IRNazanin" w:hAnsi="IRNazanin" w:eastAsia="IRNazanin" w:cs="IRNazanin"/>
            <w:color w:val="111111"/>
            <w:sz w:val="22"/>
            <w:szCs w:val="22"/>
            <w:b w:val="0"/>
            <w:bCs w:val="0"/>
            <w:i w:val="0"/>
            <w:iCs w:val="0"/>
          </w:rPr>
          <w:t>دیوان یوسف جرجانی‏</w:t>
        </w:r>
        <w:r>
          <w:tab/>
        </w:r>
        <w:r>
          <w:fldChar w:fldCharType="begin"/>
        </w:r>
        <w:r>
          <w:instrText xml:space="preserve">PAGEREF 9846 \h</w:instrText>
        </w:r>
        <w:r>
          <w:fldChar w:fldCharType="end"/>
        </w:r>
      </w:hyperlink>
    </w:p>
    <w:p>
      <w:pPr>
        <w:tabs>
          <w:tab w:val="right" w:leader="dot" w:pos="9062"/>
        </w:tabs>
        <w:ind w:left="440"/>
      </w:pPr>
      <w:hyperlink w:anchor="_Toc9847" w:history="1">
        <w:r>
          <w:rPr>
            <w:rFonts w:ascii="IRNazanin" w:hAnsi="IRNazanin" w:eastAsia="IRNazanin" w:cs="IRNazanin"/>
            <w:color w:val="111111"/>
            <w:sz w:val="22"/>
            <w:szCs w:val="22"/>
            <w:b w:val="0"/>
            <w:bCs w:val="0"/>
            <w:i w:val="0"/>
            <w:iCs w:val="0"/>
          </w:rPr>
          <w:t>8456- دیوان یوسف جغتائی أو شعره‏</w:t>
        </w:r>
        <w:r>
          <w:tab/>
        </w:r>
        <w:r>
          <w:fldChar w:fldCharType="begin"/>
        </w:r>
        <w:r>
          <w:instrText xml:space="preserve">PAGEREF 9847 \h</w:instrText>
        </w:r>
        <w:r>
          <w:fldChar w:fldCharType="end"/>
        </w:r>
      </w:hyperlink>
    </w:p>
    <w:p>
      <w:pPr>
        <w:tabs>
          <w:tab w:val="right" w:leader="dot" w:pos="9062"/>
        </w:tabs>
        <w:ind w:left="440"/>
      </w:pPr>
      <w:hyperlink w:anchor="_Toc9848" w:history="1">
        <w:r>
          <w:rPr>
            <w:rFonts w:ascii="IRNazanin" w:hAnsi="IRNazanin" w:eastAsia="IRNazanin" w:cs="IRNazanin"/>
            <w:color w:val="111111"/>
            <w:sz w:val="22"/>
            <w:szCs w:val="22"/>
            <w:b w:val="0"/>
            <w:bCs w:val="0"/>
            <w:i w:val="0"/>
            <w:iCs w:val="0"/>
          </w:rPr>
          <w:t>8457- دیوان یوسف جلایر أو شعره‏</w:t>
        </w:r>
        <w:r>
          <w:tab/>
        </w:r>
        <w:r>
          <w:fldChar w:fldCharType="begin"/>
        </w:r>
        <w:r>
          <w:instrText xml:space="preserve">PAGEREF 9848 \h</w:instrText>
        </w:r>
        <w:r>
          <w:fldChar w:fldCharType="end"/>
        </w:r>
      </w:hyperlink>
    </w:p>
    <w:p>
      <w:pPr>
        <w:tabs>
          <w:tab w:val="right" w:leader="dot" w:pos="9062"/>
        </w:tabs>
        <w:ind w:left="440"/>
      </w:pPr>
      <w:hyperlink w:anchor="_Toc9849" w:history="1">
        <w:r>
          <w:rPr>
            <w:rFonts w:ascii="IRNazanin" w:hAnsi="IRNazanin" w:eastAsia="IRNazanin" w:cs="IRNazanin"/>
            <w:color w:val="111111"/>
            <w:sz w:val="22"/>
            <w:szCs w:val="22"/>
            <w:b w:val="0"/>
            <w:bCs w:val="0"/>
            <w:i w:val="0"/>
            <w:iCs w:val="0"/>
          </w:rPr>
          <w:t>8458- دیوان یوسف جویباری‏</w:t>
        </w:r>
        <w:r>
          <w:tab/>
        </w:r>
        <w:r>
          <w:fldChar w:fldCharType="begin"/>
        </w:r>
        <w:r>
          <w:instrText xml:space="preserve">PAGEREF 9849 \h</w:instrText>
        </w:r>
        <w:r>
          <w:fldChar w:fldCharType="end"/>
        </w:r>
      </w:hyperlink>
    </w:p>
    <w:p>
      <w:pPr>
        <w:tabs>
          <w:tab w:val="right" w:leader="dot" w:pos="9062"/>
        </w:tabs>
        <w:ind w:left="440"/>
      </w:pPr>
      <w:hyperlink w:anchor="_Toc9850" w:history="1">
        <w:r>
          <w:rPr>
            <w:rFonts w:ascii="IRNazanin" w:hAnsi="IRNazanin" w:eastAsia="IRNazanin" w:cs="IRNazanin"/>
            <w:color w:val="111111"/>
            <w:sz w:val="22"/>
            <w:szCs w:val="22"/>
            <w:b w:val="0"/>
            <w:bCs w:val="0"/>
            <w:i w:val="0"/>
            <w:iCs w:val="0"/>
          </w:rPr>
          <w:t>8459- دیوان یوسف چاکری أو شعره‏</w:t>
        </w:r>
        <w:r>
          <w:tab/>
        </w:r>
        <w:r>
          <w:fldChar w:fldCharType="begin"/>
        </w:r>
        <w:r>
          <w:instrText xml:space="preserve">PAGEREF 9850 \h</w:instrText>
        </w:r>
        <w:r>
          <w:fldChar w:fldCharType="end"/>
        </w:r>
      </w:hyperlink>
    </w:p>
    <w:p>
      <w:pPr>
        <w:tabs>
          <w:tab w:val="right" w:leader="dot" w:pos="9062"/>
        </w:tabs>
        <w:ind w:left="440"/>
      </w:pPr>
      <w:hyperlink w:anchor="_Toc9851" w:history="1">
        <w:r>
          <w:rPr>
            <w:rFonts w:ascii="IRNazanin" w:hAnsi="IRNazanin" w:eastAsia="IRNazanin" w:cs="IRNazanin"/>
            <w:color w:val="111111"/>
            <w:sz w:val="22"/>
            <w:szCs w:val="22"/>
            <w:b w:val="0"/>
            <w:bCs w:val="0"/>
            <w:i w:val="0"/>
            <w:iCs w:val="0"/>
          </w:rPr>
          <w:t>8460- دیوان یوسف خراسانی أو شعره‏</w:t>
        </w:r>
        <w:r>
          <w:tab/>
        </w:r>
        <w:r>
          <w:fldChar w:fldCharType="begin"/>
        </w:r>
        <w:r>
          <w:instrText xml:space="preserve">PAGEREF 9851 \h</w:instrText>
        </w:r>
        <w:r>
          <w:fldChar w:fldCharType="end"/>
        </w:r>
      </w:hyperlink>
    </w:p>
    <w:p>
      <w:pPr>
        <w:tabs>
          <w:tab w:val="right" w:leader="dot" w:pos="9062"/>
        </w:tabs>
        <w:ind w:left="440"/>
      </w:pPr>
      <w:hyperlink w:anchor="_Toc9852" w:history="1">
        <w:r>
          <w:rPr>
            <w:rFonts w:ascii="IRNazanin" w:hAnsi="IRNazanin" w:eastAsia="IRNazanin" w:cs="IRNazanin"/>
            <w:color w:val="111111"/>
            <w:sz w:val="22"/>
            <w:szCs w:val="22"/>
            <w:b w:val="0"/>
            <w:bCs w:val="0"/>
            <w:i w:val="0"/>
            <w:iCs w:val="0"/>
          </w:rPr>
          <w:t>8461- دیوان یوسف الخطی‏</w:t>
        </w:r>
        <w:r>
          <w:tab/>
        </w:r>
        <w:r>
          <w:fldChar w:fldCharType="begin"/>
        </w:r>
        <w:r>
          <w:instrText xml:space="preserve">PAGEREF 9852 \h</w:instrText>
        </w:r>
        <w:r>
          <w:fldChar w:fldCharType="end"/>
        </w:r>
      </w:hyperlink>
    </w:p>
    <w:p>
      <w:pPr>
        <w:tabs>
          <w:tab w:val="right" w:leader="dot" w:pos="9062"/>
        </w:tabs>
        <w:ind w:left="440"/>
      </w:pPr>
      <w:hyperlink w:anchor="_Toc9853" w:history="1">
        <w:r>
          <w:rPr>
            <w:rFonts w:ascii="IRNazanin" w:hAnsi="IRNazanin" w:eastAsia="IRNazanin" w:cs="IRNazanin"/>
            <w:color w:val="111111"/>
            <w:sz w:val="22"/>
            <w:szCs w:val="22"/>
            <w:b w:val="0"/>
            <w:bCs w:val="0"/>
            <w:i w:val="0"/>
            <w:iCs w:val="0"/>
          </w:rPr>
          <w:t>دیوان یوسف خوافی‏</w:t>
        </w:r>
        <w:r>
          <w:tab/>
        </w:r>
        <w:r>
          <w:fldChar w:fldCharType="begin"/>
        </w:r>
        <w:r>
          <w:instrText xml:space="preserve">PAGEREF 9853 \h</w:instrText>
        </w:r>
        <w:r>
          <w:fldChar w:fldCharType="end"/>
        </w:r>
      </w:hyperlink>
    </w:p>
    <w:p>
      <w:pPr>
        <w:tabs>
          <w:tab w:val="right" w:leader="dot" w:pos="9062"/>
        </w:tabs>
        <w:ind w:left="440"/>
      </w:pPr>
      <w:hyperlink w:anchor="_Toc9854" w:history="1">
        <w:r>
          <w:rPr>
            <w:rFonts w:ascii="IRNazanin" w:hAnsi="IRNazanin" w:eastAsia="IRNazanin" w:cs="IRNazanin"/>
            <w:color w:val="111111"/>
            <w:sz w:val="22"/>
            <w:szCs w:val="22"/>
            <w:b w:val="0"/>
            <w:bCs w:val="0"/>
            <w:i w:val="0"/>
            <w:iCs w:val="0"/>
          </w:rPr>
          <w:t>8462- دیوان یوسف خوانساری أو شعره‏</w:t>
        </w:r>
        <w:r>
          <w:tab/>
        </w:r>
        <w:r>
          <w:fldChar w:fldCharType="begin"/>
        </w:r>
        <w:r>
          <w:instrText xml:space="preserve">PAGEREF 9854 \h</w:instrText>
        </w:r>
        <w:r>
          <w:fldChar w:fldCharType="end"/>
        </w:r>
      </w:hyperlink>
    </w:p>
    <w:p>
      <w:pPr>
        <w:tabs>
          <w:tab w:val="right" w:leader="dot" w:pos="9062"/>
        </w:tabs>
        <w:ind w:left="440"/>
      </w:pPr>
      <w:hyperlink w:anchor="_Toc9855" w:history="1">
        <w:r>
          <w:rPr>
            <w:rFonts w:ascii="IRNazanin" w:hAnsi="IRNazanin" w:eastAsia="IRNazanin" w:cs="IRNazanin"/>
            <w:color w:val="111111"/>
            <w:sz w:val="22"/>
            <w:szCs w:val="22"/>
            <w:b w:val="0"/>
            <w:bCs w:val="0"/>
            <w:i w:val="0"/>
            <w:iCs w:val="0"/>
          </w:rPr>
          <w:t>8463- دیوان یوسف دربندی أو شعره‏</w:t>
        </w:r>
        <w:r>
          <w:tab/>
        </w:r>
        <w:r>
          <w:fldChar w:fldCharType="begin"/>
        </w:r>
        <w:r>
          <w:instrText xml:space="preserve">PAGEREF 9855 \h</w:instrText>
        </w:r>
        <w:r>
          <w:fldChar w:fldCharType="end"/>
        </w:r>
      </w:hyperlink>
    </w:p>
    <w:p>
      <w:pPr>
        <w:tabs>
          <w:tab w:val="right" w:leader="dot" w:pos="9062"/>
        </w:tabs>
        <w:ind w:left="440"/>
      </w:pPr>
      <w:hyperlink w:anchor="_Toc9856" w:history="1">
        <w:r>
          <w:rPr>
            <w:rFonts w:ascii="IRNazanin" w:hAnsi="IRNazanin" w:eastAsia="IRNazanin" w:cs="IRNazanin"/>
            <w:color w:val="111111"/>
            <w:sz w:val="22"/>
            <w:szCs w:val="22"/>
            <w:b w:val="0"/>
            <w:bCs w:val="0"/>
            <w:i w:val="0"/>
            <w:iCs w:val="0"/>
          </w:rPr>
          <w:t>8464- دیوان یوسف دکنی أو شعره‏</w:t>
        </w:r>
        <w:r>
          <w:tab/>
        </w:r>
        <w:r>
          <w:fldChar w:fldCharType="begin"/>
        </w:r>
        <w:r>
          <w:instrText xml:space="preserve">PAGEREF 9856 \h</w:instrText>
        </w:r>
        <w:r>
          <w:fldChar w:fldCharType="end"/>
        </w:r>
      </w:hyperlink>
    </w:p>
    <w:p>
      <w:pPr>
        <w:tabs>
          <w:tab w:val="right" w:leader="dot" w:pos="9062"/>
        </w:tabs>
        <w:ind w:left="440"/>
      </w:pPr>
      <w:hyperlink w:anchor="_Toc9857" w:history="1">
        <w:r>
          <w:rPr>
            <w:rFonts w:ascii="IRNazanin" w:hAnsi="IRNazanin" w:eastAsia="IRNazanin" w:cs="IRNazanin"/>
            <w:color w:val="111111"/>
            <w:sz w:val="22"/>
            <w:szCs w:val="22"/>
            <w:b w:val="0"/>
            <w:bCs w:val="0"/>
            <w:i w:val="0"/>
            <w:iCs w:val="0"/>
          </w:rPr>
          <w:t>8465- دیوان یوسف دهلوی أو شعره‏</w:t>
        </w:r>
        <w:r>
          <w:tab/>
        </w:r>
        <w:r>
          <w:fldChar w:fldCharType="begin"/>
        </w:r>
        <w:r>
          <w:instrText xml:space="preserve">PAGEREF 9857 \h</w:instrText>
        </w:r>
        <w:r>
          <w:fldChar w:fldCharType="end"/>
        </w:r>
      </w:hyperlink>
    </w:p>
    <w:p>
      <w:pPr>
        <w:tabs>
          <w:tab w:val="right" w:leader="dot" w:pos="9062"/>
        </w:tabs>
        <w:ind w:left="440"/>
      </w:pPr>
      <w:hyperlink w:anchor="_Toc9858" w:history="1">
        <w:r>
          <w:rPr>
            <w:rFonts w:ascii="IRNazanin" w:hAnsi="IRNazanin" w:eastAsia="IRNazanin" w:cs="IRNazanin"/>
            <w:color w:val="111111"/>
            <w:sz w:val="22"/>
            <w:szCs w:val="22"/>
            <w:b w:val="0"/>
            <w:bCs w:val="0"/>
            <w:i w:val="0"/>
            <w:iCs w:val="0"/>
          </w:rPr>
          <w:t>8466- دیوان یوسف سنندجی أو شعره‏</w:t>
        </w:r>
        <w:r>
          <w:tab/>
        </w:r>
        <w:r>
          <w:fldChar w:fldCharType="begin"/>
        </w:r>
        <w:r>
          <w:instrText xml:space="preserve">PAGEREF 9858 \h</w:instrText>
        </w:r>
        <w:r>
          <w:fldChar w:fldCharType="end"/>
        </w:r>
      </w:hyperlink>
    </w:p>
    <w:p>
      <w:pPr>
        <w:tabs>
          <w:tab w:val="right" w:leader="dot" w:pos="9062"/>
        </w:tabs>
        <w:ind w:left="440"/>
      </w:pPr>
      <w:hyperlink w:anchor="_Toc9859" w:history="1">
        <w:r>
          <w:rPr>
            <w:rFonts w:ascii="IRNazanin" w:hAnsi="IRNazanin" w:eastAsia="IRNazanin" w:cs="IRNazanin"/>
            <w:color w:val="111111"/>
            <w:sz w:val="22"/>
            <w:szCs w:val="22"/>
            <w:b w:val="0"/>
            <w:bCs w:val="0"/>
            <w:i w:val="0"/>
            <w:iCs w:val="0"/>
          </w:rPr>
          <w:t>8467- دیوان یوسف شاملو أو شعره‏</w:t>
        </w:r>
        <w:r>
          <w:tab/>
        </w:r>
        <w:r>
          <w:fldChar w:fldCharType="begin"/>
        </w:r>
        <w:r>
          <w:instrText xml:space="preserve">PAGEREF 9859 \h</w:instrText>
        </w:r>
        <w:r>
          <w:fldChar w:fldCharType="end"/>
        </w:r>
      </w:hyperlink>
    </w:p>
    <w:p>
      <w:pPr>
        <w:tabs>
          <w:tab w:val="right" w:leader="dot" w:pos="9062"/>
        </w:tabs>
        <w:ind w:left="440"/>
      </w:pPr>
      <w:hyperlink w:anchor="_Toc9860" w:history="1">
        <w:r>
          <w:rPr>
            <w:rFonts w:ascii="IRNazanin" w:hAnsi="IRNazanin" w:eastAsia="IRNazanin" w:cs="IRNazanin"/>
            <w:color w:val="111111"/>
            <w:sz w:val="22"/>
            <w:szCs w:val="22"/>
            <w:b w:val="0"/>
            <w:bCs w:val="0"/>
            <w:i w:val="0"/>
            <w:iCs w:val="0"/>
          </w:rPr>
          <w:t>8468- دیوان یوسف شیرازی أو شعره‏</w:t>
        </w:r>
        <w:r>
          <w:tab/>
        </w:r>
        <w:r>
          <w:fldChar w:fldCharType="begin"/>
        </w:r>
        <w:r>
          <w:instrText xml:space="preserve">PAGEREF 9860 \h</w:instrText>
        </w:r>
        <w:r>
          <w:fldChar w:fldCharType="end"/>
        </w:r>
      </w:hyperlink>
    </w:p>
    <w:p>
      <w:pPr>
        <w:tabs>
          <w:tab w:val="right" w:leader="dot" w:pos="9062"/>
        </w:tabs>
        <w:ind w:left="440"/>
      </w:pPr>
      <w:hyperlink w:anchor="_Toc9861" w:history="1">
        <w:r>
          <w:rPr>
            <w:rFonts w:ascii="IRNazanin" w:hAnsi="IRNazanin" w:eastAsia="IRNazanin" w:cs="IRNazanin"/>
            <w:color w:val="111111"/>
            <w:sz w:val="22"/>
            <w:szCs w:val="22"/>
            <w:b w:val="0"/>
            <w:bCs w:val="0"/>
            <w:i w:val="0"/>
            <w:iCs w:val="0"/>
          </w:rPr>
          <w:t>8469- دیوان یوسف عامری أو شعره‏</w:t>
        </w:r>
        <w:r>
          <w:tab/>
        </w:r>
        <w:r>
          <w:fldChar w:fldCharType="begin"/>
        </w:r>
        <w:r>
          <w:instrText xml:space="preserve">PAGEREF 9861 \h</w:instrText>
        </w:r>
        <w:r>
          <w:fldChar w:fldCharType="end"/>
        </w:r>
      </w:hyperlink>
    </w:p>
    <w:p>
      <w:pPr>
        <w:tabs>
          <w:tab w:val="right" w:leader="dot" w:pos="9062"/>
        </w:tabs>
        <w:ind w:left="440"/>
      </w:pPr>
      <w:hyperlink w:anchor="_Toc9862" w:history="1">
        <w:r>
          <w:rPr>
            <w:rFonts w:ascii="IRNazanin" w:hAnsi="IRNazanin" w:eastAsia="IRNazanin" w:cs="IRNazanin"/>
            <w:color w:val="111111"/>
            <w:sz w:val="22"/>
            <w:szCs w:val="22"/>
            <w:b w:val="0"/>
            <w:bCs w:val="0"/>
            <w:i w:val="0"/>
            <w:iCs w:val="0"/>
          </w:rPr>
          <w:t>8470- دیوان یوسف غزنوی‏</w:t>
        </w:r>
        <w:r>
          <w:tab/>
        </w:r>
        <w:r>
          <w:fldChar w:fldCharType="begin"/>
        </w:r>
        <w:r>
          <w:instrText xml:space="preserve">PAGEREF 9862 \h</w:instrText>
        </w:r>
        <w:r>
          <w:fldChar w:fldCharType="end"/>
        </w:r>
      </w:hyperlink>
    </w:p>
    <w:p>
      <w:pPr>
        <w:tabs>
          <w:tab w:val="right" w:leader="dot" w:pos="9062"/>
        </w:tabs>
        <w:ind w:left="440"/>
      </w:pPr>
      <w:hyperlink w:anchor="_Toc9863" w:history="1">
        <w:r>
          <w:rPr>
            <w:rFonts w:ascii="IRNazanin" w:hAnsi="IRNazanin" w:eastAsia="IRNazanin" w:cs="IRNazanin"/>
            <w:color w:val="111111"/>
            <w:sz w:val="22"/>
            <w:szCs w:val="22"/>
            <w:b w:val="0"/>
            <w:bCs w:val="0"/>
            <w:i w:val="0"/>
            <w:iCs w:val="0"/>
          </w:rPr>
          <w:t>8471- دیوان یوسف قراباغی أو شعره‏</w:t>
        </w:r>
        <w:r>
          <w:tab/>
        </w:r>
        <w:r>
          <w:fldChar w:fldCharType="begin"/>
        </w:r>
        <w:r>
          <w:instrText xml:space="preserve">PAGEREF 9863 \h</w:instrText>
        </w:r>
        <w:r>
          <w:fldChar w:fldCharType="end"/>
        </w:r>
      </w:hyperlink>
    </w:p>
    <w:p>
      <w:pPr>
        <w:tabs>
          <w:tab w:val="right" w:leader="dot" w:pos="9062"/>
        </w:tabs>
        <w:ind w:left="440"/>
      </w:pPr>
      <w:hyperlink w:anchor="_Toc9864" w:history="1">
        <w:r>
          <w:rPr>
            <w:rFonts w:ascii="IRNazanin" w:hAnsi="IRNazanin" w:eastAsia="IRNazanin" w:cs="IRNazanin"/>
            <w:color w:val="111111"/>
            <w:sz w:val="22"/>
            <w:szCs w:val="22"/>
            <w:b w:val="0"/>
            <w:bCs w:val="0"/>
            <w:i w:val="0"/>
            <w:iCs w:val="0"/>
          </w:rPr>
          <w:t>8472- دیوان یوسف قزوینی أو شعره‏</w:t>
        </w:r>
        <w:r>
          <w:tab/>
        </w:r>
        <w:r>
          <w:fldChar w:fldCharType="begin"/>
        </w:r>
        <w:r>
          <w:instrText xml:space="preserve">PAGEREF 9864 \h</w:instrText>
        </w:r>
        <w:r>
          <w:fldChar w:fldCharType="end"/>
        </w:r>
      </w:hyperlink>
    </w:p>
    <w:p>
      <w:pPr>
        <w:tabs>
          <w:tab w:val="right" w:leader="dot" w:pos="9062"/>
        </w:tabs>
        <w:ind w:left="440"/>
      </w:pPr>
      <w:hyperlink w:anchor="_Toc9865" w:history="1">
        <w:r>
          <w:rPr>
            <w:rFonts w:ascii="IRNazanin" w:hAnsi="IRNazanin" w:eastAsia="IRNazanin" w:cs="IRNazanin"/>
            <w:color w:val="111111"/>
            <w:sz w:val="22"/>
            <w:szCs w:val="22"/>
            <w:b w:val="0"/>
            <w:bCs w:val="0"/>
            <w:i w:val="0"/>
            <w:iCs w:val="0"/>
          </w:rPr>
          <w:t>8473- دیوان یوسف کابلی أو شعره‏</w:t>
        </w:r>
        <w:r>
          <w:tab/>
        </w:r>
        <w:r>
          <w:fldChar w:fldCharType="begin"/>
        </w:r>
        <w:r>
          <w:instrText xml:space="preserve">PAGEREF 9865 \h</w:instrText>
        </w:r>
        <w:r>
          <w:fldChar w:fldCharType="end"/>
        </w:r>
      </w:hyperlink>
    </w:p>
    <w:p>
      <w:pPr>
        <w:tabs>
          <w:tab w:val="right" w:leader="dot" w:pos="9062"/>
        </w:tabs>
        <w:ind w:left="440"/>
      </w:pPr>
      <w:hyperlink w:anchor="_Toc9866" w:history="1">
        <w:r>
          <w:rPr>
            <w:rFonts w:ascii="IRNazanin" w:hAnsi="IRNazanin" w:eastAsia="IRNazanin" w:cs="IRNazanin"/>
            <w:color w:val="111111"/>
            <w:sz w:val="22"/>
            <w:szCs w:val="22"/>
            <w:b w:val="0"/>
            <w:bCs w:val="0"/>
            <w:i w:val="0"/>
            <w:iCs w:val="0"/>
          </w:rPr>
          <w:t>8474- دیوان یوسف کازرونی أو شعره‏</w:t>
        </w:r>
        <w:r>
          <w:tab/>
        </w:r>
        <w:r>
          <w:fldChar w:fldCharType="begin"/>
        </w:r>
        <w:r>
          <w:instrText xml:space="preserve">PAGEREF 9866 \h</w:instrText>
        </w:r>
        <w:r>
          <w:fldChar w:fldCharType="end"/>
        </w:r>
      </w:hyperlink>
    </w:p>
    <w:p>
      <w:pPr>
        <w:tabs>
          <w:tab w:val="right" w:leader="dot" w:pos="9062"/>
        </w:tabs>
        <w:ind w:left="440"/>
      </w:pPr>
      <w:hyperlink w:anchor="_Toc9867" w:history="1">
        <w:r>
          <w:rPr>
            <w:rFonts w:ascii="IRNazanin" w:hAnsi="IRNazanin" w:eastAsia="IRNazanin" w:cs="IRNazanin"/>
            <w:color w:val="111111"/>
            <w:sz w:val="22"/>
            <w:szCs w:val="22"/>
            <w:b w:val="0"/>
            <w:bCs w:val="0"/>
            <w:i w:val="0"/>
            <w:iCs w:val="0"/>
          </w:rPr>
          <w:t>دیوان یوسف کشمیری‏</w:t>
        </w:r>
        <w:r>
          <w:tab/>
        </w:r>
        <w:r>
          <w:fldChar w:fldCharType="begin"/>
        </w:r>
        <w:r>
          <w:instrText xml:space="preserve">PAGEREF 9867 \h</w:instrText>
        </w:r>
        <w:r>
          <w:fldChar w:fldCharType="end"/>
        </w:r>
      </w:hyperlink>
    </w:p>
    <w:p>
      <w:pPr>
        <w:tabs>
          <w:tab w:val="right" w:leader="dot" w:pos="9062"/>
        </w:tabs>
        <w:ind w:left="440"/>
      </w:pPr>
      <w:hyperlink w:anchor="_Toc9868" w:history="1">
        <w:r>
          <w:rPr>
            <w:rFonts w:ascii="IRNazanin" w:hAnsi="IRNazanin" w:eastAsia="IRNazanin" w:cs="IRNazanin"/>
            <w:color w:val="111111"/>
            <w:sz w:val="22"/>
            <w:szCs w:val="22"/>
            <w:b w:val="0"/>
            <w:bCs w:val="0"/>
            <w:i w:val="0"/>
            <w:iCs w:val="0"/>
          </w:rPr>
          <w:t>8475- دیوان یوسف الکوفی‏</w:t>
        </w:r>
        <w:r>
          <w:tab/>
        </w:r>
        <w:r>
          <w:fldChar w:fldCharType="begin"/>
        </w:r>
        <w:r>
          <w:instrText xml:space="preserve">PAGEREF 9868 \h</w:instrText>
        </w:r>
        <w:r>
          <w:fldChar w:fldCharType="end"/>
        </w:r>
      </w:hyperlink>
    </w:p>
    <w:p>
      <w:pPr>
        <w:tabs>
          <w:tab w:val="right" w:leader="dot" w:pos="9062"/>
        </w:tabs>
        <w:ind w:left="440"/>
      </w:pPr>
      <w:hyperlink w:anchor="_Toc9869" w:history="1">
        <w:r>
          <w:rPr>
            <w:rFonts w:ascii="IRNazanin" w:hAnsi="IRNazanin" w:eastAsia="IRNazanin" w:cs="IRNazanin"/>
            <w:color w:val="111111"/>
            <w:sz w:val="22"/>
            <w:szCs w:val="22"/>
            <w:b w:val="0"/>
            <w:bCs w:val="0"/>
            <w:i w:val="0"/>
            <w:iCs w:val="0"/>
          </w:rPr>
          <w:t>8476- دیوان یوسف گرجی أو شعره‏</w:t>
        </w:r>
        <w:r>
          <w:tab/>
        </w:r>
        <w:r>
          <w:fldChar w:fldCharType="begin"/>
        </w:r>
        <w:r>
          <w:instrText xml:space="preserve">PAGEREF 9869 \h</w:instrText>
        </w:r>
        <w:r>
          <w:fldChar w:fldCharType="end"/>
        </w:r>
      </w:hyperlink>
    </w:p>
    <w:p>
      <w:pPr>
        <w:tabs>
          <w:tab w:val="right" w:leader="dot" w:pos="9062"/>
        </w:tabs>
        <w:ind w:left="440"/>
      </w:pPr>
      <w:hyperlink w:anchor="_Toc9870" w:history="1">
        <w:r>
          <w:rPr>
            <w:rFonts w:ascii="IRNazanin" w:hAnsi="IRNazanin" w:eastAsia="IRNazanin" w:cs="IRNazanin"/>
            <w:color w:val="111111"/>
            <w:sz w:val="22"/>
            <w:szCs w:val="22"/>
            <w:b w:val="0"/>
            <w:bCs w:val="0"/>
            <w:i w:val="0"/>
            <w:iCs w:val="0"/>
          </w:rPr>
          <w:t>8477- دیوان یوسف گردیزی أو شعره‏</w:t>
        </w:r>
        <w:r>
          <w:tab/>
        </w:r>
        <w:r>
          <w:fldChar w:fldCharType="begin"/>
        </w:r>
        <w:r>
          <w:instrText xml:space="preserve">PAGEREF 9870 \h</w:instrText>
        </w:r>
        <w:r>
          <w:fldChar w:fldCharType="end"/>
        </w:r>
      </w:hyperlink>
    </w:p>
    <w:p>
      <w:pPr>
        <w:tabs>
          <w:tab w:val="right" w:leader="dot" w:pos="9062"/>
        </w:tabs>
        <w:ind w:left="440"/>
      </w:pPr>
      <w:hyperlink w:anchor="_Toc9871" w:history="1">
        <w:r>
          <w:rPr>
            <w:rFonts w:ascii="IRNazanin" w:hAnsi="IRNazanin" w:eastAsia="IRNazanin" w:cs="IRNazanin"/>
            <w:color w:val="111111"/>
            <w:sz w:val="22"/>
            <w:szCs w:val="22"/>
            <w:b w:val="0"/>
            <w:bCs w:val="0"/>
            <w:i w:val="0"/>
            <w:iCs w:val="0"/>
          </w:rPr>
          <w:t>دیوان یوسف لاری‏</w:t>
        </w:r>
        <w:r>
          <w:tab/>
        </w:r>
        <w:r>
          <w:fldChar w:fldCharType="begin"/>
        </w:r>
        <w:r>
          <w:instrText xml:space="preserve">PAGEREF 9871 \h</w:instrText>
        </w:r>
        <w:r>
          <w:fldChar w:fldCharType="end"/>
        </w:r>
      </w:hyperlink>
    </w:p>
    <w:p>
      <w:pPr>
        <w:tabs>
          <w:tab w:val="right" w:leader="dot" w:pos="9062"/>
        </w:tabs>
        <w:ind w:left="440"/>
      </w:pPr>
      <w:hyperlink w:anchor="_Toc9872" w:history="1">
        <w:r>
          <w:rPr>
            <w:rFonts w:ascii="IRNazanin" w:hAnsi="IRNazanin" w:eastAsia="IRNazanin" w:cs="IRNazanin"/>
            <w:color w:val="111111"/>
            <w:sz w:val="22"/>
            <w:szCs w:val="22"/>
            <w:b w:val="0"/>
            <w:bCs w:val="0"/>
            <w:i w:val="0"/>
            <w:iCs w:val="0"/>
          </w:rPr>
          <w:t>8478- دیوان یوسف لاهیجی أو شعره‏</w:t>
        </w:r>
        <w:r>
          <w:tab/>
        </w:r>
        <w:r>
          <w:fldChar w:fldCharType="begin"/>
        </w:r>
        <w:r>
          <w:instrText xml:space="preserve">PAGEREF 9872 \h</w:instrText>
        </w:r>
        <w:r>
          <w:fldChar w:fldCharType="end"/>
        </w:r>
      </w:hyperlink>
    </w:p>
    <w:p>
      <w:pPr>
        <w:tabs>
          <w:tab w:val="right" w:leader="dot" w:pos="9062"/>
        </w:tabs>
        <w:ind w:left="440"/>
      </w:pPr>
      <w:hyperlink w:anchor="_Toc9873" w:history="1">
        <w:r>
          <w:rPr>
            <w:rFonts w:ascii="IRNazanin" w:hAnsi="IRNazanin" w:eastAsia="IRNazanin" w:cs="IRNazanin"/>
            <w:color w:val="111111"/>
            <w:sz w:val="22"/>
            <w:szCs w:val="22"/>
            <w:b w:val="0"/>
            <w:bCs w:val="0"/>
            <w:i w:val="0"/>
            <w:iCs w:val="0"/>
          </w:rPr>
          <w:t>8479- دیوان یوسف لکهنوی‏</w:t>
        </w:r>
        <w:r>
          <w:tab/>
        </w:r>
        <w:r>
          <w:fldChar w:fldCharType="begin"/>
        </w:r>
        <w:r>
          <w:instrText xml:space="preserve">PAGEREF 9873 \h</w:instrText>
        </w:r>
        <w:r>
          <w:fldChar w:fldCharType="end"/>
        </w:r>
      </w:hyperlink>
    </w:p>
    <w:p>
      <w:pPr>
        <w:tabs>
          <w:tab w:val="right" w:leader="dot" w:pos="9062"/>
        </w:tabs>
        <w:ind w:left="440"/>
      </w:pPr>
      <w:hyperlink w:anchor="_Toc9874" w:history="1">
        <w:r>
          <w:rPr>
            <w:rFonts w:ascii="IRNazanin" w:hAnsi="IRNazanin" w:eastAsia="IRNazanin" w:cs="IRNazanin"/>
            <w:color w:val="111111"/>
            <w:sz w:val="22"/>
            <w:szCs w:val="22"/>
            <w:b w:val="0"/>
            <w:bCs w:val="0"/>
            <w:i w:val="0"/>
            <w:iCs w:val="0"/>
          </w:rPr>
          <w:t>8480- دیوان یوسف لکهنوی أو شعره‏</w:t>
        </w:r>
        <w:r>
          <w:tab/>
        </w:r>
        <w:r>
          <w:fldChar w:fldCharType="begin"/>
        </w:r>
        <w:r>
          <w:instrText xml:space="preserve">PAGEREF 9874 \h</w:instrText>
        </w:r>
        <w:r>
          <w:fldChar w:fldCharType="end"/>
        </w:r>
      </w:hyperlink>
    </w:p>
    <w:p>
      <w:pPr>
        <w:tabs>
          <w:tab w:val="right" w:leader="dot" w:pos="9062"/>
        </w:tabs>
        <w:ind w:left="440"/>
      </w:pPr>
      <w:hyperlink w:anchor="_Toc9875" w:history="1">
        <w:r>
          <w:rPr>
            <w:rFonts w:ascii="IRNazanin" w:hAnsi="IRNazanin" w:eastAsia="IRNazanin" w:cs="IRNazanin"/>
            <w:color w:val="111111"/>
            <w:sz w:val="22"/>
            <w:szCs w:val="22"/>
            <w:b w:val="0"/>
            <w:bCs w:val="0"/>
            <w:i w:val="0"/>
            <w:iCs w:val="0"/>
          </w:rPr>
          <w:t>8481- دیوان یوسف لکهنوی أو شعره‏</w:t>
        </w:r>
        <w:r>
          <w:tab/>
        </w:r>
        <w:r>
          <w:fldChar w:fldCharType="begin"/>
        </w:r>
        <w:r>
          <w:instrText xml:space="preserve">PAGEREF 9875 \h</w:instrText>
        </w:r>
        <w:r>
          <w:fldChar w:fldCharType="end"/>
        </w:r>
      </w:hyperlink>
    </w:p>
    <w:p>
      <w:pPr>
        <w:tabs>
          <w:tab w:val="right" w:leader="dot" w:pos="9062"/>
        </w:tabs>
        <w:ind w:left="440"/>
      </w:pPr>
      <w:hyperlink w:anchor="_Toc9876" w:history="1">
        <w:r>
          <w:rPr>
            <w:rFonts w:ascii="IRNazanin" w:hAnsi="IRNazanin" w:eastAsia="IRNazanin" w:cs="IRNazanin"/>
            <w:color w:val="111111"/>
            <w:sz w:val="22"/>
            <w:szCs w:val="22"/>
            <w:b w:val="0"/>
            <w:bCs w:val="0"/>
            <w:i w:val="0"/>
            <w:iCs w:val="0"/>
          </w:rPr>
          <w:t>8482- دیوان یوسف مروی أو شعره‏</w:t>
        </w:r>
        <w:r>
          <w:tab/>
        </w:r>
        <w:r>
          <w:fldChar w:fldCharType="begin"/>
        </w:r>
        <w:r>
          <w:instrText xml:space="preserve">PAGEREF 9876 \h</w:instrText>
        </w:r>
        <w:r>
          <w:fldChar w:fldCharType="end"/>
        </w:r>
      </w:hyperlink>
    </w:p>
    <w:p>
      <w:pPr>
        <w:tabs>
          <w:tab w:val="right" w:leader="dot" w:pos="9062"/>
        </w:tabs>
        <w:ind w:left="440"/>
      </w:pPr>
      <w:hyperlink w:anchor="_Toc9877" w:history="1">
        <w:r>
          <w:rPr>
            <w:rFonts w:ascii="IRNazanin" w:hAnsi="IRNazanin" w:eastAsia="IRNazanin" w:cs="IRNazanin"/>
            <w:color w:val="111111"/>
            <w:sz w:val="22"/>
            <w:szCs w:val="22"/>
            <w:b w:val="0"/>
            <w:bCs w:val="0"/>
            <w:i w:val="0"/>
            <w:iCs w:val="0"/>
          </w:rPr>
          <w:t>8483- دیوان یوسف هروی أو شعره‏</w:t>
        </w:r>
        <w:r>
          <w:tab/>
        </w:r>
        <w:r>
          <w:fldChar w:fldCharType="begin"/>
        </w:r>
        <w:r>
          <w:instrText xml:space="preserve">PAGEREF 9877 \h</w:instrText>
        </w:r>
        <w:r>
          <w:fldChar w:fldCharType="end"/>
        </w:r>
      </w:hyperlink>
    </w:p>
    <w:p>
      <w:pPr>
        <w:tabs>
          <w:tab w:val="right" w:leader="dot" w:pos="9062"/>
        </w:tabs>
        <w:ind w:left="440"/>
      </w:pPr>
      <w:hyperlink w:anchor="_Toc9878" w:history="1">
        <w:r>
          <w:rPr>
            <w:rFonts w:ascii="IRNazanin" w:hAnsi="IRNazanin" w:eastAsia="IRNazanin" w:cs="IRNazanin"/>
            <w:color w:val="111111"/>
            <w:sz w:val="22"/>
            <w:szCs w:val="22"/>
            <w:b w:val="0"/>
            <w:bCs w:val="0"/>
            <w:i w:val="0"/>
            <w:iCs w:val="0"/>
          </w:rPr>
          <w:t>8484- دیوان یوسف هندی أو شعره‏</w:t>
        </w:r>
        <w:r>
          <w:tab/>
        </w:r>
        <w:r>
          <w:fldChar w:fldCharType="begin"/>
        </w:r>
        <w:r>
          <w:instrText xml:space="preserve">PAGEREF 9878 \h</w:instrText>
        </w:r>
        <w:r>
          <w:fldChar w:fldCharType="end"/>
        </w:r>
      </w:hyperlink>
    </w:p>
    <w:p>
      <w:pPr>
        <w:tabs>
          <w:tab w:val="right" w:leader="dot" w:pos="9062"/>
        </w:tabs>
        <w:ind w:left="440"/>
      </w:pPr>
      <w:hyperlink w:anchor="_Toc9879" w:history="1">
        <w:r>
          <w:rPr>
            <w:rFonts w:ascii="IRNazanin" w:hAnsi="IRNazanin" w:eastAsia="IRNazanin" w:cs="IRNazanin"/>
            <w:color w:val="111111"/>
            <w:sz w:val="22"/>
            <w:szCs w:val="22"/>
            <w:b w:val="0"/>
            <w:bCs w:val="0"/>
            <w:i w:val="0"/>
            <w:iCs w:val="0"/>
          </w:rPr>
          <w:t>8485- دیوان یوسفی طبیب‏</w:t>
        </w:r>
        <w:r>
          <w:tab/>
        </w:r>
        <w:r>
          <w:fldChar w:fldCharType="begin"/>
        </w:r>
        <w:r>
          <w:instrText xml:space="preserve">PAGEREF 9879 \h</w:instrText>
        </w:r>
        <w:r>
          <w:fldChar w:fldCharType="end"/>
        </w:r>
      </w:hyperlink>
    </w:p>
    <w:p>
      <w:pPr>
        <w:tabs>
          <w:tab w:val="right" w:leader="dot" w:pos="9062"/>
        </w:tabs>
        <w:ind w:left="440"/>
      </w:pPr>
      <w:hyperlink w:anchor="_Toc9880" w:history="1">
        <w:r>
          <w:rPr>
            <w:rFonts w:ascii="IRNazanin" w:hAnsi="IRNazanin" w:eastAsia="IRNazanin" w:cs="IRNazanin"/>
            <w:color w:val="111111"/>
            <w:sz w:val="22"/>
            <w:szCs w:val="22"/>
            <w:b w:val="0"/>
            <w:bCs w:val="0"/>
            <w:i w:val="0"/>
            <w:iCs w:val="0"/>
          </w:rPr>
          <w:t>8486- دیوان یوسفی گلپایگانی‏</w:t>
        </w:r>
        <w:r>
          <w:tab/>
        </w:r>
        <w:r>
          <w:fldChar w:fldCharType="begin"/>
        </w:r>
        <w:r>
          <w:instrText xml:space="preserve">PAGEREF 9880 \h</w:instrText>
        </w:r>
        <w:r>
          <w:fldChar w:fldCharType="end"/>
        </w:r>
      </w:hyperlink>
    </w:p>
    <w:p>
      <w:pPr>
        <w:tabs>
          <w:tab w:val="right" w:leader="dot" w:pos="9062"/>
        </w:tabs>
        <w:ind w:left="440"/>
      </w:pPr>
      <w:hyperlink w:anchor="_Toc9881" w:history="1">
        <w:r>
          <w:rPr>
            <w:rFonts w:ascii="IRNazanin" w:hAnsi="IRNazanin" w:eastAsia="IRNazanin" w:cs="IRNazanin"/>
            <w:color w:val="111111"/>
            <w:sz w:val="22"/>
            <w:szCs w:val="22"/>
            <w:b w:val="0"/>
            <w:bCs w:val="0"/>
            <w:i w:val="0"/>
            <w:iCs w:val="0"/>
          </w:rPr>
          <w:t>8487- دیوان یونس أبهری أو شعره‏</w:t>
        </w:r>
        <w:r>
          <w:tab/>
        </w:r>
        <w:r>
          <w:fldChar w:fldCharType="begin"/>
        </w:r>
        <w:r>
          <w:instrText xml:space="preserve">PAGEREF 9881 \h</w:instrText>
        </w:r>
        <w:r>
          <w:fldChar w:fldCharType="end"/>
        </w:r>
      </w:hyperlink>
    </w:p>
    <w:p>
      <w:pPr>
        <w:tabs>
          <w:tab w:val="right" w:leader="dot" w:pos="9062"/>
        </w:tabs>
        <w:ind w:left="440"/>
      </w:pPr>
      <w:hyperlink w:anchor="_Toc9882" w:history="1">
        <w:r>
          <w:rPr>
            <w:rFonts w:ascii="IRNazanin" w:hAnsi="IRNazanin" w:eastAsia="IRNazanin" w:cs="IRNazanin"/>
            <w:color w:val="111111"/>
            <w:sz w:val="22"/>
            <w:szCs w:val="22"/>
            <w:b w:val="0"/>
            <w:bCs w:val="0"/>
            <w:i w:val="0"/>
            <w:iCs w:val="0"/>
          </w:rPr>
          <w:t>8488- دیوان یونس الدیلمی أو شعره‏</w:t>
        </w:r>
        <w:r>
          <w:tab/>
        </w:r>
        <w:r>
          <w:fldChar w:fldCharType="begin"/>
        </w:r>
        <w:r>
          <w:instrText xml:space="preserve">PAGEREF 9882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701_121476"/>
    <w:bookmarkEnd w:id="0"/>
    <w:p>
      <w:pPr>
        <w:pStyle w:val="Heading2"/>
      </w:pPr>
      <w:bookmarkStart w:id="1305" w:name="_Toc1"/>
      <w:r>
        <w:t>اشارة</w:t>
      </w:r>
      <w:bookmarkEnd w:id="1305"/>
    </w:p>
    <w:p>
      <w:pPr>
        <w:pStyle w:val="BookText"/>
      </w:pPr>
      <w:r>
        <w:rPr>
          <w:rFonts w:ascii="IRNazanin" w:hAnsi="IRNazanin" w:eastAsia="IRNazanin" w:cs="IRNazanin"/>
          <w:lang w:bidi="fa-IR"/>
          <w:color w:val="111111"/>
          <w:sz w:val="28"/>
          <w:szCs w:val="28"/>
          <w:rtl/>
        </w:rPr>
        <w:t xml:space="preserve">سرشناسه:آقابزرگ طهرانی، محمدمحسن، ۱۲۵۵ - ۱۳۴۸ .</w:t>
      </w:r>
    </w:p>
    <w:p>
      <w:pPr>
        <w:pStyle w:val="BookText"/>
      </w:pPr>
      <w:r>
        <w:rPr>
          <w:rFonts w:ascii="IRNazanin" w:hAnsi="IRNazanin" w:eastAsia="IRNazanin" w:cs="IRNazanin"/>
          <w:lang w:bidi="fa-IR"/>
          <w:color w:val="111111"/>
          <w:sz w:val="28"/>
          <w:szCs w:val="28"/>
          <w:rtl/>
        </w:rPr>
        <w:t xml:space="preserve">عنوان و نام پدیدآور:الذریعه الی تصانیف‌الشیعه/ آقا بزرگ الطهرانی.</w:t>
      </w:r>
    </w:p>
    <w:p>
      <w:pPr>
        <w:pStyle w:val="BookText"/>
      </w:pPr>
      <w:r>
        <w:rPr>
          <w:rFonts w:ascii="IRNazanin" w:hAnsi="IRNazanin" w:eastAsia="IRNazanin" w:cs="IRNazanin"/>
          <w:lang w:bidi="fa-IR"/>
          <w:color w:val="111111"/>
          <w:sz w:val="28"/>
          <w:szCs w:val="28"/>
          <w:rtl/>
        </w:rPr>
        <w:t xml:space="preserve">مشخصات نشر:بیروت: دارالاضواء، ۱۴۰۳ق. -= ۱۹۸۳م. -= ۱۳۶۲ -</w:t>
      </w:r>
    </w:p>
    <w:p>
      <w:pPr>
        <w:pStyle w:val="BookText"/>
      </w:pPr>
      <w:r>
        <w:rPr>
          <w:rFonts w:ascii="IRNazanin" w:hAnsi="IRNazanin" w:eastAsia="IRNazanin" w:cs="IRNazanin"/>
          <w:lang w:bidi="fa-IR"/>
          <w:color w:val="111111"/>
          <w:sz w:val="28"/>
          <w:szCs w:val="28"/>
          <w:rtl/>
        </w:rPr>
        <w:t xml:space="preserve">مشخصات ظاهری:26ج.</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مندرجات:ج.۱. آب حیات - ازهاق‌الباطل.-ج.۲. الألف ثم‌ا‌لسین المهملة - أیو.--ج.۳. البائیات - التحیة.--ج.۴. التخاطب - ت‌ی‌م.--ج.۵. الثاءالمثلثة - چ‌ی‌ن.--ج.۱۳. باب ما اوله الشین ثم الألف.--ج.۱۴. بقیة ما أوله الشین‌المعجمة ثم الراء ثم سائرالحروف.--ج.۱۵. مما اوله الصاد‌المهملة الی آخر ما اوله العین المهملة.--ج.۱۶. الغارات- فیه مافیه.--ج. ۱۸. کشف- لیلی و مجنون..--ج.۲۶. مستدرکات المولف.</w:t>
      </w:r>
    </w:p>
    <w:p>
      <w:pPr>
        <w:pStyle w:val="BookText"/>
      </w:pPr>
      <w:r>
        <w:rPr>
          <w:rFonts w:ascii="IRNazanin" w:hAnsi="IRNazanin" w:eastAsia="IRNazanin" w:cs="IRNazanin"/>
          <w:lang w:bidi="fa-IR"/>
          <w:color w:val="111111"/>
          <w:sz w:val="28"/>
          <w:szCs w:val="28"/>
          <w:rtl/>
        </w:rPr>
        <w:t xml:space="preserve">موضوع:نویسندگان شیعه -- کتابشناسی</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Shiite authors -- Bibliography</w:t>
      </w:r>
    </w:p>
    <w:p>
      <w:pPr>
        <w:pStyle w:val="BookText"/>
      </w:pPr>
      <w:r>
        <w:rPr>
          <w:rFonts w:ascii="IRNazanin" w:hAnsi="IRNazanin" w:eastAsia="IRNazanin" w:cs="IRNazanin"/>
          <w:lang w:bidi="fa-IR"/>
          <w:color w:val="111111"/>
          <w:sz w:val="28"/>
          <w:szCs w:val="28"/>
          <w:rtl/>
        </w:rPr>
        <w:t xml:space="preserve">موضوع:نسخه‌های خطی عربی -- فهرست‌ها</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Manuscripts, Arabic -- Catalogs</w:t>
      </w:r>
    </w:p>
    <w:p>
      <w:pPr>
        <w:pStyle w:val="BookText"/>
      </w:pPr>
      <w:r>
        <w:rPr>
          <w:rFonts w:ascii="IRNazanin" w:hAnsi="IRNazanin" w:eastAsia="IRNazanin" w:cs="IRNazanin"/>
          <w:lang w:bidi="fa-IR"/>
          <w:color w:val="111111"/>
          <w:sz w:val="28"/>
          <w:szCs w:val="28"/>
          <w:rtl/>
        </w:rPr>
        <w:t xml:space="preserve">موضوع:نسخه‌های خطی فارسی -- فهرست‌ها</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Manuscripts, Persian -- Catalogs</w:t>
      </w:r>
    </w:p>
    <w:p>
      <w:pPr>
        <w:pStyle w:val="BookText"/>
      </w:pPr>
      <w:r>
        <w:rPr>
          <w:rFonts w:ascii="IRNazanin" w:hAnsi="IRNazanin" w:eastAsia="IRNazanin" w:cs="IRNazanin"/>
          <w:lang w:bidi="fa-IR"/>
          <w:color w:val="111111"/>
          <w:sz w:val="28"/>
          <w:szCs w:val="28"/>
          <w:rtl/>
        </w:rPr>
        <w:t xml:space="preserve">موضوع:کتاب‌های چاپی -- کتابشناسی</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Imprints (Publications) -- Bibliography</w:t>
      </w:r>
    </w:p>
    <w:p>
      <w:pPr>
        <w:pStyle w:val="BookText"/>
      </w:pPr>
      <w:r>
        <w:rPr>
          <w:rFonts w:ascii="IRNazanin" w:hAnsi="IRNazanin" w:eastAsia="IRNazanin" w:cs="IRNazanin"/>
          <w:lang w:bidi="fa-IR"/>
          <w:color w:val="111111"/>
          <w:sz w:val="28"/>
          <w:szCs w:val="28"/>
          <w:rtl/>
        </w:rPr>
        <w:t xml:space="preserve">شناسه افزوده:حسینی، سیداحمد، ۱۳۱۰ -</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Z</w:t>
      </w:r>
      <w:r>
        <w:rPr>
          <w:rFonts w:ascii="IRNazanin" w:hAnsi="IRNazanin" w:eastAsia="IRNazanin" w:cs="IRNazanin"/>
          <w:lang w:bidi="fa-IR"/>
          <w:color w:val="111111"/>
          <w:sz w:val="28"/>
          <w:szCs w:val="28"/>
          <w:rtl/>
        </w:rPr>
        <w:t xml:space="preserve">۷۸۳۵/الف۵آ۷ ۱۳۶۲</w:t>
      </w:r>
    </w:p>
    <w:p>
      <w:pPr>
        <w:pStyle w:val="BookText"/>
      </w:pPr>
      <w:r>
        <w:rPr>
          <w:rFonts w:ascii="IRNazanin" w:hAnsi="IRNazanin" w:eastAsia="IRNazanin" w:cs="IRNazanin"/>
          <w:lang w:bidi="fa-IR"/>
          <w:color w:val="111111"/>
          <w:sz w:val="28"/>
          <w:szCs w:val="28"/>
          <w:rtl/>
        </w:rPr>
        <w:t xml:space="preserve">رده بندی دیویی:۰۱۱/۸۸۲۹۷۴۱۷۲</w:t>
      </w:r>
    </w:p>
    <w:p>
      <w:pPr>
        <w:pStyle w:val="BookText"/>
      </w:pPr>
      <w:r>
        <w:rPr>
          <w:rFonts w:ascii="IRNazanin" w:hAnsi="IRNazanin" w:eastAsia="IRNazanin" w:cs="IRNazanin"/>
          <w:lang w:bidi="fa-IR"/>
          <w:color w:val="111111"/>
          <w:sz w:val="28"/>
          <w:szCs w:val="28"/>
          <w:rtl/>
        </w:rPr>
        <w:t xml:space="preserve">شماره کتابشناسی ملی:۳۵۲۵۹۶۸</w:t>
      </w:r>
    </w:p>
    <w:p>
      <w:pPr>
        <w:pStyle w:val="Heading2"/>
      </w:pPr>
      <w:bookmarkStart w:id="1306" w:name="_Toc2"/>
      <w:r>
        <w:t>اشارة</w:t>
      </w:r>
      <w:bookmarkEnd w:id="1306"/>
    </w:p>
    <w:p>
      <w:pPr>
        <w:pStyle w:val="BookText"/>
      </w:pPr>
      <w:r>
        <w:rPr>
          <w:rFonts w:ascii="IRNazanin" w:hAnsi="IRNazanin" w:eastAsia="IRNazanin" w:cs="IRNazanin"/>
          <w:lang w:bidi="fa-IR"/>
          <w:color w:val="111111"/>
          <w:sz w:val="28"/>
          <w:szCs w:val="28"/>
          <w:rtl/>
        </w:rPr>
        <w:t xml:space="preserve">[بیان]</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علی خیر خلقه محمد و آله الطاهرین.</w:t>
      </w:r>
    </w:p>
    <w:p>
      <w:pPr>
        <w:pStyle w:val="BookText"/>
      </w:pPr>
      <w:r>
        <w:rPr>
          <w:rFonts w:ascii="IRNazanin" w:hAnsi="IRNazanin" w:eastAsia="IRNazanin" w:cs="IRNazanin"/>
          <w:lang w:bidi="fa-IR"/>
          <w:color w:val="111111"/>
          <w:sz w:val="28"/>
          <w:szCs w:val="28"/>
          <w:rtl/>
        </w:rPr>
        <w:t xml:space="preserve">و بعد فلا یخفی أن الشعر أثر لناظمه، و دواوین الشعراء تألیفات مستقلة یلیق أن یذکر فی عداد المصنفات. و کان قد ذکر فی الذریعة الأشعار المدونة للشعراء بعنوان دیوان فلان فی حرف الدال و أشعار الذین لم یدون أشعارهم بعنوان شعر فلان فی الشین، ثم رأینا أن الفصل بین الشعر المدون و الغیر المدون عسیر، و قل ما یکون أحدا یعد شاعرا و لم یدون عدة قطعات من شعره، فلأکثر الشعراء دواوین و إن کان صغیر الحجم، فرأینا أن من الأولی جمع الآثار المنظومة فی باب واحد مرتبا لها</w:t>
      </w:r>
    </w:p>
    <w:p>
      <w:pPr>
        <w:pStyle w:val="BookText"/>
      </w:pPr>
      <w:r>
        <w:rPr>
          <w:rFonts w:ascii="IRNazanin" w:hAnsi="IRNazanin" w:eastAsia="IRNazanin" w:cs="IRNazanin"/>
          <w:lang w:bidi="fa-IR"/>
          <w:color w:val="111111"/>
          <w:sz w:val="28"/>
          <w:szCs w:val="28"/>
          <w:rtl/>
        </w:rPr>
        <w:t xml:space="preserve">علی حروف الهجاء مع إشارة إجمالیة إلی کونها مدونة أم لا، فالأشعار التی رأیناها أو سمعنا بها مدونة ذکرناها بعنوان دیوان فلان مضافا إلی اللقب الشعری للناظم و المعبر به عند الفرس تخلص و الأشعار التی کانت قلیلة و لم نسمع بکونها مدونة عبرنا عنها دیوان فلان أو شعره.</w:t>
      </w:r>
    </w:p>
    <w:p>
      <w:pPr>
        <w:pStyle w:val="BookText"/>
      </w:pPr>
      <w:r>
        <w:rPr>
          <w:rFonts w:ascii="IRNazanin" w:hAnsi="IRNazanin" w:eastAsia="IRNazanin" w:cs="IRNazanin"/>
          <w:lang w:bidi="fa-IR"/>
          <w:color w:val="111111"/>
          <w:sz w:val="28"/>
          <w:szCs w:val="28"/>
          <w:rtl/>
        </w:rPr>
        <w:t xml:space="preserve">و هکذا جمعنا قسم الشعر و الشعراء من الذریعة فی الجزء التاسع الذی سیخرج فی عدة مجلدات. و سیکون فی آخره خاتمة نبین فیها مدارک هذا الجزء و الرموز المستعملة فیه، و یشتمل علی بیان مختصر حول تاریخ الشعر و الشعراء.</w:t>
      </w:r>
    </w:p>
    <w:p>
      <w:pPr>
        <w:pStyle w:val="BookText"/>
      </w:pPr>
      <w:r>
        <w:rPr>
          <w:rFonts w:ascii="IRNazanin" w:hAnsi="IRNazanin" w:eastAsia="IRNazanin" w:cs="IRNazanin"/>
          <w:lang w:bidi="fa-IR"/>
          <w:color w:val="111111"/>
          <w:sz w:val="28"/>
          <w:szCs w:val="28"/>
          <w:rtl/>
        </w:rPr>
        <w:t xml:space="preserve">و سیکون الاستدراکات أیضا فی آخر الجزء التاسع.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1704_121477"/>
    <w:bookmarkEnd w:id="1"/>
    <w:p>
      <w:pPr>
        <w:pStyle w:val="Heading2"/>
      </w:pPr>
      <w:bookmarkStart w:id="1307" w:name="_Toc3"/>
      <w:r>
        <w:t>الدواوین‏ الجزء الأول</w:t>
      </w:r>
      <w:bookmarkEnd w:id="1307"/>
    </w:p>
    <w:p>
      <w:pPr>
        <w:pStyle w:val="Heading3"/>
      </w:pPr>
      <w:bookmarkStart w:id="1308" w:name="_Toc4"/>
      <w:r>
        <w:t>دیوان آیینه مشروطه‏</w:t>
      </w:r>
      <w:bookmarkEnd w:id="1308"/>
    </w:p>
    <w:p>
      <w:pPr>
        <w:pStyle w:val="BookText"/>
      </w:pPr>
      <w:r>
        <w:rPr>
          <w:rFonts w:ascii="IRNazanin" w:hAnsi="IRNazanin" w:eastAsia="IRNazanin" w:cs="IRNazanin"/>
          <w:lang w:bidi="fa-IR"/>
          <w:color w:val="111111"/>
          <w:sz w:val="28"/>
          <w:szCs w:val="28"/>
          <w:rtl/>
        </w:rPr>
        <w:t xml:space="preserve">یأتی بعنوان دیوان مهندسی.</w:t>
      </w:r>
    </w:p>
    <w:p>
      <w:pPr>
        <w:pStyle w:val="Heading3"/>
      </w:pPr>
      <w:bookmarkStart w:id="1309" w:name="_Toc5"/>
      <w:r>
        <w:t>1- دیوان آبانی طهرانی-</w:t>
      </w:r>
      <w:bookmarkEnd w:id="1309"/>
    </w:p>
    <w:p>
      <w:pPr>
        <w:pStyle w:val="BookText"/>
      </w:pPr>
      <w:r>
        <w:rPr>
          <w:rFonts w:ascii="IRNazanin" w:hAnsi="IRNazanin" w:eastAsia="IRNazanin" w:cs="IRNazanin"/>
          <w:lang w:bidi="fa-IR"/>
          <w:color w:val="111111"/>
          <w:sz w:val="28"/>
          <w:szCs w:val="28"/>
          <w:rtl/>
        </w:rPr>
        <w:t xml:space="preserve">للمیرزا نصر الله الذی کان عطارا ثم صار من أهل الکمال و کان قد ینظم الشعر. ترجمه فی مجمع الفصحاء (ج 2- ص 62) فی عداد معاصریه من الشعراء و أورد بعض أشعاره.</w:t>
      </w:r>
    </w:p>
    <w:p>
      <w:pPr>
        <w:pStyle w:val="Heading3"/>
      </w:pPr>
      <w:bookmarkStart w:id="1310" w:name="_Toc6"/>
      <w:r>
        <w:t>2- دیوان آتش الأصفهانی‏</w:t>
      </w:r>
      <w:bookmarkEnd w:id="1310"/>
    </w:p>
    <w:p>
      <w:pPr>
        <w:pStyle w:val="BookText"/>
      </w:pPr>
      <w:r>
        <w:rPr>
          <w:rFonts w:ascii="IRNazanin" w:hAnsi="IRNazanin" w:eastAsia="IRNazanin" w:cs="IRNazanin"/>
          <w:lang w:bidi="fa-IR"/>
          <w:color w:val="111111"/>
          <w:sz w:val="28"/>
          <w:szCs w:val="28"/>
          <w:rtl/>
        </w:rPr>
        <w:t xml:space="preserve">الذی کان أصله من الحلة و نزل فریدن من نواحی أصفهان و کان نائب الصدارة فیها کما ترجمه معاصره فی مجمع الفصحاء (ج 2- ص 64) و أورد شعره و مطلع غزله.</w:t>
      </w:r>
    </w:p>
    <w:p>
      <w:pPr>
        <w:pStyle w:val="Heading3"/>
      </w:pPr>
      <w:bookmarkStart w:id="1311" w:name="_Toc7"/>
      <w:r>
        <w:t>3- دیوان آتش الأصفهانی‏</w:t>
      </w:r>
      <w:bookmarkEnd w:id="1311"/>
    </w:p>
    <w:p>
      <w:pPr>
        <w:pStyle w:val="BookText"/>
      </w:pPr>
      <w:r>
        <w:rPr>
          <w:rFonts w:ascii="IRNazanin" w:hAnsi="IRNazanin" w:eastAsia="IRNazanin" w:cs="IRNazanin"/>
          <w:lang w:bidi="fa-IR"/>
          <w:color w:val="111111"/>
          <w:sz w:val="28"/>
          <w:szCs w:val="28"/>
          <w:rtl/>
        </w:rPr>
        <w:t xml:space="preserve">. للمیرزا حسن. ولد (1286) و توفی (21 رجب 1349) و قال حسام الدولت‏آبادی فی تاریخه:</w:t>
      </w:r>
    </w:p>
    <w:p>
      <w:pPr>
        <w:pStyle w:val="BookText"/>
      </w:pPr>
      <w:r>
        <w:rPr>
          <w:rFonts w:ascii="IRNazanin" w:hAnsi="IRNazanin" w:eastAsia="IRNazanin" w:cs="IRNazanin"/>
          <w:lang w:bidi="fa-IR"/>
          <w:color w:val="111111"/>
          <w:sz w:val="28"/>
          <w:szCs w:val="28"/>
          <w:rtl/>
        </w:rPr>
        <w:t xml:space="preserve">طبع حسام از پی تاریخ گفت‏</w:t>
      </w:r>
    </w:p>
    <w:p>
      <w:pPr>
        <w:pStyle w:val="BookText"/>
      </w:pPr>
      <w:r>
        <w:rPr>
          <w:rFonts w:ascii="IRNazanin" w:hAnsi="IRNazanin" w:eastAsia="IRNazanin" w:cs="IRNazanin"/>
          <w:lang w:bidi="fa-IR"/>
          <w:color w:val="111111"/>
          <w:sz w:val="28"/>
          <w:szCs w:val="28"/>
          <w:rtl/>
        </w:rPr>
        <w:t xml:space="preserve">آتش ما سرد شدی زود بود</w:t>
      </w:r>
    </w:p>
    <w:p>
      <w:pPr>
        <w:pStyle w:val="BookText"/>
      </w:pPr>
      <w:r>
        <w:rPr>
          <w:rFonts w:ascii="IRNazanin" w:hAnsi="IRNazanin" w:eastAsia="IRNazanin" w:cs="IRNazanin"/>
          <w:lang w:bidi="fa-IR"/>
          <w:color w:val="111111"/>
          <w:sz w:val="28"/>
          <w:szCs w:val="28"/>
          <w:rtl/>
        </w:rPr>
        <w:t xml:space="preserve">و دفن فی تکیة سراب قرب تخت فولاد بأصفهان. و قد طبع دیوانه. و ذکرت ترجمته فی هامش تذکره القبور فی طبع السید مصلح الدین (ص 28) بعنوان رجال أصفهان.</w:t>
      </w:r>
    </w:p>
    <w:p>
      <w:pPr>
        <w:pStyle w:val="Heading3"/>
      </w:pPr>
      <w:bookmarkStart w:id="1312" w:name="_Toc8"/>
      <w:r>
        <w:t>4- دیوان آتش اللکهنوی‏</w:t>
      </w:r>
      <w:bookmarkEnd w:id="1312"/>
    </w:p>
    <w:p>
      <w:pPr>
        <w:pStyle w:val="BookText"/>
      </w:pPr>
      <w:r>
        <w:rPr>
          <w:rFonts w:ascii="IRNazanin" w:hAnsi="IRNazanin" w:eastAsia="IRNazanin" w:cs="IRNazanin"/>
          <w:lang w:bidi="fa-IR"/>
          <w:color w:val="111111"/>
          <w:sz w:val="28"/>
          <w:szCs w:val="28"/>
          <w:rtl/>
        </w:rPr>
        <w:t xml:space="preserve">. للمیر حیدر علی اللکهنوی من تلامیذ مصحفی من أهل القرن الثالث عشر. طبع بنولکشور بالأردویة. ذکره السید علی نقی فی مشاهیر علماء الهند.</w:t>
      </w:r>
    </w:p>
    <w:p>
      <w:pPr>
        <w:pStyle w:val="Heading3"/>
      </w:pPr>
      <w:bookmarkStart w:id="1313" w:name="_Toc9"/>
      <w:r>
        <w:t>دیوان آتش پاره‏</w:t>
      </w:r>
      <w:bookmarkEnd w:id="1313"/>
    </w:p>
    <w:p>
      <w:pPr>
        <w:pStyle w:val="BookText"/>
      </w:pPr>
      <w:r>
        <w:rPr>
          <w:rFonts w:ascii="IRNazanin" w:hAnsi="IRNazanin" w:eastAsia="IRNazanin" w:cs="IRNazanin"/>
          <w:lang w:bidi="fa-IR"/>
          <w:color w:val="111111"/>
          <w:sz w:val="28"/>
          <w:szCs w:val="28"/>
          <w:rtl/>
        </w:rPr>
        <w:t xml:space="preserve">) مر فی (ج 1- ص 4) بعنوان آتش پاره.</w:t>
      </w:r>
    </w:p>
    <w:p>
      <w:pPr>
        <w:pStyle w:val="Heading3"/>
      </w:pPr>
      <w:bookmarkStart w:id="1314" w:name="_Toc10"/>
      <w:r>
        <w:t>5- دیوان آتشی بغدادی‏</w:t>
      </w:r>
      <w:bookmarkEnd w:id="1314"/>
    </w:p>
    <w:p>
      <w:pPr>
        <w:pStyle w:val="BookText"/>
      </w:pPr>
      <w:r>
        <w:rPr>
          <w:rFonts w:ascii="IRNazanin" w:hAnsi="IRNazanin" w:eastAsia="IRNazanin" w:cs="IRNazanin"/>
          <w:lang w:bidi="fa-IR"/>
          <w:color w:val="111111"/>
          <w:sz w:val="28"/>
          <w:szCs w:val="28"/>
          <w:rtl/>
        </w:rPr>
        <w:t xml:space="preserve">من أصحاب الصناعة. أورد ذکره عهدی البغدادی المتوفی (1002) فی گلشن شعرا و عنه نقل فی العراق بین الاحتلالین- ج 4- ص 136.</w:t>
      </w:r>
    </w:p>
    <w:p>
      <w:pPr>
        <w:pStyle w:val="Heading3"/>
      </w:pPr>
      <w:bookmarkStart w:id="1315" w:name="_Toc11"/>
      <w:r>
        <w:t>6- دیوان آتشی الشیرازی المشهدی‏</w:t>
      </w:r>
      <w:bookmarkEnd w:id="1315"/>
    </w:p>
    <w:p>
      <w:pPr>
        <w:pStyle w:val="BookText"/>
      </w:pPr>
      <w:r>
        <w:rPr>
          <w:rFonts w:ascii="IRNazanin" w:hAnsi="IRNazanin" w:eastAsia="IRNazanin" w:cs="IRNazanin"/>
          <w:lang w:bidi="fa-IR"/>
          <w:color w:val="111111"/>
          <w:sz w:val="28"/>
          <w:szCs w:val="28"/>
          <w:rtl/>
        </w:rPr>
        <w:t xml:space="preserve">. ترجمه الحکیم شاه محمد القزوینی فی ترجمه مجالس النفائس فی البهشت الثامن (ص 388) و ذکر أنه کان خبازا و أورد مطلع غزلین‏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1704_121478"/>
    <w:bookmarkEnd w:id="2"/>
    <w:p>
      <w:pPr>
        <w:pStyle w:val="BookText"/>
      </w:pPr>
      <w:r>
        <w:rPr>
          <w:rFonts w:ascii="IRNazanin" w:hAnsi="IRNazanin" w:eastAsia="IRNazanin" w:cs="IRNazanin"/>
          <w:lang w:bidi="fa-IR"/>
          <w:color w:val="111111"/>
          <w:sz w:val="28"/>
          <w:szCs w:val="28"/>
          <w:rtl/>
        </w:rPr>
        <w:t xml:space="preserve">له، بعد ذکره لصبوحی الخباز. و قال سام میرزا فی تحفه سامی- ص 174 إنه من شعراء مشهد و شیراز، و أورد بعضا آخر من شعره- و کان معاصرا لصبوحی الشیرازی و کان بینهما مهاجاة. و توجد دیوان آتشی فی غزوات علی علیه السلام  و کلها قصائد نظمت فی (910) عند (محمد النخجوانی).</w:t>
      </w:r>
    </w:p>
    <w:p>
      <w:pPr>
        <w:pStyle w:val="Heading3"/>
      </w:pPr>
      <w:bookmarkStart w:id="1316" w:name="_Toc12"/>
      <w:r>
        <w:t>7- دیوان آتشی الشیروانی‏</w:t>
      </w:r>
      <w:bookmarkEnd w:id="1316"/>
    </w:p>
    <w:p>
      <w:pPr>
        <w:pStyle w:val="BookText"/>
      </w:pPr>
      <w:r>
        <w:rPr>
          <w:rFonts w:ascii="IRNazanin" w:hAnsi="IRNazanin" w:eastAsia="IRNazanin" w:cs="IRNazanin"/>
          <w:lang w:bidi="fa-IR"/>
          <w:color w:val="111111"/>
          <w:sz w:val="28"/>
          <w:szCs w:val="28"/>
          <w:rtl/>
        </w:rPr>
        <w:t xml:space="preserve">ترجمه فی دجا- ص 2 و أورد بیتین من شعره نقلا عن تذکره کعبة عرفان.</w:t>
      </w:r>
    </w:p>
    <w:p>
      <w:pPr>
        <w:pStyle w:val="Heading3"/>
      </w:pPr>
      <w:bookmarkStart w:id="1317" w:name="_Toc13"/>
      <w:r>
        <w:t>8- دیوان آتشی المراغی‏</w:t>
      </w:r>
      <w:bookmarkEnd w:id="1317"/>
    </w:p>
    <w:p>
      <w:pPr>
        <w:pStyle w:val="BookText"/>
      </w:pPr>
      <w:r>
        <w:rPr>
          <w:rFonts w:ascii="IRNazanin" w:hAnsi="IRNazanin" w:eastAsia="IRNazanin" w:cs="IRNazanin"/>
          <w:lang w:bidi="fa-IR"/>
          <w:color w:val="111111"/>
          <w:sz w:val="28"/>
          <w:szCs w:val="28"/>
          <w:rtl/>
        </w:rPr>
        <w:t xml:space="preserve">کان شیخ الإسلام بها فی عهد الفتح علی شاه و من مشاهیر شعرائها. و دیوانه بالترکیة کما حکاه فی دجا- ص 2 عن کتاب حدیقة الشعراء.</w:t>
      </w:r>
    </w:p>
    <w:p>
      <w:pPr>
        <w:pStyle w:val="Heading3"/>
      </w:pPr>
      <w:bookmarkStart w:id="1318" w:name="_Toc14"/>
      <w:r>
        <w:t>9- دیوان آتونی‏</w:t>
      </w:r>
      <w:bookmarkEnd w:id="1318"/>
    </w:p>
    <w:p>
      <w:pPr>
        <w:pStyle w:val="BookText"/>
      </w:pPr>
      <w:r>
        <w:rPr>
          <w:rFonts w:ascii="IRNazanin" w:hAnsi="IRNazanin" w:eastAsia="IRNazanin" w:cs="IRNazanin"/>
          <w:lang w:bidi="fa-IR"/>
          <w:color w:val="111111"/>
          <w:sz w:val="28"/>
          <w:szCs w:val="28"/>
          <w:rtl/>
        </w:rPr>
        <w:t xml:space="preserve">الفاضلة الشاعرة کما وصفها میر علی شیرلودی فی مرآة الخیال ص 336 و هی زوجة ملا بقائی الذی کان مرادا للمیر علی شیر النوائی. أقول ذکر فی مجن رجلین باسم ملا بقائی.</w:t>
      </w:r>
    </w:p>
    <w:p>
      <w:pPr>
        <w:pStyle w:val="Heading3"/>
      </w:pPr>
      <w:bookmarkStart w:id="1319" w:name="_Toc15"/>
      <w:r>
        <w:t>10- دیوان آثار</w:t>
      </w:r>
      <w:bookmarkEnd w:id="1319"/>
    </w:p>
    <w:p>
      <w:pPr>
        <w:pStyle w:val="BookText"/>
      </w:pPr>
      <w:r>
        <w:rPr>
          <w:rFonts w:ascii="IRNazanin" w:hAnsi="IRNazanin" w:eastAsia="IRNazanin" w:cs="IRNazanin"/>
          <w:lang w:bidi="fa-IR"/>
          <w:color w:val="111111"/>
          <w:sz w:val="28"/>
          <w:szCs w:val="28"/>
          <w:rtl/>
        </w:rPr>
        <w:t xml:space="preserve">ترجمه معاصره النصرآبادی فی (نر)- ص 434) بعنوان ملا آثار، و ذکر أنه کان من أجزاء دفترخانه لسلطان بخارا فصار مغضوبا للسلطان فهرب منه إلی أصفهان و ذهب من طریق شیراز إلی الهند و ذکر عدة من أشعاره.</w:t>
      </w:r>
    </w:p>
    <w:p>
      <w:pPr>
        <w:pStyle w:val="Heading3"/>
      </w:pPr>
      <w:bookmarkStart w:id="1320" w:name="_Toc16"/>
      <w:r>
        <w:t>11- دیوان آثار</w:t>
      </w:r>
      <w:bookmarkEnd w:id="1320"/>
    </w:p>
    <w:p>
      <w:pPr>
        <w:pStyle w:val="BookText"/>
      </w:pPr>
      <w:r>
        <w:rPr>
          <w:rFonts w:ascii="IRNazanin" w:hAnsi="IRNazanin" w:eastAsia="IRNazanin" w:cs="IRNazanin"/>
          <w:lang w:bidi="fa-IR"/>
          <w:color w:val="111111"/>
          <w:sz w:val="28"/>
          <w:szCs w:val="28"/>
          <w:rtl/>
        </w:rPr>
        <w:t xml:space="preserve">للحاج ملا محمد شفیع بن ملا علی عسکر. ذکره فرصت فی (عم)- ص 249) و قال إنه کان خطاطا أستاذا فی النسخ و کان شاعرا و أکثر شعره الغزل.</w:t>
      </w:r>
    </w:p>
    <w:p>
      <w:pPr>
        <w:pStyle w:val="BookText"/>
      </w:pPr>
      <w:r>
        <w:rPr>
          <w:rFonts w:ascii="IRNazanin" w:hAnsi="IRNazanin" w:eastAsia="IRNazanin" w:cs="IRNazanin"/>
          <w:lang w:bidi="fa-IR"/>
          <w:color w:val="111111"/>
          <w:sz w:val="28"/>
          <w:szCs w:val="28"/>
          <w:rtl/>
        </w:rPr>
        <w:t xml:space="preserve">مات والده علی عسکر فی (1302).</w:t>
      </w:r>
    </w:p>
    <w:p>
      <w:pPr>
        <w:pStyle w:val="Heading3"/>
      </w:pPr>
      <w:bookmarkStart w:id="1321" w:name="_Toc17"/>
      <w:r>
        <w:t>12- دیوان آجری الیزدی‏</w:t>
      </w:r>
      <w:bookmarkEnd w:id="1321"/>
    </w:p>
    <w:p>
      <w:pPr>
        <w:pStyle w:val="BookText"/>
      </w:pPr>
      <w:r>
        <w:rPr>
          <w:rFonts w:ascii="IRNazanin" w:hAnsi="IRNazanin" w:eastAsia="IRNazanin" w:cs="IRNazanin"/>
          <w:lang w:bidi="fa-IR"/>
          <w:color w:val="111111"/>
          <w:sz w:val="28"/>
          <w:szCs w:val="28"/>
          <w:rtl/>
        </w:rPr>
        <w:t xml:space="preserve">للمیر محمد حسین، کان من أهل الثروة فاغتال قتله عدة من الأراذل و نهبوا أمواله فی (1047) کذا ذکره آیتی التفتی فی (تش یز- ص 269) و أورد بعض شعره.</w:t>
      </w:r>
    </w:p>
    <w:p>
      <w:pPr>
        <w:pStyle w:val="Heading3"/>
      </w:pPr>
      <w:bookmarkStart w:id="1322" w:name="_Toc18"/>
      <w:r>
        <w:t>13- دیوان آخوندزاده‏</w:t>
      </w:r>
      <w:bookmarkEnd w:id="1322"/>
    </w:p>
    <w:p>
      <w:pPr>
        <w:pStyle w:val="BookText"/>
      </w:pPr>
      <w:r>
        <w:rPr>
          <w:rFonts w:ascii="IRNazanin" w:hAnsi="IRNazanin" w:eastAsia="IRNazanin" w:cs="IRNazanin"/>
          <w:lang w:bidi="fa-IR"/>
          <w:color w:val="111111"/>
          <w:sz w:val="28"/>
          <w:szCs w:val="28"/>
          <w:rtl/>
        </w:rPr>
        <w:t xml:space="preserve">میرزا فتح علی بن میرزا محمد تقی بن أحمد المولود فی شکه حدود (1227) ترجمه فی (دجا- ص 2) و أورد بعض شعره.</w:t>
      </w:r>
    </w:p>
    <w:p>
      <w:pPr>
        <w:pStyle w:val="Heading3"/>
      </w:pPr>
      <w:bookmarkStart w:id="1323" w:name="_Toc19"/>
      <w:r>
        <w:t>14- دیوان آدمی الیزدی‏</w:t>
      </w:r>
      <w:bookmarkEnd w:id="1323"/>
    </w:p>
    <w:p>
      <w:pPr>
        <w:pStyle w:val="BookText"/>
      </w:pPr>
      <w:r>
        <w:rPr>
          <w:rFonts w:ascii="IRNazanin" w:hAnsi="IRNazanin" w:eastAsia="IRNazanin" w:cs="IRNazanin"/>
          <w:lang w:bidi="fa-IR"/>
          <w:color w:val="111111"/>
          <w:sz w:val="28"/>
          <w:szCs w:val="28"/>
          <w:rtl/>
        </w:rPr>
        <w:t xml:space="preserve">ذکره المیر تقی الدین محمد الحسینی الأوحدی الأصفهانی الذی دخل بلاد الهند فی (1005) و توفی (1030) فی تذکرته الموسوم بعرفات العاشقین الذی فرغ من تألیفه (1025) و نسخته فی مکتبة (المجلس) و (الملک)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11704_121479"/>
    <w:bookmarkEnd w:id="3"/>
    <w:p>
      <w:pPr>
        <w:pStyle w:val="BookText"/>
      </w:pPr>
      <w:r>
        <w:rPr>
          <w:rFonts w:ascii="IRNazanin" w:hAnsi="IRNazanin" w:eastAsia="IRNazanin" w:cs="IRNazanin"/>
          <w:lang w:bidi="fa-IR"/>
          <w:color w:val="111111"/>
          <w:sz w:val="28"/>
          <w:szCs w:val="28"/>
          <w:rtl/>
        </w:rPr>
        <w:t xml:space="preserve">بطهران، و ذکر أنه کان معاصرا مع مولانا غیاث الدین نقشینه و مناظرا معه، و بینهما مطارحات و مطاردات هزلیة فکاهیة.</w:t>
      </w:r>
    </w:p>
    <w:p>
      <w:pPr>
        <w:pStyle w:val="Heading3"/>
      </w:pPr>
      <w:bookmarkStart w:id="1324" w:name="_Toc20"/>
      <w:r>
        <w:t>15- دیوان آذربایجانی‏</w:t>
      </w:r>
      <w:bookmarkEnd w:id="1324"/>
    </w:p>
    <w:p>
      <w:pPr>
        <w:pStyle w:val="BookText"/>
      </w:pPr>
      <w:r>
        <w:rPr>
          <w:rFonts w:ascii="IRNazanin" w:hAnsi="IRNazanin" w:eastAsia="IRNazanin" w:cs="IRNazanin"/>
          <w:lang w:bidi="fa-IR"/>
          <w:color w:val="111111"/>
          <w:sz w:val="28"/>
          <w:szCs w:val="28"/>
          <w:rtl/>
        </w:rPr>
        <w:t xml:space="preserve">لگوهر بیگم خانم، الشاعرة الأدیبة. ذکرها. فی (خیر- ج 3- ص 47) و ذکر بعض أشعارها.</w:t>
      </w:r>
    </w:p>
    <w:p>
      <w:pPr>
        <w:pStyle w:val="Heading3"/>
      </w:pPr>
      <w:bookmarkStart w:id="1325" w:name="_Toc21"/>
      <w:r>
        <w:t>16- دیوان آذر البیگدلی‏</w:t>
      </w:r>
      <w:bookmarkEnd w:id="1325"/>
    </w:p>
    <w:p>
      <w:pPr>
        <w:pStyle w:val="BookText"/>
      </w:pPr>
      <w:r>
        <w:rPr>
          <w:rFonts w:ascii="IRNazanin" w:hAnsi="IRNazanin" w:eastAsia="IRNazanin" w:cs="IRNazanin"/>
          <w:lang w:bidi="fa-IR"/>
          <w:color w:val="111111"/>
          <w:sz w:val="28"/>
          <w:szCs w:val="28"/>
          <w:rtl/>
        </w:rPr>
        <w:t xml:space="preserve">اسمه الحاج لطف علی بیک مؤلف آتشکده آذر المذکور فی (ج 1- ص 4) قال السید عبد اللطیف فی (تعا- ص 141) إن دیوانه یزید علی عشرة آلاف بیت. و نقل جملة من أشعاره الفارسیة. کان یتخلص أولا بواله ثم نکهت، ثم عدل عنها و تخلص بآذر. قال هاتف فی تاریخ وفاته:</w:t>
      </w:r>
    </w:p>
    <w:p>
      <w:pPr>
        <w:pStyle w:val="BookText"/>
      </w:pPr>
      <w:r>
        <w:rPr>
          <w:rFonts w:ascii="Times New Roman" w:hAnsi="Times New Roman" w:eastAsia="Times New Roman" w:cs="Times New Roman"/>
          <w:lang w:val="en-US" w:bidi="en-US"/>
          <w:color w:val="111111"/>
          <w:sz w:val="28"/>
          <w:szCs w:val="28"/>
          <w:rtl/>
        </w:rPr>
        <w:t xml:space="preserve">1195</w:t>
      </w:r>
    </w:p>
    <w:p>
      <w:pPr>
        <w:pStyle w:val="BookText"/>
      </w:pPr>
      <w:r>
        <w:rPr>
          <w:rFonts w:ascii="IRNazanin" w:hAnsi="IRNazanin" w:eastAsia="IRNazanin" w:cs="IRNazanin"/>
          <w:lang w:bidi="fa-IR"/>
          <w:color w:val="111111"/>
          <w:sz w:val="28"/>
          <w:szCs w:val="28"/>
          <w:rtl/>
        </w:rPr>
        <w:t xml:space="preserve">کلک هاتف از پی تاریخ سال رحلتش‏</w:t>
      </w:r>
    </w:p>
    <w:p>
      <w:pPr>
        <w:pStyle w:val="BookText"/>
      </w:pPr>
      <w:r>
        <w:rPr>
          <w:rFonts w:ascii="IRNazanin" w:hAnsi="IRNazanin" w:eastAsia="IRNazanin" w:cs="IRNazanin"/>
          <w:lang w:bidi="fa-IR"/>
          <w:color w:val="111111"/>
          <w:sz w:val="28"/>
          <w:szCs w:val="28"/>
          <w:rtl/>
        </w:rPr>
        <w:t xml:space="preserve">زد رقم از (بلبل گویای این باغ) آه آه‏</w:t>
      </w:r>
    </w:p>
    <w:p>
      <w:pPr>
        <w:pStyle w:val="BookText"/>
      </w:pPr>
      <w:r>
        <w:rPr>
          <w:rFonts w:ascii="IRNazanin" w:hAnsi="IRNazanin" w:eastAsia="IRNazanin" w:cs="IRNazanin"/>
          <w:lang w:bidi="fa-IR"/>
          <w:color w:val="111111"/>
          <w:sz w:val="28"/>
          <w:szCs w:val="28"/>
          <w:rtl/>
        </w:rPr>
        <w:t xml:space="preserve">راجع (دیوان هاتف- ص 115) طبعه (1313 ش). و قال صباحی فیه:</w:t>
      </w:r>
    </w:p>
    <w:p>
      <w:pPr>
        <w:pStyle w:val="BookText"/>
      </w:pPr>
      <w:r>
        <w:rPr>
          <w:rFonts w:ascii="IRNazanin" w:hAnsi="IRNazanin" w:eastAsia="IRNazanin" w:cs="IRNazanin"/>
          <w:lang w:bidi="fa-IR"/>
          <w:color w:val="111111"/>
          <w:sz w:val="28"/>
          <w:szCs w:val="28"/>
          <w:rtl/>
        </w:rPr>
        <w:t xml:space="preserve">نوشت کلک صباحی برای تاریخش‏</w:t>
      </w:r>
    </w:p>
    <w:p>
      <w:pPr>
        <w:pStyle w:val="BookText"/>
      </w:pPr>
      <w:r>
        <w:rPr>
          <w:rFonts w:ascii="IRNazanin" w:hAnsi="IRNazanin" w:eastAsia="IRNazanin" w:cs="IRNazanin"/>
          <w:lang w:bidi="fa-IR"/>
          <w:color w:val="111111"/>
          <w:sz w:val="28"/>
          <w:szCs w:val="28"/>
          <w:rtl/>
        </w:rPr>
        <w:t xml:space="preserve">(مقام آذر بادا بسایه طوبی‏</w:t>
      </w:r>
    </w:p>
    <w:p>
      <w:pPr>
        <w:pStyle w:val="BookText"/>
      </w:pPr>
      <w:r>
        <w:rPr>
          <w:rFonts w:ascii="IRNazanin" w:hAnsi="IRNazanin" w:eastAsia="IRNazanin" w:cs="IRNazanin"/>
          <w:lang w:bidi="fa-IR"/>
          <w:color w:val="111111"/>
          <w:sz w:val="28"/>
          <w:szCs w:val="28"/>
          <w:rtl/>
        </w:rPr>
        <w:t xml:space="preserve">) توجد نسختان من دیوانه فی مکتبة (الملک) کما فی فهرسها المخطوط و هی فی عشرة آلاف بیت کلها قصائد و غزلیات و ترکیبات و یأتی دیوان أخیه عذری.</w:t>
      </w:r>
    </w:p>
    <w:p>
      <w:pPr>
        <w:pStyle w:val="Heading3"/>
      </w:pPr>
      <w:bookmarkStart w:id="1326" w:name="_Toc22"/>
      <w:r>
        <w:t>17- دیوان آذر القمی‏</w:t>
      </w:r>
      <w:bookmarkEnd w:id="1326"/>
    </w:p>
    <w:p>
      <w:pPr>
        <w:pStyle w:val="BookText"/>
      </w:pPr>
      <w:r>
        <w:rPr>
          <w:rFonts w:ascii="IRNazanin" w:hAnsi="IRNazanin" w:eastAsia="IRNazanin" w:cs="IRNazanin"/>
          <w:lang w:bidi="fa-IR"/>
          <w:color w:val="111111"/>
          <w:sz w:val="28"/>
          <w:szCs w:val="28"/>
          <w:rtl/>
        </w:rPr>
        <w:t xml:space="preserve">لآذر ابن أخگر بن الحاج رشید خان المتخلص بشرر، و یأتی دیوان والده أخگر و جده شرر و الکل فارسی فی غایة الجودة.</w:t>
      </w:r>
    </w:p>
    <w:p>
      <w:pPr>
        <w:pStyle w:val="BookText"/>
      </w:pPr>
      <w:r>
        <w:rPr>
          <w:rFonts w:ascii="IRNazanin" w:hAnsi="IRNazanin" w:eastAsia="IRNazanin" w:cs="IRNazanin"/>
          <w:lang w:bidi="fa-IR"/>
          <w:color w:val="111111"/>
          <w:sz w:val="28"/>
          <w:szCs w:val="28"/>
          <w:rtl/>
        </w:rPr>
        <w:t xml:space="preserve">و راجع الهامش ص 510</w:t>
      </w:r>
    </w:p>
    <w:p>
      <w:pPr>
        <w:pStyle w:val="Heading3"/>
      </w:pPr>
      <w:bookmarkStart w:id="1327" w:name="_Toc23"/>
      <w:r>
        <w:t>18- دیوان آذری‏</w:t>
      </w:r>
      <w:bookmarkEnd w:id="1327"/>
    </w:p>
    <w:p>
      <w:pPr>
        <w:pStyle w:val="BookText"/>
      </w:pPr>
      <w:r>
        <w:rPr>
          <w:rFonts w:ascii="IRNazanin" w:hAnsi="IRNazanin" w:eastAsia="IRNazanin" w:cs="IRNazanin"/>
          <w:lang w:bidi="fa-IR"/>
          <w:color w:val="111111"/>
          <w:sz w:val="28"/>
          <w:szCs w:val="28"/>
          <w:rtl/>
        </w:rPr>
        <w:t xml:space="preserve">للشیخ العارف نور الدین محمد</w:t>
      </w:r>
      <w:r>
        <w:rPr>
          <w:rStyle w:val="FootnoteReference"/>
        </w:rPr>
        <w:footnoteReference w:id="1"/>
      </w:r>
      <w:r>
        <w:rPr>
          <w:rFonts w:ascii="IRNazanin" w:hAnsi="IRNazanin" w:eastAsia="IRNazanin" w:cs="IRNazanin"/>
          <w:lang w:bidi="fa-IR"/>
          <w:color w:val="111111"/>
          <w:sz w:val="28"/>
          <w:szCs w:val="28"/>
          <w:rtl/>
        </w:rPr>
        <w:t xml:space="preserve">بن عبد الملک الآذری الأسفراینی الطوسی‏1 من الشعراء المعاصرین لشاهرخ سلطان، و اتصل فی دکن بالسلطان أحمد شاه البهمنی، و نظم له بهمن‏نامه الذی فاتنا ذکره فی ألباء. و سمی بآذری لولادته فی شهر آذر فکان یتخلص به فی شعره. و نقل فی ص 296 من مجالس المؤمنین عن تذکره دولت شاه أن اسمه حمزة بن علی ملک، و بعد رجوعه عن دکن إلی أسفراین عمر مدة ثلاثین سنة، و بها توفی فی (866) کما ذکره فی (خز- ص 21) و ذکر له بیتا من ترکیب بند الذی نظمه فی رثاء الحسین علیه السلام  و قبلة النبی ص علی ما رئی فی المنام و أورده القاضی نور الله فی (لس) مع کثیر من أشعاره الآخر المصرح فیها بکونه من الإمامیة الاثنی عشریة، و قال القاضی إن أکثر دیوانه فی مناقب أهل البیت علیه السلام  و صرح فی (خز) بکون دیوانه حاضرا عنده” صاحب خز” و فیه القصائد و الغزلیات و المقطعات‏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11704_121480"/>
    <w:bookmarkEnd w:id="4"/>
    <w:p>
      <w:pPr>
        <w:pStyle w:val="BookText"/>
      </w:pPr>
      <w:r>
        <w:rPr>
          <w:rFonts w:ascii="IRNazanin" w:hAnsi="IRNazanin" w:eastAsia="IRNazanin" w:cs="IRNazanin"/>
          <w:lang w:bidi="fa-IR"/>
          <w:color w:val="111111"/>
          <w:sz w:val="28"/>
          <w:szCs w:val="28"/>
          <w:rtl/>
        </w:rPr>
        <w:t xml:space="preserve">و غیرها، و ذکر أن بعض من لم یتحل بفضیلة الإنصاف انتحل بهمن‏نامه له و غیر أبیاتا من دیباجته و نسبه إلی نفسه أیضا و ذکر أنه رأی مثنویة الموسوم بالمرآة و المشتمل علی أربعة کتب، قد عین لکل منها أسماء خاصة بهذا التفصیل 1 الطامة الکبری 2 عجائب الدنیا 3 عجائب الأعلی 4 سعی الصفا. أقول ظنی أن العجائب الأعلی هذا هو الموجود فی مکتبة (المجلس) بعنوان عجائب الغرائب الذی ذکر ابن یوسف تفصیله فی فهرسها (ص 513) و قد أحال فیه إلی عجائب الدنیا الذی نظمه قبله مکررا و کذا أحال فیه إلی الطامة الکبری بقوله:</w:t>
      </w:r>
    </w:p>
    <w:p>
      <w:pPr>
        <w:pStyle w:val="BookText"/>
      </w:pPr>
      <w:r>
        <w:rPr>
          <w:rFonts w:ascii="IRNazanin" w:hAnsi="IRNazanin" w:eastAsia="IRNazanin" w:cs="IRNazanin"/>
          <w:lang w:bidi="fa-IR"/>
          <w:color w:val="111111"/>
          <w:sz w:val="28"/>
          <w:szCs w:val="28"/>
          <w:rtl/>
        </w:rPr>
        <w:t xml:space="preserve">در کتاب نخست از مرآت‏</w:t>
      </w:r>
    </w:p>
    <w:p>
      <w:pPr>
        <w:pStyle w:val="BookText"/>
      </w:pPr>
      <w:r>
        <w:rPr>
          <w:rFonts w:ascii="IRNazanin" w:hAnsi="IRNazanin" w:eastAsia="IRNazanin" w:cs="IRNazanin"/>
          <w:lang w:bidi="fa-IR"/>
          <w:color w:val="111111"/>
          <w:sz w:val="28"/>
          <w:szCs w:val="28"/>
          <w:rtl/>
        </w:rPr>
        <w:t xml:space="preserve">گفتم آنجا مراتب حضرات‏</w:t>
      </w:r>
    </w:p>
    <w:p>
      <w:pPr>
        <w:pStyle w:val="BookText"/>
      </w:pPr>
      <w:r>
        <w:rPr>
          <w:rFonts w:ascii="IRNazanin" w:hAnsi="IRNazanin" w:eastAsia="IRNazanin" w:cs="IRNazanin"/>
          <w:lang w:bidi="fa-IR"/>
          <w:color w:val="111111"/>
          <w:sz w:val="28"/>
          <w:szCs w:val="28"/>
          <w:rtl/>
        </w:rPr>
        <w:t xml:space="preserve">و نسب إلیه فی (کفظ ج 1 ص 408) جواهر الأسرار و ذکر مؤلف (مع- ج 2- ص 6) أنه رأی جواهر الأسرار له و قد ذکرناه فی (ج 5- ص 260- س 25)1 و ترجمه فی حبیب السیر و ریاض الجنة للزنوزی. و (تش ص 83) و مرآة الخیال ص 68. و (مجن- ص 10 و 185) و قالوا إن 0 دیوانه مشهور و ذکروا مطلعا منه. و قال أحمد المستوفی فی تاریخ وفاته:</w:t>
      </w:r>
    </w:p>
    <w:p>
      <w:pPr>
        <w:pStyle w:val="BookText"/>
      </w:pPr>
      <w:r>
        <w:rPr>
          <w:rFonts w:ascii="IRNazanin" w:hAnsi="IRNazanin" w:eastAsia="IRNazanin" w:cs="IRNazanin"/>
          <w:lang w:bidi="fa-IR"/>
          <w:color w:val="111111"/>
          <w:sz w:val="28"/>
          <w:szCs w:val="28"/>
          <w:rtl/>
        </w:rPr>
        <w:t xml:space="preserve">چو أو مانند خسرو بود در شعر</w:t>
      </w:r>
    </w:p>
    <w:p>
      <w:pPr>
        <w:pStyle w:val="BookText"/>
      </w:pPr>
      <w:r>
        <w:rPr>
          <w:rFonts w:ascii="IRNazanin" w:hAnsi="IRNazanin" w:eastAsia="IRNazanin" w:cs="IRNazanin"/>
          <w:lang w:bidi="fa-IR"/>
          <w:color w:val="111111"/>
          <w:sz w:val="28"/>
          <w:szCs w:val="28"/>
          <w:rtl/>
        </w:rPr>
        <w:t xml:space="preserve">از آن تاریخ فوتش گشت (خسرو)</w:t>
      </w:r>
    </w:p>
    <w:p>
      <w:pPr>
        <w:pStyle w:val="Heading3"/>
      </w:pPr>
      <w:bookmarkStart w:id="1328" w:name="_Toc24"/>
      <w:r>
        <w:t>19- دیوان آذری‏</w:t>
      </w:r>
      <w:bookmarkEnd w:id="1328"/>
    </w:p>
    <w:p>
      <w:pPr>
        <w:pStyle w:val="BookText"/>
      </w:pPr>
      <w:r>
        <w:rPr>
          <w:rFonts w:ascii="IRNazanin" w:hAnsi="IRNazanin" w:eastAsia="IRNazanin" w:cs="IRNazanin"/>
          <w:lang w:bidi="fa-IR"/>
          <w:color w:val="111111"/>
          <w:sz w:val="28"/>
          <w:szCs w:val="28"/>
          <w:rtl/>
        </w:rPr>
        <w:t xml:space="preserve">لإبراهیم بن معلم‏زاده. من الشعراء الترک فی القرن الحادی عشر رأیت له نقش خیال مثنوی ترکی نظمه فی (1014) عند (الملک).</w:t>
      </w:r>
    </w:p>
    <w:p>
      <w:pPr>
        <w:pStyle w:val="Heading3"/>
      </w:pPr>
      <w:bookmarkStart w:id="1329" w:name="_Toc25"/>
      <w:r>
        <w:t>20- دیوان آذری‏</w:t>
      </w:r>
      <w:bookmarkEnd w:id="1329"/>
    </w:p>
    <w:p>
      <w:pPr>
        <w:pStyle w:val="BookText"/>
      </w:pPr>
      <w:r>
        <w:rPr>
          <w:rFonts w:ascii="IRNazanin" w:hAnsi="IRNazanin" w:eastAsia="IRNazanin" w:cs="IRNazanin"/>
          <w:lang w:bidi="fa-IR"/>
          <w:color w:val="111111"/>
          <w:sz w:val="28"/>
          <w:szCs w:val="28"/>
          <w:rtl/>
        </w:rPr>
        <w:t xml:space="preserve">الشاعر و اسمه نجف البروجردی. کان من شعراء عصر الفتح علی شاه علی ما ذکره محمود میرزا بن الفتح علی شاه المولود (1214) و المتوفی بعد (1271) فی تذکرته الموسومة سفینه محمود.</w:t>
      </w:r>
    </w:p>
    <w:p>
      <w:pPr>
        <w:pStyle w:val="Heading3"/>
      </w:pPr>
      <w:bookmarkStart w:id="1330" w:name="_Toc26"/>
      <w:r>
        <w:t>21- دیوان آرام الیزدی‏</w:t>
      </w:r>
      <w:bookmarkEnd w:id="1330"/>
    </w:p>
    <w:p>
      <w:pPr>
        <w:pStyle w:val="BookText"/>
      </w:pPr>
      <w:r>
        <w:rPr>
          <w:rFonts w:ascii="IRNazanin" w:hAnsi="IRNazanin" w:eastAsia="IRNazanin" w:cs="IRNazanin"/>
          <w:lang w:bidi="fa-IR"/>
          <w:color w:val="111111"/>
          <w:sz w:val="28"/>
          <w:szCs w:val="28"/>
          <w:rtl/>
        </w:rPr>
        <w:t xml:space="preserve">للمیرزا صادق الشاعر المتخلص بآرام. و هو من المعاصرین للمیرزا رضا قلی خان هدایت و ترجمه فی (مع- ج 2- ص 62) و ذکر أنه من مداحی الشاه‏زاده محمد ولی میرزا بن السلطان فتح علی شاه و ذکر قصائده.</w:t>
      </w:r>
    </w:p>
    <w:p>
      <w:pPr>
        <w:pStyle w:val="Heading3"/>
      </w:pPr>
      <w:bookmarkStart w:id="1331" w:name="_Toc27"/>
      <w:r>
        <w:t>22- دیوان آرامی‏</w:t>
      </w:r>
      <w:bookmarkEnd w:id="1331"/>
    </w:p>
    <w:p>
      <w:pPr>
        <w:pStyle w:val="BookText"/>
      </w:pPr>
      <w:r>
        <w:rPr>
          <w:rFonts w:ascii="IRNazanin" w:hAnsi="IRNazanin" w:eastAsia="IRNazanin" w:cs="IRNazanin"/>
          <w:lang w:bidi="fa-IR"/>
          <w:color w:val="111111"/>
          <w:sz w:val="28"/>
          <w:szCs w:val="28"/>
          <w:rtl/>
        </w:rPr>
        <w:t xml:space="preserve">بالترکیة. للشاعر المعروف بدرویش آرامی المتوفی بقونیة (1040) ذکر فی (ذ کظ- ج 1 ص 483). ح.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11704_121481"/>
    <w:bookmarkEnd w:id="5"/>
    <w:p>
      <w:pPr>
        <w:pStyle w:val="Heading3"/>
      </w:pPr>
      <w:bookmarkStart w:id="1332" w:name="_Toc28"/>
      <w:r>
        <w:t>23- دیوان آرزو</w:t>
      </w:r>
      <w:bookmarkEnd w:id="1332"/>
    </w:p>
    <w:p>
      <w:pPr>
        <w:pStyle w:val="BookText"/>
      </w:pPr>
      <w:r>
        <w:rPr>
          <w:rFonts w:ascii="IRNazanin" w:hAnsi="IRNazanin" w:eastAsia="IRNazanin" w:cs="IRNazanin"/>
          <w:lang w:bidi="fa-IR"/>
          <w:color w:val="111111"/>
          <w:sz w:val="28"/>
          <w:szCs w:val="28"/>
          <w:rtl/>
        </w:rPr>
        <w:t xml:space="preserve">للشاعر الإیرانی آرزو الذی سافر إلی بلاد الهند، و بقی بها مدة إلی أن توفی بها. ذکر بعض أشعاره الفارسیة فی (مع)- ج 2- ص 62) و قال لا یحضرنی دیوان أشعاره.</w:t>
      </w:r>
    </w:p>
    <w:p>
      <w:pPr>
        <w:pStyle w:val="Heading3"/>
      </w:pPr>
      <w:bookmarkStart w:id="1333" w:name="_Toc29"/>
      <w:r>
        <w:t>24- دیوان آرزو</w:t>
      </w:r>
      <w:bookmarkEnd w:id="1333"/>
    </w:p>
    <w:p>
      <w:pPr>
        <w:pStyle w:val="BookText"/>
      </w:pPr>
      <w:r>
        <w:rPr>
          <w:rFonts w:ascii="IRNazanin" w:hAnsi="IRNazanin" w:eastAsia="IRNazanin" w:cs="IRNazanin"/>
          <w:lang w:bidi="fa-IR"/>
          <w:color w:val="111111"/>
          <w:sz w:val="28"/>
          <w:szCs w:val="28"/>
          <w:rtl/>
        </w:rPr>
        <w:t xml:space="preserve">للسید أنور حسین اللکهنوی المتخلص بآرزو، مطبوع بالهند کما یظهر من بعض فهارس مکتباتها.</w:t>
      </w:r>
    </w:p>
    <w:p>
      <w:pPr>
        <w:pStyle w:val="Heading3"/>
      </w:pPr>
      <w:bookmarkStart w:id="1334" w:name="_Toc30"/>
      <w:r>
        <w:t>25- دیوان آرزو الأکبرآبادی‏</w:t>
      </w:r>
      <w:bookmarkEnd w:id="1334"/>
    </w:p>
    <w:p>
      <w:pPr>
        <w:pStyle w:val="BookText"/>
      </w:pPr>
      <w:r>
        <w:rPr>
          <w:rFonts w:ascii="IRNazanin" w:hAnsi="IRNazanin" w:eastAsia="IRNazanin" w:cs="IRNazanin"/>
          <w:lang w:bidi="fa-IR"/>
          <w:color w:val="111111"/>
          <w:sz w:val="28"/>
          <w:szCs w:val="28"/>
          <w:rtl/>
        </w:rPr>
        <w:t xml:space="preserve">للفیلسوف سراج الدین علی خان بن الشیخ حسام الدین الشهیر بخان آرزو مؤلف مجمع النفائس الآتی فی المیم ترجمه البلگرامی فی (خز- ص 116) و ذکر أنه ولد فی کوالیار فی (1101) و انتقل منها إلی شاه جهان‏آباد (1132) فعاضده هناک مؤتمن الدولة إسحاق خان الشوشتری و کان یوصله فی کل شهر مائة و خمسین روپیه، و بعده ولده نجم الدولة کذلک و بعده ولده الآخر سالار جنگ، ثم ذهب إلی أوده و بواسطة سالار جنگ قرر له شجاع الدولة کل شهر ثلاثمائة روپیه. و فی أواخر أمره نزل إلی لکهنو و بها توفی (3- ع 2- 1169) و ذکر دیوانه الذی رتبه علی الحروف إلی ردیف الدال، و ذکر أنه کتب إلیه ملتمسا لترجمة نفسه و بعض شعره فأجابه بإنجاح ملتمسه و إیصال ترجمته مع بعض نتایج طبعه من أشعاره الفارسیة. و له تذکره مجمع النفائس و تنبیه الغافلین و چراغ هدایت و سراج اللغة و جواب دیوان بابا فغانی (المتوفی 925) و جواب دیوان کمال خجندی (المتوفی 892).</w:t>
      </w:r>
    </w:p>
    <w:p>
      <w:pPr>
        <w:pStyle w:val="Heading3"/>
      </w:pPr>
      <w:bookmarkStart w:id="1335" w:name="_Toc31"/>
      <w:r>
        <w:t>26- دیوان آرزو الأکبرآبادی‏</w:t>
      </w:r>
      <w:bookmarkEnd w:id="1335"/>
    </w:p>
    <w:p>
      <w:pPr>
        <w:pStyle w:val="BookText"/>
      </w:pPr>
      <w:r>
        <w:rPr>
          <w:rFonts w:ascii="IRNazanin" w:hAnsi="IRNazanin" w:eastAsia="IRNazanin" w:cs="IRNazanin"/>
          <w:lang w:bidi="fa-IR"/>
          <w:color w:val="111111"/>
          <w:sz w:val="28"/>
          <w:szCs w:val="28"/>
          <w:rtl/>
        </w:rPr>
        <w:t xml:space="preserve">المذکور باللغة الأردویة ذکر فی (ذ کظ- ج 1 ص 483)</w:t>
      </w:r>
    </w:p>
    <w:p>
      <w:pPr>
        <w:pStyle w:val="Heading3"/>
      </w:pPr>
      <w:bookmarkStart w:id="1336" w:name="_Toc32"/>
      <w:r>
        <w:t>27- دیوان آرزوئی‏</w:t>
      </w:r>
      <w:bookmarkEnd w:id="1336"/>
    </w:p>
    <w:p>
      <w:pPr>
        <w:pStyle w:val="BookText"/>
      </w:pPr>
      <w:r>
        <w:rPr>
          <w:rFonts w:ascii="IRNazanin" w:hAnsi="IRNazanin" w:eastAsia="IRNazanin" w:cs="IRNazanin"/>
          <w:lang w:bidi="fa-IR"/>
          <w:color w:val="111111"/>
          <w:sz w:val="28"/>
          <w:szCs w:val="28"/>
          <w:rtl/>
        </w:rPr>
        <w:t xml:space="preserve">لآرزوئی السمرقندیة الشاعرة. ترجمها میر علی شیرلودی فی مرآة الخیال- ص 337 المؤلفة فی (1102) و ذکر شعرها، و کذا فی تذکره الخواتین- ص 59.</w:t>
      </w:r>
    </w:p>
    <w:p>
      <w:pPr>
        <w:pStyle w:val="Heading3"/>
      </w:pPr>
      <w:bookmarkStart w:id="1337" w:name="_Toc33"/>
      <w:r>
        <w:t>28- دیوان آزاد البلگرامی‏</w:t>
      </w:r>
      <w:bookmarkEnd w:id="1337"/>
    </w:p>
    <w:p>
      <w:pPr>
        <w:pStyle w:val="BookText"/>
      </w:pPr>
      <w:r>
        <w:rPr>
          <w:rFonts w:ascii="IRNazanin" w:hAnsi="IRNazanin" w:eastAsia="IRNazanin" w:cs="IRNazanin"/>
          <w:lang w:bidi="fa-IR"/>
          <w:color w:val="111111"/>
          <w:sz w:val="28"/>
          <w:szCs w:val="28"/>
          <w:rtl/>
        </w:rPr>
        <w:t xml:space="preserve">الملقب بحسان الهند أیضا. و هو السید المیر غلام علی المتخلص بآزاد البلگرامی المتوفی (1200) مؤلف خزانة عامرة المذکور فی (ج 7- ص 157) و ذکر هو فیه عند ترجمه نفسه فی (ص 123) أن له دیوانین بالعربیة فی ثلاثة آلاف بیت و دیوان فارسی. و ذکر فی معجم المطبوعات العربیة فی (ص 1) أنه طبع له ثلاثة دواوین أحدها و هو أتم الجمیع و قد فرغ من جمعه (1187) و طبع‏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11704_121482"/>
    <w:bookmarkEnd w:id="6"/>
    <w:p>
      <w:pPr>
        <w:pStyle w:val="BookText"/>
      </w:pPr>
      <w:r>
        <w:rPr>
          <w:rFonts w:ascii="IRNazanin" w:hAnsi="IRNazanin" w:eastAsia="IRNazanin" w:cs="IRNazanin"/>
          <w:lang w:bidi="fa-IR"/>
          <w:color w:val="111111"/>
          <w:sz w:val="28"/>
          <w:szCs w:val="28"/>
          <w:rtl/>
        </w:rPr>
        <w:t xml:space="preserve">الثانی فی (59 ص) و طبع الثالث بغیر تاریخ للطبع. و کلها طبع بحیدرآباد. و ظاهره أن الجمیع عربیات.</w:t>
      </w:r>
    </w:p>
    <w:p>
      <w:pPr>
        <w:pStyle w:val="Heading3"/>
      </w:pPr>
      <w:bookmarkStart w:id="1338" w:name="_Toc34"/>
      <w:r>
        <w:t>29- دیوان آزاد البلگرامی‏</w:t>
      </w:r>
      <w:bookmarkEnd w:id="1338"/>
    </w:p>
    <w:p>
      <w:pPr>
        <w:pStyle w:val="BookText"/>
      </w:pPr>
      <w:r>
        <w:rPr>
          <w:rFonts w:ascii="IRNazanin" w:hAnsi="IRNazanin" w:eastAsia="IRNazanin" w:cs="IRNazanin"/>
          <w:lang w:bidi="fa-IR"/>
          <w:color w:val="111111"/>
          <w:sz w:val="28"/>
          <w:szCs w:val="28"/>
          <w:rtl/>
        </w:rPr>
        <w:t xml:space="preserve">و هو فارسی للمیر غلام علی المذکور کما ذکرنا أنه صرح بنفسه فی ترجمته. و ذکره فی (ذکظ- ج 1 ص 483) مستقلا أیضا.</w:t>
      </w:r>
    </w:p>
    <w:p>
      <w:pPr>
        <w:pStyle w:val="Heading3"/>
      </w:pPr>
      <w:bookmarkStart w:id="1339" w:name="_Toc35"/>
      <w:r>
        <w:t>30- دیوان آزاد حافظ</w:t>
      </w:r>
      <w:bookmarkEnd w:id="1339"/>
    </w:p>
    <w:p>
      <w:pPr>
        <w:pStyle w:val="BookText"/>
      </w:pPr>
      <w:r>
        <w:rPr>
          <w:rFonts w:ascii="IRNazanin" w:hAnsi="IRNazanin" w:eastAsia="IRNazanin" w:cs="IRNazanin"/>
          <w:lang w:bidi="fa-IR"/>
          <w:color w:val="111111"/>
          <w:sz w:val="28"/>
          <w:szCs w:val="28"/>
          <w:rtl/>
        </w:rPr>
        <w:t xml:space="preserve">لغلام محمد من شعراء لاهور. کان فی شاه جهان‏آباد ثم دهلی و تلمذ علی میر شمس الدین و توفی (1209).</w:t>
      </w:r>
    </w:p>
    <w:p>
      <w:pPr>
        <w:pStyle w:val="Heading3"/>
      </w:pPr>
      <w:bookmarkStart w:id="1340" w:name="_Toc36"/>
      <w:r>
        <w:t>31- دیوان آزاد الحبشی‏</w:t>
      </w:r>
      <w:bookmarkEnd w:id="1340"/>
    </w:p>
    <w:p>
      <w:pPr>
        <w:pStyle w:val="BookText"/>
      </w:pPr>
      <w:r>
        <w:rPr>
          <w:rFonts w:ascii="IRNazanin" w:hAnsi="IRNazanin" w:eastAsia="IRNazanin" w:cs="IRNazanin"/>
          <w:lang w:bidi="fa-IR"/>
          <w:color w:val="111111"/>
          <w:sz w:val="28"/>
          <w:szCs w:val="28"/>
          <w:rtl/>
        </w:rPr>
        <w:t xml:space="preserve">لألماس الذی کان مملوک السید محمد السحاب، فاشتراه السلطان فتح علی شاه منه، و لما رأی جوده طبعه الموزون أعتقه و بذل له معونته کما ذکره فی (مع- ج 2- ص 63) و أورد جملة من أشعاره.</w:t>
      </w:r>
    </w:p>
    <w:p>
      <w:pPr>
        <w:pStyle w:val="Heading3"/>
      </w:pPr>
      <w:bookmarkStart w:id="1341" w:name="_Toc37"/>
      <w:r>
        <w:t>32- دیوان آزاد الدهلوی‏</w:t>
      </w:r>
      <w:bookmarkEnd w:id="1341"/>
    </w:p>
    <w:p>
      <w:pPr>
        <w:pStyle w:val="BookText"/>
      </w:pPr>
      <w:r>
        <w:rPr>
          <w:rFonts w:ascii="IRNazanin" w:hAnsi="IRNazanin" w:eastAsia="IRNazanin" w:cs="IRNazanin"/>
          <w:lang w:bidi="fa-IR"/>
          <w:color w:val="111111"/>
          <w:sz w:val="28"/>
          <w:szCs w:val="28"/>
          <w:rtl/>
        </w:rPr>
        <w:t xml:space="preserve">هو شمس العلماء المولوی محمد حسین مؤلف آب حیاة المذکور فی (ج 1- ص 1).</w:t>
      </w:r>
    </w:p>
    <w:p>
      <w:pPr>
        <w:pStyle w:val="Heading3"/>
      </w:pPr>
      <w:bookmarkStart w:id="1342" w:name="_Toc38"/>
      <w:r>
        <w:t>33- دیوان آزاد الکشمیری‏</w:t>
      </w:r>
      <w:bookmarkEnd w:id="1342"/>
    </w:p>
    <w:p>
      <w:pPr>
        <w:pStyle w:val="BookText"/>
      </w:pPr>
      <w:r>
        <w:rPr>
          <w:rFonts w:ascii="IRNazanin" w:hAnsi="IRNazanin" w:eastAsia="IRNazanin" w:cs="IRNazanin"/>
          <w:lang w:bidi="fa-IR"/>
          <w:color w:val="111111"/>
          <w:sz w:val="28"/>
          <w:szCs w:val="28"/>
          <w:rtl/>
        </w:rPr>
        <w:t xml:space="preserve">لمیر غلام رسول المشهور بالمیرزا محمد علی. قال معاصره فی مجمع الفصحاء (ج 2- ص 65) و فی ریاض العارفین (ص 421) إن مثنویاته و غزلیاته فی عدة آلاف بیت منها هفت دفتر فی بحر الرمل و مثنوی خمخانه و میخانه و قد فاتنا ذکره فی محله و هو الذی رتب دیوان غزلیاته و أورد بعضها.</w:t>
      </w:r>
    </w:p>
    <w:p>
      <w:pPr>
        <w:pStyle w:val="Heading3"/>
      </w:pPr>
      <w:bookmarkStart w:id="1343" w:name="_Toc39"/>
      <w:r>
        <w:t>34- دیوان آزاد کشمیری‏</w:t>
      </w:r>
      <w:bookmarkEnd w:id="1343"/>
    </w:p>
    <w:p>
      <w:pPr>
        <w:pStyle w:val="BookText"/>
      </w:pPr>
      <w:r>
        <w:rPr>
          <w:rFonts w:ascii="IRNazanin" w:hAnsi="IRNazanin" w:eastAsia="IRNazanin" w:cs="IRNazanin"/>
          <w:lang w:bidi="fa-IR"/>
          <w:color w:val="111111"/>
          <w:sz w:val="28"/>
          <w:szCs w:val="28"/>
          <w:rtl/>
        </w:rPr>
        <w:t xml:space="preserve">محمد مقیم، کان تلمیذ سام الکشمیری، و مات بأکبرآباد (1150). ذکره فی (گلشن).</w:t>
      </w:r>
    </w:p>
    <w:p>
      <w:pPr>
        <w:pStyle w:val="Heading3"/>
      </w:pPr>
      <w:bookmarkStart w:id="1344" w:name="_Toc40"/>
      <w:r>
        <w:t>35- دیوان آزاد الیزدی‏</w:t>
      </w:r>
      <w:bookmarkEnd w:id="1344"/>
    </w:p>
    <w:p>
      <w:pPr>
        <w:pStyle w:val="BookText"/>
      </w:pPr>
      <w:r>
        <w:rPr>
          <w:rFonts w:ascii="IRNazanin" w:hAnsi="IRNazanin" w:eastAsia="IRNazanin" w:cs="IRNazanin"/>
          <w:lang w:bidi="fa-IR"/>
          <w:color w:val="111111"/>
          <w:sz w:val="28"/>
          <w:szCs w:val="28"/>
          <w:rtl/>
        </w:rPr>
        <w:t xml:space="preserve">اسمه محمد صدیق و کان تلمیذ المولی شرف الدین علی الیزدی صاحب ظفرنامه الذی توفی (858) ذکره آیتی فی (تش یز- ص 269).</w:t>
      </w:r>
    </w:p>
    <w:p>
      <w:pPr>
        <w:pStyle w:val="Heading3"/>
      </w:pPr>
      <w:bookmarkStart w:id="1345" w:name="_Toc41"/>
      <w:r>
        <w:t>دیوان آزاد الیزدی‏</w:t>
      </w:r>
      <w:bookmarkEnd w:id="1345"/>
    </w:p>
    <w:p>
      <w:pPr>
        <w:pStyle w:val="BookText"/>
      </w:pPr>
      <w:r>
        <w:rPr>
          <w:rFonts w:ascii="IRNazanin" w:hAnsi="IRNazanin" w:eastAsia="IRNazanin" w:cs="IRNazanin"/>
          <w:lang w:bidi="fa-IR"/>
          <w:color w:val="111111"/>
          <w:sz w:val="28"/>
          <w:szCs w:val="28"/>
          <w:rtl/>
        </w:rPr>
        <w:t xml:space="preserve">ذکره معاصره سام میرزا فی (تس- ص 154) و ذکر أنه قلیل الشعر و إنه یعیش فی حریته فیظهر حیاته حین تألیف التحفة فهو متأخر عن سابقة.</w:t>
      </w:r>
    </w:p>
    <w:p>
      <w:pPr>
        <w:pStyle w:val="Heading3"/>
      </w:pPr>
      <w:bookmarkStart w:id="1346" w:name="_Toc42"/>
      <w:r>
        <w:t>36- دیوان آسوده‏</w:t>
      </w:r>
      <w:bookmarkEnd w:id="1346"/>
    </w:p>
    <w:p>
      <w:pPr>
        <w:pStyle w:val="BookText"/>
      </w:pPr>
      <w:r>
        <w:rPr>
          <w:rFonts w:ascii="IRNazanin" w:hAnsi="IRNazanin" w:eastAsia="IRNazanin" w:cs="IRNazanin"/>
          <w:lang w:bidi="fa-IR"/>
          <w:color w:val="111111"/>
          <w:sz w:val="28"/>
          <w:szCs w:val="28"/>
          <w:rtl/>
        </w:rPr>
        <w:t xml:space="preserve">محمد مهدی بن حاج حیدر علی الشیرازی الأدیب الحکیم. کان حیا حین تألیف فرصت لآثار العجم فذکره فی (عم- ص 353). و طبع له مثنوی فی تقریظ سالارنامه فی ذیله فی (1316).</w:t>
      </w:r>
    </w:p>
    <w:p>
      <w:pPr>
        <w:pStyle w:val="Heading3"/>
      </w:pPr>
      <w:bookmarkStart w:id="1347" w:name="_Toc43"/>
      <w:r>
        <w:t>37- دیوان آسی‏</w:t>
      </w:r>
      <w:bookmarkEnd w:id="1347"/>
    </w:p>
    <w:p>
      <w:pPr>
        <w:pStyle w:val="BookText"/>
      </w:pPr>
      <w:r>
        <w:rPr>
          <w:rFonts w:ascii="IRNazanin" w:hAnsi="IRNazanin" w:eastAsia="IRNazanin" w:cs="IRNazanin"/>
          <w:lang w:bidi="fa-IR"/>
          <w:color w:val="111111"/>
          <w:sz w:val="28"/>
          <w:szCs w:val="28"/>
          <w:rtl/>
        </w:rPr>
        <w:t xml:space="preserve">من قبیلة آس. ترجمه سام میرزا و ذکر شعره فی (تس- ص 164).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7" w:name="pg11704_121483"/>
    <w:bookmarkEnd w:id="7"/>
    <w:p>
      <w:pPr>
        <w:pStyle w:val="Heading3"/>
      </w:pPr>
      <w:bookmarkStart w:id="1348" w:name="_Toc44"/>
      <w:r>
        <w:t>38- دیوان آشفته أسترآبادی‏</w:t>
      </w:r>
      <w:bookmarkEnd w:id="1348"/>
    </w:p>
    <w:p>
      <w:pPr>
        <w:pStyle w:val="BookText"/>
      </w:pPr>
      <w:r>
        <w:rPr>
          <w:rFonts w:ascii="IRNazanin" w:hAnsi="IRNazanin" w:eastAsia="IRNazanin" w:cs="IRNazanin"/>
          <w:lang w:bidi="fa-IR"/>
          <w:color w:val="111111"/>
          <w:sz w:val="28"/>
          <w:szCs w:val="28"/>
          <w:rtl/>
        </w:rPr>
        <w:t xml:space="preserve">قصةخوان. ترجمه سام میرزا و أورد شعره فی (تس- ص 84).</w:t>
      </w:r>
    </w:p>
    <w:p>
      <w:pPr>
        <w:pStyle w:val="Heading3"/>
      </w:pPr>
      <w:bookmarkStart w:id="1349" w:name="_Toc45"/>
      <w:r>
        <w:t>39- دیوان آشفته ایروانی‏</w:t>
      </w:r>
      <w:bookmarkEnd w:id="1349"/>
    </w:p>
    <w:p>
      <w:pPr>
        <w:pStyle w:val="BookText"/>
      </w:pPr>
      <w:r>
        <w:rPr>
          <w:rFonts w:ascii="IRNazanin" w:hAnsi="IRNazanin" w:eastAsia="IRNazanin" w:cs="IRNazanin"/>
          <w:lang w:bidi="fa-IR"/>
          <w:color w:val="111111"/>
          <w:sz w:val="28"/>
          <w:szCs w:val="28"/>
          <w:rtl/>
        </w:rPr>
        <w:t xml:space="preserve">نزیل طهران و اسمه کلب حسین بیک، کان مکرما عند شاه‏زاده ظل السلطان بن فتح علی شاه. ذکر بعض شعره فی (مع- ج 2- ص 64)، و ترجمه (دجا- ص 12) نقلا عن تذکره دلگشا.</w:t>
      </w:r>
    </w:p>
    <w:p>
      <w:pPr>
        <w:pStyle w:val="Heading3"/>
      </w:pPr>
      <w:bookmarkStart w:id="1350" w:name="_Toc46"/>
      <w:r>
        <w:t>40- دیوان آشفته فارسی‏</w:t>
      </w:r>
      <w:bookmarkEnd w:id="1350"/>
    </w:p>
    <w:p>
      <w:pPr>
        <w:pStyle w:val="BookText"/>
      </w:pPr>
      <w:r>
        <w:rPr>
          <w:rFonts w:ascii="IRNazanin" w:hAnsi="IRNazanin" w:eastAsia="IRNazanin" w:cs="IRNazanin"/>
          <w:lang w:bidi="fa-IR"/>
          <w:color w:val="111111"/>
          <w:sz w:val="28"/>
          <w:szCs w:val="28"/>
          <w:rtl/>
        </w:rPr>
        <w:t xml:space="preserve">للحاج کاظم الشیرازی المتوفی (1278) و المدفون فی النجف ذکر فی (ذ کظ ج 1- ص 483). و قد رأیت نسخه ناقصة الأول و الآخر منه، فیها الغزلیات و المدائح للمعصومین و مراثی الشهید المظلوم یقرب من سبعمائة و خمسین بیتا، ضمن مجموعة عند السید محمد الموسوی الجزائری فی النجف. و من قصائده فی مدح أمیر المؤمنین و تهنئة یوم مولده فی العام الذی أبلغ فیه ناصر الدین شاه إلی جمیع مملکته بجعله یوم عید رسمی، و کان الوالی یومئذ فی شیراز مؤید الدولة أبو الفتح میرزا، و ذلک (1277) فتخلص هو فی آخر القصیدة بمدح ناصر الدین شاه و أمین السلطان و مؤید الدولة. و فی إحدی قصائده ذکر ما حدث من الزلزلة بشیراز و دعا لأهلها.</w:t>
      </w:r>
    </w:p>
    <w:p>
      <w:pPr>
        <w:pStyle w:val="Heading3"/>
      </w:pPr>
      <w:bookmarkStart w:id="1351" w:name="_Toc47"/>
      <w:r>
        <w:t>41- دیوان آشنا</w:t>
      </w:r>
      <w:bookmarkEnd w:id="1351"/>
    </w:p>
    <w:p>
      <w:pPr>
        <w:pStyle w:val="BookText"/>
      </w:pPr>
      <w:r>
        <w:rPr>
          <w:rFonts w:ascii="IRNazanin" w:hAnsi="IRNazanin" w:eastAsia="IRNazanin" w:cs="IRNazanin"/>
          <w:lang w:bidi="fa-IR"/>
          <w:color w:val="111111"/>
          <w:sz w:val="28"/>
          <w:szCs w:val="28"/>
          <w:rtl/>
        </w:rPr>
        <w:t xml:space="preserve">میرزا محمد طاهر بن ظفر خان أحسن الشاه‏جهانی الملقب من السلطان بعنایت خان. أرسل دیوانه مع کتب أخر إلی معاصره النصرآبادی کما فی (نر- ص 58) و توفی قبل سنتین من تألیف التذکرة أو (1081) کما فی (تغ- ص 2). و ذکر أیضا فی سرو آزاد و سرخوش- ص 5.</w:t>
      </w:r>
    </w:p>
    <w:p>
      <w:pPr>
        <w:pStyle w:val="Heading3"/>
      </w:pPr>
      <w:bookmarkStart w:id="1352" w:name="_Toc48"/>
      <w:r>
        <w:t>42- دیوان آشوب الإیروانی،</w:t>
      </w:r>
      <w:bookmarkEnd w:id="1352"/>
    </w:p>
    <w:p>
      <w:pPr>
        <w:pStyle w:val="BookText"/>
      </w:pPr>
      <w:r>
        <w:rPr>
          <w:rFonts w:ascii="IRNazanin" w:hAnsi="IRNazanin" w:eastAsia="IRNazanin" w:cs="IRNazanin"/>
          <w:lang w:bidi="fa-IR"/>
          <w:color w:val="111111"/>
          <w:sz w:val="28"/>
          <w:szCs w:val="28"/>
          <w:rtl/>
        </w:rPr>
        <w:t xml:space="preserve">من شعراء السلطان فتح علی شاه و مادحیه. ترجمه فی (دجا- ص 13).</w:t>
      </w:r>
    </w:p>
    <w:p>
      <w:pPr>
        <w:pStyle w:val="Heading3"/>
      </w:pPr>
      <w:bookmarkStart w:id="1353" w:name="_Toc49"/>
      <w:r>
        <w:t>43- دیوان آشوب الدیلمقانی‏</w:t>
      </w:r>
      <w:bookmarkEnd w:id="1353"/>
    </w:p>
    <w:p>
      <w:pPr>
        <w:pStyle w:val="BookText"/>
      </w:pPr>
      <w:r>
        <w:rPr>
          <w:rFonts w:ascii="IRNazanin" w:hAnsi="IRNazanin" w:eastAsia="IRNazanin" w:cs="IRNazanin"/>
          <w:lang w:bidi="fa-IR"/>
          <w:color w:val="111111"/>
          <w:sz w:val="28"/>
          <w:szCs w:val="28"/>
          <w:rtl/>
        </w:rPr>
        <w:t xml:space="preserve">من شعراء القرن الثالث عشر. ترجمه فی (دجا- ص 13) و صرح بأنه غیر الإیروانی و أورد بعض شعره.</w:t>
      </w:r>
    </w:p>
    <w:p>
      <w:pPr>
        <w:pStyle w:val="Heading3"/>
      </w:pPr>
      <w:bookmarkStart w:id="1354" w:name="_Toc50"/>
      <w:r>
        <w:t>44- دیوان آشوب نطنزی‏</w:t>
      </w:r>
      <w:bookmarkEnd w:id="1354"/>
    </w:p>
    <w:p>
      <w:pPr>
        <w:pStyle w:val="BookText"/>
      </w:pPr>
      <w:r>
        <w:rPr>
          <w:rFonts w:ascii="IRNazanin" w:hAnsi="IRNazanin" w:eastAsia="IRNazanin" w:cs="IRNazanin"/>
          <w:lang w:bidi="fa-IR"/>
          <w:color w:val="111111"/>
          <w:sz w:val="28"/>
          <w:szCs w:val="28"/>
          <w:rtl/>
        </w:rPr>
        <w:t xml:space="preserve">ذکره فی (گلشن- ص 6) و قال إنه کان خطاطا ماهرا بالنستعلیق.</w:t>
      </w:r>
    </w:p>
    <w:p>
      <w:pPr>
        <w:pStyle w:val="Heading3"/>
      </w:pPr>
      <w:bookmarkStart w:id="1355" w:name="_Toc51"/>
      <w:r>
        <w:t>45- دیوان آشوب المازندرانی‏</w:t>
      </w:r>
      <w:bookmarkEnd w:id="1355"/>
    </w:p>
    <w:p>
      <w:pPr>
        <w:pStyle w:val="BookText"/>
      </w:pPr>
      <w:r>
        <w:rPr>
          <w:rFonts w:ascii="IRNazanin" w:hAnsi="IRNazanin" w:eastAsia="IRNazanin" w:cs="IRNazanin"/>
          <w:lang w:bidi="fa-IR"/>
          <w:color w:val="111111"/>
          <w:sz w:val="28"/>
          <w:szCs w:val="28"/>
          <w:rtl/>
        </w:rPr>
        <w:t xml:space="preserve">من قریة (سورکست). و اسمه المولی محمد حسین هاجر إلی الهند و اتصل هناک بظفر خان أحسن- والد آشنا المذکور- و توفی بها. کذا ترجمه‏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8" w:name="pg11704_121484"/>
    <w:bookmarkEnd w:id="8"/>
    <w:p>
      <w:pPr>
        <w:pStyle w:val="BookText"/>
      </w:pPr>
      <w:r>
        <w:rPr>
          <w:rFonts w:ascii="IRNazanin" w:hAnsi="IRNazanin" w:eastAsia="IRNazanin" w:cs="IRNazanin"/>
          <w:lang w:bidi="fa-IR"/>
          <w:color w:val="111111"/>
          <w:sz w:val="28"/>
          <w:szCs w:val="28"/>
          <w:rtl/>
        </w:rPr>
        <w:t xml:space="preserve">النصرآبادی فی (نر- ص 309) و أورد بعض شعره و کذا فی (گلشن- ص 30) و قال.</w:t>
      </w:r>
    </w:p>
    <w:p>
      <w:pPr>
        <w:pStyle w:val="BookText"/>
      </w:pPr>
      <w:r>
        <w:rPr>
          <w:rFonts w:ascii="IRNazanin" w:hAnsi="IRNazanin" w:eastAsia="IRNazanin" w:cs="IRNazanin"/>
          <w:lang w:bidi="fa-IR"/>
          <w:color w:val="111111"/>
          <w:sz w:val="28"/>
          <w:szCs w:val="28"/>
          <w:rtl/>
        </w:rPr>
        <w:t xml:space="preserve">فی (تغ- ص 2) إنه توفی (1099).</w:t>
      </w:r>
    </w:p>
    <w:p>
      <w:pPr>
        <w:pStyle w:val="Heading3"/>
      </w:pPr>
      <w:bookmarkStart w:id="1356" w:name="_Toc52"/>
      <w:r>
        <w:t>46- دیوان آشوب الهمدانی‏</w:t>
      </w:r>
      <w:bookmarkEnd w:id="1356"/>
    </w:p>
    <w:p>
      <w:pPr>
        <w:pStyle w:val="BookText"/>
      </w:pPr>
      <w:r>
        <w:rPr>
          <w:rFonts w:ascii="IRNazanin" w:hAnsi="IRNazanin" w:eastAsia="IRNazanin" w:cs="IRNazanin"/>
          <w:lang w:bidi="fa-IR"/>
          <w:color w:val="111111"/>
          <w:sz w:val="28"/>
          <w:szCs w:val="28"/>
          <w:rtl/>
        </w:rPr>
        <w:t xml:space="preserve">ترجمه معاصره النصرآبادی فی (نر- ص 325) بعنوان میرآشوب الهمدانی و ذکر أنه کان ملازما لمرتضی قلی خان قورچی‏باشی المقتول. ثم قال إنه کان قصاصا و أن فی حقه کتب لطیفة حاتم بیک. و أورد بعض شعره و کذا ذکره فی (گلشن: 6).</w:t>
      </w:r>
    </w:p>
    <w:p>
      <w:pPr>
        <w:pStyle w:val="Heading3"/>
      </w:pPr>
      <w:bookmarkStart w:id="1357" w:name="_Toc53"/>
      <w:r>
        <w:t>47- دیوان آصف‏</w:t>
      </w:r>
      <w:bookmarkEnd w:id="1357"/>
    </w:p>
    <w:p>
      <w:pPr>
        <w:pStyle w:val="BookText"/>
      </w:pPr>
      <w:r>
        <w:rPr>
          <w:rFonts w:ascii="IRNazanin" w:hAnsi="IRNazanin" w:eastAsia="IRNazanin" w:cs="IRNazanin"/>
          <w:lang w:bidi="fa-IR"/>
          <w:color w:val="111111"/>
          <w:sz w:val="28"/>
          <w:szCs w:val="28"/>
          <w:rtl/>
        </w:rPr>
        <w:t xml:space="preserve">باللغة الأردویة للمیرزا أمانی یحیی أعلی خان نواب أوده بالهند و المتوفی بها (1212). ذکره فی (ذ کظ- ج 1 ص 483). و کذا فی سرو آزاد.</w:t>
      </w:r>
    </w:p>
    <w:p>
      <w:pPr>
        <w:pStyle w:val="Heading3"/>
      </w:pPr>
      <w:bookmarkStart w:id="1358" w:name="_Toc54"/>
      <w:r>
        <w:t>48- دیوان آصفا</w:t>
      </w:r>
      <w:bookmarkEnd w:id="1358"/>
    </w:p>
    <w:p>
      <w:pPr>
        <w:pStyle w:val="BookText"/>
      </w:pPr>
      <w:r>
        <w:rPr>
          <w:rFonts w:ascii="IRNazanin" w:hAnsi="IRNazanin" w:eastAsia="IRNazanin" w:cs="IRNazanin"/>
          <w:lang w:bidi="fa-IR"/>
          <w:color w:val="111111"/>
          <w:sz w:val="28"/>
          <w:szCs w:val="28"/>
          <w:rtl/>
        </w:rPr>
        <w:t xml:space="preserve">اسمه محمد قلی من إیل بهارلو. نزل بقم ثم أصفهان ثم الهند، و کان بها حین تألیف النصرآبادی تذکرته کما ترجمه فی (نر- ص 325) و أورد بعض شعره و کذلک فی (سرخوش- ص 6).</w:t>
      </w:r>
    </w:p>
    <w:p>
      <w:pPr>
        <w:pStyle w:val="Heading3"/>
      </w:pPr>
      <w:bookmarkStart w:id="1359" w:name="_Toc55"/>
      <w:r>
        <w:t>49- دیوان آصف البهبهانی‏</w:t>
      </w:r>
      <w:bookmarkEnd w:id="1359"/>
    </w:p>
    <w:p>
      <w:pPr>
        <w:pStyle w:val="BookText"/>
      </w:pPr>
      <w:r>
        <w:rPr>
          <w:rFonts w:ascii="IRNazanin" w:hAnsi="IRNazanin" w:eastAsia="IRNazanin" w:cs="IRNazanin"/>
          <w:lang w:bidi="fa-IR"/>
          <w:color w:val="111111"/>
          <w:sz w:val="28"/>
          <w:szCs w:val="28"/>
          <w:rtl/>
        </w:rPr>
        <w:t xml:space="preserve">وزیر إمام قلی خان کما ذکره النصرآبادی فی (نر- ص 482) و أورد رباعیة له فی تاریخ عزل أبی الولی الأنجو و نصب المیر معز الدین فی (1015).</w:t>
      </w:r>
    </w:p>
    <w:p>
      <w:pPr>
        <w:pStyle w:val="Heading3"/>
      </w:pPr>
      <w:bookmarkStart w:id="1360" w:name="_Toc56"/>
      <w:r>
        <w:t>50- دیوان آصف التویسرکانی‏</w:t>
      </w:r>
      <w:bookmarkEnd w:id="1360"/>
    </w:p>
    <w:p>
      <w:pPr>
        <w:pStyle w:val="BookText"/>
      </w:pPr>
      <w:r>
        <w:rPr>
          <w:rFonts w:ascii="IRNazanin" w:hAnsi="IRNazanin" w:eastAsia="IRNazanin" w:cs="IRNazanin"/>
          <w:lang w:bidi="fa-IR"/>
          <w:color w:val="111111"/>
          <w:sz w:val="28"/>
          <w:szCs w:val="28"/>
          <w:rtl/>
        </w:rPr>
        <w:t xml:space="preserve">و اسمه المیرزا أمین بن المیرزا محمد. و هو أخ المیرزا طاهر وقایع نویس للشاه عباس. ترجمه النصرآبادی فی (نر- ص 82) و أورد شعره.</w:t>
      </w:r>
    </w:p>
    <w:p>
      <w:pPr>
        <w:pStyle w:val="Heading3"/>
      </w:pPr>
      <w:bookmarkStart w:id="1361" w:name="_Toc57"/>
      <w:r>
        <w:t>51- دیوان آصفی هروی‏</w:t>
      </w:r>
      <w:bookmarkEnd w:id="1361"/>
    </w:p>
    <w:p>
      <w:pPr>
        <w:pStyle w:val="BookText"/>
      </w:pPr>
      <w:r>
        <w:rPr>
          <w:rFonts w:ascii="IRNazanin" w:hAnsi="IRNazanin" w:eastAsia="IRNazanin" w:cs="IRNazanin"/>
          <w:lang w:bidi="fa-IR"/>
          <w:color w:val="111111"/>
          <w:sz w:val="28"/>
          <w:szCs w:val="28"/>
          <w:rtl/>
        </w:rPr>
        <w:t xml:space="preserve">للشاعر المعروف بخواجه آصفی بن نعمة الله القهستانی، ترجمه کذلک فی المجلد السابع من روضة الصفا و ذکر أنه کان من الشعراء الکملین من تلامیذ نظام الدین علی شیر و بدیع الزمان میرزا. و دیوان غزلیاته مشهور. منها قوله:</w:t>
      </w:r>
    </w:p>
    <w:p>
      <w:pPr>
        <w:pStyle w:val="BookText"/>
      </w:pPr>
      <w:r>
        <w:rPr>
          <w:rFonts w:ascii="IRNazanin" w:hAnsi="IRNazanin" w:eastAsia="IRNazanin" w:cs="IRNazanin"/>
          <w:lang w:bidi="fa-IR"/>
          <w:color w:val="111111"/>
          <w:sz w:val="28"/>
          <w:szCs w:val="28"/>
          <w:rtl/>
        </w:rPr>
        <w:t xml:space="preserve">بسی خود را در آب دیده چون ماهی وطن دیدم‏</w:t>
      </w:r>
    </w:p>
    <w:p>
      <w:pPr>
        <w:pStyle w:val="BookText"/>
      </w:pPr>
      <w:r>
        <w:rPr>
          <w:rFonts w:ascii="IRNazanin" w:hAnsi="IRNazanin" w:eastAsia="IRNazanin" w:cs="IRNazanin"/>
          <w:lang w:bidi="fa-IR"/>
          <w:color w:val="111111"/>
          <w:sz w:val="28"/>
          <w:szCs w:val="28"/>
          <w:rtl/>
        </w:rPr>
        <w:t xml:space="preserve">که تا قلاب زلفش را به کام خویشتن دیدم‏</w:t>
      </w:r>
    </w:p>
    <w:p>
      <w:pPr>
        <w:pStyle w:val="BookText"/>
      </w:pPr>
      <w:r>
        <w:rPr>
          <w:rFonts w:ascii="IRNazanin" w:hAnsi="IRNazanin" w:eastAsia="IRNazanin" w:cs="IRNazanin"/>
          <w:lang w:bidi="fa-IR"/>
          <w:color w:val="111111"/>
          <w:sz w:val="28"/>
          <w:szCs w:val="28"/>
          <w:rtl/>
        </w:rPr>
        <w:t xml:space="preserve">قال. و توفی فی السادس عشر من شعبان (923) و قال فی تاریخه المیر سلطان إبراهیم هذه الرباعیة:</w:t>
      </w:r>
    </w:p>
    <w:p>
      <w:pPr>
        <w:pStyle w:val="BookText"/>
      </w:pPr>
      <w:r>
        <w:rPr>
          <w:rFonts w:ascii="IRNazanin" w:hAnsi="IRNazanin" w:eastAsia="IRNazanin" w:cs="IRNazanin"/>
          <w:lang w:bidi="fa-IR"/>
          <w:color w:val="111111"/>
          <w:sz w:val="28"/>
          <w:szCs w:val="28"/>
          <w:rtl/>
        </w:rPr>
        <w:t xml:space="preserve">چون آصفی آن چشم خرد را مردم‏</w:t>
      </w:r>
    </w:p>
    <w:p>
      <w:pPr>
        <w:pStyle w:val="BookText"/>
      </w:pPr>
      <w:r>
        <w:rPr>
          <w:rFonts w:ascii="IRNazanin" w:hAnsi="IRNazanin" w:eastAsia="IRNazanin" w:cs="IRNazanin"/>
          <w:lang w:bidi="fa-IR"/>
          <w:color w:val="111111"/>
          <w:sz w:val="28"/>
          <w:szCs w:val="28"/>
          <w:rtl/>
        </w:rPr>
        <w:t xml:space="preserve">در أبر أجل گشت نهان چون أنجم‏</w:t>
      </w:r>
    </w:p>
    <w:p>
      <w:pPr>
        <w:pStyle w:val="BookText"/>
      </w:pPr>
      <w:r>
        <w:rPr>
          <w:rFonts w:ascii="IRNazanin" w:hAnsi="IRNazanin" w:eastAsia="IRNazanin" w:cs="IRNazanin"/>
          <w:lang w:bidi="fa-IR"/>
          <w:color w:val="111111"/>
          <w:sz w:val="28"/>
          <w:szCs w:val="28"/>
          <w:rtl/>
        </w:rPr>
        <w:t xml:space="preserve">پرسید دل از من که چه آمد تاریخ؟</w:t>
      </w:r>
    </w:p>
    <w:p>
      <w:pPr>
        <w:pStyle w:val="BookText"/>
      </w:pPr>
      <w:r>
        <w:rPr>
          <w:rFonts w:ascii="IRNazanin" w:hAnsi="IRNazanin" w:eastAsia="IRNazanin" w:cs="IRNazanin"/>
          <w:lang w:bidi="fa-IR"/>
          <w:color w:val="111111"/>
          <w:sz w:val="28"/>
          <w:szCs w:val="28"/>
          <w:rtl/>
        </w:rPr>
        <w:t xml:space="preserve">گفتم: ز برات آمده روز دوم‏</w:t>
      </w:r>
    </w:p>
    <w:p>
      <w:pPr>
        <w:pStyle w:val="BookText"/>
      </w:pPr>
      <w:r>
        <w:rPr>
          <w:rFonts w:ascii="IRNazanin" w:hAnsi="IRNazanin" w:eastAsia="IRNazanin" w:cs="IRNazanin"/>
          <w:lang w:bidi="fa-IR"/>
          <w:color w:val="111111"/>
          <w:sz w:val="28"/>
          <w:szCs w:val="28"/>
          <w:rtl/>
        </w:rPr>
        <w:t xml:space="preserve">و أرخ وفاته المولی شهاب الدین الحقیری بقوله (أجل خواجه رسید) و من الغریب تاریخ أنشأه آصفی لنفسه، کما ذکره النصرآبادی فی (نر- 471):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9" w:name="pg11704_121485"/>
    <w:bookmarkEnd w:id="9"/>
    <w:p>
      <w:pPr>
        <w:pStyle w:val="BookText"/>
      </w:pPr>
      <w:r>
        <w:rPr>
          <w:rFonts w:ascii="IRNazanin" w:hAnsi="IRNazanin" w:eastAsia="IRNazanin" w:cs="IRNazanin"/>
          <w:lang w:bidi="fa-IR"/>
          <w:color w:val="111111"/>
          <w:sz w:val="28"/>
          <w:szCs w:val="28"/>
          <w:rtl/>
        </w:rPr>
        <w:t xml:space="preserve">سالی که رخ آصفی به هفتاد نهاد</w:t>
      </w:r>
    </w:p>
    <w:p>
      <w:pPr>
        <w:pStyle w:val="BookText"/>
      </w:pPr>
      <w:r>
        <w:rPr>
          <w:rFonts w:ascii="IRNazanin" w:hAnsi="IRNazanin" w:eastAsia="IRNazanin" w:cs="IRNazanin"/>
          <w:lang w:bidi="fa-IR"/>
          <w:color w:val="111111"/>
          <w:sz w:val="28"/>
          <w:szCs w:val="28"/>
          <w:rtl/>
        </w:rPr>
        <w:t xml:space="preserve">هفتاد تمام کرد و از پای فتاد</w:t>
      </w:r>
    </w:p>
    <w:p>
      <w:pPr>
        <w:pStyle w:val="BookText"/>
      </w:pPr>
      <w:r>
        <w:rPr>
          <w:rFonts w:ascii="IRNazanin" w:hAnsi="IRNazanin" w:eastAsia="IRNazanin" w:cs="IRNazanin"/>
          <w:lang w:bidi="fa-IR"/>
          <w:color w:val="111111"/>
          <w:sz w:val="28"/>
          <w:szCs w:val="28"/>
          <w:rtl/>
        </w:rPr>
        <w:t xml:space="preserve">شد در هفتاد و مصرع تاریخست‏</w:t>
      </w:r>
    </w:p>
    <w:p>
      <w:pPr>
        <w:pStyle w:val="BookText"/>
      </w:pPr>
      <w:r>
        <w:rPr>
          <w:rFonts w:ascii="IRNazanin" w:hAnsi="IRNazanin" w:eastAsia="IRNazanin" w:cs="IRNazanin"/>
          <w:lang w:bidi="fa-IR"/>
          <w:color w:val="111111"/>
          <w:sz w:val="28"/>
          <w:szCs w:val="28"/>
          <w:rtl/>
        </w:rPr>
        <w:t xml:space="preserve">پیموده ره بقا به گام هفتاد</w:t>
      </w:r>
    </w:p>
    <w:p>
      <w:pPr>
        <w:pStyle w:val="BookText"/>
      </w:pPr>
      <w:r>
        <w:rPr>
          <w:rFonts w:ascii="IRNazanin" w:hAnsi="IRNazanin" w:eastAsia="IRNazanin" w:cs="IRNazanin"/>
          <w:lang w:bidi="fa-IR"/>
          <w:color w:val="111111"/>
          <w:sz w:val="28"/>
          <w:szCs w:val="28"/>
          <w:rtl/>
        </w:rPr>
        <w:t xml:space="preserve">ترجمه فی (لت- ص 347) و کذا فی (تش- ص 146) و حبیب السیر و مرآة الخیال- ص 75 و ذکر أن والده کان وزیر السلطان أبو سعید میرزا و لذا کان یتخلص بآصفی. قال و دیوان غزله تام، و أورد بعض غزلیاته منها ما مطلعه [بسی خود را ...] المذکور آنفا. لکن ذکر أن وفاته (920) و الأصح الأول لمطابقته للتاریخ المنظوم و المنثور. رأیت نسخه منه یقرب من ألفی بیت فی أربعمائة غزل عند السید محمد بن السید نعمة الله الموسوی التستری فی النجف.</w:t>
      </w:r>
    </w:p>
    <w:p>
      <w:pPr>
        <w:pStyle w:val="BookText"/>
      </w:pPr>
      <w:r>
        <w:rPr>
          <w:rFonts w:ascii="IRNazanin" w:hAnsi="IRNazanin" w:eastAsia="IRNazanin" w:cs="IRNazanin"/>
          <w:lang w:bidi="fa-IR"/>
          <w:color w:val="111111"/>
          <w:sz w:val="28"/>
          <w:szCs w:val="28"/>
          <w:rtl/>
        </w:rPr>
        <w:t xml:space="preserve">أوله:</w:t>
      </w:r>
    </w:p>
    <w:p>
      <w:pPr>
        <w:pStyle w:val="BookText"/>
      </w:pPr>
      <w:r>
        <w:rPr>
          <w:rFonts w:ascii="IRNazanin" w:hAnsi="IRNazanin" w:eastAsia="IRNazanin" w:cs="IRNazanin"/>
          <w:lang w:bidi="fa-IR"/>
          <w:color w:val="111111"/>
          <w:sz w:val="28"/>
          <w:szCs w:val="28"/>
          <w:rtl/>
        </w:rPr>
        <w:t xml:space="preserve">ساز آباد خدایا دل ویرانی را</w:t>
      </w:r>
    </w:p>
    <w:p>
      <w:pPr>
        <w:pStyle w:val="BookText"/>
      </w:pPr>
      <w:r>
        <w:rPr>
          <w:rFonts w:ascii="IRNazanin" w:hAnsi="IRNazanin" w:eastAsia="IRNazanin" w:cs="IRNazanin"/>
          <w:lang w:bidi="fa-IR"/>
          <w:color w:val="111111"/>
          <w:sz w:val="28"/>
          <w:szCs w:val="28"/>
          <w:rtl/>
        </w:rPr>
        <w:t xml:space="preserve">یا مدة مهر بتأن هیچ، مسلمانی را</w:t>
      </w:r>
    </w:p>
    <w:p>
      <w:pPr>
        <w:pStyle w:val="BookText"/>
      </w:pPr>
      <w:r>
        <w:rPr>
          <w:rFonts w:ascii="IRNazanin" w:hAnsi="IRNazanin" w:eastAsia="IRNazanin" w:cs="IRNazanin"/>
          <w:lang w:bidi="fa-IR"/>
          <w:color w:val="111111"/>
          <w:sz w:val="28"/>
          <w:szCs w:val="28"/>
          <w:rtl/>
        </w:rPr>
        <w:t xml:space="preserve">إلی قوله:</w:t>
      </w:r>
    </w:p>
    <w:p>
      <w:pPr>
        <w:pStyle w:val="BookText"/>
      </w:pPr>
      <w:r>
        <w:rPr>
          <w:rFonts w:ascii="IRNazanin" w:hAnsi="IRNazanin" w:eastAsia="IRNazanin" w:cs="IRNazanin"/>
          <w:lang w:bidi="fa-IR"/>
          <w:color w:val="111111"/>
          <w:sz w:val="28"/>
          <w:szCs w:val="28"/>
          <w:rtl/>
        </w:rPr>
        <w:t xml:space="preserve">آصفی کیست که توحید تو گوید هیهات‏</w:t>
      </w:r>
    </w:p>
    <w:p>
      <w:pPr>
        <w:pStyle w:val="BookText"/>
      </w:pPr>
      <w:r>
        <w:rPr>
          <w:rFonts w:ascii="IRNazanin" w:hAnsi="IRNazanin" w:eastAsia="IRNazanin" w:cs="IRNazanin"/>
          <w:lang w:bidi="fa-IR"/>
          <w:color w:val="111111"/>
          <w:sz w:val="28"/>
          <w:szCs w:val="28"/>
          <w:rtl/>
        </w:rPr>
        <w:t xml:space="preserve">حد وصفت نبود هیچ سلیمانی را</w:t>
      </w:r>
    </w:p>
    <w:p>
      <w:pPr>
        <w:pStyle w:val="BookText"/>
      </w:pPr>
      <w:r>
        <w:rPr>
          <w:rFonts w:ascii="IRNazanin" w:hAnsi="IRNazanin" w:eastAsia="IRNazanin" w:cs="IRNazanin"/>
          <w:lang w:bidi="fa-IR"/>
          <w:color w:val="111111"/>
          <w:sz w:val="28"/>
          <w:szCs w:val="28"/>
          <w:rtl/>
        </w:rPr>
        <w:t xml:space="preserve">نسخه منه فی مکتبة (المجلس) بعنوان آصفی الهروی، و نسخه فی مکتبة عاشر أفندی بأستانبول قرب باب البستان، و أخری فی مکتبة راجه محمد مهدی فی ضلع فیض‏آباد فی الماری رقم (6) کما فی فهارسها، و نسخه عند صادق وحدت (أدیب حضور) بطهران.</w:t>
      </w:r>
    </w:p>
    <w:p>
      <w:pPr>
        <w:pStyle w:val="BookText"/>
      </w:pPr>
      <w:r>
        <w:rPr>
          <w:rFonts w:ascii="IRNazanin" w:hAnsi="IRNazanin" w:eastAsia="IRNazanin" w:cs="IRNazanin"/>
          <w:lang w:bidi="fa-IR"/>
          <w:color w:val="111111"/>
          <w:sz w:val="28"/>
          <w:szCs w:val="28"/>
          <w:rtl/>
        </w:rPr>
        <w:t xml:space="preserve">و ترجمه فی مجالس النفائس مختصرا فی (ص 58 و 231) و أورد بعض شعره و معمیاته.</w:t>
      </w:r>
    </w:p>
    <w:p>
      <w:pPr>
        <w:pStyle w:val="BookText"/>
      </w:pPr>
      <w:r>
        <w:rPr>
          <w:rFonts w:ascii="IRNazanin" w:hAnsi="IRNazanin" w:eastAsia="IRNazanin" w:cs="IRNazanin"/>
          <w:lang w:bidi="fa-IR"/>
          <w:color w:val="111111"/>
          <w:sz w:val="28"/>
          <w:szCs w:val="28"/>
          <w:rtl/>
        </w:rPr>
        <w:t xml:space="preserve">و ذکر سام میرزا فی (تس- ص 97) أنه دون بنفسه دیوان غزله. و له مثنوی نظیر مخزن الأسرار.</w:t>
      </w:r>
    </w:p>
    <w:p>
      <w:pPr>
        <w:pStyle w:val="Heading3"/>
      </w:pPr>
      <w:bookmarkStart w:id="1362" w:name="_Toc58"/>
      <w:r>
        <w:t>52- دیوان آغاجی‏</w:t>
      </w:r>
      <w:bookmarkEnd w:id="1362"/>
    </w:p>
    <w:p>
      <w:pPr>
        <w:pStyle w:val="BookText"/>
      </w:pPr>
      <w:r>
        <w:rPr>
          <w:rFonts w:ascii="IRNazanin" w:hAnsi="IRNazanin" w:eastAsia="IRNazanin" w:cs="IRNazanin"/>
          <w:lang w:bidi="fa-IR"/>
          <w:color w:val="111111"/>
          <w:sz w:val="28"/>
          <w:szCs w:val="28"/>
          <w:rtl/>
        </w:rPr>
        <w:t xml:space="preserve">المذکور فی تش- ص 319 قال و اسمه أبو الحسن و هو من رجال العهد السامانی (کذا).</w:t>
      </w:r>
    </w:p>
    <w:p>
      <w:pPr>
        <w:pStyle w:val="Heading3"/>
      </w:pPr>
      <w:bookmarkStart w:id="1363" w:name="_Toc59"/>
      <w:r>
        <w:t>53- دیوان آغنه دوست‏</w:t>
      </w:r>
      <w:bookmarkEnd w:id="1363"/>
    </w:p>
    <w:p>
      <w:pPr>
        <w:pStyle w:val="BookText"/>
      </w:pPr>
      <w:r>
        <w:rPr>
          <w:rFonts w:ascii="IRNazanin" w:hAnsi="IRNazanin" w:eastAsia="IRNazanin" w:cs="IRNazanin"/>
          <w:lang w:bidi="fa-IR"/>
          <w:color w:val="111111"/>
          <w:sz w:val="28"/>
          <w:szCs w:val="28"/>
          <w:rtl/>
        </w:rPr>
        <w:t xml:space="preserve">بنت درویش قیام السبزواری، الفاضلة الشاعرة العالمة بالعروض و الشعر کما ذکرها فی مرآة الخیال- ص 337.</w:t>
      </w:r>
    </w:p>
    <w:p>
      <w:pPr>
        <w:pStyle w:val="Heading3"/>
      </w:pPr>
      <w:bookmarkStart w:id="1364" w:name="_Toc60"/>
      <w:r>
        <w:t>دیوان آغورلو خان‏</w:t>
      </w:r>
      <w:bookmarkEnd w:id="1364"/>
    </w:p>
    <w:p>
      <w:pPr>
        <w:pStyle w:val="BookText"/>
      </w:pPr>
      <w:r>
        <w:rPr>
          <w:rFonts w:ascii="IRNazanin" w:hAnsi="IRNazanin" w:eastAsia="IRNazanin" w:cs="IRNazanin"/>
          <w:lang w:bidi="fa-IR"/>
          <w:color w:val="111111"/>
          <w:sz w:val="28"/>
          <w:szCs w:val="28"/>
          <w:rtl/>
        </w:rPr>
        <w:t xml:space="preserve">یأتی بعنوان دیوان زیادی و دیوان أغورلو.</w:t>
      </w:r>
    </w:p>
    <w:p>
      <w:pPr>
        <w:pStyle w:val="Heading3"/>
      </w:pPr>
      <w:bookmarkStart w:id="1365" w:name="_Toc61"/>
      <w:r>
        <w:t>دیوان آغولی شیرازی‏</w:t>
      </w:r>
      <w:bookmarkEnd w:id="1365"/>
    </w:p>
    <w:p>
      <w:pPr>
        <w:pStyle w:val="BookText"/>
      </w:pPr>
      <w:r>
        <w:rPr>
          <w:rFonts w:ascii="IRNazanin" w:hAnsi="IRNazanin" w:eastAsia="IRNazanin" w:cs="IRNazanin"/>
          <w:lang w:bidi="fa-IR"/>
          <w:color w:val="111111"/>
          <w:sz w:val="28"/>
          <w:szCs w:val="28"/>
          <w:rtl/>
        </w:rPr>
        <w:t xml:space="preserve">یأتی بعنوان دیوان ترکی شیرازی.</w:t>
      </w:r>
    </w:p>
    <w:p>
      <w:pPr>
        <w:pStyle w:val="Heading3"/>
      </w:pPr>
      <w:bookmarkStart w:id="1366" w:name="_Toc62"/>
      <w:r>
        <w:t>54- دیوان آفاق بیگه جلایر</w:t>
      </w:r>
      <w:bookmarkEnd w:id="1366"/>
    </w:p>
    <w:p>
      <w:pPr>
        <w:pStyle w:val="BookText"/>
      </w:pPr>
      <w:r>
        <w:rPr>
          <w:rFonts w:ascii="IRNazanin" w:hAnsi="IRNazanin" w:eastAsia="IRNazanin" w:cs="IRNazanin"/>
          <w:lang w:bidi="fa-IR"/>
          <w:color w:val="111111"/>
          <w:sz w:val="28"/>
          <w:szCs w:val="28"/>
          <w:rtl/>
        </w:rPr>
        <w:t xml:space="preserve">الشاعرة الهراتیة معاصره السلطان حسین بایقرا.</w:t>
      </w:r>
    </w:p>
    <w:p>
      <w:pPr>
        <w:pStyle w:val="BookText"/>
      </w:pPr>
      <w:r>
        <w:rPr>
          <w:rFonts w:ascii="IRNazanin" w:hAnsi="IRNazanin" w:eastAsia="IRNazanin" w:cs="IRNazanin"/>
          <w:lang w:bidi="fa-IR"/>
          <w:color w:val="111111"/>
          <w:sz w:val="28"/>
          <w:szCs w:val="28"/>
          <w:rtl/>
        </w:rPr>
        <w:t xml:space="preserve">ترجمها میر علی شیر اللودی فی مرآة الخیال- ص 336- 337 لکن سماها آقا بیگه غلطا و الصحیح ما عبر عنه میر علی شیر النوائی فی مجالس النفائس کما فی (لط- ص 164).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0" w:name="pg11704_121486"/>
    <w:bookmarkEnd w:id="10"/>
    <w:p>
      <w:pPr>
        <w:pStyle w:val="Heading3"/>
      </w:pPr>
      <w:bookmarkStart w:id="1367" w:name="_Toc63"/>
      <w:r>
        <w:t>55- دیوان آفتاب‏</w:t>
      </w:r>
      <w:bookmarkEnd w:id="1367"/>
    </w:p>
    <w:p>
      <w:pPr>
        <w:pStyle w:val="BookText"/>
      </w:pPr>
      <w:r>
        <w:rPr>
          <w:rFonts w:ascii="IRNazanin" w:hAnsi="IRNazanin" w:eastAsia="IRNazanin" w:cs="IRNazanin"/>
          <w:lang w:bidi="fa-IR"/>
          <w:color w:val="111111"/>
          <w:sz w:val="28"/>
          <w:szCs w:val="28"/>
          <w:rtl/>
        </w:rPr>
        <w:t xml:space="preserve">أبو المظفر مروج الدین آخر الأمراء المسلمین المستقلین فی دهلی، و هو الذی أعطی منطقة بنگاله للإنگلیز، فخالفه فی ذلک غلام قادر خان، فحبس أبو المظفر (آفتاب) و أسمل عینیه، و له فی هذا الموضوع قصیدة یسمی شهرآشوب ذکر فیها ما جری علیه بید غلام قادر خان. و مات (1221). ذکره فی (گلشن- ص 7).</w:t>
      </w:r>
    </w:p>
    <w:p>
      <w:pPr>
        <w:pStyle w:val="Heading3"/>
      </w:pPr>
      <w:bookmarkStart w:id="1368" w:name="_Toc64"/>
      <w:r>
        <w:t>56- دیوان آفتی التونی المشهدی الخراسانی‏</w:t>
      </w:r>
      <w:bookmarkEnd w:id="1368"/>
    </w:p>
    <w:p>
      <w:pPr>
        <w:pStyle w:val="BookText"/>
      </w:pPr>
      <w:r>
        <w:rPr>
          <w:rFonts w:ascii="IRNazanin" w:hAnsi="IRNazanin" w:eastAsia="IRNazanin" w:cs="IRNazanin"/>
          <w:lang w:bidi="fa-IR"/>
          <w:color w:val="111111"/>
          <w:sz w:val="28"/>
          <w:szCs w:val="28"/>
          <w:rtl/>
        </w:rPr>
        <w:t xml:space="preserve">. ترجمه فی ترجمه مجالس النفائس (ص 22 و 243) و کذا فی (گلشن- ص 7).</w:t>
      </w:r>
    </w:p>
    <w:p>
      <w:pPr>
        <w:pStyle w:val="Heading3"/>
      </w:pPr>
      <w:bookmarkStart w:id="1369" w:name="_Toc65"/>
      <w:r>
        <w:t>57- دیوان آفرین أصفهانی‏</w:t>
      </w:r>
      <w:bookmarkEnd w:id="1369"/>
    </w:p>
    <w:p>
      <w:pPr>
        <w:pStyle w:val="BookText"/>
      </w:pPr>
      <w:r>
        <w:rPr>
          <w:rFonts w:ascii="IRNazanin" w:hAnsi="IRNazanin" w:eastAsia="IRNazanin" w:cs="IRNazanin"/>
          <w:lang w:bidi="fa-IR"/>
          <w:color w:val="111111"/>
          <w:sz w:val="28"/>
          <w:szCs w:val="28"/>
          <w:rtl/>
        </w:rPr>
        <w:t xml:space="preserve">اسمه زین العابدین. مات (1125). ترجمه فی (تش- ص 370) و ریحانة الأدب عن قاموس الأعلام الترکیة. و توجد دیوان آفرین فی (5000 بیت) عند (محمد آقا النخجوانی).</w:t>
      </w:r>
    </w:p>
    <w:p>
      <w:pPr>
        <w:pStyle w:val="Heading3"/>
      </w:pPr>
      <w:bookmarkStart w:id="1370" w:name="_Toc66"/>
      <w:r>
        <w:t>58- دیوان آفرین الله‏آبادی‏</w:t>
      </w:r>
      <w:bookmarkEnd w:id="1370"/>
    </w:p>
    <w:p>
      <w:pPr>
        <w:pStyle w:val="BookText"/>
      </w:pPr>
      <w:r>
        <w:rPr>
          <w:rFonts w:ascii="IRNazanin" w:hAnsi="IRNazanin" w:eastAsia="IRNazanin" w:cs="IRNazanin"/>
          <w:lang w:bidi="fa-IR"/>
          <w:color w:val="111111"/>
          <w:sz w:val="28"/>
          <w:szCs w:val="28"/>
          <w:rtl/>
        </w:rPr>
        <w:t xml:space="preserve">و اسمه شاه فقیر الله. کان من أکابر مجوس لاهور بالهند ثم أسلم و دیوانه فارسی مرتب. مات (1143) أو (1153). ذکره فی (گلشن- ص 7) و سرو آزاد و (تغ- ص 3).</w:t>
      </w:r>
    </w:p>
    <w:p>
      <w:pPr>
        <w:pStyle w:val="Heading3"/>
      </w:pPr>
      <w:bookmarkStart w:id="1371" w:name="_Toc67"/>
      <w:r>
        <w:t>59- دیوان آنی‏</w:t>
      </w:r>
      <w:bookmarkEnd w:id="1371"/>
    </w:p>
    <w:p>
      <w:pPr>
        <w:pStyle w:val="BookText"/>
      </w:pPr>
      <w:r>
        <w:rPr>
          <w:rFonts w:ascii="IRNazanin" w:hAnsi="IRNazanin" w:eastAsia="IRNazanin" w:cs="IRNazanin"/>
          <w:lang w:bidi="fa-IR"/>
          <w:color w:val="111111"/>
          <w:sz w:val="28"/>
          <w:szCs w:val="28"/>
          <w:rtl/>
        </w:rPr>
        <w:t xml:space="preserve">و اسمه الحمد یار خان من شعر الهند بالفارسیة. له مثنوی الأمیر و الفقیر باسم گلزار خیال. ذکره ریحانة الأدب نقلا عن قاموس الأعلام الترکیة.</w:t>
      </w:r>
    </w:p>
    <w:p>
      <w:pPr>
        <w:pStyle w:val="Heading3"/>
      </w:pPr>
      <w:bookmarkStart w:id="1372" w:name="_Toc68"/>
      <w:r>
        <w:t>دیوان آقا بیگم‏</w:t>
      </w:r>
      <w:bookmarkEnd w:id="1372"/>
    </w:p>
    <w:p>
      <w:pPr>
        <w:pStyle w:val="BookText"/>
      </w:pPr>
      <w:r>
        <w:rPr>
          <w:rFonts w:ascii="IRNazanin" w:hAnsi="IRNazanin" w:eastAsia="IRNazanin" w:cs="IRNazanin"/>
          <w:lang w:bidi="fa-IR"/>
          <w:color w:val="111111"/>
          <w:sz w:val="28"/>
          <w:szCs w:val="28"/>
          <w:rtl/>
        </w:rPr>
        <w:t xml:space="preserve">یأتی بعنوان دیوان آقائی.</w:t>
      </w:r>
    </w:p>
    <w:p>
      <w:pPr>
        <w:pStyle w:val="Heading3"/>
      </w:pPr>
      <w:bookmarkStart w:id="1373" w:name="_Toc69"/>
      <w:r>
        <w:t>دیوان آقا بیگه‏</w:t>
      </w:r>
      <w:bookmarkEnd w:id="1373"/>
    </w:p>
    <w:p>
      <w:pPr>
        <w:pStyle w:val="BookText"/>
      </w:pPr>
      <w:r>
        <w:rPr>
          <w:rFonts w:ascii="IRNazanin" w:hAnsi="IRNazanin" w:eastAsia="IRNazanin" w:cs="IRNazanin"/>
          <w:lang w:bidi="fa-IR"/>
          <w:color w:val="111111"/>
          <w:sz w:val="28"/>
          <w:szCs w:val="28"/>
          <w:rtl/>
        </w:rPr>
        <w:t xml:space="preserve">مر بعنوان دیوان آفاق بیگه.</w:t>
      </w:r>
    </w:p>
    <w:p>
      <w:pPr>
        <w:pStyle w:val="Heading3"/>
      </w:pPr>
      <w:bookmarkStart w:id="1374" w:name="_Toc70"/>
      <w:r>
        <w:t>60- دیوان آقا جان اهری‏</w:t>
      </w:r>
      <w:bookmarkEnd w:id="1374"/>
    </w:p>
    <w:p>
      <w:pPr>
        <w:pStyle w:val="BookText"/>
      </w:pPr>
      <w:r>
        <w:rPr>
          <w:rFonts w:ascii="IRNazanin" w:hAnsi="IRNazanin" w:eastAsia="IRNazanin" w:cs="IRNazanin"/>
          <w:lang w:bidi="fa-IR"/>
          <w:color w:val="111111"/>
          <w:sz w:val="28"/>
          <w:szCs w:val="28"/>
          <w:rtl/>
        </w:rPr>
        <w:t xml:space="preserve">ذکره فی (دجا- ص 9) قال و شعر ترکی کما فی حدیقة الشعراء.</w:t>
      </w:r>
    </w:p>
    <w:p>
      <w:pPr>
        <w:pStyle w:val="Heading3"/>
      </w:pPr>
      <w:bookmarkStart w:id="1375" w:name="_Toc71"/>
      <w:r>
        <w:t>61- دیوان آقا جان طبرستانی‏</w:t>
      </w:r>
      <w:bookmarkEnd w:id="1375"/>
    </w:p>
    <w:p>
      <w:pPr>
        <w:pStyle w:val="BookText"/>
      </w:pPr>
      <w:r>
        <w:rPr>
          <w:rFonts w:ascii="IRNazanin" w:hAnsi="IRNazanin" w:eastAsia="IRNazanin" w:cs="IRNazanin"/>
          <w:lang w:bidi="fa-IR"/>
          <w:color w:val="111111"/>
          <w:sz w:val="28"/>
          <w:szCs w:val="28"/>
          <w:rtl/>
        </w:rPr>
        <w:t xml:space="preserve">ولد بطهران و توفی بالنجف (بعد 1310) و اسمه میرزا محمد صادق. طبع دیوانه الفارسی بإیران.</w:t>
      </w:r>
    </w:p>
    <w:p>
      <w:pPr>
        <w:pStyle w:val="Heading3"/>
      </w:pPr>
      <w:bookmarkStart w:id="1376" w:name="_Toc72"/>
      <w:r>
        <w:t>دیوان آقاسی‏</w:t>
      </w:r>
      <w:bookmarkEnd w:id="1376"/>
    </w:p>
    <w:p>
      <w:pPr>
        <w:pStyle w:val="BookText"/>
      </w:pPr>
      <w:r>
        <w:rPr>
          <w:rFonts w:ascii="IRNazanin" w:hAnsi="IRNazanin" w:eastAsia="IRNazanin" w:cs="IRNazanin"/>
          <w:lang w:bidi="fa-IR"/>
          <w:color w:val="111111"/>
          <w:sz w:val="28"/>
          <w:szCs w:val="28"/>
          <w:rtl/>
        </w:rPr>
        <w:t xml:space="preserve">محمد أمین المتخلص بخازن. یأتی.</w:t>
      </w:r>
    </w:p>
    <w:p>
      <w:pPr>
        <w:pStyle w:val="Heading3"/>
      </w:pPr>
      <w:bookmarkStart w:id="1377" w:name="_Toc73"/>
      <w:r>
        <w:t>62- دیوان آقالر</w:t>
      </w:r>
      <w:bookmarkEnd w:id="1377"/>
    </w:p>
    <w:p>
      <w:pPr>
        <w:pStyle w:val="BookText"/>
      </w:pPr>
      <w:r>
        <w:rPr>
          <w:rFonts w:ascii="IRNazanin" w:hAnsi="IRNazanin" w:eastAsia="IRNazanin" w:cs="IRNazanin"/>
          <w:lang w:bidi="fa-IR"/>
          <w:color w:val="111111"/>
          <w:sz w:val="28"/>
          <w:szCs w:val="28"/>
          <w:rtl/>
        </w:rPr>
        <w:t xml:space="preserve">حاج آقا اللرستانی ترجمه فی (تس 187) و أورد بعض شعره.</w:t>
      </w:r>
    </w:p>
    <w:p>
      <w:pPr>
        <w:pStyle w:val="Heading3"/>
      </w:pPr>
      <w:bookmarkStart w:id="1378" w:name="_Toc74"/>
      <w:r>
        <w:t>دیوان آقا میرک‏</w:t>
      </w:r>
      <w:bookmarkEnd w:id="1378"/>
    </w:p>
    <w:p>
      <w:pPr>
        <w:pStyle w:val="BookText"/>
      </w:pPr>
      <w:r>
        <w:rPr>
          <w:rFonts w:ascii="IRNazanin" w:hAnsi="IRNazanin" w:eastAsia="IRNazanin" w:cs="IRNazanin"/>
          <w:lang w:bidi="fa-IR"/>
          <w:color w:val="111111"/>
          <w:sz w:val="28"/>
          <w:szCs w:val="28"/>
          <w:rtl/>
        </w:rPr>
        <w:t xml:space="preserve">یأتی بعنوان دیوان میرک النقاش.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1" w:name="pg11704_121487"/>
    <w:bookmarkEnd w:id="11"/>
    <w:p>
      <w:pPr>
        <w:pStyle w:val="Heading3"/>
      </w:pPr>
      <w:bookmarkStart w:id="1379" w:name="_Toc75"/>
      <w:r>
        <w:t>63- دیوان آقا میر همدانی‏</w:t>
      </w:r>
      <w:bookmarkEnd w:id="1379"/>
    </w:p>
    <w:p>
      <w:pPr>
        <w:pStyle w:val="BookText"/>
      </w:pPr>
      <w:r>
        <w:rPr>
          <w:rFonts w:ascii="IRNazanin" w:hAnsi="IRNazanin" w:eastAsia="IRNazanin" w:cs="IRNazanin"/>
          <w:lang w:bidi="fa-IR"/>
          <w:color w:val="111111"/>
          <w:sz w:val="28"/>
          <w:szCs w:val="28"/>
          <w:rtl/>
        </w:rPr>
        <w:t xml:space="preserve">الخواجة آقا میر من مصاحبی الصادقی کان مکثرا لنظم الرباعیات، حتی اشتهر بخواجه‏رباعی. و کان یعرض شعره علی الصادقی کما ذکره فی (خص- ص 252).</w:t>
      </w:r>
    </w:p>
    <w:p>
      <w:pPr>
        <w:pStyle w:val="Heading3"/>
      </w:pPr>
      <w:bookmarkStart w:id="1380" w:name="_Toc76"/>
      <w:r>
        <w:t>دیوان آقائی‏</w:t>
      </w:r>
      <w:bookmarkEnd w:id="1380"/>
    </w:p>
    <w:p>
      <w:pPr>
        <w:pStyle w:val="BookText"/>
      </w:pPr>
      <w:r>
        <w:rPr>
          <w:rFonts w:ascii="IRNazanin" w:hAnsi="IRNazanin" w:eastAsia="IRNazanin" w:cs="IRNazanin"/>
          <w:lang w:bidi="fa-IR"/>
          <w:color w:val="111111"/>
          <w:sz w:val="28"/>
          <w:szCs w:val="28"/>
          <w:rtl/>
        </w:rPr>
        <w:t xml:space="preserve">یأتی بعنوان دیوان فانی.</w:t>
      </w:r>
    </w:p>
    <w:p>
      <w:pPr>
        <w:pStyle w:val="Heading3"/>
      </w:pPr>
      <w:bookmarkStart w:id="1381" w:name="_Toc77"/>
      <w:r>
        <w:t>64- دیوان آقائی‏</w:t>
      </w:r>
      <w:bookmarkEnd w:id="1381"/>
    </w:p>
    <w:p>
      <w:pPr>
        <w:pStyle w:val="BookText"/>
      </w:pPr>
      <w:r>
        <w:rPr>
          <w:rFonts w:ascii="IRNazanin" w:hAnsi="IRNazanin" w:eastAsia="IRNazanin" w:cs="IRNazanin"/>
          <w:lang w:bidi="fa-IR"/>
          <w:color w:val="111111"/>
          <w:sz w:val="28"/>
          <w:szCs w:val="28"/>
          <w:rtl/>
        </w:rPr>
        <w:t xml:space="preserve">یأتی بعنوان (دیوان السید نعمة الله).</w:t>
      </w:r>
    </w:p>
    <w:p>
      <w:pPr>
        <w:pStyle w:val="Heading3"/>
      </w:pPr>
      <w:bookmarkStart w:id="1382" w:name="_Toc78"/>
      <w:r>
        <w:t>65- دیوان آقائی‏</w:t>
      </w:r>
      <w:bookmarkEnd w:id="1382"/>
    </w:p>
    <w:p>
      <w:pPr>
        <w:pStyle w:val="BookText"/>
      </w:pPr>
      <w:r>
        <w:rPr>
          <w:rFonts w:ascii="IRNazanin" w:hAnsi="IRNazanin" w:eastAsia="IRNazanin" w:cs="IRNazanin"/>
          <w:lang w:bidi="fa-IR"/>
          <w:color w:val="111111"/>
          <w:sz w:val="28"/>
          <w:szCs w:val="28"/>
          <w:rtl/>
        </w:rPr>
        <w:t xml:space="preserve">آقا بیگم بنت مهتر قرائی الخراسانیة. کانت مع والدها فی خدمة محمد خان ترکمان. ذکر ترجمتها و شعرها فی (تخ- ص 95) و (گلشن- ص 7) و (تش- ص 254).</w:t>
      </w:r>
    </w:p>
    <w:p>
      <w:pPr>
        <w:pStyle w:val="Heading3"/>
      </w:pPr>
      <w:bookmarkStart w:id="1383" w:name="_Toc79"/>
      <w:r>
        <w:t>66- دیوان آقائی همدانی‏</w:t>
      </w:r>
      <w:bookmarkEnd w:id="1383"/>
    </w:p>
    <w:p>
      <w:pPr>
        <w:pStyle w:val="BookText"/>
      </w:pPr>
      <w:r>
        <w:rPr>
          <w:rFonts w:ascii="IRNazanin" w:hAnsi="IRNazanin" w:eastAsia="IRNazanin" w:cs="IRNazanin"/>
          <w:lang w:bidi="fa-IR"/>
          <w:color w:val="111111"/>
          <w:sz w:val="28"/>
          <w:szCs w:val="28"/>
          <w:rtl/>
        </w:rPr>
        <w:t xml:space="preserve">ذکره فی (گلشن- ص 7 و 8) و قال یعرف بخواجه آقائی الهمدانی و فی شعره حلاوة.</w:t>
      </w:r>
    </w:p>
    <w:p>
      <w:pPr>
        <w:pStyle w:val="Heading3"/>
      </w:pPr>
      <w:bookmarkStart w:id="1384" w:name="_Toc80"/>
      <w:r>
        <w:t>67- دیوان أمیر آق ملک‏</w:t>
      </w:r>
      <w:bookmarkEnd w:id="1384"/>
    </w:p>
    <w:p>
      <w:pPr>
        <w:pStyle w:val="BookText"/>
      </w:pPr>
      <w:r>
        <w:rPr>
          <w:rFonts w:ascii="IRNazanin" w:hAnsi="IRNazanin" w:eastAsia="IRNazanin" w:cs="IRNazanin"/>
          <w:lang w:bidi="fa-IR"/>
          <w:color w:val="111111"/>
          <w:sz w:val="28"/>
          <w:szCs w:val="28"/>
          <w:rtl/>
        </w:rPr>
        <w:t xml:space="preserve">المذکور فی (لط- ص 23) یأتی بعنوان دیوان میر شاهی.</w:t>
      </w:r>
    </w:p>
    <w:p>
      <w:pPr>
        <w:pStyle w:val="Heading3"/>
      </w:pPr>
      <w:bookmarkStart w:id="1385" w:name="_Toc81"/>
      <w:r>
        <w:t>68- دیوان آگاه‏</w:t>
      </w:r>
      <w:bookmarkEnd w:id="1385"/>
    </w:p>
    <w:p>
      <w:pPr>
        <w:pStyle w:val="BookText"/>
      </w:pPr>
      <w:r>
        <w:rPr>
          <w:rFonts w:ascii="IRNazanin" w:hAnsi="IRNazanin" w:eastAsia="IRNazanin" w:cs="IRNazanin"/>
          <w:lang w:bidi="fa-IR"/>
          <w:color w:val="111111"/>
          <w:sz w:val="28"/>
          <w:szCs w:val="28"/>
          <w:rtl/>
        </w:rPr>
        <w:t xml:space="preserve">اسمه ملا ندر النسفی المشتغل بالعلم فی بخارا. ترجمه النصرآبادی فی (نر- ص 442) و أورد شعره.</w:t>
      </w:r>
    </w:p>
    <w:p>
      <w:pPr>
        <w:pStyle w:val="Heading3"/>
      </w:pPr>
      <w:bookmarkStart w:id="1386" w:name="_Toc82"/>
      <w:r>
        <w:t>69- دیوان آگاه قاجار</w:t>
      </w:r>
      <w:bookmarkEnd w:id="1386"/>
    </w:p>
    <w:p>
      <w:pPr>
        <w:pStyle w:val="BookText"/>
      </w:pPr>
      <w:r>
        <w:rPr>
          <w:rFonts w:ascii="IRNazanin" w:hAnsi="IRNazanin" w:eastAsia="IRNazanin" w:cs="IRNazanin"/>
          <w:lang w:bidi="fa-IR"/>
          <w:color w:val="111111"/>
          <w:sz w:val="28"/>
          <w:szCs w:val="28"/>
          <w:rtl/>
        </w:rPr>
        <w:t xml:space="preserve">و اسمه أردشیر میرزا رکن الدولة ابن عباس میرزا بن فتح علی شاه. کان فی حیاة والده عباس میرزا الذی ولد (1203) و توفی (1249) و إلی کروس، و کان حاکما فی گیلان فی زمن تألیف مجمع الفصحاء (1274) کما ترجمه فیه فی (ج 1- ص 15) و أورد مائة و نیف من غزلیاته و رباعیاته و قصائده و منها رباعیة:</w:t>
      </w:r>
    </w:p>
    <w:p>
      <w:pPr>
        <w:pStyle w:val="BookText"/>
      </w:pPr>
      <w:r>
        <w:rPr>
          <w:rFonts w:ascii="IRNazanin" w:hAnsi="IRNazanin" w:eastAsia="IRNazanin" w:cs="IRNazanin"/>
          <w:lang w:bidi="fa-IR"/>
          <w:color w:val="111111"/>
          <w:sz w:val="28"/>
          <w:szCs w:val="28"/>
          <w:rtl/>
        </w:rPr>
        <w:t xml:space="preserve">آگاه امشب باده‏ات در جام است‏</w:t>
      </w:r>
    </w:p>
    <w:p>
      <w:pPr>
        <w:pStyle w:val="BookText"/>
      </w:pPr>
      <w:r>
        <w:rPr>
          <w:rFonts w:ascii="IRNazanin" w:hAnsi="IRNazanin" w:eastAsia="IRNazanin" w:cs="IRNazanin"/>
          <w:lang w:bidi="fa-IR"/>
          <w:color w:val="111111"/>
          <w:sz w:val="28"/>
          <w:szCs w:val="28"/>
          <w:rtl/>
        </w:rPr>
        <w:t xml:space="preserve">و ز وصل نگار ماهرویت کام است‏</w:t>
      </w:r>
    </w:p>
    <w:p>
      <w:pPr>
        <w:pStyle w:val="BookText"/>
      </w:pPr>
      <w:r>
        <w:rPr>
          <w:rFonts w:ascii="IRNazanin" w:hAnsi="IRNazanin" w:eastAsia="IRNazanin" w:cs="IRNazanin"/>
          <w:lang w:bidi="fa-IR"/>
          <w:color w:val="111111"/>
          <w:sz w:val="28"/>
          <w:szCs w:val="28"/>
          <w:rtl/>
        </w:rPr>
        <w:t xml:space="preserve">با مهر بگو چه وقت تابیدن تو است‏</w:t>
      </w:r>
    </w:p>
    <w:p>
      <w:pPr>
        <w:pStyle w:val="BookText"/>
      </w:pPr>
      <w:r>
        <w:rPr>
          <w:rFonts w:ascii="IRNazanin" w:hAnsi="IRNazanin" w:eastAsia="IRNazanin" w:cs="IRNazanin"/>
          <w:lang w:bidi="fa-IR"/>
          <w:color w:val="111111"/>
          <w:sz w:val="28"/>
          <w:szCs w:val="28"/>
          <w:rtl/>
        </w:rPr>
        <w:t xml:space="preserve">با مرغ بگو چه بانگ بی‏هنگام است‏</w:t>
      </w:r>
    </w:p>
    <w:p>
      <w:pPr>
        <w:pStyle w:val="BookText"/>
      </w:pPr>
      <w:r>
        <w:rPr>
          <w:rFonts w:ascii="IRNazanin" w:hAnsi="IRNazanin" w:eastAsia="IRNazanin" w:cs="IRNazanin"/>
          <w:lang w:bidi="fa-IR"/>
          <w:color w:val="111111"/>
          <w:sz w:val="28"/>
          <w:szCs w:val="28"/>
          <w:rtl/>
        </w:rPr>
        <w:t xml:space="preserve">و نسخه من دیوانه عند (الملک) کما فی فهرسها. و له مقدمه فی شرح أحواله تحت رقم (63).</w:t>
      </w:r>
    </w:p>
    <w:p>
      <w:pPr>
        <w:pStyle w:val="Heading3"/>
      </w:pPr>
      <w:bookmarkStart w:id="1387" w:name="_Toc83"/>
      <w:r>
        <w:t>70- دیوان آگاه‏</w:t>
      </w:r>
      <w:bookmarkEnd w:id="1387"/>
    </w:p>
    <w:p>
      <w:pPr>
        <w:pStyle w:val="BookText"/>
      </w:pPr>
      <w:r>
        <w:rPr>
          <w:rFonts w:ascii="IRNazanin" w:hAnsi="IRNazanin" w:eastAsia="IRNazanin" w:cs="IRNazanin"/>
          <w:lang w:bidi="fa-IR"/>
          <w:color w:val="111111"/>
          <w:sz w:val="28"/>
          <w:szCs w:val="28"/>
          <w:rtl/>
        </w:rPr>
        <w:t xml:space="preserve">بالترکیة. لمحمد بلاق السمرقندی نزیل آمد و المتوفی بها فی حدود (1130).</w:t>
      </w:r>
    </w:p>
    <w:p>
      <w:pPr>
        <w:pStyle w:val="Heading3"/>
      </w:pPr>
      <w:bookmarkStart w:id="1388" w:name="_Toc84"/>
      <w:r>
        <w:t>71- دیوان آگاه‏</w:t>
      </w:r>
      <w:bookmarkEnd w:id="1388"/>
    </w:p>
    <w:p>
      <w:pPr>
        <w:pStyle w:val="BookText"/>
      </w:pPr>
      <w:r>
        <w:rPr>
          <w:rFonts w:ascii="IRNazanin" w:hAnsi="IRNazanin" w:eastAsia="IRNazanin" w:cs="IRNazanin"/>
          <w:lang w:bidi="fa-IR"/>
          <w:color w:val="111111"/>
          <w:sz w:val="28"/>
          <w:szCs w:val="28"/>
          <w:rtl/>
        </w:rPr>
        <w:t xml:space="preserve">بالفارسیة. أیضا لمحمد بلاق المذکور. ذکرهما فی (ذ کظ 483).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2" w:name="pg11704_121488"/>
    <w:bookmarkEnd w:id="12"/>
    <w:p>
      <w:pPr>
        <w:pStyle w:val="Heading3"/>
      </w:pPr>
      <w:bookmarkStart w:id="1389" w:name="_Toc85"/>
      <w:r>
        <w:t>72- دیوان آگه‏</w:t>
      </w:r>
      <w:bookmarkEnd w:id="1389"/>
    </w:p>
    <w:p>
      <w:pPr>
        <w:pStyle w:val="BookText"/>
      </w:pPr>
      <w:r>
        <w:rPr>
          <w:rFonts w:ascii="IRNazanin" w:hAnsi="IRNazanin" w:eastAsia="IRNazanin" w:cs="IRNazanin"/>
          <w:lang w:bidi="fa-IR"/>
          <w:color w:val="111111"/>
          <w:sz w:val="28"/>
          <w:szCs w:val="28"/>
          <w:rtl/>
        </w:rPr>
        <w:t xml:space="preserve">لآقا علی أشرف بن الآقا علی ناظر الشیرازی المتوفی (1244) هو أصغر من أخیه الحاج آقا علی أکبر النواب المتخلص ببسمل الآتی ذکره. و ابنه عبد الله المتخلص بکلامی یأتی. ذکره فی (مع- ج 2- ص 64) و أورد بعض غزلیاته الفارسیة.</w:t>
      </w:r>
    </w:p>
    <w:p>
      <w:pPr>
        <w:pStyle w:val="BookText"/>
      </w:pPr>
      <w:r>
        <w:rPr>
          <w:rFonts w:ascii="IRNazanin" w:hAnsi="IRNazanin" w:eastAsia="IRNazanin" w:cs="IRNazanin"/>
          <w:lang w:bidi="fa-IR"/>
          <w:color w:val="111111"/>
          <w:sz w:val="28"/>
          <w:szCs w:val="28"/>
          <w:rtl/>
        </w:rPr>
        <w:t xml:space="preserve">و کذا ترجمه فی (ض- ص 414).</w:t>
      </w:r>
    </w:p>
    <w:p>
      <w:pPr>
        <w:pStyle w:val="Heading3"/>
      </w:pPr>
      <w:bookmarkStart w:id="1390" w:name="_Toc86"/>
      <w:r>
        <w:t>73- دیوان آگهی التبریزی‏</w:t>
      </w:r>
      <w:bookmarkEnd w:id="1390"/>
    </w:p>
    <w:p>
      <w:pPr>
        <w:pStyle w:val="BookText"/>
      </w:pPr>
      <w:r>
        <w:rPr>
          <w:rFonts w:ascii="IRNazanin" w:hAnsi="IRNazanin" w:eastAsia="IRNazanin" w:cs="IRNazanin"/>
          <w:lang w:bidi="fa-IR"/>
          <w:color w:val="111111"/>
          <w:sz w:val="28"/>
          <w:szCs w:val="28"/>
          <w:rtl/>
        </w:rPr>
        <w:t xml:space="preserve">ترجمه فی (تس- ص 170) و ذکر أنه قلیل الشعر.</w:t>
      </w:r>
    </w:p>
    <w:p>
      <w:pPr>
        <w:pStyle w:val="Heading3"/>
      </w:pPr>
      <w:bookmarkStart w:id="1391" w:name="_Toc87"/>
      <w:r>
        <w:t>74- دیوان آگهی الخیاط الیزدی‏</w:t>
      </w:r>
      <w:bookmarkEnd w:id="1391"/>
    </w:p>
    <w:p>
      <w:pPr>
        <w:pStyle w:val="BookText"/>
      </w:pPr>
      <w:r>
        <w:rPr>
          <w:rFonts w:ascii="IRNazanin" w:hAnsi="IRNazanin" w:eastAsia="IRNazanin" w:cs="IRNazanin"/>
          <w:lang w:bidi="fa-IR"/>
          <w:color w:val="111111"/>
          <w:sz w:val="28"/>
          <w:szCs w:val="28"/>
          <w:rtl/>
        </w:rPr>
        <w:t xml:space="preserve">من قدماء شعراء یزد کما ذکره فی (تش- ص 259) و (تغ- ص 3) و فی (تش یز- ص 273) و نقل بعض أشعاره الفارسیة. و ترجمه معاصره سام میرزا فی (تس- ص 133).</w:t>
      </w:r>
    </w:p>
    <w:p>
      <w:pPr>
        <w:pStyle w:val="Heading3"/>
      </w:pPr>
      <w:bookmarkStart w:id="1392" w:name="_Toc88"/>
      <w:r>
        <w:t>75- دیوان آگهی الیزدی‏</w:t>
      </w:r>
      <w:bookmarkEnd w:id="1392"/>
    </w:p>
    <w:p>
      <w:pPr>
        <w:pStyle w:val="BookText"/>
      </w:pPr>
      <w:r>
        <w:rPr>
          <w:rFonts w:ascii="IRNazanin" w:hAnsi="IRNazanin" w:eastAsia="IRNazanin" w:cs="IRNazanin"/>
          <w:lang w:bidi="fa-IR"/>
          <w:color w:val="111111"/>
          <w:sz w:val="28"/>
          <w:szCs w:val="28"/>
          <w:rtl/>
        </w:rPr>
        <w:t xml:space="preserve">المعاصر. و اسمه أبو الحسن، و شغله صیاغة المینا، و توفی (1305) و جده الشهلاء صاحب تذکره شبستان المذکور فی (ج 4- ص 35). ذکره فی (تش یز- ص 274) بعد ذکر ما قبله و ذکر بعض أشعاره أیضا.</w:t>
      </w:r>
    </w:p>
    <w:p>
      <w:pPr>
        <w:pStyle w:val="Heading3"/>
      </w:pPr>
      <w:bookmarkStart w:id="1393" w:name="_Toc89"/>
      <w:r>
        <w:t>76- دیوان آگهی الخراسانی‏</w:t>
      </w:r>
      <w:bookmarkEnd w:id="1393"/>
    </w:p>
    <w:p>
      <w:pPr>
        <w:pStyle w:val="BookText"/>
      </w:pPr>
      <w:r>
        <w:rPr>
          <w:rFonts w:ascii="IRNazanin" w:hAnsi="IRNazanin" w:eastAsia="IRNazanin" w:cs="IRNazanin"/>
          <w:lang w:bidi="fa-IR"/>
          <w:color w:val="111111"/>
          <w:sz w:val="28"/>
          <w:szCs w:val="28"/>
          <w:rtl/>
        </w:rPr>
        <w:t xml:space="preserve">المنشی الشاعر المولع بالقصائد. منها شهرآشوب لأهل هرات، علی روی دریای أبرار لأمیر خسرو. ترجمه معاصره سام میرزا فی (تس- ص 117) و أورد جملة من أشعاره و إنه توفی بعد أربعة أعوام من قطع لسانه فی هرات فی (932) و هو من أحفاد المولی جلال الدین محمد القائنی. ترجمه فی (مجتس- ص 142) مفصلا.</w:t>
      </w:r>
    </w:p>
    <w:p>
      <w:pPr>
        <w:pStyle w:val="Heading3"/>
      </w:pPr>
      <w:bookmarkStart w:id="1394" w:name="_Toc90"/>
      <w:r>
        <w:t>دیوان آملی‏</w:t>
      </w:r>
      <w:bookmarkEnd w:id="1394"/>
    </w:p>
    <w:p>
      <w:pPr>
        <w:pStyle w:val="BookText"/>
      </w:pPr>
      <w:r>
        <w:rPr>
          <w:rFonts w:ascii="IRNazanin" w:hAnsi="IRNazanin" w:eastAsia="IRNazanin" w:cs="IRNazanin"/>
          <w:lang w:bidi="fa-IR"/>
          <w:color w:val="111111"/>
          <w:sz w:val="28"/>
          <w:szCs w:val="28"/>
          <w:rtl/>
        </w:rPr>
        <w:t xml:space="preserve">یأتی بعنوان دیوان طالب آملی.</w:t>
      </w:r>
    </w:p>
    <w:p>
      <w:pPr>
        <w:pStyle w:val="Heading3"/>
      </w:pPr>
      <w:bookmarkStart w:id="1395" w:name="_Toc91"/>
      <w:r>
        <w:t>77- دیوان آنی‏</w:t>
      </w:r>
      <w:bookmarkEnd w:id="1395"/>
    </w:p>
    <w:p>
      <w:pPr>
        <w:pStyle w:val="BookText"/>
      </w:pPr>
      <w:r>
        <w:rPr>
          <w:rFonts w:ascii="IRNazanin" w:hAnsi="IRNazanin" w:eastAsia="IRNazanin" w:cs="IRNazanin"/>
          <w:lang w:bidi="fa-IR"/>
          <w:color w:val="111111"/>
          <w:sz w:val="28"/>
          <w:szCs w:val="28"/>
          <w:rtl/>
        </w:rPr>
        <w:t xml:space="preserve">ترکی من نظم الأدیبة الفاضلة فاطمة بنت عبد الله الرومیة من آل حسن جان المتوفاة فی بلدة یکی شهر (1222) ذکر کذلک فی (ذ کظ- ص 484).</w:t>
      </w:r>
    </w:p>
    <w:p>
      <w:pPr>
        <w:pStyle w:val="Heading3"/>
      </w:pPr>
      <w:bookmarkStart w:id="1396" w:name="_Toc92"/>
      <w:r>
        <w:t>78- دیوان آواره‏</w:t>
      </w:r>
      <w:bookmarkEnd w:id="1396"/>
    </w:p>
    <w:p>
      <w:pPr>
        <w:pStyle w:val="BookText"/>
      </w:pPr>
      <w:r>
        <w:rPr>
          <w:rFonts w:ascii="IRNazanin" w:hAnsi="IRNazanin" w:eastAsia="IRNazanin" w:cs="IRNazanin"/>
          <w:lang w:bidi="fa-IR"/>
          <w:color w:val="111111"/>
          <w:sz w:val="28"/>
          <w:szCs w:val="28"/>
          <w:rtl/>
        </w:rPr>
        <w:t xml:space="preserve">للمیرزا عبد الحسین الآیتی الیزدی مؤلف آتشکده یزدان فی تاریخ یزد. ذکر هو فی (تش یز- ص 276) أنه فی مدة ثمان عشرة سنة کان سیاحا فی الغرب و الشرق، نظم أشعارا کثیرة یتخلص منها بآواره و بعد استقراره بیزد بدل تخلصه بآیتی.</w:t>
      </w:r>
    </w:p>
    <w:p>
      <w:pPr>
        <w:pStyle w:val="Heading3"/>
      </w:pPr>
      <w:bookmarkStart w:id="1397" w:name="_Toc93"/>
      <w:r>
        <w:t>79- دیوان آهنگ شیرازی‏</w:t>
      </w:r>
      <w:bookmarkEnd w:id="1397"/>
    </w:p>
    <w:p>
      <w:pPr>
        <w:pStyle w:val="BookText"/>
      </w:pPr>
      <w:r>
        <w:rPr>
          <w:rFonts w:ascii="IRNazanin" w:hAnsi="IRNazanin" w:eastAsia="IRNazanin" w:cs="IRNazanin"/>
          <w:lang w:bidi="fa-IR"/>
          <w:color w:val="111111"/>
          <w:sz w:val="28"/>
          <w:szCs w:val="28"/>
          <w:rtl/>
        </w:rPr>
        <w:t xml:space="preserve">و اسمه میرزا محمد بن- فرهنگ الشیرازی المتوفی (1309)- ذکره فی آثار العجم- ص 354. و راجع والده فرهنگ ص 829</w:t>
      </w:r>
    </w:p>
    <w:p>
      <w:pPr>
        <w:pStyle w:val="Heading3"/>
      </w:pPr>
      <w:bookmarkStart w:id="1398" w:name="_Toc94"/>
      <w:r>
        <w:t>80- دیوان آهی تبریزی‏</w:t>
      </w:r>
      <w:bookmarkEnd w:id="1398"/>
    </w:p>
    <w:p>
      <w:pPr>
        <w:pStyle w:val="BookText"/>
      </w:pPr>
      <w:r>
        <w:rPr>
          <w:rFonts w:ascii="IRNazanin" w:hAnsi="IRNazanin" w:eastAsia="IRNazanin" w:cs="IRNazanin"/>
          <w:lang w:bidi="fa-IR"/>
          <w:color w:val="111111"/>
          <w:sz w:val="28"/>
          <w:szCs w:val="28"/>
          <w:rtl/>
        </w:rPr>
        <w:t xml:space="preserve">کلها مراثی بالترکیة. ذکره فی دجا- ص 13.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3" w:name="pg11704_121489"/>
    <w:bookmarkEnd w:id="13"/>
    <w:p>
      <w:pPr>
        <w:pStyle w:val="Heading3"/>
      </w:pPr>
      <w:bookmarkStart w:id="1399" w:name="_Toc95"/>
      <w:r>
        <w:t>81- دیوان آهی ترشیزی جغتائی‏</w:t>
      </w:r>
      <w:bookmarkEnd w:id="1399"/>
    </w:p>
    <w:p>
      <w:pPr>
        <w:pStyle w:val="BookText"/>
      </w:pPr>
      <w:r>
        <w:rPr>
          <w:rFonts w:ascii="IRNazanin" w:hAnsi="IRNazanin" w:eastAsia="IRNazanin" w:cs="IRNazanin"/>
          <w:lang w:bidi="fa-IR"/>
          <w:color w:val="111111"/>
          <w:sz w:val="28"/>
          <w:szCs w:val="28"/>
          <w:rtl/>
        </w:rPr>
        <w:t xml:space="preserve">ذکره سام میرزا فی (تس- ص 182) قال کان من الأتراک و من أمراء سلطان حسین میرزا و ذکره له عدة أبیات فارسیة. و ترجمه فی (تش- ص 10) و کذا فی ریحانة الأدب- ج 1- ص 31 و قال کان من أمراء آلوس، أتراک جغتا، و من شعراء غریب میرزا ابن السلطان حسین بایقرا و مات فی (927) ثم زاد فی ریحانة أنه کان یتخلص أولا به (نرگسی) ثم بدله ب (آهی) و قال فی (تغ- ص 3) إن اسمه سلطان قلی بیک و إنه مات بتبریز.</w:t>
      </w:r>
    </w:p>
    <w:p>
      <w:pPr>
        <w:pStyle w:val="Heading3"/>
      </w:pPr>
      <w:bookmarkStart w:id="1400" w:name="_Toc96"/>
      <w:r>
        <w:t>82- دیوان آهی هروی‏</w:t>
      </w:r>
      <w:bookmarkEnd w:id="1400"/>
    </w:p>
    <w:p>
      <w:pPr>
        <w:pStyle w:val="BookText"/>
      </w:pPr>
      <w:r>
        <w:rPr>
          <w:rFonts w:ascii="IRNazanin" w:hAnsi="IRNazanin" w:eastAsia="IRNazanin" w:cs="IRNazanin"/>
          <w:lang w:bidi="fa-IR"/>
          <w:color w:val="111111"/>
          <w:sz w:val="28"/>
          <w:szCs w:val="28"/>
          <w:rtl/>
        </w:rPr>
        <w:t xml:space="preserve">الذی کان یتخلص سابقا ب (نرگس). قال میر علی شیر فی مجالس النفائس إنه کان یسرق الشعر. قال القزوینی فی ترجمه مجالس النفائس (ص 238) إنه بدل تخلصه بآهی و عنه أخذ صاحب قاموس الأعلام الترکیة، لکن فی ترجمه الهروی للمجالس (ص 65) جاء آیتی بدل آهی. ذکره فی ریحانة الأدب نقلا عن السفینة و قاموس الأعلام الترکیة و قال مات (938) فی السنة الثمانین من عمره فی قندهار. و له دیوان مرتب.</w:t>
      </w:r>
    </w:p>
    <w:p>
      <w:pPr>
        <w:pStyle w:val="Heading3"/>
      </w:pPr>
      <w:bookmarkStart w:id="1401" w:name="_Toc97"/>
      <w:r>
        <w:t>83- دیوان آهی المشهدی‏</w:t>
      </w:r>
      <w:bookmarkEnd w:id="1401"/>
    </w:p>
    <w:p>
      <w:pPr>
        <w:pStyle w:val="BookText"/>
      </w:pPr>
      <w:r>
        <w:rPr>
          <w:rFonts w:ascii="IRNazanin" w:hAnsi="IRNazanin" w:eastAsia="IRNazanin" w:cs="IRNazanin"/>
          <w:lang w:bidi="fa-IR"/>
          <w:color w:val="111111"/>
          <w:sz w:val="28"/>
          <w:szCs w:val="28"/>
          <w:rtl/>
        </w:rPr>
        <w:t xml:space="preserve">ذکره أیضا فی مجالس النفائس (ص 191) و قال إنه نظم خمسة مقابل خمسة للنظامی لکنه لم یشتهر کما ذکرناه فی (ج 7- ص 357).</w:t>
      </w:r>
    </w:p>
    <w:p>
      <w:pPr>
        <w:pStyle w:val="Heading3"/>
      </w:pPr>
      <w:bookmarkStart w:id="1402" w:name="_Toc98"/>
      <w:r>
        <w:t>84- دیوان آیت‏</w:t>
      </w:r>
      <w:bookmarkEnd w:id="1402"/>
    </w:p>
    <w:p>
      <w:pPr>
        <w:pStyle w:val="BookText"/>
      </w:pPr>
      <w:r>
        <w:rPr>
          <w:rFonts w:ascii="IRNazanin" w:hAnsi="IRNazanin" w:eastAsia="IRNazanin" w:cs="IRNazanin"/>
          <w:lang w:bidi="fa-IR"/>
          <w:color w:val="111111"/>
          <w:sz w:val="28"/>
          <w:szCs w:val="28"/>
          <w:rtl/>
        </w:rPr>
        <w:t xml:space="preserve">لمحمد حسن بن محمد حسین القزوینی المتخلص بآیت. و قد أنشأ هو فی (1286) دیباجة دیوان دشتی المطبوع (1319).</w:t>
      </w:r>
    </w:p>
    <w:p>
      <w:pPr>
        <w:pStyle w:val="Heading3"/>
      </w:pPr>
      <w:bookmarkStart w:id="1403" w:name="_Toc99"/>
      <w:r>
        <w:t>85- دیوان آیتی البیرجندی‏</w:t>
      </w:r>
      <w:bookmarkEnd w:id="1403"/>
    </w:p>
    <w:p>
      <w:pPr>
        <w:pStyle w:val="BookText"/>
      </w:pPr>
      <w:r>
        <w:rPr>
          <w:rFonts w:ascii="IRNazanin" w:hAnsi="IRNazanin" w:eastAsia="IRNazanin" w:cs="IRNazanin"/>
          <w:lang w:bidi="fa-IR"/>
          <w:color w:val="111111"/>
          <w:sz w:val="28"/>
          <w:szCs w:val="28"/>
          <w:rtl/>
        </w:rPr>
        <w:t xml:space="preserve">محمد تقی بن الشیخ محمد باقر البیرجندی المتوفی شابا فی حیاة أبیه فی (1347) عن خمس و عشرین سنة یقرب من ألف بیت قال أخوه الشیخ محمد حسین فی تاریخ قهستان إن شعره یشبه شعر إیرج میرزا جلال الممالک.</w:t>
      </w:r>
    </w:p>
    <w:p>
      <w:pPr>
        <w:pStyle w:val="Heading3"/>
      </w:pPr>
      <w:bookmarkStart w:id="1404" w:name="_Toc100"/>
      <w:r>
        <w:t>86- دیوان آیتی الأصفهانی‏</w:t>
      </w:r>
      <w:bookmarkEnd w:id="1404"/>
    </w:p>
    <w:p>
      <w:pPr>
        <w:pStyle w:val="BookText"/>
      </w:pPr>
      <w:r>
        <w:rPr>
          <w:rFonts w:ascii="IRNazanin" w:hAnsi="IRNazanin" w:eastAsia="IRNazanin" w:cs="IRNazanin"/>
          <w:lang w:bidi="fa-IR"/>
          <w:color w:val="111111"/>
          <w:sz w:val="28"/>
          <w:szCs w:val="28"/>
          <w:rtl/>
        </w:rPr>
        <w:t xml:space="preserve">معلم الأطفال. ترجمه سام میرزا (ص 143) و (تش ص 168).</w:t>
      </w:r>
    </w:p>
    <w:p>
      <w:pPr>
        <w:pStyle w:val="Heading3"/>
      </w:pPr>
      <w:bookmarkStart w:id="1405" w:name="_Toc101"/>
      <w:r>
        <w:t>87- دیوان آیتی‏</w:t>
      </w:r>
      <w:bookmarkEnd w:id="1405"/>
    </w:p>
    <w:p>
      <w:pPr>
        <w:pStyle w:val="BookText"/>
      </w:pPr>
      <w:r>
        <w:rPr>
          <w:rFonts w:ascii="IRNazanin" w:hAnsi="IRNazanin" w:eastAsia="IRNazanin" w:cs="IRNazanin"/>
          <w:lang w:bidi="fa-IR"/>
          <w:color w:val="111111"/>
          <w:sz w:val="28"/>
          <w:szCs w:val="28"/>
          <w:rtl/>
        </w:rPr>
        <w:t xml:space="preserve">المیرزا عبد الحسین بن الحاج الشیخ محمد الیزدی. ولد بتفت فی (1288) و له خردنامه و غیره قال فی تاریخ یزد المسمی آتشکده یزدان الذی ألفه (1317 ش) إن تخلصه فی أشعاره الأول آواره ثم بدله بآیتی.</w:t>
      </w:r>
    </w:p>
    <w:p>
      <w:pPr>
        <w:pStyle w:val="Heading3"/>
      </w:pPr>
      <w:bookmarkStart w:id="1406" w:name="_Toc102"/>
      <w:r>
        <w:t>88- دیوان آیتی یزدی‏</w:t>
      </w:r>
      <w:bookmarkEnd w:id="1406"/>
    </w:p>
    <w:p>
      <w:pPr>
        <w:pStyle w:val="BookText"/>
      </w:pPr>
      <w:r>
        <w:rPr>
          <w:rFonts w:ascii="IRNazanin" w:hAnsi="IRNazanin" w:eastAsia="IRNazanin" w:cs="IRNazanin"/>
          <w:lang w:bidi="fa-IR"/>
          <w:color w:val="111111"/>
          <w:sz w:val="28"/>
          <w:szCs w:val="28"/>
          <w:rtl/>
        </w:rPr>
        <w:t xml:space="preserve">ترجمه فی (گلشن- ص 7) و أورد بعض شعره فی‏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4" w:name="pg11704_121490"/>
    <w:bookmarkEnd w:id="14"/>
    <w:p>
      <w:pPr>
        <w:pStyle w:val="BookText"/>
      </w:pPr>
      <w:r>
        <w:rPr>
          <w:rFonts w:ascii="IRNazanin" w:hAnsi="IRNazanin" w:eastAsia="IRNazanin" w:cs="IRNazanin"/>
          <w:lang w:bidi="fa-IR"/>
          <w:color w:val="111111"/>
          <w:sz w:val="28"/>
          <w:szCs w:val="28"/>
          <w:rtl/>
        </w:rPr>
        <w:t xml:space="preserve">وصف الفرس.</w:t>
      </w:r>
    </w:p>
    <w:p>
      <w:pPr>
        <w:pStyle w:val="Heading3"/>
      </w:pPr>
      <w:bookmarkStart w:id="1407" w:name="_Toc103"/>
      <w:r>
        <w:t>89- دیوان إبدال‏</w:t>
      </w:r>
      <w:bookmarkEnd w:id="1407"/>
    </w:p>
    <w:p>
      <w:pPr>
        <w:pStyle w:val="BookText"/>
      </w:pPr>
      <w:r>
        <w:rPr>
          <w:rFonts w:ascii="IRNazanin" w:hAnsi="IRNazanin" w:eastAsia="IRNazanin" w:cs="IRNazanin"/>
          <w:lang w:bidi="fa-IR"/>
          <w:color w:val="111111"/>
          <w:sz w:val="28"/>
          <w:szCs w:val="28"/>
          <w:rtl/>
        </w:rPr>
        <w:t xml:space="preserve">نسخه شایعة عند الأکراد الکاکائیة و العلی‏اللهیة. و أظنه هو الآتی بعد هذا.</w:t>
      </w:r>
    </w:p>
    <w:p>
      <w:pPr>
        <w:pStyle w:val="Heading3"/>
      </w:pPr>
      <w:bookmarkStart w:id="1408" w:name="_Toc104"/>
      <w:r>
        <w:t>90- دیوان إبدال أصفهانی‏</w:t>
      </w:r>
      <w:bookmarkEnd w:id="1408"/>
    </w:p>
    <w:p>
      <w:pPr>
        <w:pStyle w:val="BookText"/>
      </w:pPr>
      <w:r>
        <w:rPr>
          <w:rFonts w:ascii="IRNazanin" w:hAnsi="IRNazanin" w:eastAsia="IRNazanin" w:cs="IRNazanin"/>
          <w:lang w:bidi="fa-IR"/>
          <w:color w:val="111111"/>
          <w:sz w:val="28"/>
          <w:szCs w:val="28"/>
          <w:rtl/>
        </w:rPr>
        <w:t xml:space="preserve">کان عطارا و ابتلی بهجر معشوقه فتخبل ثم برأ.</w:t>
      </w:r>
    </w:p>
    <w:p>
      <w:pPr>
        <w:pStyle w:val="BookText"/>
      </w:pPr>
      <w:r>
        <w:rPr>
          <w:rFonts w:ascii="IRNazanin" w:hAnsi="IRNazanin" w:eastAsia="IRNazanin" w:cs="IRNazanin"/>
          <w:lang w:bidi="fa-IR"/>
          <w:color w:val="111111"/>
          <w:sz w:val="28"/>
          <w:szCs w:val="28"/>
          <w:rtl/>
        </w:rPr>
        <w:t xml:space="preserve">و غزلیاته لطیفة أورد بعضها فی (تش- ص 169) و کذا ذکره معاصره سام میرزا فی (تس- ص 119) فلا یصح ما ذکر فی ریحانة الأدب من أنه من شعراء القرن الثالث عشر. و قال فی (تغ- ص 3) إنه قتل فی حرب قندهار.</w:t>
      </w:r>
    </w:p>
    <w:p>
      <w:pPr>
        <w:pStyle w:val="Heading3"/>
      </w:pPr>
      <w:bookmarkStart w:id="1409" w:name="_Toc105"/>
      <w:r>
        <w:t>91- دیوان إبدال البلخی‏</w:t>
      </w:r>
      <w:bookmarkEnd w:id="1409"/>
    </w:p>
    <w:p>
      <w:pPr>
        <w:pStyle w:val="BookText"/>
      </w:pPr>
      <w:r>
        <w:rPr>
          <w:rFonts w:ascii="IRNazanin" w:hAnsi="IRNazanin" w:eastAsia="IRNazanin" w:cs="IRNazanin"/>
          <w:lang w:bidi="fa-IR"/>
          <w:color w:val="111111"/>
          <w:sz w:val="28"/>
          <w:szCs w:val="28"/>
          <w:rtl/>
        </w:rPr>
        <w:t xml:space="preserve">ثم الأصفهانی. کان فی خدمة السلطان یعقوب ترکمان بآذربایجان. و بعده نزل بأصفهان و تقرب إلی الشاه إسماعیل الصفوی. ذکره فی (تش ص 299) و (گلشن- ص 8).</w:t>
      </w:r>
    </w:p>
    <w:p>
      <w:pPr>
        <w:pStyle w:val="Heading3"/>
      </w:pPr>
      <w:bookmarkStart w:id="1410" w:name="_Toc106"/>
      <w:r>
        <w:t>دیوان إبراهیم أدهم‏</w:t>
      </w:r>
      <w:bookmarkEnd w:id="1410"/>
    </w:p>
    <w:p>
      <w:pPr>
        <w:pStyle w:val="BookText"/>
      </w:pPr>
      <w:r>
        <w:rPr>
          <w:rFonts w:ascii="IRNazanin" w:hAnsi="IRNazanin" w:eastAsia="IRNazanin" w:cs="IRNazanin"/>
          <w:lang w:bidi="fa-IR"/>
          <w:color w:val="111111"/>
          <w:sz w:val="28"/>
          <w:szCs w:val="28"/>
          <w:rtl/>
        </w:rPr>
        <w:t xml:space="preserve">یأتی بعنوان (دیوان أدهم).</w:t>
      </w:r>
    </w:p>
    <w:p>
      <w:pPr>
        <w:pStyle w:val="Heading3"/>
      </w:pPr>
      <w:bookmarkStart w:id="1411" w:name="_Toc107"/>
      <w:r>
        <w:t>92- دیوان السید إبراهیم الأردوبادی‏</w:t>
      </w:r>
      <w:bookmarkEnd w:id="1411"/>
    </w:p>
    <w:p>
      <w:pPr>
        <w:pStyle w:val="BookText"/>
      </w:pPr>
      <w:r>
        <w:rPr>
          <w:rFonts w:ascii="IRNazanin" w:hAnsi="IRNazanin" w:eastAsia="IRNazanin" w:cs="IRNazanin"/>
          <w:lang w:bidi="fa-IR"/>
          <w:color w:val="111111"/>
          <w:sz w:val="28"/>
          <w:szCs w:val="28"/>
          <w:rtl/>
        </w:rPr>
        <w:t xml:space="preserve">. ترجمه فی ریاض العارفین ص 65 و فی گلشن و (دجا ص 14) و أوردوا بعض شعره و سفره إلی بلاد الهند فی حدود (1040) نقلا عن سفینه خوش‏گو. و ذکر النصرآبادی أنه توفی بأصفهان بعد رجوعه عن الهند فی لباس الفقر.</w:t>
      </w:r>
    </w:p>
    <w:p>
      <w:pPr>
        <w:pStyle w:val="Heading3"/>
      </w:pPr>
      <w:bookmarkStart w:id="1412" w:name="_Toc108"/>
      <w:r>
        <w:t>93- دیوان المولی إبراهیم الأسترآبادی‏</w:t>
      </w:r>
      <w:bookmarkEnd w:id="1412"/>
    </w:p>
    <w:p>
      <w:pPr>
        <w:pStyle w:val="BookText"/>
      </w:pPr>
      <w:r>
        <w:rPr>
          <w:rFonts w:ascii="IRNazanin" w:hAnsi="IRNazanin" w:eastAsia="IRNazanin" w:cs="IRNazanin"/>
          <w:lang w:bidi="fa-IR"/>
          <w:color w:val="111111"/>
          <w:sz w:val="28"/>
          <w:szCs w:val="28"/>
          <w:rtl/>
        </w:rPr>
        <w:t xml:space="preserve">منشی الروضة الرضویة. ترجمه معاصره سام میرزا فی (تس- ص 82) و ذکر مطلع غزله.</w:t>
      </w:r>
    </w:p>
    <w:p>
      <w:pPr>
        <w:pStyle w:val="Heading3"/>
      </w:pPr>
      <w:bookmarkStart w:id="1413" w:name="_Toc109"/>
      <w:r>
        <w:t>94- دیوان إبراهیم‏</w:t>
      </w:r>
      <w:bookmarkEnd w:id="1413"/>
    </w:p>
    <w:p>
      <w:pPr>
        <w:pStyle w:val="BookText"/>
      </w:pPr>
      <w:r>
        <w:rPr>
          <w:rFonts w:ascii="IRNazanin" w:hAnsi="IRNazanin" w:eastAsia="IRNazanin" w:cs="IRNazanin"/>
          <w:lang w:bidi="fa-IR"/>
          <w:color w:val="111111"/>
          <w:sz w:val="28"/>
          <w:szCs w:val="28"/>
          <w:rtl/>
        </w:rPr>
        <w:t xml:space="preserve">المعروف بخلیفة إبراهیم البدخشانی العارف المولود بدهلی و المتوفی بلکهنو (1160) ترجمه فی ریاض العارفین (ص 11) و ذکر بعض مثنویاته.</w:t>
      </w:r>
    </w:p>
    <w:p>
      <w:pPr>
        <w:pStyle w:val="Heading3"/>
      </w:pPr>
      <w:bookmarkStart w:id="1414" w:name="_Toc110"/>
      <w:r>
        <w:t>95- دیوان المولی إبراهیم التبریزی‏</w:t>
      </w:r>
      <w:bookmarkEnd w:id="1414"/>
    </w:p>
    <w:p>
      <w:pPr>
        <w:pStyle w:val="BookText"/>
      </w:pPr>
      <w:r>
        <w:rPr>
          <w:rFonts w:ascii="IRNazanin" w:hAnsi="IRNazanin" w:eastAsia="IRNazanin" w:cs="IRNazanin"/>
          <w:lang w:bidi="fa-IR"/>
          <w:color w:val="111111"/>
          <w:sz w:val="28"/>
          <w:szCs w:val="28"/>
          <w:rtl/>
        </w:rPr>
        <w:t xml:space="preserve">و قیل القزوینی الخطاط. ترجمه سام میرزا فی (تس- ص 82) و أورد مطلعا له و ذکر أن ابنه إسماعیل شاعر خطاط تخلصه نجاتی.</w:t>
      </w:r>
    </w:p>
    <w:p>
      <w:pPr>
        <w:pStyle w:val="Heading3"/>
      </w:pPr>
      <w:bookmarkStart w:id="1415" w:name="_Toc111"/>
      <w:r>
        <w:t>96- دیوان الشیخ إبراهیم بن إبراهیم بن الشیخ فخر الدین العاملی‏</w:t>
      </w:r>
      <w:bookmarkEnd w:id="1415"/>
    </w:p>
    <w:p>
      <w:pPr>
        <w:pStyle w:val="BookText"/>
      </w:pPr>
      <w:r>
        <w:rPr>
          <w:rFonts w:ascii="IRNazanin" w:hAnsi="IRNazanin" w:eastAsia="IRNazanin" w:cs="IRNazanin"/>
          <w:lang w:bidi="fa-IR"/>
          <w:color w:val="111111"/>
          <w:sz w:val="28"/>
          <w:szCs w:val="28"/>
          <w:rtl/>
        </w:rPr>
        <w:t xml:space="preserve">تلمیذ الشیخ البهائی و الشیخ محمد السبط و السید حسین بن صاحب المدارک و له فی مدحهم و مراثیهم قصائد. قال الشیخ الحر فی أمل الآمل دیوانه صغیر کان عندی” الشیخ الحر” بخطه و توفی بطوس فی زماننا و لم أرده.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5" w:name="pg11704_121491"/>
    <w:bookmarkEnd w:id="15"/>
    <w:p>
      <w:pPr>
        <w:pStyle w:val="Heading3"/>
      </w:pPr>
      <w:bookmarkStart w:id="1416" w:name="_Toc112"/>
      <w:r>
        <w:t>97- دیوان إبراهیم بیک الشیرازی‏</w:t>
      </w:r>
      <w:bookmarkEnd w:id="1416"/>
    </w:p>
    <w:p>
      <w:pPr>
        <w:pStyle w:val="BookText"/>
      </w:pPr>
      <w:r>
        <w:rPr>
          <w:rFonts w:ascii="IRNazanin" w:hAnsi="IRNazanin" w:eastAsia="IRNazanin" w:cs="IRNazanin"/>
          <w:lang w:bidi="fa-IR"/>
          <w:color w:val="111111"/>
          <w:sz w:val="28"/>
          <w:szCs w:val="28"/>
          <w:rtl/>
        </w:rPr>
        <w:t xml:space="preserve">ترجمه معاصره الصادقی فی مجمع الخواص (ص 264) و أورد بعض رباعیاته.</w:t>
      </w:r>
    </w:p>
    <w:p>
      <w:pPr>
        <w:pStyle w:val="Heading3"/>
      </w:pPr>
      <w:bookmarkStart w:id="1417" w:name="_Toc113"/>
      <w:r>
        <w:t>دیوان إبراهیم‏</w:t>
      </w:r>
      <w:bookmarkEnd w:id="1417"/>
    </w:p>
    <w:p>
      <w:pPr>
        <w:pStyle w:val="BookText"/>
      </w:pPr>
      <w:r>
        <w:rPr>
          <w:rFonts w:ascii="IRNazanin" w:hAnsi="IRNazanin" w:eastAsia="IRNazanin" w:cs="IRNazanin"/>
          <w:lang w:bidi="fa-IR"/>
          <w:color w:val="111111"/>
          <w:sz w:val="28"/>
          <w:szCs w:val="28"/>
          <w:rtl/>
        </w:rPr>
        <w:t xml:space="preserve">ابن بهرام میرزا الصفوی. یأتی بعنوان دیوان جاهی.</w:t>
      </w:r>
    </w:p>
    <w:p>
      <w:pPr>
        <w:pStyle w:val="Heading3"/>
      </w:pPr>
      <w:bookmarkStart w:id="1418" w:name="_Toc114"/>
      <w:r>
        <w:t>98- دیوان‏</w:t>
      </w:r>
      <w:bookmarkEnd w:id="1418"/>
    </w:p>
    <w:p>
      <w:pPr>
        <w:pStyle w:val="BookText"/>
      </w:pPr>
      <w:r>
        <w:rPr>
          <w:rFonts w:ascii="IRNazanin" w:hAnsi="IRNazanin" w:eastAsia="IRNazanin" w:cs="IRNazanin"/>
          <w:lang w:bidi="fa-IR"/>
          <w:color w:val="111111"/>
          <w:sz w:val="28"/>
          <w:szCs w:val="28"/>
          <w:rtl/>
        </w:rPr>
        <w:t xml:space="preserve">المیرزا إبراهیم بن المیرزا شاه حسین، معاصر صادقی کتاب دار. ترجمه فی مجمع الخواص (ص 70) و أورد بعض رباعیاته.</w:t>
      </w:r>
    </w:p>
    <w:p>
      <w:pPr>
        <w:pStyle w:val="Heading3"/>
      </w:pPr>
      <w:bookmarkStart w:id="1419" w:name="_Toc115"/>
      <w:r>
        <w:t>دیوان السید إبراهیم بن الحسین بن السید رضا بن بحر العلوم‏</w:t>
      </w:r>
      <w:bookmarkEnd w:id="1419"/>
    </w:p>
    <w:p>
      <w:pPr>
        <w:pStyle w:val="BookText"/>
      </w:pPr>
      <w:r>
        <w:rPr>
          <w:rFonts w:ascii="IRNazanin" w:hAnsi="IRNazanin" w:eastAsia="IRNazanin" w:cs="IRNazanin"/>
          <w:lang w:bidi="fa-IR"/>
          <w:color w:val="111111"/>
          <w:sz w:val="28"/>
          <w:szCs w:val="28"/>
          <w:rtl/>
        </w:rPr>
        <w:t xml:space="preserve">. یأتی بعنوان دیوان الطباطبائی.</w:t>
      </w:r>
    </w:p>
    <w:p>
      <w:pPr>
        <w:pStyle w:val="Heading3"/>
      </w:pPr>
      <w:bookmarkStart w:id="1420" w:name="_Toc116"/>
      <w:r>
        <w:t>99- دیوان المیر إبراهیم حسین‏</w:t>
      </w:r>
      <w:bookmarkEnd w:id="1420"/>
    </w:p>
    <w:p>
      <w:pPr>
        <w:pStyle w:val="BookText"/>
      </w:pPr>
      <w:r>
        <w:rPr>
          <w:rFonts w:ascii="IRNazanin" w:hAnsi="IRNazanin" w:eastAsia="IRNazanin" w:cs="IRNazanin"/>
          <w:lang w:bidi="fa-IR"/>
          <w:color w:val="111111"/>
          <w:sz w:val="28"/>
          <w:szCs w:val="28"/>
          <w:rtl/>
        </w:rPr>
        <w:t xml:space="preserve">من السادة آل المختار بسبزوار. ترجمه سام میرزا فی (تس- ص 42) و أورد مطلع غزله.</w:t>
      </w:r>
    </w:p>
    <w:p>
      <w:pPr>
        <w:pStyle w:val="Heading3"/>
      </w:pPr>
      <w:bookmarkStart w:id="1421" w:name="_Toc117"/>
      <w:r>
        <w:t>100- دیوان الشیخ إبراهیم بن حسن بن محمد علی آل عز الدین الحنوی العاملی‏</w:t>
      </w:r>
      <w:bookmarkEnd w:id="1421"/>
    </w:p>
    <w:p>
      <w:pPr>
        <w:pStyle w:val="BookText"/>
      </w:pPr>
      <w:r>
        <w:rPr>
          <w:rFonts w:ascii="IRNazanin" w:hAnsi="IRNazanin" w:eastAsia="IRNazanin" w:cs="IRNazanin"/>
          <w:lang w:bidi="fa-IR"/>
          <w:color w:val="111111"/>
          <w:sz w:val="28"/>
          <w:szCs w:val="28"/>
          <w:rtl/>
        </w:rPr>
        <w:t xml:space="preserve">المتوفی (1332) ذکر فی أعیان الشیعة (ج 4 ص 150) أن دیوانه کبیر</w:t>
      </w:r>
    </w:p>
    <w:p>
      <w:pPr>
        <w:pStyle w:val="Heading3"/>
      </w:pPr>
      <w:bookmarkStart w:id="1422" w:name="_Toc118"/>
      <w:r>
        <w:t>101- دیوان الشیخ إبراهیم بن محمد علی بن تقی الدین آل شمس الدین الفوعانی العاملی‏</w:t>
      </w:r>
      <w:bookmarkEnd w:id="1422"/>
    </w:p>
    <w:p>
      <w:pPr>
        <w:pStyle w:val="BookText"/>
      </w:pPr>
      <w:r>
        <w:rPr>
          <w:rFonts w:ascii="IRNazanin" w:hAnsi="IRNazanin" w:eastAsia="IRNazanin" w:cs="IRNazanin"/>
          <w:lang w:bidi="fa-IR"/>
          <w:color w:val="111111"/>
          <w:sz w:val="28"/>
          <w:szCs w:val="28"/>
          <w:rtl/>
        </w:rPr>
        <w:t xml:space="preserve">المتوفی (1357) توجد عند أحفاده” المؤلف” فی بلدته الفوعی من قری حلب.</w:t>
      </w:r>
    </w:p>
    <w:p>
      <w:pPr>
        <w:pStyle w:val="Heading3"/>
      </w:pPr>
      <w:bookmarkStart w:id="1423" w:name="_Toc119"/>
      <w:r>
        <w:t>102- دیوان السید إبراهیم بن حیدر بن إبراهیم بن محمد العطار الحسنی الحسینی البغدادی‏</w:t>
      </w:r>
      <w:bookmarkEnd w:id="1423"/>
    </w:p>
    <w:p>
      <w:pPr>
        <w:pStyle w:val="BookText"/>
      </w:pPr>
      <w:r>
        <w:rPr>
          <w:rFonts w:ascii="IRNazanin" w:hAnsi="IRNazanin" w:eastAsia="IRNazanin" w:cs="IRNazanin"/>
          <w:lang w:bidi="fa-IR"/>
          <w:color w:val="111111"/>
          <w:sz w:val="28"/>
          <w:szCs w:val="28"/>
          <w:rtl/>
        </w:rPr>
        <w:t xml:space="preserve">. کانت نسخه خط الناظم فی (مکتبة الخوانساری).</w:t>
      </w:r>
    </w:p>
    <w:p>
      <w:pPr>
        <w:pStyle w:val="Heading3"/>
      </w:pPr>
      <w:bookmarkStart w:id="1424" w:name="_Toc120"/>
      <w:r>
        <w:t>103- دیوان الشیخ إبراهیم الخطی‏</w:t>
      </w:r>
      <w:bookmarkEnd w:id="1424"/>
    </w:p>
    <w:p>
      <w:pPr>
        <w:pStyle w:val="BookText"/>
      </w:pPr>
      <w:r>
        <w:rPr>
          <w:rFonts w:ascii="IRNazanin" w:hAnsi="IRNazanin" w:eastAsia="IRNazanin" w:cs="IRNazanin"/>
          <w:lang w:bidi="fa-IR"/>
          <w:color w:val="111111"/>
          <w:sz w:val="28"/>
          <w:szCs w:val="28"/>
          <w:rtl/>
        </w:rPr>
        <w:t xml:space="preserve">توجد نسخته فی مکتبة (السماوی).</w:t>
      </w:r>
    </w:p>
    <w:p>
      <w:pPr>
        <w:pStyle w:val="Heading3"/>
      </w:pPr>
      <w:bookmarkStart w:id="1425" w:name="_Toc121"/>
      <w:r>
        <w:t>104- دیوان المیرزا إبراهیم بن محمد خلیل‏</w:t>
      </w:r>
      <w:bookmarkEnd w:id="1425"/>
    </w:p>
    <w:p>
      <w:pPr>
        <w:pStyle w:val="BookText"/>
      </w:pPr>
      <w:r>
        <w:rPr>
          <w:rFonts w:ascii="IRNazanin" w:hAnsi="IRNazanin" w:eastAsia="IRNazanin" w:cs="IRNazanin"/>
          <w:lang w:bidi="fa-IR"/>
          <w:color w:val="111111"/>
          <w:sz w:val="28"/>
          <w:szCs w:val="28"/>
          <w:rtl/>
        </w:rPr>
        <w:t xml:space="preserve">. ذکر فی لطائف‏نامه (ص 111) أنه کان حاکم نیمروز (سیستان) فی سنین و أورد شعره الترکی.</w:t>
      </w:r>
    </w:p>
    <w:p>
      <w:pPr>
        <w:pStyle w:val="Heading3"/>
      </w:pPr>
      <w:bookmarkStart w:id="1426" w:name="_Toc122"/>
      <w:r>
        <w:t>105- دیوان الشیخ إبراهیم بن صادق بن إبراهیم بن یحیی العاملی الخیامی‏</w:t>
      </w:r>
      <w:bookmarkEnd w:id="1426"/>
    </w:p>
    <w:p>
      <w:pPr>
        <w:pStyle w:val="BookText"/>
      </w:pPr>
      <w:r>
        <w:rPr>
          <w:rFonts w:ascii="IRNazanin" w:hAnsi="IRNazanin" w:eastAsia="IRNazanin" w:cs="IRNazanin"/>
          <w:lang w:bidi="fa-IR"/>
          <w:color w:val="111111"/>
          <w:sz w:val="28"/>
          <w:szCs w:val="28"/>
          <w:rtl/>
        </w:rPr>
        <w:t xml:space="preserve">المتوفی بها (1283) دونه الشیخ محمد بن الشیخ طاهر السماوی النجفی المعاصر المتوفی (1370) و رتبه علی قسمین أولهما فی تخامیسه و الثانی فی قصائده. و قال فی أعیان الشیعة إنه رآه فی مجموعة. و حدثنی بتاریخة ولده الشیخ عبد الحسین ناظم أرجوزة الفقه المذکور فی (ج 1- ص 489).</w:t>
      </w:r>
    </w:p>
    <w:p>
      <w:pPr>
        <w:pStyle w:val="Heading3"/>
      </w:pPr>
      <w:bookmarkStart w:id="1427" w:name="_Toc123"/>
      <w:r>
        <w:t>106- دیوان المیر سلطان إبراهیم الصدر</w:t>
      </w:r>
      <w:bookmarkEnd w:id="1427"/>
    </w:p>
    <w:p>
      <w:pPr>
        <w:pStyle w:val="BookText"/>
      </w:pPr>
      <w:r>
        <w:rPr>
          <w:rFonts w:ascii="IRNazanin" w:hAnsi="IRNazanin" w:eastAsia="IRNazanin" w:cs="IRNazanin"/>
          <w:lang w:bidi="fa-IR"/>
          <w:color w:val="111111"/>
          <w:sz w:val="28"/>
          <w:szCs w:val="28"/>
          <w:rtl/>
        </w:rPr>
        <w:t xml:space="preserve">. أطرأه فی (لط- ص 138) و أورد مطلع غزله و بعض تتبعاته. و أظنه ناظم فتوحات شاهی للشاه إسماعیل الصفوی و اسمه‏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6" w:name="pg11704_121492"/>
    <w:bookmarkEnd w:id="16"/>
    <w:p>
      <w:pPr>
        <w:pStyle w:val="BookText"/>
      </w:pPr>
      <w:r>
        <w:rPr>
          <w:rFonts w:ascii="IRNazanin" w:hAnsi="IRNazanin" w:eastAsia="IRNazanin" w:cs="IRNazanin"/>
          <w:lang w:bidi="fa-IR"/>
          <w:color w:val="111111"/>
          <w:sz w:val="28"/>
          <w:szCs w:val="28"/>
          <w:rtl/>
        </w:rPr>
        <w:t xml:space="preserve">المیر صدر الدین سلطان إبراهیم الأمینی. و توجد الفتوحات عند (سلطان القرائی) بطهران.</w:t>
      </w:r>
    </w:p>
    <w:p>
      <w:pPr>
        <w:pStyle w:val="Heading3"/>
      </w:pPr>
      <w:bookmarkStart w:id="1428" w:name="_Toc124"/>
      <w:r>
        <w:t>107- دیوان الشیخ محمد إبراهیم الأسراری بن المولی عبد الوهاب الأسراری السبزواری‏</w:t>
      </w:r>
      <w:bookmarkEnd w:id="1428"/>
    </w:p>
    <w:p>
      <w:pPr>
        <w:pStyle w:val="BookText"/>
      </w:pPr>
      <w:r>
        <w:rPr>
          <w:rFonts w:ascii="IRNazanin" w:hAnsi="IRNazanin" w:eastAsia="IRNazanin" w:cs="IRNazanin"/>
          <w:lang w:bidi="fa-IR"/>
          <w:color w:val="111111"/>
          <w:sz w:val="28"/>
          <w:szCs w:val="28"/>
          <w:rtl/>
        </w:rPr>
        <w:t xml:space="preserve">المعاصر المولود (1291) من ابنه المولی محمد أکبر الذی هو ابن الحکیم السبزواری الحاج مولی هادی المتخلص بأسرار. قال الناظم فیما کتبه إلینا إنه یقرب من ثمانیة آلاف بیت فارسی و عربی فی المعارف و المصائب و الغزلیات و غیرها.</w:t>
      </w:r>
    </w:p>
    <w:p>
      <w:pPr>
        <w:pStyle w:val="Heading3"/>
      </w:pPr>
      <w:bookmarkStart w:id="1429" w:name="_Toc125"/>
      <w:r>
        <w:t>108- دیوان إبراهیم الفاروقی‏</w:t>
      </w:r>
      <w:bookmarkEnd w:id="1429"/>
    </w:p>
    <w:p>
      <w:pPr>
        <w:pStyle w:val="BookText"/>
      </w:pPr>
      <w:r>
        <w:rPr>
          <w:rFonts w:ascii="IRNazanin" w:hAnsi="IRNazanin" w:eastAsia="IRNazanin" w:cs="IRNazanin"/>
          <w:lang w:bidi="fa-IR"/>
          <w:color w:val="111111"/>
          <w:sz w:val="28"/>
          <w:szCs w:val="28"/>
          <w:rtl/>
        </w:rPr>
        <w:t xml:space="preserve">مؤلف شرف‏نامه منیری فی لغة الفرس. و قد أورد کثیرا من شعره فی هذا الکتاب.</w:t>
      </w:r>
    </w:p>
    <w:p>
      <w:pPr>
        <w:pStyle w:val="Heading3"/>
      </w:pPr>
      <w:bookmarkStart w:id="1430" w:name="_Toc126"/>
      <w:r>
        <w:t>109- دیوان المیر إبراهیم القانونی بن الخواجة موسی‏</w:t>
      </w:r>
      <w:bookmarkEnd w:id="1430"/>
    </w:p>
    <w:p>
      <w:pPr>
        <w:pStyle w:val="BookText"/>
      </w:pPr>
      <w:r>
        <w:rPr>
          <w:rFonts w:ascii="IRNazanin" w:hAnsi="IRNazanin" w:eastAsia="IRNazanin" w:cs="IRNazanin"/>
          <w:lang w:bidi="fa-IR"/>
          <w:color w:val="111111"/>
          <w:sz w:val="28"/>
          <w:szCs w:val="28"/>
          <w:rtl/>
        </w:rPr>
        <w:t xml:space="preserve">کما فی (مجتس- ص 139).</w:t>
      </w:r>
    </w:p>
    <w:p>
      <w:pPr>
        <w:pStyle w:val="BookText"/>
      </w:pPr>
      <w:r>
        <w:rPr>
          <w:rFonts w:ascii="IRNazanin" w:hAnsi="IRNazanin" w:eastAsia="IRNazanin" w:cs="IRNazanin"/>
          <w:lang w:bidi="fa-IR"/>
          <w:color w:val="111111"/>
          <w:sz w:val="28"/>
          <w:szCs w:val="28"/>
          <w:rtl/>
        </w:rPr>
        <w:t xml:space="preserve">هو من الخطاطین و المهرة فی استعمال القانون (الموسیقیة) ترجمه معاصره سام میرزا فی (تس- ص 46) و أورد رباعیته. و کذا فی (گلشن).</w:t>
      </w:r>
    </w:p>
    <w:p>
      <w:pPr>
        <w:pStyle w:val="Heading3"/>
      </w:pPr>
      <w:bookmarkStart w:id="1431" w:name="_Toc127"/>
      <w:r>
        <w:t>110- دیوان المیرزا إبراهیم بن قباد بیک القاجاری‏</w:t>
      </w:r>
      <w:bookmarkEnd w:id="1431"/>
    </w:p>
    <w:p>
      <w:pPr>
        <w:pStyle w:val="BookText"/>
      </w:pPr>
      <w:r>
        <w:rPr>
          <w:rFonts w:ascii="IRNazanin" w:hAnsi="IRNazanin" w:eastAsia="IRNazanin" w:cs="IRNazanin"/>
          <w:lang w:bidi="fa-IR"/>
          <w:color w:val="111111"/>
          <w:sz w:val="28"/>
          <w:szCs w:val="28"/>
          <w:rtl/>
        </w:rPr>
        <w:t xml:space="preserve">أطرأه معاصره النصرآبادی فی (نر- ص 532) بالفضل و الدیانة و نصب مدرسا بالمشهد الرضوی أخیرا و أورد جملة من معمیاته.</w:t>
      </w:r>
    </w:p>
    <w:p>
      <w:pPr>
        <w:pStyle w:val="Heading3"/>
      </w:pPr>
      <w:bookmarkStart w:id="1432" w:name="_Toc128"/>
      <w:r>
        <w:t>111- دیوان إبراهیم اللاری،</w:t>
      </w:r>
      <w:bookmarkEnd w:id="1432"/>
    </w:p>
    <w:p>
      <w:pPr>
        <w:pStyle w:val="BookText"/>
      </w:pPr>
      <w:r>
        <w:rPr>
          <w:rFonts w:ascii="IRNazanin" w:hAnsi="IRNazanin" w:eastAsia="IRNazanin" w:cs="IRNazanin"/>
          <w:lang w:bidi="fa-IR"/>
          <w:color w:val="111111"/>
          <w:sz w:val="28"/>
          <w:szCs w:val="28"/>
          <w:rtl/>
        </w:rPr>
        <w:t xml:space="preserve">نقل فی ریاض العارفین (ص 68) ترجمته و شعره عن تذکره واله الداغستانی.</w:t>
      </w:r>
    </w:p>
    <w:p>
      <w:pPr>
        <w:pStyle w:val="Heading3"/>
      </w:pPr>
      <w:bookmarkStart w:id="1433" w:name="_Toc129"/>
      <w:r>
        <w:t>112- دیوان السید إبراهیم بن السید محمد العطار الحسنی الحسینی البغدادی،</w:t>
      </w:r>
      <w:bookmarkEnd w:id="1433"/>
    </w:p>
    <w:p>
      <w:pPr>
        <w:pStyle w:val="BookText"/>
      </w:pPr>
      <w:r>
        <w:rPr>
          <w:rFonts w:ascii="IRNazanin" w:hAnsi="IRNazanin" w:eastAsia="IRNazanin" w:cs="IRNazanin"/>
          <w:lang w:bidi="fa-IR"/>
          <w:color w:val="111111"/>
          <w:sz w:val="28"/>
          <w:szCs w:val="28"/>
          <w:rtl/>
        </w:rPr>
        <w:t xml:space="preserve">أخ السید أحمد بن محمد العطار الآتی دیوانه. و کلا الدیوانین موجودان فی مکتبة (السماوی)</w:t>
      </w:r>
    </w:p>
    <w:p>
      <w:pPr>
        <w:pStyle w:val="Heading3"/>
      </w:pPr>
      <w:bookmarkStart w:id="1434" w:name="_Toc130"/>
      <w:r>
        <w:t>113- دیوان المیرزا إبراهیم الهمدانی‏</w:t>
      </w:r>
      <w:bookmarkEnd w:id="1434"/>
    </w:p>
    <w:p>
      <w:pPr>
        <w:pStyle w:val="BookText"/>
      </w:pPr>
      <w:r>
        <w:rPr>
          <w:rFonts w:ascii="IRNazanin" w:hAnsi="IRNazanin" w:eastAsia="IRNazanin" w:cs="IRNazanin"/>
          <w:lang w:bidi="fa-IR"/>
          <w:color w:val="111111"/>
          <w:sz w:val="28"/>
          <w:szCs w:val="28"/>
          <w:rtl/>
        </w:rPr>
        <w:t xml:space="preserve">حفید المیرزا إبراهیم الهمدانی الذی توفی (1028) متولی امام‏زاده سهل علی‏1 ترجمه معاصره النصرآبادی فی (نر- ص 97).</w:t>
      </w:r>
    </w:p>
    <w:p>
      <w:pPr>
        <w:pStyle w:val="Heading3"/>
      </w:pPr>
      <w:bookmarkStart w:id="1435" w:name="_Toc131"/>
      <w:r>
        <w:t>114- دیوان الشیخ إبراهیم بن الشیخ یحیی بن الشیخ فیاض بن عطوة المخزومی القرشی العاملی‏</w:t>
      </w:r>
      <w:bookmarkEnd w:id="1435"/>
    </w:p>
    <w:p>
      <w:pPr>
        <w:pStyle w:val="BookText"/>
      </w:pPr>
      <w:r>
        <w:rPr>
          <w:rFonts w:ascii="IRNazanin" w:hAnsi="IRNazanin" w:eastAsia="IRNazanin" w:cs="IRNazanin"/>
          <w:lang w:bidi="fa-IR"/>
          <w:color w:val="111111"/>
          <w:sz w:val="28"/>
          <w:szCs w:val="28"/>
          <w:rtl/>
        </w:rPr>
        <w:t xml:space="preserve">المتوفی (1214) جد الشیخ إبراهیم بن صادق المذکور. توجد نسخته فی مکتبة السید محسن الأمین فی الشام و فی مکتبة (السماوی) و نسخه خط ولد الناظم الشیخ نصر الله فی الکاظمیة عند جعفر چلبی و معه قصیدتان فی رثاء الشیخ نصر الله لوالده الشیخ إبراهیم بخطه أوله [الحمد لله حمدا یلیق بجلاله‏] ذکر أنه جمعه بعد رجوعه إلی الشام بالتماس بعض، و رتبه علی حروف القافیة و بدأ بأرجوزته الموسومة بالدرة المضیئة .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7" w:name="pg11704_121493"/>
    <w:bookmarkEnd w:id="17"/>
    <w:p>
      <w:pPr>
        <w:pStyle w:val="BookText"/>
      </w:pPr>
      <w:r>
        <w:rPr>
          <w:rFonts w:ascii="IRNazanin" w:hAnsi="IRNazanin" w:eastAsia="IRNazanin" w:cs="IRNazanin"/>
          <w:lang w:bidi="fa-IR"/>
          <w:color w:val="111111"/>
          <w:sz w:val="28"/>
          <w:szCs w:val="28"/>
          <w:rtl/>
        </w:rPr>
        <w:t xml:space="preserve">فی الأصول الدینیة، المذکور (ج 8- ص 107) و أکثره مطبوع فی أعیان الشیعة (ج 5- ص 514- 695) و مر له تخمیس التتریة.</w:t>
      </w:r>
    </w:p>
    <w:p>
      <w:pPr>
        <w:pStyle w:val="Heading3"/>
      </w:pPr>
      <w:bookmarkStart w:id="1436" w:name="_Toc132"/>
      <w:r>
        <w:t>115- دیوان أبله البغدادی‏</w:t>
      </w:r>
      <w:bookmarkEnd w:id="1436"/>
    </w:p>
    <w:p>
      <w:pPr>
        <w:pStyle w:val="BookText"/>
      </w:pPr>
      <w:r>
        <w:rPr>
          <w:rFonts w:ascii="IRNazanin" w:hAnsi="IRNazanin" w:eastAsia="IRNazanin" w:cs="IRNazanin"/>
          <w:lang w:bidi="fa-IR"/>
          <w:color w:val="111111"/>
          <w:sz w:val="28"/>
          <w:szCs w:val="28"/>
          <w:rtl/>
        </w:rPr>
        <w:t xml:space="preserve">هو أبو عبد الله محمد بن بختیار البغدادی. ذکره ابن خلکان. و له دیوان شعر مشهور و توفی (579) أو (580).</w:t>
      </w:r>
    </w:p>
    <w:p>
      <w:pPr>
        <w:pStyle w:val="Heading3"/>
      </w:pPr>
      <w:bookmarkStart w:id="1437" w:name="_Toc133"/>
      <w:r>
        <w:t>116- دیوان ابکم‏</w:t>
      </w:r>
      <w:bookmarkEnd w:id="1437"/>
    </w:p>
    <w:p>
      <w:pPr>
        <w:pStyle w:val="BookText"/>
      </w:pPr>
      <w:r>
        <w:rPr>
          <w:rFonts w:ascii="IRNazanin" w:hAnsi="IRNazanin" w:eastAsia="IRNazanin" w:cs="IRNazanin"/>
          <w:lang w:bidi="fa-IR"/>
          <w:color w:val="111111"/>
          <w:sz w:val="28"/>
          <w:szCs w:val="28"/>
          <w:rtl/>
        </w:rPr>
        <w:t xml:space="preserve">و شعره معروف بالهند، و هو أخو ناطق الشاعر، و لکن النصرآبادی ذکر فی (نر- ص 451) أنه لم یسمع شعره.</w:t>
      </w:r>
    </w:p>
    <w:p>
      <w:pPr>
        <w:pStyle w:val="Heading3"/>
      </w:pPr>
      <w:bookmarkStart w:id="1438" w:name="_Toc134"/>
      <w:r>
        <w:t>دیوان ابن أبی حجلة المغربی‏</w:t>
      </w:r>
      <w:bookmarkEnd w:id="1438"/>
    </w:p>
    <w:p>
      <w:pPr>
        <w:pStyle w:val="BookText"/>
      </w:pPr>
      <w:r>
        <w:rPr>
          <w:rFonts w:ascii="IRNazanin" w:hAnsi="IRNazanin" w:eastAsia="IRNazanin" w:cs="IRNazanin"/>
          <w:lang w:bidi="fa-IR"/>
          <w:color w:val="111111"/>
          <w:sz w:val="28"/>
          <w:szCs w:val="28"/>
          <w:rtl/>
        </w:rPr>
        <w:t xml:space="preserve">لأحمد بن یحیی التلمسانی (725- 776) المعروف بابن أبی حجلة صاحب شکر دان السلطان یأتی بعنوان دیوان الصبابة.</w:t>
      </w:r>
    </w:p>
    <w:p>
      <w:pPr>
        <w:pStyle w:val="Heading3"/>
      </w:pPr>
      <w:bookmarkStart w:id="1439" w:name="_Toc135"/>
      <w:r>
        <w:t>117- دیوان ابن أبی الحدید</w:t>
      </w:r>
      <w:bookmarkEnd w:id="1439"/>
    </w:p>
    <w:p>
      <w:pPr>
        <w:pStyle w:val="BookText"/>
      </w:pPr>
      <w:r>
        <w:rPr>
          <w:rFonts w:ascii="IRNazanin" w:hAnsi="IRNazanin" w:eastAsia="IRNazanin" w:cs="IRNazanin"/>
          <w:lang w:bidi="fa-IR"/>
          <w:color w:val="111111"/>
          <w:sz w:val="28"/>
          <w:szCs w:val="28"/>
          <w:rtl/>
        </w:rPr>
        <w:t xml:space="preserve">للشیخ عز الدین أبی حامد عبد الحمید بن هبة الله بن محمد بن محمد بن الحسین بن أبی الحدید الأنباری البغدادی المعتزلی ناظم السبع العلومات و شارح نهج البلاغة. ولد فی مدائن فی مستهل ذی الحجة (586) و مات (655) قبل انقراض بنی العباس بسبعة عشر یوما. ترجمه السید ضیاء الدین یوسف فی نسمة السحر فیمن تشیع و شعر، فعده من شعراء الشیعة و وصفه بقوله البغدادی المعتزلی المتشیع. و ذکر دیوانه فی (ذ کف- ص 484) فراجعه.</w:t>
      </w:r>
    </w:p>
    <w:p>
      <w:pPr>
        <w:pStyle w:val="Heading3"/>
      </w:pPr>
      <w:bookmarkStart w:id="1440" w:name="_Toc136"/>
      <w:r>
        <w:t>118- دیوان ابن أبی الشیص‏</w:t>
      </w:r>
      <w:bookmarkEnd w:id="1440"/>
    </w:p>
    <w:p>
      <w:pPr>
        <w:pStyle w:val="BookText"/>
      </w:pPr>
      <w:r>
        <w:rPr>
          <w:rFonts w:ascii="IRNazanin" w:hAnsi="IRNazanin" w:eastAsia="IRNazanin" w:cs="IRNazanin"/>
          <w:lang w:bidi="fa-IR"/>
          <w:color w:val="111111"/>
          <w:sz w:val="28"/>
          <w:szCs w:val="28"/>
          <w:rtl/>
        </w:rPr>
        <w:t xml:space="preserve">و اسمه عبد الله بن محمد بن عبد الله بن رزین. قال ابن الندیم شعره نحو سبعین ورقة. و سیأتی دیوان أبیه و هو أبو الشیص محمد الذی هو ابن عم دعبل الخزاعی. و یأتی دیوان ابن دعبل بن علی بن رزین و اسمه الحسین بن دعبل، کما یأتی دیوان ابن رزین.</w:t>
      </w:r>
    </w:p>
    <w:p>
      <w:pPr>
        <w:pStyle w:val="Heading3"/>
      </w:pPr>
      <w:bookmarkStart w:id="1441" w:name="_Toc137"/>
      <w:r>
        <w:t>119- دیوان ابن أمیر الحاج‏</w:t>
      </w:r>
      <w:bookmarkEnd w:id="1441"/>
    </w:p>
    <w:p>
      <w:pPr>
        <w:pStyle w:val="BookText"/>
      </w:pPr>
      <w:r>
        <w:rPr>
          <w:rFonts w:ascii="IRNazanin" w:hAnsi="IRNazanin" w:eastAsia="IRNazanin" w:cs="IRNazanin"/>
          <w:lang w:bidi="fa-IR"/>
          <w:color w:val="111111"/>
          <w:sz w:val="28"/>
          <w:szCs w:val="28"/>
          <w:rtl/>
        </w:rPr>
        <w:t xml:space="preserve">هو السید محمد بن الحسین الحسینی من ذریة الحسین الأصغر کما سرد نسبه فی الآیات الباهرات له المذکور فی (ج 1- ص 44) و له تاریخ نور الباری الذی فرغ من نظمه (1177) کما مر فی (ج 3- ص 292) و قد أهدی الآیات الباهرات إلی أستاذه السید نصر الله المدرس الحائری و أشار فیه إلی دیوانه العربی هذا بقوله الآتی و توجد نسخه منه فی مکتبة (السماوی)</w:t>
      </w:r>
    </w:p>
    <w:p>
      <w:pPr>
        <w:pStyle w:val="BookText"/>
      </w:pPr>
      <w:r>
        <w:rPr>
          <w:rFonts w:ascii="IRNazanin" w:hAnsi="IRNazanin" w:eastAsia="IRNazanin" w:cs="IRNazanin"/>
          <w:lang w:bidi="fa-IR"/>
          <w:color w:val="111111"/>
          <w:sz w:val="28"/>
          <w:szCs w:val="28"/>
          <w:rtl/>
        </w:rPr>
        <w:t xml:space="preserve">لو کان للشعر سلطان لکان به‏</w:t>
      </w:r>
    </w:p>
    <w:p>
      <w:pPr>
        <w:pStyle w:val="BookText"/>
      </w:pPr>
      <w:r>
        <w:rPr>
          <w:rFonts w:ascii="IRNazanin" w:hAnsi="IRNazanin" w:eastAsia="IRNazanin" w:cs="IRNazanin"/>
          <w:lang w:bidi="fa-IR"/>
          <w:color w:val="111111"/>
          <w:sz w:val="28"/>
          <w:szCs w:val="28"/>
          <w:rtl/>
        </w:rPr>
        <w:t xml:space="preserve">دیوان شعری سلطان الدواوین‏</w:t>
      </w:r>
    </w:p>
    <w:p>
      <w:pPr>
        <w:pStyle w:val="BookText"/>
      </w:pPr>
      <w:r>
        <w:rPr>
          <w:rFonts w:ascii="IRNazanin" w:hAnsi="IRNazanin" w:eastAsia="IRNazanin" w:cs="IRNazanin"/>
          <w:lang w:bidi="fa-IR"/>
          <w:color w:val="111111"/>
          <w:sz w:val="28"/>
          <w:szCs w:val="28"/>
          <w:rtl/>
        </w:rPr>
        <w:t xml:space="preserve">و یمکن أن یکون من أحفاد أمیر الحاج صاحب الدیوان الآتی.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8" w:name="pg11704_121494"/>
    <w:bookmarkEnd w:id="18"/>
    <w:p>
      <w:pPr>
        <w:pStyle w:val="Heading3"/>
      </w:pPr>
      <w:bookmarkStart w:id="1442" w:name="_Toc138"/>
      <w:r>
        <w:t>120- دیوان ابن الأخفش‏</w:t>
      </w:r>
      <w:bookmarkEnd w:id="1442"/>
    </w:p>
    <w:p>
      <w:pPr>
        <w:pStyle w:val="BookText"/>
      </w:pPr>
      <w:r>
        <w:rPr>
          <w:rFonts w:ascii="IRNazanin" w:hAnsi="IRNazanin" w:eastAsia="IRNazanin" w:cs="IRNazanin"/>
          <w:lang w:bidi="fa-IR"/>
          <w:color w:val="111111"/>
          <w:sz w:val="28"/>
          <w:szCs w:val="28"/>
          <w:rtl/>
        </w:rPr>
        <w:t xml:space="preserve">من شعراء الفاطمیین بمصر.</w:t>
      </w:r>
    </w:p>
    <w:p>
      <w:pPr>
        <w:pStyle w:val="Heading3"/>
      </w:pPr>
      <w:bookmarkStart w:id="1443" w:name="_Toc139"/>
      <w:r>
        <w:t>121- دیوان ابن بابک‏</w:t>
      </w:r>
      <w:bookmarkEnd w:id="1443"/>
    </w:p>
    <w:p>
      <w:pPr>
        <w:pStyle w:val="BookText"/>
      </w:pPr>
      <w:r>
        <w:rPr>
          <w:rFonts w:ascii="IRNazanin" w:hAnsi="IRNazanin" w:eastAsia="IRNazanin" w:cs="IRNazanin"/>
          <w:lang w:bidi="fa-IR"/>
          <w:color w:val="111111"/>
          <w:sz w:val="28"/>
          <w:szCs w:val="28"/>
          <w:rtl/>
        </w:rPr>
        <w:t xml:space="preserve">للشیخ أبی القاسم عبد الصمد بن منصور بن الحسن الشهیر بابن بابک. رأیت نسخه عتیقة منه فی خزانة کتب (العطار ببغداد) و علیها تملک السید حسین بن عبد الرءوف الصادقی البحرانی الذی توفی والده عبد الرءوف (1006) ترجمه ابن خلکان فی (ج 1- ص 297) قال هو أحد الشعراء المجیدین المکثرین و دیوانه فی ثلاث مجلدات و توفی (410). أقول هو من شعراء الصاحب بن عباد و لما قدم علیه قال ابن عباد: أنت بابک الشاعر؟ فقال أنا ابن بابک. فاستحسن الصاحب جوابه و أجازه و أجزل جائزته.</w:t>
      </w:r>
    </w:p>
    <w:p>
      <w:pPr>
        <w:pStyle w:val="Heading3"/>
      </w:pPr>
      <w:bookmarkStart w:id="1444" w:name="_Toc140"/>
      <w:r>
        <w:t>122- دیوان ابن بسام‏</w:t>
      </w:r>
      <w:bookmarkEnd w:id="1444"/>
    </w:p>
    <w:p>
      <w:pPr>
        <w:pStyle w:val="BookText"/>
      </w:pPr>
      <w:r>
        <w:rPr>
          <w:rFonts w:ascii="IRNazanin" w:hAnsi="IRNazanin" w:eastAsia="IRNazanin" w:cs="IRNazanin"/>
          <w:lang w:bidi="fa-IR"/>
          <w:color w:val="111111"/>
          <w:sz w:val="28"/>
          <w:szCs w:val="28"/>
          <w:rtl/>
        </w:rPr>
        <w:t xml:space="preserve">أبو الحسن علی بن محمد بن نصر بن منصور بن بسام الشاعر الهجاء المتوفی (303) ذکر دیوانه و کتبه ابن الندیم. و نقل الشیخ هلال الدین إسماعیل الخوئی المعاصر فی مجموعته رباعیة له:</w:t>
      </w:r>
    </w:p>
    <w:p>
      <w:pPr>
        <w:pStyle w:val="BookText"/>
      </w:pPr>
      <w:r>
        <w:rPr>
          <w:rFonts w:ascii="IRNazanin" w:hAnsi="IRNazanin" w:eastAsia="IRNazanin" w:cs="IRNazanin"/>
          <w:lang w:bidi="fa-IR"/>
          <w:color w:val="111111"/>
          <w:sz w:val="28"/>
          <w:szCs w:val="28"/>
          <w:rtl/>
        </w:rPr>
        <w:t xml:space="preserve">هبک عمرت عمر عشرین نسرا</w:t>
      </w:r>
    </w:p>
    <w:p>
      <w:pPr>
        <w:pStyle w:val="BookText"/>
      </w:pPr>
      <w:r>
        <w:rPr>
          <w:rFonts w:ascii="IRNazanin" w:hAnsi="IRNazanin" w:eastAsia="IRNazanin" w:cs="IRNazanin"/>
          <w:lang w:bidi="fa-IR"/>
          <w:color w:val="111111"/>
          <w:sz w:val="28"/>
          <w:szCs w:val="28"/>
          <w:rtl/>
        </w:rPr>
        <w:t xml:space="preserve">أ تری اننی أموت و تبقی‏</w:t>
      </w:r>
    </w:p>
    <w:p>
      <w:pPr>
        <w:pStyle w:val="Heading3"/>
      </w:pPr>
      <w:bookmarkStart w:id="1445" w:name="_Toc141"/>
      <w:r>
        <w:t>123- دیوان ابن التعاویذی‏</w:t>
      </w:r>
      <w:bookmarkEnd w:id="1445"/>
    </w:p>
    <w:p>
      <w:pPr>
        <w:pStyle w:val="BookText"/>
      </w:pPr>
      <w:r>
        <w:rPr>
          <w:rFonts w:ascii="IRNazanin" w:hAnsi="IRNazanin" w:eastAsia="IRNazanin" w:cs="IRNazanin"/>
          <w:lang w:bidi="fa-IR"/>
          <w:color w:val="111111"/>
          <w:sz w:val="28"/>
          <w:szCs w:val="28"/>
          <w:rtl/>
        </w:rPr>
        <w:t xml:space="preserve">و هو أبو الفرج (أبو الفتح) محمد بن عبید الله بن عبد الله الکاتب الشهیر بسبط ابن التعاویذی المولود (519) المتوفی (583) کما مر تفصیله فی (ج 6- ص 254) مع ذکر کتابه الحجبة و الحجاب و نقلنا هناک قول ابن خلکان فی (ج 2- ص 19) و کلام معجم الأدباء أیضا فی وصف هذا الدیوان و ترجمه فی نسمة السحر فیمن تشیع و شعر و ذکر قصیدته فی رثاء الحسین و الأبیات التی کتبها إلی ابن المختار العلوی نقیب مشهد الکوفة و فیها التصریح بتشیعه. و قد جمع الدیوان بنفسه قبل عماه، و عمل له خطبة و رتبه علی أربعة فصول و طبعه مرجلیوث بمصر (1903 م) فی (519 ص).</w:t>
      </w:r>
    </w:p>
    <w:p>
      <w:pPr>
        <w:pStyle w:val="Heading3"/>
      </w:pPr>
      <w:bookmarkStart w:id="1446" w:name="_Toc142"/>
      <w:r>
        <w:t>124- دیوان ابن جاجرمی‏</w:t>
      </w:r>
      <w:bookmarkEnd w:id="1446"/>
    </w:p>
    <w:p>
      <w:pPr>
        <w:pStyle w:val="BookText"/>
      </w:pPr>
      <w:r>
        <w:rPr>
          <w:rFonts w:ascii="IRNazanin" w:hAnsi="IRNazanin" w:eastAsia="IRNazanin" w:cs="IRNazanin"/>
          <w:lang w:bidi="fa-IR"/>
          <w:color w:val="111111"/>
          <w:sz w:val="28"/>
          <w:szCs w:val="28"/>
          <w:rtl/>
        </w:rPr>
        <w:t xml:space="preserve">هو ولد بدر الدین الجاجرمی الأصفهانی. رثی السلطان أبو سعید کما فی (تغ- ص 4).</w:t>
      </w:r>
    </w:p>
    <w:p>
      <w:pPr>
        <w:pStyle w:val="Heading3"/>
      </w:pPr>
      <w:bookmarkStart w:id="1447" w:name="_Toc143"/>
      <w:r>
        <w:t>125- دیوان ابن جلال‏</w:t>
      </w:r>
      <w:bookmarkEnd w:id="1447"/>
    </w:p>
    <w:p>
      <w:pPr>
        <w:pStyle w:val="BookText"/>
      </w:pPr>
      <w:r>
        <w:rPr>
          <w:rFonts w:ascii="IRNazanin" w:hAnsi="IRNazanin" w:eastAsia="IRNazanin" w:cs="IRNazanin"/>
          <w:lang w:bidi="fa-IR"/>
          <w:color w:val="111111"/>
          <w:sz w:val="28"/>
          <w:szCs w:val="28"/>
          <w:rtl/>
        </w:rPr>
        <w:t xml:space="preserve">أورد ذکره فی (تغ- ص 4).</w:t>
      </w:r>
    </w:p>
    <w:p>
      <w:pPr>
        <w:pStyle w:val="Heading3"/>
      </w:pPr>
      <w:bookmarkStart w:id="1448" w:name="_Toc144"/>
      <w:r>
        <w:t>126- دیوان ابن الحجاج‏</w:t>
      </w:r>
      <w:bookmarkEnd w:id="1448"/>
    </w:p>
    <w:p>
      <w:pPr>
        <w:pStyle w:val="BookText"/>
      </w:pPr>
      <w:r>
        <w:rPr>
          <w:rFonts w:ascii="IRNazanin" w:hAnsi="IRNazanin" w:eastAsia="IRNazanin" w:cs="IRNazanin"/>
          <w:lang w:bidi="fa-IR"/>
          <w:color w:val="111111"/>
          <w:sz w:val="28"/>
          <w:szCs w:val="28"/>
          <w:rtl/>
        </w:rPr>
        <w:t xml:space="preserve">الکاتب الشاعر الإمامی المشهور، و هو أبو عبد الله الحسین ابن أحمد بن محمد بن جعفر بن الحجاج البغدادی المتوفی بالنیل فی الثلاثاء (27- ج 2- 391)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9" w:name="pg11704_121495"/>
    <w:bookmarkEnd w:id="19"/>
    <w:p>
      <w:pPr>
        <w:pStyle w:val="BookText"/>
      </w:pPr>
      <w:r>
        <w:rPr>
          <w:rFonts w:ascii="IRNazanin" w:hAnsi="IRNazanin" w:eastAsia="IRNazanin" w:cs="IRNazanin"/>
          <w:lang w:bidi="fa-IR"/>
          <w:color w:val="111111"/>
          <w:sz w:val="28"/>
          <w:szCs w:val="28"/>
          <w:rtl/>
        </w:rPr>
        <w:t xml:space="preserve">و حمل إلی مشهد موسی بن جعفر علیه السلام  حسب وصیته بأن یدفن عند رجلیه و یکتب علی قبره: وَ کَلْبُهُمْ باسِطٌ ذِراعَیْهِ بِالْوَصِیدِ، کما فصله ابن خلکان فی (ج 1- ص 155) و قال دیوانه کبیر أکثر ما یوجد فی عشر مجلدات. و حکی أنه سئل عن حاله فی المنام فقال شعرا منها:</w:t>
      </w:r>
    </w:p>
    <w:p>
      <w:pPr>
        <w:pStyle w:val="BookText"/>
      </w:pPr>
      <w:r>
        <w:rPr>
          <w:rFonts w:ascii="IRNazanin" w:hAnsi="IRNazanin" w:eastAsia="IRNazanin" w:cs="IRNazanin"/>
          <w:lang w:bidi="fa-IR"/>
          <w:color w:val="111111"/>
          <w:sz w:val="28"/>
          <w:szCs w:val="28"/>
          <w:rtl/>
        </w:rPr>
        <w:t xml:space="preserve">لم یرض مولای علی‏</w:t>
      </w:r>
    </w:p>
    <w:p>
      <w:pPr>
        <w:pStyle w:val="BookText"/>
      </w:pPr>
      <w:r>
        <w:rPr>
          <w:rFonts w:ascii="IRNazanin" w:hAnsi="IRNazanin" w:eastAsia="IRNazanin" w:cs="IRNazanin"/>
          <w:lang w:bidi="fa-IR"/>
          <w:color w:val="111111"/>
          <w:sz w:val="28"/>
          <w:szCs w:val="28"/>
          <w:rtl/>
        </w:rPr>
        <w:t xml:space="preserve">سبی لأصحاب النبی‏</w:t>
      </w:r>
    </w:p>
    <w:p>
      <w:pPr>
        <w:pStyle w:val="BookText"/>
      </w:pPr>
      <w:r>
        <w:rPr>
          <w:rFonts w:ascii="IRNazanin" w:hAnsi="IRNazanin" w:eastAsia="IRNazanin" w:cs="IRNazanin"/>
          <w:lang w:bidi="fa-IR"/>
          <w:color w:val="111111"/>
          <w:sz w:val="28"/>
          <w:szCs w:val="28"/>
          <w:rtl/>
        </w:rPr>
        <w:t xml:space="preserve">أقول: أورد شیخنا فی (ج 1- ص 148) من کتابه دار السلام ما حکی من الرؤیا الصادقة فی حقه فلاحظه. و مر فی (ج 7- ص 16) الحسن من شعر الحسین أو النظیف من السخیف الذی هو المنتخب من هذا الدیوان، کما مر أیضا درة التاج فی شعر ابن الحجاج للبدیع الأسطرلابی، اختاره من هذا الدیوان و رتبه علی مائة واحد و أربعین بابا. و قد رأیت قطعة من هذا الدیوان فی خزانة (العطار ببغداد) فی قطع بیاضی نسخه عتیقة جدا یوجد فیها ما یقرب من ستة آلاف بیت و أول ما فی النسخة قوله یطلب مشروبا:</w:t>
      </w:r>
    </w:p>
    <w:p>
      <w:pPr>
        <w:pStyle w:val="BookText"/>
      </w:pPr>
      <w:r>
        <w:rPr>
          <w:rFonts w:ascii="IRNazanin" w:hAnsi="IRNazanin" w:eastAsia="IRNazanin" w:cs="IRNazanin"/>
          <w:lang w:bidi="fa-IR"/>
          <w:color w:val="111111"/>
          <w:sz w:val="28"/>
          <w:szCs w:val="28"/>
          <w:rtl/>
        </w:rPr>
        <w:t xml:space="preserve">بالخبز و الملح یا غلامی‏</w:t>
      </w:r>
    </w:p>
    <w:p>
      <w:pPr>
        <w:pStyle w:val="BookText"/>
      </w:pPr>
      <w:r>
        <w:rPr>
          <w:rFonts w:ascii="IRNazanin" w:hAnsi="IRNazanin" w:eastAsia="IRNazanin" w:cs="IRNazanin"/>
          <w:lang w:bidi="fa-IR"/>
          <w:color w:val="111111"/>
          <w:sz w:val="28"/>
          <w:szCs w:val="28"/>
          <w:rtl/>
        </w:rPr>
        <w:t xml:space="preserve">بادر إلی سیدی السلامی‏</w:t>
      </w:r>
    </w:p>
    <w:p>
      <w:pPr>
        <w:pStyle w:val="BookText"/>
      </w:pPr>
      <w:r>
        <w:rPr>
          <w:rFonts w:ascii="IRNazanin" w:hAnsi="IRNazanin" w:eastAsia="IRNazanin" w:cs="IRNazanin"/>
          <w:lang w:bidi="fa-IR"/>
          <w:color w:val="111111"/>
          <w:sz w:val="28"/>
          <w:szCs w:val="28"/>
          <w:rtl/>
        </w:rPr>
        <w:t xml:space="preserve">و فی هذه القطعة ما کتبه علی ظهر ما جمعه الشریف الرضی من جید شعره الذی مر بعنوان الحسن من الحسین و قد فاتنا أن نذکره هناک و هو قوله:</w:t>
      </w:r>
    </w:p>
    <w:p>
      <w:pPr>
        <w:pStyle w:val="BookText"/>
      </w:pPr>
      <w:r>
        <w:rPr>
          <w:rFonts w:ascii="IRNazanin" w:hAnsi="IRNazanin" w:eastAsia="IRNazanin" w:cs="IRNazanin"/>
          <w:lang w:bidi="fa-IR"/>
          <w:color w:val="111111"/>
          <w:sz w:val="28"/>
          <w:szCs w:val="28"/>
          <w:rtl/>
        </w:rPr>
        <w:t xml:space="preserve">تعرف شعری إلی من ضوی‏</w:t>
      </w:r>
    </w:p>
    <w:p>
      <w:pPr>
        <w:pStyle w:val="BookText"/>
      </w:pPr>
      <w:r>
        <w:rPr>
          <w:rFonts w:ascii="IRNazanin" w:hAnsi="IRNazanin" w:eastAsia="IRNazanin" w:cs="IRNazanin"/>
          <w:lang w:bidi="fa-IR"/>
          <w:color w:val="111111"/>
          <w:sz w:val="28"/>
          <w:szCs w:val="28"/>
          <w:rtl/>
        </w:rPr>
        <w:t xml:space="preserve">فأضحی علی ملکه یحتوی‏</w:t>
      </w:r>
    </w:p>
    <w:p>
      <w:pPr>
        <w:pStyle w:val="BookText"/>
      </w:pPr>
      <w:r>
        <w:rPr>
          <w:rFonts w:ascii="IRNazanin" w:hAnsi="IRNazanin" w:eastAsia="IRNazanin" w:cs="IRNazanin"/>
          <w:lang w:bidi="fa-IR"/>
          <w:color w:val="111111"/>
          <w:sz w:val="28"/>
          <w:szCs w:val="28"/>
          <w:rtl/>
        </w:rPr>
        <w:t xml:space="preserve">إلی البدر حسنا إلی سیدی‏</w:t>
      </w:r>
    </w:p>
    <w:p>
      <w:pPr>
        <w:pStyle w:val="BookText"/>
      </w:pPr>
      <w:r>
        <w:rPr>
          <w:rFonts w:ascii="IRNazanin" w:hAnsi="IRNazanin" w:eastAsia="IRNazanin" w:cs="IRNazanin"/>
          <w:lang w:bidi="fa-IR"/>
          <w:color w:val="111111"/>
          <w:sz w:val="28"/>
          <w:szCs w:val="28"/>
          <w:rtl/>
        </w:rPr>
        <w:t xml:space="preserve">الشریف أبی الحسن الموسوی‏</w:t>
      </w:r>
    </w:p>
    <w:p>
      <w:pPr>
        <w:pStyle w:val="BookText"/>
      </w:pPr>
      <w:r>
        <w:rPr>
          <w:rFonts w:ascii="IRNazanin" w:hAnsi="IRNazanin" w:eastAsia="IRNazanin" w:cs="IRNazanin"/>
          <w:lang w:bidi="fa-IR"/>
          <w:color w:val="111111"/>
          <w:sz w:val="28"/>
          <w:szCs w:val="28"/>
          <w:rtl/>
        </w:rPr>
        <w:t xml:space="preserve">و توجد قطعة من دیوان ابن الحجاج فی مکتبة (حسینیة کاشف الغطاء) و یوجد جزءان منه فی مکتبة (السماوی).</w:t>
      </w:r>
    </w:p>
    <w:p>
      <w:pPr>
        <w:pStyle w:val="Heading3"/>
      </w:pPr>
      <w:bookmarkStart w:id="1449" w:name="_Toc145"/>
      <w:r>
        <w:t>127- دیوان ابن حجة الحموی‏</w:t>
      </w:r>
      <w:bookmarkEnd w:id="1449"/>
    </w:p>
    <w:p>
      <w:pPr>
        <w:pStyle w:val="BookText"/>
      </w:pPr>
      <w:r>
        <w:rPr>
          <w:rFonts w:ascii="IRNazanin" w:hAnsi="IRNazanin" w:eastAsia="IRNazanin" w:cs="IRNazanin"/>
          <w:lang w:bidi="fa-IR"/>
          <w:color w:val="111111"/>
          <w:sz w:val="28"/>
          <w:szCs w:val="28"/>
          <w:rtl/>
        </w:rPr>
        <w:t xml:space="preserve">أبو المحاسن تقی الدین أبو بکر علی بن عبد الله (767- 837) توجد نسخ منه بمکتبات الموصل کما فی فهرس مخطوطاتها (ص 47 و 229)</w:t>
      </w:r>
    </w:p>
    <w:p>
      <w:pPr>
        <w:pStyle w:val="Heading3"/>
      </w:pPr>
      <w:bookmarkStart w:id="1450" w:name="_Toc146"/>
      <w:r>
        <w:t>دیوان ابن حجة أو ابن الحجاج عیسی‏</w:t>
      </w:r>
      <w:bookmarkEnd w:id="1450"/>
    </w:p>
    <w:p>
      <w:pPr>
        <w:pStyle w:val="BookText"/>
      </w:pPr>
      <w:r>
        <w:rPr>
          <w:rFonts w:ascii="IRNazanin" w:hAnsi="IRNazanin" w:eastAsia="IRNazanin" w:cs="IRNazanin"/>
          <w:lang w:bidi="fa-IR"/>
          <w:color w:val="111111"/>
          <w:sz w:val="28"/>
          <w:szCs w:val="28"/>
          <w:rtl/>
        </w:rPr>
        <w:t xml:space="preserve">المتوفی (807) أورد له فی کشف الظنون القصیدة البدیعیة یأتی بعنوان دیوان عویس‏</w:t>
      </w:r>
    </w:p>
    <w:p>
      <w:pPr>
        <w:pStyle w:val="Heading3"/>
      </w:pPr>
      <w:bookmarkStart w:id="1451" w:name="_Toc147"/>
      <w:r>
        <w:t>128- دیوان ابن حسام خوافی‏</w:t>
      </w:r>
      <w:bookmarkEnd w:id="1451"/>
    </w:p>
    <w:p>
      <w:pPr>
        <w:pStyle w:val="BookText"/>
      </w:pPr>
      <w:r>
        <w:rPr>
          <w:rFonts w:ascii="IRNazanin" w:hAnsi="IRNazanin" w:eastAsia="IRNazanin" w:cs="IRNazanin"/>
          <w:lang w:bidi="fa-IR"/>
          <w:color w:val="111111"/>
          <w:sz w:val="28"/>
          <w:szCs w:val="28"/>
          <w:rtl/>
        </w:rPr>
        <w:t xml:space="preserve">الهروی السرخسی، جمال الدین و هو غیر ابن حسام صاحب خاوران‏نامه کان معاصرا لملوک هرات ولد فی بعض قرأ نیشابور و سافر إلی الهند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20" w:name="pg11704_121496"/>
    <w:bookmarkEnd w:id="20"/>
    <w:p>
      <w:pPr>
        <w:pStyle w:val="BookText"/>
      </w:pPr>
      <w:r>
        <w:rPr>
          <w:rFonts w:ascii="IRNazanin" w:hAnsi="IRNazanin" w:eastAsia="IRNazanin" w:cs="IRNazanin"/>
          <w:lang w:bidi="fa-IR"/>
          <w:color w:val="111111"/>
          <w:sz w:val="28"/>
          <w:szCs w:val="28"/>
          <w:rtl/>
        </w:rPr>
        <w:t xml:space="preserve">و مات (737) ذکره فی (گلشن- ص 9) و أورد بعض شعره و کذا فی (تش- ص 77)</w:t>
      </w:r>
    </w:p>
    <w:p>
      <w:pPr>
        <w:pStyle w:val="Heading3"/>
      </w:pPr>
      <w:bookmarkStart w:id="1452" w:name="_Toc148"/>
      <w:r>
        <w:t>129- دیوان ابن حسام‏</w:t>
      </w:r>
      <w:bookmarkEnd w:id="1452"/>
    </w:p>
    <w:p>
      <w:pPr>
        <w:pStyle w:val="BookText"/>
      </w:pPr>
      <w:r>
        <w:rPr>
          <w:rFonts w:ascii="IRNazanin" w:hAnsi="IRNazanin" w:eastAsia="IRNazanin" w:cs="IRNazanin"/>
          <w:lang w:bidi="fa-IR"/>
          <w:color w:val="111111"/>
          <w:sz w:val="28"/>
          <w:szCs w:val="28"/>
          <w:rtl/>
        </w:rPr>
        <w:t xml:space="preserve">هو شمس الدین محمد بن حسام الجوسفی مؤلف خاورنامه الذی مر فی (ج 7- 137) ترجمه فی (لت 4- ص 148) و ینقل عنه القاضی فی (لس- ص 508) و ذکر أنه توفی (875) و قال المولی البیرجندی المعاصر فی بغیة الطالب- ص 157 إنی رأیت دیوانه و حکی المولی هلال الدین الخوئی المعاصر نظم ابن حسام روایة الطیر الأکل لجسد ابن الملجم المرویة فی مناقب الخوارزمی قال رأیته مطبوعا فی مشهد خراسان فی خمسة و سبعین بیتا: أوله:</w:t>
      </w:r>
    </w:p>
    <w:p>
      <w:pPr>
        <w:pStyle w:val="BookText"/>
      </w:pPr>
      <w:r>
        <w:rPr>
          <w:rFonts w:ascii="IRNazanin" w:hAnsi="IRNazanin" w:eastAsia="IRNazanin" w:cs="IRNazanin"/>
          <w:lang w:bidi="fa-IR"/>
          <w:color w:val="111111"/>
          <w:sz w:val="28"/>
          <w:szCs w:val="28"/>
          <w:rtl/>
        </w:rPr>
        <w:t xml:space="preserve">ای کبریای ذاتت برتر ز جسم و جوهر</w:t>
      </w:r>
    </w:p>
    <w:p>
      <w:pPr>
        <w:pStyle w:val="BookText"/>
      </w:pPr>
      <w:r>
        <w:rPr>
          <w:rFonts w:ascii="IRNazanin" w:hAnsi="IRNazanin" w:eastAsia="IRNazanin" w:cs="IRNazanin"/>
          <w:lang w:bidi="fa-IR"/>
          <w:color w:val="111111"/>
          <w:sz w:val="28"/>
          <w:szCs w:val="28"/>
          <w:rtl/>
        </w:rPr>
        <w:t xml:space="preserve">خلاق ما سوی الله رزاق بنده‏پرور</w:t>
      </w:r>
    </w:p>
    <w:p>
      <w:pPr>
        <w:pStyle w:val="BookText"/>
      </w:pPr>
      <w:r>
        <w:rPr>
          <w:rFonts w:ascii="IRNazanin" w:hAnsi="IRNazanin" w:eastAsia="IRNazanin" w:cs="IRNazanin"/>
          <w:lang w:bidi="fa-IR"/>
          <w:color w:val="111111"/>
          <w:sz w:val="28"/>
          <w:szCs w:val="28"/>
          <w:rtl/>
        </w:rPr>
        <w:t xml:space="preserve">و آخره:</w:t>
      </w:r>
    </w:p>
    <w:p>
      <w:pPr>
        <w:pStyle w:val="BookText"/>
      </w:pPr>
      <w:r>
        <w:rPr>
          <w:rFonts w:ascii="IRNazanin" w:hAnsi="IRNazanin" w:eastAsia="IRNazanin" w:cs="IRNazanin"/>
          <w:lang w:bidi="fa-IR"/>
          <w:color w:val="111111"/>
          <w:sz w:val="28"/>
          <w:szCs w:val="28"/>
          <w:rtl/>
        </w:rPr>
        <w:t xml:space="preserve">ابن حسام و طبعش در وصف أو چه گوید</w:t>
      </w:r>
    </w:p>
    <w:p>
      <w:pPr>
        <w:pStyle w:val="BookText"/>
      </w:pPr>
      <w:r>
        <w:rPr>
          <w:rFonts w:ascii="IRNazanin" w:hAnsi="IRNazanin" w:eastAsia="IRNazanin" w:cs="IRNazanin"/>
          <w:lang w:bidi="fa-IR"/>
          <w:color w:val="111111"/>
          <w:sz w:val="28"/>
          <w:szCs w:val="28"/>
          <w:rtl/>
        </w:rPr>
        <w:t xml:space="preserve">جایی که باشد أو را روح الأمین ثناگر</w:t>
      </w:r>
    </w:p>
    <w:p>
      <w:pPr>
        <w:pStyle w:val="Heading3"/>
      </w:pPr>
      <w:bookmarkStart w:id="1453" w:name="_Toc149"/>
      <w:r>
        <w:t>130- دیوان ابن حماد</w:t>
      </w:r>
      <w:bookmarkEnd w:id="1453"/>
    </w:p>
    <w:p>
      <w:pPr>
        <w:pStyle w:val="BookText"/>
      </w:pPr>
      <w:r>
        <w:rPr>
          <w:rFonts w:ascii="IRNazanin" w:hAnsi="IRNazanin" w:eastAsia="IRNazanin" w:cs="IRNazanin"/>
          <w:lang w:bidi="fa-IR"/>
          <w:color w:val="111111"/>
          <w:sz w:val="28"/>
          <w:szCs w:val="28"/>
          <w:rtl/>
        </w:rPr>
        <w:t xml:space="preserve">هو أبو الحسن علی بن حماد بن عبید الله بن حماد العدوی و قد سرد نسبه کذلک النجاشی الذی ولد (372) فی آخر ترجمه من روی عنه ابن حماد و هو أبو أحمد عبد العزیز الجلودی ثم قال: و قد رأیت أبا الحسن بن حماد الشاعر رحمه الله فیظهر أنه بقی إلی أواخر المائة الرابعة، و یروی عنه بالإجازة الشیخ أبو عبد الله الحسین ابن عبید الله بن الغضائری الذی توفی (411) کما صرح به النجاشی و ترجمه الأمینی فی (الغدیر- ج 4- ص 125- ص 152) و أورد الغدیریات من أشعاره و غیرها بما یقرب من خمسمائة بیت و من قصائده ما رواه مؤلف المجدی المعاصر للشریف المرتضی منه عن أبی علی بن دانیال الذی کان من أرحامه و قال ابن دانیال أنشدنی إیاه ابن حماد لنفسه و الظاهر أن هذا الشاعر هو غیر ابن حماد الذی باسمه وضع خطبة ابن حماد کما ذکرنا فی (ج 7- ص 194- 196)</w:t>
      </w:r>
    </w:p>
    <w:p>
      <w:pPr>
        <w:pStyle w:val="Heading3"/>
      </w:pPr>
      <w:bookmarkStart w:id="1454" w:name="_Toc150"/>
      <w:r>
        <w:t>131- دیوان ابن حماد</w:t>
      </w:r>
      <w:bookmarkEnd w:id="1454"/>
    </w:p>
    <w:p>
      <w:pPr>
        <w:pStyle w:val="BookText"/>
      </w:pPr>
      <w:r>
        <w:rPr>
          <w:rFonts w:ascii="IRNazanin" w:hAnsi="IRNazanin" w:eastAsia="IRNazanin" w:cs="IRNazanin"/>
          <w:lang w:bidi="fa-IR"/>
          <w:color w:val="111111"/>
          <w:sz w:val="28"/>
          <w:szCs w:val="28"/>
          <w:rtl/>
        </w:rPr>
        <w:t xml:space="preserve">المتأخر عن سابقة و هو محمد بن حماد کما یظهر من آخر بعض قصائده، و المذکور تلک القصائد فی بعض المجامیع علی ما ذکره الأمینی فی (الغدیر- ج 4- ص 151) و هو قوله:</w:t>
      </w:r>
    </w:p>
    <w:p>
      <w:pPr>
        <w:pStyle w:val="BookText"/>
      </w:pPr>
      <w:r>
        <w:rPr>
          <w:rFonts w:ascii="IRNazanin" w:hAnsi="IRNazanin" w:eastAsia="IRNazanin" w:cs="IRNazanin"/>
          <w:lang w:bidi="fa-IR"/>
          <w:color w:val="111111"/>
          <w:sz w:val="28"/>
          <w:szCs w:val="28"/>
          <w:rtl/>
        </w:rPr>
        <w:t xml:space="preserve">لعل ابن حماد محمد عبدکم‏</w:t>
      </w:r>
    </w:p>
    <w:p>
      <w:pPr>
        <w:pStyle w:val="BookText"/>
      </w:pPr>
      <w:r>
        <w:rPr>
          <w:rFonts w:ascii="IRNazanin" w:hAnsi="IRNazanin" w:eastAsia="IRNazanin" w:cs="IRNazanin"/>
          <w:lang w:bidi="fa-IR"/>
          <w:color w:val="111111"/>
          <w:sz w:val="28"/>
          <w:szCs w:val="28"/>
          <w:rtl/>
        </w:rPr>
        <w:t xml:space="preserve">له فی غد خیر البریة شافع‏</w:t>
      </w:r>
    </w:p>
    <w:p>
      <w:pPr>
        <w:pStyle w:val="Heading3"/>
      </w:pPr>
      <w:bookmarkStart w:id="1455" w:name="_Toc151"/>
      <w:r>
        <w:t>132- دیوان ابن الخضری‏</w:t>
      </w:r>
      <w:bookmarkEnd w:id="1455"/>
    </w:p>
    <w:p>
      <w:pPr>
        <w:pStyle w:val="BookText"/>
      </w:pPr>
      <w:r>
        <w:rPr>
          <w:rFonts w:ascii="IRNazanin" w:hAnsi="IRNazanin" w:eastAsia="IRNazanin" w:cs="IRNazanin"/>
          <w:lang w:bidi="fa-IR"/>
          <w:color w:val="111111"/>
          <w:sz w:val="28"/>
          <w:szCs w:val="28"/>
          <w:rtl/>
        </w:rPr>
        <w:t xml:space="preserve">القاضی جمال الدین عبد الصمد ابن إبراهیم بن خلیل‏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21" w:name="pg11704_121497"/>
    <w:bookmarkEnd w:id="21"/>
    <w:p>
      <w:pPr>
        <w:pStyle w:val="BookText"/>
      </w:pPr>
      <w:r>
        <w:rPr>
          <w:rFonts w:ascii="IRNazanin" w:hAnsi="IRNazanin" w:eastAsia="IRNazanin" w:cs="IRNazanin"/>
          <w:lang w:bidi="fa-IR"/>
          <w:color w:val="111111"/>
          <w:sz w:val="28"/>
          <w:szCs w:val="28"/>
          <w:rtl/>
        </w:rPr>
        <w:t xml:space="preserve">مدح تقی الدین الزریرانی و رثاه و رثی ابن تیمیة مات ببغداد فی (رمضان- 765) کذا فی الشذرات و الدرر</w:t>
      </w:r>
    </w:p>
    <w:p>
      <w:pPr>
        <w:pStyle w:val="Heading3"/>
      </w:pPr>
      <w:bookmarkStart w:id="1456" w:name="_Toc152"/>
      <w:r>
        <w:t>133- دیوان ابن الخطیب الگنجی‏</w:t>
      </w:r>
      <w:bookmarkEnd w:id="1456"/>
    </w:p>
    <w:p>
      <w:pPr>
        <w:pStyle w:val="BookText"/>
      </w:pPr>
      <w:r>
        <w:rPr>
          <w:rFonts w:ascii="IRNazanin" w:hAnsi="IRNazanin" w:eastAsia="IRNazanin" w:cs="IRNazanin"/>
          <w:lang w:bidi="fa-IR"/>
          <w:color w:val="111111"/>
          <w:sz w:val="28"/>
          <w:szCs w:val="28"/>
          <w:rtl/>
        </w:rPr>
        <w:t xml:space="preserve">اسمه تاج الدین أحمد معاصر السلطان محمود الغزنوی ترجمه الحکیم شاه محمد القزوینی فی (بهش- ص 327)</w:t>
      </w:r>
    </w:p>
    <w:p>
      <w:pPr>
        <w:pStyle w:val="Heading3"/>
      </w:pPr>
      <w:bookmarkStart w:id="1457" w:name="_Toc153"/>
      <w:r>
        <w:t>134- دیوان ابن الخیاط الدمشقی‏</w:t>
      </w:r>
      <w:bookmarkEnd w:id="1457"/>
    </w:p>
    <w:p>
      <w:pPr>
        <w:pStyle w:val="BookText"/>
      </w:pPr>
      <w:r>
        <w:rPr>
          <w:rFonts w:ascii="IRNazanin" w:hAnsi="IRNazanin" w:eastAsia="IRNazanin" w:cs="IRNazanin"/>
          <w:lang w:bidi="fa-IR"/>
          <w:color w:val="111111"/>
          <w:sz w:val="28"/>
          <w:szCs w:val="28"/>
          <w:rtl/>
        </w:rPr>
        <w:t xml:space="preserve">أحمد بن محمد بن علی بن یحیی بن صدقة التغلبی المعروف بابن الخیاط أوله مدح الأمیر أبا القوام و ثاب نصر بن صالح رأیت نسخه منه فی مکتبة (العطار ببغداد) و فی آخرها نقل صورة ما کتبه ابن الخیاط بخطه إجازة لمن قرأ علیه دیوانه، و هو أبو عبد الله محمد بن نصر بن صغیر، و تاریخ الإجازة (517) أقول هی سنة وفاته لأنه توفی (11 رمضان) من هذه السنة کما ذکره ابن خلکان فی (ج 1- ص 46) و ذکر أنه ولد بدمشق (450) و توفی بها و هو من شعراء دمشق و دخل بلاد فارس قال و لا حاجة إلی ذکر شی‏ء من شعره لشهرة دیوانه و ترجمه فی شذرات الذهب (ج 4- ص 54) و حکی فیه عن السلفی و هو صدر الدین أحمد بن محمد الأصفهانی المتوفی (576) أنه قال قد اخترت من شعر ابن الخیاط مجلده لطیفة فسمعتها منه و قد طبع الدیوان بالنجف فی (1343) فی (236 ص)</w:t>
      </w:r>
    </w:p>
    <w:p>
      <w:pPr>
        <w:pStyle w:val="Heading3"/>
      </w:pPr>
      <w:bookmarkStart w:id="1458" w:name="_Toc154"/>
      <w:r>
        <w:t>135- دیوان ابن الخیاط الصنعانی‏</w:t>
      </w:r>
      <w:bookmarkEnd w:id="1458"/>
    </w:p>
    <w:p>
      <w:pPr>
        <w:pStyle w:val="BookText"/>
      </w:pPr>
      <w:r>
        <w:rPr>
          <w:rFonts w:ascii="IRNazanin" w:hAnsi="IRNazanin" w:eastAsia="IRNazanin" w:cs="IRNazanin"/>
          <w:lang w:bidi="fa-IR"/>
          <w:color w:val="111111"/>
          <w:sz w:val="28"/>
          <w:szCs w:val="28"/>
          <w:rtl/>
        </w:rPr>
        <w:t xml:space="preserve">الحسین بن علی بن موسی الخیاط الصنعانی، ترجمه کذلک معاصره السید ضیاء الدین یوسف فی نسمة السحر فیمن تشیع و شعر و کتب فی هامش النسخة أنه توفی (1140)</w:t>
      </w:r>
    </w:p>
    <w:p>
      <w:pPr>
        <w:pStyle w:val="Heading3"/>
      </w:pPr>
      <w:bookmarkStart w:id="1459" w:name="_Toc155"/>
      <w:r>
        <w:t>136- دیوان ابن داغر الحلی‏</w:t>
      </w:r>
      <w:bookmarkEnd w:id="1459"/>
    </w:p>
    <w:p>
      <w:pPr>
        <w:pStyle w:val="BookText"/>
      </w:pPr>
      <w:r>
        <w:rPr>
          <w:rFonts w:ascii="IRNazanin" w:hAnsi="IRNazanin" w:eastAsia="IRNazanin" w:cs="IRNazanin"/>
          <w:lang w:bidi="fa-IR"/>
          <w:color w:val="111111"/>
          <w:sz w:val="28"/>
          <w:szCs w:val="28"/>
          <w:rtl/>
        </w:rPr>
        <w:t xml:space="preserve">هو الشیخ مغامس بن داغر الحلی المتوفی بأواسط القرن التاسع، المتفرقة أشعاره الکثیرة فی الکتب و المجامیع و قد دون الشیخ محمد السماوی المتوفی (1370) بعضها فی مجموع یقرب من ألف و ثلاثمائة و خمسین بیتا و هو من شعراء الغدیر کما ذکر فی (الغدیر: ج 7- ص 24)</w:t>
      </w:r>
    </w:p>
    <w:p>
      <w:pPr>
        <w:pStyle w:val="Heading3"/>
      </w:pPr>
      <w:bookmarkStart w:id="1460" w:name="_Toc156"/>
      <w:r>
        <w:t>137- دیوان ابن دباس‏</w:t>
      </w:r>
      <w:bookmarkEnd w:id="1460"/>
    </w:p>
    <w:p>
      <w:pPr>
        <w:pStyle w:val="BookText"/>
      </w:pPr>
      <w:r>
        <w:rPr>
          <w:rFonts w:ascii="IRNazanin" w:hAnsi="IRNazanin" w:eastAsia="IRNazanin" w:cs="IRNazanin"/>
          <w:lang w:bidi="fa-IR"/>
          <w:color w:val="111111"/>
          <w:sz w:val="28"/>
          <w:szCs w:val="28"/>
          <w:rtl/>
        </w:rPr>
        <w:t xml:space="preserve">(1) النحوی اللغوی. و هو الحسین بن محمد بن عبد الوهاب بن‏ 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أحمد بن محمد بن الحسن بن عبد الله بن القاسم بن عبید الله بن سلیمان بن وهب أضر فی آخر عمره، و کان نحوی زمانه، و له دیوان شعر. هکذا وصفه و ذکر نسبه الشیخ شمس الدین محمد بن علی الجبعی المولود (822) و المتوفی (886) فی مجموعته التی کتبها بخطه و حصلت تلک المجموعة عند المجلسی فنقل صورة خطه بعینها فی مجلد إجازات البحار (ص 15) و تلک المجموعة رأیتها فی مکتبة شیخنا النوری، و توجد الآن بمکتبة (الملک) و السیوطی فی بغیة الوعاة- ص 236 سرد نسبه إلی أحمد و قال الحارثی البکری الدباسی المعروف بالبارع النحوی ثم نقل قول ابن النجار و الصفدی أنه کان نحویا لغویا مقربا حسن المعرفة بصنوف الآداب أقرأ القرآن و هو من بیت الوزارة</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ثم استوزر ابن القاسم المقتدر بالله أبو الفضل جعفر أخ المکتفی علی، الذی جلس بعد موت أخیه إلی أن قتل (320) و هو الحسین بن القاسم بن عبید الله بن سلیمان بن وهب. و بالجملة عدة من أجداده کانوا قائمین بوزارة العباسیین قرب ستین سنة کما هو مسطور فی تواریخ الخلفاء و مذکور فی دستور الوزراء الفارسی فی (ص 72 و 73 و 75 و 81) و یظهر من کتاب الوزراء للجهشیاری (ص 96) أن جد سلیمان بن وهب کان من أهل الذمة و اسمه ساهویه الواسطی، و قد قطع یده حمادا الترکی الذی قلده المنصور تعدیل السواد فی الأنبار.</w:t>
      </w:r>
    </w:p>
    <w:p>
      <w:pPr>
        <w:pStyle w:val="BookText"/>
      </w:pPr>
      <w:r>
        <w:rPr>
          <w:rFonts w:ascii="IRNazanin" w:hAnsi="IRNazanin" w:eastAsia="IRNazanin" w:cs="IRNazanin"/>
          <w:lang w:bidi="fa-IR"/>
          <w:color w:val="111111"/>
          <w:sz w:val="28"/>
          <w:szCs w:val="28"/>
          <w:rtl/>
        </w:rPr>
        <w:t xml:space="preserve">و من فضلاء هذا البیت أبو الحسین إسحاق بن إبراهیم بن سلیمان بن وهب، کما یظهر من کتابه الموسوم بالبرهان فی وجوه البیان الموجود فی مکتبات لندن کما کتبه إلینا الفاضل مجتبی المینوی مستظهرا أنه من الإمامیة و کذلک آباؤه الوزراء المذکورون، و إنه مطابق لنقد النثر المطبوع مکررا و المنسوب إلی قدامة بن جعفر البغدادی المتوفی (310).</w:t>
      </w:r>
    </w:p>
    <w:p>
      <w:pPr>
        <w:pStyle w:val="BookText"/>
      </w:pPr>
      <w:r>
        <w:rPr>
          <w:rFonts w:ascii="IRNazanin" w:hAnsi="IRNazanin" w:eastAsia="IRNazanin" w:cs="IRNazanin"/>
          <w:lang w:bidi="fa-IR"/>
          <w:color w:val="111111"/>
          <w:sz w:val="28"/>
          <w:szCs w:val="28"/>
          <w:rtl/>
        </w:rPr>
        <w:t xml:space="preserve">و بینه و بین‏).</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2" w:name="pg11704_121499"/>
    <w:bookmarkEnd w:id="22"/>
    <w:p>
      <w:pPr>
        <w:pStyle w:val="BookText"/>
      </w:pPr>
      <w:r>
        <w:rPr>
          <w:rFonts w:ascii="IRNazanin" w:hAnsi="IRNazanin" w:eastAsia="IRNazanin" w:cs="IRNazanin"/>
          <w:lang w:bidi="fa-IR"/>
          <w:color w:val="111111"/>
          <w:sz w:val="28"/>
          <w:szCs w:val="28"/>
          <w:rtl/>
        </w:rPr>
        <w:t xml:space="preserve">ابن الهباریة مداعبات‏</w:t>
      </w:r>
      <w:r>
        <w:rPr>
          <w:rStyle w:val="FootnoteReference"/>
        </w:rPr>
        <w:footnoteReference w:id="3"/>
      </w:r>
      <w:r>
        <w:rPr>
          <w:rFonts w:ascii="IRNazanin" w:hAnsi="IRNazanin" w:eastAsia="IRNazanin" w:cs="IRNazanin"/>
          <w:lang w:bidi="fa-IR"/>
          <w:color w:val="111111"/>
          <w:sz w:val="28"/>
          <w:szCs w:val="28"/>
          <w:rtl/>
        </w:rPr>
        <w:t xml:space="preserve">إلی قوله و له شعر فی الغایة و أضر بآخر عمره. ولد (443) و مات لیلة الثلاثاء (17- ج 2- 524).</w:t>
      </w:r>
    </w:p>
    <w:p>
      <w:pPr>
        <w:pStyle w:val="Heading3"/>
      </w:pPr>
      <w:bookmarkStart w:id="1461" w:name="_Toc157"/>
      <w:r>
        <w:t>138- دیوان ابن دعبل‏</w:t>
      </w:r>
      <w:bookmarkEnd w:id="1461"/>
    </w:p>
    <w:p>
      <w:pPr>
        <w:pStyle w:val="BookText"/>
      </w:pPr>
      <w:r>
        <w:rPr>
          <w:rFonts w:ascii="IRNazanin" w:hAnsi="IRNazanin" w:eastAsia="IRNazanin" w:cs="IRNazanin"/>
          <w:lang w:bidi="fa-IR"/>
          <w:color w:val="111111"/>
          <w:sz w:val="28"/>
          <w:szCs w:val="28"/>
          <w:rtl/>
        </w:rPr>
        <w:t xml:space="preserve">هو الحسین بن دعبل بن رزین بن سلیمان [و فی النجاشی بدل سلیمان، عثمان‏] بن عبد الله بن بدیل بن ورقاء الخزاعی. نحو مائتی ورقة. ذکره ابن الندیم (ص 229) و ذکر أباه و جده و جد أبیه رزین بن سلیمان و قال کلهم شعراء. و یأتی دیوان أبی الشیص ابن عم دعبل. و مر دیوان ابن أبی الشیص. و ذکر تمام نسبه ابن خلکان فی (ج 1- ص 178).</w:t>
      </w:r>
    </w:p>
    <w:p>
      <w:pPr>
        <w:pStyle w:val="Heading3"/>
      </w:pPr>
      <w:bookmarkStart w:id="1462" w:name="_Toc158"/>
      <w:r>
        <w:t>139- دیوان ابن رزیک‏</w:t>
      </w:r>
      <w:bookmarkEnd w:id="1462"/>
    </w:p>
    <w:p>
      <w:pPr>
        <w:pStyle w:val="BookText"/>
      </w:pPr>
      <w:r>
        <w:rPr>
          <w:rFonts w:ascii="IRNazanin" w:hAnsi="IRNazanin" w:eastAsia="IRNazanin" w:cs="IRNazanin"/>
          <w:lang w:bidi="fa-IR"/>
          <w:color w:val="111111"/>
          <w:sz w:val="28"/>
          <w:szCs w:val="28"/>
          <w:rtl/>
        </w:rPr>
        <w:t xml:space="preserve">الملک الصالح أبو الغارات طلائع بن رزیک فارس المسلمین نصیر الدین وزیر الخلیفة الفاطمی الفائز بالله المتوفی (555) ثم العاضد بالله المتوفی (567) و هو آخر من ولی من الفاطمیین بمصر، و فی أیامه قوی السلطان صلاح الدین یوسف بن أیوب بن شادی بن مروان الکردی، فاستقل هو بالملک فی مصر (567) إلی أن مات (589).</w:t>
      </w:r>
    </w:p>
    <w:p>
      <w:pPr>
        <w:pStyle w:val="BookText"/>
      </w:pPr>
      <w:r>
        <w:rPr>
          <w:rFonts w:ascii="IRNazanin" w:hAnsi="IRNazanin" w:eastAsia="IRNazanin" w:cs="IRNazanin"/>
          <w:lang w:bidi="fa-IR"/>
          <w:color w:val="111111"/>
          <w:sz w:val="28"/>
          <w:szCs w:val="28"/>
          <w:rtl/>
        </w:rPr>
        <w:t xml:space="preserve">ولد ابن رزیک (495) و ولی (549) و قتل (556) کما أرخه ابن خلکان (ج 1- ص 238) و قال وقفت علی دیوان شعره و هو فی جزءین، ثم ذکر بعض شعره. و ترجمه ضیاء الدین یوسف فی نسمة السحر فیمن تشیع و شعر.</w:t>
      </w:r>
    </w:p>
    <w:p>
      <w:pPr>
        <w:pStyle w:val="Heading3"/>
      </w:pPr>
      <w:bookmarkStart w:id="1463" w:name="_Toc159"/>
      <w:r>
        <w:t>140- دیوان ابن رزین‏</w:t>
      </w:r>
      <w:bookmarkEnd w:id="1463"/>
    </w:p>
    <w:p>
      <w:pPr>
        <w:pStyle w:val="BookText"/>
      </w:pPr>
      <w:r>
        <w:rPr>
          <w:rFonts w:ascii="IRNazanin" w:hAnsi="IRNazanin" w:eastAsia="IRNazanin" w:cs="IRNazanin"/>
          <w:lang w:bidi="fa-IR"/>
          <w:color w:val="111111"/>
          <w:sz w:val="28"/>
          <w:szCs w:val="28"/>
          <w:rtl/>
        </w:rPr>
        <w:t xml:space="preserve">هو علی بن رزین بن سلیمان الخزاعی والد دعبل الخزاعی. قال ابن الندیم فی (ص 229) الرزین بن سلیمان له شعره. ثم قال علی بن رزین شاعر شعره نحو خمسین ورقة، ثم قال دعبل بن علی نحو ثلاثمائة ورقة قد عمله الصولی.</w:t>
      </w:r>
    </w:p>
    <w:p>
      <w:pPr>
        <w:pStyle w:val="Heading3"/>
      </w:pPr>
      <w:bookmarkStart w:id="1464" w:name="_Toc160"/>
      <w:r>
        <w:t>141- دیوان ابن روح آرانی‏</w:t>
      </w:r>
      <w:bookmarkEnd w:id="1464"/>
    </w:p>
    <w:p>
      <w:pPr>
        <w:pStyle w:val="BookText"/>
      </w:pPr>
      <w:r>
        <w:rPr>
          <w:rFonts w:ascii="IRNazanin" w:hAnsi="IRNazanin" w:eastAsia="IRNazanin" w:cs="IRNazanin"/>
          <w:lang w:bidi="fa-IR"/>
          <w:color w:val="111111"/>
          <w:sz w:val="28"/>
          <w:szCs w:val="28"/>
          <w:rtl/>
        </w:rPr>
        <w:t xml:space="preserve">و اسمه محمد رضا بن محمد الآرانی من أعمال کاشان.</w:t>
      </w:r>
    </w:p>
    <w:p>
      <w:pPr>
        <w:pStyle w:val="BookText"/>
      </w:pPr>
      <w:r>
        <w:rPr>
          <w:rFonts w:ascii="IRNazanin" w:hAnsi="IRNazanin" w:eastAsia="IRNazanin" w:cs="IRNazanin"/>
          <w:lang w:bidi="fa-IR"/>
          <w:color w:val="111111"/>
          <w:sz w:val="28"/>
          <w:szCs w:val="28"/>
          <w:rtl/>
        </w:rPr>
        <w:t xml:space="preserve">هو والد بیضائی الآتی دیوانه المطبوع. ذکر فی مقدمه دیوان البیضائی الآتی. .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3" w:name="pg11704_121500"/>
    <w:bookmarkEnd w:id="23"/>
    <w:p>
      <w:pPr>
        <w:pStyle w:val="Heading3"/>
      </w:pPr>
      <w:bookmarkStart w:id="1465" w:name="_Toc161"/>
      <w:r>
        <w:t>142- دیوان ابن الرومی‏</w:t>
      </w:r>
      <w:bookmarkEnd w:id="1465"/>
    </w:p>
    <w:p>
      <w:pPr>
        <w:pStyle w:val="BookText"/>
      </w:pPr>
      <w:r>
        <w:rPr>
          <w:rFonts w:ascii="IRNazanin" w:hAnsi="IRNazanin" w:eastAsia="IRNazanin" w:cs="IRNazanin"/>
          <w:lang w:bidi="fa-IR"/>
          <w:color w:val="111111"/>
          <w:sz w:val="28"/>
          <w:szCs w:val="28"/>
          <w:rtl/>
        </w:rPr>
        <w:t xml:space="preserve">هو أبو الحسن علی بن العباس بن جریج (جورجیس) البغدادی المولود بها فی (221) و المتوفی بها مسموما فی الأربعاء (28- ج 1- 283) و قد دس علیه السم الوزیر أبو الحسین القاسم بن عبید الله بن سلیمان بن وهب، کما فضله ابن خلکان فی (ج 1- ص 351) و قال إنه لم یرتب شعره و انما عمله بعده أبو بکر الصولی علی الحروف، و رتبه أیضا وراق بن عبدوس و زاد علی ترتیب الصولی و غیره نحو ألف بیت. و ترجمه فی نسمة السحر و ابن الصباغ فی الفصول المهمة عده من شعراء الإمام الهادی. و حکی عن الصفدی فی الغیث أنه اختار شعره الخالدیان و ابن نباتة المصری.</w:t>
      </w:r>
    </w:p>
    <w:p>
      <w:pPr>
        <w:pStyle w:val="BookText"/>
      </w:pPr>
      <w:r>
        <w:rPr>
          <w:rFonts w:ascii="IRNazanin" w:hAnsi="IRNazanin" w:eastAsia="IRNazanin" w:cs="IRNazanin"/>
          <w:lang w:bidi="fa-IR"/>
          <w:color w:val="111111"/>
          <w:sz w:val="28"/>
          <w:szCs w:val="28"/>
          <w:rtl/>
        </w:rPr>
        <w:t xml:space="preserve">و من شعره قوله:</w:t>
      </w:r>
    </w:p>
    <w:p>
      <w:pPr>
        <w:pStyle w:val="BookText"/>
      </w:pPr>
      <w:r>
        <w:rPr>
          <w:rFonts w:ascii="IRNazanin" w:hAnsi="IRNazanin" w:eastAsia="IRNazanin" w:cs="IRNazanin"/>
          <w:lang w:bidi="fa-IR"/>
          <w:color w:val="111111"/>
          <w:sz w:val="28"/>
          <w:szCs w:val="28"/>
          <w:rtl/>
        </w:rPr>
        <w:t xml:space="preserve">تراب أبی تراب کحل عینی‏</w:t>
      </w:r>
    </w:p>
    <w:p>
      <w:pPr>
        <w:pStyle w:val="BookText"/>
      </w:pPr>
      <w:r>
        <w:rPr>
          <w:rFonts w:ascii="IRNazanin" w:hAnsi="IRNazanin" w:eastAsia="IRNazanin" w:cs="IRNazanin"/>
          <w:lang w:bidi="fa-IR"/>
          <w:color w:val="111111"/>
          <w:sz w:val="28"/>
          <w:szCs w:val="28"/>
          <w:rtl/>
        </w:rPr>
        <w:t xml:space="preserve">إذا رمدت جلوت به قذاها</w:t>
      </w:r>
    </w:p>
    <w:p>
      <w:pPr>
        <w:pStyle w:val="BookText"/>
      </w:pPr>
      <w:r>
        <w:rPr>
          <w:rFonts w:ascii="IRNazanin" w:hAnsi="IRNazanin" w:eastAsia="IRNazanin" w:cs="IRNazanin"/>
          <w:lang w:bidi="fa-IR"/>
          <w:color w:val="111111"/>
          <w:sz w:val="28"/>
          <w:szCs w:val="28"/>
          <w:rtl/>
        </w:rPr>
        <w:t xml:space="preserve">تلذ لی الملامة فی هواه‏</w:t>
      </w:r>
    </w:p>
    <w:p>
      <w:pPr>
        <w:pStyle w:val="BookText"/>
      </w:pPr>
      <w:r>
        <w:rPr>
          <w:rFonts w:ascii="IRNazanin" w:hAnsi="IRNazanin" w:eastAsia="IRNazanin" w:cs="IRNazanin"/>
          <w:lang w:bidi="fa-IR"/>
          <w:color w:val="111111"/>
          <w:sz w:val="28"/>
          <w:szCs w:val="28"/>
          <w:rtl/>
        </w:rPr>
        <w:t xml:space="preserve">لذکراه و استحلی أذاها</w:t>
      </w:r>
    </w:p>
    <w:p>
      <w:pPr>
        <w:pStyle w:val="BookText"/>
      </w:pPr>
      <w:r>
        <w:rPr>
          <w:rFonts w:ascii="IRNazanin" w:hAnsi="IRNazanin" w:eastAsia="IRNazanin" w:cs="IRNazanin"/>
          <w:lang w:bidi="fa-IR"/>
          <w:color w:val="111111"/>
          <w:sz w:val="28"/>
          <w:szCs w:val="28"/>
          <w:rtl/>
        </w:rPr>
        <w:t xml:space="preserve">و ترجمه ابن الندیم (ص 235) و ذکر أن الصولی عمل شعره فی مائتی ورقة، و ذکر أیضا جمعا من غلمان ابن الرومی الذین عملوا شعره فی مائة ورقة، و قال إن الوراق زاد علی جمیع تلک النسخ نحو ألف بیت. و قد طبع هذا الدیوان فی هلند مرة، و فی مصر مرتین ناقصا و تاما، و منتخبه لابن سینا یأتی فی المیم، و قصیدته فی رثاء أبی الحسین یحیی بن عمر بن یحیی بن الحسین ذی الدمعة بن زید الشهید الذی خرج فی أیام المستعین أحمد بن المعتصم المتوفی (252) فی مائة و عشرة أبیات، أدرجها أبو الفرج الأصفهانی فی مقاتل الطالبیین (ص 410) عند ذکره لأخبار أبی الحسین یحیی المذکور کما ذکر فی رسالة الغفران (ج 2- ص 58). و أورد السید بن طاوس فی فرج المهموم (ص 132) مدیح ابن الرومی للمنجمین من بنی نوبخت و وصفه بقوله ابن الرومی الشیعی. و قد اختار کامل الگیلانی من هذا الدیوان قطعات بغیر ترتیب و جعلها فی ثلاثة أجزاء، و طبعها فی مجلد واحد فی (402 ص) فی (1924 م) بمصر ثم کتب فی آخره فهرسا مرتبا فیه للقطعات علی الحروف مع تعیین الصفحات. و یذکر أیام الحجة المنتظرة فی الرثاء المذکور بقوله:</w:t>
      </w:r>
    </w:p>
    <w:p>
      <w:pPr>
        <w:pStyle w:val="BookText"/>
      </w:pPr>
      <w:r>
        <w:rPr>
          <w:rFonts w:ascii="IRNazanin" w:hAnsi="IRNazanin" w:eastAsia="IRNazanin" w:cs="IRNazanin"/>
          <w:lang w:bidi="fa-IR"/>
          <w:color w:val="111111"/>
          <w:sz w:val="28"/>
          <w:szCs w:val="28"/>
          <w:rtl/>
        </w:rPr>
        <w:t xml:space="preserve">فیدرک ثار الله أنصار دینه‏</w:t>
      </w:r>
    </w:p>
    <w:p>
      <w:pPr>
        <w:pStyle w:val="BookText"/>
      </w:pPr>
      <w:r>
        <w:rPr>
          <w:rFonts w:ascii="IRNazanin" w:hAnsi="IRNazanin" w:eastAsia="IRNazanin" w:cs="IRNazanin"/>
          <w:lang w:bidi="fa-IR"/>
          <w:color w:val="111111"/>
          <w:sz w:val="28"/>
          <w:szCs w:val="28"/>
          <w:rtl/>
        </w:rPr>
        <w:t xml:space="preserve">و لله أوس آخرون و خزرج‏</w:t>
      </w:r>
    </w:p>
    <w:p>
      <w:pPr>
        <w:pStyle w:val="BookText"/>
      </w:pPr>
      <w:r>
        <w:rPr>
          <w:rFonts w:ascii="IRNazanin" w:hAnsi="IRNazanin" w:eastAsia="IRNazanin" w:cs="IRNazanin"/>
          <w:lang w:bidi="fa-IR"/>
          <w:color w:val="111111"/>
          <w:sz w:val="28"/>
          <w:szCs w:val="28"/>
          <w:rtl/>
        </w:rPr>
        <w:t xml:space="preserve">و یقضی إمام الحق فیکم قضائه‏</w:t>
      </w:r>
    </w:p>
    <w:p>
      <w:pPr>
        <w:pStyle w:val="BookText"/>
      </w:pPr>
      <w:r>
        <w:rPr>
          <w:rFonts w:ascii="IRNazanin" w:hAnsi="IRNazanin" w:eastAsia="IRNazanin" w:cs="IRNazanin"/>
          <w:lang w:bidi="fa-IR"/>
          <w:color w:val="111111"/>
          <w:sz w:val="28"/>
          <w:szCs w:val="28"/>
          <w:rtl/>
        </w:rPr>
        <w:t xml:space="preserve">تماما و ما کل الحوامل تخدج‏</w:t>
      </w:r>
    </w:p>
    <w:p>
      <w:pPr>
        <w:pStyle w:val="Heading3"/>
      </w:pPr>
      <w:bookmarkStart w:id="1466" w:name="_Toc162"/>
      <w:r>
        <w:t>143- دیوان ابن زریق‏</w:t>
      </w:r>
      <w:bookmarkEnd w:id="1466"/>
    </w:p>
    <w:p>
      <w:pPr>
        <w:pStyle w:val="BookText"/>
      </w:pPr>
      <w:r>
        <w:rPr>
          <w:rFonts w:ascii="IRNazanin" w:hAnsi="IRNazanin" w:eastAsia="IRNazanin" w:cs="IRNazanin"/>
          <w:lang w:bidi="fa-IR"/>
          <w:color w:val="111111"/>
          <w:sz w:val="28"/>
          <w:szCs w:val="28"/>
          <w:rtl/>
        </w:rPr>
        <w:t xml:space="preserve">أبو الحسن علی الکاتب. أورد فی کشف الظنون له قصیدة فی إحدی‏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4" w:name="pg11704_121501"/>
    <w:bookmarkEnd w:id="24"/>
    <w:p>
      <w:pPr>
        <w:pStyle w:val="BookText"/>
      </w:pPr>
      <w:r>
        <w:rPr>
          <w:rFonts w:ascii="IRNazanin" w:hAnsi="IRNazanin" w:eastAsia="IRNazanin" w:cs="IRNazanin"/>
          <w:lang w:bidi="fa-IR"/>
          <w:color w:val="111111"/>
          <w:sz w:val="28"/>
          <w:szCs w:val="28"/>
          <w:rtl/>
        </w:rPr>
        <w:t xml:space="preserve">و أربعین بیتا و أطرأه.</w:t>
      </w:r>
    </w:p>
    <w:p>
      <w:pPr>
        <w:pStyle w:val="Heading3"/>
      </w:pPr>
      <w:bookmarkStart w:id="1467" w:name="_Toc163"/>
      <w:r>
        <w:t>144- دیوان ابن الساعاتی‏</w:t>
      </w:r>
      <w:bookmarkEnd w:id="1467"/>
    </w:p>
    <w:p>
      <w:pPr>
        <w:pStyle w:val="BookText"/>
      </w:pPr>
      <w:r>
        <w:rPr>
          <w:rFonts w:ascii="IRNazanin" w:hAnsi="IRNazanin" w:eastAsia="IRNazanin" w:cs="IRNazanin"/>
          <w:lang w:bidi="fa-IR"/>
          <w:color w:val="111111"/>
          <w:sz w:val="28"/>
          <w:szCs w:val="28"/>
          <w:rtl/>
        </w:rPr>
        <w:t xml:space="preserve">هو بهاء الدین أبو الحسن علی بن رستم بن هردوز الخراسانی المولود (553) و المتوفی (604) هو أخو رضوان بن رستم الفیلسوف. طبع دیوانه فی مجلدین کبیرین ثانیهما فی بیروت بمکتبة الأمریکائیة فی (1939 م). و فی (ص 319) من هذا المجلد قوله فی مدح أمیر المؤمنین علیه السلام :</w:t>
      </w:r>
    </w:p>
    <w:p>
      <w:pPr>
        <w:pStyle w:val="BookText"/>
      </w:pPr>
      <w:r>
        <w:rPr>
          <w:rFonts w:ascii="IRNazanin" w:hAnsi="IRNazanin" w:eastAsia="IRNazanin" w:cs="IRNazanin"/>
          <w:lang w:bidi="fa-IR"/>
          <w:color w:val="111111"/>
          <w:sz w:val="28"/>
          <w:szCs w:val="28"/>
          <w:rtl/>
        </w:rPr>
        <w:t xml:space="preserve">أ مجادلی فیمن رویت صفاته‏</w:t>
      </w:r>
    </w:p>
    <w:p>
      <w:pPr>
        <w:pStyle w:val="BookText"/>
      </w:pPr>
      <w:r>
        <w:rPr>
          <w:rFonts w:ascii="IRNazanin" w:hAnsi="IRNazanin" w:eastAsia="IRNazanin" w:cs="IRNazanin"/>
          <w:lang w:bidi="fa-IR"/>
          <w:color w:val="111111"/>
          <w:sz w:val="28"/>
          <w:szCs w:val="28"/>
          <w:rtl/>
        </w:rPr>
        <w:t xml:space="preserve">عن هل أتی و شرفن من أوصاف‏</w:t>
      </w:r>
    </w:p>
    <w:p>
      <w:pPr>
        <w:pStyle w:val="BookText"/>
      </w:pPr>
      <w:r>
        <w:rPr>
          <w:rFonts w:ascii="IRNazanin" w:hAnsi="IRNazanin" w:eastAsia="IRNazanin" w:cs="IRNazanin"/>
          <w:lang w:bidi="fa-IR"/>
          <w:color w:val="111111"/>
          <w:sz w:val="28"/>
          <w:szCs w:val="28"/>
          <w:rtl/>
        </w:rPr>
        <w:t xml:space="preserve">أ تظن تأخیر الإمام نقیصة</w:t>
      </w:r>
    </w:p>
    <w:p>
      <w:pPr>
        <w:pStyle w:val="BookText"/>
      </w:pPr>
      <w:r>
        <w:rPr>
          <w:rFonts w:ascii="IRNazanin" w:hAnsi="IRNazanin" w:eastAsia="IRNazanin" w:cs="IRNazanin"/>
          <w:lang w:bidi="fa-IR"/>
          <w:color w:val="111111"/>
          <w:sz w:val="28"/>
          <w:szCs w:val="28"/>
          <w:rtl/>
        </w:rPr>
        <w:t xml:space="preserve">النقص للأطراف لا الأشراف‏</w:t>
      </w:r>
    </w:p>
    <w:p>
      <w:pPr>
        <w:pStyle w:val="BookText"/>
      </w:pPr>
      <w:r>
        <w:rPr>
          <w:rFonts w:ascii="IRNazanin" w:hAnsi="IRNazanin" w:eastAsia="IRNazanin" w:cs="IRNazanin"/>
          <w:lang w:bidi="fa-IR"/>
          <w:color w:val="111111"/>
          <w:sz w:val="28"/>
          <w:szCs w:val="28"/>
          <w:rtl/>
        </w:rPr>
        <w:t xml:space="preserve">زوج البتول و والد السبطین‏</w:t>
      </w:r>
    </w:p>
    <w:p>
      <w:pPr>
        <w:pStyle w:val="BookText"/>
      </w:pPr>
      <w:r>
        <w:rPr>
          <w:rFonts w:ascii="IRNazanin" w:hAnsi="IRNazanin" w:eastAsia="IRNazanin" w:cs="IRNazanin"/>
          <w:lang w:bidi="fa-IR"/>
          <w:color w:val="111111"/>
          <w:sz w:val="28"/>
          <w:szCs w:val="28"/>
          <w:rtl/>
        </w:rPr>
        <w:t xml:space="preserve">و الفادی النبی و نجل عبد مناف‏</w:t>
      </w:r>
    </w:p>
    <w:p>
      <w:pPr>
        <w:pStyle w:val="BookText"/>
      </w:pPr>
      <w:r>
        <w:rPr>
          <w:rFonts w:ascii="IRNazanin" w:hAnsi="IRNazanin" w:eastAsia="IRNazanin" w:cs="IRNazanin"/>
          <w:lang w:bidi="fa-IR"/>
          <w:color w:val="111111"/>
          <w:sz w:val="28"/>
          <w:szCs w:val="28"/>
          <w:rtl/>
        </w:rPr>
        <w:t xml:space="preserve">أ و ما تری أن الکواکب سبعة</w:t>
      </w:r>
    </w:p>
    <w:p>
      <w:pPr>
        <w:pStyle w:val="BookText"/>
      </w:pPr>
      <w:r>
        <w:rPr>
          <w:rFonts w:ascii="IRNazanin" w:hAnsi="IRNazanin" w:eastAsia="IRNazanin" w:cs="IRNazanin"/>
          <w:lang w:bidi="fa-IR"/>
          <w:color w:val="111111"/>
          <w:sz w:val="28"/>
          <w:szCs w:val="28"/>
          <w:rtl/>
        </w:rPr>
        <w:t xml:space="preserve">و الشمس رائقة بغیر خلاف‏</w:t>
      </w:r>
    </w:p>
    <w:p>
      <w:pPr>
        <w:pStyle w:val="BookText"/>
      </w:pPr>
      <w:r>
        <w:rPr>
          <w:rFonts w:ascii="IRNazanin" w:hAnsi="IRNazanin" w:eastAsia="IRNazanin" w:cs="IRNazanin"/>
          <w:lang w:bidi="fa-IR"/>
          <w:color w:val="111111"/>
          <w:sz w:val="28"/>
          <w:szCs w:val="28"/>
          <w:rtl/>
        </w:rPr>
        <w:t xml:space="preserve">و له دیوان آخر لطیف سماه مقطعات النبیل ذکره فی کفظ- ج 1- ص 499.</w:t>
      </w:r>
    </w:p>
    <w:p>
      <w:pPr>
        <w:pStyle w:val="Heading3"/>
      </w:pPr>
      <w:bookmarkStart w:id="1468" w:name="_Toc164"/>
      <w:r>
        <w:t>145- دیوان ابن سنان الخفاجی‏</w:t>
      </w:r>
      <w:bookmarkEnd w:id="1468"/>
    </w:p>
    <w:p>
      <w:pPr>
        <w:pStyle w:val="BookText"/>
      </w:pPr>
      <w:r>
        <w:rPr>
          <w:rFonts w:ascii="IRNazanin" w:hAnsi="IRNazanin" w:eastAsia="IRNazanin" w:cs="IRNazanin"/>
          <w:lang w:bidi="fa-IR"/>
          <w:color w:val="111111"/>
          <w:sz w:val="28"/>
          <w:szCs w:val="28"/>
          <w:rtl/>
        </w:rPr>
        <w:t xml:space="preserve">هو أبو محمد عبد الله بن محمد بن سعید الحلبی الشاعر الشیعی. قتله محمود بن صالح بالسم فی (466). نقل عنه ابن طاوس فی اللهوف قوله:</w:t>
      </w:r>
    </w:p>
    <w:p>
      <w:pPr>
        <w:pStyle w:val="BookText"/>
      </w:pPr>
      <w:r>
        <w:rPr>
          <w:rFonts w:ascii="IRNazanin" w:hAnsi="IRNazanin" w:eastAsia="IRNazanin" w:cs="IRNazanin"/>
          <w:lang w:bidi="fa-IR"/>
          <w:color w:val="111111"/>
          <w:sz w:val="28"/>
          <w:szCs w:val="28"/>
          <w:rtl/>
        </w:rPr>
        <w:t xml:space="preserve">أ علی المنابر تعلنون بسبه‏</w:t>
      </w:r>
    </w:p>
    <w:p>
      <w:pPr>
        <w:pStyle w:val="BookText"/>
      </w:pPr>
      <w:r>
        <w:rPr>
          <w:rFonts w:ascii="IRNazanin" w:hAnsi="IRNazanin" w:eastAsia="IRNazanin" w:cs="IRNazanin"/>
          <w:lang w:bidi="fa-IR"/>
          <w:color w:val="111111"/>
          <w:sz w:val="28"/>
          <w:szCs w:val="28"/>
          <w:rtl/>
        </w:rPr>
        <w:t xml:space="preserve">و بسیفه نصبت لکم أعوادها</w:t>
      </w:r>
    </w:p>
    <w:p>
      <w:pPr>
        <w:pStyle w:val="BookText"/>
      </w:pPr>
      <w:r>
        <w:rPr>
          <w:rFonts w:ascii="IRNazanin" w:hAnsi="IRNazanin" w:eastAsia="IRNazanin" w:cs="IRNazanin"/>
          <w:lang w:bidi="fa-IR"/>
          <w:color w:val="111111"/>
          <w:sz w:val="28"/>
          <w:szCs w:val="28"/>
          <w:rtl/>
        </w:rPr>
        <w:t xml:space="preserve">کان أمیر الموصل و له نذر قندیل ذهب و شمعدان فی کل سنة لمشهد أمیر المؤمنین علیه السلام  فجمع فی الخزانة الغرویة أربعین قندیلا مکتوب علیها اسمه. و له سر الفصاحة المطبوع فی برلین و طبع دیوانه فی بیروت فی (1316) فی (116 ص).</w:t>
      </w:r>
    </w:p>
    <w:p>
      <w:pPr>
        <w:pStyle w:val="Heading3"/>
      </w:pPr>
      <w:bookmarkStart w:id="1469" w:name="_Toc165"/>
      <w:r>
        <w:t>146- دیوان ابن سنا ملک‏</w:t>
      </w:r>
      <w:bookmarkEnd w:id="1469"/>
    </w:p>
    <w:p>
      <w:pPr>
        <w:pStyle w:val="BookText"/>
      </w:pPr>
      <w:r>
        <w:rPr>
          <w:rFonts w:ascii="IRNazanin" w:hAnsi="IRNazanin" w:eastAsia="IRNazanin" w:cs="IRNazanin"/>
          <w:lang w:bidi="fa-IR"/>
          <w:color w:val="111111"/>
          <w:sz w:val="28"/>
          <w:szCs w:val="28"/>
          <w:rtl/>
        </w:rPr>
        <w:t xml:space="preserve">توجد نسخته بمدرسة جامع الپاشا بالموصل کما فی فهرس مخطوطات الموصل (ص 47).</w:t>
      </w:r>
    </w:p>
    <w:p>
      <w:pPr>
        <w:pStyle w:val="Heading3"/>
      </w:pPr>
      <w:bookmarkStart w:id="1470" w:name="_Toc166"/>
      <w:r>
        <w:t>147- دیوان ابن سودون‏</w:t>
      </w:r>
      <w:bookmarkEnd w:id="1470"/>
    </w:p>
    <w:p>
      <w:pPr>
        <w:pStyle w:val="BookText"/>
      </w:pPr>
      <w:r>
        <w:rPr>
          <w:rFonts w:ascii="IRNazanin" w:hAnsi="IRNazanin" w:eastAsia="IRNazanin" w:cs="IRNazanin"/>
          <w:lang w:bidi="fa-IR"/>
          <w:color w:val="111111"/>
          <w:sz w:val="28"/>
          <w:szCs w:val="28"/>
          <w:rtl/>
        </w:rPr>
        <w:t xml:space="preserve">توجد نسخه منه فی مدرسة حسن پاشا بالموصل کما فی الفهرس المذکور (ص 136).</w:t>
      </w:r>
    </w:p>
    <w:p>
      <w:pPr>
        <w:pStyle w:val="Heading3"/>
      </w:pPr>
      <w:bookmarkStart w:id="1471" w:name="_Toc167"/>
      <w:r>
        <w:t>148- دیوان ابن سهل الإسرائیلی‏</w:t>
      </w:r>
      <w:bookmarkEnd w:id="1471"/>
    </w:p>
    <w:p>
      <w:pPr>
        <w:pStyle w:val="BookText"/>
      </w:pPr>
      <w:r>
        <w:rPr>
          <w:rFonts w:ascii="IRNazanin" w:hAnsi="IRNazanin" w:eastAsia="IRNazanin" w:cs="IRNazanin"/>
          <w:lang w:bidi="fa-IR"/>
          <w:color w:val="111111"/>
          <w:sz w:val="28"/>
          <w:szCs w:val="28"/>
          <w:rtl/>
        </w:rPr>
        <w:t xml:space="preserve">أبو إسحاق إبراهیم بن سهل الإشبیلی. ولد (605) و مات غریقا (649). جمع دیوانه الشیخ حسن العطار. طبع بمصر (1279) و (1302) و بیروت (1885 م) و منتخبه بمصر (1292).</w:t>
      </w:r>
    </w:p>
    <w:p>
      <w:pPr>
        <w:pStyle w:val="Heading3"/>
      </w:pPr>
      <w:bookmarkStart w:id="1472" w:name="_Toc168"/>
      <w:r>
        <w:t>149- دیوان ابن سهل الأندلسی‏</w:t>
      </w:r>
      <w:bookmarkEnd w:id="1472"/>
    </w:p>
    <w:p>
      <w:pPr>
        <w:pStyle w:val="BookText"/>
      </w:pPr>
      <w:r>
        <w:rPr>
          <w:rFonts w:ascii="IRNazanin" w:hAnsi="IRNazanin" w:eastAsia="IRNazanin" w:cs="IRNazanin"/>
          <w:lang w:bidi="fa-IR"/>
          <w:color w:val="111111"/>
          <w:sz w:val="28"/>
          <w:szCs w:val="28"/>
          <w:rtl/>
        </w:rPr>
        <w:t xml:space="preserve">جمعه و شرحه حسین القرنی. طبع بمصر فی (1926 م) فی (124 ص).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5" w:name="pg11704_121502"/>
    <w:bookmarkEnd w:id="25"/>
    <w:p>
      <w:pPr>
        <w:pStyle w:val="Heading3"/>
      </w:pPr>
      <w:bookmarkStart w:id="1473" w:name="_Toc169"/>
      <w:r>
        <w:t>150- دیوان ابن سینا</w:t>
      </w:r>
      <w:bookmarkEnd w:id="1473"/>
    </w:p>
    <w:p>
      <w:pPr>
        <w:pStyle w:val="BookText"/>
      </w:pPr>
      <w:r>
        <w:rPr>
          <w:rFonts w:ascii="IRNazanin" w:hAnsi="IRNazanin" w:eastAsia="IRNazanin" w:cs="IRNazanin"/>
          <w:lang w:bidi="fa-IR"/>
          <w:color w:val="111111"/>
          <w:sz w:val="28"/>
          <w:szCs w:val="28"/>
          <w:rtl/>
        </w:rPr>
        <w:t xml:space="preserve">أبو علی الحسین بن عبد الله بن سینا. ذکر فی أکثر التذاکر أشعارا فارسیة له، و القصیدة العینیة العربیة له معروفة. و یأتی له منتخب دیوان ابن الرومی.</w:t>
      </w:r>
    </w:p>
    <w:p>
      <w:pPr>
        <w:pStyle w:val="Heading3"/>
      </w:pPr>
      <w:bookmarkStart w:id="1474" w:name="_Toc170"/>
      <w:r>
        <w:t>151- دیوان ابن شهاب العلوی‏</w:t>
      </w:r>
      <w:bookmarkEnd w:id="1474"/>
    </w:p>
    <w:p>
      <w:pPr>
        <w:pStyle w:val="BookText"/>
      </w:pPr>
      <w:r>
        <w:rPr>
          <w:rFonts w:ascii="IRNazanin" w:hAnsi="IRNazanin" w:eastAsia="IRNazanin" w:cs="IRNazanin"/>
          <w:lang w:bidi="fa-IR"/>
          <w:color w:val="111111"/>
          <w:sz w:val="28"/>
          <w:szCs w:val="28"/>
          <w:rtl/>
        </w:rPr>
        <w:t xml:space="preserve">أبو بکر ابن شهاب المتوفی (1340) نابغة الیمن.</w:t>
      </w:r>
    </w:p>
    <w:p>
      <w:pPr>
        <w:pStyle w:val="BookText"/>
      </w:pPr>
      <w:r>
        <w:rPr>
          <w:rFonts w:ascii="IRNazanin" w:hAnsi="IRNazanin" w:eastAsia="IRNazanin" w:cs="IRNazanin"/>
          <w:lang w:bidi="fa-IR"/>
          <w:color w:val="111111"/>
          <w:sz w:val="28"/>
          <w:szCs w:val="28"/>
          <w:rtl/>
        </w:rPr>
        <w:t xml:space="preserve">طبع کما فی مجلة المرشد البغدادیة.</w:t>
      </w:r>
    </w:p>
    <w:p>
      <w:pPr>
        <w:pStyle w:val="Heading3"/>
      </w:pPr>
      <w:bookmarkStart w:id="1475" w:name="_Toc171"/>
      <w:r>
        <w:t>152- دیوان ابن الصائغ‏</w:t>
      </w:r>
      <w:bookmarkEnd w:id="1475"/>
    </w:p>
    <w:p>
      <w:pPr>
        <w:pStyle w:val="BookText"/>
      </w:pPr>
      <w:r>
        <w:rPr>
          <w:rFonts w:ascii="IRNazanin" w:hAnsi="IRNazanin" w:eastAsia="IRNazanin" w:cs="IRNazanin"/>
          <w:lang w:bidi="fa-IR"/>
          <w:color w:val="111111"/>
          <w:sz w:val="28"/>
          <w:szCs w:val="28"/>
          <w:rtl/>
        </w:rPr>
        <w:t xml:space="preserve">شمس الدین محمد بن الحسن (محمد بن عبد الرحمن). (720- 777).</w:t>
      </w:r>
    </w:p>
    <w:p>
      <w:pPr>
        <w:pStyle w:val="BookText"/>
      </w:pPr>
      <w:r>
        <w:rPr>
          <w:rFonts w:ascii="IRNazanin" w:hAnsi="IRNazanin" w:eastAsia="IRNazanin" w:cs="IRNazanin"/>
          <w:lang w:bidi="fa-IR"/>
          <w:color w:val="111111"/>
          <w:sz w:val="28"/>
          <w:szCs w:val="28"/>
          <w:rtl/>
        </w:rPr>
        <w:t xml:space="preserve">أورد له فی کشف الظنون قصیدة فی فنون شتی.</w:t>
      </w:r>
    </w:p>
    <w:p>
      <w:pPr>
        <w:pStyle w:val="Heading3"/>
      </w:pPr>
      <w:bookmarkStart w:id="1476" w:name="_Toc172"/>
      <w:r>
        <w:t>153- دیوان ابن طباطبا العلوی‏</w:t>
      </w:r>
      <w:bookmarkEnd w:id="1476"/>
    </w:p>
    <w:p>
      <w:pPr>
        <w:pStyle w:val="BookText"/>
      </w:pPr>
      <w:r>
        <w:rPr>
          <w:rFonts w:ascii="IRNazanin" w:hAnsi="IRNazanin" w:eastAsia="IRNazanin" w:cs="IRNazanin"/>
          <w:lang w:bidi="fa-IR"/>
          <w:color w:val="111111"/>
          <w:sz w:val="28"/>
          <w:szCs w:val="28"/>
          <w:rtl/>
        </w:rPr>
        <w:t xml:space="preserve">کذا ذکره ابن الندیم (ص 196) و ذکر سائر تصانیفه و منها عیار الشعر. و هو السید الشریف النسابة أبو الحسن محمد بن أحمد بن محمد مؤلف تقریظ الدفاتر المذکور مع تمام نسبه فی (ج 4- ص 387)</w:t>
      </w:r>
      <w:r>
        <w:rPr>
          <w:rStyle w:val="FootnoteReference"/>
        </w:rPr>
        <w:footnoteReference w:id="4"/>
      </w:r>
      <w:r>
        <w:rPr>
          <w:rFonts w:ascii="IRNazanin" w:hAnsi="IRNazanin" w:eastAsia="IRNazanin" w:cs="IRNazanin"/>
          <w:lang w:bidi="fa-IR"/>
          <w:color w:val="111111"/>
          <w:sz w:val="28"/>
          <w:szCs w:val="28"/>
          <w:rtl/>
        </w:rPr>
        <w:t xml:space="preserve">و هو أبو الحسن ابن طباطبا الشاعر الأصفهانی. و هو غیر أبی القاسم بن طباطبا الرسی المصری المتوفی بها (345) المترجم فی ابن خلکان (ج 1- ص 40) و قد نقل ابن خلکان فی تلک الصفحة بعض أشعار هذا الدیوان و قال لا أدری من هذا أبو الحسن و لا وجه النسبة بینه و بین أبی القاسم المذکور. أقول هما ابنا عم بعید فإن أبا الحسن الشاعر الأصفهانی و صاحب هذا الدیوان هو محمد بن أحمد بن محمد بن أحمد الرئیس بن إبراهیم طباطبا و أما أبو القاسم الرسی المصری فهو أحمد بن محمد بن إسماعیل الدیباج ابن إبراهیم طباطبا، فالأول من أحفاد أحمد الرئیس، و الثانی من أحفاد إسماعیل الدیباج و هما أخوان.</w:t>
      </w:r>
    </w:p>
    <w:p>
      <w:pPr>
        <w:pStyle w:val="Heading3"/>
      </w:pPr>
      <w:bookmarkStart w:id="1477" w:name="_Toc173"/>
      <w:r>
        <w:t>154- دیوان ابن عبدون‏</w:t>
      </w:r>
      <w:bookmarkEnd w:id="1477"/>
    </w:p>
    <w:p>
      <w:pPr>
        <w:pStyle w:val="BookText"/>
      </w:pPr>
      <w:r>
        <w:rPr>
          <w:rFonts w:ascii="IRNazanin" w:hAnsi="IRNazanin" w:eastAsia="IRNazanin" w:cs="IRNazanin"/>
          <w:lang w:bidi="fa-IR"/>
          <w:color w:val="111111"/>
          <w:sz w:val="28"/>
          <w:szCs w:val="28"/>
          <w:rtl/>
        </w:rPr>
        <w:t xml:space="preserve">هو أبو محمد عبد المجید محمد بن عبد الله الوزیر الفهری المتوفی (529). ذکر فی (کفظ) قصیدته البسامة فی الأدب و التاریخ. المطبوعة مع شرحها فی (1340) فی (320 ص).</w:t>
      </w:r>
    </w:p>
    <w:p>
      <w:pPr>
        <w:pStyle w:val="Heading3"/>
      </w:pPr>
      <w:bookmarkStart w:id="1478" w:name="_Toc174"/>
      <w:r>
        <w:t>155- دیوان ابن العربی‏</w:t>
      </w:r>
      <w:bookmarkEnd w:id="1478"/>
    </w:p>
    <w:p>
      <w:pPr>
        <w:pStyle w:val="BookText"/>
      </w:pPr>
      <w:r>
        <w:rPr>
          <w:rFonts w:ascii="IRNazanin" w:hAnsi="IRNazanin" w:eastAsia="IRNazanin" w:cs="IRNazanin"/>
          <w:lang w:bidi="fa-IR"/>
          <w:color w:val="111111"/>
          <w:sz w:val="28"/>
          <w:szCs w:val="28"/>
          <w:rtl/>
        </w:rPr>
        <w:t xml:space="preserve">محیی الدین. و دیوانه یسمی ترجمان الأشواق و قد ترجمه نیکلسون بالإنگلیزیة و طبعت مکررا. و طبع دیوان ابن العربی أو الدیوان الأکبر بالحروف الفارسیة بمصر (1271) فی (478 ص) و علی الحجر بالهند فی (244 ص).</w:t>
      </w:r>
    </w:p>
    <w:p>
      <w:pPr>
        <w:pStyle w:val="Heading3"/>
      </w:pPr>
      <w:bookmarkStart w:id="1479" w:name="_Toc175"/>
      <w:r>
        <w:t>156- دیوان ابن العرندس‏</w:t>
      </w:r>
      <w:bookmarkEnd w:id="1479"/>
    </w:p>
    <w:p>
      <w:pPr>
        <w:pStyle w:val="BookText"/>
      </w:pPr>
      <w:r>
        <w:rPr>
          <w:rFonts w:ascii="IRNazanin" w:hAnsi="IRNazanin" w:eastAsia="IRNazanin" w:cs="IRNazanin"/>
          <w:lang w:bidi="fa-IR"/>
          <w:color w:val="111111"/>
          <w:sz w:val="28"/>
          <w:szCs w:val="28"/>
          <w:rtl/>
        </w:rPr>
        <w:t xml:space="preserve">هو الشیخ صالح بن عبد الوهاب بن العرندس الحلی المتوفی‏ ).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6" w:name="pg11704_121503"/>
    <w:bookmarkEnd w:id="26"/>
    <w:p>
      <w:pPr>
        <w:pStyle w:val="BookText"/>
      </w:pPr>
      <w:r>
        <w:rPr>
          <w:rFonts w:ascii="IRNazanin" w:hAnsi="IRNazanin" w:eastAsia="IRNazanin" w:cs="IRNazanin"/>
          <w:lang w:bidi="fa-IR"/>
          <w:color w:val="111111"/>
          <w:sz w:val="28"/>
          <w:szCs w:val="28"/>
          <w:rtl/>
        </w:rPr>
        <w:t xml:space="preserve">حدود (840) کما أرخه السماوی فی الطلیعة و ترجمه فی (الغدیر 7- ص 3).</w:t>
      </w:r>
    </w:p>
    <w:p>
      <w:pPr>
        <w:pStyle w:val="Heading3"/>
      </w:pPr>
      <w:bookmarkStart w:id="1480" w:name="_Toc176"/>
      <w:r>
        <w:t>157- دیوان ابن عماد</w:t>
      </w:r>
      <w:bookmarkEnd w:id="1480"/>
    </w:p>
    <w:p>
      <w:pPr>
        <w:pStyle w:val="BookText"/>
      </w:pPr>
      <w:r>
        <w:rPr>
          <w:rFonts w:ascii="IRNazanin" w:hAnsi="IRNazanin" w:eastAsia="IRNazanin" w:cs="IRNazanin"/>
          <w:lang w:bidi="fa-IR"/>
          <w:color w:val="111111"/>
          <w:sz w:val="28"/>
          <w:szCs w:val="28"/>
          <w:rtl/>
        </w:rPr>
        <w:t xml:space="preserve">صاحب ده‏نامه المذکور فی (ج 8: 283) و له روضة المحبین المثنوی الفارسی اللطیف الموجود نسختان منه فی مکتبة الملک تحت رقمی (102 و 182) و قد ترجم أحواله دولت شاه فی الطبقة الخامسة.</w:t>
      </w:r>
    </w:p>
    <w:p>
      <w:pPr>
        <w:pStyle w:val="Heading3"/>
      </w:pPr>
      <w:bookmarkStart w:id="1481" w:name="_Toc177"/>
      <w:r>
        <w:t>158- دیوان ابن عنین‏</w:t>
      </w:r>
      <w:bookmarkEnd w:id="1481"/>
    </w:p>
    <w:p>
      <w:pPr>
        <w:pStyle w:val="BookText"/>
      </w:pPr>
      <w:r>
        <w:rPr>
          <w:rFonts w:ascii="IRNazanin" w:hAnsi="IRNazanin" w:eastAsia="IRNazanin" w:cs="IRNazanin"/>
          <w:lang w:bidi="fa-IR"/>
          <w:color w:val="111111"/>
          <w:sz w:val="28"/>
          <w:szCs w:val="28"/>
          <w:rtl/>
        </w:rPr>
        <w:t xml:space="preserve">بضم العین المهملة و فتح النون کما ضبطه ابن خلکان (ج 2- ص 27) لأبی المحاسن محمد بن نصر الله بن مکارم بن حسین بن عنین الأنصاری الکوفی الدمشقی المولد (ولد فی الاثنین 9 شعبان 549) و توفی فی ربیع الأول (630) عن إحدی و ثمانین سنة ذکره فی الشذرات (ج 5- ص 140) و قال بعد الإطراء بفضله: إنه لم یکن فی دینه بذاک، و إن دیوانه مشهور و ترجمه ابن خلکان فی (ج 2- ص 25) و قال رأیته بإربل (623) و قال لم یکن له غرض فی جمع شعره، لکنه یوجد منه مقاطیع فی أیدی الناس، و جمع له بعض أهل دمشق دیوانا صغیرا و رمی الشذرات فی دینه إشارة إلی إخلاصه للصدیقة علیه السلام  و ما أنشأه من الشعر فی الاعتذار عنها المروی فی عمدة الطالب (ص 113) طبع الهند و (ص 119) طبع النجف، و قد أسقطوا هذه الأشعار عن جملة من نسخ الدیوان و لکن فی الطبع الأخیر فی دمشق فی (1365) أدرج فیه الأشعار حکایة عن العمدة و هو طبع جید، و فیه مقدمه للطبع و فهارس عدیدة و أورد الأشعار أیضا البادرانی فی کتابه الدر النظیم، و غیره من المصنفین کما فی عمدة الطالب و نقله عنه السماوی فی ظرافة الأحلام (ص 52) و لکن الدر النظیم هذا مما لم نظفر به حتی الیوم‏</w:t>
      </w:r>
    </w:p>
    <w:p>
      <w:pPr>
        <w:pStyle w:val="Heading3"/>
      </w:pPr>
      <w:bookmarkStart w:id="1482" w:name="_Toc178"/>
      <w:r>
        <w:t>159- دیوان ابن فارض‏</w:t>
      </w:r>
      <w:bookmarkEnd w:id="1482"/>
    </w:p>
    <w:p>
      <w:pPr>
        <w:pStyle w:val="BookText"/>
      </w:pPr>
      <w:r>
        <w:rPr>
          <w:rFonts w:ascii="IRNazanin" w:hAnsi="IRNazanin" w:eastAsia="IRNazanin" w:cs="IRNazanin"/>
          <w:lang w:bidi="fa-IR"/>
          <w:color w:val="111111"/>
          <w:sz w:val="28"/>
          <w:szCs w:val="28"/>
          <w:rtl/>
        </w:rPr>
        <w:t xml:space="preserve">هو أبو حفص [أو أبو القاسم‏] عمر بن أبی الحسن علی بن مرشد الصوفی المصری و أصله من حماة ولد (4- ذی القعدة- 576) و توفی (2- ج 1- 632) أورد الشیخ البهائی قصائده فی الکشکول و القاضی فی المجالس جمع دیوانه سبطه علی، نقلا عن ابنه جمال الدین محمد، و جعل له مقدمه فی أحواله، و قد الفوا فی شرح هذا الدیوان و شرح أجزائه کالتائیتین الصغری و الکبری و کذا فی رده کتبا ذکر بعضها فی کشف الظنون و طبع الدیوان مکررا و توجد نسخه منه کتابتها (775) فی مکتبة (المشکاة) (مکتبة جامعة طهران) کما فی فهرسها (ج 2 ص 92)</w:t>
      </w:r>
    </w:p>
    <w:p>
      <w:pPr>
        <w:pStyle w:val="Heading3"/>
      </w:pPr>
      <w:bookmarkStart w:id="1483" w:name="_Toc179"/>
      <w:r>
        <w:t>160- دیوان ابن الفقیه العاملی‏</w:t>
      </w:r>
      <w:bookmarkEnd w:id="1483"/>
    </w:p>
    <w:p>
      <w:pPr>
        <w:pStyle w:val="BookText"/>
      </w:pPr>
      <w:r>
        <w:rPr>
          <w:rFonts w:ascii="IRNazanin" w:hAnsi="IRNazanin" w:eastAsia="IRNazanin" w:cs="IRNazanin"/>
          <w:lang w:bidi="fa-IR"/>
          <w:color w:val="111111"/>
          <w:sz w:val="28"/>
          <w:szCs w:val="28"/>
          <w:rtl/>
        </w:rPr>
        <w:t xml:space="preserve">توجد نسخته فی مکتبة (السماوی)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7" w:name="pg11704_121504"/>
    <w:bookmarkEnd w:id="27"/>
    <w:p>
      <w:pPr>
        <w:pStyle w:val="Heading3"/>
      </w:pPr>
      <w:bookmarkStart w:id="1484" w:name="_Toc180"/>
      <w:r>
        <w:t>161- دیوان ابن کمال‏</w:t>
      </w:r>
      <w:bookmarkEnd w:id="1484"/>
    </w:p>
    <w:p>
      <w:pPr>
        <w:pStyle w:val="BookText"/>
      </w:pPr>
      <w:r>
        <w:rPr>
          <w:rFonts w:ascii="IRNazanin" w:hAnsi="IRNazanin" w:eastAsia="IRNazanin" w:cs="IRNazanin"/>
          <w:lang w:bidi="fa-IR"/>
          <w:color w:val="111111"/>
          <w:sz w:val="28"/>
          <w:szCs w:val="28"/>
          <w:rtl/>
        </w:rPr>
        <w:t xml:space="preserve">توجد نسخته فی مکتبة مدرسة جامع الپاشا بالموصل کما فی فهرس مخطوطات الموصل (ص 47)</w:t>
      </w:r>
    </w:p>
    <w:p>
      <w:pPr>
        <w:pStyle w:val="Heading3"/>
      </w:pPr>
      <w:bookmarkStart w:id="1485" w:name="_Toc181"/>
      <w:r>
        <w:t>162- دیوان ابن کمبار</w:t>
      </w:r>
      <w:bookmarkEnd w:id="1485"/>
    </w:p>
    <w:p>
      <w:pPr>
        <w:pStyle w:val="BookText"/>
      </w:pPr>
      <w:r>
        <w:rPr>
          <w:rFonts w:ascii="IRNazanin" w:hAnsi="IRNazanin" w:eastAsia="IRNazanin" w:cs="IRNazanin"/>
          <w:lang w:bidi="fa-IR"/>
          <w:color w:val="111111"/>
          <w:sz w:val="28"/>
          <w:szCs w:val="28"/>
          <w:rtl/>
        </w:rPr>
        <w:t xml:space="preserve">للشیخ محمد بن یوسف بن علی بن کمبار الصیمری النعیمی البلادی الشهید بید الخوارج (1131) کما فی الفیض القدسی أو (1130) کما فی اللؤلؤة و هو من تلامیذ الشیخ محمد بن ماجد البحرانی و السید المحدث الجزائری و یروی عنه الشیخ عبد الله السماهیجی کما فی إجازته و دیوانه هذا فی المراثی کما ذکر فی أنوار البدرین و غیره‏</w:t>
      </w:r>
    </w:p>
    <w:p>
      <w:pPr>
        <w:pStyle w:val="Heading3"/>
      </w:pPr>
      <w:bookmarkStart w:id="1486" w:name="_Toc182"/>
      <w:r>
        <w:t>163- دیوان ابن کمونة</w:t>
      </w:r>
      <w:bookmarkEnd w:id="1486"/>
    </w:p>
    <w:p>
      <w:pPr>
        <w:pStyle w:val="BookText"/>
      </w:pPr>
      <w:r>
        <w:rPr>
          <w:rFonts w:ascii="IRNazanin" w:hAnsi="IRNazanin" w:eastAsia="IRNazanin" w:cs="IRNazanin"/>
          <w:lang w:bidi="fa-IR"/>
          <w:color w:val="111111"/>
          <w:sz w:val="28"/>
          <w:szCs w:val="28"/>
          <w:rtl/>
        </w:rPr>
        <w:t xml:space="preserve">الحاج محمد علی بن الشیخ محمد کمونة الأسدی النجفی الأصل الحائری المسکن کان هو و أخویه الحاج مهدی و الشیخ محمد حسن کمونة من سدنة الحرم الحسینی، و توفی بالوباء، لیلة الأحد من جمادی الآخرة (1282) و هو مناهز الثمانین طبع دیوانه (1367) مع مقدمه فی ترجمته بقلم جامع الدیوان و المعلق علیه و المباشر لطبعه الفاضل محمد کاظم بن الشیخ کاتب الطریحی النجفی‏</w:t>
      </w:r>
    </w:p>
    <w:p>
      <w:pPr>
        <w:pStyle w:val="Heading3"/>
      </w:pPr>
      <w:bookmarkStart w:id="1487" w:name="_Toc183"/>
      <w:r>
        <w:t>164- دیوان ابن لعلی‏</w:t>
      </w:r>
      <w:bookmarkEnd w:id="1487"/>
    </w:p>
    <w:p>
      <w:pPr>
        <w:pStyle w:val="BookText"/>
      </w:pPr>
      <w:r>
        <w:rPr>
          <w:rFonts w:ascii="IRNazanin" w:hAnsi="IRNazanin" w:eastAsia="IRNazanin" w:cs="IRNazanin"/>
          <w:lang w:bidi="fa-IR"/>
          <w:color w:val="111111"/>
          <w:sz w:val="28"/>
          <w:szCs w:val="28"/>
          <w:rtl/>
        </w:rPr>
        <w:t xml:space="preserve">کان والده سلطان بدخشان، و ترجمهما شاه محمد القزوینی فی (مجن- ص 209) و فی (لط- ص 36) بعنوان شاه بدخشان المتخلص بلعلی و ابن لعلی ثم أورد بیتین من شعره‏</w:t>
      </w:r>
    </w:p>
    <w:p>
      <w:pPr>
        <w:pStyle w:val="Heading3"/>
      </w:pPr>
      <w:bookmarkStart w:id="1488" w:name="_Toc184"/>
      <w:r>
        <w:t>165- دیوان ابن لؤلؤ الذهبی‏</w:t>
      </w:r>
      <w:bookmarkEnd w:id="1488"/>
    </w:p>
    <w:p>
      <w:pPr>
        <w:pStyle w:val="BookText"/>
      </w:pPr>
      <w:r>
        <w:rPr>
          <w:rFonts w:ascii="IRNazanin" w:hAnsi="IRNazanin" w:eastAsia="IRNazanin" w:cs="IRNazanin"/>
          <w:lang w:bidi="fa-IR"/>
          <w:color w:val="111111"/>
          <w:sz w:val="28"/>
          <w:szCs w:val="28"/>
          <w:rtl/>
        </w:rPr>
        <w:t xml:space="preserve">هو بدر الدین بن یوسف بن لؤلؤ الذهبی المتوفی (680) یوجد بالکاظمیة بمکتبة الشیخ محمد رضا الخالصی المعروف بشالچی موسی و الظاهر أنه غیر محمد بن علی بن لؤلؤ الأندلسی الخطیب المتوفی (750) فراجعه‏</w:t>
      </w:r>
    </w:p>
    <w:p>
      <w:pPr>
        <w:pStyle w:val="Heading3"/>
      </w:pPr>
      <w:bookmarkStart w:id="1489" w:name="_Toc185"/>
      <w:r>
        <w:t>166- دیوان ابن المتوج‏</w:t>
      </w:r>
      <w:bookmarkEnd w:id="1489"/>
    </w:p>
    <w:p>
      <w:pPr>
        <w:pStyle w:val="BookText"/>
      </w:pPr>
      <w:r>
        <w:rPr>
          <w:rFonts w:ascii="IRNazanin" w:hAnsi="IRNazanin" w:eastAsia="IRNazanin" w:cs="IRNazanin"/>
          <w:lang w:bidi="fa-IR"/>
          <w:color w:val="111111"/>
          <w:sz w:val="28"/>
          <w:szCs w:val="28"/>
          <w:rtl/>
        </w:rPr>
        <w:t xml:space="preserve">الشیخ عبد الله بن سعید بن المتوج البحرانی والد الشیخ فخر الدین أحمد بن عبد الله بن سعید الذی کان من مشایخ أبی العباس أحمد بن فهد الحلی الذی توفی (841) حکی صاحب الریاض عن المولی محمد سعید المرندی فی کتابه تحفه الإخوان الفارسی ترجمه هذا المؤلف و ذکر تصانیفه إلی قوله و کان مراثیه عشرین ألف بیت فی مجلدین و لکن فی المحکی عن المرندی فی الریاض عند ترجمه عبد الله بن سعید بن المتوج إجمال بحیث یحتمل أن یکون التصانیف لهذا الشیخ أو لولده فخر الدین الذی ذکرنا أنه کان من مشایخ أحمد بن فهد الحلی، کما أن معاصره المشارک‏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8" w:name="pg11704_121505"/>
    <w:bookmarkEnd w:id="28"/>
    <w:p>
      <w:pPr>
        <w:pStyle w:val="BookText"/>
      </w:pPr>
      <w:r>
        <w:rPr>
          <w:rFonts w:ascii="IRNazanin" w:hAnsi="IRNazanin" w:eastAsia="IRNazanin" w:cs="IRNazanin"/>
          <w:lang w:bidi="fa-IR"/>
          <w:color w:val="111111"/>
          <w:sz w:val="28"/>
          <w:szCs w:val="28"/>
          <w:rtl/>
        </w:rPr>
        <w:t xml:space="preserve">معه فی الاسم و اسم الأب و الجد الأعلی و المباین معه فی جملة من الممیزات الآخر و هو الشیخ جمال الدین أحمد بن عبد الله بن محمد بن علی بن الحسن بن المتوج البحرانی کان من مشایخ أحمد بن فهد الأحسائی و قد ذکرنا ترجمه هذین الأحمدین فی الضیاء اللامع لبیان عباقرة القرن التاسع و رجحنا تعددهما لاختلاف اللقب و النسب و بعض المشایخ و التلامیذ و التصانیف، و مال إلی التعدد السید الأمین فی الجزء التاسع من أعیان الشیعة فذکر ترجمه فخر الدین فی (ص 24) و ترجمه جمال الدین فی (ص 38) و نقل عنا ما رجحناه فی (ص 28) لکنه وقع فی الطبع فی السطر التاسع الحلی و الصحیح الأحسائی و وقع فی السطر الثالث عشر الأحسائی و الصحیح الحلی‏</w:t>
      </w:r>
    </w:p>
    <w:p>
      <w:pPr>
        <w:pStyle w:val="Heading3"/>
      </w:pPr>
      <w:bookmarkStart w:id="1490" w:name="_Toc186"/>
      <w:r>
        <w:t>167- دیوان ابن مطروح‏</w:t>
      </w:r>
      <w:bookmarkEnd w:id="1490"/>
    </w:p>
    <w:p>
      <w:pPr>
        <w:pStyle w:val="BookText"/>
      </w:pPr>
      <w:r>
        <w:rPr>
          <w:rFonts w:ascii="IRNazanin" w:hAnsi="IRNazanin" w:eastAsia="IRNazanin" w:cs="IRNazanin"/>
          <w:lang w:bidi="fa-IR"/>
          <w:color w:val="111111"/>
          <w:sz w:val="28"/>
          <w:szCs w:val="28"/>
          <w:rtl/>
        </w:rPr>
        <w:t xml:space="preserve">أبو الحسن یحیی بن عیسی بن إبراهیم بن حسین بن علی کان یلقب بجمال الدین المصری ولد بأسیوط فی (592) و مات بالقاهرة (649) ترجمه ابن خلکان و أکثر دیوانه فی مدح السلطان الملک الصالح أبی الفتح أیوب طبع مع دیوان ابن الأحنف بأستانبول (1298)</w:t>
      </w:r>
    </w:p>
    <w:p>
      <w:pPr>
        <w:pStyle w:val="Heading3"/>
      </w:pPr>
      <w:bookmarkStart w:id="1491" w:name="_Toc187"/>
      <w:r>
        <w:t>168- دیوان ابن معتوق‏</w:t>
      </w:r>
      <w:bookmarkEnd w:id="1491"/>
    </w:p>
    <w:p>
      <w:pPr>
        <w:pStyle w:val="BookText"/>
      </w:pPr>
      <w:r>
        <w:rPr>
          <w:rFonts w:ascii="IRNazanin" w:hAnsi="IRNazanin" w:eastAsia="IRNazanin" w:cs="IRNazanin"/>
          <w:lang w:bidi="fa-IR"/>
          <w:color w:val="111111"/>
          <w:sz w:val="28"/>
          <w:szCs w:val="28"/>
          <w:rtl/>
        </w:rPr>
        <w:t xml:space="preserve">و هو السید شهاب الدین أحمد بن ناصر بن معتوق الموسوی الحویزی المتوفی (الأحد- 14 شوال- 1087) عن اثنتین و ستین سنة جمع الدیوان ولد الناظم معتوق بن شهاب الدین بعد فوت والده و رتبه علی ثلاثة فصول: المدائح، و المراثی، و المتفرقات، و صدره باسم السید علی خان بن خلف الحویزی، و طبع مرة علی الحجر بمصر (1271) و أخری علی الحروف بمطبعة شرف (1302) و أخری بالإسکندریة (1290) و أخری ببیروت (1885 م) فی (239 ص) أول قصائده فی مدیح النبی  صلی الله علیه و آله  نظمه فی (1062) أوله:</w:t>
      </w:r>
    </w:p>
    <w:p>
      <w:pPr>
        <w:pStyle w:val="BookText"/>
      </w:pPr>
      <w:r>
        <w:rPr>
          <w:rFonts w:ascii="IRNazanin" w:hAnsi="IRNazanin" w:eastAsia="IRNazanin" w:cs="IRNazanin"/>
          <w:lang w:bidi="fa-IR"/>
          <w:color w:val="111111"/>
          <w:sz w:val="28"/>
          <w:szCs w:val="28"/>
          <w:rtl/>
        </w:rPr>
        <w:t xml:space="preserve">هذا العقیق و تلک ثم رعانه‏</w:t>
      </w:r>
    </w:p>
    <w:p>
      <w:pPr>
        <w:pStyle w:val="BookText"/>
      </w:pPr>
      <w:r>
        <w:rPr>
          <w:rFonts w:ascii="IRNazanin" w:hAnsi="IRNazanin" w:eastAsia="IRNazanin" w:cs="IRNazanin"/>
          <w:lang w:bidi="fa-IR"/>
          <w:color w:val="111111"/>
          <w:sz w:val="28"/>
          <w:szCs w:val="28"/>
          <w:rtl/>
        </w:rPr>
        <w:t xml:space="preserve">فافرج لجین الدمع فی عقیانه‏</w:t>
      </w:r>
    </w:p>
    <w:p>
      <w:pPr>
        <w:pStyle w:val="Heading3"/>
      </w:pPr>
      <w:bookmarkStart w:id="1492" w:name="_Toc188"/>
      <w:r>
        <w:t>دیوان ابن معصوم‏</w:t>
      </w:r>
      <w:bookmarkEnd w:id="1492"/>
    </w:p>
    <w:p>
      <w:pPr>
        <w:pStyle w:val="BookText"/>
      </w:pPr>
      <w:r>
        <w:rPr>
          <w:rFonts w:ascii="IRNazanin" w:hAnsi="IRNazanin" w:eastAsia="IRNazanin" w:cs="IRNazanin"/>
          <w:lang w:bidi="fa-IR"/>
          <w:color w:val="111111"/>
          <w:sz w:val="28"/>
          <w:szCs w:val="28"/>
          <w:rtl/>
        </w:rPr>
        <w:t xml:space="preserve">یأتی بعنوان دیوان السید علی خان المدنی توجد نسخ منه بهذا العنوان فی الخدیویة و مکتبات موصل و غیرها کما فی فهارسها</w:t>
      </w:r>
    </w:p>
    <w:p>
      <w:pPr>
        <w:pStyle w:val="Heading3"/>
      </w:pPr>
      <w:bookmarkStart w:id="1493" w:name="_Toc189"/>
      <w:r>
        <w:t>169- دیوان ابن المعلم‏</w:t>
      </w:r>
      <w:bookmarkEnd w:id="1493"/>
    </w:p>
    <w:p>
      <w:pPr>
        <w:pStyle w:val="BookText"/>
      </w:pPr>
      <w:r>
        <w:rPr>
          <w:rFonts w:ascii="IRNazanin" w:hAnsi="IRNazanin" w:eastAsia="IRNazanin" w:cs="IRNazanin"/>
          <w:lang w:bidi="fa-IR"/>
          <w:color w:val="111111"/>
          <w:sz w:val="28"/>
          <w:szCs w:val="28"/>
          <w:rtl/>
        </w:rPr>
        <w:t xml:space="preserve">هو نجم الدین أبو الغنائم محمد بن علی بن فارس بن علی بن عبد الله بن الحسین بن القاسم المعروف بابن المعلم المولود (17- ج 2- 501) و المتوفی رابع رجب (592) ترجمه کذلک ابن خلکان فی (ج 2- ص 22) و قال دیوانه مشهور کثیر الوجود بأیدی الناس و ذکر قصیدته فی وقعة الجمل المشعر بحسن عقیدته‏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9" w:name="pg11704_121506"/>
    <w:bookmarkEnd w:id="29"/>
    <w:p>
      <w:pPr>
        <w:pStyle w:val="BookText"/>
      </w:pPr>
      <w:r>
        <w:rPr>
          <w:rFonts w:ascii="IRNazanin" w:hAnsi="IRNazanin" w:eastAsia="IRNazanin" w:cs="IRNazanin"/>
          <w:lang w:bidi="fa-IR"/>
          <w:color w:val="111111"/>
          <w:sz w:val="28"/>
          <w:szCs w:val="28"/>
          <w:rtl/>
        </w:rPr>
        <w:t xml:space="preserve">و یوجد نسخه منه فی مجلد کبیر فی مکتبة السید (هبة الدین) الشهرستانی‏</w:t>
      </w:r>
    </w:p>
    <w:p>
      <w:pPr>
        <w:pStyle w:val="Heading3"/>
      </w:pPr>
      <w:bookmarkStart w:id="1494" w:name="_Toc190"/>
      <w:r>
        <w:t>170- دیوان ابن المقرب الأحسائی العیونی‏</w:t>
      </w:r>
      <w:bookmarkEnd w:id="1494"/>
    </w:p>
    <w:p>
      <w:pPr>
        <w:pStyle w:val="BookText"/>
      </w:pPr>
      <w:r>
        <w:rPr>
          <w:rFonts w:ascii="IRNazanin" w:hAnsi="IRNazanin" w:eastAsia="IRNazanin" w:cs="IRNazanin"/>
          <w:lang w:bidi="fa-IR"/>
          <w:color w:val="111111"/>
          <w:sz w:val="28"/>
          <w:szCs w:val="28"/>
          <w:rtl/>
        </w:rPr>
        <w:t xml:space="preserve">هو جمال الدین أبو عبد الله محمد بن علی بن مقرب ذکر ترجمه أحواله فی مقدمه دیوانه المطبوع فی مکة (1307) و فی بمبئی (1310) و الأمل و الریاض و الأنوار الساطعة و له البائیة فی ملک الأحساء فی (605) و قد رحل إلی الموصل فی (618) و مات (651) کما فی الطلیعة راجع دیوان العبدلی ابن المقرب‏</w:t>
      </w:r>
    </w:p>
    <w:p>
      <w:pPr>
        <w:pStyle w:val="Heading3"/>
      </w:pPr>
      <w:bookmarkStart w:id="1495" w:name="_Toc191"/>
      <w:r>
        <w:t>171- دیوان ابن المقری الیمنی‏</w:t>
      </w:r>
      <w:bookmarkEnd w:id="1495"/>
    </w:p>
    <w:p>
      <w:pPr>
        <w:pStyle w:val="BookText"/>
      </w:pPr>
      <w:r>
        <w:rPr>
          <w:rFonts w:ascii="IRNazanin" w:hAnsi="IRNazanin" w:eastAsia="IRNazanin" w:cs="IRNazanin"/>
          <w:lang w:bidi="fa-IR"/>
          <w:color w:val="111111"/>
          <w:sz w:val="28"/>
          <w:szCs w:val="28"/>
          <w:rtl/>
        </w:rPr>
        <w:t xml:space="preserve">هو شرف الدین إسماعیل المولود (755) المتوفی (837) أورد له فی (کفظ) القصیدة التائیة فی التذکیر، شرحها الشیخ إبراهیم بن محمد الحلبی فی (915) بأستانبول توجد نسخه من دیوانه فی مکتبة أمین بک بالموصل کما فی فهرس مخطوطاتها (ص 264) و قد جمع دیوانه مؤلف کتاب سلک الذهب فی فصحاء العرب و طبع دیوانه فی بمبئی (1305) فی (399 ص) و قد طبع من تصانیفه الإرشاد و روض الطالب و عنوان الشرف و العروض کما فی معجم المطبوعات العربیة</w:t>
      </w:r>
    </w:p>
    <w:p>
      <w:pPr>
        <w:pStyle w:val="Heading3"/>
      </w:pPr>
      <w:bookmarkStart w:id="1496" w:name="_Toc192"/>
      <w:r>
        <w:t>172- دیوان ابن الملا</w:t>
      </w:r>
      <w:bookmarkEnd w:id="1496"/>
    </w:p>
    <w:p>
      <w:pPr>
        <w:pStyle w:val="BookText"/>
      </w:pPr>
      <w:r>
        <w:rPr>
          <w:rFonts w:ascii="IRNazanin" w:hAnsi="IRNazanin" w:eastAsia="IRNazanin" w:cs="IRNazanin"/>
          <w:lang w:bidi="fa-IR"/>
          <w:color w:val="111111"/>
          <w:sz w:val="28"/>
          <w:szCs w:val="28"/>
          <w:rtl/>
        </w:rPr>
        <w:t xml:space="preserve">هو الشیخ محمد بن حمزة بن الحسین بن نور علی التستری الأصل و الحلی المولد و المسکن ولد بها (1254) و توفی (ج 2 1322) ترجمه السماوی فی الطلیعة مفصلا و ذکر أن قصائده طویلة بین ثلاثمائة بیت إلی المائة و السبعین و فی جملة منها الصدر تاریخ و العجز تاریخ و قد نظم ما یزید علی خمسین ألف بیت و استقصی حروف القافیة مرتین أو ثلاثا فی رثاء الحسین علیه السلام</w:t>
      </w:r>
    </w:p>
    <w:p>
      <w:pPr>
        <w:pStyle w:val="Heading3"/>
      </w:pPr>
      <w:bookmarkStart w:id="1497" w:name="_Toc193"/>
      <w:r>
        <w:t>173- دیوان ابن منظور أو شعره‏</w:t>
      </w:r>
      <w:bookmarkEnd w:id="1497"/>
    </w:p>
    <w:p>
      <w:pPr>
        <w:pStyle w:val="BookText"/>
      </w:pPr>
      <w:r>
        <w:rPr>
          <w:rFonts w:ascii="IRNazanin" w:hAnsi="IRNazanin" w:eastAsia="IRNazanin" w:cs="IRNazanin"/>
          <w:lang w:bidi="fa-IR"/>
          <w:color w:val="111111"/>
          <w:sz w:val="28"/>
          <w:szCs w:val="28"/>
          <w:rtl/>
        </w:rPr>
        <w:t xml:space="preserve">جمال الدین محمد بن مکرم الخزرجی الإفریقی المصری (630- 711) مؤلف لسان العرب المطبوع (1299- 1308) ترجمه فی بغیة الوعاة (ص 106) و أورد شعره و قال عنده تشیع بلا رفض‏</w:t>
      </w:r>
    </w:p>
    <w:p>
      <w:pPr>
        <w:pStyle w:val="Heading3"/>
      </w:pPr>
      <w:bookmarkStart w:id="1498" w:name="_Toc194"/>
      <w:r>
        <w:t>دیوان ابن المنیر</w:t>
      </w:r>
      <w:bookmarkEnd w:id="1498"/>
    </w:p>
    <w:p>
      <w:pPr>
        <w:pStyle w:val="BookText"/>
      </w:pPr>
      <w:r>
        <w:rPr>
          <w:rFonts w:ascii="IRNazanin" w:hAnsi="IRNazanin" w:eastAsia="IRNazanin" w:cs="IRNazanin"/>
          <w:lang w:bidi="fa-IR"/>
          <w:color w:val="111111"/>
          <w:sz w:val="28"/>
          <w:szCs w:val="28"/>
          <w:rtl/>
        </w:rPr>
        <w:t xml:space="preserve">یأتی بعنوان دیوان عین الزمان و ابن المنیر هو ناظم التتریة التی مر تخمیسها فی (ج 4 ص 9)</w:t>
      </w:r>
    </w:p>
    <w:p>
      <w:pPr>
        <w:pStyle w:val="Heading3"/>
      </w:pPr>
      <w:bookmarkStart w:id="1499" w:name="_Toc195"/>
      <w:r>
        <w:t>174- دیوان ابن نباتة</w:t>
      </w:r>
      <w:bookmarkEnd w:id="1499"/>
    </w:p>
    <w:p>
      <w:pPr>
        <w:pStyle w:val="BookText"/>
      </w:pPr>
      <w:r>
        <w:rPr>
          <w:rFonts w:ascii="IRNazanin" w:hAnsi="IRNazanin" w:eastAsia="IRNazanin" w:cs="IRNazanin"/>
          <w:lang w:bidi="fa-IR"/>
          <w:color w:val="111111"/>
          <w:sz w:val="28"/>
          <w:szCs w:val="28"/>
          <w:rtl/>
        </w:rPr>
        <w:t xml:space="preserve">المصری الشاعر الشهیر من أحفاد عبد الرحیم ابن نباتة الخطیب الذی توفی (374) و قد ذکرنا خطبة فی (ج 7- ص 187) و نقلنا عن القاضی فی المجالس عده من خطباء الشیعة، و ینتهی نسب هذا الحفید إلیه بثمانیة آباء، فإنه جمال الدین أبو عبد الله محمد بن محمد بن محمد بن الحسن بن أبی الحسن بن صالح بن یحیی بن طاهر بن محمد بن عبد الرحیم المذکور ولد بالقاهرة (686) و توفی (768) و قد طبع دیوانه‏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30" w:name="pg11704_121507"/>
    <w:bookmarkEnd w:id="30"/>
    <w:p>
      <w:pPr>
        <w:pStyle w:val="BookText"/>
      </w:pPr>
      <w:r>
        <w:rPr>
          <w:rFonts w:ascii="IRNazanin" w:hAnsi="IRNazanin" w:eastAsia="IRNazanin" w:cs="IRNazanin"/>
          <w:lang w:bidi="fa-IR"/>
          <w:color w:val="111111"/>
          <w:sz w:val="28"/>
          <w:szCs w:val="28"/>
          <w:rtl/>
        </w:rPr>
        <w:t xml:space="preserve">مکررا فی (1289) و (1323) کما طبع أیضا دیوانه الصغیر المشهور بالمؤیدات الآتی فی حرف المیم کما یأتی شرح العیون له‏</w:t>
      </w:r>
    </w:p>
    <w:p>
      <w:pPr>
        <w:pStyle w:val="Heading3"/>
      </w:pPr>
      <w:bookmarkStart w:id="1500" w:name="_Toc196"/>
      <w:r>
        <w:t>175- دیوان ابن نباتة</w:t>
      </w:r>
      <w:bookmarkEnd w:id="1500"/>
    </w:p>
    <w:p>
      <w:pPr>
        <w:pStyle w:val="BookText"/>
      </w:pPr>
      <w:r>
        <w:rPr>
          <w:rFonts w:ascii="IRNazanin" w:hAnsi="IRNazanin" w:eastAsia="IRNazanin" w:cs="IRNazanin"/>
          <w:lang w:bidi="fa-IR"/>
          <w:color w:val="111111"/>
          <w:sz w:val="28"/>
          <w:szCs w:val="28"/>
          <w:rtl/>
        </w:rPr>
        <w:t xml:space="preserve">هو أبو نصر عبد العزیز بن عمر بن سعد، شاعر سیف الدولة حمدان و ابن الوزیر العمید ولد (327) و توفی (405)</w:t>
      </w:r>
    </w:p>
    <w:p>
      <w:pPr>
        <w:pStyle w:val="Heading3"/>
      </w:pPr>
      <w:bookmarkStart w:id="1501" w:name="_Toc197"/>
      <w:r>
        <w:t>176- دیوان ابن النبیه‏</w:t>
      </w:r>
      <w:bookmarkEnd w:id="1501"/>
    </w:p>
    <w:p>
      <w:pPr>
        <w:pStyle w:val="BookText"/>
      </w:pPr>
      <w:r>
        <w:rPr>
          <w:rFonts w:ascii="IRNazanin" w:hAnsi="IRNazanin" w:eastAsia="IRNazanin" w:cs="IRNazanin"/>
          <w:lang w:bidi="fa-IR"/>
          <w:color w:val="111111"/>
          <w:sz w:val="28"/>
          <w:szCs w:val="28"/>
          <w:rtl/>
        </w:rPr>
        <w:t xml:space="preserve">أبو الحسن علی بن محمد بن الحسن بن یوسف المصری مادح بنی الأیوب سکن مدة بنصیبین و توفی (619) عن ستین سنة طبع دیوانه باعتناء عبد الله پاشا فکری بمصر (1280) و (1313) و بیروت (1299) و توجد نسخ منه فی مکتبات الموصل کما فی فهرس مخطوطاتها</w:t>
      </w:r>
    </w:p>
    <w:p>
      <w:pPr>
        <w:pStyle w:val="Heading3"/>
      </w:pPr>
      <w:bookmarkStart w:id="1502" w:name="_Toc198"/>
      <w:r>
        <w:t>177- دیوان ابن النحاس‏</w:t>
      </w:r>
      <w:bookmarkEnd w:id="1502"/>
    </w:p>
    <w:p>
      <w:pPr>
        <w:pStyle w:val="BookText"/>
      </w:pPr>
      <w:r>
        <w:rPr>
          <w:rFonts w:ascii="IRNazanin" w:hAnsi="IRNazanin" w:eastAsia="IRNazanin" w:cs="IRNazanin"/>
          <w:lang w:bidi="fa-IR"/>
          <w:color w:val="111111"/>
          <w:sz w:val="28"/>
          <w:szCs w:val="28"/>
          <w:rtl/>
        </w:rPr>
        <w:t xml:space="preserve">فتح الله بن النحاس الحلبی المدنی ترجمه فی خلاصة الأثر و أعلام النبلاء مات بالمدینة و دفن بالبقیع طبع دیوانه بمصر (1290) و بیروت (1313) مع اختلاف فیهما و توجد نسخه منه فی مکتبة إبراهیم الچلبی بالموصل کما فی فهرس مخطوطات الموصل‏</w:t>
      </w:r>
    </w:p>
    <w:p>
      <w:pPr>
        <w:pStyle w:val="Heading3"/>
      </w:pPr>
      <w:bookmarkStart w:id="1503" w:name="_Toc199"/>
      <w:r>
        <w:t>178- دیوان ابن نصار</w:t>
      </w:r>
      <w:bookmarkEnd w:id="1503"/>
    </w:p>
    <w:p>
      <w:pPr>
        <w:pStyle w:val="BookText"/>
      </w:pPr>
      <w:r>
        <w:rPr>
          <w:rFonts w:ascii="IRNazanin" w:hAnsi="IRNazanin" w:eastAsia="IRNazanin" w:cs="IRNazanin"/>
          <w:lang w:bidi="fa-IR"/>
          <w:color w:val="111111"/>
          <w:sz w:val="28"/>
          <w:szCs w:val="28"/>
          <w:rtl/>
        </w:rPr>
        <w:t xml:space="preserve">و یقال له النصاریات أیضا نظمه الشیخ محمد بن علی بن إبراهیم آل نصار الشیبانی أو الشبانی المعروف بابن نصار، کان عالما فاضلا أدیبا شاعرا ماهرا من أسرة أدب و علم، أصلهم من لملوم (بنواحی البحرین) سکنوا النجف لتحصیل العلم و توفی منهم بالطاعون الجارف فی (1246) قرب أربعین رجلا کلهم طلبة العلم، و توفی هو فی (ج 1- 1292) و دفن قرب الباب الطوسی من الصحن الغروی ترجمه مفصلا سیدنا الحسن صدر الدین فی تکملة أمل الآمل و قد لخصنا منه و هذا الدیوان کله فی مراثی الحسین علیه السلام  و نعیه بلسان أهل البادیة و العربی المکسر و اللسان الدراج المعروف بحسکه و قد جمع کثیرا منه السید المحسن الأمین و سماه النعی بلسان الحسکة و قد تداوله القراء للتعزیة فیقرأ علی المنابر فی مجالس العزاء، و قد طبع هذا الدیوان بمطبعة المظفری و الحق به فی الطبع أشعار أخر لبعض الشعراء غیر ابن نصار، و لا یخفی أنه لیس ابن نصار هذا صاحب الدیوان من بیت الشیخ العالم الفقیه الشیخ نصار بن أحمد العبسی الحکیمی النجفی الذی کان من تلامیذ الشیخ مهدی الفتونی العاملی النجفی و المعاصر للسید محسن الأعرجی و الشیخ جعفر کاشف الغطاء و کان ابنه الشیخ راضی نصار من تلامیذ الشیخ‏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31" w:name="pg11704_121508"/>
    <w:bookmarkEnd w:id="31"/>
    <w:p>
      <w:pPr>
        <w:pStyle w:val="BookText"/>
      </w:pPr>
      <w:r>
        <w:rPr>
          <w:rFonts w:ascii="IRNazanin" w:hAnsi="IRNazanin" w:eastAsia="IRNazanin" w:cs="IRNazanin"/>
          <w:lang w:bidi="fa-IR"/>
          <w:color w:val="111111"/>
          <w:sz w:val="28"/>
          <w:szCs w:val="28"/>
          <w:rtl/>
        </w:rPr>
        <w:t xml:space="preserve">جعفر، و قد کتب نسخه کشف الغطاء لأستاده و صححه بخطه و أخوه الشیخ سعد بن أحمد العبسی أیضا کان من العلماء الأتقیاء کما نبه به العالم النقی الشیخ عبد الرسول بن الشیخ سعد قال سیدنا فی التکملة إن الشیخ نصار العبسی هو أول من أسس إقامة مجالس التعزیة فی النجف، و من عصره کثرت المجالس و أجریت سنته حتی یومنا و کانت وفاته حدود (1240)</w:t>
      </w:r>
    </w:p>
    <w:p>
      <w:pPr>
        <w:pStyle w:val="Heading3"/>
      </w:pPr>
      <w:bookmarkStart w:id="1504" w:name="_Toc200"/>
      <w:r>
        <w:t>179- دیوان ابن نصوح‏</w:t>
      </w:r>
      <w:bookmarkEnd w:id="1504"/>
    </w:p>
    <w:p>
      <w:pPr>
        <w:pStyle w:val="BookText"/>
      </w:pPr>
      <w:r>
        <w:rPr>
          <w:rFonts w:ascii="IRNazanin" w:hAnsi="IRNazanin" w:eastAsia="IRNazanin" w:cs="IRNazanin"/>
          <w:lang w:bidi="fa-IR"/>
          <w:color w:val="111111"/>
          <w:sz w:val="28"/>
          <w:szCs w:val="28"/>
          <w:rtl/>
        </w:rPr>
        <w:t xml:space="preserve">و هو صاحب ده‏نامه المذکور فی (ج 8- ص 284) ترجمه فی (لت) و (تش- ص 263) و قال إن ده‏نامه لیست بجیدة أنشأه للخواجة غیاث الدین ابن رشید الدین وزیر السلطان أبی سعید و هو معاصر لسلمان الساوجی الشاعر</w:t>
      </w:r>
    </w:p>
    <w:p>
      <w:pPr>
        <w:pStyle w:val="Heading3"/>
      </w:pPr>
      <w:bookmarkStart w:id="1505" w:name="_Toc201"/>
      <w:r>
        <w:t>180- دیوان ابن نوبخت‏</w:t>
      </w:r>
      <w:bookmarkEnd w:id="1505"/>
    </w:p>
    <w:p>
      <w:pPr>
        <w:pStyle w:val="BookText"/>
      </w:pPr>
      <w:r>
        <w:rPr>
          <w:rFonts w:ascii="IRNazanin" w:hAnsi="IRNazanin" w:eastAsia="IRNazanin" w:cs="IRNazanin"/>
          <w:lang w:bidi="fa-IR"/>
          <w:color w:val="111111"/>
          <w:sz w:val="28"/>
          <w:szCs w:val="28"/>
          <w:rtl/>
        </w:rPr>
        <w:t xml:space="preserve">هو أبو عبد الله أحمد بن عبد الله النوبختی فی مائة ورقة ذکره ابن الندیم (ص 238)</w:t>
      </w:r>
    </w:p>
    <w:p>
      <w:pPr>
        <w:pStyle w:val="Heading3"/>
      </w:pPr>
      <w:bookmarkStart w:id="1506" w:name="_Toc202"/>
      <w:r>
        <w:t>181- دیوان ابن نوبخت‏</w:t>
      </w:r>
      <w:bookmarkEnd w:id="1506"/>
    </w:p>
    <w:p>
      <w:pPr>
        <w:pStyle w:val="BookText"/>
      </w:pPr>
      <w:r>
        <w:rPr>
          <w:rFonts w:ascii="IRNazanin" w:hAnsi="IRNazanin" w:eastAsia="IRNazanin" w:cs="IRNazanin"/>
          <w:lang w:bidi="fa-IR"/>
          <w:color w:val="111111"/>
          <w:sz w:val="28"/>
          <w:szCs w:val="28"/>
          <w:rtl/>
        </w:rPr>
        <w:t xml:space="preserve">هو سلیمان بن أبی سهل بن نوبخت فی خمسین ورقة ذکره ابن الندیم (ص 237)</w:t>
      </w:r>
    </w:p>
    <w:p>
      <w:pPr>
        <w:pStyle w:val="Heading3"/>
      </w:pPr>
      <w:bookmarkStart w:id="1507" w:name="_Toc203"/>
      <w:r>
        <w:t>182- دیوان ابن نوبخت‏</w:t>
      </w:r>
      <w:bookmarkEnd w:id="1507"/>
    </w:p>
    <w:p>
      <w:pPr>
        <w:pStyle w:val="BookText"/>
      </w:pPr>
      <w:r>
        <w:rPr>
          <w:rFonts w:ascii="IRNazanin" w:hAnsi="IRNazanin" w:eastAsia="IRNazanin" w:cs="IRNazanin"/>
          <w:lang w:bidi="fa-IR"/>
          <w:color w:val="111111"/>
          <w:sz w:val="28"/>
          <w:szCs w:val="28"/>
          <w:rtl/>
        </w:rPr>
        <w:t xml:space="preserve">هو أبو الحسن علی بن أحمد بن نوبخت المتوفی (416)</w:t>
      </w:r>
    </w:p>
    <w:p>
      <w:pPr>
        <w:pStyle w:val="Heading3"/>
      </w:pPr>
      <w:bookmarkStart w:id="1508" w:name="_Toc204"/>
      <w:r>
        <w:t>183- دیوان ابن نوبخت‏</w:t>
      </w:r>
      <w:bookmarkEnd w:id="1508"/>
    </w:p>
    <w:p>
      <w:pPr>
        <w:pStyle w:val="BookText"/>
      </w:pPr>
      <w:r>
        <w:rPr>
          <w:rFonts w:ascii="IRNazanin" w:hAnsi="IRNazanin" w:eastAsia="IRNazanin" w:cs="IRNazanin"/>
          <w:lang w:bidi="fa-IR"/>
          <w:color w:val="111111"/>
          <w:sz w:val="28"/>
          <w:szCs w:val="28"/>
          <w:rtl/>
        </w:rPr>
        <w:t xml:space="preserve">المذکور أیضا و هو صغیر الحجم ذکره فی کشف الظنون بعد ذکر الأول فی (کفظ- ج 1- ص 500)</w:t>
      </w:r>
    </w:p>
    <w:p>
      <w:pPr>
        <w:pStyle w:val="Heading3"/>
      </w:pPr>
      <w:bookmarkStart w:id="1509" w:name="_Toc205"/>
      <w:r>
        <w:t>184- دیوان ابن نوبخت‏</w:t>
      </w:r>
      <w:bookmarkEnd w:id="1509"/>
    </w:p>
    <w:p>
      <w:pPr>
        <w:pStyle w:val="BookText"/>
      </w:pPr>
      <w:r>
        <w:rPr>
          <w:rFonts w:ascii="IRNazanin" w:hAnsi="IRNazanin" w:eastAsia="IRNazanin" w:cs="IRNazanin"/>
          <w:lang w:bidi="fa-IR"/>
          <w:color w:val="111111"/>
          <w:sz w:val="28"/>
          <w:szCs w:val="28"/>
          <w:rtl/>
        </w:rPr>
        <w:t xml:space="preserve">هو أبو الحسین علی بن عباس النوبختی فی مائتی ورقة ذکره ابن الندیم (ص 238)</w:t>
      </w:r>
    </w:p>
    <w:p>
      <w:pPr>
        <w:pStyle w:val="Heading3"/>
      </w:pPr>
      <w:bookmarkStart w:id="1510" w:name="_Toc206"/>
      <w:r>
        <w:t>185- دیوان ابن وصیف‏</w:t>
      </w:r>
      <w:bookmarkEnd w:id="1510"/>
    </w:p>
    <w:p>
      <w:pPr>
        <w:pStyle w:val="BookText"/>
      </w:pPr>
      <w:r>
        <w:rPr>
          <w:rFonts w:ascii="IRNazanin" w:hAnsi="IRNazanin" w:eastAsia="IRNazanin" w:cs="IRNazanin"/>
          <w:lang w:bidi="fa-IR"/>
          <w:color w:val="111111"/>
          <w:sz w:val="28"/>
          <w:szCs w:val="28"/>
          <w:rtl/>
        </w:rPr>
        <w:t xml:space="preserve">هو أبو الحسن (الحسین) علی بن عبد الله بن وصیف الناشی الصغیر الحلاء البغدادی المولود (271) و المتوفی (360) أو قبلها أو بعدها بقلیل فی باب الطاق ببغداد ترجمه فی (جما- ج 13- ص 280) و حکی عن الخالع أن الناشی استنفد عمره فی مدیح أهل البیت علیه السلام  حتی عرف بهم، و أشعاره مدون و مدیحه فیهم لا تحصی کثرة، و ذکر مولده کما مر وفاته فی (365) و شیع جنازته أهل الدولة کلهم و دفن فی مقابر قریش و قبره معروف هناک و فی معالم العلماء أنه من مجاهری شعراء أهل البیت علیه السلام  و حرق بالنار و لعله أراد إحراق تربته فی (443) کما فی ابن الأثیر و فی ابن خلکان أن له تصانیف کثیرة و بالجملة هو غیر خشکناکه الکاتب البغدادی الآتی أنه‏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2" w:name="pg11704_121509"/>
    <w:bookmarkEnd w:id="32"/>
    <w:p>
      <w:pPr>
        <w:pStyle w:val="BookText"/>
      </w:pPr>
      <w:r>
        <w:rPr>
          <w:rFonts w:ascii="IRNazanin" w:hAnsi="IRNazanin" w:eastAsia="IRNazanin" w:cs="IRNazanin"/>
          <w:lang w:bidi="fa-IR"/>
          <w:color w:val="111111"/>
          <w:sz w:val="28"/>
          <w:szCs w:val="28"/>
          <w:rtl/>
        </w:rPr>
        <w:t xml:space="preserve">کان فی موصل و بها توفی‏</w:t>
      </w:r>
    </w:p>
    <w:p>
      <w:pPr>
        <w:pStyle w:val="Heading3"/>
      </w:pPr>
      <w:bookmarkStart w:id="1511" w:name="_Toc207"/>
      <w:r>
        <w:t>186- دیوان ابن وصیف‏</w:t>
      </w:r>
      <w:bookmarkEnd w:id="1511"/>
    </w:p>
    <w:p>
      <w:pPr>
        <w:pStyle w:val="BookText"/>
      </w:pPr>
      <w:r>
        <w:rPr>
          <w:rFonts w:ascii="IRNazanin" w:hAnsi="IRNazanin" w:eastAsia="IRNazanin" w:cs="IRNazanin"/>
          <w:lang w:bidi="fa-IR"/>
          <w:color w:val="111111"/>
          <w:sz w:val="28"/>
          <w:szCs w:val="28"/>
          <w:rtl/>
        </w:rPr>
        <w:t xml:space="preserve">الملقب (خشکناکه) الکاتب کما فی فهرس ابن الندیم (ص 200) قال ما لفظه: هو من أهل بغداد و کان أکثر مقامه بالرقة ثم انتقل إلی الموصل، و اسمه علی بن وصیف أبو الحسن، کان من البلغاء و ألف عدة کتب و نحلها عبدان صاحب الإسماعیلیة، و کان لی صدیقا و أنیسا و توفی بالموصل و کان یتشیع و له من الکتب إلی قوله: و دیوان شعره و من ذکر</w:t>
      </w:r>
    </w:p>
    <w:p>
      <w:pPr>
        <w:pStyle w:val="BookText"/>
      </w:pPr>
      <w:r>
        <w:rPr>
          <w:rFonts w:ascii="IRNazanin" w:hAnsi="IRNazanin" w:eastAsia="IRNazanin" w:cs="IRNazanin"/>
          <w:lang w:bidi="fa-IR"/>
          <w:color w:val="111111"/>
          <w:sz w:val="28"/>
          <w:szCs w:val="28"/>
          <w:rtl/>
        </w:rPr>
        <w:t xml:space="preserve">وفاته بالموصل ظهر أنه توفی قبل تصنیف ابن الندیم فهرسه فی (377) و عن کتاب طبقات الشعراء تألیف أبی سعید محمد بن الحسین ابن عبد الرحیم أنه وصفه بعنوان أبی الحسن علی بن عبد الله بن وصیف الناشی المتکلم الشاعر لأهل البیت علیه السلام  و المتوفی (365) و ذکر أنه کان حکاکا ماهرا فی صنعة، یحک الفلزات جمیعا و لا سیما الذهب حکا جیدا منها قندیل الذهب الذی صنعه بأمر معز الدولة أحمد بن علی البویهی الذی توفی (366) و بأمره حک علیه اسم معز الدولة و تاریخ وقفه له‏</w:t>
      </w:r>
    </w:p>
    <w:p>
      <w:pPr>
        <w:pStyle w:val="Heading3"/>
      </w:pPr>
      <w:bookmarkStart w:id="1512" w:name="_Toc208"/>
      <w:r>
        <w:t>187- دیوان ابن هانی‏</w:t>
      </w:r>
      <w:bookmarkEnd w:id="1512"/>
    </w:p>
    <w:p>
      <w:pPr>
        <w:pStyle w:val="BookText"/>
      </w:pPr>
      <w:r>
        <w:rPr>
          <w:rFonts w:ascii="IRNazanin" w:hAnsi="IRNazanin" w:eastAsia="IRNazanin" w:cs="IRNazanin"/>
          <w:lang w:bidi="fa-IR"/>
          <w:color w:val="111111"/>
          <w:sz w:val="28"/>
          <w:szCs w:val="28"/>
          <w:rtl/>
        </w:rPr>
        <w:t xml:space="preserve">أبی القاسم أو أبی الحسن محمد بن هانی الأندلسی الأزدی الشهید للتشیع، و قد خنق بکرة الأربعاء لسبع لیال بقین من رجب (362) کما فی ابن خلکان (ج 2- ص 4) و قال [لیس فی المغاربة من هو أفصح منه، لا متقدمیهم و لا متأخریهم بل هو أشعرهم علی الإطلاق، و هو عند المغاربة کالمتنبی عند المشارقة، و کانا متعاصرین و کان عمره ستا و ثلاثین سنة أو اثنتین و أربعین، و دیوانه کبیر و لو لا ما فیه من الغلو فی المدح و الإفراط المفضی إلی الکفر لکان من أحسن الدواوین‏] و فی أمل الآمل قال فاضل شاعر أدیب صحیح الاعتقاد له شعر کثیر فی مدح الأمیر علیه السلام  و عده ابن شهرآشوب فی معالم العلماء من شعراء أهل البیت علیه السلام . طبع دیوانه فی بولاق (1274) و فی بیروت (1326). و یأتی دیوان أبی الطیب المتنبی و اسمه أحمد بن الحسین المتوفی (354).</w:t>
      </w:r>
    </w:p>
    <w:p>
      <w:pPr>
        <w:pStyle w:val="Heading3"/>
      </w:pPr>
      <w:bookmarkStart w:id="1513" w:name="_Toc209"/>
      <w:r>
        <w:t>دیوان ابن هانی الأهوازی‏</w:t>
      </w:r>
      <w:bookmarkEnd w:id="1513"/>
    </w:p>
    <w:p>
      <w:pPr>
        <w:pStyle w:val="BookText"/>
      </w:pPr>
      <w:r>
        <w:rPr>
          <w:rFonts w:ascii="IRNazanin" w:hAnsi="IRNazanin" w:eastAsia="IRNazanin" w:cs="IRNazanin"/>
          <w:lang w:bidi="fa-IR"/>
          <w:color w:val="111111"/>
          <w:sz w:val="28"/>
          <w:szCs w:val="28"/>
          <w:rtl/>
        </w:rPr>
        <w:t xml:space="preserve">یأتی بعنوان دیوان أبی نواس الحسن بن هانی المولود بالأهواز.</w:t>
      </w:r>
    </w:p>
    <w:p>
      <w:pPr>
        <w:pStyle w:val="Heading3"/>
      </w:pPr>
      <w:bookmarkStart w:id="1514" w:name="_Toc210"/>
      <w:r>
        <w:t>188- دیوان ابن الهباریة</w:t>
      </w:r>
      <w:bookmarkEnd w:id="1514"/>
    </w:p>
    <w:p>
      <w:pPr>
        <w:pStyle w:val="BookText"/>
      </w:pPr>
      <w:r>
        <w:rPr>
          <w:rFonts w:ascii="IRNazanin" w:hAnsi="IRNazanin" w:eastAsia="IRNazanin" w:cs="IRNazanin"/>
          <w:lang w:bidi="fa-IR"/>
          <w:color w:val="111111"/>
          <w:sz w:val="28"/>
          <w:szCs w:val="28"/>
          <w:rtl/>
        </w:rPr>
        <w:t xml:space="preserve">هو نظام الدین أبو یعلی محمد بن محمد بن صالح بن حمزة بن عیسی الهاشمی العباسی البغدادی المتوفی بکرمان فی (504) أو (509). و دیوانه کبیر فی أربع مجلدات کما ذکر فی ترجمته. و له الصادح و الباغم علی وتیرة کلیلة و دمنة، نظمه لسیف الدولة صدقة بن دبیس الشیعی صاحب الحلة فی مدة عشر سنین و أرسله بید ولده‏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3" w:name="pg11704_121510"/>
    <w:bookmarkEnd w:id="33"/>
    <w:p>
      <w:pPr>
        <w:pStyle w:val="BookText"/>
      </w:pPr>
      <w:r>
        <w:rPr>
          <w:rFonts w:ascii="IRNazanin" w:hAnsi="IRNazanin" w:eastAsia="IRNazanin" w:cs="IRNazanin"/>
          <w:lang w:bidi="fa-IR"/>
          <w:color w:val="111111"/>
          <w:sz w:val="28"/>
          <w:szCs w:val="28"/>
          <w:rtl/>
        </w:rPr>
        <w:t xml:space="preserve">إلیه. فأجزل صلته و أسنی جائزته. و ذکر السمعانی أن له فی رثاء الحسین و مدح آل الرسول علیه السلام  أشعار کثیرة. و مر دیوان ابن دباس الشیعی الذی کان مداعبا مع ابن الهباریة و راجع ص 1204.</w:t>
      </w:r>
    </w:p>
    <w:p>
      <w:pPr>
        <w:pStyle w:val="Heading3"/>
      </w:pPr>
      <w:bookmarkStart w:id="1515" w:name="_Toc211"/>
      <w:r>
        <w:t>189- دیوان ابن الهرمة</w:t>
      </w:r>
      <w:bookmarkEnd w:id="1515"/>
    </w:p>
    <w:p>
      <w:pPr>
        <w:pStyle w:val="BookText"/>
      </w:pPr>
      <w:r>
        <w:rPr>
          <w:rFonts w:ascii="IRNazanin" w:hAnsi="IRNazanin" w:eastAsia="IRNazanin" w:cs="IRNazanin"/>
          <w:lang w:bidi="fa-IR"/>
          <w:color w:val="111111"/>
          <w:sz w:val="28"/>
          <w:szCs w:val="28"/>
          <w:rtl/>
        </w:rPr>
        <w:t xml:space="preserve">إبراهیم بن علی بن هرمة من الشعراء المخضرمین. جمع أشعاره أبو بکر الصولی فی خمسمائة ورقة.</w:t>
      </w:r>
    </w:p>
    <w:p>
      <w:pPr>
        <w:pStyle w:val="Heading3"/>
      </w:pPr>
      <w:bookmarkStart w:id="1516" w:name="_Toc212"/>
      <w:r>
        <w:t>190- دیوان ابن هندو</w:t>
      </w:r>
      <w:bookmarkEnd w:id="1516"/>
    </w:p>
    <w:p>
      <w:pPr>
        <w:pStyle w:val="BookText"/>
      </w:pPr>
      <w:r>
        <w:rPr>
          <w:rFonts w:ascii="IRNazanin" w:hAnsi="IRNazanin" w:eastAsia="IRNazanin" w:cs="IRNazanin"/>
          <w:lang w:bidi="fa-IR"/>
          <w:color w:val="111111"/>
          <w:sz w:val="28"/>
          <w:szCs w:val="28"/>
          <w:rtl/>
        </w:rPr>
        <w:t xml:space="preserve">أبو الفرج علی بن الحسین بن هندو الطبیب الفیلسوف الشاعر تلمیذ حسن بن سوار. مدح الصاحب بن عباد و أطری شعره الثعالبی. مات (410 أو 420).</w:t>
      </w:r>
    </w:p>
    <w:p>
      <w:pPr>
        <w:pStyle w:val="Heading3"/>
      </w:pPr>
      <w:bookmarkStart w:id="1517" w:name="_Toc213"/>
      <w:r>
        <w:t>191- دیوان ابن یمین‏</w:t>
      </w:r>
      <w:bookmarkEnd w:id="1517"/>
    </w:p>
    <w:p>
      <w:pPr>
        <w:pStyle w:val="BookText"/>
      </w:pPr>
      <w:r>
        <w:rPr>
          <w:rFonts w:ascii="IRNazanin" w:hAnsi="IRNazanin" w:eastAsia="IRNazanin" w:cs="IRNazanin"/>
          <w:lang w:bidi="fa-IR"/>
          <w:color w:val="111111"/>
          <w:sz w:val="28"/>
          <w:szCs w:val="28"/>
          <w:rtl/>
        </w:rPr>
        <w:t xml:space="preserve">المیر فخر الدین محمود بن یمین الدین الطغرائی الفریومدی الخراسانی، مادح طغاتمر خان. قال فصیحی خوافی تلف دیوانه فی فتنة الملوک السربداریة فی (763) کما ذکره فی مجمع الفصحاء و هفت إقلیم و آتشکده و دولت شاه و أوردوا قوله فی مدح الرضا:</w:t>
      </w:r>
    </w:p>
    <w:p>
      <w:pPr>
        <w:pStyle w:val="BookText"/>
      </w:pPr>
      <w:r>
        <w:rPr>
          <w:rFonts w:ascii="IRNazanin" w:hAnsi="IRNazanin" w:eastAsia="IRNazanin" w:cs="IRNazanin"/>
          <w:lang w:bidi="fa-IR"/>
          <w:color w:val="111111"/>
          <w:sz w:val="28"/>
          <w:szCs w:val="28"/>
          <w:rtl/>
        </w:rPr>
        <w:t xml:space="preserve">ببنده ابن یمین گفت دوستی که تویی‏</w:t>
      </w:r>
    </w:p>
    <w:p>
      <w:pPr>
        <w:pStyle w:val="BookText"/>
      </w:pPr>
      <w:r>
        <w:rPr>
          <w:rFonts w:ascii="IRNazanin" w:hAnsi="IRNazanin" w:eastAsia="IRNazanin" w:cs="IRNazanin"/>
          <w:lang w:bidi="fa-IR"/>
          <w:color w:val="111111"/>
          <w:sz w:val="28"/>
          <w:szCs w:val="28"/>
          <w:rtl/>
        </w:rPr>
        <w:t xml:space="preserve">که شعر توست که بر آسمان رسیده سرش‏</w:t>
      </w:r>
    </w:p>
    <w:p>
      <w:pPr>
        <w:pStyle w:val="BookText"/>
      </w:pPr>
      <w:r>
        <w:rPr>
          <w:rFonts w:ascii="IRNazanin" w:hAnsi="IRNazanin" w:eastAsia="IRNazanin" w:cs="IRNazanin"/>
          <w:lang w:bidi="fa-IR"/>
          <w:color w:val="111111"/>
          <w:sz w:val="28"/>
          <w:szCs w:val="28"/>
          <w:rtl/>
        </w:rPr>
        <w:t xml:space="preserve">چرا مدیح سرای رضا همی‏نشوی‏</w:t>
      </w:r>
    </w:p>
    <w:p>
      <w:pPr>
        <w:pStyle w:val="BookText"/>
      </w:pPr>
      <w:r>
        <w:rPr>
          <w:rFonts w:ascii="IRNazanin" w:hAnsi="IRNazanin" w:eastAsia="IRNazanin" w:cs="IRNazanin"/>
          <w:lang w:bidi="fa-IR"/>
          <w:color w:val="111111"/>
          <w:sz w:val="28"/>
          <w:szCs w:val="28"/>
          <w:rtl/>
        </w:rPr>
        <w:t xml:space="preserve">که در جهان نبود کس به پاکی گهرش‏</w:t>
      </w:r>
    </w:p>
    <w:p>
      <w:pPr>
        <w:pStyle w:val="BookText"/>
      </w:pPr>
      <w:r>
        <w:rPr>
          <w:rFonts w:ascii="IRNazanin" w:hAnsi="IRNazanin" w:eastAsia="IRNazanin" w:cs="IRNazanin"/>
          <w:lang w:bidi="fa-IR"/>
          <w:color w:val="111111"/>
          <w:sz w:val="28"/>
          <w:szCs w:val="28"/>
          <w:rtl/>
        </w:rPr>
        <w:t xml:space="preserve">بگفتمش که نیارم ستود امامی را</w:t>
      </w:r>
    </w:p>
    <w:p>
      <w:pPr>
        <w:pStyle w:val="BookText"/>
      </w:pPr>
      <w:r>
        <w:rPr>
          <w:rFonts w:ascii="IRNazanin" w:hAnsi="IRNazanin" w:eastAsia="IRNazanin" w:cs="IRNazanin"/>
          <w:lang w:bidi="fa-IR"/>
          <w:color w:val="111111"/>
          <w:sz w:val="28"/>
          <w:szCs w:val="28"/>
          <w:rtl/>
        </w:rPr>
        <w:t xml:space="preserve">که جبرئیل أمین بوده مادح پدرش‏</w:t>
      </w:r>
    </w:p>
    <w:p>
      <w:pPr>
        <w:pStyle w:val="BookText"/>
      </w:pPr>
      <w:r>
        <w:rPr>
          <w:rFonts w:ascii="IRNazanin" w:hAnsi="IRNazanin" w:eastAsia="IRNazanin" w:cs="IRNazanin"/>
          <w:lang w:bidi="fa-IR"/>
          <w:color w:val="111111"/>
          <w:sz w:val="28"/>
          <w:szCs w:val="28"/>
          <w:rtl/>
        </w:rPr>
        <w:t xml:space="preserve">قال فصیحی خوافی فی مجملة فی تاریخ وفاته:</w:t>
      </w:r>
    </w:p>
    <w:p>
      <w:pPr>
        <w:pStyle w:val="BookText"/>
      </w:pPr>
      <w:r>
        <w:rPr>
          <w:rFonts w:ascii="IRNazanin" w:hAnsi="IRNazanin" w:eastAsia="IRNazanin" w:cs="IRNazanin"/>
          <w:lang w:bidi="fa-IR"/>
          <w:color w:val="111111"/>
          <w:sz w:val="28"/>
          <w:szCs w:val="28"/>
          <w:rtl/>
        </w:rPr>
        <w:t xml:space="preserve">بود از تاریخ هجرت هفتصد با شصت و نه‏</w:t>
      </w:r>
    </w:p>
    <w:p>
      <w:pPr>
        <w:pStyle w:val="BookText"/>
      </w:pPr>
      <w:r>
        <w:rPr>
          <w:rFonts w:ascii="IRNazanin" w:hAnsi="IRNazanin" w:eastAsia="IRNazanin" w:cs="IRNazanin"/>
          <w:lang w:bidi="fa-IR"/>
          <w:color w:val="111111"/>
          <w:sz w:val="28"/>
          <w:szCs w:val="28"/>
          <w:rtl/>
        </w:rPr>
        <w:t xml:space="preserve">روز شنبه هشتم ماه جمادی الآخرین‏</w:t>
      </w:r>
    </w:p>
    <w:p>
      <w:pPr>
        <w:pStyle w:val="BookText"/>
      </w:pPr>
      <w:r>
        <w:rPr>
          <w:rFonts w:ascii="IRNazanin" w:hAnsi="IRNazanin" w:eastAsia="IRNazanin" w:cs="IRNazanin"/>
          <w:lang w:bidi="fa-IR"/>
          <w:color w:val="111111"/>
          <w:sz w:val="28"/>
          <w:szCs w:val="28"/>
          <w:rtl/>
        </w:rPr>
        <w:t xml:space="preserve">و ألف رشید یاسمی المتوفی (1370) کتابا فی شرح أحوال ابن یمین، و طبع بطهران فی (1303 ش) فی (148 ص) و طبع القطعات و الرباعیات الفلسفیة له سعید النفیسی بطهران فی (1318 ش) فی (283 ص) خالیا عن الغزلیات، و طبع أیضا دیوانه فی بمبئی فی (1865 م) و طبع ترجمته الألمانیة فی وینة عام (1852 م) قال المستر براون إنه یظهر من أشعاره عقائد مالتوزیانیسم و مانی کئیسم.</w:t>
      </w:r>
    </w:p>
    <w:p>
      <w:pPr>
        <w:pStyle w:val="Heading3"/>
      </w:pPr>
      <w:bookmarkStart w:id="1518" w:name="_Toc214"/>
      <w:r>
        <w:t>192- دیوان أبهری أو شعره‏</w:t>
      </w:r>
      <w:bookmarkEnd w:id="1518"/>
    </w:p>
    <w:p>
      <w:pPr>
        <w:pStyle w:val="BookText"/>
      </w:pPr>
      <w:r>
        <w:rPr>
          <w:rFonts w:ascii="IRNazanin" w:hAnsi="IRNazanin" w:eastAsia="IRNazanin" w:cs="IRNazanin"/>
          <w:lang w:bidi="fa-IR"/>
          <w:color w:val="111111"/>
          <w:sz w:val="28"/>
          <w:szCs w:val="28"/>
          <w:rtl/>
        </w:rPr>
        <w:t xml:space="preserve">و هو أبو عمرو وزیر طغرل بن ألب أرسلان السلجوقی.</w:t>
      </w:r>
    </w:p>
    <w:p>
      <w:pPr>
        <w:pStyle w:val="BookText"/>
      </w:pPr>
      <w:r>
        <w:rPr>
          <w:rFonts w:ascii="IRNazanin" w:hAnsi="IRNazanin" w:eastAsia="IRNazanin" w:cs="IRNazanin"/>
          <w:lang w:bidi="fa-IR"/>
          <w:color w:val="111111"/>
          <w:sz w:val="28"/>
          <w:szCs w:val="28"/>
          <w:rtl/>
        </w:rPr>
        <w:t xml:space="preserve">ثم استقال و لبس الصوف و تزهد. ذکره فی (تش- ص 222).</w:t>
      </w:r>
    </w:p>
    <w:p>
      <w:pPr>
        <w:pStyle w:val="Heading3"/>
      </w:pPr>
      <w:bookmarkStart w:id="1519" w:name="_Toc215"/>
      <w:r>
        <w:t>193- دیوان الأبهری‏</w:t>
      </w:r>
      <w:bookmarkEnd w:id="1519"/>
    </w:p>
    <w:p>
      <w:pPr>
        <w:pStyle w:val="BookText"/>
      </w:pPr>
      <w:r>
        <w:rPr>
          <w:rFonts w:ascii="IRNazanin" w:hAnsi="IRNazanin" w:eastAsia="IRNazanin" w:cs="IRNazanin"/>
          <w:lang w:bidi="fa-IR"/>
          <w:color w:val="111111"/>
          <w:sz w:val="28"/>
          <w:szCs w:val="28"/>
          <w:rtl/>
        </w:rPr>
        <w:t xml:space="preserve">أثیر الدین مفضل بن عمر الفیلسوف الأبهری من قری قزوین أو أصفهان، و له الإیساغوجی المشهور المشروح مکررا. و رسالات فی المنطق و الهیئة و النجوم و هدایة الحکمة المذکورة فی (ج 6 ص 138). و له إضافات علی منطق‏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4" w:name="pg11704_121511"/>
    <w:bookmarkEnd w:id="34"/>
    <w:p>
      <w:pPr>
        <w:pStyle w:val="BookText"/>
      </w:pPr>
      <w:r>
        <w:rPr>
          <w:rFonts w:ascii="IRNazanin" w:hAnsi="IRNazanin" w:eastAsia="IRNazanin" w:cs="IRNazanin"/>
          <w:lang w:bidi="fa-IR"/>
          <w:color w:val="111111"/>
          <w:sz w:val="28"/>
          <w:szCs w:val="28"/>
          <w:rtl/>
        </w:rPr>
        <w:t xml:space="preserve">أرسطو. و حواشی علی الملخص للکاتبی، و تنزیل الأفکار و کشف الحکمة و الحصول و الزبدة و الإشارات و البیان و غیرها مما ذکر فی کشف الظنون و (بهش- ص 322) و قال إن له أشعارا.</w:t>
      </w:r>
    </w:p>
    <w:p>
      <w:pPr>
        <w:pStyle w:val="Heading3"/>
      </w:pPr>
      <w:bookmarkStart w:id="1520" w:name="_Toc216"/>
      <w:r>
        <w:t>194- دیوان الخواجة أبی إسحاق أو شعره‏</w:t>
      </w:r>
      <w:bookmarkEnd w:id="1520"/>
    </w:p>
    <w:p>
      <w:pPr>
        <w:pStyle w:val="BookText"/>
      </w:pPr>
      <w:r>
        <w:rPr>
          <w:rFonts w:ascii="IRNazanin" w:hAnsi="IRNazanin" w:eastAsia="IRNazanin" w:cs="IRNazanin"/>
          <w:lang w:bidi="fa-IR"/>
          <w:color w:val="111111"/>
          <w:sz w:val="28"/>
          <w:szCs w:val="28"/>
          <w:rtl/>
        </w:rPr>
        <w:t xml:space="preserve">بن الخواجة مؤید مهنة، ترجمه شاه محمد قزوینی فی (مجن ص 210) و أورد شعره.</w:t>
      </w:r>
    </w:p>
    <w:p>
      <w:pPr>
        <w:pStyle w:val="Heading3"/>
      </w:pPr>
      <w:bookmarkStart w:id="1521" w:name="_Toc217"/>
      <w:r>
        <w:t>دیوان أبی إسحاق أطعمه‏</w:t>
      </w:r>
      <w:bookmarkEnd w:id="1521"/>
    </w:p>
    <w:p>
      <w:pPr>
        <w:pStyle w:val="BookText"/>
      </w:pPr>
      <w:r>
        <w:rPr>
          <w:rFonts w:ascii="IRNazanin" w:hAnsi="IRNazanin" w:eastAsia="IRNazanin" w:cs="IRNazanin"/>
          <w:lang w:bidi="fa-IR"/>
          <w:color w:val="111111"/>
          <w:sz w:val="28"/>
          <w:szCs w:val="28"/>
          <w:rtl/>
        </w:rPr>
        <w:t xml:space="preserve">و یخفف فیقال بسحاق فیأتی بعنوان دیوان بسحاق.</w:t>
      </w:r>
    </w:p>
    <w:p>
      <w:pPr>
        <w:pStyle w:val="Heading3"/>
      </w:pPr>
      <w:bookmarkStart w:id="1522" w:name="_Toc218"/>
      <w:r>
        <w:t>دیوان أبی إسماعیل‏</w:t>
      </w:r>
      <w:bookmarkEnd w:id="1522"/>
    </w:p>
    <w:p>
      <w:pPr>
        <w:pStyle w:val="BookText"/>
      </w:pPr>
      <w:r>
        <w:rPr>
          <w:rFonts w:ascii="IRNazanin" w:hAnsi="IRNazanin" w:eastAsia="IRNazanin" w:cs="IRNazanin"/>
          <w:lang w:bidi="fa-IR"/>
          <w:color w:val="111111"/>
          <w:sz w:val="28"/>
          <w:szCs w:val="28"/>
          <w:rtl/>
        </w:rPr>
        <w:t xml:space="preserve">یأتی بعنوان دیوان الخواجة عبد الله الأنصاری.</w:t>
      </w:r>
    </w:p>
    <w:p>
      <w:pPr>
        <w:pStyle w:val="Heading3"/>
      </w:pPr>
      <w:bookmarkStart w:id="1523" w:name="_Toc219"/>
      <w:r>
        <w:t>195- دیوان أبی الأسود ظالم بن عمرو الدئلی‏</w:t>
      </w:r>
      <w:bookmarkEnd w:id="1523"/>
    </w:p>
    <w:p>
      <w:pPr>
        <w:pStyle w:val="BookText"/>
      </w:pPr>
      <w:r>
        <w:rPr>
          <w:rFonts w:ascii="IRNazanin" w:hAnsi="IRNazanin" w:eastAsia="IRNazanin" w:cs="IRNazanin"/>
          <w:lang w:bidi="fa-IR"/>
          <w:color w:val="111111"/>
          <w:sz w:val="28"/>
          <w:szCs w:val="28"/>
          <w:rtl/>
        </w:rPr>
        <w:t xml:space="preserve">المتوفی بالبصرة بالطاعون الجارف فی (69) و له خمس و ثمانون سنة ترجمه فی نسمة السحر فیمن تشیع و شعر و ترجمه ابن خلکان (ج 1- ص 241) و ذکر تمام نسبه و قال إن فی اسمه و نسبه اختلاف کثیر.</w:t>
      </w:r>
    </w:p>
    <w:p>
      <w:pPr>
        <w:pStyle w:val="BookText"/>
      </w:pPr>
      <w:r>
        <w:rPr>
          <w:rFonts w:ascii="IRNazanin" w:hAnsi="IRNazanin" w:eastAsia="IRNazanin" w:cs="IRNazanin"/>
          <w:lang w:bidi="fa-IR"/>
          <w:color w:val="111111"/>
          <w:sz w:val="28"/>
          <w:szCs w:val="28"/>
          <w:rtl/>
        </w:rPr>
        <w:t xml:space="preserve">و ذکر الخلاف فی وفاته أیضا. قال و له دیوان شعر و ذکر بعض شعره و عن ابن الندیم أنه جمع شعره الأصمعی و أبو عمرو العلاء. و قد شک فی وجود هذا الشخص فی لغت‏نامه- الألف 371 و رأیت منه نسخه فی خزانة (العطار ببغداد) یقرب من مائتین و خمسین بیتا أول الموجود منه.</w:t>
      </w:r>
    </w:p>
    <w:p>
      <w:pPr>
        <w:pStyle w:val="BookText"/>
      </w:pPr>
      <w:r>
        <w:rPr>
          <w:rFonts w:ascii="IRNazanin" w:hAnsi="IRNazanin" w:eastAsia="IRNazanin" w:cs="IRNazanin"/>
          <w:lang w:bidi="fa-IR"/>
          <w:color w:val="111111"/>
          <w:sz w:val="28"/>
          <w:szCs w:val="28"/>
          <w:rtl/>
        </w:rPr>
        <w:t xml:space="preserve">تروحت من رزداق جی‏ء عشیة</w:t>
      </w:r>
    </w:p>
    <w:p>
      <w:pPr>
        <w:pStyle w:val="BookText"/>
      </w:pPr>
      <w:r>
        <w:rPr>
          <w:rFonts w:ascii="IRNazanin" w:hAnsi="IRNazanin" w:eastAsia="IRNazanin" w:cs="IRNazanin"/>
          <w:lang w:bidi="fa-IR"/>
          <w:color w:val="111111"/>
          <w:sz w:val="28"/>
          <w:szCs w:val="28"/>
          <w:rtl/>
        </w:rPr>
        <w:t xml:space="preserve">و غادرت فی رزداق جی‏ء أخا لکا</w:t>
      </w:r>
    </w:p>
    <w:p>
      <w:pPr>
        <w:pStyle w:val="BookText"/>
      </w:pPr>
      <w:r>
        <w:rPr>
          <w:rFonts w:ascii="IRNazanin" w:hAnsi="IRNazanin" w:eastAsia="IRNazanin" w:cs="IRNazanin"/>
          <w:lang w:bidi="fa-IR"/>
          <w:color w:val="111111"/>
          <w:sz w:val="28"/>
          <w:szCs w:val="28"/>
          <w:rtl/>
        </w:rPr>
        <w:t xml:space="preserve">و نسخه منه فی مکتبة (السماوی).</w:t>
      </w:r>
    </w:p>
    <w:p>
      <w:pPr>
        <w:pStyle w:val="Heading3"/>
      </w:pPr>
      <w:bookmarkStart w:id="1524" w:name="_Toc220"/>
      <w:r>
        <w:t>196- دیوان أبی الأسود الشیبانی‏</w:t>
      </w:r>
      <w:bookmarkEnd w:id="1524"/>
    </w:p>
    <w:p>
      <w:pPr>
        <w:pStyle w:val="BookText"/>
      </w:pPr>
      <w:r>
        <w:rPr>
          <w:rFonts w:ascii="IRNazanin" w:hAnsi="IRNazanin" w:eastAsia="IRNazanin" w:cs="IRNazanin"/>
          <w:lang w:bidi="fa-IR"/>
          <w:color w:val="111111"/>
          <w:sz w:val="28"/>
          <w:szCs w:val="28"/>
          <w:rtl/>
        </w:rPr>
        <w:t xml:space="preserve">قال ابن الندیم فی (ص 232) إنه فی خمسین ورقة فراجعه.</w:t>
      </w:r>
    </w:p>
    <w:p>
      <w:pPr>
        <w:pStyle w:val="Heading3"/>
      </w:pPr>
      <w:bookmarkStart w:id="1525" w:name="_Toc221"/>
      <w:r>
        <w:t>197- دیوان أبی إسحاق الغزی‏</w:t>
      </w:r>
      <w:bookmarkEnd w:id="1525"/>
    </w:p>
    <w:p>
      <w:pPr>
        <w:pStyle w:val="BookText"/>
      </w:pPr>
      <w:r>
        <w:rPr>
          <w:rFonts w:ascii="IRNazanin" w:hAnsi="IRNazanin" w:eastAsia="IRNazanin" w:cs="IRNazanin"/>
          <w:lang w:bidi="fa-IR"/>
          <w:color w:val="111111"/>
          <w:sz w:val="28"/>
          <w:szCs w:val="28"/>
          <w:rtl/>
        </w:rPr>
        <w:t xml:space="preserve">توجد نسخه تامة منه کتابتها (994) فی مکتبة أمین بیک بن أیوب الجلیلی بالموصل کما فی فهرس مخطوطات الموصل (ص 264).</w:t>
      </w:r>
    </w:p>
    <w:p>
      <w:pPr>
        <w:pStyle w:val="Heading3"/>
      </w:pPr>
      <w:bookmarkStart w:id="1526" w:name="_Toc222"/>
      <w:r>
        <w:t>198- دیوان أبی إسحاق الکسائی المروزی‏</w:t>
      </w:r>
      <w:bookmarkEnd w:id="1526"/>
    </w:p>
    <w:p>
      <w:pPr>
        <w:pStyle w:val="BookText"/>
      </w:pPr>
      <w:r>
        <w:rPr>
          <w:rFonts w:ascii="IRNazanin" w:hAnsi="IRNazanin" w:eastAsia="IRNazanin" w:cs="IRNazanin"/>
          <w:lang w:bidi="fa-IR"/>
          <w:color w:val="111111"/>
          <w:sz w:val="28"/>
          <w:szCs w:val="28"/>
          <w:rtl/>
        </w:rPr>
        <w:t xml:space="preserve">و اسمه مجد الدین. ولد (341) کان شاعرا عارفا تبعه ناصر خسرو فی الزهدیات أورد بعض شعره لغت‏نامه- الألف- 369.</w:t>
      </w:r>
    </w:p>
    <w:p>
      <w:pPr>
        <w:pStyle w:val="Heading3"/>
      </w:pPr>
      <w:bookmarkStart w:id="1527" w:name="_Toc223"/>
      <w:r>
        <w:t>دیوان أبی إسحاق الجویباری‏</w:t>
      </w:r>
      <w:bookmarkEnd w:id="1527"/>
    </w:p>
    <w:p>
      <w:pPr>
        <w:pStyle w:val="BookText"/>
      </w:pPr>
      <w:r>
        <w:rPr>
          <w:rFonts w:ascii="IRNazanin" w:hAnsi="IRNazanin" w:eastAsia="IRNazanin" w:cs="IRNazanin"/>
          <w:lang w:bidi="fa-IR"/>
          <w:color w:val="111111"/>
          <w:sz w:val="28"/>
          <w:szCs w:val="28"/>
          <w:rtl/>
        </w:rPr>
        <w:t xml:space="preserve">یأتی بعنوان دیوان الجویباری.</w:t>
      </w:r>
    </w:p>
    <w:p>
      <w:pPr>
        <w:pStyle w:val="Heading3"/>
      </w:pPr>
      <w:bookmarkStart w:id="1528" w:name="_Toc224"/>
      <w:r>
        <w:t>199- دیوان أبی البحر الخطی‏</w:t>
      </w:r>
      <w:bookmarkEnd w:id="1528"/>
    </w:p>
    <w:p>
      <w:pPr>
        <w:pStyle w:val="BookText"/>
      </w:pPr>
      <w:r>
        <w:rPr>
          <w:rFonts w:ascii="IRNazanin" w:hAnsi="IRNazanin" w:eastAsia="IRNazanin" w:cs="IRNazanin"/>
          <w:lang w:bidi="fa-IR"/>
          <w:color w:val="111111"/>
          <w:sz w:val="28"/>
          <w:szCs w:val="28"/>
          <w:rtl/>
        </w:rPr>
        <w:t xml:space="preserve">نسبة إلی خط بفتح الخاء المعجمة و کسرها، من قری البحرین. هو الشیخ شرف الدین جعفر بن محمد بن الحسن بن علی بن ناصر بن عبد الإمام العبدی من عبد القیس. ترجمه فی خلاصة الأثر و سلافة العصر- 532 و غیرهما. و فی دیوانه ما إنشاؤه‏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5" w:name="pg11704_121512"/>
    <w:bookmarkEnd w:id="35"/>
    <w:p>
      <w:pPr>
        <w:pStyle w:val="BookText"/>
      </w:pPr>
      <w:r>
        <w:rPr>
          <w:rFonts w:ascii="IRNazanin" w:hAnsi="IRNazanin" w:eastAsia="IRNazanin" w:cs="IRNazanin"/>
          <w:lang w:bidi="fa-IR"/>
          <w:color w:val="111111"/>
          <w:sz w:val="28"/>
          <w:szCs w:val="28"/>
          <w:rtl/>
        </w:rPr>
        <w:t xml:space="preserve">فی (1001) کما فی السلافة فی أوان صباه و فی دیوانه أیضا ما إنشاؤه فی (1005) و ما إنشاؤه (1010) و فی نسخه منه رأیتها فی مکتبة (العطار ببغداد) بعض قطعات إنشائه فی تاریخ (1028) و فی السلافة أنه توفی فی (1028) لکن الظاهر أن هذا تاریخ وفاة مساجله السید ماجد و إنه بقی بعد هذا التاریخ سنین مع تصریح السلافة أنه فی (1001) کان فی أوان صباه، فلو کان تاریخ وفاته (1028) لکان هو من المختطفین و کان یصرح بذلک فی ترجمته، مع أنه فی رسالة ترجمه السید شبر بن ثنوان الحویزی المنضمة إلی مجموعة کلمات الشعراء فی کتب التراجم برقم (48) فی مکتبة (کاشف الغطاء) ذکر</w:t>
      </w:r>
    </w:p>
    <w:p>
      <w:pPr>
        <w:pStyle w:val="BookText"/>
      </w:pPr>
      <w:r>
        <w:rPr>
          <w:rFonts w:ascii="IRNazanin" w:hAnsi="IRNazanin" w:eastAsia="IRNazanin" w:cs="IRNazanin"/>
          <w:lang w:bidi="fa-IR"/>
          <w:color w:val="111111"/>
          <w:sz w:val="28"/>
          <w:szCs w:val="28"/>
          <w:rtl/>
        </w:rPr>
        <w:t xml:space="preserve">مؤلف الرسالة أن السید خلف الذی صار والیا بعد موت أخیه السید مبارک فی (1025) طلب من الشیخ جعفر أبی البحر أن یقدم إلی حضرته فلم یقبل منه الذهاب إلیه، و لما أسمل السید منصور أخاه السید خلف فی (1038) عمل أبو البحر قصیدة و أخذها معه إلی أن تلاقی السید خلف بشیراز، فقرأ علیه القصیدة فی التسلیة بما وقع علیه من الأذی من أخیه السید منصور، فیظهر أنه کان حیا (1038). ثم إن الشیخ الحر المولود (1033) لم یوصف أحدا ممن توفی قبل ولادته بالمعاصریة، مثل السید ماجد و الشیخ البهائی و غیرهما، و لکنه صرح فی ترجمه أبی البحر بأنه معاصره فیظهر أنه أدرک برهة من زمن حیاة أبی البحر و أن وفاته کانت حدود (1040) أو بعدها. و (السماوی) استنسخ بخطه هذا الدیوان لکن لا یمکن الوصول إلی نسخته و لا إلی نسخه موقوفة (العطار ببغداد) حتی نطلع بهذه القصیدة المذکورة فی رسالة ترجمه الشبر و نعرف حقیقة الحال. أوله [أما بعد حمد الله الذی جعل الحمد] ذکر فیه بعض مادة تواریخ ینطبق علی (1028) و ذکر لی الشیخ محمد صالح أن الموجود عنده قطعة منه فیها ما عارض به قصیدة الشیخ البهائی التی مطلعها: (</w:t>
      </w:r>
    </w:p>
    <w:p>
      <w:pPr>
        <w:pStyle w:val="BookText"/>
      </w:pPr>
      <w:r>
        <w:rPr>
          <w:rFonts w:ascii="IRNazanin" w:hAnsi="IRNazanin" w:eastAsia="IRNazanin" w:cs="IRNazanin"/>
          <w:lang w:bidi="fa-IR"/>
          <w:color w:val="111111"/>
          <w:sz w:val="28"/>
          <w:szCs w:val="28"/>
          <w:rtl/>
        </w:rPr>
        <w:t xml:space="preserve">سری البرق من نجد فجدد تذکاری‏</w:t>
      </w:r>
    </w:p>
    <w:p>
      <w:pPr>
        <w:pStyle w:val="Heading3"/>
      </w:pPr>
      <w:bookmarkStart w:id="1529" w:name="_Toc225"/>
      <w:r>
        <w:t>. 200- دیوان أبی البرکة القندهاری أو شعره‏</w:t>
      </w:r>
      <w:bookmarkEnd w:id="1529"/>
    </w:p>
    <w:p>
      <w:pPr>
        <w:pStyle w:val="BookText"/>
      </w:pPr>
      <w:r>
        <w:rPr>
          <w:rFonts w:ascii="IRNazanin" w:hAnsi="IRNazanin" w:eastAsia="IRNazanin" w:cs="IRNazanin"/>
          <w:lang w:bidi="fa-IR"/>
          <w:color w:val="111111"/>
          <w:sz w:val="28"/>
          <w:szCs w:val="28"/>
          <w:rtl/>
        </w:rPr>
        <w:t xml:space="preserve">أورد بعض ألغازه فی (نر- ص 524)</w:t>
      </w:r>
    </w:p>
    <w:p>
      <w:pPr>
        <w:pStyle w:val="Heading3"/>
      </w:pPr>
      <w:bookmarkStart w:id="1530" w:name="_Toc226"/>
      <w:r>
        <w:t>201- دیوان أبی البرکة</w:t>
      </w:r>
      <w:bookmarkEnd w:id="1530"/>
    </w:p>
    <w:p>
      <w:pPr>
        <w:pStyle w:val="BookText"/>
      </w:pPr>
      <w:r>
        <w:rPr>
          <w:rFonts w:ascii="IRNazanin" w:hAnsi="IRNazanin" w:eastAsia="IRNazanin" w:cs="IRNazanin"/>
          <w:lang w:bidi="fa-IR"/>
          <w:color w:val="111111"/>
          <w:sz w:val="28"/>
          <w:szCs w:val="28"/>
          <w:rtl/>
        </w:rPr>
        <w:t xml:space="preserve">قاضی سمرقند و سبزوار و خراسان ترجمه میر علی شیر فی (مجن- ص 115 و ص 286) و له ولدان شاعران صابر و أیوب أبی البرکة، ذکرهما فی (ص 147- 146) و کان قد قرأ الأمیر بعض شعره غلطا و اعترض علی الشاعر، فاحتج أبو البرکة علی الأمیر و بعث إلیه بقطعة یحاججه فیه و ذکره فی (گلشن- ص 9)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6" w:name="pg11704_121513"/>
    <w:bookmarkEnd w:id="36"/>
    <w:p>
      <w:pPr>
        <w:pStyle w:val="Heading3"/>
      </w:pPr>
      <w:bookmarkStart w:id="1531" w:name="_Toc227"/>
      <w:r>
        <w:t>202- دیوان أبی البرکات بیهقی أو شعره‏</w:t>
      </w:r>
      <w:bookmarkEnd w:id="1531"/>
    </w:p>
    <w:p>
      <w:pPr>
        <w:pStyle w:val="BookText"/>
      </w:pPr>
      <w:r>
        <w:rPr>
          <w:rFonts w:ascii="IRNazanin" w:hAnsi="IRNazanin" w:eastAsia="IRNazanin" w:cs="IRNazanin"/>
          <w:lang w:bidi="fa-IR"/>
          <w:color w:val="111111"/>
          <w:sz w:val="28"/>
          <w:szCs w:val="28"/>
          <w:rtl/>
        </w:rPr>
        <w:t xml:space="preserve">و هو مجد الدین مادح تاج الدین رئیس خراسان‏</w:t>
      </w:r>
    </w:p>
    <w:p>
      <w:pPr>
        <w:pStyle w:val="Heading3"/>
      </w:pPr>
      <w:bookmarkStart w:id="1532" w:name="_Toc228"/>
      <w:r>
        <w:t>203- دیوان أبی البرکات اللاهوری أو شعره‏</w:t>
      </w:r>
      <w:bookmarkEnd w:id="1532"/>
    </w:p>
    <w:p>
      <w:pPr>
        <w:pStyle w:val="BookText"/>
      </w:pPr>
      <w:r>
        <w:rPr>
          <w:rFonts w:ascii="IRNazanin" w:hAnsi="IRNazanin" w:eastAsia="IRNazanin" w:cs="IRNazanin"/>
          <w:lang w:bidi="fa-IR"/>
          <w:color w:val="111111"/>
          <w:sz w:val="28"/>
          <w:szCs w:val="28"/>
          <w:rtl/>
        </w:rPr>
        <w:t xml:space="preserve">مر نقل أحواله عن تذکره روشن فی (ج 7 ص 263)</w:t>
      </w:r>
    </w:p>
    <w:p>
      <w:pPr>
        <w:pStyle w:val="Heading3"/>
      </w:pPr>
      <w:bookmarkStart w:id="1533" w:name="_Toc229"/>
      <w:r>
        <w:t>204- دیوان المیرزا أبی البقاء</w:t>
      </w:r>
      <w:bookmarkEnd w:id="1533"/>
    </w:p>
    <w:p>
      <w:pPr>
        <w:pStyle w:val="BookText"/>
      </w:pPr>
      <w:r>
        <w:rPr>
          <w:rFonts w:ascii="IRNazanin" w:hAnsi="IRNazanin" w:eastAsia="IRNazanin" w:cs="IRNazanin"/>
          <w:lang w:bidi="fa-IR"/>
          <w:color w:val="111111"/>
          <w:sz w:val="28"/>
          <w:szCs w:val="28"/>
          <w:rtl/>
        </w:rPr>
        <w:t xml:space="preserve">ابن المیر محمود القهپائی الطباطبائی ترجمه معاصره النصرآبادی فی (نر- ص 103)</w:t>
      </w:r>
    </w:p>
    <w:p>
      <w:pPr>
        <w:pStyle w:val="Heading3"/>
      </w:pPr>
      <w:bookmarkStart w:id="1534" w:name="_Toc230"/>
      <w:r>
        <w:t>205- دیوان المیر أبی البقاء الأبرقوهی أو شعره‏</w:t>
      </w:r>
      <w:bookmarkEnd w:id="1534"/>
    </w:p>
    <w:p>
      <w:pPr>
        <w:pStyle w:val="BookText"/>
      </w:pPr>
      <w:r>
        <w:rPr>
          <w:rFonts w:ascii="IRNazanin" w:hAnsi="IRNazanin" w:eastAsia="IRNazanin" w:cs="IRNazanin"/>
          <w:lang w:bidi="fa-IR"/>
          <w:color w:val="111111"/>
          <w:sz w:val="28"/>
          <w:szCs w:val="28"/>
          <w:rtl/>
        </w:rPr>
        <w:t xml:space="preserve">هو ابن الشاه أبی الولی بن أبی الفتح الأبرقوهی نزیل أصفهان ترجمه النصرآبادی فی (نر- ص 116)، و أورد شعره‏</w:t>
      </w:r>
    </w:p>
    <w:p>
      <w:pPr>
        <w:pStyle w:val="Heading3"/>
      </w:pPr>
      <w:bookmarkStart w:id="1535" w:name="_Toc231"/>
      <w:r>
        <w:t>دیوان أبی البقاء التفرشی‏</w:t>
      </w:r>
      <w:bookmarkEnd w:id="1535"/>
    </w:p>
    <w:p>
      <w:pPr>
        <w:pStyle w:val="BookText"/>
      </w:pPr>
      <w:r>
        <w:rPr>
          <w:rFonts w:ascii="IRNazanin" w:hAnsi="IRNazanin" w:eastAsia="IRNazanin" w:cs="IRNazanin"/>
          <w:lang w:bidi="fa-IR"/>
          <w:color w:val="111111"/>
          <w:sz w:val="28"/>
          <w:szCs w:val="28"/>
          <w:rtl/>
        </w:rPr>
        <w:t xml:space="preserve">یأتی بعنوان دیوان بقائی تفرشی‏</w:t>
      </w:r>
    </w:p>
    <w:p>
      <w:pPr>
        <w:pStyle w:val="Heading3"/>
      </w:pPr>
      <w:bookmarkStart w:id="1536" w:name="_Toc232"/>
      <w:r>
        <w:t>206- دیوان أبی بکر الکرمانی أو شعره‏</w:t>
      </w:r>
      <w:bookmarkEnd w:id="1536"/>
    </w:p>
    <w:p>
      <w:pPr>
        <w:pStyle w:val="BookText"/>
      </w:pPr>
      <w:r>
        <w:rPr>
          <w:rFonts w:ascii="IRNazanin" w:hAnsi="IRNazanin" w:eastAsia="IRNazanin" w:cs="IRNazanin"/>
          <w:lang w:bidi="fa-IR"/>
          <w:color w:val="111111"/>
          <w:sz w:val="28"/>
          <w:szCs w:val="28"/>
          <w:rtl/>
        </w:rPr>
        <w:t xml:space="preserve">أورد بعض شعره فی (تش- ص 118) و (گلشن- ص 10)</w:t>
      </w:r>
    </w:p>
    <w:p>
      <w:pPr>
        <w:pStyle w:val="Heading3"/>
      </w:pPr>
      <w:bookmarkStart w:id="1537" w:name="_Toc233"/>
      <w:r>
        <w:t>207- دیوان أبی بکر الطبرخزمی الخوارزمی‏</w:t>
      </w:r>
      <w:bookmarkEnd w:id="1537"/>
    </w:p>
    <w:p>
      <w:pPr>
        <w:pStyle w:val="BookText"/>
      </w:pPr>
      <w:r>
        <w:rPr>
          <w:rFonts w:ascii="IRNazanin" w:hAnsi="IRNazanin" w:eastAsia="IRNazanin" w:cs="IRNazanin"/>
          <w:lang w:bidi="fa-IR"/>
          <w:color w:val="111111"/>
          <w:sz w:val="28"/>
          <w:szCs w:val="28"/>
          <w:rtl/>
        </w:rPr>
        <w:t xml:space="preserve">محمد بن عباس الشاعر الأدیب المعروف بالطبرخزی، ابن أخت المؤرخ محمد بن جریر الطبری له دیوان معروف و طبع رسائله بعنوان رسائل الخوارزمی سافر إلی الشام و أقام بحلب ثم رجع و تقرب عند الصاحب ابن عباد عند ما کان بأرجان ثم أقام بنیشابور و بها توفی (382)</w:t>
      </w:r>
    </w:p>
    <w:p>
      <w:pPr>
        <w:pStyle w:val="Heading3"/>
      </w:pPr>
      <w:bookmarkStart w:id="1538" w:name="_Toc234"/>
      <w:r>
        <w:t>208- دیوان أبی بکر</w:t>
      </w:r>
      <w:bookmarkEnd w:id="1538"/>
    </w:p>
    <w:p>
      <w:pPr>
        <w:pStyle w:val="BookText"/>
      </w:pPr>
      <w:r>
        <w:rPr>
          <w:rFonts w:ascii="IRNazanin" w:hAnsi="IRNazanin" w:eastAsia="IRNazanin" w:cs="IRNazanin"/>
          <w:lang w:bidi="fa-IR"/>
          <w:color w:val="111111"/>
          <w:sz w:val="28"/>
          <w:szCs w:val="28"/>
          <w:rtl/>
        </w:rPr>
        <w:t xml:space="preserve">ابن عبد الرحمن بن محمد بن شهاب الدین العلوی الحسینی الحضرمی المولود بقریة حصن آل فلوقة (1262) و المتوفی بحیدرآباد دکن (1341) طبع فی سنگاپورا فی (1344) و ترجمه فی ظهره مفصلا السید محمد بن عقیل مؤلف النصائح الکافیة و رثاه السید أحمد بن عبد الله بن محسن بن علوی سقاف بقصیدة ذکر فیها تصانیفه و أدرج فی دیوانه الثناء العاطر المذکور فی (ج 5- ص 16) و القصیدة الموسومة سواد العین فی رثاء الحسین‏</w:t>
      </w:r>
    </w:p>
    <w:p>
      <w:pPr>
        <w:pStyle w:val="Heading3"/>
      </w:pPr>
      <w:bookmarkStart w:id="1539" w:name="_Toc235"/>
      <w:r>
        <w:t>209- دیوان أبی بکر الروحانی أو شعره‏</w:t>
      </w:r>
      <w:bookmarkEnd w:id="1539"/>
    </w:p>
    <w:p>
      <w:pPr>
        <w:pStyle w:val="BookText"/>
      </w:pPr>
      <w:r>
        <w:rPr>
          <w:rFonts w:ascii="IRNazanin" w:hAnsi="IRNazanin" w:eastAsia="IRNazanin" w:cs="IRNazanin"/>
          <w:lang w:bidi="fa-IR"/>
          <w:color w:val="111111"/>
          <w:sz w:val="28"/>
          <w:szCs w:val="28"/>
          <w:rtl/>
        </w:rPr>
        <w:t xml:space="preserve">أورد له النصرآبادی لغزا فی (نر- ص 493)</w:t>
      </w:r>
    </w:p>
    <w:p>
      <w:pPr>
        <w:pStyle w:val="Heading3"/>
      </w:pPr>
      <w:bookmarkStart w:id="1540" w:name="_Toc236"/>
      <w:r>
        <w:t>210- دیوان أبی بکر میرزا أو شعره‏</w:t>
      </w:r>
      <w:bookmarkEnd w:id="1540"/>
    </w:p>
    <w:p>
      <w:pPr>
        <w:pStyle w:val="BookText"/>
      </w:pPr>
      <w:r>
        <w:rPr>
          <w:rFonts w:ascii="IRNazanin" w:hAnsi="IRNazanin" w:eastAsia="IRNazanin" w:cs="IRNazanin"/>
          <w:lang w:bidi="fa-IR"/>
          <w:color w:val="111111"/>
          <w:sz w:val="28"/>
          <w:szCs w:val="28"/>
          <w:rtl/>
        </w:rPr>
        <w:t xml:space="preserve">و هو حفید الأمیر تیمور گورکان ترکی، ذکره فی (لط- ص 124)</w:t>
      </w:r>
    </w:p>
    <w:p>
      <w:pPr>
        <w:pStyle w:val="Heading3"/>
      </w:pPr>
      <w:bookmarkStart w:id="1541" w:name="_Toc237"/>
      <w:r>
        <w:t>211- دیوان أبی تراب بیک الکاشانی‏</w:t>
      </w:r>
      <w:bookmarkEnd w:id="1541"/>
    </w:p>
    <w:p>
      <w:pPr>
        <w:pStyle w:val="BookText"/>
      </w:pPr>
      <w:r>
        <w:rPr>
          <w:rFonts w:ascii="IRNazanin" w:hAnsi="IRNazanin" w:eastAsia="IRNazanin" w:cs="IRNazanin"/>
          <w:lang w:bidi="fa-IR"/>
          <w:color w:val="111111"/>
          <w:sz w:val="28"/>
          <w:szCs w:val="28"/>
          <w:rtl/>
        </w:rPr>
        <w:t xml:space="preserve">ذکر النصرآبادی فی (نر- ص 497) أن دیوانه یقرب من ألفی بیت ثم أورد بعض ألغازه الفارسیة راجع دیوان فرقتی‏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7" w:name="pg11704_121514"/>
    <w:bookmarkEnd w:id="37"/>
    <w:p>
      <w:pPr>
        <w:pStyle w:val="Heading3"/>
      </w:pPr>
      <w:bookmarkStart w:id="1542" w:name="_Toc238"/>
      <w:r>
        <w:t>212- دیوان المیر أبی تراب العلوی‏</w:t>
      </w:r>
      <w:bookmarkEnd w:id="1542"/>
    </w:p>
    <w:p>
      <w:pPr>
        <w:pStyle w:val="BookText"/>
      </w:pPr>
      <w:r>
        <w:rPr>
          <w:rFonts w:ascii="IRNazanin" w:hAnsi="IRNazanin" w:eastAsia="IRNazanin" w:cs="IRNazanin"/>
          <w:lang w:bidi="fa-IR"/>
          <w:color w:val="111111"/>
          <w:sz w:val="28"/>
          <w:szCs w:val="28"/>
          <w:rtl/>
        </w:rPr>
        <w:t xml:space="preserve">الطبیب بهمدان، من السادة الصحیح النسب ترجمه معاصره الصادقی المولود (940) فی (الخواص- ص 80) و أورد نموذج شعره و ذکر أن مصاحبه المولی حیرتی الهروی فرق دیوانه و ألقاه فی رودخانه (النهر الکبیر) و یأتی دیوان ولده المیر بزمی‏</w:t>
      </w:r>
    </w:p>
    <w:p>
      <w:pPr>
        <w:pStyle w:val="Heading3"/>
      </w:pPr>
      <w:bookmarkStart w:id="1543" w:name="_Toc239"/>
      <w:r>
        <w:t>دیوان میرابی تراب‏</w:t>
      </w:r>
      <w:bookmarkEnd w:id="1543"/>
    </w:p>
    <w:p>
      <w:pPr>
        <w:pStyle w:val="BookText"/>
      </w:pPr>
      <w:r>
        <w:rPr>
          <w:rFonts w:ascii="IRNazanin" w:hAnsi="IRNazanin" w:eastAsia="IRNazanin" w:cs="IRNazanin"/>
          <w:lang w:bidi="fa-IR"/>
          <w:color w:val="111111"/>
          <w:sz w:val="28"/>
          <w:szCs w:val="28"/>
          <w:rtl/>
        </w:rPr>
        <w:t xml:space="preserve">المتخلص بمحروم یأتی‏</w:t>
      </w:r>
    </w:p>
    <w:p>
      <w:pPr>
        <w:pStyle w:val="Heading3"/>
      </w:pPr>
      <w:bookmarkStart w:id="1544" w:name="_Toc240"/>
      <w:r>
        <w:t>دیوان أبی تراب‏</w:t>
      </w:r>
      <w:bookmarkEnd w:id="1544"/>
    </w:p>
    <w:p>
      <w:pPr>
        <w:pStyle w:val="BookText"/>
      </w:pPr>
      <w:r>
        <w:rPr>
          <w:rFonts w:ascii="IRNazanin" w:hAnsi="IRNazanin" w:eastAsia="IRNazanin" w:cs="IRNazanin"/>
          <w:lang w:bidi="fa-IR"/>
          <w:color w:val="111111"/>
          <w:sz w:val="28"/>
          <w:szCs w:val="28"/>
          <w:rtl/>
        </w:rPr>
        <w:t xml:space="preserve">یأتی بعنوان دیوان جوزاء و مر بعنوان دلگشا</w:t>
      </w:r>
    </w:p>
    <w:p>
      <w:pPr>
        <w:pStyle w:val="Heading3"/>
      </w:pPr>
      <w:bookmarkStart w:id="1545" w:name="_Toc241"/>
      <w:r>
        <w:t>213- دیوان أبی تمام حبیب بن أوس الطائی‏</w:t>
      </w:r>
      <w:bookmarkEnd w:id="1545"/>
    </w:p>
    <w:p>
      <w:pPr>
        <w:pStyle w:val="BookText"/>
      </w:pPr>
      <w:r>
        <w:rPr>
          <w:rFonts w:ascii="IRNazanin" w:hAnsi="IRNazanin" w:eastAsia="IRNazanin" w:cs="IRNazanin"/>
          <w:lang w:bidi="fa-IR"/>
          <w:color w:val="111111"/>
          <w:sz w:val="28"/>
          <w:szCs w:val="28"/>
          <w:rtl/>
        </w:rPr>
        <w:t xml:space="preserve">مادح أهل البیت علیه السلام  و صاحب الحماسة الأولی و الثانیة المذکورتین فی (ج 7- ص 83- 84) و قد جمعها بنفسه کما بیناه مفصلا و أما دیوانه فلم یکن مرتبا إلی أیام الصولی الذی مات (243) فرتبه هو علی الحروف و شرحه کما یأتی فی الشین فی ثلاثمائة ورقة و بعد ترتیب الصولی رتبه علی بن حمزة الأصفهانی أیضا فجود فیه علی غیر الحروف بل علی الأنواع کما ذکره ابن الندیم (ص 235) و کذا ابن خلکان فی (ج 1- ص 123) و لیس مرادهما من الأصفهانی علی بن حمزة البصری التمیمی الذی دون شعر أبی طالب کما یأتی، بل المراد منه هو أبو الحسن علی بن حمزة بن عمارة بن حمزة بن یسار بن عثمان الأصفهانی، الذی ترجمه مع ذکر نسبه کذلک فی معجم الأدباء قبل ترجمه البصری فی (ج 13- ص 203) و حکی فیه عن حمزة بن الحسن صاحب تاریخ أصفهان أن عثمان جد علی بن حمزة هذا هو والد أبی مسلم الخراسانی المقتول فی (127) و انما سمی بعثمان بعد إسلامه [أقول المشهور من اسم أبی مسلم الخراسانی هو عبد الرحمن بن مسلم الخراسانی‏] إلی أن قال: و کان بین علی بن حمزة الأصفهانی هذا و أبی الحسن بن طباطبا محمد بن أحمد المتوفی بأصفهان فی (322) مفاوضات طوال و جوابات لجماعة من شعراء أصفهان، یوجد نسخه ترتیب الصولی فی مکتبة (شیخ الإسلام بزنجان) و فی</w:t>
      </w:r>
    </w:p>
    <w:p>
      <w:pPr>
        <w:pStyle w:val="BookText"/>
      </w:pPr>
      <w:r>
        <w:rPr>
          <w:rFonts w:ascii="IRNazanin" w:hAnsi="IRNazanin" w:eastAsia="IRNazanin" w:cs="IRNazanin"/>
          <w:lang w:bidi="fa-IR"/>
          <w:color w:val="111111"/>
          <w:sz w:val="28"/>
          <w:szCs w:val="28"/>
          <w:rtl/>
        </w:rPr>
        <w:t xml:space="preserve">الخزانة المصریة أیضا بخط قدیم، و قد طبع ترتیب علی بن حمزة الأصفهانی مکررا فی (1292) فی القاهرة و فی (1323) و 1889 فی بیروت، و فهرس الأنواع (1) المدیح (2) الهجاء (3) المعاتبات (4) الأوصاف (5) الفخر (6) الغزل (7) المراثی و رأیت من مخطوطه نسخه فی خزانة (العطار ببغداد) و هی بخط السید حسین بن السید محمد الزینی فرغ من کتابتها (2- شعبان- 1200) و عدد أبیاته‏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8" w:name="pg11704_121515"/>
    <w:bookmarkEnd w:id="38"/>
    <w:p>
      <w:pPr>
        <w:pStyle w:val="BookText"/>
      </w:pPr>
      <w:r>
        <w:rPr>
          <w:rFonts w:ascii="IRNazanin" w:hAnsi="IRNazanin" w:eastAsia="IRNazanin" w:cs="IRNazanin"/>
          <w:lang w:bidi="fa-IR"/>
          <w:color w:val="111111"/>
          <w:sz w:val="28"/>
          <w:szCs w:val="28"/>
          <w:rtl/>
        </w:rPr>
        <w:t xml:space="preserve">سبعة آلاف و ثلاثمائة و ثمانین بیتا و نسخه أخری مخرومة فی مکتبة السید عبد الحسین بکربلاء و من شعره فی الرائیة الغدیریة:</w:t>
      </w:r>
    </w:p>
    <w:p>
      <w:pPr>
        <w:pStyle w:val="BookText"/>
      </w:pPr>
      <w:r>
        <w:rPr>
          <w:rFonts w:ascii="IRNazanin" w:hAnsi="IRNazanin" w:eastAsia="IRNazanin" w:cs="IRNazanin"/>
          <w:lang w:bidi="fa-IR"/>
          <w:color w:val="111111"/>
          <w:sz w:val="28"/>
          <w:szCs w:val="28"/>
          <w:rtl/>
        </w:rPr>
        <w:t xml:space="preserve">و یوم الغدیر استوضح الحق اهله‏</w:t>
      </w:r>
    </w:p>
    <w:p>
      <w:pPr>
        <w:pStyle w:val="BookText"/>
      </w:pPr>
      <w:r>
        <w:rPr>
          <w:rFonts w:ascii="IRNazanin" w:hAnsi="IRNazanin" w:eastAsia="IRNazanin" w:cs="IRNazanin"/>
          <w:lang w:bidi="fa-IR"/>
          <w:color w:val="111111"/>
          <w:sz w:val="28"/>
          <w:szCs w:val="28"/>
          <w:rtl/>
        </w:rPr>
        <w:t xml:space="preserve">بفیحاء لا فیها حجاب و لا ستر</w:t>
      </w:r>
    </w:p>
    <w:p>
      <w:pPr>
        <w:pStyle w:val="Heading3"/>
      </w:pPr>
      <w:bookmarkStart w:id="1546" w:name="_Toc242"/>
      <w:r>
        <w:t>214- دیوان أبی جابر الغزنوی أو شعره‏</w:t>
      </w:r>
      <w:bookmarkEnd w:id="1546"/>
    </w:p>
    <w:p>
      <w:pPr>
        <w:pStyle w:val="BookText"/>
      </w:pPr>
      <w:r>
        <w:rPr>
          <w:rFonts w:ascii="IRNazanin" w:hAnsi="IRNazanin" w:eastAsia="IRNazanin" w:cs="IRNazanin"/>
          <w:lang w:bidi="fa-IR"/>
          <w:color w:val="111111"/>
          <w:sz w:val="28"/>
          <w:szCs w:val="28"/>
          <w:rtl/>
        </w:rPr>
        <w:t xml:space="preserve">کان یمدح بهرام شاه ابن السلطان مسعود الغزنوی بخراسان ذکره (تغ: 7)</w:t>
      </w:r>
    </w:p>
    <w:p>
      <w:pPr>
        <w:pStyle w:val="Heading3"/>
      </w:pPr>
      <w:bookmarkStart w:id="1547" w:name="_Toc243"/>
      <w:r>
        <w:t>215- دیوان أبی حامد الکرمانی أو شعره‏</w:t>
      </w:r>
      <w:bookmarkEnd w:id="1547"/>
    </w:p>
    <w:p>
      <w:pPr>
        <w:pStyle w:val="BookText"/>
      </w:pPr>
      <w:r>
        <w:rPr>
          <w:rFonts w:ascii="IRNazanin" w:hAnsi="IRNazanin" w:eastAsia="IRNazanin" w:cs="IRNazanin"/>
          <w:lang w:bidi="fa-IR"/>
          <w:color w:val="111111"/>
          <w:sz w:val="28"/>
          <w:szCs w:val="28"/>
          <w:rtl/>
        </w:rPr>
        <w:t xml:space="preserve">ذکره فی (تش- ص 118) و لعله حامد</w:t>
      </w:r>
    </w:p>
    <w:p>
      <w:pPr>
        <w:pStyle w:val="Heading3"/>
      </w:pPr>
      <w:bookmarkStart w:id="1548" w:name="_Toc244"/>
      <w:r>
        <w:t>216- دیوان أبی الحب‏</w:t>
      </w:r>
      <w:bookmarkEnd w:id="1548"/>
    </w:p>
    <w:p>
      <w:pPr>
        <w:pStyle w:val="BookText"/>
      </w:pPr>
      <w:r>
        <w:rPr>
          <w:rFonts w:ascii="IRNazanin" w:hAnsi="IRNazanin" w:eastAsia="IRNazanin" w:cs="IRNazanin"/>
          <w:lang w:bidi="fa-IR"/>
          <w:color w:val="111111"/>
          <w:sz w:val="28"/>
          <w:szCs w:val="28"/>
          <w:rtl/>
        </w:rPr>
        <w:t xml:space="preserve">للخطیب الشیخ محسن بن الحاج محمد الحویزاوی الحائری المتوفی بها فی (1305) کان متکلما شاعرا و کان دیوانه عند ولده الخطیب فی الحائر الشیخ حسن أبی الحب و انتقل منه إلی ولده الخطیب المعاصر الشیخ محسن بن الحسن بن محسن أبی الحب المتوفی فی أوائل (1369)</w:t>
      </w:r>
    </w:p>
    <w:p>
      <w:pPr>
        <w:pStyle w:val="Heading3"/>
      </w:pPr>
      <w:bookmarkStart w:id="1549" w:name="_Toc245"/>
      <w:r>
        <w:t>217- دیوان أبی الحسن الأنجوی أو شعره‏</w:t>
      </w:r>
      <w:bookmarkEnd w:id="1549"/>
    </w:p>
    <w:p>
      <w:pPr>
        <w:pStyle w:val="BookText"/>
      </w:pPr>
      <w:r>
        <w:rPr>
          <w:rFonts w:ascii="IRNazanin" w:hAnsi="IRNazanin" w:eastAsia="IRNazanin" w:cs="IRNazanin"/>
          <w:lang w:bidi="fa-IR"/>
          <w:color w:val="111111"/>
          <w:sz w:val="28"/>
          <w:szCs w:val="28"/>
          <w:rtl/>
        </w:rPr>
        <w:t xml:space="preserve">للسید المیرزا أبی الحسن بن المیر محمد قاسم من السادة الأنجویة بشیراز، جاء إلی أصفهان و اشتغل بتحصیل العلوم مدة ثم عاد إلی شیراز کما ترجمه معاصره النصرآبادی فی (نر- ص 188) و أورد جملة من غزله و رباعیاته‏</w:t>
      </w:r>
    </w:p>
    <w:p>
      <w:pPr>
        <w:pStyle w:val="Heading3"/>
      </w:pPr>
      <w:bookmarkStart w:id="1550" w:name="_Toc246"/>
      <w:r>
        <w:t>دیوان میرزا أبی الحسن بیگانه‏</w:t>
      </w:r>
      <w:bookmarkEnd w:id="1550"/>
    </w:p>
    <w:p>
      <w:pPr>
        <w:pStyle w:val="BookText"/>
      </w:pPr>
      <w:r>
        <w:rPr>
          <w:rFonts w:ascii="IRNazanin" w:hAnsi="IRNazanin" w:eastAsia="IRNazanin" w:cs="IRNazanin"/>
          <w:lang w:bidi="fa-IR"/>
          <w:color w:val="111111"/>
          <w:sz w:val="28"/>
          <w:szCs w:val="28"/>
          <w:rtl/>
        </w:rPr>
        <w:t xml:space="preserve">یأتی بتخلصه بیگانه‏</w:t>
      </w:r>
    </w:p>
    <w:p>
      <w:pPr>
        <w:pStyle w:val="Heading3"/>
      </w:pPr>
      <w:bookmarkStart w:id="1551" w:name="_Toc247"/>
      <w:r>
        <w:t>دیوان میرزا أبی الحسن تسلی‏</w:t>
      </w:r>
      <w:bookmarkEnd w:id="1551"/>
    </w:p>
    <w:p>
      <w:pPr>
        <w:pStyle w:val="BookText"/>
      </w:pPr>
      <w:r>
        <w:rPr>
          <w:rFonts w:ascii="IRNazanin" w:hAnsi="IRNazanin" w:eastAsia="IRNazanin" w:cs="IRNazanin"/>
          <w:lang w:bidi="fa-IR"/>
          <w:color w:val="111111"/>
          <w:sz w:val="28"/>
          <w:szCs w:val="28"/>
          <w:rtl/>
        </w:rPr>
        <w:t xml:space="preserve">یأتی بتخلصه‏</w:t>
      </w:r>
    </w:p>
    <w:p>
      <w:pPr>
        <w:pStyle w:val="Heading3"/>
      </w:pPr>
      <w:bookmarkStart w:id="1552" w:name="_Toc248"/>
      <w:r>
        <w:t>218- دیوان الحاج أبی الحسن ترک أو شعره‏</w:t>
      </w:r>
      <w:bookmarkEnd w:id="1552"/>
    </w:p>
    <w:p>
      <w:pPr>
        <w:pStyle w:val="BookText"/>
      </w:pPr>
      <w:r>
        <w:rPr>
          <w:rFonts w:ascii="IRNazanin" w:hAnsi="IRNazanin" w:eastAsia="IRNazanin" w:cs="IRNazanin"/>
          <w:lang w:bidi="fa-IR"/>
          <w:color w:val="111111"/>
          <w:sz w:val="28"/>
          <w:szCs w:val="28"/>
          <w:rtl/>
        </w:rPr>
        <w:t xml:space="preserve">ترجمه فی (مجن- 116) و قال إنه لیس له نظیر فی فن المعمی‏</w:t>
      </w:r>
    </w:p>
    <w:p>
      <w:pPr>
        <w:pStyle w:val="Heading3"/>
      </w:pPr>
      <w:bookmarkStart w:id="1553" w:name="_Toc249"/>
      <w:r>
        <w:t>219- دیوان أبی الحسن التهامی العاملی‏</w:t>
      </w:r>
      <w:bookmarkEnd w:id="1553"/>
    </w:p>
    <w:p>
      <w:pPr>
        <w:pStyle w:val="BookText"/>
      </w:pPr>
      <w:r>
        <w:rPr>
          <w:rFonts w:ascii="IRNazanin" w:hAnsi="IRNazanin" w:eastAsia="IRNazanin" w:cs="IRNazanin"/>
          <w:lang w:bidi="fa-IR"/>
          <w:color w:val="111111"/>
          <w:sz w:val="28"/>
          <w:szCs w:val="28"/>
          <w:rtl/>
        </w:rPr>
        <w:t xml:space="preserve">الکاتب الشاعر الشهیر علی بن محمد بن الحسن بن محمد بن الحسن بن عبد العزیز ترجمه الباخرزی فی دمیة القصر و ابن خلکان و أمل الآمل و نسمة السحر توفی بمصر فی (9- ج 1- 416) و له فی رثاء ولده: [</w:t>
      </w:r>
    </w:p>
    <w:p>
      <w:pPr>
        <w:pStyle w:val="BookText"/>
      </w:pPr>
      <w:r>
        <w:rPr>
          <w:rFonts w:ascii="IRNazanin" w:hAnsi="IRNazanin" w:eastAsia="IRNazanin" w:cs="IRNazanin"/>
          <w:lang w:bidi="fa-IR"/>
          <w:color w:val="111111"/>
          <w:sz w:val="28"/>
          <w:szCs w:val="28"/>
          <w:rtl/>
        </w:rPr>
        <w:t xml:space="preserve">حکم المنیة فی البریة جار</w:t>
      </w:r>
    </w:p>
    <w:p>
      <w:pPr>
        <w:pStyle w:val="BookText"/>
      </w:pPr>
      <w:r>
        <w:rPr>
          <w:rFonts w:ascii="IRNazanin" w:hAnsi="IRNazanin" w:eastAsia="IRNazanin" w:cs="IRNazanin"/>
          <w:lang w:bidi="fa-IR"/>
          <w:color w:val="111111"/>
          <w:sz w:val="28"/>
          <w:szCs w:val="28"/>
          <w:rtl/>
        </w:rPr>
        <w:t xml:space="preserve">] إلی قوله [</w:t>
      </w:r>
    </w:p>
    <w:p>
      <w:pPr>
        <w:pStyle w:val="BookText"/>
      </w:pPr>
      <w:r>
        <w:rPr>
          <w:rFonts w:ascii="IRNazanin" w:hAnsi="IRNazanin" w:eastAsia="IRNazanin" w:cs="IRNazanin"/>
          <w:lang w:bidi="fa-IR"/>
          <w:color w:val="111111"/>
          <w:sz w:val="28"/>
          <w:szCs w:val="28"/>
          <w:rtl/>
        </w:rPr>
        <w:t xml:space="preserve">یا کوکبا ما کان أقصر عمره‏</w:t>
      </w:r>
    </w:p>
    <w:p>
      <w:pPr>
        <w:pStyle w:val="BookText"/>
      </w:pPr>
      <w:r>
        <w:rPr>
          <w:rFonts w:ascii="IRNazanin" w:hAnsi="IRNazanin" w:eastAsia="IRNazanin" w:cs="IRNazanin"/>
          <w:lang w:bidi="fa-IR"/>
          <w:color w:val="111111"/>
          <w:sz w:val="28"/>
          <w:szCs w:val="28"/>
          <w:rtl/>
        </w:rPr>
        <w:t xml:space="preserve">] طبع دیوانه بالإسکندریة (1893 م) و هو غیر التهامی الذی عده ابن شهرآشوب من شعراء أهل البیت فإنه الشجاع بن منصور التهامی‏</w:t>
      </w:r>
    </w:p>
    <w:p>
      <w:pPr>
        <w:pStyle w:val="Heading3"/>
      </w:pPr>
      <w:bookmarkStart w:id="1554" w:name="_Toc250"/>
      <w:r>
        <w:t>دیوان أبی الحسن جلوه‏</w:t>
      </w:r>
      <w:bookmarkEnd w:id="1554"/>
    </w:p>
    <w:p>
      <w:pPr>
        <w:pStyle w:val="BookText"/>
      </w:pPr>
      <w:r>
        <w:rPr>
          <w:rFonts w:ascii="IRNazanin" w:hAnsi="IRNazanin" w:eastAsia="IRNazanin" w:cs="IRNazanin"/>
          <w:lang w:bidi="fa-IR"/>
          <w:color w:val="111111"/>
          <w:sz w:val="28"/>
          <w:szCs w:val="28"/>
          <w:rtl/>
        </w:rPr>
        <w:t xml:space="preserve">یأتی بعنوان دیوان جلوه‏</w:t>
      </w:r>
    </w:p>
    <w:p>
      <w:pPr>
        <w:pStyle w:val="Heading3"/>
      </w:pPr>
      <w:bookmarkStart w:id="1555" w:name="_Toc251"/>
      <w:r>
        <w:t>220- دیوان أبی الحسن الخرقانی أو شعره‏</w:t>
      </w:r>
      <w:bookmarkEnd w:id="1555"/>
    </w:p>
    <w:p>
      <w:pPr>
        <w:pStyle w:val="BookText"/>
      </w:pPr>
      <w:r>
        <w:rPr>
          <w:rFonts w:ascii="IRNazanin" w:hAnsi="IRNazanin" w:eastAsia="IRNazanin" w:cs="IRNazanin"/>
          <w:lang w:bidi="fa-IR"/>
          <w:color w:val="111111"/>
          <w:sz w:val="28"/>
          <w:szCs w:val="28"/>
          <w:rtl/>
        </w:rPr>
        <w:t xml:space="preserve">و هو بسطامی من مشاهیر العرفاء ذکر له‏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9" w:name="pg11704_121516"/>
    <w:bookmarkEnd w:id="39"/>
    <w:p>
      <w:pPr>
        <w:pStyle w:val="BookText"/>
      </w:pPr>
      <w:r>
        <w:rPr>
          <w:rFonts w:ascii="IRNazanin" w:hAnsi="IRNazanin" w:eastAsia="IRNazanin" w:cs="IRNazanin"/>
          <w:lang w:bidi="fa-IR"/>
          <w:color w:val="111111"/>
          <w:sz w:val="28"/>
          <w:szCs w:val="28"/>
          <w:rtl/>
        </w:rPr>
        <w:t xml:space="preserve">فی التذاکر أشعارا کثیرة ترجمه فی النفحات ص 275 و قال مات (425)</w:t>
      </w:r>
    </w:p>
    <w:p>
      <w:pPr>
        <w:pStyle w:val="Heading3"/>
      </w:pPr>
      <w:bookmarkStart w:id="1556" w:name="_Toc252"/>
      <w:r>
        <w:t>221- دیوان أبی الحسن شیرازی أو شعره‏</w:t>
      </w:r>
      <w:bookmarkEnd w:id="1556"/>
    </w:p>
    <w:p>
      <w:pPr>
        <w:pStyle w:val="BookText"/>
      </w:pPr>
      <w:r>
        <w:rPr>
          <w:rFonts w:ascii="IRNazanin" w:hAnsi="IRNazanin" w:eastAsia="IRNazanin" w:cs="IRNazanin"/>
          <w:lang w:bidi="fa-IR"/>
          <w:color w:val="111111"/>
          <w:sz w:val="28"/>
          <w:szCs w:val="28"/>
          <w:rtl/>
        </w:rPr>
        <w:t xml:space="preserve">هو من سادات شعراء عهد الشاه سلیمان.</w:t>
      </w:r>
    </w:p>
    <w:p>
      <w:pPr>
        <w:pStyle w:val="BookText"/>
      </w:pPr>
      <w:r>
        <w:rPr>
          <w:rFonts w:ascii="IRNazanin" w:hAnsi="IRNazanin" w:eastAsia="IRNazanin" w:cs="IRNazanin"/>
          <w:lang w:bidi="fa-IR"/>
          <w:color w:val="111111"/>
          <w:sz w:val="28"/>
          <w:szCs w:val="28"/>
          <w:rtl/>
        </w:rPr>
        <w:t xml:space="preserve">ذکره فی (گلشن- ص 10) و أورد بعض شعره. و کذا فی قاموس الأعلام الترکیة.</w:t>
      </w:r>
    </w:p>
    <w:p>
      <w:pPr>
        <w:pStyle w:val="Heading3"/>
      </w:pPr>
      <w:bookmarkStart w:id="1557" w:name="_Toc253"/>
      <w:r>
        <w:t>222- دیوان أبی الحسن الفراهانی الحسینی أو شعره‏</w:t>
      </w:r>
      <w:bookmarkEnd w:id="1557"/>
    </w:p>
    <w:p>
      <w:pPr>
        <w:pStyle w:val="BookText"/>
      </w:pPr>
      <w:r>
        <w:rPr>
          <w:rFonts w:ascii="IRNazanin" w:hAnsi="IRNazanin" w:eastAsia="IRNazanin" w:cs="IRNazanin"/>
          <w:lang w:bidi="fa-IR"/>
          <w:color w:val="111111"/>
          <w:sz w:val="28"/>
          <w:szCs w:val="28"/>
          <w:rtl/>
        </w:rPr>
        <w:t xml:space="preserve">ترجمه معاصره النصرآبادی فی (نر- ص 276) و أورد جملة من أشعاره و ذکر من تصانیفه شرح دیوان الأنوری المشهور الموجود نسخته بمکتبة المشکاة کما فی فهرسها لابنی (ج 2- ص 125- 129).</w:t>
      </w:r>
    </w:p>
    <w:p>
      <w:pPr>
        <w:pStyle w:val="Heading3"/>
      </w:pPr>
      <w:bookmarkStart w:id="1558" w:name="_Toc254"/>
      <w:r>
        <w:t>دیوان أبی الحسن الکرمانی‏</w:t>
      </w:r>
      <w:bookmarkEnd w:id="1558"/>
    </w:p>
    <w:p>
      <w:pPr>
        <w:pStyle w:val="BookText"/>
      </w:pPr>
      <w:r>
        <w:rPr>
          <w:rFonts w:ascii="IRNazanin" w:hAnsi="IRNazanin" w:eastAsia="IRNazanin" w:cs="IRNazanin"/>
          <w:lang w:bidi="fa-IR"/>
          <w:color w:val="111111"/>
          <w:sz w:val="28"/>
          <w:szCs w:val="28"/>
          <w:rtl/>
        </w:rPr>
        <w:t xml:space="preserve">یأتی بعنوان تخلصه دیوان نعمت علی الکرمانی.</w:t>
      </w:r>
    </w:p>
    <w:p>
      <w:pPr>
        <w:pStyle w:val="Heading3"/>
      </w:pPr>
      <w:bookmarkStart w:id="1559" w:name="_Toc255"/>
      <w:r>
        <w:t>223- دیوان أبی الحسن مهنة الخراسانی أو شعره‏</w:t>
      </w:r>
      <w:bookmarkEnd w:id="1559"/>
    </w:p>
    <w:p>
      <w:pPr>
        <w:pStyle w:val="BookText"/>
      </w:pPr>
      <w:r>
        <w:rPr>
          <w:rFonts w:ascii="IRNazanin" w:hAnsi="IRNazanin" w:eastAsia="IRNazanin" w:cs="IRNazanin"/>
          <w:lang w:bidi="fa-IR"/>
          <w:color w:val="111111"/>
          <w:sz w:val="28"/>
          <w:szCs w:val="28"/>
          <w:rtl/>
        </w:rPr>
        <w:t xml:space="preserve">و هو ابن أحمد مهنة، و أستاذ أفضل الدین کان مدرسا بکاشان کما فی (تغ- ص 4).</w:t>
      </w:r>
    </w:p>
    <w:p>
      <w:pPr>
        <w:pStyle w:val="Heading3"/>
      </w:pPr>
      <w:bookmarkStart w:id="1560" w:name="_Toc256"/>
      <w:r>
        <w:t>224- دیوان أبی الحسین الجزائری‏</w:t>
      </w:r>
      <w:bookmarkEnd w:id="1560"/>
    </w:p>
    <w:p>
      <w:pPr>
        <w:pStyle w:val="BookText"/>
      </w:pPr>
      <w:r>
        <w:rPr>
          <w:rFonts w:ascii="IRNazanin" w:hAnsi="IRNazanin" w:eastAsia="IRNazanin" w:cs="IRNazanin"/>
          <w:lang w:bidi="fa-IR"/>
          <w:color w:val="111111"/>
          <w:sz w:val="28"/>
          <w:szCs w:val="28"/>
          <w:rtl/>
        </w:rPr>
        <w:t xml:space="preserve">موجود فی مکتبة (السماوی).</w:t>
      </w:r>
    </w:p>
    <w:p>
      <w:pPr>
        <w:pStyle w:val="Heading3"/>
      </w:pPr>
      <w:bookmarkStart w:id="1561" w:name="_Toc257"/>
      <w:r>
        <w:t>225- دیوان أبی حفص الخوزی أو شعره‏</w:t>
      </w:r>
      <w:bookmarkEnd w:id="1561"/>
    </w:p>
    <w:p>
      <w:pPr>
        <w:pStyle w:val="BookText"/>
      </w:pPr>
      <w:r>
        <w:rPr>
          <w:rFonts w:ascii="IRNazanin" w:hAnsi="IRNazanin" w:eastAsia="IRNazanin" w:cs="IRNazanin"/>
          <w:lang w:bidi="fa-IR"/>
          <w:color w:val="111111"/>
          <w:sz w:val="28"/>
          <w:szCs w:val="28"/>
          <w:rtl/>
        </w:rPr>
        <w:t xml:space="preserve">و هو ابن الشیخ عبد الله الخوزی المتوفی (472) من المعاصرین للشیخ أبی سعید أبی الخیر. أورد له رباعیة فی ریاض العارفین ص 69.</w:t>
      </w:r>
    </w:p>
    <w:p>
      <w:pPr>
        <w:pStyle w:val="Heading3"/>
      </w:pPr>
      <w:bookmarkStart w:id="1562" w:name="_Toc258"/>
      <w:r>
        <w:t>226- دیوان أبی حنیفة إسکافی المروزی‏</w:t>
      </w:r>
      <w:bookmarkEnd w:id="1562"/>
    </w:p>
    <w:p>
      <w:pPr>
        <w:pStyle w:val="BookText"/>
      </w:pPr>
      <w:r>
        <w:rPr>
          <w:rFonts w:ascii="IRNazanin" w:hAnsi="IRNazanin" w:eastAsia="IRNazanin" w:cs="IRNazanin"/>
          <w:lang w:bidi="fa-IR"/>
          <w:color w:val="111111"/>
          <w:sz w:val="28"/>
          <w:szCs w:val="28"/>
          <w:rtl/>
        </w:rPr>
        <w:t xml:space="preserve">قال فی (تش- ص 130) إنه من تلامذة المعلم الثانی أبی نصر الفارابی و ذکر له أشعارا. و قال فی (تغ: 7) إنه توفی (386).</w:t>
      </w:r>
    </w:p>
    <w:p>
      <w:pPr>
        <w:pStyle w:val="Heading3"/>
      </w:pPr>
      <w:bookmarkStart w:id="1563" w:name="_Toc259"/>
      <w:r>
        <w:t>227- دیوان أبی حنیفة المغربی‏</w:t>
      </w:r>
      <w:bookmarkEnd w:id="1563"/>
    </w:p>
    <w:p>
      <w:pPr>
        <w:pStyle w:val="BookText"/>
      </w:pPr>
      <w:r>
        <w:rPr>
          <w:rFonts w:ascii="IRNazanin" w:hAnsi="IRNazanin" w:eastAsia="IRNazanin" w:cs="IRNazanin"/>
          <w:lang w:bidi="fa-IR"/>
          <w:color w:val="111111"/>
          <w:sz w:val="28"/>
          <w:szCs w:val="28"/>
          <w:rtl/>
        </w:rPr>
        <w:t xml:space="preserve">هو نعمان بن محمد نزیل مصر و المتوفی بها (363) مؤلف دعائم الإسلام و غیره و قد استقصی تصانیفه فی نیف و أربعین، الأستاذ إیفانوف فی کتابه المرشد إلی أدب الإسماعیلیة و ذکر منها الأرجوزه فی العقائد و قصیدة ذات المحنة و قصیدة ذات المنن و القصیدة المختارة و القصیدة المنتخبة فی الفقه.</w:t>
      </w:r>
    </w:p>
    <w:p>
      <w:pPr>
        <w:pStyle w:val="Heading3"/>
      </w:pPr>
      <w:bookmarkStart w:id="1564" w:name="_Toc260"/>
      <w:r>
        <w:t>دیوان أبی حیان الشیرازی‏</w:t>
      </w:r>
      <w:bookmarkEnd w:id="1564"/>
    </w:p>
    <w:p>
      <w:pPr>
        <w:pStyle w:val="BookText"/>
      </w:pPr>
      <w:r>
        <w:rPr>
          <w:rFonts w:ascii="IRNazanin" w:hAnsi="IRNazanin" w:eastAsia="IRNazanin" w:cs="IRNazanin"/>
          <w:lang w:bidi="fa-IR"/>
          <w:color w:val="111111"/>
          <w:sz w:val="28"/>
          <w:szCs w:val="28"/>
          <w:rtl/>
        </w:rPr>
        <w:t xml:space="preserve">المتخلص بمانی یأتی.</w:t>
      </w:r>
    </w:p>
    <w:p>
      <w:pPr>
        <w:pStyle w:val="Heading3"/>
      </w:pPr>
      <w:bookmarkStart w:id="1565" w:name="_Toc261"/>
      <w:r>
        <w:t>228- دیوان أبی دهبل الجمحی الجماحی‏</w:t>
      </w:r>
      <w:bookmarkEnd w:id="1565"/>
    </w:p>
    <w:p>
      <w:pPr>
        <w:pStyle w:val="BookText"/>
      </w:pPr>
      <w:r>
        <w:rPr>
          <w:rFonts w:ascii="IRNazanin" w:hAnsi="IRNazanin" w:eastAsia="IRNazanin" w:cs="IRNazanin"/>
          <w:lang w:bidi="fa-IR"/>
          <w:color w:val="111111"/>
          <w:sz w:val="28"/>
          <w:szCs w:val="28"/>
          <w:rtl/>
        </w:rPr>
        <w:t xml:space="preserve">) وهب بن ربیعة (زمعة) من شعراء قریش و توفی (63) ذکر الشریف المرتضی علم الهدی فی الغرر و الدرر: أن له مراثی الحسین علیه السلام  و ذکر فی بعض المجلات أنه طبع بمباشرة بعض الألمانیین.</w:t>
      </w:r>
    </w:p>
    <w:p>
      <w:pPr>
        <w:pStyle w:val="Heading3"/>
      </w:pPr>
      <w:bookmarkStart w:id="1566" w:name="_Toc262"/>
      <w:r>
        <w:t>229- دیوان أبی ذئب‏</w:t>
      </w:r>
      <w:bookmarkEnd w:id="1566"/>
    </w:p>
    <w:p>
      <w:pPr>
        <w:pStyle w:val="BookText"/>
      </w:pPr>
      <w:r>
        <w:rPr>
          <w:rFonts w:ascii="IRNazanin" w:hAnsi="IRNazanin" w:eastAsia="IRNazanin" w:cs="IRNazanin"/>
          <w:lang w:bidi="fa-IR"/>
          <w:color w:val="111111"/>
          <w:sz w:val="28"/>
          <w:szCs w:val="28"/>
          <w:rtl/>
        </w:rPr>
        <w:t xml:space="preserve">الموجود فی مکتبة السماوی.</w:t>
      </w:r>
    </w:p>
    <w:p>
      <w:pPr>
        <w:pStyle w:val="Heading3"/>
      </w:pPr>
      <w:bookmarkStart w:id="1567" w:name="_Toc263"/>
      <w:r>
        <w:t>230- دیوان أبی ذر البوزجانی أو شعره‏</w:t>
      </w:r>
      <w:bookmarkEnd w:id="1567"/>
    </w:p>
    <w:p>
      <w:pPr>
        <w:pStyle w:val="BookText"/>
      </w:pPr>
      <w:r>
        <w:rPr>
          <w:rFonts w:ascii="IRNazanin" w:hAnsi="IRNazanin" w:eastAsia="IRNazanin" w:cs="IRNazanin"/>
          <w:lang w:bidi="fa-IR"/>
          <w:color w:val="111111"/>
          <w:sz w:val="28"/>
          <w:szCs w:val="28"/>
          <w:rtl/>
        </w:rPr>
        <w:t xml:space="preserve">من قدماء العرفاء ترجمه فی النفحات- ص 322 و ریاض العارفین ص 68 و أورد شعره العربی و الفارسی. مات (387).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40" w:name="pg11704_121517"/>
    <w:bookmarkEnd w:id="40"/>
    <w:p>
      <w:pPr>
        <w:pStyle w:val="Heading3"/>
      </w:pPr>
      <w:bookmarkStart w:id="1568" w:name="_Toc264"/>
      <w:r>
        <w:t>231- دیوان أبی رجاء أو شعره‏</w:t>
      </w:r>
      <w:bookmarkEnd w:id="1568"/>
    </w:p>
    <w:p>
      <w:pPr>
        <w:pStyle w:val="BookText"/>
      </w:pPr>
      <w:r>
        <w:rPr>
          <w:rFonts w:ascii="IRNazanin" w:hAnsi="IRNazanin" w:eastAsia="IRNazanin" w:cs="IRNazanin"/>
          <w:lang w:bidi="fa-IR"/>
          <w:color w:val="111111"/>
          <w:sz w:val="28"/>
          <w:szCs w:val="28"/>
          <w:rtl/>
        </w:rPr>
        <w:t xml:space="preserve">و هو الشاه شهاب الدین الغزنوی. ذکره فی (تغ: 7) و قال إنه توفی (597) و کان معاصر بهرام بن مسعود.</w:t>
      </w:r>
    </w:p>
    <w:p>
      <w:pPr>
        <w:pStyle w:val="Heading3"/>
      </w:pPr>
      <w:bookmarkStart w:id="1569" w:name="_Toc265"/>
      <w:r>
        <w:t>232- دیوان المیرزا أبی سعید أو شعره‏</w:t>
      </w:r>
      <w:bookmarkEnd w:id="1569"/>
    </w:p>
    <w:p>
      <w:pPr>
        <w:pStyle w:val="BookText"/>
      </w:pPr>
      <w:r>
        <w:rPr>
          <w:rFonts w:ascii="IRNazanin" w:hAnsi="IRNazanin" w:eastAsia="IRNazanin" w:cs="IRNazanin"/>
          <w:lang w:bidi="fa-IR"/>
          <w:color w:val="111111"/>
          <w:sz w:val="28"/>
          <w:szCs w:val="28"/>
          <w:rtl/>
        </w:rPr>
        <w:t xml:space="preserve">هاجر من إیران إلی بلاد الهند و تقرب عند السلطان شاه‏جهان. ترجمه النصرآبادی فی (نر- ص 61) و أورد بعض شعره، و کذلک فی (گلشن).</w:t>
      </w:r>
    </w:p>
    <w:p>
      <w:pPr>
        <w:pStyle w:val="Heading3"/>
      </w:pPr>
      <w:bookmarkStart w:id="1570" w:name="_Toc266"/>
      <w:r>
        <w:t>233- دیوان أبی سعید برغش أو شعره‏</w:t>
      </w:r>
      <w:bookmarkEnd w:id="1570"/>
    </w:p>
    <w:p>
      <w:pPr>
        <w:pStyle w:val="BookText"/>
      </w:pPr>
      <w:r>
        <w:rPr>
          <w:rFonts w:ascii="IRNazanin" w:hAnsi="IRNazanin" w:eastAsia="IRNazanin" w:cs="IRNazanin"/>
          <w:lang w:bidi="fa-IR"/>
          <w:color w:val="111111"/>
          <w:sz w:val="28"/>
          <w:szCs w:val="28"/>
          <w:rtl/>
        </w:rPr>
        <w:t xml:space="preserve">الشیرازی من العرفاء و أصحاب شهاب الدین السهروردی ترجمه فی نفحات الأنس ص 422 و ریاض العارفین ص 285 و أورد له رباعیة.</w:t>
      </w:r>
    </w:p>
    <w:p>
      <w:pPr>
        <w:pStyle w:val="Heading3"/>
      </w:pPr>
      <w:bookmarkStart w:id="1571" w:name="_Toc267"/>
      <w:r>
        <w:t>234- دیوان الخواجة أبی سعید مهنة أو شعره‏</w:t>
      </w:r>
      <w:bookmarkEnd w:id="1571"/>
    </w:p>
    <w:p>
      <w:pPr>
        <w:pStyle w:val="BookText"/>
      </w:pPr>
      <w:r>
        <w:rPr>
          <w:rFonts w:ascii="IRNazanin" w:hAnsi="IRNazanin" w:eastAsia="IRNazanin" w:cs="IRNazanin"/>
          <w:lang w:bidi="fa-IR"/>
          <w:color w:val="111111"/>
          <w:sz w:val="28"/>
          <w:szCs w:val="28"/>
          <w:rtl/>
        </w:rPr>
        <w:t xml:space="preserve">ابن الخواجة مؤید الدیوانة، من أحفاد أبی سعید أبی الخیر. ترجمه فی (تش- ص 131) و (مجن- ص 104 و 277) و أورد شعره و یظهر منه أنه من المعاصرین للمیر علی شیر الذی توفی (906) و کان یبکی عند إنشاد شعره.</w:t>
      </w:r>
    </w:p>
    <w:p>
      <w:pPr>
        <w:pStyle w:val="Heading3"/>
      </w:pPr>
      <w:bookmarkStart w:id="1572" w:name="_Toc268"/>
      <w:r>
        <w:t>235- دیوان السلطان أبی سعید أبی الخیر</w:t>
      </w:r>
      <w:bookmarkEnd w:id="1572"/>
    </w:p>
    <w:p>
      <w:pPr>
        <w:pStyle w:val="BookText"/>
      </w:pPr>
      <w:r>
        <w:rPr>
          <w:rFonts w:ascii="IRNazanin" w:hAnsi="IRNazanin" w:eastAsia="IRNazanin" w:cs="IRNazanin"/>
          <w:lang w:bidi="fa-IR"/>
          <w:color w:val="111111"/>
          <w:sz w:val="28"/>
          <w:szCs w:val="28"/>
          <w:rtl/>
        </w:rPr>
        <w:t xml:space="preserve">و هو فضل الله بن أبی الخیر المعاصر للشیخ الرئیس أبی علی سینا و المتوفی (14 شعبان 440) و ترجمه شاه محمد القزوینی فی (بهش- ص 317) و الجامی فی النفحات 277 و أورد بعض رباعیاته الکثیرة فی ریاض العارفین ص 48 و ترجمه فی نامه دانشوران (ج 1- ص 608) و ذکر أن عمره ألف شهر. و دفن بنیشابور. و فی بعض الکتب أنه توفی بمهینة و دفن بها.</w:t>
      </w:r>
    </w:p>
    <w:p>
      <w:pPr>
        <w:pStyle w:val="Heading3"/>
      </w:pPr>
      <w:bookmarkStart w:id="1573" w:name="_Toc269"/>
      <w:r>
        <w:t>236- دیوان أبی سعید کالیبی الهندی أو شعره‏</w:t>
      </w:r>
      <w:bookmarkEnd w:id="1573"/>
    </w:p>
    <w:p>
      <w:pPr>
        <w:pStyle w:val="BookText"/>
      </w:pPr>
      <w:r>
        <w:rPr>
          <w:rFonts w:ascii="IRNazanin" w:hAnsi="IRNazanin" w:eastAsia="IRNazanin" w:cs="IRNazanin"/>
          <w:lang w:bidi="fa-IR"/>
          <w:color w:val="111111"/>
          <w:sz w:val="28"/>
          <w:szCs w:val="28"/>
          <w:rtl/>
        </w:rPr>
        <w:t xml:space="preserve">و هو من المرتاضین فی الهند. ترجمه فی ریاض العارفین ص 283 و أورد شعره و ترجمه فی (گلشن- ص 10) و قال: جاء من إیران إلی الهند و تقرب عند شاه‏جهان ثم اعتزل عن المناصب.</w:t>
      </w:r>
    </w:p>
    <w:p>
      <w:pPr>
        <w:pStyle w:val="Heading3"/>
      </w:pPr>
      <w:bookmarkStart w:id="1574" w:name="_Toc270"/>
      <w:r>
        <w:t>237- دیوان أبی شکور البلخی أو شعره‏</w:t>
      </w:r>
      <w:bookmarkEnd w:id="1574"/>
    </w:p>
    <w:p>
      <w:pPr>
        <w:pStyle w:val="BookText"/>
      </w:pPr>
      <w:r>
        <w:rPr>
          <w:rFonts w:ascii="IRNazanin" w:hAnsi="IRNazanin" w:eastAsia="IRNazanin" w:cs="IRNazanin"/>
          <w:lang w:bidi="fa-IR"/>
          <w:color w:val="111111"/>
          <w:sz w:val="28"/>
          <w:szCs w:val="28"/>
          <w:rtl/>
        </w:rPr>
        <w:t xml:space="preserve">و هو من شعراء نصر بن أحمد السامانی.</w:t>
      </w:r>
    </w:p>
    <w:p>
      <w:pPr>
        <w:pStyle w:val="BookText"/>
      </w:pPr>
      <w:r>
        <w:rPr>
          <w:rFonts w:ascii="IRNazanin" w:hAnsi="IRNazanin" w:eastAsia="IRNazanin" w:cs="IRNazanin"/>
          <w:lang w:bidi="fa-IR"/>
          <w:color w:val="111111"/>
          <w:sz w:val="28"/>
          <w:szCs w:val="28"/>
          <w:rtl/>
        </w:rPr>
        <w:t xml:space="preserve">ذکر شعره فی أکثر التذاکر و مات (334).</w:t>
      </w:r>
    </w:p>
    <w:p>
      <w:pPr>
        <w:pStyle w:val="Heading3"/>
      </w:pPr>
      <w:bookmarkStart w:id="1575" w:name="_Toc271"/>
      <w:r>
        <w:t>238- دیوان أبی الشیص‏</w:t>
      </w:r>
      <w:bookmarkEnd w:id="1575"/>
    </w:p>
    <w:p>
      <w:pPr>
        <w:pStyle w:val="BookText"/>
      </w:pPr>
      <w:r>
        <w:rPr>
          <w:rFonts w:ascii="IRNazanin" w:hAnsi="IRNazanin" w:eastAsia="IRNazanin" w:cs="IRNazanin"/>
          <w:lang w:bidi="fa-IR"/>
          <w:color w:val="111111"/>
          <w:sz w:val="28"/>
          <w:szCs w:val="28"/>
          <w:rtl/>
        </w:rPr>
        <w:t xml:space="preserve">هو أبو جعفر محمد بن عبد الله بن رزین بن سلیمان الخزاعی الشهید فی (196) و هو ابن عم دعبل بن علی بن رزین بن سلیمان الخزاعی قال ابن الندیم‏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41" w:name="pg11704_121518"/>
    <w:bookmarkEnd w:id="41"/>
    <w:p>
      <w:pPr>
        <w:pStyle w:val="BookText"/>
      </w:pPr>
      <w:r>
        <w:rPr>
          <w:rFonts w:ascii="IRNazanin" w:hAnsi="IRNazanin" w:eastAsia="IRNazanin" w:cs="IRNazanin"/>
          <w:lang w:bidi="fa-IR"/>
          <w:color w:val="111111"/>
          <w:sz w:val="28"/>
          <w:szCs w:val="28"/>
          <w:rtl/>
        </w:rPr>
        <w:t xml:space="preserve">فی (ص 230) إن شعره نحو خمسین ورقة، عمله و رتبه الصولی الشطرنجی المتوفی (243) و مر دیوان ولده ابن أبی الشیص المسمی بعبد الله بن محمد. حکی سیدنا فی تأسیس الشیعة عن أبی خالد العامری أنه قال لابن المعتز: من أخبرک بأنه کان فی الدنیا أشعر من أبی الشیص فکذبه، و الله لکان الشعر أهون علیه من شرب الماء علی العطشان. و کانت ولادة دعبل (148) و وفاته (245) کما ذکره النجاشی فی ترجمه أخ دعبل و هو علی بن علی ابن رزین الذی ولد (172) و توفی (283) و کان عمره (111) کما ذکره ولده إسماعیل ابن علی فی ترجمته.</w:t>
      </w:r>
    </w:p>
    <w:p>
      <w:pPr>
        <w:pStyle w:val="Heading3"/>
      </w:pPr>
      <w:bookmarkStart w:id="1576" w:name="_Toc272"/>
      <w:r>
        <w:t>239- دیوان أبی طاپو</w:t>
      </w:r>
      <w:bookmarkEnd w:id="1576"/>
    </w:p>
    <w:p>
      <w:pPr>
        <w:pStyle w:val="BookText"/>
      </w:pPr>
      <w:r>
        <w:rPr>
          <w:rFonts w:ascii="IRNazanin" w:hAnsi="IRNazanin" w:eastAsia="IRNazanin" w:cs="IRNazanin"/>
          <w:lang w:bidi="fa-IR"/>
          <w:color w:val="111111"/>
          <w:sz w:val="28"/>
          <w:szCs w:val="28"/>
          <w:rtl/>
        </w:rPr>
        <w:t xml:space="preserve">هو الأدیب السید مهدی بن محمد بن الحسن بن إبراهیم بن ناصر بن قاسم الموسوی البغدادی النجفی المولود (1277) و المتوفی فی (1329) جمعه الشیخ عبد المولی بن الشیخ عبد الرسول بن الشیخ نعمة بن علاء الدین بن أمین الدین ابن محیی الدین الطریحی النجفی. و قد أشرنا إلی أرجوزته فی المعانی و البیان الموسومة باللؤلؤ و المرجان فی (ج 1- ص 497) و أرجوزة فی سلسلة نسبه کما ذکره ولده السید صالح و ذکرناها فی (ص 479) و له أرجوزة فی المنطق و أخری فی الشطرنج.</w:t>
      </w:r>
    </w:p>
    <w:p>
      <w:pPr>
        <w:pStyle w:val="Heading3"/>
      </w:pPr>
      <w:bookmarkStart w:id="1577" w:name="_Toc273"/>
      <w:r>
        <w:t>240- دیوان المیرزا أبی طالب القمی أو شعره‏</w:t>
      </w:r>
      <w:bookmarkEnd w:id="1577"/>
    </w:p>
    <w:p>
      <w:pPr>
        <w:pStyle w:val="BookText"/>
      </w:pPr>
      <w:r>
        <w:rPr>
          <w:rFonts w:ascii="IRNazanin" w:hAnsi="IRNazanin" w:eastAsia="IRNazanin" w:cs="IRNazanin"/>
          <w:lang w:bidi="fa-IR"/>
          <w:color w:val="111111"/>
          <w:sz w:val="28"/>
          <w:szCs w:val="28"/>
          <w:rtl/>
        </w:rPr>
        <w:t xml:space="preserve">و هو ابن المیرزا إبراهیم الرضوی القمی القاضی بها برهة و المفوض إلیه الخطابة بمسجد الإمام العسکری. ترجمه النصرآبادی فی (نر- ص 78) و أورد جملة من شعره.</w:t>
      </w:r>
    </w:p>
    <w:p>
      <w:pPr>
        <w:pStyle w:val="Heading3"/>
      </w:pPr>
      <w:bookmarkStart w:id="1578" w:name="_Toc274"/>
      <w:r>
        <w:t>241- دیوان مولانا أبی طالب البدخشانی أو شعره‏</w:t>
      </w:r>
      <w:bookmarkEnd w:id="1578"/>
    </w:p>
    <w:p>
      <w:pPr>
        <w:pStyle w:val="BookText"/>
      </w:pPr>
      <w:r>
        <w:rPr>
          <w:rFonts w:ascii="IRNazanin" w:hAnsi="IRNazanin" w:eastAsia="IRNazanin" w:cs="IRNazanin"/>
          <w:lang w:bidi="fa-IR"/>
          <w:color w:val="111111"/>
          <w:sz w:val="28"/>
          <w:szCs w:val="28"/>
          <w:rtl/>
        </w:rPr>
        <w:t xml:space="preserve">کان نزیل هرات للتحصیل.</w:t>
      </w:r>
    </w:p>
    <w:p>
      <w:pPr>
        <w:pStyle w:val="BookText"/>
      </w:pPr>
      <w:r>
        <w:rPr>
          <w:rFonts w:ascii="IRNazanin" w:hAnsi="IRNazanin" w:eastAsia="IRNazanin" w:cs="IRNazanin"/>
          <w:lang w:bidi="fa-IR"/>
          <w:color w:val="111111"/>
          <w:sz w:val="28"/>
          <w:szCs w:val="28"/>
          <w:rtl/>
        </w:rPr>
        <w:t xml:space="preserve">أورد شعره فی (لط- ص 70).</w:t>
      </w:r>
    </w:p>
    <w:p>
      <w:pPr>
        <w:pStyle w:val="Heading3"/>
      </w:pPr>
      <w:bookmarkStart w:id="1579" w:name="_Toc275"/>
      <w:r>
        <w:t>دیوان الحکیم أبی طالب التبریزی‏</w:t>
      </w:r>
      <w:bookmarkEnd w:id="1579"/>
    </w:p>
    <w:p>
      <w:pPr>
        <w:pStyle w:val="BookText"/>
      </w:pPr>
      <w:r>
        <w:rPr>
          <w:rFonts w:ascii="IRNazanin" w:hAnsi="IRNazanin" w:eastAsia="IRNazanin" w:cs="IRNazanin"/>
          <w:lang w:bidi="fa-IR"/>
          <w:color w:val="111111"/>
          <w:sz w:val="28"/>
          <w:szCs w:val="28"/>
          <w:rtl/>
        </w:rPr>
        <w:t xml:space="preserve">المتخلص بطالب یأتی.</w:t>
      </w:r>
    </w:p>
    <w:p>
      <w:pPr>
        <w:pStyle w:val="Heading3"/>
      </w:pPr>
      <w:bookmarkStart w:id="1580" w:name="_Toc276"/>
      <w:r>
        <w:t>242- دیوان المیرزا أبی طالب الفندرسکی الأصفهانی‏</w:t>
      </w:r>
      <w:bookmarkEnd w:id="1580"/>
    </w:p>
    <w:p>
      <w:pPr>
        <w:pStyle w:val="BookText"/>
      </w:pPr>
      <w:r>
        <w:rPr>
          <w:rFonts w:ascii="IRNazanin" w:hAnsi="IRNazanin" w:eastAsia="IRNazanin" w:cs="IRNazanin"/>
          <w:lang w:bidi="fa-IR"/>
          <w:color w:val="111111"/>
          <w:sz w:val="28"/>
          <w:szCs w:val="28"/>
          <w:rtl/>
        </w:rPr>
        <w:t xml:space="preserve">الشاعر الذی تمم حمله حیدری نظم باذل الخراسانی المتوفی (1124) کما مر فی (ج 7 ص 92).</w:t>
      </w:r>
    </w:p>
    <w:p>
      <w:pPr>
        <w:pStyle w:val="Heading3"/>
      </w:pPr>
      <w:bookmarkStart w:id="1581" w:name="_Toc277"/>
      <w:r>
        <w:t>دیوان المیر أبی طالب‏</w:t>
      </w:r>
      <w:bookmarkEnd w:id="1581"/>
    </w:p>
    <w:p>
      <w:pPr>
        <w:pStyle w:val="BookText"/>
      </w:pPr>
      <w:r>
        <w:rPr>
          <w:rFonts w:ascii="IRNazanin" w:hAnsi="IRNazanin" w:eastAsia="IRNazanin" w:cs="IRNazanin"/>
          <w:lang w:bidi="fa-IR"/>
          <w:color w:val="111111"/>
          <w:sz w:val="28"/>
          <w:szCs w:val="28"/>
          <w:rtl/>
        </w:rPr>
        <w:t xml:space="preserve">سبط المیر الفندرسکی اسمه غزوات حیدری و آخر اسمه ساقی‏نامه. و یمکن اتحاده مع ما قبله.</w:t>
      </w:r>
    </w:p>
    <w:p>
      <w:pPr>
        <w:pStyle w:val="Heading3"/>
      </w:pPr>
      <w:bookmarkStart w:id="1582" w:name="_Toc278"/>
      <w:r>
        <w:t>243- دیوان أبی طالب و ذکر إسلامه‏</w:t>
      </w:r>
      <w:bookmarkEnd w:id="1582"/>
    </w:p>
    <w:p>
      <w:pPr>
        <w:pStyle w:val="BookText"/>
      </w:pPr>
      <w:r>
        <w:rPr>
          <w:rFonts w:ascii="IRNazanin" w:hAnsi="IRNazanin" w:eastAsia="IRNazanin" w:cs="IRNazanin"/>
          <w:lang w:bidi="fa-IR"/>
          <w:color w:val="111111"/>
          <w:sz w:val="28"/>
          <w:szCs w:val="28"/>
          <w:rtl/>
        </w:rPr>
        <w:t xml:space="preserve">. و هو أبو طالب بن عبد المطلب ابن هاشم بن عبد مناف إلی آخر نسب النبی  صلی الله علیه و آله . جمعه علی بن حمزة البصری التمیمی اللغوی المکنی بأبی نعیم و المتوفی‏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2" w:name="pg11704_121519"/>
    <w:bookmarkEnd w:id="42"/>
    <w:p>
      <w:pPr>
        <w:pStyle w:val="BookText"/>
      </w:pPr>
      <w:r>
        <w:rPr>
          <w:rFonts w:ascii="IRNazanin" w:hAnsi="IRNazanin" w:eastAsia="IRNazanin" w:cs="IRNazanin"/>
          <w:lang w:bidi="fa-IR"/>
          <w:color w:val="111111"/>
          <w:sz w:val="28"/>
          <w:szCs w:val="28"/>
          <w:rtl/>
        </w:rPr>
        <w:t xml:space="preserve">صقلیة (سیسیل) فی شهر رمضان (375) و صلی علیه قاضی صقلیة فی الجامع و کبر علیه خمسا کما أرخه کذلک فی (جما- ج 13 ص 209) و هو متأخر عن علی بن حمزة بن عمارة الأصفهانی الذی عمل دیوان أبی تمام، کما أشرنا إلیه عند ذکر دیوان أبی تمام، و قلنا إن الأصفهانی کان معاصرا مع ابن طباطبا الأصفهانی الذی توفی (322) و بینهما مفاوضات طوال و جوابات لجماعة من شعراء أصفهان. و البصری التمیمی توفی بعد ابن طباطبا بنیف و خمسین سنة.</w:t>
      </w:r>
    </w:p>
    <w:p>
      <w:pPr>
        <w:pStyle w:val="BookText"/>
      </w:pPr>
      <w:r>
        <w:rPr>
          <w:rFonts w:ascii="IRNazanin" w:hAnsi="IRNazanin" w:eastAsia="IRNazanin" w:cs="IRNazanin"/>
          <w:lang w:bidi="fa-IR"/>
          <w:color w:val="111111"/>
          <w:sz w:val="28"/>
          <w:szCs w:val="28"/>
          <w:rtl/>
        </w:rPr>
        <w:t xml:space="preserve">و یروی فی ما جمعه من شعره الدال علی إسلامه فی هذا الدیوان عن أبی محمد هارون بن موسی التلعکبری المتوفی (385) بأسانیده و عن جمع آخر من مشایخ الشیعة و من أسانیده العالیة روایته عن محمد بن الحسن بن درید صاحب الجمهرة و المتوفی (321) و هو رواه عن والده الحسن بن درید، و هو عن هشام بن محمد بن السائب الکلبی الذی توفی (206). و قد رأیت نسخه منه فی خزانة (العطار فی بغداد) کتبها لنفسه فی أصفهان المولی کلب علی بن جواد الکاظمی و فرغ من الکتابة فی (22- رمضان- 1071) و قد ذکرناه مختصرا فی (ج 2 ص 513)</w:t>
      </w:r>
      <w:r>
        <w:rPr>
          <w:rStyle w:val="FootnoteReference"/>
        </w:rPr>
        <w:footnoteReference w:id="5"/>
      </w:r>
      <w:r>
        <w:rPr>
          <w:rFonts w:ascii="IRNazanin" w:hAnsi="IRNazanin" w:eastAsia="IRNazanin" w:cs="IRNazanin"/>
          <w:lang w:bidi="fa-IR"/>
          <w:color w:val="111111"/>
          <w:sz w:val="28"/>
          <w:szCs w:val="28"/>
          <w:rtl/>
        </w:rPr>
        <w:t xml:space="preserve">بعنوان إیمان أبی طالب.</w:t>
      </w:r>
    </w:p>
    <w:p>
      <w:pPr>
        <w:pStyle w:val="Heading3"/>
      </w:pPr>
      <w:bookmarkStart w:id="1583" w:name="_Toc279"/>
      <w:r>
        <w:t>دیوان أبی طالب‏</w:t>
      </w:r>
      <w:bookmarkEnd w:id="1583"/>
    </w:p>
    <w:p>
      <w:pPr>
        <w:pStyle w:val="BookText"/>
      </w:pPr>
      <w:r>
        <w:rPr>
          <w:rFonts w:ascii="IRNazanin" w:hAnsi="IRNazanin" w:eastAsia="IRNazanin" w:cs="IRNazanin"/>
          <w:lang w:bidi="fa-IR"/>
          <w:color w:val="111111"/>
          <w:sz w:val="28"/>
          <w:szCs w:val="28"/>
          <w:rtl/>
        </w:rPr>
        <w:t xml:space="preserve">الذی جمعه أبو هفمان المهزمی. یأتی فی حرف الشین بعنوان شعر أبی طالب کما یعبر عنه به.</w:t>
      </w:r>
    </w:p>
    <w:p>
      <w:pPr>
        <w:pStyle w:val="Heading3"/>
      </w:pPr>
      <w:bookmarkStart w:id="1584" w:name="_Toc280"/>
      <w:r>
        <w:t>244- دیوان الخواجة أبی طاهر أو شعره‏</w:t>
      </w:r>
      <w:bookmarkEnd w:id="1584"/>
    </w:p>
    <w:p>
      <w:pPr>
        <w:pStyle w:val="BookText"/>
      </w:pPr>
      <w:r>
        <w:rPr>
          <w:rFonts w:ascii="IRNazanin" w:hAnsi="IRNazanin" w:eastAsia="IRNazanin" w:cs="IRNazanin"/>
          <w:lang w:bidi="fa-IR"/>
          <w:color w:val="111111"/>
          <w:sz w:val="28"/>
          <w:szCs w:val="28"/>
          <w:rtl/>
        </w:rPr>
        <w:t xml:space="preserve">و هو ابن الخواجة عبد الله مهنة ترجمه فی (لط- ص 105) و أورد مطلع غزله و فی بعض النسخ ظاهر بالمعجمة</w:t>
      </w:r>
    </w:p>
    <w:p>
      <w:pPr>
        <w:pStyle w:val="Heading3"/>
      </w:pPr>
      <w:bookmarkStart w:id="1585" w:name="_Toc281"/>
      <w:r>
        <w:t>245- دیوان أبی الطفیل‏</w:t>
      </w:r>
      <w:bookmarkEnd w:id="1585"/>
    </w:p>
    <w:p>
      <w:pPr>
        <w:pStyle w:val="BookText"/>
      </w:pPr>
      <w:r>
        <w:rPr>
          <w:rFonts w:ascii="IRNazanin" w:hAnsi="IRNazanin" w:eastAsia="IRNazanin" w:cs="IRNazanin"/>
          <w:lang w:bidi="fa-IR"/>
          <w:color w:val="111111"/>
          <w:sz w:val="28"/>
          <w:szCs w:val="28"/>
          <w:rtl/>
        </w:rPr>
        <w:t xml:space="preserve">الصحابی عامر بن واثلة الکنانی أدرک ثمان سنین من حیاة النبی  صلی الله علیه و آله  ولد فی عام أحد، و هو آخر من مات من الصحابة کما فی مختصر الذهبی أنه مات (110) ترجمه الکشی و الشیخ الطوسی فی رجاله مرة فی أصحاب النبی  صلی الله علیه و آله  و أخری فی أصحاب أمیر المؤمنین علیه السلام  و ذکر فی بعض المجلات أن بعض الألمانیین باشر طبع دیوانه و هو غیر دیوان عامر بن الطفیل الشاعر الجاهلی و ابن عم لبید، المطبوع مع دیوان عبید بن الأبرص کما فی (جمط ص 1261) و غیر دیوان طفیل بن عوف الغنوی الشاعر الجاهلی المتوفی أول البعثة، و هو صغیر مطبوع مع دیوان طرماح بنفقة لجنة تذکار الکتب بانگلترا و ترجمهما إلی الإنگلیزیة (کرنکو) کما فی بعض الفهارس و من‏ ].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3" w:name="pg11704_121520"/>
    <w:bookmarkEnd w:id="43"/>
    <w:p>
      <w:pPr>
        <w:pStyle w:val="BookText"/>
      </w:pPr>
      <w:r>
        <w:rPr>
          <w:rFonts w:ascii="IRNazanin" w:hAnsi="IRNazanin" w:eastAsia="IRNazanin" w:cs="IRNazanin"/>
          <w:lang w:bidi="fa-IR"/>
          <w:color w:val="111111"/>
          <w:sz w:val="28"/>
          <w:szCs w:val="28"/>
          <w:rtl/>
        </w:rPr>
        <w:t xml:space="preserve">شعر أبی الطفیل هذا فی دیوانه ما رثی به ولده طفیل بن عامر أحد الشجعان الخارج مع ابن الأشعث فی ثورته علی الحجاج بالعراق و قد قتل فی وقعة یوم الزاویة عام (82) فرثاه أبوه بقصیدة مطلعها: [</w:t>
      </w:r>
    </w:p>
    <w:p>
      <w:pPr>
        <w:pStyle w:val="BookText"/>
      </w:pPr>
      <w:r>
        <w:rPr>
          <w:rFonts w:ascii="IRNazanin" w:hAnsi="IRNazanin" w:eastAsia="IRNazanin" w:cs="IRNazanin"/>
          <w:lang w:bidi="fa-IR"/>
          <w:color w:val="111111"/>
          <w:sz w:val="28"/>
          <w:szCs w:val="28"/>
          <w:rtl/>
        </w:rPr>
        <w:t xml:space="preserve">خلی طفیل علی الهم فانشعبا</w:t>
      </w:r>
    </w:p>
    <w:p>
      <w:pPr>
        <w:pStyle w:val="Heading3"/>
      </w:pPr>
      <w:bookmarkStart w:id="1586" w:name="_Toc282"/>
      <w:r>
        <w:t>246- دیوان أبی الطیب المتنبی‏</w:t>
      </w:r>
      <w:bookmarkEnd w:id="1586"/>
    </w:p>
    <w:p>
      <w:pPr>
        <w:pStyle w:val="BookText"/>
      </w:pPr>
      <w:r>
        <w:rPr>
          <w:rFonts w:ascii="IRNazanin" w:hAnsi="IRNazanin" w:eastAsia="IRNazanin" w:cs="IRNazanin"/>
          <w:lang w:bidi="fa-IR"/>
          <w:color w:val="111111"/>
          <w:sz w:val="28"/>
          <w:szCs w:val="28"/>
          <w:rtl/>
        </w:rPr>
        <w:t xml:space="preserve">هو أحمد بن الحسین بن الحسن بن عبد الصمد الجعفی الکندی الکوفی المولود بها (303) و المقتول (354) عده القاضی فی مجالس المؤمنین من شعراء الشیعة و ذکر بعض شعره الدال علیه و ترجمه فی نسمة السحر و ذکر أن له قصائد فی مدح أمیر المؤمنین علیه السلام  سماها العلویات طبع دیوانه مکررا مع الشرح و بغیر شرح و ذکر فی جمط ص 1616 تواریخ کل طبع و خصوصیاته و أما شروحه فقد حکی ابن خلکان عن بعض مشایخه أنه وقف علی أکثر من أربعین شرحا له و ذکر فی کشف الظنون جملة من الشروح و قال إن الأکثر فائدة منها هو شرح أبی الحسن الواحدی علی بن أحمد المتوفی (468) و من شعره فی دیوانه المطبوع قوله‏</w:t>
      </w:r>
    </w:p>
    <w:p>
      <w:pPr>
        <w:pStyle w:val="BookText"/>
      </w:pPr>
      <w:r>
        <w:rPr>
          <w:rFonts w:ascii="IRNazanin" w:hAnsi="IRNazanin" w:eastAsia="IRNazanin" w:cs="IRNazanin"/>
          <w:lang w:bidi="fa-IR"/>
          <w:color w:val="111111"/>
          <w:sz w:val="28"/>
          <w:szCs w:val="28"/>
          <w:rtl/>
        </w:rPr>
        <w:t xml:space="preserve">و ترکت مدحی للوصی تعمدا</w:t>
      </w:r>
    </w:p>
    <w:p>
      <w:pPr>
        <w:pStyle w:val="BookText"/>
      </w:pPr>
      <w:r>
        <w:rPr>
          <w:rFonts w:ascii="IRNazanin" w:hAnsi="IRNazanin" w:eastAsia="IRNazanin" w:cs="IRNazanin"/>
          <w:lang w:bidi="fa-IR"/>
          <w:color w:val="111111"/>
          <w:sz w:val="28"/>
          <w:szCs w:val="28"/>
          <w:rtl/>
        </w:rPr>
        <w:t xml:space="preserve">إذ کان نورا مستطیلا شاملا</w:t>
      </w:r>
    </w:p>
    <w:p>
      <w:pPr>
        <w:pStyle w:val="Heading3"/>
      </w:pPr>
      <w:bookmarkStart w:id="1587" w:name="_Toc283"/>
      <w:r>
        <w:t>247- دیوان أبی العباس الأرسجی أو شعره‏</w:t>
      </w:r>
      <w:bookmarkEnd w:id="1587"/>
    </w:p>
    <w:p>
      <w:pPr>
        <w:pStyle w:val="BookText"/>
      </w:pPr>
      <w:r>
        <w:rPr>
          <w:rFonts w:ascii="IRNazanin" w:hAnsi="IRNazanin" w:eastAsia="IRNazanin" w:cs="IRNazanin"/>
          <w:lang w:bidi="fa-IR"/>
          <w:color w:val="111111"/>
          <w:sz w:val="28"/>
          <w:szCs w:val="28"/>
          <w:rtl/>
        </w:rPr>
        <w:t xml:space="preserve">مدح الأمیر نصر بن أحمد السامانی فی اللیلة الحادیة و الثلاثین من السدة التی کان یقام رسومها سنویا، بقصیدة أولها:</w:t>
      </w:r>
    </w:p>
    <w:p>
      <w:pPr>
        <w:pStyle w:val="BookText"/>
      </w:pPr>
      <w:r>
        <w:rPr>
          <w:rFonts w:ascii="IRNazanin" w:hAnsi="IRNazanin" w:eastAsia="IRNazanin" w:cs="IRNazanin"/>
          <w:lang w:bidi="fa-IR"/>
          <w:color w:val="111111"/>
          <w:sz w:val="28"/>
          <w:szCs w:val="28"/>
          <w:rtl/>
        </w:rPr>
        <w:t xml:space="preserve">مهترآباد خدایا ملک بغدادا</w:t>
      </w:r>
    </w:p>
    <w:p>
      <w:pPr>
        <w:pStyle w:val="BookText"/>
      </w:pPr>
      <w:r>
        <w:rPr>
          <w:rFonts w:ascii="IRNazanin" w:hAnsi="IRNazanin" w:eastAsia="IRNazanin" w:cs="IRNazanin"/>
          <w:lang w:bidi="fa-IR"/>
          <w:color w:val="111111"/>
          <w:sz w:val="28"/>
          <w:szCs w:val="28"/>
          <w:rtl/>
        </w:rPr>
        <w:t xml:space="preserve">شبک سی و یکم بر تو مبارک بادا</w:t>
      </w:r>
    </w:p>
    <w:p>
      <w:pPr>
        <w:pStyle w:val="BookText"/>
      </w:pPr>
      <w:r>
        <w:rPr>
          <w:rFonts w:ascii="IRNazanin" w:hAnsi="IRNazanin" w:eastAsia="IRNazanin" w:cs="IRNazanin"/>
          <w:lang w:bidi="fa-IR"/>
          <w:color w:val="111111"/>
          <w:sz w:val="28"/>
          <w:szCs w:val="28"/>
          <w:rtl/>
        </w:rPr>
        <w:t xml:space="preserve">کذا ذکره فی ثمار القلوب- ص 147 للثعالبی المطبوع (1908 م)</w:t>
      </w:r>
    </w:p>
    <w:p>
      <w:pPr>
        <w:pStyle w:val="Heading3"/>
      </w:pPr>
      <w:bookmarkStart w:id="1588" w:name="_Toc284"/>
      <w:r>
        <w:t>248- دیوان أبی العباس البخاری أو شعره‏</w:t>
      </w:r>
      <w:bookmarkEnd w:id="1588"/>
    </w:p>
    <w:p>
      <w:pPr>
        <w:pStyle w:val="BookText"/>
      </w:pPr>
      <w:r>
        <w:rPr>
          <w:rFonts w:ascii="IRNazanin" w:hAnsi="IRNazanin" w:eastAsia="IRNazanin" w:cs="IRNazanin"/>
          <w:lang w:bidi="fa-IR"/>
          <w:color w:val="111111"/>
          <w:sz w:val="28"/>
          <w:szCs w:val="28"/>
          <w:rtl/>
        </w:rPr>
        <w:t xml:space="preserve">و هو فضل بن العباس من شعراء بخارا، المعاصر لرودکی و قد رثا نصر بن أحمد و نوح بن منصور السامانی و قد ذکر شعره فی التذاکر، مات عام (200) کما فی (تغ- ص 5) و أظنه عین ما قبله‏</w:t>
      </w:r>
    </w:p>
    <w:p>
      <w:pPr>
        <w:pStyle w:val="Heading3"/>
      </w:pPr>
      <w:bookmarkStart w:id="1589" w:name="_Toc285"/>
      <w:r>
        <w:t>249- دیوان أبی عبد الله الشیرازی أو شعره‏</w:t>
      </w:r>
      <w:bookmarkEnd w:id="1589"/>
    </w:p>
    <w:p>
      <w:pPr>
        <w:pStyle w:val="BookText"/>
      </w:pPr>
      <w:r>
        <w:rPr>
          <w:rFonts w:ascii="IRNazanin" w:hAnsi="IRNazanin" w:eastAsia="IRNazanin" w:cs="IRNazanin"/>
          <w:lang w:bidi="fa-IR"/>
          <w:color w:val="111111"/>
          <w:sz w:val="28"/>
          <w:szCs w:val="28"/>
          <w:rtl/>
        </w:rPr>
        <w:t xml:space="preserve">و هو من قدماء العرفاء ترجمه فی ریاض العارفین- ص 68 و ذکر بعض شعره و إنه توفی (391) عن (124) سنة</w:t>
      </w:r>
    </w:p>
    <w:p>
      <w:pPr>
        <w:pStyle w:val="Heading3"/>
      </w:pPr>
      <w:bookmarkStart w:id="1590" w:name="_Toc286"/>
      <w:r>
        <w:t>دیوان أبی العرفاء الخوارزمی‏</w:t>
      </w:r>
      <w:bookmarkEnd w:id="1590"/>
    </w:p>
    <w:p>
      <w:pPr>
        <w:pStyle w:val="BookText"/>
      </w:pPr>
      <w:r>
        <w:rPr>
          <w:rFonts w:ascii="IRNazanin" w:hAnsi="IRNazanin" w:eastAsia="IRNazanin" w:cs="IRNazanin"/>
          <w:lang w:bidi="fa-IR"/>
          <w:color w:val="111111"/>
          <w:sz w:val="28"/>
          <w:szCs w:val="28"/>
          <w:rtl/>
        </w:rPr>
        <w:t xml:space="preserve">ذکره فی (تش- ص 311) و قال إنه من رجال التصوف و أظنه‏</w:t>
      </w:r>
    </w:p>
    <w:p>
      <w:pPr>
        <w:pStyle w:val="Heading3"/>
      </w:pPr>
      <w:bookmarkStart w:id="1591" w:name="_Toc287"/>
      <w:r>
        <w:t>أبو الوفاء</w:t>
      </w:r>
      <w:bookmarkEnd w:id="1591"/>
    </w:p>
    <w:p>
      <w:pPr>
        <w:pStyle w:val="Heading3"/>
      </w:pPr>
      <w:bookmarkStart w:id="1592" w:name="_Toc288"/>
      <w:r>
        <w:t>250- دیوان أبی العلاء الگنجوی‏</w:t>
      </w:r>
      <w:bookmarkEnd w:id="1592"/>
    </w:p>
    <w:p>
      <w:pPr>
        <w:pStyle w:val="BookText"/>
      </w:pPr>
      <w:r>
        <w:rPr>
          <w:rFonts w:ascii="IRNazanin" w:hAnsi="IRNazanin" w:eastAsia="IRNazanin" w:cs="IRNazanin"/>
          <w:lang w:bidi="fa-IR"/>
          <w:color w:val="111111"/>
          <w:sz w:val="28"/>
          <w:szCs w:val="28"/>
          <w:rtl/>
        </w:rPr>
        <w:t xml:space="preserve">و هو أستاذ الخاقانی الشروانی و أبی زوجته ترجمه فی (دجا- ص 27) و ترجمه علی شیر فی (مجن- ص 328) و (لت- ص 41) و (تش-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4" w:name="pg11704_121521"/>
    <w:bookmarkEnd w:id="44"/>
    <w:p>
      <w:pPr>
        <w:pStyle w:val="BookText"/>
      </w:pPr>
      <w:r>
        <w:rPr>
          <w:rFonts w:ascii="IRNazanin" w:hAnsi="IRNazanin" w:eastAsia="IRNazanin" w:cs="IRNazanin"/>
          <w:lang w:bidi="fa-IR"/>
          <w:color w:val="111111"/>
          <w:sz w:val="28"/>
          <w:szCs w:val="28"/>
          <w:rtl/>
        </w:rPr>
        <w:t xml:space="preserve">ص 51) کان ملک الشعراء فی عهد ملوک شیروان و دیوانه مشحون بمدائحهم و مات (554) کما فی (تغ- ص 5)</w:t>
      </w:r>
    </w:p>
    <w:p>
      <w:pPr>
        <w:pStyle w:val="Heading3"/>
      </w:pPr>
      <w:bookmarkStart w:id="1593" w:name="_Toc289"/>
      <w:r>
        <w:t>251- دیوان أبی العلاء المعری‏</w:t>
      </w:r>
      <w:bookmarkEnd w:id="1593"/>
    </w:p>
    <w:p>
      <w:pPr>
        <w:pStyle w:val="BookText"/>
      </w:pPr>
      <w:r>
        <w:rPr>
          <w:rFonts w:ascii="IRNazanin" w:hAnsi="IRNazanin" w:eastAsia="IRNazanin" w:cs="IRNazanin"/>
          <w:lang w:bidi="fa-IR"/>
          <w:color w:val="111111"/>
          <w:sz w:val="28"/>
          <w:szCs w:val="28"/>
          <w:rtl/>
        </w:rPr>
        <w:t xml:space="preserve">أحمد بن عبد الله بن سلیمان المولود بمعرة النعمان (363) و المتوفی بها (449) ترجمه فی تسمه و له دواوین سقط الزند و لزوم ما لا یلزم و المنتخبات منه، کلها مطبوعات، و لها شروح یأتی فی محالها و أورد سیدنا فی تأسیس الشیعة شواهد تشیعه و ذکره ابن شهرآشوب فی آخر شعراء أهل البیت و کتب ابن أبی جوادة المتوفی (660) فی تبرئة المعری عما رمی به کتابا سماه دفع الظلم و التحری علی أبی العلاء المعری و ألف فی تبرئته أیضا کتاب صرف المعرة عن المعری تألیف السید العالم أبی علی المعروف بابن حاجب الدار و هو مظفر بن الحافظ لکتاب الله فضل بن یحیی المنتهی نسبه إلی إسحاق بن الإمام جعفر الصادق علیه السلام  ذکر فی عمدة الطالب (ص 242) طبع النجف و (ص 240) طبع الهند</w:t>
      </w:r>
    </w:p>
    <w:p>
      <w:pPr>
        <w:pStyle w:val="Heading3"/>
      </w:pPr>
      <w:bookmarkStart w:id="1594" w:name="_Toc290"/>
      <w:r>
        <w:t>دیوان أبی علی بن سینا الشیخ الرئیس‏</w:t>
      </w:r>
      <w:bookmarkEnd w:id="1594"/>
    </w:p>
    <w:p>
      <w:pPr>
        <w:pStyle w:val="BookText"/>
      </w:pPr>
      <w:r>
        <w:rPr>
          <w:rFonts w:ascii="IRNazanin" w:hAnsi="IRNazanin" w:eastAsia="IRNazanin" w:cs="IRNazanin"/>
          <w:lang w:bidi="fa-IR"/>
          <w:color w:val="111111"/>
          <w:sz w:val="28"/>
          <w:szCs w:val="28"/>
          <w:rtl/>
        </w:rPr>
        <w:t xml:space="preserve">مر بعنوان دیوان ابن سینا</w:t>
      </w:r>
    </w:p>
    <w:p>
      <w:pPr>
        <w:pStyle w:val="Heading3"/>
      </w:pPr>
      <w:bookmarkStart w:id="1595" w:name="_Toc291"/>
      <w:r>
        <w:t>252- دیوان أبی علی الرودباری أو شعره‏</w:t>
      </w:r>
      <w:bookmarkEnd w:id="1595"/>
    </w:p>
    <w:p>
      <w:pPr>
        <w:pStyle w:val="BookText"/>
      </w:pPr>
      <w:r>
        <w:rPr>
          <w:rFonts w:ascii="IRNazanin" w:hAnsi="IRNazanin" w:eastAsia="IRNazanin" w:cs="IRNazanin"/>
          <w:lang w:bidi="fa-IR"/>
          <w:color w:val="111111"/>
          <w:sz w:val="28"/>
          <w:szCs w:val="28"/>
          <w:rtl/>
        </w:rPr>
        <w:t xml:space="preserve">و هو أحمد بن محمد بن قاسم بن منصور من العرفاء و مرید الشیخ أبی القاسم جنید البغدادی ترجمه فی ریاض العارفین ص 64 و أورد شعره العربی‏</w:t>
      </w:r>
    </w:p>
    <w:p>
      <w:pPr>
        <w:pStyle w:val="Heading3"/>
      </w:pPr>
      <w:bookmarkStart w:id="1596" w:name="_Toc292"/>
      <w:r>
        <w:t>253- دیوان أبی علی المصری أو شعره‏</w:t>
      </w:r>
      <w:bookmarkEnd w:id="1596"/>
    </w:p>
    <w:p>
      <w:pPr>
        <w:pStyle w:val="BookText"/>
      </w:pPr>
      <w:r>
        <w:rPr>
          <w:rFonts w:ascii="IRNazanin" w:hAnsi="IRNazanin" w:eastAsia="IRNazanin" w:cs="IRNazanin"/>
          <w:lang w:bidi="fa-IR"/>
          <w:color w:val="111111"/>
          <w:sz w:val="28"/>
          <w:szCs w:val="28"/>
          <w:rtl/>
        </w:rPr>
        <w:t xml:space="preserve">و هو الحسن بن أحمد، کان من العرفاء و من مریدی الشیخ أبی علی الرودباری ترجمه فی (ریاض العارفین ص 65) و أورد شعره العربی‏</w:t>
      </w:r>
    </w:p>
    <w:p>
      <w:pPr>
        <w:pStyle w:val="Heading3"/>
      </w:pPr>
      <w:bookmarkStart w:id="1597" w:name="_Toc293"/>
      <w:r>
        <w:t>دیوان أبی الغازی‏</w:t>
      </w:r>
      <w:bookmarkEnd w:id="1597"/>
    </w:p>
    <w:p>
      <w:pPr>
        <w:pStyle w:val="BookText"/>
      </w:pPr>
      <w:r>
        <w:rPr>
          <w:rFonts w:ascii="IRNazanin" w:hAnsi="IRNazanin" w:eastAsia="IRNazanin" w:cs="IRNazanin"/>
          <w:lang w:bidi="fa-IR"/>
          <w:color w:val="111111"/>
          <w:sz w:val="28"/>
          <w:szCs w:val="28"/>
          <w:rtl/>
        </w:rPr>
        <w:t xml:space="preserve">السلطان حسین میرزا بایقرا یأتی بعنوان تخلصه الحسینی السلطان حسین‏</w:t>
      </w:r>
    </w:p>
    <w:p>
      <w:pPr>
        <w:pStyle w:val="Heading3"/>
      </w:pPr>
      <w:bookmarkStart w:id="1598" w:name="_Toc294"/>
      <w:r>
        <w:t>254- دیوان أبی الغوث‏</w:t>
      </w:r>
      <w:bookmarkEnd w:id="1598"/>
    </w:p>
    <w:p>
      <w:pPr>
        <w:pStyle w:val="BookText"/>
      </w:pPr>
      <w:r>
        <w:rPr>
          <w:rFonts w:ascii="IRNazanin" w:hAnsi="IRNazanin" w:eastAsia="IRNazanin" w:cs="IRNazanin"/>
          <w:lang w:bidi="fa-IR"/>
          <w:color w:val="111111"/>
          <w:sz w:val="28"/>
          <w:szCs w:val="28"/>
          <w:rtl/>
        </w:rPr>
        <w:t xml:space="preserve">أسلم بن مهوز المنبجی المعاصر للبحتری المنبجی الطائی الذی مات (286) قال ابن عیاش الجوهری فی مقتضب الأثر (ص 53) إن أبا الغوث المنبجی کان شاعر آل محمد  صلی الله علیه و آله  و کان البحتری یمدح الملوک و هذا یمدح آل محمد ثم أورد الجوهری قصیدة من قصائد أبی الغوث التی أنشدها البحتری عن أبی الغوث و هی فی مدح آل محمد و ذکره الأئمة الاثنی عشر علیه السلام  إلی تمام خمسة عشر بیتا و قال و هی طویلة کتبنا منها موضع الحاجة فیظهر منه أن دیوان أبی الغوث فی مدائحهم و قد مر حماسة البحتری فی (ج 7- ص 89) و یأتی دیوانه المطبوع مکررا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5" w:name="pg11704_121522"/>
    <w:bookmarkEnd w:id="45"/>
    <w:p>
      <w:pPr>
        <w:pStyle w:val="Heading3"/>
      </w:pPr>
      <w:bookmarkStart w:id="1599" w:name="_Toc295"/>
      <w:r>
        <w:t>255- دیوان الملک أبی الفتح أو شعره‏</w:t>
      </w:r>
      <w:bookmarkEnd w:id="1599"/>
    </w:p>
    <w:p>
      <w:pPr>
        <w:pStyle w:val="BookText"/>
      </w:pPr>
      <w:r>
        <w:rPr>
          <w:rFonts w:ascii="IRNazanin" w:hAnsi="IRNazanin" w:eastAsia="IRNazanin" w:cs="IRNazanin"/>
          <w:lang w:bidi="fa-IR"/>
          <w:color w:val="111111"/>
          <w:sz w:val="28"/>
          <w:szCs w:val="28"/>
          <w:rtl/>
        </w:rPr>
        <w:t xml:space="preserve">و هو أخو الملک حمزة أورد شعره فی (نر- ص 37)</w:t>
      </w:r>
    </w:p>
    <w:p>
      <w:pPr>
        <w:pStyle w:val="Heading3"/>
      </w:pPr>
      <w:bookmarkStart w:id="1600" w:name="_Toc296"/>
      <w:r>
        <w:t>256- دیوان أبی الفتح البستی‏</w:t>
      </w:r>
      <w:bookmarkEnd w:id="1600"/>
    </w:p>
    <w:p>
      <w:pPr>
        <w:pStyle w:val="BookText"/>
      </w:pPr>
      <w:r>
        <w:rPr>
          <w:rFonts w:ascii="IRNazanin" w:hAnsi="IRNazanin" w:eastAsia="IRNazanin" w:cs="IRNazanin"/>
          <w:lang w:bidi="fa-IR"/>
          <w:color w:val="111111"/>
          <w:sz w:val="28"/>
          <w:szCs w:val="28"/>
          <w:rtl/>
        </w:rPr>
        <w:t xml:space="preserve">علی بن محمد بن الحسین بن یوسف بن محمد بن عبد العزیز الکاتب الشاعر المتوفی (400) أو (401) طبع فی بیروت (1294) ولد فی بست بسجستان و هو من شعراء الیتیمة) و عده ابن شهرآشوب من شعراء أهل البیت علیه السلام  فی (معالم العلماء- ص 141) من طبقة المتقین منهم و هو صاحب القصیدة النونیة المترجمة و المشروحة بشروح کثیرة مطلعها [</w:t>
      </w:r>
    </w:p>
    <w:p>
      <w:pPr>
        <w:pStyle w:val="BookText"/>
      </w:pPr>
      <w:r>
        <w:rPr>
          <w:rFonts w:ascii="IRNazanin" w:hAnsi="IRNazanin" w:eastAsia="IRNazanin" w:cs="IRNazanin"/>
          <w:lang w:bidi="fa-IR"/>
          <w:color w:val="111111"/>
          <w:sz w:val="28"/>
          <w:szCs w:val="28"/>
          <w:rtl/>
        </w:rPr>
        <w:t xml:space="preserve">زیادة المرء فی دنیاه نقصان‏</w:t>
      </w:r>
    </w:p>
    <w:p>
      <w:pPr>
        <w:pStyle w:val="BookText"/>
      </w:pPr>
      <w:r>
        <w:rPr>
          <w:rFonts w:ascii="IRNazanin" w:hAnsi="IRNazanin" w:eastAsia="IRNazanin" w:cs="IRNazanin"/>
          <w:lang w:bidi="fa-IR"/>
          <w:color w:val="111111"/>
          <w:sz w:val="28"/>
          <w:szCs w:val="28"/>
          <w:rtl/>
        </w:rPr>
        <w:t xml:space="preserve">] و له قصیدة فی مدح أبی الطیب محمد بن علی الکاتب البیهقی کما فی تاریخ بیهق- ص 71 فیها قوله المشعر إلی عقیدته:</w:t>
      </w:r>
    </w:p>
    <w:p>
      <w:pPr>
        <w:pStyle w:val="BookText"/>
      </w:pPr>
      <w:r>
        <w:rPr>
          <w:rFonts w:ascii="IRNazanin" w:hAnsi="IRNazanin" w:eastAsia="IRNazanin" w:cs="IRNazanin"/>
          <w:lang w:bidi="fa-IR"/>
          <w:color w:val="111111"/>
          <w:sz w:val="28"/>
          <w:szCs w:val="28"/>
          <w:rtl/>
        </w:rPr>
        <w:t xml:space="preserve">معاشر الناس أو عواما أبوح به‏</w:t>
      </w:r>
    </w:p>
    <w:p>
      <w:pPr>
        <w:pStyle w:val="BookText"/>
      </w:pPr>
      <w:r>
        <w:rPr>
          <w:rFonts w:ascii="IRNazanin" w:hAnsi="IRNazanin" w:eastAsia="IRNazanin" w:cs="IRNazanin"/>
          <w:lang w:bidi="fa-IR"/>
          <w:color w:val="111111"/>
          <w:sz w:val="28"/>
          <w:szCs w:val="28"/>
          <w:rtl/>
        </w:rPr>
        <w:t xml:space="preserve">أسماعکم إنه من خیر أقوالی‏</w:t>
      </w:r>
    </w:p>
    <w:p>
      <w:pPr>
        <w:pStyle w:val="BookText"/>
      </w:pPr>
      <w:r>
        <w:rPr>
          <w:rFonts w:ascii="IRNazanin" w:hAnsi="IRNazanin" w:eastAsia="IRNazanin" w:cs="IRNazanin"/>
          <w:lang w:bidi="fa-IR"/>
          <w:color w:val="111111"/>
          <w:sz w:val="28"/>
          <w:szCs w:val="28"/>
          <w:rtl/>
        </w:rPr>
        <w:t xml:space="preserve">محمد و علی ثم بعدهما</w:t>
      </w:r>
    </w:p>
    <w:p>
      <w:pPr>
        <w:pStyle w:val="BookText"/>
      </w:pPr>
      <w:r>
        <w:rPr>
          <w:rFonts w:ascii="IRNazanin" w:hAnsi="IRNazanin" w:eastAsia="IRNazanin" w:cs="IRNazanin"/>
          <w:lang w:bidi="fa-IR"/>
          <w:color w:val="111111"/>
          <w:sz w:val="28"/>
          <w:szCs w:val="28"/>
          <w:rtl/>
        </w:rPr>
        <w:t xml:space="preserve">محمد بن علی رکن آمالی‏</w:t>
      </w:r>
    </w:p>
    <w:p>
      <w:pPr>
        <w:pStyle w:val="BookText"/>
      </w:pPr>
      <w:r>
        <w:rPr>
          <w:rFonts w:ascii="IRNazanin" w:hAnsi="IRNazanin" w:eastAsia="IRNazanin" w:cs="IRNazanin"/>
          <w:lang w:bidi="fa-IR"/>
          <w:color w:val="111111"/>
          <w:sz w:val="28"/>
          <w:szCs w:val="28"/>
          <w:rtl/>
        </w:rPr>
        <w:t xml:space="preserve">و له شعر فارسی أیضا نقله فی مع- ج 1- ص 7</w:t>
      </w:r>
    </w:p>
    <w:p>
      <w:pPr>
        <w:pStyle w:val="Heading3"/>
      </w:pPr>
      <w:bookmarkStart w:id="1601" w:name="_Toc297"/>
      <w:r>
        <w:t>257- دیوان المیر أبی الفتح السبزواری أو شعره‏</w:t>
      </w:r>
      <w:bookmarkEnd w:id="1601"/>
    </w:p>
    <w:p>
      <w:pPr>
        <w:pStyle w:val="BookText"/>
      </w:pPr>
      <w:r>
        <w:rPr>
          <w:rFonts w:ascii="IRNazanin" w:hAnsi="IRNazanin" w:eastAsia="IRNazanin" w:cs="IRNazanin"/>
          <w:lang w:bidi="fa-IR"/>
          <w:color w:val="111111"/>
          <w:sz w:val="28"/>
          <w:szCs w:val="28"/>
          <w:rtl/>
        </w:rPr>
        <w:t xml:space="preserve">العالم الحکیم المقتدی لأهلها ترجمه معاصره سام میرزا فی (ص 36- تس)</w:t>
      </w:r>
    </w:p>
    <w:p>
      <w:pPr>
        <w:pStyle w:val="Heading3"/>
      </w:pPr>
      <w:bookmarkStart w:id="1602" w:name="_Toc298"/>
      <w:r>
        <w:t>دیوان أبی الفتح‏</w:t>
      </w:r>
      <w:bookmarkEnd w:id="1602"/>
    </w:p>
    <w:p>
      <w:pPr>
        <w:pStyle w:val="BookText"/>
      </w:pPr>
      <w:r>
        <w:rPr>
          <w:rFonts w:ascii="IRNazanin" w:hAnsi="IRNazanin" w:eastAsia="IRNazanin" w:cs="IRNazanin"/>
          <w:lang w:bidi="fa-IR"/>
          <w:color w:val="111111"/>
          <w:sz w:val="28"/>
          <w:szCs w:val="28"/>
          <w:rtl/>
        </w:rPr>
        <w:t xml:space="preserve">مر بعنوان دیوان ابن التعاویذی‏</w:t>
      </w:r>
    </w:p>
    <w:p>
      <w:pPr>
        <w:pStyle w:val="Heading3"/>
      </w:pPr>
      <w:bookmarkStart w:id="1603" w:name="_Toc299"/>
      <w:r>
        <w:t>دیوان أبی الفتح کشاجم‏</w:t>
      </w:r>
      <w:bookmarkEnd w:id="1603"/>
    </w:p>
    <w:p>
      <w:pPr>
        <w:pStyle w:val="BookText"/>
      </w:pPr>
      <w:r>
        <w:rPr>
          <w:rFonts w:ascii="IRNazanin" w:hAnsi="IRNazanin" w:eastAsia="IRNazanin" w:cs="IRNazanin"/>
          <w:lang w:bidi="fa-IR"/>
          <w:color w:val="111111"/>
          <w:sz w:val="28"/>
          <w:szCs w:val="28"/>
          <w:rtl/>
        </w:rPr>
        <w:t xml:space="preserve">مر فی (ج 5- ص 7) بعنوان الثغر الباسم و له خصائص الطرب المذکور فی (ج 7- ص 169) و قال ابن خلکان فی (ج 1- ص 201) إن السری بن أحمد الرفاء کان یدس فی دیوان کشاجم أحسن شعر الخالدیین لمعاداته معهما فیوجد فی بعض نسخ دیوان کشاجم زیادات‏</w:t>
      </w:r>
    </w:p>
    <w:p>
      <w:pPr>
        <w:pStyle w:val="Heading3"/>
      </w:pPr>
      <w:bookmarkStart w:id="1604" w:name="_Toc300"/>
      <w:r>
        <w:t>258- دیوان الحکیم أبی الفتح اللاهیجی‏</w:t>
      </w:r>
      <w:bookmarkEnd w:id="1604"/>
    </w:p>
    <w:p>
      <w:pPr>
        <w:pStyle w:val="BookText"/>
      </w:pPr>
      <w:r>
        <w:rPr>
          <w:rFonts w:ascii="IRNazanin" w:hAnsi="IRNazanin" w:eastAsia="IRNazanin" w:cs="IRNazanin"/>
          <w:lang w:bidi="fa-IR"/>
          <w:color w:val="111111"/>
          <w:sz w:val="28"/>
          <w:szCs w:val="28"/>
          <w:rtl/>
        </w:rPr>
        <w:t xml:space="preserve">ابن الحکیم الدوانی کذا ترجمه فی (نر- ص 376) و ذکر له مثنوی مظهر الأسرار و مثنوی ضیاء النیرین و أورد بعض غزلیاته و قال فی (تغ- ص 5) إنه کان معاصرا لجلال الدین أکبر پادشاه و مات (999).</w:t>
      </w:r>
    </w:p>
    <w:p>
      <w:pPr>
        <w:pStyle w:val="Heading3"/>
      </w:pPr>
      <w:bookmarkStart w:id="1605" w:name="_Toc301"/>
      <w:r>
        <w:t>259- دیوان أبی الفتح گیلانی أو شعره‏</w:t>
      </w:r>
      <w:bookmarkEnd w:id="1605"/>
    </w:p>
    <w:p>
      <w:pPr>
        <w:pStyle w:val="BookText"/>
      </w:pPr>
      <w:r>
        <w:rPr>
          <w:rFonts w:ascii="IRNazanin" w:hAnsi="IRNazanin" w:eastAsia="IRNazanin" w:cs="IRNazanin"/>
          <w:lang w:bidi="fa-IR"/>
          <w:color w:val="111111"/>
          <w:sz w:val="28"/>
          <w:szCs w:val="28"/>
          <w:rtl/>
        </w:rPr>
        <w:t xml:space="preserve">و هو أبو الفتح الطبیب ابن ملا عبد الرزاق.</w:t>
      </w:r>
    </w:p>
    <w:p>
      <w:pPr>
        <w:pStyle w:val="BookText"/>
      </w:pPr>
      <w:r>
        <w:rPr>
          <w:rFonts w:ascii="IRNazanin" w:hAnsi="IRNazanin" w:eastAsia="IRNazanin" w:cs="IRNazanin"/>
          <w:lang w:bidi="fa-IR"/>
          <w:color w:val="111111"/>
          <w:sz w:val="28"/>
          <w:szCs w:val="28"/>
          <w:rtl/>
        </w:rPr>
        <w:t xml:space="preserve">جاء من وطنه إلی الهند و معه الحکیم همام و نور الدین القراری فی (983) و تقرب عند أکبر پادشاه. و مات فی (7- رمضان- 997) حین السفر إلی کابل فی حسن إبدال.</w:t>
      </w:r>
    </w:p>
    <w:p>
      <w:pPr>
        <w:pStyle w:val="BookText"/>
      </w:pPr>
      <w:r>
        <w:rPr>
          <w:rFonts w:ascii="IRNazanin" w:hAnsi="IRNazanin" w:eastAsia="IRNazanin" w:cs="IRNazanin"/>
          <w:lang w:bidi="fa-IR"/>
          <w:color w:val="111111"/>
          <w:sz w:val="28"/>
          <w:szCs w:val="28"/>
          <w:rtl/>
        </w:rPr>
        <w:t xml:space="preserve">ذکره فی (گلشن- 12- 13) و أورد بعض شعره. و أظنه هو أبو الفتح الدوانی المذکور آنفا.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6" w:name="pg11704_121523"/>
    <w:bookmarkEnd w:id="46"/>
    <w:p>
      <w:pPr>
        <w:pStyle w:val="Heading3"/>
      </w:pPr>
      <w:bookmarkStart w:id="1606" w:name="_Toc302"/>
      <w:r>
        <w:t>دیوان أبی فراس الفرزدق‏</w:t>
      </w:r>
      <w:bookmarkEnd w:id="1606"/>
    </w:p>
    <w:p>
      <w:pPr>
        <w:pStyle w:val="BookText"/>
      </w:pPr>
      <w:r>
        <w:rPr>
          <w:rFonts w:ascii="IRNazanin" w:hAnsi="IRNazanin" w:eastAsia="IRNazanin" w:cs="IRNazanin"/>
          <w:lang w:bidi="fa-IR"/>
          <w:color w:val="111111"/>
          <w:sz w:val="28"/>
          <w:szCs w:val="28"/>
          <w:rtl/>
        </w:rPr>
        <w:t xml:space="preserve">همام بن غالب بن صعصعة التمیمی یأتی دیوان فرزدق.</w:t>
      </w:r>
    </w:p>
    <w:p>
      <w:pPr>
        <w:pStyle w:val="Heading3"/>
      </w:pPr>
      <w:bookmarkStart w:id="1607" w:name="_Toc303"/>
      <w:r>
        <w:t>260- دیوان أبی فراس‏</w:t>
      </w:r>
      <w:bookmarkEnd w:id="1607"/>
    </w:p>
    <w:p>
      <w:pPr>
        <w:pStyle w:val="BookText"/>
      </w:pPr>
      <w:r>
        <w:rPr>
          <w:rFonts w:ascii="IRNazanin" w:hAnsi="IRNazanin" w:eastAsia="IRNazanin" w:cs="IRNazanin"/>
          <w:lang w:bidi="fa-IR"/>
          <w:color w:val="111111"/>
          <w:sz w:val="28"/>
          <w:szCs w:val="28"/>
          <w:rtl/>
        </w:rPr>
        <w:t xml:space="preserve">الحارث بن أبی العلاء سعید بن حمدان بن حمدون الحمدونی ابن عم ناصر الدولة و سیف الدولة ابنی حمدان الملقب بملک الشعراء. کان الصاحب بن عباد یقول: بدء الشعر بملک و ختم بملک، یعنی بامرئ القیس و أبی فراس. و له المیمیة الموسومة بالشافیة</w:t>
      </w:r>
      <w:r>
        <w:rPr>
          <w:rStyle w:val="FootnoteReference"/>
        </w:rPr>
        <w:footnoteReference w:id="6"/>
      </w:r>
      <w:r>
        <w:rPr>
          <w:rFonts w:ascii="IRNazanin" w:hAnsi="IRNazanin" w:eastAsia="IRNazanin" w:cs="IRNazanin"/>
          <w:lang w:bidi="fa-IR"/>
          <w:color w:val="111111"/>
          <w:sz w:val="28"/>
          <w:szCs w:val="28"/>
          <w:rtl/>
        </w:rPr>
        <w:t xml:space="preserve">فی نصرة الأئمة من آل محمد ردا علی ابن المعتز الناصب لهم ولد (320) و ختم له بالشهادة فی (357) و رتب دیوانه الشیخ أبو عبد الله الحسین بن خالویه نسخه قدیمة منه عند الفاضل الأردوبادی فی النجف. و طبع فی بیروت بالمطبعة السلیمیة فی (1873 م).</w:t>
      </w:r>
    </w:p>
    <w:p>
      <w:pPr>
        <w:pStyle w:val="Heading3"/>
      </w:pPr>
      <w:bookmarkStart w:id="1608" w:name="_Toc304"/>
      <w:r>
        <w:t>261- دیوان أبی الفرج‏</w:t>
      </w:r>
      <w:bookmarkEnd w:id="1608"/>
    </w:p>
    <w:p>
      <w:pPr>
        <w:pStyle w:val="BookText"/>
      </w:pPr>
      <w:r>
        <w:rPr>
          <w:rFonts w:ascii="IRNazanin" w:hAnsi="IRNazanin" w:eastAsia="IRNazanin" w:cs="IRNazanin"/>
          <w:lang w:bidi="fa-IR"/>
          <w:color w:val="111111"/>
          <w:sz w:val="28"/>
          <w:szCs w:val="28"/>
          <w:rtl/>
        </w:rPr>
        <w:t xml:space="preserve">مر بعنوان دیوان ابن التعاویذی لأنه یکنی بأبی الفرج أیضا.</w:t>
      </w:r>
    </w:p>
    <w:p>
      <w:pPr>
        <w:pStyle w:val="Heading3"/>
      </w:pPr>
      <w:bookmarkStart w:id="1609" w:name="_Toc305"/>
      <w:r>
        <w:t>262- دیوان أبی الفرج الرونی‏</w:t>
      </w:r>
      <w:bookmarkEnd w:id="1609"/>
    </w:p>
    <w:p>
      <w:pPr>
        <w:pStyle w:val="BookText"/>
      </w:pPr>
      <w:r>
        <w:rPr>
          <w:rFonts w:ascii="IRNazanin" w:hAnsi="IRNazanin" w:eastAsia="IRNazanin" w:cs="IRNazanin"/>
          <w:lang w:bidi="fa-IR"/>
          <w:color w:val="111111"/>
          <w:sz w:val="28"/>
          <w:szCs w:val="28"/>
          <w:rtl/>
        </w:rPr>
        <w:t xml:space="preserve">نسبة إلی رون من قری نیشابور المعاصر للأمیر مسعود سعد سلمان المتوفی بعد (515) و یقال إنه تسبب لحبسه فی حصار نای الذی مر ذکره فی (ج 7- ص 23) و هو فارسی طبع فی مطبعة أرمغان بمباشرة وحید الدستگردی و تصحیح چاپکین الروسی فی (180 ص) فی (1304 ش) و ذکر فی مع- ج 1- ص 70 أن دیوانه یقرب من ألفی بیت، موجود عنده” مع” و نقل جملة من أشعاره.</w:t>
      </w:r>
    </w:p>
    <w:p>
      <w:pPr>
        <w:pStyle w:val="Heading3"/>
      </w:pPr>
      <w:bookmarkStart w:id="1610" w:name="_Toc306"/>
      <w:r>
        <w:t>263- دیوان أبی الفضل الطهرانی‏</w:t>
      </w:r>
      <w:bookmarkEnd w:id="1610"/>
    </w:p>
    <w:p>
      <w:pPr>
        <w:pStyle w:val="BookText"/>
      </w:pPr>
      <w:r>
        <w:rPr>
          <w:rFonts w:ascii="IRNazanin" w:hAnsi="IRNazanin" w:eastAsia="IRNazanin" w:cs="IRNazanin"/>
          <w:lang w:bidi="fa-IR"/>
          <w:color w:val="111111"/>
          <w:sz w:val="28"/>
          <w:szCs w:val="28"/>
          <w:rtl/>
        </w:rPr>
        <w:t xml:space="preserve">أحمد بن أبی القاسم الکلانتری ابن محمد علی بن هادی النوری الطهرانی و لانتسابهم إلی خالهم محمود خان کلانتر الذی صلبه ناصر الدین شاه فی عام المجاعة، لقبوا بکلانتری. و له حاشیة رجال النجاشی المذکور فی (ج 6- ص 88) و حاشیة المکاسب و الدر الفتیق و هذا الدیوان، و یشتمل علی القصائد العربیة و الفارسیة. توجد نسخه الأصل عند ولده المیرزا محمد بطهران و قد قام بتصحیحه و طبعه السید جلال الدین المحدث الأرموی بطهران فی (1370).</w:t>
      </w:r>
    </w:p>
    <w:p>
      <w:pPr>
        <w:pStyle w:val="Heading3"/>
      </w:pPr>
      <w:bookmarkStart w:id="1611" w:name="_Toc307"/>
      <w:r>
        <w:t>دیوان أبی الفضل أحمد</w:t>
      </w:r>
      <w:bookmarkEnd w:id="1611"/>
    </w:p>
    <w:p>
      <w:pPr>
        <w:pStyle w:val="BookText"/>
      </w:pPr>
      <w:r>
        <w:rPr>
          <w:rFonts w:ascii="IRNazanin" w:hAnsi="IRNazanin" w:eastAsia="IRNazanin" w:cs="IRNazanin"/>
          <w:lang w:bidi="fa-IR"/>
          <w:color w:val="111111"/>
          <w:sz w:val="28"/>
          <w:szCs w:val="28"/>
          <w:rtl/>
        </w:rPr>
        <w:t xml:space="preserve">ابن الحسین الشهیر ببدیع الزمان الهمدانی. یأتی باسمه‏ .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7" w:name="pg11704_121524"/>
    <w:bookmarkEnd w:id="47"/>
    <w:p>
      <w:pPr>
        <w:pStyle w:val="BookText"/>
      </w:pPr>
      <w:r>
        <w:rPr>
          <w:rFonts w:ascii="IRNazanin" w:hAnsi="IRNazanin" w:eastAsia="IRNazanin" w:cs="IRNazanin"/>
          <w:lang w:bidi="fa-IR"/>
          <w:color w:val="111111"/>
          <w:sz w:val="28"/>
          <w:szCs w:val="28"/>
          <w:rtl/>
        </w:rPr>
        <w:t xml:space="preserve">المشهور بدیع الزمان.</w:t>
      </w:r>
    </w:p>
    <w:p>
      <w:pPr>
        <w:pStyle w:val="Heading3"/>
      </w:pPr>
      <w:bookmarkStart w:id="1612" w:name="_Toc308"/>
      <w:r>
        <w:t>264- دیوان أبی الفضل مهنة أو شعره‏</w:t>
      </w:r>
      <w:bookmarkEnd w:id="1612"/>
    </w:p>
    <w:p>
      <w:pPr>
        <w:pStyle w:val="BookText"/>
      </w:pPr>
      <w:r>
        <w:rPr>
          <w:rFonts w:ascii="IRNazanin" w:hAnsi="IRNazanin" w:eastAsia="IRNazanin" w:cs="IRNazanin"/>
          <w:lang w:bidi="fa-IR"/>
          <w:color w:val="111111"/>
          <w:sz w:val="28"/>
          <w:szCs w:val="28"/>
          <w:rtl/>
        </w:rPr>
        <w:t xml:space="preserve">و هو من شعراء مهنة بخراسان و من أولاد أبی سعید أبی الخیر کما فی (تغ- ص 6). و أظنه هو أبو سعید المذکور و أخ أبی القاسم الآتی.</w:t>
      </w:r>
    </w:p>
    <w:p>
      <w:pPr>
        <w:pStyle w:val="Heading3"/>
      </w:pPr>
      <w:bookmarkStart w:id="1613" w:name="_Toc309"/>
      <w:r>
        <w:t>265- دیوان المیرزا أبی القاسم بن المولی حسن الشفتی‏</w:t>
      </w:r>
      <w:bookmarkEnd w:id="1613"/>
    </w:p>
    <w:p>
      <w:pPr>
        <w:pStyle w:val="BookText"/>
      </w:pPr>
      <w:r>
        <w:rPr>
          <w:rFonts w:ascii="IRNazanin" w:hAnsi="IRNazanin" w:eastAsia="IRNazanin" w:cs="IRNazanin"/>
          <w:lang w:bidi="fa-IR"/>
          <w:color w:val="111111"/>
          <w:sz w:val="28"/>
          <w:szCs w:val="28"/>
          <w:rtl/>
        </w:rPr>
        <w:t xml:space="preserve">الشهیر بالمحقق القمی صاحب جامع الشتات المذکور فی (ج 5- ص 59). هو عربی و فارسی حکاه صاحب الروضات عن بعض أرحامه مصرحا بأنه یقرب من خمسة آلاف بیت.</w:t>
      </w:r>
    </w:p>
    <w:p>
      <w:pPr>
        <w:pStyle w:val="Heading3"/>
      </w:pPr>
      <w:bookmarkStart w:id="1614" w:name="_Toc310"/>
      <w:r>
        <w:t>266- دیوان الشیخ أبی القاسم بن عبد الحکیم الکاشانی‏</w:t>
      </w:r>
      <w:bookmarkEnd w:id="1614"/>
    </w:p>
    <w:p>
      <w:pPr>
        <w:pStyle w:val="BookText"/>
      </w:pPr>
      <w:r>
        <w:rPr>
          <w:rFonts w:ascii="IRNazanin" w:hAnsi="IRNazanin" w:eastAsia="IRNazanin" w:cs="IRNazanin"/>
          <w:lang w:bidi="fa-IR"/>
          <w:color w:val="111111"/>
          <w:sz w:val="28"/>
          <w:szCs w:val="28"/>
          <w:rtl/>
        </w:rPr>
        <w:t xml:space="preserve">نزیل بمبئی. ذکر ولده الشیخ محمد حسن أنه ولد فی النجف (1275) و توفی بها (1351) و قال إنی جمعته و سمیته بمنظومات الشیخ. و یزید علی ألفی بیت فارسی و عربی.</w:t>
      </w:r>
    </w:p>
    <w:p>
      <w:pPr>
        <w:pStyle w:val="Heading3"/>
      </w:pPr>
      <w:bookmarkStart w:id="1615" w:name="_Toc311"/>
      <w:r>
        <w:t>267- دیوان المیر أبی القاسم الفندرسکی‏</w:t>
      </w:r>
      <w:bookmarkEnd w:id="1615"/>
    </w:p>
    <w:p>
      <w:pPr>
        <w:pStyle w:val="BookText"/>
      </w:pPr>
      <w:r>
        <w:rPr>
          <w:rFonts w:ascii="IRNazanin" w:hAnsi="IRNazanin" w:eastAsia="IRNazanin" w:cs="IRNazanin"/>
          <w:lang w:bidi="fa-IR"/>
          <w:color w:val="111111"/>
          <w:sz w:val="28"/>
          <w:szCs w:val="28"/>
          <w:rtl/>
        </w:rPr>
        <w:t xml:space="preserve">من أعاظم السادات، السماکی الأسترآبادی.</w:t>
      </w:r>
    </w:p>
    <w:p>
      <w:pPr>
        <w:pStyle w:val="BookText"/>
      </w:pPr>
      <w:r>
        <w:rPr>
          <w:rFonts w:ascii="IRNazanin" w:hAnsi="IRNazanin" w:eastAsia="IRNazanin" w:cs="IRNazanin"/>
          <w:lang w:bidi="fa-IR"/>
          <w:color w:val="111111"/>
          <w:sz w:val="28"/>
          <w:szCs w:val="28"/>
          <w:rtl/>
        </w:rPr>
        <w:t xml:space="preserve">سافر إلی الهند و عاد إلی أصفهان فی عصر الشاه صفی فأکرم قدومه و کان بها إلی أن توفی و دفن بمقبرة بابا رکن الدین فی أصفهان. ترجمه النصرآبادی فی (نر- ص 152) و أورد بعض شعره منها القصیدة التی مطلعها:</w:t>
      </w:r>
    </w:p>
    <w:p>
      <w:pPr>
        <w:pStyle w:val="BookText"/>
      </w:pPr>
      <w:r>
        <w:rPr>
          <w:rFonts w:ascii="IRNazanin" w:hAnsi="IRNazanin" w:eastAsia="IRNazanin" w:cs="IRNazanin"/>
          <w:lang w:bidi="fa-IR"/>
          <w:color w:val="111111"/>
          <w:sz w:val="28"/>
          <w:szCs w:val="28"/>
          <w:rtl/>
        </w:rPr>
        <w:t xml:space="preserve">چرخ با این اختران نغز و خوش و زیباستی‏</w:t>
      </w:r>
    </w:p>
    <w:p>
      <w:pPr>
        <w:pStyle w:val="BookText"/>
      </w:pPr>
      <w:r>
        <w:rPr>
          <w:rFonts w:ascii="IRNazanin" w:hAnsi="IRNazanin" w:eastAsia="IRNazanin" w:cs="IRNazanin"/>
          <w:lang w:bidi="fa-IR"/>
          <w:color w:val="111111"/>
          <w:sz w:val="28"/>
          <w:szCs w:val="28"/>
          <w:rtl/>
        </w:rPr>
        <w:t xml:space="preserve">صورتی در زیر دارد هر چه در بالاستی‏</w:t>
      </w:r>
    </w:p>
    <w:p>
      <w:pPr>
        <w:pStyle w:val="BookText"/>
      </w:pPr>
      <w:r>
        <w:rPr>
          <w:rFonts w:ascii="IRNazanin" w:hAnsi="IRNazanin" w:eastAsia="IRNazanin" w:cs="IRNazanin"/>
          <w:lang w:bidi="fa-IR"/>
          <w:color w:val="111111"/>
          <w:sz w:val="28"/>
          <w:szCs w:val="28"/>
          <w:rtl/>
        </w:rPr>
        <w:t xml:space="preserve">و أورد القصیدة بتمامها مع بعض أشعاره فی ریاض العارفین ص 276.</w:t>
      </w:r>
    </w:p>
    <w:p>
      <w:pPr>
        <w:pStyle w:val="Heading3"/>
      </w:pPr>
      <w:bookmarkStart w:id="1616" w:name="_Toc312"/>
      <w:r>
        <w:t>دیوان المیرزا أبی القاسم بن المیر السید علی البیضاوی الشولستانی‏</w:t>
      </w:r>
      <w:bookmarkEnd w:id="1616"/>
    </w:p>
    <w:p>
      <w:pPr>
        <w:pStyle w:val="BookText"/>
      </w:pPr>
      <w:r>
        <w:rPr>
          <w:rFonts w:ascii="IRNazanin" w:hAnsi="IRNazanin" w:eastAsia="IRNazanin" w:cs="IRNazanin"/>
          <w:lang w:bidi="fa-IR"/>
          <w:color w:val="111111"/>
          <w:sz w:val="28"/>
          <w:szCs w:val="28"/>
          <w:rtl/>
        </w:rPr>
        <w:t xml:space="preserve">یأتی بعنوان تخلصه (قاسم).</w:t>
      </w:r>
    </w:p>
    <w:p>
      <w:pPr>
        <w:pStyle w:val="Heading3"/>
      </w:pPr>
      <w:bookmarkStart w:id="1617" w:name="_Toc313"/>
      <w:r>
        <w:t>268- دیوان الخواجة أبی القاسم أو شعره‏</w:t>
      </w:r>
      <w:bookmarkEnd w:id="1617"/>
    </w:p>
    <w:p>
      <w:pPr>
        <w:pStyle w:val="BookText"/>
      </w:pPr>
      <w:r>
        <w:rPr>
          <w:rFonts w:ascii="IRNazanin" w:hAnsi="IRNazanin" w:eastAsia="IRNazanin" w:cs="IRNazanin"/>
          <w:lang w:bidi="fa-IR"/>
          <w:color w:val="111111"/>
          <w:sz w:val="28"/>
          <w:szCs w:val="28"/>
          <w:rtl/>
        </w:rPr>
        <w:t xml:space="preserve">و هو ابن الخواجة شهاب الدین أحمد الخوافی. ترجمه فی لط- ص 149 و أورد شعره. قال فی (تغ- ص 6) إنه کان خطاطا بالنستعلیق.</w:t>
      </w:r>
    </w:p>
    <w:p>
      <w:pPr>
        <w:pStyle w:val="Heading3"/>
      </w:pPr>
      <w:bookmarkStart w:id="1618" w:name="_Toc314"/>
      <w:r>
        <w:t>269- دیوان الخواجة أبی القاسم مهنة أو شعره‏</w:t>
      </w:r>
      <w:bookmarkEnd w:id="1618"/>
    </w:p>
    <w:p>
      <w:pPr>
        <w:pStyle w:val="BookText"/>
      </w:pPr>
      <w:r>
        <w:rPr>
          <w:rFonts w:ascii="IRNazanin" w:hAnsi="IRNazanin" w:eastAsia="IRNazanin" w:cs="IRNazanin"/>
          <w:lang w:bidi="fa-IR"/>
          <w:color w:val="111111"/>
          <w:sz w:val="28"/>
          <w:szCs w:val="28"/>
          <w:rtl/>
        </w:rPr>
        <w:t xml:space="preserve">و هو أخ الخواجة أبی الفضل مهنة المتخلص بقاسمی. ترجمه لطائف‏نامه (ص 145) و أورد شعره.</w:t>
      </w:r>
    </w:p>
    <w:p>
      <w:pPr>
        <w:pStyle w:val="Heading3"/>
      </w:pPr>
      <w:bookmarkStart w:id="1619" w:name="_Toc315"/>
      <w:r>
        <w:t>270- دیوان أبی القاسم الأسترآبادی أو شعره‏</w:t>
      </w:r>
      <w:bookmarkEnd w:id="1619"/>
    </w:p>
    <w:p>
      <w:pPr>
        <w:pStyle w:val="BookText"/>
      </w:pPr>
      <w:r>
        <w:rPr>
          <w:rFonts w:ascii="IRNazanin" w:hAnsi="IRNazanin" w:eastAsia="IRNazanin" w:cs="IRNazanin"/>
          <w:lang w:bidi="fa-IR"/>
          <w:color w:val="111111"/>
          <w:sz w:val="28"/>
          <w:szCs w:val="28"/>
          <w:rtl/>
        </w:rPr>
        <w:t xml:space="preserve">ذکره فی (تغ: 6) و قال: کان من شعراء عهد الشاه عباس الأول الصفوی.</w:t>
      </w:r>
    </w:p>
    <w:p>
      <w:pPr>
        <w:pStyle w:val="Heading3"/>
      </w:pPr>
      <w:bookmarkStart w:id="1620" w:name="_Toc316"/>
      <w:r>
        <w:t>دیوان أبی القاسم الذهبی الشیرازی‏</w:t>
      </w:r>
      <w:bookmarkEnd w:id="1620"/>
    </w:p>
    <w:p>
      <w:pPr>
        <w:pStyle w:val="BookText"/>
      </w:pPr>
      <w:r>
        <w:rPr>
          <w:rFonts w:ascii="IRNazanin" w:hAnsi="IRNazanin" w:eastAsia="IRNazanin" w:cs="IRNazanin"/>
          <w:lang w:bidi="fa-IR"/>
          <w:color w:val="111111"/>
          <w:sz w:val="28"/>
          <w:szCs w:val="28"/>
          <w:rtl/>
        </w:rPr>
        <w:t xml:space="preserve">یأتی بعنوان دیوان ذهبی.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8" w:name="pg11704_121525"/>
    <w:bookmarkEnd w:id="48"/>
    <w:p>
      <w:pPr>
        <w:pStyle w:val="Heading3"/>
      </w:pPr>
      <w:bookmarkStart w:id="1621" w:name="_Toc317"/>
      <w:r>
        <w:t>دیوان أبی القاسم الکازرونی أو شعره‏</w:t>
      </w:r>
      <w:bookmarkEnd w:id="1621"/>
    </w:p>
    <w:p>
      <w:pPr>
        <w:pStyle w:val="BookText"/>
      </w:pPr>
      <w:r>
        <w:rPr>
          <w:rFonts w:ascii="IRNazanin" w:hAnsi="IRNazanin" w:eastAsia="IRNazanin" w:cs="IRNazanin"/>
          <w:lang w:bidi="fa-IR"/>
          <w:color w:val="111111"/>
          <w:sz w:val="28"/>
          <w:szCs w:val="28"/>
          <w:rtl/>
        </w:rPr>
        <w:t xml:space="preserve">ذکره فی (تغ: 6) و قال إنه من شعراء عهد الشاه عباس الأول. و لعله المذکور آنفا و الآتی بعنوان تخلصه قاسم.</w:t>
      </w:r>
    </w:p>
    <w:p>
      <w:pPr>
        <w:pStyle w:val="Heading3"/>
      </w:pPr>
      <w:bookmarkStart w:id="1622" w:name="_Toc318"/>
      <w:r>
        <w:t>دیوان أبی القاسم قائم مقام‏</w:t>
      </w:r>
      <w:bookmarkEnd w:id="1622"/>
    </w:p>
    <w:p>
      <w:pPr>
        <w:pStyle w:val="BookText"/>
      </w:pPr>
      <w:r>
        <w:rPr>
          <w:rFonts w:ascii="IRNazanin" w:hAnsi="IRNazanin" w:eastAsia="IRNazanin" w:cs="IRNazanin"/>
          <w:lang w:bidi="fa-IR"/>
          <w:color w:val="111111"/>
          <w:sz w:val="28"/>
          <w:szCs w:val="28"/>
          <w:rtl/>
        </w:rPr>
        <w:t xml:space="preserve">یأتی بعنوان دیوان قائم مقام و مر الجهادیة فی (ج 5 ص 296) و مر له إنشاء قائم مقام فی (ج 2- ص 393) توجد نسخه من هذا الدیوان فی تبریز فی مکتبة الحاج محمد آقا النخجوانی أوله.</w:t>
      </w:r>
    </w:p>
    <w:p>
      <w:pPr>
        <w:pStyle w:val="BookText"/>
      </w:pPr>
      <w:r>
        <w:rPr>
          <w:rFonts w:ascii="IRNazanin" w:hAnsi="IRNazanin" w:eastAsia="IRNazanin" w:cs="IRNazanin"/>
          <w:lang w:bidi="fa-IR"/>
          <w:color w:val="111111"/>
          <w:sz w:val="28"/>
          <w:szCs w:val="28"/>
          <w:rtl/>
        </w:rPr>
        <w:t xml:space="preserve">نوبهار است بیا تا طرب از سر گیریم‏</w:t>
      </w:r>
    </w:p>
    <w:p>
      <w:pPr>
        <w:pStyle w:val="BookText"/>
      </w:pPr>
      <w:r>
        <w:rPr>
          <w:rFonts w:ascii="IRNazanin" w:hAnsi="IRNazanin" w:eastAsia="IRNazanin" w:cs="IRNazanin"/>
          <w:lang w:bidi="fa-IR"/>
          <w:color w:val="111111"/>
          <w:sz w:val="28"/>
          <w:szCs w:val="28"/>
          <w:rtl/>
        </w:rPr>
        <w:t xml:space="preserve">سال نو بار غم کهنه ز دل برگیریم‏</w:t>
      </w:r>
    </w:p>
    <w:p>
      <w:pPr>
        <w:pStyle w:val="Heading3"/>
      </w:pPr>
      <w:bookmarkStart w:id="1623" w:name="_Toc319"/>
      <w:r>
        <w:t>271- دیوان السید أبی القاسم‏</w:t>
      </w:r>
      <w:bookmarkEnd w:id="1623"/>
    </w:p>
    <w:p>
      <w:pPr>
        <w:pStyle w:val="BookText"/>
      </w:pPr>
      <w:r>
        <w:rPr>
          <w:rFonts w:ascii="IRNazanin" w:hAnsi="IRNazanin" w:eastAsia="IRNazanin" w:cs="IRNazanin"/>
          <w:lang w:bidi="fa-IR"/>
          <w:color w:val="111111"/>
          <w:sz w:val="28"/>
          <w:szCs w:val="28"/>
          <w:rtl/>
        </w:rPr>
        <w:t xml:space="preserve">المعاصر ابن الأمیر السید محمد السنگلجی بن الآقا السید صادق الطباطبائی ولد (1287) فیه المدائح و المراثی و المواعظ بالفارسیة و العربیة کما حکاه لنا السید محمد علی هبة الدین الشهرستانی.</w:t>
      </w:r>
    </w:p>
    <w:p>
      <w:pPr>
        <w:pStyle w:val="Heading3"/>
      </w:pPr>
      <w:bookmarkStart w:id="1624" w:name="_Toc320"/>
      <w:r>
        <w:t>272- دیوان أبی القاسم میرزا أو شعره‏</w:t>
      </w:r>
      <w:bookmarkEnd w:id="1624"/>
    </w:p>
    <w:p>
      <w:pPr>
        <w:pStyle w:val="BookText"/>
      </w:pPr>
      <w:r>
        <w:rPr>
          <w:rFonts w:ascii="IRNazanin" w:hAnsi="IRNazanin" w:eastAsia="IRNazanin" w:cs="IRNazanin"/>
          <w:lang w:bidi="fa-IR"/>
          <w:color w:val="111111"/>
          <w:sz w:val="28"/>
          <w:szCs w:val="28"/>
          <w:rtl/>
        </w:rPr>
        <w:t xml:space="preserve">و هو ابن النواب میرزا محسن الرضوی و سبط الشاه عباس الماضی. ترجمه فی (نر- ص 11) و أورد شعره.</w:t>
      </w:r>
    </w:p>
    <w:p>
      <w:pPr>
        <w:pStyle w:val="Heading3"/>
      </w:pPr>
      <w:bookmarkStart w:id="1625" w:name="_Toc321"/>
      <w:r>
        <w:t>273- دیوان المیر أبی الکریم الفراهانی أو شعره‏</w:t>
      </w:r>
      <w:bookmarkEnd w:id="1625"/>
    </w:p>
    <w:p>
      <w:pPr>
        <w:pStyle w:val="BookText"/>
      </w:pPr>
      <w:r>
        <w:rPr>
          <w:rFonts w:ascii="IRNazanin" w:hAnsi="IRNazanin" w:eastAsia="IRNazanin" w:cs="IRNazanin"/>
          <w:lang w:bidi="fa-IR"/>
          <w:color w:val="111111"/>
          <w:sz w:val="28"/>
          <w:szCs w:val="28"/>
          <w:rtl/>
        </w:rPr>
        <w:t xml:space="preserve">و هو أخ المیر أبی الحسن نزیل شیراز ترجمه فی (نر- ص 383) و أورد بعض شعره.</w:t>
      </w:r>
    </w:p>
    <w:p>
      <w:pPr>
        <w:pStyle w:val="Heading3"/>
      </w:pPr>
      <w:bookmarkStart w:id="1626" w:name="_Toc322"/>
      <w:r>
        <w:t>274- دیوان أبی المحاسن الحائری‏</w:t>
      </w:r>
      <w:bookmarkEnd w:id="1626"/>
    </w:p>
    <w:p>
      <w:pPr>
        <w:pStyle w:val="BookText"/>
      </w:pPr>
      <w:r>
        <w:rPr>
          <w:rFonts w:ascii="IRNazanin" w:hAnsi="IRNazanin" w:eastAsia="IRNazanin" w:cs="IRNazanin"/>
          <w:lang w:bidi="fa-IR"/>
          <w:color w:val="111111"/>
          <w:sz w:val="28"/>
          <w:szCs w:val="28"/>
          <w:rtl/>
        </w:rPr>
        <w:t xml:space="preserve">و هو الشیخ محمد حسن بن حماد بن محسن الجناجی القاطعی الکربلائی الفاضل الأدیب وزیر المعارف فی بغداد سابقا. تلمذ علی المیرزا محمد حسین الشهرستانی المتوفی (1315) و الشیخ کاظم الهر الحائری المتوفی (1330) إلی أن توفی فجأة فی (1334) کما ذکره صاحب الأدب العصری لکن رأیت نسخه خط الناظم عند الشیخ محمد علی یعقوب الخطیب النجفی لیس مرتبا علی الحروف، و فیه تواریخ و مراثی، و منها رثاء السید إسماعیل الصدر المتوفی بالکاظمیة (18- ج 1- 1338).</w:t>
      </w:r>
    </w:p>
    <w:p>
      <w:pPr>
        <w:pStyle w:val="Heading3"/>
      </w:pPr>
      <w:bookmarkStart w:id="1627" w:name="_Toc323"/>
      <w:r>
        <w:t>275- دیوان أبی المعالی الأصفهانی أو شعره‏</w:t>
      </w:r>
      <w:bookmarkEnd w:id="1627"/>
    </w:p>
    <w:p>
      <w:pPr>
        <w:pStyle w:val="BookText"/>
      </w:pPr>
      <w:r>
        <w:rPr>
          <w:rFonts w:ascii="IRNazanin" w:hAnsi="IRNazanin" w:eastAsia="IRNazanin" w:cs="IRNazanin"/>
          <w:lang w:bidi="fa-IR"/>
          <w:color w:val="111111"/>
          <w:sz w:val="28"/>
          <w:szCs w:val="28"/>
          <w:rtl/>
        </w:rPr>
        <w:t xml:space="preserve">کان من الأدباء و مشرف إصطبل الشاه عباس الأول الصفوی کما فی (تغ: 6).</w:t>
      </w:r>
    </w:p>
    <w:p>
      <w:pPr>
        <w:pStyle w:val="Heading3"/>
      </w:pPr>
      <w:bookmarkStart w:id="1628" w:name="_Toc324"/>
      <w:r>
        <w:t>276- دیوان أبی المعالی الرازی‏</w:t>
      </w:r>
      <w:bookmarkEnd w:id="1628"/>
    </w:p>
    <w:p>
      <w:pPr>
        <w:pStyle w:val="BookText"/>
      </w:pPr>
      <w:r>
        <w:rPr>
          <w:rFonts w:ascii="IRNazanin" w:hAnsi="IRNazanin" w:eastAsia="IRNazanin" w:cs="IRNazanin"/>
          <w:lang w:bidi="fa-IR"/>
          <w:color w:val="111111"/>
          <w:sz w:val="28"/>
          <w:szCs w:val="28"/>
          <w:rtl/>
        </w:rPr>
        <w:t xml:space="preserve">المعروف بدهخدا الرازی المتوفی (541) کان معاصر الحکیم سنائی. ترجمه فی (مع- ج 1- ص 79) و أطرأه و أورد بعض قصائده فی مدح الأئمة منها قوله فی قصیدته البائیة:</w:t>
      </w:r>
    </w:p>
    <w:p>
      <w:pPr>
        <w:pStyle w:val="BookText"/>
      </w:pPr>
      <w:r>
        <w:rPr>
          <w:rFonts w:ascii="IRNazanin" w:hAnsi="IRNazanin" w:eastAsia="IRNazanin" w:cs="IRNazanin"/>
          <w:lang w:bidi="fa-IR"/>
          <w:color w:val="111111"/>
          <w:sz w:val="28"/>
          <w:szCs w:val="28"/>
          <w:rtl/>
        </w:rPr>
        <w:t xml:space="preserve">ز أولیاء بامارت جز أو که بود سزا</w:t>
      </w:r>
    </w:p>
    <w:p>
      <w:pPr>
        <w:pStyle w:val="BookText"/>
      </w:pPr>
      <w:r>
        <w:rPr>
          <w:rFonts w:ascii="IRNazanin" w:hAnsi="IRNazanin" w:eastAsia="IRNazanin" w:cs="IRNazanin"/>
          <w:lang w:bidi="fa-IR"/>
          <w:color w:val="111111"/>
          <w:sz w:val="28"/>
          <w:szCs w:val="28"/>
          <w:rtl/>
        </w:rPr>
        <w:t xml:space="preserve">ز مصطفی به امامت جز أو که یافت خطاب‏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9" w:name="pg11704_121526"/>
    <w:bookmarkEnd w:id="49"/>
    <w:p>
      <w:pPr>
        <w:pStyle w:val="BookText"/>
      </w:pPr>
      <w:r>
        <w:rPr>
          <w:rFonts w:ascii="IRNazanin" w:hAnsi="IRNazanin" w:eastAsia="IRNazanin" w:cs="IRNazanin"/>
          <w:lang w:bidi="fa-IR"/>
          <w:color w:val="111111"/>
          <w:sz w:val="28"/>
          <w:szCs w:val="28"/>
          <w:rtl/>
        </w:rPr>
        <w:t xml:space="preserve">بمصطفی نرسی تا بمرتضی نشوی‏</w:t>
      </w:r>
    </w:p>
    <w:p>
      <w:pPr>
        <w:pStyle w:val="BookText"/>
      </w:pPr>
      <w:r>
        <w:rPr>
          <w:rFonts w:ascii="IRNazanin" w:hAnsi="IRNazanin" w:eastAsia="IRNazanin" w:cs="IRNazanin"/>
          <w:lang w:bidi="fa-IR"/>
          <w:color w:val="111111"/>
          <w:sz w:val="28"/>
          <w:szCs w:val="28"/>
          <w:rtl/>
        </w:rPr>
        <w:t xml:space="preserve">مقال این بنماید تو را مدینه و باب‏</w:t>
      </w:r>
    </w:p>
    <w:p>
      <w:pPr>
        <w:pStyle w:val="Heading3"/>
      </w:pPr>
      <w:bookmarkStart w:id="1629" w:name="_Toc325"/>
      <w:r>
        <w:t>دیوان الملا أبی المعالی الخوافی‏</w:t>
      </w:r>
      <w:bookmarkEnd w:id="1629"/>
    </w:p>
    <w:p>
      <w:pPr>
        <w:pStyle w:val="BookText"/>
      </w:pPr>
      <w:r>
        <w:rPr>
          <w:rFonts w:ascii="IRNazanin" w:hAnsi="IRNazanin" w:eastAsia="IRNazanin" w:cs="IRNazanin"/>
          <w:lang w:bidi="fa-IR"/>
          <w:color w:val="111111"/>
          <w:sz w:val="28"/>
          <w:szCs w:val="28"/>
          <w:rtl/>
        </w:rPr>
        <w:t xml:space="preserve">المتخلص بسامعی یأتی.</w:t>
      </w:r>
    </w:p>
    <w:p>
      <w:pPr>
        <w:pStyle w:val="Heading3"/>
      </w:pPr>
      <w:bookmarkStart w:id="1630" w:name="_Toc326"/>
      <w:r>
        <w:t>277- دیوان أبی المعالی الرازی أو شعره‏</w:t>
      </w:r>
      <w:bookmarkEnd w:id="1630"/>
    </w:p>
    <w:p>
      <w:pPr>
        <w:pStyle w:val="BookText"/>
      </w:pPr>
      <w:r>
        <w:rPr>
          <w:rFonts w:ascii="IRNazanin" w:hAnsi="IRNazanin" w:eastAsia="IRNazanin" w:cs="IRNazanin"/>
          <w:lang w:bidi="fa-IR"/>
          <w:color w:val="111111"/>
          <w:sz w:val="28"/>
          <w:szCs w:val="28"/>
          <w:rtl/>
        </w:rPr>
        <w:t xml:space="preserve">ذکره فی (تغ: 7) و قال إنه معاصر نادر شاه، و لا یخلو شعره من لطف.</w:t>
      </w:r>
    </w:p>
    <w:p>
      <w:pPr>
        <w:pStyle w:val="Heading3"/>
      </w:pPr>
      <w:bookmarkStart w:id="1631" w:name="_Toc327"/>
      <w:r>
        <w:t>278- دیوان أبی المعالی النحاس أو شعره‏</w:t>
      </w:r>
      <w:bookmarkEnd w:id="1631"/>
    </w:p>
    <w:p>
      <w:pPr>
        <w:pStyle w:val="BookText"/>
      </w:pPr>
      <w:r>
        <w:rPr>
          <w:rFonts w:ascii="IRNazanin" w:hAnsi="IRNazanin" w:eastAsia="IRNazanin" w:cs="IRNazanin"/>
          <w:lang w:bidi="fa-IR"/>
          <w:color w:val="111111"/>
          <w:sz w:val="28"/>
          <w:szCs w:val="28"/>
          <w:rtl/>
        </w:rPr>
        <w:t xml:space="preserve">و هو أصفهانی توفی (512) ترجمه فی (مع- ج 1- ص 78) و أطری فضله و أورد بعض شعره، منها قوله فی التحسر علی آل الرسول.</w:t>
      </w:r>
    </w:p>
    <w:p>
      <w:pPr>
        <w:pStyle w:val="BookText"/>
      </w:pPr>
      <w:r>
        <w:rPr>
          <w:rFonts w:ascii="IRNazanin" w:hAnsi="IRNazanin" w:eastAsia="IRNazanin" w:cs="IRNazanin"/>
          <w:lang w:bidi="fa-IR"/>
          <w:color w:val="111111"/>
          <w:sz w:val="28"/>
          <w:szCs w:val="28"/>
          <w:rtl/>
        </w:rPr>
        <w:t xml:space="preserve">گر همه‏ساله بود کامروا مردم نیک‏</w:t>
      </w:r>
    </w:p>
    <w:p>
      <w:pPr>
        <w:pStyle w:val="BookText"/>
      </w:pPr>
      <w:r>
        <w:rPr>
          <w:rFonts w:ascii="IRNazanin" w:hAnsi="IRNazanin" w:eastAsia="IRNazanin" w:cs="IRNazanin"/>
          <w:lang w:bidi="fa-IR"/>
          <w:color w:val="111111"/>
          <w:sz w:val="28"/>
          <w:szCs w:val="28"/>
          <w:rtl/>
        </w:rPr>
        <w:t xml:space="preserve">پس چه بود آن همه ناکامی پیغمبر و آل‏</w:t>
      </w:r>
    </w:p>
    <w:p>
      <w:pPr>
        <w:pStyle w:val="Heading3"/>
      </w:pPr>
      <w:bookmarkStart w:id="1632" w:name="_Toc328"/>
      <w:r>
        <w:t>279- دیوان أبی المعالی شوشتری أو شعره‏</w:t>
      </w:r>
      <w:bookmarkEnd w:id="1632"/>
    </w:p>
    <w:p>
      <w:pPr>
        <w:pStyle w:val="BookText"/>
      </w:pPr>
      <w:r>
        <w:rPr>
          <w:rFonts w:ascii="IRNazanin" w:hAnsi="IRNazanin" w:eastAsia="IRNazanin" w:cs="IRNazanin"/>
          <w:lang w:bidi="fa-IR"/>
          <w:color w:val="111111"/>
          <w:sz w:val="28"/>
          <w:szCs w:val="28"/>
          <w:rtl/>
        </w:rPr>
        <w:t xml:space="preserve">و هو أخو علاء الملک المرعشی الشوشتری.</w:t>
      </w:r>
    </w:p>
    <w:p>
      <w:pPr>
        <w:pStyle w:val="BookText"/>
      </w:pPr>
      <w:r>
        <w:rPr>
          <w:rFonts w:ascii="IRNazanin" w:hAnsi="IRNazanin" w:eastAsia="IRNazanin" w:cs="IRNazanin"/>
          <w:lang w:bidi="fa-IR"/>
          <w:color w:val="111111"/>
          <w:sz w:val="28"/>
          <w:szCs w:val="28"/>
          <w:rtl/>
        </w:rPr>
        <w:t xml:space="preserve">ذکره (گلشن- 13) و قال إن له غیر هذا الدیوان الفارسی رسالة فی العدالة، و تفسیر سورة الإخلاص، و أنموذج العلوم.</w:t>
      </w:r>
    </w:p>
    <w:p>
      <w:pPr>
        <w:pStyle w:val="Heading3"/>
      </w:pPr>
      <w:bookmarkStart w:id="1633" w:name="_Toc329"/>
      <w:r>
        <w:t>280- دیوان أبی المفاخر رازی أو شعره‏</w:t>
      </w:r>
      <w:bookmarkEnd w:id="1633"/>
    </w:p>
    <w:p>
      <w:pPr>
        <w:pStyle w:val="BookText"/>
      </w:pPr>
      <w:r>
        <w:rPr>
          <w:rFonts w:ascii="IRNazanin" w:hAnsi="IRNazanin" w:eastAsia="IRNazanin" w:cs="IRNazanin"/>
          <w:lang w:bidi="fa-IR"/>
          <w:color w:val="111111"/>
          <w:sz w:val="28"/>
          <w:szCs w:val="28"/>
          <w:rtl/>
        </w:rPr>
        <w:t xml:space="preserve">کان معاصرا للخاقانی الشاعر (م- 502) و کان له مع الخاقانی مراسلات. ذکره دولت شاه فی الطبقة الثانیة و قال کان معاصرا للسلطان غیاث الدین محمد بن ملک شاه السلجوقی و کان فاضلا أدیبا.</w:t>
      </w:r>
    </w:p>
    <w:p>
      <w:pPr>
        <w:pStyle w:val="Heading3"/>
      </w:pPr>
      <w:bookmarkStart w:id="1634" w:name="_Toc330"/>
      <w:r>
        <w:t>دیوان المیر أبی المکارم‏</w:t>
      </w:r>
      <w:bookmarkEnd w:id="1634"/>
    </w:p>
    <w:p>
      <w:pPr>
        <w:pStyle w:val="BookText"/>
      </w:pPr>
      <w:r>
        <w:rPr>
          <w:rFonts w:ascii="IRNazanin" w:hAnsi="IRNazanin" w:eastAsia="IRNazanin" w:cs="IRNazanin"/>
          <w:lang w:bidi="fa-IR"/>
          <w:color w:val="111111"/>
          <w:sz w:val="28"/>
          <w:szCs w:val="28"/>
          <w:rtl/>
        </w:rPr>
        <w:t xml:space="preserve">و تخلصه حاضری یأتی أنه من نقباء المشهد الرضوی.</w:t>
      </w:r>
    </w:p>
    <w:p>
      <w:pPr>
        <w:pStyle w:val="Heading3"/>
      </w:pPr>
      <w:bookmarkStart w:id="1635" w:name="_Toc331"/>
      <w:r>
        <w:t>281- دیوان أبی نزار</w:t>
      </w:r>
      <w:bookmarkEnd w:id="1635"/>
    </w:p>
    <w:p>
      <w:pPr>
        <w:pStyle w:val="BookText"/>
      </w:pPr>
      <w:r>
        <w:rPr>
          <w:rFonts w:ascii="IRNazanin" w:hAnsi="IRNazanin" w:eastAsia="IRNazanin" w:cs="IRNazanin"/>
          <w:lang w:bidi="fa-IR"/>
          <w:color w:val="111111"/>
          <w:sz w:val="28"/>
          <w:szCs w:val="28"/>
          <w:rtl/>
        </w:rPr>
        <w:t xml:space="preserve">الملقب بملک النحاة الحسن بن صافی بن نزار بن الحسن الترکی المولود ببغداد بالجانب الغربی بشارع دار الرقیق فی (489) و توفی بالشام و دفن بباب الصغیر فی (الثلثاء ثامن شوال 568) کذا أرخه ابن خلکان (ج 1 ص 135) قال و له دیوان شعر. و ذکر بعض شعره و فی (کفظ) عند ذکر کتابه العمدة فی النحو، عبر عنه بملک الرافضة.</w:t>
      </w:r>
    </w:p>
    <w:p>
      <w:pPr>
        <w:pStyle w:val="Heading3"/>
      </w:pPr>
      <w:bookmarkStart w:id="1636" w:name="_Toc332"/>
      <w:r>
        <w:t>282- دیوان الخواجة أبی النصر أو شعره‏</w:t>
      </w:r>
      <w:bookmarkEnd w:id="1636"/>
    </w:p>
    <w:p>
      <w:pPr>
        <w:pStyle w:val="BookText"/>
      </w:pPr>
      <w:r>
        <w:rPr>
          <w:rFonts w:ascii="IRNazanin" w:hAnsi="IRNazanin" w:eastAsia="IRNazanin" w:cs="IRNazanin"/>
          <w:lang w:bidi="fa-IR"/>
          <w:color w:val="111111"/>
          <w:sz w:val="28"/>
          <w:szCs w:val="28"/>
          <w:rtl/>
        </w:rPr>
        <w:t xml:space="preserve">و هو ابن الخواجة مؤید مهنة ذکر فی (لط ص 105) أنه من أهل الصلاح و أورد شعره و القزوینی ترجمه بضده فی (مجن- ص 279) و کان معاصرا للسلطان حسین میرزا بایقرا (م- 911) کما فی (تغ: 8).</w:t>
      </w:r>
    </w:p>
    <w:p>
      <w:pPr>
        <w:pStyle w:val="Heading3"/>
      </w:pPr>
      <w:bookmarkStart w:id="1637" w:name="_Toc333"/>
      <w:r>
        <w:t>283- دیوان أبی نواس‏</w:t>
      </w:r>
      <w:bookmarkEnd w:id="1637"/>
    </w:p>
    <w:p>
      <w:pPr>
        <w:pStyle w:val="BookText"/>
      </w:pPr>
      <w:r>
        <w:rPr>
          <w:rFonts w:ascii="IRNazanin" w:hAnsi="IRNazanin" w:eastAsia="IRNazanin" w:cs="IRNazanin"/>
          <w:lang w:bidi="fa-IR"/>
          <w:color w:val="111111"/>
          <w:sz w:val="28"/>
          <w:szCs w:val="28"/>
          <w:rtl/>
        </w:rPr>
        <w:t xml:space="preserve">الحسن بن هانی بن عبد الأول بن الصباح علی خلاف فی سلسلة آبائه، الحکمی الدمشقی الأصل المولود فی أهواز (145) أو (146) أو غیر ذلک علی‏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50" w:name="pg11704_121527"/>
    <w:bookmarkEnd w:id="50"/>
    <w:p>
      <w:pPr>
        <w:pStyle w:val="BookText"/>
      </w:pPr>
      <w:r>
        <w:rPr>
          <w:rFonts w:ascii="IRNazanin" w:hAnsi="IRNazanin" w:eastAsia="IRNazanin" w:cs="IRNazanin"/>
          <w:lang w:bidi="fa-IR"/>
          <w:color w:val="111111"/>
          <w:sz w:val="28"/>
          <w:szCs w:val="28"/>
          <w:rtl/>
        </w:rPr>
        <w:t xml:space="preserve">خلاف فیه. توفی ببغداد سنة خمس أو ست أو ثمان بعد التسعین و المائة أو غیر ذلک إلی تمام المائتین. و ظاهر الاخبار بأنه أدرک الإمام الرضا مع المأمون و مدحه کثیرا ینفی هذه الأقوال المتخالفة کلها، بل یظهر منها أنه عاد مع المأمون إلی بغداد فی (202) و توفی بها. و تشیعه یظهر مما رواه الشیخ الصدوق من أشعار مدحه. و عده ابن شهرآشوب من شعراء أهل البیت المجاهرین. و جزم بتشیعه صاحب الریاض و مؤلف نسمة السحر. و اعتذر الشیخ أبو علی الحائری فی منتهی المقال عما ینسب إلیه من المنکرات بعدم ثبوت شی‏ء منها، و حکم بأنه من خلص المحبین. و قد عمل شعره جماعة من أهل الأدب من الأصحاب. ذکرهم سیدنا الحسن فی تأسیس الشیعة، منهم الشیخ أبو یوسف یعقوب بن إسحاق السکیت، جمعه فی ثمانمائة ورقة علی عشرة أنواع. و الشیخ أبو الحسن علی بن محمد الشمشاطی کتب أخبار أبی نواس و المختار من شعره و الانتصار له. و صنف فارس بن سلیمان أبو شجاع الأرجانی کتاب مسند أبی نواس و عمل شعره علی الأنواع العشرة أیضا یحیی بن الفضل. و کذا أبو سعید السکری لکنه لم یتجاوز مقدار ثلثیه فی ألف ورقة. و أبو بکر الصولی عمله علی الحروف و أسقط المنحول منه. و کذا علی بن حمزة الأصفهانی. و إبراهیم بن أحمد الطبری المعروف بتوزون. و قد ذکر فی (کفظ ج 1 ص 503) خصوص الصولی و الأصفهانی و ابن توزون، ثم قال فلهذا یوجد دیوانه مختلفا. و ابن توزون هو إبراهیم بن محمد الطبری المعروف بپیروز الرویانی المترجم فی تاریخ بغداد و معجم الأدباء، و کان من تلامیذ أبی عمرو الزاهد الذی مات (345) و قال فی تأسیس الشیعة أیضا إنه عمل یوسف الدایة أخباره و المختار من شعره. و کذلک أیضا أبو هفان. و أبو الطیب بن الوشاء.</w:t>
      </w:r>
    </w:p>
    <w:p>
      <w:pPr>
        <w:pStyle w:val="BookText"/>
      </w:pPr>
      <w:r>
        <w:rPr>
          <w:rFonts w:ascii="IRNazanin" w:hAnsi="IRNazanin" w:eastAsia="IRNazanin" w:cs="IRNazanin"/>
          <w:lang w:bidi="fa-IR"/>
          <w:color w:val="111111"/>
          <w:sz w:val="28"/>
          <w:szCs w:val="28"/>
          <w:rtl/>
        </w:rPr>
        <w:t xml:space="preserve">و کتب ابن عمار رسالة فی مساویه و سرقاته، قال و آل المنجم کلهم عملوا أخباره و المختار من شعره. أقول و ممن کتب أخبار أبی نواس هو محمد بن مکرم صاحب لسان العرب و قد فاتنا ذکر هذه الکتب فی أخبار أبی نواس فی محله من (ج 1 ص 319). و طبع دیوان أبی نواس مکررا، ففی القاهرة (1277) و فی بیروت (1301) و غیر ذلک مما فصله فی جمط ص 352 و قد بسط القول فی ترجمه أبی نواس السید الأمین فی أعیان الشیعة- ج 24- ص 1- 249).</w:t>
      </w:r>
    </w:p>
    <w:p>
      <w:pPr>
        <w:pStyle w:val="Heading3"/>
      </w:pPr>
      <w:bookmarkStart w:id="1638" w:name="_Toc334"/>
      <w:r>
        <w:t>284- دیوان أبی الوجد أو شعره‏</w:t>
      </w:r>
      <w:bookmarkEnd w:id="1638"/>
    </w:p>
    <w:p>
      <w:pPr>
        <w:pStyle w:val="BookText"/>
      </w:pPr>
      <w:r>
        <w:rPr>
          <w:rFonts w:ascii="IRNazanin" w:hAnsi="IRNazanin" w:eastAsia="IRNazanin" w:cs="IRNazanin"/>
          <w:lang w:bidi="fa-IR"/>
          <w:color w:val="111111"/>
          <w:sz w:val="28"/>
          <w:szCs w:val="28"/>
          <w:rtl/>
        </w:rPr>
        <w:t xml:space="preserve">ترجمه شاه محمد القزوینی فی (بهش- 383)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51" w:name="pg11704_121528"/>
    <w:bookmarkEnd w:id="51"/>
    <w:p>
      <w:pPr>
        <w:pStyle w:val="BookText"/>
      </w:pPr>
      <w:r>
        <w:rPr>
          <w:rFonts w:ascii="IRNazanin" w:hAnsi="IRNazanin" w:eastAsia="IRNazanin" w:cs="IRNazanin"/>
          <w:lang w:bidi="fa-IR"/>
          <w:color w:val="111111"/>
          <w:sz w:val="28"/>
          <w:szCs w:val="28"/>
          <w:rtl/>
        </w:rPr>
        <w:t xml:space="preserve">و أورد شعره.</w:t>
      </w:r>
    </w:p>
    <w:p>
      <w:pPr>
        <w:pStyle w:val="Heading3"/>
      </w:pPr>
      <w:bookmarkStart w:id="1639" w:name="_Toc335"/>
      <w:r>
        <w:t>285- دیوان الأبیوردی‏</w:t>
      </w:r>
      <w:bookmarkEnd w:id="1639"/>
    </w:p>
    <w:p>
      <w:pPr>
        <w:pStyle w:val="BookText"/>
      </w:pPr>
      <w:r>
        <w:rPr>
          <w:rFonts w:ascii="IRNazanin" w:hAnsi="IRNazanin" w:eastAsia="IRNazanin" w:cs="IRNazanin"/>
          <w:lang w:bidi="fa-IR"/>
          <w:color w:val="111111"/>
          <w:sz w:val="28"/>
          <w:szCs w:val="28"/>
          <w:rtl/>
        </w:rPr>
        <w:t xml:space="preserve">هو أبو المظفر محمد بن أبی العباس أحمد بن محمد بن إسحاق الأموی المعاوی نسبة إلی معاویة الأصغر بن محمد بن عثمان، علی ما فصلناه مع تواریخه فی تعلة المشتاق له المذکور فی (ج 4- ص 219) و قد قسم شعره علی، العراقیات المقطعات، النجدیات، الوجدیات، و غیر ذلک. طبع فی بیروت (1327) و طبع المقطعات خاصة أیضا علی الحجر فی مصر فی (44 ص) فی (1277) و توجد نسخه النجدیات منه خاصة فی مکتبة (الملک) بطهران و هی بخط محمد بن إبراهیم بن أبی القاسم الأدیب فرغ من الکتابة فی (منتصف رجب 723).</w:t>
      </w:r>
    </w:p>
    <w:p>
      <w:pPr>
        <w:pStyle w:val="Heading3"/>
      </w:pPr>
      <w:bookmarkStart w:id="1640" w:name="_Toc336"/>
      <w:r>
        <w:t>286- دیوان الخواجة أبی الوفاء الخوارزمی‏</w:t>
      </w:r>
      <w:bookmarkEnd w:id="1640"/>
    </w:p>
    <w:p>
      <w:pPr>
        <w:pStyle w:val="BookText"/>
      </w:pPr>
      <w:r>
        <w:rPr>
          <w:rFonts w:ascii="IRNazanin" w:hAnsi="IRNazanin" w:eastAsia="IRNazanin" w:cs="IRNazanin"/>
          <w:lang w:bidi="fa-IR"/>
          <w:color w:val="111111"/>
          <w:sz w:val="28"/>
          <w:szCs w:val="28"/>
          <w:rtl/>
        </w:rPr>
        <w:t xml:space="preserve">المعروف بپیر فرشته. ترجمه شاه محمد القزوینی فی (مجن- ص 185) و الجامی فی النفحات: 388. و أورد رباعیته. و ترجمه فی ریاض العارفین ص 53 و سماه فی (تش- 311) بأبی العرفاء و ذکر و إنه توفی (835) و له رسالة کنز الجواهر.</w:t>
      </w:r>
    </w:p>
    <w:p>
      <w:pPr>
        <w:pStyle w:val="Heading3"/>
      </w:pPr>
      <w:bookmarkStart w:id="1641" w:name="_Toc337"/>
      <w:r>
        <w:t>287- دیوان أبی الوفاء التبریزی‏</w:t>
      </w:r>
      <w:bookmarkEnd w:id="1641"/>
    </w:p>
    <w:p>
      <w:pPr>
        <w:pStyle w:val="BookText"/>
      </w:pPr>
      <w:r>
        <w:rPr>
          <w:rFonts w:ascii="IRNazanin" w:hAnsi="IRNazanin" w:eastAsia="IRNazanin" w:cs="IRNazanin"/>
          <w:lang w:bidi="fa-IR"/>
          <w:color w:val="111111"/>
          <w:sz w:val="28"/>
          <w:szCs w:val="28"/>
          <w:rtl/>
        </w:rPr>
        <w:t xml:space="preserve">ذکره فی (دجا- ص 29) عن عرفات العاشقین.</w:t>
      </w:r>
    </w:p>
    <w:p>
      <w:pPr>
        <w:pStyle w:val="Heading3"/>
      </w:pPr>
      <w:bookmarkStart w:id="1642" w:name="_Toc338"/>
      <w:r>
        <w:t>288- دیوان دیوان أبی الهادی التبریزی أو شعره‏</w:t>
      </w:r>
      <w:bookmarkEnd w:id="1642"/>
    </w:p>
    <w:p>
      <w:pPr>
        <w:pStyle w:val="BookText"/>
      </w:pPr>
      <w:r>
        <w:rPr>
          <w:rFonts w:ascii="IRNazanin" w:hAnsi="IRNazanin" w:eastAsia="IRNazanin" w:cs="IRNazanin"/>
          <w:lang w:bidi="fa-IR"/>
          <w:color w:val="111111"/>
          <w:sz w:val="28"/>
          <w:szCs w:val="28"/>
          <w:rtl/>
        </w:rPr>
        <w:t xml:space="preserve">ترجمه فی (دجا- ص 29) و أورد شعره عن عرفات العاشقین.</w:t>
      </w:r>
    </w:p>
    <w:p>
      <w:pPr>
        <w:pStyle w:val="Heading3"/>
      </w:pPr>
      <w:bookmarkStart w:id="1643" w:name="_Toc339"/>
      <w:r>
        <w:t>289- دیوان أبی الهادی الدیلمی‏</w:t>
      </w:r>
      <w:bookmarkEnd w:id="1643"/>
    </w:p>
    <w:p>
      <w:pPr>
        <w:pStyle w:val="BookText"/>
      </w:pPr>
      <w:r>
        <w:rPr>
          <w:rFonts w:ascii="IRNazanin" w:hAnsi="IRNazanin" w:eastAsia="IRNazanin" w:cs="IRNazanin"/>
          <w:lang w:bidi="fa-IR"/>
          <w:color w:val="111111"/>
          <w:sz w:val="28"/>
          <w:szCs w:val="28"/>
          <w:rtl/>
        </w:rPr>
        <w:t xml:space="preserve">ابن أخت المولی ملک الدیلمی القزوینی الخطاط الشهیر. و أبو الهادی أیضا کان شاعرا خطاطا ماهرا فی الموسیقی. ترجمه معاصره الصادقی المولود (940) فی (خص- ص 260) قال توفی بقزوین و دفن قرب شاه‏زاده حسین.</w:t>
      </w:r>
    </w:p>
    <w:p>
      <w:pPr>
        <w:pStyle w:val="Heading3"/>
      </w:pPr>
      <w:bookmarkStart w:id="1644" w:name="_Toc340"/>
      <w:r>
        <w:t>290- دیوان أبی هاشم الجعفری البغدادی‏</w:t>
      </w:r>
      <w:bookmarkEnd w:id="1644"/>
    </w:p>
    <w:p>
      <w:pPr>
        <w:pStyle w:val="BookText"/>
      </w:pPr>
      <w:r>
        <w:rPr>
          <w:rFonts w:ascii="IRNazanin" w:hAnsi="IRNazanin" w:eastAsia="IRNazanin" w:cs="IRNazanin"/>
          <w:lang w:bidi="fa-IR"/>
          <w:color w:val="111111"/>
          <w:sz w:val="28"/>
          <w:szCs w:val="28"/>
          <w:rtl/>
        </w:rPr>
        <w:t xml:space="preserve">. هو داود بن القاسم بن إسحاق بن عبد الله بن جعفر بن أبی طالب المعروف بأبی هاشم الجعفری، لأنه من ولد جعفر الطیار، شاهد الأئمة، الرضا و الجواد و الهادی و العسکری و الحجة علیه السلام  و روی عنهم، و کان جلیلا عندهم و له فیهم أشعار. دون شعره أبو عبد الله أحمد بن محمد بن عباس الجوهری کما ذکره النجاشی فی ترجمه الجوهری و ذکر أنه ألف أیضا کتابا فی أخبار أبی هاشم الجعفری غیر کتاب شعره.</w:t>
      </w:r>
    </w:p>
    <w:p>
      <w:pPr>
        <w:pStyle w:val="Heading3"/>
      </w:pPr>
      <w:bookmarkStart w:id="1645" w:name="_Toc341"/>
      <w:r>
        <w:t>291- دیوان أبی هاشم الموسوی أو شعره‏</w:t>
      </w:r>
      <w:bookmarkEnd w:id="1645"/>
    </w:p>
    <w:p>
      <w:pPr>
        <w:pStyle w:val="BookText"/>
      </w:pPr>
      <w:r>
        <w:rPr>
          <w:rFonts w:ascii="IRNazanin" w:hAnsi="IRNazanin" w:eastAsia="IRNazanin" w:cs="IRNazanin"/>
          <w:lang w:bidi="fa-IR"/>
          <w:color w:val="111111"/>
          <w:sz w:val="28"/>
          <w:szCs w:val="28"/>
          <w:rtl/>
        </w:rPr>
        <w:t xml:space="preserve">کتب بعض أشعاره بخطه فی سنة (1002)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52" w:name="pg11704_121529"/>
    <w:bookmarkEnd w:id="52"/>
    <w:p>
      <w:pPr>
        <w:pStyle w:val="BookText"/>
      </w:pPr>
      <w:r>
        <w:rPr>
          <w:rFonts w:ascii="IRNazanin" w:hAnsi="IRNazanin" w:eastAsia="IRNazanin" w:cs="IRNazanin"/>
          <w:lang w:bidi="fa-IR"/>
          <w:color w:val="111111"/>
          <w:sz w:val="28"/>
          <w:szCs w:val="28"/>
          <w:rtl/>
        </w:rPr>
        <w:t xml:space="preserve">فی مشیخة کنز السالکین المذکور فی (ج 8- ص 187).</w:t>
      </w:r>
    </w:p>
    <w:p>
      <w:pPr>
        <w:pStyle w:val="Heading3"/>
      </w:pPr>
      <w:bookmarkStart w:id="1646" w:name="_Toc342"/>
      <w:r>
        <w:t>292- دیوان مولانا أتالی أو شعره‏</w:t>
      </w:r>
      <w:bookmarkEnd w:id="1646"/>
    </w:p>
    <w:p>
      <w:pPr>
        <w:pStyle w:val="BookText"/>
      </w:pPr>
      <w:r>
        <w:rPr>
          <w:rFonts w:ascii="IRNazanin" w:hAnsi="IRNazanin" w:eastAsia="IRNazanin" w:cs="IRNazanin"/>
          <w:lang w:bidi="fa-IR"/>
          <w:color w:val="111111"/>
          <w:sz w:val="28"/>
          <w:szCs w:val="28"/>
          <w:rtl/>
        </w:rPr>
        <w:t xml:space="preserve">و هو من أحفاد المولی إسماعیل أتا البلخی کان شعره الترکی مشهورا. و دفن ببلخ ترجمه فی (مجن- ص 50 و 224).</w:t>
      </w:r>
    </w:p>
    <w:p>
      <w:pPr>
        <w:pStyle w:val="Heading3"/>
      </w:pPr>
      <w:bookmarkStart w:id="1647" w:name="_Toc343"/>
      <w:r>
        <w:t>293- دیوان أتابک‏</w:t>
      </w:r>
      <w:bookmarkEnd w:id="1647"/>
    </w:p>
    <w:p>
      <w:pPr>
        <w:pStyle w:val="BookText"/>
      </w:pPr>
      <w:r>
        <w:rPr>
          <w:rFonts w:ascii="IRNazanin" w:hAnsi="IRNazanin" w:eastAsia="IRNazanin" w:cs="IRNazanin"/>
          <w:lang w:bidi="fa-IR"/>
          <w:color w:val="111111"/>
          <w:sz w:val="28"/>
          <w:szCs w:val="28"/>
          <w:rtl/>
        </w:rPr>
        <w:t xml:space="preserve">فارسی للمیرزا علی أصغر خان بن الآقا باقر خان آب دار. ترقی أمره عند ناصر الدین شاه من منصب أبیه الآبداریة إلی أن لقب بأمین السلطان، و باسمه اشتهر المسکوک الفضی الجدید فی إیران، المعمول بالمکائن، فیقال منگنه أو قران أمین السلطانی ثم لقب بالصدر الأعظم أیضا فی سنین. و فی الأواخر لقب بالأتابک الأعظم و ظهرت قوة قلبه و سیاسته یوم قتل الشاه. و کنت أنا یومئذ فی کرمانشاه سائرا إلی العراق و الوالی بها الأمیر نظام الگروسی. و بقی لقبه إلی تغییر الأمور و ظهور الدستور فعند خروجه من المجلس الملی قتل غیلة بالرصاص فی (1327) و سمعت أن دیوانه طبع بإیران.</w:t>
      </w:r>
    </w:p>
    <w:p>
      <w:pPr>
        <w:pStyle w:val="Heading3"/>
      </w:pPr>
      <w:bookmarkStart w:id="1648" w:name="_Toc344"/>
      <w:r>
        <w:t>دیوان أثر لاری‏</w:t>
      </w:r>
      <w:bookmarkEnd w:id="1648"/>
    </w:p>
    <w:p>
      <w:pPr>
        <w:pStyle w:val="BookText"/>
      </w:pPr>
      <w:r>
        <w:rPr>
          <w:rFonts w:ascii="IRNazanin" w:hAnsi="IRNazanin" w:eastAsia="IRNazanin" w:cs="IRNazanin"/>
          <w:lang w:bidi="fa-IR"/>
          <w:color w:val="111111"/>
          <w:sz w:val="28"/>
          <w:szCs w:val="28"/>
          <w:rtl/>
        </w:rPr>
        <w:t xml:space="preserve">و اسمه آخوند شفیعا. عمی بصره فی مرض الجدری ابتلی به فی التاسعة من عمره، لکنه ترقی فی الأدب. و کلیاته تحتوی علی عشرة آلاف بیت من أنواع الشعر و مات بلار فی (1113) کذا فی (تغ- ص 8).</w:t>
      </w:r>
    </w:p>
    <w:p>
      <w:pPr>
        <w:pStyle w:val="Heading3"/>
      </w:pPr>
      <w:bookmarkStart w:id="1649" w:name="_Toc345"/>
      <w:r>
        <w:t>294- دیوان أثر مازندرانی أو شعره‏</w:t>
      </w:r>
      <w:bookmarkEnd w:id="1649"/>
    </w:p>
    <w:p>
      <w:pPr>
        <w:pStyle w:val="BookText"/>
      </w:pPr>
      <w:r>
        <w:rPr>
          <w:rFonts w:ascii="IRNazanin" w:hAnsi="IRNazanin" w:eastAsia="IRNazanin" w:cs="IRNazanin"/>
          <w:lang w:bidi="fa-IR"/>
          <w:color w:val="111111"/>
          <w:sz w:val="28"/>
          <w:szCs w:val="28"/>
          <w:rtl/>
        </w:rPr>
        <w:t xml:space="preserve">و اسمه الملا محمد زمان بن الملا محمود المازندرانی هاجر إلی أصفهان للتحصیل، و نزل بعض مدارسها أطرأه معاصره فی (نر- ص 357) و أورد بعض شعره و بدل فی (روشن) مازندران بدماوند</w:t>
      </w:r>
    </w:p>
    <w:p>
      <w:pPr>
        <w:pStyle w:val="Heading3"/>
      </w:pPr>
      <w:bookmarkStart w:id="1650" w:name="_Toc346"/>
      <w:r>
        <w:t>295- دیوان أثر التبریزی أو شعره‏</w:t>
      </w:r>
      <w:bookmarkEnd w:id="1650"/>
    </w:p>
    <w:p>
      <w:pPr>
        <w:pStyle w:val="BookText"/>
      </w:pPr>
      <w:r>
        <w:rPr>
          <w:rFonts w:ascii="IRNazanin" w:hAnsi="IRNazanin" w:eastAsia="IRNazanin" w:cs="IRNazanin"/>
          <w:lang w:bidi="fa-IR"/>
          <w:color w:val="111111"/>
          <w:sz w:val="28"/>
          <w:szCs w:val="28"/>
          <w:rtl/>
        </w:rPr>
        <w:t xml:space="preserve">نقل عنه فی (دجا- ص 30)</w:t>
      </w:r>
    </w:p>
    <w:p>
      <w:pPr>
        <w:pStyle w:val="Heading3"/>
      </w:pPr>
      <w:bookmarkStart w:id="1651" w:name="_Toc347"/>
      <w:r>
        <w:t>296- دیوان أثر الهندی‏</w:t>
      </w:r>
      <w:bookmarkEnd w:id="1651"/>
    </w:p>
    <w:p>
      <w:pPr>
        <w:pStyle w:val="BookText"/>
      </w:pPr>
      <w:r>
        <w:rPr>
          <w:rFonts w:ascii="IRNazanin" w:hAnsi="IRNazanin" w:eastAsia="IRNazanin" w:cs="IRNazanin"/>
          <w:lang w:bidi="fa-IR"/>
          <w:color w:val="111111"/>
          <w:sz w:val="28"/>
          <w:szCs w:val="28"/>
          <w:rtl/>
        </w:rPr>
        <w:t xml:space="preserve">مطبوع بالأردویة للسید إمداد إمام الملقب بشمس العلماء الزیدی المذهب، المستبصر إلی الاثنی عشریة، المعاصر العظیم‏آبادی، المتخلص فی شعره بالأثر هکذا وصفه بعض فضلاء الهند</w:t>
      </w:r>
    </w:p>
    <w:p>
      <w:pPr>
        <w:pStyle w:val="Heading3"/>
      </w:pPr>
      <w:bookmarkStart w:id="1652" w:name="_Toc348"/>
      <w:r>
        <w:t>297- دیوان أثر</w:t>
      </w:r>
      <w:bookmarkEnd w:id="1652"/>
    </w:p>
    <w:p>
      <w:pPr>
        <w:pStyle w:val="BookText"/>
      </w:pPr>
      <w:r>
        <w:rPr>
          <w:rFonts w:ascii="IRNazanin" w:hAnsi="IRNazanin" w:eastAsia="IRNazanin" w:cs="IRNazanin"/>
          <w:lang w:bidi="fa-IR"/>
          <w:color w:val="111111"/>
          <w:sz w:val="28"/>
          <w:szCs w:val="28"/>
          <w:rtl/>
        </w:rPr>
        <w:t xml:space="preserve">فارسی لبعض الأدباء الإیرانیین لم أعلم اسمه و لا عصره و انما رأیت عدة قصائد منه فی مدح المعصومین و قصیدتین فی مدح الحجة علیه السلام  کلها ضمن مجموعة نفیسة فی کتب (الخوانساری) و تاریخ کتابة المجموعة (1130)</w:t>
      </w:r>
    </w:p>
    <w:p>
      <w:pPr>
        <w:pStyle w:val="Heading3"/>
      </w:pPr>
      <w:bookmarkStart w:id="1653" w:name="_Toc349"/>
      <w:r>
        <w:t>دیوان أثیر الدین الأبهری‏</w:t>
      </w:r>
      <w:bookmarkEnd w:id="1653"/>
    </w:p>
    <w:p>
      <w:pPr>
        <w:pStyle w:val="BookText"/>
      </w:pPr>
      <w:r>
        <w:rPr>
          <w:rFonts w:ascii="IRNazanin" w:hAnsi="IRNazanin" w:eastAsia="IRNazanin" w:cs="IRNazanin"/>
          <w:lang w:bidi="fa-IR"/>
          <w:color w:val="111111"/>
          <w:sz w:val="28"/>
          <w:szCs w:val="28"/>
          <w:rtl/>
        </w:rPr>
        <w:t xml:space="preserve">مر بعنوان دیوان الأبهری‏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53" w:name="pg11704_121530"/>
    <w:bookmarkEnd w:id="53"/>
    <w:p>
      <w:pPr>
        <w:pStyle w:val="Heading3"/>
      </w:pPr>
      <w:bookmarkStart w:id="1654" w:name="_Toc350"/>
      <w:r>
        <w:t>298- دیوان أثیر الدین أخسیکتی‏</w:t>
      </w:r>
      <w:bookmarkEnd w:id="1654"/>
    </w:p>
    <w:p>
      <w:pPr>
        <w:pStyle w:val="BookText"/>
      </w:pPr>
      <w:r>
        <w:rPr>
          <w:rFonts w:ascii="IRNazanin" w:hAnsi="IRNazanin" w:eastAsia="IRNazanin" w:cs="IRNazanin"/>
          <w:lang w:bidi="fa-IR"/>
          <w:color w:val="111111"/>
          <w:sz w:val="28"/>
          <w:szCs w:val="28"/>
          <w:rtl/>
        </w:rPr>
        <w:t xml:space="preserve">و أخسیکت من أعمال فرغانة من ترکستان ترجمه فی (مع- 1: 102) و (تش- ص 318) و دولت شاه فی الطبقة الثانیة و قالوا کان بینه و بین الحکیم الخاقانی مناظرات و کان مداح ملوک آل طغرل السلجوقی و توفی (562) و أورد هدایت بعض شعره البالغ إلی المائتین بیتا و فی ریاض العارفین- ص 281 ذکر وفاته فی خلخال فی (657) توجد نسخه دیوانه فی (الرضویة) و أخری کتابته (861) عند (فخر الدین) و معه دیوان مجیر البیلقانی‏</w:t>
      </w:r>
    </w:p>
    <w:p>
      <w:pPr>
        <w:pStyle w:val="Heading3"/>
      </w:pPr>
      <w:bookmarkStart w:id="1655" w:name="_Toc351"/>
      <w:r>
        <w:t>299- دیوان أثیر الدین أومانی‏</w:t>
      </w:r>
      <w:bookmarkEnd w:id="1655"/>
    </w:p>
    <w:p>
      <w:pPr>
        <w:pStyle w:val="BookText"/>
      </w:pPr>
      <w:r>
        <w:rPr>
          <w:rFonts w:ascii="IRNazanin" w:hAnsi="IRNazanin" w:eastAsia="IRNazanin" w:cs="IRNazanin"/>
          <w:lang w:bidi="fa-IR"/>
          <w:color w:val="111111"/>
          <w:sz w:val="28"/>
          <w:szCs w:val="28"/>
          <w:rtl/>
        </w:rPr>
        <w:t xml:space="preserve">المولی عبد الله الهمدانی المتوفی (656) فارسی أورد کثیرا منه فی (مع- ج 1 ص 106) و قال إنه یقرب من خمسة آلاف بیت و هو من المعاصرین لکمال الدین إسماعیل الأصفهانی و من المستفیدین عن الخواجة نصیر الدین الطوسی و ترجمه شاه محمد القزوینی فی (بهش ص 326)</w:t>
      </w:r>
    </w:p>
    <w:p>
      <w:pPr>
        <w:pStyle w:val="Heading3"/>
      </w:pPr>
      <w:bookmarkStart w:id="1656" w:name="_Toc352"/>
      <w:r>
        <w:t>300- دیوان أثیر الدین الفرغانی أو شعره‏</w:t>
      </w:r>
      <w:bookmarkEnd w:id="1656"/>
    </w:p>
    <w:p>
      <w:pPr>
        <w:pStyle w:val="BookText"/>
      </w:pPr>
      <w:r>
        <w:rPr>
          <w:rFonts w:ascii="IRNazanin" w:hAnsi="IRNazanin" w:eastAsia="IRNazanin" w:cs="IRNazanin"/>
          <w:lang w:bidi="fa-IR"/>
          <w:color w:val="111111"/>
          <w:sz w:val="28"/>
          <w:szCs w:val="28"/>
          <w:rtl/>
        </w:rPr>
        <w:t xml:space="preserve">و فرغانة من بلاد ما وراء النهر ترجمه القزوینی فی (بهش- ص 326) و أورد شعره‏</w:t>
      </w:r>
    </w:p>
    <w:p>
      <w:pPr>
        <w:pStyle w:val="Heading3"/>
      </w:pPr>
      <w:bookmarkStart w:id="1657" w:name="_Toc353"/>
      <w:r>
        <w:t>دیوان أثیری‏</w:t>
      </w:r>
      <w:bookmarkEnd w:id="1657"/>
    </w:p>
    <w:p>
      <w:pPr>
        <w:pStyle w:val="BookText"/>
      </w:pPr>
      <w:r>
        <w:rPr>
          <w:rFonts w:ascii="IRNazanin" w:hAnsi="IRNazanin" w:eastAsia="IRNazanin" w:cs="IRNazanin"/>
          <w:lang w:bidi="fa-IR"/>
          <w:color w:val="111111"/>
          <w:sz w:val="28"/>
          <w:szCs w:val="28"/>
          <w:rtl/>
        </w:rPr>
        <w:t xml:space="preserve">یأتی بعنوان دیوان نظامی أثیری‏</w:t>
      </w:r>
    </w:p>
    <w:p>
      <w:pPr>
        <w:pStyle w:val="Heading3"/>
      </w:pPr>
      <w:bookmarkStart w:id="1658" w:name="_Toc354"/>
      <w:r>
        <w:t>301- دیوان أثیری‏</w:t>
      </w:r>
      <w:bookmarkEnd w:id="1658"/>
    </w:p>
    <w:p>
      <w:pPr>
        <w:pStyle w:val="BookText"/>
      </w:pPr>
      <w:r>
        <w:rPr>
          <w:rFonts w:ascii="IRNazanin" w:hAnsi="IRNazanin" w:eastAsia="IRNazanin" w:cs="IRNazanin"/>
          <w:lang w:bidi="fa-IR"/>
          <w:color w:val="111111"/>
          <w:sz w:val="28"/>
          <w:szCs w:val="28"/>
          <w:rtl/>
        </w:rPr>
        <w:t xml:space="preserve">الشمس الدین محمد الگیلانی المتخلص بأثیری، مؤلف مفاتیح اعجاز در شرح گلشن راز موجود فی دزفول عند المیرزا جعفر بن الشیخ مرتضی المدعو بشیخ بزرگ بن الشیخ محمد حسن بن الشیخ منصور الذی هو أخ الشیخ الأنصاری و هو شمس الدین محمد بن یحیی بن علی اللاهیجی الگیلانی الذی شرع فی شرح گلشن راز (877)</w:t>
      </w:r>
    </w:p>
    <w:p>
      <w:pPr>
        <w:pStyle w:val="Heading3"/>
      </w:pPr>
      <w:bookmarkStart w:id="1659" w:name="_Toc355"/>
      <w:r>
        <w:t>302- دیوان أجری‏</w:t>
      </w:r>
      <w:bookmarkEnd w:id="1659"/>
    </w:p>
    <w:p>
      <w:pPr>
        <w:pStyle w:val="BookText"/>
      </w:pPr>
      <w:r>
        <w:rPr>
          <w:rFonts w:ascii="IRNazanin" w:hAnsi="IRNazanin" w:eastAsia="IRNazanin" w:cs="IRNazanin"/>
          <w:lang w:bidi="fa-IR"/>
          <w:color w:val="111111"/>
          <w:sz w:val="28"/>
          <w:szCs w:val="28"/>
          <w:rtl/>
        </w:rPr>
        <w:t xml:space="preserve">المیر محمد حسین الیزدی المثری المقتول بقریة أشکذر فی (1047) ترجمه آیتی فی تش یز- ص 269 و ذکر أن له شعر کثیر و ترجمه النصرآبادی فی (نر- ص 293) و قال إنه من السادة الحسینیة المتمکنین فی یزد و لقبه فی (تغ: 9) بالجعفری‏</w:t>
      </w:r>
    </w:p>
    <w:p>
      <w:pPr>
        <w:pStyle w:val="Heading3"/>
      </w:pPr>
      <w:bookmarkStart w:id="1660" w:name="_Toc356"/>
      <w:r>
        <w:t>303- دیوان إحسان‏</w:t>
      </w:r>
      <w:bookmarkEnd w:id="1660"/>
    </w:p>
    <w:p>
      <w:pPr>
        <w:pStyle w:val="BookText"/>
      </w:pPr>
      <w:r>
        <w:rPr>
          <w:rFonts w:ascii="IRNazanin" w:hAnsi="IRNazanin" w:eastAsia="IRNazanin" w:cs="IRNazanin"/>
          <w:lang w:bidi="fa-IR"/>
          <w:color w:val="111111"/>
          <w:sz w:val="28"/>
          <w:szCs w:val="28"/>
          <w:rtl/>
        </w:rPr>
        <w:t xml:space="preserve">للمولی مقیما المشهدی المقیم بأصفهان غالبا ترجمه معاصره النصرآبادی فی (نر- ص 356) و أورد شعره و کذا فی (گلشن) و قال فی (تغ: 9) کان فراشا من شعراء عهد الشاه سلیمان الصفوی‏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4" w:name="pg11704_121531"/>
    <w:bookmarkEnd w:id="54"/>
    <w:p>
      <w:pPr>
        <w:pStyle w:val="Heading3"/>
      </w:pPr>
      <w:bookmarkStart w:id="1661" w:name="_Toc357"/>
      <w:r>
        <w:t>304- دیوان أحسن‏</w:t>
      </w:r>
      <w:bookmarkEnd w:id="1661"/>
    </w:p>
    <w:p>
      <w:pPr>
        <w:pStyle w:val="BookText"/>
      </w:pPr>
      <w:r>
        <w:rPr>
          <w:rFonts w:ascii="IRNazanin" w:hAnsi="IRNazanin" w:eastAsia="IRNazanin" w:cs="IRNazanin"/>
          <w:lang w:bidi="fa-IR"/>
          <w:color w:val="111111"/>
          <w:sz w:val="28"/>
          <w:szCs w:val="28"/>
          <w:rtl/>
        </w:rPr>
        <w:t xml:space="preserve">للمیرزا أحسن الله الملقب بظفر خان بن الخواجة أبی الحسن نزیل الهند فی عهد السلطان أکبر پادشاه ترجمه النصرآبادی فی (نر- ص 57) و ذکر جملة من أشعاره و قال إنه توفی قبل سنین و ترجمه أیضا فی سرو آزاد و (گلشن) و قال فی (سرخوش- ص 4) إن صائب التبریزی جاء إلی الهند لزیارته و قال فی (تغ: 9) إن وفاته (1073) و کان والیا لکشمیر</w:t>
      </w:r>
    </w:p>
    <w:p>
      <w:pPr>
        <w:pStyle w:val="Heading3"/>
      </w:pPr>
      <w:bookmarkStart w:id="1662" w:name="_Toc358"/>
      <w:r>
        <w:t>305- دیوان أحسن‏</w:t>
      </w:r>
      <w:bookmarkEnd w:id="1662"/>
    </w:p>
    <w:p>
      <w:pPr>
        <w:pStyle w:val="BookText"/>
      </w:pPr>
      <w:r>
        <w:rPr>
          <w:rFonts w:ascii="IRNazanin" w:hAnsi="IRNazanin" w:eastAsia="IRNazanin" w:cs="IRNazanin"/>
          <w:lang w:bidi="fa-IR"/>
          <w:color w:val="111111"/>
          <w:sz w:val="28"/>
          <w:szCs w:val="28"/>
          <w:rtl/>
        </w:rPr>
        <w:t xml:space="preserve">و اسمه محمد أحسن بن المنشی محمد أحمد البلگرامی الأصل الصفی‏پوری الموطن ینسب نفسه إلی أبی بکر کما ذکره فی (گلشن- ص 15) ولد (1244) و کان حیا فی زمن تألیف صبح گلشن فی (1294) و له أرتنگ فرهنگ و کارنامه فرهنگ و آیینه أحسن و صحیفة شاه‏جهانی و لغت شاه‏جهانی و مصطلحات شاه‏جهانی و تحفه صدیقیة و غیرها</w:t>
      </w:r>
    </w:p>
    <w:p>
      <w:pPr>
        <w:pStyle w:val="Heading3"/>
      </w:pPr>
      <w:bookmarkStart w:id="1663" w:name="_Toc359"/>
      <w:r>
        <w:t>306- دیوان أحسن دهلوی أو شعره‏</w:t>
      </w:r>
      <w:bookmarkEnd w:id="1663"/>
    </w:p>
    <w:p>
      <w:pPr>
        <w:pStyle w:val="BookText"/>
      </w:pPr>
      <w:r>
        <w:rPr>
          <w:rFonts w:ascii="IRNazanin" w:hAnsi="IRNazanin" w:eastAsia="IRNazanin" w:cs="IRNazanin"/>
          <w:lang w:bidi="fa-IR"/>
          <w:color w:val="111111"/>
          <w:sz w:val="28"/>
          <w:szCs w:val="28"/>
          <w:rtl/>
        </w:rPr>
        <w:t xml:space="preserve">و هو أحسن الله من أحفاد السید شاه عزیز الله خلیفة السید شاهمیر اللاهوری ذکر فی (گلشن- ص 17) أنه جاء إلی لکهنو فأعزه النواب آصف الدولة، و ذهب إلی فرخ‏آباد فأکرمه النواب مظفر جنگ و شوکت جنگ‏</w:t>
      </w:r>
    </w:p>
    <w:p>
      <w:pPr>
        <w:pStyle w:val="Heading3"/>
      </w:pPr>
      <w:bookmarkStart w:id="1664" w:name="_Toc360"/>
      <w:r>
        <w:t>307- دیوان أحسنی الخوانساری أو شعره‏</w:t>
      </w:r>
      <w:bookmarkEnd w:id="1664"/>
    </w:p>
    <w:p>
      <w:pPr>
        <w:pStyle w:val="BookText"/>
      </w:pPr>
      <w:r>
        <w:rPr>
          <w:rFonts w:ascii="IRNazanin" w:hAnsi="IRNazanin" w:eastAsia="IRNazanin" w:cs="IRNazanin"/>
          <w:lang w:bidi="fa-IR"/>
          <w:color w:val="111111"/>
          <w:sz w:val="28"/>
          <w:szCs w:val="28"/>
          <w:rtl/>
        </w:rPr>
        <w:t xml:space="preserve">ذکره معاصره فی (نر- ص 318) و کذا فی (گلشن- 17) و أوردا شعره و قالا کان خیاطا و قد سماه بعض بیمینی‏</w:t>
      </w:r>
    </w:p>
    <w:p>
      <w:pPr>
        <w:pStyle w:val="Heading3"/>
      </w:pPr>
      <w:bookmarkStart w:id="1665" w:name="_Toc361"/>
      <w:r>
        <w:t>308- دیوان أحسنی السمنانی أو شعره‏</w:t>
      </w:r>
      <w:bookmarkEnd w:id="1665"/>
    </w:p>
    <w:p>
      <w:pPr>
        <w:pStyle w:val="BookText"/>
      </w:pPr>
      <w:r>
        <w:rPr>
          <w:rFonts w:ascii="IRNazanin" w:hAnsi="IRNazanin" w:eastAsia="IRNazanin" w:cs="IRNazanin"/>
          <w:lang w:bidi="fa-IR"/>
          <w:color w:val="111111"/>
          <w:sz w:val="28"/>
          <w:szCs w:val="28"/>
          <w:rtl/>
        </w:rPr>
        <w:t xml:space="preserve">ذکره فی (گلشن- ص 17) و أورد شعره‏</w:t>
      </w:r>
    </w:p>
    <w:p>
      <w:pPr>
        <w:pStyle w:val="Heading3"/>
      </w:pPr>
      <w:bookmarkStart w:id="1666" w:name="_Toc362"/>
      <w:r>
        <w:t>309- دیوان أحسنی پیاله‏</w:t>
      </w:r>
      <w:bookmarkEnd w:id="1666"/>
    </w:p>
    <w:p>
      <w:pPr>
        <w:pStyle w:val="BookText"/>
      </w:pPr>
      <w:r>
        <w:rPr>
          <w:rFonts w:ascii="IRNazanin" w:hAnsi="IRNazanin" w:eastAsia="IRNazanin" w:cs="IRNazanin"/>
          <w:lang w:bidi="fa-IR"/>
          <w:color w:val="111111"/>
          <w:sz w:val="28"/>
          <w:szCs w:val="28"/>
          <w:rtl/>
        </w:rPr>
        <w:t xml:space="preserve">من أهالی بلدة پیاله ذکره فی (گلشن- ص 17) و قال إنه ابن میر عبد الفتح، ولد ببلدة پیاله و مات (1111) و له مثنویات دلبر و شیدا و شاه و ماه‏</w:t>
      </w:r>
    </w:p>
    <w:p>
      <w:pPr>
        <w:pStyle w:val="Heading3"/>
      </w:pPr>
      <w:bookmarkStart w:id="1667" w:name="_Toc363"/>
      <w:r>
        <w:t>310- دیوان أحسنی گوالیاری أو شعره‏</w:t>
      </w:r>
      <w:bookmarkEnd w:id="1667"/>
    </w:p>
    <w:p>
      <w:pPr>
        <w:pStyle w:val="BookText"/>
      </w:pPr>
      <w:r>
        <w:rPr>
          <w:rFonts w:ascii="IRNazanin" w:hAnsi="IRNazanin" w:eastAsia="IRNazanin" w:cs="IRNazanin"/>
          <w:lang w:bidi="fa-IR"/>
          <w:color w:val="111111"/>
          <w:sz w:val="28"/>
          <w:szCs w:val="28"/>
          <w:rtl/>
        </w:rPr>
        <w:t xml:space="preserve">و هو ابن میر غلام علی ذکره فی (گلشن ص 17) و أورد شعره‏</w:t>
      </w:r>
    </w:p>
    <w:p>
      <w:pPr>
        <w:pStyle w:val="Heading3"/>
      </w:pPr>
      <w:bookmarkStart w:id="1668" w:name="_Toc364"/>
      <w:r>
        <w:t>دیوان الشیخ أحمد</w:t>
      </w:r>
      <w:bookmarkEnd w:id="1668"/>
    </w:p>
    <w:p>
      <w:pPr>
        <w:pStyle w:val="BookText"/>
      </w:pPr>
      <w:r>
        <w:rPr>
          <w:rFonts w:ascii="IRNazanin" w:hAnsi="IRNazanin" w:eastAsia="IRNazanin" w:cs="IRNazanin"/>
          <w:lang w:bidi="fa-IR"/>
          <w:color w:val="111111"/>
          <w:sz w:val="28"/>
          <w:szCs w:val="28"/>
          <w:rtl/>
        </w:rPr>
        <w:t xml:space="preserve">یأتی بعنوان دیوان شیخ‏زاده لاهیجی‏</w:t>
      </w:r>
    </w:p>
    <w:p>
      <w:pPr>
        <w:pStyle w:val="Heading3"/>
      </w:pPr>
      <w:bookmarkStart w:id="1669" w:name="_Toc365"/>
      <w:r>
        <w:t>311- دیوان الشیخ أحمد بن الشیخ حسن النحوی‏</w:t>
      </w:r>
      <w:bookmarkEnd w:id="1669"/>
    </w:p>
    <w:p>
      <w:pPr>
        <w:pStyle w:val="BookText"/>
      </w:pPr>
      <w:r>
        <w:rPr>
          <w:rFonts w:ascii="IRNazanin" w:hAnsi="IRNazanin" w:eastAsia="IRNazanin" w:cs="IRNazanin"/>
          <w:lang w:bidi="fa-IR"/>
          <w:color w:val="111111"/>
          <w:sz w:val="28"/>
          <w:szCs w:val="28"/>
          <w:rtl/>
        </w:rPr>
        <w:t xml:space="preserve">المقیم بالنجف تارة و بالحلة أخری و توفی (1183) کان من العلماء الأدباء و معاصرا للسید نصر الله المدرس الحائری و مقرظا للقصیدة الکراریة للشیخ شریف الکاظمی التی نظمها (1166) و الناظم عند ذکر ما نظمه‏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5" w:name="pg11704_121532"/>
    <w:bookmarkEnd w:id="55"/>
    <w:p>
      <w:pPr>
        <w:pStyle w:val="BookText"/>
      </w:pPr>
      <w:r>
        <w:rPr>
          <w:rFonts w:ascii="IRNazanin" w:hAnsi="IRNazanin" w:eastAsia="IRNazanin" w:cs="IRNazanin"/>
          <w:lang w:bidi="fa-IR"/>
          <w:color w:val="111111"/>
          <w:sz w:val="28"/>
          <w:szCs w:val="28"/>
          <w:rtl/>
        </w:rPr>
        <w:t xml:space="preserve">الأدباء من التقریظات لنظمه قدم تقریظ النحوی علی تقریظ المدرس الحائری و قد جمع دیوان شعر الشیخ أحمد النحوی الشیخ محمد بن طاهر السماوی المتوفی (1370) و رتبه فی قسمین أولهما فی التخمیسات و ثانیهما فی المساجلات و غیرها فی قرب خمسین صفحة أکثر من ألف بیت کتبه بخطه فی مجلد، و بعد موته اشتراه الشیخ محمد علی یعقوب الخطیب النجفی، و ترجمه فی (ص 163) من الجزء الأول من کتابه البابلیات المطبوع و ترجم الشیخ أحمد النحوی و دون شعره أیضا الشیخ علی الخاقانی فی (ج 1) من شعراء الحلة إلی نیف و ستین صفحة و أورد من شعره کلما ظفر به و عبر عنه بدیوان النحوی و عده من المصادر المخطوطة لکتابه شعراء الحلة أو البابلیات‏</w:t>
      </w:r>
    </w:p>
    <w:p>
      <w:pPr>
        <w:pStyle w:val="Heading3"/>
      </w:pPr>
      <w:bookmarkStart w:id="1670" w:name="_Toc366"/>
      <w:r>
        <w:t>312- دیوان السید أحمد</w:t>
      </w:r>
      <w:bookmarkEnd w:id="1670"/>
    </w:p>
    <w:p>
      <w:pPr>
        <w:pStyle w:val="BookText"/>
      </w:pPr>
      <w:r>
        <w:rPr>
          <w:rFonts w:ascii="IRNazanin" w:hAnsi="IRNazanin" w:eastAsia="IRNazanin" w:cs="IRNazanin"/>
          <w:lang w:bidi="fa-IR"/>
          <w:color w:val="111111"/>
          <w:sz w:val="28"/>
          <w:szCs w:val="28"/>
          <w:rtl/>
        </w:rPr>
        <w:t xml:space="preserve">ابن السید رضا بن السید محمد الموسوی الهندی النجفی، مؤلف قصص الأنبیاء المطبوع و طبع فی ذکری السید ماجد قصیدة تأبینیة منه فی (69 ص) بالنجف‏</w:t>
      </w:r>
    </w:p>
    <w:p>
      <w:pPr>
        <w:pStyle w:val="Heading3"/>
      </w:pPr>
      <w:bookmarkStart w:id="1671" w:name="_Toc367"/>
      <w:r>
        <w:t>313- دیوان الشیخ أحمد</w:t>
      </w:r>
      <w:bookmarkEnd w:id="1671"/>
    </w:p>
    <w:p>
      <w:pPr>
        <w:pStyle w:val="BookText"/>
      </w:pPr>
      <w:r>
        <w:rPr>
          <w:rFonts w:ascii="IRNazanin" w:hAnsi="IRNazanin" w:eastAsia="IRNazanin" w:cs="IRNazanin"/>
          <w:lang w:bidi="fa-IR"/>
          <w:color w:val="111111"/>
          <w:sz w:val="28"/>
          <w:szCs w:val="28"/>
          <w:rtl/>
        </w:rPr>
        <w:t xml:space="preserve">ابن الشیخ عبد السلام البحرانی المعاصر للمولی محمد تقی المجلسی الذی توفی بأصفهان (1070) و توفی الشیخ أحمد هذا بشیراز، و دفن بمشهد علاء الدین حسین کما ذکره الشیخ سلیمان بن عبد الله الماحوزی المتوفی (1121) فی رسالته فی تاریخ علماء البحرین، و قال [إنی رأیت الدیوان عند ولده الصالح الفاضل صاحبنا الشیخ حسن و شعره لیس فی مرتبة إنشائه‏] أقول مراده أن کتاب خطبه الذی مر فی حرف الخاء (ج 7 ص 183- 184) أحسن من دیوانه‏</w:t>
      </w:r>
    </w:p>
    <w:p>
      <w:pPr>
        <w:pStyle w:val="Heading3"/>
      </w:pPr>
      <w:bookmarkStart w:id="1672" w:name="_Toc368"/>
      <w:r>
        <w:t>دیوان أحمد بن عبد الله النوبختی‏</w:t>
      </w:r>
      <w:bookmarkEnd w:id="1672"/>
    </w:p>
    <w:p>
      <w:pPr>
        <w:pStyle w:val="BookText"/>
      </w:pPr>
      <w:r>
        <w:rPr>
          <w:rFonts w:ascii="IRNazanin" w:hAnsi="IRNazanin" w:eastAsia="IRNazanin" w:cs="IRNazanin"/>
          <w:lang w:bidi="fa-IR"/>
          <w:color w:val="111111"/>
          <w:sz w:val="28"/>
          <w:szCs w:val="28"/>
          <w:rtl/>
        </w:rPr>
        <w:t xml:space="preserve">فی مائة ورقة مر بعنوان دیوان ابن نوبخت‏</w:t>
      </w:r>
    </w:p>
    <w:p>
      <w:pPr>
        <w:pStyle w:val="Heading3"/>
      </w:pPr>
      <w:bookmarkStart w:id="1673" w:name="_Toc369"/>
      <w:r>
        <w:t>314- دیوان السید أحمد</w:t>
      </w:r>
      <w:bookmarkEnd w:id="1673"/>
    </w:p>
    <w:p>
      <w:pPr>
        <w:pStyle w:val="BookText"/>
      </w:pPr>
      <w:r>
        <w:rPr>
          <w:rFonts w:ascii="IRNazanin" w:hAnsi="IRNazanin" w:eastAsia="IRNazanin" w:cs="IRNazanin"/>
          <w:lang w:bidi="fa-IR"/>
          <w:color w:val="111111"/>
          <w:sz w:val="28"/>
          <w:szCs w:val="28"/>
          <w:rtl/>
        </w:rPr>
        <w:t xml:space="preserve">ابن السید محمد بن علی بن سیف الدین الحسنی الحسینی البغدادی العالم الشهیر بالسید أحمد العطار لوقوع داره فی بغداد بسوق العطارین کان من تلامیذ السید بحر العلوم و مر له التحقیق فی أصول الفقه فی (ج 3 ص 480) کبیر زهاء خمسة آلاف بیت توجد عند أحفاده و غیرهم‏</w:t>
      </w:r>
    </w:p>
    <w:p>
      <w:pPr>
        <w:pStyle w:val="Heading3"/>
      </w:pPr>
      <w:bookmarkStart w:id="1674" w:name="_Toc370"/>
      <w:r>
        <w:t>315- دیوان أحمد</w:t>
      </w:r>
      <w:bookmarkEnd w:id="1674"/>
    </w:p>
    <w:p>
      <w:pPr>
        <w:pStyle w:val="BookText"/>
      </w:pPr>
      <w:r>
        <w:rPr>
          <w:rFonts w:ascii="IRNazanin" w:hAnsi="IRNazanin" w:eastAsia="IRNazanin" w:cs="IRNazanin"/>
          <w:lang w:bidi="fa-IR"/>
          <w:color w:val="111111"/>
          <w:sz w:val="28"/>
          <w:szCs w:val="28"/>
          <w:rtl/>
        </w:rPr>
        <w:t xml:space="preserve">ابن محمد التبریزی المؤرخ فی القرن الثامن له تاریخ النوادر و نظم شاهنشاه‏نامه من عهد یافث بن نوح إلی (738) باسم السلطان أبو سعید خان بهادر نقل بعضه فی (دجا- ص 32)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6" w:name="pg11704_121533"/>
    <w:bookmarkEnd w:id="56"/>
    <w:p>
      <w:pPr>
        <w:pStyle w:val="Heading3"/>
      </w:pPr>
      <w:bookmarkStart w:id="1675" w:name="_Toc371"/>
      <w:r>
        <w:t>316- دیوان السید أحمد</w:t>
      </w:r>
      <w:bookmarkEnd w:id="1675"/>
    </w:p>
    <w:p>
      <w:pPr>
        <w:pStyle w:val="BookText"/>
      </w:pPr>
      <w:r>
        <w:rPr>
          <w:rFonts w:ascii="IRNazanin" w:hAnsi="IRNazanin" w:eastAsia="IRNazanin" w:cs="IRNazanin"/>
          <w:lang w:bidi="fa-IR"/>
          <w:color w:val="111111"/>
          <w:sz w:val="28"/>
          <w:szCs w:val="28"/>
          <w:rtl/>
        </w:rPr>
        <w:t xml:space="preserve">بن السید مطلب بن علی خان بن خلف بن عبد المطلب المشعشعی الحویزی، کان معاصرا للسید عبد الله الجزائری، و کان عالما ورعا أدیبا لم یتداخل فی شی‏ء من أمر إخوته ولاة الحویزة. و فی جواب مسائله کتب السید عبد الله الذخیرة الأبدیة کما کتب السید عبد الله کاشفة الحال فی معرفة القبلة و الزوال باسم أخیه السید علی خان الصغیر بن مطلب بن علی خان بن خلف. و ترجمه السید عبد الله فی إجازته الکبیرة التی کتبها (1168) و یظهر منها وفاته قبل التاریخ.</w:t>
      </w:r>
    </w:p>
    <w:p>
      <w:pPr>
        <w:pStyle w:val="Heading3"/>
      </w:pPr>
      <w:bookmarkStart w:id="1676" w:name="_Toc372"/>
      <w:r>
        <w:t>دیوان السید نظام الدین أحمد بن معصوم‏</w:t>
      </w:r>
      <w:bookmarkEnd w:id="1676"/>
    </w:p>
    <w:p>
      <w:pPr>
        <w:pStyle w:val="BookText"/>
      </w:pPr>
      <w:r>
        <w:rPr>
          <w:rFonts w:ascii="IRNazanin" w:hAnsi="IRNazanin" w:eastAsia="IRNazanin" w:cs="IRNazanin"/>
          <w:lang w:bidi="fa-IR"/>
          <w:color w:val="111111"/>
          <w:sz w:val="28"/>
          <w:szCs w:val="28"/>
          <w:rtl/>
        </w:rPr>
        <w:t xml:space="preserve">یأتی بعنوان دیوان السید أحمد الدشتکی.</w:t>
      </w:r>
    </w:p>
    <w:p>
      <w:pPr>
        <w:pStyle w:val="Heading3"/>
      </w:pPr>
      <w:bookmarkStart w:id="1677" w:name="_Toc373"/>
      <w:r>
        <w:t>317- دیوان الأمیر الأدیب‏</w:t>
      </w:r>
      <w:bookmarkEnd w:id="1677"/>
    </w:p>
    <w:p>
      <w:pPr>
        <w:pStyle w:val="BookText"/>
      </w:pPr>
      <w:r>
        <w:rPr>
          <w:rFonts w:ascii="IRNazanin" w:hAnsi="IRNazanin" w:eastAsia="IRNazanin" w:cs="IRNazanin"/>
          <w:lang w:bidi="fa-IR"/>
          <w:color w:val="111111"/>
          <w:sz w:val="28"/>
          <w:szCs w:val="28"/>
          <w:rtl/>
        </w:rPr>
        <w:t xml:space="preserve">الشیخ أحمد بن الشیخ مهدی بن أحمد بن نصر الله آل أبی السعود الخطی القطیفی المتوفی (ع 1- 1306) و هو فی أربع مجلدات ضخام کما ذکره فی أنوار البدرین.</w:t>
      </w:r>
    </w:p>
    <w:p>
      <w:pPr>
        <w:pStyle w:val="Heading3"/>
      </w:pPr>
      <w:bookmarkStart w:id="1678" w:name="_Toc374"/>
      <w:r>
        <w:t>دیوان أحمد أصفهانی‏</w:t>
      </w:r>
      <w:bookmarkEnd w:id="1678"/>
    </w:p>
    <w:p>
      <w:pPr>
        <w:pStyle w:val="BookText"/>
      </w:pPr>
      <w:r>
        <w:rPr>
          <w:rFonts w:ascii="IRNazanin" w:hAnsi="IRNazanin" w:eastAsia="IRNazanin" w:cs="IRNazanin"/>
          <w:lang w:bidi="fa-IR"/>
          <w:color w:val="111111"/>
          <w:sz w:val="28"/>
          <w:szCs w:val="28"/>
          <w:rtl/>
        </w:rPr>
        <w:t xml:space="preserve">یأتی بعنوان دیوان هاتف.</w:t>
      </w:r>
    </w:p>
    <w:p>
      <w:pPr>
        <w:pStyle w:val="Heading3"/>
      </w:pPr>
      <w:bookmarkStart w:id="1679" w:name="_Toc375"/>
      <w:r>
        <w:t>318- دیوان أحمد أطعمه الشیرازی‏</w:t>
      </w:r>
      <w:bookmarkEnd w:id="1679"/>
    </w:p>
    <w:p>
      <w:pPr>
        <w:pStyle w:val="BookText"/>
      </w:pPr>
      <w:r>
        <w:rPr>
          <w:rFonts w:ascii="IRNazanin" w:hAnsi="IRNazanin" w:eastAsia="IRNazanin" w:cs="IRNazanin"/>
          <w:lang w:bidi="fa-IR"/>
          <w:color w:val="111111"/>
          <w:sz w:val="28"/>
          <w:szCs w:val="28"/>
          <w:rtl/>
        </w:rPr>
        <w:t xml:space="preserve">ذکره حبیب الله الأصفهانی فی مقدمه طبع دیوان بسحاق أطعمه بأستانبول، و قال إنه متداول معروف و لکن شعر بسحاق أحسن منه و أسجم. (أقول) و قد أورد کثیرا من أشعاره فی مجمع الفرس لسروری.</w:t>
      </w:r>
    </w:p>
    <w:p>
      <w:pPr>
        <w:pStyle w:val="Heading3"/>
      </w:pPr>
      <w:bookmarkStart w:id="1680" w:name="_Toc376"/>
      <w:r>
        <w:t>319- دیوان أحمد بیگ أصفهانی أو شعره‏</w:t>
      </w:r>
      <w:bookmarkEnd w:id="1680"/>
    </w:p>
    <w:p>
      <w:pPr>
        <w:pStyle w:val="BookText"/>
      </w:pPr>
      <w:r>
        <w:rPr>
          <w:rFonts w:ascii="IRNazanin" w:hAnsi="IRNazanin" w:eastAsia="IRNazanin" w:cs="IRNazanin"/>
          <w:lang w:bidi="fa-IR"/>
          <w:color w:val="111111"/>
          <w:sz w:val="28"/>
          <w:szCs w:val="28"/>
          <w:rtl/>
        </w:rPr>
        <w:t xml:space="preserve">ذکر شعره فی (گلشن ص 18) و قال:</w:t>
      </w:r>
    </w:p>
    <w:p>
      <w:pPr>
        <w:pStyle w:val="BookText"/>
      </w:pPr>
      <w:r>
        <w:rPr>
          <w:rFonts w:ascii="IRNazanin" w:hAnsi="IRNazanin" w:eastAsia="IRNazanin" w:cs="IRNazanin"/>
          <w:lang w:bidi="fa-IR"/>
          <w:color w:val="111111"/>
          <w:sz w:val="28"/>
          <w:szCs w:val="28"/>
          <w:rtl/>
        </w:rPr>
        <w:t xml:space="preserve">جاء إلی بنگاله و ذهب إلی شاه جهان‏آباد و تقرب عند شاه‏جهان پادشاه.</w:t>
      </w:r>
    </w:p>
    <w:p>
      <w:pPr>
        <w:pStyle w:val="Heading3"/>
      </w:pPr>
      <w:bookmarkStart w:id="1681" w:name="_Toc377"/>
      <w:r>
        <w:t>320- دیوان أحمد بیک التبریزی أو شعره‏</w:t>
      </w:r>
      <w:bookmarkEnd w:id="1681"/>
    </w:p>
    <w:p>
      <w:pPr>
        <w:pStyle w:val="BookText"/>
      </w:pPr>
      <w:r>
        <w:rPr>
          <w:rFonts w:ascii="IRNazanin" w:hAnsi="IRNazanin" w:eastAsia="IRNazanin" w:cs="IRNazanin"/>
          <w:lang w:bidi="fa-IR"/>
          <w:color w:val="111111"/>
          <w:sz w:val="28"/>
          <w:szCs w:val="28"/>
          <w:rtl/>
        </w:rPr>
        <w:t xml:space="preserve">و هو أخ المیرزا محمد المجذوب الآتی فی المیم. ترجمهما النصرآبادی فی (نر- ص 193) و أورد شعرهما.</w:t>
      </w:r>
    </w:p>
    <w:p>
      <w:pPr>
        <w:pStyle w:val="Heading3"/>
      </w:pPr>
      <w:bookmarkStart w:id="1682" w:name="_Toc378"/>
      <w:r>
        <w:t>دیوان خان أحمد پادشاه‏</w:t>
      </w:r>
      <w:bookmarkEnd w:id="1682"/>
    </w:p>
    <w:p>
      <w:pPr>
        <w:pStyle w:val="BookText"/>
      </w:pPr>
      <w:r>
        <w:rPr>
          <w:rFonts w:ascii="IRNazanin" w:hAnsi="IRNazanin" w:eastAsia="IRNazanin" w:cs="IRNazanin"/>
          <w:lang w:bidi="fa-IR"/>
          <w:color w:val="111111"/>
          <w:sz w:val="28"/>
          <w:szCs w:val="28"/>
          <w:rtl/>
        </w:rPr>
        <w:t xml:space="preserve">یأتی فی الخاء.</w:t>
      </w:r>
    </w:p>
    <w:p>
      <w:pPr>
        <w:pStyle w:val="Heading3"/>
      </w:pPr>
      <w:bookmarkStart w:id="1683" w:name="_Toc379"/>
      <w:r>
        <w:t>دیوان السید أحمد الپیشاوری‏</w:t>
      </w:r>
      <w:bookmarkEnd w:id="1683"/>
    </w:p>
    <w:p>
      <w:pPr>
        <w:pStyle w:val="BookText"/>
      </w:pPr>
      <w:r>
        <w:rPr>
          <w:rFonts w:ascii="IRNazanin" w:hAnsi="IRNazanin" w:eastAsia="IRNazanin" w:cs="IRNazanin"/>
          <w:lang w:bidi="fa-IR"/>
          <w:color w:val="111111"/>
          <w:sz w:val="28"/>
          <w:szCs w:val="28"/>
          <w:rtl/>
        </w:rPr>
        <w:t xml:space="preserve">یأتی بعنوان دیوان الپیشاوری.</w:t>
      </w:r>
    </w:p>
    <w:p>
      <w:pPr>
        <w:pStyle w:val="Heading3"/>
      </w:pPr>
      <w:bookmarkStart w:id="1684" w:name="_Toc380"/>
      <w:r>
        <w:t>دیوان أحمد جام‏</w:t>
      </w:r>
      <w:bookmarkEnd w:id="1684"/>
    </w:p>
    <w:p>
      <w:pPr>
        <w:pStyle w:val="BookText"/>
      </w:pPr>
      <w:r>
        <w:rPr>
          <w:rFonts w:ascii="IRNazanin" w:hAnsi="IRNazanin" w:eastAsia="IRNazanin" w:cs="IRNazanin"/>
          <w:lang w:bidi="fa-IR"/>
          <w:color w:val="111111"/>
          <w:sz w:val="28"/>
          <w:szCs w:val="28"/>
          <w:rtl/>
        </w:rPr>
        <w:t xml:space="preserve">یأتی بعنوان دیوان جامی أحمد.</w:t>
      </w:r>
    </w:p>
    <w:p>
      <w:pPr>
        <w:pStyle w:val="Heading3"/>
      </w:pPr>
      <w:bookmarkStart w:id="1685" w:name="_Toc381"/>
      <w:r>
        <w:t>321- دیوان أحمد جلایر أو شعره‏</w:t>
      </w:r>
      <w:bookmarkEnd w:id="1685"/>
    </w:p>
    <w:p>
      <w:pPr>
        <w:pStyle w:val="BookText"/>
      </w:pPr>
      <w:r>
        <w:rPr>
          <w:rFonts w:ascii="IRNazanin" w:hAnsi="IRNazanin" w:eastAsia="IRNazanin" w:cs="IRNazanin"/>
          <w:lang w:bidi="fa-IR"/>
          <w:color w:val="111111"/>
          <w:sz w:val="28"/>
          <w:szCs w:val="28"/>
          <w:rtl/>
        </w:rPr>
        <w:t xml:space="preserve">و هو السلطان أحمد بن السلطان أویس بن الشیخ حسن النویان المقتول (808). ترجمه فی (مع- 1: 8) و (دجا: 30).</w:t>
      </w:r>
    </w:p>
    <w:p>
      <w:pPr>
        <w:pStyle w:val="Heading3"/>
      </w:pPr>
      <w:bookmarkStart w:id="1686" w:name="_Toc382"/>
      <w:r>
        <w:t>322- دیوان أحمدچه رازی أو شعره‏</w:t>
      </w:r>
      <w:bookmarkEnd w:id="1686"/>
    </w:p>
    <w:p>
      <w:pPr>
        <w:pStyle w:val="BookText"/>
      </w:pPr>
      <w:r>
        <w:rPr>
          <w:rFonts w:ascii="IRNazanin" w:hAnsi="IRNazanin" w:eastAsia="IRNazanin" w:cs="IRNazanin"/>
          <w:lang w:bidi="fa-IR"/>
          <w:color w:val="111111"/>
          <w:sz w:val="28"/>
          <w:szCs w:val="28"/>
          <w:rtl/>
        </w:rPr>
        <w:t xml:space="preserve">عده من شعراء الشیعة فی کتاب بعض مثالب النواصب- ص 239.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7" w:name="pg11704_121534"/>
    <w:bookmarkEnd w:id="57"/>
    <w:p>
      <w:pPr>
        <w:pStyle w:val="Heading3"/>
      </w:pPr>
      <w:bookmarkStart w:id="1687" w:name="_Toc383"/>
      <w:r>
        <w:t>323- دیوان النواب السید أحمد حسن خان بن النواب أحمد خان الحسینی الصادقی الکابلی‏</w:t>
      </w:r>
      <w:bookmarkEnd w:id="1687"/>
    </w:p>
    <w:p>
      <w:pPr>
        <w:pStyle w:val="BookText"/>
      </w:pPr>
      <w:r>
        <w:rPr>
          <w:rFonts w:ascii="IRNazanin" w:hAnsi="IRNazanin" w:eastAsia="IRNazanin" w:cs="IRNazanin"/>
          <w:lang w:bidi="fa-IR"/>
          <w:color w:val="111111"/>
          <w:sz w:val="28"/>
          <w:szCs w:val="28"/>
          <w:rtl/>
        </w:rPr>
        <w:t xml:space="preserve">أخ السید سجاد علی خان، کان نزیل بغداد أخیرا إلی أن توفی حدود (1340) و هو فارسی کبیر رأیت نسخته.</w:t>
      </w:r>
    </w:p>
    <w:p>
      <w:pPr>
        <w:pStyle w:val="Heading3"/>
      </w:pPr>
      <w:bookmarkStart w:id="1688" w:name="_Toc384"/>
      <w:r>
        <w:t>دیوان أحمدی أو شعره‏</w:t>
      </w:r>
      <w:bookmarkEnd w:id="1688"/>
    </w:p>
    <w:p>
      <w:pPr>
        <w:pStyle w:val="BookText"/>
      </w:pPr>
      <w:r>
        <w:rPr>
          <w:rFonts w:ascii="IRNazanin" w:hAnsi="IRNazanin" w:eastAsia="IRNazanin" w:cs="IRNazanin"/>
          <w:lang w:bidi="fa-IR"/>
          <w:color w:val="111111"/>
          <w:sz w:val="28"/>
          <w:szCs w:val="28"/>
          <w:rtl/>
        </w:rPr>
        <w:t xml:space="preserve">و هو من أحفاد أمیر کیا ملاطی الحسنی. رشحة الشاه إسماعیل الثانی لحکومة گیلان. و فی عصر الشاه عباس فر إلی النجف و مات هناک فی (920) کما ذکره فی (گلشن: 18) و (تغ: 10).</w:t>
      </w:r>
    </w:p>
    <w:p>
      <w:pPr>
        <w:pStyle w:val="Heading3"/>
      </w:pPr>
      <w:bookmarkStart w:id="1689" w:name="_Toc385"/>
      <w:r>
        <w:t>324- دیوان میرزا أحمد خان الأصفهانی القومشهی أو شعره‏</w:t>
      </w:r>
      <w:bookmarkEnd w:id="1689"/>
    </w:p>
    <w:p>
      <w:pPr>
        <w:pStyle w:val="BookText"/>
      </w:pPr>
      <w:r>
        <w:rPr>
          <w:rFonts w:ascii="IRNazanin" w:hAnsi="IRNazanin" w:eastAsia="IRNazanin" w:cs="IRNazanin"/>
          <w:lang w:bidi="fa-IR"/>
          <w:color w:val="111111"/>
          <w:sz w:val="28"/>
          <w:szCs w:val="28"/>
          <w:rtl/>
        </w:rPr>
        <w:t xml:space="preserve">و هو أخ المیرزا سعید، و هما من الوزراء. ترجمها النصرآبادی فی (نر- ص 77) و أورد شعرهما.</w:t>
      </w:r>
    </w:p>
    <w:p>
      <w:pPr>
        <w:pStyle w:val="Heading3"/>
      </w:pPr>
      <w:bookmarkStart w:id="1690" w:name="_Toc386"/>
      <w:r>
        <w:t>325- دیوان أحمد خان بیک الأفشار أو شعره‏</w:t>
      </w:r>
      <w:bookmarkEnd w:id="1690"/>
    </w:p>
    <w:p>
      <w:pPr>
        <w:pStyle w:val="BookText"/>
      </w:pPr>
      <w:r>
        <w:rPr>
          <w:rFonts w:ascii="IRNazanin" w:hAnsi="IRNazanin" w:eastAsia="IRNazanin" w:cs="IRNazanin"/>
          <w:lang w:bidi="fa-IR"/>
          <w:color w:val="111111"/>
          <w:sz w:val="28"/>
          <w:szCs w:val="28"/>
          <w:rtl/>
        </w:rPr>
        <w:t xml:space="preserve">و هو أخ القاسم خان بیک الأفشار ترجمه النصرآبادی فی (نر- ص 34) و أورد شعره، و قال فی (تغ: 10) جاء إلی الهند و مات (1042) و کان یلقب بلنگ و أصله رازی.</w:t>
      </w:r>
    </w:p>
    <w:p>
      <w:pPr>
        <w:pStyle w:val="Heading3"/>
      </w:pPr>
      <w:bookmarkStart w:id="1691" w:name="_Toc387"/>
      <w:r>
        <w:t>326- دیوان الشیخ أحمد الخلخالی أو شعره‏</w:t>
      </w:r>
      <w:bookmarkEnd w:id="1691"/>
    </w:p>
    <w:p>
      <w:pPr>
        <w:pStyle w:val="BookText"/>
      </w:pPr>
      <w:r>
        <w:rPr>
          <w:rFonts w:ascii="IRNazanin" w:hAnsi="IRNazanin" w:eastAsia="IRNazanin" w:cs="IRNazanin"/>
          <w:lang w:bidi="fa-IR"/>
          <w:color w:val="111111"/>
          <w:sz w:val="28"/>
          <w:szCs w:val="28"/>
          <w:rtl/>
        </w:rPr>
        <w:t xml:space="preserve">و هو المعاصر للصادقی ترجمه فی (خص- ص 262) و أطری فضله و أورد بعض مشهورات شعره.</w:t>
      </w:r>
    </w:p>
    <w:p>
      <w:pPr>
        <w:pStyle w:val="Heading3"/>
      </w:pPr>
      <w:bookmarkStart w:id="1692" w:name="_Toc388"/>
      <w:r>
        <w:t>دیوان أحمد خوانساری‏</w:t>
      </w:r>
      <w:bookmarkEnd w:id="1692"/>
    </w:p>
    <w:p>
      <w:pPr>
        <w:pStyle w:val="BookText"/>
      </w:pPr>
      <w:r>
        <w:rPr>
          <w:rFonts w:ascii="IRNazanin" w:hAnsi="IRNazanin" w:eastAsia="IRNazanin" w:cs="IRNazanin"/>
          <w:lang w:bidi="fa-IR"/>
          <w:color w:val="111111"/>
          <w:sz w:val="28"/>
          <w:szCs w:val="28"/>
          <w:rtl/>
        </w:rPr>
        <w:t xml:space="preserve">یأتی بعنوان دیوان (درویش أحمد خوانساری).</w:t>
      </w:r>
    </w:p>
    <w:p>
      <w:pPr>
        <w:pStyle w:val="Heading3"/>
      </w:pPr>
      <w:bookmarkStart w:id="1693" w:name="_Toc389"/>
      <w:r>
        <w:t>327- دیوان أحمد الدشتکی‏</w:t>
      </w:r>
      <w:bookmarkEnd w:id="1693"/>
    </w:p>
    <w:p>
      <w:pPr>
        <w:pStyle w:val="BookText"/>
      </w:pPr>
      <w:r>
        <w:rPr>
          <w:rFonts w:ascii="IRNazanin" w:hAnsi="IRNazanin" w:eastAsia="IRNazanin" w:cs="IRNazanin"/>
          <w:lang w:bidi="fa-IR"/>
          <w:color w:val="111111"/>
          <w:sz w:val="28"/>
          <w:szCs w:val="28"/>
          <w:rtl/>
        </w:rPr>
        <w:t xml:space="preserve">هو السید نظام الدین أحمد الدشتکی المتوفی (1085) ابن محمد معصوم الحسینی. و هو والد السید علی خان المدنی. ذکره فی أمل الآمل، و أورد شعره فی السلافة. و توجد نسخه من دیوانه فی إستانبول بمکتبة نور عثمانیة کما فی فهرسها.</w:t>
      </w:r>
    </w:p>
    <w:p>
      <w:pPr>
        <w:pStyle w:val="Heading3"/>
      </w:pPr>
      <w:bookmarkStart w:id="1694" w:name="_Toc390"/>
      <w:r>
        <w:t>دیوان أحمد دیلمی القزوینی‏</w:t>
      </w:r>
      <w:bookmarkEnd w:id="1694"/>
    </w:p>
    <w:p>
      <w:pPr>
        <w:pStyle w:val="BookText"/>
      </w:pPr>
      <w:r>
        <w:rPr>
          <w:rFonts w:ascii="IRNazanin" w:hAnsi="IRNazanin" w:eastAsia="IRNazanin" w:cs="IRNazanin"/>
          <w:lang w:bidi="fa-IR"/>
          <w:color w:val="111111"/>
          <w:sz w:val="28"/>
          <w:szCs w:val="28"/>
          <w:rtl/>
        </w:rPr>
        <w:t xml:space="preserve">. من الکتاب. ذکره معاصره سام میرزا فی (تس- ص 58) و أورد شعره و فی (گلشن- ص 18) و قال إنه من أحفاد مالک الأشتر. و کذا فی (تش- 223).</w:t>
      </w:r>
    </w:p>
    <w:p>
      <w:pPr>
        <w:pStyle w:val="Heading3"/>
      </w:pPr>
      <w:bookmarkStart w:id="1695" w:name="_Toc391"/>
      <w:r>
        <w:t>328- دیوان أحمد ساوجی أو شعره‏</w:t>
      </w:r>
      <w:bookmarkEnd w:id="1695"/>
    </w:p>
    <w:p>
      <w:pPr>
        <w:pStyle w:val="BookText"/>
      </w:pPr>
      <w:r>
        <w:rPr>
          <w:rFonts w:ascii="IRNazanin" w:hAnsi="IRNazanin" w:eastAsia="IRNazanin" w:cs="IRNazanin"/>
          <w:lang w:bidi="fa-IR"/>
          <w:color w:val="111111"/>
          <w:sz w:val="28"/>
          <w:szCs w:val="28"/>
          <w:rtl/>
        </w:rPr>
        <w:t xml:space="preserve">توجد شعره بخطه فی گنجینه گران‏مایه الموجود عند (فخر الدین).</w:t>
      </w:r>
    </w:p>
    <w:p>
      <w:pPr>
        <w:pStyle w:val="Heading3"/>
      </w:pPr>
      <w:bookmarkStart w:id="1696" w:name="_Toc392"/>
      <w:r>
        <w:t>دیوان أحمد السراج‏</w:t>
      </w:r>
      <w:bookmarkEnd w:id="1696"/>
    </w:p>
    <w:p>
      <w:pPr>
        <w:pStyle w:val="BookText"/>
      </w:pPr>
      <w:r>
        <w:rPr>
          <w:rFonts w:ascii="IRNazanin" w:hAnsi="IRNazanin" w:eastAsia="IRNazanin" w:cs="IRNazanin"/>
          <w:lang w:bidi="fa-IR"/>
          <w:color w:val="111111"/>
          <w:sz w:val="28"/>
          <w:szCs w:val="28"/>
          <w:rtl/>
        </w:rPr>
        <w:t xml:space="preserve">یأتی بعنوان دیوان سراج سبزواری.</w:t>
      </w:r>
    </w:p>
    <w:p>
      <w:pPr>
        <w:pStyle w:val="Heading3"/>
      </w:pPr>
      <w:bookmarkStart w:id="1697" w:name="_Toc393"/>
      <w:r>
        <w:t>دیوان أحمد سهیلی‏</w:t>
      </w:r>
      <w:bookmarkEnd w:id="1697"/>
    </w:p>
    <w:p>
      <w:pPr>
        <w:pStyle w:val="BookText"/>
      </w:pPr>
      <w:r>
        <w:rPr>
          <w:rFonts w:ascii="IRNazanin" w:hAnsi="IRNazanin" w:eastAsia="IRNazanin" w:cs="IRNazanin"/>
          <w:lang w:bidi="fa-IR"/>
          <w:color w:val="111111"/>
          <w:sz w:val="28"/>
          <w:szCs w:val="28"/>
          <w:rtl/>
        </w:rPr>
        <w:t xml:space="preserve">یأتی بعنوان دیوان سهیلی.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8" w:name="pg11704_121535"/>
    <w:bookmarkEnd w:id="58"/>
    <w:p>
      <w:pPr>
        <w:pStyle w:val="Heading3"/>
      </w:pPr>
      <w:bookmarkStart w:id="1698" w:name="_Toc394"/>
      <w:r>
        <w:t>329- دیوان أحمد شیرازی‏</w:t>
      </w:r>
      <w:bookmarkEnd w:id="1698"/>
    </w:p>
    <w:p>
      <w:pPr>
        <w:pStyle w:val="BookText"/>
      </w:pPr>
      <w:r>
        <w:rPr>
          <w:rFonts w:ascii="IRNazanin" w:hAnsi="IRNazanin" w:eastAsia="IRNazanin" w:cs="IRNazanin"/>
          <w:lang w:bidi="fa-IR"/>
          <w:color w:val="111111"/>
          <w:sz w:val="28"/>
          <w:szCs w:val="28"/>
          <w:rtl/>
        </w:rPr>
        <w:t xml:space="preserve">له سالارنامه فی تاریخ إیران، نظمه بأمر الشاه‏زاده عبد الحسین میرزا حاکم شیراز و طبع بأمره فی (1316) فی (455 ص) و علیه تقریظ لآسودة الشاعر المعاصر للناظم.</w:t>
      </w:r>
    </w:p>
    <w:p>
      <w:pPr>
        <w:pStyle w:val="Heading3"/>
      </w:pPr>
      <w:bookmarkStart w:id="1699" w:name="_Toc395"/>
      <w:r>
        <w:t>دیوان أحمد شیرازی‏</w:t>
      </w:r>
      <w:bookmarkEnd w:id="1699"/>
    </w:p>
    <w:p>
      <w:pPr>
        <w:pStyle w:val="BookText"/>
      </w:pPr>
      <w:r>
        <w:rPr>
          <w:rFonts w:ascii="IRNazanin" w:hAnsi="IRNazanin" w:eastAsia="IRNazanin" w:cs="IRNazanin"/>
          <w:lang w:bidi="fa-IR"/>
          <w:color w:val="111111"/>
          <w:sz w:val="28"/>
          <w:szCs w:val="28"/>
          <w:rtl/>
        </w:rPr>
        <w:t xml:space="preserve">یأتی بعنوان دیوان رسوا.</w:t>
      </w:r>
    </w:p>
    <w:p>
      <w:pPr>
        <w:pStyle w:val="Heading3"/>
      </w:pPr>
      <w:bookmarkStart w:id="1700" w:name="_Toc396"/>
      <w:r>
        <w:t>دیوان أحمد الصافی‏</w:t>
      </w:r>
      <w:bookmarkEnd w:id="1700"/>
    </w:p>
    <w:p>
      <w:pPr>
        <w:pStyle w:val="BookText"/>
      </w:pPr>
      <w:r>
        <w:rPr>
          <w:rFonts w:ascii="IRNazanin" w:hAnsi="IRNazanin" w:eastAsia="IRNazanin" w:cs="IRNazanin"/>
          <w:lang w:bidi="fa-IR"/>
          <w:color w:val="111111"/>
          <w:sz w:val="28"/>
          <w:szCs w:val="28"/>
          <w:rtl/>
        </w:rPr>
        <w:t xml:space="preserve">مر أحدها بعنوان الأمواج فی (ج 2 ص 351) و الآخر التیار فی (ج 4 ص 517).</w:t>
      </w:r>
    </w:p>
    <w:p>
      <w:pPr>
        <w:pStyle w:val="Heading3"/>
      </w:pPr>
      <w:bookmarkStart w:id="1701" w:name="_Toc397"/>
      <w:r>
        <w:t>دیوان أحمد الطهرانی‏</w:t>
      </w:r>
      <w:bookmarkEnd w:id="1701"/>
    </w:p>
    <w:p>
      <w:pPr>
        <w:pStyle w:val="BookText"/>
      </w:pPr>
      <w:r>
        <w:rPr>
          <w:rFonts w:ascii="IRNazanin" w:hAnsi="IRNazanin" w:eastAsia="IRNazanin" w:cs="IRNazanin"/>
          <w:lang w:bidi="fa-IR"/>
          <w:color w:val="111111"/>
          <w:sz w:val="28"/>
          <w:szCs w:val="28"/>
          <w:rtl/>
        </w:rPr>
        <w:t xml:space="preserve">یأتی بعنوان دیوان قانعی.</w:t>
      </w:r>
    </w:p>
    <w:p>
      <w:pPr>
        <w:pStyle w:val="Heading3"/>
      </w:pPr>
      <w:bookmarkStart w:id="1702" w:name="_Toc398"/>
      <w:r>
        <w:t>دیوان أحمد العطار</w:t>
      </w:r>
      <w:bookmarkEnd w:id="1702"/>
    </w:p>
    <w:p>
      <w:pPr>
        <w:pStyle w:val="BookText"/>
      </w:pPr>
      <w:r>
        <w:rPr>
          <w:rFonts w:ascii="IRNazanin" w:hAnsi="IRNazanin" w:eastAsia="IRNazanin" w:cs="IRNazanin"/>
          <w:lang w:bidi="fa-IR"/>
          <w:color w:val="111111"/>
          <w:sz w:val="28"/>
          <w:szCs w:val="28"/>
          <w:rtl/>
        </w:rPr>
        <w:t xml:space="preserve">مر بعنوان دیوان أحمد بن محمد العطار.</w:t>
      </w:r>
    </w:p>
    <w:p>
      <w:pPr>
        <w:pStyle w:val="Heading3"/>
      </w:pPr>
      <w:bookmarkStart w:id="1703" w:name="_Toc399"/>
      <w:r>
        <w:t>330- دیوان أحمد الغزالی‏</w:t>
      </w:r>
      <w:bookmarkEnd w:id="1703"/>
    </w:p>
    <w:p>
      <w:pPr>
        <w:pStyle w:val="BookText"/>
      </w:pPr>
      <w:r>
        <w:rPr>
          <w:rFonts w:ascii="IRNazanin" w:hAnsi="IRNazanin" w:eastAsia="IRNazanin" w:cs="IRNazanin"/>
          <w:lang w:bidi="fa-IR"/>
          <w:color w:val="111111"/>
          <w:sz w:val="28"/>
          <w:szCs w:val="28"/>
          <w:rtl/>
        </w:rPr>
        <w:t xml:space="preserve">المدفون بقزوین أخ حجة الإسلام محمد الغزالی. ترجمه فی النفحات- ص 336 و قال توفی (527) و دفن بقزوین. و ترجمه الحکیم شاه محمد القزوینی فی (مجن- ص 318) و ترجمه فی ریاض العارفین ص 59 و ذکر أن له سوانح العشاق نظما و نثرا ألفه لتلمیذه و مریده عین القضاة الهمدانی.</w:t>
      </w:r>
    </w:p>
    <w:p>
      <w:pPr>
        <w:pStyle w:val="Heading3"/>
      </w:pPr>
      <w:bookmarkStart w:id="1704" w:name="_Toc400"/>
      <w:r>
        <w:t>331- دیوان أحمد غفاری أو شعره‏</w:t>
      </w:r>
      <w:bookmarkEnd w:id="1704"/>
    </w:p>
    <w:p>
      <w:pPr>
        <w:pStyle w:val="BookText"/>
      </w:pPr>
      <w:r>
        <w:rPr>
          <w:rFonts w:ascii="IRNazanin" w:hAnsi="IRNazanin" w:eastAsia="IRNazanin" w:cs="IRNazanin"/>
          <w:lang w:bidi="fa-IR"/>
          <w:color w:val="111111"/>
          <w:sz w:val="28"/>
          <w:szCs w:val="28"/>
          <w:rtl/>
        </w:rPr>
        <w:t xml:space="preserve">. ذکره بیگدلی فی (تش- ص 223) و أورد شعره.</w:t>
      </w:r>
    </w:p>
    <w:p>
      <w:pPr>
        <w:pStyle w:val="Heading3"/>
      </w:pPr>
      <w:bookmarkStart w:id="1705" w:name="_Toc401"/>
      <w:r>
        <w:t>دیوان أحمد فکری‏</w:t>
      </w:r>
      <w:bookmarkEnd w:id="1705"/>
    </w:p>
    <w:p>
      <w:pPr>
        <w:pStyle w:val="BookText"/>
      </w:pPr>
      <w:r>
        <w:rPr>
          <w:rFonts w:ascii="IRNazanin" w:hAnsi="IRNazanin" w:eastAsia="IRNazanin" w:cs="IRNazanin"/>
          <w:lang w:bidi="fa-IR"/>
          <w:color w:val="111111"/>
          <w:sz w:val="28"/>
          <w:szCs w:val="28"/>
          <w:rtl/>
        </w:rPr>
        <w:t xml:space="preserve">یأتی بعنوان دیوان فکری همدانی.</w:t>
      </w:r>
    </w:p>
    <w:p>
      <w:pPr>
        <w:pStyle w:val="Heading3"/>
      </w:pPr>
      <w:bookmarkStart w:id="1706" w:name="_Toc402"/>
      <w:r>
        <w:t>332- دیوان أحمد کاسه‏گر</w:t>
      </w:r>
      <w:bookmarkEnd w:id="1706"/>
    </w:p>
    <w:p>
      <w:pPr>
        <w:pStyle w:val="BookText"/>
      </w:pPr>
      <w:r>
        <w:rPr>
          <w:rFonts w:ascii="IRNazanin" w:hAnsi="IRNazanin" w:eastAsia="IRNazanin" w:cs="IRNazanin"/>
          <w:lang w:bidi="fa-IR"/>
          <w:color w:val="111111"/>
          <w:sz w:val="28"/>
          <w:szCs w:val="28"/>
          <w:rtl/>
        </w:rPr>
        <w:t xml:space="preserve">ذکره فی (تغ: 9).</w:t>
      </w:r>
    </w:p>
    <w:p>
      <w:pPr>
        <w:pStyle w:val="Heading3"/>
      </w:pPr>
      <w:bookmarkStart w:id="1707" w:name="_Toc403"/>
      <w:r>
        <w:t>333- دیوان أحمد کاشی‏</w:t>
      </w:r>
      <w:bookmarkEnd w:id="1707"/>
    </w:p>
    <w:p>
      <w:pPr>
        <w:pStyle w:val="BookText"/>
      </w:pPr>
      <w:r>
        <w:rPr>
          <w:rFonts w:ascii="IRNazanin" w:hAnsi="IRNazanin" w:eastAsia="IRNazanin" w:cs="IRNazanin"/>
          <w:lang w:bidi="fa-IR"/>
          <w:color w:val="111111"/>
          <w:sz w:val="28"/>
          <w:szCs w:val="28"/>
          <w:rtl/>
        </w:rPr>
        <w:t xml:space="preserve">ابن أخ أمیدی الکاشانی ترجمه سام میرزا فی (تس- ص 176) و أورد شعره‏</w:t>
      </w:r>
    </w:p>
    <w:p>
      <w:pPr>
        <w:pStyle w:val="Heading3"/>
      </w:pPr>
      <w:bookmarkStart w:id="1708" w:name="_Toc404"/>
      <w:r>
        <w:t>334- دیوان أحمد الکافی أو شعره‏</w:t>
      </w:r>
      <w:bookmarkEnd w:id="1708"/>
    </w:p>
    <w:p>
      <w:pPr>
        <w:pStyle w:val="BookText"/>
      </w:pPr>
      <w:r>
        <w:rPr>
          <w:rFonts w:ascii="IRNazanin" w:hAnsi="IRNazanin" w:eastAsia="IRNazanin" w:cs="IRNazanin"/>
          <w:lang w:bidi="fa-IR"/>
          <w:color w:val="111111"/>
          <w:sz w:val="28"/>
          <w:szCs w:val="28"/>
          <w:rtl/>
        </w:rPr>
        <w:t xml:space="preserve">کان من تلامیذ میر حسین القاضی الکاشانی ذکره سام میرزا فی (تس: 156) و فی (تغ: 10) لقبه بفرید الدین‏</w:t>
      </w:r>
    </w:p>
    <w:p>
      <w:pPr>
        <w:pStyle w:val="Heading3"/>
      </w:pPr>
      <w:bookmarkStart w:id="1709" w:name="_Toc405"/>
      <w:r>
        <w:t>335 دیوان أحمد کمانچه أو شعره‏</w:t>
      </w:r>
      <w:bookmarkEnd w:id="1709"/>
    </w:p>
    <w:p>
      <w:pPr>
        <w:pStyle w:val="BookText"/>
      </w:pPr>
      <w:r>
        <w:rPr>
          <w:rFonts w:ascii="IRNazanin" w:hAnsi="IRNazanin" w:eastAsia="IRNazanin" w:cs="IRNazanin"/>
          <w:lang w:bidi="fa-IR"/>
          <w:color w:val="111111"/>
          <w:sz w:val="28"/>
          <w:szCs w:val="28"/>
          <w:rtl/>
        </w:rPr>
        <w:t xml:space="preserve">کان یعرف بأمیر قاضی و أخوه قاضی بیگ کان والیا علی دکن ذکره فی (گلشن ص 18) و قال جاء إلی الهند و تقرب عند أکبر شاه ثم عاد مع أخیه إلی إیران و تقرب عند الشاه عباس الأول کان متخصصا فی فن الموسیقی و بالأخص الکمانچه و بها اشتهر و مات (970)</w:t>
      </w:r>
    </w:p>
    <w:p>
      <w:pPr>
        <w:pStyle w:val="Heading3"/>
      </w:pPr>
      <w:bookmarkStart w:id="1710" w:name="_Toc406"/>
      <w:r>
        <w:t>336 دیوان أحمد مسلم‏</w:t>
      </w:r>
      <w:bookmarkEnd w:id="1710"/>
    </w:p>
    <w:p>
      <w:pPr>
        <w:pStyle w:val="BookText"/>
      </w:pPr>
      <w:r>
        <w:rPr>
          <w:rFonts w:ascii="IRNazanin" w:hAnsi="IRNazanin" w:eastAsia="IRNazanin" w:cs="IRNazanin"/>
          <w:lang w:bidi="fa-IR"/>
          <w:color w:val="111111"/>
          <w:sz w:val="28"/>
          <w:szCs w:val="28"/>
          <w:rtl/>
        </w:rPr>
        <w:t xml:space="preserve">توجد نسخه منه فی مکتبة داود چلبی بموصل کما فی‏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9" w:name="pg11704_121536"/>
    <w:bookmarkEnd w:id="59"/>
    <w:p>
      <w:pPr>
        <w:pStyle w:val="BookText"/>
      </w:pPr>
      <w:r>
        <w:rPr>
          <w:rFonts w:ascii="IRNazanin" w:hAnsi="IRNazanin" w:eastAsia="IRNazanin" w:cs="IRNazanin"/>
          <w:lang w:bidi="fa-IR"/>
          <w:color w:val="111111"/>
          <w:sz w:val="28"/>
          <w:szCs w:val="28"/>
          <w:rtl/>
        </w:rPr>
        <w:t xml:space="preserve">فهرسها (ص 267) قال و شعره فی التصوف و مدیح السید أحمد الرفاعی و النبی  صلی الله علیه و آله  و غیره‏</w:t>
      </w:r>
    </w:p>
    <w:p>
      <w:pPr>
        <w:pStyle w:val="Heading3"/>
      </w:pPr>
      <w:bookmarkStart w:id="1711" w:name="_Toc407"/>
      <w:r>
        <w:t>337 دیوان أحمد المداح السلماسی‏</w:t>
      </w:r>
      <w:bookmarkEnd w:id="1711"/>
    </w:p>
    <w:p>
      <w:pPr>
        <w:pStyle w:val="BookText"/>
      </w:pPr>
      <w:r>
        <w:rPr>
          <w:rFonts w:ascii="IRNazanin" w:hAnsi="IRNazanin" w:eastAsia="IRNazanin" w:cs="IRNazanin"/>
          <w:lang w:bidi="fa-IR"/>
          <w:color w:val="111111"/>
          <w:sz w:val="28"/>
          <w:szCs w:val="28"/>
          <w:rtl/>
        </w:rPr>
        <w:t xml:space="preserve">له فی مدح الشیخ صفی الأردبیلی جد الصفویة مائة و أربع عشرة قصیدة ترجمه فی (دجا- ص 35) نقلا عن صفوة الصفا</w:t>
      </w:r>
    </w:p>
    <w:p>
      <w:pPr>
        <w:pStyle w:val="Heading3"/>
      </w:pPr>
      <w:bookmarkStart w:id="1712" w:name="_Toc408"/>
      <w:r>
        <w:t>338 دیوان السید أحمد میرزا</w:t>
      </w:r>
      <w:bookmarkEnd w:id="1712"/>
    </w:p>
    <w:p>
      <w:pPr>
        <w:pStyle w:val="BookText"/>
      </w:pPr>
      <w:r>
        <w:rPr>
          <w:rFonts w:ascii="IRNazanin" w:hAnsi="IRNazanin" w:eastAsia="IRNazanin" w:cs="IRNazanin"/>
          <w:lang w:bidi="fa-IR"/>
          <w:color w:val="111111"/>
          <w:sz w:val="28"/>
          <w:szCs w:val="28"/>
          <w:rtl/>
        </w:rPr>
        <w:t xml:space="preserve">السلطان السلیم النفس و الطبع غزلیاته و مثنویاته مشهورة ترجمه فی (لط- ص 126) و أورد شعره الترکی و الفارسی‏</w:t>
      </w:r>
    </w:p>
    <w:p>
      <w:pPr>
        <w:pStyle w:val="Heading3"/>
      </w:pPr>
      <w:bookmarkStart w:id="1713" w:name="_Toc409"/>
      <w:r>
        <w:t>339 دیوان السید أحمدی الترک الکرمانی الکاسه‏گر أو شعره‏</w:t>
      </w:r>
      <w:bookmarkEnd w:id="1713"/>
    </w:p>
    <w:p>
      <w:pPr>
        <w:pStyle w:val="BookText"/>
      </w:pPr>
      <w:r>
        <w:rPr>
          <w:rFonts w:ascii="IRNazanin" w:hAnsi="IRNazanin" w:eastAsia="IRNazanin" w:cs="IRNazanin"/>
          <w:lang w:bidi="fa-IR"/>
          <w:color w:val="111111"/>
          <w:sz w:val="28"/>
          <w:szCs w:val="28"/>
          <w:rtl/>
        </w:rPr>
        <w:t xml:space="preserve">ترجمه النصرآبادی فی (نر- ص 148) و أورد رباعیته‏</w:t>
      </w:r>
    </w:p>
    <w:p>
      <w:pPr>
        <w:pStyle w:val="Heading3"/>
      </w:pPr>
      <w:bookmarkStart w:id="1714" w:name="_Toc410"/>
      <w:r>
        <w:t>340 دیوان أحمدی الشیرازی أو شعره‏</w:t>
      </w:r>
      <w:bookmarkEnd w:id="1714"/>
    </w:p>
    <w:p>
      <w:pPr>
        <w:pStyle w:val="BookText"/>
      </w:pPr>
      <w:r>
        <w:rPr>
          <w:rFonts w:ascii="IRNazanin" w:hAnsi="IRNazanin" w:eastAsia="IRNazanin" w:cs="IRNazanin"/>
          <w:lang w:bidi="fa-IR"/>
          <w:color w:val="111111"/>
          <w:sz w:val="28"/>
          <w:szCs w:val="28"/>
          <w:rtl/>
        </w:rPr>
        <w:t xml:space="preserve">ترجمه سام میرزا فی (تس- ص 154) و أورد شعره و قال إنه أکله جائع فی القحط</w:t>
      </w:r>
    </w:p>
    <w:p>
      <w:pPr>
        <w:pStyle w:val="Heading3"/>
      </w:pPr>
      <w:bookmarkStart w:id="1715" w:name="_Toc411"/>
      <w:r>
        <w:t>341 دیوان أحول‏</w:t>
      </w:r>
      <w:bookmarkEnd w:id="1715"/>
    </w:p>
    <w:p>
      <w:pPr>
        <w:pStyle w:val="BookText"/>
      </w:pPr>
      <w:r>
        <w:rPr>
          <w:rFonts w:ascii="IRNazanin" w:hAnsi="IRNazanin" w:eastAsia="IRNazanin" w:cs="IRNazanin"/>
          <w:lang w:bidi="fa-IR"/>
          <w:color w:val="111111"/>
          <w:sz w:val="28"/>
          <w:szCs w:val="28"/>
          <w:rtl/>
        </w:rPr>
        <w:t xml:space="preserve">توجد نسخته فی (الرضویة) کما فی فهرسها المخطوط</w:t>
      </w:r>
    </w:p>
    <w:p>
      <w:pPr>
        <w:pStyle w:val="Heading3"/>
      </w:pPr>
      <w:bookmarkStart w:id="1716" w:name="_Toc412"/>
      <w:r>
        <w:t>342 دیوان إحیاء الهمدانی أو شعره‏</w:t>
      </w:r>
      <w:bookmarkEnd w:id="1716"/>
    </w:p>
    <w:p>
      <w:pPr>
        <w:pStyle w:val="BookText"/>
      </w:pPr>
      <w:r>
        <w:rPr>
          <w:rFonts w:ascii="IRNazanin" w:hAnsi="IRNazanin" w:eastAsia="IRNazanin" w:cs="IRNazanin"/>
          <w:lang w:bidi="fa-IR"/>
          <w:color w:val="111111"/>
          <w:sz w:val="28"/>
          <w:szCs w:val="28"/>
          <w:rtl/>
        </w:rPr>
        <w:t xml:space="preserve">و هو المیرزا محمد هاشم الحکیم المدرس بمدرسة همدان و الشهید فی فتنة الأفغان ترجمه فی ریاض العارفین ص 282 و أورد رباعیته‏</w:t>
      </w:r>
    </w:p>
    <w:p>
      <w:pPr>
        <w:pStyle w:val="Heading3"/>
      </w:pPr>
      <w:bookmarkStart w:id="1717" w:name="_Toc413"/>
      <w:r>
        <w:t>343- دیوان الأخباری‏</w:t>
      </w:r>
      <w:bookmarkEnd w:id="1717"/>
    </w:p>
    <w:p>
      <w:pPr>
        <w:pStyle w:val="BookText"/>
      </w:pPr>
      <w:r>
        <w:rPr>
          <w:rFonts w:ascii="IRNazanin" w:hAnsi="IRNazanin" w:eastAsia="IRNazanin" w:cs="IRNazanin"/>
          <w:lang w:bidi="fa-IR"/>
          <w:color w:val="111111"/>
          <w:sz w:val="28"/>
          <w:szCs w:val="28"/>
          <w:rtl/>
        </w:rPr>
        <w:t xml:space="preserve">فارسی کبیر للمیرزا محمد بن عبد النبی الشهیر بالأخباری مؤلف دوائر العلوم المذکور فی (ج 8 ص 267)</w:t>
      </w:r>
    </w:p>
    <w:p>
      <w:pPr>
        <w:pStyle w:val="Heading3"/>
      </w:pPr>
      <w:bookmarkStart w:id="1718" w:name="_Toc414"/>
      <w:r>
        <w:t>344- دیوان الأخباری‏</w:t>
      </w:r>
      <w:bookmarkEnd w:id="1718"/>
    </w:p>
    <w:p>
      <w:pPr>
        <w:pStyle w:val="BookText"/>
      </w:pPr>
      <w:r>
        <w:rPr>
          <w:rFonts w:ascii="IRNazanin" w:hAnsi="IRNazanin" w:eastAsia="IRNazanin" w:cs="IRNazanin"/>
          <w:lang w:bidi="fa-IR"/>
          <w:color w:val="111111"/>
          <w:sz w:val="28"/>
          <w:szCs w:val="28"/>
          <w:rtl/>
        </w:rPr>
        <w:t xml:space="preserve">أیضا للمیرزا محمد المذکور لکنه عربی ذکره و ما قبله فی روضات الجنات و قال بعض تلامیذه فی کتابه محمی الحدید المؤلف (1242):</w:t>
      </w:r>
    </w:p>
    <w:p>
      <w:pPr>
        <w:pStyle w:val="BookText"/>
      </w:pPr>
      <w:r>
        <w:rPr>
          <w:rFonts w:ascii="IRNazanin" w:hAnsi="IRNazanin" w:eastAsia="IRNazanin" w:cs="IRNazanin"/>
          <w:lang w:bidi="fa-IR"/>
          <w:color w:val="111111"/>
          <w:sz w:val="28"/>
          <w:szCs w:val="28"/>
          <w:rtl/>
        </w:rPr>
        <w:t xml:space="preserve">[إن دیوان الأستاد لیس حاضرا عندی‏] لکنه أورد جملة من شعره نقلا عن تصانیفه، منها قوله فی تسلیة القلوب:</w:t>
      </w:r>
    </w:p>
    <w:p>
      <w:pPr>
        <w:pStyle w:val="BookText"/>
      </w:pPr>
      <w:r>
        <w:rPr>
          <w:rFonts w:ascii="IRNazanin" w:hAnsi="IRNazanin" w:eastAsia="IRNazanin" w:cs="IRNazanin"/>
          <w:lang w:bidi="fa-IR"/>
          <w:color w:val="111111"/>
          <w:sz w:val="28"/>
          <w:szCs w:val="28"/>
          <w:rtl/>
        </w:rPr>
        <w:t xml:space="preserve">میوه علم امام منتظر</w:t>
      </w:r>
    </w:p>
    <w:p>
      <w:pPr>
        <w:pStyle w:val="BookText"/>
      </w:pPr>
      <w:r>
        <w:rPr>
          <w:rFonts w:ascii="IRNazanin" w:hAnsi="IRNazanin" w:eastAsia="IRNazanin" w:cs="IRNazanin"/>
          <w:lang w:bidi="fa-IR"/>
          <w:color w:val="111111"/>
          <w:sz w:val="28"/>
          <w:szCs w:val="28"/>
          <w:rtl/>
        </w:rPr>
        <w:t xml:space="preserve">می‏رسد هر لحظه ما را تازه‏تر</w:t>
      </w:r>
    </w:p>
    <w:p>
      <w:pPr>
        <w:pStyle w:val="BookText"/>
      </w:pPr>
      <w:r>
        <w:rPr>
          <w:rFonts w:ascii="IRNazanin" w:hAnsi="IRNazanin" w:eastAsia="IRNazanin" w:cs="IRNazanin"/>
          <w:lang w:bidi="fa-IR"/>
          <w:color w:val="111111"/>
          <w:sz w:val="28"/>
          <w:szCs w:val="28"/>
          <w:rtl/>
        </w:rPr>
        <w:t xml:space="preserve">کوری چشم حسود و مدعی‏</w:t>
      </w:r>
    </w:p>
    <w:p>
      <w:pPr>
        <w:pStyle w:val="BookText"/>
      </w:pPr>
      <w:r>
        <w:rPr>
          <w:rFonts w:ascii="IRNazanin" w:hAnsi="IRNazanin" w:eastAsia="IRNazanin" w:cs="IRNazanin"/>
          <w:lang w:bidi="fa-IR"/>
          <w:color w:val="111111"/>
          <w:sz w:val="28"/>
          <w:szCs w:val="28"/>
          <w:rtl/>
        </w:rPr>
        <w:t xml:space="preserve">نیست ایشان را از این معنی خبر</w:t>
      </w:r>
    </w:p>
    <w:p>
      <w:pPr>
        <w:pStyle w:val="BookText"/>
      </w:pPr>
      <w:r>
        <w:rPr>
          <w:rFonts w:ascii="IRNazanin" w:hAnsi="IRNazanin" w:eastAsia="IRNazanin" w:cs="IRNazanin"/>
          <w:lang w:bidi="fa-IR"/>
          <w:color w:val="111111"/>
          <w:sz w:val="28"/>
          <w:szCs w:val="28"/>
          <w:rtl/>
        </w:rPr>
        <w:t xml:space="preserve">می‏توان در آب دیدن آفتاب‏</w:t>
      </w:r>
    </w:p>
    <w:p>
      <w:pPr>
        <w:pStyle w:val="BookText"/>
      </w:pPr>
      <w:r>
        <w:rPr>
          <w:rFonts w:ascii="IRNazanin" w:hAnsi="IRNazanin" w:eastAsia="IRNazanin" w:cs="IRNazanin"/>
          <w:lang w:bidi="fa-IR"/>
          <w:color w:val="111111"/>
          <w:sz w:val="28"/>
          <w:szCs w:val="28"/>
          <w:rtl/>
        </w:rPr>
        <w:t xml:space="preserve">نیک با شرط محاذات نظر</w:t>
      </w:r>
    </w:p>
    <w:p>
      <w:pPr>
        <w:pStyle w:val="BookText"/>
      </w:pPr>
      <w:r>
        <w:rPr>
          <w:rFonts w:ascii="IRNazanin" w:hAnsi="IRNazanin" w:eastAsia="IRNazanin" w:cs="IRNazanin"/>
          <w:lang w:bidi="fa-IR"/>
          <w:color w:val="111111"/>
          <w:sz w:val="28"/>
          <w:szCs w:val="28"/>
          <w:rtl/>
        </w:rPr>
        <w:t xml:space="preserve">و منها قوله فی المیمیة المذکورة فی قلع الأساس‏</w:t>
      </w:r>
    </w:p>
    <w:p>
      <w:pPr>
        <w:pStyle w:val="BookText"/>
      </w:pPr>
      <w:r>
        <w:rPr>
          <w:rFonts w:ascii="IRNazanin" w:hAnsi="IRNazanin" w:eastAsia="IRNazanin" w:cs="IRNazanin"/>
          <w:lang w:bidi="fa-IR"/>
          <w:color w:val="111111"/>
          <w:sz w:val="28"/>
          <w:szCs w:val="28"/>
          <w:rtl/>
        </w:rPr>
        <w:t xml:space="preserve">الا مبلغا عنی سلالة حیدر</w:t>
      </w:r>
    </w:p>
    <w:p>
      <w:pPr>
        <w:pStyle w:val="BookText"/>
      </w:pPr>
      <w:r>
        <w:rPr>
          <w:rFonts w:ascii="IRNazanin" w:hAnsi="IRNazanin" w:eastAsia="IRNazanin" w:cs="IRNazanin"/>
          <w:lang w:bidi="fa-IR"/>
          <w:color w:val="111111"/>
          <w:sz w:val="28"/>
          <w:szCs w:val="28"/>
          <w:rtl/>
        </w:rPr>
        <w:t xml:space="preserve">و صفو بنی الزهراء خیر فواطم‏</w:t>
      </w:r>
    </w:p>
    <w:p>
      <w:pPr>
        <w:pStyle w:val="BookText"/>
      </w:pPr>
      <w:r>
        <w:rPr>
          <w:rFonts w:ascii="IRNazanin" w:hAnsi="IRNazanin" w:eastAsia="IRNazanin" w:cs="IRNazanin"/>
          <w:lang w:bidi="fa-IR"/>
          <w:color w:val="111111"/>
          <w:sz w:val="28"/>
          <w:szCs w:val="28"/>
          <w:rtl/>
        </w:rPr>
        <w:t xml:space="preserve">بأن بنی مروان قاموا بأجمع‏</w:t>
      </w:r>
    </w:p>
    <w:p>
      <w:pPr>
        <w:pStyle w:val="BookText"/>
      </w:pPr>
      <w:r>
        <w:rPr>
          <w:rFonts w:ascii="IRNazanin" w:hAnsi="IRNazanin" w:eastAsia="IRNazanin" w:cs="IRNazanin"/>
          <w:lang w:bidi="fa-IR"/>
          <w:color w:val="111111"/>
          <w:sz w:val="28"/>
          <w:szCs w:val="28"/>
          <w:rtl/>
        </w:rPr>
        <w:t xml:space="preserve">علی سوقهم فی قتل نسل الکوائم‏</w:t>
      </w:r>
    </w:p>
    <w:p>
      <w:pPr>
        <w:pStyle w:val="BookText"/>
      </w:pPr>
      <w:r>
        <w:rPr>
          <w:rFonts w:ascii="IRNazanin" w:hAnsi="IRNazanin" w:eastAsia="IRNazanin" w:cs="IRNazanin"/>
          <w:lang w:bidi="fa-IR"/>
          <w:color w:val="111111"/>
          <w:sz w:val="28"/>
          <w:szCs w:val="28"/>
          <w:rtl/>
        </w:rPr>
        <w:t xml:space="preserve">و لا غرو أن لو رام قتلی جعفر</w:t>
      </w:r>
    </w:p>
    <w:p>
      <w:pPr>
        <w:pStyle w:val="BookText"/>
      </w:pPr>
      <w:r>
        <w:rPr>
          <w:rFonts w:ascii="IRNazanin" w:hAnsi="IRNazanin" w:eastAsia="IRNazanin" w:cs="IRNazanin"/>
          <w:lang w:bidi="fa-IR"/>
          <w:color w:val="111111"/>
          <w:sz w:val="28"/>
          <w:szCs w:val="28"/>
          <w:rtl/>
        </w:rPr>
        <w:t xml:space="preserve">فقد قتلت آباءه ابن فاطم‏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60" w:name="pg11704_121537"/>
    <w:bookmarkEnd w:id="60"/>
    <w:p>
      <w:pPr>
        <w:pStyle w:val="BookText"/>
      </w:pPr>
      <w:r>
        <w:rPr>
          <w:rFonts w:ascii="IRNazanin" w:hAnsi="IRNazanin" w:eastAsia="IRNazanin" w:cs="IRNazanin"/>
          <w:lang w:bidi="fa-IR"/>
          <w:color w:val="111111"/>
          <w:sz w:val="28"/>
          <w:szCs w:val="28"/>
          <w:rtl/>
        </w:rPr>
        <w:t xml:space="preserve">أقول حدة لسانه قد بلغت الغایة حتی قتل بعد خمس سنوات من وفاه الشیخ جعفر کاشف الغطاء</w:t>
      </w:r>
    </w:p>
    <w:p>
      <w:pPr>
        <w:pStyle w:val="Heading3"/>
      </w:pPr>
      <w:bookmarkStart w:id="1719" w:name="_Toc415"/>
      <w:r>
        <w:t>345- دیوان أختر</w:t>
      </w:r>
      <w:bookmarkEnd w:id="1719"/>
    </w:p>
    <w:p>
      <w:pPr>
        <w:pStyle w:val="BookText"/>
      </w:pPr>
      <w:r>
        <w:rPr>
          <w:rFonts w:ascii="IRNazanin" w:hAnsi="IRNazanin" w:eastAsia="IRNazanin" w:cs="IRNazanin"/>
          <w:lang w:bidi="fa-IR"/>
          <w:color w:val="111111"/>
          <w:sz w:val="28"/>
          <w:szCs w:val="28"/>
          <w:rtl/>
        </w:rPr>
        <w:t xml:space="preserve">فارسی طبع بإیران‏</w:t>
      </w:r>
    </w:p>
    <w:p>
      <w:pPr>
        <w:pStyle w:val="Heading3"/>
      </w:pPr>
      <w:bookmarkStart w:id="1720" w:name="_Toc416"/>
      <w:r>
        <w:t>346- دیوان أختر</w:t>
      </w:r>
      <w:bookmarkEnd w:id="1720"/>
    </w:p>
    <w:p>
      <w:pPr>
        <w:pStyle w:val="BookText"/>
      </w:pPr>
      <w:r>
        <w:rPr>
          <w:rFonts w:ascii="IRNazanin" w:hAnsi="IRNazanin" w:eastAsia="IRNazanin" w:cs="IRNazanin"/>
          <w:lang w:bidi="fa-IR"/>
          <w:color w:val="111111"/>
          <w:sz w:val="28"/>
          <w:szCs w:val="28"/>
          <w:rtl/>
        </w:rPr>
        <w:t xml:space="preserve">و هو أبو منصور ناصر الدین محمد واجد علی شاه ملک مملکة أود بالهند جلس فی (1264) بعد والده أمجد علی شاه فی لکهنو، و هو آخر سلاطین أود و بقبوله حمایة الإنگلیز فی (1272) ختمت استقلال الهند ذکره فی (گلشن ص 20) و له دستور موسیقی و إرشاد خاقانی فی العروض و صوت مبارک فی الموسیقی و ستة دواوین و عدة مثنویات‏</w:t>
      </w:r>
    </w:p>
    <w:p>
      <w:pPr>
        <w:pStyle w:val="Heading3"/>
      </w:pPr>
      <w:bookmarkStart w:id="1721" w:name="_Toc417"/>
      <w:r>
        <w:t>347- دیوان أختر أو شعره‏</w:t>
      </w:r>
      <w:bookmarkEnd w:id="1721"/>
    </w:p>
    <w:p>
      <w:pPr>
        <w:pStyle w:val="BookText"/>
      </w:pPr>
      <w:r>
        <w:rPr>
          <w:rFonts w:ascii="IRNazanin" w:hAnsi="IRNazanin" w:eastAsia="IRNazanin" w:cs="IRNazanin"/>
          <w:lang w:bidi="fa-IR"/>
          <w:color w:val="111111"/>
          <w:sz w:val="28"/>
          <w:szCs w:val="28"/>
          <w:rtl/>
        </w:rPr>
        <w:t xml:space="preserve">و هو أختر مراد أخو روشن أختر محمد شاه و هما ابنا خجسته أختر جهان‏شاه ابن محمد معظم بهادر شاه ابن اورنگ زیب عالمگیر شاه ذکره فی (گلشن ص 19)</w:t>
      </w:r>
    </w:p>
    <w:p>
      <w:pPr>
        <w:pStyle w:val="Heading3"/>
      </w:pPr>
      <w:bookmarkStart w:id="1722" w:name="_Toc418"/>
      <w:r>
        <w:t>348- دیوان أختر أجمیری‏</w:t>
      </w:r>
      <w:bookmarkEnd w:id="1722"/>
    </w:p>
    <w:p>
      <w:pPr>
        <w:pStyle w:val="BookText"/>
      </w:pPr>
      <w:r>
        <w:rPr>
          <w:rFonts w:ascii="IRNazanin" w:hAnsi="IRNazanin" w:eastAsia="IRNazanin" w:cs="IRNazanin"/>
          <w:lang w:bidi="fa-IR"/>
          <w:color w:val="111111"/>
          <w:sz w:val="28"/>
          <w:szCs w:val="28"/>
          <w:rtl/>
        </w:rPr>
        <w:t xml:space="preserve">الشیخ سعد الله کان یتخلص أولا بعالی ثم عدل عنه و اتخذ أختر تخلصا کان یمدح علی أصغر خان شجاع و سعادت خان النیشابوری، و مات (1153) و له مثنوی گلشن محمود و شعلة عشق و گیتی‏آشوب و عجب‏نامه و سرمه حیرت و طلسم وحدت و غیرها</w:t>
      </w:r>
    </w:p>
    <w:p>
      <w:pPr>
        <w:pStyle w:val="Heading3"/>
      </w:pPr>
      <w:bookmarkStart w:id="1723" w:name="_Toc419"/>
      <w:r>
        <w:t>349- دیوان أختر شیرازی أو شعره‏</w:t>
      </w:r>
      <w:bookmarkEnd w:id="1723"/>
    </w:p>
    <w:p>
      <w:pPr>
        <w:pStyle w:val="BookText"/>
      </w:pPr>
      <w:r>
        <w:rPr>
          <w:rFonts w:ascii="IRNazanin" w:hAnsi="IRNazanin" w:eastAsia="IRNazanin" w:cs="IRNazanin"/>
          <w:lang w:bidi="fa-IR"/>
          <w:color w:val="111111"/>
          <w:sz w:val="28"/>
          <w:szCs w:val="28"/>
          <w:rtl/>
        </w:rPr>
        <w:t xml:space="preserve">لمحمد علی بیک من الطائفة الفیلیة ذکره فی (عم- ص 554) و قال کان یتخلص بأختر، و کان بشیراز، و مات (1302) و أورد بعض شعره‏</w:t>
      </w:r>
    </w:p>
    <w:p>
      <w:pPr>
        <w:pStyle w:val="Heading3"/>
      </w:pPr>
      <w:bookmarkStart w:id="1724" w:name="_Toc420"/>
      <w:r>
        <w:t>350- دیوان أختر طوسی‏</w:t>
      </w:r>
      <w:bookmarkEnd w:id="1724"/>
    </w:p>
    <w:p>
      <w:pPr>
        <w:pStyle w:val="BookText"/>
      </w:pPr>
      <w:r>
        <w:rPr>
          <w:rFonts w:ascii="IRNazanin" w:hAnsi="IRNazanin" w:eastAsia="IRNazanin" w:cs="IRNazanin"/>
          <w:lang w:bidi="fa-IR"/>
          <w:color w:val="111111"/>
          <w:sz w:val="28"/>
          <w:szCs w:val="28"/>
          <w:rtl/>
        </w:rPr>
        <w:t xml:space="preserve">رأیت له گلزار حسینی فی المکتبة (الرضویة)</w:t>
      </w:r>
    </w:p>
    <w:p>
      <w:pPr>
        <w:pStyle w:val="Heading3"/>
      </w:pPr>
      <w:bookmarkStart w:id="1725" w:name="_Toc421"/>
      <w:r>
        <w:t>351- دیوان أختر الگرجی‏</w:t>
      </w:r>
      <w:bookmarkEnd w:id="1725"/>
    </w:p>
    <w:p>
      <w:pPr>
        <w:pStyle w:val="BookText"/>
      </w:pPr>
      <w:r>
        <w:rPr>
          <w:rFonts w:ascii="IRNazanin" w:hAnsi="IRNazanin" w:eastAsia="IRNazanin" w:cs="IRNazanin"/>
          <w:lang w:bidi="fa-IR"/>
          <w:color w:val="111111"/>
          <w:sz w:val="28"/>
          <w:szCs w:val="28"/>
          <w:rtl/>
        </w:rPr>
        <w:t xml:space="preserve">المعاصر لفتح علی شاه و اسمه أحمد بیک، و له تذکره جمع فیها شعراء عصره لم، تتم فأتمه بعد وفاته أخوه محمد باقر بیک، کما ذکرناه فی (ج 4- ص 29)</w:t>
      </w:r>
    </w:p>
    <w:p>
      <w:pPr>
        <w:pStyle w:val="Heading3"/>
      </w:pPr>
      <w:bookmarkStart w:id="1726" w:name="_Toc422"/>
      <w:r>
        <w:t>352- دیوان أختری گنابادی أو شعره‏</w:t>
      </w:r>
      <w:bookmarkEnd w:id="1726"/>
    </w:p>
    <w:p>
      <w:pPr>
        <w:pStyle w:val="BookText"/>
      </w:pPr>
      <w:r>
        <w:rPr>
          <w:rFonts w:ascii="IRNazanin" w:hAnsi="IRNazanin" w:eastAsia="IRNazanin" w:cs="IRNazanin"/>
          <w:lang w:bidi="fa-IR"/>
          <w:color w:val="111111"/>
          <w:sz w:val="28"/>
          <w:szCs w:val="28"/>
          <w:rtl/>
        </w:rPr>
        <w:t xml:space="preserve">ذکره فی (گلشن- ص 21) و أورد شعره‏</w:t>
      </w:r>
    </w:p>
    <w:p>
      <w:pPr>
        <w:pStyle w:val="Heading3"/>
      </w:pPr>
      <w:bookmarkStart w:id="1727" w:name="_Toc423"/>
      <w:r>
        <w:t>353- دیوان أختری یزدی أو شعره‏</w:t>
      </w:r>
      <w:bookmarkEnd w:id="1727"/>
    </w:p>
    <w:p>
      <w:pPr>
        <w:pStyle w:val="BookText"/>
      </w:pPr>
      <w:r>
        <w:rPr>
          <w:rFonts w:ascii="IRNazanin" w:hAnsi="IRNazanin" w:eastAsia="IRNazanin" w:cs="IRNazanin"/>
          <w:lang w:bidi="fa-IR"/>
          <w:color w:val="111111"/>
          <w:sz w:val="28"/>
          <w:szCs w:val="28"/>
          <w:rtl/>
        </w:rPr>
        <w:t xml:space="preserve">من قدماء شعراء یزد، و هو دیوان مفصل و عمر شاعره طویلا کما ذکره آیتی فی تاریخ یزد (ص 269) نقلا عن تذکره شبستان، و ذکر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61" w:name="pg11704_121538"/>
    <w:bookmarkEnd w:id="61"/>
    <w:p>
      <w:pPr>
        <w:pStyle w:val="BookText"/>
      </w:pPr>
      <w:r>
        <w:rPr>
          <w:rFonts w:ascii="IRNazanin" w:hAnsi="IRNazanin" w:eastAsia="IRNazanin" w:cs="IRNazanin"/>
          <w:lang w:bidi="fa-IR"/>
          <w:color w:val="111111"/>
          <w:sz w:val="28"/>
          <w:szCs w:val="28"/>
          <w:rtl/>
        </w:rPr>
        <w:t xml:space="preserve">أنه کان منجما بارعا و سافر إلی الهند سنین، و لما رجع کان له إحدی و ثمانین سنة، فتأهل یومئذ و توفی بعد سنین و ذکر النصرآبادی أنه بعد تأهله رزق ولدا باقیا فی یزد و رجع هو إلی الهند و بها توفی و ذکره أیضا فی (تش-: 259) و (تغ: 10) و قالا إنه من معاصری الشاه عباس الأول الصفوی‏</w:t>
      </w:r>
    </w:p>
    <w:p>
      <w:pPr>
        <w:pStyle w:val="Heading3"/>
      </w:pPr>
      <w:bookmarkStart w:id="1728" w:name="_Toc424"/>
      <w:r>
        <w:t>354- دیوان اختیار</w:t>
      </w:r>
      <w:bookmarkEnd w:id="1728"/>
    </w:p>
    <w:p>
      <w:pPr>
        <w:pStyle w:val="BookText"/>
      </w:pPr>
      <w:r>
        <w:rPr>
          <w:rFonts w:ascii="IRNazanin" w:hAnsi="IRNazanin" w:eastAsia="IRNazanin" w:cs="IRNazanin"/>
          <w:lang w:bidi="fa-IR"/>
          <w:color w:val="111111"/>
          <w:sz w:val="28"/>
          <w:szCs w:val="28"/>
          <w:rtl/>
        </w:rPr>
        <w:t xml:space="preserve">و اسمه السید اختیار کما ذکره علی شیر فی (مجن ص 95 و 271) و قال: کان کاتبا فی محکمة القاضی نظام الدین، و متقنا فی الفقه و العربیة و فی ترجمه القزوینی للمجالس (ص 271) عبر عنه بالقاضی بدل کاتب القضاء و السجلات و ترجمه سام میرزا فی (تس- ص 30) و قال: قاضی اختیار تربتی خراسان معاصر للسلطان حسین بایقرا کان قاضی القضاة بهراة و کان ممسکا یجمع المال و له مختار الأنوار و المثنوی الموسوم عدل وجود فی (5000 بیت) نظمه باسم السلطان صاحب قران- أی والد المؤلف و هو الشاه إسماعیل الصفوی- فی أواخر عمره توجد نسخه من غزلیاته فی (270 بیت) بمکتبة (المشکاة) کما فی فهرسها لابنی فی قسم الأدب (ص 245)</w:t>
      </w:r>
    </w:p>
    <w:p>
      <w:pPr>
        <w:pStyle w:val="Heading3"/>
      </w:pPr>
      <w:bookmarkStart w:id="1729" w:name="_Toc425"/>
      <w:r>
        <w:t>دیوان- الأخسیکتی‏</w:t>
      </w:r>
      <w:bookmarkEnd w:id="1729"/>
    </w:p>
    <w:p>
      <w:pPr>
        <w:pStyle w:val="BookText"/>
      </w:pPr>
      <w:r>
        <w:rPr>
          <w:rFonts w:ascii="IRNazanin" w:hAnsi="IRNazanin" w:eastAsia="IRNazanin" w:cs="IRNazanin"/>
          <w:lang w:bidi="fa-IR"/>
          <w:color w:val="111111"/>
          <w:sz w:val="28"/>
          <w:szCs w:val="28"/>
          <w:rtl/>
        </w:rPr>
        <w:t xml:space="preserve">مر بعنوان دیوان أثیر الدین الأخسیکتی‏</w:t>
      </w:r>
    </w:p>
    <w:p>
      <w:pPr>
        <w:pStyle w:val="Heading3"/>
      </w:pPr>
      <w:bookmarkStart w:id="1730" w:name="_Toc426"/>
      <w:r>
        <w:t>355- دیوان الأخضری أو شعره‏</w:t>
      </w:r>
      <w:bookmarkEnd w:id="1730"/>
    </w:p>
    <w:p>
      <w:pPr>
        <w:pStyle w:val="BookText"/>
      </w:pPr>
      <w:r>
        <w:rPr>
          <w:rFonts w:ascii="IRNazanin" w:hAnsi="IRNazanin" w:eastAsia="IRNazanin" w:cs="IRNazanin"/>
          <w:lang w:bidi="fa-IR"/>
          <w:color w:val="111111"/>
          <w:sz w:val="28"/>
          <w:szCs w:val="28"/>
          <w:rtl/>
        </w:rPr>
        <w:t xml:space="preserve">و هو السید علی المغربی من شعراء القرن الحادی عشر کما ذکره فی (فه- ص 581) و هو غیر المغربی الآتی‏</w:t>
      </w:r>
    </w:p>
    <w:p>
      <w:pPr>
        <w:pStyle w:val="Heading3"/>
      </w:pPr>
      <w:bookmarkStart w:id="1731" w:name="_Toc427"/>
      <w:r>
        <w:t>356- دیوان أخگر الکرمانی‏</w:t>
      </w:r>
      <w:bookmarkEnd w:id="1731"/>
    </w:p>
    <w:p>
      <w:pPr>
        <w:pStyle w:val="BookText"/>
      </w:pPr>
      <w:r>
        <w:rPr>
          <w:rFonts w:ascii="IRNazanin" w:hAnsi="IRNazanin" w:eastAsia="IRNazanin" w:cs="IRNazanin"/>
          <w:lang w:bidi="fa-IR"/>
          <w:color w:val="111111"/>
          <w:sz w:val="28"/>
          <w:szCs w:val="28"/>
          <w:rtl/>
        </w:rPr>
        <w:t xml:space="preserve">و اسمه میرزا محمد یوسف من حکام کرمان ترجمه معاصره فی ریاض العارفین ص 420 و أورد رباعیته و ذکر أن طبعه حسن فی نظم القصائد</w:t>
      </w:r>
    </w:p>
    <w:p>
      <w:pPr>
        <w:pStyle w:val="Heading3"/>
      </w:pPr>
      <w:bookmarkStart w:id="1732" w:name="_Toc428"/>
      <w:r>
        <w:t>357- دیوان أخگر قمی‏</w:t>
      </w:r>
      <w:bookmarkEnd w:id="1732"/>
    </w:p>
    <w:p>
      <w:pPr>
        <w:pStyle w:val="BookText"/>
      </w:pPr>
      <w:r>
        <w:rPr>
          <w:rFonts w:ascii="IRNazanin" w:hAnsi="IRNazanin" w:eastAsia="IRNazanin" w:cs="IRNazanin"/>
          <w:lang w:bidi="fa-IR"/>
          <w:color w:val="111111"/>
          <w:sz w:val="28"/>
          <w:szCs w:val="28"/>
          <w:rtl/>
        </w:rPr>
        <w:t xml:space="preserve">للأدیب الشاعر القمی المتخلص بأخگر ابن الأدیب الشاعر الحاج رشید خان المتخلص بشرر و له دیوان یأتی، کما مر دیوان ولد أخگر المتخلص بآذر ص 510</w:t>
      </w:r>
    </w:p>
    <w:p>
      <w:pPr>
        <w:pStyle w:val="Heading3"/>
      </w:pPr>
      <w:bookmarkStart w:id="1733" w:name="_Toc429"/>
      <w:r>
        <w:t>358- دیوان إخلاص أو شعره‏</w:t>
      </w:r>
      <w:bookmarkEnd w:id="1733"/>
    </w:p>
    <w:p>
      <w:pPr>
        <w:pStyle w:val="BookText"/>
      </w:pPr>
      <w:r>
        <w:rPr>
          <w:rFonts w:ascii="IRNazanin" w:hAnsi="IRNazanin" w:eastAsia="IRNazanin" w:cs="IRNazanin"/>
          <w:lang w:bidi="fa-IR"/>
          <w:color w:val="111111"/>
          <w:sz w:val="28"/>
          <w:szCs w:val="28"/>
          <w:rtl/>
        </w:rPr>
        <w:t xml:space="preserve">و هو من شعراء لکهنو کان یمدح محمد علی شاه ملک الأود بلکهنو ذکره فی (گلشن- 21) و أورد شعره‏</w:t>
      </w:r>
    </w:p>
    <w:p>
      <w:pPr>
        <w:pStyle w:val="Heading3"/>
      </w:pPr>
      <w:bookmarkStart w:id="1734" w:name="_Toc430"/>
      <w:r>
        <w:t>359- دیوان أخی البلگرامی أو شعره‏</w:t>
      </w:r>
      <w:bookmarkEnd w:id="1734"/>
    </w:p>
    <w:p>
      <w:pPr>
        <w:pStyle w:val="BookText"/>
      </w:pPr>
      <w:r>
        <w:rPr>
          <w:rFonts w:ascii="IRNazanin" w:hAnsi="IRNazanin" w:eastAsia="IRNazanin" w:cs="IRNazanin"/>
          <w:lang w:bidi="fa-IR"/>
          <w:color w:val="111111"/>
          <w:sz w:val="28"/>
          <w:szCs w:val="28"/>
          <w:rtl/>
        </w:rPr>
        <w:t xml:space="preserve">و اسمه غلام محمد بن المولوی بدر الدین البلگرامی ذکره فی (گلشن ص 21) و أورد شعره‏</w:t>
      </w:r>
    </w:p>
    <w:p>
      <w:pPr>
        <w:pStyle w:val="Heading3"/>
      </w:pPr>
      <w:bookmarkStart w:id="1735" w:name="_Toc431"/>
      <w:r>
        <w:t>360- دیوان أدا جاجرمی‏</w:t>
      </w:r>
      <w:bookmarkEnd w:id="1735"/>
    </w:p>
    <w:p>
      <w:pPr>
        <w:pStyle w:val="BookText"/>
      </w:pPr>
      <w:r>
        <w:rPr>
          <w:rFonts w:ascii="IRNazanin" w:hAnsi="IRNazanin" w:eastAsia="IRNazanin" w:cs="IRNazanin"/>
          <w:lang w:bidi="fa-IR"/>
          <w:color w:val="111111"/>
          <w:sz w:val="28"/>
          <w:szCs w:val="28"/>
          <w:rtl/>
        </w:rPr>
        <w:t xml:space="preserve">و هو الشاعر الماهر المیرزا محمد کاظم بن المیرزا محمد الجاجرمی مجموع بالقطع البیاضی دون فیه بخطه بعض أشعار نفسه و منها قصیدته الفارسیة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62" w:name="pg11704_121539"/>
    <w:bookmarkEnd w:id="62"/>
    <w:p>
      <w:pPr>
        <w:pStyle w:val="BookText"/>
      </w:pPr>
      <w:r>
        <w:rPr>
          <w:rFonts w:ascii="IRNazanin" w:hAnsi="IRNazanin" w:eastAsia="IRNazanin" w:cs="IRNazanin"/>
          <w:lang w:bidi="fa-IR"/>
          <w:color w:val="111111"/>
          <w:sz w:val="28"/>
          <w:szCs w:val="28"/>
          <w:rtl/>
        </w:rPr>
        <w:t xml:space="preserve">الرائیة فی الصنائع الشعریة تبلغ مائة و خمسین بیتا، فرغ من نظمها فی رجب (1177) و فیه انتخابه لمنشآت محمد أمین الوقاری الموسوم بگلدسته اندیشه و انتخابه لمنشآت یوسفی، و اختصاره لرسالة الصنائع الشعریة التی ألفها الحسن بن محمد الملقب بأشرف الرامی، و وشحها باسم السلطان شیخ أویس المتوفی (775) و أکثر هذا المجموع البیاضی بخطه کتبه فی (1177) توجد نسخته فی مکتبة السید أبی القاسم الموسوی الریاضی الخوانساری بالنجف و المظنون أن هذا الشاعر هو والد المولی أبی الحسن بن محمد کاظم الجاجرمی ناظم الأرجوزه فی الدرایة الموسومة بالهدیة المکیة لأنه نظمها فی سفره إلی مکة للحج فی (1245) نظمها لولده المسمی بحسین و علق علیها کثیرا ولده الآخر الفاضل الماهر المیرزا نصر الله بن أبی الحسن محمد کاظم الجاجرمی الذی ألف رسالة فی العروض فی (1258) و له کشکول موجود مع بعض تصانیفه فی المدرسة النوربخشیة ببروجرد و هو غیر المیرزا نصر الله الفارسی المشهدی المدرس بالروضة الرضویة و المتوفی (1290) و قام مقامه ولده المیرزا عبد الرحمن فلا یتوهم الاتحاد و إن کان للفارسی أیضا رسالة فی العروض و القافیة کما ذکر فی مطلع الشمس‏</w:t>
      </w:r>
    </w:p>
    <w:p>
      <w:pPr>
        <w:pStyle w:val="Heading3"/>
      </w:pPr>
      <w:bookmarkStart w:id="1736" w:name="_Toc432"/>
      <w:r>
        <w:t>361- دیوان أدائی أصفهانی أو شعره‏</w:t>
      </w:r>
      <w:bookmarkEnd w:id="1736"/>
    </w:p>
    <w:p>
      <w:pPr>
        <w:pStyle w:val="BookText"/>
      </w:pPr>
      <w:r>
        <w:rPr>
          <w:rFonts w:ascii="IRNazanin" w:hAnsi="IRNazanin" w:eastAsia="IRNazanin" w:cs="IRNazanin"/>
          <w:lang w:bidi="fa-IR"/>
          <w:color w:val="111111"/>
          <w:sz w:val="28"/>
          <w:szCs w:val="28"/>
          <w:rtl/>
        </w:rPr>
        <w:t xml:space="preserve">و هو من مشاهیر شعراء أصفهان. له شعر کثیر مع الغلط فی قوافیها کما ذکره معاصره سام میرزا فی (تس- ص 132).</w:t>
      </w:r>
    </w:p>
    <w:p>
      <w:pPr>
        <w:pStyle w:val="Heading3"/>
      </w:pPr>
      <w:bookmarkStart w:id="1737" w:name="_Toc433"/>
      <w:r>
        <w:t>362- دیوان أدائی البخارائی أو شعره‏</w:t>
      </w:r>
      <w:bookmarkEnd w:id="1737"/>
    </w:p>
    <w:p>
      <w:pPr>
        <w:pStyle w:val="BookText"/>
      </w:pPr>
      <w:r>
        <w:rPr>
          <w:rFonts w:ascii="IRNazanin" w:hAnsi="IRNazanin" w:eastAsia="IRNazanin" w:cs="IRNazanin"/>
          <w:lang w:bidi="fa-IR"/>
          <w:color w:val="111111"/>
          <w:sz w:val="28"/>
          <w:szCs w:val="28"/>
          <w:rtl/>
        </w:rPr>
        <w:t xml:space="preserve">ترجمه سام میرزا فی (تس: 148) و أورد شعره و قال هو من الشعراء الجدد. و أظنه أدائی سمرقندی الآتی.</w:t>
      </w:r>
    </w:p>
    <w:p>
      <w:pPr>
        <w:pStyle w:val="Heading3"/>
      </w:pPr>
      <w:bookmarkStart w:id="1738" w:name="_Toc434"/>
      <w:r>
        <w:t>363- دیوان أدائی البفروئی الیزدی أو شعره‏</w:t>
      </w:r>
      <w:bookmarkEnd w:id="1738"/>
    </w:p>
    <w:p>
      <w:pPr>
        <w:pStyle w:val="BookText"/>
      </w:pPr>
      <w:r>
        <w:rPr>
          <w:rFonts w:ascii="IRNazanin" w:hAnsi="IRNazanin" w:eastAsia="IRNazanin" w:cs="IRNazanin"/>
          <w:lang w:bidi="fa-IR"/>
          <w:color w:val="111111"/>
          <w:sz w:val="28"/>
          <w:szCs w:val="28"/>
          <w:rtl/>
        </w:rPr>
        <w:t xml:space="preserve">و هو الأمیر محمد مؤمن القاضی فی میبد و أردکان سنین و کان یحضر فی کل جمعة فی جامع یزد للخطبة کما ذکره آیتی فی تاریخ یزد (ص 270) و ذکر شعره و إنه فی أخر عمره سافر إلی الهند و توفی بسورات. و ترجمه فی ریاض العارفین ص 285 و أورد بعض أشعاره و کذا فی سرو آزاد و (تش- ص 259) و قال فی (تغ: 11) توفی (1030).</w:t>
      </w:r>
    </w:p>
    <w:p>
      <w:pPr>
        <w:pStyle w:val="Heading3"/>
      </w:pPr>
      <w:bookmarkStart w:id="1739" w:name="_Toc435"/>
      <w:r>
        <w:t>364- دیوان أدائی الشیرازی‏</w:t>
      </w:r>
      <w:bookmarkEnd w:id="1739"/>
    </w:p>
    <w:p>
      <w:pPr>
        <w:pStyle w:val="BookText"/>
      </w:pPr>
      <w:r>
        <w:rPr>
          <w:rFonts w:ascii="IRNazanin" w:hAnsi="IRNazanin" w:eastAsia="IRNazanin" w:cs="IRNazanin"/>
          <w:lang w:bidi="fa-IR"/>
          <w:color w:val="111111"/>
          <w:sz w:val="28"/>
          <w:szCs w:val="28"/>
          <w:rtl/>
        </w:rPr>
        <w:t xml:space="preserve">مولانا بهاء الدین علی (محمد) رحالة البر و البحر و نظم تواریخ السلطان سلیم فی بحر شاهنامه و توفی بالطاعون فی إستانبول (928) و له قصیدة فی المنقبة أورد القزوینی مطلعها و بعض غزلیاته فی (بهش- ص 365).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63" w:name="pg11704_121540"/>
    <w:bookmarkEnd w:id="63"/>
    <w:p>
      <w:pPr>
        <w:pStyle w:val="Heading3"/>
      </w:pPr>
      <w:bookmarkStart w:id="1740" w:name="_Toc436"/>
      <w:r>
        <w:t>365- دیوان أدائی سمرقندی أو شعره‏</w:t>
      </w:r>
      <w:bookmarkEnd w:id="1740"/>
    </w:p>
    <w:p>
      <w:pPr>
        <w:pStyle w:val="BookText"/>
      </w:pPr>
      <w:r>
        <w:rPr>
          <w:rFonts w:ascii="IRNazanin" w:hAnsi="IRNazanin" w:eastAsia="IRNazanin" w:cs="IRNazanin"/>
          <w:lang w:bidi="fa-IR"/>
          <w:color w:val="111111"/>
          <w:sz w:val="28"/>
          <w:szCs w:val="28"/>
          <w:rtl/>
        </w:rPr>
        <w:t xml:space="preserve">. ذکر فی (گلشن- ص 22) و قال جاء إلی الهند و مات فی (1004) و کذا ذکره فی ریحانة الأدب نقلا عن قاموس الأعلام الترکیة، و أظنه ما مر بعنوان أدائی بخارائی.</w:t>
      </w:r>
    </w:p>
    <w:p>
      <w:pPr>
        <w:pStyle w:val="Heading3"/>
      </w:pPr>
      <w:bookmarkStart w:id="1741" w:name="_Toc437"/>
      <w:r>
        <w:t>366- دیوان أدهم التویسرکانی الأریتمانی أو شعره‏</w:t>
      </w:r>
      <w:bookmarkEnd w:id="1741"/>
    </w:p>
    <w:p>
      <w:pPr>
        <w:pStyle w:val="BookText"/>
      </w:pPr>
      <w:r>
        <w:rPr>
          <w:rFonts w:ascii="IRNazanin" w:hAnsi="IRNazanin" w:eastAsia="IRNazanin" w:cs="IRNazanin"/>
          <w:lang w:bidi="fa-IR"/>
          <w:color w:val="111111"/>
          <w:sz w:val="28"/>
          <w:szCs w:val="28"/>
          <w:rtl/>
        </w:rPr>
        <w:t xml:space="preserve">لمیرزا إبراهیم بن المیرزا رضی الأریتمانی من محال تویسرکان من توابع همدان. ترجمه النصرآبادی فی (نر- 359) و ترجم والده أیضا فی محله و أورد شعرهما، و قال ذهب أدهم إلی الهند، و کان مکرما عند السلطان [شاه‏جهان‏] لکنه لسوء عمله حبسه و توفی فی السجن، و لم یوصفه بالسیادة، و لکن فی ریاض العارفین صرح بکونه من السادة الأجلاء فی بلده و والده من مشاهیر العرفاء (أقول) و لعله الذی یأتی بعنوان أدهم الصفوی الموسیقار. و قال فی (تغ: 11) إنه توفی (1060).</w:t>
      </w:r>
    </w:p>
    <w:p>
      <w:pPr>
        <w:pStyle w:val="Heading3"/>
      </w:pPr>
      <w:bookmarkStart w:id="1742" w:name="_Toc438"/>
      <w:r>
        <w:t>367- دیوان أدهم بیگ أو شعره‏</w:t>
      </w:r>
      <w:bookmarkEnd w:id="1742"/>
    </w:p>
    <w:p>
      <w:pPr>
        <w:pStyle w:val="BookText"/>
      </w:pPr>
      <w:r>
        <w:rPr>
          <w:rFonts w:ascii="IRNazanin" w:hAnsi="IRNazanin" w:eastAsia="IRNazanin" w:cs="IRNazanin"/>
          <w:lang w:bidi="fa-IR"/>
          <w:color w:val="111111"/>
          <w:sz w:val="28"/>
          <w:szCs w:val="28"/>
          <w:rtl/>
        </w:rPr>
        <w:t xml:space="preserve">و هو أدهم القزوینی ابن شاه قلی بیگ ترکمان، کان أجداده من مقربی البلاط الصفوی و کان هو مقربا عند الشاه سلیمان. ترجمه النصرآبادی فی (نر- ص 48) و کذا ذکره فی (گلشن- ص 22).</w:t>
      </w:r>
    </w:p>
    <w:p>
      <w:pPr>
        <w:pStyle w:val="Heading3"/>
      </w:pPr>
      <w:bookmarkStart w:id="1743" w:name="_Toc439"/>
      <w:r>
        <w:t>368- دیوان أدهم بیگ القزوینی أو شعره‏</w:t>
      </w:r>
      <w:bookmarkEnd w:id="1743"/>
    </w:p>
    <w:p>
      <w:pPr>
        <w:pStyle w:val="BookText"/>
      </w:pPr>
      <w:r>
        <w:rPr>
          <w:rFonts w:ascii="IRNazanin" w:hAnsi="IRNazanin" w:eastAsia="IRNazanin" w:cs="IRNazanin"/>
          <w:lang w:bidi="fa-IR"/>
          <w:color w:val="111111"/>
          <w:sz w:val="28"/>
          <w:szCs w:val="28"/>
          <w:rtl/>
        </w:rPr>
        <w:t xml:space="preserve">کان أستاذا فی فن الموسیقی و الألحان.</w:t>
      </w:r>
    </w:p>
    <w:p>
      <w:pPr>
        <w:pStyle w:val="BookText"/>
      </w:pPr>
      <w:r>
        <w:rPr>
          <w:rFonts w:ascii="IRNazanin" w:hAnsi="IRNazanin" w:eastAsia="IRNazanin" w:cs="IRNazanin"/>
          <w:lang w:bidi="fa-IR"/>
          <w:color w:val="111111"/>
          <w:sz w:val="28"/>
          <w:szCs w:val="28"/>
          <w:rtl/>
        </w:rPr>
        <w:t xml:space="preserve">سافر من إیران إلی الهند و سلک فی خدمة همایون پادشاه. ذکره فی (گلشن ص 22) و أورد شعره.</w:t>
      </w:r>
    </w:p>
    <w:p>
      <w:pPr>
        <w:pStyle w:val="Heading3"/>
      </w:pPr>
      <w:bookmarkStart w:id="1744" w:name="_Toc440"/>
      <w:r>
        <w:t>369- دیوان أدهم الرازی أو شعره‏</w:t>
      </w:r>
      <w:bookmarkEnd w:id="1744"/>
    </w:p>
    <w:p>
      <w:pPr>
        <w:pStyle w:val="BookText"/>
      </w:pPr>
      <w:r>
        <w:rPr>
          <w:rFonts w:ascii="IRNazanin" w:hAnsi="IRNazanin" w:eastAsia="IRNazanin" w:cs="IRNazanin"/>
          <w:lang w:bidi="fa-IR"/>
          <w:color w:val="111111"/>
          <w:sz w:val="28"/>
          <w:szCs w:val="28"/>
          <w:rtl/>
        </w:rPr>
        <w:t xml:space="preserve">ترجمه معاصره سام میرزا فی (تس- 177) و أورد شعره.</w:t>
      </w:r>
    </w:p>
    <w:p>
      <w:pPr>
        <w:pStyle w:val="Heading3"/>
      </w:pPr>
      <w:bookmarkStart w:id="1745" w:name="_Toc441"/>
      <w:r>
        <w:t>370- دیوان أدهم الصفوی أو شعره‏</w:t>
      </w:r>
      <w:bookmarkEnd w:id="1745"/>
    </w:p>
    <w:p>
      <w:pPr>
        <w:pStyle w:val="BookText"/>
      </w:pPr>
      <w:r>
        <w:rPr>
          <w:rFonts w:ascii="IRNazanin" w:hAnsi="IRNazanin" w:eastAsia="IRNazanin" w:cs="IRNazanin"/>
          <w:lang w:bidi="fa-IR"/>
          <w:color w:val="111111"/>
          <w:sz w:val="28"/>
          <w:szCs w:val="28"/>
          <w:rtl/>
        </w:rPr>
        <w:t xml:space="preserve">و هو المیرزا إبراهیم الصفوی المتخلص بأدهم ذکره سرخوش فی (ص 3) و قال جاء إلی الهند فی عصر شاه‏جهان پادشاه و کان هزالا و قد یتجنن ثم ذکر شعره. و أظنه أدهم التویسرکانی المذکور، و قد أخذ تخلصه من حسن الراهب کما نقله فی (نر: 108، 109).</w:t>
      </w:r>
    </w:p>
    <w:p>
      <w:pPr>
        <w:pStyle w:val="Heading3"/>
      </w:pPr>
      <w:bookmarkStart w:id="1746" w:name="_Toc442"/>
      <w:r>
        <w:t>371- دیوان أدهم الکاشانی أو شعره‏</w:t>
      </w:r>
      <w:bookmarkEnd w:id="1746"/>
    </w:p>
    <w:p>
      <w:pPr>
        <w:pStyle w:val="BookText"/>
      </w:pPr>
      <w:r>
        <w:rPr>
          <w:rFonts w:ascii="IRNazanin" w:hAnsi="IRNazanin" w:eastAsia="IRNazanin" w:cs="IRNazanin"/>
          <w:lang w:bidi="fa-IR"/>
          <w:color w:val="111111"/>
          <w:sz w:val="28"/>
          <w:szCs w:val="28"/>
          <w:rtl/>
        </w:rPr>
        <w:t xml:space="preserve">و هو من مشاهیر شعرائها کما ذکره سام میرزا فی (تس- ص 239) و قال رأیت دیوانه. و کان أکثر أوقاته فی بغداد و تبریز. و قد قتل أخیرا بتبریز. و قال فی (تغ: 11) إنه توفی (969).</w:t>
      </w:r>
    </w:p>
    <w:p>
      <w:pPr>
        <w:pStyle w:val="Heading3"/>
      </w:pPr>
      <w:bookmarkStart w:id="1747" w:name="_Toc443"/>
      <w:r>
        <w:t>372- دیوان أدهم بغدادی أو شعره‏</w:t>
      </w:r>
      <w:bookmarkEnd w:id="1747"/>
    </w:p>
    <w:p>
      <w:pPr>
        <w:pStyle w:val="BookText"/>
      </w:pPr>
      <w:r>
        <w:rPr>
          <w:rFonts w:ascii="IRNazanin" w:hAnsi="IRNazanin" w:eastAsia="IRNazanin" w:cs="IRNazanin"/>
          <w:lang w:bidi="fa-IR"/>
          <w:color w:val="111111"/>
          <w:sz w:val="28"/>
          <w:szCs w:val="28"/>
          <w:rtl/>
        </w:rPr>
        <w:t xml:space="preserve">ذکره فی (تغ: 11) و قال کان معاصرا للسلطان‏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4" w:name="pg11704_121541"/>
    <w:bookmarkEnd w:id="64"/>
    <w:p>
      <w:pPr>
        <w:pStyle w:val="BookText"/>
      </w:pPr>
      <w:r>
        <w:rPr>
          <w:rFonts w:ascii="IRNazanin" w:hAnsi="IRNazanin" w:eastAsia="IRNazanin" w:cs="IRNazanin"/>
          <w:lang w:bidi="fa-IR"/>
          <w:color w:val="111111"/>
          <w:sz w:val="28"/>
          <w:szCs w:val="28"/>
          <w:rtl/>
        </w:rPr>
        <w:t xml:space="preserve">سلیمان العثمانی.</w:t>
      </w:r>
    </w:p>
    <w:p>
      <w:pPr>
        <w:pStyle w:val="Heading3"/>
      </w:pPr>
      <w:bookmarkStart w:id="1748" w:name="_Toc444"/>
      <w:r>
        <w:t>373- دیوان أدهمی أو شعره‏</w:t>
      </w:r>
      <w:bookmarkEnd w:id="1748"/>
    </w:p>
    <w:p>
      <w:pPr>
        <w:pStyle w:val="BookText"/>
      </w:pPr>
      <w:r>
        <w:rPr>
          <w:rFonts w:ascii="IRNazanin" w:hAnsi="IRNazanin" w:eastAsia="IRNazanin" w:cs="IRNazanin"/>
          <w:lang w:bidi="fa-IR"/>
          <w:color w:val="111111"/>
          <w:sz w:val="28"/>
          <w:szCs w:val="28"/>
          <w:rtl/>
        </w:rPr>
        <w:t xml:space="preserve">کان من الشعراء القاطنین فی تبریز فی (1050) کما حکاه فی (دجا- ص 220) عن السیاح العثمانی فقال إن فی التاریخ المذکور اجتمع فی تبریز ثمانیة و سبعون شاعرا کلهم صاحب دیوان، و منهم أدهمی المذکور.</w:t>
      </w:r>
    </w:p>
    <w:p>
      <w:pPr>
        <w:pStyle w:val="Heading3"/>
      </w:pPr>
      <w:bookmarkStart w:id="1749" w:name="_Toc445"/>
      <w:r>
        <w:t>دیوان الأدیب‏</w:t>
      </w:r>
      <w:bookmarkEnd w:id="1749"/>
    </w:p>
    <w:p>
      <w:pPr>
        <w:pStyle w:val="BookText"/>
      </w:pPr>
      <w:r>
        <w:rPr>
          <w:rFonts w:ascii="IRNazanin" w:hAnsi="IRNazanin" w:eastAsia="IRNazanin" w:cs="IRNazanin"/>
          <w:lang w:bidi="fa-IR"/>
          <w:color w:val="111111"/>
          <w:sz w:val="28"/>
          <w:szCs w:val="28"/>
          <w:rtl/>
        </w:rPr>
        <w:t xml:space="preserve">اسمه الکواکب الدریة یأتی أنه مطبوع. و هو للسید العالم الشاعر المولوی محمد مهدی المصطفی‏آبادی المتخلص بأدیب کان من تلامیذ السید المفتی میر محمد عباس الشوشتری و الجالس مجلسه فی تدریس الأدبیات إلی أن توفی (1317) کذا فی التجلیات.</w:t>
      </w:r>
    </w:p>
    <w:p>
      <w:pPr>
        <w:pStyle w:val="Heading3"/>
      </w:pPr>
      <w:bookmarkStart w:id="1750" w:name="_Toc446"/>
      <w:r>
        <w:t>دیوان الأدیب الپیشاوری‏</w:t>
      </w:r>
      <w:bookmarkEnd w:id="1750"/>
    </w:p>
    <w:p>
      <w:pPr>
        <w:pStyle w:val="BookText"/>
      </w:pPr>
      <w:r>
        <w:rPr>
          <w:rFonts w:ascii="IRNazanin" w:hAnsi="IRNazanin" w:eastAsia="IRNazanin" w:cs="IRNazanin"/>
          <w:lang w:bidi="fa-IR"/>
          <w:color w:val="111111"/>
          <w:sz w:val="28"/>
          <w:szCs w:val="28"/>
          <w:rtl/>
        </w:rPr>
        <w:t xml:space="preserve">یأتی بعنوان دیوان الپیشاوری.</w:t>
      </w:r>
    </w:p>
    <w:p>
      <w:pPr>
        <w:pStyle w:val="Heading3"/>
      </w:pPr>
      <w:bookmarkStart w:id="1751" w:name="_Toc447"/>
      <w:r>
        <w:t>دیوان الأدیب صابر</w:t>
      </w:r>
      <w:bookmarkEnd w:id="1751"/>
    </w:p>
    <w:p>
      <w:pPr>
        <w:pStyle w:val="BookText"/>
      </w:pPr>
      <w:r>
        <w:rPr>
          <w:rFonts w:ascii="IRNazanin" w:hAnsi="IRNazanin" w:eastAsia="IRNazanin" w:cs="IRNazanin"/>
          <w:lang w:bidi="fa-IR"/>
          <w:color w:val="111111"/>
          <w:sz w:val="28"/>
          <w:szCs w:val="28"/>
          <w:rtl/>
        </w:rPr>
        <w:t xml:space="preserve">یأتی بعنوان دیوان صابر.</w:t>
      </w:r>
    </w:p>
    <w:p>
      <w:pPr>
        <w:pStyle w:val="Heading3"/>
      </w:pPr>
      <w:bookmarkStart w:id="1752" w:name="_Toc448"/>
      <w:r>
        <w:t>374- دیوان أدیب الکرمانی‏</w:t>
      </w:r>
      <w:bookmarkEnd w:id="1752"/>
    </w:p>
    <w:p>
      <w:pPr>
        <w:pStyle w:val="BookText"/>
      </w:pPr>
      <w:r>
        <w:rPr>
          <w:rFonts w:ascii="IRNazanin" w:hAnsi="IRNazanin" w:eastAsia="IRNazanin" w:cs="IRNazanin"/>
          <w:lang w:bidi="fa-IR"/>
          <w:color w:val="111111"/>
          <w:sz w:val="28"/>
          <w:szCs w:val="28"/>
          <w:rtl/>
        </w:rPr>
        <w:t xml:space="preserve">للحکیم قاسم بن زین العابدین المعروف بالسیستانی.</w:t>
      </w:r>
    </w:p>
    <w:p>
      <w:pPr>
        <w:pStyle w:val="BookText"/>
      </w:pPr>
      <w:r>
        <w:rPr>
          <w:rFonts w:ascii="IRNazanin" w:hAnsi="IRNazanin" w:eastAsia="IRNazanin" w:cs="IRNazanin"/>
          <w:lang w:bidi="fa-IR"/>
          <w:color w:val="111111"/>
          <w:sz w:val="28"/>
          <w:szCs w:val="28"/>
          <w:rtl/>
        </w:rPr>
        <w:t xml:space="preserve">ولد فی النصف الثانی من القرن الثالث عشر. سافر إلی طهران و رجع بعد الدستور إلی کرمان. و له:- 1) خارستان علی زنة گلستان مر فی (ج 7- ص 132)، 2) نیستان علی زنة بوستان لسعدی الشیرازی. توجد نسخته بشیراز، 3- آتش‏زنه و هی رباعیات طبع بإیران، 4) تاریخ منظوم مختصر لإیران باسم تاریخ تلگرافی مطبوع، و کان یدرس فی المدارس الابتدائیة فی أوائل الدستوریة، 5) مثنوی عرفانی علی زنة خسرو شیرین للنظامی، توجد نسخته عند بنت الناظم بکرمان کما ذکرها لی السید محمد الهاشمی الکرمانی نزیل طهران، قال و قد توفی الناظم فی أوائل شعبان (1348).</w:t>
      </w:r>
    </w:p>
    <w:p>
      <w:pPr>
        <w:pStyle w:val="Heading3"/>
      </w:pPr>
      <w:bookmarkStart w:id="1753" w:name="_Toc449"/>
      <w:r>
        <w:t>375- دیوان أدیب الکرمانی‏</w:t>
      </w:r>
      <w:bookmarkEnd w:id="1753"/>
    </w:p>
    <w:p>
      <w:pPr>
        <w:pStyle w:val="BookText"/>
      </w:pPr>
      <w:r>
        <w:rPr>
          <w:rFonts w:ascii="IRNazanin" w:hAnsi="IRNazanin" w:eastAsia="IRNazanin" w:cs="IRNazanin"/>
          <w:lang w:bidi="fa-IR"/>
          <w:color w:val="111111"/>
          <w:sz w:val="28"/>
          <w:szCs w:val="28"/>
          <w:rtl/>
        </w:rPr>
        <w:t xml:space="preserve">للشیخ أحمد بن ملا حافظ العقیلی الکرمانی. کان هو و أبوه متبحرین فی الأدب الفارسی و العربی نثر أو نظما، و خطاطین ماهرین و کان هو أفضل من أبیه. له:- 1) دیوانه الفارسی و فیه القصائد و غیرها فی ثلاثة آلاف بیت، کان نسخته عند السید محمد الهاشمی الکرمانی بطهران، 2) دیوانه العربی المشتمل علی القصائد أیضا و منها القصیدة التبریدیة الهجائیة، 3) سالارنامه فی تاریخ إیران ذیلا للشاهنامه للفردوسی إلی عصر مظفر الدین شاه قاجار، و قد طبع علی الحجر بإیران و قد توفی الناظم فی (1329) کما کتبه لنا السید محمد الهاشمی الکرمانی المذکور.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5" w:name="pg11704_121542"/>
    <w:bookmarkEnd w:id="65"/>
    <w:p>
      <w:pPr>
        <w:pStyle w:val="Heading3"/>
      </w:pPr>
      <w:bookmarkStart w:id="1754" w:name="_Toc450"/>
      <w:r>
        <w:t>376- دیوان أدیب الکرمانی‏</w:t>
      </w:r>
      <w:bookmarkEnd w:id="1754"/>
    </w:p>
    <w:p>
      <w:pPr>
        <w:pStyle w:val="BookText"/>
      </w:pPr>
      <w:r>
        <w:rPr>
          <w:rFonts w:ascii="IRNazanin" w:hAnsi="IRNazanin" w:eastAsia="IRNazanin" w:cs="IRNazanin"/>
          <w:lang w:bidi="fa-IR"/>
          <w:color w:val="111111"/>
          <w:sz w:val="28"/>
          <w:szCs w:val="28"/>
          <w:rtl/>
        </w:rPr>
        <w:t xml:space="preserve">لأفضل الملک غلام حسین بن مهدی خان بن علی خان زند، المتخلص بأدیب. له دیوانان عربی و فارسی. سافر من کرمان إلی خراسان و طهران. و کان یصرف أوقات فراغته من المشاغل الدیوانیة بالتألیفات فی التاریخ و الجغرافیا و عدة سفرنامات. کان مترجما لناصر الدین شاه و جعله مظفر الدین شاه وقایع‏نگار للبلاد. له سفرنامه خراسان سفرنامه عراق عرب و تاریخ و جغرافیای مازندران و کان حیا إلی حدود (1330) و قد قال فضل الله بدائع‏نگار فی مدحه:</w:t>
      </w:r>
    </w:p>
    <w:p>
      <w:pPr>
        <w:pStyle w:val="BookText"/>
      </w:pPr>
      <w:r>
        <w:rPr>
          <w:rFonts w:ascii="IRNazanin" w:hAnsi="IRNazanin" w:eastAsia="IRNazanin" w:cs="IRNazanin"/>
          <w:lang w:bidi="fa-IR"/>
          <w:color w:val="111111"/>
          <w:sz w:val="28"/>
          <w:szCs w:val="28"/>
          <w:rtl/>
        </w:rPr>
        <w:t xml:space="preserve">یا أفضل الملک یا من فی بلاغته‏</w:t>
      </w:r>
    </w:p>
    <w:p>
      <w:pPr>
        <w:pStyle w:val="BookText"/>
      </w:pPr>
      <w:r>
        <w:rPr>
          <w:rFonts w:ascii="IRNazanin" w:hAnsi="IRNazanin" w:eastAsia="IRNazanin" w:cs="IRNazanin"/>
          <w:lang w:bidi="fa-IR"/>
          <w:color w:val="111111"/>
          <w:sz w:val="28"/>
          <w:szCs w:val="28"/>
          <w:rtl/>
        </w:rPr>
        <w:t xml:space="preserve">ما کان یبلغه قس و سحبان‏</w:t>
      </w:r>
    </w:p>
    <w:p>
      <w:pPr>
        <w:pStyle w:val="Heading3"/>
      </w:pPr>
      <w:bookmarkStart w:id="1755" w:name="_Toc451"/>
      <w:r>
        <w:t>377- دیوان أدیب الممالک‏</w:t>
      </w:r>
      <w:bookmarkEnd w:id="1755"/>
    </w:p>
    <w:p>
      <w:pPr>
        <w:pStyle w:val="BookText"/>
      </w:pPr>
      <w:r>
        <w:rPr>
          <w:rFonts w:ascii="IRNazanin" w:hAnsi="IRNazanin" w:eastAsia="IRNazanin" w:cs="IRNazanin"/>
          <w:lang w:bidi="fa-IR"/>
          <w:color w:val="111111"/>
          <w:sz w:val="28"/>
          <w:szCs w:val="28"/>
          <w:rtl/>
        </w:rPr>
        <w:t xml:space="preserve">هو أبو عیسی المیرزا صادق خان أمیر الشعراء ابن الحاج میرزا حسین بن المیرزا صادق بن میرزا معصوم المتخلص بمحیط أخ المیرزا أبی القاسم القائم مقام الفراهانی، و والدهما سید الوزراء المیرزا عیسی الحسینی مؤلف الجهادیة ولد بقریة کازران من بلوک شرا من توابع سلطان‏آباد أراک فی (14 محرم- 1277) مطابق (پیغمبر پاک) و توفی عن ثمان و خمسین سنة فی (1336) و توفی والده (1291) ذکر أحواله و تواریخه تلمیذه الوحید الدستگردی مدیر مجلة أرمغان فی مقدمه طبع هذا الدیوان فی (1312 ش) مرتبا علی قسمین أولهما فیما کتبه هو نفسه من تاریخ ولادته و أحوال آبائه إلی قائم مقام و بعض سوانحه، و ثانیهما فیما ألحقه به الدستگردی و دیوانه جمع بعد موته باعتناء تلمیذه الدستگردی مرتبا علی الحروف فیه القصائد و المقطعات و الغزلیات و مادة التواریخ و المدیح و الهجاء، و علق علیه الدستگردی حواشی و تصحیحات، و جمع بعده الرباعیات و المسمطات، و ألحق بها فرهنگ له یشبه نصاب الصبیان کلها فی (756 ص) و کان قد طبع قطعا من هذا الدیوان فی (1301 ش) فکرر طبعه و یأتی دیوان پروانه لجده و سمیه المیرزا صادق بن معصوم و من آثاره مباشرة طبع إثبات الوصیة للمسعودی کما أشرنا إلیه فی (ج 1- ص 110)</w:t>
      </w:r>
    </w:p>
    <w:p>
      <w:pPr>
        <w:pStyle w:val="Heading3"/>
      </w:pPr>
      <w:bookmarkStart w:id="1756" w:name="_Toc452"/>
      <w:r>
        <w:t>378- دیوان أدیب النیشابوری‏</w:t>
      </w:r>
      <w:bookmarkEnd w:id="1756"/>
    </w:p>
    <w:p>
      <w:pPr>
        <w:pStyle w:val="BookText"/>
      </w:pPr>
      <w:r>
        <w:rPr>
          <w:rFonts w:ascii="IRNazanin" w:hAnsi="IRNazanin" w:eastAsia="IRNazanin" w:cs="IRNazanin"/>
          <w:lang w:bidi="fa-IR"/>
          <w:color w:val="111111"/>
          <w:sz w:val="28"/>
          <w:szCs w:val="28"/>
          <w:rtl/>
        </w:rPr>
        <w:t xml:space="preserve">هو الشیخ عبد الجواد بن الملا عباس نزیل المشهد الرضوی، المولود (1281) و المتوفی فی (1344) قال رشید الیاسمی المتوفی (1370) فی أدبیات معاصر- ص 14 إنه فی قرب ستة آلاف بیت، و ذکر بعض غزلیاته‏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6" w:name="pg11704_121543"/>
    <w:bookmarkEnd w:id="66"/>
    <w:p>
      <w:pPr>
        <w:pStyle w:val="BookText"/>
      </w:pPr>
      <w:r>
        <w:rPr>
          <w:rFonts w:ascii="IRNazanin" w:hAnsi="IRNazanin" w:eastAsia="IRNazanin" w:cs="IRNazanin"/>
          <w:lang w:bidi="fa-IR"/>
          <w:color w:val="111111"/>
          <w:sz w:val="28"/>
          <w:szCs w:val="28"/>
          <w:rtl/>
        </w:rPr>
        <w:t xml:space="preserve">و ترجمه أحواله و قد طبع أخیرا فی (296 ص)</w:t>
      </w:r>
    </w:p>
    <w:p>
      <w:pPr>
        <w:pStyle w:val="Heading3"/>
      </w:pPr>
      <w:bookmarkStart w:id="1757" w:name="_Toc453"/>
      <w:r>
        <w:t>379- دیوان الإربلی‏</w:t>
      </w:r>
      <w:bookmarkEnd w:id="1757"/>
    </w:p>
    <w:p>
      <w:pPr>
        <w:pStyle w:val="BookText"/>
      </w:pPr>
      <w:r>
        <w:rPr>
          <w:rFonts w:ascii="IRNazanin" w:hAnsi="IRNazanin" w:eastAsia="IRNazanin" w:cs="IRNazanin"/>
          <w:lang w:bidi="fa-IR"/>
          <w:color w:val="111111"/>
          <w:sz w:val="28"/>
          <w:szCs w:val="28"/>
          <w:rtl/>
        </w:rPr>
        <w:t xml:space="preserve">هو الوزیر الصاحب بهاء الدین أبو الحسن علی بن فخر الدین عیسی بن أبی الفتح الإربلی المتوفی (692) و دفن بداره فی غربی بغداد و هو العالم المحدث مؤلف کشف الغمة الذی قرأه علیه جمع کثیر، قد کتب لهم الإجازة فی روایتهم عنه فی (691) فصلناهم فی (ج 1- ص 219) ترجمه الشیخ الحر فی أمل الآمل و ذکر تصانیفه و منها الدیوان هذا و فیه مدائح کثیرة و مراثی للأئمة علیه السلام</w:t>
      </w:r>
    </w:p>
    <w:p>
      <w:pPr>
        <w:pStyle w:val="Heading3"/>
      </w:pPr>
      <w:bookmarkStart w:id="1758" w:name="_Toc454"/>
      <w:r>
        <w:t>دیوان أرجاسب تهرانی‏</w:t>
      </w:r>
      <w:bookmarkEnd w:id="1758"/>
    </w:p>
    <w:p>
      <w:pPr>
        <w:pStyle w:val="BookText"/>
      </w:pPr>
      <w:r>
        <w:rPr>
          <w:rFonts w:ascii="IRNazanin" w:hAnsi="IRNazanin" w:eastAsia="IRNazanin" w:cs="IRNazanin"/>
          <w:lang w:bidi="fa-IR"/>
          <w:color w:val="111111"/>
          <w:sz w:val="28"/>
          <w:szCs w:val="28"/>
          <w:rtl/>
        </w:rPr>
        <w:t xml:space="preserve">یأتی بتخلصه أمیدی طهرانی‏</w:t>
      </w:r>
    </w:p>
    <w:p>
      <w:pPr>
        <w:pStyle w:val="Heading3"/>
      </w:pPr>
      <w:bookmarkStart w:id="1759" w:name="_Toc455"/>
      <w:r>
        <w:t>380- دیوان الأرجانی‏</w:t>
      </w:r>
      <w:bookmarkEnd w:id="1759"/>
    </w:p>
    <w:p>
      <w:pPr>
        <w:pStyle w:val="BookText"/>
      </w:pPr>
      <w:r>
        <w:rPr>
          <w:rFonts w:ascii="IRNazanin" w:hAnsi="IRNazanin" w:eastAsia="IRNazanin" w:cs="IRNazanin"/>
          <w:lang w:bidi="fa-IR"/>
          <w:color w:val="111111"/>
          <w:sz w:val="28"/>
          <w:szCs w:val="28"/>
          <w:rtl/>
        </w:rPr>
        <w:t xml:space="preserve">موجود فی مکتبة الأزهر بمصر و فی الموصل کما فی فهرسیهما و أرجان متوسطة بین شیراز و أهواز و إلیها ینسب جمع من أهل العلم ذکرهم فی معجم البلدان (ج 1 ص 181) قال و منهم القاضی أبو بکر أحمد بن محمد بن الحسین الأرجانی الشاعر الشهیر کان قاضی تستر ولد حدود (460) و توفی بتستر (544) أقول هو ناظم هذا الدیوان و رأیته فی طهران فی مکتبة السید جلال الدین المحدث الأرومی نزیل طهران، و فیه قصائد فی مدح الوزیر الشیعی الشهیر الخواجة شرف الدین أنوشیروان بن خالد المتوفی بکاشان (532) یقرب من مائتی بیت، و فیه أیضا مدیح نقیب النقباء شرف الدین علی بن طراد الزینبی أیام وزارته للمسترشد الذی قتل (529) و فیه ما عمله بأصفهان فی (521) فی غلام ترکی طبال الدبوق و ذکره فی کفظ ج 1- ص 504 و قال إن شعره لطیف و قد طبع ببیروت بتصحیح أحمد الأزهری (1307) فی (453 ص)</w:t>
      </w:r>
    </w:p>
    <w:p>
      <w:pPr>
        <w:pStyle w:val="Heading3"/>
      </w:pPr>
      <w:bookmarkStart w:id="1760" w:name="_Toc456"/>
      <w:r>
        <w:t>دیوان أردستانی‏</w:t>
      </w:r>
      <w:bookmarkEnd w:id="1760"/>
    </w:p>
    <w:p>
      <w:pPr>
        <w:pStyle w:val="BookText"/>
      </w:pPr>
      <w:r>
        <w:rPr>
          <w:rFonts w:ascii="IRNazanin" w:hAnsi="IRNazanin" w:eastAsia="IRNazanin" w:cs="IRNazanin"/>
          <w:lang w:bidi="fa-IR"/>
          <w:color w:val="111111"/>
          <w:sz w:val="28"/>
          <w:szCs w:val="28"/>
          <w:rtl/>
        </w:rPr>
        <w:t xml:space="preserve">یأتی بعنوان دیوان پیر جمال أردستانی‏</w:t>
      </w:r>
    </w:p>
    <w:p>
      <w:pPr>
        <w:pStyle w:val="Heading3"/>
      </w:pPr>
      <w:bookmarkStart w:id="1761" w:name="_Toc457"/>
      <w:r>
        <w:t>381- دیوان أردو أو شعره‏</w:t>
      </w:r>
      <w:bookmarkEnd w:id="1761"/>
    </w:p>
    <w:p>
      <w:pPr>
        <w:pStyle w:val="BookText"/>
      </w:pPr>
      <w:r>
        <w:rPr>
          <w:rFonts w:ascii="IRNazanin" w:hAnsi="IRNazanin" w:eastAsia="IRNazanin" w:cs="IRNazanin"/>
          <w:lang w:bidi="fa-IR"/>
          <w:color w:val="111111"/>
          <w:sz w:val="28"/>
          <w:szCs w:val="28"/>
          <w:rtl/>
        </w:rPr>
        <w:t xml:space="preserve">للمیرزا رحیم الأردوبادی ولد بتبریز ترجمه فی دجا ص 36 و نقل شعره عن حدیقة الشعراء</w:t>
      </w:r>
    </w:p>
    <w:p>
      <w:pPr>
        <w:pStyle w:val="Heading3"/>
      </w:pPr>
      <w:bookmarkStart w:id="1762" w:name="_Toc458"/>
      <w:r>
        <w:t>دیوان أردوی‏</w:t>
      </w:r>
      <w:bookmarkEnd w:id="1762"/>
    </w:p>
    <w:p>
      <w:pPr>
        <w:pStyle w:val="BookText"/>
      </w:pPr>
      <w:r>
        <w:rPr>
          <w:rFonts w:ascii="IRNazanin" w:hAnsi="IRNazanin" w:eastAsia="IRNazanin" w:cs="IRNazanin"/>
          <w:lang w:bidi="fa-IR"/>
          <w:color w:val="111111"/>
          <w:sz w:val="28"/>
          <w:szCs w:val="28"/>
          <w:rtl/>
        </w:rPr>
        <w:t xml:space="preserve">لبعض شعراء الهند مر باسمه خزینة الخیال فی (ج 7- ص 158)</w:t>
      </w:r>
    </w:p>
    <w:p>
      <w:pPr>
        <w:pStyle w:val="Heading3"/>
      </w:pPr>
      <w:bookmarkStart w:id="1763" w:name="_Toc459"/>
      <w:r>
        <w:t>دیوان أرسلان‏</w:t>
      </w:r>
      <w:bookmarkEnd w:id="1763"/>
    </w:p>
    <w:p>
      <w:pPr>
        <w:pStyle w:val="BookText"/>
      </w:pPr>
      <w:r>
        <w:rPr>
          <w:rFonts w:ascii="IRNazanin" w:hAnsi="IRNazanin" w:eastAsia="IRNazanin" w:cs="IRNazanin"/>
          <w:lang w:bidi="fa-IR"/>
          <w:color w:val="111111"/>
          <w:sz w:val="28"/>
          <w:szCs w:val="28"/>
          <w:rtl/>
        </w:rPr>
        <w:t xml:space="preserve">یأتی بعنوان دیوان قاسم طوسی لاشتهاره به‏</w:t>
      </w:r>
    </w:p>
    <w:p>
      <w:pPr>
        <w:pStyle w:val="Heading3"/>
      </w:pPr>
      <w:bookmarkStart w:id="1764" w:name="_Toc460"/>
      <w:r>
        <w:t>382- دیوان إرشاد أو شعره‏</w:t>
      </w:r>
      <w:bookmarkEnd w:id="1764"/>
    </w:p>
    <w:p>
      <w:pPr>
        <w:pStyle w:val="BookText"/>
      </w:pPr>
      <w:r>
        <w:rPr>
          <w:rFonts w:ascii="IRNazanin" w:hAnsi="IRNazanin" w:eastAsia="IRNazanin" w:cs="IRNazanin"/>
          <w:lang w:bidi="fa-IR"/>
          <w:color w:val="111111"/>
          <w:sz w:val="28"/>
          <w:szCs w:val="28"/>
          <w:rtl/>
        </w:rPr>
        <w:t xml:space="preserve">و هو من شعراء آذربایجان بالترکیة ترجمه فی دجا- ص 36 عن حدیقة الشعراء</w:t>
      </w:r>
    </w:p>
    <w:p>
      <w:pPr>
        <w:pStyle w:val="Heading3"/>
      </w:pPr>
      <w:bookmarkStart w:id="1765" w:name="_Toc461"/>
      <w:r>
        <w:t>383- دیوان أرشد الشیرازی‏</w:t>
      </w:r>
      <w:bookmarkEnd w:id="1765"/>
    </w:p>
    <w:p>
      <w:pPr>
        <w:pStyle w:val="BookText"/>
      </w:pPr>
      <w:r>
        <w:rPr>
          <w:rFonts w:ascii="IRNazanin" w:hAnsi="IRNazanin" w:eastAsia="IRNazanin" w:cs="IRNazanin"/>
          <w:lang w:bidi="fa-IR"/>
          <w:color w:val="111111"/>
          <w:sz w:val="28"/>
          <w:szCs w:val="28"/>
          <w:rtl/>
        </w:rPr>
        <w:t xml:space="preserve">کان یتعشق للمیر السید الشریف الجرجانی و کان‏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7" w:name="pg11704_121544"/>
    <w:bookmarkEnd w:id="67"/>
    <w:p>
      <w:pPr>
        <w:pStyle w:val="BookText"/>
      </w:pPr>
      <w:r>
        <w:rPr>
          <w:rFonts w:ascii="IRNazanin" w:hAnsi="IRNazanin" w:eastAsia="IRNazanin" w:cs="IRNazanin"/>
          <w:lang w:bidi="fa-IR"/>
          <w:color w:val="111111"/>
          <w:sz w:val="28"/>
          <w:szCs w:val="28"/>
          <w:rtl/>
        </w:rPr>
        <w:t xml:space="preserve">أکثر شعره له ترجمه الحکیم شاه محمد فی (بهش- ص 400) و أورد مطلع غزلین له و کذا فی (تش- 298) توجد نسخته بالمتحف البریطانی کما فی فهرس ریو و سماه فی نگارستان سخن أرشد کازرونی‏</w:t>
      </w:r>
    </w:p>
    <w:p>
      <w:pPr>
        <w:pStyle w:val="Heading3"/>
      </w:pPr>
      <w:bookmarkStart w:id="1766" w:name="_Toc462"/>
      <w:r>
        <w:t>دیوان أرشدی سمرقندی‏</w:t>
      </w:r>
      <w:bookmarkEnd w:id="1766"/>
    </w:p>
    <w:p>
      <w:pPr>
        <w:pStyle w:val="BookText"/>
      </w:pPr>
      <w:r>
        <w:rPr>
          <w:rFonts w:ascii="IRNazanin" w:hAnsi="IRNazanin" w:eastAsia="IRNazanin" w:cs="IRNazanin"/>
          <w:lang w:bidi="fa-IR"/>
          <w:color w:val="111111"/>
          <w:sz w:val="28"/>
          <w:szCs w:val="28"/>
          <w:rtl/>
        </w:rPr>
        <w:t xml:space="preserve">یأتی بعنوان دیوان رشیدی السمرقندی کذا فی (خزانة عامرة) و قال فی (روشن) إنه هو رشید الوطواط صاحب حدائق السحر</w:t>
      </w:r>
    </w:p>
    <w:p>
      <w:pPr>
        <w:pStyle w:val="Heading3"/>
      </w:pPr>
      <w:bookmarkStart w:id="1767" w:name="_Toc463"/>
      <w:r>
        <w:t>384- دیوان میر أرغون أو شعره‏</w:t>
      </w:r>
      <w:bookmarkEnd w:id="1767"/>
    </w:p>
    <w:p>
      <w:pPr>
        <w:pStyle w:val="BookText"/>
      </w:pPr>
      <w:r>
        <w:rPr>
          <w:rFonts w:ascii="IRNazanin" w:hAnsi="IRNazanin" w:eastAsia="IRNazanin" w:cs="IRNazanin"/>
          <w:lang w:bidi="fa-IR"/>
          <w:color w:val="111111"/>
          <w:sz w:val="28"/>
          <w:szCs w:val="28"/>
          <w:rtl/>
        </w:rPr>
        <w:t xml:space="preserve">و هو من قدماء الشعراء فی هراة و توفی بها و غالب شعره معمیات منها باسم محمود ذکره شاه محمد القزوینی فی (مجن- ص 217)</w:t>
      </w:r>
    </w:p>
    <w:p>
      <w:pPr>
        <w:pStyle w:val="Heading3"/>
      </w:pPr>
      <w:bookmarkStart w:id="1768" w:name="_Toc464"/>
      <w:r>
        <w:t>385- دیوان أرفع التبریزی أو شعره‏</w:t>
      </w:r>
      <w:bookmarkEnd w:id="1768"/>
    </w:p>
    <w:p>
      <w:pPr>
        <w:pStyle w:val="BookText"/>
      </w:pPr>
      <w:r>
        <w:rPr>
          <w:rFonts w:ascii="IRNazanin" w:hAnsi="IRNazanin" w:eastAsia="IRNazanin" w:cs="IRNazanin"/>
          <w:lang w:bidi="fa-IR"/>
          <w:color w:val="111111"/>
          <w:sz w:val="28"/>
          <w:szCs w:val="28"/>
          <w:rtl/>
        </w:rPr>
        <w:t xml:space="preserve">هو الشیخ عماد بن إبراهیم التبریزی ترجمه فی (نر- ص 404) و أورد بعض شعره، و کذا فی (گلشن- ص 22)</w:t>
      </w:r>
    </w:p>
    <w:p>
      <w:pPr>
        <w:pStyle w:val="Heading3"/>
      </w:pPr>
      <w:bookmarkStart w:id="1769" w:name="_Toc465"/>
      <w:r>
        <w:t>دیوان أرفع‏</w:t>
      </w:r>
      <w:bookmarkEnd w:id="1769"/>
    </w:p>
    <w:p>
      <w:pPr>
        <w:pStyle w:val="BookText"/>
      </w:pPr>
      <w:r>
        <w:rPr>
          <w:rFonts w:ascii="IRNazanin" w:hAnsi="IRNazanin" w:eastAsia="IRNazanin" w:cs="IRNazanin"/>
          <w:lang w:bidi="fa-IR"/>
          <w:color w:val="111111"/>
          <w:sz w:val="28"/>
          <w:szCs w:val="28"/>
          <w:rtl/>
        </w:rPr>
        <w:t xml:space="preserve">لپرنس أرفع الدولة یأتی بعنوان دیوان دانش‏</w:t>
      </w:r>
    </w:p>
    <w:p>
      <w:pPr>
        <w:pStyle w:val="Heading3"/>
      </w:pPr>
      <w:bookmarkStart w:id="1770" w:name="_Toc466"/>
      <w:r>
        <w:t>386- دیوان الأزرقی‏</w:t>
      </w:r>
      <w:bookmarkEnd w:id="1770"/>
    </w:p>
    <w:p>
      <w:pPr>
        <w:pStyle w:val="BookText"/>
      </w:pPr>
      <w:r>
        <w:rPr>
          <w:rFonts w:ascii="IRNazanin" w:hAnsi="IRNazanin" w:eastAsia="IRNazanin" w:cs="IRNazanin"/>
          <w:lang w:bidi="fa-IR"/>
          <w:color w:val="111111"/>
          <w:sz w:val="28"/>
          <w:szCs w:val="28"/>
          <w:rtl/>
        </w:rPr>
        <w:t xml:space="preserve">للحکیم (زین الدین) أفضل الدین أبی بکر بن إسماعیل الوراق الهروی المتوفی قبل (465) و کان والده إسماعیل الوراق قد آوی الفردوسی المتوفی (411) حین اختفائه عن السلطان محمود مدة ستة أشهر، و فیه مدح طغان شاه بن أرسلان الحاکم فی هرات من طرف السلطان عضد الدین أبو شجاع ألب أرسلان بن چغر بیک السلجوقی الذی ولد (421) و مات (465) کما صرح بذلک فی خزانة عامرة ص 11، و لیس الممدوح هو طغان شاه بن المؤید الذی توفی (581) کما فصل ذلک أیضا فی فهرس (سپهسالار- ج 2- ص 558) یوجد قصائده فی مکتبة (سپهسالار) فی (1795) بیتا و فی مکتبة (المجلس) القصائد و الرباعیات فی (2406) بیتا أوله:</w:t>
      </w:r>
    </w:p>
    <w:p>
      <w:pPr>
        <w:pStyle w:val="BookText"/>
      </w:pPr>
      <w:r>
        <w:rPr>
          <w:rFonts w:ascii="IRNazanin" w:hAnsi="IRNazanin" w:eastAsia="IRNazanin" w:cs="IRNazanin"/>
          <w:lang w:bidi="fa-IR"/>
          <w:color w:val="111111"/>
          <w:sz w:val="28"/>
          <w:szCs w:val="28"/>
          <w:rtl/>
        </w:rPr>
        <w:t xml:space="preserve">چه جرم است اینکه هر ساعت ز موج نیلگون دریا</w:t>
      </w:r>
    </w:p>
    <w:p>
      <w:pPr>
        <w:pStyle w:val="BookText"/>
      </w:pPr>
      <w:r>
        <w:rPr>
          <w:rFonts w:ascii="IRNazanin" w:hAnsi="IRNazanin" w:eastAsia="IRNazanin" w:cs="IRNazanin"/>
          <w:lang w:bidi="fa-IR"/>
          <w:color w:val="111111"/>
          <w:sz w:val="28"/>
          <w:szCs w:val="28"/>
          <w:rtl/>
        </w:rPr>
        <w:t xml:space="preserve">زمین را سایه‏بان بندد به پیش گنبد خضرا</w:t>
      </w:r>
    </w:p>
    <w:p>
      <w:pPr>
        <w:pStyle w:val="BookText"/>
      </w:pPr>
      <w:r>
        <w:rPr>
          <w:rFonts w:ascii="IRNazanin" w:hAnsi="IRNazanin" w:eastAsia="IRNazanin" w:cs="IRNazanin"/>
          <w:lang w:bidi="fa-IR"/>
          <w:color w:val="111111"/>
          <w:sz w:val="28"/>
          <w:szCs w:val="28"/>
          <w:rtl/>
        </w:rPr>
        <w:t xml:space="preserve">ترجمه فی (تش- 143) و دولت شاه فی الطبعة الثانیة و ذکر له فی مجمع الفصحاء (ج 1- ص 139) (762) بیتا، و فی لباب الباب (224) بیتا، و مجموع ما طبع منه فی الکتابین (986) و لم یطبع بقیته و من شعره فی فتح سیستان قوله:-</w:t>
      </w:r>
    </w:p>
    <w:p>
      <w:pPr>
        <w:pStyle w:val="BookText"/>
      </w:pPr>
      <w:r>
        <w:rPr>
          <w:rFonts w:ascii="IRNazanin" w:hAnsi="IRNazanin" w:eastAsia="IRNazanin" w:cs="IRNazanin"/>
          <w:lang w:bidi="fa-IR"/>
          <w:color w:val="111111"/>
          <w:sz w:val="28"/>
          <w:szCs w:val="28"/>
          <w:rtl/>
        </w:rPr>
        <w:t xml:space="preserve">بدربند سجستان آنچه أو کرد</w:t>
      </w:r>
    </w:p>
    <w:p>
      <w:pPr>
        <w:pStyle w:val="BookText"/>
      </w:pPr>
      <w:r>
        <w:rPr>
          <w:rFonts w:ascii="IRNazanin" w:hAnsi="IRNazanin" w:eastAsia="IRNazanin" w:cs="IRNazanin"/>
          <w:lang w:bidi="fa-IR"/>
          <w:color w:val="111111"/>
          <w:sz w:val="28"/>
          <w:szCs w:val="28"/>
          <w:rtl/>
        </w:rPr>
        <w:t xml:space="preserve">علی کرد از دل بازو بخیبر</w:t>
      </w:r>
    </w:p>
    <w:p>
      <w:pPr>
        <w:pStyle w:val="BookText"/>
      </w:pPr>
      <w:r>
        <w:rPr>
          <w:rFonts w:ascii="IRNazanin" w:hAnsi="IRNazanin" w:eastAsia="IRNazanin" w:cs="IRNazanin"/>
          <w:lang w:bidi="fa-IR"/>
          <w:color w:val="111111"/>
          <w:sz w:val="28"/>
          <w:szCs w:val="28"/>
          <w:rtl/>
        </w:rPr>
        <w:t xml:space="preserve">هکذا فی (خز- ص 11): و لکن فی مجمع الفصحاء نقل البیت هکذا:-</w:t>
      </w:r>
    </w:p>
    <w:p>
      <w:pPr>
        <w:pStyle w:val="BookText"/>
      </w:pPr>
      <w:r>
        <w:rPr>
          <w:rFonts w:ascii="IRNazanin" w:hAnsi="IRNazanin" w:eastAsia="IRNazanin" w:cs="IRNazanin"/>
          <w:lang w:bidi="fa-IR"/>
          <w:color w:val="111111"/>
          <w:sz w:val="28"/>
          <w:szCs w:val="28"/>
          <w:rtl/>
        </w:rPr>
        <w:t xml:space="preserve">بدربند سجستان أو چها کرد</w:t>
      </w:r>
    </w:p>
    <w:p>
      <w:pPr>
        <w:pStyle w:val="BookText"/>
      </w:pPr>
      <w:r>
        <w:rPr>
          <w:rFonts w:ascii="IRNazanin" w:hAnsi="IRNazanin" w:eastAsia="IRNazanin" w:cs="IRNazanin"/>
          <w:lang w:bidi="fa-IR"/>
          <w:color w:val="111111"/>
          <w:sz w:val="28"/>
          <w:szCs w:val="28"/>
          <w:rtl/>
        </w:rPr>
        <w:t xml:space="preserve">مثال کرده حیدر بخیبر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8" w:name="pg11704_121545"/>
    <w:bookmarkEnd w:id="68"/>
    <w:p>
      <w:pPr>
        <w:pStyle w:val="BookText"/>
      </w:pPr>
      <w:r>
        <w:rPr>
          <w:rFonts w:ascii="IRNazanin" w:hAnsi="IRNazanin" w:eastAsia="IRNazanin" w:cs="IRNazanin"/>
          <w:lang w:bidi="fa-IR"/>
          <w:color w:val="111111"/>
          <w:sz w:val="28"/>
          <w:szCs w:val="28"/>
          <w:rtl/>
        </w:rPr>
        <w:t xml:space="preserve">و الاختلاف من تصرفات النساخ و توجد نسخه من الدیوان عند (محمد آقا النخجوانی) و أخری فی (الرضویة) و خمسة نسخ فی مکتبة (الملک) کما فی فهرسها المخطوط بأرقام (12 و 46 و 144 و 257 و 53) و الأخیر تشتمل علی القصائد فقط فی (1500 بیت) و نسخه نفیسة عند سعید النفیسی بطهران‏</w:t>
      </w:r>
    </w:p>
    <w:p>
      <w:pPr>
        <w:pStyle w:val="Heading3"/>
      </w:pPr>
      <w:bookmarkStart w:id="1771" w:name="_Toc467"/>
      <w:r>
        <w:t>387- دیوان الأزری‏</w:t>
      </w:r>
      <w:bookmarkEnd w:id="1771"/>
    </w:p>
    <w:p>
      <w:pPr>
        <w:pStyle w:val="BookText"/>
      </w:pPr>
      <w:r>
        <w:rPr>
          <w:rFonts w:ascii="IRNazanin" w:hAnsi="IRNazanin" w:eastAsia="IRNazanin" w:cs="IRNazanin"/>
          <w:lang w:bidi="fa-IR"/>
          <w:color w:val="111111"/>
          <w:sz w:val="28"/>
          <w:szCs w:val="28"/>
          <w:rtl/>
        </w:rPr>
        <w:t xml:space="preserve">للحاج عبد الحسین الأزری المعاصر المولود (1292) و هو منشی جریدة المصباح فی (1911 م) و له تاریخ العراق قدیما و حدیثا المذکور فی (ج 3- ص 264) لم یطبع دیوانه و فیه القصیدة التی عارض بها الرصافی، فی قوله بحریة النساء فأثبت فیها وجوب الحجاب و أنکر التساوی‏</w:t>
      </w:r>
    </w:p>
    <w:p>
      <w:pPr>
        <w:pStyle w:val="Heading3"/>
      </w:pPr>
      <w:bookmarkStart w:id="1772" w:name="_Toc468"/>
      <w:r>
        <w:t>388- دیوان الأزری‏</w:t>
      </w:r>
      <w:bookmarkEnd w:id="1772"/>
    </w:p>
    <w:p>
      <w:pPr>
        <w:pStyle w:val="BookText"/>
      </w:pPr>
      <w:r>
        <w:rPr>
          <w:rFonts w:ascii="IRNazanin" w:hAnsi="IRNazanin" w:eastAsia="IRNazanin" w:cs="IRNazanin"/>
          <w:lang w:bidi="fa-IR"/>
          <w:color w:val="111111"/>
          <w:sz w:val="28"/>
          <w:szCs w:val="28"/>
          <w:rtl/>
        </w:rPr>
        <w:t xml:space="preserve">للشیخ کاظم بن الحاج محمد بن الحاج مراد بن الحاج مهدی بن إبراهیم ابن عبد الصمد بن علی التمیمی البغدادی المولود (1143) و المتوفی (1 ج 1- 1211) و المدفون بالکاظمیة تجاه المقبرة المنسوبة إلی الشریف المرتضی، کما وجد بها علی لوحة قبره و هو صاحب الهائیة المخمسة المطبوعة مستقلة، جمع دیوانه و رتبه علی الحروف السید محمد رشید بن السید داود السعدی البغدادی و لم یدرج فیه الهائیة متعذرا بأنها مستقلة، و طبع بمطبعة المصطفویة فی بمبئی (1320) فی (192 ص) و رأیت عند (السبزواری) مجموعة من قصائد الأزری و فیها الهائیة أیضا، و هی بخط الشیخ رضا بن محمد المرندی فیظهر أنه جمع آخر لهذا المقدار من شعره لغیر السید محمد رشید، و لعل الجامع هو الکاتب نفسه و رأیت للأزری هذا تقریظ القصیدة الکراریة فی (1166) فی خمسة و ثلاثین بیتا، و هو آخر المقرظین الثمانیة عشرة للقصیدة و ترجمه سیدنا الحسن صدر الدین فی التکملة مفصلا، و ذکر أنه کان من المحترمین عند السید بحر العلوم و یعظمه کثیرا لحسن مناظرته مع الخصوم، و ترجم أیضا أخویه الشیخ محمد یوسف الأکبر المتوفی (1212) کما أرخه محمد الزینی فی قصیدة رثائه و الشیخ محمد رضا الآتی ذکره، و نقلت نسبهم کذلک عن خط الشیخ محمد یوسف المذکور فی آخر شرح النخبة له فی النحو فی (1170)</w:t>
      </w:r>
    </w:p>
    <w:p>
      <w:pPr>
        <w:pStyle w:val="Heading3"/>
      </w:pPr>
      <w:bookmarkStart w:id="1773" w:name="_Toc469"/>
      <w:r>
        <w:t>389- دیوان الأزری الصغیر</w:t>
      </w:r>
      <w:bookmarkEnd w:id="1773"/>
    </w:p>
    <w:p>
      <w:pPr>
        <w:pStyle w:val="BookText"/>
      </w:pPr>
      <w:r>
        <w:rPr>
          <w:rFonts w:ascii="IRNazanin" w:hAnsi="IRNazanin" w:eastAsia="IRNazanin" w:cs="IRNazanin"/>
          <w:lang w:bidi="fa-IR"/>
          <w:color w:val="111111"/>
          <w:sz w:val="28"/>
          <w:szCs w:val="28"/>
          <w:rtl/>
        </w:rPr>
        <w:t xml:space="preserve">و هو الشیخ محمد رضا بن محمد بن مراد الأزری و هو أصغر الإخوة الثلاثة ولد فی نیف و ستین و مائة و ألف و توفی (1240) أو بعدها بقلیل ترجمه أیضا سیدنا فی التکملة و قال إنه إمام الأدب و لسان العرب المفضل عند علماء الأدب‏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9" w:name="pg11704_121546"/>
    <w:bookmarkEnd w:id="69"/>
    <w:p>
      <w:pPr>
        <w:pStyle w:val="BookText"/>
      </w:pPr>
      <w:r>
        <w:rPr>
          <w:rFonts w:ascii="IRNazanin" w:hAnsi="IRNazanin" w:eastAsia="IRNazanin" w:cs="IRNazanin"/>
          <w:lang w:bidi="fa-IR"/>
          <w:color w:val="111111"/>
          <w:sz w:val="28"/>
          <w:szCs w:val="28"/>
          <w:rtl/>
        </w:rPr>
        <w:t xml:space="preserve">علی أخیه الشیخ کاظم الأزری، و دیوان شعره کله ملیح، و له نظم حدیث الکساء و مجارات المعلقات السبع فی مدح أمیر المؤمنین علیه السلام  و قد فاق فیها علی أربابها، و له قصائد کثیرة کل شطر منها تاریخ، منها قصیدة فی مدح بحر العلوم فی (1205)</w:t>
      </w:r>
    </w:p>
    <w:p>
      <w:pPr>
        <w:pStyle w:val="Heading3"/>
      </w:pPr>
      <w:bookmarkStart w:id="1774" w:name="_Toc470"/>
      <w:r>
        <w:t>390- دیوان الأزری‏</w:t>
      </w:r>
      <w:bookmarkEnd w:id="1774"/>
    </w:p>
    <w:p>
      <w:pPr>
        <w:pStyle w:val="BookText"/>
      </w:pPr>
      <w:r>
        <w:rPr>
          <w:rFonts w:ascii="IRNazanin" w:hAnsi="IRNazanin" w:eastAsia="IRNazanin" w:cs="IRNazanin"/>
          <w:lang w:bidi="fa-IR"/>
          <w:color w:val="111111"/>
          <w:sz w:val="28"/>
          <w:szCs w:val="28"/>
          <w:rtl/>
        </w:rPr>
        <w:t xml:space="preserve">للشیخ مسعود الشاعر الشهیر فی عصره بالأزری و هو ابن الشیخ محمد یوسف الذی مر أنه توفی (1212) و کان له ولدان عالمان فاضلان أحدهما الشیخ مسعود هذا و الآخر الشیخ راضی ترجمها سیدنا فی التکملة و ذکر أنهما توفیا (1246) و صرح بأن الشیخ مسعود له تصانیف و دیوان شعر</w:t>
      </w:r>
    </w:p>
    <w:p>
      <w:pPr>
        <w:pStyle w:val="Heading3"/>
      </w:pPr>
      <w:bookmarkStart w:id="1775" w:name="_Toc471"/>
      <w:r>
        <w:t>391- دیوان أسامة</w:t>
      </w:r>
      <w:bookmarkEnd w:id="1775"/>
    </w:p>
    <w:p>
      <w:pPr>
        <w:pStyle w:val="BookText"/>
      </w:pPr>
      <w:r>
        <w:rPr>
          <w:rFonts w:ascii="IRNazanin" w:hAnsi="IRNazanin" w:eastAsia="IRNazanin" w:cs="IRNazanin"/>
          <w:lang w:bidi="fa-IR"/>
          <w:color w:val="111111"/>
          <w:sz w:val="28"/>
          <w:szCs w:val="28"/>
          <w:rtl/>
        </w:rPr>
        <w:t xml:space="preserve">بن مرشد بن مقلد بن نصر بن منقذ الملقب بمؤید الدولة مجد الدین الکنانی الکلبی الشیرازی، ذکر تمام نسبه فی (جمد- ج 5- ص 88- 249) و ترجمه ابن خلکان (ج 1- ص 63) و قال دیوانه فی جزءین فی أیدی الناس، و رأیته بخطه و قد ولد (488) فی شیراز بالقرب من حماة و المعرة و حمص و مات بدمشق فی (23 رمضان 548) نسخه منه فی مکتبة شیخ الإسلام السید أحمد عارف حکمة بن السید إبراهیم عصمة الحسینی المدنی المتوفی (1370) بالمدینة المنورة، و هو اثنی عشر ألف بیت یظهر من بعض أشعاره تشیعه‏</w:t>
      </w:r>
    </w:p>
    <w:p>
      <w:pPr>
        <w:pStyle w:val="Heading3"/>
      </w:pPr>
      <w:bookmarkStart w:id="1776" w:name="_Toc472"/>
      <w:r>
        <w:t>392- دیوان أسترآبادی أو شعره‏</w:t>
      </w:r>
      <w:bookmarkEnd w:id="1776"/>
    </w:p>
    <w:p>
      <w:pPr>
        <w:pStyle w:val="BookText"/>
      </w:pPr>
      <w:r>
        <w:rPr>
          <w:rFonts w:ascii="IRNazanin" w:hAnsi="IRNazanin" w:eastAsia="IRNazanin" w:cs="IRNazanin"/>
          <w:lang w:bidi="fa-IR"/>
          <w:color w:val="111111"/>
          <w:sz w:val="28"/>
          <w:szCs w:val="28"/>
          <w:rtl/>
        </w:rPr>
        <w:t xml:space="preserve">هو الأمیر أمین الدین الأسترآبادی کان له مشاعرات مع کاتبی الشاعر و الخواجة علی أورد له فی خیال- ص 70 قطعة فی رد قصیدة لکاتبی اسمها شتر حجره و یأتی دیوان أمین متعددا</w:t>
      </w:r>
    </w:p>
    <w:p>
      <w:pPr>
        <w:pStyle w:val="Heading3"/>
      </w:pPr>
      <w:bookmarkStart w:id="1777" w:name="_Toc473"/>
      <w:r>
        <w:t>393- دیوان استعداد أو شعره‏</w:t>
      </w:r>
      <w:bookmarkEnd w:id="1777"/>
    </w:p>
    <w:p>
      <w:pPr>
        <w:pStyle w:val="BookText"/>
      </w:pPr>
      <w:r>
        <w:rPr>
          <w:rFonts w:ascii="IRNazanin" w:hAnsi="IRNazanin" w:eastAsia="IRNazanin" w:cs="IRNazanin"/>
          <w:lang w:bidi="fa-IR"/>
          <w:color w:val="111111"/>
          <w:sz w:val="28"/>
          <w:szCs w:val="28"/>
          <w:rtl/>
        </w:rPr>
        <w:t xml:space="preserve">و هو المیرزا إبراهیم، و یقال إن أصله من عرب قطنوا الهند ولد بالله‏آباد و نشا بشاه جهان‏آباد، و تلمذ علی عبد الغنی قبول الکشمیری و محمد أفضل ثابت و عبد الرضا متین الأصفهانی أورد شعره فی (گلشن- ص 22)</w:t>
      </w:r>
    </w:p>
    <w:p>
      <w:pPr>
        <w:pStyle w:val="Heading3"/>
      </w:pPr>
      <w:bookmarkStart w:id="1778" w:name="_Toc474"/>
      <w:r>
        <w:t>394- دیوان استغناء أو شعره‏</w:t>
      </w:r>
      <w:bookmarkEnd w:id="1778"/>
    </w:p>
    <w:p>
      <w:pPr>
        <w:pStyle w:val="BookText"/>
      </w:pPr>
      <w:r>
        <w:rPr>
          <w:rFonts w:ascii="IRNazanin" w:hAnsi="IRNazanin" w:eastAsia="IRNazanin" w:cs="IRNazanin"/>
          <w:lang w:bidi="fa-IR"/>
          <w:color w:val="111111"/>
          <w:sz w:val="28"/>
          <w:szCs w:val="28"/>
          <w:rtl/>
        </w:rPr>
        <w:t xml:space="preserve">و هو المیرزا عبد الرسول استغناء من شعراء الهند بالفارسیة، أورد شعره فی (سرخوش- ص 9) و قال: له شعر کثیر بالطراز القدیم‏</w:t>
      </w:r>
    </w:p>
    <w:p>
      <w:pPr>
        <w:pStyle w:val="Heading3"/>
      </w:pPr>
      <w:bookmarkStart w:id="1779" w:name="_Toc475"/>
      <w:r>
        <w:t>395- دیوان السید المیرزا إسحاق البروجردی أو شعره‏</w:t>
      </w:r>
      <w:bookmarkEnd w:id="1779"/>
    </w:p>
    <w:p>
      <w:pPr>
        <w:pStyle w:val="BookText"/>
      </w:pPr>
      <w:r>
        <w:rPr>
          <w:rFonts w:ascii="IRNazanin" w:hAnsi="IRNazanin" w:eastAsia="IRNazanin" w:cs="IRNazanin"/>
          <w:lang w:bidi="fa-IR"/>
          <w:color w:val="111111"/>
          <w:sz w:val="28"/>
          <w:szCs w:val="28"/>
          <w:rtl/>
        </w:rPr>
        <w:t xml:space="preserve">و هو شیخ الإسلام بها توفی (1059) أدرکه النصرآبادی فی أصفهان و ترجمه فی (نر- ص 117) و أورد شعره، و قال إنه نصب ولده مقامه بعد موته و نسبه فی (روشن 43) إلی یزد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70" w:name="pg11704_121547"/>
    <w:bookmarkEnd w:id="70"/>
    <w:p>
      <w:pPr>
        <w:pStyle w:val="Heading3"/>
      </w:pPr>
      <w:bookmarkStart w:id="1780" w:name="_Toc476"/>
      <w:r>
        <w:t>دیوان أسد بخاری‏</w:t>
      </w:r>
      <w:bookmarkEnd w:id="1780"/>
    </w:p>
    <w:p>
      <w:pPr>
        <w:pStyle w:val="BookText"/>
      </w:pPr>
      <w:r>
        <w:rPr>
          <w:rFonts w:ascii="IRNazanin" w:hAnsi="IRNazanin" w:eastAsia="IRNazanin" w:cs="IRNazanin"/>
          <w:lang w:bidi="fa-IR"/>
          <w:color w:val="111111"/>
          <w:sz w:val="28"/>
          <w:szCs w:val="28"/>
          <w:rtl/>
        </w:rPr>
        <w:t xml:space="preserve">یأتی بعنوان دیوان قاصد</w:t>
      </w:r>
    </w:p>
    <w:p>
      <w:pPr>
        <w:pStyle w:val="Heading3"/>
      </w:pPr>
      <w:bookmarkStart w:id="1781" w:name="_Toc477"/>
      <w:r>
        <w:t>396- دیوان أسد بیگ قزوینی‏</w:t>
      </w:r>
      <w:bookmarkEnd w:id="1781"/>
    </w:p>
    <w:p>
      <w:pPr>
        <w:pStyle w:val="BookText"/>
      </w:pPr>
      <w:r>
        <w:rPr>
          <w:rFonts w:ascii="IRNazanin" w:hAnsi="IRNazanin" w:eastAsia="IRNazanin" w:cs="IRNazanin"/>
          <w:lang w:bidi="fa-IR"/>
          <w:color w:val="111111"/>
          <w:sz w:val="28"/>
          <w:szCs w:val="28"/>
          <w:rtl/>
        </w:rPr>
        <w:t xml:space="preserve">ذکره فی القسم الثالث من تذکره میخانه و کذا فی (تش- ص 223)</w:t>
      </w:r>
    </w:p>
    <w:p>
      <w:pPr>
        <w:pStyle w:val="Heading3"/>
      </w:pPr>
      <w:bookmarkStart w:id="1782" w:name="_Toc478"/>
      <w:r>
        <w:t>397- دیوان أسد خان أو شعره‏</w:t>
      </w:r>
      <w:bookmarkEnd w:id="1782"/>
    </w:p>
    <w:p>
      <w:pPr>
        <w:pStyle w:val="BookText"/>
      </w:pPr>
      <w:r>
        <w:rPr>
          <w:rFonts w:ascii="IRNazanin" w:hAnsi="IRNazanin" w:eastAsia="IRNazanin" w:cs="IRNazanin"/>
          <w:lang w:bidi="fa-IR"/>
          <w:color w:val="111111"/>
          <w:sz w:val="28"/>
          <w:szCs w:val="28"/>
          <w:rtl/>
        </w:rPr>
        <w:t xml:space="preserve">و هو ابن ملا حیدر قصةخوان البارع فی قراءة شاهنامه ذهب إلی الهند و تقرب عند جهانگیر پادشاه و مات بالهند فی (1048) ذکره فی (گلشن- ص 23) و أورد شیئا من شعره‏</w:t>
      </w:r>
    </w:p>
    <w:p>
      <w:pPr>
        <w:pStyle w:val="Heading3"/>
      </w:pPr>
      <w:bookmarkStart w:id="1783" w:name="_Toc479"/>
      <w:r>
        <w:t>398- دیوان أسد شوشتری أو شعره‏</w:t>
      </w:r>
      <w:bookmarkEnd w:id="1783"/>
    </w:p>
    <w:p>
      <w:pPr>
        <w:pStyle w:val="BookText"/>
      </w:pPr>
      <w:r>
        <w:rPr>
          <w:rFonts w:ascii="IRNazanin" w:hAnsi="IRNazanin" w:eastAsia="IRNazanin" w:cs="IRNazanin"/>
          <w:lang w:bidi="fa-IR"/>
          <w:color w:val="111111"/>
          <w:sz w:val="28"/>
          <w:szCs w:val="28"/>
          <w:rtl/>
        </w:rPr>
        <w:t xml:space="preserve">هو ابن الحاج إبراهیم التستری ترجمه معاصره فی (نر- ص 137) و أورد بعض شعره و کذا فی (گلشن- ص 23)</w:t>
      </w:r>
    </w:p>
    <w:p>
      <w:pPr>
        <w:pStyle w:val="Heading3"/>
      </w:pPr>
      <w:bookmarkStart w:id="1784" w:name="_Toc480"/>
      <w:r>
        <w:t>دیوان أسد عریان‏</w:t>
      </w:r>
      <w:bookmarkEnd w:id="1784"/>
    </w:p>
    <w:p>
      <w:pPr>
        <w:pStyle w:val="BookText"/>
      </w:pPr>
      <w:r>
        <w:rPr>
          <w:rFonts w:ascii="IRNazanin" w:hAnsi="IRNazanin" w:eastAsia="IRNazanin" w:cs="IRNazanin"/>
          <w:lang w:bidi="fa-IR"/>
          <w:color w:val="111111"/>
          <w:sz w:val="28"/>
          <w:szCs w:val="28"/>
          <w:rtl/>
        </w:rPr>
        <w:t xml:space="preserve">یأتی بعنوان دیوان عریان ذکر فی (نر- 132)</w:t>
      </w:r>
    </w:p>
    <w:p>
      <w:pPr>
        <w:pStyle w:val="Heading3"/>
      </w:pPr>
      <w:bookmarkStart w:id="1785" w:name="_Toc481"/>
      <w:r>
        <w:t>399- دیوان أسد کاشی‏</w:t>
      </w:r>
      <w:bookmarkEnd w:id="1785"/>
    </w:p>
    <w:p>
      <w:pPr>
        <w:pStyle w:val="BookText"/>
      </w:pPr>
      <w:r>
        <w:rPr>
          <w:rFonts w:ascii="IRNazanin" w:hAnsi="IRNazanin" w:eastAsia="IRNazanin" w:cs="IRNazanin"/>
          <w:lang w:bidi="fa-IR"/>
          <w:color w:val="111111"/>
          <w:sz w:val="28"/>
          <w:szCs w:val="28"/>
          <w:rtl/>
        </w:rPr>
        <w:t xml:space="preserve">و هو القاضی أسد القهپائی ولد بقریة بدر من کوهپایه ساوه و هو من العرفاء، أخذ عن الشیخ مؤمن المشهدی و الشیخ کمال السبزواری، و سکن بکاشان للإرشاد مدة فاشتهر به و مات هناک و قبره مزار کما ذکر فی (تش- 240) و فی (ض- ص 283) قال ابتلی أخیرا بالعشق و ترجمه أیضا فی (نر- ص 209) و (گلشن 23)</w:t>
      </w:r>
    </w:p>
    <w:p>
      <w:pPr>
        <w:pStyle w:val="Heading3"/>
      </w:pPr>
      <w:bookmarkStart w:id="1786" w:name="_Toc482"/>
      <w:r>
        <w:t>400- دیوان أسد الله أو شعره‏</w:t>
      </w:r>
      <w:bookmarkEnd w:id="1786"/>
    </w:p>
    <w:p>
      <w:pPr>
        <w:pStyle w:val="BookText"/>
      </w:pPr>
      <w:r>
        <w:rPr>
          <w:rFonts w:ascii="IRNazanin" w:hAnsi="IRNazanin" w:eastAsia="IRNazanin" w:cs="IRNazanin"/>
          <w:lang w:bidi="fa-IR"/>
          <w:color w:val="111111"/>
          <w:sz w:val="28"/>
          <w:szCs w:val="28"/>
          <w:rtl/>
        </w:rPr>
        <w:t xml:space="preserve">ترجمه فی (لط- ص 97) و أورد بعض معمیاته‏</w:t>
      </w:r>
    </w:p>
    <w:p>
      <w:pPr>
        <w:pStyle w:val="Heading3"/>
      </w:pPr>
      <w:bookmarkStart w:id="1787" w:name="_Toc483"/>
      <w:r>
        <w:t>401- دیوان أسد الله تبریزی أصفهانی أو شعره‏</w:t>
      </w:r>
      <w:bookmarkEnd w:id="1787"/>
    </w:p>
    <w:p>
      <w:pPr>
        <w:pStyle w:val="BookText"/>
      </w:pPr>
      <w:r>
        <w:rPr>
          <w:rFonts w:ascii="IRNazanin" w:hAnsi="IRNazanin" w:eastAsia="IRNazanin" w:cs="IRNazanin"/>
          <w:lang w:bidi="fa-IR"/>
          <w:color w:val="111111"/>
          <w:sz w:val="28"/>
          <w:szCs w:val="28"/>
          <w:rtl/>
        </w:rPr>
        <w:t xml:space="preserve">هو صهر زاهد بیگ ترجمه فی فی (نر- ص 310) و کذا فی (گلشن- ص 27)</w:t>
      </w:r>
    </w:p>
    <w:p>
      <w:pPr>
        <w:pStyle w:val="Heading3"/>
      </w:pPr>
      <w:bookmarkStart w:id="1788" w:name="_Toc484"/>
      <w:r>
        <w:t>402- دیوان أسد الله سیرجانی أو شعره‏</w:t>
      </w:r>
      <w:bookmarkEnd w:id="1788"/>
    </w:p>
    <w:p>
      <w:pPr>
        <w:pStyle w:val="BookText"/>
      </w:pPr>
      <w:r>
        <w:rPr>
          <w:rFonts w:ascii="IRNazanin" w:hAnsi="IRNazanin" w:eastAsia="IRNazanin" w:cs="IRNazanin"/>
          <w:lang w:bidi="fa-IR"/>
          <w:color w:val="111111"/>
          <w:sz w:val="28"/>
          <w:szCs w:val="28"/>
          <w:rtl/>
        </w:rPr>
        <w:t xml:space="preserve">من شعراء زیدآباد سیرجان بکرمان فی القرن الثالث عشر أورد شعره السید محمد الهاشمی الکرمانی عضو المجلس بطهران فی تذکرته المخطوطة</w:t>
      </w:r>
    </w:p>
    <w:p>
      <w:pPr>
        <w:pStyle w:val="Heading3"/>
      </w:pPr>
      <w:bookmarkStart w:id="1789" w:name="_Toc485"/>
      <w:r>
        <w:t>403- دیوان أسدی أو شعره‏</w:t>
      </w:r>
      <w:bookmarkEnd w:id="1789"/>
    </w:p>
    <w:p>
      <w:pPr>
        <w:pStyle w:val="BookText"/>
      </w:pPr>
      <w:r>
        <w:rPr>
          <w:rFonts w:ascii="IRNazanin" w:hAnsi="IRNazanin" w:eastAsia="IRNazanin" w:cs="IRNazanin"/>
          <w:lang w:bidi="fa-IR"/>
          <w:color w:val="111111"/>
          <w:sz w:val="28"/>
          <w:szCs w:val="28"/>
          <w:rtl/>
        </w:rPr>
        <w:t xml:space="preserve">توجد له ترجمه 29 کلمة من الکلمات القصار نظما فی مکتبة (المشکاة) و فی آخره تخلصه کما فی فهرس المکتبة (ج 2- ص 140- 141)</w:t>
      </w:r>
    </w:p>
    <w:p>
      <w:pPr>
        <w:pStyle w:val="Heading3"/>
      </w:pPr>
      <w:bookmarkStart w:id="1790" w:name="_Toc486"/>
      <w:r>
        <w:t>404- دیوان أسدی طوسی‏</w:t>
      </w:r>
      <w:bookmarkEnd w:id="1790"/>
    </w:p>
    <w:p>
      <w:pPr>
        <w:pStyle w:val="BookText"/>
      </w:pPr>
      <w:r>
        <w:rPr>
          <w:rFonts w:ascii="IRNazanin" w:hAnsi="IRNazanin" w:eastAsia="IRNazanin" w:cs="IRNazanin"/>
          <w:lang w:bidi="fa-IR"/>
          <w:color w:val="111111"/>
          <w:sz w:val="28"/>
          <w:szCs w:val="28"/>
          <w:rtl/>
        </w:rPr>
        <w:t xml:space="preserve">هو أبو نصر علی بن أحمد الأسدی الطوسی کما کتبه بخطه فی آخر نسخه من حقایق الأدویة فی (عام 447) الموجودة فی برلین له گرشاسب‏نامه نظما فیما یقرب من (9000 بیت) و قصائد فی المناظرة بین: السماء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71" w:name="pg11704_121548"/>
    <w:bookmarkEnd w:id="71"/>
    <w:p>
      <w:pPr>
        <w:pStyle w:val="BookText"/>
      </w:pPr>
      <w:r>
        <w:rPr>
          <w:rFonts w:ascii="IRNazanin" w:hAnsi="IRNazanin" w:eastAsia="IRNazanin" w:cs="IRNazanin"/>
          <w:lang w:bidi="fa-IR"/>
          <w:color w:val="111111"/>
          <w:sz w:val="28"/>
          <w:szCs w:val="28"/>
          <w:rtl/>
        </w:rPr>
        <w:t xml:space="preserve">و الأرض، المسلم و المجوس، القوس و الرمح، اللیل و النهار، العرب و العجم و لم أر الأخیر منها و یقال إن أربعة آلاف بیت من آخر الشاهنامة للفردوسی، هو من نظم الأسدی هذا و له فرهنگ أسدی و هو أقدم کتاب فی لغة الفرس طبع بأروپا و طهران قال فی (مع: 1: 107) مات الأسدی فی (465) و قال فی شاهد صادق مات فی (425) ترجمه فی مجالس المؤمنین و فی دولت شاه و آتشکده آذر و مجمع الفصحاء و مرآة الخیال و غیره و قد جمع أخلاقیات گرشاسب‏نامه رشید الیاسمی و طبعها مستقلا باسم اندرزنامه أسدی‏</w:t>
      </w:r>
    </w:p>
    <w:p>
      <w:pPr>
        <w:pStyle w:val="Heading3"/>
      </w:pPr>
      <w:bookmarkStart w:id="1791" w:name="_Toc487"/>
      <w:r>
        <w:t>405- دیوان اسرار تبریزی‏</w:t>
      </w:r>
      <w:bookmarkEnd w:id="1791"/>
    </w:p>
    <w:p>
      <w:pPr>
        <w:pStyle w:val="BookText"/>
      </w:pPr>
      <w:r>
        <w:rPr>
          <w:rFonts w:ascii="IRNazanin" w:hAnsi="IRNazanin" w:eastAsia="IRNazanin" w:cs="IRNazanin"/>
          <w:lang w:bidi="fa-IR"/>
          <w:color w:val="111111"/>
          <w:sz w:val="28"/>
          <w:szCs w:val="28"/>
          <w:rtl/>
        </w:rPr>
        <w:t xml:space="preserve">لعلی شاه التبریزی المولود فی (1265) قال فی (دجا- ص 40) إنه مشتمل علی خمسة و عشرین ألف بیت، و له أیضا حدیقة الشعراء الذی فاتنا ذکره فی محله و لهجة الشعراء الآتی فی حرف اللام و أورد بعض غزلیاته الفارسیة</w:t>
      </w:r>
    </w:p>
    <w:p>
      <w:pPr>
        <w:pStyle w:val="Heading3"/>
      </w:pPr>
      <w:bookmarkStart w:id="1792" w:name="_Toc488"/>
      <w:r>
        <w:t>406- دیوان اسرار سبزواری‏</w:t>
      </w:r>
      <w:bookmarkEnd w:id="1792"/>
    </w:p>
    <w:p>
      <w:pPr>
        <w:pStyle w:val="BookText"/>
      </w:pPr>
      <w:r>
        <w:rPr>
          <w:rFonts w:ascii="IRNazanin" w:hAnsi="IRNazanin" w:eastAsia="IRNazanin" w:cs="IRNazanin"/>
          <w:lang w:bidi="fa-IR"/>
          <w:color w:val="111111"/>
          <w:sz w:val="28"/>
          <w:szCs w:val="28"/>
          <w:rtl/>
        </w:rPr>
        <w:t xml:space="preserve">فارسی للعارف المتأله الحکیم السبزواری المتخلص بأسرار الحاج المولی هادی بن مهدی المتوفی (1289) ترجمه ریاض العارض ص 417 و هو مؤلف أسرار الحکم المذکور فی (ج 2- ص 44) نسخه منه بخط المیرزا رجب علی المتخلص بفرصت ابن</w:t>
      </w:r>
    </w:p>
    <w:p>
      <w:pPr>
        <w:pStyle w:val="BookText"/>
      </w:pPr>
      <w:r>
        <w:rPr>
          <w:rFonts w:ascii="IRNazanin" w:hAnsi="IRNazanin" w:eastAsia="IRNazanin" w:cs="IRNazanin"/>
          <w:lang w:bidi="fa-IR"/>
          <w:color w:val="111111"/>
          <w:sz w:val="28"/>
          <w:szCs w:val="28"/>
          <w:rtl/>
        </w:rPr>
        <w:t xml:space="preserve">المیرزا رخصت السبزواری فرغ من الکتابة (1287) کانت عند السید مهدی العلوی السبزواری المتوفی (1350) و انتقلت إلی ولده” المؤلف” المشتغل بسبزوار السید محمد حسن و فیه قوله:</w:t>
      </w:r>
    </w:p>
    <w:p>
      <w:pPr>
        <w:pStyle w:val="BookText"/>
      </w:pPr>
      <w:r>
        <w:rPr>
          <w:rFonts w:ascii="IRNazanin" w:hAnsi="IRNazanin" w:eastAsia="IRNazanin" w:cs="IRNazanin"/>
          <w:lang w:bidi="fa-IR"/>
          <w:color w:val="111111"/>
          <w:sz w:val="28"/>
          <w:szCs w:val="28"/>
          <w:rtl/>
        </w:rPr>
        <w:t xml:space="preserve">گوش اسرار شنو نیست و گر نه اسرار</w:t>
      </w:r>
    </w:p>
    <w:p>
      <w:pPr>
        <w:pStyle w:val="BookText"/>
      </w:pPr>
      <w:r>
        <w:rPr>
          <w:rFonts w:ascii="IRNazanin" w:hAnsi="IRNazanin" w:eastAsia="IRNazanin" w:cs="IRNazanin"/>
          <w:lang w:bidi="fa-IR"/>
          <w:color w:val="111111"/>
          <w:sz w:val="28"/>
          <w:szCs w:val="28"/>
          <w:rtl/>
        </w:rPr>
        <w:t xml:space="preserve">برش از عالم معنی خبری نیست که نیست‏</w:t>
      </w:r>
    </w:p>
    <w:p>
      <w:pPr>
        <w:pStyle w:val="BookText"/>
      </w:pPr>
      <w:r>
        <w:rPr>
          <w:rFonts w:ascii="IRNazanin" w:hAnsi="IRNazanin" w:eastAsia="IRNazanin" w:cs="IRNazanin"/>
          <w:lang w:bidi="fa-IR"/>
          <w:color w:val="111111"/>
          <w:sz w:val="28"/>
          <w:szCs w:val="28"/>
          <w:rtl/>
        </w:rPr>
        <w:t xml:space="preserve">موسیی نیست که دعوای أنا الحق شنود</w:t>
      </w:r>
    </w:p>
    <w:p>
      <w:pPr>
        <w:pStyle w:val="BookText"/>
      </w:pPr>
      <w:r>
        <w:rPr>
          <w:rFonts w:ascii="IRNazanin" w:hAnsi="IRNazanin" w:eastAsia="IRNazanin" w:cs="IRNazanin"/>
          <w:lang w:bidi="fa-IR"/>
          <w:color w:val="111111"/>
          <w:sz w:val="28"/>
          <w:szCs w:val="28"/>
          <w:rtl/>
        </w:rPr>
        <w:t xml:space="preserve">و رنه این زمزمه در هیچ شجر نیست که نیست‏</w:t>
      </w:r>
    </w:p>
    <w:p>
      <w:pPr>
        <w:pStyle w:val="BookText"/>
      </w:pPr>
      <w:r>
        <w:rPr>
          <w:rFonts w:ascii="IRNazanin" w:hAnsi="IRNazanin" w:eastAsia="IRNazanin" w:cs="IRNazanin"/>
          <w:lang w:bidi="fa-IR"/>
          <w:color w:val="111111"/>
          <w:sz w:val="28"/>
          <w:szCs w:val="28"/>
          <w:rtl/>
        </w:rPr>
        <w:t xml:space="preserve">طبع له ساقی‏نامه و سؤال و جواب و غزلیات فی (124 ص) علی الحجر بطهران فی (1356)</w:t>
      </w:r>
    </w:p>
    <w:p>
      <w:pPr>
        <w:pStyle w:val="Heading3"/>
      </w:pPr>
      <w:bookmarkStart w:id="1793" w:name="_Toc489"/>
      <w:r>
        <w:t>دیوان أسراری‏</w:t>
      </w:r>
      <w:bookmarkEnd w:id="1793"/>
    </w:p>
    <w:p>
      <w:pPr>
        <w:pStyle w:val="BookText"/>
      </w:pPr>
      <w:r>
        <w:rPr>
          <w:rFonts w:ascii="IRNazanin" w:hAnsi="IRNazanin" w:eastAsia="IRNazanin" w:cs="IRNazanin"/>
          <w:lang w:bidi="fa-IR"/>
          <w:color w:val="111111"/>
          <w:sz w:val="28"/>
          <w:szCs w:val="28"/>
          <w:rtl/>
        </w:rPr>
        <w:t xml:space="preserve">لیحیی سیبک یأتی بعنوان دیوان فنائی فإنه تخلصه الأشهر</w:t>
      </w:r>
    </w:p>
    <w:p>
      <w:pPr>
        <w:pStyle w:val="Heading3"/>
      </w:pPr>
      <w:bookmarkStart w:id="1794" w:name="_Toc490"/>
      <w:r>
        <w:t>دیوان أسراری‏</w:t>
      </w:r>
      <w:bookmarkEnd w:id="1794"/>
    </w:p>
    <w:p>
      <w:pPr>
        <w:pStyle w:val="BookText"/>
      </w:pPr>
      <w:r>
        <w:rPr>
          <w:rFonts w:ascii="IRNazanin" w:hAnsi="IRNazanin" w:eastAsia="IRNazanin" w:cs="IRNazanin"/>
          <w:lang w:bidi="fa-IR"/>
          <w:color w:val="111111"/>
          <w:sz w:val="28"/>
          <w:szCs w:val="28"/>
          <w:rtl/>
        </w:rPr>
        <w:t xml:space="preserve">مر فی (ص 16) بعنوان دیوان الشیخ محمد إبراهیم أسراری‏</w:t>
      </w:r>
    </w:p>
    <w:p>
      <w:pPr>
        <w:pStyle w:val="Heading3"/>
      </w:pPr>
      <w:bookmarkStart w:id="1795" w:name="_Toc491"/>
      <w:r>
        <w:t>دیوان الأسطرلابی‏</w:t>
      </w:r>
      <w:bookmarkEnd w:id="1795"/>
    </w:p>
    <w:p>
      <w:pPr>
        <w:pStyle w:val="BookText"/>
      </w:pPr>
      <w:r>
        <w:rPr>
          <w:rFonts w:ascii="IRNazanin" w:hAnsi="IRNazanin" w:eastAsia="IRNazanin" w:cs="IRNazanin"/>
          <w:lang w:bidi="fa-IR"/>
          <w:color w:val="111111"/>
          <w:sz w:val="28"/>
          <w:szCs w:val="28"/>
          <w:rtl/>
        </w:rPr>
        <w:t xml:space="preserve">یأتی بعنوان دیوان بدیع الأسطرلابی‏</w:t>
      </w:r>
    </w:p>
    <w:p>
      <w:pPr>
        <w:pStyle w:val="Heading3"/>
      </w:pPr>
      <w:bookmarkStart w:id="1796" w:name="_Toc492"/>
      <w:r>
        <w:t>407- دیوان أسعد أفندی‏</w:t>
      </w:r>
      <w:bookmarkEnd w:id="1796"/>
    </w:p>
    <w:p>
      <w:pPr>
        <w:pStyle w:val="BookText"/>
      </w:pPr>
      <w:r>
        <w:rPr>
          <w:rFonts w:ascii="IRNazanin" w:hAnsi="IRNazanin" w:eastAsia="IRNazanin" w:cs="IRNazanin"/>
          <w:lang w:bidi="fa-IR"/>
          <w:color w:val="111111"/>
          <w:sz w:val="28"/>
          <w:szCs w:val="28"/>
          <w:rtl/>
        </w:rPr>
        <w:t xml:space="preserve">توجد نسخته فی الموصل کما فی فهرس مکتباتها (ص 257)</w:t>
      </w:r>
    </w:p>
    <w:p>
      <w:pPr>
        <w:pStyle w:val="Heading3"/>
      </w:pPr>
      <w:bookmarkStart w:id="1797" w:name="_Toc493"/>
      <w:r>
        <w:t>408- دیوان أسعد قمی أو شعره‏</w:t>
      </w:r>
      <w:bookmarkEnd w:id="1797"/>
    </w:p>
    <w:p>
      <w:pPr>
        <w:pStyle w:val="BookText"/>
      </w:pPr>
      <w:r>
        <w:rPr>
          <w:rFonts w:ascii="IRNazanin" w:hAnsi="IRNazanin" w:eastAsia="IRNazanin" w:cs="IRNazanin"/>
          <w:lang w:bidi="fa-IR"/>
          <w:color w:val="111111"/>
          <w:sz w:val="28"/>
          <w:szCs w:val="28"/>
          <w:rtl/>
        </w:rPr>
        <w:t xml:space="preserve">عده فی بعض مثالب النواصب- ص 239 من شعراء الشیعة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72" w:name="pg11704_121549"/>
    <w:bookmarkEnd w:id="72"/>
    <w:p>
      <w:pPr>
        <w:pStyle w:val="Heading3"/>
      </w:pPr>
      <w:bookmarkStart w:id="1798" w:name="_Toc494"/>
      <w:r>
        <w:t>409- دیوان أسعد نائب‏</w:t>
      </w:r>
      <w:bookmarkEnd w:id="1798"/>
    </w:p>
    <w:p>
      <w:pPr>
        <w:pStyle w:val="BookText"/>
      </w:pPr>
      <w:r>
        <w:rPr>
          <w:rFonts w:ascii="IRNazanin" w:hAnsi="IRNazanin" w:eastAsia="IRNazanin" w:cs="IRNazanin"/>
          <w:lang w:bidi="fa-IR"/>
          <w:color w:val="111111"/>
          <w:sz w:val="28"/>
          <w:szCs w:val="28"/>
          <w:rtl/>
        </w:rPr>
        <w:t xml:space="preserve">من الدواوین الترکیة المتداولة فی کرکوک ذکره عباس العزاوی فی الکاکائیة فی التاریخ- ص 45</w:t>
      </w:r>
    </w:p>
    <w:p>
      <w:pPr>
        <w:pStyle w:val="Heading3"/>
      </w:pPr>
      <w:bookmarkStart w:id="1799" w:name="_Toc495"/>
      <w:r>
        <w:t>دیوان إسفرنگ‏</w:t>
      </w:r>
      <w:bookmarkEnd w:id="1799"/>
    </w:p>
    <w:p>
      <w:pPr>
        <w:pStyle w:val="BookText"/>
      </w:pPr>
      <w:r>
        <w:rPr>
          <w:rFonts w:ascii="IRNazanin" w:hAnsi="IRNazanin" w:eastAsia="IRNazanin" w:cs="IRNazanin"/>
          <w:lang w:bidi="fa-IR"/>
          <w:color w:val="111111"/>
          <w:sz w:val="28"/>
          <w:szCs w:val="28"/>
          <w:rtl/>
        </w:rPr>
        <w:t xml:space="preserve">یأتی بعنوان دیوان سیف إسفرنگ‏</w:t>
      </w:r>
    </w:p>
    <w:p>
      <w:pPr>
        <w:pStyle w:val="Heading3"/>
      </w:pPr>
      <w:bookmarkStart w:id="1800" w:name="_Toc496"/>
      <w:r>
        <w:t>دیوان إسکافی‏</w:t>
      </w:r>
      <w:bookmarkEnd w:id="1800"/>
    </w:p>
    <w:p>
      <w:pPr>
        <w:pStyle w:val="BookText"/>
      </w:pPr>
      <w:r>
        <w:rPr>
          <w:rFonts w:ascii="IRNazanin" w:hAnsi="IRNazanin" w:eastAsia="IRNazanin" w:cs="IRNazanin"/>
          <w:lang w:bidi="fa-IR"/>
          <w:color w:val="111111"/>
          <w:sz w:val="28"/>
          <w:szCs w:val="28"/>
          <w:rtl/>
        </w:rPr>
        <w:t xml:space="preserve">مر بعنوان أبی حنیفة إسکافی‏</w:t>
      </w:r>
    </w:p>
    <w:p>
      <w:pPr>
        <w:pStyle w:val="Heading3"/>
      </w:pPr>
      <w:bookmarkStart w:id="1801" w:name="_Toc497"/>
      <w:r>
        <w:t>410- دیوان إسلام أو شعره‏</w:t>
      </w:r>
      <w:bookmarkEnd w:id="1801"/>
    </w:p>
    <w:p>
      <w:pPr>
        <w:pStyle w:val="BookText"/>
      </w:pPr>
      <w:r>
        <w:rPr>
          <w:rFonts w:ascii="IRNazanin" w:hAnsi="IRNazanin" w:eastAsia="IRNazanin" w:cs="IRNazanin"/>
          <w:lang w:bidi="fa-IR"/>
          <w:color w:val="111111"/>
          <w:sz w:val="28"/>
          <w:szCs w:val="28"/>
          <w:rtl/>
        </w:rPr>
        <w:t xml:space="preserve">و هو المیر إسلام من أحفاد حجة الإسلام الغزالی أورد بعض قصائده المؤرخة (849) فی (مجن- ص 4 و 189)</w:t>
      </w:r>
    </w:p>
    <w:p>
      <w:pPr>
        <w:pStyle w:val="Heading3"/>
      </w:pPr>
      <w:bookmarkStart w:id="1802" w:name="_Toc498"/>
      <w:r>
        <w:t>411- دیوان أسلم البلگرامی‏</w:t>
      </w:r>
      <w:bookmarkEnd w:id="1802"/>
    </w:p>
    <w:p>
      <w:pPr>
        <w:pStyle w:val="BookText"/>
      </w:pPr>
      <w:r>
        <w:rPr>
          <w:rFonts w:ascii="IRNazanin" w:hAnsi="IRNazanin" w:eastAsia="IRNazanin" w:cs="IRNazanin"/>
          <w:lang w:bidi="fa-IR"/>
          <w:color w:val="111111"/>
          <w:sz w:val="28"/>
          <w:szCs w:val="28"/>
          <w:rtl/>
        </w:rPr>
        <w:t xml:space="preserve">و هو محمد أسلم بن غلام حسین، کان بارعا فی النظم و النثر العربی و الفارسی کان فی کلکتة و ذهب إلی لکهنو کما ذکره فی (گلشن- ص 63) و لعله هو الحاج محمد أسلم سالم الذی ذکره فی (سرخوش- ص 47) و (روشن- 44) و راجع سالم کشمیری ص 421</w:t>
      </w:r>
    </w:p>
    <w:p>
      <w:pPr>
        <w:pStyle w:val="Heading3"/>
      </w:pPr>
      <w:bookmarkStart w:id="1803" w:name="_Toc499"/>
      <w:r>
        <w:t>412- دیوان إسماعیل أو شعره‏</w:t>
      </w:r>
      <w:bookmarkEnd w:id="1803"/>
    </w:p>
    <w:p>
      <w:pPr>
        <w:pStyle w:val="BookText"/>
      </w:pPr>
      <w:r>
        <w:rPr>
          <w:rFonts w:ascii="IRNazanin" w:hAnsi="IRNazanin" w:eastAsia="IRNazanin" w:cs="IRNazanin"/>
          <w:lang w:bidi="fa-IR"/>
          <w:color w:val="111111"/>
          <w:sz w:val="28"/>
          <w:szCs w:val="28"/>
          <w:rtl/>
        </w:rPr>
        <w:t xml:space="preserve">و هو ابن السید میرزا عبد الکریم و أمه بنت أخت الشیخ البهائی تلمذ علی آقا حسین، و دخل فی سلک مریدی میرزا ملک التویسرکانی الصوفی و مات (1075) أورد له النصرآبادی عدة معمیات فی (نر- 531)</w:t>
      </w:r>
    </w:p>
    <w:p>
      <w:pPr>
        <w:pStyle w:val="Heading3"/>
      </w:pPr>
      <w:bookmarkStart w:id="1804" w:name="_Toc500"/>
      <w:r>
        <w:t>413- دیوان إسماعیل أسترآبادی أو شعره‏</w:t>
      </w:r>
      <w:bookmarkEnd w:id="1804"/>
    </w:p>
    <w:p>
      <w:pPr>
        <w:pStyle w:val="BookText"/>
      </w:pPr>
      <w:r>
        <w:rPr>
          <w:rFonts w:ascii="IRNazanin" w:hAnsi="IRNazanin" w:eastAsia="IRNazanin" w:cs="IRNazanin"/>
          <w:lang w:bidi="fa-IR"/>
          <w:color w:val="111111"/>
          <w:sz w:val="28"/>
          <w:szCs w:val="28"/>
          <w:rtl/>
        </w:rPr>
        <w:t xml:space="preserve">و هو ابن إبراهیم الأسترآبادی ترجمه و أباه فی (روشن- ص 44 و 14) و أظن والده هو المذکور فی (ص 14) و الولد هو نجاتی کما یأتی‏</w:t>
      </w:r>
    </w:p>
    <w:p>
      <w:pPr>
        <w:pStyle w:val="Heading3"/>
      </w:pPr>
      <w:bookmarkStart w:id="1805" w:name="_Toc501"/>
      <w:r>
        <w:t>414- دیوان المیرزا إسماعیل أو شعره‏</w:t>
      </w:r>
      <w:bookmarkEnd w:id="1805"/>
    </w:p>
    <w:p>
      <w:pPr>
        <w:pStyle w:val="BookText"/>
      </w:pPr>
      <w:r>
        <w:rPr>
          <w:rFonts w:ascii="IRNazanin" w:hAnsi="IRNazanin" w:eastAsia="IRNazanin" w:cs="IRNazanin"/>
          <w:lang w:bidi="fa-IR"/>
          <w:color w:val="111111"/>
          <w:sz w:val="28"/>
          <w:szCs w:val="28"/>
          <w:rtl/>
        </w:rPr>
        <w:t xml:space="preserve">و هو ابن أخ المیرزا نوری توفی سنة قبل النصرآبادی کما ذکره فی (نر- ص 194) و أورد شعره‏</w:t>
      </w:r>
    </w:p>
    <w:p>
      <w:pPr>
        <w:pStyle w:val="Heading3"/>
      </w:pPr>
      <w:bookmarkStart w:id="1806" w:name="_Toc502"/>
      <w:r>
        <w:t>415- دیوان آقا إسماعیل الأصفهانی‏</w:t>
      </w:r>
      <w:bookmarkEnd w:id="1806"/>
    </w:p>
    <w:p>
      <w:pPr>
        <w:pStyle w:val="BookText"/>
      </w:pPr>
      <w:r>
        <w:rPr>
          <w:rFonts w:ascii="IRNazanin" w:hAnsi="IRNazanin" w:eastAsia="IRNazanin" w:cs="IRNazanin"/>
          <w:lang w:bidi="fa-IR"/>
          <w:color w:val="111111"/>
          <w:sz w:val="28"/>
          <w:szCs w:val="28"/>
          <w:rtl/>
        </w:rPr>
        <w:t xml:space="preserve">و تخلصه کاشف یأتی‏</w:t>
      </w:r>
    </w:p>
    <w:p>
      <w:pPr>
        <w:pStyle w:val="Heading3"/>
      </w:pPr>
      <w:bookmarkStart w:id="1807" w:name="_Toc503"/>
      <w:r>
        <w:t>416- دیوان إسماعیل الأصفهانی‏</w:t>
      </w:r>
      <w:bookmarkEnd w:id="1807"/>
    </w:p>
    <w:p>
      <w:pPr>
        <w:pStyle w:val="BookText"/>
      </w:pPr>
      <w:r>
        <w:rPr>
          <w:rFonts w:ascii="IRNazanin" w:hAnsi="IRNazanin" w:eastAsia="IRNazanin" w:cs="IRNazanin"/>
          <w:lang w:bidi="fa-IR"/>
          <w:color w:val="111111"/>
          <w:sz w:val="28"/>
          <w:szCs w:val="28"/>
          <w:rtl/>
        </w:rPr>
        <w:t xml:space="preserve">کان معاصر لشفیعا أثر، مات فی (1132) کما فی (گلشن- ص 24)</w:t>
      </w:r>
    </w:p>
    <w:p>
      <w:pPr>
        <w:pStyle w:val="Heading3"/>
      </w:pPr>
      <w:bookmarkStart w:id="1808" w:name="_Toc504"/>
      <w:r>
        <w:t>دیوان المولی إسماعیل بن المولی إبراهیم الأسترآبادی،</w:t>
      </w:r>
      <w:bookmarkEnd w:id="1808"/>
    </w:p>
    <w:p>
      <w:pPr>
        <w:pStyle w:val="BookText"/>
      </w:pPr>
      <w:r>
        <w:rPr>
          <w:rFonts w:ascii="IRNazanin" w:hAnsi="IRNazanin" w:eastAsia="IRNazanin" w:cs="IRNazanin"/>
          <w:lang w:bidi="fa-IR"/>
          <w:color w:val="111111"/>
          <w:sz w:val="28"/>
          <w:szCs w:val="28"/>
          <w:rtl/>
        </w:rPr>
        <w:t xml:space="preserve">و تخلصه نجاتی‏</w:t>
      </w:r>
    </w:p>
    <w:p>
      <w:pPr>
        <w:pStyle w:val="Heading3"/>
      </w:pPr>
      <w:bookmarkStart w:id="1809" w:name="_Toc505"/>
      <w:r>
        <w:t>دیوان إسماعیل بن عباد</w:t>
      </w:r>
      <w:bookmarkEnd w:id="1809"/>
    </w:p>
    <w:p>
      <w:pPr>
        <w:pStyle w:val="BookText"/>
      </w:pPr>
      <w:r>
        <w:rPr>
          <w:rFonts w:ascii="IRNazanin" w:hAnsi="IRNazanin" w:eastAsia="IRNazanin" w:cs="IRNazanin"/>
          <w:lang w:bidi="fa-IR"/>
          <w:color w:val="111111"/>
          <w:sz w:val="28"/>
          <w:szCs w:val="28"/>
          <w:rtl/>
        </w:rPr>
        <w:t xml:space="preserve">یأتی بعنوان دیوان صاحب بن عباد</w:t>
      </w:r>
    </w:p>
    <w:p>
      <w:pPr>
        <w:pStyle w:val="Heading3"/>
      </w:pPr>
      <w:bookmarkStart w:id="1810" w:name="_Toc506"/>
      <w:r>
        <w:t>417- دیوان إسماعیل بیک القراچه‏داغی‏</w:t>
      </w:r>
      <w:bookmarkEnd w:id="1810"/>
    </w:p>
    <w:p>
      <w:pPr>
        <w:pStyle w:val="BookText"/>
      </w:pPr>
      <w:r>
        <w:rPr>
          <w:rFonts w:ascii="IRNazanin" w:hAnsi="IRNazanin" w:eastAsia="IRNazanin" w:cs="IRNazanin"/>
          <w:lang w:bidi="fa-IR"/>
          <w:color w:val="111111"/>
          <w:sz w:val="28"/>
          <w:szCs w:val="28"/>
          <w:rtl/>
        </w:rPr>
        <w:t xml:space="preserve">ترجمه فی (دجا- ص 37) و أورد شعره عن جنک مخطوط</w:t>
      </w:r>
    </w:p>
    <w:p>
      <w:pPr>
        <w:pStyle w:val="Heading3"/>
      </w:pPr>
      <w:bookmarkStart w:id="1811" w:name="_Toc507"/>
      <w:r>
        <w:t>دیوان إسماعیل کمال‏</w:t>
      </w:r>
      <w:bookmarkEnd w:id="1811"/>
    </w:p>
    <w:p>
      <w:pPr>
        <w:pStyle w:val="BookText"/>
      </w:pPr>
      <w:r>
        <w:rPr>
          <w:rFonts w:ascii="IRNazanin" w:hAnsi="IRNazanin" w:eastAsia="IRNazanin" w:cs="IRNazanin"/>
          <w:lang w:bidi="fa-IR"/>
          <w:color w:val="111111"/>
          <w:sz w:val="28"/>
          <w:szCs w:val="28"/>
          <w:rtl/>
        </w:rPr>
        <w:t xml:space="preserve">یأتی بعنوان دیوان خلاق المعانی و یأتی دیوان والده بعنوان‏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73" w:name="pg11704_121550"/>
    <w:bookmarkEnd w:id="73"/>
    <w:p>
      <w:pPr>
        <w:pStyle w:val="BookText"/>
      </w:pPr>
      <w:r>
        <w:rPr>
          <w:rFonts w:ascii="IRNazanin" w:hAnsi="IRNazanin" w:eastAsia="IRNazanin" w:cs="IRNazanin"/>
          <w:lang w:bidi="fa-IR"/>
          <w:color w:val="111111"/>
          <w:sz w:val="28"/>
          <w:szCs w:val="28"/>
          <w:rtl/>
        </w:rPr>
        <w:t xml:space="preserve">دیوان جمال الدین‏</w:t>
      </w:r>
    </w:p>
    <w:p>
      <w:pPr>
        <w:pStyle w:val="Heading3"/>
      </w:pPr>
      <w:bookmarkStart w:id="1812" w:name="_Toc508"/>
      <w:r>
        <w:t>418- دیوان الحاج إسماعیل خان أو شعره‏</w:t>
      </w:r>
      <w:bookmarkEnd w:id="1812"/>
    </w:p>
    <w:p>
      <w:pPr>
        <w:pStyle w:val="BookText"/>
      </w:pPr>
      <w:r>
        <w:rPr>
          <w:rFonts w:ascii="IRNazanin" w:hAnsi="IRNazanin" w:eastAsia="IRNazanin" w:cs="IRNazanin"/>
          <w:lang w:bidi="fa-IR"/>
          <w:color w:val="111111"/>
          <w:sz w:val="28"/>
          <w:szCs w:val="28"/>
          <w:rtl/>
        </w:rPr>
        <w:t xml:space="preserve">و هو من تجار التبارزة العباس‏آبادیة بأصفهان ترجمه النصرآبادی فی (نر- ص 137) و أورد رباعیتین له‏</w:t>
      </w:r>
    </w:p>
    <w:p>
      <w:pPr>
        <w:pStyle w:val="Heading3"/>
      </w:pPr>
      <w:bookmarkStart w:id="1813" w:name="_Toc509"/>
      <w:r>
        <w:t>419- دیوان المیر إسماعیل الجرفادقانی الگلپایگانی أو شعره‏</w:t>
      </w:r>
      <w:bookmarkEnd w:id="1813"/>
    </w:p>
    <w:p>
      <w:pPr>
        <w:pStyle w:val="BookText"/>
      </w:pPr>
      <w:r>
        <w:rPr>
          <w:rFonts w:ascii="IRNazanin" w:hAnsi="IRNazanin" w:eastAsia="IRNazanin" w:cs="IRNazanin"/>
          <w:lang w:bidi="fa-IR"/>
          <w:color w:val="111111"/>
          <w:sz w:val="28"/>
          <w:szCs w:val="28"/>
          <w:rtl/>
        </w:rPr>
        <w:t xml:space="preserve">و هو من السادات آل بو ترابیین ترجمه النصرآبادی فی (نر- ص 396) و أورد رباعیاته و کذا فی (گلشن 24)</w:t>
      </w:r>
    </w:p>
    <w:p>
      <w:pPr>
        <w:pStyle w:val="Heading3"/>
      </w:pPr>
      <w:bookmarkStart w:id="1814" w:name="_Toc510"/>
      <w:r>
        <w:t>دیوان إسماعیل ذبیح‏</w:t>
      </w:r>
      <w:bookmarkEnd w:id="1814"/>
    </w:p>
    <w:p>
      <w:pPr>
        <w:pStyle w:val="BookText"/>
      </w:pPr>
      <w:r>
        <w:rPr>
          <w:rFonts w:ascii="IRNazanin" w:hAnsi="IRNazanin" w:eastAsia="IRNazanin" w:cs="IRNazanin"/>
          <w:lang w:bidi="fa-IR"/>
          <w:color w:val="111111"/>
          <w:sz w:val="28"/>
          <w:szCs w:val="28"/>
          <w:rtl/>
        </w:rPr>
        <w:t xml:space="preserve">یأتی یتخلصه ذبیح‏</w:t>
      </w:r>
    </w:p>
    <w:p>
      <w:pPr>
        <w:pStyle w:val="Heading3"/>
      </w:pPr>
      <w:bookmarkStart w:id="1815" w:name="_Toc511"/>
      <w:r>
        <w:t>420- دیوان إسماعیل القزوینی‏</w:t>
      </w:r>
      <w:bookmarkEnd w:id="1815"/>
    </w:p>
    <w:p>
      <w:pPr>
        <w:pStyle w:val="BookText"/>
      </w:pPr>
      <w:r>
        <w:rPr>
          <w:rFonts w:ascii="IRNazanin" w:hAnsi="IRNazanin" w:eastAsia="IRNazanin" w:cs="IRNazanin"/>
          <w:lang w:bidi="fa-IR"/>
          <w:color w:val="111111"/>
          <w:sz w:val="28"/>
          <w:szCs w:val="28"/>
          <w:rtl/>
        </w:rPr>
        <w:t xml:space="preserve">من شعراء عهد طهماسب الأول الصفوی ذکره فی (گلشن- ص 24) و أورد شعره‏</w:t>
      </w:r>
    </w:p>
    <w:p>
      <w:pPr>
        <w:pStyle w:val="Heading3"/>
      </w:pPr>
      <w:bookmarkStart w:id="1816" w:name="_Toc512"/>
      <w:r>
        <w:t>421- دیوان المیرزا إسماعیل النصرآبادی أو شعره</w:t>
      </w:r>
      <w:bookmarkEnd w:id="1816"/>
    </w:p>
    <w:p>
      <w:pPr>
        <w:pStyle w:val="BookText"/>
      </w:pPr>
      <w:r>
        <w:rPr>
          <w:rFonts w:ascii="IRNazanin" w:hAnsi="IRNazanin" w:eastAsia="IRNazanin" w:cs="IRNazanin"/>
          <w:lang w:bidi="fa-IR"/>
          <w:color w:val="111111"/>
          <w:sz w:val="28"/>
          <w:szCs w:val="28"/>
          <w:rtl/>
        </w:rPr>
        <w:t xml:space="preserve">و هو ابن المیرزا محمد+ ابن عمه النصرآبادی+ ذکر شعره فی (نر- ص 454) و قال نزل إلی بلاد الهند و بها توفی‏</w:t>
      </w:r>
    </w:p>
    <w:p>
      <w:pPr>
        <w:pStyle w:val="Heading3"/>
      </w:pPr>
      <w:bookmarkStart w:id="1817" w:name="_Toc513"/>
      <w:r>
        <w:t>422- دیوان ملا اسمی الهروی أو شعره‏</w:t>
      </w:r>
      <w:bookmarkEnd w:id="1817"/>
    </w:p>
    <w:p>
      <w:pPr>
        <w:pStyle w:val="BookText"/>
      </w:pPr>
      <w:r>
        <w:rPr>
          <w:rFonts w:ascii="IRNazanin" w:hAnsi="IRNazanin" w:eastAsia="IRNazanin" w:cs="IRNazanin"/>
          <w:lang w:bidi="fa-IR"/>
          <w:color w:val="111111"/>
          <w:sz w:val="28"/>
          <w:szCs w:val="28"/>
          <w:rtl/>
        </w:rPr>
        <w:t xml:space="preserve">کان طالب العلم کما ذکر فی (تش- ص 146) و فی (روشن- 45) و فی (لط- ص 157) و أورد معماه باسم بابا</w:t>
      </w:r>
    </w:p>
    <w:p>
      <w:pPr>
        <w:pStyle w:val="Heading3"/>
      </w:pPr>
      <w:bookmarkStart w:id="1818" w:name="_Toc514"/>
      <w:r>
        <w:t>423- دیوان اسمی خان أو شعره‏</w:t>
      </w:r>
      <w:bookmarkEnd w:id="1818"/>
    </w:p>
    <w:p>
      <w:pPr>
        <w:pStyle w:val="BookText"/>
      </w:pPr>
      <w:r>
        <w:rPr>
          <w:rFonts w:ascii="IRNazanin" w:hAnsi="IRNazanin" w:eastAsia="IRNazanin" w:cs="IRNazanin"/>
          <w:lang w:bidi="fa-IR"/>
          <w:color w:val="111111"/>
          <w:sz w:val="28"/>
          <w:szCs w:val="28"/>
          <w:rtl/>
        </w:rPr>
        <w:t xml:space="preserve">کان یلقب (شیشه‏گر) الزجاجی حکی النصرآبادی فی (نر- ص 379) عن آخوند عقیلا أن أشعاره کثیرة و أورد بعضها</w:t>
      </w:r>
    </w:p>
    <w:p>
      <w:pPr>
        <w:pStyle w:val="Heading3"/>
      </w:pPr>
      <w:bookmarkStart w:id="1819" w:name="_Toc515"/>
      <w:r>
        <w:t>424- دیوان الأسنانی‏</w:t>
      </w:r>
      <w:bookmarkEnd w:id="1819"/>
    </w:p>
    <w:p>
      <w:pPr>
        <w:pStyle w:val="BookText"/>
      </w:pPr>
      <w:r>
        <w:rPr>
          <w:rFonts w:ascii="IRNazanin" w:hAnsi="IRNazanin" w:eastAsia="IRNazanin" w:cs="IRNazanin"/>
          <w:lang w:bidi="fa-IR"/>
          <w:color w:val="111111"/>
          <w:sz w:val="28"/>
          <w:szCs w:val="28"/>
          <w:rtl/>
        </w:rPr>
        <w:t xml:space="preserve">الشیخ تقی الدین عبد الملک بن الأغر بن عمران الثقفی الأسنانی نسبة إلی إسنا مدینة علی شاطئ النیل من الجانب الغربی ترجمه العسقلانی فی الدرر الکامنة و وصفه بقوله کان فاضلا أدیبا الا أنه یمیل إلی الرفض و له دیوان شعر و مات سنة سبع و سبعمائة ثم أورد رباعیا من شعره‏</w:t>
      </w:r>
    </w:p>
    <w:p>
      <w:pPr>
        <w:pStyle w:val="Heading3"/>
      </w:pPr>
      <w:bookmarkStart w:id="1820" w:name="_Toc516"/>
      <w:r>
        <w:t>دیوان أسود</w:t>
      </w:r>
      <w:bookmarkEnd w:id="1820"/>
    </w:p>
    <w:p>
      <w:pPr>
        <w:pStyle w:val="BookText"/>
      </w:pPr>
      <w:r>
        <w:rPr>
          <w:rFonts w:ascii="IRNazanin" w:hAnsi="IRNazanin" w:eastAsia="IRNazanin" w:cs="IRNazanin"/>
          <w:lang w:bidi="fa-IR"/>
          <w:color w:val="111111"/>
          <w:sz w:val="28"/>
          <w:szCs w:val="28"/>
          <w:rtl/>
        </w:rPr>
        <w:t xml:space="preserve">یأتی بعنوان تخلصه فنائی‏</w:t>
      </w:r>
    </w:p>
    <w:p>
      <w:pPr>
        <w:pStyle w:val="Heading3"/>
      </w:pPr>
      <w:bookmarkStart w:id="1821" w:name="_Toc517"/>
      <w:r>
        <w:t>425- دیوان أسیر أصفهانی‏</w:t>
      </w:r>
      <w:bookmarkEnd w:id="1821"/>
    </w:p>
    <w:p>
      <w:pPr>
        <w:pStyle w:val="BookText"/>
      </w:pPr>
      <w:r>
        <w:rPr>
          <w:rFonts w:ascii="IRNazanin" w:hAnsi="IRNazanin" w:eastAsia="IRNazanin" w:cs="IRNazanin"/>
          <w:lang w:bidi="fa-IR"/>
          <w:color w:val="111111"/>
          <w:sz w:val="28"/>
          <w:szCs w:val="28"/>
          <w:rtl/>
        </w:rPr>
        <w:t xml:space="preserve">هو المیرزا جلال بن میرزا مؤمن الشهرستانی- من أعمال أصفهان من السادة الأشراف و صهر الشاه عباس الأول ابتلی بالشرب فمات فی شبابه و دیوانه فی عشرین ألف بیت، فیه القصائد و الغزل و المثنوی و فیه الرطب و الیابس کذا فی (نر- ص 95 و 96) أقول توفی فی (1049) و طبع دیوانه بنولکشور بالهند و توجد کلیاته فی (الرضویة) و ترجمه فی (تش- ص 169) و (سرخوش- ص 3) و مرآة الخیال (ص 75- 76)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74" w:name="pg11704_121551"/>
    <w:bookmarkEnd w:id="74"/>
    <w:p>
      <w:pPr>
        <w:pStyle w:val="Heading3"/>
      </w:pPr>
      <w:bookmarkStart w:id="1822" w:name="_Toc518"/>
      <w:r>
        <w:t>426- دیوان أسیر تبریزی أو شعره‏</w:t>
      </w:r>
      <w:bookmarkEnd w:id="1822"/>
    </w:p>
    <w:p>
      <w:pPr>
        <w:pStyle w:val="BookText"/>
      </w:pPr>
      <w:r>
        <w:rPr>
          <w:rFonts w:ascii="IRNazanin" w:hAnsi="IRNazanin" w:eastAsia="IRNazanin" w:cs="IRNazanin"/>
          <w:lang w:bidi="fa-IR"/>
          <w:color w:val="111111"/>
          <w:sz w:val="28"/>
          <w:szCs w:val="28"/>
          <w:rtl/>
        </w:rPr>
        <w:t xml:space="preserve">و اسمه المیرزا محمد حسین ترجمه فی (دجا- ص 41) عن نگارستان دارا</w:t>
      </w:r>
    </w:p>
    <w:p>
      <w:pPr>
        <w:pStyle w:val="Heading3"/>
      </w:pPr>
      <w:bookmarkStart w:id="1823" w:name="_Toc519"/>
      <w:r>
        <w:t>427- دیوان أسیر اللکهنوی أو شعره‏</w:t>
      </w:r>
      <w:bookmarkEnd w:id="1823"/>
    </w:p>
    <w:p>
      <w:pPr>
        <w:pStyle w:val="BookText"/>
      </w:pPr>
      <w:r>
        <w:rPr>
          <w:rFonts w:ascii="IRNazanin" w:hAnsi="IRNazanin" w:eastAsia="IRNazanin" w:cs="IRNazanin"/>
          <w:lang w:bidi="fa-IR"/>
          <w:color w:val="111111"/>
          <w:sz w:val="28"/>
          <w:szCs w:val="28"/>
          <w:rtl/>
        </w:rPr>
        <w:t xml:space="preserve">و هو المنشی السید مظفر علی خان من تلامیذ آتش المیر حیدر علی المذکور آنفا ذکره السید علی نقی النقوی‏</w:t>
      </w:r>
    </w:p>
    <w:p>
      <w:pPr>
        <w:pStyle w:val="Heading3"/>
      </w:pPr>
      <w:bookmarkStart w:id="1824" w:name="_Toc520"/>
      <w:r>
        <w:t>428- دیوان أسیری أو شعره‏</w:t>
      </w:r>
      <w:bookmarkEnd w:id="1824"/>
    </w:p>
    <w:p>
      <w:pPr>
        <w:pStyle w:val="BookText"/>
      </w:pPr>
      <w:r>
        <w:rPr>
          <w:rFonts w:ascii="IRNazanin" w:hAnsi="IRNazanin" w:eastAsia="IRNazanin" w:cs="IRNazanin"/>
          <w:lang w:bidi="fa-IR"/>
          <w:color w:val="111111"/>
          <w:sz w:val="28"/>
          <w:szCs w:val="28"/>
          <w:rtl/>
        </w:rPr>
        <w:t xml:space="preserve">و اسمه مختار بیگ أخو مراد خان من السادة ذکره فی (نر- ص 46) توفی (حدود 1087) أی قبل تألیف التذکرة بسنتین‏</w:t>
      </w:r>
    </w:p>
    <w:p>
      <w:pPr>
        <w:pStyle w:val="Heading3"/>
      </w:pPr>
      <w:bookmarkStart w:id="1825" w:name="_Toc521"/>
      <w:r>
        <w:t>429- دیوان أسیری أو شعره‏</w:t>
      </w:r>
      <w:bookmarkEnd w:id="1825"/>
    </w:p>
    <w:p>
      <w:pPr>
        <w:pStyle w:val="BookText"/>
      </w:pPr>
      <w:r>
        <w:rPr>
          <w:rFonts w:ascii="IRNazanin" w:hAnsi="IRNazanin" w:eastAsia="IRNazanin" w:cs="IRNazanin"/>
          <w:lang w:bidi="fa-IR"/>
          <w:color w:val="111111"/>
          <w:sz w:val="28"/>
          <w:szCs w:val="28"/>
          <w:rtl/>
        </w:rPr>
        <w:t xml:space="preserve">ترجمه المیر علی شیر فی (مجن- ص 85 و 259) و قال إنه شاب جدید الشعر لم یشتهر بعد</w:t>
      </w:r>
    </w:p>
    <w:p>
      <w:pPr>
        <w:pStyle w:val="Heading3"/>
      </w:pPr>
      <w:bookmarkStart w:id="1826" w:name="_Toc522"/>
      <w:r>
        <w:t>430- دیوان أسیری أصفهانی أو شعره‏</w:t>
      </w:r>
      <w:bookmarkEnd w:id="1826"/>
    </w:p>
    <w:p>
      <w:pPr>
        <w:pStyle w:val="BookText"/>
      </w:pPr>
      <w:r>
        <w:rPr>
          <w:rFonts w:ascii="IRNazanin" w:hAnsi="IRNazanin" w:eastAsia="IRNazanin" w:cs="IRNazanin"/>
          <w:lang w:bidi="fa-IR"/>
          <w:color w:val="111111"/>
          <w:sz w:val="28"/>
          <w:szCs w:val="28"/>
          <w:rtl/>
        </w:rPr>
        <w:t xml:space="preserve">و اسمه مقصود کلیچه پز أورد شعره فی (روشن- ص 47)</w:t>
      </w:r>
    </w:p>
    <w:p>
      <w:pPr>
        <w:pStyle w:val="Heading3"/>
      </w:pPr>
      <w:bookmarkStart w:id="1827" w:name="_Toc523"/>
      <w:r>
        <w:t>431- دیوان أسیری أصفهانی أو شعره‏</w:t>
      </w:r>
      <w:bookmarkEnd w:id="1827"/>
    </w:p>
    <w:p>
      <w:pPr>
        <w:pStyle w:val="BookText"/>
      </w:pPr>
      <w:r>
        <w:rPr>
          <w:rFonts w:ascii="IRNazanin" w:hAnsi="IRNazanin" w:eastAsia="IRNazanin" w:cs="IRNazanin"/>
          <w:lang w:bidi="fa-IR"/>
          <w:color w:val="111111"/>
          <w:sz w:val="28"/>
          <w:szCs w:val="28"/>
          <w:rtl/>
        </w:rPr>
        <w:t xml:space="preserve">و اسمه حسین خان، کان أبوه صاحب جمع زرگرخانه لنادر شاه فتصوف بعد موت أبیه ذکره فی (تش- ص 370) و (روشن- ص 46) و قال فی ریاض العارفین (ص 67) إن له (10000 بیت) علی طراز بوستان‏</w:t>
      </w:r>
    </w:p>
    <w:p>
      <w:pPr>
        <w:pStyle w:val="Heading3"/>
      </w:pPr>
      <w:bookmarkStart w:id="1828" w:name="_Toc524"/>
      <w:r>
        <w:t>432- دیوان أسیری تربتی أو شعره‏</w:t>
      </w:r>
      <w:bookmarkEnd w:id="1828"/>
    </w:p>
    <w:p>
      <w:pPr>
        <w:pStyle w:val="BookText"/>
      </w:pPr>
      <w:r>
        <w:rPr>
          <w:rFonts w:ascii="IRNazanin" w:hAnsi="IRNazanin" w:eastAsia="IRNazanin" w:cs="IRNazanin"/>
          <w:lang w:bidi="fa-IR"/>
          <w:color w:val="111111"/>
          <w:sz w:val="28"/>
          <w:szCs w:val="28"/>
          <w:rtl/>
        </w:rPr>
        <w:t xml:space="preserve">کان معاصرا لصادقی کتاب دار المولود (940) فترجمه فی (خص- ص 253) و أورد شعره و کذا فی (روشن- ص 46)</w:t>
      </w:r>
    </w:p>
    <w:p>
      <w:pPr>
        <w:pStyle w:val="Heading3"/>
      </w:pPr>
      <w:bookmarkStart w:id="1829" w:name="_Toc525"/>
      <w:r>
        <w:t>دیوان أسیری ترک‏</w:t>
      </w:r>
      <w:bookmarkEnd w:id="1829"/>
    </w:p>
    <w:p>
      <w:pPr>
        <w:pStyle w:val="BookText"/>
      </w:pPr>
      <w:r>
        <w:rPr>
          <w:rFonts w:ascii="IRNazanin" w:hAnsi="IRNazanin" w:eastAsia="IRNazanin" w:cs="IRNazanin"/>
          <w:lang w:bidi="fa-IR"/>
          <w:color w:val="111111"/>
          <w:sz w:val="28"/>
          <w:szCs w:val="28"/>
          <w:rtl/>
        </w:rPr>
        <w:t xml:space="preserve">ذکره فی هامش (لط- ص 18) و الصحیح: أمیری کما یأتی‏</w:t>
      </w:r>
    </w:p>
    <w:p>
      <w:pPr>
        <w:pStyle w:val="Heading3"/>
      </w:pPr>
      <w:bookmarkStart w:id="1830" w:name="_Toc526"/>
      <w:r>
        <w:t>433- دیوان أسیری رازی أو شعره‏</w:t>
      </w:r>
      <w:bookmarkEnd w:id="1830"/>
    </w:p>
    <w:p>
      <w:pPr>
        <w:pStyle w:val="BookText"/>
      </w:pPr>
      <w:r>
        <w:rPr>
          <w:rFonts w:ascii="IRNazanin" w:hAnsi="IRNazanin" w:eastAsia="IRNazanin" w:cs="IRNazanin"/>
          <w:lang w:bidi="fa-IR"/>
          <w:color w:val="111111"/>
          <w:sz w:val="28"/>
          <w:szCs w:val="28"/>
          <w:rtl/>
        </w:rPr>
        <w:t xml:space="preserve">هو السید الفاضل القاضی المعاصر لصادقی فترجمه فی (خص- ص 82) و أورد بعض غزله، و قال فی آفتاب عالم تاب إنه قزوینی کما یأتی و اسمه أبو القاسم بن قاضی مسعود، و قال فی (روشن- ص 46) إنه تلمیذ حکیم الملک‏</w:t>
      </w:r>
    </w:p>
    <w:p>
      <w:pPr>
        <w:pStyle w:val="Heading3"/>
      </w:pPr>
      <w:bookmarkStart w:id="1831" w:name="_Toc527"/>
      <w:r>
        <w:t>434- دیوان أسیری شیرازی أو شعره‏</w:t>
      </w:r>
      <w:bookmarkEnd w:id="1831"/>
    </w:p>
    <w:p>
      <w:pPr>
        <w:pStyle w:val="BookText"/>
      </w:pPr>
      <w:r>
        <w:rPr>
          <w:rFonts w:ascii="IRNazanin" w:hAnsi="IRNazanin" w:eastAsia="IRNazanin" w:cs="IRNazanin"/>
          <w:lang w:bidi="fa-IR"/>
          <w:color w:val="111111"/>
          <w:sz w:val="28"/>
          <w:szCs w:val="28"/>
          <w:rtl/>
        </w:rPr>
        <w:t xml:space="preserve">هو ابن صحیفی الشاعر الخطاط الشیرازی ذکره مع والده فی (نر- ص 305) و (گلشن- 24)</w:t>
      </w:r>
    </w:p>
    <w:p>
      <w:pPr>
        <w:pStyle w:val="Heading3"/>
      </w:pPr>
      <w:bookmarkStart w:id="1832" w:name="_Toc528"/>
      <w:r>
        <w:t>435- دیوان أسیری قاینی أو شعره‏</w:t>
      </w:r>
      <w:bookmarkEnd w:id="1832"/>
    </w:p>
    <w:p>
      <w:pPr>
        <w:pStyle w:val="BookText"/>
      </w:pPr>
      <w:r>
        <w:rPr>
          <w:rFonts w:ascii="IRNazanin" w:hAnsi="IRNazanin" w:eastAsia="IRNazanin" w:cs="IRNazanin"/>
          <w:lang w:bidi="fa-IR"/>
          <w:color w:val="111111"/>
          <w:sz w:val="28"/>
          <w:szCs w:val="28"/>
          <w:rtl/>
        </w:rPr>
        <w:t xml:space="preserve">أورد بعض شعره فی (گلشن 24)</w:t>
      </w:r>
    </w:p>
    <w:p>
      <w:pPr>
        <w:pStyle w:val="Heading3"/>
      </w:pPr>
      <w:bookmarkStart w:id="1833" w:name="_Toc529"/>
      <w:r>
        <w:t>دیوان أسیری قزوینی أو شعره‏</w:t>
      </w:r>
      <w:bookmarkEnd w:id="1833"/>
    </w:p>
    <w:p>
      <w:pPr>
        <w:pStyle w:val="BookText"/>
      </w:pPr>
      <w:r>
        <w:rPr>
          <w:rFonts w:ascii="IRNazanin" w:hAnsi="IRNazanin" w:eastAsia="IRNazanin" w:cs="IRNazanin"/>
          <w:lang w:bidi="fa-IR"/>
          <w:color w:val="111111"/>
          <w:sz w:val="28"/>
          <w:szCs w:val="28"/>
          <w:rtl/>
        </w:rPr>
        <w:t xml:space="preserve">و اسمه أمیر قاضی أو أبو القاسم المعروف بأمیر قاضی ابن قاضی مسعود القزوینی الرازی کما مر جلس للقضاء ثلاثین سنة و له دستور الإنشاء أو دستور البیان ذکر فی (تش- ص 223) و (روشن- ص 46) عن آفتاب عالم تاب‏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75" w:name="pg11704_121552"/>
    <w:bookmarkEnd w:id="75"/>
    <w:p>
      <w:pPr>
        <w:pStyle w:val="Heading3"/>
      </w:pPr>
      <w:bookmarkStart w:id="1834" w:name="_Toc530"/>
      <w:r>
        <w:t>436- دیوان أسیری لاهیجی‏</w:t>
      </w:r>
      <w:bookmarkEnd w:id="1834"/>
    </w:p>
    <w:p>
      <w:pPr>
        <w:pStyle w:val="BookText"/>
      </w:pPr>
      <w:r>
        <w:rPr>
          <w:rFonts w:ascii="IRNazanin" w:hAnsi="IRNazanin" w:eastAsia="IRNazanin" w:cs="IRNazanin"/>
          <w:lang w:bidi="fa-IR"/>
          <w:color w:val="111111"/>
          <w:sz w:val="28"/>
          <w:szCs w:val="28"/>
          <w:rtl/>
        </w:rPr>
        <w:t xml:space="preserve">و هو شمس الدین محمد بن یحیی بن علی اللاهیجی المتوفی (912) کان خلیفة السید محمد النوربخش (795- 869) له شرح گلشن راز الموسوم مفاتیح الإعجاز المطبوع و مثنوی أسرار الشهود الموجود نسخته عند (الملک) و قد فاتنا ذکره عده فی مجالس المؤمنین من شعراء الشیعة و قال فی ریاض العارفین (ص 63) إن دیوانه فی (5000 بیت) و ترجمه أیضا فی (عم- ص 462) توجد نسخه من دیوانه عند المدرس الرضوی بطهران فی (4000 بیت) و أخری فی (المجلس) کما فی فهرسها (ج 3 ص 671) و (سپهسالار) کما فی فهرسها (ج 2- ص 559) أوله:</w:t>
      </w:r>
    </w:p>
    <w:p>
      <w:pPr>
        <w:pStyle w:val="BookText"/>
      </w:pPr>
      <w:r>
        <w:rPr>
          <w:rFonts w:ascii="IRNazanin" w:hAnsi="IRNazanin" w:eastAsia="IRNazanin" w:cs="IRNazanin"/>
          <w:lang w:bidi="fa-IR"/>
          <w:color w:val="111111"/>
          <w:sz w:val="28"/>
          <w:szCs w:val="28"/>
          <w:rtl/>
        </w:rPr>
        <w:t xml:space="preserve">ای اسیری چون گرفتارش شدی‏</w:t>
      </w:r>
    </w:p>
    <w:p>
      <w:pPr>
        <w:pStyle w:val="BookText"/>
      </w:pPr>
      <w:r>
        <w:rPr>
          <w:rFonts w:ascii="IRNazanin" w:hAnsi="IRNazanin" w:eastAsia="IRNazanin" w:cs="IRNazanin"/>
          <w:lang w:bidi="fa-IR"/>
          <w:color w:val="111111"/>
          <w:sz w:val="28"/>
          <w:szCs w:val="28"/>
          <w:rtl/>
        </w:rPr>
        <w:t xml:space="preserve">دائما خون دل از دیده بیار</w:t>
      </w:r>
    </w:p>
    <w:p>
      <w:pPr>
        <w:pStyle w:val="BookText"/>
      </w:pPr>
      <w:r>
        <w:rPr>
          <w:rFonts w:ascii="IRNazanin" w:hAnsi="IRNazanin" w:eastAsia="IRNazanin" w:cs="IRNazanin"/>
          <w:lang w:bidi="fa-IR"/>
          <w:color w:val="111111"/>
          <w:sz w:val="28"/>
          <w:szCs w:val="28"/>
          <w:rtl/>
        </w:rPr>
        <w:t xml:space="preserve">و آخره:</w:t>
      </w:r>
    </w:p>
    <w:p>
      <w:pPr>
        <w:pStyle w:val="BookText"/>
      </w:pPr>
      <w:r>
        <w:rPr>
          <w:rFonts w:ascii="IRNazanin" w:hAnsi="IRNazanin" w:eastAsia="IRNazanin" w:cs="IRNazanin"/>
          <w:lang w:bidi="fa-IR"/>
          <w:color w:val="111111"/>
          <w:sz w:val="28"/>
          <w:szCs w:val="28"/>
          <w:rtl/>
        </w:rPr>
        <w:t xml:space="preserve">ما مست شراب وصل یاریم‏</w:t>
      </w:r>
    </w:p>
    <w:p>
      <w:pPr>
        <w:pStyle w:val="BookText"/>
      </w:pPr>
      <w:r>
        <w:rPr>
          <w:rFonts w:ascii="IRNazanin" w:hAnsi="IRNazanin" w:eastAsia="IRNazanin" w:cs="IRNazanin"/>
          <w:lang w:bidi="fa-IR"/>
          <w:color w:val="111111"/>
          <w:sz w:val="28"/>
          <w:szCs w:val="28"/>
          <w:rtl/>
        </w:rPr>
        <w:t xml:space="preserve">از هر دو جهان خبر نداریم‏</w:t>
      </w:r>
    </w:p>
    <w:p>
      <w:pPr>
        <w:pStyle w:val="Heading3"/>
      </w:pPr>
      <w:bookmarkStart w:id="1835" w:name="_Toc531"/>
      <w:r>
        <w:t>437- دیوان أسیری هندی‏</w:t>
      </w:r>
      <w:bookmarkEnd w:id="1835"/>
    </w:p>
    <w:p>
      <w:pPr>
        <w:pStyle w:val="BookText"/>
      </w:pPr>
      <w:r>
        <w:rPr>
          <w:rFonts w:ascii="IRNazanin" w:hAnsi="IRNazanin" w:eastAsia="IRNazanin" w:cs="IRNazanin"/>
          <w:lang w:bidi="fa-IR"/>
          <w:color w:val="111111"/>
          <w:sz w:val="28"/>
          <w:szCs w:val="28"/>
          <w:rtl/>
        </w:rPr>
        <w:t xml:space="preserve">من شعراء أکبر پادشاه. مات (1010) أورد شعره فی (گلشن- 24).</w:t>
      </w:r>
    </w:p>
    <w:p>
      <w:pPr>
        <w:pStyle w:val="Heading3"/>
      </w:pPr>
      <w:bookmarkStart w:id="1836" w:name="_Toc532"/>
      <w:r>
        <w:t>دیوان إشتها</w:t>
      </w:r>
      <w:bookmarkEnd w:id="1836"/>
    </w:p>
    <w:p>
      <w:pPr>
        <w:pStyle w:val="BookText"/>
      </w:pPr>
      <w:r>
        <w:rPr>
          <w:rFonts w:ascii="IRNazanin" w:hAnsi="IRNazanin" w:eastAsia="IRNazanin" w:cs="IRNazanin"/>
          <w:lang w:bidi="fa-IR"/>
          <w:color w:val="111111"/>
          <w:sz w:val="28"/>
          <w:szCs w:val="28"/>
          <w:rtl/>
        </w:rPr>
        <w:t xml:space="preserve">یأتی بعنوان دیوان سرگشته طبع فی (80 ص) بإیران.</w:t>
      </w:r>
    </w:p>
    <w:p>
      <w:pPr>
        <w:pStyle w:val="Heading3"/>
      </w:pPr>
      <w:bookmarkStart w:id="1837" w:name="_Toc533"/>
      <w:r>
        <w:t>438- دیوان اشتیاق سرهندی أو شعره‏</w:t>
      </w:r>
      <w:bookmarkEnd w:id="1837"/>
    </w:p>
    <w:p>
      <w:pPr>
        <w:pStyle w:val="BookText"/>
      </w:pPr>
      <w:r>
        <w:rPr>
          <w:rFonts w:ascii="IRNazanin" w:hAnsi="IRNazanin" w:eastAsia="IRNazanin" w:cs="IRNazanin"/>
          <w:lang w:bidi="fa-IR"/>
          <w:color w:val="111111"/>
          <w:sz w:val="28"/>
          <w:szCs w:val="28"/>
          <w:rtl/>
        </w:rPr>
        <w:t xml:space="preserve">و اسمه شاه ولی الله، من أحفاد الشیخ أحمد السرهندی له تصانیف بعضها فی التفسیر. سکن شاه جهان‏آباد، و تلمذ علی عبد الغنی قبول، و مات هناک (1150). أورد شعره فی (گلشن- ص 24) و (تغ- ص 14).</w:t>
      </w:r>
    </w:p>
    <w:p>
      <w:pPr>
        <w:pStyle w:val="Heading3"/>
      </w:pPr>
      <w:bookmarkStart w:id="1838" w:name="_Toc534"/>
      <w:r>
        <w:t>439- دیوان اشتیاق گنجوی أو شعره‏</w:t>
      </w:r>
      <w:bookmarkEnd w:id="1838"/>
    </w:p>
    <w:p>
      <w:pPr>
        <w:pStyle w:val="BookText"/>
      </w:pPr>
      <w:r>
        <w:rPr>
          <w:rFonts w:ascii="IRNazanin" w:hAnsi="IRNazanin" w:eastAsia="IRNazanin" w:cs="IRNazanin"/>
          <w:lang w:bidi="fa-IR"/>
          <w:color w:val="111111"/>
          <w:sz w:val="28"/>
          <w:szCs w:val="28"/>
          <w:rtl/>
        </w:rPr>
        <w:t xml:space="preserve">و شعره بالترکیة. مات فی القرن الثالث عشر.</w:t>
      </w:r>
    </w:p>
    <w:p>
      <w:pPr>
        <w:pStyle w:val="BookText"/>
      </w:pPr>
      <w:r>
        <w:rPr>
          <w:rFonts w:ascii="IRNazanin" w:hAnsi="IRNazanin" w:eastAsia="IRNazanin" w:cs="IRNazanin"/>
          <w:lang w:bidi="fa-IR"/>
          <w:color w:val="111111"/>
          <w:sz w:val="28"/>
          <w:szCs w:val="28"/>
          <w:rtl/>
        </w:rPr>
        <w:t xml:space="preserve">ترجمه فی (دجا- ص 41) عن حدیقة الشعراء.</w:t>
      </w:r>
    </w:p>
    <w:p>
      <w:pPr>
        <w:pStyle w:val="Heading3"/>
      </w:pPr>
      <w:bookmarkStart w:id="1839" w:name="_Toc535"/>
      <w:r>
        <w:t>440- دیوان إشراق أصفهانی‏</w:t>
      </w:r>
      <w:bookmarkEnd w:id="1839"/>
    </w:p>
    <w:p>
      <w:pPr>
        <w:pStyle w:val="BookText"/>
      </w:pPr>
      <w:r>
        <w:rPr>
          <w:rFonts w:ascii="IRNazanin" w:hAnsi="IRNazanin" w:eastAsia="IRNazanin" w:cs="IRNazanin"/>
          <w:lang w:bidi="fa-IR"/>
          <w:color w:val="111111"/>
          <w:sz w:val="28"/>
          <w:szCs w:val="28"/>
          <w:rtl/>
        </w:rPr>
        <w:t xml:space="preserve">للمیر الداماد، محمد باقر بن محمد الحسینی المتوفی (1041) و قد نقل النصرآبادی تاریخ وفاته عن ملا عبد الله أمانی فی (نر- ص 482) و هی:</w:t>
      </w:r>
    </w:p>
    <w:p>
      <w:pPr>
        <w:pStyle w:val="BookText"/>
      </w:pPr>
      <w:r>
        <w:rPr>
          <w:rFonts w:ascii="IRNazanin" w:hAnsi="IRNazanin" w:eastAsia="IRNazanin" w:cs="IRNazanin"/>
          <w:lang w:bidi="fa-IR"/>
          <w:color w:val="111111"/>
          <w:sz w:val="28"/>
          <w:szCs w:val="28"/>
          <w:rtl/>
        </w:rPr>
        <w:t xml:space="preserve">خرد از ماتمش گریان شد و گفت‏</w:t>
      </w:r>
    </w:p>
    <w:p>
      <w:pPr>
        <w:pStyle w:val="BookText"/>
      </w:pPr>
      <w:r>
        <w:rPr>
          <w:rFonts w:ascii="IRNazanin" w:hAnsi="IRNazanin" w:eastAsia="IRNazanin" w:cs="IRNazanin"/>
          <w:lang w:bidi="fa-IR"/>
          <w:color w:val="111111"/>
          <w:sz w:val="28"/>
          <w:szCs w:val="28"/>
          <w:rtl/>
        </w:rPr>
        <w:t xml:space="preserve">عروس علم و دین را مرد داماد</w:t>
      </w:r>
    </w:p>
    <w:p>
      <w:pPr>
        <w:pStyle w:val="BookText"/>
      </w:pPr>
      <w:r>
        <w:rPr>
          <w:rFonts w:ascii="IRNazanin" w:hAnsi="IRNazanin" w:eastAsia="IRNazanin" w:cs="IRNazanin"/>
          <w:lang w:bidi="fa-IR"/>
          <w:color w:val="111111"/>
          <w:sz w:val="28"/>
          <w:szCs w:val="28"/>
          <w:rtl/>
        </w:rPr>
        <w:t xml:space="preserve">ترجمه و أورد شعره أیضا فی (نر- ص 149) و ریاض العارفین (ص 278) و (تش- ص 169). طبع دیوانه فی (78 ص) بأصفهان فی (1349) و فیه القصائد و الغزل و الرباعیات بالعربیة و الفارسیة، و طبع معه مثنویة مشرق الأنوار فی تتبع مخزن الأسرار للنظامی، و توجد هذا بخطه أیضا ضمن مجموعه گنجینه گران‏مایه (ص 226- 238) الموجودة عند (فخر الدین).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6" w:name="pg11704_121553"/>
    <w:bookmarkEnd w:id="76"/>
    <w:p>
      <w:pPr>
        <w:pStyle w:val="Heading3"/>
      </w:pPr>
      <w:bookmarkStart w:id="1840" w:name="_Toc536"/>
      <w:r>
        <w:t>441- دیوان إشراق أصفهانی‏</w:t>
      </w:r>
      <w:bookmarkEnd w:id="1840"/>
    </w:p>
    <w:p>
      <w:pPr>
        <w:pStyle w:val="BookText"/>
      </w:pPr>
      <w:r>
        <w:rPr>
          <w:rFonts w:ascii="IRNazanin" w:hAnsi="IRNazanin" w:eastAsia="IRNazanin" w:cs="IRNazanin"/>
          <w:lang w:bidi="fa-IR"/>
          <w:color w:val="111111"/>
          <w:sz w:val="28"/>
          <w:szCs w:val="28"/>
          <w:rtl/>
        </w:rPr>
        <w:t xml:space="preserve">و اسمه عبد الرزاق بن الحاج السید محمد، من معاصری رضا قلی خان هدایت. ترجمه و أورد شعره فی (مع- ص 62- ج 2).</w:t>
      </w:r>
    </w:p>
    <w:p>
      <w:pPr>
        <w:pStyle w:val="Heading3"/>
      </w:pPr>
      <w:bookmarkStart w:id="1841" w:name="_Toc537"/>
      <w:r>
        <w:t>442- دیوان إشراق مراغی‏</w:t>
      </w:r>
      <w:bookmarkEnd w:id="1841"/>
    </w:p>
    <w:p>
      <w:pPr>
        <w:pStyle w:val="BookText"/>
      </w:pPr>
      <w:r>
        <w:rPr>
          <w:rFonts w:ascii="IRNazanin" w:hAnsi="IRNazanin" w:eastAsia="IRNazanin" w:cs="IRNazanin"/>
          <w:lang w:bidi="fa-IR"/>
          <w:color w:val="111111"/>
          <w:sz w:val="28"/>
          <w:szCs w:val="28"/>
          <w:rtl/>
        </w:rPr>
        <w:t xml:space="preserve">الشیخ الإسلام بمراغة المیر فتاح المتوفی بها (1275) و له ریاض الفتوح. کان یتخلص فی شعره الفارسی بإشراق و فی الترکی باسمه (فتاح) ترجمه فی (دجا- ص 41) عن ریاض الجنة للزنوزی. و ترجمه أیضا فی مطلع الشمس و دیوانه الفارسی موجود.</w:t>
      </w:r>
    </w:p>
    <w:p>
      <w:pPr>
        <w:pStyle w:val="Heading3"/>
      </w:pPr>
      <w:bookmarkStart w:id="1842" w:name="_Toc538"/>
      <w:r>
        <w:t>443- دیوان إشراقی أو شعره‏</w:t>
      </w:r>
      <w:bookmarkEnd w:id="1842"/>
    </w:p>
    <w:p>
      <w:pPr>
        <w:pStyle w:val="BookText"/>
      </w:pPr>
      <w:r>
        <w:rPr>
          <w:rFonts w:ascii="IRNazanin" w:hAnsi="IRNazanin" w:eastAsia="IRNazanin" w:cs="IRNazanin"/>
          <w:lang w:bidi="fa-IR"/>
          <w:color w:val="111111"/>
          <w:sz w:val="28"/>
          <w:szCs w:val="28"/>
          <w:rtl/>
        </w:rPr>
        <w:t xml:space="preserve">و اسمه میر حسین. ذکره فی (تغ- ص 14).</w:t>
      </w:r>
    </w:p>
    <w:p>
      <w:pPr>
        <w:pStyle w:val="Heading3"/>
      </w:pPr>
      <w:bookmarkStart w:id="1843" w:name="_Toc539"/>
      <w:r>
        <w:t>444- دیوان أشرف أشعره‏</w:t>
      </w:r>
      <w:bookmarkEnd w:id="1843"/>
    </w:p>
    <w:p>
      <w:pPr>
        <w:pStyle w:val="BookText"/>
      </w:pPr>
      <w:r>
        <w:rPr>
          <w:rFonts w:ascii="IRNazanin" w:hAnsi="IRNazanin" w:eastAsia="IRNazanin" w:cs="IRNazanin"/>
          <w:lang w:bidi="fa-IR"/>
          <w:color w:val="111111"/>
          <w:sz w:val="28"/>
          <w:szCs w:val="28"/>
          <w:rtl/>
        </w:rPr>
        <w:t xml:space="preserve">لمیرزا أشرف. طبع مع عقائد النساء له.</w:t>
      </w:r>
    </w:p>
    <w:p>
      <w:pPr>
        <w:pStyle w:val="Heading3"/>
      </w:pPr>
      <w:bookmarkStart w:id="1844" w:name="_Toc540"/>
      <w:r>
        <w:t>445- دیوان أشرف تبریزی أو شعره‏</w:t>
      </w:r>
      <w:bookmarkEnd w:id="1844"/>
    </w:p>
    <w:p>
      <w:pPr>
        <w:pStyle w:val="BookText"/>
      </w:pPr>
      <w:r>
        <w:rPr>
          <w:rFonts w:ascii="IRNazanin" w:hAnsi="IRNazanin" w:eastAsia="IRNazanin" w:cs="IRNazanin"/>
          <w:lang w:bidi="fa-IR"/>
          <w:color w:val="111111"/>
          <w:sz w:val="28"/>
          <w:szCs w:val="28"/>
          <w:rtl/>
        </w:rPr>
        <w:t xml:space="preserve">و اسمه علی أشرف من أحفاد جابر بن عبد الله الأنصاری. کان معاصرا لهدایت فترجمه فی (مع- ج 2).</w:t>
      </w:r>
    </w:p>
    <w:p>
      <w:pPr>
        <w:pStyle w:val="Heading3"/>
      </w:pPr>
      <w:bookmarkStart w:id="1845" w:name="_Toc541"/>
      <w:r>
        <w:t>446- دیوان أشرف جرجانی أو شعره‏</w:t>
      </w:r>
      <w:bookmarkEnd w:id="1845"/>
    </w:p>
    <w:p>
      <w:pPr>
        <w:pStyle w:val="BookText"/>
      </w:pPr>
      <w:r>
        <w:rPr>
          <w:rFonts w:ascii="IRNazanin" w:hAnsi="IRNazanin" w:eastAsia="IRNazanin" w:cs="IRNazanin"/>
          <w:lang w:bidi="fa-IR"/>
          <w:color w:val="111111"/>
          <w:sz w:val="28"/>
          <w:szCs w:val="28"/>
          <w:rtl/>
        </w:rPr>
        <w:t xml:space="preserve">هو المیر مخدوم بن المیر شمس الدین محمد بن المیر السید شریف أورد شعره المتخلص فیه بأشرف فی (خص- ص 42). و هو والد السید أبی الفتح الشریفی صاحب تفسیر شاهی.</w:t>
      </w:r>
    </w:p>
    <w:p>
      <w:pPr>
        <w:pStyle w:val="Heading3"/>
      </w:pPr>
      <w:bookmarkStart w:id="1846" w:name="_Toc542"/>
      <w:r>
        <w:t>447- دیوان أشرف طسوجی‏</w:t>
      </w:r>
      <w:bookmarkEnd w:id="1846"/>
    </w:p>
    <w:p>
      <w:pPr>
        <w:pStyle w:val="BookText"/>
      </w:pPr>
      <w:r>
        <w:rPr>
          <w:rFonts w:ascii="IRNazanin" w:hAnsi="IRNazanin" w:eastAsia="IRNazanin" w:cs="IRNazanin"/>
          <w:lang w:bidi="fa-IR"/>
          <w:color w:val="111111"/>
          <w:sz w:val="28"/>
          <w:szCs w:val="28"/>
          <w:rtl/>
        </w:rPr>
        <w:t xml:space="preserve">و اسمه علی أشرف بن أحمد شیخ الإسلام بن عبد النبی بن شرف الدین محمد بن زین الدین الطسوجی، من نواحی خوی بآذربایجان. دونه لولده آقا أحمد سمی جده فی (1240) فیه قصائد المدیح و الرثاء و الغزل و الرباعیات و غیرها.</w:t>
      </w:r>
    </w:p>
    <w:p>
      <w:pPr>
        <w:pStyle w:val="BookText"/>
      </w:pPr>
      <w:r>
        <w:rPr>
          <w:rFonts w:ascii="IRNazanin" w:hAnsi="IRNazanin" w:eastAsia="IRNazanin" w:cs="IRNazanin"/>
          <w:lang w:bidi="fa-IR"/>
          <w:color w:val="111111"/>
          <w:sz w:val="28"/>
          <w:szCs w:val="28"/>
          <w:rtl/>
        </w:rPr>
        <w:t xml:space="preserve">قال فی تاریخ وفاة جده عبد النبی مؤلف التفسیر المذکور فی ج 4: 281 و المتوفی (1203):</w:t>
      </w:r>
    </w:p>
    <w:p>
      <w:pPr>
        <w:pStyle w:val="BookText"/>
      </w:pPr>
      <w:r>
        <w:rPr>
          <w:rFonts w:ascii="IRNazanin" w:hAnsi="IRNazanin" w:eastAsia="IRNazanin" w:cs="IRNazanin"/>
          <w:lang w:bidi="fa-IR"/>
          <w:color w:val="111111"/>
          <w:sz w:val="28"/>
          <w:szCs w:val="28"/>
          <w:rtl/>
        </w:rPr>
        <w:t xml:space="preserve">چون عبد نبی و شیخ إسلام‏</w:t>
      </w:r>
    </w:p>
    <w:p>
      <w:pPr>
        <w:pStyle w:val="BookText"/>
      </w:pPr>
      <w:r>
        <w:rPr>
          <w:rFonts w:ascii="IRNazanin" w:hAnsi="IRNazanin" w:eastAsia="IRNazanin" w:cs="IRNazanin"/>
          <w:lang w:bidi="fa-IR"/>
          <w:color w:val="111111"/>
          <w:sz w:val="28"/>
          <w:szCs w:val="28"/>
          <w:rtl/>
        </w:rPr>
        <w:t xml:space="preserve">در دار سلام یافت انجام‏</w:t>
      </w:r>
    </w:p>
    <w:p>
      <w:pPr>
        <w:pStyle w:val="BookText"/>
      </w:pPr>
      <w:r>
        <w:rPr>
          <w:rFonts w:ascii="IRNazanin" w:hAnsi="IRNazanin" w:eastAsia="IRNazanin" w:cs="IRNazanin"/>
          <w:lang w:bidi="fa-IR"/>
          <w:color w:val="111111"/>
          <w:sz w:val="28"/>
          <w:szCs w:val="28"/>
          <w:rtl/>
        </w:rPr>
        <w:t xml:space="preserve">تاریخ وفات أو خرد گفت:</w:t>
      </w:r>
    </w:p>
    <w:p>
      <w:pPr>
        <w:pStyle w:val="BookText"/>
      </w:pPr>
      <w:r>
        <w:rPr>
          <w:rFonts w:ascii="IRNazanin" w:hAnsi="IRNazanin" w:eastAsia="IRNazanin" w:cs="IRNazanin"/>
          <w:lang w:bidi="fa-IR"/>
          <w:color w:val="111111"/>
          <w:sz w:val="28"/>
          <w:szCs w:val="28"/>
          <w:rtl/>
        </w:rPr>
        <w:t xml:space="preserve">افتاده ستون دین إسلام‏</w:t>
      </w:r>
    </w:p>
    <w:p>
      <w:pPr>
        <w:pStyle w:val="BookText"/>
      </w:pPr>
      <w:r>
        <w:rPr>
          <w:rFonts w:ascii="IRNazanin" w:hAnsi="IRNazanin" w:eastAsia="IRNazanin" w:cs="IRNazanin"/>
          <w:lang w:bidi="fa-IR"/>
          <w:color w:val="111111"/>
          <w:sz w:val="28"/>
          <w:szCs w:val="28"/>
          <w:rtl/>
        </w:rPr>
        <w:t xml:space="preserve">یقرب مجموع أبیاته الفارسیة و الترکیة من (2400 بیت). نسخه منه عند المیرزا محمد علی بن محمد باقر القاضی الطباطبائی بتبریز کما کتبه إلینا.</w:t>
      </w:r>
    </w:p>
    <w:p>
      <w:pPr>
        <w:pStyle w:val="Heading3"/>
      </w:pPr>
      <w:bookmarkStart w:id="1847" w:name="_Toc543"/>
      <w:r>
        <w:t>دیوان أشرف السمرقندی‏</w:t>
      </w:r>
      <w:bookmarkEnd w:id="1847"/>
    </w:p>
    <w:p>
      <w:pPr>
        <w:pStyle w:val="BookText"/>
      </w:pPr>
      <w:r>
        <w:rPr>
          <w:rFonts w:ascii="IRNazanin" w:hAnsi="IRNazanin" w:eastAsia="IRNazanin" w:cs="IRNazanin"/>
          <w:lang w:bidi="fa-IR"/>
          <w:color w:val="111111"/>
          <w:sz w:val="28"/>
          <w:szCs w:val="28"/>
          <w:rtl/>
        </w:rPr>
        <w:t xml:space="preserve">السید معین الدین یأتی بتخلصه أشرفی.</w:t>
      </w:r>
    </w:p>
    <w:p>
      <w:pPr>
        <w:pStyle w:val="Heading3"/>
      </w:pPr>
      <w:bookmarkStart w:id="1848" w:name="_Toc544"/>
      <w:r>
        <w:t>448- دیوان المولی أشرف العراقی أو شعره‏</w:t>
      </w:r>
      <w:bookmarkEnd w:id="1848"/>
    </w:p>
    <w:p>
      <w:pPr>
        <w:pStyle w:val="BookText"/>
      </w:pPr>
      <w:r>
        <w:rPr>
          <w:rFonts w:ascii="IRNazanin" w:hAnsi="IRNazanin" w:eastAsia="IRNazanin" w:cs="IRNazanin"/>
          <w:lang w:bidi="fa-IR"/>
          <w:color w:val="111111"/>
          <w:sz w:val="28"/>
          <w:szCs w:val="28"/>
          <w:rtl/>
        </w:rPr>
        <w:t xml:space="preserve">من علمائها. ترجمه معاصره سام میرزا فی عداد العلماء فی (تس- ص 55) و أورد مطلعا له.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7" w:name="pg11704_121554"/>
    <w:bookmarkEnd w:id="77"/>
    <w:p>
      <w:pPr>
        <w:pStyle w:val="Heading3"/>
      </w:pPr>
      <w:bookmarkStart w:id="1849" w:name="_Toc545"/>
      <w:r>
        <w:t>دیوان أشرف الغزنوی‏</w:t>
      </w:r>
      <w:bookmarkEnd w:id="1849"/>
    </w:p>
    <w:p>
      <w:pPr>
        <w:pStyle w:val="BookText"/>
      </w:pPr>
      <w:r>
        <w:rPr>
          <w:rFonts w:ascii="IRNazanin" w:hAnsi="IRNazanin" w:eastAsia="IRNazanin" w:cs="IRNazanin"/>
          <w:lang w:bidi="fa-IR"/>
          <w:color w:val="111111"/>
          <w:sz w:val="28"/>
          <w:szCs w:val="28"/>
          <w:rtl/>
        </w:rPr>
        <w:t xml:space="preserve">للسید أشرف الدین حسن بن ناصر الغزنوی. یأتی باسمه الحسن الغزنوی لاشتهاره به و إن کان تخلصه أشرف.</w:t>
      </w:r>
    </w:p>
    <w:p>
      <w:pPr>
        <w:pStyle w:val="Heading3"/>
      </w:pPr>
      <w:bookmarkStart w:id="1850" w:name="_Toc546"/>
      <w:r>
        <w:t>449- دیوان أشرف فرخ‏آبادی أو شعره‏</w:t>
      </w:r>
      <w:bookmarkEnd w:id="1850"/>
    </w:p>
    <w:p>
      <w:pPr>
        <w:pStyle w:val="BookText"/>
      </w:pPr>
      <w:r>
        <w:rPr>
          <w:rFonts w:ascii="IRNazanin" w:hAnsi="IRNazanin" w:eastAsia="IRNazanin" w:cs="IRNazanin"/>
          <w:lang w:bidi="fa-IR"/>
          <w:color w:val="111111"/>
          <w:sz w:val="28"/>
          <w:szCs w:val="28"/>
          <w:rtl/>
        </w:rPr>
        <w:t xml:space="preserve">و اسمه أشرف علی الهندی قاری التعزیة (کتاب‏خوان روضه‏خوان) أورد شعره فی (گلشن- 25).</w:t>
      </w:r>
    </w:p>
    <w:p>
      <w:pPr>
        <w:pStyle w:val="Heading3"/>
      </w:pPr>
      <w:bookmarkStart w:id="1851" w:name="_Toc547"/>
      <w:r>
        <w:t>450- دیوان أشرف کاشانی‏</w:t>
      </w:r>
      <w:bookmarkEnd w:id="1851"/>
    </w:p>
    <w:p>
      <w:pPr>
        <w:pStyle w:val="BookText"/>
      </w:pPr>
      <w:r>
        <w:rPr>
          <w:rFonts w:ascii="IRNazanin" w:hAnsi="IRNazanin" w:eastAsia="IRNazanin" w:cs="IRNazanin"/>
          <w:lang w:bidi="fa-IR"/>
          <w:color w:val="111111"/>
          <w:sz w:val="28"/>
          <w:szCs w:val="28"/>
          <w:rtl/>
        </w:rPr>
        <w:t xml:space="preserve">للسید جمال الدین الکاشی. ترجمه الحکیم شاه محمد القزوینی فی بهشت الثامن من ترجمه المجالس، و قال إنه من شعراء عصر ابقا خان و ذکر ترجیع بند له. و فیه قوله:</w:t>
      </w:r>
    </w:p>
    <w:p>
      <w:pPr>
        <w:pStyle w:val="BookText"/>
      </w:pPr>
      <w:r>
        <w:rPr>
          <w:rFonts w:ascii="IRNazanin" w:hAnsi="IRNazanin" w:eastAsia="IRNazanin" w:cs="IRNazanin"/>
          <w:lang w:bidi="fa-IR"/>
          <w:color w:val="111111"/>
          <w:sz w:val="28"/>
          <w:szCs w:val="28"/>
          <w:rtl/>
        </w:rPr>
        <w:t xml:space="preserve">من أشرف ثانیم نه صابر</w:t>
      </w:r>
    </w:p>
    <w:p>
      <w:pPr>
        <w:pStyle w:val="BookText"/>
      </w:pPr>
      <w:r>
        <w:rPr>
          <w:rFonts w:ascii="IRNazanin" w:hAnsi="IRNazanin" w:eastAsia="IRNazanin" w:cs="IRNazanin"/>
          <w:lang w:bidi="fa-IR"/>
          <w:color w:val="111111"/>
          <w:sz w:val="28"/>
          <w:szCs w:val="28"/>
          <w:rtl/>
        </w:rPr>
        <w:t xml:space="preserve">. و مات 779.</w:t>
      </w:r>
    </w:p>
    <w:p>
      <w:pPr>
        <w:pStyle w:val="Heading3"/>
      </w:pPr>
      <w:bookmarkStart w:id="1852" w:name="_Toc548"/>
      <w:r>
        <w:t>451- دیوان أشرف مازندرانی‏</w:t>
      </w:r>
      <w:bookmarkEnd w:id="1852"/>
    </w:p>
    <w:p>
      <w:pPr>
        <w:pStyle w:val="BookText"/>
      </w:pPr>
      <w:r>
        <w:rPr>
          <w:rFonts w:ascii="IRNazanin" w:hAnsi="IRNazanin" w:eastAsia="IRNazanin" w:cs="IRNazanin"/>
          <w:lang w:bidi="fa-IR"/>
          <w:color w:val="111111"/>
          <w:sz w:val="28"/>
          <w:szCs w:val="28"/>
          <w:rtl/>
        </w:rPr>
        <w:t xml:space="preserve">للمولی محمد سعید بن المولی محمد صالح المازندرانی سبط المجلسی الأول. ترجمه النصرآبادی فی (نر- 181) و کذا فی (سرو آزاد) و أوردا شعره. و قال فی (تغ- ص 14) إنه مات (1116). و قال فی (تش- 165) إنه ولد بأصفهان و سافر إلی الهند و ترجمه فی (سرخوش- 7) مفصلا و أثنی علی قدرته فی الشعر. و له مثنوی قضا و قدر. و قد تلمذ فی الشعر علی صائب و فی الخط علی عبد الرشید الدیلمی الخطاط. توجد نسخه من دیوانه فی (الرضویة).</w:t>
      </w:r>
    </w:p>
    <w:p>
      <w:pPr>
        <w:pStyle w:val="Heading3"/>
      </w:pPr>
      <w:bookmarkStart w:id="1853" w:name="_Toc549"/>
      <w:r>
        <w:t>452- دیوان أشرف مراغی خیابانی‏</w:t>
      </w:r>
      <w:bookmarkEnd w:id="1853"/>
    </w:p>
    <w:p>
      <w:pPr>
        <w:pStyle w:val="BookText"/>
      </w:pPr>
      <w:r>
        <w:rPr>
          <w:rFonts w:ascii="IRNazanin" w:hAnsi="IRNazanin" w:eastAsia="IRNazanin" w:cs="IRNazanin"/>
          <w:lang w:bidi="fa-IR"/>
          <w:color w:val="111111"/>
          <w:sz w:val="28"/>
          <w:szCs w:val="28"/>
          <w:rtl/>
        </w:rPr>
        <w:t xml:space="preserve">ابن الشیخ الإمام السعید قدوة أرباب الحدیث أبی علی الحسین بن الحسن المراغی التبریزی علی ما هو المکتوب فی دیباجة کلیاته. و قد کتب فی حیاة الناظم فی (859) لأنه توفی (864) و الأوحدی فی العرفات وصفه بأشرف الخیابانی، و قال إنه کان درویشا یلبس النمد الملفوف بقورجوق و فی تذکره علی قلی خان واله ترجمه بعنوان درویش أشرف و کذا فی دانشمندان فی (ص 147) و ذکر أن نسخه کلیاته المؤرخة بما مر فی مکتبته، و هو مشتمل علی القصائد و الغزلیات و الرباعیات و الترجیعات و غیرها، رتبها بنفسه فی أربعة دواوین بعناوین خاصة 1 عنوان الشباب 2 خیر الأمور 3 باقیات الصالحات 4 محددات التجلیات و له أیضا الخمسة علی نسق الخمسة النظامیة کما مر. و له نظم مائة کلمة لأمیر المؤمنین علیه السلام  بالفارسیة کما یأتی.</w:t>
      </w:r>
    </w:p>
    <w:p>
      <w:pPr>
        <w:pStyle w:val="Heading3"/>
      </w:pPr>
      <w:bookmarkStart w:id="1854" w:name="_Toc550"/>
      <w:r>
        <w:t>453- دیوان أشرفی سمرقندی‏</w:t>
      </w:r>
      <w:bookmarkEnd w:id="1854"/>
    </w:p>
    <w:p>
      <w:pPr>
        <w:pStyle w:val="BookText"/>
      </w:pPr>
      <w:r>
        <w:rPr>
          <w:rFonts w:ascii="IRNazanin" w:hAnsi="IRNazanin" w:eastAsia="IRNazanin" w:cs="IRNazanin"/>
          <w:lang w:bidi="fa-IR"/>
          <w:color w:val="111111"/>
          <w:sz w:val="28"/>
          <w:szCs w:val="28"/>
          <w:rtl/>
        </w:rPr>
        <w:t xml:space="preserve">للسید معین الدین حسن المتخلص بأشرفی و المشهور بأشرف سمرقندی أو أشرف ثانی فی قبال أشرف الغزنوی السابق علیه. توفی بسمرقند (595) ترجمه فی (تش- 332) و ریاض العارفین (ص 281) و (مع: 1: 101)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8" w:name="pg11704_121555"/>
    <w:bookmarkEnd w:id="78"/>
    <w:p>
      <w:pPr>
        <w:pStyle w:val="BookText"/>
      </w:pPr>
      <w:r>
        <w:rPr>
          <w:rFonts w:ascii="IRNazanin" w:hAnsi="IRNazanin" w:eastAsia="IRNazanin" w:cs="IRNazanin"/>
          <w:lang w:bidi="fa-IR"/>
          <w:color w:val="111111"/>
          <w:sz w:val="28"/>
          <w:szCs w:val="28"/>
          <w:rtl/>
        </w:rPr>
        <w:t xml:space="preserve">و أوردوا کثیرا من أشعاره.</w:t>
      </w:r>
    </w:p>
    <w:p>
      <w:pPr>
        <w:pStyle w:val="Heading3"/>
      </w:pPr>
      <w:bookmarkStart w:id="1855" w:name="_Toc551"/>
      <w:r>
        <w:t>454- دیوان أشعری‏</w:t>
      </w:r>
      <w:bookmarkEnd w:id="1855"/>
    </w:p>
    <w:p>
      <w:pPr>
        <w:pStyle w:val="BookText"/>
      </w:pPr>
      <w:r>
        <w:rPr>
          <w:rFonts w:ascii="IRNazanin" w:hAnsi="IRNazanin" w:eastAsia="IRNazanin" w:cs="IRNazanin"/>
          <w:lang w:bidi="fa-IR"/>
          <w:color w:val="111111"/>
          <w:sz w:val="28"/>
          <w:szCs w:val="28"/>
          <w:rtl/>
        </w:rPr>
        <w:t xml:space="preserve">من شعراء عصر فتح علی شاه إلی محمد شاه القاجاری. توجد الدیوان بخط الناظم عند (النخجوانی) بطهران و نسخه أخری فی (10500 بیت) فی (المجلس) کما فی فهرسها (3: 220).</w:t>
      </w:r>
    </w:p>
    <w:p>
      <w:pPr>
        <w:pStyle w:val="Heading3"/>
      </w:pPr>
      <w:bookmarkStart w:id="1856" w:name="_Toc552"/>
      <w:r>
        <w:t>455- دیوان أشک لکهنوی أو شعره‏</w:t>
      </w:r>
      <w:bookmarkEnd w:id="1856"/>
    </w:p>
    <w:p>
      <w:pPr>
        <w:pStyle w:val="BookText"/>
      </w:pPr>
      <w:r>
        <w:rPr>
          <w:rFonts w:ascii="IRNazanin" w:hAnsi="IRNazanin" w:eastAsia="IRNazanin" w:cs="IRNazanin"/>
          <w:lang w:bidi="fa-IR"/>
          <w:color w:val="111111"/>
          <w:sz w:val="28"/>
          <w:szCs w:val="28"/>
          <w:rtl/>
        </w:rPr>
        <w:t xml:space="preserve">و اسمه المولوی هادی علی البجنوردی من قرأ لکهنو. مات (1281) و دفن عند قبر فخر الدین شهید، بها. أورد شعره مع الإطراء علیه فی (گلشن- 25).</w:t>
      </w:r>
    </w:p>
    <w:p>
      <w:pPr>
        <w:pStyle w:val="Heading3"/>
      </w:pPr>
      <w:bookmarkStart w:id="1857" w:name="_Toc553"/>
      <w:r>
        <w:t>456- دیوان أشکی القمی‏</w:t>
      </w:r>
      <w:bookmarkEnd w:id="1857"/>
    </w:p>
    <w:p>
      <w:pPr>
        <w:pStyle w:val="BookText"/>
      </w:pPr>
      <w:r>
        <w:rPr>
          <w:rFonts w:ascii="IRNazanin" w:hAnsi="IRNazanin" w:eastAsia="IRNazanin" w:cs="IRNazanin"/>
          <w:lang w:bidi="fa-IR"/>
          <w:color w:val="111111"/>
          <w:sz w:val="28"/>
          <w:szCs w:val="28"/>
          <w:rtl/>
        </w:rPr>
        <w:t xml:space="preserve">للمیر أشکی، أخو حضوری القمی، و معاصر غزالی مشهدی و معاصر- الصادقی کتاب دار الشاه عباس الماضی المولود (940)- ترجمه فی (خص- ص 77) و ذکر أن له دیوانین و إنه ذهب إلی بلاد الهند أخیرا و صار مقبول القول عند ملوکها فبذلوا له فی مجلس واحد مائة ألف سکه فمات من شده الشوق. و قال فی (تغ- 14) مات (972) توجد دیوانه فی المتحف البریطانی کما فی فهرس (ریو- ج 4- ص 195).</w:t>
      </w:r>
    </w:p>
    <w:p>
      <w:pPr>
        <w:pStyle w:val="Heading3"/>
      </w:pPr>
      <w:bookmarkStart w:id="1858" w:name="_Toc554"/>
      <w:r>
        <w:t>457- دیوان أشهری نیشابوری‏</w:t>
      </w:r>
      <w:bookmarkEnd w:id="1858"/>
    </w:p>
    <w:p>
      <w:pPr>
        <w:pStyle w:val="BookText"/>
      </w:pPr>
      <w:r>
        <w:rPr>
          <w:rFonts w:ascii="IRNazanin" w:hAnsi="IRNazanin" w:eastAsia="IRNazanin" w:cs="IRNazanin"/>
          <w:lang w:bidi="fa-IR"/>
          <w:color w:val="111111"/>
          <w:sz w:val="28"/>
          <w:szCs w:val="28"/>
          <w:rtl/>
        </w:rPr>
        <w:t xml:space="preserve">و اسمه جمال الدین شاهپور بن محمد من أولاد عمر الخیام و من تلامیذ ظهیر فاریابی و من شعراء السلطان محمد بن تکش. قال فی (تش- 134) إنه تصدی الاستیفاء و مات بتبریز و دفن بمقبرة الشعراء بکوه سرخاب. و له رسالة شاپوری و دیوان مرتب کما فی (گلشن: 26) و نقل عنه فی قاموس الأعلام الترکیة و عنه فی ریحانة الأدب.</w:t>
      </w:r>
    </w:p>
    <w:p>
      <w:pPr>
        <w:pStyle w:val="Heading3"/>
      </w:pPr>
      <w:bookmarkStart w:id="1859" w:name="_Toc555"/>
      <w:r>
        <w:t>458- دیوان أصدق أو شعره‏</w:t>
      </w:r>
      <w:bookmarkEnd w:id="1859"/>
    </w:p>
    <w:p>
      <w:pPr>
        <w:pStyle w:val="BookText"/>
      </w:pPr>
      <w:r>
        <w:rPr>
          <w:rFonts w:ascii="IRNazanin" w:hAnsi="IRNazanin" w:eastAsia="IRNazanin" w:cs="IRNazanin"/>
          <w:lang w:bidi="fa-IR"/>
          <w:color w:val="111111"/>
          <w:sz w:val="28"/>
          <w:szCs w:val="28"/>
          <w:rtl/>
        </w:rPr>
        <w:t xml:space="preserve">و هو محمد أصدق ابن الشاه إسماعیل الصفوی مات فی (984) بهمدان کما فی (تغ- ص 15).</w:t>
      </w:r>
    </w:p>
    <w:p>
      <w:pPr>
        <w:pStyle w:val="Heading3"/>
      </w:pPr>
      <w:bookmarkStart w:id="1860" w:name="_Toc556"/>
      <w:r>
        <w:t>459- دیوان أصغر أو شعره‏</w:t>
      </w:r>
      <w:bookmarkEnd w:id="1860"/>
    </w:p>
    <w:p>
      <w:pPr>
        <w:pStyle w:val="BookText"/>
      </w:pPr>
      <w:r>
        <w:rPr>
          <w:rFonts w:ascii="IRNazanin" w:hAnsi="IRNazanin" w:eastAsia="IRNazanin" w:cs="IRNazanin"/>
          <w:lang w:bidi="fa-IR"/>
          <w:color w:val="111111"/>
          <w:sz w:val="28"/>
          <w:szCs w:val="28"/>
          <w:rtl/>
        </w:rPr>
        <w:t xml:space="preserve">و هو ابن المیر غیاث الدین عزیز من نقباء مشهد خراسان.</w:t>
      </w:r>
    </w:p>
    <w:p>
      <w:pPr>
        <w:pStyle w:val="BookText"/>
      </w:pPr>
      <w:r>
        <w:rPr>
          <w:rFonts w:ascii="IRNazanin" w:hAnsi="IRNazanin" w:eastAsia="IRNazanin" w:cs="IRNazanin"/>
          <w:lang w:bidi="fa-IR"/>
          <w:color w:val="111111"/>
          <w:sz w:val="28"/>
          <w:szCs w:val="28"/>
          <w:rtl/>
        </w:rPr>
        <w:t xml:space="preserve">ترجمه فی (لط- ص 137) و أورد مطلعین له و فی (روشن- 52) أنه سبزواری.</w:t>
      </w:r>
    </w:p>
    <w:p>
      <w:pPr>
        <w:pStyle w:val="Heading3"/>
      </w:pPr>
      <w:bookmarkStart w:id="1861" w:name="_Toc557"/>
      <w:r>
        <w:t>دیوان أصغر نهاوندی‏</w:t>
      </w:r>
      <w:bookmarkEnd w:id="1861"/>
    </w:p>
    <w:p>
      <w:pPr>
        <w:pStyle w:val="BookText"/>
      </w:pPr>
      <w:r>
        <w:rPr>
          <w:rFonts w:ascii="IRNazanin" w:hAnsi="IRNazanin" w:eastAsia="IRNazanin" w:cs="IRNazanin"/>
          <w:lang w:bidi="fa-IR"/>
          <w:color w:val="111111"/>
          <w:sz w:val="28"/>
          <w:szCs w:val="28"/>
          <w:rtl/>
        </w:rPr>
        <w:t xml:space="preserve">یأتی باسمه علی أصغر لاشتهاره به.</w:t>
      </w:r>
    </w:p>
    <w:p>
      <w:pPr>
        <w:pStyle w:val="Heading3"/>
      </w:pPr>
      <w:bookmarkStart w:id="1862" w:name="_Toc558"/>
      <w:r>
        <w:t>دیوان أصلی دماوندی شیرازی أو شعره‏</w:t>
      </w:r>
      <w:bookmarkEnd w:id="1862"/>
    </w:p>
    <w:p>
      <w:pPr>
        <w:pStyle w:val="BookText"/>
      </w:pPr>
      <w:r>
        <w:rPr>
          <w:rFonts w:ascii="IRNazanin" w:hAnsi="IRNazanin" w:eastAsia="IRNazanin" w:cs="IRNazanin"/>
          <w:lang w:bidi="fa-IR"/>
          <w:color w:val="111111"/>
          <w:sz w:val="28"/>
          <w:szCs w:val="28"/>
          <w:rtl/>
        </w:rPr>
        <w:t xml:space="preserve">و سماه النصرآبادی، بابا أصلی کما یأتی.</w:t>
      </w:r>
    </w:p>
    <w:p>
      <w:pPr>
        <w:pStyle w:val="Heading3"/>
      </w:pPr>
      <w:bookmarkStart w:id="1863" w:name="_Toc559"/>
      <w:r>
        <w:t>460- دیوان أصلی قمی أو شعره‏</w:t>
      </w:r>
      <w:bookmarkEnd w:id="1863"/>
    </w:p>
    <w:p>
      <w:pPr>
        <w:pStyle w:val="BookText"/>
      </w:pPr>
      <w:r>
        <w:rPr>
          <w:rFonts w:ascii="IRNazanin" w:hAnsi="IRNazanin" w:eastAsia="IRNazanin" w:cs="IRNazanin"/>
          <w:lang w:bidi="fa-IR"/>
          <w:color w:val="111111"/>
          <w:sz w:val="28"/>
          <w:szCs w:val="28"/>
          <w:rtl/>
        </w:rPr>
        <w:t xml:space="preserve">و اسمه میر محمود و أصله من سادات جاسب من بلوکات قم. ذکره فی (تش- ص 229) و أورد بیتین له.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9" w:name="pg11704_121556"/>
    <w:bookmarkEnd w:id="79"/>
    <w:p>
      <w:pPr>
        <w:pStyle w:val="Heading3"/>
      </w:pPr>
      <w:bookmarkStart w:id="1864" w:name="_Toc560"/>
      <w:r>
        <w:t>461- دیوان الأمیر أصیلی أو شعره‏</w:t>
      </w:r>
      <w:bookmarkEnd w:id="1864"/>
    </w:p>
    <w:p>
      <w:pPr>
        <w:pStyle w:val="BookText"/>
      </w:pPr>
      <w:r>
        <w:rPr>
          <w:rFonts w:ascii="IRNazanin" w:hAnsi="IRNazanin" w:eastAsia="IRNazanin" w:cs="IRNazanin"/>
          <w:lang w:bidi="fa-IR"/>
          <w:color w:val="111111"/>
          <w:sz w:val="28"/>
          <w:szCs w:val="28"/>
          <w:rtl/>
        </w:rPr>
        <w:t xml:space="preserve">و هو من سادات سرقة. ترجمه معاصره سام میرزا فی (تس- 38) و أورد مطلع غزله.</w:t>
      </w:r>
    </w:p>
    <w:p>
      <w:pPr>
        <w:pStyle w:val="Heading3"/>
      </w:pPr>
      <w:bookmarkStart w:id="1865" w:name="_Toc561"/>
      <w:r>
        <w:t>462- دیوان مولانا أصیلی المشهدی أو شعره‏</w:t>
      </w:r>
      <w:bookmarkEnd w:id="1865"/>
    </w:p>
    <w:p>
      <w:pPr>
        <w:pStyle w:val="BookText"/>
      </w:pPr>
      <w:r>
        <w:rPr>
          <w:rFonts w:ascii="IRNazanin" w:hAnsi="IRNazanin" w:eastAsia="IRNazanin" w:cs="IRNazanin"/>
          <w:lang w:bidi="fa-IR"/>
          <w:color w:val="111111"/>
          <w:sz w:val="28"/>
          <w:szCs w:val="28"/>
          <w:rtl/>
        </w:rPr>
        <w:t xml:space="preserve">ترجمه فی (لط- ص 68) و القزوینی فی (مجن- ص 242) و أوردا شعره، و سماه فی (روشن- 53) بمحمد علی و ذکره فی (تش- ص 85) بعنوان أصلی مشهدی و قال إنه خطاط بالنستعلیق و کذا قال فی (گلشن- 26).</w:t>
      </w:r>
    </w:p>
    <w:p>
      <w:pPr>
        <w:pStyle w:val="Heading3"/>
      </w:pPr>
      <w:bookmarkStart w:id="1866" w:name="_Toc562"/>
      <w:r>
        <w:t>دیوان أطعمه‏</w:t>
      </w:r>
      <w:bookmarkEnd w:id="1866"/>
    </w:p>
    <w:p>
      <w:pPr>
        <w:pStyle w:val="BookText"/>
      </w:pPr>
      <w:r>
        <w:rPr>
          <w:rFonts w:ascii="IRNazanin" w:hAnsi="IRNazanin" w:eastAsia="IRNazanin" w:cs="IRNazanin"/>
          <w:lang w:bidi="fa-IR"/>
          <w:color w:val="111111"/>
          <w:sz w:val="28"/>
          <w:szCs w:val="28"/>
          <w:rtl/>
        </w:rPr>
        <w:t xml:space="preserve">أو دیوان بسحاق أطعمه یأتی.</w:t>
      </w:r>
    </w:p>
    <w:p>
      <w:pPr>
        <w:pStyle w:val="Heading3"/>
      </w:pPr>
      <w:bookmarkStart w:id="1867" w:name="_Toc563"/>
      <w:r>
        <w:t>دیوان أطعمه‏</w:t>
      </w:r>
      <w:bookmarkEnd w:id="1867"/>
    </w:p>
    <w:p>
      <w:pPr>
        <w:pStyle w:val="BookText"/>
      </w:pPr>
      <w:r>
        <w:rPr>
          <w:rFonts w:ascii="IRNazanin" w:hAnsi="IRNazanin" w:eastAsia="IRNazanin" w:cs="IRNazanin"/>
          <w:lang w:bidi="fa-IR"/>
          <w:color w:val="111111"/>
          <w:sz w:val="28"/>
          <w:szCs w:val="28"/>
          <w:rtl/>
        </w:rPr>
        <w:t xml:space="preserve">مر بعنوان دیوان أحمد أطعمه. و قد خلط بعض بین بسحاق أطعمه و أحمد أطعمه.</w:t>
      </w:r>
    </w:p>
    <w:p>
      <w:pPr>
        <w:pStyle w:val="Heading3"/>
      </w:pPr>
      <w:bookmarkStart w:id="1868" w:name="_Toc564"/>
      <w:r>
        <w:t>463- دیوان أطوار کرمانی‏</w:t>
      </w:r>
      <w:bookmarkEnd w:id="1868"/>
    </w:p>
    <w:p>
      <w:pPr>
        <w:pStyle w:val="BookText"/>
      </w:pPr>
      <w:r>
        <w:rPr>
          <w:rFonts w:ascii="IRNazanin" w:hAnsi="IRNazanin" w:eastAsia="IRNazanin" w:cs="IRNazanin"/>
          <w:lang w:bidi="fa-IR"/>
          <w:color w:val="111111"/>
          <w:sz w:val="28"/>
          <w:szCs w:val="28"/>
          <w:rtl/>
        </w:rPr>
        <w:t xml:space="preserve">الحاج آقا صادق بن آخوند ملا علی، کان فقیها فیلسوفا تلمذ علی الحاج ملا هادی السبزواری، بها. ثم رجع إلی کرمان و درس الفلسفة و سافر إلی العراق و رجع فی (1311) و مات. کان له مکتبة فیها أکثر من ألفی مجلد له شرح دیوان مجنون بنی عامر، عرفانیا. و له قصیدة فی رثاء أستاذه السبزواری. کذا وصفه لی السید محمد الهاشمی الکرمانی بطهران.</w:t>
      </w:r>
    </w:p>
    <w:p>
      <w:pPr>
        <w:pStyle w:val="Heading3"/>
      </w:pPr>
      <w:bookmarkStart w:id="1869" w:name="_Toc565"/>
      <w:r>
        <w:t>464- دیوان أظهر دهلوی أو شعره‏</w:t>
      </w:r>
      <w:bookmarkEnd w:id="1869"/>
    </w:p>
    <w:p>
      <w:pPr>
        <w:pStyle w:val="BookText"/>
      </w:pPr>
      <w:r>
        <w:rPr>
          <w:rFonts w:ascii="IRNazanin" w:hAnsi="IRNazanin" w:eastAsia="IRNazanin" w:cs="IRNazanin"/>
          <w:lang w:bidi="fa-IR"/>
          <w:color w:val="111111"/>
          <w:sz w:val="28"/>
          <w:szCs w:val="28"/>
          <w:rtl/>
        </w:rPr>
        <w:t xml:space="preserve">و هو میر غلام علی تلمیذ شمس الدین فقیر. هاجر إلی عظیم‏آباد فی (1170) و مات هناک (1182) أورد بعض شعره فی (گلشن- 26) و عنه فی قاموس الأعلام الترکیة، و عنه فی ریحانة الأدب.</w:t>
      </w:r>
    </w:p>
    <w:p>
      <w:pPr>
        <w:pStyle w:val="Heading3"/>
      </w:pPr>
      <w:bookmarkStart w:id="1870" w:name="_Toc566"/>
      <w:r>
        <w:t>465- دیوان أظهر شاه جهان‏پوری أو شعره‏</w:t>
      </w:r>
      <w:bookmarkEnd w:id="1870"/>
    </w:p>
    <w:p>
      <w:pPr>
        <w:pStyle w:val="BookText"/>
      </w:pPr>
      <w:r>
        <w:rPr>
          <w:rFonts w:ascii="IRNazanin" w:hAnsi="IRNazanin" w:eastAsia="IRNazanin" w:cs="IRNazanin"/>
          <w:lang w:bidi="fa-IR"/>
          <w:color w:val="111111"/>
          <w:sz w:val="28"/>
          <w:szCs w:val="28"/>
          <w:rtl/>
        </w:rPr>
        <w:t xml:space="preserve">و هو أحمد خان. أورد شعره فی (گلشن: 26) و عنه فی قاموس الأعلام فریحانة الأدب.</w:t>
      </w:r>
    </w:p>
    <w:p>
      <w:pPr>
        <w:pStyle w:val="Heading3"/>
      </w:pPr>
      <w:bookmarkStart w:id="1871" w:name="_Toc567"/>
      <w:r>
        <w:t>466- دیوان أظهری شیرازی‏</w:t>
      </w:r>
      <w:bookmarkEnd w:id="1871"/>
    </w:p>
    <w:p>
      <w:pPr>
        <w:pStyle w:val="BookText"/>
      </w:pPr>
      <w:r>
        <w:rPr>
          <w:rFonts w:ascii="IRNazanin" w:hAnsi="IRNazanin" w:eastAsia="IRNazanin" w:cs="IRNazanin"/>
          <w:lang w:bidi="fa-IR"/>
          <w:color w:val="111111"/>
          <w:sz w:val="28"/>
          <w:szCs w:val="28"/>
          <w:rtl/>
        </w:rPr>
        <w:t xml:space="preserve">اسمه بوداق کما صرح به فی آخر هذا الدیوان الموجود فی مکتبة مدرسة سپهسالار. و قد فصل أحوال الناظم و خصوصیاته فی فهرس المکتبة (ج 2- ص 561) یظهر من شعره أنه شیرازی الأصل و کان له فی (1012) إحدی و عشرون سنة و سمی کل قصیدة منه باسم خاص مثل ضیاء القلوب و سویداء الضمیر و غیرها و کلها فی مدیح النبی و الأئمة علیه السلام  و الملوک الصفویة. ذکر فی آخره أنه فرغ منه فی (17- ع 1- 1054) و عمره یومئذ ثلاث و ستون سنة. أوله:</w:t>
      </w:r>
    </w:p>
    <w:p>
      <w:pPr>
        <w:pStyle w:val="BookText"/>
      </w:pPr>
      <w:r>
        <w:rPr>
          <w:rFonts w:ascii="IRNazanin" w:hAnsi="IRNazanin" w:eastAsia="IRNazanin" w:cs="IRNazanin"/>
          <w:lang w:bidi="fa-IR"/>
          <w:color w:val="111111"/>
          <w:sz w:val="28"/>
          <w:szCs w:val="28"/>
          <w:rtl/>
        </w:rPr>
        <w:t xml:space="preserve">ای زیور رخساره جان از کرمت‏</w:t>
      </w:r>
    </w:p>
    <w:p>
      <w:pPr>
        <w:pStyle w:val="BookText"/>
      </w:pPr>
      <w:r>
        <w:rPr>
          <w:rFonts w:ascii="IRNazanin" w:hAnsi="IRNazanin" w:eastAsia="IRNazanin" w:cs="IRNazanin"/>
          <w:lang w:bidi="fa-IR"/>
          <w:color w:val="111111"/>
          <w:sz w:val="28"/>
          <w:szCs w:val="28"/>
          <w:rtl/>
        </w:rPr>
        <w:t xml:space="preserve">سرمایه گردش زبان از کرمت‏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80" w:name="pg11704_121557"/>
    <w:bookmarkEnd w:id="80"/>
    <w:p>
      <w:pPr>
        <w:pStyle w:val="BookText"/>
      </w:pPr>
      <w:r>
        <w:rPr>
          <w:rFonts w:ascii="IRNazanin" w:hAnsi="IRNazanin" w:eastAsia="IRNazanin" w:cs="IRNazanin"/>
          <w:lang w:bidi="fa-IR"/>
          <w:color w:val="111111"/>
          <w:sz w:val="28"/>
          <w:szCs w:val="28"/>
          <w:rtl/>
        </w:rPr>
        <w:t xml:space="preserve">و لیس بوداق بیک بن حصار بیک الترکی میر آخور للشاه طهماسب، و المترجم فی (تس- ص 186).</w:t>
      </w:r>
    </w:p>
    <w:p>
      <w:pPr>
        <w:pStyle w:val="Heading3"/>
      </w:pPr>
      <w:bookmarkStart w:id="1872" w:name="_Toc568"/>
      <w:r>
        <w:t>467- دیوان أظهری قهپایه‏ای أصفهانی‏</w:t>
      </w:r>
      <w:bookmarkEnd w:id="1872"/>
    </w:p>
    <w:p>
      <w:pPr>
        <w:pStyle w:val="BookText"/>
      </w:pPr>
      <w:r>
        <w:rPr>
          <w:rFonts w:ascii="IRNazanin" w:hAnsi="IRNazanin" w:eastAsia="IRNazanin" w:cs="IRNazanin"/>
          <w:lang w:bidi="fa-IR"/>
          <w:color w:val="111111"/>
          <w:sz w:val="28"/>
          <w:szCs w:val="28"/>
          <w:rtl/>
        </w:rPr>
        <w:t xml:space="preserve">الذی کان کاتبا ثم تجنن و فی الأخیر غسل رجله بماء الورود ثم نام و توفی، کذا ترجمه النصرآبادی فی (نر- ص 412) و (روشن- 55).</w:t>
      </w:r>
    </w:p>
    <w:p>
      <w:pPr>
        <w:pStyle w:val="Heading3"/>
      </w:pPr>
      <w:bookmarkStart w:id="1873" w:name="_Toc569"/>
      <w:r>
        <w:t>468- دیوان أظهری موصلی دهلوی أو شعره‏</w:t>
      </w:r>
      <w:bookmarkEnd w:id="1873"/>
    </w:p>
    <w:p>
      <w:pPr>
        <w:pStyle w:val="BookText"/>
      </w:pPr>
      <w:r>
        <w:rPr>
          <w:rFonts w:ascii="IRNazanin" w:hAnsi="IRNazanin" w:eastAsia="IRNazanin" w:cs="IRNazanin"/>
          <w:lang w:bidi="fa-IR"/>
          <w:color w:val="111111"/>
          <w:sz w:val="28"/>
          <w:szCs w:val="28"/>
          <w:rtl/>
        </w:rPr>
        <w:t xml:space="preserve">و اسمه حیدر علی من أقرباء ملا مظهر الکشمیری. جاء والده من موصل إلی دهلی فولد أظهری و تربی هناک. و له مطائبات مع ملا شیدا. مات فی (1044) و ترجمه فی (گلشن- ص 27) و عنه فی قاموس الأعلام الترکیة فریحانة الأدب.</w:t>
      </w:r>
    </w:p>
    <w:p>
      <w:pPr>
        <w:pStyle w:val="Heading3"/>
      </w:pPr>
      <w:bookmarkStart w:id="1874" w:name="_Toc570"/>
      <w:r>
        <w:t>469- دیوان اعتصامی‏</w:t>
      </w:r>
      <w:bookmarkEnd w:id="1874"/>
    </w:p>
    <w:p>
      <w:pPr>
        <w:pStyle w:val="BookText"/>
      </w:pPr>
      <w:r>
        <w:rPr>
          <w:rFonts w:ascii="IRNazanin" w:hAnsi="IRNazanin" w:eastAsia="IRNazanin" w:cs="IRNazanin"/>
          <w:lang w:bidi="fa-IR"/>
          <w:color w:val="111111"/>
          <w:sz w:val="28"/>
          <w:szCs w:val="28"/>
          <w:rtl/>
        </w:rPr>
        <w:t xml:space="preserve">لپروین اعتصامی بنت میرزا یوسف خان اعتصامی مؤلف فهرس مکتبة المجلس فی مجلدین المتوفی (1316 ش). و بنته پروین کانت شاعرة فاضلة أدیبة تربت فی بیت علم و تعلمت العربیة و الإنگلیزیة و لها شعر رقیق. ماتت فی شبابها أربع سنین بعد موت أبیها فی (1320 ش 1360) لها زاغ و طاوس و جوان و پیر و طبع دیوانها فی (1314 ش) ثم أعید طبعه بعد موتها فی (1320 ش) مع مقدمه فی أحوالها و قال سالار سعید حیدری فی تاریخ فوتها (1360):</w:t>
      </w:r>
    </w:p>
    <w:p>
      <w:pPr>
        <w:pStyle w:val="BookText"/>
      </w:pPr>
      <w:r>
        <w:rPr>
          <w:rFonts w:ascii="IRNazanin" w:hAnsi="IRNazanin" w:eastAsia="IRNazanin" w:cs="IRNazanin"/>
          <w:lang w:bidi="fa-IR"/>
          <w:color w:val="111111"/>
          <w:sz w:val="28"/>
          <w:szCs w:val="28"/>
          <w:rtl/>
        </w:rPr>
        <w:t xml:space="preserve">تاریخ فوت هجری جستم ز حیدری گفت‏</w:t>
      </w:r>
    </w:p>
    <w:p>
      <w:pPr>
        <w:pStyle w:val="BookText"/>
      </w:pPr>
      <w:r>
        <w:rPr>
          <w:rFonts w:ascii="IRNazanin" w:hAnsi="IRNazanin" w:eastAsia="IRNazanin" w:cs="IRNazanin"/>
          <w:lang w:bidi="fa-IR"/>
          <w:color w:val="111111"/>
          <w:sz w:val="28"/>
          <w:szCs w:val="28"/>
          <w:rtl/>
        </w:rPr>
        <w:t xml:space="preserve">مرده ادیبه دهر پروین اعتصامی‏</w:t>
      </w:r>
    </w:p>
    <w:p>
      <w:pPr>
        <w:pStyle w:val="Heading3"/>
      </w:pPr>
      <w:bookmarkStart w:id="1875" w:name="_Toc571"/>
      <w:r>
        <w:t>470- دیوان اعتماد خراسانی أو شعره‏</w:t>
      </w:r>
      <w:bookmarkEnd w:id="1875"/>
    </w:p>
    <w:p>
      <w:pPr>
        <w:pStyle w:val="BookText"/>
      </w:pPr>
      <w:r>
        <w:rPr>
          <w:rFonts w:ascii="IRNazanin" w:hAnsi="IRNazanin" w:eastAsia="IRNazanin" w:cs="IRNazanin"/>
          <w:lang w:bidi="fa-IR"/>
          <w:color w:val="111111"/>
          <w:sz w:val="28"/>
          <w:szCs w:val="28"/>
          <w:rtl/>
        </w:rPr>
        <w:t xml:space="preserve">و اسمه خواجه اعتماد. سکن شیراز. أورد بعض شعره فی (گلشن: 27).</w:t>
      </w:r>
    </w:p>
    <w:p>
      <w:pPr>
        <w:pStyle w:val="Heading3"/>
      </w:pPr>
      <w:bookmarkStart w:id="1876" w:name="_Toc572"/>
      <w:r>
        <w:t>471- دیوان إعجاز دهلوی أو شعره‏</w:t>
      </w:r>
      <w:bookmarkEnd w:id="1876"/>
    </w:p>
    <w:p>
      <w:pPr>
        <w:pStyle w:val="BookText"/>
      </w:pPr>
      <w:r>
        <w:rPr>
          <w:rFonts w:ascii="IRNazanin" w:hAnsi="IRNazanin" w:eastAsia="IRNazanin" w:cs="IRNazanin"/>
          <w:lang w:bidi="fa-IR"/>
          <w:color w:val="111111"/>
          <w:sz w:val="28"/>
          <w:szCs w:val="28"/>
          <w:rtl/>
        </w:rPr>
        <w:t xml:space="preserve">و اسمه ملا محمد سعید معاصر بیدل و فطرت.</w:t>
      </w:r>
    </w:p>
    <w:p>
      <w:pPr>
        <w:pStyle w:val="BookText"/>
      </w:pPr>
      <w:r>
        <w:rPr>
          <w:rFonts w:ascii="IRNazanin" w:hAnsi="IRNazanin" w:eastAsia="IRNazanin" w:cs="IRNazanin"/>
          <w:lang w:bidi="fa-IR"/>
          <w:color w:val="111111"/>
          <w:sz w:val="28"/>
          <w:szCs w:val="28"/>
          <w:rtl/>
        </w:rPr>
        <w:t xml:space="preserve">قال فی (تغ- ص 5) مات فی (1117) (کذا) مطابق اعجاز بفردوس رفت.</w:t>
      </w:r>
    </w:p>
    <w:p>
      <w:pPr>
        <w:pStyle w:val="Heading3"/>
      </w:pPr>
      <w:bookmarkStart w:id="1877" w:name="_Toc573"/>
      <w:r>
        <w:t>472- دیوان إعجاز هراتی أو شعره‏</w:t>
      </w:r>
      <w:bookmarkEnd w:id="1877"/>
    </w:p>
    <w:p>
      <w:pPr>
        <w:pStyle w:val="BookText"/>
      </w:pPr>
      <w:r>
        <w:rPr>
          <w:rFonts w:ascii="IRNazanin" w:hAnsi="IRNazanin" w:eastAsia="IRNazanin" w:cs="IRNazanin"/>
          <w:lang w:bidi="fa-IR"/>
          <w:color w:val="111111"/>
          <w:sz w:val="28"/>
          <w:szCs w:val="28"/>
          <w:rtl/>
        </w:rPr>
        <w:t xml:space="preserve">و اسمه ملا عطاء. وصفه النصرآبادی بقطب فلک النظم فی (نر- ص 408) و عنه فی (گلشن- ص 27).</w:t>
      </w:r>
    </w:p>
    <w:p>
      <w:pPr>
        <w:pStyle w:val="Heading3"/>
      </w:pPr>
      <w:bookmarkStart w:id="1878" w:name="_Toc574"/>
      <w:r>
        <w:t>473- دیوان إعجازی مازندرانی أو شعره‏</w:t>
      </w:r>
      <w:bookmarkEnd w:id="1878"/>
    </w:p>
    <w:p>
      <w:pPr>
        <w:pStyle w:val="BookText"/>
      </w:pPr>
      <w:r>
        <w:rPr>
          <w:rFonts w:ascii="IRNazanin" w:hAnsi="IRNazanin" w:eastAsia="IRNazanin" w:cs="IRNazanin"/>
          <w:lang w:bidi="fa-IR"/>
          <w:color w:val="111111"/>
          <w:sz w:val="28"/>
          <w:szCs w:val="28"/>
          <w:rtl/>
        </w:rPr>
        <w:t xml:space="preserve">قال فی (تغ- 15) ملا إعجازی معاصر للسلاجقة.</w:t>
      </w:r>
    </w:p>
    <w:p>
      <w:pPr>
        <w:pStyle w:val="Heading3"/>
      </w:pPr>
      <w:bookmarkStart w:id="1879" w:name="_Toc575"/>
      <w:r>
        <w:t>دیوان أعجم ترکمان‏</w:t>
      </w:r>
      <w:bookmarkEnd w:id="1879"/>
    </w:p>
    <w:p>
      <w:pPr>
        <w:pStyle w:val="BookText"/>
      </w:pPr>
      <w:r>
        <w:rPr>
          <w:rFonts w:ascii="IRNazanin" w:hAnsi="IRNazanin" w:eastAsia="IRNazanin" w:cs="IRNazanin"/>
          <w:lang w:bidi="fa-IR"/>
          <w:color w:val="111111"/>
          <w:sz w:val="28"/>
          <w:szCs w:val="28"/>
          <w:rtl/>
        </w:rPr>
        <w:t xml:space="preserve">یأتی بعنوان دیوان ترکمان.</w:t>
      </w:r>
    </w:p>
    <w:p>
      <w:pPr>
        <w:pStyle w:val="Heading3"/>
      </w:pPr>
      <w:bookmarkStart w:id="1880" w:name="_Toc576"/>
      <w:r>
        <w:t>474- دیوان أعرجی مراغی‏</w:t>
      </w:r>
      <w:bookmarkEnd w:id="1880"/>
    </w:p>
    <w:p>
      <w:pPr>
        <w:pStyle w:val="BookText"/>
      </w:pPr>
      <w:r>
        <w:rPr>
          <w:rFonts w:ascii="IRNazanin" w:hAnsi="IRNazanin" w:eastAsia="IRNazanin" w:cs="IRNazanin"/>
          <w:lang w:bidi="fa-IR"/>
          <w:color w:val="111111"/>
          <w:sz w:val="28"/>
          <w:szCs w:val="28"/>
          <w:rtl/>
        </w:rPr>
        <w:t xml:space="preserve">المعروف بقاضی لنگ. ترجمه معاصره (صادقی-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81" w:name="pg11704_121558"/>
    <w:bookmarkEnd w:id="81"/>
    <w:p>
      <w:pPr>
        <w:pStyle w:val="BookText"/>
      </w:pPr>
      <w:r>
        <w:rPr>
          <w:rFonts w:ascii="IRNazanin" w:hAnsi="IRNazanin" w:eastAsia="IRNazanin" w:cs="IRNazanin"/>
          <w:lang w:bidi="fa-IR"/>
          <w:color w:val="111111"/>
          <w:sz w:val="28"/>
          <w:szCs w:val="28"/>
          <w:rtl/>
        </w:rPr>
        <w:t xml:space="preserve">م 940) فی (خص: 291) و حکی فی (دجا- 45) عن هفت إقلیم أن غالب أشعاره ترکیة.</w:t>
      </w:r>
    </w:p>
    <w:p>
      <w:pPr>
        <w:pStyle w:val="Heading3"/>
      </w:pPr>
      <w:bookmarkStart w:id="1881" w:name="_Toc577"/>
      <w:r>
        <w:t>475- دیوان الأعرجی‏</w:t>
      </w:r>
      <w:bookmarkEnd w:id="1881"/>
    </w:p>
    <w:p>
      <w:pPr>
        <w:pStyle w:val="BookText"/>
      </w:pPr>
      <w:r>
        <w:rPr>
          <w:rFonts w:ascii="IRNazanin" w:hAnsi="IRNazanin" w:eastAsia="IRNazanin" w:cs="IRNazanin"/>
          <w:lang w:bidi="fa-IR"/>
          <w:color w:val="111111"/>
          <w:sz w:val="28"/>
          <w:szCs w:val="28"/>
          <w:rtl/>
        </w:rPr>
        <w:t xml:space="preserve">هو السید عبد المهدی ناظم أرجوزة سلسلة النسب المذکور فی (ج 1- ص 478) فی أنواع من الشعر مرتبا علی الحروف رتبه بنفسه و توفی غریقا فی شط الحلة (1358) و النسخة بخط أخیه الخطیب السید حبیب ساکن النجف عند الشیخ عبد المولی الطریحی و قد کتب له مقدمه بقلمه لیقدم للطبع.</w:t>
      </w:r>
    </w:p>
    <w:p>
      <w:pPr>
        <w:pStyle w:val="Heading3"/>
      </w:pPr>
      <w:bookmarkStart w:id="1882" w:name="_Toc578"/>
      <w:r>
        <w:t>476- دیوان الأعسم الکبیر</w:t>
      </w:r>
      <w:bookmarkEnd w:id="1882"/>
    </w:p>
    <w:p>
      <w:pPr>
        <w:pStyle w:val="BookText"/>
      </w:pPr>
      <w:r>
        <w:rPr>
          <w:rFonts w:ascii="IRNazanin" w:hAnsi="IRNazanin" w:eastAsia="IRNazanin" w:cs="IRNazanin"/>
          <w:lang w:bidi="fa-IR"/>
          <w:color w:val="111111"/>
          <w:sz w:val="28"/>
          <w:szCs w:val="28"/>
          <w:rtl/>
        </w:rPr>
        <w:t xml:space="preserve">للشیخ محمد علی بن الشیخ حسین بن محمد الأعسم النجفی المتوفی بها (1233) صاحب أرجوزة الإرث المذکور فی (ج 1- ص 454) و أرجوزة الرضاع المذکور فی (ص 476) و أرجوزة الأطعمة المذکور فی (ص 462) و فی جمیعها ذکرناه بعنوان محمد علی بن محمد، نسبته إلی الجد المتعارفة الشائعة و فی دیوانه مدیح آیة الله بحر العلوم و رثائه و مدائح أخر، موجود عند أحفاده” المؤلف” و بیت الأعسم من بیوت العلم نشا فیهم جمع من الأعلام الفقهاء المصنفین منهم ولده الشیخ عبد الحسین الشارح للأراجیز المذکورة و الشاعر الآتی.</w:t>
      </w:r>
    </w:p>
    <w:p>
      <w:pPr>
        <w:pStyle w:val="Heading3"/>
      </w:pPr>
      <w:bookmarkStart w:id="1883" w:name="_Toc579"/>
      <w:r>
        <w:t>477- دیوان الأعسم الصغیر</w:t>
      </w:r>
      <w:bookmarkEnd w:id="1883"/>
    </w:p>
    <w:p>
      <w:pPr>
        <w:pStyle w:val="BookText"/>
      </w:pPr>
      <w:r>
        <w:rPr>
          <w:rFonts w:ascii="IRNazanin" w:hAnsi="IRNazanin" w:eastAsia="IRNazanin" w:cs="IRNazanin"/>
          <w:lang w:bidi="fa-IR"/>
          <w:color w:val="111111"/>
          <w:sz w:val="28"/>
          <w:szCs w:val="28"/>
          <w:rtl/>
        </w:rPr>
        <w:t xml:space="preserve">للشیخ عبد الحسین بن الشیخ محمد علی الأعسم المذکور دون بعض قصائده مع قصائد غیره ضمن مجموعة فی مکتبة الملک، کتابتها فی (1302) و المدون لها هو السید العلوی الحسینی الأرومی و إحدی القصائد للحاج میرزا محمود الأمینی القزوینی.</w:t>
      </w:r>
    </w:p>
    <w:p>
      <w:pPr>
        <w:pStyle w:val="Heading3"/>
      </w:pPr>
      <w:bookmarkStart w:id="1884" w:name="_Toc580"/>
      <w:r>
        <w:t>478- دیوان أعظم شاملو</w:t>
      </w:r>
      <w:bookmarkEnd w:id="1884"/>
    </w:p>
    <w:p>
      <w:pPr>
        <w:pStyle w:val="BookText"/>
      </w:pPr>
      <w:r>
        <w:rPr>
          <w:rFonts w:ascii="IRNazanin" w:hAnsi="IRNazanin" w:eastAsia="IRNazanin" w:cs="IRNazanin"/>
          <w:lang w:bidi="fa-IR"/>
          <w:color w:val="111111"/>
          <w:sz w:val="28"/>
          <w:szCs w:val="28"/>
          <w:rtl/>
        </w:rPr>
        <w:t xml:space="preserve">اسمه علی قلی خان بن أرشد حسن خان الشاملو، من أمراء الشاه عباس الصفوی، ذکر النصرآبادی فی (نر- ص 24) أن ما رآه من شعره یقرب من ألفی بیت، و عنه فی (گلشن: 28) و (تغ- 15).</w:t>
      </w:r>
    </w:p>
    <w:p>
      <w:pPr>
        <w:pStyle w:val="Heading3"/>
      </w:pPr>
      <w:bookmarkStart w:id="1885" w:name="_Toc581"/>
      <w:r>
        <w:t>479- دیوان أعلائی تورانی أو شعره‏</w:t>
      </w:r>
      <w:bookmarkEnd w:id="1885"/>
    </w:p>
    <w:p>
      <w:pPr>
        <w:pStyle w:val="BookText"/>
      </w:pPr>
      <w:r>
        <w:rPr>
          <w:rFonts w:ascii="IRNazanin" w:hAnsi="IRNazanin" w:eastAsia="IRNazanin" w:cs="IRNazanin"/>
          <w:lang w:bidi="fa-IR"/>
          <w:color w:val="111111"/>
          <w:sz w:val="28"/>
          <w:szCs w:val="28"/>
          <w:rtl/>
        </w:rPr>
        <w:t xml:space="preserve">أورد شعره فی (گلشن- ص 28).</w:t>
      </w:r>
    </w:p>
    <w:p>
      <w:pPr>
        <w:pStyle w:val="Heading3"/>
      </w:pPr>
      <w:bookmarkStart w:id="1886" w:name="_Toc582"/>
      <w:r>
        <w:t>480- دیوان الأعور الحائری‏</w:t>
      </w:r>
      <w:bookmarkEnd w:id="1886"/>
    </w:p>
    <w:p>
      <w:pPr>
        <w:pStyle w:val="BookText"/>
      </w:pPr>
      <w:r>
        <w:rPr>
          <w:rFonts w:ascii="IRNazanin" w:hAnsi="IRNazanin" w:eastAsia="IRNazanin" w:cs="IRNazanin"/>
          <w:lang w:bidi="fa-IR"/>
          <w:color w:val="111111"/>
          <w:sz w:val="28"/>
          <w:szCs w:val="28"/>
          <w:rtl/>
        </w:rPr>
        <w:t xml:space="preserve">هو الشیخ علی بن ناصر الشهیر بالأعور الحائری المتوفی حدود (1300) یقرب من ألفی بیت فی مواضیع شتی. توجد عند الشیخ محمد علی الیعقوبی فی النجف.</w:t>
      </w:r>
    </w:p>
    <w:p>
      <w:pPr>
        <w:pStyle w:val="Heading3"/>
      </w:pPr>
      <w:bookmarkStart w:id="1887" w:name="_Toc583"/>
      <w:r>
        <w:t>481- دیوان أغبری کرمانی‏</w:t>
      </w:r>
      <w:bookmarkEnd w:id="1887"/>
    </w:p>
    <w:p>
      <w:pPr>
        <w:pStyle w:val="BookText"/>
      </w:pPr>
      <w:r>
        <w:rPr>
          <w:rFonts w:ascii="IRNazanin" w:hAnsi="IRNazanin" w:eastAsia="IRNazanin" w:cs="IRNazanin"/>
          <w:lang w:bidi="fa-IR"/>
          <w:color w:val="111111"/>
          <w:sz w:val="28"/>
          <w:szCs w:val="28"/>
          <w:rtl/>
        </w:rPr>
        <w:t xml:space="preserve">و هو درویش عابد المداح (روضه‏خوان) و کان منجما رمالا أیضا. و قد جمع مکتبة أشتریها بعد وفاته مع دیوانه المخطوط المشتمل علی أکثر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82" w:name="pg11704_121559"/>
    <w:bookmarkEnd w:id="82"/>
    <w:p>
      <w:pPr>
        <w:pStyle w:val="BookText"/>
      </w:pPr>
      <w:r>
        <w:rPr>
          <w:rFonts w:ascii="IRNazanin" w:hAnsi="IRNazanin" w:eastAsia="IRNazanin" w:cs="IRNazanin"/>
          <w:lang w:bidi="fa-IR"/>
          <w:color w:val="111111"/>
          <w:sz w:val="28"/>
          <w:szCs w:val="28"/>
          <w:rtl/>
        </w:rPr>
        <w:t xml:space="preserve">من (4000 بیت) السید محمد الهاشمی الکرمانی بطهران، و قال الهاشمی إنه مات بکرمان فی (صفر 1355) و للشاعر ابن هو الآن فی صدد طبع دیوان أبیه.</w:t>
      </w:r>
    </w:p>
    <w:p>
      <w:pPr>
        <w:pStyle w:val="Heading3"/>
      </w:pPr>
      <w:bookmarkStart w:id="1888" w:name="_Toc584"/>
      <w:r>
        <w:t>دیوان أغورلو</w:t>
      </w:r>
      <w:bookmarkEnd w:id="1888"/>
    </w:p>
    <w:p>
      <w:pPr>
        <w:pStyle w:val="BookText"/>
      </w:pPr>
      <w:r>
        <w:rPr>
          <w:rFonts w:ascii="IRNazanin" w:hAnsi="IRNazanin" w:eastAsia="IRNazanin" w:cs="IRNazanin"/>
          <w:lang w:bidi="fa-IR"/>
          <w:color w:val="111111"/>
          <w:sz w:val="28"/>
          <w:szCs w:val="28"/>
          <w:rtl/>
        </w:rPr>
        <w:t xml:space="preserve">تخلصه زیادی کما فی (نر- ص 25).</w:t>
      </w:r>
    </w:p>
    <w:p>
      <w:pPr>
        <w:pStyle w:val="Heading3"/>
      </w:pPr>
      <w:bookmarkStart w:id="1889" w:name="_Toc585"/>
      <w:r>
        <w:t>482- دیوان أغورلو بیک‏</w:t>
      </w:r>
      <w:bookmarkEnd w:id="1889"/>
    </w:p>
    <w:p>
      <w:pPr>
        <w:pStyle w:val="BookText"/>
      </w:pPr>
      <w:r>
        <w:rPr>
          <w:rFonts w:ascii="IRNazanin" w:hAnsi="IRNazanin" w:eastAsia="IRNazanin" w:cs="IRNazanin"/>
          <w:lang w:bidi="fa-IR"/>
          <w:color w:val="111111"/>
          <w:sz w:val="28"/>
          <w:szCs w:val="28"/>
          <w:rtl/>
        </w:rPr>
        <w:t xml:space="preserve">بن إمام قلی خان حاکم فارس سلب عنه بصره فی أیام الشاه صفی کما فی (نر- ص 35) و أورد شعره و قال فی (روشن: 57) إنه قد أعماه أخواه.</w:t>
      </w:r>
    </w:p>
    <w:p>
      <w:pPr>
        <w:pStyle w:val="BookText"/>
      </w:pPr>
      <w:r>
        <w:rPr>
          <w:rFonts w:ascii="IRNazanin" w:hAnsi="IRNazanin" w:eastAsia="IRNazanin" w:cs="IRNazanin"/>
          <w:lang w:bidi="fa-IR"/>
          <w:color w:val="111111"/>
          <w:sz w:val="28"/>
          <w:szCs w:val="28"/>
          <w:rtl/>
        </w:rPr>
        <w:t xml:space="preserve">و أغور باللغة اللریة اسم سلسلة من أمراء لرستان (لر کوچک).</w:t>
      </w:r>
    </w:p>
    <w:p>
      <w:pPr>
        <w:pStyle w:val="Heading3"/>
      </w:pPr>
      <w:bookmarkStart w:id="1890" w:name="_Toc586"/>
      <w:r>
        <w:t>483- دیوان افتخار شیرازی أو شعره‏</w:t>
      </w:r>
      <w:bookmarkEnd w:id="1890"/>
    </w:p>
    <w:p>
      <w:pPr>
        <w:pStyle w:val="BookText"/>
      </w:pPr>
      <w:r>
        <w:rPr>
          <w:rFonts w:ascii="IRNazanin" w:hAnsi="IRNazanin" w:eastAsia="IRNazanin" w:cs="IRNazanin"/>
          <w:lang w:bidi="fa-IR"/>
          <w:color w:val="111111"/>
          <w:sz w:val="28"/>
          <w:szCs w:val="28"/>
          <w:rtl/>
        </w:rPr>
        <w:t xml:space="preserve">أورد شعره فی (روشن: 57).</w:t>
      </w:r>
    </w:p>
    <w:p>
      <w:pPr>
        <w:pStyle w:val="Heading3"/>
      </w:pPr>
      <w:bookmarkStart w:id="1891" w:name="_Toc587"/>
      <w:r>
        <w:t>دیوان الأفتونی‏</w:t>
      </w:r>
      <w:bookmarkEnd w:id="1891"/>
    </w:p>
    <w:p>
      <w:pPr>
        <w:pStyle w:val="BookText"/>
      </w:pPr>
      <w:r>
        <w:rPr>
          <w:rFonts w:ascii="IRNazanin" w:hAnsi="IRNazanin" w:eastAsia="IRNazanin" w:cs="IRNazanin"/>
          <w:lang w:bidi="fa-IR"/>
          <w:color w:val="111111"/>
          <w:sz w:val="28"/>
          <w:szCs w:val="28"/>
          <w:rtl/>
        </w:rPr>
        <w:t xml:space="preserve">الشیخ أبو صالح محمد مهدی الملقب بالصالح الفتونی المذکور فی (ج 1- ص 467) یأتی.</w:t>
      </w:r>
    </w:p>
    <w:p>
      <w:pPr>
        <w:pStyle w:val="Heading3"/>
      </w:pPr>
      <w:bookmarkStart w:id="1892" w:name="_Toc588"/>
      <w:r>
        <w:t>484- دیوان افراشته‏</w:t>
      </w:r>
      <w:bookmarkEnd w:id="1892"/>
    </w:p>
    <w:p>
      <w:pPr>
        <w:pStyle w:val="BookText"/>
      </w:pPr>
      <w:r>
        <w:rPr>
          <w:rFonts w:ascii="IRNazanin" w:hAnsi="IRNazanin" w:eastAsia="IRNazanin" w:cs="IRNazanin"/>
          <w:lang w:bidi="fa-IR"/>
          <w:color w:val="111111"/>
          <w:sz w:val="28"/>
          <w:szCs w:val="28"/>
          <w:rtl/>
        </w:rPr>
        <w:t xml:space="preserve">الشاعر الشعبی الإیرانی محمد علی افراشته الرشتی، مدیر جریدة چلنگر الفکاهیة السیاسیة. و قد طبع له مجموعة شعر بعنوان آی گفتی.</w:t>
      </w:r>
    </w:p>
    <w:p>
      <w:pPr>
        <w:pStyle w:val="Heading3"/>
      </w:pPr>
      <w:bookmarkStart w:id="1893" w:name="_Toc589"/>
      <w:r>
        <w:t>485- دیوان أفسر أصفهانی أو شعره‏</w:t>
      </w:r>
      <w:bookmarkEnd w:id="1893"/>
    </w:p>
    <w:p>
      <w:pPr>
        <w:pStyle w:val="BookText"/>
      </w:pPr>
      <w:r>
        <w:rPr>
          <w:rFonts w:ascii="IRNazanin" w:hAnsi="IRNazanin" w:eastAsia="IRNazanin" w:cs="IRNazanin"/>
          <w:lang w:bidi="fa-IR"/>
          <w:color w:val="111111"/>
          <w:sz w:val="28"/>
          <w:szCs w:val="28"/>
          <w:rtl/>
        </w:rPr>
        <w:t xml:space="preserve">نزل الهند فی عهد عالمگیر و لقب منه بمعزز خان و مات ببنگاله أورد شعره فی (گلشن- ص 29) و (روشن- 58) و قال فی (تغ- ص 16) إنه معاصر لفرخ سیر بن عظیم الشأن.</w:t>
      </w:r>
    </w:p>
    <w:p>
      <w:pPr>
        <w:pStyle w:val="Heading3"/>
      </w:pPr>
      <w:bookmarkStart w:id="1894" w:name="_Toc590"/>
      <w:r>
        <w:t>486- دیوان أفسر أردوبادی‏</w:t>
      </w:r>
      <w:bookmarkEnd w:id="1894"/>
    </w:p>
    <w:p>
      <w:pPr>
        <w:pStyle w:val="BookText"/>
      </w:pPr>
      <w:r>
        <w:rPr>
          <w:rFonts w:ascii="IRNazanin" w:hAnsi="IRNazanin" w:eastAsia="IRNazanin" w:cs="IRNazanin"/>
          <w:lang w:bidi="fa-IR"/>
          <w:color w:val="111111"/>
          <w:sz w:val="28"/>
          <w:szCs w:val="28"/>
          <w:rtl/>
        </w:rPr>
        <w:t xml:space="preserve">اسمه المیرزا عبد الله الأردوبادی من شعراء عصر محمد شاه القاجار و شعره بالترکیة. حکی ترجمته فی (دجا- ص 46) عن حدیقة الشعراء.</w:t>
      </w:r>
    </w:p>
    <w:p>
      <w:pPr>
        <w:pStyle w:val="Heading3"/>
      </w:pPr>
      <w:bookmarkStart w:id="1895" w:name="_Toc591"/>
      <w:r>
        <w:t>487- دیوان أفسر القزوینی‏</w:t>
      </w:r>
      <w:bookmarkEnd w:id="1895"/>
    </w:p>
    <w:p>
      <w:pPr>
        <w:pStyle w:val="BookText"/>
      </w:pPr>
      <w:r>
        <w:rPr>
          <w:rFonts w:ascii="IRNazanin" w:hAnsi="IRNazanin" w:eastAsia="IRNazanin" w:cs="IRNazanin"/>
          <w:lang w:bidi="fa-IR"/>
          <w:color w:val="111111"/>
          <w:sz w:val="28"/>
          <w:szCs w:val="28"/>
          <w:rtl/>
        </w:rPr>
        <w:t xml:space="preserve">فی مدیح النبی  صلی الله علیه و آله  رأیت منه قصیدتین فی مدحه قرب ثمانین بیتا إحداهما بقافیة محمد. و الآخر رائیة. و آخر القصیدة الثانیة:</w:t>
      </w:r>
    </w:p>
    <w:p>
      <w:pPr>
        <w:pStyle w:val="BookText"/>
      </w:pPr>
      <w:r>
        <w:rPr>
          <w:rFonts w:ascii="IRNazanin" w:hAnsi="IRNazanin" w:eastAsia="IRNazanin" w:cs="IRNazanin"/>
          <w:lang w:bidi="fa-IR"/>
          <w:color w:val="111111"/>
          <w:sz w:val="28"/>
          <w:szCs w:val="28"/>
          <w:rtl/>
        </w:rPr>
        <w:t xml:space="preserve">حبیبان تو دائم شاد و خندان در جهان بادا</w:t>
      </w:r>
    </w:p>
    <w:p>
      <w:pPr>
        <w:pStyle w:val="BookText"/>
      </w:pPr>
      <w:r>
        <w:rPr>
          <w:rFonts w:ascii="IRNazanin" w:hAnsi="IRNazanin" w:eastAsia="IRNazanin" w:cs="IRNazanin"/>
          <w:lang w:bidi="fa-IR"/>
          <w:color w:val="111111"/>
          <w:sz w:val="28"/>
          <w:szCs w:val="28"/>
          <w:rtl/>
        </w:rPr>
        <w:t xml:space="preserve">بحق شاه مردان شیر یزدان ساقی کوثر</w:t>
      </w:r>
    </w:p>
    <w:p>
      <w:pPr>
        <w:pStyle w:val="BookText"/>
      </w:pPr>
      <w:r>
        <w:rPr>
          <w:rFonts w:ascii="IRNazanin" w:hAnsi="IRNazanin" w:eastAsia="IRNazanin" w:cs="IRNazanin"/>
          <w:lang w:bidi="fa-IR"/>
          <w:color w:val="111111"/>
          <w:sz w:val="28"/>
          <w:szCs w:val="28"/>
          <w:rtl/>
        </w:rPr>
        <w:t xml:space="preserve">رأیتهما ضمن مجموعة عند السید محمد الجزائری فی النجف.</w:t>
      </w:r>
    </w:p>
    <w:p>
      <w:pPr>
        <w:pStyle w:val="Heading3"/>
      </w:pPr>
      <w:bookmarkStart w:id="1896" w:name="_Toc592"/>
      <w:r>
        <w:t>488- دیوان أفسر الکاشانی أو شعره‏</w:t>
      </w:r>
      <w:bookmarkEnd w:id="1896"/>
    </w:p>
    <w:p>
      <w:pPr>
        <w:pStyle w:val="BookText"/>
      </w:pPr>
      <w:r>
        <w:rPr>
          <w:rFonts w:ascii="IRNazanin" w:hAnsi="IRNazanin" w:eastAsia="IRNazanin" w:cs="IRNazanin"/>
          <w:lang w:bidi="fa-IR"/>
          <w:color w:val="111111"/>
          <w:sz w:val="28"/>
          <w:szCs w:val="28"/>
          <w:rtl/>
        </w:rPr>
        <w:t xml:space="preserve">و هو محمد علی بن المیر سنجر سافر إلی الهند کما فی (نر- ص 281) و أورد شعره. و کذا فی (گلشن- ص 29) و قال فی (تغ- ص 16) إنه معاصر جلال الدین أکبر شاه.</w:t>
      </w:r>
    </w:p>
    <w:p>
      <w:pPr>
        <w:pStyle w:val="Heading3"/>
      </w:pPr>
      <w:bookmarkStart w:id="1897" w:name="_Toc593"/>
      <w:r>
        <w:t>489- دیوان أفسر کردستانی أو شعره‏</w:t>
      </w:r>
      <w:bookmarkEnd w:id="1897"/>
    </w:p>
    <w:p>
      <w:pPr>
        <w:pStyle w:val="BookText"/>
      </w:pPr>
      <w:r>
        <w:rPr>
          <w:rFonts w:ascii="IRNazanin" w:hAnsi="IRNazanin" w:eastAsia="IRNazanin" w:cs="IRNazanin"/>
          <w:lang w:bidi="fa-IR"/>
          <w:color w:val="111111"/>
          <w:sz w:val="28"/>
          <w:szCs w:val="28"/>
          <w:rtl/>
        </w:rPr>
        <w:t xml:space="preserve">و هو میرزا مرتضی بن عبد الکریم. مات شابا فی (1262) کما فی ریحانة الأدب.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83" w:name="pg11704_121560"/>
    <w:bookmarkEnd w:id="83"/>
    <w:p>
      <w:pPr>
        <w:pStyle w:val="Heading3"/>
      </w:pPr>
      <w:bookmarkStart w:id="1898" w:name="_Toc594"/>
      <w:r>
        <w:t>490- دیوان أفسر کرمانی‏</w:t>
      </w:r>
      <w:bookmarkEnd w:id="1898"/>
    </w:p>
    <w:p>
      <w:pPr>
        <w:pStyle w:val="BookText"/>
      </w:pPr>
      <w:r>
        <w:rPr>
          <w:rFonts w:ascii="IRNazanin" w:hAnsi="IRNazanin" w:eastAsia="IRNazanin" w:cs="IRNazanin"/>
          <w:lang w:bidi="fa-IR"/>
          <w:color w:val="111111"/>
          <w:sz w:val="28"/>
          <w:szCs w:val="28"/>
          <w:rtl/>
        </w:rPr>
        <w:t xml:space="preserve">و هو مهدی قلی ابن الحاج أبو القاسم من شعراء عهد ناصر الدین شاه القاجار له دیوانان فیهما القصائد و الغزل و غیرهما زهاء سبعة آلاف بیت کما وصفه لی السید محمد الهاشمی الکرمانی بطهران و قال مات بعد الثلاثمائة و الألف بکرمان توجد دیوانه عند حفیده عباس أفسری‏</w:t>
      </w:r>
    </w:p>
    <w:p>
      <w:pPr>
        <w:pStyle w:val="Heading3"/>
      </w:pPr>
      <w:bookmarkStart w:id="1899" w:name="_Toc595"/>
      <w:r>
        <w:t>491- دیوان أفسر مشهدی أو شعره‏</w:t>
      </w:r>
      <w:bookmarkEnd w:id="1899"/>
    </w:p>
    <w:p>
      <w:pPr>
        <w:pStyle w:val="BookText"/>
      </w:pPr>
      <w:r>
        <w:rPr>
          <w:rFonts w:ascii="IRNazanin" w:hAnsi="IRNazanin" w:eastAsia="IRNazanin" w:cs="IRNazanin"/>
          <w:lang w:bidi="fa-IR"/>
          <w:color w:val="111111"/>
          <w:sz w:val="28"/>
          <w:szCs w:val="28"/>
          <w:rtl/>
        </w:rPr>
        <w:t xml:space="preserve">و هو من شعراء بابر میرزا و من أدباء عصره له رسالة فی المعمی أورد شعره فی (گلشن- ص 29) و (تغ- 16)</w:t>
      </w:r>
    </w:p>
    <w:p>
      <w:pPr>
        <w:pStyle w:val="Heading3"/>
      </w:pPr>
      <w:bookmarkStart w:id="1900" w:name="_Toc596"/>
      <w:r>
        <w:t>492- دیوان أفسر همدانی أو شعره‏</w:t>
      </w:r>
      <w:bookmarkEnd w:id="1900"/>
    </w:p>
    <w:p>
      <w:pPr>
        <w:pStyle w:val="BookText"/>
      </w:pPr>
      <w:r>
        <w:rPr>
          <w:rFonts w:ascii="IRNazanin" w:hAnsi="IRNazanin" w:eastAsia="IRNazanin" w:cs="IRNazanin"/>
          <w:lang w:bidi="fa-IR"/>
          <w:color w:val="111111"/>
          <w:sz w:val="28"/>
          <w:szCs w:val="28"/>
          <w:rtl/>
        </w:rPr>
        <w:t xml:space="preserve">و اسمه باقر علی خان أخو علی نقی إیجاد، ابنا نقد علی قاجار الهمدانی، من أقرباء الشیخ علی خان وزیر شاه سلیمان الصفوی نزل حیدرآباد، و تقرب عند آصفجاه، أورد شعره فی (گلشن- ص 29)</w:t>
      </w:r>
    </w:p>
    <w:p>
      <w:pPr>
        <w:pStyle w:val="Heading3"/>
      </w:pPr>
      <w:bookmarkStart w:id="1901" w:name="_Toc597"/>
      <w:r>
        <w:t>493- دیوان أفسری دهلوی‏</w:t>
      </w:r>
      <w:bookmarkEnd w:id="1901"/>
    </w:p>
    <w:p>
      <w:pPr>
        <w:pStyle w:val="BookText"/>
      </w:pPr>
      <w:r>
        <w:rPr>
          <w:rFonts w:ascii="IRNazanin" w:hAnsi="IRNazanin" w:eastAsia="IRNazanin" w:cs="IRNazanin"/>
          <w:lang w:bidi="fa-IR"/>
          <w:color w:val="111111"/>
          <w:sz w:val="28"/>
          <w:szCs w:val="28"/>
          <w:rtl/>
        </w:rPr>
        <w:t xml:space="preserve">و اسمه الشیخ کمال بن محمد الأدیب العارف له المثنوی الفارسی راح و ریحان و دیوان مرتب کذا فی (گلشن- ص 30)</w:t>
      </w:r>
    </w:p>
    <w:p>
      <w:pPr>
        <w:pStyle w:val="Heading3"/>
      </w:pPr>
      <w:bookmarkStart w:id="1902" w:name="_Toc598"/>
      <w:r>
        <w:t>494- دیوان أفسری گلپایگانی أو شعره‏</w:t>
      </w:r>
      <w:bookmarkEnd w:id="1902"/>
    </w:p>
    <w:p>
      <w:pPr>
        <w:pStyle w:val="BookText"/>
      </w:pPr>
      <w:r>
        <w:rPr>
          <w:rFonts w:ascii="IRNazanin" w:hAnsi="IRNazanin" w:eastAsia="IRNazanin" w:cs="IRNazanin"/>
          <w:lang w:bidi="fa-IR"/>
          <w:color w:val="111111"/>
          <w:sz w:val="28"/>
          <w:szCs w:val="28"/>
          <w:rtl/>
        </w:rPr>
        <w:t xml:space="preserve">و أصله من وانشان من محال جرفادقان ترجمه النصرآبادی فی (نر- ص 381) و أورد شعره و قال ابتلی بمرض آتشک و کذا قاله فی (گلشن- ص 29)</w:t>
      </w:r>
    </w:p>
    <w:p>
      <w:pPr>
        <w:pStyle w:val="Heading3"/>
      </w:pPr>
      <w:bookmarkStart w:id="1903" w:name="_Toc599"/>
      <w:r>
        <w:t>495- دیوان أفسری الهروی‏</w:t>
      </w:r>
      <w:bookmarkEnd w:id="1903"/>
    </w:p>
    <w:p>
      <w:pPr>
        <w:pStyle w:val="BookText"/>
      </w:pPr>
      <w:r>
        <w:rPr>
          <w:rFonts w:ascii="IRNazanin" w:hAnsi="IRNazanin" w:eastAsia="IRNazanin" w:cs="IRNazanin"/>
          <w:lang w:bidi="fa-IR"/>
          <w:color w:val="111111"/>
          <w:sz w:val="28"/>
          <w:szCs w:val="28"/>
          <w:rtl/>
        </w:rPr>
        <w:t xml:space="preserve">ترجمه فی (لط- ص 163) و أورد شعره‏</w:t>
      </w:r>
    </w:p>
    <w:p>
      <w:pPr>
        <w:pStyle w:val="Heading3"/>
      </w:pPr>
      <w:bookmarkStart w:id="1904" w:name="_Toc600"/>
      <w:r>
        <w:t>496- دیوان أفشار أو شعره‏</w:t>
      </w:r>
      <w:bookmarkEnd w:id="1904"/>
    </w:p>
    <w:p>
      <w:pPr>
        <w:pStyle w:val="BookText"/>
      </w:pPr>
      <w:r>
        <w:rPr>
          <w:rFonts w:ascii="IRNazanin" w:hAnsi="IRNazanin" w:eastAsia="IRNazanin" w:cs="IRNazanin"/>
          <w:lang w:bidi="fa-IR"/>
          <w:color w:val="111111"/>
          <w:sz w:val="28"/>
          <w:szCs w:val="28"/>
          <w:rtl/>
        </w:rPr>
        <w:t xml:space="preserve">اسمه الدکتور محمود بن محمد صادق الأفشار، منشی مجلة آینده فی سنین ترجمه آیتی فی (تش یز- ص 270)</w:t>
      </w:r>
    </w:p>
    <w:p>
      <w:pPr>
        <w:pStyle w:val="Heading3"/>
      </w:pPr>
      <w:bookmarkStart w:id="1905" w:name="_Toc601"/>
      <w:r>
        <w:t>دیوان أفصح سبزواری‏</w:t>
      </w:r>
      <w:bookmarkEnd w:id="1905"/>
    </w:p>
    <w:p>
      <w:pPr>
        <w:pStyle w:val="BookText"/>
      </w:pPr>
      <w:r>
        <w:rPr>
          <w:rFonts w:ascii="IRNazanin" w:hAnsi="IRNazanin" w:eastAsia="IRNazanin" w:cs="IRNazanin"/>
          <w:lang w:bidi="fa-IR"/>
          <w:color w:val="111111"/>
          <w:sz w:val="28"/>
          <w:szCs w:val="28"/>
          <w:rtl/>
        </w:rPr>
        <w:t xml:space="preserve">یأتی بعنوان دیوان کمالی سبزواری‏</w:t>
      </w:r>
    </w:p>
    <w:p>
      <w:pPr>
        <w:pStyle w:val="Heading3"/>
      </w:pPr>
      <w:bookmarkStart w:id="1906" w:name="_Toc602"/>
      <w:r>
        <w:t>497- دیوان أفصح هندی أو شعره‏</w:t>
      </w:r>
      <w:bookmarkEnd w:id="1906"/>
    </w:p>
    <w:p>
      <w:pPr>
        <w:pStyle w:val="BookText"/>
      </w:pPr>
      <w:r>
        <w:rPr>
          <w:rFonts w:ascii="IRNazanin" w:hAnsi="IRNazanin" w:eastAsia="IRNazanin" w:cs="IRNazanin"/>
          <w:lang w:bidi="fa-IR"/>
          <w:color w:val="111111"/>
          <w:sz w:val="28"/>
          <w:szCs w:val="28"/>
          <w:rtl/>
        </w:rPr>
        <w:t xml:space="preserve">هو المیر محمد علی أفصح ابن شاه میرزا الرضوی المشهدی من أولاد السید أخیار الذی کان صهر تیمور لنگ و هاجر من خراسان إلی سمرقند فی عهد تیمور، و والده شاه میرزا الملقب بشاه نواز نزل الهند و تزوج بابنة سر بلند خان و قتل (1150) أورد شعره فی (گلشن- ص 30) و عنه فی قاموس الأعلام الترکیة فریحانة الأدب‏</w:t>
      </w:r>
    </w:p>
    <w:p>
      <w:pPr>
        <w:pStyle w:val="Heading3"/>
      </w:pPr>
      <w:bookmarkStart w:id="1907" w:name="_Toc603"/>
      <w:r>
        <w:t>دیوان أفصح یزدی‏</w:t>
      </w:r>
      <w:bookmarkEnd w:id="1907"/>
    </w:p>
    <w:p>
      <w:pPr>
        <w:pStyle w:val="BookText"/>
      </w:pPr>
      <w:r>
        <w:rPr>
          <w:rFonts w:ascii="IRNazanin" w:hAnsi="IRNazanin" w:eastAsia="IRNazanin" w:cs="IRNazanin"/>
          <w:lang w:bidi="fa-IR"/>
          <w:color w:val="111111"/>
          <w:sz w:val="28"/>
          <w:szCs w:val="28"/>
          <w:rtl/>
        </w:rPr>
        <w:t xml:space="preserve">السید إبراهیم المتخلص به جلال یأتی بعنوان دیوان جلال یزدی‏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84" w:name="pg11704_121561"/>
    <w:bookmarkEnd w:id="84"/>
    <w:p>
      <w:pPr>
        <w:pStyle w:val="Heading3"/>
      </w:pPr>
      <w:bookmarkStart w:id="1908" w:name="_Toc604"/>
      <w:r>
        <w:t>498- دیوان أفضل أردستانی أو شعره‏</w:t>
      </w:r>
      <w:bookmarkEnd w:id="1908"/>
    </w:p>
    <w:p>
      <w:pPr>
        <w:pStyle w:val="BookText"/>
      </w:pPr>
      <w:r>
        <w:rPr>
          <w:rFonts w:ascii="IRNazanin" w:hAnsi="IRNazanin" w:eastAsia="IRNazanin" w:cs="IRNazanin"/>
          <w:lang w:bidi="fa-IR"/>
          <w:color w:val="111111"/>
          <w:sz w:val="28"/>
          <w:szCs w:val="28"/>
          <w:rtl/>
        </w:rPr>
        <w:t xml:space="preserve">للمیر أفضل بن السید عبد الکریم الطباطبائی الأردستانی أورد شعره معاصره فی (نر- ص 195) ثم فی (روشن- 59)</w:t>
      </w:r>
    </w:p>
    <w:p>
      <w:pPr>
        <w:pStyle w:val="Heading3"/>
      </w:pPr>
      <w:bookmarkStart w:id="1909" w:name="_Toc605"/>
      <w:r>
        <w:t>499- دیوان أفضل أصفهانی أو شعره‏</w:t>
      </w:r>
      <w:bookmarkEnd w:id="1909"/>
    </w:p>
    <w:p>
      <w:pPr>
        <w:pStyle w:val="BookText"/>
      </w:pPr>
      <w:r>
        <w:rPr>
          <w:rFonts w:ascii="IRNazanin" w:hAnsi="IRNazanin" w:eastAsia="IRNazanin" w:cs="IRNazanin"/>
          <w:lang w:bidi="fa-IR"/>
          <w:color w:val="111111"/>
          <w:sz w:val="28"/>
          <w:szCs w:val="28"/>
          <w:rtl/>
        </w:rPr>
        <w:t xml:space="preserve">أورد فی (تغ- 16) ثلاثة أسماء بهذا العنوان أحدهم أفضل الدین ترکة الآتی ذکره، و الآخر أن أحدهما معاصر للشاه عباس الأول و الآخر معاصر للشاه طهماسب‏</w:t>
      </w:r>
    </w:p>
    <w:p>
      <w:pPr>
        <w:pStyle w:val="Heading3"/>
      </w:pPr>
      <w:bookmarkStart w:id="1910" w:name="_Toc606"/>
      <w:r>
        <w:t>500- دیوان أفضل پانی‏پتی أو شعره‏</w:t>
      </w:r>
      <w:bookmarkEnd w:id="1910"/>
    </w:p>
    <w:p>
      <w:pPr>
        <w:pStyle w:val="BookText"/>
      </w:pPr>
      <w:r>
        <w:rPr>
          <w:rFonts w:ascii="IRNazanin" w:hAnsi="IRNazanin" w:eastAsia="IRNazanin" w:cs="IRNazanin"/>
          <w:lang w:bidi="fa-IR"/>
          <w:color w:val="111111"/>
          <w:sz w:val="28"/>
          <w:szCs w:val="28"/>
          <w:rtl/>
        </w:rPr>
        <w:t xml:space="preserve">من أدبائها فی أواسط المائة الثانیة عشر أورد شعره فی (گلشن- ص 30)</w:t>
      </w:r>
    </w:p>
    <w:p>
      <w:pPr>
        <w:pStyle w:val="Heading3"/>
      </w:pPr>
      <w:bookmarkStart w:id="1911" w:name="_Toc607"/>
      <w:r>
        <w:t>دیوان أفضل البافقی الیزدی‏</w:t>
      </w:r>
      <w:bookmarkEnd w:id="1911"/>
    </w:p>
    <w:p>
      <w:pPr>
        <w:pStyle w:val="BookText"/>
      </w:pPr>
      <w:r>
        <w:rPr>
          <w:rFonts w:ascii="IRNazanin" w:hAnsi="IRNazanin" w:eastAsia="IRNazanin" w:cs="IRNazanin"/>
          <w:lang w:bidi="fa-IR"/>
          <w:color w:val="111111"/>
          <w:sz w:val="28"/>
          <w:szCs w:val="28"/>
          <w:rtl/>
        </w:rPr>
        <w:t xml:space="preserve">و تخلصه همتی ذکره النصرآبادی فی (نر- ص 307)</w:t>
      </w:r>
    </w:p>
    <w:p>
      <w:pPr>
        <w:pStyle w:val="Heading3"/>
      </w:pPr>
      <w:bookmarkStart w:id="1912" w:name="_Toc608"/>
      <w:r>
        <w:t>دیوان أفضل البخاری‏</w:t>
      </w:r>
      <w:bookmarkEnd w:id="1912"/>
    </w:p>
    <w:p>
      <w:pPr>
        <w:pStyle w:val="BookText"/>
      </w:pPr>
      <w:r>
        <w:rPr>
          <w:rFonts w:ascii="IRNazanin" w:hAnsi="IRNazanin" w:eastAsia="IRNazanin" w:cs="IRNazanin"/>
          <w:lang w:bidi="fa-IR"/>
          <w:color w:val="111111"/>
          <w:sz w:val="28"/>
          <w:szCs w:val="28"/>
          <w:rtl/>
        </w:rPr>
        <w:t xml:space="preserve">المتخلص بوالی ذکره النصرآبادی فی (نر- ص 436)</w:t>
      </w:r>
    </w:p>
    <w:p>
      <w:pPr>
        <w:pStyle w:val="Heading3"/>
      </w:pPr>
      <w:bookmarkStart w:id="1913" w:name="_Toc609"/>
      <w:r>
        <w:t>501- دیوان أفضل ترکة أو شعره‏</w:t>
      </w:r>
      <w:bookmarkEnd w:id="1913"/>
    </w:p>
    <w:p>
      <w:pPr>
        <w:pStyle w:val="BookText"/>
      </w:pPr>
      <w:r>
        <w:rPr>
          <w:rFonts w:ascii="IRNazanin" w:hAnsi="IRNazanin" w:eastAsia="IRNazanin" w:cs="IRNazanin"/>
          <w:lang w:bidi="fa-IR"/>
          <w:color w:val="111111"/>
          <w:sz w:val="28"/>
          <w:szCs w:val="28"/>
          <w:rtl/>
        </w:rPr>
        <w:t xml:space="preserve">لخواجه أفضل الدین محمد ترکة ترجمه معاصره صادقی فی (خص- ص 43) و ذکر أنه من مقربی بلاط الشاه طهماسب، و تخلصه فی شعره أفضل و قال فی (تغ- 16) نقلا عن أوحدی أنه رآه فی صغر سنة و إنه توفی (991) و قد تلمذ علیه القاضی نور الدین الأصفهانی و العلامی چلبی‏</w:t>
      </w:r>
    </w:p>
    <w:p>
      <w:pPr>
        <w:pStyle w:val="Heading3"/>
      </w:pPr>
      <w:bookmarkStart w:id="1914" w:name="_Toc610"/>
      <w:r>
        <w:t>502- دیوان أفضل سارانی‏</w:t>
      </w:r>
      <w:bookmarkEnd w:id="1914"/>
    </w:p>
    <w:p>
      <w:pPr>
        <w:pStyle w:val="BookText"/>
      </w:pPr>
      <w:r>
        <w:rPr>
          <w:rFonts w:ascii="IRNazanin" w:hAnsi="IRNazanin" w:eastAsia="IRNazanin" w:cs="IRNazanin"/>
          <w:lang w:bidi="fa-IR"/>
          <w:color w:val="111111"/>
          <w:sz w:val="28"/>
          <w:szCs w:val="28"/>
          <w:rtl/>
        </w:rPr>
        <w:t xml:space="preserve">محله من قصبة طهران، أکثر شعره هجو و هزل ترجمه سام میرزا فی (تس- ص 162) ثم فی (روشن- 61)</w:t>
      </w:r>
    </w:p>
    <w:p>
      <w:pPr>
        <w:pStyle w:val="Heading3"/>
      </w:pPr>
      <w:bookmarkStart w:id="1915" w:name="_Toc611"/>
      <w:r>
        <w:t>دیوان أفضل طهرانی‏</w:t>
      </w:r>
      <w:bookmarkEnd w:id="1915"/>
    </w:p>
    <w:p>
      <w:pPr>
        <w:pStyle w:val="BookText"/>
      </w:pPr>
      <w:r>
        <w:rPr>
          <w:rFonts w:ascii="IRNazanin" w:hAnsi="IRNazanin" w:eastAsia="IRNazanin" w:cs="IRNazanin"/>
          <w:lang w:bidi="fa-IR"/>
          <w:color w:val="111111"/>
          <w:sz w:val="28"/>
          <w:szCs w:val="28"/>
          <w:rtl/>
        </w:rPr>
        <w:t xml:space="preserve">المتخلص بنامی الطهرانی المتوفی شابا کما فی (تس- ص 126)</w:t>
      </w:r>
    </w:p>
    <w:p>
      <w:pPr>
        <w:pStyle w:val="Heading3"/>
      </w:pPr>
      <w:bookmarkStart w:id="1916" w:name="_Toc612"/>
      <w:r>
        <w:t>503- دیوان أفضل القائنی‏</w:t>
      </w:r>
      <w:bookmarkEnd w:id="1916"/>
    </w:p>
    <w:p>
      <w:pPr>
        <w:pStyle w:val="BookText"/>
      </w:pPr>
      <w:r>
        <w:rPr>
          <w:rFonts w:ascii="IRNazanin" w:hAnsi="IRNazanin" w:eastAsia="IRNazanin" w:cs="IRNazanin"/>
          <w:lang w:bidi="fa-IR"/>
          <w:color w:val="111111"/>
          <w:sz w:val="28"/>
          <w:szCs w:val="28"/>
          <w:rtl/>
        </w:rPr>
        <w:t xml:space="preserve">ترجمه النصرآبادی فی (نر- ص 202) و ذکر أنه من تلامیذ المیر محمد باقر، و أنشأ رباعیة فی مدحه، و الظاهر أن مراده الداماد</w:t>
      </w:r>
    </w:p>
    <w:p>
      <w:pPr>
        <w:pStyle w:val="Heading3"/>
      </w:pPr>
      <w:bookmarkStart w:id="1917" w:name="_Toc613"/>
      <w:r>
        <w:t>دیوان أفضل کاشانی‏</w:t>
      </w:r>
      <w:bookmarkEnd w:id="1917"/>
    </w:p>
    <w:p>
      <w:pPr>
        <w:pStyle w:val="BookText"/>
      </w:pPr>
      <w:r>
        <w:rPr>
          <w:rFonts w:ascii="IRNazanin" w:hAnsi="IRNazanin" w:eastAsia="IRNazanin" w:cs="IRNazanin"/>
          <w:lang w:bidi="fa-IR"/>
          <w:color w:val="111111"/>
          <w:sz w:val="28"/>
          <w:szCs w:val="28"/>
          <w:rtl/>
        </w:rPr>
        <w:t xml:space="preserve">یأتی بعنوان بابا أفضل کاشانی‏</w:t>
      </w:r>
    </w:p>
    <w:p>
      <w:pPr>
        <w:pStyle w:val="Heading3"/>
      </w:pPr>
      <w:bookmarkStart w:id="1918" w:name="_Toc614"/>
      <w:r>
        <w:t>504- دیوان أفضل الکرمانی‏</w:t>
      </w:r>
      <w:bookmarkEnd w:id="1918"/>
    </w:p>
    <w:p>
      <w:pPr>
        <w:pStyle w:val="BookText"/>
      </w:pPr>
      <w:r>
        <w:rPr>
          <w:rFonts w:ascii="IRNazanin" w:hAnsi="IRNazanin" w:eastAsia="IRNazanin" w:cs="IRNazanin"/>
          <w:lang w:bidi="fa-IR"/>
          <w:color w:val="111111"/>
          <w:sz w:val="28"/>
          <w:szCs w:val="28"/>
          <w:rtl/>
        </w:rPr>
        <w:t xml:space="preserve">ترجمه شاه محمد القزوینی فی (مجن ص 296) و أورد مطلع غزله و سماه الهراتی فی (مجن- ص 119) فضل الله و قال فی (تغ- 16) إنه أفضل الدین بن ضیاء الدین من وزراء بایقرا و کذا فی (روشن- 61)</w:t>
      </w:r>
    </w:p>
    <w:p>
      <w:pPr>
        <w:pStyle w:val="Heading3"/>
      </w:pPr>
      <w:bookmarkStart w:id="1919" w:name="_Toc615"/>
      <w:r>
        <w:t>دیوان میر أفضل موسوی‏</w:t>
      </w:r>
      <w:bookmarkEnd w:id="1919"/>
    </w:p>
    <w:p>
      <w:pPr>
        <w:pStyle w:val="BookText"/>
      </w:pPr>
      <w:r>
        <w:rPr>
          <w:rFonts w:ascii="IRNazanin" w:hAnsi="IRNazanin" w:eastAsia="IRNazanin" w:cs="IRNazanin"/>
          <w:lang w:bidi="fa-IR"/>
          <w:color w:val="111111"/>
          <w:sz w:val="28"/>
          <w:szCs w:val="28"/>
          <w:rtl/>
        </w:rPr>
        <w:t xml:space="preserve">هو ابن سلطان علی خواب بین ذکر معاصره سام میرزا فی (تس- ص 46) أن دیوانه فی الغزلیات، و أورد مطلع غزلین منه و ترجمه فی (لط- ص 138)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85" w:name="pg11704_121562"/>
    <w:bookmarkEnd w:id="85"/>
    <w:p>
      <w:pPr>
        <w:pStyle w:val="BookText"/>
      </w:pPr>
      <w:r>
        <w:rPr>
          <w:rFonts w:ascii="IRNazanin" w:hAnsi="IRNazanin" w:eastAsia="IRNazanin" w:cs="IRNazanin"/>
          <w:lang w:bidi="fa-IR"/>
          <w:color w:val="111111"/>
          <w:sz w:val="28"/>
          <w:szCs w:val="28"/>
          <w:rtl/>
        </w:rPr>
        <w:t xml:space="preserve">و قال إنه تمم دیوانه فی الغزلیات و تخلصه فیه الموسوی فیأتی بهذا العنوان‏</w:t>
      </w:r>
    </w:p>
    <w:p>
      <w:pPr>
        <w:pStyle w:val="Heading3"/>
      </w:pPr>
      <w:bookmarkStart w:id="1920" w:name="_Toc616"/>
      <w:r>
        <w:t>505- دیوان أفضل هندی أو شعره‏</w:t>
      </w:r>
      <w:bookmarkEnd w:id="1920"/>
    </w:p>
    <w:p>
      <w:pPr>
        <w:pStyle w:val="BookText"/>
      </w:pPr>
      <w:r>
        <w:rPr>
          <w:rFonts w:ascii="IRNazanin" w:hAnsi="IRNazanin" w:eastAsia="IRNazanin" w:cs="IRNazanin"/>
          <w:lang w:bidi="fa-IR"/>
          <w:color w:val="111111"/>
          <w:sz w:val="28"/>
          <w:szCs w:val="28"/>
          <w:rtl/>
        </w:rPr>
        <w:t xml:space="preserve">و اسمه شاه محمد من أحفاد أبی المعالی من عرفاء لاهور عده الشیخ ناصر علی السرهندی من الشعراء الأدباء و أورد بعض شعره فی (گلشن- ص 31)</w:t>
      </w:r>
    </w:p>
    <w:p>
      <w:pPr>
        <w:pStyle w:val="Heading3"/>
      </w:pPr>
      <w:bookmarkStart w:id="1921" w:name="_Toc617"/>
      <w:r>
        <w:t>506- دیوان أفغان‏</w:t>
      </w:r>
      <w:bookmarkEnd w:id="1921"/>
    </w:p>
    <w:p>
      <w:pPr>
        <w:pStyle w:val="BookText"/>
      </w:pPr>
      <w:r>
        <w:rPr>
          <w:rFonts w:ascii="IRNazanin" w:hAnsi="IRNazanin" w:eastAsia="IRNazanin" w:cs="IRNazanin"/>
          <w:lang w:bidi="fa-IR"/>
          <w:color w:val="111111"/>
          <w:sz w:val="28"/>
          <w:szCs w:val="28"/>
          <w:rtl/>
        </w:rPr>
        <w:t xml:space="preserve">لمحمد سلیم بیک الگرمرودی ترجمه فی (دجا- ص 47) و قال عندی” دجا” دیوانه المشتمل علی الغزلیات و الرباعیات قرب ستمائة بیت، منها رباعیته فی بناء مسجده فی (1307) و أورد شعره فی (روشن- 61)</w:t>
      </w:r>
    </w:p>
    <w:p>
      <w:pPr>
        <w:pStyle w:val="Heading3"/>
      </w:pPr>
      <w:bookmarkStart w:id="1922" w:name="_Toc618"/>
      <w:r>
        <w:t>507- دیوان أفغان کرمانی‏</w:t>
      </w:r>
      <w:bookmarkEnd w:id="1922"/>
    </w:p>
    <w:p>
      <w:pPr>
        <w:pStyle w:val="BookText"/>
      </w:pPr>
      <w:r>
        <w:rPr>
          <w:rFonts w:ascii="IRNazanin" w:hAnsi="IRNazanin" w:eastAsia="IRNazanin" w:cs="IRNazanin"/>
          <w:lang w:bidi="fa-IR"/>
          <w:color w:val="111111"/>
          <w:sz w:val="28"/>
          <w:szCs w:val="28"/>
          <w:rtl/>
        </w:rPr>
        <w:t xml:space="preserve">من شعراء القرن الثالث عشر بها نقل السید محمد الهاشمی الکرمانی بطهران أنه رأی له عدة قصائد</w:t>
      </w:r>
    </w:p>
    <w:p>
      <w:pPr>
        <w:pStyle w:val="Heading3"/>
      </w:pPr>
      <w:bookmarkStart w:id="1923" w:name="_Toc619"/>
      <w:r>
        <w:t>508- دیوان أفقری‏</w:t>
      </w:r>
      <w:bookmarkEnd w:id="1923"/>
    </w:p>
    <w:p>
      <w:pPr>
        <w:pStyle w:val="BookText"/>
      </w:pPr>
      <w:r>
        <w:rPr>
          <w:rFonts w:ascii="IRNazanin" w:hAnsi="IRNazanin" w:eastAsia="IRNazanin" w:cs="IRNazanin"/>
          <w:lang w:bidi="fa-IR"/>
          <w:color w:val="111111"/>
          <w:sz w:val="28"/>
          <w:szCs w:val="28"/>
          <w:rtl/>
        </w:rPr>
        <w:t xml:space="preserve">لمحمد کمال الدین، مرید السید محمد الکالپی الدهلوی له مثنوی روح و ریحان أورد شعره فی (روشن- ص 62)</w:t>
      </w:r>
    </w:p>
    <w:p>
      <w:pPr>
        <w:pStyle w:val="Heading3"/>
      </w:pPr>
      <w:bookmarkStart w:id="1924" w:name="_Toc620"/>
      <w:r>
        <w:t>509- دیوان أفکار</w:t>
      </w:r>
      <w:bookmarkEnd w:id="1924"/>
    </w:p>
    <w:p>
      <w:pPr>
        <w:pStyle w:val="BookText"/>
      </w:pPr>
      <w:r>
        <w:rPr>
          <w:rFonts w:ascii="IRNazanin" w:hAnsi="IRNazanin" w:eastAsia="IRNazanin" w:cs="IRNazanin"/>
          <w:lang w:bidi="fa-IR"/>
          <w:color w:val="111111"/>
          <w:sz w:val="28"/>
          <w:szCs w:val="28"/>
          <w:rtl/>
        </w:rPr>
        <w:t xml:space="preserve">للمولی أفکار السمرقندی ترجمه النصرآبادی فی (نر- ص 441) و أورد شعره و کذا فی (گلشن- ص 31)</w:t>
      </w:r>
    </w:p>
    <w:p>
      <w:pPr>
        <w:pStyle w:val="Heading3"/>
      </w:pPr>
      <w:bookmarkStart w:id="1925" w:name="_Toc621"/>
      <w:r>
        <w:t>510- دیوان أفلاکی التبریزی أو شعره‏</w:t>
      </w:r>
      <w:bookmarkEnd w:id="1925"/>
    </w:p>
    <w:p>
      <w:pPr>
        <w:pStyle w:val="BookText"/>
      </w:pPr>
      <w:r>
        <w:rPr>
          <w:rFonts w:ascii="IRNazanin" w:hAnsi="IRNazanin" w:eastAsia="IRNazanin" w:cs="IRNazanin"/>
          <w:lang w:bidi="fa-IR"/>
          <w:color w:val="111111"/>
          <w:sz w:val="28"/>
          <w:szCs w:val="28"/>
          <w:rtl/>
        </w:rPr>
        <w:t xml:space="preserve">ترجمه فی (دجا- ص 47) و نقل بعض شعره عن بیاض المیرزا صائب و ترجمه أیضا النصرآبادی فی (نر- ص 314) و فی (گلشن 31)</w:t>
      </w:r>
    </w:p>
    <w:p>
      <w:pPr>
        <w:pStyle w:val="Heading3"/>
      </w:pPr>
      <w:bookmarkStart w:id="1926" w:name="_Toc622"/>
      <w:r>
        <w:t>511- دیوان أمیر أفندی أو شعره‏</w:t>
      </w:r>
      <w:bookmarkEnd w:id="1926"/>
    </w:p>
    <w:p>
      <w:pPr>
        <w:pStyle w:val="BookText"/>
      </w:pPr>
      <w:r>
        <w:rPr>
          <w:rFonts w:ascii="IRNazanin" w:hAnsi="IRNazanin" w:eastAsia="IRNazanin" w:cs="IRNazanin"/>
          <w:lang w:bidi="fa-IR"/>
          <w:color w:val="111111"/>
          <w:sz w:val="28"/>
          <w:szCs w:val="28"/>
          <w:rtl/>
        </w:rPr>
        <w:t xml:space="preserve">و هو ملا نور الله الأسدآبادی الأصفهانی أورد النصرآبادی معما له فی (نر- ص 524) و قال فی (روشن- 62) إنه کان یتخلص أولا بدیهی‏</w:t>
      </w:r>
    </w:p>
    <w:p>
      <w:pPr>
        <w:pStyle w:val="Heading3"/>
      </w:pPr>
      <w:bookmarkStart w:id="1927" w:name="_Toc623"/>
      <w:r>
        <w:t>512- دیوان إقبال کازرونی أو شعره‏</w:t>
      </w:r>
      <w:bookmarkEnd w:id="1927"/>
    </w:p>
    <w:p>
      <w:pPr>
        <w:pStyle w:val="BookText"/>
      </w:pPr>
      <w:r>
        <w:rPr>
          <w:rFonts w:ascii="IRNazanin" w:hAnsi="IRNazanin" w:eastAsia="IRNazanin" w:cs="IRNazanin"/>
          <w:lang w:bidi="fa-IR"/>
          <w:color w:val="111111"/>
          <w:sz w:val="28"/>
          <w:szCs w:val="28"/>
          <w:rtl/>
        </w:rPr>
        <w:t xml:space="preserve">و اسمه السید محمد من أحفاد میرزا شهرت الیزدی المعمر ترجمه فی (تش یز- ص 273)</w:t>
      </w:r>
    </w:p>
    <w:p>
      <w:pPr>
        <w:pStyle w:val="Heading3"/>
      </w:pPr>
      <w:bookmarkStart w:id="1928" w:name="_Toc624"/>
      <w:r>
        <w:t>513- دیوان إقبال لاهوری‏</w:t>
      </w:r>
      <w:bookmarkEnd w:id="1928"/>
    </w:p>
    <w:p>
      <w:pPr>
        <w:pStyle w:val="BookText"/>
      </w:pPr>
      <w:r>
        <w:rPr>
          <w:rFonts w:ascii="IRNazanin" w:hAnsi="IRNazanin" w:eastAsia="IRNazanin" w:cs="IRNazanin"/>
          <w:lang w:bidi="fa-IR"/>
          <w:color w:val="111111"/>
          <w:sz w:val="28"/>
          <w:szCs w:val="28"/>
          <w:rtl/>
        </w:rPr>
        <w:t xml:space="preserve">و هو محمد إقبال ابن نور محمد الکشمیری ولد بسیالکوت من بلاد پنجاب فی (24 ذی الحجة- 1289) له اسرار خودی (ط 1915 م) و رموز بی‏خودی (ط 1916 م) و زیور عجم طبع ثلاث مرات من 1923 م إلی 1944 م، و گلشن راز جدید و پیام مشرق طبع ست مرات من 1923 م إلی 1946 م، و جاویدنامه باسم ولده جاوید إقبال طبع مرتین فی 1932 و 1947 م،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6" w:name="pg11704_121563"/>
    <w:bookmarkEnd w:id="86"/>
    <w:p>
      <w:pPr>
        <w:pStyle w:val="BookText"/>
      </w:pPr>
      <w:r>
        <w:rPr>
          <w:rFonts w:ascii="IRNazanin" w:hAnsi="IRNazanin" w:eastAsia="IRNazanin" w:cs="IRNazanin"/>
          <w:lang w:bidi="fa-IR"/>
          <w:color w:val="111111"/>
          <w:sz w:val="28"/>
          <w:szCs w:val="28"/>
          <w:rtl/>
        </w:rPr>
        <w:t xml:space="preserve">و مسافر (ط 1934 م) کلها منظومات فارسیة و فی (1924 م) طبع له مجموعة بانگ‏درا بالأردویة و له أیضا بالأردویة بال جبرئیل و ضرب کلیم و طبع بعد وفاته أرمغان حجاز ثلاث مرات و هذا الأخیر ربعه بالفارسیة و ثلاثة أرباع منه أردویة و له بالإنگلیزیة نثرا تجدید الفلسفة الإلهیة فی الإسلام و قد مات إقبال فی (1938 م 1317 ش) و لا یشتبه هذا الشاعر الفارسی الپاکستانی مع الپرفسور الدکتور محمد إقبال أستاذ جامعة پنجاب بپاکستان و قد طبع بطهران فی أحوال الشاعر هذا فی (1367) إقبال لاهوری و فی (1370) إقبال‏نامه‏</w:t>
      </w:r>
    </w:p>
    <w:p>
      <w:pPr>
        <w:pStyle w:val="Heading3"/>
      </w:pPr>
      <w:bookmarkStart w:id="1929" w:name="_Toc625"/>
      <w:r>
        <w:t>514- دیوان إقبالی أو شعره‏</w:t>
      </w:r>
      <w:bookmarkEnd w:id="1929"/>
    </w:p>
    <w:p>
      <w:pPr>
        <w:pStyle w:val="BookText"/>
      </w:pPr>
      <w:r>
        <w:rPr>
          <w:rFonts w:ascii="IRNazanin" w:hAnsi="IRNazanin" w:eastAsia="IRNazanin" w:cs="IRNazanin"/>
          <w:lang w:bidi="fa-IR"/>
          <w:color w:val="111111"/>
          <w:sz w:val="28"/>
          <w:szCs w:val="28"/>
          <w:rtl/>
        </w:rPr>
        <w:t xml:space="preserve">و هو ندیم السلطان محمد ذکره فی بعض مثالب النواصب (ص 239) فی عداد شعراء الشیعة</w:t>
      </w:r>
    </w:p>
    <w:p>
      <w:pPr>
        <w:pStyle w:val="Heading3"/>
      </w:pPr>
      <w:bookmarkStart w:id="1930" w:name="_Toc626"/>
      <w:r>
        <w:t>515- دیوان أقدس هندی أو شعره‏</w:t>
      </w:r>
      <w:bookmarkEnd w:id="1930"/>
    </w:p>
    <w:p>
      <w:pPr>
        <w:pStyle w:val="BookText"/>
      </w:pPr>
      <w:r>
        <w:rPr>
          <w:rFonts w:ascii="IRNazanin" w:hAnsi="IRNazanin" w:eastAsia="IRNazanin" w:cs="IRNazanin"/>
          <w:lang w:bidi="fa-IR"/>
          <w:color w:val="111111"/>
          <w:sz w:val="28"/>
          <w:szCs w:val="28"/>
          <w:rtl/>
        </w:rPr>
        <w:t xml:space="preserve">و هو عبد الواسع بن محمد خان قدسی ترجمه النصرآبادی فی (نر- 287) و قال نزل الهند فی خدمة بنت اورنگ زیب و قال فی (گلشن- 31) إنه هندی المنشا</w:t>
      </w:r>
    </w:p>
    <w:p>
      <w:pPr>
        <w:pStyle w:val="Heading3"/>
      </w:pPr>
      <w:bookmarkStart w:id="1931" w:name="_Toc627"/>
      <w:r>
        <w:t>516- دیوان أقدس شوشتری أو شعره‏</w:t>
      </w:r>
      <w:bookmarkEnd w:id="1931"/>
    </w:p>
    <w:p>
      <w:pPr>
        <w:pStyle w:val="BookText"/>
      </w:pPr>
      <w:r>
        <w:rPr>
          <w:rFonts w:ascii="IRNazanin" w:hAnsi="IRNazanin" w:eastAsia="IRNazanin" w:cs="IRNazanin"/>
          <w:lang w:bidi="fa-IR"/>
          <w:color w:val="111111"/>
          <w:sz w:val="28"/>
          <w:szCs w:val="28"/>
          <w:rtl/>
        </w:rPr>
        <w:t xml:space="preserve">للسید رضی الدین بن نور الدین بن نعمة الله الجزائری المتوفی (24- ج 1- 1194). ذکر فی تحفه العالم. و فی (تغ- 17) أنه أخذ العلم عن أبیه، و جاء إلی الهند، و تقرب عند شجاع الدولة ناظم بنگاله ثم آصف جاه نظام الملک.</w:t>
      </w:r>
    </w:p>
    <w:p>
      <w:pPr>
        <w:pStyle w:val="Heading3"/>
      </w:pPr>
      <w:bookmarkStart w:id="1932" w:name="_Toc628"/>
      <w:r>
        <w:t>517- دیوان أقدسی مشهدی أو شعره‏</w:t>
      </w:r>
      <w:bookmarkEnd w:id="1932"/>
    </w:p>
    <w:p>
      <w:pPr>
        <w:pStyle w:val="BookText"/>
      </w:pPr>
      <w:r>
        <w:rPr>
          <w:rFonts w:ascii="IRNazanin" w:hAnsi="IRNazanin" w:eastAsia="IRNazanin" w:cs="IRNazanin"/>
          <w:lang w:bidi="fa-IR"/>
          <w:color w:val="111111"/>
          <w:sz w:val="28"/>
          <w:szCs w:val="28"/>
          <w:rtl/>
        </w:rPr>
        <w:t xml:space="preserve">ترجمه الصادقی فی (خص- ص 222) و أورد بعض غزلیاته و کذا فی (تش- ص 85) و فی (تغ- ص 16) أنه توفی (1004) و فی تذکره میخانه أن له ساقی‏نامه.</w:t>
      </w:r>
    </w:p>
    <w:p>
      <w:pPr>
        <w:pStyle w:val="Heading3"/>
      </w:pPr>
      <w:bookmarkStart w:id="1933" w:name="_Toc629"/>
      <w:r>
        <w:t>518- دیوان أکبر أصفهانی العراقی‏</w:t>
      </w:r>
      <w:bookmarkEnd w:id="1933"/>
    </w:p>
    <w:p>
      <w:pPr>
        <w:pStyle w:val="BookText"/>
      </w:pPr>
      <w:r>
        <w:rPr>
          <w:rFonts w:ascii="IRNazanin" w:hAnsi="IRNazanin" w:eastAsia="IRNazanin" w:cs="IRNazanin"/>
          <w:lang w:bidi="fa-IR"/>
          <w:color w:val="111111"/>
          <w:sz w:val="28"/>
          <w:szCs w:val="28"/>
          <w:rtl/>
        </w:rPr>
        <w:t xml:space="preserve">الأصل الأصفهانی و اسمه محمد أکبر. سافر إلی الهند ثم توران و مدح ندر</w:t>
      </w:r>
      <w:r>
        <w:rPr>
          <w:rStyle w:val="FootnoteReference"/>
        </w:rPr>
        <w:footnoteReference w:id="7"/>
      </w:r>
      <w:r>
        <w:rPr>
          <w:rFonts w:ascii="IRNazanin" w:hAnsi="IRNazanin" w:eastAsia="IRNazanin" w:cs="IRNazanin"/>
          <w:lang w:bidi="fa-IR"/>
          <w:color w:val="111111"/>
          <w:sz w:val="28"/>
          <w:szCs w:val="28"/>
          <w:rtl/>
        </w:rPr>
        <w:t xml:space="preserve">محمد خان المتوفی (1056). توجد نسخه من دیوانه المشتمل علی (7200 بیت) فی مکتبة (المجلس) کما فی فهرسها (3: 221) و یظهر منه خصوصیات حیاته، و إنه غیر محمد أکبر الأصفهانی المذکور فی (نر- ص 109) و کذا .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7" w:name="pg11704_121564"/>
    <w:bookmarkEnd w:id="87"/>
    <w:p>
      <w:pPr>
        <w:pStyle w:val="BookText"/>
      </w:pPr>
      <w:r>
        <w:rPr>
          <w:rFonts w:ascii="IRNazanin" w:hAnsi="IRNazanin" w:eastAsia="IRNazanin" w:cs="IRNazanin"/>
          <w:lang w:bidi="fa-IR"/>
          <w:color w:val="111111"/>
          <w:sz w:val="28"/>
          <w:szCs w:val="28"/>
          <w:rtl/>
        </w:rPr>
        <w:t xml:space="preserve">غیر المذکور فی (نر- ص 84).</w:t>
      </w:r>
    </w:p>
    <w:p>
      <w:pPr>
        <w:pStyle w:val="Heading3"/>
      </w:pPr>
      <w:bookmarkStart w:id="1934" w:name="_Toc630"/>
      <w:r>
        <w:t>519- دیوان أکبر أصفهانی‏</w:t>
      </w:r>
      <w:bookmarkEnd w:id="1934"/>
    </w:p>
    <w:p>
      <w:pPr>
        <w:pStyle w:val="BookText"/>
      </w:pPr>
      <w:r>
        <w:rPr>
          <w:rFonts w:ascii="IRNazanin" w:hAnsi="IRNazanin" w:eastAsia="IRNazanin" w:cs="IRNazanin"/>
          <w:lang w:bidi="fa-IR"/>
          <w:color w:val="111111"/>
          <w:sz w:val="28"/>
          <w:szCs w:val="28"/>
          <w:rtl/>
        </w:rPr>
        <w:t xml:space="preserve">و اسمه علی أکبر. کان معمارا و قد عمر مسجد الجامع بأصفهان کما فی (تغ- 17) و قال فی (گلشن- 32) إن له دیوان مرتب.</w:t>
      </w:r>
    </w:p>
    <w:p>
      <w:pPr>
        <w:pStyle w:val="Heading3"/>
      </w:pPr>
      <w:bookmarkStart w:id="1935" w:name="_Toc631"/>
      <w:r>
        <w:t>520- دیوان أکبر دولت‏آبادی‏</w:t>
      </w:r>
      <w:bookmarkEnd w:id="1935"/>
    </w:p>
    <w:p>
      <w:pPr>
        <w:pStyle w:val="BookText"/>
      </w:pPr>
      <w:r>
        <w:rPr>
          <w:rFonts w:ascii="IRNazanin" w:hAnsi="IRNazanin" w:eastAsia="IRNazanin" w:cs="IRNazanin"/>
          <w:lang w:bidi="fa-IR"/>
          <w:color w:val="111111"/>
          <w:sz w:val="28"/>
          <w:szCs w:val="28"/>
          <w:rtl/>
        </w:rPr>
        <w:t xml:space="preserve">و هو المیر محمد أکبر بن آقا میرزا الذی کان مستوفیا للشاه عباس الصفوی الأول. له مثنوی زاهدنامه و خسرو و شیرین و قد أورد فی (نر- ص 109) شطرا من الثانی. و قال فی (گلشن- ص 32) إنه غیر الأصفهانی.</w:t>
      </w:r>
    </w:p>
    <w:p>
      <w:pPr>
        <w:pStyle w:val="Heading3"/>
      </w:pPr>
      <w:bookmarkStart w:id="1936" w:name="_Toc632"/>
      <w:r>
        <w:t>521- دیوان أکبر قزوینی أو شعره‏</w:t>
      </w:r>
      <w:bookmarkEnd w:id="1936"/>
    </w:p>
    <w:p>
      <w:pPr>
        <w:pStyle w:val="BookText"/>
      </w:pPr>
      <w:r>
        <w:rPr>
          <w:rFonts w:ascii="IRNazanin" w:hAnsi="IRNazanin" w:eastAsia="IRNazanin" w:cs="IRNazanin"/>
          <w:lang w:bidi="fa-IR"/>
          <w:color w:val="111111"/>
          <w:sz w:val="28"/>
          <w:szCs w:val="28"/>
          <w:rtl/>
        </w:rPr>
        <w:t xml:space="preserve">و هو محمد أکبر ابن میرزا نصیر. قال فی (نر- 84) إن والده کان من نجباء قزوین و له قدم صدق و قلم صادق، و کذا أولاده و منهم میر مجعد حسین و محمد أکبر هذا، ثم أورد شعره. و کذا فی (گلشن- 32) و قال فی (تغ- 17) إنه معاصر للشاه سلیمان الصفوی.</w:t>
      </w:r>
    </w:p>
    <w:p>
      <w:pPr>
        <w:pStyle w:val="Heading3"/>
      </w:pPr>
      <w:bookmarkStart w:id="1937" w:name="_Toc633"/>
      <w:r>
        <w:t>522- دیوان أکبر گلپایگانی أو شعره‏</w:t>
      </w:r>
      <w:bookmarkEnd w:id="1937"/>
    </w:p>
    <w:p>
      <w:pPr>
        <w:pStyle w:val="BookText"/>
      </w:pPr>
      <w:r>
        <w:rPr>
          <w:rFonts w:ascii="IRNazanin" w:hAnsi="IRNazanin" w:eastAsia="IRNazanin" w:cs="IRNazanin"/>
          <w:lang w:bidi="fa-IR"/>
          <w:color w:val="111111"/>
          <w:sz w:val="28"/>
          <w:szCs w:val="28"/>
          <w:rtl/>
        </w:rPr>
        <w:t xml:space="preserve">أورد من شعره فی (روشن- 64).</w:t>
      </w:r>
    </w:p>
    <w:p>
      <w:pPr>
        <w:pStyle w:val="Heading3"/>
      </w:pPr>
      <w:bookmarkStart w:id="1938" w:name="_Toc634"/>
      <w:r>
        <w:t>523- دیوان أکبر قمی‏</w:t>
      </w:r>
      <w:bookmarkEnd w:id="1938"/>
    </w:p>
    <w:p>
      <w:pPr>
        <w:pStyle w:val="BookText"/>
      </w:pPr>
      <w:r>
        <w:rPr>
          <w:rFonts w:ascii="IRNazanin" w:hAnsi="IRNazanin" w:eastAsia="IRNazanin" w:cs="IRNazanin"/>
          <w:lang w:bidi="fa-IR"/>
          <w:color w:val="111111"/>
          <w:sz w:val="28"/>
          <w:szCs w:val="28"/>
          <w:rtl/>
        </w:rPr>
        <w:t xml:space="preserve">أو شعره فی (روشن- ص 64).</w:t>
      </w:r>
    </w:p>
    <w:p>
      <w:pPr>
        <w:pStyle w:val="Heading3"/>
      </w:pPr>
      <w:bookmarkStart w:id="1939" w:name="_Toc635"/>
      <w:r>
        <w:t>524- دیوان أکرم بغدادی‏</w:t>
      </w:r>
      <w:bookmarkEnd w:id="1939"/>
    </w:p>
    <w:p>
      <w:pPr>
        <w:pStyle w:val="BookText"/>
      </w:pPr>
      <w:r>
        <w:rPr>
          <w:rFonts w:ascii="IRNazanin" w:hAnsi="IRNazanin" w:eastAsia="IRNazanin" w:cs="IRNazanin"/>
          <w:lang w:bidi="fa-IR"/>
          <w:color w:val="111111"/>
          <w:sz w:val="28"/>
          <w:szCs w:val="28"/>
          <w:rtl/>
        </w:rPr>
        <w:t xml:space="preserve">هو أکرم بیک ابن قایتمز بیک من طائفة قره‏قوینلو و ابن عم علی پاشا حاکم بغداد. نقل فی العراق بین الاحتلالین (ج 4- ص 136) عن گلشن شعراء لعهدی بغدادی المتوفی (1002) أنه شاعر فی اللغات الثلاث و قد صاحب عهدی فی إستانبول.</w:t>
      </w:r>
    </w:p>
    <w:p>
      <w:pPr>
        <w:pStyle w:val="Heading3"/>
      </w:pPr>
      <w:bookmarkStart w:id="1940" w:name="_Toc636"/>
      <w:r>
        <w:t>525- دیوان أکرم قزوینی أو شعره‏</w:t>
      </w:r>
      <w:bookmarkEnd w:id="1940"/>
    </w:p>
    <w:p>
      <w:pPr>
        <w:pStyle w:val="BookText"/>
      </w:pPr>
      <w:r>
        <w:rPr>
          <w:rFonts w:ascii="IRNazanin" w:hAnsi="IRNazanin" w:eastAsia="IRNazanin" w:cs="IRNazanin"/>
          <w:lang w:bidi="fa-IR"/>
          <w:color w:val="111111"/>
          <w:sz w:val="28"/>
          <w:szCs w:val="28"/>
          <w:rtl/>
        </w:rPr>
        <w:t xml:space="preserve">المیر عماد الدین. أورد شعره فی. (روشن- 65)</w:t>
      </w:r>
    </w:p>
    <w:p>
      <w:pPr>
        <w:pStyle w:val="Heading3"/>
      </w:pPr>
      <w:bookmarkStart w:id="1941" w:name="_Toc637"/>
      <w:r>
        <w:t>526- دیوان إکسیر</w:t>
      </w:r>
      <w:bookmarkEnd w:id="1941"/>
    </w:p>
    <w:p>
      <w:pPr>
        <w:pStyle w:val="BookText"/>
      </w:pPr>
      <w:r>
        <w:rPr>
          <w:rFonts w:ascii="IRNazanin" w:hAnsi="IRNazanin" w:eastAsia="IRNazanin" w:cs="IRNazanin"/>
          <w:lang w:bidi="fa-IR"/>
          <w:color w:val="111111"/>
          <w:sz w:val="28"/>
          <w:szCs w:val="28"/>
          <w:rtl/>
        </w:rPr>
        <w:t xml:space="preserve">لمحمد عظیم الأصفهانی المتخلص فی شعره بإکسیر. نسخه منه بخط الناظم و علی ظهرها خاتمان نقش أحدهما عظیم و نقش الآخر إکسیر موجودة فی مکتبة میرزا جعفر التبریزی السلطان القرائی، مشتمل علی (9326) بیتا کما کتبه إلینا مالک النسخة و ذکر أن أوله:</w:t>
      </w:r>
    </w:p>
    <w:p>
      <w:pPr>
        <w:pStyle w:val="BookText"/>
      </w:pPr>
      <w:r>
        <w:rPr>
          <w:rFonts w:ascii="IRNazanin" w:hAnsi="IRNazanin" w:eastAsia="IRNazanin" w:cs="IRNazanin"/>
          <w:lang w:bidi="fa-IR"/>
          <w:color w:val="111111"/>
          <w:sz w:val="28"/>
          <w:szCs w:val="28"/>
          <w:rtl/>
        </w:rPr>
        <w:t xml:space="preserve">الهی لوح محفوظ سخن کن تار و پود مرا</w:t>
      </w:r>
    </w:p>
    <w:p>
      <w:pPr>
        <w:pStyle w:val="BookText"/>
      </w:pPr>
      <w:r>
        <w:rPr>
          <w:rFonts w:ascii="IRNazanin" w:hAnsi="IRNazanin" w:eastAsia="IRNazanin" w:cs="IRNazanin"/>
          <w:lang w:bidi="fa-IR"/>
          <w:color w:val="111111"/>
          <w:sz w:val="28"/>
          <w:szCs w:val="28"/>
          <w:rtl/>
        </w:rPr>
        <w:t xml:space="preserve">بکن صرف نوشتن چون قلم بود و نبود مرا</w:t>
      </w:r>
    </w:p>
    <w:p>
      <w:pPr>
        <w:pStyle w:val="BookText"/>
      </w:pPr>
      <w:r>
        <w:rPr>
          <w:rFonts w:ascii="IRNazanin" w:hAnsi="IRNazanin" w:eastAsia="IRNazanin" w:cs="IRNazanin"/>
          <w:lang w:bidi="fa-IR"/>
          <w:color w:val="111111"/>
          <w:sz w:val="28"/>
          <w:szCs w:val="28"/>
          <w:rtl/>
        </w:rPr>
        <w:t xml:space="preserve">و آخره: حرره العبد الفقیر محمد عظیم الإکسیر فی قریة کالبی من بلاد الهند (1150) و ذکر شمس الدین السامی فی قاموس الأعلام الترکیة أنه توفی الناظم فی بنگاله فی (1169) تسع و ستین و مائة و ألف. و قال فی (گلشن- ص 32) إنه من تلامیذ فائض الأبهری و له مثنویات.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8" w:name="pg11704_121565"/>
    <w:bookmarkEnd w:id="88"/>
    <w:p>
      <w:pPr>
        <w:pStyle w:val="Heading3"/>
      </w:pPr>
      <w:bookmarkStart w:id="1942" w:name="_Toc638"/>
      <w:r>
        <w:t>527- دیوان إکسیر أصفهانی أو شعره‏</w:t>
      </w:r>
      <w:bookmarkEnd w:id="1942"/>
    </w:p>
    <w:p>
      <w:pPr>
        <w:pStyle w:val="BookText"/>
      </w:pPr>
      <w:r>
        <w:rPr>
          <w:rFonts w:ascii="IRNazanin" w:hAnsi="IRNazanin" w:eastAsia="IRNazanin" w:cs="IRNazanin"/>
          <w:lang w:bidi="fa-IR"/>
          <w:color w:val="111111"/>
          <w:sz w:val="28"/>
          <w:szCs w:val="28"/>
          <w:rtl/>
        </w:rPr>
        <w:t xml:space="preserve">میرزا عوض بیگ. جاء فی عهد شاه‏جهان إلی الهند و لازم دیوان إنشائه. أورد شعره فی (روشن- ص 65).</w:t>
      </w:r>
    </w:p>
    <w:p>
      <w:pPr>
        <w:pStyle w:val="Heading3"/>
      </w:pPr>
      <w:bookmarkStart w:id="1943" w:name="_Toc639"/>
      <w:r>
        <w:t>528- دیوان إکسیر دهلوی أو شعره‏</w:t>
      </w:r>
      <w:bookmarkEnd w:id="1943"/>
    </w:p>
    <w:p>
      <w:pPr>
        <w:pStyle w:val="BookText"/>
      </w:pPr>
      <w:r>
        <w:rPr>
          <w:rFonts w:ascii="IRNazanin" w:hAnsi="IRNazanin" w:eastAsia="IRNazanin" w:cs="IRNazanin"/>
          <w:lang w:bidi="fa-IR"/>
          <w:color w:val="111111"/>
          <w:sz w:val="28"/>
          <w:szCs w:val="28"/>
          <w:rtl/>
        </w:rPr>
        <w:t xml:space="preserve">المیر إمام الدین معلم الأطفال. أورد شعره فی (روشن- 65).</w:t>
      </w:r>
    </w:p>
    <w:p>
      <w:pPr>
        <w:pStyle w:val="Heading3"/>
      </w:pPr>
      <w:bookmarkStart w:id="1944" w:name="_Toc640"/>
      <w:r>
        <w:t>529- دیوان إکسیر قمی أو شعره‏</w:t>
      </w:r>
      <w:bookmarkEnd w:id="1944"/>
    </w:p>
    <w:p>
      <w:pPr>
        <w:pStyle w:val="BookText"/>
      </w:pPr>
      <w:r>
        <w:rPr>
          <w:rFonts w:ascii="IRNazanin" w:hAnsi="IRNazanin" w:eastAsia="IRNazanin" w:cs="IRNazanin"/>
          <w:lang w:bidi="fa-IR"/>
          <w:color w:val="111111"/>
          <w:sz w:val="28"/>
          <w:szCs w:val="28"/>
          <w:rtl/>
        </w:rPr>
        <w:t xml:space="preserve">لمیر نور الدین المتوفی فی فتنة الأفاغنة. کذا فی (تغ- ص 17). و فی (روشن- 65) سماه محمد نور أصفهانی.</w:t>
      </w:r>
    </w:p>
    <w:p>
      <w:pPr>
        <w:pStyle w:val="Heading3"/>
      </w:pPr>
      <w:bookmarkStart w:id="1945" w:name="_Toc641"/>
      <w:r>
        <w:t>530- دیوان الله قلی ترک أو شعره‏</w:t>
      </w:r>
      <w:bookmarkEnd w:id="1945"/>
    </w:p>
    <w:p>
      <w:pPr>
        <w:pStyle w:val="BookText"/>
      </w:pPr>
      <w:r>
        <w:rPr>
          <w:rFonts w:ascii="IRNazanin" w:hAnsi="IRNazanin" w:eastAsia="IRNazanin" w:cs="IRNazanin"/>
          <w:lang w:bidi="fa-IR"/>
          <w:color w:val="111111"/>
          <w:sz w:val="28"/>
          <w:szCs w:val="28"/>
          <w:rtl/>
        </w:rPr>
        <w:t xml:space="preserve">أصله من بخارا نزل أصفهان فی عهد الشاه طهماسب الأول الصفوی. ذکره فی (تس- ص 186) و (تغ- ص 17) و (روشن- 66).</w:t>
      </w:r>
    </w:p>
    <w:p>
      <w:pPr>
        <w:pStyle w:val="Heading3"/>
      </w:pPr>
      <w:bookmarkStart w:id="1946" w:name="_Toc642"/>
      <w:r>
        <w:t>531- دیوان ألبسه نظام قاری‏</w:t>
      </w:r>
      <w:bookmarkEnd w:id="1946"/>
    </w:p>
    <w:p>
      <w:pPr>
        <w:pStyle w:val="BookText"/>
      </w:pPr>
      <w:r>
        <w:rPr>
          <w:rFonts w:ascii="IRNazanin" w:hAnsi="IRNazanin" w:eastAsia="IRNazanin" w:cs="IRNazanin"/>
          <w:lang w:bidi="fa-IR"/>
          <w:color w:val="111111"/>
          <w:sz w:val="28"/>
          <w:szCs w:val="28"/>
          <w:rtl/>
        </w:rPr>
        <w:t xml:space="preserve">. و هو محمود بن أمیر أحمد نظام قاری الیزدی. لم یعرف عصره غیر ما یذکر من أسماء معاصریه فی (ص 136- 138) من طبع إستانبول، حیث ذکر قاسم الأنوار (م- 837) و خواجه عصمت البخاری (م- 829) و کاتبی (م- 838) و خیالی البخاری (850) و أمیر شاهی (م- 857) و شیخ آذری (م- 866) و قد جمع الدیوان الناظم بنفسه و قدم له دیباجة و قال: لما رأیت دیوان الأطعمة لبسحاق جمعت هذا الدیوان فی الملبوسات و اصطلاحات الخیاطین بأنواعها. ثم شرع بقصائد سماها: آفاق و أنفس، و جنگ‏نامه موئینه و کتان، و اسرار ابریشم. ثم قطعات فی جواب بعض الشعراء المتقدمین علیه و المعاصرین له، ثم قطعات نثریة باسم: مناظرة أطعمه و ألبسه، و رؤیای حمام، و أوصاف الشعراء، حکایت سارق ألبسه، نامه پشم بابریشم، و آرایش نامه، و ده وصل فی تعریف أسماء الألبسة، و صد وعظ، و مخیطنامه و غیرها. طبعه کذلک بأستانبول میرزا حبیب الله أصفهانی فی (1303) مع فهرس للغاته و اصطلاحاته. قال نظام فی دیباجته [اما بعد چنین گوید نساج این</w:t>
      </w:r>
    </w:p>
    <w:p>
      <w:pPr>
        <w:pStyle w:val="BookText"/>
      </w:pPr>
      <w:r>
        <w:rPr>
          <w:rFonts w:ascii="IRNazanin" w:hAnsi="IRNazanin" w:eastAsia="IRNazanin" w:cs="IRNazanin"/>
          <w:lang w:bidi="fa-IR"/>
          <w:color w:val="111111"/>
          <w:sz w:val="28"/>
          <w:szCs w:val="28"/>
          <w:rtl/>
        </w:rPr>
        <w:t xml:space="preserve">جامه رنگین، و خیاط این خلعت با نمکین، از لباس رعونت عاری محمود بن أمیر أحمد المدعو بنظام قاری، کساه الله لباس التقوی ... چون شیخ بسحاق در أطعمه، دیک خیال بر آتش فکرت نهاد من نیز در ألبسه، أقمشة معانی در کارگاه دانش به بار نهم ... چنانچه از مأکول ناگزیر است از ملبوس نیز چاره نیست ... فی الجملة از أو کشکینه و از ما پشمینه‏].</w:t>
      </w:r>
    </w:p>
    <w:p>
      <w:pPr>
        <w:pStyle w:val="Heading3"/>
      </w:pPr>
      <w:bookmarkStart w:id="1947" w:name="_Toc643"/>
      <w:r>
        <w:t>532- دیوان ألغ بیک میرزا أو شعره‏</w:t>
      </w:r>
      <w:bookmarkEnd w:id="1947"/>
    </w:p>
    <w:p>
      <w:pPr>
        <w:pStyle w:val="BookText"/>
      </w:pPr>
      <w:r>
        <w:rPr>
          <w:rFonts w:ascii="IRNazanin" w:hAnsi="IRNazanin" w:eastAsia="IRNazanin" w:cs="IRNazanin"/>
          <w:lang w:bidi="fa-IR"/>
          <w:color w:val="111111"/>
          <w:sz w:val="28"/>
          <w:szCs w:val="28"/>
          <w:rtl/>
        </w:rPr>
        <w:t xml:space="preserve">و هو السلطان العالم الفاضل صاحب الزیج المشهور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9" w:name="pg11704_121566"/>
    <w:bookmarkEnd w:id="89"/>
    <w:p>
      <w:pPr>
        <w:pStyle w:val="BookText"/>
      </w:pPr>
      <w:r>
        <w:rPr>
          <w:rFonts w:ascii="IRNazanin" w:hAnsi="IRNazanin" w:eastAsia="IRNazanin" w:cs="IRNazanin"/>
          <w:lang w:bidi="fa-IR"/>
          <w:color w:val="111111"/>
          <w:sz w:val="28"/>
          <w:szCs w:val="28"/>
          <w:rtl/>
        </w:rPr>
        <w:t xml:space="preserve">ترجمه فی (لط- ص 24) و أورد شعره و کذا فی (روشن- ص 67).</w:t>
      </w:r>
    </w:p>
    <w:p>
      <w:pPr>
        <w:pStyle w:val="Heading3"/>
      </w:pPr>
      <w:bookmarkStart w:id="1948" w:name="_Toc644"/>
      <w:r>
        <w:t>533- دیوان ألف الإبدال البلخی‏</w:t>
      </w:r>
      <w:bookmarkEnd w:id="1948"/>
    </w:p>
    <w:p>
      <w:pPr>
        <w:pStyle w:val="BookText"/>
      </w:pPr>
      <w:r>
        <w:rPr>
          <w:rFonts w:ascii="IRNazanin" w:hAnsi="IRNazanin" w:eastAsia="IRNazanin" w:cs="IRNazanin"/>
          <w:lang w:bidi="fa-IR"/>
          <w:color w:val="111111"/>
          <w:sz w:val="28"/>
          <w:szCs w:val="28"/>
          <w:rtl/>
        </w:rPr>
        <w:t xml:space="preserve">کان تخلصه أولا مطیعی ثم تخلص بألف. ترجمه سام میرزا فی (تس- ص 111) و کان أولا من شعراء سلطان یعقوب فی تبریز، و بعد موته هاجر إلی أصفهان و تقرب عند الشاه کما فی (روشن- 68).</w:t>
      </w:r>
    </w:p>
    <w:p>
      <w:pPr>
        <w:pStyle w:val="Heading3"/>
      </w:pPr>
      <w:bookmarkStart w:id="1949" w:name="_Toc645"/>
      <w:r>
        <w:t>534- دیوان ألفت أصفهانی‏</w:t>
      </w:r>
      <w:bookmarkEnd w:id="1949"/>
    </w:p>
    <w:p>
      <w:pPr>
        <w:pStyle w:val="BookText"/>
      </w:pPr>
      <w:r>
        <w:rPr>
          <w:rFonts w:ascii="IRNazanin" w:hAnsi="IRNazanin" w:eastAsia="IRNazanin" w:cs="IRNazanin"/>
          <w:lang w:bidi="fa-IR"/>
          <w:color w:val="111111"/>
          <w:sz w:val="28"/>
          <w:szCs w:val="28"/>
          <w:rtl/>
        </w:rPr>
        <w:t xml:space="preserve">للحاج الشیخ محمد باقر المتخلص بألفت ابن الشیخ محمد تقی المعروف بآقا نجفی الأصفهانی. ولد (2- ج 1- 1301). له فهرس روضات الجنات و مجمع الإجازات و کشف الحجب و خاندان من و مر له داستان هفت برادر و دیوانه موجود بأصفهان.</w:t>
      </w:r>
    </w:p>
    <w:p>
      <w:pPr>
        <w:pStyle w:val="Heading3"/>
      </w:pPr>
      <w:bookmarkStart w:id="1950" w:name="_Toc646"/>
      <w:r>
        <w:t>535- دیوان ألفت أصفهانی‏</w:t>
      </w:r>
      <w:bookmarkEnd w:id="1950"/>
    </w:p>
    <w:p>
      <w:pPr>
        <w:pStyle w:val="BookText"/>
      </w:pPr>
      <w:r>
        <w:rPr>
          <w:rFonts w:ascii="IRNazanin" w:hAnsi="IRNazanin" w:eastAsia="IRNazanin" w:cs="IRNazanin"/>
          <w:lang w:bidi="fa-IR"/>
          <w:color w:val="111111"/>
          <w:sz w:val="28"/>
          <w:szCs w:val="28"/>
          <w:rtl/>
        </w:rPr>
        <w:t xml:space="preserve">و هو محمد کاظم بن زین العابدین بیگ النوری الأصفهانی المسکن ترجمه فی المآثر (ص 216) توجد دیوانه المشتمل علی (3400) بیت فی (المجلس) و یظهر منه أنه ولد (1253) و توفی بین (1299) و (1306) کما حققه فی فهرسها (3: 223).</w:t>
      </w:r>
    </w:p>
    <w:p>
      <w:pPr>
        <w:pStyle w:val="Heading3"/>
      </w:pPr>
      <w:bookmarkStart w:id="1951" w:name="_Toc647"/>
      <w:r>
        <w:t>536- دیوان ألفت الله‏آبادی أو شعره‏</w:t>
      </w:r>
      <w:bookmarkEnd w:id="1951"/>
    </w:p>
    <w:p>
      <w:pPr>
        <w:pStyle w:val="BookText"/>
      </w:pPr>
      <w:r>
        <w:rPr>
          <w:rFonts w:ascii="IRNazanin" w:hAnsi="IRNazanin" w:eastAsia="IRNazanin" w:cs="IRNazanin"/>
          <w:lang w:bidi="fa-IR"/>
          <w:color w:val="111111"/>
          <w:sz w:val="28"/>
          <w:szCs w:val="28"/>
          <w:rtl/>
        </w:rPr>
        <w:t xml:space="preserve">المیر محمد خفیف أخو محمد أفضل ثابت. مات قبل أخیه فی (1130) أورد شعره فی (گلشن- ص 33).</w:t>
      </w:r>
    </w:p>
    <w:p>
      <w:pPr>
        <w:pStyle w:val="Heading3"/>
      </w:pPr>
      <w:bookmarkStart w:id="1952" w:name="_Toc648"/>
      <w:r>
        <w:t>537- دیوان ألفت الخراسانی أو شعره‏</w:t>
      </w:r>
      <w:bookmarkEnd w:id="1952"/>
    </w:p>
    <w:p>
      <w:pPr>
        <w:pStyle w:val="BookText"/>
      </w:pPr>
      <w:r>
        <w:rPr>
          <w:rFonts w:ascii="IRNazanin" w:hAnsi="IRNazanin" w:eastAsia="IRNazanin" w:cs="IRNazanin"/>
          <w:lang w:bidi="fa-IR"/>
          <w:color w:val="111111"/>
          <w:sz w:val="28"/>
          <w:szCs w:val="28"/>
          <w:rtl/>
        </w:rPr>
        <w:t xml:space="preserve">اسمه المیر عبد الله سافر إلی الهند و بها توفی ترجمه معاصره النصرآبادی فی (نر- ص 397) و أورد شعره و کذا فی (گلشن 33).</w:t>
      </w:r>
    </w:p>
    <w:p>
      <w:pPr>
        <w:pStyle w:val="Heading3"/>
      </w:pPr>
      <w:bookmarkStart w:id="1953" w:name="_Toc649"/>
      <w:r>
        <w:t>538- دیوان ألفت الشوشتری أو شعره‏</w:t>
      </w:r>
      <w:bookmarkEnd w:id="1953"/>
    </w:p>
    <w:p>
      <w:pPr>
        <w:pStyle w:val="BookText"/>
      </w:pPr>
      <w:r>
        <w:rPr>
          <w:rFonts w:ascii="IRNazanin" w:hAnsi="IRNazanin" w:eastAsia="IRNazanin" w:cs="IRNazanin"/>
          <w:lang w:bidi="fa-IR"/>
          <w:color w:val="111111"/>
          <w:sz w:val="28"/>
          <w:szCs w:val="28"/>
          <w:rtl/>
        </w:rPr>
        <w:t xml:space="preserve">و اسمه داود، غلب علیه السوداء و تعرض للمولی حسن علی بن المولی عبد الله التستری ترجمه النصرآبادی فی (نر- ص 413) و ذکر شعره.</w:t>
      </w:r>
    </w:p>
    <w:p>
      <w:pPr>
        <w:pStyle w:val="Heading3"/>
      </w:pPr>
      <w:bookmarkStart w:id="1954" w:name="_Toc650"/>
      <w:r>
        <w:t>539- دیوان ألفت شیرازی‏</w:t>
      </w:r>
      <w:bookmarkEnd w:id="1954"/>
    </w:p>
    <w:p>
      <w:pPr>
        <w:pStyle w:val="BookText"/>
      </w:pPr>
      <w:r>
        <w:rPr>
          <w:rFonts w:ascii="IRNazanin" w:hAnsi="IRNazanin" w:eastAsia="IRNazanin" w:cs="IRNazanin"/>
          <w:lang w:bidi="fa-IR"/>
          <w:color w:val="111111"/>
          <w:sz w:val="28"/>
          <w:szCs w:val="28"/>
          <w:rtl/>
        </w:rPr>
        <w:t xml:space="preserve">کان معاصرا لظل السلطان الحاکم القاجاری. و ذکر فی فارس‏نامه ناصری توجد دیوان قصائده و غزله فی (4500 بیت) فی مکتبة (الملک).</w:t>
      </w:r>
    </w:p>
    <w:p>
      <w:pPr>
        <w:pStyle w:val="Heading3"/>
      </w:pPr>
      <w:bookmarkStart w:id="1955" w:name="_Toc651"/>
      <w:r>
        <w:t>540- دیوان ألفت عظیم‏آبادی أو شعره‏</w:t>
      </w:r>
      <w:bookmarkEnd w:id="1955"/>
    </w:p>
    <w:p>
      <w:pPr>
        <w:pStyle w:val="BookText"/>
      </w:pPr>
      <w:r>
        <w:rPr>
          <w:rFonts w:ascii="IRNazanin" w:hAnsi="IRNazanin" w:eastAsia="IRNazanin" w:cs="IRNazanin"/>
          <w:lang w:bidi="fa-IR"/>
          <w:color w:val="111111"/>
          <w:sz w:val="28"/>
          <w:szCs w:val="28"/>
          <w:rtl/>
        </w:rPr>
        <w:t xml:space="preserve">و هو لاله اوجاگرچند. من قوم کایتهة.</w:t>
      </w:r>
    </w:p>
    <w:p>
      <w:pPr>
        <w:pStyle w:val="BookText"/>
      </w:pPr>
      <w:r>
        <w:rPr>
          <w:rFonts w:ascii="IRNazanin" w:hAnsi="IRNazanin" w:eastAsia="IRNazanin" w:cs="IRNazanin"/>
          <w:lang w:bidi="fa-IR"/>
          <w:color w:val="111111"/>
          <w:sz w:val="28"/>
          <w:szCs w:val="28"/>
          <w:rtl/>
        </w:rPr>
        <w:t xml:space="preserve">تلمذ علی محمد علیم تحقیق السمرقندی و تخلص أولا بغریب ثم بدله بألفت. أورد شعره فی (گلشن- ص 33) و (روشن 68).</w:t>
      </w:r>
    </w:p>
    <w:p>
      <w:pPr>
        <w:pStyle w:val="Heading3"/>
      </w:pPr>
      <w:bookmarkStart w:id="1956" w:name="_Toc652"/>
      <w:r>
        <w:t>541- دیوان ألفت الکاشانی‏</w:t>
      </w:r>
      <w:bookmarkEnd w:id="1956"/>
    </w:p>
    <w:p>
      <w:pPr>
        <w:pStyle w:val="BookText"/>
      </w:pPr>
      <w:r>
        <w:rPr>
          <w:rFonts w:ascii="IRNazanin" w:hAnsi="IRNazanin" w:eastAsia="IRNazanin" w:cs="IRNazanin"/>
          <w:lang w:bidi="fa-IR"/>
          <w:color w:val="111111"/>
          <w:sz w:val="28"/>
          <w:szCs w:val="28"/>
          <w:rtl/>
        </w:rPr>
        <w:t xml:space="preserve">المیرزا محمد قلی من إیل الأفشار المتوفی (1240) ترجمه فی (مع- ج 2- ص 72) و ذکر أن دیوانه یقرب من خمسة آلاف بیت و أورد بعض‏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90" w:name="pg11704_121567"/>
    <w:bookmarkEnd w:id="90"/>
    <w:p>
      <w:pPr>
        <w:pStyle w:val="BookText"/>
      </w:pPr>
      <w:r>
        <w:rPr>
          <w:rFonts w:ascii="IRNazanin" w:hAnsi="IRNazanin" w:eastAsia="IRNazanin" w:cs="IRNazanin"/>
          <w:lang w:bidi="fa-IR"/>
          <w:color w:val="111111"/>
          <w:sz w:val="28"/>
          <w:szCs w:val="28"/>
          <w:rtl/>
        </w:rPr>
        <w:t xml:space="preserve">غزلیاته و لغزه. کان یخدم دیوان حسن علی میرزا شجاع الدولة. و نقل عن تذکره ثمر أصفهانی أن أصله من آذربایجان.</w:t>
      </w:r>
    </w:p>
    <w:p>
      <w:pPr>
        <w:pStyle w:val="Heading3"/>
      </w:pPr>
      <w:bookmarkStart w:id="1957" w:name="_Toc653"/>
      <w:r>
        <w:t>542- دیوان ألفت لکهنوی‏</w:t>
      </w:r>
      <w:bookmarkEnd w:id="1957"/>
    </w:p>
    <w:p>
      <w:pPr>
        <w:pStyle w:val="BookText"/>
      </w:pPr>
      <w:r>
        <w:rPr>
          <w:rFonts w:ascii="IRNazanin" w:hAnsi="IRNazanin" w:eastAsia="IRNazanin" w:cs="IRNazanin"/>
          <w:lang w:bidi="fa-IR"/>
          <w:color w:val="111111"/>
          <w:sz w:val="28"/>
          <w:szCs w:val="28"/>
          <w:rtl/>
        </w:rPr>
        <w:t xml:space="preserve">و هو رأی بهادر بن راجه لالجی بهادر. من قوم کایتهة، من أمراء واجد علی شاه، و دیوانه الفارسی یشتمل علی القصائد و الغزل و المدیح و الرثاء لسید الشهداء. ذکره فی (گلشن- ص 32).</w:t>
      </w:r>
    </w:p>
    <w:p>
      <w:pPr>
        <w:pStyle w:val="Heading3"/>
      </w:pPr>
      <w:bookmarkStart w:id="1958" w:name="_Toc654"/>
      <w:r>
        <w:t>543- دیوان ألفتی ساوجی أو شعره‏</w:t>
      </w:r>
      <w:bookmarkEnd w:id="1958"/>
    </w:p>
    <w:p>
      <w:pPr>
        <w:pStyle w:val="BookText"/>
      </w:pPr>
      <w:r>
        <w:rPr>
          <w:rFonts w:ascii="IRNazanin" w:hAnsi="IRNazanin" w:eastAsia="IRNazanin" w:cs="IRNazanin"/>
          <w:lang w:bidi="fa-IR"/>
          <w:color w:val="111111"/>
          <w:sz w:val="28"/>
          <w:szCs w:val="28"/>
          <w:rtl/>
        </w:rPr>
        <w:t xml:space="preserve">هو ابن حسینی الساوجی سافر إلی الهند و تقرب عند عبد الله قطب شاه و باسمه ألف رسالة العروض و القافیة، و فی آخر عمره جاء إلی أصفهان فلقیه النصرآبادی و ذکره فی (نر- ص 326) و (روشن 69).</w:t>
      </w:r>
    </w:p>
    <w:p>
      <w:pPr>
        <w:pStyle w:val="Heading3"/>
      </w:pPr>
      <w:bookmarkStart w:id="1959" w:name="_Toc655"/>
      <w:r>
        <w:t>544- دیوان ألفتی هندی‏</w:t>
      </w:r>
      <w:bookmarkEnd w:id="1959"/>
    </w:p>
    <w:p>
      <w:pPr>
        <w:pStyle w:val="BookText"/>
      </w:pPr>
      <w:r>
        <w:rPr>
          <w:rFonts w:ascii="IRNazanin" w:hAnsi="IRNazanin" w:eastAsia="IRNazanin" w:cs="IRNazanin"/>
          <w:lang w:bidi="fa-IR"/>
          <w:color w:val="111111"/>
          <w:sz w:val="28"/>
          <w:szCs w:val="28"/>
          <w:rtl/>
        </w:rPr>
        <w:t xml:space="preserve">و هو راجه پیاری لآل من قوم کایتهة العظیم‏آبادی له مثنوی نیرنگ تقدیر و دیوانه مرتب. ذکره فی (گلشن- ص 33).</w:t>
      </w:r>
    </w:p>
    <w:p>
      <w:pPr>
        <w:pStyle w:val="Heading3"/>
      </w:pPr>
      <w:bookmarkStart w:id="1960" w:name="_Toc656"/>
      <w:r>
        <w:t>545- دیوان ألفتی بدخشی أو شعره‏</w:t>
      </w:r>
      <w:bookmarkEnd w:id="1960"/>
    </w:p>
    <w:p>
      <w:pPr>
        <w:pStyle w:val="BookText"/>
      </w:pPr>
      <w:r>
        <w:rPr>
          <w:rFonts w:ascii="IRNazanin" w:hAnsi="IRNazanin" w:eastAsia="IRNazanin" w:cs="IRNazanin"/>
          <w:lang w:bidi="fa-IR"/>
          <w:color w:val="111111"/>
          <w:sz w:val="28"/>
          <w:szCs w:val="28"/>
          <w:rtl/>
        </w:rPr>
        <w:t xml:space="preserve">له حواش علی فصوص الحکم و فتوحات مکیة.</w:t>
      </w:r>
    </w:p>
    <w:p>
      <w:pPr>
        <w:pStyle w:val="BookText"/>
      </w:pPr>
      <w:r>
        <w:rPr>
          <w:rFonts w:ascii="IRNazanin" w:hAnsi="IRNazanin" w:eastAsia="IRNazanin" w:cs="IRNazanin"/>
          <w:lang w:bidi="fa-IR"/>
          <w:color w:val="111111"/>
          <w:sz w:val="28"/>
          <w:szCs w:val="28"/>
          <w:rtl/>
        </w:rPr>
        <w:t xml:space="preserve">و لقبه الظرفاء وکیل فرعون و مات (1007) بالهند کما فی (روشن- ص 69).</w:t>
      </w:r>
    </w:p>
    <w:p>
      <w:pPr>
        <w:pStyle w:val="Heading3"/>
      </w:pPr>
      <w:bookmarkStart w:id="1961" w:name="_Toc657"/>
      <w:r>
        <w:t>546- دیوان ألفتی کمره‏ای أو شعره‏</w:t>
      </w:r>
      <w:bookmarkEnd w:id="1961"/>
    </w:p>
    <w:p>
      <w:pPr>
        <w:pStyle w:val="BookText"/>
      </w:pPr>
      <w:r>
        <w:rPr>
          <w:rFonts w:ascii="IRNazanin" w:hAnsi="IRNazanin" w:eastAsia="IRNazanin" w:cs="IRNazanin"/>
          <w:lang w:bidi="fa-IR"/>
          <w:color w:val="111111"/>
          <w:sz w:val="28"/>
          <w:szCs w:val="28"/>
          <w:rtl/>
        </w:rPr>
        <w:t xml:space="preserve">هو أخو الشیخ علی نقی کمره‏ای. أورد شعره فی (روشن- 69).</w:t>
      </w:r>
    </w:p>
    <w:p>
      <w:pPr>
        <w:pStyle w:val="Heading3"/>
      </w:pPr>
      <w:bookmarkStart w:id="1962" w:name="_Toc658"/>
      <w:r>
        <w:t>547- دیوان ألفتی یزدی‏</w:t>
      </w:r>
      <w:bookmarkEnd w:id="1962"/>
    </w:p>
    <w:p>
      <w:pPr>
        <w:pStyle w:val="BookText"/>
      </w:pPr>
      <w:r>
        <w:rPr>
          <w:rFonts w:ascii="IRNazanin" w:hAnsi="IRNazanin" w:eastAsia="IRNazanin" w:cs="IRNazanin"/>
          <w:lang w:bidi="fa-IR"/>
          <w:color w:val="111111"/>
          <w:sz w:val="28"/>
          <w:szCs w:val="28"/>
          <w:rtl/>
        </w:rPr>
        <w:t xml:space="preserve">المیر حسین. ذکره فی (تغ- ص 18) و أطرأ علیه و قال جاء إلی الهند فی عصر همایون پادشاه. و قال فی (تش یز- ص 274): کان ماهرا فی الریاضیات. و کان معاصرا لوحشی بافقی و سافر إلی الهند.</w:t>
      </w:r>
    </w:p>
    <w:p>
      <w:pPr>
        <w:pStyle w:val="Heading3"/>
      </w:pPr>
      <w:bookmarkStart w:id="1963" w:name="_Toc659"/>
      <w:r>
        <w:t>548- دیوان القا الهندی‏</w:t>
      </w:r>
      <w:bookmarkEnd w:id="1963"/>
    </w:p>
    <w:p>
      <w:pPr>
        <w:pStyle w:val="BookText"/>
      </w:pPr>
      <w:r>
        <w:rPr>
          <w:rFonts w:ascii="IRNazanin" w:hAnsi="IRNazanin" w:eastAsia="IRNazanin" w:cs="IRNazanin"/>
          <w:lang w:bidi="fa-IR"/>
          <w:color w:val="111111"/>
          <w:sz w:val="28"/>
          <w:szCs w:val="28"/>
          <w:rtl/>
        </w:rPr>
        <w:t xml:space="preserve">لمحمد صادق المتخلص بالقا الهندی الشاه‏جهان‏آبادی تلمیذ میرزا عبد القادر بیدل. کان ماهرا فی نظم مواد التاریخ و نظم آلافا منها کما فی (گلشن- ص 34) و (سرخوش- ص 8).</w:t>
      </w:r>
    </w:p>
    <w:p>
      <w:pPr>
        <w:pStyle w:val="Heading3"/>
      </w:pPr>
      <w:bookmarkStart w:id="1964" w:name="_Toc660"/>
      <w:r>
        <w:t>549- دیوان القاص میرزا أو شعره‏</w:t>
      </w:r>
      <w:bookmarkEnd w:id="1964"/>
    </w:p>
    <w:p>
      <w:pPr>
        <w:pStyle w:val="BookText"/>
      </w:pPr>
      <w:r>
        <w:rPr>
          <w:rFonts w:ascii="IRNazanin" w:hAnsi="IRNazanin" w:eastAsia="IRNazanin" w:cs="IRNazanin"/>
          <w:lang w:bidi="fa-IR"/>
          <w:color w:val="111111"/>
          <w:sz w:val="28"/>
          <w:szCs w:val="28"/>
          <w:rtl/>
        </w:rPr>
        <w:t xml:space="preserve">و هو ابن الشاه إسماعیل الصفوی، و بعد أبیه نازع أخیه الشاه طهماسب فی الملک و فر إلی الروم و رجع و مات فی مشهد خراسان فی (940) ذکر شعره فی أکثر التذاکر ک (مع- 1: 10) و (تش: 9) و (خص:</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و غیرها.</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91" w:name="pg11704_121568"/>
    <w:bookmarkEnd w:id="91"/>
    <w:p>
      <w:pPr>
        <w:pStyle w:val="Heading3"/>
      </w:pPr>
      <w:bookmarkStart w:id="1965" w:name="_Toc661"/>
      <w:r>
        <w:t>550- دیوان إلهام أصفهانی أو شعره‏</w:t>
      </w:r>
      <w:bookmarkEnd w:id="1965"/>
    </w:p>
    <w:p>
      <w:pPr>
        <w:pStyle w:val="BookText"/>
      </w:pPr>
      <w:r>
        <w:rPr>
          <w:rFonts w:ascii="IRNazanin" w:hAnsi="IRNazanin" w:eastAsia="IRNazanin" w:cs="IRNazanin"/>
          <w:lang w:bidi="fa-IR"/>
          <w:color w:val="111111"/>
          <w:sz w:val="28"/>
          <w:szCs w:val="28"/>
          <w:rtl/>
        </w:rPr>
        <w:t xml:space="preserve">للسید المیرزا شریف من أقرباء میر صدری الأصفهانی. و فی بیتهم تولیة مقبرة امام‏زاده قیس علی الواقع فی گندمان أصفهان. قال فی (نر- ص 342) إنه سافر إلی الهند و رجع إلی أصفهان (1086) و کذا فی (گلشن- ص 34) و أورد بعض شعره.</w:t>
      </w:r>
    </w:p>
    <w:p>
      <w:pPr>
        <w:pStyle w:val="Heading3"/>
      </w:pPr>
      <w:bookmarkStart w:id="1966" w:name="_Toc662"/>
      <w:r>
        <w:t>551- دیوان إلهی أردبیلی أو شعره‏</w:t>
      </w:r>
      <w:bookmarkEnd w:id="1966"/>
    </w:p>
    <w:p>
      <w:pPr>
        <w:pStyle w:val="BookText"/>
      </w:pPr>
      <w:r>
        <w:rPr>
          <w:rFonts w:ascii="IRNazanin" w:hAnsi="IRNazanin" w:eastAsia="IRNazanin" w:cs="IRNazanin"/>
          <w:lang w:bidi="fa-IR"/>
          <w:color w:val="111111"/>
          <w:sz w:val="28"/>
          <w:szCs w:val="28"/>
          <w:rtl/>
        </w:rPr>
        <w:t xml:space="preserve">للشیخ کمال الدین حسین بن شرف الدین عبد الحق الأردبیلی المتخلص بإلهی المتوفی (950) من تلامیذ الدوانی و غیاث الدین منصور. ترجمه فی (دجا- ص 47) و سماه فی (روشن- 66) بملا حسین و قال إنه ندیم میر علی شیر نوائی و مات (937). ألف تاج المناقب أئمة اثنی عشر و صدره باسم الشاه إسماعیل الصفوی. و له منهج الفصاحة فی شرح نهج البلاغة.</w:t>
      </w:r>
    </w:p>
    <w:p>
      <w:pPr>
        <w:pStyle w:val="Heading3"/>
      </w:pPr>
      <w:bookmarkStart w:id="1967" w:name="_Toc663"/>
      <w:r>
        <w:t>دیوان- إلهی أردبیلی‏</w:t>
      </w:r>
      <w:bookmarkEnd w:id="1967"/>
    </w:p>
    <w:p>
      <w:pPr>
        <w:pStyle w:val="BookText"/>
      </w:pPr>
      <w:r>
        <w:rPr>
          <w:rFonts w:ascii="IRNazanin" w:hAnsi="IRNazanin" w:eastAsia="IRNazanin" w:cs="IRNazanin"/>
          <w:lang w:bidi="fa-IR"/>
          <w:color w:val="111111"/>
          <w:sz w:val="28"/>
          <w:szCs w:val="28"/>
          <w:rtl/>
        </w:rPr>
        <w:t xml:space="preserve">یأتی بعنوان دیوان حکیم إلهی.</w:t>
      </w:r>
    </w:p>
    <w:p>
      <w:pPr>
        <w:pStyle w:val="Heading3"/>
      </w:pPr>
      <w:bookmarkStart w:id="1968" w:name="_Toc664"/>
      <w:r>
        <w:t>552- دیوان إلهی أسترآبادی أو شعره‏</w:t>
      </w:r>
      <w:bookmarkEnd w:id="1968"/>
    </w:p>
    <w:p>
      <w:pPr>
        <w:pStyle w:val="BookText"/>
      </w:pPr>
      <w:r>
        <w:rPr>
          <w:rFonts w:ascii="IRNazanin" w:hAnsi="IRNazanin" w:eastAsia="IRNazanin" w:cs="IRNazanin"/>
          <w:lang w:bidi="fa-IR"/>
          <w:color w:val="111111"/>
          <w:sz w:val="28"/>
          <w:szCs w:val="28"/>
          <w:rtl/>
        </w:rPr>
        <w:t xml:space="preserve">کان قصابا سخی الطبع. أورد شعره فی (تس- ص 37).</w:t>
      </w:r>
    </w:p>
    <w:p>
      <w:pPr>
        <w:pStyle w:val="Heading3"/>
      </w:pPr>
      <w:bookmarkStart w:id="1969" w:name="_Toc665"/>
      <w:r>
        <w:t>553- دیوان إلهی تبریزی أو شعره‏</w:t>
      </w:r>
      <w:bookmarkEnd w:id="1969"/>
    </w:p>
    <w:p>
      <w:pPr>
        <w:pStyle w:val="BookText"/>
      </w:pPr>
      <w:r>
        <w:rPr>
          <w:rFonts w:ascii="IRNazanin" w:hAnsi="IRNazanin" w:eastAsia="IRNazanin" w:cs="IRNazanin"/>
          <w:lang w:bidi="fa-IR"/>
          <w:color w:val="111111"/>
          <w:sz w:val="28"/>
          <w:szCs w:val="28"/>
          <w:rtl/>
        </w:rPr>
        <w:t xml:space="preserve">و اسمه میرزا مهدی. نشا فی أصفهان فی عصر نادر شاه. ترجمه فی (دجا- 49) نقلا عن تذکره حزین، و أورد شعره و کذا فی (گلشن- 35) و (روشن- 67) و قال مات بأصفهان.</w:t>
      </w:r>
    </w:p>
    <w:p>
      <w:pPr>
        <w:pStyle w:val="Heading3"/>
      </w:pPr>
      <w:bookmarkStart w:id="1970" w:name="_Toc666"/>
      <w:r>
        <w:t>554- دیوان إلهی دیلمی أو شعره‏</w:t>
      </w:r>
      <w:bookmarkEnd w:id="1970"/>
    </w:p>
    <w:p>
      <w:pPr>
        <w:pStyle w:val="BookText"/>
      </w:pPr>
      <w:r>
        <w:rPr>
          <w:rFonts w:ascii="IRNazanin" w:hAnsi="IRNazanin" w:eastAsia="IRNazanin" w:cs="IRNazanin"/>
          <w:lang w:bidi="fa-IR"/>
          <w:color w:val="111111"/>
          <w:sz w:val="28"/>
          <w:szCs w:val="28"/>
          <w:rtl/>
        </w:rPr>
        <w:t xml:space="preserve">و اسمه أمیر فرامرز من أولاد الدیالمة، أورد شعره فی (روشن- 66).</w:t>
      </w:r>
    </w:p>
    <w:p>
      <w:pPr>
        <w:pStyle w:val="Heading3"/>
      </w:pPr>
      <w:bookmarkStart w:id="1971" w:name="_Toc667"/>
      <w:r>
        <w:t>555- دیوان إلهی شیروانی أو شعره‏</w:t>
      </w:r>
      <w:bookmarkEnd w:id="1971"/>
    </w:p>
    <w:p>
      <w:pPr>
        <w:pStyle w:val="BookText"/>
      </w:pPr>
      <w:r>
        <w:rPr>
          <w:rFonts w:ascii="IRNazanin" w:hAnsi="IRNazanin" w:eastAsia="IRNazanin" w:cs="IRNazanin"/>
          <w:lang w:bidi="fa-IR"/>
          <w:color w:val="111111"/>
          <w:sz w:val="28"/>
          <w:szCs w:val="28"/>
          <w:rtl/>
        </w:rPr>
        <w:t xml:space="preserve">أورد شعره فی (دجا- ص 50) نقلا عن جنک مخطوط. و اسمه میر إلهی.</w:t>
      </w:r>
    </w:p>
    <w:p>
      <w:pPr>
        <w:pStyle w:val="Heading3"/>
      </w:pPr>
      <w:bookmarkStart w:id="1972" w:name="_Toc668"/>
      <w:r>
        <w:t>556- دیوان إلهی قمشهی‏</w:t>
      </w:r>
      <w:bookmarkEnd w:id="1972"/>
    </w:p>
    <w:p>
      <w:pPr>
        <w:pStyle w:val="BookText"/>
      </w:pPr>
      <w:r>
        <w:rPr>
          <w:rFonts w:ascii="IRNazanin" w:hAnsi="IRNazanin" w:eastAsia="IRNazanin" w:cs="IRNazanin"/>
          <w:lang w:bidi="fa-IR"/>
          <w:color w:val="111111"/>
          <w:sz w:val="28"/>
          <w:szCs w:val="28"/>
          <w:rtl/>
        </w:rPr>
        <w:t xml:space="preserve">اسمه نغمه عشاق یأتی.</w:t>
      </w:r>
    </w:p>
    <w:p>
      <w:pPr>
        <w:pStyle w:val="Heading3"/>
      </w:pPr>
      <w:bookmarkStart w:id="1973" w:name="_Toc669"/>
      <w:r>
        <w:t>557- دیوان إلهی قمی أو شعره‏</w:t>
      </w:r>
      <w:bookmarkEnd w:id="1973"/>
    </w:p>
    <w:p>
      <w:pPr>
        <w:pStyle w:val="BookText"/>
      </w:pPr>
      <w:r>
        <w:rPr>
          <w:rFonts w:ascii="IRNazanin" w:hAnsi="IRNazanin" w:eastAsia="IRNazanin" w:cs="IRNazanin"/>
          <w:lang w:bidi="fa-IR"/>
          <w:color w:val="111111"/>
          <w:sz w:val="28"/>
          <w:szCs w:val="28"/>
          <w:rtl/>
        </w:rPr>
        <w:t xml:space="preserve">و هو الحکیم صدر الدین مسیح الزمان. جاء إلی الهند و تقرب عند جهانگیر پادشاه، و فی (1032) سافر إلی الحج و رجع و مات، کذا فی (تغ- 18) و سماه فی (گلشن- 35) إلهی هندی. و لعله متحد مع رقم 4318.</w:t>
      </w:r>
    </w:p>
    <w:p>
      <w:pPr>
        <w:pStyle w:val="Heading3"/>
      </w:pPr>
      <w:bookmarkStart w:id="1974" w:name="_Toc670"/>
      <w:r>
        <w:t>558- دیوان إلهی قندهاری أو شعره‏</w:t>
      </w:r>
      <w:bookmarkEnd w:id="1974"/>
    </w:p>
    <w:p>
      <w:pPr>
        <w:pStyle w:val="BookText"/>
      </w:pPr>
      <w:r>
        <w:rPr>
          <w:rFonts w:ascii="IRNazanin" w:hAnsi="IRNazanin" w:eastAsia="IRNazanin" w:cs="IRNazanin"/>
          <w:lang w:bidi="fa-IR"/>
          <w:color w:val="111111"/>
          <w:sz w:val="28"/>
          <w:szCs w:val="28"/>
          <w:rtl/>
        </w:rPr>
        <w:t xml:space="preserve">من شعراء عهد بابر شاه. أورد شعره فی (روشن- 66).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92" w:name="pg11704_121569"/>
    <w:bookmarkEnd w:id="92"/>
    <w:p>
      <w:pPr>
        <w:pStyle w:val="Heading3"/>
      </w:pPr>
      <w:bookmarkStart w:id="1975" w:name="_Toc671"/>
      <w:r>
        <w:t>559- دیوان إلهی الهمدانی أو شعره‏</w:t>
      </w:r>
      <w:bookmarkEnd w:id="1975"/>
    </w:p>
    <w:p>
      <w:pPr>
        <w:pStyle w:val="BookText"/>
      </w:pPr>
      <w:r>
        <w:rPr>
          <w:rFonts w:ascii="IRNazanin" w:hAnsi="IRNazanin" w:eastAsia="IRNazanin" w:cs="IRNazanin"/>
          <w:lang w:bidi="fa-IR"/>
          <w:color w:val="111111"/>
          <w:sz w:val="28"/>
          <w:szCs w:val="28"/>
          <w:rtl/>
        </w:rPr>
        <w:t xml:space="preserve">و هو السید عماد الدین محمد الحسینی من سادات أسدآباد الهمدانیین، معاصر الشاه عباس الأول و توفی بکشمیر فی (1063) کما أرخه حکمت فی هامش مقدمه (مجن- ص کح) سافر إلی الهند و بها توفی. ترجمه النصرآبادی فی (نر- ص 255) و أورد شعره. و قال فی (تغ- 18) إنه کان معاصرا لشقائی و تقی الدین أوحدی و اسمه محمود. و قال فی (سرخوش- ص 2) دیوانه مشهور. و قال فی (تش- ص 255) إنه لم یر دیوانه. و ینقل ریو عن تذکره إلهی، فی فهرسه مکررا.</w:t>
      </w:r>
    </w:p>
    <w:p>
      <w:pPr>
        <w:pStyle w:val="Heading3"/>
      </w:pPr>
      <w:bookmarkStart w:id="1976" w:name="_Toc672"/>
      <w:r>
        <w:t>560- دیوان إلهی گیلانی أو شعره‏</w:t>
      </w:r>
      <w:bookmarkEnd w:id="1976"/>
    </w:p>
    <w:p>
      <w:pPr>
        <w:pStyle w:val="BookText"/>
      </w:pPr>
      <w:r>
        <w:rPr>
          <w:rFonts w:ascii="IRNazanin" w:hAnsi="IRNazanin" w:eastAsia="IRNazanin" w:cs="IRNazanin"/>
          <w:lang w:bidi="fa-IR"/>
          <w:color w:val="111111"/>
          <w:sz w:val="28"/>
          <w:szCs w:val="28"/>
          <w:rtl/>
        </w:rPr>
        <w:t xml:space="preserve">هو الخلیفة سدید الدین محمد. ذکره فی (تغ- 18) و (روشن- 66) و قال قد یتخلص بسدید أیضا.</w:t>
      </w:r>
    </w:p>
    <w:p>
      <w:pPr>
        <w:pStyle w:val="Heading3"/>
      </w:pPr>
      <w:bookmarkStart w:id="1977" w:name="_Toc673"/>
      <w:r>
        <w:t>561- دیوان إمام الدین الرافعی القزوینی‏</w:t>
      </w:r>
      <w:bookmarkEnd w:id="1977"/>
    </w:p>
    <w:p>
      <w:pPr>
        <w:pStyle w:val="BookText"/>
      </w:pPr>
      <w:r>
        <w:rPr>
          <w:rFonts w:ascii="IRNazanin" w:hAnsi="IRNazanin" w:eastAsia="IRNazanin" w:cs="IRNazanin"/>
          <w:lang w:bidi="fa-IR"/>
          <w:color w:val="111111"/>
          <w:sz w:val="28"/>
          <w:szCs w:val="28"/>
          <w:rtl/>
        </w:rPr>
        <w:t xml:space="preserve">المنتهی إلیه معرفة مذهب الشافعی و صاحب الفتح العزیز و المحرر. و هو أبو القاسم عبد الکریم بن محمد بن عبد الکریم المتوفی (623) فی قزوین عن ست و ستین سنة کما أرخه و ذکر تمام نسبه فی الشذرات (ج 5- ص 108) و ترجمه فی طبقات الشافعیة (ص 83) و ترجمه شاه محمد القزوینی فی (بهش- ص 321) و أورد جملة من أشعاره، و هو متأخر عن</w:t>
      </w:r>
    </w:p>
    <w:p>
      <w:pPr>
        <w:pStyle w:val="BookText"/>
      </w:pPr>
      <w:r>
        <w:rPr>
          <w:rFonts w:ascii="IRNazanin" w:hAnsi="IRNazanin" w:eastAsia="IRNazanin" w:cs="IRNazanin"/>
          <w:lang w:bidi="fa-IR"/>
          <w:color w:val="111111"/>
          <w:sz w:val="28"/>
          <w:szCs w:val="28"/>
          <w:rtl/>
        </w:rPr>
        <w:t xml:space="preserve">إمام الدین أبی القاسم بن أبی سعید بابویه المشهور برافعی النیشابوری الآتی بعنوان الرافعی الذی کان معاصرا لسلطان محمود بن سبکتکین المتوفی (431) و قد مدحه و مدح وزیره المیمندی الذی توفی (424).</w:t>
      </w:r>
    </w:p>
    <w:p>
      <w:pPr>
        <w:pStyle w:val="Heading3"/>
      </w:pPr>
      <w:bookmarkStart w:id="1978" w:name="_Toc674"/>
      <w:r>
        <w:t>562- دیوان إمام بخاری أو شعره‏</w:t>
      </w:r>
      <w:bookmarkEnd w:id="1978"/>
    </w:p>
    <w:p>
      <w:pPr>
        <w:pStyle w:val="BookText"/>
      </w:pPr>
      <w:r>
        <w:rPr>
          <w:rFonts w:ascii="IRNazanin" w:hAnsi="IRNazanin" w:eastAsia="IRNazanin" w:cs="IRNazanin"/>
          <w:lang w:bidi="fa-IR"/>
          <w:color w:val="111111"/>
          <w:sz w:val="28"/>
          <w:szCs w:val="28"/>
          <w:rtl/>
        </w:rPr>
        <w:t xml:space="preserve">و اسمه إمام قلی خان حاکم بخارا أورد شعره بهذا العنوان فی (گلشن- 35) و (تش- ص 9).</w:t>
      </w:r>
    </w:p>
    <w:p>
      <w:pPr>
        <w:pStyle w:val="Heading3"/>
      </w:pPr>
      <w:bookmarkStart w:id="1979" w:name="_Toc675"/>
      <w:r>
        <w:t>دیوان إمام قلی بختیاری‏</w:t>
      </w:r>
      <w:bookmarkEnd w:id="1979"/>
    </w:p>
    <w:p>
      <w:pPr>
        <w:pStyle w:val="BookText"/>
      </w:pPr>
      <w:r>
        <w:rPr>
          <w:rFonts w:ascii="IRNazanin" w:hAnsi="IRNazanin" w:eastAsia="IRNazanin" w:cs="IRNazanin"/>
          <w:lang w:bidi="fa-IR"/>
          <w:color w:val="111111"/>
          <w:sz w:val="28"/>
          <w:szCs w:val="28"/>
          <w:rtl/>
        </w:rPr>
        <w:t xml:space="preserve">یأتی بعنوان تخلصه وحشت.</w:t>
      </w:r>
    </w:p>
    <w:p>
      <w:pPr>
        <w:pStyle w:val="Heading3"/>
      </w:pPr>
      <w:bookmarkStart w:id="1980" w:name="_Toc676"/>
      <w:r>
        <w:t>563- دیوان إمام قلی قاینی أو شعره‏</w:t>
      </w:r>
      <w:bookmarkEnd w:id="1980"/>
    </w:p>
    <w:p>
      <w:pPr>
        <w:pStyle w:val="BookText"/>
      </w:pPr>
      <w:r>
        <w:rPr>
          <w:rFonts w:ascii="IRNazanin" w:hAnsi="IRNazanin" w:eastAsia="IRNazanin" w:cs="IRNazanin"/>
          <w:lang w:bidi="fa-IR"/>
          <w:color w:val="111111"/>
          <w:sz w:val="28"/>
          <w:szCs w:val="28"/>
          <w:rtl/>
        </w:rPr>
        <w:t xml:space="preserve">المعمار و کان یلقب بزاة عمر أرک قندهار و تجنن أخیرا و مات کذا فی (روشن- ص 70)</w:t>
      </w:r>
    </w:p>
    <w:p>
      <w:pPr>
        <w:pStyle w:val="Heading3"/>
      </w:pPr>
      <w:bookmarkStart w:id="1981" w:name="_Toc677"/>
      <w:r>
        <w:t>564- دیوان إمام‏وردی انتخابی أو شعره‏</w:t>
      </w:r>
      <w:bookmarkEnd w:id="1981"/>
    </w:p>
    <w:p>
      <w:pPr>
        <w:pStyle w:val="BookText"/>
      </w:pPr>
      <w:r>
        <w:rPr>
          <w:rFonts w:ascii="IRNazanin" w:hAnsi="IRNazanin" w:eastAsia="IRNazanin" w:cs="IRNazanin"/>
          <w:lang w:bidi="fa-IR"/>
          <w:color w:val="111111"/>
          <w:sz w:val="28"/>
          <w:szCs w:val="28"/>
          <w:rtl/>
        </w:rPr>
        <w:t xml:space="preserve">أطرأه شیر علی لودی فی مرآة الخیال (ص 224) و قال هو ساذج کثیر العمل اخترم فی شبابه‏</w:t>
      </w:r>
    </w:p>
    <w:p>
      <w:pPr>
        <w:pStyle w:val="Heading3"/>
      </w:pPr>
      <w:bookmarkStart w:id="1982" w:name="_Toc678"/>
      <w:r>
        <w:t>565- دیوان إمامی خلخالی‏</w:t>
      </w:r>
      <w:bookmarkEnd w:id="1982"/>
    </w:p>
    <w:p>
      <w:pPr>
        <w:pStyle w:val="BookText"/>
      </w:pPr>
      <w:r>
        <w:rPr>
          <w:rFonts w:ascii="IRNazanin" w:hAnsi="IRNazanin" w:eastAsia="IRNazanin" w:cs="IRNazanin"/>
          <w:lang w:bidi="fa-IR"/>
          <w:color w:val="111111"/>
          <w:sz w:val="28"/>
          <w:szCs w:val="28"/>
          <w:rtl/>
        </w:rPr>
        <w:t xml:space="preserve">نقل فی (دجا- 51) عن هفت إقلیم أنه کثیر الشعر و کذا فی (گلشن- ص 36)</w:t>
      </w:r>
    </w:p>
    <w:p>
      <w:pPr>
        <w:pStyle w:val="Heading3"/>
      </w:pPr>
      <w:bookmarkStart w:id="1983" w:name="_Toc679"/>
      <w:r>
        <w:t>566- دیوان إمامی لکهنوی أو شعره‏</w:t>
      </w:r>
      <w:bookmarkEnd w:id="1983"/>
    </w:p>
    <w:p>
      <w:pPr>
        <w:pStyle w:val="BookText"/>
      </w:pPr>
      <w:r>
        <w:rPr>
          <w:rFonts w:ascii="IRNazanin" w:hAnsi="IRNazanin" w:eastAsia="IRNazanin" w:cs="IRNazanin"/>
          <w:lang w:bidi="fa-IR"/>
          <w:color w:val="111111"/>
          <w:sz w:val="28"/>
          <w:szCs w:val="28"/>
          <w:rtl/>
        </w:rPr>
        <w:t xml:space="preserve">و اسمه خواجه إمام الدین ابن القاضی خان‏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93" w:name="pg11704_121570"/>
    <w:bookmarkEnd w:id="93"/>
    <w:p>
      <w:pPr>
        <w:pStyle w:val="BookText"/>
      </w:pPr>
      <w:r>
        <w:rPr>
          <w:rFonts w:ascii="IRNazanin" w:hAnsi="IRNazanin" w:eastAsia="IRNazanin" w:cs="IRNazanin"/>
          <w:lang w:bidi="fa-IR"/>
          <w:color w:val="111111"/>
          <w:sz w:val="28"/>
          <w:szCs w:val="28"/>
          <w:rtl/>
        </w:rPr>
        <w:t xml:space="preserve">ابن خواجه پادشاه خان تلمذ علی قتیل، و له رسالة فی القافیة نظما و قتل فی کانپور أورد شعره فی (گلشن- ص 35)</w:t>
      </w:r>
    </w:p>
    <w:p>
      <w:pPr>
        <w:pStyle w:val="Heading3"/>
      </w:pPr>
      <w:bookmarkStart w:id="1984" w:name="_Toc680"/>
      <w:r>
        <w:t>567- دیوان إمامی هروی‏</w:t>
      </w:r>
      <w:bookmarkEnd w:id="1984"/>
    </w:p>
    <w:p>
      <w:pPr>
        <w:pStyle w:val="BookText"/>
      </w:pPr>
      <w:r>
        <w:rPr>
          <w:rFonts w:ascii="IRNazanin" w:hAnsi="IRNazanin" w:eastAsia="IRNazanin" w:cs="IRNazanin"/>
          <w:lang w:bidi="fa-IR"/>
          <w:color w:val="111111"/>
          <w:sz w:val="28"/>
          <w:szCs w:val="28"/>
          <w:rtl/>
        </w:rPr>
        <w:t xml:space="preserve">هو أبو عبد الله محمد بن أبی بکر بن عثمان المعاصر لمجد الدین همگر، و قد مدح أحدهما الآخر و کان بکرمان یمدح الوزراء و الحکام و منهم فخر الملک شمس الدولة توفی بأصفهان فی (676 أو 686) و هو الأصح کما أرخه الفخری ترجمه فی</w:t>
      </w:r>
    </w:p>
    <w:p>
      <w:pPr>
        <w:pStyle w:val="BookText"/>
      </w:pPr>
      <w:r>
        <w:rPr>
          <w:rFonts w:ascii="IRNazanin" w:hAnsi="IRNazanin" w:eastAsia="IRNazanin" w:cs="IRNazanin"/>
          <w:lang w:bidi="fa-IR"/>
          <w:color w:val="111111"/>
          <w:sz w:val="28"/>
          <w:szCs w:val="28"/>
          <w:rtl/>
        </w:rPr>
        <w:t xml:space="preserve">(مع- 1: 98) و قال إن دیوانه یتجاوز عن ألفی بیت، و نقل عنه ما یقرب من (150 بیتا) و توجد نسخته فی (المجلس) کما فی فهرسها (ج 3- 226) و أورد النصرآبادی ألغازه فی (نر- 493) و ترجمه القزوینی فی (بهش- 327) و آذر فی (تش- 147) و (مرآة الخیال ص 40)</w:t>
      </w:r>
    </w:p>
    <w:p>
      <w:pPr>
        <w:pStyle w:val="Heading3"/>
      </w:pPr>
      <w:bookmarkStart w:id="1985" w:name="_Toc681"/>
      <w:r>
        <w:t>568- دیوان أمان قزوینی أو شعره‏</w:t>
      </w:r>
      <w:bookmarkEnd w:id="1985"/>
    </w:p>
    <w:p>
      <w:pPr>
        <w:pStyle w:val="BookText"/>
      </w:pPr>
      <w:r>
        <w:rPr>
          <w:rFonts w:ascii="IRNazanin" w:hAnsi="IRNazanin" w:eastAsia="IRNazanin" w:cs="IRNazanin"/>
          <w:lang w:bidi="fa-IR"/>
          <w:color w:val="111111"/>
          <w:sz w:val="28"/>
          <w:szCs w:val="28"/>
          <w:rtl/>
        </w:rPr>
        <w:t xml:space="preserve">و هو أمان الله المعروف بملا أمان جان المتوفی (950): ترجمه فی (تس- ص 53) و أورد مطلع غزله‏</w:t>
      </w:r>
    </w:p>
    <w:p>
      <w:pPr>
        <w:pStyle w:val="Heading3"/>
      </w:pPr>
      <w:bookmarkStart w:id="1986" w:name="_Toc682"/>
      <w:r>
        <w:t>569- دیوان أمان قهستانی أو شعره‏</w:t>
      </w:r>
      <w:bookmarkEnd w:id="1986"/>
    </w:p>
    <w:p>
      <w:pPr>
        <w:pStyle w:val="BookText"/>
      </w:pPr>
      <w:r>
        <w:rPr>
          <w:rFonts w:ascii="IRNazanin" w:hAnsi="IRNazanin" w:eastAsia="IRNazanin" w:cs="IRNazanin"/>
          <w:lang w:bidi="fa-IR"/>
          <w:color w:val="111111"/>
          <w:sz w:val="28"/>
          <w:szCs w:val="28"/>
          <w:rtl/>
        </w:rPr>
        <w:t xml:space="preserve">و هو أمان الله ولد بقسیان من أعمال نطنز بکاشان و سکن بهرات، و عرف بقهستانی أورد شعره فی (مجتس- ص 149) و (گلشن ص 37) و (روشن- ص 70)</w:t>
      </w:r>
    </w:p>
    <w:p>
      <w:pPr>
        <w:pStyle w:val="Heading3"/>
      </w:pPr>
      <w:bookmarkStart w:id="1987" w:name="_Toc683"/>
      <w:r>
        <w:t>570- دیوان امانت هندی أو شعره‏</w:t>
      </w:r>
      <w:bookmarkEnd w:id="1987"/>
    </w:p>
    <w:p>
      <w:pPr>
        <w:pStyle w:val="BookText"/>
      </w:pPr>
      <w:r>
        <w:rPr>
          <w:rFonts w:ascii="IRNazanin" w:hAnsi="IRNazanin" w:eastAsia="IRNazanin" w:cs="IRNazanin"/>
          <w:lang w:bidi="fa-IR"/>
          <w:color w:val="111111"/>
          <w:sz w:val="28"/>
          <w:szCs w:val="28"/>
          <w:rtl/>
        </w:rPr>
        <w:t xml:space="preserve">هو لاله امانت رام من تلامیذ عبد القادر بیدل أورد شعره فی (گلشن- ص 37)</w:t>
      </w:r>
    </w:p>
    <w:p>
      <w:pPr>
        <w:pStyle w:val="Heading3"/>
      </w:pPr>
      <w:bookmarkStart w:id="1988" w:name="_Toc684"/>
      <w:r>
        <w:t>571- دیوان أمانی بایبورتی أو شعره‏</w:t>
      </w:r>
      <w:bookmarkEnd w:id="1988"/>
    </w:p>
    <w:p>
      <w:pPr>
        <w:pStyle w:val="BookText"/>
      </w:pPr>
      <w:r>
        <w:rPr>
          <w:rFonts w:ascii="IRNazanin" w:hAnsi="IRNazanin" w:eastAsia="IRNazanin" w:cs="IRNazanin"/>
          <w:lang w:bidi="fa-IR"/>
          <w:color w:val="111111"/>
          <w:sz w:val="28"/>
          <w:szCs w:val="28"/>
          <w:rtl/>
        </w:rPr>
        <w:t xml:space="preserve">من أهل بایبورت قصبة فی شمال شرقی آسیا الصغری، و اسمه محمد بیک کان حاکم یزد و کان یعرض شعره علی الصادقی فذکره فی (خص- ص 37) و أورد شعره بالترکیة</w:t>
      </w:r>
    </w:p>
    <w:p>
      <w:pPr>
        <w:pStyle w:val="Heading3"/>
      </w:pPr>
      <w:bookmarkStart w:id="1989" w:name="_Toc685"/>
      <w:r>
        <w:t>572- دیوان أمانی کابلی أو شعره‏</w:t>
      </w:r>
      <w:bookmarkEnd w:id="1989"/>
    </w:p>
    <w:p>
      <w:pPr>
        <w:pStyle w:val="BookText"/>
      </w:pPr>
      <w:r>
        <w:rPr>
          <w:rFonts w:ascii="IRNazanin" w:hAnsi="IRNazanin" w:eastAsia="IRNazanin" w:cs="IRNazanin"/>
          <w:lang w:bidi="fa-IR"/>
          <w:color w:val="111111"/>
          <w:sz w:val="28"/>
          <w:szCs w:val="28"/>
          <w:rtl/>
        </w:rPr>
        <w:t xml:space="preserve">و یعرف هو بمیر أمانی، من سادات کابل، أستاذ فی نظم مواد التاریخ نزل الهند فی (981) فی عهد أکبر شاه، و مات بجونپور أورد شعره فی (گلشن- ص 37) و قال فی (تغ- 19) إنه توفی (1047)</w:t>
      </w:r>
    </w:p>
    <w:p>
      <w:pPr>
        <w:pStyle w:val="Heading3"/>
      </w:pPr>
      <w:bookmarkStart w:id="1990" w:name="_Toc686"/>
      <w:r>
        <w:t>573- دیوان أمانی کرمانی‏</w:t>
      </w:r>
      <w:bookmarkEnd w:id="1990"/>
    </w:p>
    <w:p>
      <w:pPr>
        <w:pStyle w:val="BookText"/>
      </w:pPr>
      <w:r>
        <w:rPr>
          <w:rFonts w:ascii="IRNazanin" w:hAnsi="IRNazanin" w:eastAsia="IRNazanin" w:cs="IRNazanin"/>
          <w:lang w:bidi="fa-IR"/>
          <w:color w:val="111111"/>
          <w:sz w:val="28"/>
          <w:szCs w:val="28"/>
          <w:rtl/>
        </w:rPr>
        <w:t xml:space="preserve">هو ملا عبد الله سافر إلی الهند و تقرب عند میر جملة الشهرستانی، و عاد إلی أصفهان ذا مکنة، و نظم تاریخ وفاة الداماد فی (1041) و دیوانه یشتمل علی عشرة آلاف بیت، کذا فی (نر- ص 309 و 482) و (گلشن- ص 37)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94" w:name="pg11704_121571"/>
    <w:bookmarkEnd w:id="94"/>
    <w:p>
      <w:pPr>
        <w:pStyle w:val="Heading3"/>
      </w:pPr>
      <w:bookmarkStart w:id="1991" w:name="_Toc687"/>
      <w:r>
        <w:t>574- دیوان أمانی مازندرانی أو شعره‏</w:t>
      </w:r>
      <w:bookmarkEnd w:id="1991"/>
    </w:p>
    <w:p>
      <w:pPr>
        <w:pStyle w:val="BookText"/>
      </w:pPr>
      <w:r>
        <w:rPr>
          <w:rFonts w:ascii="IRNazanin" w:hAnsi="IRNazanin" w:eastAsia="IRNazanin" w:cs="IRNazanin"/>
          <w:lang w:bidi="fa-IR"/>
          <w:color w:val="111111"/>
          <w:sz w:val="28"/>
          <w:szCs w:val="28"/>
          <w:rtl/>
        </w:rPr>
        <w:t xml:space="preserve">ذکر المستر براون فی تاریخ أدبیات ایران (ج 4- ص 167 و 172) إنه توفی (1061)</w:t>
      </w:r>
    </w:p>
    <w:p>
      <w:pPr>
        <w:pStyle w:val="Heading3"/>
      </w:pPr>
      <w:bookmarkStart w:id="1992" w:name="_Toc688"/>
      <w:r>
        <w:t>575- دیوان أمانی میخچه أو شعره‏</w:t>
      </w:r>
      <w:bookmarkEnd w:id="1992"/>
    </w:p>
    <w:p>
      <w:pPr>
        <w:pStyle w:val="BookText"/>
      </w:pPr>
      <w:r>
        <w:rPr>
          <w:rFonts w:ascii="IRNazanin" w:hAnsi="IRNazanin" w:eastAsia="IRNazanin" w:cs="IRNazanin"/>
          <w:lang w:bidi="fa-IR"/>
          <w:color w:val="111111"/>
          <w:sz w:val="28"/>
          <w:szCs w:val="28"/>
          <w:rtl/>
        </w:rPr>
        <w:t xml:space="preserve">هو المیرزا أمانی المعروف بمیر میخچه أورد له رباعیة فی تاریخ فوت سلطان جغتای فی (953) فی (نر- ص 470)</w:t>
      </w:r>
    </w:p>
    <w:p>
      <w:pPr>
        <w:pStyle w:val="Heading3"/>
      </w:pPr>
      <w:bookmarkStart w:id="1993" w:name="_Toc689"/>
      <w:r>
        <w:t>576- دیوان أمانی همدانی أو شعره‏</w:t>
      </w:r>
      <w:bookmarkEnd w:id="1993"/>
    </w:p>
    <w:p>
      <w:pPr>
        <w:pStyle w:val="BookText"/>
      </w:pPr>
      <w:r>
        <w:rPr>
          <w:rFonts w:ascii="IRNazanin" w:hAnsi="IRNazanin" w:eastAsia="IRNazanin" w:cs="IRNazanin"/>
          <w:lang w:bidi="fa-IR"/>
          <w:color w:val="111111"/>
          <w:sz w:val="28"/>
          <w:szCs w:val="28"/>
          <w:rtl/>
        </w:rPr>
        <w:t xml:space="preserve">قال فی (خص- ص 271) إنه یشتغل بگلکاری و أورد مطلع غزله‏</w:t>
      </w:r>
    </w:p>
    <w:p>
      <w:pPr>
        <w:pStyle w:val="Heading3"/>
      </w:pPr>
      <w:bookmarkStart w:id="1994" w:name="_Toc690"/>
      <w:r>
        <w:t>577- دیوان أمانی هندی‏</w:t>
      </w:r>
      <w:bookmarkEnd w:id="1994"/>
    </w:p>
    <w:p>
      <w:pPr>
        <w:pStyle w:val="BookText"/>
      </w:pPr>
      <w:r>
        <w:rPr>
          <w:rFonts w:ascii="IRNazanin" w:hAnsi="IRNazanin" w:eastAsia="IRNazanin" w:cs="IRNazanin"/>
          <w:lang w:bidi="fa-IR"/>
          <w:color w:val="111111"/>
          <w:sz w:val="28"/>
          <w:szCs w:val="28"/>
          <w:rtl/>
        </w:rPr>
        <w:t xml:space="preserve">و هو المیر أمان الله بن مهابت خان سپهسالار من أمراء شاه‏جهان ترجمه معاصره فی (نر- ص 59) و أورد شعره و قال فی (سرخوش- ص 4) إن دیوانه لطیف و کان له ید فی علم الطب أیضا</w:t>
      </w:r>
    </w:p>
    <w:p>
      <w:pPr>
        <w:pStyle w:val="Heading3"/>
      </w:pPr>
      <w:bookmarkStart w:id="1995" w:name="_Toc691"/>
      <w:r>
        <w:t>578- دیوان أمانی هندی أو شعره‏</w:t>
      </w:r>
      <w:bookmarkEnd w:id="1995"/>
    </w:p>
    <w:p>
      <w:pPr>
        <w:pStyle w:val="BookText"/>
      </w:pPr>
      <w:r>
        <w:rPr>
          <w:rFonts w:ascii="IRNazanin" w:hAnsi="IRNazanin" w:eastAsia="IRNazanin" w:cs="IRNazanin"/>
          <w:lang w:bidi="fa-IR"/>
          <w:color w:val="111111"/>
          <w:sz w:val="28"/>
          <w:szCs w:val="28"/>
          <w:rtl/>
        </w:rPr>
        <w:t xml:space="preserve">و هو الشیخ أمان الله الدهلوی ترجمه فی (روشن- ص 71) عن نگارستان سخن و أورد شعره‏</w:t>
      </w:r>
    </w:p>
    <w:p>
      <w:pPr>
        <w:pStyle w:val="Heading3"/>
      </w:pPr>
      <w:bookmarkStart w:id="1996" w:name="_Toc692"/>
      <w:r>
        <w:t>579- دیوان أمتی تربتی خراسانی‏</w:t>
      </w:r>
      <w:bookmarkEnd w:id="1996"/>
    </w:p>
    <w:p>
      <w:pPr>
        <w:pStyle w:val="BookText"/>
      </w:pPr>
      <w:r>
        <w:rPr>
          <w:rFonts w:ascii="IRNazanin" w:hAnsi="IRNazanin" w:eastAsia="IRNazanin" w:cs="IRNazanin"/>
          <w:lang w:bidi="fa-IR"/>
          <w:color w:val="111111"/>
          <w:sz w:val="28"/>
          <w:szCs w:val="28"/>
          <w:rtl/>
        </w:rPr>
        <w:t xml:space="preserve">و هو إبراهیم أمتی من أمراء السلطان حسین میرزا گورکان و معتمدیه و قد مدح القاضی سلطان حاکم مشهد خراسان فی عصر الشاه عباس الأول الصفوی و ترجمه فی (نر- ص 261) و (گلشن- ص 38) و عنهما أخذ قاموس الأعلام الترکیة فریحانة الأدب و أورد و أشعره راجع دیوان أمنی‏</w:t>
      </w:r>
    </w:p>
    <w:p>
      <w:pPr>
        <w:pStyle w:val="Heading3"/>
      </w:pPr>
      <w:bookmarkStart w:id="1997" w:name="_Toc693"/>
      <w:r>
        <w:t>580- دیوان امتیاز هندی أو شعره‏</w:t>
      </w:r>
      <w:bookmarkEnd w:id="1997"/>
    </w:p>
    <w:p>
      <w:pPr>
        <w:pStyle w:val="BookText"/>
      </w:pPr>
      <w:r>
        <w:rPr>
          <w:rFonts w:ascii="IRNazanin" w:hAnsi="IRNazanin" w:eastAsia="IRNazanin" w:cs="IRNazanin"/>
          <w:lang w:bidi="fa-IR"/>
          <w:color w:val="111111"/>
          <w:sz w:val="28"/>
          <w:szCs w:val="28"/>
          <w:rtl/>
        </w:rPr>
        <w:t xml:space="preserve">هو المیر محسن المدراسی مات فی (1190) أورد شعره فی (گلشن- 38)</w:t>
      </w:r>
    </w:p>
    <w:p>
      <w:pPr>
        <w:pStyle w:val="Heading3"/>
      </w:pPr>
      <w:bookmarkStart w:id="1998" w:name="_Toc694"/>
      <w:r>
        <w:t>581- دیوان إمداد بلگرامی أو شعره‏</w:t>
      </w:r>
      <w:bookmarkEnd w:id="1998"/>
    </w:p>
    <w:p>
      <w:pPr>
        <w:pStyle w:val="BookText"/>
      </w:pPr>
      <w:r>
        <w:rPr>
          <w:rFonts w:ascii="IRNazanin" w:hAnsi="IRNazanin" w:eastAsia="IRNazanin" w:cs="IRNazanin"/>
          <w:lang w:bidi="fa-IR"/>
          <w:color w:val="111111"/>
          <w:sz w:val="28"/>
          <w:szCs w:val="28"/>
          <w:rtl/>
        </w:rPr>
        <w:t xml:space="preserve">و اسمه إمداد علی أورد شعره فی (گلشن- ص 38)</w:t>
      </w:r>
    </w:p>
    <w:p>
      <w:pPr>
        <w:pStyle w:val="Heading3"/>
      </w:pPr>
      <w:bookmarkStart w:id="1999" w:name="_Toc695"/>
      <w:r>
        <w:t>582- دیوان إمداد لکهنوی أو شعره‏</w:t>
      </w:r>
      <w:bookmarkEnd w:id="1999"/>
    </w:p>
    <w:p>
      <w:pPr>
        <w:pStyle w:val="BookText"/>
      </w:pPr>
      <w:r>
        <w:rPr>
          <w:rFonts w:ascii="IRNazanin" w:hAnsi="IRNazanin" w:eastAsia="IRNazanin" w:cs="IRNazanin"/>
          <w:lang w:bidi="fa-IR"/>
          <w:color w:val="111111"/>
          <w:sz w:val="28"/>
          <w:szCs w:val="28"/>
          <w:rtl/>
        </w:rPr>
        <w:t xml:space="preserve">و اسمه إمداد الله خان بن کفایت الله خان الرامپوری ساکن لکهنو أورد شعره فی (روشن- ص 71)</w:t>
      </w:r>
    </w:p>
    <w:p>
      <w:pPr>
        <w:pStyle w:val="Heading3"/>
      </w:pPr>
      <w:bookmarkStart w:id="2000" w:name="_Toc696"/>
      <w:r>
        <w:t>583- دیوان أمری الشیرازی‏</w:t>
      </w:r>
      <w:bookmarkEnd w:id="2000"/>
    </w:p>
    <w:p>
      <w:pPr>
        <w:pStyle w:val="BookText"/>
      </w:pPr>
      <w:r>
        <w:rPr>
          <w:rFonts w:ascii="IRNazanin" w:hAnsi="IRNazanin" w:eastAsia="IRNazanin" w:cs="IRNazanin"/>
          <w:lang w:bidi="fa-IR"/>
          <w:color w:val="111111"/>
          <w:sz w:val="28"/>
          <w:szCs w:val="28"/>
          <w:rtl/>
        </w:rPr>
        <w:t xml:space="preserve">و اسمه قاسم کان له الید الطولی فی العلوم الغریبة ترجمه فی ریاض العارفین (ص 284) و ذکر اتهامه من أعدائه بالزندقة حتی کحله الشاه طهماسب (932) و استشهد بید العوام (999) و ذکر جملة من أشعاره منها ما إنشاؤه عند شهادته و أرسله إلی معاصره الخواجة محمود الدهدار و الظاهر اتحاده مع رقم 619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95" w:name="pg11704_121572"/>
    <w:bookmarkEnd w:id="95"/>
    <w:p>
      <w:pPr>
        <w:pStyle w:val="Heading3"/>
      </w:pPr>
      <w:bookmarkStart w:id="2001" w:name="_Toc697"/>
      <w:r>
        <w:t>584- دیوان أمری برسوی‏</w:t>
      </w:r>
      <w:bookmarkEnd w:id="2001"/>
    </w:p>
    <w:p>
      <w:pPr>
        <w:pStyle w:val="BookText"/>
      </w:pPr>
      <w:r>
        <w:rPr>
          <w:rFonts w:ascii="IRNazanin" w:hAnsi="IRNazanin" w:eastAsia="IRNazanin" w:cs="IRNazanin"/>
          <w:lang w:bidi="fa-IR"/>
          <w:color w:val="111111"/>
          <w:sz w:val="28"/>
          <w:szCs w:val="28"/>
          <w:rtl/>
        </w:rPr>
        <w:t xml:space="preserve">بالترکیة توجد نسخته فی المدرسة الإسلامیة بالموصل کتبت (1022)</w:t>
      </w:r>
    </w:p>
    <w:p>
      <w:pPr>
        <w:pStyle w:val="Heading3"/>
      </w:pPr>
      <w:bookmarkStart w:id="2002" w:name="_Toc698"/>
      <w:r>
        <w:t>585- دیوان أم نزار الملائکة</w:t>
      </w:r>
      <w:bookmarkEnd w:id="2002"/>
    </w:p>
    <w:p>
      <w:pPr>
        <w:pStyle w:val="BookText"/>
      </w:pPr>
      <w:r>
        <w:rPr>
          <w:rFonts w:ascii="IRNazanin" w:hAnsi="IRNazanin" w:eastAsia="IRNazanin" w:cs="IRNazanin"/>
          <w:lang w:bidi="fa-IR"/>
          <w:color w:val="111111"/>
          <w:sz w:val="28"/>
          <w:szCs w:val="28"/>
          <w:rtl/>
        </w:rPr>
        <w:t xml:space="preserve">و هی بنت عبد الرزاق بن الشیخ محمد حسن کبة البغدادی، و زوجة صادق الملائکة الآتی دیوانه أیضا ولدت (1326) رأیت الدیوان بخط زوجها صادق الملائکة و یأتی دیوان ابنتهما نازک الملائکة</w:t>
      </w:r>
    </w:p>
    <w:p>
      <w:pPr>
        <w:pStyle w:val="Heading3"/>
      </w:pPr>
      <w:bookmarkStart w:id="2003" w:name="_Toc699"/>
      <w:r>
        <w:t>586- دیوان أمنی تبریزی‏</w:t>
      </w:r>
      <w:bookmarkEnd w:id="2003"/>
    </w:p>
    <w:p>
      <w:pPr>
        <w:pStyle w:val="BookText"/>
      </w:pPr>
      <w:r>
        <w:rPr>
          <w:rFonts w:ascii="IRNazanin" w:hAnsi="IRNazanin" w:eastAsia="IRNazanin" w:cs="IRNazanin"/>
          <w:lang w:bidi="fa-IR"/>
          <w:color w:val="111111"/>
          <w:sz w:val="28"/>
          <w:szCs w:val="28"/>
          <w:rtl/>
        </w:rPr>
        <w:t xml:space="preserve">و اسمه المیرزا محمد کان معاصرا لصادقی کتاب دار (المولود 940) فترجمه فی (خص- ص 278) و قال إنه تمم دیوانه، ثم أورد شعره و فی (روشن- ص 71) اشتبه بینه و بین أمتی تربتی المذکور آنفا فسماهما أمنی یزدی و هو الذی قتله الأزبک فی (941)</w:t>
      </w:r>
    </w:p>
    <w:p>
      <w:pPr>
        <w:pStyle w:val="Heading3"/>
      </w:pPr>
      <w:bookmarkStart w:id="2004" w:name="_Toc700"/>
      <w:r>
        <w:t>587- دیوان أم هانی أو شعره‏</w:t>
      </w:r>
      <w:bookmarkEnd w:id="2004"/>
    </w:p>
    <w:p>
      <w:pPr>
        <w:pStyle w:val="BookText"/>
      </w:pPr>
      <w:r>
        <w:rPr>
          <w:rFonts w:ascii="IRNazanin" w:hAnsi="IRNazanin" w:eastAsia="IRNazanin" w:cs="IRNazanin"/>
          <w:lang w:bidi="fa-IR"/>
          <w:color w:val="111111"/>
          <w:sz w:val="28"/>
          <w:szCs w:val="28"/>
          <w:rtl/>
        </w:rPr>
        <w:t xml:space="preserve">و هی بنت الحاج عبد الرحیم خان بیگلر بیگی یزد کانت فاضلة أدیبة ما تزوجت الا أخیرا و ماتت بلا عقب نقل فی (تش یز- ص 275) عن أحفاد أخیها أن أشعارها توجد فی ظهر کتب وقفتها و أورد غزلا لها علی طریقة یک و دو</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خال به کنج لب یکی طره مشک‏فام دو</w:t>
      </w:r>
    </w:p>
    <w:p>
      <w:pPr>
        <w:pStyle w:val="BookText"/>
      </w:pPr>
      <w:r>
        <w:rPr>
          <w:rFonts w:ascii="IRNazanin" w:hAnsi="IRNazanin" w:eastAsia="IRNazanin" w:cs="IRNazanin"/>
          <w:lang w:bidi="fa-IR"/>
          <w:color w:val="111111"/>
          <w:sz w:val="28"/>
          <w:szCs w:val="28"/>
          <w:rtl/>
        </w:rPr>
        <w:t xml:space="preserve">وای بحال مرغ دل دانه یکی و دام دو</w:t>
      </w:r>
    </w:p>
    <w:p>
      <w:pPr>
        <w:pStyle w:val="BookText"/>
      </w:pPr>
      <w:r>
        <w:rPr>
          <w:rFonts w:ascii="IRNazanin" w:hAnsi="IRNazanin" w:eastAsia="IRNazanin" w:cs="IRNazanin"/>
          <w:lang w:bidi="fa-IR"/>
          <w:color w:val="111111"/>
          <w:sz w:val="28"/>
          <w:szCs w:val="28"/>
          <w:rtl/>
        </w:rPr>
        <w:t xml:space="preserve">و قد استقبلها فی هذا الغزل دوست علی خان ابرقوهی و أول غزله:</w:t>
      </w:r>
    </w:p>
    <w:p>
      <w:pPr>
        <w:pStyle w:val="BookText"/>
      </w:pPr>
      <w:r>
        <w:rPr>
          <w:rFonts w:ascii="IRNazanin" w:hAnsi="IRNazanin" w:eastAsia="IRNazanin" w:cs="IRNazanin"/>
          <w:lang w:bidi="fa-IR"/>
          <w:color w:val="111111"/>
          <w:sz w:val="28"/>
          <w:szCs w:val="28"/>
          <w:rtl/>
        </w:rPr>
        <w:t xml:space="preserve">غیر دو زلف آن صنم بر رخ دل‏فریب أو</w:t>
      </w:r>
    </w:p>
    <w:p>
      <w:pPr>
        <w:pStyle w:val="BookText"/>
      </w:pPr>
      <w:r>
        <w:rPr>
          <w:rFonts w:ascii="IRNazanin" w:hAnsi="IRNazanin" w:eastAsia="IRNazanin" w:cs="IRNazanin"/>
          <w:lang w:bidi="fa-IR"/>
          <w:color w:val="111111"/>
          <w:sz w:val="28"/>
          <w:szCs w:val="28"/>
          <w:rtl/>
        </w:rPr>
        <w:t xml:space="preserve">کس نشنیده در جهان صبح یکی و شام دو</w:t>
      </w:r>
    </w:p>
    <w:p>
      <w:pPr>
        <w:pStyle w:val="BookText"/>
      </w:pPr>
      <w:r>
        <w:rPr>
          <w:rFonts w:ascii="IRNazanin" w:hAnsi="IRNazanin" w:eastAsia="IRNazanin" w:cs="IRNazanin"/>
          <w:lang w:bidi="fa-IR"/>
          <w:color w:val="111111"/>
          <w:sz w:val="28"/>
          <w:szCs w:val="28"/>
          <w:rtl/>
        </w:rPr>
        <w:t xml:space="preserve">قال آیتی و قد ینسب غلطا، غزل یک و دو لأم هانی إلی قرة العین القزوینیة أقول غزل یک و دو قدیم أورد منه میر علی شیر غزلا لمفلسی فی (مجن- 29- 30) أوله:</w:t>
      </w:r>
    </w:p>
    <w:p>
      <w:pPr>
        <w:pStyle w:val="BookText"/>
      </w:pPr>
      <w:r>
        <w:rPr>
          <w:rFonts w:ascii="IRNazanin" w:hAnsi="IRNazanin" w:eastAsia="IRNazanin" w:cs="IRNazanin"/>
          <w:lang w:bidi="fa-IR"/>
          <w:color w:val="111111"/>
          <w:sz w:val="28"/>
          <w:szCs w:val="28"/>
          <w:rtl/>
        </w:rPr>
        <w:t xml:space="preserve">ای ورق رخ ترا میم یکی و لام دو</w:t>
      </w:r>
    </w:p>
    <w:p>
      <w:pPr>
        <w:pStyle w:val="BookText"/>
      </w:pPr>
      <w:r>
        <w:rPr>
          <w:rFonts w:ascii="IRNazanin" w:hAnsi="IRNazanin" w:eastAsia="IRNazanin" w:cs="IRNazanin"/>
          <w:lang w:bidi="fa-IR"/>
          <w:color w:val="111111"/>
          <w:sz w:val="28"/>
          <w:szCs w:val="28"/>
          <w:rtl/>
        </w:rPr>
        <w:t xml:space="preserve">وز رخ و زلف تو مرا صبح یکی و شام دو</w:t>
      </w:r>
    </w:p>
    <w:p>
      <w:pPr>
        <w:pStyle w:val="BookText"/>
      </w:pPr>
      <w:r>
        <w:rPr>
          <w:rFonts w:ascii="IRNazanin" w:hAnsi="IRNazanin" w:eastAsia="IRNazanin" w:cs="IRNazanin"/>
          <w:lang w:bidi="fa-IR"/>
          <w:color w:val="111111"/>
          <w:sz w:val="28"/>
          <w:szCs w:val="28"/>
          <w:rtl/>
        </w:rPr>
        <w:t xml:space="preserve">راجع دیوان یک و دو (ع م)</w:t>
      </w:r>
    </w:p>
    <w:p>
      <w:pPr>
        <w:pStyle w:val="Heading3"/>
      </w:pPr>
      <w:bookmarkStart w:id="2005" w:name="_Toc701"/>
      <w:r>
        <w:t>588- دیوان أمی شیرازی أو شعره‏</w:t>
      </w:r>
      <w:bookmarkEnd w:id="2005"/>
    </w:p>
    <w:p>
      <w:pPr>
        <w:pStyle w:val="BookText"/>
      </w:pPr>
      <w:r>
        <w:rPr>
          <w:rFonts w:ascii="IRNazanin" w:hAnsi="IRNazanin" w:eastAsia="IRNazanin" w:cs="IRNazanin"/>
          <w:lang w:bidi="fa-IR"/>
          <w:color w:val="111111"/>
          <w:sz w:val="28"/>
          <w:szCs w:val="28"/>
          <w:rtl/>
        </w:rPr>
        <w:t xml:space="preserve">قال فی (روشن- ص 71) إنه ما کان یعلم الکتابة و القراءة جاء إلی الهند فی عهد شاه‏جهان و رجع إلی وطنه‏</w:t>
      </w:r>
    </w:p>
    <w:p>
      <w:pPr>
        <w:pStyle w:val="Heading3"/>
      </w:pPr>
      <w:bookmarkStart w:id="2006" w:name="_Toc702"/>
      <w:r>
        <w:t>589- دیوان أمید بلخی أو شعره‏</w:t>
      </w:r>
      <w:bookmarkEnd w:id="2006"/>
    </w:p>
    <w:p>
      <w:pPr>
        <w:pStyle w:val="BookText"/>
      </w:pPr>
      <w:r>
        <w:rPr>
          <w:rFonts w:ascii="IRNazanin" w:hAnsi="IRNazanin" w:eastAsia="IRNazanin" w:cs="IRNazanin"/>
          <w:lang w:bidi="fa-IR"/>
          <w:color w:val="111111"/>
          <w:sz w:val="28"/>
          <w:szCs w:val="28"/>
          <w:rtl/>
        </w:rPr>
        <w:t xml:space="preserve">اسمه هو میرزا امتیاز و کان من أکابر بلخ و بها توفی کما فی (گلشن- ص 38)</w:t>
      </w:r>
    </w:p>
    <w:p>
      <w:pPr>
        <w:pStyle w:val="Heading3"/>
      </w:pPr>
      <w:bookmarkStart w:id="2007" w:name="_Toc703"/>
      <w:r>
        <w:t>590- دیوان أمید طوسی‏</w:t>
      </w:r>
      <w:bookmarkEnd w:id="2007"/>
    </w:p>
    <w:p>
      <w:pPr>
        <w:pStyle w:val="BookText"/>
      </w:pPr>
      <w:r>
        <w:rPr>
          <w:rFonts w:ascii="IRNazanin" w:hAnsi="IRNazanin" w:eastAsia="IRNazanin" w:cs="IRNazanin"/>
          <w:lang w:bidi="fa-IR"/>
          <w:color w:val="111111"/>
          <w:sz w:val="28"/>
          <w:szCs w:val="28"/>
          <w:rtl/>
        </w:rPr>
        <w:t xml:space="preserve">و اسمه حسن بن محمد الحسینی الطوسی الشاه نعمةاللهی توجد له منظومة قدسیة فی (الرضویة)</w:t>
      </w:r>
    </w:p>
    <w:p>
      <w:pPr>
        <w:pStyle w:val="Heading3"/>
      </w:pPr>
      <w:bookmarkStart w:id="2008" w:name="_Toc704"/>
      <w:r>
        <w:t>591- دیوان أمید کرمانشاهی‏</w:t>
      </w:r>
      <w:bookmarkEnd w:id="2008"/>
    </w:p>
    <w:p>
      <w:pPr>
        <w:pStyle w:val="BookText"/>
      </w:pPr>
      <w:r>
        <w:rPr>
          <w:rFonts w:ascii="IRNazanin" w:hAnsi="IRNazanin" w:eastAsia="IRNazanin" w:cs="IRNazanin"/>
          <w:lang w:bidi="fa-IR"/>
          <w:color w:val="111111"/>
          <w:sz w:val="28"/>
          <w:szCs w:val="28"/>
          <w:rtl/>
        </w:rPr>
        <w:t xml:space="preserve">و هو عباس الشاعر نزیل طهران ترجمه فی (مع- ص 68- ج 2) و صرح بحیاته (حدود 1275) و أورد أکثر من (150 بیتا) من شعره‏ )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96" w:name="pg11704_121573"/>
    <w:bookmarkEnd w:id="96"/>
    <w:p>
      <w:pPr>
        <w:pStyle w:val="BookText"/>
      </w:pPr>
      <w:r>
        <w:rPr>
          <w:rFonts w:ascii="IRNazanin" w:hAnsi="IRNazanin" w:eastAsia="IRNazanin" w:cs="IRNazanin"/>
          <w:lang w:bidi="fa-IR"/>
          <w:color w:val="111111"/>
          <w:sz w:val="28"/>
          <w:szCs w:val="28"/>
          <w:rtl/>
        </w:rPr>
        <w:t xml:space="preserve">و ترجمه فی مدائح معتمدیة ضمن من مدحوا منوچهر خان گرجی حاکم أصفهان فی سنوات (1240 إلی 1263) و قال إنه مازندرانی الأصل‏</w:t>
      </w:r>
    </w:p>
    <w:p>
      <w:pPr>
        <w:pStyle w:val="Heading3"/>
      </w:pPr>
      <w:bookmarkStart w:id="2009" w:name="_Toc705"/>
      <w:r>
        <w:t>592- دیوان أمید نهاوندی‏</w:t>
      </w:r>
      <w:bookmarkEnd w:id="2009"/>
    </w:p>
    <w:p>
      <w:pPr>
        <w:pStyle w:val="BookText"/>
      </w:pPr>
      <w:r>
        <w:rPr>
          <w:rFonts w:ascii="IRNazanin" w:hAnsi="IRNazanin" w:eastAsia="IRNazanin" w:cs="IRNazanin"/>
          <w:lang w:bidi="fa-IR"/>
          <w:color w:val="111111"/>
          <w:sz w:val="28"/>
          <w:szCs w:val="28"/>
          <w:rtl/>
        </w:rPr>
        <w:t xml:space="preserve">و هو المیرزا أبو الحسن، من شعراء فتح علی شاه و لقبه هو بخان، و کان ندیم محمود میرزا ابن فتح علی شاه و کتاب دار مکتبته حین کان هذا حاکم نهاوند قبل (1249) و کان مرید مجذوب علی شاه (المتوفی 1239) فمدحه، و مدح أیضا محمد شاه قاجار (المتوفی 1264) و لم یمدح ناصر الدین شاه و لعله لم یر جلوسه ترجمه فی (مع- ج 2 ص 71) و قال إن دیوانه فی خمسة آلاف بیت، و لکن نسخته الموجودة بمکتبة المجلس لا یزید علی (2500 بیت) کما فی فهرسه (ج 3 ص 230)</w:t>
      </w:r>
    </w:p>
    <w:p>
      <w:pPr>
        <w:pStyle w:val="Heading3"/>
      </w:pPr>
      <w:bookmarkStart w:id="2010" w:name="_Toc706"/>
      <w:r>
        <w:t>593- دیوان أمید هروی أو شعره‏</w:t>
      </w:r>
      <w:bookmarkEnd w:id="2010"/>
    </w:p>
    <w:p>
      <w:pPr>
        <w:pStyle w:val="BookText"/>
      </w:pPr>
      <w:r>
        <w:rPr>
          <w:rFonts w:ascii="IRNazanin" w:hAnsi="IRNazanin" w:eastAsia="IRNazanin" w:cs="IRNazanin"/>
          <w:lang w:bidi="fa-IR"/>
          <w:color w:val="111111"/>
          <w:sz w:val="28"/>
          <w:szCs w:val="28"/>
          <w:rtl/>
        </w:rPr>
        <w:t xml:space="preserve">أورد بعض شعره فی (روشن- ص 71)</w:t>
      </w:r>
    </w:p>
    <w:p>
      <w:pPr>
        <w:pStyle w:val="Heading3"/>
      </w:pPr>
      <w:bookmarkStart w:id="2011" w:name="_Toc707"/>
      <w:r>
        <w:t>594- دیوان أمید همدانی‏</w:t>
      </w:r>
      <w:bookmarkEnd w:id="2011"/>
    </w:p>
    <w:p>
      <w:pPr>
        <w:pStyle w:val="BookText"/>
      </w:pPr>
      <w:r>
        <w:rPr>
          <w:rFonts w:ascii="IRNazanin" w:hAnsi="IRNazanin" w:eastAsia="IRNazanin" w:cs="IRNazanin"/>
          <w:lang w:bidi="fa-IR"/>
          <w:color w:val="111111"/>
          <w:sz w:val="28"/>
          <w:szCs w:val="28"/>
          <w:rtl/>
        </w:rPr>
        <w:t xml:space="preserve">و اسمه محمد رضا من تلامیذ میرزا طاهر وحید و المعاصر لنجات و فائض أبهری سافر من أصفهان إلی الهند و تقرب عند آصف جاه بدکن ثم شاه جهان‏آباد فمات بها (1159) أورد ذکره فی (تغ- ص 19) و قال فی (تش- ص 370) إن اسمه آقا رضا سافر فی عهد الشاه سلطان حسین إلی الهند و تلقب هناک بقزلباش خان و کان ماهرا فی الموسیقی و قد رأیت دیوانه‏</w:t>
      </w:r>
    </w:p>
    <w:p>
      <w:pPr>
        <w:pStyle w:val="Heading3"/>
      </w:pPr>
      <w:bookmarkStart w:id="2012" w:name="_Toc708"/>
      <w:r>
        <w:t>595- دیوان أمید هندی أو شعره‏</w:t>
      </w:r>
      <w:bookmarkEnd w:id="2012"/>
    </w:p>
    <w:p>
      <w:pPr>
        <w:pStyle w:val="BookText"/>
      </w:pPr>
      <w:r>
        <w:rPr>
          <w:rFonts w:ascii="IRNazanin" w:hAnsi="IRNazanin" w:eastAsia="IRNazanin" w:cs="IRNazanin"/>
          <w:lang w:bidi="fa-IR"/>
          <w:color w:val="111111"/>
          <w:sz w:val="28"/>
          <w:szCs w:val="28"/>
          <w:rtl/>
        </w:rPr>
        <w:t xml:space="preserve">للسید محمد جعفر بن منصف الدولة السید محمد باقر بن السید دلدار علی النقوی المتوفی (1293) ذکره السید علی نقی فی تذکرته‏</w:t>
      </w:r>
    </w:p>
    <w:p>
      <w:pPr>
        <w:pStyle w:val="Heading3"/>
      </w:pPr>
      <w:bookmarkStart w:id="2013" w:name="_Toc709"/>
      <w:r>
        <w:t>596- دیوان أمید هندی أو شعره‏</w:t>
      </w:r>
      <w:bookmarkEnd w:id="2013"/>
    </w:p>
    <w:p>
      <w:pPr>
        <w:pStyle w:val="BookText"/>
      </w:pPr>
      <w:r>
        <w:rPr>
          <w:rFonts w:ascii="IRNazanin" w:hAnsi="IRNazanin" w:eastAsia="IRNazanin" w:cs="IRNazanin"/>
          <w:lang w:bidi="fa-IR"/>
          <w:color w:val="111111"/>
          <w:sz w:val="28"/>
          <w:szCs w:val="28"/>
          <w:rtl/>
        </w:rPr>
        <w:t xml:space="preserve">و هو أمید علی خان بن جهان خان ناظم بلدة هو گلی و معاصر محمد صادق أختر مات فی أواسط المائة الثالث عشرة أورد شعره فی (روشن- ص 71)</w:t>
      </w:r>
    </w:p>
    <w:p>
      <w:pPr>
        <w:pStyle w:val="Heading3"/>
      </w:pPr>
      <w:bookmarkStart w:id="2014" w:name="_Toc710"/>
      <w:r>
        <w:t>597- دیوان أمیدی ترک‏</w:t>
      </w:r>
      <w:bookmarkEnd w:id="2014"/>
    </w:p>
    <w:p>
      <w:pPr>
        <w:pStyle w:val="BookText"/>
      </w:pPr>
      <w:r>
        <w:rPr>
          <w:rFonts w:ascii="IRNazanin" w:hAnsi="IRNazanin" w:eastAsia="IRNazanin" w:cs="IRNazanin"/>
          <w:lang w:bidi="fa-IR"/>
          <w:color w:val="111111"/>
          <w:sz w:val="28"/>
          <w:szCs w:val="28"/>
          <w:rtl/>
        </w:rPr>
        <w:t xml:space="preserve">قال فی کشف الظنون (ج 1 ص 504) إنه توفی (946) و دیوانه ترکی و له فی زبدة الأشعار (المؤلف 1023) تسعة عشر بیتا أقول هو موجود فی مکتبة السلطان عثمان الثالث بأستانبول کما ذکر فی فهرسها راجعه‏</w:t>
      </w:r>
    </w:p>
    <w:p>
      <w:pPr>
        <w:pStyle w:val="Heading3"/>
      </w:pPr>
      <w:bookmarkStart w:id="2015" w:name="_Toc711"/>
      <w:r>
        <w:t>598- دیوان أمیدی الطهرانی‏</w:t>
      </w:r>
      <w:bookmarkEnd w:id="2015"/>
    </w:p>
    <w:p>
      <w:pPr>
        <w:pStyle w:val="BookText"/>
      </w:pPr>
      <w:r>
        <w:rPr>
          <w:rFonts w:ascii="IRNazanin" w:hAnsi="IRNazanin" w:eastAsia="IRNazanin" w:cs="IRNazanin"/>
          <w:lang w:bidi="fa-IR"/>
          <w:color w:val="111111"/>
          <w:sz w:val="28"/>
          <w:szCs w:val="28"/>
          <w:rtl/>
        </w:rPr>
        <w:t xml:space="preserve">المولد و المدفن و هو الخواجة أرجاسب من فضلاء تلامیذ المولی المحقق جلال الدین الدوانی الذی توفی (907) و معاصر الشاه إسماعیل الفاتح الذی توفی (930) ترجمه فی (مع- ج 2 ص 7) و قال إن اسمه أرجاسب و قتل‏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7" w:name="pg11704_121574"/>
    <w:bookmarkEnd w:id="97"/>
    <w:p>
      <w:pPr>
        <w:pStyle w:val="BookText"/>
      </w:pPr>
      <w:r>
        <w:rPr>
          <w:rFonts w:ascii="IRNazanin" w:hAnsi="IRNazanin" w:eastAsia="IRNazanin" w:cs="IRNazanin"/>
          <w:lang w:bidi="fa-IR"/>
          <w:color w:val="111111"/>
          <w:sz w:val="28"/>
          <w:szCs w:val="28"/>
          <w:rtl/>
        </w:rPr>
        <w:t xml:space="preserve">بتحریک الشاه قوام الدین النوربخشی و نقل بعض قصائده فی مدیح الصفویة و وزرائهم و جملة من غزلیاته و نقل أیضا عن ساقی‏نامه له و کلها بالفارسیة و تخلصه فی آخر غزلیاته بیاء النسبة أمیدی‏</w:t>
      </w:r>
    </w:p>
    <w:p>
      <w:pPr>
        <w:pStyle w:val="BookText"/>
      </w:pPr>
      <w:r>
        <w:rPr>
          <w:rFonts w:ascii="IRNazanin" w:hAnsi="IRNazanin" w:eastAsia="IRNazanin" w:cs="IRNazanin"/>
          <w:lang w:bidi="fa-IR"/>
          <w:color w:val="111111"/>
          <w:sz w:val="28"/>
          <w:szCs w:val="28"/>
          <w:rtl/>
        </w:rPr>
        <w:t xml:space="preserve">ترنج غبغب أو را بود نهال بلند</w:t>
      </w:r>
    </w:p>
    <w:p>
      <w:pPr>
        <w:pStyle w:val="BookText"/>
      </w:pPr>
      <w:r>
        <w:rPr>
          <w:rFonts w:ascii="IRNazanin" w:hAnsi="IRNazanin" w:eastAsia="IRNazanin" w:cs="IRNazanin"/>
          <w:lang w:bidi="fa-IR"/>
          <w:color w:val="111111"/>
          <w:sz w:val="28"/>
          <w:szCs w:val="28"/>
          <w:rtl/>
        </w:rPr>
        <w:t xml:space="preserve">تو دست کوته امیدی چرا دراز کنی‏</w:t>
      </w:r>
    </w:p>
    <w:p>
      <w:pPr>
        <w:pStyle w:val="BookText"/>
      </w:pPr>
      <w:r>
        <w:rPr>
          <w:rFonts w:ascii="IRNazanin" w:hAnsi="IRNazanin" w:eastAsia="IRNazanin" w:cs="IRNazanin"/>
          <w:lang w:bidi="fa-IR"/>
          <w:color w:val="111111"/>
          <w:sz w:val="28"/>
          <w:szCs w:val="28"/>
          <w:rtl/>
        </w:rPr>
        <w:t xml:space="preserve">و لکن الخیابانی نقل عنه فی مواضع من کتابه وقایع الأیام بعنوان مولانا أمید طهرانی فالظاهر سقوط الیاء من قلمه و مما نقله عنه قوله:</w:t>
      </w:r>
    </w:p>
    <w:p>
      <w:pPr>
        <w:pStyle w:val="BookText"/>
      </w:pPr>
      <w:r>
        <w:rPr>
          <w:rFonts w:ascii="IRNazanin" w:hAnsi="IRNazanin" w:eastAsia="IRNazanin" w:cs="IRNazanin"/>
          <w:lang w:bidi="fa-IR"/>
          <w:color w:val="111111"/>
          <w:sz w:val="28"/>
          <w:szCs w:val="28"/>
          <w:rtl/>
        </w:rPr>
        <w:t xml:space="preserve">کتاب فضل تو را آب بحر کافی نیست‏</w:t>
      </w:r>
    </w:p>
    <w:p>
      <w:pPr>
        <w:pStyle w:val="BookText"/>
      </w:pPr>
      <w:r>
        <w:rPr>
          <w:rFonts w:ascii="IRNazanin" w:hAnsi="IRNazanin" w:eastAsia="IRNazanin" w:cs="IRNazanin"/>
          <w:lang w:bidi="fa-IR"/>
          <w:color w:val="111111"/>
          <w:sz w:val="28"/>
          <w:szCs w:val="28"/>
          <w:rtl/>
        </w:rPr>
        <w:t xml:space="preserve">که تر کنی سر انگشت و صفحه بشماری‏</w:t>
      </w:r>
    </w:p>
    <w:p>
      <w:pPr>
        <w:pStyle w:val="BookText"/>
      </w:pPr>
      <w:r>
        <w:rPr>
          <w:rFonts w:ascii="IRNazanin" w:hAnsi="IRNazanin" w:eastAsia="IRNazanin" w:cs="IRNazanin"/>
          <w:lang w:bidi="fa-IR"/>
          <w:color w:val="111111"/>
          <w:sz w:val="28"/>
          <w:szCs w:val="28"/>
          <w:rtl/>
        </w:rPr>
        <w:t xml:space="preserve">و أورد النصرآبادی جملة من معمیاته فی (نر 14- ص 526) أیضا بعنوان أمیدی و ترجمه بعنوان أمیدی أیضا فی (تس 5- ص 101) و قال إن أستاذه الدوانی غیر اسمه و سماه مسعود و قرأ أکثر الکتب المتداولة و أکثر الجد فی الطب بشیراز و فی الأخیر استقر بمولده طهران و أحدث هناک بستانا سماه باغ أمید و قتل مظلوما فی (925) و ترجمه شاه محمد القزوینی فی (بهش 2- ص 399) بعنوان أمیدی و ذکر اسمه أرجاسب و اسم أخیه لهراسب و ثالثهما گشتاسب و ذکر بعض قصیدته فی بیان أحوال نفسه فیما یز ید علی ثلاثمائة بیت و قد ترجمه فی (مجتس 3- ص 141) ضمن علماء الإسلام الذین نظموا الشعر بما لفظه: أفصح الفصحاء و أملح الشعراء رکن الإسلام و المسلمین سعد الدین مسعود الأمیدی ثم ذکر أنه کان یسمع فضله إلی أن تشرف بخدمته، و شعره یشبه شعر ابن یمین و هو الآن بدار الخلافة ری و له مزرعة بقریة طهران و ترجمه فی (تش- ص 210) و قال کان معاصرا للشاه إسماعیل و میله إلی القصیدة أکثر منه إلی الغزل، و قد نظم تاریخ قتله تلمیذه أفضل الطهرانی بقطعة فیها [آه از خون ناحق من آه 925] و لکن فی (نر 12- ص 471) سما هذا التلمیذ نامی طهرانی و ترجمه فی هفت إقلیم و میخانه- ص 126- 131) و طبع له ساقی‏نامه هناک و کله ستون بیتا و توجد بعض قصائده فی مجموعة بمکتبة (المجلس) کما فی فهرسها (ج 3 ص 661) و فی المتحف البریطانی کما فی فهرس ریو</w:t>
      </w:r>
    </w:p>
    <w:p>
      <w:pPr>
        <w:pStyle w:val="Heading3"/>
      </w:pPr>
      <w:bookmarkStart w:id="2016" w:name="_Toc712"/>
      <w:r>
        <w:t>599- دیوان أمیر بدخشانی أو شعره‏</w:t>
      </w:r>
      <w:bookmarkEnd w:id="2016"/>
    </w:p>
    <w:p>
      <w:pPr>
        <w:pStyle w:val="BookText"/>
      </w:pPr>
      <w:r>
        <w:rPr>
          <w:rFonts w:ascii="IRNazanin" w:hAnsi="IRNazanin" w:eastAsia="IRNazanin" w:cs="IRNazanin"/>
          <w:lang w:bidi="fa-IR"/>
          <w:color w:val="111111"/>
          <w:sz w:val="28"/>
          <w:szCs w:val="28"/>
          <w:rtl/>
        </w:rPr>
        <w:t xml:space="preserve">سماه کذلک القزوینی فی ترجمته لمجالس النفائس (قز مج 1- ص 193) و سماه الهروی بأمیری فی (لط 1- ص 18) و قالا: إن أکثر شعره‏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8" w:name="pg11704_121575"/>
    <w:bookmarkEnd w:id="98"/>
    <w:p>
      <w:pPr>
        <w:pStyle w:val="BookText"/>
      </w:pPr>
      <w:r>
        <w:rPr>
          <w:rFonts w:ascii="IRNazanin" w:hAnsi="IRNazanin" w:eastAsia="IRNazanin" w:cs="IRNazanin"/>
          <w:lang w:bidi="fa-IR"/>
          <w:color w:val="111111"/>
          <w:sz w:val="28"/>
          <w:szCs w:val="28"/>
          <w:rtl/>
        </w:rPr>
        <w:t xml:space="preserve">بالترکیة، و قد تتبع فی الفارسیة الشیخ کمال و أوردا مطلعین من غزله و قد دفن بأرهنگ و سر فی بدخشان‏</w:t>
      </w:r>
    </w:p>
    <w:p>
      <w:pPr>
        <w:pStyle w:val="Heading3"/>
      </w:pPr>
      <w:bookmarkStart w:id="2017" w:name="_Toc713"/>
      <w:r>
        <w:t>600- دیوان أمیر بیگ أصفهانی أو شعره‏</w:t>
      </w:r>
      <w:bookmarkEnd w:id="2017"/>
    </w:p>
    <w:p>
      <w:pPr>
        <w:pStyle w:val="BookText"/>
      </w:pPr>
      <w:r>
        <w:rPr>
          <w:rFonts w:ascii="IRNazanin" w:hAnsi="IRNazanin" w:eastAsia="IRNazanin" w:cs="IRNazanin"/>
          <w:lang w:bidi="fa-IR"/>
          <w:color w:val="111111"/>
          <w:sz w:val="28"/>
          <w:szCs w:val="28"/>
          <w:rtl/>
        </w:rPr>
        <w:t xml:space="preserve">قال فی (نر 9- ص 419) کان قصابا و عمر سبعین سنة، و تلمذ علی الحکیم شفائی و ترجمه أیضا فی (تش- ص 169) و (روشن- 72) و أورد و أشعره‏</w:t>
      </w:r>
    </w:p>
    <w:p>
      <w:pPr>
        <w:pStyle w:val="Heading3"/>
      </w:pPr>
      <w:bookmarkStart w:id="2018" w:name="_Toc714"/>
      <w:r>
        <w:t>601- دیوان أمیر بیگ نطنزی التبریزی‏</w:t>
      </w:r>
      <w:bookmarkEnd w:id="2018"/>
    </w:p>
    <w:p>
      <w:pPr>
        <w:pStyle w:val="BookText"/>
      </w:pPr>
      <w:r>
        <w:rPr>
          <w:rFonts w:ascii="IRNazanin" w:hAnsi="IRNazanin" w:eastAsia="IRNazanin" w:cs="IRNazanin"/>
          <w:lang w:bidi="fa-IR"/>
          <w:color w:val="111111"/>
          <w:sz w:val="28"/>
          <w:szCs w:val="28"/>
          <w:rtl/>
        </w:rPr>
        <w:t xml:space="preserve">الأصل ابن میر إبراهیم بن زکریا الکججی (من قرأ مهران‏رود بتبریز) من أحفاد غیاث الدین محو التبریزی و کان من رجال عهد طهماسب الصفوی الأول و مهردار الملک و کان وزیر بغداد ثم عزل و نفی إلی کرمان، ثم حبس بتهمة الزندقة بقلعة قهقة، ثم بقلعة الموت بقزوین حتی مات بها فی (983) کان عالما بالریاضیات و الطلسمات ترجمه فی (دجا- ص 51- 52) عن خلاصة الأشعار و أحسن التواریخ و تکملة الاخبار و ترجمه أیضا فی (تش- ص 27) و (گلشن- ص 38)</w:t>
      </w:r>
    </w:p>
    <w:p>
      <w:pPr>
        <w:pStyle w:val="Heading3"/>
      </w:pPr>
      <w:bookmarkStart w:id="2019" w:name="_Toc715"/>
      <w:r>
        <w:t>602- دیوان أمیر بیگ همدانی أو شعره‏</w:t>
      </w:r>
      <w:bookmarkEnd w:id="2019"/>
    </w:p>
    <w:p>
      <w:pPr>
        <w:pStyle w:val="BookText"/>
      </w:pPr>
      <w:r>
        <w:rPr>
          <w:rFonts w:ascii="IRNazanin" w:hAnsi="IRNazanin" w:eastAsia="IRNazanin" w:cs="IRNazanin"/>
          <w:lang w:bidi="fa-IR"/>
          <w:color w:val="111111"/>
          <w:sz w:val="28"/>
          <w:szCs w:val="28"/>
          <w:rtl/>
        </w:rPr>
        <w:t xml:space="preserve">کان ملازما لنجف قلی خان حاکم شیروان و بعد موته رجع إلی همدان ترجمه فی (نر 5- ص 146) و أورد شعره‏</w:t>
      </w:r>
    </w:p>
    <w:p>
      <w:pPr>
        <w:pStyle w:val="Heading3"/>
      </w:pPr>
      <w:bookmarkStart w:id="2020" w:name="_Toc716"/>
      <w:r>
        <w:t>603- دیوان أمیر بیگ یزدی أو شعره‏</w:t>
      </w:r>
      <w:bookmarkEnd w:id="2020"/>
    </w:p>
    <w:p>
      <w:pPr>
        <w:pStyle w:val="BookText"/>
      </w:pPr>
      <w:r>
        <w:rPr>
          <w:rFonts w:ascii="IRNazanin" w:hAnsi="IRNazanin" w:eastAsia="IRNazanin" w:cs="IRNazanin"/>
          <w:lang w:bidi="fa-IR"/>
          <w:color w:val="111111"/>
          <w:sz w:val="28"/>
          <w:szCs w:val="28"/>
          <w:rtl/>
        </w:rPr>
        <w:t xml:space="preserve">هو الأمیر خان بیگ بکشلو الشاعر بالترکیة و الفارسیة و العربیة ترجمه معاصره و أخوه فی الطریقة صادقی کتاب دار فی (خص 7- ص 119) و قال توفی بیزد و دفن فی مزارات برجی‏</w:t>
      </w:r>
    </w:p>
    <w:p>
      <w:pPr>
        <w:pStyle w:val="Heading3"/>
      </w:pPr>
      <w:bookmarkStart w:id="2021" w:name="_Toc717"/>
      <w:r>
        <w:t>دیوان أمیر بیگ أفشار</w:t>
      </w:r>
      <w:bookmarkEnd w:id="2021"/>
    </w:p>
    <w:p>
      <w:pPr>
        <w:pStyle w:val="BookText"/>
      </w:pPr>
      <w:r>
        <w:rPr>
          <w:rFonts w:ascii="IRNazanin" w:hAnsi="IRNazanin" w:eastAsia="IRNazanin" w:cs="IRNazanin"/>
          <w:lang w:bidi="fa-IR"/>
          <w:color w:val="111111"/>
          <w:sz w:val="28"/>
          <w:szCs w:val="28"/>
          <w:rtl/>
        </w:rPr>
        <w:t xml:space="preserve">یأتی بعنوان دیوان أمیری‏</w:t>
      </w:r>
    </w:p>
    <w:p>
      <w:pPr>
        <w:pStyle w:val="Heading3"/>
      </w:pPr>
      <w:bookmarkStart w:id="2022" w:name="_Toc718"/>
      <w:r>
        <w:t>604- دیوان أمیر الحاج الحسینی الجنابذی‏</w:t>
      </w:r>
      <w:bookmarkEnd w:id="2022"/>
    </w:p>
    <w:p>
      <w:pPr>
        <w:pStyle w:val="BookText"/>
      </w:pPr>
      <w:r>
        <w:rPr>
          <w:rFonts w:ascii="IRNazanin" w:hAnsi="IRNazanin" w:eastAsia="IRNazanin" w:cs="IRNazanin"/>
          <w:lang w:bidi="fa-IR"/>
          <w:color w:val="111111"/>
          <w:sz w:val="28"/>
          <w:szCs w:val="28"/>
          <w:rtl/>
        </w:rPr>
        <w:t xml:space="preserve">من السادة الجنابذیة لم یقبل من أحد شیئا ذکر بعض غزلیاته (تس 1- ص 25) المؤلف (957) و حکی حمل المیر علی شیر الوزیر جمیع أثاث البیت إلی حجرته و فرار السید عن تلک الحجرة و ترجمه القاضی فی (المجالس ص 507) و قال له نظم لیلی و مجنون و أورد بعض قصائده فی مدح الأمیر و الأئمة و فی آخر بعضها</w:t>
      </w:r>
    </w:p>
    <w:p>
      <w:pPr>
        <w:pStyle w:val="BookText"/>
      </w:pPr>
      <w:r>
        <w:rPr>
          <w:rFonts w:ascii="IRNazanin" w:hAnsi="IRNazanin" w:eastAsia="IRNazanin" w:cs="IRNazanin"/>
          <w:lang w:bidi="fa-IR"/>
          <w:color w:val="111111"/>
          <w:sz w:val="28"/>
          <w:szCs w:val="28"/>
          <w:rtl/>
        </w:rPr>
        <w:t xml:space="preserve">ای میر حاج بعد ثنای أئمة گو</w:t>
      </w:r>
    </w:p>
    <w:p>
      <w:pPr>
        <w:pStyle w:val="BookText"/>
      </w:pPr>
      <w:r>
        <w:rPr>
          <w:rFonts w:ascii="IRNazanin" w:hAnsi="IRNazanin" w:eastAsia="IRNazanin" w:cs="IRNazanin"/>
          <w:lang w:bidi="fa-IR"/>
          <w:color w:val="111111"/>
          <w:sz w:val="28"/>
          <w:szCs w:val="28"/>
          <w:rtl/>
        </w:rPr>
        <w:t xml:space="preserve">یا رب دعای خسته دلان مستجاب کن‏</w:t>
      </w:r>
    </w:p>
    <w:p>
      <w:pPr>
        <w:pStyle w:val="BookText"/>
      </w:pPr>
      <w:r>
        <w:rPr>
          <w:rFonts w:ascii="IRNazanin" w:hAnsi="IRNazanin" w:eastAsia="IRNazanin" w:cs="IRNazanin"/>
          <w:lang w:bidi="fa-IR"/>
          <w:color w:val="111111"/>
          <w:sz w:val="28"/>
          <w:szCs w:val="28"/>
          <w:rtl/>
        </w:rPr>
        <w:t xml:space="preserve">و تخلصه فی غزلیاته أنسی و لیس هو والد ابن أمیر الحاج السابق دیوانه کما لا یخفی من ملاحظة تواریخهما، و لعله جده و یأتی دیوان غزله بعنوان دیوان أنسی‏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9" w:name="pg11704_121576"/>
    <w:bookmarkEnd w:id="99"/>
    <w:p>
      <w:pPr>
        <w:pStyle w:val="Heading3"/>
      </w:pPr>
      <w:bookmarkStart w:id="2023" w:name="_Toc719"/>
      <w:r>
        <w:t>دیوان أمیر حسن دهلوی‏</w:t>
      </w:r>
      <w:bookmarkEnd w:id="2023"/>
    </w:p>
    <w:p>
      <w:pPr>
        <w:pStyle w:val="BookText"/>
      </w:pPr>
      <w:r>
        <w:rPr>
          <w:rFonts w:ascii="IRNazanin" w:hAnsi="IRNazanin" w:eastAsia="IRNazanin" w:cs="IRNazanin"/>
          <w:lang w:bidi="fa-IR"/>
          <w:color w:val="111111"/>
          <w:sz w:val="28"/>
          <w:szCs w:val="28"/>
          <w:rtl/>
        </w:rPr>
        <w:t xml:space="preserve">یأتی بعنوان حسن دهلوی‏</w:t>
      </w:r>
    </w:p>
    <w:p>
      <w:pPr>
        <w:pStyle w:val="Heading3"/>
      </w:pPr>
      <w:bookmarkStart w:id="2024" w:name="_Toc720"/>
      <w:r>
        <w:t>605- دیوان أمیر حسینی غوری‏</w:t>
      </w:r>
      <w:bookmarkEnd w:id="2024"/>
    </w:p>
    <w:p>
      <w:pPr>
        <w:pStyle w:val="BookText"/>
      </w:pPr>
      <w:r>
        <w:rPr>
          <w:rFonts w:ascii="IRNazanin" w:hAnsi="IRNazanin" w:eastAsia="IRNazanin" w:cs="IRNazanin"/>
          <w:lang w:bidi="fa-IR"/>
          <w:color w:val="111111"/>
          <w:sz w:val="28"/>
          <w:szCs w:val="28"/>
          <w:rtl/>
        </w:rPr>
        <w:t xml:space="preserve">و هو حسین بن عالم بن حسن الحسینی الغوری الأصل ترجمه دولت شاه فی الطبقة الرابعة و کان هو و فخر العراقی و الشیخ أوحدی ثلاثتهم من تلامیذ شهاب السهروردی فألف العراقی اللمعات، و الأوحدی الترجیعات، و میر حسینی ألف زاد المسافرین و عرض کل تألیفه علی الأستاذ فزاد فی الإطراء علی الأخیر مات بهرات أو قتل کما قیل (719) و دفن بقهندژ بها و له سی‏نامه أی ثلاثون مکتوبا نظمها فی شبابه و کنز الرموز و نزهة الأرواح و زاد المسافرین و طرب المجالس نظمها فی کبر، سنه، و له عنقای مغرب نثرا فی العرفان لم یره دولت شاه، و ترجمه براون فی أدبیات إیران (ج 3- ص 160)</w:t>
      </w:r>
    </w:p>
    <w:p>
      <w:pPr>
        <w:pStyle w:val="Heading3"/>
      </w:pPr>
      <w:bookmarkStart w:id="2025" w:name="_Toc721"/>
      <w:r>
        <w:t>606- دیوان أمیر حیدر بلگرامی‏</w:t>
      </w:r>
      <w:bookmarkEnd w:id="2025"/>
    </w:p>
    <w:p>
      <w:pPr>
        <w:pStyle w:val="BookText"/>
      </w:pPr>
      <w:r>
        <w:rPr>
          <w:rFonts w:ascii="IRNazanin" w:hAnsi="IRNazanin" w:eastAsia="IRNazanin" w:cs="IRNazanin"/>
          <w:lang w:bidi="fa-IR"/>
          <w:color w:val="111111"/>
          <w:sz w:val="28"/>
          <w:szCs w:val="28"/>
          <w:rtl/>
        </w:rPr>
        <w:t xml:space="preserve">هو ابن نور حسین بن غلام علی آزاد البلگرامی ولد (19- ج 1- 1165) و تلمذ علی جده آزاد، و مات (1217) له منتخب الصرف و منتخب النحو ترجمه فی (گلشن- ص 39) و أورد شعره‏</w:t>
      </w:r>
    </w:p>
    <w:p>
      <w:pPr>
        <w:pStyle w:val="Heading3"/>
      </w:pPr>
      <w:bookmarkStart w:id="2026" w:name="_Toc722"/>
      <w:r>
        <w:t>دیوان أمیر خسرو دهلوی‏</w:t>
      </w:r>
      <w:bookmarkEnd w:id="2026"/>
    </w:p>
    <w:p>
      <w:pPr>
        <w:pStyle w:val="BookText"/>
      </w:pPr>
      <w:r>
        <w:rPr>
          <w:rFonts w:ascii="IRNazanin" w:hAnsi="IRNazanin" w:eastAsia="IRNazanin" w:cs="IRNazanin"/>
          <w:lang w:bidi="fa-IR"/>
          <w:color w:val="111111"/>
          <w:sz w:val="28"/>
          <w:szCs w:val="28"/>
          <w:rtl/>
        </w:rPr>
        <w:t xml:space="preserve">یأتی بعنوان دیوان خسرو دهلوی‏</w:t>
      </w:r>
    </w:p>
    <w:p>
      <w:pPr>
        <w:pStyle w:val="Heading3"/>
      </w:pPr>
      <w:bookmarkStart w:id="2027" w:name="_Toc723"/>
      <w:r>
        <w:t>607- دیوان أمیر خیزی‏</w:t>
      </w:r>
      <w:bookmarkEnd w:id="2027"/>
    </w:p>
    <w:p>
      <w:pPr>
        <w:pStyle w:val="BookText"/>
      </w:pPr>
      <w:r>
        <w:rPr>
          <w:rFonts w:ascii="IRNazanin" w:hAnsi="IRNazanin" w:eastAsia="IRNazanin" w:cs="IRNazanin"/>
          <w:lang w:bidi="fa-IR"/>
          <w:color w:val="111111"/>
          <w:sz w:val="28"/>
          <w:szCs w:val="28"/>
          <w:rtl/>
        </w:rPr>
        <w:t xml:space="preserve">و هو الحاج محمد إسماعیل بن الحاج محمد تقی التبریزی ولد بأمیر خیز تبریز فی (1294) و فی وقایع سنة (1330) هاجر إلی إستانبول و فی (1330) جاء إلی العراق محاربا للإنگلیز کذا ذکره فی مجلة أرمغان- ج 13- ص 102 و ذکر من أشعاره و له ترجمه مقدمه مجالس النفائس الترکیة بالفارسیة، أدرجت فی مقدمه طبع ترجمه المجالس فی (1323 ش)</w:t>
      </w:r>
    </w:p>
    <w:p>
      <w:pPr>
        <w:pStyle w:val="Heading3"/>
      </w:pPr>
      <w:bookmarkStart w:id="2028" w:name="_Toc724"/>
      <w:r>
        <w:t>دیوان أمیر شاهی‏</w:t>
      </w:r>
      <w:bookmarkEnd w:id="2028"/>
    </w:p>
    <w:p>
      <w:pPr>
        <w:pStyle w:val="BookText"/>
      </w:pPr>
      <w:r>
        <w:rPr>
          <w:rFonts w:ascii="IRNazanin" w:hAnsi="IRNazanin" w:eastAsia="IRNazanin" w:cs="IRNazanin"/>
          <w:lang w:bidi="fa-IR"/>
          <w:color w:val="111111"/>
          <w:sz w:val="28"/>
          <w:szCs w:val="28"/>
          <w:rtl/>
        </w:rPr>
        <w:t xml:space="preserve">یأتی بعنوان دیوان شاهی‏</w:t>
      </w:r>
    </w:p>
    <w:p>
      <w:pPr>
        <w:pStyle w:val="Heading3"/>
      </w:pPr>
      <w:bookmarkStart w:id="2029" w:name="_Toc725"/>
      <w:r>
        <w:t>دیوان أمیر شمس حروفی أو شعره‏</w:t>
      </w:r>
      <w:bookmarkEnd w:id="2029"/>
    </w:p>
    <w:p>
      <w:pPr>
        <w:pStyle w:val="BookText"/>
      </w:pPr>
      <w:r>
        <w:rPr>
          <w:rFonts w:ascii="IRNazanin" w:hAnsi="IRNazanin" w:eastAsia="IRNazanin" w:cs="IRNazanin"/>
          <w:lang w:bidi="fa-IR"/>
          <w:color w:val="111111"/>
          <w:sz w:val="28"/>
          <w:szCs w:val="28"/>
          <w:rtl/>
        </w:rPr>
        <w:t xml:space="preserve">هو من الحروفیة نقل عنه فی جاودان‏نامه‏</w:t>
      </w:r>
    </w:p>
    <w:p>
      <w:pPr>
        <w:pStyle w:val="Heading3"/>
      </w:pPr>
      <w:bookmarkStart w:id="2030" w:name="_Toc726"/>
      <w:r>
        <w:t>دیوان أمیر شیخ نظام الدین‏</w:t>
      </w:r>
      <w:bookmarkEnd w:id="2030"/>
    </w:p>
    <w:p>
      <w:pPr>
        <w:pStyle w:val="BookText"/>
      </w:pPr>
      <w:r>
        <w:rPr>
          <w:rFonts w:ascii="IRNazanin" w:hAnsi="IRNazanin" w:eastAsia="IRNazanin" w:cs="IRNazanin"/>
          <w:lang w:bidi="fa-IR"/>
          <w:color w:val="111111"/>
          <w:sz w:val="28"/>
          <w:szCs w:val="28"/>
          <w:rtl/>
        </w:rPr>
        <w:t xml:space="preserve">یأتی بتخلصه سهیلی‏</w:t>
      </w:r>
    </w:p>
    <w:p>
      <w:pPr>
        <w:pStyle w:val="Heading3"/>
      </w:pPr>
      <w:bookmarkStart w:id="2031" w:name="_Toc727"/>
      <w:r>
        <w:t>608- دیوان أمیر کرمانی‏</w:t>
      </w:r>
      <w:bookmarkEnd w:id="2031"/>
    </w:p>
    <w:p>
      <w:pPr>
        <w:pStyle w:val="BookText"/>
      </w:pPr>
      <w:r>
        <w:rPr>
          <w:rFonts w:ascii="IRNazanin" w:hAnsi="IRNazanin" w:eastAsia="IRNazanin" w:cs="IRNazanin"/>
          <w:lang w:bidi="fa-IR"/>
          <w:color w:val="111111"/>
          <w:sz w:val="28"/>
          <w:szCs w:val="28"/>
          <w:rtl/>
        </w:rPr>
        <w:t xml:space="preserve">ترجمه دولت شاه فی الطبقة الرابعة و أطرأ غزله‏</w:t>
      </w:r>
    </w:p>
    <w:p>
      <w:pPr>
        <w:pStyle w:val="Heading3"/>
      </w:pPr>
      <w:bookmarkStart w:id="2032" w:name="_Toc728"/>
      <w:r>
        <w:t>609- دیوان أمیر مازندرانی‏</w:t>
      </w:r>
      <w:bookmarkEnd w:id="2032"/>
    </w:p>
    <w:p>
      <w:pPr>
        <w:pStyle w:val="BookText"/>
      </w:pPr>
      <w:r>
        <w:rPr>
          <w:rFonts w:ascii="IRNazanin" w:hAnsi="IRNazanin" w:eastAsia="IRNazanin" w:cs="IRNazanin"/>
          <w:lang w:bidi="fa-IR"/>
          <w:color w:val="111111"/>
          <w:sz w:val="28"/>
          <w:szCs w:val="28"/>
          <w:rtl/>
        </w:rPr>
        <w:t xml:space="preserve">کله رباعیات باللهجة الطبریة أورد بعضها فی ریاض العارفین (ص 68)</w:t>
      </w:r>
    </w:p>
    <w:p>
      <w:pPr>
        <w:pStyle w:val="Heading3"/>
      </w:pPr>
      <w:bookmarkStart w:id="2033" w:name="_Toc729"/>
      <w:r>
        <w:t>دیوان أمیر معزی‏</w:t>
      </w:r>
      <w:bookmarkEnd w:id="2033"/>
    </w:p>
    <w:p>
      <w:pPr>
        <w:pStyle w:val="BookText"/>
      </w:pPr>
      <w:r>
        <w:rPr>
          <w:rFonts w:ascii="IRNazanin" w:hAnsi="IRNazanin" w:eastAsia="IRNazanin" w:cs="IRNazanin"/>
          <w:lang w:bidi="fa-IR"/>
          <w:color w:val="111111"/>
          <w:sz w:val="28"/>
          <w:szCs w:val="28"/>
          <w:rtl/>
        </w:rPr>
        <w:t xml:space="preserve">یأتی بعنوان دیوان معزی‏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100" w:name="pg11704_121577"/>
    <w:bookmarkEnd w:id="100"/>
    <w:p>
      <w:pPr>
        <w:pStyle w:val="Heading3"/>
      </w:pPr>
      <w:bookmarkStart w:id="2034" w:name="_Toc730"/>
      <w:r>
        <w:t>610- دیوان أمیر مغیث‏</w:t>
      </w:r>
      <w:bookmarkEnd w:id="2034"/>
    </w:p>
    <w:p>
      <w:pPr>
        <w:pStyle w:val="BookText"/>
      </w:pPr>
      <w:r>
        <w:rPr>
          <w:rFonts w:ascii="IRNazanin" w:hAnsi="IRNazanin" w:eastAsia="IRNazanin" w:cs="IRNazanin"/>
          <w:lang w:bidi="fa-IR"/>
          <w:color w:val="111111"/>
          <w:sz w:val="28"/>
          <w:szCs w:val="28"/>
          <w:rtl/>
        </w:rPr>
        <w:t xml:space="preserve">توجد شعره فی گنجینه گران‏مایه الموجود عند (فخر الدین)</w:t>
      </w:r>
    </w:p>
    <w:p>
      <w:pPr>
        <w:pStyle w:val="Heading3"/>
      </w:pPr>
      <w:bookmarkStart w:id="2035" w:name="_Toc731"/>
      <w:r>
        <w:t>دیوان أمیر المؤمنین علی ع</w:t>
      </w:r>
      <w:bookmarkEnd w:id="2035"/>
    </w:p>
    <w:p>
      <w:pPr>
        <w:pStyle w:val="Heading3"/>
      </w:pPr>
      <w:bookmarkStart w:id="2036" w:name="_Toc732"/>
      <w:r>
        <w:t>بیان</w:t>
      </w:r>
      <w:bookmarkEnd w:id="2036"/>
    </w:p>
    <w:p>
      <w:pPr>
        <w:pStyle w:val="BookText"/>
      </w:pPr>
      <w:r>
        <w:rPr>
          <w:rFonts w:ascii="IRNazanin" w:hAnsi="IRNazanin" w:eastAsia="IRNazanin" w:cs="IRNazanin"/>
          <w:lang w:bidi="fa-IR"/>
          <w:color w:val="111111"/>
          <w:sz w:val="28"/>
          <w:szCs w:val="28"/>
          <w:rtl/>
        </w:rPr>
        <w:t xml:space="preserve">لقد عددت الذین قاموا بعمل حول دیوان علی علیه السلام  فی فهرست کتابخانه دانشگاه تهران (ج 2 ص 116- 125) سبعة عشر شخصا منهم من جمع الدیوان و منهم من شرحها و لا نکررها هنا. و قد عد فی معجم المطبوعات سبع طبعات لهذا الدیوان.</w:t>
      </w:r>
    </w:p>
    <w:p>
      <w:pPr>
        <w:pStyle w:val="BookText"/>
      </w:pPr>
      <w:r>
        <w:rPr>
          <w:rFonts w:ascii="IRNazanin" w:hAnsi="IRNazanin" w:eastAsia="IRNazanin" w:cs="IRNazanin"/>
          <w:lang w:bidi="fa-IR"/>
          <w:color w:val="111111"/>
          <w:sz w:val="28"/>
          <w:szCs w:val="28"/>
          <w:rtl/>
        </w:rPr>
        <w:t xml:space="preserve">و یأتی شروحها فی حرف الشین (ع. م.).</w:t>
      </w:r>
    </w:p>
    <w:p>
      <w:pPr>
        <w:pStyle w:val="Heading3"/>
      </w:pPr>
      <w:bookmarkStart w:id="2037" w:name="_Toc733"/>
      <w:r>
        <w:t>دیوان أمیر المؤمنین ع</w:t>
      </w:r>
      <w:bookmarkEnd w:id="2037"/>
    </w:p>
    <w:p>
      <w:pPr>
        <w:pStyle w:val="BookText"/>
      </w:pPr>
      <w:r>
        <w:rPr>
          <w:rFonts w:ascii="IRNazanin" w:hAnsi="IRNazanin" w:eastAsia="IRNazanin" w:cs="IRNazanin"/>
          <w:lang w:bidi="fa-IR"/>
          <w:color w:val="111111"/>
          <w:sz w:val="28"/>
          <w:szCs w:val="28"/>
          <w:rtl/>
        </w:rPr>
        <w:t xml:space="preserve">الموسوم بأنوار العقول مر فی (ج 2 ص 431) مفصلا.</w:t>
      </w:r>
    </w:p>
    <w:p>
      <w:pPr>
        <w:pStyle w:val="Heading3"/>
      </w:pPr>
      <w:bookmarkStart w:id="2038" w:name="_Toc734"/>
      <w:r>
        <w:t>دیوان أمیر المؤمنین ع</w:t>
      </w:r>
      <w:bookmarkEnd w:id="2038"/>
    </w:p>
    <w:p>
      <w:pPr>
        <w:pStyle w:val="BookText"/>
      </w:pPr>
      <w:r>
        <w:rPr>
          <w:rFonts w:ascii="IRNazanin" w:hAnsi="IRNazanin" w:eastAsia="IRNazanin" w:cs="IRNazanin"/>
          <w:lang w:bidi="fa-IR"/>
          <w:color w:val="111111"/>
          <w:sz w:val="28"/>
          <w:szCs w:val="28"/>
          <w:rtl/>
        </w:rPr>
        <w:t xml:space="preserve">الذی عبر عنه النجاشی بکتاب شعر علی لأبی أحمد عبد العزیز الجلودی المتوفی (332) و هو أقدم من جمع دیوانه.</w:t>
      </w:r>
    </w:p>
    <w:p>
      <w:pPr>
        <w:pStyle w:val="Heading3"/>
      </w:pPr>
      <w:bookmarkStart w:id="2039" w:name="_Toc735"/>
      <w:r>
        <w:t>دیوان أمیر المؤمنین ع</w:t>
      </w:r>
      <w:bookmarkEnd w:id="2039"/>
    </w:p>
    <w:p>
      <w:pPr>
        <w:pStyle w:val="BookText"/>
      </w:pPr>
      <w:r>
        <w:rPr>
          <w:rFonts w:ascii="IRNazanin" w:hAnsi="IRNazanin" w:eastAsia="IRNazanin" w:cs="IRNazanin"/>
          <w:lang w:bidi="fa-IR"/>
          <w:color w:val="111111"/>
          <w:sz w:val="28"/>
          <w:szCs w:val="28"/>
          <w:rtl/>
        </w:rPr>
        <w:t xml:space="preserve">الموسوم بالحدیقة الأنیقة مر فی (ج 6 ص 381).</w:t>
      </w:r>
    </w:p>
    <w:p>
      <w:pPr>
        <w:pStyle w:val="Heading3"/>
      </w:pPr>
      <w:bookmarkStart w:id="2040" w:name="_Toc736"/>
      <w:r>
        <w:t>دیوان أمیر المؤمنین ع‏</w:t>
      </w:r>
      <w:bookmarkEnd w:id="2040"/>
    </w:p>
    <w:p>
      <w:pPr>
        <w:pStyle w:val="BookText"/>
      </w:pPr>
      <w:r>
        <w:rPr>
          <w:rFonts w:ascii="IRNazanin" w:hAnsi="IRNazanin" w:eastAsia="IRNazanin" w:cs="IRNazanin"/>
          <w:lang w:bidi="fa-IR"/>
          <w:color w:val="111111"/>
          <w:sz w:val="28"/>
          <w:szCs w:val="28"/>
          <w:rtl/>
        </w:rPr>
        <w:t xml:space="preserve">) الموسوم بسلوة الشیعة و تاج الأشعار مر فی (ج 3- ص 205) لأبی الحسن الفنجکردی المتوفی (513) أو قبلها علی الخلاف الآتی.</w:t>
      </w:r>
    </w:p>
    <w:p>
      <w:pPr>
        <w:pStyle w:val="Heading3"/>
      </w:pPr>
      <w:bookmarkStart w:id="2041" w:name="_Toc737"/>
      <w:r>
        <w:t>دیوان أمیر المؤمنین ع</w:t>
      </w:r>
      <w:bookmarkEnd w:id="2041"/>
    </w:p>
    <w:p>
      <w:pPr>
        <w:pStyle w:val="BookText"/>
      </w:pPr>
      <w:r>
        <w:rPr>
          <w:rFonts w:ascii="IRNazanin" w:hAnsi="IRNazanin" w:eastAsia="IRNazanin" w:cs="IRNazanin"/>
          <w:lang w:bidi="fa-IR"/>
          <w:color w:val="111111"/>
          <w:sz w:val="28"/>
          <w:szCs w:val="28"/>
          <w:rtl/>
        </w:rPr>
        <w:t xml:space="preserve">بعض الأصحاب الذی استخرجه عن کتاب محمد بن إسحاق صاحب السیرة المتوفی (151) و ما وجده فی متون الکتب منسوبا إلیه و هو ثانی الدواوین الثلاثة التی عمد إلیها مؤلف أنوار العقول فجمع فیه بین هذا الدیوان و دیوان الفنجکردی و دیوان أبی السعادات الآتی. قال مؤلف الأنوار إن هذا الدیوان أبسط مما جمعه الفنجکردی.</w:t>
      </w:r>
    </w:p>
    <w:p>
      <w:pPr>
        <w:pStyle w:val="Heading3"/>
      </w:pPr>
      <w:bookmarkStart w:id="2042" w:name="_Toc738"/>
      <w:r>
        <w:t>612- دیوان أمیر المؤمنین ع</w:t>
      </w:r>
      <w:bookmarkEnd w:id="2042"/>
    </w:p>
    <w:p>
      <w:pPr>
        <w:pStyle w:val="BookText"/>
      </w:pPr>
      <w:r>
        <w:rPr>
          <w:rFonts w:ascii="IRNazanin" w:hAnsi="IRNazanin" w:eastAsia="IRNazanin" w:cs="IRNazanin"/>
          <w:lang w:bidi="fa-IR"/>
          <w:color w:val="111111"/>
          <w:sz w:val="28"/>
          <w:szCs w:val="28"/>
          <w:rtl/>
        </w:rPr>
        <w:t xml:space="preserve">للسید أبی السعادات هبة الله بن علی بن محمد المعروف بابن الشجری المتوفی (543) و هو مؤلف الأمالی فی علوم الأدب المذکور فی (ج 2 ص 316) هو ثالث مصادر کتاب أنوار العقول کما ذکرناه.</w:t>
      </w:r>
    </w:p>
    <w:p>
      <w:pPr>
        <w:pStyle w:val="Heading3"/>
      </w:pPr>
      <w:bookmarkStart w:id="2043" w:name="_Toc739"/>
      <w:r>
        <w:t>613- دیوان أمیر المؤمنین ع</w:t>
      </w:r>
      <w:bookmarkEnd w:id="2043"/>
    </w:p>
    <w:p>
      <w:pPr>
        <w:pStyle w:val="BookText"/>
      </w:pPr>
      <w:r>
        <w:rPr>
          <w:rFonts w:ascii="IRNazanin" w:hAnsi="IRNazanin" w:eastAsia="IRNazanin" w:cs="IRNazanin"/>
          <w:lang w:bidi="fa-IR"/>
          <w:color w:val="111111"/>
          <w:sz w:val="28"/>
          <w:szCs w:val="28"/>
          <w:rtl/>
        </w:rPr>
        <w:t xml:space="preserve">من جمع المولی قاسم علی بن محمد تقی الخوانساری جمعه بغیر ترتیب المطبوع. و ذکر أسانید بعض الأشعار و کتبه بخطه الجید، و ینقل فیه عن تحفه الزائر للمجلسی. رأیته ضمن مجموعة فی کتب الشیخ موسی الأردبیلی مؤلف تاج العروس المذکور فی (ج 3 ص 206).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101" w:name="pg11704_121578"/>
    <w:bookmarkEnd w:id="101"/>
    <w:p>
      <w:pPr>
        <w:pStyle w:val="Heading3"/>
      </w:pPr>
      <w:bookmarkStart w:id="2044" w:name="_Toc740"/>
      <w:r>
        <w:t>614- دیوان أمیر المؤمنین‏</w:t>
      </w:r>
      <w:bookmarkEnd w:id="2044"/>
    </w:p>
    <w:p>
      <w:pPr>
        <w:pStyle w:val="BookText"/>
      </w:pPr>
      <w:r>
        <w:rPr>
          <w:rFonts w:ascii="IRNazanin" w:hAnsi="IRNazanin" w:eastAsia="IRNazanin" w:cs="IRNazanin"/>
          <w:lang w:bidi="fa-IR"/>
          <w:color w:val="111111"/>
          <w:sz w:val="28"/>
          <w:szCs w:val="28"/>
          <w:rtl/>
        </w:rPr>
        <w:t xml:space="preserve">أیضا من جمع بعض الأصحاب علی الترتیب الذی أوله [</w:t>
      </w:r>
    </w:p>
    <w:p>
      <w:pPr>
        <w:pStyle w:val="BookText"/>
      </w:pPr>
      <w:r>
        <w:rPr>
          <w:rFonts w:ascii="IRNazanin" w:hAnsi="IRNazanin" w:eastAsia="IRNazanin" w:cs="IRNazanin"/>
          <w:lang w:bidi="fa-IR"/>
          <w:color w:val="111111"/>
          <w:sz w:val="28"/>
          <w:szCs w:val="28"/>
          <w:rtl/>
        </w:rPr>
        <w:t xml:space="preserve">الناس من جهة التمثال أکفاء</w:t>
      </w:r>
    </w:p>
    <w:p>
      <w:pPr>
        <w:pStyle w:val="BookText"/>
      </w:pPr>
      <w:r>
        <w:rPr>
          <w:rFonts w:ascii="IRNazanin" w:hAnsi="IRNazanin" w:eastAsia="IRNazanin" w:cs="IRNazanin"/>
          <w:lang w:bidi="fa-IR"/>
          <w:color w:val="111111"/>
          <w:sz w:val="28"/>
          <w:szCs w:val="28"/>
          <w:rtl/>
        </w:rPr>
        <w:t xml:space="preserve">] و قد طبع هذا المجموع مکررا فی إیران و غیرها. منها طبعه فی بولاق فی أول شهر الصیام (1251) طبع جید علیه بعض الحواشی فی (72 ص) و ألحق بآخره الأرجوزه المنسوبة إلیه فی بیان دعاء جنة الأسماء و کیفیة عمله التی أولها (</w:t>
      </w:r>
    </w:p>
    <w:p>
      <w:pPr>
        <w:pStyle w:val="BookText"/>
      </w:pPr>
      <w:r>
        <w:rPr>
          <w:rFonts w:ascii="IRNazanin" w:hAnsi="IRNazanin" w:eastAsia="IRNazanin" w:cs="IRNazanin"/>
          <w:lang w:bidi="fa-IR"/>
          <w:color w:val="111111"/>
          <w:sz w:val="28"/>
          <w:szCs w:val="28"/>
          <w:rtl/>
        </w:rPr>
        <w:t xml:space="preserve">الحمد لله العلی الصادق‏</w:t>
      </w:r>
    </w:p>
    <w:p>
      <w:pPr>
        <w:pStyle w:val="BookText"/>
      </w:pPr>
      <w:r>
        <w:rPr>
          <w:rFonts w:ascii="IRNazanin" w:hAnsi="IRNazanin" w:eastAsia="IRNazanin" w:cs="IRNazanin"/>
          <w:lang w:bidi="fa-IR"/>
          <w:color w:val="111111"/>
          <w:sz w:val="28"/>
          <w:szCs w:val="28"/>
          <w:rtl/>
        </w:rPr>
        <w:t xml:space="preserve">) و طبع أیضا فی مصر (1276) و طبع بمطبعة العلمیة بجوار جامع الأزهر فی (1311) و ألحق بآخره العینیة لعبد الباقی العمری و هی تمام الخمسة و السبعین بیتا له فی مدح أمیر المؤمنین علیه السلام  و فی طهران (1284) و فی (1311) و (1312) و طبع بلیدن مع شرح لاتینی فی (1745 م) کما فصلها فی معجم المطبوعات ص 1354 و یأتی شروحه فی الشین.</w:t>
      </w:r>
    </w:p>
    <w:p>
      <w:pPr>
        <w:pStyle w:val="Heading3"/>
      </w:pPr>
      <w:bookmarkStart w:id="2045" w:name="_Toc741"/>
      <w:r>
        <w:t>615- دیوان أمیر المؤمنین ع</w:t>
      </w:r>
      <w:bookmarkEnd w:id="2045"/>
    </w:p>
    <w:p>
      <w:pPr>
        <w:pStyle w:val="BookText"/>
      </w:pPr>
      <w:r>
        <w:rPr>
          <w:rFonts w:ascii="IRNazanin" w:hAnsi="IRNazanin" w:eastAsia="IRNazanin" w:cs="IRNazanin"/>
          <w:lang w:bidi="fa-IR"/>
          <w:color w:val="111111"/>
          <w:sz w:val="28"/>
          <w:szCs w:val="28"/>
          <w:rtl/>
        </w:rPr>
        <w:t xml:space="preserve">علی الروایات الصحیحة. للسید محسن الأمین مؤلف أعیان الشیعة دونها (1360) و طبع بمطبعة الإتقان فی دمشق (1366) أورد فی أوله أمورا منها فی الإیعاز إلی أبیات لیست من إنشائه جزما أو ظنا أو نقلا مما نسب إلی غیره علیه السلام  و قد رتبه علی الحروف فی 149 ص.</w:t>
      </w:r>
    </w:p>
    <w:p>
      <w:pPr>
        <w:pStyle w:val="Heading3"/>
      </w:pPr>
      <w:bookmarkStart w:id="2046" w:name="_Toc742"/>
      <w:r>
        <w:t>616- دیوان أمیر لکهنوی‏</w:t>
      </w:r>
      <w:bookmarkEnd w:id="2046"/>
    </w:p>
    <w:p>
      <w:pPr>
        <w:pStyle w:val="BookText"/>
      </w:pPr>
      <w:r>
        <w:rPr>
          <w:rFonts w:ascii="IRNazanin" w:hAnsi="IRNazanin" w:eastAsia="IRNazanin" w:cs="IRNazanin"/>
          <w:lang w:bidi="fa-IR"/>
          <w:color w:val="111111"/>
          <w:sz w:val="28"/>
          <w:szCs w:val="28"/>
          <w:rtl/>
        </w:rPr>
        <w:t xml:space="preserve">و هو الخواجة أمیر خان ابن پادشاه خان حفید قمر الدین خان، من أحفاد خواجه عبید الله أحرار، من أمراء الهند. تلمذ علی قتیل و له منظومة عروض. أورد شعره فی (گلشن- ص 39- 40).</w:t>
      </w:r>
    </w:p>
    <w:p>
      <w:pPr>
        <w:pStyle w:val="Heading3"/>
      </w:pPr>
      <w:bookmarkStart w:id="2047" w:name="_Toc743"/>
      <w:r>
        <w:t>دیوان أمیر همایون پادشاه‏</w:t>
      </w:r>
      <w:bookmarkEnd w:id="2047"/>
    </w:p>
    <w:p>
      <w:pPr>
        <w:pStyle w:val="BookText"/>
      </w:pPr>
      <w:r>
        <w:rPr>
          <w:rFonts w:ascii="IRNazanin" w:hAnsi="IRNazanin" w:eastAsia="IRNazanin" w:cs="IRNazanin"/>
          <w:lang w:bidi="fa-IR"/>
          <w:color w:val="111111"/>
          <w:sz w:val="28"/>
          <w:szCs w:val="28"/>
          <w:rtl/>
        </w:rPr>
        <w:t xml:space="preserve">یأتی بعنوان دیوان همایون پادشاه.</w:t>
      </w:r>
    </w:p>
    <w:p>
      <w:pPr>
        <w:pStyle w:val="Heading3"/>
      </w:pPr>
      <w:bookmarkStart w:id="2048" w:name="_Toc744"/>
      <w:r>
        <w:t>دیوان أمیر همایون أسفراینی‏</w:t>
      </w:r>
      <w:bookmarkEnd w:id="2048"/>
    </w:p>
    <w:p>
      <w:pPr>
        <w:pStyle w:val="BookText"/>
      </w:pPr>
      <w:r>
        <w:rPr>
          <w:rFonts w:ascii="IRNazanin" w:hAnsi="IRNazanin" w:eastAsia="IRNazanin" w:cs="IRNazanin"/>
          <w:lang w:bidi="fa-IR"/>
          <w:color w:val="111111"/>
          <w:sz w:val="28"/>
          <w:szCs w:val="28"/>
          <w:rtl/>
        </w:rPr>
        <w:t xml:space="preserve">یأتی بعنوان دیوان همایون أسفراینی.</w:t>
      </w:r>
    </w:p>
    <w:p>
      <w:pPr>
        <w:pStyle w:val="Heading3"/>
      </w:pPr>
      <w:bookmarkStart w:id="2049" w:name="_Toc745"/>
      <w:r>
        <w:t>617- دیوان أمیر هندی‏</w:t>
      </w:r>
      <w:bookmarkEnd w:id="2049"/>
    </w:p>
    <w:p>
      <w:pPr>
        <w:pStyle w:val="BookText"/>
      </w:pPr>
      <w:r>
        <w:rPr>
          <w:rFonts w:ascii="IRNazanin" w:hAnsi="IRNazanin" w:eastAsia="IRNazanin" w:cs="IRNazanin"/>
          <w:lang w:bidi="fa-IR"/>
          <w:color w:val="111111"/>
          <w:sz w:val="28"/>
          <w:szCs w:val="28"/>
          <w:rtl/>
        </w:rPr>
        <w:t xml:space="preserve">للسید أمیر الدین. طبع بنولکشور بالهند.</w:t>
      </w:r>
    </w:p>
    <w:p>
      <w:pPr>
        <w:pStyle w:val="Heading3"/>
      </w:pPr>
      <w:bookmarkStart w:id="2050" w:name="_Toc746"/>
      <w:r>
        <w:t>618- دیوان أمیری أو شعره‏</w:t>
      </w:r>
      <w:bookmarkEnd w:id="2050"/>
    </w:p>
    <w:p>
      <w:pPr>
        <w:pStyle w:val="BookText"/>
      </w:pPr>
      <w:r>
        <w:rPr>
          <w:rFonts w:ascii="IRNazanin" w:hAnsi="IRNazanin" w:eastAsia="IRNazanin" w:cs="IRNazanin"/>
          <w:lang w:bidi="fa-IR"/>
          <w:color w:val="111111"/>
          <w:sz w:val="28"/>
          <w:szCs w:val="28"/>
          <w:rtl/>
        </w:rPr>
        <w:t xml:space="preserve">هو الأمیر بیگ الأفشار. ترجمه معاصره کتاب دار فی (خص 7- ص 127) و أورد شعره.</w:t>
      </w:r>
    </w:p>
    <w:p>
      <w:pPr>
        <w:pStyle w:val="Heading3"/>
      </w:pPr>
      <w:bookmarkStart w:id="2051" w:name="_Toc747"/>
      <w:r>
        <w:t>دیوان أمیری‏</w:t>
      </w:r>
      <w:bookmarkEnd w:id="2051"/>
    </w:p>
    <w:p>
      <w:pPr>
        <w:pStyle w:val="BookText"/>
      </w:pPr>
      <w:r>
        <w:rPr>
          <w:rFonts w:ascii="IRNazanin" w:hAnsi="IRNazanin" w:eastAsia="IRNazanin" w:cs="IRNazanin"/>
          <w:lang w:bidi="fa-IR"/>
          <w:color w:val="111111"/>
          <w:sz w:val="28"/>
          <w:szCs w:val="28"/>
          <w:rtl/>
        </w:rPr>
        <w:t xml:space="preserve">مر بعنوان دیوان أمیر بدخشانی.</w:t>
      </w:r>
    </w:p>
    <w:p>
      <w:pPr>
        <w:pStyle w:val="Heading3"/>
      </w:pPr>
      <w:bookmarkStart w:id="2052" w:name="_Toc748"/>
      <w:r>
        <w:t>619- دیوان أمیری شیرازی‏</w:t>
      </w:r>
      <w:bookmarkEnd w:id="2052"/>
    </w:p>
    <w:p>
      <w:pPr>
        <w:pStyle w:val="BookText"/>
      </w:pPr>
      <w:r>
        <w:rPr>
          <w:rFonts w:ascii="IRNazanin" w:hAnsi="IRNazanin" w:eastAsia="IRNazanin" w:cs="IRNazanin"/>
          <w:lang w:bidi="fa-IR"/>
          <w:color w:val="111111"/>
          <w:sz w:val="28"/>
          <w:szCs w:val="28"/>
          <w:rtl/>
        </w:rPr>
        <w:t xml:space="preserve">المیرزا قاسم الماهر فی الأعداد و أسرار النقطة فاتهم بالنقطویة فاسمل عینه فی (973) ثم قتل بشیراز فی (999). کذا فی (تغ ص 19).</w:t>
      </w:r>
    </w:p>
    <w:p>
      <w:pPr>
        <w:pStyle w:val="Heading3"/>
      </w:pPr>
      <w:bookmarkStart w:id="2053" w:name="_Toc749"/>
      <w:r>
        <w:t>620- دیوان أمین‏</w:t>
      </w:r>
      <w:bookmarkEnd w:id="2053"/>
    </w:p>
    <w:p>
      <w:pPr>
        <w:pStyle w:val="BookText"/>
      </w:pPr>
      <w:r>
        <w:rPr>
          <w:rFonts w:ascii="IRNazanin" w:hAnsi="IRNazanin" w:eastAsia="IRNazanin" w:cs="IRNazanin"/>
          <w:lang w:bidi="fa-IR"/>
          <w:color w:val="111111"/>
          <w:sz w:val="28"/>
          <w:szCs w:val="28"/>
          <w:rtl/>
        </w:rPr>
        <w:t xml:space="preserve">سافر إلی الهند فی عهد عالمگیر و فی زمان محمد شاه حارب معه‏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102" w:name="pg11704_121579"/>
    <w:bookmarkEnd w:id="102"/>
    <w:p>
      <w:pPr>
        <w:pStyle w:val="BookText"/>
      </w:pPr>
      <w:r>
        <w:rPr>
          <w:rFonts w:ascii="IRNazanin" w:hAnsi="IRNazanin" w:eastAsia="IRNazanin" w:cs="IRNazanin"/>
          <w:lang w:bidi="fa-IR"/>
          <w:color w:val="111111"/>
          <w:sz w:val="28"/>
          <w:szCs w:val="28"/>
          <w:rtl/>
        </w:rPr>
        <w:t xml:space="preserve">نادر شاه و قتل فی المعارک و لم یوجد جنازته. و دیوانه فی ألفی بیت. ذکره فی (گلشن- ص 40) و أظنه ساکت التبریزی الآتی.</w:t>
      </w:r>
    </w:p>
    <w:p>
      <w:pPr>
        <w:pStyle w:val="Heading3"/>
      </w:pPr>
      <w:bookmarkStart w:id="2054" w:name="_Toc750"/>
      <w:r>
        <w:t>621- دیوان أمینا أوشی أو شعره‏</w:t>
      </w:r>
      <w:bookmarkEnd w:id="2054"/>
    </w:p>
    <w:p>
      <w:pPr>
        <w:pStyle w:val="BookText"/>
      </w:pPr>
      <w:r>
        <w:rPr>
          <w:rFonts w:ascii="IRNazanin" w:hAnsi="IRNazanin" w:eastAsia="IRNazanin" w:cs="IRNazanin"/>
          <w:lang w:bidi="fa-IR"/>
          <w:color w:val="111111"/>
          <w:sz w:val="28"/>
          <w:szCs w:val="28"/>
          <w:rtl/>
        </w:rPr>
        <w:t xml:space="preserve">أورد شعره فی (گلشن- ص 41).</w:t>
      </w:r>
    </w:p>
    <w:p>
      <w:pPr>
        <w:pStyle w:val="Heading3"/>
      </w:pPr>
      <w:bookmarkStart w:id="2055" w:name="_Toc751"/>
      <w:r>
        <w:t>دیوان أمینا الأصفهانی‏</w:t>
      </w:r>
      <w:bookmarkEnd w:id="2055"/>
    </w:p>
    <w:p>
      <w:pPr>
        <w:pStyle w:val="BookText"/>
      </w:pPr>
      <w:r>
        <w:rPr>
          <w:rFonts w:ascii="IRNazanin" w:hAnsi="IRNazanin" w:eastAsia="IRNazanin" w:cs="IRNazanin"/>
          <w:lang w:bidi="fa-IR"/>
          <w:color w:val="111111"/>
          <w:sz w:val="28"/>
          <w:szCs w:val="28"/>
          <w:rtl/>
        </w:rPr>
        <w:t xml:space="preserve">یأتی بتخلصه فائق. ذکره النصرآبادی فی (نر 9- ص 349).</w:t>
      </w:r>
    </w:p>
    <w:p>
      <w:pPr>
        <w:pStyle w:val="Heading3"/>
      </w:pPr>
      <w:bookmarkStart w:id="2056" w:name="_Toc752"/>
      <w:r>
        <w:t>622- دیوان أمینا الرشتی‏</w:t>
      </w:r>
      <w:bookmarkEnd w:id="2056"/>
    </w:p>
    <w:p>
      <w:pPr>
        <w:pStyle w:val="BookText"/>
      </w:pPr>
      <w:r>
        <w:rPr>
          <w:rFonts w:ascii="IRNazanin" w:hAnsi="IRNazanin" w:eastAsia="IRNazanin" w:cs="IRNazanin"/>
          <w:lang w:bidi="fa-IR"/>
          <w:color w:val="111111"/>
          <w:sz w:val="28"/>
          <w:szCs w:val="28"/>
          <w:rtl/>
        </w:rPr>
        <w:t xml:space="preserve">ترجمه فی (نر 9- ص 380) و أورد شعره.</w:t>
      </w:r>
    </w:p>
    <w:p>
      <w:pPr>
        <w:pStyle w:val="Heading3"/>
      </w:pPr>
      <w:bookmarkStart w:id="2057" w:name="_Toc753"/>
      <w:r>
        <w:t>623- دیوان أمینا الرودسری‏</w:t>
      </w:r>
      <w:bookmarkEnd w:id="2057"/>
    </w:p>
    <w:p>
      <w:pPr>
        <w:pStyle w:val="BookText"/>
      </w:pPr>
      <w:r>
        <w:rPr>
          <w:rFonts w:ascii="IRNazanin" w:hAnsi="IRNazanin" w:eastAsia="IRNazanin" w:cs="IRNazanin"/>
          <w:lang w:bidi="fa-IR"/>
          <w:color w:val="111111"/>
          <w:sz w:val="28"/>
          <w:szCs w:val="28"/>
          <w:rtl/>
        </w:rPr>
        <w:t xml:space="preserve">من أعمال لاهیجان. تجرمة النصرآباد فی (نر 9- ص 380) و 352) و ذکر له غزل افتادگی و نقل عنه فی (گلشن- ص 42) و یأتی ولده باقر رودسری.</w:t>
      </w:r>
    </w:p>
    <w:p>
      <w:pPr>
        <w:pStyle w:val="Heading3"/>
      </w:pPr>
      <w:bookmarkStart w:id="2058" w:name="_Toc754"/>
      <w:r>
        <w:t>623- دیوان أمینا الشیرازی‏</w:t>
      </w:r>
      <w:bookmarkEnd w:id="2058"/>
    </w:p>
    <w:p>
      <w:pPr>
        <w:pStyle w:val="BookText"/>
      </w:pPr>
      <w:r>
        <w:rPr>
          <w:rFonts w:ascii="IRNazanin" w:hAnsi="IRNazanin" w:eastAsia="IRNazanin" w:cs="IRNazanin"/>
          <w:lang w:bidi="fa-IR"/>
          <w:color w:val="111111"/>
          <w:sz w:val="28"/>
          <w:szCs w:val="28"/>
          <w:rtl/>
        </w:rPr>
        <w:t xml:space="preserve">ترجمه معاصره النصرآبادی فی (نر 5- ص 123).</w:t>
      </w:r>
    </w:p>
    <w:p>
      <w:pPr>
        <w:pStyle w:val="Heading3"/>
      </w:pPr>
      <w:bookmarkStart w:id="2059" w:name="_Toc755"/>
      <w:r>
        <w:t>624- دیوان أمینا الفراهانی‏</w:t>
      </w:r>
      <w:bookmarkEnd w:id="2059"/>
    </w:p>
    <w:p>
      <w:pPr>
        <w:pStyle w:val="BookText"/>
      </w:pPr>
      <w:r>
        <w:rPr>
          <w:rFonts w:ascii="IRNazanin" w:hAnsi="IRNazanin" w:eastAsia="IRNazanin" w:cs="IRNazanin"/>
          <w:lang w:bidi="fa-IR"/>
          <w:color w:val="111111"/>
          <w:sz w:val="28"/>
          <w:szCs w:val="28"/>
          <w:rtl/>
        </w:rPr>
        <w:t xml:space="preserve">المعمر المجاور للنجف. ترجمه النصرآبادی فی (نر 6- ص 183) و أورد جملة من شعره. و عنه أخذ (گلشن- ص 41).</w:t>
      </w:r>
    </w:p>
    <w:p>
      <w:pPr>
        <w:pStyle w:val="Heading3"/>
      </w:pPr>
      <w:bookmarkStart w:id="2060" w:name="_Toc756"/>
      <w:r>
        <w:t>625- دیوان أمینا الکرمانی‏</w:t>
      </w:r>
      <w:bookmarkEnd w:id="2060"/>
    </w:p>
    <w:p>
      <w:pPr>
        <w:pStyle w:val="BookText"/>
      </w:pPr>
      <w:r>
        <w:rPr>
          <w:rFonts w:ascii="IRNazanin" w:hAnsi="IRNazanin" w:eastAsia="IRNazanin" w:cs="IRNazanin"/>
          <w:lang w:bidi="fa-IR"/>
          <w:color w:val="111111"/>
          <w:sz w:val="28"/>
          <w:szCs w:val="28"/>
          <w:rtl/>
        </w:rPr>
        <w:t xml:space="preserve">کاسه‏گر (صانع القصعات) ترجمه النصرآبادی فی (نر 9- ص 382) و ذکر رباعیته و عنه أخذ (گلشن- ص 41).</w:t>
      </w:r>
    </w:p>
    <w:p>
      <w:pPr>
        <w:pStyle w:val="Heading3"/>
      </w:pPr>
      <w:bookmarkStart w:id="2061" w:name="_Toc757"/>
      <w:r>
        <w:t>626- دیوان أمینا النجفی‏</w:t>
      </w:r>
      <w:bookmarkEnd w:id="2061"/>
    </w:p>
    <w:p>
      <w:pPr>
        <w:pStyle w:val="BookText"/>
      </w:pPr>
      <w:r>
        <w:rPr>
          <w:rFonts w:ascii="IRNazanin" w:hAnsi="IRNazanin" w:eastAsia="IRNazanin" w:cs="IRNazanin"/>
          <w:lang w:bidi="fa-IR"/>
          <w:color w:val="111111"/>
          <w:sz w:val="28"/>
          <w:szCs w:val="28"/>
          <w:rtl/>
        </w:rPr>
        <w:t xml:space="preserve">هو ابن المولی محمود (کلید دار) للحضرة الغرویة. ترجمه النصرآبادی فی (نر 9- ص 306) و أورد شعره.</w:t>
      </w:r>
    </w:p>
    <w:p>
      <w:pPr>
        <w:pStyle w:val="Heading3"/>
      </w:pPr>
      <w:bookmarkStart w:id="2062" w:name="_Toc758"/>
      <w:r>
        <w:t>627- دیوان أمینا الیزدی‏</w:t>
      </w:r>
      <w:bookmarkEnd w:id="2062"/>
    </w:p>
    <w:p>
      <w:pPr>
        <w:pStyle w:val="BookText"/>
      </w:pPr>
      <w:r>
        <w:rPr>
          <w:rFonts w:ascii="IRNazanin" w:hAnsi="IRNazanin" w:eastAsia="IRNazanin" w:cs="IRNazanin"/>
          <w:lang w:bidi="fa-IR"/>
          <w:color w:val="111111"/>
          <w:sz w:val="28"/>
          <w:szCs w:val="28"/>
          <w:rtl/>
        </w:rPr>
        <w:t xml:space="preserve">المعروف بدقاق ترجمه النصرآبادی فی (نر 6 و 9- ص 199 و 380) و أطرأه بمهارته فی التاریخ و المعمی و اللغز و سائر الصنائع و سمی ولده بأبی الآداب. و له مثنوی فی تاریخ الوزارة الثانیة لخلیفة سلطان. و عنه أخذ فی (تش- 259) و (گلشن- 42).</w:t>
      </w:r>
    </w:p>
    <w:p>
      <w:pPr>
        <w:pStyle w:val="Heading3"/>
      </w:pPr>
      <w:bookmarkStart w:id="2063" w:name="_Toc759"/>
      <w:r>
        <w:t>628- دیوان أمینا الیزدی‏</w:t>
      </w:r>
      <w:bookmarkEnd w:id="2063"/>
    </w:p>
    <w:p>
      <w:pPr>
        <w:pStyle w:val="BookText"/>
      </w:pPr>
      <w:r>
        <w:rPr>
          <w:rFonts w:ascii="IRNazanin" w:hAnsi="IRNazanin" w:eastAsia="IRNazanin" w:cs="IRNazanin"/>
          <w:lang w:bidi="fa-IR"/>
          <w:color w:val="111111"/>
          <w:sz w:val="28"/>
          <w:szCs w:val="28"/>
          <w:rtl/>
        </w:rPr>
        <w:t xml:space="preserve">و اسمه محمد متصدی. کان یتصدی أوقاف یزد کما فی (تش یز- ص 276).</w:t>
      </w:r>
    </w:p>
    <w:p>
      <w:pPr>
        <w:pStyle w:val="Heading3"/>
      </w:pPr>
      <w:bookmarkStart w:id="2064" w:name="_Toc760"/>
      <w:r>
        <w:t>دیوان أمین أسترآبادی‏</w:t>
      </w:r>
      <w:bookmarkEnd w:id="2064"/>
    </w:p>
    <w:p>
      <w:pPr>
        <w:pStyle w:val="BookText"/>
      </w:pPr>
      <w:r>
        <w:rPr>
          <w:rFonts w:ascii="IRNazanin" w:hAnsi="IRNazanin" w:eastAsia="IRNazanin" w:cs="IRNazanin"/>
          <w:lang w:bidi="fa-IR"/>
          <w:color w:val="111111"/>
          <w:sz w:val="28"/>
          <w:szCs w:val="28"/>
          <w:rtl/>
        </w:rPr>
        <w:t xml:space="preserve">ذکر کذلک فی تاریخ أدبیات ایران للمستر براون (ص 550 ج 3) و قد ذکرناه بعنوان دیوان أسترآبادی.</w:t>
      </w:r>
    </w:p>
    <w:p>
      <w:pPr>
        <w:pStyle w:val="Heading3"/>
      </w:pPr>
      <w:bookmarkStart w:id="2065" w:name="_Toc761"/>
      <w:r>
        <w:t>دیوان أمین أصفهانی‏</w:t>
      </w:r>
      <w:bookmarkEnd w:id="2065"/>
    </w:p>
    <w:p>
      <w:pPr>
        <w:pStyle w:val="BookText"/>
      </w:pPr>
      <w:r>
        <w:rPr>
          <w:rFonts w:ascii="IRNazanin" w:hAnsi="IRNazanin" w:eastAsia="IRNazanin" w:cs="IRNazanin"/>
          <w:lang w:bidi="fa-IR"/>
          <w:color w:val="111111"/>
          <w:sz w:val="28"/>
          <w:szCs w:val="28"/>
          <w:rtl/>
        </w:rPr>
        <w:t xml:space="preserve">یأتی بعنوان دیوان أمین نصرآبادی.</w:t>
      </w:r>
    </w:p>
    <w:p>
      <w:pPr>
        <w:pStyle w:val="Heading3"/>
      </w:pPr>
      <w:bookmarkStart w:id="2066" w:name="_Toc762"/>
      <w:r>
        <w:t>629- دیوان أمین أصفهانی أو شعره‏</w:t>
      </w:r>
      <w:bookmarkEnd w:id="2066"/>
    </w:p>
    <w:p>
      <w:pPr>
        <w:pStyle w:val="BookText"/>
      </w:pPr>
      <w:r>
        <w:rPr>
          <w:rFonts w:ascii="IRNazanin" w:hAnsi="IRNazanin" w:eastAsia="IRNazanin" w:cs="IRNazanin"/>
          <w:lang w:bidi="fa-IR"/>
          <w:color w:val="111111"/>
          <w:sz w:val="28"/>
          <w:szCs w:val="28"/>
          <w:rtl/>
        </w:rPr>
        <w:t xml:space="preserve">هو ابن میرزا عبد الله بن علی شاه، حفید المیرزا شاه حسین الأصفهانی کان وزیرا لشیروان ستة سنین. أورد شعره فی (نر 4- ص 78).</w:t>
      </w:r>
    </w:p>
    <w:p>
      <w:pPr>
        <w:pStyle w:val="Heading3"/>
      </w:pPr>
      <w:bookmarkStart w:id="2067" w:name="_Toc763"/>
      <w:r>
        <w:t>630- دیوان أمین أصفهانی أو شعره‏</w:t>
      </w:r>
      <w:bookmarkEnd w:id="2067"/>
    </w:p>
    <w:p>
      <w:pPr>
        <w:pStyle w:val="BookText"/>
      </w:pPr>
      <w:r>
        <w:rPr>
          <w:rFonts w:ascii="IRNazanin" w:hAnsi="IRNazanin" w:eastAsia="IRNazanin" w:cs="IRNazanin"/>
          <w:lang w:bidi="fa-IR"/>
          <w:color w:val="111111"/>
          <w:sz w:val="28"/>
          <w:szCs w:val="28"/>
          <w:rtl/>
        </w:rPr>
        <w:t xml:space="preserve">و هو الخواجة أمین الدین معاصر خواجه حافظ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03" w:name="pg11704_121580"/>
    <w:bookmarkEnd w:id="103"/>
    <w:p>
      <w:pPr>
        <w:pStyle w:val="BookText"/>
      </w:pPr>
      <w:r>
        <w:rPr>
          <w:rFonts w:ascii="IRNazanin" w:hAnsi="IRNazanin" w:eastAsia="IRNazanin" w:cs="IRNazanin"/>
          <w:lang w:bidi="fa-IR"/>
          <w:color w:val="111111"/>
          <w:sz w:val="28"/>
          <w:szCs w:val="28"/>
          <w:rtl/>
        </w:rPr>
        <w:t xml:space="preserve">توفی بشیراز (744) کما فی (تغ- ص 20).</w:t>
      </w:r>
    </w:p>
    <w:p>
      <w:pPr>
        <w:pStyle w:val="Heading3"/>
      </w:pPr>
      <w:bookmarkStart w:id="2068" w:name="_Toc764"/>
      <w:r>
        <w:t>631- دیوان أمین بلخی أسترآبادی أو شعره‏</w:t>
      </w:r>
      <w:bookmarkEnd w:id="2068"/>
    </w:p>
    <w:p>
      <w:pPr>
        <w:pStyle w:val="BookText"/>
      </w:pPr>
      <w:r>
        <w:rPr>
          <w:rFonts w:ascii="IRNazanin" w:hAnsi="IRNazanin" w:eastAsia="IRNazanin" w:cs="IRNazanin"/>
          <w:lang w:bidi="fa-IR"/>
          <w:color w:val="111111"/>
          <w:sz w:val="28"/>
          <w:szCs w:val="28"/>
          <w:rtl/>
        </w:rPr>
        <w:t xml:space="preserve">هو محمد أمین البلخی من شعراء بابر میرزا کان ساذجا مات بأسترآباد. و هو والد أمینی البلخی الآتی. ذکر فی (مجن 2- ص 43 و 216).</w:t>
      </w:r>
    </w:p>
    <w:p>
      <w:pPr>
        <w:pStyle w:val="Heading3"/>
      </w:pPr>
      <w:bookmarkStart w:id="2069" w:name="_Toc765"/>
      <w:r>
        <w:t>دیوان أمین بلیانی‏</w:t>
      </w:r>
      <w:bookmarkEnd w:id="2069"/>
    </w:p>
    <w:p>
      <w:pPr>
        <w:pStyle w:val="BookText"/>
      </w:pPr>
      <w:r>
        <w:rPr>
          <w:rFonts w:ascii="IRNazanin" w:hAnsi="IRNazanin" w:eastAsia="IRNazanin" w:cs="IRNazanin"/>
          <w:lang w:bidi="fa-IR"/>
          <w:color w:val="111111"/>
          <w:sz w:val="28"/>
          <w:szCs w:val="28"/>
          <w:rtl/>
        </w:rPr>
        <w:t xml:space="preserve">یأتی بعنوان دیوان أمین فارسی.</w:t>
      </w:r>
    </w:p>
    <w:p>
      <w:pPr>
        <w:pStyle w:val="Heading3"/>
      </w:pPr>
      <w:bookmarkStart w:id="2070" w:name="_Toc766"/>
      <w:r>
        <w:t>دیوان أمین التبریزی‏</w:t>
      </w:r>
      <w:bookmarkEnd w:id="2070"/>
    </w:p>
    <w:p>
      <w:pPr>
        <w:pStyle w:val="BookText"/>
      </w:pPr>
      <w:r>
        <w:rPr>
          <w:rFonts w:ascii="IRNazanin" w:hAnsi="IRNazanin" w:eastAsia="IRNazanin" w:cs="IRNazanin"/>
          <w:lang w:bidi="fa-IR"/>
          <w:color w:val="111111"/>
          <w:sz w:val="28"/>
          <w:szCs w:val="28"/>
          <w:rtl/>
        </w:rPr>
        <w:t xml:space="preserve">ذکره کذلک فی (دجا- 53) و لکن الصحیح أمنی تبریزی کما ذکرناه فی (ص 96).</w:t>
      </w:r>
    </w:p>
    <w:p>
      <w:pPr>
        <w:pStyle w:val="Heading3"/>
      </w:pPr>
      <w:bookmarkStart w:id="2071" w:name="_Toc767"/>
      <w:r>
        <w:t>دیوان أمین تبریزی‏</w:t>
      </w:r>
      <w:bookmarkEnd w:id="2071"/>
    </w:p>
    <w:p>
      <w:pPr>
        <w:pStyle w:val="BookText"/>
      </w:pPr>
      <w:r>
        <w:rPr>
          <w:rFonts w:ascii="IRNazanin" w:hAnsi="IRNazanin" w:eastAsia="IRNazanin" w:cs="IRNazanin"/>
          <w:lang w:bidi="fa-IR"/>
          <w:color w:val="111111"/>
          <w:sz w:val="28"/>
          <w:szCs w:val="28"/>
          <w:rtl/>
        </w:rPr>
        <w:t xml:space="preserve">یأتی بعنوان نوری تبریزی.</w:t>
      </w:r>
    </w:p>
    <w:p>
      <w:pPr>
        <w:pStyle w:val="Heading3"/>
      </w:pPr>
      <w:bookmarkStart w:id="2072" w:name="_Toc768"/>
      <w:r>
        <w:t>632- دیوان أمین تبریزی‏</w:t>
      </w:r>
      <w:bookmarkEnd w:id="2072"/>
    </w:p>
    <w:p>
      <w:pPr>
        <w:pStyle w:val="BookText"/>
      </w:pPr>
      <w:r>
        <w:rPr>
          <w:rFonts w:ascii="IRNazanin" w:hAnsi="IRNazanin" w:eastAsia="IRNazanin" w:cs="IRNazanin"/>
          <w:lang w:bidi="fa-IR"/>
          <w:color w:val="111111"/>
          <w:sz w:val="28"/>
          <w:szCs w:val="28"/>
          <w:rtl/>
        </w:rPr>
        <w:t xml:space="preserve">الصیاغ، معاصر سام میرزا. أورد شعره فی (تس 5- ص 132) و أخطأ محمد علی تربیت فسماه فی (دجا- ص 54) بأمینی.</w:t>
      </w:r>
    </w:p>
    <w:p>
      <w:pPr>
        <w:pStyle w:val="Heading3"/>
      </w:pPr>
      <w:bookmarkStart w:id="2073" w:name="_Toc769"/>
      <w:r>
        <w:t>دیوان أمین تبریزی‏</w:t>
      </w:r>
      <w:bookmarkEnd w:id="2073"/>
    </w:p>
    <w:p>
      <w:pPr>
        <w:pStyle w:val="BookText"/>
      </w:pPr>
      <w:r>
        <w:rPr>
          <w:rFonts w:ascii="IRNazanin" w:hAnsi="IRNazanin" w:eastAsia="IRNazanin" w:cs="IRNazanin"/>
          <w:lang w:bidi="fa-IR"/>
          <w:color w:val="111111"/>
          <w:sz w:val="28"/>
          <w:szCs w:val="28"/>
          <w:rtl/>
        </w:rPr>
        <w:t xml:space="preserve">یأتی بعنوان دیوان ساکت تبریزی.</w:t>
      </w:r>
    </w:p>
    <w:p>
      <w:pPr>
        <w:pStyle w:val="Heading3"/>
      </w:pPr>
      <w:bookmarkStart w:id="2074" w:name="_Toc770"/>
      <w:r>
        <w:t>633- دیوان أمین تبریزی أو شعره‏</w:t>
      </w:r>
      <w:bookmarkEnd w:id="2074"/>
    </w:p>
    <w:p>
      <w:pPr>
        <w:pStyle w:val="BookText"/>
      </w:pPr>
      <w:r>
        <w:rPr>
          <w:rFonts w:ascii="IRNazanin" w:hAnsi="IRNazanin" w:eastAsia="IRNazanin" w:cs="IRNazanin"/>
          <w:lang w:bidi="fa-IR"/>
          <w:color w:val="111111"/>
          <w:sz w:val="28"/>
          <w:szCs w:val="28"/>
          <w:rtl/>
        </w:rPr>
        <w:t xml:space="preserve">هو المیرزا أمین بن میرزا نوری بیگ التبریزی نزیل عباس‏آباد أصفهان، و مستوفی شیراز. ترجمه و أورد شعره فی (نر 4- ص 93).</w:t>
      </w:r>
    </w:p>
    <w:p>
      <w:pPr>
        <w:pStyle w:val="Heading3"/>
      </w:pPr>
      <w:bookmarkStart w:id="2075" w:name="_Toc771"/>
      <w:r>
        <w:t>634- دیوان أمین خوانساری أو شعره‏</w:t>
      </w:r>
      <w:bookmarkEnd w:id="2075"/>
    </w:p>
    <w:p>
      <w:pPr>
        <w:pStyle w:val="BookText"/>
      </w:pPr>
      <w:r>
        <w:rPr>
          <w:rFonts w:ascii="IRNazanin" w:hAnsi="IRNazanin" w:eastAsia="IRNazanin" w:cs="IRNazanin"/>
          <w:lang w:bidi="fa-IR"/>
          <w:color w:val="111111"/>
          <w:sz w:val="28"/>
          <w:szCs w:val="28"/>
          <w:rtl/>
        </w:rPr>
        <w:t xml:space="preserve">کان قاضیا و لم یحکم بغیر حق هکذا وصفه معاصره فی (نر 6- ص 200) و کذا فی (گلشن- ص 41).</w:t>
      </w:r>
    </w:p>
    <w:p>
      <w:pPr>
        <w:pStyle w:val="Heading3"/>
      </w:pPr>
      <w:bookmarkStart w:id="2076" w:name="_Toc772"/>
      <w:r>
        <w:t>635- دیوان أمین شوشتری‏</w:t>
      </w:r>
      <w:bookmarkEnd w:id="2076"/>
    </w:p>
    <w:p>
      <w:pPr>
        <w:pStyle w:val="BookText"/>
      </w:pPr>
      <w:r>
        <w:rPr>
          <w:rFonts w:ascii="IRNazanin" w:hAnsi="IRNazanin" w:eastAsia="IRNazanin" w:cs="IRNazanin"/>
          <w:lang w:bidi="fa-IR"/>
          <w:color w:val="111111"/>
          <w:sz w:val="28"/>
          <w:szCs w:val="28"/>
          <w:rtl/>
        </w:rPr>
        <w:t xml:space="preserve">الشیخ أسد الله أمین الواعظین الأنصاری الدزفولی التستری، صاحب التصانیف التی مر منها: أخبار الخلفاء فی (ج 1: 328) و تذکره العروض، و المواعظ و حدائق الأدب. و الدیوان عربی فارسی کما کتبه هو إلینا فی (1344) و توفی حدود (1353).</w:t>
      </w:r>
    </w:p>
    <w:p>
      <w:pPr>
        <w:pStyle w:val="Heading3"/>
      </w:pPr>
      <w:bookmarkStart w:id="2077" w:name="_Toc773"/>
      <w:r>
        <w:t>دیوان أمین طبسی‏</w:t>
      </w:r>
      <w:bookmarkEnd w:id="2077"/>
    </w:p>
    <w:p>
      <w:pPr>
        <w:pStyle w:val="BookText"/>
      </w:pPr>
      <w:r>
        <w:rPr>
          <w:rFonts w:ascii="IRNazanin" w:hAnsi="IRNazanin" w:eastAsia="IRNazanin" w:cs="IRNazanin"/>
          <w:lang w:bidi="fa-IR"/>
          <w:color w:val="111111"/>
          <w:sz w:val="28"/>
          <w:szCs w:val="28"/>
          <w:rtl/>
        </w:rPr>
        <w:t xml:space="preserve">یأتی بعنوان دیوان وقار.</w:t>
      </w:r>
    </w:p>
    <w:p>
      <w:pPr>
        <w:pStyle w:val="Heading3"/>
      </w:pPr>
      <w:bookmarkStart w:id="2078" w:name="_Toc774"/>
      <w:r>
        <w:t>دیوان الأمین العاملی‏</w:t>
      </w:r>
      <w:bookmarkEnd w:id="2078"/>
    </w:p>
    <w:p>
      <w:pPr>
        <w:pStyle w:val="BookText"/>
      </w:pPr>
      <w:r>
        <w:rPr>
          <w:rFonts w:ascii="IRNazanin" w:hAnsi="IRNazanin" w:eastAsia="IRNazanin" w:cs="IRNazanin"/>
          <w:lang w:bidi="fa-IR"/>
          <w:color w:val="111111"/>
          <w:sz w:val="28"/>
          <w:szCs w:val="28"/>
          <w:rtl/>
        </w:rPr>
        <w:t xml:space="preserve">السید محسن مؤلف أعیان الشیعة المتوفی (3 رجب 1371) یأتی باسمه الرحیق المختوم فی المنثور و المنظوم.</w:t>
      </w:r>
    </w:p>
    <w:p>
      <w:pPr>
        <w:pStyle w:val="Heading3"/>
      </w:pPr>
      <w:bookmarkStart w:id="2079" w:name="_Toc775"/>
      <w:r>
        <w:t>636- دیوان أمین فارسی أو شعره‏</w:t>
      </w:r>
      <w:bookmarkEnd w:id="2079"/>
    </w:p>
    <w:p>
      <w:pPr>
        <w:pStyle w:val="BookText"/>
      </w:pPr>
      <w:r>
        <w:rPr>
          <w:rFonts w:ascii="IRNazanin" w:hAnsi="IRNazanin" w:eastAsia="IRNazanin" w:cs="IRNazanin"/>
          <w:lang w:bidi="fa-IR"/>
          <w:color w:val="111111"/>
          <w:sz w:val="28"/>
          <w:szCs w:val="28"/>
          <w:rtl/>
        </w:rPr>
        <w:t xml:space="preserve">هو أمین الدین محمد بن علی بن ضیاء الدین مسعود البلیانی من نواحی کازرون، من مشاهیر العرفاء. ترجمه فی ریاض العارفین ص 53 و قال توفی 745. و أورد بعض رباعیاته. و هو ابن أخ أبو عبد الله البلیانی ابن ضیاء الدین مسعود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04" w:name="pg11704_121581"/>
    <w:bookmarkEnd w:id="104"/>
    <w:p>
      <w:pPr>
        <w:pStyle w:val="BookText"/>
      </w:pPr>
      <w:r>
        <w:rPr>
          <w:rFonts w:ascii="IRNazanin" w:hAnsi="IRNazanin" w:eastAsia="IRNazanin" w:cs="IRNazanin"/>
          <w:lang w:bidi="fa-IR"/>
          <w:color w:val="111111"/>
          <w:sz w:val="28"/>
          <w:szCs w:val="28"/>
          <w:rtl/>
        </w:rPr>
        <w:t xml:space="preserve">المذکور فی نفحات الأنس ص 243 الذی کان عارفا شاعرا مات فی 680. ذکرا فی مجمع الفصحاء و آثار العجم أیضا.</w:t>
      </w:r>
    </w:p>
    <w:p>
      <w:pPr>
        <w:pStyle w:val="Heading3"/>
      </w:pPr>
      <w:bookmarkStart w:id="2080" w:name="_Toc776"/>
      <w:r>
        <w:t>637- دیوان أمین قزوینی أو شعره‏</w:t>
      </w:r>
      <w:bookmarkEnd w:id="2080"/>
    </w:p>
    <w:p>
      <w:pPr>
        <w:pStyle w:val="BookText"/>
      </w:pPr>
      <w:r>
        <w:rPr>
          <w:rFonts w:ascii="IRNazanin" w:hAnsi="IRNazanin" w:eastAsia="IRNazanin" w:cs="IRNazanin"/>
          <w:lang w:bidi="fa-IR"/>
          <w:color w:val="111111"/>
          <w:sz w:val="28"/>
          <w:szCs w:val="28"/>
          <w:rtl/>
        </w:rPr>
        <w:t xml:space="preserve">أورد شعره فی (تش- ص 223).</w:t>
      </w:r>
    </w:p>
    <w:p>
      <w:pPr>
        <w:pStyle w:val="Heading3"/>
      </w:pPr>
      <w:bookmarkStart w:id="2081" w:name="_Toc777"/>
      <w:r>
        <w:t>638- دیوان أمین قمی أو شعره‏</w:t>
      </w:r>
      <w:bookmarkEnd w:id="2081"/>
    </w:p>
    <w:p>
      <w:pPr>
        <w:pStyle w:val="BookText"/>
      </w:pPr>
      <w:r>
        <w:rPr>
          <w:rFonts w:ascii="IRNazanin" w:hAnsi="IRNazanin" w:eastAsia="IRNazanin" w:cs="IRNazanin"/>
          <w:lang w:bidi="fa-IR"/>
          <w:color w:val="111111"/>
          <w:sz w:val="28"/>
          <w:szCs w:val="28"/>
          <w:rtl/>
        </w:rPr>
        <w:t xml:space="preserve">و هو محمد أمین بن المیر أبی الفتح البزاز القمی. ترجمه معاصره النصرآبادی فی (نر 5- ص 115) و أورد شعره الذی رواه عنه مشفقی.</w:t>
      </w:r>
    </w:p>
    <w:p>
      <w:pPr>
        <w:pStyle w:val="Heading3"/>
      </w:pPr>
      <w:bookmarkStart w:id="2082" w:name="_Toc778"/>
      <w:r>
        <w:t>639- دیوان أمین کاشانی‏</w:t>
      </w:r>
      <w:bookmarkEnd w:id="2082"/>
    </w:p>
    <w:p>
      <w:pPr>
        <w:pStyle w:val="BookText"/>
      </w:pPr>
      <w:r>
        <w:rPr>
          <w:rFonts w:ascii="IRNazanin" w:hAnsi="IRNazanin" w:eastAsia="IRNazanin" w:cs="IRNazanin"/>
          <w:lang w:bidi="fa-IR"/>
          <w:color w:val="111111"/>
          <w:sz w:val="28"/>
          <w:szCs w:val="28"/>
          <w:rtl/>
        </w:rPr>
        <w:t xml:space="preserve">هو محمد أمین کوسج الکاشانی من أعاظم کاشان، له دیوان مرتب رآه لطف علی فذکره فی (تش- 241). و أخذ عنه فی (گلشن- 41). و لعله والد کاظم کاشی الآتی.</w:t>
      </w:r>
    </w:p>
    <w:p>
      <w:pPr>
        <w:pStyle w:val="Heading3"/>
      </w:pPr>
      <w:bookmarkStart w:id="2083" w:name="_Toc779"/>
      <w:r>
        <w:t>640- دیوان أمین مشهدی أو شعره‏</w:t>
      </w:r>
      <w:bookmarkEnd w:id="2083"/>
    </w:p>
    <w:p>
      <w:pPr>
        <w:pStyle w:val="BookText"/>
      </w:pPr>
      <w:r>
        <w:rPr>
          <w:rFonts w:ascii="IRNazanin" w:hAnsi="IRNazanin" w:eastAsia="IRNazanin" w:cs="IRNazanin"/>
          <w:lang w:bidi="fa-IR"/>
          <w:color w:val="111111"/>
          <w:sz w:val="28"/>
          <w:szCs w:val="28"/>
          <w:rtl/>
        </w:rPr>
        <w:t xml:space="preserve">هو محمد أمین الطبیب الماهر فی المعمی کذا وصفه فی (خص 8- ص 268) و أورد شعره. و لعله خواجه أمین بن ملا محمود کلید دار للآستانة الرضویة کما فی (تغ- ص 20).</w:t>
      </w:r>
    </w:p>
    <w:p>
      <w:pPr>
        <w:pStyle w:val="Heading3"/>
      </w:pPr>
      <w:bookmarkStart w:id="2084" w:name="_Toc780"/>
      <w:r>
        <w:t>641- دیوان أمین نصرآبادی‏</w:t>
      </w:r>
      <w:bookmarkEnd w:id="2084"/>
    </w:p>
    <w:p>
      <w:pPr>
        <w:pStyle w:val="BookText"/>
      </w:pPr>
      <w:r>
        <w:rPr>
          <w:rFonts w:ascii="IRNazanin" w:hAnsi="IRNazanin" w:eastAsia="IRNazanin" w:cs="IRNazanin"/>
          <w:lang w:bidi="fa-IR"/>
          <w:color w:val="111111"/>
          <w:sz w:val="28"/>
          <w:szCs w:val="28"/>
          <w:rtl/>
        </w:rPr>
        <w:t xml:space="preserve">حفید خال النصرآبادی صاحب التذکرة فترجمه فی (نر 11 و 12 ص- 453 و 486) و أطرأ فضله و کیاسته و خطه و شعره الجید المصنوع و نظمه للتواریخ و أورد أشعاره. و عنه أخذ فی (تش- 169).</w:t>
      </w:r>
    </w:p>
    <w:p>
      <w:pPr>
        <w:pStyle w:val="Heading3"/>
      </w:pPr>
      <w:bookmarkStart w:id="2085" w:name="_Toc781"/>
      <w:r>
        <w:t>642- دیوان أمین همدانی أو شعره‏</w:t>
      </w:r>
      <w:bookmarkEnd w:id="2085"/>
    </w:p>
    <w:p>
      <w:pPr>
        <w:pStyle w:val="BookText"/>
      </w:pPr>
      <w:r>
        <w:rPr>
          <w:rFonts w:ascii="IRNazanin" w:hAnsi="IRNazanin" w:eastAsia="IRNazanin" w:cs="IRNazanin"/>
          <w:lang w:bidi="fa-IR"/>
          <w:color w:val="111111"/>
          <w:sz w:val="28"/>
          <w:szCs w:val="28"/>
          <w:rtl/>
        </w:rPr>
        <w:t xml:space="preserve">کان کلانترزاده فی قصبة توی بهمدان. أورد شعره فی (خص 8- ص 300).</w:t>
      </w:r>
    </w:p>
    <w:p>
      <w:pPr>
        <w:pStyle w:val="Heading3"/>
      </w:pPr>
      <w:bookmarkStart w:id="2086" w:name="_Toc782"/>
      <w:r>
        <w:t>643- دیوان أمین هندی‏</w:t>
      </w:r>
      <w:bookmarkEnd w:id="2086"/>
    </w:p>
    <w:p>
      <w:pPr>
        <w:pStyle w:val="BookText"/>
      </w:pPr>
      <w:r>
        <w:rPr>
          <w:rFonts w:ascii="IRNazanin" w:hAnsi="IRNazanin" w:eastAsia="IRNazanin" w:cs="IRNazanin"/>
          <w:lang w:bidi="fa-IR"/>
          <w:color w:val="111111"/>
          <w:sz w:val="28"/>
          <w:szCs w:val="28"/>
          <w:rtl/>
        </w:rPr>
        <w:t xml:space="preserve">و هو محمد أمین الإسرائیلی من بلدة محمدپور بالهند.</w:t>
      </w:r>
    </w:p>
    <w:p>
      <w:pPr>
        <w:pStyle w:val="BookText"/>
      </w:pPr>
      <w:r>
        <w:rPr>
          <w:rFonts w:ascii="IRNazanin" w:hAnsi="IRNazanin" w:eastAsia="IRNazanin" w:cs="IRNazanin"/>
          <w:lang w:bidi="fa-IR"/>
          <w:color w:val="111111"/>
          <w:sz w:val="28"/>
          <w:szCs w:val="28"/>
          <w:rtl/>
        </w:rPr>
        <w:t xml:space="preserve">له گلشن سعادت و دیوان مرتب کما ذکره فی (گلشن- 41).</w:t>
      </w:r>
    </w:p>
    <w:p>
      <w:pPr>
        <w:pStyle w:val="Heading3"/>
      </w:pPr>
      <w:bookmarkStart w:id="2087" w:name="_Toc783"/>
      <w:r>
        <w:t>دیوان أمین یزدی‏</w:t>
      </w:r>
      <w:bookmarkEnd w:id="2087"/>
    </w:p>
    <w:p>
      <w:pPr>
        <w:pStyle w:val="BookText"/>
      </w:pPr>
      <w:r>
        <w:rPr>
          <w:rFonts w:ascii="IRNazanin" w:hAnsi="IRNazanin" w:eastAsia="IRNazanin" w:cs="IRNazanin"/>
          <w:lang w:bidi="fa-IR"/>
          <w:color w:val="111111"/>
          <w:sz w:val="28"/>
          <w:szCs w:val="28"/>
          <w:rtl/>
        </w:rPr>
        <w:t xml:space="preserve">ذکره فی (نر 12 ص- 486) و هو الآتی بعنوان و قاری یزدی. و لیس هو أمینا یزدی.</w:t>
      </w:r>
    </w:p>
    <w:p>
      <w:pPr>
        <w:pStyle w:val="Heading3"/>
      </w:pPr>
      <w:bookmarkStart w:id="2088" w:name="_Toc784"/>
      <w:r>
        <w:t>644- دیوان أمینی أسترآبادی أو شعره‏</w:t>
      </w:r>
      <w:bookmarkEnd w:id="2088"/>
    </w:p>
    <w:p>
      <w:pPr>
        <w:pStyle w:val="BookText"/>
      </w:pPr>
      <w:r>
        <w:rPr>
          <w:rFonts w:ascii="IRNazanin" w:hAnsi="IRNazanin" w:eastAsia="IRNazanin" w:cs="IRNazanin"/>
          <w:lang w:bidi="fa-IR"/>
          <w:color w:val="111111"/>
          <w:sz w:val="28"/>
          <w:szCs w:val="28"/>
          <w:rtl/>
        </w:rPr>
        <w:t xml:space="preserve">و هو المیر السید أمینی. ترجمه معاصره صادقی کتاب دار فی (خص 6- ص 95) و أورد شعره، و قال إنه قلیل الشعر.</w:t>
      </w:r>
    </w:p>
    <w:p>
      <w:pPr>
        <w:pStyle w:val="Heading3"/>
      </w:pPr>
      <w:bookmarkStart w:id="2089" w:name="_Toc785"/>
      <w:r>
        <w:t>645- دیوان أمینی ایرانی أو شعره‏</w:t>
      </w:r>
      <w:bookmarkEnd w:id="2089"/>
    </w:p>
    <w:p>
      <w:pPr>
        <w:pStyle w:val="BookText"/>
      </w:pPr>
      <w:r>
        <w:rPr>
          <w:rFonts w:ascii="IRNazanin" w:hAnsi="IRNazanin" w:eastAsia="IRNazanin" w:cs="IRNazanin"/>
          <w:lang w:bidi="fa-IR"/>
          <w:color w:val="111111"/>
          <w:sz w:val="28"/>
          <w:szCs w:val="28"/>
          <w:rtl/>
        </w:rPr>
        <w:t xml:space="preserve">و هو الذی مدح الشاه سلیمان العثمانی فی جلوسه (926). أورد شعره المستر براون فی أدبیات إیران ج 4 ص 63.</w:t>
      </w:r>
    </w:p>
    <w:p>
      <w:pPr>
        <w:pStyle w:val="Heading3"/>
      </w:pPr>
      <w:bookmarkStart w:id="2090" w:name="_Toc786"/>
      <w:r>
        <w:t>646- دیوان أمینی بلخی سمرقندی أو شعره‏</w:t>
      </w:r>
      <w:bookmarkEnd w:id="2090"/>
    </w:p>
    <w:p>
      <w:pPr>
        <w:pStyle w:val="BookText"/>
      </w:pPr>
      <w:r>
        <w:rPr>
          <w:rFonts w:ascii="IRNazanin" w:hAnsi="IRNazanin" w:eastAsia="IRNazanin" w:cs="IRNazanin"/>
          <w:lang w:bidi="fa-IR"/>
          <w:color w:val="111111"/>
          <w:sz w:val="28"/>
          <w:szCs w:val="28"/>
          <w:rtl/>
        </w:rPr>
        <w:t xml:space="preserve">هو ابن الشاعر أمین بلخی المذکور آنفا.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05" w:name="pg11704_121582"/>
    <w:bookmarkEnd w:id="105"/>
    <w:p>
      <w:pPr>
        <w:pStyle w:val="BookText"/>
      </w:pPr>
      <w:r>
        <w:rPr>
          <w:rFonts w:ascii="IRNazanin" w:hAnsi="IRNazanin" w:eastAsia="IRNazanin" w:cs="IRNazanin"/>
          <w:lang w:bidi="fa-IR"/>
          <w:color w:val="111111"/>
          <w:sz w:val="28"/>
          <w:szCs w:val="28"/>
          <w:rtl/>
        </w:rPr>
        <w:t xml:space="preserve">ترجمه المیر علی شیر فی (مجن 3- ص 75 و 250) و فی (بهش 2- ص 406) لقبه بسمرقندی. و لعله الذی سماه فی (تغ- ص 20) بإبراهیم و قال توفی (941)</w:t>
      </w:r>
    </w:p>
    <w:p>
      <w:pPr>
        <w:pStyle w:val="Heading3"/>
      </w:pPr>
      <w:bookmarkStart w:id="2091" w:name="_Toc787"/>
      <w:r>
        <w:t>دیوان أمینی تبریزی‏</w:t>
      </w:r>
      <w:bookmarkEnd w:id="2091"/>
    </w:p>
    <w:p>
      <w:pPr>
        <w:pStyle w:val="BookText"/>
      </w:pPr>
      <w:r>
        <w:rPr>
          <w:rFonts w:ascii="IRNazanin" w:hAnsi="IRNazanin" w:eastAsia="IRNazanin" w:cs="IRNazanin"/>
          <w:lang w:bidi="fa-IR"/>
          <w:color w:val="111111"/>
          <w:sz w:val="28"/>
          <w:szCs w:val="28"/>
          <w:rtl/>
        </w:rPr>
        <w:t xml:space="preserve">الصیاغ. کذا فی (دجا- ص 54) و لکن الصحیح أمین تبریزی.</w:t>
      </w:r>
    </w:p>
    <w:p>
      <w:pPr>
        <w:pStyle w:val="Heading3"/>
      </w:pPr>
      <w:bookmarkStart w:id="2092" w:name="_Toc788"/>
      <w:r>
        <w:t>دیوان أمینی ساوجی‏</w:t>
      </w:r>
      <w:bookmarkEnd w:id="2092"/>
    </w:p>
    <w:p>
      <w:pPr>
        <w:pStyle w:val="BookText"/>
      </w:pPr>
      <w:r>
        <w:rPr>
          <w:rFonts w:ascii="IRNazanin" w:hAnsi="IRNazanin" w:eastAsia="IRNazanin" w:cs="IRNazanin"/>
          <w:lang w:bidi="fa-IR"/>
          <w:color w:val="111111"/>
          <w:sz w:val="28"/>
          <w:szCs w:val="28"/>
          <w:rtl/>
        </w:rPr>
        <w:t xml:space="preserve">راجع دیوان أنسی ساوجی.</w:t>
      </w:r>
    </w:p>
    <w:p>
      <w:pPr>
        <w:pStyle w:val="Heading3"/>
      </w:pPr>
      <w:bookmarkStart w:id="2093" w:name="_Toc789"/>
      <w:r>
        <w:t>647- دیوان أمینی مشهدی أو شعره‏</w:t>
      </w:r>
      <w:bookmarkEnd w:id="2093"/>
    </w:p>
    <w:p>
      <w:pPr>
        <w:pStyle w:val="BookText"/>
      </w:pPr>
      <w:r>
        <w:rPr>
          <w:rFonts w:ascii="IRNazanin" w:hAnsi="IRNazanin" w:eastAsia="IRNazanin" w:cs="IRNazanin"/>
          <w:lang w:bidi="fa-IR"/>
          <w:color w:val="111111"/>
          <w:sz w:val="28"/>
          <w:szCs w:val="28"/>
          <w:rtl/>
        </w:rPr>
        <w:t xml:space="preserve">من شعراء طوس. ذکره فی (تش- ص 85) و فی (گلشن- ص 42) و قال هذا الأخیران اسمه حسن، فهو غیر أمین مشهدی المذکور فإن اسمه محمد أمین.</w:t>
      </w:r>
    </w:p>
    <w:p>
      <w:pPr>
        <w:pStyle w:val="Heading3"/>
      </w:pPr>
      <w:bookmarkStart w:id="2094" w:name="_Toc790"/>
      <w:r>
        <w:t>648- دیوان أمینی مراغی‏</w:t>
      </w:r>
      <w:bookmarkEnd w:id="2094"/>
    </w:p>
    <w:p>
      <w:pPr>
        <w:pStyle w:val="BookText"/>
      </w:pPr>
      <w:r>
        <w:rPr>
          <w:rFonts w:ascii="IRNazanin" w:hAnsi="IRNazanin" w:eastAsia="IRNazanin" w:cs="IRNazanin"/>
          <w:lang w:bidi="fa-IR"/>
          <w:color w:val="111111"/>
          <w:sz w:val="28"/>
          <w:szCs w:val="28"/>
          <w:rtl/>
        </w:rPr>
        <w:t xml:space="preserve">للمیرزا محمد تقی المراغی المسکن و المولد و المدفن، کان من العلماء توفی (حدود 1330) عن بنت واحدة، و قد تلف أکثر أشعاره و سائر آثاره و الباقی من أشعاره یقرب من خمسمائة بیت فیها الغزل و القصیدة بالفارسیة و الترکیة توجد نسخه منه بخط جید علی ورق أخضر فی مکتبة (سلطان القرائی).</w:t>
      </w:r>
    </w:p>
    <w:p>
      <w:pPr>
        <w:pStyle w:val="Heading3"/>
      </w:pPr>
      <w:bookmarkStart w:id="2095" w:name="_Toc791"/>
      <w:r>
        <w:t>دیوان انتخابی‏</w:t>
      </w:r>
      <w:bookmarkEnd w:id="2095"/>
    </w:p>
    <w:p>
      <w:pPr>
        <w:pStyle w:val="BookText"/>
      </w:pPr>
      <w:r>
        <w:rPr>
          <w:rFonts w:ascii="IRNazanin" w:hAnsi="IRNazanin" w:eastAsia="IRNazanin" w:cs="IRNazanin"/>
          <w:lang w:bidi="fa-IR"/>
          <w:color w:val="111111"/>
          <w:sz w:val="28"/>
          <w:szCs w:val="28"/>
          <w:rtl/>
        </w:rPr>
        <w:t xml:space="preserve">مر بعنوان إمام‏وردی انتخابی. أصله من خراسان و سکن الهند.</w:t>
      </w:r>
    </w:p>
    <w:p>
      <w:pPr>
        <w:pStyle w:val="Heading3"/>
      </w:pPr>
      <w:bookmarkStart w:id="2096" w:name="_Toc792"/>
      <w:r>
        <w:t>دیوان انتظام کرمانی‏</w:t>
      </w:r>
      <w:bookmarkEnd w:id="2096"/>
    </w:p>
    <w:p>
      <w:pPr>
        <w:pStyle w:val="BookText"/>
      </w:pPr>
      <w:r>
        <w:rPr>
          <w:rFonts w:ascii="IRNazanin" w:hAnsi="IRNazanin" w:eastAsia="IRNazanin" w:cs="IRNazanin"/>
          <w:lang w:bidi="fa-IR"/>
          <w:color w:val="111111"/>
          <w:sz w:val="28"/>
          <w:szCs w:val="28"/>
          <w:rtl/>
        </w:rPr>
        <w:t xml:space="preserve">یأتی بعنوان دیوان ثابت.</w:t>
      </w:r>
    </w:p>
    <w:p>
      <w:pPr>
        <w:pStyle w:val="Heading3"/>
      </w:pPr>
      <w:bookmarkStart w:id="2097" w:name="_Toc793"/>
      <w:r>
        <w:t>649- دیوان انجام هندی‏</w:t>
      </w:r>
      <w:bookmarkEnd w:id="2097"/>
    </w:p>
    <w:p>
      <w:pPr>
        <w:pStyle w:val="BookText"/>
      </w:pPr>
      <w:r>
        <w:rPr>
          <w:rFonts w:ascii="IRNazanin" w:hAnsi="IRNazanin" w:eastAsia="IRNazanin" w:cs="IRNazanin"/>
          <w:lang w:bidi="fa-IR"/>
          <w:color w:val="111111"/>
          <w:sz w:val="28"/>
          <w:szCs w:val="28"/>
          <w:rtl/>
        </w:rPr>
        <w:t xml:space="preserve">و اسمه أمیر بهادر خان من أحفاد الشاه نعمة الله ولی، و له انتساب مع الصفویة کما ذکر فی (گلشن- ص 42). کان حاکم کابل من قبل محمد پادشاه ثم نقل إلی الله‏آباد فی (1152) و قتل فی (1159) أورد شعره فی (گلشن- 42).</w:t>
      </w:r>
    </w:p>
    <w:p>
      <w:pPr>
        <w:pStyle w:val="Heading3"/>
      </w:pPr>
      <w:bookmarkStart w:id="2098" w:name="_Toc794"/>
      <w:r>
        <w:t>650- دیوان أنجب دهلوی أو شعره‏</w:t>
      </w:r>
      <w:bookmarkEnd w:id="2098"/>
    </w:p>
    <w:p>
      <w:pPr>
        <w:pStyle w:val="BookText"/>
      </w:pPr>
      <w:r>
        <w:rPr>
          <w:rFonts w:ascii="IRNazanin" w:hAnsi="IRNazanin" w:eastAsia="IRNazanin" w:cs="IRNazanin"/>
          <w:lang w:bidi="fa-IR"/>
          <w:color w:val="111111"/>
          <w:sz w:val="28"/>
          <w:szCs w:val="28"/>
          <w:rtl/>
        </w:rPr>
        <w:t xml:space="preserve">و اسمه حاجی ربیع مغربی. تلمذ علی مرتضی قلی بیگ الأصفهانی أورد شعره فی (روشن- ص 78).</w:t>
      </w:r>
    </w:p>
    <w:p>
      <w:pPr>
        <w:pStyle w:val="Heading3"/>
      </w:pPr>
      <w:bookmarkStart w:id="2099" w:name="_Toc795"/>
      <w:r>
        <w:t>651- دیوان أنجب کشمیری أو شعره‏</w:t>
      </w:r>
      <w:bookmarkEnd w:id="2099"/>
    </w:p>
    <w:p>
      <w:pPr>
        <w:pStyle w:val="BookText"/>
      </w:pPr>
      <w:r>
        <w:rPr>
          <w:rFonts w:ascii="IRNazanin" w:hAnsi="IRNazanin" w:eastAsia="IRNazanin" w:cs="IRNazanin"/>
          <w:lang w:bidi="fa-IR"/>
          <w:color w:val="111111"/>
          <w:sz w:val="28"/>
          <w:szCs w:val="28"/>
          <w:rtl/>
        </w:rPr>
        <w:t xml:space="preserve">هو ابن میر نعمة الله. أورد شعره فی (روشن- 78).</w:t>
      </w:r>
    </w:p>
    <w:p>
      <w:pPr>
        <w:pStyle w:val="Heading3"/>
      </w:pPr>
      <w:bookmarkStart w:id="2100" w:name="_Toc796"/>
      <w:r>
        <w:t>دیوان أنجدانی‏</w:t>
      </w:r>
      <w:bookmarkEnd w:id="2100"/>
    </w:p>
    <w:p>
      <w:pPr>
        <w:pStyle w:val="BookText"/>
      </w:pPr>
      <w:r>
        <w:rPr>
          <w:rFonts w:ascii="IRNazanin" w:hAnsi="IRNazanin" w:eastAsia="IRNazanin" w:cs="IRNazanin"/>
          <w:lang w:bidi="fa-IR"/>
          <w:color w:val="111111"/>
          <w:sz w:val="28"/>
          <w:szCs w:val="28"/>
          <w:rtl/>
        </w:rPr>
        <w:t xml:space="preserve">یأتی بعنوان دیوان شاه طاهر.</w:t>
      </w:r>
    </w:p>
    <w:p>
      <w:pPr>
        <w:pStyle w:val="Heading3"/>
      </w:pPr>
      <w:bookmarkStart w:id="2101" w:name="_Toc797"/>
      <w:r>
        <w:t>دیوان أنجدانی‏</w:t>
      </w:r>
      <w:bookmarkEnd w:id="2101"/>
    </w:p>
    <w:p>
      <w:pPr>
        <w:pStyle w:val="BookText"/>
      </w:pPr>
      <w:r>
        <w:rPr>
          <w:rFonts w:ascii="IRNazanin" w:hAnsi="IRNazanin" w:eastAsia="IRNazanin" w:cs="IRNazanin"/>
          <w:lang w:bidi="fa-IR"/>
          <w:color w:val="111111"/>
          <w:sz w:val="28"/>
          <w:szCs w:val="28"/>
          <w:rtl/>
        </w:rPr>
        <w:t xml:space="preserve">یأتی بعنوان دیوان طیفور.</w:t>
      </w:r>
    </w:p>
    <w:p>
      <w:pPr>
        <w:pStyle w:val="Heading3"/>
      </w:pPr>
      <w:bookmarkStart w:id="2102" w:name="_Toc798"/>
      <w:r>
        <w:t>652- دیوان أنجمن شیرازی‏</w:t>
      </w:r>
      <w:bookmarkEnd w:id="2102"/>
    </w:p>
    <w:p>
      <w:pPr>
        <w:pStyle w:val="BookText"/>
      </w:pPr>
      <w:r>
        <w:rPr>
          <w:rFonts w:ascii="IRNazanin" w:hAnsi="IRNazanin" w:eastAsia="IRNazanin" w:cs="IRNazanin"/>
          <w:lang w:bidi="fa-IR"/>
          <w:color w:val="111111"/>
          <w:sz w:val="28"/>
          <w:szCs w:val="28"/>
          <w:rtl/>
        </w:rPr>
        <w:t xml:space="preserve">و اسمه إسحاق الشیرازی. ترجمه و أورد شعره فی مدائح معتمدیة التذکرة التی ألفها محمد علی بهار و جمع فیها الشعراء الذین مدحوا معتمد الدولة منوچهر خان حاکم أصفهان فی (1250) و هم 87 شاعرا. و النسخة موجودة بالمجلس کما فی فهرسها (ج 3 ص 683).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06" w:name="pg11704_121583"/>
    <w:bookmarkEnd w:id="106"/>
    <w:p>
      <w:pPr>
        <w:pStyle w:val="Heading3"/>
      </w:pPr>
      <w:bookmarkStart w:id="2103" w:name="_Toc799"/>
      <w:r>
        <w:t>دیوان أنجوی‏</w:t>
      </w:r>
      <w:bookmarkEnd w:id="2103"/>
    </w:p>
    <w:p>
      <w:pPr>
        <w:pStyle w:val="BookText"/>
      </w:pPr>
      <w:r>
        <w:rPr>
          <w:rFonts w:ascii="IRNazanin" w:hAnsi="IRNazanin" w:eastAsia="IRNazanin" w:cs="IRNazanin"/>
          <w:lang w:bidi="fa-IR"/>
          <w:color w:val="111111"/>
          <w:sz w:val="28"/>
          <w:szCs w:val="28"/>
          <w:rtl/>
        </w:rPr>
        <w:t xml:space="preserve">مر فی العدد (217).</w:t>
      </w:r>
    </w:p>
    <w:p>
      <w:pPr>
        <w:pStyle w:val="Heading3"/>
      </w:pPr>
      <w:bookmarkStart w:id="2104" w:name="_Toc800"/>
      <w:r>
        <w:t>دیوان اندجانی‏</w:t>
      </w:r>
      <w:bookmarkEnd w:id="2104"/>
    </w:p>
    <w:p>
      <w:pPr>
        <w:pStyle w:val="BookText"/>
      </w:pPr>
      <w:r>
        <w:rPr>
          <w:rFonts w:ascii="IRNazanin" w:hAnsi="IRNazanin" w:eastAsia="IRNazanin" w:cs="IRNazanin"/>
          <w:lang w:bidi="fa-IR"/>
          <w:color w:val="111111"/>
          <w:sz w:val="28"/>
          <w:szCs w:val="28"/>
          <w:rtl/>
        </w:rPr>
        <w:t xml:space="preserve">یأتی بعنوان دیوان پردل.</w:t>
      </w:r>
    </w:p>
    <w:p>
      <w:pPr>
        <w:pStyle w:val="Heading3"/>
      </w:pPr>
      <w:bookmarkStart w:id="2105" w:name="_Toc801"/>
      <w:r>
        <w:t>653- دیوان إنسان أکبرآبادی أو شعره‏</w:t>
      </w:r>
      <w:bookmarkEnd w:id="2105"/>
    </w:p>
    <w:p>
      <w:pPr>
        <w:pStyle w:val="BookText"/>
      </w:pPr>
      <w:r>
        <w:rPr>
          <w:rFonts w:ascii="IRNazanin" w:hAnsi="IRNazanin" w:eastAsia="IRNazanin" w:cs="IRNazanin"/>
          <w:lang w:bidi="fa-IR"/>
          <w:color w:val="111111"/>
          <w:sz w:val="28"/>
          <w:szCs w:val="28"/>
          <w:rtl/>
        </w:rPr>
        <w:t xml:space="preserve">و اسمه أسدیار خان، من أمراء محمد پادشاه.</w:t>
      </w:r>
    </w:p>
    <w:p>
      <w:pPr>
        <w:pStyle w:val="BookText"/>
      </w:pPr>
      <w:r>
        <w:rPr>
          <w:rFonts w:ascii="IRNazanin" w:hAnsi="IRNazanin" w:eastAsia="IRNazanin" w:cs="IRNazanin"/>
          <w:lang w:bidi="fa-IR"/>
          <w:color w:val="111111"/>
          <w:sz w:val="28"/>
          <w:szCs w:val="28"/>
          <w:rtl/>
        </w:rPr>
        <w:t xml:space="preserve">مات بدهلی فی (1158) أورد شعره فی (روشن- ص 78).</w:t>
      </w:r>
    </w:p>
    <w:p>
      <w:pPr>
        <w:pStyle w:val="Heading3"/>
      </w:pPr>
      <w:bookmarkStart w:id="2106" w:name="_Toc802"/>
      <w:r>
        <w:t>654- دیوان أنسی أصفهانی أو شعره‏</w:t>
      </w:r>
      <w:bookmarkEnd w:id="2106"/>
    </w:p>
    <w:p>
      <w:pPr>
        <w:pStyle w:val="BookText"/>
      </w:pPr>
      <w:r>
        <w:rPr>
          <w:rFonts w:ascii="IRNazanin" w:hAnsi="IRNazanin" w:eastAsia="IRNazanin" w:cs="IRNazanin"/>
          <w:lang w:bidi="fa-IR"/>
          <w:color w:val="111111"/>
          <w:sz w:val="28"/>
          <w:szCs w:val="28"/>
          <w:rtl/>
        </w:rPr>
        <w:t xml:space="preserve">و هو حسن بیگ معاصر شفائی و کان من طائفة ذو القدر بنواحی أصفهان. ألف تذکره للشعراء و لم یتمه. أورد شعره فی (نر 9- ص 302) و قال فی (تغ- ص 20) إن أنسی تخلصه فی الهند و أما فی إیران فإنه کان یتخلص به (دلیری).</w:t>
      </w:r>
    </w:p>
    <w:p>
      <w:pPr>
        <w:pStyle w:val="Heading3"/>
      </w:pPr>
      <w:bookmarkStart w:id="2107" w:name="_Toc803"/>
      <w:r>
        <w:t>655- دیوان أنسی ساوجی قزوینی‏</w:t>
      </w:r>
      <w:bookmarkEnd w:id="2107"/>
    </w:p>
    <w:p>
      <w:pPr>
        <w:pStyle w:val="BookText"/>
      </w:pPr>
      <w:r>
        <w:rPr>
          <w:rFonts w:ascii="IRNazanin" w:hAnsi="IRNazanin" w:eastAsia="IRNazanin" w:cs="IRNazanin"/>
          <w:lang w:bidi="fa-IR"/>
          <w:color w:val="111111"/>
          <w:sz w:val="28"/>
          <w:szCs w:val="28"/>
          <w:rtl/>
        </w:rPr>
        <w:t xml:space="preserve">و اسمه القاضی نور الله، ابن أخ القاضی عیسی. کان قاضیا لبلاد عراق (أراک) ثم قاضیا لبلاد خراسان إلی أن مات هناک. قال فی (مجتس 3- ص- 142) إنه تمم دیوان غزل کامل. و سماه فی (تس 4- ص 73) بأمینی و قال بعثه الشاه رسولا إلی الأزبک و هو قریب للقاضی وصالی الشاعر و القاضی صفی الدین قضاة قزوین.</w:t>
      </w:r>
    </w:p>
    <w:p>
      <w:pPr>
        <w:pStyle w:val="Heading3"/>
      </w:pPr>
      <w:bookmarkStart w:id="2108" w:name="_Toc804"/>
      <w:r>
        <w:t>656- دیوان أنسی سیاه دانی أو شعره‏</w:t>
      </w:r>
      <w:bookmarkEnd w:id="2108"/>
    </w:p>
    <w:p>
      <w:pPr>
        <w:pStyle w:val="BookText"/>
      </w:pPr>
      <w:r>
        <w:rPr>
          <w:rFonts w:ascii="IRNazanin" w:hAnsi="IRNazanin" w:eastAsia="IRNazanin" w:cs="IRNazanin"/>
          <w:lang w:bidi="fa-IR"/>
          <w:color w:val="111111"/>
          <w:sz w:val="28"/>
          <w:szCs w:val="28"/>
          <w:rtl/>
        </w:rPr>
        <w:t xml:space="preserve">و هو عبد الرحمن بن بختیار العارف السیاح المتوفی بالهند (1025). ترجمه فی ریاض العارفین ص 283 و (روشن- 79).</w:t>
      </w:r>
    </w:p>
    <w:p>
      <w:pPr>
        <w:pStyle w:val="Heading3"/>
      </w:pPr>
      <w:bookmarkStart w:id="2109" w:name="_Toc805"/>
      <w:r>
        <w:t>657- دیوان أنسی شاملو أو شعره‏</w:t>
      </w:r>
      <w:bookmarkEnd w:id="2109"/>
    </w:p>
    <w:p>
      <w:pPr>
        <w:pStyle w:val="BookText"/>
      </w:pPr>
      <w:r>
        <w:rPr>
          <w:rFonts w:ascii="IRNazanin" w:hAnsi="IRNazanin" w:eastAsia="IRNazanin" w:cs="IRNazanin"/>
          <w:lang w:bidi="fa-IR"/>
          <w:color w:val="111111"/>
          <w:sz w:val="28"/>
          <w:szCs w:val="28"/>
          <w:rtl/>
        </w:rPr>
        <w:t xml:space="preserve">و اسمه إسماعیل بیگ. ذهب إلی الهند و تقرب عند شاه‏جهان پادشاه، و قتل (1206). أورد شعره فی (گلشن- ص 44) و قال فی (تغ- ص 20) إنه اخترم فی شبابه.</w:t>
      </w:r>
    </w:p>
    <w:p>
      <w:pPr>
        <w:pStyle w:val="Heading3"/>
      </w:pPr>
      <w:bookmarkStart w:id="2110" w:name="_Toc806"/>
      <w:r>
        <w:t>658- دیوان أنسی قندهاری أو شعره‏</w:t>
      </w:r>
      <w:bookmarkEnd w:id="2110"/>
    </w:p>
    <w:p>
      <w:pPr>
        <w:pStyle w:val="BookText"/>
      </w:pPr>
      <w:r>
        <w:rPr>
          <w:rFonts w:ascii="IRNazanin" w:hAnsi="IRNazanin" w:eastAsia="IRNazanin" w:cs="IRNazanin"/>
          <w:lang w:bidi="fa-IR"/>
          <w:color w:val="111111"/>
          <w:sz w:val="28"/>
          <w:szCs w:val="28"/>
          <w:rtl/>
        </w:rPr>
        <w:t xml:space="preserve">و اسمه محمد شاه، کان معاصرا لهمایون پادشاه الهندی أورد ذکره فی (تغ- ص 20).</w:t>
      </w:r>
    </w:p>
    <w:p>
      <w:pPr>
        <w:pStyle w:val="Heading3"/>
      </w:pPr>
      <w:bookmarkStart w:id="2111" w:name="_Toc807"/>
      <w:r>
        <w:t>659- دیوان أنسی گنابادی‏</w:t>
      </w:r>
      <w:bookmarkEnd w:id="2111"/>
    </w:p>
    <w:p>
      <w:pPr>
        <w:pStyle w:val="BookText"/>
      </w:pPr>
      <w:r>
        <w:rPr>
          <w:rFonts w:ascii="IRNazanin" w:hAnsi="IRNazanin" w:eastAsia="IRNazanin" w:cs="IRNazanin"/>
          <w:lang w:bidi="fa-IR"/>
          <w:color w:val="111111"/>
          <w:sz w:val="28"/>
          <w:szCs w:val="28"/>
          <w:rtl/>
        </w:rPr>
        <w:t xml:space="preserve">السید قطب الدین أمیر الحاج من أحفاد الشاه نعمة الله ولی. ترجمه فی ریاض العارفین (ص 65) و ذکره فی (تغ- ص 20) و (تش- ص 70) و قالا مات (920) له دیوان غزل و دیوان قصائد، و کان یتخلص فی دیوان قصائده بأمیر حاج و قد ذکرناه بهذا العنوان فی العدد 604. و فی الغزل بأنسی فذکرناه هاهنا.</w:t>
      </w:r>
    </w:p>
    <w:p>
      <w:pPr>
        <w:pStyle w:val="BookText"/>
      </w:pPr>
      <w:r>
        <w:rPr>
          <w:rFonts w:ascii="IRNazanin" w:hAnsi="IRNazanin" w:eastAsia="IRNazanin" w:cs="IRNazanin"/>
          <w:lang w:bidi="fa-IR"/>
          <w:color w:val="111111"/>
          <w:sz w:val="28"/>
          <w:szCs w:val="28"/>
          <w:rtl/>
        </w:rPr>
        <w:t xml:space="preserve">و کان ماهرا فی الشعر حتی أجاب أربعین قصیدة لأمیر خسرو دهلوی فی مجلس واحد.</w:t>
      </w:r>
    </w:p>
    <w:p>
      <w:pPr>
        <w:pStyle w:val="Heading3"/>
      </w:pPr>
      <w:bookmarkStart w:id="2112" w:name="_Toc808"/>
      <w:r>
        <w:t>660- دیوان الأنسی الیمنی أو شعره‏</w:t>
      </w:r>
      <w:bookmarkEnd w:id="2112"/>
    </w:p>
    <w:p>
      <w:pPr>
        <w:pStyle w:val="BookText"/>
      </w:pPr>
      <w:r>
        <w:rPr>
          <w:rFonts w:ascii="IRNazanin" w:hAnsi="IRNazanin" w:eastAsia="IRNazanin" w:cs="IRNazanin"/>
          <w:lang w:bidi="fa-IR"/>
          <w:color w:val="111111"/>
          <w:sz w:val="28"/>
          <w:szCs w:val="28"/>
          <w:rtl/>
        </w:rPr>
        <w:t xml:space="preserve">و هو شهاب الدین أحمد بن محمد، ترجمه فی السلافة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7" w:name="pg11704_121584"/>
    <w:bookmarkEnd w:id="107"/>
    <w:p>
      <w:pPr>
        <w:pStyle w:val="BookText"/>
      </w:pPr>
      <w:r>
        <w:rPr>
          <w:rFonts w:ascii="IRNazanin" w:hAnsi="IRNazanin" w:eastAsia="IRNazanin" w:cs="IRNazanin"/>
          <w:lang w:bidi="fa-IR"/>
          <w:color w:val="111111"/>
          <w:sz w:val="28"/>
          <w:szCs w:val="28"/>
          <w:rtl/>
        </w:rPr>
        <w:t xml:space="preserve">(ص 470) و قال إن بعض شعره ملحون. مدح شریف مکة زید بن محسن.</w:t>
      </w:r>
    </w:p>
    <w:p>
      <w:pPr>
        <w:pStyle w:val="Heading3"/>
      </w:pPr>
      <w:bookmarkStart w:id="2113" w:name="_Toc809"/>
      <w:r>
        <w:t>661- دیوان إن شاء الله خان الهندی‏</w:t>
      </w:r>
      <w:bookmarkEnd w:id="2113"/>
    </w:p>
    <w:p>
      <w:pPr>
        <w:pStyle w:val="BookText"/>
      </w:pPr>
      <w:r>
        <w:rPr>
          <w:rFonts w:ascii="IRNazanin" w:hAnsi="IRNazanin" w:eastAsia="IRNazanin" w:cs="IRNazanin"/>
          <w:lang w:bidi="fa-IR"/>
          <w:color w:val="111111"/>
          <w:sz w:val="28"/>
          <w:szCs w:val="28"/>
          <w:rtl/>
        </w:rPr>
        <w:t xml:space="preserve">. طبع بنولکشور.</w:t>
      </w:r>
    </w:p>
    <w:p>
      <w:pPr>
        <w:pStyle w:val="Heading3"/>
      </w:pPr>
      <w:bookmarkStart w:id="2114" w:name="_Toc810"/>
      <w:r>
        <w:t>662- دیوان أنصاری قمی‏</w:t>
      </w:r>
      <w:bookmarkEnd w:id="2114"/>
    </w:p>
    <w:p>
      <w:pPr>
        <w:pStyle w:val="BookText"/>
      </w:pPr>
      <w:r>
        <w:rPr>
          <w:rFonts w:ascii="IRNazanin" w:hAnsi="IRNazanin" w:eastAsia="IRNazanin" w:cs="IRNazanin"/>
          <w:lang w:bidi="fa-IR"/>
          <w:color w:val="111111"/>
          <w:sz w:val="28"/>
          <w:szCs w:val="28"/>
          <w:rtl/>
        </w:rPr>
        <w:t xml:space="preserve">من شعراء السلطان یعقوب آق‏قوینلو. ترجمه فی (تس 5- ص 138) و عنه فی (تش- ص 229) و قال فی (روشن- ص 79) إن له مثنوی لطیف فی مدح السلطان یعقوب و مات (895).</w:t>
      </w:r>
    </w:p>
    <w:p>
      <w:pPr>
        <w:pStyle w:val="Heading3"/>
      </w:pPr>
      <w:bookmarkStart w:id="2115" w:name="_Toc811"/>
      <w:r>
        <w:t>663- دیوان أنصاری قمی‏</w:t>
      </w:r>
      <w:bookmarkEnd w:id="2115"/>
    </w:p>
    <w:p>
      <w:pPr>
        <w:pStyle w:val="BookText"/>
      </w:pPr>
      <w:r>
        <w:rPr>
          <w:rFonts w:ascii="IRNazanin" w:hAnsi="IRNazanin" w:eastAsia="IRNazanin" w:cs="IRNazanin"/>
          <w:lang w:bidi="fa-IR"/>
          <w:color w:val="111111"/>
          <w:sz w:val="28"/>
          <w:szCs w:val="28"/>
          <w:rtl/>
        </w:rPr>
        <w:t xml:space="preserve">للمیر محمد علی بن حسین القمی المعاصر المولود (1329) فیه مدائح للأئمة و العلماء و طبع له خزائن المراثی و دیوان المناقب فی (15000 بیت) و دریای نور و له آیینه دل و طبع له نهج البلاغة منظوم فی (281 ص).</w:t>
      </w:r>
    </w:p>
    <w:p>
      <w:pPr>
        <w:pStyle w:val="Heading3"/>
      </w:pPr>
      <w:bookmarkStart w:id="2116" w:name="_Toc812"/>
      <w:r>
        <w:t>دیوان أنصاری هروی‏</w:t>
      </w:r>
      <w:bookmarkEnd w:id="2116"/>
    </w:p>
    <w:p>
      <w:pPr>
        <w:pStyle w:val="BookText"/>
      </w:pPr>
      <w:r>
        <w:rPr>
          <w:rFonts w:ascii="IRNazanin" w:hAnsi="IRNazanin" w:eastAsia="IRNazanin" w:cs="IRNazanin"/>
          <w:lang w:bidi="fa-IR"/>
          <w:color w:val="111111"/>
          <w:sz w:val="28"/>
          <w:szCs w:val="28"/>
          <w:rtl/>
        </w:rPr>
        <w:t xml:space="preserve">یأتی بعنوان خواجه عبد الله أنصاری.</w:t>
      </w:r>
    </w:p>
    <w:p>
      <w:pPr>
        <w:pStyle w:val="Heading3"/>
      </w:pPr>
      <w:bookmarkStart w:id="2117" w:name="_Toc813"/>
      <w:r>
        <w:t>664- دیوان إنصاف جونپوری أو شعره‏</w:t>
      </w:r>
      <w:bookmarkEnd w:id="2117"/>
    </w:p>
    <w:p>
      <w:pPr>
        <w:pStyle w:val="BookText"/>
      </w:pPr>
      <w:r>
        <w:rPr>
          <w:rFonts w:ascii="IRNazanin" w:hAnsi="IRNazanin" w:eastAsia="IRNazanin" w:cs="IRNazanin"/>
          <w:lang w:bidi="fa-IR"/>
          <w:color w:val="111111"/>
          <w:sz w:val="28"/>
          <w:szCs w:val="28"/>
          <w:rtl/>
        </w:rPr>
        <w:t xml:space="preserve">و هو الشیخ محمد یحیی مرید الخواجة الله‏آبادی. أورد شعره فی (روشن- ص 79).</w:t>
      </w:r>
    </w:p>
    <w:p>
      <w:pPr>
        <w:pStyle w:val="Heading3"/>
      </w:pPr>
      <w:bookmarkStart w:id="2118" w:name="_Toc814"/>
      <w:r>
        <w:t>665- دیوان إنصاف خراسانی هندی‏</w:t>
      </w:r>
      <w:bookmarkEnd w:id="2118"/>
    </w:p>
    <w:p>
      <w:pPr>
        <w:pStyle w:val="BookText"/>
      </w:pPr>
      <w:r>
        <w:rPr>
          <w:rFonts w:ascii="IRNazanin" w:hAnsi="IRNazanin" w:eastAsia="IRNazanin" w:cs="IRNazanin"/>
          <w:lang w:bidi="fa-IR"/>
          <w:color w:val="111111"/>
          <w:sz w:val="28"/>
          <w:szCs w:val="28"/>
          <w:rtl/>
        </w:rPr>
        <w:t xml:space="preserve">و اسمه محمد مقیم کما فی (مرآة الخیال ص 304 و 305) أو محمد إبراهیم کما فی (سرخوش- ص 8) و (روشن- ص 79) و (گلشن ص 45) و عنهم أخذ سامی فی قاموس الأعلام الترکیة و عنه فی ریحانة الأدب، و الصحیح ما ذکره معاصره شیر علی لودی المتوفی (1102). و علی أی فإن أصله من خراسان و نشا فی پنجاب الهند و مات (1104) فی شبابه کما فی (تغ- 21).</w:t>
      </w:r>
    </w:p>
    <w:p>
      <w:pPr>
        <w:pStyle w:val="Heading3"/>
      </w:pPr>
      <w:bookmarkStart w:id="2119" w:name="_Toc815"/>
      <w:r>
        <w:t>666- دیوان إنصاف قاجار</w:t>
      </w:r>
      <w:bookmarkEnd w:id="2119"/>
    </w:p>
    <w:p>
      <w:pPr>
        <w:pStyle w:val="BookText"/>
      </w:pPr>
      <w:r>
        <w:rPr>
          <w:rFonts w:ascii="IRNazanin" w:hAnsi="IRNazanin" w:eastAsia="IRNazanin" w:cs="IRNazanin"/>
          <w:lang w:bidi="fa-IR"/>
          <w:color w:val="111111"/>
          <w:sz w:val="28"/>
          <w:szCs w:val="28"/>
          <w:rtl/>
        </w:rPr>
        <w:t xml:space="preserve">لا یرج میرزا بن فتح علی شاه. ولد (1222) و جاور مشهد خراسان عشرین سنة، و أنشأ القصائد فی مدح الرضا علیه السلام . و فی أواسط عمره سکن طهران إلی زمن تألیف مجمع الفصحاء فی (1274) فترجمه فیه (ج 1 ص 12) و أورد ما یقرب من مائتی بیت من دیوانه.</w:t>
      </w:r>
    </w:p>
    <w:p>
      <w:pPr>
        <w:pStyle w:val="Heading3"/>
      </w:pPr>
      <w:bookmarkStart w:id="2120" w:name="_Toc816"/>
      <w:r>
        <w:t>667- دیوان إنصاف هندی‏</w:t>
      </w:r>
      <w:bookmarkEnd w:id="2120"/>
    </w:p>
    <w:p>
      <w:pPr>
        <w:pStyle w:val="BookText"/>
      </w:pPr>
      <w:r>
        <w:rPr>
          <w:rFonts w:ascii="IRNazanin" w:hAnsi="IRNazanin" w:eastAsia="IRNazanin" w:cs="IRNazanin"/>
          <w:lang w:bidi="fa-IR"/>
          <w:color w:val="111111"/>
          <w:sz w:val="28"/>
          <w:szCs w:val="28"/>
          <w:rtl/>
        </w:rPr>
        <w:t xml:space="preserve">و اسمه میرزا نقی خان بن نقد علی خان. کان یتخلص أولا به نظم ثم ترکه و أخذ إنصاف تخلصا. و مات فی (1195) ذکره فی (گلشن- ص 45). و راجع علی نقی إنصاف ص 763.</w:t>
      </w:r>
    </w:p>
    <w:p>
      <w:pPr>
        <w:pStyle w:val="Heading3"/>
      </w:pPr>
      <w:bookmarkStart w:id="2121" w:name="_Toc817"/>
      <w:r>
        <w:t>668- دیوان الأنواء</w:t>
      </w:r>
      <w:bookmarkEnd w:id="2121"/>
    </w:p>
    <w:p>
      <w:pPr>
        <w:pStyle w:val="BookText"/>
      </w:pPr>
      <w:r>
        <w:rPr>
          <w:rFonts w:ascii="IRNazanin" w:hAnsi="IRNazanin" w:eastAsia="IRNazanin" w:cs="IRNazanin"/>
          <w:lang w:bidi="fa-IR"/>
          <w:color w:val="111111"/>
          <w:sz w:val="28"/>
          <w:szCs w:val="28"/>
          <w:rtl/>
        </w:rPr>
        <w:t xml:space="preserve">للسید میر علی أبو طبیخ النجفی المتوفی (1361) عن نیف‏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8" w:name="pg11704_121585"/>
    <w:bookmarkEnd w:id="108"/>
    <w:p>
      <w:pPr>
        <w:pStyle w:val="BookText"/>
      </w:pPr>
      <w:r>
        <w:rPr>
          <w:rFonts w:ascii="IRNazanin" w:hAnsi="IRNazanin" w:eastAsia="IRNazanin" w:cs="IRNazanin"/>
          <w:lang w:bidi="fa-IR"/>
          <w:color w:val="111111"/>
          <w:sz w:val="28"/>
          <w:szCs w:val="28"/>
          <w:rtl/>
        </w:rPr>
        <w:t xml:space="preserve">و خمسین من سنة. و هو ابن السید عباس بن راضی بن حسن بن مهدی بن عبد الله بن محمد بن السید هاشم النجفی. جمعه بعد موته جعفر الخلیلی و رتبه علی ثلاثة أبواب: 1- الخواطر و الأحلام 2- العواطف و الأنعام 3- الشجون و الآلام. و طبعه بمطبعة الراعی فی النجف (1362).</w:t>
      </w:r>
    </w:p>
    <w:p>
      <w:pPr>
        <w:pStyle w:val="Heading3"/>
      </w:pPr>
      <w:bookmarkStart w:id="2122" w:name="_Toc818"/>
      <w:r>
        <w:t>دیوان أنوار</w:t>
      </w:r>
      <w:bookmarkEnd w:id="2122"/>
    </w:p>
    <w:p>
      <w:pPr>
        <w:pStyle w:val="BookText"/>
      </w:pPr>
      <w:r>
        <w:rPr>
          <w:rFonts w:ascii="IRNazanin" w:hAnsi="IRNazanin" w:eastAsia="IRNazanin" w:cs="IRNazanin"/>
          <w:lang w:bidi="fa-IR"/>
          <w:color w:val="111111"/>
          <w:sz w:val="28"/>
          <w:szCs w:val="28"/>
          <w:rtl/>
        </w:rPr>
        <w:t xml:space="preserve">یأتی بعنوان قاسم الأنوار.</w:t>
      </w:r>
    </w:p>
    <w:p>
      <w:pPr>
        <w:pStyle w:val="Heading3"/>
      </w:pPr>
      <w:bookmarkStart w:id="2123" w:name="_Toc819"/>
      <w:r>
        <w:t>669- دیوان أنوار بخارائی‏</w:t>
      </w:r>
      <w:bookmarkEnd w:id="2123"/>
    </w:p>
    <w:p>
      <w:pPr>
        <w:pStyle w:val="BookText"/>
      </w:pPr>
      <w:r>
        <w:rPr>
          <w:rFonts w:ascii="IRNazanin" w:hAnsi="IRNazanin" w:eastAsia="IRNazanin" w:cs="IRNazanin"/>
          <w:lang w:bidi="fa-IR"/>
          <w:color w:val="111111"/>
          <w:sz w:val="28"/>
          <w:szCs w:val="28"/>
          <w:rtl/>
        </w:rPr>
        <w:t xml:space="preserve">و اسمه الملا بقا البخاری. ترجمه النصرآبادی فی (نر 10- ص 443) و أورد شعره و قال إنه حدیث السن.</w:t>
      </w:r>
    </w:p>
    <w:p>
      <w:pPr>
        <w:pStyle w:val="Heading3"/>
      </w:pPr>
      <w:bookmarkStart w:id="2124" w:name="_Toc820"/>
      <w:r>
        <w:t>670- دیوان أنوار همدانی أو شعره‏</w:t>
      </w:r>
      <w:bookmarkEnd w:id="2124"/>
    </w:p>
    <w:p>
      <w:pPr>
        <w:pStyle w:val="BookText"/>
      </w:pPr>
      <w:r>
        <w:rPr>
          <w:rFonts w:ascii="IRNazanin" w:hAnsi="IRNazanin" w:eastAsia="IRNazanin" w:cs="IRNazanin"/>
          <w:lang w:bidi="fa-IR"/>
          <w:color w:val="111111"/>
          <w:sz w:val="28"/>
          <w:szCs w:val="28"/>
          <w:rtl/>
        </w:rPr>
        <w:t xml:space="preserve">قال فی (تس 5- ص 135) إن مولانا أنوار من أهل همدان و أطری طبعه و شعره و ذکر بعض شعره. و عنه أخذ فی (تش- ص 255) و قال فی (روشن- 80) إنه مات (933).</w:t>
      </w:r>
    </w:p>
    <w:p>
      <w:pPr>
        <w:pStyle w:val="Heading3"/>
      </w:pPr>
      <w:bookmarkStart w:id="2125" w:name="_Toc821"/>
      <w:r>
        <w:t>671- دیوان أنور کوپاموی‏</w:t>
      </w:r>
      <w:bookmarkEnd w:id="2125"/>
    </w:p>
    <w:p>
      <w:pPr>
        <w:pStyle w:val="BookText"/>
      </w:pPr>
      <w:r>
        <w:rPr>
          <w:rFonts w:ascii="IRNazanin" w:hAnsi="IRNazanin" w:eastAsia="IRNazanin" w:cs="IRNazanin"/>
          <w:lang w:bidi="fa-IR"/>
          <w:color w:val="111111"/>
          <w:sz w:val="28"/>
          <w:szCs w:val="28"/>
          <w:rtl/>
        </w:rPr>
        <w:t xml:space="preserve">و اسمه نور الدین محمد خان بهادر، من أحفاد أنور الدین خان. له دیوانان فارسیان یتخلص فی أحدهما بأنور و فی الثانی دل مات (1212) ذکره فی (گلشن- 47).</w:t>
      </w:r>
    </w:p>
    <w:p>
      <w:pPr>
        <w:pStyle w:val="Heading3"/>
      </w:pPr>
      <w:bookmarkStart w:id="2126" w:name="_Toc822"/>
      <w:r>
        <w:t>672- دیوان أنور لاهوری أو شعره‏</w:t>
      </w:r>
      <w:bookmarkEnd w:id="2126"/>
    </w:p>
    <w:p>
      <w:pPr>
        <w:pStyle w:val="BookText"/>
      </w:pPr>
      <w:r>
        <w:rPr>
          <w:rFonts w:ascii="IRNazanin" w:hAnsi="IRNazanin" w:eastAsia="IRNazanin" w:cs="IRNazanin"/>
          <w:lang w:bidi="fa-IR"/>
          <w:color w:val="111111"/>
          <w:sz w:val="28"/>
          <w:szCs w:val="28"/>
          <w:rtl/>
        </w:rPr>
        <w:t xml:space="preserve">و اسمه ملا نور محمد، من شعراء عهد جهانگیر و شاه‏جهان أورد شعره فی (گلشن- ص 47) و (تذکره میخانه) و قال فی (روشن ص 80) نقلا عن آفتاب عالم تاب أنه مات (1040).</w:t>
      </w:r>
    </w:p>
    <w:p>
      <w:pPr>
        <w:pStyle w:val="Heading3"/>
      </w:pPr>
      <w:bookmarkStart w:id="2127" w:name="_Toc823"/>
      <w:r>
        <w:t>673- دیوان أنوری أصفهانی أو شعره‏</w:t>
      </w:r>
      <w:bookmarkEnd w:id="2127"/>
    </w:p>
    <w:p>
      <w:pPr>
        <w:pStyle w:val="BookText"/>
      </w:pPr>
      <w:r>
        <w:rPr>
          <w:rFonts w:ascii="IRNazanin" w:hAnsi="IRNazanin" w:eastAsia="IRNazanin" w:cs="IRNazanin"/>
          <w:lang w:bidi="fa-IR"/>
          <w:color w:val="111111"/>
          <w:sz w:val="28"/>
          <w:szCs w:val="28"/>
          <w:rtl/>
        </w:rPr>
        <w:t xml:space="preserve">قال فی (روشن- ص 81) إن اسمه علی نقی کان صحافا، و لکن أظنه متحدا مع ما بعده.</w:t>
      </w:r>
    </w:p>
    <w:p>
      <w:pPr>
        <w:pStyle w:val="Heading3"/>
      </w:pPr>
      <w:bookmarkStart w:id="2128" w:name="_Toc824"/>
      <w:r>
        <w:t>674- دیوان أنوری بلخی أو شعره‏</w:t>
      </w:r>
      <w:bookmarkEnd w:id="2128"/>
    </w:p>
    <w:p>
      <w:pPr>
        <w:pStyle w:val="BookText"/>
      </w:pPr>
      <w:r>
        <w:rPr>
          <w:rFonts w:ascii="IRNazanin" w:hAnsi="IRNazanin" w:eastAsia="IRNazanin" w:cs="IRNazanin"/>
          <w:lang w:bidi="fa-IR"/>
          <w:color w:val="111111"/>
          <w:sz w:val="28"/>
          <w:szCs w:val="28"/>
          <w:rtl/>
        </w:rPr>
        <w:t xml:space="preserve">قال فی (روشن- ص 80) إنه بخارائی و کان من کتاب مکتبة میر علی شیر ثم أورد شعره. و ترجمه المیر علی شیر فی (مجن 3- ص 66 و 239) و قال کان حاد المزاج و لم یذکر کتابته له.</w:t>
      </w:r>
    </w:p>
    <w:p>
      <w:pPr>
        <w:pStyle w:val="Heading3"/>
      </w:pPr>
      <w:bookmarkStart w:id="2129" w:name="_Toc825"/>
      <w:r>
        <w:t>675- دیوان أنوری‏</w:t>
      </w:r>
      <w:bookmarkEnd w:id="2129"/>
    </w:p>
    <w:p>
      <w:pPr>
        <w:pStyle w:val="BookText"/>
      </w:pPr>
      <w:r>
        <w:rPr>
          <w:rFonts w:ascii="IRNazanin" w:hAnsi="IRNazanin" w:eastAsia="IRNazanin" w:cs="IRNazanin"/>
          <w:lang w:bidi="fa-IR"/>
          <w:color w:val="111111"/>
          <w:sz w:val="28"/>
          <w:szCs w:val="28"/>
          <w:rtl/>
        </w:rPr>
        <w:t xml:space="preserve">هو الشاعر الحکیم‏</w:t>
      </w:r>
      <w:r>
        <w:rPr>
          <w:rStyle w:val="FootnoteReference"/>
        </w:rPr>
        <w:footnoteReference w:id="9"/>
      </w:r>
      <w:r>
        <w:rPr>
          <w:rFonts w:ascii="IRNazanin" w:hAnsi="IRNazanin" w:eastAsia="IRNazanin" w:cs="IRNazanin"/>
          <w:lang w:bidi="fa-IR"/>
          <w:color w:val="111111"/>
          <w:sz w:val="28"/>
          <w:szCs w:val="28"/>
          <w:rtl/>
        </w:rPr>
        <w:t xml:space="preserve">أوحد الدین علی بن إسحاق الأبیوردی‏ .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09" w:name="pg11704_121586"/>
    <w:bookmarkEnd w:id="109"/>
    <w:p>
      <w:pPr>
        <w:pStyle w:val="BookText"/>
      </w:pPr>
      <w:r>
        <w:rPr>
          <w:rFonts w:ascii="IRNazanin" w:hAnsi="IRNazanin" w:eastAsia="IRNazanin" w:cs="IRNazanin"/>
          <w:lang w:bidi="fa-IR"/>
          <w:color w:val="111111"/>
          <w:sz w:val="28"/>
          <w:szCs w:val="28"/>
          <w:rtl/>
        </w:rPr>
        <w:t xml:space="preserve">الخاورانی، و لذا کان تخلصه أولا خاوری ثم غیره بأمر أستاذه کما حکاه مجالس المؤمنین (ص 488) کان مداح السلطان سنجر و وزرائه و بقی بعده و رثاه و أرخ وفاته فی (552) کما أرخه دولت شاه فی بعض نسخ تذکرته، و حقق ذلک میرزا محمد خان القزوینی فی المقالة العشرین من بیست مقالة ص 290 توجد نسخه منه فی مکتبة فینه فی النمسا کما فی فهرسها. و قد طبع فی تبریز فی (1266) و یأتی کلیاته المطبوع فی کلکتة و حکی عن صاحب الریاض أنه ترجمه فی باب الألقاب مصرحا بأنه من حکماء الشیعة. و طبع فی بمبئی أیضا فی (1314) و أورد النصرآبادی فی (نر 13- ص 494) ألغازا کثیرة للحکیم الأنوری.</w:t>
      </w:r>
    </w:p>
    <w:p>
      <w:pPr>
        <w:pStyle w:val="BookText"/>
      </w:pPr>
      <w:r>
        <w:rPr>
          <w:rFonts w:ascii="IRNazanin" w:hAnsi="IRNazanin" w:eastAsia="IRNazanin" w:cs="IRNazanin"/>
          <w:lang w:bidi="fa-IR"/>
          <w:color w:val="111111"/>
          <w:sz w:val="28"/>
          <w:szCs w:val="28"/>
          <w:rtl/>
        </w:rPr>
        <w:t xml:space="preserve">و ترجمه شاه محمد القزوینی فی (بهش 1- ص 324) و فی ریاض العارفین (ص 286) و (مرآة الخیال- ص 31) و غیرها من التذاکر و أوردوا کثیرا من أشعاره الحکمیة و غیرها.</w:t>
      </w:r>
    </w:p>
    <w:p>
      <w:pPr>
        <w:pStyle w:val="Heading3"/>
      </w:pPr>
      <w:bookmarkStart w:id="2130" w:name="_Toc826"/>
      <w:r>
        <w:t>676- دیوان أنیس تبریزی أو شعره‏</w:t>
      </w:r>
      <w:bookmarkEnd w:id="2130"/>
    </w:p>
    <w:p>
      <w:pPr>
        <w:pStyle w:val="BookText"/>
      </w:pPr>
      <w:r>
        <w:rPr>
          <w:rFonts w:ascii="IRNazanin" w:hAnsi="IRNazanin" w:eastAsia="IRNazanin" w:cs="IRNazanin"/>
          <w:lang w:bidi="fa-IR"/>
          <w:color w:val="111111"/>
          <w:sz w:val="28"/>
          <w:szCs w:val="28"/>
          <w:rtl/>
        </w:rPr>
        <w:t xml:space="preserve">و هو حیدر بیک بن أستاذ شیخی توپچی توفی فی الموت حدود (964) و ترجمه فی (دجا- ص 54) عن شرف‏نامه و فی (روشن- ص 81).</w:t>
      </w:r>
    </w:p>
    <w:p>
      <w:pPr>
        <w:pStyle w:val="Heading3"/>
      </w:pPr>
      <w:bookmarkStart w:id="2131" w:name="_Toc827"/>
      <w:r>
        <w:t>677- دیوان أنیس‏</w:t>
      </w:r>
      <w:bookmarkEnd w:id="2131"/>
    </w:p>
    <w:p>
      <w:pPr>
        <w:pStyle w:val="BookText"/>
      </w:pPr>
      <w:r>
        <w:rPr>
          <w:rFonts w:ascii="IRNazanin" w:hAnsi="IRNazanin" w:eastAsia="IRNazanin" w:cs="IRNazanin"/>
          <w:lang w:bidi="fa-IR"/>
          <w:color w:val="111111"/>
          <w:sz w:val="28"/>
          <w:szCs w:val="28"/>
          <w:rtl/>
        </w:rPr>
        <w:t xml:space="preserve">فارسی مطبوع بالهند و یأتی کلیاته أیضا و هو المیر ببر علی صاحب الهندی المتخلص بأنیس. و توجد منظومة شاهکار أنیس فی الرضویة.</w:t>
      </w:r>
    </w:p>
    <w:p>
      <w:pPr>
        <w:pStyle w:val="Heading3"/>
      </w:pPr>
      <w:bookmarkStart w:id="2132" w:name="_Toc828"/>
      <w:r>
        <w:t>678- دیوان أنیس النهاوندی‏</w:t>
      </w:r>
      <w:bookmarkEnd w:id="2132"/>
    </w:p>
    <w:p>
      <w:pPr>
        <w:pStyle w:val="BookText"/>
      </w:pPr>
      <w:r>
        <w:rPr>
          <w:rFonts w:ascii="IRNazanin" w:hAnsi="IRNazanin" w:eastAsia="IRNazanin" w:cs="IRNazanin"/>
          <w:lang w:bidi="fa-IR"/>
          <w:color w:val="111111"/>
          <w:sz w:val="28"/>
          <w:szCs w:val="28"/>
          <w:rtl/>
        </w:rPr>
        <w:t xml:space="preserve">اسمه میرزا یوسف من ملازمی شاه‏زاده محمود میرزا بن فتح علی شاه و توفی (1237) قال فی (مع- ج 2 ص 70) إن دیوانه یقرب من ألفی بیت و أورد منها ما یقرب من ثلاثین بیتا.</w:t>
      </w:r>
    </w:p>
    <w:p>
      <w:pPr>
        <w:pStyle w:val="Heading3"/>
      </w:pPr>
      <w:bookmarkStart w:id="2133" w:name="_Toc829"/>
      <w:r>
        <w:t>679- دیوان أنیسی الخوارزمی‏</w:t>
      </w:r>
      <w:bookmarkEnd w:id="2133"/>
    </w:p>
    <w:p>
      <w:pPr>
        <w:pStyle w:val="BookText"/>
      </w:pPr>
      <w:r>
        <w:rPr>
          <w:rFonts w:ascii="IRNazanin" w:hAnsi="IRNazanin" w:eastAsia="IRNazanin" w:cs="IRNazanin"/>
          <w:lang w:bidi="fa-IR"/>
          <w:color w:val="111111"/>
          <w:sz w:val="28"/>
          <w:szCs w:val="28"/>
          <w:rtl/>
        </w:rPr>
        <w:t xml:space="preserve">الخطاط، من شعراء السلطان یعقوب. ترجمه سام میرزا فی (تس 4- ص 81).</w:t>
      </w:r>
    </w:p>
    <w:p>
      <w:pPr>
        <w:pStyle w:val="Heading3"/>
      </w:pPr>
      <w:bookmarkStart w:id="2134" w:name="_Toc830"/>
      <w:r>
        <w:t>680- دیوان أنیسی الخطیب الهمدانی‏</w:t>
      </w:r>
      <w:bookmarkEnd w:id="2134"/>
    </w:p>
    <w:p>
      <w:pPr>
        <w:pStyle w:val="BookText"/>
      </w:pPr>
      <w:r>
        <w:rPr>
          <w:rFonts w:ascii="IRNazanin" w:hAnsi="IRNazanin" w:eastAsia="IRNazanin" w:cs="IRNazanin"/>
          <w:lang w:bidi="fa-IR"/>
          <w:color w:val="111111"/>
          <w:sz w:val="28"/>
          <w:szCs w:val="28"/>
          <w:rtl/>
        </w:rPr>
        <w:t xml:space="preserve">معاصر صادقی. ترجمه فی (خص 8- ص 275).</w:t>
      </w:r>
    </w:p>
    <w:p>
      <w:pPr>
        <w:pStyle w:val="Heading3"/>
      </w:pPr>
      <w:bookmarkStart w:id="2135" w:name="_Toc831"/>
      <w:r>
        <w:t>681- دیوان أنیسی الکاتب‏</w:t>
      </w:r>
      <w:bookmarkEnd w:id="2135"/>
    </w:p>
    <w:p>
      <w:pPr>
        <w:pStyle w:val="BookText"/>
      </w:pPr>
      <w:r>
        <w:rPr>
          <w:rFonts w:ascii="IRNazanin" w:hAnsi="IRNazanin" w:eastAsia="IRNazanin" w:cs="IRNazanin"/>
          <w:lang w:bidi="fa-IR"/>
          <w:color w:val="111111"/>
          <w:sz w:val="28"/>
          <w:szCs w:val="28"/>
          <w:rtl/>
        </w:rPr>
        <w:t xml:space="preserve">الخطاط هو و أخوه، ذکره شاه محمد قزوینی فی (قز مج 6- ص 301).</w:t>
      </w:r>
    </w:p>
    <w:p>
      <w:pPr>
        <w:pStyle w:val="Heading3"/>
      </w:pPr>
      <w:bookmarkStart w:id="2136" w:name="_Toc832"/>
      <w:r>
        <w:t>682- دیوان أنیسی‏</w:t>
      </w:r>
      <w:bookmarkEnd w:id="2136"/>
    </w:p>
    <w:p>
      <w:pPr>
        <w:pStyle w:val="BookText"/>
      </w:pPr>
      <w:r>
        <w:rPr>
          <w:rFonts w:ascii="IRNazanin" w:hAnsi="IRNazanin" w:eastAsia="IRNazanin" w:cs="IRNazanin"/>
          <w:lang w:bidi="fa-IR"/>
          <w:color w:val="111111"/>
          <w:sz w:val="28"/>
          <w:szCs w:val="28"/>
          <w:rtl/>
        </w:rPr>
        <w:t xml:space="preserve">من نظم یول قلی (علی قلی) بیک الشاملو ناظم مثنوی محمود و ایاز ترجمه معاصره صادقی کتاب دار الشاه عباس المولود (940) فی (خص 7- ص 107) و کذا فی (تش- ص 9) و ذکر له محمود و أیاز و أورد شطرا منها. و ذکره أیضا فی سرو آزاد و قال فی (تغ- 21) إنه توفی (1013).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10" w:name="pg11704_121587"/>
    <w:bookmarkEnd w:id="110"/>
    <w:p>
      <w:pPr>
        <w:pStyle w:val="Heading3"/>
      </w:pPr>
      <w:bookmarkStart w:id="2137" w:name="_Toc833"/>
      <w:r>
        <w:t>683- دیوان أوجی کشمیری‏</w:t>
      </w:r>
      <w:bookmarkEnd w:id="2137"/>
    </w:p>
    <w:p>
      <w:pPr>
        <w:pStyle w:val="BookText"/>
      </w:pPr>
      <w:r>
        <w:rPr>
          <w:rStyle w:val="FootnoteReference"/>
        </w:rPr>
        <w:footnoteReference w:id="10"/>
      </w:r>
      <w:r>
        <w:rPr>
          <w:rFonts w:ascii="IRNazanin" w:hAnsi="IRNazanin" w:eastAsia="IRNazanin" w:cs="IRNazanin"/>
          <w:lang w:bidi="fa-IR"/>
          <w:color w:val="111111"/>
          <w:sz w:val="28"/>
          <w:szCs w:val="28"/>
          <w:rtl/>
        </w:rPr>
        <w:t xml:space="preserve">أو شعره ذکره فی (روشن- ص 81) و فی (تغ- ص 21) أنه مات (1032).</w:t>
      </w:r>
    </w:p>
    <w:p>
      <w:pPr>
        <w:pStyle w:val="Heading3"/>
      </w:pPr>
      <w:bookmarkStart w:id="2138" w:name="_Toc834"/>
      <w:r>
        <w:t>684- دیوان أوجی درجزینی‏</w:t>
      </w:r>
      <w:bookmarkEnd w:id="2138"/>
    </w:p>
    <w:p>
      <w:pPr>
        <w:pStyle w:val="BookText"/>
      </w:pPr>
      <w:r>
        <w:rPr>
          <w:rStyle w:val="FootnoteReference"/>
        </w:rPr>
        <w:footnoteReference w:id="11"/>
      </w:r>
      <w:r>
        <w:rPr>
          <w:rFonts w:ascii="IRNazanin" w:hAnsi="IRNazanin" w:eastAsia="IRNazanin" w:cs="IRNazanin"/>
          <w:lang w:bidi="fa-IR"/>
          <w:color w:val="111111"/>
          <w:sz w:val="28"/>
          <w:szCs w:val="28"/>
          <w:rtl/>
        </w:rPr>
        <w:t xml:space="preserve">ترجمه معاصر صادقی المولود فی (940) فی (خص 8- ص 268).</w:t>
      </w:r>
    </w:p>
    <w:p>
      <w:pPr>
        <w:pStyle w:val="Heading3"/>
      </w:pPr>
      <w:bookmarkStart w:id="2139" w:name="_Toc835"/>
      <w:r>
        <w:t>685- دیوان ملا أوجی النطنزی‏</w:t>
      </w:r>
      <w:bookmarkEnd w:id="2139"/>
    </w:p>
    <w:p>
      <w:pPr>
        <w:pStyle w:val="BookText"/>
      </w:pPr>
      <w:r>
        <w:rPr>
          <w:rFonts w:ascii="IRNazanin" w:hAnsi="IRNazanin" w:eastAsia="IRNazanin" w:cs="IRNazanin"/>
          <w:lang w:bidi="fa-IR"/>
          <w:color w:val="111111"/>
          <w:sz w:val="28"/>
          <w:szCs w:val="28"/>
          <w:rtl/>
        </w:rPr>
        <w:t xml:space="preserve">قال معاصره النصرآبادی فی (نر 9- ص 249) إن دیوانه یبلغ عشرة آلاف بیت تخمینا. و قال فی (تش- ص 169) إنه کان فی خدمة حسین خان شاملو بهرات و کذا فی میخانه و سرو آزاد. توجد نسخه منه فی المتحف البریطانی و أخری فی (المجلس) فی (2000 بیت) کما فی فهرسها (ج 3 ص 231).</w:t>
      </w:r>
    </w:p>
    <w:p>
      <w:pPr>
        <w:pStyle w:val="Heading3"/>
      </w:pPr>
      <w:bookmarkStart w:id="2140" w:name="_Toc836"/>
      <w:r>
        <w:t>686- دیوان أوحد سبزواری‏</w:t>
      </w:r>
      <w:bookmarkEnd w:id="2140"/>
    </w:p>
    <w:p>
      <w:pPr>
        <w:pStyle w:val="BookText"/>
      </w:pPr>
      <w:r>
        <w:rPr>
          <w:rFonts w:ascii="IRNazanin" w:hAnsi="IRNazanin" w:eastAsia="IRNazanin" w:cs="IRNazanin"/>
          <w:lang w:bidi="fa-IR"/>
          <w:color w:val="111111"/>
          <w:sz w:val="28"/>
          <w:szCs w:val="28"/>
          <w:rtl/>
        </w:rPr>
        <w:t xml:space="preserve">لوحید الزمان الخواجة أوحد الدین السبزواری المتخلص فی شعره بأوحد. ترجمه فی مجالس المؤمنین ص 504 حکایة عن تذکره دولت شاه و ذکر فضله و تبحره فی العلوم و لا سیما الطب و الحساب و أحکام النجوم و إنه جمع عنده ألف کتاب بین ما کتبه بخطه أو صححه و نقحه و علق علیه و لم یتخذ أهلا و لم یأنس بغیر کتبه إلی أن توفی (868) و دیوانه مشتمل علی القصائد و المقطعات و الغزلیات، و أورد منها قصیدته فی مدح الإمام الثامن أبی الحسن علی بن موسی الرضا علیه السلام . و قد تمم مطلعین للأمیر شاهی السبزواری. و ترجمه فی (مجن 2 ص 26 و 200) قال و کان یلقب بکدو (أو کردو) و ترجمه فی (تش- 78) و (تغ- 21) و دولت شاه فی الطبقة السابعة.</w:t>
      </w:r>
    </w:p>
    <w:p>
      <w:pPr>
        <w:pStyle w:val="Heading3"/>
      </w:pPr>
      <w:bookmarkStart w:id="2141" w:name="_Toc837"/>
      <w:r>
        <w:t>دیوان أوحد کرمانی‏</w:t>
      </w:r>
      <w:bookmarkEnd w:id="2141"/>
    </w:p>
    <w:p>
      <w:pPr>
        <w:pStyle w:val="BookText"/>
      </w:pPr>
      <w:r>
        <w:rPr>
          <w:rFonts w:ascii="IRNazanin" w:hAnsi="IRNazanin" w:eastAsia="IRNazanin" w:cs="IRNazanin"/>
          <w:lang w:bidi="fa-IR"/>
          <w:color w:val="111111"/>
          <w:sz w:val="28"/>
          <w:szCs w:val="28"/>
          <w:rtl/>
        </w:rPr>
        <w:t xml:space="preserve">أوحد الدین. یأتی بعنوان دیوان حامد.</w:t>
      </w:r>
    </w:p>
    <w:p>
      <w:pPr>
        <w:pStyle w:val="Heading3"/>
      </w:pPr>
      <w:bookmarkStart w:id="2142" w:name="_Toc838"/>
      <w:r>
        <w:t>دیوان أوحدی بلیانی أصفهانی‏</w:t>
      </w:r>
      <w:bookmarkEnd w:id="2142"/>
    </w:p>
    <w:p>
      <w:pPr>
        <w:pStyle w:val="BookText"/>
      </w:pPr>
      <w:r>
        <w:rPr>
          <w:rFonts w:ascii="IRNazanin" w:hAnsi="IRNazanin" w:eastAsia="IRNazanin" w:cs="IRNazanin"/>
          <w:lang w:bidi="fa-IR"/>
          <w:color w:val="111111"/>
          <w:sz w:val="28"/>
          <w:szCs w:val="28"/>
          <w:rtl/>
        </w:rPr>
        <w:t xml:space="preserve">یأتی بعنوان تقی أوحدی.</w:t>
      </w:r>
    </w:p>
    <w:p>
      <w:pPr>
        <w:pStyle w:val="Heading3"/>
      </w:pPr>
      <w:bookmarkStart w:id="2143" w:name="_Toc839"/>
      <w:r>
        <w:t>دیوان أوحدی کاشانی‏</w:t>
      </w:r>
      <w:bookmarkEnd w:id="2143"/>
    </w:p>
    <w:p>
      <w:pPr>
        <w:pStyle w:val="BookText"/>
      </w:pPr>
      <w:r>
        <w:rPr>
          <w:rFonts w:ascii="IRNazanin" w:hAnsi="IRNazanin" w:eastAsia="IRNazanin" w:cs="IRNazanin"/>
          <w:lang w:bidi="fa-IR"/>
          <w:color w:val="111111"/>
          <w:sz w:val="28"/>
          <w:szCs w:val="28"/>
          <w:rtl/>
        </w:rPr>
        <w:t xml:space="preserve">یأتی بعنوان تقی کاشی.</w:t>
      </w:r>
    </w:p>
    <w:p>
      <w:pPr>
        <w:pStyle w:val="Heading3"/>
      </w:pPr>
      <w:bookmarkStart w:id="2144" w:name="_Toc840"/>
      <w:r>
        <w:t>دیوان أوحدی لنبانی‏</w:t>
      </w:r>
      <w:bookmarkEnd w:id="2144"/>
    </w:p>
    <w:p>
      <w:pPr>
        <w:pStyle w:val="BookText"/>
      </w:pPr>
      <w:r>
        <w:rPr>
          <w:rFonts w:ascii="IRNazanin" w:hAnsi="IRNazanin" w:eastAsia="IRNazanin" w:cs="IRNazanin"/>
          <w:lang w:bidi="fa-IR"/>
          <w:color w:val="111111"/>
          <w:sz w:val="28"/>
          <w:szCs w:val="28"/>
          <w:rtl/>
        </w:rPr>
        <w:t xml:space="preserve">کما فی (نر 9- ص 303) یأتی بعنوان تقی أوحدی.</w:t>
      </w:r>
    </w:p>
    <w:p>
      <w:pPr>
        <w:pStyle w:val="Heading3"/>
      </w:pPr>
      <w:bookmarkStart w:id="2145" w:name="_Toc841"/>
      <w:r>
        <w:t>687- دیوان أوحدی مراغی الأصفهانی‏</w:t>
      </w:r>
      <w:bookmarkEnd w:id="2145"/>
    </w:p>
    <w:p>
      <w:pPr>
        <w:pStyle w:val="BookText"/>
      </w:pPr>
      <w:r>
        <w:rPr>
          <w:rFonts w:ascii="IRNazanin" w:hAnsi="IRNazanin" w:eastAsia="IRNazanin" w:cs="IRNazanin"/>
          <w:lang w:bidi="fa-IR"/>
          <w:color w:val="111111"/>
          <w:sz w:val="28"/>
          <w:szCs w:val="28"/>
          <w:rtl/>
        </w:rPr>
        <w:t xml:space="preserve">الشیخ العارف رکن الدین. کان یتخلص أولا (صافی) و لما دخل فی خلفاء أبی حامد أوحد الدین الکرمانی المتوفی (634) تخلص ب (أوحدی) و توفی (737) مر له جام جم المطبوع بطهران فی (1307 ش) فی (278 ص). ترجمه دولت شاه فی الطبقة الرابعة و (تش- ص 52) و (دجا- ص 55).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11" w:name="pg11704_121588"/>
    <w:bookmarkEnd w:id="111"/>
    <w:p>
      <w:pPr>
        <w:pStyle w:val="BookText"/>
      </w:pPr>
      <w:r>
        <w:rPr>
          <w:rFonts w:ascii="IRNazanin" w:hAnsi="IRNazanin" w:eastAsia="IRNazanin" w:cs="IRNazanin"/>
          <w:lang w:bidi="fa-IR"/>
          <w:color w:val="111111"/>
          <w:sz w:val="28"/>
          <w:szCs w:val="28"/>
          <w:rtl/>
        </w:rPr>
        <w:t xml:space="preserve">و (مع- ج 1 ص 94) و تاریخ گزیده (ص 816) و دیوانه یشتمل علی خمسة عشر ألف بیت. توجد نسخه فی مکتبات المتحف البریطانی و (الرضویة) و (المجلس).</w:t>
      </w:r>
    </w:p>
    <w:p>
      <w:pPr>
        <w:pStyle w:val="Heading3"/>
      </w:pPr>
      <w:bookmarkStart w:id="2146" w:name="_Toc842"/>
      <w:r>
        <w:t>688- دیوان أوحدی مشهدی‏</w:t>
      </w:r>
      <w:bookmarkEnd w:id="2146"/>
    </w:p>
    <w:p>
      <w:pPr>
        <w:pStyle w:val="BookText"/>
      </w:pPr>
      <w:r>
        <w:rPr>
          <w:rFonts w:ascii="IRNazanin" w:hAnsi="IRNazanin" w:eastAsia="IRNazanin" w:cs="IRNazanin"/>
          <w:lang w:bidi="fa-IR"/>
          <w:color w:val="111111"/>
          <w:sz w:val="28"/>
          <w:szCs w:val="28"/>
          <w:rtl/>
        </w:rPr>
        <w:t xml:space="preserve">الخواجة عماد الدین تلمیذ الحاج محمد الخبوشانی.</w:t>
      </w:r>
    </w:p>
    <w:p>
      <w:pPr>
        <w:pStyle w:val="BookText"/>
      </w:pPr>
      <w:r>
        <w:rPr>
          <w:rFonts w:ascii="IRNazanin" w:hAnsi="IRNazanin" w:eastAsia="IRNazanin" w:cs="IRNazanin"/>
          <w:lang w:bidi="fa-IR"/>
          <w:color w:val="111111"/>
          <w:sz w:val="28"/>
          <w:szCs w:val="28"/>
          <w:rtl/>
        </w:rPr>
        <w:t xml:space="preserve">قتله محمد خان الشیبانی للتشیع فی (914) و دفن بمشهد خراسان کما فی (روشن- 82).</w:t>
      </w:r>
    </w:p>
    <w:p>
      <w:pPr>
        <w:pStyle w:val="Heading3"/>
      </w:pPr>
      <w:bookmarkStart w:id="2147" w:name="_Toc843"/>
      <w:r>
        <w:t>689- دیوان اورنگ شیرازی‏</w:t>
      </w:r>
      <w:bookmarkEnd w:id="2147"/>
    </w:p>
    <w:p>
      <w:pPr>
        <w:pStyle w:val="BookText"/>
      </w:pPr>
      <w:r>
        <w:rPr>
          <w:rFonts w:ascii="IRNazanin" w:hAnsi="IRNazanin" w:eastAsia="IRNazanin" w:cs="IRNazanin"/>
          <w:lang w:bidi="fa-IR"/>
          <w:color w:val="111111"/>
          <w:sz w:val="28"/>
          <w:szCs w:val="28"/>
          <w:rtl/>
        </w:rPr>
        <w:t xml:space="preserve">أخو آهنگ شیرازی المذکور، و هما ابنا أبو القاسم فرهنگ المتوفی (1305) و هو رابع أبناء وصال الشیرازی. و قد کتب فی أحوال هذا البیت الجلیل الذی أکثر أفراده أدباء شعراء فضلاء، کتاب گلشن وصال و طبع أخیرا.</w:t>
      </w:r>
    </w:p>
    <w:p>
      <w:pPr>
        <w:pStyle w:val="BookText"/>
      </w:pPr>
      <w:r>
        <w:rPr>
          <w:rFonts w:ascii="IRNazanin" w:hAnsi="IRNazanin" w:eastAsia="IRNazanin" w:cs="IRNazanin"/>
          <w:lang w:bidi="fa-IR"/>
          <w:color w:val="111111"/>
          <w:sz w:val="28"/>
          <w:szCs w:val="28"/>
          <w:rtl/>
        </w:rPr>
        <w:t xml:space="preserve">و لأورنگ نصاب الرجال منظومة انتقادیة طبع علی الحجر بتبریز فی (1309 ش) فی (24 ص).</w:t>
      </w:r>
    </w:p>
    <w:p>
      <w:pPr>
        <w:pStyle w:val="Heading3"/>
      </w:pPr>
      <w:bookmarkStart w:id="2148" w:name="_Toc844"/>
      <w:r>
        <w:t>دیوان أومانی أثیر الدین‏</w:t>
      </w:r>
      <w:bookmarkEnd w:id="2148"/>
    </w:p>
    <w:p>
      <w:pPr>
        <w:pStyle w:val="BookText"/>
      </w:pPr>
      <w:r>
        <w:rPr>
          <w:rFonts w:ascii="IRNazanin" w:hAnsi="IRNazanin" w:eastAsia="IRNazanin" w:cs="IRNazanin"/>
          <w:lang w:bidi="fa-IR"/>
          <w:color w:val="111111"/>
          <w:sz w:val="28"/>
          <w:szCs w:val="28"/>
          <w:rtl/>
        </w:rPr>
        <w:t xml:space="preserve">ذکرناه بعنوان أثیر الدین و ترجمه دولت شاه فی الطبقة الثالثة و تاریخ گزیده ص 814 و (تش- ص 253) و توجد نسخته ضمن مجموعة فی المجلس کما فی فهرسها (ج 3- ص 657).</w:t>
      </w:r>
    </w:p>
    <w:p>
      <w:pPr>
        <w:pStyle w:val="Heading3"/>
      </w:pPr>
      <w:bookmarkStart w:id="2149" w:name="_Toc845"/>
      <w:r>
        <w:t>690- دیوان أوکتائی‏</w:t>
      </w:r>
      <w:bookmarkEnd w:id="2149"/>
    </w:p>
    <w:p>
      <w:pPr>
        <w:pStyle w:val="BookText"/>
      </w:pPr>
      <w:r>
        <w:rPr>
          <w:rFonts w:ascii="IRNazanin" w:hAnsi="IRNazanin" w:eastAsia="IRNazanin" w:cs="IRNazanin"/>
          <w:lang w:bidi="fa-IR"/>
          <w:color w:val="111111"/>
          <w:sz w:val="28"/>
          <w:szCs w:val="28"/>
          <w:rtl/>
        </w:rPr>
        <w:t xml:space="preserve">للحاج أوکتای قاآن میرزا القاجار. توجد نسخه من دیوانه فی الرضویة.</w:t>
      </w:r>
    </w:p>
    <w:p>
      <w:pPr>
        <w:pStyle w:val="Heading3"/>
      </w:pPr>
      <w:bookmarkStart w:id="2150" w:name="_Toc846"/>
      <w:r>
        <w:t>691- دیوان أویس السلطان‏</w:t>
      </w:r>
      <w:bookmarkEnd w:id="2150"/>
    </w:p>
    <w:p>
      <w:pPr>
        <w:pStyle w:val="BookText"/>
      </w:pPr>
      <w:r>
        <w:rPr>
          <w:rFonts w:ascii="IRNazanin" w:hAnsi="IRNazanin" w:eastAsia="IRNazanin" w:cs="IRNazanin"/>
          <w:lang w:bidi="fa-IR"/>
          <w:color w:val="111111"/>
          <w:sz w:val="28"/>
          <w:szCs w:val="28"/>
          <w:rtl/>
        </w:rPr>
        <w:t xml:space="preserve">للشیخ أویس جلایر بن الشیخ حسن الإیلکانی. ترجمه دولت شاه مع السلطان شاه شجاع فی تذکرته فی ذیل جلال طبیب (ص 300) طبع لیدن.</w:t>
      </w:r>
    </w:p>
    <w:p>
      <w:pPr>
        <w:pStyle w:val="BookText"/>
      </w:pPr>
      <w:r>
        <w:rPr>
          <w:rFonts w:ascii="IRNazanin" w:hAnsi="IRNazanin" w:eastAsia="IRNazanin" w:cs="IRNazanin"/>
          <w:lang w:bidi="fa-IR"/>
          <w:color w:val="111111"/>
          <w:sz w:val="28"/>
          <w:szCs w:val="28"/>
          <w:rtl/>
        </w:rPr>
        <w:t xml:space="preserve">أخذ الشعر عن سلمان الساوجی و ترجمه أیضا فی (روشن- ص 83).</w:t>
      </w:r>
    </w:p>
    <w:p>
      <w:pPr>
        <w:pStyle w:val="Heading3"/>
      </w:pPr>
      <w:bookmarkStart w:id="2151" w:name="_Toc847"/>
      <w:r>
        <w:t>692- دیوان أویس القاضی‏</w:t>
      </w:r>
      <w:bookmarkEnd w:id="2151"/>
    </w:p>
    <w:p>
      <w:pPr>
        <w:pStyle w:val="BookText"/>
      </w:pPr>
      <w:r>
        <w:rPr>
          <w:rFonts w:ascii="IRNazanin" w:hAnsi="IRNazanin" w:eastAsia="IRNazanin" w:cs="IRNazanin"/>
          <w:lang w:bidi="fa-IR"/>
          <w:color w:val="111111"/>
          <w:sz w:val="28"/>
          <w:szCs w:val="28"/>
          <w:rtl/>
        </w:rPr>
        <w:t xml:space="preserve">الشیخ أویس بن محمد. کان قاضی أردبیل مدة خمسین سنة. ترجمه فی (دجا- ص 56) نقلا عن هشت بهشت و أورد شعره.</w:t>
      </w:r>
    </w:p>
    <w:p>
      <w:pPr>
        <w:pStyle w:val="Heading3"/>
      </w:pPr>
      <w:bookmarkStart w:id="2152" w:name="_Toc848"/>
      <w:r>
        <w:t>693- دیوان الأهدل الحسین‏</w:t>
      </w:r>
      <w:bookmarkEnd w:id="2152"/>
    </w:p>
    <w:p>
      <w:pPr>
        <w:pStyle w:val="BookText"/>
      </w:pPr>
      <w:r>
        <w:rPr>
          <w:rFonts w:ascii="IRNazanin" w:hAnsi="IRNazanin" w:eastAsia="IRNazanin" w:cs="IRNazanin"/>
          <w:lang w:bidi="fa-IR"/>
          <w:color w:val="111111"/>
          <w:sz w:val="28"/>
          <w:szCs w:val="28"/>
          <w:rtl/>
        </w:rPr>
        <w:t xml:space="preserve">السید حاتم بن أحمد الحسینی الأهدل. أطرأه السید علی خان فی (السلافة- ص 451- 455) و أورد شعره.</w:t>
      </w:r>
    </w:p>
    <w:p>
      <w:pPr>
        <w:pStyle w:val="Heading3"/>
      </w:pPr>
      <w:bookmarkStart w:id="2153" w:name="_Toc849"/>
      <w:r>
        <w:t>694- دیوان أهلی الترشیزی الخراسانی‏</w:t>
      </w:r>
      <w:bookmarkEnd w:id="2153"/>
    </w:p>
    <w:p>
      <w:pPr>
        <w:pStyle w:val="BookText"/>
      </w:pPr>
      <w:r>
        <w:rPr>
          <w:rFonts w:ascii="IRNazanin" w:hAnsi="IRNazanin" w:eastAsia="IRNazanin" w:cs="IRNazanin"/>
          <w:lang w:bidi="fa-IR"/>
          <w:color w:val="111111"/>
          <w:sz w:val="28"/>
          <w:szCs w:val="28"/>
          <w:rtl/>
        </w:rPr>
        <w:t xml:space="preserve">نزیل تبریز کما یظهر من شعره و توفی بها فی (934) کما أرخه شمس الدین سامی فی قاموس الأعلام ترجمه معاصره سام میرزا مفصلا فی (تس 5- ص 107) و کذا فی (تش ص 68) و (مجن 3- ص 80 و 251) و دیوانه مشتمل علی الغزلیات و الرباعیات و المتفرقات مرتبا علی الحروف. لکن النسخة الموجودة منه فی مکتبة (سلطان‏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12" w:name="pg11704_121589"/>
    <w:bookmarkEnd w:id="112"/>
    <w:p>
      <w:pPr>
        <w:pStyle w:val="BookText"/>
      </w:pPr>
      <w:r>
        <w:rPr>
          <w:rFonts w:ascii="IRNazanin" w:hAnsi="IRNazanin" w:eastAsia="IRNazanin" w:cs="IRNazanin"/>
          <w:lang w:bidi="fa-IR"/>
          <w:color w:val="111111"/>
          <w:sz w:val="28"/>
          <w:szCs w:val="28"/>
          <w:rtl/>
        </w:rPr>
        <w:t xml:space="preserve">القرائی) ناقص من أوله إلی أول حرف التاء، و هو فی (772) بیتا، و هی منضمة إلی دیوان نور الدین هلالی الأسترآبادی الهروی المقتول فی (936) بخط واحد فی حدود سنة (1000) أول الموجود منه.</w:t>
      </w:r>
    </w:p>
    <w:p>
      <w:pPr>
        <w:pStyle w:val="BookText"/>
      </w:pPr>
      <w:r>
        <w:rPr>
          <w:rFonts w:ascii="IRNazanin" w:hAnsi="IRNazanin" w:eastAsia="IRNazanin" w:cs="IRNazanin"/>
          <w:lang w:bidi="fa-IR"/>
          <w:color w:val="111111"/>
          <w:sz w:val="28"/>
          <w:szCs w:val="28"/>
          <w:rtl/>
        </w:rPr>
        <w:t xml:space="preserve">من از غم تو هلاکم تو فارغ از غم من‏</w:t>
      </w:r>
    </w:p>
    <w:p>
      <w:pPr>
        <w:pStyle w:val="BookText"/>
      </w:pPr>
      <w:r>
        <w:rPr>
          <w:rFonts w:ascii="IRNazanin" w:hAnsi="IRNazanin" w:eastAsia="IRNazanin" w:cs="IRNazanin"/>
          <w:lang w:bidi="fa-IR"/>
          <w:color w:val="111111"/>
          <w:sz w:val="28"/>
          <w:szCs w:val="28"/>
          <w:rtl/>
        </w:rPr>
        <w:t xml:space="preserve">مراست غم که هلاک توأم تو را چه غم است‏</w:t>
      </w:r>
    </w:p>
    <w:p>
      <w:pPr>
        <w:pStyle w:val="BookText"/>
      </w:pPr>
      <w:r>
        <w:rPr>
          <w:rFonts w:ascii="IRNazanin" w:hAnsi="IRNazanin" w:eastAsia="IRNazanin" w:cs="IRNazanin"/>
          <w:lang w:bidi="fa-IR"/>
          <w:color w:val="111111"/>
          <w:sz w:val="28"/>
          <w:szCs w:val="28"/>
          <w:rtl/>
        </w:rPr>
        <w:t xml:space="preserve">و فیه قوله:</w:t>
      </w:r>
    </w:p>
    <w:p>
      <w:pPr>
        <w:pStyle w:val="BookText"/>
      </w:pPr>
      <w:r>
        <w:rPr>
          <w:rFonts w:ascii="IRNazanin" w:hAnsi="IRNazanin" w:eastAsia="IRNazanin" w:cs="IRNazanin"/>
          <w:lang w:bidi="fa-IR"/>
          <w:color w:val="111111"/>
          <w:sz w:val="28"/>
          <w:szCs w:val="28"/>
          <w:rtl/>
        </w:rPr>
        <w:t xml:space="preserve">هوای ملک بغداد از خراسان بود أهلی را</w:t>
      </w:r>
    </w:p>
    <w:p>
      <w:pPr>
        <w:pStyle w:val="BookText"/>
      </w:pPr>
      <w:r>
        <w:rPr>
          <w:rFonts w:ascii="IRNazanin" w:hAnsi="IRNazanin" w:eastAsia="IRNazanin" w:cs="IRNazanin"/>
          <w:lang w:bidi="fa-IR"/>
          <w:color w:val="111111"/>
          <w:sz w:val="28"/>
          <w:szCs w:val="28"/>
          <w:rtl/>
        </w:rPr>
        <w:t xml:space="preserve">ولی بردند از ره ماه رخساران بتبریز ش‏</w:t>
      </w:r>
    </w:p>
    <w:p>
      <w:pPr>
        <w:pStyle w:val="BookText"/>
      </w:pPr>
      <w:r>
        <w:rPr>
          <w:rFonts w:ascii="IRNazanin" w:hAnsi="IRNazanin" w:eastAsia="IRNazanin" w:cs="IRNazanin"/>
          <w:lang w:bidi="fa-IR"/>
          <w:color w:val="111111"/>
          <w:sz w:val="28"/>
          <w:szCs w:val="28"/>
          <w:rtl/>
        </w:rPr>
        <w:t xml:space="preserve">و من شعره قوله:</w:t>
      </w:r>
    </w:p>
    <w:p>
      <w:pPr>
        <w:pStyle w:val="BookText"/>
      </w:pPr>
      <w:r>
        <w:rPr>
          <w:rFonts w:ascii="IRNazanin" w:hAnsi="IRNazanin" w:eastAsia="IRNazanin" w:cs="IRNazanin"/>
          <w:lang w:bidi="fa-IR"/>
          <w:color w:val="111111"/>
          <w:sz w:val="28"/>
          <w:szCs w:val="28"/>
          <w:rtl/>
        </w:rPr>
        <w:t xml:space="preserve">دوش افغان من از چشم خلایق خواب بود</w:t>
      </w:r>
    </w:p>
    <w:p>
      <w:pPr>
        <w:pStyle w:val="BookText"/>
      </w:pPr>
      <w:r>
        <w:rPr>
          <w:rFonts w:ascii="IRNazanin" w:hAnsi="IRNazanin" w:eastAsia="IRNazanin" w:cs="IRNazanin"/>
          <w:lang w:bidi="fa-IR"/>
          <w:color w:val="111111"/>
          <w:sz w:val="28"/>
          <w:szCs w:val="28"/>
          <w:rtl/>
        </w:rPr>
        <w:t xml:space="preserve">خرمن مه را ز طوفان سرشکم آب برد</w:t>
      </w:r>
    </w:p>
    <w:p>
      <w:pPr>
        <w:pStyle w:val="BookText"/>
      </w:pPr>
      <w:r>
        <w:rPr>
          <w:rFonts w:ascii="IRNazanin" w:hAnsi="IRNazanin" w:eastAsia="IRNazanin" w:cs="IRNazanin"/>
          <w:lang w:bidi="fa-IR"/>
          <w:color w:val="111111"/>
          <w:sz w:val="28"/>
          <w:szCs w:val="28"/>
          <w:rtl/>
        </w:rPr>
        <w:t xml:space="preserve">ترجمه فی (مجن 3- ص 251 و 80) و النسخة التامة منه فی مکتبة سپهسالار منضمة إلی أربعة دواوین أخر و هی (همایون) و (کاتبی) و (شاهی) و (لسانی) ذکر تفصیلها فی فهرس المکتبة ج 2 ص 571.</w:t>
      </w:r>
    </w:p>
    <w:p>
      <w:pPr>
        <w:pStyle w:val="Heading3"/>
      </w:pPr>
      <w:bookmarkStart w:id="2154" w:name="_Toc850"/>
      <w:r>
        <w:t>695- دیوان أهلی الشیرازی‏</w:t>
      </w:r>
      <w:bookmarkEnd w:id="2154"/>
    </w:p>
    <w:p>
      <w:pPr>
        <w:pStyle w:val="BookText"/>
      </w:pPr>
      <w:r>
        <w:rPr>
          <w:rFonts w:ascii="IRNazanin" w:hAnsi="IRNazanin" w:eastAsia="IRNazanin" w:cs="IRNazanin"/>
          <w:lang w:bidi="fa-IR"/>
          <w:color w:val="111111"/>
          <w:sz w:val="28"/>
          <w:szCs w:val="28"/>
          <w:rtl/>
        </w:rPr>
        <w:t xml:space="preserve">و اسمه محمد. توفی (942) بشیراز و دفن بالحافظیة عن عمر فوق الثمانین. ترجمه القاضی فی (لس- ص 514) و ذکر بعض أشعاره فی مدح أمیر المؤمنین علیه السلام  و ذکر رثاء الملا میرک له مؤرخا بقوله:</w:t>
      </w:r>
    </w:p>
    <w:p>
      <w:pPr>
        <w:pStyle w:val="BookText"/>
      </w:pPr>
      <w:r>
        <w:rPr>
          <w:rFonts w:ascii="IRNazanin" w:hAnsi="IRNazanin" w:eastAsia="IRNazanin" w:cs="IRNazanin"/>
          <w:lang w:bidi="fa-IR"/>
          <w:color w:val="111111"/>
          <w:sz w:val="28"/>
          <w:szCs w:val="28"/>
          <w:rtl/>
        </w:rPr>
        <w:t xml:space="preserve">سال فوتش ز خرد جستم گفت‏</w:t>
      </w:r>
    </w:p>
    <w:p>
      <w:pPr>
        <w:pStyle w:val="BookText"/>
      </w:pPr>
      <w:r>
        <w:rPr>
          <w:rFonts w:ascii="IRNazanin" w:hAnsi="IRNazanin" w:eastAsia="IRNazanin" w:cs="IRNazanin"/>
          <w:lang w:bidi="fa-IR"/>
          <w:color w:val="111111"/>
          <w:sz w:val="28"/>
          <w:szCs w:val="28"/>
          <w:rtl/>
        </w:rPr>
        <w:t xml:space="preserve">پادشاه شعراء بود أهلی‏</w:t>
      </w:r>
    </w:p>
    <w:p>
      <w:pPr>
        <w:pStyle w:val="BookText"/>
      </w:pPr>
      <w:r>
        <w:rPr>
          <w:rFonts w:ascii="IRNazanin" w:hAnsi="IRNazanin" w:eastAsia="IRNazanin" w:cs="IRNazanin"/>
          <w:lang w:bidi="fa-IR"/>
          <w:color w:val="111111"/>
          <w:sz w:val="28"/>
          <w:szCs w:val="28"/>
          <w:rtl/>
        </w:rPr>
        <w:t xml:space="preserve">و دیوانه مشتمل علی ألف و مائتین بیت. و یأتی له القصائد المصنوعة المذکورة فی (کفظ ج 2- ص 323) و أورد النصرآبادی فی (نر 15- ص 512) عدة معمیات له. و له سحر حلال المطبوع و فی آخره ترجمه الناظم، و له گنجفه طبعه ابنی بطهران فی (1332 ش) مع ترجمه الناظم أیضا، و له شمع و پروانه الموجود نسخه کثیرا بالمکتبات. ترجمه فی (تش- ص 263) و فهرس (ریو- ص 657) و فهرس مکتبة (دانشگاه تهران) لابنی (ج 2 ص 183 و 209).</w:t>
      </w:r>
    </w:p>
    <w:p>
      <w:pPr>
        <w:pStyle w:val="Heading3"/>
      </w:pPr>
      <w:bookmarkStart w:id="2155" w:name="_Toc851"/>
      <w:r>
        <w:t>696- دیوان ایاز طالش‏</w:t>
      </w:r>
      <w:bookmarkEnd w:id="2155"/>
    </w:p>
    <w:p>
      <w:pPr>
        <w:pStyle w:val="BookText"/>
      </w:pPr>
      <w:r>
        <w:rPr>
          <w:rFonts w:ascii="IRNazanin" w:hAnsi="IRNazanin" w:eastAsia="IRNazanin" w:cs="IRNazanin"/>
          <w:lang w:bidi="fa-IR"/>
          <w:color w:val="111111"/>
          <w:sz w:val="28"/>
          <w:szCs w:val="28"/>
          <w:rtl/>
        </w:rPr>
        <w:t xml:space="preserve">و اسمه أیاز بیک بن إبراهیم بیک، من أعاظم طالش آذربایجان کما فی ریاض العارفین ص 422 و ذکر شعره.</w:t>
      </w:r>
    </w:p>
    <w:p>
      <w:pPr>
        <w:pStyle w:val="Heading3"/>
      </w:pPr>
      <w:bookmarkStart w:id="2156" w:name="_Toc852"/>
      <w:r>
        <w:t>697- دیوان ایازی‏</w:t>
      </w:r>
      <w:bookmarkEnd w:id="2156"/>
    </w:p>
    <w:p>
      <w:pPr>
        <w:pStyle w:val="BookText"/>
      </w:pPr>
      <w:r>
        <w:rPr>
          <w:rFonts w:ascii="IRNazanin" w:hAnsi="IRNazanin" w:eastAsia="IRNazanin" w:cs="IRNazanin"/>
          <w:lang w:bidi="fa-IR"/>
          <w:color w:val="111111"/>
          <w:sz w:val="28"/>
          <w:szCs w:val="28"/>
          <w:rtl/>
        </w:rPr>
        <w:t xml:space="preserve">العجیب الغریب شکله و أطواره و نظمه و أشعاره. ترجمه معاصره المیر علی شیر فی (مجن 2- ص 44 و ص 217) و أورد شعره.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13" w:name="pg11704_121590"/>
    <w:bookmarkEnd w:id="113"/>
    <w:p>
      <w:pPr>
        <w:pStyle w:val="Heading3"/>
      </w:pPr>
      <w:bookmarkStart w:id="2157" w:name="_Toc853"/>
      <w:r>
        <w:t>698- دیوان ایاز منجم‏</w:t>
      </w:r>
      <w:bookmarkEnd w:id="2157"/>
    </w:p>
    <w:p>
      <w:pPr>
        <w:pStyle w:val="BookText"/>
      </w:pPr>
      <w:r>
        <w:rPr>
          <w:rFonts w:ascii="IRNazanin" w:hAnsi="IRNazanin" w:eastAsia="IRNazanin" w:cs="IRNazanin"/>
          <w:lang w:bidi="fa-IR"/>
          <w:color w:val="111111"/>
          <w:sz w:val="28"/>
          <w:szCs w:val="28"/>
          <w:rtl/>
        </w:rPr>
        <w:t xml:space="preserve">من غلمان زینت بیگم عمة الشاه عباس (1003- 1037).</w:t>
      </w:r>
    </w:p>
    <w:p>
      <w:pPr>
        <w:pStyle w:val="BookText"/>
      </w:pPr>
      <w:r>
        <w:rPr>
          <w:rFonts w:ascii="IRNazanin" w:hAnsi="IRNazanin" w:eastAsia="IRNazanin" w:cs="IRNazanin"/>
          <w:lang w:bidi="fa-IR"/>
          <w:color w:val="111111"/>
          <w:sz w:val="28"/>
          <w:szCs w:val="28"/>
          <w:rtl/>
        </w:rPr>
        <w:t xml:space="preserve">ترجمه (تغ- ص 22). و (روشن- ص 84) و أوردوا شعره. و قالوا کان مشعبذا یؤذی الناس فقتله الشاه عباس.</w:t>
      </w:r>
    </w:p>
    <w:p>
      <w:pPr>
        <w:pStyle w:val="Heading3"/>
      </w:pPr>
      <w:bookmarkStart w:id="2158" w:name="_Toc854"/>
      <w:r>
        <w:t>699- دیوان إیجاد</w:t>
      </w:r>
      <w:bookmarkEnd w:id="2158"/>
    </w:p>
    <w:p>
      <w:pPr>
        <w:pStyle w:val="BookText"/>
      </w:pPr>
      <w:r>
        <w:rPr>
          <w:rFonts w:ascii="IRNazanin" w:hAnsi="IRNazanin" w:eastAsia="IRNazanin" w:cs="IRNazanin"/>
          <w:lang w:bidi="fa-IR"/>
          <w:color w:val="111111"/>
          <w:sz w:val="28"/>
          <w:szCs w:val="28"/>
          <w:rtl/>
        </w:rPr>
        <w:t xml:space="preserve">السید میر محمد حسن المتوفی باکرة الهند فی (1133) و أصله من سامانه بخراسان. نظم شاهنامه لفرخ سیر ملک الهند. ترجمه فی (سرخوش- ص 8) و (تغ- ص 22) و سرو آزاد.</w:t>
      </w:r>
    </w:p>
    <w:p>
      <w:pPr>
        <w:pStyle w:val="Heading3"/>
      </w:pPr>
      <w:bookmarkStart w:id="2159" w:name="_Toc855"/>
      <w:r>
        <w:t>700- دیوان ایرج التبریزی‏</w:t>
      </w:r>
      <w:bookmarkEnd w:id="2159"/>
    </w:p>
    <w:p>
      <w:pPr>
        <w:pStyle w:val="BookText"/>
      </w:pPr>
      <w:r>
        <w:rPr>
          <w:rFonts w:ascii="IRNazanin" w:hAnsi="IRNazanin" w:eastAsia="IRNazanin" w:cs="IRNazanin"/>
          <w:lang w:bidi="fa-IR"/>
          <w:color w:val="111111"/>
          <w:sz w:val="28"/>
          <w:szCs w:val="28"/>
          <w:rtl/>
        </w:rPr>
        <w:t xml:space="preserve">المعاصر للشاه طهماسب الصفوی. ترجمه فی (دجا- ص 57) نقلا عن عرفات العاشقین و أورد بعض شعره، منها قوله.</w:t>
      </w:r>
    </w:p>
    <w:p>
      <w:pPr>
        <w:pStyle w:val="BookText"/>
      </w:pPr>
      <w:r>
        <w:rPr>
          <w:rFonts w:ascii="IRNazanin" w:hAnsi="IRNazanin" w:eastAsia="IRNazanin" w:cs="IRNazanin"/>
          <w:lang w:bidi="fa-IR"/>
          <w:color w:val="111111"/>
          <w:sz w:val="28"/>
          <w:szCs w:val="28"/>
          <w:rtl/>
        </w:rPr>
        <w:t xml:space="preserve">گر به دستان بستد از دستم فلک دیوان من‏</w:t>
      </w:r>
    </w:p>
    <w:p>
      <w:pPr>
        <w:pStyle w:val="BookText"/>
      </w:pPr>
      <w:r>
        <w:rPr>
          <w:rFonts w:ascii="IRNazanin" w:hAnsi="IRNazanin" w:eastAsia="IRNazanin" w:cs="IRNazanin"/>
          <w:lang w:bidi="fa-IR"/>
          <w:color w:val="111111"/>
          <w:sz w:val="28"/>
          <w:szCs w:val="28"/>
          <w:rtl/>
        </w:rPr>
        <w:t xml:space="preserve">آن کسش می‏ساخت دیوان شکر یزدان با من است‏</w:t>
      </w:r>
    </w:p>
    <w:p>
      <w:pPr>
        <w:pStyle w:val="Heading3"/>
      </w:pPr>
      <w:bookmarkStart w:id="2160" w:name="_Toc856"/>
      <w:r>
        <w:t>دیوان ایرج میرزا</w:t>
      </w:r>
      <w:bookmarkEnd w:id="2160"/>
    </w:p>
    <w:p>
      <w:pPr>
        <w:pStyle w:val="BookText"/>
      </w:pPr>
      <w:r>
        <w:rPr>
          <w:rFonts w:ascii="IRNazanin" w:hAnsi="IRNazanin" w:eastAsia="IRNazanin" w:cs="IRNazanin"/>
          <w:lang w:bidi="fa-IR"/>
          <w:color w:val="111111"/>
          <w:sz w:val="28"/>
          <w:szCs w:val="28"/>
          <w:rtl/>
        </w:rPr>
        <w:t xml:space="preserve">مر بعنوان دیوان إنصاف.</w:t>
      </w:r>
    </w:p>
    <w:p>
      <w:pPr>
        <w:pStyle w:val="Heading3"/>
      </w:pPr>
      <w:bookmarkStart w:id="2161" w:name="_Toc857"/>
      <w:r>
        <w:t>701- دیوان ایرج میرزا</w:t>
      </w:r>
      <w:bookmarkEnd w:id="2161"/>
    </w:p>
    <w:p>
      <w:pPr>
        <w:pStyle w:val="BookText"/>
      </w:pPr>
      <w:r>
        <w:rPr>
          <w:rFonts w:ascii="IRNazanin" w:hAnsi="IRNazanin" w:eastAsia="IRNazanin" w:cs="IRNazanin"/>
          <w:lang w:bidi="fa-IR"/>
          <w:color w:val="111111"/>
          <w:sz w:val="28"/>
          <w:szCs w:val="28"/>
          <w:rtl/>
        </w:rPr>
        <w:t xml:space="preserve">جلال الممالک بن غلام حسین المولود بتبریز فی (رمضان- 1291) و المتوفی بطهران فی (شعبان- 1344) جمعه بعد وفاته ولده خسرو میرزا و طبعه و نشره فی طهران فی (1311 ش) و بعده مکررا. و ترجمه رشید یاسمی فی (أدبیات معاصر- ص 43).</w:t>
      </w:r>
    </w:p>
    <w:p>
      <w:pPr>
        <w:pStyle w:val="Heading3"/>
      </w:pPr>
      <w:bookmarkStart w:id="2162" w:name="_Toc858"/>
      <w:r>
        <w:t>702- دیوان ایزدی قزوینی أو شعره‏</w:t>
      </w:r>
      <w:bookmarkEnd w:id="2162"/>
    </w:p>
    <w:p>
      <w:pPr>
        <w:pStyle w:val="BookText"/>
      </w:pPr>
      <w:r>
        <w:rPr>
          <w:rFonts w:ascii="IRNazanin" w:hAnsi="IRNazanin" w:eastAsia="IRNazanin" w:cs="IRNazanin"/>
          <w:lang w:bidi="fa-IR"/>
          <w:color w:val="111111"/>
          <w:sz w:val="28"/>
          <w:szCs w:val="28"/>
          <w:rtl/>
        </w:rPr>
        <w:t xml:space="preserve">و اسمه محمد شریف. الماهر فی المثنوی کما ذکر فی (تغ- ص 23) و (گلشن- ص 48).</w:t>
      </w:r>
    </w:p>
    <w:p>
      <w:pPr>
        <w:pStyle w:val="Heading3"/>
      </w:pPr>
      <w:bookmarkStart w:id="2163" w:name="_Toc859"/>
      <w:r>
        <w:t>703- دیوان ایزدی یزدی أو شعره‏</w:t>
      </w:r>
      <w:bookmarkEnd w:id="2163"/>
    </w:p>
    <w:p>
      <w:pPr>
        <w:pStyle w:val="BookText"/>
      </w:pPr>
      <w:r>
        <w:rPr>
          <w:rFonts w:ascii="IRNazanin" w:hAnsi="IRNazanin" w:eastAsia="IRNazanin" w:cs="IRNazanin"/>
          <w:lang w:bidi="fa-IR"/>
          <w:color w:val="111111"/>
          <w:sz w:val="28"/>
          <w:szCs w:val="28"/>
          <w:rtl/>
        </w:rPr>
        <w:t xml:space="preserve">کان عارفا. سافر إلی الهند فی عصر أکبر پادشاه و بها توفی. ترجمه فی ریاض العارفین ص 64 و أورد رباعیاته. و أظنه هو المذکور فی (گلشن- ص 48) بعنوان ایزدی شیرازی.</w:t>
      </w:r>
    </w:p>
    <w:p>
      <w:pPr>
        <w:pStyle w:val="Heading3"/>
      </w:pPr>
      <w:bookmarkStart w:id="2164" w:name="_Toc860"/>
      <w:r>
        <w:t>704- دیوان أیما أصفهانی أو شعره‏</w:t>
      </w:r>
      <w:bookmarkEnd w:id="2164"/>
    </w:p>
    <w:p>
      <w:pPr>
        <w:pStyle w:val="BookText"/>
      </w:pPr>
      <w:r>
        <w:rPr>
          <w:rFonts w:ascii="IRNazanin" w:hAnsi="IRNazanin" w:eastAsia="IRNazanin" w:cs="IRNazanin"/>
          <w:lang w:bidi="fa-IR"/>
          <w:color w:val="111111"/>
          <w:sz w:val="28"/>
          <w:szCs w:val="28"/>
          <w:rtl/>
        </w:rPr>
        <w:t xml:space="preserve">المیرزا إسماعیل علاقه‏بند بأصفهان. مات (1132) کما فی (تغ- ص 23) و (روشن- ص 85). و کان له مطارحات مع شفیعا و نجات و أظنه متحدا مع ما بعده.</w:t>
      </w:r>
    </w:p>
    <w:p>
      <w:pPr>
        <w:pStyle w:val="Heading3"/>
      </w:pPr>
      <w:bookmarkStart w:id="2165" w:name="_Toc861"/>
      <w:r>
        <w:t>705- دیوان أیما مشهدی أو شعره‏</w:t>
      </w:r>
      <w:bookmarkEnd w:id="2165"/>
    </w:p>
    <w:p>
      <w:pPr>
        <w:pStyle w:val="BookText"/>
      </w:pPr>
      <w:r>
        <w:rPr>
          <w:rFonts w:ascii="IRNazanin" w:hAnsi="IRNazanin" w:eastAsia="IRNazanin" w:cs="IRNazanin"/>
          <w:lang w:bidi="fa-IR"/>
          <w:color w:val="111111"/>
          <w:sz w:val="28"/>
          <w:szCs w:val="28"/>
          <w:rtl/>
        </w:rPr>
        <w:t xml:space="preserve">المیرزا محمد هادی. جاء من مشهد إلی أصفهان و مات هناک عند الانقلاب (للأفاغنة) کذا فی (تغ- ص 23).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14" w:name="pg11704_121591"/>
    <w:bookmarkEnd w:id="114"/>
    <w:p>
      <w:pPr>
        <w:pStyle w:val="Heading3"/>
      </w:pPr>
      <w:bookmarkStart w:id="2166" w:name="_Toc862"/>
      <w:r>
        <w:t>706- دیوان ایمان تبریزی أو شعره‏</w:t>
      </w:r>
      <w:bookmarkEnd w:id="2166"/>
    </w:p>
    <w:p>
      <w:pPr>
        <w:pStyle w:val="BookText"/>
      </w:pPr>
      <w:r>
        <w:rPr>
          <w:rFonts w:ascii="IRNazanin" w:hAnsi="IRNazanin" w:eastAsia="IRNazanin" w:cs="IRNazanin"/>
          <w:lang w:bidi="fa-IR"/>
          <w:color w:val="111111"/>
          <w:sz w:val="28"/>
          <w:szCs w:val="28"/>
          <w:rtl/>
        </w:rPr>
        <w:t xml:space="preserve">و هو الملا مؤمن، من تلامیذ ملا عبد المحسن (ظ محسن الفیض) و منه أخذ تخلصه، و آباؤه کانوا نقباء الأشراف بتبریز إلی زمن تألیف النصرآبادی تذکرته، کما ذکره فی (نر 6- ص 194). و ترجمه أیضا فی (گلشن- ص 48).</w:t>
      </w:r>
    </w:p>
    <w:p>
      <w:pPr>
        <w:pStyle w:val="Heading3"/>
      </w:pPr>
      <w:bookmarkStart w:id="2167" w:name="_Toc863"/>
      <w:r>
        <w:t>707- دیوان ایمان فرخ‏آبادی أو شعره‏</w:t>
      </w:r>
      <w:bookmarkEnd w:id="2167"/>
    </w:p>
    <w:p>
      <w:pPr>
        <w:pStyle w:val="BookText"/>
      </w:pPr>
      <w:r>
        <w:rPr>
          <w:rFonts w:ascii="IRNazanin" w:hAnsi="IRNazanin" w:eastAsia="IRNazanin" w:cs="IRNazanin"/>
          <w:lang w:bidi="fa-IR"/>
          <w:color w:val="111111"/>
          <w:sz w:val="28"/>
          <w:szCs w:val="28"/>
          <w:rtl/>
        </w:rPr>
        <w:t xml:space="preserve">و هو رحیم علی خان بن بهره‏مند خان بن پردل خان. له تذکره منتخب اللطائف مات (1226) کما ذکره فی (گلشن- ص 48) و عنها فی قاموس الأعلام الترکیة فریحانة الأدب.</w:t>
      </w:r>
    </w:p>
    <w:p>
      <w:pPr>
        <w:pStyle w:val="Heading3"/>
      </w:pPr>
      <w:bookmarkStart w:id="2168" w:name="_Toc864"/>
      <w:r>
        <w:t>708- دیوان ایمان همدانی أو شعره‏</w:t>
      </w:r>
      <w:bookmarkEnd w:id="2168"/>
    </w:p>
    <w:p>
      <w:pPr>
        <w:pStyle w:val="BookText"/>
      </w:pPr>
      <w:r>
        <w:rPr>
          <w:rFonts w:ascii="IRNazanin" w:hAnsi="IRNazanin" w:eastAsia="IRNazanin" w:cs="IRNazanin"/>
          <w:lang w:bidi="fa-IR"/>
          <w:color w:val="111111"/>
          <w:sz w:val="28"/>
          <w:szCs w:val="28"/>
          <w:rtl/>
        </w:rPr>
        <w:t xml:space="preserve">و هو شاهمیر خان من سادات همدان، خدم مدة نجف قلی خان بن قزاق خان. ترجمه و أورد شعره معاصره فی (نر 5- ص 123) و (گلشن- ص 48) و (روشن- ص 85).</w:t>
      </w:r>
    </w:p>
    <w:p>
      <w:pPr>
        <w:pStyle w:val="Heading3"/>
      </w:pPr>
      <w:bookmarkStart w:id="2169" w:name="_Toc865"/>
      <w:r>
        <w:t>709- دیوان أیمن دهلوی قمی أو شعره‏</w:t>
      </w:r>
      <w:bookmarkEnd w:id="2169"/>
    </w:p>
    <w:p>
      <w:pPr>
        <w:pStyle w:val="BookText"/>
      </w:pPr>
      <w:r>
        <w:rPr>
          <w:rFonts w:ascii="IRNazanin" w:hAnsi="IRNazanin" w:eastAsia="IRNazanin" w:cs="IRNazanin"/>
          <w:lang w:bidi="fa-IR"/>
          <w:color w:val="111111"/>
          <w:sz w:val="28"/>
          <w:szCs w:val="28"/>
          <w:rtl/>
        </w:rPr>
        <w:t xml:space="preserve">و هو أحمد قلی خان. کان والده من أهل قم. جاء مع نادر شاه إلی الهند و قتل بالحروف و بقی ابنه هناک. أورد شعره فی (روشن- ص 85).</w:t>
      </w:r>
    </w:p>
    <w:p>
      <w:pPr>
        <w:pStyle w:val="Heading3"/>
      </w:pPr>
      <w:bookmarkStart w:id="2170" w:name="_Toc866"/>
      <w:r>
        <w:t>710- دیوان أیمن کرمانی‏</w:t>
      </w:r>
      <w:bookmarkEnd w:id="2170"/>
    </w:p>
    <w:p>
      <w:pPr>
        <w:pStyle w:val="BookText"/>
      </w:pPr>
      <w:r>
        <w:rPr>
          <w:rFonts w:ascii="IRNazanin" w:hAnsi="IRNazanin" w:eastAsia="IRNazanin" w:cs="IRNazanin"/>
          <w:lang w:bidi="fa-IR"/>
          <w:color w:val="111111"/>
          <w:sz w:val="28"/>
          <w:szCs w:val="28"/>
          <w:rtl/>
        </w:rPr>
        <w:t xml:space="preserve">المیرزا عبد الغنی من شعراء القرن الثالث عشر بکرمان.</w:t>
      </w:r>
    </w:p>
    <w:p>
      <w:pPr>
        <w:pStyle w:val="BookText"/>
      </w:pPr>
      <w:r>
        <w:rPr>
          <w:rFonts w:ascii="IRNazanin" w:hAnsi="IRNazanin" w:eastAsia="IRNazanin" w:cs="IRNazanin"/>
          <w:lang w:bidi="fa-IR"/>
          <w:color w:val="111111"/>
          <w:sz w:val="28"/>
          <w:szCs w:val="28"/>
          <w:rtl/>
        </w:rPr>
        <w:t xml:space="preserve">کان یمدح محمد إسماعیل خان وکیل الملک الحاکم العالم بها من قبل ناصر الدین شاه. و کان حیا إلی 1299 و دیوانه فی عشرة آلاف بیت و تتبع سمندر الکرمانی، کما نقل لی السید محمد الهاشمی الکرمانی. و قد رأیت مجموعة دونها شاعر متخلص بمداح عند السید محمد الموسوی الجزائری فی النجف و فیها قصیدة فی مدح النبی  صلی الله علیه و آله  لأیمن هذا.</w:t>
      </w:r>
    </w:p>
    <w:p>
      <w:pPr>
        <w:pStyle w:val="Heading3"/>
      </w:pPr>
      <w:bookmarkStart w:id="2171" w:name="_Toc867"/>
      <w:r>
        <w:t>دیوان ایمنی‏</w:t>
      </w:r>
      <w:bookmarkEnd w:id="2171"/>
    </w:p>
    <w:p>
      <w:pPr>
        <w:pStyle w:val="BookText"/>
      </w:pPr>
      <w:r>
        <w:rPr>
          <w:rFonts w:ascii="IRNazanin" w:hAnsi="IRNazanin" w:eastAsia="IRNazanin" w:cs="IRNazanin"/>
          <w:lang w:bidi="fa-IR"/>
          <w:color w:val="111111"/>
          <w:sz w:val="28"/>
          <w:szCs w:val="28"/>
          <w:rtl/>
        </w:rPr>
        <w:t xml:space="preserve">یأتی بعنوان دیوان سروری.</w:t>
      </w:r>
    </w:p>
    <w:p>
      <w:pPr>
        <w:pStyle w:val="Heading3"/>
      </w:pPr>
      <w:bookmarkStart w:id="2172" w:name="_Toc868"/>
      <w:r>
        <w:t>711- دیوان ایوأغلی‏</w:t>
      </w:r>
      <w:bookmarkEnd w:id="2172"/>
    </w:p>
    <w:p>
      <w:pPr>
        <w:pStyle w:val="BookText"/>
      </w:pPr>
      <w:r>
        <w:rPr>
          <w:rFonts w:ascii="IRNazanin" w:hAnsi="IRNazanin" w:eastAsia="IRNazanin" w:cs="IRNazanin"/>
          <w:lang w:bidi="fa-IR"/>
          <w:color w:val="111111"/>
          <w:sz w:val="28"/>
          <w:szCs w:val="28"/>
          <w:rtl/>
        </w:rPr>
        <w:t xml:space="preserve">میر محمد القورچی، الشاعر بالفارسیة ترجمه صادقی فی (خص 7- ص 126) و أورد الفارسی و الترکی من شعره.</w:t>
      </w:r>
    </w:p>
    <w:p>
      <w:pPr>
        <w:pStyle w:val="Heading3"/>
      </w:pPr>
      <w:bookmarkStart w:id="2173" w:name="_Toc869"/>
      <w:r>
        <w:t>712- دیوان أیوب‏</w:t>
      </w:r>
      <w:bookmarkEnd w:id="2173"/>
    </w:p>
    <w:p>
      <w:pPr>
        <w:pStyle w:val="BookText"/>
      </w:pPr>
      <w:r>
        <w:rPr>
          <w:rFonts w:ascii="IRNazanin" w:hAnsi="IRNazanin" w:eastAsia="IRNazanin" w:cs="IRNazanin"/>
          <w:lang w:bidi="fa-IR"/>
          <w:color w:val="111111"/>
          <w:sz w:val="28"/>
          <w:szCs w:val="28"/>
          <w:rtl/>
        </w:rPr>
        <w:t xml:space="preserve">ابن أبی البرکة الخراسانی. ذکره معاصره الصادقی الکتاب دار المولود (940) فی (خص 8- ص 312) و أورد بعض أشعاره، و والده أبو البرکة ذکرناه فی (ص 36).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15" w:name="pg11704_121592"/>
    <w:bookmarkEnd w:id="115"/>
    <w:p>
      <w:pPr>
        <w:pStyle w:val="Heading3"/>
      </w:pPr>
      <w:bookmarkStart w:id="2174" w:name="_Toc870"/>
      <w:r>
        <w:t>116 ب‏</w:t>
      </w:r>
      <w:bookmarkEnd w:id="2174"/>
    </w:p>
    <w:p>
      <w:pPr>
        <w:pStyle w:val="Heading3"/>
      </w:pPr>
      <w:bookmarkStart w:id="2175" w:name="_Toc871"/>
      <w:r>
        <w:t>دیوان بابا أصفهانی‏</w:t>
      </w:r>
      <w:bookmarkEnd w:id="2175"/>
    </w:p>
    <w:p>
      <w:pPr>
        <w:pStyle w:val="BookText"/>
      </w:pPr>
      <w:r>
        <w:rPr>
          <w:rStyle w:val="FootnoteReference"/>
        </w:rPr>
        <w:footnoteReference w:id="12"/>
      </w:r>
      <w:r>
        <w:rPr>
          <w:rFonts w:ascii="IRNazanin" w:hAnsi="IRNazanin" w:eastAsia="IRNazanin" w:cs="IRNazanin"/>
          <w:lang w:bidi="fa-IR"/>
          <w:color w:val="111111"/>
          <w:sz w:val="28"/>
          <w:szCs w:val="28"/>
          <w:rtl/>
        </w:rPr>
        <w:t xml:space="preserve">یأتی بعنوان دیوان گرامی أصفهانی.</w:t>
      </w:r>
    </w:p>
    <w:p>
      <w:pPr>
        <w:pStyle w:val="Heading3"/>
      </w:pPr>
      <w:bookmarkStart w:id="2176" w:name="_Toc872"/>
      <w:r>
        <w:t>713- دیوان بابا أصلی دماوندی أو شعره‏</w:t>
      </w:r>
      <w:bookmarkEnd w:id="2176"/>
    </w:p>
    <w:p>
      <w:pPr>
        <w:pStyle w:val="BookText"/>
      </w:pPr>
      <w:r>
        <w:rPr>
          <w:rFonts w:ascii="IRNazanin" w:hAnsi="IRNazanin" w:eastAsia="IRNazanin" w:cs="IRNazanin"/>
          <w:lang w:bidi="fa-IR"/>
          <w:color w:val="111111"/>
          <w:sz w:val="28"/>
          <w:szCs w:val="28"/>
          <w:rtl/>
        </w:rPr>
        <w:t xml:space="preserve">ساح البلاد ثم سکن شیراز. ترجمه النصرآبادی فی (نر 8- ص 211) و أورد شعره.</w:t>
      </w:r>
    </w:p>
    <w:p>
      <w:pPr>
        <w:pStyle w:val="Heading3"/>
      </w:pPr>
      <w:bookmarkStart w:id="2177" w:name="_Toc873"/>
      <w:r>
        <w:t>714- دیوان بابا أفضل کاشانی‏</w:t>
      </w:r>
      <w:bookmarkEnd w:id="2177"/>
    </w:p>
    <w:p>
      <w:pPr>
        <w:pStyle w:val="BookText"/>
      </w:pPr>
      <w:r>
        <w:rPr>
          <w:rFonts w:ascii="IRNazanin" w:hAnsi="IRNazanin" w:eastAsia="IRNazanin" w:cs="IRNazanin"/>
          <w:lang w:bidi="fa-IR"/>
          <w:color w:val="111111"/>
          <w:sz w:val="28"/>
          <w:szCs w:val="28"/>
          <w:rtl/>
        </w:rPr>
        <w:t xml:space="preserve">أفضل الدین محمد المرقی معاصر الخواجة نصیر الدین الطوسی (المتوفی 672) کان عارفا متصوفا. له رسالات فارسیة عرفانیة و أشعار کثیرة متفرقة. و قد طبع الأستاد سعید النفیسی 483 رباعیة مع عدة من غزلیاته مع مقدمه فی شرح أحواله بطهران فی (1311 ش) قال ولد حدود (582 إلی 592) و مات (707) کما قال تقی کاشانی فی تذکرته نظما:</w:t>
      </w:r>
    </w:p>
    <w:p>
      <w:pPr>
        <w:pStyle w:val="BookText"/>
      </w:pPr>
      <w:r>
        <w:rPr>
          <w:rFonts w:ascii="IRNazanin" w:hAnsi="IRNazanin" w:eastAsia="IRNazanin" w:cs="IRNazanin"/>
          <w:lang w:bidi="fa-IR"/>
          <w:color w:val="111111"/>
          <w:sz w:val="28"/>
          <w:szCs w:val="28"/>
          <w:rtl/>
        </w:rPr>
        <w:t xml:space="preserve">تاریخ وفاة خواجه أفضل‏</w:t>
      </w:r>
    </w:p>
    <w:p>
      <w:pPr>
        <w:pStyle w:val="BookText"/>
      </w:pPr>
      <w:r>
        <w:rPr>
          <w:rFonts w:ascii="IRNazanin" w:hAnsi="IRNazanin" w:eastAsia="IRNazanin" w:cs="IRNazanin"/>
          <w:lang w:bidi="fa-IR"/>
          <w:color w:val="111111"/>
          <w:sz w:val="28"/>
          <w:szCs w:val="28"/>
          <w:rtl/>
        </w:rPr>
        <w:t xml:space="preserve">از (عشق) بجوی و (عقل أول)</w:t>
      </w:r>
    </w:p>
    <w:p>
      <w:pPr>
        <w:pStyle w:val="BookText"/>
      </w:pPr>
      <w:r>
        <w:rPr>
          <w:rFonts w:ascii="IRNazanin" w:hAnsi="IRNazanin" w:eastAsia="IRNazanin" w:cs="IRNazanin"/>
          <w:lang w:bidi="fa-IR"/>
          <w:color w:val="111111"/>
          <w:sz w:val="28"/>
          <w:szCs w:val="28"/>
          <w:rtl/>
        </w:rPr>
        <w:t xml:space="preserve">و لکن یبعد أن یعمر 115 سنة، و دفن بمرق کاشان. و طبع جامعة طهران مجموعة رسائله فی مجلدین بتصحیح الدکتور مهدوی و مجتبی مینوی أخیرا.</w:t>
      </w:r>
    </w:p>
    <w:p>
      <w:pPr>
        <w:pStyle w:val="Heading3"/>
      </w:pPr>
      <w:bookmarkStart w:id="2178" w:name="_Toc874"/>
      <w:r>
        <w:t>دیوان- بابا جان‏</w:t>
      </w:r>
      <w:bookmarkEnd w:id="2178"/>
    </w:p>
    <w:p>
      <w:pPr>
        <w:pStyle w:val="BookText"/>
      </w:pPr>
      <w:r>
        <w:rPr>
          <w:rFonts w:ascii="IRNazanin" w:hAnsi="IRNazanin" w:eastAsia="IRNazanin" w:cs="IRNazanin"/>
          <w:lang w:bidi="fa-IR"/>
          <w:color w:val="111111"/>
          <w:sz w:val="28"/>
          <w:szCs w:val="28"/>
          <w:rtl/>
        </w:rPr>
        <w:t xml:space="preserve">یأتی بعنوان تخلصه عشرتی.</w:t>
      </w:r>
    </w:p>
    <w:p>
      <w:pPr>
        <w:pStyle w:val="Heading3"/>
      </w:pPr>
      <w:bookmarkStart w:id="2179" w:name="_Toc875"/>
      <w:r>
        <w:t>دیوان- بابا حسامی‏</w:t>
      </w:r>
      <w:bookmarkEnd w:id="2179"/>
    </w:p>
    <w:p>
      <w:pPr>
        <w:pStyle w:val="BookText"/>
      </w:pPr>
      <w:r>
        <w:rPr>
          <w:rFonts w:ascii="IRNazanin" w:hAnsi="IRNazanin" w:eastAsia="IRNazanin" w:cs="IRNazanin"/>
          <w:lang w:bidi="fa-IR"/>
          <w:color w:val="111111"/>
          <w:sz w:val="28"/>
          <w:szCs w:val="28"/>
          <w:rtl/>
        </w:rPr>
        <w:t xml:space="preserve">یأتی بعنوان دیوان حسامی.</w:t>
      </w:r>
    </w:p>
    <w:p>
      <w:pPr>
        <w:pStyle w:val="Heading3"/>
      </w:pPr>
      <w:bookmarkStart w:id="2180" w:name="_Toc876"/>
      <w:r>
        <w:t>دیوان بابا حسینی‏</w:t>
      </w:r>
      <w:bookmarkEnd w:id="2180"/>
    </w:p>
    <w:p>
      <w:pPr>
        <w:pStyle w:val="BookText"/>
      </w:pPr>
      <w:r>
        <w:rPr>
          <w:rFonts w:ascii="IRNazanin" w:hAnsi="IRNazanin" w:eastAsia="IRNazanin" w:cs="IRNazanin"/>
          <w:lang w:bidi="fa-IR"/>
          <w:color w:val="111111"/>
          <w:sz w:val="28"/>
          <w:szCs w:val="28"/>
          <w:rtl/>
        </w:rPr>
        <w:t xml:space="preserve">یأتی بعنوان تخلصه مطلعی. .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16" w:name="pg11704_121593"/>
    <w:bookmarkEnd w:id="116"/>
    <w:p>
      <w:pPr>
        <w:pStyle w:val="Heading3"/>
      </w:pPr>
      <w:bookmarkStart w:id="2181" w:name="_Toc877"/>
      <w:r>
        <w:t>دیوان بابا ذهبی‏</w:t>
      </w:r>
      <w:bookmarkEnd w:id="2181"/>
    </w:p>
    <w:p>
      <w:pPr>
        <w:pStyle w:val="BookText"/>
      </w:pPr>
      <w:r>
        <w:rPr>
          <w:rFonts w:ascii="IRNazanin" w:hAnsi="IRNazanin" w:eastAsia="IRNazanin" w:cs="IRNazanin"/>
          <w:lang w:bidi="fa-IR"/>
          <w:color w:val="111111"/>
          <w:sz w:val="28"/>
          <w:szCs w:val="28"/>
          <w:rtl/>
        </w:rPr>
        <w:t xml:space="preserve">مر بعنوان أبی القاسم، و یأتی بتخلصه راز.</w:t>
      </w:r>
    </w:p>
    <w:p>
      <w:pPr>
        <w:pStyle w:val="Heading3"/>
      </w:pPr>
      <w:bookmarkStart w:id="2182" w:name="_Toc878"/>
      <w:r>
        <w:t>715- دیوان بابا رضی الدین‏</w:t>
      </w:r>
      <w:bookmarkEnd w:id="2182"/>
    </w:p>
    <w:p>
      <w:pPr>
        <w:pStyle w:val="BookText"/>
      </w:pPr>
      <w:r>
        <w:rPr>
          <w:rFonts w:ascii="IRNazanin" w:hAnsi="IRNazanin" w:eastAsia="IRNazanin" w:cs="IRNazanin"/>
          <w:lang w:bidi="fa-IR"/>
          <w:color w:val="111111"/>
          <w:sz w:val="28"/>
          <w:szCs w:val="28"/>
          <w:rtl/>
        </w:rPr>
        <w:t xml:space="preserve">و هو السید رضی الدین حاکم دیار بکر. من طرف اباقا خان ترجمه فی تاریخ گزیده ص 819 و أورد شعره الذی أرسله إلی الخواجة شمس الدین الجوینی عند عزله إیاه و نصبه جلال الدین سرابی الختنی مکانه.</w:t>
      </w:r>
    </w:p>
    <w:p>
      <w:pPr>
        <w:pStyle w:val="Heading3"/>
      </w:pPr>
      <w:bookmarkStart w:id="2183" w:name="_Toc879"/>
      <w:r>
        <w:t>دیوان بابا سلطان قلندر</w:t>
      </w:r>
      <w:bookmarkEnd w:id="2183"/>
    </w:p>
    <w:p>
      <w:pPr>
        <w:pStyle w:val="BookText"/>
      </w:pPr>
      <w:r>
        <w:rPr>
          <w:rFonts w:ascii="IRNazanin" w:hAnsi="IRNazanin" w:eastAsia="IRNazanin" w:cs="IRNazanin"/>
          <w:lang w:bidi="fa-IR"/>
          <w:color w:val="111111"/>
          <w:sz w:val="28"/>
          <w:szCs w:val="28"/>
          <w:rtl/>
        </w:rPr>
        <w:t xml:space="preserve">یأتی بتخلصه لوائی.</w:t>
      </w:r>
    </w:p>
    <w:p>
      <w:pPr>
        <w:pStyle w:val="Heading3"/>
      </w:pPr>
      <w:bookmarkStart w:id="2184" w:name="_Toc880"/>
      <w:r>
        <w:t>دیوان بابا سودایی‏</w:t>
      </w:r>
      <w:bookmarkEnd w:id="2184"/>
    </w:p>
    <w:p>
      <w:pPr>
        <w:pStyle w:val="BookText"/>
      </w:pPr>
      <w:r>
        <w:rPr>
          <w:rFonts w:ascii="IRNazanin" w:hAnsi="IRNazanin" w:eastAsia="IRNazanin" w:cs="IRNazanin"/>
          <w:lang w:bidi="fa-IR"/>
          <w:color w:val="111111"/>
          <w:sz w:val="28"/>
          <w:szCs w:val="28"/>
          <w:rtl/>
        </w:rPr>
        <w:t xml:space="preserve">له تخلصان سودایی و خاوری یأتیان.</w:t>
      </w:r>
    </w:p>
    <w:p>
      <w:pPr>
        <w:pStyle w:val="Heading3"/>
      </w:pPr>
      <w:bookmarkStart w:id="2185" w:name="_Toc881"/>
      <w:r>
        <w:t>دیوان- بابا شاه عراقی‏</w:t>
      </w:r>
      <w:bookmarkEnd w:id="2185"/>
    </w:p>
    <w:p>
      <w:pPr>
        <w:pStyle w:val="BookText"/>
      </w:pPr>
      <w:r>
        <w:rPr>
          <w:rFonts w:ascii="IRNazanin" w:hAnsi="IRNazanin" w:eastAsia="IRNazanin" w:cs="IRNazanin"/>
          <w:lang w:bidi="fa-IR"/>
          <w:color w:val="111111"/>
          <w:sz w:val="28"/>
          <w:szCs w:val="28"/>
          <w:rtl/>
        </w:rPr>
        <w:t xml:space="preserve">الخطاط معاصر الشاه عباس الأول. ترجمه فی ریاض العارفین (69 ص) و هو الآتی بعنوان (حالی أصفهانی).</w:t>
      </w:r>
    </w:p>
    <w:p>
      <w:pPr>
        <w:pStyle w:val="Heading3"/>
      </w:pPr>
      <w:bookmarkStart w:id="2186" w:name="_Toc882"/>
      <w:r>
        <w:t>716- دیوان بابا شوریده أو شعره‏</w:t>
      </w:r>
      <w:bookmarkEnd w:id="2186"/>
    </w:p>
    <w:p>
      <w:pPr>
        <w:pStyle w:val="BookText"/>
      </w:pPr>
      <w:r>
        <w:rPr>
          <w:rFonts w:ascii="IRNazanin" w:hAnsi="IRNazanin" w:eastAsia="IRNazanin" w:cs="IRNazanin"/>
          <w:lang w:bidi="fa-IR"/>
          <w:color w:val="111111"/>
          <w:sz w:val="28"/>
          <w:szCs w:val="28"/>
          <w:rtl/>
        </w:rPr>
        <w:t xml:space="preserve">ترجمه فی (مجن 3- ص 76 و 260) و أورد مثنویة.</w:t>
      </w:r>
    </w:p>
    <w:p>
      <w:pPr>
        <w:pStyle w:val="Heading3"/>
      </w:pPr>
      <w:bookmarkStart w:id="2187" w:name="_Toc883"/>
      <w:r>
        <w:t>دیوان- بابا شهیدی‏</w:t>
      </w:r>
      <w:bookmarkEnd w:id="2187"/>
    </w:p>
    <w:p>
      <w:pPr>
        <w:pStyle w:val="BookText"/>
      </w:pPr>
      <w:r>
        <w:rPr>
          <w:rFonts w:ascii="IRNazanin" w:hAnsi="IRNazanin" w:eastAsia="IRNazanin" w:cs="IRNazanin"/>
          <w:lang w:bidi="fa-IR"/>
          <w:color w:val="111111"/>
          <w:sz w:val="28"/>
          <w:szCs w:val="28"/>
          <w:rtl/>
        </w:rPr>
        <w:t xml:space="preserve">یأتی بعنوان شهیدی قمی.</w:t>
      </w:r>
    </w:p>
    <w:p>
      <w:pPr>
        <w:pStyle w:val="Heading3"/>
      </w:pPr>
      <w:bookmarkStart w:id="2188" w:name="_Toc884"/>
      <w:r>
        <w:t>717- دیوان بابا طاهر عریان الهمدانی‏</w:t>
      </w:r>
      <w:bookmarkEnd w:id="2188"/>
    </w:p>
    <w:p>
      <w:pPr>
        <w:pStyle w:val="BookText"/>
      </w:pPr>
      <w:r>
        <w:rPr>
          <w:rFonts w:ascii="IRNazanin" w:hAnsi="IRNazanin" w:eastAsia="IRNazanin" w:cs="IRNazanin"/>
          <w:lang w:bidi="fa-IR"/>
          <w:color w:val="111111"/>
          <w:sz w:val="28"/>
          <w:szCs w:val="28"/>
          <w:rtl/>
        </w:rPr>
        <w:t xml:space="preserve">العارف صاحب الرباعیات (الفهلویات) باللغة العامیة فی عصره فی القرن الخامس. مات بهمدان و قبره فی غربی همدان معروف إلی الیوم طبع دیوانه بطهران فی (1306 ش) ثم أعاد طبعه وحید الدستگردی و معه الکلمات القصار له فی (1311 ش) فی (107 ص) ثم طبع بمطبعة خاور، ثم بمطبعة نهضت، ثم بمطبعة فرهومند و بعد ذلک أیضا طبع مکررا.</w:t>
      </w:r>
    </w:p>
    <w:p>
      <w:pPr>
        <w:pStyle w:val="Heading3"/>
      </w:pPr>
      <w:bookmarkStart w:id="2189" w:name="_Toc885"/>
      <w:r>
        <w:t>718- دیوان بابا عبد الله چشمه مالان أو شعره‏</w:t>
      </w:r>
      <w:bookmarkEnd w:id="2189"/>
    </w:p>
    <w:p>
      <w:pPr>
        <w:pStyle w:val="BookText"/>
      </w:pPr>
      <w:r>
        <w:rPr>
          <w:rFonts w:ascii="IRNazanin" w:hAnsi="IRNazanin" w:eastAsia="IRNazanin" w:cs="IRNazanin"/>
          <w:lang w:bidi="fa-IR"/>
          <w:color w:val="111111"/>
          <w:sz w:val="28"/>
          <w:szCs w:val="28"/>
          <w:rtl/>
        </w:rPr>
        <w:t xml:space="preserve">ترجمه و أورد شعره فی (مجتس 2- ص 144).</w:t>
      </w:r>
    </w:p>
    <w:p>
      <w:pPr>
        <w:pStyle w:val="Heading3"/>
      </w:pPr>
      <w:bookmarkStart w:id="2190" w:name="_Toc886"/>
      <w:r>
        <w:t>دیوان بابا فغانی‏</w:t>
      </w:r>
      <w:bookmarkEnd w:id="2190"/>
    </w:p>
    <w:p>
      <w:pPr>
        <w:pStyle w:val="BookText"/>
      </w:pPr>
      <w:r>
        <w:rPr>
          <w:rFonts w:ascii="IRNazanin" w:hAnsi="IRNazanin" w:eastAsia="IRNazanin" w:cs="IRNazanin"/>
          <w:lang w:bidi="fa-IR"/>
          <w:color w:val="111111"/>
          <w:sz w:val="28"/>
          <w:szCs w:val="28"/>
          <w:rtl/>
        </w:rPr>
        <w:t xml:space="preserve">یأتی بتخلصه فغانی.</w:t>
      </w:r>
    </w:p>
    <w:p>
      <w:pPr>
        <w:pStyle w:val="Heading3"/>
      </w:pPr>
      <w:bookmarkStart w:id="2191" w:name="_Toc887"/>
      <w:r>
        <w:t>719- دیوان باباکوهی‏</w:t>
      </w:r>
      <w:bookmarkEnd w:id="2191"/>
    </w:p>
    <w:p>
      <w:pPr>
        <w:pStyle w:val="BookText"/>
      </w:pPr>
      <w:r>
        <w:rPr>
          <w:rFonts w:ascii="IRNazanin" w:hAnsi="IRNazanin" w:eastAsia="IRNazanin" w:cs="IRNazanin"/>
          <w:lang w:bidi="fa-IR"/>
          <w:color w:val="111111"/>
          <w:sz w:val="28"/>
          <w:szCs w:val="28"/>
          <w:rtl/>
        </w:rPr>
        <w:t xml:space="preserve">طبع بهذا العنوان بشیراز فی (1347) فی (152 ص) علی الحجر، و هو مشتمل علی 245 غزلا و 20 رباعیة کلها أشعار سخیفة لا تتقدم عن القرن التاسع حتما، و قد قوبلت مع نسخ أقدمها کتبت (1088) و قد نسبها الناشر إلی أبی عبد الله محمد بن عبد الله المعروف بباکویه الشیرازی العارف الشهیر تلمیذ أبی عبد الله الخفیف الشیرازی و أبی سعید أبی الخیر و غیرهما. توفی بشیراز (420 أو 442) بعد أن سافر و ساح البلاد الکثیرة. کما ترجم فی شد الإزار (ص 380- 384) مع حواشی القزوینی علیه فی (ص 550- 566).</w:t>
      </w:r>
    </w:p>
    <w:p>
      <w:pPr>
        <w:pStyle w:val="BookText"/>
      </w:pPr>
      <w:r>
        <w:rPr>
          <w:rFonts w:ascii="IRNazanin" w:hAnsi="IRNazanin" w:eastAsia="IRNazanin" w:cs="IRNazanin"/>
          <w:lang w:bidi="fa-IR"/>
          <w:color w:val="111111"/>
          <w:sz w:val="28"/>
          <w:szCs w:val="28"/>
          <w:rtl/>
        </w:rPr>
        <w:t xml:space="preserve">قال و أول من نسب هذا الدیوان الموجود، إلی باکویه هو رضا قلی خان هدایت فی‏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17" w:name="pg11704_121594"/>
    <w:bookmarkEnd w:id="117"/>
    <w:p>
      <w:pPr>
        <w:pStyle w:val="BookText"/>
      </w:pPr>
      <w:r>
        <w:rPr>
          <w:rFonts w:ascii="IRNazanin" w:hAnsi="IRNazanin" w:eastAsia="IRNazanin" w:cs="IRNazanin"/>
          <w:lang w:bidi="fa-IR"/>
          <w:color w:val="111111"/>
          <w:sz w:val="28"/>
          <w:szCs w:val="28"/>
          <w:rtl/>
        </w:rPr>
        <w:t xml:space="preserve">ریاض العارفین. و لکن یظهر بعد التأمل أن هذا الدیوان مصنوع أحد الدراویش المتأخرین.</w:t>
      </w:r>
    </w:p>
    <w:p>
      <w:pPr>
        <w:pStyle w:val="Heading3"/>
      </w:pPr>
      <w:bookmarkStart w:id="2192" w:name="_Toc888"/>
      <w:r>
        <w:t>720- دیوان بابا محمد علی أصفهانی‏</w:t>
      </w:r>
      <w:bookmarkEnd w:id="2192"/>
    </w:p>
    <w:p>
      <w:pPr>
        <w:pStyle w:val="BookText"/>
      </w:pPr>
      <w:r>
        <w:rPr>
          <w:rFonts w:ascii="IRNazanin" w:hAnsi="IRNazanin" w:eastAsia="IRNazanin" w:cs="IRNazanin"/>
          <w:lang w:bidi="fa-IR"/>
          <w:color w:val="111111"/>
          <w:sz w:val="28"/>
          <w:szCs w:val="28"/>
          <w:rtl/>
        </w:rPr>
        <w:t xml:space="preserve">شال‏فروش. سکن قیصریة بأصفهان، و صحب الحکیم الشفائی و کان ماهرا فی نظم المثنوی، و مات سنتین قبل تألیف النصرآبادی لتذکرته کما ذکره فی (نر 9- ص 426) و عنه فی (گلشن- 380).</w:t>
      </w:r>
    </w:p>
    <w:p>
      <w:pPr>
        <w:pStyle w:val="Heading3"/>
      </w:pPr>
      <w:bookmarkStart w:id="2193" w:name="_Toc889"/>
      <w:r>
        <w:t>دیوان بابا ندیمی‏</w:t>
      </w:r>
      <w:bookmarkEnd w:id="2193"/>
    </w:p>
    <w:p>
      <w:pPr>
        <w:pStyle w:val="BookText"/>
      </w:pPr>
      <w:r>
        <w:rPr>
          <w:rFonts w:ascii="IRNazanin" w:hAnsi="IRNazanin" w:eastAsia="IRNazanin" w:cs="IRNazanin"/>
          <w:lang w:bidi="fa-IR"/>
          <w:color w:val="111111"/>
          <w:sz w:val="28"/>
          <w:szCs w:val="28"/>
          <w:rtl/>
        </w:rPr>
        <w:t xml:space="preserve">یأتی بعنوان دیوان ندیمی.</w:t>
      </w:r>
    </w:p>
    <w:p>
      <w:pPr>
        <w:pStyle w:val="Heading3"/>
      </w:pPr>
      <w:bookmarkStart w:id="2194" w:name="_Toc890"/>
      <w:r>
        <w:t>721- دیوان بابر میرزا أو شعره‏</w:t>
      </w:r>
      <w:bookmarkEnd w:id="2194"/>
    </w:p>
    <w:p>
      <w:pPr>
        <w:pStyle w:val="BookText"/>
      </w:pPr>
      <w:r>
        <w:rPr>
          <w:rFonts w:ascii="IRNazanin" w:hAnsi="IRNazanin" w:eastAsia="IRNazanin" w:cs="IRNazanin"/>
          <w:lang w:bidi="fa-IR"/>
          <w:color w:val="111111"/>
          <w:sz w:val="28"/>
          <w:szCs w:val="28"/>
          <w:rtl/>
        </w:rPr>
        <w:t xml:space="preserve">و هو السلطان العارف المیرزا أبو القاسم. کان ینظم الشعر و یتخلص بابر کما أورد غزلا له بهذا التخلص فی مرآة الخیال (ص 69- 70) حکم علی خراسان و هرات و استوزر الخواجة وجیه الدین محمود بن إسماعیل السمنانی. و مات (861) و قال عزیزی الشاعر فی تاریخ وفاته:</w:t>
      </w:r>
    </w:p>
    <w:p>
      <w:pPr>
        <w:pStyle w:val="BookText"/>
      </w:pPr>
      <w:r>
        <w:rPr>
          <w:rFonts w:ascii="IRNazanin" w:hAnsi="IRNazanin" w:eastAsia="IRNazanin" w:cs="IRNazanin"/>
          <w:lang w:bidi="fa-IR"/>
          <w:color w:val="111111"/>
          <w:sz w:val="28"/>
          <w:szCs w:val="28"/>
          <w:rtl/>
        </w:rPr>
        <w:t xml:space="preserve">بود راسخ چو در سخا و کرم‏</w:t>
      </w:r>
    </w:p>
    <w:p>
      <w:pPr>
        <w:pStyle w:val="BookText"/>
      </w:pPr>
      <w:r>
        <w:rPr>
          <w:rFonts w:ascii="IRNazanin" w:hAnsi="IRNazanin" w:eastAsia="IRNazanin" w:cs="IRNazanin"/>
          <w:lang w:bidi="fa-IR"/>
          <w:color w:val="111111"/>
          <w:sz w:val="28"/>
          <w:szCs w:val="28"/>
          <w:rtl/>
        </w:rPr>
        <w:t xml:space="preserve">گشت تاریخ فوت أو راسخ‏</w:t>
      </w:r>
    </w:p>
    <w:p>
      <w:pPr>
        <w:pStyle w:val="BookText"/>
      </w:pPr>
      <w:r>
        <w:rPr>
          <w:rFonts w:ascii="IRNazanin" w:hAnsi="IRNazanin" w:eastAsia="IRNazanin" w:cs="IRNazanin"/>
          <w:lang w:bidi="fa-IR"/>
          <w:color w:val="111111"/>
          <w:sz w:val="28"/>
          <w:szCs w:val="28"/>
          <w:rtl/>
        </w:rPr>
        <w:t xml:space="preserve">و باسمه ألف الجامی فی (856) حلیلة الحلل فی المعمی الذی ذکرناه فی (ج 7- ص 81) و فی (ج 8- ص 167) بعنوان دستور معما الکبیر و الموجود نسخته فی مکتبة (المشکاة) کما کتبه ابنی فی فهرسها. و ترجمه المیر علی شیر فی (مجن 7- ص 126 و 315).</w:t>
      </w:r>
    </w:p>
    <w:p>
      <w:pPr>
        <w:pStyle w:val="Heading3"/>
      </w:pPr>
      <w:bookmarkStart w:id="2195" w:name="_Toc891"/>
      <w:r>
        <w:t>722- دیوان بابر شاه أو شعره‏</w:t>
      </w:r>
      <w:bookmarkEnd w:id="2195"/>
    </w:p>
    <w:p>
      <w:pPr>
        <w:pStyle w:val="BookText"/>
      </w:pPr>
      <w:r>
        <w:rPr>
          <w:rFonts w:ascii="IRNazanin" w:hAnsi="IRNazanin" w:eastAsia="IRNazanin" w:cs="IRNazanin"/>
          <w:lang w:bidi="fa-IR"/>
          <w:color w:val="111111"/>
          <w:sz w:val="28"/>
          <w:szCs w:val="28"/>
          <w:rtl/>
        </w:rPr>
        <w:t xml:space="preserve">و هو ظهیر الدین بابر حاکم هرات المتوفی (937) ابن عمر شیخ بن بو سعید بن میران شاه بن تیمور. عده فی (تس 1- ص 15 و 16) و (تغ- ص 23) من الشعراء.</w:t>
      </w:r>
    </w:p>
    <w:p>
      <w:pPr>
        <w:pStyle w:val="Heading3"/>
      </w:pPr>
      <w:bookmarkStart w:id="2196" w:name="_Toc892"/>
      <w:r>
        <w:t>723- دیوان باجی أو شعرها</w:t>
      </w:r>
      <w:bookmarkEnd w:id="2196"/>
    </w:p>
    <w:p>
      <w:pPr>
        <w:pStyle w:val="BookText"/>
      </w:pPr>
      <w:r>
        <w:rPr>
          <w:rFonts w:ascii="IRNazanin" w:hAnsi="IRNazanin" w:eastAsia="IRNazanin" w:cs="IRNazanin"/>
          <w:lang w:bidi="fa-IR"/>
          <w:color w:val="111111"/>
          <w:sz w:val="28"/>
          <w:szCs w:val="28"/>
          <w:rtl/>
        </w:rPr>
        <w:t xml:space="preserve">و هی آغا بیگم بنت إبراهیم خان جوان‏شیر، و أخت أبی الفتح خان طوطی و زوجة فتح علی شاه قاجار. ماتت فی (1248) و دفنت فی قم. أورد شعرها فی دجا- ص 8 و 9.</w:t>
      </w:r>
    </w:p>
    <w:p>
      <w:pPr>
        <w:pStyle w:val="Heading3"/>
      </w:pPr>
      <w:bookmarkStart w:id="2197" w:name="_Toc893"/>
      <w:r>
        <w:t>دیوان الباخرزی‏</w:t>
      </w:r>
      <w:bookmarkEnd w:id="2197"/>
    </w:p>
    <w:p>
      <w:pPr>
        <w:pStyle w:val="BookText"/>
      </w:pPr>
      <w:r>
        <w:rPr>
          <w:rFonts w:ascii="IRNazanin" w:hAnsi="IRNazanin" w:eastAsia="IRNazanin" w:cs="IRNazanin"/>
          <w:lang w:bidi="fa-IR"/>
          <w:color w:val="111111"/>
          <w:sz w:val="28"/>
          <w:szCs w:val="28"/>
          <w:rtl/>
        </w:rPr>
        <w:t xml:space="preserve">یأتی بعنوان سیف الباخرزی.</w:t>
      </w:r>
    </w:p>
    <w:p>
      <w:pPr>
        <w:pStyle w:val="Heading3"/>
      </w:pPr>
      <w:bookmarkStart w:id="2198" w:name="_Toc894"/>
      <w:r>
        <w:t>724- دیوان الباخرزی أو شعره‏</w:t>
      </w:r>
      <w:bookmarkEnd w:id="2198"/>
    </w:p>
    <w:p>
      <w:pPr>
        <w:pStyle w:val="BookText"/>
      </w:pPr>
      <w:r>
        <w:rPr>
          <w:rFonts w:ascii="IRNazanin" w:hAnsi="IRNazanin" w:eastAsia="IRNazanin" w:cs="IRNazanin"/>
          <w:lang w:bidi="fa-IR"/>
          <w:color w:val="111111"/>
          <w:sz w:val="28"/>
          <w:szCs w:val="28"/>
          <w:rtl/>
        </w:rPr>
        <w:t xml:space="preserve">و هو علی بن الحسن بن علی بن أبی الطیب، المکنی بأبی القاسم أو أبی الحسین الباخرزی من نواحی نیشابور، الشاعر بالعربیة و الفارسیة. له دمیة القصر ذیلا لیتیمة الدهر للثعالبی. قتل بباخرز فی ذی القعدة (467) أورد شعره فی (مع- ج 1- 395) و ترجمه ابن خلکان و غیره.</w:t>
      </w:r>
    </w:p>
    <w:p>
      <w:pPr>
        <w:pStyle w:val="Heading3"/>
      </w:pPr>
      <w:bookmarkStart w:id="2199" w:name="_Toc895"/>
      <w:r>
        <w:t>725- دیوان باذل‏</w:t>
      </w:r>
      <w:bookmarkEnd w:id="2199"/>
    </w:p>
    <w:p>
      <w:pPr>
        <w:pStyle w:val="BookText"/>
      </w:pPr>
      <w:r>
        <w:rPr>
          <w:rFonts w:ascii="IRNazanin" w:hAnsi="IRNazanin" w:eastAsia="IRNazanin" w:cs="IRNazanin"/>
          <w:lang w:bidi="fa-IR"/>
          <w:color w:val="111111"/>
          <w:sz w:val="28"/>
          <w:szCs w:val="28"/>
          <w:rtl/>
        </w:rPr>
        <w:t xml:space="preserve">المیرزا محمد رفیع المشهدی المتخلص فی شعره بباذل و هو ناظم‏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18" w:name="pg11704_121595"/>
    <w:bookmarkEnd w:id="118"/>
    <w:p>
      <w:pPr>
        <w:pStyle w:val="BookText"/>
      </w:pPr>
      <w:r>
        <w:rPr>
          <w:rFonts w:ascii="IRNazanin" w:hAnsi="IRNazanin" w:eastAsia="IRNazanin" w:cs="IRNazanin"/>
          <w:lang w:bidi="fa-IR"/>
          <w:color w:val="111111"/>
          <w:sz w:val="28"/>
          <w:szCs w:val="28"/>
          <w:rtl/>
        </w:rPr>
        <w:t xml:space="preserve">حمله حیدری المذکور فی (ج 7 ص 91) ترجمه فی (سرخوش- ص 10).</w:t>
      </w:r>
    </w:p>
    <w:p>
      <w:pPr>
        <w:pStyle w:val="Heading3"/>
      </w:pPr>
      <w:bookmarkStart w:id="2200" w:name="_Toc896"/>
      <w:r>
        <w:t>726- دیوان باذلی ساوجی أو شعره‏</w:t>
      </w:r>
      <w:bookmarkEnd w:id="2200"/>
    </w:p>
    <w:p>
      <w:pPr>
        <w:pStyle w:val="BookText"/>
      </w:pPr>
      <w:r>
        <w:rPr>
          <w:rFonts w:ascii="IRNazanin" w:hAnsi="IRNazanin" w:eastAsia="IRNazanin" w:cs="IRNazanin"/>
          <w:lang w:bidi="fa-IR"/>
          <w:color w:val="111111"/>
          <w:sz w:val="28"/>
          <w:szCs w:val="28"/>
          <w:rtl/>
        </w:rPr>
        <w:t xml:space="preserve">ترجمه معاصره صادقی فی (خص 8- ص 307) و أظنه هو التفرشی المذکور فی (روشن- 86).</w:t>
      </w:r>
    </w:p>
    <w:p>
      <w:pPr>
        <w:pStyle w:val="Heading3"/>
      </w:pPr>
      <w:bookmarkStart w:id="2201" w:name="_Toc897"/>
      <w:r>
        <w:t>دیوان البارع البغدادی‏</w:t>
      </w:r>
      <w:bookmarkEnd w:id="2201"/>
    </w:p>
    <w:p>
      <w:pPr>
        <w:pStyle w:val="BookText"/>
      </w:pPr>
      <w:r>
        <w:rPr>
          <w:rFonts w:ascii="IRNazanin" w:hAnsi="IRNazanin" w:eastAsia="IRNazanin" w:cs="IRNazanin"/>
          <w:lang w:bidi="fa-IR"/>
          <w:color w:val="111111"/>
          <w:sz w:val="28"/>
          <w:szCs w:val="28"/>
          <w:rtl/>
        </w:rPr>
        <w:t xml:space="preserve">مر بعنوان دیوان ابن الدباس النحوی اللغوی المعروف بالبارع.</w:t>
      </w:r>
    </w:p>
    <w:p>
      <w:pPr>
        <w:pStyle w:val="Heading3"/>
      </w:pPr>
      <w:bookmarkStart w:id="2202" w:name="_Toc898"/>
      <w:r>
        <w:t>727- دیوان بازاری أسترآبادی أو شعره‏</w:t>
      </w:r>
      <w:bookmarkEnd w:id="2202"/>
    </w:p>
    <w:p>
      <w:pPr>
        <w:pStyle w:val="BookText"/>
      </w:pPr>
      <w:r>
        <w:rPr>
          <w:rFonts w:ascii="IRNazanin" w:hAnsi="IRNazanin" w:eastAsia="IRNazanin" w:cs="IRNazanin"/>
          <w:lang w:bidi="fa-IR"/>
          <w:color w:val="111111"/>
          <w:sz w:val="28"/>
          <w:szCs w:val="28"/>
          <w:rtl/>
        </w:rPr>
        <w:t xml:space="preserve">أورد شعره فی (تش- ص 151) و قال إن اسمه خواجه علی. و لکنه لم یستحسن شعره.</w:t>
      </w:r>
    </w:p>
    <w:p>
      <w:pPr>
        <w:pStyle w:val="Heading3"/>
      </w:pPr>
      <w:bookmarkStart w:id="2203" w:name="_Toc899"/>
      <w:r>
        <w:t>728- دیوان باسطی لکهنوی‏</w:t>
      </w:r>
      <w:bookmarkEnd w:id="2203"/>
    </w:p>
    <w:p>
      <w:pPr>
        <w:pStyle w:val="BookText"/>
      </w:pPr>
      <w:r>
        <w:rPr>
          <w:rFonts w:ascii="IRNazanin" w:hAnsi="IRNazanin" w:eastAsia="IRNazanin" w:cs="IRNazanin"/>
          <w:lang w:bidi="fa-IR"/>
          <w:color w:val="111111"/>
          <w:sz w:val="28"/>
          <w:szCs w:val="28"/>
          <w:rtl/>
        </w:rPr>
        <w:t xml:space="preserve">و هو بنده علی خان، مرید عبد الباسط. کان یتخلص أولا شیرافکن فاتخذ باسطی نسبه إلیه. له تذکره للشعراء تسمی تذکره باسطی. و مات (1160). أورد شعره فی قاموس الأعلام الترکیة نقلا عن تذاکر شعراء الهند، و عنه فی ریحانة الأدب.</w:t>
      </w:r>
    </w:p>
    <w:p>
      <w:pPr>
        <w:pStyle w:val="Heading3"/>
      </w:pPr>
      <w:bookmarkStart w:id="2204" w:name="_Toc900"/>
      <w:r>
        <w:t>729- دیوان باعث أصفهانی‏</w:t>
      </w:r>
      <w:bookmarkEnd w:id="2204"/>
    </w:p>
    <w:p>
      <w:pPr>
        <w:pStyle w:val="BookText"/>
      </w:pPr>
      <w:r>
        <w:rPr>
          <w:rFonts w:ascii="IRNazanin" w:hAnsi="IRNazanin" w:eastAsia="IRNazanin" w:cs="IRNazanin"/>
          <w:lang w:bidi="fa-IR"/>
          <w:color w:val="111111"/>
          <w:sz w:val="28"/>
          <w:szCs w:val="28"/>
          <w:rtl/>
        </w:rPr>
        <w:t xml:space="preserve">هو محمد نصیر المذهب (زرکش) للسلطان شاه حسین الصفوی المتوفی (1135) أورد شعره فی (روشن 86).</w:t>
      </w:r>
    </w:p>
    <w:p>
      <w:pPr>
        <w:pStyle w:val="Heading3"/>
      </w:pPr>
      <w:bookmarkStart w:id="2205" w:name="_Toc901"/>
      <w:r>
        <w:t>دیوان باغبان‏</w:t>
      </w:r>
      <w:bookmarkEnd w:id="2205"/>
    </w:p>
    <w:p>
      <w:pPr>
        <w:pStyle w:val="BookText"/>
      </w:pPr>
      <w:r>
        <w:rPr>
          <w:rFonts w:ascii="IRNazanin" w:hAnsi="IRNazanin" w:eastAsia="IRNazanin" w:cs="IRNazanin"/>
          <w:lang w:bidi="fa-IR"/>
          <w:color w:val="111111"/>
          <w:sz w:val="28"/>
          <w:szCs w:val="28"/>
          <w:rtl/>
        </w:rPr>
        <w:t xml:space="preserve">یأتی بعنوان دیوان ضمیری راجع (ج 7- ص 260 و 261).</w:t>
      </w:r>
    </w:p>
    <w:p>
      <w:pPr>
        <w:pStyle w:val="Heading3"/>
      </w:pPr>
      <w:bookmarkStart w:id="2206" w:name="_Toc902"/>
      <w:r>
        <w:t>730- دیوان مولانا باطنی البلخی‏</w:t>
      </w:r>
      <w:bookmarkEnd w:id="2206"/>
    </w:p>
    <w:p>
      <w:pPr>
        <w:pStyle w:val="BookText"/>
      </w:pPr>
      <w:r>
        <w:rPr>
          <w:rFonts w:ascii="IRNazanin" w:hAnsi="IRNazanin" w:eastAsia="IRNazanin" w:cs="IRNazanin"/>
          <w:lang w:bidi="fa-IR"/>
          <w:color w:val="111111"/>
          <w:sz w:val="28"/>
          <w:szCs w:val="28"/>
          <w:rtl/>
        </w:rPr>
        <w:t xml:space="preserve">حج البیت بقدم التوکل و عدم الزاد. ترجمه فی (مجن 3- ص 82 و ص 256) و ذکر شعره.</w:t>
      </w:r>
    </w:p>
    <w:p>
      <w:pPr>
        <w:pStyle w:val="Heading3"/>
      </w:pPr>
      <w:bookmarkStart w:id="2207" w:name="_Toc903"/>
      <w:r>
        <w:t>731- دیوان مولانا باطنی‏</w:t>
      </w:r>
      <w:bookmarkEnd w:id="2207"/>
    </w:p>
    <w:p>
      <w:pPr>
        <w:pStyle w:val="BookText"/>
      </w:pPr>
      <w:r>
        <w:rPr>
          <w:rFonts w:ascii="IRNazanin" w:hAnsi="IRNazanin" w:eastAsia="IRNazanin" w:cs="IRNazanin"/>
          <w:lang w:bidi="fa-IR"/>
          <w:color w:val="111111"/>
          <w:sz w:val="28"/>
          <w:szCs w:val="28"/>
          <w:rtl/>
        </w:rPr>
        <w:t xml:space="preserve">ترجمه الشاه محمد القزوینی فی البهشت السادس (قز مج 6- ص 306) و ذکر أنه من شعراء السلطان الشهید (أبی سعید) و ذکر له شعرا غیر ما ذکره للبلخی المذکور أولا و یظهر تعددهما.</w:t>
      </w:r>
    </w:p>
    <w:p>
      <w:pPr>
        <w:pStyle w:val="Heading3"/>
      </w:pPr>
      <w:bookmarkStart w:id="2208" w:name="_Toc904"/>
      <w:r>
        <w:t>732- دیوان باقر</w:t>
      </w:r>
      <w:bookmarkEnd w:id="2208"/>
    </w:p>
    <w:p>
      <w:pPr>
        <w:pStyle w:val="BookText"/>
      </w:pPr>
      <w:r>
        <w:rPr>
          <w:rFonts w:ascii="IRNazanin" w:hAnsi="IRNazanin" w:eastAsia="IRNazanin" w:cs="IRNazanin"/>
          <w:lang w:bidi="fa-IR"/>
          <w:color w:val="111111"/>
          <w:sz w:val="28"/>
          <w:szCs w:val="28"/>
          <w:rtl/>
        </w:rPr>
        <w:t xml:space="preserve">توجد بهذا العنوان نسخه فی (الرضویة) و نسخه فی مکتبة السلطان عثمان الثالث بأستانبول کما فی فهرسیهما. و لعله المذکور فی العدد (750).</w:t>
      </w:r>
    </w:p>
    <w:p>
      <w:pPr>
        <w:pStyle w:val="Heading3"/>
      </w:pPr>
      <w:bookmarkStart w:id="2209" w:name="_Toc905"/>
      <w:r>
        <w:t>733- دیوان باقر أصفهانی أو شعره‏</w:t>
      </w:r>
      <w:bookmarkEnd w:id="2209"/>
    </w:p>
    <w:p>
      <w:pPr>
        <w:pStyle w:val="BookText"/>
      </w:pPr>
      <w:r>
        <w:rPr>
          <w:rFonts w:ascii="IRNazanin" w:hAnsi="IRNazanin" w:eastAsia="IRNazanin" w:cs="IRNazanin"/>
          <w:lang w:bidi="fa-IR"/>
          <w:color w:val="111111"/>
          <w:sz w:val="28"/>
          <w:szCs w:val="28"/>
          <w:rtl/>
        </w:rPr>
        <w:t xml:space="preserve">کان له الید الطولی فی المعمی کما ذکره و أورد شعره فی (گلشن) و قال فی (نر 15- ص 535) إنه ابن ملا عنایت البرلشتی کاتب القاضی شیخ الإسلام. کان خطاطا بالنسخ و سافر إلی الهند.</w:t>
      </w:r>
    </w:p>
    <w:p>
      <w:pPr>
        <w:pStyle w:val="Heading3"/>
      </w:pPr>
      <w:bookmarkStart w:id="2210" w:name="_Toc906"/>
      <w:r>
        <w:t>734- دیوان باقر بیرجندی‏</w:t>
      </w:r>
      <w:bookmarkEnd w:id="2210"/>
    </w:p>
    <w:p>
      <w:pPr>
        <w:pStyle w:val="BookText"/>
      </w:pPr>
      <w:r>
        <w:rPr>
          <w:rFonts w:ascii="IRNazanin" w:hAnsi="IRNazanin" w:eastAsia="IRNazanin" w:cs="IRNazanin"/>
          <w:lang w:bidi="fa-IR"/>
          <w:color w:val="111111"/>
          <w:sz w:val="28"/>
          <w:szCs w:val="28"/>
          <w:rtl/>
        </w:rPr>
        <w:t xml:space="preserve">و هو الشیخ محمد باقر بن الحسن مؤلف بغیة الطالب المذکور فی (ج 3- ص 133) ذکره هو فی فهرس تصانیفه. و یأتی دیوان ضیائی لولده‏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19" w:name="pg11704_121596"/>
    <w:bookmarkEnd w:id="119"/>
    <w:p>
      <w:pPr>
        <w:pStyle w:val="BookText"/>
      </w:pPr>
      <w:r>
        <w:rPr>
          <w:rFonts w:ascii="IRNazanin" w:hAnsi="IRNazanin" w:eastAsia="IRNazanin" w:cs="IRNazanin"/>
          <w:lang w:bidi="fa-IR"/>
          <w:color w:val="111111"/>
          <w:sz w:val="28"/>
          <w:szCs w:val="28"/>
          <w:rtl/>
        </w:rPr>
        <w:t xml:space="preserve">محمد حسین.</w:t>
      </w:r>
    </w:p>
    <w:p>
      <w:pPr>
        <w:pStyle w:val="Heading3"/>
      </w:pPr>
      <w:bookmarkStart w:id="2211" w:name="_Toc907"/>
      <w:r>
        <w:t>735- دیوان میرزا باقر تبریزی أو شعره‏</w:t>
      </w:r>
      <w:bookmarkEnd w:id="2211"/>
    </w:p>
    <w:p>
      <w:pPr>
        <w:pStyle w:val="BookText"/>
      </w:pPr>
      <w:r>
        <w:rPr>
          <w:rFonts w:ascii="IRNazanin" w:hAnsi="IRNazanin" w:eastAsia="IRNazanin" w:cs="IRNazanin"/>
          <w:lang w:bidi="fa-IR"/>
          <w:color w:val="111111"/>
          <w:sz w:val="28"/>
          <w:szCs w:val="28"/>
          <w:rtl/>
        </w:rPr>
        <w:t xml:space="preserve">المعروف بأیبک من تبارزه عباس‏آباد بأصفهان.</w:t>
      </w:r>
    </w:p>
    <w:p>
      <w:pPr>
        <w:pStyle w:val="BookText"/>
      </w:pPr>
      <w:r>
        <w:rPr>
          <w:rFonts w:ascii="IRNazanin" w:hAnsi="IRNazanin" w:eastAsia="IRNazanin" w:cs="IRNazanin"/>
          <w:lang w:bidi="fa-IR"/>
          <w:color w:val="111111"/>
          <w:sz w:val="28"/>
          <w:szCs w:val="28"/>
          <w:rtl/>
        </w:rPr>
        <w:t xml:space="preserve">کان عالما فاضلا کما ذکره فی (نر 6- ص 199) و أورد شعره. و أظنه متحدا مع ما بعده.</w:t>
      </w:r>
    </w:p>
    <w:p>
      <w:pPr>
        <w:pStyle w:val="Heading3"/>
      </w:pPr>
      <w:bookmarkStart w:id="2212" w:name="_Toc908"/>
      <w:r>
        <w:t>736- دیوان باقر تبریزی أو شعره‏</w:t>
      </w:r>
      <w:bookmarkEnd w:id="2212"/>
    </w:p>
    <w:p>
      <w:pPr>
        <w:pStyle w:val="BookText"/>
      </w:pPr>
      <w:r>
        <w:rPr>
          <w:rFonts w:ascii="IRNazanin" w:hAnsi="IRNazanin" w:eastAsia="IRNazanin" w:cs="IRNazanin"/>
          <w:lang w:bidi="fa-IR"/>
          <w:color w:val="111111"/>
          <w:sz w:val="28"/>
          <w:szCs w:val="28"/>
          <w:rtl/>
        </w:rPr>
        <w:t xml:space="preserve">هو حفید القاضی زین العابدین. کان عالما فاضلا، تلمذ علی آقا حسین (ظ الخوانساری) و مهر فی المعمی، کان یدرس بمدرسة قطبیة و کان تقسیم الغلات و الغنم لتبارزه أصفهان بیده بعد جده. أورد شعره فی (نر 6 و 14- ص 175 و 532) و (سرخوش- ص 10).</w:t>
      </w:r>
    </w:p>
    <w:p>
      <w:pPr>
        <w:pStyle w:val="Heading3"/>
      </w:pPr>
      <w:bookmarkStart w:id="2213" w:name="_Toc909"/>
      <w:r>
        <w:t>737- دیوان باقر الجائسی الحائری‏</w:t>
      </w:r>
      <w:bookmarkEnd w:id="2213"/>
    </w:p>
    <w:p>
      <w:pPr>
        <w:pStyle w:val="BookText"/>
      </w:pPr>
      <w:r>
        <w:rPr>
          <w:rFonts w:ascii="IRNazanin" w:hAnsi="IRNazanin" w:eastAsia="IRNazanin" w:cs="IRNazanin"/>
          <w:lang w:bidi="fa-IR"/>
          <w:color w:val="111111"/>
          <w:sz w:val="28"/>
          <w:szCs w:val="28"/>
          <w:rtl/>
        </w:rPr>
        <w:t xml:space="preserve">بالعربیة و الفارسیة. للسید کلب باقر المتوفی بکربلاء (1329) رأیته عند ولده السید کلب مهدی. ترجمه فی مجلة العلم- المجلد الثانی (ص 81) و له الإبریق فی غسل الدم بالریق مر.</w:t>
      </w:r>
    </w:p>
    <w:p>
      <w:pPr>
        <w:pStyle w:val="Heading3"/>
      </w:pPr>
      <w:bookmarkStart w:id="2214" w:name="_Toc910"/>
      <w:r>
        <w:t>738- دیوان باقر جهرمی أو شعره‏</w:t>
      </w:r>
      <w:bookmarkEnd w:id="2214"/>
    </w:p>
    <w:p>
      <w:pPr>
        <w:pStyle w:val="BookText"/>
      </w:pPr>
      <w:r>
        <w:rPr>
          <w:rFonts w:ascii="IRNazanin" w:hAnsi="IRNazanin" w:eastAsia="IRNazanin" w:cs="IRNazanin"/>
          <w:lang w:bidi="fa-IR"/>
          <w:color w:val="111111"/>
          <w:sz w:val="28"/>
          <w:szCs w:val="28"/>
          <w:rtl/>
        </w:rPr>
        <w:t xml:space="preserve">هو محمد باقر بیگ بن محمد قاسم بیگ وزیر جهرم جلس مکان والده ثم انتقل إلی وزارة یزد ثم رجع إلی وزارة جهرم. أورد رباعیاته فی (نر 4- ص 86). و لعله الذی ذکره آیتی فی (تش یز- ص 278). بعنوان محمد باقر یزدی حاکم یزد السیئ الخلق.</w:t>
      </w:r>
    </w:p>
    <w:p>
      <w:pPr>
        <w:pStyle w:val="Heading3"/>
      </w:pPr>
      <w:bookmarkStart w:id="2215" w:name="_Toc911"/>
      <w:r>
        <w:t>دیوان محمد باقر خوانساری‏</w:t>
      </w:r>
      <w:bookmarkEnd w:id="2215"/>
    </w:p>
    <w:p>
      <w:pPr>
        <w:pStyle w:val="BookText"/>
      </w:pPr>
      <w:r>
        <w:rPr>
          <w:rFonts w:ascii="IRNazanin" w:hAnsi="IRNazanin" w:eastAsia="IRNazanin" w:cs="IRNazanin"/>
          <w:lang w:bidi="fa-IR"/>
          <w:color w:val="111111"/>
          <w:sz w:val="28"/>
          <w:szCs w:val="28"/>
          <w:rtl/>
        </w:rPr>
        <w:t xml:space="preserve">یأتی بعنوان دیوان صاحب الروضات.</w:t>
      </w:r>
    </w:p>
    <w:p>
      <w:pPr>
        <w:pStyle w:val="Heading3"/>
      </w:pPr>
      <w:bookmarkStart w:id="2216" w:name="_Toc912"/>
      <w:r>
        <w:t>دیوان محمد باقر داماد</w:t>
      </w:r>
      <w:bookmarkEnd w:id="2216"/>
    </w:p>
    <w:p>
      <w:pPr>
        <w:pStyle w:val="BookText"/>
      </w:pPr>
      <w:r>
        <w:rPr>
          <w:rFonts w:ascii="IRNazanin" w:hAnsi="IRNazanin" w:eastAsia="IRNazanin" w:cs="IRNazanin"/>
          <w:lang w:bidi="fa-IR"/>
          <w:color w:val="111111"/>
          <w:sz w:val="28"/>
          <w:szCs w:val="28"/>
          <w:rtl/>
        </w:rPr>
        <w:t xml:space="preserve">مر بعنوان دیوان إشراق.</w:t>
      </w:r>
    </w:p>
    <w:p>
      <w:pPr>
        <w:pStyle w:val="Heading3"/>
      </w:pPr>
      <w:bookmarkStart w:id="2217" w:name="_Toc913"/>
      <w:r>
        <w:t>739- دیوان باقر درجزینی أو شعره‏</w:t>
      </w:r>
      <w:bookmarkEnd w:id="2217"/>
    </w:p>
    <w:p>
      <w:pPr>
        <w:pStyle w:val="BookText"/>
      </w:pPr>
      <w:r>
        <w:rPr>
          <w:rFonts w:ascii="IRNazanin" w:hAnsi="IRNazanin" w:eastAsia="IRNazanin" w:cs="IRNazanin"/>
          <w:lang w:bidi="fa-IR"/>
          <w:color w:val="111111"/>
          <w:sz w:val="28"/>
          <w:szCs w:val="28"/>
          <w:rtl/>
        </w:rPr>
        <w:t xml:space="preserve">جاء من درة جزین إلی أصفهان ثم ذهب إلی الهند.</w:t>
      </w:r>
    </w:p>
    <w:p>
      <w:pPr>
        <w:pStyle w:val="BookText"/>
      </w:pPr>
      <w:r>
        <w:rPr>
          <w:rFonts w:ascii="IRNazanin" w:hAnsi="IRNazanin" w:eastAsia="IRNazanin" w:cs="IRNazanin"/>
          <w:lang w:bidi="fa-IR"/>
          <w:color w:val="111111"/>
          <w:sz w:val="28"/>
          <w:szCs w:val="28"/>
          <w:rtl/>
        </w:rPr>
        <w:t xml:space="preserve">ترجمه فی (نر 9- ص 325) و عنه فی (گلشن).</w:t>
      </w:r>
    </w:p>
    <w:p>
      <w:pPr>
        <w:pStyle w:val="Heading3"/>
      </w:pPr>
      <w:bookmarkStart w:id="2218" w:name="_Toc914"/>
      <w:r>
        <w:t>740- دیوان باقر رشتی أو شعره‏</w:t>
      </w:r>
      <w:bookmarkEnd w:id="2218"/>
    </w:p>
    <w:p>
      <w:pPr>
        <w:pStyle w:val="BookText"/>
      </w:pPr>
      <w:r>
        <w:rPr>
          <w:rFonts w:ascii="IRNazanin" w:hAnsi="IRNazanin" w:eastAsia="IRNazanin" w:cs="IRNazanin"/>
          <w:lang w:bidi="fa-IR"/>
          <w:color w:val="111111"/>
          <w:sz w:val="28"/>
          <w:szCs w:val="28"/>
          <w:rtl/>
        </w:rPr>
        <w:t xml:space="preserve">هو ملاباشی و اسمه باقر خان بن صادق خان زند. أورد شعره فی (روشن- ص 86).</w:t>
      </w:r>
    </w:p>
    <w:p>
      <w:pPr>
        <w:pStyle w:val="Heading3"/>
      </w:pPr>
      <w:bookmarkStart w:id="2219" w:name="_Toc915"/>
      <w:r>
        <w:t>741- دیوان باقر رودسری‏</w:t>
      </w:r>
      <w:bookmarkEnd w:id="2219"/>
    </w:p>
    <w:p>
      <w:pPr>
        <w:pStyle w:val="BookText"/>
      </w:pPr>
      <w:r>
        <w:rPr>
          <w:rFonts w:ascii="IRNazanin" w:hAnsi="IRNazanin" w:eastAsia="IRNazanin" w:cs="IRNazanin"/>
          <w:lang w:bidi="fa-IR"/>
          <w:color w:val="111111"/>
          <w:sz w:val="28"/>
          <w:szCs w:val="28"/>
          <w:rtl/>
        </w:rPr>
        <w:t xml:space="preserve">و هو محمد باقر بن أمینا الرودسری المذکور، کان یمدح وزراء لاهیجان کما فی (نر 9- ص 383).</w:t>
      </w:r>
    </w:p>
    <w:p>
      <w:pPr>
        <w:pStyle w:val="Heading3"/>
      </w:pPr>
      <w:bookmarkStart w:id="2220" w:name="_Toc916"/>
      <w:r>
        <w:t>742- دیوان محمد باقر سبزواری أو شعره‏</w:t>
      </w:r>
      <w:bookmarkEnd w:id="2220"/>
    </w:p>
    <w:p>
      <w:pPr>
        <w:pStyle w:val="BookText"/>
      </w:pPr>
      <w:r>
        <w:rPr>
          <w:rFonts w:ascii="IRNazanin" w:hAnsi="IRNazanin" w:eastAsia="IRNazanin" w:cs="IRNazanin"/>
          <w:lang w:bidi="fa-IR"/>
          <w:color w:val="111111"/>
          <w:sz w:val="28"/>
          <w:szCs w:val="28"/>
          <w:rtl/>
        </w:rPr>
        <w:t xml:space="preserve">هو المحقق السبزواری، محمد باقر بن محمد مؤمن المتوفی (1090) ترجمه و أورد شعره فی (نر 6- ص 151).</w:t>
      </w:r>
    </w:p>
    <w:p>
      <w:pPr>
        <w:pStyle w:val="Heading3"/>
      </w:pPr>
      <w:bookmarkStart w:id="2221" w:name="_Toc917"/>
      <w:r>
        <w:t>743- دیوان باقر سمنانی أو شعره‏</w:t>
      </w:r>
      <w:bookmarkEnd w:id="2221"/>
    </w:p>
    <w:p>
      <w:pPr>
        <w:pStyle w:val="BookText"/>
      </w:pPr>
      <w:r>
        <w:rPr>
          <w:rFonts w:ascii="IRNazanin" w:hAnsi="IRNazanin" w:eastAsia="IRNazanin" w:cs="IRNazanin"/>
          <w:lang w:bidi="fa-IR"/>
          <w:color w:val="111111"/>
          <w:sz w:val="28"/>
          <w:szCs w:val="28"/>
          <w:rtl/>
        </w:rPr>
        <w:t xml:space="preserve">من سادات سمنان ترجمه فی (تس 1- ص 45)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20" w:name="pg11704_121597"/>
    <w:bookmarkEnd w:id="120"/>
    <w:p>
      <w:pPr>
        <w:pStyle w:val="BookText"/>
      </w:pPr>
      <w:r>
        <w:rPr>
          <w:rFonts w:ascii="IRNazanin" w:hAnsi="IRNazanin" w:eastAsia="IRNazanin" w:cs="IRNazanin"/>
          <w:lang w:bidi="fa-IR"/>
          <w:color w:val="111111"/>
          <w:sz w:val="28"/>
          <w:szCs w:val="28"/>
          <w:rtl/>
        </w:rPr>
        <w:t xml:space="preserve">و أورد شعره.</w:t>
      </w:r>
    </w:p>
    <w:p>
      <w:pPr>
        <w:pStyle w:val="Heading3"/>
      </w:pPr>
      <w:bookmarkStart w:id="2222" w:name="_Toc918"/>
      <w:r>
        <w:t>دیوان باقر سوداگر</w:t>
      </w:r>
      <w:bookmarkEnd w:id="2222"/>
    </w:p>
    <w:p>
      <w:pPr>
        <w:pStyle w:val="BookText"/>
      </w:pPr>
      <w:r>
        <w:rPr>
          <w:rFonts w:ascii="IRNazanin" w:hAnsi="IRNazanin" w:eastAsia="IRNazanin" w:cs="IRNazanin"/>
          <w:lang w:bidi="fa-IR"/>
          <w:color w:val="111111"/>
          <w:sz w:val="28"/>
          <w:szCs w:val="28"/>
          <w:rtl/>
        </w:rPr>
        <w:t xml:space="preserve">یأتی بعنوان تخلصه عزت.</w:t>
      </w:r>
    </w:p>
    <w:p>
      <w:pPr>
        <w:pStyle w:val="Heading3"/>
      </w:pPr>
      <w:bookmarkStart w:id="2223" w:name="_Toc919"/>
      <w:r>
        <w:t>744- دیوان باقر شاملو أو شعره‏</w:t>
      </w:r>
      <w:bookmarkEnd w:id="2223"/>
    </w:p>
    <w:p>
      <w:pPr>
        <w:pStyle w:val="BookText"/>
      </w:pPr>
      <w:r>
        <w:rPr>
          <w:rFonts w:ascii="IRNazanin" w:hAnsi="IRNazanin" w:eastAsia="IRNazanin" w:cs="IRNazanin"/>
          <w:lang w:bidi="fa-IR"/>
          <w:color w:val="111111"/>
          <w:sz w:val="28"/>
          <w:szCs w:val="28"/>
          <w:rtl/>
        </w:rPr>
        <w:t xml:space="preserve">جاء مع نادر شاه إلی الهند، و لما غضب علیه نادر انتحر کما ذکره فی (گلشن) و أورد شعره.</w:t>
      </w:r>
    </w:p>
    <w:p>
      <w:pPr>
        <w:pStyle w:val="Heading3"/>
      </w:pPr>
      <w:bookmarkStart w:id="2224" w:name="_Toc920"/>
      <w:r>
        <w:t>745- دیوان باقر شیرازی أو شعره‏</w:t>
      </w:r>
      <w:bookmarkEnd w:id="2224"/>
    </w:p>
    <w:p>
      <w:pPr>
        <w:pStyle w:val="BookText"/>
      </w:pPr>
      <w:r>
        <w:rPr>
          <w:rFonts w:ascii="IRNazanin" w:hAnsi="IRNazanin" w:eastAsia="IRNazanin" w:cs="IRNazanin"/>
          <w:lang w:bidi="fa-IR"/>
          <w:color w:val="111111"/>
          <w:sz w:val="28"/>
          <w:szCs w:val="28"/>
          <w:rtl/>
        </w:rPr>
        <w:t xml:space="preserve">کان ماهرا فی التذهیب و الریاضی و الفقه أیضا.</w:t>
      </w:r>
    </w:p>
    <w:p>
      <w:pPr>
        <w:pStyle w:val="BookText"/>
      </w:pPr>
      <w:r>
        <w:rPr>
          <w:rFonts w:ascii="IRNazanin" w:hAnsi="IRNazanin" w:eastAsia="IRNazanin" w:cs="IRNazanin"/>
          <w:lang w:bidi="fa-IR"/>
          <w:color w:val="111111"/>
          <w:sz w:val="28"/>
          <w:szCs w:val="28"/>
          <w:rtl/>
        </w:rPr>
        <w:t xml:space="preserve">تلمذ علی المیرزا إبراهیم بن الملا صدرا الشیرازی، ثم سافر إلی الهند و تقرب عند إبراهیم خان بن علی مراد خان عالمگیر ثم رجع و ذهب فی هذه السنة [سنة تألیف النصرآبادی 1083 إلی 1089] إلی مکة. أورد شعره فی (نر 6- ص 202) و کذا فی (گلشن).</w:t>
      </w:r>
    </w:p>
    <w:p>
      <w:pPr>
        <w:pStyle w:val="Heading3"/>
      </w:pPr>
      <w:bookmarkStart w:id="2225" w:name="_Toc921"/>
      <w:r>
        <w:t>746- دیوان باقر شیرازی أو شعره‏</w:t>
      </w:r>
      <w:bookmarkEnd w:id="2225"/>
    </w:p>
    <w:p>
      <w:pPr>
        <w:pStyle w:val="BookText"/>
      </w:pPr>
      <w:r>
        <w:rPr>
          <w:rFonts w:ascii="IRNazanin" w:hAnsi="IRNazanin" w:eastAsia="IRNazanin" w:cs="IRNazanin"/>
          <w:lang w:bidi="fa-IR"/>
          <w:color w:val="111111"/>
          <w:sz w:val="28"/>
          <w:szCs w:val="28"/>
          <w:rtl/>
        </w:rPr>
        <w:t xml:space="preserve">و هو الحاج باقر بن آقا شکر الله الکحال الجراح الشاعر. ولد بشیراز و سافر إلی أصفهان و تقرب عند مهدی قلی ایشک آقاسی ثم آغورلو خان و لتنافر بینهما ذهب إلی بندر عباس لیسافر إلی الهند لکنه أجبره حاکم فارس من العودة إلی أصفهان عند آغورلو، و لکنه لم یبق بأصفهان فسافر إلی العراق و مات بالنجف کذا فی (نر 9- ص 385).</w:t>
      </w:r>
    </w:p>
    <w:p>
      <w:pPr>
        <w:pStyle w:val="Heading3"/>
      </w:pPr>
      <w:bookmarkStart w:id="2226" w:name="_Toc922"/>
      <w:r>
        <w:t>747- دیوان السید باقر الطالقانی‏</w:t>
      </w:r>
      <w:bookmarkEnd w:id="2226"/>
    </w:p>
    <w:p>
      <w:pPr>
        <w:pStyle w:val="BookText"/>
      </w:pPr>
      <w:r>
        <w:rPr>
          <w:rFonts w:ascii="IRNazanin" w:hAnsi="IRNazanin" w:eastAsia="IRNazanin" w:cs="IRNazanin"/>
          <w:lang w:bidi="fa-IR"/>
          <w:color w:val="111111"/>
          <w:sz w:val="28"/>
          <w:szCs w:val="28"/>
          <w:rtl/>
        </w:rPr>
        <w:t xml:space="preserve">بالعربیة. و هو السید باقر بن السید رضا من البیت المعروف بالطالقانی. ولد (1214) و مات بالنجف (1294). جمع دیوانه الشاب المعاصر السید محمد حسن الطالقانی.</w:t>
      </w:r>
    </w:p>
    <w:p>
      <w:pPr>
        <w:pStyle w:val="Heading3"/>
      </w:pPr>
      <w:bookmarkStart w:id="2227" w:name="_Toc923"/>
      <w:r>
        <w:t>748- دیوان باقر علی خان هندی‏</w:t>
      </w:r>
      <w:bookmarkEnd w:id="2227"/>
    </w:p>
    <w:p>
      <w:pPr>
        <w:pStyle w:val="BookText"/>
      </w:pPr>
      <w:r>
        <w:rPr>
          <w:rFonts w:ascii="IRNazanin" w:hAnsi="IRNazanin" w:eastAsia="IRNazanin" w:cs="IRNazanin"/>
          <w:lang w:bidi="fa-IR"/>
          <w:color w:val="111111"/>
          <w:sz w:val="28"/>
          <w:szCs w:val="28"/>
          <w:rtl/>
        </w:rPr>
        <w:t xml:space="preserve">ابن المنشی ثابت علی خان بن أمین الإنشاء رونق علی خان. کان ماهرا فی الخط الشکستة و النظم و النثر الفارسی. له مرآة الجمال و شعلة جان سوز و دیوانه صغیر. مات فی شبابه فی العشرین سنة من عمره. کذا فی (گلشن).</w:t>
      </w:r>
    </w:p>
    <w:p>
      <w:pPr>
        <w:pStyle w:val="Heading3"/>
      </w:pPr>
      <w:bookmarkStart w:id="2228" w:name="_Toc924"/>
      <w:r>
        <w:t>749- دیوان السید باقر القزوینی‏</w:t>
      </w:r>
      <w:bookmarkEnd w:id="2228"/>
    </w:p>
    <w:p>
      <w:pPr>
        <w:pStyle w:val="BookText"/>
      </w:pPr>
      <w:r>
        <w:rPr>
          <w:rFonts w:ascii="IRNazanin" w:hAnsi="IRNazanin" w:eastAsia="IRNazanin" w:cs="IRNazanin"/>
          <w:lang w:bidi="fa-IR"/>
          <w:color w:val="111111"/>
          <w:sz w:val="28"/>
          <w:szCs w:val="28"/>
          <w:rtl/>
        </w:rPr>
        <w:t xml:space="preserve">ابن السید هادی بن المیرزا صالح بن معز الدین بن السید مهدی القزوینی. ولد (1304) و توفی بالحلة (1333) و دفن فی مقبرتهم فی النجف جمع الدیوان بعده أخوه السید مهدی المتوفی (1355) و النسخة بخطه فی ألف بیت عند الشیخ محمد علی الخطیب الیعقوبی بالنجف.</w:t>
      </w:r>
    </w:p>
    <w:p>
      <w:pPr>
        <w:pStyle w:val="Heading3"/>
      </w:pPr>
      <w:bookmarkStart w:id="2229" w:name="_Toc925"/>
      <w:r>
        <w:t>750- دیوان باقر کاشی خرده‏ای‏</w:t>
      </w:r>
      <w:bookmarkEnd w:id="2229"/>
    </w:p>
    <w:p>
      <w:pPr>
        <w:pStyle w:val="BookText"/>
      </w:pPr>
      <w:r>
        <w:rPr>
          <w:rFonts w:ascii="IRNazanin" w:hAnsi="IRNazanin" w:eastAsia="IRNazanin" w:cs="IRNazanin"/>
          <w:lang w:bidi="fa-IR"/>
          <w:color w:val="111111"/>
          <w:sz w:val="28"/>
          <w:szCs w:val="28"/>
          <w:rtl/>
        </w:rPr>
        <w:t xml:space="preserve">قال فی (روشن- 86) إن خرده من قرأ کاشان و لیس شغله (خرده‏فروش) کما فی آفتاب عالمتاب کان مثریا و مریدا لمحمود النقطوی و فی‏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21" w:name="pg11704_121598"/>
    <w:bookmarkEnd w:id="121"/>
    <w:p>
      <w:pPr>
        <w:pStyle w:val="BookText"/>
      </w:pPr>
      <w:r>
        <w:rPr>
          <w:rFonts w:ascii="IRNazanin" w:hAnsi="IRNazanin" w:eastAsia="IRNazanin" w:cs="IRNazanin"/>
          <w:lang w:bidi="fa-IR"/>
          <w:color w:val="111111"/>
          <w:sz w:val="28"/>
          <w:szCs w:val="28"/>
          <w:rtl/>
        </w:rPr>
        <w:t xml:space="preserve">نکبة النقطویة و الحروفیة فی (1002) قبض الشاه عباس علی باقر هذا أیضا و لکنه تبرأ عن محمود و ادعی أنه کان مغرما بأحد مریدی محمود و لیس مریدا له فعفی الشاه عنه بشفاعة بعض علماء خراسان. و قال (تش- ص 241) إن له دیوانا. و قال فی (تغ- 24) مات بدکن فی (1037) و لعله المذکور فی العدد (732). و له شعر لطیف، منها:</w:t>
      </w:r>
    </w:p>
    <w:p>
      <w:pPr>
        <w:pStyle w:val="BookText"/>
      </w:pPr>
      <w:r>
        <w:rPr>
          <w:rFonts w:ascii="IRNazanin" w:hAnsi="IRNazanin" w:eastAsia="IRNazanin" w:cs="IRNazanin"/>
          <w:lang w:bidi="fa-IR"/>
          <w:color w:val="111111"/>
          <w:sz w:val="28"/>
          <w:szCs w:val="28"/>
          <w:rtl/>
        </w:rPr>
        <w:t xml:space="preserve">گشت باقر روزی من هر کجا قسمت پذیر</w:t>
      </w:r>
    </w:p>
    <w:p>
      <w:pPr>
        <w:pStyle w:val="BookText"/>
      </w:pPr>
      <w:r>
        <w:rPr>
          <w:rFonts w:ascii="IRNazanin" w:hAnsi="IRNazanin" w:eastAsia="IRNazanin" w:cs="IRNazanin"/>
          <w:lang w:bidi="fa-IR"/>
          <w:color w:val="111111"/>
          <w:sz w:val="28"/>
          <w:szCs w:val="28"/>
          <w:rtl/>
        </w:rPr>
        <w:t xml:space="preserve">دانه‏ام در دام و آبم در دم شمشیر بود</w:t>
      </w:r>
    </w:p>
    <w:p>
      <w:pPr>
        <w:pStyle w:val="Heading3"/>
      </w:pPr>
      <w:bookmarkStart w:id="2230" w:name="_Toc926"/>
      <w:r>
        <w:t>751- دیوان باقر کاشی أو شعره‏</w:t>
      </w:r>
      <w:bookmarkEnd w:id="2230"/>
    </w:p>
    <w:p>
      <w:pPr>
        <w:pStyle w:val="BookText"/>
      </w:pPr>
      <w:r>
        <w:rPr>
          <w:rFonts w:ascii="IRNazanin" w:hAnsi="IRNazanin" w:eastAsia="IRNazanin" w:cs="IRNazanin"/>
          <w:lang w:bidi="fa-IR"/>
          <w:color w:val="111111"/>
          <w:sz w:val="28"/>
          <w:szCs w:val="28"/>
          <w:rtl/>
        </w:rPr>
        <w:t xml:space="preserve">هو المیر محمد باقر من سادات العبد الوهابیة بکاشان، و من الأشراف بها. أورد شعره فی (نر 5- ص 115).</w:t>
      </w:r>
    </w:p>
    <w:p>
      <w:pPr>
        <w:pStyle w:val="Heading3"/>
      </w:pPr>
      <w:bookmarkStart w:id="2231" w:name="_Toc927"/>
      <w:r>
        <w:t>752- دیوان باقر کاشی أو شعره‏</w:t>
      </w:r>
      <w:bookmarkEnd w:id="2231"/>
    </w:p>
    <w:p>
      <w:pPr>
        <w:pStyle w:val="BookText"/>
      </w:pPr>
      <w:r>
        <w:rPr>
          <w:rFonts w:ascii="IRNazanin" w:hAnsi="IRNazanin" w:eastAsia="IRNazanin" w:cs="IRNazanin"/>
          <w:lang w:bidi="fa-IR"/>
          <w:color w:val="111111"/>
          <w:sz w:val="28"/>
          <w:szCs w:val="28"/>
          <w:rtl/>
        </w:rPr>
        <w:t xml:space="preserve">هو الحاج شاه باقر الپشت مشهدی الکاشانی صاحب مصنع النساجة بها. أورد شعره فی (نر 5- ص 138). و فی (تغ- ص 23) قال جاء إلی الهند.</w:t>
      </w:r>
    </w:p>
    <w:p>
      <w:pPr>
        <w:pStyle w:val="Heading3"/>
      </w:pPr>
      <w:bookmarkStart w:id="2232" w:name="_Toc928"/>
      <w:r>
        <w:t>753- دیوان السید باقر الکاظمی‏</w:t>
      </w:r>
      <w:bookmarkEnd w:id="2232"/>
    </w:p>
    <w:p>
      <w:pPr>
        <w:pStyle w:val="BookText"/>
      </w:pPr>
      <w:r>
        <w:rPr>
          <w:rFonts w:ascii="IRNazanin" w:hAnsi="IRNazanin" w:eastAsia="IRNazanin" w:cs="IRNazanin"/>
          <w:lang w:bidi="fa-IR"/>
          <w:color w:val="111111"/>
          <w:sz w:val="28"/>
          <w:szCs w:val="28"/>
          <w:rtl/>
        </w:rPr>
        <w:t xml:space="preserve">هو ابن السید حیدر الحسینی. توفی بالکاظمیة (1290) و جمع الدیوان ولده السید محمد حسن.</w:t>
      </w:r>
    </w:p>
    <w:p>
      <w:pPr>
        <w:pStyle w:val="Heading3"/>
      </w:pPr>
      <w:bookmarkStart w:id="2233" w:name="_Toc929"/>
      <w:r>
        <w:t>754- دیوان باقر کجوری‏</w:t>
      </w:r>
      <w:bookmarkEnd w:id="2233"/>
    </w:p>
    <w:p>
      <w:pPr>
        <w:pStyle w:val="BookText"/>
      </w:pPr>
      <w:r>
        <w:rPr>
          <w:rFonts w:ascii="IRNazanin" w:hAnsi="IRNazanin" w:eastAsia="IRNazanin" w:cs="IRNazanin"/>
          <w:lang w:bidi="fa-IR"/>
          <w:color w:val="111111"/>
          <w:sz w:val="28"/>
          <w:szCs w:val="28"/>
          <w:rtl/>
        </w:rPr>
        <w:t xml:space="preserve">هو الحاج المولی باقر الواعظ الکجوری نزیل طهران.</w:t>
      </w:r>
    </w:p>
    <w:p>
      <w:pPr>
        <w:pStyle w:val="BookText"/>
      </w:pPr>
      <w:r>
        <w:rPr>
          <w:rFonts w:ascii="IRNazanin" w:hAnsi="IRNazanin" w:eastAsia="IRNazanin" w:cs="IRNazanin"/>
          <w:lang w:bidi="fa-IR"/>
          <w:color w:val="111111"/>
          <w:sz w:val="28"/>
          <w:szCs w:val="28"/>
          <w:rtl/>
        </w:rPr>
        <w:t xml:space="preserve">قال فی أول کتابه الخصائص الفاطمیة إن الدیوان فی عشرین ألف بیت فیها القصائد و المثنویات بالعربیة و الفارسیة. و مر له جنة النعیم (ج 5- ص 160).</w:t>
      </w:r>
    </w:p>
    <w:p>
      <w:pPr>
        <w:pStyle w:val="Heading3"/>
      </w:pPr>
      <w:bookmarkStart w:id="2234" w:name="_Toc930"/>
      <w:r>
        <w:t>755- دیوان باقر محلاتی شفائی‏</w:t>
      </w:r>
      <w:bookmarkEnd w:id="2234"/>
    </w:p>
    <w:p>
      <w:pPr>
        <w:pStyle w:val="BookText"/>
      </w:pPr>
      <w:r>
        <w:rPr>
          <w:rFonts w:ascii="IRNazanin" w:hAnsi="IRNazanin" w:eastAsia="IRNazanin" w:cs="IRNazanin"/>
          <w:lang w:bidi="fa-IR"/>
          <w:color w:val="111111"/>
          <w:sz w:val="28"/>
          <w:szCs w:val="28"/>
          <w:rtl/>
        </w:rPr>
        <w:t xml:space="preserve">کان حلاجا یعرف بحکیم باقر شفائی لمعاشرته مع الشفائی الأصفهانی. و کان له دیوان سخیف ذکره فی (نر 9- 422).</w:t>
      </w:r>
    </w:p>
    <w:p>
      <w:pPr>
        <w:pStyle w:val="Heading3"/>
      </w:pPr>
      <w:bookmarkStart w:id="2235" w:name="_Toc931"/>
      <w:r>
        <w:t>756- دیوان باقر مشهدی أو شعره‏</w:t>
      </w:r>
      <w:bookmarkEnd w:id="2235"/>
    </w:p>
    <w:p>
      <w:pPr>
        <w:pStyle w:val="BookText"/>
      </w:pPr>
      <w:r>
        <w:rPr>
          <w:rFonts w:ascii="IRNazanin" w:hAnsi="IRNazanin" w:eastAsia="IRNazanin" w:cs="IRNazanin"/>
          <w:lang w:bidi="fa-IR"/>
          <w:color w:val="111111"/>
          <w:sz w:val="28"/>
          <w:szCs w:val="28"/>
          <w:rtl/>
        </w:rPr>
        <w:t xml:space="preserve">و هو المیرزا باقر ابن أخت الخواجة حسین الثنائی المشهدی. ترجمه معاصره فی (خص 8- ص 261) و قال سافر إلی الهند. و أظنه المترجم فی (روشن- ص 88) بعنوان باقر ابن میرزا عرب و قال إن زوجته کانت تسمی گل.</w:t>
      </w:r>
    </w:p>
    <w:p>
      <w:pPr>
        <w:pStyle w:val="Heading3"/>
      </w:pPr>
      <w:bookmarkStart w:id="2236" w:name="_Toc932"/>
      <w:r>
        <w:t>757- دیوان باقر وزیر نطنزی‏</w:t>
      </w:r>
      <w:bookmarkEnd w:id="2236"/>
    </w:p>
    <w:p>
      <w:pPr>
        <w:pStyle w:val="BookText"/>
      </w:pPr>
      <w:r>
        <w:rPr>
          <w:rFonts w:ascii="IRNazanin" w:hAnsi="IRNazanin" w:eastAsia="IRNazanin" w:cs="IRNazanin"/>
          <w:lang w:bidi="fa-IR"/>
          <w:color w:val="111111"/>
          <w:sz w:val="28"/>
          <w:szCs w:val="28"/>
          <w:rtl/>
        </w:rPr>
        <w:t xml:space="preserve">قال فی (نر 4- ص 69) إنه ابن میرزا أبو علی کان من سادات جزء برخوار من أعمال أصفهان و لکن أجداده سکنوا نطنز فعرفوا به. و کان جده میر أبو المعالی واقعه نویس للشاه عباس، و أبوه میر أبو علی کان وزیر سرکار قورچیان، و بعد موته جلس مکانه ولده الأکبر محمد شفیع ثم ولده الأصغر میرزا باقر هذا. أورد شعره فی (تش- ص 169) و قال: له دیوان. و قال فی (تغ- ص 24) إنه مات فی (1000) فی سلطنة الشاه سلیمان الصفوی و الظاهر أنه اشتبه فی اسم الشاه.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22" w:name="pg11704_121599"/>
    <w:bookmarkEnd w:id="122"/>
    <w:p>
      <w:pPr>
        <w:pStyle w:val="Heading3"/>
      </w:pPr>
      <w:bookmarkStart w:id="2237" w:name="_Toc933"/>
      <w:r>
        <w:t>758- دیوان باقر وزیر بصری خاری أو شعره‏</w:t>
      </w:r>
      <w:bookmarkEnd w:id="2237"/>
    </w:p>
    <w:p>
      <w:pPr>
        <w:pStyle w:val="BookText"/>
      </w:pPr>
      <w:r>
        <w:rPr>
          <w:rFonts w:ascii="IRNazanin" w:hAnsi="IRNazanin" w:eastAsia="IRNazanin" w:cs="IRNazanin"/>
          <w:lang w:bidi="fa-IR"/>
          <w:color w:val="111111"/>
          <w:sz w:val="28"/>
          <w:szCs w:val="28"/>
          <w:rtl/>
        </w:rPr>
        <w:t xml:space="preserve">قال فی صبح گلشن إن أصله من جزیرة خار (لعله خارک) سکن آباؤه البصرة فعرفوا به، و تقرب عند الشاه سلیمان الصفوی، و مات فی أواسط المائة العاشرة. و أظنه متحدا مع ما قبله و إنه من أغالیط صبح گلشن.</w:t>
      </w:r>
    </w:p>
    <w:p>
      <w:pPr>
        <w:pStyle w:val="Heading3"/>
      </w:pPr>
      <w:bookmarkStart w:id="2238" w:name="_Toc934"/>
      <w:r>
        <w:t>759- دیوان باقر ورنوسفادرانی أو شعره‏</w:t>
      </w:r>
      <w:bookmarkEnd w:id="2238"/>
    </w:p>
    <w:p>
      <w:pPr>
        <w:pStyle w:val="BookText"/>
      </w:pPr>
      <w:r>
        <w:rPr>
          <w:rFonts w:ascii="IRNazanin" w:hAnsi="IRNazanin" w:eastAsia="IRNazanin" w:cs="IRNazanin"/>
          <w:lang w:bidi="fa-IR"/>
          <w:color w:val="111111"/>
          <w:sz w:val="28"/>
          <w:szCs w:val="28"/>
          <w:rtl/>
        </w:rPr>
        <w:t xml:space="preserve">الزاهد العابد الماهر فی المعمی. کان معلما للأطفال بها. أورد شعره فی (نر 9- ص 417).</w:t>
      </w:r>
    </w:p>
    <w:p>
      <w:pPr>
        <w:pStyle w:val="Heading3"/>
      </w:pPr>
      <w:bookmarkStart w:id="2239" w:name="_Toc935"/>
      <w:r>
        <w:t>760- دیوان باقر هروی أو شعره‏</w:t>
      </w:r>
      <w:bookmarkEnd w:id="2239"/>
    </w:p>
    <w:p>
      <w:pPr>
        <w:pStyle w:val="BookText"/>
      </w:pPr>
      <w:r>
        <w:rPr>
          <w:rFonts w:ascii="IRNazanin" w:hAnsi="IRNazanin" w:eastAsia="IRNazanin" w:cs="IRNazanin"/>
          <w:lang w:bidi="fa-IR"/>
          <w:color w:val="111111"/>
          <w:sz w:val="28"/>
          <w:szCs w:val="28"/>
          <w:rtl/>
        </w:rPr>
        <w:t xml:space="preserve">کان تلمیذ ملا شهاب الهروی. أورد معما له فی (نر 15- ص 520).</w:t>
      </w:r>
    </w:p>
    <w:p>
      <w:pPr>
        <w:pStyle w:val="Heading3"/>
      </w:pPr>
      <w:bookmarkStart w:id="2240" w:name="_Toc936"/>
      <w:r>
        <w:t>761- دیوان السید باقر الهندی‏</w:t>
      </w:r>
      <w:bookmarkEnd w:id="2240"/>
    </w:p>
    <w:p>
      <w:pPr>
        <w:pStyle w:val="BookText"/>
      </w:pPr>
      <w:r>
        <w:rPr>
          <w:rFonts w:ascii="IRNazanin" w:hAnsi="IRNazanin" w:eastAsia="IRNazanin" w:cs="IRNazanin"/>
          <w:lang w:bidi="fa-IR"/>
          <w:color w:val="111111"/>
          <w:sz w:val="28"/>
          <w:szCs w:val="28"/>
          <w:rtl/>
        </w:rPr>
        <w:t xml:space="preserve">ابن السید محمد بن هاشم بن شجاعت علی الهندی المولود بالنجف (1284) و المتوفی یوم الثلاثاء غرة المحرم (1329) و دیوانه یشتمل علی القریض و الحسکة، قصائد مدیح و مراثی عند ولده السید صادق الهندی ببلیدة بلد بین سامراء و بغداد. و نسخه أخری توجد عند الشیخ حسن بن علی الحلی، دونه فی (1330) و فیها الغدیریة:</w:t>
      </w:r>
    </w:p>
    <w:p>
      <w:pPr>
        <w:pStyle w:val="BookText"/>
      </w:pPr>
      <w:r>
        <w:rPr>
          <w:rFonts w:ascii="IRNazanin" w:hAnsi="IRNazanin" w:eastAsia="IRNazanin" w:cs="IRNazanin"/>
          <w:lang w:bidi="fa-IR"/>
          <w:color w:val="111111"/>
          <w:sz w:val="28"/>
          <w:szCs w:val="28"/>
          <w:rtl/>
        </w:rPr>
        <w:t xml:space="preserve">کل عذر و قول إفک و زور</w:t>
      </w:r>
    </w:p>
    <w:p>
      <w:pPr>
        <w:pStyle w:val="BookText"/>
      </w:pPr>
      <w:r>
        <w:rPr>
          <w:rFonts w:ascii="IRNazanin" w:hAnsi="IRNazanin" w:eastAsia="IRNazanin" w:cs="IRNazanin"/>
          <w:lang w:bidi="fa-IR"/>
          <w:color w:val="111111"/>
          <w:sz w:val="28"/>
          <w:szCs w:val="28"/>
          <w:rtl/>
        </w:rPr>
        <w:t xml:space="preserve">هو فرع عن جحد نص الغدیر</w:t>
      </w:r>
    </w:p>
    <w:p>
      <w:pPr>
        <w:pStyle w:val="Heading3"/>
      </w:pPr>
      <w:bookmarkStart w:id="2241" w:name="_Toc937"/>
      <w:r>
        <w:t>دیوان باقر یزدی‏</w:t>
      </w:r>
      <w:bookmarkEnd w:id="2241"/>
    </w:p>
    <w:p>
      <w:pPr>
        <w:pStyle w:val="BookText"/>
      </w:pPr>
      <w:r>
        <w:rPr>
          <w:rFonts w:ascii="IRNazanin" w:hAnsi="IRNazanin" w:eastAsia="IRNazanin" w:cs="IRNazanin"/>
          <w:lang w:bidi="fa-IR"/>
          <w:color w:val="111111"/>
          <w:sz w:val="28"/>
          <w:szCs w:val="28"/>
          <w:rtl/>
        </w:rPr>
        <w:t xml:space="preserve">حاکم یزد. مر بعنوان باقر جهرمی.</w:t>
      </w:r>
    </w:p>
    <w:p>
      <w:pPr>
        <w:pStyle w:val="Heading3"/>
      </w:pPr>
      <w:bookmarkStart w:id="2242" w:name="_Toc938"/>
      <w:r>
        <w:t>762- دیوان باقر یزدی أو شعره‏</w:t>
      </w:r>
      <w:bookmarkEnd w:id="2242"/>
    </w:p>
    <w:p>
      <w:pPr>
        <w:pStyle w:val="BookText"/>
      </w:pPr>
      <w:r>
        <w:rPr>
          <w:rFonts w:ascii="IRNazanin" w:hAnsi="IRNazanin" w:eastAsia="IRNazanin" w:cs="IRNazanin"/>
          <w:lang w:bidi="fa-IR"/>
          <w:color w:val="111111"/>
          <w:sz w:val="28"/>
          <w:szCs w:val="28"/>
          <w:rtl/>
        </w:rPr>
        <w:t xml:space="preserve">کان یشتغل بالصیاغة (زرگر) بأصفهان. أورد شعره فی (نر 9- ص 424) و (روشن- ص 87) و لعله المذکور فی (گلشن) و الموصوف بالسیادة.</w:t>
      </w:r>
    </w:p>
    <w:p>
      <w:pPr>
        <w:pStyle w:val="Heading3"/>
      </w:pPr>
      <w:bookmarkStart w:id="2243" w:name="_Toc939"/>
      <w:r>
        <w:t>763- دیوان باقیا</w:t>
      </w:r>
      <w:bookmarkEnd w:id="2243"/>
    </w:p>
    <w:p>
      <w:pPr>
        <w:pStyle w:val="BookText"/>
      </w:pPr>
      <w:r>
        <w:rPr>
          <w:rFonts w:ascii="IRNazanin" w:hAnsi="IRNazanin" w:eastAsia="IRNazanin" w:cs="IRNazanin"/>
          <w:lang w:bidi="fa-IR"/>
          <w:color w:val="111111"/>
          <w:sz w:val="28"/>
          <w:szCs w:val="28"/>
          <w:rtl/>
        </w:rPr>
        <w:t xml:space="preserve">عده فی تذکره میخانه ممن نظم ساقی‏نامه.</w:t>
      </w:r>
    </w:p>
    <w:p>
      <w:pPr>
        <w:pStyle w:val="Heading3"/>
      </w:pPr>
      <w:bookmarkStart w:id="2244" w:name="_Toc940"/>
      <w:r>
        <w:t>764- دیوان باقی بلخی أو شعره‏</w:t>
      </w:r>
      <w:bookmarkEnd w:id="2244"/>
    </w:p>
    <w:p>
      <w:pPr>
        <w:pStyle w:val="BookText"/>
      </w:pPr>
      <w:r>
        <w:rPr>
          <w:rFonts w:ascii="IRNazanin" w:hAnsi="IRNazanin" w:eastAsia="IRNazanin" w:cs="IRNazanin"/>
          <w:lang w:bidi="fa-IR"/>
          <w:color w:val="111111"/>
          <w:sz w:val="28"/>
          <w:szCs w:val="28"/>
          <w:rtl/>
        </w:rPr>
        <w:t xml:space="preserve">أورد شعره فی (گلشن) و قال إنه من علماء بلخ.</w:t>
      </w:r>
    </w:p>
    <w:p>
      <w:pPr>
        <w:pStyle w:val="Heading3"/>
      </w:pPr>
      <w:bookmarkStart w:id="2245" w:name="_Toc941"/>
      <w:r>
        <w:t>765- دیوان باقی تبریزی‏</w:t>
      </w:r>
      <w:bookmarkEnd w:id="2245"/>
    </w:p>
    <w:p>
      <w:pPr>
        <w:pStyle w:val="BookText"/>
      </w:pPr>
      <w:r>
        <w:rPr>
          <w:rFonts w:ascii="IRNazanin" w:hAnsi="IRNazanin" w:eastAsia="IRNazanin" w:cs="IRNazanin"/>
          <w:lang w:bidi="fa-IR"/>
          <w:color w:val="111111"/>
          <w:sz w:val="28"/>
          <w:szCs w:val="28"/>
          <w:rtl/>
        </w:rPr>
        <w:t xml:space="preserve">هو المیر عبد الباقی الخطاط بالنسخ الجید الصوفی التبریزی نزیل بغداد. و المعاشر مع دده مصطفی فی مولوی خانه دعاه الشاه لکتابة کتیبة المسجد الجامع بأصفهان فلم یجب، لکنه بعد فتح الشاه قندهار، أجاب فنزل أصفهان و کتب الکتیبة.</w:t>
      </w:r>
    </w:p>
    <w:p>
      <w:pPr>
        <w:pStyle w:val="BookText"/>
      </w:pPr>
      <w:r>
        <w:rPr>
          <w:rFonts w:ascii="IRNazanin" w:hAnsi="IRNazanin" w:eastAsia="IRNazanin" w:cs="IRNazanin"/>
          <w:lang w:bidi="fa-IR"/>
          <w:color w:val="111111"/>
          <w:sz w:val="28"/>
          <w:szCs w:val="28"/>
          <w:rtl/>
        </w:rPr>
        <w:t xml:space="preserve">کذا فی (نر 7- ص 206) و قال فی ریاض العارفین إنه بعد فتح بغداد أتوا به إلی أصفهان و الظاهر أن هذا أصح. و کذا ترجمه فی (دجا- ص 144) و (تش- ص 28) و أوردوا شعره.</w:t>
      </w:r>
    </w:p>
    <w:p>
      <w:pPr>
        <w:pStyle w:val="Heading3"/>
      </w:pPr>
      <w:bookmarkStart w:id="2246" w:name="_Toc942"/>
      <w:r>
        <w:t>766- دیوان باقی تویسرکانی‏</w:t>
      </w:r>
      <w:bookmarkEnd w:id="2246"/>
    </w:p>
    <w:p>
      <w:pPr>
        <w:pStyle w:val="BookText"/>
      </w:pPr>
      <w:r>
        <w:rPr>
          <w:rFonts w:ascii="IRNazanin" w:hAnsi="IRNazanin" w:eastAsia="IRNazanin" w:cs="IRNazanin"/>
          <w:lang w:bidi="fa-IR"/>
          <w:color w:val="111111"/>
          <w:sz w:val="28"/>
          <w:szCs w:val="28"/>
          <w:rtl/>
        </w:rPr>
        <w:t xml:space="preserve">للسید المیرزا عبد الباقی التویسرکانی شیخ الإسلام‏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23" w:name="pg11704_121600"/>
    <w:bookmarkEnd w:id="123"/>
    <w:p>
      <w:pPr>
        <w:pStyle w:val="BookText"/>
      </w:pPr>
      <w:r>
        <w:rPr>
          <w:rFonts w:ascii="IRNazanin" w:hAnsi="IRNazanin" w:eastAsia="IRNazanin" w:cs="IRNazanin"/>
          <w:lang w:bidi="fa-IR"/>
          <w:color w:val="111111"/>
          <w:sz w:val="28"/>
          <w:szCs w:val="28"/>
          <w:rtl/>
        </w:rPr>
        <w:t xml:space="preserve">بها و هو من أحفاد المیر السید رضی. فیه القصائد و الغزلیات و الرباعیات یقرب من سبعمائة بیت. ذکر فیه أن عمره کان عشرین سنة فی فتنة الأفغان بأصفهان، و کان عمره سبع سنین عند وفاة والده الذی قرأ علیه القرآن، و قد جاوز الخمسین سنة عند نظمه لأنیس العاشقین. یوجد نسخته بخط غلام رضا بن محمد مهدی التویسرکانی فی (1227) منضما مع مثنویة الموسوم بأنیس العاشقین عند الشیخ محمد علی الأصفهانی فی النجف. و تخلصه فی جمیعها باقی مطلع أول غزلیاته.</w:t>
      </w:r>
    </w:p>
    <w:p>
      <w:pPr>
        <w:pStyle w:val="BookText"/>
      </w:pPr>
      <w:r>
        <w:rPr>
          <w:rFonts w:ascii="IRNazanin" w:hAnsi="IRNazanin" w:eastAsia="IRNazanin" w:cs="IRNazanin"/>
          <w:lang w:bidi="fa-IR"/>
          <w:color w:val="111111"/>
          <w:sz w:val="28"/>
          <w:szCs w:val="28"/>
          <w:rtl/>
        </w:rPr>
        <w:t xml:space="preserve">ای یافته ز قدر تو هر بی‏بها بها</w:t>
      </w:r>
    </w:p>
    <w:p>
      <w:pPr>
        <w:pStyle w:val="BookText"/>
      </w:pPr>
      <w:r>
        <w:rPr>
          <w:rFonts w:ascii="IRNazanin" w:hAnsi="IRNazanin" w:eastAsia="IRNazanin" w:cs="IRNazanin"/>
          <w:lang w:bidi="fa-IR"/>
          <w:color w:val="111111"/>
          <w:sz w:val="28"/>
          <w:szCs w:val="28"/>
          <w:rtl/>
        </w:rPr>
        <w:t xml:space="preserve">تشریف تو است بر قد هر نارسا رسا</w:t>
      </w:r>
    </w:p>
    <w:p>
      <w:pPr>
        <w:pStyle w:val="BookText"/>
      </w:pPr>
      <w:r>
        <w:rPr>
          <w:rFonts w:ascii="IRNazanin" w:hAnsi="IRNazanin" w:eastAsia="IRNazanin" w:cs="IRNazanin"/>
          <w:lang w:bidi="fa-IR"/>
          <w:color w:val="111111"/>
          <w:sz w:val="28"/>
          <w:szCs w:val="28"/>
          <w:rtl/>
        </w:rPr>
        <w:t xml:space="preserve">و آخره:</w:t>
      </w:r>
    </w:p>
    <w:p>
      <w:pPr>
        <w:pStyle w:val="BookText"/>
      </w:pPr>
      <w:r>
        <w:rPr>
          <w:rFonts w:ascii="IRNazanin" w:hAnsi="IRNazanin" w:eastAsia="IRNazanin" w:cs="IRNazanin"/>
          <w:lang w:bidi="fa-IR"/>
          <w:color w:val="111111"/>
          <w:sz w:val="28"/>
          <w:szCs w:val="28"/>
          <w:rtl/>
        </w:rPr>
        <w:t xml:space="preserve">باقی بدین دو روزه دنیا مبند دل‏</w:t>
      </w:r>
    </w:p>
    <w:p>
      <w:pPr>
        <w:pStyle w:val="BookText"/>
      </w:pPr>
      <w:r>
        <w:rPr>
          <w:rFonts w:ascii="IRNazanin" w:hAnsi="IRNazanin" w:eastAsia="IRNazanin" w:cs="IRNazanin"/>
          <w:lang w:bidi="fa-IR"/>
          <w:color w:val="111111"/>
          <w:sz w:val="28"/>
          <w:szCs w:val="28"/>
          <w:rtl/>
        </w:rPr>
        <w:t xml:space="preserve">بر هیچ‏کس نکرده چه این بی‏وفا وفا</w:t>
      </w:r>
    </w:p>
    <w:p>
      <w:pPr>
        <w:pStyle w:val="Heading3"/>
      </w:pPr>
      <w:bookmarkStart w:id="2247" w:name="_Toc943"/>
      <w:r>
        <w:t>767- دیوان باقی چلبی‏</w:t>
      </w:r>
      <w:bookmarkEnd w:id="2247"/>
    </w:p>
    <w:p>
      <w:pPr>
        <w:pStyle w:val="BookText"/>
      </w:pPr>
      <w:r>
        <w:rPr>
          <w:rFonts w:ascii="IRNazanin" w:hAnsi="IRNazanin" w:eastAsia="IRNazanin" w:cs="IRNazanin"/>
          <w:lang w:bidi="fa-IR"/>
          <w:color w:val="111111"/>
          <w:sz w:val="28"/>
          <w:szCs w:val="28"/>
          <w:rtl/>
        </w:rPr>
        <w:t xml:space="preserve">من شعراء الترک. لاقاه صادقی فی حلب و ترجمه و أورد شعره الترکی فی (خص 7- ص 116) و لعل له النسختین من الدیوان الموجودتین فی الموصل کما فی فهرسها (ص 48 و 133).</w:t>
      </w:r>
    </w:p>
    <w:p>
      <w:pPr>
        <w:pStyle w:val="Heading3"/>
      </w:pPr>
      <w:bookmarkStart w:id="2248" w:name="_Toc944"/>
      <w:r>
        <w:t>768- دیوان باقی دماوندی أو شعره‏</w:t>
      </w:r>
      <w:bookmarkEnd w:id="2248"/>
    </w:p>
    <w:p>
      <w:pPr>
        <w:pStyle w:val="BookText"/>
      </w:pPr>
      <w:r>
        <w:rPr>
          <w:rFonts w:ascii="IRNazanin" w:hAnsi="IRNazanin" w:eastAsia="IRNazanin" w:cs="IRNazanin"/>
          <w:lang w:bidi="fa-IR"/>
          <w:color w:val="111111"/>
          <w:sz w:val="28"/>
          <w:szCs w:val="28"/>
          <w:rtl/>
        </w:rPr>
        <w:t xml:space="preserve">ترجمه و أورد شعره فی (گلشن).</w:t>
      </w:r>
    </w:p>
    <w:p>
      <w:pPr>
        <w:pStyle w:val="Heading3"/>
      </w:pPr>
      <w:bookmarkStart w:id="2249" w:name="_Toc945"/>
      <w:r>
        <w:t>769- دیوان باقی کاشی‏</w:t>
      </w:r>
      <w:bookmarkEnd w:id="2249"/>
    </w:p>
    <w:p>
      <w:pPr>
        <w:pStyle w:val="BookText"/>
      </w:pPr>
      <w:r>
        <w:rPr>
          <w:rFonts w:ascii="IRNazanin" w:hAnsi="IRNazanin" w:eastAsia="IRNazanin" w:cs="IRNazanin"/>
          <w:lang w:bidi="fa-IR"/>
          <w:color w:val="111111"/>
          <w:sz w:val="28"/>
          <w:szCs w:val="28"/>
          <w:rtl/>
        </w:rPr>
        <w:t xml:space="preserve">قال فی (تش- ص 241) إنه رأی دیوانه. و أورد شعره فی (گلشن).</w:t>
      </w:r>
    </w:p>
    <w:p>
      <w:pPr>
        <w:pStyle w:val="Heading3"/>
      </w:pPr>
      <w:bookmarkStart w:id="2250" w:name="_Toc946"/>
      <w:r>
        <w:t>770- دیوان باقی ما وراء النهری‏</w:t>
      </w:r>
      <w:bookmarkEnd w:id="2250"/>
    </w:p>
    <w:p>
      <w:pPr>
        <w:pStyle w:val="BookText"/>
      </w:pPr>
      <w:r>
        <w:rPr>
          <w:rFonts w:ascii="IRNazanin" w:hAnsi="IRNazanin" w:eastAsia="IRNazanin" w:cs="IRNazanin"/>
          <w:lang w:bidi="fa-IR"/>
          <w:color w:val="111111"/>
          <w:sz w:val="28"/>
          <w:szCs w:val="28"/>
          <w:rtl/>
        </w:rPr>
        <w:t xml:space="preserve">أورد شعره فی (گلشن- ص 55).</w:t>
      </w:r>
    </w:p>
    <w:p>
      <w:pPr>
        <w:pStyle w:val="Heading3"/>
      </w:pPr>
      <w:bookmarkStart w:id="2251" w:name="_Toc947"/>
      <w:r>
        <w:t>771- دیوان باقی نعمةاللهی‏</w:t>
      </w:r>
      <w:bookmarkEnd w:id="2251"/>
    </w:p>
    <w:p>
      <w:pPr>
        <w:pStyle w:val="BookText"/>
      </w:pPr>
      <w:r>
        <w:rPr>
          <w:rFonts w:ascii="IRNazanin" w:hAnsi="IRNazanin" w:eastAsia="IRNazanin" w:cs="IRNazanin"/>
          <w:lang w:bidi="fa-IR"/>
          <w:color w:val="111111"/>
          <w:sz w:val="28"/>
          <w:szCs w:val="28"/>
          <w:rtl/>
        </w:rPr>
        <w:t xml:space="preserve">للسید المیر عبد الباقی من أحفاد الشاه نعمة الله الولی، و الصدر فی دولة الشاه إسماعیل الصفوی الفاتح، و المقتول فی محاربته مع سلطان الروم فی أوائل رجب (920) ترجمه فی (تس 1- ص 21) و (تش 119) و (گلشن 54) و قال إنه أکمل دیوان غزله. و تخلصه باقی و أورد مطلع بعضها.</w:t>
      </w:r>
    </w:p>
    <w:p>
      <w:pPr>
        <w:pStyle w:val="BookText"/>
      </w:pPr>
      <w:r>
        <w:rPr>
          <w:rFonts w:ascii="IRNazanin" w:hAnsi="IRNazanin" w:eastAsia="IRNazanin" w:cs="IRNazanin"/>
          <w:lang w:bidi="fa-IR"/>
          <w:color w:val="111111"/>
          <w:sz w:val="28"/>
          <w:szCs w:val="28"/>
          <w:rtl/>
        </w:rPr>
        <w:t xml:space="preserve">کار سامان نرسد تا که پریشان نشود</w:t>
      </w:r>
    </w:p>
    <w:p>
      <w:pPr>
        <w:pStyle w:val="BookText"/>
      </w:pPr>
      <w:r>
        <w:rPr>
          <w:rFonts w:ascii="IRNazanin" w:hAnsi="IRNazanin" w:eastAsia="IRNazanin" w:cs="IRNazanin"/>
          <w:lang w:bidi="fa-IR"/>
          <w:color w:val="111111"/>
          <w:sz w:val="28"/>
          <w:szCs w:val="28"/>
          <w:rtl/>
        </w:rPr>
        <w:t xml:space="preserve">شرط آن است که تا این نشود آن نشود</w:t>
      </w:r>
    </w:p>
    <w:p>
      <w:pPr>
        <w:pStyle w:val="BookText"/>
      </w:pPr>
      <w:r>
        <w:rPr>
          <w:rFonts w:ascii="IRNazanin" w:hAnsi="IRNazanin" w:eastAsia="IRNazanin" w:cs="IRNazanin"/>
          <w:lang w:bidi="fa-IR"/>
          <w:color w:val="111111"/>
          <w:sz w:val="28"/>
          <w:szCs w:val="28"/>
          <w:rtl/>
        </w:rPr>
        <w:t xml:space="preserve">و یأتی دیوان عبد الباقی متعددا.</w:t>
      </w:r>
    </w:p>
    <w:p>
      <w:pPr>
        <w:pStyle w:val="Heading3"/>
      </w:pPr>
      <w:bookmarkStart w:id="2252" w:name="_Toc948"/>
      <w:r>
        <w:t>772- دیوان باقی نهاوندی أو شعره‏</w:t>
      </w:r>
      <w:bookmarkEnd w:id="2252"/>
    </w:p>
    <w:p>
      <w:pPr>
        <w:pStyle w:val="BookText"/>
      </w:pPr>
      <w:r>
        <w:rPr>
          <w:rFonts w:ascii="IRNazanin" w:hAnsi="IRNazanin" w:eastAsia="IRNazanin" w:cs="IRNazanin"/>
          <w:lang w:bidi="fa-IR"/>
          <w:color w:val="111111"/>
          <w:sz w:val="28"/>
          <w:szCs w:val="28"/>
          <w:rtl/>
        </w:rPr>
        <w:t xml:space="preserve">کان ملازما لخان خانان فی الهند. و ألف فی أحواله و أحوال آبائه کتابه آثار رحیمی و کان حیا فی (1033) فی معسکر شاه‏زاده پرویز شاه‏جهان. أورد شعره فی (گلشن- ص 55) و عنه فی قاموس الأعلام الترکیة فریحانة الأدب.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24" w:name="pg11704_121601"/>
    <w:bookmarkEnd w:id="124"/>
    <w:p>
      <w:pPr>
        <w:pStyle w:val="Heading3"/>
      </w:pPr>
      <w:bookmarkStart w:id="2253" w:name="_Toc949"/>
      <w:r>
        <w:t>773- دیوان باقی هروی أو شعره‏</w:t>
      </w:r>
      <w:bookmarkEnd w:id="2253"/>
    </w:p>
    <w:p>
      <w:pPr>
        <w:pStyle w:val="BookText"/>
      </w:pPr>
      <w:r>
        <w:rPr>
          <w:rFonts w:ascii="IRNazanin" w:hAnsi="IRNazanin" w:eastAsia="IRNazanin" w:cs="IRNazanin"/>
          <w:lang w:bidi="fa-IR"/>
          <w:color w:val="111111"/>
          <w:sz w:val="28"/>
          <w:szCs w:val="28"/>
          <w:rtl/>
        </w:rPr>
        <w:t xml:space="preserve">أورد شعره فی (گلشن- ص 55).</w:t>
      </w:r>
    </w:p>
    <w:p>
      <w:pPr>
        <w:pStyle w:val="Heading3"/>
      </w:pPr>
      <w:bookmarkStart w:id="2254" w:name="_Toc950"/>
      <w:r>
        <w:t>774- دیوان بالی خوش‏طبع أو شعره‏</w:t>
      </w:r>
      <w:bookmarkEnd w:id="2254"/>
    </w:p>
    <w:p>
      <w:pPr>
        <w:pStyle w:val="BookText"/>
      </w:pPr>
      <w:r>
        <w:rPr>
          <w:rFonts w:ascii="IRNazanin" w:hAnsi="IRNazanin" w:eastAsia="IRNazanin" w:cs="IRNazanin"/>
          <w:lang w:bidi="fa-IR"/>
          <w:color w:val="111111"/>
          <w:sz w:val="28"/>
          <w:szCs w:val="28"/>
          <w:rtl/>
        </w:rPr>
        <w:t xml:space="preserve">قتل بأسترآباد بید التراکمة. ترجمه معاصره فی (خص 7- ص 124).</w:t>
      </w:r>
    </w:p>
    <w:p>
      <w:pPr>
        <w:pStyle w:val="Heading3"/>
      </w:pPr>
      <w:bookmarkStart w:id="2255" w:name="_Toc951"/>
      <w:r>
        <w:t>775- دیوان بایزید البسطامی‏</w:t>
      </w:r>
      <w:bookmarkEnd w:id="2255"/>
    </w:p>
    <w:p>
      <w:pPr>
        <w:pStyle w:val="BookText"/>
      </w:pPr>
      <w:r>
        <w:rPr>
          <w:rFonts w:ascii="IRNazanin" w:hAnsi="IRNazanin" w:eastAsia="IRNazanin" w:cs="IRNazanin"/>
          <w:lang w:bidi="fa-IR"/>
          <w:color w:val="111111"/>
          <w:sz w:val="28"/>
          <w:szCs w:val="28"/>
          <w:rtl/>
        </w:rPr>
        <w:t xml:space="preserve">العارف الشهیر طیفور بن عیسی المتوفی (234- 261 أو 262) عن تسعین سنة. ترجمه فی (نفحات- ص 95) و (تش- ص 66) و (ض- ص 46) و نسبوا إلیه بعض الرباعیات، و لکنها مشکوکة. و کتب إقبال یغمائی فی أحواله رسالة طبع بطهران فی (80 ص).</w:t>
      </w:r>
    </w:p>
    <w:p>
      <w:pPr>
        <w:pStyle w:val="Heading3"/>
      </w:pPr>
      <w:bookmarkStart w:id="2256" w:name="_Toc952"/>
      <w:r>
        <w:t>دیوان مولانا بایزید</w:t>
      </w:r>
      <w:bookmarkEnd w:id="2256"/>
    </w:p>
    <w:p>
      <w:pPr>
        <w:pStyle w:val="BookText"/>
      </w:pPr>
      <w:r>
        <w:rPr>
          <w:rFonts w:ascii="IRNazanin" w:hAnsi="IRNazanin" w:eastAsia="IRNazanin" w:cs="IRNazanin"/>
          <w:lang w:bidi="fa-IR"/>
          <w:color w:val="111111"/>
          <w:sz w:val="28"/>
          <w:szCs w:val="28"/>
          <w:rtl/>
        </w:rPr>
        <w:t xml:space="preserve">من الشعراء الملازمین للسلطان میرزا بایقرا ذکره الشاه محمد القزوینی فی (قز مج 1- ص 193) و لکن الصحیح أن اسم الشاعر برندق کما فی (لط 1- ص 19).</w:t>
      </w:r>
    </w:p>
    <w:p>
      <w:pPr>
        <w:pStyle w:val="Heading3"/>
      </w:pPr>
      <w:bookmarkStart w:id="2257" w:name="_Toc953"/>
      <w:r>
        <w:t>دیوان بایزید الحروفی أو شعره‏</w:t>
      </w:r>
      <w:bookmarkEnd w:id="2257"/>
    </w:p>
    <w:p>
      <w:pPr>
        <w:pStyle w:val="BookText"/>
      </w:pPr>
      <w:r>
        <w:rPr>
          <w:rFonts w:ascii="IRNazanin" w:hAnsi="IRNazanin" w:eastAsia="IRNazanin" w:cs="IRNazanin"/>
          <w:lang w:bidi="fa-IR"/>
          <w:color w:val="111111"/>
          <w:sz w:val="28"/>
          <w:szCs w:val="28"/>
          <w:rtl/>
        </w:rPr>
        <w:t xml:space="preserve">جاء ذکره فی جاودان‏نامه الکبیر و لعله أراد بایزید البسطامی.</w:t>
      </w:r>
    </w:p>
    <w:p>
      <w:pPr>
        <w:pStyle w:val="Heading3"/>
      </w:pPr>
      <w:bookmarkStart w:id="2258" w:name="_Toc954"/>
      <w:r>
        <w:t>776- دیوان بایسنقر میرزا أو شعره‏</w:t>
      </w:r>
      <w:bookmarkEnd w:id="2258"/>
    </w:p>
    <w:p>
      <w:pPr>
        <w:pStyle w:val="BookText"/>
      </w:pPr>
      <w:r>
        <w:rPr>
          <w:rFonts w:ascii="IRNazanin" w:hAnsi="IRNazanin" w:eastAsia="IRNazanin" w:cs="IRNazanin"/>
          <w:lang w:bidi="fa-IR"/>
          <w:color w:val="111111"/>
          <w:sz w:val="28"/>
          <w:szCs w:val="28"/>
          <w:rtl/>
        </w:rPr>
        <w:t xml:space="preserve">و هو ابن شاه‏رخ بن تیمور، السلطان الفاضل الأدیب الخطاط. ترجمه فی (مجن 7- 125 و 314) و قال ترقی الفنون فی عصره. و أورد غزله و بیت تخلصه.</w:t>
      </w:r>
    </w:p>
    <w:p>
      <w:pPr>
        <w:pStyle w:val="BookText"/>
      </w:pPr>
      <w:r>
        <w:rPr>
          <w:rFonts w:ascii="IRNazanin" w:hAnsi="IRNazanin" w:eastAsia="IRNazanin" w:cs="IRNazanin"/>
          <w:lang w:bidi="fa-IR"/>
          <w:color w:val="111111"/>
          <w:sz w:val="28"/>
          <w:szCs w:val="28"/>
          <w:rtl/>
        </w:rPr>
        <w:t xml:space="preserve">غلام روی أو شد بایسنقر</w:t>
      </w:r>
    </w:p>
    <w:p>
      <w:pPr>
        <w:pStyle w:val="BookText"/>
      </w:pPr>
      <w:r>
        <w:rPr>
          <w:rFonts w:ascii="IRNazanin" w:hAnsi="IRNazanin" w:eastAsia="IRNazanin" w:cs="IRNazanin"/>
          <w:lang w:bidi="fa-IR"/>
          <w:color w:val="111111"/>
          <w:sz w:val="28"/>
          <w:szCs w:val="28"/>
          <w:rtl/>
        </w:rPr>
        <w:t xml:space="preserve">غلام خوب رویان پادشاه است‏</w:t>
      </w:r>
    </w:p>
    <w:p>
      <w:pPr>
        <w:pStyle w:val="BookText"/>
      </w:pPr>
      <w:r>
        <w:rPr>
          <w:rFonts w:ascii="IRNazanin" w:hAnsi="IRNazanin" w:eastAsia="IRNazanin" w:cs="IRNazanin"/>
          <w:lang w:bidi="fa-IR"/>
          <w:color w:val="111111"/>
          <w:sz w:val="28"/>
          <w:szCs w:val="28"/>
          <w:rtl/>
        </w:rPr>
        <w:t xml:space="preserve">ولد (832) و مات (865) و کان ماهرا فی الشعر الفارسی و الترکی. أورد ذکره فی (گلشن) أیضا.</w:t>
      </w:r>
    </w:p>
    <w:p>
      <w:pPr>
        <w:pStyle w:val="Heading3"/>
      </w:pPr>
      <w:bookmarkStart w:id="2259" w:name="_Toc955"/>
      <w:r>
        <w:t>777- دیوان بایقرا میرزا أو شعره‏</w:t>
      </w:r>
      <w:bookmarkEnd w:id="2259"/>
    </w:p>
    <w:p>
      <w:pPr>
        <w:pStyle w:val="BookText"/>
      </w:pPr>
      <w:r>
        <w:rPr>
          <w:rFonts w:ascii="IRNazanin" w:hAnsi="IRNazanin" w:eastAsia="IRNazanin" w:cs="IRNazanin"/>
          <w:lang w:bidi="fa-IR"/>
          <w:color w:val="111111"/>
          <w:sz w:val="28"/>
          <w:szCs w:val="28"/>
          <w:rtl/>
        </w:rPr>
        <w:t xml:space="preserve">و هو ابن السلطان منصور بن بایقرا الگورکانی، و أخ السلطان حسین میرزا بایقرا الذی توفی (911) ترجمه فی (لط 7- ص 127) و ذکر أنه المربی للسلطان حسین میرزا بایقرا و أورد مطلع غزله.</w:t>
      </w:r>
    </w:p>
    <w:p>
      <w:pPr>
        <w:pStyle w:val="Heading3"/>
      </w:pPr>
      <w:bookmarkStart w:id="2260" w:name="_Toc956"/>
      <w:r>
        <w:t>778- دیوان البحتری‏</w:t>
      </w:r>
      <w:bookmarkEnd w:id="2260"/>
    </w:p>
    <w:p>
      <w:pPr>
        <w:pStyle w:val="BookText"/>
      </w:pPr>
      <w:r>
        <w:rPr>
          <w:rFonts w:ascii="IRNazanin" w:hAnsi="IRNazanin" w:eastAsia="IRNazanin" w:cs="IRNazanin"/>
          <w:lang w:bidi="fa-IR"/>
          <w:color w:val="111111"/>
          <w:sz w:val="28"/>
          <w:szCs w:val="28"/>
          <w:rtl/>
        </w:rPr>
        <w:t xml:space="preserve">أبی عبادة الولید بن عبید الله بن یحیی المنسوب إلی جده بحتر و تمام نسبه فی (جما- ج 19- ص 248) و له الحماسة المذکورة فی (ج 7- ص 79) قال یاقوت إنه مات (286) و کانت ولادته (206) فی منبج من أعمال حلب. و رتب الصولی دیوانه علی الحروف فی مجلدین، و رتبه علی بن حمزة الأصفهانی علی الأنواع کما صنع بشعر أبی تمام. أقول‏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25" w:name="pg11704_121602"/>
    <w:bookmarkEnd w:id="125"/>
    <w:p>
      <w:pPr>
        <w:pStyle w:val="BookText"/>
      </w:pPr>
      <w:r>
        <w:rPr>
          <w:rFonts w:ascii="IRNazanin" w:hAnsi="IRNazanin" w:eastAsia="IRNazanin" w:cs="IRNazanin"/>
          <w:lang w:bidi="fa-IR"/>
          <w:color w:val="111111"/>
          <w:sz w:val="28"/>
          <w:szCs w:val="28"/>
          <w:rtl/>
        </w:rPr>
        <w:t xml:space="preserve">قد ذکرنا دیوان أبی تمام و أنواعه و أما دیوان البحتری فقد رأیت فی موقوفة الشیخ عبد الحسین نسخه منه مرتبا علی سبعة فصول 1 المدیح 2 الفخر 3 المراثی 4 العتاب و الاستبطاء 5 الهجاء 6 المکاتبات 7 الغزل. و رأیت فی موقوفة (العطار ببغداد) نسخه کتابتها (1207) فی جزءین أحدهما دیوان المدیح و الآخر دیوان الهجاء و فی (جمط- ص 530) ذکر أنه</w:t>
      </w:r>
    </w:p>
    <w:p>
      <w:pPr>
        <w:pStyle w:val="BookText"/>
      </w:pPr>
      <w:r>
        <w:rPr>
          <w:rFonts w:ascii="IRNazanin" w:hAnsi="IRNazanin" w:eastAsia="IRNazanin" w:cs="IRNazanin"/>
          <w:lang w:bidi="fa-IR"/>
          <w:color w:val="111111"/>
          <w:sz w:val="28"/>
          <w:szCs w:val="28"/>
          <w:rtl/>
        </w:rPr>
        <w:t xml:space="preserve">طبع فی الجوائب فی الإستانبول (1300) و بالهند (1329) و فی بیروت عن طبع الجوائب أیضا و نسخه منه بالمکتبة الحمیدیة فی إستانبول و أخری بمکتبة راغب پاشا و ثالثة فی مکتبة پاریس کما فی فهارس هذه المکتبات. و اختصر هذا الدیوان أبو العلاء المعری و سماه عبث الولید کما فی ابن خلکان (ج 1- ص 34) و مر فی (ص 45) دیوان أبی الغوث أسلم بن مهوز الطهوی المنبجی شاعر آل محمد و معاصر البحتری المنبجی. و قد ذکر هذان المنجبیان.</w:t>
      </w:r>
    </w:p>
    <w:p>
      <w:pPr>
        <w:pStyle w:val="BookText"/>
      </w:pPr>
      <w:r>
        <w:rPr>
          <w:rFonts w:ascii="IRNazanin" w:hAnsi="IRNazanin" w:eastAsia="IRNazanin" w:cs="IRNazanin"/>
          <w:lang w:bidi="fa-IR"/>
          <w:color w:val="111111"/>
          <w:sz w:val="28"/>
          <w:szCs w:val="28"/>
          <w:rtl/>
        </w:rPr>
        <w:t xml:space="preserve">فی مقتضب الأثر- ص 35 و قد ترجم القاضی فی (لس- ص 469) البحتری مفصلا و ذکر أن الشیخ عبد الجلیل الرازی عده من شعراء الشیعة. و سیدنا الحسن صدر الدین فی تأسیس الشیعة أکثر الشواهد علی تشیعه، و منها ما حکاه عن الیافعی من قوله بأنه من شعراء الشیعة.</w:t>
      </w:r>
    </w:p>
    <w:p>
      <w:pPr>
        <w:pStyle w:val="Heading3"/>
      </w:pPr>
      <w:bookmarkStart w:id="2261" w:name="_Toc957"/>
      <w:r>
        <w:t>779- دیوان بحثی قزوینی أو شعره‏</w:t>
      </w:r>
      <w:bookmarkEnd w:id="2261"/>
    </w:p>
    <w:p>
      <w:pPr>
        <w:pStyle w:val="BookText"/>
      </w:pPr>
      <w:r>
        <w:rPr>
          <w:rFonts w:ascii="IRNazanin" w:hAnsi="IRNazanin" w:eastAsia="IRNazanin" w:cs="IRNazanin"/>
          <w:lang w:bidi="fa-IR"/>
          <w:color w:val="111111"/>
          <w:sz w:val="28"/>
          <w:szCs w:val="28"/>
          <w:rtl/>
        </w:rPr>
        <w:t xml:space="preserve">و اسمه الحاج إسماعیل ترجمه فی (تش- ص 223) و أورد شعره، و لعله المذکور فی (العدد 420) قال فی آفتاب عالم تاب و بعض ذکره بعنوان یحیی فی حرف الیاء، کذا فی (روشن- ص 89).</w:t>
      </w:r>
    </w:p>
    <w:p>
      <w:pPr>
        <w:pStyle w:val="Heading3"/>
      </w:pPr>
      <w:bookmarkStart w:id="2262" w:name="_Toc958"/>
      <w:r>
        <w:t>780- دیوان بحر العلوم‏</w:t>
      </w:r>
      <w:bookmarkEnd w:id="2262"/>
    </w:p>
    <w:p>
      <w:pPr>
        <w:pStyle w:val="BookText"/>
      </w:pPr>
      <w:r>
        <w:rPr>
          <w:rFonts w:ascii="IRNazanin" w:hAnsi="IRNazanin" w:eastAsia="IRNazanin" w:cs="IRNazanin"/>
          <w:lang w:bidi="fa-IR"/>
          <w:color w:val="111111"/>
          <w:sz w:val="28"/>
          <w:szCs w:val="28"/>
          <w:rtl/>
        </w:rPr>
        <w:t xml:space="preserve">السید حسین بن السید رضا بن السید مهدی بحر العلوم الطباطبائی، المولود فی النجف فی (1231) و المتوفی بها (1306) مجلد کبیر مرتب علی فصلین أولهما فی مدائح المعصومین و الثانی فی مراثیهم و مراثی بعض العلماء من مشایخه مثل صاحب الجواهر، و فیه تخمیسة للاثنی عشریات فی المراثی لجده آیة الله بحر العلوم. و له شرح الدرة لجده منظوما أیضا.</w:t>
      </w:r>
    </w:p>
    <w:p>
      <w:pPr>
        <w:pStyle w:val="Heading3"/>
      </w:pPr>
      <w:bookmarkStart w:id="2263" w:name="_Toc959"/>
      <w:r>
        <w:t>دیوان بحر العلوم‏</w:t>
      </w:r>
      <w:bookmarkEnd w:id="2263"/>
    </w:p>
    <w:p>
      <w:pPr>
        <w:pStyle w:val="BookText"/>
      </w:pPr>
      <w:r>
        <w:rPr>
          <w:rFonts w:ascii="IRNazanin" w:hAnsi="IRNazanin" w:eastAsia="IRNazanin" w:cs="IRNazanin"/>
          <w:lang w:bidi="fa-IR"/>
          <w:color w:val="111111"/>
          <w:sz w:val="28"/>
          <w:szCs w:val="28"/>
          <w:rtl/>
        </w:rPr>
        <w:t xml:space="preserve">الشاب الفاضل السید محمد صالح المولود فی النجف (1328) اسمه العواطف یأتی فی العین.</w:t>
      </w:r>
    </w:p>
    <w:p>
      <w:pPr>
        <w:pStyle w:val="Heading3"/>
      </w:pPr>
      <w:bookmarkStart w:id="2264" w:name="_Toc960"/>
      <w:r>
        <w:t>781- دیوان بحر العلوم‏</w:t>
      </w:r>
      <w:bookmarkEnd w:id="2264"/>
    </w:p>
    <w:p>
      <w:pPr>
        <w:pStyle w:val="BookText"/>
      </w:pPr>
      <w:r>
        <w:rPr>
          <w:rFonts w:ascii="IRNazanin" w:hAnsi="IRNazanin" w:eastAsia="IRNazanin" w:cs="IRNazanin"/>
          <w:lang w:bidi="fa-IR"/>
          <w:color w:val="111111"/>
          <w:sz w:val="28"/>
          <w:szCs w:val="28"/>
          <w:rtl/>
        </w:rPr>
        <w:t xml:space="preserve">السید محمد بن هبة الله الحسینی القزوینی نزیل مشهد خراسان، و مؤلف حوادث الأیام المذکور فی (ج 7 ص 94) ذکر فی فهرس تصانیفه أنه‏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26" w:name="pg11704_121603"/>
    <w:bookmarkEnd w:id="126"/>
    <w:p>
      <w:pPr>
        <w:pStyle w:val="BookText"/>
      </w:pPr>
      <w:r>
        <w:rPr>
          <w:rFonts w:ascii="IRNazanin" w:hAnsi="IRNazanin" w:eastAsia="IRNazanin" w:cs="IRNazanin"/>
          <w:lang w:bidi="fa-IR"/>
          <w:color w:val="111111"/>
          <w:sz w:val="28"/>
          <w:szCs w:val="28"/>
          <w:rtl/>
        </w:rPr>
        <w:t xml:space="preserve">مشتمل علی ألف و خمسمائة بیت.</w:t>
      </w:r>
    </w:p>
    <w:p>
      <w:pPr>
        <w:pStyle w:val="Heading3"/>
      </w:pPr>
      <w:bookmarkStart w:id="2265" w:name="_Toc961"/>
      <w:r>
        <w:t>782- دیوان بحر العلوم‏</w:t>
      </w:r>
      <w:bookmarkEnd w:id="2265"/>
    </w:p>
    <w:p>
      <w:pPr>
        <w:pStyle w:val="BookText"/>
      </w:pPr>
      <w:r>
        <w:rPr>
          <w:rFonts w:ascii="IRNazanin" w:hAnsi="IRNazanin" w:eastAsia="IRNazanin" w:cs="IRNazanin"/>
          <w:lang w:bidi="fa-IR"/>
          <w:color w:val="111111"/>
          <w:sz w:val="28"/>
          <w:szCs w:val="28"/>
          <w:rtl/>
        </w:rPr>
        <w:t xml:space="preserve">السید محمد مهدی بن مرتضی بن محمد الطباطبائی البروجردی النجفی المتوفی (1212) نسخه خطه توجد عند أحفاده” المؤلف”. و له الدرة المذکورة فی (ج 8- ص 109). و له القصیدة فی حساب عقود الأنامل، شرحها بالفارسیة المیرزا محمد علی المدرس الچهاردهی.</w:t>
      </w:r>
    </w:p>
    <w:p>
      <w:pPr>
        <w:pStyle w:val="Heading3"/>
      </w:pPr>
      <w:bookmarkStart w:id="2266" w:name="_Toc962"/>
      <w:r>
        <w:t>783- دیوان بحری میانجی‏</w:t>
      </w:r>
      <w:bookmarkEnd w:id="2266"/>
    </w:p>
    <w:p>
      <w:pPr>
        <w:pStyle w:val="BookText"/>
      </w:pPr>
      <w:r>
        <w:rPr>
          <w:rFonts w:ascii="IRNazanin" w:hAnsi="IRNazanin" w:eastAsia="IRNazanin" w:cs="IRNazanin"/>
          <w:lang w:bidi="fa-IR"/>
          <w:color w:val="111111"/>
          <w:sz w:val="28"/>
          <w:szCs w:val="28"/>
          <w:rtl/>
        </w:rPr>
        <w:t xml:space="preserve">کان من الوعاظ فی أوائل عصر القاجاریة فی تفلیس و باکو، و دیوانه بالفارسیة و الترکیة توجد عند (محمد النخجوانی) کما کتبه إلینا.</w:t>
      </w:r>
    </w:p>
    <w:p>
      <w:pPr>
        <w:pStyle w:val="Heading3"/>
      </w:pPr>
      <w:bookmarkStart w:id="2267" w:name="_Toc963"/>
      <w:r>
        <w:t>دیوان بخاری‏</w:t>
      </w:r>
      <w:bookmarkEnd w:id="2267"/>
    </w:p>
    <w:p>
      <w:pPr>
        <w:pStyle w:val="BookText"/>
      </w:pPr>
      <w:r>
        <w:rPr>
          <w:rFonts w:ascii="IRNazanin" w:hAnsi="IRNazanin" w:eastAsia="IRNazanin" w:cs="IRNazanin"/>
          <w:lang w:bidi="fa-IR"/>
          <w:color w:val="111111"/>
          <w:sz w:val="28"/>
          <w:szCs w:val="28"/>
          <w:rtl/>
        </w:rPr>
        <w:t xml:space="preserve">یأتی بعناوین ناصر بخاری و عمعق بخاری و عصمت بخاری و والی بخاری.</w:t>
      </w:r>
    </w:p>
    <w:p>
      <w:pPr>
        <w:pStyle w:val="Heading3"/>
      </w:pPr>
      <w:bookmarkStart w:id="2268" w:name="_Toc964"/>
      <w:r>
        <w:t>784- دیوان بختیار کاکی‏</w:t>
      </w:r>
      <w:bookmarkEnd w:id="2268"/>
    </w:p>
    <w:p>
      <w:pPr>
        <w:pStyle w:val="BookText"/>
      </w:pPr>
      <w:r>
        <w:rPr>
          <w:rFonts w:ascii="IRNazanin" w:hAnsi="IRNazanin" w:eastAsia="IRNazanin" w:cs="IRNazanin"/>
          <w:lang w:bidi="fa-IR"/>
          <w:color w:val="111111"/>
          <w:sz w:val="28"/>
          <w:szCs w:val="28"/>
          <w:rtl/>
        </w:rPr>
        <w:t xml:space="preserve">و اسمه الخواجة قطب الدین. طبع الدیوان فی نولکشور بالهند.</w:t>
      </w:r>
    </w:p>
    <w:p>
      <w:pPr>
        <w:pStyle w:val="Heading3"/>
      </w:pPr>
      <w:bookmarkStart w:id="2269" w:name="_Toc965"/>
      <w:r>
        <w:t>785- دیوان بختی تبریزی أو شعره‏</w:t>
      </w:r>
      <w:bookmarkEnd w:id="2269"/>
    </w:p>
    <w:p>
      <w:pPr>
        <w:pStyle w:val="BookText"/>
      </w:pPr>
      <w:r>
        <w:rPr>
          <w:rFonts w:ascii="IRNazanin" w:hAnsi="IRNazanin" w:eastAsia="IRNazanin" w:cs="IRNazanin"/>
          <w:lang w:bidi="fa-IR"/>
          <w:color w:val="111111"/>
          <w:sz w:val="28"/>
          <w:szCs w:val="28"/>
          <w:rtl/>
        </w:rPr>
        <w:t xml:space="preserve">من شعراء تبریز الساکنین بشیراز کما ذکر فی (گلشن- ص 56) و أورد شعره.</w:t>
      </w:r>
    </w:p>
    <w:p>
      <w:pPr>
        <w:pStyle w:val="Heading3"/>
      </w:pPr>
      <w:bookmarkStart w:id="2270" w:name="_Toc966"/>
      <w:r>
        <w:t>دیوان بدائع‏نگار مشهدی‏</w:t>
      </w:r>
      <w:bookmarkEnd w:id="2270"/>
    </w:p>
    <w:p>
      <w:pPr>
        <w:pStyle w:val="BookText"/>
      </w:pPr>
      <w:r>
        <w:rPr>
          <w:rFonts w:ascii="IRNazanin" w:hAnsi="IRNazanin" w:eastAsia="IRNazanin" w:cs="IRNazanin"/>
          <w:lang w:bidi="fa-IR"/>
          <w:color w:val="111111"/>
          <w:sz w:val="28"/>
          <w:szCs w:val="28"/>
          <w:rtl/>
        </w:rPr>
        <w:t xml:space="preserve">صاحب أزهار الربیع و بدائع الأشعار. مر بعنوان اسمه البدائع فی (ج 3: 60).</w:t>
      </w:r>
    </w:p>
    <w:p>
      <w:pPr>
        <w:pStyle w:val="Heading3"/>
      </w:pPr>
      <w:bookmarkStart w:id="2271" w:name="_Toc967"/>
      <w:r>
        <w:t>دیوان بدائع‏نگار تفرشی‏</w:t>
      </w:r>
      <w:bookmarkEnd w:id="2271"/>
    </w:p>
    <w:p>
      <w:pPr>
        <w:pStyle w:val="BookText"/>
      </w:pPr>
      <w:r>
        <w:rPr>
          <w:rFonts w:ascii="IRNazanin" w:hAnsi="IRNazanin" w:eastAsia="IRNazanin" w:cs="IRNazanin"/>
          <w:lang w:bidi="fa-IR"/>
          <w:color w:val="111111"/>
          <w:sz w:val="28"/>
          <w:szCs w:val="28"/>
          <w:rtl/>
        </w:rPr>
        <w:t xml:space="preserve">یأتی بعنوان دیوان لاهوتی.</w:t>
      </w:r>
    </w:p>
    <w:p>
      <w:pPr>
        <w:pStyle w:val="Heading3"/>
      </w:pPr>
      <w:bookmarkStart w:id="2272" w:name="_Toc968"/>
      <w:r>
        <w:t>786- دیوان بدائع‏نگار طهرانی‏</w:t>
      </w:r>
      <w:bookmarkEnd w:id="2272"/>
    </w:p>
    <w:p>
      <w:pPr>
        <w:pStyle w:val="BookText"/>
      </w:pPr>
      <w:r>
        <w:rPr>
          <w:rFonts w:ascii="IRNazanin" w:hAnsi="IRNazanin" w:eastAsia="IRNazanin" w:cs="IRNazanin"/>
          <w:lang w:bidi="fa-IR"/>
          <w:color w:val="111111"/>
          <w:sz w:val="28"/>
          <w:szCs w:val="28"/>
          <w:rtl/>
        </w:rPr>
        <w:t xml:space="preserve">و هو المیرزا محمد إبراهیم المتوفی (15- ع 1- 1299) کما فی منتظم ناصری (3: 387). له منظومة خسروی‏نامه ببحر التقارب، طبع عدة أبیات منها فی حاشیة مخزن الإنشاء المذکور فی (ج 4- ص 118 و 119).</w:t>
      </w:r>
    </w:p>
    <w:p>
      <w:pPr>
        <w:pStyle w:val="Heading3"/>
      </w:pPr>
      <w:bookmarkStart w:id="2273" w:name="_Toc969"/>
      <w:r>
        <w:t>787- دیوان بدائعی بلخی‏</w:t>
      </w:r>
      <w:bookmarkEnd w:id="2273"/>
    </w:p>
    <w:p>
      <w:pPr>
        <w:pStyle w:val="BookText"/>
      </w:pPr>
      <w:r>
        <w:rPr>
          <w:rFonts w:ascii="IRNazanin" w:hAnsi="IRNazanin" w:eastAsia="IRNazanin" w:cs="IRNazanin"/>
          <w:lang w:bidi="fa-IR"/>
          <w:color w:val="111111"/>
          <w:sz w:val="28"/>
          <w:szCs w:val="28"/>
          <w:rtl/>
        </w:rPr>
        <w:t xml:space="preserve">قال فی هدیة الأحباب إنه من شعراء عهد السلطان محمود و اسمه محمد بن محمود، و أورد بعض بعض شعره.</w:t>
      </w:r>
    </w:p>
    <w:p>
      <w:pPr>
        <w:pStyle w:val="Heading3"/>
      </w:pPr>
      <w:bookmarkStart w:id="2274" w:name="_Toc970"/>
      <w:r>
        <w:t>دیوان بدخشان شاه‏</w:t>
      </w:r>
      <w:bookmarkEnd w:id="2274"/>
    </w:p>
    <w:p>
      <w:pPr>
        <w:pStyle w:val="BookText"/>
      </w:pPr>
      <w:r>
        <w:rPr>
          <w:rFonts w:ascii="IRNazanin" w:hAnsi="IRNazanin" w:eastAsia="IRNazanin" w:cs="IRNazanin"/>
          <w:lang w:bidi="fa-IR"/>
          <w:color w:val="111111"/>
          <w:sz w:val="28"/>
          <w:szCs w:val="28"/>
          <w:rtl/>
        </w:rPr>
        <w:t xml:space="preserve">یأتی بعنوان تخلصه دیوان لعلی.</w:t>
      </w:r>
    </w:p>
    <w:p>
      <w:pPr>
        <w:pStyle w:val="Heading3"/>
      </w:pPr>
      <w:bookmarkStart w:id="2275" w:name="_Toc971"/>
      <w:r>
        <w:t>788- دیوان بدخشی أو شعره‏</w:t>
      </w:r>
      <w:bookmarkEnd w:id="2275"/>
    </w:p>
    <w:p>
      <w:pPr>
        <w:pStyle w:val="BookText"/>
      </w:pPr>
      <w:r>
        <w:rPr>
          <w:rFonts w:ascii="IRNazanin" w:hAnsi="IRNazanin" w:eastAsia="IRNazanin" w:cs="IRNazanin"/>
          <w:lang w:bidi="fa-IR"/>
          <w:color w:val="111111"/>
          <w:sz w:val="28"/>
          <w:szCs w:val="28"/>
          <w:rtl/>
        </w:rPr>
        <w:t xml:space="preserve">و اسمه میر بقا أورد شعره فی (نر 13- ص 471).</w:t>
      </w:r>
    </w:p>
    <w:p>
      <w:pPr>
        <w:pStyle w:val="Heading3"/>
      </w:pPr>
      <w:bookmarkStart w:id="2276" w:name="_Toc972"/>
      <w:r>
        <w:t>789- دیوان بدخشی أو شعره‏</w:t>
      </w:r>
      <w:bookmarkEnd w:id="2276"/>
    </w:p>
    <w:p>
      <w:pPr>
        <w:pStyle w:val="BookText"/>
      </w:pPr>
      <w:r>
        <w:rPr>
          <w:rFonts w:ascii="IRNazanin" w:hAnsi="IRNazanin" w:eastAsia="IRNazanin" w:cs="IRNazanin"/>
          <w:lang w:bidi="fa-IR"/>
          <w:color w:val="111111"/>
          <w:sz w:val="28"/>
          <w:szCs w:val="28"/>
          <w:rtl/>
        </w:rPr>
        <w:t xml:space="preserve">و هو الملا کمال الدین محمد البدخشی تلمیذ المیر حسین‏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27" w:name="pg11704_121604"/>
    <w:bookmarkEnd w:id="127"/>
    <w:p>
      <w:pPr>
        <w:pStyle w:val="BookText"/>
      </w:pPr>
      <w:r>
        <w:rPr>
          <w:rFonts w:ascii="IRNazanin" w:hAnsi="IRNazanin" w:eastAsia="IRNazanin" w:cs="IRNazanin"/>
          <w:lang w:bidi="fa-IR"/>
          <w:color w:val="111111"/>
          <w:sz w:val="28"/>
          <w:szCs w:val="28"/>
          <w:rtl/>
        </w:rPr>
        <w:t xml:space="preserve">المعمائی. له رسالة فی المعمی تسمی ضابطة حل معما نقل عنها مؤلف شرح رسالة میر حسین فی المعمی و کذا میر علی شیر فی (مجن 4- ص 95 و 271) و کذا فی (نر 15- ص 508) و توجد نسخته فی المجلس کما فی فهرسها (ج 3- 130) و سماه فی (گلشن- ص 56) بحمید البدخشی القندهاری.</w:t>
      </w:r>
    </w:p>
    <w:p>
      <w:pPr>
        <w:pStyle w:val="Heading3"/>
      </w:pPr>
      <w:bookmarkStart w:id="2277" w:name="_Toc973"/>
      <w:r>
        <w:t>790- دیوان مولانا بدخشی سمرقندی‏</w:t>
      </w:r>
      <w:bookmarkEnd w:id="2277"/>
    </w:p>
    <w:p>
      <w:pPr>
        <w:pStyle w:val="BookText"/>
      </w:pPr>
      <w:r>
        <w:rPr>
          <w:rFonts w:ascii="IRNazanin" w:hAnsi="IRNazanin" w:eastAsia="IRNazanin" w:cs="IRNazanin"/>
          <w:lang w:bidi="fa-IR"/>
          <w:color w:val="111111"/>
          <w:sz w:val="28"/>
          <w:szCs w:val="28"/>
          <w:rtl/>
        </w:rPr>
        <w:t xml:space="preserve">من الفضلاء و الشعراء فی عصر المیرزا ألغ بیک (المتوفی 853) فی سمرقند. ترجمه المیر علی شیر فی (مجن 1- ص 19 و ص 193) و ترجمه فی حبیب السیر الجزء الثالث من المجلد الثالث ص 161 و قال فی (لت- 6) و (تش- ص 327) إنه من أعظم شعراء عصره و دیوانه معروف.</w:t>
      </w:r>
    </w:p>
    <w:p>
      <w:pPr>
        <w:pStyle w:val="Heading3"/>
      </w:pPr>
      <w:bookmarkStart w:id="2278" w:name="_Toc974"/>
      <w:r>
        <w:t>791- دیوان بدر جاجرمی‏</w:t>
      </w:r>
      <w:bookmarkEnd w:id="2278"/>
    </w:p>
    <w:p>
      <w:pPr>
        <w:pStyle w:val="BookText"/>
      </w:pPr>
      <w:r>
        <w:rPr>
          <w:rFonts w:ascii="IRNazanin" w:hAnsi="IRNazanin" w:eastAsia="IRNazanin" w:cs="IRNazanin"/>
          <w:lang w:bidi="fa-IR"/>
          <w:color w:val="111111"/>
          <w:sz w:val="28"/>
          <w:szCs w:val="28"/>
          <w:rtl/>
        </w:rPr>
        <w:t xml:space="preserve">و اسمه بدر الدین و هو والد مؤلف مونس الأبرار فی دقائق الأشعار أتمه فی رمضان (741). و جاجرم من محال خراسان لکنه نشا فی أصفهان و اختص بالخواجة شمس الدین محمد صاحب الدیوان الجوینی المقتول (683) و تعلم الشعر من مجد الدین همگر الشیرازی. و له أشعار مصنوعة کالقصیدة الخالیة من الحروف المنقوطة.</w:t>
      </w:r>
    </w:p>
    <w:p>
      <w:pPr>
        <w:pStyle w:val="BookText"/>
      </w:pPr>
      <w:r>
        <w:rPr>
          <w:rFonts w:ascii="IRNazanin" w:hAnsi="IRNazanin" w:eastAsia="IRNazanin" w:cs="IRNazanin"/>
          <w:lang w:bidi="fa-IR"/>
          <w:color w:val="111111"/>
          <w:sz w:val="28"/>
          <w:szCs w:val="28"/>
          <w:rtl/>
        </w:rPr>
        <w:t xml:space="preserve">أورد بعضها مع سائر أشعاره فی (مع- ج 1- ص 168) و قال فی (تغ- 25) إنه توفی (690) ترجمه فی (هفت و (لت 4) و (تش- ص 71).</w:t>
      </w:r>
    </w:p>
    <w:p>
      <w:pPr>
        <w:pStyle w:val="Heading3"/>
      </w:pPr>
      <w:bookmarkStart w:id="2279" w:name="_Toc975"/>
      <w:r>
        <w:t>792- دیوان بدر چاچی‏</w:t>
      </w:r>
      <w:bookmarkEnd w:id="2279"/>
    </w:p>
    <w:p>
      <w:pPr>
        <w:pStyle w:val="BookText"/>
      </w:pPr>
      <w:r>
        <w:rPr>
          <w:rFonts w:ascii="IRNazanin" w:hAnsi="IRNazanin" w:eastAsia="IRNazanin" w:cs="IRNazanin"/>
          <w:lang w:bidi="fa-IR"/>
          <w:color w:val="111111"/>
          <w:sz w:val="28"/>
          <w:szCs w:val="28"/>
          <w:rtl/>
        </w:rPr>
        <w:t xml:space="preserve">هو بدر الدین الچاچی (الشاشی)</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کما فی معجم البلدان.</w:t>
      </w:r>
    </w:p>
    <w:p>
      <w:pPr>
        <w:pStyle w:val="BookText"/>
      </w:pPr>
      <w:r>
        <w:rPr>
          <w:rFonts w:ascii="IRNazanin" w:hAnsi="IRNazanin" w:eastAsia="IRNazanin" w:cs="IRNazanin"/>
          <w:lang w:bidi="fa-IR"/>
          <w:color w:val="111111"/>
          <w:sz w:val="28"/>
          <w:szCs w:val="28"/>
          <w:rtl/>
        </w:rPr>
        <w:t xml:space="preserve">من شعراء السلطان محمد تغلق شاه (725- 730) و غیره من ملوک الهند بدهلی و تلقب بفخر الزمان و مات هناک و دیوانه فی ألفی بیت کما ذکره فی (مع- ج 1- ص 169) و (هفت) و جمع دیوانه بنفسه فی (745) و قال فی تاریخه:</w:t>
      </w:r>
    </w:p>
    <w:p>
      <w:pPr>
        <w:pStyle w:val="BookText"/>
      </w:pPr>
      <w:r>
        <w:rPr>
          <w:rFonts w:ascii="IRNazanin" w:hAnsi="IRNazanin" w:eastAsia="IRNazanin" w:cs="IRNazanin"/>
          <w:lang w:bidi="fa-IR"/>
          <w:color w:val="111111"/>
          <w:sz w:val="28"/>
          <w:szCs w:val="28"/>
          <w:rtl/>
        </w:rPr>
        <w:t xml:space="preserve">سال تاریخ عرب دولت شه بود بعقد</w:t>
      </w:r>
    </w:p>
    <w:p>
      <w:pPr>
        <w:pStyle w:val="BookText"/>
      </w:pPr>
      <w:r>
        <w:rPr>
          <w:rFonts w:ascii="IRNazanin" w:hAnsi="IRNazanin" w:eastAsia="IRNazanin" w:cs="IRNazanin"/>
          <w:lang w:bidi="fa-IR"/>
          <w:color w:val="111111"/>
          <w:sz w:val="28"/>
          <w:szCs w:val="28"/>
          <w:rtl/>
        </w:rPr>
        <w:t xml:space="preserve">کاسمان عقد گهرهای مرا داد نظام‏</w:t>
      </w:r>
    </w:p>
    <w:p>
      <w:pPr>
        <w:pStyle w:val="BookText"/>
      </w:pPr>
      <w:r>
        <w:rPr>
          <w:rFonts w:ascii="IRNazanin" w:hAnsi="IRNazanin" w:eastAsia="IRNazanin" w:cs="IRNazanin"/>
          <w:lang w:bidi="fa-IR"/>
          <w:color w:val="111111"/>
          <w:sz w:val="28"/>
          <w:szCs w:val="28"/>
          <w:rtl/>
        </w:rPr>
        <w:t xml:space="preserve">نسخه مصححة منه عند (فخر الدین) و نسخه بمکتبة (المجلس) کما فی فهرسها (3: 237) و طبع قصائده بنولکشور. و شرح قصائده مولانا غیاث الدین. و تخلصه فی غزله بدر چاچ و اشتبه فی تذکره خوش‏گو بینه و بین بدر جاجرمی.</w:t>
      </w:r>
    </w:p>
    <w:p>
      <w:pPr>
        <w:pStyle w:val="Heading3"/>
      </w:pPr>
      <w:bookmarkStart w:id="2280" w:name="_Toc976"/>
      <w:r>
        <w:t>793- دیوان بدر الدین الفارسی أو شعره‏</w:t>
      </w:r>
      <w:bookmarkEnd w:id="2280"/>
    </w:p>
    <w:p>
      <w:pPr>
        <w:pStyle w:val="BookText"/>
      </w:pPr>
      <w:r>
        <w:rPr>
          <w:rFonts w:ascii="IRNazanin" w:hAnsi="IRNazanin" w:eastAsia="IRNazanin" w:cs="IRNazanin"/>
          <w:lang w:bidi="fa-IR"/>
          <w:color w:val="111111"/>
          <w:sz w:val="28"/>
          <w:szCs w:val="28"/>
          <w:rtl/>
        </w:rPr>
        <w:t xml:space="preserve">أورد فی (مع- ج 1- ص 169) أشعاره‏ .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28" w:name="pg11704_121605"/>
    <w:bookmarkEnd w:id="128"/>
    <w:p>
      <w:pPr>
        <w:pStyle w:val="BookText"/>
      </w:pPr>
      <w:r>
        <w:rPr>
          <w:rFonts w:ascii="IRNazanin" w:hAnsi="IRNazanin" w:eastAsia="IRNazanin" w:cs="IRNazanin"/>
          <w:lang w:bidi="fa-IR"/>
          <w:color w:val="111111"/>
          <w:sz w:val="28"/>
          <w:szCs w:val="28"/>
          <w:rtl/>
        </w:rPr>
        <w:t xml:space="preserve">فی وصف السیف و کذا فی (هفت- ص 232) لأمین أحمد الرازی المؤلف فی (1002).</w:t>
      </w:r>
    </w:p>
    <w:p>
      <w:pPr>
        <w:pStyle w:val="Heading3"/>
      </w:pPr>
      <w:bookmarkStart w:id="2281" w:name="_Toc977"/>
      <w:r>
        <w:t>794- دیوان بدر الدین عبد الرحمن أو شعره‏</w:t>
      </w:r>
      <w:bookmarkEnd w:id="2281"/>
    </w:p>
    <w:p>
      <w:pPr>
        <w:pStyle w:val="BookText"/>
      </w:pPr>
      <w:r>
        <w:rPr>
          <w:rFonts w:ascii="IRNazanin" w:hAnsi="IRNazanin" w:eastAsia="IRNazanin" w:cs="IRNazanin"/>
          <w:lang w:bidi="fa-IR"/>
          <w:color w:val="111111"/>
          <w:sz w:val="28"/>
          <w:szCs w:val="28"/>
          <w:rtl/>
        </w:rPr>
        <w:t xml:space="preserve">المسجف الکنانی الشاعر الهجاء المتوفی (583) قال فی مطر مطرت یوم عاشوراء:</w:t>
      </w:r>
    </w:p>
    <w:p>
      <w:pPr>
        <w:pStyle w:val="BookText"/>
      </w:pPr>
      <w:r>
        <w:rPr>
          <w:rFonts w:ascii="IRNazanin" w:hAnsi="IRNazanin" w:eastAsia="IRNazanin" w:cs="IRNazanin"/>
          <w:lang w:bidi="fa-IR"/>
          <w:color w:val="111111"/>
          <w:sz w:val="28"/>
          <w:szCs w:val="28"/>
          <w:rtl/>
        </w:rPr>
        <w:t xml:space="preserve">و الله ما جاء الغمام و انما</w:t>
      </w:r>
    </w:p>
    <w:p>
      <w:pPr>
        <w:pStyle w:val="BookText"/>
      </w:pPr>
      <w:r>
        <w:rPr>
          <w:rFonts w:ascii="IRNazanin" w:hAnsi="IRNazanin" w:eastAsia="IRNazanin" w:cs="IRNazanin"/>
          <w:lang w:bidi="fa-IR"/>
          <w:color w:val="111111"/>
          <w:sz w:val="28"/>
          <w:szCs w:val="28"/>
          <w:rtl/>
        </w:rPr>
        <w:t xml:space="preserve">بکت السما لزوال آل محمد</w:t>
      </w:r>
    </w:p>
    <w:p>
      <w:pPr>
        <w:pStyle w:val="BookText"/>
      </w:pPr>
      <w:r>
        <w:rPr>
          <w:rFonts w:ascii="IRNazanin" w:hAnsi="IRNazanin" w:eastAsia="IRNazanin" w:cs="IRNazanin"/>
          <w:lang w:bidi="fa-IR"/>
          <w:color w:val="111111"/>
          <w:sz w:val="28"/>
          <w:szCs w:val="28"/>
          <w:rtl/>
        </w:rPr>
        <w:t xml:space="preserve">ترجمه فی قاموس الأعلام الترکیة.</w:t>
      </w:r>
    </w:p>
    <w:p>
      <w:pPr>
        <w:pStyle w:val="Heading3"/>
      </w:pPr>
      <w:bookmarkStart w:id="2282" w:name="_Toc978"/>
      <w:r>
        <w:t>795- دیوان بدر الدین الکرمانی‏</w:t>
      </w:r>
      <w:bookmarkEnd w:id="2282"/>
    </w:p>
    <w:p>
      <w:pPr>
        <w:pStyle w:val="BookText"/>
      </w:pPr>
      <w:r>
        <w:rPr>
          <w:rFonts w:ascii="IRNazanin" w:hAnsi="IRNazanin" w:eastAsia="IRNazanin" w:cs="IRNazanin"/>
          <w:lang w:bidi="fa-IR"/>
          <w:color w:val="111111"/>
          <w:sz w:val="28"/>
          <w:szCs w:val="28"/>
          <w:rtl/>
        </w:rPr>
        <w:t xml:space="preserve">نقل فی (مع- ج 1- ص 169) بعض أشعاره عن تذکره العرفات لتقی الدین الأوحدی و کذا فی (تغ- 25).</w:t>
      </w:r>
    </w:p>
    <w:p>
      <w:pPr>
        <w:pStyle w:val="Heading3"/>
      </w:pPr>
      <w:bookmarkStart w:id="2283" w:name="_Toc979"/>
      <w:r>
        <w:t>796- دیوان بدر شاکر السباب‏</w:t>
      </w:r>
      <w:bookmarkEnd w:id="2283"/>
    </w:p>
    <w:p>
      <w:pPr>
        <w:pStyle w:val="BookText"/>
      </w:pPr>
      <w:r>
        <w:rPr>
          <w:rFonts w:ascii="IRNazanin" w:hAnsi="IRNazanin" w:eastAsia="IRNazanin" w:cs="IRNazanin"/>
          <w:lang w:bidi="fa-IR"/>
          <w:color w:val="111111"/>
          <w:sz w:val="28"/>
          <w:szCs w:val="28"/>
          <w:rtl/>
        </w:rPr>
        <w:t xml:space="preserve">المسمی بالأساطیر طبع بالغری (1369) فی (93 ص) من منشورات دار البیان، و له دیوان آخر اسمه زئیر العاصفة و فی الأساطیر خطاب إلی یزید فی (ص 85) و هو تفجع علی الإمام الشهید.</w:t>
      </w:r>
    </w:p>
    <w:p>
      <w:pPr>
        <w:pStyle w:val="Heading3"/>
      </w:pPr>
      <w:bookmarkStart w:id="2284" w:name="_Toc980"/>
      <w:r>
        <w:t>797- دیوان بدر شیروانی أو شعره‏</w:t>
      </w:r>
      <w:bookmarkEnd w:id="2284"/>
    </w:p>
    <w:p>
      <w:pPr>
        <w:pStyle w:val="BookText"/>
      </w:pPr>
      <w:r>
        <w:rPr>
          <w:rFonts w:ascii="IRNazanin" w:hAnsi="IRNazanin" w:eastAsia="IRNazanin" w:cs="IRNazanin"/>
          <w:lang w:bidi="fa-IR"/>
          <w:color w:val="111111"/>
          <w:sz w:val="28"/>
          <w:szCs w:val="28"/>
          <w:rtl/>
        </w:rPr>
        <w:t xml:space="preserve">ترجمه فی (لت 6) و عنه (براون ج 3 ص 548) و أورد شعره و قال لاقی کاتبی و ناظره فی شیروان.</w:t>
      </w:r>
    </w:p>
    <w:p>
      <w:pPr>
        <w:pStyle w:val="Heading3"/>
      </w:pPr>
      <w:bookmarkStart w:id="2285" w:name="_Toc981"/>
      <w:r>
        <w:t>798- دیوان بدر هروی أو شعره‏</w:t>
      </w:r>
      <w:bookmarkEnd w:id="2285"/>
    </w:p>
    <w:p>
      <w:pPr>
        <w:pStyle w:val="BookText"/>
      </w:pPr>
      <w:r>
        <w:rPr>
          <w:rFonts w:ascii="IRNazanin" w:hAnsi="IRNazanin" w:eastAsia="IRNazanin" w:cs="IRNazanin"/>
          <w:lang w:bidi="fa-IR"/>
          <w:color w:val="111111"/>
          <w:sz w:val="28"/>
          <w:szCs w:val="28"/>
          <w:rtl/>
        </w:rPr>
        <w:t xml:space="preserve">هو الإمام بدر الدین بن نور الدین. کان معاصرا لمؤلف لباب الألباب فذکره فی (ج 1- ص 250) و عنه فی (تغ- ص 25).</w:t>
      </w:r>
    </w:p>
    <w:p>
      <w:pPr>
        <w:pStyle w:val="Heading3"/>
      </w:pPr>
      <w:bookmarkStart w:id="2286" w:name="_Toc982"/>
      <w:r>
        <w:t>دیوان بدری أو شعره‏</w:t>
      </w:r>
      <w:bookmarkEnd w:id="2286"/>
    </w:p>
    <w:p>
      <w:pPr>
        <w:pStyle w:val="BookText"/>
      </w:pPr>
      <w:r>
        <w:rPr>
          <w:rFonts w:ascii="IRNazanin" w:hAnsi="IRNazanin" w:eastAsia="IRNazanin" w:cs="IRNazanin"/>
          <w:lang w:bidi="fa-IR"/>
          <w:color w:val="111111"/>
          <w:sz w:val="28"/>
          <w:szCs w:val="28"/>
          <w:rtl/>
        </w:rPr>
        <w:t xml:space="preserve">ذکره عبد الجلیل القزوینی فی عداد شعراء الشیعة فی (کتاب النقض- ص 239) و أظنه أحد البدور المذکورین.</w:t>
      </w:r>
    </w:p>
    <w:p>
      <w:pPr>
        <w:pStyle w:val="Heading3"/>
      </w:pPr>
      <w:bookmarkStart w:id="2287" w:name="_Toc983"/>
      <w:r>
        <w:t>799- دیوان بدیع‏</w:t>
      </w:r>
      <w:bookmarkEnd w:id="2287"/>
    </w:p>
    <w:p>
      <w:pPr>
        <w:pStyle w:val="BookText"/>
      </w:pPr>
      <w:r>
        <w:rPr>
          <w:rFonts w:ascii="IRNazanin" w:hAnsi="IRNazanin" w:eastAsia="IRNazanin" w:cs="IRNazanin"/>
          <w:lang w:bidi="fa-IR"/>
          <w:color w:val="111111"/>
          <w:sz w:val="28"/>
          <w:szCs w:val="28"/>
          <w:rtl/>
        </w:rPr>
        <w:t xml:space="preserve">هو محمد حسن بن ملا رضا خان نصرة الوزارة، صاحب داستان باستان المذکور. ترجمه مفصلا فی مجلة أرمغان (ج 21 ص 147). و یشتمل الدیوان علی القصائد و المسمطات و الغزل و غیرها. ط بمبئی 1332.</w:t>
      </w:r>
    </w:p>
    <w:p>
      <w:pPr>
        <w:pStyle w:val="Heading3"/>
      </w:pPr>
      <w:bookmarkStart w:id="2288" w:name="_Toc984"/>
      <w:r>
        <w:t>800- دیوان بدیعا تبریزی‏</w:t>
      </w:r>
      <w:bookmarkEnd w:id="2288"/>
    </w:p>
    <w:p>
      <w:pPr>
        <w:pStyle w:val="BookText"/>
      </w:pPr>
      <w:r>
        <w:rPr>
          <w:rFonts w:ascii="IRNazanin" w:hAnsi="IRNazanin" w:eastAsia="IRNazanin" w:cs="IRNazanin"/>
          <w:lang w:bidi="fa-IR"/>
          <w:color w:val="111111"/>
          <w:sz w:val="28"/>
          <w:szCs w:val="28"/>
          <w:rtl/>
        </w:rPr>
        <w:t xml:space="preserve">هو بدیع الزمان بن علی رضا عباسی الخطاط الشاعر الأدیب أخذ الخط عن أبیه، و تخلص فی شعره بدیعا مات فی شبابه و کان حیا إلی (1035) توجد خطه فی المکتبة الشاهیة بطهران کما فی فهرسها (ص 147).</w:t>
      </w:r>
    </w:p>
    <w:p>
      <w:pPr>
        <w:pStyle w:val="Heading3"/>
      </w:pPr>
      <w:bookmarkStart w:id="2289" w:name="_Toc985"/>
      <w:r>
        <w:t>801- دیوان بدیعا خشگه أو شعره‏</w:t>
      </w:r>
      <w:bookmarkEnd w:id="2289"/>
    </w:p>
    <w:p>
      <w:pPr>
        <w:pStyle w:val="BookText"/>
      </w:pPr>
      <w:r>
        <w:rPr>
          <w:rFonts w:ascii="IRNazanin" w:hAnsi="IRNazanin" w:eastAsia="IRNazanin" w:cs="IRNazanin"/>
          <w:lang w:bidi="fa-IR"/>
          <w:color w:val="111111"/>
          <w:sz w:val="28"/>
          <w:szCs w:val="28"/>
          <w:rtl/>
        </w:rPr>
        <w:t xml:space="preserve">من شعراء خشگه من محال یزد. سکن أصفهان.</w:t>
      </w:r>
    </w:p>
    <w:p>
      <w:pPr>
        <w:pStyle w:val="BookText"/>
      </w:pPr>
      <w:r>
        <w:rPr>
          <w:rFonts w:ascii="IRNazanin" w:hAnsi="IRNazanin" w:eastAsia="IRNazanin" w:cs="IRNazanin"/>
          <w:lang w:bidi="fa-IR"/>
          <w:color w:val="111111"/>
          <w:sz w:val="28"/>
          <w:szCs w:val="28"/>
          <w:rtl/>
        </w:rPr>
        <w:t xml:space="preserve">کذا فی (نر 9- ص 353).</w:t>
      </w:r>
    </w:p>
    <w:p>
      <w:pPr>
        <w:pStyle w:val="Heading3"/>
      </w:pPr>
      <w:bookmarkStart w:id="2290" w:name="_Toc986"/>
      <w:r>
        <w:t>802- دیوان بدیع أردستانی أو شعره‏</w:t>
      </w:r>
      <w:bookmarkEnd w:id="2290"/>
    </w:p>
    <w:p>
      <w:pPr>
        <w:pStyle w:val="BookText"/>
      </w:pPr>
      <w:r>
        <w:rPr>
          <w:rFonts w:ascii="IRNazanin" w:hAnsi="IRNazanin" w:eastAsia="IRNazanin" w:cs="IRNazanin"/>
          <w:lang w:bidi="fa-IR"/>
          <w:color w:val="111111"/>
          <w:sz w:val="28"/>
          <w:szCs w:val="28"/>
          <w:rtl/>
        </w:rPr>
        <w:t xml:space="preserve">هو ابن القاضی شمس الدین. سکن أصفهان فی‏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29" w:name="pg11704_121606"/>
    <w:bookmarkEnd w:id="129"/>
    <w:p>
      <w:pPr>
        <w:pStyle w:val="BookText"/>
      </w:pPr>
      <w:r>
        <w:rPr>
          <w:rFonts w:ascii="IRNazanin" w:hAnsi="IRNazanin" w:eastAsia="IRNazanin" w:cs="IRNazanin"/>
          <w:lang w:bidi="fa-IR"/>
          <w:color w:val="111111"/>
          <w:sz w:val="28"/>
          <w:szCs w:val="28"/>
          <w:rtl/>
        </w:rPr>
        <w:t xml:space="preserve">عهد الشاه عباس الأول الصفوی. کذا فی (تغ- ص 26).</w:t>
      </w:r>
    </w:p>
    <w:p>
      <w:pPr>
        <w:pStyle w:val="Heading3"/>
      </w:pPr>
      <w:bookmarkStart w:id="2291" w:name="_Toc987"/>
      <w:r>
        <w:t>803- دیوان بدیع الأسطرلابی‏</w:t>
      </w:r>
      <w:bookmarkEnd w:id="2291"/>
    </w:p>
    <w:p>
      <w:pPr>
        <w:pStyle w:val="BookText"/>
      </w:pPr>
      <w:r>
        <w:rPr>
          <w:rFonts w:ascii="IRNazanin" w:hAnsi="IRNazanin" w:eastAsia="IRNazanin" w:cs="IRNazanin"/>
          <w:lang w:bidi="fa-IR"/>
          <w:color w:val="111111"/>
          <w:sz w:val="28"/>
          <w:szCs w:val="28"/>
          <w:rtl/>
        </w:rPr>
        <w:t xml:space="preserve">هو أبو القاسم هبة الله بن الحسین مؤلف درة التاج فی شعر ابن الحجاج قال فی (کفظ- ج 1 ص 504) إنه کان یستعمل المجون فی أشعاره حتی یفضی إلی الفاحش فی اللفظ. ترجمه فی (جما- 19: 273) و ابن خلکان و غیرهما.</w:t>
      </w:r>
    </w:p>
    <w:p>
      <w:pPr>
        <w:pStyle w:val="Heading3"/>
      </w:pPr>
      <w:bookmarkStart w:id="2292" w:name="_Toc988"/>
      <w:r>
        <w:t>804- دیوان بدیع أنجدانی أو شعره‏</w:t>
      </w:r>
      <w:bookmarkEnd w:id="2292"/>
    </w:p>
    <w:p>
      <w:pPr>
        <w:pStyle w:val="BookText"/>
      </w:pPr>
      <w:r>
        <w:rPr>
          <w:rFonts w:ascii="IRNazanin" w:hAnsi="IRNazanin" w:eastAsia="IRNazanin" w:cs="IRNazanin"/>
          <w:lang w:bidi="fa-IR"/>
          <w:color w:val="111111"/>
          <w:sz w:val="28"/>
          <w:szCs w:val="28"/>
          <w:rtl/>
        </w:rPr>
        <w:t xml:space="preserve">هو بدیع الدین أتابک معاصر رشید الوطواط و السلطان سنجر. ذکره فی (تغ- ص 26) و سماه فی (روشن- 91) ببدیع کاتب‏</w:t>
      </w:r>
    </w:p>
    <w:p>
      <w:pPr>
        <w:pStyle w:val="Heading3"/>
      </w:pPr>
      <w:bookmarkStart w:id="2293" w:name="_Toc989"/>
      <w:r>
        <w:t>805- دیوان بدیع الزمان أکبرآبادی أو شعره‏</w:t>
      </w:r>
      <w:bookmarkEnd w:id="2293"/>
    </w:p>
    <w:p>
      <w:pPr>
        <w:pStyle w:val="BookText"/>
      </w:pPr>
      <w:r>
        <w:rPr>
          <w:rFonts w:ascii="IRNazanin" w:hAnsi="IRNazanin" w:eastAsia="IRNazanin" w:cs="IRNazanin"/>
          <w:lang w:bidi="fa-IR"/>
          <w:color w:val="111111"/>
          <w:sz w:val="28"/>
          <w:szCs w:val="28"/>
          <w:rtl/>
        </w:rPr>
        <w:t xml:space="preserve">ترجمه و أورد شعره واله داغستانی فی ریاض الشعراء و عنه فی (گلشن).</w:t>
      </w:r>
    </w:p>
    <w:p>
      <w:pPr>
        <w:pStyle w:val="Heading3"/>
      </w:pPr>
      <w:bookmarkStart w:id="2294" w:name="_Toc990"/>
      <w:r>
        <w:t>806- دیوان بدیع الزمان سبزواری أو شعره‏</w:t>
      </w:r>
      <w:bookmarkEnd w:id="2294"/>
    </w:p>
    <w:p>
      <w:pPr>
        <w:pStyle w:val="BookText"/>
      </w:pPr>
      <w:r>
        <w:rPr>
          <w:rFonts w:ascii="IRNazanin" w:hAnsi="IRNazanin" w:eastAsia="IRNazanin" w:cs="IRNazanin"/>
          <w:lang w:bidi="fa-IR"/>
          <w:color w:val="111111"/>
          <w:sz w:val="28"/>
          <w:szCs w:val="28"/>
          <w:rtl/>
        </w:rPr>
        <w:t xml:space="preserve">ترجمه و أورد شعره بهذا العنوان فی (تش- ص 78) و فی (گلشن) بعنوان بدیع سبزواری و قال فی (تغ- ص 25) مات فی عهد الشاه سلیمان الصفوی، و قال فی (نر 5- ص 101) إنه من أولاد کلانتر سبزوار و من ساداتها و تخبط أخیرا بأصفهان فرجع إلی سبزوار</w:t>
      </w:r>
    </w:p>
    <w:p>
      <w:pPr>
        <w:pStyle w:val="Heading3"/>
      </w:pPr>
      <w:bookmarkStart w:id="2295" w:name="_Toc991"/>
      <w:r>
        <w:t>دیوان بدیع الزمان میرزا الصفوی‏</w:t>
      </w:r>
      <w:bookmarkEnd w:id="2295"/>
    </w:p>
    <w:p>
      <w:pPr>
        <w:pStyle w:val="BookText"/>
      </w:pPr>
      <w:r>
        <w:rPr>
          <w:rFonts w:ascii="IRNazanin" w:hAnsi="IRNazanin" w:eastAsia="IRNazanin" w:cs="IRNazanin"/>
          <w:lang w:bidi="fa-IR"/>
          <w:color w:val="111111"/>
          <w:sz w:val="28"/>
          <w:szCs w:val="28"/>
          <w:rtl/>
        </w:rPr>
        <w:t xml:space="preserve">یأتی بتخلصه بدیعی صفوی‏</w:t>
      </w:r>
    </w:p>
    <w:p>
      <w:pPr>
        <w:pStyle w:val="Heading3"/>
      </w:pPr>
      <w:bookmarkStart w:id="2296" w:name="_Toc992"/>
      <w:r>
        <w:t>807- دیوان بدیع الزمان میرزا أو شعره‏</w:t>
      </w:r>
      <w:bookmarkEnd w:id="2296"/>
    </w:p>
    <w:p>
      <w:pPr>
        <w:pStyle w:val="BookText"/>
      </w:pPr>
      <w:r>
        <w:rPr>
          <w:rFonts w:ascii="IRNazanin" w:hAnsi="IRNazanin" w:eastAsia="IRNazanin" w:cs="IRNazanin"/>
          <w:lang w:bidi="fa-IR"/>
          <w:color w:val="111111"/>
          <w:sz w:val="28"/>
          <w:szCs w:val="28"/>
          <w:rtl/>
        </w:rPr>
        <w:t xml:space="preserve">و هو ابن السلطان حسین میرزا بایقرا نازع أخاه مظفر حسین و محمد أزبک الشیبانی فی الملک فی (913) فانهزم و استجار بالشاه إسماعیل و سافر إلی الهند و رجع إلی تبریز و بعد سقوط تبریز بید آل عثمان أخذوه إلی إستانبول و بقی هناک أربعة عشر شهرا عند السلطان سلیم إلی أن مات فی (921) بالطاعون، و أما ولده محمد مؤمن الشاعر أیضا فبقی فی هرات و نازع عمه المذکور و انکسر منه فقتله عمه، و رثاه والده بدیع الزمان بقصیدة قال فیه:</w:t>
      </w:r>
    </w:p>
    <w:p>
      <w:pPr>
        <w:pStyle w:val="BookText"/>
      </w:pPr>
      <w:r>
        <w:rPr>
          <w:rFonts w:ascii="IRNazanin" w:hAnsi="IRNazanin" w:eastAsia="IRNazanin" w:cs="IRNazanin"/>
          <w:lang w:bidi="fa-IR"/>
          <w:color w:val="111111"/>
          <w:sz w:val="28"/>
          <w:szCs w:val="28"/>
          <w:rtl/>
        </w:rPr>
        <w:t xml:space="preserve">وزیدی ای صبا برهم زدی گلهای رعنا را</w:t>
      </w:r>
    </w:p>
    <w:p>
      <w:pPr>
        <w:pStyle w:val="BookText"/>
      </w:pPr>
      <w:r>
        <w:rPr>
          <w:rFonts w:ascii="IRNazanin" w:hAnsi="IRNazanin" w:eastAsia="IRNazanin" w:cs="IRNazanin"/>
          <w:lang w:bidi="fa-IR"/>
          <w:color w:val="111111"/>
          <w:sz w:val="28"/>
          <w:szCs w:val="28"/>
          <w:rtl/>
        </w:rPr>
        <w:t xml:space="preserve">شکستی زان میان شاخ گل نورسته ما را</w:t>
      </w:r>
    </w:p>
    <w:p>
      <w:pPr>
        <w:pStyle w:val="BookText"/>
      </w:pPr>
      <w:r>
        <w:rPr>
          <w:rFonts w:ascii="IRNazanin" w:hAnsi="IRNazanin" w:eastAsia="IRNazanin" w:cs="IRNazanin"/>
          <w:lang w:bidi="fa-IR"/>
          <w:color w:val="111111"/>
          <w:sz w:val="28"/>
          <w:szCs w:val="28"/>
          <w:rtl/>
        </w:rPr>
        <w:t xml:space="preserve">ترجمه فی (مجن 7- ص 127 و 315) و فی (تش- ص 10) و فی (تس 1- ص 12)</w:t>
      </w:r>
    </w:p>
    <w:p>
      <w:pPr>
        <w:pStyle w:val="Heading3"/>
      </w:pPr>
      <w:bookmarkStart w:id="2297" w:name="_Toc993"/>
      <w:r>
        <w:t>808- دیوان بدیع الزمان نصرآبادی أو شعره‏</w:t>
      </w:r>
      <w:bookmarkEnd w:id="2297"/>
    </w:p>
    <w:p>
      <w:pPr>
        <w:pStyle w:val="BookText"/>
      </w:pPr>
      <w:r>
        <w:rPr>
          <w:rFonts w:ascii="IRNazanin" w:hAnsi="IRNazanin" w:eastAsia="IRNazanin" w:cs="IRNazanin"/>
          <w:lang w:bidi="fa-IR"/>
          <w:color w:val="111111"/>
          <w:sz w:val="28"/>
          <w:szCs w:val="28"/>
          <w:rtl/>
        </w:rPr>
        <w:t xml:space="preserve">هو ابن محمد طاهر صاحب تذکره نصرآبادی قال فی (تغ) إنه مات (1121) و له قصیدة کل بیت منه تاریخ لعمارة چهل ستون بأصفهان فالمصرع الأول تاریخ شروع البناء و المصراع الثانی تاریخ لختم البناء و لقبه الشاه سلطان حسین بملک الشعراء و ترجمه والده فی (نر 12- ص 455)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30" w:name="pg11704_121607"/>
    <w:bookmarkEnd w:id="130"/>
    <w:p>
      <w:pPr>
        <w:pStyle w:val="Heading3"/>
      </w:pPr>
      <w:bookmarkStart w:id="2298" w:name="_Toc994"/>
      <w:r>
        <w:t>809- دیوان بدیع الزمان نطنزی أو شعره‏</w:t>
      </w:r>
      <w:bookmarkEnd w:id="2298"/>
    </w:p>
    <w:p>
      <w:pPr>
        <w:pStyle w:val="BookText"/>
      </w:pPr>
      <w:r>
        <w:rPr>
          <w:rFonts w:ascii="IRNazanin" w:hAnsi="IRNazanin" w:eastAsia="IRNazanin" w:cs="IRNazanin"/>
          <w:lang w:bidi="fa-IR"/>
          <w:color w:val="111111"/>
          <w:sz w:val="28"/>
          <w:szCs w:val="28"/>
          <w:rtl/>
        </w:rPr>
        <w:t xml:space="preserve">ذو اللسانین بدیع الزمان أبو عبد الله حسین ابن إبراهیم النطنزی المتوفی (497) صاحب دستور اللغة المسمی بالخلاص المذکور فی (ج 8- ص 165) کان ینظم بالفارسیة و العربیة أورد بعض شعره فی البغیة و توجد کثیر من شعره الفارسی و العربی فی کتابه دستور اللغة</w:t>
      </w:r>
    </w:p>
    <w:p>
      <w:pPr>
        <w:pStyle w:val="Heading3"/>
      </w:pPr>
      <w:bookmarkStart w:id="2299" w:name="_Toc995"/>
      <w:r>
        <w:t>810- دیوان بدیع الزمان الهمدانی‏</w:t>
      </w:r>
      <w:bookmarkEnd w:id="2299"/>
    </w:p>
    <w:p>
      <w:pPr>
        <w:pStyle w:val="BookText"/>
      </w:pPr>
      <w:r>
        <w:rPr>
          <w:rFonts w:ascii="IRNazanin" w:hAnsi="IRNazanin" w:eastAsia="IRNazanin" w:cs="IRNazanin"/>
          <w:lang w:bidi="fa-IR"/>
          <w:color w:val="111111"/>
          <w:sz w:val="28"/>
          <w:szCs w:val="28"/>
          <w:rtl/>
        </w:rPr>
        <w:t xml:space="preserve">هو أبو الفضل أحمد بن الحسین بن یحیی المتوفی (398) کما أرخه فی أمل الآمل و هو صاحب المقامات الذی نسج الحریری مقاماته علی منواله و قد طبع هذا الدیوان بمصر فی (1321)</w:t>
      </w:r>
    </w:p>
    <w:p>
      <w:pPr>
        <w:pStyle w:val="Heading3"/>
      </w:pPr>
      <w:bookmarkStart w:id="2300" w:name="_Toc996"/>
      <w:r>
        <w:t>دیوان بدیع سبزواری‏</w:t>
      </w:r>
      <w:bookmarkEnd w:id="2300"/>
    </w:p>
    <w:p>
      <w:pPr>
        <w:pStyle w:val="BookText"/>
      </w:pPr>
      <w:r>
        <w:rPr>
          <w:rFonts w:ascii="IRNazanin" w:hAnsi="IRNazanin" w:eastAsia="IRNazanin" w:cs="IRNazanin"/>
          <w:lang w:bidi="fa-IR"/>
          <w:color w:val="111111"/>
          <w:sz w:val="28"/>
          <w:szCs w:val="28"/>
          <w:rtl/>
        </w:rPr>
        <w:t xml:space="preserve">مر بعنوان بدیع الزمان سبزواری‏</w:t>
      </w:r>
    </w:p>
    <w:p>
      <w:pPr>
        <w:pStyle w:val="Heading3"/>
      </w:pPr>
      <w:bookmarkStart w:id="2301" w:name="_Toc997"/>
      <w:r>
        <w:t>811- دیوان بدیع سمرقندی أو شعره‏</w:t>
      </w:r>
      <w:bookmarkEnd w:id="2301"/>
    </w:p>
    <w:p>
      <w:pPr>
        <w:pStyle w:val="BookText"/>
      </w:pPr>
      <w:r>
        <w:rPr>
          <w:rFonts w:ascii="IRNazanin" w:hAnsi="IRNazanin" w:eastAsia="IRNazanin" w:cs="IRNazanin"/>
          <w:lang w:bidi="fa-IR"/>
          <w:color w:val="111111"/>
          <w:sz w:val="28"/>
          <w:szCs w:val="28"/>
          <w:rtl/>
        </w:rPr>
        <w:t xml:space="preserve">من أکابر سمرقند و کان فی خدمة سبحان قلی خان، و مات قبل هذا کذا فی (نر 10- ص 442) و عنه فی (گلشن)</w:t>
      </w:r>
    </w:p>
    <w:p>
      <w:pPr>
        <w:pStyle w:val="Heading3"/>
      </w:pPr>
      <w:bookmarkStart w:id="2302" w:name="_Toc998"/>
      <w:r>
        <w:t>دیوان بدیع سمرقندی‏</w:t>
      </w:r>
      <w:bookmarkEnd w:id="2302"/>
    </w:p>
    <w:p>
      <w:pPr>
        <w:pStyle w:val="BookText"/>
      </w:pPr>
      <w:r>
        <w:rPr>
          <w:rFonts w:ascii="IRNazanin" w:hAnsi="IRNazanin" w:eastAsia="IRNazanin" w:cs="IRNazanin"/>
          <w:lang w:bidi="fa-IR"/>
          <w:color w:val="111111"/>
          <w:sz w:val="28"/>
          <w:szCs w:val="28"/>
          <w:rtl/>
        </w:rPr>
        <w:t xml:space="preserve">یأتی بتخلصه ملیح‏</w:t>
      </w:r>
    </w:p>
    <w:p>
      <w:pPr>
        <w:pStyle w:val="Heading3"/>
      </w:pPr>
      <w:bookmarkStart w:id="2303" w:name="_Toc999"/>
      <w:r>
        <w:t>812- دیوان بدیع سیستانی أو شعره‏</w:t>
      </w:r>
      <w:bookmarkEnd w:id="2303"/>
    </w:p>
    <w:p>
      <w:pPr>
        <w:pStyle w:val="BookText"/>
      </w:pPr>
      <w:r>
        <w:rPr>
          <w:rFonts w:ascii="IRNazanin" w:hAnsi="IRNazanin" w:eastAsia="IRNazanin" w:cs="IRNazanin"/>
          <w:lang w:bidi="fa-IR"/>
          <w:color w:val="111111"/>
          <w:sz w:val="28"/>
          <w:szCs w:val="28"/>
          <w:rtl/>
        </w:rPr>
        <w:t xml:space="preserve">هو بدیع الدین ترکو السیستانی أورد شعره بهذا العنوان فی (گلشن) و سماه فی (روشن- 92) ببدیع الدین تونی بن القاضی سلطان‏</w:t>
      </w:r>
    </w:p>
    <w:p>
      <w:pPr>
        <w:pStyle w:val="Heading3"/>
      </w:pPr>
      <w:bookmarkStart w:id="2304" w:name="_Toc1000"/>
      <w:r>
        <w:t>813- دیوان بدیع شیرازی أو شعره‏</w:t>
      </w:r>
      <w:bookmarkEnd w:id="2304"/>
    </w:p>
    <w:p>
      <w:pPr>
        <w:pStyle w:val="BookText"/>
      </w:pPr>
      <w:r>
        <w:rPr>
          <w:rFonts w:ascii="IRNazanin" w:hAnsi="IRNazanin" w:eastAsia="IRNazanin" w:cs="IRNazanin"/>
          <w:lang w:bidi="fa-IR"/>
          <w:color w:val="111111"/>
          <w:sz w:val="28"/>
          <w:szCs w:val="28"/>
          <w:rtl/>
        </w:rPr>
        <w:t xml:space="preserve">هو المیرزا فتح الله من سادات شیراز و توفی بطهران فی (1298) ترجمه فی (عم- ص 554) و عنه فی ریحانة الأدب‏</w:t>
      </w:r>
    </w:p>
    <w:p>
      <w:pPr>
        <w:pStyle w:val="Heading3"/>
      </w:pPr>
      <w:bookmarkStart w:id="2305" w:name="_Toc1001"/>
      <w:r>
        <w:t>814- دیوان بدیعی أو شعره‏</w:t>
      </w:r>
      <w:bookmarkEnd w:id="2305"/>
    </w:p>
    <w:p>
      <w:pPr>
        <w:pStyle w:val="BookText"/>
      </w:pPr>
      <w:r>
        <w:rPr>
          <w:rFonts w:ascii="IRNazanin" w:hAnsi="IRNazanin" w:eastAsia="IRNazanin" w:cs="IRNazanin"/>
          <w:lang w:bidi="fa-IR"/>
          <w:color w:val="111111"/>
          <w:sz w:val="28"/>
          <w:szCs w:val="28"/>
          <w:rtl/>
        </w:rPr>
        <w:t xml:space="preserve">ذکره عبد الجلیل القزوینی فی عداد شعراء الشیعة فی کتابه بعض مثالب النواصب المعروف ب (النقض- ص 239)</w:t>
      </w:r>
    </w:p>
    <w:p>
      <w:pPr>
        <w:pStyle w:val="Heading3"/>
      </w:pPr>
      <w:bookmarkStart w:id="2306" w:name="_Toc1002"/>
      <w:r>
        <w:t>815- دیوان بدیعی أندجانی سمرقندی‏</w:t>
      </w:r>
      <w:bookmarkEnd w:id="2306"/>
    </w:p>
    <w:p>
      <w:pPr>
        <w:pStyle w:val="BookText"/>
      </w:pPr>
      <w:r>
        <w:rPr>
          <w:rFonts w:ascii="IRNazanin" w:hAnsi="IRNazanin" w:eastAsia="IRNazanin" w:cs="IRNazanin"/>
          <w:lang w:bidi="fa-IR"/>
          <w:color w:val="111111"/>
          <w:sz w:val="28"/>
          <w:szCs w:val="28"/>
          <w:rtl/>
        </w:rPr>
        <w:t xml:space="preserve">الملا یوسف أصله من اندجان و تلمذ فی سمرقند علی صفائی و اشتهر بملا یوسف صفائی، و کان یبغضه هذه النسبة، و تتبع قصیدة مرآة الصفا و له رسالة فی المعمی و مات بسرخس و دفن بخانقاه الشیخ لقمان ترجمه مفصلا فی (مجن 2- ص 48 و 222) قال فی (تغ- ص 26) و (روشن- 91) مات (897)</w:t>
      </w:r>
    </w:p>
    <w:p>
      <w:pPr>
        <w:pStyle w:val="Heading3"/>
      </w:pPr>
      <w:bookmarkStart w:id="2307" w:name="_Toc1003"/>
      <w:r>
        <w:t>816- دیوان بدیعی تبریزی أو شعره‏</w:t>
      </w:r>
      <w:bookmarkEnd w:id="2307"/>
    </w:p>
    <w:p>
      <w:pPr>
        <w:pStyle w:val="BookText"/>
      </w:pPr>
      <w:r>
        <w:rPr>
          <w:rFonts w:ascii="IRNazanin" w:hAnsi="IRNazanin" w:eastAsia="IRNazanin" w:cs="IRNazanin"/>
          <w:lang w:bidi="fa-IR"/>
          <w:color w:val="111111"/>
          <w:sz w:val="28"/>
          <w:szCs w:val="28"/>
          <w:rtl/>
        </w:rPr>
        <w:t xml:space="preserve">و هو الحکیم الأدیب الشاعر بالفارسیة و الترکیة المعاصر لصادقی کتاب دار ترجمه فی (خص 8- ص 260) و فی (تش 28)</w:t>
      </w:r>
    </w:p>
    <w:p>
      <w:pPr>
        <w:pStyle w:val="Heading3"/>
      </w:pPr>
      <w:bookmarkStart w:id="2308" w:name="_Toc1004"/>
      <w:r>
        <w:t>دیوان بدیعی سمرقندی‏</w:t>
      </w:r>
      <w:bookmarkEnd w:id="2308"/>
    </w:p>
    <w:p>
      <w:pPr>
        <w:pStyle w:val="BookText"/>
      </w:pPr>
      <w:r>
        <w:rPr>
          <w:rFonts w:ascii="IRNazanin" w:hAnsi="IRNazanin" w:eastAsia="IRNazanin" w:cs="IRNazanin"/>
          <w:lang w:bidi="fa-IR"/>
          <w:color w:val="111111"/>
          <w:sz w:val="28"/>
          <w:szCs w:val="28"/>
          <w:rtl/>
        </w:rPr>
        <w:t xml:space="preserve">ذکره فی (روشن- ص 92) و أظنه بدیعی اندجانی‏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31" w:name="pg11704_121608"/>
    <w:bookmarkEnd w:id="131"/>
    <w:p>
      <w:pPr>
        <w:pStyle w:val="Heading3"/>
      </w:pPr>
      <w:bookmarkStart w:id="2309" w:name="_Toc1005"/>
      <w:r>
        <w:t>817- دیوان بدیعی صفوی أو شعره‏</w:t>
      </w:r>
      <w:bookmarkEnd w:id="2309"/>
    </w:p>
    <w:p>
      <w:pPr>
        <w:pStyle w:val="BookText"/>
      </w:pPr>
      <w:r>
        <w:rPr>
          <w:rFonts w:ascii="IRNazanin" w:hAnsi="IRNazanin" w:eastAsia="IRNazanin" w:cs="IRNazanin"/>
          <w:lang w:bidi="fa-IR"/>
          <w:color w:val="111111"/>
          <w:sz w:val="28"/>
          <w:szCs w:val="28"/>
          <w:rtl/>
        </w:rPr>
        <w:t xml:space="preserve">و اسمه بدیع الزمان میرزا بن بهرام میرزا بن الشاه إسماعیل الأول الفاتح الصفوی، کان حاکم سیستان و قتل هناک بأمر الشاه إسماعیل الثانی کما فی عالم‏آرای عباسی‏</w:t>
      </w:r>
    </w:p>
    <w:p>
      <w:pPr>
        <w:pStyle w:val="Heading3"/>
      </w:pPr>
      <w:bookmarkStart w:id="2310" w:name="_Toc1006"/>
      <w:r>
        <w:t>دیوان بدیهی أصفهانی‏</w:t>
      </w:r>
      <w:bookmarkEnd w:id="2310"/>
    </w:p>
    <w:p>
      <w:pPr>
        <w:pStyle w:val="BookText"/>
      </w:pPr>
      <w:r>
        <w:rPr>
          <w:rFonts w:ascii="IRNazanin" w:hAnsi="IRNazanin" w:eastAsia="IRNazanin" w:cs="IRNazanin"/>
          <w:lang w:bidi="fa-IR"/>
          <w:color w:val="111111"/>
          <w:sz w:val="28"/>
          <w:szCs w:val="28"/>
          <w:rtl/>
        </w:rPr>
        <w:t xml:space="preserve">مر بعنوان دیوان أفندی‏</w:t>
      </w:r>
    </w:p>
    <w:p>
      <w:pPr>
        <w:pStyle w:val="Heading3"/>
      </w:pPr>
      <w:bookmarkStart w:id="2311" w:name="_Toc1007"/>
      <w:r>
        <w:t>818- دیوان بدیهی سجاوندی أو شعره‏</w:t>
      </w:r>
      <w:bookmarkEnd w:id="2311"/>
    </w:p>
    <w:p>
      <w:pPr>
        <w:pStyle w:val="BookText"/>
      </w:pPr>
      <w:r>
        <w:rPr>
          <w:rFonts w:ascii="IRNazanin" w:hAnsi="IRNazanin" w:eastAsia="IRNazanin" w:cs="IRNazanin"/>
          <w:lang w:bidi="fa-IR"/>
          <w:color w:val="111111"/>
          <w:sz w:val="28"/>
          <w:szCs w:val="28"/>
          <w:rtl/>
        </w:rPr>
        <w:t xml:space="preserve">و هو مجد الدین أحمد معاصر السلطان سنجر کان من العرفاء و ترجمه فی (ض- ص 291)</w:t>
      </w:r>
    </w:p>
    <w:p>
      <w:pPr>
        <w:pStyle w:val="Heading3"/>
      </w:pPr>
      <w:bookmarkStart w:id="2312" w:name="_Toc1008"/>
      <w:r>
        <w:t>819- دیوان بدیهی سیستانی أو شعره‏</w:t>
      </w:r>
      <w:bookmarkEnd w:id="2312"/>
    </w:p>
    <w:p>
      <w:pPr>
        <w:pStyle w:val="BookText"/>
      </w:pPr>
      <w:r>
        <w:rPr>
          <w:rFonts w:ascii="IRNazanin" w:hAnsi="IRNazanin" w:eastAsia="IRNazanin" w:cs="IRNazanin"/>
          <w:lang w:bidi="fa-IR"/>
          <w:color w:val="111111"/>
          <w:sz w:val="28"/>
          <w:szCs w:val="28"/>
          <w:rtl/>
        </w:rPr>
        <w:t xml:space="preserve">اسمه المیر عرب کذا فی (روشن- ص 92)</w:t>
      </w:r>
    </w:p>
    <w:p>
      <w:pPr>
        <w:pStyle w:val="Heading3"/>
      </w:pPr>
      <w:bookmarkStart w:id="2313" w:name="_Toc1009"/>
      <w:r>
        <w:t>820- دیوان بدیهی همدانی أو شعره‏</w:t>
      </w:r>
      <w:bookmarkEnd w:id="2313"/>
    </w:p>
    <w:p>
      <w:pPr>
        <w:pStyle w:val="BookText"/>
      </w:pPr>
      <w:r>
        <w:rPr>
          <w:rFonts w:ascii="IRNazanin" w:hAnsi="IRNazanin" w:eastAsia="IRNazanin" w:cs="IRNazanin"/>
          <w:lang w:bidi="fa-IR"/>
          <w:color w:val="111111"/>
          <w:sz w:val="28"/>
          <w:szCs w:val="28"/>
          <w:rtl/>
        </w:rPr>
        <w:t xml:space="preserve">أورد شعره فی (تس 5- 145)</w:t>
      </w:r>
    </w:p>
    <w:p>
      <w:pPr>
        <w:pStyle w:val="Heading3"/>
      </w:pPr>
      <w:bookmarkStart w:id="2314" w:name="_Toc1010"/>
      <w:r>
        <w:t>دیوان برخوردار بیگ‏</w:t>
      </w:r>
      <w:bookmarkEnd w:id="2314"/>
    </w:p>
    <w:p>
      <w:pPr>
        <w:pStyle w:val="BookText"/>
      </w:pPr>
      <w:r>
        <w:rPr>
          <w:rFonts w:ascii="IRNazanin" w:hAnsi="IRNazanin" w:eastAsia="IRNazanin" w:cs="IRNazanin"/>
          <w:lang w:bidi="fa-IR"/>
          <w:color w:val="111111"/>
          <w:sz w:val="28"/>
          <w:szCs w:val="28"/>
          <w:rtl/>
        </w:rPr>
        <w:t xml:space="preserve">یأتی بعنوان دیوان خان عالم‏</w:t>
      </w:r>
    </w:p>
    <w:p>
      <w:pPr>
        <w:pStyle w:val="Heading3"/>
      </w:pPr>
      <w:bookmarkStart w:id="2315" w:name="_Toc1011"/>
      <w:r>
        <w:t>دیوان برخوردار بیگ‏</w:t>
      </w:r>
      <w:bookmarkEnd w:id="2315"/>
    </w:p>
    <w:p>
      <w:pPr>
        <w:pStyle w:val="BookText"/>
      </w:pPr>
      <w:r>
        <w:rPr>
          <w:rFonts w:ascii="IRNazanin" w:hAnsi="IRNazanin" w:eastAsia="IRNazanin" w:cs="IRNazanin"/>
          <w:lang w:bidi="fa-IR"/>
          <w:color w:val="111111"/>
          <w:sz w:val="28"/>
          <w:szCs w:val="28"/>
          <w:rtl/>
        </w:rPr>
        <w:t xml:space="preserve">یأتی بتخلصه دیوان منصور نائنی‏</w:t>
      </w:r>
    </w:p>
    <w:p>
      <w:pPr>
        <w:pStyle w:val="Heading3"/>
      </w:pPr>
      <w:bookmarkStart w:id="2316" w:name="_Toc1012"/>
      <w:r>
        <w:t>دیوان بردعی‏زاده‏</w:t>
      </w:r>
      <w:bookmarkEnd w:id="2316"/>
    </w:p>
    <w:p>
      <w:pPr>
        <w:pStyle w:val="BookText"/>
      </w:pPr>
      <w:r>
        <w:rPr>
          <w:rFonts w:ascii="IRNazanin" w:hAnsi="IRNazanin" w:eastAsia="IRNazanin" w:cs="IRNazanin"/>
          <w:lang w:bidi="fa-IR"/>
          <w:color w:val="111111"/>
          <w:sz w:val="28"/>
          <w:szCs w:val="28"/>
          <w:rtl/>
        </w:rPr>
        <w:t xml:space="preserve">یأتی بتخلصه حمدی‏</w:t>
      </w:r>
    </w:p>
    <w:p>
      <w:pPr>
        <w:pStyle w:val="Heading3"/>
      </w:pPr>
      <w:bookmarkStart w:id="2317" w:name="_Toc1013"/>
      <w:r>
        <w:t>821- دیوان البرسی‏</w:t>
      </w:r>
      <w:bookmarkEnd w:id="2317"/>
    </w:p>
    <w:p>
      <w:pPr>
        <w:pStyle w:val="BookText"/>
      </w:pPr>
      <w:r>
        <w:rPr>
          <w:rFonts w:ascii="IRNazanin" w:hAnsi="IRNazanin" w:eastAsia="IRNazanin" w:cs="IRNazanin"/>
          <w:lang w:bidi="fa-IR"/>
          <w:color w:val="111111"/>
          <w:sz w:val="28"/>
          <w:szCs w:val="28"/>
          <w:rtl/>
        </w:rPr>
        <w:t xml:space="preserve">الشیخ رجب بن محمد بن رجب البرسی الحلی الذی فرغ من بعض تصانیفه (813) کما ذکره فی ریاض العلماء و توجد فی تصانیفه أشعار کثیرة له، جمعها الشیخ محمد بن طاهر السماوی المتوفی (1370) من مواضع متفرقة کلها فی مدائح الأئمة و مراثیهم تقرب من سبعمائة بیت و النسخة بخط الجامع، السماوی، اشتراها بعد موته الشیخ محمد علی الیعقوبی فی النجف و قد ترجم الشیخ علی الخاقانی هذا الشاعر فی شعراء الحلة (ج 2- ص 368- 394) و أورد خمسمائة، بیت من شعره‏</w:t>
      </w:r>
    </w:p>
    <w:p>
      <w:pPr>
        <w:pStyle w:val="Heading3"/>
      </w:pPr>
      <w:bookmarkStart w:id="2318" w:name="_Toc1014"/>
      <w:r>
        <w:t>822- دیوان برشته لکهنوی أو شعره‏</w:t>
      </w:r>
      <w:bookmarkEnd w:id="2318"/>
    </w:p>
    <w:p>
      <w:pPr>
        <w:pStyle w:val="BookText"/>
      </w:pPr>
      <w:r>
        <w:rPr>
          <w:rFonts w:ascii="IRNazanin" w:hAnsi="IRNazanin" w:eastAsia="IRNazanin" w:cs="IRNazanin"/>
          <w:lang w:bidi="fa-IR"/>
          <w:color w:val="111111"/>
          <w:sz w:val="28"/>
          <w:szCs w:val="28"/>
          <w:rtl/>
        </w:rPr>
        <w:t xml:space="preserve">و هو المیرزا محمد حسین من أحفاد الشیخ محمد حسن التبریزی نزیل الهند و المدرس فی عصر أکبر شاه ترجم جده فی طبقات أکبری (ج 2- ص 461) و ترجم الشاعر فی (دجا- ص 8) و کذا فی (روشن- ص 92)</w:t>
      </w:r>
    </w:p>
    <w:p>
      <w:pPr>
        <w:pStyle w:val="Heading3"/>
      </w:pPr>
      <w:bookmarkStart w:id="2319" w:name="_Toc1015"/>
      <w:r>
        <w:t>823- دیوان البرعی الیمنی‏</w:t>
      </w:r>
      <w:bookmarkEnd w:id="2319"/>
    </w:p>
    <w:p>
      <w:pPr>
        <w:pStyle w:val="BookText"/>
      </w:pPr>
      <w:r>
        <w:rPr>
          <w:rFonts w:ascii="IRNazanin" w:hAnsi="IRNazanin" w:eastAsia="IRNazanin" w:cs="IRNazanin"/>
          <w:lang w:bidi="fa-IR"/>
          <w:color w:val="111111"/>
          <w:sz w:val="28"/>
          <w:szCs w:val="28"/>
          <w:rtl/>
        </w:rPr>
        <w:t xml:space="preserve">لعبد الرحیم بن أحمد البرعی العارف الیمنی من شعراء القرن الخامس ترجمه الشروانی فی حدیقة الأفراح و فیه القصائد الربانیة ثم النبویة ثم الصوفیات ثم الوعظیات طبع علی الحجر بمصر فی 1283 و 1288 و 1297 و 1300 و 1301 و 1303 1309 و 1310 و 1313 فی (164 ص) و فی بمبئی 1291 فی (155 ص) کذا فی (جمط- ص 550)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32" w:name="pg11704_121609"/>
    <w:bookmarkEnd w:id="132"/>
    <w:p>
      <w:pPr>
        <w:pStyle w:val="Heading3"/>
      </w:pPr>
      <w:bookmarkStart w:id="2320" w:name="_Toc1016"/>
      <w:r>
        <w:t>824- دیوان برق هندی‏</w:t>
      </w:r>
      <w:bookmarkEnd w:id="2320"/>
    </w:p>
    <w:p>
      <w:pPr>
        <w:pStyle w:val="BookText"/>
      </w:pPr>
      <w:r>
        <w:rPr>
          <w:rFonts w:ascii="IRNazanin" w:hAnsi="IRNazanin" w:eastAsia="IRNazanin" w:cs="IRNazanin"/>
          <w:lang w:bidi="fa-IR"/>
          <w:color w:val="111111"/>
          <w:sz w:val="28"/>
          <w:szCs w:val="28"/>
          <w:rtl/>
        </w:rPr>
        <w:t xml:space="preserve">ولد ببنگاله و مدح محمد جعفر خان حاکمها و الدیوان فی (1500 بیت) رأی نسخه منه صاحب (گلشن) قال و کتبت حدود القرن الثانی عشر</w:t>
      </w:r>
    </w:p>
    <w:p>
      <w:pPr>
        <w:pStyle w:val="Heading3"/>
      </w:pPr>
      <w:bookmarkStart w:id="2321" w:name="_Toc1017"/>
      <w:r>
        <w:t>دیوان برقی أسترآبادی‏</w:t>
      </w:r>
      <w:bookmarkEnd w:id="2321"/>
    </w:p>
    <w:p>
      <w:pPr>
        <w:pStyle w:val="BookText"/>
      </w:pPr>
      <w:r>
        <w:rPr>
          <w:rFonts w:ascii="IRNazanin" w:hAnsi="IRNazanin" w:eastAsia="IRNazanin" w:cs="IRNazanin"/>
          <w:lang w:bidi="fa-IR"/>
          <w:color w:val="111111"/>
          <w:sz w:val="28"/>
          <w:szCs w:val="28"/>
          <w:rtl/>
        </w:rPr>
        <w:t xml:space="preserve">کذا فی (تش- ص 151) و شمع انجمن و الصحیح بزمی‏</w:t>
      </w:r>
    </w:p>
    <w:p>
      <w:pPr>
        <w:pStyle w:val="Heading3"/>
      </w:pPr>
      <w:bookmarkStart w:id="2322" w:name="_Toc1018"/>
      <w:r>
        <w:t>825- دیوان برکت دهلوی أو شعره‏</w:t>
      </w:r>
      <w:bookmarkEnd w:id="2322"/>
    </w:p>
    <w:p>
      <w:pPr>
        <w:pStyle w:val="BookText"/>
      </w:pPr>
      <w:r>
        <w:rPr>
          <w:rFonts w:ascii="IRNazanin" w:hAnsi="IRNazanin" w:eastAsia="IRNazanin" w:cs="IRNazanin"/>
          <w:lang w:bidi="fa-IR"/>
          <w:color w:val="111111"/>
          <w:sz w:val="28"/>
          <w:szCs w:val="28"/>
          <w:rtl/>
        </w:rPr>
        <w:t xml:space="preserve">و هو محمد برکت الله خان ابن أخ أسدیار خان ترجمه و أورد شعره فی (روشن- ص 93)</w:t>
      </w:r>
    </w:p>
    <w:p>
      <w:pPr>
        <w:pStyle w:val="Heading3"/>
      </w:pPr>
      <w:bookmarkStart w:id="2323" w:name="_Toc1019"/>
      <w:r>
        <w:t>826- دیوان برلاس‏</w:t>
      </w:r>
      <w:bookmarkEnd w:id="2323"/>
    </w:p>
    <w:p>
      <w:pPr>
        <w:pStyle w:val="BookText"/>
      </w:pPr>
      <w:r>
        <w:rPr>
          <w:rFonts w:ascii="IRNazanin" w:hAnsi="IRNazanin" w:eastAsia="IRNazanin" w:cs="IRNazanin"/>
          <w:lang w:bidi="fa-IR"/>
          <w:color w:val="111111"/>
          <w:sz w:val="28"/>
          <w:szCs w:val="28"/>
          <w:rtl/>
        </w:rPr>
        <w:t xml:space="preserve">و هو محمود برلاس أورد شعره فی (مجن 6- ص 216 و 287) و قال کان حاکم کرمان و نظم ده‏نامه (گلشن- ص 382)</w:t>
      </w:r>
    </w:p>
    <w:p>
      <w:pPr>
        <w:pStyle w:val="Heading3"/>
      </w:pPr>
      <w:bookmarkStart w:id="2324" w:name="_Toc1020"/>
      <w:r>
        <w:t>827- دیوان برندق سمرقندی أو شعره‏</w:t>
      </w:r>
      <w:bookmarkEnd w:id="2324"/>
    </w:p>
    <w:p>
      <w:pPr>
        <w:pStyle w:val="BookText"/>
      </w:pPr>
      <w:r>
        <w:rPr>
          <w:rFonts w:ascii="IRNazanin" w:hAnsi="IRNazanin" w:eastAsia="IRNazanin" w:cs="IRNazanin"/>
          <w:lang w:bidi="fa-IR"/>
          <w:color w:val="111111"/>
          <w:sz w:val="28"/>
          <w:szCs w:val="28"/>
          <w:rtl/>
        </w:rPr>
        <w:t xml:space="preserve">هو المیر بهاء الدین بن المیر نصرت شاه البخاری السمرقندی من شعراء بایقرا بن عمر شیخ بن تیمور کان سلسا فی الهجاء و کان یخافه الشعراء فیحترمونه، و قد هجا عصمت بخاری و مات بسمرقند فی (815) ترجمه و أورد شعره فی (لت- 6) و (تش- ص 319) و مرآة الخیال (ص 63) و (روشن- ص 94) و (تغ- ص 26) و المستر براون فی (ج 3- ص 556)</w:t>
      </w:r>
    </w:p>
    <w:p>
      <w:pPr>
        <w:pStyle w:val="Heading3"/>
      </w:pPr>
      <w:bookmarkStart w:id="2325" w:name="_Toc1021"/>
      <w:r>
        <w:t>828- دیوان برهان‏</w:t>
      </w:r>
      <w:bookmarkEnd w:id="2325"/>
    </w:p>
    <w:p>
      <w:pPr>
        <w:pStyle w:val="BookText"/>
      </w:pPr>
      <w:r>
        <w:rPr>
          <w:rFonts w:ascii="IRNazanin" w:hAnsi="IRNazanin" w:eastAsia="IRNazanin" w:cs="IRNazanin"/>
          <w:lang w:bidi="fa-IR"/>
          <w:color w:val="111111"/>
          <w:sz w:val="28"/>
          <w:szCs w:val="28"/>
          <w:rtl/>
        </w:rPr>
        <w:t xml:space="preserve">و اسمه خسرو برهان فارسی طبع فی (95 ص) کما فی الفهارس‏</w:t>
      </w:r>
    </w:p>
    <w:p>
      <w:pPr>
        <w:pStyle w:val="Heading3"/>
      </w:pPr>
      <w:bookmarkStart w:id="2326" w:name="_Toc1022"/>
      <w:r>
        <w:t>829- دیوان برهان ابرقوهی أو شعره‏</w:t>
      </w:r>
      <w:bookmarkEnd w:id="2326"/>
    </w:p>
    <w:p>
      <w:pPr>
        <w:pStyle w:val="BookText"/>
      </w:pPr>
      <w:r>
        <w:rPr>
          <w:rFonts w:ascii="IRNazanin" w:hAnsi="IRNazanin" w:eastAsia="IRNazanin" w:cs="IRNazanin"/>
          <w:lang w:bidi="fa-IR"/>
          <w:color w:val="111111"/>
          <w:sz w:val="28"/>
          <w:szCs w:val="28"/>
          <w:rtl/>
        </w:rPr>
        <w:t xml:space="preserve">من سادات الصوفیة بها، و من تلامیذ قاضی أسد الکاشی کذا فی (نر 9- ص 301) و (تش ص 262) و (روشن- ص 95) و (تغ- ص 26)</w:t>
      </w:r>
    </w:p>
    <w:p>
      <w:pPr>
        <w:pStyle w:val="Heading3"/>
      </w:pPr>
      <w:bookmarkStart w:id="2327" w:name="_Toc1023"/>
      <w:r>
        <w:t>830- دیوان برهان تبریزی أو شعره‏</w:t>
      </w:r>
      <w:bookmarkEnd w:id="2327"/>
    </w:p>
    <w:p>
      <w:pPr>
        <w:pStyle w:val="BookText"/>
      </w:pPr>
      <w:r>
        <w:rPr>
          <w:rFonts w:ascii="IRNazanin" w:hAnsi="IRNazanin" w:eastAsia="IRNazanin" w:cs="IRNazanin"/>
          <w:lang w:bidi="fa-IR"/>
          <w:color w:val="111111"/>
          <w:sz w:val="28"/>
          <w:szCs w:val="28"/>
          <w:rtl/>
        </w:rPr>
        <w:t xml:space="preserve">الأدیب الشاعر اللغوی محمد حسین بن خلف، أقام بالهند و کتب برهان قاطع فی اللغة الفارسیة باسم عبد الله قطب شاه فی (1082) و کان یتخلص فی شعره ببرهان‏</w:t>
      </w:r>
    </w:p>
    <w:p>
      <w:pPr>
        <w:pStyle w:val="Heading3"/>
      </w:pPr>
      <w:bookmarkStart w:id="2328" w:name="_Toc1024"/>
      <w:r>
        <w:t>831- دیوان برهان جامی أو شعره‏</w:t>
      </w:r>
      <w:bookmarkEnd w:id="2328"/>
    </w:p>
    <w:p>
      <w:pPr>
        <w:pStyle w:val="BookText"/>
      </w:pPr>
      <w:r>
        <w:rPr>
          <w:rFonts w:ascii="IRNazanin" w:hAnsi="IRNazanin" w:eastAsia="IRNazanin" w:cs="IRNazanin"/>
          <w:lang w:bidi="fa-IR"/>
          <w:color w:val="111111"/>
          <w:sz w:val="28"/>
          <w:szCs w:val="28"/>
          <w:rtl/>
        </w:rPr>
        <w:t xml:space="preserve">هو الخواجة یوسف المتخلص ببرهان من أحفاد شیخ الإسلام أحمد جام کان عارفا صوفیا تلمذ علیه أکثر أساتیذ الموسیقی، و منهم المیر علی شیر النوائی مات بجام و دفن بمقبرة الجامی، کذا فی (مجن 2- ص 42 و 215)</w:t>
      </w:r>
    </w:p>
    <w:p>
      <w:pPr>
        <w:pStyle w:val="Heading3"/>
      </w:pPr>
      <w:bookmarkStart w:id="2329" w:name="_Toc1025"/>
      <w:r>
        <w:t>832- دیوان برهان رازی أو شعره‏</w:t>
      </w:r>
      <w:bookmarkEnd w:id="2329"/>
    </w:p>
    <w:p>
      <w:pPr>
        <w:pStyle w:val="BookText"/>
      </w:pPr>
      <w:r>
        <w:rPr>
          <w:rFonts w:ascii="IRNazanin" w:hAnsi="IRNazanin" w:eastAsia="IRNazanin" w:cs="IRNazanin"/>
          <w:lang w:bidi="fa-IR"/>
          <w:color w:val="111111"/>
          <w:sz w:val="28"/>
          <w:szCs w:val="28"/>
          <w:rtl/>
        </w:rPr>
        <w:t xml:space="preserve">هو المولی برهان الدین عطاء الله الرازی الهروی من أولاد أعاظم هرات و المدرس بمدرسة شاه‏رخ میرزا له جواهر الأسماء فی علم المعمی کتبه باسم بابر شاه (ظ- المتوفی 937) أورد فی (مجن 4- ص 91 و 265) تاریخه لمهرداریة میر علی شیر فی (876) و بعض شعره‏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33" w:name="pg11704_121610"/>
    <w:bookmarkEnd w:id="133"/>
    <w:p>
      <w:pPr>
        <w:pStyle w:val="Heading3"/>
      </w:pPr>
      <w:bookmarkStart w:id="2330" w:name="_Toc1026"/>
      <w:r>
        <w:t>833- دیوان برهان سبزواری‏</w:t>
      </w:r>
      <w:bookmarkEnd w:id="2330"/>
    </w:p>
    <w:p>
      <w:pPr>
        <w:pStyle w:val="BookText"/>
      </w:pPr>
      <w:r>
        <w:rPr>
          <w:rFonts w:ascii="IRNazanin" w:hAnsi="IRNazanin" w:eastAsia="IRNazanin" w:cs="IRNazanin"/>
          <w:lang w:bidi="fa-IR"/>
          <w:color w:val="111111"/>
          <w:sz w:val="28"/>
          <w:szCs w:val="28"/>
          <w:rtl/>
        </w:rPr>
        <w:t xml:space="preserve">هو السید عبد الله بن الحسن الموسوی السبزواری المولود (1300) الملقب ببرهان الواعظین. فیه قصائد فارسیة و عربیة کما حکاه لنا شفاها.</w:t>
      </w:r>
    </w:p>
    <w:p>
      <w:pPr>
        <w:pStyle w:val="Heading3"/>
      </w:pPr>
      <w:bookmarkStart w:id="2331" w:name="_Toc1027"/>
      <w:r>
        <w:t>834- دیوان برهان کرمانی أو شعره‏</w:t>
      </w:r>
      <w:bookmarkEnd w:id="2331"/>
    </w:p>
    <w:p>
      <w:pPr>
        <w:pStyle w:val="BookText"/>
      </w:pPr>
      <w:r>
        <w:rPr>
          <w:rFonts w:ascii="IRNazanin" w:hAnsi="IRNazanin" w:eastAsia="IRNazanin" w:cs="IRNazanin"/>
          <w:lang w:bidi="fa-IR"/>
          <w:color w:val="111111"/>
          <w:sz w:val="28"/>
          <w:szCs w:val="28"/>
          <w:rtl/>
        </w:rPr>
        <w:t xml:space="preserve">و هو الشاه خلیل الله بن الشاه نعمة الولی.</w:t>
      </w:r>
    </w:p>
    <w:p>
      <w:pPr>
        <w:pStyle w:val="BookText"/>
      </w:pPr>
      <w:r>
        <w:rPr>
          <w:rFonts w:ascii="IRNazanin" w:hAnsi="IRNazanin" w:eastAsia="IRNazanin" w:cs="IRNazanin"/>
          <w:lang w:bidi="fa-IR"/>
          <w:color w:val="111111"/>
          <w:sz w:val="28"/>
          <w:szCs w:val="28"/>
          <w:rtl/>
        </w:rPr>
        <w:t xml:space="preserve">ولد (847) و أدرک الشاه قاسم الأنوار. ترجمه فی (ض- ص 69) و أورد شعره. و توجد، شعره فی مشیخة کنز السالکین المذکور فی (ج 8- ص 187).</w:t>
      </w:r>
    </w:p>
    <w:p>
      <w:pPr>
        <w:pStyle w:val="Heading3"/>
      </w:pPr>
      <w:bookmarkStart w:id="2332" w:name="_Toc1028"/>
      <w:r>
        <w:t>835- دیوان برهان مازندرانی أو شعره‏</w:t>
      </w:r>
      <w:bookmarkEnd w:id="2332"/>
    </w:p>
    <w:p>
      <w:pPr>
        <w:pStyle w:val="BookText"/>
      </w:pPr>
      <w:r>
        <w:rPr>
          <w:rFonts w:ascii="IRNazanin" w:hAnsi="IRNazanin" w:eastAsia="IRNazanin" w:cs="IRNazanin"/>
          <w:lang w:bidi="fa-IR"/>
          <w:color w:val="111111"/>
          <w:sz w:val="28"/>
          <w:szCs w:val="28"/>
          <w:rtl/>
        </w:rPr>
        <w:t xml:space="preserve">اسمه محمد صالح. کان معاصرا لمحمد شاه، و جاء إلی شاه جهان‏آباد و قتل فی قتل عام (شاه جهان‏آباد) دهلی علی ید الجیش النادری فی (1151) ذکره فی (گلشن- ص 61) و (تغ- ص 26).</w:t>
      </w:r>
    </w:p>
    <w:p>
      <w:pPr>
        <w:pStyle w:val="Heading3"/>
      </w:pPr>
      <w:bookmarkStart w:id="2333" w:name="_Toc1029"/>
      <w:r>
        <w:t>836- دیوان برهان مشهدی‏</w:t>
      </w:r>
      <w:bookmarkEnd w:id="2333"/>
    </w:p>
    <w:p>
      <w:pPr>
        <w:pStyle w:val="BookText"/>
      </w:pPr>
      <w:r>
        <w:rPr>
          <w:rFonts w:ascii="IRNazanin" w:hAnsi="IRNazanin" w:eastAsia="IRNazanin" w:cs="IRNazanin"/>
          <w:lang w:bidi="fa-IR"/>
          <w:color w:val="111111"/>
          <w:sz w:val="28"/>
          <w:szCs w:val="28"/>
          <w:rtl/>
        </w:rPr>
        <w:t xml:space="preserve">هو السید برهان الدین المشهدی. من علماء هرات و عمی بصره أخیرا و رجع إلی مشهد (919) له رسائل فی العروض و القوافی و قصائد متعددة کذا فی (روشن- ص 94).</w:t>
      </w:r>
    </w:p>
    <w:p>
      <w:pPr>
        <w:pStyle w:val="Heading3"/>
      </w:pPr>
      <w:bookmarkStart w:id="2334" w:name="_Toc1030"/>
      <w:r>
        <w:t>837- دیوان برهمن گرجی أو شعره‏</w:t>
      </w:r>
      <w:bookmarkEnd w:id="2334"/>
    </w:p>
    <w:p>
      <w:pPr>
        <w:pStyle w:val="BookText"/>
      </w:pPr>
      <w:r>
        <w:rPr>
          <w:rFonts w:ascii="IRNazanin" w:hAnsi="IRNazanin" w:eastAsia="IRNazanin" w:cs="IRNazanin"/>
          <w:lang w:bidi="fa-IR"/>
          <w:color w:val="111111"/>
          <w:sz w:val="28"/>
          <w:szCs w:val="28"/>
          <w:rtl/>
        </w:rPr>
        <w:t xml:space="preserve">و اسمه شیر مردان بیگ من عبید الشاه الخاصة، کان یتخلص ببرهمن کذا فی (نر 2- ص 47) و سماه فی (گلشن ص 62) بسربدال بیگ الگرجی و قال إنه من عبید الشاه سلیمان.</w:t>
      </w:r>
    </w:p>
    <w:p>
      <w:pPr>
        <w:pStyle w:val="Heading3"/>
      </w:pPr>
      <w:bookmarkStart w:id="2335" w:name="_Toc1031"/>
      <w:r>
        <w:t>838- دیوان برهمن لاهوری أو شعره‏</w:t>
      </w:r>
      <w:bookmarkEnd w:id="2335"/>
    </w:p>
    <w:p>
      <w:pPr>
        <w:pStyle w:val="BookText"/>
      </w:pPr>
      <w:r>
        <w:rPr>
          <w:rFonts w:ascii="IRNazanin" w:hAnsi="IRNazanin" w:eastAsia="IRNazanin" w:cs="IRNazanin"/>
          <w:lang w:bidi="fa-IR"/>
          <w:color w:val="111111"/>
          <w:sz w:val="28"/>
          <w:szCs w:val="28"/>
          <w:rtl/>
        </w:rPr>
        <w:t xml:space="preserve">و اسمه جگت‏رای. جاء إلی یزد و تعلم عند النصرآبادی و رجع إلی الهند. کذا فی (روشن ص 95).</w:t>
      </w:r>
    </w:p>
    <w:p>
      <w:pPr>
        <w:pStyle w:val="Heading3"/>
      </w:pPr>
      <w:bookmarkStart w:id="2336" w:name="_Toc1032"/>
      <w:r>
        <w:t>839- دیوان برین دهلوی أو شعره‏</w:t>
      </w:r>
      <w:bookmarkEnd w:id="2336"/>
    </w:p>
    <w:p>
      <w:pPr>
        <w:pStyle w:val="BookText"/>
      </w:pPr>
      <w:r>
        <w:rPr>
          <w:rFonts w:ascii="IRNazanin" w:hAnsi="IRNazanin" w:eastAsia="IRNazanin" w:cs="IRNazanin"/>
          <w:lang w:bidi="fa-IR"/>
          <w:color w:val="111111"/>
          <w:sz w:val="28"/>
          <w:szCs w:val="28"/>
          <w:rtl/>
        </w:rPr>
        <w:t xml:space="preserve">هو المولی وجیه الدین من ملازمی شاه عالم و من تلامیذ فاخر مکین. أورد شعره فی (روشن- ص 95).</w:t>
      </w:r>
    </w:p>
    <w:p>
      <w:pPr>
        <w:pStyle w:val="Heading3"/>
      </w:pPr>
      <w:bookmarkStart w:id="2337" w:name="_Toc1033"/>
      <w:r>
        <w:t>840- دیوان بزمی أردبیلی أو شعره‏</w:t>
      </w:r>
      <w:bookmarkEnd w:id="2337"/>
    </w:p>
    <w:p>
      <w:pPr>
        <w:pStyle w:val="BookText"/>
      </w:pPr>
      <w:r>
        <w:rPr>
          <w:rFonts w:ascii="IRNazanin" w:hAnsi="IRNazanin" w:eastAsia="IRNazanin" w:cs="IRNazanin"/>
          <w:lang w:bidi="fa-IR"/>
          <w:color w:val="111111"/>
          <w:sz w:val="28"/>
          <w:szCs w:val="28"/>
          <w:rtl/>
        </w:rPr>
        <w:t xml:space="preserve">ذهب فی عهد جهانگیر إلی الهند و رجع. کذا فی (روشن- ص 96).</w:t>
      </w:r>
    </w:p>
    <w:p>
      <w:pPr>
        <w:pStyle w:val="Heading3"/>
      </w:pPr>
      <w:bookmarkStart w:id="2338" w:name="_Toc1034"/>
      <w:r>
        <w:t>841- دیوان بزمی أسترآبادی أو شعره‏</w:t>
      </w:r>
      <w:bookmarkEnd w:id="2338"/>
    </w:p>
    <w:p>
      <w:pPr>
        <w:pStyle w:val="BookText"/>
      </w:pPr>
      <w:r>
        <w:rPr>
          <w:rFonts w:ascii="IRNazanin" w:hAnsi="IRNazanin" w:eastAsia="IRNazanin" w:cs="IRNazanin"/>
          <w:lang w:bidi="fa-IR"/>
          <w:color w:val="111111"/>
          <w:sz w:val="28"/>
          <w:szCs w:val="28"/>
          <w:rtl/>
        </w:rPr>
        <w:t xml:space="preserve">و اسمه الخواجة غیاث الدین محمد. قیل إنه قتل هناک نعم و لا یموت بأسترآباد أحد حتف أنفه. کذا فی (خص 8- ص 229) و فی (تش- ص 151) سماه برقی غلطا و عنه أخذ شمع انجمن. و فی آفتاب عالمتاب و نشتر عشق و (روشن) أنه قتل بید الأفاغنة و فی (گلشن) إنه مات فی المائة العاشرة. و فی (تغ- ص 26) أنه مات (950).</w:t>
      </w:r>
    </w:p>
    <w:p>
      <w:pPr>
        <w:pStyle w:val="Heading3"/>
      </w:pPr>
      <w:bookmarkStart w:id="2339" w:name="_Toc1035"/>
      <w:r>
        <w:t>842- دیوان بزمی خراسانی أو شعره‏</w:t>
      </w:r>
      <w:bookmarkEnd w:id="2339"/>
    </w:p>
    <w:p>
      <w:pPr>
        <w:pStyle w:val="BookText"/>
      </w:pPr>
      <w:r>
        <w:rPr>
          <w:rFonts w:ascii="IRNazanin" w:hAnsi="IRNazanin" w:eastAsia="IRNazanin" w:cs="IRNazanin"/>
          <w:lang w:bidi="fa-IR"/>
          <w:color w:val="111111"/>
          <w:sz w:val="28"/>
          <w:szCs w:val="28"/>
          <w:rtl/>
        </w:rPr>
        <w:t xml:space="preserve">و اسمه ملا شاه حسین الخراسانی. أورد شعره فی‏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34" w:name="pg11704_121611"/>
    <w:bookmarkEnd w:id="134"/>
    <w:p>
      <w:pPr>
        <w:pStyle w:val="BookText"/>
      </w:pPr>
      <w:r>
        <w:rPr>
          <w:rFonts w:ascii="IRNazanin" w:hAnsi="IRNazanin" w:eastAsia="IRNazanin" w:cs="IRNazanin"/>
          <w:lang w:bidi="fa-IR"/>
          <w:color w:val="111111"/>
          <w:sz w:val="28"/>
          <w:szCs w:val="28"/>
          <w:rtl/>
        </w:rPr>
        <w:t xml:space="preserve">(مجتس 6- ص 162).</w:t>
      </w:r>
    </w:p>
    <w:p>
      <w:pPr>
        <w:pStyle w:val="Heading3"/>
      </w:pPr>
      <w:bookmarkStart w:id="2340" w:name="_Toc1036"/>
      <w:r>
        <w:t>843- دیوان بزمی دهلوی‏</w:t>
      </w:r>
      <w:bookmarkEnd w:id="2340"/>
    </w:p>
    <w:p>
      <w:pPr>
        <w:pStyle w:val="BookText"/>
      </w:pPr>
      <w:r>
        <w:rPr>
          <w:rFonts w:ascii="IRNazanin" w:hAnsi="IRNazanin" w:eastAsia="IRNazanin" w:cs="IRNazanin"/>
          <w:lang w:bidi="fa-IR"/>
          <w:color w:val="111111"/>
          <w:sz w:val="28"/>
          <w:szCs w:val="28"/>
          <w:rtl/>
        </w:rPr>
        <w:t xml:space="preserve">و هو ابن منور خان، معاصر جهانگیر پادشاه. له مثنوی رت پدم بالفارسیة. کذا فی (گلشن) و پدم معشوقة رت.</w:t>
      </w:r>
    </w:p>
    <w:p>
      <w:pPr>
        <w:pStyle w:val="Heading3"/>
      </w:pPr>
      <w:bookmarkStart w:id="2341" w:name="_Toc1037"/>
      <w:r>
        <w:t>844- دیوان بزمی قزوینی أو شعره‏</w:t>
      </w:r>
      <w:bookmarkEnd w:id="2341"/>
    </w:p>
    <w:p>
      <w:pPr>
        <w:pStyle w:val="BookText"/>
      </w:pPr>
      <w:r>
        <w:rPr>
          <w:rFonts w:ascii="IRNazanin" w:hAnsi="IRNazanin" w:eastAsia="IRNazanin" w:cs="IRNazanin"/>
          <w:lang w:bidi="fa-IR"/>
          <w:color w:val="111111"/>
          <w:sz w:val="28"/>
          <w:szCs w:val="28"/>
          <w:rtl/>
        </w:rPr>
        <w:t xml:space="preserve">الحذاء. أورد شعره فی (تس 5- ص 149) و (روشن- ص 96).</w:t>
      </w:r>
    </w:p>
    <w:p>
      <w:pPr>
        <w:pStyle w:val="Heading3"/>
      </w:pPr>
      <w:bookmarkStart w:id="2342" w:name="_Toc1038"/>
      <w:r>
        <w:t>845- دیوان بزمی همدانی‏</w:t>
      </w:r>
      <w:bookmarkEnd w:id="2342"/>
    </w:p>
    <w:p>
      <w:pPr>
        <w:pStyle w:val="BookText"/>
      </w:pPr>
      <w:r>
        <w:rPr>
          <w:rFonts w:ascii="IRNazanin" w:hAnsi="IRNazanin" w:eastAsia="IRNazanin" w:cs="IRNazanin"/>
          <w:lang w:bidi="fa-IR"/>
          <w:color w:val="111111"/>
          <w:sz w:val="28"/>
          <w:szCs w:val="28"/>
          <w:rtl/>
        </w:rPr>
        <w:t xml:space="preserve">هو ابن السید المیر أبی تراب العلوی المذکور فی العدد (212) کان طبیبا بهمدان، سید صحیح النسب. کذا فی (خص 6- ص 87) و فی (تش- ص 255) قال إن اسمه میر عقیل، و قال فی (تغ- ص 27) إن اسمه عبد الشکور و کان طبیبا فی جیش الشاه عباس الأول. و له مثنوی فرهاد و شیرین. و کذا فی (گلشن- ص 62).</w:t>
      </w:r>
    </w:p>
    <w:p>
      <w:pPr>
        <w:pStyle w:val="Heading3"/>
      </w:pPr>
      <w:bookmarkStart w:id="2343" w:name="_Toc1039"/>
      <w:r>
        <w:t>846- دیوان البزی‏</w:t>
      </w:r>
      <w:bookmarkEnd w:id="2343"/>
    </w:p>
    <w:p>
      <w:pPr>
        <w:pStyle w:val="BookText"/>
      </w:pPr>
      <w:r>
        <w:rPr>
          <w:rFonts w:ascii="IRNazanin" w:hAnsi="IRNazanin" w:eastAsia="IRNazanin" w:cs="IRNazanin"/>
          <w:lang w:bidi="fa-IR"/>
          <w:color w:val="111111"/>
          <w:sz w:val="28"/>
          <w:szCs w:val="28"/>
          <w:rtl/>
        </w:rPr>
        <w:t xml:space="preserve">للشیخ حسین بن محمد بن سعد البزی العاملی المتوفی فی بنت جبیل، من قری جبل عامل حدود (1342) و کان اشتغاله علی علماء النجف سنین. و ألف فی الفقه ناموس الأحکام الذی قرظه الشیخ حسن مطر و الشیخ أحمد بن الشیخ محمد حسین الکاظمی مصرحین باجتهاده. و دیوانه بخطه بغیر ترتیب و لا تهذیب عند محمد رضا شمس الدین العاملی فی النجف.</w:t>
      </w:r>
    </w:p>
    <w:p>
      <w:pPr>
        <w:pStyle w:val="Heading3"/>
      </w:pPr>
      <w:bookmarkStart w:id="2344" w:name="_Toc1040"/>
      <w:r>
        <w:t>847- دیوان بساطی سمرقندی‏</w:t>
      </w:r>
      <w:bookmarkEnd w:id="2344"/>
    </w:p>
    <w:p>
      <w:pPr>
        <w:pStyle w:val="BookText"/>
      </w:pPr>
      <w:r>
        <w:rPr>
          <w:rFonts w:ascii="IRNazanin" w:hAnsi="IRNazanin" w:eastAsia="IRNazanin" w:cs="IRNazanin"/>
          <w:lang w:bidi="fa-IR"/>
          <w:color w:val="111111"/>
          <w:sz w:val="28"/>
          <w:szCs w:val="28"/>
          <w:rtl/>
        </w:rPr>
        <w:t xml:space="preserve">قال فی (لت 6) ترقی أمره فی أیام خلیل بهادر بن أمیران شاه گورکان المتوفی (840) و کان یتخلص أولا بحصیری لاشتغاله بصناعة الحصیر، و لما تلمذ علی عصمت بخاری المتوفی (829) لقبه ببساطی. قال فی (مجن 1- ص 13 و 188) إنه سلس البیان قلیل العلم. و ترجمه أیضا فی (تش- ص 333) و (تغ- ص 27) توجد نسخه من دیوانه عند (المحیط) و أخری فی مکتبة (المشکاة) کما فی فهرسها (ج 2 ص 242)</w:t>
      </w:r>
    </w:p>
    <w:p>
      <w:pPr>
        <w:pStyle w:val="Heading3"/>
      </w:pPr>
      <w:bookmarkStart w:id="2345" w:name="_Toc1041"/>
      <w:r>
        <w:t>848- دیوان بساطی شوشتری أو شعره‏</w:t>
      </w:r>
      <w:bookmarkEnd w:id="2345"/>
    </w:p>
    <w:p>
      <w:pPr>
        <w:pStyle w:val="BookText"/>
      </w:pPr>
      <w:r>
        <w:rPr>
          <w:rFonts w:ascii="IRNazanin" w:hAnsi="IRNazanin" w:eastAsia="IRNazanin" w:cs="IRNazanin"/>
          <w:lang w:bidi="fa-IR"/>
          <w:color w:val="111111"/>
          <w:sz w:val="28"/>
          <w:szCs w:val="28"/>
          <w:rtl/>
        </w:rPr>
        <w:t xml:space="preserve">سافر إلی ما وراء النهر و تقرب عند عبد الله أزبک و توفی (955) أورد شعره فی (روشن- ص 96).</w:t>
      </w:r>
    </w:p>
    <w:p>
      <w:pPr>
        <w:pStyle w:val="Heading3"/>
      </w:pPr>
      <w:bookmarkStart w:id="2346" w:name="_Toc1042"/>
      <w:r>
        <w:t>دیوان بستی‏</w:t>
      </w:r>
      <w:bookmarkEnd w:id="2346"/>
    </w:p>
    <w:p>
      <w:pPr>
        <w:pStyle w:val="BookText"/>
      </w:pPr>
      <w:r>
        <w:rPr>
          <w:rFonts w:ascii="IRNazanin" w:hAnsi="IRNazanin" w:eastAsia="IRNazanin" w:cs="IRNazanin"/>
          <w:lang w:bidi="fa-IR"/>
          <w:color w:val="111111"/>
          <w:sz w:val="28"/>
          <w:szCs w:val="28"/>
          <w:rtl/>
        </w:rPr>
        <w:t xml:space="preserve">هو أبو الفتح المذکور فی العدد (256) قال العوفی فی (لباب الألباب ج 1 ص 64): بستی را دو دیوان است بدو زبان، فارسی و دیگر تازی، و من هر دو دیده‏ام.</w:t>
      </w:r>
    </w:p>
    <w:p>
      <w:pPr>
        <w:pStyle w:val="Heading3"/>
      </w:pPr>
      <w:bookmarkStart w:id="2347" w:name="_Toc1043"/>
      <w:r>
        <w:t>849- دیوان بسحاق أطعمه‏</w:t>
      </w:r>
      <w:bookmarkEnd w:id="2347"/>
    </w:p>
    <w:p>
      <w:pPr>
        <w:pStyle w:val="BookText"/>
      </w:pPr>
      <w:r>
        <w:rPr>
          <w:rFonts w:ascii="IRNazanin" w:hAnsi="IRNazanin" w:eastAsia="IRNazanin" w:cs="IRNazanin"/>
          <w:lang w:bidi="fa-IR"/>
          <w:color w:val="111111"/>
          <w:sz w:val="28"/>
          <w:szCs w:val="28"/>
          <w:rtl/>
        </w:rPr>
        <w:t xml:space="preserve">و اسمه جمال الدین أبو إسحاق الشیرازی المتوفی (814 أو 819 أو 827 أو 830) من شعراء إسکندر بن عمر شیخ حفید أمیر تیمور الذی حکم شیراز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35" w:name="pg11704_121612"/>
    <w:bookmarkEnd w:id="135"/>
    <w:p>
      <w:pPr>
        <w:pStyle w:val="BookText"/>
      </w:pPr>
      <w:r>
        <w:rPr>
          <w:rFonts w:ascii="IRNazanin" w:hAnsi="IRNazanin" w:eastAsia="IRNazanin" w:cs="IRNazanin"/>
          <w:lang w:bidi="fa-IR"/>
          <w:color w:val="111111"/>
          <w:sz w:val="28"/>
          <w:szCs w:val="28"/>
          <w:rtl/>
        </w:rPr>
        <w:t xml:space="preserve">و أصفهان فی (812- 817). و یظهر من أشعاره أنه کان حلاجا. ذکر ترجمته فی (لت- 6) و هفت- ص 257- 258 و (تش- ص 264) و (مرآة الخیال ص 62) و ریحانة الأدب و قالوا إنه کان من مریدی شاه نعمة الله ولی الصوفی. قال فی مقدمه دیوانه الذی جمعه بنفسه [اما بعد چنین گوید ... أبو إسحاق المعروف بحلاج ... چند روز در این فکر بودم که با وجود أوصاف فردوسی ... و مثنویات نظامی ... و طیبات سعدی ... و غزلیات سلمان ... و با دستگاه طبع خواجو ... و مقالات عماد فقیه ... و دقائق معانی حافظ ... من چه خیال پزم که خلائق محفوظ گردند؟ ...] و قال فی سبب جمعه هذا الدیوان: کما أنهم الفوا القصص الغرامیة لتحریک الشهوة الجنسیة کذلک نظمت هذا الدیوان لتحریک شهوة الأکل لمن ضعف شهوة الأکل فیه. ثم شرع فی منظومة سماه کنز الاشتهاء مع دیباجته النثریة، ثم منظومة آفاق و أنفس، ثم قطعات فی جواب قصائد لبعض الشعراء، ثم قصة مزعفر و بغرا و خواب‏نامه بسحاق و فرهنگ‏نامه. و طبع الدیوان هکذا فی إستانبول بتصحیح میرزا حبیب الله الأصفهانی فی (1302) فی (184 ص) و أضاف فی آخره ملحقات للدیوان و فهرس کثیر الفائدة لتفسیر أعلام قسم من الأغذیة المذکورة فی الدیوان. و قد تبعه فی هذا القسم من الشعر نظام قاری کما سیأتی دیوانه للألبسة و توجد نسخه من الدیوان کتبت فی (855) عند (محمد آقا النخجوانی) کما کتبه إلینا. و طبع أخیرا بشیراز فی (1370) فی (200 ص) مع مقدمه مأخوذة عن تاریخ أدبیات ایران للمستر براون مع تصویر لمقبرة بسحاق فی شیراز.</w:t>
      </w:r>
    </w:p>
    <w:p>
      <w:pPr>
        <w:pStyle w:val="Heading3"/>
      </w:pPr>
      <w:bookmarkStart w:id="2348" w:name="_Toc1044"/>
      <w:r>
        <w:t>850- دیوان بسمه‏چی هروی أو شعره‏</w:t>
      </w:r>
      <w:bookmarkEnd w:id="2348"/>
    </w:p>
    <w:p>
      <w:pPr>
        <w:pStyle w:val="BookText"/>
      </w:pPr>
      <w:r>
        <w:rPr>
          <w:rFonts w:ascii="IRNazanin" w:hAnsi="IRNazanin" w:eastAsia="IRNazanin" w:cs="IRNazanin"/>
          <w:lang w:bidi="fa-IR"/>
          <w:color w:val="111111"/>
          <w:sz w:val="28"/>
          <w:szCs w:val="28"/>
          <w:rtl/>
        </w:rPr>
        <w:t xml:space="preserve">ترجمه فی (مجتس 4- ص 166) و قال کان یشتغل بالبسمه‏</w:t>
      </w:r>
      <w:r>
        <w:rPr>
          <w:rStyle w:val="FootnoteReference"/>
        </w:rPr>
        <w:footnoteReference w:id="14"/>
      </w:r>
      <w:r>
        <w:rPr>
          <w:rFonts w:ascii="IRNazanin" w:hAnsi="IRNazanin" w:eastAsia="IRNazanin" w:cs="IRNazanin"/>
          <w:lang w:bidi="fa-IR"/>
          <w:color w:val="111111"/>
          <w:sz w:val="28"/>
          <w:szCs w:val="28"/>
          <w:rtl/>
        </w:rPr>
        <w:t xml:space="preserve">و الآن رمال ثم أورد شعره.</w:t>
      </w:r>
    </w:p>
    <w:p>
      <w:pPr>
        <w:pStyle w:val="Heading3"/>
      </w:pPr>
      <w:bookmarkStart w:id="2349" w:name="_Toc1045"/>
      <w:r>
        <w:t>851- دیوان بسمل أصفهانی أو شعره‏</w:t>
      </w:r>
      <w:bookmarkEnd w:id="2349"/>
    </w:p>
    <w:p>
      <w:pPr>
        <w:pStyle w:val="BookText"/>
      </w:pPr>
      <w:r>
        <w:rPr>
          <w:rFonts w:ascii="IRNazanin" w:hAnsi="IRNazanin" w:eastAsia="IRNazanin" w:cs="IRNazanin"/>
          <w:lang w:bidi="fa-IR"/>
          <w:color w:val="111111"/>
          <w:sz w:val="28"/>
          <w:szCs w:val="28"/>
          <w:rtl/>
        </w:rPr>
        <w:t xml:space="preserve">و هو المیرزا محمد بن عبد الحسین، أخ عبد مناف.</w:t>
      </w:r>
    </w:p>
    <w:p>
      <w:pPr>
        <w:pStyle w:val="BookText"/>
      </w:pPr>
      <w:r>
        <w:rPr>
          <w:rFonts w:ascii="IRNazanin" w:hAnsi="IRNazanin" w:eastAsia="IRNazanin" w:cs="IRNazanin"/>
          <w:lang w:bidi="fa-IR"/>
          <w:color w:val="111111"/>
          <w:sz w:val="28"/>
          <w:szCs w:val="28"/>
          <w:rtl/>
        </w:rPr>
        <w:t xml:space="preserve">أورد شعره فی (نر 5- ص 110) فی السادات.</w:t>
      </w:r>
    </w:p>
    <w:p>
      <w:pPr>
        <w:pStyle w:val="Heading3"/>
      </w:pPr>
      <w:bookmarkStart w:id="2350" w:name="_Toc1046"/>
      <w:r>
        <w:t>852- دیوان بسمل بدخشانی أو شعره‏</w:t>
      </w:r>
      <w:bookmarkEnd w:id="2350"/>
    </w:p>
    <w:p>
      <w:pPr>
        <w:pStyle w:val="BookText"/>
      </w:pPr>
      <w:r>
        <w:rPr>
          <w:rFonts w:ascii="IRNazanin" w:hAnsi="IRNazanin" w:eastAsia="IRNazanin" w:cs="IRNazanin"/>
          <w:lang w:bidi="fa-IR"/>
          <w:color w:val="111111"/>
          <w:sz w:val="28"/>
          <w:szCs w:val="28"/>
          <w:rtl/>
        </w:rPr>
        <w:t xml:space="preserve">و اسمه محمد یوسف بن المیر إمام. جاء إلی دکن حیدرآباد و تقرب عند أمیرها مبارز خان، و قتل فی (1137) أورد شعره و ترجمته کذلک‏ .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36" w:name="pg11704_121613"/>
    <w:bookmarkEnd w:id="136"/>
    <w:p>
      <w:pPr>
        <w:pStyle w:val="BookText"/>
      </w:pPr>
      <w:r>
        <w:rPr>
          <w:rFonts w:ascii="IRNazanin" w:hAnsi="IRNazanin" w:eastAsia="IRNazanin" w:cs="IRNazanin"/>
          <w:lang w:bidi="fa-IR"/>
          <w:color w:val="111111"/>
          <w:sz w:val="28"/>
          <w:szCs w:val="28"/>
          <w:rtl/>
        </w:rPr>
        <w:t xml:space="preserve">فی (گلشن).</w:t>
      </w:r>
    </w:p>
    <w:p>
      <w:pPr>
        <w:pStyle w:val="Heading3"/>
      </w:pPr>
      <w:bookmarkStart w:id="2351" w:name="_Toc1047"/>
      <w:r>
        <w:t>853- دیوان بسمل دامغانی شیرازی أو شعره‏</w:t>
      </w:r>
      <w:bookmarkEnd w:id="2351"/>
    </w:p>
    <w:p>
      <w:pPr>
        <w:pStyle w:val="BookText"/>
      </w:pPr>
      <w:r>
        <w:rPr>
          <w:rFonts w:ascii="IRNazanin" w:hAnsi="IRNazanin" w:eastAsia="IRNazanin" w:cs="IRNazanin"/>
          <w:lang w:bidi="fa-IR"/>
          <w:color w:val="111111"/>
          <w:sz w:val="28"/>
          <w:szCs w:val="28"/>
          <w:rtl/>
        </w:rPr>
        <w:t xml:space="preserve">و هو الحاج محمد تقی بن الحاج مؤمن الدامغانی، مات والده فی شیراز بعد أن رجع عن حجه الثالث فولد بها بسمل و نشا بها و جاء إلی أصفهان فی خدمة شیخ الإسلام المیر علی رضا. ترجمه و أورد شعره فی (نر 9- 354) و (گلشن).</w:t>
      </w:r>
    </w:p>
    <w:p>
      <w:pPr>
        <w:pStyle w:val="Heading3"/>
      </w:pPr>
      <w:bookmarkStart w:id="2352" w:name="_Toc1048"/>
      <w:r>
        <w:t>854- دیوان بسمل شیرازی‏</w:t>
      </w:r>
      <w:bookmarkEnd w:id="2352"/>
    </w:p>
    <w:p>
      <w:pPr>
        <w:pStyle w:val="BookText"/>
      </w:pPr>
      <w:r>
        <w:rPr>
          <w:rFonts w:ascii="IRNazanin" w:hAnsi="IRNazanin" w:eastAsia="IRNazanin" w:cs="IRNazanin"/>
          <w:lang w:bidi="fa-IR"/>
          <w:color w:val="111111"/>
          <w:sz w:val="28"/>
          <w:szCs w:val="28"/>
          <w:rtl/>
        </w:rPr>
        <w:t xml:space="preserve">للحاج میرزا علی أکبر النواب الشیرازی، ناظم اندرزنامه و تذکره دلگشا. رأیت دیوانه المشتمل علی أنواع الشعر بطهران عند المدرس الرضوی أستاذ جامعة طهران. ترجمه و أورد شعره فی (مع- 2: 82) و (ض- ص 442) و المدائح المعتمدیة. و ریحانة الأدب.</w:t>
      </w:r>
    </w:p>
    <w:p>
      <w:pPr>
        <w:pStyle w:val="Heading3"/>
      </w:pPr>
      <w:bookmarkStart w:id="2353" w:name="_Toc1049"/>
      <w:r>
        <w:t>855- دیوان بسمل کاشانی کرمانشاهی‏</w:t>
      </w:r>
      <w:bookmarkEnd w:id="2353"/>
    </w:p>
    <w:p>
      <w:pPr>
        <w:pStyle w:val="BookText"/>
      </w:pPr>
      <w:r>
        <w:rPr>
          <w:rFonts w:ascii="IRNazanin" w:hAnsi="IRNazanin" w:eastAsia="IRNazanin" w:cs="IRNazanin"/>
          <w:lang w:bidi="fa-IR"/>
          <w:color w:val="111111"/>
          <w:sz w:val="28"/>
          <w:szCs w:val="28"/>
          <w:rtl/>
        </w:rPr>
        <w:t xml:space="preserve">و هو المیرزا حسن بن المولی سمیع بن المولی حسین المدرس بن علم الهدی بن المولی محسن الفیض الکاشانی الکرمانشاهانی.</w:t>
      </w:r>
    </w:p>
    <w:p>
      <w:pPr>
        <w:pStyle w:val="BookText"/>
      </w:pPr>
      <w:r>
        <w:rPr>
          <w:rFonts w:ascii="IRNazanin" w:hAnsi="IRNazanin" w:eastAsia="IRNazanin" w:cs="IRNazanin"/>
          <w:lang w:bidi="fa-IR"/>
          <w:color w:val="111111"/>
          <w:sz w:val="28"/>
          <w:szCs w:val="28"/>
          <w:rtl/>
        </w:rPr>
        <w:t xml:space="preserve">و هو أخ المولی محسن صاحب الدرر البهیة. ذکر لی الحاج آقا مهدی المعاصر الذی هو حفید أخ الشاعر أن نسخه هذا الدیوان کانت عنده فسرقت من مکتبته. ترجمه و أخاه فی مرآة الأحوال الآقا أحمد بن الآقا محمد علی الکرمانشاهی.</w:t>
      </w:r>
    </w:p>
    <w:p>
      <w:pPr>
        <w:pStyle w:val="Heading3"/>
      </w:pPr>
      <w:bookmarkStart w:id="2354" w:name="_Toc1050"/>
      <w:r>
        <w:t>856- دیوان بسمل گورکه‏پوری أو شعره‏</w:t>
      </w:r>
      <w:bookmarkEnd w:id="2354"/>
    </w:p>
    <w:p>
      <w:pPr>
        <w:pStyle w:val="BookText"/>
      </w:pPr>
      <w:r>
        <w:rPr>
          <w:rFonts w:ascii="IRNazanin" w:hAnsi="IRNazanin" w:eastAsia="IRNazanin" w:cs="IRNazanin"/>
          <w:lang w:bidi="fa-IR"/>
          <w:color w:val="111111"/>
          <w:sz w:val="28"/>
          <w:szCs w:val="28"/>
          <w:rtl/>
        </w:rPr>
        <w:t xml:space="preserve">و هو عبد العزیز بن أبی الفتح خان جنون.</w:t>
      </w:r>
    </w:p>
    <w:p>
      <w:pPr>
        <w:pStyle w:val="BookText"/>
      </w:pPr>
      <w:r>
        <w:rPr>
          <w:rFonts w:ascii="IRNazanin" w:hAnsi="IRNazanin" w:eastAsia="IRNazanin" w:cs="IRNazanin"/>
          <w:lang w:bidi="fa-IR"/>
          <w:color w:val="111111"/>
          <w:sz w:val="28"/>
          <w:szCs w:val="28"/>
          <w:rtl/>
        </w:rPr>
        <w:t xml:space="preserve">أورد شعره فی (گلشن- ص 64).</w:t>
      </w:r>
    </w:p>
    <w:p>
      <w:pPr>
        <w:pStyle w:val="Heading3"/>
      </w:pPr>
      <w:bookmarkStart w:id="2355" w:name="_Toc1051"/>
      <w:r>
        <w:t>857- دیوان بسمل هندی أو شعره‏</w:t>
      </w:r>
      <w:bookmarkEnd w:id="2355"/>
    </w:p>
    <w:p>
      <w:pPr>
        <w:pStyle w:val="BookText"/>
      </w:pPr>
      <w:r>
        <w:rPr>
          <w:rFonts w:ascii="IRNazanin" w:hAnsi="IRNazanin" w:eastAsia="IRNazanin" w:cs="IRNazanin"/>
          <w:lang w:bidi="fa-IR"/>
          <w:color w:val="111111"/>
          <w:sz w:val="28"/>
          <w:szCs w:val="28"/>
          <w:rtl/>
        </w:rPr>
        <w:t xml:space="preserve">و هو المیر حسن خان بن عاشق علی خان، من شعراء عهد نصیر الدین حیدر پادشاه. تلمذ علی غلام مینا. أورد شعره فی (گلشن).</w:t>
      </w:r>
    </w:p>
    <w:p>
      <w:pPr>
        <w:pStyle w:val="Heading3"/>
      </w:pPr>
      <w:bookmarkStart w:id="2356" w:name="_Toc1052"/>
      <w:r>
        <w:t>858- دیوان بسملی قزوینی أو شعره‏</w:t>
      </w:r>
      <w:bookmarkEnd w:id="2356"/>
    </w:p>
    <w:p>
      <w:pPr>
        <w:pStyle w:val="BookText"/>
      </w:pPr>
      <w:r>
        <w:rPr>
          <w:rFonts w:ascii="IRNazanin" w:hAnsi="IRNazanin" w:eastAsia="IRNazanin" w:cs="IRNazanin"/>
          <w:lang w:bidi="fa-IR"/>
          <w:color w:val="111111"/>
          <w:sz w:val="28"/>
          <w:szCs w:val="28"/>
          <w:rtl/>
        </w:rPr>
        <w:t xml:space="preserve">أورد شعره فی (روشن- ص 97) و قال مات بقزوین (955) عن سبعین سنة من عمره.</w:t>
      </w:r>
    </w:p>
    <w:p>
      <w:pPr>
        <w:pStyle w:val="Heading3"/>
      </w:pPr>
      <w:bookmarkStart w:id="2357" w:name="_Toc1053"/>
      <w:r>
        <w:t>859- دیوان بسیج‏</w:t>
      </w:r>
      <w:bookmarkEnd w:id="2357"/>
    </w:p>
    <w:p>
      <w:pPr>
        <w:pStyle w:val="BookText"/>
      </w:pPr>
      <w:r>
        <w:rPr>
          <w:rFonts w:ascii="IRNazanin" w:hAnsi="IRNazanin" w:eastAsia="IRNazanin" w:cs="IRNazanin"/>
          <w:lang w:bidi="fa-IR"/>
          <w:color w:val="111111"/>
          <w:sz w:val="28"/>
          <w:szCs w:val="28"/>
          <w:rtl/>
        </w:rPr>
        <w:t xml:space="preserve">طبع منتخبات من شعره فی (70 ص) بإیران.</w:t>
      </w:r>
    </w:p>
    <w:p>
      <w:pPr>
        <w:pStyle w:val="Heading3"/>
      </w:pPr>
      <w:bookmarkStart w:id="2358" w:name="_Toc1054"/>
      <w:r>
        <w:t>860- دیوان بشار بن برد العقیلی‏</w:t>
      </w:r>
      <w:bookmarkEnd w:id="2358"/>
    </w:p>
    <w:p>
      <w:pPr>
        <w:pStyle w:val="BookText"/>
      </w:pPr>
      <w:r>
        <w:rPr>
          <w:rFonts w:ascii="IRNazanin" w:hAnsi="IRNazanin" w:eastAsia="IRNazanin" w:cs="IRNazanin"/>
          <w:lang w:bidi="fa-IR"/>
          <w:color w:val="111111"/>
          <w:sz w:val="28"/>
          <w:szCs w:val="28"/>
          <w:rtl/>
        </w:rPr>
        <w:t xml:space="preserve">ولد أعمی. قال الأصمعی له: لم أر أذکی منک. کذا ذکر الخطیب فی تاریخ بغداد. قال ابن الندیم فی (ص 227) إنه لم یجتمع شعره ... و رأیت منه نحو ألف ورقة، منقطع، و قد اختار شعره جماعة. و ترجمه ابن خلکان فی (ج 1 ص 88) مفصلا و ذکر أن فی الأغانی أورد أسماء ستة عشر من أجداده کلها فارسیة. و ذکر من أحواله فصولا کثیرة. و رمی بالزندقة ففتشت کتبه فلم یوجد فیها شی‏ء مما رمی به، و أمر المهدی‏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37" w:name="pg11704_121614"/>
    <w:bookmarkEnd w:id="137"/>
    <w:p>
      <w:pPr>
        <w:pStyle w:val="BookText"/>
      </w:pPr>
      <w:r>
        <w:rPr>
          <w:rFonts w:ascii="IRNazanin" w:hAnsi="IRNazanin" w:eastAsia="IRNazanin" w:cs="IRNazanin"/>
          <w:lang w:bidi="fa-IR"/>
          <w:color w:val="111111"/>
          <w:sz w:val="28"/>
          <w:szCs w:val="28"/>
          <w:rtl/>
        </w:rPr>
        <w:t xml:space="preserve">العباسی بضربه سبعین سوطا فمات بذلک فی البطیحة قرب البصرة فحمل إلیها فی (167) أو (168) و قد نیف علی تسعین سنة. و یظهر من بعض کتبه أنه کان شدید الحفظ لقرابة رسول الله ص فضلا عن أبنائه.</w:t>
      </w:r>
    </w:p>
    <w:p>
      <w:pPr>
        <w:pStyle w:val="Heading3"/>
      </w:pPr>
      <w:bookmarkStart w:id="2359" w:name="_Toc1055"/>
      <w:r>
        <w:t>861- دیوان بشاره‏</w:t>
      </w:r>
      <w:bookmarkEnd w:id="2359"/>
    </w:p>
    <w:p>
      <w:pPr>
        <w:pStyle w:val="BookText"/>
      </w:pPr>
      <w:r>
        <w:rPr>
          <w:rFonts w:ascii="IRNazanin" w:hAnsi="IRNazanin" w:eastAsia="IRNazanin" w:cs="IRNazanin"/>
          <w:lang w:bidi="fa-IR"/>
          <w:color w:val="111111"/>
          <w:sz w:val="28"/>
          <w:szCs w:val="28"/>
          <w:rtl/>
        </w:rPr>
        <w:t xml:space="preserve">للشیخ محمد علی بن بشاره آل موحی النجفی ذکره الشیخ أحمد النحوی فی قصیدة یمدح بها الناظم. و ذکر أیضا بعض تصانیفه الآخر ک ریحانة النحو و نشوة السلافة و شرح النهج.</w:t>
      </w:r>
    </w:p>
    <w:p>
      <w:pPr>
        <w:pStyle w:val="Heading3"/>
      </w:pPr>
      <w:bookmarkStart w:id="2360" w:name="_Toc1056"/>
      <w:r>
        <w:t>862- دیوان الشیخ بشیر</w:t>
      </w:r>
      <w:bookmarkEnd w:id="2360"/>
    </w:p>
    <w:p>
      <w:pPr>
        <w:pStyle w:val="BookText"/>
      </w:pPr>
      <w:r>
        <w:rPr>
          <w:rFonts w:ascii="IRNazanin" w:hAnsi="IRNazanin" w:eastAsia="IRNazanin" w:cs="IRNazanin"/>
          <w:lang w:bidi="fa-IR"/>
          <w:color w:val="111111"/>
          <w:sz w:val="28"/>
          <w:szCs w:val="28"/>
          <w:rtl/>
        </w:rPr>
        <w:t xml:space="preserve">و هو ابن مصطفی جواد. ولد بشوکین من قری جبل عامل (1324) و توفی فی بیروت فی (1364) طبع بمطبعة العرفان بصیدا فی (1365) فی (55 ص) و فیه رثاء الشیخ عبد الحسین بن إبراهیم صادق الذی توفی (1361).</w:t>
      </w:r>
    </w:p>
    <w:p>
      <w:pPr>
        <w:pStyle w:val="Heading3"/>
      </w:pPr>
      <w:bookmarkStart w:id="2361" w:name="_Toc1057"/>
      <w:r>
        <w:t>863- دیوان بشیر اللکهنوی أو شعره‏</w:t>
      </w:r>
      <w:bookmarkEnd w:id="2361"/>
    </w:p>
    <w:p>
      <w:pPr>
        <w:pStyle w:val="BookText"/>
      </w:pPr>
      <w:r>
        <w:rPr>
          <w:rFonts w:ascii="IRNazanin" w:hAnsi="IRNazanin" w:eastAsia="IRNazanin" w:cs="IRNazanin"/>
          <w:lang w:bidi="fa-IR"/>
          <w:color w:val="111111"/>
          <w:sz w:val="28"/>
          <w:szCs w:val="28"/>
          <w:rtl/>
        </w:rPr>
        <w:t xml:space="preserve">و هو محمد بشیر بن نظام الدین فقیر بن الشاه خواجه حسین المودودی الچشتی من أحفاد محمد صالح أکبر أولاد قطب الدین مودود الچشتی.</w:t>
      </w:r>
    </w:p>
    <w:p>
      <w:pPr>
        <w:pStyle w:val="BookText"/>
      </w:pPr>
      <w:r>
        <w:rPr>
          <w:rFonts w:ascii="IRNazanin" w:hAnsi="IRNazanin" w:eastAsia="IRNazanin" w:cs="IRNazanin"/>
          <w:lang w:bidi="fa-IR"/>
          <w:color w:val="111111"/>
          <w:sz w:val="28"/>
          <w:szCs w:val="28"/>
          <w:rtl/>
        </w:rPr>
        <w:t xml:space="preserve">ترجمه فی (گلشن- ص 65) و أورد بعض شعره.</w:t>
      </w:r>
    </w:p>
    <w:p>
      <w:pPr>
        <w:pStyle w:val="Heading3"/>
      </w:pPr>
      <w:bookmarkStart w:id="2362" w:name="_Toc1058"/>
      <w:r>
        <w:t>864- دیوان بصیر أصفهانی أو شعره‏</w:t>
      </w:r>
      <w:bookmarkEnd w:id="2362"/>
    </w:p>
    <w:p>
      <w:pPr>
        <w:pStyle w:val="BookText"/>
      </w:pPr>
      <w:r>
        <w:rPr>
          <w:rFonts w:ascii="IRNazanin" w:hAnsi="IRNazanin" w:eastAsia="IRNazanin" w:cs="IRNazanin"/>
          <w:lang w:bidi="fa-IR"/>
          <w:color w:val="111111"/>
          <w:sz w:val="28"/>
          <w:szCs w:val="28"/>
          <w:rtl/>
        </w:rPr>
        <w:t xml:space="preserve">و هو محمد إبراهیم البصیر ترجمه بهار أصفهانی فی المدائح المعتمدیة و أورد قصائده و قال إنه شاب.</w:t>
      </w:r>
    </w:p>
    <w:p>
      <w:pPr>
        <w:pStyle w:val="Heading3"/>
      </w:pPr>
      <w:bookmarkStart w:id="2363" w:name="_Toc1059"/>
      <w:r>
        <w:t>865- دیوان البصیر الحلی‏</w:t>
      </w:r>
      <w:bookmarkEnd w:id="2363"/>
    </w:p>
    <w:p>
      <w:pPr>
        <w:pStyle w:val="BookText"/>
      </w:pPr>
      <w:r>
        <w:rPr>
          <w:rFonts w:ascii="IRNazanin" w:hAnsi="IRNazanin" w:eastAsia="IRNazanin" w:cs="IRNazanin"/>
          <w:lang w:bidi="fa-IR"/>
          <w:color w:val="111111"/>
          <w:sz w:val="28"/>
          <w:szCs w:val="28"/>
          <w:rtl/>
        </w:rPr>
        <w:t xml:space="preserve">و هو الشیخ محمد مهدی البصیر الحلی المعاصر. ذکره صاحب الأدب العصری.</w:t>
      </w:r>
    </w:p>
    <w:p>
      <w:pPr>
        <w:pStyle w:val="Heading3"/>
      </w:pPr>
      <w:bookmarkStart w:id="2364" w:name="_Toc1060"/>
      <w:r>
        <w:t>866- دیوان بصیر سمرقندی أو شعره‏</w:t>
      </w:r>
      <w:bookmarkEnd w:id="2364"/>
    </w:p>
    <w:p>
      <w:pPr>
        <w:pStyle w:val="BookText"/>
      </w:pPr>
      <w:r>
        <w:rPr>
          <w:rFonts w:ascii="IRNazanin" w:hAnsi="IRNazanin" w:eastAsia="IRNazanin" w:cs="IRNazanin"/>
          <w:lang w:bidi="fa-IR"/>
          <w:color w:val="111111"/>
          <w:sz w:val="28"/>
          <w:szCs w:val="28"/>
          <w:rtl/>
        </w:rPr>
        <w:t xml:space="preserve">قال فی (روشن- ص 99) إنه الشیخ نور الدین السمرقندی من أدباء العصر التیموری و قبیله.</w:t>
      </w:r>
    </w:p>
    <w:p>
      <w:pPr>
        <w:pStyle w:val="Heading3"/>
      </w:pPr>
      <w:bookmarkStart w:id="2365" w:name="_Toc1061"/>
      <w:r>
        <w:t>867- دیوان بصیر سیستانی أو شعره‏</w:t>
      </w:r>
      <w:bookmarkEnd w:id="2365"/>
    </w:p>
    <w:p>
      <w:pPr>
        <w:pStyle w:val="BookText"/>
      </w:pPr>
      <w:r>
        <w:rPr>
          <w:rFonts w:ascii="IRNazanin" w:hAnsi="IRNazanin" w:eastAsia="IRNazanin" w:cs="IRNazanin"/>
          <w:lang w:bidi="fa-IR"/>
          <w:color w:val="111111"/>
          <w:sz w:val="28"/>
          <w:szCs w:val="28"/>
          <w:rtl/>
        </w:rPr>
        <w:t xml:space="preserve">قال فی (روشن- ص 66) إنه القاضی بصیر أخو القاضی لاغر السیستانی. أقول و قد ترجم لاغر فی (تس 4- ص 70) و لم یذکر له أخا.</w:t>
      </w:r>
    </w:p>
    <w:p>
      <w:pPr>
        <w:pStyle w:val="Heading3"/>
      </w:pPr>
      <w:bookmarkStart w:id="2366" w:name="_Toc1062"/>
      <w:r>
        <w:t>868- دیوان بصیری عجمی أو شعره‏</w:t>
      </w:r>
      <w:bookmarkEnd w:id="2366"/>
    </w:p>
    <w:p>
      <w:pPr>
        <w:pStyle w:val="BookText"/>
      </w:pPr>
      <w:r>
        <w:rPr>
          <w:rFonts w:ascii="IRNazanin" w:hAnsi="IRNazanin" w:eastAsia="IRNazanin" w:cs="IRNazanin"/>
          <w:lang w:bidi="fa-IR"/>
          <w:color w:val="111111"/>
          <w:sz w:val="28"/>
          <w:szCs w:val="28"/>
          <w:rtl/>
        </w:rPr>
        <w:t xml:space="preserve">ترجمه فی (بهش 2- ص 381) و أطری علمه و فضله و أورد شعره، و العجمی لیمتاز عن بصیری بغدادی ظاهرا.</w:t>
      </w:r>
    </w:p>
    <w:p>
      <w:pPr>
        <w:pStyle w:val="Heading3"/>
      </w:pPr>
      <w:bookmarkStart w:id="2367" w:name="_Toc1063"/>
      <w:r>
        <w:t>869- دیوان بصیری بغدادی‏</w:t>
      </w:r>
      <w:bookmarkEnd w:id="2367"/>
    </w:p>
    <w:p>
      <w:pPr>
        <w:pStyle w:val="BookText"/>
      </w:pPr>
      <w:r>
        <w:rPr>
          <w:rFonts w:ascii="IRNazanin" w:hAnsi="IRNazanin" w:eastAsia="IRNazanin" w:cs="IRNazanin"/>
          <w:lang w:bidi="fa-IR"/>
          <w:color w:val="111111"/>
          <w:sz w:val="28"/>
          <w:szCs w:val="28"/>
          <w:rtl/>
        </w:rPr>
        <w:t xml:space="preserve">ذکر فی (کفظ) أنه توفی (941) و توجد دیوان بصیری أفندی بالترکیة فی الموصل کما فی فهرسها (ص 298).</w:t>
      </w:r>
    </w:p>
    <w:p>
      <w:pPr>
        <w:pStyle w:val="Heading3"/>
      </w:pPr>
      <w:bookmarkStart w:id="2368" w:name="_Toc1064"/>
      <w:r>
        <w:t>870- دیوان بقا أصفهانی أو شعره‏</w:t>
      </w:r>
      <w:bookmarkEnd w:id="2368"/>
    </w:p>
    <w:p>
      <w:pPr>
        <w:pStyle w:val="BookText"/>
      </w:pPr>
      <w:r>
        <w:rPr>
          <w:rFonts w:ascii="IRNazanin" w:hAnsi="IRNazanin" w:eastAsia="IRNazanin" w:cs="IRNazanin"/>
          <w:lang w:bidi="fa-IR"/>
          <w:color w:val="111111"/>
          <w:sz w:val="28"/>
          <w:szCs w:val="28"/>
          <w:rtl/>
        </w:rPr>
        <w:t xml:space="preserve">و هو أشرف الکتاب السید محمد الخطاط الأصفهانی‏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38" w:name="pg11704_121615"/>
    <w:bookmarkEnd w:id="138"/>
    <w:p>
      <w:pPr>
        <w:pStyle w:val="BookText"/>
      </w:pPr>
      <w:r>
        <w:rPr>
          <w:rFonts w:ascii="IRNazanin" w:hAnsi="IRNazanin" w:eastAsia="IRNazanin" w:cs="IRNazanin"/>
          <w:lang w:bidi="fa-IR"/>
          <w:color w:val="111111"/>
          <w:sz w:val="28"/>
          <w:szCs w:val="28"/>
          <w:rtl/>
        </w:rPr>
        <w:t xml:space="preserve">المتخلص ببقا نزیل طهران فی (1306) فی زمن تألیف المآثر و الآثار فترجمه فی (ص 202) و قد مدح أبا الفضل الکلانتری بقصیدة طبعت فی (ص عا) من مقدمه دیوانه المذکور فی (العدد 263).</w:t>
      </w:r>
    </w:p>
    <w:p>
      <w:pPr>
        <w:pStyle w:val="Heading3"/>
      </w:pPr>
      <w:bookmarkStart w:id="2369" w:name="_Toc1065"/>
      <w:r>
        <w:t>دیوان بقا بخاری‏</w:t>
      </w:r>
      <w:bookmarkEnd w:id="2369"/>
    </w:p>
    <w:p>
      <w:pPr>
        <w:pStyle w:val="BookText"/>
      </w:pPr>
      <w:r>
        <w:rPr>
          <w:rFonts w:ascii="IRNazanin" w:hAnsi="IRNazanin" w:eastAsia="IRNazanin" w:cs="IRNazanin"/>
          <w:lang w:bidi="fa-IR"/>
          <w:color w:val="111111"/>
          <w:sz w:val="28"/>
          <w:szCs w:val="28"/>
          <w:rtl/>
        </w:rPr>
        <w:t xml:space="preserve">مر بعنوان دیوان أنوار و یأتی أخری بعنوان دیوان علیم بخاری.</w:t>
      </w:r>
    </w:p>
    <w:p>
      <w:pPr>
        <w:pStyle w:val="Heading3"/>
      </w:pPr>
      <w:bookmarkStart w:id="2370" w:name="_Toc1066"/>
      <w:r>
        <w:t>دیوان بقا بدخشی‏</w:t>
      </w:r>
      <w:bookmarkEnd w:id="2370"/>
    </w:p>
    <w:p>
      <w:pPr>
        <w:pStyle w:val="BookText"/>
      </w:pPr>
      <w:r>
        <w:rPr>
          <w:rFonts w:ascii="IRNazanin" w:hAnsi="IRNazanin" w:eastAsia="IRNazanin" w:cs="IRNazanin"/>
          <w:lang w:bidi="fa-IR"/>
          <w:color w:val="111111"/>
          <w:sz w:val="28"/>
          <w:szCs w:val="28"/>
          <w:rtl/>
        </w:rPr>
        <w:t xml:space="preserve">یأتی بعنوان بقائی بدخشی.</w:t>
      </w:r>
    </w:p>
    <w:p>
      <w:pPr>
        <w:pStyle w:val="Heading3"/>
      </w:pPr>
      <w:bookmarkStart w:id="2371" w:name="_Toc1067"/>
      <w:r>
        <w:t>871- دیوان بقا هندی أو شعره‏</w:t>
      </w:r>
      <w:bookmarkEnd w:id="2371"/>
    </w:p>
    <w:p>
      <w:pPr>
        <w:pStyle w:val="BookText"/>
      </w:pPr>
      <w:r>
        <w:rPr>
          <w:rFonts w:ascii="IRNazanin" w:hAnsi="IRNazanin" w:eastAsia="IRNazanin" w:cs="IRNazanin"/>
          <w:lang w:bidi="fa-IR"/>
          <w:color w:val="111111"/>
          <w:sz w:val="28"/>
          <w:szCs w:val="28"/>
          <w:rtl/>
        </w:rPr>
        <w:t xml:space="preserve">و اسمه محمد السهارنپوری. کان من أحفاد الخواجة عبد الله الأنصاری. له مرآة جهان‏نما فی التاریخ و قد رتبه أخوه محمد رضا، و مات فی السنة السادسة و العشرین من جلوس اورنگ زیب عالم‏گیر پادشاه. کذا فی (گلشن- ص 67).</w:t>
      </w:r>
    </w:p>
    <w:p>
      <w:pPr>
        <w:pStyle w:val="BookText"/>
      </w:pPr>
      <w:r>
        <w:rPr>
          <w:rFonts w:ascii="IRNazanin" w:hAnsi="IRNazanin" w:eastAsia="IRNazanin" w:cs="IRNazanin"/>
          <w:lang w:bidi="fa-IR"/>
          <w:color w:val="111111"/>
          <w:sz w:val="28"/>
          <w:szCs w:val="28"/>
          <w:rtl/>
        </w:rPr>
        <w:t xml:space="preserve">و (روشن- ص 100).</w:t>
      </w:r>
    </w:p>
    <w:p>
      <w:pPr>
        <w:pStyle w:val="Heading3"/>
      </w:pPr>
      <w:bookmarkStart w:id="2372" w:name="_Toc1068"/>
      <w:r>
        <w:t>دیوان بقائی ابرقوهی‏</w:t>
      </w:r>
      <w:bookmarkEnd w:id="2372"/>
    </w:p>
    <w:p>
      <w:pPr>
        <w:pStyle w:val="BookText"/>
      </w:pPr>
      <w:r>
        <w:rPr>
          <w:rFonts w:ascii="IRNazanin" w:hAnsi="IRNazanin" w:eastAsia="IRNazanin" w:cs="IRNazanin"/>
          <w:lang w:bidi="fa-IR"/>
          <w:color w:val="111111"/>
          <w:sz w:val="28"/>
          <w:szCs w:val="28"/>
          <w:rtl/>
        </w:rPr>
        <w:t xml:space="preserve">و اسمه المیر أبو البقاء. مات (948) کذا فی (تغ- ص 27) و التاریخ غلط و لم یذکر معاصره النصرآبادی تخلص بقائی له فذکرناه بعنوان أبی البقاء فی (العدد- 205).</w:t>
      </w:r>
    </w:p>
    <w:p>
      <w:pPr>
        <w:pStyle w:val="Heading3"/>
      </w:pPr>
      <w:bookmarkStart w:id="2373" w:name="_Toc1069"/>
      <w:r>
        <w:t>872- دیوان بقائی بدخشی أو شعره‏</w:t>
      </w:r>
      <w:bookmarkEnd w:id="2373"/>
    </w:p>
    <w:p>
      <w:pPr>
        <w:pStyle w:val="BookText"/>
      </w:pPr>
      <w:r>
        <w:rPr>
          <w:rFonts w:ascii="IRNazanin" w:hAnsi="IRNazanin" w:eastAsia="IRNazanin" w:cs="IRNazanin"/>
          <w:lang w:bidi="fa-IR"/>
          <w:color w:val="111111"/>
          <w:sz w:val="28"/>
          <w:szCs w:val="28"/>
          <w:rtl/>
        </w:rPr>
        <w:t xml:space="preserve">ذکره فی (نر- 9 و 13- ص 393 و 481) و قال إنه بدخشی سکن تبریز، و أورد له مثنویا فی تاریخ زلزال تبریز العظیم فی (1060) و لکن سماه فی (ص 481) بقا بدل بقائی.</w:t>
      </w:r>
    </w:p>
    <w:p>
      <w:pPr>
        <w:pStyle w:val="Heading3"/>
      </w:pPr>
      <w:bookmarkStart w:id="2374" w:name="_Toc1070"/>
      <w:r>
        <w:t>873- دیوان بقائی تفرشی‏</w:t>
      </w:r>
      <w:bookmarkEnd w:id="2374"/>
    </w:p>
    <w:p>
      <w:pPr>
        <w:pStyle w:val="BookText"/>
      </w:pPr>
      <w:r>
        <w:rPr>
          <w:rFonts w:ascii="IRNazanin" w:hAnsi="IRNazanin" w:eastAsia="IRNazanin" w:cs="IRNazanin"/>
          <w:lang w:bidi="fa-IR"/>
          <w:color w:val="111111"/>
          <w:sz w:val="28"/>
          <w:szCs w:val="28"/>
          <w:rtl/>
        </w:rPr>
        <w:t xml:space="preserve">للمیر أبی البقاء محمد عارف التفرشی، الذی ألف تذکره لطائف الخیال بعد (1050) کما یظهر من (دجا- ص 166 و 192). ترجمه فی (خص 6- ص 100) و قال فی (تغ- ص 5) إن له تذکره لم یتمه. و الظاهر أنه غیر بقائی ابرقوهی. راجع الهامش ص 1052</w:t>
      </w:r>
    </w:p>
    <w:p>
      <w:pPr>
        <w:pStyle w:val="Heading3"/>
      </w:pPr>
      <w:bookmarkStart w:id="2375" w:name="_Toc1071"/>
      <w:r>
        <w:t>874- دیوان بقائی خوارزمی أو شعره‏</w:t>
      </w:r>
      <w:bookmarkEnd w:id="2375"/>
    </w:p>
    <w:p>
      <w:pPr>
        <w:pStyle w:val="BookText"/>
      </w:pPr>
      <w:r>
        <w:rPr>
          <w:rFonts w:ascii="IRNazanin" w:hAnsi="IRNazanin" w:eastAsia="IRNazanin" w:cs="IRNazanin"/>
          <w:lang w:bidi="fa-IR"/>
          <w:color w:val="111111"/>
          <w:sz w:val="28"/>
          <w:szCs w:val="28"/>
          <w:rtl/>
        </w:rPr>
        <w:t xml:space="preserve">أورد شعره فی (مجن 6- ص 117 و 288) و فی نسخه اسمه لقائی. قال و حج بأمه من غیر زاد.</w:t>
      </w:r>
    </w:p>
    <w:p>
      <w:pPr>
        <w:pStyle w:val="Heading3"/>
      </w:pPr>
      <w:bookmarkStart w:id="2376" w:name="_Toc1072"/>
      <w:r>
        <w:t>875- دیوان بقائی سمرقندی أو شعره‏</w:t>
      </w:r>
      <w:bookmarkEnd w:id="2376"/>
    </w:p>
    <w:p>
      <w:pPr>
        <w:pStyle w:val="BookText"/>
      </w:pPr>
      <w:r>
        <w:rPr>
          <w:rFonts w:ascii="IRNazanin" w:hAnsi="IRNazanin" w:eastAsia="IRNazanin" w:cs="IRNazanin"/>
          <w:lang w:bidi="fa-IR"/>
          <w:color w:val="111111"/>
          <w:sz w:val="28"/>
          <w:szCs w:val="28"/>
          <w:rtl/>
        </w:rPr>
        <w:t xml:space="preserve">الماهر فی الموسیقی و العلم و الأدب و الشعر.</w:t>
      </w:r>
    </w:p>
    <w:p>
      <w:pPr>
        <w:pStyle w:val="BookText"/>
      </w:pPr>
      <w:r>
        <w:rPr>
          <w:rFonts w:ascii="IRNazanin" w:hAnsi="IRNazanin" w:eastAsia="IRNazanin" w:cs="IRNazanin"/>
          <w:lang w:bidi="fa-IR"/>
          <w:color w:val="111111"/>
          <w:sz w:val="28"/>
          <w:szCs w:val="28"/>
          <w:rtl/>
        </w:rPr>
        <w:t xml:space="preserve">کذا فی (بهش 2- ص 379).</w:t>
      </w:r>
    </w:p>
    <w:p>
      <w:pPr>
        <w:pStyle w:val="Heading3"/>
      </w:pPr>
      <w:bookmarkStart w:id="2377" w:name="_Toc1073"/>
      <w:r>
        <w:t>876- دیوان بقائی کمانگر أو شعره‏</w:t>
      </w:r>
      <w:bookmarkEnd w:id="2377"/>
    </w:p>
    <w:p>
      <w:pPr>
        <w:pStyle w:val="BookText"/>
      </w:pPr>
      <w:r>
        <w:rPr>
          <w:rFonts w:ascii="IRNazanin" w:hAnsi="IRNazanin" w:eastAsia="IRNazanin" w:cs="IRNazanin"/>
          <w:lang w:bidi="fa-IR"/>
          <w:color w:val="111111"/>
          <w:sz w:val="28"/>
          <w:szCs w:val="28"/>
          <w:rtl/>
        </w:rPr>
        <w:t xml:space="preserve">القواس، الماهر فی المعمی. أورد شعره فی (مجن 3- ص 68 و 241).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39" w:name="pg11704_121616"/>
    <w:bookmarkEnd w:id="139"/>
    <w:p>
      <w:pPr>
        <w:pStyle w:val="Heading3"/>
      </w:pPr>
      <w:bookmarkStart w:id="2378" w:name="_Toc1074"/>
      <w:r>
        <w:t>877- دیوان بقائی قهستانی أو شعره‏</w:t>
      </w:r>
      <w:bookmarkEnd w:id="2378"/>
    </w:p>
    <w:p>
      <w:pPr>
        <w:pStyle w:val="BookText"/>
      </w:pPr>
      <w:r>
        <w:rPr>
          <w:rFonts w:ascii="IRNazanin" w:hAnsi="IRNazanin" w:eastAsia="IRNazanin" w:cs="IRNazanin"/>
          <w:lang w:bidi="fa-IR"/>
          <w:color w:val="111111"/>
          <w:sz w:val="28"/>
          <w:szCs w:val="28"/>
          <w:rtl/>
        </w:rPr>
        <w:t xml:space="preserve">الماهر فی المعانی و البیان أورد شعره فی (گلشن- ص 67)</w:t>
      </w:r>
    </w:p>
    <w:p>
      <w:pPr>
        <w:pStyle w:val="Heading3"/>
      </w:pPr>
      <w:bookmarkStart w:id="2379" w:name="_Toc1075"/>
      <w:r>
        <w:t>878- دیوان بقائی هندی أو شعره‏</w:t>
      </w:r>
      <w:bookmarkEnd w:id="2379"/>
    </w:p>
    <w:p>
      <w:pPr>
        <w:pStyle w:val="BookText"/>
      </w:pPr>
      <w:r>
        <w:rPr>
          <w:rFonts w:ascii="IRNazanin" w:hAnsi="IRNazanin" w:eastAsia="IRNazanin" w:cs="IRNazanin"/>
          <w:lang w:bidi="fa-IR"/>
          <w:color w:val="111111"/>
          <w:sz w:val="28"/>
          <w:szCs w:val="28"/>
          <w:rtl/>
        </w:rPr>
        <w:t xml:space="preserve">و هو ابن یادگار خان حالتی، کما ذکره صاحب طبقات أکبری المتوفی (1003) فی (ج 2- ص 515) و قال إنه متهم بقتل والده‏</w:t>
      </w:r>
    </w:p>
    <w:p>
      <w:pPr>
        <w:pStyle w:val="Heading3"/>
      </w:pPr>
      <w:bookmarkStart w:id="2380" w:name="_Toc1076"/>
      <w:r>
        <w:t>879- دیوان بقائی هندی أو شعره‏</w:t>
      </w:r>
      <w:bookmarkEnd w:id="2380"/>
    </w:p>
    <w:p>
      <w:pPr>
        <w:pStyle w:val="BookText"/>
      </w:pPr>
      <w:r>
        <w:rPr>
          <w:rFonts w:ascii="IRNazanin" w:hAnsi="IRNazanin" w:eastAsia="IRNazanin" w:cs="IRNazanin"/>
          <w:lang w:bidi="fa-IR"/>
          <w:color w:val="111111"/>
          <w:sz w:val="28"/>
          <w:szCs w:val="28"/>
          <w:rtl/>
        </w:rPr>
        <w:t xml:space="preserve">قال فی طبقات أکبری (ج 2 ص 511) إنه شاب و معاشر معی و لعله هو بقا الهندی المذکور فی (العدد 871)</w:t>
      </w:r>
    </w:p>
    <w:p>
      <w:pPr>
        <w:pStyle w:val="Heading3"/>
      </w:pPr>
      <w:bookmarkStart w:id="2381" w:name="_Toc1077"/>
      <w:r>
        <w:t>880- دیوان بلائی بخاری أو شعره‏</w:t>
      </w:r>
      <w:bookmarkEnd w:id="2381"/>
    </w:p>
    <w:p>
      <w:pPr>
        <w:pStyle w:val="BookText"/>
      </w:pPr>
      <w:r>
        <w:rPr>
          <w:rFonts w:ascii="IRNazanin" w:hAnsi="IRNazanin" w:eastAsia="IRNazanin" w:cs="IRNazanin"/>
          <w:lang w:bidi="fa-IR"/>
          <w:color w:val="111111"/>
          <w:sz w:val="28"/>
          <w:szCs w:val="28"/>
          <w:rtl/>
        </w:rPr>
        <w:t xml:space="preserve">المقلد أحیانا ترجمه فی (مجتس 6- ص 159) و (روشن- ص 101)</w:t>
      </w:r>
    </w:p>
    <w:p>
      <w:pPr>
        <w:pStyle w:val="Heading3"/>
      </w:pPr>
      <w:bookmarkStart w:id="2382" w:name="_Toc1078"/>
      <w:r>
        <w:t>881- دیوان بلاغی نائنی‏</w:t>
      </w:r>
      <w:bookmarkEnd w:id="2382"/>
    </w:p>
    <w:p>
      <w:pPr>
        <w:pStyle w:val="BookText"/>
      </w:pPr>
      <w:r>
        <w:rPr>
          <w:rFonts w:ascii="IRNazanin" w:hAnsi="IRNazanin" w:eastAsia="IRNazanin" w:cs="IRNazanin"/>
          <w:lang w:bidi="fa-IR"/>
          <w:color w:val="111111"/>
          <w:sz w:val="28"/>
          <w:szCs w:val="28"/>
          <w:rtl/>
        </w:rPr>
        <w:t xml:space="preserve">و هو السید عبد الحجة بن حسن الحسینی النائنی الشیرازی الأصفهانی، نزیل طهران أخیرا ولد (1313) و قد یتخلص فیه ب حجت‏</w:t>
      </w:r>
    </w:p>
    <w:p>
      <w:pPr>
        <w:pStyle w:val="Heading3"/>
      </w:pPr>
      <w:bookmarkStart w:id="2383" w:name="_Toc1079"/>
      <w:r>
        <w:t>882- دیوان البلاغی النجفی‏</w:t>
      </w:r>
      <w:bookmarkEnd w:id="2383"/>
    </w:p>
    <w:p>
      <w:pPr>
        <w:pStyle w:val="BookText"/>
      </w:pPr>
      <w:r>
        <w:rPr>
          <w:rFonts w:ascii="IRNazanin" w:hAnsi="IRNazanin" w:eastAsia="IRNazanin" w:cs="IRNazanin"/>
          <w:lang w:bidi="fa-IR"/>
          <w:color w:val="111111"/>
          <w:sz w:val="28"/>
          <w:szCs w:val="28"/>
          <w:rtl/>
        </w:rPr>
        <w:t xml:space="preserve">و هو الشیخ محمد جواد بن الشیخ حسن بن طالب البلاغی المتوفی یوم الاثنین (22- شعبان- 1352) و له قصائد فی رثاء السید عبد الکریم بن الحسن الأعرجی المتوفی (1308) و غیره مما أورده السید جعفر الأعرجی فی نفحة بغداد فی نسب الأعرجیة الأمجاد و طبع بعض قصائده مع حاشیة المکاسب، منها القصیدة فی جواب القصیدة البغدادیة</w:t>
      </w:r>
    </w:p>
    <w:p>
      <w:pPr>
        <w:pStyle w:val="Heading3"/>
      </w:pPr>
      <w:bookmarkStart w:id="2384" w:name="_Toc1080"/>
      <w:r>
        <w:t>883- دیوان البلاغی النجفی‏</w:t>
      </w:r>
      <w:bookmarkEnd w:id="2384"/>
    </w:p>
    <w:p>
      <w:pPr>
        <w:pStyle w:val="BookText"/>
      </w:pPr>
      <w:r>
        <w:rPr>
          <w:rFonts w:ascii="IRNazanin" w:hAnsi="IRNazanin" w:eastAsia="IRNazanin" w:cs="IRNazanin"/>
          <w:lang w:bidi="fa-IR"/>
          <w:color w:val="111111"/>
          <w:sz w:val="28"/>
          <w:szCs w:val="28"/>
          <w:rtl/>
        </w:rPr>
        <w:t xml:space="preserve">و هو الشیخ حسین بن الشیخ طالب، عم الشیخ جواد البلاغی المذکور، له مراثی السادة الأعرجیة، أوردها السید جعفر أیضا فی کتابه نفحة بغداد المذکور، منها رثاء السید حسن بن مهدی المتوفی (1289) و السید عبد الکریم المتوفی (1308) الأعرجیین‏</w:t>
      </w:r>
    </w:p>
    <w:p>
      <w:pPr>
        <w:pStyle w:val="Heading3"/>
      </w:pPr>
      <w:bookmarkStart w:id="2385" w:name="_Toc1081"/>
      <w:r>
        <w:t>دیوان بلالی أو شعره‏</w:t>
      </w:r>
      <w:bookmarkEnd w:id="2385"/>
    </w:p>
    <w:p>
      <w:pPr>
        <w:pStyle w:val="BookText"/>
      </w:pPr>
      <w:r>
        <w:rPr>
          <w:rFonts w:ascii="IRNazanin" w:hAnsi="IRNazanin" w:eastAsia="IRNazanin" w:cs="IRNazanin"/>
          <w:lang w:bidi="fa-IR"/>
          <w:color w:val="111111"/>
          <w:sz w:val="28"/>
          <w:szCs w:val="28"/>
          <w:rtl/>
        </w:rPr>
        <w:t xml:space="preserve">ذکره فی (مجن 2- ص 53 و 226) و قال إن اسمه فی بعض النسخ هلالی و بعضها هلال و بلال و بلالی و کابلی و أورد شعره‏</w:t>
      </w:r>
    </w:p>
    <w:p>
      <w:pPr>
        <w:pStyle w:val="Heading3"/>
      </w:pPr>
      <w:bookmarkStart w:id="2386" w:name="_Toc1082"/>
      <w:r>
        <w:t>884- دیوان بلبل کوچک أو شعره‏</w:t>
      </w:r>
      <w:bookmarkEnd w:id="2386"/>
    </w:p>
    <w:p>
      <w:pPr>
        <w:pStyle w:val="BookText"/>
      </w:pPr>
      <w:r>
        <w:rPr>
          <w:rFonts w:ascii="IRNazanin" w:hAnsi="IRNazanin" w:eastAsia="IRNazanin" w:cs="IRNazanin"/>
          <w:lang w:bidi="fa-IR"/>
          <w:color w:val="111111"/>
          <w:sz w:val="28"/>
          <w:szCs w:val="28"/>
          <w:rtl/>
        </w:rPr>
        <w:t xml:space="preserve">هو السید محمد حسین بن إسماعیل الخراسانی ولد بکربلاء (1271) و هاجر إلی دکن حیدرآباد ثم کلکتة و کان حیا فی (1295) سنة تألیف (گلشن) فأورد شعره فیه‏</w:t>
      </w:r>
    </w:p>
    <w:p>
      <w:pPr>
        <w:pStyle w:val="Heading3"/>
      </w:pPr>
      <w:bookmarkStart w:id="2387" w:name="_Toc1083"/>
      <w:r>
        <w:t>885- دیوان بلبل یزدی أو شعره‏</w:t>
      </w:r>
      <w:bookmarkEnd w:id="2387"/>
    </w:p>
    <w:p>
      <w:pPr>
        <w:pStyle w:val="BookText"/>
      </w:pPr>
      <w:r>
        <w:rPr>
          <w:rFonts w:ascii="IRNazanin" w:hAnsi="IRNazanin" w:eastAsia="IRNazanin" w:cs="IRNazanin"/>
          <w:lang w:bidi="fa-IR"/>
          <w:color w:val="111111"/>
          <w:sz w:val="28"/>
          <w:szCs w:val="28"/>
          <w:rtl/>
        </w:rPr>
        <w:t xml:space="preserve">أورد شعره فی (روشن- ص 101) و (تغ- ص 27)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40" w:name="pg11704_121617"/>
    <w:bookmarkEnd w:id="140"/>
    <w:p>
      <w:pPr>
        <w:pStyle w:val="Heading3"/>
      </w:pPr>
      <w:bookmarkStart w:id="2388" w:name="_Toc1084"/>
      <w:r>
        <w:t>دیوان بلخی‏</w:t>
      </w:r>
      <w:bookmarkEnd w:id="2388"/>
    </w:p>
    <w:p>
      <w:pPr>
        <w:pStyle w:val="BookText"/>
      </w:pPr>
      <w:r>
        <w:rPr>
          <w:rFonts w:ascii="IRNazanin" w:hAnsi="IRNazanin" w:eastAsia="IRNazanin" w:cs="IRNazanin"/>
          <w:lang w:bidi="fa-IR"/>
          <w:color w:val="111111"/>
          <w:sz w:val="28"/>
          <w:szCs w:val="28"/>
          <w:rtl/>
        </w:rPr>
        <w:t xml:space="preserve">جلال الدین محمد راجع دیوان شمس تبریزی و دیوان ملای روم‏</w:t>
      </w:r>
    </w:p>
    <w:p>
      <w:pPr>
        <w:pStyle w:val="Heading3"/>
      </w:pPr>
      <w:bookmarkStart w:id="2389" w:name="_Toc1085"/>
      <w:r>
        <w:t>دیوان بلخی‏</w:t>
      </w:r>
      <w:bookmarkEnd w:id="2389"/>
    </w:p>
    <w:p>
      <w:pPr>
        <w:pStyle w:val="BookText"/>
      </w:pPr>
      <w:r>
        <w:rPr>
          <w:rFonts w:ascii="IRNazanin" w:hAnsi="IRNazanin" w:eastAsia="IRNazanin" w:cs="IRNazanin"/>
          <w:lang w:bidi="fa-IR"/>
          <w:color w:val="111111"/>
          <w:sz w:val="28"/>
          <w:szCs w:val="28"/>
          <w:rtl/>
        </w:rPr>
        <w:t xml:space="preserve">یأتی بعنوان شریف بلخی‏</w:t>
      </w:r>
    </w:p>
    <w:p>
      <w:pPr>
        <w:pStyle w:val="Heading3"/>
      </w:pPr>
      <w:bookmarkStart w:id="2390" w:name="_Toc1086"/>
      <w:r>
        <w:t>دیوان بلگرامی‏</w:t>
      </w:r>
      <w:bookmarkEnd w:id="2390"/>
    </w:p>
    <w:p>
      <w:pPr>
        <w:pStyle w:val="BookText"/>
      </w:pPr>
      <w:r>
        <w:rPr>
          <w:rFonts w:ascii="IRNazanin" w:hAnsi="IRNazanin" w:eastAsia="IRNazanin" w:cs="IRNazanin"/>
          <w:lang w:bidi="fa-IR"/>
          <w:color w:val="111111"/>
          <w:sz w:val="28"/>
          <w:szCs w:val="28"/>
          <w:rtl/>
        </w:rPr>
        <w:t xml:space="preserve">مر بعنوان دیوان آزاد بلگرامی‏</w:t>
      </w:r>
    </w:p>
    <w:p>
      <w:pPr>
        <w:pStyle w:val="Heading3"/>
      </w:pPr>
      <w:bookmarkStart w:id="2391" w:name="_Toc1087"/>
      <w:r>
        <w:t>886- دیوان بلندإقبال أو شعره‏</w:t>
      </w:r>
      <w:bookmarkEnd w:id="2391"/>
    </w:p>
    <w:p>
      <w:pPr>
        <w:pStyle w:val="BookText"/>
      </w:pPr>
      <w:r>
        <w:rPr>
          <w:rFonts w:ascii="IRNazanin" w:hAnsi="IRNazanin" w:eastAsia="IRNazanin" w:cs="IRNazanin"/>
          <w:lang w:bidi="fa-IR"/>
          <w:color w:val="111111"/>
          <w:sz w:val="28"/>
          <w:szCs w:val="28"/>
          <w:rtl/>
        </w:rPr>
        <w:t xml:space="preserve">المیرزا رضی کان حیا فی زمن تألیف آثار العجم فی (1313) و ترجمه و ولده بهائی فیه (ص 540) و عنه فی ریحانة الأدب و أوردوا شعره‏</w:t>
      </w:r>
    </w:p>
    <w:p>
      <w:pPr>
        <w:pStyle w:val="Heading3"/>
      </w:pPr>
      <w:bookmarkStart w:id="2392" w:name="_Toc1088"/>
      <w:r>
        <w:t>887- دیوان بلندی أدرنه‏ای أو شعره‏</w:t>
      </w:r>
      <w:bookmarkEnd w:id="2392"/>
    </w:p>
    <w:p>
      <w:pPr>
        <w:pStyle w:val="BookText"/>
      </w:pPr>
      <w:r>
        <w:rPr>
          <w:rFonts w:ascii="IRNazanin" w:hAnsi="IRNazanin" w:eastAsia="IRNazanin" w:cs="IRNazanin"/>
          <w:lang w:bidi="fa-IR"/>
          <w:color w:val="111111"/>
          <w:sz w:val="28"/>
          <w:szCs w:val="28"/>
          <w:rtl/>
        </w:rPr>
        <w:t xml:space="preserve">و هو إبراهیم الأدرنه‏ای المتوفی (1035) أو (1029) له شرح معمیات میر حسین المعمائی کذا فی کشف الظنون‏</w:t>
      </w:r>
    </w:p>
    <w:p>
      <w:pPr>
        <w:pStyle w:val="Heading3"/>
      </w:pPr>
      <w:bookmarkStart w:id="2393" w:name="_Toc1089"/>
      <w:r>
        <w:t>888- دیوان بلندی عراقی أو شعره‏</w:t>
      </w:r>
      <w:bookmarkEnd w:id="2393"/>
    </w:p>
    <w:p>
      <w:pPr>
        <w:pStyle w:val="BookText"/>
      </w:pPr>
      <w:r>
        <w:rPr>
          <w:rFonts w:ascii="IRNazanin" w:hAnsi="IRNazanin" w:eastAsia="IRNazanin" w:cs="IRNazanin"/>
          <w:lang w:bidi="fa-IR"/>
          <w:color w:val="111111"/>
          <w:sz w:val="28"/>
          <w:szCs w:val="28"/>
          <w:rtl/>
        </w:rPr>
        <w:t xml:space="preserve">من ملازمی إبراهیم میرزا الصفوی أورد شعره فی (روشن- ص 102)</w:t>
      </w:r>
    </w:p>
    <w:p>
      <w:pPr>
        <w:pStyle w:val="Heading3"/>
      </w:pPr>
      <w:bookmarkStart w:id="2394" w:name="_Toc1090"/>
      <w:r>
        <w:t>889- دیوان بلیغ شاه جهان‏پوری أو شعره‏</w:t>
      </w:r>
      <w:bookmarkEnd w:id="2394"/>
    </w:p>
    <w:p>
      <w:pPr>
        <w:pStyle w:val="BookText"/>
      </w:pPr>
      <w:r>
        <w:rPr>
          <w:rFonts w:ascii="IRNazanin" w:hAnsi="IRNazanin" w:eastAsia="IRNazanin" w:cs="IRNazanin"/>
          <w:lang w:bidi="fa-IR"/>
          <w:color w:val="111111"/>
          <w:sz w:val="28"/>
          <w:szCs w:val="28"/>
          <w:rtl/>
        </w:rPr>
        <w:t xml:space="preserve">من ملازمی واجد علی شاه ملک الأود بهند أورد شعره فی (روشن- ص 102)</w:t>
      </w:r>
    </w:p>
    <w:p>
      <w:pPr>
        <w:pStyle w:val="Heading3"/>
      </w:pPr>
      <w:bookmarkStart w:id="2395" w:name="_Toc1091"/>
      <w:r>
        <w:t>890- دیوان بلیغ فرخ‏آبادی أو شعره‏</w:t>
      </w:r>
      <w:bookmarkEnd w:id="2395"/>
    </w:p>
    <w:p>
      <w:pPr>
        <w:pStyle w:val="BookText"/>
      </w:pPr>
      <w:r>
        <w:rPr>
          <w:rFonts w:ascii="IRNazanin" w:hAnsi="IRNazanin" w:eastAsia="IRNazanin" w:cs="IRNazanin"/>
          <w:lang w:bidi="fa-IR"/>
          <w:color w:val="111111"/>
          <w:sz w:val="28"/>
          <w:szCs w:val="28"/>
          <w:rtl/>
        </w:rPr>
        <w:t xml:space="preserve">و هو امانت خان بن محمد خان أورد شعره فی (روشن- ص 102)</w:t>
      </w:r>
    </w:p>
    <w:p>
      <w:pPr>
        <w:pStyle w:val="Heading3"/>
      </w:pPr>
      <w:bookmarkStart w:id="2396" w:name="_Toc1092"/>
      <w:r>
        <w:t>دیوان بمان علی‏</w:t>
      </w:r>
      <w:bookmarkEnd w:id="2396"/>
    </w:p>
    <w:p>
      <w:pPr>
        <w:pStyle w:val="BookText"/>
      </w:pPr>
      <w:r>
        <w:rPr>
          <w:rFonts w:ascii="IRNazanin" w:hAnsi="IRNazanin" w:eastAsia="IRNazanin" w:cs="IRNazanin"/>
          <w:lang w:bidi="fa-IR"/>
          <w:color w:val="111111"/>
          <w:sz w:val="28"/>
          <w:szCs w:val="28"/>
          <w:rtl/>
        </w:rPr>
        <w:t xml:space="preserve">و اسمه مانی یأتی بعنوان دیوان راجی‏</w:t>
      </w:r>
    </w:p>
    <w:p>
      <w:pPr>
        <w:pStyle w:val="Heading3"/>
      </w:pPr>
      <w:bookmarkStart w:id="2397" w:name="_Toc1093"/>
      <w:r>
        <w:t>891- دیوان بناء یزدی أو شعره‏</w:t>
      </w:r>
      <w:bookmarkEnd w:id="2397"/>
    </w:p>
    <w:p>
      <w:pPr>
        <w:pStyle w:val="BookText"/>
      </w:pPr>
      <w:r>
        <w:rPr>
          <w:rFonts w:ascii="IRNazanin" w:hAnsi="IRNazanin" w:eastAsia="IRNazanin" w:cs="IRNazanin"/>
          <w:lang w:bidi="fa-IR"/>
          <w:color w:val="111111"/>
          <w:sz w:val="28"/>
          <w:szCs w:val="28"/>
          <w:rtl/>
        </w:rPr>
        <w:t xml:space="preserve">و اسمه حسین ترجمه و أورد شعره (تش یز- ص 278) عن تاریخ مفیدی‏</w:t>
      </w:r>
    </w:p>
    <w:p>
      <w:pPr>
        <w:pStyle w:val="Heading3"/>
      </w:pPr>
      <w:bookmarkStart w:id="2398" w:name="_Toc1094"/>
      <w:r>
        <w:t>دیوان بنائی تونی‏</w:t>
      </w:r>
      <w:bookmarkEnd w:id="2398"/>
    </w:p>
    <w:p>
      <w:pPr>
        <w:pStyle w:val="BookText"/>
      </w:pPr>
      <w:r>
        <w:rPr>
          <w:rFonts w:ascii="IRNazanin" w:hAnsi="IRNazanin" w:eastAsia="IRNazanin" w:cs="IRNazanin"/>
          <w:lang w:bidi="fa-IR"/>
          <w:color w:val="111111"/>
          <w:sz w:val="28"/>
          <w:szCs w:val="28"/>
          <w:rtl/>
        </w:rPr>
        <w:t xml:space="preserve">جاء إلی الهند فی عهد همایون پادشاه أورد شعره فی (گلشن) و أظنه متحد مع ما بعده‏</w:t>
      </w:r>
    </w:p>
    <w:p>
      <w:pPr>
        <w:pStyle w:val="Heading3"/>
      </w:pPr>
      <w:bookmarkStart w:id="2399" w:name="_Toc1095"/>
      <w:r>
        <w:t>892- دیوان بنائی هروی‏</w:t>
      </w:r>
      <w:bookmarkEnd w:id="2399"/>
    </w:p>
    <w:p>
      <w:pPr>
        <w:pStyle w:val="BookText"/>
      </w:pPr>
      <w:r>
        <w:rPr>
          <w:rFonts w:ascii="IRNazanin" w:hAnsi="IRNazanin" w:eastAsia="IRNazanin" w:cs="IRNazanin"/>
          <w:lang w:bidi="fa-IR"/>
          <w:color w:val="111111"/>
          <w:sz w:val="28"/>
          <w:szCs w:val="28"/>
          <w:rtl/>
        </w:rPr>
        <w:t xml:space="preserve">کان والده یشتغل بالبناء فتخلص به ولد بهراة و مهر فی الموسیقی و له رسالتان فی الأدوار الموسیقیة، و مهر فی الخط أیضا، و تتبع شعر الحافظ الشیرازی، و کان یهجو کثیرا فهجا میر علی شیر و فر منه إلی العراق فآذربایجان، و تقرب عند السلطان یعقوب آق‏قوینلو و القاضی عیسی، و بعد موته رجع إلی خراسان و تقرب عند شاهی بیک أوزبک، و بعد موته کان مع الأزبک و قتل فی حربهم مع الصوفیة (یرید الصفویة) هذا ما یظهر من (مجن 3- ص 60 و 232 و 74 و 293) قال- فی (تش- ص 147) إنه کان یتخلص أخیرا بحالی و کان فی خدمة الأمیر محمد الشیبانی و فی (918) قتل فی مقتله‏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41" w:name="pg11704_121618"/>
    <w:bookmarkEnd w:id="141"/>
    <w:p>
      <w:pPr>
        <w:pStyle w:val="BookText"/>
      </w:pPr>
      <w:r>
        <w:rPr>
          <w:rFonts w:ascii="IRNazanin" w:hAnsi="IRNazanin" w:eastAsia="IRNazanin" w:cs="IRNazanin"/>
          <w:lang w:bidi="fa-IR"/>
          <w:color w:val="111111"/>
          <w:sz w:val="28"/>
          <w:szCs w:val="28"/>
          <w:rtl/>
        </w:rPr>
        <w:t xml:space="preserve">قصبة قرشی بما وراء النهر علی ید النجم الثانی من أمراء الشاه إسماعیل الصفوی، و عنه نقل المستر براون فی (ج 4- ص 65 و 76) و فی قاموس الأعلام الترکیة و عنه فی ریحانة الأدب له مثنوی بهرام و بهروز نظمه باسم السلطان یعقوب و دیوانه فی ستة آلاف بیت، و تتبع شعره، ضمیری الأصفهانی کما ذکرناه فی (ج 7 ص 261)</w:t>
      </w:r>
    </w:p>
    <w:p>
      <w:pPr>
        <w:pStyle w:val="Heading3"/>
      </w:pPr>
      <w:bookmarkStart w:id="2400" w:name="_Toc1096"/>
      <w:r>
        <w:t>دیوان بناکتی أو پناکتی أو فناکتی‏</w:t>
      </w:r>
      <w:bookmarkEnd w:id="2400"/>
    </w:p>
    <w:p>
      <w:pPr>
        <w:pStyle w:val="BookText"/>
      </w:pPr>
      <w:r>
        <w:rPr>
          <w:rFonts w:ascii="IRNazanin" w:hAnsi="IRNazanin" w:eastAsia="IRNazanin" w:cs="IRNazanin"/>
          <w:lang w:bidi="fa-IR"/>
          <w:color w:val="111111"/>
          <w:sz w:val="28"/>
          <w:szCs w:val="28"/>
          <w:rtl/>
        </w:rPr>
        <w:t xml:space="preserve">یأتی بعنوان فخر بناکتی‏</w:t>
      </w:r>
    </w:p>
    <w:p>
      <w:pPr>
        <w:pStyle w:val="Heading3"/>
      </w:pPr>
      <w:bookmarkStart w:id="2401" w:name="_Toc1097"/>
      <w:r>
        <w:t>893- دیوان بنت أو شعرها</w:t>
      </w:r>
      <w:bookmarkEnd w:id="2401"/>
    </w:p>
    <w:p>
      <w:pPr>
        <w:pStyle w:val="BookText"/>
      </w:pPr>
      <w:r>
        <w:rPr>
          <w:rFonts w:ascii="IRNazanin" w:hAnsi="IRNazanin" w:eastAsia="IRNazanin" w:cs="IRNazanin"/>
          <w:lang w:bidi="fa-IR"/>
          <w:color w:val="111111"/>
          <w:sz w:val="28"/>
          <w:szCs w:val="28"/>
          <w:rtl/>
        </w:rPr>
        <w:t xml:space="preserve">و هذا تخلص شعری لبنت حسام سالار، من معاصری الشاه عباس الأول الصفوی أورد شعره فی (گلشن- ص 68)</w:t>
      </w:r>
    </w:p>
    <w:p>
      <w:pPr>
        <w:pStyle w:val="Heading3"/>
      </w:pPr>
      <w:bookmarkStart w:id="2402" w:name="_Toc1098"/>
      <w:r>
        <w:t>894- دیوان بندار رازی‏</w:t>
      </w:r>
      <w:bookmarkEnd w:id="2402"/>
    </w:p>
    <w:p>
      <w:pPr>
        <w:pStyle w:val="BookText"/>
      </w:pPr>
      <w:r>
        <w:rPr>
          <w:rFonts w:ascii="IRNazanin" w:hAnsi="IRNazanin" w:eastAsia="IRNazanin" w:cs="IRNazanin"/>
          <w:lang w:bidi="fa-IR"/>
          <w:color w:val="111111"/>
          <w:sz w:val="28"/>
          <w:szCs w:val="28"/>
          <w:rtl/>
        </w:rPr>
        <w:t xml:space="preserve">و هو الخواجة کمال الدین، من قهستان ری، و قد یلقب بملک الکلام رباه الصاحب بن عباد و مدحه الظهیر الفاریابی، له الشعر بالفارسیة و العربیة و الدیلمیة قال المستوفی فی تاریخ گزیده (ص 816) إن دیوانه مشهور مات (401) ترجمه فی (مع 1: 171) و (ض- ص 290) و (تغ- ص 27) و (روشن: 103) و سفینة الشعراء، و غیرها</w:t>
      </w:r>
    </w:p>
    <w:p>
      <w:pPr>
        <w:pStyle w:val="Heading3"/>
      </w:pPr>
      <w:bookmarkStart w:id="2403" w:name="_Toc1099"/>
      <w:r>
        <w:t>895- دیوان بنده تبریزی أو شعره‏</w:t>
      </w:r>
      <w:bookmarkEnd w:id="2403"/>
    </w:p>
    <w:p>
      <w:pPr>
        <w:pStyle w:val="BookText"/>
      </w:pPr>
      <w:r>
        <w:rPr>
          <w:rFonts w:ascii="IRNazanin" w:hAnsi="IRNazanin" w:eastAsia="IRNazanin" w:cs="IRNazanin"/>
          <w:lang w:bidi="fa-IR"/>
          <w:color w:val="111111"/>
          <w:sz w:val="28"/>
          <w:szCs w:val="28"/>
          <w:rtl/>
        </w:rPr>
        <w:t xml:space="preserve">و اسمه المیر محمد رضی بن المیر محمد شفیع الخطاط کان منشی الممالک و له زینة التواریخ و مات (1222) کان ینظم الشعر بالفارسیة و العربیة و الترکیة ترجمه فی (مع: 2: 80)</w:t>
      </w:r>
    </w:p>
    <w:p>
      <w:pPr>
        <w:pStyle w:val="Heading3"/>
      </w:pPr>
      <w:bookmarkStart w:id="2404" w:name="_Toc1100"/>
      <w:r>
        <w:t>896- دیوان بو حفص خوزی أو شعره‏</w:t>
      </w:r>
      <w:bookmarkEnd w:id="2404"/>
    </w:p>
    <w:p>
      <w:pPr>
        <w:pStyle w:val="BookText"/>
      </w:pPr>
      <w:r>
        <w:rPr>
          <w:rFonts w:ascii="IRNazanin" w:hAnsi="IRNazanin" w:eastAsia="IRNazanin" w:cs="IRNazanin"/>
          <w:lang w:bidi="fa-IR"/>
          <w:color w:val="111111"/>
          <w:sz w:val="28"/>
          <w:szCs w:val="28"/>
          <w:rtl/>
        </w:rPr>
        <w:t xml:space="preserve">المعاصر لأبی سعید أبی الخیر ترجمه فی (ض- ص 69) و أورد شعره‏</w:t>
      </w:r>
    </w:p>
    <w:p>
      <w:pPr>
        <w:pStyle w:val="Heading3"/>
      </w:pPr>
      <w:bookmarkStart w:id="2405" w:name="_Toc1101"/>
      <w:r>
        <w:t>897- دیوان بو علی أو شعره‏</w:t>
      </w:r>
      <w:bookmarkEnd w:id="2405"/>
    </w:p>
    <w:p>
      <w:pPr>
        <w:pStyle w:val="BookText"/>
      </w:pPr>
      <w:r>
        <w:rPr>
          <w:rFonts w:ascii="IRNazanin" w:hAnsi="IRNazanin" w:eastAsia="IRNazanin" w:cs="IRNazanin"/>
          <w:lang w:bidi="fa-IR"/>
          <w:color w:val="111111"/>
          <w:sz w:val="28"/>
          <w:szCs w:val="28"/>
          <w:rtl/>
        </w:rPr>
        <w:t xml:space="preserve">من معاصری میر علی شیر فترجمه فی (مجن 3- ص 80 و 255) و قال یتخلص ببو علی و أورد شعره‏</w:t>
      </w:r>
    </w:p>
    <w:p>
      <w:pPr>
        <w:pStyle w:val="Heading3"/>
      </w:pPr>
      <w:bookmarkStart w:id="2406" w:name="_Toc1102"/>
      <w:r>
        <w:t>898- دیوان بوق العیش أو شعره‏</w:t>
      </w:r>
      <w:bookmarkEnd w:id="2406"/>
    </w:p>
    <w:p>
      <w:pPr>
        <w:pStyle w:val="BookText"/>
      </w:pPr>
      <w:r>
        <w:rPr>
          <w:rFonts w:ascii="IRNazanin" w:hAnsi="IRNazanin" w:eastAsia="IRNazanin" w:cs="IRNazanin"/>
          <w:lang w:bidi="fa-IR"/>
          <w:color w:val="111111"/>
          <w:sz w:val="28"/>
          <w:szCs w:val="28"/>
          <w:rtl/>
        </w:rPr>
        <w:t xml:space="preserve">قال المستر براون فی (ج 4: ص 87) إنه ممن هجا الشاه طهماسب الصفوی‏</w:t>
      </w:r>
    </w:p>
    <w:p>
      <w:pPr>
        <w:pStyle w:val="Heading3"/>
      </w:pPr>
      <w:bookmarkStart w:id="2407" w:name="_Toc1103"/>
      <w:r>
        <w:t>899- دیوان البویهی الأحسائی أو شعره‏</w:t>
      </w:r>
      <w:bookmarkEnd w:id="2407"/>
    </w:p>
    <w:p>
      <w:pPr>
        <w:pStyle w:val="BookText"/>
      </w:pPr>
      <w:r>
        <w:rPr>
          <w:rFonts w:ascii="IRNazanin" w:hAnsi="IRNazanin" w:eastAsia="IRNazanin" w:cs="IRNazanin"/>
          <w:lang w:bidi="fa-IR"/>
          <w:color w:val="111111"/>
          <w:sz w:val="28"/>
          <w:szCs w:val="28"/>
          <w:rtl/>
        </w:rPr>
        <w:t xml:space="preserve">و هو الشیخ ناصر بن إبراهیم بن صباغ الأحسائی المنتسب إلی آل بویه، و تلمیذ الشیخ ظهیر الدین العاملی له الحاشیة علی القواعد المذکور فی (ج 6) و رسالة فی الحساب رآهما الشیخ الحر فذکره فی الأمل و ترجم أیضا فی ریاض العلماء و الروضات مات (853) و أوردوا بعض شعره‏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42" w:name="pg11704_121619"/>
    <w:bookmarkEnd w:id="142"/>
    <w:p>
      <w:pPr>
        <w:pStyle w:val="Heading3"/>
      </w:pPr>
      <w:bookmarkStart w:id="2408" w:name="_Toc1104"/>
      <w:r>
        <w:t>900- دیوان بها أو شعره‏</w:t>
      </w:r>
      <w:bookmarkEnd w:id="2408"/>
    </w:p>
    <w:p>
      <w:pPr>
        <w:pStyle w:val="BookText"/>
      </w:pPr>
      <w:r>
        <w:rPr>
          <w:rFonts w:ascii="IRNazanin" w:hAnsi="IRNazanin" w:eastAsia="IRNazanin" w:cs="IRNazanin"/>
          <w:lang w:bidi="fa-IR"/>
          <w:color w:val="111111"/>
          <w:sz w:val="28"/>
          <w:szCs w:val="28"/>
          <w:rtl/>
        </w:rPr>
        <w:t xml:space="preserve">ترجمه و أورد شعره فی (بهش 2- ص 393)</w:t>
      </w:r>
    </w:p>
    <w:p>
      <w:pPr>
        <w:pStyle w:val="Heading3"/>
      </w:pPr>
      <w:bookmarkStart w:id="2409" w:name="_Toc1105"/>
      <w:r>
        <w:t>901- دیوان بهاء الدین البغدادی أو شعره‏</w:t>
      </w:r>
      <w:bookmarkEnd w:id="2409"/>
    </w:p>
    <w:p>
      <w:pPr>
        <w:pStyle w:val="BookText"/>
      </w:pPr>
      <w:r>
        <w:rPr>
          <w:rFonts w:ascii="IRNazanin" w:hAnsi="IRNazanin" w:eastAsia="IRNazanin" w:cs="IRNazanin"/>
          <w:lang w:bidi="fa-IR"/>
          <w:color w:val="111111"/>
          <w:sz w:val="28"/>
          <w:szCs w:val="28"/>
          <w:rtl/>
        </w:rPr>
        <w:t xml:space="preserve">و هو محمد بن المؤید الخوارزمی، معاصر تکش خوارزم شاه مات فی سجن شمس الدولة مسعود فی (545) له الشعر العربی و الفارسی ترجم فی (هفت- ص 117) و فی (مع- ج 1 ص 172) و أورد شعره، و کذا فی (روشن- ص 107) ص 990</w:t>
      </w:r>
    </w:p>
    <w:p>
      <w:pPr>
        <w:pStyle w:val="Heading3"/>
      </w:pPr>
      <w:bookmarkStart w:id="2410" w:name="_Toc1106"/>
      <w:r>
        <w:t>دیوان بهاء الدین زکریا الملتانی‏</w:t>
      </w:r>
      <w:bookmarkEnd w:id="2410"/>
    </w:p>
    <w:p>
      <w:pPr>
        <w:pStyle w:val="BookText"/>
      </w:pPr>
      <w:r>
        <w:rPr>
          <w:rFonts w:ascii="IRNazanin" w:hAnsi="IRNazanin" w:eastAsia="IRNazanin" w:cs="IRNazanin"/>
          <w:lang w:bidi="fa-IR"/>
          <w:color w:val="111111"/>
          <w:sz w:val="28"/>
          <w:szCs w:val="28"/>
          <w:rtl/>
        </w:rPr>
        <w:t xml:space="preserve">یأتی بعنوان زکریا الملتانی‏</w:t>
      </w:r>
    </w:p>
    <w:p>
      <w:pPr>
        <w:pStyle w:val="Heading3"/>
      </w:pPr>
      <w:bookmarkStart w:id="2411" w:name="_Toc1107"/>
      <w:r>
        <w:t>902- دیوان بهاء الدین ساوجی أو شعره‏</w:t>
      </w:r>
      <w:bookmarkEnd w:id="2411"/>
    </w:p>
    <w:p>
      <w:pPr>
        <w:pStyle w:val="BookText"/>
      </w:pPr>
      <w:r>
        <w:rPr>
          <w:rFonts w:ascii="IRNazanin" w:hAnsi="IRNazanin" w:eastAsia="IRNazanin" w:cs="IRNazanin"/>
          <w:lang w:bidi="fa-IR"/>
          <w:color w:val="111111"/>
          <w:sz w:val="28"/>
          <w:szCs w:val="28"/>
          <w:rtl/>
        </w:rPr>
        <w:t xml:space="preserve">قال المستوفی فی تاریخ گزیده ص 816 له قصائد متعددة</w:t>
      </w:r>
    </w:p>
    <w:p>
      <w:pPr>
        <w:pStyle w:val="Heading3"/>
      </w:pPr>
      <w:bookmarkStart w:id="2412" w:name="_Toc1108"/>
      <w:r>
        <w:t>دیوان بهاء الدین سلطان ولد</w:t>
      </w:r>
      <w:bookmarkEnd w:id="2412"/>
    </w:p>
    <w:p>
      <w:pPr>
        <w:pStyle w:val="BookText"/>
      </w:pPr>
      <w:r>
        <w:rPr>
          <w:rFonts w:ascii="IRNazanin" w:hAnsi="IRNazanin" w:eastAsia="IRNazanin" w:cs="IRNazanin"/>
          <w:lang w:bidi="fa-IR"/>
          <w:color w:val="111111"/>
          <w:sz w:val="28"/>
          <w:szCs w:val="28"/>
          <w:rtl/>
        </w:rPr>
        <w:t xml:space="preserve">یأتی بعنوان دیوان سلطان ولد</w:t>
      </w:r>
    </w:p>
    <w:p>
      <w:pPr>
        <w:pStyle w:val="Heading3"/>
      </w:pPr>
      <w:bookmarkStart w:id="2413" w:name="_Toc1109"/>
      <w:r>
        <w:t>دیوان بهاء الدین صابر</w:t>
      </w:r>
      <w:bookmarkEnd w:id="2413"/>
    </w:p>
    <w:p>
      <w:pPr>
        <w:pStyle w:val="BookText"/>
      </w:pPr>
      <w:r>
        <w:rPr>
          <w:rFonts w:ascii="IRNazanin" w:hAnsi="IRNazanin" w:eastAsia="IRNazanin" w:cs="IRNazanin"/>
          <w:lang w:bidi="fa-IR"/>
          <w:color w:val="111111"/>
          <w:sz w:val="28"/>
          <w:szCs w:val="28"/>
          <w:rtl/>
        </w:rPr>
        <w:t xml:space="preserve">یأتی بعنوان صابر</w:t>
      </w:r>
    </w:p>
    <w:p>
      <w:pPr>
        <w:pStyle w:val="Heading3"/>
      </w:pPr>
      <w:bookmarkStart w:id="2414" w:name="_Toc1110"/>
      <w:r>
        <w:t>903- دیوان بهاء الدین العاملی‏</w:t>
      </w:r>
      <w:bookmarkEnd w:id="2414"/>
    </w:p>
    <w:p>
      <w:pPr>
        <w:pStyle w:val="BookText"/>
      </w:pPr>
      <w:r>
        <w:rPr>
          <w:rFonts w:ascii="IRNazanin" w:hAnsi="IRNazanin" w:eastAsia="IRNazanin" w:cs="IRNazanin"/>
          <w:lang w:bidi="fa-IR"/>
          <w:color w:val="111111"/>
          <w:sz w:val="28"/>
          <w:szCs w:val="28"/>
          <w:rtl/>
        </w:rPr>
        <w:t xml:space="preserve">محمد بن الحسین بن عبد الصمد المتوفی (1031) جمع من شعره الفارسی الأستاد سعید النفیسی (2553 بیتا) و ألف فی أحواله رسالة و عدد تصانیفه إلی ثمان و ثمانین تصنیفا له المثنویات الفارسیة: نان و حلوا فی (408 بیتا) و نان و پنیر فی (309 بیتا) و توتی‏نامه فی (1443 بیتا) لم یطبع بعد و شیر و شکر فی (142 بیتا) و شیخ أبو الپشم و بی‏بی تمیز خالدار، کلها مطبوعات الا توتی‏نامه أورد شعره فی (تش- 170) و (خص 4- ص 40) و (نر 6- ص 150) و أورد فی تاریخ فوته:</w:t>
      </w:r>
    </w:p>
    <w:p>
      <w:pPr>
        <w:pStyle w:val="BookText"/>
      </w:pPr>
      <w:r>
        <w:rPr>
          <w:rFonts w:ascii="IRNazanin" w:hAnsi="IRNazanin" w:eastAsia="IRNazanin" w:cs="IRNazanin"/>
          <w:lang w:bidi="fa-IR"/>
          <w:color w:val="111111"/>
          <w:sz w:val="28"/>
          <w:szCs w:val="28"/>
          <w:rtl/>
        </w:rPr>
        <w:t xml:space="preserve">أفسر فضل اوفتاد و</w:t>
      </w:r>
    </w:p>
    <w:p>
      <w:pPr>
        <w:pStyle w:val="BookText"/>
      </w:pPr>
      <w:r>
        <w:rPr>
          <w:rFonts w:ascii="IRNazanin" w:hAnsi="IRNazanin" w:eastAsia="IRNazanin" w:cs="IRNazanin"/>
          <w:lang w:bidi="fa-IR"/>
          <w:color w:val="111111"/>
          <w:sz w:val="28"/>
          <w:szCs w:val="28"/>
          <w:rtl/>
        </w:rPr>
        <w:t xml:space="preserve">بی‏سروپا گشت شرع‏</w:t>
      </w:r>
    </w:p>
    <w:p>
      <w:pPr>
        <w:pStyle w:val="BookText"/>
      </w:pPr>
      <w:r>
        <w:rPr>
          <w:rFonts w:ascii="IRNazanin" w:hAnsi="IRNazanin" w:eastAsia="IRNazanin" w:cs="IRNazanin"/>
          <w:lang w:bidi="fa-IR"/>
          <w:color w:val="111111"/>
          <w:sz w:val="28"/>
          <w:szCs w:val="28"/>
          <w:rtl/>
        </w:rPr>
        <w:t xml:space="preserve">، و قال میر لوحی فی تاریخ وفاته فی (1031):</w:t>
      </w:r>
    </w:p>
    <w:p>
      <w:pPr>
        <w:pStyle w:val="BookText"/>
      </w:pPr>
      <w:r>
        <w:rPr>
          <w:rFonts w:ascii="IRNazanin" w:hAnsi="IRNazanin" w:eastAsia="IRNazanin" w:cs="IRNazanin"/>
          <w:lang w:bidi="fa-IR"/>
          <w:color w:val="111111"/>
          <w:sz w:val="28"/>
          <w:szCs w:val="28"/>
          <w:rtl/>
        </w:rPr>
        <w:t xml:space="preserve">طلب کردیم تاریخ وفاتش را ز دل گفتا:</w:t>
      </w:r>
    </w:p>
    <w:p>
      <w:pPr>
        <w:pStyle w:val="BookText"/>
      </w:pPr>
      <w:r>
        <w:rPr>
          <w:rFonts w:ascii="IRNazanin" w:hAnsi="IRNazanin" w:eastAsia="IRNazanin" w:cs="IRNazanin"/>
          <w:lang w:bidi="fa-IR"/>
          <w:color w:val="111111"/>
          <w:sz w:val="28"/>
          <w:szCs w:val="28"/>
          <w:rtl/>
        </w:rPr>
        <w:t xml:space="preserve">بهاء الدین محمد شد مه شوال از عالم‏</w:t>
      </w:r>
    </w:p>
    <w:p>
      <w:pPr>
        <w:pStyle w:val="BookText"/>
      </w:pPr>
      <w:r>
        <w:rPr>
          <w:rFonts w:ascii="IRNazanin" w:hAnsi="IRNazanin" w:eastAsia="IRNazanin" w:cs="IRNazanin"/>
          <w:lang w:bidi="fa-IR"/>
          <w:color w:val="111111"/>
          <w:sz w:val="28"/>
          <w:szCs w:val="28"/>
          <w:rtl/>
        </w:rPr>
        <w:t xml:space="preserve">و دون شعره أیضا الشیخ محمد رضا بن الشیخ الحر (المتوفی 1110) فذکره فی الأمل فی ترجمه البهائی، و لعله جمع شعره العربی‏</w:t>
      </w:r>
    </w:p>
    <w:p>
      <w:pPr>
        <w:pStyle w:val="Heading3"/>
      </w:pPr>
      <w:bookmarkStart w:id="2415" w:name="_Toc1111"/>
      <w:r>
        <w:t>دیوان بهاء الدین علی‏</w:t>
      </w:r>
      <w:bookmarkEnd w:id="2415"/>
    </w:p>
    <w:p>
      <w:pPr>
        <w:pStyle w:val="BookText"/>
      </w:pPr>
      <w:r>
        <w:rPr>
          <w:rFonts w:ascii="IRNazanin" w:hAnsi="IRNazanin" w:eastAsia="IRNazanin" w:cs="IRNazanin"/>
          <w:lang w:bidi="fa-IR"/>
          <w:color w:val="111111"/>
          <w:sz w:val="28"/>
          <w:szCs w:val="28"/>
          <w:rtl/>
        </w:rPr>
        <w:t xml:space="preserve">مر بعنوان دیوان أدائی شیرازی‏</w:t>
      </w:r>
    </w:p>
    <w:p>
      <w:pPr>
        <w:pStyle w:val="Heading3"/>
      </w:pPr>
      <w:bookmarkStart w:id="2416" w:name="_Toc1112"/>
      <w:r>
        <w:t>دیوان بهاء الدین مرغینانی‏</w:t>
      </w:r>
      <w:bookmarkEnd w:id="2416"/>
    </w:p>
    <w:p>
      <w:pPr>
        <w:pStyle w:val="BookText"/>
      </w:pPr>
      <w:r>
        <w:rPr>
          <w:rFonts w:ascii="IRNazanin" w:hAnsi="IRNazanin" w:eastAsia="IRNazanin" w:cs="IRNazanin"/>
          <w:lang w:bidi="fa-IR"/>
          <w:color w:val="111111"/>
          <w:sz w:val="28"/>
          <w:szCs w:val="28"/>
          <w:rtl/>
        </w:rPr>
        <w:t xml:space="preserve">یأتی بعنوان مرغینانی‏</w:t>
      </w:r>
    </w:p>
    <w:p>
      <w:pPr>
        <w:pStyle w:val="Heading3"/>
      </w:pPr>
      <w:bookmarkStart w:id="2417" w:name="_Toc1113"/>
      <w:r>
        <w:t>904- دیوان بهائی أصفهانی أو شعره‏</w:t>
      </w:r>
      <w:bookmarkEnd w:id="2417"/>
    </w:p>
    <w:p>
      <w:pPr>
        <w:pStyle w:val="BookText"/>
      </w:pPr>
      <w:r>
        <w:rPr>
          <w:rFonts w:ascii="IRNazanin" w:hAnsi="IRNazanin" w:eastAsia="IRNazanin" w:cs="IRNazanin"/>
          <w:lang w:bidi="fa-IR"/>
          <w:color w:val="111111"/>
          <w:sz w:val="28"/>
          <w:szCs w:val="28"/>
          <w:rtl/>
        </w:rPr>
        <w:t xml:space="preserve">و هو المیرزا جان أخو میرزا واهب الأصفهانی معاصر الشاه عباس الأول مات و دفن بطوس کما فی (تغ- ص 28) و قال فی (روشن- ص 107) إنه والد السید محسن‏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43" w:name="pg11704_121620"/>
    <w:bookmarkEnd w:id="143"/>
    <w:p>
      <w:pPr>
        <w:pStyle w:val="Heading3"/>
      </w:pPr>
      <w:bookmarkStart w:id="2418" w:name="_Toc1114"/>
      <w:r>
        <w:t>905- دیوان بهائی شیرازی أو شعره‏</w:t>
      </w:r>
      <w:bookmarkEnd w:id="2418"/>
    </w:p>
    <w:p>
      <w:pPr>
        <w:pStyle w:val="BookText"/>
      </w:pPr>
      <w:r>
        <w:rPr>
          <w:rFonts w:ascii="IRNazanin" w:hAnsi="IRNazanin" w:eastAsia="IRNazanin" w:cs="IRNazanin"/>
          <w:lang w:bidi="fa-IR"/>
          <w:color w:val="111111"/>
          <w:sz w:val="28"/>
          <w:szCs w:val="28"/>
          <w:rtl/>
        </w:rPr>
        <w:t xml:space="preserve">و هو المیرزا بهائی بن المیرزا رضی الشیرازی المذکور بعنوان بلندإقبال. ترجمه مع والده فی (عم- ص 540) و عنه فی ریحانة الأدب.</w:t>
      </w:r>
    </w:p>
    <w:p>
      <w:pPr>
        <w:pStyle w:val="Heading3"/>
      </w:pPr>
      <w:bookmarkStart w:id="2419" w:name="_Toc1115"/>
      <w:r>
        <w:t>دیوان الشیخ البهائی العاملی‏</w:t>
      </w:r>
      <w:bookmarkEnd w:id="2419"/>
    </w:p>
    <w:p>
      <w:pPr>
        <w:pStyle w:val="BookText"/>
      </w:pPr>
      <w:r>
        <w:rPr>
          <w:rFonts w:ascii="IRNazanin" w:hAnsi="IRNazanin" w:eastAsia="IRNazanin" w:cs="IRNazanin"/>
          <w:lang w:bidi="fa-IR"/>
          <w:color w:val="111111"/>
          <w:sz w:val="28"/>
          <w:szCs w:val="28"/>
          <w:rtl/>
        </w:rPr>
        <w:t xml:space="preserve">مر بعنوان بهاء الدین العاملی.</w:t>
      </w:r>
    </w:p>
    <w:p>
      <w:pPr>
        <w:pStyle w:val="Heading3"/>
      </w:pPr>
      <w:bookmarkStart w:id="2420" w:name="_Toc1116"/>
      <w:r>
        <w:t>906- دیوان بهار الأصفهانی‏</w:t>
      </w:r>
      <w:bookmarkEnd w:id="2420"/>
    </w:p>
    <w:p>
      <w:pPr>
        <w:pStyle w:val="BookText"/>
      </w:pPr>
      <w:r>
        <w:rPr>
          <w:rFonts w:ascii="IRNazanin" w:hAnsi="IRNazanin" w:eastAsia="IRNazanin" w:cs="IRNazanin"/>
          <w:lang w:bidi="fa-IR"/>
          <w:color w:val="111111"/>
          <w:sz w:val="28"/>
          <w:szCs w:val="28"/>
          <w:rtl/>
        </w:rPr>
        <w:t xml:space="preserve">و هو محمد علی بن أبی طالب المتخلص أولا ببهار ثم فرهنگ. کان مذهبا شاعرا بأصفهان. مدح محمد شاه قاجار، و ألف فی (1259) مدائح معتمدیة فی تذکره الشعراء الذین مدحوا معتمد الدولة منوچهر خان الگرجی‏</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شریعتمدار الأسترآبادی. و له أعمال خیریة أخری، لکونه من أهل الخیر جعله جدنا الأعلی وصیه فی (1246) و هی سنة الطاعون التی نصب فیها المعتمد حاکما لگیلان بعد عزل المنجم‏باشی، و کان الجد یومئذ فی گیلان و لبروز الطاعون کتب الوصیة و فوض إلیه أمر مطالباته و مستغلاته و قرأه التی کانت له فی گیلان. و نسخه الوصیة المکتوبة فی دار المرز رشت عندنا، و لفظه فی أواخرها:- [بندگان خداوندگاری معتمد الدولة العلیة العالیة در أخذ مطالبات گیلان و فروش دهات وکیل و وصی می‏باشند، و بعد از وصول مبلغ سه هزار تومان نزد آقایان سید مهدی و جناب شیخ علی و حاجی سید محمد باقر سلمه الله بفرستند و بقیه را تسلیم اوصیا نمایند، عند الله و عند الرسول ص ضایع نخواهد بود، و فروش دهات به رضای اوصیا بفرمایند، باری خداوند عمرش بیفزاید که نهایت تدین دارند، حقیر ایشان را شناخته‏ام‏] إلی آخر الوصیة، و کأنه أراد إیصال ثلاثة آلاف تومان إلی حجج الإسلام القاطنین فی البلاد البعیدة فی ذلک العصر و هم السید مهدی بن صاحب الریاض الأمیر السید علی الطباطبائی الحائری المتوفی بها (1249) و الشیخ علی بن الشیخ الأکبر الشیخ جعفر کاشف الغطاء النجفی المتوفی بها (1253) و السید محمد باقر حجة الإسلام الشفتی نزیل أصفهان المتوفی بها (1260) و أراد إیصال الباقی إلی وصیة و ناظره المذکورین أولا و المفوض إلیهما أمور متروکاته فی مسکنه و محل تجارته بطهران، فإنه لم تکن فی رشت الا شعبة من تجارته و کان یتردد إلیها فی السنة أحیانا. و عندنا نسخه حق الیقین التی اشتراها فی رشت فی بعض أسفاره إلیها فی (1244) و کتب تملکه علیها بخطه بما لفظه: کیف أقول هذا ملکی و الله مالکی و أنا العبد الأقل الحاج محسن بن المرحوم الحاج محمد الطهرانی بن مرحمت پناه ملا علی أکبر بن مرحمت و غفران پناه حاج باقر أعلی الله مقامهم و درجاتهم فی الجنان بحق سید ولد عدنان. و کتب بخطه أیضا علی ظهر هذه النسخة فهرس الکتب التی اشتراها فی رشت فی هذه السنة و هی تسعة کتب أولها هذا المجلد حق الیقین و الخمسة منها باسمه بالطبع المعتمدی 1 القرآن 2 زاد المعاد 3 عین الحیاة 4 الأول من حیاة القلوب 5 جلاء العیون. و کأنه اشتری هذه النسخ ترویجا لهذه المطبوعات الجدیدة. و لم یذکر اسم منوچهر فی ورقة الوصیة إجلالا له مع عدم مشترک معه فی هذا اللقب فی تاریخ الوصیة (1246) فإن المیرزا عبد الوهاب الشاعر المتخلص بنشاط بعد ما طلبه السلطان فتح علی شاه من أصفهان و أدی دیونه لقبه بمعتمد الدولة لکن النشاط توفی (1244) قبل تاریخ الوصیة بسنتین فإطلاق المعتمد لا ینصرف فی تاریخ الوصیة الا إلی منوچهر خان الذی هو ممدوح الشعراء المترجمین فی المدائح المعتمدیة و توفی الحاج محسن بعد تاریخ الوصیة بأربع سنین فی (1250) و من آثاره الباقیة بناء حمام القیصریة فی جنب الجامع العتیق بطهران الموقوف عوائده لمصارف الجامع و جعل نصفه ثلثا للحاج محسن فی تصرف ولدیه الحاج محمد أمین‏</w:t>
      </w:r>
    </w:p>
    <w:p>
      <w:pPr>
        <w:pStyle w:val="BookText"/>
      </w:pPr>
      <w:r>
        <w:rPr>
          <w:rFonts w:ascii="IRNazanin" w:hAnsi="IRNazanin" w:eastAsia="IRNazanin" w:cs="IRNazanin"/>
          <w:lang w:bidi="fa-IR"/>
          <w:color w:val="111111"/>
          <w:sz w:val="28"/>
          <w:szCs w:val="28"/>
          <w:rtl/>
        </w:rPr>
        <w:t xml:space="preserve">و جدی المولی محمد رضا رحمهم الله و حملت جنازته إلی وادی السلام فی النجف فی صحبة العلامة الحاج مولی علی الکنی علی ما حدثنی والدی عن أبیه المولی محمد رضا و بقی العلامة الکنی فی النجف متلمذا علی العلامة صاحب الجواهر، ثم رجع بعد موت أستاذه إلی طهران.</w:t>
      </w:r>
    </w:p>
    <w:p>
      <w:pPr>
        <w:pStyle w:val="BookText"/>
      </w:pPr>
      <w:r>
        <w:rPr>
          <w:rFonts w:ascii="IRNazanin" w:hAnsi="IRNazanin" w:eastAsia="IRNazanin" w:cs="IRNazanin"/>
          <w:lang w:bidi="fa-IR"/>
          <w:color w:val="111111"/>
          <w:sz w:val="28"/>
          <w:szCs w:val="28"/>
          <w:rtl/>
        </w:rPr>
        <w:t xml:space="preserve">حاکم أصفهان، فألف بعض معاصریه تذکره مثل هذا الکتاب و نسبوا إلیه سرقة الأشعار، فغضب علیهم و ألف یخچالیة فی قبال آتشکده آذر و هجا فیها شعراء زمانه. و طبع یخچالیة هذا فی (1290) و للمرة الثالثة فی (1321 ش) مع مقدمات للطبع لأحمد گل‏چین و محمد محیط الطباطبائی و محمد حسین أدیب. و نسخه المدائح المعتمدیة موجودة بالمجلس کما فی فهرسها (ج 3- ص 682) فیها ترجمه سبعة و ثمانین شاعرا، و فی آخره شرح أحوال نفسه. و کان حیا إلی (حدود 1264).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44" w:name="pg11704_121621"/>
    <w:bookmarkEnd w:id="144"/>
    <w:p>
      <w:pPr>
        <w:pStyle w:val="BookText"/>
      </w:pPr>
      <w:r>
        <w:rPr>
          <w:rFonts w:ascii="IRNazanin" w:hAnsi="IRNazanin" w:eastAsia="IRNazanin" w:cs="IRNazanin"/>
          <w:lang w:bidi="fa-IR"/>
          <w:color w:val="111111"/>
          <w:sz w:val="28"/>
          <w:szCs w:val="28"/>
          <w:rtl/>
        </w:rPr>
        <w:t xml:space="preserve">و مات بأصفهان قبل (1306) کما فی (المآثر- ص 213). ترجمه فی (مع- ج 2 ص 399) و قال: ألف طرب الأحباب فی المطائبة.</w:t>
      </w:r>
    </w:p>
    <w:p>
      <w:pPr>
        <w:pStyle w:val="Heading3"/>
      </w:pPr>
      <w:bookmarkStart w:id="2421" w:name="_Toc1117"/>
      <w:r>
        <w:t>907- دیوان بهار خراسانی‏</w:t>
      </w:r>
      <w:bookmarkEnd w:id="2421"/>
    </w:p>
    <w:p>
      <w:pPr>
        <w:pStyle w:val="BookText"/>
      </w:pPr>
      <w:r>
        <w:rPr>
          <w:rFonts w:ascii="IRNazanin" w:hAnsi="IRNazanin" w:eastAsia="IRNazanin" w:cs="IRNazanin"/>
          <w:lang w:bidi="fa-IR"/>
          <w:color w:val="111111"/>
          <w:sz w:val="28"/>
          <w:szCs w:val="28"/>
          <w:rtl/>
        </w:rPr>
        <w:t xml:space="preserve">و هو ملک الشعراء للآستانة الرضویة محمد تقی المتخلص ببهار المولود (1304) و المتوفی (1370) بطهران. مؤلف سبک‏شناسی المبتکر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45" w:name="pg11704_121622"/>
    <w:bookmarkEnd w:id="145"/>
    <w:p>
      <w:pPr>
        <w:pStyle w:val="BookText"/>
      </w:pPr>
      <w:r>
        <w:rPr>
          <w:rFonts w:ascii="IRNazanin" w:hAnsi="IRNazanin" w:eastAsia="IRNazanin" w:cs="IRNazanin"/>
          <w:lang w:bidi="fa-IR"/>
          <w:color w:val="111111"/>
          <w:sz w:val="28"/>
          <w:szCs w:val="28"/>
          <w:rtl/>
        </w:rPr>
        <w:t xml:space="preserve">فی فنه، و تاریخ أحزاب سیاسی، و چهار خطابه المذکور فی (ج 5) و غیرها. و دیوانه فی أربعین ألف بیت طبع کثیرا من قصائده و غزله و مسمطاته متفرقة.</w:t>
      </w:r>
    </w:p>
    <w:p>
      <w:pPr>
        <w:pStyle w:val="Heading3"/>
      </w:pPr>
      <w:bookmarkStart w:id="2422" w:name="_Toc1118"/>
      <w:r>
        <w:t>908- دیوان بهار دارابی أو شعره‏</w:t>
      </w:r>
      <w:bookmarkEnd w:id="2422"/>
    </w:p>
    <w:p>
      <w:pPr>
        <w:pStyle w:val="BookText"/>
      </w:pPr>
      <w:r>
        <w:rPr>
          <w:rFonts w:ascii="IRNazanin" w:hAnsi="IRNazanin" w:eastAsia="IRNazanin" w:cs="IRNazanin"/>
          <w:lang w:bidi="fa-IR"/>
          <w:color w:val="111111"/>
          <w:sz w:val="28"/>
          <w:szCs w:val="28"/>
          <w:rtl/>
        </w:rPr>
        <w:t xml:space="preserve">و هو المیرزا محمد علی بن المیرزا إسحاق شیخ الإسلام و حاکم دارابجرد بفارس. ترجمه معاصره هدایت فی (ض- ص 424) و أورد شعره، و قال فی (عم- ص 103) إنه مات (1260).</w:t>
      </w:r>
    </w:p>
    <w:p>
      <w:pPr>
        <w:pStyle w:val="Heading3"/>
      </w:pPr>
      <w:bookmarkStart w:id="2423" w:name="_Toc1119"/>
      <w:r>
        <w:t>909- دیوان بهار شیروانی‏</w:t>
      </w:r>
      <w:bookmarkEnd w:id="2423"/>
    </w:p>
    <w:p>
      <w:pPr>
        <w:pStyle w:val="BookText"/>
      </w:pPr>
      <w:r>
        <w:rPr>
          <w:rFonts w:ascii="IRNazanin" w:hAnsi="IRNazanin" w:eastAsia="IRNazanin" w:cs="IRNazanin"/>
          <w:lang w:bidi="fa-IR"/>
          <w:color w:val="111111"/>
          <w:sz w:val="28"/>
          <w:szCs w:val="28"/>
          <w:rtl/>
        </w:rPr>
        <w:t xml:space="preserve">للمیرزا نصر الله. فارسی مختصر کانت نسخه منه عند السید محمد علی (السبزواری) و الظاهر أنه المیرزا نصر الله الشیروانی الشماخی نزیل هند سنین و الراجع إلی إیران قاصدا زیارة مشهد خراسان فی (1275) فأدرکه مؤلف مجمع الفصحاء و ترجمه فی (ج 2 ص 81) و أورد جملة من أشعاره. کان فی طهران ثم هاجر إلی ساوجبلاغ مع أحمد خان وکیل الرعایا المکری أحد أمراء حرب هرات و حرب بوشهر. فسکن ساوجبلاغ معلما لأولاد الأمیر المذکور، کذا ذکره فی مجلة أرمغان- ج 13- ص 71 و قال فی ریحانة الأدب أن أشعاره فارسیة و ترکیة. و له مثنویان تحفه العراقین و نرگس و گل و مات فی (1300) عن أربع و خمسین سنة.</w:t>
      </w:r>
    </w:p>
    <w:p>
      <w:pPr>
        <w:pStyle w:val="Heading3"/>
      </w:pPr>
      <w:bookmarkStart w:id="2424" w:name="_Toc1120"/>
      <w:r>
        <w:t>910- دیوان بهار عرب‏</w:t>
      </w:r>
      <w:bookmarkEnd w:id="2424"/>
    </w:p>
    <w:p>
      <w:pPr>
        <w:pStyle w:val="BookText"/>
      </w:pPr>
      <w:r>
        <w:rPr>
          <w:rFonts w:ascii="IRNazanin" w:hAnsi="IRNazanin" w:eastAsia="IRNazanin" w:cs="IRNazanin"/>
          <w:lang w:bidi="fa-IR"/>
          <w:color w:val="111111"/>
          <w:sz w:val="28"/>
          <w:szCs w:val="28"/>
          <w:rtl/>
        </w:rPr>
        <w:t xml:space="preserve">طبع بنولکشور بالهند.</w:t>
      </w:r>
    </w:p>
    <w:p>
      <w:pPr>
        <w:pStyle w:val="Heading3"/>
      </w:pPr>
      <w:bookmarkStart w:id="2425" w:name="_Toc1121"/>
      <w:r>
        <w:t>911- دیوان بهار هندی أو شعره‏</w:t>
      </w:r>
      <w:bookmarkEnd w:id="2425"/>
    </w:p>
    <w:p>
      <w:pPr>
        <w:pStyle w:val="BookText"/>
      </w:pPr>
      <w:r>
        <w:rPr>
          <w:rFonts w:ascii="IRNazanin" w:hAnsi="IRNazanin" w:eastAsia="IRNazanin" w:cs="IRNazanin"/>
          <w:lang w:bidi="fa-IR"/>
          <w:color w:val="111111"/>
          <w:sz w:val="28"/>
          <w:szCs w:val="28"/>
          <w:rtl/>
        </w:rPr>
        <w:t xml:space="preserve">من قوم کایتة الهنود. تعلم الفارسیة و کتب قاموس بهار عجم و تلمذ علی سراج الدین علی خان آرزو. أورد شعره فی (گلشن- ص 69).</w:t>
      </w:r>
    </w:p>
    <w:p>
      <w:pPr>
        <w:pStyle w:val="Heading3"/>
      </w:pPr>
      <w:bookmarkStart w:id="2426" w:name="_Toc1122"/>
      <w:r>
        <w:t>912- دیوان بهاری أصفهانی أو شعره‏</w:t>
      </w:r>
      <w:bookmarkEnd w:id="2426"/>
    </w:p>
    <w:p>
      <w:pPr>
        <w:pStyle w:val="BookText"/>
      </w:pPr>
      <w:r>
        <w:rPr>
          <w:rFonts w:ascii="IRNazanin" w:hAnsi="IRNazanin" w:eastAsia="IRNazanin" w:cs="IRNazanin"/>
          <w:lang w:bidi="fa-IR"/>
          <w:color w:val="111111"/>
          <w:sz w:val="28"/>
          <w:szCs w:val="28"/>
          <w:rtl/>
        </w:rPr>
        <w:t xml:space="preserve">هو أخو أدائی أصفهانی، و کان معاصرا للشاه طهماسب مات (950) کذا فی (روشن- ص 104) و (تس 5- ص 168).</w:t>
      </w:r>
    </w:p>
    <w:p>
      <w:pPr>
        <w:pStyle w:val="Heading3"/>
      </w:pPr>
      <w:bookmarkStart w:id="2427" w:name="_Toc1123"/>
      <w:r>
        <w:t>913- دیوان بهاری کازرونی‏</w:t>
      </w:r>
      <w:bookmarkEnd w:id="2427"/>
    </w:p>
    <w:p>
      <w:pPr>
        <w:pStyle w:val="BookText"/>
      </w:pPr>
      <w:r>
        <w:rPr>
          <w:rFonts w:ascii="IRNazanin" w:hAnsi="IRNazanin" w:eastAsia="IRNazanin" w:cs="IRNazanin"/>
          <w:lang w:bidi="fa-IR"/>
          <w:color w:val="111111"/>
          <w:sz w:val="28"/>
          <w:szCs w:val="28"/>
          <w:rtl/>
        </w:rPr>
        <w:t xml:space="preserve">و هو نوروز شاه حاکم قلعة هرمز کما وصفه و أورد شعره فی (تش- ص 298) و (روشن- ص 105).</w:t>
      </w:r>
    </w:p>
    <w:p>
      <w:pPr>
        <w:pStyle w:val="Heading3"/>
      </w:pPr>
      <w:bookmarkStart w:id="2428" w:name="_Toc1124"/>
      <w:r>
        <w:t>914- دیوان بهبهانی‏</w:t>
      </w:r>
      <w:bookmarkEnd w:id="2428"/>
    </w:p>
    <w:p>
      <w:pPr>
        <w:pStyle w:val="BookText"/>
      </w:pPr>
      <w:r>
        <w:rPr>
          <w:rFonts w:ascii="IRNazanin" w:hAnsi="IRNazanin" w:eastAsia="IRNazanin" w:cs="IRNazanin"/>
          <w:lang w:bidi="fa-IR"/>
          <w:color w:val="111111"/>
          <w:sz w:val="28"/>
          <w:szCs w:val="28"/>
          <w:rtl/>
        </w:rPr>
        <w:t xml:space="preserve">لآقا محمود بن محمد علی بن آقا باقر البهبهانی. توجد دیوان غزله الفارسی مع بعض تصانیفه عند حفیده آقا أحمد مدیر مکتبة سپهسالار کما ذکر فی فهرس سپهسالار (ج 1- ص 544).</w:t>
      </w:r>
    </w:p>
    <w:p>
      <w:pPr>
        <w:pStyle w:val="Heading3"/>
      </w:pPr>
      <w:bookmarkStart w:id="2429" w:name="_Toc1125"/>
      <w:r>
        <w:t>915- دیوان بهجت أصفهانی أو شعره‏</w:t>
      </w:r>
      <w:bookmarkEnd w:id="2429"/>
    </w:p>
    <w:p>
      <w:pPr>
        <w:pStyle w:val="BookText"/>
      </w:pPr>
      <w:r>
        <w:rPr>
          <w:rFonts w:ascii="IRNazanin" w:hAnsi="IRNazanin" w:eastAsia="IRNazanin" w:cs="IRNazanin"/>
          <w:lang w:bidi="fa-IR"/>
          <w:color w:val="111111"/>
          <w:sz w:val="28"/>
          <w:szCs w:val="28"/>
          <w:rtl/>
        </w:rPr>
        <w:t xml:space="preserve">و اسمه محمد باقر ولد فی بیت علم بأصفهان و مهر فی خط النستعلیق. ترجمه بهار الأصفهانی فی المدائح المعتمدیة ضمن من مدح‏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46" w:name="pg11704_121623"/>
    <w:bookmarkEnd w:id="146"/>
    <w:p>
      <w:pPr>
        <w:pStyle w:val="BookText"/>
      </w:pPr>
      <w:r>
        <w:rPr>
          <w:rFonts w:ascii="IRNazanin" w:hAnsi="IRNazanin" w:eastAsia="IRNazanin" w:cs="IRNazanin"/>
          <w:lang w:bidi="fa-IR"/>
          <w:color w:val="111111"/>
          <w:sz w:val="28"/>
          <w:szCs w:val="28"/>
          <w:rtl/>
        </w:rPr>
        <w:t xml:space="preserve">معتمد الدولة منوچهر خان الگرجی و قال خدم محمد شاه فی أوائل جلوسه، و هو والد محمد مهدی فروغ أصفهانی صاحب تذکره الشباب المذکور فی (ج 4- ص 35). و ما ذکر فی ریحانة الأدب (ج 1 ص 185) من أن بهجت تخلص للولد فلیس بصحیح فإن بهجت تخلص للوالد و فروغ تخلص للولد، و لم یذکر الوالد فی مجمع الفصحاء مستقلا.</w:t>
      </w:r>
    </w:p>
    <w:p>
      <w:pPr>
        <w:pStyle w:val="Heading3"/>
      </w:pPr>
      <w:bookmarkStart w:id="2430" w:name="_Toc1126"/>
      <w:r>
        <w:t>916- دیوان بهجت دهلوی أو شعره‏</w:t>
      </w:r>
      <w:bookmarkEnd w:id="2430"/>
    </w:p>
    <w:p>
      <w:pPr>
        <w:pStyle w:val="BookText"/>
      </w:pPr>
      <w:r>
        <w:rPr>
          <w:rFonts w:ascii="IRNazanin" w:hAnsi="IRNazanin" w:eastAsia="IRNazanin" w:cs="IRNazanin"/>
          <w:lang w:bidi="fa-IR"/>
          <w:color w:val="111111"/>
          <w:sz w:val="28"/>
          <w:szCs w:val="28"/>
          <w:rtl/>
        </w:rPr>
        <w:t xml:space="preserve">و اسمه شاه بهجت. أورد شعره فی (روشن- ص 108).</w:t>
      </w:r>
    </w:p>
    <w:p>
      <w:pPr>
        <w:pStyle w:val="Heading3"/>
      </w:pPr>
      <w:bookmarkStart w:id="2431" w:name="_Toc1127"/>
      <w:r>
        <w:t>917- دیوان بهجت شیرازی أو شعره‏</w:t>
      </w:r>
      <w:bookmarkEnd w:id="2431"/>
    </w:p>
    <w:p>
      <w:pPr>
        <w:pStyle w:val="BookText"/>
      </w:pPr>
      <w:r>
        <w:rPr>
          <w:rFonts w:ascii="IRNazanin" w:hAnsi="IRNazanin" w:eastAsia="IRNazanin" w:cs="IRNazanin"/>
          <w:lang w:bidi="fa-IR"/>
          <w:color w:val="111111"/>
          <w:sz w:val="28"/>
          <w:szCs w:val="28"/>
          <w:rtl/>
        </w:rPr>
        <w:t xml:space="preserve">و هو المیرزا جعفر بهجت بن المیرزا کاظم المتخلص شرفا. کان مقیما بأصفهان و جاء بعد موت والده بحیدرآباد دکن فی (1235) هاجر من أصفهان إلی شیراز و تزوج ببنت رجب علی المتخلص بتسلی فولدت له فرصت مؤلف آثار العجم و مات بهجت بشیراز فی (1296) عن خمس و ستین سنة من عمره ترجمه ولده فرصت فی (عم- ص 105 و 320) و قال فی تاریخ وفاته:</w:t>
      </w:r>
    </w:p>
    <w:p>
      <w:pPr>
        <w:pStyle w:val="BookText"/>
      </w:pPr>
      <w:r>
        <w:rPr>
          <w:rFonts w:ascii="IRNazanin" w:hAnsi="IRNazanin" w:eastAsia="IRNazanin" w:cs="IRNazanin"/>
          <w:lang w:bidi="fa-IR"/>
          <w:color w:val="111111"/>
          <w:sz w:val="28"/>
          <w:szCs w:val="28"/>
          <w:rtl/>
        </w:rPr>
        <w:t xml:space="preserve">خواست تاریخ وفاتت عقل گفت:</w:t>
      </w:r>
    </w:p>
    <w:p>
      <w:pPr>
        <w:pStyle w:val="BookText"/>
      </w:pPr>
      <w:r>
        <w:rPr>
          <w:rFonts w:ascii="IRNazanin" w:hAnsi="IRNazanin" w:eastAsia="IRNazanin" w:cs="IRNazanin"/>
          <w:lang w:bidi="fa-IR"/>
          <w:color w:val="111111"/>
          <w:sz w:val="28"/>
          <w:szCs w:val="28"/>
          <w:rtl/>
        </w:rPr>
        <w:t xml:space="preserve">بهجتی زو یافته دار السلام‏</w:t>
      </w:r>
    </w:p>
    <w:p>
      <w:pPr>
        <w:pStyle w:val="Heading3"/>
      </w:pPr>
      <w:bookmarkStart w:id="2432" w:name="_Toc1128"/>
      <w:r>
        <w:t>918- دیوان بهجت شیرازی أو شعره‏</w:t>
      </w:r>
      <w:bookmarkEnd w:id="2432"/>
    </w:p>
    <w:p>
      <w:pPr>
        <w:pStyle w:val="BookText"/>
      </w:pPr>
      <w:r>
        <w:rPr>
          <w:rFonts w:ascii="IRNazanin" w:hAnsi="IRNazanin" w:eastAsia="IRNazanin" w:cs="IRNazanin"/>
          <w:lang w:bidi="fa-IR"/>
          <w:color w:val="111111"/>
          <w:sz w:val="28"/>
          <w:szCs w:val="28"/>
          <w:rtl/>
        </w:rPr>
        <w:t xml:space="preserve">و هو العارف المیرزا عبد الحمید بن عبد الغفار.</w:t>
      </w:r>
    </w:p>
    <w:p>
      <w:pPr>
        <w:pStyle w:val="BookText"/>
      </w:pPr>
      <w:r>
        <w:rPr>
          <w:rFonts w:ascii="IRNazanin" w:hAnsi="IRNazanin" w:eastAsia="IRNazanin" w:cs="IRNazanin"/>
          <w:lang w:bidi="fa-IR"/>
          <w:color w:val="111111"/>
          <w:sz w:val="28"/>
          <w:szCs w:val="28"/>
          <w:rtl/>
        </w:rPr>
        <w:t xml:space="preserve">ترجمه معاصره هدایت فی (ض- ص 435) و أورد شعره.</w:t>
      </w:r>
    </w:p>
    <w:p>
      <w:pPr>
        <w:pStyle w:val="Heading3"/>
      </w:pPr>
      <w:bookmarkStart w:id="2433" w:name="_Toc1129"/>
      <w:r>
        <w:t>919- دیوان بهرام بخارائی أو شعره‏</w:t>
      </w:r>
      <w:bookmarkEnd w:id="2433"/>
    </w:p>
    <w:p>
      <w:pPr>
        <w:pStyle w:val="BookText"/>
      </w:pPr>
      <w:r>
        <w:rPr>
          <w:rFonts w:ascii="IRNazanin" w:hAnsi="IRNazanin" w:eastAsia="IRNazanin" w:cs="IRNazanin"/>
          <w:lang w:bidi="fa-IR"/>
          <w:color w:val="111111"/>
          <w:sz w:val="28"/>
          <w:szCs w:val="28"/>
          <w:rtl/>
        </w:rPr>
        <w:t xml:space="preserve">و اسمه الحاج بهرام. ترجمه فی (تش- ص 319) و أورد شعره. و لقبه فی (نر 10- ص 435) بملک الشعراء و قال کان مدرسا ببخارا، و قال فی (گلشن): له شرح شبستان، و مکاتبات مع صائب و مات فی (1099) و کذا فی (تغ).</w:t>
      </w:r>
    </w:p>
    <w:p>
      <w:pPr>
        <w:pStyle w:val="Heading3"/>
      </w:pPr>
      <w:bookmarkStart w:id="2434" w:name="_Toc1130"/>
      <w:r>
        <w:t>920- دیوان بهرام بیگ دهلوی أو شعره‏</w:t>
      </w:r>
      <w:bookmarkEnd w:id="2434"/>
    </w:p>
    <w:p>
      <w:pPr>
        <w:pStyle w:val="BookText"/>
      </w:pPr>
      <w:r>
        <w:rPr>
          <w:rFonts w:ascii="IRNazanin" w:hAnsi="IRNazanin" w:eastAsia="IRNazanin" w:cs="IRNazanin"/>
          <w:lang w:bidi="fa-IR"/>
          <w:color w:val="111111"/>
          <w:sz w:val="28"/>
          <w:szCs w:val="28"/>
          <w:rtl/>
        </w:rPr>
        <w:t xml:space="preserve">أورد شعره فی (روشن- ص 108).</w:t>
      </w:r>
    </w:p>
    <w:p>
      <w:pPr>
        <w:pStyle w:val="Heading3"/>
      </w:pPr>
      <w:bookmarkStart w:id="2435" w:name="_Toc1131"/>
      <w:r>
        <w:t>921- دیوان بهرام شاه‏</w:t>
      </w:r>
      <w:bookmarkEnd w:id="2435"/>
    </w:p>
    <w:p>
      <w:pPr>
        <w:pStyle w:val="BookText"/>
      </w:pPr>
      <w:r>
        <w:rPr>
          <w:rFonts w:ascii="IRNazanin" w:hAnsi="IRNazanin" w:eastAsia="IRNazanin" w:cs="IRNazanin"/>
          <w:lang w:bidi="fa-IR"/>
          <w:color w:val="111111"/>
          <w:sz w:val="28"/>
          <w:szCs w:val="28"/>
          <w:rtl/>
        </w:rPr>
        <w:t xml:space="preserve">ابن فرخ شاه. توجد نسخه منه بهذا العنوان فی المدرسة الإسلامیة بالموصل کتبت فی (900) کما فی فهرس مخطوطات الموصل (ص 41).</w:t>
      </w:r>
    </w:p>
    <w:p>
      <w:pPr>
        <w:pStyle w:val="Heading3"/>
      </w:pPr>
      <w:bookmarkStart w:id="2436" w:name="_Toc1132"/>
      <w:r>
        <w:t>922- دیوان بهرام صفوی أو شعره‏</w:t>
      </w:r>
      <w:bookmarkEnd w:id="2436"/>
    </w:p>
    <w:p>
      <w:pPr>
        <w:pStyle w:val="BookText"/>
      </w:pPr>
      <w:r>
        <w:rPr>
          <w:rFonts w:ascii="IRNazanin" w:hAnsi="IRNazanin" w:eastAsia="IRNazanin" w:cs="IRNazanin"/>
          <w:lang w:bidi="fa-IR"/>
          <w:color w:val="111111"/>
          <w:sz w:val="28"/>
          <w:szCs w:val="28"/>
          <w:rtl/>
        </w:rPr>
        <w:t xml:space="preserve">و هو بهرام میرزا بن الشاه إسماعیل و أخو الشاه طهماسب الصفوی. حکم علی خراسان فی (936 إلی 941) ترجمه أخوه فی (تس 1- ص 9) و قال اخترم فی شبابه و قال فی (تش- ص 10) توفی (956) و قال فی مجمع الفصحاء توفی (955) و فی قاموس الأعلام الترکیة (957) و أطری شعره فی (خص 2- ص 22).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47" w:name="pg11704_121624"/>
    <w:bookmarkEnd w:id="147"/>
    <w:p>
      <w:pPr>
        <w:pStyle w:val="Heading3"/>
      </w:pPr>
      <w:bookmarkStart w:id="2437" w:name="_Toc1133"/>
      <w:r>
        <w:t>دیوان بهرام و بهروز</w:t>
      </w:r>
      <w:bookmarkEnd w:id="2437"/>
    </w:p>
    <w:p>
      <w:pPr>
        <w:pStyle w:val="BookText"/>
      </w:pPr>
      <w:r>
        <w:rPr>
          <w:rFonts w:ascii="IRNazanin" w:hAnsi="IRNazanin" w:eastAsia="IRNazanin" w:cs="IRNazanin"/>
          <w:lang w:bidi="fa-IR"/>
          <w:color w:val="111111"/>
          <w:sz w:val="28"/>
          <w:szCs w:val="28"/>
          <w:rtl/>
        </w:rPr>
        <w:t xml:space="preserve">مر فی (ج 3- ص 165) راجع دیوان وقار.</w:t>
      </w:r>
    </w:p>
    <w:p>
      <w:pPr>
        <w:pStyle w:val="Heading3"/>
      </w:pPr>
      <w:bookmarkStart w:id="2438" w:name="_Toc1134"/>
      <w:r>
        <w:t>923- دیوان بهرام هندی‏</w:t>
      </w:r>
      <w:bookmarkEnd w:id="2438"/>
    </w:p>
    <w:p>
      <w:pPr>
        <w:pStyle w:val="BookText"/>
      </w:pPr>
      <w:r>
        <w:rPr>
          <w:rFonts w:ascii="IRNazanin" w:hAnsi="IRNazanin" w:eastAsia="IRNazanin" w:cs="IRNazanin"/>
          <w:lang w:bidi="fa-IR"/>
          <w:color w:val="111111"/>
          <w:sz w:val="28"/>
          <w:szCs w:val="28"/>
          <w:rtl/>
        </w:rPr>
        <w:t xml:space="preserve">و هو درویش بهرام السقاء الصوفی، مات بسرندیب، و له دیوان شعر ذکره فی طبقات أکبری (ج 2- ص 509) و أورد شعره الفارسی.</w:t>
      </w:r>
    </w:p>
    <w:p>
      <w:pPr>
        <w:pStyle w:val="Heading3"/>
      </w:pPr>
      <w:bookmarkStart w:id="2439" w:name="_Toc1135"/>
      <w:r>
        <w:t>924- دیوان بهرامی أردبیلی أو شعره‏</w:t>
      </w:r>
      <w:bookmarkEnd w:id="2439"/>
    </w:p>
    <w:p>
      <w:pPr>
        <w:pStyle w:val="BookText"/>
      </w:pPr>
      <w:r>
        <w:rPr>
          <w:rFonts w:ascii="IRNazanin" w:hAnsi="IRNazanin" w:eastAsia="IRNazanin" w:cs="IRNazanin"/>
          <w:lang w:bidi="fa-IR"/>
          <w:color w:val="111111"/>
          <w:sz w:val="28"/>
          <w:szCs w:val="28"/>
          <w:rtl/>
        </w:rPr>
        <w:t xml:space="preserve">و اسمه المولی ظهیر الدین. أورد شعره فی (روشن- ص 108).</w:t>
      </w:r>
    </w:p>
    <w:p>
      <w:pPr>
        <w:pStyle w:val="Heading3"/>
      </w:pPr>
      <w:bookmarkStart w:id="2440" w:name="_Toc1136"/>
      <w:r>
        <w:t>925- دیوان بهرامی سرخسی أو شعره‏</w:t>
      </w:r>
      <w:bookmarkEnd w:id="2440"/>
    </w:p>
    <w:p>
      <w:pPr>
        <w:pStyle w:val="BookText"/>
      </w:pPr>
      <w:r>
        <w:rPr>
          <w:rFonts w:ascii="IRNazanin" w:hAnsi="IRNazanin" w:eastAsia="IRNazanin" w:cs="IRNazanin"/>
          <w:lang w:bidi="fa-IR"/>
          <w:color w:val="111111"/>
          <w:sz w:val="28"/>
          <w:szCs w:val="28"/>
          <w:rtl/>
        </w:rPr>
        <w:t xml:space="preserve">و اسمه أبو الحسن، له رسالة خجسته فی العروض مات (500) کما فی (مع- ج 1- ص 173).</w:t>
      </w:r>
    </w:p>
    <w:p>
      <w:pPr>
        <w:pStyle w:val="Heading3"/>
      </w:pPr>
      <w:bookmarkStart w:id="2441" w:name="_Toc1137"/>
      <w:r>
        <w:t>926- دیوان بهشتی حصاری أو شعره‏</w:t>
      </w:r>
      <w:bookmarkEnd w:id="2441"/>
    </w:p>
    <w:p>
      <w:pPr>
        <w:pStyle w:val="BookText"/>
      </w:pPr>
      <w:r>
        <w:rPr>
          <w:rFonts w:ascii="IRNazanin" w:hAnsi="IRNazanin" w:eastAsia="IRNazanin" w:cs="IRNazanin"/>
          <w:lang w:bidi="fa-IR"/>
          <w:color w:val="111111"/>
          <w:sz w:val="28"/>
          <w:szCs w:val="28"/>
          <w:rtl/>
        </w:rPr>
        <w:t xml:space="preserve">نزل هرات لتحصیل العلم. ترجمه فی (مجن 3 ص 80 و 251) و قال فی (روشن- ص 108) إنه تتبع قصیدة لکاتبی تعرف شتر حجره.</w:t>
      </w:r>
    </w:p>
    <w:p>
      <w:pPr>
        <w:pStyle w:val="Heading3"/>
      </w:pPr>
      <w:bookmarkStart w:id="2442" w:name="_Toc1138"/>
      <w:r>
        <w:t>927- دیوان بهشتی گیلانی أو شعره‏</w:t>
      </w:r>
      <w:bookmarkEnd w:id="2442"/>
    </w:p>
    <w:p>
      <w:pPr>
        <w:pStyle w:val="BookText"/>
      </w:pPr>
      <w:r>
        <w:rPr>
          <w:rFonts w:ascii="IRNazanin" w:hAnsi="IRNazanin" w:eastAsia="IRNazanin" w:cs="IRNazanin"/>
          <w:lang w:bidi="fa-IR"/>
          <w:color w:val="111111"/>
          <w:sz w:val="28"/>
          <w:szCs w:val="28"/>
          <w:rtl/>
        </w:rPr>
        <w:t xml:space="preserve">أورد شعره فی (نر 13- ص 481) فی تاریخ بناء بمازندران فی (1021).</w:t>
      </w:r>
    </w:p>
    <w:p>
      <w:pPr>
        <w:pStyle w:val="Heading3"/>
      </w:pPr>
      <w:bookmarkStart w:id="2443" w:name="_Toc1139"/>
      <w:r>
        <w:t>928- دیوان بهشتی هروی‏</w:t>
      </w:r>
      <w:bookmarkEnd w:id="2443"/>
    </w:p>
    <w:p>
      <w:pPr>
        <w:pStyle w:val="BookText"/>
      </w:pPr>
      <w:r>
        <w:rPr>
          <w:rFonts w:ascii="IRNazanin" w:hAnsi="IRNazanin" w:eastAsia="IRNazanin" w:cs="IRNazanin"/>
          <w:lang w:bidi="fa-IR"/>
          <w:color w:val="111111"/>
          <w:sz w:val="28"/>
          <w:szCs w:val="28"/>
          <w:rtl/>
        </w:rPr>
        <w:t xml:space="preserve">و اسمه عبد الله. من شعراء القرن الحادی عشر. له نور المشرقین فی جواب تحفه العراقین للخاقانی الشیروانی فی (1900 بیتا) توجد نسخته عند (الملک). کان تلمیذ فصیحی هروی.</w:t>
      </w:r>
    </w:p>
    <w:p>
      <w:pPr>
        <w:pStyle w:val="Heading3"/>
      </w:pPr>
      <w:bookmarkStart w:id="2444" w:name="_Toc1140"/>
      <w:r>
        <w:t>929- دیوان بهشتی هروی أو شعره‏</w:t>
      </w:r>
      <w:bookmarkEnd w:id="2444"/>
    </w:p>
    <w:p>
      <w:pPr>
        <w:pStyle w:val="BookText"/>
      </w:pPr>
      <w:r>
        <w:rPr>
          <w:rFonts w:ascii="IRNazanin" w:hAnsi="IRNazanin" w:eastAsia="IRNazanin" w:cs="IRNazanin"/>
          <w:lang w:bidi="fa-IR"/>
          <w:color w:val="111111"/>
          <w:sz w:val="28"/>
          <w:szCs w:val="28"/>
          <w:rtl/>
        </w:rPr>
        <w:t xml:space="preserve">هو ابن المولی عبد الوهاب و أخ مولانا حمید.</w:t>
      </w:r>
    </w:p>
    <w:p>
      <w:pPr>
        <w:pStyle w:val="BookText"/>
      </w:pPr>
      <w:r>
        <w:rPr>
          <w:rFonts w:ascii="IRNazanin" w:hAnsi="IRNazanin" w:eastAsia="IRNazanin" w:cs="IRNazanin"/>
          <w:lang w:bidi="fa-IR"/>
          <w:color w:val="111111"/>
          <w:sz w:val="28"/>
          <w:szCs w:val="28"/>
          <w:rtl/>
        </w:rPr>
        <w:t xml:space="preserve">أورد شعره فی (مجن 3- ص 86 و 261) و (روشن- ص 109).</w:t>
      </w:r>
    </w:p>
    <w:p>
      <w:pPr>
        <w:pStyle w:val="Heading3"/>
      </w:pPr>
      <w:bookmarkStart w:id="2445" w:name="_Toc1141"/>
      <w:r>
        <w:t>930- دیوان بهلول‏</w:t>
      </w:r>
      <w:bookmarkEnd w:id="2445"/>
    </w:p>
    <w:p>
      <w:pPr>
        <w:pStyle w:val="BookText"/>
      </w:pPr>
      <w:r>
        <w:rPr>
          <w:rFonts w:ascii="IRNazanin" w:hAnsi="IRNazanin" w:eastAsia="IRNazanin" w:cs="IRNazanin"/>
          <w:lang w:bidi="fa-IR"/>
          <w:color w:val="111111"/>
          <w:sz w:val="28"/>
          <w:szCs w:val="28"/>
          <w:rtl/>
        </w:rPr>
        <w:t xml:space="preserve">هو الشیخ محمد تقی بن نظام الدین بن زین الدین بن محمد صادق الگنابادی الشهیر ببهلول الجنابذی المولد حدود (1320) السبزواری المسکن له شعر کثیر یزید علی الآلاف فی المناقب و المثالب سمعت بعضها من لفظه و رأیت له منظومة تقرب من ألف و مائتی بیت عبر عنها بمجموعه دینی نظمها فی شهر واحد من (1353) شرح فیها بعض أحواله و عقیدته و مسلکه و ذکر بعض وقایع عصره و حوادث دهره أوله:</w:t>
      </w:r>
    </w:p>
    <w:p>
      <w:pPr>
        <w:pStyle w:val="BookText"/>
      </w:pPr>
      <w:r>
        <w:rPr>
          <w:rFonts w:ascii="IRNazanin" w:hAnsi="IRNazanin" w:eastAsia="IRNazanin" w:cs="IRNazanin"/>
          <w:lang w:bidi="fa-IR"/>
          <w:color w:val="111111"/>
          <w:sz w:val="28"/>
          <w:szCs w:val="28"/>
          <w:rtl/>
        </w:rPr>
        <w:t xml:space="preserve">به نام کردگار حی دانا</w:t>
      </w:r>
    </w:p>
    <w:p>
      <w:pPr>
        <w:pStyle w:val="BookText"/>
      </w:pPr>
      <w:r>
        <w:rPr>
          <w:rFonts w:ascii="IRNazanin" w:hAnsi="IRNazanin" w:eastAsia="IRNazanin" w:cs="IRNazanin"/>
          <w:lang w:bidi="fa-IR"/>
          <w:color w:val="111111"/>
          <w:sz w:val="28"/>
          <w:szCs w:val="28"/>
          <w:rtl/>
        </w:rPr>
        <w:t xml:space="preserve">مرید و مدرک و حی و توانا</w:t>
      </w:r>
    </w:p>
    <w:p>
      <w:pPr>
        <w:pStyle w:val="BookText"/>
      </w:pPr>
      <w:r>
        <w:rPr>
          <w:rFonts w:ascii="IRNazanin" w:hAnsi="IRNazanin" w:eastAsia="IRNazanin" w:cs="IRNazanin"/>
          <w:lang w:bidi="fa-IR"/>
          <w:color w:val="111111"/>
          <w:sz w:val="28"/>
          <w:szCs w:val="28"/>
          <w:rtl/>
        </w:rPr>
        <w:t xml:space="preserve">و بعد التحمید و التمجید و الصلاة و السلام علی النبی و الوصی و الحسین و الأئمة ع بما یقرب من مائتی بیت یقول: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48" w:name="pg11704_121625"/>
    <w:bookmarkEnd w:id="148"/>
    <w:p>
      <w:pPr>
        <w:pStyle w:val="BookText"/>
      </w:pPr>
      <w:r>
        <w:rPr>
          <w:rFonts w:ascii="IRNazanin" w:hAnsi="IRNazanin" w:eastAsia="IRNazanin" w:cs="IRNazanin"/>
          <w:lang w:bidi="fa-IR"/>
          <w:color w:val="111111"/>
          <w:sz w:val="28"/>
          <w:szCs w:val="28"/>
          <w:rtl/>
        </w:rPr>
        <w:t xml:space="preserve">منم بهلول عبد روسیاهی‏</w:t>
      </w:r>
    </w:p>
    <w:p>
      <w:pPr>
        <w:pStyle w:val="BookText"/>
      </w:pPr>
      <w:r>
        <w:rPr>
          <w:rFonts w:ascii="IRNazanin" w:hAnsi="IRNazanin" w:eastAsia="IRNazanin" w:cs="IRNazanin"/>
          <w:lang w:bidi="fa-IR"/>
          <w:color w:val="111111"/>
          <w:sz w:val="28"/>
          <w:szCs w:val="28"/>
          <w:rtl/>
        </w:rPr>
        <w:t xml:space="preserve">که نبود مثل من غرق گناهی‏</w:t>
      </w:r>
    </w:p>
    <w:p>
      <w:pPr>
        <w:pStyle w:val="BookText"/>
      </w:pPr>
      <w:r>
        <w:rPr>
          <w:rFonts w:ascii="IRNazanin" w:hAnsi="IRNazanin" w:eastAsia="IRNazanin" w:cs="IRNazanin"/>
          <w:lang w:bidi="fa-IR"/>
          <w:color w:val="111111"/>
          <w:sz w:val="28"/>
          <w:szCs w:val="28"/>
          <w:rtl/>
        </w:rPr>
        <w:t xml:space="preserve">ز افعال بد خود شرمسارم‏</w:t>
      </w:r>
    </w:p>
    <w:p>
      <w:pPr>
        <w:pStyle w:val="BookText"/>
      </w:pPr>
      <w:r>
        <w:rPr>
          <w:rFonts w:ascii="IRNazanin" w:hAnsi="IRNazanin" w:eastAsia="IRNazanin" w:cs="IRNazanin"/>
          <w:lang w:bidi="fa-IR"/>
          <w:color w:val="111111"/>
          <w:sz w:val="28"/>
          <w:szCs w:val="28"/>
          <w:rtl/>
        </w:rPr>
        <w:t xml:space="preserve">بفضل ایزدی امیدوارم‏</w:t>
      </w:r>
    </w:p>
    <w:p>
      <w:pPr>
        <w:pStyle w:val="BookText"/>
      </w:pPr>
      <w:r>
        <w:rPr>
          <w:rFonts w:ascii="IRNazanin" w:hAnsi="IRNazanin" w:eastAsia="IRNazanin" w:cs="IRNazanin"/>
          <w:lang w:bidi="fa-IR"/>
          <w:color w:val="111111"/>
          <w:sz w:val="28"/>
          <w:szCs w:val="28"/>
          <w:rtl/>
        </w:rPr>
        <w:t xml:space="preserve">مرا باشد محمد با تقی نام‏</w:t>
      </w:r>
    </w:p>
    <w:p>
      <w:pPr>
        <w:pStyle w:val="BookText"/>
      </w:pPr>
      <w:r>
        <w:rPr>
          <w:rFonts w:ascii="IRNazanin" w:hAnsi="IRNazanin" w:eastAsia="IRNazanin" w:cs="IRNazanin"/>
          <w:lang w:bidi="fa-IR"/>
          <w:color w:val="111111"/>
          <w:sz w:val="28"/>
          <w:szCs w:val="28"/>
          <w:rtl/>
        </w:rPr>
        <w:t xml:space="preserve">نظام الدین پدر معصومه أم مام‏</w:t>
      </w:r>
    </w:p>
    <w:p>
      <w:pPr>
        <w:pStyle w:val="BookText"/>
      </w:pPr>
      <w:r>
        <w:rPr>
          <w:rFonts w:ascii="IRNazanin" w:hAnsi="IRNazanin" w:eastAsia="IRNazanin" w:cs="IRNazanin"/>
          <w:lang w:bidi="fa-IR"/>
          <w:color w:val="111111"/>
          <w:sz w:val="28"/>
          <w:szCs w:val="28"/>
          <w:rtl/>
        </w:rPr>
        <w:t xml:space="preserve">گناباد ست أصل مولد من‏</w:t>
      </w:r>
    </w:p>
    <w:p>
      <w:pPr>
        <w:pStyle w:val="BookText"/>
      </w:pPr>
      <w:r>
        <w:rPr>
          <w:rFonts w:ascii="IRNazanin" w:hAnsi="IRNazanin" w:eastAsia="IRNazanin" w:cs="IRNazanin"/>
          <w:lang w:bidi="fa-IR"/>
          <w:color w:val="111111"/>
          <w:sz w:val="28"/>
          <w:szCs w:val="28"/>
          <w:rtl/>
        </w:rPr>
        <w:t xml:space="preserve">زمانی سبزوار م بود مسکن‏</w:t>
      </w:r>
    </w:p>
    <w:p>
      <w:pPr>
        <w:pStyle w:val="BookText"/>
      </w:pPr>
      <w:r>
        <w:rPr>
          <w:rFonts w:ascii="IRNazanin" w:hAnsi="IRNazanin" w:eastAsia="IRNazanin" w:cs="IRNazanin"/>
          <w:lang w:bidi="fa-IR"/>
          <w:color w:val="111111"/>
          <w:sz w:val="28"/>
          <w:szCs w:val="28"/>
          <w:rtl/>
        </w:rPr>
        <w:t xml:space="preserve">و ذکر فی سبب نظمه أنه عرض علیه الحمی الشدید فی (1353) فعزم علی هذا النظم لیکون کاشفا عن شرح أحواله لمن ینظر فیه و قال فی سبب تسمیته ببهلول.</w:t>
      </w:r>
    </w:p>
    <w:p>
      <w:pPr>
        <w:pStyle w:val="BookText"/>
      </w:pPr>
      <w:r>
        <w:rPr>
          <w:rFonts w:ascii="IRNazanin" w:hAnsi="IRNazanin" w:eastAsia="IRNazanin" w:cs="IRNazanin"/>
          <w:lang w:bidi="fa-IR"/>
          <w:color w:val="111111"/>
          <w:sz w:val="28"/>
          <w:szCs w:val="28"/>
          <w:rtl/>
        </w:rPr>
        <w:t xml:space="preserve">شدم معروف ازآن‏رو من ببهلول‏</w:t>
      </w:r>
    </w:p>
    <w:p>
      <w:pPr>
        <w:pStyle w:val="BookText"/>
      </w:pPr>
      <w:r>
        <w:rPr>
          <w:rFonts w:ascii="IRNazanin" w:hAnsi="IRNazanin" w:eastAsia="IRNazanin" w:cs="IRNazanin"/>
          <w:lang w:bidi="fa-IR"/>
          <w:color w:val="111111"/>
          <w:sz w:val="28"/>
          <w:szCs w:val="28"/>
          <w:rtl/>
        </w:rPr>
        <w:t xml:space="preserve">که کارم نیست پیش خلق معقول‏</w:t>
      </w:r>
    </w:p>
    <w:p>
      <w:pPr>
        <w:pStyle w:val="BookText"/>
      </w:pPr>
      <w:r>
        <w:rPr>
          <w:rFonts w:ascii="IRNazanin" w:hAnsi="IRNazanin" w:eastAsia="IRNazanin" w:cs="IRNazanin"/>
          <w:lang w:bidi="fa-IR"/>
          <w:color w:val="111111"/>
          <w:sz w:val="28"/>
          <w:szCs w:val="28"/>
          <w:rtl/>
        </w:rPr>
        <w:t xml:space="preserve">چه مقصود مرا مردم ندانند</w:t>
      </w:r>
    </w:p>
    <w:p>
      <w:pPr>
        <w:pStyle w:val="BookText"/>
      </w:pPr>
      <w:r>
        <w:rPr>
          <w:rFonts w:ascii="IRNazanin" w:hAnsi="IRNazanin" w:eastAsia="IRNazanin" w:cs="IRNazanin"/>
          <w:lang w:bidi="fa-IR"/>
          <w:color w:val="111111"/>
          <w:sz w:val="28"/>
          <w:szCs w:val="28"/>
          <w:rtl/>
        </w:rPr>
        <w:t xml:space="preserve">ازآن‏رو بنده را بهلول خوانند</w:t>
      </w:r>
    </w:p>
    <w:p>
      <w:pPr>
        <w:pStyle w:val="BookText"/>
      </w:pPr>
      <w:r>
        <w:rPr>
          <w:rFonts w:ascii="IRNazanin" w:hAnsi="IRNazanin" w:eastAsia="IRNazanin" w:cs="IRNazanin"/>
          <w:lang w:bidi="fa-IR"/>
          <w:color w:val="111111"/>
          <w:sz w:val="28"/>
          <w:szCs w:val="28"/>
          <w:rtl/>
        </w:rPr>
        <w:t xml:space="preserve">إلی قوله: بسال سیصد و پنجاه و سوم‏</w:t>
      </w:r>
    </w:p>
    <w:p>
      <w:pPr>
        <w:pStyle w:val="BookText"/>
      </w:pPr>
      <w:r>
        <w:rPr>
          <w:rFonts w:ascii="IRNazanin" w:hAnsi="IRNazanin" w:eastAsia="IRNazanin" w:cs="IRNazanin"/>
          <w:lang w:bidi="fa-IR"/>
          <w:color w:val="111111"/>
          <w:sz w:val="28"/>
          <w:szCs w:val="28"/>
          <w:rtl/>
        </w:rPr>
        <w:t xml:space="preserve">ز بعد ألف اندر ماه دوم‏</w:t>
      </w:r>
    </w:p>
    <w:p>
      <w:pPr>
        <w:pStyle w:val="BookText"/>
      </w:pPr>
      <w:r>
        <w:rPr>
          <w:rFonts w:ascii="IRNazanin" w:hAnsi="IRNazanin" w:eastAsia="IRNazanin" w:cs="IRNazanin"/>
          <w:lang w:bidi="fa-IR"/>
          <w:color w:val="111111"/>
          <w:sz w:val="28"/>
          <w:szCs w:val="28"/>
          <w:rtl/>
        </w:rPr>
        <w:t xml:space="preserve">بمشهد شد مکانم بار دیگر</w:t>
      </w:r>
    </w:p>
    <w:p>
      <w:pPr>
        <w:pStyle w:val="BookText"/>
      </w:pPr>
      <w:r>
        <w:rPr>
          <w:rFonts w:ascii="IRNazanin" w:hAnsi="IRNazanin" w:eastAsia="IRNazanin" w:cs="IRNazanin"/>
          <w:lang w:bidi="fa-IR"/>
          <w:color w:val="111111"/>
          <w:sz w:val="28"/>
          <w:szCs w:val="28"/>
          <w:rtl/>
        </w:rPr>
        <w:t xml:space="preserve">در این نوبت به همره بود مادر</w:t>
      </w:r>
    </w:p>
    <w:p>
      <w:pPr>
        <w:pStyle w:val="BookText"/>
      </w:pPr>
      <w:r>
        <w:rPr>
          <w:rFonts w:ascii="IRNazanin" w:hAnsi="IRNazanin" w:eastAsia="IRNazanin" w:cs="IRNazanin"/>
          <w:lang w:bidi="fa-IR"/>
          <w:color w:val="111111"/>
          <w:sz w:val="28"/>
          <w:szCs w:val="28"/>
          <w:rtl/>
        </w:rPr>
        <w:t xml:space="preserve">ز یک سو نوبه و تب روی بنمود</w:t>
      </w:r>
    </w:p>
    <w:p>
      <w:pPr>
        <w:pStyle w:val="BookText"/>
      </w:pPr>
      <w:r>
        <w:rPr>
          <w:rFonts w:ascii="IRNazanin" w:hAnsi="IRNazanin" w:eastAsia="IRNazanin" w:cs="IRNazanin"/>
          <w:lang w:bidi="fa-IR"/>
          <w:color w:val="111111"/>
          <w:sz w:val="28"/>
          <w:szCs w:val="28"/>
          <w:rtl/>
        </w:rPr>
        <w:t xml:space="preserve">ز یک جانب مخالف در صدد بود</w:t>
      </w:r>
    </w:p>
    <w:p>
      <w:pPr>
        <w:pStyle w:val="BookText"/>
      </w:pPr>
      <w:r>
        <w:rPr>
          <w:rFonts w:ascii="IRNazanin" w:hAnsi="IRNazanin" w:eastAsia="IRNazanin" w:cs="IRNazanin"/>
          <w:lang w:bidi="fa-IR"/>
          <w:color w:val="111111"/>
          <w:sz w:val="28"/>
          <w:szCs w:val="28"/>
          <w:rtl/>
        </w:rPr>
        <w:t xml:space="preserve">در این حالت بسر زد ناگهان شور</w:t>
      </w:r>
    </w:p>
    <w:p>
      <w:pPr>
        <w:pStyle w:val="BookText"/>
      </w:pPr>
      <w:r>
        <w:rPr>
          <w:rFonts w:ascii="IRNazanin" w:hAnsi="IRNazanin" w:eastAsia="IRNazanin" w:cs="IRNazanin"/>
          <w:lang w:bidi="fa-IR"/>
          <w:color w:val="111111"/>
          <w:sz w:val="28"/>
          <w:szCs w:val="28"/>
          <w:rtl/>
        </w:rPr>
        <w:t xml:space="preserve">برای جمع این تألیف مذکور</w:t>
      </w:r>
    </w:p>
    <w:p>
      <w:pPr>
        <w:pStyle w:val="BookText"/>
      </w:pPr>
      <w:r>
        <w:rPr>
          <w:rFonts w:ascii="IRNazanin" w:hAnsi="IRNazanin" w:eastAsia="IRNazanin" w:cs="IRNazanin"/>
          <w:lang w:bidi="fa-IR"/>
          <w:color w:val="111111"/>
          <w:sz w:val="28"/>
          <w:szCs w:val="28"/>
          <w:rtl/>
        </w:rPr>
        <w:t xml:space="preserve">و قال فی آخره.</w:t>
      </w:r>
    </w:p>
    <w:p>
      <w:pPr>
        <w:pStyle w:val="BookText"/>
      </w:pPr>
      <w:r>
        <w:rPr>
          <w:rFonts w:ascii="IRNazanin" w:hAnsi="IRNazanin" w:eastAsia="IRNazanin" w:cs="IRNazanin"/>
          <w:lang w:bidi="fa-IR"/>
          <w:color w:val="111111"/>
          <w:sz w:val="28"/>
          <w:szCs w:val="28"/>
          <w:rtl/>
        </w:rPr>
        <w:t xml:space="preserve">بغره عین أول ابتدأ شد</w:t>
      </w:r>
    </w:p>
    <w:p>
      <w:pPr>
        <w:pStyle w:val="BookText"/>
      </w:pPr>
      <w:r>
        <w:rPr>
          <w:rFonts w:ascii="IRNazanin" w:hAnsi="IRNazanin" w:eastAsia="IRNazanin" w:cs="IRNazanin"/>
          <w:lang w:bidi="fa-IR"/>
          <w:color w:val="111111"/>
          <w:sz w:val="28"/>
          <w:szCs w:val="28"/>
          <w:rtl/>
        </w:rPr>
        <w:t xml:space="preserve">بسلخ عین أول انتها شد</w:t>
      </w:r>
    </w:p>
    <w:p>
      <w:pPr>
        <w:pStyle w:val="BookText"/>
      </w:pPr>
      <w:r>
        <w:rPr>
          <w:rFonts w:ascii="IRNazanin" w:hAnsi="IRNazanin" w:eastAsia="IRNazanin" w:cs="IRNazanin"/>
          <w:lang w:bidi="fa-IR"/>
          <w:color w:val="111111"/>
          <w:sz w:val="28"/>
          <w:szCs w:val="28"/>
          <w:rtl/>
        </w:rPr>
        <w:t xml:space="preserve">و ذکر لی بعض أحواله ابن عمه المطلع علی خصوصیاته و هو الشیخ ناصر بن سلیمان بن زین الدین نزیل النجف. و ذکر أن نظام الدین و أخویه قوام الدین و الشیخ محمد الحکیم نزیل أصفهان کلهم علماء فضلاء، توفوا جمیعا فی عام واحد (1356) و أن والدهم المولی زین الدین أیضا کان من العلماء.</w:t>
      </w:r>
    </w:p>
    <w:p>
      <w:pPr>
        <w:pStyle w:val="Heading3"/>
      </w:pPr>
      <w:bookmarkStart w:id="2446" w:name="_Toc1142"/>
      <w:r>
        <w:t>دیوان بیاضی‏</w:t>
      </w:r>
      <w:bookmarkEnd w:id="2446"/>
    </w:p>
    <w:p>
      <w:pPr>
        <w:pStyle w:val="BookText"/>
      </w:pPr>
      <w:r>
        <w:rPr>
          <w:rFonts w:ascii="IRNazanin" w:hAnsi="IRNazanin" w:eastAsia="IRNazanin" w:cs="IRNazanin"/>
          <w:lang w:bidi="fa-IR"/>
          <w:color w:val="111111"/>
          <w:sz w:val="28"/>
          <w:szCs w:val="28"/>
          <w:rtl/>
        </w:rPr>
        <w:t xml:space="preserve">یأتی بعنوان دیوان ولی دشت بیاضی.</w:t>
      </w:r>
    </w:p>
    <w:p>
      <w:pPr>
        <w:pStyle w:val="Heading3"/>
      </w:pPr>
      <w:bookmarkStart w:id="2447" w:name="_Toc1143"/>
      <w:r>
        <w:t>931- دیوان بیاضی أسترآبادی أو شعره‏</w:t>
      </w:r>
      <w:bookmarkEnd w:id="2447"/>
    </w:p>
    <w:p>
      <w:pPr>
        <w:pStyle w:val="BookText"/>
      </w:pPr>
      <w:r>
        <w:rPr>
          <w:rFonts w:ascii="IRNazanin" w:hAnsi="IRNazanin" w:eastAsia="IRNazanin" w:cs="IRNazanin"/>
          <w:lang w:bidi="fa-IR"/>
          <w:color w:val="111111"/>
          <w:sz w:val="28"/>
          <w:szCs w:val="28"/>
          <w:rtl/>
        </w:rPr>
        <w:t xml:space="preserve">و هو الشاعر الهجاء معاصر سام میرزا. قال فی (تس 5- ص 132) ذهب إلی کاشان و بها توفی. أورد شعره فی (گلشن- ص 70) و سماه فی (روشن- ص 109) بأکبرآبادی و قال هجا قاسم کاهی و غزالی مشهدی.</w:t>
      </w:r>
    </w:p>
    <w:p>
      <w:pPr>
        <w:pStyle w:val="Heading3"/>
      </w:pPr>
      <w:bookmarkStart w:id="2448" w:name="_Toc1144"/>
      <w:r>
        <w:t>932- دیوان بیاضی حصاری أو شعره‏</w:t>
      </w:r>
      <w:bookmarkEnd w:id="2448"/>
    </w:p>
    <w:p>
      <w:pPr>
        <w:pStyle w:val="BookText"/>
      </w:pPr>
      <w:r>
        <w:rPr>
          <w:rFonts w:ascii="IRNazanin" w:hAnsi="IRNazanin" w:eastAsia="IRNazanin" w:cs="IRNazanin"/>
          <w:lang w:bidi="fa-IR"/>
          <w:color w:val="111111"/>
          <w:sz w:val="28"/>
          <w:szCs w:val="28"/>
          <w:rtl/>
        </w:rPr>
        <w:t xml:space="preserve">من حصار شادمان. جاء مع محمود برلاس إلی هرات و رجع. أورد شعره فی (مجن 6- ص 122 و 312) و فی نسخه بیضائی.</w:t>
      </w:r>
    </w:p>
    <w:p>
      <w:pPr>
        <w:pStyle w:val="Heading3"/>
      </w:pPr>
      <w:bookmarkStart w:id="2449" w:name="_Toc1145"/>
      <w:r>
        <w:t>دیوان بیاضی دشت بیاضی‏</w:t>
      </w:r>
      <w:bookmarkEnd w:id="2449"/>
    </w:p>
    <w:p>
      <w:pPr>
        <w:pStyle w:val="BookText"/>
      </w:pPr>
      <w:r>
        <w:rPr>
          <w:rFonts w:ascii="IRNazanin" w:hAnsi="IRNazanin" w:eastAsia="IRNazanin" w:cs="IRNazanin"/>
          <w:lang w:bidi="fa-IR"/>
          <w:color w:val="111111"/>
          <w:sz w:val="28"/>
          <w:szCs w:val="28"/>
          <w:rtl/>
        </w:rPr>
        <w:t xml:space="preserve">و اسمه عبد السلام قال فی (روشن- ص 109)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49" w:name="pg11704_121626"/>
    <w:bookmarkEnd w:id="149"/>
    <w:p>
      <w:pPr>
        <w:pStyle w:val="BookText"/>
      </w:pPr>
      <w:r>
        <w:rPr>
          <w:rFonts w:ascii="IRNazanin" w:hAnsi="IRNazanin" w:eastAsia="IRNazanin" w:cs="IRNazanin"/>
          <w:lang w:bidi="fa-IR"/>
          <w:color w:val="111111"/>
          <w:sz w:val="28"/>
          <w:szCs w:val="28"/>
          <w:rtl/>
        </w:rPr>
        <w:t xml:space="preserve">إن فی نگارستان سخن سماه بیانی بدل بیاضی. و أظنه پیامی الجبل عاملی الآتی.</w:t>
      </w:r>
    </w:p>
    <w:p>
      <w:pPr>
        <w:pStyle w:val="Heading3"/>
      </w:pPr>
      <w:bookmarkStart w:id="2450" w:name="_Toc1146"/>
      <w:r>
        <w:t>933- دیوان بیان أصفهانی أو شعره‏</w:t>
      </w:r>
      <w:bookmarkEnd w:id="2450"/>
    </w:p>
    <w:p>
      <w:pPr>
        <w:pStyle w:val="BookText"/>
      </w:pPr>
      <w:r>
        <w:rPr>
          <w:rFonts w:ascii="IRNazanin" w:hAnsi="IRNazanin" w:eastAsia="IRNazanin" w:cs="IRNazanin"/>
          <w:lang w:bidi="fa-IR"/>
          <w:color w:val="111111"/>
          <w:sz w:val="28"/>
          <w:szCs w:val="28"/>
          <w:rtl/>
        </w:rPr>
        <w:t xml:space="preserve">و هو الآقا مهدی ابن أخت أبی طالب کلیم. نشا بهمدان و أصفهان و جاء إلی الهند فی عهد عالمگیر و مات بوباء کلگنده کذا فی (گلشن ص 70) عن تذکره واله، و قال فی تذکره بی‏نظیر إنه مات بکشمیر فی أواخر المائة الحادیة عشرة.</w:t>
      </w:r>
    </w:p>
    <w:p>
      <w:pPr>
        <w:pStyle w:val="Heading3"/>
      </w:pPr>
      <w:bookmarkStart w:id="2451" w:name="_Toc1147"/>
      <w:r>
        <w:t>934- دیوان بیان هندی أو شعره‏</w:t>
      </w:r>
      <w:bookmarkEnd w:id="2451"/>
    </w:p>
    <w:p>
      <w:pPr>
        <w:pStyle w:val="BookText"/>
      </w:pPr>
      <w:r>
        <w:rPr>
          <w:rFonts w:ascii="IRNazanin" w:hAnsi="IRNazanin" w:eastAsia="IRNazanin" w:cs="IRNazanin"/>
          <w:lang w:bidi="fa-IR"/>
          <w:color w:val="111111"/>
          <w:sz w:val="28"/>
          <w:szCs w:val="28"/>
          <w:rtl/>
        </w:rPr>
        <w:t xml:space="preserve">و هو الخواجة أحسن الله أورد شعره فی (گلشن ص 70)</w:t>
      </w:r>
    </w:p>
    <w:p>
      <w:pPr>
        <w:pStyle w:val="Heading3"/>
      </w:pPr>
      <w:bookmarkStart w:id="2452" w:name="_Toc1148"/>
      <w:r>
        <w:t>935- دیوان بیانی‏</w:t>
      </w:r>
      <w:bookmarkEnd w:id="2452"/>
    </w:p>
    <w:p>
      <w:pPr>
        <w:pStyle w:val="BookText"/>
      </w:pPr>
      <w:r>
        <w:rPr>
          <w:rFonts w:ascii="IRNazanin" w:hAnsi="IRNazanin" w:eastAsia="IRNazanin" w:cs="IRNazanin"/>
          <w:lang w:bidi="fa-IR"/>
          <w:color w:val="111111"/>
          <w:sz w:val="28"/>
          <w:szCs w:val="28"/>
          <w:rtl/>
        </w:rPr>
        <w:t xml:space="preserve">عده فی کتاب النقض- ص 239 من شعراء الشیعة</w:t>
      </w:r>
    </w:p>
    <w:p>
      <w:pPr>
        <w:pStyle w:val="Heading3"/>
      </w:pPr>
      <w:bookmarkStart w:id="2453" w:name="_Toc1149"/>
      <w:r>
        <w:t>دیوان بیانی أو شعره‏</w:t>
      </w:r>
      <w:bookmarkEnd w:id="2453"/>
    </w:p>
    <w:p>
      <w:pPr>
        <w:pStyle w:val="BookText"/>
      </w:pPr>
      <w:r>
        <w:rPr>
          <w:rFonts w:ascii="IRNazanin" w:hAnsi="IRNazanin" w:eastAsia="IRNazanin" w:cs="IRNazanin"/>
          <w:lang w:bidi="fa-IR"/>
          <w:color w:val="111111"/>
          <w:sz w:val="28"/>
          <w:szCs w:val="28"/>
          <w:rtl/>
        </w:rPr>
        <w:t xml:space="preserve">عده فی (قز مج 6- ص 300) من شعراء السلطان یعقوب آق‏قوینلو المتوفی (896) و أظنه بیانی تبریزی‏</w:t>
      </w:r>
    </w:p>
    <w:p>
      <w:pPr>
        <w:pStyle w:val="Heading3"/>
      </w:pPr>
      <w:bookmarkStart w:id="2454" w:name="_Toc1150"/>
      <w:r>
        <w:t>936- دیوان بیانی أسترآبادی أو شعره‏</w:t>
      </w:r>
      <w:bookmarkEnd w:id="2454"/>
    </w:p>
    <w:p>
      <w:pPr>
        <w:pStyle w:val="BookText"/>
      </w:pPr>
      <w:r>
        <w:rPr>
          <w:rFonts w:ascii="IRNazanin" w:hAnsi="IRNazanin" w:eastAsia="IRNazanin" w:cs="IRNazanin"/>
          <w:lang w:bidi="fa-IR"/>
          <w:color w:val="111111"/>
          <w:sz w:val="28"/>
          <w:szCs w:val="28"/>
          <w:rtl/>
        </w:rPr>
        <w:t xml:space="preserve">کان رمالا لطیف الشعر أورد ذکره فی (تس 5- ص 157)</w:t>
      </w:r>
    </w:p>
    <w:p>
      <w:pPr>
        <w:pStyle w:val="Heading3"/>
      </w:pPr>
      <w:bookmarkStart w:id="2455" w:name="_Toc1151"/>
      <w:r>
        <w:t>937- دیوان بیانی تبریزی أو شعره‏</w:t>
      </w:r>
      <w:bookmarkEnd w:id="2455"/>
    </w:p>
    <w:p>
      <w:pPr>
        <w:pStyle w:val="BookText"/>
      </w:pPr>
      <w:r>
        <w:rPr>
          <w:rFonts w:ascii="IRNazanin" w:hAnsi="IRNazanin" w:eastAsia="IRNazanin" w:cs="IRNazanin"/>
          <w:lang w:bidi="fa-IR"/>
          <w:color w:val="111111"/>
          <w:sz w:val="28"/>
          <w:szCs w:val="28"/>
          <w:rtl/>
        </w:rPr>
        <w:t xml:space="preserve">و اسمه بهرام بیگ بن نقدی بیک الماهر فی الخط النستعلیق، و هو من تبارزه عباس‏آباد أورد شعره فی (نر 9- ص 390)</w:t>
      </w:r>
    </w:p>
    <w:p>
      <w:pPr>
        <w:pStyle w:val="Heading3"/>
      </w:pPr>
      <w:bookmarkStart w:id="2456" w:name="_Toc1152"/>
      <w:r>
        <w:t>938- دیوان بیانی تبریزی أو شعره‏</w:t>
      </w:r>
      <w:bookmarkEnd w:id="2456"/>
    </w:p>
    <w:p>
      <w:pPr>
        <w:pStyle w:val="BookText"/>
      </w:pPr>
      <w:r>
        <w:rPr>
          <w:rFonts w:ascii="IRNazanin" w:hAnsi="IRNazanin" w:eastAsia="IRNazanin" w:cs="IRNazanin"/>
          <w:lang w:bidi="fa-IR"/>
          <w:color w:val="111111"/>
          <w:sz w:val="28"/>
          <w:szCs w:val="28"/>
          <w:rtl/>
        </w:rPr>
        <w:t xml:space="preserve">أورد شعره معاصره فی (خص 8- ص 271) و قال کان یشتغل بالزرکشة و التصویر</w:t>
      </w:r>
    </w:p>
    <w:p>
      <w:pPr>
        <w:pStyle w:val="Heading3"/>
      </w:pPr>
      <w:bookmarkStart w:id="2457" w:name="_Toc1153"/>
      <w:r>
        <w:t>939- دیوان بیانی جوینی أو شعره‏</w:t>
      </w:r>
      <w:bookmarkEnd w:id="2457"/>
    </w:p>
    <w:p>
      <w:pPr>
        <w:pStyle w:val="BookText"/>
      </w:pPr>
      <w:r>
        <w:rPr>
          <w:rFonts w:ascii="IRNazanin" w:hAnsi="IRNazanin" w:eastAsia="IRNazanin" w:cs="IRNazanin"/>
          <w:lang w:bidi="fa-IR"/>
          <w:color w:val="111111"/>
          <w:sz w:val="28"/>
          <w:szCs w:val="28"/>
          <w:rtl/>
        </w:rPr>
        <w:t xml:space="preserve">و هو خراسانی أورد شعره فی (تس 5- ص 172) و قال مات بمرض الجدری فی الخمسین من عمره و أظنه بیانی کرمانی أو بیانی قلندر</w:t>
      </w:r>
    </w:p>
    <w:p>
      <w:pPr>
        <w:pStyle w:val="Heading3"/>
      </w:pPr>
      <w:bookmarkStart w:id="2458" w:name="_Toc1154"/>
      <w:r>
        <w:t>940- دیوان بیانی کرمانی‏</w:t>
      </w:r>
      <w:bookmarkEnd w:id="2458"/>
    </w:p>
    <w:p>
      <w:pPr>
        <w:pStyle w:val="BookText"/>
      </w:pPr>
      <w:r>
        <w:rPr>
          <w:rFonts w:ascii="IRNazanin" w:hAnsi="IRNazanin" w:eastAsia="IRNazanin" w:cs="IRNazanin"/>
          <w:lang w:bidi="fa-IR"/>
          <w:color w:val="111111"/>
          <w:sz w:val="28"/>
          <w:szCs w:val="28"/>
          <w:rtl/>
        </w:rPr>
        <w:t xml:space="preserve">هو الخواجة شهاب الدین عبد الله الصدر ابن الخواجة شمس الدین محمد مروارید الکرمانی، المتخلص ببیانی کان والده أمیرا علی القطیف و البحرین من طرف التیموریین، و لما رجع أهدی إلی الملک عدة قطعات من الدر و المروارید فلقبه الملک بمروارید و کان هو ماهرا فی الإنشاء و النظم و الموسیقی و الخط، و کان مدة مهردار حسین میرزا بایقرا مکان میر علی شیر، ثم اعتزل و أخذ یستکتب المصاحف، و لما ملک الشاه إسماعیل خراسان عززه و قربه و لکنه اعتزل عن الأمر لمرض آبله فرنگی الذی کان به، فأمره بتألیف تاریخ لسلطنته فألف تاریخا و لم یتمه و مات کذا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50" w:name="pg11704_121627"/>
    <w:bookmarkEnd w:id="150"/>
    <w:p>
      <w:pPr>
        <w:pStyle w:val="BookText"/>
      </w:pPr>
      <w:r>
        <w:rPr>
          <w:rFonts w:ascii="IRNazanin" w:hAnsi="IRNazanin" w:eastAsia="IRNazanin" w:cs="IRNazanin"/>
          <w:lang w:bidi="fa-IR"/>
          <w:color w:val="111111"/>
          <w:sz w:val="28"/>
          <w:szCs w:val="28"/>
          <w:rtl/>
        </w:rPr>
        <w:t xml:space="preserve">فی (تس 4- ص 63) و (مجن 4- ص 106 و 281) و (تش- ص 119) و أرخ وفاته فی (تس) (932) و فی (کفظ) (922) و هذا أصح له تاریخ شاهی و منشئات بیانی أو منشئات شهاب مروارید و تاریخ منظوم و خسرو و شیرین و هذین الأخیرین غیر تامین، و دیوانه المشتمل علی القصائد و الغزل و الرباعیات یسمی مونس الأحباب کذا فی (تس) و لکن توجد نسخه من مونس الأحباب بمکتبة (المشکاة) تشتمل علی رباعیات خاصة و قد صرح فی المقدمة بأن مونس الأحباب اسم لهذه الرباعیات خاصة فلیس اسما لجمیع دیوانه کما فصله ابنی فی فهرس مکتبة دانشگاه تهران- ج 2 ص 286- 288 و قال فی حبیب السیر (الجزء الثالث من المجلد الثالث ص 330) إن الأمیر صدر الدین السلطان إبراهیم الأمینی رثی البیانی بقصیدة قال فیها مؤرخا عام وفاته (922):</w:t>
      </w:r>
    </w:p>
    <w:p>
      <w:pPr>
        <w:pStyle w:val="BookText"/>
      </w:pPr>
      <w:r>
        <w:rPr>
          <w:rFonts w:ascii="IRNazanin" w:hAnsi="IRNazanin" w:eastAsia="IRNazanin" w:cs="IRNazanin"/>
          <w:lang w:bidi="fa-IR"/>
          <w:color w:val="111111"/>
          <w:sz w:val="28"/>
          <w:szCs w:val="28"/>
          <w:rtl/>
        </w:rPr>
        <w:t xml:space="preserve">بر لوح دل نوشت أمینی بدود آه‏</w:t>
      </w:r>
    </w:p>
    <w:p>
      <w:pPr>
        <w:pStyle w:val="BookText"/>
      </w:pPr>
      <w:r>
        <w:rPr>
          <w:rFonts w:ascii="IRNazanin" w:hAnsi="IRNazanin" w:eastAsia="IRNazanin" w:cs="IRNazanin"/>
          <w:lang w:bidi="fa-IR"/>
          <w:color w:val="111111"/>
          <w:sz w:val="28"/>
          <w:szCs w:val="28"/>
          <w:rtl/>
        </w:rPr>
        <w:t xml:space="preserve">تاریخ آنکه: قدوه أهل کمال رفت‏</w:t>
      </w:r>
    </w:p>
    <w:p>
      <w:pPr>
        <w:pStyle w:val="Heading3"/>
      </w:pPr>
      <w:bookmarkStart w:id="2459" w:name="_Toc1155"/>
      <w:r>
        <w:t>دیوان بیانی قلندر هروی أو شعره‏</w:t>
      </w:r>
      <w:bookmarkEnd w:id="2459"/>
    </w:p>
    <w:p>
      <w:pPr>
        <w:pStyle w:val="BookText"/>
      </w:pPr>
      <w:r>
        <w:rPr>
          <w:rFonts w:ascii="IRNazanin" w:hAnsi="IRNazanin" w:eastAsia="IRNazanin" w:cs="IRNazanin"/>
          <w:lang w:bidi="fa-IR"/>
          <w:color w:val="111111"/>
          <w:sz w:val="28"/>
          <w:szCs w:val="28"/>
          <w:rtl/>
        </w:rPr>
        <w:t xml:space="preserve">أورد شعره فی (گلشن- ص 71) و قال تصدر لبابر میرزا فی ما وراء النهر، و لعله أراد بیانی کرمانی أو بیانی جوینی‏</w:t>
      </w:r>
    </w:p>
    <w:p>
      <w:pPr>
        <w:pStyle w:val="Heading3"/>
      </w:pPr>
      <w:bookmarkStart w:id="2460" w:name="_Toc1156"/>
      <w:r>
        <w:t>941- دیوان بیانی یزدی أو شعره‏</w:t>
      </w:r>
      <w:bookmarkEnd w:id="2460"/>
    </w:p>
    <w:p>
      <w:pPr>
        <w:pStyle w:val="BookText"/>
      </w:pPr>
      <w:r>
        <w:rPr>
          <w:rFonts w:ascii="IRNazanin" w:hAnsi="IRNazanin" w:eastAsia="IRNazanin" w:cs="IRNazanin"/>
          <w:lang w:bidi="fa-IR"/>
          <w:color w:val="111111"/>
          <w:sz w:val="28"/>
          <w:szCs w:val="28"/>
          <w:rtl/>
        </w:rPr>
        <w:t xml:space="preserve">و اسمه خسرو شاه أطرأه معاصر فی (تس 4 ص 75)</w:t>
      </w:r>
    </w:p>
    <w:p>
      <w:pPr>
        <w:pStyle w:val="Heading3"/>
      </w:pPr>
      <w:bookmarkStart w:id="2461" w:name="_Toc1157"/>
      <w:r>
        <w:t>942- دیوان بی‏تاب بلگرامی أو شعره‏</w:t>
      </w:r>
      <w:bookmarkEnd w:id="2461"/>
    </w:p>
    <w:p>
      <w:pPr>
        <w:pStyle w:val="BookText"/>
      </w:pPr>
      <w:r>
        <w:rPr>
          <w:rFonts w:ascii="IRNazanin" w:hAnsi="IRNazanin" w:eastAsia="IRNazanin" w:cs="IRNazanin"/>
          <w:lang w:bidi="fa-IR"/>
          <w:color w:val="111111"/>
          <w:sz w:val="28"/>
          <w:szCs w:val="28"/>
          <w:rtl/>
        </w:rPr>
        <w:t xml:space="preserve">و اسمه محمد حیاة مدح غازی الدین حیدر ملک الأود، فلقبه الملک ب أمید بدل بی‏تاب کذا فی (روشن- ص 111)</w:t>
      </w:r>
    </w:p>
    <w:p>
      <w:pPr>
        <w:pStyle w:val="Heading3"/>
      </w:pPr>
      <w:bookmarkStart w:id="2462" w:name="_Toc1158"/>
      <w:r>
        <w:t>943- دیوان بی‏تاب تهانیسری أو شعره‏</w:t>
      </w:r>
      <w:bookmarkEnd w:id="2462"/>
    </w:p>
    <w:p>
      <w:pPr>
        <w:pStyle w:val="BookText"/>
      </w:pPr>
      <w:r>
        <w:rPr>
          <w:rFonts w:ascii="IRNazanin" w:hAnsi="IRNazanin" w:eastAsia="IRNazanin" w:cs="IRNazanin"/>
          <w:lang w:bidi="fa-IR"/>
          <w:color w:val="111111"/>
          <w:sz w:val="28"/>
          <w:szCs w:val="28"/>
          <w:rtl/>
        </w:rPr>
        <w:t xml:space="preserve">و اسمه محمد جعفر أورد شعره فی (روشن ص 110)</w:t>
      </w:r>
    </w:p>
    <w:p>
      <w:pPr>
        <w:pStyle w:val="Heading3"/>
      </w:pPr>
      <w:bookmarkStart w:id="2463" w:name="_Toc1159"/>
      <w:r>
        <w:t>944- دیوان بی‏جان جایسی أو شعره‏</w:t>
      </w:r>
      <w:bookmarkEnd w:id="2463"/>
    </w:p>
    <w:p>
      <w:pPr>
        <w:pStyle w:val="BookText"/>
      </w:pPr>
      <w:r>
        <w:rPr>
          <w:rFonts w:ascii="IRNazanin" w:hAnsi="IRNazanin" w:eastAsia="IRNazanin" w:cs="IRNazanin"/>
          <w:lang w:bidi="fa-IR"/>
          <w:color w:val="111111"/>
          <w:sz w:val="28"/>
          <w:szCs w:val="28"/>
          <w:rtl/>
        </w:rPr>
        <w:t xml:space="preserve">و هو المیرزا حیدر تلمیذ الشیخ علی الحزین مهر فی الخط و التصویر و مات فی المائة الثالث عشرة</w:t>
      </w:r>
    </w:p>
    <w:p>
      <w:pPr>
        <w:pStyle w:val="Heading3"/>
      </w:pPr>
      <w:bookmarkStart w:id="2464" w:name="_Toc1160"/>
      <w:r>
        <w:t>945- دیوان بیجه کرمانی أو شعرها</w:t>
      </w:r>
      <w:bookmarkEnd w:id="2464"/>
    </w:p>
    <w:p>
      <w:pPr>
        <w:pStyle w:val="BookText"/>
      </w:pPr>
      <w:r>
        <w:rPr>
          <w:rFonts w:ascii="IRNazanin" w:hAnsi="IRNazanin" w:eastAsia="IRNazanin" w:cs="IRNazanin"/>
          <w:lang w:bidi="fa-IR"/>
          <w:color w:val="111111"/>
          <w:sz w:val="28"/>
          <w:szCs w:val="28"/>
          <w:rtl/>
        </w:rPr>
        <w:t xml:space="preserve">کانت منجمة عالمة استخرجت التقویم، و هی أخت علاء الدین الکرمانی، و قد بنت مسجدا جنب دار الجامی أورد شعرها فی (بهش 1- ص 350)</w:t>
      </w:r>
    </w:p>
    <w:p>
      <w:pPr>
        <w:pStyle w:val="Heading3"/>
      </w:pPr>
      <w:bookmarkStart w:id="2465" w:name="_Toc1161"/>
      <w:r>
        <w:t>946- دیوان بی‏خبر کشمیری أو شعره‏</w:t>
      </w:r>
      <w:bookmarkEnd w:id="2465"/>
    </w:p>
    <w:p>
      <w:pPr>
        <w:pStyle w:val="BookText"/>
      </w:pPr>
      <w:r>
        <w:rPr>
          <w:rFonts w:ascii="IRNazanin" w:hAnsi="IRNazanin" w:eastAsia="IRNazanin" w:cs="IRNazanin"/>
          <w:lang w:bidi="fa-IR"/>
          <w:color w:val="111111"/>
          <w:sz w:val="28"/>
          <w:szCs w:val="28"/>
          <w:rtl/>
        </w:rPr>
        <w:t xml:space="preserve">و هو غوث خان الکشمیری أورد شعره فی‏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51" w:name="pg11704_121628"/>
    <w:bookmarkEnd w:id="151"/>
    <w:p>
      <w:pPr>
        <w:pStyle w:val="BookText"/>
      </w:pPr>
      <w:r>
        <w:rPr>
          <w:rFonts w:ascii="IRNazanin" w:hAnsi="IRNazanin" w:eastAsia="IRNazanin" w:cs="IRNazanin"/>
          <w:lang w:bidi="fa-IR"/>
          <w:color w:val="111111"/>
          <w:sz w:val="28"/>
          <w:szCs w:val="28"/>
          <w:rtl/>
        </w:rPr>
        <w:t xml:space="preserve">(روشن- ص 112) و نگارستان سخن‏</w:t>
      </w:r>
    </w:p>
    <w:p>
      <w:pPr>
        <w:pStyle w:val="Heading3"/>
      </w:pPr>
      <w:bookmarkStart w:id="2466" w:name="_Toc1162"/>
      <w:r>
        <w:t>947- دیوان بی‏خود جنابذی أو شعره‏</w:t>
      </w:r>
      <w:bookmarkEnd w:id="2466"/>
    </w:p>
    <w:p>
      <w:pPr>
        <w:pStyle w:val="BookText"/>
      </w:pPr>
      <w:r>
        <w:rPr>
          <w:rFonts w:ascii="IRNazanin" w:hAnsi="IRNazanin" w:eastAsia="IRNazanin" w:cs="IRNazanin"/>
          <w:lang w:bidi="fa-IR"/>
          <w:color w:val="111111"/>
          <w:sz w:val="28"/>
          <w:szCs w:val="28"/>
          <w:rtl/>
        </w:rPr>
        <w:t xml:space="preserve">قال فی (تش- ص 71) إنه کان ماهرا فی قراءة الشاهنامة فاستخدمه الشاه عباس و لم یقبل، و کذا فی (روشن- ص 112) راجع دیوان بی‏خودی شیرازی‏</w:t>
      </w:r>
    </w:p>
    <w:p>
      <w:pPr>
        <w:pStyle w:val="Heading3"/>
      </w:pPr>
      <w:bookmarkStart w:id="2467" w:name="_Toc1163"/>
      <w:r>
        <w:t>948- دیوان بی‏خود دهلوی أو شعره‏</w:t>
      </w:r>
      <w:bookmarkEnd w:id="2467"/>
    </w:p>
    <w:p>
      <w:pPr>
        <w:pStyle w:val="BookText"/>
      </w:pPr>
      <w:r>
        <w:rPr>
          <w:rFonts w:ascii="IRNazanin" w:hAnsi="IRNazanin" w:eastAsia="IRNazanin" w:cs="IRNazanin"/>
          <w:lang w:bidi="fa-IR"/>
          <w:color w:val="111111"/>
          <w:sz w:val="28"/>
          <w:szCs w:val="28"/>
          <w:rtl/>
        </w:rPr>
        <w:t xml:space="preserve">قال فی (روشن- ص 112) إن أصله من کشمیر و مات بعظیم‏آباد فی (1201) و أورد شعره‏</w:t>
      </w:r>
    </w:p>
    <w:p>
      <w:pPr>
        <w:pStyle w:val="Heading3"/>
      </w:pPr>
      <w:bookmarkStart w:id="2468" w:name="_Toc1164"/>
      <w:r>
        <w:t>949- دیوان بی‏خود لاهوری‏</w:t>
      </w:r>
      <w:bookmarkEnd w:id="2468"/>
    </w:p>
    <w:p>
      <w:pPr>
        <w:pStyle w:val="BookText"/>
      </w:pPr>
      <w:r>
        <w:rPr>
          <w:rFonts w:ascii="IRNazanin" w:hAnsi="IRNazanin" w:eastAsia="IRNazanin" w:cs="IRNazanin"/>
          <w:lang w:bidi="fa-IR"/>
          <w:color w:val="111111"/>
          <w:sz w:val="28"/>
          <w:szCs w:val="28"/>
          <w:rtl/>
        </w:rPr>
        <w:t xml:space="preserve">و اسمه جامی نامدار خانی و هو أستاذ محمد أفضل (سرخوش) له مثنوی حسن نامدار خانی فی قصة حسن و دل قال فی (سرخوش- ص 11- 13) إنه کان سجع خاتمة</w:t>
      </w:r>
    </w:p>
    <w:p>
      <w:pPr>
        <w:pStyle w:val="BookText"/>
      </w:pPr>
      <w:r>
        <w:rPr>
          <w:rFonts w:ascii="IRNazanin" w:hAnsi="IRNazanin" w:eastAsia="IRNazanin" w:cs="IRNazanin"/>
          <w:lang w:bidi="fa-IR"/>
          <w:color w:val="111111"/>
          <w:sz w:val="28"/>
          <w:szCs w:val="28"/>
          <w:rtl/>
        </w:rPr>
        <w:t xml:space="preserve">جامی از جام حمد بی‏خود شد</w:t>
      </w:r>
    </w:p>
    <w:p>
      <w:pPr>
        <w:pStyle w:val="BookText"/>
      </w:pPr>
      <w:r>
        <w:rPr>
          <w:rFonts w:ascii="IRNazanin" w:hAnsi="IRNazanin" w:eastAsia="IRNazanin" w:cs="IRNazanin"/>
          <w:lang w:bidi="fa-IR"/>
          <w:color w:val="111111"/>
          <w:sz w:val="28"/>
          <w:szCs w:val="28"/>
          <w:rtl/>
        </w:rPr>
        <w:t xml:space="preserve">و لما توفی (1084) قلت فی تاریخه:</w:t>
      </w:r>
    </w:p>
    <w:p>
      <w:pPr>
        <w:pStyle w:val="BookText"/>
      </w:pPr>
      <w:r>
        <w:rPr>
          <w:rFonts w:ascii="IRNazanin" w:hAnsi="IRNazanin" w:eastAsia="IRNazanin" w:cs="IRNazanin"/>
          <w:lang w:bidi="fa-IR"/>
          <w:color w:val="111111"/>
          <w:sz w:val="28"/>
          <w:szCs w:val="28"/>
          <w:rtl/>
        </w:rPr>
        <w:t xml:space="preserve">هاتفم گفت مصرع تاریخ:</w:t>
      </w:r>
    </w:p>
    <w:p>
      <w:pPr>
        <w:pStyle w:val="BookText"/>
      </w:pPr>
      <w:r>
        <w:rPr>
          <w:rFonts w:ascii="IRNazanin" w:hAnsi="IRNazanin" w:eastAsia="IRNazanin" w:cs="IRNazanin"/>
          <w:lang w:bidi="fa-IR"/>
          <w:color w:val="111111"/>
          <w:sz w:val="28"/>
          <w:szCs w:val="28"/>
          <w:rtl/>
        </w:rPr>
        <w:t xml:space="preserve">جامی از جام حمد بی‏خود شد</w:t>
      </w:r>
    </w:p>
    <w:p>
      <w:pPr>
        <w:pStyle w:val="BookText"/>
      </w:pPr>
      <w:r>
        <w:rPr>
          <w:rFonts w:ascii="IRNazanin" w:hAnsi="IRNazanin" w:eastAsia="IRNazanin" w:cs="IRNazanin"/>
          <w:lang w:bidi="fa-IR"/>
          <w:color w:val="111111"/>
          <w:sz w:val="28"/>
          <w:szCs w:val="28"/>
          <w:rtl/>
        </w:rPr>
        <w:t xml:space="preserve">و طبع بنولکشور دیوانه باسم دیوان خیال‏</w:t>
      </w:r>
    </w:p>
    <w:p>
      <w:pPr>
        <w:pStyle w:val="Heading3"/>
      </w:pPr>
      <w:bookmarkStart w:id="2469" w:name="_Toc1165"/>
      <w:r>
        <w:t>950- دیوان بی‏خودی سمرقندی أو شعره‏</w:t>
      </w:r>
      <w:bookmarkEnd w:id="2469"/>
    </w:p>
    <w:p>
      <w:pPr>
        <w:pStyle w:val="BookText"/>
      </w:pPr>
      <w:r>
        <w:rPr>
          <w:rFonts w:ascii="IRNazanin" w:hAnsi="IRNazanin" w:eastAsia="IRNazanin" w:cs="IRNazanin"/>
          <w:lang w:bidi="fa-IR"/>
          <w:color w:val="111111"/>
          <w:sz w:val="28"/>
          <w:szCs w:val="28"/>
          <w:rtl/>
        </w:rPr>
        <w:t xml:space="preserve">أطری شعره فی (مجتس 6- ص 162) و سماه فی (گلشن- ص 72) بی‏خودی بلخی‏</w:t>
      </w:r>
    </w:p>
    <w:p>
      <w:pPr>
        <w:pStyle w:val="Heading3"/>
      </w:pPr>
      <w:bookmarkStart w:id="2470" w:name="_Toc1166"/>
      <w:r>
        <w:t>951- دیوان بی‏خودی سمنانی أو شعره‏</w:t>
      </w:r>
      <w:bookmarkEnd w:id="2470"/>
    </w:p>
    <w:p>
      <w:pPr>
        <w:pStyle w:val="BookText"/>
      </w:pPr>
      <w:r>
        <w:rPr>
          <w:rFonts w:ascii="IRNazanin" w:hAnsi="IRNazanin" w:eastAsia="IRNazanin" w:cs="IRNazanin"/>
          <w:lang w:bidi="fa-IR"/>
          <w:color w:val="111111"/>
          <w:sz w:val="28"/>
          <w:szCs w:val="28"/>
          <w:rtl/>
        </w:rPr>
        <w:t xml:space="preserve">کان معاصرا للشاه عباس الأول الصفوی أورد شعره فی (گلشن- ص 72)</w:t>
      </w:r>
    </w:p>
    <w:p>
      <w:pPr>
        <w:pStyle w:val="Heading3"/>
      </w:pPr>
      <w:bookmarkStart w:id="2471" w:name="_Toc1167"/>
      <w:r>
        <w:t>952- دیوان بی‏خودی شیرازی‏</w:t>
      </w:r>
      <w:bookmarkEnd w:id="2471"/>
    </w:p>
    <w:p>
      <w:pPr>
        <w:pStyle w:val="BookText"/>
      </w:pPr>
      <w:r>
        <w:rPr>
          <w:rFonts w:ascii="IRNazanin" w:hAnsi="IRNazanin" w:eastAsia="IRNazanin" w:cs="IRNazanin"/>
          <w:lang w:bidi="fa-IR"/>
          <w:color w:val="111111"/>
          <w:sz w:val="28"/>
          <w:szCs w:val="28"/>
          <w:rtl/>
        </w:rPr>
        <w:t xml:space="preserve">کان شاهنامه‏خوان للشاه عباس الأول له مثنوی علی زنة شاهنامه کذا فی (گلشن- ص 72) و أظنه متحدا مع بی‏خود جنابذی‏</w:t>
      </w:r>
    </w:p>
    <w:p>
      <w:pPr>
        <w:pStyle w:val="Heading3"/>
      </w:pPr>
      <w:bookmarkStart w:id="2472" w:name="_Toc1168"/>
      <w:r>
        <w:t>953- دیوان بی‏خود قزوینی أو شعره‏</w:t>
      </w:r>
      <w:bookmarkEnd w:id="2472"/>
    </w:p>
    <w:p>
      <w:pPr>
        <w:pStyle w:val="BookText"/>
      </w:pPr>
      <w:r>
        <w:rPr>
          <w:rFonts w:ascii="IRNazanin" w:hAnsi="IRNazanin" w:eastAsia="IRNazanin" w:cs="IRNazanin"/>
          <w:lang w:bidi="fa-IR"/>
          <w:color w:val="111111"/>
          <w:sz w:val="28"/>
          <w:szCs w:val="28"/>
          <w:rtl/>
        </w:rPr>
        <w:t xml:space="preserve">من طائفة روملو أورد شعره فی (تش- ص 11)</w:t>
      </w:r>
    </w:p>
    <w:p>
      <w:pPr>
        <w:pStyle w:val="Heading3"/>
      </w:pPr>
      <w:bookmarkStart w:id="2473" w:name="_Toc1169"/>
      <w:r>
        <w:t>954- دیوان بیدل دهلوی لاهوری‏</w:t>
      </w:r>
      <w:bookmarkEnd w:id="2473"/>
    </w:p>
    <w:p>
      <w:pPr>
        <w:pStyle w:val="BookText"/>
      </w:pPr>
      <w:r>
        <w:rPr>
          <w:rFonts w:ascii="IRNazanin" w:hAnsi="IRNazanin" w:eastAsia="IRNazanin" w:cs="IRNazanin"/>
          <w:lang w:bidi="fa-IR"/>
          <w:color w:val="111111"/>
          <w:sz w:val="28"/>
          <w:szCs w:val="28"/>
          <w:rtl/>
        </w:rPr>
        <w:t xml:space="preserve">و هو المولی عبد القادر ولد (1054) و نشا بدهلی و لازم الشاه‏زاده محمد أعظم و لکن لم یمدح أحدا و لذلک استعفی عن خدمة الأمیر و مات (1130) و لا یوجد فی دیوانه المشتمل علی العشرین ألف بیت، بیت فی المدیح ترجمه کذلک معاصره (سرخوش ص 14) و فی (مرآة الخیال- ص 294- 303) و أورد تمام رسالته الصغیرة المنثورة المسماة سرمه اعتبار و ترجمه أیضا فی (ض- ص 70) طبع دیوانه فی (1299) و غزلیاته بمبئی فی (1914 م) ثم بلاهور فی (1342) مع نکات بیدل و بعده مکررا و توجد نسخه من رباعیاته فی مکتبة (الملک) تشتمل علی (830) رباعیة و أورد شعره فی (نر 11- ص 451)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52" w:name="pg11704_121629"/>
    <w:bookmarkEnd w:id="152"/>
    <w:p>
      <w:pPr>
        <w:pStyle w:val="Heading3"/>
      </w:pPr>
      <w:bookmarkStart w:id="2474" w:name="_Toc1170"/>
      <w:r>
        <w:t>955- دیوان بیدل رودباری أو شعره‏</w:t>
      </w:r>
      <w:bookmarkEnd w:id="2474"/>
    </w:p>
    <w:p>
      <w:pPr>
        <w:pStyle w:val="BookText"/>
      </w:pPr>
      <w:r>
        <w:rPr>
          <w:rFonts w:ascii="IRNazanin" w:hAnsi="IRNazanin" w:eastAsia="IRNazanin" w:cs="IRNazanin"/>
          <w:lang w:bidi="fa-IR"/>
          <w:color w:val="111111"/>
          <w:sz w:val="28"/>
          <w:szCs w:val="28"/>
          <w:rtl/>
        </w:rPr>
        <w:t xml:space="preserve">و هو قربان بن رمضان مؤلف مقتل بیدل المذکور فی (ج 3: ص 186)</w:t>
      </w:r>
    </w:p>
    <w:p>
      <w:pPr>
        <w:pStyle w:val="Heading3"/>
      </w:pPr>
      <w:bookmarkStart w:id="2475" w:name="_Toc1171"/>
      <w:r>
        <w:t>956- دیوان بیدل ساوجی أو شعره‏</w:t>
      </w:r>
      <w:bookmarkEnd w:id="2475"/>
    </w:p>
    <w:p>
      <w:pPr>
        <w:pStyle w:val="BookText"/>
      </w:pPr>
      <w:r>
        <w:rPr>
          <w:rFonts w:ascii="IRNazanin" w:hAnsi="IRNazanin" w:eastAsia="IRNazanin" w:cs="IRNazanin"/>
          <w:lang w:bidi="fa-IR"/>
          <w:color w:val="111111"/>
          <w:sz w:val="28"/>
          <w:szCs w:val="28"/>
          <w:rtl/>
        </w:rPr>
        <w:t xml:space="preserve">کان خیاطا بهراة أورد شعره فی (گلشن ص 72)</w:t>
      </w:r>
    </w:p>
    <w:p>
      <w:pPr>
        <w:pStyle w:val="Heading3"/>
      </w:pPr>
      <w:bookmarkStart w:id="2476" w:name="_Toc1172"/>
      <w:r>
        <w:t>957- دیوان بیدل شیرازی أو شعره‏</w:t>
      </w:r>
      <w:bookmarkEnd w:id="2476"/>
    </w:p>
    <w:p>
      <w:pPr>
        <w:pStyle w:val="BookText"/>
      </w:pPr>
      <w:r>
        <w:rPr>
          <w:rFonts w:ascii="IRNazanin" w:hAnsi="IRNazanin" w:eastAsia="IRNazanin" w:cs="IRNazanin"/>
          <w:lang w:bidi="fa-IR"/>
          <w:color w:val="111111"/>
          <w:sz w:val="28"/>
          <w:szCs w:val="28"/>
          <w:rtl/>
        </w:rPr>
        <w:t xml:space="preserve">و هو الحاج میرزا رحیم بن محمد الطبیب الأصفهانی الذی نزل شیراز بأمر من کریم خان زند فولد هناک بیدل و أخوه المیرزا محمد باقر الملاباشی مؤلف بحر الجواهر المذکور فی (ج 3- ص 34) و کان أجداده أطباء البلاط الصفوی ترجمه فی (مع 2: 182) و کان یلقب بفخر الدولة کان طبیا ببلاط الفتح علی شاه و بعد موته و جلوس محمد شاه (1250) سافر إلی الحج و رجع و مات بقم و ابنه المیرزا علی فخر الدولة یتخلص فخر و ابن فخر، محمد حسین المتخلص همدم و ابن همدم میرزا قاسم المتخلص ضیاء المعاصر، کلهم شعراء</w:t>
      </w:r>
    </w:p>
    <w:p>
      <w:pPr>
        <w:pStyle w:val="Heading3"/>
      </w:pPr>
      <w:bookmarkStart w:id="2477" w:name="_Toc1173"/>
      <w:r>
        <w:t>958- دیوان بیدل مازندرانی‏</w:t>
      </w:r>
      <w:bookmarkEnd w:id="2477"/>
    </w:p>
    <w:p>
      <w:pPr>
        <w:pStyle w:val="BookText"/>
      </w:pPr>
      <w:r>
        <w:rPr>
          <w:rFonts w:ascii="IRNazanin" w:hAnsi="IRNazanin" w:eastAsia="IRNazanin" w:cs="IRNazanin"/>
          <w:lang w:bidi="fa-IR"/>
          <w:color w:val="111111"/>
          <w:sz w:val="28"/>
          <w:szCs w:val="28"/>
          <w:rtl/>
        </w:rPr>
        <w:t xml:space="preserve">و هو الحاج محمد بن المیرزا علی محمد المازندرانی الکرمانشاهی مؤلف تحفه الذاکرین و دستور ماتم المعروف بیدل المذکور فی (ج 3- ص 186 و 433 و ج 8 ص 149) ترجمه بهار الأصفهانی فی المدائح و فی (المآثر- ص 204) و توجد نسخه من دیوانه فی مکتبة (الملک)</w:t>
      </w:r>
    </w:p>
    <w:p>
      <w:pPr>
        <w:pStyle w:val="Heading3"/>
      </w:pPr>
      <w:bookmarkStart w:id="2478" w:name="_Toc1174"/>
      <w:r>
        <w:t>959- دیوان بیدل نیشابوری أو شعره‏</w:t>
      </w:r>
      <w:bookmarkEnd w:id="2478"/>
    </w:p>
    <w:p>
      <w:pPr>
        <w:pStyle w:val="BookText"/>
      </w:pPr>
      <w:r>
        <w:rPr>
          <w:rFonts w:ascii="IRNazanin" w:hAnsi="IRNazanin" w:eastAsia="IRNazanin" w:cs="IRNazanin"/>
          <w:lang w:bidi="fa-IR"/>
          <w:color w:val="111111"/>
          <w:sz w:val="28"/>
          <w:szCs w:val="28"/>
          <w:rtl/>
        </w:rPr>
        <w:t xml:space="preserve">و هو محمد أمین بیک النیشابوری ترجمه و أورد شعره فی (مع 2: 82)</w:t>
      </w:r>
    </w:p>
    <w:p>
      <w:pPr>
        <w:pStyle w:val="Heading3"/>
      </w:pPr>
      <w:bookmarkStart w:id="2479" w:name="_Toc1175"/>
      <w:r>
        <w:t>960- دیوان بیدلی أو شعرها</w:t>
      </w:r>
      <w:bookmarkEnd w:id="2479"/>
    </w:p>
    <w:p>
      <w:pPr>
        <w:pStyle w:val="BookText"/>
      </w:pPr>
      <w:r>
        <w:rPr>
          <w:rFonts w:ascii="IRNazanin" w:hAnsi="IRNazanin" w:eastAsia="IRNazanin" w:cs="IRNazanin"/>
          <w:lang w:bidi="fa-IR"/>
          <w:color w:val="111111"/>
          <w:sz w:val="28"/>
          <w:szCs w:val="28"/>
          <w:rtl/>
        </w:rPr>
        <w:t xml:space="preserve">و هی زوجة الشیخ عبد الله دیوانه، و أم الشیخ‏زاده الأنصاری ترجمها و أورد شعرها فی (مجن 4- ص 102 و 277) و مرآة الخیال- ص 338)</w:t>
      </w:r>
    </w:p>
    <w:p>
      <w:pPr>
        <w:pStyle w:val="Heading3"/>
      </w:pPr>
      <w:bookmarkStart w:id="2480" w:name="_Toc1176"/>
      <w:r>
        <w:t>961- دیوان بیدلی لنگ أو شعره‏</w:t>
      </w:r>
      <w:bookmarkEnd w:id="2480"/>
    </w:p>
    <w:p>
      <w:pPr>
        <w:pStyle w:val="BookText"/>
      </w:pPr>
      <w:r>
        <w:rPr>
          <w:rFonts w:ascii="IRNazanin" w:hAnsi="IRNazanin" w:eastAsia="IRNazanin" w:cs="IRNazanin"/>
          <w:lang w:bidi="fa-IR"/>
          <w:color w:val="111111"/>
          <w:sz w:val="28"/>
          <w:szCs w:val="28"/>
          <w:rtl/>
        </w:rPr>
        <w:t xml:space="preserve">و هو بیدلی الهروی الخیابانی ترجمه و أورد شعره فی (مجتس 6- ص 157)</w:t>
      </w:r>
    </w:p>
    <w:p>
      <w:pPr>
        <w:pStyle w:val="Heading3"/>
      </w:pPr>
      <w:bookmarkStart w:id="2481" w:name="_Toc1177"/>
      <w:r>
        <w:t>962- دیوان بیدلی همدانی أو شعره‏</w:t>
      </w:r>
      <w:bookmarkEnd w:id="2481"/>
    </w:p>
    <w:p>
      <w:pPr>
        <w:pStyle w:val="BookText"/>
      </w:pPr>
      <w:r>
        <w:rPr>
          <w:rFonts w:ascii="IRNazanin" w:hAnsi="IRNazanin" w:eastAsia="IRNazanin" w:cs="IRNazanin"/>
          <w:lang w:bidi="fa-IR"/>
          <w:color w:val="111111"/>
          <w:sz w:val="28"/>
          <w:szCs w:val="28"/>
          <w:rtl/>
        </w:rPr>
        <w:t xml:space="preserve">کان کاتبا ترجمه معاصره صادقی فی (خص 8- ص 274) و قال إنه قلیل الشعر</w:t>
      </w:r>
    </w:p>
    <w:p>
      <w:pPr>
        <w:pStyle w:val="Heading3"/>
      </w:pPr>
      <w:bookmarkStart w:id="2482" w:name="_Toc1178"/>
      <w:r>
        <w:t>دیوان بیزری‏</w:t>
      </w:r>
      <w:bookmarkEnd w:id="2482"/>
    </w:p>
    <w:p>
      <w:pPr>
        <w:pStyle w:val="BookText"/>
      </w:pPr>
      <w:r>
        <w:rPr>
          <w:rFonts w:ascii="IRNazanin" w:hAnsi="IRNazanin" w:eastAsia="IRNazanin" w:cs="IRNazanin"/>
          <w:lang w:bidi="fa-IR"/>
          <w:color w:val="111111"/>
          <w:sz w:val="28"/>
          <w:szCs w:val="28"/>
          <w:rtl/>
        </w:rPr>
        <w:t xml:space="preserve">راجع دیوان نشاطی‏</w:t>
      </w:r>
    </w:p>
    <w:p>
      <w:pPr>
        <w:pStyle w:val="Heading3"/>
      </w:pPr>
      <w:bookmarkStart w:id="2483" w:name="_Toc1179"/>
      <w:r>
        <w:t>دیوان بیضائی‏</w:t>
      </w:r>
      <w:bookmarkEnd w:id="2483"/>
    </w:p>
    <w:p>
      <w:pPr>
        <w:pStyle w:val="BookText"/>
      </w:pPr>
      <w:r>
        <w:rPr>
          <w:rFonts w:ascii="IRNazanin" w:hAnsi="IRNazanin" w:eastAsia="IRNazanin" w:cs="IRNazanin"/>
          <w:lang w:bidi="fa-IR"/>
          <w:color w:val="111111"/>
          <w:sz w:val="28"/>
          <w:szCs w:val="28"/>
          <w:rtl/>
        </w:rPr>
        <w:t xml:space="preserve">مر بعنوان بیاضی‏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53" w:name="pg11704_121630"/>
    <w:bookmarkEnd w:id="153"/>
    <w:p>
      <w:pPr>
        <w:pStyle w:val="Heading3"/>
      </w:pPr>
      <w:bookmarkStart w:id="2484" w:name="_Toc1180"/>
      <w:r>
        <w:t>963- دیوان بیضائی‏</w:t>
      </w:r>
      <w:bookmarkEnd w:id="2484"/>
    </w:p>
    <w:p>
      <w:pPr>
        <w:pStyle w:val="BookText"/>
      </w:pPr>
      <w:r>
        <w:rPr>
          <w:rFonts w:ascii="IRNazanin" w:hAnsi="IRNazanin" w:eastAsia="IRNazanin" w:cs="IRNazanin"/>
          <w:lang w:bidi="fa-IR"/>
          <w:color w:val="111111"/>
          <w:sz w:val="28"/>
          <w:szCs w:val="28"/>
          <w:rtl/>
        </w:rPr>
        <w:t xml:space="preserve">علی محمد الأدیب المتخلص بیضائی ابن محمد رضا المتخلص ابن الروح المذکور فی (العدد 141) الآرانی من أعمال کاشان ولد 1299 و توفی 1352 طبع الجزء الأول من دیوانه باهتمام ولده پرتو بیضائی فی (1327 ش) فی (206 ص) بطهران‏</w:t>
      </w:r>
    </w:p>
    <w:p>
      <w:pPr>
        <w:pStyle w:val="Heading3"/>
      </w:pPr>
      <w:bookmarkStart w:id="2485" w:name="_Toc1181"/>
      <w:r>
        <w:t>964- دیوان بی‏غش‏</w:t>
      </w:r>
      <w:bookmarkEnd w:id="2485"/>
    </w:p>
    <w:p>
      <w:pPr>
        <w:pStyle w:val="BookText"/>
      </w:pPr>
      <w:r>
        <w:rPr>
          <w:rFonts w:ascii="IRNazanin" w:hAnsi="IRNazanin" w:eastAsia="IRNazanin" w:cs="IRNazanin"/>
          <w:lang w:bidi="fa-IR"/>
          <w:color w:val="111111"/>
          <w:sz w:val="28"/>
          <w:szCs w:val="28"/>
          <w:rtl/>
        </w:rPr>
        <w:t xml:space="preserve">للخواجة محمد صادق المنشی الکرمانی، فارسی کبیر مع أنه تلف منه مقدار عشرین ألف بیت فی فتنة آقا محمد خان بکرمان فی (1210) کما ذکره سبط الناظم و هو السید المیرزا محمد علی بن محمد باقر الیزدی المتوفی (1255) المتخلص بوامق فی تذکره میکده الذی مر فی (ج 4 ص 50) و نسخه میکده بخط ولد مؤلفه موجودة فی طهران عند السید أحمد المدرس عضو وزارة المعارف و قد نقل عنه السید علی رضا الریحانی فی آیینه دانشوران (ص 48)</w:t>
      </w:r>
    </w:p>
    <w:p>
      <w:pPr>
        <w:pStyle w:val="Heading3"/>
      </w:pPr>
      <w:bookmarkStart w:id="2486" w:name="_Toc1182"/>
      <w:r>
        <w:t>965- دیوان بی‏غم‏</w:t>
      </w:r>
      <w:bookmarkEnd w:id="2486"/>
    </w:p>
    <w:p>
      <w:pPr>
        <w:pStyle w:val="BookText"/>
      </w:pPr>
      <w:r>
        <w:rPr>
          <w:rFonts w:ascii="IRNazanin" w:hAnsi="IRNazanin" w:eastAsia="IRNazanin" w:cs="IRNazanin"/>
          <w:lang w:bidi="fa-IR"/>
          <w:color w:val="111111"/>
          <w:sz w:val="28"/>
          <w:szCs w:val="28"/>
          <w:rtl/>
        </w:rPr>
        <w:t xml:space="preserve">کلها مثنویات توجد نسخته فی مکتبة (آقا محمد النخجوانی) کما کتبه إلینا</w:t>
      </w:r>
    </w:p>
    <w:p>
      <w:pPr>
        <w:pStyle w:val="Heading3"/>
      </w:pPr>
      <w:bookmarkStart w:id="2487" w:name="_Toc1183"/>
      <w:r>
        <w:t>966- دیوان بی‏کسی أسترآبادی أو شعره‏</w:t>
      </w:r>
      <w:bookmarkEnd w:id="2487"/>
    </w:p>
    <w:p>
      <w:pPr>
        <w:pStyle w:val="BookText"/>
      </w:pPr>
      <w:r>
        <w:rPr>
          <w:rFonts w:ascii="IRNazanin" w:hAnsi="IRNazanin" w:eastAsia="IRNazanin" w:cs="IRNazanin"/>
          <w:lang w:bidi="fa-IR"/>
          <w:color w:val="111111"/>
          <w:sz w:val="28"/>
          <w:szCs w:val="28"/>
          <w:rtl/>
        </w:rPr>
        <w:t xml:space="preserve">أورد شعره فی (تس 5- ص 147)</w:t>
      </w:r>
    </w:p>
    <w:p>
      <w:pPr>
        <w:pStyle w:val="Heading3"/>
      </w:pPr>
      <w:bookmarkStart w:id="2488" w:name="_Toc1184"/>
      <w:r>
        <w:t>دیوان بی‏کسی سبزواری‏</w:t>
      </w:r>
      <w:bookmarkEnd w:id="2488"/>
    </w:p>
    <w:p>
      <w:pPr>
        <w:pStyle w:val="BookText"/>
      </w:pPr>
      <w:r>
        <w:rPr>
          <w:rFonts w:ascii="IRNazanin" w:hAnsi="IRNazanin" w:eastAsia="IRNazanin" w:cs="IRNazanin"/>
          <w:lang w:bidi="fa-IR"/>
          <w:color w:val="111111"/>
          <w:sz w:val="28"/>
          <w:szCs w:val="28"/>
          <w:rtl/>
        </w:rPr>
        <w:t xml:space="preserve">أورد شعره فی (گلشن- ص 74) و أظنه الأسترآبادی المذکور أو الشیرازی الآتی‏</w:t>
      </w:r>
    </w:p>
    <w:p>
      <w:pPr>
        <w:pStyle w:val="Heading3"/>
      </w:pPr>
      <w:bookmarkStart w:id="2489" w:name="_Toc1185"/>
      <w:r>
        <w:t>967- دیوان بی‏کسی شوشتری‏</w:t>
      </w:r>
      <w:bookmarkEnd w:id="2489"/>
    </w:p>
    <w:p>
      <w:pPr>
        <w:pStyle w:val="BookText"/>
      </w:pPr>
      <w:r>
        <w:rPr>
          <w:rFonts w:ascii="IRNazanin" w:hAnsi="IRNazanin" w:eastAsia="IRNazanin" w:cs="IRNazanin"/>
          <w:lang w:bidi="fa-IR"/>
          <w:color w:val="111111"/>
          <w:sz w:val="28"/>
          <w:szCs w:val="28"/>
          <w:rtl/>
        </w:rPr>
        <w:t xml:space="preserve">أطری شعره معاصره فی (تس 5- ص 147) و قال لیس له نظیر فی القصیدة</w:t>
      </w:r>
    </w:p>
    <w:p>
      <w:pPr>
        <w:pStyle w:val="Heading3"/>
      </w:pPr>
      <w:bookmarkStart w:id="2490" w:name="_Toc1186"/>
      <w:r>
        <w:t>968- دیوان بی‏کسی شیرازی أو شعره‏</w:t>
      </w:r>
      <w:bookmarkEnd w:id="2490"/>
    </w:p>
    <w:p>
      <w:pPr>
        <w:pStyle w:val="BookText"/>
      </w:pPr>
      <w:r>
        <w:rPr>
          <w:rFonts w:ascii="IRNazanin" w:hAnsi="IRNazanin" w:eastAsia="IRNazanin" w:cs="IRNazanin"/>
          <w:lang w:bidi="fa-IR"/>
          <w:color w:val="111111"/>
          <w:sz w:val="28"/>
          <w:szCs w:val="28"/>
          <w:rtl/>
        </w:rPr>
        <w:t xml:space="preserve">من معاصری کتاب دار القدماء ذم غزالی مشهدی حین ورد شیراز ترجمه فی (خص 8- ص 307) و عنه فی (تش 264)</w:t>
      </w:r>
    </w:p>
    <w:p>
      <w:pPr>
        <w:pStyle w:val="Heading3"/>
      </w:pPr>
      <w:bookmarkStart w:id="2491" w:name="_Toc1187"/>
      <w:r>
        <w:t>969- دیوان بیگانه نیشابوری‏</w:t>
      </w:r>
      <w:bookmarkEnd w:id="2491"/>
    </w:p>
    <w:p>
      <w:pPr>
        <w:pStyle w:val="BookText"/>
      </w:pPr>
      <w:r>
        <w:rPr>
          <w:rFonts w:ascii="IRNazanin" w:hAnsi="IRNazanin" w:eastAsia="IRNazanin" w:cs="IRNazanin"/>
          <w:lang w:bidi="fa-IR"/>
          <w:color w:val="111111"/>
          <w:sz w:val="28"/>
          <w:szCs w:val="28"/>
          <w:rtl/>
        </w:rPr>
        <w:t xml:space="preserve">للمیرزا أبی الحسن بن المیرزا محمد تقی بن المیر أبی المعالی من سادات نیشابور و فی بیتهم کانت النقابة و الکلانتریة بنیشابور، و کان قد کتب الشاه عباس لجدهم أبی المعالی طومارا فوض أمر الأراضی الموات إلیه بتلک البلدة و قد نازع بیگانه أخاه فی</w:t>
      </w:r>
    </w:p>
    <w:p>
      <w:pPr>
        <w:pStyle w:val="BookText"/>
      </w:pPr>
      <w:r>
        <w:rPr>
          <w:rFonts w:ascii="IRNazanin" w:hAnsi="IRNazanin" w:eastAsia="IRNazanin" w:cs="IRNazanin"/>
          <w:lang w:bidi="fa-IR"/>
          <w:color w:val="111111"/>
          <w:sz w:val="28"/>
          <w:szCs w:val="28"/>
          <w:rtl/>
        </w:rPr>
        <w:t xml:space="preserve">التولیة و جاء أصفهان للترافع و غلب علی أخیه مع أن الحق کان لأخیه و مات بعد قلیل کذا فی (نر 5- ص 100) و عنه فی (گلشن- ص 74) و توجد دیوان بیگانه عند النخجوانی بتبریز و توجد دیوانه بالهند أیضا کما فی (سرخوش ص 10)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54" w:name="pg11704_121631"/>
    <w:bookmarkEnd w:id="154"/>
    <w:p>
      <w:pPr>
        <w:pStyle w:val="Heading3"/>
      </w:pPr>
      <w:bookmarkStart w:id="2492" w:name="_Toc1188"/>
      <w:r>
        <w:t>دیوان بیگم‏</w:t>
      </w:r>
      <w:bookmarkEnd w:id="2492"/>
    </w:p>
    <w:p>
      <w:pPr>
        <w:pStyle w:val="BookText"/>
      </w:pPr>
      <w:r>
        <w:rPr>
          <w:rFonts w:ascii="IRNazanin" w:hAnsi="IRNazanin" w:eastAsia="IRNazanin" w:cs="IRNazanin"/>
          <w:lang w:bidi="fa-IR"/>
          <w:color w:val="111111"/>
          <w:sz w:val="28"/>
          <w:szCs w:val="28"/>
          <w:rtl/>
        </w:rPr>
        <w:t xml:space="preserve">مر بعنوان باجی‏</w:t>
      </w:r>
    </w:p>
    <w:p>
      <w:pPr>
        <w:pStyle w:val="Heading3"/>
      </w:pPr>
      <w:bookmarkStart w:id="2493" w:name="_Toc1189"/>
      <w:r>
        <w:t>دیوان بیگم‏</w:t>
      </w:r>
      <w:bookmarkEnd w:id="2493"/>
    </w:p>
    <w:p>
      <w:pPr>
        <w:pStyle w:val="BookText"/>
      </w:pPr>
      <w:r>
        <w:rPr>
          <w:rFonts w:ascii="IRNazanin" w:hAnsi="IRNazanin" w:eastAsia="IRNazanin" w:cs="IRNazanin"/>
          <w:lang w:bidi="fa-IR"/>
          <w:color w:val="111111"/>
          <w:sz w:val="28"/>
          <w:szCs w:val="28"/>
          <w:rtl/>
        </w:rPr>
        <w:t xml:space="preserve">یأتی بعنوان نسائی‏</w:t>
      </w:r>
    </w:p>
    <w:p>
      <w:pPr>
        <w:pStyle w:val="Heading3"/>
      </w:pPr>
      <w:bookmarkStart w:id="2494" w:name="_Toc1190"/>
      <w:r>
        <w:t>970- دیوان بیگی أو شعرها</w:t>
      </w:r>
      <w:bookmarkEnd w:id="2494"/>
    </w:p>
    <w:p>
      <w:pPr>
        <w:pStyle w:val="BookText"/>
      </w:pPr>
      <w:r>
        <w:rPr>
          <w:rFonts w:ascii="IRNazanin" w:hAnsi="IRNazanin" w:eastAsia="IRNazanin" w:cs="IRNazanin"/>
          <w:lang w:bidi="fa-IR"/>
          <w:color w:val="111111"/>
          <w:sz w:val="28"/>
          <w:szCs w:val="28"/>
          <w:rtl/>
        </w:rPr>
        <w:t xml:space="preserve">و کانت تسمی بیگی سلطان، و هی أخت درویش گنج المداح توجد شعرها بخطها فی کنز السالکین المذکور فی (ج 8- ص 187) کتبها فی مشهد خراسان فی یوم تاسوعاء عام (907)</w:t>
      </w:r>
    </w:p>
    <w:p>
      <w:pPr>
        <w:pStyle w:val="Heading3"/>
      </w:pPr>
      <w:bookmarkStart w:id="2495" w:name="_Toc1191"/>
      <w:r>
        <w:t>دیوان بیلقانی‏</w:t>
      </w:r>
      <w:bookmarkEnd w:id="2495"/>
    </w:p>
    <w:p>
      <w:pPr>
        <w:pStyle w:val="BookText"/>
      </w:pPr>
      <w:r>
        <w:rPr>
          <w:rFonts w:ascii="IRNazanin" w:hAnsi="IRNazanin" w:eastAsia="IRNazanin" w:cs="IRNazanin"/>
          <w:lang w:bidi="fa-IR"/>
          <w:color w:val="111111"/>
          <w:sz w:val="28"/>
          <w:szCs w:val="28"/>
          <w:rtl/>
        </w:rPr>
        <w:t xml:space="preserve">یأتی بعنوان مجیر بیلقانی‏</w:t>
      </w:r>
    </w:p>
    <w:p>
      <w:pPr>
        <w:pStyle w:val="Heading3"/>
      </w:pPr>
      <w:bookmarkStart w:id="2496" w:name="_Toc1192"/>
      <w:r>
        <w:t>971- دیوان بینا گیلانی أو شعره‏</w:t>
      </w:r>
      <w:bookmarkEnd w:id="2496"/>
    </w:p>
    <w:p>
      <w:pPr>
        <w:pStyle w:val="BookText"/>
      </w:pPr>
      <w:r>
        <w:rPr>
          <w:rFonts w:ascii="IRNazanin" w:hAnsi="IRNazanin" w:eastAsia="IRNazanin" w:cs="IRNazanin"/>
          <w:lang w:bidi="fa-IR"/>
          <w:color w:val="111111"/>
          <w:sz w:val="28"/>
          <w:szCs w:val="28"/>
          <w:rtl/>
        </w:rPr>
        <w:t xml:space="preserve">و هو المیرزا صدرا أورد شعره فی (گلشن- ص 74)</w:t>
      </w:r>
    </w:p>
    <w:p>
      <w:pPr>
        <w:pStyle w:val="Heading3"/>
      </w:pPr>
      <w:bookmarkStart w:id="2497" w:name="_Toc1193"/>
      <w:r>
        <w:t>972- دیوان بینش‏</w:t>
      </w:r>
      <w:bookmarkEnd w:id="2497"/>
    </w:p>
    <w:p>
      <w:pPr>
        <w:pStyle w:val="BookText"/>
      </w:pPr>
      <w:r>
        <w:rPr>
          <w:rFonts w:ascii="IRNazanin" w:hAnsi="IRNazanin" w:eastAsia="IRNazanin" w:cs="IRNazanin"/>
          <w:lang w:bidi="fa-IR"/>
          <w:color w:val="111111"/>
          <w:sz w:val="28"/>
          <w:szCs w:val="28"/>
          <w:rtl/>
        </w:rPr>
        <w:t xml:space="preserve">لمحمد تقی آق‏أولی المولود بطهران فی (ج 1- 1303) و فی أوائل الدستور نشر جریدة بهلول الانتقادیة الفکاهیة کما فی أدبیات معاصر لیاسمی (ص 32) طبع أشعاره فی تلک الجریدة کثیرا، و طبع له دغل‏نامه فی (40 ص) و دیوانه طبع فی 32 ص و الجزء الأول و الثانی من الکتاب الثانی من دیوانه طبع فی (126 ص) بطهران فی (1320 ش) و الجزء الثالث من الکتاب الثانی منه فی (96 ص)</w:t>
      </w:r>
    </w:p>
    <w:p>
      <w:pPr>
        <w:pStyle w:val="Heading3"/>
      </w:pPr>
      <w:bookmarkStart w:id="2498" w:name="_Toc1194"/>
      <w:r>
        <w:t>973- دیوان بینش شیرازی‏</w:t>
      </w:r>
      <w:bookmarkEnd w:id="2498"/>
    </w:p>
    <w:p>
      <w:pPr>
        <w:pStyle w:val="BookText"/>
      </w:pPr>
      <w:r>
        <w:rPr>
          <w:rFonts w:ascii="IRNazanin" w:hAnsi="IRNazanin" w:eastAsia="IRNazanin" w:cs="IRNazanin"/>
          <w:lang w:bidi="fa-IR"/>
          <w:color w:val="111111"/>
          <w:sz w:val="28"/>
          <w:szCs w:val="28"/>
          <w:rtl/>
        </w:rPr>
        <w:t xml:space="preserve">الملقب بحق‏جو المعاصر طبع له هزار رباعی فی (160 ص) فی بیروت فی (1308 ش)</w:t>
      </w:r>
    </w:p>
    <w:p>
      <w:pPr>
        <w:pStyle w:val="Heading3"/>
      </w:pPr>
      <w:bookmarkStart w:id="2499" w:name="_Toc1195"/>
      <w:r>
        <w:t>974- دیوان بینش کشمیری‏</w:t>
      </w:r>
      <w:bookmarkEnd w:id="2499"/>
    </w:p>
    <w:p>
      <w:pPr>
        <w:pStyle w:val="BookText"/>
      </w:pPr>
      <w:r>
        <w:rPr>
          <w:rFonts w:ascii="IRNazanin" w:hAnsi="IRNazanin" w:eastAsia="IRNazanin" w:cs="IRNazanin"/>
          <w:lang w:bidi="fa-IR"/>
          <w:color w:val="111111"/>
          <w:sz w:val="28"/>
          <w:szCs w:val="28"/>
          <w:rtl/>
        </w:rPr>
        <w:t xml:space="preserve">محمد جعفر بیگ من شعراء شاه جهان‏آباد مات فی أواخر المائة الحادی عشرة حدود (1100) له دیوان نقل عنها فی (گلشن- ص 75) و (تش- 350) و (سرخوش- ص 10) و (تغ- ص 30)</w:t>
      </w:r>
    </w:p>
    <w:p>
      <w:pPr>
        <w:pStyle w:val="Heading3"/>
      </w:pPr>
      <w:bookmarkStart w:id="2500" w:name="_Toc1196"/>
      <w:r>
        <w:t>975- دیوان بینش مدراسی أو شعره‏</w:t>
      </w:r>
      <w:bookmarkEnd w:id="2500"/>
    </w:p>
    <w:p>
      <w:pPr>
        <w:pStyle w:val="BookText"/>
      </w:pPr>
      <w:r>
        <w:rPr>
          <w:rFonts w:ascii="IRNazanin" w:hAnsi="IRNazanin" w:eastAsia="IRNazanin" w:cs="IRNazanin"/>
          <w:lang w:bidi="fa-IR"/>
          <w:color w:val="111111"/>
          <w:sz w:val="28"/>
          <w:szCs w:val="28"/>
          <w:rtl/>
        </w:rPr>
        <w:t xml:space="preserve">هو السید مرتضی من أحفاد الشاه إبراهیم مصطفی الحسینی خال السید محمد گیسو دراز جاء آباؤه من مشهد خراسان إلی دکن و ولد بینش هناک فی (1226) کما فی (گلشن- ص 75- 76) و أورد شعره‏</w:t>
      </w:r>
    </w:p>
    <w:p>
      <w:pPr>
        <w:pStyle w:val="Heading3"/>
      </w:pPr>
      <w:bookmarkStart w:id="2501" w:name="_Toc1197"/>
      <w:r>
        <w:t>976- دیوان بینش مشهدی أو شعره‏</w:t>
      </w:r>
      <w:bookmarkEnd w:id="2501"/>
    </w:p>
    <w:p>
      <w:pPr>
        <w:pStyle w:val="BookText"/>
      </w:pPr>
      <w:r>
        <w:rPr>
          <w:rFonts w:ascii="IRNazanin" w:hAnsi="IRNazanin" w:eastAsia="IRNazanin" w:cs="IRNazanin"/>
          <w:lang w:bidi="fa-IR"/>
          <w:color w:val="111111"/>
          <w:sz w:val="28"/>
          <w:szCs w:val="28"/>
          <w:rtl/>
        </w:rPr>
        <w:t xml:space="preserve">و اسمه المیر بدیع سکن الهند فی عهد شاه‏جهان کذا فی (تغ- ص 30)</w:t>
      </w:r>
    </w:p>
    <w:p>
      <w:pPr>
        <w:pStyle w:val="Heading3"/>
      </w:pPr>
      <w:bookmarkStart w:id="2502" w:name="_Toc1198"/>
      <w:r>
        <w:t>977- دیوان بین الشعور و العاطفة</w:t>
      </w:r>
      <w:bookmarkEnd w:id="2502"/>
    </w:p>
    <w:p>
      <w:pPr>
        <w:pStyle w:val="BookText"/>
      </w:pPr>
      <w:r>
        <w:rPr>
          <w:rFonts w:ascii="IRNazanin" w:hAnsi="IRNazanin" w:eastAsia="IRNazanin" w:cs="IRNazanin"/>
          <w:lang w:bidi="fa-IR"/>
          <w:color w:val="111111"/>
          <w:sz w:val="28"/>
          <w:szCs w:val="28"/>
          <w:rtl/>
        </w:rPr>
        <w:t xml:space="preserve">للشیخ محمد مهدی الجواهری المعاصر النجفی طبع بمطبعة النجاح ببغداد فی (1347)</w:t>
      </w:r>
    </w:p>
    <w:p>
      <w:pPr>
        <w:pStyle w:val="Heading3"/>
      </w:pPr>
      <w:bookmarkStart w:id="2503" w:name="_Toc1199"/>
      <w:r>
        <w:t>978- دیوان بینوا بدخشی أو شعره‏</w:t>
      </w:r>
      <w:bookmarkEnd w:id="2503"/>
    </w:p>
    <w:p>
      <w:pPr>
        <w:pStyle w:val="BookText"/>
      </w:pPr>
      <w:r>
        <w:rPr>
          <w:rFonts w:ascii="IRNazanin" w:hAnsi="IRNazanin" w:eastAsia="IRNazanin" w:cs="IRNazanin"/>
          <w:lang w:bidi="fa-IR"/>
          <w:color w:val="111111"/>
          <w:sz w:val="28"/>
          <w:szCs w:val="28"/>
          <w:rtl/>
        </w:rPr>
        <w:t xml:space="preserve">و اسمه الشاه خلیل الله بن إبراهیم البدخشانی‏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55" w:name="pg11704_121632"/>
    <w:bookmarkEnd w:id="155"/>
    <w:p>
      <w:pPr>
        <w:pStyle w:val="BookText"/>
      </w:pPr>
      <w:r>
        <w:rPr>
          <w:rFonts w:ascii="IRNazanin" w:hAnsi="IRNazanin" w:eastAsia="IRNazanin" w:cs="IRNazanin"/>
          <w:lang w:bidi="fa-IR"/>
          <w:color w:val="111111"/>
          <w:sz w:val="28"/>
          <w:szCs w:val="28"/>
          <w:rtl/>
        </w:rPr>
        <w:t xml:space="preserve">أورد شعره فی (ض- ص 70) و له رباعیات صوفیة، سکن دهلی فی عهد محمد شاه کما فی (تغ- ص 30)</w:t>
      </w:r>
    </w:p>
    <w:p>
      <w:pPr>
        <w:pStyle w:val="Heading3"/>
      </w:pPr>
      <w:bookmarkStart w:id="2504" w:name="_Toc1200"/>
      <w:r>
        <w:t>979- دیوان البیهقی‏</w:t>
      </w:r>
      <w:bookmarkEnd w:id="2504"/>
    </w:p>
    <w:p>
      <w:pPr>
        <w:pStyle w:val="BookText"/>
      </w:pPr>
      <w:r>
        <w:rPr>
          <w:rFonts w:ascii="IRNazanin" w:hAnsi="IRNazanin" w:eastAsia="IRNazanin" w:cs="IRNazanin"/>
          <w:lang w:bidi="fa-IR"/>
          <w:color w:val="111111"/>
          <w:sz w:val="28"/>
          <w:szCs w:val="28"/>
          <w:rtl/>
        </w:rPr>
        <w:t xml:space="preserve">لأبی الحسن علی بن أبی القاسم زید البیهقی مؤلف تاریخ بیهق و درة الوشاح و غیرهما و توفی (565) ذکره فی فهرس تصانیفه المدرج فی کتابه مشارب التجارب و نقله فی معجم الأدباء- ج 13- ص 226 و یظهر منه أنه دونه بنفسه لأنه عبر عنه بقوله: کتاب أشعاره مجلد</w:t>
      </w:r>
    </w:p>
    <w:p>
      <w:pPr>
        <w:pStyle w:val="Heading3"/>
      </w:pPr>
      <w:bookmarkStart w:id="2505" w:name="_Toc1201"/>
      <w:r>
        <w:t>980- دیوان البیهقی‏</w:t>
      </w:r>
      <w:bookmarkEnd w:id="2505"/>
    </w:p>
    <w:p>
      <w:pPr>
        <w:pStyle w:val="BookText"/>
      </w:pPr>
      <w:r>
        <w:rPr>
          <w:rFonts w:ascii="IRNazanin" w:hAnsi="IRNazanin" w:eastAsia="IRNazanin" w:cs="IRNazanin"/>
          <w:lang w:bidi="fa-IR"/>
          <w:color w:val="111111"/>
          <w:sz w:val="28"/>
          <w:szCs w:val="28"/>
          <w:rtl/>
        </w:rPr>
        <w:t xml:space="preserve">لأبی عبد الله محمد بن عبد الرزاق البیهقی المولود بسبزوار قال فی (تاریخ بیهق- ص 162) إنه من آل بدیل بن ورقاء الخزاعی القاطنین فی بیهق و قد جمع أشعاره السید أبو الحسن محمد بن علی العلوی السویزی فی خمس مجلدات، و نقل منه بعض شعره منها مطلع القصیدة التی أجاب بها عن قصیدة قیصر الروم التی أرسلها إلی المطیع العباسی المخلوع فی (334)</w:t>
      </w:r>
    </w:p>
    <w:p>
      <w:pPr>
        <w:pStyle w:val="BookText"/>
      </w:pPr>
      <w:r>
        <w:rPr>
          <w:rFonts w:ascii="IRNazanin" w:hAnsi="IRNazanin" w:eastAsia="IRNazanin" w:cs="IRNazanin"/>
          <w:lang w:bidi="fa-IR"/>
          <w:color w:val="111111"/>
          <w:sz w:val="28"/>
          <w:szCs w:val="28"/>
          <w:rtl/>
        </w:rPr>
        <w:t xml:space="preserve">أ وهنا و غزو الروم ضربه لازم‏</w:t>
      </w:r>
    </w:p>
    <w:p>
      <w:pPr>
        <w:pStyle w:val="BookText"/>
      </w:pPr>
      <w:r>
        <w:rPr>
          <w:rFonts w:ascii="IRNazanin" w:hAnsi="IRNazanin" w:eastAsia="IRNazanin" w:cs="IRNazanin"/>
          <w:lang w:bidi="fa-IR"/>
          <w:color w:val="111111"/>
          <w:sz w:val="28"/>
          <w:szCs w:val="28"/>
          <w:rtl/>
        </w:rPr>
        <w:t xml:space="preserve">أ ریثا و قد جاءوا بتلک العظائم‏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56" w:name="pg11704_121633"/>
    <w:bookmarkEnd w:id="156"/>
    <w:p>
      <w:pPr>
        <w:pStyle w:val="Heading3"/>
      </w:pPr>
      <w:bookmarkStart w:id="2506" w:name="_Toc1202"/>
      <w:r>
        <w:t>پ‏</w:t>
      </w:r>
      <w:bookmarkEnd w:id="2506"/>
    </w:p>
    <w:p>
      <w:pPr>
        <w:pStyle w:val="Heading3"/>
      </w:pPr>
      <w:bookmarkStart w:id="2507" w:name="_Toc1203"/>
      <w:r>
        <w:t>981- دیوان پاکی غلام أو شعره‏</w:t>
      </w:r>
      <w:bookmarkEnd w:id="2507"/>
    </w:p>
    <w:p>
      <w:pPr>
        <w:pStyle w:val="BookText"/>
      </w:pPr>
      <w:r>
        <w:rPr>
          <w:rFonts w:ascii="IRNazanin" w:hAnsi="IRNazanin" w:eastAsia="IRNazanin" w:cs="IRNazanin"/>
          <w:lang w:bidi="fa-IR"/>
          <w:color w:val="111111"/>
          <w:sz w:val="28"/>
          <w:szCs w:val="28"/>
          <w:rtl/>
        </w:rPr>
        <w:t xml:space="preserve">کان حلاقا بهراة أورد شعره فی (تس 5- ص 171)</w:t>
      </w:r>
    </w:p>
    <w:p>
      <w:pPr>
        <w:pStyle w:val="Heading3"/>
      </w:pPr>
      <w:bookmarkStart w:id="2508" w:name="_Toc1204"/>
      <w:r>
        <w:t>982- دیوان پرتو لنجانی‏</w:t>
      </w:r>
      <w:bookmarkEnd w:id="2508"/>
    </w:p>
    <w:p>
      <w:pPr>
        <w:pStyle w:val="BookText"/>
      </w:pPr>
      <w:r>
        <w:rPr>
          <w:rFonts w:ascii="IRNazanin" w:hAnsi="IRNazanin" w:eastAsia="IRNazanin" w:cs="IRNazanin"/>
          <w:lang w:bidi="fa-IR"/>
          <w:color w:val="111111"/>
          <w:sz w:val="28"/>
          <w:szCs w:val="28"/>
          <w:rtl/>
        </w:rPr>
        <w:t xml:space="preserve">و هو المیر علی رضا اللنجانی الأصفهانی نشا بأصفهان و مهر فی خط النسخ توجد خطه فی المکتبة الشاهیة کما فی فهرس خطوط خوش- ص 28 و قد مدح منوچهر خان الگرجی کما ترجمه و أورد له قصیدتین و غزلین بهار الأصفهانی فی المدائح المعتمدیة و ترجمه أیضا فی (المآثر- ص 205) و کان حیا فی عام تألیفه (1306) و رأیت فی بعض الفهارس أنه طبع بإیران دیوان پرتو فارسی للمیرزا علی رضا، و أظنه متحدا مع آقا جان پرتو الآتی بعده‏</w:t>
      </w:r>
    </w:p>
    <w:p>
      <w:pPr>
        <w:pStyle w:val="Heading3"/>
      </w:pPr>
      <w:bookmarkStart w:id="2509" w:name="_Toc1205"/>
      <w:r>
        <w:t>دیوان پرتو لنجانی‏</w:t>
      </w:r>
      <w:bookmarkEnd w:id="2509"/>
    </w:p>
    <w:p>
      <w:pPr>
        <w:pStyle w:val="BookText"/>
      </w:pPr>
      <w:r>
        <w:rPr>
          <w:rFonts w:ascii="IRNazanin" w:hAnsi="IRNazanin" w:eastAsia="IRNazanin" w:cs="IRNazanin"/>
          <w:lang w:bidi="fa-IR"/>
          <w:color w:val="111111"/>
          <w:sz w:val="28"/>
          <w:szCs w:val="28"/>
          <w:rtl/>
        </w:rPr>
        <w:t xml:space="preserve">للمیرزا آقا جان الماهر فی النسخ، أستاذ الخطاطین و المسلم فی الشعر و مقدم الشعراء و کان قد مات فی (1306) عام تألیف المآثر فترجمه فیه (ص 216) و کان حیا إلی (1297) و أظنه متحدا مع علی رضا پرتو المذکور قبله و قد ذکره صاحب المآثر فی (ص 205) أیضا اشتباها راجع جدول الاستدراک‏</w:t>
      </w:r>
    </w:p>
    <w:p>
      <w:pPr>
        <w:pStyle w:val="Heading3"/>
      </w:pPr>
      <w:bookmarkStart w:id="2510" w:name="_Toc1206"/>
      <w:r>
        <w:t>983- دیوان پرتوی الشیرازی‏</w:t>
      </w:r>
      <w:bookmarkEnd w:id="2510"/>
    </w:p>
    <w:p>
      <w:pPr>
        <w:pStyle w:val="BookText"/>
      </w:pPr>
      <w:r>
        <w:rPr>
          <w:rFonts w:ascii="IRNazanin" w:hAnsi="IRNazanin" w:eastAsia="IRNazanin" w:cs="IRNazanin"/>
          <w:lang w:bidi="fa-IR"/>
          <w:color w:val="111111"/>
          <w:sz w:val="28"/>
          <w:szCs w:val="28"/>
          <w:rtl/>
        </w:rPr>
        <w:t xml:space="preserve">المنجم الماهر، استخرج تقویما للشاه إسماعیل الفاتح الصفوی ترجمه فی (بهش 2- و أورد شعره) و قال فی (تش 264) إن جلال الدوانی قال فی حقه: ما رأیت أتم فقرأ و مسکنة منه و عندی أنه من السالکین، مات بشیراز و دفن بجوار سعدی له ساقی‏نامه و کذا ذکره فی تذکره میخانه و (هفت- ص 311) و (تس 5- ص 126)</w:t>
      </w:r>
    </w:p>
    <w:p>
      <w:pPr>
        <w:pStyle w:val="Heading3"/>
      </w:pPr>
      <w:bookmarkStart w:id="2511" w:name="_Toc1207"/>
      <w:r>
        <w:t>984- دیوان پردل أندجانی أو شعره‏</w:t>
      </w:r>
      <w:bookmarkEnd w:id="2511"/>
    </w:p>
    <w:p>
      <w:pPr>
        <w:pStyle w:val="BookText"/>
      </w:pPr>
      <w:r>
        <w:rPr>
          <w:rFonts w:ascii="IRNazanin" w:hAnsi="IRNazanin" w:eastAsia="IRNazanin" w:cs="IRNazanin"/>
          <w:lang w:bidi="fa-IR"/>
          <w:color w:val="111111"/>
          <w:sz w:val="28"/>
          <w:szCs w:val="28"/>
          <w:rtl/>
        </w:rPr>
        <w:t xml:space="preserve">و هو المیرزا محمد تقی بن محمد مسعود أورد شعره فی مرآة الخیال- ص 257 و لعل کنیته أبو الحسن الذی قال فی کشف الظنون إن له معمیات أدرجها سیفی بخاری فی آخر شرحه علی معمیات میر حسین النیشابوری‏</w:t>
      </w:r>
    </w:p>
    <w:p>
      <w:pPr>
        <w:pStyle w:val="Heading3"/>
      </w:pPr>
      <w:bookmarkStart w:id="2512" w:name="_Toc1208"/>
      <w:r>
        <w:t>985- دیوان پروانه أصفهانی‏</w:t>
      </w:r>
      <w:bookmarkEnd w:id="2512"/>
    </w:p>
    <w:p>
      <w:pPr>
        <w:pStyle w:val="BookText"/>
      </w:pPr>
      <w:r>
        <w:rPr>
          <w:rFonts w:ascii="IRNazanin" w:hAnsi="IRNazanin" w:eastAsia="IRNazanin" w:cs="IRNazanin"/>
          <w:lang w:bidi="fa-IR"/>
          <w:color w:val="111111"/>
          <w:sz w:val="28"/>
          <w:szCs w:val="28"/>
          <w:rtl/>
        </w:rPr>
        <w:t xml:space="preserve">و اسمه المیرزا محمد حسین الأصفهانی اللنجانی أورد له بهار الأصفهانی قصیدة و غزلا فی المدائح‏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57" w:name="pg11704_121634"/>
    <w:bookmarkEnd w:id="157"/>
    <w:p>
      <w:pPr>
        <w:pStyle w:val="Heading3"/>
      </w:pPr>
      <w:bookmarkStart w:id="2513" w:name="_Toc1209"/>
      <w:r>
        <w:t>986- دیوان پروانه تفرشی أو شعره‏</w:t>
      </w:r>
      <w:bookmarkEnd w:id="2513"/>
    </w:p>
    <w:p>
      <w:pPr>
        <w:pStyle w:val="BookText"/>
      </w:pPr>
      <w:r>
        <w:rPr>
          <w:rFonts w:ascii="IRNazanin" w:hAnsi="IRNazanin" w:eastAsia="IRNazanin" w:cs="IRNazanin"/>
          <w:lang w:bidi="fa-IR"/>
          <w:color w:val="111111"/>
          <w:sz w:val="28"/>
          <w:szCs w:val="28"/>
          <w:rtl/>
        </w:rPr>
        <w:t xml:space="preserve">و هو المیرزا محمد صادق بن معصوم قائم مقام الکبیر المیرزا عیسی الفراهانی ترجمه فی (المآثر- ص 217) و أورد بهار الأصفهانی له قصیدة فی المدائح و مر دیوان حفیده و سمیه أدیب الممالک راجع جدول الاستدراک‏</w:t>
      </w:r>
    </w:p>
    <w:p>
      <w:pPr>
        <w:pStyle w:val="Heading3"/>
      </w:pPr>
      <w:bookmarkStart w:id="2514" w:name="_Toc1210"/>
      <w:r>
        <w:t>دیوان پروین اعتصامی‏</w:t>
      </w:r>
      <w:bookmarkEnd w:id="2514"/>
    </w:p>
    <w:p>
      <w:pPr>
        <w:pStyle w:val="BookText"/>
      </w:pPr>
      <w:r>
        <w:rPr>
          <w:rFonts w:ascii="IRNazanin" w:hAnsi="IRNazanin" w:eastAsia="IRNazanin" w:cs="IRNazanin"/>
          <w:lang w:bidi="fa-IR"/>
          <w:color w:val="111111"/>
          <w:sz w:val="28"/>
          <w:szCs w:val="28"/>
          <w:rtl/>
        </w:rPr>
        <w:t xml:space="preserve">مر بعنوان دیوان اعتصامی‏</w:t>
      </w:r>
    </w:p>
    <w:p>
      <w:pPr>
        <w:pStyle w:val="Heading3"/>
      </w:pPr>
      <w:bookmarkStart w:id="2515" w:name="_Toc1211"/>
      <w:r>
        <w:t>987- دیوان پروین شیرازی أو شعره‏</w:t>
      </w:r>
      <w:bookmarkEnd w:id="2515"/>
    </w:p>
    <w:p>
      <w:pPr>
        <w:pStyle w:val="BookText"/>
      </w:pPr>
      <w:r>
        <w:rPr>
          <w:rFonts w:ascii="IRNazanin" w:hAnsi="IRNazanin" w:eastAsia="IRNazanin" w:cs="IRNazanin"/>
          <w:lang w:bidi="fa-IR"/>
          <w:color w:val="111111"/>
          <w:sz w:val="28"/>
          <w:szCs w:val="28"/>
          <w:rtl/>
        </w:rPr>
        <w:t xml:space="preserve">و هو المیرزا خلیل الشاعر کان حیا فی (1313) حین تألیف آثار العجم فترجمه فیه (ص 539)</w:t>
      </w:r>
    </w:p>
    <w:p>
      <w:pPr>
        <w:pStyle w:val="Heading3"/>
      </w:pPr>
      <w:bookmarkStart w:id="2516" w:name="_Toc1212"/>
      <w:r>
        <w:t>988- دیوان پروین طهرانی‏</w:t>
      </w:r>
      <w:bookmarkEnd w:id="2516"/>
    </w:p>
    <w:p>
      <w:pPr>
        <w:pStyle w:val="BookText"/>
      </w:pPr>
      <w:r>
        <w:rPr>
          <w:rFonts w:ascii="IRNazanin" w:hAnsi="IRNazanin" w:eastAsia="IRNazanin" w:cs="IRNazanin"/>
          <w:lang w:bidi="fa-IR"/>
          <w:color w:val="111111"/>
          <w:sz w:val="28"/>
          <w:szCs w:val="28"/>
          <w:rtl/>
        </w:rPr>
        <w:t xml:space="preserve">و هو الحاج أبو القاسم التاجر الطهرانی المتوفی نیف و ثلاثمائة بعد الألف و مؤلف آمال العارفین توجد نسخته عند صدیقی الشیخ عبد المجید الهمدانی المتوفی بمشهد خراسان (1336)</w:t>
      </w:r>
    </w:p>
    <w:p>
      <w:pPr>
        <w:pStyle w:val="Heading3"/>
      </w:pPr>
      <w:bookmarkStart w:id="2517" w:name="_Toc1213"/>
      <w:r>
        <w:t>دیوان پروین همدانی‏</w:t>
      </w:r>
      <w:bookmarkEnd w:id="2517"/>
    </w:p>
    <w:p>
      <w:pPr>
        <w:pStyle w:val="BookText"/>
      </w:pPr>
      <w:r>
        <w:rPr>
          <w:rFonts w:ascii="IRNazanin" w:hAnsi="IRNazanin" w:eastAsia="IRNazanin" w:cs="IRNazanin"/>
          <w:lang w:bidi="fa-IR"/>
          <w:color w:val="111111"/>
          <w:sz w:val="28"/>
          <w:szCs w:val="28"/>
          <w:rtl/>
        </w:rPr>
        <w:t xml:space="preserve">مر بعنوان آتشکده پروین‏</w:t>
      </w:r>
    </w:p>
    <w:p>
      <w:pPr>
        <w:pStyle w:val="Heading3"/>
      </w:pPr>
      <w:bookmarkStart w:id="2518" w:name="_Toc1214"/>
      <w:r>
        <w:t>989- دیوان پری بیک ترکمان أو شعرها</w:t>
      </w:r>
      <w:bookmarkEnd w:id="2518"/>
    </w:p>
    <w:p>
      <w:pPr>
        <w:pStyle w:val="BookText"/>
      </w:pPr>
      <w:r>
        <w:rPr>
          <w:rFonts w:ascii="IRNazanin" w:hAnsi="IRNazanin" w:eastAsia="IRNazanin" w:cs="IRNazanin"/>
          <w:lang w:bidi="fa-IR"/>
          <w:color w:val="111111"/>
          <w:sz w:val="28"/>
          <w:szCs w:val="28"/>
          <w:rtl/>
        </w:rPr>
        <w:t xml:space="preserve">أورد شعرها فی (روشن- ص 95)</w:t>
      </w:r>
    </w:p>
    <w:p>
      <w:pPr>
        <w:pStyle w:val="Heading3"/>
      </w:pPr>
      <w:bookmarkStart w:id="2519" w:name="_Toc1215"/>
      <w:r>
        <w:t>990- دیوان پریشان شیرازی أو شعره‏</w:t>
      </w:r>
      <w:bookmarkEnd w:id="2519"/>
    </w:p>
    <w:p>
      <w:pPr>
        <w:pStyle w:val="BookText"/>
      </w:pPr>
      <w:r>
        <w:rPr>
          <w:rFonts w:ascii="IRNazanin" w:hAnsi="IRNazanin" w:eastAsia="IRNazanin" w:cs="IRNazanin"/>
          <w:lang w:bidi="fa-IR"/>
          <w:color w:val="111111"/>
          <w:sz w:val="28"/>
          <w:szCs w:val="28"/>
          <w:rtl/>
        </w:rPr>
        <w:t xml:space="preserve">و اسمه المیرزا آقا کان حیا فی (1313) فترجمه فی (عم- ص 539) و أورد شعره‏</w:t>
      </w:r>
    </w:p>
    <w:p>
      <w:pPr>
        <w:pStyle w:val="Heading3"/>
      </w:pPr>
      <w:bookmarkStart w:id="2520" w:name="_Toc1216"/>
      <w:r>
        <w:t>991- دیوان پریشان کرد</w:t>
      </w:r>
      <w:bookmarkEnd w:id="2520"/>
    </w:p>
    <w:p>
      <w:pPr>
        <w:pStyle w:val="BookText"/>
      </w:pPr>
      <w:r>
        <w:rPr>
          <w:rFonts w:ascii="IRNazanin" w:hAnsi="IRNazanin" w:eastAsia="IRNazanin" w:cs="IRNazanin"/>
          <w:lang w:bidi="fa-IR"/>
          <w:color w:val="111111"/>
          <w:sz w:val="28"/>
          <w:szCs w:val="28"/>
          <w:rtl/>
        </w:rPr>
        <w:t xml:space="preserve">کان تلمیذ الشیخ رجب البرسی و من شعراء القرن التاسع، توجد دیوانه بالکردیة فی أکثر من ألف بیت و فیه معراج‏نامه و منه:</w:t>
      </w:r>
    </w:p>
    <w:p>
      <w:pPr>
        <w:pStyle w:val="BookText"/>
      </w:pPr>
      <w:r>
        <w:rPr>
          <w:rFonts w:ascii="IRNazanin" w:hAnsi="IRNazanin" w:eastAsia="IRNazanin" w:cs="IRNazanin"/>
          <w:lang w:bidi="fa-IR"/>
          <w:color w:val="111111"/>
          <w:sz w:val="28"/>
          <w:szCs w:val="28"/>
          <w:rtl/>
        </w:rPr>
        <w:t xml:space="preserve">ژ ذات چون عاجز مانی بوس لب‏</w:t>
      </w:r>
    </w:p>
    <w:p>
      <w:pPr>
        <w:pStyle w:val="BookText"/>
      </w:pPr>
      <w:r>
        <w:rPr>
          <w:rFonts w:ascii="IRNazanin" w:hAnsi="IRNazanin" w:eastAsia="IRNazanin" w:cs="IRNazanin"/>
          <w:lang w:bidi="fa-IR"/>
          <w:color w:val="111111"/>
          <w:sz w:val="28"/>
          <w:szCs w:val="28"/>
          <w:rtl/>
        </w:rPr>
        <w:t xml:space="preserve">ژ صفات درک کر تتمه مطلب‏</w:t>
      </w:r>
    </w:p>
    <w:p>
      <w:pPr>
        <w:pStyle w:val="BookText"/>
      </w:pPr>
      <w:r>
        <w:rPr>
          <w:rFonts w:ascii="IRNazanin" w:hAnsi="IRNazanin" w:eastAsia="IRNazanin" w:cs="IRNazanin"/>
          <w:lang w:bidi="fa-IR"/>
          <w:color w:val="111111"/>
          <w:sz w:val="28"/>
          <w:szCs w:val="28"/>
          <w:rtl/>
        </w:rPr>
        <w:t xml:space="preserve">بگذر ژی قید بلوا تها و بن‏</w:t>
      </w:r>
    </w:p>
    <w:p>
      <w:pPr>
        <w:pStyle w:val="BookText"/>
      </w:pPr>
      <w:r>
        <w:rPr>
          <w:rFonts w:ascii="IRNazanin" w:hAnsi="IRNazanin" w:eastAsia="IRNazanin" w:cs="IRNazanin"/>
          <w:lang w:bidi="fa-IR"/>
          <w:color w:val="111111"/>
          <w:sz w:val="28"/>
          <w:szCs w:val="28"/>
          <w:rtl/>
        </w:rPr>
        <w:t xml:space="preserve">کوری کار نداشت ویش مکب‏</w:t>
      </w:r>
    </w:p>
    <w:p>
      <w:pPr>
        <w:pStyle w:val="Heading3"/>
      </w:pPr>
      <w:bookmarkStart w:id="2521" w:name="_Toc1217"/>
      <w:r>
        <w:t>992- دیوان پریشان یزدی أو شعره‏</w:t>
      </w:r>
      <w:bookmarkEnd w:id="2521"/>
    </w:p>
    <w:p>
      <w:pPr>
        <w:pStyle w:val="BookText"/>
      </w:pPr>
      <w:r>
        <w:rPr>
          <w:rFonts w:ascii="IRNazanin" w:hAnsi="IRNazanin" w:eastAsia="IRNazanin" w:cs="IRNazanin"/>
          <w:lang w:bidi="fa-IR"/>
          <w:color w:val="111111"/>
          <w:sz w:val="28"/>
          <w:szCs w:val="28"/>
          <w:rtl/>
        </w:rPr>
        <w:t xml:space="preserve">و هو محمد بن مهجور، و أخو علی أکبر و أحمد آقا أصلهم من تفت و سکنوا یزد ترجمهم فی (تش یز- ص 278)</w:t>
      </w:r>
    </w:p>
    <w:p>
      <w:pPr>
        <w:pStyle w:val="Heading3"/>
      </w:pPr>
      <w:bookmarkStart w:id="2522" w:name="_Toc1218"/>
      <w:r>
        <w:t>993- دیوان پژمان بختیاری‏</w:t>
      </w:r>
      <w:bookmarkEnd w:id="2522"/>
    </w:p>
    <w:p>
      <w:pPr>
        <w:pStyle w:val="BookText"/>
      </w:pPr>
      <w:r>
        <w:rPr>
          <w:rFonts w:ascii="IRNazanin" w:hAnsi="IRNazanin" w:eastAsia="IRNazanin" w:cs="IRNazanin"/>
          <w:lang w:bidi="fa-IR"/>
          <w:color w:val="111111"/>
          <w:sz w:val="28"/>
          <w:szCs w:val="28"/>
          <w:rtl/>
        </w:rPr>
        <w:t xml:space="preserve">و اسمه حسین بن علی مراد میر پنجه و أمه عالم تاج المتخلصة ژاله من بیت أبی القاسم قائم مقام ولد پژمان فی (1318) بطهران و طبع له محاکمه شاعر و زن بیچاره و مجموعه بهترین أشعار و ترجمه وفای زن و سیه‏روز و تصحیح دیوان حافظ</w:t>
      </w:r>
    </w:p>
    <w:p>
      <w:pPr>
        <w:pStyle w:val="Heading3"/>
      </w:pPr>
      <w:bookmarkStart w:id="2523" w:name="_Toc1219"/>
      <w:r>
        <w:t>994- دیوان‏پژوهی یزدی أو شعره‏</w:t>
      </w:r>
      <w:bookmarkEnd w:id="2523"/>
    </w:p>
    <w:p>
      <w:pPr>
        <w:pStyle w:val="BookText"/>
      </w:pPr>
      <w:r>
        <w:rPr>
          <w:rFonts w:ascii="IRNazanin" w:hAnsi="IRNazanin" w:eastAsia="IRNazanin" w:cs="IRNazanin"/>
          <w:lang w:bidi="fa-IR"/>
          <w:color w:val="111111"/>
          <w:sz w:val="28"/>
          <w:szCs w:val="28"/>
          <w:rtl/>
        </w:rPr>
        <w:t xml:space="preserve">و اسمه غلام رضا الطبیب الحاذق مات (1313) ترجمه و أورد شعره فی (تش یز- ص 278)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58" w:name="pg11704_121635"/>
    <w:bookmarkEnd w:id="158"/>
    <w:p>
      <w:pPr>
        <w:pStyle w:val="Heading3"/>
      </w:pPr>
      <w:bookmarkStart w:id="2524" w:name="_Toc1220"/>
      <w:r>
        <w:t>995- دیوان پناه دهلوی أو شعره‏</w:t>
      </w:r>
      <w:bookmarkEnd w:id="2524"/>
    </w:p>
    <w:p>
      <w:pPr>
        <w:pStyle w:val="BookText"/>
      </w:pPr>
      <w:r>
        <w:rPr>
          <w:rFonts w:ascii="IRNazanin" w:hAnsi="IRNazanin" w:eastAsia="IRNazanin" w:cs="IRNazanin"/>
          <w:lang w:bidi="fa-IR"/>
          <w:color w:val="111111"/>
          <w:sz w:val="28"/>
          <w:szCs w:val="28"/>
          <w:rtl/>
        </w:rPr>
        <w:t xml:space="preserve">أورد شعره فی (روشن- ص 121)</w:t>
      </w:r>
    </w:p>
    <w:p>
      <w:pPr>
        <w:pStyle w:val="Heading3"/>
      </w:pPr>
      <w:bookmarkStart w:id="2525" w:name="_Toc1221"/>
      <w:r>
        <w:t>996- دیوان پناهی دارابجردی‏</w:t>
      </w:r>
      <w:bookmarkEnd w:id="2525"/>
    </w:p>
    <w:p>
      <w:pPr>
        <w:pStyle w:val="BookText"/>
      </w:pPr>
      <w:r>
        <w:rPr>
          <w:rFonts w:ascii="IRNazanin" w:hAnsi="IRNazanin" w:eastAsia="IRNazanin" w:cs="IRNazanin"/>
          <w:lang w:bidi="fa-IR"/>
          <w:color w:val="111111"/>
          <w:sz w:val="28"/>
          <w:szCs w:val="28"/>
          <w:rtl/>
        </w:rPr>
        <w:t xml:space="preserve">له دیوان غزل نقل عنه فی (تس 5- ص 137) و عنه فی (روشن- ص 121)</w:t>
      </w:r>
    </w:p>
    <w:p>
      <w:pPr>
        <w:pStyle w:val="Heading3"/>
      </w:pPr>
      <w:bookmarkStart w:id="2526" w:name="_Toc1222"/>
      <w:r>
        <w:t>997- دیوان پناهی همدانی أو شعره‏</w:t>
      </w:r>
      <w:bookmarkEnd w:id="2526"/>
    </w:p>
    <w:p>
      <w:pPr>
        <w:pStyle w:val="BookText"/>
      </w:pPr>
      <w:r>
        <w:rPr>
          <w:rFonts w:ascii="IRNazanin" w:hAnsi="IRNazanin" w:eastAsia="IRNazanin" w:cs="IRNazanin"/>
          <w:lang w:bidi="fa-IR"/>
          <w:color w:val="111111"/>
          <w:sz w:val="28"/>
          <w:szCs w:val="28"/>
          <w:rtl/>
        </w:rPr>
        <w:t xml:space="preserve">کان من سادات همدان و هو ابن الخواجة میرم بیک الکلانتر أورد شعره فی (خص 8- ص 276) و عنه فی (روشن- ص 121)</w:t>
      </w:r>
    </w:p>
    <w:p>
      <w:pPr>
        <w:pStyle w:val="Heading3"/>
      </w:pPr>
      <w:bookmarkStart w:id="2527" w:name="_Toc1223"/>
      <w:r>
        <w:t>دیوان پندار رازی‏</w:t>
      </w:r>
      <w:bookmarkEnd w:id="2527"/>
    </w:p>
    <w:p>
      <w:pPr>
        <w:pStyle w:val="BookText"/>
      </w:pPr>
      <w:r>
        <w:rPr>
          <w:rFonts w:ascii="IRNazanin" w:hAnsi="IRNazanin" w:eastAsia="IRNazanin" w:cs="IRNazanin"/>
          <w:lang w:bidi="fa-IR"/>
          <w:color w:val="111111"/>
          <w:sz w:val="28"/>
          <w:szCs w:val="28"/>
          <w:rtl/>
        </w:rPr>
        <w:t xml:space="preserve">کما فی (لت) و قد مر بعنوان بندار</w:t>
      </w:r>
    </w:p>
    <w:p>
      <w:pPr>
        <w:pStyle w:val="Heading3"/>
      </w:pPr>
      <w:bookmarkStart w:id="2528" w:name="_Toc1224"/>
      <w:r>
        <w:t>دیوان پورانی‏</w:t>
      </w:r>
      <w:bookmarkEnd w:id="2528"/>
    </w:p>
    <w:p>
      <w:pPr>
        <w:pStyle w:val="BookText"/>
      </w:pPr>
      <w:r>
        <w:rPr>
          <w:rFonts w:ascii="IRNazanin" w:hAnsi="IRNazanin" w:eastAsia="IRNazanin" w:cs="IRNazanin"/>
          <w:lang w:bidi="fa-IR"/>
          <w:color w:val="111111"/>
          <w:sz w:val="28"/>
          <w:szCs w:val="28"/>
          <w:rtl/>
        </w:rPr>
        <w:t xml:space="preserve">یأتی بعنوان شیخ‏زاده پورانی‏</w:t>
      </w:r>
    </w:p>
    <w:p>
      <w:pPr>
        <w:pStyle w:val="Heading3"/>
      </w:pPr>
      <w:bookmarkStart w:id="2529" w:name="_Toc1225"/>
      <w:r>
        <w:t>دیوان پوربهای إسفزاری‏</w:t>
      </w:r>
      <w:bookmarkEnd w:id="2529"/>
    </w:p>
    <w:p>
      <w:pPr>
        <w:pStyle w:val="BookText"/>
      </w:pPr>
      <w:r>
        <w:rPr>
          <w:rFonts w:ascii="IRNazanin" w:hAnsi="IRNazanin" w:eastAsia="IRNazanin" w:cs="IRNazanin"/>
          <w:lang w:bidi="fa-IR"/>
          <w:color w:val="111111"/>
          <w:sz w:val="28"/>
          <w:szCs w:val="28"/>
          <w:rtl/>
        </w:rPr>
        <w:t xml:space="preserve">راجع پوربهای جامی‏</w:t>
      </w:r>
    </w:p>
    <w:p>
      <w:pPr>
        <w:pStyle w:val="Heading3"/>
      </w:pPr>
      <w:bookmarkStart w:id="2530" w:name="_Toc1226"/>
      <w:r>
        <w:t>998- دیوان پوربهای جامی‏</w:t>
      </w:r>
      <w:bookmarkEnd w:id="2530"/>
    </w:p>
    <w:p>
      <w:pPr>
        <w:pStyle w:val="BookText"/>
      </w:pPr>
      <w:r>
        <w:rPr>
          <w:rFonts w:ascii="IRNazanin" w:hAnsi="IRNazanin" w:eastAsia="IRNazanin" w:cs="IRNazanin"/>
          <w:lang w:bidi="fa-IR"/>
          <w:color w:val="111111"/>
          <w:sz w:val="28"/>
          <w:szCs w:val="28"/>
          <w:rtl/>
        </w:rPr>
        <w:t xml:space="preserve">تاج الدین بن القاضی بهاء الدین نشا بهراة و تلمذ علی رکن الدین قیائی الجنابذی، ثم سافر إلی تبریز و تقرب عند شمس الدین صاحب الدیوان و شاعر مع الخواجة همام الدین المتوفی (713) کان أجداده قضاة جام و کان یعمد إلی إدخال الکلمات المغولیة فی شعره الفارسی، کذا فی (لت 3) قال المستوفی فی تاریخ گزیده (ص 816) إن دیوانه معروف و ترجمه فی (تش- ص 73) و (گلشن- ص 77) و (روشن- ص 121) و المستر براون فی (ج 3 ص 135 و 136) و فی ص (197) بعنوان پوربهای إسفزاری و مات فی عهد السلطان أبی سعید گورکان‏</w:t>
      </w:r>
    </w:p>
    <w:p>
      <w:pPr>
        <w:pStyle w:val="Heading3"/>
      </w:pPr>
      <w:bookmarkStart w:id="2531" w:name="_Toc1227"/>
      <w:r>
        <w:t>999- دیوان پورحسن أسفراینی‏</w:t>
      </w:r>
      <w:bookmarkEnd w:id="2531"/>
    </w:p>
    <w:p>
      <w:pPr>
        <w:pStyle w:val="BookText"/>
      </w:pPr>
      <w:r>
        <w:rPr>
          <w:rFonts w:ascii="IRNazanin" w:hAnsi="IRNazanin" w:eastAsia="IRNazanin" w:cs="IRNazanin"/>
          <w:lang w:bidi="fa-IR"/>
          <w:color w:val="111111"/>
          <w:sz w:val="28"/>
          <w:szCs w:val="28"/>
          <w:rtl/>
        </w:rPr>
        <w:t xml:space="preserve">و اسمه عز الدین کان مریدا لجمال الدین أحمد خلیفة الشیخ علی لالا المتوفی (642) قال فی (لت 4) إن دیوانه الترکی معروف بآذربایجان و الروم (آسیا الصغری) و أورد له غزلا فارسیا، آخره:</w:t>
      </w:r>
    </w:p>
    <w:p>
      <w:pPr>
        <w:pStyle w:val="BookText"/>
      </w:pPr>
      <w:r>
        <w:rPr>
          <w:rFonts w:ascii="IRNazanin" w:hAnsi="IRNazanin" w:eastAsia="IRNazanin" w:cs="IRNazanin"/>
          <w:lang w:bidi="fa-IR"/>
          <w:color w:val="111111"/>
          <w:sz w:val="28"/>
          <w:szCs w:val="28"/>
          <w:rtl/>
        </w:rPr>
        <w:t xml:space="preserve">چون خدا در دو جهان روی نکو دارد دوست‏</w:t>
      </w:r>
    </w:p>
    <w:p>
      <w:pPr>
        <w:pStyle w:val="BookText"/>
      </w:pPr>
      <w:r>
        <w:rPr>
          <w:rFonts w:ascii="IRNazanin" w:hAnsi="IRNazanin" w:eastAsia="IRNazanin" w:cs="IRNazanin"/>
          <w:lang w:bidi="fa-IR"/>
          <w:color w:val="111111"/>
          <w:sz w:val="28"/>
          <w:szCs w:val="28"/>
          <w:rtl/>
        </w:rPr>
        <w:t xml:space="preserve">من که پور حسنم دوست ندارم چه کنم‏</w:t>
      </w:r>
    </w:p>
    <w:p>
      <w:pPr>
        <w:pStyle w:val="Heading3"/>
      </w:pPr>
      <w:bookmarkStart w:id="2532" w:name="_Toc1228"/>
      <w:r>
        <w:t>1000- دیوان پورداود</w:t>
      </w:r>
      <w:bookmarkEnd w:id="2532"/>
    </w:p>
    <w:p>
      <w:pPr>
        <w:pStyle w:val="BookText"/>
      </w:pPr>
      <w:r>
        <w:rPr>
          <w:rFonts w:ascii="IRNazanin" w:hAnsi="IRNazanin" w:eastAsia="IRNazanin" w:cs="IRNazanin"/>
          <w:lang w:bidi="fa-IR"/>
          <w:color w:val="111111"/>
          <w:sz w:val="28"/>
          <w:szCs w:val="28"/>
          <w:rtl/>
        </w:rPr>
        <w:t xml:space="preserve">لإبراهیم‏پور داود أستاذ جامعة طهران الیوم و مؤلف فرهنگ ایران باستان و غیره طبع 48 غزلا و قصیدة منه باسم پوران‏دخت‏نامه فی بمبئی (1307 ش) فی (120 ص) مع ترجمته الإنگلیزیة</w:t>
      </w:r>
    </w:p>
    <w:p>
      <w:pPr>
        <w:pStyle w:val="Heading3"/>
      </w:pPr>
      <w:bookmarkStart w:id="2533" w:name="_Toc1229"/>
      <w:r>
        <w:t>1001- دیوان پورفریدون شیرازی أو شعره‏</w:t>
      </w:r>
      <w:bookmarkEnd w:id="2533"/>
    </w:p>
    <w:p>
      <w:pPr>
        <w:pStyle w:val="BookText"/>
      </w:pPr>
      <w:r>
        <w:rPr>
          <w:rFonts w:ascii="IRNazanin" w:hAnsi="IRNazanin" w:eastAsia="IRNazanin" w:cs="IRNazanin"/>
          <w:lang w:bidi="fa-IR"/>
          <w:color w:val="111111"/>
          <w:sz w:val="28"/>
          <w:szCs w:val="28"/>
          <w:rtl/>
        </w:rPr>
        <w:t xml:space="preserve">قال فی (تش- ص 264) إن أصله من شیراز لکن شعره باللهجة الرازیة و عده فی (روشن- ص 122) من العرفاء</w:t>
      </w:r>
    </w:p>
    <w:p>
      <w:pPr>
        <w:pStyle w:val="Heading3"/>
      </w:pPr>
      <w:bookmarkStart w:id="2534" w:name="_Toc1230"/>
      <w:r>
        <w:t>1002- دیوان پوریا ولی‏</w:t>
      </w:r>
      <w:bookmarkEnd w:id="2534"/>
    </w:p>
    <w:p>
      <w:pPr>
        <w:pStyle w:val="BookText"/>
      </w:pPr>
      <w:r>
        <w:rPr>
          <w:rFonts w:ascii="IRNazanin" w:hAnsi="IRNazanin" w:eastAsia="IRNazanin" w:cs="IRNazanin"/>
          <w:lang w:bidi="fa-IR"/>
          <w:color w:val="111111"/>
          <w:sz w:val="28"/>
          <w:szCs w:val="28"/>
          <w:rtl/>
        </w:rPr>
        <w:t xml:space="preserve">و اسمه پهلوان محمود الخوارزمی المعروف بقتالی أصله‏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59" w:name="pg11704_121636"/>
    <w:bookmarkEnd w:id="159"/>
    <w:p>
      <w:pPr>
        <w:pStyle w:val="BookText"/>
      </w:pPr>
      <w:r>
        <w:rPr>
          <w:rFonts w:ascii="IRNazanin" w:hAnsi="IRNazanin" w:eastAsia="IRNazanin" w:cs="IRNazanin"/>
          <w:lang w:bidi="fa-IR"/>
          <w:color w:val="111111"/>
          <w:sz w:val="28"/>
          <w:szCs w:val="28"/>
          <w:rtl/>
        </w:rPr>
        <w:t xml:space="preserve">من گنجه و کان شجاعا عارفا شاعرا طبع له مثنوی کنز الحقائق و مات (722) فی خیوق ترجمه فی (گلشن- 382) و عنه فی قاموس الأعلام الترکیة ثم ریحانة الأدب‏</w:t>
      </w:r>
    </w:p>
    <w:p>
      <w:pPr>
        <w:pStyle w:val="Heading3"/>
      </w:pPr>
      <w:bookmarkStart w:id="2535" w:name="_Toc1231"/>
      <w:r>
        <w:t>1003- دیوان پوست‏فروش همدانی أو شعره‏</w:t>
      </w:r>
      <w:bookmarkEnd w:id="2535"/>
    </w:p>
    <w:p>
      <w:pPr>
        <w:pStyle w:val="BookText"/>
      </w:pPr>
      <w:r>
        <w:rPr>
          <w:rFonts w:ascii="IRNazanin" w:hAnsi="IRNazanin" w:eastAsia="IRNazanin" w:cs="IRNazanin"/>
          <w:lang w:bidi="fa-IR"/>
          <w:color w:val="111111"/>
          <w:sz w:val="28"/>
          <w:szCs w:val="28"/>
          <w:rtl/>
        </w:rPr>
        <w:t xml:space="preserve">و هو محمد حسین بن محمد ابن الحاج علی الهمدانی الپوست‏فروش نشا بالکاظمیة و رثی السید حسن الأعرجی المتوفی (1289) ذکر فی نفحة بغداد و لأخیه عبد المحسن بن محمد بن علی أیضا رثاء بعض الأعرجیین‏</w:t>
      </w:r>
    </w:p>
    <w:p>
      <w:pPr>
        <w:pStyle w:val="Heading3"/>
      </w:pPr>
      <w:bookmarkStart w:id="2536" w:name="_Toc1232"/>
      <w:r>
        <w:t>دیوان پهلوان حسین‏</w:t>
      </w:r>
      <w:bookmarkEnd w:id="2536"/>
    </w:p>
    <w:p>
      <w:pPr>
        <w:pStyle w:val="BookText"/>
      </w:pPr>
      <w:r>
        <w:rPr>
          <w:rFonts w:ascii="IRNazanin" w:hAnsi="IRNazanin" w:eastAsia="IRNazanin" w:cs="IRNazanin"/>
          <w:lang w:bidi="fa-IR"/>
          <w:color w:val="111111"/>
          <w:sz w:val="28"/>
          <w:szCs w:val="28"/>
          <w:rtl/>
        </w:rPr>
        <w:t xml:space="preserve">یأتی یتخلصه دیوانه‏</w:t>
      </w:r>
    </w:p>
    <w:p>
      <w:pPr>
        <w:pStyle w:val="Heading3"/>
      </w:pPr>
      <w:bookmarkStart w:id="2537" w:name="_Toc1233"/>
      <w:r>
        <w:t>1004- دیوان پهلوان کاتب أو شعره‏</w:t>
      </w:r>
      <w:bookmarkEnd w:id="2537"/>
    </w:p>
    <w:p>
      <w:pPr>
        <w:pStyle w:val="BookText"/>
      </w:pPr>
      <w:r>
        <w:rPr>
          <w:rFonts w:ascii="IRNazanin" w:hAnsi="IRNazanin" w:eastAsia="IRNazanin" w:cs="IRNazanin"/>
          <w:lang w:bidi="fa-IR"/>
          <w:color w:val="111111"/>
          <w:sz w:val="28"/>
          <w:szCs w:val="28"/>
          <w:rtl/>
        </w:rPr>
        <w:t xml:space="preserve">کان کاتب المولی عبد الرحمن الجامی المتوفی (898) ترجمه و أورد شعره فی (مجن 3- ص 88 و 262) و أظنه المذکور فی (روشن ص 122) بعنوان درویش محمد یزدی تلمیذ الجامی و کان لجامی کاتب آخر أیضا اسمه درویش قاینی‏</w:t>
      </w:r>
    </w:p>
    <w:p>
      <w:pPr>
        <w:pStyle w:val="Heading3"/>
      </w:pPr>
      <w:bookmarkStart w:id="2538" w:name="_Toc1234"/>
      <w:r>
        <w:t>1005- دیوان دیوان پهلوان محمد أبو سعید أو شعره‏</w:t>
      </w:r>
      <w:bookmarkEnd w:id="2538"/>
    </w:p>
    <w:p>
      <w:pPr>
        <w:pStyle w:val="BookText"/>
      </w:pPr>
      <w:r>
        <w:rPr>
          <w:rFonts w:ascii="IRNazanin" w:hAnsi="IRNazanin" w:eastAsia="IRNazanin" w:cs="IRNazanin"/>
          <w:lang w:bidi="fa-IR"/>
          <w:color w:val="111111"/>
          <w:sz w:val="28"/>
          <w:szCs w:val="28"/>
          <w:rtl/>
        </w:rPr>
        <w:t xml:space="preserve">و هو من معاصری میر علی شیر ترجمه و أورد شعره فی (مجن 4- ص 89 و 264) و قد ألف رسالة مستقلة فی أحواله‏</w:t>
      </w:r>
    </w:p>
    <w:p>
      <w:pPr>
        <w:pStyle w:val="Heading3"/>
      </w:pPr>
      <w:bookmarkStart w:id="2539" w:name="_Toc1235"/>
      <w:r>
        <w:t>دیوان پهلوان یزدی‏</w:t>
      </w:r>
      <w:bookmarkEnd w:id="2539"/>
    </w:p>
    <w:p>
      <w:pPr>
        <w:pStyle w:val="BookText"/>
      </w:pPr>
      <w:r>
        <w:rPr>
          <w:rFonts w:ascii="IRNazanin" w:hAnsi="IRNazanin" w:eastAsia="IRNazanin" w:cs="IRNazanin"/>
          <w:lang w:bidi="fa-IR"/>
          <w:color w:val="111111"/>
          <w:sz w:val="28"/>
          <w:szCs w:val="28"/>
          <w:rtl/>
        </w:rPr>
        <w:t xml:space="preserve">یأتی بعنوان دیوان مراد پهلوان الشیرازی و لعله المذکور فی (روشن- ص 122) بعنوان درویش محمد یزدی تلمیذ الجامی‏</w:t>
      </w:r>
    </w:p>
    <w:p>
      <w:pPr>
        <w:pStyle w:val="Heading3"/>
      </w:pPr>
      <w:bookmarkStart w:id="2540" w:name="_Toc1236"/>
      <w:r>
        <w:t>1006- دیوان پیاره گجراتی أو شعره‏</w:t>
      </w:r>
      <w:bookmarkEnd w:id="2540"/>
    </w:p>
    <w:p>
      <w:pPr>
        <w:pStyle w:val="BookText"/>
      </w:pPr>
      <w:r>
        <w:rPr>
          <w:rFonts w:ascii="IRNazanin" w:hAnsi="IRNazanin" w:eastAsia="IRNazanin" w:cs="IRNazanin"/>
          <w:lang w:bidi="fa-IR"/>
          <w:color w:val="111111"/>
          <w:sz w:val="28"/>
          <w:szCs w:val="28"/>
          <w:rtl/>
        </w:rPr>
        <w:t xml:space="preserve">و اسمه الملک محمود أطری شعره فی طبقات أکبری (ج 2 ص 493)</w:t>
      </w:r>
    </w:p>
    <w:p>
      <w:pPr>
        <w:pStyle w:val="Heading3"/>
      </w:pPr>
      <w:bookmarkStart w:id="2541" w:name="_Toc1237"/>
      <w:r>
        <w:t>1007- دیوان پیامی شیرازی أو شعره‏</w:t>
      </w:r>
      <w:bookmarkEnd w:id="2541"/>
    </w:p>
    <w:p>
      <w:pPr>
        <w:pStyle w:val="BookText"/>
      </w:pPr>
      <w:r>
        <w:rPr>
          <w:rFonts w:ascii="IRNazanin" w:hAnsi="IRNazanin" w:eastAsia="IRNazanin" w:cs="IRNazanin"/>
          <w:lang w:bidi="fa-IR"/>
          <w:color w:val="111111"/>
          <w:sz w:val="28"/>
          <w:szCs w:val="28"/>
          <w:rtl/>
        </w:rPr>
        <w:t xml:space="preserve">أورد شعره فی (روشن- ص 122)</w:t>
      </w:r>
    </w:p>
    <w:p>
      <w:pPr>
        <w:pStyle w:val="Heading3"/>
      </w:pPr>
      <w:bookmarkStart w:id="2542" w:name="_Toc1238"/>
      <w:r>
        <w:t>1008- دیوان پیامی جبل عاملی‏</w:t>
      </w:r>
      <w:bookmarkEnd w:id="2542"/>
    </w:p>
    <w:p>
      <w:pPr>
        <w:pStyle w:val="BookText"/>
      </w:pPr>
      <w:r>
        <w:rPr>
          <w:rFonts w:ascii="IRNazanin" w:hAnsi="IRNazanin" w:eastAsia="IRNazanin" w:cs="IRNazanin"/>
          <w:lang w:bidi="fa-IR"/>
          <w:color w:val="111111"/>
          <w:sz w:val="28"/>
          <w:szCs w:val="28"/>
          <w:rtl/>
        </w:rPr>
        <w:t xml:space="preserve">أورد شعره فی (روشن ص 122) و قال جاء فی عهد الشاه عباس الأول من أصفهان إلی دکن حیدرآباد فی عهد نظام شاه و قال فی (تغ- ص 31) اسمه الشیخ عبد السلام و کان من تلامیذ العلامة الدوانی و استوزره الشاه علاء الملک بن نور الدهر اللاری، ثم عزله فذهب إلی دکن و تقرب عند نظام شاه‏</w:t>
      </w:r>
    </w:p>
    <w:p>
      <w:pPr>
        <w:pStyle w:val="Heading3"/>
      </w:pPr>
      <w:bookmarkStart w:id="2543" w:name="_Toc1239"/>
      <w:r>
        <w:t>دیوان پیامی لاری‏</w:t>
      </w:r>
      <w:bookmarkEnd w:id="2543"/>
    </w:p>
    <w:p>
      <w:pPr>
        <w:pStyle w:val="BookText"/>
      </w:pPr>
      <w:r>
        <w:rPr>
          <w:rFonts w:ascii="IRNazanin" w:hAnsi="IRNazanin" w:eastAsia="IRNazanin" w:cs="IRNazanin"/>
          <w:lang w:bidi="fa-IR"/>
          <w:color w:val="111111"/>
          <w:sz w:val="28"/>
          <w:szCs w:val="28"/>
          <w:rtl/>
        </w:rPr>
        <w:t xml:space="preserve">راجع دیوان پیامی الجبل عاملی‏</w:t>
      </w:r>
    </w:p>
    <w:p>
      <w:pPr>
        <w:pStyle w:val="Heading3"/>
      </w:pPr>
      <w:bookmarkStart w:id="2544" w:name="_Toc1240"/>
      <w:r>
        <w:t>1009- دیوان پیامی مروی أو شعره‏</w:t>
      </w:r>
      <w:bookmarkEnd w:id="2544"/>
    </w:p>
    <w:p>
      <w:pPr>
        <w:pStyle w:val="BookText"/>
      </w:pPr>
      <w:r>
        <w:rPr>
          <w:rFonts w:ascii="IRNazanin" w:hAnsi="IRNazanin" w:eastAsia="IRNazanin" w:cs="IRNazanin"/>
          <w:lang w:bidi="fa-IR"/>
          <w:color w:val="111111"/>
          <w:sz w:val="28"/>
          <w:szCs w:val="28"/>
          <w:rtl/>
        </w:rPr>
        <w:t xml:space="preserve">قال فی (مجتس 6- ص 153) کان ملا پیامی صوفیا و تصدر الوزارة لبابر میرزا و أورد شعره‏</w:t>
      </w:r>
    </w:p>
    <w:p>
      <w:pPr>
        <w:pStyle w:val="Heading3"/>
      </w:pPr>
      <w:bookmarkStart w:id="2545" w:name="_Toc1241"/>
      <w:r>
        <w:t>1010- دیوان پیدا أصفهانی أو شعره‏</w:t>
      </w:r>
      <w:bookmarkEnd w:id="2545"/>
    </w:p>
    <w:p>
      <w:pPr>
        <w:pStyle w:val="BookText"/>
      </w:pPr>
      <w:r>
        <w:rPr>
          <w:rFonts w:ascii="IRNazanin" w:hAnsi="IRNazanin" w:eastAsia="IRNazanin" w:cs="IRNazanin"/>
          <w:lang w:bidi="fa-IR"/>
          <w:color w:val="111111"/>
          <w:sz w:val="28"/>
          <w:szCs w:val="28"/>
          <w:rtl/>
        </w:rPr>
        <w:t xml:space="preserve">و اسمه مخلص خان ذهب إلی الهند فی عهد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60" w:name="pg11704_121637"/>
    <w:bookmarkEnd w:id="160"/>
    <w:p>
      <w:pPr>
        <w:pStyle w:val="BookText"/>
      </w:pPr>
      <w:r>
        <w:rPr>
          <w:rFonts w:ascii="IRNazanin" w:hAnsi="IRNazanin" w:eastAsia="IRNazanin" w:cs="IRNazanin"/>
          <w:lang w:bidi="fa-IR"/>
          <w:color w:val="111111"/>
          <w:sz w:val="28"/>
          <w:szCs w:val="28"/>
          <w:rtl/>
        </w:rPr>
        <w:t xml:space="preserve">عالمگیر و مات بعهد بهادر شاه أورد شعره فی (روشن- ص 122)</w:t>
      </w:r>
    </w:p>
    <w:p>
      <w:pPr>
        <w:pStyle w:val="Heading3"/>
      </w:pPr>
      <w:bookmarkStart w:id="2546" w:name="_Toc1242"/>
      <w:r>
        <w:t>دیوان پیر أردستانی‏</w:t>
      </w:r>
      <w:bookmarkEnd w:id="2546"/>
    </w:p>
    <w:p>
      <w:pPr>
        <w:pStyle w:val="BookText"/>
      </w:pPr>
      <w:r>
        <w:rPr>
          <w:rFonts w:ascii="IRNazanin" w:hAnsi="IRNazanin" w:eastAsia="IRNazanin" w:cs="IRNazanin"/>
          <w:lang w:bidi="fa-IR"/>
          <w:color w:val="111111"/>
          <w:sz w:val="28"/>
          <w:szCs w:val="28"/>
          <w:rtl/>
        </w:rPr>
        <w:t xml:space="preserve">یأتی بعنوان پیر جمال أردستانی‏</w:t>
      </w:r>
    </w:p>
    <w:p>
      <w:pPr>
        <w:pStyle w:val="Heading3"/>
      </w:pPr>
      <w:bookmarkStart w:id="2547" w:name="_Toc1243"/>
      <w:r>
        <w:t>دیوان پیر جامی‏</w:t>
      </w:r>
      <w:bookmarkEnd w:id="2547"/>
    </w:p>
    <w:p>
      <w:pPr>
        <w:pStyle w:val="BookText"/>
      </w:pPr>
      <w:r>
        <w:rPr>
          <w:rFonts w:ascii="IRNazanin" w:hAnsi="IRNazanin" w:eastAsia="IRNazanin" w:cs="IRNazanin"/>
          <w:lang w:bidi="fa-IR"/>
          <w:color w:val="111111"/>
          <w:sz w:val="28"/>
          <w:szCs w:val="28"/>
          <w:rtl/>
        </w:rPr>
        <w:t xml:space="preserve">یأتی بعنوان دیوان جامی أحمد</w:t>
      </w:r>
    </w:p>
    <w:p>
      <w:pPr>
        <w:pStyle w:val="Heading3"/>
      </w:pPr>
      <w:bookmarkStart w:id="2548" w:name="_Toc1244"/>
      <w:r>
        <w:t>1011- دیوان پیر جمال أردستانی‏</w:t>
      </w:r>
      <w:bookmarkEnd w:id="2548"/>
    </w:p>
    <w:p>
      <w:pPr>
        <w:pStyle w:val="BookText"/>
      </w:pPr>
      <w:r>
        <w:rPr>
          <w:rFonts w:ascii="IRNazanin" w:hAnsi="IRNazanin" w:eastAsia="IRNazanin" w:cs="IRNazanin"/>
          <w:lang w:bidi="fa-IR"/>
          <w:color w:val="111111"/>
          <w:sz w:val="28"/>
          <w:szCs w:val="28"/>
          <w:rtl/>
        </w:rPr>
        <w:t xml:space="preserve">و هو جمال الدین محمد الأردستانی السیاح فی البلاد، من عرفاء عصر شاه‏رخ، کان یوصل سلسلة طریقته إلی المعروف الکرخی و هو المؤسس للطریقة المعروفة ب پیر جمالی و یتجاوز شعره الموجود علی الخمسین ألف بیت له أحکام المحبین و استقامت‏نامه و بدایة المحبة و بدایة المعرفة و تنبیه العارفین و دیوان قصائد و روح القدس و شرح کنوز الواصلین و دیوان الغزل و الترجیع و فتح الأبواب و کشف الأرواح و کنز الدقائق و محبوب الصدیقین و مرآة الأفراد و مشکاة المحبین و مصباح الأرواح و معلومات و مفتاح الفقر و مهر افروز و ناظر و منظور و نور علی نور و نهایة الحکمة و مات (879) کما فی طرائق الحقائق ج 2- ص 159 و نسب إلیه فی (دجا- ص 175) نظم یوسف و زلیخا أیضا و توجد شعره بخطه فی مشیخة کنز السالکین المذکور فی (ج 8 ص 187) و ترجمه أیضا فی (تش- ص 170) و (ض- ص 85) و توجد دیوانه و الخمسة من مثنویاته و کشف الأرواح المنظوم له کلها فی مکتبة (الملک)</w:t>
      </w:r>
    </w:p>
    <w:p>
      <w:pPr>
        <w:pStyle w:val="Heading3"/>
      </w:pPr>
      <w:bookmarkStart w:id="2549" w:name="_Toc1245"/>
      <w:r>
        <w:t>دیوان پیر درویش‏</w:t>
      </w:r>
      <w:bookmarkEnd w:id="2549"/>
    </w:p>
    <w:p>
      <w:pPr>
        <w:pStyle w:val="BookText"/>
      </w:pPr>
      <w:r>
        <w:rPr>
          <w:rFonts w:ascii="IRNazanin" w:hAnsi="IRNazanin" w:eastAsia="IRNazanin" w:cs="IRNazanin"/>
          <w:lang w:bidi="fa-IR"/>
          <w:color w:val="111111"/>
          <w:sz w:val="28"/>
          <w:szCs w:val="28"/>
          <w:rtl/>
        </w:rPr>
        <w:t xml:space="preserve">یأتی بعنوان پیر صوفی‏</w:t>
      </w:r>
    </w:p>
    <w:p>
      <w:pPr>
        <w:pStyle w:val="Heading3"/>
      </w:pPr>
      <w:bookmarkStart w:id="2550" w:name="_Toc1246"/>
      <w:r>
        <w:t>1012- دیوان پیر سلیمان هفشوئی‏</w:t>
      </w:r>
      <w:bookmarkEnd w:id="2550"/>
    </w:p>
    <w:p>
      <w:pPr>
        <w:pStyle w:val="BookText"/>
      </w:pPr>
      <w:r>
        <w:rPr>
          <w:rFonts w:ascii="IRNazanin" w:hAnsi="IRNazanin" w:eastAsia="IRNazanin" w:cs="IRNazanin"/>
          <w:lang w:bidi="fa-IR"/>
          <w:color w:val="111111"/>
          <w:sz w:val="28"/>
          <w:szCs w:val="28"/>
          <w:rtl/>
        </w:rPr>
        <w:t xml:space="preserve">من قری أصفهان و سکن مدرسة والده بأصفهان و تلمذ علی المولی نصیرا أورد معمیاته فی (نر 15- ص 538)</w:t>
      </w:r>
    </w:p>
    <w:p>
      <w:pPr>
        <w:pStyle w:val="Heading3"/>
      </w:pPr>
      <w:bookmarkStart w:id="2551" w:name="_Toc1247"/>
      <w:r>
        <w:t>دیوان پیر سیصدساله‏</w:t>
      </w:r>
      <w:bookmarkEnd w:id="2551"/>
    </w:p>
    <w:p>
      <w:pPr>
        <w:pStyle w:val="BookText"/>
      </w:pPr>
      <w:r>
        <w:rPr>
          <w:rFonts w:ascii="IRNazanin" w:hAnsi="IRNazanin" w:eastAsia="IRNazanin" w:cs="IRNazanin"/>
          <w:lang w:bidi="fa-IR"/>
          <w:color w:val="111111"/>
          <w:sz w:val="28"/>
          <w:szCs w:val="28"/>
          <w:rtl/>
        </w:rPr>
        <w:t xml:space="preserve">یأتی بعنوان پیر صوفی‏</w:t>
      </w:r>
    </w:p>
    <w:p>
      <w:pPr>
        <w:pStyle w:val="Heading3"/>
      </w:pPr>
      <w:bookmarkStart w:id="2552" w:name="_Toc1248"/>
      <w:r>
        <w:t>دیوان پیر صدساله‏</w:t>
      </w:r>
      <w:bookmarkEnd w:id="2552"/>
    </w:p>
    <w:p>
      <w:pPr>
        <w:pStyle w:val="BookText"/>
      </w:pPr>
      <w:r>
        <w:rPr>
          <w:rFonts w:ascii="IRNazanin" w:hAnsi="IRNazanin" w:eastAsia="IRNazanin" w:cs="IRNazanin"/>
          <w:lang w:bidi="fa-IR"/>
          <w:color w:val="111111"/>
          <w:sz w:val="28"/>
          <w:szCs w:val="28"/>
          <w:rtl/>
        </w:rPr>
        <w:t xml:space="preserve">یأتی بعنوان پیر صوفی‏</w:t>
      </w:r>
    </w:p>
    <w:p>
      <w:pPr>
        <w:pStyle w:val="Heading3"/>
      </w:pPr>
      <w:bookmarkStart w:id="2553" w:name="_Toc1249"/>
      <w:r>
        <w:t>1013- دیوان پیر صوفی أو شعره‏</w:t>
      </w:r>
      <w:bookmarkEnd w:id="2553"/>
    </w:p>
    <w:p>
      <w:pPr>
        <w:pStyle w:val="BookText"/>
      </w:pPr>
      <w:r>
        <w:rPr>
          <w:rFonts w:ascii="IRNazanin" w:hAnsi="IRNazanin" w:eastAsia="IRNazanin" w:cs="IRNazanin"/>
          <w:lang w:bidi="fa-IR"/>
          <w:color w:val="111111"/>
          <w:sz w:val="28"/>
          <w:szCs w:val="28"/>
          <w:rtl/>
        </w:rPr>
        <w:t xml:space="preserve">هو ابن المولی محمد خواجو و حفید پیر درویش حسین کان طبیبا صوفیا یعرف بپیر سیصدساله أو صدساله أیضا ترجمه و أورد شعره فی (مجن 4- 101 و 274)</w:t>
      </w:r>
    </w:p>
    <w:p>
      <w:pPr>
        <w:pStyle w:val="Heading3"/>
      </w:pPr>
      <w:bookmarkStart w:id="2554" w:name="_Toc1250"/>
      <w:r>
        <w:t>دیوان پیر فرشته‏</w:t>
      </w:r>
      <w:bookmarkEnd w:id="2554"/>
    </w:p>
    <w:p>
      <w:pPr>
        <w:pStyle w:val="BookText"/>
      </w:pPr>
      <w:r>
        <w:rPr>
          <w:rFonts w:ascii="IRNazanin" w:hAnsi="IRNazanin" w:eastAsia="IRNazanin" w:cs="IRNazanin"/>
          <w:lang w:bidi="fa-IR"/>
          <w:color w:val="111111"/>
          <w:sz w:val="28"/>
          <w:szCs w:val="28"/>
          <w:rtl/>
        </w:rPr>
        <w:t xml:space="preserve">مر بعنوان أبی الوفاء الخوارزمی‏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61" w:name="pg11704_121638"/>
    <w:bookmarkEnd w:id="161"/>
    <w:p>
      <w:pPr>
        <w:pStyle w:val="Heading3"/>
      </w:pPr>
      <w:bookmarkStart w:id="2555" w:name="_Toc1251"/>
      <w:r>
        <w:t>1014- دیوان پیر قلی بیک‏</w:t>
      </w:r>
      <w:bookmarkEnd w:id="2555"/>
    </w:p>
    <w:p>
      <w:pPr>
        <w:pStyle w:val="BookText"/>
      </w:pPr>
      <w:r>
        <w:rPr>
          <w:rFonts w:ascii="IRNazanin" w:hAnsi="IRNazanin" w:eastAsia="IRNazanin" w:cs="IRNazanin"/>
          <w:lang w:bidi="fa-IR"/>
          <w:color w:val="111111"/>
          <w:sz w:val="28"/>
          <w:szCs w:val="28"/>
          <w:rtl/>
        </w:rPr>
        <w:t xml:space="preserve">و کان من أقرباء یوسف بیگ أستاجلو و کان مربیا للسلطان حسین میرزا و تمم دیوانه بیده ترجمه فی (خص 7- ص 128)</w:t>
      </w:r>
    </w:p>
    <w:p>
      <w:pPr>
        <w:pStyle w:val="Heading3"/>
      </w:pPr>
      <w:bookmarkStart w:id="2556" w:name="_Toc1252"/>
      <w:r>
        <w:t>1015- دیوان پیر مستی‏</w:t>
      </w:r>
      <w:bookmarkEnd w:id="2556"/>
    </w:p>
    <w:p>
      <w:pPr>
        <w:pStyle w:val="BookText"/>
      </w:pPr>
      <w:r>
        <w:rPr>
          <w:rFonts w:ascii="IRNazanin" w:hAnsi="IRNazanin" w:eastAsia="IRNazanin" w:cs="IRNazanin"/>
          <w:lang w:bidi="fa-IR"/>
          <w:color w:val="111111"/>
          <w:sz w:val="28"/>
          <w:szCs w:val="28"/>
          <w:rtl/>
        </w:rPr>
        <w:t xml:space="preserve">و هو محمد أفضل بن محمد أشرف الصدیقی الهروی له أفضل التذکار فی ذکر الشعراء و الأشعار ألفه (1332) و طبع مع مجالس النفائس الترکیة لمیر علی شیر فی تاشکند سنة (1336)</w:t>
      </w:r>
    </w:p>
    <w:p>
      <w:pPr>
        <w:pStyle w:val="Heading3"/>
      </w:pPr>
      <w:bookmarkStart w:id="2557" w:name="_Toc1253"/>
      <w:r>
        <w:t>1016- دیوان پیروز أو شعره‏</w:t>
      </w:r>
      <w:bookmarkEnd w:id="2557"/>
    </w:p>
    <w:p>
      <w:pPr>
        <w:pStyle w:val="BookText"/>
      </w:pPr>
      <w:r>
        <w:rPr>
          <w:rFonts w:ascii="IRNazanin" w:hAnsi="IRNazanin" w:eastAsia="IRNazanin" w:cs="IRNazanin"/>
          <w:lang w:bidi="fa-IR"/>
          <w:color w:val="111111"/>
          <w:sz w:val="28"/>
          <w:szCs w:val="28"/>
          <w:rtl/>
        </w:rPr>
        <w:t xml:space="preserve">ترجمه بعنوان ملا پیروز و أورد شعره معاصره فی طبقات أکبری (ج 2- ص 518)</w:t>
      </w:r>
    </w:p>
    <w:p>
      <w:pPr>
        <w:pStyle w:val="Heading3"/>
      </w:pPr>
      <w:bookmarkStart w:id="2558" w:name="_Toc1254"/>
      <w:r>
        <w:t>1017- دیوان پیروی ساوجی‏</w:t>
      </w:r>
      <w:bookmarkEnd w:id="2558"/>
    </w:p>
    <w:p>
      <w:pPr>
        <w:pStyle w:val="BookText"/>
      </w:pPr>
      <w:r>
        <w:rPr>
          <w:rFonts w:ascii="IRNazanin" w:hAnsi="IRNazanin" w:eastAsia="IRNazanin" w:cs="IRNazanin"/>
          <w:lang w:bidi="fa-IR"/>
          <w:color w:val="111111"/>
          <w:sz w:val="28"/>
          <w:szCs w:val="28"/>
          <w:rtl/>
        </w:rPr>
        <w:t xml:space="preserve">من شعرائها أورد شعره فی (گلشن- ص 77)</w:t>
      </w:r>
    </w:p>
    <w:p>
      <w:pPr>
        <w:pStyle w:val="Heading3"/>
      </w:pPr>
      <w:bookmarkStart w:id="2559" w:name="_Toc1255"/>
      <w:r>
        <w:t>دیوان پیر هری‏</w:t>
      </w:r>
      <w:bookmarkEnd w:id="2559"/>
    </w:p>
    <w:p>
      <w:pPr>
        <w:pStyle w:val="BookText"/>
      </w:pPr>
      <w:r>
        <w:rPr>
          <w:rFonts w:ascii="IRNazanin" w:hAnsi="IRNazanin" w:eastAsia="IRNazanin" w:cs="IRNazanin"/>
          <w:lang w:bidi="fa-IR"/>
          <w:color w:val="111111"/>
          <w:sz w:val="28"/>
          <w:szCs w:val="28"/>
          <w:rtl/>
        </w:rPr>
        <w:t xml:space="preserve">یأتی بعنوان دیوان الخواجة عبد الله الأنصاری الهروی‏</w:t>
      </w:r>
    </w:p>
    <w:p>
      <w:pPr>
        <w:pStyle w:val="Heading3"/>
      </w:pPr>
      <w:bookmarkStart w:id="2560" w:name="_Toc1256"/>
      <w:r>
        <w:t>1018- دیوان پیری أصفهانی‏</w:t>
      </w:r>
      <w:bookmarkEnd w:id="2560"/>
    </w:p>
    <w:p>
      <w:pPr>
        <w:pStyle w:val="BookText"/>
      </w:pPr>
      <w:r>
        <w:rPr>
          <w:rFonts w:ascii="IRNazanin" w:hAnsi="IRNazanin" w:eastAsia="IRNazanin" w:cs="IRNazanin"/>
          <w:lang w:bidi="fa-IR"/>
          <w:color w:val="111111"/>
          <w:sz w:val="28"/>
          <w:szCs w:val="28"/>
          <w:rtl/>
        </w:rPr>
        <w:t xml:space="preserve">المصاحب لضمیری أصفهانی و قد سمی دیوانه سفینه مراد کذا ترجمه فی (روشن- ص 122) و أظنه المذکور فی (گلشن ص 77)</w:t>
      </w:r>
    </w:p>
    <w:p>
      <w:pPr>
        <w:pStyle w:val="Heading3"/>
      </w:pPr>
      <w:bookmarkStart w:id="2561" w:name="_Toc1257"/>
      <w:r>
        <w:t>1019- دیوان پیری بیک ترکمان‏</w:t>
      </w:r>
      <w:bookmarkEnd w:id="2561"/>
    </w:p>
    <w:p>
      <w:pPr>
        <w:pStyle w:val="BookText"/>
      </w:pPr>
      <w:r>
        <w:rPr>
          <w:rFonts w:ascii="IRNazanin" w:hAnsi="IRNazanin" w:eastAsia="IRNazanin" w:cs="IRNazanin"/>
          <w:lang w:bidi="fa-IR"/>
          <w:color w:val="111111"/>
          <w:sz w:val="28"/>
          <w:szCs w:val="28"/>
          <w:rtl/>
        </w:rPr>
        <w:t xml:space="preserve">سماه معاصره فی (خص 7- ص 120) پیری بیک دوکرا و تخلصه فی شعره پیری‏</w:t>
      </w:r>
    </w:p>
    <w:p>
      <w:pPr>
        <w:pStyle w:val="Heading3"/>
      </w:pPr>
      <w:bookmarkStart w:id="2562" w:name="_Toc1258"/>
      <w:r>
        <w:t>1020- دیوان پیشاوری‏</w:t>
      </w:r>
      <w:bookmarkEnd w:id="2562"/>
    </w:p>
    <w:p>
      <w:pPr>
        <w:pStyle w:val="BookText"/>
      </w:pPr>
      <w:r>
        <w:rPr>
          <w:rFonts w:ascii="IRNazanin" w:hAnsi="IRNazanin" w:eastAsia="IRNazanin" w:cs="IRNazanin"/>
          <w:lang w:bidi="fa-IR"/>
          <w:color w:val="111111"/>
          <w:sz w:val="28"/>
          <w:szCs w:val="28"/>
          <w:rtl/>
        </w:rPr>
        <w:t xml:space="preserve">للسید أحمد بن شهاب الدین الرضوی المعروف بأدیب الپیشاوری نزیل طهران فی (1300) المولود (1255) و المتوفی فی ثالث صفر (1349) و دفن بمزار الإمام‏زادة عبد الله فی طریق عبد العظیم بناحیة ری طبع بعضه فی هامش دیوان ناصر خسرو، و طبع جمیعه المشتمل علی مائتین و أربعة آلاف بیت بالفارسیة، و ثلاثمائة و سبعین بیتا بالعربیة، من القصائد و الغزلیات مع مقدمه الطبع بقلم ناشره فی ترجمه أحوال المؤلف الذی أدرک الحکیم السبزواری المتوفی (1287)</w:t>
      </w:r>
    </w:p>
    <w:p>
      <w:pPr>
        <w:pStyle w:val="Heading3"/>
      </w:pPr>
      <w:bookmarkStart w:id="2563" w:name="_Toc1259"/>
      <w:r>
        <w:t>1021- دیوان پیشرو میرزا أو شعره‏</w:t>
      </w:r>
      <w:bookmarkEnd w:id="2563"/>
    </w:p>
    <w:p>
      <w:pPr>
        <w:pStyle w:val="BookText"/>
      </w:pPr>
      <w:r>
        <w:rPr>
          <w:rFonts w:ascii="IRNazanin" w:hAnsi="IRNazanin" w:eastAsia="IRNazanin" w:cs="IRNazanin"/>
          <w:lang w:bidi="fa-IR"/>
          <w:color w:val="111111"/>
          <w:sz w:val="28"/>
          <w:szCs w:val="28"/>
          <w:rtl/>
        </w:rPr>
        <w:t xml:space="preserve">الیسق‏چی للشاه طهماسب الصفوی أورد شعره فی (روشن- ص 123)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62" w:name="pg11704_121639"/>
    <w:bookmarkEnd w:id="162"/>
    <w:p>
      <w:pPr>
        <w:pStyle w:val="Heading3"/>
      </w:pPr>
      <w:bookmarkStart w:id="2564" w:name="_Toc1260"/>
      <w:r>
        <w:t>ت</w:t>
      </w:r>
      <w:bookmarkEnd w:id="2564"/>
    </w:p>
    <w:p>
      <w:pPr>
        <w:pStyle w:val="Heading3"/>
      </w:pPr>
      <w:bookmarkStart w:id="2565" w:name="_Toc1261"/>
      <w:r>
        <w:t>1022- دیوان تائب تبریزی‏</w:t>
      </w:r>
      <w:bookmarkEnd w:id="2565"/>
    </w:p>
    <w:p>
      <w:pPr>
        <w:pStyle w:val="BookText"/>
      </w:pPr>
      <w:r>
        <w:rPr>
          <w:rFonts w:ascii="IRNazanin" w:hAnsi="IRNazanin" w:eastAsia="IRNazanin" w:cs="IRNazanin"/>
          <w:lang w:bidi="fa-IR"/>
          <w:color w:val="111111"/>
          <w:sz w:val="28"/>
          <w:szCs w:val="28"/>
          <w:rtl/>
        </w:rPr>
        <w:t xml:space="preserve">للشیخ إسماعیل بن الحاج حسین التبریزی المعروف بمسأله‏گو، نزیل مشهد خراسان و مؤلف تذکره المتقین المذکور فی (ج 4- ص 46) فیه القصائد فی المدائح و المراثی للمعصومین علیه السلام  و جملة من المقطعات و الرباعیات فی ثمانیة آلاف بیت مطلع إحدی قصائده:</w:t>
      </w:r>
    </w:p>
    <w:p>
      <w:pPr>
        <w:pStyle w:val="BookText"/>
      </w:pPr>
      <w:r>
        <w:rPr>
          <w:rFonts w:ascii="IRNazanin" w:hAnsi="IRNazanin" w:eastAsia="IRNazanin" w:cs="IRNazanin"/>
          <w:lang w:bidi="fa-IR"/>
          <w:color w:val="111111"/>
          <w:sz w:val="28"/>
          <w:szCs w:val="28"/>
          <w:rtl/>
        </w:rPr>
        <w:t xml:space="preserve">مژده ای دل که یار یار من است‏</w:t>
      </w:r>
    </w:p>
    <w:p>
      <w:pPr>
        <w:pStyle w:val="BookText"/>
      </w:pPr>
      <w:r>
        <w:rPr>
          <w:rFonts w:ascii="IRNazanin" w:hAnsi="IRNazanin" w:eastAsia="IRNazanin" w:cs="IRNazanin"/>
          <w:lang w:bidi="fa-IR"/>
          <w:color w:val="111111"/>
          <w:sz w:val="28"/>
          <w:szCs w:val="28"/>
          <w:rtl/>
        </w:rPr>
        <w:t xml:space="preserve">گردش دهر سازگار من است‏</w:t>
      </w:r>
    </w:p>
    <w:p>
      <w:pPr>
        <w:pStyle w:val="BookText"/>
      </w:pPr>
      <w:r>
        <w:rPr>
          <w:rFonts w:ascii="IRNazanin" w:hAnsi="IRNazanin" w:eastAsia="IRNazanin" w:cs="IRNazanin"/>
          <w:lang w:bidi="fa-IR"/>
          <w:color w:val="111111"/>
          <w:sz w:val="28"/>
          <w:szCs w:val="28"/>
          <w:rtl/>
        </w:rPr>
        <w:t xml:space="preserve">و له منظومات کثیرة تذکر بعناوینها</w:t>
      </w:r>
    </w:p>
    <w:p>
      <w:pPr>
        <w:pStyle w:val="Heading3"/>
      </w:pPr>
      <w:bookmarkStart w:id="2566" w:name="_Toc1262"/>
      <w:r>
        <w:t>1023- دیوان تائب تفرشی أو شعره‏</w:t>
      </w:r>
      <w:bookmarkEnd w:id="2566"/>
    </w:p>
    <w:p>
      <w:pPr>
        <w:pStyle w:val="BookText"/>
      </w:pPr>
      <w:r>
        <w:rPr>
          <w:rFonts w:ascii="IRNazanin" w:hAnsi="IRNazanin" w:eastAsia="IRNazanin" w:cs="IRNazanin"/>
          <w:lang w:bidi="fa-IR"/>
          <w:color w:val="111111"/>
          <w:sz w:val="28"/>
          <w:szCs w:val="28"/>
          <w:rtl/>
        </w:rPr>
        <w:t xml:space="preserve">و اسمه ملا فخرا سافر إلی الهند و شاعر ملا فرج الله أورد شعره فی (نر 9- ص 260) و فی (گلشن- ص 78)</w:t>
      </w:r>
    </w:p>
    <w:p>
      <w:pPr>
        <w:pStyle w:val="Heading3"/>
      </w:pPr>
      <w:bookmarkStart w:id="2567" w:name="_Toc1263"/>
      <w:r>
        <w:t>1024- دیوان تائب خراسانی أو شعره‏</w:t>
      </w:r>
      <w:bookmarkEnd w:id="2567"/>
    </w:p>
    <w:p>
      <w:pPr>
        <w:pStyle w:val="BookText"/>
      </w:pPr>
      <w:r>
        <w:rPr>
          <w:rFonts w:ascii="IRNazanin" w:hAnsi="IRNazanin" w:eastAsia="IRNazanin" w:cs="IRNazanin"/>
          <w:lang w:bidi="fa-IR"/>
          <w:color w:val="111111"/>
          <w:sz w:val="28"/>
          <w:szCs w:val="28"/>
          <w:rtl/>
        </w:rPr>
        <w:t xml:space="preserve">و هو السیاح الصوفی، سافر إلی الهند ثم رجع أورد شعره فی (گلشن 78) لعله المذکور فی (سرخوش- ص 20) بعنوان محمد تقی راجع تقی نیشابوری‏</w:t>
      </w:r>
    </w:p>
    <w:p>
      <w:pPr>
        <w:pStyle w:val="Heading3"/>
      </w:pPr>
      <w:bookmarkStart w:id="2568" w:name="_Toc1264"/>
      <w:r>
        <w:t>1025- دیوان تائب کرمانی أو شعره‏</w:t>
      </w:r>
      <w:bookmarkEnd w:id="2568"/>
    </w:p>
    <w:p>
      <w:pPr>
        <w:pStyle w:val="BookText"/>
      </w:pPr>
      <w:r>
        <w:rPr>
          <w:rFonts w:ascii="IRNazanin" w:hAnsi="IRNazanin" w:eastAsia="IRNazanin" w:cs="IRNazanin"/>
          <w:lang w:bidi="fa-IR"/>
          <w:color w:val="111111"/>
          <w:sz w:val="28"/>
          <w:szCs w:val="28"/>
          <w:rtl/>
        </w:rPr>
        <w:t xml:space="preserve">هو من شعراء کرمان ترجمه و أورد شعره فی (نر 9- ص 260) و (گلشن- ص 78)</w:t>
      </w:r>
    </w:p>
    <w:p>
      <w:pPr>
        <w:pStyle w:val="Heading3"/>
      </w:pPr>
      <w:bookmarkStart w:id="2569" w:name="_Toc1265"/>
      <w:r>
        <w:t>1026- دیوان تائب کشمیری أو شعره‏</w:t>
      </w:r>
      <w:bookmarkEnd w:id="2569"/>
    </w:p>
    <w:p>
      <w:pPr>
        <w:pStyle w:val="BookText"/>
      </w:pPr>
      <w:r>
        <w:rPr>
          <w:rFonts w:ascii="IRNazanin" w:hAnsi="IRNazanin" w:eastAsia="IRNazanin" w:cs="IRNazanin"/>
          <w:lang w:bidi="fa-IR"/>
          <w:color w:val="111111"/>
          <w:sz w:val="28"/>
          <w:szCs w:val="28"/>
          <w:rtl/>
        </w:rPr>
        <w:t xml:space="preserve">و اسمه الخواجة أبو الحسن الکشمیری کان تاجرا فی فرخ‏آباد و ینظم الشعر جیدا أورد شعره فی (گلشن- ص 78)</w:t>
      </w:r>
    </w:p>
    <w:p>
      <w:pPr>
        <w:pStyle w:val="Heading3"/>
      </w:pPr>
      <w:bookmarkStart w:id="2570" w:name="_Toc1266"/>
      <w:r>
        <w:t>1027- دیوان تائب ماکوئی‏</w:t>
      </w:r>
      <w:bookmarkEnd w:id="2570"/>
    </w:p>
    <w:p>
      <w:pPr>
        <w:pStyle w:val="BookText"/>
      </w:pPr>
      <w:r>
        <w:rPr>
          <w:rFonts w:ascii="IRNazanin" w:hAnsi="IRNazanin" w:eastAsia="IRNazanin" w:cs="IRNazanin"/>
          <w:lang w:bidi="fa-IR"/>
          <w:color w:val="111111"/>
          <w:sz w:val="28"/>
          <w:szCs w:val="28"/>
          <w:rtl/>
        </w:rPr>
        <w:t xml:space="preserve">و اسمه الحاج خداوردی، و أصله من قصبة چورمس من أعمال ماکو و مات بها فی (1201) و دیوانه ترکی و فارسی، یشتمل علی تواریخ کثیرة، أورد غزلا منها فی (دجا- ص 84)</w:t>
      </w:r>
    </w:p>
    <w:p>
      <w:pPr>
        <w:pStyle w:val="Heading3"/>
      </w:pPr>
      <w:bookmarkStart w:id="2571" w:name="_Toc1267"/>
      <w:r>
        <w:t>1028- دیوان تائب مراغه‏ای أو شعره‏</w:t>
      </w:r>
      <w:bookmarkEnd w:id="2571"/>
    </w:p>
    <w:p>
      <w:pPr>
        <w:pStyle w:val="BookText"/>
      </w:pPr>
      <w:r>
        <w:rPr>
          <w:rFonts w:ascii="IRNazanin" w:hAnsi="IRNazanin" w:eastAsia="IRNazanin" w:cs="IRNazanin"/>
          <w:lang w:bidi="fa-IR"/>
          <w:color w:val="111111"/>
          <w:sz w:val="28"/>
          <w:szCs w:val="28"/>
          <w:rtl/>
        </w:rPr>
        <w:t xml:space="preserve">و هو الملا شرف الدین المراغی مرید الشیخ‏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63" w:name="pg11704_121640"/>
    <w:bookmarkEnd w:id="163"/>
    <w:p>
      <w:pPr>
        <w:pStyle w:val="BookText"/>
      </w:pPr>
      <w:r>
        <w:rPr>
          <w:rFonts w:ascii="IRNazanin" w:hAnsi="IRNazanin" w:eastAsia="IRNazanin" w:cs="IRNazanin"/>
          <w:lang w:bidi="fa-IR"/>
          <w:color w:val="111111"/>
          <w:sz w:val="28"/>
          <w:szCs w:val="28"/>
          <w:rtl/>
        </w:rPr>
        <w:t xml:space="preserve">إبراهیم و الشیخ مجاهد کان خطاطا شاعرا مات (930) کما ترجمه فی (دجا- ص 84- 85)</w:t>
      </w:r>
    </w:p>
    <w:p>
      <w:pPr>
        <w:pStyle w:val="Heading3"/>
      </w:pPr>
      <w:bookmarkStart w:id="2572" w:name="_Toc1268"/>
      <w:r>
        <w:t>1029- دیوان تابع‏</w:t>
      </w:r>
      <w:bookmarkEnd w:id="2572"/>
    </w:p>
    <w:p>
      <w:pPr>
        <w:pStyle w:val="BookText"/>
      </w:pPr>
      <w:r>
        <w:rPr>
          <w:rFonts w:ascii="IRNazanin" w:hAnsi="IRNazanin" w:eastAsia="IRNazanin" w:cs="IRNazanin"/>
          <w:lang w:bidi="fa-IR"/>
          <w:color w:val="111111"/>
          <w:sz w:val="28"/>
          <w:szCs w:val="28"/>
          <w:rtl/>
        </w:rPr>
        <w:t xml:space="preserve">و اسمه السید حسن صدر المعاصر طبع القسم الأول منه بطهران فی (1331 ش) فی (40 ص)</w:t>
      </w:r>
    </w:p>
    <w:p>
      <w:pPr>
        <w:pStyle w:val="Heading3"/>
      </w:pPr>
      <w:bookmarkStart w:id="2573" w:name="_Toc1269"/>
      <w:r>
        <w:t>1030- دیوان تابع قمی أو شعره‏</w:t>
      </w:r>
      <w:bookmarkEnd w:id="2573"/>
    </w:p>
    <w:p>
      <w:pPr>
        <w:pStyle w:val="BookText"/>
      </w:pPr>
      <w:r>
        <w:rPr>
          <w:rFonts w:ascii="IRNazanin" w:hAnsi="IRNazanin" w:eastAsia="IRNazanin" w:cs="IRNazanin"/>
          <w:lang w:bidi="fa-IR"/>
          <w:color w:val="111111"/>
          <w:sz w:val="28"/>
          <w:szCs w:val="28"/>
          <w:rtl/>
        </w:rPr>
        <w:t xml:space="preserve">و هو المیر محمد باقر بن غیاث الدین محتسب قم تلمذ علی العلامی محمد طاهر کان ماهرا فی الخط الشکستة أورد شعره فی (نر 5- ص 114) و قال فی (روشن- ص 123) مات (1050)</w:t>
      </w:r>
    </w:p>
    <w:p>
      <w:pPr>
        <w:pStyle w:val="Heading3"/>
      </w:pPr>
      <w:bookmarkStart w:id="2574" w:name="_Toc1270"/>
      <w:r>
        <w:t>1031- دیوان تابع کوه‏کیلویه أو شعره‏</w:t>
      </w:r>
      <w:bookmarkEnd w:id="2574"/>
    </w:p>
    <w:p>
      <w:pPr>
        <w:pStyle w:val="BookText"/>
      </w:pPr>
      <w:r>
        <w:rPr>
          <w:rFonts w:ascii="IRNazanin" w:hAnsi="IRNazanin" w:eastAsia="IRNazanin" w:cs="IRNazanin"/>
          <w:lang w:bidi="fa-IR"/>
          <w:color w:val="111111"/>
          <w:sz w:val="28"/>
          <w:szCs w:val="28"/>
          <w:rtl/>
        </w:rPr>
        <w:t xml:space="preserve">و اسمه غلام رضا کان معاصرا للشیخ محمد علی الحزین و ساح البلاد ثم توطن أصفهان أورد شعره فی (روشن- ص 123)</w:t>
      </w:r>
    </w:p>
    <w:p>
      <w:pPr>
        <w:pStyle w:val="Heading3"/>
      </w:pPr>
      <w:bookmarkStart w:id="2575" w:name="_Toc1271"/>
      <w:r>
        <w:t>1032- دیوان تابعی دماوندی أو شعره‏</w:t>
      </w:r>
      <w:bookmarkEnd w:id="2575"/>
    </w:p>
    <w:p>
      <w:pPr>
        <w:pStyle w:val="BookText"/>
      </w:pPr>
      <w:r>
        <w:rPr>
          <w:rFonts w:ascii="IRNazanin" w:hAnsi="IRNazanin" w:eastAsia="IRNazanin" w:cs="IRNazanin"/>
          <w:lang w:bidi="fa-IR"/>
          <w:color w:val="111111"/>
          <w:sz w:val="28"/>
          <w:szCs w:val="28"/>
          <w:rtl/>
        </w:rPr>
        <w:t xml:space="preserve">قال معاصره فی (خص 8- ص 292) إنه من أبناء أعیان دماوند، و له طبع حسن فی الشعر</w:t>
      </w:r>
    </w:p>
    <w:p>
      <w:pPr>
        <w:pStyle w:val="Heading3"/>
      </w:pPr>
      <w:bookmarkStart w:id="2576" w:name="_Toc1272"/>
      <w:r>
        <w:t>1033- دیوان تابعی سبزواری أو شعره‏</w:t>
      </w:r>
      <w:bookmarkEnd w:id="2576"/>
    </w:p>
    <w:p>
      <w:pPr>
        <w:pStyle w:val="BookText"/>
      </w:pPr>
      <w:r>
        <w:rPr>
          <w:rFonts w:ascii="IRNazanin" w:hAnsi="IRNazanin" w:eastAsia="IRNazanin" w:cs="IRNazanin"/>
          <w:lang w:bidi="fa-IR"/>
          <w:color w:val="111111"/>
          <w:sz w:val="28"/>
          <w:szCs w:val="28"/>
          <w:rtl/>
        </w:rPr>
        <w:t xml:space="preserve">أورد شعره فی (روشن- ص 123)</w:t>
      </w:r>
    </w:p>
    <w:p>
      <w:pPr>
        <w:pStyle w:val="Heading3"/>
      </w:pPr>
      <w:bookmarkStart w:id="2577" w:name="_Toc1273"/>
      <w:r>
        <w:t>1034- دیوان تابعی هروی أو شعره‏</w:t>
      </w:r>
      <w:bookmarkEnd w:id="2577"/>
    </w:p>
    <w:p>
      <w:pPr>
        <w:pStyle w:val="BookText"/>
      </w:pPr>
      <w:r>
        <w:rPr>
          <w:rFonts w:ascii="IRNazanin" w:hAnsi="IRNazanin" w:eastAsia="IRNazanin" w:cs="IRNazanin"/>
          <w:lang w:bidi="fa-IR"/>
          <w:color w:val="111111"/>
          <w:sz w:val="28"/>
          <w:szCs w:val="28"/>
          <w:rtl/>
        </w:rPr>
        <w:t xml:space="preserve">نقاش الأقداح أورد شعره فی (مجتس 6- ص 167) و عنه فی (گلشن- ص 77) و قال کان ماهرا فی المزمار و التصویر</w:t>
      </w:r>
    </w:p>
    <w:p>
      <w:pPr>
        <w:pStyle w:val="Heading3"/>
      </w:pPr>
      <w:bookmarkStart w:id="2578" w:name="_Toc1274"/>
      <w:r>
        <w:t>1035- دیوان تابعی یزدی أو شعره‏</w:t>
      </w:r>
      <w:bookmarkEnd w:id="2578"/>
    </w:p>
    <w:p>
      <w:pPr>
        <w:pStyle w:val="BookText"/>
      </w:pPr>
      <w:r>
        <w:rPr>
          <w:rFonts w:ascii="IRNazanin" w:hAnsi="IRNazanin" w:eastAsia="IRNazanin" w:cs="IRNazanin"/>
          <w:lang w:bidi="fa-IR"/>
          <w:color w:val="111111"/>
          <w:sz w:val="28"/>
          <w:szCs w:val="28"/>
          <w:rtl/>
        </w:rPr>
        <w:t xml:space="preserve">و اسمه آدینه قلی بیک کان معاصرا لوحشی بافقی هجا وحشی و انهزم من یزد إلی قزوین فی (990) و تقرب عند الأمیر شمس الدین الکرمانی، و تولی أوقاف خوانسار و مات هناک (1018) أورد شعره فی شبستان خیال و (تش یز- ص 279) و (گلشن- ص 77)</w:t>
      </w:r>
    </w:p>
    <w:p>
      <w:pPr>
        <w:pStyle w:val="Heading3"/>
      </w:pPr>
      <w:bookmarkStart w:id="2579" w:name="_Toc1275"/>
      <w:r>
        <w:t>1036- دیوان تأثیر تبریزی‏</w:t>
      </w:r>
      <w:bookmarkEnd w:id="2579"/>
    </w:p>
    <w:p>
      <w:pPr>
        <w:pStyle w:val="BookText"/>
      </w:pPr>
      <w:r>
        <w:rPr>
          <w:rFonts w:ascii="IRNazanin" w:hAnsi="IRNazanin" w:eastAsia="IRNazanin" w:cs="IRNazanin"/>
          <w:lang w:bidi="fa-IR"/>
          <w:color w:val="111111"/>
          <w:sz w:val="28"/>
          <w:szCs w:val="28"/>
          <w:rtl/>
        </w:rPr>
        <w:t xml:space="preserve">و اسمه المیرزا محسن من بیت التبارزة الذین أتی بهم الشاه عباس من تبریز إلی أصفهان ولد بأصفهان فی (1060) کما أرخه فی شعره و مات فی (1128) کما فی (خوش‏گو) کان مستوفیا فی البلاط الصفوی و انعزل فی (1120) و مات بأصفهان معتکفا فی بیته و قد بعث بدیوانه إلی الهند عند الحکیم شهرت فاشتهر هناک و قال فی (نر 5- ص 119) إنه من أحفاد أبی الخان التبریزی من طرف الأب و حفید محمد حسین چلبی من طرف الأم و هو الیوم شاب و ترجمه أیضا فی (تش- ص 170) و (دجا- ص 77) عن تذکره حزین و ریاض الشعراء و خلاصة الأفکار و کلیات أشعاره تشتمل علی منهاج المعراج و جهان‏نامه و دعوه العاشقین و گلزار سعادت‏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64" w:name="pg11704_121641"/>
    <w:bookmarkEnd w:id="164"/>
    <w:p>
      <w:pPr>
        <w:pStyle w:val="BookText"/>
      </w:pPr>
      <w:r>
        <w:rPr>
          <w:rFonts w:ascii="IRNazanin" w:hAnsi="IRNazanin" w:eastAsia="IRNazanin" w:cs="IRNazanin"/>
          <w:lang w:bidi="fa-IR"/>
          <w:color w:val="111111"/>
          <w:sz w:val="28"/>
          <w:szCs w:val="28"/>
          <w:rtl/>
        </w:rPr>
        <w:t xml:space="preserve">و ثمرة الحجاب و معما و حسن اتفاق و میمنت‏نامه و توجد کلیاته فی (سپهسالار) و (المجلس) و غیرهما کما فی فهارسها</w:t>
      </w:r>
    </w:p>
    <w:p>
      <w:pPr>
        <w:pStyle w:val="Heading3"/>
      </w:pPr>
      <w:bookmarkStart w:id="2580" w:name="_Toc1276"/>
      <w:r>
        <w:t>دیوان تأثیر</w:t>
      </w:r>
      <w:bookmarkEnd w:id="2580"/>
    </w:p>
    <w:p>
      <w:pPr>
        <w:pStyle w:val="BookText"/>
      </w:pPr>
      <w:r>
        <w:rPr>
          <w:rFonts w:ascii="IRNazanin" w:hAnsi="IRNazanin" w:eastAsia="IRNazanin" w:cs="IRNazanin"/>
          <w:lang w:bidi="fa-IR"/>
          <w:color w:val="111111"/>
          <w:sz w:val="28"/>
          <w:szCs w:val="28"/>
          <w:rtl/>
        </w:rPr>
        <w:t xml:space="preserve">قال فی (تش یز- ص 279) إن اسمه محمد حسن و هو من أحفاد میرزا جعفر القزوینی و کان حاکما لیزد فی عصر الشاه عباس و الظاهر أنه محسن تأثیر و قد اشتبه آیتی فی اسمه و اسم جده فإن میرزا جعفر توفی فی العشر الثامن من المائة الحادیة عشرة کما فی (نر 4- ص 86)</w:t>
      </w:r>
    </w:p>
    <w:p>
      <w:pPr>
        <w:pStyle w:val="Heading3"/>
      </w:pPr>
      <w:bookmarkStart w:id="2581" w:name="_Toc1277"/>
      <w:r>
        <w:t>1037- دیوان تاج الدین آبی أو شعره‏</w:t>
      </w:r>
      <w:bookmarkEnd w:id="2581"/>
    </w:p>
    <w:p>
      <w:pPr>
        <w:pStyle w:val="BookText"/>
      </w:pPr>
      <w:r>
        <w:rPr>
          <w:rFonts w:ascii="IRNazanin" w:hAnsi="IRNazanin" w:eastAsia="IRNazanin" w:cs="IRNazanin"/>
          <w:lang w:bidi="fa-IR"/>
          <w:color w:val="111111"/>
          <w:sz w:val="28"/>
          <w:szCs w:val="28"/>
          <w:rtl/>
        </w:rPr>
        <w:t xml:space="preserve">و هو الصدر الأجل فخر الرؤساء السرخسی الأوجی من أدباء وزراء خراسان ترجمه و أورد شعره فی (لباب الألباب 6- ص 145) و هو الذی سبب تمایل أولجایتو إلی التشیع کما فی تاریخ أدبیات للمستر براون (ج 3- ص 54)</w:t>
      </w:r>
    </w:p>
    <w:p>
      <w:pPr>
        <w:pStyle w:val="Heading3"/>
      </w:pPr>
      <w:bookmarkStart w:id="2582" w:name="_Toc1278"/>
      <w:r>
        <w:t>دیوان تاج الدین أحمد</w:t>
      </w:r>
      <w:bookmarkEnd w:id="2582"/>
    </w:p>
    <w:p>
      <w:pPr>
        <w:pStyle w:val="BookText"/>
      </w:pPr>
      <w:r>
        <w:rPr>
          <w:rFonts w:ascii="IRNazanin" w:hAnsi="IRNazanin" w:eastAsia="IRNazanin" w:cs="IRNazanin"/>
          <w:lang w:bidi="fa-IR"/>
          <w:color w:val="111111"/>
          <w:sz w:val="28"/>
          <w:szCs w:val="28"/>
          <w:rtl/>
        </w:rPr>
        <w:t xml:space="preserve">ذکر مناظراته مع زوجته مهستی فی (تاریخ گزیده ص 816) و (دجا ص 76) و قد مر بعنوان ابن خطیب گنجه فی (ص 21)</w:t>
      </w:r>
    </w:p>
    <w:p>
      <w:pPr>
        <w:pStyle w:val="Heading3"/>
      </w:pPr>
      <w:bookmarkStart w:id="2583" w:name="_Toc1279"/>
      <w:r>
        <w:t>دیوان تاج الدین باخرزی أو شعره‏</w:t>
      </w:r>
      <w:bookmarkEnd w:id="2583"/>
    </w:p>
    <w:p>
      <w:pPr>
        <w:pStyle w:val="BookText"/>
      </w:pPr>
      <w:r>
        <w:rPr>
          <w:rFonts w:ascii="IRNazanin" w:hAnsi="IRNazanin" w:eastAsia="IRNazanin" w:cs="IRNazanin"/>
          <w:lang w:bidi="fa-IR"/>
          <w:color w:val="111111"/>
          <w:sz w:val="28"/>
          <w:szCs w:val="28"/>
          <w:rtl/>
        </w:rPr>
        <w:t xml:space="preserve">و اسمه إسماعیل أورد شعره فی (تش- ص 77)</w:t>
      </w:r>
    </w:p>
    <w:p>
      <w:pPr>
        <w:pStyle w:val="Heading3"/>
      </w:pPr>
      <w:bookmarkStart w:id="2584" w:name="_Toc1280"/>
      <w:r>
        <w:t>دیوان تاج الدین تبریزی أو شعره‏</w:t>
      </w:r>
      <w:bookmarkEnd w:id="2584"/>
    </w:p>
    <w:p>
      <w:pPr>
        <w:pStyle w:val="BookText"/>
      </w:pPr>
      <w:r>
        <w:rPr>
          <w:rFonts w:ascii="IRNazanin" w:hAnsi="IRNazanin" w:eastAsia="IRNazanin" w:cs="IRNazanin"/>
          <w:lang w:bidi="fa-IR"/>
          <w:color w:val="111111"/>
          <w:sz w:val="28"/>
          <w:szCs w:val="28"/>
          <w:rtl/>
        </w:rPr>
        <w:t xml:space="preserve">أورد ذکره فی (تغ- ص 31)</w:t>
      </w:r>
    </w:p>
    <w:p>
      <w:pPr>
        <w:pStyle w:val="Heading3"/>
      </w:pPr>
      <w:bookmarkStart w:id="2585" w:name="_Toc1281"/>
      <w:r>
        <w:t>دیوان تاج الدین تربتی أو شعره‏</w:t>
      </w:r>
      <w:bookmarkEnd w:id="2585"/>
    </w:p>
    <w:p>
      <w:pPr>
        <w:pStyle w:val="BookText"/>
      </w:pPr>
      <w:r>
        <w:rPr>
          <w:rFonts w:ascii="IRNazanin" w:hAnsi="IRNazanin" w:eastAsia="IRNazanin" w:cs="IRNazanin"/>
          <w:lang w:bidi="fa-IR"/>
          <w:color w:val="111111"/>
          <w:sz w:val="28"/>
          <w:szCs w:val="28"/>
          <w:rtl/>
        </w:rPr>
        <w:t xml:space="preserve">أورد شعره فی (روشن- ص 123)</w:t>
      </w:r>
    </w:p>
    <w:p>
      <w:pPr>
        <w:pStyle w:val="Heading3"/>
      </w:pPr>
      <w:bookmarkStart w:id="2586" w:name="_Toc1282"/>
      <w:r>
        <w:t>دیوان تاج الدین رومی أو شعره‏</w:t>
      </w:r>
      <w:bookmarkEnd w:id="2586"/>
    </w:p>
    <w:p>
      <w:pPr>
        <w:pStyle w:val="BookText"/>
      </w:pPr>
      <w:r>
        <w:rPr>
          <w:rFonts w:ascii="IRNazanin" w:hAnsi="IRNazanin" w:eastAsia="IRNazanin" w:cs="IRNazanin"/>
          <w:lang w:bidi="fa-IR"/>
          <w:color w:val="111111"/>
          <w:sz w:val="28"/>
          <w:szCs w:val="28"/>
          <w:rtl/>
        </w:rPr>
        <w:t xml:space="preserve">أورد شعره فی (روشن- ص 124)</w:t>
      </w:r>
    </w:p>
    <w:p>
      <w:pPr>
        <w:pStyle w:val="Heading3"/>
      </w:pPr>
      <w:bookmarkStart w:id="2587" w:name="_Toc1283"/>
      <w:r>
        <w:t>1038- دیوان تاج الدین سرخسی أو شعره‏</w:t>
      </w:r>
      <w:bookmarkEnd w:id="2587"/>
    </w:p>
    <w:p>
      <w:pPr>
        <w:pStyle w:val="BookText"/>
      </w:pPr>
      <w:r>
        <w:rPr>
          <w:rFonts w:ascii="IRNazanin" w:hAnsi="IRNazanin" w:eastAsia="IRNazanin" w:cs="IRNazanin"/>
          <w:lang w:bidi="fa-IR"/>
          <w:color w:val="111111"/>
          <w:sz w:val="28"/>
          <w:szCs w:val="28"/>
          <w:rtl/>
        </w:rPr>
        <w:t xml:space="preserve">کان من أعیانها، و لقبه شرف الرؤساء سافر إلی الهند و مات (935) قال فی (روشن- ص 124) إنه کاشانی و فی (تغ- ص 31) إنه سرخسی خراسانی‏</w:t>
      </w:r>
    </w:p>
    <w:p>
      <w:pPr>
        <w:pStyle w:val="Heading3"/>
      </w:pPr>
      <w:bookmarkStart w:id="2588" w:name="_Toc1284"/>
      <w:r>
        <w:t>1039- دیوان تاج الکتاب السرخسی أو شعره‏</w:t>
      </w:r>
      <w:bookmarkEnd w:id="2588"/>
    </w:p>
    <w:p>
      <w:pPr>
        <w:pStyle w:val="BookText"/>
      </w:pPr>
      <w:r>
        <w:rPr>
          <w:rFonts w:ascii="IRNazanin" w:hAnsi="IRNazanin" w:eastAsia="IRNazanin" w:cs="IRNazanin"/>
          <w:lang w:bidi="fa-IR"/>
          <w:color w:val="111111"/>
          <w:sz w:val="28"/>
          <w:szCs w:val="28"/>
          <w:rtl/>
        </w:rPr>
        <w:t xml:space="preserve">و هو السید ظهیر الدین، منشی دیوان السلطان، ترجمه فی قسم الوزراء الشعراء فی (لباب الألباب 6- ص 137) و أورد رباعیاته‏</w:t>
      </w:r>
    </w:p>
    <w:p>
      <w:pPr>
        <w:pStyle w:val="Heading3"/>
      </w:pPr>
      <w:bookmarkStart w:id="2589" w:name="_Toc1285"/>
      <w:r>
        <w:t>1040- دیوان تاجی أندجانی أو شعره‏</w:t>
      </w:r>
      <w:bookmarkEnd w:id="2589"/>
    </w:p>
    <w:p>
      <w:pPr>
        <w:pStyle w:val="BookText"/>
      </w:pPr>
      <w:r>
        <w:rPr>
          <w:rFonts w:ascii="IRNazanin" w:hAnsi="IRNazanin" w:eastAsia="IRNazanin" w:cs="IRNazanin"/>
          <w:lang w:bidi="fa-IR"/>
          <w:color w:val="111111"/>
          <w:sz w:val="28"/>
          <w:szCs w:val="28"/>
          <w:rtl/>
        </w:rPr>
        <w:t xml:space="preserve">و هو معصوم علی خان من معاصری شیر علی لودی ترجمه و أورد شعره فی (مرآة الخیال- ص 303)</w:t>
      </w:r>
    </w:p>
    <w:p>
      <w:pPr>
        <w:pStyle w:val="Heading3"/>
      </w:pPr>
      <w:bookmarkStart w:id="2590" w:name="_Toc1286"/>
      <w:r>
        <w:t>دیوان تاجی لاهیجی أو شعره‏</w:t>
      </w:r>
      <w:bookmarkEnd w:id="2590"/>
    </w:p>
    <w:p>
      <w:pPr>
        <w:pStyle w:val="BookText"/>
      </w:pPr>
      <w:r>
        <w:rPr>
          <w:rFonts w:ascii="IRNazanin" w:hAnsi="IRNazanin" w:eastAsia="IRNazanin" w:cs="IRNazanin"/>
          <w:lang w:bidi="fa-IR"/>
          <w:color w:val="111111"/>
          <w:sz w:val="28"/>
          <w:szCs w:val="28"/>
          <w:rtl/>
        </w:rPr>
        <w:t xml:space="preserve">أورد شعره فی (گلشن- ص 77) و أظنه تاجی اندجانی المذکور آنفا</w:t>
      </w:r>
    </w:p>
    <w:p>
      <w:pPr>
        <w:pStyle w:val="Heading3"/>
      </w:pPr>
      <w:bookmarkStart w:id="2591" w:name="_Toc1287"/>
      <w:r>
        <w:t>1041- دیوان تاراج أصفهانی‏</w:t>
      </w:r>
      <w:bookmarkEnd w:id="2591"/>
    </w:p>
    <w:p>
      <w:pPr>
        <w:pStyle w:val="BookText"/>
      </w:pPr>
      <w:r>
        <w:rPr>
          <w:rFonts w:ascii="IRNazanin" w:hAnsi="IRNazanin" w:eastAsia="IRNazanin" w:cs="IRNazanin"/>
          <w:lang w:bidi="fa-IR"/>
          <w:color w:val="111111"/>
          <w:sz w:val="28"/>
          <w:szCs w:val="28"/>
          <w:rtl/>
        </w:rPr>
        <w:t xml:space="preserve">اسمه محمد حسین التاجر کان یکتسب المعیشة بکد یده‏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65" w:name="pg11704_121642"/>
    <w:bookmarkEnd w:id="165"/>
    <w:p>
      <w:pPr>
        <w:pStyle w:val="BookText"/>
      </w:pPr>
      <w:r>
        <w:rPr>
          <w:rFonts w:ascii="IRNazanin" w:hAnsi="IRNazanin" w:eastAsia="IRNazanin" w:cs="IRNazanin"/>
          <w:lang w:bidi="fa-IR"/>
          <w:color w:val="111111"/>
          <w:sz w:val="28"/>
          <w:szCs w:val="28"/>
          <w:rtl/>
        </w:rPr>
        <w:t xml:space="preserve">و ینظم الغزلیات الجیدة و دیوانه فی عشرة آلاف بیت ترجمه کذلک فی (مع- ج 2- ص 83) و ترجمه أیضا بهار الأصفهانی فی المدائح‏</w:t>
      </w:r>
    </w:p>
    <w:p>
      <w:pPr>
        <w:pStyle w:val="Heading3"/>
      </w:pPr>
      <w:bookmarkStart w:id="2592" w:name="_Toc1288"/>
      <w:r>
        <w:t>1042- دیوان تاراج شیرازی أو شعره‏</w:t>
      </w:r>
      <w:bookmarkEnd w:id="2592"/>
    </w:p>
    <w:p>
      <w:pPr>
        <w:pStyle w:val="BookText"/>
      </w:pPr>
      <w:r>
        <w:rPr>
          <w:rFonts w:ascii="IRNazanin" w:hAnsi="IRNazanin" w:eastAsia="IRNazanin" w:cs="IRNazanin"/>
          <w:lang w:bidi="fa-IR"/>
          <w:color w:val="111111"/>
          <w:sz w:val="28"/>
          <w:szCs w:val="28"/>
          <w:rtl/>
        </w:rPr>
        <w:t xml:space="preserve">أورد له غزلین، بهار الأصفهانی أیضا فی المدائح و قال لم أعرفه و أنا أظن اتحاده مع ما قبله‏</w:t>
      </w:r>
    </w:p>
    <w:p>
      <w:pPr>
        <w:pStyle w:val="Heading3"/>
      </w:pPr>
      <w:bookmarkStart w:id="2593" w:name="_Toc1289"/>
      <w:r>
        <w:t>1043- دیوان تارک شیرازی‏</w:t>
      </w:r>
      <w:bookmarkEnd w:id="2593"/>
    </w:p>
    <w:p>
      <w:pPr>
        <w:pStyle w:val="BookText"/>
      </w:pPr>
      <w:r>
        <w:rPr>
          <w:rFonts w:ascii="IRNazanin" w:hAnsi="IRNazanin" w:eastAsia="IRNazanin" w:cs="IRNazanin"/>
          <w:lang w:bidi="fa-IR"/>
          <w:color w:val="111111"/>
          <w:sz w:val="28"/>
          <w:szCs w:val="28"/>
          <w:rtl/>
        </w:rPr>
        <w:t xml:space="preserve">مرید الشیخ محمد نوربخش المتوفی (912) و فی الدیوان مدائح له و تاریخ لوفاته و یظهر من الدیوان أنه من معاصری الشاه إسماعیل الصفوی، و قد مدحه و أرخ وروده بشیراز فی (908) و نسخه الدیوان فی (1000 بیت) فی (المجلس) کما فی فهرسها (ج 3- ص 242)</w:t>
      </w:r>
    </w:p>
    <w:p>
      <w:pPr>
        <w:pStyle w:val="Heading3"/>
      </w:pPr>
      <w:bookmarkStart w:id="2594" w:name="_Toc1290"/>
      <w:r>
        <w:t>1044- دیوان تازه دهلوی أو شعره‏</w:t>
      </w:r>
      <w:bookmarkEnd w:id="2594"/>
    </w:p>
    <w:p>
      <w:pPr>
        <w:pStyle w:val="BookText"/>
      </w:pPr>
      <w:r>
        <w:rPr>
          <w:rFonts w:ascii="IRNazanin" w:hAnsi="IRNazanin" w:eastAsia="IRNazanin" w:cs="IRNazanin"/>
          <w:lang w:bidi="fa-IR"/>
          <w:color w:val="111111"/>
          <w:sz w:val="28"/>
          <w:szCs w:val="28"/>
          <w:rtl/>
        </w:rPr>
        <w:t xml:space="preserve">أورد شعره فی (روشن- ص 124) و قال إنه من تلامیذ محمد أفضل ثابت بدخشانی‏</w:t>
      </w:r>
    </w:p>
    <w:p>
      <w:pPr>
        <w:pStyle w:val="Heading3"/>
      </w:pPr>
      <w:bookmarkStart w:id="2595" w:name="_Toc1291"/>
      <w:r>
        <w:t>1045- دیوان تأیید هندی‏</w:t>
      </w:r>
      <w:bookmarkEnd w:id="2595"/>
    </w:p>
    <w:p>
      <w:pPr>
        <w:pStyle w:val="BookText"/>
      </w:pPr>
      <w:r>
        <w:rPr>
          <w:rFonts w:ascii="IRNazanin" w:hAnsi="IRNazanin" w:eastAsia="IRNazanin" w:cs="IRNazanin"/>
          <w:lang w:bidi="fa-IR"/>
          <w:color w:val="111111"/>
          <w:sz w:val="28"/>
          <w:szCs w:val="28"/>
          <w:rtl/>
        </w:rPr>
        <w:t xml:space="preserve">و هو الخواجة عبد الله، کان عند مؤتمن الملک حاکم بنگاله، ثم جاء إلی بنارس، و اشترک فی تألیف صحف إبراهیم لإبراهیم علی خان ثم اعتزل و مات بعظیم‏آباد فی (15- رجب- 1186) أورد شعره فی (گلشن- ص 79)</w:t>
      </w:r>
    </w:p>
    <w:p>
      <w:pPr>
        <w:pStyle w:val="Heading3"/>
      </w:pPr>
      <w:bookmarkStart w:id="2596" w:name="_Toc1292"/>
      <w:r>
        <w:t>1046- دیوان تجرد لاهوری أو شعره‏</w:t>
      </w:r>
      <w:bookmarkEnd w:id="2596"/>
    </w:p>
    <w:p>
      <w:pPr>
        <w:pStyle w:val="BookText"/>
      </w:pPr>
      <w:r>
        <w:rPr>
          <w:rFonts w:ascii="IRNazanin" w:hAnsi="IRNazanin" w:eastAsia="IRNazanin" w:cs="IRNazanin"/>
          <w:lang w:bidi="fa-IR"/>
          <w:color w:val="111111"/>
          <w:sz w:val="28"/>
          <w:szCs w:val="28"/>
          <w:rtl/>
        </w:rPr>
        <w:t xml:space="preserve">و هو الشیخ محمد علی ولد بلاهور و تلمذ علی خیر الله فدا گجراتی معاصر واقف مات (1179) معتکفا فی جبال پنجاب أورد شعره فی (گلشن- ص 80) و (نشتر عشق) و اعترض علیهما فی (روشن- ص 126) و سماه میان علی تجرد</w:t>
      </w:r>
    </w:p>
    <w:p>
      <w:pPr>
        <w:pStyle w:val="Heading3"/>
      </w:pPr>
      <w:bookmarkStart w:id="2597" w:name="_Toc1293"/>
      <w:r>
        <w:t>1047- دیوان تجرید لاهوری أو شعره‏</w:t>
      </w:r>
      <w:bookmarkEnd w:id="2597"/>
    </w:p>
    <w:p>
      <w:pPr>
        <w:pStyle w:val="BookText"/>
      </w:pPr>
      <w:r>
        <w:rPr>
          <w:rFonts w:ascii="IRNazanin" w:hAnsi="IRNazanin" w:eastAsia="IRNazanin" w:cs="IRNazanin"/>
          <w:lang w:bidi="fa-IR"/>
          <w:color w:val="111111"/>
          <w:sz w:val="28"/>
          <w:szCs w:val="28"/>
          <w:rtl/>
        </w:rPr>
        <w:t xml:space="preserve">و هو السید محمد علی بن عبد الله تلمیذ غلام محمد فی برهان‏پور. حج البیت و بعد رجوعه سکن سورات. قال فی (روشن- ص 126) إن صاحبی (گلشن- ص 79) و (نشتر عشق) اشتبها فی اسمه، فذاکرا تخلصه تجرید و اسمه السید عبد الله.</w:t>
      </w:r>
    </w:p>
    <w:p>
      <w:pPr>
        <w:pStyle w:val="Heading3"/>
      </w:pPr>
      <w:bookmarkStart w:id="2598" w:name="_Toc1294"/>
      <w:r>
        <w:t>1048- دیوان تجرید أصفهانی أو شعره‏</w:t>
      </w:r>
      <w:bookmarkEnd w:id="2598"/>
    </w:p>
    <w:p>
      <w:pPr>
        <w:pStyle w:val="BookText"/>
      </w:pPr>
      <w:r>
        <w:rPr>
          <w:rFonts w:ascii="IRNazanin" w:hAnsi="IRNazanin" w:eastAsia="IRNazanin" w:cs="IRNazanin"/>
          <w:lang w:bidi="fa-IR"/>
          <w:color w:val="111111"/>
          <w:sz w:val="28"/>
          <w:szCs w:val="28"/>
          <w:rtl/>
        </w:rPr>
        <w:t xml:space="preserve">و اسمه محمد شریف، من أعیان أصفهان، کان ماهرا فی خط النسخ، کذا وصفه و أورد شعره معاصره فی (نر 9- ص 398).</w:t>
      </w:r>
    </w:p>
    <w:p>
      <w:pPr>
        <w:pStyle w:val="Heading3"/>
      </w:pPr>
      <w:bookmarkStart w:id="2599" w:name="_Toc1295"/>
      <w:r>
        <w:t>1049- دیوان تجرید هندی أو شعره‏</w:t>
      </w:r>
      <w:bookmarkEnd w:id="2599"/>
    </w:p>
    <w:p>
      <w:pPr>
        <w:pStyle w:val="BookText"/>
      </w:pPr>
      <w:r>
        <w:rPr>
          <w:rFonts w:ascii="IRNazanin" w:hAnsi="IRNazanin" w:eastAsia="IRNazanin" w:cs="IRNazanin"/>
          <w:lang w:bidi="fa-IR"/>
          <w:color w:val="111111"/>
          <w:sz w:val="28"/>
          <w:szCs w:val="28"/>
          <w:rtl/>
        </w:rPr>
        <w:t xml:space="preserve">من تلامیذ سراج الدین آرزو ذهب إلی سورات و مات (1150) أورد شعره فی (گلشن- ص 80) و سماه فی (روشن-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66" w:name="pg11704_121643"/>
    <w:bookmarkEnd w:id="166"/>
    <w:p>
      <w:pPr>
        <w:pStyle w:val="BookText"/>
      </w:pPr>
      <w:r>
        <w:rPr>
          <w:rFonts w:ascii="IRNazanin" w:hAnsi="IRNazanin" w:eastAsia="IRNazanin" w:cs="IRNazanin"/>
          <w:lang w:bidi="fa-IR"/>
          <w:color w:val="111111"/>
          <w:sz w:val="28"/>
          <w:szCs w:val="28"/>
          <w:rtl/>
        </w:rPr>
        <w:t xml:space="preserve">ص 124) میر حیدر سوراتی تجرید.</w:t>
      </w:r>
    </w:p>
    <w:p>
      <w:pPr>
        <w:pStyle w:val="Heading3"/>
      </w:pPr>
      <w:bookmarkStart w:id="2600" w:name="_Toc1296"/>
      <w:r>
        <w:t>1050- دیوان تجلی أصفهانی‏</w:t>
      </w:r>
      <w:bookmarkEnd w:id="2600"/>
    </w:p>
    <w:p>
      <w:pPr>
        <w:pStyle w:val="BookText"/>
      </w:pPr>
      <w:r>
        <w:rPr>
          <w:rFonts w:ascii="IRNazanin" w:hAnsi="IRNazanin" w:eastAsia="IRNazanin" w:cs="IRNazanin"/>
          <w:lang w:bidi="fa-IR"/>
          <w:color w:val="111111"/>
          <w:sz w:val="28"/>
          <w:szCs w:val="28"/>
          <w:rtl/>
        </w:rPr>
        <w:t xml:space="preserve">و اسمه محمد محسن. ولد أعمی و مهر فی الشعر. و له الید الطولی فی الرمل. و هو من مشایخ أشترجان أورد رباعیاته و غزله معاصره فی (نر 9- ص 262) و لقبه بالحافظ و الظاهر أنه حافظ للقرآن و کذا فی (تغ- ص 31) و (روشن- ص 124).</w:t>
      </w:r>
    </w:p>
    <w:p>
      <w:pPr>
        <w:pStyle w:val="Heading3"/>
      </w:pPr>
      <w:bookmarkStart w:id="2601" w:name="_Toc1297"/>
      <w:r>
        <w:t>1051- دیوان تجلی بخاری أو شعره‏</w:t>
      </w:r>
      <w:bookmarkEnd w:id="2601"/>
    </w:p>
    <w:p>
      <w:pPr>
        <w:pStyle w:val="BookText"/>
      </w:pPr>
      <w:r>
        <w:rPr>
          <w:rFonts w:ascii="IRNazanin" w:hAnsi="IRNazanin" w:eastAsia="IRNazanin" w:cs="IRNazanin"/>
          <w:lang w:bidi="fa-IR"/>
          <w:color w:val="111111"/>
          <w:sz w:val="28"/>
          <w:szCs w:val="28"/>
          <w:rtl/>
        </w:rPr>
        <w:t xml:space="preserve">قال فی (تش- ص 327) کان من بخارا و مات ببلخ. ثم أورد شعره.</w:t>
      </w:r>
    </w:p>
    <w:p>
      <w:pPr>
        <w:pStyle w:val="Heading3"/>
      </w:pPr>
      <w:bookmarkStart w:id="2602" w:name="_Toc1298"/>
      <w:r>
        <w:t>1052- دیوان تجلی دزفولی أو شعره‏</w:t>
      </w:r>
      <w:bookmarkEnd w:id="2602"/>
    </w:p>
    <w:p>
      <w:pPr>
        <w:pStyle w:val="BookText"/>
      </w:pPr>
      <w:r>
        <w:rPr>
          <w:rFonts w:ascii="IRNazanin" w:hAnsi="IRNazanin" w:eastAsia="IRNazanin" w:cs="IRNazanin"/>
          <w:lang w:bidi="fa-IR"/>
          <w:color w:val="111111"/>
          <w:sz w:val="28"/>
          <w:szCs w:val="28"/>
          <w:rtl/>
        </w:rPr>
        <w:t xml:space="preserve">و هو الشیخ عبد الحسین. ولد (1274) و هاجر إلی أصفهان فی (1308) و مات بدزفول (1338). أورد شعره الشیخ مرتضی المدرسی الچهاردهی فی تذکرته.</w:t>
      </w:r>
    </w:p>
    <w:p>
      <w:pPr>
        <w:pStyle w:val="Heading3"/>
      </w:pPr>
      <w:bookmarkStart w:id="2603" w:name="_Toc1299"/>
      <w:r>
        <w:t>1053- دیوان تجلی سبزواری‏</w:t>
      </w:r>
      <w:bookmarkEnd w:id="2603"/>
    </w:p>
    <w:p>
      <w:pPr>
        <w:pStyle w:val="BookText"/>
      </w:pPr>
      <w:r>
        <w:rPr>
          <w:rFonts w:ascii="IRNazanin" w:hAnsi="IRNazanin" w:eastAsia="IRNazanin" w:cs="IRNazanin"/>
          <w:lang w:bidi="fa-IR"/>
          <w:color w:val="111111"/>
          <w:sz w:val="28"/>
          <w:szCs w:val="28"/>
          <w:rtl/>
        </w:rPr>
        <w:t xml:space="preserve">المعاصر. طبع له تجددنامه ببمبئی فی (64 ص) علی الحجر.</w:t>
      </w:r>
    </w:p>
    <w:p>
      <w:pPr>
        <w:pStyle w:val="Heading3"/>
      </w:pPr>
      <w:bookmarkStart w:id="2604" w:name="_Toc1300"/>
      <w:r>
        <w:t>1054- دیوان تجلی سمنانی أو شعره‏</w:t>
      </w:r>
      <w:bookmarkEnd w:id="2604"/>
    </w:p>
    <w:p>
      <w:pPr>
        <w:pStyle w:val="BookText"/>
      </w:pPr>
      <w:r>
        <w:rPr>
          <w:rFonts w:ascii="IRNazanin" w:hAnsi="IRNazanin" w:eastAsia="IRNazanin" w:cs="IRNazanin"/>
          <w:lang w:bidi="fa-IR"/>
          <w:color w:val="111111"/>
          <w:sz w:val="28"/>
          <w:szCs w:val="28"/>
          <w:rtl/>
        </w:rPr>
        <w:t xml:space="preserve">أورد شعره فی (روشن- ص 124).</w:t>
      </w:r>
    </w:p>
    <w:p>
      <w:pPr>
        <w:pStyle w:val="Heading3"/>
      </w:pPr>
      <w:bookmarkStart w:id="2605" w:name="_Toc1301"/>
      <w:r>
        <w:t>1055- دیوان تجلی شیرازی‏</w:t>
      </w:r>
      <w:bookmarkEnd w:id="2605"/>
    </w:p>
    <w:p>
      <w:pPr>
        <w:pStyle w:val="BookText"/>
      </w:pPr>
      <w:r>
        <w:rPr>
          <w:rFonts w:ascii="IRNazanin" w:hAnsi="IRNazanin" w:eastAsia="IRNazanin" w:cs="IRNazanin"/>
          <w:lang w:bidi="fa-IR"/>
          <w:color w:val="111111"/>
          <w:sz w:val="28"/>
          <w:szCs w:val="28"/>
          <w:rtl/>
        </w:rPr>
        <w:t xml:space="preserve">و هو المیرزا علی رضا بن کمال الدین حسین الأردکانی الشیرازی. تلمذ فی أصفهان علی آقا حسین الخوانساری، و سافر إلی الهند و علم أولاد علی مردان خان و رجع إلی إیران و ألف فی الفقه و الکلام و التفسیر و مات بشیراز (1085) أو (1088). ترجمه فی ریاض العلماء و قال إن براعته فی الشعر محی سائر فضائله فهو ملک الشعراء و تخلصه فی دیوانه الفارسی تجلی و ترجمه معاصره فی قصص الخاقان أیضا. له تفسیر القرآن بالفارسیة و سفینة النجاة فی الإمامة و منظومة معراج الخیال طبع بمبئی فی (1313) و هو غرامی عرفانی قال فی أو آخره:</w:t>
      </w:r>
    </w:p>
    <w:p>
      <w:pPr>
        <w:pStyle w:val="BookText"/>
      </w:pPr>
      <w:r>
        <w:rPr>
          <w:rFonts w:ascii="IRNazanin" w:hAnsi="IRNazanin" w:eastAsia="IRNazanin" w:cs="IRNazanin"/>
          <w:lang w:bidi="fa-IR"/>
          <w:color w:val="111111"/>
          <w:sz w:val="28"/>
          <w:szCs w:val="28"/>
          <w:rtl/>
        </w:rPr>
        <w:t xml:space="preserve">یا رب از عشقت دلم را بخش نور</w:t>
      </w:r>
    </w:p>
    <w:p>
      <w:pPr>
        <w:pStyle w:val="BookText"/>
      </w:pPr>
      <w:r>
        <w:rPr>
          <w:rFonts w:ascii="IRNazanin" w:hAnsi="IRNazanin" w:eastAsia="IRNazanin" w:cs="IRNazanin"/>
          <w:lang w:bidi="fa-IR"/>
          <w:color w:val="111111"/>
          <w:sz w:val="28"/>
          <w:szCs w:val="28"/>
          <w:rtl/>
        </w:rPr>
        <w:t xml:space="preserve">تا شود جان تجلی شمع طور</w:t>
      </w:r>
    </w:p>
    <w:p>
      <w:pPr>
        <w:pStyle w:val="BookText"/>
      </w:pPr>
      <w:r>
        <w:rPr>
          <w:rFonts w:ascii="IRNazanin" w:hAnsi="IRNazanin" w:eastAsia="IRNazanin" w:cs="IRNazanin"/>
          <w:lang w:bidi="fa-IR"/>
          <w:color w:val="111111"/>
          <w:sz w:val="28"/>
          <w:szCs w:val="28"/>
          <w:rtl/>
        </w:rPr>
        <w:t xml:space="preserve">و یظهر بعض أحواله من دیوانه الموجود فی (المجلس) کما فی فهرسها (ج 3- ص 666) و جملة من قصائده فی مکتبة (الخوانساری) ترجمه و أورد شعره فی (تش- ص 265) و (سرخوش- ص 19) و (نر 6- ص 168) و (روشن- ص 124) و (تغ- ص 31).</w:t>
      </w:r>
    </w:p>
    <w:p>
      <w:pPr>
        <w:pStyle w:val="Heading3"/>
      </w:pPr>
      <w:bookmarkStart w:id="2606" w:name="_Toc1302"/>
      <w:r>
        <w:t>1056- دیوان تجلی کاشی أو شعره‏</w:t>
      </w:r>
      <w:bookmarkEnd w:id="2606"/>
    </w:p>
    <w:p>
      <w:pPr>
        <w:pStyle w:val="BookText"/>
      </w:pPr>
      <w:r>
        <w:rPr>
          <w:rFonts w:ascii="IRNazanin" w:hAnsi="IRNazanin" w:eastAsia="IRNazanin" w:cs="IRNazanin"/>
          <w:lang w:bidi="fa-IR"/>
          <w:color w:val="111111"/>
          <w:sz w:val="28"/>
          <w:szCs w:val="28"/>
          <w:rtl/>
        </w:rPr>
        <w:t xml:space="preserve">کان یشاعر ملا نظیری و اسمه ملا علی و مات فی‏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67" w:name="pg11704_121644"/>
    <w:bookmarkEnd w:id="167"/>
    <w:p>
      <w:pPr>
        <w:pStyle w:val="BookText"/>
      </w:pPr>
      <w:r>
        <w:rPr>
          <w:rFonts w:ascii="IRNazanin" w:hAnsi="IRNazanin" w:eastAsia="IRNazanin" w:cs="IRNazanin"/>
          <w:lang w:bidi="fa-IR"/>
          <w:color w:val="111111"/>
          <w:sz w:val="28"/>
          <w:szCs w:val="28"/>
          <w:rtl/>
        </w:rPr>
        <w:t xml:space="preserve">(1021) کما فی تذکره حسینی (ص 27) و سماه فی (گلشن- ص 80- 81) محمد حسین کاشانی. و قال ذهب إلی گجرات و مات (1041) و عنه أخذ قاموس الأعلام الترکیة و عنه فی ریحانة الأدب. و قد أورد تخلصه فی (تش- ص 241) و لم یسمه باسم و قال سافر إلی الهند فی شبابه.</w:t>
      </w:r>
    </w:p>
    <w:p>
      <w:pPr>
        <w:pStyle w:val="Heading3"/>
      </w:pPr>
      <w:bookmarkStart w:id="2607" w:name="_Toc1303"/>
      <w:r>
        <w:t>1057- دیوان تجلی لاهیجی أو شعره‏</w:t>
      </w:r>
      <w:bookmarkEnd w:id="2607"/>
    </w:p>
    <w:p>
      <w:pPr>
        <w:pStyle w:val="BookText"/>
      </w:pPr>
      <w:r>
        <w:rPr>
          <w:rFonts w:ascii="IRNazanin" w:hAnsi="IRNazanin" w:eastAsia="IRNazanin" w:cs="IRNazanin"/>
          <w:lang w:bidi="fa-IR"/>
          <w:color w:val="111111"/>
          <w:sz w:val="28"/>
          <w:szCs w:val="28"/>
          <w:rtl/>
        </w:rPr>
        <w:t xml:space="preserve">قال النصرآبادی فی (نر 9- ص 304) إنه نشا بالهند و کان یتخلص أولا خاوری ثم بدله بتجلی و أورد أبیاتا من غزله و رباعیاته.</w:t>
      </w:r>
    </w:p>
    <w:p>
      <w:pPr>
        <w:pStyle w:val="Heading3"/>
      </w:pPr>
      <w:bookmarkStart w:id="2608" w:name="_Toc1304"/>
      <w:r>
        <w:t>1058- دیوان تجمل لکهنوی أو شعره‏</w:t>
      </w:r>
      <w:bookmarkEnd w:id="2608"/>
    </w:p>
    <w:p>
      <w:pPr>
        <w:pStyle w:val="BookText"/>
      </w:pPr>
      <w:r>
        <w:rPr>
          <w:rFonts w:ascii="IRNazanin" w:hAnsi="IRNazanin" w:eastAsia="IRNazanin" w:cs="IRNazanin"/>
          <w:lang w:bidi="fa-IR"/>
          <w:color w:val="111111"/>
          <w:sz w:val="28"/>
          <w:szCs w:val="28"/>
          <w:rtl/>
        </w:rPr>
        <w:t xml:space="preserve">و هو عظیم الدین حسین. ذهب إلی مدارس و نصب للفتوی من طرف الإنجلیز و کان یتطبب و ینظم الشعر أیضا و مات (1220) أورد شعره فی (گلشن- ص 81).</w:t>
      </w:r>
    </w:p>
    <w:p>
      <w:pPr>
        <w:pStyle w:val="Heading3"/>
      </w:pPr>
      <w:bookmarkStart w:id="2609" w:name="_Toc1305"/>
      <w:r>
        <w:t>1059- دیوان تحسین پانی‏پتی أو شعره‏</w:t>
      </w:r>
      <w:bookmarkEnd w:id="2609"/>
    </w:p>
    <w:p>
      <w:pPr>
        <w:pStyle w:val="BookText"/>
      </w:pPr>
      <w:r>
        <w:rPr>
          <w:rFonts w:ascii="IRNazanin" w:hAnsi="IRNazanin" w:eastAsia="IRNazanin" w:cs="IRNazanin"/>
          <w:lang w:bidi="fa-IR"/>
          <w:color w:val="111111"/>
          <w:sz w:val="28"/>
          <w:szCs w:val="28"/>
          <w:rtl/>
        </w:rPr>
        <w:t xml:space="preserve">و هو الحافظ القاضی عبد الرحمن من أحفاد ثناء الله، تلمذ علی غالب الدهلوی فی شاه جهان‏آباد. و مات (1294) أورد شعره فی (گلشن- ص 82) و عنه فی قاموس الأعلام الترکیة و عنه فی ریحانة الأدب.</w:t>
      </w:r>
    </w:p>
    <w:p>
      <w:pPr>
        <w:pStyle w:val="Heading3"/>
      </w:pPr>
      <w:bookmarkStart w:id="2610" w:name="_Toc1306"/>
      <w:r>
        <w:t>1060- دیوان تحسین دهلوی أو شعره‏</w:t>
      </w:r>
      <w:bookmarkEnd w:id="2610"/>
    </w:p>
    <w:p>
      <w:pPr>
        <w:pStyle w:val="BookText"/>
      </w:pPr>
      <w:r>
        <w:rPr>
          <w:rFonts w:ascii="IRNazanin" w:hAnsi="IRNazanin" w:eastAsia="IRNazanin" w:cs="IRNazanin"/>
          <w:lang w:bidi="fa-IR"/>
          <w:color w:val="111111"/>
          <w:sz w:val="28"/>
          <w:szCs w:val="28"/>
          <w:rtl/>
        </w:rPr>
        <w:t xml:space="preserve">و اسمه الشیخ غلام علی من شعراء عالمگیر پادشاه. قتل بالسم. أورد شعره فی (روشن- ص 124).</w:t>
      </w:r>
    </w:p>
    <w:p>
      <w:pPr>
        <w:pStyle w:val="Heading3"/>
      </w:pPr>
      <w:bookmarkStart w:id="2611" w:name="_Toc1307"/>
      <w:r>
        <w:t>1061- دیوان تحسین رضوی أو شعره‏</w:t>
      </w:r>
      <w:bookmarkEnd w:id="2611"/>
    </w:p>
    <w:p>
      <w:pPr>
        <w:pStyle w:val="BookText"/>
      </w:pPr>
      <w:r>
        <w:rPr>
          <w:rFonts w:ascii="IRNazanin" w:hAnsi="IRNazanin" w:eastAsia="IRNazanin" w:cs="IRNazanin"/>
          <w:lang w:bidi="fa-IR"/>
          <w:color w:val="111111"/>
          <w:sz w:val="28"/>
          <w:szCs w:val="28"/>
          <w:rtl/>
        </w:rPr>
        <w:t xml:space="preserve">و هو المیر عطا حسین مرصع قلم ابن المیر محمد باقر شوق من السادة الرضویة بالهند. أورد شعره فی (گلشن- ص 83) و عنه فی قاموس الأعلام الترکیة فریحانة الأدب.</w:t>
      </w:r>
    </w:p>
    <w:p>
      <w:pPr>
        <w:pStyle w:val="Heading3"/>
      </w:pPr>
      <w:bookmarkStart w:id="2612" w:name="_Toc1308"/>
      <w:r>
        <w:t>1062- دیوان تحسین شیرازی أو شعره‏</w:t>
      </w:r>
      <w:bookmarkEnd w:id="2612"/>
    </w:p>
    <w:p>
      <w:pPr>
        <w:pStyle w:val="BookText"/>
      </w:pPr>
      <w:r>
        <w:rPr>
          <w:rFonts w:ascii="IRNazanin" w:hAnsi="IRNazanin" w:eastAsia="IRNazanin" w:cs="IRNazanin"/>
          <w:lang w:bidi="fa-IR"/>
          <w:color w:val="111111"/>
          <w:sz w:val="28"/>
          <w:szCs w:val="28"/>
          <w:rtl/>
        </w:rPr>
        <w:t xml:space="preserve">و اسمه المیرزا تقی. أورد شعره فی (روشن- ص 124).</w:t>
      </w:r>
    </w:p>
    <w:p>
      <w:pPr>
        <w:pStyle w:val="Heading3"/>
      </w:pPr>
      <w:bookmarkStart w:id="2613" w:name="_Toc1309"/>
      <w:r>
        <w:t>1063- دیوان تحسین لاهوری أو شعره‏</w:t>
      </w:r>
      <w:bookmarkEnd w:id="2613"/>
    </w:p>
    <w:p>
      <w:pPr>
        <w:pStyle w:val="BookText"/>
      </w:pPr>
      <w:r>
        <w:rPr>
          <w:rFonts w:ascii="IRNazanin" w:hAnsi="IRNazanin" w:eastAsia="IRNazanin" w:cs="IRNazanin"/>
          <w:lang w:bidi="fa-IR"/>
          <w:color w:val="111111"/>
          <w:sz w:val="28"/>
          <w:szCs w:val="28"/>
          <w:rtl/>
        </w:rPr>
        <w:t xml:space="preserve">و هو عبد العظیم. تلمذ علی فقیر الله آفرین.</w:t>
      </w:r>
    </w:p>
    <w:p>
      <w:pPr>
        <w:pStyle w:val="BookText"/>
      </w:pPr>
      <w:r>
        <w:rPr>
          <w:rFonts w:ascii="IRNazanin" w:hAnsi="IRNazanin" w:eastAsia="IRNazanin" w:cs="IRNazanin"/>
          <w:lang w:bidi="fa-IR"/>
          <w:color w:val="111111"/>
          <w:sz w:val="28"/>
          <w:szCs w:val="28"/>
          <w:rtl/>
        </w:rPr>
        <w:t xml:space="preserve">أورد شعره فی (گلشن- ص 82).</w:t>
      </w:r>
    </w:p>
    <w:p>
      <w:pPr>
        <w:pStyle w:val="Heading3"/>
      </w:pPr>
      <w:bookmarkStart w:id="2614" w:name="_Toc1310"/>
      <w:r>
        <w:t>1064- دیوان تذروی قزوینی‏</w:t>
      </w:r>
      <w:bookmarkEnd w:id="2614"/>
    </w:p>
    <w:p>
      <w:pPr>
        <w:pStyle w:val="BookText"/>
      </w:pPr>
      <w:r>
        <w:rPr>
          <w:rFonts w:ascii="IRNazanin" w:hAnsi="IRNazanin" w:eastAsia="IRNazanin" w:cs="IRNazanin"/>
          <w:lang w:bidi="fa-IR"/>
          <w:color w:val="111111"/>
          <w:sz w:val="28"/>
          <w:szCs w:val="28"/>
          <w:rtl/>
        </w:rPr>
        <w:t xml:space="preserve">هو ابن أخت نرگسی أبهری. ذهب إلی إستانبول و تقرب عند سلطانها، ثم سافر إلی الهند و تقرب عند أکبر شاه و قتل بید السراق فی (975) و دفن بأکبرآباد. له جواب ده‏نامه ابن عماد و مثنوی حسن یوسف و دیوانه معروف بالهند. ترجمه فی (تش- ص 223) و (گلشن- ص 83).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68" w:name="pg11704_121645"/>
    <w:bookmarkEnd w:id="168"/>
    <w:p>
      <w:pPr>
        <w:pStyle w:val="Heading3"/>
      </w:pPr>
      <w:bookmarkStart w:id="2615" w:name="_Toc1311"/>
      <w:r>
        <w:t>1065- دیوان تذهیبی أصفهانی أو شعره‏</w:t>
      </w:r>
      <w:bookmarkEnd w:id="2615"/>
    </w:p>
    <w:p>
      <w:pPr>
        <w:pStyle w:val="BookText"/>
      </w:pPr>
      <w:r>
        <w:rPr>
          <w:rFonts w:ascii="IRNazanin" w:hAnsi="IRNazanin" w:eastAsia="IRNazanin" w:cs="IRNazanin"/>
          <w:lang w:bidi="fa-IR"/>
          <w:color w:val="111111"/>
          <w:sz w:val="28"/>
          <w:szCs w:val="28"/>
          <w:rtl/>
        </w:rPr>
        <w:t xml:space="preserve">ذو الصنائع البدیعة فی التذهیب. لاقاه صادقی کتاب دار بأصفهان و ترجمه فی (خص 8- ص 239).</w:t>
      </w:r>
    </w:p>
    <w:p>
      <w:pPr>
        <w:pStyle w:val="Heading3"/>
      </w:pPr>
      <w:bookmarkStart w:id="2616" w:name="_Toc1312"/>
      <w:r>
        <w:t>1066- دیوان ترابا أصفهانی أو شعره‏</w:t>
      </w:r>
      <w:bookmarkEnd w:id="2616"/>
    </w:p>
    <w:p>
      <w:pPr>
        <w:pStyle w:val="BookText"/>
      </w:pPr>
      <w:r>
        <w:rPr>
          <w:rFonts w:ascii="IRNazanin" w:hAnsi="IRNazanin" w:eastAsia="IRNazanin" w:cs="IRNazanin"/>
          <w:lang w:bidi="fa-IR"/>
          <w:color w:val="111111"/>
          <w:sz w:val="28"/>
          <w:szCs w:val="28"/>
          <w:rtl/>
        </w:rPr>
        <w:t xml:space="preserve">و هو أبو تراب الخطاط الشاعر تلمیذ ملا فائضی ثم میر عماد، الخطاطین الشهیرین و أستاذ جمع من الخطاطین المعاریف. کان یتتبع القدماء فی شعره. رثی میر عماد عند قتله. و مات هو بأصفهان فی (1072) و دفن بمسجد لنبان بأصفهان. و له ولد خطاط اسمه نور الدین محمد. ترجمه فی (نر 7- ص 208) و (نمونه خطوط خوش نستعلیق) للدکتور بیانی.</w:t>
      </w:r>
    </w:p>
    <w:p>
      <w:pPr>
        <w:pStyle w:val="Heading3"/>
      </w:pPr>
      <w:bookmarkStart w:id="2617" w:name="_Toc1313"/>
      <w:r>
        <w:t>1067- دیوان تراب أصفهانی أو شعره‏</w:t>
      </w:r>
      <w:bookmarkEnd w:id="2617"/>
    </w:p>
    <w:p>
      <w:pPr>
        <w:pStyle w:val="BookText"/>
      </w:pPr>
      <w:r>
        <w:rPr>
          <w:rFonts w:ascii="IRNazanin" w:hAnsi="IRNazanin" w:eastAsia="IRNazanin" w:cs="IRNazanin"/>
          <w:lang w:bidi="fa-IR"/>
          <w:color w:val="111111"/>
          <w:sz w:val="28"/>
          <w:szCs w:val="28"/>
          <w:rtl/>
        </w:rPr>
        <w:t xml:space="preserve">و هو المیرزا أبو تراب بن محمد طاهر الأصفهانی توفی (1143) کما فی (تغ- ص 32).</w:t>
      </w:r>
    </w:p>
    <w:p>
      <w:pPr>
        <w:pStyle w:val="Heading3"/>
      </w:pPr>
      <w:bookmarkStart w:id="2618" w:name="_Toc1314"/>
      <w:r>
        <w:t>1068- دیوان تراب کاشی‏</w:t>
      </w:r>
      <w:bookmarkEnd w:id="2618"/>
    </w:p>
    <w:p>
      <w:pPr>
        <w:pStyle w:val="BookText"/>
      </w:pPr>
      <w:r>
        <w:rPr>
          <w:rFonts w:ascii="IRNazanin" w:hAnsi="IRNazanin" w:eastAsia="IRNazanin" w:cs="IRNazanin"/>
          <w:lang w:bidi="fa-IR"/>
          <w:color w:val="111111"/>
          <w:sz w:val="28"/>
          <w:szCs w:val="28"/>
          <w:rtl/>
        </w:rPr>
        <w:t xml:space="preserve">طبع دیوان قصائده فی (198 ص).</w:t>
      </w:r>
    </w:p>
    <w:p>
      <w:pPr>
        <w:pStyle w:val="Heading3"/>
      </w:pPr>
      <w:bookmarkStart w:id="2619" w:name="_Toc1315"/>
      <w:r>
        <w:t>1069- دیوان ترابی پانی‏پتی أو شعره‏</w:t>
      </w:r>
      <w:bookmarkEnd w:id="2619"/>
    </w:p>
    <w:p>
      <w:pPr>
        <w:pStyle w:val="BookText"/>
      </w:pPr>
      <w:r>
        <w:rPr>
          <w:rFonts w:ascii="IRNazanin" w:hAnsi="IRNazanin" w:eastAsia="IRNazanin" w:cs="IRNazanin"/>
          <w:lang w:bidi="fa-IR"/>
          <w:color w:val="111111"/>
          <w:sz w:val="28"/>
          <w:szCs w:val="28"/>
          <w:rtl/>
        </w:rPr>
        <w:t xml:space="preserve">أورد شعره فی (گلشن- ص 84).</w:t>
      </w:r>
    </w:p>
    <w:p>
      <w:pPr>
        <w:pStyle w:val="Heading3"/>
      </w:pPr>
      <w:bookmarkStart w:id="2620" w:name="_Toc1316"/>
      <w:r>
        <w:t>1070- دیوان ترابی بلخی أو شعره‏</w:t>
      </w:r>
      <w:bookmarkEnd w:id="2620"/>
    </w:p>
    <w:p>
      <w:pPr>
        <w:pStyle w:val="BookText"/>
      </w:pPr>
      <w:r>
        <w:rPr>
          <w:rFonts w:ascii="IRNazanin" w:hAnsi="IRNazanin" w:eastAsia="IRNazanin" w:cs="IRNazanin"/>
          <w:lang w:bidi="fa-IR"/>
          <w:color w:val="111111"/>
          <w:sz w:val="28"/>
          <w:szCs w:val="28"/>
          <w:rtl/>
        </w:rPr>
        <w:t xml:space="preserve">کان معتکفا بمزار الإمام علی علیه السلام  ببلخ مدة عمره. و مدح إمام قلی خان. کذا فی (نر 10- ص 440) و (تغ- ص 32) و سماه فی (گلشن 84) ترابی هروی.</w:t>
      </w:r>
    </w:p>
    <w:p>
      <w:pPr>
        <w:pStyle w:val="Heading3"/>
      </w:pPr>
      <w:bookmarkStart w:id="2621" w:name="_Toc1317"/>
      <w:r>
        <w:t>1071- دیوان ترخانی أو شعره‏</w:t>
      </w:r>
      <w:bookmarkEnd w:id="2621"/>
    </w:p>
    <w:p>
      <w:pPr>
        <w:pStyle w:val="BookText"/>
      </w:pPr>
      <w:r>
        <w:rPr>
          <w:rFonts w:ascii="IRNazanin" w:hAnsi="IRNazanin" w:eastAsia="IRNazanin" w:cs="IRNazanin"/>
          <w:lang w:bidi="fa-IR"/>
          <w:color w:val="111111"/>
          <w:sz w:val="28"/>
          <w:szCs w:val="28"/>
          <w:rtl/>
        </w:rPr>
        <w:t xml:space="preserve">من بلدة (اندخود) أورد شعره الفارسی و الترکی فی (مجن 2- ص 41 و 214).</w:t>
      </w:r>
    </w:p>
    <w:p>
      <w:pPr>
        <w:pStyle w:val="Heading3"/>
      </w:pPr>
      <w:bookmarkStart w:id="2622" w:name="_Toc1318"/>
      <w:r>
        <w:t>1072- دیوان ترکمان شیرازی أو شعره‏</w:t>
      </w:r>
      <w:bookmarkEnd w:id="2622"/>
    </w:p>
    <w:p>
      <w:pPr>
        <w:pStyle w:val="BookText"/>
      </w:pPr>
      <w:r>
        <w:rPr>
          <w:rFonts w:ascii="IRNazanin" w:hAnsi="IRNazanin" w:eastAsia="IRNazanin" w:cs="IRNazanin"/>
          <w:lang w:bidi="fa-IR"/>
          <w:color w:val="111111"/>
          <w:sz w:val="28"/>
          <w:szCs w:val="28"/>
          <w:rtl/>
        </w:rPr>
        <w:t xml:space="preserve">و اسمه أعجم قلی. أصله من شیراز ولد بالهند. أطری شعره فی (مرآة الخیال. ص 256).</w:t>
      </w:r>
    </w:p>
    <w:p>
      <w:pPr>
        <w:pStyle w:val="Heading3"/>
      </w:pPr>
      <w:bookmarkStart w:id="2623" w:name="_Toc1319"/>
      <w:r>
        <w:t>1073- دیوان ترکی شیرازی‏</w:t>
      </w:r>
      <w:bookmarkEnd w:id="2623"/>
    </w:p>
    <w:p>
      <w:pPr>
        <w:pStyle w:val="BookText"/>
      </w:pPr>
      <w:r>
        <w:rPr>
          <w:rFonts w:ascii="IRNazanin" w:hAnsi="IRNazanin" w:eastAsia="IRNazanin" w:cs="IRNazanin"/>
          <w:lang w:bidi="fa-IR"/>
          <w:color w:val="111111"/>
          <w:sz w:val="28"/>
          <w:szCs w:val="28"/>
          <w:rtl/>
        </w:rPr>
        <w:t xml:space="preserve">هو محمد حسین الملقب آغولی. ترجمه فی آثار العجم- ص 548 و 531). و دیوانه فی جزءین أولهما حدیقة البکاء فی المراثی و الثانی لاله‏زار فی الغزل. طبعا فی مجلد واحد بمبئی فی (1314) و له کتاب السفرة فی ذم الریاء مثنوی فی ذم مجالس الطعام الذی کان یقیمه الأغنیاء باسم عزاء الحسین. طبع فی بمبئی (1309) فی (48 ص).</w:t>
      </w:r>
    </w:p>
    <w:p>
      <w:pPr>
        <w:pStyle w:val="Heading3"/>
      </w:pPr>
      <w:bookmarkStart w:id="2624" w:name="_Toc1320"/>
      <w:r>
        <w:t>دیوان ترکی همدانی أو شعره‏</w:t>
      </w:r>
      <w:bookmarkEnd w:id="2624"/>
    </w:p>
    <w:p>
      <w:pPr>
        <w:pStyle w:val="BookText"/>
      </w:pPr>
      <w:r>
        <w:rPr>
          <w:rFonts w:ascii="IRNazanin" w:hAnsi="IRNazanin" w:eastAsia="IRNazanin" w:cs="IRNazanin"/>
          <w:lang w:bidi="fa-IR"/>
          <w:color w:val="111111"/>
          <w:sz w:val="28"/>
          <w:szCs w:val="28"/>
          <w:rtl/>
        </w:rPr>
        <w:t xml:space="preserve">أورد شعره فی (روشن- ص 130). و أظنه الشیرازی.</w:t>
      </w:r>
    </w:p>
    <w:p>
      <w:pPr>
        <w:pStyle w:val="Heading3"/>
      </w:pPr>
      <w:bookmarkStart w:id="2625" w:name="_Toc1321"/>
      <w:r>
        <w:t>1074- دیوان ترمذی بلگرامی أو شعره‏</w:t>
      </w:r>
      <w:bookmarkEnd w:id="2625"/>
    </w:p>
    <w:p>
      <w:pPr>
        <w:pStyle w:val="BookText"/>
      </w:pPr>
      <w:r>
        <w:rPr>
          <w:rFonts w:ascii="IRNazanin" w:hAnsi="IRNazanin" w:eastAsia="IRNazanin" w:cs="IRNazanin"/>
          <w:lang w:bidi="fa-IR"/>
          <w:color w:val="111111"/>
          <w:sz w:val="28"/>
          <w:szCs w:val="28"/>
          <w:rtl/>
        </w:rPr>
        <w:t xml:space="preserve">و اسمه محمد تقی بن علی رضا من الشعراء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69" w:name="pg11704_121646"/>
    <w:bookmarkEnd w:id="169"/>
    <w:p>
      <w:pPr>
        <w:pStyle w:val="BookText"/>
      </w:pPr>
      <w:r>
        <w:rPr>
          <w:rFonts w:ascii="IRNazanin" w:hAnsi="IRNazanin" w:eastAsia="IRNazanin" w:cs="IRNazanin"/>
          <w:lang w:bidi="fa-IR"/>
          <w:color w:val="111111"/>
          <w:sz w:val="28"/>
          <w:szCs w:val="28"/>
          <w:rtl/>
        </w:rPr>
        <w:t xml:space="preserve">السادات هناک. ولد (1160) أورد شعره فی (گلشن- ص 84).</w:t>
      </w:r>
    </w:p>
    <w:p>
      <w:pPr>
        <w:pStyle w:val="Heading3"/>
      </w:pPr>
      <w:bookmarkStart w:id="2626" w:name="_Toc1322"/>
      <w:r>
        <w:t>1075- دیوان تزریقی أردبیلی أو شعره‏</w:t>
      </w:r>
      <w:bookmarkEnd w:id="2626"/>
    </w:p>
    <w:p>
      <w:pPr>
        <w:pStyle w:val="BookText"/>
      </w:pPr>
      <w:r>
        <w:rPr>
          <w:rFonts w:ascii="IRNazanin" w:hAnsi="IRNazanin" w:eastAsia="IRNazanin" w:cs="IRNazanin"/>
          <w:lang w:bidi="fa-IR"/>
          <w:color w:val="111111"/>
          <w:sz w:val="28"/>
          <w:szCs w:val="28"/>
          <w:rtl/>
        </w:rPr>
        <w:t xml:space="preserve">من شعراء بیاجند و کان دلالا ببلدة شماخی، ماهرا فی الشعر الهزلی. أطری شعره فی (تس 5- ص 168 و تس 7- 189). و تزریق من الصنائع البدیعیة فی الشعر الفارسی، اشتهر فی العهد الصفوی. قال طرزی الشاعر فیه:</w:t>
      </w:r>
    </w:p>
    <w:p>
      <w:pPr>
        <w:pStyle w:val="BookText"/>
      </w:pPr>
      <w:r>
        <w:rPr>
          <w:rFonts w:ascii="IRNazanin" w:hAnsi="IRNazanin" w:eastAsia="IRNazanin" w:cs="IRNazanin"/>
          <w:lang w:bidi="fa-IR"/>
          <w:color w:val="111111"/>
          <w:sz w:val="28"/>
          <w:szCs w:val="28"/>
          <w:rtl/>
        </w:rPr>
        <w:t xml:space="preserve">بطرز طرز طرزی، طرز طرزیدن نه تزریق است‏</w:t>
      </w:r>
    </w:p>
    <w:p>
      <w:pPr>
        <w:pStyle w:val="BookText"/>
      </w:pPr>
      <w:r>
        <w:rPr>
          <w:rFonts w:ascii="IRNazanin" w:hAnsi="IRNazanin" w:eastAsia="IRNazanin" w:cs="IRNazanin"/>
          <w:lang w:bidi="fa-IR"/>
          <w:color w:val="111111"/>
          <w:sz w:val="28"/>
          <w:szCs w:val="28"/>
          <w:rtl/>
        </w:rPr>
        <w:t xml:space="preserve">که طرزیدن بطرز طرز طرزی محض تزریق است‏</w:t>
      </w:r>
    </w:p>
    <w:p>
      <w:pPr>
        <w:pStyle w:val="Heading3"/>
      </w:pPr>
      <w:bookmarkStart w:id="2627" w:name="_Toc1323"/>
      <w:r>
        <w:t>1076- دیوان تسکین تبریزی أو شعره‏</w:t>
      </w:r>
      <w:bookmarkEnd w:id="2627"/>
    </w:p>
    <w:p>
      <w:pPr>
        <w:pStyle w:val="BookText"/>
      </w:pPr>
      <w:r>
        <w:rPr>
          <w:rFonts w:ascii="IRNazanin" w:hAnsi="IRNazanin" w:eastAsia="IRNazanin" w:cs="IRNazanin"/>
          <w:lang w:bidi="fa-IR"/>
          <w:color w:val="111111"/>
          <w:sz w:val="28"/>
          <w:szCs w:val="28"/>
          <w:rtl/>
        </w:rPr>
        <w:t xml:space="preserve">و اسمه المیرزا فتح علی أخوه داراب بیک جویا و ثالثها گویا سکنوا کشمیر فی عهد عالمگیر (1118- 1068). ترجمه فی (دجا- ص 87) عن سفینه خوش‏گو و سماه فی (روشن- ص 33) تسلیم کشمیری.</w:t>
      </w:r>
    </w:p>
    <w:p>
      <w:pPr>
        <w:pStyle w:val="Heading3"/>
      </w:pPr>
      <w:bookmarkStart w:id="2628" w:name="_Toc1324"/>
      <w:r>
        <w:t>1077- دیوان تسکین دهلوی أو شعره‏</w:t>
      </w:r>
      <w:bookmarkEnd w:id="2628"/>
    </w:p>
    <w:p>
      <w:pPr>
        <w:pStyle w:val="BookText"/>
      </w:pPr>
      <w:r>
        <w:rPr>
          <w:rFonts w:ascii="IRNazanin" w:hAnsi="IRNazanin" w:eastAsia="IRNazanin" w:cs="IRNazanin"/>
          <w:lang w:bidi="fa-IR"/>
          <w:color w:val="111111"/>
          <w:sz w:val="28"/>
          <w:szCs w:val="28"/>
          <w:rtl/>
        </w:rPr>
        <w:t xml:space="preserve">و هو میرزا باقر. أورد شعره (روشن- ص 130).</w:t>
      </w:r>
    </w:p>
    <w:p>
      <w:pPr>
        <w:pStyle w:val="Heading3"/>
      </w:pPr>
      <w:bookmarkStart w:id="2629" w:name="_Toc1325"/>
      <w:r>
        <w:t>1078- دیوان تسلی أسترآبادی أو شعره‏</w:t>
      </w:r>
      <w:bookmarkEnd w:id="2629"/>
    </w:p>
    <w:p>
      <w:pPr>
        <w:pStyle w:val="BookText"/>
      </w:pPr>
      <w:r>
        <w:rPr>
          <w:rFonts w:ascii="IRNazanin" w:hAnsi="IRNazanin" w:eastAsia="IRNazanin" w:cs="IRNazanin"/>
          <w:lang w:bidi="fa-IR"/>
          <w:color w:val="111111"/>
          <w:sz w:val="28"/>
          <w:szCs w:val="28"/>
          <w:rtl/>
        </w:rPr>
        <w:t xml:space="preserve">و هو المیر معصوم بن محمد أمین المعروف بمیر حی الأسترآبادی. سافر والده میر حی إلی الهند و رجع و استأجر قمارخانه مشهد لسعة کان فی مشربه. و أما الولد فسافر إلی الهند أیضا و له مهارة فی الشعر و الرمل و ألف رسالة فیه. أورد شعره فی (نر 9- ص 402) و (گلشن- ص 85).</w:t>
      </w:r>
    </w:p>
    <w:p>
      <w:pPr>
        <w:pStyle w:val="Heading3"/>
      </w:pPr>
      <w:bookmarkStart w:id="2630" w:name="_Toc1326"/>
      <w:r>
        <w:t>1079- دیوان تسلی أصفهانی أو شعره‏</w:t>
      </w:r>
      <w:bookmarkEnd w:id="2630"/>
    </w:p>
    <w:p>
      <w:pPr>
        <w:pStyle w:val="BookText"/>
      </w:pPr>
      <w:r>
        <w:rPr>
          <w:rFonts w:ascii="IRNazanin" w:hAnsi="IRNazanin" w:eastAsia="IRNazanin" w:cs="IRNazanin"/>
          <w:lang w:bidi="fa-IR"/>
          <w:color w:val="111111"/>
          <w:sz w:val="28"/>
          <w:szCs w:val="28"/>
          <w:rtl/>
        </w:rPr>
        <w:t xml:space="preserve">من أحفاد أوحد الدین الحسینی البلیانی، ساح البلاد و جاء الهند و رجع و سکن کاشان. أورد شعره فی (روشن- ص 131).</w:t>
      </w:r>
    </w:p>
    <w:p>
      <w:pPr>
        <w:pStyle w:val="Heading3"/>
      </w:pPr>
      <w:bookmarkStart w:id="2631" w:name="_Toc1327"/>
      <w:r>
        <w:t>1080- دیوان تسلی شیرازی أو شعره‏</w:t>
      </w:r>
      <w:bookmarkEnd w:id="2631"/>
    </w:p>
    <w:p>
      <w:pPr>
        <w:pStyle w:val="BookText"/>
      </w:pPr>
      <w:r>
        <w:rPr>
          <w:rFonts w:ascii="IRNazanin" w:hAnsi="IRNazanin" w:eastAsia="IRNazanin" w:cs="IRNazanin"/>
          <w:lang w:bidi="fa-IR"/>
          <w:color w:val="111111"/>
          <w:sz w:val="28"/>
          <w:szCs w:val="28"/>
          <w:rtl/>
        </w:rPr>
        <w:t xml:space="preserve">و هو أبو الحسن بن المیرزا جعفر من سادات شیراز المعروفین بدستغیب. کان تولیة مزار الإمام‏زادة محمد بید آبائه. تلمذ بشیراز علی المیر أبی الولی و فی أصفهان کان عند الحکیم هدایت، طبیب البلاط، و سافر إلی العراق و حج مع الحکیم صدر الدین الإلهی. ترجمه و أورد شعره فی (نر 6- ص 187) و (گلشن- ص 85). و سماه فی (تغ- ص 34) محمد إبراهیم و قال کان مرید ملا قاسم و معاصر أبو الفضل الفیضی و مسیح الزمان الإلهی، و تلمیذ فهمی.</w:t>
      </w:r>
    </w:p>
    <w:p>
      <w:pPr>
        <w:pStyle w:val="Heading3"/>
      </w:pPr>
      <w:bookmarkStart w:id="2632" w:name="_Toc1328"/>
      <w:r>
        <w:t>1081- دیوان تسلیم أصفهانی‏</w:t>
      </w:r>
      <w:bookmarkEnd w:id="2632"/>
    </w:p>
    <w:p>
      <w:pPr>
        <w:pStyle w:val="BookText"/>
      </w:pPr>
      <w:r>
        <w:rPr>
          <w:rFonts w:ascii="IRNazanin" w:hAnsi="IRNazanin" w:eastAsia="IRNazanin" w:cs="IRNazanin"/>
          <w:lang w:bidi="fa-IR"/>
          <w:color w:val="111111"/>
          <w:sz w:val="28"/>
          <w:szCs w:val="28"/>
          <w:rtl/>
        </w:rPr>
        <w:t xml:space="preserve">و اسمه حسن صدر الأفاضل. ترجمه فی المآثر (ص 225) و قال کان أدیبا شاعرا. له رسالة صبح صادق و أورد معاصره هدایت فی (ض- ص 427) بعض شعره من دیوانه البالغ إلی خمسة آلاف بیت.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70" w:name="pg11704_121647"/>
    <w:bookmarkEnd w:id="170"/>
    <w:p>
      <w:pPr>
        <w:pStyle w:val="Heading3"/>
      </w:pPr>
      <w:bookmarkStart w:id="2633" w:name="_Toc1329"/>
      <w:r>
        <w:t>1082- دیوان تسلیم أصفهانی‏</w:t>
      </w:r>
      <w:bookmarkEnd w:id="2633"/>
    </w:p>
    <w:p>
      <w:pPr>
        <w:pStyle w:val="BookText"/>
      </w:pPr>
      <w:r>
        <w:rPr>
          <w:rFonts w:ascii="IRNazanin" w:hAnsi="IRNazanin" w:eastAsia="IRNazanin" w:cs="IRNazanin"/>
          <w:lang w:bidi="fa-IR"/>
          <w:color w:val="111111"/>
          <w:sz w:val="28"/>
          <w:szCs w:val="28"/>
          <w:rtl/>
        </w:rPr>
        <w:t xml:space="preserve">و هو المیرزا زین العابدین بن المیرزا معین الدین وزیر بکتاش خان حاکم بغداد. کان هو منشیا لمحمد زمان حاکم کوه‏کیلویه. أورد شعره من دیوانه فی (نر 4- ص 93) و (گلشن- ص 86) و (روشن- ص 132) أول الدیوان:</w:t>
      </w:r>
    </w:p>
    <w:p>
      <w:pPr>
        <w:pStyle w:val="BookText"/>
      </w:pPr>
      <w:r>
        <w:rPr>
          <w:rFonts w:ascii="IRNazanin" w:hAnsi="IRNazanin" w:eastAsia="IRNazanin" w:cs="IRNazanin"/>
          <w:lang w:bidi="fa-IR"/>
          <w:color w:val="111111"/>
          <w:sz w:val="28"/>
          <w:szCs w:val="28"/>
          <w:rtl/>
        </w:rPr>
        <w:t xml:space="preserve">به نامش می‏کنم أول رقم منشور دیوان را</w:t>
      </w:r>
    </w:p>
    <w:p>
      <w:pPr>
        <w:pStyle w:val="BookText"/>
      </w:pPr>
      <w:r>
        <w:rPr>
          <w:rFonts w:ascii="IRNazanin" w:hAnsi="IRNazanin" w:eastAsia="IRNazanin" w:cs="IRNazanin"/>
          <w:lang w:bidi="fa-IR"/>
          <w:color w:val="111111"/>
          <w:sz w:val="28"/>
          <w:szCs w:val="28"/>
          <w:rtl/>
        </w:rPr>
        <w:t xml:space="preserve">چه تاج شمع زرین می‏کنم طغرای عنوان را</w:t>
      </w:r>
    </w:p>
    <w:p>
      <w:pPr>
        <w:pStyle w:val="Heading3"/>
      </w:pPr>
      <w:bookmarkStart w:id="2634" w:name="_Toc1330"/>
      <w:r>
        <w:t>1083- دیوان تسلیم خراسانی أو شعره‏</w:t>
      </w:r>
      <w:bookmarkEnd w:id="2634"/>
    </w:p>
    <w:p>
      <w:pPr>
        <w:pStyle w:val="BookText"/>
      </w:pPr>
      <w:r>
        <w:rPr>
          <w:rFonts w:ascii="IRNazanin" w:hAnsi="IRNazanin" w:eastAsia="IRNazanin" w:cs="IRNazanin"/>
          <w:lang w:bidi="fa-IR"/>
          <w:color w:val="111111"/>
          <w:sz w:val="28"/>
          <w:szCs w:val="28"/>
          <w:rtl/>
        </w:rPr>
        <w:t xml:space="preserve">و اسمه شاه رضا کان مریدا لمیرزا حسین السبزواری و سکن فی مزاره بکشمیر. أورد شعره فی (نر 9- ص 401).</w:t>
      </w:r>
    </w:p>
    <w:p>
      <w:pPr>
        <w:pStyle w:val="Heading3"/>
      </w:pPr>
      <w:bookmarkStart w:id="2635" w:name="_Toc1331"/>
      <w:r>
        <w:t>1084- دیوان تسلیم سندی أو شعره‏</w:t>
      </w:r>
      <w:bookmarkEnd w:id="2635"/>
    </w:p>
    <w:p>
      <w:pPr>
        <w:pStyle w:val="BookText"/>
      </w:pPr>
      <w:r>
        <w:rPr>
          <w:rFonts w:ascii="IRNazanin" w:hAnsi="IRNazanin" w:eastAsia="IRNazanin" w:cs="IRNazanin"/>
          <w:lang w:bidi="fa-IR"/>
          <w:color w:val="111111"/>
          <w:sz w:val="28"/>
          <w:szCs w:val="28"/>
          <w:rtl/>
        </w:rPr>
        <w:t xml:space="preserve">و هو المولی معین الدین الملقب بدل. أورد مطائباته مع محمد عطاء تعظیم فی (روشن- ص 132).</w:t>
      </w:r>
    </w:p>
    <w:p>
      <w:pPr>
        <w:pStyle w:val="Heading3"/>
      </w:pPr>
      <w:bookmarkStart w:id="2636" w:name="_Toc1332"/>
      <w:r>
        <w:t>1085- دیوان تسلیم سهسوانی‏</w:t>
      </w:r>
      <w:bookmarkEnd w:id="2636"/>
    </w:p>
    <w:p>
      <w:pPr>
        <w:pStyle w:val="BookText"/>
      </w:pPr>
      <w:r>
        <w:rPr>
          <w:rFonts w:ascii="IRNazanin" w:hAnsi="IRNazanin" w:eastAsia="IRNazanin" w:cs="IRNazanin"/>
          <w:lang w:bidi="fa-IR"/>
          <w:color w:val="111111"/>
          <w:sz w:val="28"/>
          <w:szCs w:val="28"/>
          <w:rtl/>
        </w:rPr>
        <w:t xml:space="preserve">و هو محمد أنوار حسین. له تاج المدائح فی مدائح کلب علی خان بهادر حاکم رامپور. أورد منها فی (روشن- ص 133).</w:t>
      </w:r>
    </w:p>
    <w:p>
      <w:pPr>
        <w:pStyle w:val="Heading3"/>
      </w:pPr>
      <w:bookmarkStart w:id="2637" w:name="_Toc1333"/>
      <w:r>
        <w:t>1086- دیوان تسلیم شیرازی أو شعره‏</w:t>
      </w:r>
      <w:bookmarkEnd w:id="2637"/>
    </w:p>
    <w:p>
      <w:pPr>
        <w:pStyle w:val="BookText"/>
      </w:pPr>
      <w:r>
        <w:rPr>
          <w:rFonts w:ascii="IRNazanin" w:hAnsi="IRNazanin" w:eastAsia="IRNazanin" w:cs="IRNazanin"/>
          <w:lang w:bidi="fa-IR"/>
          <w:color w:val="111111"/>
          <w:sz w:val="28"/>
          <w:szCs w:val="28"/>
          <w:rtl/>
        </w:rPr>
        <w:t xml:space="preserve">و اسمه محمد هاشم. سافر إلی الهند فی عهد أکبر پادشاه، کما فی (گلشن- ص 85) و عنه فی قاموس الأعلام الترکیة و عنه فی ریحانة الأدب.</w:t>
      </w:r>
    </w:p>
    <w:p>
      <w:pPr>
        <w:pStyle w:val="Heading3"/>
      </w:pPr>
      <w:bookmarkStart w:id="2638" w:name="_Toc1334"/>
      <w:r>
        <w:t>1087- دیوان تسلیم شیرازی أو شعره‏</w:t>
      </w:r>
      <w:bookmarkEnd w:id="2638"/>
    </w:p>
    <w:p>
      <w:pPr>
        <w:pStyle w:val="BookText"/>
      </w:pPr>
      <w:r>
        <w:rPr>
          <w:rFonts w:ascii="IRNazanin" w:hAnsi="IRNazanin" w:eastAsia="IRNazanin" w:cs="IRNazanin"/>
          <w:lang w:bidi="fa-IR"/>
          <w:color w:val="111111"/>
          <w:sz w:val="28"/>
          <w:szCs w:val="28"/>
          <w:rtl/>
        </w:rPr>
        <w:t xml:space="preserve">و اسمه محمد طاهر الصحاف. أورد شعره فی (گلشن- ص 85).</w:t>
      </w:r>
    </w:p>
    <w:p>
      <w:pPr>
        <w:pStyle w:val="Heading3"/>
      </w:pPr>
      <w:bookmarkStart w:id="2639" w:name="_Toc1335"/>
      <w:r>
        <w:t>دیوان تسلیم کاشانی أو شعره‏</w:t>
      </w:r>
      <w:bookmarkEnd w:id="2639"/>
    </w:p>
    <w:p>
      <w:pPr>
        <w:pStyle w:val="BookText"/>
      </w:pPr>
      <w:r>
        <w:rPr>
          <w:rFonts w:ascii="IRNazanin" w:hAnsi="IRNazanin" w:eastAsia="IRNazanin" w:cs="IRNazanin"/>
          <w:lang w:bidi="fa-IR"/>
          <w:color w:val="111111"/>
          <w:sz w:val="28"/>
          <w:szCs w:val="28"/>
          <w:rtl/>
        </w:rPr>
        <w:t xml:space="preserve">و هو من سادات کاشان. أورد شعره فی (تش- ص 241) و احتمل فی (روشن- ص 133) اتحاده مع تشبیهی کاشی.</w:t>
      </w:r>
    </w:p>
    <w:p>
      <w:pPr>
        <w:pStyle w:val="Heading3"/>
      </w:pPr>
      <w:bookmarkStart w:id="2640" w:name="_Toc1336"/>
      <w:r>
        <w:t>دیوان تسلیم کشمیری‏</w:t>
      </w:r>
      <w:bookmarkEnd w:id="2640"/>
    </w:p>
    <w:p>
      <w:pPr>
        <w:pStyle w:val="BookText"/>
      </w:pPr>
      <w:r>
        <w:rPr>
          <w:rFonts w:ascii="IRNazanin" w:hAnsi="IRNazanin" w:eastAsia="IRNazanin" w:cs="IRNazanin"/>
          <w:lang w:bidi="fa-IR"/>
          <w:color w:val="111111"/>
          <w:sz w:val="28"/>
          <w:szCs w:val="28"/>
          <w:rtl/>
        </w:rPr>
        <w:t xml:space="preserve">راجع دیوان تسکین تبریزی.</w:t>
      </w:r>
    </w:p>
    <w:p>
      <w:pPr>
        <w:pStyle w:val="Heading3"/>
      </w:pPr>
      <w:bookmarkStart w:id="2641" w:name="_Toc1337"/>
      <w:r>
        <w:t>1088- دیوان تسلیم هندی‏</w:t>
      </w:r>
      <w:bookmarkEnd w:id="2641"/>
    </w:p>
    <w:p>
      <w:pPr>
        <w:pStyle w:val="BookText"/>
      </w:pPr>
      <w:r>
        <w:rPr>
          <w:rFonts w:ascii="IRNazanin" w:hAnsi="IRNazanin" w:eastAsia="IRNazanin" w:cs="IRNazanin"/>
          <w:lang w:bidi="fa-IR"/>
          <w:color w:val="111111"/>
          <w:sz w:val="28"/>
          <w:szCs w:val="28"/>
          <w:rtl/>
        </w:rPr>
        <w:t xml:space="preserve">و اسمه أمیر الله. طبع کلیات دیوانه بنولکشور.</w:t>
      </w:r>
    </w:p>
    <w:p>
      <w:pPr>
        <w:pStyle w:val="Heading3"/>
      </w:pPr>
      <w:bookmarkStart w:id="2642" w:name="_Toc1338"/>
      <w:r>
        <w:t>1089- دیوان تشبیهی کاشی‏</w:t>
      </w:r>
      <w:bookmarkEnd w:id="2642"/>
    </w:p>
    <w:p>
      <w:pPr>
        <w:pStyle w:val="BookText"/>
      </w:pPr>
      <w:r>
        <w:rPr>
          <w:rFonts w:ascii="IRNazanin" w:hAnsi="IRNazanin" w:eastAsia="IRNazanin" w:cs="IRNazanin"/>
          <w:lang w:bidi="fa-IR"/>
          <w:color w:val="111111"/>
          <w:sz w:val="28"/>
          <w:szCs w:val="28"/>
          <w:rtl/>
        </w:rPr>
        <w:t xml:space="preserve">السید میر علی أکبر مصاحب أبو الفضل الفیضی بالهند أربعین سنة. ساح البلاد و کان فی زمرة الدراویش. أورد شعره فی (خص 6- ص 99) و (تش- ص 241) و طبقات أکبری (ج 2- ص 504) و (ض- ص 78). و له دیوان کما فی (تغ- ص 32).</w:t>
      </w:r>
    </w:p>
    <w:p>
      <w:pPr>
        <w:pStyle w:val="Heading3"/>
      </w:pPr>
      <w:bookmarkStart w:id="2643" w:name="_Toc1339"/>
      <w:r>
        <w:t>1090- دیوان تشنه طهرانی‏</w:t>
      </w:r>
      <w:bookmarkEnd w:id="2643"/>
    </w:p>
    <w:p>
      <w:pPr>
        <w:pStyle w:val="BookText"/>
      </w:pPr>
      <w:r>
        <w:rPr>
          <w:rFonts w:ascii="IRNazanin" w:hAnsi="IRNazanin" w:eastAsia="IRNazanin" w:cs="IRNazanin"/>
          <w:lang w:bidi="fa-IR"/>
          <w:color w:val="111111"/>
          <w:sz w:val="28"/>
          <w:szCs w:val="28"/>
          <w:rtl/>
        </w:rPr>
        <w:t xml:space="preserve">و اسمه محمد تقی ابن أخت مهدی بیک شقاقی. ولد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71" w:name="pg11704_121648"/>
    <w:bookmarkEnd w:id="171"/>
    <w:p>
      <w:pPr>
        <w:pStyle w:val="BookText"/>
      </w:pPr>
      <w:r>
        <w:rPr>
          <w:rFonts w:ascii="IRNazanin" w:hAnsi="IRNazanin" w:eastAsia="IRNazanin" w:cs="IRNazanin"/>
          <w:lang w:bidi="fa-IR"/>
          <w:color w:val="111111"/>
          <w:sz w:val="28"/>
          <w:szCs w:val="28"/>
          <w:rtl/>
        </w:rPr>
        <w:t xml:space="preserve">بمراغة (1210). کان یشتغل بکلاه‏دوزی، و لما ذم بعض الأعاظم فر من طهران إلی کرمان ثم سافر إلی کربلاء و جرح هناک فی الفتنة، ثم رجع و مدح منوچهر خان الگرجی.</w:t>
      </w:r>
    </w:p>
    <w:p>
      <w:pPr>
        <w:pStyle w:val="BookText"/>
      </w:pPr>
      <w:r>
        <w:rPr>
          <w:rFonts w:ascii="IRNazanin" w:hAnsi="IRNazanin" w:eastAsia="IRNazanin" w:cs="IRNazanin"/>
          <w:lang w:bidi="fa-IR"/>
          <w:color w:val="111111"/>
          <w:sz w:val="28"/>
          <w:szCs w:val="28"/>
          <w:rtl/>
        </w:rPr>
        <w:t xml:space="preserve">کذا فی المدائح المعتمدیة لبهار الأصفهانی. و توفی بعد (1264) لأن فی دیوانه مدیح ناصر الدین شاه الذی جلس فی (1264) و ذکر عزل الحاج میرزا آقاسی المتوفی منفیا بالعراق (1265) توجد نسخته فی (المجلس) کما فصله ابن یوسف فی فهرسها (ج 3- ص 244).</w:t>
      </w:r>
    </w:p>
    <w:p>
      <w:pPr>
        <w:pStyle w:val="Heading3"/>
      </w:pPr>
      <w:bookmarkStart w:id="2644" w:name="_Toc1340"/>
      <w:r>
        <w:t>دیوان تصنیف أصفهانی‏</w:t>
      </w:r>
      <w:bookmarkEnd w:id="2644"/>
    </w:p>
    <w:p>
      <w:pPr>
        <w:pStyle w:val="BookText"/>
      </w:pPr>
      <w:r>
        <w:rPr>
          <w:rFonts w:ascii="IRNazanin" w:hAnsi="IRNazanin" w:eastAsia="IRNazanin" w:cs="IRNazanin"/>
          <w:lang w:bidi="fa-IR"/>
          <w:color w:val="111111"/>
          <w:sz w:val="28"/>
          <w:szCs w:val="28"/>
          <w:rtl/>
        </w:rPr>
        <w:t xml:space="preserve">و اسمه الحاج أبو طالب کان تاجرا و یعد من شعراء الشاه سلیمان الصفوی. سافر إلی الهند کما فی (تغ- ص 32). و أظنه متحدا مع تصنیفی الخوانساری.</w:t>
      </w:r>
    </w:p>
    <w:p>
      <w:pPr>
        <w:pStyle w:val="Heading3"/>
      </w:pPr>
      <w:bookmarkStart w:id="2645" w:name="_Toc1341"/>
      <w:r>
        <w:t>1091- دیوان تصنیفی خوانساری أو شعره‏</w:t>
      </w:r>
      <w:bookmarkEnd w:id="2645"/>
    </w:p>
    <w:p>
      <w:pPr>
        <w:pStyle w:val="BookText"/>
      </w:pPr>
      <w:r>
        <w:rPr>
          <w:rFonts w:ascii="IRNazanin" w:hAnsi="IRNazanin" w:eastAsia="IRNazanin" w:cs="IRNazanin"/>
          <w:lang w:bidi="fa-IR"/>
          <w:color w:val="111111"/>
          <w:sz w:val="28"/>
          <w:szCs w:val="28"/>
          <w:rtl/>
        </w:rPr>
        <w:t xml:space="preserve">اتخذ هذا التخلص الشعری لمهارته فی الموسیقی. أورد شعره فی (تش- ص 208) و عنه فی (گلشن- ص 86) راجع ما قبله.</w:t>
      </w:r>
    </w:p>
    <w:p>
      <w:pPr>
        <w:pStyle w:val="Heading3"/>
      </w:pPr>
      <w:bookmarkStart w:id="2646" w:name="_Toc1342"/>
      <w:r>
        <w:t>1092- دیوان تعظیما قمی أو شعره‏</w:t>
      </w:r>
      <w:bookmarkEnd w:id="2646"/>
    </w:p>
    <w:p>
      <w:pPr>
        <w:pStyle w:val="BookText"/>
      </w:pPr>
      <w:r>
        <w:rPr>
          <w:rFonts w:ascii="IRNazanin" w:hAnsi="IRNazanin" w:eastAsia="IRNazanin" w:cs="IRNazanin"/>
          <w:lang w:bidi="fa-IR"/>
          <w:color w:val="111111"/>
          <w:sz w:val="28"/>
          <w:szCs w:val="28"/>
          <w:rtl/>
        </w:rPr>
        <w:t xml:space="preserve">کان من تلامیذ صائب. أورد شعره فی شمع انجمن و صححه فی (گلشن- ص 86) و قال فی (تغ- 32) إنه جاء إلی الهند.</w:t>
      </w:r>
    </w:p>
    <w:p>
      <w:pPr>
        <w:pStyle w:val="Heading3"/>
      </w:pPr>
      <w:bookmarkStart w:id="2647" w:name="_Toc1343"/>
      <w:r>
        <w:t>1093- دیوان تعظیم مازندرانی‏</w:t>
      </w:r>
      <w:bookmarkEnd w:id="2647"/>
    </w:p>
    <w:p>
      <w:pPr>
        <w:pStyle w:val="BookText"/>
      </w:pPr>
      <w:r>
        <w:rPr>
          <w:rFonts w:ascii="IRNazanin" w:hAnsi="IRNazanin" w:eastAsia="IRNazanin" w:cs="IRNazanin"/>
          <w:lang w:bidi="fa-IR"/>
          <w:color w:val="111111"/>
          <w:sz w:val="28"/>
          <w:szCs w:val="28"/>
          <w:rtl/>
        </w:rPr>
        <w:t xml:space="preserve">و اسمه الملا محمد تقی مات (1100) کما فی (تغ- ص 32) قال و کان ماهرا فی النجوم و له غزلیات.</w:t>
      </w:r>
    </w:p>
    <w:p>
      <w:pPr>
        <w:pStyle w:val="Heading3"/>
      </w:pPr>
      <w:bookmarkStart w:id="2648" w:name="_Toc1344"/>
      <w:r>
        <w:t>1094- دیوان تعین کاشانی أو شعره‏</w:t>
      </w:r>
      <w:bookmarkEnd w:id="2648"/>
    </w:p>
    <w:p>
      <w:pPr>
        <w:pStyle w:val="BookText"/>
      </w:pPr>
      <w:r>
        <w:rPr>
          <w:rFonts w:ascii="IRNazanin" w:hAnsi="IRNazanin" w:eastAsia="IRNazanin" w:cs="IRNazanin"/>
          <w:lang w:bidi="fa-IR"/>
          <w:color w:val="111111"/>
          <w:sz w:val="28"/>
          <w:szCs w:val="28"/>
          <w:rtl/>
        </w:rPr>
        <w:t xml:space="preserve">و اسمه جلال. نشا بأصفهان. أورد شعره فی (گلشن- ص 86).</w:t>
      </w:r>
    </w:p>
    <w:p>
      <w:pPr>
        <w:pStyle w:val="Heading3"/>
      </w:pPr>
      <w:bookmarkStart w:id="2649" w:name="_Toc1345"/>
      <w:r>
        <w:t>دیوان تفاحی‏</w:t>
      </w:r>
      <w:bookmarkEnd w:id="2649"/>
    </w:p>
    <w:p>
      <w:pPr>
        <w:pStyle w:val="BookText"/>
      </w:pPr>
      <w:r>
        <w:rPr>
          <w:rFonts w:ascii="IRNazanin" w:hAnsi="IRNazanin" w:eastAsia="IRNazanin" w:cs="IRNazanin"/>
          <w:lang w:bidi="fa-IR"/>
          <w:color w:val="111111"/>
          <w:sz w:val="28"/>
          <w:szCs w:val="28"/>
          <w:rtl/>
        </w:rPr>
        <w:t xml:space="preserve">و هو یحیی سیبک. یأتی بتخلصه المشهور فتاحی.</w:t>
      </w:r>
    </w:p>
    <w:p>
      <w:pPr>
        <w:pStyle w:val="Heading3"/>
      </w:pPr>
      <w:bookmarkStart w:id="2650" w:name="_Toc1346"/>
      <w:r>
        <w:t>1095- دیوان تفته هندی‏</w:t>
      </w:r>
      <w:bookmarkEnd w:id="2650"/>
    </w:p>
    <w:p>
      <w:pPr>
        <w:pStyle w:val="BookText"/>
      </w:pPr>
      <w:r>
        <w:rPr>
          <w:rFonts w:ascii="IRNazanin" w:hAnsi="IRNazanin" w:eastAsia="IRNazanin" w:cs="IRNazanin"/>
          <w:lang w:bidi="fa-IR"/>
          <w:color w:val="111111"/>
          <w:sz w:val="28"/>
          <w:szCs w:val="28"/>
          <w:rtl/>
        </w:rPr>
        <w:t xml:space="preserve">من تلامیذ غالب الدهلوی. له خمسة دواوین، کل واحد حدود (13000 بیت) ترجمه فی (گلشن- ص 86).</w:t>
      </w:r>
    </w:p>
    <w:p>
      <w:pPr>
        <w:pStyle w:val="Heading3"/>
      </w:pPr>
      <w:bookmarkStart w:id="2651" w:name="_Toc1347"/>
      <w:r>
        <w:t>1096- دیوان تقیا شوشتری أو شعره‏</w:t>
      </w:r>
      <w:bookmarkEnd w:id="2651"/>
    </w:p>
    <w:p>
      <w:pPr>
        <w:pStyle w:val="BookText"/>
      </w:pPr>
      <w:r>
        <w:rPr>
          <w:rFonts w:ascii="IRNazanin" w:hAnsi="IRNazanin" w:eastAsia="IRNazanin" w:cs="IRNazanin"/>
          <w:lang w:bidi="fa-IR"/>
          <w:color w:val="111111"/>
          <w:sz w:val="28"/>
          <w:szCs w:val="28"/>
          <w:rtl/>
        </w:rPr>
        <w:t xml:space="preserve">و اسمه مؤرج خان. له کتاب فی الهیئة. توجه إلی الهند و تقرب عند أکبر پادشاه و جهانگیر و مات (1020) أورد شعره فی (گلشن- ص 88) و عنه فی قاموس الأعلام الترکیة فریحانة الأدب، و لعله الذی ترجمه نظام الدین أحمد فی قسم العلماء من طبقات أکبری (ج 2- ص 471).</w:t>
      </w:r>
    </w:p>
    <w:p>
      <w:pPr>
        <w:pStyle w:val="Heading3"/>
      </w:pPr>
      <w:bookmarkStart w:id="2652" w:name="_Toc1348"/>
      <w:r>
        <w:t>1097- دیوان تقی أدب الکرمانشاهی أو شعره‏</w:t>
      </w:r>
      <w:bookmarkEnd w:id="2652"/>
    </w:p>
    <w:p>
      <w:pPr>
        <w:pStyle w:val="BookText"/>
      </w:pPr>
      <w:r>
        <w:rPr>
          <w:rFonts w:ascii="IRNazanin" w:hAnsi="IRNazanin" w:eastAsia="IRNazanin" w:cs="IRNazanin"/>
          <w:lang w:bidi="fa-IR"/>
          <w:color w:val="111111"/>
          <w:sz w:val="28"/>
          <w:szCs w:val="28"/>
          <w:rtl/>
        </w:rPr>
        <w:t xml:space="preserve">فاتنا ذکره فی أدب ترجمه‏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72" w:name="pg11704_121649"/>
    <w:bookmarkEnd w:id="172"/>
    <w:p>
      <w:pPr>
        <w:pStyle w:val="BookText"/>
      </w:pPr>
      <w:r>
        <w:rPr>
          <w:rFonts w:ascii="IRNazanin" w:hAnsi="IRNazanin" w:eastAsia="IRNazanin" w:cs="IRNazanin"/>
          <w:lang w:bidi="fa-IR"/>
          <w:color w:val="111111"/>
          <w:sz w:val="28"/>
          <w:szCs w:val="28"/>
          <w:rtl/>
        </w:rPr>
        <w:t xml:space="preserve">بهار الأصفهانی فی المدائح و أورد قصیدته و قال: ولد بکرمانشاه و مهر فی الخط الشکستة</w:t>
      </w:r>
    </w:p>
    <w:p>
      <w:pPr>
        <w:pStyle w:val="Heading3"/>
      </w:pPr>
      <w:bookmarkStart w:id="2653" w:name="_Toc1349"/>
      <w:r>
        <w:t>1098- دیوان تقی أصفهانی أو شعره‏</w:t>
      </w:r>
      <w:bookmarkEnd w:id="2653"/>
    </w:p>
    <w:p>
      <w:pPr>
        <w:pStyle w:val="BookText"/>
      </w:pPr>
      <w:r>
        <w:rPr>
          <w:rFonts w:ascii="IRNazanin" w:hAnsi="IRNazanin" w:eastAsia="IRNazanin" w:cs="IRNazanin"/>
          <w:lang w:bidi="fa-IR"/>
          <w:color w:val="111111"/>
          <w:sz w:val="28"/>
          <w:szCs w:val="28"/>
          <w:rtl/>
        </w:rPr>
        <w:t xml:space="preserve">و اسمه محمد تقی بیک من خدام میرزا داود حفید میرزا شفیع المستوفی أورد شعره فی (نر 5- ص 146) و (گلشن- ص 88).</w:t>
      </w:r>
    </w:p>
    <w:p>
      <w:pPr>
        <w:pStyle w:val="Heading3"/>
      </w:pPr>
      <w:bookmarkStart w:id="2654" w:name="_Toc1350"/>
      <w:r>
        <w:t>1099- دیوان تقی أصفهانی أو شعره‏</w:t>
      </w:r>
      <w:bookmarkEnd w:id="2654"/>
    </w:p>
    <w:p>
      <w:pPr>
        <w:pStyle w:val="BookText"/>
      </w:pPr>
      <w:r>
        <w:rPr>
          <w:rFonts w:ascii="IRNazanin" w:hAnsi="IRNazanin" w:eastAsia="IRNazanin" w:cs="IRNazanin"/>
          <w:lang w:bidi="fa-IR"/>
          <w:color w:val="111111"/>
          <w:sz w:val="28"/>
          <w:szCs w:val="28"/>
          <w:rtl/>
        </w:rPr>
        <w:t xml:space="preserve">و اسمه آقا تقی بن آقا ملک من بیت معرف بأصفهان ترجمهم فی (نر 5- ص 130 و 131) و (تش- ص 170) و قال فی (تغ- ص 33) کان ماهرا فی الخط الشکستة. سافر فی عهد جهانگیر إلی الهند و بها مات.</w:t>
      </w:r>
    </w:p>
    <w:p>
      <w:pPr>
        <w:pStyle w:val="Heading3"/>
      </w:pPr>
      <w:bookmarkStart w:id="2655" w:name="_Toc1351"/>
      <w:r>
        <w:t>1100- دیوان تقی أصفهانی درکانی أو شعره‏</w:t>
      </w:r>
      <w:bookmarkEnd w:id="2655"/>
    </w:p>
    <w:p>
      <w:pPr>
        <w:pStyle w:val="BookText"/>
      </w:pPr>
      <w:r>
        <w:rPr>
          <w:rFonts w:ascii="IRNazanin" w:hAnsi="IRNazanin" w:eastAsia="IRNazanin" w:cs="IRNazanin"/>
          <w:lang w:bidi="fa-IR"/>
          <w:color w:val="111111"/>
          <w:sz w:val="28"/>
          <w:szCs w:val="28"/>
          <w:rtl/>
        </w:rPr>
        <w:t xml:space="preserve">سافر إلی الهند و تقرب عند إبراهیم قطب شاه وکیل الدولة ثم ذهب إلی الحج و مات فی الطریق. أورد شعره فی (تش- ص 170) و قال درکان من قری جوشقان بأصفهان.</w:t>
      </w:r>
    </w:p>
    <w:p>
      <w:pPr>
        <w:pStyle w:val="Heading3"/>
      </w:pPr>
      <w:bookmarkStart w:id="2656" w:name="_Toc1352"/>
      <w:r>
        <w:t>1101- دیوان تقی أوحدی بلیانی‏</w:t>
      </w:r>
      <w:bookmarkEnd w:id="2656"/>
    </w:p>
    <w:p>
      <w:pPr>
        <w:pStyle w:val="BookText"/>
      </w:pPr>
      <w:r>
        <w:rPr>
          <w:rFonts w:ascii="IRNazanin" w:hAnsi="IRNazanin" w:eastAsia="IRNazanin" w:cs="IRNazanin"/>
          <w:lang w:bidi="fa-IR"/>
          <w:color w:val="111111"/>
          <w:sz w:val="28"/>
          <w:szCs w:val="28"/>
          <w:rtl/>
        </w:rPr>
        <w:t xml:space="preserve">و هو تقی الدین محمد بن سعد الدین محمد الحسینی الأوحدی الدقاقی البلیانی الکازرونی الأصفهانی ولد یوم الأربعاء ثالث محرم (973) و تربی فی بلاط طهماسب الأول (930- 984) و إسماعیل الثانی (984- 985) و محمد خدابنده (985- 1003) و عباس الأول (1003- 1038) و سافر إلی الهند فی (1005) و ألف عرفات العاشقین هناک فی (1023) تذکره للشعراء فی (70000 بیت) و مات (1030) ثم لخصه و سماه عرفان و مات (1030) و هو من أحفاد أوحد الدین أبی عبد الله البلیانی الصوفی المتوفی (680) المذکور فی (النفحات- ص 243). و له سرمه سلیمانی فی لغة الفرس توجد نسخته بمکتبة (المشکاة) کما فی فهرسها لابنی (ج 2- ص 397) و له یعقوب و یوسف و کعبة مراد و دیوان مرتب کما فی (گلشن- ص 88 و 89) و عنه فی قاموس الأعلام الترکیة. و قد وقع الغلط فی نسخ التذکرة النصرآبادیة فسماه کتاب النسخ فی (ص 303) بلنبانی بدل بلیانی و لنبان من نواحی أصفهان، و اشتبه آخرون فسموه أوحدی کاشی و ظنوه متحدا مع تقی کاشی مؤلف تذکره خلاصة الأشعار الآتی. و ترجمه أیضا فی (تش- ص 298) و (تغ- ص 33).</w:t>
      </w:r>
    </w:p>
    <w:p>
      <w:pPr>
        <w:pStyle w:val="Heading3"/>
      </w:pPr>
      <w:bookmarkStart w:id="2657" w:name="_Toc1353"/>
      <w:r>
        <w:t>1102- دیوان آقا تقی الخوئی‏</w:t>
      </w:r>
      <w:bookmarkEnd w:id="2657"/>
    </w:p>
    <w:p>
      <w:pPr>
        <w:pStyle w:val="BookText"/>
      </w:pPr>
      <w:r>
        <w:rPr>
          <w:rFonts w:ascii="IRNazanin" w:hAnsi="IRNazanin" w:eastAsia="IRNazanin" w:cs="IRNazanin"/>
          <w:lang w:bidi="fa-IR"/>
          <w:color w:val="111111"/>
          <w:sz w:val="28"/>
          <w:szCs w:val="28"/>
          <w:rtl/>
        </w:rPr>
        <w:t xml:space="preserve">من العرفاء، و لقبه صمد علی شاه. ذکر السید عبد الحجة فی تذکره شمس العرفاء (ص 182) أنه ولد (1268) و له دیوان الغزلیات.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73" w:name="pg11704_121650"/>
    <w:bookmarkEnd w:id="173"/>
    <w:p>
      <w:pPr>
        <w:pStyle w:val="Heading3"/>
      </w:pPr>
      <w:bookmarkStart w:id="2658" w:name="_Toc1354"/>
      <w:r>
        <w:t>1103- دیوان تقی شوشتری أو شعره‏</w:t>
      </w:r>
      <w:bookmarkEnd w:id="2658"/>
    </w:p>
    <w:p>
      <w:pPr>
        <w:pStyle w:val="BookText"/>
      </w:pPr>
      <w:r>
        <w:rPr>
          <w:rFonts w:ascii="IRNazanin" w:hAnsi="IRNazanin" w:eastAsia="IRNazanin" w:cs="IRNazanin"/>
          <w:lang w:bidi="fa-IR"/>
          <w:color w:val="111111"/>
          <w:sz w:val="28"/>
          <w:szCs w:val="28"/>
          <w:rtl/>
        </w:rPr>
        <w:t xml:space="preserve">العالم بالمعقول و المنقول. ذهب إلی الهند و تقرب عند أکبر پادشاه. ترجمه معاصره فی قسم الشعراء من (طبقات أکبری- ج 2- ص 513) و قال فی (گلشن- ص 88) إن له نثر شاهنامه لم یتم.</w:t>
      </w:r>
    </w:p>
    <w:p>
      <w:pPr>
        <w:pStyle w:val="Heading3"/>
      </w:pPr>
      <w:bookmarkStart w:id="2659" w:name="_Toc1355"/>
      <w:r>
        <w:t>1104- دیوان تقی شیرازی أو شعره‏</w:t>
      </w:r>
      <w:bookmarkEnd w:id="2659"/>
    </w:p>
    <w:p>
      <w:pPr>
        <w:pStyle w:val="BookText"/>
      </w:pPr>
      <w:r>
        <w:rPr>
          <w:rFonts w:ascii="IRNazanin" w:hAnsi="IRNazanin" w:eastAsia="IRNazanin" w:cs="IRNazanin"/>
          <w:lang w:bidi="fa-IR"/>
          <w:color w:val="111111"/>
          <w:sz w:val="28"/>
          <w:szCs w:val="28"/>
          <w:rtl/>
        </w:rPr>
        <w:t xml:space="preserve">و هو محمد تقی بن المیرزا شفیع. کان محاسبا لوزیر جهرم لاقاه النصرآبادی فی مسجد لنبان بأصفهان فی (1089) و أورد شعره و أطرأه فی (نر 5- ص 121).</w:t>
      </w:r>
    </w:p>
    <w:p>
      <w:pPr>
        <w:pStyle w:val="Heading3"/>
      </w:pPr>
      <w:bookmarkStart w:id="2660" w:name="_Toc1356"/>
      <w:r>
        <w:t>دیوان المیرزا محمد تقی الشیرازی‏</w:t>
      </w:r>
      <w:bookmarkEnd w:id="2660"/>
    </w:p>
    <w:p>
      <w:pPr>
        <w:pStyle w:val="BookText"/>
      </w:pPr>
      <w:r>
        <w:rPr>
          <w:rFonts w:ascii="IRNazanin" w:hAnsi="IRNazanin" w:eastAsia="IRNazanin" w:cs="IRNazanin"/>
          <w:lang w:bidi="fa-IR"/>
          <w:color w:val="111111"/>
          <w:sz w:val="28"/>
          <w:szCs w:val="28"/>
          <w:rtl/>
        </w:rPr>
        <w:t xml:space="preserve">یأتی بعنوان دیوان گلشن.</w:t>
      </w:r>
    </w:p>
    <w:p>
      <w:pPr>
        <w:pStyle w:val="Heading3"/>
      </w:pPr>
      <w:bookmarkStart w:id="2661" w:name="_Toc1357"/>
      <w:r>
        <w:t>1105- دیوان تقی شیرازی أو شعره‏</w:t>
      </w:r>
      <w:bookmarkEnd w:id="2661"/>
    </w:p>
    <w:p>
      <w:pPr>
        <w:pStyle w:val="BookText"/>
      </w:pPr>
      <w:r>
        <w:rPr>
          <w:rFonts w:ascii="IRNazanin" w:hAnsi="IRNazanin" w:eastAsia="IRNazanin" w:cs="IRNazanin"/>
          <w:lang w:bidi="fa-IR"/>
          <w:color w:val="111111"/>
          <w:sz w:val="28"/>
          <w:szCs w:val="28"/>
          <w:rtl/>
        </w:rPr>
        <w:t xml:space="preserve">و اسمه ملا محمد تقی، کان ندیما لإمام قلی خان حاکم شیراز و سافر إلی أصفهان. و قد رآه النصرآبادی فترجمه فی (نر 6- ص 179).</w:t>
      </w:r>
    </w:p>
    <w:p>
      <w:pPr>
        <w:pStyle w:val="Heading3"/>
      </w:pPr>
      <w:bookmarkStart w:id="2662" w:name="_Toc1358"/>
      <w:r>
        <w:t>1106- دیوان تقی قمی‏</w:t>
      </w:r>
      <w:bookmarkEnd w:id="2662"/>
    </w:p>
    <w:p>
      <w:pPr>
        <w:pStyle w:val="BookText"/>
      </w:pPr>
      <w:r>
        <w:rPr>
          <w:rFonts w:ascii="IRNazanin" w:hAnsi="IRNazanin" w:eastAsia="IRNazanin" w:cs="IRNazanin"/>
          <w:lang w:bidi="fa-IR"/>
          <w:color w:val="111111"/>
          <w:sz w:val="28"/>
          <w:szCs w:val="28"/>
          <w:rtl/>
        </w:rPr>
        <w:t xml:space="preserve">و هو شاهمیر تقی. له مثنوی فی قبال تحفه العراقین للخاقانی، و ألف تذکره للشعراء. ترجمه الأوحدی فی تذکرته، و عنه نقل فی (تش- ص 232) و سماه فی (تغ- ص 33) بالحکیم تقی الدین. و قال فی (روشن- ص 133) إنه کان طبیبا.</w:t>
      </w:r>
    </w:p>
    <w:p>
      <w:pPr>
        <w:pStyle w:val="Heading3"/>
      </w:pPr>
      <w:bookmarkStart w:id="2663" w:name="_Toc1359"/>
      <w:r>
        <w:t>دیوان تقی قورچی‏</w:t>
      </w:r>
      <w:bookmarkEnd w:id="2663"/>
    </w:p>
    <w:p>
      <w:pPr>
        <w:pStyle w:val="BookText"/>
      </w:pPr>
      <w:r>
        <w:rPr>
          <w:rFonts w:ascii="IRNazanin" w:hAnsi="IRNazanin" w:eastAsia="IRNazanin" w:cs="IRNazanin"/>
          <w:lang w:bidi="fa-IR"/>
          <w:color w:val="111111"/>
          <w:sz w:val="28"/>
          <w:szCs w:val="28"/>
          <w:rtl/>
        </w:rPr>
        <w:t xml:space="preserve">راجع دیوان مثال.</w:t>
      </w:r>
    </w:p>
    <w:p>
      <w:pPr>
        <w:pStyle w:val="Heading3"/>
      </w:pPr>
      <w:bookmarkStart w:id="2664" w:name="_Toc1360"/>
      <w:r>
        <w:t>1107- دیوان تقی قورچی أو شعره‏</w:t>
      </w:r>
      <w:bookmarkEnd w:id="2664"/>
    </w:p>
    <w:p>
      <w:pPr>
        <w:pStyle w:val="BookText"/>
      </w:pPr>
      <w:r>
        <w:rPr>
          <w:rFonts w:ascii="IRNazanin" w:hAnsi="IRNazanin" w:eastAsia="IRNazanin" w:cs="IRNazanin"/>
          <w:lang w:bidi="fa-IR"/>
          <w:color w:val="111111"/>
          <w:sz w:val="28"/>
          <w:szCs w:val="28"/>
          <w:rtl/>
        </w:rPr>
        <w:t xml:space="preserve">حفید شاه علی المستوفی للشاه عباس الأول.</w:t>
      </w:r>
    </w:p>
    <w:p>
      <w:pPr>
        <w:pStyle w:val="BookText"/>
      </w:pPr>
      <w:r>
        <w:rPr>
          <w:rFonts w:ascii="IRNazanin" w:hAnsi="IRNazanin" w:eastAsia="IRNazanin" w:cs="IRNazanin"/>
          <w:lang w:bidi="fa-IR"/>
          <w:color w:val="111111"/>
          <w:sz w:val="28"/>
          <w:szCs w:val="28"/>
          <w:rtl/>
        </w:rPr>
        <w:t xml:space="preserve">کان خطاطا و تلمذ علی میر عماد. و نصب وزیرا للاهجان ثم لأصفهان ثم مستوفیا للقورچیة للشاه سلیمان الصفوی. أورد شعره فی (نر 4- ص 83) و (گلشن- ص 89).</w:t>
      </w:r>
    </w:p>
    <w:p>
      <w:pPr>
        <w:pStyle w:val="Heading3"/>
      </w:pPr>
      <w:bookmarkStart w:id="2665" w:name="_Toc1361"/>
      <w:r>
        <w:t>1108- دیوان تقی کاشی أو شعره‏</w:t>
      </w:r>
      <w:bookmarkEnd w:id="2665"/>
    </w:p>
    <w:p>
      <w:pPr>
        <w:pStyle w:val="BookText"/>
      </w:pPr>
      <w:r>
        <w:rPr>
          <w:rFonts w:ascii="IRNazanin" w:hAnsi="IRNazanin" w:eastAsia="IRNazanin" w:cs="IRNazanin"/>
          <w:lang w:bidi="fa-IR"/>
          <w:color w:val="111111"/>
          <w:sz w:val="28"/>
          <w:szCs w:val="28"/>
          <w:rtl/>
        </w:rPr>
        <w:t xml:space="preserve">و هو صاحب التذکرة</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الثالث من حافظ إلی فنائی. الرابع متأخری المتأخرین من جامی إلی غزالی مشهدی. و الخاتمة فی معاصریه، و هذا علی ترتیب البلدان: کاشان، أصفهان، قم، ساوه، قزوین، گیلان، تبریز، یزد، کرمان، شیراز، همدان، بغداد، ری، سمنان، أسترآباد، خراسان، و کان قد ألف مجلدا خاصا لبلاد الهند لم یذکر فهرسها فی المقدمة. و عبر عن نفسه فی المقدمة بتقی الدین محمد الحسینی الکاشانی و عن الکتاب بخلاصة الأشعار و زبدة الأفکار. و یظهر مما ذکره فی أحوال عثمان مختاری أن الکتاب کان تاما فی (989) و لکن یظهر مما ذکره فی أحوال بعض معاصریه أنه کان یزید فیه إلی (1012).</w:t>
      </w:r>
    </w:p>
    <w:p>
      <w:pPr>
        <w:pStyle w:val="BookText"/>
      </w:pPr>
      <w:r>
        <w:rPr>
          <w:rFonts w:ascii="IRNazanin" w:hAnsi="IRNazanin" w:eastAsia="IRNazanin" w:cs="IRNazanin"/>
          <w:lang w:bidi="fa-IR"/>
          <w:color w:val="111111"/>
          <w:sz w:val="28"/>
          <w:szCs w:val="28"/>
          <w:rtl/>
        </w:rPr>
        <w:t xml:space="preserve">المذکورة فی (ج 4- ص 30 و 31) و (ج 7- ص 212) توجد أشعاره الکثیرة فی تذکرته.</w:t>
      </w:r>
    </w:p>
    <w:p>
      <w:pPr>
        <w:pStyle w:val="Heading3"/>
      </w:pPr>
      <w:bookmarkStart w:id="2666" w:name="_Toc1362"/>
      <w:r>
        <w:t>دیوان تقی کاشی أو شعره‏</w:t>
      </w:r>
      <w:bookmarkEnd w:id="2666"/>
    </w:p>
    <w:p>
      <w:pPr>
        <w:pStyle w:val="BookText"/>
      </w:pPr>
      <w:r>
        <w:rPr>
          <w:rFonts w:ascii="IRNazanin" w:hAnsi="IRNazanin" w:eastAsia="IRNazanin" w:cs="IRNazanin"/>
          <w:lang w:bidi="fa-IR"/>
          <w:color w:val="111111"/>
          <w:sz w:val="28"/>
          <w:szCs w:val="28"/>
          <w:rtl/>
        </w:rPr>
        <w:t xml:space="preserve">الحافظ الموسیقار، یأتی بعنوان عندلیب کاشی و آخر بعنوان مروارید کاشی. .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74" w:name="pg11704_121651"/>
    <w:bookmarkEnd w:id="174"/>
    <w:p>
      <w:pPr>
        <w:pStyle w:val="Heading3"/>
      </w:pPr>
      <w:bookmarkStart w:id="2667" w:name="_Toc1363"/>
      <w:r>
        <w:t>1109- دیوان تقی مازندرانی أو شعره‏</w:t>
      </w:r>
      <w:bookmarkEnd w:id="2667"/>
    </w:p>
    <w:p>
      <w:pPr>
        <w:pStyle w:val="BookText"/>
      </w:pPr>
      <w:r>
        <w:rPr>
          <w:rFonts w:ascii="IRNazanin" w:hAnsi="IRNazanin" w:eastAsia="IRNazanin" w:cs="IRNazanin"/>
          <w:lang w:bidi="fa-IR"/>
          <w:color w:val="111111"/>
          <w:sz w:val="28"/>
          <w:szCs w:val="28"/>
          <w:rtl/>
        </w:rPr>
        <w:t xml:space="preserve">من أکابرها. سافر إلی حیدرآباد. ترجمه معاصره فی (نر 5- ص 120) و أورد شعره فی (گلشن- ص 89).</w:t>
      </w:r>
    </w:p>
    <w:p>
      <w:pPr>
        <w:pStyle w:val="Heading3"/>
      </w:pPr>
      <w:bookmarkStart w:id="2668" w:name="_Toc1364"/>
      <w:r>
        <w:t>1110- دیوان تقی مشهدی أو شعره‏</w:t>
      </w:r>
      <w:bookmarkEnd w:id="2668"/>
    </w:p>
    <w:p>
      <w:pPr>
        <w:pStyle w:val="BookText"/>
      </w:pPr>
      <w:r>
        <w:rPr>
          <w:rFonts w:ascii="IRNazanin" w:hAnsi="IRNazanin" w:eastAsia="IRNazanin" w:cs="IRNazanin"/>
          <w:lang w:bidi="fa-IR"/>
          <w:color w:val="111111"/>
          <w:sz w:val="28"/>
          <w:szCs w:val="28"/>
          <w:rtl/>
        </w:rPr>
        <w:t xml:space="preserve">جاء من مشهد إلی أصفهان، و تلمذ علی المیر الفندرسکی، و رجع إلی مشهد لکنه مات فی الطریق فی حیات والده. أورد شعره فی (نر 6- ص 160).</w:t>
      </w:r>
    </w:p>
    <w:p>
      <w:pPr>
        <w:pStyle w:val="Heading3"/>
      </w:pPr>
      <w:bookmarkStart w:id="2669" w:name="_Toc1365"/>
      <w:r>
        <w:t>1111- دیوان تقی نیشابوری أو شعره‏</w:t>
      </w:r>
      <w:bookmarkEnd w:id="2669"/>
    </w:p>
    <w:p>
      <w:pPr>
        <w:pStyle w:val="BookText"/>
      </w:pPr>
      <w:r>
        <w:rPr>
          <w:rFonts w:ascii="IRNazanin" w:hAnsi="IRNazanin" w:eastAsia="IRNazanin" w:cs="IRNazanin"/>
          <w:lang w:bidi="fa-IR"/>
          <w:color w:val="111111"/>
          <w:sz w:val="28"/>
          <w:szCs w:val="28"/>
          <w:rtl/>
        </w:rPr>
        <w:t xml:space="preserve">کان من أقرباء نظیری و سافر معه إلی الهند.</w:t>
      </w:r>
    </w:p>
    <w:p>
      <w:pPr>
        <w:pStyle w:val="BookText"/>
      </w:pPr>
      <w:r>
        <w:rPr>
          <w:rFonts w:ascii="IRNazanin" w:hAnsi="IRNazanin" w:eastAsia="IRNazanin" w:cs="IRNazanin"/>
          <w:lang w:bidi="fa-IR"/>
          <w:color w:val="111111"/>
          <w:sz w:val="28"/>
          <w:szCs w:val="28"/>
          <w:rtl/>
        </w:rPr>
        <w:t xml:space="preserve">ترجمه و أورد شعره فی (روشن- ص 134) و (تغ- ص 33) و لعله تائب خراسان المذکور</w:t>
      </w:r>
    </w:p>
    <w:p>
      <w:pPr>
        <w:pStyle w:val="Heading3"/>
      </w:pPr>
      <w:bookmarkStart w:id="2670" w:name="_Toc1366"/>
      <w:r>
        <w:t>1112- دیوان تقی همدانی أو شعره‏</w:t>
      </w:r>
      <w:bookmarkEnd w:id="2670"/>
    </w:p>
    <w:p>
      <w:pPr>
        <w:pStyle w:val="BookText"/>
      </w:pPr>
      <w:r>
        <w:rPr>
          <w:rFonts w:ascii="IRNazanin" w:hAnsi="IRNazanin" w:eastAsia="IRNazanin" w:cs="IRNazanin"/>
          <w:lang w:bidi="fa-IR"/>
          <w:color w:val="111111"/>
          <w:sz w:val="28"/>
          <w:szCs w:val="28"/>
          <w:rtl/>
        </w:rPr>
        <w:t xml:space="preserve">ذهب إلی الهند فی عصر جهانگیر پادشاه.</w:t>
      </w:r>
    </w:p>
    <w:p>
      <w:pPr>
        <w:pStyle w:val="BookText"/>
      </w:pPr>
      <w:r>
        <w:rPr>
          <w:rFonts w:ascii="IRNazanin" w:hAnsi="IRNazanin" w:eastAsia="IRNazanin" w:cs="IRNazanin"/>
          <w:lang w:bidi="fa-IR"/>
          <w:color w:val="111111"/>
          <w:sz w:val="28"/>
          <w:szCs w:val="28"/>
          <w:rtl/>
        </w:rPr>
        <w:t xml:space="preserve">أورد شعره فی (گلشن- ص 89).</w:t>
      </w:r>
    </w:p>
    <w:p>
      <w:pPr>
        <w:pStyle w:val="Heading3"/>
      </w:pPr>
      <w:bookmarkStart w:id="2671" w:name="_Toc1367"/>
      <w:r>
        <w:t>دیوان تکلو</w:t>
      </w:r>
      <w:bookmarkEnd w:id="2671"/>
    </w:p>
    <w:p>
      <w:pPr>
        <w:pStyle w:val="BookText"/>
      </w:pPr>
      <w:r>
        <w:rPr>
          <w:rFonts w:ascii="IRNazanin" w:hAnsi="IRNazanin" w:eastAsia="IRNazanin" w:cs="IRNazanin"/>
          <w:lang w:bidi="fa-IR"/>
          <w:color w:val="111111"/>
          <w:sz w:val="28"/>
          <w:szCs w:val="28"/>
          <w:rtl/>
        </w:rPr>
        <w:t xml:space="preserve">یأتی بعنوان شانی تکلو، و ولده حسن تکلو.</w:t>
      </w:r>
    </w:p>
    <w:p>
      <w:pPr>
        <w:pStyle w:val="Heading3"/>
      </w:pPr>
      <w:bookmarkStart w:id="2672" w:name="_Toc1368"/>
      <w:r>
        <w:t>1113- دیوان تلاش دهلوی أو شعره‏</w:t>
      </w:r>
      <w:bookmarkEnd w:id="2672"/>
    </w:p>
    <w:p>
      <w:pPr>
        <w:pStyle w:val="BookText"/>
      </w:pPr>
      <w:r>
        <w:rPr>
          <w:rFonts w:ascii="IRNazanin" w:hAnsi="IRNazanin" w:eastAsia="IRNazanin" w:cs="IRNazanin"/>
          <w:lang w:bidi="fa-IR"/>
          <w:color w:val="111111"/>
          <w:sz w:val="28"/>
          <w:szCs w:val="28"/>
          <w:rtl/>
        </w:rPr>
        <w:t xml:space="preserve">و اسمه الحافظ محمد جمال من تلامیذ بیدل.</w:t>
      </w:r>
    </w:p>
    <w:p>
      <w:pPr>
        <w:pStyle w:val="BookText"/>
      </w:pPr>
      <w:r>
        <w:rPr>
          <w:rFonts w:ascii="IRNazanin" w:hAnsi="IRNazanin" w:eastAsia="IRNazanin" w:cs="IRNazanin"/>
          <w:lang w:bidi="fa-IR"/>
          <w:color w:val="111111"/>
          <w:sz w:val="28"/>
          <w:szCs w:val="28"/>
          <w:rtl/>
        </w:rPr>
        <w:t xml:space="preserve">مات (1127) ترجمه أستاذه الآخر، محمد أفضل سرخوش فی تذکرته (ص 21) و کذا فی (گلشن- ص 90).</w:t>
      </w:r>
    </w:p>
    <w:p>
      <w:pPr>
        <w:pStyle w:val="Heading3"/>
      </w:pPr>
      <w:bookmarkStart w:id="2673" w:name="_Toc1369"/>
      <w:r>
        <w:t>1114- دیوان التلمسانی‏</w:t>
      </w:r>
      <w:bookmarkEnd w:id="2673"/>
    </w:p>
    <w:p>
      <w:pPr>
        <w:pStyle w:val="BookText"/>
      </w:pPr>
      <w:r>
        <w:rPr>
          <w:rFonts w:ascii="IRNazanin" w:hAnsi="IRNazanin" w:eastAsia="IRNazanin" w:cs="IRNazanin"/>
          <w:lang w:bidi="fa-IR"/>
          <w:color w:val="111111"/>
          <w:sz w:val="28"/>
          <w:szCs w:val="28"/>
          <w:rtl/>
        </w:rPr>
        <w:t xml:space="preserve">للشیخ عفیف الدین سلیمان بن علی بن عبد الله بن علی التلمسانی المتوفی بدمشق فی (690) کما أرخه ابن شاکر فی فوات الوفیات و الجامی فی (النفحات- ص 517). و تلمسان بلدان متجاوران بالمغرب کما فی معجم البلدان. و قال سیدنا فی تأسیس الشیعة إنه الحکیم المتکلم اللغوی الشاعر قوی الإیمان متصلب‏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75" w:name="pg11704_121652"/>
    <w:bookmarkEnd w:id="175"/>
    <w:p>
      <w:pPr>
        <w:pStyle w:val="BookText"/>
      </w:pPr>
      <w:r>
        <w:rPr>
          <w:rFonts w:ascii="IRNazanin" w:hAnsi="IRNazanin" w:eastAsia="IRNazanin" w:cs="IRNazanin"/>
          <w:lang w:bidi="fa-IR"/>
          <w:color w:val="111111"/>
          <w:sz w:val="28"/>
          <w:szCs w:val="28"/>
          <w:rtl/>
        </w:rPr>
        <w:t xml:space="preserve">فی التشیع. طبع دیوانه بمصر فی (1308) و له نسخ فی مکتبات پاریس و الأزهر و مکتبة لعله له بأستانبول کما فی فهارسها. و رأیت نسخه فی موقوفة آل السید عیسی (العطار ببغداد) قد کتبت لخزانة الشیخ حسین بن عبد الله البحرانی فی (1121) أولها:</w:t>
      </w:r>
    </w:p>
    <w:p>
      <w:pPr>
        <w:pStyle w:val="BookText"/>
      </w:pPr>
      <w:r>
        <w:rPr>
          <w:rFonts w:ascii="IRNazanin" w:hAnsi="IRNazanin" w:eastAsia="IRNazanin" w:cs="IRNazanin"/>
          <w:lang w:bidi="fa-IR"/>
          <w:color w:val="111111"/>
          <w:sz w:val="28"/>
          <w:szCs w:val="28"/>
          <w:rtl/>
        </w:rPr>
        <w:t xml:space="preserve">منعتها الصفات و الأسماء</w:t>
      </w:r>
    </w:p>
    <w:p>
      <w:pPr>
        <w:pStyle w:val="BookText"/>
      </w:pPr>
      <w:r>
        <w:rPr>
          <w:rFonts w:ascii="IRNazanin" w:hAnsi="IRNazanin" w:eastAsia="IRNazanin" w:cs="IRNazanin"/>
          <w:lang w:bidi="fa-IR"/>
          <w:color w:val="111111"/>
          <w:sz w:val="28"/>
          <w:szCs w:val="28"/>
          <w:rtl/>
        </w:rPr>
        <w:t xml:space="preserve">أن تری دون برقع أسماء</w:t>
      </w:r>
    </w:p>
    <w:p>
      <w:pPr>
        <w:pStyle w:val="BookText"/>
      </w:pPr>
      <w:r>
        <w:rPr>
          <w:rFonts w:ascii="IRNazanin" w:hAnsi="IRNazanin" w:eastAsia="IRNazanin" w:cs="IRNazanin"/>
          <w:lang w:bidi="fa-IR"/>
          <w:color w:val="111111"/>
          <w:sz w:val="28"/>
          <w:szCs w:val="28"/>
          <w:rtl/>
        </w:rPr>
        <w:t xml:space="preserve">و له شرح منازل السائرین نقل عنها الجامی فی (النفحات- ص 517).</w:t>
      </w:r>
    </w:p>
    <w:p>
      <w:pPr>
        <w:pStyle w:val="Heading3"/>
      </w:pPr>
      <w:bookmarkStart w:id="2674" w:name="_Toc1370"/>
      <w:r>
        <w:t>1115- دیوان تمکین رامپوری أو شعره‏</w:t>
      </w:r>
      <w:bookmarkEnd w:id="2674"/>
    </w:p>
    <w:p>
      <w:pPr>
        <w:pStyle w:val="BookText"/>
      </w:pPr>
      <w:r>
        <w:rPr>
          <w:rFonts w:ascii="IRNazanin" w:hAnsi="IRNazanin" w:eastAsia="IRNazanin" w:cs="IRNazanin"/>
          <w:lang w:bidi="fa-IR"/>
          <w:color w:val="111111"/>
          <w:sz w:val="28"/>
          <w:szCs w:val="28"/>
          <w:rtl/>
        </w:rPr>
        <w:t xml:space="preserve">و اسمه المیر هدایت علی. أورد شعره فی (گلشن- ص 91).</w:t>
      </w:r>
    </w:p>
    <w:p>
      <w:pPr>
        <w:pStyle w:val="Heading3"/>
      </w:pPr>
      <w:bookmarkStart w:id="2675" w:name="_Toc1371"/>
      <w:r>
        <w:t>1116- دیوان تمکین شیروانی‏</w:t>
      </w:r>
      <w:bookmarkEnd w:id="2675"/>
    </w:p>
    <w:p>
      <w:pPr>
        <w:pStyle w:val="BookText"/>
      </w:pPr>
      <w:r>
        <w:rPr>
          <w:rFonts w:ascii="IRNazanin" w:hAnsi="IRNazanin" w:eastAsia="IRNazanin" w:cs="IRNazanin"/>
          <w:lang w:bidi="fa-IR"/>
          <w:color w:val="111111"/>
          <w:sz w:val="28"/>
          <w:szCs w:val="28"/>
          <w:rtl/>
        </w:rPr>
        <w:t xml:space="preserve">و هو الحاج زین العابدین بن الملا إسکندر، تخلصه تمکین و لقبه مست علی شاه ولد بشماخی فی (15- شعبان 1194) و مات بطریق الحج (1253) له بستان السیاحة و حدیقة السیاحة المذکوران و ریاض السیاحة الآتی. کان مریدا لمحمد جعفر قره‏گوزلو الهمدانی. ساح بلاد الشرق الأوسط و عاشر الأقوام و الملل. ترجمه هدایت فی (ض- ص 425) و (مع- ج 2- ص 83) و فی (دجا- ص 169).</w:t>
      </w:r>
    </w:p>
    <w:p>
      <w:pPr>
        <w:pStyle w:val="Heading3"/>
      </w:pPr>
      <w:bookmarkStart w:id="2676" w:name="_Toc1372"/>
      <w:r>
        <w:t>1117- دیوان تمکین کرمانی أو شعره‏</w:t>
      </w:r>
      <w:bookmarkEnd w:id="2676"/>
    </w:p>
    <w:p>
      <w:pPr>
        <w:pStyle w:val="BookText"/>
      </w:pPr>
      <w:r>
        <w:rPr>
          <w:rFonts w:ascii="IRNazanin" w:hAnsi="IRNazanin" w:eastAsia="IRNazanin" w:cs="IRNazanin"/>
          <w:lang w:bidi="fa-IR"/>
          <w:color w:val="111111"/>
          <w:sz w:val="28"/>
          <w:szCs w:val="28"/>
          <w:rtl/>
        </w:rPr>
        <w:t xml:space="preserve">و اسمه السید رضا خان، من قصبة بم بکرمان و هو من أحفاد الشاه نعمة الله الولی الکرمانی. ولد (1085) و ذهب إلی الهند و تقرب عند فرخ سیر محمد شاه، و استفاد من دروسه سراج الدین آرزو. ترجمه فی (ض- ص 77) و (تغ- ص 33) و أورد شعره بعنوان کرمانشاهی غلطا فی (گلشن- ص 90) و أخذ الغلط عنه فی قاموس الأعلام الترکیة ثم فی ریحانة الأدب الفارسیة.</w:t>
      </w:r>
    </w:p>
    <w:p>
      <w:pPr>
        <w:pStyle w:val="Heading3"/>
      </w:pPr>
      <w:bookmarkStart w:id="2677" w:name="_Toc1373"/>
      <w:r>
        <w:t>1118- دیوان تمکین کشمیری أو شعره‏</w:t>
      </w:r>
      <w:bookmarkEnd w:id="2677"/>
    </w:p>
    <w:p>
      <w:pPr>
        <w:pStyle w:val="BookText"/>
      </w:pPr>
      <w:r>
        <w:rPr>
          <w:rFonts w:ascii="IRNazanin" w:hAnsi="IRNazanin" w:eastAsia="IRNazanin" w:cs="IRNazanin"/>
          <w:lang w:bidi="fa-IR"/>
          <w:color w:val="111111"/>
          <w:sz w:val="28"/>
          <w:szCs w:val="28"/>
          <w:rtl/>
        </w:rPr>
        <w:t xml:space="preserve">و اسمه المیرزا محمد علی ابن أخ عبد الرسول استغناء و تلمیذه. مات (1132) أورد شعره فی (گلشن- ص 91) و عنه فی القاموس الترکیة و عنه فی ریحانة الأدب.</w:t>
      </w:r>
    </w:p>
    <w:p>
      <w:pPr>
        <w:pStyle w:val="Heading3"/>
      </w:pPr>
      <w:bookmarkStart w:id="2678" w:name="_Toc1374"/>
      <w:r>
        <w:t>1119- دیوان تمکین کشمیری أو شعره‏</w:t>
      </w:r>
      <w:bookmarkEnd w:id="2678"/>
    </w:p>
    <w:p>
      <w:pPr>
        <w:pStyle w:val="BookText"/>
      </w:pPr>
      <w:r>
        <w:rPr>
          <w:rFonts w:ascii="IRNazanin" w:hAnsi="IRNazanin" w:eastAsia="IRNazanin" w:cs="IRNazanin"/>
          <w:lang w:bidi="fa-IR"/>
          <w:color w:val="111111"/>
          <w:sz w:val="28"/>
          <w:szCs w:val="28"/>
          <w:rtl/>
        </w:rPr>
        <w:t xml:space="preserve">و هو المولوی رحمه الله من أحفاد الملا محمد أمین. تلمذ علی عبد الغنی قبول، و مات فی أواسط المائة الثانیة عشرة. أورد شعره فی (گلشن- ص 90) و عنه بالواسطة فی ریحانة الأدب بعنوان تمکین مولوی.</w:t>
      </w:r>
    </w:p>
    <w:p>
      <w:pPr>
        <w:pStyle w:val="Heading3"/>
      </w:pPr>
      <w:bookmarkStart w:id="2679" w:name="_Toc1375"/>
      <w:r>
        <w:t>1120- دیوان تمنا سندیلوی‏</w:t>
      </w:r>
      <w:bookmarkEnd w:id="2679"/>
    </w:p>
    <w:p>
      <w:pPr>
        <w:pStyle w:val="BookText"/>
      </w:pPr>
      <w:r>
        <w:rPr>
          <w:rFonts w:ascii="IRNazanin" w:hAnsi="IRNazanin" w:eastAsia="IRNazanin" w:cs="IRNazanin"/>
          <w:lang w:bidi="fa-IR"/>
          <w:color w:val="111111"/>
          <w:sz w:val="28"/>
          <w:szCs w:val="28"/>
          <w:rtl/>
        </w:rPr>
        <w:t xml:space="preserve">و اسمه محمد عابد علی. له دیوان مرتب نقل عنه‏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76" w:name="pg11704_121653"/>
    <w:bookmarkEnd w:id="176"/>
    <w:p>
      <w:pPr>
        <w:pStyle w:val="BookText"/>
      </w:pPr>
      <w:r>
        <w:rPr>
          <w:rFonts w:ascii="IRNazanin" w:hAnsi="IRNazanin" w:eastAsia="IRNazanin" w:cs="IRNazanin"/>
          <w:lang w:bidi="fa-IR"/>
          <w:color w:val="111111"/>
          <w:sz w:val="28"/>
          <w:szCs w:val="28"/>
          <w:rtl/>
        </w:rPr>
        <w:t xml:space="preserve">فی (گلشن- ص 92- 94) و عنه فی قاموس الأعلام ثم ریحانة الأدب. قال و مات (1290).</w:t>
      </w:r>
    </w:p>
    <w:p>
      <w:pPr>
        <w:pStyle w:val="Heading3"/>
      </w:pPr>
      <w:bookmarkStart w:id="2680" w:name="_Toc1376"/>
      <w:r>
        <w:t>1121- دیوان تمنا شاه‏جهان‏آبادی أو شعره‏</w:t>
      </w:r>
      <w:bookmarkEnd w:id="2680"/>
    </w:p>
    <w:p>
      <w:pPr>
        <w:pStyle w:val="BookText"/>
      </w:pPr>
      <w:r>
        <w:rPr>
          <w:rFonts w:ascii="IRNazanin" w:hAnsi="IRNazanin" w:eastAsia="IRNazanin" w:cs="IRNazanin"/>
          <w:lang w:bidi="fa-IR"/>
          <w:color w:val="111111"/>
          <w:sz w:val="28"/>
          <w:szCs w:val="28"/>
          <w:rtl/>
        </w:rPr>
        <w:t xml:space="preserve">و هو المیر محمد علی. أورد شعره فی (گلشن- ص 95).</w:t>
      </w:r>
    </w:p>
    <w:p>
      <w:pPr>
        <w:pStyle w:val="Heading3"/>
      </w:pPr>
      <w:bookmarkStart w:id="2681" w:name="_Toc1377"/>
      <w:r>
        <w:t>1122- دیوان تمنا شیرازی أو شعره‏</w:t>
      </w:r>
      <w:bookmarkEnd w:id="2681"/>
    </w:p>
    <w:p>
      <w:pPr>
        <w:pStyle w:val="BookText"/>
      </w:pPr>
      <w:r>
        <w:rPr>
          <w:rFonts w:ascii="IRNazanin" w:hAnsi="IRNazanin" w:eastAsia="IRNazanin" w:cs="IRNazanin"/>
          <w:lang w:bidi="fa-IR"/>
          <w:color w:val="111111"/>
          <w:sz w:val="28"/>
          <w:szCs w:val="28"/>
          <w:rtl/>
        </w:rPr>
        <w:t xml:space="preserve">و هو المیرزا أبو الحسن المعاصر للشاه سلیمان الصفوی (1078- 1105) و الشاه سلطان حسین (1105- 1135). أورد شعره فی (تش- ص 265) و عنه فی قاموس الأعلام الترکیة ثم ریحانة الأدب.</w:t>
      </w:r>
    </w:p>
    <w:p>
      <w:pPr>
        <w:pStyle w:val="Heading3"/>
      </w:pPr>
      <w:bookmarkStart w:id="2682" w:name="_Toc1378"/>
      <w:r>
        <w:t>1123- دیوان تمنا عظیم‏آبادی‏</w:t>
      </w:r>
      <w:bookmarkEnd w:id="2682"/>
    </w:p>
    <w:p>
      <w:pPr>
        <w:pStyle w:val="BookText"/>
      </w:pPr>
      <w:r>
        <w:rPr>
          <w:rFonts w:ascii="IRNazanin" w:hAnsi="IRNazanin" w:eastAsia="IRNazanin" w:cs="IRNazanin"/>
          <w:lang w:bidi="fa-IR"/>
          <w:color w:val="111111"/>
          <w:sz w:val="28"/>
          <w:szCs w:val="28"/>
          <w:rtl/>
        </w:rPr>
        <w:t xml:space="preserve">و هو الخواجة محمد علی بن الخواجة عبد الله تأیید العظیم‏آبادی. تلمذ علی أبیه. و له دیوان فی (2000 بیت) و مات (1232) أورد شعره فی (گلشن- ص 91- 92) و عنه فی القاموس الترکی ثم الریحانة.</w:t>
      </w:r>
    </w:p>
    <w:p>
      <w:pPr>
        <w:pStyle w:val="Heading3"/>
      </w:pPr>
      <w:bookmarkStart w:id="2683" w:name="_Toc1379"/>
      <w:r>
        <w:t>1124- دیوان تمنا کابلی أو شعره‏</w:t>
      </w:r>
      <w:bookmarkEnd w:id="2683"/>
    </w:p>
    <w:p>
      <w:pPr>
        <w:pStyle w:val="BookText"/>
      </w:pPr>
      <w:r>
        <w:rPr>
          <w:rFonts w:ascii="IRNazanin" w:hAnsi="IRNazanin" w:eastAsia="IRNazanin" w:cs="IRNazanin"/>
          <w:lang w:bidi="fa-IR"/>
          <w:color w:val="111111"/>
          <w:sz w:val="28"/>
          <w:szCs w:val="28"/>
          <w:rtl/>
        </w:rPr>
        <w:t xml:space="preserve">و هو المیرزا محمد علی من أقرباء علی مردان خان.</w:t>
      </w:r>
    </w:p>
    <w:p>
      <w:pPr>
        <w:pStyle w:val="BookText"/>
      </w:pPr>
      <w:r>
        <w:rPr>
          <w:rFonts w:ascii="IRNazanin" w:hAnsi="IRNazanin" w:eastAsia="IRNazanin" w:cs="IRNazanin"/>
          <w:lang w:bidi="fa-IR"/>
          <w:color w:val="111111"/>
          <w:sz w:val="28"/>
          <w:szCs w:val="28"/>
          <w:rtl/>
        </w:rPr>
        <w:t xml:space="preserve">ولد بکابل و تلمذ علی عبد اللطیف خان تنها و سافر إلی دهلی. و نثر شاهنامه بأمر من فرخ سیر. ثم ذهب إلی بنگاله و مات بها فی (1160). أورد شعره فی (گلشن- ص 95) و ترجمه فی (تغ- ص 33).</w:t>
      </w:r>
    </w:p>
    <w:p>
      <w:pPr>
        <w:pStyle w:val="Heading3"/>
      </w:pPr>
      <w:bookmarkStart w:id="2684" w:name="_Toc1380"/>
      <w:r>
        <w:t>1125- دیوان تمنا لکهنوی الهندی الشکوه‏آبادی‏</w:t>
      </w:r>
      <w:bookmarkEnd w:id="2684"/>
    </w:p>
    <w:p>
      <w:pPr>
        <w:pStyle w:val="BookText"/>
      </w:pPr>
      <w:r>
        <w:rPr>
          <w:rFonts w:ascii="IRNazanin" w:hAnsi="IRNazanin" w:eastAsia="IRNazanin" w:cs="IRNazanin"/>
          <w:lang w:bidi="fa-IR"/>
          <w:color w:val="111111"/>
          <w:sz w:val="28"/>
          <w:szCs w:val="28"/>
          <w:rtl/>
        </w:rPr>
        <w:t xml:space="preserve">. دیوانه فارسی فی (15000 بیت) نقل عنه فی (گلشن- ص 54).</w:t>
      </w:r>
    </w:p>
    <w:p>
      <w:pPr>
        <w:pStyle w:val="Heading3"/>
      </w:pPr>
      <w:bookmarkStart w:id="2685" w:name="_Toc1381"/>
      <w:r>
        <w:t>1126- دیوان تمنائی حروفی أو شعره‏</w:t>
      </w:r>
      <w:bookmarkEnd w:id="2685"/>
    </w:p>
    <w:p>
      <w:pPr>
        <w:pStyle w:val="BookText"/>
      </w:pPr>
      <w:r>
        <w:rPr>
          <w:rFonts w:ascii="IRNazanin" w:hAnsi="IRNazanin" w:eastAsia="IRNazanin" w:cs="IRNazanin"/>
          <w:lang w:bidi="fa-IR"/>
          <w:color w:val="111111"/>
          <w:sz w:val="28"/>
          <w:szCs w:val="28"/>
          <w:rtl/>
        </w:rPr>
        <w:t xml:space="preserve">من شعراء عصر محمد خان بن بایزید العثمانی.</w:t>
      </w:r>
    </w:p>
    <w:p>
      <w:pPr>
        <w:pStyle w:val="BookText"/>
      </w:pPr>
      <w:r>
        <w:rPr>
          <w:rFonts w:ascii="IRNazanin" w:hAnsi="IRNazanin" w:eastAsia="IRNazanin" w:cs="IRNazanin"/>
          <w:lang w:bidi="fa-IR"/>
          <w:color w:val="111111"/>
          <w:sz w:val="28"/>
          <w:szCs w:val="28"/>
          <w:rtl/>
        </w:rPr>
        <w:t xml:space="preserve">ترجمه لطیفی فی تذکرته الترکیة، و قال أحرق هو و عدة معه بالنار حیا لکفره و زندقته.</w:t>
      </w:r>
    </w:p>
    <w:p>
      <w:pPr>
        <w:pStyle w:val="BookText"/>
      </w:pPr>
      <w:r>
        <w:rPr>
          <w:rFonts w:ascii="IRNazanin" w:hAnsi="IRNazanin" w:eastAsia="IRNazanin" w:cs="IRNazanin"/>
          <w:lang w:bidi="fa-IR"/>
          <w:color w:val="111111"/>
          <w:sz w:val="28"/>
          <w:szCs w:val="28"/>
          <w:rtl/>
        </w:rPr>
        <w:t xml:space="preserve">کذا فی (براون- ج 3- ص 400).</w:t>
      </w:r>
    </w:p>
    <w:p>
      <w:pPr>
        <w:pStyle w:val="Heading3"/>
      </w:pPr>
      <w:bookmarkStart w:id="2686" w:name="_Toc1382"/>
      <w:r>
        <w:t>1127- دیوان تمیم‏</w:t>
      </w:r>
      <w:bookmarkEnd w:id="2686"/>
    </w:p>
    <w:p>
      <w:pPr>
        <w:pStyle w:val="BookText"/>
      </w:pPr>
      <w:r>
        <w:rPr>
          <w:rFonts w:ascii="IRNazanin" w:hAnsi="IRNazanin" w:eastAsia="IRNazanin" w:cs="IRNazanin"/>
          <w:lang w:bidi="fa-IR"/>
          <w:color w:val="111111"/>
          <w:sz w:val="28"/>
          <w:szCs w:val="28"/>
          <w:rtl/>
        </w:rPr>
        <w:t xml:space="preserve">أبی سعد الأمیر تمیم بن المعز لدین الله بن المنصور بن القائم ابن المهدی العبیدلی. کان والده المعز، الخلیفة الفاطمی الذی توفی (365) طبع بمصر أخیرا و ترجمه ضیاء الدین فی نسمة السحر فیمن تشیع و شعر و ذکر أنه توفی تمیم (374) و لم یل الخلافة بعد أبیه لأن ولایة العهد کانت لأخیه نزار بن المعز.</w:t>
      </w:r>
    </w:p>
    <w:p>
      <w:pPr>
        <w:pStyle w:val="Heading3"/>
      </w:pPr>
      <w:bookmarkStart w:id="2687" w:name="_Toc1383"/>
      <w:r>
        <w:t>1128- دیوان أبی یحیی تمیم‏</w:t>
      </w:r>
      <w:bookmarkEnd w:id="2687"/>
    </w:p>
    <w:p>
      <w:pPr>
        <w:pStyle w:val="BookText"/>
      </w:pPr>
      <w:r>
        <w:rPr>
          <w:rFonts w:ascii="IRNazanin" w:hAnsi="IRNazanin" w:eastAsia="IRNazanin" w:cs="IRNazanin"/>
          <w:lang w:bidi="fa-IR"/>
          <w:color w:val="111111"/>
          <w:sz w:val="28"/>
          <w:szCs w:val="28"/>
          <w:rtl/>
        </w:rPr>
        <w:t xml:space="preserve">و هو ابن المعز لدین الله بن بادیس الصنهاجی من ملوک إفریقیة ولد بها (13 رجب 422) و تولی الملک بعد أبیه (454) و طال ملکه إلی أن مات (501). ترجمه أیضا فی نسمة السحر و ذکر بعض شعره و هو من الشیعة الإسماعیلیة.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77" w:name="pg11704_121654"/>
    <w:bookmarkEnd w:id="177"/>
    <w:p>
      <w:pPr>
        <w:pStyle w:val="Heading3"/>
      </w:pPr>
      <w:bookmarkStart w:id="2688" w:name="_Toc1384"/>
      <w:r>
        <w:t>دیوان التمیمی‏</w:t>
      </w:r>
      <w:bookmarkEnd w:id="2688"/>
    </w:p>
    <w:p>
      <w:pPr>
        <w:pStyle w:val="BookText"/>
      </w:pPr>
      <w:r>
        <w:rPr>
          <w:rFonts w:ascii="IRNazanin" w:hAnsi="IRNazanin" w:eastAsia="IRNazanin" w:cs="IRNazanin"/>
          <w:lang w:bidi="fa-IR"/>
          <w:color w:val="111111"/>
          <w:sz w:val="28"/>
          <w:szCs w:val="28"/>
          <w:rtl/>
        </w:rPr>
        <w:t xml:space="preserve">للشیخ صالح التمیمی معاصر عبد الباقی الفاروقی یأتی باسمه.</w:t>
      </w:r>
    </w:p>
    <w:p>
      <w:pPr>
        <w:pStyle w:val="Heading3"/>
      </w:pPr>
      <w:bookmarkStart w:id="2689" w:name="_Toc1385"/>
      <w:r>
        <w:t>1129- دیوان تندری‏</w:t>
      </w:r>
      <w:bookmarkEnd w:id="2689"/>
    </w:p>
    <w:p>
      <w:pPr>
        <w:pStyle w:val="BookText"/>
      </w:pPr>
      <w:r>
        <w:rPr>
          <w:rFonts w:ascii="IRNazanin" w:hAnsi="IRNazanin" w:eastAsia="IRNazanin" w:cs="IRNazanin"/>
          <w:lang w:bidi="fa-IR"/>
          <w:color w:val="111111"/>
          <w:sz w:val="28"/>
          <w:szCs w:val="28"/>
          <w:rtl/>
        </w:rPr>
        <w:t xml:space="preserve">و اسمه محمود خان. ترجمه فی أدبیات معاصر (ص 99) و طبع له خردنامه تندری فی (24 ص) علی الحجر بطهران فی (1305 ش).</w:t>
      </w:r>
    </w:p>
    <w:p>
      <w:pPr>
        <w:pStyle w:val="Heading3"/>
      </w:pPr>
      <w:bookmarkStart w:id="2690" w:name="_Toc1386"/>
      <w:r>
        <w:t>1130- دیوان التنوخی الحفید</w:t>
      </w:r>
      <w:bookmarkEnd w:id="2690"/>
    </w:p>
    <w:p>
      <w:pPr>
        <w:pStyle w:val="BookText"/>
      </w:pPr>
      <w:r>
        <w:rPr>
          <w:rFonts w:ascii="IRNazanin" w:hAnsi="IRNazanin" w:eastAsia="IRNazanin" w:cs="IRNazanin"/>
          <w:lang w:bidi="fa-IR"/>
          <w:color w:val="111111"/>
          <w:sz w:val="28"/>
          <w:szCs w:val="28"/>
          <w:rtl/>
        </w:rPr>
        <w:t xml:space="preserve">هو القاضی أبو القاسم علی بن أبی علی المحسن بن أبی القاسم علی بن محمد بن أبی الفهم التنوخی. ولد (365) و توفی (447) کما أرخه فی مجالس المؤمنین بعد ذکر أبیه و جده. و ترجمه صاحب الریاض و ذکر أنه یروی عن جماعة منهم والده و إنه صاحب الشریف المرتضی و هو المخبر عن عدد ماحوتة مکتبته من الکتب. و ترجمه نسمة السحر فی ذیل ترجمه أبیه.</w:t>
      </w:r>
    </w:p>
    <w:p>
      <w:pPr>
        <w:pStyle w:val="Heading3"/>
      </w:pPr>
      <w:bookmarkStart w:id="2691" w:name="_Toc1387"/>
      <w:r>
        <w:t>1131- دیوان التنوخی الصغیر</w:t>
      </w:r>
      <w:bookmarkEnd w:id="2691"/>
    </w:p>
    <w:p>
      <w:pPr>
        <w:pStyle w:val="BookText"/>
      </w:pPr>
      <w:r>
        <w:rPr>
          <w:rFonts w:ascii="IRNazanin" w:hAnsi="IRNazanin" w:eastAsia="IRNazanin" w:cs="IRNazanin"/>
          <w:lang w:bidi="fa-IR"/>
          <w:color w:val="111111"/>
          <w:sz w:val="28"/>
          <w:szCs w:val="28"/>
          <w:rtl/>
        </w:rPr>
        <w:t xml:space="preserve">القاضی أبی علی محسن بن القاضی أبی القاسم علی بن محمد بن داود بن أبی الفهم التنوخی المولود بالبصرة (329) و المتوفی ببغداد فی لیلة الاثنین (25 المحرم- 384). أرخه کذلک فی نسمة السحر و قال إنه بتشدید السین و ترجمه أیضا فی (لس- ص 225) و هو صاحب الفرج بعد الشدة و نشوان المحاضرة و المستجاد من فعلات الأجواد. حکی ترجمته فی معجم</w:t>
      </w:r>
    </w:p>
    <w:p>
      <w:pPr>
        <w:pStyle w:val="BookText"/>
      </w:pPr>
      <w:r>
        <w:rPr>
          <w:rFonts w:ascii="IRNazanin" w:hAnsi="IRNazanin" w:eastAsia="IRNazanin" w:cs="IRNazanin"/>
          <w:lang w:bidi="fa-IR"/>
          <w:color w:val="111111"/>
          <w:sz w:val="28"/>
          <w:szCs w:val="28"/>
          <w:rtl/>
        </w:rPr>
        <w:t xml:space="preserve">الأدباء (ج 17- ص 92) عن غرس النعمة و هو أبو الحسن محمد بن أبی الحسین هلال بن أبی علی محسن بن أبی إسحاق إبراهیم الصابی الذی ذیل نشوان المحاضرة بکتاب سماه کتاب الربیع و له کتاب الهفوات الذی نقل عنه فی معجم الأدباء ترجمه الشریف المرتضی علم الهدی. قال غرس النعمة أخبرنی أبو نصر سهل بن المرزبان أنه رأی دیوان شعر القاضی محسن ببغداد و هو أکبر حجما من دیوان شعر أبیه و نقل عنه بعض شعره منها:</w:t>
      </w:r>
    </w:p>
    <w:p>
      <w:pPr>
        <w:pStyle w:val="BookText"/>
      </w:pPr>
      <w:r>
        <w:rPr>
          <w:rFonts w:ascii="IRNazanin" w:hAnsi="IRNazanin" w:eastAsia="IRNazanin" w:cs="IRNazanin"/>
          <w:lang w:bidi="fa-IR"/>
          <w:color w:val="111111"/>
          <w:sz w:val="28"/>
          <w:szCs w:val="28"/>
          <w:rtl/>
        </w:rPr>
        <w:t xml:space="preserve">خرجنا لنستسقی بیمن دعائه‏</w:t>
      </w:r>
    </w:p>
    <w:p>
      <w:pPr>
        <w:pStyle w:val="BookText"/>
      </w:pPr>
      <w:r>
        <w:rPr>
          <w:rFonts w:ascii="IRNazanin" w:hAnsi="IRNazanin" w:eastAsia="IRNazanin" w:cs="IRNazanin"/>
          <w:lang w:bidi="fa-IR"/>
          <w:color w:val="111111"/>
          <w:sz w:val="28"/>
          <w:szCs w:val="28"/>
          <w:rtl/>
        </w:rPr>
        <w:t xml:space="preserve">و قد کاد هدب الغیم أن یبلغ الأرضا</w:t>
      </w:r>
    </w:p>
    <w:p>
      <w:pPr>
        <w:pStyle w:val="BookText"/>
      </w:pPr>
      <w:r>
        <w:rPr>
          <w:rFonts w:ascii="IRNazanin" w:hAnsi="IRNazanin" w:eastAsia="IRNazanin" w:cs="IRNazanin"/>
          <w:lang w:bidi="fa-IR"/>
          <w:color w:val="111111"/>
          <w:sz w:val="28"/>
          <w:szCs w:val="28"/>
          <w:rtl/>
        </w:rPr>
        <w:t xml:space="preserve">فلما ابتدأ یدعو تقشعت السما</w:t>
      </w:r>
    </w:p>
    <w:p>
      <w:pPr>
        <w:pStyle w:val="BookText"/>
      </w:pPr>
      <w:r>
        <w:rPr>
          <w:rFonts w:ascii="IRNazanin" w:hAnsi="IRNazanin" w:eastAsia="IRNazanin" w:cs="IRNazanin"/>
          <w:lang w:bidi="fa-IR"/>
          <w:color w:val="111111"/>
          <w:sz w:val="28"/>
          <w:szCs w:val="28"/>
          <w:rtl/>
        </w:rPr>
        <w:t xml:space="preserve">فما تم الا و الغمام قد انفضا</w:t>
      </w:r>
    </w:p>
    <w:p>
      <w:pPr>
        <w:pStyle w:val="Heading3"/>
      </w:pPr>
      <w:bookmarkStart w:id="2692" w:name="_Toc1388"/>
      <w:r>
        <w:t>1132- دیوان التنوخی الکبیر</w:t>
      </w:r>
      <w:bookmarkEnd w:id="2692"/>
    </w:p>
    <w:p>
      <w:pPr>
        <w:pStyle w:val="BookText"/>
      </w:pPr>
      <w:r>
        <w:rPr>
          <w:rFonts w:ascii="IRNazanin" w:hAnsi="IRNazanin" w:eastAsia="IRNazanin" w:cs="IRNazanin"/>
          <w:lang w:bidi="fa-IR"/>
          <w:color w:val="111111"/>
          <w:sz w:val="28"/>
          <w:szCs w:val="28"/>
          <w:rtl/>
        </w:rPr>
        <w:t xml:space="preserve">هو القاضی و القاسم علی بن محمد بن أبی الفهم التنوخی المذکور تمام نسبه فی ابن خلکان (ج 1- ص 253) المولود بأنطاکیه فی ذی الحجة (278) و المتوفی بالبصرة فی (ع 1- 342) و تولی قضاء البصرة و الأهواز بضع سنین و هو الراد علی ابن المعتز الناصب فی قصیدته البائیة. ترجمه ابن خلکان فی (ج 1- ص 253) و فی آخر الترجمة ذکر دیوانه و دیوان ابنه المحسن. و عده ابن شهرآشوب‏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78" w:name="pg11704_121655"/>
    <w:bookmarkEnd w:id="178"/>
    <w:p>
      <w:pPr>
        <w:pStyle w:val="BookText"/>
      </w:pPr>
      <w:r>
        <w:rPr>
          <w:rFonts w:ascii="IRNazanin" w:hAnsi="IRNazanin" w:eastAsia="IRNazanin" w:cs="IRNazanin"/>
          <w:lang w:bidi="fa-IR"/>
          <w:color w:val="111111"/>
          <w:sz w:val="28"/>
          <w:szCs w:val="28"/>
          <w:rtl/>
        </w:rPr>
        <w:t xml:space="preserve">من الشعراء المجاهرین فی مدح أهل البیت. و ترجمه فی نسمة السحر أیضا. و أورد ذکره فی کتاب النقض (ص 246) و حکی فی تأسیس الشیعة ترجمته عن عدة کتب و أورد ابن إسفندیار فی تاریخ طبرستان مطلع قصیدة ابن المعتز و قصیدة التنوخی فی جوابه فی (ص 100) فالمطلع:</w:t>
      </w:r>
    </w:p>
    <w:p>
      <w:pPr>
        <w:pStyle w:val="BookText"/>
      </w:pPr>
      <w:r>
        <w:rPr>
          <w:rFonts w:ascii="IRNazanin" w:hAnsi="IRNazanin" w:eastAsia="IRNazanin" w:cs="IRNazanin"/>
          <w:lang w:bidi="fa-IR"/>
          <w:color w:val="111111"/>
          <w:sz w:val="28"/>
          <w:szCs w:val="28"/>
          <w:rtl/>
        </w:rPr>
        <w:t xml:space="preserve">أبی الله الا ما ترون فما لکم‏</w:t>
      </w:r>
    </w:p>
    <w:p>
      <w:pPr>
        <w:pStyle w:val="BookText"/>
      </w:pPr>
      <w:r>
        <w:rPr>
          <w:rFonts w:ascii="IRNazanin" w:hAnsi="IRNazanin" w:eastAsia="IRNazanin" w:cs="IRNazanin"/>
          <w:lang w:bidi="fa-IR"/>
          <w:color w:val="111111"/>
          <w:sz w:val="28"/>
          <w:szCs w:val="28"/>
          <w:rtl/>
        </w:rPr>
        <w:t xml:space="preserve">غضابا علی الأقدار یا آل طالب‏</w:t>
      </w:r>
    </w:p>
    <w:p>
      <w:pPr>
        <w:pStyle w:val="BookText"/>
      </w:pPr>
      <w:r>
        <w:rPr>
          <w:rFonts w:ascii="IRNazanin" w:hAnsi="IRNazanin" w:eastAsia="IRNazanin" w:cs="IRNazanin"/>
          <w:lang w:bidi="fa-IR"/>
          <w:color w:val="111111"/>
          <w:sz w:val="28"/>
          <w:szCs w:val="28"/>
          <w:rtl/>
        </w:rPr>
        <w:t xml:space="preserve">ثم القصیدة و هی خمسة عشر بیتا أولها هذا:</w:t>
      </w:r>
    </w:p>
    <w:p>
      <w:pPr>
        <w:pStyle w:val="BookText"/>
      </w:pPr>
      <w:r>
        <w:rPr>
          <w:rFonts w:ascii="IRNazanin" w:hAnsi="IRNazanin" w:eastAsia="IRNazanin" w:cs="IRNazanin"/>
          <w:lang w:bidi="fa-IR"/>
          <w:color w:val="111111"/>
          <w:sz w:val="28"/>
          <w:szCs w:val="28"/>
          <w:rtl/>
        </w:rPr>
        <w:t xml:space="preserve">من ابن رسول الله و ابن وصیه‏</w:t>
      </w:r>
    </w:p>
    <w:p>
      <w:pPr>
        <w:pStyle w:val="BookText"/>
      </w:pPr>
      <w:r>
        <w:rPr>
          <w:rFonts w:ascii="IRNazanin" w:hAnsi="IRNazanin" w:eastAsia="IRNazanin" w:cs="IRNazanin"/>
          <w:lang w:bidi="fa-IR"/>
          <w:color w:val="111111"/>
          <w:sz w:val="28"/>
          <w:szCs w:val="28"/>
          <w:rtl/>
        </w:rPr>
        <w:t xml:space="preserve">إلی مدغل فی عقدة الدین ناصب‏</w:t>
      </w:r>
    </w:p>
    <w:p>
      <w:pPr>
        <w:pStyle w:val="BookText"/>
      </w:pPr>
      <w:r>
        <w:rPr>
          <w:rFonts w:ascii="IRNazanin" w:hAnsi="IRNazanin" w:eastAsia="IRNazanin" w:cs="IRNazanin"/>
          <w:lang w:bidi="fa-IR"/>
          <w:color w:val="111111"/>
          <w:sz w:val="28"/>
          <w:szCs w:val="28"/>
          <w:rtl/>
        </w:rPr>
        <w:t xml:space="preserve">و آخرها:</w:t>
      </w:r>
    </w:p>
    <w:p>
      <w:pPr>
        <w:pStyle w:val="BookText"/>
      </w:pPr>
      <w:r>
        <w:rPr>
          <w:rFonts w:ascii="IRNazanin" w:hAnsi="IRNazanin" w:eastAsia="IRNazanin" w:cs="IRNazanin"/>
          <w:lang w:bidi="fa-IR"/>
          <w:color w:val="111111"/>
          <w:sz w:val="28"/>
          <w:szCs w:val="28"/>
          <w:rtl/>
        </w:rPr>
        <w:t xml:space="preserve">فهذا جواب للذی قال ما لکم‏</w:t>
      </w:r>
    </w:p>
    <w:p>
      <w:pPr>
        <w:pStyle w:val="BookText"/>
      </w:pPr>
      <w:r>
        <w:rPr>
          <w:rFonts w:ascii="IRNazanin" w:hAnsi="IRNazanin" w:eastAsia="IRNazanin" w:cs="IRNazanin"/>
          <w:lang w:bidi="fa-IR"/>
          <w:color w:val="111111"/>
          <w:sz w:val="28"/>
          <w:szCs w:val="28"/>
          <w:rtl/>
        </w:rPr>
        <w:t xml:space="preserve">غضابا علی الأقدار یا آل طالب‏</w:t>
      </w:r>
    </w:p>
    <w:p>
      <w:pPr>
        <w:pStyle w:val="Heading3"/>
      </w:pPr>
      <w:bookmarkStart w:id="2693" w:name="_Toc1389"/>
      <w:r>
        <w:t>1133- دیوان تنها پنجابی‏</w:t>
      </w:r>
      <w:bookmarkEnd w:id="2693"/>
    </w:p>
    <w:p>
      <w:pPr>
        <w:pStyle w:val="BookText"/>
      </w:pPr>
      <w:r>
        <w:rPr>
          <w:rFonts w:ascii="IRNazanin" w:hAnsi="IRNazanin" w:eastAsia="IRNazanin" w:cs="IRNazanin"/>
          <w:lang w:bidi="fa-IR"/>
          <w:color w:val="111111"/>
          <w:sz w:val="28"/>
          <w:szCs w:val="28"/>
          <w:rtl/>
        </w:rPr>
        <w:t xml:space="preserve">و هو المیرزا عبد اللطیف ابن أخت میرزا جلال أسیر أصفهانی. ترجمه فی (سرخوش- ص 20) و (شمع انجمن- ص 98) و قال کان بیده حکومة صوبة پنجاب. و مات فی (1116) کما فی (تغ- ص 34). توجد دیوانه ب (المجلس) کما فی فهرسها (ج 3- ص 667).</w:t>
      </w:r>
    </w:p>
    <w:p>
      <w:pPr>
        <w:pStyle w:val="Heading3"/>
      </w:pPr>
      <w:bookmarkStart w:id="2694" w:name="_Toc1390"/>
      <w:r>
        <w:t>1134- دیوان تنها قمی‏</w:t>
      </w:r>
      <w:bookmarkEnd w:id="2694"/>
    </w:p>
    <w:p>
      <w:pPr>
        <w:pStyle w:val="BookText"/>
      </w:pPr>
      <w:r>
        <w:rPr>
          <w:rFonts w:ascii="IRNazanin" w:hAnsi="IRNazanin" w:eastAsia="IRNazanin" w:cs="IRNazanin"/>
          <w:lang w:bidi="fa-IR"/>
          <w:color w:val="111111"/>
          <w:sz w:val="28"/>
          <w:szCs w:val="28"/>
          <w:rtl/>
        </w:rPr>
        <w:t xml:space="preserve">و اسمه محمد سعید بن الحکیم باقر الذی کان طبیب الشاه عباس الثانی. أورد قطعا من مثنویاته و رباعیاته فی (گلشن- ص 95) قال فی (تغ- ص 34) إنه ابن عم جلال أسیر أصفهانی و قد یتخلص سعید أیضا، و دیوانه فی عشرة آلاف بیت و هو متداول معروف.</w:t>
      </w:r>
    </w:p>
    <w:p>
      <w:pPr>
        <w:pStyle w:val="Heading3"/>
      </w:pPr>
      <w:bookmarkStart w:id="2695" w:name="_Toc1391"/>
      <w:r>
        <w:t>1135- دیوان تنهایی بیک أو شعره‏</w:t>
      </w:r>
      <w:bookmarkEnd w:id="2695"/>
    </w:p>
    <w:p>
      <w:pPr>
        <w:pStyle w:val="BookText"/>
      </w:pPr>
      <w:r>
        <w:rPr>
          <w:rFonts w:ascii="IRNazanin" w:hAnsi="IRNazanin" w:eastAsia="IRNazanin" w:cs="IRNazanin"/>
          <w:lang w:bidi="fa-IR"/>
          <w:color w:val="111111"/>
          <w:sz w:val="28"/>
          <w:szCs w:val="28"/>
          <w:rtl/>
        </w:rPr>
        <w:t xml:space="preserve">عده صادقی فی (خص 7- ص 130) من الشعراء بالترکیة و الفارسیة و أورد بعض شعره الفارسی.</w:t>
      </w:r>
    </w:p>
    <w:p>
      <w:pPr>
        <w:pStyle w:val="Heading3"/>
      </w:pPr>
      <w:bookmarkStart w:id="2696" w:name="_Toc1392"/>
      <w:r>
        <w:t>1136- دیوان توپچی أو شعره‏</w:t>
      </w:r>
      <w:bookmarkEnd w:id="2696"/>
    </w:p>
    <w:p>
      <w:pPr>
        <w:pStyle w:val="BookText"/>
      </w:pPr>
      <w:r>
        <w:rPr>
          <w:rFonts w:ascii="IRNazanin" w:hAnsi="IRNazanin" w:eastAsia="IRNazanin" w:cs="IRNazanin"/>
          <w:lang w:bidi="fa-IR"/>
          <w:color w:val="111111"/>
          <w:sz w:val="28"/>
          <w:szCs w:val="28"/>
          <w:rtl/>
        </w:rPr>
        <w:t xml:space="preserve">و اسمه محمد علی سلطان من أهل هریس خانمرود فی أوائل القرن الرابع عشر. و شعره بالترکیة و الفارسیة. أورد له غزلا فارسیا بتخلص توپچی فی (دجا- ص 87).</w:t>
      </w:r>
    </w:p>
    <w:p>
      <w:pPr>
        <w:pStyle w:val="Heading3"/>
      </w:pPr>
      <w:bookmarkStart w:id="2697" w:name="_Toc1393"/>
      <w:r>
        <w:t>1137- دیوان توحید شیرازی‏</w:t>
      </w:r>
      <w:bookmarkEnd w:id="2697"/>
    </w:p>
    <w:p>
      <w:pPr>
        <w:pStyle w:val="BookText"/>
      </w:pPr>
      <w:r>
        <w:rPr>
          <w:rFonts w:ascii="IRNazanin" w:hAnsi="IRNazanin" w:eastAsia="IRNazanin" w:cs="IRNazanin"/>
          <w:lang w:bidi="fa-IR"/>
          <w:color w:val="111111"/>
          <w:sz w:val="28"/>
          <w:szCs w:val="28"/>
          <w:rtl/>
        </w:rPr>
        <w:t xml:space="preserve">اسمه المیرزا إسماعیل بن المیرزا محمد شفیع المشهور بمیرزا کوچک و المتخلص بوصال الشیرازی ذکر فی گلشن وصال (ص 432) أنه الخامس من أولاد وصال. ولد (1236) و توفی بالوباء فی (1286) و لم یعقب نسلا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79" w:name="pg11704_121656"/>
    <w:bookmarkEnd w:id="179"/>
    <w:p>
      <w:pPr>
        <w:pStyle w:val="BookText"/>
      </w:pPr>
      <w:r>
        <w:rPr>
          <w:rFonts w:ascii="IRNazanin" w:hAnsi="IRNazanin" w:eastAsia="IRNazanin" w:cs="IRNazanin"/>
          <w:lang w:bidi="fa-IR"/>
          <w:color w:val="111111"/>
          <w:sz w:val="28"/>
          <w:szCs w:val="28"/>
          <w:rtl/>
        </w:rPr>
        <w:t xml:space="preserve">و لم یجمع دیوانه و انما جمع أخوه المتخلص بیزدانی أشعاره المتفرقات بتعب کثیر حتی بلغ ألفین و خمسمائة بیت، و ذکر بعض أشعاره. و ذکرت جملة من أشعاره فی (مع- ج 2- ص 84) و ترجمه فی (المآثر- ص 205) و (عم- ص 360) و عنه فی ریحانة الأدب.</w:t>
      </w:r>
    </w:p>
    <w:p>
      <w:pPr>
        <w:pStyle w:val="Heading3"/>
      </w:pPr>
      <w:bookmarkStart w:id="2698" w:name="_Toc1394"/>
      <w:r>
        <w:t>1138- دیوان توسن تبریزی أو شعره‏</w:t>
      </w:r>
      <w:bookmarkEnd w:id="2698"/>
    </w:p>
    <w:p>
      <w:pPr>
        <w:pStyle w:val="BookText"/>
      </w:pPr>
      <w:r>
        <w:rPr>
          <w:rFonts w:ascii="IRNazanin" w:hAnsi="IRNazanin" w:eastAsia="IRNazanin" w:cs="IRNazanin"/>
          <w:lang w:bidi="fa-IR"/>
          <w:color w:val="111111"/>
          <w:sz w:val="28"/>
          <w:szCs w:val="28"/>
          <w:rtl/>
        </w:rPr>
        <w:t xml:space="preserve">کان من شعراء أکبر پادشاه. أورد شعره فی (روشن- ص 136) و (دجا- ص 88).</w:t>
      </w:r>
    </w:p>
    <w:p>
      <w:pPr>
        <w:pStyle w:val="Heading3"/>
      </w:pPr>
      <w:bookmarkStart w:id="2699" w:name="_Toc1395"/>
      <w:r>
        <w:t>1139- دیوان توفیق کشمیری أو شعره‏</w:t>
      </w:r>
      <w:bookmarkEnd w:id="2699"/>
    </w:p>
    <w:p>
      <w:pPr>
        <w:pStyle w:val="BookText"/>
      </w:pPr>
      <w:r>
        <w:rPr>
          <w:rFonts w:ascii="IRNazanin" w:hAnsi="IRNazanin" w:eastAsia="IRNazanin" w:cs="IRNazanin"/>
          <w:lang w:bidi="fa-IR"/>
          <w:color w:val="111111"/>
          <w:sz w:val="28"/>
          <w:szCs w:val="28"/>
          <w:rtl/>
        </w:rPr>
        <w:t xml:space="preserve">و اسمه الشیخ محمد. مات عن تسع و ثمانین سنة. أورد شعره فی (روشن- ص 136).</w:t>
      </w:r>
    </w:p>
    <w:p>
      <w:pPr>
        <w:pStyle w:val="Heading3"/>
      </w:pPr>
      <w:bookmarkStart w:id="2700" w:name="_Toc1396"/>
      <w:r>
        <w:t>دیوان التهامی‏</w:t>
      </w:r>
      <w:bookmarkEnd w:id="2700"/>
    </w:p>
    <w:p>
      <w:pPr>
        <w:pStyle w:val="BookText"/>
      </w:pPr>
      <w:r>
        <w:rPr>
          <w:rFonts w:ascii="IRNazanin" w:hAnsi="IRNazanin" w:eastAsia="IRNazanin" w:cs="IRNazanin"/>
          <w:lang w:bidi="fa-IR"/>
          <w:color w:val="111111"/>
          <w:sz w:val="28"/>
          <w:szCs w:val="28"/>
          <w:rtl/>
        </w:rPr>
        <w:t xml:space="preserve">مر بعنوان دیوان أبی الحسن التهامی.</w:t>
      </w:r>
    </w:p>
    <w:p>
      <w:pPr>
        <w:pStyle w:val="Heading3"/>
      </w:pPr>
      <w:bookmarkStart w:id="2701" w:name="_Toc1397"/>
      <w:r>
        <w:t>1140- دیوان التهامی‏</w:t>
      </w:r>
      <w:bookmarkEnd w:id="2701"/>
    </w:p>
    <w:p>
      <w:pPr>
        <w:pStyle w:val="BookText"/>
      </w:pPr>
      <w:r>
        <w:rPr>
          <w:rFonts w:ascii="IRNazanin" w:hAnsi="IRNazanin" w:eastAsia="IRNazanin" w:cs="IRNazanin"/>
          <w:lang w:bidi="fa-IR"/>
          <w:color w:val="111111"/>
          <w:sz w:val="28"/>
          <w:szCs w:val="28"/>
          <w:rtl/>
        </w:rPr>
        <w:t xml:space="preserve">اسمه الشجاع بن منصور التهامی. عده ابن شهرآشوب فی آخر المعالم من الفرقة الثالثة من الشعراء المقتصدین فی شعرهم لأهل البیت و هم من أصحاب الأئمة علیه السلام  مثل فرزدق و دعبل و الکمیت و المفجع الذین دونت أشعارهم و رویت عنهم.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80" w:name="pg11704_121657"/>
    <w:bookmarkEnd w:id="180"/>
    <w:p>
      <w:pPr>
        <w:pStyle w:val="Heading3"/>
      </w:pPr>
      <w:bookmarkStart w:id="2702" w:name="_Toc1398"/>
      <w:r>
        <w:t>ث‏</w:t>
      </w:r>
      <w:bookmarkEnd w:id="2702"/>
    </w:p>
    <w:p>
      <w:pPr>
        <w:pStyle w:val="Heading3"/>
      </w:pPr>
      <w:bookmarkStart w:id="2703" w:name="_Toc1399"/>
      <w:r>
        <w:t>1141- دیوان ثابتای کاشی أو شعره‏</w:t>
      </w:r>
      <w:bookmarkEnd w:id="2703"/>
    </w:p>
    <w:p>
      <w:pPr>
        <w:pStyle w:val="BookText"/>
      </w:pPr>
      <w:r>
        <w:rPr>
          <w:rFonts w:ascii="IRNazanin" w:hAnsi="IRNazanin" w:eastAsia="IRNazanin" w:cs="IRNazanin"/>
          <w:lang w:bidi="fa-IR"/>
          <w:color w:val="111111"/>
          <w:sz w:val="28"/>
          <w:szCs w:val="28"/>
          <w:rtl/>
        </w:rPr>
        <w:t xml:space="preserve">کان واقعه نویسا، و مات فی العشر الثامن من المائة الثانیة عشرة کما یظهر من (نر 9- ص 371).</w:t>
      </w:r>
    </w:p>
    <w:p>
      <w:pPr>
        <w:pStyle w:val="Heading3"/>
      </w:pPr>
      <w:bookmarkStart w:id="2704" w:name="_Toc1400"/>
      <w:r>
        <w:t>1142- دیوان ثابت أندبیلی‏</w:t>
      </w:r>
      <w:bookmarkEnd w:id="2704"/>
    </w:p>
    <w:p>
      <w:pPr>
        <w:pStyle w:val="BookText"/>
      </w:pPr>
      <w:r>
        <w:rPr>
          <w:rFonts w:ascii="IRNazanin" w:hAnsi="IRNazanin" w:eastAsia="IRNazanin" w:cs="IRNazanin"/>
          <w:lang w:bidi="fa-IR"/>
          <w:color w:val="111111"/>
          <w:sz w:val="28"/>
          <w:szCs w:val="28"/>
          <w:rtl/>
        </w:rPr>
        <w:t xml:space="preserve">من شعراء أواسط المائة الثالثة عشرة، ولد باندبیل من قری رودقات من أعمال تبریز، و سکن تبریز، و دیوانه فی حدود الألفین و الخمسمائة بیت فارسیة و ترکیة أکثرها فی المصائب، أورد ذکره فی (دجا- ص 88) و ریحانة الأدب و أورد من شعره:</w:t>
      </w:r>
    </w:p>
    <w:p>
      <w:pPr>
        <w:pStyle w:val="BookText"/>
      </w:pPr>
      <w:r>
        <w:rPr>
          <w:rFonts w:ascii="IRNazanin" w:hAnsi="IRNazanin" w:eastAsia="IRNazanin" w:cs="IRNazanin"/>
          <w:lang w:bidi="fa-IR"/>
          <w:color w:val="111111"/>
          <w:sz w:val="28"/>
          <w:szCs w:val="28"/>
          <w:rtl/>
        </w:rPr>
        <w:t xml:space="preserve">ثابت از زاهد پشمینه حذر کن بگریز</w:t>
      </w:r>
    </w:p>
    <w:p>
      <w:pPr>
        <w:pStyle w:val="BookText"/>
      </w:pPr>
      <w:r>
        <w:rPr>
          <w:rFonts w:ascii="IRNazanin" w:hAnsi="IRNazanin" w:eastAsia="IRNazanin" w:cs="IRNazanin"/>
          <w:lang w:bidi="fa-IR"/>
          <w:color w:val="111111"/>
          <w:sz w:val="28"/>
          <w:szCs w:val="28"/>
          <w:rtl/>
        </w:rPr>
        <w:t xml:space="preserve">گرگ طبع است ولی آمده در صورت میش‏</w:t>
      </w:r>
    </w:p>
    <w:p>
      <w:pPr>
        <w:pStyle w:val="Heading3"/>
      </w:pPr>
      <w:bookmarkStart w:id="2705" w:name="_Toc1401"/>
      <w:r>
        <w:t>1143- دیوان ثابت بخاری أو شعره‏</w:t>
      </w:r>
      <w:bookmarkEnd w:id="2705"/>
    </w:p>
    <w:p>
      <w:pPr>
        <w:pStyle w:val="BookText"/>
      </w:pPr>
      <w:r>
        <w:rPr>
          <w:rFonts w:ascii="IRNazanin" w:hAnsi="IRNazanin" w:eastAsia="IRNazanin" w:cs="IRNazanin"/>
          <w:lang w:bidi="fa-IR"/>
          <w:color w:val="111111"/>
          <w:sz w:val="28"/>
          <w:szCs w:val="28"/>
          <w:rtl/>
        </w:rPr>
        <w:t xml:space="preserve">من شعراء عبد العزیز خان الأوزبک حاکم بخاری. أورد ذکره فی (نر 10- ص 438).</w:t>
      </w:r>
    </w:p>
    <w:p>
      <w:pPr>
        <w:pStyle w:val="Heading3"/>
      </w:pPr>
      <w:bookmarkStart w:id="2706" w:name="_Toc1402"/>
      <w:r>
        <w:t>1144- دیوان ثابت بدخشانی‏</w:t>
      </w:r>
      <w:bookmarkEnd w:id="2706"/>
    </w:p>
    <w:p>
      <w:pPr>
        <w:pStyle w:val="BookText"/>
      </w:pPr>
      <w:r>
        <w:rPr>
          <w:rFonts w:ascii="IRNazanin" w:hAnsi="IRNazanin" w:eastAsia="IRNazanin" w:cs="IRNazanin"/>
          <w:lang w:bidi="fa-IR"/>
          <w:color w:val="111111"/>
          <w:sz w:val="28"/>
          <w:szCs w:val="28"/>
          <w:rtl/>
        </w:rPr>
        <w:t xml:space="preserve">للمیر محمد أفضل البدخشانی الألله‏آبادی المتوفی بشاه جهان‏آباد فی (1151 رحیل ثابت) ترجمه البلگرامی فی خزانة عامرة- ص 173 و قال ما معناه إنه کان أستاذ زمانه و سحبان الهند و أکثر فی إطرائه، و قال إنه نظم وقایع الطف نظیر ما نظمه مقبل الأصفهانی المتوفی بکجرات (1157) و یسمی دیوان المراثی قال و مطلع الوقائع:</w:t>
      </w:r>
    </w:p>
    <w:p>
      <w:pPr>
        <w:pStyle w:val="BookText"/>
      </w:pPr>
      <w:r>
        <w:rPr>
          <w:rFonts w:ascii="IRNazanin" w:hAnsi="IRNazanin" w:eastAsia="IRNazanin" w:cs="IRNazanin"/>
          <w:lang w:bidi="fa-IR"/>
          <w:color w:val="111111"/>
          <w:sz w:val="28"/>
          <w:szCs w:val="28"/>
          <w:rtl/>
        </w:rPr>
        <w:t xml:space="preserve">محرم است دلا سیل خون ز دیده ببار</w:t>
      </w:r>
    </w:p>
    <w:p>
      <w:pPr>
        <w:pStyle w:val="BookText"/>
      </w:pPr>
      <w:r>
        <w:rPr>
          <w:rFonts w:ascii="IRNazanin" w:hAnsi="IRNazanin" w:eastAsia="IRNazanin" w:cs="IRNazanin"/>
          <w:lang w:bidi="fa-IR"/>
          <w:color w:val="111111"/>
          <w:sz w:val="28"/>
          <w:szCs w:val="28"/>
          <w:rtl/>
        </w:rPr>
        <w:t xml:space="preserve">ز شاه تشنه لبان آب چشم باز مدار</w:t>
      </w:r>
    </w:p>
    <w:p>
      <w:pPr>
        <w:pStyle w:val="BookText"/>
      </w:pPr>
      <w:r>
        <w:rPr>
          <w:rFonts w:ascii="IRNazanin" w:hAnsi="IRNazanin" w:eastAsia="IRNazanin" w:cs="IRNazanin"/>
          <w:lang w:bidi="fa-IR"/>
          <w:color w:val="111111"/>
          <w:sz w:val="28"/>
          <w:szCs w:val="28"/>
          <w:rtl/>
        </w:rPr>
        <w:t xml:space="preserve">ثم أورد منتخبا من غزلیاته فیظهر أن له دیوان فی المراثی و دیوان آخر فی الغزلیات و ذکر أن جده میر ضیاء الدین حسین الملقب بألقاب کثیرة عن اورنگ زیب عالم‏گیر الذی ملک تمام الخمسین سنة و توفی (1118) و یعبر عنه بخلد مکان. فلقبه الأول همت خان ثم لقب بإسلام خان ثم معظم خان و توفی (1074) و قام مقامه ولده المیر عیسی الملقب أولا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81" w:name="pg11704_121658"/>
    <w:bookmarkEnd w:id="181"/>
    <w:p>
      <w:pPr>
        <w:pStyle w:val="BookText"/>
      </w:pPr>
      <w:r>
        <w:rPr>
          <w:rFonts w:ascii="IRNazanin" w:hAnsi="IRNazanin" w:eastAsia="IRNazanin" w:cs="IRNazanin"/>
          <w:lang w:bidi="fa-IR"/>
          <w:color w:val="111111"/>
          <w:sz w:val="28"/>
          <w:szCs w:val="28"/>
          <w:rtl/>
        </w:rPr>
        <w:t xml:space="preserve">بلقب أبیه همت خان ثم ألقاب أخر إلی أن توفی (1092) و فی مفتاح التواریخ ذکر أن إسلام خان اسمه میر عبد السلام المشهدی. و ترجم ثابت البدخشانی فی (ض- ص 78) و أورد بعض شعره و فی (تش- ص 370) و ریاض الشعراء. طبع دیوانه فی (346 ص).</w:t>
      </w:r>
    </w:p>
    <w:p>
      <w:pPr>
        <w:pStyle w:val="BookText"/>
      </w:pPr>
      <w:r>
        <w:rPr>
          <w:rFonts w:ascii="IRNazanin" w:hAnsi="IRNazanin" w:eastAsia="IRNazanin" w:cs="IRNazanin"/>
          <w:lang w:bidi="fa-IR"/>
          <w:color w:val="111111"/>
          <w:sz w:val="28"/>
          <w:szCs w:val="28"/>
          <w:rtl/>
        </w:rPr>
        <w:t xml:space="preserve">و له رسالة فی لغة الفرس أیضا.</w:t>
      </w:r>
    </w:p>
    <w:p>
      <w:pPr>
        <w:pStyle w:val="Heading3"/>
      </w:pPr>
      <w:bookmarkStart w:id="2707" w:name="_Toc1403"/>
      <w:r>
        <w:t>1145- دیوان ثابت تبریزی‏</w:t>
      </w:r>
      <w:bookmarkEnd w:id="2707"/>
    </w:p>
    <w:p>
      <w:pPr>
        <w:pStyle w:val="BookText"/>
      </w:pPr>
      <w:r>
        <w:rPr>
          <w:rFonts w:ascii="IRNazanin" w:hAnsi="IRNazanin" w:eastAsia="IRNazanin" w:cs="IRNazanin"/>
          <w:lang w:bidi="fa-IR"/>
          <w:color w:val="111111"/>
          <w:sz w:val="28"/>
          <w:szCs w:val="28"/>
          <w:rtl/>
        </w:rPr>
        <w:t xml:space="preserve">الحاج محمد علی الصحاف. و دیوانه فارسی و ترکی.</w:t>
      </w:r>
    </w:p>
    <w:p>
      <w:pPr>
        <w:pStyle w:val="BookText"/>
      </w:pPr>
      <w:r>
        <w:rPr>
          <w:rFonts w:ascii="IRNazanin" w:hAnsi="IRNazanin" w:eastAsia="IRNazanin" w:cs="IRNazanin"/>
          <w:lang w:bidi="fa-IR"/>
          <w:color w:val="111111"/>
          <w:sz w:val="28"/>
          <w:szCs w:val="28"/>
          <w:rtl/>
        </w:rPr>
        <w:t xml:space="preserve">و مات (1313) ترجمه فی ریحانة الأدب و (دجا ص 89).</w:t>
      </w:r>
    </w:p>
    <w:p>
      <w:pPr>
        <w:pStyle w:val="Heading3"/>
      </w:pPr>
      <w:bookmarkStart w:id="2708" w:name="_Toc1404"/>
      <w:r>
        <w:t>1146- دیوان ثابت تبریزی أو شعره‏</w:t>
      </w:r>
      <w:bookmarkEnd w:id="2708"/>
    </w:p>
    <w:p>
      <w:pPr>
        <w:pStyle w:val="BookText"/>
      </w:pPr>
      <w:r>
        <w:rPr>
          <w:rFonts w:ascii="IRNazanin" w:hAnsi="IRNazanin" w:eastAsia="IRNazanin" w:cs="IRNazanin"/>
          <w:lang w:bidi="fa-IR"/>
          <w:color w:val="111111"/>
          <w:sz w:val="28"/>
          <w:szCs w:val="28"/>
          <w:rtl/>
        </w:rPr>
        <w:t xml:space="preserve">من شعراء تبریز المعاصرین لصائب المتوفی (1087) و من تلامیذه. أورد شعره فی (روشن ص 137) ثم ریحانة الأدب و (دجا- ص 88)</w:t>
      </w:r>
    </w:p>
    <w:p>
      <w:pPr>
        <w:pStyle w:val="Heading3"/>
      </w:pPr>
      <w:bookmarkStart w:id="2709" w:name="_Toc1405"/>
      <w:r>
        <w:t>1147- دیوان ثابت تفرشی أو شعره‏</w:t>
      </w:r>
      <w:bookmarkEnd w:id="2709"/>
    </w:p>
    <w:p>
      <w:pPr>
        <w:pStyle w:val="BookText"/>
      </w:pPr>
      <w:r>
        <w:rPr>
          <w:rFonts w:ascii="IRNazanin" w:hAnsi="IRNazanin" w:eastAsia="IRNazanin" w:cs="IRNazanin"/>
          <w:lang w:bidi="fa-IR"/>
          <w:color w:val="111111"/>
          <w:sz w:val="28"/>
          <w:szCs w:val="28"/>
          <w:rtl/>
        </w:rPr>
        <w:t xml:space="preserve">و اسمه فخر الدین التفرشی القمی. أورد شعره فی (تش- ص 229).</w:t>
      </w:r>
    </w:p>
    <w:p>
      <w:pPr>
        <w:pStyle w:val="Heading3"/>
      </w:pPr>
      <w:bookmarkStart w:id="2710" w:name="_Toc1406"/>
      <w:r>
        <w:t>1148- دیوان ثابت خلخالی أو شعره‏</w:t>
      </w:r>
      <w:bookmarkEnd w:id="2710"/>
    </w:p>
    <w:p>
      <w:pPr>
        <w:pStyle w:val="BookText"/>
      </w:pPr>
      <w:r>
        <w:rPr>
          <w:rFonts w:ascii="IRNazanin" w:hAnsi="IRNazanin" w:eastAsia="IRNazanin" w:cs="IRNazanin"/>
          <w:lang w:bidi="fa-IR"/>
          <w:color w:val="111111"/>
          <w:sz w:val="28"/>
          <w:szCs w:val="28"/>
          <w:rtl/>
        </w:rPr>
        <w:t xml:space="preserve">و اسمه صادق بیک المعمر من سکان إسپرلو من نواحی خلخال کان معاصرا لنگارستان دارا. أورد شعره الفارسی و الترکی فی ریحانة الأدب و (دجا- ص 89) عن نگارستان دارا.</w:t>
      </w:r>
    </w:p>
    <w:p>
      <w:pPr>
        <w:pStyle w:val="Heading3"/>
      </w:pPr>
      <w:bookmarkStart w:id="2711" w:name="_Toc1407"/>
      <w:r>
        <w:t>1149- دیوان ثابت خوئی‏</w:t>
      </w:r>
      <w:bookmarkEnd w:id="2711"/>
    </w:p>
    <w:p>
      <w:pPr>
        <w:pStyle w:val="BookText"/>
      </w:pPr>
      <w:r>
        <w:rPr>
          <w:rFonts w:ascii="IRNazanin" w:hAnsi="IRNazanin" w:eastAsia="IRNazanin" w:cs="IRNazanin"/>
          <w:lang w:bidi="fa-IR"/>
          <w:color w:val="111111"/>
          <w:sz w:val="28"/>
          <w:szCs w:val="28"/>
          <w:rtl/>
        </w:rPr>
        <w:t xml:space="preserve">و هو الملا حسین المعاصر. سکن برهة بگنجه ثم رجع إلی خوی. و دیوانه یشتمل علی الأشعار الفارسیة و الترکیة کذا فی ریحانة الأدب و (دجا- ص 90).</w:t>
      </w:r>
    </w:p>
    <w:p>
      <w:pPr>
        <w:pStyle w:val="Heading3"/>
      </w:pPr>
      <w:bookmarkStart w:id="2712" w:name="_Toc1408"/>
      <w:r>
        <w:t>دیوان ثابت کاشانی‏</w:t>
      </w:r>
      <w:bookmarkEnd w:id="2712"/>
    </w:p>
    <w:p>
      <w:pPr>
        <w:pStyle w:val="BookText"/>
      </w:pPr>
      <w:r>
        <w:rPr>
          <w:rFonts w:ascii="IRNazanin" w:hAnsi="IRNazanin" w:eastAsia="IRNazanin" w:cs="IRNazanin"/>
          <w:lang w:bidi="fa-IR"/>
          <w:color w:val="111111"/>
          <w:sz w:val="28"/>
          <w:szCs w:val="28"/>
          <w:rtl/>
        </w:rPr>
        <w:t xml:space="preserve">أورد شعره فی (گلشن- ص 96) و أظنه ثابتا کاشی المذکور.</w:t>
      </w:r>
    </w:p>
    <w:p>
      <w:pPr>
        <w:pStyle w:val="Heading3"/>
      </w:pPr>
      <w:bookmarkStart w:id="2713" w:name="_Toc1409"/>
      <w:r>
        <w:t>1150- دیوان ثابت کرمانی‏</w:t>
      </w:r>
      <w:bookmarkEnd w:id="2713"/>
    </w:p>
    <w:p>
      <w:pPr>
        <w:pStyle w:val="BookText"/>
      </w:pPr>
      <w:r>
        <w:rPr>
          <w:rFonts w:ascii="IRNazanin" w:hAnsi="IRNazanin" w:eastAsia="IRNazanin" w:cs="IRNazanin"/>
          <w:lang w:bidi="fa-IR"/>
          <w:color w:val="111111"/>
          <w:sz w:val="28"/>
          <w:szCs w:val="28"/>
          <w:rtl/>
        </w:rPr>
        <w:t xml:space="preserve">و اسمه انتظام السادات گلستانه الکرمانی، ناشر جریدة طوفان بکرمان فی أوائل الدستور الإیرانی له أربعة آلاف بیت جمع حدود الألف منها السید محمد الهاشمی الکرمانی بطهران، أکثرها بخط الشاعر الجید. و قد مات بطهران فی (1327 ش).</w:t>
      </w:r>
    </w:p>
    <w:p>
      <w:pPr>
        <w:pStyle w:val="Heading3"/>
      </w:pPr>
      <w:bookmarkStart w:id="2714" w:name="_Toc1410"/>
      <w:r>
        <w:t>1151- دیوان ثابت هروی أو شعره‏</w:t>
      </w:r>
      <w:bookmarkEnd w:id="2714"/>
    </w:p>
    <w:p>
      <w:pPr>
        <w:pStyle w:val="BookText"/>
      </w:pPr>
      <w:r>
        <w:rPr>
          <w:rFonts w:ascii="IRNazanin" w:hAnsi="IRNazanin" w:eastAsia="IRNazanin" w:cs="IRNazanin"/>
          <w:lang w:bidi="fa-IR"/>
          <w:color w:val="111111"/>
          <w:sz w:val="28"/>
          <w:szCs w:val="28"/>
          <w:rtl/>
        </w:rPr>
        <w:t xml:space="preserve">و اسمه علی أکبر من أمراء همایون و أکبر پادشاه. و له کتاب فی علم الصرف. مات (1105) کما فی (روشن- ص 137).</w:t>
      </w:r>
    </w:p>
    <w:p>
      <w:pPr>
        <w:pStyle w:val="Heading3"/>
      </w:pPr>
      <w:bookmarkStart w:id="2715" w:name="_Toc1411"/>
      <w:r>
        <w:t>دیوان ثابت هندی أو شعره‏</w:t>
      </w:r>
      <w:bookmarkEnd w:id="2715"/>
    </w:p>
    <w:p>
      <w:pPr>
        <w:pStyle w:val="BookText"/>
      </w:pPr>
      <w:r>
        <w:rPr>
          <w:rFonts w:ascii="IRNazanin" w:hAnsi="IRNazanin" w:eastAsia="IRNazanin" w:cs="IRNazanin"/>
          <w:lang w:bidi="fa-IR"/>
          <w:color w:val="111111"/>
          <w:sz w:val="28"/>
          <w:szCs w:val="28"/>
          <w:rtl/>
        </w:rPr>
        <w:t xml:space="preserve">و هو أفضل حسین المذکور فی (ج 7- ص 118).</w:t>
      </w:r>
    </w:p>
    <w:p>
      <w:pPr>
        <w:pStyle w:val="Heading3"/>
      </w:pPr>
      <w:bookmarkStart w:id="2716" w:name="_Toc1412"/>
      <w:r>
        <w:t>1152- دیوان ثاقب‏</w:t>
      </w:r>
      <w:bookmarkEnd w:id="2716"/>
    </w:p>
    <w:p>
      <w:pPr>
        <w:pStyle w:val="BookText"/>
      </w:pPr>
      <w:r>
        <w:rPr>
          <w:rFonts w:ascii="IRNazanin" w:hAnsi="IRNazanin" w:eastAsia="IRNazanin" w:cs="IRNazanin"/>
          <w:lang w:bidi="fa-IR"/>
          <w:color w:val="111111"/>
          <w:sz w:val="28"/>
          <w:szCs w:val="28"/>
          <w:rtl/>
        </w:rPr>
        <w:t xml:space="preserve">و اسمه محمد حسین. مات فی (1258) أورد له بهار الأصفهانی فی المدائح عدة قصائد. قال و هو الذی ألف تاریخ جهان‏آرا بأمر من الشاه.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82" w:name="pg11704_121659"/>
    <w:bookmarkEnd w:id="182"/>
    <w:p>
      <w:pPr>
        <w:pStyle w:val="BookText"/>
      </w:pPr>
      <w:r>
        <w:rPr>
          <w:rFonts w:ascii="IRNazanin" w:hAnsi="IRNazanin" w:eastAsia="IRNazanin" w:cs="IRNazanin"/>
          <w:lang w:bidi="fa-IR"/>
          <w:color w:val="111111"/>
          <w:sz w:val="28"/>
          <w:szCs w:val="28"/>
          <w:rtl/>
        </w:rPr>
        <w:t xml:space="preserve">فالظاهر أنه غیر تاریخ جهان‏آرا المذکور فی (ج 3- ص 247) و (ج 5- ص 298). و أظن الثاقب هذا هو الذی خمس دوازده بند للمحتشم الکاشانی کما ذکرته فی (ج 8- ص 269).</w:t>
      </w:r>
    </w:p>
    <w:p>
      <w:pPr>
        <w:pStyle w:val="Heading3"/>
      </w:pPr>
      <w:bookmarkStart w:id="2717" w:name="_Toc1413"/>
      <w:r>
        <w:t>1153- دیوان ثاقب أزمیری‏</w:t>
      </w:r>
      <w:bookmarkEnd w:id="2717"/>
    </w:p>
    <w:p>
      <w:pPr>
        <w:pStyle w:val="BookText"/>
      </w:pPr>
      <w:r>
        <w:rPr>
          <w:rFonts w:ascii="IRNazanin" w:hAnsi="IRNazanin" w:eastAsia="IRNazanin" w:cs="IRNazanin"/>
          <w:lang w:bidi="fa-IR"/>
          <w:color w:val="111111"/>
          <w:sz w:val="28"/>
          <w:szCs w:val="28"/>
          <w:rtl/>
        </w:rPr>
        <w:t xml:space="preserve">الشیخ مصطفی من مشایخ المولویة. سکن أدرنة و مات (1148) و دیوانه مرتب. أورد ذکره فی قاموس الأعلام الترکیة و عنه فی ریحانة الأدب.</w:t>
      </w:r>
    </w:p>
    <w:p>
      <w:pPr>
        <w:pStyle w:val="Heading3"/>
      </w:pPr>
      <w:bookmarkStart w:id="2718" w:name="_Toc1414"/>
      <w:r>
        <w:t>دیوان ثاقب بخاری أو شعره‏</w:t>
      </w:r>
      <w:bookmarkEnd w:id="2718"/>
    </w:p>
    <w:p>
      <w:pPr>
        <w:pStyle w:val="BookText"/>
      </w:pPr>
      <w:r>
        <w:rPr>
          <w:rFonts w:ascii="IRNazanin" w:hAnsi="IRNazanin" w:eastAsia="IRNazanin" w:cs="IRNazanin"/>
          <w:lang w:bidi="fa-IR"/>
          <w:color w:val="111111"/>
          <w:sz w:val="28"/>
          <w:szCs w:val="28"/>
          <w:rtl/>
        </w:rPr>
        <w:t xml:space="preserve">أورد شعره فی (گلشن- ص 96) و أظنه ثابت بخاری المذکور آنفا.</w:t>
      </w:r>
    </w:p>
    <w:p>
      <w:pPr>
        <w:pStyle w:val="Heading3"/>
      </w:pPr>
      <w:bookmarkStart w:id="2719" w:name="_Toc1415"/>
      <w:r>
        <w:t>1154- دیوان ثاقب سرهندی أو شعره‏</w:t>
      </w:r>
      <w:bookmarkEnd w:id="2719"/>
    </w:p>
    <w:p>
      <w:pPr>
        <w:pStyle w:val="BookText"/>
      </w:pPr>
      <w:r>
        <w:rPr>
          <w:rFonts w:ascii="IRNazanin" w:hAnsi="IRNazanin" w:eastAsia="IRNazanin" w:cs="IRNazanin"/>
          <w:lang w:bidi="fa-IR"/>
          <w:color w:val="111111"/>
          <w:sz w:val="28"/>
          <w:szCs w:val="28"/>
          <w:rtl/>
        </w:rPr>
        <w:t xml:space="preserve">و اسمه مفاخر حسین (تفاخر حسین) و هو عم محمد زمان راسخ. مات بسرهند. أورد شعره فی (سرخوش- ص 21).</w:t>
      </w:r>
    </w:p>
    <w:p>
      <w:pPr>
        <w:pStyle w:val="Heading3"/>
      </w:pPr>
      <w:bookmarkStart w:id="2720" w:name="_Toc1416"/>
      <w:r>
        <w:t>1155- دیوان ثاقب مدراسی أو شعره‏</w:t>
      </w:r>
      <w:bookmarkEnd w:id="2720"/>
    </w:p>
    <w:p>
      <w:pPr>
        <w:pStyle w:val="BookText"/>
      </w:pPr>
      <w:r>
        <w:rPr>
          <w:rFonts w:ascii="IRNazanin" w:hAnsi="IRNazanin" w:eastAsia="IRNazanin" w:cs="IRNazanin"/>
          <w:lang w:bidi="fa-IR"/>
          <w:color w:val="111111"/>
          <w:sz w:val="28"/>
          <w:szCs w:val="28"/>
          <w:rtl/>
        </w:rPr>
        <w:t xml:space="preserve">و اسمه السید مهدی الحسینی أخو بینش السید مرتضی. أورد شعره فی (گلشن- ص 98).</w:t>
      </w:r>
    </w:p>
    <w:p>
      <w:pPr>
        <w:pStyle w:val="Heading3"/>
      </w:pPr>
      <w:bookmarkStart w:id="2721" w:name="_Toc1417"/>
      <w:r>
        <w:t>1156- دیوان ثاقب هندی أو شعره‏</w:t>
      </w:r>
      <w:bookmarkEnd w:id="2721"/>
    </w:p>
    <w:p>
      <w:pPr>
        <w:pStyle w:val="BookText"/>
      </w:pPr>
      <w:r>
        <w:rPr>
          <w:rFonts w:ascii="IRNazanin" w:hAnsi="IRNazanin" w:eastAsia="IRNazanin" w:cs="IRNazanin"/>
          <w:lang w:bidi="fa-IR"/>
          <w:color w:val="111111"/>
          <w:sz w:val="28"/>
          <w:szCs w:val="28"/>
          <w:rtl/>
        </w:rPr>
        <w:t xml:space="preserve">و هو نجم الدین خان بن حمید الدین بن الملا محمد غوث. کان والده حمید الدین معلما لأورنگ زیب عالمگیر پادشاه. أورد ذکره فی (گلشن ص 143). و ذکر فی قاموس الأعلام الترکیة شاعرا هندیا باسم ثاقب مات (1229).</w:t>
      </w:r>
    </w:p>
    <w:p>
      <w:pPr>
        <w:pStyle w:val="Heading3"/>
      </w:pPr>
      <w:bookmarkStart w:id="2722" w:name="_Toc1418"/>
      <w:r>
        <w:t>1157- دیوان ثانی‏</w:t>
      </w:r>
      <w:bookmarkEnd w:id="2722"/>
    </w:p>
    <w:p>
      <w:pPr>
        <w:pStyle w:val="BookText"/>
      </w:pPr>
      <w:r>
        <w:rPr>
          <w:rFonts w:ascii="IRNazanin" w:hAnsi="IRNazanin" w:eastAsia="IRNazanin" w:cs="IRNazanin"/>
          <w:lang w:bidi="fa-IR"/>
          <w:color w:val="111111"/>
          <w:sz w:val="28"/>
          <w:szCs w:val="28"/>
          <w:rtl/>
        </w:rPr>
        <w:t xml:space="preserve">و هو الشاه عباس الثانی بن الشاه صفی حفید الشاه عباس الأول.</w:t>
      </w:r>
    </w:p>
    <w:p>
      <w:pPr>
        <w:pStyle w:val="BookText"/>
      </w:pPr>
      <w:r>
        <w:rPr>
          <w:rFonts w:ascii="IRNazanin" w:hAnsi="IRNazanin" w:eastAsia="IRNazanin" w:cs="IRNazanin"/>
          <w:lang w:bidi="fa-IR"/>
          <w:color w:val="111111"/>
          <w:sz w:val="28"/>
          <w:szCs w:val="28"/>
          <w:rtl/>
        </w:rPr>
        <w:t xml:space="preserve">جلس علی سریر الملک قبل أن یبلغ الحادیة عشرة من عمره فی (1052) بعد موت أبیه و طال ملکه خمسا و عشرین سنة و توفی (1077). أورد بعض شعره تیمنا فی (نر أ- ص 10) و ذکر أنه کان یتخلص فی أشعاره ثانی و ذکره فی (مع- ج 1- ص 40) مع أغلاط فی تواریخه و کذا فی ج 8 من روضة الصفا الناصری.</w:t>
      </w:r>
    </w:p>
    <w:p>
      <w:pPr>
        <w:pStyle w:val="Heading3"/>
      </w:pPr>
      <w:bookmarkStart w:id="2723" w:name="_Toc1419"/>
      <w:r>
        <w:t>دیوان ثانی‏</w:t>
      </w:r>
      <w:bookmarkEnd w:id="2723"/>
    </w:p>
    <w:p>
      <w:pPr>
        <w:pStyle w:val="BookText"/>
      </w:pPr>
      <w:r>
        <w:rPr>
          <w:rFonts w:ascii="IRNazanin" w:hAnsi="IRNazanin" w:eastAsia="IRNazanin" w:cs="IRNazanin"/>
          <w:lang w:bidi="fa-IR"/>
          <w:color w:val="111111"/>
          <w:sz w:val="28"/>
          <w:szCs w:val="28"/>
          <w:rtl/>
        </w:rPr>
        <w:t xml:space="preserve">هو المولی حسن بن المولی شانی تکلو من شعراء الشاه عباس الماضی کما یأتی قال فی خزانة عامرة بعد ترجمه أبیه فی (ص 270) إنه توفی ابنه هذا شابا فی (1067) و أورد بعض شعره. و کذا فی (تغ- ص 34) و لکن فی (نر 9- ص 295) لم یذکر تخلصه و انما ذکره بعنوان حسن بیک و لعله تصحیف شانی.</w:t>
      </w:r>
    </w:p>
    <w:p>
      <w:pPr>
        <w:pStyle w:val="Heading3"/>
      </w:pPr>
      <w:bookmarkStart w:id="2724" w:name="_Toc1420"/>
      <w:r>
        <w:t>دیوان ثانی هندی أو شعره‏</w:t>
      </w:r>
      <w:bookmarkEnd w:id="2724"/>
    </w:p>
    <w:p>
      <w:pPr>
        <w:pStyle w:val="BookText"/>
      </w:pPr>
      <w:r>
        <w:rPr>
          <w:rFonts w:ascii="IRNazanin" w:hAnsi="IRNazanin" w:eastAsia="IRNazanin" w:cs="IRNazanin"/>
          <w:lang w:bidi="fa-IR"/>
          <w:color w:val="111111"/>
          <w:sz w:val="28"/>
          <w:szCs w:val="28"/>
          <w:rtl/>
        </w:rPr>
        <w:t xml:space="preserve">من أمراء همایون و أکبر پادشاه. أورد شعره فی (گلشن-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83" w:name="pg11704_121660"/>
    <w:bookmarkEnd w:id="183"/>
    <w:p>
      <w:pPr>
        <w:pStyle w:val="BookText"/>
      </w:pPr>
      <w:r>
        <w:rPr>
          <w:rFonts w:ascii="IRNazanin" w:hAnsi="IRNazanin" w:eastAsia="IRNazanin" w:cs="IRNazanin"/>
          <w:lang w:bidi="fa-IR"/>
          <w:color w:val="111111"/>
          <w:sz w:val="28"/>
          <w:szCs w:val="28"/>
          <w:rtl/>
        </w:rPr>
        <w:t xml:space="preserve">ص 98) و لعله ثابت هروی المذکور.</w:t>
      </w:r>
    </w:p>
    <w:p>
      <w:pPr>
        <w:pStyle w:val="Heading3"/>
      </w:pPr>
      <w:bookmarkStart w:id="2725" w:name="_Toc1421"/>
      <w:r>
        <w:t>1158- دیوان ثبات‏</w:t>
      </w:r>
      <w:bookmarkEnd w:id="2725"/>
    </w:p>
    <w:p>
      <w:pPr>
        <w:pStyle w:val="BookText"/>
      </w:pPr>
      <w:r>
        <w:rPr>
          <w:rFonts w:ascii="IRNazanin" w:hAnsi="IRNazanin" w:eastAsia="IRNazanin" w:cs="IRNazanin"/>
          <w:lang w:bidi="fa-IR"/>
          <w:color w:val="111111"/>
          <w:sz w:val="28"/>
          <w:szCs w:val="28"/>
          <w:rtl/>
        </w:rPr>
        <w:t xml:space="preserve">للمیر محمد عظیم بن میر محمد أفضل البدخشانی الألله‏آبادی المذکور ترجمه أیضا فی خزانة عامرة فی (ص 176) ذکر أنه بعد موت والده تمحض فی إنشاء الشعر و مهر، فیه لکنه توفی شابا (1162) و حکی عن مجمع النفائس تألیف خان آرزو أنه رأی دیوانه البالغ أربعة آلاف بیت و أصلحه علی حسب استدعاء ناظمه، و نقل عنه بعض أشعاره. أورد شعره فی (تش- ص 370).</w:t>
      </w:r>
    </w:p>
    <w:p>
      <w:pPr>
        <w:pStyle w:val="Heading3"/>
      </w:pPr>
      <w:bookmarkStart w:id="2726" w:name="_Toc1422"/>
      <w:r>
        <w:t>1159- دیوان ثباتی أردوبادی أو شعره‏</w:t>
      </w:r>
      <w:bookmarkEnd w:id="2726"/>
    </w:p>
    <w:p>
      <w:pPr>
        <w:pStyle w:val="BookText"/>
      </w:pPr>
      <w:r>
        <w:rPr>
          <w:rFonts w:ascii="IRNazanin" w:hAnsi="IRNazanin" w:eastAsia="IRNazanin" w:cs="IRNazanin"/>
          <w:lang w:bidi="fa-IR"/>
          <w:color w:val="111111"/>
          <w:sz w:val="28"/>
          <w:szCs w:val="28"/>
          <w:rtl/>
        </w:rPr>
        <w:t xml:space="preserve">کان عالما بالتأریخ و المعمی. أورد ذکره و أطری شعره فی خلاصة الأشعار و عنه فی (دجا- ص 91).</w:t>
      </w:r>
    </w:p>
    <w:p>
      <w:pPr>
        <w:pStyle w:val="Heading3"/>
      </w:pPr>
      <w:bookmarkStart w:id="2727" w:name="_Toc1423"/>
      <w:r>
        <w:t>1160- دیوان ثریا شیرازی‏</w:t>
      </w:r>
      <w:bookmarkEnd w:id="2727"/>
    </w:p>
    <w:p>
      <w:pPr>
        <w:pStyle w:val="BookText"/>
      </w:pPr>
      <w:r>
        <w:rPr>
          <w:rFonts w:ascii="IRNazanin" w:hAnsi="IRNazanin" w:eastAsia="IRNazanin" w:cs="IRNazanin"/>
          <w:lang w:bidi="fa-IR"/>
          <w:color w:val="111111"/>
          <w:sz w:val="28"/>
          <w:szCs w:val="28"/>
          <w:rtl/>
        </w:rPr>
        <w:t xml:space="preserve">للمیرزا علی أکبر المستوفی الشیرازی بن الحاج میرزا فتح الله الشیرازی الشهیر بنوری لأنه کان منشی الحضرات النوریة بشیراز و کان مالک البستان المعروف بباغ حبیب‏آباد فی شیراز و توفی بها (1305) کما ذکر فی (عم- ص 512) و المیرزا علی أکبر الثریا هو والد المیرزا حسن علی الشاب الشاعر المتخلص برونق کما یأتی. ذکره معاصره فی (عم- ص 534) فی الهامش و أورد رباعیة. من شعره و قد ألف آثار العجم (1313) و توفی مؤلفه (1339).</w:t>
      </w:r>
    </w:p>
    <w:p>
      <w:pPr>
        <w:pStyle w:val="Heading3"/>
      </w:pPr>
      <w:bookmarkStart w:id="2728" w:name="_Toc1424"/>
      <w:r>
        <w:t>1161- دیوان ثریا طهرانی‏</w:t>
      </w:r>
      <w:bookmarkEnd w:id="2728"/>
    </w:p>
    <w:p>
      <w:pPr>
        <w:pStyle w:val="BookText"/>
      </w:pPr>
      <w:r>
        <w:rPr>
          <w:rFonts w:ascii="IRNazanin" w:hAnsi="IRNazanin" w:eastAsia="IRNazanin" w:cs="IRNazanin"/>
          <w:lang w:bidi="fa-IR"/>
          <w:color w:val="111111"/>
          <w:sz w:val="28"/>
          <w:szCs w:val="28"/>
          <w:rtl/>
        </w:rPr>
        <w:t xml:space="preserve">و هو المولی حیدر علی الملقب بمجد الأدباء المعلم لفرح السلطنة بنت الشاه ناصر الدین التی ولدت (1295) و مدائحه للأئمة یسمی خیر الأنام مر فی (ج 7- ص 284) له أشعار کثیرة فی تواریخ و وفیات العلماء منها تاریخ وفاة الملا علی الکنی (1306) و السید إسماعیل البهبهانی (1295) أوردها فی (المآثر- ص 225) و کان ماهرا فی الخط و الصحافة. یوجد نسخه من دیوانه فی حدود (400 بیت) و أخری ضمن مجموعة بخط المولی حسن علی المداح کلتاهما عند السید محمد الموسوی الجزائری فی النجف. و فیها الغدیریة التی فی آخرها مدیح أعلم العلماء السید إسماعیل (و لعله البهبهانی) المذکور.</w:t>
      </w:r>
    </w:p>
    <w:p>
      <w:pPr>
        <w:pStyle w:val="Heading3"/>
      </w:pPr>
      <w:bookmarkStart w:id="2729" w:name="_Toc1425"/>
      <w:r>
        <w:t>دیوان ثریا قاجار أو شعره‏</w:t>
      </w:r>
      <w:bookmarkEnd w:id="2729"/>
    </w:p>
    <w:p>
      <w:pPr>
        <w:pStyle w:val="BookText"/>
      </w:pPr>
      <w:r>
        <w:rPr>
          <w:rFonts w:ascii="IRNazanin" w:hAnsi="IRNazanin" w:eastAsia="IRNazanin" w:cs="IRNazanin"/>
          <w:lang w:bidi="fa-IR"/>
          <w:color w:val="111111"/>
          <w:sz w:val="28"/>
          <w:szCs w:val="28"/>
          <w:rtl/>
        </w:rPr>
        <w:t xml:space="preserve">ذکرنا بعض أحواله فی (ج 3- ص 245 و ج 5- ص 116).</w:t>
      </w:r>
    </w:p>
    <w:p>
      <w:pPr>
        <w:pStyle w:val="Heading3"/>
      </w:pPr>
      <w:bookmarkStart w:id="2730" w:name="_Toc1426"/>
      <w:r>
        <w:t>1162- دیوان ثمر</w:t>
      </w:r>
      <w:bookmarkEnd w:id="2730"/>
    </w:p>
    <w:p>
      <w:pPr>
        <w:pStyle w:val="BookText"/>
      </w:pPr>
      <w:r>
        <w:rPr>
          <w:rFonts w:ascii="IRNazanin" w:hAnsi="IRNazanin" w:eastAsia="IRNazanin" w:cs="IRNazanin"/>
          <w:lang w:bidi="fa-IR"/>
          <w:color w:val="111111"/>
          <w:sz w:val="28"/>
          <w:szCs w:val="28"/>
          <w:rtl/>
        </w:rPr>
        <w:t xml:space="preserve">للمیرزا محمد حسین خان المتخلص بثمر مطبوع بإیران.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84" w:name="pg11704_121661"/>
    <w:bookmarkEnd w:id="184"/>
    <w:p>
      <w:pPr>
        <w:pStyle w:val="Heading3"/>
      </w:pPr>
      <w:bookmarkStart w:id="2731" w:name="_Toc1427"/>
      <w:r>
        <w:t>1163- دیوان ثنا کشمیری أو شعره‏</w:t>
      </w:r>
      <w:bookmarkEnd w:id="2731"/>
    </w:p>
    <w:p>
      <w:pPr>
        <w:pStyle w:val="BookText"/>
      </w:pPr>
      <w:r>
        <w:rPr>
          <w:rFonts w:ascii="IRNazanin" w:hAnsi="IRNazanin" w:eastAsia="IRNazanin" w:cs="IRNazanin"/>
          <w:lang w:bidi="fa-IR"/>
          <w:color w:val="111111"/>
          <w:sz w:val="28"/>
          <w:szCs w:val="28"/>
          <w:rtl/>
        </w:rPr>
        <w:t xml:space="preserve">للشیخ هبة الله من تلامیذ الشیخ علی الحزین.</w:t>
      </w:r>
    </w:p>
    <w:p>
      <w:pPr>
        <w:pStyle w:val="BookText"/>
      </w:pPr>
      <w:r>
        <w:rPr>
          <w:rFonts w:ascii="IRNazanin" w:hAnsi="IRNazanin" w:eastAsia="IRNazanin" w:cs="IRNazanin"/>
          <w:lang w:bidi="fa-IR"/>
          <w:color w:val="111111"/>
          <w:sz w:val="28"/>
          <w:szCs w:val="28"/>
          <w:rtl/>
        </w:rPr>
        <w:t xml:space="preserve">مات فی أواسط المائة الثانیة عشرة. أورد شعره فی (گلشن- ص 99).</w:t>
      </w:r>
    </w:p>
    <w:p>
      <w:pPr>
        <w:pStyle w:val="Heading3"/>
      </w:pPr>
      <w:bookmarkStart w:id="2732" w:name="_Toc1428"/>
      <w:r>
        <w:t>1164- دیوان ثنائی مشهدی‏</w:t>
      </w:r>
      <w:bookmarkEnd w:id="2732"/>
    </w:p>
    <w:p>
      <w:pPr>
        <w:pStyle w:val="BookText"/>
      </w:pPr>
      <w:r>
        <w:rPr>
          <w:rFonts w:ascii="IRNazanin" w:hAnsi="IRNazanin" w:eastAsia="IRNazanin" w:cs="IRNazanin"/>
          <w:lang w:bidi="fa-IR"/>
          <w:color w:val="111111"/>
          <w:sz w:val="28"/>
          <w:szCs w:val="28"/>
          <w:rtl/>
        </w:rPr>
        <w:t xml:space="preserve">للخواجة حسین المشهدی ترجمه معاصره صادقی الکتاب دار المولود (940) فی (خص 8- ص 149) و عده فی مطلع الشمس من شعراء مشهد خراسان و قال إن دیوانه فی خمسة آلاف بیت. أقول توجد نسخه منه عند (الملک) و نسختان فی مکتبة سپهسالار کما فی فهرسها (ج 2- ص 576) إحداهما بخط محمد حسین المشهدی فی (1014) منضما مع دیوان ولی الدشت بیاضی، و الأخری منضما إلی دیوان نظام الأسترآبادی، و کتب فی مقدمه دیوانه دیباجة منثورة ذکر فیها اسمه و نسبه و نسبته و تخلصه و إنه خواجه حسین بن غیاث الدین محمد المشهدی المتخلص بثنائی و فیه القصائد و الغزلیات و القطعات و الرباعیات و ساقی‏نامه و قصائد کثیرة فی مدح الشاه‏زاده إبراهیم میرزا بن بهرام میرزا أخ الشاه طهماسب المتخلص بجاهی الذی قتله مع عشرة من الشاهزادات فی یوم واحد الشاه إسماعیل الثانی الصفوی فی (985) و صرح بأنه کان من ندماء إبراهیم میرزا، و توفی هو بلاهور فی (996) کما أرخه فی تذکره خوش‏گو و قال إن ابن خاله المیر محمد باقر بن المیر عرب شاه حمل جنازته إلی مشهد خراسان و رأیت نسخه عصر الناظم فی موقوفة (العطار ببغداد) یقرأ من تاریخها التسعمائة و لا یقرأ الباقی و نسخه ناقصة فی کتب الشیخ موسی الأردبیلی فی النجف أوله:</w:t>
      </w:r>
    </w:p>
    <w:p>
      <w:pPr>
        <w:pStyle w:val="BookText"/>
      </w:pPr>
      <w:r>
        <w:rPr>
          <w:rFonts w:ascii="IRNazanin" w:hAnsi="IRNazanin" w:eastAsia="IRNazanin" w:cs="IRNazanin"/>
          <w:lang w:bidi="fa-IR"/>
          <w:color w:val="111111"/>
          <w:sz w:val="28"/>
          <w:szCs w:val="28"/>
          <w:rtl/>
        </w:rPr>
        <w:t xml:space="preserve">در روش حسن و ناز هست بسی خوش‏نما</w:t>
      </w:r>
    </w:p>
    <w:p>
      <w:pPr>
        <w:pStyle w:val="BookText"/>
      </w:pPr>
      <w:r>
        <w:rPr>
          <w:rFonts w:ascii="IRNazanin" w:hAnsi="IRNazanin" w:eastAsia="IRNazanin" w:cs="IRNazanin"/>
          <w:lang w:bidi="fa-IR"/>
          <w:color w:val="111111"/>
          <w:sz w:val="28"/>
          <w:szCs w:val="28"/>
          <w:rtl/>
        </w:rPr>
        <w:t xml:space="preserve">غمزه بطرز ستم عشق برنگ جفا</w:t>
      </w:r>
    </w:p>
    <w:p>
      <w:pPr>
        <w:pStyle w:val="BookText"/>
      </w:pPr>
      <w:r>
        <w:rPr>
          <w:rFonts w:ascii="IRNazanin" w:hAnsi="IRNazanin" w:eastAsia="IRNazanin" w:cs="IRNazanin"/>
          <w:lang w:bidi="fa-IR"/>
          <w:color w:val="111111"/>
          <w:sz w:val="28"/>
          <w:szCs w:val="28"/>
          <w:rtl/>
        </w:rPr>
        <w:t xml:space="preserve">إلی قوله:</w:t>
      </w:r>
    </w:p>
    <w:p>
      <w:pPr>
        <w:pStyle w:val="BookText"/>
      </w:pPr>
      <w:r>
        <w:rPr>
          <w:rFonts w:ascii="IRNazanin" w:hAnsi="IRNazanin" w:eastAsia="IRNazanin" w:cs="IRNazanin"/>
          <w:lang w:bidi="fa-IR"/>
          <w:color w:val="111111"/>
          <w:sz w:val="28"/>
          <w:szCs w:val="28"/>
          <w:rtl/>
        </w:rPr>
        <w:t xml:space="preserve">ماه شفاعت ضیا مهر هدایت فروغ‏</w:t>
      </w:r>
    </w:p>
    <w:p>
      <w:pPr>
        <w:pStyle w:val="BookText"/>
      </w:pPr>
      <w:r>
        <w:rPr>
          <w:rFonts w:ascii="IRNazanin" w:hAnsi="IRNazanin" w:eastAsia="IRNazanin" w:cs="IRNazanin"/>
          <w:lang w:bidi="fa-IR"/>
          <w:color w:val="111111"/>
          <w:sz w:val="28"/>
          <w:szCs w:val="28"/>
          <w:rtl/>
        </w:rPr>
        <w:t xml:space="preserve">نقد علی ولی شاه خراسان رضا</w:t>
      </w:r>
    </w:p>
    <w:p>
      <w:pPr>
        <w:pStyle w:val="BookText"/>
      </w:pPr>
      <w:r>
        <w:rPr>
          <w:rFonts w:ascii="IRNazanin" w:hAnsi="IRNazanin" w:eastAsia="IRNazanin" w:cs="IRNazanin"/>
          <w:lang w:bidi="fa-IR"/>
          <w:color w:val="111111"/>
          <w:sz w:val="28"/>
          <w:szCs w:val="28"/>
          <w:rtl/>
        </w:rPr>
        <w:t xml:space="preserve">و فیه مدیح الأمیر و الصدیقة و الرضا و صاحب الزمان علیه السلام  ترجمه فی میخانه و روضة الصفا و طبقات أکبری (ج 2- ص 489) و فهرس ریو و قاموس الأعلام الترکیة ناقصا و عنه فی ریحانة الأدب.</w:t>
      </w:r>
    </w:p>
    <w:p>
      <w:pPr>
        <w:pStyle w:val="Heading3"/>
      </w:pPr>
      <w:bookmarkStart w:id="2733" w:name="_Toc1429"/>
      <w:r>
        <w:t>1165- دیوان ثنائی فراهانی‏</w:t>
      </w:r>
      <w:bookmarkEnd w:id="2733"/>
    </w:p>
    <w:p>
      <w:pPr>
        <w:pStyle w:val="BookText"/>
      </w:pPr>
      <w:r>
        <w:rPr>
          <w:rFonts w:ascii="IRNazanin" w:hAnsi="IRNazanin" w:eastAsia="IRNazanin" w:cs="IRNazanin"/>
          <w:lang w:bidi="fa-IR"/>
          <w:color w:val="111111"/>
          <w:sz w:val="28"/>
          <w:szCs w:val="28"/>
          <w:rtl/>
        </w:rPr>
        <w:t xml:space="preserve">هو الوزیر المیرزا أبو القاسم القائم مقام بن سید الوزراء المیرزا عیسی الحسینی الفراهانی المقتول (1251) ترجمه فی (مع- ج 2- ص 87) و هو الذی سبب جلوس محمد شاه بن عباس میرزا بن فتح علی شاه علی تخت الملک بعد موت‏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جده فتح علی شاه و سلب حق أعمامه، و لکن محمد شاه لم یصبر علی مرور سنة عن هذه الخدمة، حتی أمر به فخنق، ثم صادر أمواله و محی آثار قبره و تألیفاته المنظومة و المنثورة. و لکن فرهاد میرزا ابن عباس میرزا جمع بعضها و طبعها بطهران فی (1280) و سماها منشئات قائم مقام و هی فی (16000 بیت) و جعل دیوانه فی ذیله، و کتب محمود صبا ملک الشعراء، له دیباجة. ثم أعید طبعه فی تبریز (1294). ثم طبع دیوانه مستقلا وحید الدستگردی فی حدود (2000 بیت) بطهران فی (1298 ش) معها ترجمه مفصلة للشاعر بقلم حفیده عبد الوهاب قائم مقام. و قد طبع منتخب منشئاته مع بعض منشئات میرزا مهدی خان الأسترآبادی وزیر نادر شاه و منشئات صاحب دیوان علی‏آبادی و فاضل گروسی و معتمد الدولة نشاط باسم مخزن الإنشاء بطهران فی (1273).</w:t>
      </w:r>
    </w:p>
    <w:p>
      <w:pPr>
        <w:pStyle w:val="BookText"/>
      </w:pPr>
      <w:r>
        <w:rPr>
          <w:rFonts w:ascii="IRNazanin" w:hAnsi="IRNazanin" w:eastAsia="IRNazanin" w:cs="IRNazanin"/>
          <w:lang w:bidi="fa-IR"/>
          <w:color w:val="111111"/>
          <w:sz w:val="28"/>
          <w:szCs w:val="28"/>
          <w:rtl/>
        </w:rPr>
        <w:t xml:space="preserve">و إحدی مثنویاته تسمی جلایرنامه الذی نظم إیرج عارف‏نامه فی قباله. و له شمایل خاقان الموجود نسخته فی مکتبة (المشکاة) المهداة إلی دانشگاه تهران کما فصله ابنی فی فهرسها (ج 2- ص 153).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85" w:name="pg11704_121663"/>
    <w:bookmarkEnd w:id="185"/>
    <w:p>
      <w:pPr>
        <w:pStyle w:val="Heading3"/>
      </w:pPr>
      <w:bookmarkStart w:id="2734" w:name="_Toc1430"/>
      <w:r>
        <w:t>ج‏</w:t>
      </w:r>
      <w:bookmarkEnd w:id="2734"/>
    </w:p>
    <w:p>
      <w:pPr>
        <w:pStyle w:val="Heading3"/>
      </w:pPr>
      <w:bookmarkStart w:id="2735" w:name="_Toc1431"/>
      <w:r>
        <w:t>دیوان جائی‏</w:t>
      </w:r>
      <w:bookmarkEnd w:id="2735"/>
    </w:p>
    <w:p>
      <w:pPr>
        <w:pStyle w:val="BookText"/>
      </w:pPr>
      <w:r>
        <w:rPr>
          <w:rFonts w:ascii="IRNazanin" w:hAnsi="IRNazanin" w:eastAsia="IRNazanin" w:cs="IRNazanin"/>
          <w:lang w:bidi="fa-IR"/>
          <w:color w:val="111111"/>
          <w:sz w:val="28"/>
          <w:szCs w:val="28"/>
          <w:rtl/>
        </w:rPr>
        <w:t xml:space="preserve">کذا فی طبقات أکبری (ج 2 ص 513) و سیأتی بعنوان دیوان حالتی‏</w:t>
      </w:r>
    </w:p>
    <w:p>
      <w:pPr>
        <w:pStyle w:val="Heading3"/>
      </w:pPr>
      <w:bookmarkStart w:id="2736" w:name="_Toc1432"/>
      <w:r>
        <w:t>دیوان جابر أبی النوادر</w:t>
      </w:r>
      <w:bookmarkEnd w:id="2736"/>
    </w:p>
    <w:p>
      <w:pPr>
        <w:pStyle w:val="BookText"/>
      </w:pPr>
      <w:r>
        <w:rPr>
          <w:rFonts w:ascii="IRNazanin" w:hAnsi="IRNazanin" w:eastAsia="IRNazanin" w:cs="IRNazanin"/>
          <w:lang w:bidi="fa-IR"/>
          <w:color w:val="111111"/>
          <w:sz w:val="28"/>
          <w:szCs w:val="28"/>
          <w:rtl/>
        </w:rPr>
        <w:t xml:space="preserve">و هو الشیخ جابر بن عبد الحسین البغدادی. جمعه بنفسه و سماه سلوة الغریب یأتی فی السین.</w:t>
      </w:r>
    </w:p>
    <w:p>
      <w:pPr>
        <w:pStyle w:val="Heading3"/>
      </w:pPr>
      <w:bookmarkStart w:id="2737" w:name="_Toc1433"/>
      <w:r>
        <w:t>1166- دیوان جابر أبی النوادر</w:t>
      </w:r>
      <w:bookmarkEnd w:id="2737"/>
    </w:p>
    <w:p>
      <w:pPr>
        <w:pStyle w:val="BookText"/>
      </w:pPr>
      <w:r>
        <w:rPr>
          <w:rFonts w:ascii="IRNazanin" w:hAnsi="IRNazanin" w:eastAsia="IRNazanin" w:cs="IRNazanin"/>
          <w:lang w:bidi="fa-IR"/>
          <w:color w:val="111111"/>
          <w:sz w:val="28"/>
          <w:szCs w:val="28"/>
          <w:rtl/>
        </w:rPr>
        <w:t xml:space="preserve">المذکور. جمعه و رتبه علی الحروف الشیخ راضی ابن عبد الحسین بن باقر بن محمد حسن آل یاسین. دونه إلی حرف الدال فی المبیضة و الباقی موجود فی المسودة بخطه.</w:t>
      </w:r>
    </w:p>
    <w:p>
      <w:pPr>
        <w:pStyle w:val="Heading3"/>
      </w:pPr>
      <w:bookmarkStart w:id="2738" w:name="_Toc1434"/>
      <w:r>
        <w:t>1167- دیوان السید جابر الأهوازی‏</w:t>
      </w:r>
      <w:bookmarkEnd w:id="2738"/>
    </w:p>
    <w:p>
      <w:pPr>
        <w:pStyle w:val="BookText"/>
      </w:pPr>
      <w:r>
        <w:rPr>
          <w:rFonts w:ascii="IRNazanin" w:hAnsi="IRNazanin" w:eastAsia="IRNazanin" w:cs="IRNazanin"/>
          <w:lang w:bidi="fa-IR"/>
          <w:color w:val="111111"/>
          <w:sz w:val="28"/>
          <w:szCs w:val="28"/>
          <w:rtl/>
        </w:rPr>
        <w:t xml:space="preserve">هو ابن مشعل نزیل الأهواز المولود بالدورق (1285).</w:t>
      </w:r>
    </w:p>
    <w:p>
      <w:pPr>
        <w:pStyle w:val="Heading3"/>
      </w:pPr>
      <w:bookmarkStart w:id="2739" w:name="_Toc1435"/>
      <w:r>
        <w:t>1168- دیوان الشیخ جابر الکشمیری‏</w:t>
      </w:r>
      <w:bookmarkEnd w:id="2739"/>
    </w:p>
    <w:p>
      <w:pPr>
        <w:pStyle w:val="BookText"/>
      </w:pPr>
      <w:r>
        <w:rPr>
          <w:rFonts w:ascii="IRNazanin" w:hAnsi="IRNazanin" w:eastAsia="IRNazanin" w:cs="IRNazanin"/>
          <w:lang w:bidi="fa-IR"/>
          <w:color w:val="111111"/>
          <w:sz w:val="28"/>
          <w:szCs w:val="28"/>
          <w:rtl/>
        </w:rPr>
        <w:t xml:space="preserve">هو ابن الشیخ مهدی آل عبد الغفار الکشمیری القزوینی الکاظمی نزیل بلد بقرب سامراء بأمر السید المجدد الشیرازی و توفی بها حدود (1322) رأیته عند ولده القائم مقامه الشیخ محمد الجواد رحمه الله. و انتقل عنه إلی ولده الشیخ عبد الهادی المتوفی شابا فی (1364).</w:t>
      </w:r>
    </w:p>
    <w:p>
      <w:pPr>
        <w:pStyle w:val="Heading3"/>
      </w:pPr>
      <w:bookmarkStart w:id="2740" w:name="_Toc1436"/>
      <w:r>
        <w:t>دیوان جاجرمی‏</w:t>
      </w:r>
      <w:bookmarkEnd w:id="2740"/>
    </w:p>
    <w:p>
      <w:pPr>
        <w:pStyle w:val="BookText"/>
      </w:pPr>
      <w:r>
        <w:rPr>
          <w:rFonts w:ascii="IRNazanin" w:hAnsi="IRNazanin" w:eastAsia="IRNazanin" w:cs="IRNazanin"/>
          <w:lang w:bidi="fa-IR"/>
          <w:color w:val="111111"/>
          <w:sz w:val="28"/>
          <w:szCs w:val="28"/>
          <w:rtl/>
        </w:rPr>
        <w:t xml:space="preserve">مر بعنوان بدر جاجرمی.</w:t>
      </w:r>
    </w:p>
    <w:p>
      <w:pPr>
        <w:pStyle w:val="Heading3"/>
      </w:pPr>
      <w:bookmarkStart w:id="2741" w:name="_Toc1437"/>
      <w:r>
        <w:t>دیوان جاجرمی‏</w:t>
      </w:r>
      <w:bookmarkEnd w:id="2741"/>
    </w:p>
    <w:p>
      <w:pPr>
        <w:pStyle w:val="BookText"/>
      </w:pPr>
      <w:r>
        <w:rPr>
          <w:rFonts w:ascii="IRNazanin" w:hAnsi="IRNazanin" w:eastAsia="IRNazanin" w:cs="IRNazanin"/>
          <w:lang w:bidi="fa-IR"/>
          <w:color w:val="111111"/>
          <w:sz w:val="28"/>
          <w:szCs w:val="28"/>
          <w:rtl/>
        </w:rPr>
        <w:t xml:space="preserve">یأتی بعنوان دیوان طالب جاجرمی.</w:t>
      </w:r>
    </w:p>
    <w:p>
      <w:pPr>
        <w:pStyle w:val="Heading3"/>
      </w:pPr>
      <w:bookmarkStart w:id="2742" w:name="_Toc1438"/>
      <w:r>
        <w:t>1169- دیوان جاروبی أو شعره‏</w:t>
      </w:r>
      <w:bookmarkEnd w:id="2742"/>
    </w:p>
    <w:p>
      <w:pPr>
        <w:pStyle w:val="BookText"/>
      </w:pPr>
      <w:r>
        <w:rPr>
          <w:rFonts w:ascii="IRNazanin" w:hAnsi="IRNazanin" w:eastAsia="IRNazanin" w:cs="IRNazanin"/>
          <w:lang w:bidi="fa-IR"/>
          <w:color w:val="111111"/>
          <w:sz w:val="28"/>
          <w:szCs w:val="28"/>
          <w:rtl/>
        </w:rPr>
        <w:t xml:space="preserve">من بلدة مرو. وصفه الهراتی فی (مجتس 6- ص 166) بالجنون و وصفه السامی فی (تس 5- ص 167) بأنه کان یعشق الأمراء. و أوردا بعض شعره.</w:t>
      </w:r>
    </w:p>
    <w:p>
      <w:pPr>
        <w:pStyle w:val="Heading3"/>
      </w:pPr>
      <w:bookmarkStart w:id="2743" w:name="_Toc1439"/>
      <w:r>
        <w:t>1170- دیوان جامع شیرازی‏</w:t>
      </w:r>
      <w:bookmarkEnd w:id="2743"/>
    </w:p>
    <w:p>
      <w:pPr>
        <w:pStyle w:val="BookText"/>
      </w:pPr>
      <w:r>
        <w:rPr>
          <w:rFonts w:ascii="IRNazanin" w:hAnsi="IRNazanin" w:eastAsia="IRNazanin" w:cs="IRNazanin"/>
          <w:lang w:bidi="fa-IR"/>
          <w:color w:val="111111"/>
          <w:sz w:val="28"/>
          <w:szCs w:val="28"/>
          <w:rtl/>
        </w:rPr>
        <w:t xml:space="preserve">للمیرزا محمد علی بن المیرزا حسین خان بن المیرزا جانی عزتی الشیرازی ترجمه فی (نر 4 و 9- ص 90 و 91 و 256) و ذکر بعض شعره الذی أرسله إلیه.</w:t>
      </w:r>
    </w:p>
    <w:p>
      <w:pPr>
        <w:pStyle w:val="BookText"/>
      </w:pPr>
      <w:r>
        <w:rPr>
          <w:rFonts w:ascii="IRNazanin" w:hAnsi="IRNazanin" w:eastAsia="IRNazanin" w:cs="IRNazanin"/>
          <w:lang w:bidi="fa-IR"/>
          <w:color w:val="111111"/>
          <w:sz w:val="28"/>
          <w:szCs w:val="28"/>
          <w:rtl/>
        </w:rPr>
        <w:t xml:space="preserve">و ذکر أیضا ترجمه جده المتخلص عزتی الشیرازی و ترجمه والده المیرزا حسین و أورد شعرهما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86" w:name="pg11704_121664"/>
    <w:bookmarkEnd w:id="186"/>
    <w:p>
      <w:pPr>
        <w:pStyle w:val="Heading3"/>
      </w:pPr>
      <w:bookmarkStart w:id="2744" w:name="_Toc1440"/>
      <w:r>
        <w:t>دیوان جامه‏باف مشهدی‏</w:t>
      </w:r>
      <w:bookmarkEnd w:id="2744"/>
    </w:p>
    <w:p>
      <w:pPr>
        <w:pStyle w:val="BookText"/>
      </w:pPr>
      <w:r>
        <w:rPr>
          <w:rFonts w:ascii="IRNazanin" w:hAnsi="IRNazanin" w:eastAsia="IRNazanin" w:cs="IRNazanin"/>
          <w:lang w:bidi="fa-IR"/>
          <w:color w:val="111111"/>
          <w:sz w:val="28"/>
          <w:szCs w:val="28"/>
          <w:rtl/>
        </w:rPr>
        <w:t xml:space="preserve">و اسمه السید محمد یأتی بتخلصه فکری مشهدی.</w:t>
      </w:r>
    </w:p>
    <w:p>
      <w:pPr>
        <w:pStyle w:val="Heading3"/>
      </w:pPr>
      <w:bookmarkStart w:id="2745" w:name="_Toc1441"/>
      <w:r>
        <w:t>1171- دیوان جامی أحمد</w:t>
      </w:r>
      <w:bookmarkEnd w:id="2745"/>
    </w:p>
    <w:p>
      <w:pPr>
        <w:pStyle w:val="BookText"/>
      </w:pPr>
      <w:r>
        <w:rPr>
          <w:rFonts w:ascii="IRNazanin" w:hAnsi="IRNazanin" w:eastAsia="IRNazanin" w:cs="IRNazanin"/>
          <w:lang w:bidi="fa-IR"/>
          <w:color w:val="111111"/>
          <w:sz w:val="28"/>
          <w:szCs w:val="28"/>
          <w:rtl/>
        </w:rPr>
        <w:t xml:space="preserve">و هو شیخ الإسلام، أبو نصر أحمد الملقب ب ژنده پیل و پیر جام و أحمد جام، الصوفی الکبیر المولود بقریة نامق من توابع قصبة جام من أعمال ترشیز بخراسان و مات (536) مطابق (أحمد جامی قدس سره) له: الاعتقادات، أنیس التائبین، بحار</w:t>
      </w:r>
    </w:p>
    <w:p>
      <w:pPr>
        <w:pStyle w:val="BookText"/>
      </w:pPr>
      <w:r>
        <w:rPr>
          <w:rFonts w:ascii="IRNazanin" w:hAnsi="IRNazanin" w:eastAsia="IRNazanin" w:cs="IRNazanin"/>
          <w:lang w:bidi="fa-IR"/>
          <w:color w:val="111111"/>
          <w:sz w:val="28"/>
          <w:szCs w:val="28"/>
          <w:rtl/>
        </w:rPr>
        <w:t xml:space="preserve">الحقیقة، التذکیرات، دیوان شعره، روضة المذنبین ألفه فی (526) للسلطان سنجر الزهدیات، سراج السائرین، السمرقندیة، فتوح الروح، کنوز الحکمة، مفتاح النجاة.</w:t>
      </w:r>
    </w:p>
    <w:p>
      <w:pPr>
        <w:pStyle w:val="BookText"/>
      </w:pPr>
      <w:r>
        <w:rPr>
          <w:rFonts w:ascii="IRNazanin" w:hAnsi="IRNazanin" w:eastAsia="IRNazanin" w:cs="IRNazanin"/>
          <w:lang w:bidi="fa-IR"/>
          <w:color w:val="111111"/>
          <w:sz w:val="28"/>
          <w:szCs w:val="28"/>
          <w:rtl/>
        </w:rPr>
        <w:t xml:space="preserve">ترجمه فی (لس- ص 129) و الکنی و الألقاب للقمی (ج 2 ص 125) و الروضات (ص 80) و (تش- ص 73) و أعیان الشیعة و ریاض العارفین و غیرها. و یوجد الیوم فی دیوانه أشعار یدل علی حسن حال قائله. و طبع دیوانه بنولکشور.</w:t>
      </w:r>
    </w:p>
    <w:p>
      <w:pPr>
        <w:pStyle w:val="Heading3"/>
      </w:pPr>
      <w:bookmarkStart w:id="2746" w:name="_Toc1442"/>
      <w:r>
        <w:t>1172- دیوان جامی بهاء الدین أو شعره‏</w:t>
      </w:r>
      <w:bookmarkEnd w:id="2746"/>
    </w:p>
    <w:p>
      <w:pPr>
        <w:pStyle w:val="BookText"/>
      </w:pPr>
      <w:r>
        <w:rPr>
          <w:rFonts w:ascii="IRNazanin" w:hAnsi="IRNazanin" w:eastAsia="IRNazanin" w:cs="IRNazanin"/>
          <w:lang w:bidi="fa-IR"/>
          <w:color w:val="111111"/>
          <w:sz w:val="28"/>
          <w:szCs w:val="28"/>
          <w:rtl/>
        </w:rPr>
        <w:t xml:space="preserve">أورد فی (نر 13- ص 469) شعره فی تاریخ فوت تیمور فی (807).</w:t>
      </w:r>
    </w:p>
    <w:p>
      <w:pPr>
        <w:pStyle w:val="Heading3"/>
      </w:pPr>
      <w:bookmarkStart w:id="2747" w:name="_Toc1443"/>
      <w:r>
        <w:t>دیوان جامی پوربها</w:t>
      </w:r>
      <w:bookmarkEnd w:id="2747"/>
    </w:p>
    <w:p>
      <w:pPr>
        <w:pStyle w:val="BookText"/>
      </w:pPr>
      <w:r>
        <w:rPr>
          <w:rFonts w:ascii="IRNazanin" w:hAnsi="IRNazanin" w:eastAsia="IRNazanin" w:cs="IRNazanin"/>
          <w:lang w:bidi="fa-IR"/>
          <w:color w:val="111111"/>
          <w:sz w:val="28"/>
          <w:szCs w:val="28"/>
          <w:rtl/>
        </w:rPr>
        <w:t xml:space="preserve">مر بعنوان پوربهای جامی.</w:t>
      </w:r>
    </w:p>
    <w:p>
      <w:pPr>
        <w:pStyle w:val="Heading3"/>
      </w:pPr>
      <w:bookmarkStart w:id="2748" w:name="_Toc1444"/>
      <w:r>
        <w:t>1173- دیوان جامی‏</w:t>
      </w:r>
      <w:bookmarkEnd w:id="2748"/>
    </w:p>
    <w:p>
      <w:pPr>
        <w:pStyle w:val="BookText"/>
      </w:pPr>
      <w:r>
        <w:rPr>
          <w:rFonts w:ascii="IRNazanin" w:hAnsi="IRNazanin" w:eastAsia="IRNazanin" w:cs="IRNazanin"/>
          <w:lang w:bidi="fa-IR"/>
          <w:color w:val="111111"/>
          <w:sz w:val="28"/>
          <w:szCs w:val="28"/>
          <w:rtl/>
        </w:rPr>
        <w:t xml:space="preserve">الشیخ نور الدین عبد الرحمن بن أحمد المولود (817) و المتوفی (898) مر فی الدرة الفاخرة له مسرته بإنشاء قصیدته فی مدح الأمیر علیه السلام  و لعل تلک القصیدة بعینها توجد فی الدیوان الموجود فی مکتبة سپهسالار کما فی فهرسها (ج 2 ص 577) فإنه ذکر فی دیباجته أنه رتب دیوانه سابقا علی ترتیب حروف القافیة ثم بدا له فی ترتیب قصائده خاصة علی الأنواع (1) ما إنشاؤه فی حمد الله و ثنائه (2) ما إنشاؤه فی نعت النبی  صلی الله علیه و آله  و مناقبه و نعت أمیر المؤمنین و الأئمة علیه السلام  (3) ما إنشاؤه فی مدیح سلطان عصره الشاه سلطان حسین میرزا بایقرا المتوفی (911) (4) ما إنشاؤه فی النصائح و المواعظ ثم راعی ترتیب حروف القافیة فی الغزلیات و المقطعات و الرباعیات و فرغ من هذا الترتیب کما یظهر من رباعیة تاریخه المعمائی فی (884 صدف) و مجموع أبیاته کما حصره فی فهرس سپهسالار (8750) بیتا و احتمل من نفاسة هذه النسخة خطا و تذهیبا و نقشا إنها المهداة إلی السلطان حسین المذکور، و هناک أیضا نسخه أخری بخط مقصود التربتی فی (949) مشتملة علی الغزلیات و المقطعات و الرباعیات فقط، و نسخه ثالثة فی غایة النفاسة کتابتها (935) مشتملة علی خصوص ترکیب بند له. و نسخه أخری فی مکتبة (المشکاة) فصل ذکرها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ولدی فی فهرسها (ج 2 ص 186- 129) و قال: إنه جمع أشعاره بنفسه ثلاث مرات، الأولی فی سنة (884) و جعل له دیباجة منثورة أولها:</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هست صلای سرخوان کریم‏</w:t>
      </w:r>
    </w:p>
    <w:p>
      <w:pPr>
        <w:pStyle w:val="BookText"/>
      </w:pPr>
      <w:r>
        <w:rPr>
          <w:rFonts w:ascii="IRNazanin" w:hAnsi="IRNazanin" w:eastAsia="IRNazanin" w:cs="IRNazanin"/>
          <w:lang w:bidi="fa-IR"/>
          <w:color w:val="111111"/>
          <w:sz w:val="28"/>
          <w:szCs w:val="28"/>
          <w:rtl/>
        </w:rPr>
        <w:t xml:space="preserve">الثانیة ما أضافه إلی دیوانه فی (885) و جعل له دیباجة منثورة أولها:</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أملی حمد المنان الکریم‏</w:t>
      </w:r>
    </w:p>
    <w:p>
      <w:pPr>
        <w:pStyle w:val="BookText"/>
      </w:pPr>
      <w:r>
        <w:rPr>
          <w:rFonts w:ascii="IRNazanin" w:hAnsi="IRNazanin" w:eastAsia="IRNazanin" w:cs="IRNazanin"/>
          <w:lang w:bidi="fa-IR"/>
          <w:color w:val="111111"/>
          <w:sz w:val="28"/>
          <w:szCs w:val="28"/>
          <w:rtl/>
        </w:rPr>
        <w:t xml:space="preserve">و لثالث مرة جمع أشعاره فی (897) و فرقها ثلاثة أقسام، القسم الأول أشعاره القدیمة سماها فاتحة الشباب القسم الثانی سماها وسط العقد و الثالث أشعاره الأخیرة سماها خاتمة الحیاة قال فی دیباجة الدیوان الثالث أنه أجری هذا التقسیم بأمر من المیر علی شیر و تبعا للأمیر خسرو الدهلوی. أوله:</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طرفه خطابیست ز سفر کریم‏</w:t>
      </w:r>
    </w:p>
    <w:p>
      <w:pPr>
        <w:pStyle w:val="BookText"/>
      </w:pPr>
      <w:r>
        <w:rPr>
          <w:rFonts w:ascii="IRNazanin" w:hAnsi="IRNazanin" w:eastAsia="IRNazanin" w:cs="IRNazanin"/>
          <w:lang w:bidi="fa-IR"/>
          <w:color w:val="111111"/>
          <w:sz w:val="28"/>
          <w:szCs w:val="28"/>
          <w:rtl/>
        </w:rPr>
        <w:t xml:space="preserve">و قد عدد فی (تس ص 86) أسماء 44 تألیفا للجامی، و قال فی مرآة الخیال (ص 73) إن له تسعا و تسعین تألیفا و لم یسمها. هذا و أول من شرح أحوال الجامی هو تلمیذه رضی الدین عبد الغفور اللاری المتوفی (912) فی رسالة مستقلة توجد عند عباس إقبال الآشتیانی بطهران و فی المتحف البریطانی. و ترجمه أیضا علی بن الحسین الکاشفی فی رشحات عین الحیاة المؤلفة (909) و ترجمه المیر علی شیر فی رسالة ترکیة سماها خمسة متحیرة و ترجمها بالفارسیة محمد آقا النخجوانی. ثم ترجم فی مجالس العشاق و تذکره دولت شاه و مجالس النفائس و حبیب السیر و لطائف الطوائف و الشقائق النعمانیة و کذا فی أکثر التذاکر المتأخرة. ثم إن الکاپیتان ناسولیس ترجمه مفصلا فی مقدمه الطبع لنفحات الأنس (ط. کلکتة- 1859 م) ثم المستر براون فی (ج 3- ص 562- 597) من الترجمة الفارسیة، و جمع جمیع ذلک علی أصغر حکمت فی کتاب سماه الجامی طبع بطهران فی (1320 ش) فی (412 ص) و قد طبع کلیاته مکررا، منها بالهند فی (568 ص) فی (1904 م) و طبع دیوانه مکررا أیضا منها بتصحیح حسین پژمان بختیاری المذکور بطهران فی (416 ص) و طبع یوسف زلیخا له مکررا أیضا منها بشیراز فی (1310 ش) فی (208 ص). و طبع سلامان و ابسال مع مقدمه رشید یاسمی.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87" w:name="pg11704_121666"/>
    <w:bookmarkEnd w:id="187"/>
    <w:p>
      <w:pPr>
        <w:pStyle w:val="Heading3"/>
      </w:pPr>
      <w:bookmarkStart w:id="2749" w:name="_Toc1445"/>
      <w:r>
        <w:t>1174- دیوان جانبی تبریزی‏</w:t>
      </w:r>
      <w:bookmarkEnd w:id="2749"/>
    </w:p>
    <w:p>
      <w:pPr>
        <w:pStyle w:val="BookText"/>
      </w:pPr>
      <w:r>
        <w:rPr>
          <w:rFonts w:ascii="IRNazanin" w:hAnsi="IRNazanin" w:eastAsia="IRNazanin" w:cs="IRNazanin"/>
          <w:lang w:bidi="fa-IR"/>
          <w:color w:val="111111"/>
          <w:sz w:val="28"/>
          <w:szCs w:val="28"/>
          <w:rtl/>
        </w:rPr>
        <w:t xml:space="preserve">و کان یشتغل بگلکاری. أورد شعره فی (تس 5- ص 139) و خلاصة الأشعار و عنهما فی (دجا- 92) و حکی فی (دجا- ص 220) عن سیاحت‏نامه لأولیا چلبی العثمانی أنه کان فی تبریز سنة (1050) ثمان و سبعین شاعرا صاحب دیوان، و منهم جانبی تبریزی. و لکنی أظنه الذی ترجمه سام میرزا المتوفی (966)</w:t>
      </w:r>
    </w:p>
    <w:p>
      <w:pPr>
        <w:pStyle w:val="Heading3"/>
      </w:pPr>
      <w:bookmarkStart w:id="2750" w:name="_Toc1446"/>
      <w:r>
        <w:t>1175- دیوان جانی أسفراینی أو شعره‏</w:t>
      </w:r>
      <w:bookmarkEnd w:id="2750"/>
    </w:p>
    <w:p>
      <w:pPr>
        <w:pStyle w:val="BookText"/>
      </w:pPr>
      <w:r>
        <w:rPr>
          <w:rFonts w:ascii="IRNazanin" w:hAnsi="IRNazanin" w:eastAsia="IRNazanin" w:cs="IRNazanin"/>
          <w:lang w:bidi="fa-IR"/>
          <w:color w:val="111111"/>
          <w:sz w:val="28"/>
          <w:szCs w:val="28"/>
          <w:rtl/>
        </w:rPr>
        <w:t xml:space="preserve">و اسمه مولانا محمد. قال فی (تش- ص 65) إن سام میرزا نسبه إلی سبزوار و غیره ینسبه إلی أسفراین. و قد مدح الخواجة حبیب الله الساوجی. و ترجمه فی قاموس الأعلام الترکیة و عنه فی ریحانة الأدب. و لکنی لم أره فی تذکره سامی و لعله جانی طهرانی الآتی.</w:t>
      </w:r>
    </w:p>
    <w:p>
      <w:pPr>
        <w:pStyle w:val="Heading3"/>
      </w:pPr>
      <w:bookmarkStart w:id="2751" w:name="_Toc1447"/>
      <w:r>
        <w:t>1176- دیوان جانی بخاری أو شعره‏</w:t>
      </w:r>
      <w:bookmarkEnd w:id="2751"/>
    </w:p>
    <w:p>
      <w:pPr>
        <w:pStyle w:val="BookText"/>
      </w:pPr>
      <w:r>
        <w:rPr>
          <w:rFonts w:ascii="IRNazanin" w:hAnsi="IRNazanin" w:eastAsia="IRNazanin" w:cs="IRNazanin"/>
          <w:lang w:bidi="fa-IR"/>
          <w:color w:val="111111"/>
          <w:sz w:val="28"/>
          <w:szCs w:val="28"/>
          <w:rtl/>
        </w:rPr>
        <w:t xml:space="preserve">من أمراء همایون پادشاه بکابل. قتله غلام له بالسم فی (985) أورد شعره فی (گلشن- ص 100).</w:t>
      </w:r>
    </w:p>
    <w:p>
      <w:pPr>
        <w:pStyle w:val="Heading3"/>
      </w:pPr>
      <w:bookmarkStart w:id="2752" w:name="_Toc1448"/>
      <w:r>
        <w:t>1177- دیوان جانی جوزجانی أو شعره‏</w:t>
      </w:r>
      <w:bookmarkEnd w:id="2752"/>
    </w:p>
    <w:p>
      <w:pPr>
        <w:pStyle w:val="BookText"/>
      </w:pPr>
      <w:r>
        <w:rPr>
          <w:rFonts w:ascii="IRNazanin" w:hAnsi="IRNazanin" w:eastAsia="IRNazanin" w:cs="IRNazanin"/>
          <w:lang w:bidi="fa-IR"/>
          <w:color w:val="111111"/>
          <w:sz w:val="28"/>
          <w:szCs w:val="28"/>
          <w:rtl/>
        </w:rPr>
        <w:t xml:space="preserve">کان یتخلص أولا ریحانی ثم بدله باسم مولده جوزجان بجانی أورد شعره فی (مجن 3- ص 72 و 242).</w:t>
      </w:r>
    </w:p>
    <w:p>
      <w:pPr>
        <w:pStyle w:val="Heading3"/>
      </w:pPr>
      <w:bookmarkStart w:id="2753" w:name="_Toc1449"/>
      <w:r>
        <w:t>دیوان جانی سبزواری‏</w:t>
      </w:r>
      <w:bookmarkEnd w:id="2753"/>
    </w:p>
    <w:p>
      <w:pPr>
        <w:pStyle w:val="BookText"/>
      </w:pPr>
      <w:r>
        <w:rPr>
          <w:rFonts w:ascii="IRNazanin" w:hAnsi="IRNazanin" w:eastAsia="IRNazanin" w:cs="IRNazanin"/>
          <w:lang w:bidi="fa-IR"/>
          <w:color w:val="111111"/>
          <w:sz w:val="28"/>
          <w:szCs w:val="28"/>
          <w:rtl/>
        </w:rPr>
        <w:t xml:space="preserve">راجع جامع أسفراین‏</w:t>
      </w:r>
    </w:p>
    <w:p>
      <w:pPr>
        <w:pStyle w:val="Heading3"/>
      </w:pPr>
      <w:bookmarkStart w:id="2754" w:name="_Toc1450"/>
      <w:r>
        <w:t>دیوان جانی شیرازی‏</w:t>
      </w:r>
      <w:bookmarkEnd w:id="2754"/>
    </w:p>
    <w:p>
      <w:pPr>
        <w:pStyle w:val="BookText"/>
      </w:pPr>
      <w:r>
        <w:rPr>
          <w:rFonts w:ascii="IRNazanin" w:hAnsi="IRNazanin" w:eastAsia="IRNazanin" w:cs="IRNazanin"/>
          <w:lang w:bidi="fa-IR"/>
          <w:color w:val="111111"/>
          <w:sz w:val="28"/>
          <w:szCs w:val="28"/>
          <w:rtl/>
        </w:rPr>
        <w:t xml:space="preserve">یأتی بعنوان دیوان عزتی شیرازی.</w:t>
      </w:r>
    </w:p>
    <w:p>
      <w:pPr>
        <w:pStyle w:val="Heading3"/>
      </w:pPr>
      <w:bookmarkStart w:id="2755" w:name="_Toc1451"/>
      <w:r>
        <w:t>دیوان جانی طهرانی أو شعره‏</w:t>
      </w:r>
      <w:bookmarkEnd w:id="2755"/>
    </w:p>
    <w:p>
      <w:pPr>
        <w:pStyle w:val="BookText"/>
      </w:pPr>
      <w:r>
        <w:rPr>
          <w:rFonts w:ascii="IRNazanin" w:hAnsi="IRNazanin" w:eastAsia="IRNazanin" w:cs="IRNazanin"/>
          <w:lang w:bidi="fa-IR"/>
          <w:color w:val="111111"/>
          <w:sz w:val="28"/>
          <w:szCs w:val="28"/>
          <w:rtl/>
        </w:rPr>
        <w:t xml:space="preserve">کان من أولاد العلماء بها. أورد شعره فی (تس 5- ص 162) و لعله جانی أسفراین.</w:t>
      </w:r>
    </w:p>
    <w:p>
      <w:pPr>
        <w:pStyle w:val="Heading3"/>
      </w:pPr>
      <w:bookmarkStart w:id="2756" w:name="_Toc1452"/>
      <w:r>
        <w:t>1178- دیوان جانی قراچه‏داغی أو شعره‏</w:t>
      </w:r>
      <w:bookmarkEnd w:id="2756"/>
    </w:p>
    <w:p>
      <w:pPr>
        <w:pStyle w:val="BookText"/>
      </w:pPr>
      <w:r>
        <w:rPr>
          <w:rFonts w:ascii="IRNazanin" w:hAnsi="IRNazanin" w:eastAsia="IRNazanin" w:cs="IRNazanin"/>
          <w:lang w:bidi="fa-IR"/>
          <w:color w:val="111111"/>
          <w:sz w:val="28"/>
          <w:szCs w:val="28"/>
          <w:rtl/>
        </w:rPr>
        <w:t xml:space="preserve">و هو المیرزا آقا جان من أواخر القرن الثالث عشر. له الید الطولی فی الهزل و أکثر شعره بالترکیة. أورد شعره فی (دجا- ص 92).</w:t>
      </w:r>
    </w:p>
    <w:p>
      <w:pPr>
        <w:pStyle w:val="Heading3"/>
      </w:pPr>
      <w:bookmarkStart w:id="2757" w:name="_Toc1453"/>
      <w:r>
        <w:t>1179- دیوان جانی لکزی أو شعره‏</w:t>
      </w:r>
      <w:bookmarkEnd w:id="2757"/>
    </w:p>
    <w:p>
      <w:pPr>
        <w:pStyle w:val="BookText"/>
      </w:pPr>
      <w:r>
        <w:rPr>
          <w:rFonts w:ascii="IRNazanin" w:hAnsi="IRNazanin" w:eastAsia="IRNazanin" w:cs="IRNazanin"/>
          <w:lang w:bidi="fa-IR"/>
          <w:color w:val="111111"/>
          <w:sz w:val="28"/>
          <w:szCs w:val="28"/>
          <w:rtl/>
        </w:rPr>
        <w:t xml:space="preserve">أورد شعره علی قلی خان واله فی ریاض الشعراء و عنه فی (تش- ص 11).</w:t>
      </w:r>
    </w:p>
    <w:p>
      <w:pPr>
        <w:pStyle w:val="Heading3"/>
      </w:pPr>
      <w:bookmarkStart w:id="2758" w:name="_Toc1454"/>
      <w:r>
        <w:t>1180- دیوان جانی همدانی أو شعره‏</w:t>
      </w:r>
      <w:bookmarkEnd w:id="2758"/>
    </w:p>
    <w:p>
      <w:pPr>
        <w:pStyle w:val="BookText"/>
      </w:pPr>
      <w:r>
        <w:rPr>
          <w:rFonts w:ascii="IRNazanin" w:hAnsi="IRNazanin" w:eastAsia="IRNazanin" w:cs="IRNazanin"/>
          <w:lang w:bidi="fa-IR"/>
          <w:color w:val="111111"/>
          <w:sz w:val="28"/>
          <w:szCs w:val="28"/>
          <w:rtl/>
        </w:rPr>
        <w:t xml:space="preserve">و اسمه أسد الخلیق الخطاط المصاحب لصادقی کتاب دار فترجمه فی (خص 8- 273) و وصفه بالمعمائی. و أورد معماه.</w:t>
      </w:r>
    </w:p>
    <w:p>
      <w:pPr>
        <w:pStyle w:val="Heading3"/>
      </w:pPr>
      <w:bookmarkStart w:id="2759" w:name="_Toc1455"/>
      <w:r>
        <w:t>1181- دیوان جاوید مازندرانی أو شعره‏</w:t>
      </w:r>
      <w:bookmarkEnd w:id="2759"/>
    </w:p>
    <w:p>
      <w:pPr>
        <w:pStyle w:val="BookText"/>
      </w:pPr>
      <w:r>
        <w:rPr>
          <w:rFonts w:ascii="IRNazanin" w:hAnsi="IRNazanin" w:eastAsia="IRNazanin" w:cs="IRNazanin"/>
          <w:lang w:bidi="fa-IR"/>
          <w:color w:val="111111"/>
          <w:sz w:val="28"/>
          <w:szCs w:val="28"/>
          <w:rtl/>
        </w:rPr>
        <w:t xml:space="preserve">و اسمه ملا علی. کان یدعی اتصال نسبه إلی بلال الحبشی فاشتهر بحبش. کان قاضیا بنکاء مازندران و مات بأصفهان فی (1070)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88" w:name="pg11704_121667"/>
    <w:bookmarkEnd w:id="188"/>
    <w:p>
      <w:pPr>
        <w:pStyle w:val="BookText"/>
      </w:pPr>
      <w:r>
        <w:rPr>
          <w:rFonts w:ascii="IRNazanin" w:hAnsi="IRNazanin" w:eastAsia="IRNazanin" w:cs="IRNazanin"/>
          <w:lang w:bidi="fa-IR"/>
          <w:color w:val="111111"/>
          <w:sz w:val="28"/>
          <w:szCs w:val="28"/>
          <w:rtl/>
        </w:rPr>
        <w:t xml:space="preserve">و دفن بمزار بابا رکن الدین و کان یتخلص أولا دانش فبدله بجاوید. ترجمه و أورد شعره فی (نر 9- ص 374) و عنه فی (تش- ص 165) و (تغ- ص 35).</w:t>
      </w:r>
    </w:p>
    <w:p>
      <w:pPr>
        <w:pStyle w:val="Heading3"/>
      </w:pPr>
      <w:bookmarkStart w:id="2760" w:name="_Toc1456"/>
      <w:r>
        <w:t>1182- دیوان جاهد</w:t>
      </w:r>
      <w:bookmarkEnd w:id="2760"/>
    </w:p>
    <w:p>
      <w:pPr>
        <w:pStyle w:val="BookText"/>
      </w:pPr>
      <w:r>
        <w:rPr>
          <w:rFonts w:ascii="IRNazanin" w:hAnsi="IRNazanin" w:eastAsia="IRNazanin" w:cs="IRNazanin"/>
          <w:lang w:bidi="fa-IR"/>
          <w:color w:val="111111"/>
          <w:sz w:val="28"/>
          <w:szCs w:val="28"/>
          <w:rtl/>
        </w:rPr>
        <w:t xml:space="preserve">للمیر محمد علی بن عباس قلی (أمین حضور) المعروف بأمیر جاهد مدیر سال‏نامه پارس ولد (1313) و أسس السال‏نامه فی (1340). طبع قطعا من أشعاره لثالث مرة فی (1348) فی (24 ص) و هو الآن یجدد طبعه فی مجلد کبیر معه تاریخ للموسیقی الإیرانی و الإفرنجی.</w:t>
      </w:r>
    </w:p>
    <w:p>
      <w:pPr>
        <w:pStyle w:val="Heading3"/>
      </w:pPr>
      <w:bookmarkStart w:id="2761" w:name="_Toc1457"/>
      <w:r>
        <w:t>1183- دیوان جاهی صفوی‏</w:t>
      </w:r>
      <w:bookmarkEnd w:id="2761"/>
    </w:p>
    <w:p>
      <w:pPr>
        <w:pStyle w:val="BookText"/>
      </w:pPr>
      <w:r>
        <w:rPr>
          <w:rFonts w:ascii="IRNazanin" w:hAnsi="IRNazanin" w:eastAsia="IRNazanin" w:cs="IRNazanin"/>
          <w:lang w:bidi="fa-IR"/>
          <w:color w:val="111111"/>
          <w:sz w:val="28"/>
          <w:szCs w:val="28"/>
          <w:rtl/>
        </w:rPr>
        <w:t xml:space="preserve">الشاه‏زاده إبراهیم میرزا بن بهرام میرزا بن الشاه إسماعیل الأول الصفوی المقتول ظلما فی السبت خامس ذی الحجة (984) عن أربع و ثلاثین سنة بحکم من الشاه إسماعیل الثانی. کان ماهرا فی الموسیقی و الخط و قد جمع من أشعاره بالفارسیة و الترکیة ما یقرب من ثلاثة آلاف بیت فی دیوان بقلم الحاج أحمد بن میر منشی القمی و أنشأ له دیباجة ثم أورد بعض أشعاره و ذکر أن تخلصه فی شعره جاهی و له فرهنگ إبراهیمی الآتی فی الفاء ترجمه فی (تش- ص 11) و (تغ- ص 35) و (مع- ج 1- ص 20) و (دجا- ص 18) عن خلاصة التواریخ و تذکره السلاطین و الأمراء و گلستان هنر و ثلاثتها للحاج أحمد بن المیر منشی القمی. ثم فی ریحانة الأدب و المستر براون فی (ج 4- ص 79) و ریحانة الأدب. توجد نسخه من دیوانه بخط</w:t>
      </w:r>
    </w:p>
    <w:p>
      <w:pPr>
        <w:pStyle w:val="BookText"/>
      </w:pPr>
      <w:r>
        <w:rPr>
          <w:rFonts w:ascii="IRNazanin" w:hAnsi="IRNazanin" w:eastAsia="IRNazanin" w:cs="IRNazanin"/>
          <w:lang w:bidi="fa-IR"/>
          <w:color w:val="111111"/>
          <w:sz w:val="28"/>
          <w:szCs w:val="28"/>
          <w:rtl/>
        </w:rPr>
        <w:t xml:space="preserve">جمال المشهدی المتخلص بواقعی کتبه فی (989) و ذهبه عبد الله المذهب الشیرازی فی المکتبة الشاهیة بطهران کما فی خطوط خوش کتابخانه سلطنتی (ص 136).</w:t>
      </w:r>
    </w:p>
    <w:p>
      <w:pPr>
        <w:pStyle w:val="Heading3"/>
      </w:pPr>
      <w:bookmarkStart w:id="2762" w:name="_Toc1458"/>
      <w:r>
        <w:t>1184- دیوان جبلی الغرجستانی‏</w:t>
      </w:r>
      <w:bookmarkEnd w:id="2762"/>
    </w:p>
    <w:p>
      <w:pPr>
        <w:pStyle w:val="BookText"/>
      </w:pPr>
      <w:r>
        <w:rPr>
          <w:rFonts w:ascii="IRNazanin" w:hAnsi="IRNazanin" w:eastAsia="IRNazanin" w:cs="IRNazanin"/>
          <w:lang w:bidi="fa-IR"/>
          <w:color w:val="111111"/>
          <w:sz w:val="28"/>
          <w:szCs w:val="28"/>
          <w:rtl/>
        </w:rPr>
        <w:t xml:space="preserve">للسید عبد الواسع بن المیر عبد الجامع بن عمر بن ربیع المتوفی (555) کما رجحه فی مجمع الفصحاء علی الأقوال الآخر فی (ج 1- ص 185) و عده من مادحی السلطان سنجر السلجوقی و بهرام شاه بن مسعود الغزنوی و أطرأه و أورد کثیرا من أشعاره. توجد نسخه من دیوانه فی (سپهسالار) تشتمل علی زهاء (4700 بیتا) کما فی فهرسها (ج 2- ص 637). و ذکر أحواله فی لباب الألباب (ج 2- ص 104) و دولت شاه فی الطبقة الثانیة و (تش- ص 96) و مرآة الخیال (ص 28) و هفت إقلیم و تاریخ گزیده و غیرها.</w:t>
      </w:r>
    </w:p>
    <w:p>
      <w:pPr>
        <w:pStyle w:val="Heading3"/>
      </w:pPr>
      <w:bookmarkStart w:id="2763" w:name="_Toc1459"/>
      <w:r>
        <w:t>1185- دیوان جدائی أو شعره‏</w:t>
      </w:r>
      <w:bookmarkEnd w:id="2763"/>
    </w:p>
    <w:p>
      <w:pPr>
        <w:pStyle w:val="BookText"/>
      </w:pPr>
      <w:r>
        <w:rPr>
          <w:rFonts w:ascii="IRNazanin" w:hAnsi="IRNazanin" w:eastAsia="IRNazanin" w:cs="IRNazanin"/>
          <w:lang w:bidi="fa-IR"/>
          <w:color w:val="111111"/>
          <w:sz w:val="28"/>
          <w:szCs w:val="28"/>
          <w:rtl/>
        </w:rPr>
        <w:t xml:space="preserve">و اسمه المیر سید علی المصور. لقب بهمایون شاه‏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89" w:name="pg11704_121668"/>
    <w:bookmarkEnd w:id="189"/>
    <w:p>
      <w:pPr>
        <w:pStyle w:val="BookText"/>
      </w:pPr>
      <w:r>
        <w:rPr>
          <w:rFonts w:ascii="IRNazanin" w:hAnsi="IRNazanin" w:eastAsia="IRNazanin" w:cs="IRNazanin"/>
          <w:lang w:bidi="fa-IR"/>
          <w:color w:val="111111"/>
          <w:sz w:val="28"/>
          <w:szCs w:val="28"/>
          <w:rtl/>
        </w:rPr>
        <w:t xml:space="preserve">(نادر الملک) من أکبر شاه. أورد شعره فی طبقات أکبری (ج 2- ص 504) و نسبه فی (تش- ص 218) إلی بلدة ساوه و فی (دجا- ص 93) إلی تبریز. و أورد شعره فی (گلشن- ص 100) أیضا. و قال فی صحف إبراهیم إنه ألف قصة أمیر حمزة فی ستة عشر مجلدا کلها مصور بتصاویر یذکر الناظر نقوش مانی و بهزاد. ثم سافر إلی الحج و رجع إلی الهند و هاجا غزالی مشهدی.</w:t>
      </w:r>
    </w:p>
    <w:p>
      <w:pPr>
        <w:pStyle w:val="Heading3"/>
      </w:pPr>
      <w:bookmarkStart w:id="2764" w:name="_Toc1460"/>
      <w:r>
        <w:t>1186- دیوان جدیدی قزوینی أو شعره‏</w:t>
      </w:r>
      <w:bookmarkEnd w:id="2764"/>
    </w:p>
    <w:p>
      <w:pPr>
        <w:pStyle w:val="BookText"/>
      </w:pPr>
      <w:r>
        <w:rPr>
          <w:rFonts w:ascii="IRNazanin" w:hAnsi="IRNazanin" w:eastAsia="IRNazanin" w:cs="IRNazanin"/>
          <w:lang w:bidi="fa-IR"/>
          <w:color w:val="111111"/>
          <w:sz w:val="28"/>
          <w:szCs w:val="28"/>
          <w:rtl/>
        </w:rPr>
        <w:t xml:space="preserve">کان نزیلا بتبریز. ترجمه معاصره السامی فی (تس 5- ص 150) و أورد شعره و رأیت بعض شعره فی جنگ مخطوط عند (فخر الدین).</w:t>
      </w:r>
    </w:p>
    <w:p>
      <w:pPr>
        <w:pStyle w:val="Heading3"/>
      </w:pPr>
      <w:bookmarkStart w:id="2765" w:name="_Toc1461"/>
      <w:r>
        <w:t>1187- دیوان جذبه کاشانی أو شعره‏</w:t>
      </w:r>
      <w:bookmarkEnd w:id="2765"/>
    </w:p>
    <w:p>
      <w:pPr>
        <w:pStyle w:val="BookText"/>
      </w:pPr>
      <w:r>
        <w:rPr>
          <w:rFonts w:ascii="IRNazanin" w:hAnsi="IRNazanin" w:eastAsia="IRNazanin" w:cs="IRNazanin"/>
          <w:lang w:bidi="fa-IR"/>
          <w:color w:val="111111"/>
          <w:sz w:val="28"/>
          <w:szCs w:val="28"/>
          <w:rtl/>
        </w:rPr>
        <w:t xml:space="preserve">ترجمه معاصره فی (تش- ص 371) و کذا فی (روشن 142) و قال کان طبیبا صوفیا مبتلا بالأفیون.</w:t>
      </w:r>
    </w:p>
    <w:p>
      <w:pPr>
        <w:pStyle w:val="Heading3"/>
      </w:pPr>
      <w:bookmarkStart w:id="2766" w:name="_Toc1462"/>
      <w:r>
        <w:t>دیوان جذبی خوانساری أو شعره‏</w:t>
      </w:r>
      <w:bookmarkEnd w:id="2766"/>
    </w:p>
    <w:p>
      <w:pPr>
        <w:pStyle w:val="BookText"/>
      </w:pPr>
      <w:r>
        <w:rPr>
          <w:rFonts w:ascii="IRNazanin" w:hAnsi="IRNazanin" w:eastAsia="IRNazanin" w:cs="IRNazanin"/>
          <w:lang w:bidi="fa-IR"/>
          <w:color w:val="111111"/>
          <w:sz w:val="28"/>
          <w:szCs w:val="28"/>
          <w:rtl/>
        </w:rPr>
        <w:t xml:space="preserve">أورد شعره فی (گلشن- ص 200) و (نر 9- ص 319) و قال: کان والده من أشراف خوانسار و نسبه فی (روشن) إلی أصفهان.</w:t>
      </w:r>
    </w:p>
    <w:p>
      <w:pPr>
        <w:pStyle w:val="BookText"/>
      </w:pPr>
      <w:r>
        <w:rPr>
          <w:rFonts w:ascii="IRNazanin" w:hAnsi="IRNazanin" w:eastAsia="IRNazanin" w:cs="IRNazanin"/>
          <w:lang w:bidi="fa-IR"/>
          <w:color w:val="111111"/>
          <w:sz w:val="28"/>
          <w:szCs w:val="28"/>
          <w:rtl/>
        </w:rPr>
        <w:t xml:space="preserve">و سماه فی (تغ- ص 36) جذلی. و أظنه جذبی کرد.</w:t>
      </w:r>
    </w:p>
    <w:p>
      <w:pPr>
        <w:pStyle w:val="Heading3"/>
      </w:pPr>
      <w:bookmarkStart w:id="2767" w:name="_Toc1463"/>
      <w:r>
        <w:t>1188- دیوان جذبی کرد أو شعره‏</w:t>
      </w:r>
      <w:bookmarkEnd w:id="2767"/>
    </w:p>
    <w:p>
      <w:pPr>
        <w:pStyle w:val="BookText"/>
      </w:pPr>
      <w:r>
        <w:rPr>
          <w:rFonts w:ascii="IRNazanin" w:hAnsi="IRNazanin" w:eastAsia="IRNazanin" w:cs="IRNazanin"/>
          <w:lang w:bidi="fa-IR"/>
          <w:color w:val="111111"/>
          <w:sz w:val="28"/>
          <w:szCs w:val="28"/>
          <w:rtl/>
        </w:rPr>
        <w:t xml:space="preserve">و هو پادشاه قلی بن شاه قلی. قال فی طبقات أکبری (ج 2- ص 503) إنه من أمراء أکبر شاه القدماء. و قال فی (تش- ص 11) إن أصله من أکراد بغداد و ذهب إلی الهند، و أظنه متحدا مع ما قبله.</w:t>
      </w:r>
    </w:p>
    <w:p>
      <w:pPr>
        <w:pStyle w:val="Heading3"/>
      </w:pPr>
      <w:bookmarkStart w:id="2768" w:name="_Toc1464"/>
      <w:r>
        <w:t>1189- دیوان جذوی جغتائی أو شعره‏</w:t>
      </w:r>
      <w:bookmarkEnd w:id="2768"/>
    </w:p>
    <w:p>
      <w:pPr>
        <w:pStyle w:val="BookText"/>
      </w:pPr>
      <w:r>
        <w:rPr>
          <w:rFonts w:ascii="IRNazanin" w:hAnsi="IRNazanin" w:eastAsia="IRNazanin" w:cs="IRNazanin"/>
          <w:lang w:bidi="fa-IR"/>
          <w:color w:val="111111"/>
          <w:sz w:val="28"/>
          <w:szCs w:val="28"/>
          <w:rtl/>
        </w:rPr>
        <w:t xml:space="preserve">أصله من قبیلة أولوی سکن أصفهان و بها مات فی (910) أورد شعره فی (تش- ص 11) و عنه فی قاموس الأعلام الترکیة و عنه فی ریحانة الأدب.</w:t>
      </w:r>
    </w:p>
    <w:p>
      <w:pPr>
        <w:pStyle w:val="Heading3"/>
      </w:pPr>
      <w:bookmarkStart w:id="2769" w:name="_Toc1465"/>
      <w:r>
        <w:t>1190- دیوان جرأت أصفهانی أو شعره‏</w:t>
      </w:r>
      <w:bookmarkEnd w:id="2769"/>
    </w:p>
    <w:p>
      <w:pPr>
        <w:pStyle w:val="BookText"/>
      </w:pPr>
      <w:r>
        <w:rPr>
          <w:rFonts w:ascii="IRNazanin" w:hAnsi="IRNazanin" w:eastAsia="IRNazanin" w:cs="IRNazanin"/>
          <w:lang w:bidi="fa-IR"/>
          <w:color w:val="111111"/>
          <w:sz w:val="28"/>
          <w:szCs w:val="28"/>
          <w:rtl/>
        </w:rPr>
        <w:t xml:space="preserve">و اسمه ملا ظفر علی. أورد شعره فی (گلشن- ص 100).</w:t>
      </w:r>
    </w:p>
    <w:p>
      <w:pPr>
        <w:pStyle w:val="Heading3"/>
      </w:pPr>
      <w:bookmarkStart w:id="2770" w:name="_Toc1466"/>
      <w:r>
        <w:t>1191- دیوان جرأت شاه‏جهان‏آبادی أو شعره‏</w:t>
      </w:r>
      <w:bookmarkEnd w:id="2770"/>
    </w:p>
    <w:p>
      <w:pPr>
        <w:pStyle w:val="BookText"/>
      </w:pPr>
      <w:r>
        <w:rPr>
          <w:rFonts w:ascii="IRNazanin" w:hAnsi="IRNazanin" w:eastAsia="IRNazanin" w:cs="IRNazanin"/>
          <w:lang w:bidi="fa-IR"/>
          <w:color w:val="111111"/>
          <w:sz w:val="28"/>
          <w:szCs w:val="28"/>
          <w:rtl/>
        </w:rPr>
        <w:t xml:space="preserve">کان فی جیش محمد شاه بالهند. أورد شعره فی (گلشن- ص 100) و لعله نجف قلی جرأت المذکور فی (سرخوش- ص 30).</w:t>
      </w:r>
    </w:p>
    <w:p>
      <w:pPr>
        <w:pStyle w:val="Heading3"/>
      </w:pPr>
      <w:bookmarkStart w:id="2771" w:name="_Toc1467"/>
      <w:r>
        <w:t>1192- دیوان جرأت گیلانی أو شعره‏</w:t>
      </w:r>
      <w:bookmarkEnd w:id="2771"/>
    </w:p>
    <w:p>
      <w:pPr>
        <w:pStyle w:val="BookText"/>
      </w:pPr>
      <w:r>
        <w:rPr>
          <w:rFonts w:ascii="IRNazanin" w:hAnsi="IRNazanin" w:eastAsia="IRNazanin" w:cs="IRNazanin"/>
          <w:lang w:bidi="fa-IR"/>
          <w:color w:val="111111"/>
          <w:sz w:val="28"/>
          <w:szCs w:val="28"/>
          <w:rtl/>
        </w:rPr>
        <w:t xml:space="preserve">و هو المیر موسوی خان بن محمد شفیع. سکن اورنگ‏آباد و مات (1175) کما فی (تغ- ص 36).</w:t>
      </w:r>
    </w:p>
    <w:p>
      <w:pPr>
        <w:pStyle w:val="Heading3"/>
      </w:pPr>
      <w:bookmarkStart w:id="2772" w:name="_Toc1468"/>
      <w:r>
        <w:t>1193- دیوان جرار</w:t>
      </w:r>
      <w:bookmarkEnd w:id="2772"/>
    </w:p>
    <w:p>
      <w:pPr>
        <w:pStyle w:val="BookText"/>
      </w:pPr>
      <w:r>
        <w:rPr>
          <w:rFonts w:ascii="IRNazanin" w:hAnsi="IRNazanin" w:eastAsia="IRNazanin" w:cs="IRNazanin"/>
          <w:lang w:bidi="fa-IR"/>
          <w:color w:val="111111"/>
          <w:sz w:val="28"/>
          <w:szCs w:val="28"/>
          <w:rtl/>
        </w:rPr>
        <w:t xml:space="preserve">طبع بنولکشور بالهند.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90" w:name="pg11704_121669"/>
    <w:bookmarkEnd w:id="190"/>
    <w:p>
      <w:pPr>
        <w:pStyle w:val="Heading3"/>
      </w:pPr>
      <w:bookmarkStart w:id="2773" w:name="_Toc1469"/>
      <w:r>
        <w:t>1194- دیوان جرس طهرانی‏</w:t>
      </w:r>
      <w:bookmarkEnd w:id="2773"/>
    </w:p>
    <w:p>
      <w:pPr>
        <w:pStyle w:val="BookText"/>
      </w:pPr>
      <w:r>
        <w:rPr>
          <w:rFonts w:ascii="IRNazanin" w:hAnsi="IRNazanin" w:eastAsia="IRNazanin" w:cs="IRNazanin"/>
          <w:lang w:bidi="fa-IR"/>
          <w:color w:val="111111"/>
          <w:sz w:val="28"/>
          <w:szCs w:val="28"/>
          <w:rtl/>
        </w:rPr>
        <w:t xml:space="preserve">و هو المیرزا محمد مهدی بن المیرزا جامی کدخدا من أحفاد الحکیم هاشم الطبیب المعاصر للصفویة. کان حیا فی (1306) فترجمه و أطرأه فی (المآثر- ص 207) و ترجمه فی گنج شایگان (ص 267) قال و له الآن خمسون سنة و هو یعاشرنی، و أطری قصائده و غزله و مثنویة و مقطعاته و رباعیاته و أورد قصیدته فی مدح آقا خان النوری فی (55 بیتا). و توجد دیوان غزله فی (المجلس) کما فی فهرسها (ج 3- ص 245).</w:t>
      </w:r>
    </w:p>
    <w:p>
      <w:pPr>
        <w:pStyle w:val="Heading3"/>
      </w:pPr>
      <w:bookmarkStart w:id="2774" w:name="_Toc1470"/>
      <w:r>
        <w:t>1195- دیوان جرعه‏</w:t>
      </w:r>
      <w:bookmarkEnd w:id="2774"/>
    </w:p>
    <w:p>
      <w:pPr>
        <w:pStyle w:val="BookText"/>
      </w:pPr>
      <w:r>
        <w:rPr>
          <w:rFonts w:ascii="IRNazanin" w:hAnsi="IRNazanin" w:eastAsia="IRNazanin" w:cs="IRNazanin"/>
          <w:lang w:bidi="fa-IR"/>
          <w:color w:val="111111"/>
          <w:sz w:val="28"/>
          <w:szCs w:val="28"/>
          <w:rtl/>
        </w:rPr>
        <w:t xml:space="preserve">و هو المیرزا شمس الدین أبو الفتح المتخلص بجرعة التبریزی الخطاط الذی کان حیا فی (1273) حیث طبع بخطه دیوان قاآنی فی تبریز. توجد دیوانه عند (محمد النخجوانی) کما کتبه إلینا و قال فی (دجا- ص 93) إن دیوانه فی (6000 بیت) و له خسرو و شیرین فی (1500 بیت) لم یتم. طبع بخطه جهان‏نما فی تبریز (1267) و کلیات قاآنی فی (1273) بتبریز أیضا. و نسخه من دیوانه فی (720 بیتا) فی المجلس کما فی فهرسها (3: 247).</w:t>
      </w:r>
    </w:p>
    <w:p>
      <w:pPr>
        <w:pStyle w:val="Heading3"/>
      </w:pPr>
      <w:bookmarkStart w:id="2775" w:name="_Toc1471"/>
      <w:r>
        <w:t>1196- دیوان جرمی بخاری أو شعره‏</w:t>
      </w:r>
      <w:bookmarkEnd w:id="2775"/>
    </w:p>
    <w:p>
      <w:pPr>
        <w:pStyle w:val="BookText"/>
      </w:pPr>
      <w:r>
        <w:rPr>
          <w:rFonts w:ascii="IRNazanin" w:hAnsi="IRNazanin" w:eastAsia="IRNazanin" w:cs="IRNazanin"/>
          <w:lang w:bidi="fa-IR"/>
          <w:color w:val="111111"/>
          <w:sz w:val="28"/>
          <w:szCs w:val="28"/>
          <w:rtl/>
        </w:rPr>
        <w:t xml:space="preserve">أورد شعره فی (مجتس 6- ص 160).</w:t>
      </w:r>
    </w:p>
    <w:p>
      <w:pPr>
        <w:pStyle w:val="Heading3"/>
      </w:pPr>
      <w:bookmarkStart w:id="2776" w:name="_Toc1472"/>
      <w:r>
        <w:t>1197- دیوان جرمی تبریزی أو شعره‏</w:t>
      </w:r>
      <w:bookmarkEnd w:id="2776"/>
    </w:p>
    <w:p>
      <w:pPr>
        <w:pStyle w:val="BookText"/>
      </w:pPr>
      <w:r>
        <w:rPr>
          <w:rFonts w:ascii="IRNazanin" w:hAnsi="IRNazanin" w:eastAsia="IRNazanin" w:cs="IRNazanin"/>
          <w:lang w:bidi="fa-IR"/>
          <w:color w:val="111111"/>
          <w:sz w:val="28"/>
          <w:szCs w:val="28"/>
          <w:rtl/>
        </w:rPr>
        <w:t xml:space="preserve">و اسمه آقا محمد من شعراء تبریز فی أوائل القرن الرابع عشر. هجاه یوسف الباکوئی الشاعر، و دافع عنه عظیم الشیروانی کما نقل فی (دجا- ص 94) عن دیوان عظیم.</w:t>
      </w:r>
    </w:p>
    <w:p>
      <w:pPr>
        <w:pStyle w:val="Heading3"/>
      </w:pPr>
      <w:bookmarkStart w:id="2777" w:name="_Toc1473"/>
      <w:r>
        <w:t>1198- دیوان جریر</w:t>
      </w:r>
      <w:bookmarkEnd w:id="2777"/>
    </w:p>
    <w:p>
      <w:pPr>
        <w:pStyle w:val="BookText"/>
      </w:pPr>
      <w:r>
        <w:rPr>
          <w:rFonts w:ascii="IRNazanin" w:hAnsi="IRNazanin" w:eastAsia="IRNazanin" w:cs="IRNazanin"/>
          <w:lang w:bidi="fa-IR"/>
          <w:color w:val="111111"/>
          <w:sz w:val="28"/>
          <w:szCs w:val="28"/>
          <w:rtl/>
        </w:rPr>
        <w:t xml:space="preserve">ابن عطیة بن الخطفی المتوفی (110) الشاعر الشهیر المعاصر و المطارح و المهاجی مع الفرزدق. و قد جمع أبو عبیدة معمر بن المثنی المتوفی (209) نقائضها فی کتاب طبع فی لیدن (1905 م) و طبع دیوان جریر فی مصر (1313) فی جزءین (174 و 223 ص).</w:t>
      </w:r>
    </w:p>
    <w:p>
      <w:pPr>
        <w:pStyle w:val="Heading3"/>
      </w:pPr>
      <w:bookmarkStart w:id="2778" w:name="_Toc1474"/>
      <w:r>
        <w:t>1199- دیوان میر جزمی العطار التبریزی‏</w:t>
      </w:r>
      <w:bookmarkEnd w:id="2778"/>
    </w:p>
    <w:p>
      <w:pPr>
        <w:pStyle w:val="BookText"/>
      </w:pPr>
      <w:r>
        <w:rPr>
          <w:rFonts w:ascii="IRNazanin" w:hAnsi="IRNazanin" w:eastAsia="IRNazanin" w:cs="IRNazanin"/>
          <w:lang w:bidi="fa-IR"/>
          <w:color w:val="111111"/>
          <w:sz w:val="28"/>
          <w:szCs w:val="28"/>
          <w:rtl/>
        </w:rPr>
        <w:t xml:space="preserve">السید البذول للشعراء بالبرش و التریاک.</w:t>
      </w:r>
    </w:p>
    <w:p>
      <w:pPr>
        <w:pStyle w:val="BookText"/>
      </w:pPr>
      <w:r>
        <w:rPr>
          <w:rFonts w:ascii="IRNazanin" w:hAnsi="IRNazanin" w:eastAsia="IRNazanin" w:cs="IRNazanin"/>
          <w:lang w:bidi="fa-IR"/>
          <w:color w:val="111111"/>
          <w:sz w:val="28"/>
          <w:szCs w:val="28"/>
          <w:rtl/>
        </w:rPr>
        <w:t xml:space="preserve">ترجمه معاصره الصادقی فی مجمع الخواص (خص 6- ص 86) و أورد بعض شعره منها تاریخ فوت صنعی نیشابوری.</w:t>
      </w:r>
    </w:p>
    <w:p>
      <w:pPr>
        <w:pStyle w:val="Heading3"/>
      </w:pPr>
      <w:bookmarkStart w:id="2779" w:name="_Toc1475"/>
      <w:r>
        <w:t>1200- دیوان جزوی أو شعره‏</w:t>
      </w:r>
      <w:bookmarkEnd w:id="2779"/>
    </w:p>
    <w:p>
      <w:pPr>
        <w:pStyle w:val="BookText"/>
      </w:pPr>
      <w:r>
        <w:rPr>
          <w:rFonts w:ascii="IRNazanin" w:hAnsi="IRNazanin" w:eastAsia="IRNazanin" w:cs="IRNazanin"/>
          <w:lang w:bidi="fa-IR"/>
          <w:color w:val="111111"/>
          <w:sz w:val="28"/>
          <w:szCs w:val="28"/>
          <w:rtl/>
        </w:rPr>
        <w:t xml:space="preserve">هو من شعراء العراق (إیران الغربی) فی بلاط آق‏قوینلو.</w:t>
      </w:r>
    </w:p>
    <w:p>
      <w:pPr>
        <w:pStyle w:val="BookText"/>
      </w:pPr>
      <w:r>
        <w:rPr>
          <w:rFonts w:ascii="IRNazanin" w:hAnsi="IRNazanin" w:eastAsia="IRNazanin" w:cs="IRNazanin"/>
          <w:lang w:bidi="fa-IR"/>
          <w:color w:val="111111"/>
          <w:sz w:val="28"/>
          <w:szCs w:val="28"/>
          <w:rtl/>
        </w:rPr>
        <w:t xml:space="preserve">سافر إلی هرات و رجع أورد شعره فی (مجتس 6- ص 158) و فی (قز مج 2- ص 305).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91" w:name="pg11704_121670"/>
    <w:bookmarkEnd w:id="191"/>
    <w:p>
      <w:pPr>
        <w:pStyle w:val="Heading3"/>
      </w:pPr>
      <w:bookmarkStart w:id="2780" w:name="_Toc1476"/>
      <w:r>
        <w:t>1201- دیوان جسمی همدانی أو شعره‏</w:t>
      </w:r>
      <w:bookmarkEnd w:id="2780"/>
    </w:p>
    <w:p>
      <w:pPr>
        <w:pStyle w:val="BookText"/>
      </w:pPr>
      <w:r>
        <w:rPr>
          <w:rFonts w:ascii="IRNazanin" w:hAnsi="IRNazanin" w:eastAsia="IRNazanin" w:cs="IRNazanin"/>
          <w:lang w:bidi="fa-IR"/>
          <w:color w:val="111111"/>
          <w:sz w:val="28"/>
          <w:szCs w:val="28"/>
          <w:rtl/>
        </w:rPr>
        <w:t xml:space="preserve">ذهب إلی الهند فی عهد أکبر و جهانگیر شاه کما فی (تغ- ص 36)</w:t>
      </w:r>
    </w:p>
    <w:p>
      <w:pPr>
        <w:pStyle w:val="Heading3"/>
      </w:pPr>
      <w:bookmarkStart w:id="2781" w:name="_Toc1477"/>
      <w:r>
        <w:t>دیوان جعفر أصفهانی‏</w:t>
      </w:r>
      <w:bookmarkEnd w:id="2781"/>
    </w:p>
    <w:p>
      <w:pPr>
        <w:pStyle w:val="BookText"/>
      </w:pPr>
      <w:r>
        <w:rPr>
          <w:rFonts w:ascii="IRNazanin" w:hAnsi="IRNazanin" w:eastAsia="IRNazanin" w:cs="IRNazanin"/>
          <w:lang w:bidi="fa-IR"/>
          <w:color w:val="111111"/>
          <w:sz w:val="28"/>
          <w:szCs w:val="28"/>
          <w:rtl/>
        </w:rPr>
        <w:t xml:space="preserve">سماه فی (روشن- ص 145) زرکوب و قال فی (نر- ص 418) إن تخلصه مذهب فیأتی فی المیم‏</w:t>
      </w:r>
    </w:p>
    <w:p>
      <w:pPr>
        <w:pStyle w:val="Heading3"/>
      </w:pPr>
      <w:bookmarkStart w:id="2782" w:name="_Toc1478"/>
      <w:r>
        <w:t>1202- دیوان الشیخ جعفر البحرانی‏</w:t>
      </w:r>
      <w:bookmarkEnd w:id="2782"/>
    </w:p>
    <w:p>
      <w:pPr>
        <w:pStyle w:val="BookText"/>
      </w:pPr>
      <w:r>
        <w:rPr>
          <w:rFonts w:ascii="IRNazanin" w:hAnsi="IRNazanin" w:eastAsia="IRNazanin" w:cs="IRNazanin"/>
          <w:lang w:bidi="fa-IR"/>
          <w:color w:val="111111"/>
          <w:sz w:val="28"/>
          <w:szCs w:val="28"/>
          <w:rtl/>
        </w:rPr>
        <w:t xml:space="preserve">هو ابن کمال الدین محمد البحرانی الوالی المعروف بجعفر بن کمال المولود (1014) و المتوفی (1088) کما أرخ فی اللؤلؤة أو (1091) کما أرخ فی خاتمة المستدرک (ص 381) نقل عنه بعض أشعاره المتفرقات و من شعره الأرجوزه المبسوطة الکبیرة فی التجوید المرتب علی ثلاثین بابا أوله:</w:t>
      </w:r>
    </w:p>
    <w:p>
      <w:pPr>
        <w:pStyle w:val="BookText"/>
      </w:pPr>
      <w:r>
        <w:rPr>
          <w:rFonts w:ascii="IRNazanin" w:hAnsi="IRNazanin" w:eastAsia="IRNazanin" w:cs="IRNazanin"/>
          <w:lang w:bidi="fa-IR"/>
          <w:color w:val="111111"/>
          <w:sz w:val="28"/>
          <w:szCs w:val="28"/>
          <w:rtl/>
        </w:rPr>
        <w:t xml:space="preserve">قال الفقیر الطالب الغفران‏</w:t>
      </w:r>
    </w:p>
    <w:p>
      <w:pPr>
        <w:pStyle w:val="BookText"/>
      </w:pPr>
      <w:r>
        <w:rPr>
          <w:rFonts w:ascii="IRNazanin" w:hAnsi="IRNazanin" w:eastAsia="IRNazanin" w:cs="IRNazanin"/>
          <w:lang w:bidi="fa-IR"/>
          <w:color w:val="111111"/>
          <w:sz w:val="28"/>
          <w:szCs w:val="28"/>
          <w:rtl/>
        </w:rPr>
        <w:t xml:space="preserve">من ربه جعفر البحرانی‏</w:t>
      </w:r>
    </w:p>
    <w:p>
      <w:pPr>
        <w:pStyle w:val="BookText"/>
      </w:pPr>
      <w:r>
        <w:rPr>
          <w:rFonts w:ascii="IRNazanin" w:hAnsi="IRNazanin" w:eastAsia="IRNazanin" w:cs="IRNazanin"/>
          <w:lang w:bidi="fa-IR"/>
          <w:color w:val="111111"/>
          <w:sz w:val="28"/>
          <w:szCs w:val="28"/>
          <w:rtl/>
        </w:rPr>
        <w:t xml:space="preserve">ترجمه فی السلافة و فی أمل الآمل موصوفا بقوله: فاضل عالم صالح ماهر شاعر معاصر، رأیته بمکة، و توفی بحیدرآباد أقول رأیت من شعره بخطه علی ظهر بعض ما ملکه من الکتب هذه الرباعیة</w:t>
      </w:r>
    </w:p>
    <w:p>
      <w:pPr>
        <w:pStyle w:val="BookText"/>
      </w:pPr>
      <w:r>
        <w:rPr>
          <w:rFonts w:ascii="IRNazanin" w:hAnsi="IRNazanin" w:eastAsia="IRNazanin" w:cs="IRNazanin"/>
          <w:lang w:bidi="fa-IR"/>
          <w:color w:val="111111"/>
          <w:sz w:val="28"/>
          <w:szCs w:val="28"/>
          <w:rtl/>
        </w:rPr>
        <w:t xml:space="preserve">هذا کتاب لدی ملکا خالصا</w:t>
      </w:r>
    </w:p>
    <w:p>
      <w:pPr>
        <w:pStyle w:val="BookText"/>
      </w:pPr>
      <w:r>
        <w:rPr>
          <w:rFonts w:ascii="IRNazanin" w:hAnsi="IRNazanin" w:eastAsia="IRNazanin" w:cs="IRNazanin"/>
          <w:lang w:bidi="fa-IR"/>
          <w:color w:val="111111"/>
          <w:sz w:val="28"/>
          <w:szCs w:val="28"/>
          <w:rtl/>
        </w:rPr>
        <w:t xml:space="preserve">و أنا المقصر جعفر بن کمال‏</w:t>
      </w:r>
    </w:p>
    <w:p>
      <w:pPr>
        <w:pStyle w:val="BookText"/>
      </w:pPr>
      <w:r>
        <w:rPr>
          <w:rFonts w:ascii="IRNazanin" w:hAnsi="IRNazanin" w:eastAsia="IRNazanin" w:cs="IRNazanin"/>
          <w:lang w:bidi="fa-IR"/>
          <w:color w:val="111111"/>
          <w:sz w:val="28"/>
          <w:szCs w:val="28"/>
          <w:rtl/>
        </w:rPr>
        <w:t xml:space="preserve">و کتبته من بعد ألف قد مضت‏</w:t>
      </w:r>
    </w:p>
    <w:p>
      <w:pPr>
        <w:pStyle w:val="BookText"/>
      </w:pPr>
      <w:r>
        <w:rPr>
          <w:rFonts w:ascii="IRNazanin" w:hAnsi="IRNazanin" w:eastAsia="IRNazanin" w:cs="IRNazanin"/>
          <w:lang w:bidi="fa-IR"/>
          <w:color w:val="111111"/>
          <w:sz w:val="28"/>
          <w:szCs w:val="28"/>
          <w:rtl/>
        </w:rPr>
        <w:t xml:space="preserve">مع أربعین بمنتهی شوال‏</w:t>
      </w:r>
    </w:p>
    <w:p>
      <w:pPr>
        <w:pStyle w:val="BookText"/>
      </w:pPr>
      <w:r>
        <w:rPr>
          <w:rFonts w:ascii="IRNazanin" w:hAnsi="IRNazanin" w:eastAsia="IRNazanin" w:cs="IRNazanin"/>
          <w:lang w:bidi="fa-IR"/>
          <w:color w:val="111111"/>
          <w:sz w:val="28"/>
          <w:szCs w:val="28"/>
          <w:rtl/>
        </w:rPr>
        <w:t xml:space="preserve">ترجمه فی الروضات (ص 149) و توجد أرجوزته التجویدیة الکامل فی الصناعة فی مکتبة (المشکاة) کما فصلها ابنی فی فهرسها (ج 1- ص 178- 181)</w:t>
      </w:r>
    </w:p>
    <w:p>
      <w:pPr>
        <w:pStyle w:val="Heading3"/>
      </w:pPr>
      <w:bookmarkStart w:id="2783" w:name="_Toc1479"/>
      <w:r>
        <w:t>دیوان الشیخ جعفر البحرانی‏</w:t>
      </w:r>
      <w:bookmarkEnd w:id="2783"/>
    </w:p>
    <w:p>
      <w:pPr>
        <w:pStyle w:val="BookText"/>
      </w:pPr>
      <w:r>
        <w:rPr>
          <w:rFonts w:ascii="IRNazanin" w:hAnsi="IRNazanin" w:eastAsia="IRNazanin" w:cs="IRNazanin"/>
          <w:lang w:bidi="fa-IR"/>
          <w:color w:val="111111"/>
          <w:sz w:val="28"/>
          <w:szCs w:val="28"/>
          <w:rtl/>
        </w:rPr>
        <w:t xml:space="preserve">مر بعنوان دیوان أبی البحر</w:t>
      </w:r>
    </w:p>
    <w:p>
      <w:pPr>
        <w:pStyle w:val="Heading3"/>
      </w:pPr>
      <w:bookmarkStart w:id="2784" w:name="_Toc1480"/>
      <w:r>
        <w:t>1203- دیوان الشیخ جعفر البحرانی العوامی‏</w:t>
      </w:r>
      <w:bookmarkEnd w:id="2784"/>
    </w:p>
    <w:p>
      <w:pPr>
        <w:pStyle w:val="BookText"/>
      </w:pPr>
      <w:r>
        <w:rPr>
          <w:rFonts w:ascii="IRNazanin" w:hAnsi="IRNazanin" w:eastAsia="IRNazanin" w:cs="IRNazanin"/>
          <w:lang w:bidi="fa-IR"/>
          <w:color w:val="111111"/>
          <w:sz w:val="28"/>
          <w:szCs w:val="28"/>
          <w:rtl/>
        </w:rPr>
        <w:t xml:space="preserve">و هو ابن محمد العوامی المعاصر، مؤلف جذوة الحق المذکور فی (ج 5- ص 93) و دیوانه یقرب من أربعة آلاف بیت فی مدائح الأئمة عند ولد الناظم الشیخ علی بن جعفر</w:t>
      </w:r>
    </w:p>
    <w:p>
      <w:pPr>
        <w:pStyle w:val="Heading3"/>
      </w:pPr>
      <w:bookmarkStart w:id="2785" w:name="_Toc1481"/>
      <w:r>
        <w:t>1204- دیوان جعفر تبریزی أو شعره‏</w:t>
      </w:r>
      <w:bookmarkEnd w:id="2785"/>
    </w:p>
    <w:p>
      <w:pPr>
        <w:pStyle w:val="BookText"/>
      </w:pPr>
      <w:r>
        <w:rPr>
          <w:rFonts w:ascii="IRNazanin" w:hAnsi="IRNazanin" w:eastAsia="IRNazanin" w:cs="IRNazanin"/>
          <w:lang w:bidi="fa-IR"/>
          <w:color w:val="111111"/>
          <w:sz w:val="28"/>
          <w:szCs w:val="28"/>
          <w:rtl/>
        </w:rPr>
        <w:t xml:space="preserve">الخطاط فی النسخ و التعلیق و أستاذ مولانا أظهر، و شهاب الدین عبد الله آشپز، و الشیخ محمود، أساتذة الخط الفارسی و کان مدیر مکتبة بایسنقر ترجمه فی حبیب السیر الجزء الثالث من المجلد الثالث (ط: طهران 1271:</w:t>
      </w:r>
    </w:p>
    <w:p>
      <w:pPr>
        <w:pStyle w:val="BookText"/>
      </w:pPr>
      <w:r>
        <w:rPr>
          <w:rFonts w:ascii="IRNazanin" w:hAnsi="IRNazanin" w:eastAsia="IRNazanin" w:cs="IRNazanin"/>
          <w:lang w:bidi="fa-IR"/>
          <w:color w:val="111111"/>
          <w:sz w:val="28"/>
          <w:szCs w:val="28"/>
          <w:rtl/>
        </w:rPr>
        <w:t xml:space="preserve">ص 150) و خط و خطاطان و عنهما فی (دجا- ص 95)</w:t>
      </w:r>
    </w:p>
    <w:p>
      <w:pPr>
        <w:pStyle w:val="Heading3"/>
      </w:pPr>
      <w:bookmarkStart w:id="2786" w:name="_Toc1482"/>
      <w:r>
        <w:t>1205- دیوان جعفر تبریزی أو شعره‏</w:t>
      </w:r>
      <w:bookmarkEnd w:id="2786"/>
    </w:p>
    <w:p>
      <w:pPr>
        <w:pStyle w:val="BookText"/>
      </w:pPr>
      <w:r>
        <w:rPr>
          <w:rFonts w:ascii="IRNazanin" w:hAnsi="IRNazanin" w:eastAsia="IRNazanin" w:cs="IRNazanin"/>
          <w:lang w:bidi="fa-IR"/>
          <w:color w:val="111111"/>
          <w:sz w:val="28"/>
          <w:szCs w:val="28"/>
          <w:rtl/>
        </w:rPr>
        <w:t xml:space="preserve">هو أخو إسماعیل خان التبریزی أورد شعره‏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92" w:name="pg11704_121671"/>
    <w:bookmarkEnd w:id="192"/>
    <w:p>
      <w:pPr>
        <w:pStyle w:val="BookText"/>
      </w:pPr>
      <w:r>
        <w:rPr>
          <w:rFonts w:ascii="IRNazanin" w:hAnsi="IRNazanin" w:eastAsia="IRNazanin" w:cs="IRNazanin"/>
          <w:lang w:bidi="fa-IR"/>
          <w:color w:val="111111"/>
          <w:sz w:val="28"/>
          <w:szCs w:val="28"/>
          <w:rtl/>
        </w:rPr>
        <w:t xml:space="preserve">فی (دجا- ص 95) عن بیاض صائب‏</w:t>
      </w:r>
    </w:p>
    <w:p>
      <w:pPr>
        <w:pStyle w:val="Heading3"/>
      </w:pPr>
      <w:bookmarkStart w:id="2787" w:name="_Toc1483"/>
      <w:r>
        <w:t>دیوان السید جعفر الحلی‏</w:t>
      </w:r>
      <w:bookmarkEnd w:id="2787"/>
    </w:p>
    <w:p>
      <w:pPr>
        <w:pStyle w:val="BookText"/>
      </w:pPr>
      <w:r>
        <w:rPr>
          <w:rFonts w:ascii="IRNazanin" w:hAnsi="IRNazanin" w:eastAsia="IRNazanin" w:cs="IRNazanin"/>
          <w:lang w:bidi="fa-IR"/>
          <w:color w:val="111111"/>
          <w:sz w:val="28"/>
          <w:szCs w:val="28"/>
          <w:rtl/>
        </w:rPr>
        <w:t xml:space="preserve">المتوفی (1315) یأتی فی السین باسمه سحر بابل‏</w:t>
      </w:r>
    </w:p>
    <w:p>
      <w:pPr>
        <w:pStyle w:val="Heading3"/>
      </w:pPr>
      <w:bookmarkStart w:id="2788" w:name="_Toc1484"/>
      <w:r>
        <w:t>1206- دیوان جعفر الحیدری أو شعره‏</w:t>
      </w:r>
      <w:bookmarkEnd w:id="2788"/>
    </w:p>
    <w:p>
      <w:pPr>
        <w:pStyle w:val="BookText"/>
      </w:pPr>
      <w:r>
        <w:rPr>
          <w:rFonts w:ascii="IRNazanin" w:hAnsi="IRNazanin" w:eastAsia="IRNazanin" w:cs="IRNazanin"/>
          <w:lang w:bidi="fa-IR"/>
          <w:color w:val="111111"/>
          <w:sz w:val="28"/>
          <w:szCs w:val="28"/>
          <w:rtl/>
        </w:rPr>
        <w:t xml:space="preserve">و هو السید محمد جعفر النجفی طبع تقریظه لفرهنگ خداپرستی فی (1281) و کذا تخمیسه لقصیدة عبد الحسین شکر النجفی‏</w:t>
      </w:r>
    </w:p>
    <w:p>
      <w:pPr>
        <w:pStyle w:val="Heading3"/>
      </w:pPr>
      <w:bookmarkStart w:id="2789" w:name="_Toc1485"/>
      <w:r>
        <w:t>1207- دیوان السید جعفر خرسان‏</w:t>
      </w:r>
      <w:bookmarkEnd w:id="2789"/>
    </w:p>
    <w:p>
      <w:pPr>
        <w:pStyle w:val="BookText"/>
      </w:pPr>
      <w:r>
        <w:rPr>
          <w:rFonts w:ascii="IRNazanin" w:hAnsi="IRNazanin" w:eastAsia="IRNazanin" w:cs="IRNazanin"/>
          <w:lang w:bidi="fa-IR"/>
          <w:color w:val="111111"/>
          <w:sz w:val="28"/>
          <w:szCs w:val="28"/>
          <w:rtl/>
        </w:rPr>
        <w:t xml:space="preserve">و هو ابن السید أحمد بن السید درویش بن السید محسن بن السید شکر بن مسعود الملقب بعیشی المعروف بالسید جعفر خرسان لانتمائه إلی أبی الفتح الأخرس المنتهی نسبه إلی محمد العابد بن الإمام موسی بن جعفر علیه السلام  النجفی المولود بها (17 ذی الحجة- 1216) و المتوفی (2 رجب- 1303) و توفی أبوه السید أحمد (9- ع 1- 1246) و توفی جده درویش (25- ع 1- 1227) هو و أبوه و جده علماء فضلاء شعراء أدباء و قد کتب السید جعفر بخطه مجموعتین إحداهما فی مکتبة (السماوی) و الأخری بمکتبة (حسینیة کاشف الغطاء) و أورد فیهما کثیرا من أشعار نفسه قصیدة و رباعیة، تهنئة و رثاء، من غیر أن یرتبها و قد استخرج السید حسن بن السید عبد الهادی بن السید موسی بن السید حسن بن السید علی بن السید شکر الذی هو الجد الأعلی للسید جعفر، کثیرا من الفوائد التاریخیة و الأشعار المدرجة فی مجموعة السید جعفر الموجودة بمکتبة (السماوی)</w:t>
      </w:r>
    </w:p>
    <w:p>
      <w:pPr>
        <w:pStyle w:val="Heading3"/>
      </w:pPr>
      <w:bookmarkStart w:id="2790" w:name="_Toc1486"/>
      <w:r>
        <w:t>1208- دیوان جعفر رازی‏</w:t>
      </w:r>
      <w:bookmarkEnd w:id="2790"/>
    </w:p>
    <w:p>
      <w:pPr>
        <w:pStyle w:val="BookText"/>
      </w:pPr>
      <w:r>
        <w:rPr>
          <w:rFonts w:ascii="IRNazanin" w:hAnsi="IRNazanin" w:eastAsia="IRNazanin" w:cs="IRNazanin"/>
          <w:lang w:bidi="fa-IR"/>
          <w:color w:val="111111"/>
          <w:sz w:val="28"/>
          <w:szCs w:val="28"/>
          <w:rtl/>
        </w:rPr>
        <w:t xml:space="preserve">المعروف بخواجه جعفر هو ابن السید محمد نوربخش و أخو شاه قاسم سافر إلی هرات فعززه بایقرا و أقطعه أرضا فلم یقبل و سافر إلی الحج له دیوان معروف و کان یعتقد بمهدویة والده کذا وصفه فی (مجن 4- ص 96 و 272) و أظنه الذی سماه فی (گلشن- ص 101) تارة بعنوان جعفر رازی و أخری بعنوان طهرانی و قال کان متطببا ماهرا فی المعمی سافر إلی أصفهان و منها إلی مشهد لفتنة وقع بأصفهان‏</w:t>
      </w:r>
    </w:p>
    <w:p>
      <w:pPr>
        <w:pStyle w:val="Heading3"/>
      </w:pPr>
      <w:bookmarkStart w:id="2791" w:name="_Toc1487"/>
      <w:r>
        <w:t>1209- دیوان السید جعفر الزوینی‏</w:t>
      </w:r>
      <w:bookmarkEnd w:id="2791"/>
    </w:p>
    <w:p>
      <w:pPr>
        <w:pStyle w:val="BookText"/>
      </w:pPr>
      <w:r>
        <w:rPr>
          <w:rFonts w:ascii="IRNazanin" w:hAnsi="IRNazanin" w:eastAsia="IRNazanin" w:cs="IRNazanin"/>
          <w:lang w:bidi="fa-IR"/>
          <w:color w:val="111111"/>
          <w:sz w:val="28"/>
          <w:szCs w:val="28"/>
          <w:rtl/>
        </w:rPr>
        <w:t xml:space="preserve">هو ابن السید حسین بن السید حسن بن السید حبیب الزوین النجفی المولود (1264) و توفی بالجعارة (1307) و حمل إلی النجف و قد جمع شعره بنفسه فی مجموعة توجد عند ذویه” المؤلف” و له أنجال أکبرهم السید عبود کما ذکره الشیخ عبد المولی الطریحی فی مجلة العدل الإسلامی النجفیة العدد (11) من السنة الثانیة</w:t>
      </w:r>
    </w:p>
    <w:p>
      <w:pPr>
        <w:pStyle w:val="Heading3"/>
      </w:pPr>
      <w:bookmarkStart w:id="2792" w:name="_Toc1488"/>
      <w:r>
        <w:t>دیوان جعفر ساوجی‏</w:t>
      </w:r>
      <w:bookmarkEnd w:id="2792"/>
    </w:p>
    <w:p>
      <w:pPr>
        <w:pStyle w:val="BookText"/>
      </w:pPr>
      <w:r>
        <w:rPr>
          <w:rFonts w:ascii="IRNazanin" w:hAnsi="IRNazanin" w:eastAsia="IRNazanin" w:cs="IRNazanin"/>
          <w:lang w:bidi="fa-IR"/>
          <w:color w:val="111111"/>
          <w:sz w:val="28"/>
          <w:szCs w:val="28"/>
          <w:rtl/>
        </w:rPr>
        <w:t xml:space="preserve">أورد شعره فی (گلشن- ص 101) و أظنه جعفری الساوجی‏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93" w:name="pg11704_121672"/>
    <w:bookmarkEnd w:id="193"/>
    <w:p>
      <w:pPr>
        <w:pStyle w:val="Heading3"/>
      </w:pPr>
      <w:bookmarkStart w:id="2793" w:name="_Toc1489"/>
      <w:r>
        <w:t>1210- دیوان جعفر شاملو أو شعره‏</w:t>
      </w:r>
      <w:bookmarkEnd w:id="2793"/>
    </w:p>
    <w:p>
      <w:pPr>
        <w:pStyle w:val="BookText"/>
      </w:pPr>
      <w:r>
        <w:rPr>
          <w:rFonts w:ascii="IRNazanin" w:hAnsi="IRNazanin" w:eastAsia="IRNazanin" w:cs="IRNazanin"/>
          <w:lang w:bidi="fa-IR"/>
          <w:color w:val="111111"/>
          <w:sz w:val="28"/>
          <w:szCs w:val="28"/>
          <w:rtl/>
        </w:rPr>
        <w:t xml:space="preserve">و هو محمد جعفر بیگ أخو محمد مؤمن بیگ أورد شعره فی (نر 2- ص 35)</w:t>
      </w:r>
    </w:p>
    <w:p>
      <w:pPr>
        <w:pStyle w:val="Heading3"/>
      </w:pPr>
      <w:bookmarkStart w:id="2794" w:name="_Toc1490"/>
      <w:r>
        <w:t>1211- دیوان جعفر الطائی‏</w:t>
      </w:r>
      <w:bookmarkEnd w:id="2794"/>
    </w:p>
    <w:p>
      <w:pPr>
        <w:pStyle w:val="BookText"/>
      </w:pPr>
      <w:r>
        <w:rPr>
          <w:rFonts w:ascii="IRNazanin" w:hAnsi="IRNazanin" w:eastAsia="IRNazanin" w:cs="IRNazanin"/>
          <w:lang w:bidi="fa-IR"/>
          <w:color w:val="111111"/>
          <w:sz w:val="28"/>
          <w:szCs w:val="28"/>
          <w:rtl/>
        </w:rPr>
        <w:t xml:space="preserve">هو ابن عفان الطائی، شاعر أهل البیت، حکی الکشی دخوله علی الإمام الصادق علیه السلام  و أنشده شعرا حتی بکی ع و بشره بالجنة و فی کامل الزیارة لابن قولویه أورد شعره و رثاءه بمحضر الصادق علیه السلام  أوله:</w:t>
      </w:r>
    </w:p>
    <w:p>
      <w:pPr>
        <w:pStyle w:val="BookText"/>
      </w:pPr>
      <w:r>
        <w:rPr>
          <w:rFonts w:ascii="IRNazanin" w:hAnsi="IRNazanin" w:eastAsia="IRNazanin" w:cs="IRNazanin"/>
          <w:lang w:bidi="fa-IR"/>
          <w:color w:val="111111"/>
          <w:sz w:val="28"/>
          <w:szCs w:val="28"/>
          <w:rtl/>
        </w:rPr>
        <w:t xml:space="preserve">لیبک علی الإسلام من کان باکیا</w:t>
      </w:r>
    </w:p>
    <w:p>
      <w:pPr>
        <w:pStyle w:val="BookText"/>
      </w:pPr>
      <w:r>
        <w:rPr>
          <w:rFonts w:ascii="IRNazanin" w:hAnsi="IRNazanin" w:eastAsia="IRNazanin" w:cs="IRNazanin"/>
          <w:lang w:bidi="fa-IR"/>
          <w:color w:val="111111"/>
          <w:sz w:val="28"/>
          <w:szCs w:val="28"/>
          <w:rtl/>
        </w:rPr>
        <w:t xml:space="preserve">فقد ضیعت أحکامه و استحلت‏</w:t>
      </w:r>
    </w:p>
    <w:p>
      <w:pPr>
        <w:pStyle w:val="BookText"/>
      </w:pPr>
      <w:r>
        <w:rPr>
          <w:rFonts w:ascii="IRNazanin" w:hAnsi="IRNazanin" w:eastAsia="IRNazanin" w:cs="IRNazanin"/>
          <w:lang w:bidi="fa-IR"/>
          <w:color w:val="111111"/>
          <w:sz w:val="28"/>
          <w:szCs w:val="28"/>
          <w:rtl/>
        </w:rPr>
        <w:t xml:space="preserve">و فی فهرس ابن الندیم (ص 234) جعفر بن عفان الطائی من شعراء الشیعة و شعره مائتا ورقة</w:t>
      </w:r>
    </w:p>
    <w:p>
      <w:pPr>
        <w:pStyle w:val="Heading3"/>
      </w:pPr>
      <w:bookmarkStart w:id="2795" w:name="_Toc1491"/>
      <w:r>
        <w:t>1212- دیوان السید جعفر العاملی‏</w:t>
      </w:r>
      <w:bookmarkEnd w:id="2795"/>
    </w:p>
    <w:p>
      <w:pPr>
        <w:pStyle w:val="BookText"/>
      </w:pPr>
      <w:r>
        <w:rPr>
          <w:rFonts w:ascii="IRNazanin" w:hAnsi="IRNazanin" w:eastAsia="IRNazanin" w:cs="IRNazanin"/>
          <w:lang w:bidi="fa-IR"/>
          <w:color w:val="111111"/>
          <w:sz w:val="28"/>
          <w:szCs w:val="28"/>
          <w:rtl/>
        </w:rPr>
        <w:t xml:space="preserve">و هو ابن أبی الحسن الموسوی القمی المتوفی (1297) صاحب حاشیة القوانین المذکور فی (ج 6- ص 175) ذکره سیدنا فی التکملة</w:t>
      </w:r>
    </w:p>
    <w:p>
      <w:pPr>
        <w:pStyle w:val="Heading3"/>
      </w:pPr>
      <w:bookmarkStart w:id="2796" w:name="_Toc1492"/>
      <w:r>
        <w:t>1213- دیوان جعفر قاجار</w:t>
      </w:r>
      <w:bookmarkEnd w:id="2796"/>
    </w:p>
    <w:p>
      <w:pPr>
        <w:pStyle w:val="BookText"/>
      </w:pPr>
      <w:r>
        <w:rPr>
          <w:rFonts w:ascii="IRNazanin" w:hAnsi="IRNazanin" w:eastAsia="IRNazanin" w:cs="IRNazanin"/>
          <w:lang w:bidi="fa-IR"/>
          <w:color w:val="111111"/>
          <w:sz w:val="28"/>
          <w:szCs w:val="28"/>
          <w:rtl/>
        </w:rPr>
        <w:t xml:space="preserve">یعبر عن نفسه بدهقان گم نام کما فی مناظراته المطبوع (1329 ش) ذکر فیها بعض شعره فی مدح شمس العرفاء و تخلصه فیه جعفر یظهر منها أنه ولد (1283) و سکن سعادت‏آباد من قری درکه، و سافر مدة ثلاث و سبعین سنة، و خدم أربعة و خمسین مرشدا آخرهم شمس العرفاء، و بأمره ألف شرح دعاء الصباح المطبوع (1329)</w:t>
      </w:r>
    </w:p>
    <w:p>
      <w:pPr>
        <w:pStyle w:val="Heading3"/>
      </w:pPr>
      <w:bookmarkStart w:id="2797" w:name="_Toc1493"/>
      <w:r>
        <w:t>دیوان جعفر فراهانی‏</w:t>
      </w:r>
      <w:bookmarkEnd w:id="2797"/>
    </w:p>
    <w:p>
      <w:pPr>
        <w:pStyle w:val="BookText"/>
      </w:pPr>
      <w:r>
        <w:rPr>
          <w:rFonts w:ascii="IRNazanin" w:hAnsi="IRNazanin" w:eastAsia="IRNazanin" w:cs="IRNazanin"/>
          <w:lang w:bidi="fa-IR"/>
          <w:color w:val="111111"/>
          <w:sz w:val="28"/>
          <w:szCs w:val="28"/>
          <w:rtl/>
        </w:rPr>
        <w:t xml:space="preserve">قال فی (تغ- ص 36) إن اسمه أبو الحسن جلال الدین و تخلصه جعفر ثم نقل عن واله الداغستانی أن تخلصه أبو الحسن و الظاهر أنه خلط بین الفراهانی أبو الحسن الذی ذکرناه فی (ص 40) الذی هو فی القرن الحادی عشر، و بین جلال الفراهانی الآتی، الذی هو فی القرن الثامن‏</w:t>
      </w:r>
    </w:p>
    <w:p>
      <w:pPr>
        <w:pStyle w:val="Heading3"/>
      </w:pPr>
      <w:bookmarkStart w:id="2798" w:name="_Toc1494"/>
      <w:r>
        <w:t>1214- دیوان جعفر قزوینی أو شعره‏</w:t>
      </w:r>
      <w:bookmarkEnd w:id="2798"/>
    </w:p>
    <w:p>
      <w:pPr>
        <w:pStyle w:val="BookText"/>
      </w:pPr>
      <w:r>
        <w:rPr>
          <w:rFonts w:ascii="IRNazanin" w:hAnsi="IRNazanin" w:eastAsia="IRNazanin" w:cs="IRNazanin"/>
          <w:lang w:bidi="fa-IR"/>
          <w:color w:val="111111"/>
          <w:sz w:val="28"/>
          <w:szCs w:val="28"/>
          <w:rtl/>
        </w:rPr>
        <w:t xml:space="preserve">و هو جعفر بیک بن أبی القاسم و ابن عم حاتم بیک اعتماد الدولة صافی کان وزیر قزوین، و فی زمان حکومة نجف قلی خان، نصب وزیرا لإیروان و مات بها أورد شعره فی (دجا- ص 94) عن سفینه خوش‏گو و زاد فی (نر 4- ص 73) أنه کان حسن الخط</w:t>
      </w:r>
    </w:p>
    <w:p>
      <w:pPr>
        <w:pStyle w:val="Heading3"/>
      </w:pPr>
      <w:bookmarkStart w:id="2799" w:name="_Toc1495"/>
      <w:r>
        <w:t>1215- دیوان جعفر قزوینی أو شعره‏</w:t>
      </w:r>
      <w:bookmarkEnd w:id="2799"/>
    </w:p>
    <w:p>
      <w:pPr>
        <w:pStyle w:val="BookText"/>
      </w:pPr>
      <w:r>
        <w:rPr>
          <w:rFonts w:ascii="IRNazanin" w:hAnsi="IRNazanin" w:eastAsia="IRNazanin" w:cs="IRNazanin"/>
          <w:lang w:bidi="fa-IR"/>
          <w:color w:val="111111"/>
          <w:sz w:val="28"/>
          <w:szCs w:val="28"/>
          <w:rtl/>
        </w:rPr>
        <w:t xml:space="preserve">المنشی لمحراب خان حاکم أسترآباد ثم نصب وزیرا للاهیجان ثم شکاه الناس فعزل و نصب وزیرا لیزد، ثم شکاه الناس فانعزل و بقی‏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94" w:name="pg11704_121673"/>
    <w:bookmarkEnd w:id="194"/>
    <w:p>
      <w:pPr>
        <w:pStyle w:val="BookText"/>
      </w:pPr>
      <w:r>
        <w:rPr>
          <w:rFonts w:ascii="IRNazanin" w:hAnsi="IRNazanin" w:eastAsia="IRNazanin" w:cs="IRNazanin"/>
          <w:lang w:bidi="fa-IR"/>
          <w:color w:val="111111"/>
          <w:sz w:val="28"/>
          <w:szCs w:val="28"/>
          <w:rtl/>
        </w:rPr>
        <w:t xml:space="preserve">بأصفهان، و مات قبل تألیف النصرآبادی (1089) بقلیل، ذکره فی (نر 4- ص 86)</w:t>
      </w:r>
    </w:p>
    <w:p>
      <w:pPr>
        <w:pStyle w:val="Heading3"/>
      </w:pPr>
      <w:bookmarkStart w:id="2800" w:name="_Toc1496"/>
      <w:r>
        <w:t>1216- دیوان جعفر کاشی أو شعره‏</w:t>
      </w:r>
      <w:bookmarkEnd w:id="2800"/>
    </w:p>
    <w:p>
      <w:pPr>
        <w:pStyle w:val="BookText"/>
      </w:pPr>
      <w:r>
        <w:rPr>
          <w:rFonts w:ascii="IRNazanin" w:hAnsi="IRNazanin" w:eastAsia="IRNazanin" w:cs="IRNazanin"/>
          <w:lang w:bidi="fa-IR"/>
          <w:color w:val="111111"/>
          <w:sz w:val="28"/>
          <w:szCs w:val="28"/>
          <w:rtl/>
        </w:rPr>
        <w:t xml:space="preserve">کان معلما معاصرا للشاه عباس الأول و اسمه المیر جعفر ترجمه و أورد شعره فی (نر 9- 297) و (تغ- ص 36) و (روشن- ص 145)</w:t>
      </w:r>
    </w:p>
    <w:p>
      <w:pPr>
        <w:pStyle w:val="Heading3"/>
      </w:pPr>
      <w:bookmarkStart w:id="2801" w:name="_Toc1497"/>
      <w:r>
        <w:t>1217- دیوان جعفر کشمیری‏</w:t>
      </w:r>
      <w:bookmarkEnd w:id="2801"/>
    </w:p>
    <w:p>
      <w:pPr>
        <w:pStyle w:val="BookText"/>
      </w:pPr>
      <w:r>
        <w:rPr>
          <w:rFonts w:ascii="IRNazanin" w:hAnsi="IRNazanin" w:eastAsia="IRNazanin" w:cs="IRNazanin"/>
          <w:lang w:bidi="fa-IR"/>
          <w:color w:val="111111"/>
          <w:sz w:val="28"/>
          <w:szCs w:val="28"/>
          <w:rtl/>
        </w:rPr>
        <w:t xml:space="preserve">و هو ابن أبی الحسن الرضوی الکشمیری اللکهنوی و أخ السید محمد هادی و السید محمد باقر مؤلف إسداء الرغاب جمع شعره و دونه حفید أخیه السید ابن الحسن بن محمد حسن بن محمد هادی المذکور</w:t>
      </w:r>
    </w:p>
    <w:p>
      <w:pPr>
        <w:pStyle w:val="Heading3"/>
      </w:pPr>
      <w:bookmarkStart w:id="2802" w:name="_Toc1498"/>
      <w:r>
        <w:t>1218- دیوان جعفر لاهیجی أو شعره‏</w:t>
      </w:r>
      <w:bookmarkEnd w:id="2802"/>
    </w:p>
    <w:p>
      <w:pPr>
        <w:pStyle w:val="BookText"/>
      </w:pPr>
      <w:r>
        <w:rPr>
          <w:rFonts w:ascii="IRNazanin" w:hAnsi="IRNazanin" w:eastAsia="IRNazanin" w:cs="IRNazanin"/>
          <w:lang w:bidi="fa-IR"/>
          <w:color w:val="111111"/>
          <w:sz w:val="28"/>
          <w:szCs w:val="28"/>
          <w:rtl/>
        </w:rPr>
        <w:t xml:space="preserve">و اسمه جعفر بیک بن بهزاد بیک وزیر لاهیجان فی عهد الشاه عباس الأول کان حیا بأصفهان فی زمن تألیف النصرآبادی فذکره فی (نر 2- ص 51) و أورد شعره‏</w:t>
      </w:r>
    </w:p>
    <w:p>
      <w:pPr>
        <w:pStyle w:val="Heading3"/>
      </w:pPr>
      <w:bookmarkStart w:id="2803" w:name="_Toc1499"/>
      <w:r>
        <w:t>1219- دیوان الشیخ جعفر الهر</w:t>
      </w:r>
      <w:bookmarkEnd w:id="2803"/>
    </w:p>
    <w:p>
      <w:pPr>
        <w:pStyle w:val="BookText"/>
      </w:pPr>
      <w:r>
        <w:rPr>
          <w:rFonts w:ascii="IRNazanin" w:hAnsi="IRNazanin" w:eastAsia="IRNazanin" w:cs="IRNazanin"/>
          <w:lang w:bidi="fa-IR"/>
          <w:color w:val="111111"/>
          <w:sz w:val="28"/>
          <w:szCs w:val="28"/>
          <w:rtl/>
        </w:rPr>
        <w:t xml:space="preserve">بن الشیخ صادق بن أحمد الحائری الملقب بالهر المولود (1272) کما فی الطلیعة و المتوفی (1347) و دفن فی الرواق الحسینی قرب صندوق صاحب الریاض ذکره ولده الشیخ موسی و هو تلمیذ الحاج الشیخ زین العابدین المازندرانی و الفاضل الأردکانی و الشهرستانی‏</w:t>
      </w:r>
    </w:p>
    <w:p>
      <w:pPr>
        <w:pStyle w:val="Heading3"/>
      </w:pPr>
      <w:bookmarkStart w:id="2804" w:name="_Toc1500"/>
      <w:r>
        <w:t>1220- دیوان جعفری أو شعره‏</w:t>
      </w:r>
      <w:bookmarkEnd w:id="2804"/>
    </w:p>
    <w:p>
      <w:pPr>
        <w:pStyle w:val="BookText"/>
      </w:pPr>
      <w:r>
        <w:rPr>
          <w:rFonts w:ascii="IRNazanin" w:hAnsi="IRNazanin" w:eastAsia="IRNazanin" w:cs="IRNazanin"/>
          <w:lang w:bidi="fa-IR"/>
          <w:color w:val="111111"/>
          <w:sz w:val="28"/>
          <w:szCs w:val="28"/>
          <w:rtl/>
        </w:rPr>
        <w:t xml:space="preserve">السید حمزة عده فی (کتاب النقض- ص 252) من شعراء الفرس الشیعة</w:t>
      </w:r>
    </w:p>
    <w:p>
      <w:pPr>
        <w:pStyle w:val="Heading3"/>
      </w:pPr>
      <w:bookmarkStart w:id="2805" w:name="_Toc1501"/>
      <w:r>
        <w:t>دیوان جعفری تبریزی‏</w:t>
      </w:r>
      <w:bookmarkEnd w:id="2805"/>
    </w:p>
    <w:p>
      <w:pPr>
        <w:pStyle w:val="BookText"/>
      </w:pPr>
      <w:r>
        <w:rPr>
          <w:rFonts w:ascii="IRNazanin" w:hAnsi="IRNazanin" w:eastAsia="IRNazanin" w:cs="IRNazanin"/>
          <w:lang w:bidi="fa-IR"/>
          <w:color w:val="111111"/>
          <w:sz w:val="28"/>
          <w:szCs w:val="28"/>
          <w:rtl/>
        </w:rPr>
        <w:t xml:space="preserve">و اسمه المیر محمد جعفر من سادتها کان خفافا بتبریز و لا یرتزق من الشعر أورد شعره معاصره الصادقی فی (خص 6- ص 96) و (تغ- ص 36) و (تش- ص 28) و أورد مناظرته مع میر جنونی و بعض تواریخه و غزله فی (دجا- ص 96) عن خلاصة الأشعار و أظنه هو جعفری ساوجی‏</w:t>
      </w:r>
    </w:p>
    <w:p>
      <w:pPr>
        <w:pStyle w:val="Heading3"/>
      </w:pPr>
      <w:bookmarkStart w:id="2806" w:name="_Toc1502"/>
      <w:r>
        <w:t>1221- دیوان جعفری ساوجی أو شعره‏</w:t>
      </w:r>
      <w:bookmarkEnd w:id="2806"/>
    </w:p>
    <w:p>
      <w:pPr>
        <w:pStyle w:val="BookText"/>
      </w:pPr>
      <w:r>
        <w:rPr>
          <w:rFonts w:ascii="IRNazanin" w:hAnsi="IRNazanin" w:eastAsia="IRNazanin" w:cs="IRNazanin"/>
          <w:lang w:bidi="fa-IR"/>
          <w:color w:val="111111"/>
          <w:sz w:val="28"/>
          <w:szCs w:val="28"/>
          <w:rtl/>
        </w:rPr>
        <w:t xml:space="preserve">و هو مولانا میر خود الجعفری المعاصر لصادقی أیضا کان غنی الطبع و لا یرتزق من الشعر و ینظم الشعر بأنواعه أورد شعره فی (خص 8- ص 221) و (تغ- ص 37) و قال فی (تش- ص 218) إن أصله من ساوه و سکن بتبریز و أظنه متحدا مع ما قبله‏</w:t>
      </w:r>
    </w:p>
    <w:p>
      <w:pPr>
        <w:pStyle w:val="Heading3"/>
      </w:pPr>
      <w:bookmarkStart w:id="2807" w:name="_Toc1503"/>
      <w:r>
        <w:t>1222- دیوان جعفری شیرازی أو شعره‏</w:t>
      </w:r>
      <w:bookmarkEnd w:id="2807"/>
    </w:p>
    <w:p>
      <w:pPr>
        <w:pStyle w:val="BookText"/>
      </w:pPr>
      <w:r>
        <w:rPr>
          <w:rFonts w:ascii="IRNazanin" w:hAnsi="IRNazanin" w:eastAsia="IRNazanin" w:cs="IRNazanin"/>
          <w:lang w:bidi="fa-IR"/>
          <w:color w:val="111111"/>
          <w:sz w:val="28"/>
          <w:szCs w:val="28"/>
          <w:rtl/>
        </w:rPr>
        <w:t xml:space="preserve">و اسمه الملا مقیم کان صالحا ورعا ملازما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95" w:name="pg11704_121674"/>
    <w:bookmarkEnd w:id="195"/>
    <w:p>
      <w:pPr>
        <w:pStyle w:val="BookText"/>
      </w:pPr>
      <w:r>
        <w:rPr>
          <w:rFonts w:ascii="IRNazanin" w:hAnsi="IRNazanin" w:eastAsia="IRNazanin" w:cs="IRNazanin"/>
          <w:lang w:bidi="fa-IR"/>
          <w:color w:val="111111"/>
          <w:sz w:val="28"/>
          <w:szCs w:val="28"/>
          <w:rtl/>
        </w:rPr>
        <w:t xml:space="preserve">للشیخ علی نقی الکمره‏إی سافر معه إلی أصفهان و تلمذ علی علی رضا شیخ الإسلام و مات فی (1074) أورد ذکره فی (نر 6- ص 186) و (روشن- ص 147)</w:t>
      </w:r>
    </w:p>
    <w:p>
      <w:pPr>
        <w:pStyle w:val="Heading3"/>
      </w:pPr>
      <w:bookmarkStart w:id="2808" w:name="_Toc1504"/>
      <w:r>
        <w:t>1223- دیوان جعفری قزوینی‏</w:t>
      </w:r>
      <w:bookmarkEnd w:id="2808"/>
    </w:p>
    <w:p>
      <w:pPr>
        <w:pStyle w:val="BookText"/>
      </w:pPr>
      <w:r>
        <w:rPr>
          <w:rFonts w:ascii="IRNazanin" w:hAnsi="IRNazanin" w:eastAsia="IRNazanin" w:cs="IRNazanin"/>
          <w:lang w:bidi="fa-IR"/>
          <w:color w:val="111111"/>
          <w:sz w:val="28"/>
          <w:szCs w:val="28"/>
          <w:rtl/>
        </w:rPr>
        <w:t xml:space="preserve">و هو المیرزا قوام الدین جعفر بن بدیع الزمان سافر إلی الهند و تقرب عند جهانگیر شاه فاستوزره و لقبه آصف خان قال فی (نر 3- ص 53): ظنی أنه لم ینظم خسرو و شیرین أحسن من جعفری أحد الا النظامی الگنجوی و أورد شعره فی (تش- ص 223) و ترجمه أیضا فی (تغ- ص 36) و قال مات (1021)</w:t>
      </w:r>
    </w:p>
    <w:p>
      <w:pPr>
        <w:pStyle w:val="Heading3"/>
      </w:pPr>
      <w:bookmarkStart w:id="2809" w:name="_Toc1505"/>
      <w:r>
        <w:t>دیوان جعفری مشهدی أو شعره‏</w:t>
      </w:r>
      <w:bookmarkEnd w:id="2809"/>
    </w:p>
    <w:p>
      <w:pPr>
        <w:pStyle w:val="BookText"/>
      </w:pPr>
      <w:r>
        <w:rPr>
          <w:rFonts w:ascii="IRNazanin" w:hAnsi="IRNazanin" w:eastAsia="IRNazanin" w:cs="IRNazanin"/>
          <w:lang w:bidi="fa-IR"/>
          <w:color w:val="111111"/>
          <w:sz w:val="28"/>
          <w:szCs w:val="28"/>
          <w:rtl/>
        </w:rPr>
        <w:t xml:space="preserve">تلمذ علی علماء أصفهان أورد شعره فی (گلشن- ص 101- 102) و أظنه الشیرازی‏</w:t>
      </w:r>
    </w:p>
    <w:p>
      <w:pPr>
        <w:pStyle w:val="Heading3"/>
      </w:pPr>
      <w:bookmarkStart w:id="2810" w:name="_Toc1506"/>
      <w:r>
        <w:t>دیوان جغتائی‏</w:t>
      </w:r>
      <w:bookmarkEnd w:id="2810"/>
    </w:p>
    <w:p>
      <w:pPr>
        <w:pStyle w:val="BookText"/>
      </w:pPr>
      <w:r>
        <w:rPr>
          <w:rFonts w:ascii="IRNazanin" w:hAnsi="IRNazanin" w:eastAsia="IRNazanin" w:cs="IRNazanin"/>
          <w:lang w:bidi="fa-IR"/>
          <w:color w:val="111111"/>
          <w:sz w:val="28"/>
          <w:szCs w:val="28"/>
          <w:rtl/>
        </w:rPr>
        <w:t xml:space="preserve">یأتی بعنوان هلالی جغتائی و آخر نوائی جغتائی‏</w:t>
      </w:r>
    </w:p>
    <w:p>
      <w:pPr>
        <w:pStyle w:val="Heading3"/>
      </w:pPr>
      <w:bookmarkStart w:id="2811" w:name="_Toc1507"/>
      <w:r>
        <w:t>1224- دیوان جفائی أسترآبادی أو شعره‏</w:t>
      </w:r>
      <w:bookmarkEnd w:id="2811"/>
    </w:p>
    <w:p>
      <w:pPr>
        <w:pStyle w:val="BookText"/>
      </w:pPr>
      <w:r>
        <w:rPr>
          <w:rFonts w:ascii="IRNazanin" w:hAnsi="IRNazanin" w:eastAsia="IRNazanin" w:cs="IRNazanin"/>
          <w:lang w:bidi="fa-IR"/>
          <w:color w:val="111111"/>
          <w:sz w:val="28"/>
          <w:szCs w:val="28"/>
          <w:rtl/>
        </w:rPr>
        <w:t xml:space="preserve">أورد شعره فی (گلشن- ص 102) و قال حارب رقیبه و قتل بیده فی (901) و قال فی (تس 5- ص 141) قتل کل منهما الآخر</w:t>
      </w:r>
    </w:p>
    <w:p>
      <w:pPr>
        <w:pStyle w:val="Heading3"/>
      </w:pPr>
      <w:bookmarkStart w:id="2812" w:name="_Toc1508"/>
      <w:r>
        <w:t>دیوان جفری یزدی أو شعره‏</w:t>
      </w:r>
      <w:bookmarkEnd w:id="2812"/>
    </w:p>
    <w:p>
      <w:pPr>
        <w:pStyle w:val="BookText"/>
      </w:pPr>
      <w:r>
        <w:rPr>
          <w:rFonts w:ascii="IRNazanin" w:hAnsi="IRNazanin" w:eastAsia="IRNazanin" w:cs="IRNazanin"/>
          <w:lang w:bidi="fa-IR"/>
          <w:color w:val="111111"/>
          <w:sz w:val="28"/>
          <w:szCs w:val="28"/>
          <w:rtl/>
        </w:rPr>
        <w:t xml:space="preserve">و هو السید جلال الدین جعفر بن محمد بن الحسن المتخلص جفری له تاریخ یعرف تارة بتاریخ جفری و تارة تاریخ جعفری نسبه إلی اسمه و تخلصه و هو فی تاریخ یزد و أظنه الذی ینقل عنه فی حبیب السیر کما ذکرناه فی (ج 3- ص 246) و قد ألفه فی القرن التاسع و ذکر فیه حوادث تلک البلدة إلی سنة (845) و فیها أشعار کثیرة له جاء بعضها فی تاریخ جدید یزد من دون ذکر لأصله نقل ذلک کله فی (تش یز- ص 17 و 280)</w:t>
      </w:r>
    </w:p>
    <w:p>
      <w:pPr>
        <w:pStyle w:val="Heading3"/>
      </w:pPr>
      <w:bookmarkStart w:id="2813" w:name="_Toc1509"/>
      <w:r>
        <w:t>1225- دیوان جلال أردستانی أو شعره‏</w:t>
      </w:r>
      <w:bookmarkEnd w:id="2813"/>
    </w:p>
    <w:p>
      <w:pPr>
        <w:pStyle w:val="BookText"/>
      </w:pPr>
      <w:r>
        <w:rPr>
          <w:rFonts w:ascii="IRNazanin" w:hAnsi="IRNazanin" w:eastAsia="IRNazanin" w:cs="IRNazanin"/>
          <w:lang w:bidi="fa-IR"/>
          <w:color w:val="111111"/>
          <w:sz w:val="28"/>
          <w:szCs w:val="28"/>
          <w:rtl/>
        </w:rPr>
        <w:t xml:space="preserve">و هو السید جلال الدین محمد من شعراء شاه‏جهان پادشاه الثانی، کذا فی (تغ- ص 37) و أورد شعره و سماه جلالی فی (روشن- ص 151)</w:t>
      </w:r>
    </w:p>
    <w:p>
      <w:pPr>
        <w:pStyle w:val="Heading3"/>
      </w:pPr>
      <w:bookmarkStart w:id="2814" w:name="_Toc1510"/>
      <w:r>
        <w:t>1226- دیوان جلال أصفهانی أو شعره‏</w:t>
      </w:r>
      <w:bookmarkEnd w:id="2814"/>
    </w:p>
    <w:p>
      <w:pPr>
        <w:pStyle w:val="BookText"/>
      </w:pPr>
      <w:r>
        <w:rPr>
          <w:rFonts w:ascii="IRNazanin" w:hAnsi="IRNazanin" w:eastAsia="IRNazanin" w:cs="IRNazanin"/>
          <w:lang w:bidi="fa-IR"/>
          <w:color w:val="111111"/>
          <w:sz w:val="28"/>
          <w:szCs w:val="28"/>
          <w:rtl/>
        </w:rPr>
        <w:t xml:space="preserve">هو جلال الدین الطبیب الأصفهانی أخذ الطب عن صدر الدین علی الشیرازی سکن گیلان ثم حضر أصفهان طبیبا خاصا للشاه إسماعیل ترجمه و أورد شعره فی (تس 2- ص 52) و (روشن- ص 150) و یأتی جلال طبیب‏</w:t>
      </w:r>
    </w:p>
    <w:p>
      <w:pPr>
        <w:pStyle w:val="Heading3"/>
      </w:pPr>
      <w:bookmarkStart w:id="2815" w:name="_Toc1511"/>
      <w:r>
        <w:t>دیوان جلال بخاری رضوی‏</w:t>
      </w:r>
      <w:bookmarkEnd w:id="2815"/>
    </w:p>
    <w:p>
      <w:pPr>
        <w:pStyle w:val="BookText"/>
      </w:pPr>
      <w:r>
        <w:rPr>
          <w:rFonts w:ascii="IRNazanin" w:hAnsi="IRNazanin" w:eastAsia="IRNazanin" w:cs="IRNazanin"/>
          <w:lang w:bidi="fa-IR"/>
          <w:color w:val="111111"/>
          <w:sz w:val="28"/>
          <w:szCs w:val="28"/>
          <w:rtl/>
        </w:rPr>
        <w:t xml:space="preserve">یأتی بتخلصه الثانی رضائی‏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96" w:name="pg11704_121675"/>
    <w:bookmarkEnd w:id="196"/>
    <w:p>
      <w:pPr>
        <w:pStyle w:val="Heading3"/>
      </w:pPr>
      <w:bookmarkStart w:id="2816" w:name="_Toc1512"/>
      <w:r>
        <w:t>1227- دیوان جلال تبریزی أو شعره‏</w:t>
      </w:r>
      <w:bookmarkEnd w:id="2816"/>
    </w:p>
    <w:p>
      <w:pPr>
        <w:pStyle w:val="BookText"/>
      </w:pPr>
      <w:r>
        <w:rPr>
          <w:rFonts w:ascii="IRNazanin" w:hAnsi="IRNazanin" w:eastAsia="IRNazanin" w:cs="IRNazanin"/>
          <w:lang w:bidi="fa-IR"/>
          <w:color w:val="111111"/>
          <w:sz w:val="28"/>
          <w:szCs w:val="28"/>
          <w:rtl/>
        </w:rPr>
        <w:t xml:space="preserve">هو جلال الدین محمد نصبه الشاه إسماعیل الصفوی وزیرا بعد أن قتل وزیره السابق، المیرزا شاه حسین الأصفهانی فی (929) و قام بهذه المهمة حتی جلس الشاه طهماسب فی (930) و بعد أیام قلیلة من جلوسه أمر به فلف فی حصیر و أحرق و کان ذلک بسعایة دیو سلطان المربی للشاه طهماسب کذا فی (دجا- ص 97- 98) نقلا عن تذکره سامی، و لکن المطبوع فی (تس 3- ص 56) جاء (920) بدل (930) غلطا</w:t>
      </w:r>
    </w:p>
    <w:p>
      <w:pPr>
        <w:pStyle w:val="Heading3"/>
      </w:pPr>
      <w:bookmarkStart w:id="2817" w:name="_Toc1513"/>
      <w:r>
        <w:t>1228- دیوان جلال درکانی‏</w:t>
      </w:r>
      <w:bookmarkEnd w:id="2817"/>
    </w:p>
    <w:p>
      <w:pPr>
        <w:pStyle w:val="BookText"/>
      </w:pPr>
      <w:r>
        <w:rPr>
          <w:rFonts w:ascii="IRNazanin" w:hAnsi="IRNazanin" w:eastAsia="IRNazanin" w:cs="IRNazanin"/>
          <w:lang w:bidi="fa-IR"/>
          <w:color w:val="111111"/>
          <w:sz w:val="28"/>
          <w:szCs w:val="28"/>
          <w:rtl/>
        </w:rPr>
        <w:t xml:space="preserve">و هو الخواجة جلال تلمیذ ظهیر الفاریابی، کان یمدح الأمراء الأتابکیة، و کان شاعرا خاصا لقزل أرسلان کان یسکن تبریز ثم نزل خراسان و تلمذ علی نجم الدین الکبری أورد شعره فی (تش- ص 170) و سمی والده فی (روشن- ص 149) شهاب الدین رأی سنگلاخ دیوانه‏</w:t>
      </w:r>
    </w:p>
    <w:p>
      <w:pPr>
        <w:pStyle w:val="Heading3"/>
      </w:pPr>
      <w:bookmarkStart w:id="2818" w:name="_Toc1514"/>
      <w:r>
        <w:t>دیوان جلال الدوانی‏</w:t>
      </w:r>
      <w:bookmarkEnd w:id="2818"/>
    </w:p>
    <w:p>
      <w:pPr>
        <w:pStyle w:val="BookText"/>
      </w:pPr>
      <w:r>
        <w:rPr>
          <w:rFonts w:ascii="IRNazanin" w:hAnsi="IRNazanin" w:eastAsia="IRNazanin" w:cs="IRNazanin"/>
          <w:lang w:bidi="fa-IR"/>
          <w:color w:val="111111"/>
          <w:sz w:val="28"/>
          <w:szCs w:val="28"/>
          <w:rtl/>
        </w:rPr>
        <w:t xml:space="preserve">قال فی (روشن- ص 150) إنه کان یتخلص تارة جلال و تارة دوانی و قال غیره إن تخلصه فانی أورد شعره فی (تس 2- ص 48) و (نر 14- ص 496) و (مجتس 3- ص 141) و (قز مج 6- ص 309)</w:t>
      </w:r>
    </w:p>
    <w:p>
      <w:pPr>
        <w:pStyle w:val="Heading3"/>
      </w:pPr>
      <w:bookmarkStart w:id="2819" w:name="_Toc1515"/>
      <w:r>
        <w:t>دیوان جلال الدین بلخی‏</w:t>
      </w:r>
      <w:bookmarkEnd w:id="2819"/>
    </w:p>
    <w:p>
      <w:pPr>
        <w:pStyle w:val="BookText"/>
      </w:pPr>
      <w:r>
        <w:rPr>
          <w:rFonts w:ascii="IRNazanin" w:hAnsi="IRNazanin" w:eastAsia="IRNazanin" w:cs="IRNazanin"/>
          <w:lang w:bidi="fa-IR"/>
          <w:color w:val="111111"/>
          <w:sz w:val="28"/>
          <w:szCs w:val="28"/>
          <w:rtl/>
        </w:rPr>
        <w:t xml:space="preserve">یأتی بعنوان دیوان المولوی الرومی‏</w:t>
      </w:r>
    </w:p>
    <w:p>
      <w:pPr>
        <w:pStyle w:val="Heading3"/>
      </w:pPr>
      <w:bookmarkStart w:id="2820" w:name="_Toc1516"/>
      <w:r>
        <w:t>1229- دیوان جلال سیستانی أو شعره‏</w:t>
      </w:r>
      <w:bookmarkEnd w:id="2820"/>
    </w:p>
    <w:p>
      <w:pPr>
        <w:pStyle w:val="BookText"/>
      </w:pPr>
      <w:r>
        <w:rPr>
          <w:rFonts w:ascii="IRNazanin" w:hAnsi="IRNazanin" w:eastAsia="IRNazanin" w:cs="IRNazanin"/>
          <w:lang w:bidi="fa-IR"/>
          <w:color w:val="111111"/>
          <w:sz w:val="28"/>
          <w:szCs w:val="28"/>
          <w:rtl/>
        </w:rPr>
        <w:t xml:space="preserve">من معماری الشاه عباس الأول و اسمه الملک جلال الدین أورد شعره فی (گلشن- ص 105) و کذا ترجمه فی (تغ- ص 37)</w:t>
      </w:r>
    </w:p>
    <w:p>
      <w:pPr>
        <w:pStyle w:val="Heading3"/>
      </w:pPr>
      <w:bookmarkStart w:id="2821" w:name="_Toc1517"/>
      <w:r>
        <w:t>دیوان جلال شهرستانی‏</w:t>
      </w:r>
      <w:bookmarkEnd w:id="2821"/>
    </w:p>
    <w:p>
      <w:pPr>
        <w:pStyle w:val="BookText"/>
      </w:pPr>
      <w:r>
        <w:rPr>
          <w:rFonts w:ascii="IRNazanin" w:hAnsi="IRNazanin" w:eastAsia="IRNazanin" w:cs="IRNazanin"/>
          <w:lang w:bidi="fa-IR"/>
          <w:color w:val="111111"/>
          <w:sz w:val="28"/>
          <w:szCs w:val="28"/>
          <w:rtl/>
        </w:rPr>
        <w:t xml:space="preserve">مر بعنوان دیوان أسیر أصفهانی‏</w:t>
      </w:r>
    </w:p>
    <w:p>
      <w:pPr>
        <w:pStyle w:val="Heading3"/>
      </w:pPr>
      <w:bookmarkStart w:id="2822" w:name="_Toc1518"/>
      <w:r>
        <w:t>1230- دیوان جلال صدر الصدور أو شعره‏</w:t>
      </w:r>
      <w:bookmarkEnd w:id="2822"/>
    </w:p>
    <w:p>
      <w:pPr>
        <w:pStyle w:val="BookText"/>
      </w:pPr>
      <w:r>
        <w:rPr>
          <w:rFonts w:ascii="IRNazanin" w:hAnsi="IRNazanin" w:eastAsia="IRNazanin" w:cs="IRNazanin"/>
          <w:lang w:bidi="fa-IR"/>
          <w:color w:val="111111"/>
          <w:sz w:val="28"/>
          <w:szCs w:val="28"/>
          <w:rtl/>
        </w:rPr>
        <w:t xml:space="preserve">و هو السید جلال الدین صدر الصدور أورد شعره فی (گلشن- ص 480) بعنوان میر جلال‏</w:t>
      </w:r>
    </w:p>
    <w:p>
      <w:pPr>
        <w:pStyle w:val="Heading3"/>
      </w:pPr>
      <w:bookmarkStart w:id="2823" w:name="_Toc1519"/>
      <w:r>
        <w:t>1231- دیوان جلال طبیب‏</w:t>
      </w:r>
      <w:bookmarkEnd w:id="2823"/>
    </w:p>
    <w:p>
      <w:pPr>
        <w:pStyle w:val="BookText"/>
      </w:pPr>
      <w:r>
        <w:rPr>
          <w:rFonts w:ascii="IRNazanin" w:hAnsi="IRNazanin" w:eastAsia="IRNazanin" w:cs="IRNazanin"/>
          <w:lang w:bidi="fa-IR"/>
          <w:color w:val="111111"/>
          <w:sz w:val="28"/>
          <w:szCs w:val="28"/>
          <w:rtl/>
        </w:rPr>
        <w:t xml:space="preserve">قال دولت شاه فی (لت 5) إنه شیرازی و من أطباء آل مظفر و الشاه شجاع له مثنوی گل و نوروز لا یخلو من فتور فرغ من نظمه (734) و له شهرة عظیمة کان یستنسخ نسیمی النیشابوری فی الشهر عشرین نسخه منه و هذا یدل علی سرعته فی الکتابة، ثم أورد له غزلا یتخلص فیه جلال و ترجمه أیضا زکریا بن محمد المتوفی (682) فی آثار البلاد طبعه وستنفلد الألمانی (ص 257) و نسبه فی (تغ- ص 37) إلی شیروان بآذربایجان بدل شیراز و کذا فی القاموس الترکی‏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97" w:name="pg11704_121676"/>
    <w:bookmarkEnd w:id="197"/>
    <w:p>
      <w:pPr>
        <w:pStyle w:val="BookText"/>
      </w:pPr>
      <w:r>
        <w:rPr>
          <w:rFonts w:ascii="IRNazanin" w:hAnsi="IRNazanin" w:eastAsia="IRNazanin" w:cs="IRNazanin"/>
          <w:lang w:bidi="fa-IR"/>
          <w:color w:val="111111"/>
          <w:sz w:val="28"/>
          <w:szCs w:val="28"/>
          <w:rtl/>
        </w:rPr>
        <w:t xml:space="preserve">و عنه فی ریحانة الأدب‏</w:t>
      </w:r>
    </w:p>
    <w:p>
      <w:pPr>
        <w:pStyle w:val="Heading3"/>
      </w:pPr>
      <w:bookmarkStart w:id="2824" w:name="_Toc1520"/>
      <w:r>
        <w:t>دیوان جلال طبیب‏</w:t>
      </w:r>
      <w:bookmarkEnd w:id="2824"/>
    </w:p>
    <w:p>
      <w:pPr>
        <w:pStyle w:val="BookText"/>
      </w:pPr>
      <w:r>
        <w:rPr>
          <w:rFonts w:ascii="IRNazanin" w:hAnsi="IRNazanin" w:eastAsia="IRNazanin" w:cs="IRNazanin"/>
          <w:lang w:bidi="fa-IR"/>
          <w:color w:val="111111"/>
          <w:sz w:val="28"/>
          <w:szCs w:val="28"/>
          <w:rtl/>
        </w:rPr>
        <w:t xml:space="preserve">مر بعنوان جلال أصفهانی‏</w:t>
      </w:r>
    </w:p>
    <w:p>
      <w:pPr>
        <w:pStyle w:val="Heading3"/>
      </w:pPr>
      <w:bookmarkStart w:id="2825" w:name="_Toc1521"/>
      <w:r>
        <w:t>دیوان جلال عتیقی‏</w:t>
      </w:r>
      <w:bookmarkEnd w:id="2825"/>
    </w:p>
    <w:p>
      <w:pPr>
        <w:pStyle w:val="BookText"/>
      </w:pPr>
      <w:r>
        <w:rPr>
          <w:rFonts w:ascii="IRNazanin" w:hAnsi="IRNazanin" w:eastAsia="IRNazanin" w:cs="IRNazanin"/>
          <w:lang w:bidi="fa-IR"/>
          <w:color w:val="111111"/>
          <w:sz w:val="28"/>
          <w:szCs w:val="28"/>
          <w:rtl/>
        </w:rPr>
        <w:t xml:space="preserve">یأتی بعنوان عتیقی‏</w:t>
      </w:r>
    </w:p>
    <w:p>
      <w:pPr>
        <w:pStyle w:val="Heading3"/>
      </w:pPr>
      <w:bookmarkStart w:id="2826" w:name="_Toc1522"/>
      <w:r>
        <w:t>1232- دیوان جلال عضد</w:t>
      </w:r>
      <w:bookmarkEnd w:id="2826"/>
    </w:p>
    <w:p>
      <w:pPr>
        <w:pStyle w:val="BookText"/>
      </w:pPr>
      <w:r>
        <w:rPr>
          <w:rFonts w:ascii="IRNazanin" w:hAnsi="IRNazanin" w:eastAsia="IRNazanin" w:cs="IRNazanin"/>
          <w:lang w:bidi="fa-IR"/>
          <w:color w:val="111111"/>
          <w:sz w:val="28"/>
          <w:szCs w:val="28"/>
          <w:rtl/>
        </w:rPr>
        <w:t xml:space="preserve">هو السید جلال الدین بن السید عضد الدین الیزدی کان والده وزیر الأمیر مبارز الدین محمد آل مظفر، و کان هو یمدح أبا إسحاق إینجو بشیراز و آل مظفر و طغی تیمور سافر مع عماد إلی الحج و له القصیدة المعروفة هفت رنگ قال فی (تش- ص 259) إنه کان وزیرا کوالده، و قال إن دیوانه فی أربعة آلاف بیت و لکن نسخه (المجلس) تشتمل علی (270 غزلا) و نسخه مکتبة (المشکاة) تشتمل علی (131 غزلا) فی (950 بیت) و هناک نسخ أخر فی مکتبة (الملک) و غیره ترجمه فی (لت 5) و مرآة الخیال (ص 50) و (هفت- ص 172) و فهارس (مجلس 3: 650) و (دانشگاه 2: 240) و ریحانة الأدب و (تش یز- ص 281) و غیرها</w:t>
      </w:r>
    </w:p>
    <w:p>
      <w:pPr>
        <w:pStyle w:val="Heading3"/>
      </w:pPr>
      <w:bookmarkStart w:id="2827" w:name="_Toc1523"/>
      <w:r>
        <w:t>دیوان جلال عکاشة</w:t>
      </w:r>
      <w:bookmarkEnd w:id="2827"/>
    </w:p>
    <w:p>
      <w:pPr>
        <w:pStyle w:val="BookText"/>
      </w:pPr>
      <w:r>
        <w:rPr>
          <w:rFonts w:ascii="IRNazanin" w:hAnsi="IRNazanin" w:eastAsia="IRNazanin" w:cs="IRNazanin"/>
          <w:lang w:bidi="fa-IR"/>
          <w:color w:val="111111"/>
          <w:sz w:val="28"/>
          <w:szCs w:val="28"/>
          <w:rtl/>
        </w:rPr>
        <w:t xml:space="preserve">یأتی بعنوان عکاشة</w:t>
      </w:r>
    </w:p>
    <w:p>
      <w:pPr>
        <w:pStyle w:val="Heading3"/>
      </w:pPr>
      <w:bookmarkStart w:id="2828" w:name="_Toc1524"/>
      <w:r>
        <w:t>1233- دیوان جلال فراهانی‏</w:t>
      </w:r>
      <w:bookmarkEnd w:id="2828"/>
    </w:p>
    <w:p>
      <w:pPr>
        <w:pStyle w:val="BookText"/>
      </w:pPr>
      <w:r>
        <w:rPr>
          <w:rFonts w:ascii="IRNazanin" w:hAnsi="IRNazanin" w:eastAsia="IRNazanin" w:cs="IRNazanin"/>
          <w:lang w:bidi="fa-IR"/>
          <w:color w:val="111111"/>
          <w:sz w:val="28"/>
          <w:szCs w:val="28"/>
          <w:rtl/>
        </w:rPr>
        <w:t xml:space="preserve">و هو السید جلال الدین بن جعفر الفراهانی الهمدانی ترجمه فی (لت- 4) و أورد قطعة من مثنویة فی تتبع المخزن الذی هو أکبر من مخزن الأسرار للنظامی بألف بیت، و قال تتبع شعر سعدی أیضا و ترجمه أیضا فی (روشن- ص 149) و قال ولدی فی فهرس مکتبة دانشگاه (ج 2- ص 42) إنه مات (736) و راجع جعفر فراهانی‏</w:t>
      </w:r>
    </w:p>
    <w:p>
      <w:pPr>
        <w:pStyle w:val="Heading3"/>
      </w:pPr>
      <w:bookmarkStart w:id="2829" w:name="_Toc1525"/>
      <w:r>
        <w:t>1234- دیوان جلال لکهنوی‏</w:t>
      </w:r>
      <w:bookmarkEnd w:id="2829"/>
    </w:p>
    <w:p>
      <w:pPr>
        <w:pStyle w:val="BookText"/>
      </w:pPr>
      <w:r>
        <w:rPr>
          <w:rFonts w:ascii="IRNazanin" w:hAnsi="IRNazanin" w:eastAsia="IRNazanin" w:cs="IRNazanin"/>
          <w:lang w:bidi="fa-IR"/>
          <w:color w:val="111111"/>
          <w:sz w:val="28"/>
          <w:szCs w:val="28"/>
          <w:rtl/>
        </w:rPr>
        <w:t xml:space="preserve">للسید رضا بن علی المتخلص بجلال مطبوع بالأردویة</w:t>
      </w:r>
    </w:p>
    <w:p>
      <w:pPr>
        <w:pStyle w:val="Heading3"/>
      </w:pPr>
      <w:bookmarkStart w:id="2830" w:name="_Toc1526"/>
      <w:r>
        <w:t>1235- دیوان جلال نائنی‏</w:t>
      </w:r>
      <w:bookmarkEnd w:id="2830"/>
    </w:p>
    <w:p>
      <w:pPr>
        <w:pStyle w:val="BookText"/>
      </w:pPr>
      <w:r>
        <w:rPr>
          <w:rFonts w:ascii="IRNazanin" w:hAnsi="IRNazanin" w:eastAsia="IRNazanin" w:cs="IRNazanin"/>
          <w:lang w:bidi="fa-IR"/>
          <w:color w:val="111111"/>
          <w:sz w:val="28"/>
          <w:szCs w:val="28"/>
          <w:rtl/>
        </w:rPr>
        <w:t xml:space="preserve">الماهر فی السیاق کان مستوفیا لدار المرز و هو ابن أخت طاهری نائنی الشاعر و قیل إن جلالا سرق دیوان خاله طاهر هذا بعد موته و جعله باسمه و کان لجلال مهاجاتا مع الحکیم شفائی هجا کل منهما الآخر برباعیة ذکرت مع ترجمته فی (نر 4- ص 94- 95) و (تش یز- ص 282)</w:t>
      </w:r>
    </w:p>
    <w:p>
      <w:pPr>
        <w:pStyle w:val="Heading3"/>
      </w:pPr>
      <w:bookmarkStart w:id="2831" w:name="_Toc1527"/>
      <w:r>
        <w:t>1236- دیوان جلال نیشابوری أو شعره‏</w:t>
      </w:r>
      <w:bookmarkEnd w:id="2831"/>
    </w:p>
    <w:p>
      <w:pPr>
        <w:pStyle w:val="BookText"/>
      </w:pPr>
      <w:r>
        <w:rPr>
          <w:rFonts w:ascii="IRNazanin" w:hAnsi="IRNazanin" w:eastAsia="IRNazanin" w:cs="IRNazanin"/>
          <w:lang w:bidi="fa-IR"/>
          <w:color w:val="111111"/>
          <w:sz w:val="28"/>
          <w:szCs w:val="28"/>
          <w:rtl/>
        </w:rPr>
        <w:t xml:space="preserve">و اسمه جلال الدین حسین ذهب إلی دکن فی عهد جهانگیر أورد شعره فی (روشن- ص 148)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98" w:name="pg11704_121677"/>
    <w:bookmarkEnd w:id="198"/>
    <w:p>
      <w:pPr>
        <w:pStyle w:val="Heading3"/>
      </w:pPr>
      <w:bookmarkStart w:id="2832" w:name="_Toc1528"/>
      <w:r>
        <w:t>1237- دیوان جلال هروی أو شعره‏</w:t>
      </w:r>
      <w:bookmarkEnd w:id="2832"/>
    </w:p>
    <w:p>
      <w:pPr>
        <w:pStyle w:val="BookText"/>
      </w:pPr>
      <w:r>
        <w:rPr>
          <w:rFonts w:ascii="IRNazanin" w:hAnsi="IRNazanin" w:eastAsia="IRNazanin" w:cs="IRNazanin"/>
          <w:lang w:bidi="fa-IR"/>
          <w:color w:val="111111"/>
          <w:sz w:val="28"/>
          <w:szCs w:val="28"/>
          <w:rtl/>
        </w:rPr>
        <w:t xml:space="preserve">من أقرباء عبد الرحمن الجامی کان یدرس بهراة کذا فی (لط 4- ص 104) و (روشن- ص 140) و لکن فی ترجمه القزوینی فی (قز مج 4- ص 278) ذکره بعنوان جمال الدین‏</w:t>
      </w:r>
    </w:p>
    <w:p>
      <w:pPr>
        <w:pStyle w:val="Heading3"/>
      </w:pPr>
      <w:bookmarkStart w:id="2833" w:name="_Toc1529"/>
      <w:r>
        <w:t>دیوان جلال همدانی‏</w:t>
      </w:r>
      <w:bookmarkEnd w:id="2833"/>
    </w:p>
    <w:p>
      <w:pPr>
        <w:pStyle w:val="BookText"/>
      </w:pPr>
      <w:r>
        <w:rPr>
          <w:rFonts w:ascii="IRNazanin" w:hAnsi="IRNazanin" w:eastAsia="IRNazanin" w:cs="IRNazanin"/>
          <w:lang w:bidi="fa-IR"/>
          <w:color w:val="111111"/>
          <w:sz w:val="28"/>
          <w:szCs w:val="28"/>
          <w:rtl/>
        </w:rPr>
        <w:t xml:space="preserve">مر بعنوان جلال فراهانی‏</w:t>
      </w:r>
    </w:p>
    <w:p>
      <w:pPr>
        <w:pStyle w:val="Heading3"/>
      </w:pPr>
      <w:bookmarkStart w:id="2834" w:name="_Toc1530"/>
      <w:r>
        <w:t>1238- دیوان جلال همدانی أو شعره‏</w:t>
      </w:r>
      <w:bookmarkEnd w:id="2834"/>
    </w:p>
    <w:p>
      <w:pPr>
        <w:pStyle w:val="BookText"/>
      </w:pPr>
      <w:r>
        <w:rPr>
          <w:rFonts w:ascii="IRNazanin" w:hAnsi="IRNazanin" w:eastAsia="IRNazanin" w:cs="IRNazanin"/>
          <w:lang w:bidi="fa-IR"/>
          <w:color w:val="111111"/>
          <w:sz w:val="28"/>
          <w:szCs w:val="28"/>
          <w:rtl/>
        </w:rPr>
        <w:t xml:space="preserve">و هو السید الفقیه الورع جلال الدین الأسدآبادی الهمدانی ترجمه و أورد شعره فی (نر 6- ص 201)</w:t>
      </w:r>
    </w:p>
    <w:p>
      <w:pPr>
        <w:pStyle w:val="Heading3"/>
      </w:pPr>
      <w:bookmarkStart w:id="2835" w:name="_Toc1531"/>
      <w:r>
        <w:t>دیوان جلال یزدی‏</w:t>
      </w:r>
      <w:bookmarkEnd w:id="2835"/>
    </w:p>
    <w:p>
      <w:pPr>
        <w:pStyle w:val="BookText"/>
      </w:pPr>
      <w:r>
        <w:rPr>
          <w:rFonts w:ascii="IRNazanin" w:hAnsi="IRNazanin" w:eastAsia="IRNazanin" w:cs="IRNazanin"/>
          <w:lang w:bidi="fa-IR"/>
          <w:color w:val="111111"/>
          <w:sz w:val="28"/>
          <w:szCs w:val="28"/>
          <w:rtl/>
        </w:rPr>
        <w:t xml:space="preserve">السید جلال الدین وزیر السلطان محمد المظفری بشیراز کذا فی (تغ- ص 37) و أظنه جلال طبیب‏</w:t>
      </w:r>
    </w:p>
    <w:p>
      <w:pPr>
        <w:pStyle w:val="Heading3"/>
      </w:pPr>
      <w:bookmarkStart w:id="2836" w:name="_Toc1532"/>
      <w:r>
        <w:t>1239- دیوان جلال یزدی‏</w:t>
      </w:r>
      <w:bookmarkEnd w:id="2836"/>
    </w:p>
    <w:p>
      <w:pPr>
        <w:pStyle w:val="BookText"/>
      </w:pPr>
      <w:r>
        <w:rPr>
          <w:rFonts w:ascii="IRNazanin" w:hAnsi="IRNazanin" w:eastAsia="IRNazanin" w:cs="IRNazanin"/>
          <w:lang w:bidi="fa-IR"/>
          <w:color w:val="111111"/>
          <w:sz w:val="28"/>
          <w:szCs w:val="28"/>
          <w:rtl/>
        </w:rPr>
        <w:t xml:space="preserve">السید إبراهیم بن الحسین بن علی نقی العالم الجلیل الوقت ساعتی ولد (1283) و مات (1345) و لقبه مظفر الدین شاه بأفصح الملک و أمه بنت النواب میرزا محسن و تاریخ فوته جات خالی أفصح الملک ترجمه فی (تش یز- ص 271) و عنه فی الریحانة (ج 1 ص 95)</w:t>
      </w:r>
    </w:p>
    <w:p>
      <w:pPr>
        <w:pStyle w:val="Heading3"/>
      </w:pPr>
      <w:bookmarkStart w:id="2837" w:name="_Toc1533"/>
      <w:r>
        <w:t>1240- دیوان جلالی خاوری أو شعره‏</w:t>
      </w:r>
      <w:bookmarkEnd w:id="2837"/>
    </w:p>
    <w:p>
      <w:pPr>
        <w:pStyle w:val="BookText"/>
      </w:pPr>
      <w:r>
        <w:rPr>
          <w:rFonts w:ascii="IRNazanin" w:hAnsi="IRNazanin" w:eastAsia="IRNazanin" w:cs="IRNazanin"/>
          <w:lang w:bidi="fa-IR"/>
          <w:color w:val="111111"/>
          <w:sz w:val="28"/>
          <w:szCs w:val="28"/>
          <w:rtl/>
        </w:rPr>
        <w:t xml:space="preserve">ترجمه زکریا بن محمد القزوینی فی آثار البلاد کما فی طبعه وستنفلد الألمانی (ص 243)</w:t>
      </w:r>
    </w:p>
    <w:p>
      <w:pPr>
        <w:pStyle w:val="Heading3"/>
      </w:pPr>
      <w:bookmarkStart w:id="2838" w:name="_Toc1534"/>
      <w:r>
        <w:t>1241- دیوان جلالی خراسانی أو شعره‏</w:t>
      </w:r>
      <w:bookmarkEnd w:id="2838"/>
    </w:p>
    <w:p>
      <w:pPr>
        <w:pStyle w:val="BookText"/>
      </w:pPr>
      <w:r>
        <w:rPr>
          <w:rFonts w:ascii="IRNazanin" w:hAnsi="IRNazanin" w:eastAsia="IRNazanin" w:cs="IRNazanin"/>
          <w:lang w:bidi="fa-IR"/>
          <w:color w:val="111111"/>
          <w:sz w:val="28"/>
          <w:szCs w:val="28"/>
          <w:rtl/>
        </w:rPr>
        <w:t xml:space="preserve">کان من شعراء السلطان حسین میرزا أورد شعره فی (گلشن- ص 105)</w:t>
      </w:r>
    </w:p>
    <w:p>
      <w:pPr>
        <w:pStyle w:val="Heading3"/>
      </w:pPr>
      <w:bookmarkStart w:id="2839" w:name="_Toc1535"/>
      <w:r>
        <w:t>1242- دیوان جلالی قزوینی أو شعره‏</w:t>
      </w:r>
      <w:bookmarkEnd w:id="2839"/>
    </w:p>
    <w:p>
      <w:pPr>
        <w:pStyle w:val="BookText"/>
      </w:pPr>
      <w:r>
        <w:rPr>
          <w:rFonts w:ascii="IRNazanin" w:hAnsi="IRNazanin" w:eastAsia="IRNazanin" w:cs="IRNazanin"/>
          <w:lang w:bidi="fa-IR"/>
          <w:color w:val="111111"/>
          <w:sz w:val="28"/>
          <w:szCs w:val="28"/>
          <w:rtl/>
        </w:rPr>
        <w:t xml:space="preserve">و هو المیرزا علی رضا القزوینی أورد شعره فی (روشن- ص 51) و نقل عن القاضی أختر عن المیر محمد القزوینی أنه مات فی شبابه عن ثلاثین سنة من عمره فی أواسط المائة الثالثة عشرة</w:t>
      </w:r>
    </w:p>
    <w:p>
      <w:pPr>
        <w:pStyle w:val="Heading3"/>
      </w:pPr>
      <w:bookmarkStart w:id="2840" w:name="_Toc1536"/>
      <w:r>
        <w:t>دیوان جلالی کاشانی أو شعره‏</w:t>
      </w:r>
      <w:bookmarkEnd w:id="2840"/>
    </w:p>
    <w:p>
      <w:pPr>
        <w:pStyle w:val="BookText"/>
      </w:pPr>
      <w:r>
        <w:rPr>
          <w:rFonts w:ascii="IRNazanin" w:hAnsi="IRNazanin" w:eastAsia="IRNazanin" w:cs="IRNazanin"/>
          <w:lang w:bidi="fa-IR"/>
          <w:color w:val="111111"/>
          <w:sz w:val="28"/>
          <w:szCs w:val="28"/>
          <w:rtl/>
        </w:rPr>
        <w:t xml:space="preserve">هو ابن شاه جلال الکاشی أورد شعره فی (گلشن- ص 105) و أظنه جمالی کاشانی‏</w:t>
      </w:r>
    </w:p>
    <w:p>
      <w:pPr>
        <w:pStyle w:val="Heading3"/>
      </w:pPr>
      <w:bookmarkStart w:id="2841" w:name="_Toc1537"/>
      <w:r>
        <w:t>دیوان جلایر أزغدی خراسانی‏</w:t>
      </w:r>
      <w:bookmarkEnd w:id="2841"/>
    </w:p>
    <w:p>
      <w:pPr>
        <w:pStyle w:val="BookText"/>
      </w:pPr>
      <w:r>
        <w:rPr>
          <w:rFonts w:ascii="IRNazanin" w:hAnsi="IRNazanin" w:eastAsia="IRNazanin" w:cs="IRNazanin"/>
          <w:lang w:bidi="fa-IR"/>
          <w:color w:val="111111"/>
          <w:sz w:val="28"/>
          <w:szCs w:val="28"/>
          <w:rtl/>
        </w:rPr>
        <w:t xml:space="preserve">راجع دیوان ساقی أزغدی‏</w:t>
      </w:r>
    </w:p>
    <w:p>
      <w:pPr>
        <w:pStyle w:val="Heading3"/>
      </w:pPr>
      <w:bookmarkStart w:id="2842" w:name="_Toc1538"/>
      <w:r>
        <w:t>دیوان جلایر هروی‏</w:t>
      </w:r>
      <w:bookmarkEnd w:id="2842"/>
    </w:p>
    <w:p>
      <w:pPr>
        <w:pStyle w:val="BookText"/>
      </w:pPr>
      <w:r>
        <w:rPr>
          <w:rFonts w:ascii="IRNazanin" w:hAnsi="IRNazanin" w:eastAsia="IRNazanin" w:cs="IRNazanin"/>
          <w:lang w:bidi="fa-IR"/>
          <w:color w:val="111111"/>
          <w:sz w:val="28"/>
          <w:szCs w:val="28"/>
          <w:rtl/>
        </w:rPr>
        <w:t xml:space="preserve">راجع دیوان طفیلی هروی‏</w:t>
      </w:r>
    </w:p>
    <w:p>
      <w:pPr>
        <w:pStyle w:val="Heading3"/>
      </w:pPr>
      <w:bookmarkStart w:id="2843" w:name="_Toc1539"/>
      <w:r>
        <w:t>1243- دیوان جلون‏آبادی أو شعره‏</w:t>
      </w:r>
      <w:bookmarkEnd w:id="2843"/>
    </w:p>
    <w:p>
      <w:pPr>
        <w:pStyle w:val="BookText"/>
      </w:pPr>
      <w:r>
        <w:rPr>
          <w:rFonts w:ascii="IRNazanin" w:hAnsi="IRNazanin" w:eastAsia="IRNazanin" w:cs="IRNazanin"/>
          <w:lang w:bidi="fa-IR"/>
          <w:color w:val="111111"/>
          <w:sz w:val="28"/>
          <w:szCs w:val="28"/>
          <w:rtl/>
        </w:rPr>
        <w:t xml:space="preserve">مدح حضره آصف جاه المیر شمس الدین‏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99" w:name="pg11704_121678"/>
    <w:bookmarkEnd w:id="199"/>
    <w:p>
      <w:pPr>
        <w:pStyle w:val="BookText"/>
      </w:pPr>
      <w:r>
        <w:rPr>
          <w:rFonts w:ascii="IRNazanin" w:hAnsi="IRNazanin" w:eastAsia="IRNazanin" w:cs="IRNazanin"/>
          <w:lang w:bidi="fa-IR"/>
          <w:color w:val="111111"/>
          <w:sz w:val="28"/>
          <w:szCs w:val="28"/>
          <w:rtl/>
        </w:rPr>
        <w:t xml:space="preserve">محمد نور کمال رأیت المدیح فی گنجینه گران‏مایه الموجود فی مکتبة (فخر الدین النصیری) بطهران‏</w:t>
      </w:r>
    </w:p>
    <w:p>
      <w:pPr>
        <w:pStyle w:val="Heading3"/>
      </w:pPr>
      <w:bookmarkStart w:id="2844" w:name="_Toc1540"/>
      <w:r>
        <w:t>1244- دیوان جلوه أصفهانی‏</w:t>
      </w:r>
      <w:bookmarkEnd w:id="2844"/>
    </w:p>
    <w:p>
      <w:pPr>
        <w:pStyle w:val="BookText"/>
      </w:pPr>
      <w:r>
        <w:rPr>
          <w:rFonts w:ascii="IRNazanin" w:hAnsi="IRNazanin" w:eastAsia="IRNazanin" w:cs="IRNazanin"/>
          <w:lang w:bidi="fa-IR"/>
          <w:color w:val="111111"/>
          <w:sz w:val="28"/>
          <w:szCs w:val="28"/>
          <w:rtl/>
        </w:rPr>
        <w:t xml:space="preserve">و هو المیرزا أبو الحسن الحکیم المتأله بن الأدیب الماهر السید محمد الطباطبائی الأصفهانی نزیل طهران و المتخلص بجلوة مؤلف الحاشیة علی الأسفار المذکور فی (ج 6 ص 19) طبع دیوانه فی (112 ص) علی الحروف بطهران فی (1307 ش) و هو فارسی جمعه المیرزا علی خان رسولی و مقدمه طبعه فی ترجمه الناظم لأحمد السهیلی مؤلف حصار نای المذکور فی (ج 7 ص 23) و ترجمه نفسه بقلمه مذکورة فی نامه دانشوران (ج 1 ص 521) ذکر أنه ولد بأحمدآباد الگجرات (1238) و أن والده السید محمد المتخلص بمظهر من أحفاد الآقا رفیعا النائنی و کانت وفاته فی الجمعة سادس ذی القعدة (1314) و دفن بمقبرته الخاصة بجوار الشیخ الصدوق، و مادة تاریخه (بو الحسن) جلوه کنان شد سوی فردوس برین 1314)</w:t>
      </w:r>
    </w:p>
    <w:p>
      <w:pPr>
        <w:pStyle w:val="Heading3"/>
      </w:pPr>
      <w:bookmarkStart w:id="2845" w:name="_Toc1541"/>
      <w:r>
        <w:t>1245- دیوان جلی‏</w:t>
      </w:r>
      <w:bookmarkEnd w:id="2845"/>
    </w:p>
    <w:p>
      <w:pPr>
        <w:pStyle w:val="BookText"/>
      </w:pPr>
      <w:r>
        <w:rPr>
          <w:rFonts w:ascii="IRNazanin" w:hAnsi="IRNazanin" w:eastAsia="IRNazanin" w:cs="IRNazanin"/>
          <w:lang w:bidi="fa-IR"/>
          <w:color w:val="111111"/>
          <w:sz w:val="28"/>
          <w:szCs w:val="28"/>
          <w:rtl/>
        </w:rPr>
        <w:t xml:space="preserve">و اسمه أبو تراب له قطعات شعبیة کثیرة طبع بعضها بعنوان ترانه‏ها فی (60 ص) فی (1365) بطهران یشتمل علی الغزل و المثنویات و طبع له مثنوی کتاب إبراهیم اللطیفة فی لزوم کسر الأصنام فی هذا العصر فی (32 ص) أیضا بطهران فی (1372)</w:t>
      </w:r>
    </w:p>
    <w:p>
      <w:pPr>
        <w:pStyle w:val="Heading3"/>
      </w:pPr>
      <w:bookmarkStart w:id="2846" w:name="_Toc1542"/>
      <w:r>
        <w:t>1246- دیوان جم مشهدی أو شعره‏</w:t>
      </w:r>
      <w:bookmarkEnd w:id="2846"/>
    </w:p>
    <w:p>
      <w:pPr>
        <w:pStyle w:val="BookText"/>
      </w:pPr>
      <w:r>
        <w:rPr>
          <w:rFonts w:ascii="IRNazanin" w:hAnsi="IRNazanin" w:eastAsia="IRNazanin" w:cs="IRNazanin"/>
          <w:lang w:bidi="fa-IR"/>
          <w:color w:val="111111"/>
          <w:sz w:val="28"/>
          <w:szCs w:val="28"/>
          <w:rtl/>
        </w:rPr>
        <w:t xml:space="preserve">و اسمه محمد شریف ذهب إلی الهند، و تقرب عند المیرزا جعفر آصف جاه خان أکبری، ثم شاه‏جهان و قتل فی حروبه أورد شعره فی (گلشن- ص 106)</w:t>
      </w:r>
    </w:p>
    <w:p>
      <w:pPr>
        <w:pStyle w:val="Heading3"/>
      </w:pPr>
      <w:bookmarkStart w:id="2847" w:name="_Toc1543"/>
      <w:r>
        <w:t>دیوان جمال أردستانی‏</w:t>
      </w:r>
      <w:bookmarkEnd w:id="2847"/>
    </w:p>
    <w:p>
      <w:pPr>
        <w:pStyle w:val="BookText"/>
      </w:pPr>
      <w:r>
        <w:rPr>
          <w:rFonts w:ascii="IRNazanin" w:hAnsi="IRNazanin" w:eastAsia="IRNazanin" w:cs="IRNazanin"/>
          <w:lang w:bidi="fa-IR"/>
          <w:color w:val="111111"/>
          <w:sz w:val="28"/>
          <w:szCs w:val="28"/>
          <w:rtl/>
        </w:rPr>
        <w:t xml:space="preserve">مر بعنوان دیوان پیر جمال فی (ص 161)</w:t>
      </w:r>
    </w:p>
    <w:p>
      <w:pPr>
        <w:pStyle w:val="Heading3"/>
      </w:pPr>
      <w:bookmarkStart w:id="2848" w:name="_Toc1544"/>
      <w:r>
        <w:t>1247- دیوان جمال الدین أصفهانی‏</w:t>
      </w:r>
      <w:bookmarkEnd w:id="2848"/>
    </w:p>
    <w:p>
      <w:pPr>
        <w:pStyle w:val="BookText"/>
      </w:pPr>
      <w:r>
        <w:rPr>
          <w:rFonts w:ascii="IRNazanin" w:hAnsi="IRNazanin" w:eastAsia="IRNazanin" w:cs="IRNazanin"/>
          <w:lang w:bidi="fa-IR"/>
          <w:color w:val="111111"/>
          <w:sz w:val="28"/>
          <w:szCs w:val="28"/>
          <w:rtl/>
        </w:rPr>
        <w:t xml:space="preserve">و هو جمال الدین محمد بن عبد الرزاق الأصفهانی الأدیب الماهر فی الشعر، و بیته کانوا ماهرین فی صنعتی الصیاغة و التصویر بأصفهان، و هو أول من دخل منهم فی سلک الشعراء و بعده ابنه کمال الدین إسماعیل الأصفهانی أکثر شعرا منه لکن دولت شاه قال فی (لت 3) إن السلطان سعید ألغ بیک گورکان، کان یرجح شعر جمال علی کمال و کانا یمدحان آل خجند و آل ساعد و الملوک الخوارزمشاهیة و له رثاء الحسین علیه السلام  و لجمال الدین أربعة أبناء: کمال الدین إسماعیل (خلاق المعانی)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200" w:name="pg11704_121679"/>
    <w:bookmarkEnd w:id="200"/>
    <w:p>
      <w:pPr>
        <w:pStyle w:val="BookText"/>
      </w:pPr>
      <w:r>
        <w:rPr>
          <w:rFonts w:ascii="IRNazanin" w:hAnsi="IRNazanin" w:eastAsia="IRNazanin" w:cs="IRNazanin"/>
          <w:lang w:bidi="fa-IR"/>
          <w:color w:val="111111"/>
          <w:sz w:val="28"/>
          <w:szCs w:val="28"/>
          <w:rtl/>
        </w:rPr>
        <w:t xml:space="preserve">و کمال الدین محمود، و معین الدین عبد الکریم و الآخر مجهول کان معاصرا للخاقانی و مجیر البیلقانی و توفی (قبل 599) ترجمه فی (تش 171) و (مع 1: 177) و (ض- ص 292) و الوحید الدستگردی مفصلا فی مجلة (أرمغان- السنة 22- ص 65- 77 و 169- 182) طبع دیوانه بتصحیح الأدیب النیشابوری فی (1310 ش) بطهران فی (263 ص) فیها (4000 بیت) و بتصحیح الدستگردی المذکور أیضا هناک فی (504 ص) فی (1320 ش) و نسخه المجلس تشتمل علی (7000 بیت) و کذا نسخه (الملک)</w:t>
      </w:r>
    </w:p>
    <w:p>
      <w:pPr>
        <w:pStyle w:val="Heading3"/>
      </w:pPr>
      <w:bookmarkStart w:id="2849" w:name="_Toc1545"/>
      <w:r>
        <w:t>دیوان جمال الدین أصفهانی‏</w:t>
      </w:r>
      <w:bookmarkEnd w:id="2849"/>
    </w:p>
    <w:p>
      <w:pPr>
        <w:pStyle w:val="BookText"/>
      </w:pPr>
      <w:r>
        <w:rPr>
          <w:rFonts w:ascii="IRNazanin" w:hAnsi="IRNazanin" w:eastAsia="IRNazanin" w:cs="IRNazanin"/>
          <w:lang w:bidi="fa-IR"/>
          <w:color w:val="111111"/>
          <w:sz w:val="28"/>
          <w:szCs w:val="28"/>
          <w:rtl/>
        </w:rPr>
        <w:t xml:space="preserve">راجع جمال منشی‏</w:t>
      </w:r>
    </w:p>
    <w:p>
      <w:pPr>
        <w:pStyle w:val="Heading3"/>
      </w:pPr>
      <w:bookmarkStart w:id="2850" w:name="_Toc1546"/>
      <w:r>
        <w:t>1248- دیوان جمال الدین أمیر بیگ أو شعره‏</w:t>
      </w:r>
      <w:bookmarkEnd w:id="2850"/>
    </w:p>
    <w:p>
      <w:pPr>
        <w:pStyle w:val="BookText"/>
      </w:pPr>
      <w:r>
        <w:rPr>
          <w:rFonts w:ascii="IRNazanin" w:hAnsi="IRNazanin" w:eastAsia="IRNazanin" w:cs="IRNazanin"/>
          <w:lang w:bidi="fa-IR"/>
          <w:color w:val="111111"/>
          <w:sz w:val="28"/>
          <w:szCs w:val="28"/>
          <w:rtl/>
        </w:rPr>
        <w:t xml:space="preserve">العراقی المولد من أحفاد الشیخ محمد الکجی قال معاصره فی (تس 3- ص 57) إنه وحید فی الآفاق ثم أورد بعض شعره‏</w:t>
      </w:r>
    </w:p>
    <w:p>
      <w:pPr>
        <w:pStyle w:val="Heading3"/>
      </w:pPr>
      <w:bookmarkStart w:id="2851" w:name="_Toc1547"/>
      <w:r>
        <w:t>1249- دیوان جمال الدین أمیر خسرو</w:t>
      </w:r>
      <w:bookmarkEnd w:id="2851"/>
    </w:p>
    <w:p>
      <w:pPr>
        <w:pStyle w:val="BookText"/>
      </w:pPr>
      <w:r>
        <w:rPr>
          <w:rFonts w:ascii="IRNazanin" w:hAnsi="IRNazanin" w:eastAsia="IRNazanin" w:cs="IRNazanin"/>
          <w:lang w:bidi="fa-IR"/>
          <w:color w:val="111111"/>
          <w:sz w:val="28"/>
          <w:szCs w:val="28"/>
          <w:rtl/>
        </w:rPr>
        <w:t xml:space="preserve">یوجد نسخه منه فی مکتبة محمد مراد أفندی بأستانبول کما فی فهرسها</w:t>
      </w:r>
    </w:p>
    <w:p>
      <w:pPr>
        <w:pStyle w:val="Heading3"/>
      </w:pPr>
      <w:bookmarkStart w:id="2852" w:name="_Toc1548"/>
      <w:r>
        <w:t>1250- دیوان جمال الدین بروجردی أو شعره‏</w:t>
      </w:r>
      <w:bookmarkEnd w:id="2852"/>
    </w:p>
    <w:p>
      <w:pPr>
        <w:pStyle w:val="BookText"/>
      </w:pPr>
      <w:r>
        <w:rPr>
          <w:rFonts w:ascii="IRNazanin" w:hAnsi="IRNazanin" w:eastAsia="IRNazanin" w:cs="IRNazanin"/>
          <w:lang w:bidi="fa-IR"/>
          <w:color w:val="111111"/>
          <w:sz w:val="28"/>
          <w:szCs w:val="28"/>
          <w:rtl/>
        </w:rPr>
        <w:t xml:space="preserve">ترجمه معاصره سام میرزا و قال کان صوفیا منزویا عن الخلق ثم أورد شعره‏</w:t>
      </w:r>
    </w:p>
    <w:p>
      <w:pPr>
        <w:pStyle w:val="Heading3"/>
      </w:pPr>
      <w:bookmarkStart w:id="2853" w:name="_Toc1549"/>
      <w:r>
        <w:t>1251- دیوان جمال الدین الحلی أو شعره‏</w:t>
      </w:r>
      <w:bookmarkEnd w:id="2853"/>
    </w:p>
    <w:p>
      <w:pPr>
        <w:pStyle w:val="BookText"/>
      </w:pPr>
      <w:r>
        <w:rPr>
          <w:rFonts w:ascii="IRNazanin" w:hAnsi="IRNazanin" w:eastAsia="IRNazanin" w:cs="IRNazanin"/>
          <w:lang w:bidi="fa-IR"/>
          <w:color w:val="111111"/>
          <w:sz w:val="28"/>
          <w:szCs w:val="28"/>
          <w:rtl/>
        </w:rPr>
        <w:t xml:space="preserve">و هو محمد بن عواد الهیکلی قال فی السلافة (ص 566) دخل الهند و مدح الوزراء هناک‏</w:t>
      </w:r>
    </w:p>
    <w:p>
      <w:pPr>
        <w:pStyle w:val="Heading3"/>
      </w:pPr>
      <w:bookmarkStart w:id="2854" w:name="_Toc1550"/>
      <w:r>
        <w:t>1252- دیوان جمال الدین خلخالی أو شعره‏</w:t>
      </w:r>
      <w:bookmarkEnd w:id="2854"/>
    </w:p>
    <w:p>
      <w:pPr>
        <w:pStyle w:val="BookText"/>
      </w:pPr>
      <w:r>
        <w:rPr>
          <w:rFonts w:ascii="IRNazanin" w:hAnsi="IRNazanin" w:eastAsia="IRNazanin" w:cs="IRNazanin"/>
          <w:lang w:bidi="fa-IR"/>
          <w:color w:val="111111"/>
          <w:sz w:val="28"/>
          <w:szCs w:val="28"/>
          <w:rtl/>
        </w:rPr>
        <w:t xml:space="preserve">تلمیذ غیاث الدین منصور بشیراز سکن قزوین أطری شعره فی (تس 4- ص 79)</w:t>
      </w:r>
    </w:p>
    <w:p>
      <w:pPr>
        <w:pStyle w:val="Heading3"/>
      </w:pPr>
      <w:bookmarkStart w:id="2855" w:name="_Toc1551"/>
      <w:r>
        <w:t>1253- دیوان جمال الدین رستق أو شعره‏</w:t>
      </w:r>
      <w:bookmarkEnd w:id="2855"/>
    </w:p>
    <w:p>
      <w:pPr>
        <w:pStyle w:val="BookText"/>
      </w:pPr>
      <w:r>
        <w:rPr>
          <w:rFonts w:ascii="IRNazanin" w:hAnsi="IRNazanin" w:eastAsia="IRNazanin" w:cs="IRNazanin"/>
          <w:lang w:bidi="fa-IR"/>
          <w:color w:val="111111"/>
          <w:sz w:val="28"/>
          <w:szCs w:val="28"/>
          <w:rtl/>
        </w:rPr>
        <w:t xml:space="preserve">و رستق محله بقزوین أورد شعره الفارسی فی (تاریخ گزیده ص 816) و (بهش 1- ص 329) و قال کان ینظم الشعر بألسنة مختلفة</w:t>
      </w:r>
    </w:p>
    <w:p>
      <w:pPr>
        <w:pStyle w:val="Heading3"/>
      </w:pPr>
      <w:bookmarkStart w:id="2856" w:name="_Toc1552"/>
      <w:r>
        <w:t>1254- دیوان جمال الدین کاشانی أو شعره‏</w:t>
      </w:r>
      <w:bookmarkEnd w:id="2856"/>
    </w:p>
    <w:p>
      <w:pPr>
        <w:pStyle w:val="BookText"/>
      </w:pPr>
      <w:r>
        <w:rPr>
          <w:rFonts w:ascii="IRNazanin" w:hAnsi="IRNazanin" w:eastAsia="IRNazanin" w:cs="IRNazanin"/>
          <w:lang w:bidi="fa-IR"/>
          <w:color w:val="111111"/>
          <w:sz w:val="28"/>
          <w:szCs w:val="28"/>
          <w:rtl/>
        </w:rPr>
        <w:t xml:space="preserve">و هو السید جمال الدین معاصر ابقا خان الملک المغولی أورد شعره المستوفی فی تاریخ گزیده (ص 817) من طبع أروپا الفتوغرافیة و (بهش 1- ص 330)</w:t>
      </w:r>
    </w:p>
    <w:p>
      <w:pPr>
        <w:pStyle w:val="Heading3"/>
      </w:pPr>
      <w:bookmarkStart w:id="2857" w:name="_Toc1553"/>
      <w:r>
        <w:t>1255- دیوان جمال الدین گیلانی أو شعره‏</w:t>
      </w:r>
      <w:bookmarkEnd w:id="2857"/>
    </w:p>
    <w:p>
      <w:pPr>
        <w:pStyle w:val="BookText"/>
      </w:pPr>
      <w:r>
        <w:rPr>
          <w:rFonts w:ascii="IRNazanin" w:hAnsi="IRNazanin" w:eastAsia="IRNazanin" w:cs="IRNazanin"/>
          <w:lang w:bidi="fa-IR"/>
          <w:color w:val="111111"/>
          <w:sz w:val="28"/>
          <w:szCs w:val="28"/>
          <w:rtl/>
        </w:rPr>
        <w:t xml:space="preserve">الشاعر بالفارسیة و العربیة أورد من شعره العربی فی (بهش 1- ص 320)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201" w:name="pg11704_121680"/>
    <w:bookmarkEnd w:id="201"/>
    <w:p>
      <w:pPr>
        <w:pStyle w:val="Heading3"/>
      </w:pPr>
      <w:bookmarkStart w:id="2858" w:name="_Toc1554"/>
      <w:r>
        <w:t>1256- دیوان جمال الدین النجفی أو شعره‏</w:t>
      </w:r>
      <w:bookmarkEnd w:id="2858"/>
    </w:p>
    <w:p>
      <w:pPr>
        <w:pStyle w:val="BookText"/>
      </w:pPr>
      <w:r>
        <w:rPr>
          <w:rFonts w:ascii="IRNazanin" w:hAnsi="IRNazanin" w:eastAsia="IRNazanin" w:cs="IRNazanin"/>
          <w:lang w:bidi="fa-IR"/>
          <w:color w:val="111111"/>
          <w:sz w:val="28"/>
          <w:szCs w:val="28"/>
          <w:rtl/>
        </w:rPr>
        <w:t xml:space="preserve">و هو محمد بن عبد الله الاشتری النجفی من أحفاد مالک الأشتر قال فی السلافة (ص 554) دخل الهند و مدح حکامها ثم أورد قصیدته فی مدیح السید حسین بن شدقم و کتابه إلی السید علی فی (1073)</w:t>
      </w:r>
    </w:p>
    <w:p>
      <w:pPr>
        <w:pStyle w:val="Heading3"/>
      </w:pPr>
      <w:bookmarkStart w:id="2859" w:name="_Toc1555"/>
      <w:r>
        <w:t>دیوان جمال مشهدی‏</w:t>
      </w:r>
      <w:bookmarkEnd w:id="2859"/>
    </w:p>
    <w:p>
      <w:pPr>
        <w:pStyle w:val="BookText"/>
      </w:pPr>
      <w:r>
        <w:rPr>
          <w:rFonts w:ascii="IRNazanin" w:hAnsi="IRNazanin" w:eastAsia="IRNazanin" w:cs="IRNazanin"/>
          <w:lang w:bidi="fa-IR"/>
          <w:color w:val="111111"/>
          <w:sz w:val="28"/>
          <w:szCs w:val="28"/>
          <w:rtl/>
        </w:rPr>
        <w:t xml:space="preserve">یأتی بتخلصه واقعی مشهدی‏</w:t>
      </w:r>
    </w:p>
    <w:p>
      <w:pPr>
        <w:pStyle w:val="Heading3"/>
      </w:pPr>
      <w:bookmarkStart w:id="2860" w:name="_Toc1556"/>
      <w:r>
        <w:t>1257- دیوان جمال منشی أو شعره‏</w:t>
      </w:r>
      <w:bookmarkEnd w:id="2860"/>
    </w:p>
    <w:p>
      <w:pPr>
        <w:pStyle w:val="BookText"/>
      </w:pPr>
      <w:r>
        <w:rPr>
          <w:rFonts w:ascii="IRNazanin" w:hAnsi="IRNazanin" w:eastAsia="IRNazanin" w:cs="IRNazanin"/>
          <w:lang w:bidi="fa-IR"/>
          <w:color w:val="111111"/>
          <w:sz w:val="28"/>
          <w:szCs w:val="28"/>
          <w:rtl/>
        </w:rPr>
        <w:t xml:space="preserve">قیل إنه کرمانی و الصحیح أنه أصفهانی من معاصری الخواجة شمس الدین صاحب دیوان أطری قصائده فی (تش- ص 171) و قال لم أر له دیوانا و أورد شعره فی (روشن- ص 153) و راجع جمال نقاش‏</w:t>
      </w:r>
    </w:p>
    <w:p>
      <w:pPr>
        <w:pStyle w:val="Heading3"/>
      </w:pPr>
      <w:bookmarkStart w:id="2861" w:name="_Toc1557"/>
      <w:r>
        <w:t>دیوان جمال نقاش أصفهانی أو شعره‏</w:t>
      </w:r>
      <w:bookmarkEnd w:id="2861"/>
    </w:p>
    <w:p>
      <w:pPr>
        <w:pStyle w:val="BookText"/>
      </w:pPr>
      <w:r>
        <w:rPr>
          <w:rFonts w:ascii="IRNazanin" w:hAnsi="IRNazanin" w:eastAsia="IRNazanin" w:cs="IRNazanin"/>
          <w:lang w:bidi="fa-IR"/>
          <w:color w:val="111111"/>
          <w:sz w:val="28"/>
          <w:szCs w:val="28"/>
          <w:rtl/>
        </w:rPr>
        <w:t xml:space="preserve">قال محمد الإقبال الهندی فی حواشیه علی راحة الصدور طبعه لیدن (ص 477) إنه غیر جمال الدین عبد الرزاق أصفهانی فعده من الشعراء المجیدین و النقاشین و الخطاطین الماهرین لکن وحید الدستگردی أصر فی مقدمته المفصلة علی دیوان جمال الدین عبد الرزاق أنهما رجل واحد لا رجلین أقول و لعله جمال منشی المذکور آنفا</w:t>
      </w:r>
    </w:p>
    <w:p>
      <w:pPr>
        <w:pStyle w:val="Heading3"/>
      </w:pPr>
      <w:bookmarkStart w:id="2862" w:name="_Toc1558"/>
      <w:r>
        <w:t>دیوان جمال هروی‏</w:t>
      </w:r>
      <w:bookmarkEnd w:id="2862"/>
    </w:p>
    <w:p>
      <w:pPr>
        <w:pStyle w:val="BookText"/>
      </w:pPr>
      <w:r>
        <w:rPr>
          <w:rFonts w:ascii="IRNazanin" w:hAnsi="IRNazanin" w:eastAsia="IRNazanin" w:cs="IRNazanin"/>
          <w:lang w:bidi="fa-IR"/>
          <w:color w:val="111111"/>
          <w:sz w:val="28"/>
          <w:szCs w:val="28"/>
          <w:rtl/>
        </w:rPr>
        <w:t xml:space="preserve">کما فی (قز مج 4- ص 278) و الصحیح ما ذکر بعنوان جلال هروی‏</w:t>
      </w:r>
    </w:p>
    <w:p>
      <w:pPr>
        <w:pStyle w:val="Heading3"/>
      </w:pPr>
      <w:bookmarkStart w:id="2863" w:name="_Toc1559"/>
      <w:r>
        <w:t>دیوان جمال همدانی‏</w:t>
      </w:r>
      <w:bookmarkEnd w:id="2863"/>
    </w:p>
    <w:p>
      <w:pPr>
        <w:pStyle w:val="BookText"/>
      </w:pPr>
      <w:r>
        <w:rPr>
          <w:rFonts w:ascii="IRNazanin" w:hAnsi="IRNazanin" w:eastAsia="IRNazanin" w:cs="IRNazanin"/>
          <w:lang w:bidi="fa-IR"/>
          <w:color w:val="111111"/>
          <w:sz w:val="28"/>
          <w:szCs w:val="28"/>
          <w:rtl/>
        </w:rPr>
        <w:t xml:space="preserve">کما فی (گلشن- ص 106) و الصحیح جلال همدانی‏</w:t>
      </w:r>
    </w:p>
    <w:p>
      <w:pPr>
        <w:pStyle w:val="Heading3"/>
      </w:pPr>
      <w:bookmarkStart w:id="2864" w:name="_Toc1560"/>
      <w:r>
        <w:t>دیوان جمالی أردستانی‏</w:t>
      </w:r>
      <w:bookmarkEnd w:id="2864"/>
    </w:p>
    <w:p>
      <w:pPr>
        <w:pStyle w:val="BookText"/>
      </w:pPr>
      <w:r>
        <w:rPr>
          <w:rFonts w:ascii="IRNazanin" w:hAnsi="IRNazanin" w:eastAsia="IRNazanin" w:cs="IRNazanin"/>
          <w:lang w:bidi="fa-IR"/>
          <w:color w:val="111111"/>
          <w:sz w:val="28"/>
          <w:szCs w:val="28"/>
          <w:rtl/>
        </w:rPr>
        <w:t xml:space="preserve">مر بعنوان پیر جمال فی (ص 161)</w:t>
      </w:r>
    </w:p>
    <w:p>
      <w:pPr>
        <w:pStyle w:val="Heading3"/>
      </w:pPr>
      <w:bookmarkStart w:id="2865" w:name="_Toc1561"/>
      <w:r>
        <w:t>1258- دیوان جمالی تبریزی‏</w:t>
      </w:r>
      <w:bookmarkEnd w:id="2865"/>
    </w:p>
    <w:p>
      <w:pPr>
        <w:pStyle w:val="BookText"/>
      </w:pPr>
      <w:r>
        <w:rPr>
          <w:rFonts w:ascii="IRNazanin" w:hAnsi="IRNazanin" w:eastAsia="IRNazanin" w:cs="IRNazanin"/>
          <w:lang w:bidi="fa-IR"/>
          <w:color w:val="111111"/>
          <w:sz w:val="28"/>
          <w:szCs w:val="28"/>
          <w:rtl/>
        </w:rPr>
        <w:t xml:space="preserve">و هو الشیخ محمد التبریزی کان شیخ الإسلام بشیراز و مراد أهلها، و کان الخطاطون یکتبون دیوانه و المذهبون یذهبونه تبرکا به أورد شعره المتخلص فیه بجمالی فی (بهش 2- ص 401- 402)</w:t>
      </w:r>
    </w:p>
    <w:p>
      <w:pPr>
        <w:pStyle w:val="Heading3"/>
      </w:pPr>
      <w:bookmarkStart w:id="2866" w:name="_Toc1562"/>
      <w:r>
        <w:t>1259- دیوان جمالی تبریزی أو شعرها</w:t>
      </w:r>
      <w:bookmarkEnd w:id="2866"/>
    </w:p>
    <w:p>
      <w:pPr>
        <w:pStyle w:val="BookText"/>
      </w:pPr>
      <w:r>
        <w:rPr>
          <w:rFonts w:ascii="IRNazanin" w:hAnsi="IRNazanin" w:eastAsia="IRNazanin" w:cs="IRNazanin"/>
          <w:lang w:bidi="fa-IR"/>
          <w:color w:val="111111"/>
          <w:sz w:val="28"/>
          <w:szCs w:val="28"/>
          <w:rtl/>
        </w:rPr>
        <w:t xml:space="preserve">و هی بنت الأمیر یادگار أورد شعرها فی (مرآة الخیال- ص 338) و عنه فی (دجا- ص 98)</w:t>
      </w:r>
    </w:p>
    <w:p>
      <w:pPr>
        <w:pStyle w:val="Heading3"/>
      </w:pPr>
      <w:bookmarkStart w:id="2867" w:name="_Toc1563"/>
      <w:r>
        <w:t>1260- دیوان جمالی دهلوی‏</w:t>
      </w:r>
      <w:bookmarkEnd w:id="2867"/>
    </w:p>
    <w:p>
      <w:pPr>
        <w:pStyle w:val="BookText"/>
      </w:pPr>
      <w:r>
        <w:rPr>
          <w:rFonts w:ascii="IRNazanin" w:hAnsi="IRNazanin" w:eastAsia="IRNazanin" w:cs="IRNazanin"/>
          <w:lang w:bidi="fa-IR"/>
          <w:color w:val="111111"/>
          <w:sz w:val="28"/>
          <w:szCs w:val="28"/>
          <w:rtl/>
        </w:rPr>
        <w:t xml:space="preserve">ترجمه فی (ض- ص 84) و ذکر أنه کان معاصرا لجامی و لاقاه فی هراة و أورد بعض شعره‏</w:t>
      </w:r>
    </w:p>
    <w:p>
      <w:pPr>
        <w:pStyle w:val="Heading3"/>
      </w:pPr>
      <w:bookmarkStart w:id="2868" w:name="_Toc1564"/>
      <w:r>
        <w:t>1261- دیوان جمالی کاشانی أو شعره‏</w:t>
      </w:r>
      <w:bookmarkEnd w:id="2868"/>
    </w:p>
    <w:p>
      <w:pPr>
        <w:pStyle w:val="BookText"/>
      </w:pPr>
      <w:r>
        <w:rPr>
          <w:rFonts w:ascii="IRNazanin" w:hAnsi="IRNazanin" w:eastAsia="IRNazanin" w:cs="IRNazanin"/>
          <w:lang w:bidi="fa-IR"/>
          <w:color w:val="111111"/>
          <w:sz w:val="28"/>
          <w:szCs w:val="28"/>
          <w:rtl/>
        </w:rPr>
        <w:t xml:space="preserve">هو ابن الحاج شاه الحلاج (نداف) الکاشانی الکثیر الهجاء و ابنه جمالی عکس والده ترجمه فی (تس 6- ص 155) و (روشن-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202" w:name="pg11704_121681"/>
    <w:bookmarkEnd w:id="202"/>
    <w:p>
      <w:pPr>
        <w:pStyle w:val="BookText"/>
      </w:pPr>
      <w:r>
        <w:rPr>
          <w:rFonts w:ascii="IRNazanin" w:hAnsi="IRNazanin" w:eastAsia="IRNazanin" w:cs="IRNazanin"/>
          <w:lang w:bidi="fa-IR"/>
          <w:color w:val="111111"/>
          <w:sz w:val="28"/>
          <w:szCs w:val="28"/>
          <w:rtl/>
        </w:rPr>
        <w:t xml:space="preserve">ص 153) و أورد شعره‏</w:t>
      </w:r>
    </w:p>
    <w:p>
      <w:pPr>
        <w:pStyle w:val="Heading3"/>
      </w:pPr>
      <w:bookmarkStart w:id="2869" w:name="_Toc1565"/>
      <w:r>
        <w:t>1262- دیوان جمالی کاشانی أو شعره‏</w:t>
      </w:r>
      <w:bookmarkEnd w:id="2869"/>
    </w:p>
    <w:p>
      <w:pPr>
        <w:pStyle w:val="BookText"/>
      </w:pPr>
      <w:r>
        <w:rPr>
          <w:rFonts w:ascii="IRNazanin" w:hAnsi="IRNazanin" w:eastAsia="IRNazanin" w:cs="IRNazanin"/>
          <w:lang w:bidi="fa-IR"/>
          <w:color w:val="111111"/>
          <w:sz w:val="28"/>
          <w:szCs w:val="28"/>
          <w:rtl/>
        </w:rPr>
        <w:t xml:space="preserve">بیاع الکرباس بها ترجمه أیضا فی (تس 6- ص 157) و (روشن- ص 153)</w:t>
      </w:r>
    </w:p>
    <w:p>
      <w:pPr>
        <w:pStyle w:val="Heading3"/>
      </w:pPr>
      <w:bookmarkStart w:id="2870" w:name="_Toc1566"/>
      <w:r>
        <w:t>1263- دیوان جمشید بیک دیلمی أو شعره‏</w:t>
      </w:r>
      <w:bookmarkEnd w:id="2870"/>
    </w:p>
    <w:p>
      <w:pPr>
        <w:pStyle w:val="BookText"/>
      </w:pPr>
      <w:r>
        <w:rPr>
          <w:rFonts w:ascii="IRNazanin" w:hAnsi="IRNazanin" w:eastAsia="IRNazanin" w:cs="IRNazanin"/>
          <w:lang w:bidi="fa-IR"/>
          <w:color w:val="111111"/>
          <w:sz w:val="28"/>
          <w:szCs w:val="28"/>
          <w:rtl/>
        </w:rPr>
        <w:t xml:space="preserve">هو ابن شاه صدر بن شاه عنایة الله الدیلمی ترجمه سام میرزا فی (تس 3- ص 62) و ذکر شعره و ذکر فیه (ص 59) والده شاه صدر الذی کان وزیر أمراء الترک و توفی (955) و ذکر عمه المیر کریم أخ شاه صدر، و ذکر إخوته و هم أولاد شاه صدر: شاه قاضی، عنایة الله، بهرام بیک، و ذکر أشعار جمیعهم و الظاهر أنه غیر جمشید المعمائی الذی ذکر فی (نر 15- ص 522) و (لط 3- ص 69)</w:t>
      </w:r>
    </w:p>
    <w:p>
      <w:pPr>
        <w:pStyle w:val="Heading3"/>
      </w:pPr>
      <w:bookmarkStart w:id="2871" w:name="_Toc1567"/>
      <w:r>
        <w:t>1264- دیوان جمشید معمایی أو شعره‏</w:t>
      </w:r>
      <w:bookmarkEnd w:id="2871"/>
    </w:p>
    <w:p>
      <w:pPr>
        <w:pStyle w:val="BookText"/>
      </w:pPr>
      <w:r>
        <w:rPr>
          <w:rFonts w:ascii="IRNazanin" w:hAnsi="IRNazanin" w:eastAsia="IRNazanin" w:cs="IRNazanin"/>
          <w:lang w:bidi="fa-IR"/>
          <w:color w:val="111111"/>
          <w:sz w:val="28"/>
          <w:szCs w:val="28"/>
          <w:rtl/>
        </w:rPr>
        <w:t xml:space="preserve">شاب کاتب شاعر ماهر فی المعمی کما قال فی (لط 3- ص 69) و أورد معماه فی (نر 15- ص 522).</w:t>
      </w:r>
    </w:p>
    <w:p>
      <w:pPr>
        <w:pStyle w:val="Heading3"/>
      </w:pPr>
      <w:bookmarkStart w:id="2872" w:name="_Toc1568"/>
      <w:r>
        <w:t>1265- دیوان جمشید منجم أو شعره‏</w:t>
      </w:r>
      <w:bookmarkEnd w:id="2872"/>
    </w:p>
    <w:p>
      <w:pPr>
        <w:pStyle w:val="BookText"/>
      </w:pPr>
      <w:r>
        <w:rPr>
          <w:rFonts w:ascii="IRNazanin" w:hAnsi="IRNazanin" w:eastAsia="IRNazanin" w:cs="IRNazanin"/>
          <w:lang w:bidi="fa-IR"/>
          <w:color w:val="111111"/>
          <w:sz w:val="28"/>
          <w:szCs w:val="28"/>
          <w:rtl/>
        </w:rPr>
        <w:t xml:space="preserve">کان هرویا شابا شاعرا ماهرا فی علم النجوم.</w:t>
      </w:r>
    </w:p>
    <w:p>
      <w:pPr>
        <w:pStyle w:val="BookText"/>
      </w:pPr>
      <w:r>
        <w:rPr>
          <w:rFonts w:ascii="IRNazanin" w:hAnsi="IRNazanin" w:eastAsia="IRNazanin" w:cs="IRNazanin"/>
          <w:lang w:bidi="fa-IR"/>
          <w:color w:val="111111"/>
          <w:sz w:val="28"/>
          <w:szCs w:val="28"/>
          <w:rtl/>
        </w:rPr>
        <w:t xml:space="preserve">أورد شعره فی (مجتس 5- ص 149).</w:t>
      </w:r>
    </w:p>
    <w:p>
      <w:pPr>
        <w:pStyle w:val="Heading3"/>
      </w:pPr>
      <w:bookmarkStart w:id="2873" w:name="_Toc1569"/>
      <w:r>
        <w:t>1266- دیوان جمیل کالپی أو شعره‏</w:t>
      </w:r>
      <w:bookmarkEnd w:id="2873"/>
    </w:p>
    <w:p>
      <w:pPr>
        <w:pStyle w:val="BookText"/>
      </w:pPr>
      <w:r>
        <w:rPr>
          <w:rFonts w:ascii="IRNazanin" w:hAnsi="IRNazanin" w:eastAsia="IRNazanin" w:cs="IRNazanin"/>
          <w:lang w:bidi="fa-IR"/>
          <w:color w:val="111111"/>
          <w:sz w:val="28"/>
          <w:szCs w:val="28"/>
          <w:rtl/>
        </w:rPr>
        <w:t xml:space="preserve">هو ابن الشیخ جلال الدین من شعراء العهد الأکبرشاهی بالهند. أورد بعض شعره فی مرآة الخیال (ص 257) و (گلشن- ص 106).</w:t>
      </w:r>
    </w:p>
    <w:p>
      <w:pPr>
        <w:pStyle w:val="Heading3"/>
      </w:pPr>
      <w:bookmarkStart w:id="2874" w:name="_Toc1570"/>
      <w:r>
        <w:t>1267- دیوان جمیلة الأصفهانیة أو شعرها</w:t>
      </w:r>
      <w:bookmarkEnd w:id="2874"/>
    </w:p>
    <w:p>
      <w:pPr>
        <w:pStyle w:val="BookText"/>
      </w:pPr>
      <w:r>
        <w:rPr>
          <w:rFonts w:ascii="IRNazanin" w:hAnsi="IRNazanin" w:eastAsia="IRNazanin" w:cs="IRNazanin"/>
          <w:lang w:bidi="fa-IR"/>
          <w:color w:val="111111"/>
          <w:sz w:val="28"/>
          <w:szCs w:val="28"/>
          <w:rtl/>
        </w:rPr>
        <w:t xml:space="preserve">سافرت إلی الهند و رجعت إلی وطنها.</w:t>
      </w:r>
    </w:p>
    <w:p>
      <w:pPr>
        <w:pStyle w:val="BookText"/>
      </w:pPr>
      <w:r>
        <w:rPr>
          <w:rFonts w:ascii="IRNazanin" w:hAnsi="IRNazanin" w:eastAsia="IRNazanin" w:cs="IRNazanin"/>
          <w:lang w:bidi="fa-IR"/>
          <w:color w:val="111111"/>
          <w:sz w:val="28"/>
          <w:szCs w:val="28"/>
          <w:rtl/>
        </w:rPr>
        <w:t xml:space="preserve">أورد شعرها فی (گلشن- ص 107).</w:t>
      </w:r>
    </w:p>
    <w:p>
      <w:pPr>
        <w:pStyle w:val="Heading3"/>
      </w:pPr>
      <w:bookmarkStart w:id="2875" w:name="_Toc1571"/>
      <w:r>
        <w:t>1268- دیوان جناب أصفهانی أو شعره‏</w:t>
      </w:r>
      <w:bookmarkEnd w:id="2875"/>
    </w:p>
    <w:p>
      <w:pPr>
        <w:pStyle w:val="BookText"/>
      </w:pPr>
      <w:r>
        <w:rPr>
          <w:rFonts w:ascii="IRNazanin" w:hAnsi="IRNazanin" w:eastAsia="IRNazanin" w:cs="IRNazanin"/>
          <w:lang w:bidi="fa-IR"/>
          <w:color w:val="111111"/>
          <w:sz w:val="28"/>
          <w:szCs w:val="28"/>
          <w:rtl/>
        </w:rPr>
        <w:t xml:space="preserve">و هو المیر أبو طالب بن المیر نصیر الشاعر الخطاط بالشکسته و کان سر خط نویس ای رئیس الخطاطین للشاه سلطان حسین و مات (1135) أورد شعره فی (گلشن- ص 108) و عنه فی القاموس الترکی ثم الریحانة.</w:t>
      </w:r>
    </w:p>
    <w:p>
      <w:pPr>
        <w:pStyle w:val="Heading3"/>
      </w:pPr>
      <w:bookmarkStart w:id="2876" w:name="_Toc1572"/>
      <w:r>
        <w:t>1269- دیوان جناب أصفهانی أو شعره‏</w:t>
      </w:r>
      <w:bookmarkEnd w:id="2876"/>
    </w:p>
    <w:p>
      <w:pPr>
        <w:pStyle w:val="BookText"/>
      </w:pPr>
      <w:r>
        <w:rPr>
          <w:rFonts w:ascii="IRNazanin" w:hAnsi="IRNazanin" w:eastAsia="IRNazanin" w:cs="IRNazanin"/>
          <w:lang w:bidi="fa-IR"/>
          <w:color w:val="111111"/>
          <w:sz w:val="28"/>
          <w:szCs w:val="28"/>
          <w:rtl/>
        </w:rPr>
        <w:t xml:space="preserve">و هو المیرزا فتح الله الخوزانی من قری أصفهان کان من أحفاد الأمیر نجم الثانی الذی حارب ما وراء النهر بأمر الشاه إسماعیل و قتل بها. و قد ترجم جناب، معاصره لطف علی فی (تش ص 371)</w:t>
      </w:r>
      <w:r>
        <w:rPr>
          <w:rStyle w:val="FootnoteReference"/>
        </w:rPr>
        <w:footnoteReference w:id="17"/>
      </w:r>
      <w:r>
        <w:rPr>
          <w:rFonts w:ascii="IRNazanin" w:hAnsi="IRNazanin" w:eastAsia="IRNazanin" w:cs="IRNazanin"/>
          <w:lang w:bidi="fa-IR"/>
          <w:color w:val="111111"/>
          <w:sz w:val="28"/>
          <w:szCs w:val="28"/>
          <w:rtl/>
        </w:rPr>
        <w:t xml:space="preserve">ثم صدیق حسن خان فی‏ ط.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203" w:name="pg11704_121682"/>
    <w:bookmarkEnd w:id="203"/>
    <w:p>
      <w:pPr>
        <w:pStyle w:val="BookText"/>
      </w:pPr>
      <w:r>
        <w:rPr>
          <w:rFonts w:ascii="IRNazanin" w:hAnsi="IRNazanin" w:eastAsia="IRNazanin" w:cs="IRNazanin"/>
          <w:lang w:bidi="fa-IR"/>
          <w:color w:val="111111"/>
          <w:sz w:val="28"/>
          <w:szCs w:val="28"/>
          <w:rtl/>
        </w:rPr>
        <w:t xml:space="preserve">(گلشن- ص 107) و هدایت فی (مع 2: 92) و عنها فی القاموس الترکی ثم فی الریحانة قالوا سافر جناب إلی الهند فی شبابه و رجع فنصبه الشاه‏زاده طهماسب الثانی الصفوی (1135- 1144) کلانترا لأصفهان. ثم بعثه نادر شاه مأمورا لخراسان. ثم إن نادر شاه أمر به فقتل مع المیرزا رحیم الإشتهاردی و المیرزا کاظم الأصفهانی کلهم فی (1148) فی صحراء المملحة بین ری و کاشان.</w:t>
      </w:r>
    </w:p>
    <w:p>
      <w:pPr>
        <w:pStyle w:val="Heading3"/>
      </w:pPr>
      <w:bookmarkStart w:id="2877" w:name="_Toc1573"/>
      <w:r>
        <w:t>دیوان جناب ساوجی‏</w:t>
      </w:r>
      <w:bookmarkEnd w:id="2877"/>
    </w:p>
    <w:p>
      <w:pPr>
        <w:pStyle w:val="BookText"/>
      </w:pPr>
      <w:r>
        <w:rPr>
          <w:rFonts w:ascii="IRNazanin" w:hAnsi="IRNazanin" w:eastAsia="IRNazanin" w:cs="IRNazanin"/>
          <w:lang w:bidi="fa-IR"/>
          <w:color w:val="111111"/>
          <w:sz w:val="28"/>
          <w:szCs w:val="28"/>
          <w:rtl/>
        </w:rPr>
        <w:t xml:space="preserve">یأتی بتخلصه شهاب ساوجی.</w:t>
      </w:r>
    </w:p>
    <w:p>
      <w:pPr>
        <w:pStyle w:val="Heading3"/>
      </w:pPr>
      <w:bookmarkStart w:id="2878" w:name="_Toc1574"/>
      <w:r>
        <w:t>دیوان جناب گرگانی‏</w:t>
      </w:r>
      <w:bookmarkEnd w:id="2878"/>
    </w:p>
    <w:p>
      <w:pPr>
        <w:pStyle w:val="BookText"/>
      </w:pPr>
      <w:r>
        <w:rPr>
          <w:rFonts w:ascii="IRNazanin" w:hAnsi="IRNazanin" w:eastAsia="IRNazanin" w:cs="IRNazanin"/>
          <w:lang w:bidi="fa-IR"/>
          <w:color w:val="111111"/>
          <w:sz w:val="28"/>
          <w:szCs w:val="28"/>
          <w:rtl/>
        </w:rPr>
        <w:t xml:space="preserve">و هو المیرزا محمد حسین المتخلص بربانی یأتی فی الراء.</w:t>
      </w:r>
    </w:p>
    <w:p>
      <w:pPr>
        <w:pStyle w:val="Heading3"/>
      </w:pPr>
      <w:bookmarkStart w:id="2879" w:name="_Toc1575"/>
      <w:r>
        <w:t>1270- دیوان جناب نیشابوری أو شعره‏</w:t>
      </w:r>
      <w:bookmarkEnd w:id="2879"/>
    </w:p>
    <w:p>
      <w:pPr>
        <w:pStyle w:val="BookText"/>
      </w:pPr>
      <w:r>
        <w:rPr>
          <w:rFonts w:ascii="IRNazanin" w:hAnsi="IRNazanin" w:eastAsia="IRNazanin" w:cs="IRNazanin"/>
          <w:lang w:bidi="fa-IR"/>
          <w:color w:val="111111"/>
          <w:sz w:val="28"/>
          <w:szCs w:val="28"/>
          <w:rtl/>
        </w:rPr>
        <w:t xml:space="preserve">أورد شعره فی (تش- ص 134) و (روشن- ص 156).</w:t>
      </w:r>
    </w:p>
    <w:p>
      <w:pPr>
        <w:pStyle w:val="Heading3"/>
      </w:pPr>
      <w:bookmarkStart w:id="2880" w:name="_Toc1576"/>
      <w:r>
        <w:t>1271- دیوان جنتی أصفهانی‏</w:t>
      </w:r>
      <w:bookmarkEnd w:id="2880"/>
    </w:p>
    <w:p>
      <w:pPr>
        <w:pStyle w:val="BookText"/>
      </w:pPr>
      <w:r>
        <w:rPr>
          <w:rFonts w:ascii="IRNazanin" w:hAnsi="IRNazanin" w:eastAsia="IRNazanin" w:cs="IRNazanin"/>
          <w:lang w:bidi="fa-IR"/>
          <w:color w:val="111111"/>
          <w:sz w:val="28"/>
          <w:szCs w:val="28"/>
          <w:rtl/>
        </w:rPr>
        <w:t xml:space="preserve">و اسمه المیر زین الدین الجزی من أعمال أصفهان لم یکن سیدا و لکن حفیده ادعی السیادة. و دیوانه یقرب من عشرین ألف بیت و لکن لم یرتبه. و له مثنوی شاپور و شهناز أورد منه فی (نر 9- ص 314) ثم فی (تش- ص 174).</w:t>
      </w:r>
    </w:p>
    <w:p>
      <w:pPr>
        <w:pStyle w:val="Heading3"/>
      </w:pPr>
      <w:bookmarkStart w:id="2881" w:name="_Toc1577"/>
      <w:r>
        <w:t>1272- دیوان جنتی خراسانی أو شعره‏</w:t>
      </w:r>
      <w:bookmarkEnd w:id="2881"/>
    </w:p>
    <w:p>
      <w:pPr>
        <w:pStyle w:val="BookText"/>
      </w:pPr>
      <w:r>
        <w:rPr>
          <w:rFonts w:ascii="IRNazanin" w:hAnsi="IRNazanin" w:eastAsia="IRNazanin" w:cs="IRNazanin"/>
          <w:lang w:bidi="fa-IR"/>
          <w:color w:val="111111"/>
          <w:sz w:val="28"/>
          <w:szCs w:val="28"/>
          <w:rtl/>
        </w:rPr>
        <w:t xml:space="preserve">أطری شعره فی (مجن 3- 67 و 239).</w:t>
      </w:r>
    </w:p>
    <w:p>
      <w:pPr>
        <w:pStyle w:val="Heading3"/>
      </w:pPr>
      <w:bookmarkStart w:id="2882" w:name="_Toc1578"/>
      <w:r>
        <w:t>1273- دیوان جنون کشمیری أو شعره‏</w:t>
      </w:r>
      <w:bookmarkEnd w:id="2882"/>
    </w:p>
    <w:p>
      <w:pPr>
        <w:pStyle w:val="BookText"/>
      </w:pPr>
      <w:r>
        <w:rPr>
          <w:rFonts w:ascii="IRNazanin" w:hAnsi="IRNazanin" w:eastAsia="IRNazanin" w:cs="IRNazanin"/>
          <w:lang w:bidi="fa-IR"/>
          <w:color w:val="111111"/>
          <w:sz w:val="28"/>
          <w:szCs w:val="28"/>
          <w:rtl/>
        </w:rPr>
        <w:t xml:space="preserve">و هو المیرزا أرجمند بن عبد الغنی قبول الکشمیری تلمذ علی أبیه، و کان یتخلص أولا آزاد ثم عدل عنه إلی جنون و مات (1134)، و له أخ أکبر منه. أورد شعره فی (گلشن- ص 109).</w:t>
      </w:r>
    </w:p>
    <w:p>
      <w:pPr>
        <w:pStyle w:val="Heading3"/>
      </w:pPr>
      <w:bookmarkStart w:id="2883" w:name="_Toc1579"/>
      <w:r>
        <w:t>1274- دیوان جنون کشمیری أو شعره‏</w:t>
      </w:r>
      <w:bookmarkEnd w:id="2883"/>
    </w:p>
    <w:p>
      <w:pPr>
        <w:pStyle w:val="BookText"/>
      </w:pPr>
      <w:r>
        <w:rPr>
          <w:rFonts w:ascii="IRNazanin" w:hAnsi="IRNazanin" w:eastAsia="IRNazanin" w:cs="IRNazanin"/>
          <w:lang w:bidi="fa-IR"/>
          <w:color w:val="111111"/>
          <w:sz w:val="28"/>
          <w:szCs w:val="28"/>
          <w:rtl/>
        </w:rPr>
        <w:t xml:space="preserve">و هو الخواجة أبو الفتح خان حاکم بلدة گورگهه‏پور، من قبل عالمگیر پادشاه. تلمذ علی محمد طاهر غنی الکشمیری و محمد أفضل الله‏آبادی. أورد شعره فی (گلشن- ص 109 و 301).</w:t>
      </w:r>
    </w:p>
    <w:p>
      <w:pPr>
        <w:pStyle w:val="Heading3"/>
      </w:pPr>
      <w:bookmarkStart w:id="2884" w:name="_Toc1580"/>
      <w:r>
        <w:t>1275- دیوان جنونی أردبیلی‏</w:t>
      </w:r>
      <w:bookmarkEnd w:id="2884"/>
    </w:p>
    <w:p>
      <w:pPr>
        <w:pStyle w:val="BookText"/>
      </w:pPr>
      <w:r>
        <w:rPr>
          <w:rFonts w:ascii="IRNazanin" w:hAnsi="IRNazanin" w:eastAsia="IRNazanin" w:cs="IRNazanin"/>
          <w:lang w:bidi="fa-IR"/>
          <w:color w:val="111111"/>
          <w:sz w:val="28"/>
          <w:szCs w:val="28"/>
          <w:rtl/>
        </w:rPr>
        <w:t xml:space="preserve">فارسی للشاعر الأدیب جنونی نزیل أردبیل فی (1107) کما یظهر من شعره. توجد دیوانه المشتمل علی الغزل و الترجیع و القصائد و الرباعیات فی (3254 بیت) فی (156 ص) منضما إلی جنگ‏نامه‏</w:t>
      </w:r>
      <w:r>
        <w:rPr>
          <w:rStyle w:val="FootnoteReference"/>
        </w:rPr>
        <w:footnoteReference w:id="18"/>
      </w:r>
      <w:r>
        <w:rPr>
          <w:rFonts w:ascii="Amiri" w:hAnsi="Amiri" w:eastAsia="Amiri" w:cs="Amiri"/>
          <w:lang w:bidi="ar-SA"/>
          <w:color w:val="111111"/>
          <w:sz w:val="28"/>
          <w:szCs w:val="28"/>
          <w:rtl/>
        </w:rPr>
        <w:t xml:space="preserve">المنظومة ).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204" w:name="pg11704_121683"/>
    <w:bookmarkEnd w:id="204"/>
    <w:p>
      <w:pPr>
        <w:pStyle w:val="BookText"/>
      </w:pPr>
      <w:r>
        <w:rPr>
          <w:rFonts w:ascii="IRNazanin" w:hAnsi="IRNazanin" w:eastAsia="IRNazanin" w:cs="IRNazanin"/>
          <w:lang w:bidi="fa-IR"/>
          <w:color w:val="111111"/>
          <w:sz w:val="28"/>
          <w:szCs w:val="28"/>
          <w:rtl/>
        </w:rPr>
        <w:t xml:space="preserve">الترکیة فی مکتبة (سلطان القرائی) أوله:</w:t>
      </w:r>
    </w:p>
    <w:p>
      <w:pPr>
        <w:pStyle w:val="BookText"/>
      </w:pPr>
      <w:r>
        <w:rPr>
          <w:rFonts w:ascii="IRNazanin" w:hAnsi="IRNazanin" w:eastAsia="IRNazanin" w:cs="IRNazanin"/>
          <w:lang w:bidi="fa-IR"/>
          <w:color w:val="111111"/>
          <w:sz w:val="28"/>
          <w:szCs w:val="28"/>
          <w:rtl/>
        </w:rPr>
        <w:t xml:space="preserve">چه از خلوت به صحرا جلوه‏گر شد حسن بی‏پروا</w:t>
      </w:r>
    </w:p>
    <w:p>
      <w:pPr>
        <w:pStyle w:val="BookText"/>
      </w:pPr>
      <w:r>
        <w:rPr>
          <w:rFonts w:ascii="IRNazanin" w:hAnsi="IRNazanin" w:eastAsia="IRNazanin" w:cs="IRNazanin"/>
          <w:lang w:bidi="fa-IR"/>
          <w:color w:val="111111"/>
          <w:sz w:val="28"/>
          <w:szCs w:val="28"/>
          <w:rtl/>
        </w:rPr>
        <w:t xml:space="preserve">بسر هر ذره را سودای شور و عشق شد پیدا</w:t>
      </w:r>
    </w:p>
    <w:p>
      <w:pPr>
        <w:pStyle w:val="BookText"/>
      </w:pPr>
      <w:r>
        <w:rPr>
          <w:rFonts w:ascii="IRNazanin" w:hAnsi="IRNazanin" w:eastAsia="IRNazanin" w:cs="IRNazanin"/>
          <w:lang w:bidi="fa-IR"/>
          <w:color w:val="111111"/>
          <w:sz w:val="28"/>
          <w:szCs w:val="28"/>
          <w:rtl/>
        </w:rPr>
        <w:t xml:space="preserve">و آخره:</w:t>
      </w:r>
    </w:p>
    <w:p>
      <w:pPr>
        <w:pStyle w:val="BookText"/>
      </w:pPr>
      <w:r>
        <w:rPr>
          <w:rFonts w:ascii="IRNazanin" w:hAnsi="IRNazanin" w:eastAsia="IRNazanin" w:cs="IRNazanin"/>
          <w:lang w:bidi="fa-IR"/>
          <w:color w:val="111111"/>
          <w:sz w:val="28"/>
          <w:szCs w:val="28"/>
          <w:rtl/>
        </w:rPr>
        <w:t xml:space="preserve">جنونی محو روی دلستان خود چه می‏داند</w:t>
      </w:r>
    </w:p>
    <w:p>
      <w:pPr>
        <w:pStyle w:val="BookText"/>
      </w:pPr>
      <w:r>
        <w:rPr>
          <w:rFonts w:ascii="IRNazanin" w:hAnsi="IRNazanin" w:eastAsia="IRNazanin" w:cs="IRNazanin"/>
          <w:lang w:bidi="fa-IR"/>
          <w:color w:val="111111"/>
          <w:sz w:val="28"/>
          <w:szCs w:val="28"/>
          <w:rtl/>
        </w:rPr>
        <w:t xml:space="preserve">که مجنونست می‏آید برش یا می‏رود لیلی‏</w:t>
      </w:r>
    </w:p>
    <w:p>
      <w:pPr>
        <w:pStyle w:val="Heading3"/>
      </w:pPr>
      <w:bookmarkStart w:id="2885" w:name="_Toc1581"/>
      <w:r>
        <w:t>دیوان جنونی بخاری‏</w:t>
      </w:r>
      <w:bookmarkEnd w:id="2885"/>
    </w:p>
    <w:p>
      <w:pPr>
        <w:pStyle w:val="BookText"/>
      </w:pPr>
      <w:r>
        <w:rPr>
          <w:rFonts w:ascii="IRNazanin" w:hAnsi="IRNazanin" w:eastAsia="IRNazanin" w:cs="IRNazanin"/>
          <w:lang w:bidi="fa-IR"/>
          <w:color w:val="111111"/>
          <w:sz w:val="28"/>
          <w:szCs w:val="28"/>
          <w:rtl/>
        </w:rPr>
        <w:t xml:space="preserve">أورد فی (نر 15- ص 512) معماه و قال له رسالة مستقلة فی المعمی.</w:t>
      </w:r>
    </w:p>
    <w:p>
      <w:pPr>
        <w:pStyle w:val="BookText"/>
      </w:pPr>
      <w:r>
        <w:rPr>
          <w:rFonts w:ascii="IRNazanin" w:hAnsi="IRNazanin" w:eastAsia="IRNazanin" w:cs="IRNazanin"/>
          <w:lang w:bidi="fa-IR"/>
          <w:color w:val="111111"/>
          <w:sz w:val="28"/>
          <w:szCs w:val="28"/>
          <w:rtl/>
        </w:rPr>
        <w:t xml:space="preserve">و سماه فی (روشن- ص 157) بجنونی بدخشانی و قال کان ماهرا فی الصنائع البدیعة و له قصائد مصنوعة.</w:t>
      </w:r>
    </w:p>
    <w:p>
      <w:pPr>
        <w:pStyle w:val="Heading3"/>
      </w:pPr>
      <w:bookmarkStart w:id="2886" w:name="_Toc1582"/>
      <w:r>
        <w:t>1276- دیوان جنونی قندهاری أو شعره‏</w:t>
      </w:r>
      <w:bookmarkEnd w:id="2886"/>
    </w:p>
    <w:p>
      <w:pPr>
        <w:pStyle w:val="BookText"/>
      </w:pPr>
      <w:r>
        <w:rPr>
          <w:rFonts w:ascii="IRNazanin" w:hAnsi="IRNazanin" w:eastAsia="IRNazanin" w:cs="IRNazanin"/>
          <w:lang w:bidi="fa-IR"/>
          <w:color w:val="111111"/>
          <w:sz w:val="28"/>
          <w:szCs w:val="28"/>
          <w:rtl/>
        </w:rPr>
        <w:t xml:space="preserve">قال معاصره الصادقی فی (خص 8- ص 287) کان معززا عند الناس و کان یدعی العلم بالکیمیاء، و یعرف بقالی‏پوش، ثم أورد شعره.</w:t>
      </w:r>
    </w:p>
    <w:p>
      <w:pPr>
        <w:pStyle w:val="Heading3"/>
      </w:pPr>
      <w:bookmarkStart w:id="2887" w:name="_Toc1583"/>
      <w:r>
        <w:t>1277- دیوان جنونی هروی‏</w:t>
      </w:r>
      <w:bookmarkEnd w:id="2887"/>
    </w:p>
    <w:p>
      <w:pPr>
        <w:pStyle w:val="BookText"/>
      </w:pPr>
      <w:r>
        <w:rPr>
          <w:rFonts w:ascii="IRNazanin" w:hAnsi="IRNazanin" w:eastAsia="IRNazanin" w:cs="IRNazanin"/>
          <w:lang w:bidi="fa-IR"/>
          <w:color w:val="111111"/>
          <w:sz w:val="28"/>
          <w:szCs w:val="28"/>
          <w:rtl/>
        </w:rPr>
        <w:t xml:space="preserve">من شعراء الأمیر غیاث الدین سلطان حسین بن الأمیر فیروز شاه. و المعروف بذوفنون. کان هزالا هجاء. هجا الحافظ الشربتی و غیره من الشعراء. ترجمه فی (لت 7) و فی ریحانة الأدب عن القاموس الترکی و سفینة الشعراء و فی (مجن 1- ص 19 و 194).</w:t>
      </w:r>
    </w:p>
    <w:p>
      <w:pPr>
        <w:pStyle w:val="Heading3"/>
      </w:pPr>
      <w:bookmarkStart w:id="2888" w:name="_Toc1584"/>
      <w:r>
        <w:t>1278- دیوان جنونی همدانی أو شعره‏</w:t>
      </w:r>
      <w:bookmarkEnd w:id="2888"/>
    </w:p>
    <w:p>
      <w:pPr>
        <w:pStyle w:val="BookText"/>
      </w:pPr>
      <w:r>
        <w:rPr>
          <w:rFonts w:ascii="IRNazanin" w:hAnsi="IRNazanin" w:eastAsia="IRNazanin" w:cs="IRNazanin"/>
          <w:lang w:bidi="fa-IR"/>
          <w:color w:val="111111"/>
          <w:sz w:val="28"/>
          <w:szCs w:val="28"/>
          <w:rtl/>
        </w:rPr>
        <w:t xml:space="preserve">الحافظ للقرآن کان معلما للأطفال. ترجمه و أورد شعره فی (تس- ص 144) و (روشن- ص 157).</w:t>
      </w:r>
    </w:p>
    <w:p>
      <w:pPr>
        <w:pStyle w:val="Heading3"/>
      </w:pPr>
      <w:bookmarkStart w:id="2889" w:name="_Toc1585"/>
      <w:r>
        <w:t>1279- دیوان جنی أصفهانی أو شعره‏</w:t>
      </w:r>
      <w:bookmarkEnd w:id="2889"/>
    </w:p>
    <w:p>
      <w:pPr>
        <w:pStyle w:val="BookText"/>
      </w:pPr>
      <w:r>
        <w:rPr>
          <w:rFonts w:ascii="IRNazanin" w:hAnsi="IRNazanin" w:eastAsia="IRNazanin" w:cs="IRNazanin"/>
          <w:lang w:bidi="fa-IR"/>
          <w:color w:val="111111"/>
          <w:sz w:val="28"/>
          <w:szCs w:val="28"/>
          <w:rtl/>
        </w:rPr>
        <w:t xml:space="preserve">قال فی (تس 5- ص 150) هو من نوادر الدهر نظم الشعر علی لسان الطیور و الوحوش و له أشیاء غریبة.</w:t>
      </w:r>
    </w:p>
    <w:p>
      <w:pPr>
        <w:pStyle w:val="Heading3"/>
      </w:pPr>
      <w:bookmarkStart w:id="2890" w:name="_Toc1586"/>
      <w:r>
        <w:t>1280- دیوان جنی قزوینی أو شعره‏</w:t>
      </w:r>
      <w:bookmarkEnd w:id="2890"/>
    </w:p>
    <w:p>
      <w:pPr>
        <w:pStyle w:val="BookText"/>
      </w:pPr>
      <w:r>
        <w:rPr>
          <w:rFonts w:ascii="IRNazanin" w:hAnsi="IRNazanin" w:eastAsia="IRNazanin" w:cs="IRNazanin"/>
          <w:lang w:bidi="fa-IR"/>
          <w:color w:val="111111"/>
          <w:sz w:val="28"/>
          <w:szCs w:val="28"/>
          <w:rtl/>
        </w:rPr>
        <w:t xml:space="preserve">کان قصابا. ترجمه و أورد شعره فی (تس 5- ص 174).</w:t>
      </w:r>
    </w:p>
    <w:p>
      <w:pPr>
        <w:pStyle w:val="Heading3"/>
      </w:pPr>
      <w:bookmarkStart w:id="2891" w:name="_Toc1587"/>
      <w:r>
        <w:t>1281- دیوان جنید شیرازی‏</w:t>
      </w:r>
      <w:bookmarkEnd w:id="2891"/>
    </w:p>
    <w:p>
      <w:pPr>
        <w:pStyle w:val="BookText"/>
      </w:pPr>
      <w:r>
        <w:rPr>
          <w:rFonts w:ascii="IRNazanin" w:hAnsi="IRNazanin" w:eastAsia="IRNazanin" w:cs="IRNazanin"/>
          <w:lang w:bidi="fa-IR"/>
          <w:color w:val="111111"/>
          <w:sz w:val="28"/>
          <w:szCs w:val="28"/>
          <w:rtl/>
        </w:rPr>
        <w:t xml:space="preserve">و هو معین الدین أبو القاسم جنید الشیرازی مؤلف شد الإزار فی حط الأوزار عن زوار المزار من شعراء شیراز و وعاظها فی النصف الثانی من القرن الثامن. طبع دیوانه بطهران مع مقدمه لسعید النفیسی فی (1320 ش) فی (40 ص) نشره مکتبة أحمدی بشیراز.</w:t>
      </w:r>
    </w:p>
    <w:p>
      <w:pPr>
        <w:pStyle w:val="Heading3"/>
      </w:pPr>
      <w:bookmarkStart w:id="2892" w:name="_Toc1588"/>
      <w:r>
        <w:t>1282- دیوان محمد جواد البغدادی‏</w:t>
      </w:r>
      <w:bookmarkEnd w:id="2892"/>
    </w:p>
    <w:p>
      <w:pPr>
        <w:pStyle w:val="BookText"/>
      </w:pPr>
      <w:r>
        <w:rPr>
          <w:rFonts w:ascii="IRNazanin" w:hAnsi="IRNazanin" w:eastAsia="IRNazanin" w:cs="IRNazanin"/>
          <w:lang w:bidi="fa-IR"/>
          <w:color w:val="111111"/>
          <w:sz w:val="28"/>
          <w:szCs w:val="28"/>
          <w:rtl/>
        </w:rPr>
        <w:t xml:space="preserve">هو ابن عبد الرضا العواد البغدادی الفاضل الشاعر الأدیب المطارح مع السید نصر الله الحائری المدرس الشهید. رأیت نسخه منه فی الکتب التی‏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205" w:name="pg11704_121684"/>
    <w:bookmarkEnd w:id="205"/>
    <w:p>
      <w:pPr>
        <w:pStyle w:val="BookText"/>
      </w:pPr>
      <w:r>
        <w:rPr>
          <w:rFonts w:ascii="IRNazanin" w:hAnsi="IRNazanin" w:eastAsia="IRNazanin" w:cs="IRNazanin"/>
          <w:lang w:bidi="fa-IR"/>
          <w:color w:val="111111"/>
          <w:sz w:val="28"/>
          <w:szCs w:val="28"/>
          <w:rtl/>
        </w:rPr>
        <w:t xml:space="preserve">وقفها (العطار ببغداد) فیه القصائد و المقاطیع و جملة من التواریخ إلی (1142) و جواباته للسید نصر الله الحائری، کما أن جوابات السید نصر الله و مدیحه له مذکور فی دیوانه. و قد ترجمه الفاضل عصام الدین العمری الموصلی فی الروض النضر فی علماء العصر بقوله: (هذا الذی رکب جواد الأدب فذلّله و رقی هامم عطارد و انتعله) و یوجد فی النجف نسخه أخری فی مکتبة (السماوی).</w:t>
      </w:r>
    </w:p>
    <w:p>
      <w:pPr>
        <w:pStyle w:val="Heading3"/>
      </w:pPr>
      <w:bookmarkStart w:id="2893" w:name="_Toc1589"/>
      <w:r>
        <w:t>1283- دیوان الشیخ محمد الجواد الجزائری‏</w:t>
      </w:r>
      <w:bookmarkEnd w:id="2893"/>
    </w:p>
    <w:p>
      <w:pPr>
        <w:pStyle w:val="BookText"/>
      </w:pPr>
      <w:r>
        <w:rPr>
          <w:rFonts w:ascii="IRNazanin" w:hAnsi="IRNazanin" w:eastAsia="IRNazanin" w:cs="IRNazanin"/>
          <w:lang w:bidi="fa-IR"/>
          <w:color w:val="111111"/>
          <w:sz w:val="28"/>
          <w:szCs w:val="28"/>
          <w:rtl/>
        </w:rPr>
        <w:t xml:space="preserve">و هو ابن الشیخ علی الجزائری صاحب حل الطلاسم المذکور فی (ج 7 ص 69) موجود عنده” المؤلف”.</w:t>
      </w:r>
    </w:p>
    <w:p>
      <w:pPr>
        <w:pStyle w:val="Heading3"/>
      </w:pPr>
      <w:bookmarkStart w:id="2894" w:name="_Toc1590"/>
      <w:r>
        <w:t>1284- دیوان السید جواد سیاه‏پوش‏</w:t>
      </w:r>
      <w:bookmarkEnd w:id="2894"/>
    </w:p>
    <w:p>
      <w:pPr>
        <w:pStyle w:val="BookText"/>
      </w:pPr>
      <w:r>
        <w:rPr>
          <w:rFonts w:ascii="IRNazanin" w:hAnsi="IRNazanin" w:eastAsia="IRNazanin" w:cs="IRNazanin"/>
          <w:lang w:bidi="fa-IR"/>
          <w:color w:val="111111"/>
          <w:sz w:val="28"/>
          <w:szCs w:val="28"/>
          <w:rtl/>
        </w:rPr>
        <w:t xml:space="preserve">و هو ابن السید محمد الزینی بن أحمد بن زین الدین الحسنی الحسینی السجاعی البغدادی. ذکر نسبه فیما کتبه من تملکه لإیضاح فضل بن شاذان فی (1229) و توفی هو (1247) و والده السید محمد الزینی کان معاصرا لسیدنا بحر العلوم و توفی (1216) و رثاه ولده بقصیدة فی دیوانه هذا و تاریخه (محمد غاب عنا) رأیت نسخه منه فی کربلاء عند السید عیسی البزاز السندی و مر له دوحة الأنوار فی الرائق من الأشعار.</w:t>
      </w:r>
    </w:p>
    <w:p>
      <w:pPr>
        <w:pStyle w:val="Heading3"/>
      </w:pPr>
      <w:bookmarkStart w:id="2895" w:name="_Toc1591"/>
      <w:r>
        <w:t>1285- دیوان السید جواد اللاریجانی أو شعره‏</w:t>
      </w:r>
      <w:bookmarkEnd w:id="2895"/>
    </w:p>
    <w:p>
      <w:pPr>
        <w:pStyle w:val="BookText"/>
      </w:pPr>
      <w:r>
        <w:rPr>
          <w:rFonts w:ascii="IRNazanin" w:hAnsi="IRNazanin" w:eastAsia="IRNazanin" w:cs="IRNazanin"/>
          <w:lang w:bidi="fa-IR"/>
          <w:color w:val="111111"/>
          <w:sz w:val="28"/>
          <w:szCs w:val="28"/>
          <w:rtl/>
        </w:rPr>
        <w:t xml:space="preserve">کان من أصدقاء الشیخ هلال الدین إسماعیل الخوئی نزیل النجف. سافر إلی خراسان و رجع فی (1311) توجد شعره فی مجموعة بخطه عند الشیخ محمد علی الیعقوبی الخطیب فی النجف.</w:t>
      </w:r>
    </w:p>
    <w:p>
      <w:pPr>
        <w:pStyle w:val="Heading3"/>
      </w:pPr>
      <w:bookmarkStart w:id="2896" w:name="_Toc1592"/>
      <w:r>
        <w:t>دیوان الشیخ جواد المحولاتی‏</w:t>
      </w:r>
      <w:bookmarkEnd w:id="2896"/>
    </w:p>
    <w:p>
      <w:pPr>
        <w:pStyle w:val="BookText"/>
      </w:pPr>
      <w:r>
        <w:rPr>
          <w:rFonts w:ascii="IRNazanin" w:hAnsi="IRNazanin" w:eastAsia="IRNazanin" w:cs="IRNazanin"/>
          <w:lang w:bidi="fa-IR"/>
          <w:color w:val="111111"/>
          <w:sz w:val="28"/>
          <w:szCs w:val="28"/>
          <w:rtl/>
        </w:rPr>
        <w:t xml:space="preserve">یأتی بعنوان دیوان المحولاتی.</w:t>
      </w:r>
    </w:p>
    <w:p>
      <w:pPr>
        <w:pStyle w:val="Heading3"/>
      </w:pPr>
      <w:bookmarkStart w:id="2897" w:name="_Toc1593"/>
      <w:r>
        <w:t>1286- دیوان الشیخ جواد الهرملی أو شعره‏</w:t>
      </w:r>
      <w:bookmarkEnd w:id="2897"/>
    </w:p>
    <w:p>
      <w:pPr>
        <w:pStyle w:val="BookText"/>
      </w:pPr>
      <w:r>
        <w:rPr>
          <w:rFonts w:ascii="IRNazanin" w:hAnsi="IRNazanin" w:eastAsia="IRNazanin" w:cs="IRNazanin"/>
          <w:lang w:bidi="fa-IR"/>
          <w:color w:val="111111"/>
          <w:sz w:val="28"/>
          <w:szCs w:val="28"/>
          <w:rtl/>
        </w:rPr>
        <w:t xml:space="preserve">و هو ابن الشیخ موسی بن الشیخ حسین محفوظ العاملی الهرملی المعاصر المولود (1281) و المتوفی بهرمل (1358) له أرجوزة فی النحو فی ثلاثمائة بیت عند حفیده الحسین بن علی بن جواد محفوظ صاحب الدواوین المذکورة بعناوینها الخاصة</w:t>
      </w:r>
    </w:p>
    <w:p>
      <w:pPr>
        <w:pStyle w:val="Heading3"/>
      </w:pPr>
      <w:bookmarkStart w:id="2898" w:name="_Toc1594"/>
      <w:r>
        <w:t>دیوان السید جواد الهندی‏</w:t>
      </w:r>
      <w:bookmarkEnd w:id="2898"/>
    </w:p>
    <w:p>
      <w:pPr>
        <w:pStyle w:val="BookText"/>
      </w:pPr>
      <w:r>
        <w:rPr>
          <w:rFonts w:ascii="IRNazanin" w:hAnsi="IRNazanin" w:eastAsia="IRNazanin" w:cs="IRNazanin"/>
          <w:lang w:bidi="fa-IR"/>
          <w:color w:val="111111"/>
          <w:sz w:val="28"/>
          <w:szCs w:val="28"/>
          <w:rtl/>
        </w:rPr>
        <w:t xml:space="preserve">الحائری الخطیب بکربلاء تشتمل علی قصائد منها فی رثاء المولی أبی الحسن المازندرانی المتوفی (1306)</w:t>
      </w:r>
    </w:p>
    <w:p>
      <w:pPr>
        <w:pStyle w:val="Heading3"/>
      </w:pPr>
      <w:bookmarkStart w:id="2899" w:name="_Toc1595"/>
      <w:r>
        <w:t>دیوان جواهر رقم‏</w:t>
      </w:r>
      <w:bookmarkEnd w:id="2899"/>
    </w:p>
    <w:p>
      <w:pPr>
        <w:pStyle w:val="BookText"/>
      </w:pPr>
      <w:r>
        <w:rPr>
          <w:rFonts w:ascii="IRNazanin" w:hAnsi="IRNazanin" w:eastAsia="IRNazanin" w:cs="IRNazanin"/>
          <w:lang w:bidi="fa-IR"/>
          <w:color w:val="111111"/>
          <w:sz w:val="28"/>
          <w:szCs w:val="28"/>
          <w:rtl/>
        </w:rPr>
        <w:t xml:space="preserve">یأتی بتخلصه سید</w:t>
      </w:r>
    </w:p>
    <w:p>
      <w:pPr>
        <w:pStyle w:val="Heading3"/>
      </w:pPr>
      <w:bookmarkStart w:id="2900" w:name="_Toc1596"/>
      <w:r>
        <w:t>دیوان جواهر الأسرار</w:t>
      </w:r>
      <w:bookmarkEnd w:id="2900"/>
    </w:p>
    <w:p>
      <w:pPr>
        <w:pStyle w:val="BookText"/>
      </w:pPr>
      <w:r>
        <w:rPr>
          <w:rFonts w:ascii="IRNazanin" w:hAnsi="IRNazanin" w:eastAsia="IRNazanin" w:cs="IRNazanin"/>
          <w:lang w:bidi="fa-IR"/>
          <w:color w:val="111111"/>
          <w:sz w:val="28"/>
          <w:szCs w:val="28"/>
          <w:rtl/>
        </w:rPr>
        <w:t xml:space="preserve">مر بعنوان خزائن الأشعار لعباس الجوهری المتخلص بذاکر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206" w:name="pg11704_121685"/>
    <w:bookmarkEnd w:id="206"/>
    <w:p>
      <w:pPr>
        <w:pStyle w:val="BookText"/>
      </w:pPr>
      <w:r>
        <w:rPr>
          <w:rFonts w:ascii="IRNazanin" w:hAnsi="IRNazanin" w:eastAsia="IRNazanin" w:cs="IRNazanin"/>
          <w:lang w:bidi="fa-IR"/>
          <w:color w:val="111111"/>
          <w:sz w:val="28"/>
          <w:szCs w:val="28"/>
          <w:rtl/>
        </w:rPr>
        <w:t xml:space="preserve">و یأتی دیوان ذاکر</w:t>
      </w:r>
    </w:p>
    <w:p>
      <w:pPr>
        <w:pStyle w:val="Heading3"/>
      </w:pPr>
      <w:bookmarkStart w:id="2901" w:name="_Toc1597"/>
      <w:r>
        <w:t>1287- دیوان الجواهری‏</w:t>
      </w:r>
      <w:bookmarkEnd w:id="2901"/>
    </w:p>
    <w:p>
      <w:pPr>
        <w:pStyle w:val="BookText"/>
      </w:pPr>
      <w:r>
        <w:rPr>
          <w:rFonts w:ascii="IRNazanin" w:hAnsi="IRNazanin" w:eastAsia="IRNazanin" w:cs="IRNazanin"/>
          <w:lang w:bidi="fa-IR"/>
          <w:color w:val="111111"/>
          <w:sz w:val="28"/>
          <w:szCs w:val="28"/>
          <w:rtl/>
        </w:rPr>
        <w:t xml:space="preserve">للشیخ محمد مهدی بن الشیخ عبد الحسین بن الشیخ عبد علی بن صاحب الجواهر، الشاعر الشعبی المعاصر طبع بمطبعة الغری فی النجف و له حلیة الأدب المطبوع ببغداد کما مر فی (ج 7- ص 62)</w:t>
      </w:r>
    </w:p>
    <w:p>
      <w:pPr>
        <w:pStyle w:val="Heading3"/>
      </w:pPr>
      <w:bookmarkStart w:id="2902" w:name="_Toc1598"/>
      <w:r>
        <w:t>دیوان الجویباری أو شعره‏</w:t>
      </w:r>
      <w:bookmarkEnd w:id="2902"/>
    </w:p>
    <w:p>
      <w:pPr>
        <w:pStyle w:val="BookText"/>
      </w:pPr>
      <w:r>
        <w:rPr>
          <w:rFonts w:ascii="IRNazanin" w:hAnsi="IRNazanin" w:eastAsia="IRNazanin" w:cs="IRNazanin"/>
          <w:lang w:bidi="fa-IR"/>
          <w:color w:val="111111"/>
          <w:sz w:val="28"/>
          <w:szCs w:val="28"/>
          <w:rtl/>
        </w:rPr>
        <w:t xml:space="preserve">أبو إسحاق محمد إبراهیم (کذا) بن محمد البخاری المتخلص بجویباری من علماء الدورة السامانیة و کان ینظم الشعر أیضا کذا فی لغت‏نامه (الألف- ص 370) أقول و لعله أبو إسحاق المروزی الفقیه المتوفی (370) أو أبو إسحاق الکسائی الشاعر المولود (341)</w:t>
      </w:r>
    </w:p>
    <w:p>
      <w:pPr>
        <w:pStyle w:val="Heading3"/>
      </w:pPr>
      <w:bookmarkStart w:id="2903" w:name="_Toc1599"/>
      <w:r>
        <w:t>دیوان جودت دهلوی أو شعره‏</w:t>
      </w:r>
      <w:bookmarkEnd w:id="2903"/>
    </w:p>
    <w:p>
      <w:pPr>
        <w:pStyle w:val="BookText"/>
      </w:pPr>
      <w:r>
        <w:rPr>
          <w:rFonts w:ascii="IRNazanin" w:hAnsi="IRNazanin" w:eastAsia="IRNazanin" w:cs="IRNazanin"/>
          <w:lang w:bidi="fa-IR"/>
          <w:color w:val="111111"/>
          <w:sz w:val="28"/>
          <w:szCs w:val="28"/>
          <w:rtl/>
        </w:rPr>
        <w:t xml:space="preserve">و اسمه المیرزا أیوب بیگ مات (1125) کما فی (تغ- ص 39)</w:t>
      </w:r>
    </w:p>
    <w:p>
      <w:pPr>
        <w:pStyle w:val="Heading3"/>
      </w:pPr>
      <w:bookmarkStart w:id="2904" w:name="_Toc1600"/>
      <w:r>
        <w:t>1288- دیوان جودی تبریزی‏</w:t>
      </w:r>
      <w:bookmarkEnd w:id="2904"/>
    </w:p>
    <w:p>
      <w:pPr>
        <w:pStyle w:val="BookText"/>
      </w:pPr>
      <w:r>
        <w:rPr>
          <w:rFonts w:ascii="IRNazanin" w:hAnsi="IRNazanin" w:eastAsia="IRNazanin" w:cs="IRNazanin"/>
          <w:lang w:bidi="fa-IR"/>
          <w:color w:val="111111"/>
          <w:sz w:val="28"/>
          <w:szCs w:val="28"/>
          <w:rtl/>
        </w:rPr>
        <w:t xml:space="preserve">فی المراثی بالترکیة للشاعر الراثی للحسین علیه السلام  ملا ستار التبریزی المتخلص بجودی حکاه فی (دجا- ص 100) عن حدیقة الشعراء تألیف علی شاه المتخلص بأسرار و المولود (1265) المذکور دیوانه‏</w:t>
      </w:r>
    </w:p>
    <w:p>
      <w:pPr>
        <w:pStyle w:val="Heading3"/>
      </w:pPr>
      <w:bookmarkStart w:id="2905" w:name="_Toc1601"/>
      <w:r>
        <w:t>دیوان جودی تبریزی‏</w:t>
      </w:r>
      <w:bookmarkEnd w:id="2905"/>
    </w:p>
    <w:p>
      <w:pPr>
        <w:pStyle w:val="BookText"/>
      </w:pPr>
      <w:r>
        <w:rPr>
          <w:rFonts w:ascii="IRNazanin" w:hAnsi="IRNazanin" w:eastAsia="IRNazanin" w:cs="IRNazanin"/>
          <w:lang w:bidi="fa-IR"/>
          <w:color w:val="111111"/>
          <w:sz w:val="28"/>
          <w:szCs w:val="28"/>
          <w:rtl/>
        </w:rPr>
        <w:t xml:space="preserve">مر بعنوان الدر المنثور فی (8: 75) و هو فارسی مطبوع‏</w:t>
      </w:r>
    </w:p>
    <w:p>
      <w:pPr>
        <w:pStyle w:val="Heading3"/>
      </w:pPr>
      <w:bookmarkStart w:id="2906" w:name="_Toc1602"/>
      <w:r>
        <w:t>1289- دیوان جودی خراسانی‏</w:t>
      </w:r>
      <w:bookmarkEnd w:id="2906"/>
    </w:p>
    <w:p>
      <w:pPr>
        <w:pStyle w:val="BookText"/>
      </w:pPr>
      <w:r>
        <w:rPr>
          <w:rFonts w:ascii="IRNazanin" w:hAnsi="IRNazanin" w:eastAsia="IRNazanin" w:cs="IRNazanin"/>
          <w:lang w:bidi="fa-IR"/>
          <w:color w:val="111111"/>
          <w:sz w:val="28"/>
          <w:szCs w:val="28"/>
          <w:rtl/>
        </w:rPr>
        <w:t xml:space="preserve">مقتل فارسی منظوم للأدیب الشاعر الخراسانی عبد الجواد المتخلص بجودی المتوفی (1302) طبع بإیران مکررا و لثالث مرة بطهران فی (160 ص) فی (1310) و طبع فی موضوع مراثی الحسین و الأئمة علیه السلام :</w:t>
      </w:r>
    </w:p>
    <w:p>
      <w:pPr>
        <w:pStyle w:val="BookText"/>
      </w:pPr>
      <w:r>
        <w:rPr>
          <w:rFonts w:ascii="IRNazanin" w:hAnsi="IRNazanin" w:eastAsia="IRNazanin" w:cs="IRNazanin"/>
          <w:lang w:bidi="fa-IR"/>
          <w:color w:val="111111"/>
          <w:sz w:val="28"/>
          <w:szCs w:val="28"/>
          <w:rtl/>
        </w:rPr>
        <w:t xml:space="preserve">حیدر بیک 24 ص معراج‏نامه 32 ص دوازده بند محتشم 16 ص فضائل پیغمبر 16 ص بإزار شام 16 ص تعزیة سجاد 32 ص تعزیة رقیة خاتون 32 ص تعزیة فاطمة زهراء 32 ص شهادت مسلم 32 ص شهادت علی أکبر 32 ص وفات پیغمبر 32 ص شهادت قمر بنی هاشم 32 ص شهادت حر 32 ص حسن و حسین 32 ص و غیرها کما فی فهرس خاور</w:t>
      </w:r>
    </w:p>
    <w:p>
      <w:pPr>
        <w:pStyle w:val="Heading3"/>
      </w:pPr>
      <w:bookmarkStart w:id="2907" w:name="_Toc1603"/>
      <w:r>
        <w:t>1290- دیوان جوزا نطنزی‏</w:t>
      </w:r>
      <w:bookmarkEnd w:id="2907"/>
    </w:p>
    <w:p>
      <w:pPr>
        <w:pStyle w:val="BookText"/>
      </w:pPr>
      <w:r>
        <w:rPr>
          <w:rFonts w:ascii="IRNazanin" w:hAnsi="IRNazanin" w:eastAsia="IRNazanin" w:cs="IRNazanin"/>
          <w:lang w:bidi="fa-IR"/>
          <w:color w:val="111111"/>
          <w:sz w:val="28"/>
          <w:szCs w:val="28"/>
          <w:rtl/>
        </w:rPr>
        <w:t xml:space="preserve">لأبی تراب بن الحسن الحسینی من أهل قریة چشمه بنطنز بکاشان توجد نسخه منه بمکتبة (المجلس) کما فی فهرسها (ج 3- ص 250) و تشتمل النسخة علی (3500 بیت) قصائد و غزلیات و ترجیعات و رباعیات و مثنوی‏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207" w:name="pg11704_121686"/>
    <w:bookmarkEnd w:id="207"/>
    <w:p>
      <w:pPr>
        <w:pStyle w:val="BookText"/>
      </w:pPr>
      <w:r>
        <w:rPr>
          <w:rFonts w:ascii="IRNazanin" w:hAnsi="IRNazanin" w:eastAsia="IRNazanin" w:cs="IRNazanin"/>
          <w:lang w:bidi="fa-IR"/>
          <w:color w:val="111111"/>
          <w:sz w:val="28"/>
          <w:szCs w:val="28"/>
          <w:rtl/>
        </w:rPr>
        <w:t xml:space="preserve">و یظهر منه أن له أشعارا غیرها و لکن شعره سخیف و النسخة کتبت فی (7- 1288) و لعله بخط الناظم الذی کان الدیوان بیده فی هذه السنة و توجد بمکتبة (الملک) دیوان حکیم جوزا تحت رقم (177)</w:t>
      </w:r>
    </w:p>
    <w:p>
      <w:pPr>
        <w:pStyle w:val="Heading3"/>
      </w:pPr>
      <w:bookmarkStart w:id="2908" w:name="_Toc1604"/>
      <w:r>
        <w:t>دیوان جوزیانی‏</w:t>
      </w:r>
      <w:bookmarkEnd w:id="2908"/>
    </w:p>
    <w:p>
      <w:pPr>
        <w:pStyle w:val="BookText"/>
      </w:pPr>
      <w:r>
        <w:rPr>
          <w:rFonts w:ascii="IRNazanin" w:hAnsi="IRNazanin" w:eastAsia="IRNazanin" w:cs="IRNazanin"/>
          <w:lang w:bidi="fa-IR"/>
          <w:color w:val="111111"/>
          <w:sz w:val="28"/>
          <w:szCs w:val="28"/>
          <w:rtl/>
        </w:rPr>
        <w:t xml:space="preserve">یأتی بعنوان رستم جوزیانی‏</w:t>
      </w:r>
    </w:p>
    <w:p>
      <w:pPr>
        <w:pStyle w:val="Heading3"/>
      </w:pPr>
      <w:bookmarkStart w:id="2909" w:name="_Toc1605"/>
      <w:r>
        <w:t>دیوان جوشقانی‏</w:t>
      </w:r>
      <w:bookmarkEnd w:id="2909"/>
    </w:p>
    <w:p>
      <w:pPr>
        <w:pStyle w:val="BookText"/>
      </w:pPr>
      <w:r>
        <w:rPr>
          <w:rFonts w:ascii="IRNazanin" w:hAnsi="IRNazanin" w:eastAsia="IRNazanin" w:cs="IRNazanin"/>
          <w:lang w:bidi="fa-IR"/>
          <w:color w:val="111111"/>
          <w:sz w:val="28"/>
          <w:szCs w:val="28"/>
          <w:rtl/>
        </w:rPr>
        <w:t xml:space="preserve">له وامق و عذراء فی مکتبة (الملک) و یأتی بعنوان دیوان فرقتی کاشانی‏</w:t>
      </w:r>
    </w:p>
    <w:p>
      <w:pPr>
        <w:pStyle w:val="Heading3"/>
      </w:pPr>
      <w:bookmarkStart w:id="2910" w:name="_Toc1606"/>
      <w:r>
        <w:t>1291- دیوان جولان سنامی أو شعره‏</w:t>
      </w:r>
      <w:bookmarkEnd w:id="2910"/>
    </w:p>
    <w:p>
      <w:pPr>
        <w:pStyle w:val="BookText"/>
      </w:pPr>
      <w:r>
        <w:rPr>
          <w:rFonts w:ascii="IRNazanin" w:hAnsi="IRNazanin" w:eastAsia="IRNazanin" w:cs="IRNazanin"/>
          <w:lang w:bidi="fa-IR"/>
          <w:color w:val="111111"/>
          <w:sz w:val="28"/>
          <w:szCs w:val="28"/>
          <w:rtl/>
        </w:rPr>
        <w:t xml:space="preserve">و اسمه المیر سید علی السنامی من أعمال سرهند تلمذ فی شاه جهان‏آباد أورد شعره فی (گلشن- ص 109)</w:t>
      </w:r>
    </w:p>
    <w:p>
      <w:pPr>
        <w:pStyle w:val="Heading3"/>
      </w:pPr>
      <w:bookmarkStart w:id="2911" w:name="_Toc1607"/>
      <w:r>
        <w:t>دیوان جوهری بخاری‏</w:t>
      </w:r>
      <w:bookmarkEnd w:id="2911"/>
    </w:p>
    <w:p>
      <w:pPr>
        <w:pStyle w:val="BookText"/>
      </w:pPr>
      <w:r>
        <w:rPr>
          <w:rFonts w:ascii="IRNazanin" w:hAnsi="IRNazanin" w:eastAsia="IRNazanin" w:cs="IRNazanin"/>
          <w:lang w:bidi="fa-IR"/>
          <w:color w:val="111111"/>
          <w:sz w:val="28"/>
          <w:szCs w:val="28"/>
          <w:rtl/>
        </w:rPr>
        <w:t xml:space="preserve">یأتی بعنوان جوهری زرگر</w:t>
      </w:r>
    </w:p>
    <w:p>
      <w:pPr>
        <w:pStyle w:val="Heading3"/>
      </w:pPr>
      <w:bookmarkStart w:id="2912" w:name="_Toc1608"/>
      <w:r>
        <w:t>1292- دیوان جوهری البغدادی أو شعره‏</w:t>
      </w:r>
      <w:bookmarkEnd w:id="2912"/>
    </w:p>
    <w:p>
      <w:pPr>
        <w:pStyle w:val="BookText"/>
      </w:pPr>
      <w:r>
        <w:rPr>
          <w:rFonts w:ascii="IRNazanin" w:hAnsi="IRNazanin" w:eastAsia="IRNazanin" w:cs="IRNazanin"/>
          <w:lang w:bidi="fa-IR"/>
          <w:color w:val="111111"/>
          <w:sz w:val="28"/>
          <w:szCs w:val="28"/>
          <w:rtl/>
        </w:rPr>
        <w:t xml:space="preserve">و هو السید حسنی البغدادی، ترجمه و أورد شعره فی گلشن شعراء لعهدی بغدادی المتوفی (1002) و شعره فی المآسی و البکاء کذا فی العراق بین الاحتلالین ج 4- ص 136 و 150</w:t>
      </w:r>
    </w:p>
    <w:p>
      <w:pPr>
        <w:pStyle w:val="Heading3"/>
      </w:pPr>
      <w:bookmarkStart w:id="2913" w:name="_Toc1609"/>
      <w:r>
        <w:t>1293- دیوان جوهری تبریزی أو شعره‏</w:t>
      </w:r>
      <w:bookmarkEnd w:id="2913"/>
    </w:p>
    <w:p>
      <w:pPr>
        <w:pStyle w:val="BookText"/>
      </w:pPr>
      <w:r>
        <w:rPr>
          <w:rFonts w:ascii="IRNazanin" w:hAnsi="IRNazanin" w:eastAsia="IRNazanin" w:cs="IRNazanin"/>
          <w:lang w:bidi="fa-IR"/>
          <w:color w:val="111111"/>
          <w:sz w:val="28"/>
          <w:szCs w:val="28"/>
          <w:rtl/>
        </w:rPr>
        <w:t xml:space="preserve">و هو المیرزا مقیم بن المیرزا علی زرگر (الصیاغ) من شعراء تبارزه عباس‏آباد بأصفهان فی القرن الحادی عشر و بعد فوت والده لم یصبر علی صنعته (الصیاغة) و اشتغل بالتجارة و سافر عدة مرات إلی الهند، و لطلاقة لسانه و طراوة شعره تقرب عند أمرائها و رجع و مات بأصفهان ترجمه معاصره فی (نر 5- ص 136) و أورد مدیحه لحسن خان حاکم هرات و ذمه لفرس کان للشاعر نفسه و کذا فی (تش- ص 28) و (گلشن- ص 110) و (دجا- ص 100) عن تذکره خوش‏گو و قد خلط فی ریحانة الأدب بینه و بین جوهری زرگر البخاری من شعراء القرن السادس‏</w:t>
      </w:r>
    </w:p>
    <w:p>
      <w:pPr>
        <w:pStyle w:val="Heading3"/>
      </w:pPr>
      <w:bookmarkStart w:id="2914" w:name="_Toc1610"/>
      <w:r>
        <w:t>1294- دیوان الجوهری الجرجانی أو شعره‏</w:t>
      </w:r>
      <w:bookmarkEnd w:id="2914"/>
    </w:p>
    <w:p>
      <w:pPr>
        <w:pStyle w:val="BookText"/>
      </w:pPr>
      <w:r>
        <w:rPr>
          <w:rFonts w:ascii="IRNazanin" w:hAnsi="IRNazanin" w:eastAsia="IRNazanin" w:cs="IRNazanin"/>
          <w:lang w:bidi="fa-IR"/>
          <w:color w:val="111111"/>
          <w:sz w:val="28"/>
          <w:szCs w:val="28"/>
          <w:rtl/>
        </w:rPr>
        <w:t xml:space="preserve">و هو الأدیب الماهر المشهور، أبو الحسن علی بن أحمد الجرجانی صاحب القصائد الکثیرة الفاخرة فی مناقب أهل البیت و مصائب شهدائهم ترجمه کذلک فی الروضات (ص 111) نقلا عن الریاض و قال سنگلاخ فی امتحان الفضلاء (ج 1- ص 292) إنه رأی دیوان قصائد الحکیم جوهری بخط إبراهیم بن المیر عماد الخطاط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208" w:name="pg11704_121687"/>
    <w:bookmarkEnd w:id="208"/>
    <w:p>
      <w:pPr>
        <w:pStyle w:val="Heading3"/>
      </w:pPr>
      <w:bookmarkStart w:id="2915" w:name="_Toc1611"/>
      <w:r>
        <w:t>دیوان جوهری حسینی‏</w:t>
      </w:r>
      <w:bookmarkEnd w:id="2915"/>
    </w:p>
    <w:p>
      <w:pPr>
        <w:pStyle w:val="BookText"/>
      </w:pPr>
      <w:r>
        <w:rPr>
          <w:rFonts w:ascii="IRNazanin" w:hAnsi="IRNazanin" w:eastAsia="IRNazanin" w:cs="IRNazanin"/>
          <w:lang w:bidi="fa-IR"/>
          <w:color w:val="111111"/>
          <w:sz w:val="28"/>
          <w:szCs w:val="28"/>
          <w:rtl/>
        </w:rPr>
        <w:t xml:space="preserve">راجع دیوان ذاکر</w:t>
      </w:r>
    </w:p>
    <w:p>
      <w:pPr>
        <w:pStyle w:val="Heading3"/>
      </w:pPr>
      <w:bookmarkStart w:id="2916" w:name="_Toc1612"/>
      <w:r>
        <w:t>1295- دیوان جوهری زرگر</w:t>
      </w:r>
      <w:bookmarkEnd w:id="2916"/>
    </w:p>
    <w:p>
      <w:pPr>
        <w:pStyle w:val="BookText"/>
      </w:pPr>
      <w:r>
        <w:rPr>
          <w:rFonts w:ascii="IRNazanin" w:hAnsi="IRNazanin" w:eastAsia="IRNazanin" w:cs="IRNazanin"/>
          <w:lang w:bidi="fa-IR"/>
          <w:color w:val="111111"/>
          <w:sz w:val="28"/>
          <w:szCs w:val="28"/>
          <w:rtl/>
        </w:rPr>
        <w:t xml:space="preserve">البخارائی الأصل سکن مدة بأصفهان و کان مثریا یعطی الشعراء تلمذ علی الأدیب صابر المتوفی (546) و کان معاصرا لأثیر الدین الأخسیکتی و له قصائد فی مدح مغیث الدین سلیمان شاه بن محمد بن ملک شاه و له نظم قصة أحمد و مهستی و قیل إنه للنظامی لا الجوهری أورد شعره فی (لت 2) و (تش- ص 319) و قد خلط فی ریحانة الأدب بینه و بین جوهری المیرزا مقیم التبریزی‏</w:t>
      </w:r>
    </w:p>
    <w:p>
      <w:pPr>
        <w:pStyle w:val="Heading3"/>
      </w:pPr>
      <w:bookmarkStart w:id="2917" w:name="_Toc1613"/>
      <w:r>
        <w:t>دیوان جوهری زرگر</w:t>
      </w:r>
      <w:bookmarkEnd w:id="2917"/>
    </w:p>
    <w:p>
      <w:pPr>
        <w:pStyle w:val="BookText"/>
      </w:pPr>
      <w:r>
        <w:rPr>
          <w:rFonts w:ascii="IRNazanin" w:hAnsi="IRNazanin" w:eastAsia="IRNazanin" w:cs="IRNazanin"/>
          <w:lang w:bidi="fa-IR"/>
          <w:color w:val="111111"/>
          <w:sz w:val="28"/>
          <w:szCs w:val="28"/>
          <w:rtl/>
        </w:rPr>
        <w:t xml:space="preserve">راجع دیوان جوهری تبریزی‏</w:t>
      </w:r>
    </w:p>
    <w:p>
      <w:pPr>
        <w:pStyle w:val="Heading3"/>
      </w:pPr>
      <w:bookmarkStart w:id="2918" w:name="_Toc1614"/>
      <w:r>
        <w:t>1296- دیوان جوهری سمرقندی‏</w:t>
      </w:r>
      <w:bookmarkEnd w:id="2918"/>
    </w:p>
    <w:p>
      <w:pPr>
        <w:pStyle w:val="BookText"/>
      </w:pPr>
      <w:r>
        <w:rPr>
          <w:rFonts w:ascii="IRNazanin" w:hAnsi="IRNazanin" w:eastAsia="IRNazanin" w:cs="IRNazanin"/>
          <w:lang w:bidi="fa-IR"/>
          <w:color w:val="111111"/>
          <w:sz w:val="28"/>
          <w:szCs w:val="28"/>
          <w:rtl/>
        </w:rPr>
        <w:t xml:space="preserve">الماهر فی العروض له نظم سیر النبی  صلی الله علیه و آله  و منها:</w:t>
      </w:r>
    </w:p>
    <w:p>
      <w:pPr>
        <w:pStyle w:val="BookText"/>
      </w:pPr>
      <w:r>
        <w:rPr>
          <w:rFonts w:ascii="IRNazanin" w:hAnsi="IRNazanin" w:eastAsia="IRNazanin" w:cs="IRNazanin"/>
          <w:lang w:bidi="fa-IR"/>
          <w:color w:val="111111"/>
          <w:sz w:val="28"/>
          <w:szCs w:val="28"/>
          <w:rtl/>
        </w:rPr>
        <w:t xml:space="preserve">فلک بسکه در موکبش تاخته‏</w:t>
      </w:r>
    </w:p>
    <w:p>
      <w:pPr>
        <w:pStyle w:val="BookText"/>
      </w:pPr>
      <w:r>
        <w:rPr>
          <w:rFonts w:ascii="IRNazanin" w:hAnsi="IRNazanin" w:eastAsia="IRNazanin" w:cs="IRNazanin"/>
          <w:lang w:bidi="fa-IR"/>
          <w:color w:val="111111"/>
          <w:sz w:val="28"/>
          <w:szCs w:val="28"/>
          <w:rtl/>
        </w:rPr>
        <w:t xml:space="preserve">بهر ماه نعلی بینداخته‏</w:t>
      </w:r>
    </w:p>
    <w:p>
      <w:pPr>
        <w:pStyle w:val="BookText"/>
      </w:pPr>
      <w:r>
        <w:rPr>
          <w:rFonts w:ascii="IRNazanin" w:hAnsi="IRNazanin" w:eastAsia="IRNazanin" w:cs="IRNazanin"/>
          <w:lang w:bidi="fa-IR"/>
          <w:color w:val="111111"/>
          <w:sz w:val="28"/>
          <w:szCs w:val="28"/>
          <w:rtl/>
        </w:rPr>
        <w:t xml:space="preserve">و قد مات و دفن بسمرقند، کما فی (مجن 2- ص 47 و 220)</w:t>
      </w:r>
    </w:p>
    <w:p>
      <w:pPr>
        <w:pStyle w:val="Heading3"/>
      </w:pPr>
      <w:bookmarkStart w:id="2919" w:name="_Toc1615"/>
      <w:r>
        <w:t>1297- دیوان الجوهری الشامی أو شعره‏</w:t>
      </w:r>
      <w:bookmarkEnd w:id="2919"/>
    </w:p>
    <w:p>
      <w:pPr>
        <w:pStyle w:val="BookText"/>
      </w:pPr>
      <w:r>
        <w:rPr>
          <w:rFonts w:ascii="IRNazanin" w:hAnsi="IRNazanin" w:eastAsia="IRNazanin" w:cs="IRNazanin"/>
          <w:lang w:bidi="fa-IR"/>
          <w:color w:val="111111"/>
          <w:sz w:val="28"/>
          <w:szCs w:val="28"/>
          <w:rtl/>
        </w:rPr>
        <w:t xml:space="preserve">و هو الأدیب محمد الجوهری أورد شعره و أطرأه فی (السلافة- ص 395)</w:t>
      </w:r>
    </w:p>
    <w:p>
      <w:pPr>
        <w:pStyle w:val="Heading3"/>
      </w:pPr>
      <w:bookmarkStart w:id="2920" w:name="_Toc1616"/>
      <w:r>
        <w:t>1298- دیوان جوهری شاه‏جهان‏آبادی أو شعره‏</w:t>
      </w:r>
      <w:bookmarkEnd w:id="2920"/>
    </w:p>
    <w:p>
      <w:pPr>
        <w:pStyle w:val="BookText"/>
      </w:pPr>
      <w:r>
        <w:rPr>
          <w:rFonts w:ascii="IRNazanin" w:hAnsi="IRNazanin" w:eastAsia="IRNazanin" w:cs="IRNazanin"/>
          <w:lang w:bidi="fa-IR"/>
          <w:color w:val="111111"/>
          <w:sz w:val="28"/>
          <w:szCs w:val="28"/>
          <w:rtl/>
        </w:rPr>
        <w:t xml:space="preserve">و اسمه محمد أمین أورد شعره فی (گلشن- ص 110)</w:t>
      </w:r>
    </w:p>
    <w:p>
      <w:pPr>
        <w:pStyle w:val="Heading3"/>
      </w:pPr>
      <w:bookmarkStart w:id="2921" w:name="_Toc1617"/>
      <w:r>
        <w:t>1299- دیوان جوهری عراقی أو شعره‏</w:t>
      </w:r>
      <w:bookmarkEnd w:id="2921"/>
    </w:p>
    <w:p>
      <w:pPr>
        <w:pStyle w:val="BookText"/>
      </w:pPr>
      <w:r>
        <w:rPr>
          <w:rFonts w:ascii="IRNazanin" w:hAnsi="IRNazanin" w:eastAsia="IRNazanin" w:cs="IRNazanin"/>
          <w:lang w:bidi="fa-IR"/>
          <w:color w:val="111111"/>
          <w:sz w:val="28"/>
          <w:szCs w:val="28"/>
          <w:rtl/>
        </w:rPr>
        <w:t xml:space="preserve">أورد شعره فی (گلشن- ص 110)</w:t>
      </w:r>
    </w:p>
    <w:p>
      <w:pPr>
        <w:pStyle w:val="Heading3"/>
      </w:pPr>
      <w:bookmarkStart w:id="2922" w:name="_Toc1618"/>
      <w:r>
        <w:t>1300- دیوان جوهری قندهاری أو شعره‏</w:t>
      </w:r>
      <w:bookmarkEnd w:id="2922"/>
    </w:p>
    <w:p>
      <w:pPr>
        <w:pStyle w:val="BookText"/>
      </w:pPr>
      <w:r>
        <w:rPr>
          <w:rFonts w:ascii="IRNazanin" w:hAnsi="IRNazanin" w:eastAsia="IRNazanin" w:cs="IRNazanin"/>
          <w:lang w:bidi="fa-IR"/>
          <w:color w:val="111111"/>
          <w:sz w:val="28"/>
          <w:szCs w:val="28"/>
          <w:rtl/>
        </w:rPr>
        <w:t xml:space="preserve">أورد شعره فی (گلشن- ص 110)</w:t>
      </w:r>
    </w:p>
    <w:p>
      <w:pPr>
        <w:pStyle w:val="Heading3"/>
      </w:pPr>
      <w:bookmarkStart w:id="2923" w:name="_Toc1619"/>
      <w:r>
        <w:t>1301- دیوان جوهری مکی أو شعره‏</w:t>
      </w:r>
      <w:bookmarkEnd w:id="2923"/>
    </w:p>
    <w:p>
      <w:pPr>
        <w:pStyle w:val="BookText"/>
      </w:pPr>
      <w:r>
        <w:rPr>
          <w:rFonts w:ascii="IRNazanin" w:hAnsi="IRNazanin" w:eastAsia="IRNazanin" w:cs="IRNazanin"/>
          <w:lang w:bidi="fa-IR"/>
          <w:color w:val="111111"/>
          <w:sz w:val="28"/>
          <w:szCs w:val="28"/>
          <w:rtl/>
        </w:rPr>
        <w:t xml:space="preserve">و هو الشیخ أحمد بن محمد علی هاجر فی أوائل شبابه إلی الهند و رجع إلی مکة بعد خمسة و عشرین سنة لکنه لم یقدر البقاء لظلم أمیرها فخرج إلی مخا ثم إلی فارس ثم نزل الهند فی (1075) و مات بها فی (1079) ترجمه و أورد شعره فی (السلافة- ص 192- 204)</w:t>
      </w:r>
    </w:p>
    <w:p>
      <w:pPr>
        <w:pStyle w:val="Heading3"/>
      </w:pPr>
      <w:bookmarkStart w:id="2924" w:name="_Toc1620"/>
      <w:r>
        <w:t>1302- دیوان جوهری هروی‏</w:t>
      </w:r>
      <w:bookmarkEnd w:id="2924"/>
    </w:p>
    <w:p>
      <w:pPr>
        <w:pStyle w:val="BookText"/>
      </w:pPr>
      <w:r>
        <w:rPr>
          <w:rFonts w:ascii="IRNazanin" w:hAnsi="IRNazanin" w:eastAsia="IRNazanin" w:cs="IRNazanin"/>
          <w:lang w:bidi="fa-IR"/>
          <w:color w:val="111111"/>
          <w:sz w:val="28"/>
          <w:szCs w:val="28"/>
          <w:rtl/>
        </w:rPr>
        <w:t xml:space="preserve">و هو المیرزا محمد باقر الهروی الأصل القزوینی المسکن الأصفهانی المدفن المتوفی نیف و أربعین و مائتین بعد الألف بأصفهان کان ماهرا فی نظم مراثی الأئمة بالفارسیة و له طوفان البکاء فی مقاتل الشهداء و غیر ذلک بالفارسیة ترجمه کذلک فی الروضات (ص 111) و هدیة الأحباب للقمی و نقل فی الریحانة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209" w:name="pg11704_121688"/>
    <w:bookmarkEnd w:id="209"/>
    <w:p>
      <w:pPr>
        <w:pStyle w:val="BookText"/>
      </w:pPr>
      <w:r>
        <w:rPr>
          <w:rFonts w:ascii="IRNazanin" w:hAnsi="IRNazanin" w:eastAsia="IRNazanin" w:cs="IRNazanin"/>
          <w:lang w:bidi="fa-IR"/>
          <w:color w:val="111111"/>
          <w:sz w:val="28"/>
          <w:szCs w:val="28"/>
          <w:rtl/>
        </w:rPr>
        <w:t xml:space="preserve">أن اسمه إبراهیم بن محمد باقر و إنه مات (1252) و دفن بگورستان آب‏بخشان من توابع بیدآباد بأصفهان و کتبت علی حجر قبره:</w:t>
      </w:r>
    </w:p>
    <w:p>
      <w:pPr>
        <w:pStyle w:val="BookText"/>
      </w:pPr>
      <w:r>
        <w:rPr>
          <w:rFonts w:ascii="IRNazanin" w:hAnsi="IRNazanin" w:eastAsia="IRNazanin" w:cs="IRNazanin"/>
          <w:lang w:bidi="fa-IR"/>
          <w:color w:val="111111"/>
          <w:sz w:val="28"/>
          <w:szCs w:val="28"/>
          <w:rtl/>
        </w:rPr>
        <w:t xml:space="preserve">همچو إبراهیم مردی کز عرض در روزگار</w:t>
      </w:r>
    </w:p>
    <w:p>
      <w:pPr>
        <w:pStyle w:val="BookText"/>
      </w:pPr>
      <w:r>
        <w:rPr>
          <w:rFonts w:ascii="IRNazanin" w:hAnsi="IRNazanin" w:eastAsia="IRNazanin" w:cs="IRNazanin"/>
          <w:lang w:bidi="fa-IR"/>
          <w:color w:val="111111"/>
          <w:sz w:val="28"/>
          <w:szCs w:val="28"/>
          <w:rtl/>
        </w:rPr>
        <w:t xml:space="preserve">شد مجرد گوهر ذاتش که آمد جوهری‏</w:t>
      </w:r>
    </w:p>
    <w:p>
      <w:pPr>
        <w:pStyle w:val="BookText"/>
      </w:pPr>
      <w:r>
        <w:rPr>
          <w:rFonts w:ascii="IRNazanin" w:hAnsi="IRNazanin" w:eastAsia="IRNazanin" w:cs="IRNazanin"/>
          <w:lang w:bidi="fa-IR"/>
          <w:color w:val="111111"/>
          <w:sz w:val="28"/>
          <w:szCs w:val="28"/>
          <w:rtl/>
        </w:rPr>
        <w:t xml:space="preserve">أصل دانش شاخ حکمت باد فضل و معرفت‏</w:t>
      </w:r>
    </w:p>
    <w:p>
      <w:pPr>
        <w:pStyle w:val="BookText"/>
      </w:pPr>
      <w:r>
        <w:rPr>
          <w:rFonts w:ascii="IRNazanin" w:hAnsi="IRNazanin" w:eastAsia="IRNazanin" w:cs="IRNazanin"/>
          <w:lang w:bidi="fa-IR"/>
          <w:color w:val="111111"/>
          <w:sz w:val="28"/>
          <w:szCs w:val="28"/>
          <w:rtl/>
        </w:rPr>
        <w:t xml:space="preserve">بحر ذوق و کوه عشق و طبع أبر أنوری‏</w:t>
      </w:r>
    </w:p>
    <w:p>
      <w:pPr>
        <w:pStyle w:val="BookText"/>
      </w:pPr>
      <w:r>
        <w:rPr>
          <w:rFonts w:ascii="IRNazanin" w:hAnsi="IRNazanin" w:eastAsia="IRNazanin" w:cs="IRNazanin"/>
          <w:lang w:bidi="fa-IR"/>
          <w:color w:val="111111"/>
          <w:sz w:val="28"/>
          <w:szCs w:val="28"/>
          <w:rtl/>
        </w:rPr>
        <w:t xml:space="preserve">عنصری عنصر نظامی نظم و فردوسی مقام‏</w:t>
      </w:r>
    </w:p>
    <w:p>
      <w:pPr>
        <w:pStyle w:val="BookText"/>
      </w:pPr>
      <w:r>
        <w:rPr>
          <w:rFonts w:ascii="IRNazanin" w:hAnsi="IRNazanin" w:eastAsia="IRNazanin" w:cs="IRNazanin"/>
          <w:lang w:bidi="fa-IR"/>
          <w:color w:val="111111"/>
          <w:sz w:val="28"/>
          <w:szCs w:val="28"/>
          <w:rtl/>
        </w:rPr>
        <w:t xml:space="preserve">حافظی مشرب ظهیری طبع و چاکر أنوری‏</w:t>
      </w:r>
    </w:p>
    <w:p>
      <w:pPr>
        <w:pStyle w:val="Heading3"/>
      </w:pPr>
      <w:bookmarkStart w:id="2925" w:name="_Toc1621"/>
      <w:r>
        <w:t>1303- دیوان جویا تبریزی‏</w:t>
      </w:r>
      <w:bookmarkEnd w:id="2925"/>
    </w:p>
    <w:p>
      <w:pPr>
        <w:pStyle w:val="BookText"/>
      </w:pPr>
      <w:r>
        <w:rPr>
          <w:rFonts w:ascii="IRNazanin" w:hAnsi="IRNazanin" w:eastAsia="IRNazanin" w:cs="IRNazanin"/>
          <w:lang w:bidi="fa-IR"/>
          <w:color w:val="111111"/>
          <w:sz w:val="28"/>
          <w:szCs w:val="28"/>
          <w:rtl/>
        </w:rPr>
        <w:t xml:space="preserve">و اسمه میرزا داراب بیک و أخواه کامران گویا و فتح علی تسکین أصلهم من تبریز و ولدوا فی کشمیر. کان جویا معاصرا لسالک القزوینی و طالب کلیم. قال آزاد البلگرامی إن أکثر شعراء الهند فی أوائل القرن الثانی عشر کانوا من تلامیذ جویا و منهم عبد العلی طالع و عبد العزیز قبول و ساطع.</w:t>
      </w:r>
    </w:p>
    <w:p>
      <w:pPr>
        <w:pStyle w:val="BookText"/>
      </w:pPr>
      <w:r>
        <w:rPr>
          <w:rFonts w:ascii="IRNazanin" w:hAnsi="IRNazanin" w:eastAsia="IRNazanin" w:cs="IRNazanin"/>
          <w:lang w:bidi="fa-IR"/>
          <w:color w:val="111111"/>
          <w:sz w:val="28"/>
          <w:szCs w:val="28"/>
          <w:rtl/>
        </w:rPr>
        <w:t xml:space="preserve">و دیوان جویا یشتمل علی الغزل و القصائد و الرباعیات و المقطعات و عدة مثنویات بأسماء حاتمیة و حسن معنی فی وصف کشمیر. و له أیضا مقدمه علی دیوان صائب و مقدمه علی مرقعات المیرزا هدایة الله و له أیضا عدة مرقعات و خطبة نوروزیة و مات (1118 سخن‏پرور) أورد ترجمته فی (دجا- ص 101) عن تذکره یوسف علی خان و فی ریحانة الأدب عن قاموس الأعلام الترکیة و (گلشن- ص 110) و (تغ- ص 39).</w:t>
      </w:r>
    </w:p>
    <w:p>
      <w:pPr>
        <w:pStyle w:val="Heading3"/>
      </w:pPr>
      <w:bookmarkStart w:id="2926" w:name="_Toc1622"/>
      <w:r>
        <w:t>1304- دیوان جویا سرهندی أو شعره‏</w:t>
      </w:r>
      <w:bookmarkEnd w:id="2926"/>
    </w:p>
    <w:p>
      <w:pPr>
        <w:pStyle w:val="BookText"/>
      </w:pPr>
      <w:r>
        <w:rPr>
          <w:rFonts w:ascii="IRNazanin" w:hAnsi="IRNazanin" w:eastAsia="IRNazanin" w:cs="IRNazanin"/>
          <w:lang w:bidi="fa-IR"/>
          <w:color w:val="111111"/>
          <w:sz w:val="28"/>
          <w:szCs w:val="28"/>
          <w:rtl/>
        </w:rPr>
        <w:t xml:space="preserve">و اسمه الشیخ محمد فاضل الهندی. أورد شعره فی (گلشن- ص 110).</w:t>
      </w:r>
    </w:p>
    <w:p>
      <w:pPr>
        <w:pStyle w:val="Heading3"/>
      </w:pPr>
      <w:bookmarkStart w:id="2927" w:name="_Toc1623"/>
      <w:r>
        <w:t>1305- دیوان جهان قاجار</w:t>
      </w:r>
      <w:bookmarkEnd w:id="2927"/>
    </w:p>
    <w:p>
      <w:pPr>
        <w:pStyle w:val="BookText"/>
      </w:pPr>
      <w:r>
        <w:rPr>
          <w:rFonts w:ascii="IRNazanin" w:hAnsi="IRNazanin" w:eastAsia="IRNazanin" w:cs="IRNazanin"/>
          <w:lang w:bidi="fa-IR"/>
          <w:color w:val="111111"/>
          <w:sz w:val="28"/>
          <w:szCs w:val="28"/>
          <w:rtl/>
        </w:rPr>
        <w:t xml:space="preserve">للشاه‏زاده زبیدة بنت السلطان فتح علی شاه و زوجة نصرة الملک علی خان بن رستم خان قره‏گوزلو، و والده حسین خان حسام الملک. أورد شعرها نقلا عن دیوانها فی الکنی و الألقاب للقمی و خیرات حسان و عنهما فی الریحانة.</w:t>
      </w:r>
    </w:p>
    <w:p>
      <w:pPr>
        <w:pStyle w:val="Heading3"/>
      </w:pPr>
      <w:bookmarkStart w:id="2928" w:name="_Toc1624"/>
      <w:r>
        <w:t>1306- دیوان جهان‏بخش جمهری‏</w:t>
      </w:r>
      <w:bookmarkEnd w:id="2928"/>
    </w:p>
    <w:p>
      <w:pPr>
        <w:pStyle w:val="BookText"/>
      </w:pPr>
      <w:r>
        <w:rPr>
          <w:rFonts w:ascii="IRNazanin" w:hAnsi="IRNazanin" w:eastAsia="IRNazanin" w:cs="IRNazanin"/>
          <w:lang w:bidi="fa-IR"/>
          <w:color w:val="111111"/>
          <w:sz w:val="28"/>
          <w:szCs w:val="28"/>
          <w:rtl/>
        </w:rPr>
        <w:t xml:space="preserve">طبع له کلیلة و دمنة منظوم بطهران فی (1323 ش) فی (389 ص)</w:t>
      </w:r>
    </w:p>
    <w:p>
      <w:pPr>
        <w:pStyle w:val="Heading3"/>
      </w:pPr>
      <w:bookmarkStart w:id="2929" w:name="_Toc1625"/>
      <w:r>
        <w:t>1307- دیوان دیوان جیحون یزدی‏</w:t>
      </w:r>
      <w:bookmarkEnd w:id="2929"/>
    </w:p>
    <w:p>
      <w:pPr>
        <w:pStyle w:val="BookText"/>
      </w:pPr>
      <w:r>
        <w:rPr>
          <w:rFonts w:ascii="IRNazanin" w:hAnsi="IRNazanin" w:eastAsia="IRNazanin" w:cs="IRNazanin"/>
          <w:lang w:bidi="fa-IR"/>
          <w:color w:val="111111"/>
          <w:sz w:val="28"/>
          <w:szCs w:val="28"/>
          <w:rtl/>
        </w:rPr>
        <w:t xml:space="preserve">و اسمه محمد و لقبه تاج الشعراء الیزدی.</w:t>
      </w:r>
    </w:p>
    <w:p>
      <w:pPr>
        <w:pStyle w:val="BookText"/>
      </w:pPr>
      <w:r>
        <w:rPr>
          <w:rFonts w:ascii="IRNazanin" w:hAnsi="IRNazanin" w:eastAsia="IRNazanin" w:cs="IRNazanin"/>
          <w:lang w:bidi="fa-IR"/>
          <w:color w:val="111111"/>
          <w:sz w:val="28"/>
          <w:szCs w:val="28"/>
          <w:rtl/>
        </w:rPr>
        <w:t xml:space="preserve">المتوفی 1318 طبع دیوانه بمبئی فی (1316) و أکثر قصائده فی المدائح و المراثی.</w:t>
      </w:r>
    </w:p>
    <w:p>
      <w:pPr>
        <w:pStyle w:val="BookText"/>
      </w:pPr>
      <w:r>
        <w:rPr>
          <w:rFonts w:ascii="IRNazanin" w:hAnsi="IRNazanin" w:eastAsia="IRNazanin" w:cs="IRNazanin"/>
          <w:lang w:bidi="fa-IR"/>
          <w:color w:val="111111"/>
          <w:sz w:val="28"/>
          <w:szCs w:val="28"/>
          <w:rtl/>
        </w:rPr>
        <w:t xml:space="preserve">و له نمکدان و یوجد بعض أشعاره الغیر المطبوعة عند ولده عبد اللطیف کما ترجمه فی (تش یز- ص 382) و کذا فی الکنی و الألقاب و عنه فی الریحانة و أخوه سیحون‏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210" w:name="pg11704_121689"/>
    <w:bookmarkEnd w:id="210"/>
    <w:p>
      <w:pPr>
        <w:pStyle w:val="BookText"/>
      </w:pPr>
      <w:r>
        <w:rPr>
          <w:rFonts w:ascii="IRNazanin" w:hAnsi="IRNazanin" w:eastAsia="IRNazanin" w:cs="IRNazanin"/>
          <w:lang w:bidi="fa-IR"/>
          <w:color w:val="111111"/>
          <w:sz w:val="28"/>
          <w:szCs w:val="28"/>
          <w:rtl/>
        </w:rPr>
        <w:t xml:space="preserve">طبیب ماهر بیزد.</w:t>
      </w:r>
    </w:p>
    <w:p>
      <w:pPr>
        <w:pStyle w:val="Heading3"/>
      </w:pPr>
      <w:bookmarkStart w:id="2930" w:name="_Toc1626"/>
      <w:r>
        <w:t>1308- دیوان جیشی هندی أو شعره‏</w:t>
      </w:r>
      <w:bookmarkEnd w:id="2930"/>
    </w:p>
    <w:p>
      <w:pPr>
        <w:pStyle w:val="BookText"/>
      </w:pPr>
      <w:r>
        <w:rPr>
          <w:rFonts w:ascii="IRNazanin" w:hAnsi="IRNazanin" w:eastAsia="IRNazanin" w:cs="IRNazanin"/>
          <w:lang w:bidi="fa-IR"/>
          <w:color w:val="111111"/>
          <w:sz w:val="28"/>
          <w:szCs w:val="28"/>
          <w:rtl/>
        </w:rPr>
        <w:t xml:space="preserve">و هو المیرزا عبد الرحیم تلمیذ ملا خیالی و معاصر محمد علی ماهر. أورد شعره فی (سرخوش- ص 29) و (گلشن- 112).</w:t>
      </w:r>
    </w:p>
    <w:p>
      <w:pPr>
        <w:pStyle w:val="Heading3"/>
      </w:pPr>
      <w:bookmarkStart w:id="2931" w:name="_Toc1627"/>
      <w:r>
        <w:t>1309- دیوان جیشی أو شعره‏</w:t>
      </w:r>
      <w:bookmarkEnd w:id="2931"/>
    </w:p>
    <w:p>
      <w:pPr>
        <w:pStyle w:val="BookText"/>
      </w:pPr>
      <w:r>
        <w:rPr>
          <w:rFonts w:ascii="IRNazanin" w:hAnsi="IRNazanin" w:eastAsia="IRNazanin" w:cs="IRNazanin"/>
          <w:lang w:bidi="fa-IR"/>
          <w:color w:val="111111"/>
          <w:sz w:val="28"/>
          <w:szCs w:val="28"/>
          <w:rtl/>
        </w:rPr>
        <w:t xml:space="preserve">و هو من تراکمة آذربایجان رباه السلطان یعقوب آق‏قوینلو و صار ملک الشعراء للشاه إسماعیل. کذا فی (روشن- ص 159) و تذکره یوسف علی خان و عنهما فی (دجا- ص 102) و احتمل اتحاده مع حبیبی.</w:t>
      </w:r>
    </w:p>
    <w:p>
      <w:pPr>
        <w:pStyle w:val="Heading3"/>
      </w:pPr>
      <w:bookmarkStart w:id="2932" w:name="_Toc1628"/>
      <w:r>
        <w:t>1310- دیوان جیوهندی‏</w:t>
      </w:r>
      <w:bookmarkEnd w:id="2932"/>
    </w:p>
    <w:p>
      <w:pPr>
        <w:pStyle w:val="BookText"/>
      </w:pPr>
      <w:r>
        <w:rPr>
          <w:rFonts w:ascii="IRNazanin" w:hAnsi="IRNazanin" w:eastAsia="IRNazanin" w:cs="IRNazanin"/>
          <w:lang w:bidi="fa-IR"/>
          <w:color w:val="111111"/>
          <w:sz w:val="28"/>
          <w:szCs w:val="28"/>
          <w:rtl/>
        </w:rPr>
        <w:t xml:space="preserve">و اسمه آصف خان من أمراء جهانگیر پادشاه بالهند.</w:t>
      </w:r>
    </w:p>
    <w:p>
      <w:pPr>
        <w:pStyle w:val="BookText"/>
      </w:pPr>
      <w:r>
        <w:rPr>
          <w:rFonts w:ascii="IRNazanin" w:hAnsi="IRNazanin" w:eastAsia="IRNazanin" w:cs="IRNazanin"/>
          <w:lang w:bidi="fa-IR"/>
          <w:color w:val="111111"/>
          <w:sz w:val="28"/>
          <w:szCs w:val="28"/>
          <w:rtl/>
        </w:rPr>
        <w:t xml:space="preserve">ترجمه فی (سرخوش- ص 29) و قال له دیوان و مثنوی خسرو و شیرین.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11" w:name="pg11704_121690"/>
    <w:bookmarkEnd w:id="211"/>
    <w:p>
      <w:pPr>
        <w:pStyle w:val="Heading3"/>
      </w:pPr>
      <w:bookmarkStart w:id="2933" w:name="_Toc1629"/>
      <w:r>
        <w:t>چ‏</w:t>
      </w:r>
      <w:bookmarkEnd w:id="2933"/>
    </w:p>
    <w:p>
      <w:pPr>
        <w:pStyle w:val="Heading3"/>
      </w:pPr>
      <w:bookmarkStart w:id="2934" w:name="_Toc1630"/>
      <w:r>
        <w:t>1311 دیوان چاکر أفشار أو شعره‏</w:t>
      </w:r>
      <w:bookmarkEnd w:id="2934"/>
    </w:p>
    <w:p>
      <w:pPr>
        <w:pStyle w:val="BookText"/>
      </w:pPr>
      <w:r>
        <w:rPr>
          <w:rFonts w:ascii="IRNazanin" w:hAnsi="IRNazanin" w:eastAsia="IRNazanin" w:cs="IRNazanin"/>
          <w:lang w:bidi="fa-IR"/>
          <w:color w:val="111111"/>
          <w:sz w:val="28"/>
          <w:szCs w:val="28"/>
          <w:rtl/>
        </w:rPr>
        <w:t xml:space="preserve">و اسمه حسین قلی حفید ذو الفقار خان حاکم خمسة، کان من شعراء محمد میرزا ولی العهد و شعره ترکی و فارسی. أورد الفارسی منه فی (دجا- ص 103) عن نگارستان دارا.</w:t>
      </w:r>
    </w:p>
    <w:p>
      <w:pPr>
        <w:pStyle w:val="Heading3"/>
      </w:pPr>
      <w:bookmarkStart w:id="2935" w:name="_Toc1631"/>
      <w:r>
        <w:t>1312 دیوان چاکر بروجردی أو شعره‏</w:t>
      </w:r>
      <w:bookmarkEnd w:id="2935"/>
    </w:p>
    <w:p>
      <w:pPr>
        <w:pStyle w:val="BookText"/>
      </w:pPr>
      <w:r>
        <w:rPr>
          <w:rFonts w:ascii="IRNazanin" w:hAnsi="IRNazanin" w:eastAsia="IRNazanin" w:cs="IRNazanin"/>
          <w:lang w:bidi="fa-IR"/>
          <w:color w:val="111111"/>
          <w:sz w:val="28"/>
          <w:szCs w:val="28"/>
          <w:rtl/>
        </w:rPr>
        <w:t xml:space="preserve">و اسمه المیرزا نصر الله التاجر. أورد له بهار الأصفهانی عدة قصائد فی المدائح المعتمدیة.</w:t>
      </w:r>
    </w:p>
    <w:p>
      <w:pPr>
        <w:pStyle w:val="Heading3"/>
      </w:pPr>
      <w:bookmarkStart w:id="2936" w:name="_Toc1632"/>
      <w:r>
        <w:t>1313 دیوان چاکر شاملو أو شعره‏</w:t>
      </w:r>
      <w:bookmarkEnd w:id="2936"/>
    </w:p>
    <w:p>
      <w:pPr>
        <w:pStyle w:val="BookText"/>
      </w:pPr>
      <w:r>
        <w:rPr>
          <w:rFonts w:ascii="IRNazanin" w:hAnsi="IRNazanin" w:eastAsia="IRNazanin" w:cs="IRNazanin"/>
          <w:lang w:bidi="fa-IR"/>
          <w:color w:val="111111"/>
          <w:sz w:val="28"/>
          <w:szCs w:val="28"/>
          <w:rtl/>
        </w:rPr>
        <w:t xml:space="preserve">أورد شعره فی (روشن ص 160) و قال اسمه علی مردان خان.</w:t>
      </w:r>
    </w:p>
    <w:p>
      <w:pPr>
        <w:pStyle w:val="Heading3"/>
      </w:pPr>
      <w:bookmarkStart w:id="2937" w:name="_Toc1633"/>
      <w:r>
        <w:t>1314 دیوان چاکر کاشانی أو شعره‏</w:t>
      </w:r>
      <w:bookmarkEnd w:id="2937"/>
    </w:p>
    <w:p>
      <w:pPr>
        <w:pStyle w:val="BookText"/>
      </w:pPr>
      <w:r>
        <w:rPr>
          <w:rFonts w:ascii="IRNazanin" w:hAnsi="IRNazanin" w:eastAsia="IRNazanin" w:cs="IRNazanin"/>
          <w:lang w:bidi="fa-IR"/>
          <w:color w:val="111111"/>
          <w:sz w:val="28"/>
          <w:szCs w:val="28"/>
          <w:rtl/>
        </w:rPr>
        <w:t xml:space="preserve">و اسمه السید محمد هادی ابن عم شیخ الإسلام بکاشان و ندیم یحیی میرزا برشت. و قد تصدر الموقوفات مدة بأصفهان. أورد له بهار الأصفهانی عدة قصائد فی المدائح.</w:t>
      </w:r>
    </w:p>
    <w:p>
      <w:pPr>
        <w:pStyle w:val="Heading3"/>
      </w:pPr>
      <w:bookmarkStart w:id="2938" w:name="_Toc1634"/>
      <w:r>
        <w:t>1315 دیوان چاکر مازندرانی أو شعره‏</w:t>
      </w:r>
      <w:bookmarkEnd w:id="2938"/>
    </w:p>
    <w:p>
      <w:pPr>
        <w:pStyle w:val="BookText"/>
      </w:pPr>
      <w:r>
        <w:rPr>
          <w:rFonts w:ascii="IRNazanin" w:hAnsi="IRNazanin" w:eastAsia="IRNazanin" w:cs="IRNazanin"/>
          <w:lang w:bidi="fa-IR"/>
          <w:color w:val="111111"/>
          <w:sz w:val="28"/>
          <w:szCs w:val="28"/>
          <w:rtl/>
        </w:rPr>
        <w:t xml:space="preserve">و هو محمد قاسم خان بن المیرزا حسن المازندرانی المعروف بغازی من شعراء عهد محمد شاه بمازندران. و مات هناک فی (1271). أورد شعره فی (مع 2- ص 367) بعنوان غازی و هو ابن أخت شحنة و أورد له بهار الأصفهانی عدة قصائد فی المدائح بعنوان چاکر.</w:t>
      </w:r>
    </w:p>
    <w:p>
      <w:pPr>
        <w:pStyle w:val="Heading3"/>
      </w:pPr>
      <w:bookmarkStart w:id="2939" w:name="_Toc1635"/>
      <w:r>
        <w:t>دیوان چاکر مازندرانی‏</w:t>
      </w:r>
      <w:bookmarkEnd w:id="2939"/>
    </w:p>
    <w:p>
      <w:pPr>
        <w:pStyle w:val="BookText"/>
      </w:pPr>
      <w:r>
        <w:rPr>
          <w:rFonts w:ascii="IRNazanin" w:hAnsi="IRNazanin" w:eastAsia="IRNazanin" w:cs="IRNazanin"/>
          <w:lang w:bidi="fa-IR"/>
          <w:color w:val="111111"/>
          <w:sz w:val="28"/>
          <w:szCs w:val="28"/>
          <w:rtl/>
        </w:rPr>
        <w:t xml:space="preserve">و هو رضا قلی خان هدایت فإنه قال فی مع 2- ص 581) إنه کان یتخلص أولا چاکر و دیوانه بمازندران بهذا التخلص، و لکنه بدله بهدایت و غیر تخلص غزلیاته القدیمة.</w:t>
      </w:r>
    </w:p>
    <w:p>
      <w:pPr>
        <w:pStyle w:val="Heading3"/>
      </w:pPr>
      <w:bookmarkStart w:id="2940" w:name="_Toc1636"/>
      <w:r>
        <w:t>1316 دیوان چاکری تبریزی‏</w:t>
      </w:r>
      <w:bookmarkEnd w:id="2940"/>
    </w:p>
    <w:p>
      <w:pPr>
        <w:pStyle w:val="BookText"/>
      </w:pPr>
      <w:r>
        <w:rPr>
          <w:rFonts w:ascii="IRNazanin" w:hAnsi="IRNazanin" w:eastAsia="IRNazanin" w:cs="IRNazanin"/>
          <w:lang w:bidi="fa-IR"/>
          <w:color w:val="111111"/>
          <w:sz w:val="28"/>
          <w:szCs w:val="28"/>
          <w:rtl/>
        </w:rPr>
        <w:t xml:space="preserve">حکی فی (دجا- ص 220) عن سیاحت‏نامه لأولیا چلبی العثمانی أنه کانت عدة الشعراء الفصحاء الذین لهم دواوین مدونة فی تبریز عام‏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12" w:name="pg11704_121691"/>
    <w:bookmarkEnd w:id="212"/>
    <w:p>
      <w:pPr>
        <w:pStyle w:val="BookText"/>
      </w:pPr>
      <w:r>
        <w:rPr>
          <w:rFonts w:ascii="IRNazanin" w:hAnsi="IRNazanin" w:eastAsia="IRNazanin" w:cs="IRNazanin"/>
          <w:lang w:bidi="fa-IR"/>
          <w:color w:val="111111"/>
          <w:sz w:val="28"/>
          <w:szCs w:val="28"/>
          <w:rtl/>
        </w:rPr>
        <w:t xml:space="preserve">(1050) ثمانیة و سبعین شاعرا و منهم چاکری.</w:t>
      </w:r>
    </w:p>
    <w:p>
      <w:pPr>
        <w:pStyle w:val="Heading3"/>
      </w:pPr>
      <w:bookmarkStart w:id="2941" w:name="_Toc1637"/>
      <w:r>
        <w:t>دیوان چپ نویس أو چپ دست‏</w:t>
      </w:r>
      <w:bookmarkEnd w:id="2941"/>
    </w:p>
    <w:p>
      <w:pPr>
        <w:pStyle w:val="BookText"/>
      </w:pPr>
      <w:r>
        <w:rPr>
          <w:rFonts w:ascii="IRNazanin" w:hAnsi="IRNazanin" w:eastAsia="IRNazanin" w:cs="IRNazanin"/>
          <w:lang w:bidi="fa-IR"/>
          <w:color w:val="111111"/>
          <w:sz w:val="28"/>
          <w:szCs w:val="28"/>
          <w:rtl/>
        </w:rPr>
        <w:t xml:space="preserve">. یأتی بعنوان حسن چپ دست و مجنون چپ نویس.</w:t>
      </w:r>
    </w:p>
    <w:p>
      <w:pPr>
        <w:pStyle w:val="Heading3"/>
      </w:pPr>
      <w:bookmarkStart w:id="2942" w:name="_Toc1638"/>
      <w:r>
        <w:t>دیوان چرگر</w:t>
      </w:r>
      <w:bookmarkEnd w:id="2942"/>
    </w:p>
    <w:p>
      <w:pPr>
        <w:pStyle w:val="BookText"/>
      </w:pPr>
      <w:r>
        <w:rPr>
          <w:rFonts w:ascii="IRNazanin" w:hAnsi="IRNazanin" w:eastAsia="IRNazanin" w:cs="IRNazanin"/>
          <w:lang w:bidi="fa-IR"/>
          <w:color w:val="111111"/>
          <w:sz w:val="28"/>
          <w:szCs w:val="28"/>
          <w:rtl/>
        </w:rPr>
        <w:t xml:space="preserve">راجع دیوان فراقی. کما فی (دجا- ص 103) نقلا عن تحفه سامی و هو الصحیح لا کما فی تحفه سامی (ص 84): چرکین.</w:t>
      </w:r>
    </w:p>
    <w:p>
      <w:pPr>
        <w:pStyle w:val="Heading3"/>
      </w:pPr>
      <w:bookmarkStart w:id="2943" w:name="_Toc1639"/>
      <w:r>
        <w:t>1317- دیوان چشتی أجمیری‏</w:t>
      </w:r>
      <w:bookmarkEnd w:id="2943"/>
    </w:p>
    <w:p>
      <w:pPr>
        <w:pStyle w:val="BookText"/>
      </w:pPr>
      <w:r>
        <w:rPr>
          <w:rFonts w:ascii="IRNazanin" w:hAnsi="IRNazanin" w:eastAsia="IRNazanin" w:cs="IRNazanin"/>
          <w:lang w:bidi="fa-IR"/>
          <w:color w:val="111111"/>
          <w:sz w:val="28"/>
          <w:szCs w:val="28"/>
          <w:rtl/>
        </w:rPr>
        <w:t xml:space="preserve">و هو الخواجة معین الدین من أکابر الصوفیة و معاصر شمس الدین الغوری و قبره بإجمیر بالهند کما فی (تش- ص 349) و قد طبع دیوانه بنولکشور کما فی فهرس مطبوعاتها.</w:t>
      </w:r>
    </w:p>
    <w:p>
      <w:pPr>
        <w:pStyle w:val="Heading3"/>
      </w:pPr>
      <w:bookmarkStart w:id="2944" w:name="_Toc1640"/>
      <w:r>
        <w:t>1318- دیوان چشتی دهلوی‏</w:t>
      </w:r>
      <w:bookmarkEnd w:id="2944"/>
    </w:p>
    <w:p>
      <w:pPr>
        <w:pStyle w:val="BookText"/>
      </w:pPr>
      <w:r>
        <w:rPr>
          <w:rFonts w:ascii="IRNazanin" w:hAnsi="IRNazanin" w:eastAsia="IRNazanin" w:cs="IRNazanin"/>
          <w:lang w:bidi="fa-IR"/>
          <w:color w:val="111111"/>
          <w:sz w:val="28"/>
          <w:szCs w:val="28"/>
          <w:rtl/>
        </w:rPr>
        <w:t xml:space="preserve">و اسمه الشیخ حسن. کان مریدا للشیخ سلیم الچشتی الفتح‏پوری و معاصر مؤلف طبقات أکبری کما ذکره فی (ج 2- ص 509) منها و سماه فی (روشن- ص 160) حسین بدل حسن. و له مثنوی دل و جان‏</w:t>
      </w:r>
    </w:p>
    <w:p>
      <w:pPr>
        <w:pStyle w:val="Heading3"/>
      </w:pPr>
      <w:bookmarkStart w:id="2945" w:name="_Toc1641"/>
      <w:r>
        <w:t>دیوان چکنی‏</w:t>
      </w:r>
      <w:bookmarkEnd w:id="2945"/>
    </w:p>
    <w:p>
      <w:pPr>
        <w:pStyle w:val="BookText"/>
      </w:pPr>
      <w:r>
        <w:rPr>
          <w:rFonts w:ascii="IRNazanin" w:hAnsi="IRNazanin" w:eastAsia="IRNazanin" w:cs="IRNazanin"/>
          <w:lang w:bidi="fa-IR"/>
          <w:color w:val="111111"/>
          <w:sz w:val="28"/>
          <w:szCs w:val="28"/>
          <w:rtl/>
        </w:rPr>
        <w:t xml:space="preserve">راجع وارسته.</w:t>
      </w:r>
    </w:p>
    <w:p>
      <w:pPr>
        <w:pStyle w:val="Heading3"/>
      </w:pPr>
      <w:bookmarkStart w:id="2946" w:name="_Toc1642"/>
      <w:r>
        <w:t>دیوان چلبی تبریزی‏</w:t>
      </w:r>
      <w:bookmarkEnd w:id="2946"/>
    </w:p>
    <w:p>
      <w:pPr>
        <w:pStyle w:val="BookText"/>
      </w:pPr>
      <w:r>
        <w:rPr>
          <w:rFonts w:ascii="IRNazanin" w:hAnsi="IRNazanin" w:eastAsia="IRNazanin" w:cs="IRNazanin"/>
          <w:lang w:bidi="fa-IR"/>
          <w:color w:val="111111"/>
          <w:sz w:val="28"/>
          <w:szCs w:val="28"/>
          <w:rtl/>
        </w:rPr>
        <w:t xml:space="preserve">یأتی بتخلصه عنوان تبریزی.</w:t>
      </w:r>
    </w:p>
    <w:p>
      <w:pPr>
        <w:pStyle w:val="Heading3"/>
      </w:pPr>
      <w:bookmarkStart w:id="2947" w:name="_Toc1643"/>
      <w:r>
        <w:t>1319- دیوان چلبی تبریزی أو شعره‏</w:t>
      </w:r>
      <w:bookmarkEnd w:id="2947"/>
    </w:p>
    <w:p>
      <w:pPr>
        <w:pStyle w:val="BookText"/>
      </w:pPr>
      <w:r>
        <w:rPr>
          <w:rFonts w:ascii="IRNazanin" w:hAnsi="IRNazanin" w:eastAsia="IRNazanin" w:cs="IRNazanin"/>
          <w:lang w:bidi="fa-IR"/>
          <w:color w:val="111111"/>
          <w:sz w:val="28"/>
          <w:szCs w:val="28"/>
          <w:rtl/>
        </w:rPr>
        <w:t xml:space="preserve">و اسمه محمد حسین خان الماهر فی النظم و النثر و مجلسه مجمع أهل الأدب بعباس‏آباد أصفهان. و هو من بیت التبارزة القاطنین بها. أورد شعره فی (نر 5- ص 118).</w:t>
      </w:r>
    </w:p>
    <w:p>
      <w:pPr>
        <w:pStyle w:val="Heading3"/>
      </w:pPr>
      <w:bookmarkStart w:id="2948" w:name="_Toc1644"/>
      <w:r>
        <w:t>1320 دیوان چلبی تبریزی أو شعره‏</w:t>
      </w:r>
      <w:bookmarkEnd w:id="2948"/>
    </w:p>
    <w:p>
      <w:pPr>
        <w:pStyle w:val="BookText"/>
      </w:pPr>
      <w:r>
        <w:rPr>
          <w:rFonts w:ascii="IRNazanin" w:hAnsi="IRNazanin" w:eastAsia="IRNazanin" w:cs="IRNazanin"/>
          <w:lang w:bidi="fa-IR"/>
          <w:color w:val="111111"/>
          <w:sz w:val="28"/>
          <w:szCs w:val="28"/>
          <w:rtl/>
        </w:rPr>
        <w:t xml:space="preserve">و هو محمد قاسم أخو محمد حسین المذکور.</w:t>
      </w:r>
    </w:p>
    <w:p>
      <w:pPr>
        <w:pStyle w:val="BookText"/>
      </w:pPr>
      <w:r>
        <w:rPr>
          <w:rFonts w:ascii="IRNazanin" w:hAnsi="IRNazanin" w:eastAsia="IRNazanin" w:cs="IRNazanin"/>
          <w:lang w:bidi="fa-IR"/>
          <w:color w:val="111111"/>
          <w:sz w:val="28"/>
          <w:szCs w:val="28"/>
          <w:rtl/>
        </w:rPr>
        <w:t xml:space="preserve">سافر فی عهد عالمگیر إلی الهند و مات بها. أورد شعره فی (نر 5- 119).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13" w:name="pg11704_121692"/>
    <w:bookmarkEnd w:id="213"/>
    <w:p>
      <w:pPr>
        <w:pStyle w:val="Heading3"/>
      </w:pPr>
      <w:bookmarkStart w:id="2949" w:name="_Toc1645"/>
      <w:r>
        <w:t>ح‏</w:t>
      </w:r>
      <w:bookmarkEnd w:id="2949"/>
    </w:p>
    <w:p>
      <w:pPr>
        <w:pStyle w:val="Heading3"/>
      </w:pPr>
      <w:bookmarkStart w:id="2950" w:name="_Toc1646"/>
      <w:r>
        <w:t>1321- دیوان الحائری أو شعره‏</w:t>
      </w:r>
      <w:bookmarkEnd w:id="2950"/>
    </w:p>
    <w:p>
      <w:pPr>
        <w:pStyle w:val="BookText"/>
      </w:pPr>
      <w:r>
        <w:rPr>
          <w:rFonts w:ascii="IRNazanin" w:hAnsi="IRNazanin" w:eastAsia="IRNazanin" w:cs="IRNazanin"/>
          <w:lang w:bidi="fa-IR"/>
          <w:color w:val="111111"/>
          <w:sz w:val="28"/>
          <w:szCs w:val="28"/>
          <w:rtl/>
        </w:rPr>
        <w:t xml:space="preserve">الشیخ عبد الله المازندرانی ابن الشیخ زین العابدین. کان من مشایخ الصوفیة. و شعره عرفانی. أورد بعضها مرتضی المدرسی الچهاردهی فی تذکرته نقلا عن الطرائق 3: 254.</w:t>
      </w:r>
    </w:p>
    <w:p>
      <w:pPr>
        <w:pStyle w:val="Heading3"/>
      </w:pPr>
      <w:bookmarkStart w:id="2951" w:name="_Toc1647"/>
      <w:r>
        <w:t>دیوان حاتم أردوبادی أو شعره‏</w:t>
      </w:r>
      <w:bookmarkEnd w:id="2951"/>
    </w:p>
    <w:p>
      <w:pPr>
        <w:pStyle w:val="BookText"/>
      </w:pPr>
      <w:r>
        <w:rPr>
          <w:rFonts w:ascii="IRNazanin" w:hAnsi="IRNazanin" w:eastAsia="IRNazanin" w:cs="IRNazanin"/>
          <w:lang w:bidi="fa-IR"/>
          <w:color w:val="111111"/>
          <w:sz w:val="28"/>
          <w:szCs w:val="28"/>
          <w:rtl/>
        </w:rPr>
        <w:t xml:space="preserve">و یأتی بتخلصه صافی أردوبادی.</w:t>
      </w:r>
    </w:p>
    <w:p>
      <w:pPr>
        <w:pStyle w:val="Heading3"/>
      </w:pPr>
      <w:bookmarkStart w:id="2952" w:name="_Toc1648"/>
      <w:r>
        <w:t>1322- دیوان حاتم دهلوی أو شعره‏</w:t>
      </w:r>
      <w:bookmarkEnd w:id="2952"/>
    </w:p>
    <w:p>
      <w:pPr>
        <w:pStyle w:val="BookText"/>
      </w:pPr>
      <w:r>
        <w:rPr>
          <w:rFonts w:ascii="IRNazanin" w:hAnsi="IRNazanin" w:eastAsia="IRNazanin" w:cs="IRNazanin"/>
          <w:lang w:bidi="fa-IR"/>
          <w:color w:val="111111"/>
          <w:sz w:val="28"/>
          <w:szCs w:val="28"/>
          <w:rtl/>
        </w:rPr>
        <w:t xml:space="preserve">و اسمه ظهور الدین محمد بن فتح الدین الناظم بالفارسیة و الأردویة کان یتخلص رمزی فبدله بحاتم و مات (1297) عن تسعین سنة.</w:t>
      </w:r>
    </w:p>
    <w:p>
      <w:pPr>
        <w:pStyle w:val="BookText"/>
      </w:pPr>
      <w:r>
        <w:rPr>
          <w:rFonts w:ascii="IRNazanin" w:hAnsi="IRNazanin" w:eastAsia="IRNazanin" w:cs="IRNazanin"/>
          <w:lang w:bidi="fa-IR"/>
          <w:color w:val="111111"/>
          <w:sz w:val="28"/>
          <w:szCs w:val="28"/>
          <w:rtl/>
        </w:rPr>
        <w:t xml:space="preserve">أورد شعره فی (روشن- ص 161).</w:t>
      </w:r>
    </w:p>
    <w:p>
      <w:pPr>
        <w:pStyle w:val="Heading3"/>
      </w:pPr>
      <w:bookmarkStart w:id="2953" w:name="_Toc1649"/>
      <w:r>
        <w:t>1323- دیوان حاتم العربی‏</w:t>
      </w:r>
      <w:bookmarkEnd w:id="2953"/>
    </w:p>
    <w:p>
      <w:pPr>
        <w:pStyle w:val="BookText"/>
      </w:pPr>
      <w:r>
        <w:rPr>
          <w:rFonts w:ascii="IRNazanin" w:hAnsi="IRNazanin" w:eastAsia="IRNazanin" w:cs="IRNazanin"/>
          <w:lang w:bidi="fa-IR"/>
          <w:color w:val="111111"/>
          <w:sz w:val="28"/>
          <w:szCs w:val="28"/>
          <w:rtl/>
        </w:rPr>
        <w:t xml:space="preserve">من بنی سعید الشاعر بالعربیة و الفارسیة فهو ذو لسانین.</w:t>
      </w:r>
    </w:p>
    <w:p>
      <w:pPr>
        <w:pStyle w:val="BookText"/>
      </w:pPr>
      <w:r>
        <w:rPr>
          <w:rFonts w:ascii="IRNazanin" w:hAnsi="IRNazanin" w:eastAsia="IRNazanin" w:cs="IRNazanin"/>
          <w:lang w:bidi="fa-IR"/>
          <w:color w:val="111111"/>
          <w:sz w:val="28"/>
          <w:szCs w:val="28"/>
          <w:rtl/>
        </w:rPr>
        <w:t xml:space="preserve">ترجمه معاصره سام میرزا فی (تس 5- ص 177).</w:t>
      </w:r>
    </w:p>
    <w:p>
      <w:pPr>
        <w:pStyle w:val="Heading3"/>
      </w:pPr>
      <w:bookmarkStart w:id="2954" w:name="_Toc1650"/>
      <w:r>
        <w:t>1324- دیوان حاتم الکاشی‏</w:t>
      </w:r>
      <w:bookmarkEnd w:id="2954"/>
    </w:p>
    <w:p>
      <w:pPr>
        <w:pStyle w:val="BookText"/>
      </w:pPr>
      <w:r>
        <w:rPr>
          <w:rFonts w:ascii="IRNazanin" w:hAnsi="IRNazanin" w:eastAsia="IRNazanin" w:cs="IRNazanin"/>
          <w:lang w:bidi="fa-IR"/>
          <w:color w:val="111111"/>
          <w:sz w:val="28"/>
          <w:szCs w:val="28"/>
          <w:rtl/>
        </w:rPr>
        <w:t xml:space="preserve">ترجمه معاصره الصادقی الکتاب دار المولود (940) و أطرأه و أورد بعض شعره و أورد أحواله فی خلاصة الأشعار و قد ذمه معاصره حسرتی کاشی و قال فی (تش- ص 242) إن اسمه هدایت الله و کان یتخلص أولا (هدایت) ثم بدله بحاتم و قد رأیت دیوانه. و کذا ذکره براون فی (4: 88) و قال فی (تغ ص 39) إنه توفی (997).</w:t>
      </w:r>
    </w:p>
    <w:p>
      <w:pPr>
        <w:pStyle w:val="Heading3"/>
      </w:pPr>
      <w:bookmarkStart w:id="2955" w:name="_Toc1651"/>
      <w:r>
        <w:t>1325- دیوان حاتم همدانی أو شعره‏</w:t>
      </w:r>
      <w:bookmarkEnd w:id="2955"/>
    </w:p>
    <w:p>
      <w:pPr>
        <w:pStyle w:val="BookText"/>
      </w:pPr>
      <w:r>
        <w:rPr>
          <w:rFonts w:ascii="IRNazanin" w:hAnsi="IRNazanin" w:eastAsia="IRNazanin" w:cs="IRNazanin"/>
          <w:lang w:bidi="fa-IR"/>
          <w:color w:val="111111"/>
          <w:sz w:val="28"/>
          <w:szCs w:val="28"/>
          <w:rtl/>
        </w:rPr>
        <w:t xml:space="preserve">و هو حاتم بیک بن أحمد بیک الهمدانی العطار. ترجمه معاصره فی (نر 9- ص 324) و أورد بعض شعره و عنه فی (گلشن 112) (و تغ 39).</w:t>
      </w:r>
    </w:p>
    <w:p>
      <w:pPr>
        <w:pStyle w:val="Heading3"/>
      </w:pPr>
      <w:bookmarkStart w:id="2956" w:name="_Toc1652"/>
      <w:r>
        <w:t>1326- دیوان حاجب‏</w:t>
      </w:r>
      <w:bookmarkEnd w:id="2956"/>
    </w:p>
    <w:p>
      <w:pPr>
        <w:pStyle w:val="BookText"/>
      </w:pPr>
      <w:r>
        <w:rPr>
          <w:rFonts w:ascii="IRNazanin" w:hAnsi="IRNazanin" w:eastAsia="IRNazanin" w:cs="IRNazanin"/>
          <w:lang w:bidi="fa-IR"/>
          <w:color w:val="111111"/>
          <w:sz w:val="28"/>
          <w:szCs w:val="28"/>
          <w:rtl/>
        </w:rPr>
        <w:t xml:space="preserve">و اسمه حیدر علی. طبع دیوانه بطهران فی (98 ص).</w:t>
      </w:r>
    </w:p>
    <w:p>
      <w:pPr>
        <w:pStyle w:val="Heading3"/>
      </w:pPr>
      <w:bookmarkStart w:id="2957" w:name="_Toc1653"/>
      <w:r>
        <w:t>1327- دیوان حاجب أصفهانی أو شعره‏</w:t>
      </w:r>
      <w:bookmarkEnd w:id="2957"/>
    </w:p>
    <w:p>
      <w:pPr>
        <w:pStyle w:val="BookText"/>
      </w:pPr>
      <w:r>
        <w:rPr>
          <w:rFonts w:ascii="IRNazanin" w:hAnsi="IRNazanin" w:eastAsia="IRNazanin" w:cs="IRNazanin"/>
          <w:lang w:bidi="fa-IR"/>
          <w:color w:val="111111"/>
          <w:sz w:val="28"/>
          <w:szCs w:val="28"/>
          <w:rtl/>
        </w:rPr>
        <w:t xml:space="preserve">و اسمه آقا جواد. ذهب إلی الهند و تقرب عند سعادت علی خان حاکم أود کما فی (گلشن- ص 112) و (روشن 157).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14" w:name="pg11704_121693"/>
    <w:bookmarkEnd w:id="214"/>
    <w:p>
      <w:pPr>
        <w:pStyle w:val="Heading3"/>
      </w:pPr>
      <w:bookmarkStart w:id="2958" w:name="_Toc1654"/>
      <w:r>
        <w:t>1328- دیوان حاجب شیرازی‏</w:t>
      </w:r>
      <w:bookmarkEnd w:id="2958"/>
    </w:p>
    <w:p>
      <w:pPr>
        <w:pStyle w:val="BookText"/>
      </w:pPr>
      <w:r>
        <w:rPr>
          <w:rFonts w:ascii="IRNazanin" w:hAnsi="IRNazanin" w:eastAsia="IRNazanin" w:cs="IRNazanin"/>
          <w:lang w:bidi="fa-IR"/>
          <w:color w:val="111111"/>
          <w:sz w:val="28"/>
          <w:szCs w:val="28"/>
          <w:rtl/>
        </w:rPr>
        <w:t xml:space="preserve">للمیرزا عبد الرحیم مطبوع فی ثلاثة أجزاء صغار الأول فی (32 ص) فی (1308 ش).</w:t>
      </w:r>
    </w:p>
    <w:p>
      <w:pPr>
        <w:pStyle w:val="Heading3"/>
      </w:pPr>
      <w:bookmarkStart w:id="2959" w:name="_Toc1655"/>
      <w:r>
        <w:t>1329- دیوان حاجب طهرانی‏</w:t>
      </w:r>
      <w:bookmarkEnd w:id="2959"/>
    </w:p>
    <w:p>
      <w:pPr>
        <w:pStyle w:val="BookText"/>
      </w:pPr>
      <w:r>
        <w:rPr>
          <w:rFonts w:ascii="IRNazanin" w:hAnsi="IRNazanin" w:eastAsia="IRNazanin" w:cs="IRNazanin"/>
          <w:lang w:bidi="fa-IR"/>
          <w:color w:val="111111"/>
          <w:sz w:val="28"/>
          <w:szCs w:val="28"/>
          <w:rtl/>
        </w:rPr>
        <w:t xml:space="preserve">المیرزا غلام حسین الطهرانی المتوفی حدود (1332) و المدفون ببهجت‏آباد طهران. ذکر غزلا من دیوانه فی جنگ الظلیلة- ج 2 أوله‏</w:t>
      </w:r>
    </w:p>
    <w:p>
      <w:pPr>
        <w:pStyle w:val="BookText"/>
      </w:pPr>
      <w:r>
        <w:rPr>
          <w:rFonts w:ascii="IRNazanin" w:hAnsi="IRNazanin" w:eastAsia="IRNazanin" w:cs="IRNazanin"/>
          <w:lang w:bidi="fa-IR"/>
          <w:color w:val="111111"/>
          <w:sz w:val="28"/>
          <w:szCs w:val="28"/>
          <w:rtl/>
        </w:rPr>
        <w:t xml:space="preserve">این فراخای جهان تنگ است بر ما چون قفس‏</w:t>
      </w:r>
    </w:p>
    <w:p>
      <w:pPr>
        <w:pStyle w:val="BookText"/>
      </w:pPr>
      <w:r>
        <w:rPr>
          <w:rFonts w:ascii="IRNazanin" w:hAnsi="IRNazanin" w:eastAsia="IRNazanin" w:cs="IRNazanin"/>
          <w:lang w:bidi="fa-IR"/>
          <w:color w:val="111111"/>
          <w:sz w:val="28"/>
          <w:szCs w:val="28"/>
          <w:rtl/>
        </w:rPr>
        <w:t xml:space="preserve">کی پرد سیمرغ آنجایی که می‏پرد مگس‏</w:t>
      </w:r>
    </w:p>
    <w:p>
      <w:pPr>
        <w:pStyle w:val="Heading3"/>
      </w:pPr>
      <w:bookmarkStart w:id="2960" w:name="_Toc1656"/>
      <w:r>
        <w:t>1330- دیوان حاجت شیرازی‏</w:t>
      </w:r>
      <w:bookmarkEnd w:id="2960"/>
    </w:p>
    <w:p>
      <w:pPr>
        <w:pStyle w:val="BookText"/>
      </w:pPr>
      <w:r>
        <w:rPr>
          <w:rFonts w:ascii="IRNazanin" w:hAnsi="IRNazanin" w:eastAsia="IRNazanin" w:cs="IRNazanin"/>
          <w:lang w:bidi="fa-IR"/>
          <w:color w:val="111111"/>
          <w:sz w:val="28"/>
          <w:szCs w:val="28"/>
          <w:rtl/>
        </w:rPr>
        <w:t xml:space="preserve">و اسمه آقا یادگار. کان عطارا بشیراز لم یتزوج إلی السبعین سنة من عمره، و سافر إلی الحج کذا فی (تش- ص 371) المؤلف فی أواخر المائة الثانیة عشرة و أورد فی تحفه العالم (ص 158) مدیحه لدرویش مجید الطالقانی الشاعر الخطاط المتوفی (1185) و قال فی (مع 2: 93) أنه توفی (1185).</w:t>
      </w:r>
    </w:p>
    <w:p>
      <w:pPr>
        <w:pStyle w:val="Heading3"/>
      </w:pPr>
      <w:bookmarkStart w:id="2961" w:name="_Toc1657"/>
      <w:r>
        <w:t>1331- دیوان حاجی‏</w:t>
      </w:r>
      <w:bookmarkEnd w:id="2961"/>
    </w:p>
    <w:p>
      <w:pPr>
        <w:pStyle w:val="BookText"/>
      </w:pPr>
      <w:r>
        <w:rPr>
          <w:rFonts w:ascii="IRNazanin" w:hAnsi="IRNazanin" w:eastAsia="IRNazanin" w:cs="IRNazanin"/>
          <w:lang w:bidi="fa-IR"/>
          <w:color w:val="111111"/>
          <w:sz w:val="28"/>
          <w:szCs w:val="28"/>
          <w:rtl/>
        </w:rPr>
        <w:t xml:space="preserve">للحاج المولی محمد حسین المتخلص بحاجی مطبوع.</w:t>
      </w:r>
    </w:p>
    <w:p>
      <w:pPr>
        <w:pStyle w:val="Heading3"/>
      </w:pPr>
      <w:bookmarkStart w:id="2962" w:name="_Toc1658"/>
      <w:r>
        <w:t>1332- دیوان حاجی ابرقوهی‏</w:t>
      </w:r>
      <w:bookmarkEnd w:id="2962"/>
    </w:p>
    <w:p>
      <w:pPr>
        <w:pStyle w:val="BookText"/>
      </w:pPr>
      <w:r>
        <w:rPr>
          <w:rFonts w:ascii="IRNazanin" w:hAnsi="IRNazanin" w:eastAsia="IRNazanin" w:cs="IRNazanin"/>
          <w:lang w:bidi="fa-IR"/>
          <w:color w:val="111111"/>
          <w:sz w:val="28"/>
          <w:szCs w:val="28"/>
          <w:rtl/>
        </w:rPr>
        <w:t xml:space="preserve">من شعراء القرن العاشر. ترجمه معاصره سام میرزا فی (تس 6- ص 187) المؤلفة (957) و قال کان من أولاد أتابکیة لرستان. و کان مدة رئیس مضیف البلاط ثم صار یوزباشیا. و لو لم ینظم الشعر لکان أحسن. قال ابن یوسف فی فهرس</w:t>
      </w:r>
    </w:p>
    <w:p>
      <w:pPr>
        <w:pStyle w:val="BookText"/>
      </w:pPr>
      <w:r>
        <w:rPr>
          <w:rFonts w:ascii="IRNazanin" w:hAnsi="IRNazanin" w:eastAsia="IRNazanin" w:cs="IRNazanin"/>
          <w:lang w:bidi="fa-IR"/>
          <w:color w:val="111111"/>
          <w:sz w:val="28"/>
          <w:szCs w:val="28"/>
          <w:rtl/>
        </w:rPr>
        <w:t xml:space="preserve">مکتبة (المجلس- ج 3- ص 251- 254) إنه سافر إلی الهند و نظم ناظر و منظور و جمع دیوانه بنفسه و أهداه إلی مصطفی خان من أمراء الهنود و یظهر من دیوانه أنه عمر أکثر من ستین سنة و کان حیا إلی (972). و مدح محمد قلی قطب شاه بدکن و حینئذ ذاک کان عمره ثلاثین سنة. و له قصیدة ذکر فیها أحوال نفسه و ما جری علیه فی عمره‏</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من بی‏سروپا که گشتم ز خاصان‏</w:t>
      </w:r>
    </w:p>
    <w:p>
      <w:pPr>
        <w:pStyle w:val="BookText"/>
      </w:pPr>
      <w:r>
        <w:rPr>
          <w:rFonts w:ascii="IRNazanin" w:hAnsi="IRNazanin" w:eastAsia="IRNazanin" w:cs="IRNazanin"/>
          <w:lang w:bidi="fa-IR"/>
          <w:color w:val="111111"/>
          <w:sz w:val="28"/>
          <w:szCs w:val="28"/>
          <w:rtl/>
        </w:rPr>
        <w:t xml:space="preserve">پدر کرد و مادر بود از لرستان‏</w:t>
      </w:r>
    </w:p>
    <w:p>
      <w:pPr>
        <w:pStyle w:val="BookText"/>
      </w:pPr>
      <w:r>
        <w:rPr>
          <w:rFonts w:ascii="IRNazanin" w:hAnsi="IRNazanin" w:eastAsia="IRNazanin" w:cs="IRNazanin"/>
          <w:lang w:bidi="fa-IR"/>
          <w:color w:val="111111"/>
          <w:sz w:val="28"/>
          <w:szCs w:val="28"/>
          <w:rtl/>
        </w:rPr>
        <w:t xml:space="preserve">فلک در أبرقوه افکند ما را</w:t>
      </w:r>
    </w:p>
    <w:p>
      <w:pPr>
        <w:pStyle w:val="BookText"/>
      </w:pPr>
      <w:r>
        <w:rPr>
          <w:rFonts w:ascii="IRNazanin" w:hAnsi="IRNazanin" w:eastAsia="IRNazanin" w:cs="IRNazanin"/>
          <w:lang w:bidi="fa-IR"/>
          <w:color w:val="111111"/>
          <w:sz w:val="28"/>
          <w:szCs w:val="28"/>
          <w:rtl/>
        </w:rPr>
        <w:t xml:space="preserve">که باشد گل أبیض باغ رضوان‏</w:t>
      </w:r>
    </w:p>
    <w:p>
      <w:pPr>
        <w:pStyle w:val="BookText"/>
      </w:pPr>
      <w:r>
        <w:rPr>
          <w:rFonts w:ascii="IRNazanin" w:hAnsi="IRNazanin" w:eastAsia="IRNazanin" w:cs="IRNazanin"/>
          <w:lang w:bidi="fa-IR"/>
          <w:color w:val="111111"/>
          <w:sz w:val="28"/>
          <w:szCs w:val="28"/>
          <w:rtl/>
        </w:rPr>
        <w:t xml:space="preserve">به دامان مادر چو یک‏ساله گشتم‏</w:t>
      </w:r>
    </w:p>
    <w:p>
      <w:pPr>
        <w:pStyle w:val="BookText"/>
      </w:pPr>
      <w:r>
        <w:rPr>
          <w:rFonts w:ascii="IRNazanin" w:hAnsi="IRNazanin" w:eastAsia="IRNazanin" w:cs="IRNazanin"/>
          <w:lang w:bidi="fa-IR"/>
          <w:color w:val="111111"/>
          <w:sz w:val="28"/>
          <w:szCs w:val="28"/>
          <w:rtl/>
        </w:rPr>
        <w:t xml:space="preserve">پدر زین جهان شد بدانجای پاکان‏</w:t>
      </w:r>
    </w:p>
    <w:p>
      <w:pPr>
        <w:pStyle w:val="BookText"/>
      </w:pPr>
      <w:r>
        <w:rPr>
          <w:rFonts w:ascii="IRNazanin" w:hAnsi="IRNazanin" w:eastAsia="IRNazanin" w:cs="IRNazanin"/>
          <w:lang w:bidi="fa-IR"/>
          <w:color w:val="111111"/>
          <w:sz w:val="28"/>
          <w:szCs w:val="28"/>
          <w:rtl/>
        </w:rPr>
        <w:t xml:space="preserve">به شش‏سالگی دل بکاری نهادم‏</w:t>
      </w:r>
    </w:p>
    <w:p>
      <w:pPr>
        <w:pStyle w:val="BookText"/>
      </w:pPr>
      <w:r>
        <w:rPr>
          <w:rFonts w:ascii="IRNazanin" w:hAnsi="IRNazanin" w:eastAsia="IRNazanin" w:cs="IRNazanin"/>
          <w:lang w:bidi="fa-IR"/>
          <w:color w:val="111111"/>
          <w:sz w:val="28"/>
          <w:szCs w:val="28"/>
          <w:rtl/>
        </w:rPr>
        <w:t xml:space="preserve">کزو بگذرانم معاش خود آسان‏</w:t>
      </w:r>
    </w:p>
    <w:p>
      <w:pPr>
        <w:pStyle w:val="BookText"/>
      </w:pPr>
      <w:r>
        <w:rPr>
          <w:rFonts w:ascii="IRNazanin" w:hAnsi="IRNazanin" w:eastAsia="IRNazanin" w:cs="IRNazanin"/>
          <w:lang w:bidi="fa-IR"/>
          <w:color w:val="111111"/>
          <w:sz w:val="28"/>
          <w:szCs w:val="28"/>
          <w:rtl/>
        </w:rPr>
        <w:t xml:space="preserve">سه سال از پی گله رفتم به صحرا</w:t>
      </w:r>
    </w:p>
    <w:p>
      <w:pPr>
        <w:pStyle w:val="BookText"/>
      </w:pPr>
      <w:r>
        <w:rPr>
          <w:rFonts w:ascii="IRNazanin" w:hAnsi="IRNazanin" w:eastAsia="IRNazanin" w:cs="IRNazanin"/>
          <w:lang w:bidi="fa-IR"/>
          <w:color w:val="111111"/>
          <w:sz w:val="28"/>
          <w:szCs w:val="28"/>
          <w:rtl/>
        </w:rPr>
        <w:t xml:space="preserve">شدم از برای سگ نفس چوپان‏</w:t>
      </w:r>
    </w:p>
    <w:p>
      <w:pPr>
        <w:pStyle w:val="BookText"/>
      </w:pPr>
      <w:r>
        <w:rPr>
          <w:rFonts w:ascii="IRNazanin" w:hAnsi="IRNazanin" w:eastAsia="IRNazanin" w:cs="IRNazanin"/>
          <w:lang w:bidi="fa-IR"/>
          <w:color w:val="111111"/>
          <w:sz w:val="28"/>
          <w:szCs w:val="28"/>
          <w:rtl/>
        </w:rPr>
        <w:t xml:space="preserve">سه سال دگر گرد گاوان دویدم‏</w:t>
      </w:r>
    </w:p>
    <w:p>
      <w:pPr>
        <w:pStyle w:val="BookText"/>
      </w:pPr>
      <w:r>
        <w:rPr>
          <w:rFonts w:ascii="IRNazanin" w:hAnsi="IRNazanin" w:eastAsia="IRNazanin" w:cs="IRNazanin"/>
          <w:lang w:bidi="fa-IR"/>
          <w:color w:val="111111"/>
          <w:sz w:val="28"/>
          <w:szCs w:val="28"/>
          <w:rtl/>
        </w:rPr>
        <w:t xml:space="preserve">بنوعی که آسوده گشتند گاوان‏</w:t>
      </w:r>
    </w:p>
    <w:p>
      <w:pPr>
        <w:pStyle w:val="BookText"/>
      </w:pPr>
      <w:r>
        <w:rPr>
          <w:rFonts w:ascii="IRNazanin" w:hAnsi="IRNazanin" w:eastAsia="IRNazanin" w:cs="IRNazanin"/>
          <w:lang w:bidi="fa-IR"/>
          <w:color w:val="111111"/>
          <w:sz w:val="28"/>
          <w:szCs w:val="28"/>
          <w:rtl/>
        </w:rPr>
        <w:t xml:space="preserve">سه سال دگر بنده خربنده بودم‏</w:t>
      </w:r>
    </w:p>
    <w:p>
      <w:pPr>
        <w:pStyle w:val="BookText"/>
      </w:pPr>
      <w:r>
        <w:rPr>
          <w:rFonts w:ascii="IRNazanin" w:hAnsi="IRNazanin" w:eastAsia="IRNazanin" w:cs="IRNazanin"/>
          <w:lang w:bidi="fa-IR"/>
          <w:color w:val="111111"/>
          <w:sz w:val="28"/>
          <w:szCs w:val="28"/>
          <w:rtl/>
        </w:rPr>
        <w:t xml:space="preserve">بکف چوب و دائم به دنبال خویشان‏</w:t>
      </w:r>
    </w:p>
    <w:p>
      <w:pPr>
        <w:pStyle w:val="BookText"/>
      </w:pPr>
      <w:r>
        <w:rPr>
          <w:rFonts w:ascii="IRNazanin" w:hAnsi="IRNazanin" w:eastAsia="IRNazanin" w:cs="IRNazanin"/>
          <w:lang w:bidi="fa-IR"/>
          <w:color w:val="111111"/>
          <w:sz w:val="28"/>
          <w:szCs w:val="28"/>
          <w:rtl/>
        </w:rPr>
        <w:t xml:space="preserve">سه سال دگر هیزم عالمی را</w:t>
      </w:r>
    </w:p>
    <w:p>
      <w:pPr>
        <w:pStyle w:val="BookText"/>
      </w:pPr>
      <w:r>
        <w:rPr>
          <w:rFonts w:ascii="IRNazanin" w:hAnsi="IRNazanin" w:eastAsia="IRNazanin" w:cs="IRNazanin"/>
          <w:lang w:bidi="fa-IR"/>
          <w:color w:val="111111"/>
          <w:sz w:val="28"/>
          <w:szCs w:val="28"/>
          <w:rtl/>
        </w:rPr>
        <w:t xml:space="preserve">ز کوه فلک‏سا کشیدم به میدان‏</w:t>
      </w:r>
    </w:p>
    <w:p>
      <w:pPr>
        <w:pStyle w:val="BookText"/>
      </w:pPr>
      <w:r>
        <w:rPr>
          <w:rFonts w:ascii="IRNazanin" w:hAnsi="IRNazanin" w:eastAsia="IRNazanin" w:cs="IRNazanin"/>
          <w:lang w:bidi="fa-IR"/>
          <w:color w:val="111111"/>
          <w:sz w:val="28"/>
          <w:szCs w:val="28"/>
          <w:rtl/>
        </w:rPr>
        <w:t xml:space="preserve">سه سال دگر تخم ذرت فشاندم‏</w:t>
      </w:r>
    </w:p>
    <w:p>
      <w:pPr>
        <w:pStyle w:val="BookText"/>
      </w:pPr>
      <w:r>
        <w:rPr>
          <w:rFonts w:ascii="IRNazanin" w:hAnsi="IRNazanin" w:eastAsia="IRNazanin" w:cs="IRNazanin"/>
          <w:lang w:bidi="fa-IR"/>
          <w:color w:val="111111"/>
          <w:sz w:val="28"/>
          <w:szCs w:val="28"/>
          <w:rtl/>
        </w:rPr>
        <w:t xml:space="preserve">چو آن عاشقی کو بود اشک پاشان‏</w:t>
      </w:r>
    </w:p>
    <w:p>
      <w:pPr>
        <w:pStyle w:val="BookText"/>
      </w:pPr>
      <w:r>
        <w:rPr>
          <w:rFonts w:ascii="IRNazanin" w:hAnsi="IRNazanin" w:eastAsia="IRNazanin" w:cs="IRNazanin"/>
          <w:lang w:bidi="fa-IR"/>
          <w:color w:val="111111"/>
          <w:sz w:val="28"/>
          <w:szCs w:val="28"/>
          <w:rtl/>
        </w:rPr>
        <w:t xml:space="preserve">سه سال دگر کار گل پیشه کردم‏</w:t>
      </w:r>
    </w:p>
    <w:p>
      <w:pPr>
        <w:pStyle w:val="BookText"/>
      </w:pPr>
      <w:r>
        <w:rPr>
          <w:rFonts w:ascii="IRNazanin" w:hAnsi="IRNazanin" w:eastAsia="IRNazanin" w:cs="IRNazanin"/>
          <w:lang w:bidi="fa-IR"/>
          <w:color w:val="111111"/>
          <w:sz w:val="28"/>
          <w:szCs w:val="28"/>
          <w:rtl/>
        </w:rPr>
        <w:t xml:space="preserve">رساندم بسی طاق ایوان بکیوان‏</w:t>
      </w:r>
    </w:p>
    <w:p>
      <w:pPr>
        <w:pStyle w:val="BookText"/>
      </w:pPr>
      <w:r>
        <w:rPr>
          <w:rFonts w:ascii="IRNazanin" w:hAnsi="IRNazanin" w:eastAsia="IRNazanin" w:cs="IRNazanin"/>
          <w:lang w:bidi="fa-IR"/>
          <w:color w:val="111111"/>
          <w:sz w:val="28"/>
          <w:szCs w:val="28"/>
          <w:rtl/>
        </w:rPr>
        <w:t xml:space="preserve">سه سال دگر کرده‏ام ره رویها</w:t>
      </w:r>
    </w:p>
    <w:p>
      <w:pPr>
        <w:pStyle w:val="BookText"/>
      </w:pPr>
      <w:r>
        <w:rPr>
          <w:rFonts w:ascii="IRNazanin" w:hAnsi="IRNazanin" w:eastAsia="IRNazanin" w:cs="IRNazanin"/>
          <w:lang w:bidi="fa-IR"/>
          <w:color w:val="111111"/>
          <w:sz w:val="28"/>
          <w:szCs w:val="28"/>
          <w:rtl/>
        </w:rPr>
        <w:t xml:space="preserve">که خورشید گردیده در کرد پنهان‏</w:t>
      </w:r>
    </w:p>
    <w:p>
      <w:pPr>
        <w:pStyle w:val="BookText"/>
      </w:pPr>
      <w:r>
        <w:rPr>
          <w:rFonts w:ascii="IRNazanin" w:hAnsi="IRNazanin" w:eastAsia="IRNazanin" w:cs="IRNazanin"/>
          <w:lang w:bidi="fa-IR"/>
          <w:color w:val="111111"/>
          <w:sz w:val="28"/>
          <w:szCs w:val="28"/>
          <w:rtl/>
        </w:rPr>
        <w:t xml:space="preserve">سه سال دگر سود و سودا نمودم‏</w:t>
      </w:r>
    </w:p>
    <w:p>
      <w:pPr>
        <w:pStyle w:val="BookText"/>
      </w:pPr>
      <w:r>
        <w:rPr>
          <w:rFonts w:ascii="IRNazanin" w:hAnsi="IRNazanin" w:eastAsia="IRNazanin" w:cs="IRNazanin"/>
          <w:lang w:bidi="fa-IR"/>
          <w:color w:val="111111"/>
          <w:sz w:val="28"/>
          <w:szCs w:val="28"/>
          <w:rtl/>
        </w:rPr>
        <w:t xml:space="preserve">که هرگز نکردم در آن کار نقصان‏</w:t>
      </w:r>
    </w:p>
    <w:p>
      <w:pPr>
        <w:pStyle w:val="BookText"/>
      </w:pPr>
      <w:r>
        <w:rPr>
          <w:rFonts w:ascii="IRNazanin" w:hAnsi="IRNazanin" w:eastAsia="IRNazanin" w:cs="IRNazanin"/>
          <w:lang w:bidi="fa-IR"/>
          <w:color w:val="111111"/>
          <w:sz w:val="28"/>
          <w:szCs w:val="28"/>
          <w:rtl/>
        </w:rPr>
        <w:t xml:space="preserve">به هنگام سی‏سالگی خواجه گشتم‏</w:t>
      </w:r>
    </w:p>
    <w:p>
      <w:pPr>
        <w:pStyle w:val="BookText"/>
      </w:pPr>
      <w:r>
        <w:rPr>
          <w:rFonts w:ascii="IRNazanin" w:hAnsi="IRNazanin" w:eastAsia="IRNazanin" w:cs="IRNazanin"/>
          <w:lang w:bidi="fa-IR"/>
          <w:color w:val="111111"/>
          <w:sz w:val="28"/>
          <w:szCs w:val="28"/>
          <w:rtl/>
        </w:rPr>
        <w:t xml:space="preserve">مرا چون فلک کرد تاجر بدوران‏</w:t>
      </w:r>
    </w:p>
    <w:p>
      <w:pPr>
        <w:pStyle w:val="BookText"/>
      </w:pPr>
      <w:r>
        <w:rPr>
          <w:rFonts w:ascii="IRNazanin" w:hAnsi="IRNazanin" w:eastAsia="IRNazanin" w:cs="IRNazanin"/>
          <w:lang w:bidi="fa-IR"/>
          <w:color w:val="111111"/>
          <w:sz w:val="28"/>
          <w:szCs w:val="28"/>
          <w:rtl/>
        </w:rPr>
        <w:t xml:space="preserve">پی سود و سودای خود می‏دویدم‏</w:t>
      </w:r>
    </w:p>
    <w:p>
      <w:pPr>
        <w:pStyle w:val="BookText"/>
      </w:pPr>
      <w:r>
        <w:rPr>
          <w:rFonts w:ascii="IRNazanin" w:hAnsi="IRNazanin" w:eastAsia="IRNazanin" w:cs="IRNazanin"/>
          <w:lang w:bidi="fa-IR"/>
          <w:color w:val="111111"/>
          <w:sz w:val="28"/>
          <w:szCs w:val="28"/>
          <w:rtl/>
        </w:rPr>
        <w:t xml:space="preserve">گهی سوی شیراز و گه سوی کرمان‏</w:t>
      </w:r>
    </w:p>
    <w:p>
      <w:pPr>
        <w:pStyle w:val="BookText"/>
      </w:pPr>
      <w:r>
        <w:rPr>
          <w:rFonts w:ascii="IRNazanin" w:hAnsi="IRNazanin" w:eastAsia="IRNazanin" w:cs="IRNazanin"/>
          <w:lang w:bidi="fa-IR"/>
          <w:color w:val="111111"/>
          <w:sz w:val="28"/>
          <w:szCs w:val="28"/>
          <w:rtl/>
        </w:rPr>
        <w:t xml:space="preserve">و قال فی قصیدة یمدح فیه محمد قلی قطب شاه أمیر دکن:</w:t>
      </w:r>
    </w:p>
    <w:p>
      <w:pPr>
        <w:pStyle w:val="BookText"/>
      </w:pPr>
      <w:r>
        <w:rPr>
          <w:rFonts w:ascii="IRNazanin" w:hAnsi="IRNazanin" w:eastAsia="IRNazanin" w:cs="IRNazanin"/>
          <w:lang w:bidi="fa-IR"/>
          <w:color w:val="111111"/>
          <w:sz w:val="28"/>
          <w:szCs w:val="28"/>
          <w:rtl/>
        </w:rPr>
        <w:t xml:space="preserve">شها در دکن بنده سی سال گشتم‏</w:t>
      </w:r>
    </w:p>
    <w:p>
      <w:pPr>
        <w:pStyle w:val="BookText"/>
      </w:pPr>
      <w:r>
        <w:rPr>
          <w:rFonts w:ascii="IRNazanin" w:hAnsi="IRNazanin" w:eastAsia="IRNazanin" w:cs="IRNazanin"/>
          <w:lang w:bidi="fa-IR"/>
          <w:color w:val="111111"/>
          <w:sz w:val="28"/>
          <w:szCs w:val="28"/>
          <w:rtl/>
        </w:rPr>
        <w:t xml:space="preserve">ز حکم قضا و بأمر الهی‏</w:t>
      </w:r>
    </w:p>
    <w:p>
      <w:pPr>
        <w:pStyle w:val="BookText"/>
      </w:pPr>
      <w:r>
        <w:rPr>
          <w:rFonts w:ascii="IRNazanin" w:hAnsi="IRNazanin" w:eastAsia="IRNazanin" w:cs="IRNazanin"/>
          <w:lang w:bidi="fa-IR"/>
          <w:color w:val="111111"/>
          <w:sz w:val="28"/>
          <w:szCs w:val="28"/>
          <w:rtl/>
        </w:rPr>
        <w:t xml:space="preserve">و قال فی مثنویة ناظر و منظور:</w:t>
      </w:r>
    </w:p>
    <w:p>
      <w:pPr>
        <w:pStyle w:val="BookText"/>
      </w:pPr>
      <w:r>
        <w:rPr>
          <w:rFonts w:ascii="IRNazanin" w:hAnsi="IRNazanin" w:eastAsia="IRNazanin" w:cs="IRNazanin"/>
          <w:lang w:bidi="fa-IR"/>
          <w:color w:val="111111"/>
          <w:sz w:val="28"/>
          <w:szCs w:val="28"/>
          <w:rtl/>
        </w:rPr>
        <w:t xml:space="preserve">مادر طبع من این طفل خیال‏</w:t>
      </w:r>
    </w:p>
    <w:p>
      <w:pPr>
        <w:pStyle w:val="BookText"/>
      </w:pPr>
      <w:r>
        <w:rPr>
          <w:rFonts w:ascii="IRNazanin" w:hAnsi="IRNazanin" w:eastAsia="IRNazanin" w:cs="IRNazanin"/>
          <w:lang w:bidi="fa-IR"/>
          <w:color w:val="111111"/>
          <w:sz w:val="28"/>
          <w:szCs w:val="28"/>
          <w:rtl/>
        </w:rPr>
        <w:t xml:space="preserve">زاد در نهصد و هفتاد و دو سال‏</w:t>
      </w:r>
    </w:p>
    <w:p>
      <w:pPr>
        <w:pStyle w:val="BookText"/>
      </w:pPr>
      <w:r>
        <w:rPr>
          <w:rFonts w:ascii="IRNazanin" w:hAnsi="IRNazanin" w:eastAsia="IRNazanin" w:cs="IRNazanin"/>
          <w:lang w:bidi="fa-IR"/>
          <w:color w:val="111111"/>
          <w:sz w:val="28"/>
          <w:szCs w:val="28"/>
          <w:rtl/>
        </w:rPr>
        <w:t xml:space="preserve">چون فلک قرعه پی نامش زد</w:t>
      </w:r>
    </w:p>
    <w:p>
      <w:pPr>
        <w:pStyle w:val="BookText"/>
      </w:pPr>
      <w:r>
        <w:rPr>
          <w:rFonts w:ascii="IRNazanin" w:hAnsi="IRNazanin" w:eastAsia="IRNazanin" w:cs="IRNazanin"/>
          <w:lang w:bidi="fa-IR"/>
          <w:color w:val="111111"/>
          <w:sz w:val="28"/>
          <w:szCs w:val="28"/>
          <w:rtl/>
        </w:rPr>
        <w:t xml:space="preserve">نام این ناظر و منظور آمد</w:t>
      </w:r>
    </w:p>
    <w:p>
      <w:pPr>
        <w:pStyle w:val="BookText"/>
      </w:pPr>
      <w:r>
        <w:rPr>
          <w:rFonts w:ascii="IRNazanin" w:hAnsi="IRNazanin" w:eastAsia="IRNazanin" w:cs="IRNazanin"/>
          <w:lang w:bidi="fa-IR"/>
          <w:color w:val="111111"/>
          <w:sz w:val="28"/>
          <w:szCs w:val="28"/>
          <w:rtl/>
        </w:rPr>
        <w:t xml:space="preserve">بیت افسانه عشقم ز قلم‏</w:t>
      </w:r>
    </w:p>
    <w:p>
      <w:pPr>
        <w:pStyle w:val="BookText"/>
      </w:pPr>
      <w:r>
        <w:rPr>
          <w:rFonts w:ascii="IRNazanin" w:hAnsi="IRNazanin" w:eastAsia="IRNazanin" w:cs="IRNazanin"/>
          <w:lang w:bidi="fa-IR"/>
          <w:color w:val="111111"/>
          <w:sz w:val="28"/>
          <w:szCs w:val="28"/>
          <w:rtl/>
        </w:rPr>
        <w:t xml:space="preserve">صد و پنجاه و شش آمد برقم‏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دیوانه یشتمل علی القصائد فی مدح الأئمة الاثنی عشر و الشاه‏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15" w:name="pg11704_121694"/>
    <w:bookmarkEnd w:id="215"/>
    <w:p>
      <w:pPr>
        <w:pStyle w:val="BookText"/>
      </w:pPr>
      <w:r>
        <w:rPr>
          <w:rFonts w:ascii="IRNazanin" w:hAnsi="IRNazanin" w:eastAsia="IRNazanin" w:cs="IRNazanin"/>
          <w:lang w:bidi="fa-IR"/>
          <w:color w:val="111111"/>
          <w:sz w:val="28"/>
          <w:szCs w:val="28"/>
          <w:rtl/>
        </w:rPr>
        <w:t xml:space="preserve">طهماسب و ملوک الهند، 2- ناظر و منظور 3- غزلیاته 4- رباعیاته و کلها فی (2500 بیت) و النسخة موجودة بمکتبة (المجلس) تحت رقم (964).</w:t>
      </w:r>
    </w:p>
    <w:p>
      <w:pPr>
        <w:pStyle w:val="Heading3"/>
      </w:pPr>
      <w:bookmarkStart w:id="2963" w:name="_Toc1659"/>
      <w:r>
        <w:t>1333- دیوان حاجی أردبیلی أو شعره‏</w:t>
      </w:r>
      <w:bookmarkEnd w:id="2963"/>
    </w:p>
    <w:p>
      <w:pPr>
        <w:pStyle w:val="BookText"/>
      </w:pPr>
      <w:r>
        <w:rPr>
          <w:rFonts w:ascii="IRNazanin" w:hAnsi="IRNazanin" w:eastAsia="IRNazanin" w:cs="IRNazanin"/>
          <w:lang w:bidi="fa-IR"/>
          <w:color w:val="111111"/>
          <w:sz w:val="28"/>
          <w:szCs w:val="28"/>
          <w:rtl/>
        </w:rPr>
        <w:t xml:space="preserve">أورد شعره فی (گلشن- ص 133).</w:t>
      </w:r>
    </w:p>
    <w:p>
      <w:pPr>
        <w:pStyle w:val="Heading3"/>
      </w:pPr>
      <w:bookmarkStart w:id="2964" w:name="_Toc1660"/>
      <w:r>
        <w:t>دیوان حاجی بغدادی‏</w:t>
      </w:r>
      <w:bookmarkEnd w:id="2964"/>
    </w:p>
    <w:p>
      <w:pPr>
        <w:pStyle w:val="BookText"/>
      </w:pPr>
      <w:r>
        <w:rPr>
          <w:rFonts w:ascii="IRNazanin" w:hAnsi="IRNazanin" w:eastAsia="IRNazanin" w:cs="IRNazanin"/>
          <w:lang w:bidi="fa-IR"/>
          <w:color w:val="111111"/>
          <w:sz w:val="28"/>
          <w:szCs w:val="28"/>
          <w:rtl/>
        </w:rPr>
        <w:t xml:space="preserve">راجع دیوان روشنی بغدادی.</w:t>
      </w:r>
    </w:p>
    <w:p>
      <w:pPr>
        <w:pStyle w:val="Heading3"/>
      </w:pPr>
      <w:bookmarkStart w:id="2965" w:name="_Toc1661"/>
      <w:r>
        <w:t>1334- دیوان حاجی بیگ قزوینی أو شعره‏</w:t>
      </w:r>
      <w:bookmarkEnd w:id="2965"/>
    </w:p>
    <w:p>
      <w:pPr>
        <w:pStyle w:val="BookText"/>
      </w:pPr>
      <w:r>
        <w:rPr>
          <w:rFonts w:ascii="IRNazanin" w:hAnsi="IRNazanin" w:eastAsia="IRNazanin" w:cs="IRNazanin"/>
          <w:lang w:bidi="fa-IR"/>
          <w:color w:val="111111"/>
          <w:sz w:val="28"/>
          <w:szCs w:val="28"/>
          <w:rtl/>
        </w:rPr>
        <w:t xml:space="preserve">الحافظ کما فی (تش ص 223) و (خص 8- ص 295) و قال فی (روشن- ص 162) إنه من شعراء الشاه عباس و أوردا شعره.</w:t>
      </w:r>
    </w:p>
    <w:p>
      <w:pPr>
        <w:pStyle w:val="Heading3"/>
      </w:pPr>
      <w:bookmarkStart w:id="2966" w:name="_Toc1662"/>
      <w:r>
        <w:t>دیوان حاجی روشنی‏</w:t>
      </w:r>
      <w:bookmarkEnd w:id="2966"/>
    </w:p>
    <w:p>
      <w:pPr>
        <w:pStyle w:val="BookText"/>
      </w:pPr>
      <w:r>
        <w:rPr>
          <w:rFonts w:ascii="IRNazanin" w:hAnsi="IRNazanin" w:eastAsia="IRNazanin" w:cs="IRNazanin"/>
          <w:lang w:bidi="fa-IR"/>
          <w:color w:val="111111"/>
          <w:sz w:val="28"/>
          <w:szCs w:val="28"/>
          <w:rtl/>
        </w:rPr>
        <w:t xml:space="preserve">راجع دیوان روشنی بغدادی.</w:t>
      </w:r>
    </w:p>
    <w:p>
      <w:pPr>
        <w:pStyle w:val="Heading3"/>
      </w:pPr>
      <w:bookmarkStart w:id="2967" w:name="_Toc1663"/>
      <w:r>
        <w:t>دیوان حاجی سبزواری‏</w:t>
      </w:r>
      <w:bookmarkEnd w:id="2967"/>
    </w:p>
    <w:p>
      <w:pPr>
        <w:pStyle w:val="BookText"/>
      </w:pPr>
      <w:r>
        <w:rPr>
          <w:rFonts w:ascii="IRNazanin" w:hAnsi="IRNazanin" w:eastAsia="IRNazanin" w:cs="IRNazanin"/>
          <w:lang w:bidi="fa-IR"/>
          <w:color w:val="111111"/>
          <w:sz w:val="28"/>
          <w:szCs w:val="28"/>
          <w:rtl/>
        </w:rPr>
        <w:t xml:space="preserve">أورد شعره فی (گلشن- ص 114) و الظاهر أنه أراد اسرار سبزواری.</w:t>
      </w:r>
    </w:p>
    <w:p>
      <w:pPr>
        <w:pStyle w:val="Heading3"/>
      </w:pPr>
      <w:bookmarkStart w:id="2968" w:name="_Toc1664"/>
      <w:r>
        <w:t>دیوان حاجی سمرقندی‏</w:t>
      </w:r>
      <w:bookmarkEnd w:id="2968"/>
    </w:p>
    <w:p>
      <w:pPr>
        <w:pStyle w:val="BookText"/>
      </w:pPr>
      <w:r>
        <w:rPr>
          <w:rFonts w:ascii="IRNazanin" w:hAnsi="IRNazanin" w:eastAsia="IRNazanin" w:cs="IRNazanin"/>
          <w:lang w:bidi="fa-IR"/>
          <w:color w:val="111111"/>
          <w:sz w:val="28"/>
          <w:szCs w:val="28"/>
          <w:rtl/>
        </w:rPr>
        <w:t xml:space="preserve">أورد شعره فی (گلشن- ص 113) و لم أعرفه.</w:t>
      </w:r>
    </w:p>
    <w:p>
      <w:pPr>
        <w:pStyle w:val="Heading3"/>
      </w:pPr>
      <w:bookmarkStart w:id="2969" w:name="_Toc1665"/>
      <w:r>
        <w:t>1335- دیوان حاجی طبسی أو شعره‏</w:t>
      </w:r>
      <w:bookmarkEnd w:id="2969"/>
    </w:p>
    <w:p>
      <w:pPr>
        <w:pStyle w:val="BookText"/>
      </w:pPr>
      <w:r>
        <w:rPr>
          <w:rFonts w:ascii="IRNazanin" w:hAnsi="IRNazanin" w:eastAsia="IRNazanin" w:cs="IRNazanin"/>
          <w:lang w:bidi="fa-IR"/>
          <w:color w:val="111111"/>
          <w:sz w:val="28"/>
          <w:szCs w:val="28"/>
          <w:rtl/>
        </w:rPr>
        <w:t xml:space="preserve">سافر إلی الهند و مات بفراة. أورد شعره فی (گلشن- ص 114).</w:t>
      </w:r>
    </w:p>
    <w:p>
      <w:pPr>
        <w:pStyle w:val="Heading3"/>
      </w:pPr>
      <w:bookmarkStart w:id="2970" w:name="_Toc1666"/>
      <w:r>
        <w:t>1336- دیوان حاجی طهرانی أو شعره‏</w:t>
      </w:r>
      <w:bookmarkEnd w:id="2970"/>
    </w:p>
    <w:p>
      <w:pPr>
        <w:pStyle w:val="BookText"/>
      </w:pPr>
      <w:r>
        <w:rPr>
          <w:rFonts w:ascii="IRNazanin" w:hAnsi="IRNazanin" w:eastAsia="IRNazanin" w:cs="IRNazanin"/>
          <w:lang w:bidi="fa-IR"/>
          <w:color w:val="111111"/>
          <w:sz w:val="28"/>
          <w:szCs w:val="28"/>
          <w:rtl/>
        </w:rPr>
        <w:t xml:space="preserve">أورد شعره فی (گلشن- ص 113- 114) و فی (تغ- ص 39) سماه الحاج محمد.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16" w:name="pg11704_121695"/>
    <w:bookmarkEnd w:id="216"/>
    <w:p>
      <w:pPr>
        <w:pStyle w:val="Heading3"/>
      </w:pPr>
      <w:bookmarkStart w:id="2971" w:name="_Toc1667"/>
      <w:r>
        <w:t>1337- دیوان حاجی عرب أو شعره‏</w:t>
      </w:r>
      <w:bookmarkEnd w:id="2971"/>
    </w:p>
    <w:p>
      <w:pPr>
        <w:pStyle w:val="BookText"/>
      </w:pPr>
      <w:r>
        <w:rPr>
          <w:rFonts w:ascii="IRNazanin" w:hAnsi="IRNazanin" w:eastAsia="IRNazanin" w:cs="IRNazanin"/>
          <w:lang w:bidi="fa-IR"/>
          <w:color w:val="111111"/>
          <w:sz w:val="28"/>
          <w:szCs w:val="28"/>
          <w:rtl/>
        </w:rPr>
        <w:t xml:space="preserve">من طلاب العلم بشیراز. ذهب إلی أصفهان عند لطف علی بیک ثم سافر إلی الهند و مات هناک. أورد شعره فی (نر 6- 203).</w:t>
      </w:r>
    </w:p>
    <w:p>
      <w:pPr>
        <w:pStyle w:val="Heading3"/>
      </w:pPr>
      <w:bookmarkStart w:id="2972" w:name="_Toc1668"/>
      <w:r>
        <w:t>1338- دیوان حاجی قزوینی أو شعره‏</w:t>
      </w:r>
      <w:bookmarkEnd w:id="2972"/>
    </w:p>
    <w:p>
      <w:pPr>
        <w:pStyle w:val="BookText"/>
      </w:pPr>
      <w:r>
        <w:rPr>
          <w:rFonts w:ascii="IRNazanin" w:hAnsi="IRNazanin" w:eastAsia="IRNazanin" w:cs="IRNazanin"/>
          <w:lang w:bidi="fa-IR"/>
          <w:color w:val="111111"/>
          <w:sz w:val="28"/>
          <w:szCs w:val="28"/>
          <w:rtl/>
        </w:rPr>
        <w:t xml:space="preserve">توطن بکاشان. أورد شعره فی (گلشن- ص 113) و لعله حاجی بیگ المذکور.</w:t>
      </w:r>
    </w:p>
    <w:p>
      <w:pPr>
        <w:pStyle w:val="Heading3"/>
      </w:pPr>
      <w:bookmarkStart w:id="2973" w:name="_Toc1669"/>
      <w:r>
        <w:t>1339- دیوان حاجی گیلانی أو شعره‏</w:t>
      </w:r>
      <w:bookmarkEnd w:id="2973"/>
    </w:p>
    <w:p>
      <w:pPr>
        <w:pStyle w:val="BookText"/>
      </w:pPr>
      <w:r>
        <w:rPr>
          <w:rFonts w:ascii="IRNazanin" w:hAnsi="IRNazanin" w:eastAsia="IRNazanin" w:cs="IRNazanin"/>
          <w:lang w:bidi="fa-IR"/>
          <w:color w:val="111111"/>
          <w:sz w:val="28"/>
          <w:szCs w:val="28"/>
          <w:rtl/>
        </w:rPr>
        <w:t xml:space="preserve">و هو الحاج محمد، أصله من کوچ أصفهان من أعمال گیلان کما فی (تش- ص 162) و قال فی (نر 9- ص 345) أصله من کرج من أعمال گیلان و جاء إلی أصفهان و تلمذ علی المولی محمد باقر الخراسانی و المولی حسن الگیلانی، ثم أورد شعره. و قال فی (روشن- ص 162) إنه کان معاصرا للشیخ علی الحزین.</w:t>
      </w:r>
    </w:p>
    <w:p>
      <w:pPr>
        <w:pStyle w:val="Heading3"/>
      </w:pPr>
      <w:bookmarkStart w:id="2974" w:name="_Toc1670"/>
      <w:r>
        <w:t>دیوان حاجی‏لر</w:t>
      </w:r>
      <w:bookmarkEnd w:id="2974"/>
    </w:p>
    <w:p>
      <w:pPr>
        <w:pStyle w:val="BookText"/>
      </w:pPr>
      <w:r>
        <w:rPr>
          <w:rFonts w:ascii="IRNazanin" w:hAnsi="IRNazanin" w:eastAsia="IRNazanin" w:cs="IRNazanin"/>
          <w:lang w:bidi="fa-IR"/>
          <w:color w:val="111111"/>
          <w:sz w:val="28"/>
          <w:szCs w:val="28"/>
          <w:rtl/>
        </w:rPr>
        <w:t xml:space="preserve">راجع دیوان حاجی ابرقوهی.</w:t>
      </w:r>
    </w:p>
    <w:p>
      <w:pPr>
        <w:pStyle w:val="Heading3"/>
      </w:pPr>
      <w:bookmarkStart w:id="2975" w:name="_Toc1671"/>
      <w:r>
        <w:t>1340- دیوان حاجی هندی أو شعره‏</w:t>
      </w:r>
      <w:bookmarkEnd w:id="2975"/>
    </w:p>
    <w:p>
      <w:pPr>
        <w:pStyle w:val="BookText"/>
      </w:pPr>
      <w:r>
        <w:rPr>
          <w:rFonts w:ascii="IRNazanin" w:hAnsi="IRNazanin" w:eastAsia="IRNazanin" w:cs="IRNazanin"/>
          <w:lang w:bidi="fa-IR"/>
          <w:color w:val="111111"/>
          <w:sz w:val="28"/>
          <w:szCs w:val="28"/>
          <w:rtl/>
        </w:rPr>
        <w:t xml:space="preserve">و اسمه شاه عبد الهادی. ذهب إلی الحج و رجع و سکن مدراس و مات بها فی أواخر المائة الثانیة عشرة. أورد شعره فی (گلشن- ص 133).</w:t>
      </w:r>
    </w:p>
    <w:p>
      <w:pPr>
        <w:pStyle w:val="Heading3"/>
      </w:pPr>
      <w:bookmarkStart w:id="2976" w:name="_Toc1672"/>
      <w:r>
        <w:t>1341- دیوان حاذق گیلانی‏</w:t>
      </w:r>
      <w:bookmarkEnd w:id="2976"/>
    </w:p>
    <w:p>
      <w:pPr>
        <w:pStyle w:val="BookText"/>
      </w:pPr>
      <w:r>
        <w:rPr>
          <w:rFonts w:ascii="IRNazanin" w:hAnsi="IRNazanin" w:eastAsia="IRNazanin" w:cs="IRNazanin"/>
          <w:lang w:bidi="fa-IR"/>
          <w:color w:val="111111"/>
          <w:sz w:val="28"/>
          <w:szCs w:val="28"/>
          <w:rtl/>
        </w:rPr>
        <w:t xml:space="preserve">و هو الحکیم کمال الدین بن الحکیم همام بن المولی عبد الرزاق هو ابن أخ الحکیم أبی الفتح الگیلانی و یعد من شعراء شاه‏جهان. کتب دیوانه مزینا فی مجلد مرصع، کلما أدخله فی مجلس یقوم عظماء المجلس احتراما له و مات (1067). ذکر فی (نر 3- ص 61) و (تغ- ص 40) و فهرس ریو للمتحف البریطانی (ص 325) و (سرخوش ص 30).</w:t>
      </w:r>
    </w:p>
    <w:p>
      <w:pPr>
        <w:pStyle w:val="Heading3"/>
      </w:pPr>
      <w:bookmarkStart w:id="2977" w:name="_Toc1673"/>
      <w:r>
        <w:t>1342- دیوان حاذق لکهنوی‏</w:t>
      </w:r>
      <w:bookmarkEnd w:id="2977"/>
    </w:p>
    <w:p>
      <w:pPr>
        <w:pStyle w:val="BookText"/>
      </w:pPr>
      <w:r>
        <w:rPr>
          <w:rFonts w:ascii="IRNazanin" w:hAnsi="IRNazanin" w:eastAsia="IRNazanin" w:cs="IRNazanin"/>
          <w:lang w:bidi="fa-IR"/>
          <w:color w:val="111111"/>
          <w:sz w:val="28"/>
          <w:szCs w:val="28"/>
          <w:rtl/>
        </w:rPr>
        <w:t xml:space="preserve">و هو محمد إسحاق بن علی حسین الماهر فی الطب له دیوان فی مدائح النبی  صلی الله علیه و آله  و لقب بحسان الهند و تلمذ علی محمد أحسن البلگرامی أورد شعره فی (گلشن- ص 133).</w:t>
      </w:r>
    </w:p>
    <w:p>
      <w:pPr>
        <w:pStyle w:val="Heading3"/>
      </w:pPr>
      <w:bookmarkStart w:id="2978" w:name="_Toc1674"/>
      <w:r>
        <w:t>دیوان حارث بن سعید</w:t>
      </w:r>
      <w:bookmarkEnd w:id="2978"/>
    </w:p>
    <w:p>
      <w:pPr>
        <w:pStyle w:val="BookText"/>
      </w:pPr>
      <w:r>
        <w:rPr>
          <w:rFonts w:ascii="IRNazanin" w:hAnsi="IRNazanin" w:eastAsia="IRNazanin" w:cs="IRNazanin"/>
          <w:lang w:bidi="fa-IR"/>
          <w:color w:val="111111"/>
          <w:sz w:val="28"/>
          <w:szCs w:val="28"/>
          <w:rtl/>
        </w:rPr>
        <w:t xml:space="preserve">مر بعنوان دیوان أبی فراس.</w:t>
      </w:r>
    </w:p>
    <w:p>
      <w:pPr>
        <w:pStyle w:val="Heading3"/>
      </w:pPr>
      <w:bookmarkStart w:id="2979" w:name="_Toc1675"/>
      <w:r>
        <w:t>1343- دیوان الحارثی المروی‏</w:t>
      </w:r>
      <w:bookmarkEnd w:id="2979"/>
    </w:p>
    <w:p>
      <w:pPr>
        <w:pStyle w:val="BookText"/>
      </w:pPr>
      <w:r>
        <w:rPr>
          <w:rFonts w:ascii="IRNazanin" w:hAnsi="IRNazanin" w:eastAsia="IRNazanin" w:cs="IRNazanin"/>
          <w:lang w:bidi="fa-IR"/>
          <w:color w:val="111111"/>
          <w:sz w:val="28"/>
          <w:szCs w:val="28"/>
          <w:rtl/>
        </w:rPr>
        <w:t xml:space="preserve">علاء الدین شیخ الإسلام بمرو و بلخ أکثر شعره عربی فی مدائح المعصومین و خصوصا الرضا علیه السلام . ترجمه العوفی فی (اللباب- ج 1- ص 209) و هدایت فی (ض- ص 313) و أورد بعض رباعیاته الفارسیة و کذا فی (تغ- ص 40) عن العوفی. و کذا فی (روشن- ص 163).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17" w:name="pg11704_121696"/>
    <w:bookmarkEnd w:id="217"/>
    <w:p>
      <w:pPr>
        <w:pStyle w:val="Heading3"/>
      </w:pPr>
      <w:bookmarkStart w:id="2980" w:name="_Toc1676"/>
      <w:r>
        <w:t>دیوان الحاروفی‏</w:t>
      </w:r>
      <w:bookmarkEnd w:id="2980"/>
    </w:p>
    <w:p>
      <w:pPr>
        <w:pStyle w:val="BookText"/>
      </w:pPr>
      <w:r>
        <w:rPr>
          <w:rFonts w:ascii="IRNazanin" w:hAnsi="IRNazanin" w:eastAsia="IRNazanin" w:cs="IRNazanin"/>
          <w:lang w:bidi="fa-IR"/>
          <w:color w:val="111111"/>
          <w:sz w:val="28"/>
          <w:szCs w:val="28"/>
          <w:rtl/>
        </w:rPr>
        <w:t xml:space="preserve">راجع دیوان الحومانی.</w:t>
      </w:r>
    </w:p>
    <w:p>
      <w:pPr>
        <w:pStyle w:val="Heading3"/>
      </w:pPr>
      <w:bookmarkStart w:id="2981" w:name="_Toc1677"/>
      <w:r>
        <w:t>1344- دیوان حاسبی أو شعره‏</w:t>
      </w:r>
      <w:bookmarkEnd w:id="2981"/>
    </w:p>
    <w:p>
      <w:pPr>
        <w:pStyle w:val="BookText"/>
      </w:pPr>
      <w:r>
        <w:rPr>
          <w:rFonts w:ascii="IRNazanin" w:hAnsi="IRNazanin" w:eastAsia="IRNazanin" w:cs="IRNazanin"/>
          <w:lang w:bidi="fa-IR"/>
          <w:color w:val="111111"/>
          <w:sz w:val="28"/>
          <w:szCs w:val="28"/>
          <w:rtl/>
        </w:rPr>
        <w:t xml:space="preserve">و اسمه شمس الدین الحاسبی. اقتبس من شعره مجد الدین همگر فی دیوانه. و أورد له قصیدة فی مجلة أرمغان (العدد 10 السنة 15) و کمله النفیسی فی رسالته مجد الدین همگر- ص 70.</w:t>
      </w:r>
    </w:p>
    <w:p>
      <w:pPr>
        <w:pStyle w:val="Heading3"/>
      </w:pPr>
      <w:bookmarkStart w:id="2982" w:name="_Toc1678"/>
      <w:r>
        <w:t>1345- دیوان حاصل مشهدی أو شعره‏</w:t>
      </w:r>
      <w:bookmarkEnd w:id="2982"/>
    </w:p>
    <w:p>
      <w:pPr>
        <w:pStyle w:val="BookText"/>
      </w:pPr>
      <w:r>
        <w:rPr>
          <w:rFonts w:ascii="IRNazanin" w:hAnsi="IRNazanin" w:eastAsia="IRNazanin" w:cs="IRNazanin"/>
          <w:lang w:bidi="fa-IR"/>
          <w:color w:val="111111"/>
          <w:sz w:val="28"/>
          <w:szCs w:val="28"/>
          <w:rtl/>
        </w:rPr>
        <w:t xml:space="preserve">و اسمه الشاه باقر من خدام الحضرة الرضویة بخراسان. سافر إلی الهند و تقرب عند جهانگیر پادشاه. و مات فی ألف و مائة و بضع و ثلاثین. أورد شعره فی (گلشن- ص 115) و قال فی (تغ ص- 40) مات (1140)</w:t>
      </w:r>
    </w:p>
    <w:p>
      <w:pPr>
        <w:pStyle w:val="Heading3"/>
      </w:pPr>
      <w:bookmarkStart w:id="2983" w:name="_Toc1679"/>
      <w:r>
        <w:t>1346- دیوان حاصلی تبریزی أو شعره‏</w:t>
      </w:r>
      <w:bookmarkEnd w:id="2983"/>
    </w:p>
    <w:p>
      <w:pPr>
        <w:pStyle w:val="BookText"/>
      </w:pPr>
      <w:r>
        <w:rPr>
          <w:rFonts w:ascii="IRNazanin" w:hAnsi="IRNazanin" w:eastAsia="IRNazanin" w:cs="IRNazanin"/>
          <w:lang w:bidi="fa-IR"/>
          <w:color w:val="111111"/>
          <w:sz w:val="28"/>
          <w:szCs w:val="28"/>
          <w:rtl/>
        </w:rPr>
        <w:t xml:space="preserve">و هو القزاز المعاصر لسام میرزا. أورد شعره فی (تس 5- ص 142).</w:t>
      </w:r>
    </w:p>
    <w:p>
      <w:pPr>
        <w:pStyle w:val="Heading3"/>
      </w:pPr>
      <w:bookmarkStart w:id="2984" w:name="_Toc1680"/>
      <w:r>
        <w:t>1347- دیوان حاضری خراسانی أو شعره‏</w:t>
      </w:r>
      <w:bookmarkEnd w:id="2984"/>
    </w:p>
    <w:p>
      <w:pPr>
        <w:pStyle w:val="BookText"/>
      </w:pPr>
      <w:r>
        <w:rPr>
          <w:rFonts w:ascii="IRNazanin" w:hAnsi="IRNazanin" w:eastAsia="IRNazanin" w:cs="IRNazanin"/>
          <w:lang w:bidi="fa-IR"/>
          <w:color w:val="111111"/>
          <w:sz w:val="28"/>
          <w:szCs w:val="28"/>
          <w:rtl/>
        </w:rPr>
        <w:t xml:space="preserve">کان من نقباء مشهد و اسمه أبو المکارم.</w:t>
      </w:r>
    </w:p>
    <w:p>
      <w:pPr>
        <w:pStyle w:val="BookText"/>
      </w:pPr>
      <w:r>
        <w:rPr>
          <w:rFonts w:ascii="IRNazanin" w:hAnsi="IRNazanin" w:eastAsia="IRNazanin" w:cs="IRNazanin"/>
          <w:lang w:bidi="fa-IR"/>
          <w:color w:val="111111"/>
          <w:sz w:val="28"/>
          <w:szCs w:val="28"/>
          <w:rtl/>
        </w:rPr>
        <w:t xml:space="preserve">ترجمه معاصره فی (تس 1- ص 46). و کان عمره فی (957) عشرین سنة. و کذا فی (روشن- ص 163).</w:t>
      </w:r>
    </w:p>
    <w:p>
      <w:pPr>
        <w:pStyle w:val="Heading3"/>
      </w:pPr>
      <w:bookmarkStart w:id="2985" w:name="_Toc1681"/>
      <w:r>
        <w:t>1348- دیوان حاضری سمنانی أو شعره‏</w:t>
      </w:r>
      <w:bookmarkEnd w:id="2985"/>
    </w:p>
    <w:p>
      <w:pPr>
        <w:pStyle w:val="BookText"/>
      </w:pPr>
      <w:r>
        <w:rPr>
          <w:rFonts w:ascii="IRNazanin" w:hAnsi="IRNazanin" w:eastAsia="IRNazanin" w:cs="IRNazanin"/>
          <w:lang w:bidi="fa-IR"/>
          <w:color w:val="111111"/>
          <w:sz w:val="28"/>
          <w:szCs w:val="28"/>
          <w:rtl/>
        </w:rPr>
        <w:t xml:space="preserve">کان تاجرا. ترجمه معاصره فی (تس 5- ص 147).</w:t>
      </w:r>
    </w:p>
    <w:p>
      <w:pPr>
        <w:pStyle w:val="Heading3"/>
      </w:pPr>
      <w:bookmarkStart w:id="2986" w:name="_Toc1682"/>
      <w:r>
        <w:t>دیوان حافظ أصفهانی‏</w:t>
      </w:r>
      <w:bookmarkEnd w:id="2986"/>
    </w:p>
    <w:p>
      <w:pPr>
        <w:pStyle w:val="BookText"/>
      </w:pPr>
      <w:r>
        <w:rPr>
          <w:rFonts w:ascii="IRNazanin" w:hAnsi="IRNazanin" w:eastAsia="IRNazanin" w:cs="IRNazanin"/>
          <w:lang w:bidi="fa-IR"/>
          <w:color w:val="111111"/>
          <w:sz w:val="28"/>
          <w:szCs w:val="28"/>
          <w:rtl/>
        </w:rPr>
        <w:t xml:space="preserve">مر بعنوان دیوان تجلی.</w:t>
      </w:r>
    </w:p>
    <w:p>
      <w:pPr>
        <w:pStyle w:val="Heading3"/>
      </w:pPr>
      <w:bookmarkStart w:id="2987" w:name="_Toc1683"/>
      <w:r>
        <w:t>1349- دیوان حافظ أصفهانی‏</w:t>
      </w:r>
      <w:bookmarkEnd w:id="2987"/>
    </w:p>
    <w:p>
      <w:pPr>
        <w:pStyle w:val="BookText"/>
      </w:pPr>
      <w:r>
        <w:rPr>
          <w:rFonts w:ascii="IRNazanin" w:hAnsi="IRNazanin" w:eastAsia="IRNazanin" w:cs="IRNazanin"/>
          <w:lang w:bidi="fa-IR"/>
          <w:color w:val="111111"/>
          <w:sz w:val="28"/>
          <w:szCs w:val="28"/>
          <w:rtl/>
        </w:rPr>
        <w:t xml:space="preserve">و هو أبو الحسن طاهر بن عرب (أو عرب شاه) بن إبراهیم تلمیذ محمد بن محمد الجزری (المتوفی 833) ذکرناه فی (ج 3 ص 368 و ج 8 ص 68) ذکر. له قصیدتان فارسیتان فی کشف الظنون کلاهما فی التجوید و قال مات (786) و الظاهر أنه تصحیف (886).</w:t>
      </w:r>
    </w:p>
    <w:p>
      <w:pPr>
        <w:pStyle w:val="Heading3"/>
      </w:pPr>
      <w:bookmarkStart w:id="2988" w:name="_Toc1684"/>
      <w:r>
        <w:t>1350- دیوان حافظ أوبهی‏</w:t>
      </w:r>
      <w:bookmarkEnd w:id="2988"/>
    </w:p>
    <w:p>
      <w:pPr>
        <w:pStyle w:val="BookText"/>
      </w:pPr>
      <w:r>
        <w:rPr>
          <w:rFonts w:ascii="IRNazanin" w:hAnsi="IRNazanin" w:eastAsia="IRNazanin" w:cs="IRNazanin"/>
          <w:lang w:bidi="fa-IR"/>
          <w:color w:val="111111"/>
          <w:sz w:val="28"/>
          <w:szCs w:val="28"/>
          <w:rtl/>
        </w:rPr>
        <w:t xml:space="preserve">و هو الشاعر الخطاط المثری، علی الخراسانی أورد شعره معاصره فی (مجتس 3- ص 144) و قال فی روضة الصفا (ج 7) إنه کان حیا فی (929) فما ذکر فی (ج 3- ص 410) من تاریخ وفاته غلط</w:t>
      </w:r>
      <w:r>
        <w:rPr>
          <w:rStyle w:val="FootnoteReference"/>
        </w:rPr>
        <w:footnoteReference w:id="20"/>
      </w:r>
      <w:r>
        <w:rPr>
          <w:rFonts w:ascii="IRNazanin" w:hAnsi="IRNazanin" w:eastAsia="IRNazanin" w:cs="IRNazanin"/>
          <w:lang w:bidi="fa-IR"/>
          <w:color w:val="111111"/>
          <w:sz w:val="28"/>
          <w:szCs w:val="28"/>
          <w:rtl/>
        </w:rPr>
        <w:t xml:space="preserve">ص 457 الهامش‏</w:t>
      </w:r>
    </w:p>
    <w:p>
      <w:pPr>
        <w:pStyle w:val="Heading3"/>
      </w:pPr>
      <w:bookmarkStart w:id="2989" w:name="_Toc1685"/>
      <w:r>
        <w:t>دیوان حافظ بخاری‏</w:t>
      </w:r>
      <w:bookmarkEnd w:id="2989"/>
    </w:p>
    <w:p>
      <w:pPr>
        <w:pStyle w:val="BookText"/>
      </w:pPr>
      <w:r>
        <w:rPr>
          <w:rFonts w:ascii="IRNazanin" w:hAnsi="IRNazanin" w:eastAsia="IRNazanin" w:cs="IRNazanin"/>
          <w:lang w:bidi="fa-IR"/>
          <w:color w:val="111111"/>
          <w:sz w:val="28"/>
          <w:szCs w:val="28"/>
          <w:rtl/>
        </w:rPr>
        <w:t xml:space="preserve">یأتی بعنوان دیوان سعد بخاری. .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18" w:name="pg11704_121697"/>
    <w:bookmarkEnd w:id="218"/>
    <w:p>
      <w:pPr>
        <w:pStyle w:val="Heading3"/>
      </w:pPr>
      <w:bookmarkStart w:id="2990" w:name="_Toc1686"/>
      <w:r>
        <w:t>1351- دیوان حافظ پناهی‏</w:t>
      </w:r>
      <w:bookmarkEnd w:id="2990"/>
    </w:p>
    <w:p>
      <w:pPr>
        <w:pStyle w:val="BookText"/>
      </w:pPr>
      <w:r>
        <w:rPr>
          <w:rFonts w:ascii="IRNazanin" w:hAnsi="IRNazanin" w:eastAsia="IRNazanin" w:cs="IRNazanin"/>
          <w:lang w:bidi="fa-IR"/>
          <w:color w:val="111111"/>
          <w:sz w:val="28"/>
          <w:szCs w:val="28"/>
          <w:rtl/>
        </w:rPr>
        <w:t xml:space="preserve">الملقب بکمان‏ابرو الخراسانی معاصر میر علی شیر (المتوفی 906) عده فی (مجتس 4- 147) من الشعراء الفضلاء و قال جمع دیوانه بنفسه‏</w:t>
      </w:r>
    </w:p>
    <w:p>
      <w:pPr>
        <w:pStyle w:val="Heading3"/>
      </w:pPr>
      <w:bookmarkStart w:id="2991" w:name="_Toc1687"/>
      <w:r>
        <w:t>دیوان حافظ تبریزی‏</w:t>
      </w:r>
      <w:bookmarkEnd w:id="2991"/>
    </w:p>
    <w:p>
      <w:pPr>
        <w:pStyle w:val="BookText"/>
      </w:pPr>
      <w:r>
        <w:rPr>
          <w:rFonts w:ascii="IRNazanin" w:hAnsi="IRNazanin" w:eastAsia="IRNazanin" w:cs="IRNazanin"/>
          <w:lang w:bidi="fa-IR"/>
          <w:color w:val="111111"/>
          <w:sz w:val="28"/>
          <w:szCs w:val="28"/>
          <w:rtl/>
        </w:rPr>
        <w:t xml:space="preserve">مر بعنوان دیوان چرگر و یأتی دیوان خرامی‏</w:t>
      </w:r>
    </w:p>
    <w:p>
      <w:pPr>
        <w:pStyle w:val="Heading3"/>
      </w:pPr>
      <w:bookmarkStart w:id="2992" w:name="_Toc1688"/>
      <w:r>
        <w:t>دیوان حافظ تبریزی‏</w:t>
      </w:r>
      <w:bookmarkEnd w:id="2992"/>
    </w:p>
    <w:p>
      <w:pPr>
        <w:pStyle w:val="BookText"/>
      </w:pPr>
      <w:r>
        <w:rPr>
          <w:rFonts w:ascii="IRNazanin" w:hAnsi="IRNazanin" w:eastAsia="IRNazanin" w:cs="IRNazanin"/>
          <w:lang w:bidi="fa-IR"/>
          <w:color w:val="111111"/>
          <w:sz w:val="28"/>
          <w:szCs w:val="28"/>
          <w:rtl/>
        </w:rPr>
        <w:t xml:space="preserve">یأتی بعنوان دیوان حافظ مجلسی‏</w:t>
      </w:r>
    </w:p>
    <w:p>
      <w:pPr>
        <w:pStyle w:val="Heading3"/>
      </w:pPr>
      <w:bookmarkStart w:id="2993" w:name="_Toc1689"/>
      <w:r>
        <w:t>1352- دیوان حافظ تبریزی‏</w:t>
      </w:r>
      <w:bookmarkEnd w:id="2993"/>
    </w:p>
    <w:p>
      <w:pPr>
        <w:pStyle w:val="BookText"/>
      </w:pPr>
      <w:r>
        <w:rPr>
          <w:rFonts w:ascii="IRNazanin" w:hAnsi="IRNazanin" w:eastAsia="IRNazanin" w:cs="IRNazanin"/>
          <w:lang w:bidi="fa-IR"/>
          <w:color w:val="111111"/>
          <w:sz w:val="28"/>
          <w:szCs w:val="28"/>
          <w:rtl/>
        </w:rPr>
        <w:t xml:space="preserve">و هو محمد حسین التبریزی الأصل نزیل أصفهان، کان قاری روضة الشهداء أولا ثم ترقی أمره باتصاله بالمیرزا حبیب الله الصدر الذی توفی حدود (1060) لأن ولده المیرزا علی رضا نصب لشیخوخة الإسلام فی مرض موت والده الصدر فی (1060) ذکره فی (نر 9 ص 389)</w:t>
      </w:r>
    </w:p>
    <w:p>
      <w:pPr>
        <w:pStyle w:val="Heading3"/>
      </w:pPr>
      <w:bookmarkStart w:id="2994" w:name="_Toc1690"/>
      <w:r>
        <w:t>دیوان حافظ تبریزی‏</w:t>
      </w:r>
      <w:bookmarkEnd w:id="2994"/>
    </w:p>
    <w:p>
      <w:pPr>
        <w:pStyle w:val="BookText"/>
      </w:pPr>
      <w:r>
        <w:rPr>
          <w:rFonts w:ascii="IRNazanin" w:hAnsi="IRNazanin" w:eastAsia="IRNazanin" w:cs="IRNazanin"/>
          <w:lang w:bidi="fa-IR"/>
          <w:color w:val="111111"/>
          <w:sz w:val="28"/>
          <w:szCs w:val="28"/>
          <w:rtl/>
        </w:rPr>
        <w:t xml:space="preserve">یأتی بعنوان حافظ صدر</w:t>
      </w:r>
    </w:p>
    <w:p>
      <w:pPr>
        <w:pStyle w:val="Heading3"/>
      </w:pPr>
      <w:bookmarkStart w:id="2995" w:name="_Toc1691"/>
      <w:r>
        <w:t>دیوان حافظ تبریزی‏</w:t>
      </w:r>
      <w:bookmarkEnd w:id="2995"/>
    </w:p>
    <w:p>
      <w:pPr>
        <w:pStyle w:val="BookText"/>
      </w:pPr>
      <w:r>
        <w:rPr>
          <w:rFonts w:ascii="IRNazanin" w:hAnsi="IRNazanin" w:eastAsia="IRNazanin" w:cs="IRNazanin"/>
          <w:lang w:bidi="fa-IR"/>
          <w:color w:val="111111"/>
          <w:sz w:val="28"/>
          <w:szCs w:val="28"/>
          <w:rtl/>
        </w:rPr>
        <w:t xml:space="preserve">راجع دیوان سعد بخاری‏</w:t>
      </w:r>
    </w:p>
    <w:p>
      <w:pPr>
        <w:pStyle w:val="Heading3"/>
      </w:pPr>
      <w:bookmarkStart w:id="2996" w:name="_Toc1692"/>
      <w:r>
        <w:t>دیوان حافظ تربتی‏</w:t>
      </w:r>
      <w:bookmarkEnd w:id="2996"/>
    </w:p>
    <w:p>
      <w:pPr>
        <w:pStyle w:val="BookText"/>
      </w:pPr>
      <w:r>
        <w:rPr>
          <w:rFonts w:ascii="IRNazanin" w:hAnsi="IRNazanin" w:eastAsia="IRNazanin" w:cs="IRNazanin"/>
          <w:lang w:bidi="fa-IR"/>
          <w:color w:val="111111"/>
          <w:sz w:val="28"/>
          <w:szCs w:val="28"/>
          <w:rtl/>
        </w:rPr>
        <w:t xml:space="preserve">راجع حافظ خراسانی و حافظ شربتی‏</w:t>
      </w:r>
    </w:p>
    <w:p>
      <w:pPr>
        <w:pStyle w:val="Heading3"/>
      </w:pPr>
      <w:bookmarkStart w:id="2997" w:name="_Toc1693"/>
      <w:r>
        <w:t>1353- دیوان حافظ جامی أو شعره‏</w:t>
      </w:r>
      <w:bookmarkEnd w:id="2997"/>
    </w:p>
    <w:p>
      <w:pPr>
        <w:pStyle w:val="BookText"/>
      </w:pPr>
      <w:r>
        <w:rPr>
          <w:rFonts w:ascii="IRNazanin" w:hAnsi="IRNazanin" w:eastAsia="IRNazanin" w:cs="IRNazanin"/>
          <w:lang w:bidi="fa-IR"/>
          <w:color w:val="111111"/>
          <w:sz w:val="28"/>
          <w:szCs w:val="28"/>
          <w:rtl/>
        </w:rPr>
        <w:t xml:space="preserve">و اسمه علی الصوفی الکبیر القاری أستاذ قراء عصره و مرشد میر علی شیر (م 906) و درویش منصور السبزواری أورد شعره فی (مجن 2 ص 33 و 34 و 206 و 207) و قال نقل الجامی فی النفحات‏</w:t>
      </w:r>
      <w:r>
        <w:rPr>
          <w:rStyle w:val="FootnoteReference"/>
        </w:rPr>
        <w:footnoteReference w:id="21"/>
      </w:r>
      <w:r>
        <w:rPr>
          <w:rFonts w:ascii="IRNazanin" w:hAnsi="IRNazanin" w:eastAsia="IRNazanin" w:cs="IRNazanin"/>
          <w:lang w:bidi="fa-IR"/>
          <w:color w:val="111111"/>
          <w:sz w:val="28"/>
          <w:szCs w:val="28"/>
          <w:rtl/>
        </w:rPr>
        <w:t xml:space="preserve">عن کتابه شرح قصیدة طلسم للعطار التی أولها:</w:t>
      </w:r>
    </w:p>
    <w:p>
      <w:pPr>
        <w:pStyle w:val="BookText"/>
      </w:pPr>
      <w:r>
        <w:rPr>
          <w:rFonts w:ascii="IRNazanin" w:hAnsi="IRNazanin" w:eastAsia="IRNazanin" w:cs="IRNazanin"/>
          <w:lang w:bidi="fa-IR"/>
          <w:color w:val="111111"/>
          <w:sz w:val="28"/>
          <w:szCs w:val="28"/>
          <w:rtl/>
        </w:rPr>
        <w:t xml:space="preserve">ای روی در کشیده به بإزار آمده‏</w:t>
      </w:r>
    </w:p>
    <w:p>
      <w:pPr>
        <w:pStyle w:val="BookText"/>
      </w:pPr>
      <w:r>
        <w:rPr>
          <w:rFonts w:ascii="IRNazanin" w:hAnsi="IRNazanin" w:eastAsia="IRNazanin" w:cs="IRNazanin"/>
          <w:lang w:bidi="fa-IR"/>
          <w:color w:val="111111"/>
          <w:sz w:val="28"/>
          <w:szCs w:val="28"/>
          <w:rtl/>
        </w:rPr>
        <w:t xml:space="preserve">خلقی بدین طلسم گرفتار آمده‏</w:t>
      </w:r>
    </w:p>
    <w:p>
      <w:pPr>
        <w:pStyle w:val="BookText"/>
      </w:pPr>
      <w:r>
        <w:rPr>
          <w:rFonts w:ascii="IRNazanin" w:hAnsi="IRNazanin" w:eastAsia="IRNazanin" w:cs="IRNazanin"/>
          <w:lang w:bidi="fa-IR"/>
          <w:color w:val="111111"/>
          <w:sz w:val="28"/>
          <w:szCs w:val="28"/>
          <w:rtl/>
        </w:rPr>
        <w:t xml:space="preserve">و دفن بمقبرة الشیخ بهاء الدین عمر و راجع رجال حبیب السیر ص 133 و الظاهر أنه مقدم علی الحافظ علی البیرجندی القاری والد سروری البیرجندی الشاعر</w:t>
      </w:r>
    </w:p>
    <w:p>
      <w:pPr>
        <w:pStyle w:val="Heading3"/>
      </w:pPr>
      <w:bookmarkStart w:id="2998" w:name="_Toc1694"/>
      <w:r>
        <w:t>دیوان حافظ جلال‏</w:t>
      </w:r>
      <w:bookmarkEnd w:id="2998"/>
    </w:p>
    <w:p>
      <w:pPr>
        <w:pStyle w:val="BookText"/>
      </w:pPr>
      <w:r>
        <w:rPr>
          <w:rFonts w:ascii="IRNazanin" w:hAnsi="IRNazanin" w:eastAsia="IRNazanin" w:cs="IRNazanin"/>
          <w:lang w:bidi="fa-IR"/>
          <w:color w:val="111111"/>
          <w:sz w:val="28"/>
          <w:szCs w:val="28"/>
          <w:rtl/>
        </w:rPr>
        <w:t xml:space="preserve">راجع حافظ سعد و حافظ هروی‏</w:t>
      </w:r>
    </w:p>
    <w:p>
      <w:pPr>
        <w:pStyle w:val="Heading3"/>
      </w:pPr>
      <w:bookmarkStart w:id="2999" w:name="_Toc1695"/>
      <w:r>
        <w:t>1354- دیوان حافظ حلوائی أو شعره‏</w:t>
      </w:r>
      <w:bookmarkEnd w:id="2999"/>
    </w:p>
    <w:p>
      <w:pPr>
        <w:pStyle w:val="BookText"/>
      </w:pPr>
      <w:r>
        <w:rPr>
          <w:rFonts w:ascii="IRNazanin" w:hAnsi="IRNazanin" w:eastAsia="IRNazanin" w:cs="IRNazanin"/>
          <w:lang w:bidi="fa-IR"/>
          <w:color w:val="111111"/>
          <w:sz w:val="28"/>
          <w:szCs w:val="28"/>
          <w:rtl/>
        </w:rPr>
        <w:t xml:space="preserve">من شعراء شاه‏رخ شاه التیموری أورد غزله فی (لت 7) و (روشن- ص 163)</w:t>
      </w:r>
    </w:p>
    <w:p>
      <w:pPr>
        <w:pStyle w:val="Heading3"/>
      </w:pPr>
      <w:bookmarkStart w:id="3000" w:name="_Toc1696"/>
      <w:r>
        <w:t>1355- دیوان حافظ خراسانی أو شعره‏</w:t>
      </w:r>
      <w:bookmarkEnd w:id="3000"/>
    </w:p>
    <w:p>
      <w:pPr>
        <w:pStyle w:val="BookText"/>
      </w:pPr>
      <w:r>
        <w:rPr>
          <w:rFonts w:ascii="IRNazanin" w:hAnsi="IRNazanin" w:eastAsia="IRNazanin" w:cs="IRNazanin"/>
          <w:lang w:bidi="fa-IR"/>
          <w:color w:val="111111"/>
          <w:sz w:val="28"/>
          <w:szCs w:val="28"/>
          <w:rtl/>
        </w:rPr>
        <w:t xml:space="preserve">کان من تربت خراسانی و اسمه الحافظ بابا جان ترجمه معاصره سام میرزا فی (تس 4- 82) و أورد شعره‏ ‏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19" w:name="pg11704_121698"/>
    <w:bookmarkEnd w:id="219"/>
    <w:p>
      <w:pPr>
        <w:pStyle w:val="Heading3"/>
      </w:pPr>
      <w:bookmarkStart w:id="3001" w:name="_Toc1697"/>
      <w:r>
        <w:t>دیوان حافظ سعد بخاری‏</w:t>
      </w:r>
      <w:bookmarkEnd w:id="3001"/>
    </w:p>
    <w:p>
      <w:pPr>
        <w:pStyle w:val="BookText"/>
      </w:pPr>
      <w:r>
        <w:rPr>
          <w:rFonts w:ascii="IRNazanin" w:hAnsi="IRNazanin" w:eastAsia="IRNazanin" w:cs="IRNazanin"/>
          <w:lang w:bidi="fa-IR"/>
          <w:color w:val="111111"/>
          <w:sz w:val="28"/>
          <w:szCs w:val="28"/>
          <w:rtl/>
        </w:rPr>
        <w:t xml:space="preserve">یأتی بعنوان دیوان سعد بخاری‏</w:t>
      </w:r>
    </w:p>
    <w:p>
      <w:pPr>
        <w:pStyle w:val="Heading3"/>
      </w:pPr>
      <w:bookmarkStart w:id="3002" w:name="_Toc1698"/>
      <w:r>
        <w:t>1356- دیوان حافظ شیرازی‏</w:t>
      </w:r>
      <w:bookmarkEnd w:id="3002"/>
    </w:p>
    <w:p>
      <w:pPr>
        <w:pStyle w:val="BookText"/>
      </w:pPr>
      <w:r>
        <w:rPr>
          <w:rFonts w:ascii="IRNazanin" w:hAnsi="IRNazanin" w:eastAsia="IRNazanin" w:cs="IRNazanin"/>
          <w:lang w:bidi="fa-IR"/>
          <w:color w:val="111111"/>
          <w:sz w:val="28"/>
          <w:szCs w:val="28"/>
          <w:rtl/>
        </w:rPr>
        <w:t xml:space="preserve">و هو الخواجة شمس الدین محمد المدعو بحافظ الشیرازی و ذلک لکونه حافظا للقرآن کما صرح به نفسه فی بعض أشعاره و هو قوله:</w:t>
      </w:r>
    </w:p>
    <w:p>
      <w:pPr>
        <w:pStyle w:val="BookText"/>
      </w:pPr>
      <w:r>
        <w:rPr>
          <w:rFonts w:ascii="IRNazanin" w:hAnsi="IRNazanin" w:eastAsia="IRNazanin" w:cs="IRNazanin"/>
          <w:lang w:bidi="fa-IR"/>
          <w:color w:val="111111"/>
          <w:sz w:val="28"/>
          <w:szCs w:val="28"/>
          <w:rtl/>
        </w:rPr>
        <w:t xml:space="preserve">ندیدم خوش‏تر از شعر تو حافظ</w:t>
      </w:r>
    </w:p>
    <w:p>
      <w:pPr>
        <w:pStyle w:val="BookText"/>
      </w:pPr>
      <w:r>
        <w:rPr>
          <w:rFonts w:ascii="IRNazanin" w:hAnsi="IRNazanin" w:eastAsia="IRNazanin" w:cs="IRNazanin"/>
          <w:lang w:bidi="fa-IR"/>
          <w:color w:val="111111"/>
          <w:sz w:val="28"/>
          <w:szCs w:val="28"/>
          <w:rtl/>
        </w:rPr>
        <w:t xml:space="preserve">به قرآنی که اندر سینه داری‏</w:t>
      </w:r>
    </w:p>
    <w:p>
      <w:pPr>
        <w:pStyle w:val="BookText"/>
      </w:pPr>
      <w:r>
        <w:rPr>
          <w:rFonts w:ascii="IRNazanin" w:hAnsi="IRNazanin" w:eastAsia="IRNazanin" w:cs="IRNazanin"/>
          <w:lang w:bidi="fa-IR"/>
          <w:color w:val="111111"/>
          <w:sz w:val="28"/>
          <w:szCs w:val="28"/>
          <w:rtl/>
        </w:rPr>
        <w:t xml:space="preserve">و یقال لدیوانه لسان الغیب لخلوه عن التکلف کما ذکره الجامی أو لأخبار تفاؤلاته عن الغیب کما فی خزانة عامرة ص 180، و یقال له قرآن فارسی لموافقة أکثر مضامین أشعاره للقرآن کما ذکر فی ترجمته فی مجالس النفائس ص 355 و هو أشهر الدواوین الفارسیة و اسم ناظمه محمد و أشهر ألقابه الحافظ الشیرازی المولد ولد بها حدود (729) و توفی حدود (792) علی خلاف فی تاریخی الولادة و الوفاة و قبره فی شیراز معروف بالحافظیة یتبرک به و بزیارته، و یتفأل بدیوانه حتی أنه ألف الشیخ محمد بن الشیخ الهروی رسالة فارسیة فی مطابقة تفاؤلاته، و ألف المولی حسین الکفوی المتوفی بعد (980) رسالة ترکیة فی ذکر تفاؤلاته کما ذکرهما کشف الظنون (ج 1 ص 508) و ذکر ثلاثة من شروحه:</w:t>
      </w:r>
    </w:p>
    <w:p>
      <w:pPr>
        <w:pStyle w:val="BookText"/>
      </w:pPr>
      <w:r>
        <w:rPr>
          <w:rFonts w:ascii="IRNazanin" w:hAnsi="IRNazanin" w:eastAsia="IRNazanin" w:cs="IRNazanin"/>
          <w:lang w:bidi="fa-IR"/>
          <w:color w:val="111111"/>
          <w:sz w:val="28"/>
          <w:szCs w:val="28"/>
          <w:rtl/>
        </w:rPr>
        <w:t xml:space="preserve">شرح المولی سروری و شرح المولی شمعی، و شرح المولی سودی و مما ألف فیما یتعلق بهذا الدیوان فی (1038) اللطیفة الغیبیة فیما یتعلق بلسان الغیب تألیف المولی محمد الدارابی کما یأتی فی حرف اللام ثم إن الحافظ لم یرتب الدیوان فی حیاته بل انما جمعه بعض مصاحبیه بعد وفاة الحافظ و بدأ بمقدمة موجودة حتی الیوم مذکورة بعین عبارتها الفارسیة فی (ص کح) من مقدمه تاریخ عصر حافظ و انتشرت النسخ من تلک النسخة المفقود أصلها مع بعض التصرفات الاجتهادیة من النساخ، فیری فی بعضها زیادة أو نقصان أو تغییر بتقدیم أو تأخیر أو غیر ذلک و طبع قدیما عن بعض تلک النسخ علی ما فی النسخة من التصرفات من غیر عنایة و دقة، و لکن الأفاضل المتأخرین من المعاصرین لم یقصر وافی بذل الجهد و الجد فی الخدمة بهذا الدیوان و إحیائه و إبرازه بصورته الصحیحة فی عدة طبعات اعتمدوا فیها علی النسخ العتیقة القریبة من عصر الحافظ التی ظفروا بها فی هذه الأواخر، و قدموا لکل طبع مقدمه شرحوا فیها أحوال الحافظ و تواریخه و خصوصیات النسخ المأخوذ عنها، مثل مقدمه طبعه بقلم حسین پژمان و مقدمه طبعه بقلم عبد الحسین هژیر و مقدمه طبع الکروالی لعباس نهضت (1319) و أسوة هؤلاء فی هذه الفکرة و أسبقهم إلی‏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الخدمة المیرزا محمد خان بن المولی عبد الوهاب القزوینی کان والده من أعضاء لجنة تألیف‏نامه دانشوران و ربی ولده أحسن تربیة و ساعده التوفیق للسیر فی مکتبات الغرب فحصل منها من الکشفیات العلمیة و التاریخیة ما لم یتیسر لأمثاله و أقرانه و یظهر سبقه فی هذا المیدان من أول مقدمته لتاریخ عصر الحافظ فی مقالة مع الدکتور قاسم غنی فی (1302 ش) ثم بسط مقالته فی مقدمه طبع الحافظ بنفقة وزارة الفرهنگ فی أزید من مائة صفحة و ساهمه فی هذه الخدمة الفاضل السید عبد الرحیم الخلخالی فطبعه علی النسخة القریبة من عصر الحافظ المؤرخة (828) و ضم إلیه مقدمه فی ثلاثین صفحة و فرغ من طبعه بطهران (1306 ش) و نشر المیرزا محمد خان القزوینی بعض نظراته علی هذه المقدمة فی مجلة (علم و هنر) المنطبعة فی آلمانیا فی (1307 ش) و جمع من الأفاضل المعاصرین کتبوا رسائل بعناوین خاصة مستقلة أیضا فی ترجمه أحوال الحافظ و آثاره و ما یتعلق بعصره و مصره و غیر ذلک طبع منها شرح حال لسان الغیب و داستان زندگانی حافظ بقلم حسین پژمان و بهترین اشعار دیوان حافظ بقلمه أیضا، و حافظ شیرین سخن فی 400 ص للدکتور محمد معین طبع (1319 ش) و بحث در آثار و أحوال حافظ فی ثلاث مجلدات للدکتور قاسم غنی خرج مجلده الأول من الطبع بعنوان تاریخ عصر حافظ فی 506 ص مع مقدمتین للقزوینی و للمؤلف یبلغ (ص 76) و تم طبعه فی (1361) مطابق (1321 ش) و کذا دل شیدای حافظ لمسعود فرزاد المطبوع بطهران و حافظشناسی لمحمد علی بامداد فی (174 ص) و حافظ چه می‏گوید للکسروی و ألف هو من فی رده کتابا فی (263 ص) و شرح حال لسان الغیب لسیف‏پور فاطمی و درسی از دیوان حافظ لعلی أصغر حکمت و سخن حافظ لسلیم نیساری و مر حافظ تشریح لهژیر المقتول (1370) و أقدم الطبعات التی رأیتها لهذا الدیوان ما طبعه برکهاوس فی لایبزیک عام (1854 م) و أحسنها طبعه سودی الشاعر الترکی بأستانبول (1870 م) ثم طبعه قدسی فی بمبئی (1322) فی (496 ص) ثم طبعه علی نقی بها فی (316 ص) ثم ما طبع علیها بطهران (أیضا فی 316 ص) ثم</w:t>
      </w:r>
    </w:p>
    <w:p>
      <w:pPr>
        <w:pStyle w:val="BookText"/>
      </w:pPr>
      <w:r>
        <w:rPr>
          <w:rFonts w:ascii="IRNazanin" w:hAnsi="IRNazanin" w:eastAsia="IRNazanin" w:cs="IRNazanin"/>
          <w:lang w:bidi="fa-IR"/>
          <w:color w:val="111111"/>
          <w:sz w:val="28"/>
          <w:szCs w:val="28"/>
          <w:rtl/>
        </w:rPr>
        <w:t xml:space="preserve">طبعه عبد الرحیم الخلخالی فی (1306 ش) بطهران فی (356 ص) ثم فی (1320 ش) بتصحیح حسین پژمان بطهران فی (488 ص) ثم بتصحیح مجید یکتایی علی طبعه قدسی بمطبعة علمی بطهران فی (490 ص) فی (1309 ش) ثم تصحیح هومن فی (328 ص)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20" w:name="pg11704_121700"/>
    <w:bookmarkEnd w:id="220"/>
    <w:p>
      <w:pPr>
        <w:pStyle w:val="BookText"/>
      </w:pPr>
      <w:r>
        <w:rPr>
          <w:rFonts w:ascii="IRNazanin" w:hAnsi="IRNazanin" w:eastAsia="IRNazanin" w:cs="IRNazanin"/>
          <w:lang w:bidi="fa-IR"/>
          <w:color w:val="111111"/>
          <w:sz w:val="28"/>
          <w:szCs w:val="28"/>
          <w:rtl/>
        </w:rPr>
        <w:t xml:space="preserve">بطهران و طبع خلاصه دیوان حافظ لمحمد علی فروغی فی (227 ص) و لکوهی کرمانی مع خلاصه سعدی فی (391 ص) ثم شرکت طبع کتاب فی (334 ص) و قد طبع فال‏نامه حافظ بأمریکا و فال حافظ فی (48 ص) لروحی و غیره یأتی فی الفاء متعددا و طبع شروح الدیوان بالهند خاصة لأنه فی إیران لم یحتج إلی شرح، فمنها شرح لطیفة غیبیة و شرح یوسفی طبع بنولکشور، و طبع شرح بالأردویة بلاهور قبل 1342 و قد ترجم دیوان الحافظ باللغات الأوروبیة أکثر من عشرین مرة و راجع ترجمه أحوال الحافظ الشیرازی فی نفحات الأنس و مرآة الخیال و هفت إقلیم و المستر براون فی (ج 3) و غیرها</w:t>
      </w:r>
    </w:p>
    <w:p>
      <w:pPr>
        <w:pStyle w:val="Heading3"/>
      </w:pPr>
      <w:bookmarkStart w:id="3003" w:name="_Toc1699"/>
      <w:r>
        <w:t>1357- دیوان حافظ صابونی أو شعره‏</w:t>
      </w:r>
      <w:bookmarkEnd w:id="3003"/>
    </w:p>
    <w:p>
      <w:pPr>
        <w:pStyle w:val="BookText"/>
      </w:pPr>
      <w:r>
        <w:rPr>
          <w:rFonts w:ascii="IRNazanin" w:hAnsi="IRNazanin" w:eastAsia="IRNazanin" w:cs="IRNazanin"/>
          <w:lang w:bidi="fa-IR"/>
          <w:color w:val="111111"/>
          <w:sz w:val="28"/>
          <w:szCs w:val="28"/>
          <w:rtl/>
        </w:rPr>
        <w:t xml:space="preserve">کان من قزوین أدرکه و تلمذ علیه الصادقی أفشار کتاب دار الشاه عباس الأول فی شبابه فترجمه فی (خص 8- ص 179)</w:t>
      </w:r>
    </w:p>
    <w:p>
      <w:pPr>
        <w:pStyle w:val="Heading3"/>
      </w:pPr>
      <w:bookmarkStart w:id="3004" w:name="_Toc1700"/>
      <w:r>
        <w:t>1358- دیوان حافظ صدر أو شعره‏</w:t>
      </w:r>
      <w:bookmarkEnd w:id="3004"/>
    </w:p>
    <w:p>
      <w:pPr>
        <w:pStyle w:val="BookText"/>
      </w:pPr>
      <w:r>
        <w:rPr>
          <w:rFonts w:ascii="IRNazanin" w:hAnsi="IRNazanin" w:eastAsia="IRNazanin" w:cs="IRNazanin"/>
          <w:lang w:bidi="fa-IR"/>
          <w:color w:val="111111"/>
          <w:sz w:val="28"/>
          <w:szCs w:val="28"/>
          <w:rtl/>
        </w:rPr>
        <w:t xml:space="preserve">و کان من خیابان تبریز ترجمه فی (تس 4- ص 82) و قال کان حافظا للقرآن و أورد غزله‏</w:t>
      </w:r>
    </w:p>
    <w:p>
      <w:pPr>
        <w:pStyle w:val="Heading3"/>
      </w:pPr>
      <w:bookmarkStart w:id="3005" w:name="_Toc1701"/>
      <w:r>
        <w:t>1359- دیوان الحافظ علی الغوری‏</w:t>
      </w:r>
      <w:bookmarkEnd w:id="3005"/>
    </w:p>
    <w:p>
      <w:pPr>
        <w:pStyle w:val="BookText"/>
      </w:pPr>
      <w:r>
        <w:rPr>
          <w:rFonts w:ascii="IRNazanin" w:hAnsi="IRNazanin" w:eastAsia="IRNazanin" w:cs="IRNazanin"/>
          <w:lang w:bidi="fa-IR"/>
          <w:color w:val="111111"/>
          <w:sz w:val="28"/>
          <w:szCs w:val="28"/>
          <w:rtl/>
        </w:rPr>
        <w:t xml:space="preserve">هو ابن المولی نور الخطاط الهروی عده سام میرزا فی (تس 4- ص 69) من الأفاضل الناظمین للشعر قلیلا و قد تتبع مکررا القصیدة المصنوعة للخواجة سلمان‏</w:t>
      </w:r>
    </w:p>
    <w:p>
      <w:pPr>
        <w:pStyle w:val="Heading3"/>
      </w:pPr>
      <w:bookmarkStart w:id="3006" w:name="_Toc1702"/>
      <w:r>
        <w:t>دیوان حافظ علی‏</w:t>
      </w:r>
      <w:bookmarkEnd w:id="3006"/>
    </w:p>
    <w:p>
      <w:pPr>
        <w:pStyle w:val="BookText"/>
      </w:pPr>
      <w:r>
        <w:rPr>
          <w:rFonts w:ascii="IRNazanin" w:hAnsi="IRNazanin" w:eastAsia="IRNazanin" w:cs="IRNazanin"/>
          <w:lang w:bidi="fa-IR"/>
          <w:color w:val="111111"/>
          <w:sz w:val="28"/>
          <w:szCs w:val="28"/>
          <w:rtl/>
        </w:rPr>
        <w:t xml:space="preserve">الخطاط الشاعر عده فی ج 7 روضة الصفا من الشعراء الموجودین فی (929) راجع حافظ أوبهی‏</w:t>
      </w:r>
    </w:p>
    <w:p>
      <w:pPr>
        <w:pStyle w:val="Heading3"/>
      </w:pPr>
      <w:bookmarkStart w:id="3007" w:name="_Toc1703"/>
      <w:r>
        <w:t>دیوان حافظ علی جامی‏</w:t>
      </w:r>
      <w:bookmarkEnd w:id="3007"/>
    </w:p>
    <w:p>
      <w:pPr>
        <w:pStyle w:val="BookText"/>
      </w:pPr>
      <w:r>
        <w:rPr>
          <w:rFonts w:ascii="IRNazanin" w:hAnsi="IRNazanin" w:eastAsia="IRNazanin" w:cs="IRNazanin"/>
          <w:lang w:bidi="fa-IR"/>
          <w:color w:val="111111"/>
          <w:sz w:val="28"/>
          <w:szCs w:val="28"/>
          <w:rtl/>
        </w:rPr>
        <w:t xml:space="preserve">راجع دیوان حافظ جامی‏</w:t>
      </w:r>
    </w:p>
    <w:p>
      <w:pPr>
        <w:pStyle w:val="Heading3"/>
      </w:pPr>
      <w:bookmarkStart w:id="3008" w:name="_Toc1704"/>
      <w:r>
        <w:t>دیوان حافظ قزوینی أو شعره‏</w:t>
      </w:r>
      <w:bookmarkEnd w:id="3008"/>
    </w:p>
    <w:p>
      <w:pPr>
        <w:pStyle w:val="BookText"/>
      </w:pPr>
      <w:r>
        <w:rPr>
          <w:rFonts w:ascii="IRNazanin" w:hAnsi="IRNazanin" w:eastAsia="IRNazanin" w:cs="IRNazanin"/>
          <w:lang w:bidi="fa-IR"/>
          <w:color w:val="111111"/>
          <w:sz w:val="28"/>
          <w:szCs w:val="28"/>
          <w:rtl/>
        </w:rPr>
        <w:t xml:space="preserve">راجع حاجی بیگ قزوینی‏</w:t>
      </w:r>
    </w:p>
    <w:p>
      <w:pPr>
        <w:pStyle w:val="Heading3"/>
      </w:pPr>
      <w:bookmarkStart w:id="3009" w:name="_Toc1705"/>
      <w:r>
        <w:t>دیوان حافظ قزوینی‏</w:t>
      </w:r>
      <w:bookmarkEnd w:id="3009"/>
    </w:p>
    <w:p>
      <w:pPr>
        <w:pStyle w:val="BookText"/>
      </w:pPr>
      <w:r>
        <w:rPr>
          <w:rFonts w:ascii="IRNazanin" w:hAnsi="IRNazanin" w:eastAsia="IRNazanin" w:cs="IRNazanin"/>
          <w:lang w:bidi="fa-IR"/>
          <w:color w:val="111111"/>
          <w:sz w:val="28"/>
          <w:szCs w:val="28"/>
          <w:rtl/>
        </w:rPr>
        <w:t xml:space="preserve">راجع دیوان حافظ صابونی‏</w:t>
      </w:r>
    </w:p>
    <w:p>
      <w:pPr>
        <w:pStyle w:val="Heading3"/>
      </w:pPr>
      <w:bookmarkStart w:id="3010" w:name="_Toc1706"/>
      <w:r>
        <w:t>دیوان حافظ کاشانی‏</w:t>
      </w:r>
      <w:bookmarkEnd w:id="3010"/>
    </w:p>
    <w:p>
      <w:pPr>
        <w:pStyle w:val="BookText"/>
      </w:pPr>
      <w:r>
        <w:rPr>
          <w:rFonts w:ascii="IRNazanin" w:hAnsi="IRNazanin" w:eastAsia="IRNazanin" w:cs="IRNazanin"/>
          <w:lang w:bidi="fa-IR"/>
          <w:color w:val="111111"/>
          <w:sz w:val="28"/>
          <w:szCs w:val="28"/>
          <w:rtl/>
        </w:rPr>
        <w:t xml:space="preserve">راجع عندلیب کاشانی‏</w:t>
      </w:r>
    </w:p>
    <w:p>
      <w:pPr>
        <w:pStyle w:val="Heading3"/>
      </w:pPr>
      <w:bookmarkStart w:id="3011" w:name="_Toc1707"/>
      <w:r>
        <w:t>دیوان حافظ کمان ابرو</w:t>
      </w:r>
      <w:bookmarkEnd w:id="3011"/>
    </w:p>
    <w:p>
      <w:pPr>
        <w:pStyle w:val="BookText"/>
      </w:pPr>
      <w:r>
        <w:rPr>
          <w:rFonts w:ascii="IRNazanin" w:hAnsi="IRNazanin" w:eastAsia="IRNazanin" w:cs="IRNazanin"/>
          <w:lang w:bidi="fa-IR"/>
          <w:color w:val="111111"/>
          <w:sz w:val="28"/>
          <w:szCs w:val="28"/>
          <w:rtl/>
        </w:rPr>
        <w:t xml:space="preserve">مر بعنوان دیوان حافظ پناهی‏</w:t>
      </w:r>
    </w:p>
    <w:p>
      <w:pPr>
        <w:pStyle w:val="Heading3"/>
      </w:pPr>
      <w:bookmarkStart w:id="3012" w:name="_Toc1708"/>
      <w:r>
        <w:t>1360- دیوان حافظ لاهوری أو شعره‏</w:t>
      </w:r>
      <w:bookmarkEnd w:id="3012"/>
    </w:p>
    <w:p>
      <w:pPr>
        <w:pStyle w:val="BookText"/>
      </w:pPr>
      <w:r>
        <w:rPr>
          <w:rFonts w:ascii="IRNazanin" w:hAnsi="IRNazanin" w:eastAsia="IRNazanin" w:cs="IRNazanin"/>
          <w:lang w:bidi="fa-IR"/>
          <w:color w:val="111111"/>
          <w:sz w:val="28"/>
          <w:szCs w:val="28"/>
          <w:rtl/>
        </w:rPr>
        <w:t xml:space="preserve">و هو السید علی أکبر ابن أخت حیران إکرام الدین کان ینتسب إلی جعفر الکذاب و کان من أحفاد جلال الدین بخاری أورد شعره فی (گلشن- ص 115- 116)</w:t>
      </w:r>
    </w:p>
    <w:p>
      <w:pPr>
        <w:pStyle w:val="Heading3"/>
      </w:pPr>
      <w:bookmarkStart w:id="3013" w:name="_Toc1709"/>
      <w:r>
        <w:t>1361- دیوان حافظ مجلسی أو شعره‏</w:t>
      </w:r>
      <w:bookmarkEnd w:id="3013"/>
    </w:p>
    <w:p>
      <w:pPr>
        <w:pStyle w:val="BookText"/>
      </w:pPr>
      <w:r>
        <w:rPr>
          <w:rFonts w:ascii="IRNazanin" w:hAnsi="IRNazanin" w:eastAsia="IRNazanin" w:cs="IRNazanin"/>
          <w:lang w:bidi="fa-IR"/>
          <w:color w:val="111111"/>
          <w:sz w:val="28"/>
          <w:szCs w:val="28"/>
          <w:rtl/>
        </w:rPr>
        <w:t xml:space="preserve">من حفاظ القرآن بمحلة خیابان بتبریز کما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21" w:name="pg11704_121701"/>
    <w:bookmarkEnd w:id="221"/>
    <w:p>
      <w:pPr>
        <w:pStyle w:val="BookText"/>
      </w:pPr>
      <w:r>
        <w:rPr>
          <w:rFonts w:ascii="IRNazanin" w:hAnsi="IRNazanin" w:eastAsia="IRNazanin" w:cs="IRNazanin"/>
          <w:lang w:bidi="fa-IR"/>
          <w:color w:val="111111"/>
          <w:sz w:val="28"/>
          <w:szCs w:val="28"/>
          <w:rtl/>
        </w:rPr>
        <w:t xml:space="preserve">صرح به سام میرزا فی (تس 4- ص 83) و عنه فی (دجا ص 110) و کان یذکر له نیف و عشرین صناعة منها القانون و الشترغو ثم أورد مطلع غزله‏</w:t>
      </w:r>
    </w:p>
    <w:p>
      <w:pPr>
        <w:pStyle w:val="Heading3"/>
      </w:pPr>
      <w:bookmarkStart w:id="3014" w:name="_Toc1710"/>
      <w:r>
        <w:t>1362- دیوان حافظ میر أو شعره‏</w:t>
      </w:r>
      <w:bookmarkEnd w:id="3014"/>
    </w:p>
    <w:p>
      <w:pPr>
        <w:pStyle w:val="BookText"/>
      </w:pPr>
      <w:r>
        <w:rPr>
          <w:rFonts w:ascii="IRNazanin" w:hAnsi="IRNazanin" w:eastAsia="IRNazanin" w:cs="IRNazanin"/>
          <w:lang w:bidi="fa-IR"/>
          <w:color w:val="111111"/>
          <w:sz w:val="28"/>
          <w:szCs w:val="28"/>
          <w:rtl/>
        </w:rPr>
        <w:t xml:space="preserve">عده فی (مجتس 3- ص 144) من شعراء قریة سینان کان حیا حین ترجمه الهروی فی (928)</w:t>
      </w:r>
    </w:p>
    <w:p>
      <w:pPr>
        <w:pStyle w:val="Heading3"/>
      </w:pPr>
      <w:bookmarkStart w:id="3015" w:name="_Toc1711"/>
      <w:r>
        <w:t>1363- دیوان حافظ نوری أو شعره‏</w:t>
      </w:r>
      <w:bookmarkEnd w:id="3015"/>
    </w:p>
    <w:p>
      <w:pPr>
        <w:pStyle w:val="BookText"/>
      </w:pPr>
      <w:r>
        <w:rPr>
          <w:rFonts w:ascii="IRNazanin" w:hAnsi="IRNazanin" w:eastAsia="IRNazanin" w:cs="IRNazanin"/>
          <w:lang w:bidi="fa-IR"/>
          <w:color w:val="111111"/>
          <w:sz w:val="28"/>
          <w:szCs w:val="28"/>
          <w:rtl/>
        </w:rPr>
        <w:t xml:space="preserve">هو المولی ولی بن المولی نور الدین محمد النوری الشاعر الذی کان حیا فی (929) کما فی (روضة الصفا ج 7)</w:t>
      </w:r>
    </w:p>
    <w:p>
      <w:pPr>
        <w:pStyle w:val="Heading3"/>
      </w:pPr>
      <w:bookmarkStart w:id="3016" w:name="_Toc1712"/>
      <w:r>
        <w:t>1364- دیوان حافظ هروی أو شعره‏</w:t>
      </w:r>
      <w:bookmarkEnd w:id="3016"/>
    </w:p>
    <w:p>
      <w:pPr>
        <w:pStyle w:val="BookText"/>
      </w:pPr>
      <w:r>
        <w:rPr>
          <w:rFonts w:ascii="IRNazanin" w:hAnsi="IRNazanin" w:eastAsia="IRNazanin" w:cs="IRNazanin"/>
          <w:lang w:bidi="fa-IR"/>
          <w:color w:val="111111"/>
          <w:sz w:val="28"/>
          <w:szCs w:val="28"/>
          <w:rtl/>
        </w:rPr>
        <w:t xml:space="preserve">و هو جلال الدین محمود، شیخ خانقاه الإخلاصیة بهراة و خطیبها و إمام الجماعة بها أورد شعره فی (قز مج 4- ص 275) و لکن فی (لط 4 ص 98) بعنوان جمال الدین‏</w:t>
      </w:r>
    </w:p>
    <w:p>
      <w:pPr>
        <w:pStyle w:val="Heading3"/>
      </w:pPr>
      <w:bookmarkStart w:id="3017" w:name="_Toc1713"/>
      <w:r>
        <w:t>1365- دیوان حافظ هروی أو شعره‏</w:t>
      </w:r>
      <w:bookmarkEnd w:id="3017"/>
    </w:p>
    <w:p>
      <w:pPr>
        <w:pStyle w:val="BookText"/>
      </w:pPr>
      <w:r>
        <w:rPr>
          <w:rFonts w:ascii="IRNazanin" w:hAnsi="IRNazanin" w:eastAsia="IRNazanin" w:cs="IRNazanin"/>
          <w:lang w:bidi="fa-IR"/>
          <w:color w:val="111111"/>
          <w:sz w:val="28"/>
          <w:szCs w:val="28"/>
          <w:rtl/>
        </w:rPr>
        <w:t xml:space="preserve">و اسمه أحمد أورد شعره فی (مجتس 6- ص 152)</w:t>
      </w:r>
    </w:p>
    <w:p>
      <w:pPr>
        <w:pStyle w:val="Heading3"/>
      </w:pPr>
      <w:bookmarkStart w:id="3018" w:name="_Toc1714"/>
      <w:r>
        <w:t>دیوان حافظ همدانی‏</w:t>
      </w:r>
      <w:bookmarkEnd w:id="3018"/>
    </w:p>
    <w:p>
      <w:pPr>
        <w:pStyle w:val="BookText"/>
      </w:pPr>
      <w:r>
        <w:rPr>
          <w:rFonts w:ascii="IRNazanin" w:hAnsi="IRNazanin" w:eastAsia="IRNazanin" w:cs="IRNazanin"/>
          <w:lang w:bidi="fa-IR"/>
          <w:color w:val="111111"/>
          <w:sz w:val="28"/>
          <w:szCs w:val="28"/>
          <w:rtl/>
        </w:rPr>
        <w:t xml:space="preserve">راجع دیوان جنونی‏</w:t>
      </w:r>
    </w:p>
    <w:p>
      <w:pPr>
        <w:pStyle w:val="Heading3"/>
      </w:pPr>
      <w:bookmarkStart w:id="3019" w:name="_Toc1715"/>
      <w:r>
        <w:t>1366- دیوان حافظ یاری أو شعره‏</w:t>
      </w:r>
      <w:bookmarkEnd w:id="3019"/>
    </w:p>
    <w:p>
      <w:pPr>
        <w:pStyle w:val="BookText"/>
      </w:pPr>
      <w:r>
        <w:rPr>
          <w:rFonts w:ascii="IRNazanin" w:hAnsi="IRNazanin" w:eastAsia="IRNazanin" w:cs="IRNazanin"/>
          <w:lang w:bidi="fa-IR"/>
          <w:color w:val="111111"/>
          <w:sz w:val="28"/>
          <w:szCs w:val="28"/>
          <w:rtl/>
        </w:rPr>
        <w:t xml:space="preserve">القاری و الحافظ للقرآن أورد شعره فی (مجن 2 ص 39 و 212) و قال کان مصاحبا للمیر علی شیر و توفی بالمدرسة الإخلاصیة و دفن بکوچه صفا بهراة و هو غیر الحافظ یارمحمد بن خداداد القاری السمرقندی مؤلف قواعد القرآن فی قراءة عاصم للسلطان عبد الله قطب شاه‏</w:t>
      </w:r>
    </w:p>
    <w:p>
      <w:pPr>
        <w:pStyle w:val="Heading3"/>
      </w:pPr>
      <w:bookmarkStart w:id="3020" w:name="_Toc1716"/>
      <w:r>
        <w:t>دیوان حافظی‏</w:t>
      </w:r>
      <w:bookmarkEnd w:id="3020"/>
    </w:p>
    <w:p>
      <w:pPr>
        <w:pStyle w:val="BookText"/>
      </w:pPr>
      <w:r>
        <w:rPr>
          <w:rFonts w:ascii="IRNazanin" w:hAnsi="IRNazanin" w:eastAsia="IRNazanin" w:cs="IRNazanin"/>
          <w:lang w:bidi="fa-IR"/>
          <w:color w:val="111111"/>
          <w:sz w:val="28"/>
          <w:szCs w:val="28"/>
          <w:rtl/>
        </w:rPr>
        <w:t xml:space="preserve">راجع التحفة الطهماسبیة فی (ج 3- ص 450)</w:t>
      </w:r>
    </w:p>
    <w:p>
      <w:pPr>
        <w:pStyle w:val="Heading3"/>
      </w:pPr>
      <w:bookmarkStart w:id="3021" w:name="_Toc1717"/>
      <w:r>
        <w:t>1367- دیوان حافظی کرمانی أو شعره‏</w:t>
      </w:r>
      <w:bookmarkEnd w:id="3021"/>
    </w:p>
    <w:p>
      <w:pPr>
        <w:pStyle w:val="BookText"/>
      </w:pPr>
      <w:r>
        <w:rPr>
          <w:rFonts w:ascii="IRNazanin" w:hAnsi="IRNazanin" w:eastAsia="IRNazanin" w:cs="IRNazanin"/>
          <w:lang w:bidi="fa-IR"/>
          <w:color w:val="111111"/>
          <w:sz w:val="28"/>
          <w:szCs w:val="28"/>
          <w:rtl/>
        </w:rPr>
        <w:t xml:space="preserve">کان حکاکا بکرمان و نزل هرات أورد الهروی شعره فی (مجتس 6- ص 153) المؤلف (928) و قال فی (گلشن- ص 116) إنه عمر تسعین عاما و کان یعظ الناس فی عهد الشاه عباس (کذا)</w:t>
      </w:r>
    </w:p>
    <w:p>
      <w:pPr>
        <w:pStyle w:val="Heading3"/>
      </w:pPr>
      <w:bookmarkStart w:id="3022" w:name="_Toc1718"/>
      <w:r>
        <w:t>1368- دیوان حاکم لاهوری أو شعره‏</w:t>
      </w:r>
      <w:bookmarkEnd w:id="3022"/>
    </w:p>
    <w:p>
      <w:pPr>
        <w:pStyle w:val="BookText"/>
      </w:pPr>
      <w:r>
        <w:rPr>
          <w:rFonts w:ascii="IRNazanin" w:hAnsi="IRNazanin" w:eastAsia="IRNazanin" w:cs="IRNazanin"/>
          <w:lang w:bidi="fa-IR"/>
          <w:color w:val="111111"/>
          <w:sz w:val="28"/>
          <w:szCs w:val="28"/>
          <w:rtl/>
        </w:rPr>
        <w:t xml:space="preserve">و هو الحکیم بیک خان بن شادمان خان المعاصر لغلام علی آزاد البلگرامی ترجمه فی (خزانة عامرة- ص 200) المؤلفة (عام 1176) و ذکر کثیرا من شعره و ذکر تذکرته الذی سماه أولا تحفه المجالس فغیره آذر و سماه مردم دیده و قال فی (تغ- ص 41) إنه مات بلاهور فی (1182)</w:t>
      </w:r>
    </w:p>
    <w:p>
      <w:pPr>
        <w:pStyle w:val="Heading3"/>
      </w:pPr>
      <w:bookmarkStart w:id="3023" w:name="_Toc1719"/>
      <w:r>
        <w:t>1369- دیوان حاکمی خوافی أو شعرها</w:t>
      </w:r>
      <w:bookmarkEnd w:id="3023"/>
    </w:p>
    <w:p>
      <w:pPr>
        <w:pStyle w:val="BookText"/>
      </w:pPr>
      <w:r>
        <w:rPr>
          <w:rFonts w:ascii="IRNazanin" w:hAnsi="IRNazanin" w:eastAsia="IRNazanin" w:cs="IRNazanin"/>
          <w:lang w:bidi="fa-IR"/>
          <w:color w:val="111111"/>
          <w:sz w:val="28"/>
          <w:szCs w:val="28"/>
          <w:rtl/>
        </w:rPr>
        <w:t xml:space="preserve">قال فی (روشن- ص 163) إنها کانت أخت حاکم خواف و من مثریات زمانها و حکمت مدة بعد أخیها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22" w:name="pg11704_121702"/>
    <w:bookmarkEnd w:id="222"/>
    <w:p>
      <w:pPr>
        <w:pStyle w:val="Heading3"/>
      </w:pPr>
      <w:bookmarkStart w:id="3024" w:name="_Toc1720"/>
      <w:r>
        <w:t>1370- دیوان حالت هندی أو شعره‏</w:t>
      </w:r>
      <w:bookmarkEnd w:id="3024"/>
    </w:p>
    <w:p>
      <w:pPr>
        <w:pStyle w:val="BookText"/>
      </w:pPr>
      <w:r>
        <w:rPr>
          <w:rFonts w:ascii="IRNazanin" w:hAnsi="IRNazanin" w:eastAsia="IRNazanin" w:cs="IRNazanin"/>
          <w:lang w:bidi="fa-IR"/>
          <w:color w:val="111111"/>
          <w:sz w:val="28"/>
          <w:szCs w:val="28"/>
          <w:rtl/>
        </w:rPr>
        <w:t xml:space="preserve">و هو المیر مرتضی أورد شعره فی (روشن ص 163)</w:t>
      </w:r>
    </w:p>
    <w:p>
      <w:pPr>
        <w:pStyle w:val="Heading3"/>
      </w:pPr>
      <w:bookmarkStart w:id="3025" w:name="_Toc1721"/>
      <w:r>
        <w:t>1371- دیوان حالتی تبریزی‏</w:t>
      </w:r>
      <w:bookmarkEnd w:id="3025"/>
    </w:p>
    <w:p>
      <w:pPr>
        <w:pStyle w:val="BookText"/>
      </w:pPr>
      <w:r>
        <w:rPr>
          <w:rFonts w:ascii="IRNazanin" w:hAnsi="IRNazanin" w:eastAsia="IRNazanin" w:cs="IRNazanin"/>
          <w:lang w:bidi="fa-IR"/>
          <w:color w:val="111111"/>
          <w:sz w:val="28"/>
          <w:szCs w:val="28"/>
          <w:rtl/>
        </w:rPr>
        <w:t xml:space="preserve">قال فی (روشن- ص 164) إن دیوانه فی ألف بیت و مات سنة الألف‏</w:t>
      </w:r>
    </w:p>
    <w:p>
      <w:pPr>
        <w:pStyle w:val="Heading3"/>
      </w:pPr>
      <w:bookmarkStart w:id="3026" w:name="_Toc1722"/>
      <w:r>
        <w:t>1372- دیوان حالتی ترکمان‏</w:t>
      </w:r>
      <w:bookmarkEnd w:id="3026"/>
    </w:p>
    <w:p>
      <w:pPr>
        <w:pStyle w:val="BookText"/>
      </w:pPr>
      <w:r>
        <w:rPr>
          <w:rFonts w:ascii="IRNazanin" w:hAnsi="IRNazanin" w:eastAsia="IRNazanin" w:cs="IRNazanin"/>
          <w:lang w:bidi="fa-IR"/>
          <w:color w:val="111111"/>
          <w:sz w:val="28"/>
          <w:szCs w:val="28"/>
          <w:rtl/>
        </w:rPr>
        <w:t xml:space="preserve">للشاعر قاسم بیک ترکمان المتخلص بحالتی تربی بطهران، و فی عهد طهماسب الصفوی توطن قزوین و أسقط من اسمه (بیگ) و أضاف إلیه (ملا) فصار ملا قاسم حالتی و کان یدرس بمقبرة شاه‏زاده حسین ذکره فی (خص 7 ص 109) و (تش ص 11) و أضاف أن له دیوانا یحتوی علی الغزل و الرباعیات و هو فی ستة آلاف بیت کما فی تذکره حسینی أو عشرة آلاف کما فی گلشن و (دجا ص 111) و لعله الموجود نسخته فی مکتبة عاشر أفندی بأستانبول کما فی فهرسها و توجد شعره بخطه فی گنجینه گران‏مایه عند (فخر الدین) و قال فی (تغ- ص 41) إنه مات عام (1000)</w:t>
      </w:r>
    </w:p>
    <w:p>
      <w:pPr>
        <w:pStyle w:val="Heading3"/>
      </w:pPr>
      <w:bookmarkStart w:id="3027" w:name="_Toc1723"/>
      <w:r>
        <w:t>1373- دیوان حالتی گیلانی أو شعره‏</w:t>
      </w:r>
      <w:bookmarkEnd w:id="3027"/>
    </w:p>
    <w:p>
      <w:pPr>
        <w:pStyle w:val="BookText"/>
      </w:pPr>
      <w:r>
        <w:rPr>
          <w:rFonts w:ascii="IRNazanin" w:hAnsi="IRNazanin" w:eastAsia="IRNazanin" w:cs="IRNazanin"/>
          <w:lang w:bidi="fa-IR"/>
          <w:color w:val="111111"/>
          <w:sz w:val="28"/>
          <w:szCs w:val="28"/>
          <w:rtl/>
        </w:rPr>
        <w:t xml:space="preserve">و هو الشاعر الخطاط المتخلص بحالتی من سادات لاهیجان بگیلان ذکره فی قاموس الأعلام الترکی و ذکر شعره، و کذا فی (گلشن- ص 117) و (روشن- ص 164)</w:t>
      </w:r>
    </w:p>
    <w:p>
      <w:pPr>
        <w:pStyle w:val="Heading3"/>
      </w:pPr>
      <w:bookmarkStart w:id="3028" w:name="_Toc1724"/>
      <w:r>
        <w:t>1374- دیوان حالتی هندی أو شعره‏</w:t>
      </w:r>
      <w:bookmarkEnd w:id="3028"/>
    </w:p>
    <w:p>
      <w:pPr>
        <w:pStyle w:val="BookText"/>
      </w:pPr>
      <w:r>
        <w:rPr>
          <w:rFonts w:ascii="IRNazanin" w:hAnsi="IRNazanin" w:eastAsia="IRNazanin" w:cs="IRNazanin"/>
          <w:lang w:bidi="fa-IR"/>
          <w:color w:val="111111"/>
          <w:sz w:val="28"/>
          <w:szCs w:val="28"/>
          <w:rtl/>
        </w:rPr>
        <w:t xml:space="preserve">و اسمه یادگار خان من طوائف جغتائی من عساکر أکبر شاه أورد شعره فی طبقات أکبری (ج 2 ص 492) و قال فی (ص 515) إنه قتله ولده المتخلص بقائی و لکن فی (روشن- ص 165) سماه حالی گجراتی‏</w:t>
      </w:r>
    </w:p>
    <w:p>
      <w:pPr>
        <w:pStyle w:val="Heading3"/>
      </w:pPr>
      <w:bookmarkStart w:id="3029" w:name="_Toc1725"/>
      <w:r>
        <w:t>1375- دیوان حالی أردبیلی أو شعره‏</w:t>
      </w:r>
      <w:bookmarkEnd w:id="3029"/>
    </w:p>
    <w:p>
      <w:pPr>
        <w:pStyle w:val="BookText"/>
      </w:pPr>
      <w:r>
        <w:rPr>
          <w:rFonts w:ascii="IRNazanin" w:hAnsi="IRNazanin" w:eastAsia="IRNazanin" w:cs="IRNazanin"/>
          <w:lang w:bidi="fa-IR"/>
          <w:color w:val="111111"/>
          <w:sz w:val="28"/>
          <w:szCs w:val="28"/>
          <w:rtl/>
        </w:rPr>
        <w:t xml:space="preserve">و هو المیرزا محسن الخطاط المعروف بعماد الفقراء مترجم الغرر المذکور فی (ج 4 ص 121)</w:t>
      </w:r>
    </w:p>
    <w:p>
      <w:pPr>
        <w:pStyle w:val="Heading3"/>
      </w:pPr>
      <w:bookmarkStart w:id="3030" w:name="_Toc1726"/>
      <w:r>
        <w:t>1376- دیوان حالی أصفهانی‏</w:t>
      </w:r>
      <w:bookmarkEnd w:id="3030"/>
    </w:p>
    <w:p>
      <w:pPr>
        <w:pStyle w:val="BookText"/>
      </w:pPr>
      <w:r>
        <w:rPr>
          <w:rFonts w:ascii="IRNazanin" w:hAnsi="IRNazanin" w:eastAsia="IRNazanin" w:cs="IRNazanin"/>
          <w:lang w:bidi="fa-IR"/>
          <w:color w:val="111111"/>
          <w:sz w:val="28"/>
          <w:szCs w:val="28"/>
          <w:rtl/>
        </w:rPr>
        <w:t xml:space="preserve">و هو السید عبد الله بن السید یحیی من سدنة حائر الحسین بکربلاء سکن عباس‏آباد أصفهان أورد شعره معاصره فی (نر 9- ص 343) و قال فی (گلشن- ص 116) إنه مدنی الأصل، و کان خطاطا بالنسخ الجید و قال فی (تغ- ص 41) إن دیوانه فی عشرین ألف بیت غزلیات و قصائد تتبع فیها صائب‏</w:t>
      </w:r>
    </w:p>
    <w:p>
      <w:pPr>
        <w:pStyle w:val="Heading3"/>
      </w:pPr>
      <w:bookmarkStart w:id="3031" w:name="_Toc1727"/>
      <w:r>
        <w:t>1377- دیوان حالی أصفهانی أو شعره‏</w:t>
      </w:r>
      <w:bookmarkEnd w:id="3031"/>
    </w:p>
    <w:p>
      <w:pPr>
        <w:pStyle w:val="BookText"/>
      </w:pPr>
      <w:r>
        <w:rPr>
          <w:rFonts w:ascii="IRNazanin" w:hAnsi="IRNazanin" w:eastAsia="IRNazanin" w:cs="IRNazanin"/>
          <w:lang w:bidi="fa-IR"/>
          <w:color w:val="111111"/>
          <w:sz w:val="28"/>
          <w:szCs w:val="28"/>
          <w:rtl/>
        </w:rPr>
        <w:t xml:space="preserve">و هو بابا شاه الشاعر الخطاط فی النصف‏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23" w:name="pg11704_121703"/>
    <w:bookmarkEnd w:id="223"/>
    <w:p>
      <w:pPr>
        <w:pStyle w:val="BookText"/>
      </w:pPr>
      <w:r>
        <w:rPr>
          <w:rFonts w:ascii="IRNazanin" w:hAnsi="IRNazanin" w:eastAsia="IRNazanin" w:cs="IRNazanin"/>
          <w:lang w:bidi="fa-IR"/>
          <w:color w:val="111111"/>
          <w:sz w:val="28"/>
          <w:szCs w:val="28"/>
          <w:rtl/>
        </w:rPr>
        <w:t xml:space="preserve">الأخیر من القرن العاشر تلمذ علی میر علی الهروی الخطاط ثمان سنین سافر إلی العراق و خراسان و سکن مدة ببغداد و مات بها أو بتبریز فی (1012) کما ذکره المیرزا حبیب أو (996) کما فی گلستان هنر أورد نموذجا من خطه الجید فی نمونه خطوط خوش کتابخانه شاهنشاهی (ص 140) و ترجمه فی (روشن- ص 86) و (ض- ص 69) و (امتحان الفضلاء- ج 1- ص 190- 199)</w:t>
      </w:r>
    </w:p>
    <w:p>
      <w:pPr>
        <w:pStyle w:val="Heading3"/>
      </w:pPr>
      <w:bookmarkStart w:id="3032" w:name="_Toc1728"/>
      <w:r>
        <w:t>1378- دیوان حالی پانی‏پتی أو شعره‏</w:t>
      </w:r>
      <w:bookmarkEnd w:id="3032"/>
    </w:p>
    <w:p>
      <w:pPr>
        <w:pStyle w:val="BookText"/>
      </w:pPr>
      <w:r>
        <w:rPr>
          <w:rFonts w:ascii="IRNazanin" w:hAnsi="IRNazanin" w:eastAsia="IRNazanin" w:cs="IRNazanin"/>
          <w:lang w:bidi="fa-IR"/>
          <w:color w:val="111111"/>
          <w:sz w:val="28"/>
          <w:szCs w:val="28"/>
          <w:rtl/>
        </w:rPr>
        <w:t xml:space="preserve">و اسمه ألطاف حسین نشا بشاه جهان‏آباد أورد شعره فی نگارستان سخن و عنه فی (گلشن- ص 116- 117)</w:t>
      </w:r>
    </w:p>
    <w:p>
      <w:pPr>
        <w:pStyle w:val="Heading3"/>
      </w:pPr>
      <w:bookmarkStart w:id="3033" w:name="_Toc1729"/>
      <w:r>
        <w:t>دیوان حالی سبزواری أو شعره‏</w:t>
      </w:r>
      <w:bookmarkEnd w:id="3033"/>
    </w:p>
    <w:p>
      <w:pPr>
        <w:pStyle w:val="BookText"/>
      </w:pPr>
      <w:r>
        <w:rPr>
          <w:rFonts w:ascii="IRNazanin" w:hAnsi="IRNazanin" w:eastAsia="IRNazanin" w:cs="IRNazanin"/>
          <w:lang w:bidi="fa-IR"/>
          <w:color w:val="111111"/>
          <w:sz w:val="28"/>
          <w:szCs w:val="28"/>
          <w:rtl/>
        </w:rPr>
        <w:t xml:space="preserve">و اسمه دوست محمد أطری ذکائه فی (تس 5- ص 116) و فی (روشن- ص 164) أنه مات (937) بهرات و له قصائد کثیرة و أظنه الذی سماه فی (تش ص 65) جانی فذکرناه بعنوان جانی أسفراینی‏</w:t>
      </w:r>
    </w:p>
    <w:p>
      <w:pPr>
        <w:pStyle w:val="Heading3"/>
      </w:pPr>
      <w:bookmarkStart w:id="3034" w:name="_Toc1730"/>
      <w:r>
        <w:t>1379- دیوان حالی کاشانی أو شعره‏</w:t>
      </w:r>
      <w:bookmarkEnd w:id="3034"/>
    </w:p>
    <w:p>
      <w:pPr>
        <w:pStyle w:val="BookText"/>
      </w:pPr>
      <w:r>
        <w:rPr>
          <w:rFonts w:ascii="IRNazanin" w:hAnsi="IRNazanin" w:eastAsia="IRNazanin" w:cs="IRNazanin"/>
          <w:lang w:bidi="fa-IR"/>
          <w:color w:val="111111"/>
          <w:sz w:val="28"/>
          <w:szCs w:val="28"/>
          <w:rtl/>
        </w:rPr>
        <w:t xml:space="preserve">و اسمه ملا علی ترجمه سام میرزا فی (تس 5- ص 155)</w:t>
      </w:r>
    </w:p>
    <w:p>
      <w:pPr>
        <w:pStyle w:val="Heading3"/>
      </w:pPr>
      <w:bookmarkStart w:id="3035" w:name="_Toc1731"/>
      <w:r>
        <w:t>دیوان حالی کربلائی‏</w:t>
      </w:r>
      <w:bookmarkEnd w:id="3035"/>
    </w:p>
    <w:p>
      <w:pPr>
        <w:pStyle w:val="BookText"/>
      </w:pPr>
      <w:r>
        <w:rPr>
          <w:rFonts w:ascii="IRNazanin" w:hAnsi="IRNazanin" w:eastAsia="IRNazanin" w:cs="IRNazanin"/>
          <w:lang w:bidi="fa-IR"/>
          <w:color w:val="111111"/>
          <w:sz w:val="28"/>
          <w:szCs w:val="28"/>
          <w:rtl/>
        </w:rPr>
        <w:t xml:space="preserve">مر بعنوان حالی أصفهانی‏</w:t>
      </w:r>
    </w:p>
    <w:p>
      <w:pPr>
        <w:pStyle w:val="Heading3"/>
      </w:pPr>
      <w:bookmarkStart w:id="3036" w:name="_Toc1732"/>
      <w:r>
        <w:t>دیوان حالی هروی‏</w:t>
      </w:r>
      <w:bookmarkEnd w:id="3036"/>
    </w:p>
    <w:p>
      <w:pPr>
        <w:pStyle w:val="BookText"/>
      </w:pPr>
      <w:r>
        <w:rPr>
          <w:rFonts w:ascii="IRNazanin" w:hAnsi="IRNazanin" w:eastAsia="IRNazanin" w:cs="IRNazanin"/>
          <w:lang w:bidi="fa-IR"/>
          <w:color w:val="111111"/>
          <w:sz w:val="28"/>
          <w:szCs w:val="28"/>
          <w:rtl/>
        </w:rPr>
        <w:t xml:space="preserve">راجع دیوان بنائی هروی‏</w:t>
      </w:r>
    </w:p>
    <w:p>
      <w:pPr>
        <w:pStyle w:val="Heading3"/>
      </w:pPr>
      <w:bookmarkStart w:id="3037" w:name="_Toc1733"/>
      <w:r>
        <w:t>1380- دیوان حالی یزدی أو شعره‏</w:t>
      </w:r>
      <w:bookmarkEnd w:id="3037"/>
    </w:p>
    <w:p>
      <w:pPr>
        <w:pStyle w:val="BookText"/>
      </w:pPr>
      <w:r>
        <w:rPr>
          <w:rFonts w:ascii="IRNazanin" w:hAnsi="IRNazanin" w:eastAsia="IRNazanin" w:cs="IRNazanin"/>
          <w:lang w:bidi="fa-IR"/>
          <w:color w:val="111111"/>
          <w:sz w:val="28"/>
          <w:szCs w:val="28"/>
          <w:rtl/>
        </w:rPr>
        <w:t xml:space="preserve">سماه فی (تغ- ص 41) شمس الدین و قال کان معاصر الشاه عباس الأول و کذا فی (روشن- ص 164)</w:t>
      </w:r>
    </w:p>
    <w:p>
      <w:pPr>
        <w:pStyle w:val="Heading3"/>
      </w:pPr>
      <w:bookmarkStart w:id="3038" w:name="_Toc1734"/>
      <w:r>
        <w:t>1381- دیوان حامد الإصطهباناتی‏</w:t>
      </w:r>
      <w:bookmarkEnd w:id="3038"/>
    </w:p>
    <w:p>
      <w:pPr>
        <w:pStyle w:val="BookText"/>
      </w:pPr>
      <w:r>
        <w:rPr>
          <w:rFonts w:ascii="IRNazanin" w:hAnsi="IRNazanin" w:eastAsia="IRNazanin" w:cs="IRNazanin"/>
          <w:lang w:bidi="fa-IR"/>
          <w:color w:val="111111"/>
          <w:sz w:val="28"/>
          <w:szCs w:val="28"/>
          <w:rtl/>
        </w:rPr>
        <w:t xml:space="preserve">المشتمل علی الغزلیات و القصائد الفارسیة یمدح فی بعضها الشاه‏زاده أبا الفتح میرزا بن الفتح علی شاه و إحدی قصائده فی تهنئة علامة الدهر الحاج میرزا بابا عند فراغه من بنائه للحمام بإصطهبانات فی (1264) و قصیدة أخری فی بنائه للمدرسة بها، و فیها اللعن و التبرئة عن البابیة و الدعاء للسلطان ناصر الدین شاه فی (1265) نسخه منه عند السید آقا التستری فی النجف‏</w:t>
      </w:r>
    </w:p>
    <w:p>
      <w:pPr>
        <w:pStyle w:val="Heading3"/>
      </w:pPr>
      <w:bookmarkStart w:id="3039" w:name="_Toc1735"/>
      <w:r>
        <w:t>1382- دیوان حامد بهبهانی أو شعره‏</w:t>
      </w:r>
      <w:bookmarkEnd w:id="3039"/>
    </w:p>
    <w:p>
      <w:pPr>
        <w:pStyle w:val="BookText"/>
      </w:pPr>
      <w:r>
        <w:rPr>
          <w:rFonts w:ascii="IRNazanin" w:hAnsi="IRNazanin" w:eastAsia="IRNazanin" w:cs="IRNazanin"/>
          <w:lang w:bidi="fa-IR"/>
          <w:color w:val="111111"/>
          <w:sz w:val="28"/>
          <w:szCs w:val="28"/>
          <w:rtl/>
        </w:rPr>
        <w:t xml:space="preserve">أورد شعره فی (تش- ص 262) و عنه فی (روشن- ص 165) ثم القاموس الترکی‏</w:t>
      </w:r>
    </w:p>
    <w:p>
      <w:pPr>
        <w:pStyle w:val="Heading3"/>
      </w:pPr>
      <w:bookmarkStart w:id="3040" w:name="_Toc1736"/>
      <w:r>
        <w:t>1383- دیوان حامد شیرازی أو شعره‏</w:t>
      </w:r>
      <w:bookmarkEnd w:id="3040"/>
    </w:p>
    <w:p>
      <w:pPr>
        <w:pStyle w:val="BookText"/>
      </w:pPr>
      <w:r>
        <w:rPr>
          <w:rFonts w:ascii="IRNazanin" w:hAnsi="IRNazanin" w:eastAsia="IRNazanin" w:cs="IRNazanin"/>
          <w:lang w:bidi="fa-IR"/>
          <w:color w:val="111111"/>
          <w:sz w:val="28"/>
          <w:szCs w:val="28"/>
          <w:rtl/>
        </w:rPr>
        <w:t xml:space="preserve">و هو السید محمد علی بن المیر محمد الحسینی الحسنی الحمزوی، متولی مقبرة علی بن موسی بن جعفر بشیراز تلمذ علی سلطان العلماء شاه‏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24" w:name="pg11704_121704"/>
    <w:bookmarkEnd w:id="224"/>
    <w:p>
      <w:pPr>
        <w:pStyle w:val="BookText"/>
      </w:pPr>
      <w:r>
        <w:rPr>
          <w:rFonts w:ascii="IRNazanin" w:hAnsi="IRNazanin" w:eastAsia="IRNazanin" w:cs="IRNazanin"/>
          <w:lang w:bidi="fa-IR"/>
          <w:color w:val="111111"/>
          <w:sz w:val="28"/>
          <w:szCs w:val="28"/>
          <w:rtl/>
        </w:rPr>
        <w:t xml:space="preserve">أبو الولی، و أدرک المیر محمد الأسترآبادی نظم الشعر بالعربیة و الفارسیة أورد شعره الفارسی فی (نر 6- ص 183)</w:t>
      </w:r>
    </w:p>
    <w:p>
      <w:pPr>
        <w:pStyle w:val="Heading3"/>
      </w:pPr>
      <w:bookmarkStart w:id="3041" w:name="_Toc1737"/>
      <w:r>
        <w:t>1384- دیوان حامد کرمانی‏</w:t>
      </w:r>
      <w:bookmarkEnd w:id="3041"/>
    </w:p>
    <w:p>
      <w:pPr>
        <w:pStyle w:val="BookText"/>
      </w:pPr>
      <w:r>
        <w:rPr>
          <w:rFonts w:ascii="IRNazanin" w:hAnsi="IRNazanin" w:eastAsia="IRNazanin" w:cs="IRNazanin"/>
          <w:lang w:bidi="fa-IR"/>
          <w:color w:val="111111"/>
          <w:sz w:val="28"/>
          <w:szCs w:val="28"/>
          <w:rtl/>
        </w:rPr>
        <w:t xml:space="preserve">هو أوحد الدین حامد بن أبی الفخر الکرمانی المتوفی (635) من تلامیذ رکن الدین السجاسی و معاصر ابن العربی حیث نقل عنه فی الفتوحات، و معاصر شمس تبریزی ترجمه زکریا القزوینی فی آثار البلاد (ص 164) و الجامی فی النفحات (ص</w:t>
      </w:r>
    </w:p>
    <w:p>
      <w:pPr>
        <w:pStyle w:val="BookText"/>
      </w:pPr>
      <w:r>
        <w:rPr>
          <w:rFonts w:ascii="Times New Roman" w:hAnsi="Times New Roman" w:eastAsia="Times New Roman" w:cs="Times New Roman"/>
          <w:lang w:val="en-US" w:bidi="en-US"/>
          <w:color w:val="111111"/>
          <w:sz w:val="28"/>
          <w:szCs w:val="28"/>
          <w:rtl/>
        </w:rPr>
        <w:t xml:space="preserve">532.</w:t>
      </w:r>
    </w:p>
    <w:p>
      <w:pPr>
        <w:pStyle w:val="BookText"/>
      </w:pPr>
      <w:r>
        <w:rPr>
          <w:rFonts w:ascii="IRNazanin" w:hAnsi="IRNazanin" w:eastAsia="IRNazanin" w:cs="IRNazanin"/>
          <w:lang w:bidi="fa-IR"/>
          <w:color w:val="111111"/>
          <w:sz w:val="28"/>
          <w:szCs w:val="28"/>
          <w:rtl/>
        </w:rPr>
        <w:t xml:space="preserve">و حبیب السیر (ص 67 ج 1 ج 3) و شد الإزار (حاشیة ص 310 إلی 312) و الحوادث الجامعة (ص 73) و تاریخ گزیده (ص 788) و مجمل فصیحی خوافی (عام 635) و هفت إقلیم و خزینة الأصفیاء (2: 265) و (مع- ج 1 ص 89) و طرائق الحقائق (2: 281) و (بهش 1- ص 318) و فی (تش 118) غلط فسماه أبا حامد له مصباح الأرواح نظما عند الملک و توجد نسخه من دیوان رباعیاته فی إستانبول و تصویره بطهران‏</w:t>
      </w:r>
    </w:p>
    <w:p>
      <w:pPr>
        <w:pStyle w:val="Heading3"/>
      </w:pPr>
      <w:bookmarkStart w:id="3042" w:name="_Toc1738"/>
      <w:r>
        <w:t>1385- دیوان حامدی شوشتری أو شعره‏</w:t>
      </w:r>
      <w:bookmarkEnd w:id="3042"/>
    </w:p>
    <w:p>
      <w:pPr>
        <w:pStyle w:val="BookText"/>
      </w:pPr>
      <w:r>
        <w:rPr>
          <w:rFonts w:ascii="IRNazanin" w:hAnsi="IRNazanin" w:eastAsia="IRNazanin" w:cs="IRNazanin"/>
          <w:lang w:bidi="fa-IR"/>
          <w:color w:val="111111"/>
          <w:sz w:val="28"/>
          <w:szCs w:val="28"/>
          <w:rtl/>
        </w:rPr>
        <w:t xml:space="preserve">أستاذ الملا حلمی کان من شعراء و أخشنو خان کما ذکره السید عبد الله الجزائری فی تاریخ تستر و قال فی (گلشن ص 118) إنه من شعراء الشاه عباس الأول و کذا فی (تغ- ص 41)</w:t>
      </w:r>
    </w:p>
    <w:p>
      <w:pPr>
        <w:pStyle w:val="Heading3"/>
      </w:pPr>
      <w:bookmarkStart w:id="3043" w:name="_Toc1739"/>
      <w:r>
        <w:t>1386- دیوان حامدی قزوینی أو شعره‏</w:t>
      </w:r>
      <w:bookmarkEnd w:id="3043"/>
    </w:p>
    <w:p>
      <w:pPr>
        <w:pStyle w:val="BookText"/>
      </w:pPr>
      <w:r>
        <w:rPr>
          <w:rFonts w:ascii="IRNazanin" w:hAnsi="IRNazanin" w:eastAsia="IRNazanin" w:cs="IRNazanin"/>
          <w:lang w:bidi="fa-IR"/>
          <w:color w:val="111111"/>
          <w:sz w:val="28"/>
          <w:szCs w:val="28"/>
          <w:rtl/>
        </w:rPr>
        <w:t xml:space="preserve">ترجمه معاصره صادقی فی (خص 8- 304) و قال یری نفسه أعظم الشعراء ما عدا الأمیر حسن الدهلوی‏</w:t>
      </w:r>
    </w:p>
    <w:p>
      <w:pPr>
        <w:pStyle w:val="Heading3"/>
      </w:pPr>
      <w:bookmarkStart w:id="3044" w:name="_Toc1740"/>
      <w:r>
        <w:t>1387- دیوان دیوان حامدی قمی أو شعره‏</w:t>
      </w:r>
      <w:bookmarkEnd w:id="3044"/>
    </w:p>
    <w:p>
      <w:pPr>
        <w:pStyle w:val="BookText"/>
      </w:pPr>
      <w:r>
        <w:rPr>
          <w:rFonts w:ascii="IRNazanin" w:hAnsi="IRNazanin" w:eastAsia="IRNazanin" w:cs="IRNazanin"/>
          <w:lang w:bidi="fa-IR"/>
          <w:color w:val="111111"/>
          <w:sz w:val="28"/>
          <w:szCs w:val="28"/>
          <w:rtl/>
        </w:rPr>
        <w:t xml:space="preserve">من شعراء الشاه طهماسب الأول أورد شعره فی (گلشن 118) و فی (تغ- ص 41) سماه میرزا حامد حامدی‏</w:t>
      </w:r>
    </w:p>
    <w:p>
      <w:pPr>
        <w:pStyle w:val="Heading3"/>
      </w:pPr>
      <w:bookmarkStart w:id="3045" w:name="_Toc1741"/>
      <w:r>
        <w:t>1388- دیوان حامی فارسی‏</w:t>
      </w:r>
      <w:bookmarkEnd w:id="3045"/>
    </w:p>
    <w:p>
      <w:pPr>
        <w:pStyle w:val="BookText"/>
      </w:pPr>
      <w:r>
        <w:rPr>
          <w:rFonts w:ascii="IRNazanin" w:hAnsi="IRNazanin" w:eastAsia="IRNazanin" w:cs="IRNazanin"/>
          <w:lang w:bidi="fa-IR"/>
          <w:color w:val="111111"/>
          <w:sz w:val="28"/>
          <w:szCs w:val="28"/>
          <w:rtl/>
        </w:rPr>
        <w:t xml:space="preserve">توجد نسخه منه فی مکتبة السید محمد مهدی فی فیض‏آباد، ذکر فی فهرسها نمره (6) و أورد فی القاموس الترکی شاعرین بهذا الاسم‏</w:t>
      </w:r>
    </w:p>
    <w:p>
      <w:pPr>
        <w:pStyle w:val="Heading3"/>
      </w:pPr>
      <w:bookmarkStart w:id="3046" w:name="_Toc1742"/>
      <w:r>
        <w:t>1389- دیوان حاوی السندجی‏</w:t>
      </w:r>
      <w:bookmarkEnd w:id="3046"/>
    </w:p>
    <w:p>
      <w:pPr>
        <w:pStyle w:val="BookText"/>
      </w:pPr>
      <w:r>
        <w:rPr>
          <w:rFonts w:ascii="IRNazanin" w:hAnsi="IRNazanin" w:eastAsia="IRNazanin" w:cs="IRNazanin"/>
          <w:lang w:bidi="fa-IR"/>
          <w:color w:val="111111"/>
          <w:sz w:val="28"/>
          <w:szCs w:val="28"/>
          <w:rtl/>
        </w:rPr>
        <w:t xml:space="preserve">و اسمه حسین قلی خان بن أمان الله خان والی کردستان و المتوفی فی ریعان شبابه فی (1263) ترجمه فی (مع- ج 2 ص 98- 102) و أورد ما یقرب من ثلاثمائة بیت من أنواع شعره و أمان الله خان الوالی هو الذی ألف المیرزا عبد الله المتخلص برونق تذکرته لشعراء کردستان و سماه حدیقة أمان‏اللهی باسمه، و قد فاتنا ذکره فی حرف الحاء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25" w:name="pg11704_121705"/>
    <w:bookmarkEnd w:id="225"/>
    <w:p>
      <w:pPr>
        <w:pStyle w:val="Heading3"/>
      </w:pPr>
      <w:bookmarkStart w:id="3047" w:name="_Toc1743"/>
      <w:r>
        <w:t>دیوان حباب أصفهانی‏</w:t>
      </w:r>
      <w:bookmarkEnd w:id="3047"/>
    </w:p>
    <w:p>
      <w:pPr>
        <w:pStyle w:val="BookText"/>
      </w:pPr>
      <w:r>
        <w:rPr>
          <w:rFonts w:ascii="IRNazanin" w:hAnsi="IRNazanin" w:eastAsia="IRNazanin" w:cs="IRNazanin"/>
          <w:lang w:bidi="fa-IR"/>
          <w:color w:val="111111"/>
          <w:sz w:val="28"/>
          <w:szCs w:val="28"/>
          <w:rtl/>
        </w:rPr>
        <w:t xml:space="preserve">کذا فی (تش ص 371) و عنه فی آفتاب عالم تاب و (روشن ص 165) و لغت‏نامه، و الصحیح جناب کما ذکرناه فی ص 205</w:t>
      </w:r>
    </w:p>
    <w:p>
      <w:pPr>
        <w:pStyle w:val="Heading3"/>
      </w:pPr>
      <w:bookmarkStart w:id="3048" w:name="_Toc1744"/>
      <w:r>
        <w:t>دیوان حبش مازندرانی‏</w:t>
      </w:r>
      <w:bookmarkEnd w:id="3048"/>
    </w:p>
    <w:p>
      <w:pPr>
        <w:pStyle w:val="BookText"/>
      </w:pPr>
      <w:r>
        <w:rPr>
          <w:rFonts w:ascii="IRNazanin" w:hAnsi="IRNazanin" w:eastAsia="IRNazanin" w:cs="IRNazanin"/>
          <w:lang w:bidi="fa-IR"/>
          <w:color w:val="111111"/>
          <w:sz w:val="28"/>
          <w:szCs w:val="28"/>
          <w:rtl/>
        </w:rPr>
        <w:t xml:space="preserve">راجع دیوان جاوید</w:t>
      </w:r>
    </w:p>
    <w:p>
      <w:pPr>
        <w:pStyle w:val="Heading3"/>
      </w:pPr>
      <w:bookmarkStart w:id="3049" w:name="_Toc1745"/>
      <w:r>
        <w:t>1390- دیوان حبابی کاشی أو شعره‏</w:t>
      </w:r>
      <w:bookmarkEnd w:id="3049"/>
    </w:p>
    <w:p>
      <w:pPr>
        <w:pStyle w:val="BookText"/>
      </w:pPr>
      <w:r>
        <w:rPr>
          <w:rFonts w:ascii="IRNazanin" w:hAnsi="IRNazanin" w:eastAsia="IRNazanin" w:cs="IRNazanin"/>
          <w:lang w:bidi="fa-IR"/>
          <w:color w:val="111111"/>
          <w:sz w:val="28"/>
          <w:szCs w:val="28"/>
          <w:rtl/>
        </w:rPr>
        <w:t xml:space="preserve">سافر من وطنه إلی الهند فی عهد جهانگیر و مات بها أورد شعره فی (روشن- ص 165)</w:t>
      </w:r>
    </w:p>
    <w:p>
      <w:pPr>
        <w:pStyle w:val="Heading3"/>
      </w:pPr>
      <w:bookmarkStart w:id="3050" w:name="_Toc1746"/>
      <w:r>
        <w:t>1391- دیوان الحبوبی الکبیر</w:t>
      </w:r>
      <w:bookmarkEnd w:id="3050"/>
    </w:p>
    <w:p>
      <w:pPr>
        <w:pStyle w:val="BookText"/>
      </w:pPr>
      <w:r>
        <w:rPr>
          <w:rFonts w:ascii="IRNazanin" w:hAnsi="IRNazanin" w:eastAsia="IRNazanin" w:cs="IRNazanin"/>
          <w:lang w:bidi="fa-IR"/>
          <w:color w:val="111111"/>
          <w:sz w:val="28"/>
          <w:szCs w:val="28"/>
          <w:rtl/>
        </w:rPr>
        <w:t xml:space="preserve">و هو المجاهد السید محمد سعید بن محمود بن قاسم بن کاظم بن حسین الذی ینتهی نسبه مع نسب معاصره السید أحمد العطار البغدادی الذی توفی (1215) إلی حمیضة أخ رمیثة الذی هو جد شریف حسین شریف مکة أیضا کان فی شبابه أشعر شعراء العراق و صار من أعظم علمائها و جاهد فی سبیل الله و رجع بعد انکسار عسکر الإسلام فی الشعیبة و توفی قبل وصوله إلی النجف فی ناصریة المنتفک فحمل إلی النجف و دفن فی الإیوان القبلی الکبیر المواجه لمیزاب الذهب فی النجف و رثته أدباء العصر و أرخ وفاته الشیخ جواد الشبیبی بقوله‏</w:t>
      </w:r>
    </w:p>
    <w:p>
      <w:pPr>
        <w:pStyle w:val="BookText"/>
      </w:pPr>
      <w:r>
        <w:rPr>
          <w:rFonts w:ascii="IRNazanin" w:hAnsi="IRNazanin" w:eastAsia="IRNazanin" w:cs="IRNazanin"/>
          <w:lang w:bidi="fa-IR"/>
          <w:color w:val="111111"/>
          <w:sz w:val="28"/>
          <w:szCs w:val="28"/>
          <w:rtl/>
        </w:rPr>
        <w:t xml:space="preserve">و من لاقی المنیة أرخوه:</w:t>
      </w:r>
    </w:p>
    <w:p>
      <w:pPr>
        <w:pStyle w:val="BookText"/>
      </w:pPr>
      <w:r>
        <w:rPr>
          <w:rFonts w:ascii="IRNazanin" w:hAnsi="IRNazanin" w:eastAsia="IRNazanin" w:cs="IRNazanin"/>
          <w:lang w:bidi="fa-IR"/>
          <w:color w:val="111111"/>
          <w:sz w:val="28"/>
          <w:szCs w:val="28"/>
          <w:rtl/>
        </w:rPr>
        <w:t xml:space="preserve">سعید فی الجهاد قضی سعیدا</w:t>
      </w:r>
    </w:p>
    <w:p>
      <w:pPr>
        <w:pStyle w:val="BookText"/>
      </w:pPr>
      <w:r>
        <w:rPr>
          <w:rFonts w:ascii="IRNazanin" w:hAnsi="IRNazanin" w:eastAsia="IRNazanin" w:cs="IRNazanin"/>
          <w:lang w:bidi="fa-IR"/>
          <w:color w:val="111111"/>
          <w:sz w:val="28"/>
          <w:szCs w:val="28"/>
          <w:rtl/>
        </w:rPr>
        <w:t xml:space="preserve">(1333) و دیوانه مطبوع فی بیروت فی (1331) فی (330 ص) مع تذییل الشیخ عبد العزیز الجواهری و اعتناء ولد الناظم السید علی، و طبع بعض شعره بعنوان العراقیات‏</w:t>
      </w:r>
    </w:p>
    <w:p>
      <w:pPr>
        <w:pStyle w:val="Heading3"/>
      </w:pPr>
      <w:bookmarkStart w:id="3051" w:name="_Toc1747"/>
      <w:r>
        <w:t>1392- دیوان الحبوبی الصغیر</w:t>
      </w:r>
      <w:bookmarkEnd w:id="3051"/>
    </w:p>
    <w:p>
      <w:pPr>
        <w:pStyle w:val="BookText"/>
      </w:pPr>
      <w:r>
        <w:rPr>
          <w:rFonts w:ascii="IRNazanin" w:hAnsi="IRNazanin" w:eastAsia="IRNazanin" w:cs="IRNazanin"/>
          <w:lang w:bidi="fa-IR"/>
          <w:color w:val="111111"/>
          <w:sz w:val="28"/>
          <w:szCs w:val="28"/>
          <w:rtl/>
        </w:rPr>
        <w:t xml:space="preserve">السید محمود بن السید حسین بن محمود إلی آخر نسب عمه السید محمد سعید المذکور طبع فی (1367) الجزء الأول منه و أهداه إلی عمه السعید ولد فی النجف (1323) و نشا بین الأدباء و یظهر قوة أدبه من دیوانه الذی رتبه علی عشرین نوعا مبتکرا فی کثیر منها، و فیها ما إنشاؤه فی (1359) عند مروره علی ایوان کسری فی المدائن من قصیدة رائیة یزید علی خمسین بیتا</w:t>
      </w:r>
    </w:p>
    <w:p>
      <w:pPr>
        <w:pStyle w:val="Heading3"/>
      </w:pPr>
      <w:bookmarkStart w:id="3052" w:name="_Toc1748"/>
      <w:r>
        <w:t>1393- دیوان حبی النیشابوری‏</w:t>
      </w:r>
      <w:bookmarkEnd w:id="3052"/>
    </w:p>
    <w:p>
      <w:pPr>
        <w:pStyle w:val="BookText"/>
      </w:pPr>
      <w:r>
        <w:rPr>
          <w:rFonts w:ascii="IRNazanin" w:hAnsi="IRNazanin" w:eastAsia="IRNazanin" w:cs="IRNazanin"/>
          <w:lang w:bidi="fa-IR"/>
          <w:color w:val="111111"/>
          <w:sz w:val="28"/>
          <w:szCs w:val="28"/>
          <w:rtl/>
        </w:rPr>
        <w:t xml:space="preserve">ترجمه معاصره سام میرزا فی (تس 5- ص 154) و أطری أشعاره و أورد مطلعا من غزله و قال فی (روشن- ص 166) إن اسمه حبیب الله و قد سکن أصفهان‏</w:t>
      </w:r>
    </w:p>
    <w:p>
      <w:pPr>
        <w:pStyle w:val="Heading3"/>
      </w:pPr>
      <w:bookmarkStart w:id="3053" w:name="_Toc1749"/>
      <w:r>
        <w:t>1394- دیوان حبیب‏</w:t>
      </w:r>
      <w:bookmarkEnd w:id="3053"/>
    </w:p>
    <w:p>
      <w:pPr>
        <w:pStyle w:val="BookText"/>
      </w:pPr>
      <w:r>
        <w:rPr>
          <w:rFonts w:ascii="IRNazanin" w:hAnsi="IRNazanin" w:eastAsia="IRNazanin" w:cs="IRNazanin"/>
          <w:lang w:bidi="fa-IR"/>
          <w:color w:val="111111"/>
          <w:sz w:val="28"/>
          <w:szCs w:val="28"/>
          <w:rtl/>
        </w:rPr>
        <w:t xml:space="preserve">رأیت قصیدته فی نیف و خمسین بیتا فی مدیح الرسول الخاتم  صلی الله علیه و آله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26" w:name="pg11704_121706"/>
    <w:bookmarkEnd w:id="226"/>
    <w:p>
      <w:pPr>
        <w:pStyle w:val="BookText"/>
      </w:pPr>
      <w:r>
        <w:rPr>
          <w:rFonts w:ascii="IRNazanin" w:hAnsi="IRNazanin" w:eastAsia="IRNazanin" w:cs="IRNazanin"/>
          <w:lang w:bidi="fa-IR"/>
          <w:color w:val="111111"/>
          <w:sz w:val="28"/>
          <w:szCs w:val="28"/>
          <w:rtl/>
        </w:rPr>
        <w:t xml:space="preserve">أوله:</w:t>
      </w:r>
    </w:p>
    <w:p>
      <w:pPr>
        <w:pStyle w:val="BookText"/>
      </w:pPr>
      <w:r>
        <w:rPr>
          <w:rFonts w:ascii="IRNazanin" w:hAnsi="IRNazanin" w:eastAsia="IRNazanin" w:cs="IRNazanin"/>
          <w:lang w:bidi="fa-IR"/>
          <w:color w:val="111111"/>
          <w:sz w:val="28"/>
          <w:szCs w:val="28"/>
          <w:rtl/>
        </w:rPr>
        <w:t xml:space="preserve">از سروش وحدتم بر گوش آمد این خطاب‏</w:t>
      </w:r>
    </w:p>
    <w:p>
      <w:pPr>
        <w:pStyle w:val="BookText"/>
      </w:pPr>
      <w:r>
        <w:rPr>
          <w:rFonts w:ascii="IRNazanin" w:hAnsi="IRNazanin" w:eastAsia="IRNazanin" w:cs="IRNazanin"/>
          <w:lang w:bidi="fa-IR"/>
          <w:color w:val="111111"/>
          <w:sz w:val="28"/>
          <w:szCs w:val="28"/>
          <w:rtl/>
        </w:rPr>
        <w:t xml:space="preserve">یا فتی لا تبطل الأوقات فی عهد الشباب‏</w:t>
      </w:r>
    </w:p>
    <w:p>
      <w:pPr>
        <w:pStyle w:val="BookText"/>
      </w:pPr>
      <w:r>
        <w:rPr>
          <w:rFonts w:ascii="IRNazanin" w:hAnsi="IRNazanin" w:eastAsia="IRNazanin" w:cs="IRNazanin"/>
          <w:lang w:bidi="fa-IR"/>
          <w:color w:val="111111"/>
          <w:sz w:val="28"/>
          <w:szCs w:val="28"/>
          <w:rtl/>
        </w:rPr>
        <w:t xml:space="preserve">إلی قوله:</w:t>
      </w:r>
    </w:p>
    <w:p>
      <w:pPr>
        <w:pStyle w:val="BookText"/>
      </w:pPr>
      <w:r>
        <w:rPr>
          <w:rFonts w:ascii="IRNazanin" w:hAnsi="IRNazanin" w:eastAsia="IRNazanin" w:cs="IRNazanin"/>
          <w:lang w:bidi="fa-IR"/>
          <w:color w:val="111111"/>
          <w:sz w:val="28"/>
          <w:szCs w:val="28"/>
          <w:rtl/>
        </w:rPr>
        <w:t xml:space="preserve">خسروا تا در فشان گردیده در مدحت حبیب‏</w:t>
      </w:r>
    </w:p>
    <w:p>
      <w:pPr>
        <w:pStyle w:val="BookText"/>
      </w:pPr>
      <w:r>
        <w:rPr>
          <w:rFonts w:ascii="IRNazanin" w:hAnsi="IRNazanin" w:eastAsia="IRNazanin" w:cs="IRNazanin"/>
          <w:lang w:bidi="fa-IR"/>
          <w:color w:val="111111"/>
          <w:sz w:val="28"/>
          <w:szCs w:val="28"/>
          <w:rtl/>
        </w:rPr>
        <w:t xml:space="preserve">گشته خورشید از فروغ حکمتش در احتجاب‏</w:t>
      </w:r>
    </w:p>
    <w:p>
      <w:pPr>
        <w:pStyle w:val="BookText"/>
      </w:pPr>
      <w:r>
        <w:rPr>
          <w:rFonts w:ascii="IRNazanin" w:hAnsi="IRNazanin" w:eastAsia="IRNazanin" w:cs="IRNazanin"/>
          <w:lang w:bidi="fa-IR"/>
          <w:color w:val="111111"/>
          <w:sz w:val="28"/>
          <w:szCs w:val="28"/>
          <w:rtl/>
        </w:rPr>
        <w:t xml:space="preserve">و هی ضمن مجموعة المولی حسن علی المتخلص بمداح عند السید محمد الجزائری فی النجف و یوجد مثنوی باسم أسرار الولایة له عند (الملک) بطهران هو القاآنی ص 857</w:t>
      </w:r>
    </w:p>
    <w:p>
      <w:pPr>
        <w:pStyle w:val="Heading3"/>
      </w:pPr>
      <w:bookmarkStart w:id="3054" w:name="_Toc1750"/>
      <w:r>
        <w:t>1395- دیوان حبیب أصفهانی أو شعره‏</w:t>
      </w:r>
      <w:bookmarkEnd w:id="3054"/>
    </w:p>
    <w:p>
      <w:pPr>
        <w:pStyle w:val="BookText"/>
      </w:pPr>
      <w:r>
        <w:rPr>
          <w:rFonts w:ascii="IRNazanin" w:hAnsi="IRNazanin" w:eastAsia="IRNazanin" w:cs="IRNazanin"/>
          <w:lang w:bidi="fa-IR"/>
          <w:color w:val="111111"/>
          <w:sz w:val="28"/>
          <w:szCs w:val="28"/>
          <w:rtl/>
        </w:rPr>
        <w:t xml:space="preserve">و هو الخواجة حبیب الله ترکة أطری علمه و أورد جملة من رباعیاته معاصره الصادقی کتاب دار فی (خص 4- ص 44) و کذا فی (تش ص 175)</w:t>
      </w:r>
    </w:p>
    <w:p>
      <w:pPr>
        <w:pStyle w:val="Heading3"/>
      </w:pPr>
      <w:bookmarkStart w:id="3055" w:name="_Toc1751"/>
      <w:r>
        <w:t>1396- دیوان حبیب رازی أو شعره‏</w:t>
      </w:r>
      <w:bookmarkEnd w:id="3055"/>
    </w:p>
    <w:p>
      <w:pPr>
        <w:pStyle w:val="BookText"/>
      </w:pPr>
      <w:r>
        <w:rPr>
          <w:rFonts w:ascii="IRNazanin" w:hAnsi="IRNazanin" w:eastAsia="IRNazanin" w:cs="IRNazanin"/>
          <w:lang w:bidi="fa-IR"/>
          <w:color w:val="111111"/>
          <w:sz w:val="28"/>
          <w:szCs w:val="28"/>
          <w:rtl/>
        </w:rPr>
        <w:t xml:space="preserve">و هو الملا حبیب من الطلبة القاطنین بناحیة عبد العظیم أطری إیمانه معاصره النصرآبادی فی (نر 6- ص 203) و عنه فی (روشن ص 166)</w:t>
      </w:r>
    </w:p>
    <w:p>
      <w:pPr>
        <w:pStyle w:val="Heading3"/>
      </w:pPr>
      <w:bookmarkStart w:id="3056" w:name="_Toc1752"/>
      <w:r>
        <w:t>1397- دیوان حبیب سبزواری أو شعره‏</w:t>
      </w:r>
      <w:bookmarkEnd w:id="3056"/>
    </w:p>
    <w:p>
      <w:pPr>
        <w:pStyle w:val="BookText"/>
      </w:pPr>
      <w:r>
        <w:rPr>
          <w:rFonts w:ascii="IRNazanin" w:hAnsi="IRNazanin" w:eastAsia="IRNazanin" w:cs="IRNazanin"/>
          <w:lang w:bidi="fa-IR"/>
          <w:color w:val="111111"/>
          <w:sz w:val="28"/>
          <w:szCs w:val="28"/>
          <w:rtl/>
        </w:rPr>
        <w:t xml:space="preserve">أورد شعره فی (تش- ص 78) و اسمه حبیب الله‏</w:t>
      </w:r>
    </w:p>
    <w:p>
      <w:pPr>
        <w:pStyle w:val="Heading3"/>
      </w:pPr>
      <w:bookmarkStart w:id="3057" w:name="_Toc1753"/>
      <w:r>
        <w:t>1398- دیوان حبیب شیرازی أو شعره‏</w:t>
      </w:r>
      <w:bookmarkEnd w:id="3057"/>
    </w:p>
    <w:p>
      <w:pPr>
        <w:pStyle w:val="BookText"/>
      </w:pPr>
      <w:r>
        <w:rPr>
          <w:rFonts w:ascii="IRNazanin" w:hAnsi="IRNazanin" w:eastAsia="IRNazanin" w:cs="IRNazanin"/>
          <w:lang w:bidi="fa-IR"/>
          <w:color w:val="111111"/>
          <w:sz w:val="28"/>
          <w:szCs w:val="28"/>
          <w:rtl/>
        </w:rPr>
        <w:t xml:space="preserve">و هو حبیب الله بن المیرزا شفیع المستوفی أخ المیرزا عبد الله ترجمهما فی (نر 5- ص 98) و توفی حبیب الله بشیراز أوان مأموریته بها من قبل الشاه عباس الثانی و أظنه المذکور فی (گلشن- ص 118) و قال فی (تغ ص 42) إنه عم میرزا داود</w:t>
      </w:r>
    </w:p>
    <w:p>
      <w:pPr>
        <w:pStyle w:val="Heading3"/>
      </w:pPr>
      <w:bookmarkStart w:id="3058" w:name="_Toc1754"/>
      <w:r>
        <w:t>1399- دیوان حبیب قیزی أو شعره‏</w:t>
      </w:r>
      <w:bookmarkEnd w:id="3058"/>
    </w:p>
    <w:p>
      <w:pPr>
        <w:pStyle w:val="BookText"/>
      </w:pPr>
      <w:r>
        <w:rPr>
          <w:rFonts w:ascii="IRNazanin" w:hAnsi="IRNazanin" w:eastAsia="IRNazanin" w:cs="IRNazanin"/>
          <w:lang w:bidi="fa-IR"/>
          <w:color w:val="111111"/>
          <w:sz w:val="28"/>
          <w:szCs w:val="28"/>
          <w:rtl/>
        </w:rPr>
        <w:t xml:space="preserve">و اسمه حبیب الله الأندجانی بن المیر شمس الدین سر برهنه وزیر السلطان حسین میرزا کان ماهرا فی استعمال القیز (من أنواع الموسیقی) أورد شعره فی (روشن ص 166)</w:t>
      </w:r>
    </w:p>
    <w:p>
      <w:pPr>
        <w:pStyle w:val="Heading3"/>
      </w:pPr>
      <w:bookmarkStart w:id="3059" w:name="_Toc1755"/>
      <w:r>
        <w:t>1400- دیوان حبیب کاتب أو شعره‏</w:t>
      </w:r>
      <w:bookmarkEnd w:id="3059"/>
    </w:p>
    <w:p>
      <w:pPr>
        <w:pStyle w:val="BookText"/>
      </w:pPr>
      <w:r>
        <w:rPr>
          <w:rFonts w:ascii="IRNazanin" w:hAnsi="IRNazanin" w:eastAsia="IRNazanin" w:cs="IRNazanin"/>
          <w:lang w:bidi="fa-IR"/>
          <w:color w:val="111111"/>
          <w:sz w:val="28"/>
          <w:szCs w:val="28"/>
          <w:rtl/>
        </w:rPr>
        <w:t xml:space="preserve">من أقرباء ملا فتح الله الکاتب أورد شعره فی (بهش 2- ص 394)</w:t>
      </w:r>
    </w:p>
    <w:p>
      <w:pPr>
        <w:pStyle w:val="Heading3"/>
      </w:pPr>
      <w:bookmarkStart w:id="3060" w:name="_Toc1756"/>
      <w:r>
        <w:t>1401- دیوان حبیب کاشی کار أو شعره‏</w:t>
      </w:r>
      <w:bookmarkEnd w:id="3060"/>
    </w:p>
    <w:p>
      <w:pPr>
        <w:pStyle w:val="BookText"/>
      </w:pPr>
      <w:r>
        <w:rPr>
          <w:rFonts w:ascii="IRNazanin" w:hAnsi="IRNazanin" w:eastAsia="IRNazanin" w:cs="IRNazanin"/>
          <w:lang w:bidi="fa-IR"/>
          <w:color w:val="111111"/>
          <w:sz w:val="28"/>
          <w:szCs w:val="28"/>
          <w:rtl/>
        </w:rPr>
        <w:t xml:space="preserve">کان یشتغل بالخزف فی الروم و کان خطاطا شاعرا معاصرا لبردعی‏زاده و شیخ‏زاده شبستری أورد شعره فی (بهش 2- ص‏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27" w:name="pg11704_121707"/>
    <w:bookmarkEnd w:id="227"/>
    <w:p>
      <w:pPr>
        <w:pStyle w:val="BookText"/>
      </w:pPr>
      <w:r>
        <w:rPr>
          <w:rFonts w:ascii="IRNazanin" w:hAnsi="IRNazanin" w:eastAsia="IRNazanin" w:cs="IRNazanin"/>
          <w:lang w:bidi="fa-IR"/>
          <w:color w:val="111111"/>
          <w:sz w:val="28"/>
          <w:szCs w:val="28"/>
          <w:rtl/>
        </w:rPr>
        <w:t xml:space="preserve">379 و 381)</w:t>
      </w:r>
    </w:p>
    <w:p>
      <w:pPr>
        <w:pStyle w:val="Heading3"/>
      </w:pPr>
      <w:bookmarkStart w:id="3061" w:name="_Toc1757"/>
      <w:r>
        <w:t>1402- دیوان حبیب کاشی‏</w:t>
      </w:r>
      <w:bookmarkEnd w:id="3061"/>
    </w:p>
    <w:p>
      <w:pPr>
        <w:pStyle w:val="BookText"/>
      </w:pPr>
      <w:r>
        <w:rPr>
          <w:rFonts w:ascii="IRNazanin" w:hAnsi="IRNazanin" w:eastAsia="IRNazanin" w:cs="IRNazanin"/>
          <w:lang w:bidi="fa-IR"/>
          <w:color w:val="111111"/>
          <w:sz w:val="28"/>
          <w:szCs w:val="28"/>
          <w:rtl/>
        </w:rPr>
        <w:t xml:space="preserve">و اسمه حبیب الله و هو من المعاصرین رأیت له نصیحت‏نامه نظما فی المواعظ فی (44 ص) طبع فی (1310 ش) و هو الساوجی رقم 5944</w:t>
      </w:r>
    </w:p>
    <w:p>
      <w:pPr>
        <w:pStyle w:val="Heading3"/>
      </w:pPr>
      <w:bookmarkStart w:id="3062" w:name="_Toc1758"/>
      <w:r>
        <w:t>1403- دیوان حبیب الله أو شعره‏</w:t>
      </w:r>
      <w:bookmarkEnd w:id="3062"/>
    </w:p>
    <w:p>
      <w:pPr>
        <w:pStyle w:val="BookText"/>
      </w:pPr>
      <w:r>
        <w:rPr>
          <w:rFonts w:ascii="IRNazanin" w:hAnsi="IRNazanin" w:eastAsia="IRNazanin" w:cs="IRNazanin"/>
          <w:lang w:bidi="fa-IR"/>
          <w:color w:val="111111"/>
          <w:sz w:val="28"/>
          <w:szCs w:val="28"/>
          <w:rtl/>
        </w:rPr>
        <w:t xml:space="preserve">هو ابن میر صدر (حیدر) کان ماهرا فی العود أورد شعره فی (مجن 5 ص 112 و 284)</w:t>
      </w:r>
    </w:p>
    <w:p>
      <w:pPr>
        <w:pStyle w:val="Heading3"/>
      </w:pPr>
      <w:bookmarkStart w:id="3063" w:name="_Toc1759"/>
      <w:r>
        <w:t>دیوان حبیب الله ترکة</w:t>
      </w:r>
      <w:bookmarkEnd w:id="3063"/>
    </w:p>
    <w:p>
      <w:pPr>
        <w:pStyle w:val="BookText"/>
      </w:pPr>
      <w:r>
        <w:rPr>
          <w:rFonts w:ascii="IRNazanin" w:hAnsi="IRNazanin" w:eastAsia="IRNazanin" w:cs="IRNazanin"/>
          <w:lang w:bidi="fa-IR"/>
          <w:color w:val="111111"/>
          <w:sz w:val="28"/>
          <w:szCs w:val="28"/>
          <w:rtl/>
        </w:rPr>
        <w:t xml:space="preserve">راجع حبیب أصفهانی‏</w:t>
      </w:r>
    </w:p>
    <w:p>
      <w:pPr>
        <w:pStyle w:val="Heading3"/>
      </w:pPr>
      <w:bookmarkStart w:id="3064" w:name="_Toc1760"/>
      <w:r>
        <w:t>1404- دیوان حبیب مسگر أو شعره‏</w:t>
      </w:r>
      <w:bookmarkEnd w:id="3064"/>
    </w:p>
    <w:p>
      <w:pPr>
        <w:pStyle w:val="BookText"/>
      </w:pPr>
      <w:r>
        <w:rPr>
          <w:rFonts w:ascii="IRNazanin" w:hAnsi="IRNazanin" w:eastAsia="IRNazanin" w:cs="IRNazanin"/>
          <w:lang w:bidi="fa-IR"/>
          <w:color w:val="111111"/>
          <w:sz w:val="28"/>
          <w:szCs w:val="28"/>
          <w:rtl/>
        </w:rPr>
        <w:t xml:space="preserve">هو أبو القاسم الیزدی المعاصر لفتح علی شاه القاجاری و قد أدرکه جیحون أورد شعره فی (تش یز- ص 284)</w:t>
      </w:r>
    </w:p>
    <w:p>
      <w:pPr>
        <w:pStyle w:val="Heading3"/>
      </w:pPr>
      <w:bookmarkStart w:id="3065" w:name="_Toc1761"/>
      <w:r>
        <w:t>1405- دیوان الحاج میرزا حبیب المشهدی‏</w:t>
      </w:r>
      <w:bookmarkEnd w:id="3065"/>
    </w:p>
    <w:p>
      <w:pPr>
        <w:pStyle w:val="BookText"/>
      </w:pPr>
      <w:r>
        <w:rPr>
          <w:rFonts w:ascii="IRNazanin" w:hAnsi="IRNazanin" w:eastAsia="IRNazanin" w:cs="IRNazanin"/>
          <w:lang w:bidi="fa-IR"/>
          <w:color w:val="111111"/>
          <w:sz w:val="28"/>
          <w:szCs w:val="28"/>
          <w:rtl/>
        </w:rPr>
        <w:t xml:space="preserve">هو السید المدعو بحاج میرزا حبیب بن الحاج میرزا هاشم بن الحاج میرزا هدایة الله بن الحاج میرزا مهدی الشهید الرضوی الموسوی المشهدی المتوفی بها فی نیف و عشرین و ثلاثمائة بعد الألف فارسی مرتب علی الحروف و کان هو من أفاضل تلامیذ سیدنا الشیرازی بسامراء، و فی حیاته رجع إلی المشهد و صار مرجعا للأمور إلی أن توفی و شعره فی غایة اللطافة رأیت نسخه منه عند الفاضل الأردوبادی فی النجف و من رباعیاته قوله:</w:t>
      </w:r>
    </w:p>
    <w:p>
      <w:pPr>
        <w:pStyle w:val="BookText"/>
      </w:pPr>
      <w:r>
        <w:rPr>
          <w:rFonts w:ascii="IRNazanin" w:hAnsi="IRNazanin" w:eastAsia="IRNazanin" w:cs="IRNazanin"/>
          <w:lang w:bidi="fa-IR"/>
          <w:color w:val="111111"/>
          <w:sz w:val="28"/>
          <w:szCs w:val="28"/>
          <w:rtl/>
        </w:rPr>
        <w:t xml:space="preserve">بنده‏ام بنده ولی بی‏خردم‏</w:t>
      </w:r>
    </w:p>
    <w:p>
      <w:pPr>
        <w:pStyle w:val="BookText"/>
      </w:pPr>
      <w:r>
        <w:rPr>
          <w:rFonts w:ascii="IRNazanin" w:hAnsi="IRNazanin" w:eastAsia="IRNazanin" w:cs="IRNazanin"/>
          <w:lang w:bidi="fa-IR"/>
          <w:color w:val="111111"/>
          <w:sz w:val="28"/>
          <w:szCs w:val="28"/>
          <w:rtl/>
        </w:rPr>
        <w:t xml:space="preserve">خواجه با بی‏خردی می‏خردم‏</w:t>
      </w:r>
    </w:p>
    <w:p>
      <w:pPr>
        <w:pStyle w:val="BookText"/>
      </w:pPr>
      <w:r>
        <w:rPr>
          <w:rFonts w:ascii="IRNazanin" w:hAnsi="IRNazanin" w:eastAsia="IRNazanin" w:cs="IRNazanin"/>
          <w:lang w:bidi="fa-IR"/>
          <w:color w:val="111111"/>
          <w:sz w:val="28"/>
          <w:szCs w:val="28"/>
          <w:rtl/>
        </w:rPr>
        <w:t xml:space="preserve">خواجه‏ام دید و پسندید و خرید</w:t>
      </w:r>
    </w:p>
    <w:p>
      <w:pPr>
        <w:pStyle w:val="BookText"/>
      </w:pPr>
      <w:r>
        <w:rPr>
          <w:rFonts w:ascii="IRNazanin" w:hAnsi="IRNazanin" w:eastAsia="IRNazanin" w:cs="IRNazanin"/>
          <w:lang w:bidi="fa-IR"/>
          <w:color w:val="111111"/>
          <w:sz w:val="28"/>
          <w:szCs w:val="28"/>
          <w:rtl/>
        </w:rPr>
        <w:t xml:space="preserve">بود آگاه ز هر نیک و بدم‏</w:t>
      </w:r>
    </w:p>
    <w:p>
      <w:pPr>
        <w:pStyle w:val="Heading3"/>
      </w:pPr>
      <w:bookmarkStart w:id="3066" w:name="_Toc1762"/>
      <w:r>
        <w:t>دیوان حبیب یزدی‏</w:t>
      </w:r>
      <w:bookmarkEnd w:id="3066"/>
    </w:p>
    <w:p>
      <w:pPr>
        <w:pStyle w:val="BookText"/>
      </w:pPr>
      <w:r>
        <w:rPr>
          <w:rFonts w:ascii="IRNazanin" w:hAnsi="IRNazanin" w:eastAsia="IRNazanin" w:cs="IRNazanin"/>
          <w:lang w:bidi="fa-IR"/>
          <w:color w:val="111111"/>
          <w:sz w:val="28"/>
          <w:szCs w:val="28"/>
          <w:rtl/>
        </w:rPr>
        <w:t xml:space="preserve">راجع حبیب مسگر</w:t>
      </w:r>
    </w:p>
    <w:p>
      <w:pPr>
        <w:pStyle w:val="Heading3"/>
      </w:pPr>
      <w:bookmarkStart w:id="3067" w:name="_Toc1763"/>
      <w:r>
        <w:t>1406- دیوان حبیبی آذربایجانی أو شعره‏</w:t>
      </w:r>
      <w:bookmarkEnd w:id="3067"/>
    </w:p>
    <w:p>
      <w:pPr>
        <w:pStyle w:val="BookText"/>
      </w:pPr>
      <w:r>
        <w:rPr>
          <w:rFonts w:ascii="IRNazanin" w:hAnsi="IRNazanin" w:eastAsia="IRNazanin" w:cs="IRNazanin"/>
          <w:lang w:bidi="fa-IR"/>
          <w:color w:val="111111"/>
          <w:sz w:val="28"/>
          <w:szCs w:val="28"/>
          <w:rtl/>
        </w:rPr>
        <w:t xml:space="preserve">من قصبة برکشاد من نواحی چای بآذربایجان خدم السلطان یعقوب آق‏قوینلو، ثم لقب من الشاه إسماعیل الصفوی بملک الشعراء و گرز الدین أورد شعره الترکی و ترجمته فی (دجا- ص 112) عن تحفه سامی و لکنی لم أره فی المطبوع منه ثم نقل قصة ملاقاة السلطان یعقوب له حین کان الملک مشغولا بالصید و حبیبی یشتغل برعی الأغنام و ما دار بینهما من الکلمات و نقل عن تذکره حسن چلبی أن حبیبی سافر إلی ترکیة فی عهد السلطان بایزید الثانی و مات هناک فی عهد السلطان سلیم (926- 918) و قد صحفه فی (روشن) ب جیشی کما مر فی (ص 213)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28" w:name="pg11704_121708"/>
    <w:bookmarkEnd w:id="228"/>
    <w:p>
      <w:pPr>
        <w:pStyle w:val="Heading3"/>
      </w:pPr>
      <w:bookmarkStart w:id="3068" w:name="_Toc1764"/>
      <w:r>
        <w:t>1407- دیوان حجاب أصفهانی أو شعره‏</w:t>
      </w:r>
      <w:bookmarkEnd w:id="3068"/>
    </w:p>
    <w:p>
      <w:pPr>
        <w:pStyle w:val="BookText"/>
      </w:pPr>
      <w:r>
        <w:rPr>
          <w:rFonts w:ascii="IRNazanin" w:hAnsi="IRNazanin" w:eastAsia="IRNazanin" w:cs="IRNazanin"/>
          <w:lang w:bidi="fa-IR"/>
          <w:color w:val="111111"/>
          <w:sz w:val="28"/>
          <w:szCs w:val="28"/>
          <w:rtl/>
        </w:rPr>
        <w:t xml:space="preserve">و اسمه السید أبو تراب من السادات التبارزة القاطنین بعباس‏آباد أصفهان أورد شعره و أطرأه معاصره البیگدلی فی (تش- ص 371) و قال فی (روشن ص 166) إنه مات فی عهد نادر شاه و کذا فی روضة الصفا و (دجا- ص 122)</w:t>
      </w:r>
    </w:p>
    <w:p>
      <w:pPr>
        <w:pStyle w:val="Heading3"/>
      </w:pPr>
      <w:bookmarkStart w:id="3069" w:name="_Toc1765"/>
      <w:r>
        <w:t>1408- دیوان حجاب شیرازی أو شعره‏</w:t>
      </w:r>
      <w:bookmarkEnd w:id="3069"/>
    </w:p>
    <w:p>
      <w:pPr>
        <w:pStyle w:val="BookText"/>
      </w:pPr>
      <w:r>
        <w:rPr>
          <w:rFonts w:ascii="IRNazanin" w:hAnsi="IRNazanin" w:eastAsia="IRNazanin" w:cs="IRNazanin"/>
          <w:lang w:bidi="fa-IR"/>
          <w:color w:val="111111"/>
          <w:sz w:val="28"/>
          <w:szCs w:val="28"/>
          <w:rtl/>
        </w:rPr>
        <w:t xml:space="preserve">هو فتح علی بن محمد جعفر الشاعر الخطاط الشیرازی مات بشیراز فی (1269) و دفن بشاه چراغ کما فی (عم- ص 544) توجد سبحة الأبرار و اللوائح کلاهما للجامی بخطه الجید بالمکتبة (الشاهیة) بطهران کما فی نمونه خطوط خوش کتابخانه شاهنشاهی (ص 153- 155)</w:t>
      </w:r>
    </w:p>
    <w:p>
      <w:pPr>
        <w:pStyle w:val="Heading3"/>
      </w:pPr>
      <w:bookmarkStart w:id="3070" w:name="_Toc1766"/>
      <w:r>
        <w:t>1409- دیوان حجاب قزوینی أو شعره‏</w:t>
      </w:r>
      <w:bookmarkEnd w:id="3070"/>
    </w:p>
    <w:p>
      <w:pPr>
        <w:pStyle w:val="BookText"/>
      </w:pPr>
      <w:r>
        <w:rPr>
          <w:rFonts w:ascii="IRNazanin" w:hAnsi="IRNazanin" w:eastAsia="IRNazanin" w:cs="IRNazanin"/>
          <w:lang w:bidi="fa-IR"/>
          <w:color w:val="111111"/>
          <w:sz w:val="28"/>
          <w:szCs w:val="28"/>
          <w:rtl/>
        </w:rPr>
        <w:t xml:space="preserve">و هو المیرزا إسماعیل سافر إلی الهند فی عهد عالمگیر أورد شعره فی (روشن 167)</w:t>
      </w:r>
    </w:p>
    <w:p>
      <w:pPr>
        <w:pStyle w:val="Heading3"/>
      </w:pPr>
      <w:bookmarkStart w:id="3071" w:name="_Toc1767"/>
      <w:r>
        <w:t>1410- دیوان حجاب یزدی أو شعره‏</w:t>
      </w:r>
      <w:bookmarkEnd w:id="3071"/>
    </w:p>
    <w:p>
      <w:pPr>
        <w:pStyle w:val="BookText"/>
      </w:pPr>
      <w:r>
        <w:rPr>
          <w:rFonts w:ascii="IRNazanin" w:hAnsi="IRNazanin" w:eastAsia="IRNazanin" w:cs="IRNazanin"/>
          <w:lang w:bidi="fa-IR"/>
          <w:color w:val="111111"/>
          <w:sz w:val="28"/>
          <w:szCs w:val="28"/>
          <w:rtl/>
        </w:rPr>
        <w:t xml:space="preserve">هو الحاج علی نقی بن مدرس یزد کان من معاصری الفتح علی شاه، و أورد شعره فی (تش یز- ص 285)</w:t>
      </w:r>
    </w:p>
    <w:p>
      <w:pPr>
        <w:pStyle w:val="Heading3"/>
      </w:pPr>
      <w:bookmarkStart w:id="3072" w:name="_Toc1768"/>
      <w:r>
        <w:t>1411- دیوان حجابی أردبیلی أو شعره‏</w:t>
      </w:r>
      <w:bookmarkEnd w:id="3072"/>
    </w:p>
    <w:p>
      <w:pPr>
        <w:pStyle w:val="BookText"/>
      </w:pPr>
      <w:r>
        <w:rPr>
          <w:rFonts w:ascii="IRNazanin" w:hAnsi="IRNazanin" w:eastAsia="IRNazanin" w:cs="IRNazanin"/>
          <w:lang w:bidi="fa-IR"/>
          <w:color w:val="111111"/>
          <w:sz w:val="28"/>
          <w:szCs w:val="28"/>
          <w:rtl/>
        </w:rPr>
        <w:t xml:space="preserve">أورد شعره فی (روشن- ص 167) و کذا فی (دجا- ص 112) عن عرفات العاشقین.</w:t>
      </w:r>
    </w:p>
    <w:p>
      <w:pPr>
        <w:pStyle w:val="Heading3"/>
      </w:pPr>
      <w:bookmarkStart w:id="3073" w:name="_Toc1769"/>
      <w:r>
        <w:t>1412- دیوان حجابی أسترآبادی أو شعرها</w:t>
      </w:r>
      <w:bookmarkEnd w:id="3073"/>
    </w:p>
    <w:p>
      <w:pPr>
        <w:pStyle w:val="BookText"/>
      </w:pPr>
      <w:r>
        <w:rPr>
          <w:rFonts w:ascii="IRNazanin" w:hAnsi="IRNazanin" w:eastAsia="IRNazanin" w:cs="IRNazanin"/>
          <w:lang w:bidi="fa-IR"/>
          <w:color w:val="111111"/>
          <w:sz w:val="28"/>
          <w:szCs w:val="28"/>
          <w:rtl/>
        </w:rPr>
        <w:t xml:space="preserve">هی بنت الخواجة هادی الأسترآبادی.</w:t>
      </w:r>
    </w:p>
    <w:p>
      <w:pPr>
        <w:pStyle w:val="BookText"/>
      </w:pPr>
      <w:r>
        <w:rPr>
          <w:rFonts w:ascii="IRNazanin" w:hAnsi="IRNazanin" w:eastAsia="IRNazanin" w:cs="IRNazanin"/>
          <w:lang w:bidi="fa-IR"/>
          <w:color w:val="111111"/>
          <w:sz w:val="28"/>
          <w:szCs w:val="28"/>
          <w:rtl/>
        </w:rPr>
        <w:t xml:space="preserve">أورد شعرها و أطرأه فی مرآة الخیال ص 337 و سمی والدها فی روشن هلالی أسترآبادی.</w:t>
      </w:r>
    </w:p>
    <w:p>
      <w:pPr>
        <w:pStyle w:val="Heading3"/>
      </w:pPr>
      <w:bookmarkStart w:id="3074" w:name="_Toc1770"/>
      <w:r>
        <w:t>1413- دیوان الحجار</w:t>
      </w:r>
      <w:bookmarkEnd w:id="3074"/>
    </w:p>
    <w:p>
      <w:pPr>
        <w:pStyle w:val="BookText"/>
      </w:pPr>
      <w:r>
        <w:rPr>
          <w:rFonts w:ascii="IRNazanin" w:hAnsi="IRNazanin" w:eastAsia="IRNazanin" w:cs="IRNazanin"/>
          <w:lang w:bidi="fa-IR"/>
          <w:color w:val="111111"/>
          <w:sz w:val="28"/>
          <w:szCs w:val="28"/>
          <w:rtl/>
        </w:rPr>
        <w:t xml:space="preserve">للشیخ مهدی بن الحاج داود الحجار النجفی نزیل معقل (مارگیل) من نواحی البصرة و عالمها و المتوفی بها (یوم السبت ثامن شعبان 1358) و حمل إلی النجف و دفن بوادی السلام یوم التاسع من شعبان و له المنظومة الموسومة بفوز الدارین فی نقض العهدین المطبوع جزئه الأول مع شرحه (1349).</w:t>
      </w:r>
    </w:p>
    <w:p>
      <w:pPr>
        <w:pStyle w:val="Heading3"/>
      </w:pPr>
      <w:bookmarkStart w:id="3075" w:name="_Toc1771"/>
      <w:r>
        <w:t>1414- دیوان الحجاف أو شعره‏</w:t>
      </w:r>
      <w:bookmarkEnd w:id="3075"/>
    </w:p>
    <w:p>
      <w:pPr>
        <w:pStyle w:val="BookText"/>
      </w:pPr>
      <w:r>
        <w:rPr>
          <w:rFonts w:ascii="IRNazanin" w:hAnsi="IRNazanin" w:eastAsia="IRNazanin" w:cs="IRNazanin"/>
          <w:lang w:bidi="fa-IR"/>
          <w:color w:val="111111"/>
          <w:sz w:val="28"/>
          <w:szCs w:val="28"/>
          <w:rtl/>
        </w:rPr>
        <w:t xml:space="preserve">هو السید زید بن علی بن إبراهیم. أورد شعره السید علی خان فی قسم شعراء الیمن من السلافة (ص 455) نقلا عن أستاذه جعفر بن کمال البحرانی (المذکور فی ص 194) أنشده فی سنة (1068).</w:t>
      </w:r>
    </w:p>
    <w:p>
      <w:pPr>
        <w:pStyle w:val="Heading3"/>
      </w:pPr>
      <w:bookmarkStart w:id="3076" w:name="_Toc1772"/>
      <w:r>
        <w:t>1415- دیوان الحجاف أو شعره‏</w:t>
      </w:r>
      <w:bookmarkEnd w:id="3076"/>
    </w:p>
    <w:p>
      <w:pPr>
        <w:pStyle w:val="BookText"/>
      </w:pPr>
      <w:r>
        <w:rPr>
          <w:rFonts w:ascii="IRNazanin" w:hAnsi="IRNazanin" w:eastAsia="IRNazanin" w:cs="IRNazanin"/>
          <w:lang w:bidi="fa-IR"/>
          <w:color w:val="111111"/>
          <w:sz w:val="28"/>
          <w:szCs w:val="28"/>
          <w:rtl/>
        </w:rPr>
        <w:t xml:space="preserve">السید إسماعیل بن إبراهیم. أورد شعره أیضا فی‏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29" w:name="pg11704_121709"/>
    <w:bookmarkEnd w:id="229"/>
    <w:p>
      <w:pPr>
        <w:pStyle w:val="BookText"/>
      </w:pPr>
      <w:r>
        <w:rPr>
          <w:rFonts w:ascii="IRNazanin" w:hAnsi="IRNazanin" w:eastAsia="IRNazanin" w:cs="IRNazanin"/>
          <w:lang w:bidi="fa-IR"/>
          <w:color w:val="111111"/>
          <w:sz w:val="28"/>
          <w:szCs w:val="28"/>
          <w:rtl/>
        </w:rPr>
        <w:t xml:space="preserve">السلافة (ص 457) عن السید زید المذکور فوقا.</w:t>
      </w:r>
    </w:p>
    <w:p>
      <w:pPr>
        <w:pStyle w:val="Heading3"/>
      </w:pPr>
      <w:bookmarkStart w:id="3077" w:name="_Toc1773"/>
      <w:r>
        <w:t>دیوان حجت أصفهانی أو شعره‏</w:t>
      </w:r>
      <w:bookmarkEnd w:id="3077"/>
    </w:p>
    <w:p>
      <w:pPr>
        <w:pStyle w:val="BookText"/>
      </w:pPr>
      <w:r>
        <w:rPr>
          <w:rFonts w:ascii="IRNazanin" w:hAnsi="IRNazanin" w:eastAsia="IRNazanin" w:cs="IRNazanin"/>
          <w:lang w:bidi="fa-IR"/>
          <w:color w:val="111111"/>
          <w:sz w:val="28"/>
          <w:szCs w:val="28"/>
          <w:rtl/>
        </w:rPr>
        <w:t xml:space="preserve">أورد شعره فی (روشن- ص 167) و لعله ناصر خسرو.</w:t>
      </w:r>
    </w:p>
    <w:p>
      <w:pPr>
        <w:pStyle w:val="Heading3"/>
      </w:pPr>
      <w:bookmarkStart w:id="3078" w:name="_Toc1774"/>
      <w:r>
        <w:t>1416- دیوان حجت ایروانی أو شعره‏</w:t>
      </w:r>
      <w:bookmarkEnd w:id="3078"/>
    </w:p>
    <w:p>
      <w:pPr>
        <w:pStyle w:val="BookText"/>
      </w:pPr>
      <w:r>
        <w:rPr>
          <w:rFonts w:ascii="IRNazanin" w:hAnsi="IRNazanin" w:eastAsia="IRNazanin" w:cs="IRNazanin"/>
          <w:lang w:bidi="fa-IR"/>
          <w:color w:val="111111"/>
          <w:sz w:val="28"/>
          <w:szCs w:val="28"/>
          <w:rtl/>
        </w:rPr>
        <w:t xml:space="preserve">و اسمه المیرزا محمد معاصر فتح علی شاه. أورد شعره فی (دجا ص 113).</w:t>
      </w:r>
    </w:p>
    <w:p>
      <w:pPr>
        <w:pStyle w:val="Heading3"/>
      </w:pPr>
      <w:bookmarkStart w:id="3079" w:name="_Toc1775"/>
      <w:r>
        <w:t>دیوان حجت علوی‏</w:t>
      </w:r>
      <w:bookmarkEnd w:id="3079"/>
    </w:p>
    <w:p>
      <w:pPr>
        <w:pStyle w:val="BookText"/>
      </w:pPr>
      <w:r>
        <w:rPr>
          <w:rFonts w:ascii="IRNazanin" w:hAnsi="IRNazanin" w:eastAsia="IRNazanin" w:cs="IRNazanin"/>
          <w:lang w:bidi="fa-IR"/>
          <w:color w:val="111111"/>
          <w:sz w:val="28"/>
          <w:szCs w:val="28"/>
          <w:rtl/>
        </w:rPr>
        <w:t xml:space="preserve">یأتی بعنوان اسمه المعروف ناصر خسرو علوی.</w:t>
      </w:r>
    </w:p>
    <w:p>
      <w:pPr>
        <w:pStyle w:val="Heading3"/>
      </w:pPr>
      <w:bookmarkStart w:id="3080" w:name="_Toc1776"/>
      <w:r>
        <w:t>1417- دیوان حجت مشهدی‏</w:t>
      </w:r>
      <w:bookmarkEnd w:id="3080"/>
    </w:p>
    <w:p>
      <w:pPr>
        <w:pStyle w:val="BookText"/>
      </w:pPr>
      <w:r>
        <w:rPr>
          <w:rFonts w:ascii="IRNazanin" w:hAnsi="IRNazanin" w:eastAsia="IRNazanin" w:cs="IRNazanin"/>
          <w:lang w:bidi="fa-IR"/>
          <w:color w:val="111111"/>
          <w:sz w:val="28"/>
          <w:szCs w:val="28"/>
          <w:rtl/>
        </w:rPr>
        <w:t xml:space="preserve">هو السید مهدی بن السید غیاث الدین پیشنماز المشهدی أطری علمه و فضله الذی اکتسبه فی حداثة سنة، معاصره النصرآبادی فی (نر 5- ص 102) و قال إن دیوانه یشتمل علی أربعة آلاف بیت و لکنه لم یره ... و ذکره أیضا فی مطلع الشمس و ذکر دیوانه و لکنه لم یعرف عصره، و کذا فی (تغ- ص 42).</w:t>
      </w:r>
    </w:p>
    <w:p>
      <w:pPr>
        <w:pStyle w:val="Heading3"/>
      </w:pPr>
      <w:bookmarkStart w:id="3081" w:name="_Toc1777"/>
      <w:r>
        <w:t>دیوان حجت نائنی‏</w:t>
      </w:r>
      <w:bookmarkEnd w:id="3081"/>
    </w:p>
    <w:p>
      <w:pPr>
        <w:pStyle w:val="BookText"/>
      </w:pPr>
      <w:r>
        <w:rPr>
          <w:rFonts w:ascii="IRNazanin" w:hAnsi="IRNazanin" w:eastAsia="IRNazanin" w:cs="IRNazanin"/>
          <w:lang w:bidi="fa-IR"/>
          <w:color w:val="111111"/>
          <w:sz w:val="28"/>
          <w:szCs w:val="28"/>
          <w:rtl/>
        </w:rPr>
        <w:t xml:space="preserve">مر بعنوان بلاغی نائنی.</w:t>
      </w:r>
    </w:p>
    <w:p>
      <w:pPr>
        <w:pStyle w:val="Heading3"/>
      </w:pPr>
      <w:bookmarkStart w:id="3082" w:name="_Toc1778"/>
      <w:r>
        <w:t>دیوان الحچامی‏</w:t>
      </w:r>
      <w:bookmarkEnd w:id="3082"/>
    </w:p>
    <w:p>
      <w:pPr>
        <w:pStyle w:val="BookText"/>
      </w:pPr>
      <w:r>
        <w:rPr>
          <w:rFonts w:ascii="IRNazanin" w:hAnsi="IRNazanin" w:eastAsia="IRNazanin" w:cs="IRNazanin"/>
          <w:lang w:bidi="fa-IR"/>
          <w:color w:val="111111"/>
          <w:sz w:val="28"/>
          <w:szCs w:val="28"/>
          <w:rtl/>
        </w:rPr>
        <w:t xml:space="preserve">یأتی باسمه لطائف الحب.</w:t>
      </w:r>
    </w:p>
    <w:p>
      <w:pPr>
        <w:pStyle w:val="Heading3"/>
      </w:pPr>
      <w:bookmarkStart w:id="3083" w:name="_Toc1779"/>
      <w:r>
        <w:t>دیوان الحداد</w:t>
      </w:r>
      <w:bookmarkEnd w:id="3083"/>
    </w:p>
    <w:p>
      <w:pPr>
        <w:pStyle w:val="BookText"/>
      </w:pPr>
      <w:r>
        <w:rPr>
          <w:rFonts w:ascii="IRNazanin" w:hAnsi="IRNazanin" w:eastAsia="IRNazanin" w:cs="IRNazanin"/>
          <w:lang w:bidi="fa-IR"/>
          <w:color w:val="111111"/>
          <w:sz w:val="28"/>
          <w:szCs w:val="28"/>
          <w:rtl/>
        </w:rPr>
        <w:t xml:space="preserve">یأتی باسمه ظافر بن القاسم بن منصور الحداد الإسکندری.</w:t>
      </w:r>
    </w:p>
    <w:p>
      <w:pPr>
        <w:pStyle w:val="Heading3"/>
      </w:pPr>
      <w:bookmarkStart w:id="3084" w:name="_Toc1780"/>
      <w:r>
        <w:t>دیوان الحداد الحدادی‏</w:t>
      </w:r>
      <w:bookmarkEnd w:id="3084"/>
    </w:p>
    <w:p>
      <w:pPr>
        <w:pStyle w:val="BookText"/>
      </w:pPr>
      <w:r>
        <w:rPr>
          <w:rFonts w:ascii="IRNazanin" w:hAnsi="IRNazanin" w:eastAsia="IRNazanin" w:cs="IRNazanin"/>
          <w:lang w:bidi="fa-IR"/>
          <w:color w:val="111111"/>
          <w:sz w:val="28"/>
          <w:szCs w:val="28"/>
          <w:rtl/>
        </w:rPr>
        <w:t xml:space="preserve">مر بعنوان الدر المنظوم لباعلوی.</w:t>
      </w:r>
    </w:p>
    <w:p>
      <w:pPr>
        <w:pStyle w:val="Heading3"/>
      </w:pPr>
      <w:bookmarkStart w:id="3085" w:name="_Toc1781"/>
      <w:r>
        <w:t>1418- دیوان الحدیدی‏</w:t>
      </w:r>
      <w:bookmarkEnd w:id="3085"/>
    </w:p>
    <w:p>
      <w:pPr>
        <w:pStyle w:val="BookText"/>
      </w:pPr>
      <w:r>
        <w:rPr>
          <w:rFonts w:ascii="IRNazanin" w:hAnsi="IRNazanin" w:eastAsia="IRNazanin" w:cs="IRNazanin"/>
          <w:lang w:bidi="fa-IR"/>
          <w:color w:val="111111"/>
          <w:sz w:val="28"/>
          <w:szCs w:val="28"/>
          <w:rtl/>
        </w:rPr>
        <w:t xml:space="preserve">لوهاب‏زاده المعاصر مقیم رشت. و دیوانه یشتمل علی أکثر من عشرة آلاف بیت کما ذکره مرتضی المدرسی الچهاردهی.</w:t>
      </w:r>
    </w:p>
    <w:p>
      <w:pPr>
        <w:pStyle w:val="Heading3"/>
      </w:pPr>
      <w:bookmarkStart w:id="3086" w:name="_Toc1782"/>
      <w:r>
        <w:t>1419- دیوان حذر کاشی أو شعره‏</w:t>
      </w:r>
      <w:bookmarkEnd w:id="3086"/>
    </w:p>
    <w:p>
      <w:pPr>
        <w:pStyle w:val="BookText"/>
      </w:pPr>
      <w:r>
        <w:rPr>
          <w:rFonts w:ascii="IRNazanin" w:hAnsi="IRNazanin" w:eastAsia="IRNazanin" w:cs="IRNazanin"/>
          <w:lang w:bidi="fa-IR"/>
          <w:color w:val="111111"/>
          <w:sz w:val="28"/>
          <w:szCs w:val="28"/>
          <w:rtl/>
        </w:rPr>
        <w:t xml:space="preserve">أورد شعره فی (روشن- ص 167).</w:t>
      </w:r>
    </w:p>
    <w:p>
      <w:pPr>
        <w:pStyle w:val="Heading3"/>
      </w:pPr>
      <w:bookmarkStart w:id="3087" w:name="_Toc1783"/>
      <w:r>
        <w:t>1420- دیوان حرزی قمی‏</w:t>
      </w:r>
      <w:bookmarkEnd w:id="3087"/>
    </w:p>
    <w:p>
      <w:pPr>
        <w:pStyle w:val="BookText"/>
      </w:pPr>
      <w:r>
        <w:rPr>
          <w:rFonts w:ascii="IRNazanin" w:hAnsi="IRNazanin" w:eastAsia="IRNazanin" w:cs="IRNazanin"/>
          <w:lang w:bidi="fa-IR"/>
          <w:color w:val="111111"/>
          <w:sz w:val="28"/>
          <w:szCs w:val="28"/>
          <w:rtl/>
        </w:rPr>
        <w:t xml:space="preserve">ترجمه معاصره سام میرزا فی (تس- ص 138) بعنوان مولانا حرزی و أطری شعره و لا سیما غزلیاته و أورد مطلع واحد منها.</w:t>
      </w:r>
    </w:p>
    <w:p>
      <w:pPr>
        <w:pStyle w:val="Heading3"/>
      </w:pPr>
      <w:bookmarkStart w:id="3088" w:name="_Toc1784"/>
      <w:r>
        <w:t>دیوان الحر العاملی‏</w:t>
      </w:r>
      <w:bookmarkEnd w:id="3088"/>
    </w:p>
    <w:p>
      <w:pPr>
        <w:pStyle w:val="BookText"/>
      </w:pPr>
      <w:r>
        <w:rPr>
          <w:rFonts w:ascii="IRNazanin" w:hAnsi="IRNazanin" w:eastAsia="IRNazanin" w:cs="IRNazanin"/>
          <w:lang w:bidi="fa-IR"/>
          <w:color w:val="111111"/>
          <w:sz w:val="28"/>
          <w:szCs w:val="28"/>
          <w:rtl/>
        </w:rPr>
        <w:t xml:space="preserve">یأتی باسمه منتظم الدر للشیخ عبد الغنی الحر المتوفی (1358).</w:t>
      </w:r>
    </w:p>
    <w:p>
      <w:pPr>
        <w:pStyle w:val="Heading3"/>
      </w:pPr>
      <w:bookmarkStart w:id="3089" w:name="_Toc1785"/>
      <w:r>
        <w:t>1421- دیوان الحر العاملی أو شعره‏</w:t>
      </w:r>
      <w:bookmarkEnd w:id="3089"/>
    </w:p>
    <w:p>
      <w:pPr>
        <w:pStyle w:val="BookText"/>
      </w:pPr>
      <w:r>
        <w:rPr>
          <w:rFonts w:ascii="IRNazanin" w:hAnsi="IRNazanin" w:eastAsia="IRNazanin" w:cs="IRNazanin"/>
          <w:lang w:bidi="fa-IR"/>
          <w:color w:val="111111"/>
          <w:sz w:val="28"/>
          <w:szCs w:val="28"/>
          <w:rtl/>
        </w:rPr>
        <w:t xml:space="preserve">و هو محمد بن علی الشامی أطری شعره فی (سلافة العصر- ص 368).</w:t>
      </w:r>
    </w:p>
    <w:p>
      <w:pPr>
        <w:pStyle w:val="Heading3"/>
      </w:pPr>
      <w:bookmarkStart w:id="3090" w:name="_Toc1786"/>
      <w:r>
        <w:t>1422- دیوان الحر العاملی‏</w:t>
      </w:r>
      <w:bookmarkEnd w:id="3090"/>
    </w:p>
    <w:p>
      <w:pPr>
        <w:pStyle w:val="BookText"/>
      </w:pPr>
      <w:r>
        <w:rPr>
          <w:rFonts w:ascii="IRNazanin" w:hAnsi="IRNazanin" w:eastAsia="IRNazanin" w:cs="IRNazanin"/>
          <w:lang w:bidi="fa-IR"/>
          <w:color w:val="111111"/>
          <w:sz w:val="28"/>
          <w:szCs w:val="28"/>
          <w:rtl/>
        </w:rPr>
        <w:t xml:space="preserve">للشیخ محمد بن الحسن بن علی بن محمد بن الحسین الحر العاملی المولود بها (1033) و المتوفی بمشهد خراسان (1104) رأیت فی خزانة (العطار ببغداد) نسخه خط ید الناظم فیها زیادات و إلحاقات فی الحواشی و تغییرات فی المتن و العناوین کلها بخطه، و هو مرتب علی ترتیب الحروف یبلغ مع بعض منظوماته إلی عشرین‏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30" w:name="pg11704_121710"/>
    <w:bookmarkEnd w:id="230"/>
    <w:p>
      <w:pPr>
        <w:pStyle w:val="BookText"/>
      </w:pPr>
      <w:r>
        <w:rPr>
          <w:rFonts w:ascii="IRNazanin" w:hAnsi="IRNazanin" w:eastAsia="IRNazanin" w:cs="IRNazanin"/>
          <w:lang w:bidi="fa-IR"/>
          <w:color w:val="111111"/>
          <w:sz w:val="28"/>
          <w:szCs w:val="28"/>
          <w:rtl/>
        </w:rPr>
        <w:t xml:space="preserve">ألف بیت أول خطبته (الحمد لله الذی جعل نجوم المعانی مصابیح سماء الأفکار) و مرت أرجوزة الهندسة و أرجوزة تواریخ المعصومین علیه السلام  فی (ج 1) کما مر فی الخاء خلاصة الأبحاث فی المیراث کلها له. و قد أورد شعره فی (السلافة ص 367).</w:t>
      </w:r>
    </w:p>
    <w:p>
      <w:pPr>
        <w:pStyle w:val="Heading3"/>
      </w:pPr>
      <w:bookmarkStart w:id="3091" w:name="_Toc1787"/>
      <w:r>
        <w:t>1423- دیوان الحرفوشی‏</w:t>
      </w:r>
      <w:bookmarkEnd w:id="3091"/>
    </w:p>
    <w:p>
      <w:pPr>
        <w:pStyle w:val="BookText"/>
      </w:pPr>
      <w:r>
        <w:rPr>
          <w:rFonts w:ascii="IRNazanin" w:hAnsi="IRNazanin" w:eastAsia="IRNazanin" w:cs="IRNazanin"/>
          <w:lang w:bidi="fa-IR"/>
          <w:color w:val="111111"/>
          <w:sz w:val="28"/>
          <w:szCs w:val="28"/>
          <w:rtl/>
        </w:rPr>
        <w:t xml:space="preserve">للشیخ محمد بن علی بن أحمد الحرفوشی العاملی الکرکی الشامی المتوفی (1051) أو (1059) کما أرخ فی الأمل و السلافة (ص 315) مصرحا بأن له دیوان.</w:t>
      </w:r>
    </w:p>
    <w:p>
      <w:pPr>
        <w:pStyle w:val="Heading3"/>
      </w:pPr>
      <w:bookmarkStart w:id="3092" w:name="_Toc1788"/>
      <w:r>
        <w:t>دیوان حرفی الأصفهانی‏</w:t>
      </w:r>
      <w:bookmarkEnd w:id="3092"/>
    </w:p>
    <w:p>
      <w:pPr>
        <w:pStyle w:val="BookText"/>
      </w:pPr>
      <w:r>
        <w:rPr>
          <w:rFonts w:ascii="IRNazanin" w:hAnsi="IRNazanin" w:eastAsia="IRNazanin" w:cs="IRNazanin"/>
          <w:lang w:bidi="fa-IR"/>
          <w:color w:val="111111"/>
          <w:sz w:val="28"/>
          <w:szCs w:val="28"/>
          <w:rtl/>
        </w:rPr>
        <w:t xml:space="preserve">ابن أخت مولانا نیکی ترجمه معاصره سام میرزا فی (تس 5- ص 153) و أورد بعض شعره و قال فی (تغ- ص 42) إنه مات (971). و قال فی (روشن- ص 167) مات (991). و أظنه حزنی أصفهانی.</w:t>
      </w:r>
    </w:p>
    <w:p>
      <w:pPr>
        <w:pStyle w:val="Heading3"/>
      </w:pPr>
      <w:bookmarkStart w:id="3093" w:name="_Toc1789"/>
      <w:r>
        <w:t>1424- دیوان حریف ایروانی أو شعره‏</w:t>
      </w:r>
      <w:bookmarkEnd w:id="3093"/>
    </w:p>
    <w:p>
      <w:pPr>
        <w:pStyle w:val="BookText"/>
      </w:pPr>
      <w:r>
        <w:rPr>
          <w:rFonts w:ascii="IRNazanin" w:hAnsi="IRNazanin" w:eastAsia="IRNazanin" w:cs="IRNazanin"/>
          <w:lang w:bidi="fa-IR"/>
          <w:color w:val="111111"/>
          <w:sz w:val="28"/>
          <w:szCs w:val="28"/>
          <w:rtl/>
        </w:rPr>
        <w:t xml:space="preserve">أورد فی (دجا- ص 113) مدیحه لعباس میرزا (المتوفی 1249) ابن فتح علی شاه.</w:t>
      </w:r>
    </w:p>
    <w:p>
      <w:pPr>
        <w:pStyle w:val="Heading3"/>
      </w:pPr>
      <w:bookmarkStart w:id="3094" w:name="_Toc1790"/>
      <w:r>
        <w:t>1425- دیوان حریف الجندقی أو شعره‏</w:t>
      </w:r>
      <w:bookmarkEnd w:id="3094"/>
    </w:p>
    <w:p>
      <w:pPr>
        <w:pStyle w:val="BookText"/>
      </w:pPr>
      <w:r>
        <w:rPr>
          <w:rFonts w:ascii="IRNazanin" w:hAnsi="IRNazanin" w:eastAsia="IRNazanin" w:cs="IRNazanin"/>
          <w:lang w:bidi="fa-IR"/>
          <w:color w:val="111111"/>
          <w:sz w:val="28"/>
          <w:szCs w:val="28"/>
          <w:rtl/>
        </w:rPr>
        <w:t xml:space="preserve">و اسمه السید أبو الحسن توفی فی تبریز (1230) ترجمه فی (مع- ج 2 ص 94).</w:t>
      </w:r>
    </w:p>
    <w:p>
      <w:pPr>
        <w:pStyle w:val="Heading3"/>
      </w:pPr>
      <w:bookmarkStart w:id="3095" w:name="_Toc1791"/>
      <w:r>
        <w:t>1426- دیوان حریفی الساوجی‏</w:t>
      </w:r>
      <w:bookmarkEnd w:id="3095"/>
    </w:p>
    <w:p>
      <w:pPr>
        <w:pStyle w:val="BookText"/>
      </w:pPr>
      <w:r>
        <w:rPr>
          <w:rFonts w:ascii="IRNazanin" w:hAnsi="IRNazanin" w:eastAsia="IRNazanin" w:cs="IRNazanin"/>
          <w:lang w:bidi="fa-IR"/>
          <w:color w:val="111111"/>
          <w:sz w:val="28"/>
          <w:szCs w:val="28"/>
          <w:rtl/>
        </w:rPr>
        <w:t xml:space="preserve">الذی قطع لسانه و مع ذلک کان یتکلم ترجمه معاصره الصادقی فی (خص 8- ص 308) و ذکر المشهور من شعره و لعله حریفی رازی المذکور فی (تش- ص 218).</w:t>
      </w:r>
    </w:p>
    <w:p>
      <w:pPr>
        <w:pStyle w:val="Heading3"/>
      </w:pPr>
      <w:bookmarkStart w:id="3096" w:name="_Toc1792"/>
      <w:r>
        <w:t>1427- دیوان حریفی النهاوندی‏</w:t>
      </w:r>
      <w:bookmarkEnd w:id="3096"/>
    </w:p>
    <w:p>
      <w:pPr>
        <w:pStyle w:val="BookText"/>
      </w:pPr>
      <w:r>
        <w:rPr>
          <w:rFonts w:ascii="IRNazanin" w:hAnsi="IRNazanin" w:eastAsia="IRNazanin" w:cs="IRNazanin"/>
          <w:lang w:bidi="fa-IR"/>
          <w:color w:val="111111"/>
          <w:sz w:val="28"/>
          <w:szCs w:val="28"/>
          <w:rtl/>
        </w:rPr>
        <w:t xml:space="preserve">معاصر سام میرزا ترجمه فی (تس 5- ص 153) و أورد شعره.</w:t>
      </w:r>
    </w:p>
    <w:p>
      <w:pPr>
        <w:pStyle w:val="Heading3"/>
      </w:pPr>
      <w:bookmarkStart w:id="3097" w:name="_Toc1793"/>
      <w:r>
        <w:t>1428- دیوان حزنی أصفهانی‏</w:t>
      </w:r>
      <w:bookmarkEnd w:id="3097"/>
    </w:p>
    <w:p>
      <w:pPr>
        <w:pStyle w:val="BookText"/>
      </w:pPr>
      <w:r>
        <w:rPr>
          <w:rFonts w:ascii="IRNazanin" w:hAnsi="IRNazanin" w:eastAsia="IRNazanin" w:cs="IRNazanin"/>
          <w:lang w:bidi="fa-IR"/>
          <w:color w:val="111111"/>
          <w:sz w:val="28"/>
          <w:szCs w:val="28"/>
          <w:rtl/>
        </w:rPr>
        <w:t xml:space="preserve">أورد شعره معاصره الصادقی کتاب دار فی (خص 8- ص 162) و قال فی (تش- ص 175) کان ابن أخت ملا نیکی. و فی (تغ- ص 42) سماه تقی الدین و قال مات (977) و له شعر کثیر. راجع حرفی أصفهانی.</w:t>
      </w:r>
    </w:p>
    <w:p>
      <w:pPr>
        <w:pStyle w:val="Heading3"/>
      </w:pPr>
      <w:bookmarkStart w:id="3098" w:name="_Toc1794"/>
      <w:r>
        <w:t>1429- دیوان حزنی عراقی أو شعره‏</w:t>
      </w:r>
      <w:bookmarkEnd w:id="3098"/>
    </w:p>
    <w:p>
      <w:pPr>
        <w:pStyle w:val="BookText"/>
      </w:pPr>
      <w:r>
        <w:rPr>
          <w:rFonts w:ascii="IRNazanin" w:hAnsi="IRNazanin" w:eastAsia="IRNazanin" w:cs="IRNazanin"/>
          <w:lang w:bidi="fa-IR"/>
          <w:color w:val="111111"/>
          <w:sz w:val="28"/>
          <w:szCs w:val="28"/>
          <w:rtl/>
        </w:rPr>
        <w:t xml:space="preserve">قال فی طبقات أکبری إنه جاء من عراق (أراک) إلی الهند، و أورد له شعرا تخلصه فیه حزنی و قال فی (تش- ص 260) إن تخلصه حزینی و کان تاجرا و لم أر دیوانه. و الأول أصح کما فی روضة الصفا.</w:t>
      </w:r>
    </w:p>
    <w:p>
      <w:pPr>
        <w:pStyle w:val="Heading3"/>
      </w:pPr>
      <w:bookmarkStart w:id="3099" w:name="_Toc1795"/>
      <w:r>
        <w:t>1430- دیوان حزین شماخی‏</w:t>
      </w:r>
      <w:bookmarkEnd w:id="3099"/>
    </w:p>
    <w:p>
      <w:pPr>
        <w:pStyle w:val="BookText"/>
      </w:pPr>
      <w:r>
        <w:rPr>
          <w:rFonts w:ascii="IRNazanin" w:hAnsi="IRNazanin" w:eastAsia="IRNazanin" w:cs="IRNazanin"/>
          <w:lang w:bidi="fa-IR"/>
          <w:color w:val="111111"/>
          <w:sz w:val="28"/>
          <w:szCs w:val="28"/>
          <w:rtl/>
        </w:rPr>
        <w:t xml:space="preserve">له مثنوی ذکره فی (دجا- ص 113) و هو غیر حزین الگیلانی بل هو من شماخی بآذربایجان.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31" w:name="pg11704_121711"/>
    <w:bookmarkEnd w:id="231"/>
    <w:p>
      <w:pPr>
        <w:pStyle w:val="Heading3"/>
      </w:pPr>
      <w:bookmarkStart w:id="3100" w:name="_Toc1796"/>
      <w:r>
        <w:t>1431- دیوان الحزین النائنی‏</w:t>
      </w:r>
      <w:bookmarkEnd w:id="3100"/>
    </w:p>
    <w:p>
      <w:pPr>
        <w:pStyle w:val="BookText"/>
      </w:pPr>
      <w:r>
        <w:rPr>
          <w:rFonts w:ascii="IRNazanin" w:hAnsi="IRNazanin" w:eastAsia="IRNazanin" w:cs="IRNazanin"/>
          <w:lang w:bidi="fa-IR"/>
          <w:color w:val="111111"/>
          <w:sz w:val="28"/>
          <w:szCs w:val="28"/>
          <w:rtl/>
        </w:rPr>
        <w:t xml:space="preserve">للمیرزا محمد النائنی المتخلص بحزین نقل عن نسخه مخطوطة منه الفاضل المعاصر فی نفائس اللباب المستخرجة من ألفی کتاب کثیرا من أشعاره فی المصائب و ذکر أن أشعاره کلها بالعربیة.</w:t>
      </w:r>
    </w:p>
    <w:p>
      <w:pPr>
        <w:pStyle w:val="Heading3"/>
      </w:pPr>
      <w:bookmarkStart w:id="3101" w:name="_Toc1797"/>
      <w:r>
        <w:t>1432- دیوان الحزینة</w:t>
      </w:r>
      <w:bookmarkEnd w:id="3101"/>
    </w:p>
    <w:p>
      <w:pPr>
        <w:pStyle w:val="BookText"/>
      </w:pPr>
      <w:r>
        <w:rPr>
          <w:rFonts w:ascii="IRNazanin" w:hAnsi="IRNazanin" w:eastAsia="IRNazanin" w:cs="IRNazanin"/>
          <w:lang w:bidi="fa-IR"/>
          <w:color w:val="111111"/>
          <w:sz w:val="28"/>
          <w:szCs w:val="28"/>
          <w:rtl/>
        </w:rPr>
        <w:t xml:space="preserve">فی المدائح و المراثی و المواعظ و غیرها. فارسی من نظم الفاضلة الأدیبة درة العلماء الشهیرة بخانم قرائت. طبع فی حیاة الناظمة فی (1332).</w:t>
      </w:r>
    </w:p>
    <w:p>
      <w:pPr>
        <w:pStyle w:val="Heading3"/>
      </w:pPr>
      <w:bookmarkStart w:id="3102" w:name="_Toc1798"/>
      <w:r>
        <w:t>1433- دیوان الحزینی الأسترآبادی‏</w:t>
      </w:r>
      <w:bookmarkEnd w:id="3102"/>
    </w:p>
    <w:p>
      <w:pPr>
        <w:pStyle w:val="BookText"/>
      </w:pPr>
      <w:r>
        <w:rPr>
          <w:rFonts w:ascii="IRNazanin" w:hAnsi="IRNazanin" w:eastAsia="IRNazanin" w:cs="IRNazanin"/>
          <w:lang w:bidi="fa-IR"/>
          <w:color w:val="111111"/>
          <w:sz w:val="28"/>
          <w:szCs w:val="28"/>
          <w:rtl/>
        </w:rPr>
        <w:t xml:space="preserve">و اسمه المیر سید حسن القاضی و تخلصه الحزینی ترجمه المیر علی شیر فی مجالس النفائس کما فی (لط 3- ص 78) و استحسن طبعه و أورد شعره. و ترجمه سام میرزا فی (تس 1- ص 33) بعنوان السید حسین القاضی و ذکر أنه قتل بحکم عبید خان أوزبک ظلما فی (939) و ذکر شعره و سماه فی (تش- ص 151) حسن و کذا فی (روشن ص 169) عن نگارستان سخن.</w:t>
      </w:r>
    </w:p>
    <w:p>
      <w:pPr>
        <w:pStyle w:val="Heading3"/>
      </w:pPr>
      <w:bookmarkStart w:id="3103" w:name="_Toc1799"/>
      <w:r>
        <w:t>1434- دیوان الحزین الگیلانی‏</w:t>
      </w:r>
      <w:bookmarkEnd w:id="3103"/>
    </w:p>
    <w:p>
      <w:pPr>
        <w:pStyle w:val="BookText"/>
      </w:pPr>
      <w:r>
        <w:rPr>
          <w:rFonts w:ascii="IRNazanin" w:hAnsi="IRNazanin" w:eastAsia="IRNazanin" w:cs="IRNazanin"/>
          <w:lang w:bidi="fa-IR"/>
          <w:color w:val="111111"/>
          <w:sz w:val="28"/>
          <w:szCs w:val="28"/>
          <w:rtl/>
        </w:rPr>
        <w:t xml:space="preserve">للشیخ محمد علی بن أبی طالب الزاهدی الگیلانی الأصفهانی المدعو بالشیخ علی الحزین المولود (1692 م 1103) المتوفی ببنارس الهند (1181 ه 1779 م) قال فی مرآة الأحوال و کذا فی تحفه العالم إن له أربعة دواوین تشتمل علی ثلاثین ألف بیت. و قد طبع دیوانه بالهند مع السوانح العمریة له. و فی أوله قصیدة فی التوحید و أخری فی مدح النبی و الأمیر و الحجة. أول شعره:</w:t>
      </w:r>
    </w:p>
    <w:p>
      <w:pPr>
        <w:pStyle w:val="BookText"/>
      </w:pPr>
      <w:r>
        <w:rPr>
          <w:rFonts w:ascii="IRNazanin" w:hAnsi="IRNazanin" w:eastAsia="IRNazanin" w:cs="IRNazanin"/>
          <w:lang w:bidi="fa-IR"/>
          <w:color w:val="111111"/>
          <w:sz w:val="28"/>
          <w:szCs w:val="28"/>
          <w:rtl/>
        </w:rPr>
        <w:t xml:space="preserve">سخن صریح سراییم عشق پنهان را</w:t>
      </w:r>
    </w:p>
    <w:p>
      <w:pPr>
        <w:pStyle w:val="BookText"/>
      </w:pPr>
      <w:r>
        <w:rPr>
          <w:rFonts w:ascii="IRNazanin" w:hAnsi="IRNazanin" w:eastAsia="IRNazanin" w:cs="IRNazanin"/>
          <w:lang w:bidi="fa-IR"/>
          <w:color w:val="111111"/>
          <w:sz w:val="28"/>
          <w:szCs w:val="28"/>
          <w:rtl/>
        </w:rPr>
        <w:t xml:space="preserve">به خون دیده طرازیم لوح دیوان را</w:t>
      </w:r>
    </w:p>
    <w:p>
      <w:pPr>
        <w:pStyle w:val="BookText"/>
      </w:pPr>
      <w:r>
        <w:rPr>
          <w:rFonts w:ascii="IRNazanin" w:hAnsi="IRNazanin" w:eastAsia="IRNazanin" w:cs="IRNazanin"/>
          <w:lang w:bidi="fa-IR"/>
          <w:color w:val="111111"/>
          <w:sz w:val="28"/>
          <w:szCs w:val="28"/>
          <w:rtl/>
        </w:rPr>
        <w:t xml:space="preserve">و هذا غیر دیوان الغزلیات له کما یأتی. و کان ینسب نفسه إلی الشیخ الزاهد مرشد الشیخ صفی الصفوی. و سافر إلی الهند فی (1734 م) و ألف هناک تاریخ الصفویة بالفارسیة فی (1741 م) و قد طبع هذا الکتاب فی (1831 م) بعنایة (ف ث بلفور) و معه ترجمته بالإنجلیزیة. و مر له تذکره الشعراء فی (ج 4 ص 38) و کلیاته الموجود فی (المجلس) کما فی فهرسها (ج 3 ص 259) یشتمل علی: 1- القصائد 2- مثنوی فی وصف النبی  صلی الله علیه و آله  3- مقطعاته 6- صفیر دل (مثنوی) 5- حدیقة ثانی، فی قبال حدیقة السنائی 6- خرابات، 7- چمن و انجمن 8- مطمح الأنظار، 9- فرهنگ‏نامه 10- تذکارات العاشقین علی زنة لیلی و مجنون. کلها فی (6500 بیت) و ترجمه فی (تش- ص 371).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32" w:name="pg11704_121712"/>
    <w:bookmarkEnd w:id="232"/>
    <w:p>
      <w:pPr>
        <w:pStyle w:val="Heading3"/>
      </w:pPr>
      <w:bookmarkStart w:id="3104" w:name="_Toc1800"/>
      <w:r>
        <w:t>1435- دیوان حزین مشهدی أو شعره‏</w:t>
      </w:r>
      <w:bookmarkEnd w:id="3104"/>
    </w:p>
    <w:p>
      <w:pPr>
        <w:pStyle w:val="BookText"/>
      </w:pPr>
      <w:r>
        <w:rPr>
          <w:rFonts w:ascii="IRNazanin" w:hAnsi="IRNazanin" w:eastAsia="IRNazanin" w:cs="IRNazanin"/>
          <w:lang w:bidi="fa-IR"/>
          <w:color w:val="111111"/>
          <w:sz w:val="28"/>
          <w:szCs w:val="28"/>
          <w:rtl/>
        </w:rPr>
        <w:t xml:space="preserve">و اسمه السید محمد أورد شعره فی (روشن- ص 168)</w:t>
      </w:r>
    </w:p>
    <w:p>
      <w:pPr>
        <w:pStyle w:val="Heading3"/>
      </w:pPr>
      <w:bookmarkStart w:id="3105" w:name="_Toc1801"/>
      <w:r>
        <w:t>1436- دیوان حزینی گنابادی‏</w:t>
      </w:r>
      <w:bookmarkEnd w:id="3105"/>
    </w:p>
    <w:p>
      <w:pPr>
        <w:pStyle w:val="BookText"/>
      </w:pPr>
      <w:r>
        <w:rPr>
          <w:rFonts w:ascii="IRNazanin" w:hAnsi="IRNazanin" w:eastAsia="IRNazanin" w:cs="IRNazanin"/>
          <w:lang w:bidi="fa-IR"/>
          <w:color w:val="111111"/>
          <w:sz w:val="28"/>
          <w:szCs w:val="28"/>
          <w:rtl/>
        </w:rPr>
        <w:t xml:space="preserve">ترجمه معاصره الصادقی المولود (940) فی (خص 8 ص 262) و أطرأه و أورد بعض شعره و قال فی (تش- ص 71) کان تاجرا</w:t>
      </w:r>
    </w:p>
    <w:p>
      <w:pPr>
        <w:pStyle w:val="Heading3"/>
      </w:pPr>
      <w:bookmarkStart w:id="3106" w:name="_Toc1802"/>
      <w:r>
        <w:t>1437- دیوان حزینی گیلانی‏</w:t>
      </w:r>
      <w:bookmarkEnd w:id="3106"/>
    </w:p>
    <w:p>
      <w:pPr>
        <w:pStyle w:val="BookText"/>
      </w:pPr>
      <w:r>
        <w:rPr>
          <w:rFonts w:ascii="IRNazanin" w:hAnsi="IRNazanin" w:eastAsia="IRNazanin" w:cs="IRNazanin"/>
          <w:lang w:bidi="fa-IR"/>
          <w:color w:val="111111"/>
          <w:sz w:val="28"/>
          <w:szCs w:val="28"/>
          <w:rtl/>
        </w:rPr>
        <w:t xml:space="preserve">ترجمه الصادقی فی (خص 8- ص 290) و ذکر أن له قصائد کثیرة فی مدح أمیر المؤمنین علیه السلام  و فی بعضها قوله:</w:t>
      </w:r>
    </w:p>
    <w:p>
      <w:pPr>
        <w:pStyle w:val="BookText"/>
      </w:pPr>
      <w:r>
        <w:rPr>
          <w:rFonts w:ascii="IRNazanin" w:hAnsi="IRNazanin" w:eastAsia="IRNazanin" w:cs="IRNazanin"/>
          <w:lang w:bidi="fa-IR"/>
          <w:color w:val="111111"/>
          <w:sz w:val="28"/>
          <w:szCs w:val="28"/>
          <w:rtl/>
        </w:rPr>
        <w:t xml:space="preserve">خون حرام آمد ولی خون عدو مرتضی‏</w:t>
      </w:r>
    </w:p>
    <w:p>
      <w:pPr>
        <w:pStyle w:val="BookText"/>
      </w:pPr>
      <w:r>
        <w:rPr>
          <w:rFonts w:ascii="IRNazanin" w:hAnsi="IRNazanin" w:eastAsia="IRNazanin" w:cs="IRNazanin"/>
          <w:lang w:bidi="fa-IR"/>
          <w:color w:val="111111"/>
          <w:sz w:val="28"/>
          <w:szCs w:val="28"/>
          <w:rtl/>
        </w:rPr>
        <w:t xml:space="preserve">گر همه خون پدر باشد چه شیر مادر است‏</w:t>
      </w:r>
    </w:p>
    <w:p>
      <w:pPr>
        <w:pStyle w:val="Heading3"/>
      </w:pPr>
      <w:bookmarkStart w:id="3107" w:name="_Toc1803"/>
      <w:r>
        <w:t>1438- دیوان حزینی هندی أو شعره‏</w:t>
      </w:r>
      <w:bookmarkEnd w:id="3107"/>
    </w:p>
    <w:p>
      <w:pPr>
        <w:pStyle w:val="BookText"/>
      </w:pPr>
      <w:r>
        <w:rPr>
          <w:rFonts w:ascii="IRNazanin" w:hAnsi="IRNazanin" w:eastAsia="IRNazanin" w:cs="IRNazanin"/>
          <w:lang w:bidi="fa-IR"/>
          <w:color w:val="111111"/>
          <w:sz w:val="28"/>
          <w:szCs w:val="28"/>
          <w:rtl/>
        </w:rPr>
        <w:t xml:space="preserve">و اسمه محمد رضی الرضوی أورد شعره فی (گلشن- ص 119)</w:t>
      </w:r>
    </w:p>
    <w:p>
      <w:pPr>
        <w:pStyle w:val="Heading3"/>
      </w:pPr>
      <w:bookmarkStart w:id="3108" w:name="_Toc1804"/>
      <w:r>
        <w:t>1439- دیوان المیر حزینی الیزدی‏</w:t>
      </w:r>
      <w:bookmarkEnd w:id="3108"/>
    </w:p>
    <w:p>
      <w:pPr>
        <w:pStyle w:val="BookText"/>
      </w:pPr>
      <w:r>
        <w:rPr>
          <w:rFonts w:ascii="IRNazanin" w:hAnsi="IRNazanin" w:eastAsia="IRNazanin" w:cs="IRNazanin"/>
          <w:lang w:bidi="fa-IR"/>
          <w:color w:val="111111"/>
          <w:sz w:val="28"/>
          <w:szCs w:val="28"/>
          <w:rtl/>
        </w:rPr>
        <w:t xml:space="preserve">من السادة التجار فی یزد ترجمه الصادقی فی (خص 6 ص 88) و أطرأه و أورد جملة من أشعاره‏</w:t>
      </w:r>
    </w:p>
    <w:p>
      <w:pPr>
        <w:pStyle w:val="Heading3"/>
      </w:pPr>
      <w:bookmarkStart w:id="3109" w:name="_Toc1805"/>
      <w:r>
        <w:t>1440- دیوان حسابی نطنزی أو شعره‏</w:t>
      </w:r>
      <w:bookmarkEnd w:id="3109"/>
    </w:p>
    <w:p>
      <w:pPr>
        <w:pStyle w:val="BookText"/>
      </w:pPr>
      <w:r>
        <w:rPr>
          <w:rFonts w:ascii="IRNazanin" w:hAnsi="IRNazanin" w:eastAsia="IRNazanin" w:cs="IRNazanin"/>
          <w:lang w:bidi="fa-IR"/>
          <w:color w:val="111111"/>
          <w:sz w:val="28"/>
          <w:szCs w:val="28"/>
          <w:rtl/>
        </w:rPr>
        <w:t xml:space="preserve">ترجمه صادقی فی (خص 8- ص 161) و أطری معرفته للعلوم الرسمیة و مهارته فی الموسیقی و أورد بعض شعره و قال فی (گلشن- ص 119) إنه من أقرباء مستوفی الملک و کان یسکن قزوین و قال فی (تش- ص 175) إنه أصفهانی و اسمه میرزا سلمان، و قیل إن له تذکره و لکن لم نره و ذکره براون فی (ج 4 ص 88)</w:t>
      </w:r>
    </w:p>
    <w:p>
      <w:pPr>
        <w:pStyle w:val="Heading3"/>
      </w:pPr>
      <w:bookmarkStart w:id="3110" w:name="_Toc1806"/>
      <w:r>
        <w:t>1441- دیوان حسام خویی‏</w:t>
      </w:r>
      <w:bookmarkEnd w:id="3110"/>
    </w:p>
    <w:p>
      <w:pPr>
        <w:pStyle w:val="BookText"/>
      </w:pPr>
      <w:r>
        <w:rPr>
          <w:rFonts w:ascii="IRNazanin" w:hAnsi="IRNazanin" w:eastAsia="IRNazanin" w:cs="IRNazanin"/>
          <w:lang w:bidi="fa-IR"/>
          <w:color w:val="111111"/>
          <w:sz w:val="28"/>
          <w:szCs w:val="28"/>
          <w:rtl/>
        </w:rPr>
        <w:t xml:space="preserve">و هو حسام الدین حسن بن عبد المؤمن المتخلص بحسام و الملقب بمظفری من أدباء القرن السابع فی ماردین بالعراق له منظومات کثیرة منها نصیب الفتیان مثل نصاب الصبیان فی لغة العرب بالفارسیة، و تحفه حسام فی لغة الفرس بالترکیة، و ملتمسات فیها مائة رباعیة و نزهة الکتاب أحادیث و أمثال موجود فی مکتبة (المشکاة) کما فهرسها لابنی (ج 2 ص 292) و قواعد الرسائل فی الإنشاء بالفارسیة الخالصة ألفها فی رجب (684) و ألف النزهة فی محرم تلک السنة أورد شعره فی (دجا- ص 113)</w:t>
      </w:r>
    </w:p>
    <w:p>
      <w:pPr>
        <w:pStyle w:val="Heading3"/>
      </w:pPr>
      <w:bookmarkStart w:id="3111" w:name="_Toc1807"/>
      <w:r>
        <w:t>دیوان حسام رشتی‏</w:t>
      </w:r>
      <w:bookmarkEnd w:id="3111"/>
    </w:p>
    <w:p>
      <w:pPr>
        <w:pStyle w:val="BookText"/>
      </w:pPr>
      <w:r>
        <w:rPr>
          <w:rFonts w:ascii="IRNazanin" w:hAnsi="IRNazanin" w:eastAsia="IRNazanin" w:cs="IRNazanin"/>
          <w:lang w:bidi="fa-IR"/>
          <w:color w:val="111111"/>
          <w:sz w:val="28"/>
          <w:szCs w:val="28"/>
          <w:rtl/>
        </w:rPr>
        <w:t xml:space="preserve">یأتی بتخلصه دانش‏</w:t>
      </w:r>
    </w:p>
    <w:p>
      <w:pPr>
        <w:pStyle w:val="Heading3"/>
      </w:pPr>
      <w:bookmarkStart w:id="3112" w:name="_Toc1808"/>
      <w:r>
        <w:t>دیوان حسام الدین الطریحی‏</w:t>
      </w:r>
      <w:bookmarkEnd w:id="3112"/>
    </w:p>
    <w:p>
      <w:pPr>
        <w:pStyle w:val="BookText"/>
      </w:pPr>
      <w:r>
        <w:rPr>
          <w:rFonts w:ascii="IRNazanin" w:hAnsi="IRNazanin" w:eastAsia="IRNazanin" w:cs="IRNazanin"/>
          <w:lang w:bidi="fa-IR"/>
          <w:color w:val="111111"/>
          <w:sz w:val="28"/>
          <w:szCs w:val="28"/>
          <w:rtl/>
        </w:rPr>
        <w:t xml:space="preserve">ناظم التذکرة الحسامیة المذکور فی (ج 3 ص 316)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33" w:name="pg11704_121713"/>
    <w:bookmarkEnd w:id="233"/>
    <w:p>
      <w:pPr>
        <w:pStyle w:val="Heading3"/>
      </w:pPr>
      <w:bookmarkStart w:id="3113" w:name="_Toc1809"/>
      <w:r>
        <w:t>1442- دیوان حسامی قراکولی‏</w:t>
      </w:r>
      <w:bookmarkEnd w:id="3113"/>
    </w:p>
    <w:p>
      <w:pPr>
        <w:pStyle w:val="BookText"/>
      </w:pPr>
      <w:r>
        <w:rPr>
          <w:rFonts w:ascii="IRNazanin" w:hAnsi="IRNazanin" w:eastAsia="IRNazanin" w:cs="IRNazanin"/>
          <w:lang w:bidi="fa-IR"/>
          <w:color w:val="111111"/>
          <w:sz w:val="28"/>
          <w:szCs w:val="28"/>
          <w:rtl/>
        </w:rPr>
        <w:t xml:space="preserve">(من توابع بخاری) و أصله من خوارزم ترجمه سام میرزا فی (تس 5- ص 122) و قال إن أشعاره الحسنة کثیرة، منها قوله:</w:t>
      </w:r>
    </w:p>
    <w:p>
      <w:pPr>
        <w:pStyle w:val="BookText"/>
      </w:pPr>
      <w:r>
        <w:rPr>
          <w:rFonts w:ascii="IRNazanin" w:hAnsi="IRNazanin" w:eastAsia="IRNazanin" w:cs="IRNazanin"/>
          <w:lang w:bidi="fa-IR"/>
          <w:color w:val="111111"/>
          <w:sz w:val="28"/>
          <w:szCs w:val="28"/>
          <w:rtl/>
        </w:rPr>
        <w:t xml:space="preserve">هرکس که رسد بر سر آن کوی کشندش‏</w:t>
      </w:r>
    </w:p>
    <w:p>
      <w:pPr>
        <w:pStyle w:val="BookText"/>
      </w:pPr>
      <w:r>
        <w:rPr>
          <w:rFonts w:ascii="IRNazanin" w:hAnsi="IRNazanin" w:eastAsia="IRNazanin" w:cs="IRNazanin"/>
          <w:lang w:bidi="fa-IR"/>
          <w:color w:val="111111"/>
          <w:sz w:val="28"/>
          <w:szCs w:val="28"/>
          <w:rtl/>
        </w:rPr>
        <w:t xml:space="preserve">زنهار حسامی برس و مگذر از آنجا</w:t>
      </w:r>
    </w:p>
    <w:p>
      <w:pPr>
        <w:pStyle w:val="BookText"/>
      </w:pPr>
      <w:r>
        <w:rPr>
          <w:rFonts w:ascii="IRNazanin" w:hAnsi="IRNazanin" w:eastAsia="IRNazanin" w:cs="IRNazanin"/>
          <w:lang w:bidi="fa-IR"/>
          <w:color w:val="111111"/>
          <w:sz w:val="28"/>
          <w:szCs w:val="28"/>
          <w:rtl/>
        </w:rPr>
        <w:t xml:space="preserve">و ترجمه فی (ریاض العارفین ص 315) و ذکر أنه عمر ثلاث و ستین سنة و لم یلبس الا ثوبی صوف یسمی (کپنک) و توفی (923) و ترجمه فی (تش ص- 311) و لکن فی (روشن- ص 164) بعنوان حالتی غلطا</w:t>
      </w:r>
    </w:p>
    <w:p>
      <w:pPr>
        <w:pStyle w:val="Heading3"/>
      </w:pPr>
      <w:bookmarkStart w:id="3114" w:name="_Toc1810"/>
      <w:r>
        <w:t>1443- دیوان المولی حسامی الواعظ القهستانی‏</w:t>
      </w:r>
      <w:bookmarkEnd w:id="3114"/>
    </w:p>
    <w:p>
      <w:pPr>
        <w:pStyle w:val="BookText"/>
      </w:pPr>
      <w:r>
        <w:rPr>
          <w:rFonts w:ascii="IRNazanin" w:hAnsi="IRNazanin" w:eastAsia="IRNazanin" w:cs="IRNazanin"/>
          <w:lang w:bidi="fa-IR"/>
          <w:color w:val="111111"/>
          <w:sz w:val="28"/>
          <w:szCs w:val="28"/>
          <w:rtl/>
        </w:rPr>
        <w:t xml:space="preserve">ترجمه المولی سلطان محمد بن أمیری الملقب بفخری فی (مجتس 3- ص 143) و قال کان یطعن فی تشیع ملا حسین الکاشفی و ینسبه إلی التسنن، و أورد له رباعیة:</w:t>
      </w:r>
    </w:p>
    <w:p>
      <w:pPr>
        <w:pStyle w:val="BookText"/>
      </w:pPr>
      <w:r>
        <w:rPr>
          <w:rFonts w:ascii="IRNazanin" w:hAnsi="IRNazanin" w:eastAsia="IRNazanin" w:cs="IRNazanin"/>
          <w:lang w:bidi="fa-IR"/>
          <w:color w:val="111111"/>
          <w:sz w:val="28"/>
          <w:szCs w:val="28"/>
          <w:rtl/>
        </w:rPr>
        <w:t xml:space="preserve">صد شکر که مداح شه مردانم‏</w:t>
      </w:r>
    </w:p>
    <w:p>
      <w:pPr>
        <w:pStyle w:val="BookText"/>
      </w:pPr>
      <w:r>
        <w:rPr>
          <w:rFonts w:ascii="IRNazanin" w:hAnsi="IRNazanin" w:eastAsia="IRNazanin" w:cs="IRNazanin"/>
          <w:lang w:bidi="fa-IR"/>
          <w:color w:val="111111"/>
          <w:sz w:val="28"/>
          <w:szCs w:val="28"/>
          <w:rtl/>
        </w:rPr>
        <w:t xml:space="preserve">ثابت بثناء و ثانی حسانم‏</w:t>
      </w:r>
    </w:p>
    <w:p>
      <w:pPr>
        <w:pStyle w:val="BookText"/>
      </w:pPr>
      <w:r>
        <w:rPr>
          <w:rFonts w:ascii="IRNazanin" w:hAnsi="IRNazanin" w:eastAsia="IRNazanin" w:cs="IRNazanin"/>
          <w:lang w:bidi="fa-IR"/>
          <w:color w:val="111111"/>
          <w:sz w:val="28"/>
          <w:szCs w:val="28"/>
          <w:rtl/>
        </w:rPr>
        <w:t xml:space="preserve">اکنون نه کمینه بنده فرمانم‏</w:t>
      </w:r>
    </w:p>
    <w:p>
      <w:pPr>
        <w:pStyle w:val="BookText"/>
      </w:pPr>
      <w:r>
        <w:rPr>
          <w:rFonts w:ascii="IRNazanin" w:hAnsi="IRNazanin" w:eastAsia="IRNazanin" w:cs="IRNazanin"/>
          <w:lang w:bidi="fa-IR"/>
          <w:color w:val="111111"/>
          <w:sz w:val="28"/>
          <w:szCs w:val="28"/>
          <w:rtl/>
        </w:rPr>
        <w:t xml:space="preserve">دیرینه غلام قنبر و سلمانم‏</w:t>
      </w:r>
    </w:p>
    <w:p>
      <w:pPr>
        <w:pStyle w:val="Heading3"/>
      </w:pPr>
      <w:bookmarkStart w:id="3115" w:name="_Toc1811"/>
      <w:r>
        <w:t>1444- دیوان حسامی هندی‏</w:t>
      </w:r>
      <w:bookmarkEnd w:id="3115"/>
    </w:p>
    <w:p>
      <w:pPr>
        <w:pStyle w:val="BookText"/>
      </w:pPr>
      <w:r>
        <w:rPr>
          <w:rFonts w:ascii="IRNazanin" w:hAnsi="IRNazanin" w:eastAsia="IRNazanin" w:cs="IRNazanin"/>
          <w:lang w:bidi="fa-IR"/>
          <w:color w:val="111111"/>
          <w:sz w:val="28"/>
          <w:szCs w:val="28"/>
          <w:rtl/>
        </w:rPr>
        <w:t xml:space="preserve">والد سراج الدین آرزو و اسمه الشیخ حسام الدین کان منشیا للسلطان، و له منظومة قصة کامروپ أورد شعره فی (گلشن- ص 120)</w:t>
      </w:r>
    </w:p>
    <w:p>
      <w:pPr>
        <w:pStyle w:val="Heading3"/>
      </w:pPr>
      <w:bookmarkStart w:id="3116" w:name="_Toc1812"/>
      <w:r>
        <w:t>1445- دیوان حسان‏</w:t>
      </w:r>
      <w:bookmarkEnd w:id="3116"/>
    </w:p>
    <w:p>
      <w:pPr>
        <w:pStyle w:val="BookText"/>
      </w:pPr>
      <w:r>
        <w:rPr>
          <w:rFonts w:ascii="IRNazanin" w:hAnsi="IRNazanin" w:eastAsia="IRNazanin" w:cs="IRNazanin"/>
          <w:lang w:bidi="fa-IR"/>
          <w:color w:val="111111"/>
          <w:sz w:val="28"/>
          <w:szCs w:val="28"/>
          <w:rtl/>
        </w:rPr>
        <w:t xml:space="preserve">ابن ثابت بن المنذر بن حرام الأنصاری الخزرجی المولود قبل النبی  صلی الله علیه و آله  بثمان سنین و عاش هو و أبوه و جده الأدنی و جده الأعلی کل واحد منهم مائة و عشرین سنة کان هو أولا شاعر رسول الله  صلی الله علیه و آله  و شیعة أمیر المؤمنین علیه السلام  و هو أول من نظم حدیث الغدیر کما فصله الأمینی فی ج 2 من الغدیر ص 32 فی قصیدة صدرها بقوله:</w:t>
      </w:r>
    </w:p>
    <w:p>
      <w:pPr>
        <w:pStyle w:val="BookText"/>
      </w:pPr>
      <w:r>
        <w:rPr>
          <w:rFonts w:ascii="IRNazanin" w:hAnsi="IRNazanin" w:eastAsia="IRNazanin" w:cs="IRNazanin"/>
          <w:lang w:bidi="fa-IR"/>
          <w:color w:val="111111"/>
          <w:sz w:val="28"/>
          <w:szCs w:val="28"/>
          <w:rtl/>
        </w:rPr>
        <w:t xml:space="preserve">ینادیهم یوم الغدیر نبیهم‏</w:t>
      </w:r>
    </w:p>
    <w:p>
      <w:pPr>
        <w:pStyle w:val="BookText"/>
      </w:pPr>
      <w:r>
        <w:rPr>
          <w:rFonts w:ascii="IRNazanin" w:hAnsi="IRNazanin" w:eastAsia="IRNazanin" w:cs="IRNazanin"/>
          <w:lang w:bidi="fa-IR"/>
          <w:color w:val="111111"/>
          <w:sz w:val="28"/>
          <w:szCs w:val="28"/>
          <w:rtl/>
        </w:rPr>
        <w:t xml:space="preserve">إلی قوله:</w:t>
      </w:r>
    </w:p>
    <w:p>
      <w:pPr>
        <w:pStyle w:val="BookText"/>
      </w:pPr>
      <w:r>
        <w:rPr>
          <w:rFonts w:ascii="IRNazanin" w:hAnsi="IRNazanin" w:eastAsia="IRNazanin" w:cs="IRNazanin"/>
          <w:lang w:bidi="fa-IR"/>
          <w:color w:val="111111"/>
          <w:sz w:val="28"/>
          <w:szCs w:val="28"/>
          <w:rtl/>
        </w:rPr>
        <w:t xml:space="preserve">فقال لهم قم یا علی فإننی‏</w:t>
      </w:r>
    </w:p>
    <w:p>
      <w:pPr>
        <w:pStyle w:val="BookText"/>
      </w:pPr>
      <w:r>
        <w:rPr>
          <w:rFonts w:ascii="IRNazanin" w:hAnsi="IRNazanin" w:eastAsia="IRNazanin" w:cs="IRNazanin"/>
          <w:lang w:bidi="fa-IR"/>
          <w:color w:val="111111"/>
          <w:sz w:val="28"/>
          <w:szCs w:val="28"/>
          <w:rtl/>
        </w:rPr>
        <w:t xml:space="preserve">رضیتک من بعدی إماما و هادیا</w:t>
      </w:r>
    </w:p>
    <w:p>
      <w:pPr>
        <w:pStyle w:val="BookText"/>
      </w:pPr>
      <w:r>
        <w:rPr>
          <w:rFonts w:ascii="IRNazanin" w:hAnsi="IRNazanin" w:eastAsia="IRNazanin" w:cs="IRNazanin"/>
          <w:lang w:bidi="fa-IR"/>
          <w:color w:val="111111"/>
          <w:sz w:val="28"/>
          <w:szCs w:val="28"/>
          <w:rtl/>
        </w:rPr>
        <w:t xml:space="preserve">ففسر المولی بالإمام الهادی بمحضر من النبی و الألوف من الصحابة الحضار فی ذلک الیوم و قرروه علیه و أقروا له و مدح الأمیر أیضا بأشعار کثیرة أخری مسطورة فی الکتب، و مسقطة عن دیوانه المطبوع مکررا، حیث إنه لعبت فی دیوانه الأیادی الجانیة، کما لعبت فی دیوان الفرزدق بإسقاط المیمیة، و دیوان أبی فراس و کشاجم و کتب أخری بإسقاط مناقب أهل البیت علیه السلام  إرادة لإطفاء نور الله و مع ما ظهر عن حسان من حمایة الإسلام حتی سمی بالحسام و کنی بأبی الحسام، آل أمره إلی الخذلان علی المشهور فذهبت فی آخر عمره بصیرته کبصره‏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34" w:name="pg11704_121714"/>
    <w:bookmarkEnd w:id="234"/>
    <w:p>
      <w:pPr>
        <w:pStyle w:val="BookText"/>
      </w:pPr>
      <w:r>
        <w:rPr>
          <w:rFonts w:ascii="IRNazanin" w:hAnsi="IRNazanin" w:eastAsia="IRNazanin" w:cs="IRNazanin"/>
          <w:lang w:bidi="fa-IR"/>
          <w:color w:val="111111"/>
          <w:sz w:val="28"/>
          <w:szCs w:val="28"/>
          <w:rtl/>
        </w:rPr>
        <w:t xml:space="preserve">و صار عثمانیا بعد کونه علویا أعاذنا الله من سوء الخاتمة و انما ذکرناه لکون مدائحه فی حال استقامته کما ذکرنا کتاب التکلیف للشلمغانی أیضا لذلک و أما طبعاته علی ما فی معجم المطبوعات فهی: تونس 1281، 130 ص بمبئی علی الحجر 1281، فی 104 ص لاهور 1295 مع شرح فیض الحسن طبعه أوقاف گیپ باعتناء هرنویج هرشفیلد فی لیدن 1910 م فی (120 و 92 ص) بعد مقابلته علی النسخ الخطیة الموجودة فی مکتبات لندن و برلین و پاریس و پترس‏بورگ طبع مصر 1331 فی (354 ص) بشرح محمد العنانی و طبع أیضا بمصر فی (1347)</w:t>
      </w:r>
    </w:p>
    <w:p>
      <w:pPr>
        <w:pStyle w:val="Heading3"/>
      </w:pPr>
      <w:bookmarkStart w:id="3117" w:name="_Toc1813"/>
      <w:r>
        <w:t>دیوان حسان العجم‏</w:t>
      </w:r>
      <w:bookmarkEnd w:id="3117"/>
    </w:p>
    <w:p>
      <w:pPr>
        <w:pStyle w:val="BookText"/>
      </w:pPr>
      <w:r>
        <w:rPr>
          <w:rFonts w:ascii="IRNazanin" w:hAnsi="IRNazanin" w:eastAsia="IRNazanin" w:cs="IRNazanin"/>
          <w:lang w:bidi="fa-IR"/>
          <w:color w:val="111111"/>
          <w:sz w:val="28"/>
          <w:szCs w:val="28"/>
          <w:rtl/>
        </w:rPr>
        <w:t xml:space="preserve">یأتی بعنوان دیوان خاقانی‏</w:t>
      </w:r>
    </w:p>
    <w:p>
      <w:pPr>
        <w:pStyle w:val="Heading3"/>
      </w:pPr>
      <w:bookmarkStart w:id="3118" w:name="_Toc1814"/>
      <w:r>
        <w:t>دیوان حسان الهند</w:t>
      </w:r>
      <w:bookmarkEnd w:id="3118"/>
    </w:p>
    <w:p>
      <w:pPr>
        <w:pStyle w:val="BookText"/>
      </w:pPr>
      <w:r>
        <w:rPr>
          <w:rFonts w:ascii="IRNazanin" w:hAnsi="IRNazanin" w:eastAsia="IRNazanin" w:cs="IRNazanin"/>
          <w:lang w:bidi="fa-IR"/>
          <w:color w:val="111111"/>
          <w:sz w:val="28"/>
          <w:szCs w:val="28"/>
          <w:rtl/>
        </w:rPr>
        <w:t xml:space="preserve">مر بعنوان دیوان آزاد بلگرامی‏</w:t>
      </w:r>
    </w:p>
    <w:p>
      <w:pPr>
        <w:pStyle w:val="Heading3"/>
      </w:pPr>
      <w:bookmarkStart w:id="3119" w:name="_Toc1815"/>
      <w:r>
        <w:t>1446- دیوان حسرت أصفهانی أو شعره‏</w:t>
      </w:r>
      <w:bookmarkEnd w:id="3119"/>
    </w:p>
    <w:p>
      <w:pPr>
        <w:pStyle w:val="BookText"/>
      </w:pPr>
      <w:r>
        <w:rPr>
          <w:rFonts w:ascii="IRNazanin" w:hAnsi="IRNazanin" w:eastAsia="IRNazanin" w:cs="IRNazanin"/>
          <w:lang w:bidi="fa-IR"/>
          <w:color w:val="111111"/>
          <w:sz w:val="28"/>
          <w:szCs w:val="28"/>
          <w:rtl/>
        </w:rPr>
        <w:t xml:space="preserve">و اسمه علی خان ملازم محمد رضا میرزا حاکم گیلان و معاصر هدایت فترجمه فی (مع 2: 93)</w:t>
      </w:r>
    </w:p>
    <w:p>
      <w:pPr>
        <w:pStyle w:val="Heading3"/>
      </w:pPr>
      <w:bookmarkStart w:id="3120" w:name="_Toc1816"/>
      <w:r>
        <w:t>1447- دیوان حسرت دهلوی أو شعره‏</w:t>
      </w:r>
      <w:bookmarkEnd w:id="3120"/>
    </w:p>
    <w:p>
      <w:pPr>
        <w:pStyle w:val="BookText"/>
      </w:pPr>
      <w:r>
        <w:rPr>
          <w:rFonts w:ascii="IRNazanin" w:hAnsi="IRNazanin" w:eastAsia="IRNazanin" w:cs="IRNazanin"/>
          <w:lang w:bidi="fa-IR"/>
          <w:color w:val="111111"/>
          <w:sz w:val="28"/>
          <w:szCs w:val="28"/>
          <w:rtl/>
        </w:rPr>
        <w:t xml:space="preserve">معاصر محمد علی فروغ، و نور العین واقف، و مات برامپور أورد شعره فی (روشن- ص 17)</w:t>
      </w:r>
    </w:p>
    <w:p>
      <w:pPr>
        <w:pStyle w:val="Heading3"/>
      </w:pPr>
      <w:bookmarkStart w:id="3121" w:name="_Toc1817"/>
      <w:r>
        <w:t>1448- دیوان حسرت سندیلوی أو شعره‏</w:t>
      </w:r>
      <w:bookmarkEnd w:id="3121"/>
    </w:p>
    <w:p>
      <w:pPr>
        <w:pStyle w:val="BookText"/>
      </w:pPr>
      <w:r>
        <w:rPr>
          <w:rFonts w:ascii="IRNazanin" w:hAnsi="IRNazanin" w:eastAsia="IRNazanin" w:cs="IRNazanin"/>
          <w:lang w:bidi="fa-IR"/>
          <w:color w:val="111111"/>
          <w:sz w:val="28"/>
          <w:szCs w:val="28"/>
          <w:rtl/>
        </w:rPr>
        <w:t xml:space="preserve">و اسمه المیر محمد أشرف من أعیان سندیلة من أعمال لکهنو و من تلامیذ عبد القادر بیدل أورد شعره فی (گلشن- ص 120)</w:t>
      </w:r>
    </w:p>
    <w:p>
      <w:pPr>
        <w:pStyle w:val="Heading3"/>
      </w:pPr>
      <w:bookmarkStart w:id="3122" w:name="_Toc1818"/>
      <w:r>
        <w:t>1449- دیوان حسرت مشهدی أو شعره‏</w:t>
      </w:r>
      <w:bookmarkEnd w:id="3122"/>
    </w:p>
    <w:p>
      <w:pPr>
        <w:pStyle w:val="BookText"/>
      </w:pPr>
      <w:r>
        <w:rPr>
          <w:rFonts w:ascii="IRNazanin" w:hAnsi="IRNazanin" w:eastAsia="IRNazanin" w:cs="IRNazanin"/>
          <w:lang w:bidi="fa-IR"/>
          <w:color w:val="111111"/>
          <w:sz w:val="28"/>
          <w:szCs w:val="28"/>
          <w:rtl/>
        </w:rPr>
        <w:t xml:space="preserve">و اسمه السید محمد من خدام الحضرة الرضویة أورد شعره معاصر البیگدلی فی (تش- ص 371) و فی (روشن- ص 170) قال إنه کان معاصرا للحزین الگیلانی‏</w:t>
      </w:r>
    </w:p>
    <w:p>
      <w:pPr>
        <w:pStyle w:val="Heading3"/>
      </w:pPr>
      <w:bookmarkStart w:id="3123" w:name="_Toc1819"/>
      <w:r>
        <w:t>1450- دیوان حسرت همدانی أو شعره‏</w:t>
      </w:r>
      <w:bookmarkEnd w:id="3123"/>
    </w:p>
    <w:p>
      <w:pPr>
        <w:pStyle w:val="BookText"/>
      </w:pPr>
      <w:r>
        <w:rPr>
          <w:rFonts w:ascii="IRNazanin" w:hAnsi="IRNazanin" w:eastAsia="IRNazanin" w:cs="IRNazanin"/>
          <w:lang w:bidi="fa-IR"/>
          <w:color w:val="111111"/>
          <w:sz w:val="28"/>
          <w:szCs w:val="28"/>
          <w:rtl/>
        </w:rPr>
        <w:t xml:space="preserve">ترجمه معاصره هدایت فی (مع 2: 93) و (ض- ص 444) و فی (گلشن- ص 120) قال إن اسمه إبراهیم و کان أدیبا صوفیا</w:t>
      </w:r>
    </w:p>
    <w:p>
      <w:pPr>
        <w:pStyle w:val="Heading3"/>
      </w:pPr>
      <w:bookmarkStart w:id="3124" w:name="_Toc1820"/>
      <w:r>
        <w:t>1451- دیوان حسرت هندی أو شعره‏</w:t>
      </w:r>
      <w:bookmarkEnd w:id="3124"/>
    </w:p>
    <w:p>
      <w:pPr>
        <w:pStyle w:val="BookText"/>
      </w:pPr>
      <w:r>
        <w:rPr>
          <w:rFonts w:ascii="IRNazanin" w:hAnsi="IRNazanin" w:eastAsia="IRNazanin" w:cs="IRNazanin"/>
          <w:lang w:bidi="fa-IR"/>
          <w:color w:val="111111"/>
          <w:sz w:val="28"/>
          <w:szCs w:val="28"/>
          <w:rtl/>
        </w:rPr>
        <w:t xml:space="preserve">و اسمه المولوی محمد سعید العظیم‏آبادی أطری نظمه و نثره فی (روشن- ص 170)</w:t>
      </w:r>
    </w:p>
    <w:p>
      <w:pPr>
        <w:pStyle w:val="Heading3"/>
      </w:pPr>
      <w:bookmarkStart w:id="3125" w:name="_Toc1821"/>
      <w:r>
        <w:t>1452- دیوان حسرت هندی أو شعره‏</w:t>
      </w:r>
      <w:bookmarkEnd w:id="3125"/>
    </w:p>
    <w:p>
      <w:pPr>
        <w:pStyle w:val="BookText"/>
      </w:pPr>
      <w:r>
        <w:rPr>
          <w:rFonts w:ascii="IRNazanin" w:hAnsi="IRNazanin" w:eastAsia="IRNazanin" w:cs="IRNazanin"/>
          <w:lang w:bidi="fa-IR"/>
          <w:color w:val="111111"/>
          <w:sz w:val="28"/>
          <w:szCs w:val="28"/>
          <w:rtl/>
        </w:rPr>
        <w:t xml:space="preserve">و اسمه المیرزا محمد جعفر بن أبی الخیر کان أستاذ جرأت اللکهنوی و تلمیذ المیرزا فاخر مکین أورد شعره فی (روشن- ص 171)</w:t>
      </w:r>
    </w:p>
    <w:p>
      <w:pPr>
        <w:pStyle w:val="Heading3"/>
      </w:pPr>
      <w:bookmarkStart w:id="3126" w:name="_Toc1822"/>
      <w:r>
        <w:t>1453- دیوان حسرتی کاشی أو شعره‏</w:t>
      </w:r>
      <w:bookmarkEnd w:id="3126"/>
    </w:p>
    <w:p>
      <w:pPr>
        <w:pStyle w:val="BookText"/>
      </w:pPr>
      <w:r>
        <w:rPr>
          <w:rFonts w:ascii="IRNazanin" w:hAnsi="IRNazanin" w:eastAsia="IRNazanin" w:cs="IRNazanin"/>
          <w:lang w:bidi="fa-IR"/>
          <w:color w:val="111111"/>
          <w:sz w:val="28"/>
          <w:szCs w:val="28"/>
          <w:rtl/>
        </w:rPr>
        <w:t xml:space="preserve">أورد شعره فی خلاصة الأشعار و منها ما ذم فیه‏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35" w:name="pg11704_121715"/>
    <w:bookmarkEnd w:id="235"/>
    <w:p>
      <w:pPr>
        <w:pStyle w:val="BookText"/>
      </w:pPr>
      <w:r>
        <w:rPr>
          <w:rFonts w:ascii="IRNazanin" w:hAnsi="IRNazanin" w:eastAsia="IRNazanin" w:cs="IRNazanin"/>
          <w:lang w:bidi="fa-IR"/>
          <w:color w:val="111111"/>
          <w:sz w:val="28"/>
          <w:szCs w:val="28"/>
          <w:rtl/>
        </w:rPr>
        <w:t xml:space="preserve">الشاعرین فهمی کاشی و حاتم کاشی، و قال فی (گلشن- ص 120) إنه من تلامیذ محتشم الکاشی‏</w:t>
      </w:r>
    </w:p>
    <w:p>
      <w:pPr>
        <w:pStyle w:val="Heading3"/>
      </w:pPr>
      <w:bookmarkStart w:id="3127" w:name="_Toc1823"/>
      <w:r>
        <w:t>1454- دیوان حسرتی هندی أو شعره‏</w:t>
      </w:r>
      <w:bookmarkEnd w:id="3127"/>
    </w:p>
    <w:p>
      <w:pPr>
        <w:pStyle w:val="BookText"/>
      </w:pPr>
      <w:r>
        <w:rPr>
          <w:rFonts w:ascii="IRNazanin" w:hAnsi="IRNazanin" w:eastAsia="IRNazanin" w:cs="IRNazanin"/>
          <w:lang w:bidi="fa-IR"/>
          <w:color w:val="111111"/>
          <w:sz w:val="28"/>
          <w:szCs w:val="28"/>
          <w:rtl/>
        </w:rPr>
        <w:t xml:space="preserve">و هو محمد مصطفی خان بن مرتضی خان الفرخ‏آبادی الهندی کان یتخلص فی شعره الفارسی حسرتی و فی الأردویة شیفته کان مریدا لعبد الغنی مجددی النقش‏بندی و مات (1286) أورد شعره فی (گلشن- ص 121)</w:t>
      </w:r>
    </w:p>
    <w:p>
      <w:pPr>
        <w:pStyle w:val="Heading3"/>
      </w:pPr>
      <w:bookmarkStart w:id="3128" w:name="_Toc1824"/>
      <w:r>
        <w:t>1455- دیوان حسن بن أحمد بن یعقوب‏</w:t>
      </w:r>
      <w:bookmarkEnd w:id="3128"/>
    </w:p>
    <w:p>
      <w:pPr>
        <w:pStyle w:val="BookText"/>
      </w:pPr>
      <w:r>
        <w:rPr>
          <w:rFonts w:ascii="IRNazanin" w:hAnsi="IRNazanin" w:eastAsia="IRNazanin" w:cs="IRNazanin"/>
          <w:lang w:bidi="fa-IR"/>
          <w:color w:val="111111"/>
          <w:sz w:val="28"/>
          <w:szCs w:val="28"/>
          <w:rtl/>
        </w:rPr>
        <w:t xml:space="preserve">ابن یوسف بن داود الصنعانی مؤلف کتاب الإکلیل فی الأنساب المذکور فی (ج 2: ص 270): ترجمه السیوطی فی البغیة- ص 217 و قال إن دیوانه فی ست مجلدات‏</w:t>
      </w:r>
    </w:p>
    <w:p>
      <w:pPr>
        <w:pStyle w:val="Heading3"/>
      </w:pPr>
      <w:bookmarkStart w:id="3129" w:name="_Toc1825"/>
      <w:r>
        <w:t>1456- دیوان حسن بن الحسین‏</w:t>
      </w:r>
      <w:bookmarkEnd w:id="3129"/>
    </w:p>
    <w:p>
      <w:pPr>
        <w:pStyle w:val="BookText"/>
      </w:pPr>
      <w:r>
        <w:rPr>
          <w:rFonts w:ascii="IRNazanin" w:hAnsi="IRNazanin" w:eastAsia="IRNazanin" w:cs="IRNazanin"/>
          <w:lang w:bidi="fa-IR"/>
          <w:color w:val="111111"/>
          <w:sz w:val="28"/>
          <w:szCs w:val="28"/>
          <w:rtl/>
        </w:rPr>
        <w:t xml:space="preserve">و هو الشیخ حسن بن الشیخ حسین الحر العاملی المتوفی (1298) قال فی أعیان الشیعة إن له مجموع جمع فیه شعره‏</w:t>
      </w:r>
    </w:p>
    <w:p>
      <w:pPr>
        <w:pStyle w:val="Heading3"/>
      </w:pPr>
      <w:bookmarkStart w:id="3130" w:name="_Toc1826"/>
      <w:r>
        <w:t>1457- دیوان الشیخ حسن بن زین الدین الشهید</w:t>
      </w:r>
      <w:bookmarkEnd w:id="3130"/>
    </w:p>
    <w:p>
      <w:pPr>
        <w:pStyle w:val="BookText"/>
      </w:pPr>
      <w:r>
        <w:rPr>
          <w:rFonts w:ascii="IRNazanin" w:hAnsi="IRNazanin" w:eastAsia="IRNazanin" w:cs="IRNazanin"/>
          <w:lang w:bidi="fa-IR"/>
          <w:color w:val="111111"/>
          <w:sz w:val="28"/>
          <w:szCs w:val="28"/>
          <w:rtl/>
        </w:rPr>
        <w:t xml:space="preserve">و هو صاحب المعالم المتوفی (1011) کبیر جمعه تلمیذه الشیخ نجیب الدین علی بن محمد بن مکی کما ذکره فی أمل الآمل و قال حفید الناظم الشیخ علی بن الشیخ محمد البسط فی الدر المنثور: إن هذا الدیوان بخط الناظم موجود فی بلادنا و سمعت أن منه مجلد عند أولاد الشیخ نجیب الدین انتهی و أورد شعره فی (السلافة- ص 304) أیضا</w:t>
      </w:r>
    </w:p>
    <w:p>
      <w:pPr>
        <w:pStyle w:val="Heading3"/>
      </w:pPr>
      <w:bookmarkStart w:id="3131" w:name="_Toc1827"/>
      <w:r>
        <w:t>1458- دیوان حسن بن شدقم أو شعره‏</w:t>
      </w:r>
      <w:bookmarkEnd w:id="3131"/>
    </w:p>
    <w:p>
      <w:pPr>
        <w:pStyle w:val="BookText"/>
      </w:pPr>
      <w:r>
        <w:rPr>
          <w:rFonts w:ascii="IRNazanin" w:hAnsi="IRNazanin" w:eastAsia="IRNazanin" w:cs="IRNazanin"/>
          <w:lang w:bidi="fa-IR"/>
          <w:color w:val="111111"/>
          <w:sz w:val="28"/>
          <w:szCs w:val="28"/>
          <w:rtl/>
        </w:rPr>
        <w:t xml:space="preserve">هو ابن شدقم الحسینی المدنی قال فی السلافة (ص 249) دخل الهند فی عنفوان شبابه و تزوج ابنة أحد ملوکها و ترقی أمره و کان یرسل أموالا إلی بلده، و بعد أن مات أبو زوجته هاجر بأهله إلی وطنه لکنه لم یقدر البقاء فرجع إلی الهند و بها مات ثم أورد شعره و شعر ابنه السید محمد بن الحسن فی (ص 250) و السید حسین بن علی بن الحسن بن شدقم فی (ص 253)</w:t>
      </w:r>
    </w:p>
    <w:p>
      <w:pPr>
        <w:pStyle w:val="Heading3"/>
      </w:pPr>
      <w:bookmarkStart w:id="3132" w:name="_Toc1828"/>
      <w:r>
        <w:t>دیوان الحسن بن صافی‏</w:t>
      </w:r>
      <w:bookmarkEnd w:id="3132"/>
    </w:p>
    <w:p>
      <w:pPr>
        <w:pStyle w:val="BookText"/>
      </w:pPr>
      <w:r>
        <w:rPr>
          <w:rFonts w:ascii="IRNazanin" w:hAnsi="IRNazanin" w:eastAsia="IRNazanin" w:cs="IRNazanin"/>
          <w:lang w:bidi="fa-IR"/>
          <w:color w:val="111111"/>
          <w:sz w:val="28"/>
          <w:szCs w:val="28"/>
          <w:rtl/>
        </w:rPr>
        <w:t xml:space="preserve">مر بعنوان دیوان أبی نزار</w:t>
      </w:r>
    </w:p>
    <w:p>
      <w:pPr>
        <w:pStyle w:val="Heading3"/>
      </w:pPr>
      <w:bookmarkStart w:id="3133" w:name="_Toc1829"/>
      <w:r>
        <w:t>دیوان الحسن بن عبد الرحیم‏</w:t>
      </w:r>
      <w:bookmarkEnd w:id="3133"/>
    </w:p>
    <w:p>
      <w:pPr>
        <w:pStyle w:val="BookText"/>
      </w:pPr>
      <w:r>
        <w:rPr>
          <w:rFonts w:ascii="IRNazanin" w:hAnsi="IRNazanin" w:eastAsia="IRNazanin" w:cs="IRNazanin"/>
          <w:lang w:bidi="fa-IR"/>
          <w:color w:val="111111"/>
          <w:sz w:val="28"/>
          <w:szCs w:val="28"/>
          <w:rtl/>
        </w:rPr>
        <w:t xml:space="preserve">یأتی بعنوان دیوان طائر</w:t>
      </w:r>
    </w:p>
    <w:p>
      <w:pPr>
        <w:pStyle w:val="Heading3"/>
      </w:pPr>
      <w:bookmarkStart w:id="3134" w:name="_Toc1830"/>
      <w:r>
        <w:t>1459- دیوان الحسن بن علی بن أحمد المهابادی‏</w:t>
      </w:r>
      <w:bookmarkEnd w:id="3134"/>
    </w:p>
    <w:p>
      <w:pPr>
        <w:pStyle w:val="BookText"/>
      </w:pPr>
      <w:r>
        <w:rPr>
          <w:rFonts w:ascii="IRNazanin" w:hAnsi="IRNazanin" w:eastAsia="IRNazanin" w:cs="IRNazanin"/>
          <w:lang w:bidi="fa-IR"/>
          <w:color w:val="111111"/>
          <w:sz w:val="28"/>
          <w:szCs w:val="28"/>
          <w:rtl/>
        </w:rPr>
        <w:t xml:space="preserve">هو الشیخ الإمام أفضل الدین کما وصفه تلمیذه الشیخ منتجب الدین الذی توفی بعد (585) و ذکر له دیوان النثر أیضا کما یأتی‏</w:t>
      </w:r>
    </w:p>
    <w:p>
      <w:pPr>
        <w:pStyle w:val="Heading3"/>
      </w:pPr>
      <w:bookmarkStart w:id="3135" w:name="_Toc1831"/>
      <w:r>
        <w:t>1460- دیوان الشیخ الحسن بن علی بن أحمد العاملی الحائنی‏</w:t>
      </w:r>
      <w:bookmarkEnd w:id="3135"/>
    </w:p>
    <w:p>
      <w:pPr>
        <w:pStyle w:val="BookText"/>
      </w:pPr>
      <w:r>
        <w:rPr>
          <w:rFonts w:ascii="IRNazanin" w:hAnsi="IRNazanin" w:eastAsia="IRNazanin" w:cs="IRNazanin"/>
          <w:lang w:bidi="fa-IR"/>
          <w:color w:val="111111"/>
          <w:sz w:val="28"/>
          <w:szCs w:val="28"/>
          <w:rtl/>
        </w:rPr>
        <w:t xml:space="preserve">تلمیذ الشیخ مفلح و الشیخ‏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36" w:name="pg11704_121716"/>
    <w:bookmarkEnd w:id="236"/>
    <w:p>
      <w:pPr>
        <w:pStyle w:val="BookText"/>
      </w:pPr>
      <w:r>
        <w:rPr>
          <w:rFonts w:ascii="IRNazanin" w:hAnsi="IRNazanin" w:eastAsia="IRNazanin" w:cs="IRNazanin"/>
          <w:lang w:bidi="fa-IR"/>
          <w:color w:val="111111"/>
          <w:sz w:val="28"/>
          <w:szCs w:val="28"/>
          <w:rtl/>
        </w:rPr>
        <w:t xml:space="preserve">إبراهیم المیسی و المجاز من صاحبی المعالم و المدارک قال فی أمل الآمل أن دیوان شعره یقارب سبعین ألف بیت‏</w:t>
      </w:r>
    </w:p>
    <w:p>
      <w:pPr>
        <w:pStyle w:val="Heading3"/>
      </w:pPr>
      <w:bookmarkStart w:id="3136" w:name="_Toc1832"/>
      <w:r>
        <w:t>1460- دیوان الحسن بن علی الشهابی‏</w:t>
      </w:r>
      <w:bookmarkEnd w:id="3136"/>
    </w:p>
    <w:p>
      <w:pPr>
        <w:pStyle w:val="BookText"/>
      </w:pPr>
      <w:r>
        <w:rPr>
          <w:rFonts w:ascii="IRNazanin" w:hAnsi="IRNazanin" w:eastAsia="IRNazanin" w:cs="IRNazanin"/>
          <w:lang w:bidi="fa-IR"/>
          <w:color w:val="111111"/>
          <w:sz w:val="28"/>
          <w:szCs w:val="28"/>
          <w:rtl/>
        </w:rPr>
        <w:t xml:space="preserve">مداح السلطان أرسلان شاه السلجوقی أورد أشعاره محمد العوفی فی تذکرته و نقلها عنه فی (مع: ج 1 ص 197)</w:t>
      </w:r>
    </w:p>
    <w:p>
      <w:pPr>
        <w:pStyle w:val="Heading3"/>
      </w:pPr>
      <w:bookmarkStart w:id="3137" w:name="_Toc1833"/>
      <w:r>
        <w:t>1461- دیوان الشیخ حسن بن علی ابن نجم السعدی الریاحی القفطانی النجفی‏</w:t>
      </w:r>
      <w:bookmarkEnd w:id="3137"/>
    </w:p>
    <w:p>
      <w:pPr>
        <w:pStyle w:val="BookText"/>
      </w:pPr>
      <w:r>
        <w:rPr>
          <w:rFonts w:ascii="IRNazanin" w:hAnsi="IRNazanin" w:eastAsia="IRNazanin" w:cs="IRNazanin"/>
          <w:lang w:bidi="fa-IR"/>
          <w:color w:val="111111"/>
          <w:sz w:val="28"/>
          <w:szCs w:val="28"/>
          <w:rtl/>
        </w:rPr>
        <w:t xml:space="preserve">الذی کان فی عصر کاشف الغطاء و عمر إلی عصر صاحب الجواهر و له أولاد علماء أجلاء: الشیخ إبراهیم و الشیخ أحمد و الشیخ علی و الشیخ محمد و الشیخ مهدی و الشیخ حسین الذی توفی فی حیاة والده فی حدود (1255) یوجد بعض أشعاره فی مجموعة السید یوسف بن محمد العلوی الحسینی المکتوبة (1302) رأیتها فی مکتبة (الملک) بطهران‏</w:t>
      </w:r>
    </w:p>
    <w:p>
      <w:pPr>
        <w:pStyle w:val="Heading3"/>
      </w:pPr>
      <w:bookmarkStart w:id="3138" w:name="_Toc1834"/>
      <w:r>
        <w:t>دیوان حسن بن فتح الله‏</w:t>
      </w:r>
      <w:bookmarkEnd w:id="3138"/>
    </w:p>
    <w:p>
      <w:pPr>
        <w:pStyle w:val="BookText"/>
      </w:pPr>
      <w:r>
        <w:rPr>
          <w:rFonts w:ascii="IRNazanin" w:hAnsi="IRNazanin" w:eastAsia="IRNazanin" w:cs="IRNazanin"/>
          <w:lang w:bidi="fa-IR"/>
          <w:color w:val="111111"/>
          <w:sz w:val="28"/>
          <w:szCs w:val="28"/>
          <w:rtl/>
        </w:rPr>
        <w:t xml:space="preserve">مر بعنوان خمسه سید حسن فی (ج 7: 257)</w:t>
      </w:r>
    </w:p>
    <w:p>
      <w:pPr>
        <w:pStyle w:val="Heading3"/>
      </w:pPr>
      <w:bookmarkStart w:id="3139" w:name="_Toc1835"/>
      <w:r>
        <w:t>دیوان السلطان حسن بن السلطان محمد المکفوف‏</w:t>
      </w:r>
      <w:bookmarkEnd w:id="3139"/>
    </w:p>
    <w:p>
      <w:pPr>
        <w:pStyle w:val="BookText"/>
      </w:pPr>
      <w:r>
        <w:rPr>
          <w:rFonts w:ascii="IRNazanin" w:hAnsi="IRNazanin" w:eastAsia="IRNazanin" w:cs="IRNazanin"/>
          <w:lang w:bidi="fa-IR"/>
          <w:color w:val="111111"/>
          <w:sz w:val="28"/>
          <w:szCs w:val="28"/>
          <w:rtl/>
        </w:rPr>
        <w:t xml:space="preserve">ابن الشاه طهماسب الصفوی الحسینی الذی قتله الشاه إسماعیل الثانی حکی رباعیة منه فی مجمع الفصحاء ج 1 ص 22 و هو الأخ الأکبر للشاه إسماعیل الأول و عبر عنه الصادقی فی (خص 2- ص 26) بسلطان حسن میرزا</w:t>
      </w:r>
    </w:p>
    <w:p>
      <w:pPr>
        <w:pStyle w:val="Heading3"/>
      </w:pPr>
      <w:bookmarkStart w:id="3140" w:name="_Toc1836"/>
      <w:r>
        <w:t>1462- دیوان حسن أردشیر أو شعره‏</w:t>
      </w:r>
      <w:bookmarkEnd w:id="3140"/>
    </w:p>
    <w:p>
      <w:pPr>
        <w:pStyle w:val="BookText"/>
      </w:pPr>
      <w:r>
        <w:rPr>
          <w:rFonts w:ascii="IRNazanin" w:hAnsi="IRNazanin" w:eastAsia="IRNazanin" w:cs="IRNazanin"/>
          <w:lang w:bidi="fa-IR"/>
          <w:color w:val="111111"/>
          <w:sz w:val="28"/>
          <w:szCs w:val="28"/>
          <w:rtl/>
        </w:rPr>
        <w:t xml:space="preserve">قال المیر علی شیر فی (مجن 2 ص 54 و 228) إنه کان بمنزلة والدی، و کان عالما متصوفا ثم أورد شعره‏</w:t>
      </w:r>
    </w:p>
    <w:p>
      <w:pPr>
        <w:pStyle w:val="Heading3"/>
      </w:pPr>
      <w:bookmarkStart w:id="3141" w:name="_Toc1837"/>
      <w:r>
        <w:t>1463- دیوان الحسن الأسدی الدزفولی‏</w:t>
      </w:r>
      <w:bookmarkEnd w:id="3141"/>
    </w:p>
    <w:p>
      <w:pPr>
        <w:pStyle w:val="BookText"/>
      </w:pPr>
      <w:r>
        <w:rPr>
          <w:rFonts w:ascii="IRNazanin" w:hAnsi="IRNazanin" w:eastAsia="IRNazanin" w:cs="IRNazanin"/>
          <w:lang w:bidi="fa-IR"/>
          <w:color w:val="111111"/>
          <w:sz w:val="28"/>
          <w:szCs w:val="28"/>
          <w:rtl/>
        </w:rPr>
        <w:t xml:space="preserve">و هو الشیخ حسن بن مرتضی آل الشیخ أسد الله الدزفولی الکاظمی صاحب المقابیس له دواوین متعددة کلها فی مدائح أهل البیت و مراثیهم و رأیت قصیدته المطبوعة فی رثاء السید ماجد بن هاشم العوامی القطیفی المتوفی بالکاظمیة فی (1367)</w:t>
      </w:r>
    </w:p>
    <w:p>
      <w:pPr>
        <w:pStyle w:val="Heading3"/>
      </w:pPr>
      <w:bookmarkStart w:id="3142" w:name="_Toc1838"/>
      <w:r>
        <w:t>1464- دیوان حسن إشکوری‏</w:t>
      </w:r>
      <w:bookmarkEnd w:id="3142"/>
    </w:p>
    <w:p>
      <w:pPr>
        <w:pStyle w:val="BookText"/>
      </w:pPr>
      <w:r>
        <w:rPr>
          <w:rFonts w:ascii="IRNazanin" w:hAnsi="IRNazanin" w:eastAsia="IRNazanin" w:cs="IRNazanin"/>
          <w:lang w:bidi="fa-IR"/>
          <w:color w:val="111111"/>
          <w:sz w:val="28"/>
          <w:szCs w:val="28"/>
          <w:rtl/>
        </w:rPr>
        <w:t xml:space="preserve">و هو السید حسن الإشکوری المقیم برشت و تلمیذ السید محمد کاظم الیزدی و المیر محمد علی الچهاردهی ذکره مرتضی المدرسی الچهاردهی‏</w:t>
      </w:r>
    </w:p>
    <w:p>
      <w:pPr>
        <w:pStyle w:val="Heading3"/>
      </w:pPr>
      <w:bookmarkStart w:id="3143" w:name="_Toc1839"/>
      <w:r>
        <w:t>1465- دیوان حسن أصفهانی‏</w:t>
      </w:r>
      <w:bookmarkEnd w:id="3143"/>
    </w:p>
    <w:p>
      <w:pPr>
        <w:pStyle w:val="BookText"/>
      </w:pPr>
      <w:r>
        <w:rPr>
          <w:rFonts w:ascii="IRNazanin" w:hAnsi="IRNazanin" w:eastAsia="IRNazanin" w:cs="IRNazanin"/>
          <w:lang w:bidi="fa-IR"/>
          <w:color w:val="111111"/>
          <w:sz w:val="28"/>
          <w:szCs w:val="28"/>
          <w:rtl/>
        </w:rPr>
        <w:t xml:space="preserve">و هو المیر حسن أخ الحاج عبد الله العطار فی جنب الإمام‏زادة إسماعیل بأصفهان ترجمه معاصره فی (نر 5- ص 142) و ذکر شعره و مثنویة الموسوم خروسیة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37" w:name="pg11704_121717"/>
    <w:bookmarkEnd w:id="237"/>
    <w:p>
      <w:pPr>
        <w:pStyle w:val="Heading3"/>
      </w:pPr>
      <w:bookmarkStart w:id="3144" w:name="_Toc1840"/>
      <w:r>
        <w:t>1466- دیوان حسن أصفهانی أو شعره‏</w:t>
      </w:r>
      <w:bookmarkEnd w:id="3144"/>
    </w:p>
    <w:p>
      <w:pPr>
        <w:pStyle w:val="BookText"/>
      </w:pPr>
      <w:r>
        <w:rPr>
          <w:rFonts w:ascii="IRNazanin" w:hAnsi="IRNazanin" w:eastAsia="IRNazanin" w:cs="IRNazanin"/>
          <w:lang w:bidi="fa-IR"/>
          <w:color w:val="111111"/>
          <w:sz w:val="28"/>
          <w:szCs w:val="28"/>
          <w:rtl/>
        </w:rPr>
        <w:t xml:space="preserve">و اسمه حسن علی کان متولیا ل شهیدیة المکان الذی قتل فیه صفی میرزا المعارض لأبیه الشاه عباس الأول ترجمه النصرآبادی فی (نر 6 ص 200) و قال فی (تغ- ص 33) إن تخلصه حسن‏</w:t>
      </w:r>
    </w:p>
    <w:p>
      <w:pPr>
        <w:pStyle w:val="Heading3"/>
      </w:pPr>
      <w:bookmarkStart w:id="3145" w:name="_Toc1841"/>
      <w:r>
        <w:t>دیوان السید حسن بحر العلوم‏</w:t>
      </w:r>
      <w:bookmarkEnd w:id="3145"/>
    </w:p>
    <w:p>
      <w:pPr>
        <w:pStyle w:val="BookText"/>
      </w:pPr>
      <w:r>
        <w:rPr>
          <w:rFonts w:ascii="IRNazanin" w:hAnsi="IRNazanin" w:eastAsia="IRNazanin" w:cs="IRNazanin"/>
          <w:lang w:bidi="fa-IR"/>
          <w:color w:val="111111"/>
          <w:sz w:val="28"/>
          <w:szCs w:val="28"/>
          <w:rtl/>
        </w:rPr>
        <w:t xml:space="preserve">راجع التاریخ المنظوم فی (ج 3 ص 289)</w:t>
      </w:r>
    </w:p>
    <w:p>
      <w:pPr>
        <w:pStyle w:val="Heading3"/>
      </w:pPr>
      <w:bookmarkStart w:id="3146" w:name="_Toc1842"/>
      <w:r>
        <w:t>1467- دیوان حسن بروجردی أو شعره‏</w:t>
      </w:r>
      <w:bookmarkEnd w:id="3146"/>
    </w:p>
    <w:p>
      <w:pPr>
        <w:pStyle w:val="BookText"/>
      </w:pPr>
      <w:r>
        <w:rPr>
          <w:rFonts w:ascii="IRNazanin" w:hAnsi="IRNazanin" w:eastAsia="IRNazanin" w:cs="IRNazanin"/>
          <w:lang w:bidi="fa-IR"/>
          <w:color w:val="111111"/>
          <w:sz w:val="28"/>
          <w:szCs w:val="28"/>
          <w:rtl/>
        </w:rPr>
        <w:t xml:space="preserve">و اسمه حسن بیک محرر الأرقام، کما وصفه معاصره فی (نر 4- ص 78)</w:t>
      </w:r>
    </w:p>
    <w:p>
      <w:pPr>
        <w:pStyle w:val="Heading3"/>
      </w:pPr>
      <w:bookmarkStart w:id="3147" w:name="_Toc1843"/>
      <w:r>
        <w:t>دیوان حسن تاریخی أو شعره‏</w:t>
      </w:r>
      <w:bookmarkEnd w:id="3147"/>
    </w:p>
    <w:p>
      <w:pPr>
        <w:pStyle w:val="BookText"/>
      </w:pPr>
      <w:r>
        <w:rPr>
          <w:rFonts w:ascii="IRNazanin" w:hAnsi="IRNazanin" w:eastAsia="IRNazanin" w:cs="IRNazanin"/>
          <w:lang w:bidi="fa-IR"/>
          <w:color w:val="111111"/>
          <w:sz w:val="28"/>
          <w:szCs w:val="28"/>
          <w:rtl/>
        </w:rPr>
        <w:t xml:space="preserve">و هو من شعراء القرن التاسع سمی بذلک لکثرة نظمه التواریخ أورد تاریخه المنظوم لوفاة بابر شاه فی (نر 13- ص 469)</w:t>
      </w:r>
    </w:p>
    <w:p>
      <w:pPr>
        <w:pStyle w:val="Heading3"/>
      </w:pPr>
      <w:bookmarkStart w:id="3148" w:name="_Toc1844"/>
      <w:r>
        <w:t>دیوان حسن ترک‏</w:t>
      </w:r>
      <w:bookmarkEnd w:id="3148"/>
    </w:p>
    <w:p>
      <w:pPr>
        <w:pStyle w:val="BookText"/>
      </w:pPr>
      <w:r>
        <w:rPr>
          <w:rFonts w:ascii="IRNazanin" w:hAnsi="IRNazanin" w:eastAsia="IRNazanin" w:cs="IRNazanin"/>
          <w:lang w:bidi="fa-IR"/>
          <w:color w:val="111111"/>
          <w:sz w:val="28"/>
          <w:szCs w:val="28"/>
          <w:rtl/>
        </w:rPr>
        <w:t xml:space="preserve">الملقب من الشاه عباس بسگ‏لوند کما فی (تش- ص 12) و لعله الآتی بعنوان گرامی ترک کما فی (نر 9- ص 289)</w:t>
      </w:r>
    </w:p>
    <w:p>
      <w:pPr>
        <w:pStyle w:val="Heading3"/>
      </w:pPr>
      <w:bookmarkStart w:id="3149" w:name="_Toc1845"/>
      <w:r>
        <w:t>دیوان حسن تکلو</w:t>
      </w:r>
      <w:bookmarkEnd w:id="3149"/>
    </w:p>
    <w:p>
      <w:pPr>
        <w:pStyle w:val="BookText"/>
      </w:pPr>
      <w:r>
        <w:rPr>
          <w:rFonts w:ascii="IRNazanin" w:hAnsi="IRNazanin" w:eastAsia="IRNazanin" w:cs="IRNazanin"/>
          <w:lang w:bidi="fa-IR"/>
          <w:color w:val="111111"/>
          <w:sz w:val="28"/>
          <w:szCs w:val="28"/>
          <w:rtl/>
        </w:rPr>
        <w:t xml:space="preserve">راجع دیوان ثانی المذکور فی (ص 183) أورد شعره فی (روشن- ص 172)</w:t>
      </w:r>
    </w:p>
    <w:p>
      <w:pPr>
        <w:pStyle w:val="Heading3"/>
      </w:pPr>
      <w:bookmarkStart w:id="3150" w:name="_Toc1846"/>
      <w:r>
        <w:t>دیوان حسن چپ دست أو شعره‏</w:t>
      </w:r>
      <w:bookmarkEnd w:id="3150"/>
    </w:p>
    <w:p>
      <w:pPr>
        <w:pStyle w:val="BookText"/>
      </w:pPr>
      <w:r>
        <w:rPr>
          <w:rFonts w:ascii="IRNazanin" w:hAnsi="IRNazanin" w:eastAsia="IRNazanin" w:cs="IRNazanin"/>
          <w:lang w:bidi="fa-IR"/>
          <w:color w:val="111111"/>
          <w:sz w:val="28"/>
          <w:szCs w:val="28"/>
          <w:rtl/>
        </w:rPr>
        <w:t xml:space="preserve">أورد شعره فی (روشن- ص 172)</w:t>
      </w:r>
    </w:p>
    <w:p>
      <w:pPr>
        <w:pStyle w:val="Heading3"/>
      </w:pPr>
      <w:bookmarkStart w:id="3151" w:name="_Toc1847"/>
      <w:r>
        <w:t>دیوان حسن حکاک آذربایجانی أو شعره‏</w:t>
      </w:r>
      <w:bookmarkEnd w:id="3151"/>
    </w:p>
    <w:p>
      <w:pPr>
        <w:pStyle w:val="BookText"/>
      </w:pPr>
      <w:r>
        <w:rPr>
          <w:rFonts w:ascii="IRNazanin" w:hAnsi="IRNazanin" w:eastAsia="IRNazanin" w:cs="IRNazanin"/>
          <w:lang w:bidi="fa-IR"/>
          <w:color w:val="111111"/>
          <w:sz w:val="28"/>
          <w:szCs w:val="28"/>
          <w:rtl/>
        </w:rPr>
        <w:t xml:space="preserve">من شعراء القرن الثالث عشر و شعره ترکی أورد ترجمته فی (دجا- ص 115) عن حدیقة الشعراء و یأتی دیوان الحکاک‏</w:t>
      </w:r>
    </w:p>
    <w:p>
      <w:pPr>
        <w:pStyle w:val="Heading3"/>
      </w:pPr>
      <w:bookmarkStart w:id="3152" w:name="_Toc1848"/>
      <w:r>
        <w:t>1468- دیوان الحسن الحلی‏</w:t>
      </w:r>
      <w:bookmarkEnd w:id="3152"/>
    </w:p>
    <w:p>
      <w:pPr>
        <w:pStyle w:val="BookText"/>
      </w:pPr>
      <w:r>
        <w:rPr>
          <w:rFonts w:ascii="IRNazanin" w:hAnsi="IRNazanin" w:eastAsia="IRNazanin" w:cs="IRNazanin"/>
          <w:lang w:bidi="fa-IR"/>
          <w:color w:val="111111"/>
          <w:sz w:val="28"/>
          <w:szCs w:val="28"/>
          <w:rtl/>
        </w:rPr>
        <w:t xml:space="preserve">و هو الشیخ حسن بن الشیخ علی بن حمود المعاصر ولد بالنجف (1300) و توفی بالحلة (1335) جمع دیوانه فی ذی القعدة (1330) و منها اللامیة فی 60 بیتا فی رثاء الحسین علیه السلام  و النسخة عند السید محمد حسن الطالقانی فی النجف، و نسخه عند ولد الناظم الشیخ أحمد و أخری بمکتبة (بیت الطریحی)</w:t>
      </w:r>
    </w:p>
    <w:p>
      <w:pPr>
        <w:pStyle w:val="Heading3"/>
      </w:pPr>
      <w:bookmarkStart w:id="3153" w:name="_Toc1849"/>
      <w:r>
        <w:t>1469- دیوان آقا حسن الخراسانی أو شعره‏</w:t>
      </w:r>
      <w:bookmarkEnd w:id="3153"/>
    </w:p>
    <w:p>
      <w:pPr>
        <w:pStyle w:val="BookText"/>
      </w:pPr>
      <w:r>
        <w:rPr>
          <w:rFonts w:ascii="IRNazanin" w:hAnsi="IRNazanin" w:eastAsia="IRNazanin" w:cs="IRNazanin"/>
          <w:lang w:bidi="fa-IR"/>
          <w:color w:val="111111"/>
          <w:sz w:val="28"/>
          <w:szCs w:val="28"/>
          <w:rtl/>
        </w:rPr>
        <w:t xml:space="preserve">و هو حفید الشیخ حسین داود الذی کان من خدام الآستانة الرضویة و قرابة المیرزا جعفر المشهور بسرو قد من أکابر مشهد خراسان ترجمه النصرآبادی فی (نر 5- ص 129) و ذکر أنه جاء إلی أصفهان عازما للرواح إلی الهند لکن سمعت أنه توفی ثم أورد کثیرا من شعره و قال فی روضة الصفا إن اسمه الشیخ حسن داود بن الشیخ محمد داود خادم‏باشی و کلید دار الحضرة</w:t>
      </w:r>
    </w:p>
    <w:p>
      <w:pPr>
        <w:pStyle w:val="Heading3"/>
      </w:pPr>
      <w:bookmarkStart w:id="3154" w:name="_Toc1850"/>
      <w:r>
        <w:t>دیوان حسن خراسانی‏</w:t>
      </w:r>
      <w:bookmarkEnd w:id="3154"/>
    </w:p>
    <w:p>
      <w:pPr>
        <w:pStyle w:val="BookText"/>
      </w:pPr>
      <w:r>
        <w:rPr>
          <w:rFonts w:ascii="IRNazanin" w:hAnsi="IRNazanin" w:eastAsia="IRNazanin" w:cs="IRNazanin"/>
          <w:lang w:bidi="fa-IR"/>
          <w:color w:val="111111"/>
          <w:sz w:val="28"/>
          <w:szCs w:val="28"/>
          <w:rtl/>
        </w:rPr>
        <w:t xml:space="preserve">راجع دیوان رفیع قزوینی‏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38" w:name="pg11704_121718"/>
    <w:bookmarkEnd w:id="238"/>
    <w:p>
      <w:pPr>
        <w:pStyle w:val="Heading3"/>
      </w:pPr>
      <w:bookmarkStart w:id="3155" w:name="_Toc1851"/>
      <w:r>
        <w:t>1470- دیوان حسن دشتی الکبکانی‏</w:t>
      </w:r>
      <w:bookmarkEnd w:id="3155"/>
    </w:p>
    <w:p>
      <w:pPr>
        <w:pStyle w:val="BookText"/>
      </w:pPr>
      <w:r>
        <w:rPr>
          <w:rFonts w:ascii="IRNazanin" w:hAnsi="IRNazanin" w:eastAsia="IRNazanin" w:cs="IRNazanin"/>
          <w:lang w:bidi="fa-IR"/>
          <w:color w:val="111111"/>
          <w:sz w:val="28"/>
          <w:szCs w:val="28"/>
          <w:rtl/>
        </w:rPr>
        <w:t xml:space="preserve">فارسی توجد نسخته فی دشتستان‏</w:t>
      </w:r>
    </w:p>
    <w:p>
      <w:pPr>
        <w:pStyle w:val="Heading3"/>
      </w:pPr>
      <w:bookmarkStart w:id="3156" w:name="_Toc1852"/>
      <w:r>
        <w:t>1471- دیوان حسن دهلوی أو شعره‏</w:t>
      </w:r>
      <w:bookmarkEnd w:id="3156"/>
    </w:p>
    <w:p>
      <w:pPr>
        <w:pStyle w:val="BookText"/>
      </w:pPr>
      <w:r>
        <w:rPr>
          <w:rFonts w:ascii="IRNazanin" w:hAnsi="IRNazanin" w:eastAsia="IRNazanin" w:cs="IRNazanin"/>
          <w:lang w:bidi="fa-IR"/>
          <w:color w:val="111111"/>
          <w:sz w:val="28"/>
          <w:szCs w:val="28"/>
          <w:rtl/>
        </w:rPr>
        <w:t xml:space="preserve">للمولوی محمد حسن علی الماهلی من أحفاد الشاه فتح الله تلمذ علی الملا محمد عمر فی بنارس (الهند) و درس فی مدارس مدرس، و مات (1258) أورد شعره فی (گلشن- ص 134)</w:t>
      </w:r>
    </w:p>
    <w:p>
      <w:pPr>
        <w:pStyle w:val="Heading3"/>
      </w:pPr>
      <w:bookmarkStart w:id="3157" w:name="_Toc1853"/>
      <w:r>
        <w:t>1472- دیوان حسن دهلوی‏</w:t>
      </w:r>
      <w:bookmarkEnd w:id="3157"/>
    </w:p>
    <w:p>
      <w:pPr>
        <w:pStyle w:val="BookText"/>
      </w:pPr>
      <w:r>
        <w:rPr>
          <w:rFonts w:ascii="IRNazanin" w:hAnsi="IRNazanin" w:eastAsia="IRNazanin" w:cs="IRNazanin"/>
          <w:lang w:bidi="fa-IR"/>
          <w:color w:val="111111"/>
          <w:sz w:val="28"/>
          <w:szCs w:val="28"/>
          <w:rtl/>
        </w:rPr>
        <w:t xml:space="preserve">و اسمه الحسن بن علی الدهلوی السنجری الملقب بنجم الدین و المتخلص بحسن معاصر أمیر خسرو الدهلوی و محبوبه، و کانا کلاهما مریدی نظام الدین أولیاء و کان حسن شاعرا عارفا خطاطا قال فی النفحات (ص 549): له عدة دواوین و له فرائد الفوائد و مات حسن ببلدة دیوگر بالهند فی (727) أو (731) کما فی شاهد صادق و (تغ- ص 43) و ترجمه فی (لت 4) و مجالس العشاق (المجلس 34) و (بهش 1 ص 357) و (مع 1 ص 196) و (تش ص 346) و مرآة الخیال (ص 48) و تذکره خوش‏گو و هفت إقلیم و قد رأی سنگلاخ کتابه فرائد الفوائد بخط علی رضا عباسی فذکره فی (امتحان الفضلاء- ج 1- ص 237) توجد نسخ دیوانه عند محمد آقا النخجوانی و (سپهسالار) فیها (6400 بیت) و (المشکاة) فیها (6000 بیت) و أکثرها فی مدائح علاء الدین فیروز (محمد شاه) کما فی فهرس کتابخانه دانشگاه لابنی (ج 2 ص 53)</w:t>
      </w:r>
    </w:p>
    <w:p>
      <w:pPr>
        <w:pStyle w:val="Heading3"/>
      </w:pPr>
      <w:bookmarkStart w:id="3158" w:name="_Toc1854"/>
      <w:r>
        <w:t>1473- دیوان المولی حسن الدیلمانی الگیلانی‏</w:t>
      </w:r>
      <w:bookmarkEnd w:id="3158"/>
    </w:p>
    <w:p>
      <w:pPr>
        <w:pStyle w:val="BookText"/>
      </w:pPr>
      <w:r>
        <w:rPr>
          <w:rFonts w:ascii="IRNazanin" w:hAnsi="IRNazanin" w:eastAsia="IRNazanin" w:cs="IRNazanin"/>
          <w:lang w:bidi="fa-IR"/>
          <w:color w:val="111111"/>
          <w:sz w:val="28"/>
          <w:szCs w:val="28"/>
          <w:rtl/>
        </w:rPr>
        <w:t xml:space="preserve">الحکیم الصوفی المدرس فی الجامع الکبیر العباسی بأصفهان الماهر فی العلوم الحکمیة المحب لزمرة الحکماء و الصوفیة و الذاب عنهم. توفی بعد ما اختل دماغه فی هذه الأعصار. ترجمه کذلک صاحب الریاض ثم ذکر ولده العالم الصالح الفاضل الکامل المولی محمد حسین، و قال إنه شریکنا فی القراءة علی الأستاد الاستناد (المجلسی) أقول مراده المولی حسین الدیلمانی اللنبانی (بالنون بعدها ألباء الموحدة) الذی ترجمه فی (روضات الجنات ص 198) و والده المولی حسن ترجمه النصرآبادی فی (نر 6- ص 157) بعنوان المولی حسن الگیلانی و أطرأه و أورد بعض رباعیاته.</w:t>
      </w:r>
    </w:p>
    <w:p>
      <w:pPr>
        <w:pStyle w:val="Heading3"/>
      </w:pPr>
      <w:bookmarkStart w:id="3159" w:name="_Toc1855"/>
      <w:r>
        <w:t>دیوان حسن ذو القدر</w:t>
      </w:r>
      <w:bookmarkEnd w:id="3159"/>
    </w:p>
    <w:p>
      <w:pPr>
        <w:pStyle w:val="BookText"/>
      </w:pPr>
      <w:r>
        <w:rPr>
          <w:rFonts w:ascii="IRNazanin" w:hAnsi="IRNazanin" w:eastAsia="IRNazanin" w:cs="IRNazanin"/>
          <w:lang w:bidi="fa-IR"/>
          <w:color w:val="111111"/>
          <w:sz w:val="28"/>
          <w:szCs w:val="28"/>
          <w:rtl/>
        </w:rPr>
        <w:t xml:space="preserve">مر بعنوان أنسی أصفهانی.</w:t>
      </w:r>
    </w:p>
    <w:p>
      <w:pPr>
        <w:pStyle w:val="Heading3"/>
      </w:pPr>
      <w:bookmarkStart w:id="3160" w:name="_Toc1856"/>
      <w:r>
        <w:t>دیوان الحسن السبیتی‏</w:t>
      </w:r>
      <w:bookmarkEnd w:id="3160"/>
    </w:p>
    <w:p>
      <w:pPr>
        <w:pStyle w:val="BookText"/>
      </w:pPr>
      <w:r>
        <w:rPr>
          <w:rFonts w:ascii="IRNazanin" w:hAnsi="IRNazanin" w:eastAsia="IRNazanin" w:cs="IRNazanin"/>
          <w:lang w:bidi="fa-IR"/>
          <w:color w:val="111111"/>
          <w:sz w:val="28"/>
          <w:szCs w:val="28"/>
          <w:rtl/>
        </w:rPr>
        <w:t xml:space="preserve">راجع السبیتی.</w:t>
      </w:r>
    </w:p>
    <w:p>
      <w:pPr>
        <w:pStyle w:val="Heading3"/>
      </w:pPr>
      <w:bookmarkStart w:id="3161" w:name="_Toc1857"/>
      <w:r>
        <w:t>1474- دیوان حسن سرابی‏</w:t>
      </w:r>
      <w:bookmarkEnd w:id="3161"/>
    </w:p>
    <w:p>
      <w:pPr>
        <w:pStyle w:val="BookText"/>
      </w:pPr>
      <w:r>
        <w:rPr>
          <w:rFonts w:ascii="IRNazanin" w:hAnsi="IRNazanin" w:eastAsia="IRNazanin" w:cs="IRNazanin"/>
          <w:lang w:bidi="fa-IR"/>
          <w:color w:val="111111"/>
          <w:sz w:val="28"/>
          <w:szCs w:val="28"/>
          <w:rtl/>
        </w:rPr>
        <w:t xml:space="preserve">و أشعاره معروفة عند العامة بآذربایجان. و له منظومة فی مراثی الأئمة. ترجمه فی (دجا- ص 115) عن حدیقة الشعراء.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39" w:name="pg11704_121719"/>
    <w:bookmarkEnd w:id="239"/>
    <w:p>
      <w:pPr>
        <w:pStyle w:val="Heading3"/>
      </w:pPr>
      <w:bookmarkStart w:id="3162" w:name="_Toc1858"/>
      <w:r>
        <w:t>1475- دیوان حسن سندی أو شعره‏</w:t>
      </w:r>
      <w:bookmarkEnd w:id="3162"/>
    </w:p>
    <w:p>
      <w:pPr>
        <w:pStyle w:val="BookText"/>
      </w:pPr>
      <w:r>
        <w:rPr>
          <w:rFonts w:ascii="IRNazanin" w:hAnsi="IRNazanin" w:eastAsia="IRNazanin" w:cs="IRNazanin"/>
          <w:lang w:bidi="fa-IR"/>
          <w:color w:val="111111"/>
          <w:sz w:val="28"/>
          <w:szCs w:val="28"/>
          <w:rtl/>
        </w:rPr>
        <w:t xml:space="preserve">کان ببنارس الهند. أورد شعره فی (گلشن- ص 132) عن تذکره نشتر عشق.</w:t>
      </w:r>
    </w:p>
    <w:p>
      <w:pPr>
        <w:pStyle w:val="Heading3"/>
      </w:pPr>
      <w:bookmarkStart w:id="3163" w:name="_Toc1859"/>
      <w:r>
        <w:t>1476- دیوان حسن شاملو</w:t>
      </w:r>
      <w:bookmarkEnd w:id="3163"/>
    </w:p>
    <w:p>
      <w:pPr>
        <w:pStyle w:val="BookText"/>
      </w:pPr>
      <w:r>
        <w:rPr>
          <w:rFonts w:ascii="IRNazanin" w:hAnsi="IRNazanin" w:eastAsia="IRNazanin" w:cs="IRNazanin"/>
          <w:lang w:bidi="fa-IR"/>
          <w:color w:val="111111"/>
          <w:sz w:val="28"/>
          <w:szCs w:val="28"/>
          <w:rtl/>
        </w:rPr>
        <w:t xml:space="preserve">و هو الحسن خان بن حسین خان. قال معاصره النصرآبادی فی (نر 2- ص 20): رأیت دیوانه و هو یقرب من ثلاثة آلاف بیت، و قال فی (تش- ص 12) إنه کان حاکم هرات فی عهد الشاه عباس الأول و کان خطاطا، وصفه بصاحب السیف و القلم. و قال فی نمونه خطوط خوش نستعلیق إنه مات (1052) (ص 148) و کذا فی (روشن ص 172) و فی (تغ ص 43) أنه مات (1100). و قال فی امتحان الفضلاء (ج 2- ص 40) إن الخطاطین یعبرون عن حسن شاملو و الحسن الکرمانی بالحسنین تم ترجمه مستقلا فی (ج 2- ص 235- 250). و راجع سگ‏لوند ص 454 رقم 2613.</w:t>
      </w:r>
    </w:p>
    <w:p>
      <w:pPr>
        <w:pStyle w:val="Heading3"/>
      </w:pPr>
      <w:bookmarkStart w:id="3164" w:name="_Toc1860"/>
      <w:r>
        <w:t>1477- دیوان حسن طهرانی أو شعره‏</w:t>
      </w:r>
      <w:bookmarkEnd w:id="3164"/>
    </w:p>
    <w:p>
      <w:pPr>
        <w:pStyle w:val="BookText"/>
      </w:pPr>
      <w:r>
        <w:rPr>
          <w:rFonts w:ascii="IRNazanin" w:hAnsi="IRNazanin" w:eastAsia="IRNazanin" w:cs="IRNazanin"/>
          <w:lang w:bidi="fa-IR"/>
          <w:color w:val="111111"/>
          <w:sz w:val="28"/>
          <w:szCs w:val="28"/>
          <w:rtl/>
        </w:rPr>
        <w:t xml:space="preserve">و اسمه حسن بیک. أورد شعره فی (نر 6- ص 206) و قال ذهب إلی أصفهان لتحصیل العلم و سکن مدرسة جده ثم رجع. و لیس هو تاج الدین حسن الرازی تلمیذ ملا میرزا جان الشیرازی المذکور فی (تغ- ص 44).</w:t>
      </w:r>
    </w:p>
    <w:p>
      <w:pPr>
        <w:pStyle w:val="Heading3"/>
      </w:pPr>
      <w:bookmarkStart w:id="3165" w:name="_Toc1861"/>
      <w:r>
        <w:t>1478- دیوان المولی حسن علی‏</w:t>
      </w:r>
      <w:bookmarkEnd w:id="3165"/>
    </w:p>
    <w:p>
      <w:pPr>
        <w:pStyle w:val="BookText"/>
      </w:pPr>
      <w:r>
        <w:rPr>
          <w:rFonts w:ascii="IRNazanin" w:hAnsi="IRNazanin" w:eastAsia="IRNazanin" w:cs="IRNazanin"/>
          <w:lang w:bidi="fa-IR"/>
          <w:color w:val="111111"/>
          <w:sz w:val="28"/>
          <w:szCs w:val="28"/>
          <w:rtl/>
        </w:rPr>
        <w:t xml:space="preserve">ابن المولی عبد الله التستری نزیل أصفهان، مؤلف کتاب التبیان فی الفقه المذکور فی (ج 3 ص 332) و حاشیة قواعد الشهید المذکورة فی (ج 6- ص 173) ترجمه فی السلافة مختصرا فی ذیل ترجمه أبیه و أرخ وفاته بسنة (1069) لکن فی تاریخ الخاتون‏آبادی أرخ وفاته بسنة (1075) و هو الأصح لأنه یظهر من بعض الإجازات حیاته فی (1070) و ترجمه النصرآبادی فی (نر 6- ص 154) و أورد عدة من رباعیاته و من شعره:</w:t>
      </w:r>
    </w:p>
    <w:p>
      <w:pPr>
        <w:pStyle w:val="BookText"/>
      </w:pPr>
      <w:r>
        <w:rPr>
          <w:rFonts w:ascii="IRNazanin" w:hAnsi="IRNazanin" w:eastAsia="IRNazanin" w:cs="IRNazanin"/>
          <w:lang w:bidi="fa-IR"/>
          <w:color w:val="111111"/>
          <w:sz w:val="28"/>
          <w:szCs w:val="28"/>
          <w:rtl/>
        </w:rPr>
        <w:t xml:space="preserve">دور شو از آنکه مردود بزرگان می‏شود</w:t>
      </w:r>
    </w:p>
    <w:p>
      <w:pPr>
        <w:pStyle w:val="BookText"/>
      </w:pPr>
      <w:r>
        <w:rPr>
          <w:rFonts w:ascii="IRNazanin" w:hAnsi="IRNazanin" w:eastAsia="IRNazanin" w:cs="IRNazanin"/>
          <w:lang w:bidi="fa-IR"/>
          <w:color w:val="111111"/>
          <w:sz w:val="28"/>
          <w:szCs w:val="28"/>
          <w:rtl/>
        </w:rPr>
        <w:t xml:space="preserve">کوچه بأید داد سنگی را که می‏غلطد ز کوه‏</w:t>
      </w:r>
    </w:p>
    <w:p>
      <w:pPr>
        <w:pStyle w:val="BookText"/>
      </w:pPr>
      <w:r>
        <w:rPr>
          <w:rFonts w:ascii="IRNazanin" w:hAnsi="IRNazanin" w:eastAsia="IRNazanin" w:cs="IRNazanin"/>
          <w:lang w:bidi="fa-IR"/>
          <w:color w:val="111111"/>
          <w:sz w:val="28"/>
          <w:szCs w:val="28"/>
          <w:rtl/>
        </w:rPr>
        <w:t xml:space="preserve">و أورد شعره فی (گلشن- ص 132) و (تغ- ص 44).</w:t>
      </w:r>
    </w:p>
    <w:p>
      <w:pPr>
        <w:pStyle w:val="Heading3"/>
      </w:pPr>
      <w:bookmarkStart w:id="3166" w:name="_Toc1862"/>
      <w:r>
        <w:t>1479- دیوان حسن علی معمایی أو شعره‏</w:t>
      </w:r>
      <w:bookmarkEnd w:id="3166"/>
    </w:p>
    <w:p>
      <w:pPr>
        <w:pStyle w:val="BookText"/>
      </w:pPr>
      <w:r>
        <w:rPr>
          <w:rFonts w:ascii="IRNazanin" w:hAnsi="IRNazanin" w:eastAsia="IRNazanin" w:cs="IRNazanin"/>
          <w:lang w:bidi="fa-IR"/>
          <w:color w:val="111111"/>
          <w:sz w:val="28"/>
          <w:szCs w:val="28"/>
          <w:rtl/>
        </w:rPr>
        <w:t xml:space="preserve">من أقرباء دوست محمد. أورد شعره فی (قز مج 3- ص 252).</w:t>
      </w:r>
    </w:p>
    <w:p>
      <w:pPr>
        <w:pStyle w:val="Heading3"/>
      </w:pPr>
      <w:bookmarkStart w:id="3167" w:name="_Toc1863"/>
      <w:r>
        <w:t>1480- دیوان میرزا حسن علی النصرآبادی‏</w:t>
      </w:r>
      <w:bookmarkEnd w:id="3167"/>
    </w:p>
    <w:p>
      <w:pPr>
        <w:pStyle w:val="BookText"/>
      </w:pPr>
      <w:r>
        <w:rPr>
          <w:rFonts w:ascii="IRNazanin" w:hAnsi="IRNazanin" w:eastAsia="IRNazanin" w:cs="IRNazanin"/>
          <w:lang w:bidi="fa-IR"/>
          <w:color w:val="111111"/>
          <w:sz w:val="28"/>
          <w:szCs w:val="28"/>
          <w:rtl/>
        </w:rPr>
        <w:t xml:space="preserve">ترجمه النصرآبادی فی (نر 12 و 13 ص 451 و 485) و ذکر أنه کان مصافیا مع الشیخ البهائی و معاشرا معه بحیث ینزل الشیخ فی داره کثیرا. قال و کان والدی ابن أخته. و أورد بعض رباعیاته و بعض قصیدته فی مدح الأمیر علیه السلام .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40" w:name="pg11704_121720"/>
    <w:bookmarkEnd w:id="240"/>
    <w:p>
      <w:pPr>
        <w:pStyle w:val="Heading3"/>
      </w:pPr>
      <w:bookmarkStart w:id="3168" w:name="_Toc1864"/>
      <w:r>
        <w:t>1481- دیوان حسن غزنوی‏</w:t>
      </w:r>
      <w:bookmarkEnd w:id="3168"/>
    </w:p>
    <w:p>
      <w:pPr>
        <w:pStyle w:val="BookText"/>
      </w:pPr>
      <w:r>
        <w:rPr>
          <w:rFonts w:ascii="IRNazanin" w:hAnsi="IRNazanin" w:eastAsia="IRNazanin" w:cs="IRNazanin"/>
          <w:lang w:bidi="fa-IR"/>
          <w:color w:val="111111"/>
          <w:sz w:val="28"/>
          <w:szCs w:val="28"/>
          <w:rtl/>
        </w:rPr>
        <w:t xml:space="preserve">و هو مفخر اللسانین و ذو الشهادتین الأشرف أبو محمد الحسن بن محمد الحسینی کما وصفه أبو الحسن البیهقی فی لباب الأنساب المؤلفة (555) و الراوندی فی راحة الصدور. و لکن جامع دیوانه الذی یدعی أنه تلمذ علیه وصفه فی أول الدیوان هکذا: ذو الشهادتین أبو العلی (یعلی) حسن بن أحمد الحسینی الغزنوی. ..</w:t>
      </w:r>
    </w:p>
    <w:p>
      <w:pPr>
        <w:pStyle w:val="BookText"/>
      </w:pPr>
      <w:r>
        <w:rPr>
          <w:rFonts w:ascii="IRNazanin" w:hAnsi="IRNazanin" w:eastAsia="IRNazanin" w:cs="IRNazanin"/>
          <w:lang w:bidi="fa-IR"/>
          <w:color w:val="111111"/>
          <w:sz w:val="28"/>
          <w:szCs w:val="28"/>
          <w:rtl/>
        </w:rPr>
        <w:t xml:space="preserve">ثم إن العوفی فی لباب الألباب خلط بینه و بین حسن الغزنوی جمال الدین و سمی والده ناصر العلوی و سری الغلط منه إلی أصحاب التذاکر بعده مثل تاریخ گزیده (ص 817) و (لت- 2) و (تش- ص 101) و هفت إقلیم و مجمع الفصحاء. قال جامع الدیوان: إن حسن الغزنوی وصاه عند الوفاة بجمع دیوانه باسم الأمیر محمود و بما أن هذا الأمیر جلس (552) و مات (557) فیظهر أن الدیوان جمع قبل التاریخ. و کذا یظهر أن وفاة السید حسن کان أیضا قبل التاریخ، فما فی خلاصة الأشعار و عنه فی (مع 1: 192) أنه مات (565) فلیس بصحیح. و قال بعضهم مات (535 أو 536) و الصحیح ما ذکره البیهقی فی لباب الأنساب من أنه مات (548). طبع الدیوان علی عدة نسخ بطهران بتصحیح السید محمد تقی المدرس الرضوی فی (348 ص) مع مقدمه فی أحواله فی (72 ص) و ضمیمة فیها تصحیحات دهخدا و فروزانفر للدیوان فی (34 ص).</w:t>
      </w:r>
    </w:p>
    <w:p>
      <w:pPr>
        <w:pStyle w:val="Heading3"/>
      </w:pPr>
      <w:bookmarkStart w:id="3169" w:name="_Toc1865"/>
      <w:r>
        <w:t>1482- دیوان حسن غزنوی أو شعره‏</w:t>
      </w:r>
      <w:bookmarkEnd w:id="3169"/>
    </w:p>
    <w:p>
      <w:pPr>
        <w:pStyle w:val="BookText"/>
      </w:pPr>
      <w:r>
        <w:rPr>
          <w:rFonts w:ascii="IRNazanin" w:hAnsi="IRNazanin" w:eastAsia="IRNazanin" w:cs="IRNazanin"/>
          <w:lang w:bidi="fa-IR"/>
          <w:color w:val="111111"/>
          <w:sz w:val="28"/>
          <w:szCs w:val="28"/>
          <w:rtl/>
        </w:rPr>
        <w:t xml:space="preserve">قال المدرس الرضوی فی مقدمه طبع دیوان حسن غزنوی أشرف: هو السید جمال الدین حسن بن ناصر العلوی أخ السید محمد بن ناصر العلوی أخ السید محمد بن ناصر. و قد مدحهما السنائی فی کارنامه بلخ فقال:</w:t>
      </w:r>
    </w:p>
    <w:p>
      <w:pPr>
        <w:pStyle w:val="BookText"/>
      </w:pPr>
      <w:r>
        <w:rPr>
          <w:rFonts w:ascii="IRNazanin" w:hAnsi="IRNazanin" w:eastAsia="IRNazanin" w:cs="IRNazanin"/>
          <w:lang w:bidi="fa-IR"/>
          <w:color w:val="111111"/>
          <w:sz w:val="28"/>
          <w:szCs w:val="28"/>
          <w:rtl/>
        </w:rPr>
        <w:t xml:space="preserve">شرف الدین محمد ناصر</w:t>
      </w:r>
    </w:p>
    <w:p>
      <w:pPr>
        <w:pStyle w:val="BookText"/>
      </w:pPr>
      <w:r>
        <w:rPr>
          <w:rFonts w:ascii="IRNazanin" w:hAnsi="IRNazanin" w:eastAsia="IRNazanin" w:cs="IRNazanin"/>
          <w:lang w:bidi="fa-IR"/>
          <w:color w:val="111111"/>
          <w:sz w:val="28"/>
          <w:szCs w:val="28"/>
          <w:rtl/>
        </w:rPr>
        <w:t xml:space="preserve">عقل از أو کند و وهم از و قاصر</w:t>
      </w:r>
    </w:p>
    <w:p>
      <w:pPr>
        <w:pStyle w:val="BookText"/>
      </w:pPr>
      <w:r>
        <w:rPr>
          <w:rFonts w:ascii="IRNazanin" w:hAnsi="IRNazanin" w:eastAsia="IRNazanin" w:cs="IRNazanin"/>
          <w:lang w:bidi="fa-IR"/>
          <w:color w:val="111111"/>
          <w:sz w:val="28"/>
          <w:szCs w:val="28"/>
          <w:rtl/>
        </w:rPr>
        <w:t xml:space="preserve">شاخ دیگر جمال دین حسنی‏</w:t>
      </w:r>
    </w:p>
    <w:p>
      <w:pPr>
        <w:pStyle w:val="BookText"/>
      </w:pPr>
      <w:r>
        <w:rPr>
          <w:rFonts w:ascii="IRNazanin" w:hAnsi="IRNazanin" w:eastAsia="IRNazanin" w:cs="IRNazanin"/>
          <w:lang w:bidi="fa-IR"/>
          <w:color w:val="111111"/>
          <w:sz w:val="28"/>
          <w:szCs w:val="28"/>
          <w:rtl/>
        </w:rPr>
        <w:t xml:space="preserve">که چو نام خود از نکو سخنی‏</w:t>
      </w:r>
    </w:p>
    <w:p>
      <w:pPr>
        <w:pStyle w:val="BookText"/>
      </w:pPr>
      <w:r>
        <w:rPr>
          <w:rFonts w:ascii="IRNazanin" w:hAnsi="IRNazanin" w:eastAsia="IRNazanin" w:cs="IRNazanin"/>
          <w:lang w:bidi="fa-IR"/>
          <w:color w:val="111111"/>
          <w:sz w:val="28"/>
          <w:szCs w:val="28"/>
          <w:rtl/>
        </w:rPr>
        <w:t xml:space="preserve">هر کجا هست شاعر علوی‏</w:t>
      </w:r>
    </w:p>
    <w:p>
      <w:pPr>
        <w:pStyle w:val="BookText"/>
      </w:pPr>
      <w:r>
        <w:rPr>
          <w:rFonts w:ascii="IRNazanin" w:hAnsi="IRNazanin" w:eastAsia="IRNazanin" w:cs="IRNazanin"/>
          <w:lang w:bidi="fa-IR"/>
          <w:color w:val="111111"/>
          <w:sz w:val="28"/>
          <w:szCs w:val="28"/>
          <w:rtl/>
        </w:rPr>
        <w:t xml:space="preserve">أو چو صدر است و دیگران چو روی‏</w:t>
      </w:r>
    </w:p>
    <w:p>
      <w:pPr>
        <w:pStyle w:val="BookText"/>
      </w:pPr>
      <w:r>
        <w:rPr>
          <w:rFonts w:ascii="IRNazanin" w:hAnsi="IRNazanin" w:eastAsia="IRNazanin" w:cs="IRNazanin"/>
          <w:lang w:bidi="fa-IR"/>
          <w:color w:val="111111"/>
          <w:sz w:val="28"/>
          <w:szCs w:val="28"/>
          <w:rtl/>
        </w:rPr>
        <w:t xml:space="preserve">. و قد اخترم قبل الثلاثین من عمره قبل سنة (500) فرثاه مسعود سعد سلمان بقصیدة قال فیها:</w:t>
      </w:r>
    </w:p>
    <w:p>
      <w:pPr>
        <w:pStyle w:val="BookText"/>
      </w:pPr>
      <w:r>
        <w:rPr>
          <w:rFonts w:ascii="IRNazanin" w:hAnsi="IRNazanin" w:eastAsia="IRNazanin" w:cs="IRNazanin"/>
          <w:lang w:bidi="fa-IR"/>
          <w:color w:val="111111"/>
          <w:sz w:val="28"/>
          <w:szCs w:val="28"/>
          <w:rtl/>
        </w:rPr>
        <w:t xml:space="preserve">بر تو سید حسن دلم سوزد</w:t>
      </w:r>
    </w:p>
    <w:p>
      <w:pPr>
        <w:pStyle w:val="BookText"/>
      </w:pPr>
      <w:r>
        <w:rPr>
          <w:rFonts w:ascii="IRNazanin" w:hAnsi="IRNazanin" w:eastAsia="IRNazanin" w:cs="IRNazanin"/>
          <w:lang w:bidi="fa-IR"/>
          <w:color w:val="111111"/>
          <w:sz w:val="28"/>
          <w:szCs w:val="28"/>
          <w:rtl/>
        </w:rPr>
        <w:t xml:space="preserve">که چو تو هیچ غمگسار نداشت‏</w:t>
      </w:r>
    </w:p>
    <w:p>
      <w:pPr>
        <w:pStyle w:val="BookText"/>
      </w:pPr>
      <w:r>
        <w:rPr>
          <w:rFonts w:ascii="IRNazanin" w:hAnsi="IRNazanin" w:eastAsia="IRNazanin" w:cs="IRNazanin"/>
          <w:lang w:bidi="fa-IR"/>
          <w:color w:val="111111"/>
          <w:sz w:val="28"/>
          <w:szCs w:val="28"/>
          <w:rtl/>
        </w:rPr>
        <w:t xml:space="preserve">سی نشد سال تو ویحک‏</w:t>
      </w:r>
    </w:p>
    <w:p>
      <w:pPr>
        <w:pStyle w:val="BookText"/>
      </w:pPr>
      <w:r>
        <w:rPr>
          <w:rFonts w:ascii="IRNazanin" w:hAnsi="IRNazanin" w:eastAsia="IRNazanin" w:cs="IRNazanin"/>
          <w:lang w:bidi="fa-IR"/>
          <w:color w:val="111111"/>
          <w:sz w:val="28"/>
          <w:szCs w:val="28"/>
          <w:rtl/>
        </w:rPr>
        <w:t xml:space="preserve">سال زاد تو را شمار نداشت‏</w:t>
      </w:r>
    </w:p>
    <w:p>
      <w:pPr>
        <w:pStyle w:val="BookText"/>
      </w:pPr>
      <w:r>
        <w:rPr>
          <w:rFonts w:ascii="IRNazanin" w:hAnsi="IRNazanin" w:eastAsia="IRNazanin" w:cs="IRNazanin"/>
          <w:lang w:bidi="fa-IR"/>
          <w:color w:val="111111"/>
          <w:sz w:val="28"/>
          <w:szCs w:val="28"/>
          <w:rtl/>
        </w:rPr>
        <w:t xml:space="preserve">و قد خلط العوفی بینه و بین حسن الغزنوی الملقب بأشرف ثم سری الغلط منه إلی التذاکر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41" w:name="pg11704_121721"/>
    <w:bookmarkEnd w:id="241"/>
    <w:p>
      <w:pPr>
        <w:pStyle w:val="BookText"/>
      </w:pPr>
      <w:r>
        <w:rPr>
          <w:rFonts w:ascii="Amiri" w:hAnsi="Amiri" w:eastAsia="Amiri" w:cs="Amiri"/>
          <w:lang w:bidi="ar-SA"/>
          <w:color w:val="111111"/>
          <w:sz w:val="28"/>
          <w:szCs w:val="28"/>
          <w:rtl/>
        </w:rPr>
        <w:t xml:space="preserve">المتأخرة.</w:t>
      </w:r>
    </w:p>
    <w:p>
      <w:pPr>
        <w:pStyle w:val="Heading3"/>
      </w:pPr>
      <w:bookmarkStart w:id="3170" w:name="_Toc1866"/>
      <w:r>
        <w:t>دیوان حسن فراهانی‏</w:t>
      </w:r>
      <w:bookmarkEnd w:id="3170"/>
    </w:p>
    <w:p>
      <w:pPr>
        <w:pStyle w:val="BookText"/>
      </w:pPr>
      <w:r>
        <w:rPr>
          <w:rFonts w:ascii="IRNazanin" w:hAnsi="IRNazanin" w:eastAsia="IRNazanin" w:cs="IRNazanin"/>
          <w:lang w:bidi="fa-IR"/>
          <w:color w:val="111111"/>
          <w:sz w:val="28"/>
          <w:szCs w:val="28"/>
          <w:rtl/>
        </w:rPr>
        <w:t xml:space="preserve">و اسمه أبو الحسن رأی دیوانه آذر بیگدلی فقال فی (تش- ص 230) إنه یقرب من ألفی بیت و أکثر غزلیاته لا تخلص فیه. أقول و قد وقع فیه خلط و قد ذکرناه فی (ص 40) بعنوان أبو الحسن و راجع أیضا جعفر فراهانی فی (ص 196).</w:t>
      </w:r>
    </w:p>
    <w:p>
      <w:pPr>
        <w:pStyle w:val="Heading3"/>
      </w:pPr>
      <w:bookmarkStart w:id="3171" w:name="_Toc1867"/>
      <w:r>
        <w:t>دیوان حسن قزوینی‏</w:t>
      </w:r>
      <w:bookmarkEnd w:id="3171"/>
    </w:p>
    <w:p>
      <w:pPr>
        <w:pStyle w:val="BookText"/>
      </w:pPr>
      <w:r>
        <w:rPr>
          <w:rFonts w:ascii="IRNazanin" w:hAnsi="IRNazanin" w:eastAsia="IRNazanin" w:cs="IRNazanin"/>
          <w:lang w:bidi="fa-IR"/>
          <w:color w:val="111111"/>
          <w:sz w:val="28"/>
          <w:szCs w:val="28"/>
          <w:rtl/>
        </w:rPr>
        <w:t xml:space="preserve">یأتی بعنوان رفیع.</w:t>
      </w:r>
    </w:p>
    <w:p>
      <w:pPr>
        <w:pStyle w:val="Heading3"/>
      </w:pPr>
      <w:bookmarkStart w:id="3172" w:name="_Toc1868"/>
      <w:r>
        <w:t>1483- دیوان حسن قزوینی أو شعره‏</w:t>
      </w:r>
      <w:bookmarkEnd w:id="3172"/>
    </w:p>
    <w:p>
      <w:pPr>
        <w:pStyle w:val="BookText"/>
      </w:pPr>
      <w:r>
        <w:rPr>
          <w:rFonts w:ascii="IRNazanin" w:hAnsi="IRNazanin" w:eastAsia="IRNazanin" w:cs="IRNazanin"/>
          <w:lang w:bidi="fa-IR"/>
          <w:color w:val="111111"/>
          <w:sz w:val="28"/>
          <w:szCs w:val="28"/>
          <w:rtl/>
        </w:rPr>
        <w:t xml:space="preserve">القاضی حسن. کان فی خدمة الأکبر شاه و حاکم گجرات. أورد شعره فی (گلشن- ص 133) و (تغ- ص 44).</w:t>
      </w:r>
    </w:p>
    <w:p>
      <w:pPr>
        <w:pStyle w:val="Heading3"/>
      </w:pPr>
      <w:bookmarkStart w:id="3173" w:name="_Toc1869"/>
      <w:r>
        <w:t>دیوان الحسن القیم‏</w:t>
      </w:r>
      <w:bookmarkEnd w:id="3173"/>
    </w:p>
    <w:p>
      <w:pPr>
        <w:pStyle w:val="BookText"/>
      </w:pPr>
      <w:r>
        <w:rPr>
          <w:rFonts w:ascii="IRNazanin" w:hAnsi="IRNazanin" w:eastAsia="IRNazanin" w:cs="IRNazanin"/>
          <w:lang w:bidi="fa-IR"/>
          <w:color w:val="111111"/>
          <w:sz w:val="28"/>
          <w:szCs w:val="28"/>
          <w:rtl/>
        </w:rPr>
        <w:t xml:space="preserve">راجع دیوان القیم الحلی.</w:t>
      </w:r>
    </w:p>
    <w:p>
      <w:pPr>
        <w:pStyle w:val="Heading3"/>
      </w:pPr>
      <w:bookmarkStart w:id="3174" w:name="_Toc1870"/>
      <w:r>
        <w:t>دیوان حسن کاشی‏</w:t>
      </w:r>
      <w:bookmarkEnd w:id="3174"/>
    </w:p>
    <w:p>
      <w:pPr>
        <w:pStyle w:val="BookText"/>
      </w:pPr>
      <w:r>
        <w:rPr>
          <w:rFonts w:ascii="IRNazanin" w:hAnsi="IRNazanin" w:eastAsia="IRNazanin" w:cs="IRNazanin"/>
          <w:lang w:bidi="fa-IR"/>
          <w:color w:val="111111"/>
          <w:sz w:val="28"/>
          <w:szCs w:val="28"/>
          <w:rtl/>
        </w:rPr>
        <w:t xml:space="preserve">من شعراء عصر خدابنده المغولی. راجع دیوان کاشی.</w:t>
      </w:r>
    </w:p>
    <w:p>
      <w:pPr>
        <w:pStyle w:val="Heading3"/>
      </w:pPr>
      <w:bookmarkStart w:id="3175" w:name="_Toc1871"/>
      <w:r>
        <w:t>1484- دیوان محمد حسن کبة</w:t>
      </w:r>
      <w:bookmarkEnd w:id="3175"/>
    </w:p>
    <w:p>
      <w:pPr>
        <w:pStyle w:val="BookText"/>
      </w:pPr>
      <w:r>
        <w:rPr>
          <w:rFonts w:ascii="IRNazanin" w:hAnsi="IRNazanin" w:eastAsia="IRNazanin" w:cs="IRNazanin"/>
          <w:lang w:bidi="fa-IR"/>
          <w:color w:val="111111"/>
          <w:sz w:val="28"/>
          <w:szCs w:val="28"/>
          <w:rtl/>
        </w:rPr>
        <w:t xml:space="preserve">و هو الفقیه الحاج محمد حسن بن محمد صالح بن مصطفی کبة البغدادی المولود (1269) و المتوفی (9- رمضان- 1336) و دفن بمقبرة والده فی النجف قرب باب الطوسی. له أرجوزة فی ألف بیت باسم الرحلة المکیة نظمها فی (1292) و له قصائد و مقطعات عالیة.</w:t>
      </w:r>
    </w:p>
    <w:p>
      <w:pPr>
        <w:pStyle w:val="Heading3"/>
      </w:pPr>
      <w:bookmarkStart w:id="3176" w:name="_Toc1872"/>
      <w:r>
        <w:t>1485- دیوان حسن گیلانی أو شعره‏</w:t>
      </w:r>
      <w:bookmarkEnd w:id="3176"/>
    </w:p>
    <w:p>
      <w:pPr>
        <w:pStyle w:val="BookText"/>
      </w:pPr>
      <w:r>
        <w:rPr>
          <w:rFonts w:ascii="IRNazanin" w:hAnsi="IRNazanin" w:eastAsia="IRNazanin" w:cs="IRNazanin"/>
          <w:lang w:bidi="fa-IR"/>
          <w:color w:val="111111"/>
          <w:sz w:val="28"/>
          <w:szCs w:val="28"/>
          <w:rtl/>
        </w:rPr>
        <w:t xml:space="preserve">و هو الحکیم حسن. له رسالة ربط الحکمة بالتصوف کما فی (گلشن- ص 133) و قد أطری تصوفه فی (نر 6- ص 157).</w:t>
      </w:r>
    </w:p>
    <w:p>
      <w:pPr>
        <w:pStyle w:val="Heading3"/>
      </w:pPr>
      <w:bookmarkStart w:id="3177" w:name="_Toc1873"/>
      <w:r>
        <w:t>1486- دیوان حسن لکهنوی أو شعره‏</w:t>
      </w:r>
      <w:bookmarkEnd w:id="3177"/>
    </w:p>
    <w:p>
      <w:pPr>
        <w:pStyle w:val="BookText"/>
      </w:pPr>
      <w:r>
        <w:rPr>
          <w:rFonts w:ascii="IRNazanin" w:hAnsi="IRNazanin" w:eastAsia="IRNazanin" w:cs="IRNazanin"/>
          <w:lang w:bidi="fa-IR"/>
          <w:color w:val="111111"/>
          <w:sz w:val="28"/>
          <w:szCs w:val="28"/>
          <w:rtl/>
        </w:rPr>
        <w:t xml:space="preserve">و هو الخواجة حسن بن إبراهیم بن غیاث الدین محمد من أحفاد قطب الدین مودود الچشتی العارف. أورد شعره فی (روشن- ص 172).</w:t>
      </w:r>
    </w:p>
    <w:p>
      <w:pPr>
        <w:pStyle w:val="Heading3"/>
      </w:pPr>
      <w:bookmarkStart w:id="3178" w:name="_Toc1874"/>
      <w:r>
        <w:t>دیوان حسن مال میر</w:t>
      </w:r>
      <w:bookmarkEnd w:id="3178"/>
    </w:p>
    <w:p>
      <w:pPr>
        <w:pStyle w:val="BookText"/>
      </w:pPr>
      <w:r>
        <w:rPr>
          <w:rFonts w:ascii="IRNazanin" w:hAnsi="IRNazanin" w:eastAsia="IRNazanin" w:cs="IRNazanin"/>
          <w:lang w:bidi="fa-IR"/>
          <w:color w:val="111111"/>
          <w:sz w:val="28"/>
          <w:szCs w:val="28"/>
          <w:rtl/>
        </w:rPr>
        <w:t xml:space="preserve">یأتی بعنوان دیوان راهب و راجع واهب أیضا.</w:t>
      </w:r>
    </w:p>
    <w:p>
      <w:pPr>
        <w:pStyle w:val="Heading3"/>
      </w:pPr>
      <w:bookmarkStart w:id="3179" w:name="_Toc1875"/>
      <w:r>
        <w:t>دیوان حسن المهابادی‏</w:t>
      </w:r>
      <w:bookmarkEnd w:id="3179"/>
    </w:p>
    <w:p>
      <w:pPr>
        <w:pStyle w:val="BookText"/>
      </w:pPr>
      <w:r>
        <w:rPr>
          <w:rFonts w:ascii="IRNazanin" w:hAnsi="IRNazanin" w:eastAsia="IRNazanin" w:cs="IRNazanin"/>
          <w:lang w:bidi="fa-IR"/>
          <w:color w:val="111111"/>
          <w:sz w:val="28"/>
          <w:szCs w:val="28"/>
          <w:rtl/>
        </w:rPr>
        <w:t xml:space="preserve">مر بعنوان الحسن بن علی.</w:t>
      </w:r>
    </w:p>
    <w:p>
      <w:pPr>
        <w:pStyle w:val="Heading3"/>
      </w:pPr>
      <w:bookmarkStart w:id="3180" w:name="_Toc1876"/>
      <w:r>
        <w:t>دیوان حسن متکلم‏</w:t>
      </w:r>
      <w:bookmarkEnd w:id="3180"/>
    </w:p>
    <w:p>
      <w:pPr>
        <w:pStyle w:val="BookText"/>
      </w:pPr>
      <w:r>
        <w:rPr>
          <w:rFonts w:ascii="IRNazanin" w:hAnsi="IRNazanin" w:eastAsia="IRNazanin" w:cs="IRNazanin"/>
          <w:lang w:bidi="fa-IR"/>
          <w:color w:val="111111"/>
          <w:sz w:val="28"/>
          <w:szCs w:val="28"/>
          <w:rtl/>
        </w:rPr>
        <w:t xml:space="preserve">راجع حسن نیشابوری.</w:t>
      </w:r>
    </w:p>
    <w:p>
      <w:pPr>
        <w:pStyle w:val="Heading3"/>
      </w:pPr>
      <w:bookmarkStart w:id="3181" w:name="_Toc1877"/>
      <w:r>
        <w:t>1487- دیوان حسن مذهب أو شعره‏</w:t>
      </w:r>
      <w:bookmarkEnd w:id="3181"/>
    </w:p>
    <w:p>
      <w:pPr>
        <w:pStyle w:val="BookText"/>
      </w:pPr>
      <w:r>
        <w:rPr>
          <w:rFonts w:ascii="IRNazanin" w:hAnsi="IRNazanin" w:eastAsia="IRNazanin" w:cs="IRNazanin"/>
          <w:lang w:bidi="fa-IR"/>
          <w:color w:val="111111"/>
          <w:sz w:val="28"/>
          <w:szCs w:val="28"/>
          <w:rtl/>
        </w:rPr>
        <w:t xml:space="preserve">ترجمه و أورد شعره کتاب دار فی (خص 8- ص 257).</w:t>
      </w:r>
    </w:p>
    <w:p>
      <w:pPr>
        <w:pStyle w:val="Heading3"/>
      </w:pPr>
      <w:bookmarkStart w:id="3182" w:name="_Toc1878"/>
      <w:r>
        <w:t>دیوان حسن مشهدی‏</w:t>
      </w:r>
      <w:bookmarkEnd w:id="3182"/>
    </w:p>
    <w:p>
      <w:pPr>
        <w:pStyle w:val="BookText"/>
      </w:pPr>
      <w:r>
        <w:rPr>
          <w:rFonts w:ascii="IRNazanin" w:hAnsi="IRNazanin" w:eastAsia="IRNazanin" w:cs="IRNazanin"/>
          <w:lang w:bidi="fa-IR"/>
          <w:color w:val="111111"/>
          <w:sz w:val="28"/>
          <w:szCs w:val="28"/>
          <w:rtl/>
        </w:rPr>
        <w:t xml:space="preserve">مر بعنوان حسن خراسانی و یأتی آخر بعنوان دیوان رفیع.</w:t>
      </w:r>
    </w:p>
    <w:p>
      <w:pPr>
        <w:pStyle w:val="Heading3"/>
      </w:pPr>
      <w:bookmarkStart w:id="3183" w:name="_Toc1879"/>
      <w:r>
        <w:t>1488- دیوان حسن نهاوندی أو شعره‏</w:t>
      </w:r>
      <w:bookmarkEnd w:id="3183"/>
    </w:p>
    <w:p>
      <w:pPr>
        <w:pStyle w:val="BookText"/>
      </w:pPr>
      <w:r>
        <w:rPr>
          <w:rFonts w:ascii="IRNazanin" w:hAnsi="IRNazanin" w:eastAsia="IRNazanin" w:cs="IRNazanin"/>
          <w:lang w:bidi="fa-IR"/>
          <w:color w:val="111111"/>
          <w:sz w:val="28"/>
          <w:szCs w:val="28"/>
          <w:rtl/>
        </w:rPr>
        <w:t xml:space="preserve">و هو الملا حسن من علماء نهاوند فی أوائل العهد الناصری فی النصف الثانی من القرن الثالث عشر. ترجمه و أورد شعره فی (مع: 2: 93) و (ض- ص 444).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42" w:name="pg11704_121722"/>
    <w:bookmarkEnd w:id="242"/>
    <w:p>
      <w:pPr>
        <w:pStyle w:val="Heading3"/>
      </w:pPr>
      <w:bookmarkStart w:id="3184" w:name="_Toc1880"/>
      <w:r>
        <w:t>1489- دیوان حسن نیشابوری أو شعره‏</w:t>
      </w:r>
      <w:bookmarkEnd w:id="3184"/>
    </w:p>
    <w:p>
      <w:pPr>
        <w:pStyle w:val="BookText"/>
      </w:pPr>
      <w:r>
        <w:rPr>
          <w:rFonts w:ascii="IRNazanin" w:hAnsi="IRNazanin" w:eastAsia="IRNazanin" w:cs="IRNazanin"/>
          <w:lang w:bidi="fa-IR"/>
          <w:color w:val="111111"/>
          <w:sz w:val="28"/>
          <w:szCs w:val="28"/>
          <w:rtl/>
        </w:rPr>
        <w:t xml:space="preserve">و هو المعروف بالمتکلم. ترجمه فی (لت 5) و قال کان تلمیذ المولی مظفر الهروی. و ألف رسالة فی الصنائع البدیعة باسم الملک غیاث الدین کرت و قال فی شاهد صادق إنه مات (771). و أورد فی (مع: 2: ص 14) قصیدته فی مائة و خمسین بیتا. و یظهر من شعره أنه کان ینتسب إلی آل سامان و کذا فی (تغ- ص 43).</w:t>
      </w:r>
    </w:p>
    <w:p>
      <w:pPr>
        <w:pStyle w:val="Heading3"/>
      </w:pPr>
      <w:bookmarkStart w:id="3185" w:name="_Toc1881"/>
      <w:r>
        <w:t>1490- دیوان حسن یزدجردی أو شعره‏</w:t>
      </w:r>
      <w:bookmarkEnd w:id="3185"/>
    </w:p>
    <w:p>
      <w:pPr>
        <w:pStyle w:val="BookText"/>
      </w:pPr>
      <w:r>
        <w:rPr>
          <w:rFonts w:ascii="IRNazanin" w:hAnsi="IRNazanin" w:eastAsia="IRNazanin" w:cs="IRNazanin"/>
          <w:lang w:bidi="fa-IR"/>
          <w:color w:val="111111"/>
          <w:sz w:val="28"/>
          <w:szCs w:val="28"/>
          <w:rtl/>
        </w:rPr>
        <w:t xml:space="preserve">و اسمه حسن بیگ. أورد شعره فی (گلشن- ص 132).</w:t>
      </w:r>
    </w:p>
    <w:p>
      <w:pPr>
        <w:pStyle w:val="Heading3"/>
      </w:pPr>
      <w:bookmarkStart w:id="3186" w:name="_Toc1882"/>
      <w:r>
        <w:t>1491- دیوان حسن یزدی أو شعره‏</w:t>
      </w:r>
      <w:bookmarkEnd w:id="3186"/>
    </w:p>
    <w:p>
      <w:pPr>
        <w:pStyle w:val="BookText"/>
      </w:pPr>
      <w:r>
        <w:rPr>
          <w:rFonts w:ascii="IRNazanin" w:hAnsi="IRNazanin" w:eastAsia="IRNazanin" w:cs="IRNazanin"/>
          <w:lang w:bidi="fa-IR"/>
          <w:color w:val="111111"/>
          <w:sz w:val="28"/>
          <w:szCs w:val="28"/>
          <w:rtl/>
        </w:rPr>
        <w:t xml:space="preserve">لحسن علی أخ العطار الیزدی. سافر إلی مصر و الحجاز و الهند و رجع إلی یزد و مات عن تسعین سنة. أورد شعره فی (تش- ص 260) و (گلشن- ص 133) و (تغ- ص 44).</w:t>
      </w:r>
    </w:p>
    <w:p>
      <w:pPr>
        <w:pStyle w:val="Heading3"/>
      </w:pPr>
      <w:bookmarkStart w:id="3187" w:name="_Toc1883"/>
      <w:r>
        <w:t>1492- دیوان حسنی أصفهانی أو شعره‏</w:t>
      </w:r>
      <w:bookmarkEnd w:id="3187"/>
    </w:p>
    <w:p>
      <w:pPr>
        <w:pStyle w:val="BookText"/>
      </w:pPr>
      <w:r>
        <w:rPr>
          <w:rFonts w:ascii="IRNazanin" w:hAnsi="IRNazanin" w:eastAsia="IRNazanin" w:cs="IRNazanin"/>
          <w:lang w:bidi="fa-IR"/>
          <w:color w:val="111111"/>
          <w:sz w:val="28"/>
          <w:szCs w:val="28"/>
          <w:rtl/>
        </w:rPr>
        <w:t xml:space="preserve">کان معرکة گیرا کما وصفه الصادقی فی (خص 8- ص 259) و ذکر شعره.</w:t>
      </w:r>
    </w:p>
    <w:p>
      <w:pPr>
        <w:pStyle w:val="Heading3"/>
      </w:pPr>
      <w:bookmarkStart w:id="3188" w:name="_Toc1884"/>
      <w:r>
        <w:t>1493- دیوان حسنی کاشانی أو شعره‏</w:t>
      </w:r>
      <w:bookmarkEnd w:id="3188"/>
    </w:p>
    <w:p>
      <w:pPr>
        <w:pStyle w:val="BookText"/>
      </w:pPr>
      <w:r>
        <w:rPr>
          <w:rFonts w:ascii="IRNazanin" w:hAnsi="IRNazanin" w:eastAsia="IRNazanin" w:cs="IRNazanin"/>
          <w:lang w:bidi="fa-IR"/>
          <w:color w:val="111111"/>
          <w:sz w:val="28"/>
          <w:szCs w:val="28"/>
          <w:rtl/>
        </w:rPr>
        <w:t xml:space="preserve">ترجمه سام میرزا فی (تس 5- ص 133).</w:t>
      </w:r>
    </w:p>
    <w:p>
      <w:pPr>
        <w:pStyle w:val="BookText"/>
      </w:pPr>
      <w:r>
        <w:rPr>
          <w:rFonts w:ascii="IRNazanin" w:hAnsi="IRNazanin" w:eastAsia="IRNazanin" w:cs="IRNazanin"/>
          <w:lang w:bidi="fa-IR"/>
          <w:color w:val="111111"/>
          <w:sz w:val="28"/>
          <w:szCs w:val="28"/>
          <w:rtl/>
        </w:rPr>
        <w:t xml:space="preserve">و قال مات بکاشان فی (941) و أورد شعره. و قال فی (تش- ص 242) إنه طباطبائی و سماه میر حسنی، و لکن فی فهرس الأعلام لتذکرة سامی سماه حسینی و کذا فی (گلشن- ص 137) فإنه قال: هو حسینی ابن أخت المیر حیدر المعمائی.</w:t>
      </w:r>
    </w:p>
    <w:p>
      <w:pPr>
        <w:pStyle w:val="Heading3"/>
      </w:pPr>
      <w:bookmarkStart w:id="3189" w:name="_Toc1885"/>
      <w:r>
        <w:t>دیوان حسین‏آشوب‏</w:t>
      </w:r>
      <w:bookmarkEnd w:id="3189"/>
    </w:p>
    <w:p>
      <w:pPr>
        <w:pStyle w:val="BookText"/>
      </w:pPr>
      <w:r>
        <w:rPr>
          <w:rFonts w:ascii="IRNazanin" w:hAnsi="IRNazanin" w:eastAsia="IRNazanin" w:cs="IRNazanin"/>
          <w:lang w:bidi="fa-IR"/>
          <w:color w:val="111111"/>
          <w:sz w:val="28"/>
          <w:szCs w:val="28"/>
          <w:rtl/>
        </w:rPr>
        <w:t xml:space="preserve">مر بعنوان آشوب فی (ص 7).</w:t>
      </w:r>
    </w:p>
    <w:p>
      <w:pPr>
        <w:pStyle w:val="Heading3"/>
      </w:pPr>
      <w:bookmarkStart w:id="3190" w:name="_Toc1886"/>
      <w:r>
        <w:t>دیوان حسینا خوانساری‏</w:t>
      </w:r>
      <w:bookmarkEnd w:id="3190"/>
    </w:p>
    <w:p>
      <w:pPr>
        <w:pStyle w:val="BookText"/>
      </w:pPr>
      <w:r>
        <w:rPr>
          <w:rFonts w:ascii="IRNazanin" w:hAnsi="IRNazanin" w:eastAsia="IRNazanin" w:cs="IRNazanin"/>
          <w:lang w:bidi="fa-IR"/>
          <w:color w:val="111111"/>
          <w:sz w:val="28"/>
          <w:szCs w:val="28"/>
          <w:rtl/>
        </w:rPr>
        <w:t xml:space="preserve">یأتی بعنوان صبوحی.</w:t>
      </w:r>
    </w:p>
    <w:p>
      <w:pPr>
        <w:pStyle w:val="Heading3"/>
      </w:pPr>
      <w:bookmarkStart w:id="3191" w:name="_Toc1887"/>
      <w:r>
        <w:t>1494- دیوان السید حسین بن المیر إبراهیم الحسینی القزوینی أو شعره‏</w:t>
      </w:r>
      <w:bookmarkEnd w:id="3191"/>
    </w:p>
    <w:p>
      <w:pPr>
        <w:pStyle w:val="BookText"/>
      </w:pPr>
      <w:r>
        <w:rPr>
          <w:rFonts w:ascii="IRNazanin" w:hAnsi="IRNazanin" w:eastAsia="IRNazanin" w:cs="IRNazanin"/>
          <w:lang w:bidi="fa-IR"/>
          <w:color w:val="111111"/>
          <w:sz w:val="28"/>
          <w:szCs w:val="28"/>
          <w:rtl/>
        </w:rPr>
        <w:t xml:space="preserve">توفی (1208) و کان من مشایخ السید مهدی بحر العلوم. صرح فی إجازته له بأن له أرجوزة نظم البرهان و سمط الإیمان فی أصول الدین و العقائد، و شرحها أیضا. و هما موجودان الآن بخط الناظم الشارح عند السید شهاب الدین التبریزی النجفی القمی.</w:t>
      </w:r>
    </w:p>
    <w:p>
      <w:pPr>
        <w:pStyle w:val="Heading3"/>
      </w:pPr>
      <w:bookmarkStart w:id="3192" w:name="_Toc1888"/>
      <w:r>
        <w:t>1495- دیوان المیرزا محمد حسین بن میرزا إبراهیم‏</w:t>
      </w:r>
      <w:bookmarkEnd w:id="3192"/>
    </w:p>
    <w:p>
      <w:pPr>
        <w:pStyle w:val="BookText"/>
      </w:pPr>
      <w:r>
        <w:rPr>
          <w:rFonts w:ascii="IRNazanin" w:hAnsi="IRNazanin" w:eastAsia="IRNazanin" w:cs="IRNazanin"/>
          <w:lang w:bidi="fa-IR"/>
          <w:color w:val="111111"/>
          <w:sz w:val="28"/>
          <w:szCs w:val="28"/>
          <w:rtl/>
        </w:rPr>
        <w:t xml:space="preserve">حفید المیر شمس الدین محمد الحسینی الکرمانی، الصدر فی عصر الشاه طهماسب. ترجمه فی (نر 5- ص 102) و ذکر أنه توفی شابا و أورد بعض شعره و کذا فی (روشن- ص 78).</w:t>
      </w:r>
    </w:p>
    <w:p>
      <w:pPr>
        <w:pStyle w:val="Heading3"/>
      </w:pPr>
      <w:bookmarkStart w:id="3193" w:name="_Toc1889"/>
      <w:r>
        <w:t>دیوان الحسین بن محمد بن جعفر بن محمد بن الحجاج‏</w:t>
      </w:r>
      <w:bookmarkEnd w:id="3193"/>
    </w:p>
    <w:p>
      <w:pPr>
        <w:pStyle w:val="BookText"/>
      </w:pPr>
      <w:r>
        <w:rPr>
          <w:rFonts w:ascii="IRNazanin" w:hAnsi="IRNazanin" w:eastAsia="IRNazanin" w:cs="IRNazanin"/>
          <w:lang w:bidi="fa-IR"/>
          <w:color w:val="111111"/>
          <w:sz w:val="28"/>
          <w:szCs w:val="28"/>
          <w:rtl/>
        </w:rPr>
        <w:t xml:space="preserve">مر بعنوان دیوان ابن الحجاج‏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43" w:name="pg11704_121723"/>
    <w:bookmarkEnd w:id="243"/>
    <w:p>
      <w:pPr>
        <w:pStyle w:val="BookText"/>
      </w:pPr>
      <w:r>
        <w:rPr>
          <w:rFonts w:ascii="IRNazanin" w:hAnsi="IRNazanin" w:eastAsia="IRNazanin" w:cs="IRNazanin"/>
          <w:lang w:bidi="fa-IR"/>
          <w:color w:val="111111"/>
          <w:sz w:val="28"/>
          <w:szCs w:val="28"/>
          <w:rtl/>
        </w:rPr>
        <w:t xml:space="preserve">انتخب منه الشریف الرضی و سماه الحسن من شعر الحسین و رتبه البدیع الأسطرلابی علی أبواب فی فنون الشعر و سماه درة التاج. یوجد الجزء السادس منه المکتوب فی حدود القرن السابع بمکتبة السماوی و کان فی مکتبة (حسینیة کاشف الغطاء) الجزء الثامن من حرف المیم إلی آخر الیاء بخط عمر بن إسماعیل بن أحمد الموصلی فی (620) و نقله أمین الخانجی إلی مصر و أخذ عنه صورا فوتوغرافیة متعددة فی (1342).</w:t>
      </w:r>
    </w:p>
    <w:p>
      <w:pPr>
        <w:pStyle w:val="Heading3"/>
      </w:pPr>
      <w:bookmarkStart w:id="3194" w:name="_Toc1890"/>
      <w:r>
        <w:t>دیوان حسین بن الأبرز</w:t>
      </w:r>
      <w:bookmarkEnd w:id="3194"/>
    </w:p>
    <w:p>
      <w:pPr>
        <w:pStyle w:val="BookText"/>
      </w:pPr>
      <w:r>
        <w:rPr>
          <w:rFonts w:ascii="IRNazanin" w:hAnsi="IRNazanin" w:eastAsia="IRNazanin" w:cs="IRNazanin"/>
          <w:lang w:bidi="fa-IR"/>
          <w:color w:val="111111"/>
          <w:sz w:val="28"/>
          <w:szCs w:val="28"/>
          <w:rtl/>
        </w:rPr>
        <w:t xml:space="preserve">یأتی بعنوان حسین بن کمال الدین.</w:t>
      </w:r>
    </w:p>
    <w:p>
      <w:pPr>
        <w:pStyle w:val="Heading3"/>
      </w:pPr>
      <w:bookmarkStart w:id="3195" w:name="_Toc1891"/>
      <w:r>
        <w:t>1496- دیوان الآقا حسین بن الآقا جمال الخوانساری‏</w:t>
      </w:r>
      <w:bookmarkEnd w:id="3195"/>
    </w:p>
    <w:p>
      <w:pPr>
        <w:pStyle w:val="BookText"/>
      </w:pPr>
      <w:r>
        <w:rPr>
          <w:rFonts w:ascii="IRNazanin" w:hAnsi="IRNazanin" w:eastAsia="IRNazanin" w:cs="IRNazanin"/>
          <w:lang w:bidi="fa-IR"/>
          <w:color w:val="111111"/>
          <w:sz w:val="28"/>
          <w:szCs w:val="28"/>
          <w:rtl/>
        </w:rPr>
        <w:t xml:space="preserve">المتوفی (1098) ترجمه فی (نر 6 و 15- ص 152 و 528) و (تش- ص 108) و أورد جملة من رباعیاته و معمیاته.</w:t>
      </w:r>
    </w:p>
    <w:p>
      <w:pPr>
        <w:pStyle w:val="Heading3"/>
      </w:pPr>
      <w:bookmarkStart w:id="3196" w:name="_Toc1892"/>
      <w:r>
        <w:t>1497- دیوان المولی حسین بن الحسن الکاشانی‏</w:t>
      </w:r>
      <w:bookmarkEnd w:id="3196"/>
    </w:p>
    <w:p>
      <w:pPr>
        <w:pStyle w:val="BookText"/>
      </w:pPr>
      <w:r>
        <w:rPr>
          <w:rFonts w:ascii="IRNazanin" w:hAnsi="IRNazanin" w:eastAsia="IRNazanin" w:cs="IRNazanin"/>
          <w:lang w:bidi="fa-IR"/>
          <w:color w:val="111111"/>
          <w:sz w:val="28"/>
          <w:szCs w:val="28"/>
          <w:rtl/>
        </w:rPr>
        <w:t xml:space="preserve">مطبوع.</w:t>
      </w:r>
    </w:p>
    <w:p>
      <w:pPr>
        <w:pStyle w:val="Heading3"/>
      </w:pPr>
      <w:bookmarkStart w:id="3197" w:name="_Toc1893"/>
      <w:r>
        <w:t>1498- دیوان الشیخ محمد حسین بن محمد حسن الأصفهانی الکمپانی النجفی‏</w:t>
      </w:r>
      <w:bookmarkEnd w:id="3197"/>
    </w:p>
    <w:p>
      <w:pPr>
        <w:pStyle w:val="BookText"/>
      </w:pPr>
      <w:r>
        <w:rPr>
          <w:rFonts w:ascii="IRNazanin" w:hAnsi="IRNazanin" w:eastAsia="IRNazanin" w:cs="IRNazanin"/>
          <w:lang w:bidi="fa-IR"/>
          <w:color w:val="111111"/>
          <w:sz w:val="28"/>
          <w:szCs w:val="28"/>
          <w:rtl/>
        </w:rPr>
        <w:t xml:space="preserve">المتوفی بها (1361) و هو عربی اسمه الأنوار القدسیة قد طبع فی (110 ص) بعد وفاته و فاتنا ذکره فی محله. و هو فی مدائح أهل البیت علیه السلام  و فی آخره بعض المراثی و فی أوله ترجمه الناظم تزید علی ألفی بیت. و دیوانه الفارسی الذی یتخلص فیه مفتقر یأتی فی المیم.</w:t>
      </w:r>
    </w:p>
    <w:p>
      <w:pPr>
        <w:pStyle w:val="Heading3"/>
      </w:pPr>
      <w:bookmarkStart w:id="3198" w:name="_Toc1894"/>
      <w:r>
        <w:t>1499- دیوان السید حسین بن حسن الغریفی البحرانی‏</w:t>
      </w:r>
      <w:bookmarkEnd w:id="3198"/>
    </w:p>
    <w:p>
      <w:pPr>
        <w:pStyle w:val="BookText"/>
      </w:pPr>
      <w:r>
        <w:rPr>
          <w:rFonts w:ascii="IRNazanin" w:hAnsi="IRNazanin" w:eastAsia="IRNazanin" w:cs="IRNazanin"/>
          <w:lang w:bidi="fa-IR"/>
          <w:color w:val="111111"/>
          <w:sz w:val="28"/>
          <w:szCs w:val="28"/>
          <w:rtl/>
        </w:rPr>
        <w:t xml:space="preserve">المترجم فی (السلافة- ص 504) جمع بعض أشعاره حفیده المعاصر السید مهدی بن علی الغریفی النجفی المنتهی نسبه إلیه و المتوفی (1343) فی مجموع یقرب من ثلاثمائة بیت. أوله‏</w:t>
      </w:r>
    </w:p>
    <w:p>
      <w:pPr>
        <w:pStyle w:val="BookText"/>
      </w:pPr>
      <w:r>
        <w:rPr>
          <w:rFonts w:ascii="IRNazanin" w:hAnsi="IRNazanin" w:eastAsia="IRNazanin" w:cs="IRNazanin"/>
          <w:lang w:bidi="fa-IR"/>
          <w:color w:val="111111"/>
          <w:sz w:val="28"/>
          <w:szCs w:val="28"/>
          <w:rtl/>
        </w:rPr>
        <w:t xml:space="preserve">سحاب جفونی بدموع هوامی‏</w:t>
      </w:r>
    </w:p>
    <w:p>
      <w:pPr>
        <w:pStyle w:val="BookText"/>
      </w:pPr>
      <w:r>
        <w:rPr>
          <w:rFonts w:ascii="IRNazanin" w:hAnsi="IRNazanin" w:eastAsia="IRNazanin" w:cs="IRNazanin"/>
          <w:lang w:bidi="fa-IR"/>
          <w:color w:val="111111"/>
          <w:sz w:val="28"/>
          <w:szCs w:val="28"/>
          <w:rtl/>
        </w:rPr>
        <w:t xml:space="preserve">لرزء أمیر المؤمنین إمامی‏</w:t>
      </w:r>
    </w:p>
    <w:p>
      <w:pPr>
        <w:pStyle w:val="BookText"/>
      </w:pPr>
      <w:r>
        <w:rPr>
          <w:rFonts w:ascii="IRNazanin" w:hAnsi="IRNazanin" w:eastAsia="IRNazanin" w:cs="IRNazanin"/>
          <w:lang w:bidi="fa-IR"/>
          <w:color w:val="111111"/>
          <w:sz w:val="28"/>
          <w:szCs w:val="28"/>
          <w:rtl/>
        </w:rPr>
        <w:t xml:space="preserve">إلی تمام النیف و الخمسین بیتا ثم قصائد أخر. رأیت النسخة بخط السید مهدی عند ولده المشتغل فی النجف السید عبد المطلب.</w:t>
      </w:r>
    </w:p>
    <w:p>
      <w:pPr>
        <w:pStyle w:val="Heading3"/>
      </w:pPr>
      <w:bookmarkStart w:id="3199" w:name="_Toc1895"/>
      <w:r>
        <w:t>دیوان الحاج محمد حسین بن حسن القزوینی الشیرازی‏</w:t>
      </w:r>
      <w:bookmarkEnd w:id="3199"/>
    </w:p>
    <w:p>
      <w:pPr>
        <w:pStyle w:val="BookText"/>
      </w:pPr>
      <w:r>
        <w:rPr>
          <w:rFonts w:ascii="IRNazanin" w:hAnsi="IRNazanin" w:eastAsia="IRNazanin" w:cs="IRNazanin"/>
          <w:lang w:bidi="fa-IR"/>
          <w:color w:val="111111"/>
          <w:sz w:val="28"/>
          <w:szCs w:val="28"/>
          <w:rtl/>
        </w:rPr>
        <w:t xml:space="preserve">المتخلص بالحسینی یأتی بعنوان تخلصه.</w:t>
      </w:r>
    </w:p>
    <w:p>
      <w:pPr>
        <w:pStyle w:val="Heading3"/>
      </w:pPr>
      <w:bookmarkStart w:id="3200" w:name="_Toc1896"/>
      <w:r>
        <w:t>1500- دیوان الشیخ حسین بن حسن نور الدین العاملی‏</w:t>
      </w:r>
      <w:bookmarkEnd w:id="3200"/>
    </w:p>
    <w:p>
      <w:pPr>
        <w:pStyle w:val="BookText"/>
      </w:pPr>
      <w:r>
        <w:rPr>
          <w:rFonts w:ascii="IRNazanin" w:hAnsi="IRNazanin" w:eastAsia="IRNazanin" w:cs="IRNazanin"/>
          <w:lang w:bidi="fa-IR"/>
          <w:color w:val="111111"/>
          <w:sz w:val="28"/>
          <w:szCs w:val="28"/>
          <w:rtl/>
        </w:rPr>
        <w:t xml:space="preserve">و قد توفی الناظم ببلدة جوبا فی (1369) کما حکاه لی حفیده الطالب فی النجف. و قد طبع دیوانه الصغیر فی العرفان بعنوان عقود الدر و الجوهر.</w:t>
      </w:r>
    </w:p>
    <w:p>
      <w:pPr>
        <w:pStyle w:val="Heading3"/>
      </w:pPr>
      <w:bookmarkStart w:id="3201" w:name="_Toc1897"/>
      <w:r>
        <w:t>دیوان حسین بن خاندار</w:t>
      </w:r>
      <w:bookmarkEnd w:id="3201"/>
    </w:p>
    <w:p>
      <w:pPr>
        <w:pStyle w:val="BookText"/>
      </w:pPr>
      <w:r>
        <w:rPr>
          <w:rFonts w:ascii="IRNazanin" w:hAnsi="IRNazanin" w:eastAsia="IRNazanin" w:cs="IRNazanin"/>
          <w:lang w:bidi="fa-IR"/>
          <w:color w:val="111111"/>
          <w:sz w:val="28"/>
          <w:szCs w:val="28"/>
          <w:rtl/>
        </w:rPr>
        <w:t xml:space="preserve">یأتی بعنوان حسین بن شهاب.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44" w:name="pg11704_121724"/>
    <w:bookmarkEnd w:id="244"/>
    <w:p>
      <w:pPr>
        <w:pStyle w:val="Heading3"/>
      </w:pPr>
      <w:bookmarkStart w:id="3202" w:name="_Toc1898"/>
      <w:r>
        <w:t>1501- دیوان السید حسین بن المیر رشید الرضوی النجفی الحائری‏</w:t>
      </w:r>
      <w:bookmarkEnd w:id="3202"/>
    </w:p>
    <w:p>
      <w:pPr>
        <w:pStyle w:val="BookText"/>
      </w:pPr>
      <w:r>
        <w:rPr>
          <w:rFonts w:ascii="IRNazanin" w:hAnsi="IRNazanin" w:eastAsia="IRNazanin" w:cs="IRNazanin"/>
          <w:lang w:bidi="fa-IR"/>
          <w:color w:val="111111"/>
          <w:sz w:val="28"/>
          <w:szCs w:val="28"/>
          <w:rtl/>
        </w:rPr>
        <w:t xml:space="preserve">المتوفی (1170) یقرب من أربعة آلاف بیت استنسخه (السماوی) و اسمه ذخیرة المال کان من تلامیذ السید نصر الله المدرس الحائری و بینهما مطارحات و مراسلات. و یوجد منه نسخه بمکتبة یعقوب سرکیس ببغداد، و أخری فی النجف بمکتبة الشیخ علی الخاقانی. و مر له البدیعیة فی (ج 3- ص 75).</w:t>
      </w:r>
    </w:p>
    <w:p>
      <w:pPr>
        <w:pStyle w:val="Heading3"/>
      </w:pPr>
      <w:bookmarkStart w:id="3203" w:name="_Toc1899"/>
      <w:r>
        <w:t>1502- دیوان السید حسین بن السید رضا</w:t>
      </w:r>
      <w:bookmarkEnd w:id="3203"/>
    </w:p>
    <w:p>
      <w:pPr>
        <w:pStyle w:val="BookText"/>
      </w:pPr>
      <w:r>
        <w:rPr>
          <w:rFonts w:ascii="IRNazanin" w:hAnsi="IRNazanin" w:eastAsia="IRNazanin" w:cs="IRNazanin"/>
          <w:lang w:bidi="fa-IR"/>
          <w:color w:val="111111"/>
          <w:sz w:val="28"/>
          <w:szCs w:val="28"/>
          <w:rtl/>
        </w:rPr>
        <w:t xml:space="preserve">ابن السید مهدی بحر العلوم الطباطبائی المتوفی فی النجف (1306) مرتب علی فصلین أولها فی المدائح و المراثی للمعصومین علیه السلام  و فیه تخمیس الاثنی عشریات لجده بحر العلوم. و ثانیهما فی مراثی بعض العلماء مثل شیخه صاحب الجواهر و الشیخ عباس ابن المولی علی البغدادی تلمیذ صاحب الجواهر و غیرهما أوله [أحمدک اللهم علی تظافر آلائک‏] رأیت نسخه منه عند السید جعفر بن السید باقر بن السید علی بن السید رضا بن بحر العلوم، و نسخه مجدولة مذهبة بمکتبة (الملک) و نسخه خط ید الشاعر نفسه عند السید علی بن الحسین الهاشمی الخطیب النجفی، و استنسخه السماوی و السید محمد صادق بحر العلوم.</w:t>
      </w:r>
    </w:p>
    <w:p>
      <w:pPr>
        <w:pStyle w:val="Heading3"/>
      </w:pPr>
      <w:bookmarkStart w:id="3204" w:name="_Toc1900"/>
      <w:r>
        <w:t>1503- دیوان حسین بن شدقم‏</w:t>
      </w:r>
      <w:bookmarkEnd w:id="3204"/>
    </w:p>
    <w:p>
      <w:pPr>
        <w:pStyle w:val="BookText"/>
      </w:pPr>
      <w:r>
        <w:rPr>
          <w:rFonts w:ascii="IRNazanin" w:hAnsi="IRNazanin" w:eastAsia="IRNazanin" w:cs="IRNazanin"/>
          <w:lang w:bidi="fa-IR"/>
          <w:color w:val="111111"/>
          <w:sz w:val="28"/>
          <w:szCs w:val="28"/>
          <w:rtl/>
        </w:rPr>
        <w:t xml:space="preserve">و هو السید حسین بن علی بن حسن بن شدقم. أطرأه و أورد شعره فی (سلافة العصر- ص 253).</w:t>
      </w:r>
    </w:p>
    <w:p>
      <w:pPr>
        <w:pStyle w:val="Heading3"/>
      </w:pPr>
      <w:bookmarkStart w:id="3205" w:name="_Toc1901"/>
      <w:r>
        <w:t>1504- دیوان الشیخ حسین بن شهاب الدین‏</w:t>
      </w:r>
      <w:bookmarkEnd w:id="3205"/>
    </w:p>
    <w:p>
      <w:pPr>
        <w:pStyle w:val="BookText"/>
      </w:pPr>
      <w:r>
        <w:rPr>
          <w:rFonts w:ascii="IRNazanin" w:hAnsi="IRNazanin" w:eastAsia="IRNazanin" w:cs="IRNazanin"/>
          <w:lang w:bidi="fa-IR"/>
          <w:color w:val="111111"/>
          <w:sz w:val="28"/>
          <w:szCs w:val="28"/>
          <w:rtl/>
        </w:rPr>
        <w:t xml:space="preserve">ابن الحسین بن محمد بن حیدر (خاندار) العاملی الکرکی، معاصر الشیخ الحر. سکن برهة بأصفهان ثم نزل الهند. ذکر فی (السلافة- ص 355) أنه توفی (1076) بحیدرآباد الهند. و له شرح نهج البلاغة و مختصر الأغانی و أرجوزة فی المنطق و مسائل فی الطب و هدایة الأبرار و الحاشیة علی تفسیر البیضاوی کما ذکر فی (ج 6- ص 41) ذکره فی الروضات- ص 657 و أمل الآمل و قد طبع دیوانه بالإسکندریة فی (1290) علی الحجر.</w:t>
      </w:r>
    </w:p>
    <w:p>
      <w:pPr>
        <w:pStyle w:val="Heading3"/>
      </w:pPr>
      <w:bookmarkStart w:id="3206" w:name="_Toc1902"/>
      <w:r>
        <w:t>1505- دیوان المولی محمد حسین بن المولی محمد صالح المازندرانی‏</w:t>
      </w:r>
      <w:bookmarkEnd w:id="3206"/>
    </w:p>
    <w:p>
      <w:pPr>
        <w:pStyle w:val="BookText"/>
      </w:pPr>
      <w:r>
        <w:rPr>
          <w:rFonts w:ascii="IRNazanin" w:hAnsi="IRNazanin" w:eastAsia="IRNazanin" w:cs="IRNazanin"/>
          <w:lang w:bidi="fa-IR"/>
          <w:color w:val="111111"/>
          <w:sz w:val="28"/>
          <w:szCs w:val="28"/>
          <w:rtl/>
        </w:rPr>
        <w:t xml:space="preserve">و سبط التقی المجلسی و أخ المولی محمد سعید الأشرف. له مثنوی قضا و قدر ترجمه فی (نر 6 و 15- ص 182 و 542) و أورد شعره و بعض معمیاته. و قال فی (گلشن- ص 135) إنه نزل الهند أیضا.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45" w:name="pg11704_121725"/>
    <w:bookmarkEnd w:id="245"/>
    <w:p>
      <w:pPr>
        <w:pStyle w:val="Heading3"/>
      </w:pPr>
      <w:bookmarkStart w:id="3207" w:name="_Toc1903"/>
      <w:r>
        <w:t>دیوان حسین بن عالم‏</w:t>
      </w:r>
      <w:bookmarkEnd w:id="3207"/>
    </w:p>
    <w:p>
      <w:pPr>
        <w:pStyle w:val="BookText"/>
      </w:pPr>
      <w:r>
        <w:rPr>
          <w:rFonts w:ascii="IRNazanin" w:hAnsi="IRNazanin" w:eastAsia="IRNazanin" w:cs="IRNazanin"/>
          <w:lang w:bidi="fa-IR"/>
          <w:color w:val="111111"/>
          <w:sz w:val="28"/>
          <w:szCs w:val="28"/>
          <w:rtl/>
        </w:rPr>
        <w:t xml:space="preserve">کما فی نفحات الأنس. مر بعنوان أمیر حسینی غوری فی (ص 100).</w:t>
      </w:r>
    </w:p>
    <w:p>
      <w:pPr>
        <w:pStyle w:val="Heading3"/>
      </w:pPr>
      <w:bookmarkStart w:id="3208" w:name="_Toc1904"/>
      <w:r>
        <w:t>1506- دیوان الشیخ عز الدین حسین بن عبد الصمد الحارثی العاملی‏</w:t>
      </w:r>
      <w:bookmarkEnd w:id="3208"/>
    </w:p>
    <w:p>
      <w:pPr>
        <w:pStyle w:val="BookText"/>
      </w:pPr>
      <w:r>
        <w:rPr>
          <w:rFonts w:ascii="IRNazanin" w:hAnsi="IRNazanin" w:eastAsia="IRNazanin" w:cs="IRNazanin"/>
          <w:lang w:bidi="fa-IR"/>
          <w:color w:val="111111"/>
          <w:sz w:val="28"/>
          <w:szCs w:val="28"/>
          <w:rtl/>
        </w:rPr>
        <w:t xml:space="preserve">المتوفی فی هجرلانة بالبحرین (984) عن ست و ستین سنة، والد الشیخ البهائی و تلمیذ الشهید الثانی.</w:t>
      </w:r>
    </w:p>
    <w:p>
      <w:pPr>
        <w:pStyle w:val="BookText"/>
      </w:pPr>
      <w:r>
        <w:rPr>
          <w:rFonts w:ascii="IRNazanin" w:hAnsi="IRNazanin" w:eastAsia="IRNazanin" w:cs="IRNazanin"/>
          <w:lang w:bidi="fa-IR"/>
          <w:color w:val="111111"/>
          <w:sz w:val="28"/>
          <w:szCs w:val="28"/>
          <w:rtl/>
        </w:rPr>
        <w:t xml:space="preserve">ذکره الشیخ الحر فی الأمل.</w:t>
      </w:r>
    </w:p>
    <w:p>
      <w:pPr>
        <w:pStyle w:val="Heading3"/>
      </w:pPr>
      <w:bookmarkStart w:id="3209" w:name="_Toc1905"/>
      <w:r>
        <w:t>1507- دیوان الإمام الحسین بن علی بن أبی طالب ع‏</w:t>
      </w:r>
      <w:bookmarkEnd w:id="3209"/>
    </w:p>
    <w:p>
      <w:pPr>
        <w:pStyle w:val="BookText"/>
      </w:pPr>
      <w:r>
        <w:rPr>
          <w:rFonts w:ascii="IRNazanin" w:hAnsi="IRNazanin" w:eastAsia="IRNazanin" w:cs="IRNazanin"/>
          <w:lang w:bidi="fa-IR"/>
          <w:color w:val="111111"/>
          <w:sz w:val="28"/>
          <w:szCs w:val="28"/>
          <w:rtl/>
        </w:rPr>
        <w:t xml:space="preserve">) جمعه مما ینسب إلیه من الأشعار الشیخ محمد حسین المتخلص بضیائی ابن الشیخ محمد باقر البیرجندی القائنی المعاصر مؤلف بغیة الطالب المذکور فی (ج 3- ص 133) ذکره الخیابانی فی هامش وقایع الأیام و قد جمع شعره أیضا الشیخ محمد علی المدرس الخیابانی فی دیوان المعصومین الآتی.</w:t>
      </w:r>
    </w:p>
    <w:p>
      <w:pPr>
        <w:pStyle w:val="Heading3"/>
      </w:pPr>
      <w:bookmarkStart w:id="3210" w:name="_Toc1906"/>
      <w:r>
        <w:t>دیوان الحسین بن علی الطغرائی‏</w:t>
      </w:r>
      <w:bookmarkEnd w:id="3210"/>
    </w:p>
    <w:p>
      <w:pPr>
        <w:pStyle w:val="BookText"/>
      </w:pPr>
      <w:r>
        <w:rPr>
          <w:rFonts w:ascii="IRNazanin" w:hAnsi="IRNazanin" w:eastAsia="IRNazanin" w:cs="IRNazanin"/>
          <w:lang w:bidi="fa-IR"/>
          <w:color w:val="111111"/>
          <w:sz w:val="28"/>
          <w:szCs w:val="28"/>
          <w:rtl/>
        </w:rPr>
        <w:t xml:space="preserve">یأتی بعنوان دیوان الطغرائی.</w:t>
      </w:r>
    </w:p>
    <w:p>
      <w:pPr>
        <w:pStyle w:val="Heading3"/>
      </w:pPr>
      <w:bookmarkStart w:id="3211" w:name="_Toc1907"/>
      <w:r>
        <w:t>دیوان الحسین بن علی الوزیر المغربی‏</w:t>
      </w:r>
      <w:bookmarkEnd w:id="3211"/>
    </w:p>
    <w:p>
      <w:pPr>
        <w:pStyle w:val="BookText"/>
      </w:pPr>
      <w:r>
        <w:rPr>
          <w:rFonts w:ascii="IRNazanin" w:hAnsi="IRNazanin" w:eastAsia="IRNazanin" w:cs="IRNazanin"/>
          <w:lang w:bidi="fa-IR"/>
          <w:color w:val="111111"/>
          <w:sz w:val="28"/>
          <w:szCs w:val="28"/>
          <w:rtl/>
        </w:rPr>
        <w:t xml:space="preserve">یأتی بعنوان دیوان الوزیر المغربی.</w:t>
      </w:r>
    </w:p>
    <w:p>
      <w:pPr>
        <w:pStyle w:val="Heading3"/>
      </w:pPr>
      <w:bookmarkStart w:id="3212" w:name="_Toc1908"/>
      <w:r>
        <w:t>1508- دیوان الحسین بن علی بن جواد محفوظ العاملی الهرملی الکاظمی‏</w:t>
      </w:r>
      <w:bookmarkEnd w:id="3212"/>
    </w:p>
    <w:p>
      <w:pPr>
        <w:pStyle w:val="BookText"/>
      </w:pPr>
      <w:r>
        <w:rPr>
          <w:rFonts w:ascii="IRNazanin" w:hAnsi="IRNazanin" w:eastAsia="IRNazanin" w:cs="IRNazanin"/>
          <w:lang w:bidi="fa-IR"/>
          <w:color w:val="111111"/>
          <w:sz w:val="28"/>
          <w:szCs w:val="28"/>
          <w:rtl/>
        </w:rPr>
        <w:t xml:space="preserve">. کان جده الشیخ جواد بن الشیخ موسی بن الشیخ حسین محفوظ ممن نزل بسامراء و النجف سنین مستفیدا من بحث المیرزا الشیرازی و تلامیذه و غیرهم، و رجع إلی هرمل و کان عالمها المطاع إلی أن توفی بها (1358) و کانت ولادته کما حدثنی هو بها فی (1281) و له تصانیف رأیت بعضها عنده بالکاظمیة و سائرها توجد عند حفیده الحسین بن علی هذا الناظم للدواوین التی لکل منها عنوان خاص 1 عبث الصبا 2 روائح الشباب 3 یواقیت الوشاح 4 شقاشق 5 الدرمعیات فیما نظمه أوان تلمذه فی دار المعلمین 6 المنة 7 غمزات الحیاة. و له أرجوزة فی نسب آل محفوظ تبلغ الجمیع بضعة آلاف بیت و لجده الجواد الهرملی أرجوزة النحو کما مر فی (ص 208).</w:t>
      </w:r>
    </w:p>
    <w:p>
      <w:pPr>
        <w:pStyle w:val="Heading3"/>
      </w:pPr>
      <w:bookmarkStart w:id="3213" w:name="_Toc1909"/>
      <w:r>
        <w:t>1509- دیوان السید محمد حسین بن کاظم‏</w:t>
      </w:r>
      <w:bookmarkEnd w:id="3213"/>
    </w:p>
    <w:p>
      <w:pPr>
        <w:pStyle w:val="BookText"/>
      </w:pPr>
      <w:r>
        <w:rPr>
          <w:rFonts w:ascii="IRNazanin" w:hAnsi="IRNazanin" w:eastAsia="IRNazanin" w:cs="IRNazanin"/>
          <w:lang w:bidi="fa-IR"/>
          <w:color w:val="111111"/>
          <w:sz w:val="28"/>
          <w:szCs w:val="28"/>
          <w:rtl/>
        </w:rPr>
        <w:t xml:space="preserve">بن السید أحمد الموسوی الکاظمی النجفی المعروف بالکیشوان المولود (1295) و المتوفی (1356) رتبه بنفسه علی السنین أول قصائده فی تهنئة عرس الشیخ علی بن الشیخ باقر صاحب الجواهر فی (1315) و آخره عن لسان بعض أصدقائه فی رثاء بعض فی (1347) رأیته بخطه عند ولده السید نوری تبلغ عدة الموجود إلی (1582 بیتا) و جملة من أشعاره توجد فی المسودات بخطه أیضا.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46" w:name="pg11704_121726"/>
    <w:bookmarkEnd w:id="246"/>
    <w:p>
      <w:pPr>
        <w:pStyle w:val="Heading3"/>
      </w:pPr>
      <w:bookmarkStart w:id="3214" w:name="_Toc1910"/>
      <w:r>
        <w:t>1510- دیوان حسین بن کمال الدین بن الأبرز أو شعره‏</w:t>
      </w:r>
      <w:bookmarkEnd w:id="3214"/>
    </w:p>
    <w:p>
      <w:pPr>
        <w:pStyle w:val="BookText"/>
      </w:pPr>
      <w:r>
        <w:rPr>
          <w:rFonts w:ascii="IRNazanin" w:hAnsi="IRNazanin" w:eastAsia="IRNazanin" w:cs="IRNazanin"/>
          <w:lang w:bidi="fa-IR"/>
          <w:color w:val="111111"/>
          <w:sz w:val="28"/>
          <w:szCs w:val="28"/>
          <w:rtl/>
        </w:rPr>
        <w:t xml:space="preserve">و هو الحسینی الحلی. أورد شعره فی (السلافة- ص 545) و قال له درر الکلام و یواقیت النظام فی البدیع. و له إجازة للشیخ ناصر بن علی الحویزی تاریخها شوال (942) بخطه. طبع فتوغرافیا فی فهرست کتابخانه دانشگاه- ج 2- ص 567 و لعله الذی ذکر فی (ص 28) بعنوان ابن کمال.</w:t>
      </w:r>
    </w:p>
    <w:p>
      <w:pPr>
        <w:pStyle w:val="Heading3"/>
      </w:pPr>
      <w:bookmarkStart w:id="3215" w:name="_Toc1911"/>
      <w:r>
        <w:t>دیوان الحسین بن محمد</w:t>
      </w:r>
      <w:bookmarkEnd w:id="3215"/>
    </w:p>
    <w:p>
      <w:pPr>
        <w:pStyle w:val="BookText"/>
      </w:pPr>
      <w:r>
        <w:rPr>
          <w:rFonts w:ascii="IRNazanin" w:hAnsi="IRNazanin" w:eastAsia="IRNazanin" w:cs="IRNazanin"/>
          <w:lang w:bidi="fa-IR"/>
          <w:color w:val="111111"/>
          <w:sz w:val="28"/>
          <w:szCs w:val="28"/>
          <w:rtl/>
        </w:rPr>
        <w:t xml:space="preserve">مر بعنوان دیوان ابن الدباس النحوی.</w:t>
      </w:r>
    </w:p>
    <w:p>
      <w:pPr>
        <w:pStyle w:val="Heading3"/>
      </w:pPr>
      <w:bookmarkStart w:id="3216" w:name="_Toc1912"/>
      <w:r>
        <w:t>1511- دیوان الشیخ حسین بن محیی الدین‏</w:t>
      </w:r>
      <w:bookmarkEnd w:id="3216"/>
    </w:p>
    <w:p>
      <w:pPr>
        <w:pStyle w:val="BookText"/>
      </w:pPr>
      <w:r>
        <w:rPr>
          <w:rFonts w:ascii="IRNazanin" w:hAnsi="IRNazanin" w:eastAsia="IRNazanin" w:cs="IRNazanin"/>
          <w:lang w:bidi="fa-IR"/>
          <w:color w:val="111111"/>
          <w:sz w:val="28"/>
          <w:szCs w:val="28"/>
          <w:rtl/>
        </w:rPr>
        <w:t xml:space="preserve">ابن عبد اللطیف بن علی بن أحمد بن أبی جامع العاملی. ذکره معاصر الشیخ الحر، و قال إنه یروی عن أبیه عن أبیه عن جده عن الشیخ البهائی.</w:t>
      </w:r>
    </w:p>
    <w:p>
      <w:pPr>
        <w:pStyle w:val="Heading3"/>
      </w:pPr>
      <w:bookmarkStart w:id="3217" w:name="_Toc1913"/>
      <w:r>
        <w:t>1512- دیوان الشیخ حسین بن الحاج نجف‏</w:t>
      </w:r>
      <w:bookmarkEnd w:id="3217"/>
    </w:p>
    <w:p>
      <w:pPr>
        <w:pStyle w:val="BookText"/>
      </w:pPr>
      <w:r>
        <w:rPr>
          <w:rFonts w:ascii="IRNazanin" w:hAnsi="IRNazanin" w:eastAsia="IRNazanin" w:cs="IRNazanin"/>
          <w:lang w:bidi="fa-IR"/>
          <w:color w:val="111111"/>
          <w:sz w:val="28"/>
          <w:szCs w:val="28"/>
          <w:rtl/>
        </w:rPr>
        <w:t xml:space="preserve">ابن محمد التبریزی الأصل النجفی المولد و المتوفی بها (1251) مؤلف الحسن و القبح الموسوم بالدرة النجفیة ترجمه سبطه الشیخ محمد طه برسالة مستقلة، و ذکر دیوانه المشتمل علی نیف و عشرین قصیدة کبیرة کلها فی مدیح أهل البیت علیه السلام  منها الرائیة التی تزید علی أربعمائة و خمسین بیتا و منها الهائیة التی تزید علی مائتی بیت، و قد خمس الهائیة الملا عباس الصفار، و قد جمع الشیخ محمد (السماوی) جمیع ما وجده من شعره فی مجلد بخطه موجود فی مکتبته” السماوی”.</w:t>
      </w:r>
    </w:p>
    <w:p>
      <w:pPr>
        <w:pStyle w:val="BookText"/>
      </w:pPr>
      <w:r>
        <w:rPr>
          <w:rFonts w:ascii="IRNazanin" w:hAnsi="IRNazanin" w:eastAsia="IRNazanin" w:cs="IRNazanin"/>
          <w:lang w:bidi="fa-IR"/>
          <w:color w:val="111111"/>
          <w:sz w:val="28"/>
          <w:szCs w:val="28"/>
          <w:rtl/>
        </w:rPr>
        <w:t xml:space="preserve">و نسخه أخری عند الشیخ علی الخاقانی استنسخها عن نسخه الشیخ موسی نجف من أحفاد الناظم، و النسخة فی (120 ص) کل صفحة 20 سطرا و هو مرتب علی الحروف (أ- ی) کتبت فی النجف (1362) و یلیها دیوان الشیخ حسین التلمسانی، و نسخه أخری عند جلال الدین المحدث بطهران یقرب من ألف و خمسمائة بیت.</w:t>
      </w:r>
    </w:p>
    <w:p>
      <w:pPr>
        <w:pStyle w:val="Heading3"/>
      </w:pPr>
      <w:bookmarkStart w:id="3218" w:name="_Toc1914"/>
      <w:r>
        <w:t>1513- دیوان محمد حسین الأرجانی‏</w:t>
      </w:r>
      <w:bookmarkEnd w:id="3218"/>
    </w:p>
    <w:p>
      <w:pPr>
        <w:pStyle w:val="BookText"/>
      </w:pPr>
      <w:r>
        <w:rPr>
          <w:rFonts w:ascii="IRNazanin" w:hAnsi="IRNazanin" w:eastAsia="IRNazanin" w:cs="IRNazanin"/>
          <w:lang w:bidi="fa-IR"/>
          <w:color w:val="111111"/>
          <w:sz w:val="28"/>
          <w:szCs w:val="28"/>
          <w:rtl/>
        </w:rPr>
        <w:t xml:space="preserve">مطبوع. راجع الأرجانی ص 67.</w:t>
      </w:r>
    </w:p>
    <w:p>
      <w:pPr>
        <w:pStyle w:val="Heading3"/>
      </w:pPr>
      <w:bookmarkStart w:id="3219" w:name="_Toc1915"/>
      <w:r>
        <w:t>1514- دیوان حسین أصفهانی أو شعره‏</w:t>
      </w:r>
      <w:bookmarkEnd w:id="3219"/>
    </w:p>
    <w:p>
      <w:pPr>
        <w:pStyle w:val="BookText"/>
      </w:pPr>
      <w:r>
        <w:rPr>
          <w:rFonts w:ascii="IRNazanin" w:hAnsi="IRNazanin" w:eastAsia="IRNazanin" w:cs="IRNazanin"/>
          <w:lang w:bidi="fa-IR"/>
          <w:color w:val="111111"/>
          <w:sz w:val="28"/>
          <w:szCs w:val="28"/>
          <w:rtl/>
        </w:rPr>
        <w:t xml:space="preserve">و هو المعمر الصراف بأصفهان. أورد شعره فی (نر 9- ص 294) و (گلشن- ص 136).</w:t>
      </w:r>
    </w:p>
    <w:p>
      <w:pPr>
        <w:pStyle w:val="Heading3"/>
      </w:pPr>
      <w:bookmarkStart w:id="3220" w:name="_Toc1916"/>
      <w:r>
        <w:t>دیوان حسین بایقرا</w:t>
      </w:r>
      <w:bookmarkEnd w:id="3220"/>
    </w:p>
    <w:p>
      <w:pPr>
        <w:pStyle w:val="BookText"/>
      </w:pPr>
      <w:r>
        <w:rPr>
          <w:rFonts w:ascii="IRNazanin" w:hAnsi="IRNazanin" w:eastAsia="IRNazanin" w:cs="IRNazanin"/>
          <w:lang w:bidi="fa-IR"/>
          <w:color w:val="111111"/>
          <w:sz w:val="28"/>
          <w:szCs w:val="28"/>
          <w:rtl/>
        </w:rPr>
        <w:t xml:space="preserve">یأتی بتخلصه حسینی گورکانی.</w:t>
      </w:r>
    </w:p>
    <w:p>
      <w:pPr>
        <w:pStyle w:val="Heading3"/>
      </w:pPr>
      <w:bookmarkStart w:id="3221" w:name="_Toc1917"/>
      <w:r>
        <w:t>1515- دیوان المیرزا حسین البرمکی الخطیب أو شعره‏</w:t>
      </w:r>
      <w:bookmarkEnd w:id="3221"/>
    </w:p>
    <w:p>
      <w:pPr>
        <w:pStyle w:val="BookText"/>
      </w:pPr>
      <w:r>
        <w:rPr>
          <w:rFonts w:ascii="IRNazanin" w:hAnsi="IRNazanin" w:eastAsia="IRNazanin" w:cs="IRNazanin"/>
          <w:lang w:bidi="fa-IR"/>
          <w:color w:val="111111"/>
          <w:sz w:val="28"/>
          <w:szCs w:val="28"/>
          <w:rtl/>
        </w:rPr>
        <w:t xml:space="preserve">. طبع بعض شعره فی مدیح السید ماجد العوامی المتوفی (1367) فی (32 ص).</w:t>
      </w:r>
    </w:p>
    <w:p>
      <w:pPr>
        <w:pStyle w:val="Heading3"/>
      </w:pPr>
      <w:bookmarkStart w:id="3222" w:name="_Toc1918"/>
      <w:r>
        <w:t>دیوان حسین بیک التبریزی‏</w:t>
      </w:r>
      <w:bookmarkEnd w:id="3222"/>
    </w:p>
    <w:p>
      <w:pPr>
        <w:pStyle w:val="BookText"/>
      </w:pPr>
      <w:r>
        <w:rPr>
          <w:rFonts w:ascii="IRNazanin" w:hAnsi="IRNazanin" w:eastAsia="IRNazanin" w:cs="IRNazanin"/>
          <w:lang w:bidi="fa-IR"/>
          <w:color w:val="111111"/>
          <w:sz w:val="28"/>
          <w:szCs w:val="28"/>
          <w:rtl/>
        </w:rPr>
        <w:t xml:space="preserve">المتخلص بخروشی. یأتی فی الخاء، و آخر بعنوان‏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47" w:name="pg11704_121727"/>
    <w:bookmarkEnd w:id="247"/>
    <w:p>
      <w:pPr>
        <w:pStyle w:val="BookText"/>
      </w:pPr>
      <w:r>
        <w:rPr>
          <w:rFonts w:ascii="IRNazanin" w:hAnsi="IRNazanin" w:eastAsia="IRNazanin" w:cs="IRNazanin"/>
          <w:lang w:bidi="fa-IR"/>
          <w:color w:val="111111"/>
          <w:sz w:val="28"/>
          <w:szCs w:val="28"/>
          <w:rtl/>
        </w:rPr>
        <w:t xml:space="preserve">دیوان سهوی و آخر بعنوان دیوان معلوم.</w:t>
      </w:r>
    </w:p>
    <w:p>
      <w:pPr>
        <w:pStyle w:val="Heading3"/>
      </w:pPr>
      <w:bookmarkStart w:id="3223" w:name="_Toc1919"/>
      <w:r>
        <w:t>1516- دیوان الشیخ حسین التلمسانی‏</w:t>
      </w:r>
      <w:bookmarkEnd w:id="3223"/>
    </w:p>
    <w:p>
      <w:pPr>
        <w:pStyle w:val="BookText"/>
      </w:pPr>
      <w:r>
        <w:rPr>
          <w:rFonts w:ascii="IRNazanin" w:hAnsi="IRNazanin" w:eastAsia="IRNazanin" w:cs="IRNazanin"/>
          <w:lang w:bidi="fa-IR"/>
          <w:color w:val="111111"/>
          <w:sz w:val="28"/>
          <w:szCs w:val="28"/>
          <w:rtl/>
        </w:rPr>
        <w:t xml:space="preserve">توجد نسخته فی (50 صفحة) ذیل دیوان الشیخ حسین نجف، عند الشیخ علی الخاقانی فی النجف.</w:t>
      </w:r>
    </w:p>
    <w:p>
      <w:pPr>
        <w:pStyle w:val="Heading3"/>
      </w:pPr>
      <w:bookmarkStart w:id="3224" w:name="_Toc1920"/>
      <w:r>
        <w:t>1517- دیوان حسین چلبی التبریزی أو شعره‏</w:t>
      </w:r>
      <w:bookmarkEnd w:id="3224"/>
    </w:p>
    <w:p>
      <w:pPr>
        <w:pStyle w:val="BookText"/>
      </w:pPr>
      <w:r>
        <w:rPr>
          <w:rFonts w:ascii="IRNazanin" w:hAnsi="IRNazanin" w:eastAsia="IRNazanin" w:cs="IRNazanin"/>
          <w:lang w:bidi="fa-IR"/>
          <w:color w:val="111111"/>
          <w:sz w:val="28"/>
          <w:szCs w:val="28"/>
          <w:rtl/>
        </w:rPr>
        <w:t xml:space="preserve">جامع الکمالات و بانی المسجد و الحمام و السوق المشهور باسمه فی تبریز. ترجمه فی (نر 5- ص 118) و أورد شعره.</w:t>
      </w:r>
    </w:p>
    <w:p>
      <w:pPr>
        <w:pStyle w:val="Heading3"/>
      </w:pPr>
      <w:bookmarkStart w:id="3225" w:name="_Toc1921"/>
      <w:r>
        <w:t>دیوان حسین خاندار</w:t>
      </w:r>
      <w:bookmarkEnd w:id="3225"/>
    </w:p>
    <w:p>
      <w:pPr>
        <w:pStyle w:val="BookText"/>
      </w:pPr>
      <w:r>
        <w:rPr>
          <w:rFonts w:ascii="IRNazanin" w:hAnsi="IRNazanin" w:eastAsia="IRNazanin" w:cs="IRNazanin"/>
          <w:lang w:bidi="fa-IR"/>
          <w:color w:val="111111"/>
          <w:sz w:val="28"/>
          <w:szCs w:val="28"/>
          <w:rtl/>
        </w:rPr>
        <w:t xml:space="preserve">مر بعنوان حسین بن شهاب الدین.</w:t>
      </w:r>
    </w:p>
    <w:p>
      <w:pPr>
        <w:pStyle w:val="Heading3"/>
      </w:pPr>
      <w:bookmarkStart w:id="3226" w:name="_Toc1922"/>
      <w:r>
        <w:t>1518- دیوان الحسین الخوارزمی‏</w:t>
      </w:r>
      <w:bookmarkEnd w:id="3226"/>
    </w:p>
    <w:p>
      <w:pPr>
        <w:pStyle w:val="BookText"/>
      </w:pPr>
      <w:r>
        <w:rPr>
          <w:rFonts w:ascii="IRNazanin" w:hAnsi="IRNazanin" w:eastAsia="IRNazanin" w:cs="IRNazanin"/>
          <w:lang w:bidi="fa-IR"/>
          <w:color w:val="111111"/>
          <w:sz w:val="28"/>
          <w:szCs w:val="28"/>
          <w:rtl/>
        </w:rPr>
        <w:t xml:space="preserve">غزلیات و ترجیع بند فی المعارف و قصائد فی مدح الأئمة علیه السلام  طبع فی بمبئی و نسب فی الطبع إلی الحسین الحلاج مع أن فیه التصریح بأنه للخوارزمی، نعم کثیرا ما یذکر فیه الحلاج و یشبه نفسه به. و أظنه کمال الدین حسین بن الحسن الخوارزمی المذکور فی (مجن 1- ص 9 و 185) الذی کفرته حنفیة هرات فحاکمه شاه‏رخ، ثم خلی سبیله و فی الأخیر قتلته الأزبک فی (837 أو 840) و کان تلمیذ أبی الوفاء الصوفی و له شرح مثنوی مولوی و مقصد أقصی در ترجمه مستقصی و شرح قصیدة البردة بالترکیة الخوارزمیة و کنوز الحقائق کما فصله ابنی فی (فهرس کتابخانه دانشگاه- ج 2 ص 146- 150) و یظهر من بیت شعر أورده هناک أنه کان یتخلص بحسین، و هو غیر کمال الدین حسین الهروی الخطاط المتوفی بمشهد خراسان فی (983).</w:t>
      </w:r>
    </w:p>
    <w:p>
      <w:pPr>
        <w:pStyle w:val="Heading3"/>
      </w:pPr>
      <w:bookmarkStart w:id="3227" w:name="_Toc1923"/>
      <w:r>
        <w:t>دیوان حسینا الخوانساری‏</w:t>
      </w:r>
      <w:bookmarkEnd w:id="3227"/>
    </w:p>
    <w:p>
      <w:pPr>
        <w:pStyle w:val="BookText"/>
      </w:pPr>
      <w:r>
        <w:rPr>
          <w:rFonts w:ascii="IRNazanin" w:hAnsi="IRNazanin" w:eastAsia="IRNazanin" w:cs="IRNazanin"/>
          <w:lang w:bidi="fa-IR"/>
          <w:color w:val="111111"/>
          <w:sz w:val="28"/>
          <w:szCs w:val="28"/>
          <w:rtl/>
        </w:rPr>
        <w:t xml:space="preserve">المتخلص بصبوحی یأتی بتخلصه.</w:t>
      </w:r>
    </w:p>
    <w:p>
      <w:pPr>
        <w:pStyle w:val="Heading3"/>
      </w:pPr>
      <w:bookmarkStart w:id="3228" w:name="_Toc1924"/>
      <w:r>
        <w:t>1519- دیوان حسین الخوانساری أو شعره‏</w:t>
      </w:r>
      <w:bookmarkEnd w:id="3228"/>
    </w:p>
    <w:p>
      <w:pPr>
        <w:pStyle w:val="BookText"/>
      </w:pPr>
      <w:r>
        <w:rPr>
          <w:rFonts w:ascii="IRNazanin" w:hAnsi="IRNazanin" w:eastAsia="IRNazanin" w:cs="IRNazanin"/>
          <w:lang w:bidi="fa-IR"/>
          <w:color w:val="111111"/>
          <w:sz w:val="28"/>
          <w:szCs w:val="28"/>
          <w:rtl/>
        </w:rPr>
        <w:t xml:space="preserve">کان قاضی خوانسار برهة فی عصر الشاه عباس الأول و من أهل الثروة. ترجمه النصرآبادی و أورد بعض رباعیاته و قال فی (گلشن- ص 135) إنه تلمیذ میرزا جان الباغنوی الشیرازی.</w:t>
      </w:r>
    </w:p>
    <w:p>
      <w:pPr>
        <w:pStyle w:val="Heading3"/>
      </w:pPr>
      <w:bookmarkStart w:id="3229" w:name="_Toc1925"/>
      <w:r>
        <w:t>دیوان آقا حسین الخوانساری‏</w:t>
      </w:r>
      <w:bookmarkEnd w:id="3229"/>
    </w:p>
    <w:p>
      <w:pPr>
        <w:pStyle w:val="BookText"/>
      </w:pPr>
      <w:r>
        <w:rPr>
          <w:rFonts w:ascii="IRNazanin" w:hAnsi="IRNazanin" w:eastAsia="IRNazanin" w:cs="IRNazanin"/>
          <w:lang w:bidi="fa-IR"/>
          <w:color w:val="111111"/>
          <w:sz w:val="28"/>
          <w:szCs w:val="28"/>
          <w:rtl/>
        </w:rPr>
        <w:t xml:space="preserve">مر بعنوان حسین بن جمال الدین.</w:t>
      </w:r>
    </w:p>
    <w:p>
      <w:pPr>
        <w:pStyle w:val="Heading3"/>
      </w:pPr>
      <w:bookmarkStart w:id="3230" w:name="_Toc1926"/>
      <w:r>
        <w:t>1520- دیوان الشیخ حسین الخراسانی‏</w:t>
      </w:r>
      <w:bookmarkEnd w:id="3230"/>
    </w:p>
    <w:p>
      <w:pPr>
        <w:pStyle w:val="BookText"/>
      </w:pPr>
      <w:r>
        <w:rPr>
          <w:rFonts w:ascii="IRNazanin" w:hAnsi="IRNazanin" w:eastAsia="IRNazanin" w:cs="IRNazanin"/>
          <w:lang w:bidi="fa-IR"/>
          <w:color w:val="111111"/>
          <w:sz w:val="28"/>
          <w:szCs w:val="28"/>
          <w:rtl/>
        </w:rPr>
        <w:t xml:space="preserve">هو ابن محمد صادق المتوفی بمشهد خراسان (9 شوال 1349) فارسی فی المدائح و المراثی رأیته عند أبی زوجته الشیخ علی أکبر النهاوندی.</w:t>
      </w:r>
    </w:p>
    <w:p>
      <w:pPr>
        <w:pStyle w:val="Heading3"/>
      </w:pPr>
      <w:bookmarkStart w:id="3231" w:name="_Toc1927"/>
      <w:r>
        <w:t>1521- دیوان مولانا حسین الرازی‏</w:t>
      </w:r>
      <w:bookmarkEnd w:id="3231"/>
    </w:p>
    <w:p>
      <w:pPr>
        <w:pStyle w:val="BookText"/>
      </w:pPr>
      <w:r>
        <w:rPr>
          <w:rFonts w:ascii="IRNazanin" w:hAnsi="IRNazanin" w:eastAsia="IRNazanin" w:cs="IRNazanin"/>
          <w:lang w:bidi="fa-IR"/>
          <w:color w:val="111111"/>
          <w:sz w:val="28"/>
          <w:szCs w:val="28"/>
          <w:rtl/>
        </w:rPr>
        <w:t xml:space="preserve">کذا ترجمه فی (تس 5- ص 177) و أورد شعره.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48" w:name="pg11704_121728"/>
    <w:bookmarkEnd w:id="248"/>
    <w:p>
      <w:pPr>
        <w:pStyle w:val="Heading3"/>
      </w:pPr>
      <w:bookmarkStart w:id="3232" w:name="_Toc1928"/>
      <w:r>
        <w:t>1522- دیوان محمد حسین رکنا</w:t>
      </w:r>
      <w:bookmarkEnd w:id="3232"/>
    </w:p>
    <w:p>
      <w:pPr>
        <w:pStyle w:val="BookText"/>
      </w:pPr>
      <w:r>
        <w:rPr>
          <w:rFonts w:ascii="IRNazanin" w:hAnsi="IRNazanin" w:eastAsia="IRNazanin" w:cs="IRNazanin"/>
          <w:lang w:bidi="fa-IR"/>
          <w:color w:val="111111"/>
          <w:sz w:val="28"/>
          <w:szCs w:val="28"/>
          <w:rtl/>
        </w:rPr>
        <w:t xml:space="preserve">لأنه ابن حکیم رکنا. مات شابا و رثاه والده برباعیة ذکره النصرآبادی فی ترجمه أبیه و أورد بعض رباعیات محمد حسین أیضا فی (نر 9- ص 289)</w:t>
      </w:r>
    </w:p>
    <w:p>
      <w:pPr>
        <w:pStyle w:val="Heading3"/>
      </w:pPr>
      <w:bookmarkStart w:id="3233" w:name="_Toc1929"/>
      <w:r>
        <w:t>1523- دیوان میرزا حسین ری‏شهری‏</w:t>
      </w:r>
      <w:bookmarkEnd w:id="3233"/>
    </w:p>
    <w:p>
      <w:pPr>
        <w:pStyle w:val="BookText"/>
      </w:pPr>
      <w:r>
        <w:rPr>
          <w:rFonts w:ascii="IRNazanin" w:hAnsi="IRNazanin" w:eastAsia="IRNazanin" w:cs="IRNazanin"/>
          <w:lang w:bidi="fa-IR"/>
          <w:color w:val="111111"/>
          <w:sz w:val="28"/>
          <w:szCs w:val="28"/>
          <w:rtl/>
        </w:rPr>
        <w:t xml:space="preserve">کان نزیل بوشهر ولد (1253 ش) و طبع الدیوان بالهند و یقرب من ألف بیت.</w:t>
      </w:r>
    </w:p>
    <w:p>
      <w:pPr>
        <w:pStyle w:val="Heading3"/>
      </w:pPr>
      <w:bookmarkStart w:id="3234" w:name="_Toc1930"/>
      <w:r>
        <w:t>دیوان مولانا حسین الشیرازی‏</w:t>
      </w:r>
      <w:bookmarkEnd w:id="3234"/>
    </w:p>
    <w:p>
      <w:pPr>
        <w:pStyle w:val="BookText"/>
      </w:pPr>
      <w:r>
        <w:rPr>
          <w:rFonts w:ascii="IRNazanin" w:hAnsi="IRNazanin" w:eastAsia="IRNazanin" w:cs="IRNazanin"/>
          <w:lang w:bidi="fa-IR"/>
          <w:color w:val="111111"/>
          <w:sz w:val="28"/>
          <w:szCs w:val="28"/>
          <w:rtl/>
        </w:rPr>
        <w:t xml:space="preserve">راجع (مشتاقی شیرازی).</w:t>
      </w:r>
    </w:p>
    <w:p>
      <w:pPr>
        <w:pStyle w:val="Heading3"/>
      </w:pPr>
      <w:bookmarkStart w:id="3235" w:name="_Toc1931"/>
      <w:r>
        <w:t>1524- دیوان حسین شیرازی أو شعره‏</w:t>
      </w:r>
      <w:bookmarkEnd w:id="3235"/>
    </w:p>
    <w:p>
      <w:pPr>
        <w:pStyle w:val="BookText"/>
      </w:pPr>
      <w:r>
        <w:rPr>
          <w:rFonts w:ascii="IRNazanin" w:hAnsi="IRNazanin" w:eastAsia="IRNazanin" w:cs="IRNazanin"/>
          <w:lang w:bidi="fa-IR"/>
          <w:color w:val="111111"/>
          <w:sz w:val="28"/>
          <w:szCs w:val="28"/>
          <w:rtl/>
        </w:rPr>
        <w:t xml:space="preserve">و هو ابن المیرزا جانی عزتی. أطری فضله فی (نر 4- ص 90) و أورد شعره.</w:t>
      </w:r>
    </w:p>
    <w:p>
      <w:pPr>
        <w:pStyle w:val="Heading3"/>
      </w:pPr>
      <w:bookmarkStart w:id="3236" w:name="_Toc1932"/>
      <w:r>
        <w:t>دیوان میر حسین طفیلی‏</w:t>
      </w:r>
      <w:bookmarkEnd w:id="3236"/>
    </w:p>
    <w:p>
      <w:pPr>
        <w:pStyle w:val="BookText"/>
      </w:pPr>
      <w:r>
        <w:rPr>
          <w:rFonts w:ascii="IRNazanin" w:hAnsi="IRNazanin" w:eastAsia="IRNazanin" w:cs="IRNazanin"/>
          <w:lang w:bidi="fa-IR"/>
          <w:color w:val="111111"/>
          <w:sz w:val="28"/>
          <w:szCs w:val="28"/>
          <w:rtl/>
        </w:rPr>
        <w:t xml:space="preserve">یأتی بعنوان تخلصه طفیلی.</w:t>
      </w:r>
    </w:p>
    <w:p>
      <w:pPr>
        <w:pStyle w:val="Heading3"/>
      </w:pPr>
      <w:bookmarkStart w:id="3237" w:name="_Toc1933"/>
      <w:r>
        <w:t>1525- دیوان الشیخ حسین العصفوری‏</w:t>
      </w:r>
      <w:bookmarkEnd w:id="3237"/>
    </w:p>
    <w:p>
      <w:pPr>
        <w:pStyle w:val="BookText"/>
      </w:pPr>
      <w:r>
        <w:rPr>
          <w:rFonts w:ascii="IRNazanin" w:hAnsi="IRNazanin" w:eastAsia="IRNazanin" w:cs="IRNazanin"/>
          <w:lang w:bidi="fa-IR"/>
          <w:color w:val="111111"/>
          <w:sz w:val="28"/>
          <w:szCs w:val="28"/>
          <w:rtl/>
        </w:rPr>
        <w:t xml:space="preserve">و هو ابن محمد بن أحمد بن إبراهیم البحرانی المتوفی بشاخور (21 شوال- 1216) قال فی أنوار البدرین إنه فی تسعة آلاف بیت کلها فی مراثی الحسین علیه السلام .</w:t>
      </w:r>
    </w:p>
    <w:p>
      <w:pPr>
        <w:pStyle w:val="Heading3"/>
      </w:pPr>
      <w:bookmarkStart w:id="3238" w:name="_Toc1934"/>
      <w:r>
        <w:t>1526- دیوان المولی حسین علی الیزدی أو شعره‏</w:t>
      </w:r>
      <w:bookmarkEnd w:id="3238"/>
    </w:p>
    <w:p>
      <w:pPr>
        <w:pStyle w:val="BookText"/>
      </w:pPr>
      <w:r>
        <w:rPr>
          <w:rFonts w:ascii="IRNazanin" w:hAnsi="IRNazanin" w:eastAsia="IRNazanin" w:cs="IRNazanin"/>
          <w:lang w:bidi="fa-IR"/>
          <w:color w:val="111111"/>
          <w:sz w:val="28"/>
          <w:szCs w:val="28"/>
          <w:rtl/>
        </w:rPr>
        <w:t xml:space="preserve">ترجمه النصرآبادی فی (نر 6- ص 157) و أطرأ علمه و فضله و رحلاته فی البلاد، الروم و مصر و الحجاز و الهند، و عوده إلی یزد و بلوغه التسعین، و نقل بعض شعره عمن أدرکه.</w:t>
      </w:r>
    </w:p>
    <w:p>
      <w:pPr>
        <w:pStyle w:val="Heading3"/>
      </w:pPr>
      <w:bookmarkStart w:id="3239" w:name="_Toc1935"/>
      <w:r>
        <w:t>1527- دیوان الحاج حسین علی خان‏</w:t>
      </w:r>
      <w:bookmarkEnd w:id="3239"/>
    </w:p>
    <w:p>
      <w:pPr>
        <w:pStyle w:val="BookText"/>
      </w:pPr>
      <w:r>
        <w:rPr>
          <w:rFonts w:ascii="IRNazanin" w:hAnsi="IRNazanin" w:eastAsia="IRNazanin" w:cs="IRNazanin"/>
          <w:lang w:bidi="fa-IR"/>
          <w:color w:val="111111"/>
          <w:sz w:val="28"/>
          <w:szCs w:val="28"/>
          <w:rtl/>
        </w:rPr>
        <w:t xml:space="preserve">مطبوع. و فیه القصیدة فی مدح ابن أخته الحاج میرزا أبی الفضل الکلانتری. نقله عنه فی مقدمه دیوان الکلانتری (ص- عه)</w:t>
      </w:r>
    </w:p>
    <w:p>
      <w:pPr>
        <w:pStyle w:val="Heading3"/>
      </w:pPr>
      <w:bookmarkStart w:id="3240" w:name="_Toc1936"/>
      <w:r>
        <w:t>دیوان السید حسین الغریفی‏</w:t>
      </w:r>
      <w:bookmarkEnd w:id="3240"/>
    </w:p>
    <w:p>
      <w:pPr>
        <w:pStyle w:val="BookText"/>
      </w:pPr>
      <w:r>
        <w:rPr>
          <w:rFonts w:ascii="IRNazanin" w:hAnsi="IRNazanin" w:eastAsia="IRNazanin" w:cs="IRNazanin"/>
          <w:lang w:bidi="fa-IR"/>
          <w:color w:val="111111"/>
          <w:sz w:val="28"/>
          <w:szCs w:val="28"/>
          <w:rtl/>
        </w:rPr>
        <w:t xml:space="preserve">مر بعنوان حسین بن الحسن.</w:t>
      </w:r>
    </w:p>
    <w:p>
      <w:pPr>
        <w:pStyle w:val="Heading3"/>
      </w:pPr>
      <w:bookmarkStart w:id="3241" w:name="_Toc1937"/>
      <w:r>
        <w:t>1528- دیوان حسین قلی میرزا شاملو أو شعره‏</w:t>
      </w:r>
      <w:bookmarkEnd w:id="3241"/>
    </w:p>
    <w:p>
      <w:pPr>
        <w:pStyle w:val="BookText"/>
      </w:pPr>
      <w:r>
        <w:rPr>
          <w:rFonts w:ascii="IRNazanin" w:hAnsi="IRNazanin" w:eastAsia="IRNazanin" w:cs="IRNazanin"/>
          <w:lang w:bidi="fa-IR"/>
          <w:color w:val="111111"/>
          <w:sz w:val="28"/>
          <w:szCs w:val="28"/>
          <w:rtl/>
        </w:rPr>
        <w:t xml:space="preserve">کان أبوه میر آخر للشاه إسماعیل الفاتح. و قام ولده فی عمله مدة. ثم انتقل إلی الشاه همایون فی الهند. ترجمه سام میرزا فی (تس 6- ص 183) و أورد بعض شعره.</w:t>
      </w:r>
    </w:p>
    <w:p>
      <w:pPr>
        <w:pStyle w:val="Heading3"/>
      </w:pPr>
      <w:bookmarkStart w:id="3242" w:name="_Toc1938"/>
      <w:r>
        <w:t>دیوان ملا حسین الکاشفی‏</w:t>
      </w:r>
      <w:bookmarkEnd w:id="3242"/>
    </w:p>
    <w:p>
      <w:pPr>
        <w:pStyle w:val="BookText"/>
      </w:pPr>
      <w:r>
        <w:rPr>
          <w:rFonts w:ascii="IRNazanin" w:hAnsi="IRNazanin" w:eastAsia="IRNazanin" w:cs="IRNazanin"/>
          <w:lang w:bidi="fa-IR"/>
          <w:color w:val="111111"/>
          <w:sz w:val="28"/>
          <w:szCs w:val="28"/>
          <w:rtl/>
        </w:rPr>
        <w:t xml:space="preserve">یأتی بعنوان دیوان کاشفی سبزواری.</w:t>
      </w:r>
    </w:p>
    <w:p>
      <w:pPr>
        <w:pStyle w:val="Heading3"/>
      </w:pPr>
      <w:bookmarkStart w:id="3243" w:name="_Toc1939"/>
      <w:r>
        <w:t>1529- دیوان حسین کرد</w:t>
      </w:r>
      <w:bookmarkEnd w:id="3243"/>
    </w:p>
    <w:p>
      <w:pPr>
        <w:pStyle w:val="BookText"/>
      </w:pPr>
      <w:r>
        <w:rPr>
          <w:rFonts w:ascii="IRNazanin" w:hAnsi="IRNazanin" w:eastAsia="IRNazanin" w:cs="IRNazanin"/>
          <w:lang w:bidi="fa-IR"/>
          <w:color w:val="111111"/>
          <w:sz w:val="28"/>
          <w:szCs w:val="28"/>
          <w:rtl/>
        </w:rPr>
        <w:t xml:space="preserve">لملک حسین خان فعله‏گری المتوفی (1300) یقرب من ألف بیت بالکردیة و منه:</w:t>
      </w:r>
    </w:p>
    <w:p>
      <w:pPr>
        <w:pStyle w:val="BookText"/>
      </w:pPr>
      <w:r>
        <w:rPr>
          <w:rFonts w:ascii="IRNazanin" w:hAnsi="IRNazanin" w:eastAsia="IRNazanin" w:cs="IRNazanin"/>
          <w:lang w:bidi="fa-IR"/>
          <w:color w:val="111111"/>
          <w:sz w:val="28"/>
          <w:szCs w:val="28"/>
          <w:rtl/>
        </w:rPr>
        <w:t xml:space="preserve">آفریده بیت ژ قطره منی‏</w:t>
      </w:r>
    </w:p>
    <w:p>
      <w:pPr>
        <w:pStyle w:val="BookText"/>
      </w:pPr>
      <w:r>
        <w:rPr>
          <w:rFonts w:ascii="IRNazanin" w:hAnsi="IRNazanin" w:eastAsia="IRNazanin" w:cs="IRNazanin"/>
          <w:lang w:bidi="fa-IR"/>
          <w:color w:val="111111"/>
          <w:sz w:val="28"/>
          <w:szCs w:val="28"/>
          <w:rtl/>
        </w:rPr>
        <w:t xml:space="preserve">سزاوار نین ژ منی منی‏</w:t>
      </w:r>
    </w:p>
    <w:p>
      <w:pPr>
        <w:pStyle w:val="BookText"/>
      </w:pPr>
      <w:r>
        <w:rPr>
          <w:rFonts w:ascii="IRNazanin" w:hAnsi="IRNazanin" w:eastAsia="IRNazanin" w:cs="IRNazanin"/>
          <w:lang w:bidi="fa-IR"/>
          <w:color w:val="111111"/>
          <w:sz w:val="28"/>
          <w:szCs w:val="28"/>
          <w:rtl/>
        </w:rPr>
        <w:t xml:space="preserve">منی ژ افعال دیو بدکارند</w:t>
      </w:r>
    </w:p>
    <w:p>
      <w:pPr>
        <w:pStyle w:val="BookText"/>
      </w:pPr>
      <w:r>
        <w:rPr>
          <w:rFonts w:ascii="IRNazanin" w:hAnsi="IRNazanin" w:eastAsia="IRNazanin" w:cs="IRNazanin"/>
          <w:lang w:bidi="fa-IR"/>
          <w:color w:val="111111"/>
          <w:sz w:val="28"/>
          <w:szCs w:val="28"/>
          <w:rtl/>
        </w:rPr>
        <w:t xml:space="preserve">رجیم درگاه پروردگارند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49" w:name="pg11704_121729"/>
    <w:bookmarkEnd w:id="249"/>
    <w:p>
      <w:pPr>
        <w:pStyle w:val="BookText"/>
      </w:pPr>
      <w:r>
        <w:rPr>
          <w:rFonts w:ascii="IRNazanin" w:hAnsi="IRNazanin" w:eastAsia="IRNazanin" w:cs="IRNazanin"/>
          <w:lang w:bidi="fa-IR"/>
          <w:color w:val="111111"/>
          <w:sz w:val="28"/>
          <w:szCs w:val="28"/>
          <w:rtl/>
        </w:rPr>
        <w:t xml:space="preserve">همنشین بد مکروت ذلیل‏</w:t>
      </w:r>
    </w:p>
    <w:p>
      <w:pPr>
        <w:pStyle w:val="BookText"/>
      </w:pPr>
      <w:r>
        <w:rPr>
          <w:rFonts w:ascii="IRNazanin" w:hAnsi="IRNazanin" w:eastAsia="IRNazanin" w:cs="IRNazanin"/>
          <w:lang w:bidi="fa-IR"/>
          <w:color w:val="111111"/>
          <w:sz w:val="28"/>
          <w:szCs w:val="28"/>
          <w:rtl/>
        </w:rPr>
        <w:t xml:space="preserve">لباس تقوات مبروت و نیل‏</w:t>
      </w:r>
    </w:p>
    <w:p>
      <w:pPr>
        <w:pStyle w:val="BookText"/>
      </w:pPr>
      <w:r>
        <w:rPr>
          <w:rFonts w:ascii="IRNazanin" w:hAnsi="IRNazanin" w:eastAsia="IRNazanin" w:cs="IRNazanin"/>
          <w:lang w:bidi="fa-IR"/>
          <w:color w:val="111111"/>
          <w:sz w:val="28"/>
          <w:szCs w:val="28"/>
          <w:rtl/>
        </w:rPr>
        <w:t xml:space="preserve">پریت باورم ژ قرآن دلیل‏</w:t>
      </w:r>
    </w:p>
    <w:p>
      <w:pPr>
        <w:pStyle w:val="BookText"/>
      </w:pPr>
      <w:r>
        <w:rPr>
          <w:rFonts w:ascii="IRNazanin" w:hAnsi="IRNazanin" w:eastAsia="IRNazanin" w:cs="IRNazanin"/>
          <w:lang w:bidi="fa-IR"/>
          <w:color w:val="111111"/>
          <w:sz w:val="28"/>
          <w:szCs w:val="28"/>
          <w:rtl/>
        </w:rPr>
        <w:t xml:space="preserve">ژ لم أتخذ فلانا خلیل‏</w:t>
      </w:r>
    </w:p>
    <w:p>
      <w:pPr>
        <w:pStyle w:val="Heading3"/>
      </w:pPr>
      <w:bookmarkStart w:id="3244" w:name="_Toc1940"/>
      <w:r>
        <w:t>1530- دیوان حسین کسماوی‏</w:t>
      </w:r>
      <w:bookmarkEnd w:id="3244"/>
    </w:p>
    <w:p>
      <w:pPr>
        <w:pStyle w:val="BookText"/>
      </w:pPr>
      <w:r>
        <w:rPr>
          <w:rFonts w:ascii="IRNazanin" w:hAnsi="IRNazanin" w:eastAsia="IRNazanin" w:cs="IRNazanin"/>
          <w:lang w:bidi="fa-IR"/>
          <w:color w:val="111111"/>
          <w:sz w:val="28"/>
          <w:szCs w:val="28"/>
          <w:rtl/>
        </w:rPr>
        <w:t xml:space="preserve">لمیرزا حسین خان الرشتی باللهجة الگیلکیة.</w:t>
      </w:r>
    </w:p>
    <w:p>
      <w:pPr>
        <w:pStyle w:val="BookText"/>
      </w:pPr>
      <w:r>
        <w:rPr>
          <w:rFonts w:ascii="IRNazanin" w:hAnsi="IRNazanin" w:eastAsia="IRNazanin" w:cs="IRNazanin"/>
          <w:lang w:bidi="fa-IR"/>
          <w:color w:val="111111"/>
          <w:sz w:val="28"/>
          <w:szCs w:val="28"/>
          <w:rtl/>
        </w:rPr>
        <w:t xml:space="preserve">طبع برشت.</w:t>
      </w:r>
    </w:p>
    <w:p>
      <w:pPr>
        <w:pStyle w:val="Heading3"/>
      </w:pPr>
      <w:bookmarkStart w:id="3245" w:name="_Toc1941"/>
      <w:r>
        <w:t>دیوان حسین الکیشوان‏</w:t>
      </w:r>
      <w:bookmarkEnd w:id="3245"/>
    </w:p>
    <w:p>
      <w:pPr>
        <w:pStyle w:val="BookText"/>
      </w:pPr>
      <w:r>
        <w:rPr>
          <w:rFonts w:ascii="IRNazanin" w:hAnsi="IRNazanin" w:eastAsia="IRNazanin" w:cs="IRNazanin"/>
          <w:lang w:bidi="fa-IR"/>
          <w:color w:val="111111"/>
          <w:sz w:val="28"/>
          <w:szCs w:val="28"/>
          <w:rtl/>
        </w:rPr>
        <w:t xml:space="preserve">مر بعنوان حسین بن کاظم.</w:t>
      </w:r>
    </w:p>
    <w:p>
      <w:pPr>
        <w:pStyle w:val="Heading3"/>
      </w:pPr>
      <w:bookmarkStart w:id="3246" w:name="_Toc1942"/>
      <w:r>
        <w:t>1531- دیوان ملا حسین گیلانی أو شعره‏</w:t>
      </w:r>
      <w:bookmarkEnd w:id="3246"/>
    </w:p>
    <w:p>
      <w:pPr>
        <w:pStyle w:val="BookText"/>
      </w:pPr>
      <w:r>
        <w:rPr>
          <w:rFonts w:ascii="IRNazanin" w:hAnsi="IRNazanin" w:eastAsia="IRNazanin" w:cs="IRNazanin"/>
          <w:lang w:bidi="fa-IR"/>
          <w:color w:val="111111"/>
          <w:sz w:val="28"/>
          <w:szCs w:val="28"/>
          <w:rtl/>
        </w:rPr>
        <w:t xml:space="preserve">أورد النصرآبادی فی (نر 15- ص 544) بعض معمیاته.</w:t>
      </w:r>
    </w:p>
    <w:p>
      <w:pPr>
        <w:pStyle w:val="Heading3"/>
      </w:pPr>
      <w:bookmarkStart w:id="3247" w:name="_Toc1943"/>
      <w:r>
        <w:t>دیوان حسین مازندرانی‏</w:t>
      </w:r>
      <w:bookmarkEnd w:id="3247"/>
    </w:p>
    <w:p>
      <w:pPr>
        <w:pStyle w:val="BookText"/>
      </w:pPr>
      <w:r>
        <w:rPr>
          <w:rFonts w:ascii="IRNazanin" w:hAnsi="IRNazanin" w:eastAsia="IRNazanin" w:cs="IRNazanin"/>
          <w:lang w:bidi="fa-IR"/>
          <w:color w:val="111111"/>
          <w:sz w:val="28"/>
          <w:szCs w:val="28"/>
          <w:rtl/>
        </w:rPr>
        <w:t xml:space="preserve">مر بعنوان حسین بن صالح.</w:t>
      </w:r>
    </w:p>
    <w:p>
      <w:pPr>
        <w:pStyle w:val="Heading3"/>
      </w:pPr>
      <w:bookmarkStart w:id="3248" w:name="_Toc1944"/>
      <w:r>
        <w:t>1532- دیوان میرزا حسین مالمیری) مال أمیری أصفهانی‏</w:t>
      </w:r>
      <w:bookmarkEnd w:id="3248"/>
    </w:p>
    <w:p>
      <w:pPr>
        <w:pStyle w:val="BookText"/>
      </w:pPr>
      <w:r>
        <w:rPr>
          <w:rStyle w:val="FootnoteReference"/>
        </w:rPr>
        <w:footnoteReference w:id="22"/>
      </w:r>
      <w:r>
        <w:rPr>
          <w:rFonts w:ascii="IRNazanin" w:hAnsi="IRNazanin" w:eastAsia="IRNazanin" w:cs="IRNazanin"/>
          <w:lang w:bidi="fa-IR"/>
          <w:color w:val="111111"/>
          <w:sz w:val="28"/>
          <w:szCs w:val="28"/>
          <w:rtl/>
        </w:rPr>
        <w:t xml:space="preserve">ترجمه النصرآبادی فی (نر 5- ص 107) و أطری علمه و فضله فی المعقول و أورد بعض شعره و رباعیاته و ذکر أنه فی (1072) صار مأمورا ببندر عباس و لما رجع توفی بشیراز. و یأتی دیوان أخیه المیرزا حسن بعنوان دیوان راهب و دیوان واهب.</w:t>
      </w:r>
    </w:p>
    <w:p>
      <w:pPr>
        <w:pStyle w:val="Heading3"/>
      </w:pPr>
      <w:bookmarkStart w:id="3249" w:name="_Toc1945"/>
      <w:r>
        <w:t>1533- دیوان حسین المشهدی أو شعره‏</w:t>
      </w:r>
      <w:bookmarkEnd w:id="3249"/>
    </w:p>
    <w:p>
      <w:pPr>
        <w:pStyle w:val="BookText"/>
      </w:pPr>
      <w:r>
        <w:rPr>
          <w:rFonts w:ascii="IRNazanin" w:hAnsi="IRNazanin" w:eastAsia="IRNazanin" w:cs="IRNazanin"/>
          <w:lang w:bidi="fa-IR"/>
          <w:color w:val="111111"/>
          <w:sz w:val="28"/>
          <w:szCs w:val="28"/>
          <w:rtl/>
        </w:rPr>
        <w:t xml:space="preserve">أورد شعره فی (سرخوش- ص 31)</w:t>
      </w:r>
    </w:p>
    <w:p>
      <w:pPr>
        <w:pStyle w:val="Heading3"/>
      </w:pPr>
      <w:bookmarkStart w:id="3250" w:name="_Toc1946"/>
      <w:r>
        <w:t>1534- دیوان السید المیر حسین المعمائی النیشابوری‏</w:t>
      </w:r>
      <w:bookmarkEnd w:id="3250"/>
    </w:p>
    <w:p>
      <w:pPr>
        <w:pStyle w:val="BookText"/>
      </w:pPr>
      <w:r>
        <w:rPr>
          <w:rFonts w:ascii="IRNazanin" w:hAnsi="IRNazanin" w:eastAsia="IRNazanin" w:cs="IRNazanin"/>
          <w:lang w:bidi="fa-IR"/>
          <w:color w:val="111111"/>
          <w:sz w:val="28"/>
          <w:szCs w:val="28"/>
          <w:rtl/>
        </w:rPr>
        <w:t xml:space="preserve">ترجمه میرزا بابر فی بابرنامه و النصرآبادی فی (نر 15- ص 500) و أورد هذا بعض معمیاته، و حکی قول الجامی أنه لو علمت بمجی‏ء المیر السید حسین المعمائی لما أنشأت المعمی أصلا. و صرح بأنه من سادات نیشابور و معاصر للجامی المتوفی (898) و قال فی شاهد صادق و (تغ- ص 44) إنه مات (904). و أما القاضی المیر حسین المیبدی فلم یکن سیدا و توفی (911) فهو متأخر عن هذا السید المعمائی، و کان یتخلص شفیعی کما قال ابنی فی (فهرست‏.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50" w:name="pg11704_121730"/>
    <w:bookmarkEnd w:id="250"/>
    <w:p>
      <w:pPr>
        <w:pStyle w:val="BookText"/>
      </w:pPr>
      <w:r>
        <w:rPr>
          <w:rFonts w:ascii="IRNazanin" w:hAnsi="IRNazanin" w:eastAsia="IRNazanin" w:cs="IRNazanin"/>
          <w:lang w:bidi="fa-IR"/>
          <w:color w:val="111111"/>
          <w:sz w:val="28"/>
          <w:szCs w:val="28"/>
          <w:rtl/>
        </w:rPr>
        <w:t xml:space="preserve">کتابخانه دانشگاه- ج 2 ص 401).</w:t>
      </w:r>
    </w:p>
    <w:p>
      <w:pPr>
        <w:pStyle w:val="Heading3"/>
      </w:pPr>
      <w:bookmarkStart w:id="3251" w:name="_Toc1947"/>
      <w:r>
        <w:t>1535- دیوان القاضی المیر حسین المیبدی‏</w:t>
      </w:r>
      <w:bookmarkEnd w:id="3251"/>
    </w:p>
    <w:p>
      <w:pPr>
        <w:pStyle w:val="BookText"/>
      </w:pPr>
      <w:r>
        <w:rPr>
          <w:rFonts w:ascii="IRNazanin" w:hAnsi="IRNazanin" w:eastAsia="IRNazanin" w:cs="IRNazanin"/>
          <w:lang w:bidi="fa-IR"/>
          <w:color w:val="111111"/>
          <w:sz w:val="28"/>
          <w:szCs w:val="28"/>
          <w:rtl/>
        </w:rPr>
        <w:t xml:space="preserve">ابن المولی معین الدین نزیل یزد و شارح دیوان أمیر المؤمنین علیه السلام  و المتوفی (911) مطابق لفظ (قاضی) ترجمه النصرآبادی فی (نر 15- ص 512) و أورد تسعة من معمیاته منها باسم علی. ترجمه فی (تس 2- ص 48) و (هفت- ص 174) و ذکر أن تخلصه منطقی و ترجمه فی (تش یز- ص 332) باسمه میر حسین و تخلصه المنطقی، فظهر أن تسمیته بمیر حسین لیست لأجل سیادته کما زعمه کشف الظنون فوصفه فی (ج 2 ص 656 س 7) بالحسینی.</w:t>
      </w:r>
    </w:p>
    <w:p>
      <w:pPr>
        <w:pStyle w:val="Heading3"/>
      </w:pPr>
      <w:bookmarkStart w:id="3252" w:name="_Toc1948"/>
      <w:r>
        <w:t>دیوان الشیخ حسین نجف‏</w:t>
      </w:r>
      <w:bookmarkEnd w:id="3252"/>
    </w:p>
    <w:p>
      <w:pPr>
        <w:pStyle w:val="BookText"/>
      </w:pPr>
      <w:r>
        <w:rPr>
          <w:rFonts w:ascii="IRNazanin" w:hAnsi="IRNazanin" w:eastAsia="IRNazanin" w:cs="IRNazanin"/>
          <w:lang w:bidi="fa-IR"/>
          <w:color w:val="111111"/>
          <w:sz w:val="28"/>
          <w:szCs w:val="28"/>
          <w:rtl/>
        </w:rPr>
        <w:t xml:space="preserve">مر بعنوان حسین بن نجف.</w:t>
      </w:r>
    </w:p>
    <w:p>
      <w:pPr>
        <w:pStyle w:val="Heading3"/>
      </w:pPr>
      <w:bookmarkStart w:id="3253" w:name="_Toc1949"/>
      <w:r>
        <w:t>دیوان الحاج میرزا حسین النوری‏</w:t>
      </w:r>
      <w:bookmarkEnd w:id="3253"/>
    </w:p>
    <w:p>
      <w:pPr>
        <w:pStyle w:val="BookText"/>
      </w:pPr>
      <w:r>
        <w:rPr>
          <w:rFonts w:ascii="IRNazanin" w:hAnsi="IRNazanin" w:eastAsia="IRNazanin" w:cs="IRNazanin"/>
          <w:lang w:bidi="fa-IR"/>
          <w:color w:val="111111"/>
          <w:sz w:val="28"/>
          <w:szCs w:val="28"/>
          <w:rtl/>
        </w:rPr>
        <w:t xml:space="preserve">یأتی بتخلصه دیوان نوری.</w:t>
      </w:r>
    </w:p>
    <w:p>
      <w:pPr>
        <w:pStyle w:val="Heading3"/>
      </w:pPr>
      <w:bookmarkStart w:id="3254" w:name="_Toc1950"/>
      <w:r>
        <w:t>دیوان المیر حسین النیشابوری‏</w:t>
      </w:r>
      <w:bookmarkEnd w:id="3254"/>
    </w:p>
    <w:p>
      <w:pPr>
        <w:pStyle w:val="BookText"/>
      </w:pPr>
      <w:r>
        <w:rPr>
          <w:rFonts w:ascii="IRNazanin" w:hAnsi="IRNazanin" w:eastAsia="IRNazanin" w:cs="IRNazanin"/>
          <w:lang w:bidi="fa-IR"/>
          <w:color w:val="111111"/>
          <w:sz w:val="28"/>
          <w:szCs w:val="28"/>
          <w:rtl/>
        </w:rPr>
        <w:t xml:space="preserve">مر بعنوان میر حسین المعائی و یأتی بعنوان شفیعی.</w:t>
      </w:r>
    </w:p>
    <w:p>
      <w:pPr>
        <w:pStyle w:val="Heading3"/>
      </w:pPr>
      <w:bookmarkStart w:id="3255" w:name="_Toc1951"/>
      <w:r>
        <w:t>1536- دیوان حسینی الرضوی الخراسانی الهندی‏</w:t>
      </w:r>
      <w:bookmarkEnd w:id="3255"/>
    </w:p>
    <w:p>
      <w:pPr>
        <w:pStyle w:val="BookText"/>
      </w:pPr>
      <w:r>
        <w:rPr>
          <w:rFonts w:ascii="IRNazanin" w:hAnsi="IRNazanin" w:eastAsia="IRNazanin" w:cs="IRNazanin"/>
          <w:lang w:bidi="fa-IR"/>
          <w:color w:val="111111"/>
          <w:sz w:val="28"/>
          <w:szCs w:val="28"/>
          <w:rtl/>
        </w:rPr>
        <w:t xml:space="preserve">. للسید فتح علی خان المشهدی المقیم بالهند و المتوفی بشاه جهان‏آباد فی (1224) و هو ابن عوض علی خان بن المیر عثمان خان الرضوی النقوی. نزل جده المذکور من خراسان إلی الهند فی عهد فرخ سیر و محمد شاه. و نصب عوض علی حاکما للاهور، و نشا فتح علی هناک، و تلمذ علی صدرجهان فی العرفان. و مات عن خمس و تسعین من عمره و دفن</w:t>
      </w:r>
    </w:p>
    <w:p>
      <w:pPr>
        <w:pStyle w:val="BookText"/>
      </w:pPr>
      <w:r>
        <w:rPr>
          <w:rFonts w:ascii="IRNazanin" w:hAnsi="IRNazanin" w:eastAsia="IRNazanin" w:cs="IRNazanin"/>
          <w:lang w:bidi="fa-IR"/>
          <w:color w:val="111111"/>
          <w:sz w:val="28"/>
          <w:szCs w:val="28"/>
          <w:rtl/>
        </w:rPr>
        <w:t xml:space="preserve">عند قبر والده بجوار ترکان شاه بشاه جهان‏آباد، کذا فی (گلشن- ص 137) و قال إن دیوانه یقرب من خمسة عشر ألف بیت و فی مطلع الشمس أنه فی أربعة عشر ألف بیت.</w:t>
      </w:r>
    </w:p>
    <w:p>
      <w:pPr>
        <w:pStyle w:val="Heading3"/>
      </w:pPr>
      <w:bookmarkStart w:id="3256" w:name="_Toc1952"/>
      <w:r>
        <w:t>دیوان حسینی سادات‏</w:t>
      </w:r>
      <w:bookmarkEnd w:id="3256"/>
    </w:p>
    <w:p>
      <w:pPr>
        <w:pStyle w:val="BookText"/>
      </w:pPr>
      <w:r>
        <w:rPr>
          <w:rFonts w:ascii="IRNazanin" w:hAnsi="IRNazanin" w:eastAsia="IRNazanin" w:cs="IRNazanin"/>
          <w:lang w:bidi="fa-IR"/>
          <w:color w:val="111111"/>
          <w:sz w:val="28"/>
          <w:szCs w:val="28"/>
          <w:rtl/>
        </w:rPr>
        <w:t xml:space="preserve">مر بعنوان أمیر حسینی فی (ص 100).</w:t>
      </w:r>
    </w:p>
    <w:p>
      <w:pPr>
        <w:pStyle w:val="Heading3"/>
      </w:pPr>
      <w:bookmarkStart w:id="3257" w:name="_Toc1953"/>
      <w:r>
        <w:t>دیوان حسینی شیرازی‏</w:t>
      </w:r>
      <w:bookmarkEnd w:id="3257"/>
    </w:p>
    <w:p>
      <w:pPr>
        <w:pStyle w:val="BookText"/>
      </w:pPr>
      <w:r>
        <w:rPr>
          <w:rFonts w:ascii="IRNazanin" w:hAnsi="IRNazanin" w:eastAsia="IRNazanin" w:cs="IRNazanin"/>
          <w:lang w:bidi="fa-IR"/>
          <w:color w:val="111111"/>
          <w:sz w:val="28"/>
          <w:szCs w:val="28"/>
          <w:rtl/>
        </w:rPr>
        <w:t xml:space="preserve">راجع حسینی قزوینی.</w:t>
      </w:r>
    </w:p>
    <w:p>
      <w:pPr>
        <w:pStyle w:val="Heading3"/>
      </w:pPr>
      <w:bookmarkStart w:id="3258" w:name="_Toc1954"/>
      <w:r>
        <w:t>دیوان حسینی غوری‏</w:t>
      </w:r>
      <w:bookmarkEnd w:id="3258"/>
    </w:p>
    <w:p>
      <w:pPr>
        <w:pStyle w:val="BookText"/>
      </w:pPr>
      <w:r>
        <w:rPr>
          <w:rFonts w:ascii="IRNazanin" w:hAnsi="IRNazanin" w:eastAsia="IRNazanin" w:cs="IRNazanin"/>
          <w:lang w:bidi="fa-IR"/>
          <w:color w:val="111111"/>
          <w:sz w:val="28"/>
          <w:szCs w:val="28"/>
          <w:rtl/>
        </w:rPr>
        <w:t xml:space="preserve">راجع أمیر حسینی فی (ص 100).</w:t>
      </w:r>
    </w:p>
    <w:p>
      <w:pPr>
        <w:pStyle w:val="Heading3"/>
      </w:pPr>
      <w:bookmarkStart w:id="3259" w:name="_Toc1955"/>
      <w:r>
        <w:t>1537- دیوان حسینی قزوینی‏</w:t>
      </w:r>
      <w:bookmarkEnd w:id="3259"/>
    </w:p>
    <w:p>
      <w:pPr>
        <w:pStyle w:val="BookText"/>
      </w:pPr>
      <w:r>
        <w:rPr>
          <w:rFonts w:ascii="IRNazanin" w:hAnsi="IRNazanin" w:eastAsia="IRNazanin" w:cs="IRNazanin"/>
          <w:lang w:bidi="fa-IR"/>
          <w:color w:val="111111"/>
          <w:sz w:val="28"/>
          <w:szCs w:val="28"/>
          <w:rtl/>
        </w:rPr>
        <w:t xml:space="preserve">و هو الحاج محمد حسین بن محمد حسن بن معصوم القزوینی الأصل الشیرازی المسکن تلمیذ أبی القاسم سکوت. و توفی (1249) ترجمه فی طرائق الحقائق و فی (ض- ص 428 و 445) و مر له خمسه حسینی فی (ج 7- ص 257) و إلهی‏نامه فی (ج 2 ص 284).</w:t>
      </w:r>
    </w:p>
    <w:p>
      <w:pPr>
        <w:pStyle w:val="Heading3"/>
      </w:pPr>
      <w:bookmarkStart w:id="3260" w:name="_Toc1956"/>
      <w:r>
        <w:t>دیوان حسینی کاشانی‏</w:t>
      </w:r>
      <w:bookmarkEnd w:id="3260"/>
    </w:p>
    <w:p>
      <w:pPr>
        <w:pStyle w:val="BookText"/>
      </w:pPr>
      <w:r>
        <w:rPr>
          <w:rFonts w:ascii="IRNazanin" w:hAnsi="IRNazanin" w:eastAsia="IRNazanin" w:cs="IRNazanin"/>
          <w:lang w:bidi="fa-IR"/>
          <w:color w:val="111111"/>
          <w:sz w:val="28"/>
          <w:szCs w:val="28"/>
          <w:rtl/>
        </w:rPr>
        <w:t xml:space="preserve">مر بعنوان حسنی کاشانی.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51" w:name="pg11704_121731"/>
    <w:bookmarkEnd w:id="251"/>
    <w:p>
      <w:pPr>
        <w:pStyle w:val="Heading3"/>
      </w:pPr>
      <w:bookmarkStart w:id="3261" w:name="_Toc1957"/>
      <w:r>
        <w:t>1538- دیوان حسینی گورکانی‏</w:t>
      </w:r>
      <w:bookmarkEnd w:id="3261"/>
    </w:p>
    <w:p>
      <w:pPr>
        <w:pStyle w:val="BookText"/>
      </w:pPr>
      <w:r>
        <w:rPr>
          <w:rFonts w:ascii="IRNazanin" w:hAnsi="IRNazanin" w:eastAsia="IRNazanin" w:cs="IRNazanin"/>
          <w:lang w:bidi="fa-IR"/>
          <w:color w:val="111111"/>
          <w:sz w:val="28"/>
          <w:szCs w:val="28"/>
          <w:rtl/>
        </w:rPr>
        <w:t xml:space="preserve">و هو السلطان حسین میرزا بن منصور بن بایقرا بن حسن بن عمر شیخ بن الأمیر تیمور گورکان. رباه بعد موت والده أخوه بایقرا و لذا ینسب إلیه و یقال له السلطان حسین میرزا بایقرا. و بعد أن غلب علی یادگار محمد البایسنقری قتله بهراة فی (875) و استقل بالملک فی خراسان و أفغانستان إلی أن توفی (911) قال فی (تس 1- ص 11) إنه کان خیرا یدر الأرزاق للعلماء و کان الموظفون منهم عنه اثنی عشر ألف عالما، و کان یطعم الفقراء فی عشرة عاشوراء و یذبح شاتین فی کل یوم توسلا إلی الحسین علیه السلام  و قال میرزا بابر فی بابرنامه إنه فی سبعة أعوام أول ملکه کان خیرا و بعدها شرب الخمر کل یوم بعد</w:t>
      </w:r>
    </w:p>
    <w:p>
      <w:pPr>
        <w:pStyle w:val="BookText"/>
      </w:pPr>
      <w:r>
        <w:rPr>
          <w:rFonts w:ascii="IRNazanin" w:hAnsi="IRNazanin" w:eastAsia="IRNazanin" w:cs="IRNazanin"/>
          <w:lang w:bidi="fa-IR"/>
          <w:color w:val="111111"/>
          <w:sz w:val="28"/>
          <w:szCs w:val="28"/>
          <w:rtl/>
        </w:rPr>
        <w:t xml:space="preserve">صلاة الصبح و ما کان یسکر قبل الصلاة، و کان ملتذا من دنیاه کثیرا. و له دیوان بالترکیة کلها علی زنة واحدة یتخلص فیها حسینی و ألف کمال الدین حسین گازرگاهی مجالس العشاق و أظهر بین الناس أنه تألیف لسلطان حسین میرزا، و فیها أکاذیب و مناکیر ینسب العشق و الغرام إلی الأنبیاء فی قصص مکذوبة. ترجمه فی (مجن 8- ص 130 و 316) و (مع- ج 1 ص 21) و (تش- ص 12) و براون ج 3 ص 516.</w:t>
      </w:r>
    </w:p>
    <w:p>
      <w:pPr>
        <w:pStyle w:val="Heading3"/>
      </w:pPr>
      <w:bookmarkStart w:id="3262" w:name="_Toc1958"/>
      <w:r>
        <w:t>1539- دیوان حسینی لاهوری أو شعره‏</w:t>
      </w:r>
      <w:bookmarkEnd w:id="3262"/>
    </w:p>
    <w:p>
      <w:pPr>
        <w:pStyle w:val="BookText"/>
      </w:pPr>
      <w:r>
        <w:rPr>
          <w:rFonts w:ascii="IRNazanin" w:hAnsi="IRNazanin" w:eastAsia="IRNazanin" w:cs="IRNazanin"/>
          <w:lang w:bidi="fa-IR"/>
          <w:color w:val="111111"/>
          <w:sz w:val="28"/>
          <w:szCs w:val="28"/>
          <w:rtl/>
        </w:rPr>
        <w:t xml:space="preserve">و اسمه غلام من شعراء جهانگیر پادشاه.</w:t>
      </w:r>
    </w:p>
    <w:p>
      <w:pPr>
        <w:pStyle w:val="BookText"/>
      </w:pPr>
      <w:r>
        <w:rPr>
          <w:rFonts w:ascii="IRNazanin" w:hAnsi="IRNazanin" w:eastAsia="IRNazanin" w:cs="IRNazanin"/>
          <w:lang w:bidi="fa-IR"/>
          <w:color w:val="111111"/>
          <w:sz w:val="28"/>
          <w:szCs w:val="28"/>
          <w:rtl/>
        </w:rPr>
        <w:t xml:space="preserve">أورد شعره فی (گلشن- ص 137).</w:t>
      </w:r>
    </w:p>
    <w:p>
      <w:pPr>
        <w:pStyle w:val="Heading3"/>
      </w:pPr>
      <w:bookmarkStart w:id="3263" w:name="_Toc1959"/>
      <w:r>
        <w:t>دیوان حسینی هراتی‏</w:t>
      </w:r>
      <w:bookmarkEnd w:id="3263"/>
    </w:p>
    <w:p>
      <w:pPr>
        <w:pStyle w:val="BookText"/>
      </w:pPr>
      <w:r>
        <w:rPr>
          <w:rFonts w:ascii="IRNazanin" w:hAnsi="IRNazanin" w:eastAsia="IRNazanin" w:cs="IRNazanin"/>
          <w:lang w:bidi="fa-IR"/>
          <w:color w:val="111111"/>
          <w:sz w:val="28"/>
          <w:szCs w:val="28"/>
          <w:rtl/>
        </w:rPr>
        <w:t xml:space="preserve">مر بعنوان أمیر حسینی فی (ص 100).</w:t>
      </w:r>
    </w:p>
    <w:p>
      <w:pPr>
        <w:pStyle w:val="Heading3"/>
      </w:pPr>
      <w:bookmarkStart w:id="3264" w:name="_Toc1960"/>
      <w:r>
        <w:t>دیوان حسینی هندی‏</w:t>
      </w:r>
      <w:bookmarkEnd w:id="3264"/>
    </w:p>
    <w:p>
      <w:pPr>
        <w:pStyle w:val="BookText"/>
      </w:pPr>
      <w:r>
        <w:rPr>
          <w:rFonts w:ascii="IRNazanin" w:hAnsi="IRNazanin" w:eastAsia="IRNazanin" w:cs="IRNazanin"/>
          <w:lang w:bidi="fa-IR"/>
          <w:color w:val="111111"/>
          <w:sz w:val="28"/>
          <w:szCs w:val="28"/>
          <w:rtl/>
        </w:rPr>
        <w:t xml:space="preserve">مر بعنوان حسینی رضوی.</w:t>
      </w:r>
    </w:p>
    <w:p>
      <w:pPr>
        <w:pStyle w:val="Heading3"/>
      </w:pPr>
      <w:bookmarkStart w:id="3265" w:name="_Toc1961"/>
      <w:r>
        <w:t>1540- دیوان حسینی هندی‏</w:t>
      </w:r>
      <w:bookmarkEnd w:id="3265"/>
    </w:p>
    <w:p>
      <w:pPr>
        <w:pStyle w:val="BookText"/>
      </w:pPr>
      <w:r>
        <w:rPr>
          <w:rFonts w:ascii="IRNazanin" w:hAnsi="IRNazanin" w:eastAsia="IRNazanin" w:cs="IRNazanin"/>
          <w:lang w:bidi="fa-IR"/>
          <w:color w:val="111111"/>
          <w:sz w:val="28"/>
          <w:szCs w:val="28"/>
          <w:rtl/>
        </w:rPr>
        <w:t xml:space="preserve">و هو محمد حسین الأودی صاحب الشیخ علی الحزین.</w:t>
      </w:r>
    </w:p>
    <w:p>
      <w:pPr>
        <w:pStyle w:val="BookText"/>
      </w:pPr>
      <w:r>
        <w:rPr>
          <w:rFonts w:ascii="IRNazanin" w:hAnsi="IRNazanin" w:eastAsia="IRNazanin" w:cs="IRNazanin"/>
          <w:lang w:bidi="fa-IR"/>
          <w:color w:val="111111"/>
          <w:sz w:val="28"/>
          <w:szCs w:val="28"/>
          <w:rtl/>
        </w:rPr>
        <w:t xml:space="preserve">مات ببنارس الهند و دفن عند قبر الحزین فی (1205) و دیوانه یشتمل علی ستة آلاف بیت من جمیع أقسام الشعر، أورد بعضه فی (گلشن- ص 136).</w:t>
      </w:r>
    </w:p>
    <w:p>
      <w:pPr>
        <w:pStyle w:val="Heading3"/>
      </w:pPr>
      <w:bookmarkStart w:id="3266" w:name="_Toc1962"/>
      <w:r>
        <w:t>1541- دیوان حسینی یزدی‏</w:t>
      </w:r>
      <w:bookmarkEnd w:id="3266"/>
    </w:p>
    <w:p>
      <w:pPr>
        <w:pStyle w:val="BookText"/>
      </w:pPr>
      <w:r>
        <w:rPr>
          <w:rFonts w:ascii="IRNazanin" w:hAnsi="IRNazanin" w:eastAsia="IRNazanin" w:cs="IRNazanin"/>
          <w:lang w:bidi="fa-IR"/>
          <w:color w:val="111111"/>
          <w:sz w:val="28"/>
          <w:szCs w:val="28"/>
          <w:rtl/>
        </w:rPr>
        <w:t xml:space="preserve">قال آیتی فی تش یز- ص 286) أن اسمه حسین و کان من سادات یزد و شعره کثیر.</w:t>
      </w:r>
    </w:p>
    <w:p>
      <w:pPr>
        <w:pStyle w:val="Heading3"/>
      </w:pPr>
      <w:bookmarkStart w:id="3267" w:name="_Toc1963"/>
      <w:r>
        <w:t>1542- دیوان حشری تبریزی‏</w:t>
      </w:r>
      <w:bookmarkEnd w:id="3267"/>
    </w:p>
    <w:p>
      <w:pPr>
        <w:pStyle w:val="BookText"/>
      </w:pPr>
      <w:r>
        <w:rPr>
          <w:rFonts w:ascii="IRNazanin" w:hAnsi="IRNazanin" w:eastAsia="IRNazanin" w:cs="IRNazanin"/>
          <w:lang w:bidi="fa-IR"/>
          <w:color w:val="111111"/>
          <w:sz w:val="28"/>
          <w:szCs w:val="28"/>
          <w:rtl/>
        </w:rPr>
        <w:t xml:space="preserve">و هو الملا محمد أمین الأنصاری التبریزی الأصل. سکن بعباس‏آباد أصفهان. و کان له راتبا فقطع فنظم حشری قصیدة مدح فیها المیر حبیب الله صدر فأعاده و هو الذی نظم غزوات الشاه عباس بأمره. ثم رجع إلی تبریز و بهامات. ترجمه فی‏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52" w:name="pg11704_121732"/>
    <w:bookmarkEnd w:id="252"/>
    <w:p>
      <w:pPr>
        <w:pStyle w:val="BookText"/>
      </w:pPr>
      <w:r>
        <w:rPr>
          <w:rFonts w:ascii="IRNazanin" w:hAnsi="IRNazanin" w:eastAsia="IRNazanin" w:cs="IRNazanin"/>
          <w:lang w:bidi="fa-IR"/>
          <w:color w:val="111111"/>
          <w:sz w:val="28"/>
          <w:szCs w:val="28"/>
          <w:rtl/>
        </w:rPr>
        <w:t xml:space="preserve">(نر 9- ص 280) و خزانة عامرة- ص 293 و (دجا- ص 117). و له أیضا روضة الأبرار علی زنة مخزن الأسرار للنظامی، أورد الحشری ذکر منظومته هذه فی مقدمه کتابه روضه أطهار الذی هو فی مزارات العرفاء بتبریز و قد ألفه فی (1011 روضه) و قال إنه نظم روضه أبرار أیضا فی هذه السنة، و قال فی أوله إن ظهور القائم سیکون فی هذا العصر و هو عصر الشاه عباس بن محمد بن طهماسب الصفوی. و قد طبع روضة الأطهار فی 1303 بتبریز.</w:t>
      </w:r>
    </w:p>
    <w:p>
      <w:pPr>
        <w:pStyle w:val="Heading3"/>
      </w:pPr>
      <w:bookmarkStart w:id="3268" w:name="_Toc1964"/>
      <w:r>
        <w:t>1543- دیوان حشم‏</w:t>
      </w:r>
      <w:bookmarkEnd w:id="3268"/>
    </w:p>
    <w:p>
      <w:pPr>
        <w:pStyle w:val="BookText"/>
      </w:pPr>
      <w:r>
        <w:rPr>
          <w:rFonts w:ascii="IRNazanin" w:hAnsi="IRNazanin" w:eastAsia="IRNazanin" w:cs="IRNazanin"/>
          <w:lang w:bidi="fa-IR"/>
          <w:color w:val="111111"/>
          <w:sz w:val="28"/>
          <w:szCs w:val="28"/>
          <w:rtl/>
        </w:rPr>
        <w:t xml:space="preserve">من شعراء الفرس بالهند فی القرن الثانی عشر کما ذکره ابن یوسف فی فهرس المجلس (ج 3 ص 264). کان اسمه حسن کما صرح به فی الدیوان.</w:t>
      </w:r>
    </w:p>
    <w:p>
      <w:pPr>
        <w:pStyle w:val="BookText"/>
      </w:pPr>
      <w:r>
        <w:rPr>
          <w:rFonts w:ascii="IRNazanin" w:hAnsi="IRNazanin" w:eastAsia="IRNazanin" w:cs="IRNazanin"/>
          <w:lang w:bidi="fa-IR"/>
          <w:color w:val="111111"/>
          <w:sz w:val="28"/>
          <w:szCs w:val="28"/>
          <w:rtl/>
        </w:rPr>
        <w:t xml:space="preserve">توجد نسخه من دیوانه فی (المجلس) یشتمل علی ألف بیت. أوله:</w:t>
      </w:r>
    </w:p>
    <w:p>
      <w:pPr>
        <w:pStyle w:val="BookText"/>
      </w:pPr>
      <w:r>
        <w:rPr>
          <w:rFonts w:ascii="IRNazanin" w:hAnsi="IRNazanin" w:eastAsia="IRNazanin" w:cs="IRNazanin"/>
          <w:lang w:bidi="fa-IR"/>
          <w:color w:val="111111"/>
          <w:sz w:val="28"/>
          <w:szCs w:val="28"/>
          <w:rtl/>
        </w:rPr>
        <w:t xml:space="preserve">ای سحاب لطف تر گوهر ز بالا ریخته‏</w:t>
      </w:r>
    </w:p>
    <w:p>
      <w:pPr>
        <w:pStyle w:val="BookText"/>
      </w:pPr>
      <w:r>
        <w:rPr>
          <w:rFonts w:ascii="IRNazanin" w:hAnsi="IRNazanin" w:eastAsia="IRNazanin" w:cs="IRNazanin"/>
          <w:lang w:bidi="fa-IR"/>
          <w:color w:val="111111"/>
          <w:sz w:val="28"/>
          <w:szCs w:val="28"/>
          <w:rtl/>
        </w:rPr>
        <w:t xml:space="preserve">در دکان هر صدف صد در لالا ریخته‏</w:t>
      </w:r>
    </w:p>
    <w:p>
      <w:pPr>
        <w:pStyle w:val="BookText"/>
      </w:pPr>
      <w:r>
        <w:rPr>
          <w:rFonts w:ascii="IRNazanin" w:hAnsi="IRNazanin" w:eastAsia="IRNazanin" w:cs="IRNazanin"/>
          <w:lang w:bidi="fa-IR"/>
          <w:color w:val="111111"/>
          <w:sz w:val="28"/>
          <w:szCs w:val="28"/>
          <w:rtl/>
        </w:rPr>
        <w:t xml:space="preserve">و کتابة النسخة فی أوائل القرن الثالث عشر.</w:t>
      </w:r>
    </w:p>
    <w:p>
      <w:pPr>
        <w:pStyle w:val="Heading3"/>
      </w:pPr>
      <w:bookmarkStart w:id="3269" w:name="_Toc1965"/>
      <w:r>
        <w:t>1544- دیوان حشمت بدخشی‏</w:t>
      </w:r>
      <w:bookmarkEnd w:id="3269"/>
    </w:p>
    <w:p>
      <w:pPr>
        <w:pStyle w:val="BookText"/>
      </w:pPr>
      <w:r>
        <w:rPr>
          <w:rFonts w:ascii="IRNazanin" w:hAnsi="IRNazanin" w:eastAsia="IRNazanin" w:cs="IRNazanin"/>
          <w:lang w:bidi="fa-IR"/>
          <w:color w:val="111111"/>
          <w:sz w:val="28"/>
          <w:szCs w:val="28"/>
          <w:rtl/>
        </w:rPr>
        <w:t xml:space="preserve">و هو المیر محتشم علی خان بن المیر باقی البدخشانی الأصل. نزل جده بالهند و تلمذ هو علی عبد الرضا متین الأصفهانی و آرزو و غیرهما، و مات (1263) و دیوانه یشتمل علی سبعة آلاف بیت کما فی (گلشن- ص 139) و (تغ- ص 46).</w:t>
      </w:r>
    </w:p>
    <w:p>
      <w:pPr>
        <w:pStyle w:val="Heading3"/>
      </w:pPr>
      <w:bookmarkStart w:id="3270" w:name="_Toc1966"/>
      <w:r>
        <w:t>1545- دیوان حشمت قاجار</w:t>
      </w:r>
      <w:bookmarkEnd w:id="3270"/>
    </w:p>
    <w:p>
      <w:pPr>
        <w:pStyle w:val="BookText"/>
      </w:pPr>
      <w:r>
        <w:rPr>
          <w:rFonts w:ascii="IRNazanin" w:hAnsi="IRNazanin" w:eastAsia="IRNazanin" w:cs="IRNazanin"/>
          <w:lang w:bidi="fa-IR"/>
          <w:color w:val="111111"/>
          <w:sz w:val="28"/>
          <w:szCs w:val="28"/>
          <w:rtl/>
        </w:rPr>
        <w:t xml:space="preserve">و اسمه همایون میرزا من شعراء القاجار فی العهد الناصری. له تذکره سفینه و گلشن محمود کما فی (مع- ج 1 ص 22) و ریحانة الأدب و له مثنوی یوسف زلیخا کما فی (دجا- ص 175).</w:t>
      </w:r>
    </w:p>
    <w:p>
      <w:pPr>
        <w:pStyle w:val="Heading3"/>
      </w:pPr>
      <w:bookmarkStart w:id="3271" w:name="_Toc1967"/>
      <w:r>
        <w:t>1546- دیوان حشمتی خوانساری‏</w:t>
      </w:r>
      <w:bookmarkEnd w:id="3271"/>
    </w:p>
    <w:p>
      <w:pPr>
        <w:pStyle w:val="BookText"/>
      </w:pPr>
      <w:r>
        <w:rPr>
          <w:rFonts w:ascii="IRNazanin" w:hAnsi="IRNazanin" w:eastAsia="IRNazanin" w:cs="IRNazanin"/>
          <w:lang w:bidi="fa-IR"/>
          <w:color w:val="111111"/>
          <w:sz w:val="28"/>
          <w:szCs w:val="28"/>
          <w:rtl/>
        </w:rPr>
        <w:t xml:space="preserve">و اسمه ملا علی بیگ الزاهد الخطاط. کان معلم النوابة حوا بیگم ثم عزل و انزوی بنصرآباد أصفهان و اشتغل بکتابه القرآن، و له دیوان فی خمسة آلاف بیت رآه النصرآبادی فنقل عنه کما فی (نر 9- ص 320) ثم فی (گلشن ص 139).</w:t>
      </w:r>
    </w:p>
    <w:p>
      <w:pPr>
        <w:pStyle w:val="Heading3"/>
      </w:pPr>
      <w:bookmarkStart w:id="3272" w:name="_Toc1968"/>
      <w:r>
        <w:t>1547- دیوان حشمتی رشتی أو شعره‏</w:t>
      </w:r>
      <w:bookmarkEnd w:id="3272"/>
    </w:p>
    <w:p>
      <w:pPr>
        <w:pStyle w:val="BookText"/>
      </w:pPr>
      <w:r>
        <w:rPr>
          <w:rFonts w:ascii="IRNazanin" w:hAnsi="IRNazanin" w:eastAsia="IRNazanin" w:cs="IRNazanin"/>
          <w:lang w:bidi="fa-IR"/>
          <w:color w:val="111111"/>
          <w:sz w:val="28"/>
          <w:szCs w:val="28"/>
          <w:rtl/>
        </w:rPr>
        <w:t xml:space="preserve">ترجمه و أورد شعره فی (خص 8- ص 231).</w:t>
      </w:r>
    </w:p>
    <w:p>
      <w:pPr>
        <w:pStyle w:val="Heading3"/>
      </w:pPr>
      <w:bookmarkStart w:id="3273" w:name="_Toc1969"/>
      <w:r>
        <w:t>1548- دیوان حشمتی هندی‏</w:t>
      </w:r>
      <w:bookmarkEnd w:id="3273"/>
    </w:p>
    <w:p>
      <w:pPr>
        <w:pStyle w:val="BookText"/>
      </w:pPr>
      <w:r>
        <w:rPr>
          <w:rFonts w:ascii="IRNazanin" w:hAnsi="IRNazanin" w:eastAsia="IRNazanin" w:cs="IRNazanin"/>
          <w:lang w:bidi="fa-IR"/>
          <w:color w:val="111111"/>
          <w:sz w:val="28"/>
          <w:szCs w:val="28"/>
          <w:rtl/>
        </w:rPr>
        <w:t xml:space="preserve">ترجمه و أورد شعره فی (سرخوش- ص 31) و قال له دیوان فخیم علی الطراز القدیم.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53" w:name="pg11704_121733"/>
    <w:bookmarkEnd w:id="253"/>
    <w:p>
      <w:pPr>
        <w:pStyle w:val="Heading3"/>
      </w:pPr>
      <w:bookmarkStart w:id="3274" w:name="_Toc1970"/>
      <w:r>
        <w:t>1549- دیوان الحصکفی‏</w:t>
      </w:r>
      <w:bookmarkEnd w:id="3274"/>
    </w:p>
    <w:p>
      <w:pPr>
        <w:pStyle w:val="BookText"/>
      </w:pPr>
      <w:r>
        <w:rPr>
          <w:rFonts w:ascii="IRNazanin" w:hAnsi="IRNazanin" w:eastAsia="IRNazanin" w:cs="IRNazanin"/>
          <w:lang w:bidi="fa-IR"/>
          <w:color w:val="111111"/>
          <w:sz w:val="28"/>
          <w:szCs w:val="28"/>
          <w:rtl/>
        </w:rPr>
        <w:t xml:space="preserve">من حصن کیفا قریة بدیار بکر. لأبی الفضل یحیی بن سلام بن حسین بن محمد الخطیب الحصکفی المتوفی (551) ذکره فی ریاض العلماء، و ترجمه فی (جما- ج 20 ص 18) بعنوان یحیی بن سلامة و ذکر أن له دیوان شعر و دیوان رسائل، و إنه ولد (459) و توفی کما مر، و ذکر جملة من شعره. توجد نسخه دیوانه فی مکتبة جامع الپاشا بالموصل کما فی فهرسها (ص 48). و ترجمه أیضا فی مجالس المؤمنین ص 113 و غیره.</w:t>
      </w:r>
    </w:p>
    <w:p>
      <w:pPr>
        <w:pStyle w:val="Heading3"/>
      </w:pPr>
      <w:bookmarkStart w:id="3275" w:name="_Toc1971"/>
      <w:r>
        <w:t>1550- دیوان المیر حضوری القمی‏</w:t>
      </w:r>
      <w:bookmarkEnd w:id="3275"/>
    </w:p>
    <w:p>
      <w:pPr>
        <w:pStyle w:val="BookText"/>
      </w:pPr>
      <w:r>
        <w:rPr>
          <w:rFonts w:ascii="IRNazanin" w:hAnsi="IRNazanin" w:eastAsia="IRNazanin" w:cs="IRNazanin"/>
          <w:lang w:bidi="fa-IR"/>
          <w:color w:val="111111"/>
          <w:sz w:val="28"/>
          <w:szCs w:val="28"/>
          <w:rtl/>
        </w:rPr>
        <w:t xml:space="preserve">و اسمه المیر عزیز الله أخ المیراشکی السابق ذکره.</w:t>
      </w:r>
    </w:p>
    <w:p>
      <w:pPr>
        <w:pStyle w:val="BookText"/>
      </w:pPr>
      <w:r>
        <w:rPr>
          <w:rFonts w:ascii="IRNazanin" w:hAnsi="IRNazanin" w:eastAsia="IRNazanin" w:cs="IRNazanin"/>
          <w:lang w:bidi="fa-IR"/>
          <w:color w:val="111111"/>
          <w:sz w:val="28"/>
          <w:szCs w:val="28"/>
          <w:rtl/>
        </w:rPr>
        <w:t xml:space="preserve">ترجمه الصادقی أیضا فی (خص 6- ص 76) و أورد بعض رباعیاته و شعره و کذا فی روضة الصفا.</w:t>
      </w:r>
    </w:p>
    <w:p>
      <w:pPr>
        <w:pStyle w:val="BookText"/>
      </w:pPr>
      <w:r>
        <w:rPr>
          <w:rFonts w:ascii="IRNazanin" w:hAnsi="IRNazanin" w:eastAsia="IRNazanin" w:cs="IRNazanin"/>
          <w:lang w:bidi="fa-IR"/>
          <w:color w:val="111111"/>
          <w:sz w:val="28"/>
          <w:szCs w:val="28"/>
          <w:rtl/>
        </w:rPr>
        <w:t xml:space="preserve">و قال فی (تش- ص 230) کان معاصرا للشاه طهماسب و سکن النجف و له دیوان. و قال فی (تغ- ص 46) إنه مات (1000).</w:t>
      </w:r>
    </w:p>
    <w:p>
      <w:pPr>
        <w:pStyle w:val="Heading3"/>
      </w:pPr>
      <w:bookmarkStart w:id="3276" w:name="_Toc1972"/>
      <w:r>
        <w:t>1551- دیوان حفظی أصفهانی‏</w:t>
      </w:r>
      <w:bookmarkEnd w:id="3276"/>
    </w:p>
    <w:p>
      <w:pPr>
        <w:pStyle w:val="BookText"/>
      </w:pPr>
      <w:r>
        <w:rPr>
          <w:rFonts w:ascii="IRNazanin" w:hAnsi="IRNazanin" w:eastAsia="IRNazanin" w:cs="IRNazanin"/>
          <w:lang w:bidi="fa-IR"/>
          <w:color w:val="111111"/>
          <w:sz w:val="28"/>
          <w:szCs w:val="28"/>
          <w:rtl/>
        </w:rPr>
        <w:t xml:space="preserve">اسمه الحاج محمود. ترجمه معاصره النصرآبادی فی (نر 9- ص 409) و ذکر تنقلاته إلی مکة و الهند و أطری زهده و تقواه و أورد بعض شعره و رباعیاته بما یظهر منه کثرة شعره و حیاته زمن التألیف (1083) و نسبه فی (دجا- ص 118) إلی تبریز و ترجمه أیضا فی (روشن- ص 181).</w:t>
      </w:r>
    </w:p>
    <w:p>
      <w:pPr>
        <w:pStyle w:val="Heading3"/>
      </w:pPr>
      <w:bookmarkStart w:id="3277" w:name="_Toc1973"/>
      <w:r>
        <w:t>1552- دیوان حفظی طهرانی‏</w:t>
      </w:r>
      <w:bookmarkEnd w:id="3277"/>
    </w:p>
    <w:p>
      <w:pPr>
        <w:pStyle w:val="BookText"/>
      </w:pPr>
      <w:r>
        <w:rPr>
          <w:rFonts w:ascii="IRNazanin" w:hAnsi="IRNazanin" w:eastAsia="IRNazanin" w:cs="IRNazanin"/>
          <w:lang w:bidi="fa-IR"/>
          <w:color w:val="111111"/>
          <w:sz w:val="28"/>
          <w:szCs w:val="28"/>
          <w:rtl/>
        </w:rPr>
        <w:t xml:space="preserve">ذکر سام میرزا فی (تس 5- ص 162) أن والده کان معمارا و أورد مطلع غزل له، و کذا فی (روشن- ص 181).</w:t>
      </w:r>
    </w:p>
    <w:p>
      <w:pPr>
        <w:pStyle w:val="Heading3"/>
      </w:pPr>
      <w:bookmarkStart w:id="3278" w:name="_Toc1974"/>
      <w:r>
        <w:t>دیوان حفظی تبریزی‏</w:t>
      </w:r>
      <w:bookmarkEnd w:id="3278"/>
    </w:p>
    <w:p>
      <w:pPr>
        <w:pStyle w:val="BookText"/>
      </w:pPr>
      <w:r>
        <w:rPr>
          <w:rFonts w:ascii="IRNazanin" w:hAnsi="IRNazanin" w:eastAsia="IRNazanin" w:cs="IRNazanin"/>
          <w:lang w:bidi="fa-IR"/>
          <w:color w:val="111111"/>
          <w:sz w:val="28"/>
          <w:szCs w:val="28"/>
          <w:rtl/>
        </w:rPr>
        <w:t xml:space="preserve">و اسمه الحاج محمود. حکی ترجمته و شعره فی (دجا- ص 118) عن مؤلف لطائف الخیال المؤلف (927) و أظنه الحفظی الأصفهانی المذکور.</w:t>
      </w:r>
    </w:p>
    <w:p>
      <w:pPr>
        <w:pStyle w:val="Heading3"/>
      </w:pPr>
      <w:bookmarkStart w:id="3279" w:name="_Toc1975"/>
      <w:r>
        <w:t>1553- دیوان حفید یزدی أو شعره‏</w:t>
      </w:r>
      <w:bookmarkEnd w:id="3279"/>
    </w:p>
    <w:p>
      <w:pPr>
        <w:pStyle w:val="BookText"/>
      </w:pPr>
      <w:r>
        <w:rPr>
          <w:rFonts w:ascii="IRNazanin" w:hAnsi="IRNazanin" w:eastAsia="IRNazanin" w:cs="IRNazanin"/>
          <w:lang w:bidi="fa-IR"/>
          <w:color w:val="111111"/>
          <w:sz w:val="28"/>
          <w:szCs w:val="28"/>
          <w:rtl/>
        </w:rPr>
        <w:t xml:space="preserve">و هو حفید المدرس الیزدی، و اسمه الحاج میرزا باقر. أورد شعره فی (تش یز- ص 286).</w:t>
      </w:r>
    </w:p>
    <w:p>
      <w:pPr>
        <w:pStyle w:val="Heading3"/>
      </w:pPr>
      <w:bookmarkStart w:id="3280" w:name="_Toc1976"/>
      <w:r>
        <w:t>1554- دیوان حفیظ أصفهانی أو شعره‏</w:t>
      </w:r>
      <w:bookmarkEnd w:id="3280"/>
    </w:p>
    <w:p>
      <w:pPr>
        <w:pStyle w:val="BookText"/>
      </w:pPr>
      <w:r>
        <w:rPr>
          <w:rFonts w:ascii="IRNazanin" w:hAnsi="IRNazanin" w:eastAsia="IRNazanin" w:cs="IRNazanin"/>
          <w:lang w:bidi="fa-IR"/>
          <w:color w:val="111111"/>
          <w:sz w:val="28"/>
          <w:szCs w:val="28"/>
          <w:rtl/>
        </w:rPr>
        <w:t xml:space="preserve">کان حفید المیرداماد سافر إلی الهند ثم رجع إلی أصفهان. أورد شعره فی (گلشن- ص 140) و قال فی (تغ- ص 46) إنه مات (1160) و اسمه حفیظ الله.</w:t>
      </w:r>
    </w:p>
    <w:p>
      <w:pPr>
        <w:pStyle w:val="Heading3"/>
      </w:pPr>
      <w:bookmarkStart w:id="3281" w:name="_Toc1977"/>
      <w:r>
        <w:t>1555- دیوان الحقائق‏</w:t>
      </w:r>
      <w:bookmarkEnd w:id="3281"/>
    </w:p>
    <w:p>
      <w:pPr>
        <w:pStyle w:val="BookText"/>
      </w:pPr>
      <w:r>
        <w:rPr>
          <w:rFonts w:ascii="IRNazanin" w:hAnsi="IRNazanin" w:eastAsia="IRNazanin" w:cs="IRNazanin"/>
          <w:lang w:bidi="fa-IR"/>
          <w:color w:val="111111"/>
          <w:sz w:val="28"/>
          <w:szCs w:val="28"/>
          <w:rtl/>
        </w:rPr>
        <w:t xml:space="preserve">للسید محمد بن مصفی بن جعفر الدارابی الشهیر بالکشفی.</w:t>
      </w:r>
    </w:p>
    <w:p>
      <w:pPr>
        <w:pStyle w:val="BookText"/>
      </w:pPr>
      <w:r>
        <w:rPr>
          <w:rFonts w:ascii="IRNazanin" w:hAnsi="IRNazanin" w:eastAsia="IRNazanin" w:cs="IRNazanin"/>
          <w:lang w:bidi="fa-IR"/>
          <w:color w:val="111111"/>
          <w:sz w:val="28"/>
          <w:szCs w:val="28"/>
          <w:rtl/>
        </w:rPr>
        <w:t xml:space="preserve">مجموعة فیها خصوص قصائده فی مدائح المعصومین علیه السلام  جمعها ابن الناظم و هو السید موسی‏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54" w:name="pg11704_121734"/>
    <w:bookmarkEnd w:id="254"/>
    <w:p>
      <w:pPr>
        <w:pStyle w:val="BookText"/>
      </w:pPr>
      <w:r>
        <w:rPr>
          <w:rFonts w:ascii="IRNazanin" w:hAnsi="IRNazanin" w:eastAsia="IRNazanin" w:cs="IRNazanin"/>
          <w:lang w:bidi="fa-IR"/>
          <w:color w:val="111111"/>
          <w:sz w:val="28"/>
          <w:szCs w:val="28"/>
          <w:rtl/>
        </w:rPr>
        <w:t xml:space="preserve">بن جعفر بن مصفی المذکور، یقرب من ألف بیت. و توفی الناظم (1327) و قد قرأ قصیدته الفارسیة فی مدیح النبی  صلی الله علیه و آله  علی السید موسی فی یوم مولد النبی (1373) فی النجف.</w:t>
      </w:r>
    </w:p>
    <w:p>
      <w:pPr>
        <w:pStyle w:val="Heading3"/>
      </w:pPr>
      <w:bookmarkStart w:id="3282" w:name="_Toc1978"/>
      <w:r>
        <w:t>1556- دیوان حقایق‏</w:t>
      </w:r>
      <w:bookmarkEnd w:id="3282"/>
    </w:p>
    <w:p>
      <w:pPr>
        <w:pStyle w:val="BookText"/>
      </w:pPr>
      <w:r>
        <w:rPr>
          <w:rFonts w:ascii="IRNazanin" w:hAnsi="IRNazanin" w:eastAsia="IRNazanin" w:cs="IRNazanin"/>
          <w:lang w:bidi="fa-IR"/>
          <w:color w:val="111111"/>
          <w:sz w:val="28"/>
          <w:szCs w:val="28"/>
          <w:rtl/>
        </w:rPr>
        <w:t xml:space="preserve">لمیرزا علی خان المتخلص حقایق ابن المیرزا جعفر حقایق‏نگار. مات والده (1301) و کان هو حیا إلی (1313) حین تألیف آثار العجم فذکره و أورد شعره فیه (ص 542).</w:t>
      </w:r>
    </w:p>
    <w:p>
      <w:pPr>
        <w:pStyle w:val="Heading3"/>
      </w:pPr>
      <w:bookmarkStart w:id="3283" w:name="_Toc1979"/>
      <w:r>
        <w:t>دیوان حقائقی‏</w:t>
      </w:r>
      <w:bookmarkEnd w:id="3283"/>
    </w:p>
    <w:p>
      <w:pPr>
        <w:pStyle w:val="BookText"/>
      </w:pPr>
      <w:r>
        <w:rPr>
          <w:rFonts w:ascii="IRNazanin" w:hAnsi="IRNazanin" w:eastAsia="IRNazanin" w:cs="IRNazanin"/>
          <w:lang w:bidi="fa-IR"/>
          <w:color w:val="111111"/>
          <w:sz w:val="28"/>
          <w:szCs w:val="28"/>
          <w:rtl/>
        </w:rPr>
        <w:t xml:space="preserve">هو التخلص السابق لخاقانی الشیروانی فیأتی فی الخاء.</w:t>
      </w:r>
    </w:p>
    <w:p>
      <w:pPr>
        <w:pStyle w:val="Heading3"/>
      </w:pPr>
      <w:bookmarkStart w:id="3284" w:name="_Toc1980"/>
      <w:r>
        <w:t>1557- دیوان حقی دهلوی‏</w:t>
      </w:r>
      <w:bookmarkEnd w:id="3284"/>
    </w:p>
    <w:p>
      <w:pPr>
        <w:pStyle w:val="BookText"/>
      </w:pPr>
      <w:r>
        <w:rPr>
          <w:rFonts w:ascii="IRNazanin" w:hAnsi="IRNazanin" w:eastAsia="IRNazanin" w:cs="IRNazanin"/>
          <w:lang w:bidi="fa-IR"/>
          <w:color w:val="111111"/>
          <w:sz w:val="28"/>
          <w:szCs w:val="28"/>
          <w:rtl/>
        </w:rPr>
        <w:t xml:space="preserve">للشیخ عبد الحق المحدث و قد عددوا فهرس تصانیفه بمائة و ثلاثین ولد (958) و مات (22 ع 2- 1052) و دفن بشاه جهان‏آباد و دیوانه یشتمل علی أنواع الشعر و أکثره قصائد کما فی (گلشن- ص 161)</w:t>
      </w:r>
    </w:p>
    <w:p>
      <w:pPr>
        <w:pStyle w:val="Heading3"/>
      </w:pPr>
      <w:bookmarkStart w:id="3285" w:name="_Toc1981"/>
      <w:r>
        <w:t>1558- دیوان حقی خوانساری أو شعره‏</w:t>
      </w:r>
      <w:bookmarkEnd w:id="3285"/>
    </w:p>
    <w:p>
      <w:pPr>
        <w:pStyle w:val="BookText"/>
      </w:pPr>
      <w:r>
        <w:rPr>
          <w:rFonts w:ascii="IRNazanin" w:hAnsi="IRNazanin" w:eastAsia="IRNazanin" w:cs="IRNazanin"/>
          <w:lang w:bidi="fa-IR"/>
          <w:color w:val="111111"/>
          <w:sz w:val="28"/>
          <w:szCs w:val="28"/>
          <w:rtl/>
        </w:rPr>
        <w:t xml:space="preserve">و هو الآقا حقی الخطیب الخوانساری المتوفی بها (1037) ترجمه النصرآبادی فی (نر 9- ص 297) و (ض- ص 111) و أورد بعض رباعیاته‏</w:t>
      </w:r>
    </w:p>
    <w:p>
      <w:pPr>
        <w:pStyle w:val="Heading3"/>
      </w:pPr>
      <w:bookmarkStart w:id="3286" w:name="_Toc1982"/>
      <w:r>
        <w:t>1559- دیوان مولانا حقی الرازی‏</w:t>
      </w:r>
      <w:bookmarkEnd w:id="3286"/>
    </w:p>
    <w:p>
      <w:pPr>
        <w:pStyle w:val="BookText"/>
      </w:pPr>
      <w:r>
        <w:rPr>
          <w:rFonts w:ascii="IRNazanin" w:hAnsi="IRNazanin" w:eastAsia="IRNazanin" w:cs="IRNazanin"/>
          <w:lang w:bidi="fa-IR"/>
          <w:color w:val="111111"/>
          <w:sz w:val="28"/>
          <w:szCs w:val="28"/>
          <w:rtl/>
        </w:rPr>
        <w:t xml:space="preserve">الساکن فی بعض مزارات الری وصفه سام میرزا فی (تس 5- ص 163) بأنه من النطاقین، و أورد مطلع غزله و قد فرغ سام میرزا من التحفة (957)</w:t>
      </w:r>
    </w:p>
    <w:p>
      <w:pPr>
        <w:pStyle w:val="Heading3"/>
      </w:pPr>
      <w:bookmarkStart w:id="3287" w:name="_Toc1983"/>
      <w:r>
        <w:t>1560- دیوان حقیر الله‏آبادی أو شعره‏</w:t>
      </w:r>
      <w:bookmarkEnd w:id="3287"/>
    </w:p>
    <w:p>
      <w:pPr>
        <w:pStyle w:val="BookText"/>
      </w:pPr>
      <w:r>
        <w:rPr>
          <w:rFonts w:ascii="IRNazanin" w:hAnsi="IRNazanin" w:eastAsia="IRNazanin" w:cs="IRNazanin"/>
          <w:lang w:bidi="fa-IR"/>
          <w:color w:val="111111"/>
          <w:sz w:val="28"/>
          <w:szCs w:val="28"/>
          <w:rtl/>
        </w:rPr>
        <w:t xml:space="preserve">و هو العالم الحکیم الشیخ کمال الدین محمد بن محمد أفضل أورد شعره فی (گلشن- ص 140)</w:t>
      </w:r>
    </w:p>
    <w:p>
      <w:pPr>
        <w:pStyle w:val="Heading3"/>
      </w:pPr>
      <w:bookmarkStart w:id="3288" w:name="_Toc1984"/>
      <w:r>
        <w:t>1561- دیوان حقیر دزفولی‏</w:t>
      </w:r>
      <w:bookmarkEnd w:id="3288"/>
    </w:p>
    <w:p>
      <w:pPr>
        <w:pStyle w:val="BookText"/>
      </w:pPr>
      <w:r>
        <w:rPr>
          <w:rFonts w:ascii="IRNazanin" w:hAnsi="IRNazanin" w:eastAsia="IRNazanin" w:cs="IRNazanin"/>
          <w:lang w:bidi="fa-IR"/>
          <w:color w:val="111111"/>
          <w:sz w:val="28"/>
          <w:szCs w:val="28"/>
          <w:rtl/>
        </w:rPr>
        <w:t xml:space="preserve">و هو الملا حسین بن أبی الحسن بن فضل علی بن کاظم بن صادق خلیفة الواعظ الشاعر المولود (1260) و المتوفی (1347) له مخزن الدرر المطبوع ببمبئی فی (1304) و أورد فیها أشعار معاصریه و ابنه أبو الحسن تجلی دزفولی معاصر و هو فی الحیاة</w:t>
      </w:r>
    </w:p>
    <w:p>
      <w:pPr>
        <w:pStyle w:val="Heading3"/>
      </w:pPr>
      <w:bookmarkStart w:id="3289" w:name="_Toc1985"/>
      <w:r>
        <w:t>1562- دیوان حقیر أو شعره‏</w:t>
      </w:r>
      <w:bookmarkEnd w:id="3289"/>
    </w:p>
    <w:p>
      <w:pPr>
        <w:pStyle w:val="BookText"/>
      </w:pPr>
      <w:r>
        <w:rPr>
          <w:rFonts w:ascii="IRNazanin" w:hAnsi="IRNazanin" w:eastAsia="IRNazanin" w:cs="IRNazanin"/>
          <w:lang w:bidi="fa-IR"/>
          <w:color w:val="111111"/>
          <w:sz w:val="28"/>
          <w:szCs w:val="28"/>
          <w:rtl/>
        </w:rPr>
        <w:t xml:space="preserve">للحاج میرزا عبد الغفار المرندی ترجمه فی دانشمندان آذربایجان ص 118 و أورد قطعة أنشأها فی (1282) نقلا عن حدیقة الشعراء</w:t>
      </w:r>
    </w:p>
    <w:p>
      <w:pPr>
        <w:pStyle w:val="Heading3"/>
      </w:pPr>
      <w:bookmarkStart w:id="3290" w:name="_Toc1986"/>
      <w:r>
        <w:t>1563- دیوان حقیری تبریزی‏</w:t>
      </w:r>
      <w:bookmarkEnd w:id="3290"/>
    </w:p>
    <w:p>
      <w:pPr>
        <w:pStyle w:val="BookText"/>
      </w:pPr>
      <w:r>
        <w:rPr>
          <w:rFonts w:ascii="IRNazanin" w:hAnsi="IRNazanin" w:eastAsia="IRNazanin" w:cs="IRNazanin"/>
          <w:lang w:bidi="fa-IR"/>
          <w:color w:val="111111"/>
          <w:sz w:val="28"/>
          <w:szCs w:val="28"/>
          <w:rtl/>
        </w:rPr>
        <w:t xml:space="preserve">ترجمه الصادقی فی (خص 8- ص 288) و ذکر بعض شعره و قال إنه یعمل فی نسج الشعریات (مویینه دوزی) و کذا فی (تش- ص 29)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55" w:name="pg11704_121735"/>
    <w:bookmarkEnd w:id="255"/>
    <w:p>
      <w:pPr>
        <w:pStyle w:val="Heading3"/>
      </w:pPr>
      <w:bookmarkStart w:id="3291" w:name="_Toc1987"/>
      <w:r>
        <w:t>1564- دیوان حقیری التبریزی‏</w:t>
      </w:r>
      <w:bookmarkEnd w:id="3291"/>
    </w:p>
    <w:p>
      <w:pPr>
        <w:pStyle w:val="BookText"/>
      </w:pPr>
      <w:r>
        <w:rPr>
          <w:rFonts w:ascii="IRNazanin" w:hAnsi="IRNazanin" w:eastAsia="IRNazanin" w:cs="IRNazanin"/>
          <w:lang w:bidi="fa-IR"/>
          <w:color w:val="111111"/>
          <w:sz w:val="28"/>
          <w:szCs w:val="28"/>
          <w:rtl/>
        </w:rPr>
        <w:t xml:space="preserve">الشهید فی فتنة الروم بها فی (994) حکی فی (دجا- ص 119) ترجمته عن مؤلف خلاصة الأشعار و قال إنه توقف بکاشان أربع سنین و هناک لاقی مع محتشم و أنا أیضا رأیته حینئذ ثم فی (981) سافر إلی خراسان و رجع و رأیت یومئذ دیوانه البالغ إلی ستة آلاف بیت، و لصغر سنی لم انتخب منه شیئا و ترجمه أیضا فی (تس 5- ص 142)</w:t>
      </w:r>
    </w:p>
    <w:p>
      <w:pPr>
        <w:pStyle w:val="Heading3"/>
      </w:pPr>
      <w:bookmarkStart w:id="3292" w:name="_Toc1988"/>
      <w:r>
        <w:t>1565- دیوان حقیری هروی‏</w:t>
      </w:r>
      <w:bookmarkEnd w:id="3292"/>
    </w:p>
    <w:p>
      <w:pPr>
        <w:pStyle w:val="BookText"/>
      </w:pPr>
      <w:r>
        <w:rPr>
          <w:rFonts w:ascii="IRNazanin" w:hAnsi="IRNazanin" w:eastAsia="IRNazanin" w:cs="IRNazanin"/>
          <w:lang w:bidi="fa-IR"/>
          <w:color w:val="111111"/>
          <w:sz w:val="28"/>
          <w:szCs w:val="28"/>
          <w:rtl/>
        </w:rPr>
        <w:t xml:space="preserve">و اسمه الملا شهاب الدین ابن نظام الدین نقل عنه فی (نر 13 و 15- ص 509 و 471) تاریخ وفاه الخواجة آصفی فی (923) و قال هو من مشاهیر شعراء عصر السلطان حسین میرزا بایقرا، و رأیت له عدة قصائد فاخرة ثم نقل عنه سبعة معمیات و قال فی (مجن 2- ص 70 و 239) إنه شاب و له منظومة فی المعمی فی (146 بیتا) نظمها فی (918) توجد ضمن مجموعة فی المجلس کما فی فهرسها (ج 3- ص 132) و فهرس کتابخانه دانشگاه (ج 2 ص 393)</w:t>
      </w:r>
    </w:p>
    <w:p>
      <w:pPr>
        <w:pStyle w:val="Heading3"/>
      </w:pPr>
      <w:bookmarkStart w:id="3293" w:name="_Toc1989"/>
      <w:r>
        <w:t>1566- دیوان حقیقی‏</w:t>
      </w:r>
      <w:bookmarkEnd w:id="3293"/>
    </w:p>
    <w:p>
      <w:pPr>
        <w:pStyle w:val="BookText"/>
      </w:pPr>
      <w:r>
        <w:rPr>
          <w:rFonts w:ascii="IRNazanin" w:hAnsi="IRNazanin" w:eastAsia="IRNazanin" w:cs="IRNazanin"/>
          <w:lang w:bidi="fa-IR"/>
          <w:color w:val="111111"/>
          <w:sz w:val="28"/>
          <w:szCs w:val="28"/>
          <w:rtl/>
        </w:rPr>
        <w:t xml:space="preserve">للسلطان أبی المظفر المیرزا جهان‏شاه خان بن قرأ یوسف خان الجالس علی سریر الملک فی تبریز خمس و ثلاثین سنة إلی أن قتل فی (872) و دفن فی الزاویة المظفریة التی أسس بنیانها فی حیاته المعروفة (کوک مسجد) أو مسجد کبود و قد فرغ الدوانی من شرح الهیاکل فی تلک الزاویة بعین تلک السنة کما صرح فی آخره ترجمه فی (دجا- ص 120) و ذکر أنه أرسل الحقیقی دیوانه إلی المولی العارف عبد الرحمن الجامی فقرظه الجامی بقطعة آخرها</w:t>
      </w:r>
    </w:p>
    <w:p>
      <w:pPr>
        <w:pStyle w:val="BookText"/>
      </w:pPr>
      <w:r>
        <w:rPr>
          <w:rFonts w:ascii="IRNazanin" w:hAnsi="IRNazanin" w:eastAsia="IRNazanin" w:cs="IRNazanin"/>
          <w:lang w:bidi="fa-IR"/>
          <w:color w:val="111111"/>
          <w:sz w:val="28"/>
          <w:szCs w:val="28"/>
          <w:rtl/>
        </w:rPr>
        <w:t xml:space="preserve">به صورت‏پرستان کوی حجاز</w:t>
      </w:r>
    </w:p>
    <w:p>
      <w:pPr>
        <w:pStyle w:val="BookText"/>
      </w:pPr>
      <w:r>
        <w:rPr>
          <w:rFonts w:ascii="IRNazanin" w:hAnsi="IRNazanin" w:eastAsia="IRNazanin" w:cs="IRNazanin"/>
          <w:lang w:bidi="fa-IR"/>
          <w:color w:val="111111"/>
          <w:sz w:val="28"/>
          <w:szCs w:val="28"/>
          <w:rtl/>
        </w:rPr>
        <w:t xml:space="preserve">ز شاه حقیقی نشان داده باز</w:t>
      </w:r>
    </w:p>
    <w:p>
      <w:pPr>
        <w:pStyle w:val="BookText"/>
      </w:pPr>
      <w:r>
        <w:rPr>
          <w:rFonts w:ascii="IRNazanin" w:hAnsi="IRNazanin" w:eastAsia="IRNazanin" w:cs="IRNazanin"/>
          <w:lang w:bidi="fa-IR"/>
          <w:color w:val="111111"/>
          <w:sz w:val="28"/>
          <w:szCs w:val="28"/>
          <w:rtl/>
        </w:rPr>
        <w:t xml:space="preserve">و سمی الخمسة من ولد جهان‏شاه أحدهم حسن علی و قد أورد تاریخ مسجد کبود المعروفة فی تاریخ تبریز لنادر میرزا المطبوع بطهران، و أورد غزلا لحقیقی و فرمانا له فی ترجمه أدبیات براون (ج 3- ص 441)</w:t>
      </w:r>
    </w:p>
    <w:p>
      <w:pPr>
        <w:pStyle w:val="Heading3"/>
      </w:pPr>
      <w:bookmarkStart w:id="3294" w:name="_Toc1990"/>
      <w:r>
        <w:t>1567- دیوان حقیقی بغدادی أو شعره‏</w:t>
      </w:r>
      <w:bookmarkEnd w:id="3294"/>
    </w:p>
    <w:p>
      <w:pPr>
        <w:pStyle w:val="BookText"/>
      </w:pPr>
      <w:r>
        <w:rPr>
          <w:rFonts w:ascii="IRNazanin" w:hAnsi="IRNazanin" w:eastAsia="IRNazanin" w:cs="IRNazanin"/>
          <w:lang w:bidi="fa-IR"/>
          <w:color w:val="111111"/>
          <w:sz w:val="28"/>
          <w:szCs w:val="28"/>
          <w:rtl/>
        </w:rPr>
        <w:t xml:space="preserve">و اسمه مصطفی ابن عم عثمان بیک من أمراء الدولة العثمانیة، و شعره بالفارسیة و الترکیة هاجر من بغداد لتنافر وقع بینه و بین الوالی خضر پاشا فی (963) ذکره فی العراق بین الاحتلالین (ج 4- ص 135)</w:t>
      </w:r>
    </w:p>
    <w:p>
      <w:pPr>
        <w:pStyle w:val="Heading3"/>
      </w:pPr>
      <w:bookmarkStart w:id="3295" w:name="_Toc1991"/>
      <w:r>
        <w:t>1568- دیوان حقیقی گجراتی أو شعره‏</w:t>
      </w:r>
      <w:bookmarkEnd w:id="3295"/>
    </w:p>
    <w:p>
      <w:pPr>
        <w:pStyle w:val="BookText"/>
      </w:pPr>
      <w:r>
        <w:rPr>
          <w:rFonts w:ascii="IRNazanin" w:hAnsi="IRNazanin" w:eastAsia="IRNazanin" w:cs="IRNazanin"/>
          <w:lang w:bidi="fa-IR"/>
          <w:color w:val="111111"/>
          <w:sz w:val="28"/>
          <w:szCs w:val="28"/>
          <w:rtl/>
        </w:rPr>
        <w:t xml:space="preserve">و اسمه المیرزا محمد بیک الأحمدآبادی ترجمه فی‏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56" w:name="pg11704_121736"/>
    <w:bookmarkEnd w:id="256"/>
    <w:p>
      <w:pPr>
        <w:pStyle w:val="BookText"/>
      </w:pPr>
      <w:r>
        <w:rPr>
          <w:rFonts w:ascii="IRNazanin" w:hAnsi="IRNazanin" w:eastAsia="IRNazanin" w:cs="IRNazanin"/>
          <w:lang w:bidi="fa-IR"/>
          <w:color w:val="111111"/>
          <w:sz w:val="28"/>
          <w:szCs w:val="28"/>
          <w:rtl/>
        </w:rPr>
        <w:t xml:space="preserve">(خیال- ص 207) مع أساطیر عن مراوداته مع الأجنة و کذا فی (سرخوش- ص 31)</w:t>
      </w:r>
    </w:p>
    <w:p>
      <w:pPr>
        <w:pStyle w:val="Heading3"/>
      </w:pPr>
      <w:bookmarkStart w:id="3296" w:name="_Toc1992"/>
      <w:r>
        <w:t>1569- دیوان حکاک أصفهانی‏</w:t>
      </w:r>
      <w:bookmarkEnd w:id="3296"/>
    </w:p>
    <w:p>
      <w:pPr>
        <w:pStyle w:val="BookText"/>
      </w:pPr>
      <w:r>
        <w:rPr>
          <w:rFonts w:ascii="IRNazanin" w:hAnsi="IRNazanin" w:eastAsia="IRNazanin" w:cs="IRNazanin"/>
          <w:lang w:bidi="fa-IR"/>
          <w:color w:val="111111"/>
          <w:sz w:val="28"/>
          <w:szCs w:val="28"/>
          <w:rtl/>
        </w:rPr>
        <w:t xml:space="preserve">و اسمه سراج الدین و یعرف سراجا حکاک کان ماهرا فی صنعة حک الخواتیم و مات بأصفهان قبل (1089) کما فی (نر 5- 143- 144) قال سنگلاخ إنه رأی منتخب قصائده بخط جمشید بیک خوشنویس فی بلدة بیضاء کما فی امتحان الفضلاء ج 2 ص 152 و توجد نسخه دیوان الحکاک بمکتبة لعله‏لی بأستانبول کما فی فهرسها و کونه للحافظی الکرمانی المذکور فی (ص 225) بعید</w:t>
      </w:r>
    </w:p>
    <w:p>
      <w:pPr>
        <w:pStyle w:val="Heading3"/>
      </w:pPr>
      <w:bookmarkStart w:id="3297" w:name="_Toc1993"/>
      <w:r>
        <w:t>1570- دیوان حکاک شیرازی‏</w:t>
      </w:r>
      <w:bookmarkEnd w:id="3297"/>
    </w:p>
    <w:p>
      <w:pPr>
        <w:pStyle w:val="BookText"/>
      </w:pPr>
      <w:r>
        <w:rPr>
          <w:rFonts w:ascii="IRNazanin" w:hAnsi="IRNazanin" w:eastAsia="IRNazanin" w:cs="IRNazanin"/>
          <w:lang w:bidi="fa-IR"/>
          <w:color w:val="111111"/>
          <w:sz w:val="28"/>
          <w:szCs w:val="28"/>
          <w:rtl/>
        </w:rPr>
        <w:t xml:space="preserve">و اسمه میرزا منعم الهندی له مثنوی فی وصف أکبرآباد مات فی أوائل جلوس عالمگیر شاه بالهند و قد أدرکه محمد أفضل سرخوش فی صغر سنة فذکره فی (سرخوش- ص 109) و کذا فی (تغ- ص 46)</w:t>
      </w:r>
    </w:p>
    <w:p>
      <w:pPr>
        <w:pStyle w:val="Heading3"/>
      </w:pPr>
      <w:bookmarkStart w:id="3298" w:name="_Toc1994"/>
      <w:r>
        <w:t>دیوان حکاک شیرازی‏</w:t>
      </w:r>
      <w:bookmarkEnd w:id="3298"/>
    </w:p>
    <w:p>
      <w:pPr>
        <w:pStyle w:val="BookText"/>
      </w:pPr>
      <w:r>
        <w:rPr>
          <w:rFonts w:ascii="IRNazanin" w:hAnsi="IRNazanin" w:eastAsia="IRNazanin" w:cs="IRNazanin"/>
          <w:lang w:bidi="fa-IR"/>
          <w:color w:val="111111"/>
          <w:sz w:val="28"/>
          <w:szCs w:val="28"/>
          <w:rtl/>
        </w:rPr>
        <w:t xml:space="preserve">یأتی بعنوان شمیم شیرازی‏</w:t>
      </w:r>
    </w:p>
    <w:p>
      <w:pPr>
        <w:pStyle w:val="Heading3"/>
      </w:pPr>
      <w:bookmarkStart w:id="3299" w:name="_Toc1995"/>
      <w:r>
        <w:t>1571- دیوان حکمی هندی أو شعره‏</w:t>
      </w:r>
      <w:bookmarkEnd w:id="3299"/>
    </w:p>
    <w:p>
      <w:pPr>
        <w:pStyle w:val="BookText"/>
      </w:pPr>
      <w:r>
        <w:rPr>
          <w:rFonts w:ascii="IRNazanin" w:hAnsi="IRNazanin" w:eastAsia="IRNazanin" w:cs="IRNazanin"/>
          <w:lang w:bidi="fa-IR"/>
          <w:color w:val="111111"/>
          <w:sz w:val="28"/>
          <w:szCs w:val="28"/>
          <w:rtl/>
        </w:rPr>
        <w:t xml:space="preserve">و اسمه ملا حکمی ابن أخت عرفی شیرازی تقرب عند قاسم خان حاکم بنگاله أورد شعره فی (گلشن- ص 142)</w:t>
      </w:r>
    </w:p>
    <w:p>
      <w:pPr>
        <w:pStyle w:val="Heading3"/>
      </w:pPr>
      <w:bookmarkStart w:id="3300" w:name="_Toc1996"/>
      <w:r>
        <w:t>1572- دیوان الحکیم أبی الحسین الشیرازی أو شعره‏</w:t>
      </w:r>
      <w:bookmarkEnd w:id="3300"/>
    </w:p>
    <w:p>
      <w:pPr>
        <w:pStyle w:val="BookText"/>
      </w:pPr>
      <w:r>
        <w:rPr>
          <w:rFonts w:ascii="IRNazanin" w:hAnsi="IRNazanin" w:eastAsia="IRNazanin" w:cs="IRNazanin"/>
          <w:lang w:bidi="fa-IR"/>
          <w:color w:val="111111"/>
          <w:sz w:val="28"/>
          <w:szCs w:val="28"/>
          <w:rtl/>
        </w:rPr>
        <w:t xml:space="preserve">کان حاذقا فی الطب و أصله من شیراز سافر إلی الهند و رجع فی (1075) أطری شعره فی (السلافة- ص 489)</w:t>
      </w:r>
    </w:p>
    <w:p>
      <w:pPr>
        <w:pStyle w:val="Heading3"/>
      </w:pPr>
      <w:bookmarkStart w:id="3301" w:name="_Toc1997"/>
      <w:r>
        <w:t>دیوان حکیم أبو طالب‏</w:t>
      </w:r>
      <w:bookmarkEnd w:id="3301"/>
    </w:p>
    <w:p>
      <w:pPr>
        <w:pStyle w:val="BookText"/>
      </w:pPr>
      <w:r>
        <w:rPr>
          <w:rFonts w:ascii="IRNazanin" w:hAnsi="IRNazanin" w:eastAsia="IRNazanin" w:cs="IRNazanin"/>
          <w:lang w:bidi="fa-IR"/>
          <w:color w:val="111111"/>
          <w:sz w:val="28"/>
          <w:szCs w:val="28"/>
          <w:rtl/>
        </w:rPr>
        <w:t xml:space="preserve">کما فی (نر- ص 68) یأتی بتخلصه طالب تبریزی‏</w:t>
      </w:r>
    </w:p>
    <w:p>
      <w:pPr>
        <w:pStyle w:val="Heading3"/>
      </w:pPr>
      <w:bookmarkStart w:id="3302" w:name="_Toc1998"/>
      <w:r>
        <w:t>دیوان حکیم أبو الفتح لاهیجی‏</w:t>
      </w:r>
      <w:bookmarkEnd w:id="3302"/>
    </w:p>
    <w:p>
      <w:pPr>
        <w:pStyle w:val="BookText"/>
      </w:pPr>
      <w:r>
        <w:rPr>
          <w:rFonts w:ascii="IRNazanin" w:hAnsi="IRNazanin" w:eastAsia="IRNazanin" w:cs="IRNazanin"/>
          <w:lang w:bidi="fa-IR"/>
          <w:color w:val="111111"/>
          <w:sz w:val="28"/>
          <w:szCs w:val="28"/>
          <w:rtl/>
        </w:rPr>
        <w:t xml:space="preserve">مر فی (ص 46)</w:t>
      </w:r>
    </w:p>
    <w:p>
      <w:pPr>
        <w:pStyle w:val="Heading3"/>
      </w:pPr>
      <w:bookmarkStart w:id="3303" w:name="_Toc1999"/>
      <w:r>
        <w:t>دیوان حکیم أبو المکارم السرخسی‏</w:t>
      </w:r>
      <w:bookmarkEnd w:id="3303"/>
    </w:p>
    <w:p>
      <w:pPr>
        <w:pStyle w:val="BookText"/>
      </w:pPr>
      <w:r>
        <w:rPr>
          <w:rFonts w:ascii="IRNazanin" w:hAnsi="IRNazanin" w:eastAsia="IRNazanin" w:cs="IRNazanin"/>
          <w:lang w:bidi="fa-IR"/>
          <w:color w:val="111111"/>
          <w:sz w:val="28"/>
          <w:szCs w:val="28"/>
          <w:rtl/>
        </w:rPr>
        <w:t xml:space="preserve">قال سنگلاخ رأیت أشعاره بخط عبدی نیشابوری فذکره فی (امتحان الفضلاء ج 1 ص 97) و قد مر بعنوان حاضری فی (ص 220)</w:t>
      </w:r>
    </w:p>
    <w:p>
      <w:pPr>
        <w:pStyle w:val="Heading3"/>
      </w:pPr>
      <w:bookmarkStart w:id="3304" w:name="_Toc2000"/>
      <w:r>
        <w:t>1573- دیوان الحکیم أبی الهیثم‏</w:t>
      </w:r>
      <w:bookmarkEnd w:id="3304"/>
    </w:p>
    <w:p>
      <w:pPr>
        <w:pStyle w:val="BookText"/>
      </w:pPr>
      <w:r>
        <w:rPr>
          <w:rFonts w:ascii="IRNazanin" w:hAnsi="IRNazanin" w:eastAsia="IRNazanin" w:cs="IRNazanin"/>
          <w:lang w:bidi="fa-IR"/>
          <w:color w:val="111111"/>
          <w:sz w:val="28"/>
          <w:szCs w:val="28"/>
          <w:rtl/>
        </w:rPr>
        <w:t xml:space="preserve">أحمد بن الحسن الجرجانی أو البوزجانی ترجمه البیهقی المتوفی (565) فی تتمه صوان الحکمة له قصیدة فارسیة فی الحکمة تعرف چون و چرانامه فی (82 بیتا) شرحها أولا تلمیذه أبو سعد محمد بن سرخ النیشابوری أو النشوی، ثم شرحها ناصر خسرو العلوی بشرحین صغیر طبع مع دیوان الناصر، و کبیر سماه جامع الحکمتین طبع مستقلا بطهران فی (1331 ش) فی (347 ص) مع مقدمه للدکتور محمد معین قال فیه إن الناظم و الشارحین کلهم إسماعیلی المذهب أوله:</w:t>
      </w:r>
    </w:p>
    <w:p>
      <w:pPr>
        <w:pStyle w:val="BookText"/>
      </w:pPr>
      <w:r>
        <w:rPr>
          <w:rFonts w:ascii="IRNazanin" w:hAnsi="IRNazanin" w:eastAsia="IRNazanin" w:cs="IRNazanin"/>
          <w:lang w:bidi="fa-IR"/>
          <w:color w:val="111111"/>
          <w:sz w:val="28"/>
          <w:szCs w:val="28"/>
          <w:rtl/>
        </w:rPr>
        <w:t xml:space="preserve">یکیست صورت هر نوع و نیست زینت‏گذار</w:t>
      </w:r>
    </w:p>
    <w:p>
      <w:pPr>
        <w:pStyle w:val="BookText"/>
      </w:pPr>
      <w:r>
        <w:rPr>
          <w:rFonts w:ascii="IRNazanin" w:hAnsi="IRNazanin" w:eastAsia="IRNazanin" w:cs="IRNazanin"/>
          <w:lang w:bidi="fa-IR"/>
          <w:color w:val="111111"/>
          <w:sz w:val="28"/>
          <w:szCs w:val="28"/>
          <w:rtl/>
        </w:rPr>
        <w:t xml:space="preserve">چرا که هیئت هر صورتی بود بسیار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57" w:name="pg11704_121737"/>
    <w:bookmarkEnd w:id="257"/>
    <w:p>
      <w:pPr>
        <w:pStyle w:val="BookText"/>
      </w:pPr>
      <w:r>
        <w:rPr>
          <w:rFonts w:ascii="IRNazanin" w:hAnsi="IRNazanin" w:eastAsia="IRNazanin" w:cs="IRNazanin"/>
          <w:lang w:bidi="fa-IR"/>
          <w:color w:val="111111"/>
          <w:sz w:val="28"/>
          <w:szCs w:val="28"/>
          <w:rtl/>
        </w:rPr>
        <w:t xml:space="preserve">و لمعزی أیضا قصیدة فی هذا الموضوع چون و چرا؟</w:t>
      </w:r>
    </w:p>
    <w:p>
      <w:pPr>
        <w:pStyle w:val="Heading3"/>
      </w:pPr>
      <w:bookmarkStart w:id="3305" w:name="_Toc2001"/>
      <w:r>
        <w:t>1574- دیوان حکیم أردستانی أو شعره‏</w:t>
      </w:r>
      <w:bookmarkEnd w:id="3305"/>
    </w:p>
    <w:p>
      <w:pPr>
        <w:pStyle w:val="BookText"/>
      </w:pPr>
      <w:r>
        <w:rPr>
          <w:rFonts w:ascii="IRNazanin" w:hAnsi="IRNazanin" w:eastAsia="IRNazanin" w:cs="IRNazanin"/>
          <w:lang w:bidi="fa-IR"/>
          <w:color w:val="111111"/>
          <w:sz w:val="28"/>
          <w:szCs w:val="28"/>
          <w:rtl/>
        </w:rPr>
        <w:t xml:space="preserve">و هو الملا فضل الله من شعراء الشاه عباس الأول الصفوی أورد شعره فی (روشن- ص 183) و کذا فی (تغ- ص 46)</w:t>
      </w:r>
    </w:p>
    <w:p>
      <w:pPr>
        <w:pStyle w:val="Heading3"/>
      </w:pPr>
      <w:bookmarkStart w:id="3306" w:name="_Toc2002"/>
      <w:r>
        <w:t>دیوان حکیم أشرفی سمرقندی‏</w:t>
      </w:r>
      <w:bookmarkEnd w:id="3306"/>
    </w:p>
    <w:p>
      <w:pPr>
        <w:pStyle w:val="BookText"/>
      </w:pPr>
      <w:r>
        <w:rPr>
          <w:rFonts w:ascii="IRNazanin" w:hAnsi="IRNazanin" w:eastAsia="IRNazanin" w:cs="IRNazanin"/>
          <w:lang w:bidi="fa-IR"/>
          <w:color w:val="111111"/>
          <w:sz w:val="28"/>
          <w:szCs w:val="28"/>
          <w:rtl/>
        </w:rPr>
        <w:t xml:space="preserve">رأی سنگلاخ دیوانه بخط شفیعا فنقل عنه فی امتحان الفضلاء و قد ذکرناه فی (ص 78)</w:t>
      </w:r>
    </w:p>
    <w:p>
      <w:pPr>
        <w:pStyle w:val="Heading3"/>
      </w:pPr>
      <w:bookmarkStart w:id="3307" w:name="_Toc2003"/>
      <w:r>
        <w:t>دیوان حکیم أفسری ترمذی‏</w:t>
      </w:r>
      <w:bookmarkEnd w:id="3307"/>
    </w:p>
    <w:p>
      <w:pPr>
        <w:pStyle w:val="BookText"/>
      </w:pPr>
      <w:r>
        <w:rPr>
          <w:rFonts w:ascii="IRNazanin" w:hAnsi="IRNazanin" w:eastAsia="IRNazanin" w:cs="IRNazanin"/>
          <w:lang w:bidi="fa-IR"/>
          <w:color w:val="111111"/>
          <w:sz w:val="28"/>
          <w:szCs w:val="28"/>
          <w:rtl/>
        </w:rPr>
        <w:t xml:space="preserve">رأی سنگلاخ نسختین من دیوانه، أحدهما بخط عبدی نیشابوری، و الأخری بخط جعفر هروی فذکرهما فی امتحان الفضلاء ج 1 ص 97 و 158 و أظنه المذکور بعنوان أفسری هروی فی (ص 84)</w:t>
      </w:r>
    </w:p>
    <w:p>
      <w:pPr>
        <w:pStyle w:val="Heading3"/>
      </w:pPr>
      <w:bookmarkStart w:id="3308" w:name="_Toc2004"/>
      <w:r>
        <w:t>1575- دیوان حکیم إلهی أردبیلی أو شعره‏</w:t>
      </w:r>
      <w:bookmarkEnd w:id="3308"/>
    </w:p>
    <w:p>
      <w:pPr>
        <w:pStyle w:val="BookText"/>
      </w:pPr>
      <w:r>
        <w:rPr>
          <w:rFonts w:ascii="IRNazanin" w:hAnsi="IRNazanin" w:eastAsia="IRNazanin" w:cs="IRNazanin"/>
          <w:lang w:bidi="fa-IR"/>
          <w:color w:val="111111"/>
          <w:sz w:val="28"/>
          <w:szCs w:val="28"/>
          <w:rtl/>
        </w:rPr>
        <w:t xml:space="preserve">الشاعر بالترکیة. مات (1296) کما فی (دجا- ص 49) عن حدیقة الشعراء.</w:t>
      </w:r>
    </w:p>
    <w:p>
      <w:pPr>
        <w:pStyle w:val="Heading3"/>
      </w:pPr>
      <w:bookmarkStart w:id="3309" w:name="_Toc2005"/>
      <w:r>
        <w:t>دیوان الحکیم أنوری‏</w:t>
      </w:r>
      <w:bookmarkEnd w:id="3309"/>
    </w:p>
    <w:p>
      <w:pPr>
        <w:pStyle w:val="BookText"/>
      </w:pPr>
      <w:r>
        <w:rPr>
          <w:rFonts w:ascii="IRNazanin" w:hAnsi="IRNazanin" w:eastAsia="IRNazanin" w:cs="IRNazanin"/>
          <w:lang w:bidi="fa-IR"/>
          <w:color w:val="111111"/>
          <w:sz w:val="28"/>
          <w:szCs w:val="28"/>
          <w:rtl/>
        </w:rPr>
        <w:t xml:space="preserve">مر بعنوان أنوری.</w:t>
      </w:r>
    </w:p>
    <w:p>
      <w:pPr>
        <w:pStyle w:val="Heading3"/>
      </w:pPr>
      <w:bookmarkStart w:id="3310" w:name="_Toc2006"/>
      <w:r>
        <w:t>دیوان حکیم باقر</w:t>
      </w:r>
      <w:bookmarkEnd w:id="3310"/>
    </w:p>
    <w:p>
      <w:pPr>
        <w:pStyle w:val="BookText"/>
      </w:pPr>
      <w:r>
        <w:rPr>
          <w:rFonts w:ascii="IRNazanin" w:hAnsi="IRNazanin" w:eastAsia="IRNazanin" w:cs="IRNazanin"/>
          <w:lang w:bidi="fa-IR"/>
          <w:color w:val="111111"/>
          <w:sz w:val="28"/>
          <w:szCs w:val="28"/>
          <w:rtl/>
        </w:rPr>
        <w:t xml:space="preserve">مر بعنوان دیوان باقر محلاتی فی (ص 122).</w:t>
      </w:r>
    </w:p>
    <w:p>
      <w:pPr>
        <w:pStyle w:val="Heading3"/>
      </w:pPr>
      <w:bookmarkStart w:id="3311" w:name="_Toc2007"/>
      <w:r>
        <w:t>دیوان حکیم حاذق‏</w:t>
      </w:r>
      <w:bookmarkEnd w:id="3311"/>
    </w:p>
    <w:p>
      <w:pPr>
        <w:pStyle w:val="BookText"/>
      </w:pPr>
      <w:r>
        <w:rPr>
          <w:rFonts w:ascii="IRNazanin" w:hAnsi="IRNazanin" w:eastAsia="IRNazanin" w:cs="IRNazanin"/>
          <w:lang w:bidi="fa-IR"/>
          <w:color w:val="111111"/>
          <w:sz w:val="28"/>
          <w:szCs w:val="28"/>
          <w:rtl/>
        </w:rPr>
        <w:t xml:space="preserve">مر بعنوان حاذق.</w:t>
      </w:r>
    </w:p>
    <w:p>
      <w:pPr>
        <w:pStyle w:val="Heading3"/>
      </w:pPr>
      <w:bookmarkStart w:id="3312" w:name="_Toc2008"/>
      <w:r>
        <w:t>دیوان حکیم حاضری‏</w:t>
      </w:r>
      <w:bookmarkEnd w:id="3312"/>
    </w:p>
    <w:p>
      <w:pPr>
        <w:pStyle w:val="BookText"/>
      </w:pPr>
      <w:r>
        <w:rPr>
          <w:rFonts w:ascii="IRNazanin" w:hAnsi="IRNazanin" w:eastAsia="IRNazanin" w:cs="IRNazanin"/>
          <w:lang w:bidi="fa-IR"/>
          <w:color w:val="111111"/>
          <w:sz w:val="28"/>
          <w:szCs w:val="28"/>
          <w:rtl/>
        </w:rPr>
        <w:t xml:space="preserve">مر بعنوان حکیم أبو المکارم.</w:t>
      </w:r>
    </w:p>
    <w:p>
      <w:pPr>
        <w:pStyle w:val="Heading3"/>
      </w:pPr>
      <w:bookmarkStart w:id="3313" w:name="_Toc2009"/>
      <w:r>
        <w:t>دیوان حکیم خباز</w:t>
      </w:r>
      <w:bookmarkEnd w:id="3313"/>
    </w:p>
    <w:p>
      <w:pPr>
        <w:pStyle w:val="BookText"/>
      </w:pPr>
      <w:r>
        <w:rPr>
          <w:rFonts w:ascii="IRNazanin" w:hAnsi="IRNazanin" w:eastAsia="IRNazanin" w:cs="IRNazanin"/>
          <w:lang w:bidi="fa-IR"/>
          <w:color w:val="111111"/>
          <w:sz w:val="28"/>
          <w:szCs w:val="28"/>
          <w:rtl/>
        </w:rPr>
        <w:t xml:space="preserve">یأتی بتخلصه طبعی.</w:t>
      </w:r>
    </w:p>
    <w:p>
      <w:pPr>
        <w:pStyle w:val="Heading3"/>
      </w:pPr>
      <w:bookmarkStart w:id="3314" w:name="_Toc2010"/>
      <w:r>
        <w:t>دیوان حکیم رکنا</w:t>
      </w:r>
      <w:bookmarkEnd w:id="3314"/>
    </w:p>
    <w:p>
      <w:pPr>
        <w:pStyle w:val="BookText"/>
      </w:pPr>
      <w:r>
        <w:rPr>
          <w:rFonts w:ascii="IRNazanin" w:hAnsi="IRNazanin" w:eastAsia="IRNazanin" w:cs="IRNazanin"/>
          <w:lang w:bidi="fa-IR"/>
          <w:color w:val="111111"/>
          <w:sz w:val="28"/>
          <w:szCs w:val="28"/>
          <w:rtl/>
        </w:rPr>
        <w:t xml:space="preserve">یأتی بتخلصه مسیحا.</w:t>
      </w:r>
    </w:p>
    <w:p>
      <w:pPr>
        <w:pStyle w:val="Heading3"/>
      </w:pPr>
      <w:bookmarkStart w:id="3315" w:name="_Toc2011"/>
      <w:r>
        <w:t>1576- دیوان حکیم رکن الدین قمی أو شعره‏</w:t>
      </w:r>
      <w:bookmarkEnd w:id="3315"/>
    </w:p>
    <w:p>
      <w:pPr>
        <w:pStyle w:val="BookText"/>
      </w:pPr>
      <w:r>
        <w:rPr>
          <w:rFonts w:ascii="IRNazanin" w:hAnsi="IRNazanin" w:eastAsia="IRNazanin" w:cs="IRNazanin"/>
          <w:lang w:bidi="fa-IR"/>
          <w:color w:val="111111"/>
          <w:sz w:val="28"/>
          <w:szCs w:val="28"/>
          <w:rtl/>
        </w:rPr>
        <w:t xml:space="preserve">والد الحکیم سدید الدین الآتی.</w:t>
      </w:r>
    </w:p>
    <w:p>
      <w:pPr>
        <w:pStyle w:val="BookText"/>
      </w:pPr>
      <w:r>
        <w:rPr>
          <w:rFonts w:ascii="IRNazanin" w:hAnsi="IRNazanin" w:eastAsia="IRNazanin" w:cs="IRNazanin"/>
          <w:lang w:bidi="fa-IR"/>
          <w:color w:val="111111"/>
          <w:sz w:val="28"/>
          <w:szCs w:val="28"/>
          <w:rtl/>
        </w:rPr>
        <w:t xml:space="preserve">ترجمه معاصره فی (نر 2- ص 50) فی ذیل ترجمه ولده السدید، و قال کان طبیب البلاط.</w:t>
      </w:r>
    </w:p>
    <w:p>
      <w:pPr>
        <w:pStyle w:val="BookText"/>
      </w:pPr>
      <w:r>
        <w:rPr>
          <w:rFonts w:ascii="IRNazanin" w:hAnsi="IRNazanin" w:eastAsia="IRNazanin" w:cs="IRNazanin"/>
          <w:lang w:bidi="fa-IR"/>
          <w:color w:val="111111"/>
          <w:sz w:val="28"/>
          <w:szCs w:val="28"/>
          <w:rtl/>
        </w:rPr>
        <w:t xml:space="preserve">و له نجم اللآلی فی الطب، و مات بقم، و له قصائد غراء. و هو غیر رکن الدین القمی من شعراء القرن السابع کما یأتی فی الراء.</w:t>
      </w:r>
    </w:p>
    <w:p>
      <w:pPr>
        <w:pStyle w:val="Heading3"/>
      </w:pPr>
      <w:bookmarkStart w:id="3316" w:name="_Toc2012"/>
      <w:r>
        <w:t>1577- دیوان الحکیم الساوجی‏</w:t>
      </w:r>
      <w:bookmarkEnd w:id="3316"/>
    </w:p>
    <w:p>
      <w:pPr>
        <w:pStyle w:val="BookText"/>
      </w:pPr>
      <w:r>
        <w:rPr>
          <w:rFonts w:ascii="IRNazanin" w:hAnsi="IRNazanin" w:eastAsia="IRNazanin" w:cs="IRNazanin"/>
          <w:lang w:bidi="fa-IR"/>
          <w:color w:val="111111"/>
          <w:sz w:val="28"/>
          <w:szCs w:val="28"/>
          <w:rtl/>
        </w:rPr>
        <w:t xml:space="preserve">و هو المیرزا علی رضا المتخلص حکیم الطبیب الماهر. و دیوانه بالعربیة فی المدائح و المراثی و غیرهما عند ولده” المؤلف” المعاصر مشکاة الأطباء.</w:t>
      </w:r>
    </w:p>
    <w:p>
      <w:pPr>
        <w:pStyle w:val="BookText"/>
      </w:pPr>
      <w:r>
        <w:rPr>
          <w:rFonts w:ascii="IRNazanin" w:hAnsi="IRNazanin" w:eastAsia="IRNazanin" w:cs="IRNazanin"/>
          <w:lang w:bidi="fa-IR"/>
          <w:color w:val="111111"/>
          <w:sz w:val="28"/>
          <w:szCs w:val="28"/>
          <w:rtl/>
        </w:rPr>
        <w:t xml:space="preserve">و نقل القصیدة الغدیریة منه فی مجلة دنیای إسلام الأسبوعیة بطهران للسید محمد علی التقوی. العدد 40 السنة (2).</w:t>
      </w:r>
    </w:p>
    <w:p>
      <w:pPr>
        <w:pStyle w:val="Heading3"/>
      </w:pPr>
      <w:bookmarkStart w:id="3317" w:name="_Toc2013"/>
      <w:r>
        <w:t>1578- دیوان حکیم سدید قمی أو شعره‏</w:t>
      </w:r>
      <w:bookmarkEnd w:id="3317"/>
    </w:p>
    <w:p>
      <w:pPr>
        <w:pStyle w:val="BookText"/>
      </w:pPr>
      <w:r>
        <w:rPr>
          <w:rFonts w:ascii="IRNazanin" w:hAnsi="IRNazanin" w:eastAsia="IRNazanin" w:cs="IRNazanin"/>
          <w:lang w:bidi="fa-IR"/>
          <w:color w:val="111111"/>
          <w:sz w:val="28"/>
          <w:szCs w:val="28"/>
          <w:rtl/>
        </w:rPr>
        <w:t xml:space="preserve">و هو ابن الحکیم رکن الدین القمی المذکور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58" w:name="pg11704_121738"/>
    <w:bookmarkEnd w:id="258"/>
    <w:p>
      <w:pPr>
        <w:pStyle w:val="BookText"/>
      </w:pPr>
      <w:r>
        <w:rPr>
          <w:rFonts w:ascii="IRNazanin" w:hAnsi="IRNazanin" w:eastAsia="IRNazanin" w:cs="IRNazanin"/>
          <w:lang w:bidi="fa-IR"/>
          <w:color w:val="111111"/>
          <w:sz w:val="28"/>
          <w:szCs w:val="28"/>
          <w:rtl/>
        </w:rPr>
        <w:t xml:space="preserve">کان ماهرا فی الطب و طبعه لطیف. ذکر شعره و رباعیاته فی (نر 2- ص 50).</w:t>
      </w:r>
    </w:p>
    <w:p>
      <w:pPr>
        <w:pStyle w:val="Heading3"/>
      </w:pPr>
      <w:bookmarkStart w:id="3318" w:name="_Toc2014"/>
      <w:r>
        <w:t>1579- دیوان حکیم سوری‏</w:t>
      </w:r>
      <w:bookmarkEnd w:id="3318"/>
    </w:p>
    <w:p>
      <w:pPr>
        <w:pStyle w:val="BookText"/>
      </w:pPr>
      <w:r>
        <w:rPr>
          <w:rFonts w:ascii="IRNazanin" w:hAnsi="IRNazanin" w:eastAsia="IRNazanin" w:cs="IRNazanin"/>
          <w:lang w:bidi="fa-IR"/>
          <w:color w:val="111111"/>
          <w:sz w:val="28"/>
          <w:szCs w:val="28"/>
          <w:rtl/>
        </w:rPr>
        <w:t xml:space="preserve">من فکاهیات المیرزا تقی دانش ضیاء لشکر ابن المیرزا حسین الوزیر التفرشی المولود (1288) طبع مکررا منها فی (1319 ش) فی (140 ص) بطهران. أوله:</w:t>
      </w:r>
    </w:p>
    <w:p>
      <w:pPr>
        <w:pStyle w:val="BookText"/>
      </w:pPr>
      <w:r>
        <w:rPr>
          <w:rFonts w:ascii="IRNazanin" w:hAnsi="IRNazanin" w:eastAsia="IRNazanin" w:cs="IRNazanin"/>
          <w:lang w:bidi="fa-IR"/>
          <w:color w:val="111111"/>
          <w:sz w:val="28"/>
          <w:szCs w:val="28"/>
          <w:rtl/>
        </w:rPr>
        <w:t xml:space="preserve">این گفته سوری که گرفته است جهان را</w:t>
      </w:r>
    </w:p>
    <w:p>
      <w:pPr>
        <w:pStyle w:val="BookText"/>
      </w:pPr>
      <w:r>
        <w:rPr>
          <w:rFonts w:ascii="IRNazanin" w:hAnsi="IRNazanin" w:eastAsia="IRNazanin" w:cs="IRNazanin"/>
          <w:lang w:bidi="fa-IR"/>
          <w:color w:val="111111"/>
          <w:sz w:val="28"/>
          <w:szCs w:val="28"/>
          <w:rtl/>
        </w:rPr>
        <w:t xml:space="preserve">سرمشق بود طائفه سورچران را</w:t>
      </w:r>
    </w:p>
    <w:p>
      <w:pPr>
        <w:pStyle w:val="BookText"/>
      </w:pPr>
      <w:r>
        <w:rPr>
          <w:rFonts w:ascii="IRNazanin" w:hAnsi="IRNazanin" w:eastAsia="IRNazanin" w:cs="IRNazanin"/>
          <w:lang w:bidi="fa-IR"/>
          <w:color w:val="111111"/>
          <w:sz w:val="28"/>
          <w:szCs w:val="28"/>
          <w:rtl/>
        </w:rPr>
        <w:t xml:space="preserve">و یأتی دیوانه الآخر باسم دیوان دانش لتخلصه به.</w:t>
      </w:r>
    </w:p>
    <w:p>
      <w:pPr>
        <w:pStyle w:val="Heading3"/>
      </w:pPr>
      <w:bookmarkStart w:id="3319" w:name="_Toc2015"/>
      <w:r>
        <w:t>دیوان حکیم سوزنی‏</w:t>
      </w:r>
      <w:bookmarkEnd w:id="3319"/>
    </w:p>
    <w:p>
      <w:pPr>
        <w:pStyle w:val="BookText"/>
      </w:pPr>
      <w:r>
        <w:rPr>
          <w:rFonts w:ascii="IRNazanin" w:hAnsi="IRNazanin" w:eastAsia="IRNazanin" w:cs="IRNazanin"/>
          <w:lang w:bidi="fa-IR"/>
          <w:color w:val="111111"/>
          <w:sz w:val="28"/>
          <w:szCs w:val="28"/>
          <w:rtl/>
        </w:rPr>
        <w:t xml:space="preserve">یأتی بعنوان سوزنی.</w:t>
      </w:r>
    </w:p>
    <w:p>
      <w:pPr>
        <w:pStyle w:val="Heading3"/>
      </w:pPr>
      <w:bookmarkStart w:id="3320" w:name="_Toc2016"/>
      <w:r>
        <w:t>دیوان حکیم شاه رضا</w:t>
      </w:r>
      <w:bookmarkEnd w:id="3320"/>
    </w:p>
    <w:p>
      <w:pPr>
        <w:pStyle w:val="BookText"/>
      </w:pPr>
      <w:r>
        <w:rPr>
          <w:rFonts w:ascii="IRNazanin" w:hAnsi="IRNazanin" w:eastAsia="IRNazanin" w:cs="IRNazanin"/>
          <w:lang w:bidi="fa-IR"/>
          <w:color w:val="111111"/>
          <w:sz w:val="28"/>
          <w:szCs w:val="28"/>
          <w:rtl/>
        </w:rPr>
        <w:t xml:space="preserve">یأتی دیوان رضا شیرازی.</w:t>
      </w:r>
    </w:p>
    <w:p>
      <w:pPr>
        <w:pStyle w:val="Heading3"/>
      </w:pPr>
      <w:bookmarkStart w:id="3321" w:name="_Toc2017"/>
      <w:r>
        <w:t>1580- دیوان حکیم شاه محمد قزوینی أو شعره‏</w:t>
      </w:r>
      <w:bookmarkEnd w:id="3321"/>
    </w:p>
    <w:p>
      <w:pPr>
        <w:pStyle w:val="BookText"/>
      </w:pPr>
      <w:r>
        <w:rPr>
          <w:rFonts w:ascii="IRNazanin" w:hAnsi="IRNazanin" w:eastAsia="IRNazanin" w:cs="IRNazanin"/>
          <w:lang w:bidi="fa-IR"/>
          <w:color w:val="111111"/>
          <w:sz w:val="28"/>
          <w:szCs w:val="28"/>
          <w:rtl/>
        </w:rPr>
        <w:t xml:space="preserve">و هو الشاه محمد بن المبارک المدعو بحکیم کما عبر عن نفسه. نزل بلاد الروم، و ترجم مجالس النفائس‏</w:t>
      </w:r>
      <w:r>
        <w:rPr>
          <w:rStyle w:val="FootnoteReference"/>
        </w:rPr>
        <w:footnoteReference w:id="23"/>
      </w:r>
      <w:r>
        <w:rPr>
          <w:rFonts w:ascii="IRNazanin" w:hAnsi="IRNazanin" w:eastAsia="IRNazanin" w:cs="IRNazanin"/>
          <w:lang w:bidi="fa-IR"/>
          <w:color w:val="111111"/>
          <w:sz w:val="28"/>
          <w:szCs w:val="28"/>
          <w:rtl/>
        </w:rPr>
        <w:t xml:space="preserve">) لمیر علی شیر النوائی باسم السلطان سلیم بن بایزید العثمانی المتوفی (924) و یعبر فیه عن الشاه إسماعیل الصفوی بالشاه إسماعیل الصفوی و لکن فی ترجمه ما یلی فی (ص 248) قال: و می‏گویند با آل علی محبتی ندارد گر راست بود آدمی خوبی نیست ... و قد ترجم المجالس السلطان محمد فخر الهراتی أیضا و طبع الترجمتان بطهران بتصحیح علی أصغر حکمت فی (1320 ش).</w:t>
      </w:r>
    </w:p>
    <w:p>
      <w:pPr>
        <w:pStyle w:val="Heading3"/>
      </w:pPr>
      <w:bookmarkStart w:id="3322" w:name="_Toc2018"/>
      <w:r>
        <w:t>دیوان حکیم شریف‏</w:t>
      </w:r>
      <w:bookmarkEnd w:id="3322"/>
    </w:p>
    <w:p>
      <w:pPr>
        <w:pStyle w:val="BookText"/>
      </w:pPr>
      <w:r>
        <w:rPr>
          <w:rFonts w:ascii="IRNazanin" w:hAnsi="IRNazanin" w:eastAsia="IRNazanin" w:cs="IRNazanin"/>
          <w:lang w:bidi="fa-IR"/>
          <w:color w:val="111111"/>
          <w:sz w:val="28"/>
          <w:szCs w:val="28"/>
          <w:rtl/>
        </w:rPr>
        <w:t xml:space="preserve">یأتی بعنوان دیوان شریف.</w:t>
      </w:r>
    </w:p>
    <w:p>
      <w:pPr>
        <w:pStyle w:val="Heading3"/>
      </w:pPr>
      <w:bookmarkStart w:id="3323" w:name="_Toc2019"/>
      <w:r>
        <w:t>دیوان حکیم شفائی‏</w:t>
      </w:r>
      <w:bookmarkEnd w:id="3323"/>
    </w:p>
    <w:p>
      <w:pPr>
        <w:pStyle w:val="BookText"/>
      </w:pPr>
      <w:r>
        <w:rPr>
          <w:rFonts w:ascii="IRNazanin" w:hAnsi="IRNazanin" w:eastAsia="IRNazanin" w:cs="IRNazanin"/>
          <w:lang w:bidi="fa-IR"/>
          <w:color w:val="111111"/>
          <w:sz w:val="28"/>
          <w:szCs w:val="28"/>
          <w:rtl/>
        </w:rPr>
        <w:t xml:space="preserve">یأتی دیوان شفائی و مر بعنوان دیوان باقر محلاتی.</w:t>
      </w:r>
    </w:p>
    <w:p>
      <w:pPr>
        <w:pStyle w:val="Heading3"/>
      </w:pPr>
      <w:bookmarkStart w:id="3324" w:name="_Toc2020"/>
      <w:r>
        <w:t>1581- دیوان حکیم شیرازی‏</w:t>
      </w:r>
      <w:bookmarkEnd w:id="3324"/>
    </w:p>
    <w:p>
      <w:pPr>
        <w:pStyle w:val="BookText"/>
      </w:pPr>
      <w:r>
        <w:rPr>
          <w:rFonts w:ascii="IRNazanin" w:hAnsi="IRNazanin" w:eastAsia="IRNazanin" w:cs="IRNazanin"/>
          <w:lang w:bidi="fa-IR"/>
          <w:color w:val="111111"/>
          <w:sz w:val="28"/>
          <w:szCs w:val="28"/>
          <w:rtl/>
        </w:rPr>
        <w:t xml:space="preserve">للشیخ غلام علی المتخلص حکیم المتوفی (حدود 1330 بطهران. نشا بشیراز و جاء إلی طهران و اشتغل بمدرسة سپهسالار، و علم أولاد محمد کاظم ملک التجار و مات فی بیت تلمیذه الحاج حسین ملک التجار مؤسس مکتبة م.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59" w:name="pg11704_121739"/>
    <w:bookmarkEnd w:id="259"/>
    <w:p>
      <w:pPr>
        <w:pStyle w:val="BookText"/>
      </w:pPr>
      <w:r>
        <w:rPr>
          <w:rFonts w:ascii="IRNazanin" w:hAnsi="IRNazanin" w:eastAsia="IRNazanin" w:cs="IRNazanin"/>
          <w:lang w:bidi="fa-IR"/>
          <w:color w:val="111111"/>
          <w:sz w:val="28"/>
          <w:szCs w:val="28"/>
          <w:rtl/>
        </w:rPr>
        <w:t xml:space="preserve">(الملک) توجد قصائد فی مکتبة (الملک) و دیوان غزله بمکتبة المجلس کما فی فهرسها (ج 3- ص 366).</w:t>
      </w:r>
    </w:p>
    <w:p>
      <w:pPr>
        <w:pStyle w:val="Heading3"/>
      </w:pPr>
      <w:bookmarkStart w:id="3325" w:name="_Toc2021"/>
      <w:r>
        <w:t>1582- دیوان حکیم شیرازی‏</w:t>
      </w:r>
      <w:bookmarkEnd w:id="3325"/>
    </w:p>
    <w:p>
      <w:pPr>
        <w:pStyle w:val="BookText"/>
      </w:pPr>
      <w:r>
        <w:rPr>
          <w:rFonts w:ascii="IRNazanin" w:hAnsi="IRNazanin" w:eastAsia="IRNazanin" w:cs="IRNazanin"/>
          <w:lang w:bidi="fa-IR"/>
          <w:color w:val="111111"/>
          <w:sz w:val="28"/>
          <w:szCs w:val="28"/>
          <w:rtl/>
        </w:rPr>
        <w:t xml:space="preserve">هو للمیرزا محمود بن الوصال الشیرازی المتخلص بحکیم و هو الشاعر الخطاط المولود (1234) المتوفی (1274</w:t>
      </w:r>
    </w:p>
    <w:p>
      <w:pPr>
        <w:pStyle w:val="BookText"/>
      </w:pPr>
      <w:r>
        <w:rPr>
          <w:rFonts w:ascii="IRNazanin" w:hAnsi="IRNazanin" w:eastAsia="IRNazanin" w:cs="IRNazanin"/>
          <w:lang w:bidi="fa-IR"/>
          <w:color w:val="111111"/>
          <w:sz w:val="28"/>
          <w:szCs w:val="28"/>
          <w:rtl/>
        </w:rPr>
        <w:t xml:space="preserve">عاقبت محمود شد کار حکیم‏</w:t>
      </w:r>
    </w:p>
    <w:p>
      <w:pPr>
        <w:pStyle w:val="BookText"/>
      </w:pPr>
      <w:r>
        <w:rPr>
          <w:rFonts w:ascii="IRNazanin" w:hAnsi="IRNazanin" w:eastAsia="IRNazanin" w:cs="IRNazanin"/>
          <w:lang w:bidi="fa-IR"/>
          <w:color w:val="111111"/>
          <w:sz w:val="28"/>
          <w:szCs w:val="28"/>
          <w:rtl/>
        </w:rPr>
        <w:t xml:space="preserve">) ترجمه فی (گلشن وصال ص 275- ص 293) و ترجمه فی (مع- ج 2 ص 102) بعنوان الحکیم الشیرازی و أرخ وفاته (1268) و الصحیح ما ذکرناه. و ترجمه أیضا فی (المآثر- ص 205).</w:t>
      </w:r>
    </w:p>
    <w:p>
      <w:pPr>
        <w:pStyle w:val="Heading3"/>
      </w:pPr>
      <w:bookmarkStart w:id="3326" w:name="_Toc2022"/>
      <w:r>
        <w:t>1583- دیوان حکیم صوفی شیرازی أو شعره‏</w:t>
      </w:r>
      <w:bookmarkEnd w:id="3326"/>
    </w:p>
    <w:p>
      <w:pPr>
        <w:pStyle w:val="BookText"/>
      </w:pPr>
      <w:r>
        <w:rPr>
          <w:rFonts w:ascii="IRNazanin" w:hAnsi="IRNazanin" w:eastAsia="IRNazanin" w:cs="IRNazanin"/>
          <w:lang w:bidi="fa-IR"/>
          <w:color w:val="111111"/>
          <w:sz w:val="28"/>
          <w:szCs w:val="28"/>
          <w:rtl/>
        </w:rPr>
        <w:t xml:space="preserve">کان تاجرا ترجمه و أورد شعره فی (نر 5- ص 134).</w:t>
      </w:r>
    </w:p>
    <w:p>
      <w:pPr>
        <w:pStyle w:val="Heading3"/>
      </w:pPr>
      <w:bookmarkStart w:id="3327" w:name="_Toc2023"/>
      <w:r>
        <w:t>دیوان الحکیم الطبری‏</w:t>
      </w:r>
      <w:bookmarkEnd w:id="3327"/>
    </w:p>
    <w:p>
      <w:pPr>
        <w:pStyle w:val="BookText"/>
      </w:pPr>
      <w:r>
        <w:rPr>
          <w:rFonts w:ascii="IRNazanin" w:hAnsi="IRNazanin" w:eastAsia="IRNazanin" w:cs="IRNazanin"/>
          <w:lang w:bidi="fa-IR"/>
          <w:color w:val="111111"/>
          <w:sz w:val="28"/>
          <w:szCs w:val="28"/>
          <w:rtl/>
        </w:rPr>
        <w:t xml:space="preserve">و هو أبو اللیث، کما ذکره سنگلاخ فی (امتحان الفضلاء- ج 2) و قال رأیت دیوانه بخط المیر محمد الخطاط. و أظنه أراد أبا الهیثم المذکور آنفا.</w:t>
      </w:r>
    </w:p>
    <w:p>
      <w:pPr>
        <w:pStyle w:val="Heading3"/>
      </w:pPr>
      <w:bookmarkStart w:id="3328" w:name="_Toc2024"/>
      <w:r>
        <w:t>1584- دیوان حکیم عبد الله یزدی‏</w:t>
      </w:r>
      <w:bookmarkEnd w:id="3328"/>
    </w:p>
    <w:p>
      <w:pPr>
        <w:pStyle w:val="BookText"/>
      </w:pPr>
      <w:r>
        <w:rPr>
          <w:rFonts w:ascii="IRNazanin" w:hAnsi="IRNazanin" w:eastAsia="IRNazanin" w:cs="IRNazanin"/>
          <w:lang w:bidi="fa-IR"/>
          <w:color w:val="111111"/>
          <w:sz w:val="28"/>
          <w:szCs w:val="28"/>
          <w:rtl/>
        </w:rPr>
        <w:t xml:space="preserve">الملقب بحافظ الصحة جد الدکتور حافظی المعاصر. له منظومة فی الطب بالفارسیة. أورد ذکره فی (تش یز- ص 287).</w:t>
      </w:r>
    </w:p>
    <w:p>
      <w:pPr>
        <w:pStyle w:val="Heading3"/>
      </w:pPr>
      <w:bookmarkStart w:id="3329" w:name="_Toc2025"/>
      <w:r>
        <w:t>دیوان حکیم عبد الله کاشی‏</w:t>
      </w:r>
      <w:bookmarkEnd w:id="3329"/>
    </w:p>
    <w:p>
      <w:pPr>
        <w:pStyle w:val="BookText"/>
      </w:pPr>
      <w:r>
        <w:rPr>
          <w:rFonts w:ascii="IRNazanin" w:hAnsi="IRNazanin" w:eastAsia="IRNazanin" w:cs="IRNazanin"/>
          <w:lang w:bidi="fa-IR"/>
          <w:color w:val="111111"/>
          <w:sz w:val="28"/>
          <w:szCs w:val="28"/>
          <w:rtl/>
        </w:rPr>
        <w:t xml:space="preserve">یأتی دیوان راغب.</w:t>
      </w:r>
    </w:p>
    <w:p>
      <w:pPr>
        <w:pStyle w:val="Heading3"/>
      </w:pPr>
      <w:bookmarkStart w:id="3330" w:name="_Toc2026"/>
      <w:r>
        <w:t>دیوان حکیم غزنوی‏</w:t>
      </w:r>
      <w:bookmarkEnd w:id="3330"/>
    </w:p>
    <w:p>
      <w:pPr>
        <w:pStyle w:val="BookText"/>
      </w:pPr>
      <w:r>
        <w:rPr>
          <w:rFonts w:ascii="IRNazanin" w:hAnsi="IRNazanin" w:eastAsia="IRNazanin" w:cs="IRNazanin"/>
          <w:lang w:bidi="fa-IR"/>
          <w:color w:val="111111"/>
          <w:sz w:val="28"/>
          <w:szCs w:val="28"/>
          <w:rtl/>
        </w:rPr>
        <w:t xml:space="preserve">یأتی بعنوان مختاری غزنوی.</w:t>
      </w:r>
    </w:p>
    <w:p>
      <w:pPr>
        <w:pStyle w:val="Heading3"/>
      </w:pPr>
      <w:bookmarkStart w:id="3331" w:name="_Toc2027"/>
      <w:r>
        <w:t>دیوان حکیم قبلی‏</w:t>
      </w:r>
      <w:bookmarkEnd w:id="3331"/>
    </w:p>
    <w:p>
      <w:pPr>
        <w:pStyle w:val="BookText"/>
      </w:pPr>
      <w:r>
        <w:rPr>
          <w:rFonts w:ascii="IRNazanin" w:hAnsi="IRNazanin" w:eastAsia="IRNazanin" w:cs="IRNazanin"/>
          <w:lang w:bidi="fa-IR"/>
          <w:color w:val="111111"/>
          <w:sz w:val="28"/>
          <w:szCs w:val="28"/>
          <w:rtl/>
        </w:rPr>
        <w:t xml:space="preserve">یأتی دیوان قبلی.</w:t>
      </w:r>
    </w:p>
    <w:p>
      <w:pPr>
        <w:pStyle w:val="Heading3"/>
      </w:pPr>
      <w:bookmarkStart w:id="3332" w:name="_Toc2028"/>
      <w:r>
        <w:t>دیوان حکیم قطران‏</w:t>
      </w:r>
      <w:bookmarkEnd w:id="3332"/>
    </w:p>
    <w:p>
      <w:pPr>
        <w:pStyle w:val="BookText"/>
      </w:pPr>
      <w:r>
        <w:rPr>
          <w:rFonts w:ascii="IRNazanin" w:hAnsi="IRNazanin" w:eastAsia="IRNazanin" w:cs="IRNazanin"/>
          <w:lang w:bidi="fa-IR"/>
          <w:color w:val="111111"/>
          <w:sz w:val="28"/>
          <w:szCs w:val="28"/>
          <w:rtl/>
        </w:rPr>
        <w:t xml:space="preserve">یأتی دیوان قطران.</w:t>
      </w:r>
    </w:p>
    <w:p>
      <w:pPr>
        <w:pStyle w:val="Heading3"/>
      </w:pPr>
      <w:bookmarkStart w:id="3333" w:name="_Toc2029"/>
      <w:r>
        <w:t>دیوان حکیم کاشی‏</w:t>
      </w:r>
      <w:bookmarkEnd w:id="3333"/>
    </w:p>
    <w:p>
      <w:pPr>
        <w:pStyle w:val="BookText"/>
      </w:pPr>
      <w:r>
        <w:rPr>
          <w:rFonts w:ascii="IRNazanin" w:hAnsi="IRNazanin" w:eastAsia="IRNazanin" w:cs="IRNazanin"/>
          <w:lang w:bidi="fa-IR"/>
          <w:color w:val="111111"/>
          <w:sz w:val="28"/>
          <w:szCs w:val="28"/>
          <w:rtl/>
        </w:rPr>
        <w:t xml:space="preserve">عبد الله. یأتی بعنوان دیوان راغب و وحدت.</w:t>
      </w:r>
    </w:p>
    <w:p>
      <w:pPr>
        <w:pStyle w:val="Heading3"/>
      </w:pPr>
      <w:bookmarkStart w:id="3334" w:name="_Toc2030"/>
      <w:r>
        <w:t>دیوان حکیم کاشی‏</w:t>
      </w:r>
      <w:bookmarkEnd w:id="3334"/>
    </w:p>
    <w:p>
      <w:pPr>
        <w:pStyle w:val="BookText"/>
      </w:pPr>
      <w:r>
        <w:rPr>
          <w:rFonts w:ascii="IRNazanin" w:hAnsi="IRNazanin" w:eastAsia="IRNazanin" w:cs="IRNazanin"/>
          <w:lang w:bidi="fa-IR"/>
          <w:color w:val="111111"/>
          <w:sz w:val="28"/>
          <w:szCs w:val="28"/>
          <w:rtl/>
        </w:rPr>
        <w:t xml:space="preserve">و اسمه ضیاء الدین أو صدرین مهر فی الطب و سافر إلی الهند و تلقب من الشاه سلیم بمسیح الزمان. أورد شعره فی (نر 3- ص 61).</w:t>
      </w:r>
    </w:p>
    <w:p>
      <w:pPr>
        <w:pStyle w:val="Heading3"/>
      </w:pPr>
      <w:bookmarkStart w:id="3335" w:name="_Toc2031"/>
      <w:r>
        <w:t>دیوان حکیم کاظما</w:t>
      </w:r>
      <w:bookmarkEnd w:id="3335"/>
    </w:p>
    <w:p>
      <w:pPr>
        <w:pStyle w:val="BookText"/>
      </w:pPr>
      <w:r>
        <w:rPr>
          <w:rFonts w:ascii="IRNazanin" w:hAnsi="IRNazanin" w:eastAsia="IRNazanin" w:cs="IRNazanin"/>
          <w:lang w:bidi="fa-IR"/>
          <w:color w:val="111111"/>
          <w:sz w:val="28"/>
          <w:szCs w:val="28"/>
          <w:rtl/>
        </w:rPr>
        <w:t xml:space="preserve">یأتی دیوان کاظما.</w:t>
      </w:r>
    </w:p>
    <w:p>
      <w:pPr>
        <w:pStyle w:val="Heading3"/>
      </w:pPr>
      <w:bookmarkStart w:id="3336" w:name="_Toc2032"/>
      <w:r>
        <w:t>دیوان حکیم گیلانی‏</w:t>
      </w:r>
      <w:bookmarkEnd w:id="3336"/>
    </w:p>
    <w:p>
      <w:pPr>
        <w:pStyle w:val="BookText"/>
      </w:pPr>
      <w:r>
        <w:rPr>
          <w:rFonts w:ascii="IRNazanin" w:hAnsi="IRNazanin" w:eastAsia="IRNazanin" w:cs="IRNazanin"/>
          <w:lang w:bidi="fa-IR"/>
          <w:color w:val="111111"/>
          <w:sz w:val="28"/>
          <w:szCs w:val="28"/>
          <w:rtl/>
        </w:rPr>
        <w:t xml:space="preserve">مر دیوان حسن گیلانی.</w:t>
      </w:r>
    </w:p>
    <w:p>
      <w:pPr>
        <w:pStyle w:val="Heading3"/>
      </w:pPr>
      <w:bookmarkStart w:id="3337" w:name="_Toc2033"/>
      <w:r>
        <w:t>1585- دیوان حکیم نوری‏</w:t>
      </w:r>
      <w:bookmarkEnd w:id="3337"/>
    </w:p>
    <w:p>
      <w:pPr>
        <w:pStyle w:val="BookText"/>
      </w:pPr>
      <w:r>
        <w:rPr>
          <w:rFonts w:ascii="IRNazanin" w:hAnsi="IRNazanin" w:eastAsia="IRNazanin" w:cs="IRNazanin"/>
          <w:lang w:bidi="fa-IR"/>
          <w:color w:val="111111"/>
          <w:sz w:val="28"/>
          <w:szCs w:val="28"/>
          <w:rtl/>
        </w:rPr>
        <w:t xml:space="preserve">لمیرزا یوسف بن محمد حسین خان النوری نزیل طهران.</w:t>
      </w:r>
    </w:p>
    <w:p>
      <w:pPr>
        <w:pStyle w:val="BookText"/>
      </w:pPr>
      <w:r>
        <w:rPr>
          <w:rFonts w:ascii="IRNazanin" w:hAnsi="IRNazanin" w:eastAsia="IRNazanin" w:cs="IRNazanin"/>
          <w:lang w:bidi="fa-IR"/>
          <w:color w:val="111111"/>
          <w:sz w:val="28"/>
          <w:szCs w:val="28"/>
          <w:rtl/>
        </w:rPr>
        <w:t xml:space="preserve">کان أبوه و جده من أعیان الدولة القاجاریة، و کان هو معاصرا لهدایت فترجمه فی (مع 2:</w:t>
      </w:r>
    </w:p>
    <w:p>
      <w:pPr>
        <w:pStyle w:val="BookText"/>
      </w:pPr>
      <w:r>
        <w:rPr>
          <w:rFonts w:ascii="IRNazanin" w:hAnsi="IRNazanin" w:eastAsia="IRNazanin" w:cs="IRNazanin"/>
          <w:lang w:bidi="fa-IR"/>
          <w:color w:val="111111"/>
          <w:sz w:val="28"/>
          <w:szCs w:val="28"/>
          <w:rtl/>
        </w:rPr>
        <w:t xml:space="preserve">ص 94) و أورد قصیدتین منه تبلغ سبعین بیتا. و ترجمه أیضا فی المدائح المعتمدیة.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60" w:name="pg11704_121740"/>
    <w:bookmarkEnd w:id="260"/>
    <w:p>
      <w:pPr>
        <w:pStyle w:val="Heading3"/>
      </w:pPr>
      <w:bookmarkStart w:id="3338" w:name="_Toc2034"/>
      <w:r>
        <w:t>1586- دیوان حکیم هاشمی‏</w:t>
      </w:r>
      <w:bookmarkEnd w:id="3338"/>
    </w:p>
    <w:p>
      <w:pPr>
        <w:pStyle w:val="BookText"/>
      </w:pPr>
      <w:r>
        <w:rPr>
          <w:rFonts w:ascii="IRNazanin" w:hAnsi="IRNazanin" w:eastAsia="IRNazanin" w:cs="IRNazanin"/>
          <w:lang w:bidi="fa-IR"/>
          <w:color w:val="111111"/>
          <w:sz w:val="28"/>
          <w:szCs w:val="28"/>
          <w:rtl/>
        </w:rPr>
        <w:t xml:space="preserve">له مثنوی مظهر الآثار رأی سنگلاخ نسخه منه بخط أبی محمد غریب‏زاده الهندی. فذکره فی (امتحان الفضلاء ج 2 ص 308).</w:t>
      </w:r>
    </w:p>
    <w:p>
      <w:pPr>
        <w:pStyle w:val="Heading3"/>
      </w:pPr>
      <w:bookmarkStart w:id="3339" w:name="_Toc2035"/>
      <w:r>
        <w:t>1587- دیوان حکیم یزدی أو شعره‏</w:t>
      </w:r>
      <w:bookmarkEnd w:id="3339"/>
    </w:p>
    <w:p>
      <w:pPr>
        <w:pStyle w:val="BookText"/>
      </w:pPr>
      <w:r>
        <w:rPr>
          <w:rFonts w:ascii="IRNazanin" w:hAnsi="IRNazanin" w:eastAsia="IRNazanin" w:cs="IRNazanin"/>
          <w:lang w:bidi="fa-IR"/>
          <w:color w:val="111111"/>
          <w:sz w:val="28"/>
          <w:szCs w:val="28"/>
          <w:rtl/>
        </w:rPr>
        <w:t xml:space="preserve">و اسمه أبو الفضل کان ماهرا فی الطب. أورد شعره فی (تش یز- ص 286).</w:t>
      </w:r>
    </w:p>
    <w:p>
      <w:pPr>
        <w:pStyle w:val="Heading3"/>
      </w:pPr>
      <w:bookmarkStart w:id="3340" w:name="_Toc2036"/>
      <w:r>
        <w:t>1588- دیوان حکیمی طبسی أو شعره‏</w:t>
      </w:r>
      <w:bookmarkEnd w:id="3340"/>
    </w:p>
    <w:p>
      <w:pPr>
        <w:pStyle w:val="BookText"/>
      </w:pPr>
      <w:r>
        <w:rPr>
          <w:rFonts w:ascii="IRNazanin" w:hAnsi="IRNazanin" w:eastAsia="IRNazanin" w:cs="IRNazanin"/>
          <w:lang w:bidi="fa-IR"/>
          <w:color w:val="111111"/>
          <w:sz w:val="28"/>
          <w:szCs w:val="28"/>
          <w:rtl/>
        </w:rPr>
        <w:t xml:space="preserve">قال فی (مجالس العشاق- ص 168) إنه کان یحب الخواجة علی و توفی (881) و قال فی (ض- ص 317) إن اسمه محبوب علی، و کان من العرفاء و مریدا للسید نسیمی. و فی (مجتس 2- ص 138) سماه سید حکیمی.</w:t>
      </w:r>
    </w:p>
    <w:p>
      <w:pPr>
        <w:pStyle w:val="BookText"/>
      </w:pPr>
      <w:r>
        <w:rPr>
          <w:rFonts w:ascii="IRNazanin" w:hAnsi="IRNazanin" w:eastAsia="IRNazanin" w:cs="IRNazanin"/>
          <w:lang w:bidi="fa-IR"/>
          <w:color w:val="111111"/>
          <w:sz w:val="28"/>
          <w:szCs w:val="28"/>
          <w:rtl/>
        </w:rPr>
        <w:t xml:space="preserve">و أوردوا شعره و سماه فی (گلشن- ص 142) حکیمی أسترآبادی، و راجع ما بعده أیضا.</w:t>
      </w:r>
    </w:p>
    <w:p>
      <w:pPr>
        <w:pStyle w:val="Heading3"/>
      </w:pPr>
      <w:bookmarkStart w:id="3341" w:name="_Toc2037"/>
      <w:r>
        <w:t>دیوان حکیمی طبسی أو شعره‏</w:t>
      </w:r>
      <w:bookmarkEnd w:id="3341"/>
    </w:p>
    <w:p>
      <w:pPr>
        <w:pStyle w:val="BookText"/>
      </w:pPr>
      <w:r>
        <w:rPr>
          <w:rFonts w:ascii="IRNazanin" w:hAnsi="IRNazanin" w:eastAsia="IRNazanin" w:cs="IRNazanin"/>
          <w:lang w:bidi="fa-IR"/>
          <w:color w:val="111111"/>
          <w:sz w:val="28"/>
          <w:szCs w:val="28"/>
          <w:rtl/>
        </w:rPr>
        <w:t xml:space="preserve">و اسمه المیر شهاب الدین سکن سبزوار و تلمذ علی المیر شاهی و مهر فی الطب و دخل فی أطباء السلطان حسین میرزا المتوفی (911) کما فی (روشن- ص 183). و لعله متحد مع ما قبله، و قد سماه فی (گلشن- ص 142) حکیمی أسترآبادی.</w:t>
      </w:r>
    </w:p>
    <w:p>
      <w:pPr>
        <w:pStyle w:val="Heading3"/>
      </w:pPr>
      <w:bookmarkStart w:id="3342" w:name="_Toc2038"/>
      <w:r>
        <w:t>1589- دیوان حلمی الأردبیلی أو شعره‏</w:t>
      </w:r>
      <w:bookmarkEnd w:id="3342"/>
    </w:p>
    <w:p>
      <w:pPr>
        <w:pStyle w:val="BookText"/>
      </w:pPr>
      <w:r>
        <w:rPr>
          <w:rFonts w:ascii="IRNazanin" w:hAnsi="IRNazanin" w:eastAsia="IRNazanin" w:cs="IRNazanin"/>
          <w:lang w:bidi="fa-IR"/>
          <w:color w:val="111111"/>
          <w:sz w:val="28"/>
          <w:szCs w:val="28"/>
          <w:rtl/>
        </w:rPr>
        <w:t xml:space="preserve">السیاح نزیل أصفهان ترجمه فی (دجا- ص 133) و (گلشن- ص 142) و أورد بعض أشعاره‏</w:t>
      </w:r>
    </w:p>
    <w:p>
      <w:pPr>
        <w:pStyle w:val="Heading3"/>
      </w:pPr>
      <w:bookmarkStart w:id="3343" w:name="_Toc2039"/>
      <w:r>
        <w:t>1590- دیوان حلمی أصفهانی أو شعره‏</w:t>
      </w:r>
      <w:bookmarkEnd w:id="3343"/>
    </w:p>
    <w:p>
      <w:pPr>
        <w:pStyle w:val="BookText"/>
      </w:pPr>
      <w:r>
        <w:rPr>
          <w:rFonts w:ascii="IRNazanin" w:hAnsi="IRNazanin" w:eastAsia="IRNazanin" w:cs="IRNazanin"/>
          <w:lang w:bidi="fa-IR"/>
          <w:color w:val="111111"/>
          <w:sz w:val="28"/>
          <w:szCs w:val="28"/>
          <w:rtl/>
        </w:rPr>
        <w:t xml:space="preserve">أورد شعره فی (تش- ص 175)</w:t>
      </w:r>
    </w:p>
    <w:p>
      <w:pPr>
        <w:pStyle w:val="Heading3"/>
      </w:pPr>
      <w:bookmarkStart w:id="3344" w:name="_Toc2040"/>
      <w:r>
        <w:t>1591- دیوان حلمی شوشتری‏</w:t>
      </w:r>
      <w:bookmarkEnd w:id="3344"/>
    </w:p>
    <w:p>
      <w:pPr>
        <w:pStyle w:val="BookText"/>
      </w:pPr>
      <w:r>
        <w:rPr>
          <w:rFonts w:ascii="IRNazanin" w:hAnsi="IRNazanin" w:eastAsia="IRNazanin" w:cs="IRNazanin"/>
          <w:lang w:bidi="fa-IR"/>
          <w:color w:val="111111"/>
          <w:sz w:val="28"/>
          <w:szCs w:val="28"/>
          <w:rtl/>
        </w:rPr>
        <w:t xml:space="preserve">کان تلمیذ المولی حامدی التبریزی المذکور آنفا قال السید عبد الله الجزائری التستری المتوفی (1173) فی تاریخ تستر المعروف بالتذکرة و المذکور فی (ج 3 ص 243) إن هذا الدیوان موجود یقرب من ستة عشر ألف بیت فیه قصیدة فی مدح الحجة</w:t>
      </w:r>
    </w:p>
    <w:p>
      <w:pPr>
        <w:pStyle w:val="BookText"/>
      </w:pPr>
      <w:r>
        <w:rPr>
          <w:rFonts w:ascii="IRNazanin" w:hAnsi="IRNazanin" w:eastAsia="IRNazanin" w:cs="IRNazanin"/>
          <w:lang w:bidi="fa-IR"/>
          <w:color w:val="111111"/>
          <w:sz w:val="28"/>
          <w:szCs w:val="28"/>
          <w:rtl/>
        </w:rPr>
        <w:t xml:space="preserve">علیه السلام  أنشأها بأمر أستاذه المولی حامدی التستری و قصیدة فی مدح علی پاشا و قطعات فی التواریخ منها فی تاریخ وفاه أستاذه المولی حامدی و وفاه المولی عیشی و المولی عبائی و المولی غیبی و المولی سلیمان و رشید و غیرهم و هؤلاء کلهم من الشعراء فی تستر فی عصر واخشتو خان الحاکم فی تستر من (1042- 1078)</w:t>
      </w:r>
    </w:p>
    <w:p>
      <w:pPr>
        <w:pStyle w:val="Heading3"/>
      </w:pPr>
      <w:bookmarkStart w:id="3345" w:name="_Toc2041"/>
      <w:r>
        <w:t>1592- دیوان حلمی کاشانی أو شعره‏</w:t>
      </w:r>
      <w:bookmarkEnd w:id="3345"/>
    </w:p>
    <w:p>
      <w:pPr>
        <w:pStyle w:val="BookText"/>
      </w:pPr>
      <w:r>
        <w:rPr>
          <w:rFonts w:ascii="IRNazanin" w:hAnsi="IRNazanin" w:eastAsia="IRNazanin" w:cs="IRNazanin"/>
          <w:lang w:bidi="fa-IR"/>
          <w:color w:val="111111"/>
          <w:sz w:val="28"/>
          <w:szCs w:val="28"/>
          <w:rtl/>
        </w:rPr>
        <w:t xml:space="preserve">و اسمه المولی مقیما ترجمه النصرآبادی فی (نر 9- ص 302) و (تش- ص 242) و ذکر أنه سافر إلی الهند و تقرب إلی الشاه‏زاده دارا شکوه و بذل له السلطان اورنگ زیب عالم مصرف الحج، فحج سالما و رجع إلی الهند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61" w:name="pg11704_121741"/>
    <w:bookmarkEnd w:id="261"/>
    <w:p>
      <w:pPr>
        <w:pStyle w:val="BookText"/>
      </w:pPr>
      <w:r>
        <w:rPr>
          <w:rFonts w:ascii="IRNazanin" w:hAnsi="IRNazanin" w:eastAsia="IRNazanin" w:cs="IRNazanin"/>
          <w:lang w:bidi="fa-IR"/>
          <w:color w:val="111111"/>
          <w:sz w:val="28"/>
          <w:szCs w:val="28"/>
          <w:rtl/>
        </w:rPr>
        <w:t xml:space="preserve">و توفی بها و أوصی بکتبه و (700 روپیه) من ترکته إلی الشیخ بدر الدین العرب و المیرزا إبراهیم الفانی، و أورد بعض شعره و رباعیاته‏</w:t>
      </w:r>
    </w:p>
    <w:p>
      <w:pPr>
        <w:pStyle w:val="Heading3"/>
      </w:pPr>
      <w:bookmarkStart w:id="3346" w:name="_Toc2042"/>
      <w:r>
        <w:t>1593- دیوان حلوائی أو شعره‏</w:t>
      </w:r>
      <w:bookmarkEnd w:id="3346"/>
    </w:p>
    <w:p>
      <w:pPr>
        <w:pStyle w:val="BookText"/>
      </w:pPr>
      <w:r>
        <w:rPr>
          <w:rFonts w:ascii="IRNazanin" w:hAnsi="IRNazanin" w:eastAsia="IRNazanin" w:cs="IRNazanin"/>
          <w:lang w:bidi="fa-IR"/>
          <w:color w:val="111111"/>
          <w:sz w:val="28"/>
          <w:szCs w:val="28"/>
          <w:rtl/>
        </w:rPr>
        <w:t xml:space="preserve">و اسمه محمود بیک أورد شعره فی (گلشن- ص 382)</w:t>
      </w:r>
    </w:p>
    <w:p>
      <w:pPr>
        <w:pStyle w:val="Heading3"/>
      </w:pPr>
      <w:bookmarkStart w:id="3347" w:name="_Toc2043"/>
      <w:r>
        <w:t>دیوان حلوائی أصفهانی‏</w:t>
      </w:r>
      <w:bookmarkEnd w:id="3347"/>
    </w:p>
    <w:p>
      <w:pPr>
        <w:pStyle w:val="BookText"/>
      </w:pPr>
      <w:r>
        <w:rPr>
          <w:rFonts w:ascii="IRNazanin" w:hAnsi="IRNazanin" w:eastAsia="IRNazanin" w:cs="IRNazanin"/>
          <w:lang w:bidi="fa-IR"/>
          <w:color w:val="111111"/>
          <w:sz w:val="28"/>
          <w:szCs w:val="28"/>
          <w:rtl/>
        </w:rPr>
        <w:t xml:space="preserve">یأتی بعنوان دیوان ضمیر لتخلصه به‏</w:t>
      </w:r>
    </w:p>
    <w:p>
      <w:pPr>
        <w:pStyle w:val="Heading3"/>
      </w:pPr>
      <w:bookmarkStart w:id="3348" w:name="_Toc2044"/>
      <w:r>
        <w:t>دیوان مولانا حلوائی سمرقندی‏</w:t>
      </w:r>
      <w:bookmarkEnd w:id="3348"/>
    </w:p>
    <w:p>
      <w:pPr>
        <w:pStyle w:val="BookText"/>
      </w:pPr>
      <w:r>
        <w:rPr>
          <w:rFonts w:ascii="IRNazanin" w:hAnsi="IRNazanin" w:eastAsia="IRNazanin" w:cs="IRNazanin"/>
          <w:lang w:bidi="fa-IR"/>
          <w:color w:val="111111"/>
          <w:sz w:val="28"/>
          <w:szCs w:val="28"/>
          <w:rtl/>
        </w:rPr>
        <w:t xml:space="preserve">المقبور بها شابا ترجمه فی (مجن 2- ص 47 و 221) و الظاهر أنه غیر ما ذکر فی (بهش 382) و ذکرا مطلع غزله‏</w:t>
      </w:r>
    </w:p>
    <w:p>
      <w:pPr>
        <w:pStyle w:val="Heading3"/>
      </w:pPr>
      <w:bookmarkStart w:id="3349" w:name="_Toc2045"/>
      <w:r>
        <w:t>1594- دیوان حلوائی شیرازی أو شعره‏</w:t>
      </w:r>
      <w:bookmarkEnd w:id="3349"/>
    </w:p>
    <w:p>
      <w:pPr>
        <w:pStyle w:val="BookText"/>
      </w:pPr>
      <w:r>
        <w:rPr>
          <w:rFonts w:ascii="IRNazanin" w:hAnsi="IRNazanin" w:eastAsia="IRNazanin" w:cs="IRNazanin"/>
          <w:lang w:bidi="fa-IR"/>
          <w:color w:val="111111"/>
          <w:sz w:val="28"/>
          <w:szCs w:val="28"/>
          <w:rtl/>
        </w:rPr>
        <w:t xml:space="preserve">و یعرف بغیاثا الشیرازی المعاصر لملا ملهمی و المیرزا نظام سافر إلی أصفهان و سکن بدار الشفاء جنب القیصریة و ابتلی بالجدری و عمی بصره و کان ماهرا فی الغزل و القصیدة و وقع من سطح الدار و مات، کذا ترجمه معاصره فی (نر 9- ص 238) و أورد شعره و کذا فی (تش- ص 290)</w:t>
      </w:r>
    </w:p>
    <w:p>
      <w:pPr>
        <w:pStyle w:val="Heading3"/>
      </w:pPr>
      <w:bookmarkStart w:id="3350" w:name="_Toc2046"/>
      <w:r>
        <w:t>دیوان حلوائی هروی‏</w:t>
      </w:r>
      <w:bookmarkEnd w:id="3350"/>
    </w:p>
    <w:p>
      <w:pPr>
        <w:pStyle w:val="BookText"/>
      </w:pPr>
      <w:r>
        <w:rPr>
          <w:rFonts w:ascii="IRNazanin" w:hAnsi="IRNazanin" w:eastAsia="IRNazanin" w:cs="IRNazanin"/>
          <w:lang w:bidi="fa-IR"/>
          <w:color w:val="111111"/>
          <w:sz w:val="28"/>
          <w:szCs w:val="28"/>
          <w:rtl/>
        </w:rPr>
        <w:t xml:space="preserve">یأتی بعنوان نکویی‏</w:t>
      </w:r>
    </w:p>
    <w:p>
      <w:pPr>
        <w:pStyle w:val="Heading3"/>
      </w:pPr>
      <w:bookmarkStart w:id="3351" w:name="_Toc2047"/>
      <w:r>
        <w:t>1595- دیوان حلیم سندی أو شعره‏</w:t>
      </w:r>
      <w:bookmarkEnd w:id="3351"/>
    </w:p>
    <w:p>
      <w:pPr>
        <w:pStyle w:val="BookText"/>
      </w:pPr>
      <w:r>
        <w:rPr>
          <w:rFonts w:ascii="IRNazanin" w:hAnsi="IRNazanin" w:eastAsia="IRNazanin" w:cs="IRNazanin"/>
          <w:lang w:bidi="fa-IR"/>
          <w:color w:val="111111"/>
          <w:sz w:val="28"/>
          <w:szCs w:val="28"/>
          <w:rtl/>
        </w:rPr>
        <w:t xml:space="preserve">و هو الشاه‏زاده المیرزا جانی کما فی (تغ- ص 46) أو میرزاخانی کما فی (روشن- ص 183) و قال هذا: کان ماهرا فی الأرغنون و أورد أشعاره‏</w:t>
      </w:r>
    </w:p>
    <w:p>
      <w:pPr>
        <w:pStyle w:val="Heading3"/>
      </w:pPr>
      <w:bookmarkStart w:id="3352" w:name="_Toc2048"/>
      <w:r>
        <w:t>1596- دیوان حلیمی شیروانی أو شعره‏</w:t>
      </w:r>
      <w:bookmarkEnd w:id="3352"/>
    </w:p>
    <w:p>
      <w:pPr>
        <w:pStyle w:val="BookText"/>
      </w:pPr>
      <w:r>
        <w:rPr>
          <w:rFonts w:ascii="IRNazanin" w:hAnsi="IRNazanin" w:eastAsia="IRNazanin" w:cs="IRNazanin"/>
          <w:lang w:bidi="fa-IR"/>
          <w:color w:val="111111"/>
          <w:sz w:val="28"/>
          <w:szCs w:val="28"/>
          <w:rtl/>
        </w:rPr>
        <w:t xml:space="preserve">أورد بعض شعره عن خط تاریخه (945) فی (دجا- ص 123)</w:t>
      </w:r>
    </w:p>
    <w:p>
      <w:pPr>
        <w:pStyle w:val="Heading3"/>
      </w:pPr>
      <w:bookmarkStart w:id="3353" w:name="_Toc2049"/>
      <w:r>
        <w:t>1597- دیوان حلیمی طهرانی أو شعره‏</w:t>
      </w:r>
      <w:bookmarkEnd w:id="3353"/>
    </w:p>
    <w:p>
      <w:pPr>
        <w:pStyle w:val="BookText"/>
      </w:pPr>
      <w:r>
        <w:rPr>
          <w:rFonts w:ascii="IRNazanin" w:hAnsi="IRNazanin" w:eastAsia="IRNazanin" w:cs="IRNazanin"/>
          <w:lang w:bidi="fa-IR"/>
          <w:color w:val="111111"/>
          <w:sz w:val="28"/>
          <w:szCs w:val="28"/>
          <w:rtl/>
        </w:rPr>
        <w:t xml:space="preserve">و هو المیر محمد، کان والده رئیس قریة طهران و أعرض هو عن الشغل أطری بذله معاصره سام میرزا فی (تس 5- ص 157) و أورد شعره‏</w:t>
      </w:r>
    </w:p>
    <w:p>
      <w:pPr>
        <w:pStyle w:val="Heading3"/>
      </w:pPr>
      <w:bookmarkStart w:id="3354" w:name="_Toc2050"/>
      <w:r>
        <w:t>1598- دیوان الشیخ حمادی الکواز</w:t>
      </w:r>
      <w:bookmarkEnd w:id="3354"/>
    </w:p>
    <w:p>
      <w:pPr>
        <w:pStyle w:val="BookText"/>
      </w:pPr>
      <w:r>
        <w:rPr>
          <w:rFonts w:ascii="IRNazanin" w:hAnsi="IRNazanin" w:eastAsia="IRNazanin" w:cs="IRNazanin"/>
          <w:lang w:bidi="fa-IR"/>
          <w:color w:val="111111"/>
          <w:sz w:val="28"/>
          <w:szCs w:val="28"/>
          <w:rtl/>
        </w:rPr>
        <w:t xml:space="preserve">و هو ابن حمزة آل نوح الشمری الحلی المتوفی (1279) جمعه أخوه الشیخ صالح کواز و لم یستوفها لکثرة شعره‏</w:t>
      </w:r>
    </w:p>
    <w:p>
      <w:pPr>
        <w:pStyle w:val="Heading3"/>
      </w:pPr>
      <w:bookmarkStart w:id="3355" w:name="_Toc2051"/>
      <w:r>
        <w:t>1599- دیوان الشیخ حمادی نوح‏</w:t>
      </w:r>
      <w:bookmarkEnd w:id="3355"/>
    </w:p>
    <w:p>
      <w:pPr>
        <w:pStyle w:val="BookText"/>
      </w:pPr>
      <w:r>
        <w:rPr>
          <w:rFonts w:ascii="IRNazanin" w:hAnsi="IRNazanin" w:eastAsia="IRNazanin" w:cs="IRNazanin"/>
          <w:lang w:bidi="fa-IR"/>
          <w:color w:val="111111"/>
          <w:sz w:val="28"/>
          <w:szCs w:val="28"/>
          <w:rtl/>
        </w:rPr>
        <w:t xml:space="preserve">الشاعر الشهیر الذی یقال فیه إنه متنبی عصره و هو أبو هبة محمد بن سلمان بن نوح الغریبی الکعبی الأهوازی نزیل الحلة و المتوفی بها فی صفر (1325) عن تسعین سنة و قیل مائة و خمس سنین و دیوانه کبیر فی مجلدین یزید علی اثنی عشر ألف بیت، جمعه هو بنفسه و رتبه علی عدة فصول عناوینها: الإلهیات، الحسینیات، القزوینیات، الشیرازیات، الرشتیات، و هکذا توجد نسخه منه فی مکتبة (السماوی)</w:t>
      </w:r>
    </w:p>
    <w:p>
      <w:pPr>
        <w:pStyle w:val="Heading3"/>
      </w:pPr>
      <w:bookmarkStart w:id="3356" w:name="_Toc2052"/>
      <w:r>
        <w:t>دیوان الحماسة</w:t>
      </w:r>
      <w:bookmarkEnd w:id="3356"/>
    </w:p>
    <w:p>
      <w:pPr>
        <w:pStyle w:val="BookText"/>
      </w:pPr>
      <w:r>
        <w:rPr>
          <w:rFonts w:ascii="IRNazanin" w:hAnsi="IRNazanin" w:eastAsia="IRNazanin" w:cs="IRNazanin"/>
          <w:lang w:bidi="fa-IR"/>
          <w:color w:val="111111"/>
          <w:sz w:val="28"/>
          <w:szCs w:val="28"/>
          <w:rtl/>
        </w:rPr>
        <w:t xml:space="preserve">مر بعنوان الحماسة متعددا فی (ج 7)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62" w:name="pg11704_121742"/>
    <w:bookmarkEnd w:id="262"/>
    <w:p>
      <w:pPr>
        <w:pStyle w:val="Heading3"/>
      </w:pPr>
      <w:bookmarkStart w:id="3357" w:name="_Toc2053"/>
      <w:r>
        <w:t>1600- دیوان الحمانی أو شعره‏</w:t>
      </w:r>
      <w:bookmarkEnd w:id="3357"/>
    </w:p>
    <w:p>
      <w:pPr>
        <w:pStyle w:val="BookText"/>
      </w:pPr>
      <w:r>
        <w:rPr>
          <w:rFonts w:ascii="IRNazanin" w:hAnsi="IRNazanin" w:eastAsia="IRNazanin" w:cs="IRNazanin"/>
          <w:lang w:bidi="fa-IR"/>
          <w:color w:val="111111"/>
          <w:sz w:val="28"/>
          <w:szCs w:val="28"/>
          <w:rtl/>
        </w:rPr>
        <w:t xml:space="preserve">و هو علی بن محمد بن جعفر بن محمد بن زید الشهید العلوی الإمامی الشاعر و حمان محله بالکوفة هو فی العلویین کابن المعتز فی العباسیین، کذا فی نسمة السحر و قال فی (عمدة الطالب ص 286) إن کثیرا من أشعاره دخل فی دیوان صاحب الزنج عبر عنه الرضا فی مجلس المأمون ببعض فتیاننا و وصفه الهادی علیه السلام  بأشعر الناس أورد شعره ابن شهرآشوب فی المناقب و المفید فی العیون و المحاسن و الصدوق فی عیون أخبار الرضا</w:t>
      </w:r>
    </w:p>
    <w:p>
      <w:pPr>
        <w:pStyle w:val="Heading3"/>
      </w:pPr>
      <w:bookmarkStart w:id="3358" w:name="_Toc2054"/>
      <w:r>
        <w:t>1601- دیوان المولی حمد الله الأردبیلی‏</w:t>
      </w:r>
      <w:bookmarkEnd w:id="3358"/>
    </w:p>
    <w:p>
      <w:pPr>
        <w:pStyle w:val="BookText"/>
      </w:pPr>
      <w:r>
        <w:rPr>
          <w:rFonts w:ascii="IRNazanin" w:hAnsi="IRNazanin" w:eastAsia="IRNazanin" w:cs="IRNazanin"/>
          <w:lang w:bidi="fa-IR"/>
          <w:color w:val="111111"/>
          <w:sz w:val="28"/>
          <w:szCs w:val="28"/>
          <w:rtl/>
        </w:rPr>
        <w:t xml:space="preserve">أطری فضله تقی الدین فی تذکره عرفات- العاشقین المؤلف (1025) و الموجود بمکتبة (الملک) و ذکر أنه رآه بشیراز قبل (1000) و أورد رباعیة له و عنه فی (دجا- ص 123) و سماه فی (گلشن- ص 143) حمید أردبیلی‏</w:t>
      </w:r>
    </w:p>
    <w:p>
      <w:pPr>
        <w:pStyle w:val="Heading3"/>
      </w:pPr>
      <w:bookmarkStart w:id="3359" w:name="_Toc2055"/>
      <w:r>
        <w:t>1602- دیوان مولانا حمد الله الرازی‏</w:t>
      </w:r>
      <w:bookmarkEnd w:id="3359"/>
    </w:p>
    <w:p>
      <w:pPr>
        <w:pStyle w:val="BookText"/>
      </w:pPr>
      <w:r>
        <w:rPr>
          <w:rFonts w:ascii="IRNazanin" w:hAnsi="IRNazanin" w:eastAsia="IRNazanin" w:cs="IRNazanin"/>
          <w:lang w:bidi="fa-IR"/>
          <w:color w:val="111111"/>
          <w:sz w:val="28"/>
          <w:szCs w:val="28"/>
          <w:rtl/>
        </w:rPr>
        <w:t xml:space="preserve">کان والده من المتمولین فی ری و لکن ولده زهد عن المال وصفه کذلک معاصره سام میرزا فی (تس 5- ص 178) و أورد مطلع غزله‏</w:t>
      </w:r>
    </w:p>
    <w:p>
      <w:pPr>
        <w:pStyle w:val="Heading3"/>
      </w:pPr>
      <w:bookmarkStart w:id="3360" w:name="_Toc2056"/>
      <w:r>
        <w:t>1603- دیوان حمدی أو شعره‏</w:t>
      </w:r>
      <w:bookmarkEnd w:id="3360"/>
    </w:p>
    <w:p>
      <w:pPr>
        <w:pStyle w:val="BookText"/>
      </w:pPr>
      <w:r>
        <w:rPr>
          <w:rFonts w:ascii="IRNazanin" w:hAnsi="IRNazanin" w:eastAsia="IRNazanin" w:cs="IRNazanin"/>
          <w:lang w:bidi="fa-IR"/>
          <w:color w:val="111111"/>
          <w:sz w:val="28"/>
          <w:szCs w:val="28"/>
          <w:rtl/>
        </w:rPr>
        <w:t xml:space="preserve">لبردعی‏زاده شمس الدین من أولاد المولی محمد البردعی هاجر من بلاد خراسان إلی الروم فی (917) فأکرمه السلطان سلیم خان و له تصانیف ترجمه فی (بهش 2- ص 370) و أورد بعض قصیدته المصنوعة فی تتبع قصیدة مولا شرف و لعلهم ینتسبون إلی البردعی المذکور فی (النفحات- ص 145)</w:t>
      </w:r>
    </w:p>
    <w:p>
      <w:pPr>
        <w:pStyle w:val="Heading3"/>
      </w:pPr>
      <w:bookmarkStart w:id="3361" w:name="_Toc2057"/>
      <w:r>
        <w:t>دیوان حمدی سیستانی‏</w:t>
      </w:r>
      <w:bookmarkEnd w:id="3361"/>
    </w:p>
    <w:p>
      <w:pPr>
        <w:pStyle w:val="BookText"/>
      </w:pPr>
      <w:r>
        <w:rPr>
          <w:rFonts w:ascii="IRNazanin" w:hAnsi="IRNazanin" w:eastAsia="IRNazanin" w:cs="IRNazanin"/>
          <w:lang w:bidi="fa-IR"/>
          <w:color w:val="111111"/>
          <w:sz w:val="28"/>
          <w:szCs w:val="28"/>
          <w:rtl/>
        </w:rPr>
        <w:t xml:space="preserve">أورد شعره فی (روشن- ص 183) و لعله حمزة سیستانی‏</w:t>
      </w:r>
    </w:p>
    <w:p>
      <w:pPr>
        <w:pStyle w:val="Heading3"/>
      </w:pPr>
      <w:bookmarkStart w:id="3362" w:name="_Toc2058"/>
      <w:r>
        <w:t>1604- دیوان حمدی قزوینی أو شعره‏</w:t>
      </w:r>
      <w:bookmarkEnd w:id="3362"/>
    </w:p>
    <w:p>
      <w:pPr>
        <w:pStyle w:val="BookText"/>
      </w:pPr>
      <w:r>
        <w:rPr>
          <w:rFonts w:ascii="IRNazanin" w:hAnsi="IRNazanin" w:eastAsia="IRNazanin" w:cs="IRNazanin"/>
          <w:lang w:bidi="fa-IR"/>
          <w:color w:val="111111"/>
          <w:sz w:val="28"/>
          <w:szCs w:val="28"/>
          <w:rtl/>
        </w:rPr>
        <w:t xml:space="preserve">أورد شعره فی (روشن- ص 185)</w:t>
      </w:r>
    </w:p>
    <w:p>
      <w:pPr>
        <w:pStyle w:val="Heading3"/>
      </w:pPr>
      <w:bookmarkStart w:id="3363" w:name="_Toc2059"/>
      <w:r>
        <w:t>1605- دیوان حمدی کشمیری أو شعره‏</w:t>
      </w:r>
      <w:bookmarkEnd w:id="3363"/>
    </w:p>
    <w:p>
      <w:pPr>
        <w:pStyle w:val="BookText"/>
      </w:pPr>
      <w:r>
        <w:rPr>
          <w:rFonts w:ascii="IRNazanin" w:hAnsi="IRNazanin" w:eastAsia="IRNazanin" w:cs="IRNazanin"/>
          <w:lang w:bidi="fa-IR"/>
          <w:color w:val="111111"/>
          <w:sz w:val="28"/>
          <w:szCs w:val="28"/>
          <w:rtl/>
        </w:rPr>
        <w:t xml:space="preserve">أورد شعره و أصر علی أنه غیر القزوینی فی (روشن- ص 184)</w:t>
      </w:r>
    </w:p>
    <w:p>
      <w:pPr>
        <w:pStyle w:val="Heading3"/>
      </w:pPr>
      <w:bookmarkStart w:id="3364" w:name="_Toc2060"/>
      <w:r>
        <w:t>دیوان حمزة سیستانی‏</w:t>
      </w:r>
      <w:bookmarkEnd w:id="3364"/>
    </w:p>
    <w:p>
      <w:pPr>
        <w:pStyle w:val="BookText"/>
      </w:pPr>
      <w:r>
        <w:rPr>
          <w:rFonts w:ascii="IRNazanin" w:hAnsi="IRNazanin" w:eastAsia="IRNazanin" w:cs="IRNazanin"/>
          <w:lang w:bidi="fa-IR"/>
          <w:color w:val="111111"/>
          <w:sz w:val="28"/>
          <w:szCs w:val="28"/>
          <w:rtl/>
        </w:rPr>
        <w:t xml:space="preserve">یأتی بعنوان تخلصه دیوان غافل‏</w:t>
      </w:r>
    </w:p>
    <w:p>
      <w:pPr>
        <w:pStyle w:val="Heading3"/>
      </w:pPr>
      <w:bookmarkStart w:id="3365" w:name="_Toc2061"/>
      <w:r>
        <w:t>دیوان حمید همدانی‏</w:t>
      </w:r>
      <w:bookmarkEnd w:id="3365"/>
    </w:p>
    <w:p>
      <w:pPr>
        <w:pStyle w:val="BookText"/>
      </w:pPr>
      <w:r>
        <w:rPr>
          <w:rFonts w:ascii="IRNazanin" w:hAnsi="IRNazanin" w:eastAsia="IRNazanin" w:cs="IRNazanin"/>
          <w:lang w:bidi="fa-IR"/>
          <w:color w:val="111111"/>
          <w:sz w:val="28"/>
          <w:szCs w:val="28"/>
          <w:rtl/>
        </w:rPr>
        <w:t xml:space="preserve">ترجمه معاصر کذلک فی (نر 6- ص 192) راجع حمید همدانی‏</w:t>
      </w:r>
    </w:p>
    <w:p>
      <w:pPr>
        <w:pStyle w:val="Heading3"/>
      </w:pPr>
      <w:bookmarkStart w:id="3366" w:name="_Toc2062"/>
      <w:r>
        <w:t>دیوان حمید أردبیلی‏</w:t>
      </w:r>
      <w:bookmarkEnd w:id="3366"/>
    </w:p>
    <w:p>
      <w:pPr>
        <w:pStyle w:val="BookText"/>
      </w:pPr>
      <w:r>
        <w:rPr>
          <w:rFonts w:ascii="IRNazanin" w:hAnsi="IRNazanin" w:eastAsia="IRNazanin" w:cs="IRNazanin"/>
          <w:lang w:bidi="fa-IR"/>
          <w:color w:val="111111"/>
          <w:sz w:val="28"/>
          <w:szCs w:val="28"/>
          <w:rtl/>
        </w:rPr>
        <w:t xml:space="preserve">راجع حمد الله أردبیلی‏</w:t>
      </w:r>
    </w:p>
    <w:p>
      <w:pPr>
        <w:pStyle w:val="Heading3"/>
      </w:pPr>
      <w:bookmarkStart w:id="3367" w:name="_Toc2063"/>
      <w:r>
        <w:t>1606- دیوان حمید بخارائی أو شعره‏</w:t>
      </w:r>
      <w:bookmarkEnd w:id="3367"/>
    </w:p>
    <w:p>
      <w:pPr>
        <w:pStyle w:val="BookText"/>
      </w:pPr>
      <w:r>
        <w:rPr>
          <w:rFonts w:ascii="IRNazanin" w:hAnsi="IRNazanin" w:eastAsia="IRNazanin" w:cs="IRNazanin"/>
          <w:lang w:bidi="fa-IR"/>
          <w:color w:val="111111"/>
          <w:sz w:val="28"/>
          <w:szCs w:val="28"/>
          <w:rtl/>
        </w:rPr>
        <w:t xml:space="preserve">و اسمه حمید الدین ابن عمعق البخاری هجا الحکیم سوزنی و مات (670) کما فی (تغ- ص 47)</w:t>
      </w:r>
    </w:p>
    <w:p>
      <w:pPr>
        <w:pStyle w:val="Heading3"/>
      </w:pPr>
      <w:bookmarkStart w:id="3368" w:name="_Toc2064"/>
      <w:r>
        <w:t>1607- دیوان حمید تبادکانی أو شعره‏</w:t>
      </w:r>
      <w:bookmarkEnd w:id="3368"/>
    </w:p>
    <w:p>
      <w:pPr>
        <w:pStyle w:val="BookText"/>
      </w:pPr>
      <w:r>
        <w:rPr>
          <w:rFonts w:ascii="IRNazanin" w:hAnsi="IRNazanin" w:eastAsia="IRNazanin" w:cs="IRNazanin"/>
          <w:lang w:bidi="fa-IR"/>
          <w:color w:val="111111"/>
          <w:sz w:val="28"/>
          <w:szCs w:val="28"/>
          <w:rtl/>
        </w:rPr>
        <w:t xml:space="preserve">و هو حمید الدین ابن المولی محمد التبادکانی‏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63" w:name="pg11704_121743"/>
    <w:bookmarkEnd w:id="263"/>
    <w:p>
      <w:pPr>
        <w:pStyle w:val="BookText"/>
      </w:pPr>
      <w:r>
        <w:rPr>
          <w:rFonts w:ascii="IRNazanin" w:hAnsi="IRNazanin" w:eastAsia="IRNazanin" w:cs="IRNazanin"/>
          <w:lang w:bidi="fa-IR"/>
          <w:color w:val="111111"/>
          <w:sz w:val="28"/>
          <w:szCs w:val="28"/>
          <w:rtl/>
        </w:rPr>
        <w:t xml:space="preserve">ترجمه فی (مجن 4 ص 94 و 270) و قال کان من الصوفیة الملامتیة و أورد شعره‏</w:t>
      </w:r>
    </w:p>
    <w:p>
      <w:pPr>
        <w:pStyle w:val="Heading3"/>
      </w:pPr>
      <w:bookmarkStart w:id="3369" w:name="_Toc2065"/>
      <w:r>
        <w:t>1608- دیوان حمید کل أو شعره‏</w:t>
      </w:r>
      <w:bookmarkEnd w:id="3369"/>
    </w:p>
    <w:p>
      <w:pPr>
        <w:pStyle w:val="BookText"/>
      </w:pPr>
      <w:r>
        <w:rPr>
          <w:rFonts w:ascii="IRNazanin" w:hAnsi="IRNazanin" w:eastAsia="IRNazanin" w:cs="IRNazanin"/>
          <w:lang w:bidi="fa-IR"/>
          <w:color w:val="111111"/>
          <w:sz w:val="28"/>
          <w:szCs w:val="28"/>
          <w:rtl/>
        </w:rPr>
        <w:t xml:space="preserve">لملا حمید بن الملا عبد الوهاب ترجمه و أورد شعره معاصره فی (مجن 3- ص 86 و 260)</w:t>
      </w:r>
    </w:p>
    <w:p>
      <w:pPr>
        <w:pStyle w:val="Heading3"/>
      </w:pPr>
      <w:bookmarkStart w:id="3370" w:name="_Toc2066"/>
      <w:r>
        <w:t>دیوان حمید معمایی‏</w:t>
      </w:r>
      <w:bookmarkEnd w:id="3370"/>
    </w:p>
    <w:p>
      <w:pPr>
        <w:pStyle w:val="BookText"/>
      </w:pPr>
      <w:r>
        <w:rPr>
          <w:rFonts w:ascii="IRNazanin" w:hAnsi="IRNazanin" w:eastAsia="IRNazanin" w:cs="IRNazanin"/>
          <w:lang w:bidi="fa-IR"/>
          <w:color w:val="111111"/>
          <w:sz w:val="28"/>
          <w:szCs w:val="28"/>
          <w:rtl/>
        </w:rPr>
        <w:t xml:space="preserve">کذا ترجمه القزوینی فی (قز مج 3- ص 239) و الصحیح أنه ملا جمشید معمایی کما فی (لط 3- ص 69)</w:t>
      </w:r>
    </w:p>
    <w:p>
      <w:pPr>
        <w:pStyle w:val="Heading3"/>
      </w:pPr>
      <w:bookmarkStart w:id="3371" w:name="_Toc2067"/>
      <w:r>
        <w:t>1609- دیوان حمید ناگوری أو شعره‏</w:t>
      </w:r>
      <w:bookmarkEnd w:id="3371"/>
    </w:p>
    <w:p>
      <w:pPr>
        <w:pStyle w:val="BookText"/>
      </w:pPr>
      <w:r>
        <w:rPr>
          <w:rFonts w:ascii="IRNazanin" w:hAnsi="IRNazanin" w:eastAsia="IRNazanin" w:cs="IRNazanin"/>
          <w:lang w:bidi="fa-IR"/>
          <w:color w:val="111111"/>
          <w:sz w:val="28"/>
          <w:szCs w:val="28"/>
          <w:rtl/>
        </w:rPr>
        <w:t xml:space="preserve">الشیخ حمید الدین تلمیذ الخواجة معین الدین الچشتی ولد ببخارا و نصبه السلطان معز الدین سام حاکم دهلی قاضیا بناگور، و مات بها فی (643) و قد سافر إلی بغداد و الشام و الحجاز و لاقی الشهاب السهروردی هناک أورد شعره فی (روشن- ص 184) و کذا فی (تغ- ص 47)</w:t>
      </w:r>
    </w:p>
    <w:p>
      <w:pPr>
        <w:pStyle w:val="Heading3"/>
      </w:pPr>
      <w:bookmarkStart w:id="3372" w:name="_Toc2068"/>
      <w:r>
        <w:t>1610- دیوان حمید همدانی‏</w:t>
      </w:r>
      <w:bookmarkEnd w:id="3372"/>
    </w:p>
    <w:p>
      <w:pPr>
        <w:pStyle w:val="BookText"/>
      </w:pPr>
      <w:r>
        <w:rPr>
          <w:rFonts w:ascii="IRNazanin" w:hAnsi="IRNazanin" w:eastAsia="IRNazanin" w:cs="IRNazanin"/>
          <w:lang w:bidi="fa-IR"/>
          <w:color w:val="111111"/>
          <w:sz w:val="28"/>
          <w:szCs w:val="28"/>
          <w:rtl/>
        </w:rPr>
        <w:t xml:space="preserve">من شعراء الدورة الصفویة توجد دیوان غزله فی مکتبة (المجلس) کما فی فهرسها (ج 3 ص 266) فی (1570 بیتا) یظهر منه تشیعه و إنه همدانی یتخلص حمید قال ابن یوسف و لعله حمید الهمدانی المذکور فی (نر 6- ص 192)</w:t>
      </w:r>
    </w:p>
    <w:p>
      <w:pPr>
        <w:pStyle w:val="Heading3"/>
      </w:pPr>
      <w:bookmarkStart w:id="3373" w:name="_Toc2069"/>
      <w:r>
        <w:t>1611- دیوان حمیدی بلخی‏</w:t>
      </w:r>
      <w:bookmarkEnd w:id="3373"/>
    </w:p>
    <w:p>
      <w:pPr>
        <w:pStyle w:val="BookText"/>
      </w:pPr>
      <w:r>
        <w:rPr>
          <w:rFonts w:ascii="IRNazanin" w:hAnsi="IRNazanin" w:eastAsia="IRNazanin" w:cs="IRNazanin"/>
          <w:lang w:bidi="fa-IR"/>
          <w:color w:val="111111"/>
          <w:sz w:val="28"/>
          <w:szCs w:val="28"/>
          <w:rtl/>
        </w:rPr>
        <w:t xml:space="preserve">و اسمه حمید الدین عمر بن محمود و قد یعرف باسم أبیه فیقال محمودی و هو صاحب مقامات حمیدی بالفارسیة فی قبال المقامات للحریری توفی (559) کما فی شاهد صادق ترجمه و أورد شعره فی (مع- ج 1 ص 197) و قال سنگلاخ إنه رأی خلاصة دیوانه بخط محمد طاهر اعتماد الدولة فذکره فی (امتحان الفضلاء- ج 2- ص 90)</w:t>
      </w:r>
    </w:p>
    <w:p>
      <w:pPr>
        <w:pStyle w:val="Heading3"/>
      </w:pPr>
      <w:bookmarkStart w:id="3374" w:name="_Toc2070"/>
      <w:r>
        <w:t>1612- دیوان حمیدی شیرازی‏</w:t>
      </w:r>
      <w:bookmarkEnd w:id="3374"/>
    </w:p>
    <w:p>
      <w:pPr>
        <w:pStyle w:val="BookText"/>
      </w:pPr>
      <w:r>
        <w:rPr>
          <w:rFonts w:ascii="IRNazanin" w:hAnsi="IRNazanin" w:eastAsia="IRNazanin" w:cs="IRNazanin"/>
          <w:lang w:bidi="fa-IR"/>
          <w:color w:val="111111"/>
          <w:sz w:val="28"/>
          <w:szCs w:val="28"/>
          <w:rtl/>
        </w:rPr>
        <w:t xml:space="preserve">للدکتور مهدی الحمیدی الشیرازی أستاذ الأدب بجامعة طهران الیوم و شعره کثیر. طبع بعضها بعناوین مختلفة مثل شکوفه‏ها أو نغمه‏های جدید فی (1317 ش) و بعدها بطهران فی (175 ص).</w:t>
      </w:r>
    </w:p>
    <w:p>
      <w:pPr>
        <w:pStyle w:val="Heading3"/>
      </w:pPr>
      <w:bookmarkStart w:id="3375" w:name="_Toc2071"/>
      <w:r>
        <w:t>1613- دیوان حمیدی کشمیری أو شعره‏</w:t>
      </w:r>
      <w:bookmarkEnd w:id="3375"/>
    </w:p>
    <w:p>
      <w:pPr>
        <w:pStyle w:val="BookText"/>
      </w:pPr>
      <w:r>
        <w:rPr>
          <w:rFonts w:ascii="IRNazanin" w:hAnsi="IRNazanin" w:eastAsia="IRNazanin" w:cs="IRNazanin"/>
          <w:lang w:bidi="fa-IR"/>
          <w:color w:val="111111"/>
          <w:sz w:val="28"/>
          <w:szCs w:val="28"/>
          <w:rtl/>
        </w:rPr>
        <w:t xml:space="preserve">أورد بعض شعره فی (گلشن- ص 144).</w:t>
      </w:r>
    </w:p>
    <w:p>
      <w:pPr>
        <w:pStyle w:val="Heading3"/>
      </w:pPr>
      <w:bookmarkStart w:id="3376" w:name="_Toc2072"/>
      <w:r>
        <w:t>1614- دیوان حمیدی مازندرانی أو شعره‏</w:t>
      </w:r>
      <w:bookmarkEnd w:id="3376"/>
    </w:p>
    <w:p>
      <w:pPr>
        <w:pStyle w:val="BookText"/>
      </w:pPr>
      <w:r>
        <w:rPr>
          <w:rFonts w:ascii="IRNazanin" w:hAnsi="IRNazanin" w:eastAsia="IRNazanin" w:cs="IRNazanin"/>
          <w:lang w:bidi="fa-IR"/>
          <w:color w:val="111111"/>
          <w:sz w:val="28"/>
          <w:szCs w:val="28"/>
          <w:rtl/>
        </w:rPr>
        <w:t xml:space="preserve">لمیرزا عبد الحمید المازندرانی المتوفی (21 محرم- 1322) ترجمه و أورد شعره مرتضی المدرس الچهاردهی.</w:t>
      </w:r>
    </w:p>
    <w:p>
      <w:pPr>
        <w:pStyle w:val="Heading3"/>
      </w:pPr>
      <w:bookmarkStart w:id="3377" w:name="_Toc2073"/>
      <w:r>
        <w:t>1615- دیوان السید الحمیری‏</w:t>
      </w:r>
      <w:bookmarkEnd w:id="3377"/>
    </w:p>
    <w:p>
      <w:pPr>
        <w:pStyle w:val="BookText"/>
      </w:pPr>
      <w:r>
        <w:rPr>
          <w:rFonts w:ascii="IRNazanin" w:hAnsi="IRNazanin" w:eastAsia="IRNazanin" w:cs="IRNazanin"/>
          <w:lang w:bidi="fa-IR"/>
          <w:color w:val="111111"/>
          <w:sz w:val="28"/>
          <w:szCs w:val="28"/>
          <w:rtl/>
        </w:rPr>
        <w:t xml:space="preserve">هو أبو هاشم إسماعیل بن محمد بن نوید بن ربیعة الحمیری المتوفی (173) صاحب العینیة المشهورة و أحد الثلاث الذین قیل فی حقهم أنهم أشعر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64" w:name="pg11704_121744"/>
    <w:bookmarkEnd w:id="264"/>
    <w:p>
      <w:pPr>
        <w:pStyle w:val="BookText"/>
      </w:pPr>
      <w:r>
        <w:rPr>
          <w:rFonts w:ascii="IRNazanin" w:hAnsi="IRNazanin" w:eastAsia="IRNazanin" w:cs="IRNazanin"/>
          <w:lang w:bidi="fa-IR"/>
          <w:color w:val="111111"/>
          <w:sz w:val="28"/>
          <w:szCs w:val="28"/>
          <w:rtl/>
        </w:rPr>
        <w:t xml:space="preserve">الناس کما فی الأغانی. و عن أبی عبیدة أنه أشعر المحدثین، و عن تذکره ابن المعتز أن له أربع بنات کل منهن تحفظ أربعمائة قصیدة! لأبیها، و قد نظم کلما سمعه فی فضل علی علیه السلام  و قد ترحم علیه الإمام الصادق علیه السلام  ثلاثا. کما فی رجال الکشی. ترجمه الزرکلی أیضا فی قاموس الأعلام (ج 1- ص 112) و قد جمع المستشرق الإفرنسی بربیة دومینار أخباره و طبع فی پاریس فی (100 ص) و ترجمه و أورد شعره فی أعیان الشیعة (ج 12 ص 133- 278) توجد نسخه دیوانه فی إحدی مکتبات الیمن کما ذکره بعض، و کذا فی المکتبة الظاهریة بدمشق کما فی فهرسها. و دون شعره أیضا الشیخ محمد بن طاهر (السماوی) و یوجد فی مکتبته” السماوی”.</w:t>
      </w:r>
    </w:p>
    <w:p>
      <w:pPr>
        <w:pStyle w:val="BookText"/>
      </w:pPr>
      <w:r>
        <w:rPr>
          <w:rFonts w:ascii="IRNazanin" w:hAnsi="IRNazanin" w:eastAsia="IRNazanin" w:cs="IRNazanin"/>
          <w:lang w:bidi="fa-IR"/>
          <w:color w:val="111111"/>
          <w:sz w:val="28"/>
          <w:szCs w:val="28"/>
          <w:rtl/>
        </w:rPr>
        <w:t xml:space="preserve">و قد ترجم الحمیری فی کتاب مستقل باسم شاعر العقیدة السید محمد تقی بن سعید الحکیم النجفی المعاصر، و قد طبعه السبیتی و جعله الجزء الحادی عشر من حدیث الشهر. و قد جمع الشیخ علی الخاقانی صاحب مجلة البیان النجفیة الغراء أحوال الحمیری و شعره فی (1353).</w:t>
      </w:r>
    </w:p>
    <w:p>
      <w:pPr>
        <w:pStyle w:val="Heading3"/>
      </w:pPr>
      <w:bookmarkStart w:id="3378" w:name="_Toc2074"/>
      <w:r>
        <w:t>1616- دیوان الحومانی‏</w:t>
      </w:r>
      <w:bookmarkEnd w:id="3378"/>
    </w:p>
    <w:p>
      <w:pPr>
        <w:pStyle w:val="BookText"/>
      </w:pPr>
      <w:r>
        <w:rPr>
          <w:rFonts w:ascii="IRNazanin" w:hAnsi="IRNazanin" w:eastAsia="IRNazanin" w:cs="IRNazanin"/>
          <w:lang w:bidi="fa-IR"/>
          <w:color w:val="111111"/>
          <w:sz w:val="28"/>
          <w:szCs w:val="28"/>
          <w:rtl/>
        </w:rPr>
        <w:t xml:space="preserve">للشیخ محمد علی بن محمد أمین العاملی الحومانی الحاروفی المعاصر المولود (1315) نزیل بیروت. له عدة دواوین منها دیوان الحومانی فی جزءین طبعا بصیدا حدود (1344).</w:t>
      </w:r>
    </w:p>
    <w:p>
      <w:pPr>
        <w:pStyle w:val="Heading3"/>
      </w:pPr>
      <w:bookmarkStart w:id="3379" w:name="_Toc2075"/>
      <w:r>
        <w:t>دیوان الحویزی‏</w:t>
      </w:r>
      <w:bookmarkEnd w:id="3379"/>
    </w:p>
    <w:p>
      <w:pPr>
        <w:pStyle w:val="BookText"/>
      </w:pPr>
      <w:r>
        <w:rPr>
          <w:rFonts w:ascii="IRNazanin" w:hAnsi="IRNazanin" w:eastAsia="IRNazanin" w:cs="IRNazanin"/>
          <w:lang w:bidi="fa-IR"/>
          <w:color w:val="111111"/>
          <w:sz w:val="28"/>
          <w:szCs w:val="28"/>
          <w:rtl/>
        </w:rPr>
        <w:t xml:space="preserve">راجع دواوین عبد العلی الحویزی و فرج الله الحویزی و خلف الحویزی و السید علی خان الحویزی.</w:t>
      </w:r>
    </w:p>
    <w:p>
      <w:pPr>
        <w:pStyle w:val="Heading3"/>
      </w:pPr>
      <w:bookmarkStart w:id="3380" w:name="_Toc2076"/>
      <w:r>
        <w:t>1617- دیوان حیا أکبرآبادی‏</w:t>
      </w:r>
      <w:bookmarkEnd w:id="3380"/>
    </w:p>
    <w:p>
      <w:pPr>
        <w:pStyle w:val="BookText"/>
      </w:pPr>
      <w:r>
        <w:rPr>
          <w:rFonts w:ascii="IRNazanin" w:hAnsi="IRNazanin" w:eastAsia="IRNazanin" w:cs="IRNazanin"/>
          <w:lang w:bidi="fa-IR"/>
          <w:color w:val="111111"/>
          <w:sz w:val="28"/>
          <w:szCs w:val="28"/>
          <w:rtl/>
        </w:rPr>
        <w:t xml:space="preserve">و اسمه شیورام من قوم کایتهة. تلمذ علی بیدل عبد القادر. له مثنوی گلگشت بهار إرم علی سیاق چار عنصر لبی‏دل. مات فی (1144) أورد بعض شعره فی (گلشن- ص 144).</w:t>
      </w:r>
    </w:p>
    <w:p>
      <w:pPr>
        <w:pStyle w:val="Heading3"/>
      </w:pPr>
      <w:bookmarkStart w:id="3381" w:name="_Toc2077"/>
      <w:r>
        <w:t>1618- دیوان حیاتی أو شعره‏</w:t>
      </w:r>
      <w:bookmarkEnd w:id="3381"/>
    </w:p>
    <w:p>
      <w:pPr>
        <w:pStyle w:val="BookText"/>
      </w:pPr>
      <w:r>
        <w:rPr>
          <w:rFonts w:ascii="IRNazanin" w:hAnsi="IRNazanin" w:eastAsia="IRNazanin" w:cs="IRNazanin"/>
          <w:lang w:bidi="fa-IR"/>
          <w:color w:val="111111"/>
          <w:sz w:val="28"/>
          <w:szCs w:val="28"/>
          <w:rtl/>
        </w:rPr>
        <w:t xml:space="preserve">قال سام میرزا إن والد حیاتی کان یداخل فی نیابة القضاء و لکن هو لم یتداخل فیه و کان منشیا خطاطا، و أورد شعره فی (تس 5- ص 135).</w:t>
      </w:r>
    </w:p>
    <w:p>
      <w:pPr>
        <w:pStyle w:val="BookText"/>
      </w:pPr>
      <w:r>
        <w:rPr>
          <w:rFonts w:ascii="IRNazanin" w:hAnsi="IRNazanin" w:eastAsia="IRNazanin" w:cs="IRNazanin"/>
          <w:lang w:bidi="fa-IR"/>
          <w:color w:val="111111"/>
          <w:sz w:val="28"/>
          <w:szCs w:val="28"/>
          <w:rtl/>
        </w:rPr>
        <w:t xml:space="preserve">و أظنه هو المذکور فی (گلشن- ص 144) بعنوان حیاتی قزلباش من أمراء الشاه طهماسب الصفوی.</w:t>
      </w:r>
    </w:p>
    <w:p>
      <w:pPr>
        <w:pStyle w:val="Heading3"/>
      </w:pPr>
      <w:bookmarkStart w:id="3382" w:name="_Toc2078"/>
      <w:r>
        <w:t>1619- دیوان حیاتی کاشانی‏</w:t>
      </w:r>
      <w:bookmarkEnd w:id="3382"/>
    </w:p>
    <w:p>
      <w:pPr>
        <w:pStyle w:val="BookText"/>
      </w:pPr>
      <w:r>
        <w:rPr>
          <w:rFonts w:ascii="IRNazanin" w:hAnsi="IRNazanin" w:eastAsia="IRNazanin" w:cs="IRNazanin"/>
          <w:lang w:bidi="fa-IR"/>
          <w:color w:val="111111"/>
          <w:sz w:val="28"/>
          <w:szCs w:val="28"/>
          <w:rtl/>
        </w:rPr>
        <w:t xml:space="preserve">قال فی خلاصة الأشعار کان حیاتی یشتغل بالسقایة و هذا سبب تخلصه حیاتی و کان یمدح المیر نعمة الله النقیب، ثم مال إلی النقطویة فطرد من کاشان و انتقل إلی قزوین لابتلائه بغرام صراف. و ترقی أمره عند النقطویة فی قزوین فاعتقل‏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65" w:name="pg11704_121745"/>
    <w:bookmarkEnd w:id="265"/>
    <w:p>
      <w:pPr>
        <w:pStyle w:val="BookText"/>
      </w:pPr>
      <w:r>
        <w:rPr>
          <w:rFonts w:ascii="IRNazanin" w:hAnsi="IRNazanin" w:eastAsia="IRNazanin" w:cs="IRNazanin"/>
          <w:lang w:bidi="fa-IR"/>
          <w:color w:val="111111"/>
          <w:sz w:val="28"/>
          <w:szCs w:val="28"/>
          <w:rtl/>
        </w:rPr>
        <w:t xml:space="preserve">فی نکبتهم مع عدة فحکم علیه بالحبس سنتین و النفی إلی شیراز فبقی هناک سنین و رجع إلی کاشان فی (986) ثم سافر إلی (أحمدنگر) الهند و دیوانه فی (2000 بیت). و نقل فی (حص 8- ص 240) من مشهور شعره و قال و لکنی لم أره. و قال فی (تغ- ص 47) نقلا عن التقی الأوحدی أنه مات بالهند فی (1100).</w:t>
      </w:r>
    </w:p>
    <w:p>
      <w:pPr>
        <w:pStyle w:val="Heading3"/>
      </w:pPr>
      <w:bookmarkStart w:id="3383" w:name="_Toc2079"/>
      <w:r>
        <w:t>1620- دیوان حیاتی گیلانی أو شعره‏</w:t>
      </w:r>
      <w:bookmarkEnd w:id="3383"/>
    </w:p>
    <w:p>
      <w:pPr>
        <w:pStyle w:val="BookText"/>
      </w:pPr>
      <w:r>
        <w:rPr>
          <w:rFonts w:ascii="IRNazanin" w:hAnsi="IRNazanin" w:eastAsia="IRNazanin" w:cs="IRNazanin"/>
          <w:lang w:bidi="fa-IR"/>
          <w:color w:val="111111"/>
          <w:sz w:val="28"/>
          <w:szCs w:val="28"/>
          <w:rtl/>
        </w:rPr>
        <w:t xml:space="preserve">نشا فی الهند. ترجمه معاصره فی (نر 9- ص 313) و أورد شعره، و کذا فی القسم الثالث من تذکره میخانه و کذا فی طبقات أکبری (ج 2 ص 606) و کذا فی (تش- ص 242) و قال فی (تغ- ص 47) إنه جاء إلی الهند فی عهد أکبر شاه و أن جهانگیر پادشاه وزنه بالذهب صلة و مات (1015).</w:t>
      </w:r>
    </w:p>
    <w:p>
      <w:pPr>
        <w:pStyle w:val="Heading3"/>
      </w:pPr>
      <w:bookmarkStart w:id="3384" w:name="_Toc2080"/>
      <w:r>
        <w:t>1621- دیوان حیدر ترک‏</w:t>
      </w:r>
      <w:bookmarkEnd w:id="3384"/>
    </w:p>
    <w:p>
      <w:pPr>
        <w:pStyle w:val="BookText"/>
      </w:pPr>
      <w:r>
        <w:rPr>
          <w:rFonts w:ascii="IRNazanin" w:hAnsi="IRNazanin" w:eastAsia="IRNazanin" w:cs="IRNazanin"/>
          <w:lang w:bidi="fa-IR"/>
          <w:color w:val="111111"/>
          <w:sz w:val="28"/>
          <w:szCs w:val="28"/>
          <w:rtl/>
        </w:rPr>
        <w:t xml:space="preserve">و هو المولی حیدر من شعراء الترک کما وصفه فی (لط 7- ص 124) و قال: له مخزن الأسرار بالترکیة. کان بشیراز یمدح السلطان إسکندر میرزا حفید تیمور لنگ فی (812- 817).</w:t>
      </w:r>
    </w:p>
    <w:p>
      <w:pPr>
        <w:pStyle w:val="Heading3"/>
      </w:pPr>
      <w:bookmarkStart w:id="3385" w:name="_Toc2081"/>
      <w:r>
        <w:t>1622- دیوان حیدر تونیانی أو شعره‏</w:t>
      </w:r>
      <w:bookmarkEnd w:id="3385"/>
    </w:p>
    <w:p>
      <w:pPr>
        <w:pStyle w:val="BookText"/>
      </w:pPr>
      <w:r>
        <w:rPr>
          <w:rFonts w:ascii="IRNazanin" w:hAnsi="IRNazanin" w:eastAsia="IRNazanin" w:cs="IRNazanin"/>
          <w:lang w:bidi="fa-IR"/>
          <w:color w:val="111111"/>
          <w:sz w:val="28"/>
          <w:szCs w:val="28"/>
          <w:rtl/>
        </w:rPr>
        <w:t xml:space="preserve">قال فی (مجتس 6- ص 167) کان قلندرا ماهرا فی الموسیقی و أورد شعره. و قال فی (گلشن- ص 145) مات (966) و أورد قصته مع ملک المنجمین.</w:t>
      </w:r>
    </w:p>
    <w:p>
      <w:pPr>
        <w:pStyle w:val="Heading3"/>
      </w:pPr>
      <w:bookmarkStart w:id="3386" w:name="_Toc2082"/>
      <w:r>
        <w:t>1623- دیوان السید حیدر الحلی‏</w:t>
      </w:r>
      <w:bookmarkEnd w:id="3386"/>
    </w:p>
    <w:p>
      <w:pPr>
        <w:pStyle w:val="BookText"/>
      </w:pPr>
      <w:r>
        <w:rPr>
          <w:rFonts w:ascii="IRNazanin" w:hAnsi="IRNazanin" w:eastAsia="IRNazanin" w:cs="IRNazanin"/>
          <w:lang w:bidi="fa-IR"/>
          <w:color w:val="111111"/>
          <w:sz w:val="28"/>
          <w:szCs w:val="28"/>
          <w:rtl/>
        </w:rPr>
        <w:t xml:space="preserve">و هو السید حیدر بن السید سلیمان بن داود بن سلیمان المولود (شعبان 1246) و المتوفی (9- ع 2- 1304) طبع باسم الدر الیتیم فی بمبئی علی الحجر، و سرد فیه تمام نسبه إلی زید بن علی بن الحسین علیه السلام  و جامع الدیوان هو ابن أخ الناظم السید عبد المطلب بن داود بن سلیمان. ثم إن الشیخ علی الخاقانی مدیر البیان الغراء رتبه علی ترتیب جید فی مجلدین طبع الأول فی (1369) فی النجف.</w:t>
      </w:r>
    </w:p>
    <w:p>
      <w:pPr>
        <w:pStyle w:val="Heading3"/>
      </w:pPr>
      <w:bookmarkStart w:id="3387" w:name="_Toc2083"/>
      <w:r>
        <w:t>1624- دیوان حیدر طهماسبی کاشی أو شعره‏</w:t>
      </w:r>
      <w:bookmarkEnd w:id="3387"/>
    </w:p>
    <w:p>
      <w:pPr>
        <w:pStyle w:val="BookText"/>
      </w:pPr>
      <w:r>
        <w:rPr>
          <w:rFonts w:ascii="IRNazanin" w:hAnsi="IRNazanin" w:eastAsia="IRNazanin" w:cs="IRNazanin"/>
          <w:lang w:bidi="fa-IR"/>
          <w:color w:val="111111"/>
          <w:sz w:val="28"/>
          <w:szCs w:val="28"/>
          <w:rtl/>
        </w:rPr>
        <w:t xml:space="preserve">قال فی (تش- ص 242) و (روشن- ص 183) أنه لما أمر الشاه طهماسب بإجبار الناس أن یلبسوا القلنسوة الطهماسبیة، کان حیدر هذا أول من روجها فی کاشان و لهذا اشتهر به، ثم أوردا شعره. و أظنه غیر حیدر الکاشی الآتی.</w:t>
      </w:r>
    </w:p>
    <w:p>
      <w:pPr>
        <w:pStyle w:val="Heading3"/>
      </w:pPr>
      <w:bookmarkStart w:id="3388" w:name="_Toc2084"/>
      <w:r>
        <w:t>دیوان حیدر علی أردبیلی‏</w:t>
      </w:r>
      <w:bookmarkEnd w:id="3388"/>
    </w:p>
    <w:p>
      <w:pPr>
        <w:pStyle w:val="BookText"/>
      </w:pPr>
      <w:r>
        <w:rPr>
          <w:rFonts w:ascii="IRNazanin" w:hAnsi="IRNazanin" w:eastAsia="IRNazanin" w:cs="IRNazanin"/>
          <w:lang w:bidi="fa-IR"/>
          <w:color w:val="111111"/>
          <w:sz w:val="28"/>
          <w:szCs w:val="28"/>
          <w:rtl/>
        </w:rPr>
        <w:t xml:space="preserve">یأتی بتخلصه فائض.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66" w:name="pg11704_121746"/>
    <w:bookmarkEnd w:id="266"/>
    <w:p>
      <w:pPr>
        <w:pStyle w:val="Heading3"/>
      </w:pPr>
      <w:bookmarkStart w:id="3389" w:name="_Toc2085"/>
      <w:r>
        <w:t>دیوان حیدر علی کشمیری‏</w:t>
      </w:r>
      <w:bookmarkEnd w:id="3389"/>
    </w:p>
    <w:p>
      <w:pPr>
        <w:pStyle w:val="BookText"/>
      </w:pPr>
      <w:r>
        <w:rPr>
          <w:rFonts w:ascii="IRNazanin" w:hAnsi="IRNazanin" w:eastAsia="IRNazanin" w:cs="IRNazanin"/>
          <w:lang w:bidi="fa-IR"/>
          <w:color w:val="111111"/>
          <w:sz w:val="28"/>
          <w:szCs w:val="28"/>
          <w:rtl/>
        </w:rPr>
        <w:t xml:space="preserve">یأتی بتخلصه فنا.</w:t>
      </w:r>
    </w:p>
    <w:p>
      <w:pPr>
        <w:pStyle w:val="Heading3"/>
      </w:pPr>
      <w:bookmarkStart w:id="3390" w:name="_Toc2086"/>
      <w:r>
        <w:t>دیوان حیدر علی کمالی أصفهانی‏</w:t>
      </w:r>
      <w:bookmarkEnd w:id="3390"/>
    </w:p>
    <w:p>
      <w:pPr>
        <w:pStyle w:val="BookText"/>
      </w:pPr>
      <w:r>
        <w:rPr>
          <w:rFonts w:ascii="IRNazanin" w:hAnsi="IRNazanin" w:eastAsia="IRNazanin" w:cs="IRNazanin"/>
          <w:lang w:bidi="fa-IR"/>
          <w:color w:val="111111"/>
          <w:sz w:val="28"/>
          <w:szCs w:val="28"/>
          <w:rtl/>
        </w:rPr>
        <w:t xml:space="preserve">طبع بأستانبول. و طبع له أیضا رمان فارسی باسم لازیکا یأتی بتخلصه کمالی.</w:t>
      </w:r>
    </w:p>
    <w:p>
      <w:pPr>
        <w:pStyle w:val="Heading3"/>
      </w:pPr>
      <w:bookmarkStart w:id="3391" w:name="_Toc2087"/>
      <w:r>
        <w:t>1625- دیوان المیر حیدر الکاشی‏</w:t>
      </w:r>
      <w:bookmarkEnd w:id="3391"/>
    </w:p>
    <w:p>
      <w:pPr>
        <w:pStyle w:val="BookText"/>
      </w:pPr>
      <w:r>
        <w:rPr>
          <w:rFonts w:ascii="IRNazanin" w:hAnsi="IRNazanin" w:eastAsia="IRNazanin" w:cs="IRNazanin"/>
          <w:lang w:bidi="fa-IR"/>
          <w:color w:val="111111"/>
          <w:sz w:val="28"/>
          <w:szCs w:val="28"/>
          <w:rtl/>
        </w:rPr>
        <w:t xml:space="preserve">من السادة المعتبرین بکاشان ترجمه الصادقی فی (خص 6- ص 84) و قال إنه قصیر القامة قلیلا لکنه طویل الباع و لا سیما فی التواریخ و المعمیات ثم ذکر بعض معمیاته و ترجمه النصرآبادی فی (نر 13- ص 475) و ذکر بعض أحواله و أسفاره و عدة من التواریخ له منها لجلوس الشاه إسماعیل الثانی و وفاته:</w:t>
      </w:r>
    </w:p>
    <w:p>
      <w:pPr>
        <w:pStyle w:val="BookText"/>
      </w:pPr>
      <w:r>
        <w:rPr>
          <w:rFonts w:ascii="IRNazanin" w:hAnsi="IRNazanin" w:eastAsia="IRNazanin" w:cs="IRNazanin"/>
          <w:lang w:bidi="fa-IR"/>
          <w:color w:val="111111"/>
          <w:sz w:val="28"/>
          <w:szCs w:val="28"/>
          <w:rtl/>
        </w:rPr>
        <w:t xml:space="preserve">شهنشاه روی زمین 984 گشت ثبت‏</w:t>
      </w:r>
    </w:p>
    <w:p>
      <w:pPr>
        <w:pStyle w:val="BookText"/>
      </w:pPr>
      <w:r>
        <w:rPr>
          <w:rFonts w:ascii="IRNazanin" w:hAnsi="IRNazanin" w:eastAsia="IRNazanin" w:cs="IRNazanin"/>
          <w:lang w:bidi="fa-IR"/>
          <w:color w:val="111111"/>
          <w:sz w:val="28"/>
          <w:szCs w:val="28"/>
          <w:rtl/>
        </w:rPr>
        <w:t xml:space="preserve">شهنشاه زیر زمین 985 شد رقم‏</w:t>
      </w:r>
    </w:p>
    <w:p>
      <w:pPr>
        <w:pStyle w:val="BookText"/>
      </w:pPr>
      <w:r>
        <w:rPr>
          <w:rFonts w:ascii="IRNazanin" w:hAnsi="IRNazanin" w:eastAsia="IRNazanin" w:cs="IRNazanin"/>
          <w:lang w:bidi="fa-IR"/>
          <w:color w:val="111111"/>
          <w:sz w:val="28"/>
          <w:szCs w:val="28"/>
          <w:rtl/>
        </w:rPr>
        <w:t xml:space="preserve">و آخر تواریخه ما ذکره عند إهداء ملک الهند منظره إلیه فقال، مصراع (</w:t>
      </w:r>
    </w:p>
    <w:p>
      <w:pPr>
        <w:pStyle w:val="BookText"/>
      </w:pPr>
      <w:r>
        <w:rPr>
          <w:rFonts w:ascii="IRNazanin" w:hAnsi="IRNazanin" w:eastAsia="IRNazanin" w:cs="IRNazanin"/>
          <w:lang w:bidi="fa-IR"/>
          <w:color w:val="111111"/>
          <w:sz w:val="28"/>
          <w:szCs w:val="28"/>
          <w:rtl/>
        </w:rPr>
        <w:t xml:space="preserve">عینک پادشه ملک نهادیم بچشم‏</w:t>
      </w:r>
    </w:p>
    <w:p>
      <w:pPr>
        <w:pStyle w:val="BookText"/>
      </w:pPr>
      <w:r>
        <w:rPr>
          <w:rFonts w:ascii="Times New Roman" w:hAnsi="Times New Roman" w:eastAsia="Times New Roman" w:cs="Times New Roman"/>
          <w:lang w:val="en-US" w:bidi="en-US"/>
          <w:color w:val="111111"/>
          <w:sz w:val="28"/>
          <w:szCs w:val="28"/>
          <w:rtl/>
        </w:rPr>
        <w:t xml:space="preserve">1007.</w:t>
      </w:r>
    </w:p>
    <w:p>
      <w:pPr>
        <w:pStyle w:val="Heading3"/>
      </w:pPr>
      <w:bookmarkStart w:id="3392" w:name="_Toc2088"/>
      <w:r>
        <w:t>1626- دیوان میر حیدر کرهرودی أو شعره‏</w:t>
      </w:r>
      <w:bookmarkEnd w:id="3392"/>
    </w:p>
    <w:p>
      <w:pPr>
        <w:pStyle w:val="BookText"/>
      </w:pPr>
      <w:r>
        <w:rPr>
          <w:rFonts w:ascii="IRNazanin" w:hAnsi="IRNazanin" w:eastAsia="IRNazanin" w:cs="IRNazanin"/>
          <w:lang w:bidi="fa-IR"/>
          <w:color w:val="111111"/>
          <w:sz w:val="28"/>
          <w:szCs w:val="28"/>
          <w:rtl/>
        </w:rPr>
        <w:t xml:space="preserve">و هو حیدر بن علاء الدین منصور ترجمه فی (خص 6- 83) و أورد شعره‏</w:t>
      </w:r>
    </w:p>
    <w:p>
      <w:pPr>
        <w:pStyle w:val="Heading3"/>
      </w:pPr>
      <w:bookmarkStart w:id="3393" w:name="_Toc2089"/>
      <w:r>
        <w:t>1627- دیوان حیدر کلیچه پز الهروی‏</w:t>
      </w:r>
      <w:bookmarkEnd w:id="3393"/>
    </w:p>
    <w:p>
      <w:pPr>
        <w:pStyle w:val="BookText"/>
      </w:pPr>
      <w:r>
        <w:rPr>
          <w:rFonts w:ascii="IRNazanin" w:hAnsi="IRNazanin" w:eastAsia="IRNazanin" w:cs="IRNazanin"/>
          <w:lang w:bidi="fa-IR"/>
          <w:color w:val="111111"/>
          <w:sz w:val="28"/>
          <w:szCs w:val="28"/>
          <w:rtl/>
        </w:rPr>
        <w:t xml:space="preserve">ترجمه سام میرزا فی (تس 5- ص 114) و قال هو عامی لا یفهم معنی بعض ما یستخرج من طبعه کما اعترف هو فی بعض شعره القریب من عشرة آلاف بیت و أورد غزله المتخلص فیه بحیدر و بعض رباعیاته و ترجمه النصرآبادی (نر 14- ص 496) و أورد معماه باسم السیف و تذییله بمدح الشاه طهماسب الأول و ترجمه الصادقی فی (خص 8- ص 168) بعنوان حیدر کلیچ و قال إنه من أهل خراسان و معاصر لمیر صنعی الذی هو أستاذ الصادقی و مات (958) کما فی (تغ- ص 47) و (تش- ص 149) و قال فی (روشن- ص 186) إنه من قریة کلیچ من نواحی طارم توجد نسخه من دیوان حیدر فی (الرضویة) و آخر فی مکتبة النخجوانی و لعله هذا</w:t>
      </w:r>
    </w:p>
    <w:p>
      <w:pPr>
        <w:pStyle w:val="Heading3"/>
      </w:pPr>
      <w:bookmarkStart w:id="3394" w:name="_Toc2090"/>
      <w:r>
        <w:t>دیوان میر حیدر معمایی‏</w:t>
      </w:r>
      <w:bookmarkEnd w:id="3394"/>
    </w:p>
    <w:p>
      <w:pPr>
        <w:pStyle w:val="BookText"/>
      </w:pPr>
      <w:r>
        <w:rPr>
          <w:rFonts w:ascii="IRNazanin" w:hAnsi="IRNazanin" w:eastAsia="IRNazanin" w:cs="IRNazanin"/>
          <w:lang w:bidi="fa-IR"/>
          <w:color w:val="111111"/>
          <w:sz w:val="28"/>
          <w:szCs w:val="28"/>
          <w:rtl/>
        </w:rPr>
        <w:t xml:space="preserve">أورد النصرآبادی فی (نر 15- ص 514- 517) خمسة عشر من معمیاته یأتی بتخلصه رفیعی الکاشی‏</w:t>
      </w:r>
    </w:p>
    <w:p>
      <w:pPr>
        <w:pStyle w:val="Heading3"/>
      </w:pPr>
      <w:bookmarkStart w:id="3395" w:name="_Toc2091"/>
      <w:r>
        <w:t>دیوان میر حیدر معمایی‏</w:t>
      </w:r>
      <w:bookmarkEnd w:id="3395"/>
    </w:p>
    <w:p>
      <w:pPr>
        <w:pStyle w:val="BookText"/>
      </w:pPr>
      <w:r>
        <w:rPr>
          <w:rFonts w:ascii="IRNazanin" w:hAnsi="IRNazanin" w:eastAsia="IRNazanin" w:cs="IRNazanin"/>
          <w:lang w:bidi="fa-IR"/>
          <w:color w:val="111111"/>
          <w:sz w:val="28"/>
          <w:szCs w:val="28"/>
          <w:rtl/>
        </w:rPr>
        <w:t xml:space="preserve">یأتی بتخلصه صبوحی‏</w:t>
      </w:r>
    </w:p>
    <w:p>
      <w:pPr>
        <w:pStyle w:val="Heading3"/>
      </w:pPr>
      <w:bookmarkStart w:id="3396" w:name="_Toc2092"/>
      <w:r>
        <w:t>دیوان حیدر هروی‏</w:t>
      </w:r>
      <w:bookmarkEnd w:id="3396"/>
    </w:p>
    <w:p>
      <w:pPr>
        <w:pStyle w:val="BookText"/>
      </w:pPr>
      <w:r>
        <w:rPr>
          <w:rFonts w:ascii="IRNazanin" w:hAnsi="IRNazanin" w:eastAsia="IRNazanin" w:cs="IRNazanin"/>
          <w:lang w:bidi="fa-IR"/>
          <w:color w:val="111111"/>
          <w:sz w:val="28"/>
          <w:szCs w:val="28"/>
          <w:rtl/>
        </w:rPr>
        <w:t xml:space="preserve">مر بعنوان حیدر کلیچه‏</w:t>
      </w:r>
    </w:p>
    <w:p>
      <w:pPr>
        <w:pStyle w:val="Heading3"/>
      </w:pPr>
      <w:bookmarkStart w:id="3397" w:name="_Toc2093"/>
      <w:r>
        <w:t>1628- دیوان درویش حیدر الیزدی‏</w:t>
      </w:r>
      <w:bookmarkEnd w:id="3397"/>
    </w:p>
    <w:p>
      <w:pPr>
        <w:pStyle w:val="BookText"/>
      </w:pPr>
      <w:r>
        <w:rPr>
          <w:rFonts w:ascii="IRNazanin" w:hAnsi="IRNazanin" w:eastAsia="IRNazanin" w:cs="IRNazanin"/>
          <w:lang w:bidi="fa-IR"/>
          <w:color w:val="111111"/>
          <w:sz w:val="28"/>
          <w:szCs w:val="28"/>
          <w:rtl/>
        </w:rPr>
        <w:t xml:space="preserve">ترجمه النصرآبادی فی (نر 9- ص 432) و قال إنه فی‏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67" w:name="pg11704_121747"/>
    <w:bookmarkEnd w:id="267"/>
    <w:p>
      <w:pPr>
        <w:pStyle w:val="BookText"/>
      </w:pPr>
      <w:r>
        <w:rPr>
          <w:rFonts w:ascii="IRNazanin" w:hAnsi="IRNazanin" w:eastAsia="IRNazanin" w:cs="IRNazanin"/>
          <w:lang w:bidi="fa-IR"/>
          <w:color w:val="111111"/>
          <w:sz w:val="28"/>
          <w:szCs w:val="28"/>
          <w:rtl/>
        </w:rPr>
        <w:t xml:space="preserve">سلک الدراویش لکنه لا یطلب من أحد، ثم أورد رباعیته الکاشفة عن حاله‏</w:t>
      </w:r>
    </w:p>
    <w:p>
      <w:pPr>
        <w:pStyle w:val="Heading3"/>
      </w:pPr>
      <w:bookmarkStart w:id="3398" w:name="_Toc2094"/>
      <w:r>
        <w:t>1629- دیوان حیدر یزدی أو شعره‏</w:t>
      </w:r>
      <w:bookmarkEnd w:id="3398"/>
    </w:p>
    <w:p>
      <w:pPr>
        <w:pStyle w:val="BookText"/>
      </w:pPr>
      <w:r>
        <w:rPr>
          <w:rFonts w:ascii="IRNazanin" w:hAnsi="IRNazanin" w:eastAsia="IRNazanin" w:cs="IRNazanin"/>
          <w:lang w:bidi="fa-IR"/>
          <w:color w:val="111111"/>
          <w:sz w:val="28"/>
          <w:szCs w:val="28"/>
          <w:rtl/>
        </w:rPr>
        <w:t xml:space="preserve">لمیرزا سلطان حیدر من سادة یزد ترجمه فی (نر 9- ص 298) و أورد غزله المتخلص فیه حیدر</w:t>
      </w:r>
    </w:p>
    <w:p>
      <w:pPr>
        <w:pStyle w:val="Heading3"/>
      </w:pPr>
      <w:bookmarkStart w:id="3399" w:name="_Toc2095"/>
      <w:r>
        <w:t>1630- دیوان حیدری یزدی أو شعره‏</w:t>
      </w:r>
      <w:bookmarkEnd w:id="3399"/>
    </w:p>
    <w:p>
      <w:pPr>
        <w:pStyle w:val="BookText"/>
      </w:pPr>
      <w:r>
        <w:rPr>
          <w:rFonts w:ascii="IRNazanin" w:hAnsi="IRNazanin" w:eastAsia="IRNazanin" w:cs="IRNazanin"/>
          <w:lang w:bidi="fa-IR"/>
          <w:color w:val="111111"/>
          <w:sz w:val="28"/>
          <w:szCs w:val="28"/>
          <w:rtl/>
        </w:rPr>
        <w:t xml:space="preserve">للمولی حیدر قلی بیک المتخلص حیدر کان ناظر یزد ترجمه معاصره فی (نر 9- ص 299) و أورد غزله المتخلص فیه حیدر</w:t>
      </w:r>
    </w:p>
    <w:p>
      <w:pPr>
        <w:pStyle w:val="Heading3"/>
      </w:pPr>
      <w:bookmarkStart w:id="3400" w:name="_Toc2096"/>
      <w:r>
        <w:t>1631- دیوان حیدری تبریزی‏</w:t>
      </w:r>
      <w:bookmarkEnd w:id="3400"/>
    </w:p>
    <w:p>
      <w:pPr>
        <w:pStyle w:val="BookText"/>
      </w:pPr>
      <w:r>
        <w:rPr>
          <w:rFonts w:ascii="IRNazanin" w:hAnsi="IRNazanin" w:eastAsia="IRNazanin" w:cs="IRNazanin"/>
          <w:lang w:bidi="fa-IR"/>
          <w:color w:val="111111"/>
          <w:sz w:val="28"/>
          <w:szCs w:val="28"/>
          <w:rtl/>
        </w:rPr>
        <w:t xml:space="preserve">لمولانا حیدری التبریزی سافر إلی الهند کرارا و فی (طبقات أکبری ج 2 ص 509) ثلاث مرات ترجمه معاصره الصادقی فی (خص 8- ص 217) و ترجمه فی خلاصة الأشعار و عنه فی (دجا- ص 125) و قال رأیته فی (985) و إن دیوانه فی ستة آلاف بیت، و عن عرفات العاشقین أنه فی ستة عشر ألف بیت، و عن منتخب التواریخ للبدوانی أنه فی أربعة عشر ألف بیت، و ترجمه فی (خز- ص 186- 189) و قالوا إنه نظم لسان الغیب فی قبال سهو اللسان للشریف التبریزی و عن نتایج الأفکار أنه مات أواخر المائة العاشرة و قال فی (تغ- ص 47) إنه مات (1000) و قد هجاه وحشی بافقی بمثنوی کامل و ترجمه أیضا فی (تش- ص 29)</w:t>
      </w:r>
    </w:p>
    <w:p>
      <w:pPr>
        <w:pStyle w:val="Heading3"/>
      </w:pPr>
      <w:bookmarkStart w:id="3401" w:name="_Toc2097"/>
      <w:r>
        <w:t>1632- دیوان حیدری سبزواری‏</w:t>
      </w:r>
      <w:bookmarkEnd w:id="3401"/>
    </w:p>
    <w:p>
      <w:pPr>
        <w:pStyle w:val="BookText"/>
      </w:pPr>
      <w:r>
        <w:rPr>
          <w:rFonts w:ascii="IRNazanin" w:hAnsi="IRNazanin" w:eastAsia="IRNazanin" w:cs="IRNazanin"/>
          <w:lang w:bidi="fa-IR"/>
          <w:color w:val="111111"/>
          <w:sz w:val="28"/>
          <w:szCs w:val="28"/>
          <w:rtl/>
        </w:rPr>
        <w:t xml:space="preserve">قال فی (تش- ص 78) کان عظیم الأنف و له دیوان و لکنی لم أره و أورد فی (روشن- ص 184) شاعرا باسم حیدر سبزواری‏</w:t>
      </w:r>
    </w:p>
    <w:p>
      <w:pPr>
        <w:pStyle w:val="Heading3"/>
      </w:pPr>
      <w:bookmarkStart w:id="3402" w:name="_Toc2098"/>
      <w:r>
        <w:t>1633- دیوان حیدری ساوجبلاغی‏</w:t>
      </w:r>
      <w:bookmarkEnd w:id="3402"/>
    </w:p>
    <w:p>
      <w:pPr>
        <w:pStyle w:val="BookText"/>
      </w:pPr>
      <w:r>
        <w:rPr>
          <w:rFonts w:ascii="IRNazanin" w:hAnsi="IRNazanin" w:eastAsia="IRNazanin" w:cs="IRNazanin"/>
          <w:lang w:bidi="fa-IR"/>
          <w:color w:val="111111"/>
          <w:sz w:val="28"/>
          <w:szCs w:val="28"/>
          <w:rtl/>
        </w:rPr>
        <w:t xml:space="preserve">صغیر فی ألف بیت من نظم علی خان سالار المتخلص بحیدری ابن أحمد خان وکیل ابن إبراهیم بن رستم بن حیدر الذی کان معاصرا لنادر شاه و قد ولد الشاعر فی (1290) فی ساوجبلاغ و کان والده من الأمراء فی حرب هرات و حرب بوشهر، ذکر کذلک فی مجلة أرمغان- ج 13- ص 70 و کذا أخوه مصباح دیوان‏</w:t>
      </w:r>
    </w:p>
    <w:p>
      <w:pPr>
        <w:pStyle w:val="Heading3"/>
      </w:pPr>
      <w:bookmarkStart w:id="3403" w:name="_Toc2099"/>
      <w:r>
        <w:t>دیوان حیران‏</w:t>
      </w:r>
      <w:bookmarkEnd w:id="3403"/>
    </w:p>
    <w:p>
      <w:pPr>
        <w:pStyle w:val="BookText"/>
      </w:pPr>
      <w:r>
        <w:rPr>
          <w:rFonts w:ascii="IRNazanin" w:hAnsi="IRNazanin" w:eastAsia="IRNazanin" w:cs="IRNazanin"/>
          <w:lang w:bidi="fa-IR"/>
          <w:color w:val="111111"/>
          <w:sz w:val="28"/>
          <w:szCs w:val="28"/>
          <w:rtl/>
        </w:rPr>
        <w:t xml:space="preserve">فی المراثی مطبوع بإیران و لعله أحد الآتیین بعده‏</w:t>
      </w:r>
    </w:p>
    <w:p>
      <w:pPr>
        <w:pStyle w:val="Heading3"/>
      </w:pPr>
      <w:bookmarkStart w:id="3404" w:name="_Toc2100"/>
      <w:r>
        <w:t>1634- دیوان حیران أصفهانی أو شعره‏</w:t>
      </w:r>
      <w:bookmarkEnd w:id="3404"/>
    </w:p>
    <w:p>
      <w:pPr>
        <w:pStyle w:val="BookText"/>
      </w:pPr>
      <w:r>
        <w:rPr>
          <w:rFonts w:ascii="IRNazanin" w:hAnsi="IRNazanin" w:eastAsia="IRNazanin" w:cs="IRNazanin"/>
          <w:lang w:bidi="fa-IR"/>
          <w:color w:val="111111"/>
          <w:sz w:val="28"/>
          <w:szCs w:val="28"/>
          <w:rtl/>
        </w:rPr>
        <w:t xml:space="preserve">أطری فضله و شعره معاصره النصرآبادی فی (نر 9- ص 422) و ذکر إصلاحه لشعر طالبا الآملی الذی ذکره فی (نر 9- ص 224) ثم أورد رباعیاته و کذا فی (روشن- ص 189)</w:t>
      </w:r>
    </w:p>
    <w:p>
      <w:pPr>
        <w:pStyle w:val="Heading3"/>
      </w:pPr>
      <w:bookmarkStart w:id="3405" w:name="_Toc2101"/>
      <w:r>
        <w:t>1635- دیوان حیران أفجة</w:t>
      </w:r>
      <w:bookmarkEnd w:id="3405"/>
    </w:p>
    <w:p>
      <w:pPr>
        <w:pStyle w:val="BookText"/>
      </w:pPr>
      <w:r>
        <w:rPr>
          <w:rFonts w:ascii="IRNazanin" w:hAnsi="IRNazanin" w:eastAsia="IRNazanin" w:cs="IRNazanin"/>
          <w:lang w:bidi="fa-IR"/>
          <w:color w:val="111111"/>
          <w:sz w:val="28"/>
          <w:szCs w:val="28"/>
          <w:rtl/>
        </w:rPr>
        <w:t xml:space="preserve">للحاج السید عباس بن أبی الحسن سیف بن جلیل بن جعفر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68" w:name="pg11704_121748"/>
    <w:bookmarkEnd w:id="268"/>
    <w:p>
      <w:pPr>
        <w:pStyle w:val="BookText"/>
      </w:pPr>
      <w:r>
        <w:rPr>
          <w:rFonts w:ascii="IRNazanin" w:hAnsi="IRNazanin" w:eastAsia="IRNazanin" w:cs="IRNazanin"/>
          <w:lang w:bidi="fa-IR"/>
          <w:color w:val="111111"/>
          <w:sz w:val="28"/>
          <w:szCs w:val="28"/>
          <w:rtl/>
        </w:rPr>
        <w:t xml:space="preserve">ابن السید مهدی الأفجه‏</w:t>
      </w:r>
      <w:r>
        <w:rPr>
          <w:rStyle w:val="FootnoteReference"/>
        </w:rPr>
        <w:footnoteReference w:id="24"/>
      </w:r>
      <w:r>
        <w:rPr>
          <w:rFonts w:ascii="IRNazanin" w:hAnsi="IRNazanin" w:eastAsia="IRNazanin" w:cs="IRNazanin"/>
          <w:lang w:bidi="fa-IR"/>
          <w:color w:val="111111"/>
          <w:sz w:val="28"/>
          <w:szCs w:val="28"/>
          <w:rtl/>
        </w:rPr>
        <w:t xml:space="preserve">فیه أکثر من أربعة آلاف بیت فی المراثی و المدائح رأیته بخط الناظم الذی ولد یوم عاشوراء 1329 و هو وفقه الله سبط عمی الحاج حبیب الله بن المولی محمد رضا بن الحاج محسن المؤسس لطبع الجزء الأول من هذا الکتاب و المتوفی بالنجف (20 ع 1- 1360)</w:t>
      </w:r>
    </w:p>
    <w:p>
      <w:pPr>
        <w:pStyle w:val="Heading3"/>
      </w:pPr>
      <w:bookmarkStart w:id="3406" w:name="_Toc2102"/>
      <w:r>
        <w:t>1636- دیوان حیران دنبلی‏</w:t>
      </w:r>
      <w:bookmarkEnd w:id="3406"/>
    </w:p>
    <w:p>
      <w:pPr>
        <w:pStyle w:val="BookText"/>
      </w:pPr>
      <w:r>
        <w:rPr>
          <w:rFonts w:ascii="IRNazanin" w:hAnsi="IRNazanin" w:eastAsia="IRNazanin" w:cs="IRNazanin"/>
          <w:lang w:bidi="fa-IR"/>
          <w:color w:val="111111"/>
          <w:sz w:val="28"/>
          <w:szCs w:val="28"/>
          <w:rtl/>
        </w:rPr>
        <w:t xml:space="preserve">و هی حیران خانم من بنات الخوانین الدنابلة یقرب من (4500 بیت) فیه القصائد و الغزل فارسیة و ترکیة، و أکثرها فی مدیح أم عباس میرزا ابن فتح علی شاه قاجار أورد فی (دجا- ص 126) قطعة من شعرها فی وباء (1247)</w:t>
      </w:r>
    </w:p>
    <w:p>
      <w:pPr>
        <w:pStyle w:val="Heading3"/>
      </w:pPr>
      <w:bookmarkStart w:id="3407" w:name="_Toc2103"/>
      <w:r>
        <w:t>1637- دیوان حیران کرد</w:t>
      </w:r>
      <w:bookmarkEnd w:id="3407"/>
    </w:p>
    <w:p>
      <w:pPr>
        <w:pStyle w:val="BookText"/>
      </w:pPr>
      <w:r>
        <w:rPr>
          <w:rFonts w:ascii="IRNazanin" w:hAnsi="IRNazanin" w:eastAsia="IRNazanin" w:cs="IRNazanin"/>
          <w:lang w:bidi="fa-IR"/>
          <w:color w:val="111111"/>
          <w:sz w:val="28"/>
          <w:szCs w:val="28"/>
          <w:rtl/>
        </w:rPr>
        <w:t xml:space="preserve">للشیخ محمد بن الشیخ إمام الدین من فحول فضلاء کردستان کما وصفه فی (مع- ج 2 ص 102) نقلا عن حدیقة أمان‏اللهی تألیف المیرزا عبد الله- المتخلص رونق الذی هو تذکره لشعراء الکرد، قال و له مثنوی مرشد العشاق‏</w:t>
      </w:r>
    </w:p>
    <w:p>
      <w:pPr>
        <w:pStyle w:val="Heading3"/>
      </w:pPr>
      <w:bookmarkStart w:id="3408" w:name="_Toc2104"/>
      <w:r>
        <w:t>1638- دیوان حیران لکهنوی أو شعره‏</w:t>
      </w:r>
      <w:bookmarkEnd w:id="3408"/>
    </w:p>
    <w:p>
      <w:pPr>
        <w:pStyle w:val="BookText"/>
      </w:pPr>
      <w:r>
        <w:rPr>
          <w:rFonts w:ascii="IRNazanin" w:hAnsi="IRNazanin" w:eastAsia="IRNazanin" w:cs="IRNazanin"/>
          <w:lang w:bidi="fa-IR"/>
          <w:color w:val="111111"/>
          <w:sz w:val="28"/>
          <w:szCs w:val="28"/>
          <w:rtl/>
        </w:rPr>
        <w:t xml:space="preserve">و هو المیر حیدر علی اللکهنوی ملازم آصف الدولة بهادر قال فی (روشن- ص 189) إن أکثر شعره بالأردویة و ینظم أیضا بالفارسیة کان تلمیذ سرب سنگه دیوانه، و أستاذ میر شیر علی أفسوس‏</w:t>
      </w:r>
    </w:p>
    <w:p>
      <w:pPr>
        <w:pStyle w:val="Heading3"/>
      </w:pPr>
      <w:bookmarkStart w:id="3409" w:name="_Toc2105"/>
      <w:r>
        <w:t>1639- دیوان حیران هندی أو شعره‏</w:t>
      </w:r>
      <w:bookmarkEnd w:id="3409"/>
    </w:p>
    <w:p>
      <w:pPr>
        <w:pStyle w:val="BookText"/>
      </w:pPr>
      <w:r>
        <w:rPr>
          <w:rFonts w:ascii="IRNazanin" w:hAnsi="IRNazanin" w:eastAsia="IRNazanin" w:cs="IRNazanin"/>
          <w:lang w:bidi="fa-IR"/>
          <w:color w:val="111111"/>
          <w:sz w:val="28"/>
          <w:szCs w:val="28"/>
          <w:rtl/>
        </w:rPr>
        <w:t xml:space="preserve">و هو الشیخ محمود تتبع شعر میر ناصر علی و لکن لم یقدر علی ذلک أورد شعره فی (سرخوش- ص 32)</w:t>
      </w:r>
    </w:p>
    <w:p>
      <w:pPr>
        <w:pStyle w:val="Heading3"/>
      </w:pPr>
      <w:bookmarkStart w:id="3410" w:name="_Toc2106"/>
      <w:r>
        <w:t>1640- دیوان حیران یزدی أو شعره‏</w:t>
      </w:r>
      <w:bookmarkEnd w:id="3410"/>
    </w:p>
    <w:p>
      <w:pPr>
        <w:pStyle w:val="BookText"/>
      </w:pPr>
      <w:r>
        <w:rPr>
          <w:rFonts w:ascii="IRNazanin" w:hAnsi="IRNazanin" w:eastAsia="IRNazanin" w:cs="IRNazanin"/>
          <w:lang w:bidi="fa-IR"/>
          <w:color w:val="111111"/>
          <w:sz w:val="28"/>
          <w:szCs w:val="28"/>
          <w:rtl/>
        </w:rPr>
        <w:t xml:space="preserve">و هو السید المیرزا محمد علی‏</w:t>
      </w:r>
      <w:r>
        <w:rPr>
          <w:rStyle w:val="FootnoteReference"/>
        </w:rPr>
        <w:footnoteReference w:id="25"/>
      </w:r>
      <w:r>
        <w:rPr>
          <w:rFonts w:ascii="IRNazanin" w:hAnsi="IRNazanin" w:eastAsia="IRNazanin" w:cs="IRNazanin"/>
          <w:lang w:bidi="fa-IR"/>
          <w:color w:val="111111"/>
          <w:sz w:val="28"/>
          <w:szCs w:val="28"/>
          <w:rtl/>
        </w:rPr>
        <w:t xml:space="preserve">بن محمد بن مرتضی‏ ‏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69" w:name="pg11704_121749"/>
    <w:bookmarkEnd w:id="269"/>
    <w:p>
      <w:pPr>
        <w:pStyle w:val="BookText"/>
      </w:pPr>
      <w:r>
        <w:rPr>
          <w:rFonts w:ascii="IRNazanin" w:hAnsi="IRNazanin" w:eastAsia="IRNazanin" w:cs="IRNazanin"/>
          <w:lang w:bidi="fa-IR"/>
          <w:color w:val="111111"/>
          <w:sz w:val="28"/>
          <w:szCs w:val="28"/>
          <w:rtl/>
        </w:rPr>
        <w:t xml:space="preserve">ابن السید محمد الأخباری ابن السید صدر الدین مؤلف مرصع الحواشی بن نصیر الدین بن محمد بن صالح الطباطبائی الأردکانی الیزدی معاصر الصفویة کان حیران یدرس فی المدرسة الإسحاقیة فی مصلی جدید (مصلی صفدر خان) و ینهی نسبه إلی إبراهیم طباطبا ثم إلی الإمام المجتبی علیه السلام  و کتب حیران نسبه بخطه الجید علی مرصع الحواشی تألیف جده و توجد عنده أحفاده بیزد ترجم حیران ابن عمته السید محمد علی بن محمد الحسینی الیزدی المتخلص وامق المتوفی (1255) فی تذکرته میکده‏</w:t>
      </w:r>
      <w:r>
        <w:rPr>
          <w:rStyle w:val="FootnoteReference"/>
        </w:rPr>
        <w:footnoteReference w:id="26"/>
      </w:r>
      <w:r>
        <w:rPr>
          <w:rFonts w:ascii="IRNazanin" w:hAnsi="IRNazanin" w:eastAsia="IRNazanin" w:cs="IRNazanin"/>
          <w:lang w:bidi="fa-IR"/>
          <w:color w:val="111111"/>
          <w:sz w:val="28"/>
          <w:szCs w:val="28"/>
          <w:rtl/>
        </w:rPr>
        <w:t xml:space="preserve">و عنه فی آیینه دانشوران المطبوع (1353) فی (ص 45) و کذا فی انجمن الرابع من انجمن خاقان المؤلف (1234) و عنه نقل هدایت فی مجمع الفصحاء و ریاض العارفین و قد اشتبه الآیتی فی ترجمته فأورد فی (تش یز- ص 240- 242) أغلاطا متعددة</w:t>
      </w:r>
    </w:p>
    <w:p>
      <w:pPr>
        <w:pStyle w:val="Heading3"/>
      </w:pPr>
      <w:bookmarkStart w:id="3411" w:name="_Toc2107"/>
      <w:r>
        <w:t>1641- دیوان حیران یزدی‏</w:t>
      </w:r>
      <w:bookmarkEnd w:id="3411"/>
    </w:p>
    <w:p>
      <w:pPr>
        <w:pStyle w:val="BookText"/>
      </w:pPr>
      <w:r>
        <w:rPr>
          <w:rFonts w:ascii="IRNazanin" w:hAnsi="IRNazanin" w:eastAsia="IRNazanin" w:cs="IRNazanin"/>
          <w:lang w:bidi="fa-IR"/>
          <w:color w:val="111111"/>
          <w:sz w:val="28"/>
          <w:szCs w:val="28"/>
          <w:rtl/>
        </w:rPr>
        <w:t xml:space="preserve">و اسمه آخوند ملا غلام رضا کان معلم الأطفال بمصلی صفدر خان بیزد و کان خطاطا ماهرا کتب عدة نسخ من دیوانه و توجد الآن بیزد کما ذکره فی (تش یز- ص 287) و أورد بعض شعره الموجود فی نسخه دیوانه الموجودة بطهران بخطه فی مکتبة (المجلس) کتابتها (1279) کما فی فهرسها (ج 3- ص 268) و نسخه أخری رأیته بمکتبة (الملک)</w:t>
      </w:r>
    </w:p>
    <w:p>
      <w:pPr>
        <w:pStyle w:val="Heading3"/>
      </w:pPr>
      <w:bookmarkStart w:id="3412" w:name="_Toc2108"/>
      <w:r>
        <w:t>1642- دیوان حیرانی دهلوی‏</w:t>
      </w:r>
      <w:bookmarkEnd w:id="3412"/>
    </w:p>
    <w:p>
      <w:pPr>
        <w:pStyle w:val="BookText"/>
      </w:pPr>
      <w:r>
        <w:rPr>
          <w:rFonts w:ascii="IRNazanin" w:hAnsi="IRNazanin" w:eastAsia="IRNazanin" w:cs="IRNazanin"/>
          <w:lang w:bidi="fa-IR"/>
          <w:color w:val="111111"/>
          <w:sz w:val="28"/>
          <w:szCs w:val="28"/>
          <w:rtl/>
        </w:rPr>
        <w:t xml:space="preserve">و هو المفتی إکرام الدین بن نظام الدین ابن محب الحق ابن نور الحق بن محب الله من أحفاد عبد الحق حقی دهلوی تلمذ علی والده و علی الحافظ محمد کاظم و فائق علی و غیرهم کان آباؤه قضاة پانی‏پت و دهلی ولد حیران‏ 5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70" w:name="pg11704_121750"/>
    <w:bookmarkEnd w:id="270"/>
    <w:p>
      <w:pPr>
        <w:pStyle w:val="BookText"/>
      </w:pPr>
      <w:r>
        <w:rPr>
          <w:rFonts w:ascii="IRNazanin" w:hAnsi="IRNazanin" w:eastAsia="IRNazanin" w:cs="IRNazanin"/>
          <w:lang w:bidi="fa-IR"/>
          <w:color w:val="111111"/>
          <w:sz w:val="28"/>
          <w:szCs w:val="28"/>
          <w:rtl/>
        </w:rPr>
        <w:t xml:space="preserve">بشاه جهان‏آباد فی (1191) و دیوانه یشتمل علی ألف بیت کما فی (گلشن- ص 145)</w:t>
      </w:r>
    </w:p>
    <w:p>
      <w:pPr>
        <w:pStyle w:val="Heading3"/>
      </w:pPr>
      <w:bookmarkStart w:id="3413" w:name="_Toc2109"/>
      <w:r>
        <w:t>1643- دیوان حیرانی رواسی‏</w:t>
      </w:r>
      <w:bookmarkEnd w:id="3413"/>
    </w:p>
    <w:p>
      <w:pPr>
        <w:pStyle w:val="BookText"/>
      </w:pPr>
      <w:r>
        <w:rPr>
          <w:rFonts w:ascii="IRNazanin" w:hAnsi="IRNazanin" w:eastAsia="IRNazanin" w:cs="IRNazanin"/>
          <w:lang w:bidi="fa-IR"/>
          <w:color w:val="111111"/>
          <w:sz w:val="28"/>
          <w:szCs w:val="28"/>
          <w:rtl/>
        </w:rPr>
        <w:t xml:space="preserve">و هو المولی حیرانی من أحفاد الشیخ صدر الدین الرواسی قال فی (تس 5- ص 131) إنه رتب دیوان غزله بنفسه، ثم أورد بعض غزله‏</w:t>
      </w:r>
    </w:p>
    <w:p>
      <w:pPr>
        <w:pStyle w:val="Heading3"/>
      </w:pPr>
      <w:bookmarkStart w:id="3414" w:name="_Toc2110"/>
      <w:r>
        <w:t>1644- دیوان حیرانی قزوینی‏</w:t>
      </w:r>
      <w:bookmarkEnd w:id="3414"/>
    </w:p>
    <w:p>
      <w:pPr>
        <w:pStyle w:val="BookText"/>
      </w:pPr>
      <w:r>
        <w:rPr>
          <w:rFonts w:ascii="IRNazanin" w:hAnsi="IRNazanin" w:eastAsia="IRNazanin" w:cs="IRNazanin"/>
          <w:lang w:bidi="fa-IR"/>
          <w:color w:val="111111"/>
          <w:sz w:val="28"/>
          <w:szCs w:val="28"/>
          <w:rtl/>
        </w:rPr>
        <w:t xml:space="preserve">ترجمه فی (تس 5- ص 172) و قال إنه درویش سعی فی طلب العلم و قد یأخذه جذبة العشق توجد نسخه من دیوانه عند (محمد آقا النخجوانی) کما کتبه إلینا</w:t>
      </w:r>
    </w:p>
    <w:p>
      <w:pPr>
        <w:pStyle w:val="Heading3"/>
      </w:pPr>
      <w:bookmarkStart w:id="3415" w:name="_Toc2111"/>
      <w:r>
        <w:t>1645- دیوان حیرانی قمی‏</w:t>
      </w:r>
      <w:bookmarkEnd w:id="3415"/>
    </w:p>
    <w:p>
      <w:pPr>
        <w:pStyle w:val="BookText"/>
      </w:pPr>
      <w:r>
        <w:rPr>
          <w:rFonts w:ascii="IRNazanin" w:hAnsi="IRNazanin" w:eastAsia="IRNazanin" w:cs="IRNazanin"/>
          <w:lang w:bidi="fa-IR"/>
          <w:color w:val="111111"/>
          <w:sz w:val="28"/>
          <w:szCs w:val="28"/>
          <w:rtl/>
        </w:rPr>
        <w:t xml:space="preserve">کان قمی الأصل و سکن بکاشان فأحب غلاما فحکم قاضی کاشان بإخراجه فهجا القاضی بقصیدة قرأه عنده و خرج إلی همدان و مات بها فی (903) کذا فی (تش- ص 231) و قال فی (تس 5- ص 112) إنه کان حافظا لمائة ألف بیت،</w:t>
      </w:r>
    </w:p>
    <w:p>
      <w:pPr>
        <w:pStyle w:val="BookText"/>
      </w:pPr>
      <w:r>
        <w:rPr>
          <w:rFonts w:ascii="IRNazanin" w:hAnsi="IRNazanin" w:eastAsia="IRNazanin" w:cs="IRNazanin"/>
          <w:lang w:bidi="fa-IR"/>
          <w:color w:val="111111"/>
          <w:sz w:val="28"/>
          <w:szCs w:val="28"/>
          <w:rtl/>
        </w:rPr>
        <w:t xml:space="preserve">و هو من ندماء السلطان یعقوب آق‏قوینلو (المتوفی 896) و ذکر له أربع مثنویات بهرام و ناهید و مناظرة آسمان و زمین و مناظرة سیخ و مرغ و مناظرة شمع و پروانه و أول الأخیر:</w:t>
      </w:r>
    </w:p>
    <w:p>
      <w:pPr>
        <w:pStyle w:val="BookText"/>
      </w:pPr>
      <w:r>
        <w:rPr>
          <w:rFonts w:ascii="IRNazanin" w:hAnsi="IRNazanin" w:eastAsia="IRNazanin" w:cs="IRNazanin"/>
          <w:lang w:bidi="fa-IR"/>
          <w:color w:val="111111"/>
          <w:sz w:val="28"/>
          <w:szCs w:val="28"/>
          <w:rtl/>
        </w:rPr>
        <w:t xml:space="preserve">ای جمالت چراغ هر خانه‏</w:t>
      </w:r>
    </w:p>
    <w:p>
      <w:pPr>
        <w:pStyle w:val="BookText"/>
      </w:pPr>
      <w:r>
        <w:rPr>
          <w:rFonts w:ascii="IRNazanin" w:hAnsi="IRNazanin" w:eastAsia="IRNazanin" w:cs="IRNazanin"/>
          <w:lang w:bidi="fa-IR"/>
          <w:color w:val="111111"/>
          <w:sz w:val="28"/>
          <w:szCs w:val="28"/>
          <w:rtl/>
        </w:rPr>
        <w:t xml:space="preserve">شمعی و صد هزار پروانه‏</w:t>
      </w:r>
    </w:p>
    <w:p>
      <w:pPr>
        <w:pStyle w:val="BookText"/>
      </w:pPr>
      <w:r>
        <w:rPr>
          <w:rFonts w:ascii="IRNazanin" w:hAnsi="IRNazanin" w:eastAsia="IRNazanin" w:cs="IRNazanin"/>
          <w:lang w:bidi="fa-IR"/>
          <w:color w:val="111111"/>
          <w:sz w:val="28"/>
          <w:szCs w:val="28"/>
          <w:rtl/>
        </w:rPr>
        <w:t xml:space="preserve">و هو الذی ترجمه فی (قز مج 6- ص 307)</w:t>
      </w:r>
    </w:p>
    <w:p>
      <w:pPr>
        <w:pStyle w:val="Heading3"/>
      </w:pPr>
      <w:bookmarkStart w:id="3416" w:name="_Toc2112"/>
      <w:r>
        <w:t>دیوان حیرانی همدانی‏</w:t>
      </w:r>
      <w:bookmarkEnd w:id="3416"/>
    </w:p>
    <w:p>
      <w:pPr>
        <w:pStyle w:val="BookText"/>
      </w:pPr>
      <w:r>
        <w:rPr>
          <w:rFonts w:ascii="IRNazanin" w:hAnsi="IRNazanin" w:eastAsia="IRNazanin" w:cs="IRNazanin"/>
          <w:lang w:bidi="fa-IR"/>
          <w:color w:val="111111"/>
          <w:sz w:val="28"/>
          <w:szCs w:val="28"/>
          <w:rtl/>
        </w:rPr>
        <w:t xml:space="preserve">راجع حیرانی قمی‏</w:t>
      </w:r>
    </w:p>
    <w:p>
      <w:pPr>
        <w:pStyle w:val="Heading3"/>
      </w:pPr>
      <w:bookmarkStart w:id="3417" w:name="_Toc2113"/>
      <w:r>
        <w:t>1646- دیوان حیرت‏</w:t>
      </w:r>
      <w:bookmarkEnd w:id="3417"/>
    </w:p>
    <w:p>
      <w:pPr>
        <w:pStyle w:val="BookText"/>
      </w:pPr>
      <w:r>
        <w:rPr>
          <w:rFonts w:ascii="IRNazanin" w:hAnsi="IRNazanin" w:eastAsia="IRNazanin" w:cs="IRNazanin"/>
          <w:lang w:bidi="fa-IR"/>
          <w:color w:val="111111"/>
          <w:sz w:val="28"/>
          <w:szCs w:val="28"/>
          <w:rtl/>
        </w:rPr>
        <w:t xml:space="preserve">طبع بطهران فی (56 ص) و لعله أحد الآتیین بعده‏</w:t>
      </w:r>
    </w:p>
    <w:p>
      <w:pPr>
        <w:pStyle w:val="Heading3"/>
      </w:pPr>
      <w:bookmarkStart w:id="3418" w:name="_Toc2114"/>
      <w:r>
        <w:t>1647- دیوان حیرت أصفهانی‏</w:t>
      </w:r>
      <w:bookmarkEnd w:id="3418"/>
    </w:p>
    <w:p>
      <w:pPr>
        <w:pStyle w:val="BookText"/>
      </w:pPr>
      <w:r>
        <w:rPr>
          <w:rFonts w:ascii="IRNazanin" w:hAnsi="IRNazanin" w:eastAsia="IRNazanin" w:cs="IRNazanin"/>
          <w:lang w:bidi="fa-IR"/>
          <w:color w:val="111111"/>
          <w:sz w:val="28"/>
          <w:szCs w:val="28"/>
          <w:rtl/>
        </w:rPr>
        <w:t xml:space="preserve">و اسمه قیام الدین و له تذکره مقالات الشعراء و مات (1174) کما فی قاموس الأعلام الترکی و لعله متحد مع ما بعده‏</w:t>
      </w:r>
    </w:p>
    <w:p>
      <w:pPr>
        <w:pStyle w:val="Heading3"/>
      </w:pPr>
      <w:bookmarkStart w:id="3419" w:name="_Toc2115"/>
      <w:r>
        <w:t>دیوان حیرت أصفهانی‏</w:t>
      </w:r>
      <w:bookmarkEnd w:id="3419"/>
    </w:p>
    <w:p>
      <w:pPr>
        <w:pStyle w:val="BookText"/>
      </w:pPr>
      <w:r>
        <w:rPr>
          <w:rFonts w:ascii="IRNazanin" w:hAnsi="IRNazanin" w:eastAsia="IRNazanin" w:cs="IRNazanin"/>
          <w:lang w:bidi="fa-IR"/>
          <w:color w:val="111111"/>
          <w:sz w:val="28"/>
          <w:szCs w:val="28"/>
          <w:rtl/>
        </w:rPr>
        <w:t xml:space="preserve">و اسمه میرزا أحمد أورد شعره فی (گلشن- ص 146) و لعله متحد مع ما قبله، أو مع حیرتی أصفهانی الآتی‏</w:t>
      </w:r>
    </w:p>
    <w:p>
      <w:pPr>
        <w:pStyle w:val="Heading3"/>
      </w:pPr>
      <w:bookmarkStart w:id="3420" w:name="_Toc2116"/>
      <w:r>
        <w:t>1648- دیوان حیرت تبریزی أو شعره‏</w:t>
      </w:r>
      <w:bookmarkEnd w:id="3420"/>
    </w:p>
    <w:p>
      <w:pPr>
        <w:pStyle w:val="BookText"/>
      </w:pPr>
      <w:r>
        <w:rPr>
          <w:rFonts w:ascii="IRNazanin" w:hAnsi="IRNazanin" w:eastAsia="IRNazanin" w:cs="IRNazanin"/>
          <w:lang w:bidi="fa-IR"/>
          <w:color w:val="111111"/>
          <w:sz w:val="28"/>
          <w:szCs w:val="28"/>
          <w:rtl/>
        </w:rPr>
        <w:t xml:space="preserve">و اسمه آقا حسین علی التبریزی من الأطباء المعاریف المعاصرین لمیرزا عبد الرزاق الدنبلی مؤلف نگارستان دارا المؤلف (1241) أورد شعره فی (دجا- ص 127) عن نگارستان دارا</w:t>
      </w:r>
    </w:p>
    <w:p>
      <w:pPr>
        <w:pStyle w:val="Heading3"/>
      </w:pPr>
      <w:bookmarkStart w:id="3421" w:name="_Toc2117"/>
      <w:r>
        <w:t>1649- دیوان حیرت قاجار</w:t>
      </w:r>
      <w:bookmarkEnd w:id="3421"/>
    </w:p>
    <w:p>
      <w:pPr>
        <w:pStyle w:val="BookText"/>
      </w:pPr>
      <w:r>
        <w:rPr>
          <w:rFonts w:ascii="IRNazanin" w:hAnsi="IRNazanin" w:eastAsia="IRNazanin" w:cs="IRNazanin"/>
          <w:lang w:bidi="fa-IR"/>
          <w:color w:val="111111"/>
          <w:sz w:val="28"/>
          <w:szCs w:val="28"/>
          <w:rtl/>
        </w:rPr>
        <w:t xml:space="preserve">للشاه‏زاده أبی الحسن میرزا المعروف بشیخ الرئیس ابن‏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71" w:name="pg11704_121751"/>
    <w:bookmarkEnd w:id="271"/>
    <w:p>
      <w:pPr>
        <w:pStyle w:val="BookText"/>
      </w:pPr>
      <w:r>
        <w:rPr>
          <w:rFonts w:ascii="IRNazanin" w:hAnsi="IRNazanin" w:eastAsia="IRNazanin" w:cs="IRNazanin"/>
          <w:lang w:bidi="fa-IR"/>
          <w:color w:val="111111"/>
          <w:sz w:val="28"/>
          <w:szCs w:val="28"/>
          <w:rtl/>
        </w:rPr>
        <w:t xml:space="preserve">محمد تقی میرزا حسام السلطنة المتخلص شوکت و المتوفی (1278) ابن السلطان فتح علی شاه المولود فی تبریز (1264) و المتوفی حدود (1333) اشتغل بتحصیل العلوم من صغره بطهران ثم برع فی الأدب و المعقول و المنقول فی مشهد خراسان علی علمائها و کان أواخر اشتغاله فی العراق برهة فی سامراء عند السید الشیرازی و له تنقلات فی البلاد و تصانیف طبع منها کتاب الأبرار المشار إلیه فی (ج 1 ص 65) و کتاب المنتخب النفیس من تصانیف شیخ الرئیس و دیوانه الفارسی و العربی، و طبع معه أرجوزته فی أصول الفقه ناقصة ترجمه فی آثار العجم ص 530 و فی (دجا- ص 127) ذکر غزله الذی أنشأه فی اختلافات الأحزاب فی الدورة الثانیة من المجلس النیابی بطهران و کان هو یومئذ من وکلاء مازندران، و أخوه الأکبر منه بکثیر اورنگ زیب میرزا مؤلف شرح المختصر النافع الموسوم مجمع الجوامع و کان بعض اشتغالاته فی بروجرد أیام ولایة حسام السلطنة بها علی علماء ذلک العصر مثل الحاج المولی أسد الله البروجردی و أخیه الحاج المولی علی و الحاج السید رفیع الجابلقی و السید جعفر الکشفی و غیرهم یظهر جمیع ذلک من کتابه المذکور الموجود عند السید شهاب الدین بقم‏</w:t>
      </w:r>
    </w:p>
    <w:p>
      <w:pPr>
        <w:pStyle w:val="Heading3"/>
      </w:pPr>
      <w:bookmarkStart w:id="3422" w:name="_Toc2118"/>
      <w:r>
        <w:t>1650- دیوان حیرت هندی أو شعره‏</w:t>
      </w:r>
      <w:bookmarkEnd w:id="3422"/>
    </w:p>
    <w:p>
      <w:pPr>
        <w:pStyle w:val="BookText"/>
      </w:pPr>
      <w:r>
        <w:rPr>
          <w:rFonts w:ascii="IRNazanin" w:hAnsi="IRNazanin" w:eastAsia="IRNazanin" w:cs="IRNazanin"/>
          <w:lang w:bidi="fa-IR"/>
          <w:color w:val="111111"/>
          <w:sz w:val="28"/>
          <w:szCs w:val="28"/>
          <w:rtl/>
        </w:rPr>
        <w:t xml:space="preserve">و هو المیرزا إسماعیل الذی ترجم تاریخ سرجان مالکم راجع (ج 3 ص 239)</w:t>
      </w:r>
    </w:p>
    <w:p>
      <w:pPr>
        <w:pStyle w:val="Heading3"/>
      </w:pPr>
      <w:bookmarkStart w:id="3423" w:name="_Toc2119"/>
      <w:r>
        <w:t>1651- دیوان حیرتی‏</w:t>
      </w:r>
      <w:bookmarkEnd w:id="3423"/>
    </w:p>
    <w:p>
      <w:pPr>
        <w:pStyle w:val="BookText"/>
      </w:pPr>
      <w:r>
        <w:rPr>
          <w:rFonts w:ascii="IRNazanin" w:hAnsi="IRNazanin" w:eastAsia="IRNazanin" w:cs="IRNazanin"/>
          <w:lang w:bidi="fa-IR"/>
          <w:color w:val="111111"/>
          <w:sz w:val="28"/>
          <w:szCs w:val="28"/>
          <w:rtl/>
        </w:rPr>
        <w:t xml:space="preserve">من شعراء القرن الثالث عشر فی آذربایجان کذا فی (دجا- ص 168) عن کتاب حدیقة الشعراء المؤلف فی عصر السلطان ناصر الدین شاه‏</w:t>
      </w:r>
    </w:p>
    <w:p>
      <w:pPr>
        <w:pStyle w:val="Heading3"/>
      </w:pPr>
      <w:bookmarkStart w:id="3424" w:name="_Toc2120"/>
      <w:r>
        <w:t>1652- دیوان حیرتی أسترآبادی أو شعره‏</w:t>
      </w:r>
      <w:bookmarkEnd w:id="3424"/>
    </w:p>
    <w:p>
      <w:pPr>
        <w:pStyle w:val="BookText"/>
      </w:pPr>
      <w:r>
        <w:rPr>
          <w:rFonts w:ascii="IRNazanin" w:hAnsi="IRNazanin" w:eastAsia="IRNazanin" w:cs="IRNazanin"/>
          <w:lang w:bidi="fa-IR"/>
          <w:color w:val="111111"/>
          <w:sz w:val="28"/>
          <w:szCs w:val="28"/>
          <w:rtl/>
        </w:rPr>
        <w:t xml:space="preserve">و اسمه المیر حسن المتوفی (839) أورد ذکره فی (گلشن- ص 146- 147) و عنه فی القاموس الترکی ثم فی الریحانة</w:t>
      </w:r>
    </w:p>
    <w:p>
      <w:pPr>
        <w:pStyle w:val="Heading3"/>
      </w:pPr>
      <w:bookmarkStart w:id="3425" w:name="_Toc2121"/>
      <w:r>
        <w:t>دیوان حیرتی أصفهانی أو شعره‏</w:t>
      </w:r>
      <w:bookmarkEnd w:id="3425"/>
    </w:p>
    <w:p>
      <w:pPr>
        <w:pStyle w:val="BookText"/>
      </w:pPr>
      <w:r>
        <w:rPr>
          <w:rFonts w:ascii="IRNazanin" w:hAnsi="IRNazanin" w:eastAsia="IRNazanin" w:cs="IRNazanin"/>
          <w:lang w:bidi="fa-IR"/>
          <w:color w:val="111111"/>
          <w:sz w:val="28"/>
          <w:szCs w:val="28"/>
          <w:rtl/>
        </w:rPr>
        <w:t xml:space="preserve">توفی (989) کما فی القاموس الترکی و لعله حیرت أصفهانی‏</w:t>
      </w:r>
    </w:p>
    <w:p>
      <w:pPr>
        <w:pStyle w:val="Heading3"/>
      </w:pPr>
      <w:bookmarkStart w:id="3426" w:name="_Toc2122"/>
      <w:r>
        <w:t>1653- دیوان حیرتی بخاری أو شعره‏</w:t>
      </w:r>
      <w:bookmarkEnd w:id="3426"/>
    </w:p>
    <w:p>
      <w:pPr>
        <w:pStyle w:val="BookText"/>
      </w:pPr>
      <w:r>
        <w:rPr>
          <w:rFonts w:ascii="IRNazanin" w:hAnsi="IRNazanin" w:eastAsia="IRNazanin" w:cs="IRNazanin"/>
          <w:lang w:bidi="fa-IR"/>
          <w:color w:val="111111"/>
          <w:sz w:val="28"/>
          <w:szCs w:val="28"/>
          <w:rtl/>
        </w:rPr>
        <w:t xml:space="preserve">قال فی (روشن- ص 189) إنه ترک التسنن و تشیع، فطرد من بلدة بخارا و التجأ إلی الشاه طهماسب فأکرمه ثم لما حرم الدولة الصفویة شرب الخمر علی الناس قال حیرتی فی غزل له:</w:t>
      </w:r>
    </w:p>
    <w:p>
      <w:pPr>
        <w:pStyle w:val="BookText"/>
      </w:pPr>
      <w:r>
        <w:rPr>
          <w:rFonts w:ascii="IRNazanin" w:hAnsi="IRNazanin" w:eastAsia="IRNazanin" w:cs="IRNazanin"/>
          <w:lang w:bidi="fa-IR"/>
          <w:color w:val="111111"/>
          <w:sz w:val="28"/>
          <w:szCs w:val="28"/>
          <w:rtl/>
        </w:rPr>
        <w:t xml:space="preserve">از حسد امروز زاهد منع ما از باده کرد</w:t>
      </w:r>
    </w:p>
    <w:p>
      <w:pPr>
        <w:pStyle w:val="BookText"/>
      </w:pPr>
      <w:r>
        <w:rPr>
          <w:rFonts w:ascii="IRNazanin" w:hAnsi="IRNazanin" w:eastAsia="IRNazanin" w:cs="IRNazanin"/>
          <w:lang w:bidi="fa-IR"/>
          <w:color w:val="111111"/>
          <w:sz w:val="28"/>
          <w:szCs w:val="28"/>
          <w:rtl/>
        </w:rPr>
        <w:t xml:space="preserve">ورنه کی آن نامسلمان را غم فردای ماست‏</w:t>
      </w:r>
    </w:p>
    <w:p>
      <w:pPr>
        <w:pStyle w:val="BookText"/>
      </w:pPr>
      <w:r>
        <w:rPr>
          <w:rFonts w:ascii="IRNazanin" w:hAnsi="IRNazanin" w:eastAsia="IRNazanin" w:cs="IRNazanin"/>
          <w:lang w:bidi="fa-IR"/>
          <w:color w:val="111111"/>
          <w:sz w:val="28"/>
          <w:szCs w:val="28"/>
          <w:rtl/>
        </w:rPr>
        <w:t xml:space="preserve">فأراد الشاه قطع لسانه، فقال أیها الملک إنی ترکت التسنن و تبرأت من الخلفاء فإن قطعت‏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72" w:name="pg11704_121752"/>
    <w:bookmarkEnd w:id="272"/>
    <w:p>
      <w:pPr>
        <w:pStyle w:val="BookText"/>
      </w:pPr>
      <w:r>
        <w:rPr>
          <w:rFonts w:ascii="IRNazanin" w:hAnsi="IRNazanin" w:eastAsia="IRNazanin" w:cs="IRNazanin"/>
          <w:lang w:bidi="fa-IR"/>
          <w:color w:val="111111"/>
          <w:sz w:val="28"/>
          <w:szCs w:val="28"/>
          <w:rtl/>
        </w:rPr>
        <w:t xml:space="preserve">لسانی ثبت قول أعدائی فعفی الشاه عنه راجع حیرتی هری‏</w:t>
      </w:r>
    </w:p>
    <w:p>
      <w:pPr>
        <w:pStyle w:val="Heading3"/>
      </w:pPr>
      <w:bookmarkStart w:id="3427" w:name="_Toc2123"/>
      <w:r>
        <w:t>1654- دیوان حیرتی تبریزی أو شعره‏</w:t>
      </w:r>
      <w:bookmarkEnd w:id="3427"/>
    </w:p>
    <w:p>
      <w:pPr>
        <w:pStyle w:val="BookText"/>
      </w:pPr>
      <w:r>
        <w:rPr>
          <w:rFonts w:ascii="IRNazanin" w:hAnsi="IRNazanin" w:eastAsia="IRNazanin" w:cs="IRNazanin"/>
          <w:lang w:bidi="fa-IR"/>
          <w:color w:val="111111"/>
          <w:sz w:val="28"/>
          <w:szCs w:val="28"/>
          <w:rtl/>
        </w:rPr>
        <w:t xml:space="preserve">حکی تربیت فی دانشمندان آذربایجان فی (ص 178) عن کتاب تحفه سامی أنه من الشعراء المشهورین و أورد مطلع غزل له و لکنا لم نجده فی تحفه السامی المطبوع فلعله کان فی النسخة المخطوطة عنده و المطلع قوله:</w:t>
      </w:r>
    </w:p>
    <w:p>
      <w:pPr>
        <w:pStyle w:val="BookText"/>
      </w:pPr>
      <w:r>
        <w:rPr>
          <w:rFonts w:ascii="IRNazanin" w:hAnsi="IRNazanin" w:eastAsia="IRNazanin" w:cs="IRNazanin"/>
          <w:lang w:bidi="fa-IR"/>
          <w:color w:val="111111"/>
          <w:sz w:val="28"/>
          <w:szCs w:val="28"/>
          <w:rtl/>
        </w:rPr>
        <w:t xml:space="preserve">بگشاید آن نگار چه زلف دوتای خویش‏</w:t>
      </w:r>
    </w:p>
    <w:p>
      <w:pPr>
        <w:pStyle w:val="BookText"/>
      </w:pPr>
      <w:r>
        <w:rPr>
          <w:rFonts w:ascii="IRNazanin" w:hAnsi="IRNazanin" w:eastAsia="IRNazanin" w:cs="IRNazanin"/>
          <w:lang w:bidi="fa-IR"/>
          <w:color w:val="111111"/>
          <w:sz w:val="28"/>
          <w:szCs w:val="28"/>
          <w:rtl/>
        </w:rPr>
        <w:t xml:space="preserve">سازد هزار دل شده را مبتلای خویش‏</w:t>
      </w:r>
    </w:p>
    <w:p>
      <w:pPr>
        <w:pStyle w:val="Heading3"/>
      </w:pPr>
      <w:bookmarkStart w:id="3428" w:name="_Toc2124"/>
      <w:r>
        <w:t>دیوان حیرتی تونی‏</w:t>
      </w:r>
      <w:bookmarkEnd w:id="3428"/>
    </w:p>
    <w:p>
      <w:pPr>
        <w:pStyle w:val="BookText"/>
      </w:pPr>
      <w:r>
        <w:rPr>
          <w:rFonts w:ascii="IRNazanin" w:hAnsi="IRNazanin" w:eastAsia="IRNazanin" w:cs="IRNazanin"/>
          <w:lang w:bidi="fa-IR"/>
          <w:color w:val="111111"/>
          <w:sz w:val="28"/>
          <w:szCs w:val="28"/>
          <w:rtl/>
        </w:rPr>
        <w:t xml:space="preserve">راجع حیرتی هری.</w:t>
      </w:r>
    </w:p>
    <w:p>
      <w:pPr>
        <w:pStyle w:val="Heading3"/>
      </w:pPr>
      <w:bookmarkStart w:id="3429" w:name="_Toc2125"/>
      <w:r>
        <w:t>1655- دیوان المولی حیرتی قزوینی أو شعره‏</w:t>
      </w:r>
      <w:bookmarkEnd w:id="3429"/>
    </w:p>
    <w:p>
      <w:pPr>
        <w:pStyle w:val="BookText"/>
      </w:pPr>
      <w:r>
        <w:rPr>
          <w:rFonts w:ascii="IRNazanin" w:hAnsi="IRNazanin" w:eastAsia="IRNazanin" w:cs="IRNazanin"/>
          <w:lang w:bidi="fa-IR"/>
          <w:color w:val="111111"/>
          <w:sz w:val="28"/>
          <w:szCs w:val="28"/>
          <w:rtl/>
        </w:rPr>
        <w:t xml:space="preserve">ترجمه سام میرزا فی (تس 5- ص 128) و ذکر أن قلیلا من الشعراء یبلغ رتبته فی الشعر ثم أورد مطلعین من غزلیاته أولهما قوله:</w:t>
      </w:r>
    </w:p>
    <w:p>
      <w:pPr>
        <w:pStyle w:val="BookText"/>
      </w:pPr>
      <w:r>
        <w:rPr>
          <w:rFonts w:ascii="IRNazanin" w:hAnsi="IRNazanin" w:eastAsia="IRNazanin" w:cs="IRNazanin"/>
          <w:lang w:bidi="fa-IR"/>
          <w:color w:val="111111"/>
          <w:sz w:val="28"/>
          <w:szCs w:val="28"/>
          <w:rtl/>
        </w:rPr>
        <w:t xml:space="preserve">مه من شام عید از گوشه بنمود ابرو را</w:t>
      </w:r>
    </w:p>
    <w:p>
      <w:pPr>
        <w:pStyle w:val="BookText"/>
      </w:pPr>
      <w:r>
        <w:rPr>
          <w:rFonts w:ascii="IRNazanin" w:hAnsi="IRNazanin" w:eastAsia="IRNazanin" w:cs="IRNazanin"/>
          <w:lang w:bidi="fa-IR"/>
          <w:color w:val="111111"/>
          <w:sz w:val="28"/>
          <w:szCs w:val="28"/>
          <w:rtl/>
        </w:rPr>
        <w:t xml:space="preserve">فلک چندین چراغ افروخت تا پیدا کند أو را</w:t>
      </w:r>
    </w:p>
    <w:p>
      <w:pPr>
        <w:pStyle w:val="BookText"/>
      </w:pPr>
      <w:r>
        <w:rPr>
          <w:rFonts w:ascii="IRNazanin" w:hAnsi="IRNazanin" w:eastAsia="IRNazanin" w:cs="IRNazanin"/>
          <w:lang w:bidi="fa-IR"/>
          <w:color w:val="111111"/>
          <w:sz w:val="28"/>
          <w:szCs w:val="28"/>
          <w:rtl/>
        </w:rPr>
        <w:t xml:space="preserve">و قال فی (تش- 222) کان سراجا ساح خراسان و العراق و غیرها. و کذا فی القاموس الترکی ثم الریحانة.</w:t>
      </w:r>
    </w:p>
    <w:p>
      <w:pPr>
        <w:pStyle w:val="Heading3"/>
      </w:pPr>
      <w:bookmarkStart w:id="3430" w:name="_Toc2126"/>
      <w:r>
        <w:t>1656- دیوان حیرتی هروی‏</w:t>
      </w:r>
      <w:bookmarkEnd w:id="3430"/>
    </w:p>
    <w:p>
      <w:pPr>
        <w:pStyle w:val="BookText"/>
      </w:pPr>
      <w:r>
        <w:rPr>
          <w:rFonts w:ascii="IRNazanin" w:hAnsi="IRNazanin" w:eastAsia="IRNazanin" w:cs="IRNazanin"/>
          <w:lang w:bidi="fa-IR"/>
          <w:color w:val="111111"/>
          <w:sz w:val="28"/>
          <w:szCs w:val="28"/>
          <w:rtl/>
        </w:rPr>
        <w:t xml:space="preserve">المشهور بالمروی للمولی حیرتی التونی الأصل نشا بمرو و سافر إلی بلاد کثیرة و قتله السراق بکاشان فی (970) کما فی (تش- ص 67) له مهاجاة مع وحیدی القمی (المتوفی 942) کما ذکره فی تس 5- ص 105 و هو الذی نظم تاریخ وفاه الشاه إسماعیل الصفوی فی (930) کما ذکره فی نر- ص 470 توجد دیوانه فی مجلدین عند (محمد النخجوانی). و قال سنگلاخ فی (امتحان الفضلاء- ج 1 ص 115) إنه رأی دیوانه بخط سلطان محمد نور الخطاط.</w:t>
      </w:r>
    </w:p>
    <w:p>
      <w:pPr>
        <w:pStyle w:val="Heading3"/>
      </w:pPr>
      <w:bookmarkStart w:id="3431" w:name="_Toc2127"/>
      <w:r>
        <w:t>1657- دیوان حیص و بیص أو شعره‏</w:t>
      </w:r>
      <w:bookmarkEnd w:id="3431"/>
    </w:p>
    <w:p>
      <w:pPr>
        <w:pStyle w:val="BookText"/>
      </w:pPr>
      <w:r>
        <w:rPr>
          <w:rFonts w:ascii="IRNazanin" w:hAnsi="IRNazanin" w:eastAsia="IRNazanin" w:cs="IRNazanin"/>
          <w:lang w:bidi="fa-IR"/>
          <w:color w:val="111111"/>
          <w:sz w:val="28"/>
          <w:szCs w:val="28"/>
          <w:rtl/>
        </w:rPr>
        <w:t xml:space="preserve">و هو أبو الفوارس شهاب الدین سعد بن محمد بن سعد بن صیفی التمیمی الأدیب المعاصر للمقتفی لأمر الله (530- 555) ینتسب إلی أکثم بن صیفی التمیمی، احتمل فی الروضات تشیعه، و قال ابن خلکان إنه شافعی، و یظهر من شعره فی رثاء الحسین حسن حاله. مات ببغداد فی (554) کما فی طبقات الشافعیة أو (574) کما فی شاهد صادق و هدیة الأحباب.</w:t>
      </w:r>
    </w:p>
    <w:p>
      <w:pPr>
        <w:pStyle w:val="Heading3"/>
      </w:pPr>
      <w:bookmarkStart w:id="3432" w:name="_Toc2128"/>
      <w:r>
        <w:t>1658- دیوان حیفی ساوجی أو شعره‏</w:t>
      </w:r>
      <w:bookmarkEnd w:id="3432"/>
    </w:p>
    <w:p>
      <w:pPr>
        <w:pStyle w:val="BookText"/>
      </w:pPr>
      <w:r>
        <w:rPr>
          <w:rFonts w:ascii="IRNazanin" w:hAnsi="IRNazanin" w:eastAsia="IRNazanin" w:cs="IRNazanin"/>
          <w:lang w:bidi="fa-IR"/>
          <w:color w:val="111111"/>
          <w:sz w:val="28"/>
          <w:szCs w:val="28"/>
          <w:rtl/>
        </w:rPr>
        <w:t xml:space="preserve">قال فی طبقات أکبری (ج 2 ص 498) صاحبته فی گجرات و سافر مع فیضی إلی دکن و حج البیت. و أورد شعره.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73" w:name="pg11704_121753"/>
    <w:bookmarkEnd w:id="273"/>
    <w:p>
      <w:pPr>
        <w:pStyle w:val="Heading3"/>
      </w:pPr>
      <w:bookmarkStart w:id="3433" w:name="_Toc2129"/>
      <w:r>
        <w:t>خ‏</w:t>
      </w:r>
      <w:bookmarkEnd w:id="3433"/>
    </w:p>
    <w:p>
      <w:pPr>
        <w:pStyle w:val="Heading3"/>
      </w:pPr>
      <w:bookmarkStart w:id="3434" w:name="_Toc2130"/>
      <w:r>
        <w:t>1659- دیوان خائف شیرازی‏</w:t>
      </w:r>
      <w:bookmarkEnd w:id="3434"/>
    </w:p>
    <w:p>
      <w:pPr>
        <w:pStyle w:val="BookText"/>
      </w:pPr>
      <w:r>
        <w:rPr>
          <w:rFonts w:ascii="IRNazanin" w:hAnsi="IRNazanin" w:eastAsia="IRNazanin" w:cs="IRNazanin"/>
          <w:lang w:bidi="fa-IR"/>
          <w:color w:val="111111"/>
          <w:sz w:val="28"/>
          <w:szCs w:val="28"/>
          <w:rtl/>
        </w:rPr>
        <w:t xml:space="preserve">طبع بإیران.</w:t>
      </w:r>
    </w:p>
    <w:p>
      <w:pPr>
        <w:pStyle w:val="Heading3"/>
      </w:pPr>
      <w:bookmarkStart w:id="3435" w:name="_Toc2131"/>
      <w:r>
        <w:t>1660- دیوان خائف قمی‏</w:t>
      </w:r>
      <w:bookmarkEnd w:id="3435"/>
    </w:p>
    <w:p>
      <w:pPr>
        <w:pStyle w:val="BookText"/>
      </w:pPr>
      <w:r>
        <w:rPr>
          <w:rFonts w:ascii="IRNazanin" w:hAnsi="IRNazanin" w:eastAsia="IRNazanin" w:cs="IRNazanin"/>
          <w:lang w:bidi="fa-IR"/>
          <w:color w:val="111111"/>
          <w:sz w:val="28"/>
          <w:szCs w:val="28"/>
          <w:rtl/>
        </w:rPr>
        <w:t xml:space="preserve">للشیخ عبد الرزاق بن المولی علی أصغر القمی. طبع بطهران.</w:t>
      </w:r>
    </w:p>
    <w:p>
      <w:pPr>
        <w:pStyle w:val="Heading3"/>
      </w:pPr>
      <w:bookmarkStart w:id="3436" w:name="_Toc2132"/>
      <w:r>
        <w:t>1661- دیوان خاتمی أصفهانی أو شعره‏</w:t>
      </w:r>
      <w:bookmarkEnd w:id="3436"/>
    </w:p>
    <w:p>
      <w:pPr>
        <w:pStyle w:val="BookText"/>
      </w:pPr>
      <w:r>
        <w:rPr>
          <w:rFonts w:ascii="IRNazanin" w:hAnsi="IRNazanin" w:eastAsia="IRNazanin" w:cs="IRNazanin"/>
          <w:lang w:bidi="fa-IR"/>
          <w:color w:val="111111"/>
          <w:sz w:val="28"/>
          <w:szCs w:val="28"/>
          <w:rtl/>
        </w:rPr>
        <w:t xml:space="preserve">الخطاط. أورد شعره فی (تش- ص 175) و (روشن- ص 192).</w:t>
      </w:r>
    </w:p>
    <w:p>
      <w:pPr>
        <w:pStyle w:val="Heading3"/>
      </w:pPr>
      <w:bookmarkStart w:id="3437" w:name="_Toc2133"/>
      <w:r>
        <w:t>1662- دیوان خاتمی تبریزی أو شعره‏</w:t>
      </w:r>
      <w:bookmarkEnd w:id="3437"/>
    </w:p>
    <w:p>
      <w:pPr>
        <w:pStyle w:val="BookText"/>
      </w:pPr>
      <w:r>
        <w:rPr>
          <w:rFonts w:ascii="IRNazanin" w:hAnsi="IRNazanin" w:eastAsia="IRNazanin" w:cs="IRNazanin"/>
          <w:lang w:bidi="fa-IR"/>
          <w:color w:val="111111"/>
          <w:sz w:val="28"/>
          <w:szCs w:val="28"/>
          <w:rtl/>
        </w:rPr>
        <w:t xml:space="preserve">من شعراء السلطان یعقوب آق‏قوینلو (المتوفی 896). أورد شعره فی (قز مج 6- ص 308) و لیس موجودا فی الأصل الترکی.</w:t>
      </w:r>
    </w:p>
    <w:p>
      <w:pPr>
        <w:pStyle w:val="Heading3"/>
      </w:pPr>
      <w:bookmarkStart w:id="3438" w:name="_Toc2134"/>
      <w:r>
        <w:t>1663- دیوان خاتمی تبریزی أو شعره‏</w:t>
      </w:r>
      <w:bookmarkEnd w:id="3438"/>
    </w:p>
    <w:p>
      <w:pPr>
        <w:pStyle w:val="BookText"/>
      </w:pPr>
      <w:r>
        <w:rPr>
          <w:rFonts w:ascii="IRNazanin" w:hAnsi="IRNazanin" w:eastAsia="IRNazanin" w:cs="IRNazanin"/>
          <w:lang w:bidi="fa-IR"/>
          <w:color w:val="111111"/>
          <w:sz w:val="28"/>
          <w:szCs w:val="28"/>
          <w:rtl/>
        </w:rPr>
        <w:t xml:space="preserve">کان بیاع الکتب کما ترجمه فی (تس 5- ص 146) و أورد غزله و عنه فی (دجا- ص 128).</w:t>
      </w:r>
    </w:p>
    <w:p>
      <w:pPr>
        <w:pStyle w:val="Heading3"/>
      </w:pPr>
      <w:bookmarkStart w:id="3439" w:name="_Toc2135"/>
      <w:r>
        <w:t>دیوان خاتمی کسوئی‏</w:t>
      </w:r>
      <w:bookmarkEnd w:id="3439"/>
    </w:p>
    <w:p>
      <w:pPr>
        <w:pStyle w:val="BookText"/>
      </w:pPr>
      <w:r>
        <w:rPr>
          <w:rFonts w:ascii="IRNazanin" w:hAnsi="IRNazanin" w:eastAsia="IRNazanin" w:cs="IRNazanin"/>
          <w:lang w:bidi="fa-IR"/>
          <w:color w:val="111111"/>
          <w:sz w:val="28"/>
          <w:szCs w:val="28"/>
          <w:rtl/>
        </w:rPr>
        <w:t xml:space="preserve">کما فی (لط 2- ص 49) و فی (قز مج 2- ص 223) و لکن فی الأصل الترکی جاء خاکی و هو الصحیح.</w:t>
      </w:r>
    </w:p>
    <w:p>
      <w:pPr>
        <w:pStyle w:val="Heading3"/>
      </w:pPr>
      <w:bookmarkStart w:id="3440" w:name="_Toc2136"/>
      <w:r>
        <w:t>1664- دیوان خاتمی مشهدی أو شعره‏</w:t>
      </w:r>
      <w:bookmarkEnd w:id="3440"/>
    </w:p>
    <w:p>
      <w:pPr>
        <w:pStyle w:val="BookText"/>
      </w:pPr>
      <w:r>
        <w:rPr>
          <w:rFonts w:ascii="IRNazanin" w:hAnsi="IRNazanin" w:eastAsia="IRNazanin" w:cs="IRNazanin"/>
          <w:lang w:bidi="fa-IR"/>
          <w:color w:val="111111"/>
          <w:sz w:val="28"/>
          <w:szCs w:val="28"/>
          <w:rtl/>
        </w:rPr>
        <w:t xml:space="preserve">کان حکاکا أورد شعره فی (روشن- ص 193)</w:t>
      </w:r>
    </w:p>
    <w:p>
      <w:pPr>
        <w:pStyle w:val="Heading3"/>
      </w:pPr>
      <w:bookmarkStart w:id="3441" w:name="_Toc2137"/>
      <w:r>
        <w:t>1665- دیوان خاتمی هروی أو شعره‏</w:t>
      </w:r>
      <w:bookmarkEnd w:id="3441"/>
    </w:p>
    <w:p>
      <w:pPr>
        <w:pStyle w:val="BookText"/>
      </w:pPr>
      <w:r>
        <w:rPr>
          <w:rFonts w:ascii="IRNazanin" w:hAnsi="IRNazanin" w:eastAsia="IRNazanin" w:cs="IRNazanin"/>
          <w:lang w:bidi="fa-IR"/>
          <w:color w:val="111111"/>
          <w:sz w:val="28"/>
          <w:szCs w:val="28"/>
          <w:rtl/>
        </w:rPr>
        <w:t xml:space="preserve">سافر إلی الهند و منها إلی الحجاز و بها مات. أورد شعره فی (روشن- ص 193).</w:t>
      </w:r>
    </w:p>
    <w:p>
      <w:pPr>
        <w:pStyle w:val="Heading3"/>
      </w:pPr>
      <w:bookmarkStart w:id="3442" w:name="_Toc2138"/>
      <w:r>
        <w:t>دیوان خاتونی‏</w:t>
      </w:r>
      <w:bookmarkEnd w:id="3442"/>
    </w:p>
    <w:p>
      <w:pPr>
        <w:pStyle w:val="BookText"/>
      </w:pPr>
      <w:r>
        <w:rPr>
          <w:rFonts w:ascii="IRNazanin" w:hAnsi="IRNazanin" w:eastAsia="IRNazanin" w:cs="IRNazanin"/>
          <w:lang w:bidi="fa-IR"/>
          <w:color w:val="111111"/>
          <w:sz w:val="28"/>
          <w:szCs w:val="28"/>
          <w:rtl/>
        </w:rPr>
        <w:t xml:space="preserve">و هو أبو طاهر الخاتونی المذکور فی آثار البلاد لزکریا بن محمد القزوینی طبعه وستنفلد ص 259.</w:t>
      </w:r>
    </w:p>
    <w:p>
      <w:pPr>
        <w:pStyle w:val="Heading3"/>
      </w:pPr>
      <w:bookmarkStart w:id="3443" w:name="_Toc2139"/>
      <w:r>
        <w:t>دیوان خواجه‏</w:t>
      </w:r>
      <w:bookmarkEnd w:id="3443"/>
    </w:p>
    <w:p>
      <w:pPr>
        <w:pStyle w:val="BookText"/>
      </w:pPr>
      <w:r>
        <w:rPr>
          <w:rFonts w:ascii="IRNazanin" w:hAnsi="IRNazanin" w:eastAsia="IRNazanin" w:cs="IRNazanin"/>
          <w:lang w:bidi="fa-IR"/>
          <w:color w:val="111111"/>
          <w:sz w:val="28"/>
          <w:szCs w:val="28"/>
          <w:rtl/>
        </w:rPr>
        <w:t xml:space="preserve">یأتی بعنوان خواجه لأنه یکتب بالواو و إن قرأ بالألف.</w:t>
      </w:r>
    </w:p>
    <w:p>
      <w:pPr>
        <w:pStyle w:val="Heading3"/>
      </w:pPr>
      <w:bookmarkStart w:id="3444" w:name="_Toc2140"/>
      <w:r>
        <w:t>1666- دیوان خادم أصفهانی‏</w:t>
      </w:r>
      <w:bookmarkEnd w:id="3444"/>
    </w:p>
    <w:p>
      <w:pPr>
        <w:pStyle w:val="BookText"/>
      </w:pPr>
      <w:r>
        <w:rPr>
          <w:rFonts w:ascii="IRNazanin" w:hAnsi="IRNazanin" w:eastAsia="IRNazanin" w:cs="IRNazanin"/>
          <w:lang w:bidi="fa-IR"/>
          <w:color w:val="111111"/>
          <w:sz w:val="28"/>
          <w:szCs w:val="28"/>
          <w:rtl/>
        </w:rPr>
        <w:t xml:space="preserve">اسمه بابا قاسم ابن أخت المیر نجاتی و رئیس خدمة الجامع العباسی بأصفهان. مات بأصفهان فی (1156) خادم به جنت آمد باز) ذکر ذلک فی (تش- ص 372) ثم قال: له دیوان و إن لم یکن حسن الشعر الا أنه ماهر فی نظم التواریخ.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74" w:name="pg11704_121754"/>
    <w:bookmarkEnd w:id="274"/>
    <w:p>
      <w:pPr>
        <w:pStyle w:val="BookText"/>
      </w:pPr>
      <w:r>
        <w:rPr>
          <w:rFonts w:ascii="IRNazanin" w:hAnsi="IRNazanin" w:eastAsia="IRNazanin" w:cs="IRNazanin"/>
          <w:lang w:bidi="fa-IR"/>
          <w:color w:val="111111"/>
          <w:sz w:val="28"/>
          <w:szCs w:val="28"/>
          <w:rtl/>
        </w:rPr>
        <w:t xml:space="preserve">و أورد شعره أیضا فی (مع- ج 2 ص 111) و فی (روشن- ص 193) سماه بابا علی قاسم و قال سافر إلی الهند و مکث هناک مدة و رجع فی أواخر عهد نادر شاه و کذا فی ذیل کشف الظنون.</w:t>
      </w:r>
    </w:p>
    <w:p>
      <w:pPr>
        <w:pStyle w:val="Heading3"/>
      </w:pPr>
      <w:bookmarkStart w:id="3445" w:name="_Toc2141"/>
      <w:r>
        <w:t>1667- دیوان خادم أصفهانی أو شعره‏</w:t>
      </w:r>
      <w:bookmarkEnd w:id="3445"/>
    </w:p>
    <w:p>
      <w:pPr>
        <w:pStyle w:val="BookText"/>
      </w:pPr>
      <w:r>
        <w:rPr>
          <w:rFonts w:ascii="IRNazanin" w:hAnsi="IRNazanin" w:eastAsia="IRNazanin" w:cs="IRNazanin"/>
          <w:lang w:bidi="fa-IR"/>
          <w:color w:val="111111"/>
          <w:sz w:val="28"/>
          <w:szCs w:val="28"/>
          <w:rtl/>
        </w:rPr>
        <w:t xml:space="preserve">و اسمه المیر أبو تراب. أورد شعره فی (روشن- ص 193).</w:t>
      </w:r>
    </w:p>
    <w:p>
      <w:pPr>
        <w:pStyle w:val="Heading3"/>
      </w:pPr>
      <w:bookmarkStart w:id="3446" w:name="_Toc2142"/>
      <w:r>
        <w:t>دیوان خادم تبریزی‏</w:t>
      </w:r>
      <w:bookmarkEnd w:id="3446"/>
    </w:p>
    <w:p>
      <w:pPr>
        <w:pStyle w:val="BookText"/>
      </w:pPr>
      <w:r>
        <w:rPr>
          <w:rFonts w:ascii="IRNazanin" w:hAnsi="IRNazanin" w:eastAsia="IRNazanin" w:cs="IRNazanin"/>
          <w:lang w:bidi="fa-IR"/>
          <w:color w:val="111111"/>
          <w:sz w:val="28"/>
          <w:szCs w:val="28"/>
          <w:rtl/>
        </w:rPr>
        <w:t xml:space="preserve">راجع خادم عطار.</w:t>
      </w:r>
    </w:p>
    <w:p>
      <w:pPr>
        <w:pStyle w:val="Heading3"/>
      </w:pPr>
      <w:bookmarkStart w:id="3447" w:name="_Toc2143"/>
      <w:r>
        <w:t>1668- دیوان خادم دهلوی أو شعره‏</w:t>
      </w:r>
      <w:bookmarkEnd w:id="3447"/>
    </w:p>
    <w:p>
      <w:pPr>
        <w:pStyle w:val="BookText"/>
      </w:pPr>
      <w:r>
        <w:rPr>
          <w:rFonts w:ascii="IRNazanin" w:hAnsi="IRNazanin" w:eastAsia="IRNazanin" w:cs="IRNazanin"/>
          <w:lang w:bidi="fa-IR"/>
          <w:color w:val="111111"/>
          <w:sz w:val="28"/>
          <w:szCs w:val="28"/>
          <w:rtl/>
        </w:rPr>
        <w:t xml:space="preserve">و اسمه میرزا نظر بیگ. تلمذ علی المیر محمد أفضل ثابت الله‏آبادی. و کان یتخلص أولا سبقت فبدله بخادم و توفی (1160) فی عصر محمد پادشاه کذا فی (گلشن- ص 148) و (روشن- ص 193).</w:t>
      </w:r>
    </w:p>
    <w:p>
      <w:pPr>
        <w:pStyle w:val="Heading3"/>
      </w:pPr>
      <w:bookmarkStart w:id="3448" w:name="_Toc2144"/>
      <w:r>
        <w:t>دیوان خادم شیرازی‏</w:t>
      </w:r>
      <w:bookmarkEnd w:id="3448"/>
    </w:p>
    <w:p>
      <w:pPr>
        <w:pStyle w:val="BookText"/>
      </w:pPr>
      <w:r>
        <w:rPr>
          <w:rFonts w:ascii="IRNazanin" w:hAnsi="IRNazanin" w:eastAsia="IRNazanin" w:cs="IRNazanin"/>
          <w:lang w:bidi="fa-IR"/>
          <w:color w:val="111111"/>
          <w:sz w:val="28"/>
          <w:szCs w:val="28"/>
          <w:rtl/>
        </w:rPr>
        <w:t xml:space="preserve">راجع دیوان خادم قیری.</w:t>
      </w:r>
    </w:p>
    <w:p>
      <w:pPr>
        <w:pStyle w:val="Heading3"/>
      </w:pPr>
      <w:bookmarkStart w:id="3449" w:name="_Toc2145"/>
      <w:r>
        <w:t>1669- دیوان خادم عطار</w:t>
      </w:r>
      <w:bookmarkEnd w:id="3449"/>
    </w:p>
    <w:p>
      <w:pPr>
        <w:pStyle w:val="BookText"/>
      </w:pPr>
      <w:r>
        <w:rPr>
          <w:rFonts w:ascii="IRNazanin" w:hAnsi="IRNazanin" w:eastAsia="IRNazanin" w:cs="IRNazanin"/>
          <w:lang w:bidi="fa-IR"/>
          <w:color w:val="111111"/>
          <w:sz w:val="28"/>
          <w:szCs w:val="28"/>
          <w:rtl/>
        </w:rPr>
        <w:t xml:space="preserve">و هو من شعراء تبریز و یعرف بنوحه‏خوان و توفی (1290) ذکره فی (دجا- ص 128) نقلا عن حدیقة الشعراء. و دیوانه مطبوع.</w:t>
      </w:r>
    </w:p>
    <w:p>
      <w:pPr>
        <w:pStyle w:val="Heading3"/>
      </w:pPr>
      <w:bookmarkStart w:id="3450" w:name="_Toc2146"/>
      <w:r>
        <w:t>1670- دیوان خادم قمی أو شعره‏</w:t>
      </w:r>
      <w:bookmarkEnd w:id="3450"/>
    </w:p>
    <w:p>
      <w:pPr>
        <w:pStyle w:val="BookText"/>
      </w:pPr>
      <w:r>
        <w:rPr>
          <w:rFonts w:ascii="IRNazanin" w:hAnsi="IRNazanin" w:eastAsia="IRNazanin" w:cs="IRNazanin"/>
          <w:lang w:bidi="fa-IR"/>
          <w:color w:val="111111"/>
          <w:sz w:val="28"/>
          <w:szCs w:val="28"/>
          <w:rtl/>
        </w:rPr>
        <w:t xml:space="preserve">ترجمه فی المدائح المعتمدیة و أورد شعره فی مدیح منوچهر خان معتمد الدولة. قال و کان سر کشیک حرم المعصومة علیه السلام  بقم.</w:t>
      </w:r>
    </w:p>
    <w:p>
      <w:pPr>
        <w:pStyle w:val="Heading3"/>
      </w:pPr>
      <w:bookmarkStart w:id="3451" w:name="_Toc2147"/>
      <w:r>
        <w:t>1671- دیوان خادم قیری‏</w:t>
      </w:r>
      <w:bookmarkEnd w:id="3451"/>
    </w:p>
    <w:p>
      <w:pPr>
        <w:pStyle w:val="BookText"/>
      </w:pPr>
      <w:r>
        <w:rPr>
          <w:rFonts w:ascii="IRNazanin" w:hAnsi="IRNazanin" w:eastAsia="IRNazanin" w:cs="IRNazanin"/>
          <w:lang w:bidi="fa-IR"/>
          <w:color w:val="111111"/>
          <w:sz w:val="28"/>
          <w:szCs w:val="28"/>
          <w:rtl/>
        </w:rPr>
        <w:t xml:space="preserve">و قیر قریة من قشلاق فارس. قال فی (مع- ج 2- ص 110) إنه لازم آقا محمد سعید الشاعر المعروف بآقا جان و المتخلص سائل و ابتلی بغرام شاب قصاب (جزاز) فشاع خبره حتی أحضره الشاه فتح علی القاجار فسأله عن مولده فأجاب مرتجلا:</w:t>
      </w:r>
    </w:p>
    <w:p>
      <w:pPr>
        <w:pStyle w:val="BookText"/>
      </w:pPr>
      <w:r>
        <w:rPr>
          <w:rFonts w:ascii="IRNazanin" w:hAnsi="IRNazanin" w:eastAsia="IRNazanin" w:cs="IRNazanin"/>
          <w:lang w:bidi="fa-IR"/>
          <w:color w:val="111111"/>
          <w:sz w:val="28"/>
          <w:szCs w:val="28"/>
          <w:rtl/>
        </w:rPr>
        <w:t xml:space="preserve">شاها ز سیاه بختی من‏</w:t>
      </w:r>
    </w:p>
    <w:p>
      <w:pPr>
        <w:pStyle w:val="BookText"/>
      </w:pPr>
      <w:r>
        <w:rPr>
          <w:rFonts w:ascii="IRNazanin" w:hAnsi="IRNazanin" w:eastAsia="IRNazanin" w:cs="IRNazanin"/>
          <w:lang w:bidi="fa-IR"/>
          <w:color w:val="111111"/>
          <w:sz w:val="28"/>
          <w:szCs w:val="28"/>
          <w:rtl/>
        </w:rPr>
        <w:t xml:space="preserve">پیدا است که از دیار قیرم‏</w:t>
      </w:r>
    </w:p>
    <w:p>
      <w:pPr>
        <w:pStyle w:val="BookText"/>
      </w:pPr>
      <w:r>
        <w:rPr>
          <w:rFonts w:ascii="IRNazanin" w:hAnsi="IRNazanin" w:eastAsia="IRNazanin" w:cs="IRNazanin"/>
          <w:lang w:bidi="fa-IR"/>
          <w:color w:val="111111"/>
          <w:sz w:val="28"/>
          <w:szCs w:val="28"/>
          <w:rtl/>
        </w:rPr>
        <w:t xml:space="preserve">و سیأتی فی دیوان سائل ذکر انتحال خادم لدیوانه.</w:t>
      </w:r>
    </w:p>
    <w:p>
      <w:pPr>
        <w:pStyle w:val="Heading3"/>
      </w:pPr>
      <w:bookmarkStart w:id="3452" w:name="_Toc2148"/>
      <w:r>
        <w:t>1672- دیوان خادم کیتهلی أو شعره‏</w:t>
      </w:r>
      <w:bookmarkEnd w:id="3452"/>
    </w:p>
    <w:p>
      <w:pPr>
        <w:pStyle w:val="BookText"/>
      </w:pPr>
      <w:r>
        <w:rPr>
          <w:rFonts w:ascii="IRNazanin" w:hAnsi="IRNazanin" w:eastAsia="IRNazanin" w:cs="IRNazanin"/>
          <w:lang w:bidi="fa-IR"/>
          <w:color w:val="111111"/>
          <w:sz w:val="28"/>
          <w:szCs w:val="28"/>
          <w:rtl/>
        </w:rPr>
        <w:t xml:space="preserve">و اسمه الحافظ خادم علی و هو صهر قادر علی خان. کان خطاطا بالنسخ و التعلیق و شفیعا و الشکستة. کذا ذکره و أورد شعره فی (گلشن- 147).</w:t>
      </w:r>
    </w:p>
    <w:p>
      <w:pPr>
        <w:pStyle w:val="Heading3"/>
      </w:pPr>
      <w:bookmarkStart w:id="3453" w:name="_Toc2149"/>
      <w:r>
        <w:t>1673- دیوان خادم لکهنوی أو شعره‏</w:t>
      </w:r>
      <w:bookmarkEnd w:id="3453"/>
    </w:p>
    <w:p>
      <w:pPr>
        <w:pStyle w:val="BookText"/>
      </w:pPr>
      <w:r>
        <w:rPr>
          <w:rFonts w:ascii="IRNazanin" w:hAnsi="IRNazanin" w:eastAsia="IRNazanin" w:cs="IRNazanin"/>
          <w:lang w:bidi="fa-IR"/>
          <w:color w:val="111111"/>
          <w:sz w:val="28"/>
          <w:szCs w:val="28"/>
          <w:rtl/>
        </w:rPr>
        <w:t xml:space="preserve">هو خادم حسین خان صدر الصدور بکانپور ابن المولوی عبد القادر خان الجائسی من أعمال لکهنو، و أمه بنت السید دلدار علی النقوی‏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75" w:name="pg11704_121755"/>
    <w:bookmarkEnd w:id="275"/>
    <w:p>
      <w:pPr>
        <w:pStyle w:val="BookText"/>
      </w:pPr>
      <w:r>
        <w:rPr>
          <w:rFonts w:ascii="IRNazanin" w:hAnsi="IRNazanin" w:eastAsia="IRNazanin" w:cs="IRNazanin"/>
          <w:lang w:bidi="fa-IR"/>
          <w:color w:val="111111"/>
          <w:sz w:val="28"/>
          <w:szCs w:val="28"/>
          <w:rtl/>
        </w:rPr>
        <w:t xml:space="preserve">مات بجونپور فی (1275) أورد شعره فی (گلشن- ص 147)</w:t>
      </w:r>
    </w:p>
    <w:p>
      <w:pPr>
        <w:pStyle w:val="Heading3"/>
      </w:pPr>
      <w:bookmarkStart w:id="3454" w:name="_Toc2150"/>
      <w:r>
        <w:t>1674- دیوان خادمی بغدادی أو شعره‏</w:t>
      </w:r>
      <w:bookmarkEnd w:id="3454"/>
    </w:p>
    <w:p>
      <w:pPr>
        <w:pStyle w:val="BookText"/>
      </w:pPr>
      <w:r>
        <w:rPr>
          <w:rFonts w:ascii="IRNazanin" w:hAnsi="IRNazanin" w:eastAsia="IRNazanin" w:cs="IRNazanin"/>
          <w:lang w:bidi="fa-IR"/>
          <w:color w:val="111111"/>
          <w:sz w:val="28"/>
          <w:szCs w:val="28"/>
          <w:rtl/>
        </w:rPr>
        <w:t xml:space="preserve">و هو شاعر صوفی من محلة قنبر علی ببغداد، و من شعراء القرن العاشر بها ترجمه معاصره عهدی بغدادی المتوفی (1002) فی تذکرته گلشن شعراء و نقل عنه فی العراق بین الاحتلالین ج 4 ص 136</w:t>
      </w:r>
    </w:p>
    <w:p>
      <w:pPr>
        <w:pStyle w:val="Heading3"/>
      </w:pPr>
      <w:bookmarkStart w:id="3455" w:name="_Toc2151"/>
      <w:r>
        <w:t>1675- دیوان خادمی خراسان أو شعره‏</w:t>
      </w:r>
      <w:bookmarkEnd w:id="3455"/>
    </w:p>
    <w:p>
      <w:pPr>
        <w:pStyle w:val="BookText"/>
      </w:pPr>
      <w:r>
        <w:rPr>
          <w:rFonts w:ascii="IRNazanin" w:hAnsi="IRNazanin" w:eastAsia="IRNazanin" w:cs="IRNazanin"/>
          <w:lang w:bidi="fa-IR"/>
          <w:color w:val="111111"/>
          <w:sz w:val="28"/>
          <w:szCs w:val="28"/>
          <w:rtl/>
        </w:rPr>
        <w:t xml:space="preserve">أورد شعره فی (روشن- 193) و قال قتله شاه بیگ خان حاکم قندهار</w:t>
      </w:r>
    </w:p>
    <w:p>
      <w:pPr>
        <w:pStyle w:val="Heading3"/>
      </w:pPr>
      <w:bookmarkStart w:id="3456" w:name="_Toc2152"/>
      <w:r>
        <w:t>1676- دیوان خادمی قزوینی السلمانی‏</w:t>
      </w:r>
      <w:bookmarkEnd w:id="3456"/>
    </w:p>
    <w:p>
      <w:pPr>
        <w:pStyle w:val="BookText"/>
      </w:pPr>
      <w:r>
        <w:rPr>
          <w:rFonts w:ascii="IRNazanin" w:hAnsi="IRNazanin" w:eastAsia="IRNazanin" w:cs="IRNazanin"/>
          <w:lang w:bidi="fa-IR"/>
          <w:color w:val="111111"/>
          <w:sz w:val="28"/>
          <w:szCs w:val="28"/>
          <w:rtl/>
        </w:rPr>
        <w:t xml:space="preserve">ترجمه معاصره کتاب دار فی (خص 8- ص 266) و أورد شعره‏</w:t>
      </w:r>
    </w:p>
    <w:p>
      <w:pPr>
        <w:pStyle w:val="Heading3"/>
      </w:pPr>
      <w:bookmarkStart w:id="3457" w:name="_Toc2153"/>
      <w:r>
        <w:t>دیوان خاری‏</w:t>
      </w:r>
      <w:bookmarkEnd w:id="3457"/>
    </w:p>
    <w:p>
      <w:pPr>
        <w:pStyle w:val="BookText"/>
      </w:pPr>
      <w:r>
        <w:rPr>
          <w:rFonts w:ascii="IRNazanin" w:hAnsi="IRNazanin" w:eastAsia="IRNazanin" w:cs="IRNazanin"/>
          <w:lang w:bidi="fa-IR"/>
          <w:color w:val="111111"/>
          <w:sz w:val="28"/>
          <w:szCs w:val="28"/>
          <w:rtl/>
        </w:rPr>
        <w:t xml:space="preserve">یأتی بعنوان دیوان خواری‏</w:t>
      </w:r>
    </w:p>
    <w:p>
      <w:pPr>
        <w:pStyle w:val="Heading3"/>
      </w:pPr>
      <w:bookmarkStart w:id="3458" w:name="_Toc2154"/>
      <w:r>
        <w:t>1677- دیوان خاری أصفهانی أو شعره‏</w:t>
      </w:r>
      <w:bookmarkEnd w:id="3458"/>
    </w:p>
    <w:p>
      <w:pPr>
        <w:pStyle w:val="BookText"/>
      </w:pPr>
      <w:r>
        <w:rPr>
          <w:rFonts w:ascii="IRNazanin" w:hAnsi="IRNazanin" w:eastAsia="IRNazanin" w:cs="IRNazanin"/>
          <w:lang w:bidi="fa-IR"/>
          <w:color w:val="111111"/>
          <w:sz w:val="28"/>
          <w:szCs w:val="28"/>
          <w:rtl/>
        </w:rPr>
        <w:t xml:space="preserve">و یعرف بقلندر أصله من أصفهان و سکن سمنان أورد شعره فی (گلشن- ص 148)</w:t>
      </w:r>
    </w:p>
    <w:p>
      <w:pPr>
        <w:pStyle w:val="Heading3"/>
      </w:pPr>
      <w:bookmarkStart w:id="3459" w:name="_Toc2155"/>
      <w:r>
        <w:t>1678- دیوان خازن تبریزی أو شعره‏</w:t>
      </w:r>
      <w:bookmarkEnd w:id="3459"/>
    </w:p>
    <w:p>
      <w:pPr>
        <w:pStyle w:val="BookText"/>
      </w:pPr>
      <w:r>
        <w:rPr>
          <w:rFonts w:ascii="IRNazanin" w:hAnsi="IRNazanin" w:eastAsia="IRNazanin" w:cs="IRNazanin"/>
          <w:lang w:bidi="fa-IR"/>
          <w:color w:val="111111"/>
          <w:sz w:val="28"/>
          <w:szCs w:val="28"/>
          <w:rtl/>
        </w:rPr>
        <w:t xml:space="preserve">و اسمه المیرزا شریف بن نوری بیگ من تبارزه عباس‏آباد بأصفهان کانوا خمسة إخوة و هذا أفضلهم کان مستوفیا لأوقاف مسجد الجامع العباسی و الآن هو وزیر لیوسف خان حاکم بختیاری و یتخلص خازن ترجمه کذلک و أورد شعره فی (نر 4- ص 92) و عنه فی (دجا- ص 129) و (تغ- ص 48) و (روشن- ص 193)</w:t>
      </w:r>
    </w:p>
    <w:p>
      <w:pPr>
        <w:pStyle w:val="Heading3"/>
      </w:pPr>
      <w:bookmarkStart w:id="3460" w:name="_Toc2156"/>
      <w:r>
        <w:t>1679- دیوان خازن تبریزی أو شعره‏</w:t>
      </w:r>
      <w:bookmarkEnd w:id="3460"/>
    </w:p>
    <w:p>
      <w:pPr>
        <w:pStyle w:val="BookText"/>
      </w:pPr>
      <w:r>
        <w:rPr>
          <w:rFonts w:ascii="IRNazanin" w:hAnsi="IRNazanin" w:eastAsia="IRNazanin" w:cs="IRNazanin"/>
          <w:lang w:bidi="fa-IR"/>
          <w:color w:val="111111"/>
          <w:sz w:val="28"/>
          <w:szCs w:val="28"/>
          <w:rtl/>
        </w:rPr>
        <w:t xml:space="preserve">و اسمه محمد أمین الملقب بآقاسی ابن ضیاء الدین أیضا من تبارزه عباس‏آباد أصفهان سافر إلی شیراز و سکن بها و قتله هناک عیسی خان قورچی‏باشی للغرام و کان خازن یحذو حذو والده فی أعماله کذا فی (دجا ص 9) نقلا عن تذکره النصرآبادی و لکن النصرآبادی فی النسخة المطبوعة (نر 6- ص 206) قال: و قتل والده بید علی خان قورچی‏باشی و قرچقای خان معروف، و کان الولد کأبیه و لکنه سیئ الخلق و سافر هذا إلی شیراز و بها مات فلیراجع النسخ الصحیحة</w:t>
      </w:r>
    </w:p>
    <w:p>
      <w:pPr>
        <w:pStyle w:val="Heading3"/>
      </w:pPr>
      <w:bookmarkStart w:id="3461" w:name="_Toc2157"/>
      <w:r>
        <w:t>دیوان خازن هندی‏</w:t>
      </w:r>
      <w:bookmarkEnd w:id="3461"/>
    </w:p>
    <w:p>
      <w:pPr>
        <w:pStyle w:val="BookText"/>
      </w:pPr>
      <w:r>
        <w:rPr>
          <w:rFonts w:ascii="IRNazanin" w:hAnsi="IRNazanin" w:eastAsia="IRNazanin" w:cs="IRNazanin"/>
          <w:lang w:bidi="fa-IR"/>
          <w:color w:val="111111"/>
          <w:sz w:val="28"/>
          <w:szCs w:val="28"/>
          <w:rtl/>
        </w:rPr>
        <w:t xml:space="preserve">راجع قاسم خازن‏</w:t>
      </w:r>
    </w:p>
    <w:p>
      <w:pPr>
        <w:pStyle w:val="Heading3"/>
      </w:pPr>
      <w:bookmarkStart w:id="3462" w:name="_Toc2158"/>
      <w:r>
        <w:t>1680- دیوان خاشع‏</w:t>
      </w:r>
      <w:bookmarkEnd w:id="3462"/>
    </w:p>
    <w:p>
      <w:pPr>
        <w:pStyle w:val="BookText"/>
      </w:pPr>
      <w:r>
        <w:rPr>
          <w:rFonts w:ascii="IRNazanin" w:hAnsi="IRNazanin" w:eastAsia="IRNazanin" w:cs="IRNazanin"/>
          <w:lang w:bidi="fa-IR"/>
          <w:color w:val="111111"/>
          <w:sz w:val="28"/>
          <w:szCs w:val="28"/>
          <w:rtl/>
        </w:rPr>
        <w:t xml:space="preserve">للمولی علی نقی المتخلص خاشع رأیت منه القصیدة الغراء فی مدیح الأمیر علیه السلام  ضمن مجموعة کتابتها (1130) و لعله خاشع کشمیری الإیرانی‏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76" w:name="pg11704_121756"/>
    <w:bookmarkEnd w:id="276"/>
    <w:p>
      <w:pPr>
        <w:pStyle w:val="BookText"/>
      </w:pPr>
      <w:r>
        <w:rPr>
          <w:rFonts w:ascii="IRNazanin" w:hAnsi="IRNazanin" w:eastAsia="IRNazanin" w:cs="IRNazanin"/>
          <w:lang w:bidi="fa-IR"/>
          <w:color w:val="111111"/>
          <w:sz w:val="28"/>
          <w:szCs w:val="28"/>
          <w:rtl/>
        </w:rPr>
        <w:t xml:space="preserve">الأصل الذی أورد شعره فی (گلشن- ص 148) و قال فی (روشن- ص 194) إنه جرفادقانی‏</w:t>
      </w:r>
    </w:p>
    <w:p>
      <w:pPr>
        <w:pStyle w:val="Heading3"/>
      </w:pPr>
      <w:bookmarkStart w:id="3463" w:name="_Toc2159"/>
      <w:r>
        <w:t>1681- دیوان خاصی أو شعره‏</w:t>
      </w:r>
      <w:bookmarkEnd w:id="3463"/>
    </w:p>
    <w:p>
      <w:pPr>
        <w:pStyle w:val="BookText"/>
      </w:pPr>
      <w:r>
        <w:rPr>
          <w:rFonts w:ascii="IRNazanin" w:hAnsi="IRNazanin" w:eastAsia="IRNazanin" w:cs="IRNazanin"/>
          <w:lang w:bidi="fa-IR"/>
          <w:color w:val="111111"/>
          <w:sz w:val="28"/>
          <w:szCs w:val="28"/>
          <w:rtl/>
        </w:rPr>
        <w:t xml:space="preserve">وصفه معاصره فی (مجتس 6- ص 165) بالبلاهة و شعره لطیف‏</w:t>
      </w:r>
    </w:p>
    <w:p>
      <w:pPr>
        <w:pStyle w:val="Heading3"/>
      </w:pPr>
      <w:bookmarkStart w:id="3464" w:name="_Toc2160"/>
      <w:r>
        <w:t>1682- دیوان خاطر أشرفی أو شعره‏</w:t>
      </w:r>
      <w:bookmarkEnd w:id="3464"/>
    </w:p>
    <w:p>
      <w:pPr>
        <w:pStyle w:val="BookText"/>
      </w:pPr>
      <w:r>
        <w:rPr>
          <w:rFonts w:ascii="IRNazanin" w:hAnsi="IRNazanin" w:eastAsia="IRNazanin" w:cs="IRNazanin"/>
          <w:lang w:bidi="fa-IR"/>
          <w:color w:val="111111"/>
          <w:sz w:val="28"/>
          <w:szCs w:val="28"/>
          <w:rtl/>
        </w:rPr>
        <w:t xml:space="preserve">و اسمه المیر محمد حسین المازندرانی الأشرفی، و هو والد المیر أسد الله و السید شکر الله ترجمه فی (تش- ص 372) و فی (مع- ج 1252) و عنهما فی (روشن- ص 194)</w:t>
      </w:r>
    </w:p>
    <w:p>
      <w:pPr>
        <w:pStyle w:val="Heading3"/>
      </w:pPr>
      <w:bookmarkStart w:id="3465" w:name="_Toc2161"/>
      <w:r>
        <w:t>1683- دیوان خاقان‏</w:t>
      </w:r>
      <w:bookmarkEnd w:id="3465"/>
    </w:p>
    <w:p>
      <w:pPr>
        <w:pStyle w:val="BookText"/>
      </w:pPr>
      <w:r>
        <w:rPr>
          <w:rFonts w:ascii="IRNazanin" w:hAnsi="IRNazanin" w:eastAsia="IRNazanin" w:cs="IRNazanin"/>
          <w:lang w:bidi="fa-IR"/>
          <w:color w:val="111111"/>
          <w:sz w:val="28"/>
          <w:szCs w:val="28"/>
          <w:rtl/>
        </w:rPr>
        <w:t xml:space="preserve">و هو السلطان فتح علی شاه بن جان سوز شاه القاجار الذی استقل بالملک (1212) و توفی بأصفهان فی (1250) عن سبع و ستین من العمر و حمل نعشه إلی جوار السیدة فاطمة بقم و خلف بعده من نسله تسعة و خمسین ذکرا و ست و أربعین أنثی و قدم من الأولاد فی حیاته مائة و خمسین و قد کتبت فی تواریخه و تواریخ شعراء عصره عدة تصانیف مستقلة سوی ما أدرجت فیه ترجمته مثل (مع- ج 1 ص 23) و أورد مطالع کثیر من غزلیاته و غیرها و قد دون مستقلا و طبع فی طهران (1275) و فی بمبئی (1304) و قال فی (روشن- ص 194) إن خاقان تخلص فتح علی خان صبا الذی کان أستاذ فتح علی شاه و هو اشتباه‏</w:t>
      </w:r>
    </w:p>
    <w:p>
      <w:pPr>
        <w:pStyle w:val="Heading3"/>
      </w:pPr>
      <w:bookmarkStart w:id="3466" w:name="_Toc2162"/>
      <w:r>
        <w:t>دیوان خاقانی الخلخالی‏</w:t>
      </w:r>
      <w:bookmarkEnd w:id="3466"/>
    </w:p>
    <w:p>
      <w:pPr>
        <w:pStyle w:val="BookText"/>
      </w:pPr>
      <w:r>
        <w:rPr>
          <w:rFonts w:ascii="IRNazanin" w:hAnsi="IRNazanin" w:eastAsia="IRNazanin" w:cs="IRNazanin"/>
          <w:lang w:bidi="fa-IR"/>
          <w:color w:val="111111"/>
          <w:sz w:val="28"/>
          <w:szCs w:val="28"/>
          <w:rtl/>
        </w:rPr>
        <w:t xml:space="preserve">من شعراء القرن الثالث عشر ترجمه فی (دجا- ص 139) عن کتاب أوصاف الأمین لپروین قاجار المؤلف (1305)</w:t>
      </w:r>
    </w:p>
    <w:p>
      <w:pPr>
        <w:pStyle w:val="Heading3"/>
      </w:pPr>
      <w:bookmarkStart w:id="3467" w:name="_Toc2163"/>
      <w:r>
        <w:t>1684- دیوان خاقانی شیروانی‏</w:t>
      </w:r>
      <w:bookmarkEnd w:id="3467"/>
    </w:p>
    <w:p>
      <w:pPr>
        <w:pStyle w:val="BookText"/>
      </w:pPr>
      <w:r>
        <w:rPr>
          <w:rFonts w:ascii="IRNazanin" w:hAnsi="IRNazanin" w:eastAsia="IRNazanin" w:cs="IRNazanin"/>
          <w:lang w:bidi="fa-IR"/>
          <w:color w:val="111111"/>
          <w:sz w:val="28"/>
          <w:szCs w:val="28"/>
          <w:rtl/>
        </w:rPr>
        <w:t xml:space="preserve">و هو الحکیم أبو بدیل أفضل الدین إبراهیم أو عثمان ابن علی النجار المعروف بحسان العجم و المتوفی (582) کما فی شاهد صادق أو (590) و ناظم تحفه العراقین المذکور فی (ج 3 ص 353) و انما تخلص به نسبه إلی الخاقان الکبیر منوچهر شروان شاه الذی کان یصله بکل قصیدة یمدحه فیها بألف دینار کما فی (خز- ص 204) و کان تخلصه سابقا حقائقی کما فی تحفه العراقین و فی (مع- ج 1 ص 200) قال إنی شرحت بعض أشعاره مختصرا و سمیته مفتاح الکنوز و قال دولت شاه: و لشیخ آذری شرح لدیوان الخاقانی و فی فهرس کتابخانه دانشگاه تهران ج 2 ص 133 إن لجامی (المتوفی 898) أیضا شرح</w:t>
      </w:r>
    </w:p>
    <w:p>
      <w:pPr>
        <w:pStyle w:val="BookText"/>
      </w:pPr>
      <w:r>
        <w:rPr>
          <w:rFonts w:ascii="IRNazanin" w:hAnsi="IRNazanin" w:eastAsia="IRNazanin" w:cs="IRNazanin"/>
          <w:lang w:bidi="fa-IR"/>
          <w:color w:val="111111"/>
          <w:sz w:val="28"/>
          <w:szCs w:val="28"/>
          <w:rtl/>
        </w:rPr>
        <w:t xml:space="preserve">لهذا الدیوان توجد نسخته فی الآصفیة و شرح آخر لمحمد بن داود الشادی‏آبادی صاحب شرح دیوان أنوری و شرح آخر لعبد الوهاب بن‏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77" w:name="pg11704_121757"/>
    <w:bookmarkEnd w:id="277"/>
    <w:p>
      <w:pPr>
        <w:pStyle w:val="BookText"/>
      </w:pPr>
      <w:r>
        <w:rPr>
          <w:rFonts w:ascii="IRNazanin" w:hAnsi="IRNazanin" w:eastAsia="IRNazanin" w:cs="IRNazanin"/>
          <w:lang w:bidi="fa-IR"/>
          <w:color w:val="111111"/>
          <w:sz w:val="28"/>
          <w:szCs w:val="28"/>
          <w:rtl/>
        </w:rPr>
        <w:t xml:space="preserve">محمد الحسینی المعموری المتخلص غنائی موجد فی مکتبة دانشگاه تهران و هذا الشروح لما فی الدیوان من الإغلاق و ذلک لأن الخاقانی آذربایجانی و لغته الآذریة فی تلک الأعصار و هی تختلف عن الفارسیة الدریة، لغة إیران الیوم، فإنها کانت فی ذلک العصر لغة خراسان فقط، و ترجم الخاقانی فی (بهش 1- ص 331) و مرآة الخیال ص 29 و تاریخ گزیده ص 818 و لباب الألباب ج 2 ص 221 و دولت شاه فی الطبقة الثانیة و نفحات الأنس ص 546 و هفت إقلیم و المجلس الثانی عشر من مجالس المؤمنین و طبع الدیوان علی الحجر بالهند فی 1295 و إیران فی مجلدین ثانیها فی الغزل و طبع بتصحیح و مقدمه لعبد الرسولی بطهران فی 1356 و قیل إن هناک شاعر فارسی آخر یتخلص الخاقانی ورد أشعاره فی دیوان الخاقانی الشیروانی و الظاهر أن هذا غیر الخاقانی الصوفی المتوفی (279) المذکور فی نفحات الأنس ص 113 و غیر موسی بن عبید الله بن یحیی الخاقانی المتوفی (325) صاحب القصیدة الرائیة فی الإنشاء و القصیدة الخاقانیة فی التجوید المذکوران فی کشف الظنون و غیر إیاس پاشازاده الترکی المذکور دیوانه فی کشف الظنون أیضا</w:t>
      </w:r>
    </w:p>
    <w:p>
      <w:pPr>
        <w:pStyle w:val="Heading3"/>
      </w:pPr>
      <w:bookmarkStart w:id="3468" w:name="_Toc2164"/>
      <w:r>
        <w:t>1685- دیوان خاقانی محلاتی‏</w:t>
      </w:r>
      <w:bookmarkEnd w:id="3468"/>
    </w:p>
    <w:p>
      <w:pPr>
        <w:pStyle w:val="BookText"/>
      </w:pPr>
      <w:r>
        <w:rPr>
          <w:rFonts w:ascii="IRNazanin" w:hAnsi="IRNazanin" w:eastAsia="IRNazanin" w:cs="IRNazanin"/>
          <w:lang w:bidi="fa-IR"/>
          <w:color w:val="111111"/>
          <w:sz w:val="28"/>
          <w:szCs w:val="28"/>
          <w:rtl/>
        </w:rPr>
        <w:t xml:space="preserve">اسمه المیرزا حبیب الله و أصله من شیراز نزل مع والده و أخیه الأکبر منه المیرزا فرج الله المتخلص بطرفه إلی محلات قم ثم إلی طهران، و تقرب إلی السلطان ناصر الدین شاه کان تخلصه باسمه فغیره السلطان بخاقانی ترجمه کذلک فی (مع- ج 2 ص 107) و أورد بعض شعره و ترجمه أیضا فی (المآثر- ص 205)</w:t>
      </w:r>
    </w:p>
    <w:p>
      <w:pPr>
        <w:pStyle w:val="Heading3"/>
      </w:pPr>
      <w:bookmarkStart w:id="3469" w:name="_Toc2165"/>
      <w:r>
        <w:t>1686- دیوان خاکی خراسانی‏</w:t>
      </w:r>
      <w:bookmarkEnd w:id="3469"/>
    </w:p>
    <w:p>
      <w:pPr>
        <w:pStyle w:val="BookText"/>
      </w:pPr>
      <w:r>
        <w:rPr>
          <w:rFonts w:ascii="IRNazanin" w:hAnsi="IRNazanin" w:eastAsia="IRNazanin" w:cs="IRNazanin"/>
          <w:lang w:bidi="fa-IR"/>
          <w:color w:val="111111"/>
          <w:sz w:val="28"/>
          <w:szCs w:val="28"/>
          <w:rtl/>
        </w:rPr>
        <w:t xml:space="preserve">و اسمه إمام قلی کان معاصر للشاه عباس الصفوی الأول و الشاه عباس الثانی المتوفی (1077) و الظاهر أنه توفی فی أوائل سلطنة عباس الثانی کان عارفا من أهل قریة دژآباد- بین مشهد خراسان و نیشابور- قلیل العلم وجد دیوانه المشتمل علی 220 غزلا و 35 قصیدة و تسعة ترجیعات و مثنویین، المستشرق الروسی أیوانف المتخصص بأحوال الإسماعیلیة فانتخب منه مائة غزل و صححه و طبعه مع مقدمه فی (20 صفحة) و کلها فی (128 ص) فی بمبئی (1359) و فیها ما نظمه فی سنة (1056) و نسخه الدیوان کانت مکتوبة فی القرن الحادی عشر و له غیر هذا الدیوان مثنوی طلوع الشمس أو طوالع الشمس‏</w:t>
      </w:r>
    </w:p>
    <w:p>
      <w:pPr>
        <w:pStyle w:val="Heading3"/>
      </w:pPr>
      <w:bookmarkStart w:id="3470" w:name="_Toc2166"/>
      <w:r>
        <w:t>1687- دیوان خاکی خراسانی‏</w:t>
      </w:r>
      <w:bookmarkEnd w:id="3470"/>
    </w:p>
    <w:p>
      <w:pPr>
        <w:pStyle w:val="BookText"/>
      </w:pPr>
      <w:r>
        <w:rPr>
          <w:rFonts w:ascii="IRNazanin" w:hAnsi="IRNazanin" w:eastAsia="IRNazanin" w:cs="IRNazanin"/>
          <w:lang w:bidi="fa-IR"/>
          <w:color w:val="111111"/>
          <w:sz w:val="28"/>
          <w:szCs w:val="28"/>
          <w:rtl/>
        </w:rPr>
        <w:t xml:space="preserve">و اسمه لطف علی البروجردی الأصل العارف، ولد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78" w:name="pg11704_121758"/>
    <w:bookmarkEnd w:id="278"/>
    <w:p>
      <w:pPr>
        <w:pStyle w:val="BookText"/>
      </w:pPr>
      <w:r>
        <w:rPr>
          <w:rFonts w:ascii="IRNazanin" w:hAnsi="IRNazanin" w:eastAsia="IRNazanin" w:cs="IRNazanin"/>
          <w:lang w:bidi="fa-IR"/>
          <w:color w:val="111111"/>
          <w:sz w:val="28"/>
          <w:szCs w:val="28"/>
          <w:rtl/>
        </w:rPr>
        <w:t xml:space="preserve">بمشهد خراسان و اشتغل بالعلم حتی برع، و سافر و أدرک المشایخ إلی أن نزل بشیراز و مات هناک (1234) و دفن فی الحافظیة ترجمه فی (مع: 2: 109) و (ض: 445) و قال تشرفت بخدمته کرارا و کان ینظم الشعر الفارسی و منه مثنویة المختصر فی الوصیة إلی ولده المولی محمد هاشم، ثم أورد أبیاتا من مثنویة</w:t>
      </w:r>
    </w:p>
    <w:p>
      <w:pPr>
        <w:pStyle w:val="Heading3"/>
      </w:pPr>
      <w:bookmarkStart w:id="3471" w:name="_Toc2167"/>
      <w:r>
        <w:t>1688- دیوان خاکی دهلوی أو شعره‏</w:t>
      </w:r>
      <w:bookmarkEnd w:id="3471"/>
    </w:p>
    <w:p>
      <w:pPr>
        <w:pStyle w:val="BookText"/>
      </w:pPr>
      <w:r>
        <w:rPr>
          <w:rFonts w:ascii="IRNazanin" w:hAnsi="IRNazanin" w:eastAsia="IRNazanin" w:cs="IRNazanin"/>
          <w:lang w:bidi="fa-IR"/>
          <w:color w:val="111111"/>
          <w:sz w:val="28"/>
          <w:szCs w:val="28"/>
          <w:rtl/>
        </w:rPr>
        <w:t xml:space="preserve">لمیرزا محمد صالح معاصر محمد پادشاه بدهلی أورد شعره فی (روشن- ص 195).</w:t>
      </w:r>
    </w:p>
    <w:p>
      <w:pPr>
        <w:pStyle w:val="Heading3"/>
      </w:pPr>
      <w:bookmarkStart w:id="3472" w:name="_Toc2168"/>
      <w:r>
        <w:t>1689- دیوان خاکی شیرازی أو شعره‏</w:t>
      </w:r>
      <w:bookmarkEnd w:id="3472"/>
    </w:p>
    <w:p>
      <w:pPr>
        <w:pStyle w:val="BookText"/>
      </w:pPr>
      <w:r>
        <w:rPr>
          <w:rFonts w:ascii="IRNazanin" w:hAnsi="IRNazanin" w:eastAsia="IRNazanin" w:cs="IRNazanin"/>
          <w:lang w:bidi="fa-IR"/>
          <w:color w:val="111111"/>
          <w:sz w:val="28"/>
          <w:szCs w:val="28"/>
          <w:rtl/>
        </w:rPr>
        <w:t xml:space="preserve">من أمراء عهد الشاه طهماسب الصفوی الأول.</w:t>
      </w:r>
    </w:p>
    <w:p>
      <w:pPr>
        <w:pStyle w:val="BookText"/>
      </w:pPr>
      <w:r>
        <w:rPr>
          <w:rFonts w:ascii="IRNazanin" w:hAnsi="IRNazanin" w:eastAsia="IRNazanin" w:cs="IRNazanin"/>
          <w:lang w:bidi="fa-IR"/>
          <w:color w:val="111111"/>
          <w:sz w:val="28"/>
          <w:szCs w:val="28"/>
          <w:rtl/>
        </w:rPr>
        <w:t xml:space="preserve">أورد شعره فی (گلشن- ص 148) و أظنه المذکور فی (تش- ص 13) و سماه فی (تغ- ص 48) بمیرزا جانی.</w:t>
      </w:r>
    </w:p>
    <w:p>
      <w:pPr>
        <w:pStyle w:val="Heading3"/>
      </w:pPr>
      <w:bookmarkStart w:id="3473" w:name="_Toc2169"/>
      <w:r>
        <w:t>1690- دیوان خاکی شیرازی‏</w:t>
      </w:r>
      <w:bookmarkEnd w:id="3473"/>
    </w:p>
    <w:p>
      <w:pPr>
        <w:pStyle w:val="BookText"/>
      </w:pPr>
      <w:r>
        <w:rPr>
          <w:rFonts w:ascii="IRNazanin" w:hAnsi="IRNazanin" w:eastAsia="IRNazanin" w:cs="IRNazanin"/>
          <w:lang w:bidi="fa-IR"/>
          <w:color w:val="111111"/>
          <w:sz w:val="28"/>
          <w:szCs w:val="28"/>
          <w:rtl/>
        </w:rPr>
        <w:t xml:space="preserve">المیرزا محمد أمین. قال فی (مع- ج 2 ص 108) و یقال له خاکی شاه و قد تحمل المشاق و ساح العراقین و اتصل بالعرفاء، و بعد إخراج شیخه محب علی شاه الچشتی عن شیراز، کان یجلس بصومعة خارج البلدة فی تکیة هفت‏تنان، و کنت أستفیض من صحبته کثیرا، و فی الأواخر أتی طهران و بعد مدة توفی بها و دفن بمقبرة الحاج میرزا حسین‏</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میزوه بمقبرة خاصة بعد هذه المقبرة علی یمنی جادة عبد العظیم أیضا. ثم بعد توسیع ناصر الدین شاه البلدة بحفر الخندق الجدید فی (1284) صارت سر قبر آقا أیضا فی داخل دار الخلافة. و أما عرض المقبرة العامة فکان أقل من طولها بقلیل، و کانت تدفن فیها الأموات إلی (1309) فمنعت الحکومة عن الدفن فیها رعایة لحفظ صحة البلدة، حیث ظهرت آثار الوباء فی إیران من المشرق و ناحیة خراسان، فکان الخلق الکثیر المتوفین بالوباء فی (1310) یغتسلون فی مغتسل هذه المقبرة و یحملون إلی مقبرة جدیدة فی خارج الخندق الجدید تسمی بقبرستان چهارده معصوم. و بقیت المقبرة القدیمة متروکة ینتقص من أطرافها ببناء الدور شیئا فشیئا حتی لم یبق منها الا القلیل الذی جعل فی عصر الپهلوی من المتنزهات و سمی بباغ فردوس.</w:t>
      </w:r>
    </w:p>
    <w:p>
      <w:pPr>
        <w:pStyle w:val="BookText"/>
      </w:pPr>
      <w:r>
        <w:rPr>
          <w:rFonts w:ascii="IRNazanin" w:hAnsi="IRNazanin" w:eastAsia="IRNazanin" w:cs="IRNazanin"/>
          <w:lang w:bidi="fa-IR"/>
          <w:color w:val="111111"/>
          <w:sz w:val="28"/>
          <w:szCs w:val="28"/>
          <w:rtl/>
        </w:rPr>
        <w:t xml:space="preserve">و کان لا یدون شعره. أقول توجد له قصیدة خالیة عن النقطة (الا فی لفظة خاکی تخلصه) و هو فی جنگ کتابته 1274 عند السید محمد الجزائری فی النجف.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79" w:name="pg11704_121759"/>
    <w:bookmarkEnd w:id="279"/>
    <w:p>
      <w:pPr>
        <w:pStyle w:val="BookText"/>
      </w:pPr>
      <w:r>
        <w:rPr>
          <w:rFonts w:ascii="IRNazanin" w:hAnsi="IRNazanin" w:eastAsia="IRNazanin" w:cs="IRNazanin"/>
          <w:lang w:bidi="fa-IR"/>
          <w:color w:val="111111"/>
          <w:sz w:val="28"/>
          <w:szCs w:val="28"/>
          <w:rtl/>
        </w:rPr>
        <w:t xml:space="preserve">و له قصیدة أخری فی (35 بیتا) آخره.</w:t>
      </w:r>
    </w:p>
    <w:p>
      <w:pPr>
        <w:pStyle w:val="BookText"/>
      </w:pPr>
      <w:r>
        <w:rPr>
          <w:rFonts w:ascii="IRNazanin" w:hAnsi="IRNazanin" w:eastAsia="IRNazanin" w:cs="IRNazanin"/>
          <w:lang w:bidi="fa-IR"/>
          <w:color w:val="111111"/>
          <w:sz w:val="28"/>
          <w:szCs w:val="28"/>
          <w:rtl/>
        </w:rPr>
        <w:t xml:space="preserve">خاکی درویش گشت از دل و جان در روز و شب‏</w:t>
      </w:r>
    </w:p>
    <w:p>
      <w:pPr>
        <w:pStyle w:val="BookText"/>
      </w:pPr>
      <w:r>
        <w:rPr>
          <w:rFonts w:ascii="IRNazanin" w:hAnsi="IRNazanin" w:eastAsia="IRNazanin" w:cs="IRNazanin"/>
          <w:lang w:bidi="fa-IR"/>
          <w:color w:val="111111"/>
          <w:sz w:val="28"/>
          <w:szCs w:val="28"/>
          <w:rtl/>
        </w:rPr>
        <w:t xml:space="preserve">مادح شیر خدا شاه جهان أبو الحسن‏</w:t>
      </w:r>
    </w:p>
    <w:p>
      <w:pPr>
        <w:pStyle w:val="BookText"/>
      </w:pPr>
      <w:r>
        <w:rPr>
          <w:rFonts w:ascii="IRNazanin" w:hAnsi="IRNazanin" w:eastAsia="IRNazanin" w:cs="IRNazanin"/>
          <w:lang w:bidi="fa-IR"/>
          <w:color w:val="111111"/>
          <w:sz w:val="28"/>
          <w:szCs w:val="28"/>
          <w:rtl/>
        </w:rPr>
        <w:t xml:space="preserve">و قد طبع دیوان خاکی الفارسی فی المراثی بإیران کما فی الفهارس.</w:t>
      </w:r>
    </w:p>
    <w:p>
      <w:pPr>
        <w:pStyle w:val="Heading3"/>
      </w:pPr>
      <w:bookmarkStart w:id="3474" w:name="_Toc2170"/>
      <w:r>
        <w:t>1691- دیوان خاکی کاشغری أو شعره‏</w:t>
      </w:r>
      <w:bookmarkEnd w:id="3474"/>
    </w:p>
    <w:p>
      <w:pPr>
        <w:pStyle w:val="BookText"/>
      </w:pPr>
      <w:r>
        <w:rPr>
          <w:rFonts w:ascii="IRNazanin" w:hAnsi="IRNazanin" w:eastAsia="IRNazanin" w:cs="IRNazanin"/>
          <w:lang w:bidi="fa-IR"/>
          <w:color w:val="111111"/>
          <w:sz w:val="28"/>
          <w:szCs w:val="28"/>
          <w:rtl/>
        </w:rPr>
        <w:t xml:space="preserve">أورد بعض شعره فی (گلشن- ص 149).</w:t>
      </w:r>
    </w:p>
    <w:p>
      <w:pPr>
        <w:pStyle w:val="Heading3"/>
      </w:pPr>
      <w:bookmarkStart w:id="3475" w:name="_Toc2171"/>
      <w:r>
        <w:t>1692- دیوان مولانا خاکی کسوئی‏</w:t>
      </w:r>
      <w:bookmarkEnd w:id="3475"/>
    </w:p>
    <w:p>
      <w:pPr>
        <w:pStyle w:val="BookText"/>
      </w:pPr>
      <w:r>
        <w:rPr>
          <w:rFonts w:ascii="IRNazanin" w:hAnsi="IRNazanin" w:eastAsia="IRNazanin" w:cs="IRNazanin"/>
          <w:lang w:bidi="fa-IR"/>
          <w:color w:val="111111"/>
          <w:sz w:val="28"/>
          <w:szCs w:val="28"/>
          <w:rtl/>
        </w:rPr>
        <w:t xml:space="preserve">من الشعراء المعاصرین للوزیر الأمیر علی شیر ترجمه فی مجالس النفائس الترکی بهذا العنوان و کذا فی ترجمته ص 223 لشاه محمد القزوینی و أما فی ترجمه لطائف‏نامه ذکره بعنوان مولانا خاتمی کما أشرنا إلیه، و فی کلیهما ذکر أنه کان من خدام الخواجة کوسوئی و أورد من شعره قوله:</w:t>
      </w:r>
    </w:p>
    <w:p>
      <w:pPr>
        <w:pStyle w:val="BookText"/>
      </w:pPr>
      <w:r>
        <w:rPr>
          <w:rFonts w:ascii="IRNazanin" w:hAnsi="IRNazanin" w:eastAsia="IRNazanin" w:cs="IRNazanin"/>
          <w:lang w:bidi="fa-IR"/>
          <w:color w:val="111111"/>
          <w:sz w:val="28"/>
          <w:szCs w:val="28"/>
          <w:rtl/>
        </w:rPr>
        <w:t xml:space="preserve">نیازمند توایم ای نیاز پرورده‏</w:t>
      </w:r>
    </w:p>
    <w:p>
      <w:pPr>
        <w:pStyle w:val="BookText"/>
      </w:pPr>
      <w:r>
        <w:rPr>
          <w:rFonts w:ascii="IRNazanin" w:hAnsi="IRNazanin" w:eastAsia="IRNazanin" w:cs="IRNazanin"/>
          <w:lang w:bidi="fa-IR"/>
          <w:color w:val="111111"/>
          <w:sz w:val="28"/>
          <w:szCs w:val="28"/>
          <w:rtl/>
        </w:rPr>
        <w:t xml:space="preserve">تو را زمانه عجب دلنواز پرورده‏</w:t>
      </w:r>
    </w:p>
    <w:p>
      <w:pPr>
        <w:pStyle w:val="BookText"/>
      </w:pPr>
      <w:r>
        <w:rPr>
          <w:rFonts w:ascii="IRNazanin" w:hAnsi="IRNazanin" w:eastAsia="IRNazanin" w:cs="IRNazanin"/>
          <w:lang w:bidi="fa-IR"/>
          <w:color w:val="111111"/>
          <w:sz w:val="28"/>
          <w:szCs w:val="28"/>
          <w:rtl/>
        </w:rPr>
        <w:t xml:space="preserve">و لعله الذی سماه فی شاهد صادق بشمس الدین و قال مات (902).</w:t>
      </w:r>
    </w:p>
    <w:p>
      <w:pPr>
        <w:pStyle w:val="Heading3"/>
      </w:pPr>
      <w:bookmarkStart w:id="3476" w:name="_Toc2172"/>
      <w:r>
        <w:t>1693- دیوان خالد کرد</w:t>
      </w:r>
      <w:bookmarkEnd w:id="3476"/>
    </w:p>
    <w:p>
      <w:pPr>
        <w:pStyle w:val="BookText"/>
      </w:pPr>
      <w:r>
        <w:rPr>
          <w:rFonts w:ascii="IRNazanin" w:hAnsi="IRNazanin" w:eastAsia="IRNazanin" w:cs="IRNazanin"/>
          <w:lang w:bidi="fa-IR"/>
          <w:color w:val="111111"/>
          <w:sz w:val="28"/>
          <w:szCs w:val="28"/>
          <w:rtl/>
        </w:rPr>
        <w:t xml:space="preserve">للشیخ خالد البغدادی من أهل السلیمانیة و من المشایخ النقش‏بندیة ذکر فی (مع- ج 2 ص 111) بعض شعر دیوانه و قال إن جمعا من المعاصرین من مریدیه، و قال فی ذیل کشف الظنون إن اسمه ضیاء الدین بن الحسین الشهرزوری نزیل دمشق و توفی (1242). و قد طبع له عدة رسائل کما فی معجم المطبوعات ص 813.</w:t>
      </w:r>
    </w:p>
    <w:p>
      <w:pPr>
        <w:pStyle w:val="Heading3"/>
      </w:pPr>
      <w:bookmarkStart w:id="3477" w:name="_Toc2173"/>
      <w:r>
        <w:t>1694- دیوان خالدی‏</w:t>
      </w:r>
      <w:bookmarkEnd w:id="3477"/>
    </w:p>
    <w:p>
      <w:pPr>
        <w:pStyle w:val="BookText"/>
      </w:pPr>
      <w:r>
        <w:rPr>
          <w:rFonts w:ascii="IRNazanin" w:hAnsi="IRNazanin" w:eastAsia="IRNazanin" w:cs="IRNazanin"/>
          <w:lang w:bidi="fa-IR"/>
          <w:color w:val="111111"/>
          <w:sz w:val="28"/>
          <w:szCs w:val="28"/>
          <w:rtl/>
        </w:rPr>
        <w:t xml:space="preserve">معاصر المیر علی شیر ذکر فی (مجن 6- ص 120 و 298) إنه من أهل حصار شادمان و من ولد خالد بن الولید، و اشتغل بتحصیل العلم فی هرات حتی برع. و أورد مطلع غزله.</w:t>
      </w:r>
    </w:p>
    <w:p>
      <w:pPr>
        <w:pStyle w:val="Heading3"/>
      </w:pPr>
      <w:bookmarkStart w:id="3478" w:name="_Toc2174"/>
      <w:r>
        <w:t>1695- دیوان الخالدیین‏</w:t>
      </w:r>
      <w:bookmarkEnd w:id="3478"/>
    </w:p>
    <w:p>
      <w:pPr>
        <w:pStyle w:val="BookText"/>
      </w:pPr>
      <w:r>
        <w:rPr>
          <w:rFonts w:ascii="IRNazanin" w:hAnsi="IRNazanin" w:eastAsia="IRNazanin" w:cs="IRNazanin"/>
          <w:lang w:bidi="fa-IR"/>
          <w:color w:val="111111"/>
          <w:sz w:val="28"/>
          <w:szCs w:val="28"/>
          <w:rtl/>
        </w:rPr>
        <w:t xml:space="preserve">هما الإخوان الکبیر و الصغیر فالکبیر هو أبو بکر (أبو هاشم) محمد بن هاشم بن وعلة الخالدی المتوفی حدود (380) نسبه إلی خالد قریة من أعمال موصل. و الخالدی الصغیر المتوفی بعد أخیه هو أبو عثمان سعید بن هاشم بن وعلة مؤلف الحماسة الذی مر فی (ج 7 ص 88) هما من شعراء الیتیمة و قد قال الثعالبی فی حقهما إنهما لساحران اتصلا بسیف الدولة بن حمدان فی حلب و نادماه و فوض إلیهما تولیة مخزن کتبه و من شعرهما ما أرسلاه إلی الشریف أبی الحسن محمد بن عمر الزیدی لما أبطأ بهما عن صلة مدحهما له، مضمون أوله أنه لو لم یأتنا عطائنا:</w:t>
      </w:r>
    </w:p>
    <w:p>
      <w:pPr>
        <w:pStyle w:val="BookText"/>
      </w:pPr>
      <w:r>
        <w:rPr>
          <w:rFonts w:ascii="IRNazanin" w:hAnsi="IRNazanin" w:eastAsia="IRNazanin" w:cs="IRNazanin"/>
          <w:lang w:bidi="fa-IR"/>
          <w:color w:val="111111"/>
          <w:sz w:val="28"/>
          <w:szCs w:val="28"/>
          <w:rtl/>
        </w:rPr>
        <w:t xml:space="preserve">لنشارکن بنی أمیة فی الضلال المشتهر</w:t>
      </w:r>
    </w:p>
    <w:p>
      <w:pPr>
        <w:pStyle w:val="BookText"/>
      </w:pPr>
      <w:r>
        <w:rPr>
          <w:rFonts w:ascii="IRNazanin" w:hAnsi="IRNazanin" w:eastAsia="IRNazanin" w:cs="IRNazanin"/>
          <w:lang w:bidi="fa-IR"/>
          <w:color w:val="111111"/>
          <w:sz w:val="28"/>
          <w:szCs w:val="28"/>
          <w:rtl/>
        </w:rPr>
        <w:t xml:space="preserve">و نقول لم یغصب أبو بکر و لم یظلم عمر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80" w:name="pg11704_121760"/>
    <w:bookmarkEnd w:id="280"/>
    <w:p>
      <w:pPr>
        <w:pStyle w:val="BookText"/>
      </w:pPr>
      <w:r>
        <w:rPr>
          <w:rFonts w:ascii="IRNazanin" w:hAnsi="IRNazanin" w:eastAsia="IRNazanin" w:cs="IRNazanin"/>
          <w:lang w:bidi="fa-IR"/>
          <w:color w:val="111111"/>
          <w:sz w:val="28"/>
          <w:szCs w:val="28"/>
          <w:rtl/>
        </w:rPr>
        <w:t xml:space="preserve">و نری معاویة إماما من یخالفه کفر</w:t>
      </w:r>
    </w:p>
    <w:p>
      <w:pPr>
        <w:pStyle w:val="BookText"/>
      </w:pPr>
      <w:r>
        <w:rPr>
          <w:rFonts w:ascii="IRNazanin" w:hAnsi="IRNazanin" w:eastAsia="IRNazanin" w:cs="IRNazanin"/>
          <w:lang w:bidi="fa-IR"/>
          <w:color w:val="111111"/>
          <w:sz w:val="28"/>
          <w:szCs w:val="28"/>
          <w:rtl/>
        </w:rPr>
        <w:t xml:space="preserve">و نقول إن یزید ما قتل الحسین و لا أمر</w:t>
      </w:r>
    </w:p>
    <w:p>
      <w:pPr>
        <w:pStyle w:val="BookText"/>
      </w:pPr>
      <w:r>
        <w:rPr>
          <w:rFonts w:ascii="IRNazanin" w:hAnsi="IRNazanin" w:eastAsia="IRNazanin" w:cs="IRNazanin"/>
          <w:lang w:bidi="fa-IR"/>
          <w:color w:val="111111"/>
          <w:sz w:val="28"/>
          <w:szCs w:val="28"/>
          <w:rtl/>
        </w:rPr>
        <w:t xml:space="preserve">و نعد طلحة و الزبیر من المیامین الغرر</w:t>
      </w:r>
    </w:p>
    <w:p>
      <w:pPr>
        <w:pStyle w:val="BookText"/>
      </w:pPr>
      <w:r>
        <w:rPr>
          <w:rFonts w:ascii="IRNazanin" w:hAnsi="IRNazanin" w:eastAsia="IRNazanin" w:cs="IRNazanin"/>
          <w:lang w:bidi="fa-IR"/>
          <w:color w:val="111111"/>
          <w:sz w:val="28"/>
          <w:szCs w:val="28"/>
          <w:rtl/>
        </w:rPr>
        <w:t xml:space="preserve">و یکون فی عنق الشریف دخول عبدیه سقر</w:t>
      </w:r>
    </w:p>
    <w:p>
      <w:pPr>
        <w:pStyle w:val="BookText"/>
      </w:pPr>
      <w:r>
        <w:rPr>
          <w:rFonts w:ascii="IRNazanin" w:hAnsi="IRNazanin" w:eastAsia="IRNazanin" w:cs="IRNazanin"/>
          <w:lang w:bidi="fa-IR"/>
          <w:color w:val="111111"/>
          <w:sz w:val="28"/>
          <w:szCs w:val="28"/>
          <w:rtl/>
        </w:rPr>
        <w:t xml:space="preserve">و قد تتبعهما فی نظم هذا المضمون عین الزمان أحمد بن المنیر الطرابلسی المتوفی (548) بقصیدته التتریة التی خمسها الشیخ إبراهیم یحیی العاملی المتوفی (1214) کما مر فی (ج 4 ص 9) و قد بسط فی نامه دانشوران ترجمه الخالدیین فی (ص 428- 436- ج 1).</w:t>
      </w:r>
    </w:p>
    <w:p>
      <w:pPr>
        <w:pStyle w:val="Heading3"/>
      </w:pPr>
      <w:bookmarkStart w:id="3479" w:name="_Toc2175"/>
      <w:r>
        <w:t>1696- دیوان خالد القطیفی‏</w:t>
      </w:r>
      <w:bookmarkEnd w:id="3479"/>
    </w:p>
    <w:p>
      <w:pPr>
        <w:pStyle w:val="BookText"/>
      </w:pPr>
      <w:r>
        <w:rPr>
          <w:rFonts w:ascii="IRNazanin" w:hAnsi="IRNazanin" w:eastAsia="IRNazanin" w:cs="IRNazanin"/>
          <w:lang w:bidi="fa-IR"/>
          <w:color w:val="111111"/>
          <w:sz w:val="28"/>
          <w:szCs w:val="28"/>
          <w:rtl/>
        </w:rPr>
        <w:t xml:space="preserve">الشاعر المعروف خالد فرج. رأیت له الرائیة فی تأبین السید ماجد العوامی المتوفی (1367) طبعت فی رسالة ذکری السید ماجد- ص 49</w:t>
      </w:r>
    </w:p>
    <w:p>
      <w:pPr>
        <w:pStyle w:val="Heading3"/>
      </w:pPr>
      <w:bookmarkStart w:id="3480" w:name="_Toc2176"/>
      <w:r>
        <w:t>1697- دیوان خالص أصفهانی‏</w:t>
      </w:r>
      <w:bookmarkEnd w:id="3480"/>
    </w:p>
    <w:p>
      <w:pPr>
        <w:pStyle w:val="BookText"/>
      </w:pPr>
      <w:r>
        <w:rPr>
          <w:rFonts w:ascii="IRNazanin" w:hAnsi="IRNazanin" w:eastAsia="IRNazanin" w:cs="IRNazanin"/>
          <w:lang w:bidi="fa-IR"/>
          <w:color w:val="111111"/>
          <w:sz w:val="28"/>
          <w:szCs w:val="28"/>
          <w:rtl/>
        </w:rPr>
        <w:t xml:space="preserve">و هو السید حسین، لقبه عالمگیر بامتیاز خان، و مات (1122) ترجمه فی (تغ ص 48) و (سرخوش- ص 34) و دیوانه یقرب من ثلاثة آلاف بیت.</w:t>
      </w:r>
    </w:p>
    <w:p>
      <w:pPr>
        <w:pStyle w:val="Heading3"/>
      </w:pPr>
      <w:bookmarkStart w:id="3481" w:name="_Toc2177"/>
      <w:r>
        <w:t>1698- دیوان خالص‏</w:t>
      </w:r>
      <w:bookmarkEnd w:id="3481"/>
    </w:p>
    <w:p>
      <w:pPr>
        <w:pStyle w:val="BookText"/>
      </w:pPr>
      <w:r>
        <w:rPr>
          <w:rFonts w:ascii="IRNazanin" w:hAnsi="IRNazanin" w:eastAsia="IRNazanin" w:cs="IRNazanin"/>
          <w:lang w:bidi="fa-IR"/>
          <w:color w:val="111111"/>
          <w:sz w:val="28"/>
          <w:szCs w:val="28"/>
          <w:rtl/>
        </w:rPr>
        <w:t xml:space="preserve">رأیت قصیدته فی مدح الأمیر فی نیف و ثلاثین بیتا فی بیاض عند السید محمد الجزائری فی النجف کتابته (1274) و لعله خالص مشهدی المذکور فی (گلشن- ص 149).</w:t>
      </w:r>
    </w:p>
    <w:p>
      <w:pPr>
        <w:pStyle w:val="Heading3"/>
      </w:pPr>
      <w:bookmarkStart w:id="3482" w:name="_Toc2178"/>
      <w:r>
        <w:t>1699- دیوان خالص هانسوی أو شعره‏</w:t>
      </w:r>
      <w:bookmarkEnd w:id="3482"/>
    </w:p>
    <w:p>
      <w:pPr>
        <w:pStyle w:val="BookText"/>
      </w:pPr>
      <w:r>
        <w:rPr>
          <w:rFonts w:ascii="IRNazanin" w:hAnsi="IRNazanin" w:eastAsia="IRNazanin" w:cs="IRNazanin"/>
          <w:lang w:bidi="fa-IR"/>
          <w:color w:val="111111"/>
          <w:sz w:val="28"/>
          <w:szCs w:val="28"/>
          <w:rtl/>
        </w:rPr>
        <w:t xml:space="preserve">لعبد الواسع الهانسوی الهندی. أورد شعره فی (روشن- ص 195) و قال له دستور القدسی فی النحو و الصرف و العروض الفارسی.</w:t>
      </w:r>
    </w:p>
    <w:p>
      <w:pPr>
        <w:pStyle w:val="Heading3"/>
      </w:pPr>
      <w:bookmarkStart w:id="3483" w:name="_Toc2179"/>
      <w:r>
        <w:t>دیوان خالص هندی أو شعره‏</w:t>
      </w:r>
      <w:bookmarkEnd w:id="3483"/>
    </w:p>
    <w:p>
      <w:pPr>
        <w:pStyle w:val="BookText"/>
      </w:pPr>
      <w:r>
        <w:rPr>
          <w:rFonts w:ascii="IRNazanin" w:hAnsi="IRNazanin" w:eastAsia="IRNazanin" w:cs="IRNazanin"/>
          <w:lang w:bidi="fa-IR"/>
          <w:color w:val="111111"/>
          <w:sz w:val="28"/>
          <w:szCs w:val="28"/>
          <w:rtl/>
        </w:rPr>
        <w:t xml:space="preserve">و هو السلطان محمد الدرانی الهندی المتخلص خالص صاحب تاریخ سلطانی.</w:t>
      </w:r>
    </w:p>
    <w:p>
      <w:pPr>
        <w:pStyle w:val="Heading3"/>
      </w:pPr>
      <w:bookmarkStart w:id="3484" w:name="_Toc2180"/>
      <w:r>
        <w:t>1700- دیوان خالص یزدی أو شعره‏</w:t>
      </w:r>
      <w:bookmarkEnd w:id="3484"/>
    </w:p>
    <w:p>
      <w:pPr>
        <w:pStyle w:val="BookText"/>
      </w:pPr>
      <w:r>
        <w:rPr>
          <w:rFonts w:ascii="IRNazanin" w:hAnsi="IRNazanin" w:eastAsia="IRNazanin" w:cs="IRNazanin"/>
          <w:lang w:bidi="fa-IR"/>
          <w:color w:val="111111"/>
          <w:sz w:val="28"/>
          <w:szCs w:val="28"/>
          <w:rtl/>
        </w:rPr>
        <w:t xml:space="preserve">و اسمه الحاج السید محمد رضا المیبدی. المعاصر نزیل یزد له. أشعار عربیة و فارسیة و مادة تواریخ کثیرة. ترجمه فی (تش یز- ص 288).</w:t>
      </w:r>
    </w:p>
    <w:p>
      <w:pPr>
        <w:pStyle w:val="Heading3"/>
      </w:pPr>
      <w:bookmarkStart w:id="3485" w:name="_Toc2181"/>
      <w:r>
        <w:t>1701- دیوان خالص یزدی أو شعره‏</w:t>
      </w:r>
      <w:bookmarkEnd w:id="3485"/>
    </w:p>
    <w:p>
      <w:pPr>
        <w:pStyle w:val="BookText"/>
      </w:pPr>
      <w:r>
        <w:rPr>
          <w:rFonts w:ascii="IRNazanin" w:hAnsi="IRNazanin" w:eastAsia="IRNazanin" w:cs="IRNazanin"/>
          <w:lang w:bidi="fa-IR"/>
          <w:color w:val="111111"/>
          <w:sz w:val="28"/>
          <w:szCs w:val="28"/>
          <w:rtl/>
        </w:rPr>
        <w:t xml:space="preserve">و هو سبحان وردی. کان یتخلص طوغری ثم بدله ب خالص بأمر من ذبیحی الیزدی الشاعر. و کانا معاصرین للشاه حسین الصفوی (1105- 1135) و قد نصب مدة متصدیا لخالصجات یزد ثم أستقیل عنه فانزوی بقریة خورمیز و مات بها. ترجمه فی (تش یز- ص 287).</w:t>
      </w:r>
    </w:p>
    <w:p>
      <w:pPr>
        <w:pStyle w:val="Heading3"/>
      </w:pPr>
      <w:bookmarkStart w:id="3486" w:name="_Toc2182"/>
      <w:r>
        <w:t>1702- دیوان خالص یزدی أو شعره‏</w:t>
      </w:r>
      <w:bookmarkEnd w:id="3486"/>
    </w:p>
    <w:p>
      <w:pPr>
        <w:pStyle w:val="BookText"/>
      </w:pPr>
      <w:r>
        <w:rPr>
          <w:rFonts w:ascii="IRNazanin" w:hAnsi="IRNazanin" w:eastAsia="IRNazanin" w:cs="IRNazanin"/>
          <w:lang w:bidi="fa-IR"/>
          <w:color w:val="111111"/>
          <w:sz w:val="28"/>
          <w:szCs w:val="28"/>
          <w:rtl/>
        </w:rPr>
        <w:t xml:space="preserve">و هو السید مرتضی من أحفاد المدرسی الیزدی و من علماء عصر القاجار. ترجمه و أورد شعره فی (تش یز- ص 288).</w:t>
      </w:r>
    </w:p>
    <w:p>
      <w:pPr>
        <w:pStyle w:val="Heading3"/>
      </w:pPr>
      <w:bookmarkStart w:id="3487" w:name="_Toc2183"/>
      <w:r>
        <w:t>1703- دیوان خالصی تبریزی أو شعره‏</w:t>
      </w:r>
      <w:bookmarkEnd w:id="3487"/>
    </w:p>
    <w:p>
      <w:pPr>
        <w:pStyle w:val="BookText"/>
      </w:pPr>
      <w:r>
        <w:rPr>
          <w:rFonts w:ascii="IRNazanin" w:hAnsi="IRNazanin" w:eastAsia="IRNazanin" w:cs="IRNazanin"/>
          <w:lang w:bidi="fa-IR"/>
          <w:color w:val="111111"/>
          <w:sz w:val="28"/>
          <w:szCs w:val="28"/>
          <w:rtl/>
        </w:rPr>
        <w:t xml:space="preserve">ترجمه و أورد شعره فی (تس 5 ص 168) و قال‏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81" w:name="pg11704_121761"/>
    <w:bookmarkEnd w:id="281"/>
    <w:p>
      <w:pPr>
        <w:pStyle w:val="BookText"/>
      </w:pPr>
      <w:r>
        <w:rPr>
          <w:rFonts w:ascii="IRNazanin" w:hAnsi="IRNazanin" w:eastAsia="IRNazanin" w:cs="IRNazanin"/>
          <w:lang w:bidi="fa-IR"/>
          <w:color w:val="111111"/>
          <w:sz w:val="28"/>
          <w:szCs w:val="28"/>
          <w:rtl/>
        </w:rPr>
        <w:t xml:space="preserve">کان یحب الذهب و جمعه حتی مات فی التسعین من عمره و خلفه للباقین، و عنه فی (دجا- ص 132).</w:t>
      </w:r>
    </w:p>
    <w:p>
      <w:pPr>
        <w:pStyle w:val="Heading3"/>
      </w:pPr>
      <w:bookmarkStart w:id="3488" w:name="_Toc2184"/>
      <w:r>
        <w:t>1704- دیوان خاله بغدادی‏</w:t>
      </w:r>
      <w:bookmarkEnd w:id="3488"/>
    </w:p>
    <w:p>
      <w:pPr>
        <w:pStyle w:val="BookText"/>
      </w:pPr>
      <w:r>
        <w:rPr>
          <w:rFonts w:ascii="IRNazanin" w:hAnsi="IRNazanin" w:eastAsia="IRNazanin" w:cs="IRNazanin"/>
          <w:lang w:bidi="fa-IR"/>
          <w:color w:val="111111"/>
          <w:sz w:val="28"/>
          <w:szCs w:val="28"/>
          <w:rtl/>
        </w:rPr>
        <w:t xml:space="preserve">و هو شمس الدین محمد بن المؤید المعروف بخالة من أقرباء خواجه نظام الملک ترجمه فی هفت إقلیم ص 120، و قال سنگلاخ إنه رأی دیوانه بخط ملا معروف و ذکره فی امتحان الفضلاء (ج 1 ص 173). راجع رقم 2987.</w:t>
      </w:r>
    </w:p>
    <w:p>
      <w:pPr>
        <w:pStyle w:val="Heading3"/>
      </w:pPr>
      <w:bookmarkStart w:id="3489" w:name="_Toc2185"/>
      <w:r>
        <w:t>1705- دیوان خالی هندی أو شعره‏</w:t>
      </w:r>
      <w:bookmarkEnd w:id="3489"/>
    </w:p>
    <w:p>
      <w:pPr>
        <w:pStyle w:val="BookText"/>
      </w:pPr>
      <w:r>
        <w:rPr>
          <w:rFonts w:ascii="IRNazanin" w:hAnsi="IRNazanin" w:eastAsia="IRNazanin" w:cs="IRNazanin"/>
          <w:lang w:bidi="fa-IR"/>
          <w:color w:val="111111"/>
          <w:sz w:val="28"/>
          <w:szCs w:val="28"/>
          <w:rtl/>
        </w:rPr>
        <w:t xml:space="preserve">و اسمه حسن بیک. کان ینظم بالعربیة و الفارسیة.</w:t>
      </w:r>
    </w:p>
    <w:p>
      <w:pPr>
        <w:pStyle w:val="BookText"/>
      </w:pPr>
      <w:r>
        <w:rPr>
          <w:rFonts w:ascii="IRNazanin" w:hAnsi="IRNazanin" w:eastAsia="IRNazanin" w:cs="IRNazanin"/>
          <w:lang w:bidi="fa-IR"/>
          <w:color w:val="111111"/>
          <w:sz w:val="28"/>
          <w:szCs w:val="28"/>
          <w:rtl/>
        </w:rPr>
        <w:t xml:space="preserve">حکم منطقة بهار فی عهد جهانگیر پادشاه، و مات (1021). أورد بعض شعره فی (گلشن- ص 149).</w:t>
      </w:r>
    </w:p>
    <w:p>
      <w:pPr>
        <w:pStyle w:val="Heading3"/>
      </w:pPr>
      <w:bookmarkStart w:id="3490" w:name="_Toc2186"/>
      <w:r>
        <w:t>1706- دیوان خاموش‏</w:t>
      </w:r>
      <w:bookmarkEnd w:id="3490"/>
    </w:p>
    <w:p>
      <w:pPr>
        <w:pStyle w:val="BookText"/>
      </w:pPr>
      <w:r>
        <w:rPr>
          <w:rFonts w:ascii="IRNazanin" w:hAnsi="IRNazanin" w:eastAsia="IRNazanin" w:cs="IRNazanin"/>
          <w:lang w:bidi="fa-IR"/>
          <w:color w:val="111111"/>
          <w:sz w:val="28"/>
          <w:szCs w:val="28"/>
          <w:rtl/>
        </w:rPr>
        <w:t xml:space="preserve">و اسمه صالح. توجد له مجموعة أربعة عشر قصیدة فارسیة فی مدیح المعصومین الأربعة عشر فی (66 ص کبیرة) عند السید محمد علی الروضاتی بأصفهان.</w:t>
      </w:r>
    </w:p>
    <w:p>
      <w:pPr>
        <w:pStyle w:val="BookText"/>
      </w:pPr>
      <w:r>
        <w:rPr>
          <w:rFonts w:ascii="IRNazanin" w:hAnsi="IRNazanin" w:eastAsia="IRNazanin" w:cs="IRNazanin"/>
          <w:lang w:bidi="fa-IR"/>
          <w:color w:val="111111"/>
          <w:sz w:val="28"/>
          <w:szCs w:val="28"/>
          <w:rtl/>
        </w:rPr>
        <w:t xml:space="preserve">و شعره سخیف کما وصفه الروضاتی.</w:t>
      </w:r>
    </w:p>
    <w:p>
      <w:pPr>
        <w:pStyle w:val="Heading3"/>
      </w:pPr>
      <w:bookmarkStart w:id="3491" w:name="_Toc2187"/>
      <w:r>
        <w:t>دیوان خاموش بلخی‏</w:t>
      </w:r>
      <w:bookmarkEnd w:id="3491"/>
    </w:p>
    <w:p>
      <w:pPr>
        <w:pStyle w:val="BookText"/>
      </w:pPr>
      <w:r>
        <w:rPr>
          <w:rFonts w:ascii="IRNazanin" w:hAnsi="IRNazanin" w:eastAsia="IRNazanin" w:cs="IRNazanin"/>
          <w:lang w:bidi="fa-IR"/>
          <w:color w:val="111111"/>
          <w:sz w:val="28"/>
          <w:szCs w:val="28"/>
          <w:rtl/>
        </w:rPr>
        <w:t xml:space="preserve">هو التخلص السابق للمولوی جلال الدین محمد البلخی المعروف بملای رومی و یوجد عدة غزلیات له بهذا التخلص.</w:t>
      </w:r>
    </w:p>
    <w:p>
      <w:pPr>
        <w:pStyle w:val="Heading3"/>
      </w:pPr>
      <w:bookmarkStart w:id="3492" w:name="_Toc2188"/>
      <w:r>
        <w:t>دیوان خاموش شیرازی‏</w:t>
      </w:r>
      <w:bookmarkEnd w:id="3492"/>
    </w:p>
    <w:p>
      <w:pPr>
        <w:pStyle w:val="BookText"/>
      </w:pPr>
      <w:r>
        <w:rPr>
          <w:rFonts w:ascii="IRNazanin" w:hAnsi="IRNazanin" w:eastAsia="IRNazanin" w:cs="IRNazanin"/>
          <w:lang w:bidi="fa-IR"/>
          <w:color w:val="111111"/>
          <w:sz w:val="28"/>
          <w:szCs w:val="28"/>
          <w:rtl/>
        </w:rPr>
        <w:t xml:space="preserve">و اسمه المیرزا أبی القاسم. کذا فی المسودة.</w:t>
      </w:r>
    </w:p>
    <w:p>
      <w:pPr>
        <w:pStyle w:val="Heading3"/>
      </w:pPr>
      <w:bookmarkStart w:id="3493" w:name="_Toc2189"/>
      <w:r>
        <w:t>1707- دیوان خاموش شیرازی کاشانی أو شعره‏</w:t>
      </w:r>
      <w:bookmarkEnd w:id="3493"/>
    </w:p>
    <w:p>
      <w:pPr>
        <w:pStyle w:val="BookText"/>
      </w:pPr>
      <w:r>
        <w:rPr>
          <w:rFonts w:ascii="IRNazanin" w:hAnsi="IRNazanin" w:eastAsia="IRNazanin" w:cs="IRNazanin"/>
          <w:lang w:bidi="fa-IR"/>
          <w:color w:val="111111"/>
          <w:sz w:val="28"/>
          <w:szCs w:val="28"/>
          <w:rtl/>
        </w:rPr>
        <w:t xml:space="preserve">أصله من کاشان و مات بشیراز. أورد شعره فی (روشن- ص 196).</w:t>
      </w:r>
    </w:p>
    <w:p>
      <w:pPr>
        <w:pStyle w:val="Heading3"/>
      </w:pPr>
      <w:bookmarkStart w:id="3494" w:name="_Toc2190"/>
      <w:r>
        <w:t>دیوان خاموش هندی أو شعره‏</w:t>
      </w:r>
      <w:bookmarkEnd w:id="3494"/>
    </w:p>
    <w:p>
      <w:pPr>
        <w:pStyle w:val="BookText"/>
      </w:pPr>
      <w:r>
        <w:rPr>
          <w:rFonts w:ascii="IRNazanin" w:hAnsi="IRNazanin" w:eastAsia="IRNazanin" w:cs="IRNazanin"/>
          <w:lang w:bidi="fa-IR"/>
          <w:color w:val="111111"/>
          <w:sz w:val="28"/>
          <w:szCs w:val="28"/>
          <w:rtl/>
        </w:rPr>
        <w:t xml:space="preserve">و اسمه رأی صاحب رام. أورد شعره فی (گلشن- ص 150).</w:t>
      </w:r>
    </w:p>
    <w:p>
      <w:pPr>
        <w:pStyle w:val="Heading3"/>
      </w:pPr>
      <w:bookmarkStart w:id="3495" w:name="_Toc2191"/>
      <w:r>
        <w:t>1708- دیوان خاموش هندی‏</w:t>
      </w:r>
      <w:bookmarkEnd w:id="3495"/>
    </w:p>
    <w:p>
      <w:pPr>
        <w:pStyle w:val="BookText"/>
      </w:pPr>
      <w:r>
        <w:rPr>
          <w:rFonts w:ascii="IRNazanin" w:hAnsi="IRNazanin" w:eastAsia="IRNazanin" w:cs="IRNazanin"/>
          <w:lang w:bidi="fa-IR"/>
          <w:color w:val="111111"/>
          <w:sz w:val="28"/>
          <w:szCs w:val="28"/>
          <w:rtl/>
        </w:rPr>
        <w:t xml:space="preserve">ولد بدهلی و کان یسکن بنگاله کما یظهر من (ص 82) من نسخه دیوانه الموجود عند (الملک) و هو فی خمسة آلاف بیت کتبت فی القرن الثالث عشر، و قد مدح فیه ظهور الخطاط المتخلص شاد.</w:t>
      </w:r>
    </w:p>
    <w:p>
      <w:pPr>
        <w:pStyle w:val="Heading3"/>
      </w:pPr>
      <w:bookmarkStart w:id="3496" w:name="_Toc2192"/>
      <w:r>
        <w:t>1709- دیوان خاموش یزدی الحائری الطویریجی، النجفی‏</w:t>
      </w:r>
      <w:bookmarkEnd w:id="3496"/>
    </w:p>
    <w:p>
      <w:pPr>
        <w:pStyle w:val="BookText"/>
      </w:pPr>
      <w:r>
        <w:rPr>
          <w:rFonts w:ascii="IRNazanin" w:hAnsi="IRNazanin" w:eastAsia="IRNazanin" w:cs="IRNazanin"/>
          <w:lang w:bidi="fa-IR"/>
          <w:color w:val="111111"/>
          <w:sz w:val="28"/>
          <w:szCs w:val="28"/>
          <w:rtl/>
        </w:rPr>
        <w:t xml:space="preserve">الجوار، هو المیرزا علی خان عضو القنصلیة الإیرانیة فی النجف قرب أربعین سنة. و مر له تقلید و طهارت فی (ج 4- ص 389) و أشرنا إلی بعض منظوماته الآخر، و دیوانه فی ثلاث مجلدات، مدائح المعصومین و الغزلیات، و الرباعیات، یقرب جمیعها من ستین ألف بیت. و مر له خلافت‏نامه‏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82" w:name="pg11704_121762"/>
    <w:bookmarkEnd w:id="282"/>
    <w:p>
      <w:pPr>
        <w:pStyle w:val="BookText"/>
      </w:pPr>
      <w:r>
        <w:rPr>
          <w:rFonts w:ascii="IRNazanin" w:hAnsi="IRNazanin" w:eastAsia="IRNazanin" w:cs="IRNazanin"/>
          <w:lang w:bidi="fa-IR"/>
          <w:color w:val="111111"/>
          <w:sz w:val="28"/>
          <w:szCs w:val="28"/>
          <w:rtl/>
        </w:rPr>
        <w:t xml:space="preserve">إمام حسن و خلافت‏نامه حیدری فی (ج 7 ص 238).</w:t>
      </w:r>
    </w:p>
    <w:p>
      <w:pPr>
        <w:pStyle w:val="Heading3"/>
      </w:pPr>
      <w:bookmarkStart w:id="3497" w:name="_Toc2193"/>
      <w:r>
        <w:t>1710- دیوان خاموش یزدی أو شعره‏</w:t>
      </w:r>
      <w:bookmarkEnd w:id="3497"/>
    </w:p>
    <w:p>
      <w:pPr>
        <w:pStyle w:val="BookText"/>
      </w:pPr>
      <w:r>
        <w:rPr>
          <w:rFonts w:ascii="IRNazanin" w:hAnsi="IRNazanin" w:eastAsia="IRNazanin" w:cs="IRNazanin"/>
          <w:lang w:bidi="fa-IR"/>
          <w:color w:val="111111"/>
          <w:sz w:val="28"/>
          <w:szCs w:val="28"/>
          <w:rtl/>
        </w:rPr>
        <w:t xml:space="preserve">و هو المیرزا إبراهیم بن المدرس الیزدی. أطری شعره فی (تش یز- ص 289).</w:t>
      </w:r>
    </w:p>
    <w:p>
      <w:pPr>
        <w:pStyle w:val="Heading3"/>
      </w:pPr>
      <w:bookmarkStart w:id="3498" w:name="_Toc2194"/>
      <w:r>
        <w:t>1711- دیوان خاموشی‏</w:t>
      </w:r>
      <w:bookmarkEnd w:id="3498"/>
    </w:p>
    <w:p>
      <w:pPr>
        <w:pStyle w:val="BookText"/>
      </w:pPr>
      <w:r>
        <w:rPr>
          <w:rFonts w:ascii="IRNazanin" w:hAnsi="IRNazanin" w:eastAsia="IRNazanin" w:cs="IRNazanin"/>
          <w:lang w:bidi="fa-IR"/>
          <w:color w:val="111111"/>
          <w:sz w:val="28"/>
          <w:szCs w:val="28"/>
          <w:rtl/>
        </w:rPr>
        <w:t xml:space="preserve">لمولانا هاشمی المتخلص خاموشی. ترجمه المولی شاه محمد القزوینی فی (بهش 2- ص 394) و ذکر مطلع غزله و عده من شعراء عصر السلطان سلیم خان العثمانی.</w:t>
      </w:r>
    </w:p>
    <w:p>
      <w:pPr>
        <w:pStyle w:val="Heading3"/>
      </w:pPr>
      <w:bookmarkStart w:id="3499" w:name="_Toc2195"/>
      <w:r>
        <w:t>دیوان خان‏</w:t>
      </w:r>
      <w:bookmarkEnd w:id="3499"/>
    </w:p>
    <w:p>
      <w:pPr>
        <w:pStyle w:val="BookText"/>
      </w:pPr>
      <w:r>
        <w:rPr>
          <w:rFonts w:ascii="IRNazanin" w:hAnsi="IRNazanin" w:eastAsia="IRNazanin" w:cs="IRNazanin"/>
          <w:lang w:bidi="fa-IR"/>
          <w:color w:val="111111"/>
          <w:sz w:val="28"/>
          <w:szCs w:val="28"/>
          <w:rtl/>
        </w:rPr>
        <w:t xml:space="preserve">مر بعنوان آرزو.</w:t>
      </w:r>
    </w:p>
    <w:p>
      <w:pPr>
        <w:pStyle w:val="Heading3"/>
      </w:pPr>
      <w:bookmarkStart w:id="3500" w:name="_Toc2196"/>
      <w:r>
        <w:t>1712- دیوان خان أحمد پادشاه أو شعره‏</w:t>
      </w:r>
      <w:bookmarkEnd w:id="3500"/>
    </w:p>
    <w:p>
      <w:pPr>
        <w:pStyle w:val="BookText"/>
      </w:pPr>
      <w:r>
        <w:rPr>
          <w:rFonts w:ascii="IRNazanin" w:hAnsi="IRNazanin" w:eastAsia="IRNazanin" w:cs="IRNazanin"/>
          <w:lang w:bidi="fa-IR"/>
          <w:color w:val="111111"/>
          <w:sz w:val="28"/>
          <w:szCs w:val="28"/>
          <w:rtl/>
        </w:rPr>
        <w:t xml:space="preserve">و هو ابن سلطان حسن من ملوک کارکیا.</w:t>
      </w:r>
    </w:p>
    <w:p>
      <w:pPr>
        <w:pStyle w:val="BookText"/>
      </w:pPr>
      <w:r>
        <w:rPr>
          <w:rFonts w:ascii="IRNazanin" w:hAnsi="IRNazanin" w:eastAsia="IRNazanin" w:cs="IRNazanin"/>
          <w:lang w:bidi="fa-IR"/>
          <w:color w:val="111111"/>
          <w:sz w:val="28"/>
          <w:szCs w:val="28"/>
          <w:rtl/>
        </w:rPr>
        <w:t xml:space="preserve">کان حاکم گیلان من 943 إلی أن عزله الشاه طهماسب فی (975) ترجمه الصادقی فی (خص 1 ص 12) و أورد بعض شعره.</w:t>
      </w:r>
    </w:p>
    <w:p>
      <w:pPr>
        <w:pStyle w:val="Heading3"/>
      </w:pPr>
      <w:bookmarkStart w:id="3501" w:name="_Toc2197"/>
      <w:r>
        <w:t>دیوان خان حاتم‏</w:t>
      </w:r>
      <w:bookmarkEnd w:id="3501"/>
    </w:p>
    <w:p>
      <w:pPr>
        <w:pStyle w:val="BookText"/>
      </w:pPr>
      <w:r>
        <w:rPr>
          <w:rFonts w:ascii="IRNazanin" w:hAnsi="IRNazanin" w:eastAsia="IRNazanin" w:cs="IRNazanin"/>
          <w:lang w:bidi="fa-IR"/>
          <w:color w:val="111111"/>
          <w:sz w:val="28"/>
          <w:szCs w:val="28"/>
          <w:rtl/>
        </w:rPr>
        <w:t xml:space="preserve">و الصحیح خان عالم کما یأتی.</w:t>
      </w:r>
    </w:p>
    <w:p>
      <w:pPr>
        <w:pStyle w:val="Heading3"/>
      </w:pPr>
      <w:bookmarkStart w:id="3502" w:name="_Toc2198"/>
      <w:r>
        <w:t>دیوان خان خانان‏</w:t>
      </w:r>
      <w:bookmarkEnd w:id="3502"/>
    </w:p>
    <w:p>
      <w:pPr>
        <w:pStyle w:val="BookText"/>
      </w:pPr>
      <w:r>
        <w:rPr>
          <w:rFonts w:ascii="IRNazanin" w:hAnsi="IRNazanin" w:eastAsia="IRNazanin" w:cs="IRNazanin"/>
          <w:lang w:bidi="fa-IR"/>
          <w:color w:val="111111"/>
          <w:sz w:val="28"/>
          <w:szCs w:val="28"/>
          <w:rtl/>
        </w:rPr>
        <w:t xml:space="preserve">اسمه محمد رحیم خان بن بیرام خان قرامانلو، ذهب والده مع همایون پادشاه إلی الهند فی عصر الشاه طهماسب، و فیها ولد خان خانان. ترجمه النصرآبادی فی (نر 3- ص 55) و ذکر أن منشئات الشیخ أبی الفضل و تاریخ الأکبری دلیلان علی فضل هذا الرجل و أورد بعض غزلیاته، و فی (ص 474 منه) أورد أیضا بعض تواریخه بالفارسیة و العربیة و الترکیة و الهندیة و یأتی بعنوان دیوان رحیمی و أن اسمه عبد الرحیم خان ابن بیرام علی خان.</w:t>
      </w:r>
    </w:p>
    <w:p>
      <w:pPr>
        <w:pStyle w:val="Heading3"/>
      </w:pPr>
      <w:bookmarkStart w:id="3503" w:name="_Toc2199"/>
      <w:r>
        <w:t>دیوان خان سهامی‏</w:t>
      </w:r>
      <w:bookmarkEnd w:id="3503"/>
    </w:p>
    <w:p>
      <w:pPr>
        <w:pStyle w:val="BookText"/>
      </w:pPr>
      <w:r>
        <w:rPr>
          <w:rFonts w:ascii="IRNazanin" w:hAnsi="IRNazanin" w:eastAsia="IRNazanin" w:cs="IRNazanin"/>
          <w:lang w:bidi="fa-IR"/>
          <w:color w:val="111111"/>
          <w:sz w:val="28"/>
          <w:szCs w:val="28"/>
          <w:rtl/>
        </w:rPr>
        <w:t xml:space="preserve">یذکر بعنوان تخلصه فی السین.</w:t>
      </w:r>
    </w:p>
    <w:p>
      <w:pPr>
        <w:pStyle w:val="Heading3"/>
      </w:pPr>
      <w:bookmarkStart w:id="3504" w:name="_Toc2200"/>
      <w:r>
        <w:t>1713- دیوان خان عالم‏</w:t>
      </w:r>
      <w:bookmarkEnd w:id="3504"/>
    </w:p>
    <w:p>
      <w:pPr>
        <w:pStyle w:val="BookText"/>
      </w:pPr>
      <w:r>
        <w:rPr>
          <w:rFonts w:ascii="IRNazanin" w:hAnsi="IRNazanin" w:eastAsia="IRNazanin" w:cs="IRNazanin"/>
          <w:lang w:bidi="fa-IR"/>
          <w:color w:val="111111"/>
          <w:sz w:val="28"/>
          <w:szCs w:val="28"/>
          <w:rtl/>
        </w:rPr>
        <w:t xml:space="preserve">و اسمه برخوردار بیگ. أرسله جهانگیر شاه ملک الهند سفیرا إلی الشاه عباس الأول و لما رجع إلی الهند جعل یمدح الدولة الصفویة و إیران إلی أن غضب علیه جهانگیر پادشاه. ترجمه فی (نر 3- ص 56) و کذا فی (گلشن- ص 151) و فی بعض نسخ النصرآبادی خان حاتم بدل خان عالم.</w:t>
      </w:r>
    </w:p>
    <w:p>
      <w:pPr>
        <w:pStyle w:val="Heading3"/>
      </w:pPr>
      <w:bookmarkStart w:id="3505" w:name="_Toc2201"/>
      <w:r>
        <w:t>دیوان خانلار خان‏</w:t>
      </w:r>
      <w:bookmarkEnd w:id="3505"/>
    </w:p>
    <w:p>
      <w:pPr>
        <w:pStyle w:val="BookText"/>
      </w:pPr>
      <w:r>
        <w:rPr>
          <w:rFonts w:ascii="IRNazanin" w:hAnsi="IRNazanin" w:eastAsia="IRNazanin" w:cs="IRNazanin"/>
          <w:lang w:bidi="fa-IR"/>
          <w:color w:val="111111"/>
          <w:sz w:val="28"/>
          <w:szCs w:val="28"/>
          <w:rtl/>
        </w:rPr>
        <w:t xml:space="preserve">یأتی بتخلصه فرخ.</w:t>
      </w:r>
    </w:p>
    <w:p>
      <w:pPr>
        <w:pStyle w:val="Heading3"/>
      </w:pPr>
      <w:bookmarkStart w:id="3506" w:name="_Toc2202"/>
      <w:r>
        <w:t>1714- دیوان خان میرزا أو شعره‏</w:t>
      </w:r>
      <w:bookmarkEnd w:id="3506"/>
    </w:p>
    <w:p>
      <w:pPr>
        <w:pStyle w:val="BookText"/>
      </w:pPr>
      <w:r>
        <w:rPr>
          <w:rFonts w:ascii="IRNazanin" w:hAnsi="IRNazanin" w:eastAsia="IRNazanin" w:cs="IRNazanin"/>
          <w:lang w:bidi="fa-IR"/>
          <w:color w:val="111111"/>
          <w:sz w:val="28"/>
          <w:szCs w:val="28"/>
          <w:rtl/>
        </w:rPr>
        <w:t xml:space="preserve">و هو من أحفاد معصوم بیک الصفوی. ترجمه فی (خص 5- ص 63) و أطرأه و أورد شعره، و ذکر شده اشتیاقه إلی الشعر و الشعراء. و ترجمه‏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83" w:name="pg11704_121763"/>
    <w:bookmarkEnd w:id="283"/>
    <w:p>
      <w:pPr>
        <w:pStyle w:val="BookText"/>
      </w:pPr>
      <w:r>
        <w:rPr>
          <w:rFonts w:ascii="IRNazanin" w:hAnsi="IRNazanin" w:eastAsia="IRNazanin" w:cs="IRNazanin"/>
          <w:lang w:bidi="fa-IR"/>
          <w:color w:val="111111"/>
          <w:sz w:val="28"/>
          <w:szCs w:val="28"/>
          <w:rtl/>
        </w:rPr>
        <w:t xml:space="preserve">فی (دجا- ص 132) نقلا عن هفت إقلیم و ذکر أنه کان وکیل شاه طهماسب فی سنین و کان من الفقهاء.</w:t>
      </w:r>
    </w:p>
    <w:p>
      <w:pPr>
        <w:pStyle w:val="Heading3"/>
      </w:pPr>
      <w:bookmarkStart w:id="3507" w:name="_Toc2203"/>
      <w:r>
        <w:t>1715- دیوان خاور دنبلی‏</w:t>
      </w:r>
      <w:bookmarkEnd w:id="3507"/>
    </w:p>
    <w:p>
      <w:pPr>
        <w:pStyle w:val="BookText"/>
      </w:pPr>
      <w:r>
        <w:rPr>
          <w:rFonts w:ascii="IRNazanin" w:hAnsi="IRNazanin" w:eastAsia="IRNazanin" w:cs="IRNazanin"/>
          <w:lang w:bidi="fa-IR"/>
          <w:color w:val="111111"/>
          <w:sz w:val="28"/>
          <w:szCs w:val="28"/>
          <w:rtl/>
        </w:rPr>
        <w:t xml:space="preserve">و هو محمود خان بن شهباز خان من رؤساء أکراد آذربایجان الغربیة. کان آباؤه حکام آذربایجان فی العهد الصفوی، و کان هو عالما باللغات الإفرنجیة. سکن مدة طهران مترجما للبلاط، ثم نصب حاکما للرستان و أصفهان، و مات بها و دفن عند قبر المیر الفندرسکی. أطری فضله فی المدائح المعتمدیة و قال فی (مع- ج 2- ص 124) إنه فوض منصبه فی الأواخر إلی ولده شهباز خان سمی جده. و ترجمه فی (دجا- ص 132) عن نگارستان دارا و تذکره دلگشا، و ترجمه فی أواخر روضة الصفا الناصری و قال رأیت دیوانه، و قد مات فی (1260).</w:t>
      </w:r>
    </w:p>
    <w:p>
      <w:pPr>
        <w:pStyle w:val="Heading3"/>
      </w:pPr>
      <w:bookmarkStart w:id="3508" w:name="_Toc2204"/>
      <w:r>
        <w:t>1716- دیوان خاور قاجار</w:t>
      </w:r>
      <w:bookmarkEnd w:id="3508"/>
    </w:p>
    <w:p>
      <w:pPr>
        <w:pStyle w:val="BookText"/>
      </w:pPr>
      <w:r>
        <w:rPr>
          <w:rFonts w:ascii="IRNazanin" w:hAnsi="IRNazanin" w:eastAsia="IRNazanin" w:cs="IRNazanin"/>
          <w:lang w:bidi="fa-IR"/>
          <w:color w:val="111111"/>
          <w:sz w:val="28"/>
          <w:szCs w:val="28"/>
          <w:rtl/>
        </w:rPr>
        <w:t xml:space="preserve">و هو الشاه‏زاده حیدر قلی میرزا بن فتح علی شاه، کان حاکم گلپایگان فی عهد والده، و عاد بعد موته إلی طهران و اتصل بمحمد شاه. ترجمه فی (مع- ج 1 ص 25). توجد نسخه دیوانه فی (الرضویة) و أخری فی (المجلس) فی (4000 بیت) و نسخه أخری فی بریتش موزیوم کما فی فهرسها تحت رقم (359).</w:t>
      </w:r>
    </w:p>
    <w:p>
      <w:pPr>
        <w:pStyle w:val="Heading3"/>
      </w:pPr>
      <w:bookmarkStart w:id="3509" w:name="_Toc2205"/>
      <w:r>
        <w:t>1717- دیوان خاور کابلی أو شعره‏</w:t>
      </w:r>
      <w:bookmarkEnd w:id="3509"/>
    </w:p>
    <w:p>
      <w:pPr>
        <w:pStyle w:val="BookText"/>
      </w:pPr>
      <w:r>
        <w:rPr>
          <w:rFonts w:ascii="IRNazanin" w:hAnsi="IRNazanin" w:eastAsia="IRNazanin" w:cs="IRNazanin"/>
          <w:lang w:bidi="fa-IR"/>
          <w:color w:val="111111"/>
          <w:sz w:val="28"/>
          <w:szCs w:val="28"/>
          <w:rtl/>
        </w:rPr>
        <w:t xml:space="preserve">و اسمه المیرزا محمد أکبر بن المیرزا مهدی خان من فرقة قزلباش بنواحی کابل، سکن لکهنو. ترجمه فی نگارستان سخن، و عنه فی (روشن- ص 196).</w:t>
      </w:r>
    </w:p>
    <w:p>
      <w:pPr>
        <w:pStyle w:val="Heading3"/>
      </w:pPr>
      <w:bookmarkStart w:id="3510" w:name="_Toc2206"/>
      <w:r>
        <w:t>1718- دیوان خاور کردشتی‏</w:t>
      </w:r>
      <w:bookmarkEnd w:id="3510"/>
    </w:p>
    <w:p>
      <w:pPr>
        <w:pStyle w:val="BookText"/>
      </w:pPr>
      <w:r>
        <w:rPr>
          <w:rFonts w:ascii="IRNazanin" w:hAnsi="IRNazanin" w:eastAsia="IRNazanin" w:cs="IRNazanin"/>
          <w:lang w:bidi="fa-IR"/>
          <w:color w:val="111111"/>
          <w:sz w:val="28"/>
          <w:szCs w:val="28"/>
          <w:rtl/>
        </w:rPr>
        <w:t xml:space="preserve">و هو المیرزا علی الملقب معلم کل ابن المیرزا خرم الکردشتی المتوفی بعد (1302) عن تسعین سنة من عمره. و کان طبیبا کوالده. ترجمه فی (دجا- ص 133) و له درافشان فی قبال گلستان فاتنا ذکره. و تتبع یغما الجندقی.</w:t>
      </w:r>
    </w:p>
    <w:p>
      <w:pPr>
        <w:pStyle w:val="Heading3"/>
      </w:pPr>
      <w:bookmarkStart w:id="3511" w:name="_Toc2207"/>
      <w:r>
        <w:t>دیوان خاوری أبیوردی‏</w:t>
      </w:r>
      <w:bookmarkEnd w:id="3511"/>
    </w:p>
    <w:p>
      <w:pPr>
        <w:pStyle w:val="BookText"/>
      </w:pPr>
      <w:r>
        <w:rPr>
          <w:rFonts w:ascii="IRNazanin" w:hAnsi="IRNazanin" w:eastAsia="IRNazanin" w:cs="IRNazanin"/>
          <w:lang w:bidi="fa-IR"/>
          <w:color w:val="111111"/>
          <w:sz w:val="28"/>
          <w:szCs w:val="28"/>
          <w:rtl/>
        </w:rPr>
        <w:t xml:space="preserve">مر بعنوان أنوری.</w:t>
      </w:r>
    </w:p>
    <w:p>
      <w:pPr>
        <w:pStyle w:val="Heading3"/>
      </w:pPr>
      <w:bookmarkStart w:id="3512" w:name="_Toc2208"/>
      <w:r>
        <w:t>دیوان خاوری أبیوردی‏</w:t>
      </w:r>
      <w:bookmarkEnd w:id="3512"/>
    </w:p>
    <w:p>
      <w:pPr>
        <w:pStyle w:val="BookText"/>
      </w:pPr>
      <w:r>
        <w:rPr>
          <w:rFonts w:ascii="IRNazanin" w:hAnsi="IRNazanin" w:eastAsia="IRNazanin" w:cs="IRNazanin"/>
          <w:lang w:bidi="fa-IR"/>
          <w:color w:val="111111"/>
          <w:sz w:val="28"/>
          <w:szCs w:val="28"/>
          <w:rtl/>
        </w:rPr>
        <w:t xml:space="preserve">یأتی بعنوان سودایی کما فی (مجن 1- ص 18 و 192).</w:t>
      </w:r>
    </w:p>
    <w:p>
      <w:pPr>
        <w:pStyle w:val="Heading3"/>
      </w:pPr>
      <w:bookmarkStart w:id="3513" w:name="_Toc2209"/>
      <w:r>
        <w:t>1719- دیوان خاوری تبریزی‏</w:t>
      </w:r>
      <w:bookmarkEnd w:id="3513"/>
    </w:p>
    <w:p>
      <w:pPr>
        <w:pStyle w:val="BookText"/>
      </w:pPr>
      <w:r>
        <w:rPr>
          <w:rFonts w:ascii="IRNazanin" w:hAnsi="IRNazanin" w:eastAsia="IRNazanin" w:cs="IRNazanin"/>
          <w:lang w:bidi="fa-IR"/>
          <w:color w:val="111111"/>
          <w:sz w:val="28"/>
          <w:szCs w:val="28"/>
          <w:rtl/>
        </w:rPr>
        <w:t xml:space="preserve">و هو المیرزا معصوم الکوزه‏کنانی التبریزی و یقال إنه من أحفاد شمس التبریزی أستاذ جلال الدین الرومی، و له مثنوی تحفه الحرمین نظمه فی سفره إلی الحجاز و أهداه إلی فتح علی شاه. ترجمه فی (مع- ج 2 ص 125) و کذا فی (ض- ص 447).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84" w:name="pg11704_121764"/>
    <w:bookmarkEnd w:id="284"/>
    <w:p>
      <w:pPr>
        <w:pStyle w:val="Heading3"/>
      </w:pPr>
      <w:bookmarkStart w:id="3514" w:name="_Toc2210"/>
      <w:r>
        <w:t>1720- دیوان خاوری تونی أو شعره‏</w:t>
      </w:r>
      <w:bookmarkEnd w:id="3514"/>
    </w:p>
    <w:p>
      <w:pPr>
        <w:pStyle w:val="BookText"/>
      </w:pPr>
      <w:r>
        <w:rPr>
          <w:rFonts w:ascii="IRNazanin" w:hAnsi="IRNazanin" w:eastAsia="IRNazanin" w:cs="IRNazanin"/>
          <w:lang w:bidi="fa-IR"/>
          <w:color w:val="111111"/>
          <w:sz w:val="28"/>
          <w:szCs w:val="28"/>
          <w:rtl/>
        </w:rPr>
        <w:t xml:space="preserve">ترجمه و أورد شعره فی (تس 5- ص 173) و قال إن له شعر کثیر</w:t>
      </w:r>
    </w:p>
    <w:p>
      <w:pPr>
        <w:pStyle w:val="Heading3"/>
      </w:pPr>
      <w:bookmarkStart w:id="3515" w:name="_Toc2211"/>
      <w:r>
        <w:t>1721- دیوان خاوری سمرقندی أو شعره‏</w:t>
      </w:r>
      <w:bookmarkEnd w:id="3515"/>
    </w:p>
    <w:p>
      <w:pPr>
        <w:pStyle w:val="BookText"/>
      </w:pPr>
      <w:r>
        <w:rPr>
          <w:rFonts w:ascii="IRNazanin" w:hAnsi="IRNazanin" w:eastAsia="IRNazanin" w:cs="IRNazanin"/>
          <w:lang w:bidi="fa-IR"/>
          <w:color w:val="111111"/>
          <w:sz w:val="28"/>
          <w:szCs w:val="28"/>
          <w:rtl/>
        </w:rPr>
        <w:t xml:space="preserve">کان خیاطا معاصرا للمیر علی شیر النوائی ترجمه فی (مجن 2- ص 47 و 221) و أورد له ترجیعا، و کذا فی (گلشن- ص 151)</w:t>
      </w:r>
    </w:p>
    <w:p>
      <w:pPr>
        <w:pStyle w:val="Heading3"/>
      </w:pPr>
      <w:bookmarkStart w:id="3516" w:name="_Toc2212"/>
      <w:r>
        <w:t>1722- دیوان خاوری سمنانی أو شعره‏</w:t>
      </w:r>
      <w:bookmarkEnd w:id="3516"/>
    </w:p>
    <w:p>
      <w:pPr>
        <w:pStyle w:val="BookText"/>
      </w:pPr>
      <w:r>
        <w:rPr>
          <w:rFonts w:ascii="IRNazanin" w:hAnsi="IRNazanin" w:eastAsia="IRNazanin" w:cs="IRNazanin"/>
          <w:lang w:bidi="fa-IR"/>
          <w:color w:val="111111"/>
          <w:sz w:val="28"/>
          <w:szCs w:val="28"/>
          <w:rtl/>
        </w:rPr>
        <w:t xml:space="preserve">ترجمه و أورد شعره فی (روشن- ص 196)</w:t>
      </w:r>
    </w:p>
    <w:p>
      <w:pPr>
        <w:pStyle w:val="Heading3"/>
      </w:pPr>
      <w:bookmarkStart w:id="3517" w:name="_Toc2213"/>
      <w:r>
        <w:t>1723- دیوان خاوری شیرازی‏</w:t>
      </w:r>
      <w:bookmarkEnd w:id="3517"/>
    </w:p>
    <w:p>
      <w:pPr>
        <w:pStyle w:val="BookText"/>
      </w:pPr>
      <w:r>
        <w:rPr>
          <w:rFonts w:ascii="IRNazanin" w:hAnsi="IRNazanin" w:eastAsia="IRNazanin" w:cs="IRNazanin"/>
          <w:lang w:bidi="fa-IR"/>
          <w:color w:val="111111"/>
          <w:sz w:val="28"/>
          <w:szCs w:val="28"/>
          <w:rtl/>
        </w:rPr>
        <w:t xml:space="preserve">و اسمه المیرزا فضل الله الحسینی بن عبد النبی ولد (1190) و کان حیا فی (1263) و جده الأمی المیرزا محمد هاشم الذهبی و له ذو القرنین فی تاریخ القاجاریة ترجمه فی (مع- ج 2 ص 126) و فی المدائح المعتمدیة، توجد دیوانه عند (محمد النخجوانی) و نسخه أخری کتبت فی (1242) عند (الملک) و أخری فی بریتش موزیوم کما فی فهرس ریو برقم (358) و له یوسف و زلیخا قال فی خاتمته نظم جامی یوسف و زلیخا فی أربعة آلاف بیت فی ستة سنوات و نظمته أنا فی سبعة آلاف بیت فی ستة أشهر فی سنة (1240) و قال فی تاریخه:</w:t>
      </w:r>
    </w:p>
    <w:p>
      <w:pPr>
        <w:pStyle w:val="BookText"/>
      </w:pPr>
      <w:r>
        <w:rPr>
          <w:rFonts w:ascii="IRNazanin" w:hAnsi="IRNazanin" w:eastAsia="IRNazanin" w:cs="IRNazanin"/>
          <w:lang w:bidi="fa-IR"/>
          <w:color w:val="111111"/>
          <w:sz w:val="28"/>
          <w:szCs w:val="28"/>
          <w:rtl/>
        </w:rPr>
        <w:t xml:space="preserve">بسال مرغ 1240 این شش‏ماهه مولود</w:t>
      </w:r>
    </w:p>
    <w:p>
      <w:pPr>
        <w:pStyle w:val="BookText"/>
      </w:pPr>
      <w:r>
        <w:rPr>
          <w:rFonts w:ascii="IRNazanin" w:hAnsi="IRNazanin" w:eastAsia="IRNazanin" w:cs="IRNazanin"/>
          <w:lang w:bidi="fa-IR"/>
          <w:color w:val="111111"/>
          <w:sz w:val="28"/>
          <w:szCs w:val="28"/>
          <w:rtl/>
        </w:rPr>
        <w:t xml:space="preserve">چو یحیی لب به شکر خنده بگشود</w:t>
      </w:r>
    </w:p>
    <w:p>
      <w:pPr>
        <w:pStyle w:val="Heading3"/>
      </w:pPr>
      <w:bookmarkStart w:id="3518" w:name="_Toc2214"/>
      <w:r>
        <w:t>دیوان خاوری لاهیجی‏</w:t>
      </w:r>
      <w:bookmarkEnd w:id="3518"/>
    </w:p>
    <w:p>
      <w:pPr>
        <w:pStyle w:val="BookText"/>
      </w:pPr>
      <w:r>
        <w:rPr>
          <w:rFonts w:ascii="IRNazanin" w:hAnsi="IRNazanin" w:eastAsia="IRNazanin" w:cs="IRNazanin"/>
          <w:lang w:bidi="fa-IR"/>
          <w:color w:val="111111"/>
          <w:sz w:val="28"/>
          <w:szCs w:val="28"/>
          <w:rtl/>
        </w:rPr>
        <w:t xml:space="preserve">مر بعنوان تجلی لاهیجی و لعله المذکور فی (روشن ص 196)</w:t>
      </w:r>
    </w:p>
    <w:p>
      <w:pPr>
        <w:pStyle w:val="Heading3"/>
      </w:pPr>
      <w:bookmarkStart w:id="3519" w:name="_Toc2215"/>
      <w:r>
        <w:t>1724- دیوان خاوری هروی أو شعره‏</w:t>
      </w:r>
      <w:bookmarkEnd w:id="3519"/>
    </w:p>
    <w:p>
      <w:pPr>
        <w:pStyle w:val="BookText"/>
      </w:pPr>
      <w:r>
        <w:rPr>
          <w:rFonts w:ascii="IRNazanin" w:hAnsi="IRNazanin" w:eastAsia="IRNazanin" w:cs="IRNazanin"/>
          <w:lang w:bidi="fa-IR"/>
          <w:color w:val="111111"/>
          <w:sz w:val="28"/>
          <w:szCs w:val="28"/>
          <w:rtl/>
        </w:rPr>
        <w:t xml:space="preserve">و هو المیرزا محمد باقر جاء إلی طهران بعد فتح هرات أطری فضله و أورد له عدة قصائد فی المدائح المعتمدیة و قال إن شعره علی السبک الشرقی الخراسانی القدیم‏</w:t>
      </w:r>
    </w:p>
    <w:p>
      <w:pPr>
        <w:pStyle w:val="Heading3"/>
      </w:pPr>
      <w:bookmarkStart w:id="3520" w:name="_Toc2216"/>
      <w:r>
        <w:t>دیوان خواجه خاوند</w:t>
      </w:r>
      <w:bookmarkEnd w:id="3520"/>
    </w:p>
    <w:p>
      <w:pPr>
        <w:pStyle w:val="BookText"/>
      </w:pPr>
      <w:r>
        <w:rPr>
          <w:rFonts w:ascii="IRNazanin" w:hAnsi="IRNazanin" w:eastAsia="IRNazanin" w:cs="IRNazanin"/>
          <w:lang w:bidi="fa-IR"/>
          <w:color w:val="111111"/>
          <w:sz w:val="28"/>
          <w:szCs w:val="28"/>
          <w:rtl/>
        </w:rPr>
        <w:t xml:space="preserve">کما فی بعض نسخ مجالس النفائس یأتی بعنوان خواجه خواند</w:t>
      </w:r>
    </w:p>
    <w:p>
      <w:pPr>
        <w:pStyle w:val="Heading3"/>
      </w:pPr>
      <w:bookmarkStart w:id="3521" w:name="_Toc2217"/>
      <w:r>
        <w:t>1725- دیوان السید خاوندشاه‏</w:t>
      </w:r>
      <w:bookmarkEnd w:id="3521"/>
    </w:p>
    <w:p>
      <w:pPr>
        <w:pStyle w:val="BookText"/>
      </w:pPr>
      <w:r>
        <w:rPr>
          <w:rFonts w:ascii="IRNazanin" w:hAnsi="IRNazanin" w:eastAsia="IRNazanin" w:cs="IRNazanin"/>
          <w:lang w:bidi="fa-IR"/>
          <w:color w:val="111111"/>
          <w:sz w:val="28"/>
          <w:szCs w:val="28"/>
          <w:rtl/>
        </w:rPr>
        <w:t xml:space="preserve">و هو السید برهان الدین محمد بن السید کمال الدین محمود من ولد زید الشهید و ینتهی إلی السید خاوند سپیدجل بخمسة آباء و هو والد السید المیر خواند المؤرخ صاحب روضة الصفا توفی والده و هو صغیر فجد فی تحصیل العلوم حتی صار أعلم العلماء فی قبة الإسلام بلخ کما ذکره فی (مجن 4- ص 94 و 270) و ترجمه مفصلا خواند میر فی حبیب السیر و ذکر أولاده المبرز منهم مؤلف روضة الصفا</w:t>
      </w:r>
    </w:p>
    <w:p>
      <w:pPr>
        <w:pStyle w:val="Heading3"/>
      </w:pPr>
      <w:bookmarkStart w:id="3522" w:name="_Toc2218"/>
      <w:r>
        <w:t>دیوان حکیم خباز</w:t>
      </w:r>
      <w:bookmarkEnd w:id="3522"/>
    </w:p>
    <w:p>
      <w:pPr>
        <w:pStyle w:val="BookText"/>
      </w:pPr>
      <w:r>
        <w:rPr>
          <w:rFonts w:ascii="IRNazanin" w:hAnsi="IRNazanin" w:eastAsia="IRNazanin" w:cs="IRNazanin"/>
          <w:lang w:bidi="fa-IR"/>
          <w:color w:val="111111"/>
          <w:sz w:val="28"/>
          <w:szCs w:val="28"/>
          <w:rtl/>
        </w:rPr>
        <w:t xml:space="preserve">اسمه عنایة الله الأصفهانی و تخلصه طبعی یأتی فی الطاء</w:t>
      </w:r>
    </w:p>
    <w:p>
      <w:pPr>
        <w:pStyle w:val="Heading3"/>
      </w:pPr>
      <w:bookmarkStart w:id="3523" w:name="_Toc2219"/>
      <w:r>
        <w:t>1726- دیوان الخباز البلدی‏</w:t>
      </w:r>
      <w:bookmarkEnd w:id="3523"/>
    </w:p>
    <w:p>
      <w:pPr>
        <w:pStyle w:val="BookText"/>
      </w:pPr>
      <w:r>
        <w:rPr>
          <w:rFonts w:ascii="IRNazanin" w:hAnsi="IRNazanin" w:eastAsia="IRNazanin" w:cs="IRNazanin"/>
          <w:lang w:bidi="fa-IR"/>
          <w:color w:val="111111"/>
          <w:sz w:val="28"/>
          <w:szCs w:val="28"/>
          <w:rtl/>
        </w:rPr>
        <w:t xml:space="preserve">اسمه محمد بن أحمد بن حمدان أبو بکر الشاعر الشهیر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85" w:name="pg11704_121765"/>
    <w:bookmarkEnd w:id="285"/>
    <w:p>
      <w:pPr>
        <w:pStyle w:val="BookText"/>
      </w:pPr>
      <w:r>
        <w:rPr>
          <w:rFonts w:ascii="IRNazanin" w:hAnsi="IRNazanin" w:eastAsia="IRNazanin" w:cs="IRNazanin"/>
          <w:lang w:bidi="fa-IR"/>
          <w:color w:val="111111"/>
          <w:sz w:val="28"/>
          <w:szCs w:val="28"/>
          <w:rtl/>
        </w:rPr>
        <w:t xml:space="preserve">المعروف بالخباز البلدی الموصلی ترجمه الثعالبی فی الیتیمة و قال: من عجیب أمره أنه کان أمیا و شعره کله ملح، و کان حافظا للقرآن و کان یتشیع و یتمثل فی شعره بمذهبه و یقتبس فیه القرآن، و ذکر من شعره قوله:</w:t>
      </w:r>
    </w:p>
    <w:p>
      <w:pPr>
        <w:pStyle w:val="BookText"/>
      </w:pPr>
      <w:r>
        <w:rPr>
          <w:rFonts w:ascii="IRNazanin" w:hAnsi="IRNazanin" w:eastAsia="IRNazanin" w:cs="IRNazanin"/>
          <w:lang w:bidi="fa-IR"/>
          <w:color w:val="111111"/>
          <w:sz w:val="28"/>
          <w:szCs w:val="28"/>
          <w:rtl/>
        </w:rPr>
        <w:t xml:space="preserve">جحدت ولاء مولانا علی‏</w:t>
      </w:r>
    </w:p>
    <w:p>
      <w:pPr>
        <w:pStyle w:val="BookText"/>
      </w:pPr>
      <w:r>
        <w:rPr>
          <w:rFonts w:ascii="IRNazanin" w:hAnsi="IRNazanin" w:eastAsia="IRNazanin" w:cs="IRNazanin"/>
          <w:lang w:bidi="fa-IR"/>
          <w:color w:val="111111"/>
          <w:sz w:val="28"/>
          <w:szCs w:val="28"/>
          <w:rtl/>
        </w:rPr>
        <w:t xml:space="preserve">و قدمت الدعی علی الوصی‏</w:t>
      </w:r>
    </w:p>
    <w:p>
      <w:pPr>
        <w:pStyle w:val="BookText"/>
      </w:pPr>
      <w:r>
        <w:rPr>
          <w:rFonts w:ascii="IRNazanin" w:hAnsi="IRNazanin" w:eastAsia="IRNazanin" w:cs="IRNazanin"/>
          <w:lang w:bidi="fa-IR"/>
          <w:color w:val="111111"/>
          <w:sz w:val="28"/>
          <w:szCs w:val="28"/>
          <w:rtl/>
        </w:rPr>
        <w:t xml:space="preserve">و له أشعار فی المراثی، و ترجمه فی نسمة السحر و أمل الآمل و هو غیر الخبزارزی الآتی بعد</w:t>
      </w:r>
    </w:p>
    <w:p>
      <w:pPr>
        <w:pStyle w:val="Heading3"/>
      </w:pPr>
      <w:bookmarkStart w:id="3524" w:name="_Toc2220"/>
      <w:r>
        <w:t>1727- دیوان خبازی نیشابوری أو شعره‏</w:t>
      </w:r>
      <w:bookmarkEnd w:id="3524"/>
    </w:p>
    <w:p>
      <w:pPr>
        <w:pStyle w:val="BookText"/>
      </w:pPr>
      <w:r>
        <w:rPr>
          <w:rFonts w:ascii="IRNazanin" w:hAnsi="IRNazanin" w:eastAsia="IRNazanin" w:cs="IRNazanin"/>
          <w:lang w:bidi="fa-IR"/>
          <w:color w:val="111111"/>
          <w:sz w:val="28"/>
          <w:szCs w:val="28"/>
          <w:rtl/>
        </w:rPr>
        <w:t xml:space="preserve">من شعراء آل سامان معاصر عمارة، و رودکی، و کسائی، و دقیقی، و عجمی، و أضرابهم ترجمه فی (مع- ج 1- ص 199) قال و توفی (342) و لیس فی التذاکر من شعره الا قلیلا و ذکر بعضه و ترجمه العوفی فی لباب الألباب- ج 2 ص 27 و العروضی فی چهار مقالة ص 28 أیضا</w:t>
      </w:r>
    </w:p>
    <w:p>
      <w:pPr>
        <w:pStyle w:val="Heading3"/>
      </w:pPr>
      <w:bookmarkStart w:id="3525" w:name="_Toc2221"/>
      <w:r>
        <w:t>1728- دیوان الخبزارزی‏</w:t>
      </w:r>
      <w:bookmarkEnd w:id="3525"/>
    </w:p>
    <w:p>
      <w:pPr>
        <w:pStyle w:val="BookText"/>
      </w:pPr>
      <w:r>
        <w:rPr>
          <w:rFonts w:ascii="IRNazanin" w:hAnsi="IRNazanin" w:eastAsia="IRNazanin" w:cs="IRNazanin"/>
          <w:lang w:bidi="fa-IR"/>
          <w:color w:val="111111"/>
          <w:sz w:val="28"/>
          <w:szCs w:val="28"/>
          <w:rtl/>
        </w:rPr>
        <w:t xml:space="preserve">لأبی القاسم نضر بن أحمد بن نضر بن مأمون البصری الشاعر الشیعی المشهور بالخبزارزی، کان أمیا لا یتهجی و لا یکتب و کان یخبز هذا النوع من الخبز فی دکانه بمربد البصرة و الناس یجتمعون علیه لیسمعوا عنه غزلیاته، و منهم أبو الحسین محمد بن محمد المعروف بابن لنکک الشاعر البصری الشهیر، و هو الذی جمع دیوان الخبزارزی، و ذکر الخطیب فی تاریخ بغداد ج 13 ص 96 أنه قرأ علیه دیوانه خلق کثیر و ذکر منهم أحمد بن منصور النوشری الذی سمع منه فی بغداد بباب خراسان فی (325) و منهم معافی بن زکریا النهروانی، المعروف بابن طراز و المتمذهب بمذهب الجریری، و المتوفی (390) عن خمس و ثمانین سنة، و ترجمه ابن خلکان (ج 2 ص 153) و هو من شعراء الیتیمة و ذکر الجمیع فی ترجمه مطارحة ابن لنکک معه فی الشعر و آخر شعر الخبزارزی قوله بروایة الخطیب:</w:t>
      </w:r>
    </w:p>
    <w:p>
      <w:pPr>
        <w:pStyle w:val="BookText"/>
      </w:pPr>
      <w:r>
        <w:rPr>
          <w:rFonts w:ascii="IRNazanin" w:hAnsi="IRNazanin" w:eastAsia="IRNazanin" w:cs="IRNazanin"/>
          <w:lang w:bidi="fa-IR"/>
          <w:color w:val="111111"/>
          <w:sz w:val="28"/>
          <w:szCs w:val="28"/>
          <w:rtl/>
        </w:rPr>
        <w:t xml:space="preserve">فإن کان التغرز فیه خیر</w:t>
      </w:r>
    </w:p>
    <w:p>
      <w:pPr>
        <w:pStyle w:val="BookText"/>
      </w:pPr>
      <w:r>
        <w:rPr>
          <w:rFonts w:ascii="IRNazanin" w:hAnsi="IRNazanin" w:eastAsia="IRNazanin" w:cs="IRNazanin"/>
          <w:lang w:bidi="fa-IR"/>
          <w:color w:val="111111"/>
          <w:sz w:val="28"/>
          <w:szCs w:val="28"/>
          <w:rtl/>
        </w:rPr>
        <w:t xml:space="preserve">فلم یکنی الوصی أبا تراب‏</w:t>
      </w:r>
    </w:p>
    <w:p>
      <w:pPr>
        <w:pStyle w:val="BookText"/>
      </w:pPr>
      <w:r>
        <w:rPr>
          <w:rFonts w:ascii="IRNazanin" w:hAnsi="IRNazanin" w:eastAsia="IRNazanin" w:cs="IRNazanin"/>
          <w:lang w:bidi="fa-IR"/>
          <w:color w:val="111111"/>
          <w:sz w:val="28"/>
          <w:szCs w:val="28"/>
          <w:rtl/>
        </w:rPr>
        <w:t xml:space="preserve">و فی ابن خلکان الترفه بدل التغرز و ترجمه أیضا فی (جما- ج 19 ص 218) و قالوا مات 327</w:t>
      </w:r>
    </w:p>
    <w:p>
      <w:pPr>
        <w:pStyle w:val="Heading3"/>
      </w:pPr>
      <w:bookmarkStart w:id="3526" w:name="_Toc2222"/>
      <w:r>
        <w:t>1729- دیوان خبوشانی‏</w:t>
      </w:r>
      <w:bookmarkEnd w:id="3526"/>
    </w:p>
    <w:p>
      <w:pPr>
        <w:pStyle w:val="BookText"/>
      </w:pPr>
      <w:r>
        <w:rPr>
          <w:rFonts w:ascii="IRNazanin" w:hAnsi="IRNazanin" w:eastAsia="IRNazanin" w:cs="IRNazanin"/>
          <w:lang w:bidi="fa-IR"/>
          <w:color w:val="111111"/>
          <w:sz w:val="28"/>
          <w:szCs w:val="28"/>
          <w:rtl/>
        </w:rPr>
        <w:t xml:space="preserve">و هو زین الدین الخبوشانی قال سنگلاخ فی امتحان الفضلاء- ج 2 ص 7 إنه رأی دیوانه بخط أبی تراب الأصفهانی الخطاط و أظنه زین الدین الخوافی الآتی فی الزای‏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86" w:name="pg11704_121766"/>
    <w:bookmarkEnd w:id="286"/>
    <w:p>
      <w:pPr>
        <w:pStyle w:val="Heading3"/>
      </w:pPr>
      <w:bookmarkStart w:id="3527" w:name="_Toc2223"/>
      <w:r>
        <w:t>دیوان ختائی‏</w:t>
      </w:r>
      <w:bookmarkEnd w:id="3527"/>
    </w:p>
    <w:p>
      <w:pPr>
        <w:pStyle w:val="BookText"/>
      </w:pPr>
      <w:r>
        <w:rPr>
          <w:rFonts w:ascii="IRNazanin" w:hAnsi="IRNazanin" w:eastAsia="IRNazanin" w:cs="IRNazanin"/>
          <w:lang w:bidi="fa-IR"/>
          <w:color w:val="111111"/>
          <w:sz w:val="28"/>
          <w:szCs w:val="28"/>
          <w:rtl/>
        </w:rPr>
        <w:t xml:space="preserve">کما هو الصحیح یأتی بعنوان خطائی لاشتهاره به‏</w:t>
      </w:r>
    </w:p>
    <w:p>
      <w:pPr>
        <w:pStyle w:val="Heading3"/>
      </w:pPr>
      <w:bookmarkStart w:id="3528" w:name="_Toc2224"/>
      <w:r>
        <w:t>دیوان ختمی‏</w:t>
      </w:r>
      <w:bookmarkEnd w:id="3528"/>
    </w:p>
    <w:p>
      <w:pPr>
        <w:pStyle w:val="BookText"/>
      </w:pPr>
      <w:r>
        <w:rPr>
          <w:rFonts w:ascii="IRNazanin" w:hAnsi="IRNazanin" w:eastAsia="IRNazanin" w:cs="IRNazanin"/>
          <w:lang w:bidi="fa-IR"/>
          <w:color w:val="111111"/>
          <w:sz w:val="28"/>
          <w:szCs w:val="28"/>
          <w:rtl/>
        </w:rPr>
        <w:t xml:space="preserve">لسلطان حسین بن الشیخ بهلول انکه بیک ترجمه فی (مجن 5) الموضوع لذکر أولاد الأمراء بخراسان فذکر فی (لط 5- ص 110) مطلع غزله و یظهر من ترجمه القزوینی فی (قرمج 5- ص 283) أنه أیضا مثل والده صار حاکما خوارزم من قبل السلطان حسین میرزا بایقرا</w:t>
      </w:r>
    </w:p>
    <w:p>
      <w:pPr>
        <w:pStyle w:val="Heading3"/>
      </w:pPr>
      <w:bookmarkStart w:id="3529" w:name="_Toc2225"/>
      <w:r>
        <w:t>1730- دیوان خجسته أصفهانی أو شعره‏</w:t>
      </w:r>
      <w:bookmarkEnd w:id="3529"/>
    </w:p>
    <w:p>
      <w:pPr>
        <w:pStyle w:val="BookText"/>
      </w:pPr>
      <w:r>
        <w:rPr>
          <w:rFonts w:ascii="IRNazanin" w:hAnsi="IRNazanin" w:eastAsia="IRNazanin" w:cs="IRNazanin"/>
          <w:lang w:bidi="fa-IR"/>
          <w:color w:val="111111"/>
          <w:sz w:val="28"/>
          <w:szCs w:val="28"/>
          <w:rtl/>
        </w:rPr>
        <w:t xml:space="preserve">لمیرزا محمد الشاعر المتوفی (1190) و المدفون فی صحن امام‏زاده أحمد جنب مسجد شاه بأصفهان، کما حکاه فی رجال أصفهان- ص 271 عن آقا نجفی‏</w:t>
      </w:r>
    </w:p>
    <w:p>
      <w:pPr>
        <w:pStyle w:val="Heading3"/>
      </w:pPr>
      <w:bookmarkStart w:id="3530" w:name="_Toc2226"/>
      <w:r>
        <w:t>1731- دیوان خجسته کاشانی‏</w:t>
      </w:r>
      <w:bookmarkEnd w:id="3530"/>
    </w:p>
    <w:p>
      <w:pPr>
        <w:pStyle w:val="BookText"/>
      </w:pPr>
      <w:r>
        <w:rPr>
          <w:rFonts w:ascii="IRNazanin" w:hAnsi="IRNazanin" w:eastAsia="IRNazanin" w:cs="IRNazanin"/>
          <w:lang w:bidi="fa-IR"/>
          <w:color w:val="111111"/>
          <w:sz w:val="28"/>
          <w:szCs w:val="28"/>
          <w:rtl/>
        </w:rPr>
        <w:t xml:space="preserve">لمیرزا محمد خان بن محمد حسین خان عندلیب بن فتح علی خان صبا ملک الشعراء کان أصغر من أخیه محمود خان ملک الشعراء بن عندلیب، و کان تلمیذ عمه أبی القاسم فروغ بن صبا ترجمه معاصره فی (مع- ج 2 ص 111) و أورد قرب (800 بیت) من شعره‏</w:t>
      </w:r>
    </w:p>
    <w:p>
      <w:pPr>
        <w:pStyle w:val="Heading3"/>
      </w:pPr>
      <w:bookmarkStart w:id="3531" w:name="_Toc2227"/>
      <w:r>
        <w:t>دیوان خجندی‏</w:t>
      </w:r>
      <w:bookmarkEnd w:id="3531"/>
    </w:p>
    <w:p>
      <w:pPr>
        <w:pStyle w:val="BookText"/>
      </w:pPr>
      <w:r>
        <w:rPr>
          <w:rFonts w:ascii="IRNazanin" w:hAnsi="IRNazanin" w:eastAsia="IRNazanin" w:cs="IRNazanin"/>
          <w:lang w:bidi="fa-IR"/>
          <w:color w:val="111111"/>
          <w:sz w:val="28"/>
          <w:szCs w:val="28"/>
          <w:rtl/>
        </w:rPr>
        <w:t xml:space="preserve">یأتی بعنوان کمال خجندی و آخر ضیاء خجندی‏</w:t>
      </w:r>
    </w:p>
    <w:p>
      <w:pPr>
        <w:pStyle w:val="Heading3"/>
      </w:pPr>
      <w:bookmarkStart w:id="3532" w:name="_Toc2228"/>
      <w:r>
        <w:t>1732- دیوان خجندی‏</w:t>
      </w:r>
      <w:bookmarkEnd w:id="3532"/>
    </w:p>
    <w:p>
      <w:pPr>
        <w:pStyle w:val="BookText"/>
      </w:pPr>
      <w:r>
        <w:rPr>
          <w:rFonts w:ascii="IRNazanin" w:hAnsi="IRNazanin" w:eastAsia="IRNazanin" w:cs="IRNazanin"/>
          <w:lang w:bidi="fa-IR"/>
          <w:color w:val="111111"/>
          <w:sz w:val="28"/>
          <w:szCs w:val="28"/>
          <w:rtl/>
        </w:rPr>
        <w:t xml:space="preserve">له فی الطب تشریح منظوم بالفارسیة منه نسختان فی مکتبة کلیة الطب بطهران کما فی فهرسها (ج 1- ص 145 و 390) و لا یعلم هل هو فخر الدین محمد بن محمد بن أبی النصر الخجندی مؤلف تنقیح المکنون من کتاب القانون و مختصره الموسوم التلویح إلی أسرار التنقیح الموجود بمکتبة دانشگاه تهران کما فی فهرسها (ج 3 ص 742) أم غیره‏</w:t>
      </w:r>
    </w:p>
    <w:p>
      <w:pPr>
        <w:pStyle w:val="Heading3"/>
      </w:pPr>
      <w:bookmarkStart w:id="3533" w:name="_Toc2229"/>
      <w:r>
        <w:t>دیوان خدیجة داغستانی‏</w:t>
      </w:r>
      <w:bookmarkEnd w:id="3533"/>
    </w:p>
    <w:p>
      <w:pPr>
        <w:pStyle w:val="BookText"/>
      </w:pPr>
      <w:r>
        <w:rPr>
          <w:rFonts w:ascii="IRNazanin" w:hAnsi="IRNazanin" w:eastAsia="IRNazanin" w:cs="IRNazanin"/>
          <w:lang w:bidi="fa-IR"/>
          <w:color w:val="111111"/>
          <w:sz w:val="28"/>
          <w:szCs w:val="28"/>
          <w:rtl/>
        </w:rPr>
        <w:t xml:space="preserve">راجع دیوان سلطان داغستانی‏</w:t>
      </w:r>
    </w:p>
    <w:p>
      <w:pPr>
        <w:pStyle w:val="Heading3"/>
      </w:pPr>
      <w:bookmarkStart w:id="3534" w:name="_Toc2230"/>
      <w:r>
        <w:t>1733- دیوان خراسانی خان أو شعره‏</w:t>
      </w:r>
      <w:bookmarkEnd w:id="3534"/>
    </w:p>
    <w:p>
      <w:pPr>
        <w:pStyle w:val="BookText"/>
      </w:pPr>
      <w:r>
        <w:rPr>
          <w:rFonts w:ascii="IRNazanin" w:hAnsi="IRNazanin" w:eastAsia="IRNazanin" w:cs="IRNazanin"/>
          <w:lang w:bidi="fa-IR"/>
          <w:color w:val="111111"/>
          <w:sz w:val="28"/>
          <w:szCs w:val="28"/>
          <w:rtl/>
        </w:rPr>
        <w:t xml:space="preserve">و هو الشاعر اللاری العالم البارع من تلامیذ العلامة المحقق الدوانی ترجمه سام میرزا فی (تس 4 ص 68) و ذکر بعض شعره فی المناقب و غیره‏</w:t>
      </w:r>
    </w:p>
    <w:p>
      <w:pPr>
        <w:pStyle w:val="Heading3"/>
      </w:pPr>
      <w:bookmarkStart w:id="3535" w:name="_Toc2231"/>
      <w:r>
        <w:t>1734- دیوان خرامی تبریزی أو شعره‏</w:t>
      </w:r>
      <w:bookmarkEnd w:id="3535"/>
    </w:p>
    <w:p>
      <w:pPr>
        <w:pStyle w:val="BookText"/>
      </w:pPr>
      <w:r>
        <w:rPr>
          <w:rFonts w:ascii="IRNazanin" w:hAnsi="IRNazanin" w:eastAsia="IRNazanin" w:cs="IRNazanin"/>
          <w:lang w:bidi="fa-IR"/>
          <w:color w:val="111111"/>
          <w:sz w:val="28"/>
          <w:szCs w:val="28"/>
          <w:rtl/>
        </w:rPr>
        <w:t xml:space="preserve">أطرأه معاصره سام میرزا فی (تس 5- ص 142) و أورد مطلع غزله، و من إطرائه قوله (و حافظ کلام است) و الظاهر أن المراد أنه حافظ کلام الله المجید کما فهمه فی (دجا- ص 134)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87" w:name="pg11704_121767"/>
    <w:bookmarkEnd w:id="287"/>
    <w:p>
      <w:pPr>
        <w:pStyle w:val="Heading3"/>
      </w:pPr>
      <w:bookmarkStart w:id="3536" w:name="_Toc2232"/>
      <w:r>
        <w:t>1735- دیوان خرد نوری‏</w:t>
      </w:r>
      <w:bookmarkEnd w:id="3536"/>
    </w:p>
    <w:p>
      <w:pPr>
        <w:pStyle w:val="BookText"/>
      </w:pPr>
      <w:r>
        <w:rPr>
          <w:rFonts w:ascii="IRNazanin" w:hAnsi="IRNazanin" w:eastAsia="IRNazanin" w:cs="IRNazanin"/>
          <w:lang w:bidi="fa-IR"/>
          <w:color w:val="111111"/>
          <w:sz w:val="28"/>
          <w:szCs w:val="28"/>
          <w:rtl/>
        </w:rPr>
        <w:t xml:space="preserve">نزیل أصفهان و اسمه میرزا علی مردان ترجمه فی (مع ج 2 ص 111) و ذکر أن له أهاج رکیکة و ذکر أحسن أشعاره و قال إنه تاب عن الهجاء و توفی فی نخجوان (1098) و لعله (1197) لأن التاریخ مناف لکونه من معاصریه الا أن یقال إن هدایت یعد شعراء القرن الحادی عشر من معاصریه‏</w:t>
      </w:r>
    </w:p>
    <w:p>
      <w:pPr>
        <w:pStyle w:val="Heading3"/>
      </w:pPr>
      <w:bookmarkStart w:id="3537" w:name="_Toc2233"/>
      <w:r>
        <w:t>1736- دیوان خرد بلخی أو شعره‏</w:t>
      </w:r>
      <w:bookmarkEnd w:id="3537"/>
    </w:p>
    <w:p>
      <w:pPr>
        <w:pStyle w:val="BookText"/>
      </w:pPr>
      <w:r>
        <w:rPr>
          <w:rFonts w:ascii="IRNazanin" w:hAnsi="IRNazanin" w:eastAsia="IRNazanin" w:cs="IRNazanin"/>
          <w:lang w:bidi="fa-IR"/>
          <w:color w:val="111111"/>
          <w:sz w:val="28"/>
          <w:szCs w:val="28"/>
          <w:rtl/>
        </w:rPr>
        <w:t xml:space="preserve">و اسمه المیر محمود خان هاجر من بلخ إلی الهند و لازم عالمگیر شاه، و کان ماهرا فی الأدب و مات 1161، أورد شعره فی (روشن- ص 197)</w:t>
      </w:r>
    </w:p>
    <w:p>
      <w:pPr>
        <w:pStyle w:val="Heading3"/>
      </w:pPr>
      <w:bookmarkStart w:id="3538" w:name="_Toc2234"/>
      <w:r>
        <w:t>دیوان قاضی خرد سمرقندی‏</w:t>
      </w:r>
      <w:bookmarkEnd w:id="3538"/>
    </w:p>
    <w:p>
      <w:pPr>
        <w:pStyle w:val="BookText"/>
      </w:pPr>
      <w:r>
        <w:rPr>
          <w:rFonts w:ascii="IRNazanin" w:hAnsi="IRNazanin" w:eastAsia="IRNazanin" w:cs="IRNazanin"/>
          <w:lang w:bidi="fa-IR"/>
          <w:color w:val="111111"/>
          <w:sz w:val="28"/>
          <w:szCs w:val="28"/>
          <w:rtl/>
        </w:rPr>
        <w:t xml:space="preserve">راجع خسرو سمرقندی‏</w:t>
      </w:r>
    </w:p>
    <w:p>
      <w:pPr>
        <w:pStyle w:val="Heading3"/>
      </w:pPr>
      <w:bookmarkStart w:id="3539" w:name="_Toc2235"/>
      <w:r>
        <w:t>1737- دیوان خرد لاهوری أو شعره‏</w:t>
      </w:r>
      <w:bookmarkEnd w:id="3539"/>
    </w:p>
    <w:p>
      <w:pPr>
        <w:pStyle w:val="BookText"/>
      </w:pPr>
      <w:r>
        <w:rPr>
          <w:rFonts w:ascii="IRNazanin" w:hAnsi="IRNazanin" w:eastAsia="IRNazanin" w:cs="IRNazanin"/>
          <w:lang w:bidi="fa-IR"/>
          <w:color w:val="111111"/>
          <w:sz w:val="28"/>
          <w:szCs w:val="28"/>
          <w:rtl/>
        </w:rPr>
        <w:t xml:space="preserve">و اسمه الخواجة محمد یحیی خان اللاهوری من أحفاد زکریا خان أورد شعره فی (روشن- ص 197)</w:t>
      </w:r>
    </w:p>
    <w:p>
      <w:pPr>
        <w:pStyle w:val="Heading3"/>
      </w:pPr>
      <w:bookmarkStart w:id="3540" w:name="_Toc2236"/>
      <w:r>
        <w:t>دیوان خرده کاشانی‏</w:t>
      </w:r>
      <w:bookmarkEnd w:id="3540"/>
    </w:p>
    <w:p>
      <w:pPr>
        <w:pStyle w:val="BookText"/>
      </w:pPr>
      <w:r>
        <w:rPr>
          <w:rFonts w:ascii="IRNazanin" w:hAnsi="IRNazanin" w:eastAsia="IRNazanin" w:cs="IRNazanin"/>
          <w:lang w:bidi="fa-IR"/>
          <w:color w:val="111111"/>
          <w:sz w:val="28"/>
          <w:szCs w:val="28"/>
          <w:rtl/>
        </w:rPr>
        <w:t xml:space="preserve">و اسمه محمد باقر کما رأیته فی بعض الفهارس‏</w:t>
      </w:r>
    </w:p>
    <w:p>
      <w:pPr>
        <w:pStyle w:val="Heading3"/>
      </w:pPr>
      <w:bookmarkStart w:id="3541" w:name="_Toc2237"/>
      <w:r>
        <w:t>دیوان الخرسان‏</w:t>
      </w:r>
      <w:bookmarkEnd w:id="3541"/>
    </w:p>
    <w:p>
      <w:pPr>
        <w:pStyle w:val="BookText"/>
      </w:pPr>
      <w:r>
        <w:rPr>
          <w:rFonts w:ascii="IRNazanin" w:hAnsi="IRNazanin" w:eastAsia="IRNazanin" w:cs="IRNazanin"/>
          <w:lang w:bidi="fa-IR"/>
          <w:color w:val="111111"/>
          <w:sz w:val="28"/>
          <w:szCs w:val="28"/>
          <w:rtl/>
        </w:rPr>
        <w:t xml:space="preserve">مر بعنوان السید جعفر الخرسان النجفی‏</w:t>
      </w:r>
    </w:p>
    <w:p>
      <w:pPr>
        <w:pStyle w:val="Heading3"/>
      </w:pPr>
      <w:bookmarkStart w:id="3542" w:name="_Toc2238"/>
      <w:r>
        <w:t>1738- دیوان خرسندی کازرونی‏</w:t>
      </w:r>
      <w:bookmarkEnd w:id="3542"/>
    </w:p>
    <w:p>
      <w:pPr>
        <w:pStyle w:val="BookText"/>
      </w:pPr>
      <w:r>
        <w:rPr>
          <w:rFonts w:ascii="IRNazanin" w:hAnsi="IRNazanin" w:eastAsia="IRNazanin" w:cs="IRNazanin"/>
          <w:lang w:bidi="fa-IR"/>
          <w:color w:val="111111"/>
          <w:sz w:val="28"/>
          <w:szCs w:val="28"/>
          <w:rtl/>
        </w:rPr>
        <w:t xml:space="preserve">و هو المیرزا إسماعیل الکازرونی الأصل الشیرازی المولد، نزل طهران من سنة (1259) و لازم محمد شاه، ثم نصبه ناصر الدین وقایع‏نگارا لکرمان ثم أصفهان فی عهد وزارة محمد تقی الفراهانی ترجمه فی (مع- ج 2 ص 109) و ذکر شعره، و یظهر حیاته حین التألیف (1282)</w:t>
      </w:r>
    </w:p>
    <w:p>
      <w:pPr>
        <w:pStyle w:val="Heading3"/>
      </w:pPr>
      <w:bookmarkStart w:id="3543" w:name="_Toc2239"/>
      <w:r>
        <w:t>دیوان خرقانی‏</w:t>
      </w:r>
      <w:bookmarkEnd w:id="3543"/>
    </w:p>
    <w:p>
      <w:pPr>
        <w:pStyle w:val="BookText"/>
      </w:pPr>
      <w:r>
        <w:rPr>
          <w:rFonts w:ascii="IRNazanin" w:hAnsi="IRNazanin" w:eastAsia="IRNazanin" w:cs="IRNazanin"/>
          <w:lang w:bidi="fa-IR"/>
          <w:color w:val="111111"/>
          <w:sz w:val="28"/>
          <w:szCs w:val="28"/>
          <w:rtl/>
        </w:rPr>
        <w:t xml:space="preserve">مر بعنوان أبی الحسن الخرقانی‏</w:t>
      </w:r>
    </w:p>
    <w:p>
      <w:pPr>
        <w:pStyle w:val="Heading3"/>
      </w:pPr>
      <w:bookmarkStart w:id="3544" w:name="_Toc2240"/>
      <w:r>
        <w:t>1739- دیوان خرم أصفهانی‏</w:t>
      </w:r>
      <w:bookmarkEnd w:id="3544"/>
    </w:p>
    <w:p>
      <w:pPr>
        <w:pStyle w:val="BookText"/>
      </w:pPr>
      <w:r>
        <w:rPr>
          <w:rFonts w:ascii="IRNazanin" w:hAnsi="IRNazanin" w:eastAsia="IRNazanin" w:cs="IRNazanin"/>
          <w:lang w:bidi="fa-IR"/>
          <w:color w:val="111111"/>
          <w:sz w:val="28"/>
          <w:szCs w:val="28"/>
          <w:rtl/>
        </w:rPr>
        <w:t xml:space="preserve">و اسمه عباس علی طبع بأصفهان فی (1318) و بطهران بلا تاریخ و مر بعنوان دشت خرم فی (ج 8 ص 171)</w:t>
      </w:r>
    </w:p>
    <w:p>
      <w:pPr>
        <w:pStyle w:val="Heading3"/>
      </w:pPr>
      <w:bookmarkStart w:id="3545" w:name="_Toc2241"/>
      <w:r>
        <w:t>1740- دیوان خرم شیرازی أو شعره‏</w:t>
      </w:r>
      <w:bookmarkEnd w:id="3545"/>
    </w:p>
    <w:p>
      <w:pPr>
        <w:pStyle w:val="BookText"/>
      </w:pPr>
      <w:r>
        <w:rPr>
          <w:rFonts w:ascii="IRNazanin" w:hAnsi="IRNazanin" w:eastAsia="IRNazanin" w:cs="IRNazanin"/>
          <w:lang w:bidi="fa-IR"/>
          <w:color w:val="111111"/>
          <w:sz w:val="28"/>
          <w:szCs w:val="28"/>
          <w:rtl/>
        </w:rPr>
        <w:t xml:space="preserve">و هو میرزا محمود الحمزوی المتوفی بشیراز فی (1306) و دفن بشاه چراغ کما ترجمه و أورد شعره فی (عم- ص 555)</w:t>
      </w:r>
    </w:p>
    <w:p>
      <w:pPr>
        <w:pStyle w:val="Heading3"/>
      </w:pPr>
      <w:bookmarkStart w:id="3546" w:name="_Toc2242"/>
      <w:r>
        <w:t>1741- دیوان خرم شیرازی‏</w:t>
      </w:r>
      <w:bookmarkEnd w:id="3546"/>
    </w:p>
    <w:p>
      <w:pPr>
        <w:pStyle w:val="BookText"/>
      </w:pPr>
      <w:r>
        <w:rPr>
          <w:rFonts w:ascii="IRNazanin" w:hAnsi="IRNazanin" w:eastAsia="IRNazanin" w:cs="IRNazanin"/>
          <w:lang w:bidi="fa-IR"/>
          <w:color w:val="111111"/>
          <w:sz w:val="28"/>
          <w:szCs w:val="28"/>
          <w:rtl/>
        </w:rPr>
        <w:t xml:space="preserve">اسمه المیرزا أبو الحسن الشاعر المتخلص بخرم فیه قصائد فی مدح ناصر الدین شاه و ولی عهده و سائر ولده و غزلیات طبع فی بمبئی فی (40 ص) فی (1309) و له الشجاعة الحسنیة نظیر الحملة الحیدریة مطبوع تلک السنة أیضا</w:t>
      </w:r>
    </w:p>
    <w:p>
      <w:pPr>
        <w:pStyle w:val="Heading3"/>
      </w:pPr>
      <w:bookmarkStart w:id="3547" w:name="_Toc2243"/>
      <w:r>
        <w:t>1742- دیوان خرم شیرازی‏</w:t>
      </w:r>
      <w:bookmarkEnd w:id="3547"/>
    </w:p>
    <w:p>
      <w:pPr>
        <w:pStyle w:val="BookText"/>
      </w:pPr>
      <w:r>
        <w:rPr>
          <w:rFonts w:ascii="IRNazanin" w:hAnsi="IRNazanin" w:eastAsia="IRNazanin" w:cs="IRNazanin"/>
          <w:lang w:bidi="fa-IR"/>
          <w:color w:val="111111"/>
          <w:sz w:val="28"/>
          <w:szCs w:val="28"/>
          <w:rtl/>
        </w:rPr>
        <w:t xml:space="preserve">و اسمه نجف قلی الشیرازی من خدام حضور صاحب‏قران میرزا ابن فتح علی شاه، ینظم کل أسبوع غزلا یقرئه علی السلطان و یأخذ جائزته، و قد جمع‏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88" w:name="pg11704_121768"/>
    <w:bookmarkEnd w:id="288"/>
    <w:p>
      <w:pPr>
        <w:pStyle w:val="BookText"/>
      </w:pPr>
      <w:r>
        <w:rPr>
          <w:rFonts w:ascii="IRNazanin" w:hAnsi="IRNazanin" w:eastAsia="IRNazanin" w:cs="IRNazanin"/>
          <w:lang w:bidi="fa-IR"/>
          <w:color w:val="111111"/>
          <w:sz w:val="28"/>
          <w:szCs w:val="28"/>
          <w:rtl/>
        </w:rPr>
        <w:t xml:space="preserve">دیوانه فی ثلاثة آلاف بیت کذا ترجمه فی (مع- ج 2 ص 110)</w:t>
      </w:r>
    </w:p>
    <w:p>
      <w:pPr>
        <w:pStyle w:val="Heading3"/>
      </w:pPr>
      <w:bookmarkStart w:id="3548" w:name="_Toc2244"/>
      <w:r>
        <w:t>1743- دیوان خرم کردشتی القراچه‏داغی‏</w:t>
      </w:r>
      <w:bookmarkEnd w:id="3548"/>
    </w:p>
    <w:p>
      <w:pPr>
        <w:pStyle w:val="BookText"/>
      </w:pPr>
      <w:r>
        <w:rPr>
          <w:rFonts w:ascii="IRNazanin" w:hAnsi="IRNazanin" w:eastAsia="IRNazanin" w:cs="IRNazanin"/>
          <w:lang w:bidi="fa-IR"/>
          <w:color w:val="111111"/>
          <w:sz w:val="28"/>
          <w:szCs w:val="28"/>
          <w:rtl/>
        </w:rPr>
        <w:t xml:space="preserve">ترجمه فی (دجا- ص 134) و ذکر أنه توفی فی أهر مبعدا فی (1241) و طبع دیوانه الذی جمعه و له سبعون من العمر فی (1307)</w:t>
      </w:r>
    </w:p>
    <w:p>
      <w:pPr>
        <w:pStyle w:val="Heading3"/>
      </w:pPr>
      <w:bookmarkStart w:id="3549" w:name="_Toc2245"/>
      <w:r>
        <w:t>1744- دیوان خرم مازندرانی زانوسی‏</w:t>
      </w:r>
      <w:bookmarkEnd w:id="3549"/>
    </w:p>
    <w:p>
      <w:pPr>
        <w:pStyle w:val="BookText"/>
      </w:pPr>
      <w:r>
        <w:rPr>
          <w:rFonts w:ascii="IRNazanin" w:hAnsi="IRNazanin" w:eastAsia="IRNazanin" w:cs="IRNazanin"/>
          <w:lang w:bidi="fa-IR"/>
          <w:color w:val="111111"/>
          <w:sz w:val="28"/>
          <w:szCs w:val="28"/>
          <w:rtl/>
        </w:rPr>
        <w:t xml:space="preserve">من محال کجور اسمه حسین و أصله من خراسان نزل إلی ساری مازندران و اشتغل بالعطارة و مشربه التصوف، و مذهبه التعشق، کذا وصفه معاصره فی (مع- ج 2 ص 111) و أورد رباعیة له قال فی المدائح المعتمدیة إن والده پاشا قاسم کان عامل کجور، و ترک هو العمل و خدم حیدر قلی میرزا خاور قاجار ثم أورد قصیدته‏</w:t>
      </w:r>
    </w:p>
    <w:p>
      <w:pPr>
        <w:pStyle w:val="Heading3"/>
      </w:pPr>
      <w:bookmarkStart w:id="3550" w:name="_Toc2246"/>
      <w:r>
        <w:t>1745- دیوان خرم مشهدی أو شعره‏</w:t>
      </w:r>
      <w:bookmarkEnd w:id="3550"/>
    </w:p>
    <w:p>
      <w:pPr>
        <w:pStyle w:val="BookText"/>
      </w:pPr>
      <w:r>
        <w:rPr>
          <w:rFonts w:ascii="IRNazanin" w:hAnsi="IRNazanin" w:eastAsia="IRNazanin" w:cs="IRNazanin"/>
          <w:lang w:bidi="fa-IR"/>
          <w:color w:val="111111"/>
          <w:sz w:val="28"/>
          <w:szCs w:val="28"/>
          <w:rtl/>
        </w:rPr>
        <w:t xml:space="preserve">هو من خراسان، و اسمه عبد الحمید، هاجر من مشهد إلی یزد، و جد فی تحصیل العلوم الرسمیة حتی فرغ منها ترجمه معاصره فی (مع- ج 2 ص 111) و أورد بعض شعره‏</w:t>
      </w:r>
    </w:p>
    <w:p>
      <w:pPr>
        <w:pStyle w:val="Heading3"/>
      </w:pPr>
      <w:bookmarkStart w:id="3551" w:name="_Toc2247"/>
      <w:r>
        <w:t>1746- دیوان خرمی هروی أو شعره‏</w:t>
      </w:r>
      <w:bookmarkEnd w:id="3551"/>
    </w:p>
    <w:p>
      <w:pPr>
        <w:pStyle w:val="BookText"/>
      </w:pPr>
      <w:r>
        <w:rPr>
          <w:rFonts w:ascii="IRNazanin" w:hAnsi="IRNazanin" w:eastAsia="IRNazanin" w:cs="IRNazanin"/>
          <w:lang w:bidi="fa-IR"/>
          <w:color w:val="111111"/>
          <w:sz w:val="28"/>
          <w:szCs w:val="28"/>
          <w:rtl/>
        </w:rPr>
        <w:t xml:space="preserve">معاصر الأمیر علی شیر و قد ذمه فی (مجن 3- ص 63 و ص 236) و ادعی أنه مع زیارته الحرمین و قبور الأنبیاء و سائر المشایخ فی بیت المقدس ماشیا مرتین، لم یؤثر ذلک کله فی قبح سریرته شیئا، و ذکر مطلعا من غزله‏</w:t>
      </w:r>
    </w:p>
    <w:p>
      <w:pPr>
        <w:pStyle w:val="Heading3"/>
      </w:pPr>
      <w:bookmarkStart w:id="3552" w:name="_Toc2248"/>
      <w:r>
        <w:t>1747- دیوان مولانا خرمی‏</w:t>
      </w:r>
      <w:bookmarkEnd w:id="3552"/>
    </w:p>
    <w:p>
      <w:pPr>
        <w:pStyle w:val="BookText"/>
      </w:pPr>
      <w:r>
        <w:rPr>
          <w:rFonts w:ascii="IRNazanin" w:hAnsi="IRNazanin" w:eastAsia="IRNazanin" w:cs="IRNazanin"/>
          <w:lang w:bidi="fa-IR"/>
          <w:color w:val="111111"/>
          <w:sz w:val="28"/>
          <w:szCs w:val="28"/>
          <w:rtl/>
        </w:rPr>
        <w:t xml:space="preserve">من شعراء السلطان یعقوب خان الترکمان من آق‏قوینلو أورد ترجمته شاه محمد القزوینی فی ما ألحقه بترجمة مجالس النفائس فی البهشت السادس فی (ص 301) و وصفه بأنه لأحد لفضائله، و أورد مطالع بعض غزلیاته‏</w:t>
      </w:r>
    </w:p>
    <w:p>
      <w:pPr>
        <w:pStyle w:val="Heading3"/>
      </w:pPr>
      <w:bookmarkStart w:id="3553" w:name="_Toc2249"/>
      <w:r>
        <w:t>1748- دیوان خروشی تبریزی أو شعره‏</w:t>
      </w:r>
      <w:bookmarkEnd w:id="3553"/>
    </w:p>
    <w:p>
      <w:pPr>
        <w:pStyle w:val="BookText"/>
      </w:pPr>
      <w:r>
        <w:rPr>
          <w:rFonts w:ascii="IRNazanin" w:hAnsi="IRNazanin" w:eastAsia="IRNazanin" w:cs="IRNazanin"/>
          <w:lang w:bidi="fa-IR"/>
          <w:color w:val="111111"/>
          <w:sz w:val="28"/>
          <w:szCs w:val="28"/>
          <w:rtl/>
        </w:rPr>
        <w:t xml:space="preserve">و اسمه حسن بیک أخو تقی خان الذی نصبه الشاه عباس سلطانا علی أحد بلدان آذربایجان، و کان هو قبچاچی‏باشی للشاه، فبعثه إلی ملک الهند و رجع و اعتزل عن الإمرة، و جالس الأدباء و الشعراء کذا ترجمه فی (نر 4- ص 75) و قال کنت أجتمع معه مرارا، ثم أورد شعره، و ترجمه فی (گلشن ص 151) و (تغ- ص 49) و کذا فی (دجا- ص 135) عن تذکره سامی اشتباها</w:t>
      </w:r>
    </w:p>
    <w:p>
      <w:pPr>
        <w:pStyle w:val="Heading3"/>
      </w:pPr>
      <w:bookmarkStart w:id="3554" w:name="_Toc2250"/>
      <w:r>
        <w:t>دیوان الخزاعی‏</w:t>
      </w:r>
      <w:bookmarkEnd w:id="3554"/>
    </w:p>
    <w:p>
      <w:pPr>
        <w:pStyle w:val="BookText"/>
      </w:pPr>
      <w:r>
        <w:rPr>
          <w:rFonts w:ascii="IRNazanin" w:hAnsi="IRNazanin" w:eastAsia="IRNazanin" w:cs="IRNazanin"/>
          <w:lang w:bidi="fa-IR"/>
          <w:color w:val="111111"/>
          <w:sz w:val="28"/>
          <w:szCs w:val="28"/>
          <w:rtl/>
        </w:rPr>
        <w:t xml:space="preserve">یأتی بعنوان دعبل‏</w:t>
      </w:r>
    </w:p>
    <w:p>
      <w:pPr>
        <w:pStyle w:val="Heading3"/>
      </w:pPr>
      <w:bookmarkStart w:id="3555" w:name="_Toc2251"/>
      <w:r>
        <w:t>1749- دیوان مولانا خزانی سمرقندی أو شعره‏</w:t>
      </w:r>
      <w:bookmarkEnd w:id="3555"/>
    </w:p>
    <w:p>
      <w:pPr>
        <w:pStyle w:val="BookText"/>
      </w:pPr>
      <w:r>
        <w:rPr>
          <w:rFonts w:ascii="IRNazanin" w:hAnsi="IRNazanin" w:eastAsia="IRNazanin" w:cs="IRNazanin"/>
          <w:lang w:bidi="fa-IR"/>
          <w:color w:val="111111"/>
          <w:sz w:val="28"/>
          <w:szCs w:val="28"/>
          <w:rtl/>
        </w:rPr>
        <w:t xml:space="preserve">و هو ابن مولانا یحیی السمرقندی ترجمه شاه محمد القزوینی فی (بهش 2- ص 377) و ذکر أنه سافر من طریق قبچاق إلی‏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89" w:name="pg11704_121769"/>
    <w:bookmarkEnd w:id="289"/>
    <w:p>
      <w:pPr>
        <w:pStyle w:val="BookText"/>
      </w:pPr>
      <w:r>
        <w:rPr>
          <w:rFonts w:ascii="IRNazanin" w:hAnsi="IRNazanin" w:eastAsia="IRNazanin" w:cs="IRNazanin"/>
          <w:lang w:bidi="fa-IR"/>
          <w:color w:val="111111"/>
          <w:sz w:val="28"/>
          <w:szCs w:val="28"/>
          <w:rtl/>
        </w:rPr>
        <w:t xml:space="preserve">الروم و منها إلی مکة المعظمة مع والده فی (928) و أورد بعض شعره‏</w:t>
      </w:r>
    </w:p>
    <w:p>
      <w:pPr>
        <w:pStyle w:val="Heading3"/>
      </w:pPr>
      <w:bookmarkStart w:id="3556" w:name="_Toc2252"/>
      <w:r>
        <w:t>1750- دیوان خزانی قمی أو شعره‏</w:t>
      </w:r>
      <w:bookmarkEnd w:id="3556"/>
    </w:p>
    <w:p>
      <w:pPr>
        <w:pStyle w:val="BookText"/>
      </w:pPr>
      <w:r>
        <w:rPr>
          <w:rFonts w:ascii="IRNazanin" w:hAnsi="IRNazanin" w:eastAsia="IRNazanin" w:cs="IRNazanin"/>
          <w:lang w:bidi="fa-IR"/>
          <w:color w:val="111111"/>
          <w:sz w:val="28"/>
          <w:szCs w:val="28"/>
          <w:rtl/>
        </w:rPr>
        <w:t xml:space="preserve">ترجمه معاصره فی (تس 5- ص 164) و قال کان یلازم المقابر و الموتی، و کان فیه غرام شدید، و أورد شعره‏</w:t>
      </w:r>
    </w:p>
    <w:p>
      <w:pPr>
        <w:pStyle w:val="Heading3"/>
      </w:pPr>
      <w:bookmarkStart w:id="3557" w:name="_Toc2253"/>
      <w:r>
        <w:t>1751- دیوان خسرو بن معین‏</w:t>
      </w:r>
      <w:bookmarkEnd w:id="3557"/>
    </w:p>
    <w:p>
      <w:pPr>
        <w:pStyle w:val="BookText"/>
      </w:pPr>
      <w:r>
        <w:rPr>
          <w:rFonts w:ascii="IRNazanin" w:hAnsi="IRNazanin" w:eastAsia="IRNazanin" w:cs="IRNazanin"/>
          <w:lang w:bidi="fa-IR"/>
          <w:color w:val="111111"/>
          <w:sz w:val="28"/>
          <w:szCs w:val="28"/>
          <w:rtl/>
        </w:rPr>
        <w:t xml:space="preserve">له طب‏نامه نظما بالفارسیة فی الطب نظمه للشاه منصور من آل مظفر فی ستة فصول توجد نسخته فی مکتبة کلیة الطب بطهران، کما فی فهرسها ج 1 ص 327 و 391</w:t>
      </w:r>
    </w:p>
    <w:p>
      <w:pPr>
        <w:pStyle w:val="Heading3"/>
      </w:pPr>
      <w:bookmarkStart w:id="3558" w:name="_Toc2254"/>
      <w:r>
        <w:t>1752- دیوان الخسروانی‏</w:t>
      </w:r>
      <w:bookmarkEnd w:id="3558"/>
    </w:p>
    <w:p>
      <w:pPr>
        <w:pStyle w:val="BookText"/>
      </w:pPr>
      <w:r>
        <w:rPr>
          <w:rFonts w:ascii="IRNazanin" w:hAnsi="IRNazanin" w:eastAsia="IRNazanin" w:cs="IRNazanin"/>
          <w:lang w:bidi="fa-IR"/>
          <w:color w:val="111111"/>
          <w:sz w:val="28"/>
          <w:szCs w:val="28"/>
          <w:rtl/>
        </w:rPr>
        <w:t xml:space="preserve">و هو الحکیم أبو طاهر الطیب بن محمد الخراسانی الخسروانی من شعراء آل سامان فی القرن الرابع ترجم أحواله و أورد شعره فی التذاکر کما فی (مع 1 ص 199)</w:t>
      </w:r>
    </w:p>
    <w:p>
      <w:pPr>
        <w:pStyle w:val="Heading3"/>
      </w:pPr>
      <w:bookmarkStart w:id="3559" w:name="_Toc2255"/>
      <w:r>
        <w:t>1753- دیوان أمیر خسرو دهلوی‏</w:t>
      </w:r>
      <w:bookmarkEnd w:id="3559"/>
    </w:p>
    <w:p>
      <w:pPr>
        <w:pStyle w:val="BookText"/>
      </w:pPr>
      <w:r>
        <w:rPr>
          <w:rFonts w:ascii="IRNazanin" w:hAnsi="IRNazanin" w:eastAsia="IRNazanin" w:cs="IRNazanin"/>
          <w:lang w:bidi="fa-IR"/>
          <w:color w:val="111111"/>
          <w:sz w:val="28"/>
          <w:szCs w:val="28"/>
          <w:rtl/>
        </w:rPr>
        <w:t xml:space="preserve">و هو أبو الحسن خسر بن الأمیر سیف الدین محمود کان آباؤه من طائفة لاخین من أمراء هزاره و بلخ و کش فی ترکستان، و بعد هجوم المغول هربوا إلی الهند، فولد حسن ببلدة آکرة (مؤمن‏آباد) فی (651) و تربی هناک، و مات أبوه و هو صغیر فرباه أخوه فی دهلی، و لقبه أستاذه المیر نظام الدین أولیاء ترک الله و کاسه لیس و مات بعد ستة أشهر من موت أستاذه هذا فی (725) کما فی شاهد صادق و غیره ترجمه فی تاریخ فرشته (ج 2 ص 753) و (تش- ص 346) و (مجالس العشاق- ص 130) و (مع- ج 1 ص 213) و دولت شاه فی الطبقة الرابعة و (خز- ص 209) و ترجمه شعر العجم (ج 2 ص 77) و المستر براون فی تاریخه للأدب الفارسی (ج 3 ص- 130) و فی فهرس مکتبة دانشگاه (ج 2 ص 175- 182) و کلها مأخوذة مما کتبه هو فی مقدمات دواوینه قال هو: و شعری یزید علی أربعمائة ألف بیت قال دولت شاه و قد هم السلطان أبو سعید بایسنقر (المتوفی 838) بجمع شعره فلم یقدر علی ذلک و قد جمع بنفسه خمسة دواوین من شعره فی حیاته مرتبة علی سنین عمره، و کتب لکل دیباجة، و هی تحفه الصغر و وسط الحیاة و غرة الکمال و بقیة نقیة و نهایة الکمال و له غیر ذلک خمس مثنویات هی: مطلع الأنوار و خسرو و شیرین و مجنون و لیلی و آیینه اسکندری و هشت بهشت و له غیر ذلک نظما قران السعدین و دولرانی خضرخانی و نه‏سپهر و غیرها و کلها مطبوعات کما یأتی فی محالها و طبع منتخب دیوانه بنولکشور فی 1910 م و ذکر له فی‏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90" w:name="pg11704_121770"/>
    <w:bookmarkEnd w:id="290"/>
    <w:p>
      <w:pPr>
        <w:pStyle w:val="BookText"/>
      </w:pPr>
      <w:r>
        <w:rPr>
          <w:rFonts w:ascii="IRNazanin" w:hAnsi="IRNazanin" w:eastAsia="IRNazanin" w:cs="IRNazanin"/>
          <w:lang w:bidi="fa-IR"/>
          <w:color w:val="111111"/>
          <w:sz w:val="28"/>
          <w:szCs w:val="28"/>
          <w:rtl/>
        </w:rPr>
        <w:t xml:space="preserve">کشف الظنون قصیدة شینیة فی (150 بیتا) فی قبال شینیة الخاقانی، سماه مرآة صفا</w:t>
      </w:r>
    </w:p>
    <w:p>
      <w:pPr>
        <w:pStyle w:val="Heading3"/>
      </w:pPr>
      <w:bookmarkStart w:id="3560" w:name="_Toc2256"/>
      <w:r>
        <w:t>1754- دیوان خسرو سمرقندی أو شعره‏</w:t>
      </w:r>
      <w:bookmarkEnd w:id="3560"/>
    </w:p>
    <w:p>
      <w:pPr>
        <w:pStyle w:val="BookText"/>
      </w:pPr>
      <w:r>
        <w:rPr>
          <w:rFonts w:ascii="IRNazanin" w:hAnsi="IRNazanin" w:eastAsia="IRNazanin" w:cs="IRNazanin"/>
          <w:lang w:bidi="fa-IR"/>
          <w:color w:val="111111"/>
          <w:sz w:val="28"/>
          <w:szCs w:val="28"/>
          <w:rtl/>
        </w:rPr>
        <w:t xml:space="preserve">و هو الخواجة خسرو کان قاضیا بسمرقند و مدرسا لمدرسة ألغ بیگ میرزا أطری تقواه و زهده و مهارته فی نظم التاریخ فی (مجن 6- ص 114 و 286) و لکن سماه فی الأول خواجه خورد بدل خواجه خسرو غلطا، و أورد مادتی تاریخ من منشئاته أحدهما مجذوب سالک 862 لموت العارف بابا خداداد، و الآخر من وقف علی شیر 896 لأوقاف الوزیر المذکور، فیظهر حیاته فی التاریخین و سماه فی (روشن- ص 199) خسروی هروی، و قال کان معاصرا للجامی (المتوفی 898) و أظنه الذی ذکره فی (گلشن- ص 151- 152) بعنوان خسروی سمرقندی، و قال کان یمدح عبد الله خان أوزبک حاکم ترکستان‏</w:t>
      </w:r>
    </w:p>
    <w:p>
      <w:pPr>
        <w:pStyle w:val="Heading3"/>
      </w:pPr>
      <w:bookmarkStart w:id="3561" w:name="_Toc2257"/>
      <w:r>
        <w:t>1755- دیوان خسرو عراقی أو شعره‏</w:t>
      </w:r>
      <w:bookmarkEnd w:id="3561"/>
    </w:p>
    <w:p>
      <w:pPr>
        <w:pStyle w:val="BookText"/>
      </w:pPr>
      <w:r>
        <w:rPr>
          <w:rFonts w:ascii="IRNazanin" w:hAnsi="IRNazanin" w:eastAsia="IRNazanin" w:cs="IRNazanin"/>
          <w:lang w:bidi="fa-IR"/>
          <w:color w:val="111111"/>
          <w:sz w:val="28"/>
          <w:szCs w:val="28"/>
          <w:rtl/>
        </w:rPr>
        <w:t xml:space="preserve">و اسمه المیر خسرو من أقرباء میر محمد یوسف، جاء به من العراق (أصفهان- ظ) إلی هرات و رباه کولد له أطری شعره فی (مجتس 2 ص 138) و ترجم المیر محمد یوسف فی (ص 172)</w:t>
      </w:r>
    </w:p>
    <w:p>
      <w:pPr>
        <w:pStyle w:val="Heading3"/>
      </w:pPr>
      <w:bookmarkStart w:id="3562" w:name="_Toc2258"/>
      <w:r>
        <w:t>دیوان خسرو قزوینی أو شعره‏</w:t>
      </w:r>
      <w:bookmarkEnd w:id="3562"/>
    </w:p>
    <w:p>
      <w:pPr>
        <w:pStyle w:val="BookText"/>
      </w:pPr>
      <w:r>
        <w:rPr>
          <w:rFonts w:ascii="IRNazanin" w:hAnsi="IRNazanin" w:eastAsia="IRNazanin" w:cs="IRNazanin"/>
          <w:lang w:bidi="fa-IR"/>
          <w:color w:val="111111"/>
          <w:sz w:val="28"/>
          <w:szCs w:val="28"/>
          <w:rtl/>
        </w:rPr>
        <w:t xml:space="preserve">أورد شعره فی (روشن- ص 199) و لعله أراد درویش خسرو النقطوی القزوینی المقتول فی مجزرة قزوین فی (1002)</w:t>
      </w:r>
    </w:p>
    <w:p>
      <w:pPr>
        <w:pStyle w:val="Heading3"/>
      </w:pPr>
      <w:bookmarkStart w:id="3563" w:name="_Toc2259"/>
      <w:r>
        <w:t>1756- دیوان خسرو گرجی أو شعره‏</w:t>
      </w:r>
      <w:bookmarkEnd w:id="3563"/>
    </w:p>
    <w:p>
      <w:pPr>
        <w:pStyle w:val="BookText"/>
      </w:pPr>
      <w:r>
        <w:rPr>
          <w:rFonts w:ascii="IRNazanin" w:hAnsi="IRNazanin" w:eastAsia="IRNazanin" w:cs="IRNazanin"/>
          <w:lang w:bidi="fa-IR"/>
          <w:color w:val="111111"/>
          <w:sz w:val="28"/>
          <w:szCs w:val="28"/>
          <w:rtl/>
        </w:rPr>
        <w:t xml:space="preserve">أورد شعره فی (مع- ج 2 ص 110) و قال کان مملوک إبراهیم خان اعتضاد الدولة، ثم لازم محمد تقی میرزا ابن فتح علی شاه، و مات قبل (1282)</w:t>
      </w:r>
    </w:p>
    <w:p>
      <w:pPr>
        <w:pStyle w:val="Heading3"/>
      </w:pPr>
      <w:bookmarkStart w:id="3564" w:name="_Toc2260"/>
      <w:r>
        <w:t>دیوان خسرو یزدی‏</w:t>
      </w:r>
      <w:bookmarkEnd w:id="3564"/>
    </w:p>
    <w:p>
      <w:pPr>
        <w:pStyle w:val="BookText"/>
      </w:pPr>
      <w:r>
        <w:rPr>
          <w:rFonts w:ascii="IRNazanin" w:hAnsi="IRNazanin" w:eastAsia="IRNazanin" w:cs="IRNazanin"/>
          <w:lang w:bidi="fa-IR"/>
          <w:color w:val="111111"/>
          <w:sz w:val="28"/>
          <w:szCs w:val="28"/>
          <w:rtl/>
        </w:rPr>
        <w:t xml:space="preserve">راجع دیوان بیانی یزدی‏</w:t>
      </w:r>
    </w:p>
    <w:p>
      <w:pPr>
        <w:pStyle w:val="Heading3"/>
      </w:pPr>
      <w:bookmarkStart w:id="3565" w:name="_Toc2261"/>
      <w:r>
        <w:t>دیوان خسروی بخارائی أو شعره‏</w:t>
      </w:r>
      <w:bookmarkEnd w:id="3565"/>
    </w:p>
    <w:p>
      <w:pPr>
        <w:pStyle w:val="BookText"/>
      </w:pPr>
      <w:r>
        <w:rPr>
          <w:rFonts w:ascii="IRNazanin" w:hAnsi="IRNazanin" w:eastAsia="IRNazanin" w:cs="IRNazanin"/>
          <w:lang w:bidi="fa-IR"/>
          <w:color w:val="111111"/>
          <w:sz w:val="28"/>
          <w:szCs w:val="28"/>
          <w:rtl/>
        </w:rPr>
        <w:t xml:space="preserve">مادح السلطان ملک خسرو شاه الغزنوی و انتسب إلیه سماه فی (مع- ج 1 ص 199) جمال الدین أبو المشاهد، و لکن فی (روشن- ص 199) کناه أبو بکر، و الظاهر أنه غیر الخسروانی المذکور آنفا و أظنه متحدا مع السرخسی الآتی بعد هذا</w:t>
      </w:r>
    </w:p>
    <w:p>
      <w:pPr>
        <w:pStyle w:val="Heading3"/>
      </w:pPr>
      <w:bookmarkStart w:id="3566" w:name="_Toc2262"/>
      <w:r>
        <w:t>1757- دیوان خسروی سرخسی أو شعره‏</w:t>
      </w:r>
      <w:bookmarkEnd w:id="3566"/>
    </w:p>
    <w:p>
      <w:pPr>
        <w:pStyle w:val="BookText"/>
      </w:pPr>
      <w:r>
        <w:rPr>
          <w:rFonts w:ascii="IRNazanin" w:hAnsi="IRNazanin" w:eastAsia="IRNazanin" w:cs="IRNazanin"/>
          <w:lang w:bidi="fa-IR"/>
          <w:color w:val="111111"/>
          <w:sz w:val="28"/>
          <w:szCs w:val="28"/>
          <w:rtl/>
        </w:rPr>
        <w:t xml:space="preserve">و هو الحکیم أبو بکر محمد بن علی من شعراء عصر قابوس (366- 403) و ناصر الدولة سیمجور (377) و الصاحب ابن عباد (326- 358) و مات قبل (383) و رثاه أبو بکر محمد بن عباس الخوارزمی کما فی دمیة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91" w:name="pg11704_121771"/>
    <w:bookmarkEnd w:id="291"/>
    <w:p>
      <w:pPr>
        <w:pStyle w:val="BookText"/>
      </w:pPr>
      <w:r>
        <w:rPr>
          <w:rFonts w:ascii="IRNazanin" w:hAnsi="IRNazanin" w:eastAsia="IRNazanin" w:cs="IRNazanin"/>
          <w:lang w:bidi="fa-IR"/>
          <w:color w:val="111111"/>
          <w:sz w:val="28"/>
          <w:szCs w:val="28"/>
          <w:rtl/>
        </w:rPr>
        <w:t xml:space="preserve">القصر و ذکره العوفی فی (اللباب- ج 2 ص 18) و قال نظم الشعر بالعربیة و الفارسیة و أظنه متحدا مع ما قبله‏</w:t>
      </w:r>
    </w:p>
    <w:p>
      <w:pPr>
        <w:pStyle w:val="Heading3"/>
      </w:pPr>
      <w:bookmarkStart w:id="3567" w:name="_Toc2263"/>
      <w:r>
        <w:t>دیوان خسروی سمرقندی‏</w:t>
      </w:r>
      <w:bookmarkEnd w:id="3567"/>
    </w:p>
    <w:p>
      <w:pPr>
        <w:pStyle w:val="BookText"/>
      </w:pPr>
      <w:r>
        <w:rPr>
          <w:rFonts w:ascii="IRNazanin" w:hAnsi="IRNazanin" w:eastAsia="IRNazanin" w:cs="IRNazanin"/>
          <w:lang w:bidi="fa-IR"/>
          <w:color w:val="111111"/>
          <w:sz w:val="28"/>
          <w:szCs w:val="28"/>
          <w:rtl/>
        </w:rPr>
        <w:t xml:space="preserve">راجع خسرو سمرقندی‏</w:t>
      </w:r>
    </w:p>
    <w:p>
      <w:pPr>
        <w:pStyle w:val="Heading3"/>
      </w:pPr>
      <w:bookmarkStart w:id="3568" w:name="_Toc2264"/>
      <w:r>
        <w:t>دیوان خسروی غزنوی‏</w:t>
      </w:r>
      <w:bookmarkEnd w:id="3568"/>
    </w:p>
    <w:p>
      <w:pPr>
        <w:pStyle w:val="BookText"/>
      </w:pPr>
      <w:r>
        <w:rPr>
          <w:rFonts w:ascii="IRNazanin" w:hAnsi="IRNazanin" w:eastAsia="IRNazanin" w:cs="IRNazanin"/>
          <w:lang w:bidi="fa-IR"/>
          <w:color w:val="111111"/>
          <w:sz w:val="28"/>
          <w:szCs w:val="28"/>
          <w:rtl/>
        </w:rPr>
        <w:t xml:space="preserve">و هو المذکور بعنوان خسروی سرخسی‏</w:t>
      </w:r>
    </w:p>
    <w:p>
      <w:pPr>
        <w:pStyle w:val="Heading3"/>
      </w:pPr>
      <w:bookmarkStart w:id="3569" w:name="_Toc2265"/>
      <w:r>
        <w:t>1758- دیوان خسروی قاجار</w:t>
      </w:r>
      <w:bookmarkEnd w:id="3569"/>
    </w:p>
    <w:p>
      <w:pPr>
        <w:pStyle w:val="BookText"/>
      </w:pPr>
      <w:r>
        <w:rPr>
          <w:rFonts w:ascii="IRNazanin" w:hAnsi="IRNazanin" w:eastAsia="IRNazanin" w:cs="IRNazanin"/>
          <w:lang w:bidi="fa-IR"/>
          <w:color w:val="111111"/>
          <w:sz w:val="28"/>
          <w:szCs w:val="28"/>
          <w:rtl/>
        </w:rPr>
        <w:t xml:space="preserve">الشاه‏زاده محمد قلی میرزا ملک‏آرا ابن السلطان فتح علی شاه کان والی مازندران و أسترآباد فی عصر والده سنین، و بعده رجع إلی طهران و سکن همدان و بها توفی فی (1260) ترجمه فی (مع- ج 1 ص 25) و أورد قرب عشرین بیتا من دیوانه منها قوله:</w:t>
      </w:r>
    </w:p>
    <w:p>
      <w:pPr>
        <w:pStyle w:val="BookText"/>
      </w:pPr>
      <w:r>
        <w:rPr>
          <w:rFonts w:ascii="IRNazanin" w:hAnsi="IRNazanin" w:eastAsia="IRNazanin" w:cs="IRNazanin"/>
          <w:lang w:bidi="fa-IR"/>
          <w:color w:val="111111"/>
          <w:sz w:val="28"/>
          <w:szCs w:val="28"/>
          <w:rtl/>
        </w:rPr>
        <w:t xml:space="preserve">بحال خسروی می‏سوزدم دل‏</w:t>
      </w:r>
    </w:p>
    <w:p>
      <w:pPr>
        <w:pStyle w:val="BookText"/>
      </w:pPr>
      <w:r>
        <w:rPr>
          <w:rFonts w:ascii="IRNazanin" w:hAnsi="IRNazanin" w:eastAsia="IRNazanin" w:cs="IRNazanin"/>
          <w:lang w:bidi="fa-IR"/>
          <w:color w:val="111111"/>
          <w:sz w:val="28"/>
          <w:szCs w:val="28"/>
          <w:rtl/>
        </w:rPr>
        <w:t xml:space="preserve">که یک جان دارد و جانانه‏ای چند</w:t>
      </w:r>
    </w:p>
    <w:p>
      <w:pPr>
        <w:pStyle w:val="Heading3"/>
      </w:pPr>
      <w:bookmarkStart w:id="3570" w:name="_Toc2266"/>
      <w:r>
        <w:t>1759- دیوان خسروی الکرمانشاهی‏</w:t>
      </w:r>
      <w:bookmarkEnd w:id="3570"/>
    </w:p>
    <w:p>
      <w:pPr>
        <w:pStyle w:val="BookText"/>
      </w:pPr>
      <w:r>
        <w:rPr>
          <w:rFonts w:ascii="IRNazanin" w:hAnsi="IRNazanin" w:eastAsia="IRNazanin" w:cs="IRNazanin"/>
          <w:lang w:bidi="fa-IR"/>
          <w:color w:val="111111"/>
          <w:sz w:val="28"/>
          <w:szCs w:val="28"/>
          <w:rtl/>
        </w:rPr>
        <w:t xml:space="preserve">للشاه‏زاده محمد باقر میرزا ابن محمد رحیم میرزا ابن الشاه‏زاده محمد علی میرزا المتخلص دولت و الملقب بدولت‏شاه ولد خسروی فی کرمانشاه (1266) و توفی بطهران فی (1338) و طبع دیوانه فی (1304 ش) فی (263 ص) مع مقدمه لرشید الیاسمی و له مؤلفات نثریة منها شمس و طغرا کما ذکره حسین شجرة فی مجلة أرمغان- ج 17- ص 84 و ذکرنا له دیبای خسروی فی ج 8 ص 289</w:t>
      </w:r>
    </w:p>
    <w:p>
      <w:pPr>
        <w:pStyle w:val="Heading3"/>
      </w:pPr>
      <w:bookmarkStart w:id="3571" w:name="_Toc2267"/>
      <w:r>
        <w:t>1760- دیوان خسروی گنابادی‏</w:t>
      </w:r>
      <w:bookmarkEnd w:id="3571"/>
    </w:p>
    <w:p>
      <w:pPr>
        <w:pStyle w:val="BookText"/>
      </w:pPr>
      <w:r>
        <w:rPr>
          <w:rFonts w:ascii="IRNazanin" w:hAnsi="IRNazanin" w:eastAsia="IRNazanin" w:cs="IRNazanin"/>
          <w:lang w:bidi="fa-IR"/>
          <w:color w:val="111111"/>
          <w:sz w:val="28"/>
          <w:szCs w:val="28"/>
          <w:rtl/>
        </w:rPr>
        <w:t xml:space="preserve">ابن أخت قاسم گنابادی من شعراء أکبر پادشاه أورد شعره فی (طبقات أکبری- ج 2 ص 506)</w:t>
      </w:r>
    </w:p>
    <w:p>
      <w:pPr>
        <w:pStyle w:val="Heading3"/>
      </w:pPr>
      <w:bookmarkStart w:id="3572" w:name="_Toc2268"/>
      <w:r>
        <w:t>1761- دیوان ملا خسروی هروی‏</w:t>
      </w:r>
      <w:bookmarkEnd w:id="3572"/>
    </w:p>
    <w:p>
      <w:pPr>
        <w:pStyle w:val="BookText"/>
      </w:pPr>
      <w:r>
        <w:rPr>
          <w:rFonts w:ascii="IRNazanin" w:hAnsi="IRNazanin" w:eastAsia="IRNazanin" w:cs="IRNazanin"/>
          <w:lang w:bidi="fa-IR"/>
          <w:color w:val="111111"/>
          <w:sz w:val="28"/>
          <w:szCs w:val="28"/>
          <w:rtl/>
        </w:rPr>
        <w:t xml:space="preserve">کان یدعی لنفسه مقام الخسرویة فی الشعر و یجبر الناس علی تحسین شعره و دیوانه متداول کذا ذکره المیر علی شیر فی (مجن 2- ص 39 و ص 213)</w:t>
      </w:r>
    </w:p>
    <w:p>
      <w:pPr>
        <w:pStyle w:val="Heading3"/>
      </w:pPr>
      <w:bookmarkStart w:id="3573" w:name="_Toc2269"/>
      <w:r>
        <w:t>1762- دیوان خشاب نیشابوری أو شعره‏</w:t>
      </w:r>
      <w:bookmarkEnd w:id="3573"/>
    </w:p>
    <w:p>
      <w:pPr>
        <w:pStyle w:val="BookText"/>
      </w:pPr>
      <w:r>
        <w:rPr>
          <w:rFonts w:ascii="IRNazanin" w:hAnsi="IRNazanin" w:eastAsia="IRNazanin" w:cs="IRNazanin"/>
          <w:lang w:bidi="fa-IR"/>
          <w:color w:val="111111"/>
          <w:sz w:val="28"/>
          <w:szCs w:val="28"/>
          <w:rtl/>
        </w:rPr>
        <w:t xml:space="preserve">و هو رضی الدین النیشابوری أو الکاشانی، معاصر الشیخ سیف الدین الباخرزی و کثیر الإخلاص له، و معاصر الخواجة صاحب الدیوان، و الشاه غیاث الدین و قد مدحهم جمیعا أورد شعره فی (ض- ص 331) و منها:</w:t>
      </w:r>
    </w:p>
    <w:p>
      <w:pPr>
        <w:pStyle w:val="BookText"/>
      </w:pPr>
      <w:r>
        <w:rPr>
          <w:rFonts w:ascii="IRNazanin" w:hAnsi="IRNazanin" w:eastAsia="IRNazanin" w:cs="IRNazanin"/>
          <w:lang w:bidi="fa-IR"/>
          <w:color w:val="111111"/>
          <w:sz w:val="28"/>
          <w:szCs w:val="28"/>
          <w:rtl/>
        </w:rPr>
        <w:t xml:space="preserve">چو رسی بکوه سینا أرنی مگو و بگذر</w:t>
      </w:r>
    </w:p>
    <w:p>
      <w:pPr>
        <w:pStyle w:val="BookText"/>
      </w:pPr>
      <w:r>
        <w:rPr>
          <w:rFonts w:ascii="IRNazanin" w:hAnsi="IRNazanin" w:eastAsia="IRNazanin" w:cs="IRNazanin"/>
          <w:lang w:bidi="fa-IR"/>
          <w:color w:val="111111"/>
          <w:sz w:val="28"/>
          <w:szCs w:val="28"/>
          <w:rtl/>
        </w:rPr>
        <w:t xml:space="preserve">که نیرزد این تمنی بجواب‏ لَنْ</w:t>
      </w:r>
    </w:p>
    <w:p>
      <w:pPr>
        <w:pStyle w:val="BookText"/>
      </w:pPr>
      <w:r>
        <w:rPr>
          <w:rFonts w:ascii="Amiri" w:hAnsi="Amiri" w:eastAsia="Amiri" w:cs="Amiri"/>
          <w:lang w:bidi="ar-SA"/>
          <w:color w:val="111111"/>
          <w:sz w:val="28"/>
          <w:szCs w:val="28"/>
          <w:rtl/>
        </w:rPr>
        <w:t xml:space="preserve">تَرانِی‏</w:t>
      </w:r>
    </w:p>
    <w:p>
      <w:pPr>
        <w:pStyle w:val="Heading3"/>
      </w:pPr>
      <w:bookmarkStart w:id="3574" w:name="_Toc2270"/>
      <w:r>
        <w:t>1763- دیوان خشکناکه أو خشکنانچه‏</w:t>
      </w:r>
      <w:bookmarkEnd w:id="3574"/>
    </w:p>
    <w:p>
      <w:pPr>
        <w:pStyle w:val="BookText"/>
      </w:pPr>
      <w:r>
        <w:rPr>
          <w:rFonts w:ascii="IRNazanin" w:hAnsi="IRNazanin" w:eastAsia="IRNazanin" w:cs="IRNazanin"/>
          <w:lang w:bidi="fa-IR"/>
          <w:color w:val="111111"/>
          <w:sz w:val="28"/>
          <w:szCs w:val="28"/>
          <w:rtl/>
        </w:rPr>
        <w:t xml:space="preserve">لأبی الحسن علی بن وصیف الکاتب البغدادی‏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92" w:name="pg11704_121772"/>
    <w:bookmarkEnd w:id="292"/>
    <w:p>
      <w:pPr>
        <w:pStyle w:val="BookText"/>
      </w:pPr>
      <w:r>
        <w:rPr>
          <w:rFonts w:ascii="IRNazanin" w:hAnsi="IRNazanin" w:eastAsia="IRNazanin" w:cs="IRNazanin"/>
          <w:lang w:bidi="fa-IR"/>
          <w:color w:val="111111"/>
          <w:sz w:val="28"/>
          <w:szCs w:val="28"/>
          <w:rtl/>
        </w:rPr>
        <w:t xml:space="preserve">کان مقامه بالرقة فی بغداد ثم انتقل إلی موصل و بها توفی ترجمه ابن الندیم (ص 200) قال و کان لی صدیقا و أنیسا و کان یتشیع، و کان من البلغاء و فی معناه ألف عدة کتب نحلها عیدان صاحب الإسماعیلیة، ثم ذکر فهرس کتبه و منها دیوانه و ترجمه أیضا فی (جما- ج 15 ص 102)</w:t>
      </w:r>
    </w:p>
    <w:p>
      <w:pPr>
        <w:pStyle w:val="Heading3"/>
      </w:pPr>
      <w:bookmarkStart w:id="3575" w:name="_Toc2271"/>
      <w:r>
        <w:t>1764- دیوان خصالی جغتائی أو شعره‏</w:t>
      </w:r>
      <w:bookmarkEnd w:id="3575"/>
    </w:p>
    <w:p>
      <w:pPr>
        <w:pStyle w:val="BookText"/>
      </w:pPr>
      <w:r>
        <w:rPr>
          <w:rFonts w:ascii="IRNazanin" w:hAnsi="IRNazanin" w:eastAsia="IRNazanin" w:cs="IRNazanin"/>
          <w:lang w:bidi="fa-IR"/>
          <w:color w:val="111111"/>
          <w:sz w:val="28"/>
          <w:szCs w:val="28"/>
          <w:rtl/>
        </w:rPr>
        <w:t xml:space="preserve">من أمراء طائفة آلوس سکن خراسان ببلدة تون و اسمه حیدر بیگ کما فی (تش- ص 13) و (تغ- ص 49) و القسم الثالث من میخانه، و لکن فی ریحانة الأدب نقلا عن القاموس الترکی سماه حسن بیگ، و قد سافر إلی الهند أیضا</w:t>
      </w:r>
    </w:p>
    <w:p>
      <w:pPr>
        <w:pStyle w:val="Heading3"/>
      </w:pPr>
      <w:bookmarkStart w:id="3576" w:name="_Toc2272"/>
      <w:r>
        <w:t>1765- دیوان خصالی کاشانی أو شعره‏</w:t>
      </w:r>
      <w:bookmarkEnd w:id="3576"/>
    </w:p>
    <w:p>
      <w:pPr>
        <w:pStyle w:val="BookText"/>
      </w:pPr>
      <w:r>
        <w:rPr>
          <w:rFonts w:ascii="IRNazanin" w:hAnsi="IRNazanin" w:eastAsia="IRNazanin" w:cs="IRNazanin"/>
          <w:lang w:bidi="fa-IR"/>
          <w:color w:val="111111"/>
          <w:sz w:val="28"/>
          <w:szCs w:val="28"/>
          <w:rtl/>
        </w:rPr>
        <w:t xml:space="preserve">کان من تلامیذ محتشم کاشی (المتوفی 996) و من شعراء الشاه طهماسب الصفوی (930- 984) أورد شعره فی (تش- ص 242) و (گلشن- ص 152) و عنهما أخذ القاموس الترکی ثم ریحانة الأدب‏</w:t>
      </w:r>
    </w:p>
    <w:p>
      <w:pPr>
        <w:pStyle w:val="Heading3"/>
      </w:pPr>
      <w:bookmarkStart w:id="3577" w:name="_Toc2273"/>
      <w:r>
        <w:t>1766- دیوان المیرزا خصمی أصفهانی‏</w:t>
      </w:r>
      <w:bookmarkEnd w:id="3577"/>
    </w:p>
    <w:p>
      <w:pPr>
        <w:pStyle w:val="BookText"/>
      </w:pPr>
      <w:r>
        <w:rPr>
          <w:rFonts w:ascii="IRNazanin" w:hAnsi="IRNazanin" w:eastAsia="IRNazanin" w:cs="IRNazanin"/>
          <w:lang w:bidi="fa-IR"/>
          <w:color w:val="111111"/>
          <w:sz w:val="28"/>
          <w:szCs w:val="28"/>
          <w:rtl/>
        </w:rPr>
        <w:t xml:space="preserve">قال (خوش‏گو) إن دیوانه متداول و ترجمه معاصره النصرآبادی فی (نر 9- ص 288) و ذکر أنه سافر إلی الهند و لم یستحسن بعض حالاته، فرجع إلی أصفهان و بها توفی و ذکر بعض شعره، منها قوله:</w:t>
      </w:r>
    </w:p>
    <w:p>
      <w:pPr>
        <w:pStyle w:val="BookText"/>
      </w:pPr>
      <w:r>
        <w:rPr>
          <w:rFonts w:ascii="IRNazanin" w:hAnsi="IRNazanin" w:eastAsia="IRNazanin" w:cs="IRNazanin"/>
          <w:lang w:bidi="fa-IR"/>
          <w:color w:val="111111"/>
          <w:sz w:val="28"/>
          <w:szCs w:val="28"/>
          <w:rtl/>
        </w:rPr>
        <w:t xml:space="preserve">تو را بیند چه بیند خویشتن را</w:t>
      </w:r>
    </w:p>
    <w:p>
      <w:pPr>
        <w:pStyle w:val="BookText"/>
      </w:pPr>
      <w:r>
        <w:rPr>
          <w:rFonts w:ascii="IRNazanin" w:hAnsi="IRNazanin" w:eastAsia="IRNazanin" w:cs="IRNazanin"/>
          <w:lang w:bidi="fa-IR"/>
          <w:color w:val="111111"/>
          <w:sz w:val="28"/>
          <w:szCs w:val="28"/>
          <w:rtl/>
        </w:rPr>
        <w:t xml:space="preserve">از آن خصمی همیشه خودپسند است‏</w:t>
      </w:r>
    </w:p>
    <w:p>
      <w:pPr>
        <w:pStyle w:val="Heading3"/>
      </w:pPr>
      <w:bookmarkStart w:id="3578" w:name="_Toc2274"/>
      <w:r>
        <w:t>1767- دیوان خضر خراسانی‏</w:t>
      </w:r>
      <w:bookmarkEnd w:id="3578"/>
    </w:p>
    <w:p>
      <w:pPr>
        <w:pStyle w:val="BookText"/>
      </w:pPr>
      <w:r>
        <w:rPr>
          <w:rFonts w:ascii="IRNazanin" w:hAnsi="IRNazanin" w:eastAsia="IRNazanin" w:cs="IRNazanin"/>
          <w:lang w:bidi="fa-IR"/>
          <w:color w:val="111111"/>
          <w:sz w:val="28"/>
          <w:szCs w:val="28"/>
          <w:rtl/>
        </w:rPr>
        <w:t xml:space="preserve">و اسمه خضر، و کان من المعمرین المعاصرین لهدایت ترجمه فی (مع- ج 2 ص 110) و ذکر أن له غزلیات و ذکر شعرا منها توجد نسخه من دیوانه فی (الرضویة)</w:t>
      </w:r>
    </w:p>
    <w:p>
      <w:pPr>
        <w:pStyle w:val="Heading3"/>
      </w:pPr>
      <w:bookmarkStart w:id="3579" w:name="_Toc2275"/>
      <w:r>
        <w:t>1768- دیوان خضر شاه أسترآبادی‏</w:t>
      </w:r>
      <w:bookmarkEnd w:id="3579"/>
    </w:p>
    <w:p>
      <w:pPr>
        <w:pStyle w:val="BookText"/>
      </w:pPr>
      <w:r>
        <w:rPr>
          <w:rFonts w:ascii="IRNazanin" w:hAnsi="IRNazanin" w:eastAsia="IRNazanin" w:cs="IRNazanin"/>
          <w:lang w:bidi="fa-IR"/>
          <w:color w:val="111111"/>
          <w:sz w:val="28"/>
          <w:szCs w:val="28"/>
          <w:rtl/>
        </w:rPr>
        <w:t xml:space="preserve">اسمه الخواجة حسین (حسن خ ل) الخطاط الشهیر المدفون بأسترآباد ترجمه معاصره المیر علی شیر فی (مجن 2- ص 38 و 211) و ذکر مطلع غزله، و قال له مثنوی علی طریق لیلی و مجنون فی واقعة زید و زینب و أورد بیتا منه راجع دیوان فانی جرجانی‏</w:t>
      </w:r>
    </w:p>
    <w:p>
      <w:pPr>
        <w:pStyle w:val="Heading3"/>
      </w:pPr>
      <w:bookmarkStart w:id="3580" w:name="_Toc2276"/>
      <w:r>
        <w:t>1769- دیوان السید خضر القزوینی‏</w:t>
      </w:r>
      <w:bookmarkEnd w:id="3580"/>
    </w:p>
    <w:p>
      <w:pPr>
        <w:pStyle w:val="BookText"/>
      </w:pPr>
      <w:r>
        <w:rPr>
          <w:rFonts w:ascii="IRNazanin" w:hAnsi="IRNazanin" w:eastAsia="IRNazanin" w:cs="IRNazanin"/>
          <w:lang w:bidi="fa-IR"/>
          <w:color w:val="111111"/>
          <w:sz w:val="28"/>
          <w:szCs w:val="28"/>
          <w:rtl/>
        </w:rPr>
        <w:t xml:space="preserve">ابن علی بن محمد بن جواد الحسینی ولد فی النجف (1323) و قرض الشعر و هو ابن عشرین و قد أکثر و أجاد و رتب دیوانه علی خمسة أبواب 1 الرثاء 2 الحاجیات و التاریخ 3 الغزل 4 الاجتماعیات 5 السیاسیات یوجد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93" w:name="pg11704_121773"/>
    <w:bookmarkEnd w:id="293"/>
    <w:p>
      <w:pPr>
        <w:pStyle w:val="BookText"/>
      </w:pPr>
      <w:r>
        <w:rPr>
          <w:rFonts w:ascii="IRNazanin" w:hAnsi="IRNazanin" w:eastAsia="IRNazanin" w:cs="IRNazanin"/>
          <w:lang w:bidi="fa-IR"/>
          <w:color w:val="111111"/>
          <w:sz w:val="28"/>
          <w:szCs w:val="28"/>
          <w:rtl/>
        </w:rPr>
        <w:t xml:space="preserve">بخطه فی 124 صفحة عند ابن عمه” المؤلف” الخطیب السید یاسین بن طاهر القزوینی و هو توفی بالسل شابا فی (3- رجب- 1357 و دفن بإیوان الذهب فی النجف‏</w:t>
      </w:r>
    </w:p>
    <w:p>
      <w:pPr>
        <w:pStyle w:val="Heading3"/>
      </w:pPr>
      <w:bookmarkStart w:id="3581" w:name="_Toc2277"/>
      <w:r>
        <w:t>1770- دیوان خضری‏</w:t>
      </w:r>
      <w:bookmarkEnd w:id="3581"/>
    </w:p>
    <w:p>
      <w:pPr>
        <w:pStyle w:val="BookText"/>
      </w:pPr>
      <w:r>
        <w:rPr>
          <w:rFonts w:ascii="IRNazanin" w:hAnsi="IRNazanin" w:eastAsia="IRNazanin" w:cs="IRNazanin"/>
          <w:lang w:bidi="fa-IR"/>
          <w:color w:val="111111"/>
          <w:sz w:val="28"/>
          <w:szCs w:val="28"/>
          <w:rtl/>
        </w:rPr>
        <w:t xml:space="preserve">الملوک الذی یسیر سیرة الأحرار ترجمه المیر علی شیر فی (مجن 3- ص 81 و ص 256) و ذکر شعره‏</w:t>
      </w:r>
    </w:p>
    <w:p>
      <w:pPr>
        <w:pStyle w:val="Heading3"/>
      </w:pPr>
      <w:bookmarkStart w:id="3582" w:name="_Toc2278"/>
      <w:r>
        <w:t>1771- دیوان خضری أسترآبادی‏</w:t>
      </w:r>
      <w:bookmarkEnd w:id="3582"/>
    </w:p>
    <w:p>
      <w:pPr>
        <w:pStyle w:val="BookText"/>
      </w:pPr>
      <w:r>
        <w:rPr>
          <w:rFonts w:ascii="IRNazanin" w:hAnsi="IRNazanin" w:eastAsia="IRNazanin" w:cs="IRNazanin"/>
          <w:lang w:bidi="fa-IR"/>
          <w:color w:val="111111"/>
          <w:sz w:val="28"/>
          <w:szCs w:val="28"/>
          <w:rtl/>
        </w:rPr>
        <w:t xml:space="preserve">ترجمه معاصره سام میرزا فی (تس 5- ص 152) و أورد مطلع غزله، و قال فی (روشن- ص 152) إنه مع کونه أمیا فإن دواوینه الأربعة تشتمل علی الغزل و القصائد من الجد و الهزل فی وصف الأطعمة کما صنعه بسحاق أطعمه‏</w:t>
      </w:r>
    </w:p>
    <w:p>
      <w:pPr>
        <w:pStyle w:val="Heading3"/>
      </w:pPr>
      <w:bookmarkStart w:id="3583" w:name="_Toc2279"/>
      <w:r>
        <w:t>1772- دیوان خضری خوانساری‏</w:t>
      </w:r>
      <w:bookmarkEnd w:id="3583"/>
    </w:p>
    <w:p>
      <w:pPr>
        <w:pStyle w:val="BookText"/>
      </w:pPr>
      <w:r>
        <w:rPr>
          <w:rFonts w:ascii="IRNazanin" w:hAnsi="IRNazanin" w:eastAsia="IRNazanin" w:cs="IRNazanin"/>
          <w:lang w:bidi="fa-IR"/>
          <w:color w:val="111111"/>
          <w:sz w:val="28"/>
          <w:szCs w:val="28"/>
          <w:rtl/>
        </w:rPr>
        <w:t xml:space="preserve">معاصر الحکیم زلالی ترجمه معاصره النصرآبادی فی (نر 9- ص 283) من تذکرته المؤلفة (1083) و أورد جملة من مطالع غزلیاته و قال آذر فی (تش- ص 208) إنه جمع أشعاره و میزها عن شعر خضری القزوینی و خضری اللاری‏</w:t>
      </w:r>
    </w:p>
    <w:p>
      <w:pPr>
        <w:pStyle w:val="Heading3"/>
      </w:pPr>
      <w:bookmarkStart w:id="3584" w:name="_Toc2280"/>
      <w:r>
        <w:t>1773- دیوان خضری القزوینی‏</w:t>
      </w:r>
      <w:bookmarkEnd w:id="3584"/>
    </w:p>
    <w:p>
      <w:pPr>
        <w:pStyle w:val="BookText"/>
      </w:pPr>
      <w:r>
        <w:rPr>
          <w:rFonts w:ascii="IRNazanin" w:hAnsi="IRNazanin" w:eastAsia="IRNazanin" w:cs="IRNazanin"/>
          <w:lang w:bidi="fa-IR"/>
          <w:color w:val="111111"/>
          <w:sz w:val="28"/>
          <w:szCs w:val="28"/>
          <w:rtl/>
        </w:rPr>
        <w:t xml:space="preserve">ترجمه النصرآبادی أیضا فی (نر 9- ص 283) و أورد جملة من أشعاره و رجحها علی الخوانساری المذکور و اللاری الآتی، و قال آذر فی (تش- ص 223) إنه میز أشعاره عن شعر الخوانساری و اللاری، شریکیه فی التخلص و ذکره أیضا معاصره صادقی کتاب دار المولود (940) و ذکر له بیتین من شعره فی (خص 8- ص 309) و ترجمه فی (روشن- ص 200) و قال فی (تغ- ص 49) إنه تبریزی معاصر للجامی‏</w:t>
      </w:r>
    </w:p>
    <w:p>
      <w:pPr>
        <w:pStyle w:val="Heading3"/>
      </w:pPr>
      <w:bookmarkStart w:id="3585" w:name="_Toc2281"/>
      <w:r>
        <w:t>1774- دیوان خضری لاری‏</w:t>
      </w:r>
      <w:bookmarkEnd w:id="3585"/>
    </w:p>
    <w:p>
      <w:pPr>
        <w:pStyle w:val="BookText"/>
      </w:pPr>
      <w:r>
        <w:rPr>
          <w:rFonts w:ascii="IRNazanin" w:hAnsi="IRNazanin" w:eastAsia="IRNazanin" w:cs="IRNazanin"/>
          <w:lang w:bidi="fa-IR"/>
          <w:color w:val="111111"/>
          <w:sz w:val="28"/>
          <w:szCs w:val="28"/>
          <w:rtl/>
        </w:rPr>
        <w:t xml:space="preserve">من ملازمی إمام قلی خان ذکره معاصره النصرآبادی فی (نر 9- ص 282) و ذکر عدة من أشعاره و ذکره فی (تش- ص 298 و 208 و 223) و فی (خوش‏گو) و قال فی (تغ- ص 49) إنه توفی (1040)</w:t>
      </w:r>
    </w:p>
    <w:p>
      <w:pPr>
        <w:pStyle w:val="Heading3"/>
      </w:pPr>
      <w:bookmarkStart w:id="3586" w:name="_Toc2282"/>
      <w:r>
        <w:t>1775- دیوان الخضری النجفی‏</w:t>
      </w:r>
      <w:bookmarkEnd w:id="3586"/>
    </w:p>
    <w:p>
      <w:pPr>
        <w:pStyle w:val="BookText"/>
      </w:pPr>
      <w:r>
        <w:rPr>
          <w:rFonts w:ascii="IRNazanin" w:hAnsi="IRNazanin" w:eastAsia="IRNazanin" w:cs="IRNazanin"/>
          <w:lang w:bidi="fa-IR"/>
          <w:color w:val="111111"/>
          <w:sz w:val="28"/>
          <w:szCs w:val="28"/>
          <w:rtl/>
        </w:rPr>
        <w:t xml:space="preserve">هو الشیخ محسن بن الشیخ محمد بن موسی بن عیسی ابن حسین بن الشیخ خضر بن یحیی المالکی و ینتهی نسبه إلی مالک الأشتر الجناجی أصلا النجفی مولدا، و توفی بها فی صفر (1302) و قد جمع شعره فی 159 صفحة، سبطه الفاضل الشیخ عبد الغنی بن الحسن بن إسماعیل أخ الشیخ محسن الناظم الخضری، و بعد مشغول بجمع شوارده، و ترجمه الشیخ علی کاشف الغطاء فی الحصون المنیعة و أطرأه و قال ذهب أکثر شعره الا ما کان محفوظا</w:t>
      </w:r>
    </w:p>
    <w:p>
      <w:pPr>
        <w:pStyle w:val="Heading3"/>
      </w:pPr>
      <w:bookmarkStart w:id="3587" w:name="_Toc2283"/>
      <w:r>
        <w:t>1776- دیوان خطاء شوشتری‏</w:t>
      </w:r>
      <w:bookmarkEnd w:id="3587"/>
    </w:p>
    <w:p>
      <w:pPr>
        <w:pStyle w:val="BookText"/>
      </w:pPr>
      <w:r>
        <w:rPr>
          <w:rFonts w:ascii="IRNazanin" w:hAnsi="IRNazanin" w:eastAsia="IRNazanin" w:cs="IRNazanin"/>
          <w:lang w:bidi="fa-IR"/>
          <w:color w:val="111111"/>
          <w:sz w:val="28"/>
          <w:szCs w:val="28"/>
          <w:rtl/>
        </w:rPr>
        <w:t xml:space="preserve">للأدیب الشاعر المولی محمد التستری نزیل لکهنو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94" w:name="pg11704_121774"/>
    <w:bookmarkEnd w:id="294"/>
    <w:p>
      <w:pPr>
        <w:pStyle w:val="BookText"/>
      </w:pPr>
      <w:r>
        <w:rPr>
          <w:rFonts w:ascii="IRNazanin" w:hAnsi="IRNazanin" w:eastAsia="IRNazanin" w:cs="IRNazanin"/>
          <w:lang w:bidi="fa-IR"/>
          <w:color w:val="111111"/>
          <w:sz w:val="28"/>
          <w:szCs w:val="28"/>
          <w:rtl/>
        </w:rPr>
        <w:t xml:space="preserve">فی أیام آصف الدولة و کان قاری التعزیة فی تعزیةخانه آصف، إلی آخر عمره، و قد أدرکه السید عبد اللطیف بها حدود (1210) و ذکر تفصیل حاله و أن دیوانه فی اثنی عشر ألف بیت فی کتابه تعا- ص 35 و کذا فی (روشن- ص 200)</w:t>
      </w:r>
    </w:p>
    <w:p>
      <w:pPr>
        <w:pStyle w:val="Heading3"/>
      </w:pPr>
      <w:bookmarkStart w:id="3588" w:name="_Toc2284"/>
      <w:r>
        <w:t>1777- دیوان خطائی‏</w:t>
      </w:r>
      <w:bookmarkEnd w:id="3588"/>
    </w:p>
    <w:p>
      <w:pPr>
        <w:pStyle w:val="BookText"/>
      </w:pPr>
      <w:r>
        <w:rPr>
          <w:rFonts w:ascii="IRNazanin" w:hAnsi="IRNazanin" w:eastAsia="IRNazanin" w:cs="IRNazanin"/>
          <w:lang w:bidi="fa-IR"/>
          <w:color w:val="111111"/>
          <w:sz w:val="28"/>
          <w:szCs w:val="28"/>
          <w:rtl/>
        </w:rPr>
        <w:t xml:space="preserve">و من شعره مثنوی یوسف زلیخا بالترکیة، نظمه باسم السلطان یعقوب الترکمانی المتوفی (896) و قال تربیت فی (دجا- ص 137) إن عنده نسخته‏</w:t>
      </w:r>
    </w:p>
    <w:p>
      <w:pPr>
        <w:pStyle w:val="Heading3"/>
      </w:pPr>
      <w:bookmarkStart w:id="3589" w:name="_Toc2285"/>
      <w:r>
        <w:t>1778- دیوان خطائی سمرقندی أو شعره‏</w:t>
      </w:r>
      <w:bookmarkEnd w:id="3589"/>
    </w:p>
    <w:p>
      <w:pPr>
        <w:pStyle w:val="BookText"/>
      </w:pPr>
      <w:r>
        <w:rPr>
          <w:rFonts w:ascii="IRNazanin" w:hAnsi="IRNazanin" w:eastAsia="IRNazanin" w:cs="IRNazanin"/>
          <w:lang w:bidi="fa-IR"/>
          <w:color w:val="111111"/>
          <w:sz w:val="28"/>
          <w:szCs w:val="28"/>
          <w:rtl/>
        </w:rPr>
        <w:t xml:space="preserve">لمولانا میر قرشی (میر ویس خ ل) ترجمه المیر علی شیر فی (مجن 2- ص 47 و ص 220) ذکر أن دکانه للصحافی فی السوق کان مجمع الظرفاء الأدباء، و کان هو یعد نفسه أستاذهم إلی أن توفی و دفن بسمرقند، و ذکر بعض شعره‏</w:t>
      </w:r>
    </w:p>
    <w:p>
      <w:pPr>
        <w:pStyle w:val="Heading3"/>
      </w:pPr>
      <w:bookmarkStart w:id="3590" w:name="_Toc2286"/>
      <w:r>
        <w:t>1779- دیوان خطائی صفوی‏</w:t>
      </w:r>
      <w:bookmarkEnd w:id="3590"/>
    </w:p>
    <w:p>
      <w:pPr>
        <w:pStyle w:val="BookText"/>
      </w:pPr>
      <w:r>
        <w:rPr>
          <w:rFonts w:ascii="IRNazanin" w:hAnsi="IRNazanin" w:eastAsia="IRNazanin" w:cs="IRNazanin"/>
          <w:lang w:bidi="fa-IR"/>
          <w:color w:val="111111"/>
          <w:sz w:val="28"/>
          <w:szCs w:val="28"/>
          <w:rtl/>
        </w:rPr>
        <w:t xml:space="preserve">للسلطان الشاه إسماعیل بن حیدر الملقب بالفاتح مؤسس الدولة الصفویة ولد فی الثلاثاء (25 رجب 892) و خرج مع جملة من مردة آبائه و هو ابن أربعة عشر عاما فی (906) و بعد مضی عامین من ملکه أمر بإظهار شعائر المذهب الجعفری إلی أن توفی (930) و دیوانه ترکی مرتب علی ثلاثة أقسام لکل قسم منها دیباجة مستقلة 1) نصیحت‏نامه 2) ده‏نامه 3) مجموعة الغزلیات، و عدد أبیات المجموع (3815) بیتا نسخه منه مجدولة مذهبة لکل قسم منها سرلوحا و هی بخط یاری الشیرازی الذی کان تلمیذ سلطان محمد خندان الخطاط الشهیر، فرغ من الکتابة فی (953) و قد کتبه لخزانة الأمیر محمد خان، و الیوم هی فی تبریز فی مکتبة (سلطان القرائی) و نسخه أخری فی المکتبة الشاهیة بطهران کما فی فهرسها (ص 130 و 150) و یظهر من سام میرزا فی (تس 1- ص 9) و آذر البیگدلی فی (تش- ص 13) أن له الأشعار الفارسیة و تخلصه فیها أیضا الخطائی و له بهجة الأسرار أیضا</w:t>
      </w:r>
    </w:p>
    <w:p>
      <w:pPr>
        <w:pStyle w:val="Heading3"/>
      </w:pPr>
      <w:bookmarkStart w:id="3591" w:name="_Toc2287"/>
      <w:r>
        <w:t>1780- دیوان خطائی گجراتی أو شعره‏</w:t>
      </w:r>
      <w:bookmarkEnd w:id="3591"/>
    </w:p>
    <w:p>
      <w:pPr>
        <w:pStyle w:val="BookText"/>
      </w:pPr>
      <w:r>
        <w:rPr>
          <w:rFonts w:ascii="IRNazanin" w:hAnsi="IRNazanin" w:eastAsia="IRNazanin" w:cs="IRNazanin"/>
          <w:lang w:bidi="fa-IR"/>
          <w:color w:val="111111"/>
          <w:sz w:val="28"/>
          <w:szCs w:val="28"/>
          <w:rtl/>
        </w:rPr>
        <w:t xml:space="preserve">أصله إیرانی نزل گجرات الهند أورد شعره فی (گلشن- ص 152) و عنه فی القاموس الترکی ثم الریحانة</w:t>
      </w:r>
    </w:p>
    <w:p>
      <w:pPr>
        <w:pStyle w:val="Heading3"/>
      </w:pPr>
      <w:bookmarkStart w:id="3592" w:name="_Toc2288"/>
      <w:r>
        <w:t>1781- دیوان الخطائی الیزدی العقدائی‏</w:t>
      </w:r>
      <w:bookmarkEnd w:id="3592"/>
    </w:p>
    <w:p>
      <w:pPr>
        <w:pStyle w:val="BookText"/>
      </w:pPr>
      <w:r>
        <w:rPr>
          <w:rFonts w:ascii="IRNazanin" w:hAnsi="IRNazanin" w:eastAsia="IRNazanin" w:cs="IRNazanin"/>
          <w:lang w:bidi="fa-IR"/>
          <w:color w:val="111111"/>
          <w:sz w:val="28"/>
          <w:szCs w:val="28"/>
          <w:rtl/>
        </w:rPr>
        <w:t xml:space="preserve">و اسمه آقا محمد علی هاجر من عقدا إلی أصفهان و لازم خدمة الوزیر عبد الله خان أمین الدولة ابن محمد حسین خان وزیر فتح علی شاه قاجار، ثم ذهب برهة إلی گیلان ثم عاد إلی یزد ترجمه هدایت فی (مع- ج 2 ص 108)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95" w:name="pg11704_121775"/>
    <w:bookmarkEnd w:id="295"/>
    <w:p>
      <w:pPr>
        <w:pStyle w:val="BookText"/>
      </w:pPr>
      <w:r>
        <w:rPr>
          <w:rFonts w:ascii="IRNazanin" w:hAnsi="IRNazanin" w:eastAsia="IRNazanin" w:cs="IRNazanin"/>
          <w:lang w:bidi="fa-IR"/>
          <w:color w:val="111111"/>
          <w:sz w:val="28"/>
          <w:szCs w:val="28"/>
          <w:rtl/>
        </w:rPr>
        <w:t xml:space="preserve">و أورد بعض شعره‏</w:t>
      </w:r>
    </w:p>
    <w:p>
      <w:pPr>
        <w:pStyle w:val="Heading3"/>
      </w:pPr>
      <w:bookmarkStart w:id="3593" w:name="_Toc2289"/>
      <w:r>
        <w:t>دیوان الخطی‏</w:t>
      </w:r>
      <w:bookmarkEnd w:id="3593"/>
    </w:p>
    <w:p>
      <w:pPr>
        <w:pStyle w:val="BookText"/>
      </w:pPr>
      <w:r>
        <w:rPr>
          <w:rFonts w:ascii="IRNazanin" w:hAnsi="IRNazanin" w:eastAsia="IRNazanin" w:cs="IRNazanin"/>
          <w:lang w:bidi="fa-IR"/>
          <w:color w:val="111111"/>
          <w:sz w:val="28"/>
          <w:szCs w:val="28"/>
          <w:rtl/>
        </w:rPr>
        <w:t xml:space="preserve">الشیخ إبراهیم البحرانی توجد نسخته فی مکتبة (السماوی) کما ذکره هو فی فهرس المکتبة کما ذکرناه فی (ص 15)</w:t>
      </w:r>
    </w:p>
    <w:p>
      <w:pPr>
        <w:pStyle w:val="Heading3"/>
      </w:pPr>
      <w:bookmarkStart w:id="3594" w:name="_Toc2290"/>
      <w:r>
        <w:t>دیوان الخطی‏</w:t>
      </w:r>
      <w:bookmarkEnd w:id="3594"/>
    </w:p>
    <w:p>
      <w:pPr>
        <w:pStyle w:val="BookText"/>
      </w:pPr>
      <w:r>
        <w:rPr>
          <w:rFonts w:ascii="IRNazanin" w:hAnsi="IRNazanin" w:eastAsia="IRNazanin" w:cs="IRNazanin"/>
          <w:lang w:bidi="fa-IR"/>
          <w:color w:val="111111"/>
          <w:sz w:val="28"/>
          <w:szCs w:val="28"/>
          <w:rtl/>
        </w:rPr>
        <w:t xml:space="preserve">الشیخ جعفر مر بعنوان أبی البحر فی (ص 35) و توجد نسخه منه عند عباس العزاوی جمعها السید الشریف جعفر بن عبد الجبار الموسوی لما کان بینهما من الألفة و الاختصاص، کذا صرح به عند إیراد قصیدة فی مدحه و فی الدیوان فوائد تاریخیة عن جزائر البحرین کذا ذکره فی العراق بین الاحتلالین- ج 4 ص 141 و 294</w:t>
      </w:r>
    </w:p>
    <w:p>
      <w:pPr>
        <w:pStyle w:val="Heading3"/>
      </w:pPr>
      <w:bookmarkStart w:id="3595" w:name="_Toc2291"/>
      <w:r>
        <w:t>1782- دیوان الخطیب التبریزی‏</w:t>
      </w:r>
      <w:bookmarkEnd w:id="3595"/>
    </w:p>
    <w:p>
      <w:pPr>
        <w:pStyle w:val="BookText"/>
      </w:pPr>
      <w:r>
        <w:rPr>
          <w:rFonts w:ascii="IRNazanin" w:hAnsi="IRNazanin" w:eastAsia="IRNazanin" w:cs="IRNazanin"/>
          <w:lang w:bidi="fa-IR"/>
          <w:color w:val="111111"/>
          <w:sz w:val="28"/>
          <w:szCs w:val="28"/>
          <w:rtl/>
        </w:rPr>
        <w:t xml:space="preserve">أبی زکریا یحیی بن علی (421- 502) من شعراء دمیة القصر و له القصیدة الغراء فی مدح نظام الملک فی (464) ترجمه فی (دجا- 137)</w:t>
      </w:r>
    </w:p>
    <w:p>
      <w:pPr>
        <w:pStyle w:val="Heading3"/>
      </w:pPr>
      <w:bookmarkStart w:id="3596" w:name="_Toc2292"/>
      <w:r>
        <w:t>1783- دیوان الخطیب الخلخالی‏</w:t>
      </w:r>
      <w:bookmarkEnd w:id="3596"/>
    </w:p>
    <w:p>
      <w:pPr>
        <w:pStyle w:val="BookText"/>
      </w:pPr>
      <w:r>
        <w:rPr>
          <w:rFonts w:ascii="IRNazanin" w:hAnsi="IRNazanin" w:eastAsia="IRNazanin" w:cs="IRNazanin"/>
          <w:lang w:bidi="fa-IR"/>
          <w:color w:val="111111"/>
          <w:sz w:val="28"/>
          <w:szCs w:val="28"/>
          <w:rtl/>
        </w:rPr>
        <w:t xml:space="preserve">شمس الدین محمد بن مظفر المتوفی (745) له قصیدة فی المنطق ترجمه و ذکر شعره العربی فی (دجا- ص 131)</w:t>
      </w:r>
    </w:p>
    <w:p>
      <w:pPr>
        <w:pStyle w:val="Heading3"/>
      </w:pPr>
      <w:bookmarkStart w:id="3597" w:name="_Toc2293"/>
      <w:r>
        <w:t>1784- دیوان الخطیبی الأرموی أو شعره‏</w:t>
      </w:r>
      <w:bookmarkEnd w:id="3597"/>
    </w:p>
    <w:p>
      <w:pPr>
        <w:pStyle w:val="BookText"/>
      </w:pPr>
      <w:r>
        <w:rPr>
          <w:rFonts w:ascii="IRNazanin" w:hAnsi="IRNazanin" w:eastAsia="IRNazanin" w:cs="IRNazanin"/>
          <w:lang w:bidi="fa-IR"/>
          <w:color w:val="111111"/>
          <w:sz w:val="28"/>
          <w:szCs w:val="28"/>
          <w:rtl/>
        </w:rPr>
        <w:t xml:space="preserve">الحسین بن الحسن من شعراء دمیة القصر و قد مدح نظام الملک بقصیدة غراء فی (462) حکاه فی (دجا- ص 140)</w:t>
      </w:r>
    </w:p>
    <w:p>
      <w:pPr>
        <w:pStyle w:val="Heading3"/>
      </w:pPr>
      <w:bookmarkStart w:id="3598" w:name="_Toc2294"/>
      <w:r>
        <w:t>1785- دیوان خطیر الدین الجرجانی أو شعره‏</w:t>
      </w:r>
      <w:bookmarkEnd w:id="3598"/>
    </w:p>
    <w:p>
      <w:pPr>
        <w:pStyle w:val="BookText"/>
      </w:pPr>
      <w:r>
        <w:rPr>
          <w:rFonts w:ascii="IRNazanin" w:hAnsi="IRNazanin" w:eastAsia="IRNazanin" w:cs="IRNazanin"/>
          <w:lang w:bidi="fa-IR"/>
          <w:color w:val="111111"/>
          <w:sz w:val="28"/>
          <w:szCs w:val="28"/>
          <w:rtl/>
        </w:rPr>
        <w:t xml:space="preserve">کان نزیل لاهور ترجمه (فی مع- ج 1 ص 199) و عده من الشعراء قبل الثمانمائة، و أورد بعض شعره‏</w:t>
      </w:r>
    </w:p>
    <w:p>
      <w:pPr>
        <w:pStyle w:val="Heading3"/>
      </w:pPr>
      <w:bookmarkStart w:id="3599" w:name="_Toc2295"/>
      <w:r>
        <w:t>1786- دیوان الخفاجی‏</w:t>
      </w:r>
      <w:bookmarkEnd w:id="3599"/>
    </w:p>
    <w:p>
      <w:pPr>
        <w:pStyle w:val="BookText"/>
      </w:pPr>
      <w:r>
        <w:rPr>
          <w:rFonts w:ascii="IRNazanin" w:hAnsi="IRNazanin" w:eastAsia="IRNazanin" w:cs="IRNazanin"/>
          <w:lang w:bidi="fa-IR"/>
          <w:color w:val="111111"/>
          <w:sz w:val="28"/>
          <w:szCs w:val="28"/>
          <w:rtl/>
        </w:rPr>
        <w:t xml:space="preserve">الأمیر عبد الله بن محمد بن سعید بن سنان، أبو محمد الخفاجی الحلبی الشاعر الأدیب کان یری رأی الشیعة و توفی (466) بما دس إلیه من خشکنانچه المسمومة، علی تفصیل ذکر فی ترجمته فی فوات الوفیات و غیره و طبع دیوانه فی بیروت فی (1316) فی ص 116)</w:t>
      </w:r>
    </w:p>
    <w:p>
      <w:pPr>
        <w:pStyle w:val="Heading3"/>
      </w:pPr>
      <w:bookmarkStart w:id="3600" w:name="_Toc2296"/>
      <w:r>
        <w:t>1787- دیوان الخفاف أو شعره‏</w:t>
      </w:r>
      <w:bookmarkEnd w:id="3600"/>
    </w:p>
    <w:p>
      <w:pPr>
        <w:pStyle w:val="BookText"/>
      </w:pPr>
      <w:r>
        <w:rPr>
          <w:rFonts w:ascii="IRNazanin" w:hAnsi="IRNazanin" w:eastAsia="IRNazanin" w:cs="IRNazanin"/>
          <w:lang w:bidi="fa-IR"/>
          <w:color w:val="111111"/>
          <w:sz w:val="28"/>
          <w:szCs w:val="28"/>
          <w:rtl/>
        </w:rPr>
        <w:t xml:space="preserve">قد استشهد بأشعاره کثیرا فی شرح دیوان الأنوری، و غیره و الظاهر أنه غیر أبی محمد الخفاف الصوفی المذکور فی (النفحات- ص- 231)</w:t>
      </w:r>
    </w:p>
    <w:p>
      <w:pPr>
        <w:pStyle w:val="Heading3"/>
      </w:pPr>
      <w:bookmarkStart w:id="3601" w:name="_Toc2297"/>
      <w:r>
        <w:t>1788- دیوان خلاصی أو شعره‏</w:t>
      </w:r>
      <w:bookmarkEnd w:id="3601"/>
    </w:p>
    <w:p>
      <w:pPr>
        <w:pStyle w:val="BookText"/>
      </w:pPr>
      <w:r>
        <w:rPr>
          <w:rFonts w:ascii="IRNazanin" w:hAnsi="IRNazanin" w:eastAsia="IRNazanin" w:cs="IRNazanin"/>
          <w:lang w:bidi="fa-IR"/>
          <w:color w:val="111111"/>
          <w:sz w:val="28"/>
          <w:szCs w:val="28"/>
          <w:rtl/>
        </w:rPr>
        <w:t xml:space="preserve">أورد شعره فی (گلشن- ص 153)</w:t>
      </w:r>
    </w:p>
    <w:p>
      <w:pPr>
        <w:pStyle w:val="Heading3"/>
      </w:pPr>
      <w:bookmarkStart w:id="3602" w:name="_Toc2298"/>
      <w:r>
        <w:t>دیوان خلاق المعانی‏</w:t>
      </w:r>
      <w:bookmarkEnd w:id="3602"/>
    </w:p>
    <w:p>
      <w:pPr>
        <w:pStyle w:val="BookText"/>
      </w:pPr>
      <w:r>
        <w:rPr>
          <w:rFonts w:ascii="IRNazanin" w:hAnsi="IRNazanin" w:eastAsia="IRNazanin" w:cs="IRNazanin"/>
          <w:lang w:bidi="fa-IR"/>
          <w:color w:val="111111"/>
          <w:sz w:val="28"/>
          <w:szCs w:val="28"/>
          <w:rtl/>
        </w:rPr>
        <w:t xml:space="preserve">یأتی بعنوان کمال الدین إسماعیل‏</w:t>
      </w:r>
    </w:p>
    <w:p>
      <w:pPr>
        <w:pStyle w:val="Heading3"/>
      </w:pPr>
      <w:bookmarkStart w:id="3603" w:name="_Toc2299"/>
      <w:r>
        <w:t>دیوان الخلعی‏</w:t>
      </w:r>
      <w:bookmarkEnd w:id="3603"/>
    </w:p>
    <w:p>
      <w:pPr>
        <w:pStyle w:val="BookText"/>
      </w:pPr>
      <w:r>
        <w:rPr>
          <w:rFonts w:ascii="IRNazanin" w:hAnsi="IRNazanin" w:eastAsia="IRNazanin" w:cs="IRNazanin"/>
          <w:lang w:bidi="fa-IR"/>
          <w:color w:val="111111"/>
          <w:sz w:val="28"/>
          <w:szCs w:val="28"/>
          <w:rtl/>
        </w:rPr>
        <w:t xml:space="preserve">راجع الخلیعی‏</w:t>
      </w:r>
    </w:p>
    <w:p>
      <w:pPr>
        <w:pStyle w:val="Heading3"/>
      </w:pPr>
      <w:bookmarkStart w:id="3604" w:name="_Toc2300"/>
      <w:r>
        <w:t>1789- دیوان مولانا خلف تبریزی‏</w:t>
      </w:r>
      <w:bookmarkEnd w:id="3604"/>
    </w:p>
    <w:p>
      <w:pPr>
        <w:pStyle w:val="BookText"/>
      </w:pPr>
      <w:r>
        <w:rPr>
          <w:rFonts w:ascii="IRNazanin" w:hAnsi="IRNazanin" w:eastAsia="IRNazanin" w:cs="IRNazanin"/>
          <w:lang w:bidi="fa-IR"/>
          <w:color w:val="111111"/>
          <w:sz w:val="28"/>
          <w:szCs w:val="28"/>
          <w:rtl/>
        </w:rPr>
        <w:t xml:space="preserve">من أبناء مشایخ النجف هاجر من مولده لتحصیل‏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96" w:name="pg11704_121776"/>
    <w:bookmarkEnd w:id="296"/>
    <w:p>
      <w:pPr>
        <w:pStyle w:val="BookText"/>
      </w:pPr>
      <w:r>
        <w:rPr>
          <w:rFonts w:ascii="IRNazanin" w:hAnsi="IRNazanin" w:eastAsia="IRNazanin" w:cs="IRNazanin"/>
          <w:lang w:bidi="fa-IR"/>
          <w:color w:val="111111"/>
          <w:sz w:val="28"/>
          <w:szCs w:val="28"/>
          <w:rtl/>
        </w:rPr>
        <w:t xml:space="preserve">العلم إلی خراسان و صاحب ابن السلطان بدیع الزمان میرزا ترجمه فی (مجن 2- ص 65 و 238) و أورد معماه باسم عبدی، و فی عرفات العاشقین سماه خلقی کما یظهر من (دجا- ص 141)</w:t>
      </w:r>
    </w:p>
    <w:p>
      <w:pPr>
        <w:pStyle w:val="Heading3"/>
      </w:pPr>
      <w:bookmarkStart w:id="3605" w:name="_Toc2301"/>
      <w:r>
        <w:t>1790- دیوان السید خلف المشعشعی‏</w:t>
      </w:r>
      <w:bookmarkEnd w:id="3605"/>
    </w:p>
    <w:p>
      <w:pPr>
        <w:pStyle w:val="BookText"/>
      </w:pPr>
      <w:r>
        <w:rPr>
          <w:rFonts w:ascii="IRNazanin" w:hAnsi="IRNazanin" w:eastAsia="IRNazanin" w:cs="IRNazanin"/>
          <w:lang w:bidi="fa-IR"/>
          <w:color w:val="111111"/>
          <w:sz w:val="28"/>
          <w:szCs w:val="28"/>
          <w:rtl/>
        </w:rPr>
        <w:t xml:space="preserve">و هو ابن عبد المطلب بن حیدر بن محسن بن محمد بن فلاح المشعشعی الحویزی. کان والیا فی الحویزة إلی أن تغلب علیه أخوه السید منصور فی (1032) و أزال بصره، فصار جلیس داره مشغولا بالتصنیف و التألیف إلی أن توفی (1074) کما أرخه السید شهاب فی قصیدة رثائه. و ترجمه صاحب الریاض و ذکر سائر تصانیفه و منها دیوانه العربی و الفارسی، و ذکرهما فی أمل الآمل و کشف الحجب أیضا.</w:t>
      </w:r>
    </w:p>
    <w:p>
      <w:pPr>
        <w:pStyle w:val="Heading3"/>
      </w:pPr>
      <w:bookmarkStart w:id="3606" w:name="_Toc2302"/>
      <w:r>
        <w:t>1791- دیوان خلقی بخارائی أو شعره‏</w:t>
      </w:r>
      <w:bookmarkEnd w:id="3606"/>
    </w:p>
    <w:p>
      <w:pPr>
        <w:pStyle w:val="BookText"/>
      </w:pPr>
      <w:r>
        <w:rPr>
          <w:rFonts w:ascii="IRNazanin" w:hAnsi="IRNazanin" w:eastAsia="IRNazanin" w:cs="IRNazanin"/>
          <w:lang w:bidi="fa-IR"/>
          <w:color w:val="111111"/>
          <w:sz w:val="28"/>
          <w:szCs w:val="28"/>
          <w:rtl/>
        </w:rPr>
        <w:t xml:space="preserve">البزاز التاجر أخیرا. ترجمه فی (مجتس 6- ص 158) و أورد مطلع غزله.</w:t>
      </w:r>
    </w:p>
    <w:p>
      <w:pPr>
        <w:pStyle w:val="Heading3"/>
      </w:pPr>
      <w:bookmarkStart w:id="3607" w:name="_Toc2303"/>
      <w:r>
        <w:t>دیوان خلقی التبریزی‏</w:t>
      </w:r>
      <w:bookmarkEnd w:id="3607"/>
    </w:p>
    <w:p>
      <w:pPr>
        <w:pStyle w:val="BookText"/>
      </w:pPr>
      <w:r>
        <w:rPr>
          <w:rFonts w:ascii="IRNazanin" w:hAnsi="IRNazanin" w:eastAsia="IRNazanin" w:cs="IRNazanin"/>
          <w:lang w:bidi="fa-IR"/>
          <w:color w:val="111111"/>
          <w:sz w:val="28"/>
          <w:szCs w:val="28"/>
          <w:rtl/>
        </w:rPr>
        <w:t xml:space="preserve">کذا حکاه فی (دجا- ص 141) نقلا عن عرفات العاشقین و ذکر أنه هو المذکور فی مجالس النفائس بعنوان خلف التبریزی.</w:t>
      </w:r>
    </w:p>
    <w:p>
      <w:pPr>
        <w:pStyle w:val="Heading3"/>
      </w:pPr>
      <w:bookmarkStart w:id="3608" w:name="_Toc2304"/>
      <w:r>
        <w:t>1792- دیوان خلقی شوشتری أو شعره‏</w:t>
      </w:r>
      <w:bookmarkEnd w:id="3608"/>
    </w:p>
    <w:p>
      <w:pPr>
        <w:pStyle w:val="BookText"/>
      </w:pPr>
      <w:r>
        <w:rPr>
          <w:rFonts w:ascii="IRNazanin" w:hAnsi="IRNazanin" w:eastAsia="IRNazanin" w:cs="IRNazanin"/>
          <w:lang w:bidi="fa-IR"/>
          <w:color w:val="111111"/>
          <w:sz w:val="28"/>
          <w:szCs w:val="28"/>
          <w:rtl/>
        </w:rPr>
        <w:t xml:space="preserve">عده فی (تغ- ص 50) من شعراء أکبر شاه و قال: رجع أخیرا إلی شیراز.</w:t>
      </w:r>
    </w:p>
    <w:p>
      <w:pPr>
        <w:pStyle w:val="Heading3"/>
      </w:pPr>
      <w:bookmarkStart w:id="3609" w:name="_Toc2305"/>
      <w:r>
        <w:t>1793- دیوان خلقی طهرانی أو شعره‏</w:t>
      </w:r>
      <w:bookmarkEnd w:id="3609"/>
    </w:p>
    <w:p>
      <w:pPr>
        <w:pStyle w:val="BookText"/>
      </w:pPr>
      <w:r>
        <w:rPr>
          <w:rFonts w:ascii="IRNazanin" w:hAnsi="IRNazanin" w:eastAsia="IRNazanin" w:cs="IRNazanin"/>
          <w:lang w:bidi="fa-IR"/>
          <w:color w:val="111111"/>
          <w:sz w:val="28"/>
          <w:szCs w:val="28"/>
          <w:rtl/>
        </w:rPr>
        <w:t xml:space="preserve">و اسمه المیرزا علی. کان من المترددین فی الإدارات. ترجمه معاصره سام میرزا فی (تس 5- ص 158) و ذکر شعره.</w:t>
      </w:r>
    </w:p>
    <w:p>
      <w:pPr>
        <w:pStyle w:val="Heading3"/>
      </w:pPr>
      <w:bookmarkStart w:id="3610" w:name="_Toc2306"/>
      <w:r>
        <w:t>1794- دیوان خلقی هروی‏</w:t>
      </w:r>
      <w:bookmarkEnd w:id="3610"/>
    </w:p>
    <w:p>
      <w:pPr>
        <w:pStyle w:val="BookText"/>
      </w:pPr>
      <w:r>
        <w:rPr>
          <w:rFonts w:ascii="IRNazanin" w:hAnsi="IRNazanin" w:eastAsia="IRNazanin" w:cs="IRNazanin"/>
          <w:lang w:bidi="fa-IR"/>
          <w:color w:val="111111"/>
          <w:sz w:val="28"/>
          <w:szCs w:val="28"/>
          <w:rtl/>
        </w:rPr>
        <w:t xml:space="preserve">و هو المیر محمد یوسف بن السید الأمیر معز الدین یوسف.</w:t>
      </w:r>
    </w:p>
    <w:p>
      <w:pPr>
        <w:pStyle w:val="BookText"/>
      </w:pPr>
      <w:r>
        <w:rPr>
          <w:rFonts w:ascii="IRNazanin" w:hAnsi="IRNazanin" w:eastAsia="IRNazanin" w:cs="IRNazanin"/>
          <w:lang w:bidi="fa-IR"/>
          <w:color w:val="111111"/>
          <w:sz w:val="28"/>
          <w:szCs w:val="28"/>
          <w:rtl/>
        </w:rPr>
        <w:t xml:space="preserve">الذی کان من سادة خراسان و سافر لتحصیل العلوم إلی هراة فی عصر السلطان حسین میرزا بایقرا و صار صدرا فی أیام الشاه إسماعیل الفاتح فی خراسان، إلی أن قتل بأمر حاکم خراسان الأمیر خان فی یوم الأربعاء من رجب (927) و شعره فی وقت شهادته مشهور، ترجمه معاصره سام میرزا فی (تس 1- ص 23) و أورد مطلعین من غزلیاته. و قال فی (تش- ص 212) إنه من سادات ری، و بعد موت والده هناک جاءت به أمه إلی هرات و تربی هناک. و ذکره فی (خص 8- ص 299) بعنوان خلقی مشهدی و فی (مجن 2- ص 82 و 257) بعنوان خلقی هروی و فی (سرخوش- ص 38) و فی (تغ- ص 50) أنه کان تاجرا و أورد کل واحد منهم بعض أشعاره منها: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97" w:name="pg11704_121777"/>
    <w:bookmarkEnd w:id="297"/>
    <w:p>
      <w:pPr>
        <w:pStyle w:val="BookText"/>
      </w:pPr>
      <w:r>
        <w:rPr>
          <w:rFonts w:ascii="IRNazanin" w:hAnsi="IRNazanin" w:eastAsia="IRNazanin" w:cs="IRNazanin"/>
          <w:lang w:bidi="fa-IR"/>
          <w:color w:val="111111"/>
          <w:sz w:val="28"/>
          <w:szCs w:val="28"/>
          <w:rtl/>
        </w:rPr>
        <w:t xml:space="preserve">چه بی‏قدری در آن کو، یک دو روز آنجا مرو خلقی‏</w:t>
      </w:r>
    </w:p>
    <w:p>
      <w:pPr>
        <w:pStyle w:val="BookText"/>
      </w:pPr>
      <w:r>
        <w:rPr>
          <w:rFonts w:ascii="IRNazanin" w:hAnsi="IRNazanin" w:eastAsia="IRNazanin" w:cs="IRNazanin"/>
          <w:lang w:bidi="fa-IR"/>
          <w:color w:val="111111"/>
          <w:sz w:val="28"/>
          <w:szCs w:val="28"/>
          <w:rtl/>
        </w:rPr>
        <w:t xml:space="preserve">که استغنای عاشق گاهگاهی خوب می‏باشد</w:t>
      </w:r>
    </w:p>
    <w:p>
      <w:pPr>
        <w:pStyle w:val="Heading3"/>
      </w:pPr>
      <w:bookmarkStart w:id="3611" w:name="_Toc2307"/>
      <w:r>
        <w:t>1795- دیوان خلوتی تبریزی‏</w:t>
      </w:r>
      <w:bookmarkEnd w:id="3611"/>
    </w:p>
    <w:p>
      <w:pPr>
        <w:pStyle w:val="BookText"/>
      </w:pPr>
      <w:r>
        <w:rPr>
          <w:rFonts w:ascii="IRNazanin" w:hAnsi="IRNazanin" w:eastAsia="IRNazanin" w:cs="IRNazanin"/>
          <w:lang w:bidi="fa-IR"/>
          <w:color w:val="111111"/>
          <w:sz w:val="28"/>
          <w:szCs w:val="28"/>
          <w:rtl/>
        </w:rPr>
        <w:t xml:space="preserve">اسمه الخواجة عبد الرحیم بن شمس الدین محمد الأقطابی الخطاط الشهیر المتوفی (859) و توفی والده العارف فی (812) و فی (دجا- ص 141) حکی ترجمته و شعره عن روضة الأطهار. و له تصانیف منها تعلیقاته علی مشکلات گلشن راز.</w:t>
      </w:r>
    </w:p>
    <w:p>
      <w:pPr>
        <w:pStyle w:val="Heading3"/>
      </w:pPr>
      <w:bookmarkStart w:id="3612" w:name="_Toc2308"/>
      <w:r>
        <w:t>1796- دیوان خلوتی‏</w:t>
      </w:r>
      <w:bookmarkEnd w:id="3612"/>
    </w:p>
    <w:p>
      <w:pPr>
        <w:pStyle w:val="BookText"/>
      </w:pPr>
      <w:r>
        <w:rPr>
          <w:rFonts w:ascii="IRNazanin" w:hAnsi="IRNazanin" w:eastAsia="IRNazanin" w:cs="IRNazanin"/>
          <w:lang w:bidi="fa-IR"/>
          <w:color w:val="111111"/>
          <w:sz w:val="28"/>
          <w:szCs w:val="28"/>
          <w:rtl/>
        </w:rPr>
        <w:t xml:space="preserve">لمیرزا إبراهیم المتخلص خلوتی من شعراء عصر ناصر الدین شاه القاجار. توجد نسخه منه عند (محمد النخجوانی) کما کتبه إلینا، و قد طبع دیوان فارسی باسم خلوتی بإیران کما فی الفهارس.</w:t>
      </w:r>
    </w:p>
    <w:p>
      <w:pPr>
        <w:pStyle w:val="Heading3"/>
      </w:pPr>
      <w:bookmarkStart w:id="3613" w:name="_Toc2309"/>
      <w:r>
        <w:t>1797- دیوان خلوص چشتی‏</w:t>
      </w:r>
      <w:bookmarkEnd w:id="3613"/>
    </w:p>
    <w:p>
      <w:pPr>
        <w:pStyle w:val="BookText"/>
      </w:pPr>
      <w:r>
        <w:rPr>
          <w:rFonts w:ascii="IRNazanin" w:hAnsi="IRNazanin" w:eastAsia="IRNazanin" w:cs="IRNazanin"/>
          <w:lang w:bidi="fa-IR"/>
          <w:color w:val="111111"/>
          <w:sz w:val="28"/>
          <w:szCs w:val="28"/>
          <w:rtl/>
        </w:rPr>
        <w:t xml:space="preserve">و اسمه السید محمد المدرسی ابن الخواجة حسن من تلامیذ شاه عبد القار الفخری، من شعراء القرن الثالث عشر بالهند. أورد شعره فی (گلشن- ص 153). و قتل فی حرب کما فی النتائج ص 223.</w:t>
      </w:r>
    </w:p>
    <w:p>
      <w:pPr>
        <w:pStyle w:val="Heading3"/>
      </w:pPr>
      <w:bookmarkStart w:id="3614" w:name="_Toc2310"/>
      <w:r>
        <w:t>1798- دیوان الخلیعی الخلعی‏</w:t>
      </w:r>
      <w:bookmarkEnd w:id="3614"/>
    </w:p>
    <w:p>
      <w:pPr>
        <w:pStyle w:val="BookText"/>
      </w:pPr>
      <w:r>
        <w:rPr>
          <w:rFonts w:ascii="IRNazanin" w:hAnsi="IRNazanin" w:eastAsia="IRNazanin" w:cs="IRNazanin"/>
          <w:lang w:bidi="fa-IR"/>
          <w:color w:val="111111"/>
          <w:sz w:val="28"/>
          <w:szCs w:val="28"/>
          <w:rtl/>
        </w:rPr>
        <w:t xml:space="preserve">)- لأن الشاعر کان یتخلص بهما- و هو الشیخ جمال الدین أبو الحسن علی بن عبد العزیز بن أبی محمد الموصلی الأصل نزیل الحلة إلی أن توفی بها حدود (750) و قبره یزار. ترجمه القاضی فی (لس- ص 463) و حکی قصة نذر والدته لسلب الزوار و ما رآه فی المنام فصار من شعراء أهل البیت علیه السلام . لم یوجد فی مجموع قصائده البالغة التسع و ثلاثین قصیدة و فیها ألف و ستمائة و ستة و خمسون بیتا الا مدائح أهل البیت أو رثاؤهم، و منها الغدیریات الثلاثة التی ذکرها الأمینی مع مطالع سائر قصائده فی (الغدیر فی الکتاب و السنة و الأدب- ج 6 ص 8 إلی ص 17) و قال فی مجمع البحرین إن الخلیعی أدرک أواخر عصر البرامکة و مراده الحسین بن الضحاک بن یاسر الخراسانی الأصل الذی سکن مصر و توفی (250) الذی ذکره ابن خلکان فی (ج 1 ص 169).</w:t>
      </w:r>
    </w:p>
    <w:p>
      <w:pPr>
        <w:pStyle w:val="Heading3"/>
      </w:pPr>
      <w:bookmarkStart w:id="3615" w:name="_Toc2311"/>
      <w:r>
        <w:t>1799- دیوان خلیفة أسد الله أصفهانی أو شعره‏</w:t>
      </w:r>
      <w:bookmarkEnd w:id="3615"/>
    </w:p>
    <w:p>
      <w:pPr>
        <w:pStyle w:val="BookText"/>
      </w:pPr>
      <w:r>
        <w:rPr>
          <w:rFonts w:ascii="IRNazanin" w:hAnsi="IRNazanin" w:eastAsia="IRNazanin" w:cs="IRNazanin"/>
          <w:lang w:bidi="fa-IR"/>
          <w:color w:val="111111"/>
          <w:sz w:val="28"/>
          <w:szCs w:val="28"/>
          <w:rtl/>
        </w:rPr>
        <w:t xml:space="preserve">و هو من کبار ساداتها، مشغول بدرسه غالبا، کذا وصفه معاصره سام میرزا فی (تس 1- ص 30) و أورد رباعیة له.</w:t>
      </w:r>
    </w:p>
    <w:p>
      <w:pPr>
        <w:pStyle w:val="Heading3"/>
      </w:pPr>
      <w:bookmarkStart w:id="3616" w:name="_Toc2312"/>
      <w:r>
        <w:t>1800- دیوان خلیفة الخلفائی‏</w:t>
      </w:r>
      <w:bookmarkEnd w:id="3616"/>
    </w:p>
    <w:p>
      <w:pPr>
        <w:pStyle w:val="BookText"/>
      </w:pPr>
      <w:r>
        <w:rPr>
          <w:rFonts w:ascii="IRNazanin" w:hAnsi="IRNazanin" w:eastAsia="IRNazanin" w:cs="IRNazanin"/>
          <w:lang w:bidi="fa-IR"/>
          <w:color w:val="111111"/>
          <w:sz w:val="28"/>
          <w:szCs w:val="28"/>
          <w:rtl/>
        </w:rPr>
        <w:t xml:space="preserve">محمد بیک أرشد أولاد الخلفاء، الشاب الجامع للصنائع و الکمالات. ترجمه الصادقی فی (خص 5- ص 73) و أورد جملة من شعره و رباعیاته‏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98" w:name="pg11704_121778"/>
    <w:bookmarkEnd w:id="298"/>
    <w:p>
      <w:pPr>
        <w:pStyle w:val="BookText"/>
      </w:pPr>
      <w:r>
        <w:rPr>
          <w:rFonts w:ascii="IRNazanin" w:hAnsi="IRNazanin" w:eastAsia="IRNazanin" w:cs="IRNazanin"/>
          <w:lang w:bidi="fa-IR"/>
          <w:color w:val="111111"/>
          <w:sz w:val="28"/>
          <w:szCs w:val="28"/>
          <w:rtl/>
        </w:rPr>
        <w:t xml:space="preserve">و أطرأ فضله.</w:t>
      </w:r>
    </w:p>
    <w:p>
      <w:pPr>
        <w:pStyle w:val="Heading3"/>
      </w:pPr>
      <w:bookmarkStart w:id="3617" w:name="_Toc2313"/>
      <w:r>
        <w:t>1801- دیوان خلیفة سدید الگیلانی‏</w:t>
      </w:r>
      <w:bookmarkEnd w:id="3617"/>
    </w:p>
    <w:p>
      <w:pPr>
        <w:pStyle w:val="BookText"/>
      </w:pPr>
      <w:r>
        <w:rPr>
          <w:rFonts w:ascii="IRNazanin" w:hAnsi="IRNazanin" w:eastAsia="IRNazanin" w:cs="IRNazanin"/>
          <w:lang w:bidi="fa-IR"/>
          <w:color w:val="111111"/>
          <w:sz w:val="28"/>
          <w:szCs w:val="28"/>
          <w:rtl/>
        </w:rPr>
        <w:t xml:space="preserve">. بلغ الرتبة العلیا فی أوائل حکومة خان أحمد ثم تنزل. ترجمه سام میرزا فی (تس 4- ص 77) و أورد شعره.</w:t>
      </w:r>
    </w:p>
    <w:p>
      <w:pPr>
        <w:pStyle w:val="Heading3"/>
      </w:pPr>
      <w:bookmarkStart w:id="3618" w:name="_Toc2314"/>
      <w:r>
        <w:t>1802- دیوان خلیفة سلطان أو شعره‏</w:t>
      </w:r>
      <w:bookmarkEnd w:id="3618"/>
    </w:p>
    <w:p>
      <w:pPr>
        <w:pStyle w:val="BookText"/>
      </w:pPr>
      <w:r>
        <w:rPr>
          <w:rFonts w:ascii="IRNazanin" w:hAnsi="IRNazanin" w:eastAsia="IRNazanin" w:cs="IRNazanin"/>
          <w:lang w:bidi="fa-IR"/>
          <w:color w:val="111111"/>
          <w:sz w:val="28"/>
          <w:szCs w:val="28"/>
          <w:rtl/>
        </w:rPr>
        <w:t xml:space="preserve">السید المیر علاء الدین حسین بن رفیع الدین محمد، من أحفاد المیر بزرگ المرعشی المازندرانی. کان صهر الشاه عباس الماضی و وزیره و عزل فی أوائل عصر الشاه صفی، فهاجر من أصفهان إلی قم، و بعد قتل المیرزا تقی خان اعتماد الدولة المعروف بساروتقی فی (1055) نصب ثانیا للوزارة إلی أن توفی (1064) ترجمه النصرآبادی فی (نر 2- ص 15) و أورد عدة من رباعیاته. و أشهر تصانیفه حاشیة المعالم کما مر فی (ج 6) و ترجمه فی ریاض العارفین (ص 328) و أورد إحدی رباعیاته التی ذکرها النصرآبادی.</w:t>
      </w:r>
    </w:p>
    <w:p>
      <w:pPr>
        <w:pStyle w:val="Heading3"/>
      </w:pPr>
      <w:bookmarkStart w:id="3619" w:name="_Toc2315"/>
      <w:r>
        <w:t>دیوان خلیفة محمد</w:t>
      </w:r>
      <w:bookmarkEnd w:id="3619"/>
    </w:p>
    <w:p>
      <w:pPr>
        <w:pStyle w:val="BookText"/>
      </w:pPr>
      <w:r>
        <w:rPr>
          <w:rFonts w:ascii="IRNazanin" w:hAnsi="IRNazanin" w:eastAsia="IRNazanin" w:cs="IRNazanin"/>
          <w:lang w:bidi="fa-IR"/>
          <w:color w:val="111111"/>
          <w:sz w:val="28"/>
          <w:szCs w:val="28"/>
          <w:rtl/>
        </w:rPr>
        <w:t xml:space="preserve">ترکی مطبوع و تخلصه عاجز کما یأتی.</w:t>
      </w:r>
    </w:p>
    <w:p>
      <w:pPr>
        <w:pStyle w:val="Heading3"/>
      </w:pPr>
      <w:bookmarkStart w:id="3620" w:name="_Toc2316"/>
      <w:r>
        <w:t>1803- دیوان خلیفة میرک‏</w:t>
      </w:r>
      <w:bookmarkEnd w:id="3620"/>
    </w:p>
    <w:p>
      <w:pPr>
        <w:pStyle w:val="BookText"/>
      </w:pPr>
      <w:r>
        <w:rPr>
          <w:rFonts w:ascii="IRNazanin" w:hAnsi="IRNazanin" w:eastAsia="IRNazanin" w:cs="IRNazanin"/>
          <w:lang w:bidi="fa-IR"/>
          <w:color w:val="111111"/>
          <w:sz w:val="28"/>
          <w:szCs w:val="28"/>
          <w:rtl/>
        </w:rPr>
        <w:t xml:space="preserve">أطرأه معاصره سام میرزا فی (تس 4- ص 78) و ذکر أنه لا نظیر له تحت الفلک الأطلس فی نظم الشعر، ثم أورد بیتا له.</w:t>
      </w:r>
    </w:p>
    <w:p>
      <w:pPr>
        <w:pStyle w:val="Heading3"/>
      </w:pPr>
      <w:bookmarkStart w:id="3621" w:name="_Toc2317"/>
      <w:r>
        <w:t>دیوان خلیل بن شاه نعمة الله الکرمانی‏</w:t>
      </w:r>
      <w:bookmarkEnd w:id="3621"/>
    </w:p>
    <w:p>
      <w:pPr>
        <w:pStyle w:val="BookText"/>
      </w:pPr>
      <w:r>
        <w:rPr>
          <w:rFonts w:ascii="IRNazanin" w:hAnsi="IRNazanin" w:eastAsia="IRNazanin" w:cs="IRNazanin"/>
          <w:lang w:bidi="fa-IR"/>
          <w:color w:val="111111"/>
          <w:sz w:val="28"/>
          <w:szCs w:val="28"/>
          <w:rtl/>
        </w:rPr>
        <w:t xml:space="preserve">مر بعنوان برهان کرمانی.</w:t>
      </w:r>
    </w:p>
    <w:p>
      <w:pPr>
        <w:pStyle w:val="Heading3"/>
      </w:pPr>
      <w:bookmarkStart w:id="3622" w:name="_Toc2318"/>
      <w:r>
        <w:t>1804- دیوان خلیل بیات أو شعره‏</w:t>
      </w:r>
      <w:bookmarkEnd w:id="3622"/>
    </w:p>
    <w:p>
      <w:pPr>
        <w:pStyle w:val="BookText"/>
      </w:pPr>
      <w:r>
        <w:rPr>
          <w:rFonts w:ascii="IRNazanin" w:hAnsi="IRNazanin" w:eastAsia="IRNazanin" w:cs="IRNazanin"/>
          <w:lang w:bidi="fa-IR"/>
          <w:color w:val="111111"/>
          <w:sz w:val="28"/>
          <w:szCs w:val="28"/>
          <w:rtl/>
        </w:rPr>
        <w:t xml:space="preserve">و اسمه خلیل بیک. کان یسکن الهند فی زمن تألیف النصرآبادی (1083) فأورد شعره فی (نر 9- ص 400) و کذا فی (خوش‏گو).</w:t>
      </w:r>
    </w:p>
    <w:p>
      <w:pPr>
        <w:pStyle w:val="Heading3"/>
      </w:pPr>
      <w:bookmarkStart w:id="3623" w:name="_Toc2319"/>
      <w:r>
        <w:t>1805- دیوان خلیل تبریزی أو شعره‏</w:t>
      </w:r>
      <w:bookmarkEnd w:id="3623"/>
    </w:p>
    <w:p>
      <w:pPr>
        <w:pStyle w:val="BookText"/>
      </w:pPr>
      <w:r>
        <w:rPr>
          <w:rFonts w:ascii="IRNazanin" w:hAnsi="IRNazanin" w:eastAsia="IRNazanin" w:cs="IRNazanin"/>
          <w:lang w:bidi="fa-IR"/>
          <w:color w:val="111111"/>
          <w:sz w:val="28"/>
          <w:szCs w:val="28"/>
          <w:rtl/>
        </w:rPr>
        <w:t xml:space="preserve">العالم الخبیر. أورد شعره فی (دجا- ص 142) عن تحفه سامی و ترجمه أیضا فی (روشن- ص 202).</w:t>
      </w:r>
    </w:p>
    <w:p>
      <w:pPr>
        <w:pStyle w:val="Heading3"/>
      </w:pPr>
      <w:bookmarkStart w:id="3624" w:name="_Toc2320"/>
      <w:r>
        <w:t>1806- دیوان خلیل حلی أو شعره‏</w:t>
      </w:r>
      <w:bookmarkEnd w:id="3624"/>
    </w:p>
    <w:p>
      <w:pPr>
        <w:pStyle w:val="BookText"/>
      </w:pPr>
      <w:r>
        <w:rPr>
          <w:rFonts w:ascii="IRNazanin" w:hAnsi="IRNazanin" w:eastAsia="IRNazanin" w:cs="IRNazanin"/>
          <w:lang w:bidi="fa-IR"/>
          <w:color w:val="111111"/>
          <w:sz w:val="28"/>
          <w:szCs w:val="28"/>
          <w:rtl/>
        </w:rPr>
        <w:t xml:space="preserve">أورد معمیاته فی (نر 15- ص 543) و (روشن 202)</w:t>
      </w:r>
    </w:p>
    <w:p>
      <w:pPr>
        <w:pStyle w:val="Heading3"/>
      </w:pPr>
      <w:bookmarkStart w:id="3625" w:name="_Toc2321"/>
      <w:r>
        <w:t>1807- دیوان خلیل خراسانی أو شعره‏</w:t>
      </w:r>
      <w:bookmarkEnd w:id="3625"/>
    </w:p>
    <w:p>
      <w:pPr>
        <w:pStyle w:val="BookText"/>
      </w:pPr>
      <w:r>
        <w:rPr>
          <w:rFonts w:ascii="IRNazanin" w:hAnsi="IRNazanin" w:eastAsia="IRNazanin" w:cs="IRNazanin"/>
          <w:lang w:bidi="fa-IR"/>
          <w:color w:val="111111"/>
          <w:sz w:val="28"/>
          <w:szCs w:val="28"/>
          <w:rtl/>
        </w:rPr>
        <w:t xml:space="preserve">ولد بخراسان و نشا بالهند. و کان یسکن پتنه فی (1102) حین تألیف میر شیر علی لودی لمرآة الخیال و عمره حینئذ أربعون سنة أورد شعره و قطعة نثریة له هناک فی (ص 25).</w:t>
      </w:r>
    </w:p>
    <w:p>
      <w:pPr>
        <w:pStyle w:val="Heading3"/>
      </w:pPr>
      <w:bookmarkStart w:id="3626" w:name="_Toc2322"/>
      <w:r>
        <w:t>1808- دیوان خلیل خلخالی أو شعره‏</w:t>
      </w:r>
      <w:bookmarkEnd w:id="3626"/>
    </w:p>
    <w:p>
      <w:pPr>
        <w:pStyle w:val="BookText"/>
      </w:pPr>
      <w:r>
        <w:rPr>
          <w:rFonts w:ascii="IRNazanin" w:hAnsi="IRNazanin" w:eastAsia="IRNazanin" w:cs="IRNazanin"/>
          <w:lang w:bidi="fa-IR"/>
          <w:color w:val="111111"/>
          <w:sz w:val="28"/>
          <w:szCs w:val="28"/>
          <w:rtl/>
        </w:rPr>
        <w:t xml:space="preserve">حکی فی (دجا- ص 142) ترجمته عن تحفه سامی. و سماه فی (روشن- ص 202) تیرگر.</w:t>
      </w:r>
    </w:p>
    <w:p>
      <w:pPr>
        <w:pStyle w:val="Heading3"/>
      </w:pPr>
      <w:bookmarkStart w:id="3627" w:name="_Toc2323"/>
      <w:r>
        <w:t>1809- دیوان خلیل سمرقندی‏</w:t>
      </w:r>
      <w:bookmarkEnd w:id="3627"/>
    </w:p>
    <w:p>
      <w:pPr>
        <w:pStyle w:val="BookText"/>
      </w:pPr>
      <w:r>
        <w:rPr>
          <w:rFonts w:ascii="IRNazanin" w:hAnsi="IRNazanin" w:eastAsia="IRNazanin" w:cs="IRNazanin"/>
          <w:lang w:bidi="fa-IR"/>
          <w:color w:val="111111"/>
          <w:sz w:val="28"/>
          <w:szCs w:val="28"/>
          <w:rtl/>
        </w:rPr>
        <w:t xml:space="preserve">و هو الشاه خلیل سلطان بن میران شاه بن تیمور الذی‏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99" w:name="pg11704_121779"/>
    <w:bookmarkEnd w:id="299"/>
    <w:p>
      <w:pPr>
        <w:pStyle w:val="BookText"/>
      </w:pPr>
      <w:r>
        <w:rPr>
          <w:rFonts w:ascii="IRNazanin" w:hAnsi="IRNazanin" w:eastAsia="IRNazanin" w:cs="IRNazanin"/>
          <w:lang w:bidi="fa-IR"/>
          <w:color w:val="111111"/>
          <w:sz w:val="28"/>
          <w:szCs w:val="28"/>
          <w:rtl/>
        </w:rPr>
        <w:t xml:space="preserve">جلس علی سریر الحکم بسمرقند بعد تیمور. ترجمه فی (لط 7- ص 125). و مات (810) کما فی (تغ- ص 50) أو (814). و له دیوان قرظه الخواجة عصمت البخاری بقصیدة ذکر فی (مجن 1- ص 12 و 187) أوله:</w:t>
      </w:r>
    </w:p>
    <w:p>
      <w:pPr>
        <w:pStyle w:val="BookText"/>
      </w:pPr>
      <w:r>
        <w:rPr>
          <w:rFonts w:ascii="IRNazanin" w:hAnsi="IRNazanin" w:eastAsia="IRNazanin" w:cs="IRNazanin"/>
          <w:lang w:bidi="fa-IR"/>
          <w:color w:val="111111"/>
          <w:sz w:val="28"/>
          <w:szCs w:val="28"/>
          <w:rtl/>
        </w:rPr>
        <w:t xml:space="preserve">این بحر پرگهر که جهانی است در برش‏</w:t>
      </w:r>
    </w:p>
    <w:p>
      <w:pPr>
        <w:pStyle w:val="BookText"/>
      </w:pPr>
      <w:r>
        <w:rPr>
          <w:rFonts w:ascii="IRNazanin" w:hAnsi="IRNazanin" w:eastAsia="IRNazanin" w:cs="IRNazanin"/>
          <w:lang w:bidi="fa-IR"/>
          <w:color w:val="111111"/>
          <w:sz w:val="28"/>
          <w:szCs w:val="28"/>
          <w:rtl/>
        </w:rPr>
        <w:t xml:space="preserve">غواص عقل کل نبرد پی به گوهرش‏</w:t>
      </w:r>
    </w:p>
    <w:p>
      <w:pPr>
        <w:pStyle w:val="Heading3"/>
      </w:pPr>
      <w:bookmarkStart w:id="3628" w:name="_Toc2324"/>
      <w:r>
        <w:t>1810- دیوان خلیل شوشتری أو شعره‏</w:t>
      </w:r>
      <w:bookmarkEnd w:id="3628"/>
    </w:p>
    <w:p>
      <w:pPr>
        <w:pStyle w:val="BookText"/>
      </w:pPr>
      <w:r>
        <w:rPr>
          <w:rFonts w:ascii="IRNazanin" w:hAnsi="IRNazanin" w:eastAsia="IRNazanin" w:cs="IRNazanin"/>
          <w:lang w:bidi="fa-IR"/>
          <w:color w:val="111111"/>
          <w:sz w:val="28"/>
          <w:szCs w:val="28"/>
          <w:rtl/>
        </w:rPr>
        <w:t xml:space="preserve">توفی بشوشتر فی حیاة والده المیرزا شکر الله المستوفی ترجمه النصرآبادی فی (نر 4- ص 95) و (روشن- ص 201) و أورد شعره‏</w:t>
      </w:r>
    </w:p>
    <w:p>
      <w:pPr>
        <w:pStyle w:val="Heading3"/>
      </w:pPr>
      <w:bookmarkStart w:id="3629" w:name="_Toc2325"/>
      <w:r>
        <w:t>1811- دیوان خلیل طارخانی أو شعره‏</w:t>
      </w:r>
      <w:bookmarkEnd w:id="3629"/>
    </w:p>
    <w:p>
      <w:pPr>
        <w:pStyle w:val="BookText"/>
      </w:pPr>
      <w:r>
        <w:rPr>
          <w:rFonts w:ascii="IRNazanin" w:hAnsi="IRNazanin" w:eastAsia="IRNazanin" w:cs="IRNazanin"/>
          <w:lang w:bidi="fa-IR"/>
          <w:color w:val="111111"/>
          <w:sz w:val="28"/>
          <w:szCs w:val="28"/>
          <w:rtl/>
        </w:rPr>
        <w:t xml:space="preserve">و اسمه خلیل الله من أعیان طارخان من نواحی أصفهان و مات بها أورد بعض شعره فی (گلشن- ص 154)</w:t>
      </w:r>
    </w:p>
    <w:p>
      <w:pPr>
        <w:pStyle w:val="Heading3"/>
      </w:pPr>
      <w:bookmarkStart w:id="3630" w:name="_Toc2326"/>
      <w:r>
        <w:t>1812- دیوان الخلیل العروضی النحوی‏</w:t>
      </w:r>
      <w:bookmarkEnd w:id="3630"/>
    </w:p>
    <w:p>
      <w:pPr>
        <w:pStyle w:val="BookText"/>
      </w:pPr>
      <w:r>
        <w:rPr>
          <w:rFonts w:ascii="IRNazanin" w:hAnsi="IRNazanin" w:eastAsia="IRNazanin" w:cs="IRNazanin"/>
          <w:lang w:bidi="fa-IR"/>
          <w:color w:val="111111"/>
          <w:sz w:val="28"/>
          <w:szCs w:val="28"/>
          <w:rtl/>
        </w:rPr>
        <w:t xml:space="preserve">و هو أبو الصفا الخلیل بن أحمد الفراهیدی البصری المتوفی (170) علی قول، نسخه منه توجد فی پاریس‏</w:t>
      </w:r>
    </w:p>
    <w:p>
      <w:pPr>
        <w:pStyle w:val="Heading3"/>
      </w:pPr>
      <w:bookmarkStart w:id="3631" w:name="_Toc2327"/>
      <w:r>
        <w:t>1813- دیوان خلیل کاشانی‏</w:t>
      </w:r>
      <w:bookmarkEnd w:id="3631"/>
    </w:p>
    <w:p>
      <w:pPr>
        <w:pStyle w:val="BookText"/>
      </w:pPr>
      <w:r>
        <w:rPr>
          <w:rFonts w:ascii="IRNazanin" w:hAnsi="IRNazanin" w:eastAsia="IRNazanin" w:cs="IRNazanin"/>
          <w:lang w:bidi="fa-IR"/>
          <w:color w:val="111111"/>
          <w:sz w:val="28"/>
          <w:szCs w:val="28"/>
          <w:rtl/>
        </w:rPr>
        <w:t xml:space="preserve">و اسمه باقر، سکن بمشهد خراسان و مات بها فی عهد شاه سلیمان کما فی (تغ- ص 50) و ترجمه تقی کاشی و فی (نر 9- ص 332) و قال إن دیوانه فی أربعة آلاف بیت و قیل إن بمکتبة (المجلس) دیوان خلیلا کاشانی فی (195 ورقة)</w:t>
      </w:r>
    </w:p>
    <w:p>
      <w:pPr>
        <w:pStyle w:val="Heading3"/>
      </w:pPr>
      <w:bookmarkStart w:id="3632" w:name="_Toc2328"/>
      <w:r>
        <w:t>1814- دیوان خلیل لاهیجی أو شعره‏</w:t>
      </w:r>
      <w:bookmarkEnd w:id="3632"/>
    </w:p>
    <w:p>
      <w:pPr>
        <w:pStyle w:val="BookText"/>
      </w:pPr>
      <w:r>
        <w:rPr>
          <w:rFonts w:ascii="IRNazanin" w:hAnsi="IRNazanin" w:eastAsia="IRNazanin" w:cs="IRNazanin"/>
          <w:lang w:bidi="fa-IR"/>
          <w:color w:val="111111"/>
          <w:sz w:val="28"/>
          <w:szCs w:val="28"/>
          <w:rtl/>
        </w:rPr>
        <w:t xml:space="preserve">و هو خلیل بیک ترجمه فی (نر 4- ص 88) و أورد شعره و قال فی (روشن- ص 202) کان داروغه لطالب خان‏</w:t>
      </w:r>
    </w:p>
    <w:p>
      <w:pPr>
        <w:pStyle w:val="Heading3"/>
      </w:pPr>
      <w:bookmarkStart w:id="3633" w:name="_Toc2329"/>
      <w:r>
        <w:t>1815- دیوان خلیل نخجوانی أو شعره‏</w:t>
      </w:r>
      <w:bookmarkEnd w:id="3633"/>
    </w:p>
    <w:p>
      <w:pPr>
        <w:pStyle w:val="BookText"/>
      </w:pPr>
      <w:r>
        <w:rPr>
          <w:rFonts w:ascii="IRNazanin" w:hAnsi="IRNazanin" w:eastAsia="IRNazanin" w:cs="IRNazanin"/>
          <w:lang w:bidi="fa-IR"/>
          <w:color w:val="111111"/>
          <w:sz w:val="28"/>
          <w:szCs w:val="28"/>
          <w:rtl/>
        </w:rPr>
        <w:t xml:space="preserve">ترجمه و أورد شعره فی (دجا- ص 142) عن تحفه سامی، و ذکر أنه کان وزیر نخجوان، ثم کلانترا بها، و له آثار بها، و عمی بصره فی آخر عمره‏</w:t>
      </w:r>
    </w:p>
    <w:p>
      <w:pPr>
        <w:pStyle w:val="Heading3"/>
      </w:pPr>
      <w:bookmarkStart w:id="3634" w:name="_Toc2330"/>
      <w:r>
        <w:t>1816- دیوان خلیل همدانی أو شعره‏</w:t>
      </w:r>
      <w:bookmarkEnd w:id="3634"/>
    </w:p>
    <w:p>
      <w:pPr>
        <w:pStyle w:val="BookText"/>
      </w:pPr>
      <w:r>
        <w:rPr>
          <w:rFonts w:ascii="IRNazanin" w:hAnsi="IRNazanin" w:eastAsia="IRNazanin" w:cs="IRNazanin"/>
          <w:lang w:bidi="fa-IR"/>
          <w:color w:val="111111"/>
          <w:sz w:val="28"/>
          <w:szCs w:val="28"/>
          <w:rtl/>
        </w:rPr>
        <w:t xml:space="preserve">و هو أخ المیرزا إبراهیم قاضی‏زاده، أعلم علماء همدان کما ادعی الصادقی فی (خص 6- ص 93) و قال أدرکته فی شبابه، و قد مات فی طریق الهند شابا</w:t>
      </w:r>
    </w:p>
    <w:p>
      <w:pPr>
        <w:pStyle w:val="Heading3"/>
      </w:pPr>
      <w:bookmarkStart w:id="3635" w:name="_Toc2331"/>
      <w:r>
        <w:t>1817- دیوان خلیل هندی أو شعره‏</w:t>
      </w:r>
      <w:bookmarkEnd w:id="3635"/>
    </w:p>
    <w:p>
      <w:pPr>
        <w:pStyle w:val="BookText"/>
      </w:pPr>
      <w:r>
        <w:rPr>
          <w:rFonts w:ascii="IRNazanin" w:hAnsi="IRNazanin" w:eastAsia="IRNazanin" w:cs="IRNazanin"/>
          <w:lang w:bidi="fa-IR"/>
          <w:color w:val="111111"/>
          <w:sz w:val="28"/>
          <w:szCs w:val="28"/>
          <w:rtl/>
        </w:rPr>
        <w:t xml:space="preserve">و هو محمد إبراهیم بن السید مظفر الوزیر بحیدرآباد دکن أورد شعره معاصره فی (سرخوش- ص 32)</w:t>
      </w:r>
    </w:p>
    <w:p>
      <w:pPr>
        <w:pStyle w:val="Heading3"/>
      </w:pPr>
      <w:bookmarkStart w:id="3636" w:name="_Toc2332"/>
      <w:r>
        <w:t>1818- دیوان خلیل هندی أو شعره‏</w:t>
      </w:r>
      <w:bookmarkEnd w:id="3636"/>
    </w:p>
    <w:p>
      <w:pPr>
        <w:pStyle w:val="BookText"/>
      </w:pPr>
      <w:r>
        <w:rPr>
          <w:rFonts w:ascii="IRNazanin" w:hAnsi="IRNazanin" w:eastAsia="IRNazanin" w:cs="IRNazanin"/>
          <w:lang w:bidi="fa-IR"/>
          <w:color w:val="111111"/>
          <w:sz w:val="28"/>
          <w:szCs w:val="28"/>
          <w:rtl/>
        </w:rPr>
        <w:t xml:space="preserve">کان شاعر زیب النساء بنت عالمگیر ملک الهند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300" w:name="pg11704_121780"/>
    <w:bookmarkEnd w:id="300"/>
    <w:p>
      <w:pPr>
        <w:pStyle w:val="BookText"/>
      </w:pPr>
      <w:r>
        <w:rPr>
          <w:rFonts w:ascii="IRNazanin" w:hAnsi="IRNazanin" w:eastAsia="IRNazanin" w:cs="IRNazanin"/>
          <w:lang w:bidi="fa-IR"/>
          <w:color w:val="111111"/>
          <w:sz w:val="28"/>
          <w:szCs w:val="28"/>
          <w:rtl/>
        </w:rPr>
        <w:t xml:space="preserve">أورد شعره فی (سرخوش- ص 33) و لعله المذکور فی (گلشن- ص 153)</w:t>
      </w:r>
    </w:p>
    <w:p>
      <w:pPr>
        <w:pStyle w:val="Heading3"/>
      </w:pPr>
      <w:bookmarkStart w:id="3637" w:name="_Toc2333"/>
      <w:r>
        <w:t>دیوان خموش‏</w:t>
      </w:r>
      <w:bookmarkEnd w:id="3637"/>
    </w:p>
    <w:p>
      <w:pPr>
        <w:pStyle w:val="BookText"/>
      </w:pPr>
      <w:r>
        <w:rPr>
          <w:rFonts w:ascii="IRNazanin" w:hAnsi="IRNazanin" w:eastAsia="IRNazanin" w:cs="IRNazanin"/>
          <w:lang w:bidi="fa-IR"/>
          <w:color w:val="111111"/>
          <w:sz w:val="28"/>
          <w:szCs w:val="28"/>
          <w:rtl/>
        </w:rPr>
        <w:t xml:space="preserve">راجع دیوان خاموش‏</w:t>
      </w:r>
    </w:p>
    <w:p>
      <w:pPr>
        <w:pStyle w:val="Heading3"/>
      </w:pPr>
      <w:bookmarkStart w:id="3638" w:name="_Toc2334"/>
      <w:r>
        <w:t>1819- دیوان خموش شیرازی‏</w:t>
      </w:r>
      <w:bookmarkEnd w:id="3638"/>
    </w:p>
    <w:p>
      <w:pPr>
        <w:pStyle w:val="BookText"/>
      </w:pPr>
      <w:r>
        <w:rPr>
          <w:rFonts w:ascii="IRNazanin" w:hAnsi="IRNazanin" w:eastAsia="IRNazanin" w:cs="IRNazanin"/>
          <w:lang w:bidi="fa-IR"/>
          <w:color w:val="111111"/>
          <w:sz w:val="28"/>
          <w:szCs w:val="28"/>
          <w:rtl/>
        </w:rPr>
        <w:t xml:space="preserve">و اسمه محمد شریف توجد کثیرا من شعره فی کتابه مدائن الأحزان الذی ألفه باسم السلطان محمد شاه قاجار و النسخة عند السید محمد الجزائری فی النجف و لا أحتمل اتحاده مع محمد شریف خیال شیرازی‏</w:t>
      </w:r>
    </w:p>
    <w:p>
      <w:pPr>
        <w:pStyle w:val="Heading3"/>
      </w:pPr>
      <w:bookmarkStart w:id="3639" w:name="_Toc2335"/>
      <w:r>
        <w:t>1820- دیوان خموش طالقانی‏</w:t>
      </w:r>
      <w:bookmarkEnd w:id="3639"/>
    </w:p>
    <w:p>
      <w:pPr>
        <w:pStyle w:val="BookText"/>
      </w:pPr>
      <w:r>
        <w:rPr>
          <w:rFonts w:ascii="IRNazanin" w:hAnsi="IRNazanin" w:eastAsia="IRNazanin" w:cs="IRNazanin"/>
          <w:lang w:bidi="fa-IR"/>
          <w:color w:val="111111"/>
          <w:sz w:val="28"/>
          <w:szCs w:val="28"/>
          <w:rtl/>
        </w:rPr>
        <w:t xml:space="preserve">و اسمه درویش عبد المجید الطالقانی کما سیجی‏ء ولد بطالقان من قری قزوین و سافر فی أول عمره إلی أصفهان و تعلم خط النستعلیق، ثم مهر فی الشکستة فأکملها کما أکمل المیر عماد خط النستعلیق ترجمه فی امتحان الفضلاء و ذیل کشف الظنون و تاریخ جل خطوطه الموجود بین سنوات (1170- 1185) و مات فی شبابه بأصفهان فی (1185) و دیوانه موجود فی (1500 بیت) کما ذکره فی خطوط خوش کتابخانه شاهنشاهی- ص 289 و قد یتخلص أیضا مجید</w:t>
      </w:r>
    </w:p>
    <w:p>
      <w:pPr>
        <w:pStyle w:val="Heading3"/>
      </w:pPr>
      <w:bookmarkStart w:id="3640" w:name="_Toc2336"/>
      <w:r>
        <w:t>1821- دیوان خموش طهرانی‏</w:t>
      </w:r>
      <w:bookmarkEnd w:id="3640"/>
    </w:p>
    <w:p>
      <w:pPr>
        <w:pStyle w:val="BookText"/>
      </w:pPr>
      <w:r>
        <w:rPr>
          <w:rFonts w:ascii="IRNazanin" w:hAnsi="IRNazanin" w:eastAsia="IRNazanin" w:cs="IRNazanin"/>
          <w:lang w:bidi="fa-IR"/>
          <w:color w:val="111111"/>
          <w:sz w:val="28"/>
          <w:szCs w:val="28"/>
          <w:rtl/>
        </w:rPr>
        <w:t xml:space="preserve">ولد بطهران و نشا بشیراز کان خیاطا أمیا یملی شعره علی الکاتب فیکتبه، فبلغ ما یقرب من عشرة آلاف بیت أکثرها فی مدائح المعصومین علیه السلام  سوی الغزلیات و المعارف ترجمه معاصره فی (مع- ج 2 ص 150) و أورد جملة من أشعاره‏</w:t>
      </w:r>
    </w:p>
    <w:p>
      <w:pPr>
        <w:pStyle w:val="Heading3"/>
      </w:pPr>
      <w:bookmarkStart w:id="3641" w:name="_Toc2337"/>
      <w:r>
        <w:t>1822- دیوان خموشی رازی أو شعره‏</w:t>
      </w:r>
      <w:bookmarkEnd w:id="3641"/>
    </w:p>
    <w:p>
      <w:pPr>
        <w:pStyle w:val="BookText"/>
      </w:pPr>
      <w:r>
        <w:rPr>
          <w:rFonts w:ascii="IRNazanin" w:hAnsi="IRNazanin" w:eastAsia="IRNazanin" w:cs="IRNazanin"/>
          <w:lang w:bidi="fa-IR"/>
          <w:color w:val="111111"/>
          <w:sz w:val="28"/>
          <w:szCs w:val="28"/>
          <w:rtl/>
        </w:rPr>
        <w:t xml:space="preserve">ترجمه معاصره سام میرزا فی (تس 5- ص 163) و أورد رباعیة له‏</w:t>
      </w:r>
    </w:p>
    <w:p>
      <w:pPr>
        <w:pStyle w:val="Heading3"/>
      </w:pPr>
      <w:bookmarkStart w:id="3642" w:name="_Toc2338"/>
      <w:r>
        <w:t>1823- دیوان السید خنجر أو شعره‏</w:t>
      </w:r>
      <w:bookmarkEnd w:id="3642"/>
    </w:p>
    <w:p>
      <w:pPr>
        <w:pStyle w:val="BookText"/>
      </w:pPr>
      <w:r>
        <w:rPr>
          <w:rFonts w:ascii="IRNazanin" w:hAnsi="IRNazanin" w:eastAsia="IRNazanin" w:cs="IRNazanin"/>
          <w:lang w:bidi="fa-IR"/>
          <w:color w:val="111111"/>
          <w:sz w:val="28"/>
          <w:szCs w:val="28"/>
          <w:rtl/>
        </w:rPr>
        <w:t xml:space="preserve">من أهل جیجکتو، هاجر من بلده إلی هرات لتحصیل العلم، لکنه صار جندیا کذا ترجمه فی (مجن 3- ص 88 و 262) و أورد مطلع غزله و أظنه خنجر جغتائی من أمراء همایون شاه و المذکور فی (خوش‏گو)</w:t>
      </w:r>
    </w:p>
    <w:p>
      <w:pPr>
        <w:pStyle w:val="Heading3"/>
      </w:pPr>
      <w:bookmarkStart w:id="3643" w:name="_Toc2339"/>
      <w:r>
        <w:t>دیوان خندان‏</w:t>
      </w:r>
      <w:bookmarkEnd w:id="3643"/>
    </w:p>
    <w:p>
      <w:pPr>
        <w:pStyle w:val="BookText"/>
      </w:pPr>
      <w:r>
        <w:rPr>
          <w:rFonts w:ascii="IRNazanin" w:hAnsi="IRNazanin" w:eastAsia="IRNazanin" w:cs="IRNazanin"/>
          <w:lang w:bidi="fa-IR"/>
          <w:color w:val="111111"/>
          <w:sz w:val="28"/>
          <w:szCs w:val="28"/>
          <w:rtl/>
        </w:rPr>
        <w:t xml:space="preserve">راجع سلطان محمد خندان‏</w:t>
      </w:r>
    </w:p>
    <w:p>
      <w:pPr>
        <w:pStyle w:val="Heading3"/>
      </w:pPr>
      <w:bookmarkStart w:id="3644" w:name="_Toc2340"/>
      <w:r>
        <w:t>1824- دیوان خواجو کرمانی‏</w:t>
      </w:r>
      <w:bookmarkEnd w:id="3644"/>
    </w:p>
    <w:p>
      <w:pPr>
        <w:pStyle w:val="BookText"/>
      </w:pPr>
      <w:r>
        <w:rPr>
          <w:rFonts w:ascii="IRNazanin" w:hAnsi="IRNazanin" w:eastAsia="IRNazanin" w:cs="IRNazanin"/>
          <w:lang w:bidi="fa-IR"/>
          <w:color w:val="111111"/>
          <w:sz w:val="28"/>
          <w:szCs w:val="28"/>
          <w:rtl/>
        </w:rPr>
        <w:t xml:space="preserve">و هو کمال الدین أبو العطاء محمود بن علی الکرمانی المتخلص خواجو (689- 753) الملقب نخلبند شعراء له مثنوی گل و نوروز نظمه باسم الوزیر تاج الدین أحمد بن علی العراقی، و مدحه أیضا بقصائد کثیرة فأمر الوزیر العراقی جمعا من الکتاب</w:t>
      </w:r>
    </w:p>
    <w:p>
      <w:pPr>
        <w:pStyle w:val="BookText"/>
      </w:pPr>
      <w:r>
        <w:rPr>
          <w:rFonts w:ascii="IRNazanin" w:hAnsi="IRNazanin" w:eastAsia="IRNazanin" w:cs="IRNazanin"/>
          <w:lang w:bidi="fa-IR"/>
          <w:color w:val="111111"/>
          <w:sz w:val="28"/>
          <w:szCs w:val="28"/>
          <w:rtl/>
        </w:rPr>
        <w:t xml:space="preserve">بجمع دیوان الخواجو فی حمایته، فجمعوا من شعره قرب خمسة و عشرین ألف بیت و سموه صنائع الکمال و ذکروا فی دیباجته أن ما ینظمه بعد ذلک‏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301" w:name="pg11704_121781"/>
    <w:bookmarkEnd w:id="301"/>
    <w:p>
      <w:pPr>
        <w:pStyle w:val="BookText"/>
      </w:pPr>
      <w:r>
        <w:rPr>
          <w:rFonts w:ascii="IRNazanin" w:hAnsi="IRNazanin" w:eastAsia="IRNazanin" w:cs="IRNazanin"/>
          <w:lang w:bidi="fa-IR"/>
          <w:color w:val="111111"/>
          <w:sz w:val="28"/>
          <w:szCs w:val="28"/>
          <w:rtl/>
        </w:rPr>
        <w:t xml:space="preserve">سیجمعوه و یسموه بدائع الجمال و قد فاتنا ذکره فی حرف ألباء و و یوجد قطعة من بدائع الجمال بعنوان الشوقیات یقرب من ثلاثة آلاف بیت فی مکتبة (المجلس) کما فی فهرسها (ج 3- ص 656) و کذا قطعة من الصنائع و قد مر له الخمسة فی حرف الخاء ترجمه فی (مرآة الخیال- ص 49) و (تش- ص 119) و رجال حبیب السیر- ص 47، و (بهش 1- ص 333) و أحسن تراجمة ما کتبه سعید النفیسی فی رسالة بعنوان نخلبند شعرا، و أحوال خواجوی کرمانی و طبع (1307 ش) و جعله ذیلا و استدراکا لما کتبه قبله مسرور، و جعله فی مقدمه طبع روضة الأنوار الخواجوئی و صرح بأن ما یقال من أن شعره یقرب من خمسة و عشرین ألف بیت خطأ، و إن جمیع أنواع شعره من الغزلیات و القصائد و الرباعیات و غیرها لا یتجاوز عن تسعة آلاف بیت، و ذکر أن أغلب قصائده فی مدیح أهل البیت و لا سیما أمیر المؤمنین علیه السلام  و له هما و همایون نظمه ببغداد و طبع فی (ص 296) و طبع له سام‏نامه فی بمبئی فی (1319) فی (432 ص) و طبع منتخب دیوانه لکوهی کرمانی بطهران‏</w:t>
      </w:r>
    </w:p>
    <w:p>
      <w:pPr>
        <w:pStyle w:val="Heading3"/>
      </w:pPr>
      <w:bookmarkStart w:id="3645" w:name="_Toc2341"/>
      <w:r>
        <w:t>1825- دیوان خواجوزاده کابلی أو شعره‏</w:t>
      </w:r>
      <w:bookmarkEnd w:id="3645"/>
    </w:p>
    <w:p>
      <w:pPr>
        <w:pStyle w:val="BookText"/>
      </w:pPr>
      <w:r>
        <w:rPr>
          <w:rFonts w:ascii="IRNazanin" w:hAnsi="IRNazanin" w:eastAsia="IRNazanin" w:cs="IRNazanin"/>
          <w:lang w:bidi="fa-IR"/>
          <w:color w:val="111111"/>
          <w:sz w:val="28"/>
          <w:szCs w:val="28"/>
          <w:rtl/>
        </w:rPr>
        <w:t xml:space="preserve">أورد شعره فی (گلشن- ص 54) و قال کان من شعراء عهد أکبر شاه و همایون شاه‏</w:t>
      </w:r>
    </w:p>
    <w:p>
      <w:pPr>
        <w:pStyle w:val="Heading3"/>
      </w:pPr>
      <w:bookmarkStart w:id="3646" w:name="_Toc2342"/>
      <w:r>
        <w:t>دیوان خواجه‏</w:t>
      </w:r>
      <w:bookmarkEnd w:id="3646"/>
    </w:p>
    <w:p>
      <w:pPr>
        <w:pStyle w:val="BookText"/>
      </w:pPr>
      <w:r>
        <w:rPr>
          <w:rFonts w:ascii="IRNazanin" w:hAnsi="IRNazanin" w:eastAsia="IRNazanin" w:cs="IRNazanin"/>
          <w:lang w:bidi="fa-IR"/>
          <w:color w:val="111111"/>
          <w:sz w:val="28"/>
          <w:szCs w:val="28"/>
          <w:rtl/>
        </w:rPr>
        <w:t xml:space="preserve">بما أن لفظ خواجه من الألقاب للأعاظم نظیر الأمیر، و السید، و المولی، و القاضی، و الشیخ، و أمثال ذلک، فلم نراع الترتیب الا فی الکلمة المضاف إلیها لفظ الخواجة مثلا الخواجة آقا، الخواجة أبو القاسم، الخواجة باقر، الخواجة حسن، الخواجة خلیل، الخواجة سمیع، الخواجة نصیر، و هکذا</w:t>
      </w:r>
    </w:p>
    <w:p>
      <w:pPr>
        <w:pStyle w:val="Heading3"/>
      </w:pPr>
      <w:bookmarkStart w:id="3647" w:name="_Toc2343"/>
      <w:r>
        <w:t>1826- دیوان خواجکی بلخی أو شعره‏</w:t>
      </w:r>
      <w:bookmarkEnd w:id="3647"/>
    </w:p>
    <w:p>
      <w:pPr>
        <w:pStyle w:val="BookText"/>
      </w:pPr>
      <w:r>
        <w:rPr>
          <w:rFonts w:ascii="IRNazanin" w:hAnsi="IRNazanin" w:eastAsia="IRNazanin" w:cs="IRNazanin"/>
          <w:lang w:bidi="fa-IR"/>
          <w:color w:val="111111"/>
          <w:sz w:val="28"/>
          <w:szCs w:val="28"/>
          <w:rtl/>
        </w:rPr>
        <w:t xml:space="preserve">ذکر له فی کشف الظنون شرح معمیات میر حسین و أورد فی (هفت- ص 286) خواجکی الشریف و قال صار محرما خاصا للمجلس الخاقانی و أطری فضله و أورد شعره‏</w:t>
      </w:r>
    </w:p>
    <w:p>
      <w:pPr>
        <w:pStyle w:val="Heading3"/>
      </w:pPr>
      <w:bookmarkStart w:id="3648" w:name="_Toc2344"/>
      <w:r>
        <w:t>دیوان خواجه آصفی‏</w:t>
      </w:r>
      <w:bookmarkEnd w:id="3648"/>
    </w:p>
    <w:p>
      <w:pPr>
        <w:pStyle w:val="BookText"/>
      </w:pPr>
      <w:r>
        <w:rPr>
          <w:rFonts w:ascii="IRNazanin" w:hAnsi="IRNazanin" w:eastAsia="IRNazanin" w:cs="IRNazanin"/>
          <w:lang w:bidi="fa-IR"/>
          <w:color w:val="111111"/>
          <w:sz w:val="28"/>
          <w:szCs w:val="28"/>
          <w:rtl/>
        </w:rPr>
        <w:t xml:space="preserve">مر بعنوان آصفی‏</w:t>
      </w:r>
    </w:p>
    <w:p>
      <w:pPr>
        <w:pStyle w:val="Heading3"/>
      </w:pPr>
      <w:bookmarkStart w:id="3649" w:name="_Toc2345"/>
      <w:r>
        <w:t>1827- دیوان خواجه اختیار گنابادی‏</w:t>
      </w:r>
      <w:bookmarkEnd w:id="3649"/>
    </w:p>
    <w:p>
      <w:pPr>
        <w:pStyle w:val="BookText"/>
      </w:pPr>
      <w:r>
        <w:rPr>
          <w:rFonts w:ascii="IRNazanin" w:hAnsi="IRNazanin" w:eastAsia="IRNazanin" w:cs="IRNazanin"/>
          <w:lang w:bidi="fa-IR"/>
          <w:color w:val="111111"/>
          <w:sz w:val="28"/>
          <w:szCs w:val="28"/>
          <w:rtl/>
        </w:rPr>
        <w:t xml:space="preserve">و اسمه الحسن بن علی الگنابادی الخطاط المنشی توجد قطعات من منشئاته بخطه الجید فی المکتبة الشاهیة بطهران کتابتها بین سنوات (935- 970) فهو غیر السید القاضی اختیار بن غیاث الحسینی المذکور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302" w:name="pg11704_121782"/>
    <w:bookmarkEnd w:id="302"/>
    <w:p>
      <w:pPr>
        <w:pStyle w:val="BookText"/>
      </w:pPr>
      <w:r>
        <w:rPr>
          <w:rFonts w:ascii="IRNazanin" w:hAnsi="IRNazanin" w:eastAsia="IRNazanin" w:cs="IRNazanin"/>
          <w:lang w:bidi="fa-IR"/>
          <w:color w:val="111111"/>
          <w:sz w:val="28"/>
          <w:szCs w:val="28"/>
          <w:rtl/>
        </w:rPr>
        <w:t xml:space="preserve">دیوانه فی (ص 62) و صاحب أوائل التحریر الذی ألفه فی (897) المذکور فی فهرس مکتبة دانشگاه تهران (ج 2 ص 689) و قد خلط الدکتور بیانی فی نمونه خطوط خوش شاهنشاهی- ص 109 بین هذین الشاعرین و قال البیانی إنی رأیت بخط اختیار هذا أنه سافر إلی محولات و زاوة فی (935) و ترجمه فی گلستان هنر أیضا</w:t>
      </w:r>
    </w:p>
    <w:p>
      <w:pPr>
        <w:pStyle w:val="Heading3"/>
      </w:pPr>
      <w:bookmarkStart w:id="3650" w:name="_Toc2346"/>
      <w:r>
        <w:t>1828- دیوان خواجه أصفهانی أو شعره‏</w:t>
      </w:r>
      <w:bookmarkEnd w:id="3650"/>
    </w:p>
    <w:p>
      <w:pPr>
        <w:pStyle w:val="BookText"/>
      </w:pPr>
      <w:r>
        <w:rPr>
          <w:rFonts w:ascii="IRNazanin" w:hAnsi="IRNazanin" w:eastAsia="IRNazanin" w:cs="IRNazanin"/>
          <w:lang w:bidi="fa-IR"/>
          <w:color w:val="111111"/>
          <w:sz w:val="28"/>
          <w:szCs w:val="28"/>
          <w:rtl/>
        </w:rPr>
        <w:t xml:space="preserve">ذهب إلی أزبکستان و تقرب عند شیبک خان، ثم سافر إلی إستانبول و مدح السلطان سلیم بقصیدة فارسیة و مات (927) أورد شعره المستر براون فی (ج 4- ص 63) من تاریخه للأدب الفارسی‏</w:t>
      </w:r>
    </w:p>
    <w:p>
      <w:pPr>
        <w:pStyle w:val="Heading3"/>
      </w:pPr>
      <w:bookmarkStart w:id="3651" w:name="_Toc2347"/>
      <w:r>
        <w:t>1829- دیوان خواجه عبد الله أنصاری‏</w:t>
      </w:r>
      <w:bookmarkEnd w:id="3651"/>
    </w:p>
    <w:p>
      <w:pPr>
        <w:pStyle w:val="BookText"/>
      </w:pPr>
      <w:r>
        <w:rPr>
          <w:rFonts w:ascii="IRNazanin" w:hAnsi="IRNazanin" w:eastAsia="IRNazanin" w:cs="IRNazanin"/>
          <w:lang w:bidi="fa-IR"/>
          <w:color w:val="111111"/>
          <w:sz w:val="28"/>
          <w:szCs w:val="28"/>
          <w:rtl/>
        </w:rPr>
        <w:t xml:space="preserve">هو ابن أبی منصور محمد بن أبی أیوب علی المولود فی أواخر القرن الرابع و المتوفی (481) کما فی شاهد صادق و غیرها کان ینهی نسبه إلی أبی أیوب الأنصاری و له مؤلفات ترجمه فی الروضات (ص 450) و هدیة الأحباب و (مع- ج 1- ص 65) و مجالس العشاق (ص 56) طبع رسائله الفارسیة باعتناء وحید الدستگردی بطهران فی (180 ص) و طبع له منازل السائرین بالعربیة و شرحه للکاشانی کمال الدین عبد الرزاق و طبع دیوان شعره الفارسی فی (56 ص) بطهران‏</w:t>
      </w:r>
    </w:p>
    <w:p>
      <w:pPr>
        <w:pStyle w:val="Heading3"/>
      </w:pPr>
      <w:bookmarkStart w:id="3652" w:name="_Toc2348"/>
      <w:r>
        <w:t>دیوان خواجه عصمت بخاری‏</w:t>
      </w:r>
      <w:bookmarkEnd w:id="3652"/>
    </w:p>
    <w:p>
      <w:pPr>
        <w:pStyle w:val="BookText"/>
      </w:pPr>
      <w:r>
        <w:rPr>
          <w:rFonts w:ascii="IRNazanin" w:hAnsi="IRNazanin" w:eastAsia="IRNazanin" w:cs="IRNazanin"/>
          <w:lang w:bidi="fa-IR"/>
          <w:color w:val="111111"/>
          <w:sz w:val="28"/>
          <w:szCs w:val="28"/>
          <w:rtl/>
        </w:rPr>
        <w:t xml:space="preserve">یأتی فی العین‏</w:t>
      </w:r>
    </w:p>
    <w:p>
      <w:pPr>
        <w:pStyle w:val="Heading3"/>
      </w:pPr>
      <w:bookmarkStart w:id="3653" w:name="_Toc2349"/>
      <w:r>
        <w:t>دیوان خواجه مسعود قمی‏</w:t>
      </w:r>
      <w:bookmarkEnd w:id="3653"/>
    </w:p>
    <w:p>
      <w:pPr>
        <w:pStyle w:val="BookText"/>
      </w:pPr>
      <w:r>
        <w:rPr>
          <w:rFonts w:ascii="IRNazanin" w:hAnsi="IRNazanin" w:eastAsia="IRNazanin" w:cs="IRNazanin"/>
          <w:lang w:bidi="fa-IR"/>
          <w:color w:val="111111"/>
          <w:sz w:val="28"/>
          <w:szCs w:val="28"/>
          <w:rtl/>
        </w:rPr>
        <w:t xml:space="preserve">یأتی فی المیم‏</w:t>
      </w:r>
    </w:p>
    <w:p>
      <w:pPr>
        <w:pStyle w:val="Heading3"/>
      </w:pPr>
      <w:bookmarkStart w:id="3654" w:name="_Toc2350"/>
      <w:r>
        <w:t>1830- دیوان خواجه نصیر الدین طوسی‏</w:t>
      </w:r>
      <w:bookmarkEnd w:id="3654"/>
    </w:p>
    <w:p>
      <w:pPr>
        <w:pStyle w:val="BookText"/>
      </w:pPr>
      <w:r>
        <w:rPr>
          <w:rFonts w:ascii="IRNazanin" w:hAnsi="IRNazanin" w:eastAsia="IRNazanin" w:cs="IRNazanin"/>
          <w:lang w:bidi="fa-IR"/>
          <w:color w:val="111111"/>
          <w:sz w:val="28"/>
          <w:szCs w:val="28"/>
          <w:rtl/>
        </w:rPr>
        <w:t xml:space="preserve">المتوفی (672) له شعر کثیر بالفارسیة ذکر بعضها فی (مع- ج 1- 633) و (تش- 236) و یوجد له فی مکتبة کلیة الطب بطهران مدخل فی علم النجوم بالنظم الفارسی کما ذکر فی فهرسها (ج 1 ص 441) آخره:</w:t>
      </w:r>
    </w:p>
    <w:p>
      <w:pPr>
        <w:pStyle w:val="BookText"/>
      </w:pPr>
      <w:r>
        <w:rPr>
          <w:rFonts w:ascii="IRNazanin" w:hAnsi="IRNazanin" w:eastAsia="IRNazanin" w:cs="IRNazanin"/>
          <w:lang w:bidi="fa-IR"/>
          <w:color w:val="111111"/>
          <w:sz w:val="28"/>
          <w:szCs w:val="28"/>
          <w:rtl/>
        </w:rPr>
        <w:t xml:space="preserve">کردم آغاز مدخل منظوم‏</w:t>
      </w:r>
    </w:p>
    <w:p>
      <w:pPr>
        <w:pStyle w:val="BookText"/>
      </w:pPr>
      <w:r>
        <w:rPr>
          <w:rFonts w:ascii="IRNazanin" w:hAnsi="IRNazanin" w:eastAsia="IRNazanin" w:cs="IRNazanin"/>
          <w:lang w:bidi="fa-IR"/>
          <w:color w:val="111111"/>
          <w:sz w:val="28"/>
          <w:szCs w:val="28"/>
          <w:rtl/>
        </w:rPr>
        <w:t xml:space="preserve">یاد کردم درو بسی ز علوم‏</w:t>
      </w:r>
    </w:p>
    <w:p>
      <w:pPr>
        <w:pStyle w:val="BookText"/>
      </w:pPr>
      <w:r>
        <w:rPr>
          <w:rFonts w:ascii="IRNazanin" w:hAnsi="IRNazanin" w:eastAsia="IRNazanin" w:cs="IRNazanin"/>
          <w:lang w:bidi="fa-IR"/>
          <w:color w:val="111111"/>
          <w:sz w:val="28"/>
          <w:szCs w:val="28"/>
          <w:rtl/>
        </w:rPr>
        <w:t xml:space="preserve">بهر تشریف خویش أول این‏</w:t>
      </w:r>
    </w:p>
    <w:p>
      <w:pPr>
        <w:pStyle w:val="BookText"/>
      </w:pPr>
      <w:r>
        <w:rPr>
          <w:rFonts w:ascii="IRNazanin" w:hAnsi="IRNazanin" w:eastAsia="IRNazanin" w:cs="IRNazanin"/>
          <w:lang w:bidi="fa-IR"/>
          <w:color w:val="111111"/>
          <w:sz w:val="28"/>
          <w:szCs w:val="28"/>
          <w:rtl/>
        </w:rPr>
        <w:t xml:space="preserve">کردم از مدحت جمال الدین‏</w:t>
      </w:r>
    </w:p>
    <w:p>
      <w:pPr>
        <w:pStyle w:val="BookText"/>
      </w:pPr>
      <w:r>
        <w:rPr>
          <w:rFonts w:ascii="IRNazanin" w:hAnsi="IRNazanin" w:eastAsia="IRNazanin" w:cs="IRNazanin"/>
          <w:lang w:bidi="fa-IR"/>
          <w:color w:val="111111"/>
          <w:sz w:val="28"/>
          <w:szCs w:val="28"/>
          <w:rtl/>
        </w:rPr>
        <w:t xml:space="preserve">و قد طبع دیوان شعره الفارسی بطهران فی (62 ص)</w:t>
      </w:r>
    </w:p>
    <w:p>
      <w:pPr>
        <w:pStyle w:val="Heading3"/>
      </w:pPr>
      <w:bookmarkStart w:id="3655" w:name="_Toc2351"/>
      <w:r>
        <w:t>دیوان خوارزمی‏</w:t>
      </w:r>
      <w:bookmarkEnd w:id="3655"/>
    </w:p>
    <w:p>
      <w:pPr>
        <w:pStyle w:val="BookText"/>
      </w:pPr>
      <w:r>
        <w:rPr>
          <w:rFonts w:ascii="IRNazanin" w:hAnsi="IRNazanin" w:eastAsia="IRNazanin" w:cs="IRNazanin"/>
          <w:lang w:bidi="fa-IR"/>
          <w:color w:val="111111"/>
          <w:sz w:val="28"/>
          <w:szCs w:val="28"/>
          <w:rtl/>
        </w:rPr>
        <w:t xml:space="preserve">مر بعنوان حسین الخوارزمی لتخلصه حسین‏</w:t>
      </w:r>
    </w:p>
    <w:p>
      <w:pPr>
        <w:pStyle w:val="Heading3"/>
      </w:pPr>
      <w:bookmarkStart w:id="3656" w:name="_Toc2352"/>
      <w:r>
        <w:t>1831- دیوان خواری تبریزی‏</w:t>
      </w:r>
      <w:bookmarkEnd w:id="3656"/>
    </w:p>
    <w:p>
      <w:pPr>
        <w:pStyle w:val="BookText"/>
      </w:pPr>
      <w:r>
        <w:rPr>
          <w:rFonts w:ascii="IRNazanin" w:hAnsi="IRNazanin" w:eastAsia="IRNazanin" w:cs="IRNazanin"/>
          <w:lang w:bidi="fa-IR"/>
          <w:color w:val="111111"/>
          <w:sz w:val="28"/>
          <w:szCs w:val="28"/>
          <w:rtl/>
        </w:rPr>
        <w:t xml:space="preserve">قال فی خلاصة الأشعار إنه من أعظم شعراء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303" w:name="pg11704_121783"/>
    <w:bookmarkEnd w:id="303"/>
    <w:p>
      <w:pPr>
        <w:pStyle w:val="BookText"/>
      </w:pPr>
      <w:r>
        <w:rPr>
          <w:rFonts w:ascii="IRNazanin" w:hAnsi="IRNazanin" w:eastAsia="IRNazanin" w:cs="IRNazanin"/>
          <w:lang w:bidi="fa-IR"/>
          <w:color w:val="111111"/>
          <w:sz w:val="28"/>
          <w:szCs w:val="28"/>
          <w:rtl/>
        </w:rPr>
        <w:t xml:space="preserve">آذربایجان و أصحاب الغزل بتبریز، و کان یتتبع أشعار لسانی و مات (974) ثم أورد قریبا من (100 بیت) من شعره و قال کان ینسب نفسه إلی هرات کذا فی (دجا- ص 128) و ترجمه أیضا فی (خص 8- ص 216) و (تش- ص 29)</w:t>
      </w:r>
    </w:p>
    <w:p>
      <w:pPr>
        <w:pStyle w:val="Heading3"/>
      </w:pPr>
      <w:bookmarkStart w:id="3657" w:name="_Toc2353"/>
      <w:r>
        <w:t>دیوان خواری رازی‏</w:t>
      </w:r>
      <w:bookmarkEnd w:id="3657"/>
    </w:p>
    <w:p>
      <w:pPr>
        <w:pStyle w:val="BookText"/>
      </w:pPr>
      <w:r>
        <w:rPr>
          <w:rFonts w:ascii="IRNazanin" w:hAnsi="IRNazanin" w:eastAsia="IRNazanin" w:cs="IRNazanin"/>
          <w:lang w:bidi="fa-IR"/>
          <w:color w:val="111111"/>
          <w:sz w:val="28"/>
          <w:szCs w:val="28"/>
          <w:rtl/>
        </w:rPr>
        <w:t xml:space="preserve">أورد شعره فی (گلشن- ص 193) و لعله متحد مع ما قبله‏</w:t>
      </w:r>
    </w:p>
    <w:p>
      <w:pPr>
        <w:pStyle w:val="Heading3"/>
      </w:pPr>
      <w:bookmarkStart w:id="3658" w:name="_Toc2354"/>
      <w:r>
        <w:t>دیوان خوافی‏</w:t>
      </w:r>
      <w:bookmarkEnd w:id="3658"/>
    </w:p>
    <w:p>
      <w:pPr>
        <w:pStyle w:val="BookText"/>
      </w:pPr>
      <w:r>
        <w:rPr>
          <w:rFonts w:ascii="IRNazanin" w:hAnsi="IRNazanin" w:eastAsia="IRNazanin" w:cs="IRNazanin"/>
          <w:lang w:bidi="fa-IR"/>
          <w:color w:val="111111"/>
          <w:sz w:val="28"/>
          <w:szCs w:val="28"/>
          <w:rtl/>
        </w:rPr>
        <w:t xml:space="preserve">مر بعنوان دیوان ابن حسام‏</w:t>
      </w:r>
    </w:p>
    <w:p>
      <w:pPr>
        <w:pStyle w:val="Heading3"/>
      </w:pPr>
      <w:bookmarkStart w:id="3659" w:name="_Toc2355"/>
      <w:r>
        <w:t>دیوان الخوافی‏</w:t>
      </w:r>
      <w:bookmarkEnd w:id="3659"/>
    </w:p>
    <w:p>
      <w:pPr>
        <w:pStyle w:val="BookText"/>
      </w:pPr>
      <w:r>
        <w:rPr>
          <w:rFonts w:ascii="IRNazanin" w:hAnsi="IRNazanin" w:eastAsia="IRNazanin" w:cs="IRNazanin"/>
          <w:lang w:bidi="fa-IR"/>
          <w:color w:val="111111"/>
          <w:sz w:val="28"/>
          <w:szCs w:val="28"/>
          <w:rtl/>
        </w:rPr>
        <w:t xml:space="preserve">و اسمه تاج الدین قال سنگلاخ فی امتحان الفضلاء (ج 2- ص 75) إنه رأی دیوانه بخط أبی تراب الأصفهانی الخطاط و أظنه أحد المذکورین فی (ص 165)</w:t>
      </w:r>
    </w:p>
    <w:p>
      <w:pPr>
        <w:pStyle w:val="Heading3"/>
      </w:pPr>
      <w:bookmarkStart w:id="3660" w:name="_Toc2356"/>
      <w:r>
        <w:t>1832- دیوان خواجه خواند سمرقندی أو شعره‏</w:t>
      </w:r>
      <w:bookmarkEnd w:id="3660"/>
    </w:p>
    <w:p>
      <w:pPr>
        <w:pStyle w:val="BookText"/>
      </w:pPr>
      <w:r>
        <w:rPr>
          <w:rFonts w:ascii="IRNazanin" w:hAnsi="IRNazanin" w:eastAsia="IRNazanin" w:cs="IRNazanin"/>
          <w:lang w:bidi="fa-IR"/>
          <w:color w:val="111111"/>
          <w:sz w:val="28"/>
          <w:szCs w:val="28"/>
          <w:rtl/>
        </w:rPr>
        <w:t xml:space="preserve">هو ابن الخواجة فضل الله اللیثی کما فی (لط 6- ص 116) و سماه فی (قز مج- ص 287) خواجه فضل الله بن أبی اللیث، و قالا کان عالما و لکنه هزال‏</w:t>
      </w:r>
    </w:p>
    <w:p>
      <w:pPr>
        <w:pStyle w:val="Heading3"/>
      </w:pPr>
      <w:bookmarkStart w:id="3661" w:name="_Toc2357"/>
      <w:r>
        <w:t>دیوان الخوانساری‏</w:t>
      </w:r>
      <w:bookmarkEnd w:id="3661"/>
    </w:p>
    <w:p>
      <w:pPr>
        <w:pStyle w:val="BookText"/>
      </w:pPr>
      <w:r>
        <w:rPr>
          <w:rFonts w:ascii="IRNazanin" w:hAnsi="IRNazanin" w:eastAsia="IRNazanin" w:cs="IRNazanin"/>
          <w:lang w:bidi="fa-IR"/>
          <w:color w:val="111111"/>
          <w:sz w:val="28"/>
          <w:szCs w:val="28"/>
          <w:rtl/>
        </w:rPr>
        <w:t xml:space="preserve">یأتی بعنوان دیوان صاحب الروضات‏</w:t>
      </w:r>
    </w:p>
    <w:p>
      <w:pPr>
        <w:pStyle w:val="Heading3"/>
      </w:pPr>
      <w:bookmarkStart w:id="3662" w:name="_Toc2358"/>
      <w:r>
        <w:t>1833- دیوان مولانا میر خواند</w:t>
      </w:r>
      <w:bookmarkEnd w:id="3662"/>
    </w:p>
    <w:p>
      <w:pPr>
        <w:pStyle w:val="BookText"/>
      </w:pPr>
      <w:r>
        <w:rPr>
          <w:rFonts w:ascii="IRNazanin" w:hAnsi="IRNazanin" w:eastAsia="IRNazanin" w:cs="IRNazanin"/>
          <w:lang w:bidi="fa-IR"/>
          <w:color w:val="111111"/>
          <w:sz w:val="28"/>
          <w:szCs w:val="28"/>
          <w:rtl/>
        </w:rPr>
        <w:t xml:space="preserve">المؤرخ ابن السید برهان الدین محمد خاوندشاه بن السید کمال الدین محمود، حفید السید خاوند سپید جل البخاری بخمسة آباء کان والده من أعلم علماء بلخ و قد جد هو فی تحصیل العلوم و الأدب و بلغ فی علم التاریخ و الإنشاء حدا لم یکن له نظیر فکتب بالتماس الأمیر علی شیر تاریخا عاما من بدء العالم إلی زمان دولة الشاه سلطان حسین میرزا و هذا التاریخ ثانی تاریخ الحافظ ابرو، هکذا وصفه فی (مجن 4- ص 94 و 270) و ذکر أنه تتبع دریای أبرار من نظم الأمیر خسرو تتبعا حسنا، و ذکر بعض شعره أقول مراده من التاریخ العام هو روضة الصفا</w:t>
      </w:r>
    </w:p>
    <w:p>
      <w:pPr>
        <w:pStyle w:val="Heading3"/>
      </w:pPr>
      <w:bookmarkStart w:id="3663" w:name="_Toc2359"/>
      <w:r>
        <w:t>1834- دیوان السید الخواند میر أو شعره‏</w:t>
      </w:r>
      <w:bookmarkEnd w:id="3663"/>
    </w:p>
    <w:p>
      <w:pPr>
        <w:pStyle w:val="BookText"/>
      </w:pPr>
      <w:r>
        <w:rPr>
          <w:rFonts w:ascii="IRNazanin" w:hAnsi="IRNazanin" w:eastAsia="IRNazanin" w:cs="IRNazanin"/>
          <w:lang w:bidi="fa-IR"/>
          <w:color w:val="111111"/>
          <w:sz w:val="28"/>
          <w:szCs w:val="28"/>
          <w:rtl/>
        </w:rPr>
        <w:t xml:space="preserve">هو غیاث الدین محمد بن همام الدین الشیرازی الأصل الهروی المدعو بخواندمیر بصاحب حبیب السیر المذکور فی (ج 6 ص 244) و خلاصة الاخبار و غیرهما و قد ذکرنا أنه ابن بنت المیر خواند المؤرخ مؤلف روضة الصفا و أشعاره فی طی تصانیفه کثیرة</w:t>
      </w:r>
    </w:p>
    <w:p>
      <w:pPr>
        <w:pStyle w:val="Heading3"/>
      </w:pPr>
      <w:bookmarkStart w:id="3664" w:name="_Toc2360"/>
      <w:r>
        <w:t>1835- دیوان الخواجة خورد بیلدار</w:t>
      </w:r>
      <w:bookmarkEnd w:id="3664"/>
    </w:p>
    <w:p>
      <w:pPr>
        <w:pStyle w:val="BookText"/>
      </w:pPr>
      <w:r>
        <w:rPr>
          <w:rFonts w:ascii="IRNazanin" w:hAnsi="IRNazanin" w:eastAsia="IRNazanin" w:cs="IRNazanin"/>
          <w:lang w:bidi="fa-IR"/>
          <w:color w:val="111111"/>
          <w:sz w:val="28"/>
          <w:szCs w:val="28"/>
          <w:rtl/>
        </w:rPr>
        <w:t xml:space="preserve">کان شجاعا یکثر تلاوة القرآن و توفی (953) ترجمه سام میرزا (تس 7- ص 190) و أورد بعض شعره‏</w:t>
      </w:r>
    </w:p>
    <w:p>
      <w:pPr>
        <w:pStyle w:val="Heading3"/>
      </w:pPr>
      <w:bookmarkStart w:id="3665" w:name="_Toc2361"/>
      <w:r>
        <w:t>دیوان الخواجة خورد</w:t>
      </w:r>
      <w:bookmarkEnd w:id="3665"/>
    </w:p>
    <w:p>
      <w:pPr>
        <w:pStyle w:val="BookText"/>
      </w:pPr>
      <w:r>
        <w:rPr>
          <w:rFonts w:ascii="IRNazanin" w:hAnsi="IRNazanin" w:eastAsia="IRNazanin" w:cs="IRNazanin"/>
          <w:lang w:bidi="fa-IR"/>
          <w:color w:val="111111"/>
          <w:sz w:val="28"/>
          <w:szCs w:val="28"/>
          <w:rtl/>
        </w:rPr>
        <w:t xml:space="preserve">کما فی بعض نسخ (مجن- ص 114) مر بعنوان خسرو سمرقندی‏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304" w:name="pg11704_121784"/>
    <w:bookmarkEnd w:id="304"/>
    <w:p>
      <w:pPr>
        <w:pStyle w:val="Heading3"/>
      </w:pPr>
      <w:bookmarkStart w:id="3666" w:name="_Toc2362"/>
      <w:r>
        <w:t>دیوان خوزانی‏</w:t>
      </w:r>
      <w:bookmarkEnd w:id="3666"/>
    </w:p>
    <w:p>
      <w:pPr>
        <w:pStyle w:val="BookText"/>
      </w:pPr>
      <w:r>
        <w:rPr>
          <w:rFonts w:ascii="IRNazanin" w:hAnsi="IRNazanin" w:eastAsia="IRNazanin" w:cs="IRNazanin"/>
          <w:lang w:bidi="fa-IR"/>
          <w:color w:val="111111"/>
          <w:sz w:val="28"/>
          <w:szCs w:val="28"/>
          <w:rtl/>
        </w:rPr>
        <w:t xml:space="preserve">راجع فاضل خوزانی‏</w:t>
      </w:r>
    </w:p>
    <w:p>
      <w:pPr>
        <w:pStyle w:val="Heading3"/>
      </w:pPr>
      <w:bookmarkStart w:id="3667" w:name="_Toc2363"/>
      <w:r>
        <w:t>1836- دیوان خوش‏تر أو شعره‏</w:t>
      </w:r>
      <w:bookmarkEnd w:id="3667"/>
    </w:p>
    <w:p>
      <w:pPr>
        <w:pStyle w:val="BookText"/>
      </w:pPr>
      <w:r>
        <w:rPr>
          <w:rFonts w:ascii="IRNazanin" w:hAnsi="IRNazanin" w:eastAsia="IRNazanin" w:cs="IRNazanin"/>
          <w:lang w:bidi="fa-IR"/>
          <w:color w:val="111111"/>
          <w:sz w:val="28"/>
          <w:szCs w:val="28"/>
          <w:rtl/>
        </w:rPr>
        <w:t xml:space="preserve">و هو فضل الله بن محمد أفضل المتخلص سرخوش، کان یتخلص فی شعره خوش‏تر کما فی مقدمه کلمات الشعراء لوالده (ص 6) المطبوع بلاهور فی 1942 م‏</w:t>
      </w:r>
    </w:p>
    <w:p>
      <w:pPr>
        <w:pStyle w:val="Heading3"/>
      </w:pPr>
      <w:bookmarkStart w:id="3668" w:name="_Toc2364"/>
      <w:r>
        <w:t>1837- دیوان خوش‏دل هندی‏</w:t>
      </w:r>
      <w:bookmarkEnd w:id="3668"/>
    </w:p>
    <w:p>
      <w:pPr>
        <w:pStyle w:val="BookText"/>
      </w:pPr>
      <w:r>
        <w:rPr>
          <w:rFonts w:ascii="IRNazanin" w:hAnsi="IRNazanin" w:eastAsia="IRNazanin" w:cs="IRNazanin"/>
          <w:lang w:bidi="fa-IR"/>
          <w:color w:val="111111"/>
          <w:sz w:val="28"/>
          <w:szCs w:val="28"/>
          <w:rtl/>
        </w:rPr>
        <w:t xml:space="preserve">و اسمه رأی أمن سنگه الهندی ذکره فی ذیل کشف الظنون و قال فی (روشن- ص 155) إنه ابن جیون رام من قوم کایتهة ببانکی‏پور، تقرب عند محمد شاه بواسطة أبی منصور صفدر جنگ، ثم استخدمه الإنگلیز فی علی کرة له تاریخ فرمانروایان هنود و منظومة بهار دانش مات (1225) و دیوانه فی (5000 بیت)</w:t>
      </w:r>
    </w:p>
    <w:p>
      <w:pPr>
        <w:pStyle w:val="Heading3"/>
      </w:pPr>
      <w:bookmarkStart w:id="3669" w:name="_Toc2365"/>
      <w:r>
        <w:t>1838- دیوان خوش‏دل هندی أو شعره‏</w:t>
      </w:r>
      <w:bookmarkEnd w:id="3669"/>
    </w:p>
    <w:p>
      <w:pPr>
        <w:pStyle w:val="BookText"/>
      </w:pPr>
      <w:r>
        <w:rPr>
          <w:rFonts w:ascii="IRNazanin" w:hAnsi="IRNazanin" w:eastAsia="IRNazanin" w:cs="IRNazanin"/>
          <w:lang w:bidi="fa-IR"/>
          <w:color w:val="111111"/>
          <w:sz w:val="28"/>
          <w:szCs w:val="28"/>
          <w:rtl/>
        </w:rPr>
        <w:t xml:space="preserve">هو من شعراء شاه جهان‏آباد کما ذکر فی (گلشن- ص 156) قال و مات (1166)</w:t>
      </w:r>
    </w:p>
    <w:p>
      <w:pPr>
        <w:pStyle w:val="Heading3"/>
      </w:pPr>
      <w:bookmarkStart w:id="3670" w:name="_Toc2366"/>
      <w:r>
        <w:t>1839- دیوان خوش‏گو هندی أو شعره‏</w:t>
      </w:r>
      <w:bookmarkEnd w:id="3670"/>
    </w:p>
    <w:p>
      <w:pPr>
        <w:pStyle w:val="BookText"/>
      </w:pPr>
      <w:r>
        <w:rPr>
          <w:rFonts w:ascii="IRNazanin" w:hAnsi="IRNazanin" w:eastAsia="IRNazanin" w:cs="IRNazanin"/>
          <w:lang w:bidi="fa-IR"/>
          <w:color w:val="111111"/>
          <w:sz w:val="28"/>
          <w:szCs w:val="28"/>
          <w:rtl/>
        </w:rPr>
        <w:t xml:space="preserve">و هو صاحب تذکره خوش‏گو المذکور فی (ج 4- ص 32) و ننقل فی الذریعة کثیرا عن نسخته الموجودة بمکتبة سپهسالار و جعلنا رمزه (خوش‏گو) و لکونه مخطوطا لم نذکره رقم الصفحة فیه‏</w:t>
      </w:r>
    </w:p>
    <w:p>
      <w:pPr>
        <w:pStyle w:val="Heading3"/>
      </w:pPr>
      <w:bookmarkStart w:id="3671" w:name="_Toc2367"/>
      <w:r>
        <w:t>1840- دیوان خوش‏نام أو شعره‏</w:t>
      </w:r>
      <w:bookmarkEnd w:id="3671"/>
    </w:p>
    <w:p>
      <w:pPr>
        <w:pStyle w:val="BookText"/>
      </w:pPr>
      <w:r>
        <w:rPr>
          <w:rFonts w:ascii="IRNazanin" w:hAnsi="IRNazanin" w:eastAsia="IRNazanin" w:cs="IRNazanin"/>
          <w:lang w:bidi="fa-IR"/>
          <w:color w:val="111111"/>
          <w:sz w:val="28"/>
          <w:szCs w:val="28"/>
          <w:rtl/>
        </w:rPr>
        <w:t xml:space="preserve">حکی فی (دجا- ص 142) ترجمته عن روضة الأطهار و قال إن اسمه الخواجة محمد، ولد بنخجوان و دفن فی قریة خواجه خوش‏نام و کان مریدا لأخی فرج الزنجانی المتوفی (457)</w:t>
      </w:r>
    </w:p>
    <w:p>
      <w:pPr>
        <w:pStyle w:val="Heading3"/>
      </w:pPr>
      <w:bookmarkStart w:id="3672" w:name="_Toc2368"/>
      <w:r>
        <w:t>1841- دیوان خوشی شیرازی أو شعره‏</w:t>
      </w:r>
      <w:bookmarkEnd w:id="3672"/>
    </w:p>
    <w:p>
      <w:pPr>
        <w:pStyle w:val="BookText"/>
      </w:pPr>
      <w:r>
        <w:rPr>
          <w:rFonts w:ascii="IRNazanin" w:hAnsi="IRNazanin" w:eastAsia="IRNazanin" w:cs="IRNazanin"/>
          <w:lang w:bidi="fa-IR"/>
          <w:color w:val="111111"/>
          <w:sz w:val="28"/>
          <w:szCs w:val="28"/>
          <w:rtl/>
        </w:rPr>
        <w:t xml:space="preserve">أورد شعره فی (روشن- ص 206) و فی (گلشن- ص 156) لم ینسبه إلی شیراز و فی (خوش‏گو) قال خوشی لاهوری و اسمه محمد و کل أورد له شعرا</w:t>
      </w:r>
    </w:p>
    <w:p>
      <w:pPr>
        <w:pStyle w:val="Heading3"/>
      </w:pPr>
      <w:bookmarkStart w:id="3673" w:name="_Toc2369"/>
      <w:r>
        <w:t>1842- دیوان خوفی همدانی أو شعره‏</w:t>
      </w:r>
      <w:bookmarkEnd w:id="3673"/>
    </w:p>
    <w:p>
      <w:pPr>
        <w:pStyle w:val="BookText"/>
      </w:pPr>
      <w:r>
        <w:rPr>
          <w:rFonts w:ascii="IRNazanin" w:hAnsi="IRNazanin" w:eastAsia="IRNazanin" w:cs="IRNazanin"/>
          <w:lang w:bidi="fa-IR"/>
          <w:color w:val="111111"/>
          <w:sz w:val="28"/>
          <w:szCs w:val="28"/>
          <w:rtl/>
        </w:rPr>
        <w:t xml:space="preserve">ترجمه الصادقی فی (خص 8- ص 306) و أورد شعره‏</w:t>
      </w:r>
    </w:p>
    <w:p>
      <w:pPr>
        <w:pStyle w:val="Heading3"/>
      </w:pPr>
      <w:bookmarkStart w:id="3674" w:name="_Toc2370"/>
      <w:r>
        <w:t>1843- دیوان الخیابانی الهروی أو شعره‏</w:t>
      </w:r>
      <w:bookmarkEnd w:id="3674"/>
    </w:p>
    <w:p>
      <w:pPr>
        <w:pStyle w:val="BookText"/>
      </w:pPr>
      <w:r>
        <w:rPr>
          <w:rFonts w:ascii="IRNazanin" w:hAnsi="IRNazanin" w:eastAsia="IRNazanin" w:cs="IRNazanin"/>
          <w:lang w:bidi="fa-IR"/>
          <w:color w:val="111111"/>
          <w:sz w:val="28"/>
          <w:szCs w:val="28"/>
          <w:rtl/>
        </w:rPr>
        <w:t xml:space="preserve">ترجمه و أورد شعره فی (مجتس 6- ص 162)</w:t>
      </w:r>
    </w:p>
    <w:p>
      <w:pPr>
        <w:pStyle w:val="Heading3"/>
      </w:pPr>
      <w:bookmarkStart w:id="3675" w:name="_Toc2371"/>
      <w:r>
        <w:t>دیوان خیابانی‏</w:t>
      </w:r>
      <w:bookmarkEnd w:id="3675"/>
    </w:p>
    <w:p>
      <w:pPr>
        <w:pStyle w:val="BookText"/>
      </w:pPr>
      <w:r>
        <w:rPr>
          <w:rFonts w:ascii="IRNazanin" w:hAnsi="IRNazanin" w:eastAsia="IRNazanin" w:cs="IRNazanin"/>
          <w:lang w:bidi="fa-IR"/>
          <w:color w:val="111111"/>
          <w:sz w:val="28"/>
          <w:szCs w:val="28"/>
          <w:rtl/>
        </w:rPr>
        <w:t xml:space="preserve">راجع دیوان شرف‏</w:t>
      </w:r>
    </w:p>
    <w:p>
      <w:pPr>
        <w:pStyle w:val="Heading3"/>
      </w:pPr>
      <w:bookmarkStart w:id="3676" w:name="_Toc2372"/>
      <w:r>
        <w:t>1844- دیوان خیال أصفهانی‏</w:t>
      </w:r>
      <w:bookmarkEnd w:id="3676"/>
    </w:p>
    <w:p>
      <w:pPr>
        <w:pStyle w:val="BookText"/>
      </w:pPr>
      <w:r>
        <w:rPr>
          <w:rFonts w:ascii="IRNazanin" w:hAnsi="IRNazanin" w:eastAsia="IRNazanin" w:cs="IRNazanin"/>
          <w:lang w:bidi="fa-IR"/>
          <w:color w:val="111111"/>
          <w:sz w:val="28"/>
          <w:szCs w:val="28"/>
          <w:rtl/>
        </w:rPr>
        <w:t xml:space="preserve">و هو السید غیاث الدین محمد بن المیرزا صدرا بن المیر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305" w:name="pg11704_121785"/>
    <w:bookmarkEnd w:id="305"/>
    <w:p>
      <w:pPr>
        <w:pStyle w:val="BookText"/>
      </w:pPr>
      <w:r>
        <w:rPr>
          <w:rFonts w:ascii="IRNazanin" w:hAnsi="IRNazanin" w:eastAsia="IRNazanin" w:cs="IRNazanin"/>
          <w:lang w:bidi="fa-IR"/>
          <w:color w:val="111111"/>
          <w:sz w:val="28"/>
          <w:szCs w:val="28"/>
          <w:rtl/>
        </w:rPr>
        <w:t xml:space="preserve">محمد باقر الداماد الحسینی ترجمه فی (ض- ص 328) و قال: کان جامع المعقول و المنقول و کان صهر المحقق آقا جمال الخوانساری و تلمیذه و توفی فی فتنة الأفاغنة بأصفهان و له ترکیب بند فی المناقب و سماه فی (تغ- ص 51) خیال شیرازی، و لعله محمد شریف المتخلص خیال الشیرازی الکاتب لنسخة من جواهر التفسیر للکاشفی فی شیراز فی (1096) کما فی فهرس مکتبة دانشگاه تهران (ج 2 ص 702)</w:t>
      </w:r>
    </w:p>
    <w:p>
      <w:pPr>
        <w:pStyle w:val="Heading3"/>
      </w:pPr>
      <w:bookmarkStart w:id="3677" w:name="_Toc2373"/>
      <w:r>
        <w:t>دیوان خیال شیرازی‏</w:t>
      </w:r>
      <w:bookmarkEnd w:id="3677"/>
    </w:p>
    <w:p>
      <w:pPr>
        <w:pStyle w:val="BookText"/>
      </w:pPr>
      <w:r>
        <w:rPr>
          <w:rFonts w:ascii="IRNazanin" w:hAnsi="IRNazanin" w:eastAsia="IRNazanin" w:cs="IRNazanin"/>
          <w:lang w:bidi="fa-IR"/>
          <w:color w:val="111111"/>
          <w:sz w:val="28"/>
          <w:szCs w:val="28"/>
          <w:rtl/>
        </w:rPr>
        <w:t xml:space="preserve">راجع خیال أصفهانی‏</w:t>
      </w:r>
    </w:p>
    <w:p>
      <w:pPr>
        <w:pStyle w:val="Heading3"/>
      </w:pPr>
      <w:bookmarkStart w:id="3678" w:name="_Toc2374"/>
      <w:r>
        <w:t>1845- دیوان خیالی بخاری‏</w:t>
      </w:r>
      <w:bookmarkEnd w:id="3678"/>
    </w:p>
    <w:p>
      <w:pPr>
        <w:pStyle w:val="BookText"/>
      </w:pPr>
      <w:r>
        <w:rPr>
          <w:rFonts w:ascii="IRNazanin" w:hAnsi="IRNazanin" w:eastAsia="IRNazanin" w:cs="IRNazanin"/>
          <w:lang w:bidi="fa-IR"/>
          <w:color w:val="111111"/>
          <w:sz w:val="28"/>
          <w:szCs w:val="28"/>
          <w:rtl/>
        </w:rPr>
        <w:t xml:space="preserve">تلمیذ الخواجة عصمت البخارائی (المتوفی 828) توفی و دفن ببخارا (حدود 850) کما فی تاریخ براون (ج 3 ص 372) ترجمه فی (دولت- الطبقة 6) و قال إن دیوانه مشهور ببدخشان و ترجمه فی الریحانة نقلا عن القاموس الترکی و سفینة</w:t>
      </w:r>
    </w:p>
    <w:p>
      <w:pPr>
        <w:pStyle w:val="BookText"/>
      </w:pPr>
      <w:r>
        <w:rPr>
          <w:rFonts w:ascii="IRNazanin" w:hAnsi="IRNazanin" w:eastAsia="IRNazanin" w:cs="IRNazanin"/>
          <w:lang w:bidi="fa-IR"/>
          <w:color w:val="111111"/>
          <w:sz w:val="28"/>
          <w:szCs w:val="28"/>
          <w:rtl/>
        </w:rPr>
        <w:t xml:space="preserve">الشعراء، و ترجمه المیر علی شیر فی (مجن 1- ص 12 و 188) و (گلشن- ص 157) و قال فی (روشن- ص 207) إن صاحب شمع انجمن سماه حیاتی اشتباها و قال سنگلاخ فی امتحان الفضلاء (ج 1 ص 115) إنه رأی دیوان خیالی خوارزمی بخط قاسم شادیشاد، و فی (ج 1 ص 159) منه أنه رأی (40 غزلا) لخیالی فراهی بخط جعفر هروی و توجد الیوم فی (الرضویة) نسخه دیوان خیالی هروی و نسخه أخری فی مکتبة دانشگاه تهران کما فی فهرسها (ج 2 ص 242)</w:t>
      </w:r>
    </w:p>
    <w:p>
      <w:pPr>
        <w:pStyle w:val="Heading3"/>
      </w:pPr>
      <w:bookmarkStart w:id="3679" w:name="_Toc2375"/>
      <w:r>
        <w:t>1846- دیوان خیالی ترک‏</w:t>
      </w:r>
      <w:bookmarkEnd w:id="3679"/>
    </w:p>
    <w:p>
      <w:pPr>
        <w:pStyle w:val="BookText"/>
      </w:pPr>
      <w:r>
        <w:rPr>
          <w:rFonts w:ascii="IRNazanin" w:hAnsi="IRNazanin" w:eastAsia="IRNazanin" w:cs="IRNazanin"/>
          <w:lang w:bidi="fa-IR"/>
          <w:color w:val="111111"/>
          <w:sz w:val="28"/>
          <w:szCs w:val="28"/>
          <w:rtl/>
        </w:rPr>
        <w:t xml:space="preserve">کان یمدح أمراء الترک ثم اتصل بالشاه إسماعیل الفاتح الصفوی، و توفی (950) و دفن بمشهد خراسان و دیوانه تام کذا ترجمه فی (تس 6- ص 185)</w:t>
      </w:r>
    </w:p>
    <w:p>
      <w:pPr>
        <w:pStyle w:val="Heading3"/>
      </w:pPr>
      <w:bookmarkStart w:id="3680" w:name="_Toc2376"/>
      <w:r>
        <w:t>دیوان خیالی خوارزمی‏</w:t>
      </w:r>
      <w:bookmarkEnd w:id="3680"/>
    </w:p>
    <w:p>
      <w:pPr>
        <w:pStyle w:val="BookText"/>
      </w:pPr>
      <w:r>
        <w:rPr>
          <w:rFonts w:ascii="IRNazanin" w:hAnsi="IRNazanin" w:eastAsia="IRNazanin" w:cs="IRNazanin"/>
          <w:lang w:bidi="fa-IR"/>
          <w:color w:val="111111"/>
          <w:sz w:val="28"/>
          <w:szCs w:val="28"/>
          <w:rtl/>
        </w:rPr>
        <w:t xml:space="preserve">راجع خیالی بخاری‏</w:t>
      </w:r>
    </w:p>
    <w:p>
      <w:pPr>
        <w:pStyle w:val="Heading3"/>
      </w:pPr>
      <w:bookmarkStart w:id="3681" w:name="_Toc2377"/>
      <w:r>
        <w:t>دیوان خیالی فراهی‏</w:t>
      </w:r>
      <w:bookmarkEnd w:id="3681"/>
    </w:p>
    <w:p>
      <w:pPr>
        <w:pStyle w:val="BookText"/>
      </w:pPr>
      <w:r>
        <w:rPr>
          <w:rFonts w:ascii="IRNazanin" w:hAnsi="IRNazanin" w:eastAsia="IRNazanin" w:cs="IRNazanin"/>
          <w:lang w:bidi="fa-IR"/>
          <w:color w:val="111111"/>
          <w:sz w:val="28"/>
          <w:szCs w:val="28"/>
          <w:rtl/>
        </w:rPr>
        <w:t xml:space="preserve">راجع خیالی بخاری‏</w:t>
      </w:r>
    </w:p>
    <w:p>
      <w:pPr>
        <w:pStyle w:val="Heading3"/>
      </w:pPr>
      <w:bookmarkStart w:id="3682" w:name="_Toc2378"/>
      <w:r>
        <w:t>1847- دیوان خیالی کاشانی‏</w:t>
      </w:r>
      <w:bookmarkEnd w:id="3682"/>
    </w:p>
    <w:p>
      <w:pPr>
        <w:pStyle w:val="BookText"/>
      </w:pPr>
      <w:r>
        <w:rPr>
          <w:rFonts w:ascii="IRNazanin" w:hAnsi="IRNazanin" w:eastAsia="IRNazanin" w:cs="IRNazanin"/>
          <w:lang w:bidi="fa-IR"/>
          <w:color w:val="111111"/>
          <w:sz w:val="28"/>
          <w:szCs w:val="28"/>
          <w:rtl/>
        </w:rPr>
        <w:t xml:space="preserve">کان معلما للأطفال أورد شعره فی (روشن- ص 207) توجد نسخه منه عند محمد آقا النخجوانی کما کتبه إلینا</w:t>
      </w:r>
    </w:p>
    <w:p>
      <w:pPr>
        <w:pStyle w:val="Heading3"/>
      </w:pPr>
      <w:bookmarkStart w:id="3683" w:name="_Toc2379"/>
      <w:r>
        <w:t>1848- دیوان خیالی کشمیری أو شعره‏</w:t>
      </w:r>
      <w:bookmarkEnd w:id="3683"/>
    </w:p>
    <w:p>
      <w:pPr>
        <w:pStyle w:val="BookText"/>
      </w:pPr>
      <w:r>
        <w:rPr>
          <w:rFonts w:ascii="IRNazanin" w:hAnsi="IRNazanin" w:eastAsia="IRNazanin" w:cs="IRNazanin"/>
          <w:lang w:bidi="fa-IR"/>
          <w:color w:val="111111"/>
          <w:sz w:val="28"/>
          <w:szCs w:val="28"/>
          <w:rtl/>
        </w:rPr>
        <w:t xml:space="preserve">و هو الحافظ محمد أورد شعره فی (روشن ص 207) و عده من شعراء جهانگیر شاه الهندی، و فی (خوش‏گو) سماه الحافظ محمود حفید الحاج محمد</w:t>
      </w:r>
    </w:p>
    <w:p>
      <w:pPr>
        <w:pStyle w:val="Heading3"/>
      </w:pPr>
      <w:bookmarkStart w:id="3684" w:name="_Toc2380"/>
      <w:r>
        <w:t>1849- دیوان خیالی لکهنوی‏</w:t>
      </w:r>
      <w:bookmarkEnd w:id="3684"/>
    </w:p>
    <w:p>
      <w:pPr>
        <w:pStyle w:val="BookText"/>
      </w:pPr>
      <w:r>
        <w:rPr>
          <w:rFonts w:ascii="IRNazanin" w:hAnsi="IRNazanin" w:eastAsia="IRNazanin" w:cs="IRNazanin"/>
          <w:lang w:bidi="fa-IR"/>
          <w:color w:val="111111"/>
          <w:sz w:val="28"/>
          <w:szCs w:val="28"/>
          <w:rtl/>
        </w:rPr>
        <w:t xml:space="preserve">من قوم کایتهة و من تلامیذ إحسان الله ممتاز له‏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306" w:name="pg11704_121786"/>
    <w:bookmarkEnd w:id="306"/>
    <w:p>
      <w:pPr>
        <w:pStyle w:val="BookText"/>
      </w:pPr>
      <w:r>
        <w:rPr>
          <w:rFonts w:ascii="IRNazanin" w:hAnsi="IRNazanin" w:eastAsia="IRNazanin" w:cs="IRNazanin"/>
          <w:lang w:bidi="fa-IR"/>
          <w:color w:val="111111"/>
          <w:sz w:val="28"/>
          <w:szCs w:val="28"/>
          <w:rtl/>
        </w:rPr>
        <w:t xml:space="preserve">أکثر من مائة تألیف مات (1289) عن عمر یناهز السبعین أورد بعض قصائده فی (گلشن- ص 157- 158) فی مدیح واجد علی شاه، یستخرج من جمیع أبیات أحدها التاریخین الهجری و المیلادی‏</w:t>
      </w:r>
    </w:p>
    <w:p>
      <w:pPr>
        <w:pStyle w:val="Heading3"/>
      </w:pPr>
      <w:bookmarkStart w:id="3685" w:name="_Toc2381"/>
      <w:r>
        <w:t>دیوان خیالی هروی‏</w:t>
      </w:r>
      <w:bookmarkEnd w:id="3685"/>
    </w:p>
    <w:p>
      <w:pPr>
        <w:pStyle w:val="BookText"/>
      </w:pPr>
      <w:r>
        <w:rPr>
          <w:rFonts w:ascii="IRNazanin" w:hAnsi="IRNazanin" w:eastAsia="IRNazanin" w:cs="IRNazanin"/>
          <w:lang w:bidi="fa-IR"/>
          <w:color w:val="111111"/>
          <w:sz w:val="28"/>
          <w:szCs w:val="28"/>
          <w:rtl/>
        </w:rPr>
        <w:t xml:space="preserve">راجع دیوان خیالی بخاری‏</w:t>
      </w:r>
    </w:p>
    <w:p>
      <w:pPr>
        <w:pStyle w:val="Heading3"/>
      </w:pPr>
      <w:bookmarkStart w:id="3686" w:name="_Toc2382"/>
      <w:r>
        <w:t>1850- دیوان خیام‏</w:t>
      </w:r>
      <w:bookmarkEnd w:id="3686"/>
    </w:p>
    <w:p>
      <w:pPr>
        <w:pStyle w:val="BookText"/>
      </w:pPr>
      <w:r>
        <w:rPr>
          <w:rFonts w:ascii="IRNazanin" w:hAnsi="IRNazanin" w:eastAsia="IRNazanin" w:cs="IRNazanin"/>
          <w:lang w:bidi="fa-IR"/>
          <w:color w:val="111111"/>
          <w:sz w:val="28"/>
          <w:szCs w:val="28"/>
          <w:rtl/>
        </w:rPr>
        <w:t xml:space="preserve">کما هو المعروف الیوم أو الخیامی کما هو الصحیح من نسبته، و هو الحکیم الفیلسوف أبو الفتح عمر بن إبراهیم النیشابوری الخیامی المتوفی (515 أو 517 أو 525)</w:t>
      </w:r>
      <w:r>
        <w:rPr>
          <w:rStyle w:val="FootnoteReference"/>
        </w:rPr>
        <w:footnoteReference w:id="28"/>
      </w:r>
      <w:r>
        <w:rPr>
          <w:rFonts w:ascii="IRNazanin" w:hAnsi="IRNazanin" w:eastAsia="IRNazanin" w:cs="IRNazanin"/>
          <w:lang w:bidi="fa-IR"/>
          <w:color w:val="111111"/>
          <w:sz w:val="28"/>
          <w:szCs w:val="28"/>
          <w:rtl/>
        </w:rPr>
        <w:t xml:space="preserve">ینسب إلیه ما ینیف علی ثمانمائة رباعیة حکمیة فلسفیة لطیفة دقیقه جلها فارسیة و عدة منها عربیة، و قد لفتت إلیها أنظار الأدباء فی العالم کله حتی لم یبق لسان حی علی الکرة الأرضیة الا و قد ترجم بها هذه الرباعیات، و ظاهر أن هذه الرباعیات لم یکن لرجل واحد بل هی أفکار عرفانیة ظهرت فی قرون مختلفة و قد نسبها قائلیها إلی أول من بدر منه مثلها و هو الفیلسوف الصریح الخیامی، و قد تکلف المحققون المعاصرون فی النظر فی مجموعة رباعیات خیام‏</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می خوردن من حق بازل می‏دانست‏</w:t>
      </w:r>
    </w:p>
    <w:p>
      <w:pPr>
        <w:pStyle w:val="BookText"/>
      </w:pPr>
      <w:r>
        <w:rPr>
          <w:rFonts w:ascii="IRNazanin" w:hAnsi="IRNazanin" w:eastAsia="IRNazanin" w:cs="IRNazanin"/>
          <w:lang w:bidi="fa-IR"/>
          <w:color w:val="111111"/>
          <w:sz w:val="28"/>
          <w:szCs w:val="28"/>
          <w:rtl/>
        </w:rPr>
        <w:t xml:space="preserve">] لسراج قمری کما ذکر فی (بهش 1 ص 338)</w:t>
      </w:r>
    </w:p>
    <w:p>
      <w:pPr>
        <w:pStyle w:val="BookText"/>
      </w:pPr>
      <w:r>
        <w:rPr>
          <w:rFonts w:ascii="IRNazanin" w:hAnsi="IRNazanin" w:eastAsia="IRNazanin" w:cs="IRNazanin"/>
          <w:lang w:bidi="fa-IR"/>
          <w:color w:val="111111"/>
          <w:sz w:val="28"/>
          <w:szCs w:val="28"/>
          <w:rtl/>
        </w:rPr>
        <w:t xml:space="preserve">و تفکیک ما قاله خیام مما نسب إلیه و له شروح کثیرة یأتی کشرح کیوان باسم میوه زندگانی المطبوع بإیران و طبع خلاصة رباعیات خیام و بابا طاهر باهتمام کوهی کرمانی فی (48 ص) بطهران و خلاصته باهتمام مکتبة علمی بطهران فی (64 ص) و مکتبة إقبال بطهران فی (124 ص) و ترانه‏های خیام لصادق هدایت الذی انتحر بپاریس فی (1329 ش) طبع بطهران فی (141 ص) و یأتی تراجمة بالعربیة للسید أحمد الصافی النجفی و غیره‏</w:t>
      </w:r>
    </w:p>
    <w:p>
      <w:pPr>
        <w:pStyle w:val="Heading3"/>
      </w:pPr>
      <w:bookmarkStart w:id="3687" w:name="_Toc2383"/>
      <w:r>
        <w:t>1851- دیوان خیر العلی‏</w:t>
      </w:r>
      <w:bookmarkEnd w:id="3687"/>
    </w:p>
    <w:p>
      <w:pPr>
        <w:pStyle w:val="BookText"/>
      </w:pPr>
      <w:r>
        <w:rPr>
          <w:rFonts w:ascii="IRNazanin" w:hAnsi="IRNazanin" w:eastAsia="IRNazanin" w:cs="IRNazanin"/>
          <w:lang w:bidi="fa-IR"/>
          <w:color w:val="111111"/>
          <w:sz w:val="28"/>
          <w:szCs w:val="28"/>
          <w:rtl/>
        </w:rPr>
        <w:t xml:space="preserve">من شعراء الترک ذکر فی (دجا- ص 143) ترجمته عن‏ )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307" w:name="pg11704_121787"/>
    <w:bookmarkEnd w:id="307"/>
    <w:p>
      <w:pPr>
        <w:pStyle w:val="BookText"/>
      </w:pPr>
      <w:r>
        <w:rPr>
          <w:rFonts w:ascii="IRNazanin" w:hAnsi="IRNazanin" w:eastAsia="IRNazanin" w:cs="IRNazanin"/>
          <w:lang w:bidi="fa-IR"/>
          <w:color w:val="111111"/>
          <w:sz w:val="28"/>
          <w:szCs w:val="28"/>
          <w:rtl/>
        </w:rPr>
        <w:t xml:space="preserve">حدیقة الشعراء و قال إن دیوانه ترکی‏</w:t>
      </w:r>
    </w:p>
    <w:p>
      <w:pPr>
        <w:pStyle w:val="Heading3"/>
      </w:pPr>
      <w:bookmarkStart w:id="3688" w:name="_Toc2384"/>
      <w:r>
        <w:t>1852- دیوان خیری تبریزی أو شعره‏</w:t>
      </w:r>
      <w:bookmarkEnd w:id="3688"/>
    </w:p>
    <w:p>
      <w:pPr>
        <w:pStyle w:val="BookText"/>
      </w:pPr>
      <w:r>
        <w:rPr>
          <w:rFonts w:ascii="IRNazanin" w:hAnsi="IRNazanin" w:eastAsia="IRNazanin" w:cs="IRNazanin"/>
          <w:lang w:bidi="fa-IR"/>
          <w:color w:val="111111"/>
          <w:sz w:val="28"/>
          <w:szCs w:val="28"/>
          <w:rtl/>
        </w:rPr>
        <w:t xml:space="preserve">أورد شعره معاصره فی (تس 5- ص 144) و (دجا- ص 143) و لعله متحد مع ما بعده‏</w:t>
      </w:r>
    </w:p>
    <w:p>
      <w:pPr>
        <w:pStyle w:val="Heading3"/>
      </w:pPr>
      <w:bookmarkStart w:id="3689" w:name="_Toc2385"/>
      <w:r>
        <w:t>دیوان خیری تربتی أو شعره‏</w:t>
      </w:r>
      <w:bookmarkEnd w:id="3689"/>
    </w:p>
    <w:p>
      <w:pPr>
        <w:pStyle w:val="BookText"/>
      </w:pPr>
      <w:r>
        <w:rPr>
          <w:rFonts w:ascii="IRNazanin" w:hAnsi="IRNazanin" w:eastAsia="IRNazanin" w:cs="IRNazanin"/>
          <w:lang w:bidi="fa-IR"/>
          <w:color w:val="111111"/>
          <w:sz w:val="28"/>
          <w:szCs w:val="28"/>
          <w:rtl/>
        </w:rPr>
        <w:t xml:space="preserve">أورد شعره فی (روشن- ص 208) و لعله متحد مع ما قبله‏</w:t>
      </w:r>
    </w:p>
    <w:p>
      <w:pPr>
        <w:pStyle w:val="Heading3"/>
      </w:pPr>
      <w:bookmarkStart w:id="3690" w:name="_Toc2386"/>
      <w:r>
        <w:t>1853- دیوان خیری خوارزمی أو شعره‏</w:t>
      </w:r>
      <w:bookmarkEnd w:id="3690"/>
    </w:p>
    <w:p>
      <w:pPr>
        <w:pStyle w:val="BookText"/>
      </w:pPr>
      <w:r>
        <w:rPr>
          <w:rFonts w:ascii="IRNazanin" w:hAnsi="IRNazanin" w:eastAsia="IRNazanin" w:cs="IRNazanin"/>
          <w:lang w:bidi="fa-IR"/>
          <w:color w:val="111111"/>
          <w:sz w:val="28"/>
          <w:szCs w:val="28"/>
          <w:rtl/>
        </w:rPr>
        <w:t xml:space="preserve">أطری غرازة شعره فی (مجن 6- ص 117 و 289) و لکن فی نسخه (قز مج- ص 289) سماه صبری بدل خیری و لکن هذا أصح‏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308" w:name="pg11704_121788"/>
    <w:bookmarkEnd w:id="308"/>
    <w:p>
      <w:pPr>
        <w:pStyle w:val="Heading3"/>
      </w:pPr>
      <w:bookmarkStart w:id="3691" w:name="_Toc2387"/>
      <w:r>
        <w:t>د</w:t>
      </w:r>
      <w:bookmarkEnd w:id="3691"/>
    </w:p>
    <w:p>
      <w:pPr>
        <w:pStyle w:val="Heading3"/>
      </w:pPr>
      <w:bookmarkStart w:id="3692" w:name="_Toc2388"/>
      <w:r>
        <w:t>1854- دیوان دائمی أسترآبادی أو شعره‏</w:t>
      </w:r>
      <w:bookmarkEnd w:id="3692"/>
    </w:p>
    <w:p>
      <w:pPr>
        <w:pStyle w:val="BookText"/>
      </w:pPr>
      <w:r>
        <w:rPr>
          <w:rFonts w:ascii="IRNazanin" w:hAnsi="IRNazanin" w:eastAsia="IRNazanin" w:cs="IRNazanin"/>
          <w:lang w:bidi="fa-IR"/>
          <w:color w:val="111111"/>
          <w:sz w:val="28"/>
          <w:szCs w:val="28"/>
          <w:rtl/>
        </w:rPr>
        <w:t xml:space="preserve">کذا سمی فی (لط 3- ص 86) و لکن فی (قز مج 3- ص 260) سماه دامی أسترآبادی و علی أی فهو معاصر للمیر علی شیر و قد أورد شعره هناک.</w:t>
      </w:r>
    </w:p>
    <w:p>
      <w:pPr>
        <w:pStyle w:val="Heading3"/>
      </w:pPr>
      <w:bookmarkStart w:id="3693" w:name="_Toc2389"/>
      <w:r>
        <w:t>1855- دیوان دائمی أصفهانی أو شعره‏</w:t>
      </w:r>
      <w:bookmarkEnd w:id="3693"/>
    </w:p>
    <w:p>
      <w:pPr>
        <w:pStyle w:val="BookText"/>
      </w:pPr>
      <w:r>
        <w:rPr>
          <w:rFonts w:ascii="IRNazanin" w:hAnsi="IRNazanin" w:eastAsia="IRNazanin" w:cs="IRNazanin"/>
          <w:lang w:bidi="fa-IR"/>
          <w:color w:val="111111"/>
          <w:sz w:val="28"/>
          <w:szCs w:val="28"/>
          <w:rtl/>
        </w:rPr>
        <w:t xml:space="preserve">من شعرائها الغیر المشهورین کما ذکره معاصره سام میرزا فی (تس 5- ص 141) و ذکر مطلع غزله و المکتوب فی الطبع دائمی بالیاء.</w:t>
      </w:r>
    </w:p>
    <w:p>
      <w:pPr>
        <w:pStyle w:val="Heading3"/>
      </w:pPr>
      <w:bookmarkStart w:id="3694" w:name="_Toc2390"/>
      <w:r>
        <w:t>1856- دیوان دائمی سبزواری أو شعره‏</w:t>
      </w:r>
      <w:bookmarkEnd w:id="3694"/>
    </w:p>
    <w:p>
      <w:pPr>
        <w:pStyle w:val="BookText"/>
      </w:pPr>
      <w:r>
        <w:rPr>
          <w:rFonts w:ascii="IRNazanin" w:hAnsi="IRNazanin" w:eastAsia="IRNazanin" w:cs="IRNazanin"/>
          <w:lang w:bidi="fa-IR"/>
          <w:color w:val="111111"/>
          <w:sz w:val="28"/>
          <w:szCs w:val="28"/>
          <w:rtl/>
        </w:rPr>
        <w:t xml:space="preserve">نزیل هراة و الحداد بها. ذکره سام میرزا أیضا فی (تس 5- ص 150) و ذکر مطلع غزله.</w:t>
      </w:r>
    </w:p>
    <w:p>
      <w:pPr>
        <w:pStyle w:val="Heading3"/>
      </w:pPr>
      <w:bookmarkStart w:id="3695" w:name="_Toc2391"/>
      <w:r>
        <w:t>دیوان دارا</w:t>
      </w:r>
      <w:bookmarkEnd w:id="3695"/>
    </w:p>
    <w:p>
      <w:pPr>
        <w:pStyle w:val="BookText"/>
      </w:pPr>
      <w:r>
        <w:rPr>
          <w:rFonts w:ascii="IRNazanin" w:hAnsi="IRNazanin" w:eastAsia="IRNazanin" w:cs="IRNazanin"/>
          <w:lang w:bidi="fa-IR"/>
          <w:color w:val="111111"/>
          <w:sz w:val="28"/>
          <w:szCs w:val="28"/>
          <w:rtl/>
        </w:rPr>
        <w:t xml:space="preserve">یأتی بعنوان صاحب ....</w:t>
      </w:r>
    </w:p>
    <w:p>
      <w:pPr>
        <w:pStyle w:val="Heading3"/>
      </w:pPr>
      <w:bookmarkStart w:id="3696" w:name="_Toc2392"/>
      <w:r>
        <w:t>1857- دیوان دارائی رازی‏</w:t>
      </w:r>
      <w:bookmarkEnd w:id="3696"/>
    </w:p>
    <w:p>
      <w:pPr>
        <w:pStyle w:val="BookText"/>
      </w:pPr>
      <w:r>
        <w:rPr>
          <w:rFonts w:ascii="IRNazanin" w:hAnsi="IRNazanin" w:eastAsia="IRNazanin" w:cs="IRNazanin"/>
          <w:lang w:bidi="fa-IR"/>
          <w:color w:val="111111"/>
          <w:sz w:val="28"/>
          <w:szCs w:val="28"/>
          <w:rtl/>
        </w:rPr>
        <w:t xml:space="preserve">للشاعر الفارسی، و اسمه المیرزا محمد باقر الرازی المتخلص دارائی طبع فی إیران. و قد سماه الشاعر طرفة کما نشیر إلیه فی الطاء.</w:t>
      </w:r>
    </w:p>
    <w:p>
      <w:pPr>
        <w:pStyle w:val="Heading3"/>
      </w:pPr>
      <w:bookmarkStart w:id="3697" w:name="_Toc2393"/>
      <w:r>
        <w:t>دیوان دارا شکوه‏</w:t>
      </w:r>
      <w:bookmarkEnd w:id="3697"/>
    </w:p>
    <w:p>
      <w:pPr>
        <w:pStyle w:val="BookText"/>
      </w:pPr>
      <w:r>
        <w:rPr>
          <w:rFonts w:ascii="IRNazanin" w:hAnsi="IRNazanin" w:eastAsia="IRNazanin" w:cs="IRNazanin"/>
          <w:lang w:bidi="fa-IR"/>
          <w:color w:val="111111"/>
          <w:sz w:val="28"/>
          <w:szCs w:val="28"/>
          <w:rtl/>
        </w:rPr>
        <w:t xml:space="preserve">یأتی بعنوان تخلصه قادری.</w:t>
      </w:r>
    </w:p>
    <w:p>
      <w:pPr>
        <w:pStyle w:val="Heading3"/>
      </w:pPr>
      <w:bookmarkStart w:id="3698" w:name="_Toc2394"/>
      <w:r>
        <w:t>1858- دیوان دارای قاجار</w:t>
      </w:r>
      <w:bookmarkEnd w:id="3698"/>
    </w:p>
    <w:p>
      <w:pPr>
        <w:pStyle w:val="BookText"/>
      </w:pPr>
      <w:r>
        <w:rPr>
          <w:rFonts w:ascii="IRNazanin" w:hAnsi="IRNazanin" w:eastAsia="IRNazanin" w:cs="IRNazanin"/>
          <w:lang w:bidi="fa-IR"/>
          <w:color w:val="111111"/>
          <w:sz w:val="28"/>
          <w:szCs w:val="28"/>
          <w:rtl/>
        </w:rPr>
        <w:t xml:space="preserve">لعبد الله میرزا بن فتح علی شاه ولد (1211) و نصب والیا لخمسة و زنجان فی حیاة أبیه سنین، و بعد موته لازم السلطان محمد شاه إلی أن توفی (1270) و دیوانه یبلغ خمسة آلاف بیت، ذکر بعض أبیاته فی (مع- ج 1 ص 27) و فیه القصائد و الغزلیات. طبع فی إیران، و یوجد نسخه جیدة منه عند حفیده حسین علی خان بن کاظم خان بیک‏لر بیگی فی دولت‏آباد العراق (أراک)، و له أیضا دیوان المراثی مطبوع بإیران فی (195 ص).</w:t>
      </w:r>
    </w:p>
    <w:p>
      <w:pPr>
        <w:pStyle w:val="Heading3"/>
      </w:pPr>
      <w:bookmarkStart w:id="3699" w:name="_Toc2395"/>
      <w:r>
        <w:t>دیوان دارای هروی‏</w:t>
      </w:r>
      <w:bookmarkEnd w:id="3699"/>
    </w:p>
    <w:p>
      <w:pPr>
        <w:pStyle w:val="BookText"/>
      </w:pPr>
      <w:r>
        <w:rPr>
          <w:rFonts w:ascii="IRNazanin" w:hAnsi="IRNazanin" w:eastAsia="IRNazanin" w:cs="IRNazanin"/>
          <w:lang w:bidi="fa-IR"/>
          <w:color w:val="111111"/>
          <w:sz w:val="28"/>
          <w:szCs w:val="28"/>
          <w:rtl/>
        </w:rPr>
        <w:t xml:space="preserve">یأتی بعنوان صاحب هروی.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309" w:name="pg11704_121789"/>
    <w:bookmarkEnd w:id="309"/>
    <w:p>
      <w:pPr>
        <w:pStyle w:val="Heading3"/>
      </w:pPr>
      <w:bookmarkStart w:id="3700" w:name="_Toc2396"/>
      <w:r>
        <w:t>1859- دیوان داعی أسترآبادی أو شعره‏</w:t>
      </w:r>
      <w:bookmarkEnd w:id="3700"/>
    </w:p>
    <w:p>
      <w:pPr>
        <w:pStyle w:val="BookText"/>
      </w:pPr>
      <w:r>
        <w:rPr>
          <w:rFonts w:ascii="IRNazanin" w:hAnsi="IRNazanin" w:eastAsia="IRNazanin" w:cs="IRNazanin"/>
          <w:lang w:bidi="fa-IR"/>
          <w:color w:val="111111"/>
          <w:sz w:val="28"/>
          <w:szCs w:val="28"/>
          <w:rtl/>
        </w:rPr>
        <w:t xml:space="preserve">أورد شعره فی (تش- ص 151).</w:t>
      </w:r>
    </w:p>
    <w:p>
      <w:pPr>
        <w:pStyle w:val="Heading3"/>
      </w:pPr>
      <w:bookmarkStart w:id="3701" w:name="_Toc2397"/>
      <w:r>
        <w:t>1860- دیوان داعی أصفهانی‏</w:t>
      </w:r>
      <w:bookmarkEnd w:id="3701"/>
    </w:p>
    <w:p>
      <w:pPr>
        <w:pStyle w:val="BookText"/>
      </w:pPr>
      <w:r>
        <w:rPr>
          <w:rFonts w:ascii="IRNazanin" w:hAnsi="IRNazanin" w:eastAsia="IRNazanin" w:cs="IRNazanin"/>
          <w:lang w:bidi="fa-IR"/>
          <w:color w:val="111111"/>
          <w:sz w:val="28"/>
          <w:szCs w:val="28"/>
          <w:rtl/>
        </w:rPr>
        <w:t xml:space="preserve">هو الملا میرک ابن مولانا ضمیری الأصفهانی. ترجمه صادقی الکتاب دار فی (خص 8- ص 277) و آذر فی (تش- ص 175) و فی (روشن- ص 209) و فی (خوش‏گو) و أوردوا بعض شعره. و یأتی والده فی محله و إنه نظم مائة ألف بیت، لم یمدح فیها أحدا من الأمراء و الملوک.</w:t>
      </w:r>
    </w:p>
    <w:p>
      <w:pPr>
        <w:pStyle w:val="Heading3"/>
      </w:pPr>
      <w:bookmarkStart w:id="3702" w:name="_Toc2398"/>
      <w:r>
        <w:t>1861- دیوان داعی أنجدانی تفرشی‏</w:t>
      </w:r>
      <w:bookmarkEnd w:id="3702"/>
    </w:p>
    <w:p>
      <w:pPr>
        <w:pStyle w:val="BookText"/>
      </w:pPr>
      <w:r>
        <w:rPr>
          <w:rFonts w:ascii="IRNazanin" w:hAnsi="IRNazanin" w:eastAsia="IRNazanin" w:cs="IRNazanin"/>
          <w:lang w:bidi="fa-IR"/>
          <w:color w:val="111111"/>
          <w:sz w:val="28"/>
          <w:szCs w:val="28"/>
          <w:rtl/>
        </w:rPr>
        <w:t xml:space="preserve">و اسمه المیر محمد مؤمن بن جمال الدین و أصله من محال تفرش، اشتغل بتحصیل الفنون عدة سنین و کان معاصر هاتف و آذر کذا ترجمه فی (مع- ج 2- ص 128) و أورد جملة من أشعاره. و قد جمع دیوانه أبو القاسم المتخلص سحاب التفرشی المولود (1304) کما ذکره لی شفاها و أنشدنی بعض أشعاره.</w:t>
      </w:r>
    </w:p>
    <w:p>
      <w:pPr>
        <w:pStyle w:val="BookText"/>
      </w:pPr>
      <w:r>
        <w:rPr>
          <w:rFonts w:ascii="IRNazanin" w:hAnsi="IRNazanin" w:eastAsia="IRNazanin" w:cs="IRNazanin"/>
          <w:lang w:bidi="fa-IR"/>
          <w:color w:val="111111"/>
          <w:sz w:val="28"/>
          <w:szCs w:val="28"/>
          <w:rtl/>
        </w:rPr>
        <w:t xml:space="preserve">أقول ترجمه آذر بیگدلی فی (تش- ص 372) فی ضمن من عاصره من الشعراء مفصلا و قال مات (1155) عن تسعین سنة و کذا فی روضة صفویة و (روشن- ص 209).</w:t>
      </w:r>
    </w:p>
    <w:p>
      <w:pPr>
        <w:pStyle w:val="Heading3"/>
      </w:pPr>
      <w:bookmarkStart w:id="3703" w:name="_Toc2399"/>
      <w:r>
        <w:t>1862- دیوان داعی أنجدانی کاشانی أو شعره‏</w:t>
      </w:r>
      <w:bookmarkEnd w:id="3703"/>
    </w:p>
    <w:p>
      <w:pPr>
        <w:pStyle w:val="BookText"/>
      </w:pPr>
      <w:r>
        <w:rPr>
          <w:rFonts w:ascii="IRNazanin" w:hAnsi="IRNazanin" w:eastAsia="IRNazanin" w:cs="IRNazanin"/>
          <w:lang w:bidi="fa-IR"/>
          <w:color w:val="111111"/>
          <w:sz w:val="28"/>
          <w:szCs w:val="28"/>
          <w:rtl/>
        </w:rPr>
        <w:t xml:space="preserve">و هو الأخ الأصغر للملک طیفور الأنجدانی و هما معاصران لملک قمی (المتوفی 1026) و کان یسکن کاشان کما ترجمه فی (تغ- ص 51) و أورد شعره فی (تش- ص 232).</w:t>
      </w:r>
    </w:p>
    <w:p>
      <w:pPr>
        <w:pStyle w:val="Heading3"/>
      </w:pPr>
      <w:bookmarkStart w:id="3704" w:name="_Toc2400"/>
      <w:r>
        <w:t>1863- دیوان داعی بغدادی‏</w:t>
      </w:r>
      <w:bookmarkEnd w:id="3704"/>
    </w:p>
    <w:p>
      <w:pPr>
        <w:pStyle w:val="BookText"/>
      </w:pPr>
      <w:r>
        <w:rPr>
          <w:rFonts w:ascii="IRNazanin" w:hAnsi="IRNazanin" w:eastAsia="IRNazanin" w:cs="IRNazanin"/>
          <w:lang w:bidi="fa-IR"/>
          <w:color w:val="111111"/>
          <w:sz w:val="28"/>
          <w:szCs w:val="28"/>
          <w:rtl/>
        </w:rPr>
        <w:t xml:space="preserve">ترجمه فی العراق بین الاحتلالین- ج 4 ص 135 نقلا عن گلشن شعراء لعهدی بغدادی (المتوفی 1002) و ذکر دیوانه.</w:t>
      </w:r>
    </w:p>
    <w:p>
      <w:pPr>
        <w:pStyle w:val="Heading3"/>
      </w:pPr>
      <w:bookmarkStart w:id="3705" w:name="_Toc2401"/>
      <w:r>
        <w:t>1864- دیوان داعی دزفولی‏</w:t>
      </w:r>
      <w:bookmarkEnd w:id="3705"/>
    </w:p>
    <w:p>
      <w:pPr>
        <w:pStyle w:val="BookText"/>
      </w:pPr>
      <w:r>
        <w:rPr>
          <w:rFonts w:ascii="IRNazanin" w:hAnsi="IRNazanin" w:eastAsia="IRNazanin" w:cs="IRNazanin"/>
          <w:lang w:bidi="fa-IR"/>
          <w:color w:val="111111"/>
          <w:sz w:val="28"/>
          <w:szCs w:val="28"/>
          <w:rtl/>
        </w:rPr>
        <w:t xml:space="preserve">و اسمه السید عبد الله، عمر ثمان و تسعین سنة و توفی (1256) ترجمه کذلک فی (مع- ج 2 ص 129) و أورد بعض شعره أقول هو السید عبد الله بن محمد باقر الموسوی الصفوی من أحفاد السید سلطان علی رودبند المعروف بخواجه علی سیاه‏پوش من أجداد الملوک الصفویة. جمعه المیرزا جعفر بن الشیخ مرتضی المعروف بشیخ بزرگ ابن الشیخ محمد حسن بن الشیخ منصور الذی هو أخ العلامة الدزفولی الأنصاری المولود 23 الصیام 1312 و رتبه علی الغزلیات و القصائد و</w:t>
      </w:r>
    </w:p>
    <w:p>
      <w:pPr>
        <w:pStyle w:val="BookText"/>
      </w:pPr>
      <w:r>
        <w:rPr>
          <w:rFonts w:ascii="IRNazanin" w:hAnsi="IRNazanin" w:eastAsia="IRNazanin" w:cs="IRNazanin"/>
          <w:lang w:bidi="fa-IR"/>
          <w:color w:val="111111"/>
          <w:sz w:val="28"/>
          <w:szCs w:val="28"/>
          <w:rtl/>
        </w:rPr>
        <w:t xml:space="preserve">الرباعیات فی مجلدین کما حکاه لی شفاها أوان زیارته للنجف فی ربیع الأول (1370) و أنشد لی من شعره فی تاریخ وفاه السلطان فتح علی شاه و جلوس السلطان محمد شاه و غیره.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310" w:name="pg11704_121790"/>
    <w:bookmarkEnd w:id="310"/>
    <w:p>
      <w:pPr>
        <w:pStyle w:val="BookText"/>
      </w:pPr>
      <w:r>
        <w:rPr>
          <w:rFonts w:ascii="IRNazanin" w:hAnsi="IRNazanin" w:eastAsia="IRNazanin" w:cs="IRNazanin"/>
          <w:lang w:bidi="fa-IR"/>
          <w:color w:val="111111"/>
          <w:sz w:val="28"/>
          <w:szCs w:val="28"/>
          <w:rtl/>
        </w:rPr>
        <w:t xml:space="preserve">و توفی جامع الدیوان فجأة فی (27 ذی القعدة 1370) و توجد له عند (الملک) (رقم 4743) مجموعة فی تاریخ خوزستان نظما و نثرا سماها دولت خاقانیة کما فی الورقة (18) منها.</w:t>
      </w:r>
    </w:p>
    <w:p>
      <w:pPr>
        <w:pStyle w:val="Heading3"/>
      </w:pPr>
      <w:bookmarkStart w:id="3706" w:name="_Toc2402"/>
      <w:r>
        <w:t>1865- دیوان داعی سرخسی‏</w:t>
      </w:r>
      <w:bookmarkEnd w:id="3706"/>
    </w:p>
    <w:p>
      <w:pPr>
        <w:pStyle w:val="BookText"/>
      </w:pPr>
      <w:r>
        <w:rPr>
          <w:rFonts w:ascii="IRNazanin" w:hAnsi="IRNazanin" w:eastAsia="IRNazanin" w:cs="IRNazanin"/>
          <w:lang w:bidi="fa-IR"/>
          <w:color w:val="111111"/>
          <w:sz w:val="28"/>
          <w:szCs w:val="28"/>
          <w:rtl/>
        </w:rPr>
        <w:t xml:space="preserve">ترجمه معاصره المیر علی شیر فی (مجن 3- ص 73 و ص 249) و قال إنه کان فی سرخس ملازم مقبرة الشیخ لقمان مستفیضا من فتوحه، ثم ذکر مطلع غزله، و کذا فی (گلشن- ص 159).</w:t>
      </w:r>
    </w:p>
    <w:p>
      <w:pPr>
        <w:pStyle w:val="Heading3"/>
      </w:pPr>
      <w:bookmarkStart w:id="3707" w:name="_Toc2403"/>
      <w:r>
        <w:t>1866- دیوان داعی الشیرازی‏</w:t>
      </w:r>
      <w:bookmarkEnd w:id="3707"/>
    </w:p>
    <w:p>
      <w:pPr>
        <w:pStyle w:val="BookText"/>
      </w:pPr>
      <w:r>
        <w:rPr>
          <w:rFonts w:ascii="IRNazanin" w:hAnsi="IRNazanin" w:eastAsia="IRNazanin" w:cs="IRNazanin"/>
          <w:lang w:bidi="fa-IR"/>
          <w:color w:val="111111"/>
          <w:sz w:val="28"/>
          <w:szCs w:val="28"/>
          <w:rtl/>
        </w:rPr>
        <w:t xml:space="preserve">السید نظام الدین محمود الواعظ الملقب بداعی إلی الله الحسینی الشیرازی المتوفی بها بین (865- 867- 869- 870)</w:t>
      </w:r>
      <w:r>
        <w:rPr>
          <w:rStyle w:val="FootnoteReference"/>
        </w:rPr>
        <w:footnoteReference w:id="30"/>
      </w:r>
      <w:r>
        <w:rPr>
          <w:rFonts w:ascii="IRNazanin" w:hAnsi="IRNazanin" w:eastAsia="IRNazanin" w:cs="IRNazanin"/>
          <w:lang w:bidi="fa-IR"/>
          <w:color w:val="111111"/>
          <w:sz w:val="28"/>
          <w:szCs w:val="28"/>
          <w:rtl/>
        </w:rPr>
        <w:t xml:space="preserve">و قبره یزار فی خارج البلدة. ترجمه هدایت فی (ض- ص 119- 125) و أورد کثیرا من شعره، و کذا فی (مع- ج 2 ص 18) و ترجمه فرصت الدولة فی (عم- ص 485) و ذکر جملة من تصانیفه، و قد جمعوا فی حیاته دیوانه البالغ إلی خمسین ألف بیت فی ثلاث مجلدات، سمی أحدها القدسیات و الثانیة الواردات و الثالثة الصادرات و له المثنویات الست المعروفة ستة داعی و لکل منها اسم خاص. و ترجم أیضا فی طرائق الحقائق- ج 3 ص 22 و فارس‏نامه ناصری- ج 2 ص 136 و (تغ- ص 51).</w:t>
      </w:r>
    </w:p>
    <w:p>
      <w:pPr>
        <w:pStyle w:val="Heading3"/>
      </w:pPr>
      <w:bookmarkStart w:id="3708" w:name="_Toc2404"/>
      <w:r>
        <w:t>1867- دیوان داغ هندی‏</w:t>
      </w:r>
      <w:bookmarkEnd w:id="3708"/>
    </w:p>
    <w:p>
      <w:pPr>
        <w:pStyle w:val="BookText"/>
      </w:pPr>
      <w:r>
        <w:rPr>
          <w:rFonts w:ascii="IRNazanin" w:hAnsi="IRNazanin" w:eastAsia="IRNazanin" w:cs="IRNazanin"/>
          <w:lang w:bidi="fa-IR"/>
          <w:color w:val="111111"/>
          <w:sz w:val="28"/>
          <w:szCs w:val="28"/>
          <w:rtl/>
        </w:rPr>
        <w:t xml:space="preserve">طبع بنولکشور کما ذکر فی فهرس مطبوعاتها. و له أیضا گلزار داغ طبع هناک أیضا.</w:t>
      </w:r>
    </w:p>
    <w:p>
      <w:pPr>
        <w:pStyle w:val="Heading3"/>
      </w:pPr>
      <w:bookmarkStart w:id="3709" w:name="_Toc2405"/>
      <w:r>
        <w:t>1868- دیوان دافع لاهیجی‏</w:t>
      </w:r>
      <w:bookmarkEnd w:id="3709"/>
    </w:p>
    <w:p>
      <w:pPr>
        <w:pStyle w:val="BookText"/>
      </w:pPr>
      <w:r>
        <w:rPr>
          <w:rFonts w:ascii="IRNazanin" w:hAnsi="IRNazanin" w:eastAsia="IRNazanin" w:cs="IRNazanin"/>
          <w:lang w:bidi="fa-IR"/>
          <w:color w:val="111111"/>
          <w:sz w:val="28"/>
          <w:szCs w:val="28"/>
          <w:rtl/>
        </w:rPr>
        <w:t xml:space="preserve">لمحمد صالح اللاهیجی ابن طالش مراد. کان من السپهدارین للسلطان خان أحمد الگیلانی، و سافر إلی الهند و رجع و الحال هو ملازم للشاه‏زاده ابن الشاه عباس الثانی کان أولا یتخلص صالح کذا ترجمه النصرآبادی و أورد بعض مثنویة فی وجع الجنب فی (نر 9- ص 377).</w:t>
      </w:r>
    </w:p>
    <w:p>
      <w:pPr>
        <w:pStyle w:val="Heading3"/>
      </w:pPr>
      <w:bookmarkStart w:id="3710" w:name="_Toc2406"/>
      <w:r>
        <w:t>دیوان المیر الداماد</w:t>
      </w:r>
      <w:bookmarkEnd w:id="3710"/>
    </w:p>
    <w:p>
      <w:pPr>
        <w:pStyle w:val="BookText"/>
      </w:pPr>
      <w:r>
        <w:rPr>
          <w:rFonts w:ascii="IRNazanin" w:hAnsi="IRNazanin" w:eastAsia="IRNazanin" w:cs="IRNazanin"/>
          <w:lang w:bidi="fa-IR"/>
          <w:color w:val="111111"/>
          <w:sz w:val="28"/>
          <w:szCs w:val="28"/>
          <w:rtl/>
        </w:rPr>
        <w:t xml:space="preserve">مر بعنوان تخلصه إشراق.</w:t>
      </w:r>
    </w:p>
    <w:p>
      <w:pPr>
        <w:pStyle w:val="Heading3"/>
      </w:pPr>
      <w:bookmarkStart w:id="3711" w:name="_Toc2407"/>
      <w:r>
        <w:t>دیوان دامی الأسترآبادی‏</w:t>
      </w:r>
      <w:bookmarkEnd w:id="3711"/>
    </w:p>
    <w:p>
      <w:pPr>
        <w:pStyle w:val="BookText"/>
      </w:pPr>
      <w:r>
        <w:rPr>
          <w:rFonts w:ascii="IRNazanin" w:hAnsi="IRNazanin" w:eastAsia="IRNazanin" w:cs="IRNazanin"/>
          <w:lang w:bidi="fa-IR"/>
          <w:color w:val="111111"/>
          <w:sz w:val="28"/>
          <w:szCs w:val="28"/>
          <w:rtl/>
        </w:rPr>
        <w:t xml:space="preserve">کذا ترجمه فی (قز مج 3- ص 260) و أطری قصائده و أورد مطلع غزله و قد مر بعنوان دائمی کما ذکر فی (لط 3- ص 86). .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311" w:name="pg11704_121791"/>
    <w:bookmarkEnd w:id="311"/>
    <w:p>
      <w:pPr>
        <w:pStyle w:val="Heading3"/>
      </w:pPr>
      <w:bookmarkStart w:id="3712" w:name="_Toc2408"/>
      <w:r>
        <w:t>1869- دیوان دامی همدانی‏</w:t>
      </w:r>
      <w:bookmarkEnd w:id="3712"/>
    </w:p>
    <w:p>
      <w:pPr>
        <w:pStyle w:val="BookText"/>
      </w:pPr>
      <w:r>
        <w:rPr>
          <w:rFonts w:ascii="IRNazanin" w:hAnsi="IRNazanin" w:eastAsia="IRNazanin" w:cs="IRNazanin"/>
          <w:lang w:bidi="fa-IR"/>
          <w:color w:val="111111"/>
          <w:sz w:val="28"/>
          <w:szCs w:val="28"/>
          <w:rtl/>
        </w:rPr>
        <w:t xml:space="preserve">الملا عبد الواسع بن کلب علی الهمدانی ولد بأصفهان و مهر فی العلوم و مات بها فی شبابه عن سبع و عشرین سنة من عمره فی (1173) و قال رفیق فی تاریخه [</w:t>
      </w:r>
    </w:p>
    <w:p>
      <w:pPr>
        <w:pStyle w:val="BookText"/>
      </w:pPr>
      <w:r>
        <w:rPr>
          <w:rFonts w:ascii="IRNazanin" w:hAnsi="IRNazanin" w:eastAsia="IRNazanin" w:cs="IRNazanin"/>
          <w:lang w:bidi="fa-IR"/>
          <w:color w:val="111111"/>
          <w:sz w:val="28"/>
          <w:szCs w:val="28"/>
          <w:rtl/>
        </w:rPr>
        <w:t xml:space="preserve">به نومیدی ز دنیا رفت عبد الواسع دامی‏</w:t>
      </w:r>
    </w:p>
    <w:p>
      <w:pPr>
        <w:pStyle w:val="BookText"/>
      </w:pPr>
      <w:r>
        <w:rPr>
          <w:rFonts w:ascii="IRNazanin" w:hAnsi="IRNazanin" w:eastAsia="IRNazanin" w:cs="IRNazanin"/>
          <w:lang w:bidi="fa-IR"/>
          <w:color w:val="111111"/>
          <w:sz w:val="28"/>
          <w:szCs w:val="28"/>
          <w:rtl/>
        </w:rPr>
        <w:t xml:space="preserve">1173] و أورد شعره ترجمه کذلک و أورد شعره فی (تش- ص 373) و قال فی (مع- ج 2 ص 129) إنه کان من العلماء المدرسین فی عصره.</w:t>
      </w:r>
    </w:p>
    <w:p>
      <w:pPr>
        <w:pStyle w:val="Heading3"/>
      </w:pPr>
      <w:bookmarkStart w:id="3713" w:name="_Toc2409"/>
      <w:r>
        <w:t>1870- دیوان دانای کشمیری‏</w:t>
      </w:r>
      <w:bookmarkEnd w:id="3713"/>
    </w:p>
    <w:p>
      <w:pPr>
        <w:pStyle w:val="BookText"/>
      </w:pPr>
      <w:r>
        <w:rPr>
          <w:rFonts w:ascii="IRNazanin" w:hAnsi="IRNazanin" w:eastAsia="IRNazanin" w:cs="IRNazanin"/>
          <w:lang w:bidi="fa-IR"/>
          <w:color w:val="111111"/>
          <w:sz w:val="28"/>
          <w:szCs w:val="28"/>
          <w:rtl/>
        </w:rPr>
        <w:t xml:space="preserve">و اسمه فخر الدین المعاصر لفرخ سیر ملک الهند فجاء من کشمیر إلی شاه جهان‏آباد و اشترک مع فارغای قمی فی نظم شاهنامه فرخ سیر ثم رجع إلی وطنه و مات (1150) أورد شعره فی (گلشن- ص 159- 160) و أظنه هو المذکور فی (سرخوش- ص 39).</w:t>
      </w:r>
    </w:p>
    <w:p>
      <w:pPr>
        <w:pStyle w:val="Heading3"/>
      </w:pPr>
      <w:bookmarkStart w:id="3714" w:name="_Toc2410"/>
      <w:r>
        <w:t>1871- دیوان دانش أصفهانی‏</w:t>
      </w:r>
      <w:bookmarkEnd w:id="3714"/>
    </w:p>
    <w:p>
      <w:pPr>
        <w:pStyle w:val="BookText"/>
      </w:pPr>
      <w:r>
        <w:rPr>
          <w:rFonts w:ascii="IRNazanin" w:hAnsi="IRNazanin" w:eastAsia="IRNazanin" w:cs="IRNazanin"/>
          <w:lang w:bidi="fa-IR"/>
          <w:color w:val="111111"/>
          <w:sz w:val="28"/>
          <w:szCs w:val="28"/>
          <w:rtl/>
        </w:rPr>
        <w:t xml:space="preserve">و اسمه آقا محمد علی المشهور بآقا بزرگ من النجباء المعاریف بأصفهان. ترجمه کذلک معاصره فی (مع- ج 2 ص 128) و أورد بعض شعره‏</w:t>
      </w:r>
    </w:p>
    <w:p>
      <w:pPr>
        <w:pStyle w:val="Heading3"/>
      </w:pPr>
      <w:bookmarkStart w:id="3715" w:name="_Toc2411"/>
      <w:r>
        <w:t>1872- دیوان دانش التبریزی‏</w:t>
      </w:r>
      <w:bookmarkEnd w:id="3715"/>
    </w:p>
    <w:p>
      <w:pPr>
        <w:pStyle w:val="BookText"/>
      </w:pPr>
      <w:r>
        <w:rPr>
          <w:rFonts w:ascii="IRNazanin" w:hAnsi="IRNazanin" w:eastAsia="IRNazanin" w:cs="IRNazanin"/>
          <w:lang w:bidi="fa-IR"/>
          <w:color w:val="111111"/>
          <w:sz w:val="28"/>
          <w:szCs w:val="28"/>
          <w:rtl/>
        </w:rPr>
        <w:t xml:space="preserve">المیرزا رضا خان أرفع الدولة المولود فی تبریز (1270) ابن الشیخ حسن الإیروانی ترجمه فی (دجا- ص 144) و قال (فی ص 122) إنه من أولاد الحکیم قبلی. و ذکر أنه طبع منتخبات دانش فی (1307) و هو الذی مثل إیران فی مؤتمر لاهای فلقب بپرنس صلح فی (1317) و له گوهر خاوری.</w:t>
      </w:r>
    </w:p>
    <w:p>
      <w:pPr>
        <w:pStyle w:val="Heading3"/>
      </w:pPr>
      <w:bookmarkStart w:id="3716" w:name="_Toc2412"/>
      <w:r>
        <w:t>1873- دیوان دانش تبریزی‏</w:t>
      </w:r>
      <w:bookmarkEnd w:id="3716"/>
    </w:p>
    <w:p>
      <w:pPr>
        <w:pStyle w:val="BookText"/>
      </w:pPr>
      <w:r>
        <w:rPr>
          <w:rFonts w:ascii="IRNazanin" w:hAnsi="IRNazanin" w:eastAsia="IRNazanin" w:cs="IRNazanin"/>
          <w:lang w:bidi="fa-IR"/>
          <w:color w:val="111111"/>
          <w:sz w:val="28"/>
          <w:szCs w:val="28"/>
          <w:rtl/>
        </w:rPr>
        <w:t xml:space="preserve">للمیرزا نجف علی خان بن المیرزا حسن علی التبریزی ترجمه (دجا- ص 143) و قال إنه هاجر بعد تکمیل العلوم الرسمیة فی (1273) إلی إستانبول و کان قنسول إیران بها إلی (1303) و أسس روزنامه أختر من (1292) إلی إحدی و عشرین سنة مرتبا بمدیریة آقا محمد طاهر. و طبع له مجمع الأوصاف فی شعراء المیرزا سنگلاخ و میزان الموازین فی أمر الدین و ذکر مطلع بعض قصائده العربیة، و له أیضا الریحان مجموع أدبی شبه الکشکول.</w:t>
      </w:r>
    </w:p>
    <w:p>
      <w:pPr>
        <w:pStyle w:val="Heading3"/>
      </w:pPr>
      <w:bookmarkStart w:id="3717" w:name="_Toc2413"/>
      <w:r>
        <w:t>1874- دیوان دانش التفریشی‏</w:t>
      </w:r>
      <w:bookmarkEnd w:id="3717"/>
    </w:p>
    <w:p>
      <w:pPr>
        <w:pStyle w:val="BookText"/>
      </w:pPr>
      <w:r>
        <w:rPr>
          <w:rFonts w:ascii="IRNazanin" w:hAnsi="IRNazanin" w:eastAsia="IRNazanin" w:cs="IRNazanin"/>
          <w:lang w:bidi="fa-IR"/>
          <w:color w:val="111111"/>
          <w:sz w:val="28"/>
          <w:szCs w:val="28"/>
          <w:rtl/>
        </w:rPr>
        <w:t xml:space="preserve">المیرزا تقی خان بن المیرزا حسین الوزیر جمعه فی طهران من محفوظاته بعد حرق النسخة الأولیة منه فی رشت. ذکره أدبیات معاصر فی (ص 48) و طبع له دیوان حکیم سوری مکررا کما مر. و طبع له کتاب سور فی بمبئی علی الحجر فی (1309 ش) فی (38 ص).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312" w:name="pg11704_121792"/>
    <w:bookmarkEnd w:id="312"/>
    <w:p>
      <w:pPr>
        <w:pStyle w:val="Heading3"/>
      </w:pPr>
      <w:bookmarkStart w:id="3718" w:name="_Toc2414"/>
      <w:r>
        <w:t>1875- دیوان دانش جعفری‏</w:t>
      </w:r>
      <w:bookmarkEnd w:id="3718"/>
    </w:p>
    <w:p>
      <w:pPr>
        <w:pStyle w:val="BookText"/>
      </w:pPr>
      <w:r>
        <w:rPr>
          <w:rFonts w:ascii="IRNazanin" w:hAnsi="IRNazanin" w:eastAsia="IRNazanin" w:cs="IRNazanin"/>
          <w:lang w:bidi="fa-IR"/>
          <w:color w:val="111111"/>
          <w:sz w:val="28"/>
          <w:szCs w:val="28"/>
          <w:rtl/>
        </w:rPr>
        <w:t xml:space="preserve">و اسمه زین العابدین بن آصف الذی کان یتخلص جعفر ترجمه و أورد شعره فی (خوش‏گو).</w:t>
      </w:r>
    </w:p>
    <w:p>
      <w:pPr>
        <w:pStyle w:val="Heading3"/>
      </w:pPr>
      <w:bookmarkStart w:id="3719" w:name="_Toc2415"/>
      <w:r>
        <w:t>1876- دیوان دانش الرشتی‏</w:t>
      </w:r>
      <w:bookmarkEnd w:id="3719"/>
    </w:p>
    <w:p>
      <w:pPr>
        <w:pStyle w:val="BookText"/>
      </w:pPr>
      <w:r>
        <w:rPr>
          <w:rFonts w:ascii="IRNazanin" w:hAnsi="IRNazanin" w:eastAsia="IRNazanin" w:cs="IRNazanin"/>
          <w:lang w:bidi="fa-IR"/>
          <w:color w:val="111111"/>
          <w:sz w:val="28"/>
          <w:szCs w:val="28"/>
          <w:rtl/>
        </w:rPr>
        <w:t xml:space="preserve">من نظم حسام الإسلام الرشتی. مطبوع کما یظهر من الفهارس.</w:t>
      </w:r>
    </w:p>
    <w:p>
      <w:pPr>
        <w:pStyle w:val="Heading3"/>
      </w:pPr>
      <w:bookmarkStart w:id="3720" w:name="_Toc2416"/>
      <w:r>
        <w:t>دیوان دانش شوشتری‏</w:t>
      </w:r>
      <w:bookmarkEnd w:id="3720"/>
    </w:p>
    <w:p>
      <w:pPr>
        <w:pStyle w:val="BookText"/>
      </w:pPr>
      <w:r>
        <w:rPr>
          <w:rFonts w:ascii="IRNazanin" w:hAnsi="IRNazanin" w:eastAsia="IRNazanin" w:cs="IRNazanin"/>
          <w:lang w:bidi="fa-IR"/>
          <w:color w:val="111111"/>
          <w:sz w:val="28"/>
          <w:szCs w:val="28"/>
          <w:rtl/>
        </w:rPr>
        <w:t xml:space="preserve">هو المولی حسن علی التستری المذکور فی (ص 243) نقلا عن (گلشن- ص 132) و نشتر عشق و (تغ- ص 44) و لکن فی (روشن- ص 211) اعترض علیهم و قال إن تخلصه دانش.</w:t>
      </w:r>
    </w:p>
    <w:p>
      <w:pPr>
        <w:pStyle w:val="Heading3"/>
      </w:pPr>
      <w:bookmarkStart w:id="3721" w:name="_Toc2417"/>
      <w:r>
        <w:t>1877- دیوان دانش الشیرازی‏</w:t>
      </w:r>
      <w:bookmarkEnd w:id="3721"/>
    </w:p>
    <w:p>
      <w:pPr>
        <w:pStyle w:val="BookText"/>
      </w:pPr>
      <w:r>
        <w:rPr>
          <w:rFonts w:ascii="IRNazanin" w:hAnsi="IRNazanin" w:eastAsia="IRNazanin" w:cs="IRNazanin"/>
          <w:lang w:bidi="fa-IR"/>
          <w:color w:val="111111"/>
          <w:sz w:val="28"/>
          <w:szCs w:val="28"/>
          <w:rtl/>
        </w:rPr>
        <w:t xml:space="preserve">للحکیم العارف الملقب بصدر الأفاضل، و اسمه المیرزا لطف علی الشیرازی المولد فی (1268) و والده المیرزا محمد کاظم أمین السفراء الشیروانی الأصل التبریزی و یعرف أیضا بالأدیب، و تخلصه فی شعره دانش و ترجمه فی (دجا- ص 144) و عده تبریزیا باعتبار أصله و ذکر أن له النظم و النثر الفارسی و العربی. و قد کتب ولده الفاضل مجد الدین النصیری الأمینی رسالة فی ترجمه والده مبسوطة رأیت مسودتها عنده فی طهران فی (1365) و ذکر أنه نزل بطهران أوائل أمره و قرأ المعقول علی الآقا علی الزنوزی المدرس و المیرزا أبی الحسن الجلوة، و ذکر من شعره رثاءه لأستاده الآقا علی و رثاءه للحاج الشیخ فضل الله النوری و غیر ذلک، و من تصانیفه مفتاح الخط الکوفی و مقدمه إصلاح المنطق و إیضاح الأدب المطبوع (1310) الذی ذکرناه فی (ج 2 ص 492) و قد رأیت مجد الدین هذا فی النجف مسافرا فی (1356) و بعد تسع سنین رأیت فی طهران مکتبته الجلیلة المحتویة علی نفایس الکتب العتیقة أکثرها بخطوط مؤلفیها و علیها آثار العلماء، و کان من عزمه أن یأخذ تصاویر تلک الآثار و ینشرها وفقه الله لبلوغ أمنیته.</w:t>
      </w:r>
    </w:p>
    <w:p>
      <w:pPr>
        <w:pStyle w:val="BookText"/>
      </w:pPr>
      <w:r>
        <w:rPr>
          <w:rFonts w:ascii="IRNazanin" w:hAnsi="IRNazanin" w:eastAsia="IRNazanin" w:cs="IRNazanin"/>
          <w:lang w:bidi="fa-IR"/>
          <w:color w:val="111111"/>
          <w:sz w:val="28"/>
          <w:szCs w:val="28"/>
          <w:rtl/>
        </w:rPr>
        <w:t xml:space="preserve">و قد عد من تصانیف دانش هزار دستان فی المخاطرات و تذکره الشعراء الموسوم بالملخص و جواهر البلاغة فی منشئاته و نمکدان و اندرزنامه و له ترجمان الحال فی أحوال نفسه مختصرا طبع (1330 ش) فی أربع صفحات فی مقدمه کتابه قصیدة إنصافیة و شرح آن و قد کتب ابن ابنه الدکتور صدر الدین النصیری ابن مجد الدین فهرس‏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313" w:name="pg11704_121793"/>
    <w:bookmarkEnd w:id="313"/>
    <w:p>
      <w:pPr>
        <w:pStyle w:val="BookText"/>
      </w:pPr>
      <w:r>
        <w:rPr>
          <w:rFonts w:ascii="IRNazanin" w:hAnsi="IRNazanin" w:eastAsia="IRNazanin" w:cs="IRNazanin"/>
          <w:lang w:bidi="fa-IR"/>
          <w:color w:val="111111"/>
          <w:sz w:val="28"/>
          <w:szCs w:val="28"/>
          <w:rtl/>
        </w:rPr>
        <w:t xml:space="preserve">کتبه فی المقدمة أیضا و أنهاها إلی حدود المائة و الثلاثین مؤلفا. و علی هذا الکتاب حواشی للشیخ مهدی الإلهی القومشهی.</w:t>
      </w:r>
    </w:p>
    <w:p>
      <w:pPr>
        <w:pStyle w:val="Heading3"/>
      </w:pPr>
      <w:bookmarkStart w:id="3722" w:name="_Toc2418"/>
      <w:r>
        <w:t>1878- دیوان دانش قزوینی‏</w:t>
      </w:r>
      <w:bookmarkEnd w:id="3722"/>
    </w:p>
    <w:p>
      <w:pPr>
        <w:pStyle w:val="BookText"/>
      </w:pPr>
      <w:r>
        <w:rPr>
          <w:rFonts w:ascii="IRNazanin" w:hAnsi="IRNazanin" w:eastAsia="IRNazanin" w:cs="IRNazanin"/>
          <w:lang w:bidi="fa-IR"/>
          <w:color w:val="111111"/>
          <w:sz w:val="28"/>
          <w:szCs w:val="28"/>
          <w:rtl/>
        </w:rPr>
        <w:t xml:space="preserve">و اسمه المیرزا حسین خان القزوینی سافر إلی ترکیة و سکن إستانبول و أنقرة، و ترجم عده کتب من الإفرنسیة بالترکیة منها قصص لافونتن، و ترجم رباعیات خیام بالترکیة و طبعه بمساعدة رضا توفیق فی (1340) و له دستور زبان فارسی طبع بأستانبول و له تاریخ الأدب الفارسی بعنوان سرآمدان سخن ترجم فیه خمسة عشر شخصا من مشاهیر شعراء الفرس من رودکی البخاری إلی حافظ الشیرازی، طبع (1327) بأستانبول و مات (3- ع 1- 1362) کما فی ریحانة الأدب.</w:t>
      </w:r>
    </w:p>
    <w:p>
      <w:pPr>
        <w:pStyle w:val="Heading3"/>
      </w:pPr>
      <w:bookmarkStart w:id="3723" w:name="_Toc2419"/>
      <w:r>
        <w:t>1879- دیوان دانش لکهنوی أو شعره‏</w:t>
      </w:r>
      <w:bookmarkEnd w:id="3723"/>
    </w:p>
    <w:p>
      <w:pPr>
        <w:pStyle w:val="BookText"/>
      </w:pPr>
      <w:r>
        <w:rPr>
          <w:rFonts w:ascii="IRNazanin" w:hAnsi="IRNazanin" w:eastAsia="IRNazanin" w:cs="IRNazanin"/>
          <w:lang w:bidi="fa-IR"/>
          <w:color w:val="111111"/>
          <w:sz w:val="28"/>
          <w:szCs w:val="28"/>
          <w:rtl/>
        </w:rPr>
        <w:t xml:space="preserve">و هو المنشی دانش علی خان أخ رونق علی خان الملا نومی الأصل اللکهنوی کان هو و أخوه فی خدمة سعادت علی خان حاکم منطقة أود بالهند. أورد شعره فی (گلشن- ص 160).</w:t>
      </w:r>
    </w:p>
    <w:p>
      <w:pPr>
        <w:pStyle w:val="Heading3"/>
      </w:pPr>
      <w:bookmarkStart w:id="3724" w:name="_Toc2420"/>
      <w:r>
        <w:t>دیوان دانش مازندرانی‏</w:t>
      </w:r>
      <w:bookmarkEnd w:id="3724"/>
    </w:p>
    <w:p>
      <w:pPr>
        <w:pStyle w:val="BookText"/>
      </w:pPr>
      <w:r>
        <w:rPr>
          <w:rFonts w:ascii="IRNazanin" w:hAnsi="IRNazanin" w:eastAsia="IRNazanin" w:cs="IRNazanin"/>
          <w:lang w:bidi="fa-IR"/>
          <w:color w:val="111111"/>
          <w:sz w:val="28"/>
          <w:szCs w:val="28"/>
          <w:rtl/>
        </w:rPr>
        <w:t xml:space="preserve">مر بعنوان جاوید.</w:t>
      </w:r>
    </w:p>
    <w:p>
      <w:pPr>
        <w:pStyle w:val="Heading3"/>
      </w:pPr>
      <w:bookmarkStart w:id="3725" w:name="_Toc2421"/>
      <w:r>
        <w:t>1880- دیوان دانش المشهدی‏</w:t>
      </w:r>
      <w:bookmarkEnd w:id="3725"/>
    </w:p>
    <w:p>
      <w:pPr>
        <w:pStyle w:val="BookText"/>
      </w:pPr>
      <w:r>
        <w:rPr>
          <w:rFonts w:ascii="IRNazanin" w:hAnsi="IRNazanin" w:eastAsia="IRNazanin" w:cs="IRNazanin"/>
          <w:lang w:bidi="fa-IR"/>
          <w:color w:val="111111"/>
          <w:sz w:val="28"/>
          <w:szCs w:val="28"/>
          <w:rtl/>
        </w:rPr>
        <w:t xml:space="preserve">و اسمه المیرزا رضی من السادة الرضویة فی خراسان ترجمه النصرآبادی فی (نر 9- ص 252) و قال إنه سافر إلی الهند عند دارا شکوه، ثم إلی دکن عند السلطان قطب شاه، ثم عاد إلی مشهد خراسان موظفا عن السلطان- فی سنة التألیف حدود (1083)- و ذکر جملة من أشعاره. و کذا ترجمه فی مرآة الخیال ص 168 و (تش- ص 86) و (سرخوش- ص 38) و (خوش‏گو)، مفصلا و قال فی (تغ- ص 51) إنه مات (1065) بعد رجوعه إلی وطنه.</w:t>
      </w:r>
    </w:p>
    <w:p>
      <w:pPr>
        <w:pStyle w:val="Heading3"/>
      </w:pPr>
      <w:bookmarkStart w:id="3726" w:name="_Toc2422"/>
      <w:r>
        <w:t>دیوان دانشمند</w:t>
      </w:r>
      <w:bookmarkEnd w:id="3726"/>
    </w:p>
    <w:p>
      <w:pPr>
        <w:pStyle w:val="BookText"/>
      </w:pPr>
      <w:r>
        <w:rPr>
          <w:rFonts w:ascii="IRNazanin" w:hAnsi="IRNazanin" w:eastAsia="IRNazanin" w:cs="IRNazanin"/>
          <w:lang w:bidi="fa-IR"/>
          <w:color w:val="111111"/>
          <w:sz w:val="28"/>
          <w:szCs w:val="28"/>
          <w:rtl/>
        </w:rPr>
        <w:t xml:space="preserve">مر بعنوان تخلصه باقی تبریزی فی (ص 123) و مات (1039).</w:t>
      </w:r>
    </w:p>
    <w:p>
      <w:pPr>
        <w:pStyle w:val="Heading3"/>
      </w:pPr>
      <w:bookmarkStart w:id="3727" w:name="_Toc2423"/>
      <w:r>
        <w:t>1881- دیوان دانه‏ای أو شعره‏</w:t>
      </w:r>
      <w:bookmarkEnd w:id="3727"/>
    </w:p>
    <w:p>
      <w:pPr>
        <w:pStyle w:val="BookText"/>
      </w:pPr>
      <w:r>
        <w:rPr>
          <w:rFonts w:ascii="IRNazanin" w:hAnsi="IRNazanin" w:eastAsia="IRNazanin" w:cs="IRNazanin"/>
          <w:lang w:bidi="fa-IR"/>
          <w:color w:val="111111"/>
          <w:sz w:val="28"/>
          <w:szCs w:val="28"/>
          <w:rtl/>
        </w:rPr>
        <w:t xml:space="preserve">و دانه قریة بنواحی نیشابور. أورد شعره فی حق معاصره ألفتی الشاعر فی (روشن- ص 211) و کذا فی (خوش‏گو).</w:t>
      </w:r>
    </w:p>
    <w:p>
      <w:pPr>
        <w:pStyle w:val="Heading3"/>
      </w:pPr>
      <w:bookmarkStart w:id="3728" w:name="_Toc2424"/>
      <w:r>
        <w:t>دیوان داود بن القاسم‏</w:t>
      </w:r>
      <w:bookmarkEnd w:id="3728"/>
    </w:p>
    <w:p>
      <w:pPr>
        <w:pStyle w:val="BookText"/>
      </w:pPr>
      <w:r>
        <w:rPr>
          <w:rFonts w:ascii="IRNazanin" w:hAnsi="IRNazanin" w:eastAsia="IRNazanin" w:cs="IRNazanin"/>
          <w:lang w:bidi="fa-IR"/>
          <w:color w:val="111111"/>
          <w:sz w:val="28"/>
          <w:szCs w:val="28"/>
          <w:rtl/>
        </w:rPr>
        <w:t xml:space="preserve">مر فی (ص 52) بعنوان دیوان أبی هاشم.</w:t>
      </w:r>
    </w:p>
    <w:p>
      <w:pPr>
        <w:pStyle w:val="Heading3"/>
      </w:pPr>
      <w:bookmarkStart w:id="3729" w:name="_Toc2425"/>
      <w:r>
        <w:t>1882- دیوان الملا داود الکعبی‏</w:t>
      </w:r>
      <w:bookmarkEnd w:id="3729"/>
    </w:p>
    <w:p>
      <w:pPr>
        <w:pStyle w:val="BookText"/>
      </w:pPr>
      <w:r>
        <w:rPr>
          <w:rFonts w:ascii="IRNazanin" w:hAnsi="IRNazanin" w:eastAsia="IRNazanin" w:cs="IRNazanin"/>
          <w:lang w:bidi="fa-IR"/>
          <w:color w:val="111111"/>
          <w:sz w:val="28"/>
          <w:szCs w:val="28"/>
          <w:rtl/>
        </w:rPr>
        <w:t xml:space="preserve">نزیل الأحساء، و هو الخطیب الماهر المؤرخ المعاصر الملا داود بن الشیخ سلمان بن محمد بن عبد الله بن شهاب المنتهی نسبه إلی کعب بن عامر المولود فی دورق (1313) و دیوانه کبیر فی مراثی أهل البیت، و قد خرج من الطبع فی‏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314" w:name="pg11704_121794"/>
    <w:bookmarkEnd w:id="314"/>
    <w:p>
      <w:pPr>
        <w:pStyle w:val="BookText"/>
      </w:pPr>
      <w:r>
        <w:rPr>
          <w:rFonts w:ascii="IRNazanin" w:hAnsi="IRNazanin" w:eastAsia="IRNazanin" w:cs="IRNazanin"/>
          <w:lang w:bidi="fa-IR"/>
          <w:color w:val="111111"/>
          <w:sz w:val="28"/>
          <w:szCs w:val="28"/>
          <w:rtl/>
        </w:rPr>
        <w:t xml:space="preserve">(1371) کتابه الموسوم الدروع الداودیة فی معاجز العترة الأحمدیة فی أربع مجلدات فی تواریخ الأئمة الثمانیة من ولد الحسین من الإمام السجاد إلی العسکری، کل اثنین منهم فی مجلد، و أورد فی کل مجلد بعض المراثی الموجودة فی دیوانه، و هو شرح لثمانیة قصائد من القصائد التی نظمها السید العالم السید صالح بن السید مهدی الحسینی القزوینی النجفی البغدادی و سمی مجموعها الدرر الغرویة فی رثاء العترة المصطفویة و المجموع أربعة عشر قصیدة بعدد المعصومین کما ذکرناه فی (ج 8 ص 128).</w:t>
      </w:r>
    </w:p>
    <w:p>
      <w:pPr>
        <w:pStyle w:val="Heading3"/>
      </w:pPr>
      <w:bookmarkStart w:id="3730" w:name="_Toc2426"/>
      <w:r>
        <w:t>1883- دیوان داود الأصفهانی‏</w:t>
      </w:r>
      <w:bookmarkEnd w:id="3730"/>
    </w:p>
    <w:p>
      <w:pPr>
        <w:pStyle w:val="BookText"/>
      </w:pPr>
      <w:r>
        <w:rPr>
          <w:rFonts w:ascii="IRNazanin" w:hAnsi="IRNazanin" w:eastAsia="IRNazanin" w:cs="IRNazanin"/>
          <w:lang w:bidi="fa-IR"/>
          <w:color w:val="111111"/>
          <w:sz w:val="28"/>
          <w:szCs w:val="28"/>
          <w:rtl/>
        </w:rPr>
        <w:t xml:space="preserve">کذا عبر عنه فی ریاض العارفین لهدایت فی (ص 330) و عبر عنه النصرآبادی فی (نر 1- ص 14) بمیرزا داود و أورد رباعیة أنشأها بدیهة فی مدیح هذا الشاعر، و لکن یظهر من أول دیوانه الموجود فی (مکتبة سپهسالار) بطهران کما فی فهرسها (ج 2 ص 595) أن اسمه محمد داود و صرح به کذلک فی بعض أشعاره، و هو ابن المیرزا عبد الله بن المیرزا محمد شفیع المستوفی من أجلاء سادات أصفهان، و کان من طرف أمه من أسباط الشاه عباس الماضی ولد بأصفهان فی (1065) کما صرح به فی دیوانه و افتخر بمصاهرته للشاه سلیمان الصفوی کما فی (ض- ص 330) و بعده افتخر بتولیته للآستانة المقدسة الرضویة فی (1109) کما صرح به فی مطلع الشمس (ج 2 ص 337) و کان حیا إلی (1131) کما یظهر من تاریخه لوفاة المیرزا محسن فی هذا الدیوان المشتمل علی ثمانیة آلاف بیت و قال فی (تغ- ص 52) إنه مات (1133) و ترجمه أیضا فی (خوش‏گو) عن تذکره حزین و قد ذکر باقی خصوصیات الدیوان فی فهرس المکتبة، منها اشتماله علی مثنویة الموسوم نمکدان دین و مثنوی سفرنامه نظمه حین سافر من أصفهان إلی خراسان منصوبا للتولیة فی (1109) و قد توفی بالمشهد کما فی (تش- ص 175) و کان یتخلص باسمه و له سلطان الأنساب فی نظم نسب الشاه سلطان حسین الصفوی إلی قصی بن کلاب و قد نظمه حین کان عمره ست و ستین سنة و یأتی أن والده المیرزا عبد الله تخلصه عشق کما فی ریاض العارفین ص 330</w:t>
      </w:r>
    </w:p>
    <w:p>
      <w:pPr>
        <w:pStyle w:val="Heading3"/>
      </w:pPr>
      <w:bookmarkStart w:id="3731" w:name="_Toc2427"/>
      <w:r>
        <w:t>1884- دیوان محمد داود التویسرکانی‏</w:t>
      </w:r>
      <w:bookmarkEnd w:id="3731"/>
    </w:p>
    <w:p>
      <w:pPr>
        <w:pStyle w:val="BookText"/>
      </w:pPr>
      <w:r>
        <w:rPr>
          <w:rFonts w:ascii="IRNazanin" w:hAnsi="IRNazanin" w:eastAsia="IRNazanin" w:cs="IRNazanin"/>
          <w:lang w:bidi="fa-IR"/>
          <w:color w:val="111111"/>
          <w:sz w:val="28"/>
          <w:szCs w:val="28"/>
          <w:rtl/>
        </w:rPr>
        <w:t xml:space="preserve">ابن أخ القاضی حسن التویسرکانی، هاجر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315" w:name="pg11704_121795"/>
    <w:bookmarkEnd w:id="315"/>
    <w:p>
      <w:pPr>
        <w:pStyle w:val="BookText"/>
      </w:pPr>
      <w:r>
        <w:rPr>
          <w:rFonts w:ascii="IRNazanin" w:hAnsi="IRNazanin" w:eastAsia="IRNazanin" w:cs="IRNazanin"/>
          <w:lang w:bidi="fa-IR"/>
          <w:color w:val="111111"/>
          <w:sz w:val="28"/>
          <w:szCs w:val="28"/>
          <w:rtl/>
        </w:rPr>
        <w:t xml:space="preserve">إلی أصفهان لتحصیل العلم، و اشتغل علی علاء الدین حسین سلطان العلماء، و سافر أخیرا إلی الهند ثم دکن و بها توفی، کذا ترجمه معاصره النصرآبادی فی (نر 6- ص 201) و (روشن- ص 211)</w:t>
      </w:r>
    </w:p>
    <w:p>
      <w:pPr>
        <w:pStyle w:val="Heading3"/>
      </w:pPr>
      <w:bookmarkStart w:id="3732" w:name="_Toc2428"/>
      <w:r>
        <w:t>1885- دیوان الشیخ داود الجد حفصی‏</w:t>
      </w:r>
      <w:bookmarkEnd w:id="3732"/>
    </w:p>
    <w:p>
      <w:pPr>
        <w:pStyle w:val="BookText"/>
      </w:pPr>
      <w:r>
        <w:rPr>
          <w:rFonts w:ascii="IRNazanin" w:hAnsi="IRNazanin" w:eastAsia="IRNazanin" w:cs="IRNazanin"/>
          <w:lang w:bidi="fa-IR"/>
          <w:color w:val="111111"/>
          <w:sz w:val="28"/>
          <w:szCs w:val="28"/>
          <w:rtl/>
        </w:rPr>
        <w:t xml:space="preserve">توجد مراثیه فی مجموعة المراثی التی دونها الشیخ لطف الله بن علی بن لطف الله الجد حفصی فی (1201) و المجموعة موجودة فی النجف عند الخطیب محمد علی الیعقوبی‏</w:t>
      </w:r>
    </w:p>
    <w:p>
      <w:pPr>
        <w:pStyle w:val="Heading3"/>
      </w:pPr>
      <w:bookmarkStart w:id="3733" w:name="_Toc2429"/>
      <w:r>
        <w:t>1886- دیوان داور شیرازی‏</w:t>
      </w:r>
      <w:bookmarkEnd w:id="3733"/>
    </w:p>
    <w:p>
      <w:pPr>
        <w:pStyle w:val="BookText"/>
      </w:pPr>
      <w:r>
        <w:rPr>
          <w:rFonts w:ascii="IRNazanin" w:hAnsi="IRNazanin" w:eastAsia="IRNazanin" w:cs="IRNazanin"/>
          <w:lang w:bidi="fa-IR"/>
          <w:color w:val="111111"/>
          <w:sz w:val="28"/>
          <w:szCs w:val="28"/>
          <w:rtl/>
        </w:rPr>
        <w:t xml:space="preserve">هو الشیخ مفید بن محمد نبی بن کاظم البحرانی الشیرازی المعاصر المتخلص بداور المذکور فی (ج 1- ص 302) المتوفی (1325) لا (1307) کما فی ذیل کشف الظنون و المؤلف لگنج‏گوهر الذی طبعه فی (1320) و قد ترجمه مفصلا تلمیذه میرزا فرصت فی (عم- ص 26- 31) و ذکر تصانیفه المنظوم و المنثور و إنه جمع دیوانه الذی یتخلص فی أشعاره داور ولده الفاضل الشیخ عبد الحی المرتب لبعض تصانیفه الآخر</w:t>
      </w:r>
    </w:p>
    <w:p>
      <w:pPr>
        <w:pStyle w:val="Heading3"/>
      </w:pPr>
      <w:bookmarkStart w:id="3734" w:name="_Toc2430"/>
      <w:r>
        <w:t>1887- دیوان داور قاجار أو شعره‏</w:t>
      </w:r>
      <w:bookmarkEnd w:id="3734"/>
    </w:p>
    <w:p>
      <w:pPr>
        <w:pStyle w:val="BookText"/>
      </w:pPr>
      <w:r>
        <w:rPr>
          <w:rFonts w:ascii="IRNazanin" w:hAnsi="IRNazanin" w:eastAsia="IRNazanin" w:cs="IRNazanin"/>
          <w:lang w:bidi="fa-IR"/>
          <w:color w:val="111111"/>
          <w:sz w:val="28"/>
          <w:szCs w:val="28"/>
          <w:rtl/>
        </w:rPr>
        <w:t xml:space="preserve">للشاه‏زاده إمام‏ویردی میرزا ترجمه فی (مع- ج 1 ص 27) و ذکر شعره‏</w:t>
      </w:r>
    </w:p>
    <w:p>
      <w:pPr>
        <w:pStyle w:val="Heading3"/>
      </w:pPr>
      <w:bookmarkStart w:id="3735" w:name="_Toc2431"/>
      <w:r>
        <w:t>1888- دیوان داور همدانی‏</w:t>
      </w:r>
      <w:bookmarkEnd w:id="3735"/>
    </w:p>
    <w:p>
      <w:pPr>
        <w:pStyle w:val="BookText"/>
      </w:pPr>
      <w:r>
        <w:rPr>
          <w:rFonts w:ascii="IRNazanin" w:hAnsi="IRNazanin" w:eastAsia="IRNazanin" w:cs="IRNazanin"/>
          <w:lang w:bidi="fa-IR"/>
          <w:color w:val="111111"/>
          <w:sz w:val="28"/>
          <w:szCs w:val="28"/>
          <w:rtl/>
        </w:rPr>
        <w:t xml:space="preserve">الشاعر المعاصر طبع دیوانه بعنوان روان الوند فی (150 ص) بطهران‏</w:t>
      </w:r>
    </w:p>
    <w:p>
      <w:pPr>
        <w:pStyle w:val="Heading3"/>
      </w:pPr>
      <w:bookmarkStart w:id="3736" w:name="_Toc2432"/>
      <w:r>
        <w:t>1889- دیوان داوری آرانی‏</w:t>
      </w:r>
      <w:bookmarkEnd w:id="3736"/>
    </w:p>
    <w:p>
      <w:pPr>
        <w:pStyle w:val="BookText"/>
      </w:pPr>
      <w:r>
        <w:rPr>
          <w:rFonts w:ascii="IRNazanin" w:hAnsi="IRNazanin" w:eastAsia="IRNazanin" w:cs="IRNazanin"/>
          <w:lang w:bidi="fa-IR"/>
          <w:color w:val="111111"/>
          <w:sz w:val="28"/>
          <w:szCs w:val="28"/>
          <w:rtl/>
        </w:rPr>
        <w:t xml:space="preserve">کان قاضی آران من قری کاشان و کان کریه المنظر فهجاه المولی غیاث النجومی الکاشانی ترجمه معاصره النصرآبادی فی (نر 9- ص 308) و ذکر عدة من رباعیاته و ذکر فی (نر 13- ص 475) هجائه لمیر حیدر الکاشانی الذی ذکرناه فی (ص 270) و ترجمه أیضا فی (تش- ص 242) و سماه سلطان إبراهیم داوری و ذکر سفره إلی خراسان و کذا فی (روشن- ص 212)</w:t>
      </w:r>
    </w:p>
    <w:p>
      <w:pPr>
        <w:pStyle w:val="Heading3"/>
      </w:pPr>
      <w:bookmarkStart w:id="3737" w:name="_Toc2433"/>
      <w:r>
        <w:t>1890- دیوان داوری شیرازی‏</w:t>
      </w:r>
      <w:bookmarkEnd w:id="3737"/>
    </w:p>
    <w:p>
      <w:pPr>
        <w:pStyle w:val="BookText"/>
      </w:pPr>
      <w:r>
        <w:rPr>
          <w:rFonts w:ascii="IRNazanin" w:hAnsi="IRNazanin" w:eastAsia="IRNazanin" w:cs="IRNazanin"/>
          <w:lang w:bidi="fa-IR"/>
          <w:color w:val="111111"/>
          <w:sz w:val="28"/>
          <w:szCs w:val="28"/>
          <w:rtl/>
        </w:rPr>
        <w:t xml:space="preserve">و اسمه محمد، و هو ثالث ولد المیرزا کوچک الوصال الشیرازی ولد (1238) و توفی (1284) ترجمه فی گلشن وصال- ص 294- 399 و أورد أنواعا من شعره و کذا ترجمه و أورد کثیرا من شعره فی (مع- ج 2 ص 130) و فی (المآثر- ص 205) و (عم- ص 351) و (روشن- ص 212) و قد طبع دیوانه بشیراز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316" w:name="pg11704_121796"/>
    <w:bookmarkEnd w:id="316"/>
    <w:p>
      <w:pPr>
        <w:pStyle w:val="BookText"/>
      </w:pPr>
      <w:r>
        <w:rPr>
          <w:rFonts w:ascii="IRNazanin" w:hAnsi="IRNazanin" w:eastAsia="IRNazanin" w:cs="IRNazanin"/>
          <w:lang w:bidi="fa-IR"/>
          <w:color w:val="111111"/>
          <w:sz w:val="28"/>
          <w:szCs w:val="28"/>
          <w:rtl/>
        </w:rPr>
        <w:t xml:space="preserve">فی (1330 ش)</w:t>
      </w:r>
    </w:p>
    <w:p>
      <w:pPr>
        <w:pStyle w:val="Heading3"/>
      </w:pPr>
      <w:bookmarkStart w:id="3738" w:name="_Toc2434"/>
      <w:r>
        <w:t>دیوان الدباس‏</w:t>
      </w:r>
      <w:bookmarkEnd w:id="3738"/>
    </w:p>
    <w:p>
      <w:pPr>
        <w:pStyle w:val="BookText"/>
      </w:pPr>
      <w:r>
        <w:rPr>
          <w:rFonts w:ascii="IRNazanin" w:hAnsi="IRNazanin" w:eastAsia="IRNazanin" w:cs="IRNazanin"/>
          <w:lang w:bidi="fa-IR"/>
          <w:color w:val="111111"/>
          <w:sz w:val="28"/>
          <w:szCs w:val="28"/>
          <w:rtl/>
        </w:rPr>
        <w:t xml:space="preserve">راجع ابن الدباس فی (ص 21)</w:t>
      </w:r>
    </w:p>
    <w:p>
      <w:pPr>
        <w:pStyle w:val="Heading3"/>
      </w:pPr>
      <w:bookmarkStart w:id="3739" w:name="_Toc2435"/>
      <w:r>
        <w:t>1891- دیوان دبیر لکهنوی‏</w:t>
      </w:r>
      <w:bookmarkEnd w:id="3739"/>
    </w:p>
    <w:p>
      <w:pPr>
        <w:pStyle w:val="BookText"/>
      </w:pPr>
      <w:r>
        <w:rPr>
          <w:rFonts w:ascii="IRNazanin" w:hAnsi="IRNazanin" w:eastAsia="IRNazanin" w:cs="IRNazanin"/>
          <w:lang w:bidi="fa-IR"/>
          <w:color w:val="111111"/>
          <w:sz w:val="28"/>
          <w:szCs w:val="28"/>
          <w:rtl/>
        </w:rPr>
        <w:t xml:space="preserve">و هو المیرزا سلامت علی له کلیات مطبوع و مراثی کثیرة بالفارسیة و الأردویة مات (9- محرم- 1292) ترجمه فی (گلشن- ص 163) و کتب فی ترجمته أفضل حسین رسالة مستقلة کما مر فی (ج 7- ص 118) و لابنه المیرزا أوج أیضا دیوان فی المراثی فاتنا ذکره و سنذکره باسمه سبع المثانی‏</w:t>
      </w:r>
    </w:p>
    <w:p>
      <w:pPr>
        <w:pStyle w:val="Heading3"/>
      </w:pPr>
      <w:bookmarkStart w:id="3740" w:name="_Toc2436"/>
      <w:r>
        <w:t>1892- دیوان دبیر هندی أو شعره‏</w:t>
      </w:r>
      <w:bookmarkEnd w:id="3740"/>
    </w:p>
    <w:p>
      <w:pPr>
        <w:pStyle w:val="BookText"/>
      </w:pPr>
      <w:r>
        <w:rPr>
          <w:rFonts w:ascii="IRNazanin" w:hAnsi="IRNazanin" w:eastAsia="IRNazanin" w:cs="IRNazanin"/>
          <w:lang w:bidi="fa-IR"/>
          <w:color w:val="111111"/>
          <w:sz w:val="28"/>
          <w:szCs w:val="28"/>
          <w:rtl/>
        </w:rPr>
        <w:t xml:space="preserve">و هو المنشی ترائن ابن المنشی رام ابن جسونت، من تلامیذ سراج الدین خان آرزو مات (1205) أورد شعره فی (گلشن- ص 161)</w:t>
      </w:r>
    </w:p>
    <w:p>
      <w:pPr>
        <w:pStyle w:val="Heading3"/>
      </w:pPr>
      <w:bookmarkStart w:id="3741" w:name="_Toc2437"/>
      <w:r>
        <w:t>1893- دیوان دبیری أو شعره‏</w:t>
      </w:r>
      <w:bookmarkEnd w:id="3741"/>
    </w:p>
    <w:p>
      <w:pPr>
        <w:pStyle w:val="BookText"/>
      </w:pPr>
      <w:r>
        <w:rPr>
          <w:rFonts w:ascii="IRNazanin" w:hAnsi="IRNazanin" w:eastAsia="IRNazanin" w:cs="IRNazanin"/>
          <w:lang w:bidi="fa-IR"/>
          <w:color w:val="111111"/>
          <w:sz w:val="28"/>
          <w:szCs w:val="28"/>
          <w:rtl/>
        </w:rPr>
        <w:t xml:space="preserve">أورد شعره فی (گلشن- ص 165)</w:t>
      </w:r>
    </w:p>
    <w:p>
      <w:pPr>
        <w:pStyle w:val="Heading3"/>
      </w:pPr>
      <w:bookmarkStart w:id="3742" w:name="_Toc2438"/>
      <w:r>
        <w:t>1894- دیوان الدجیلی‏</w:t>
      </w:r>
      <w:bookmarkEnd w:id="3742"/>
    </w:p>
    <w:p>
      <w:pPr>
        <w:pStyle w:val="BookText"/>
      </w:pPr>
      <w:r>
        <w:rPr>
          <w:rFonts w:ascii="IRNazanin" w:hAnsi="IRNazanin" w:eastAsia="IRNazanin" w:cs="IRNazanin"/>
          <w:lang w:bidi="fa-IR"/>
          <w:color w:val="111111"/>
          <w:sz w:val="28"/>
          <w:szCs w:val="28"/>
          <w:rtl/>
        </w:rPr>
        <w:t xml:space="preserve">للشیخ حسن بن محسن بن أحمد بن عبد الله الدجیلی الأصل النجفی، المولود بها فی (1309) و المتوفی (1366) کان من تلامیذ المیرزا محمد حسین النائنی و کتب من تقریر بحثه حاشیة الکفایة، فرغ من مجلده الأول (1345) و من الثانی (1346) یوجد أن عند ولده الشیخ أحمد بن الحسن، و یوجد عنده” الشیخ أحمد” دیوان والده أیضا و قد فاتنا ذکر الحاشیة فی حرف الحاء</w:t>
      </w:r>
    </w:p>
    <w:p>
      <w:pPr>
        <w:pStyle w:val="Heading3"/>
      </w:pPr>
      <w:bookmarkStart w:id="3743" w:name="_Toc2439"/>
      <w:r>
        <w:t>1895- دیوان الدجیلی‏</w:t>
      </w:r>
      <w:bookmarkEnd w:id="3743"/>
    </w:p>
    <w:p>
      <w:pPr>
        <w:pStyle w:val="BookText"/>
      </w:pPr>
      <w:r>
        <w:rPr>
          <w:rFonts w:ascii="IRNazanin" w:hAnsi="IRNazanin" w:eastAsia="IRNazanin" w:cs="IRNazanin"/>
          <w:lang w:bidi="fa-IR"/>
          <w:color w:val="111111"/>
          <w:sz w:val="28"/>
          <w:szCs w:val="28"/>
          <w:rtl/>
        </w:rPr>
        <w:t xml:space="preserve">للشیخ حسین و الشیخ طاهر و الشیخ محسن الإخوة الثلاثة کلهم أبناء الشیخ أحمد بن عبد الله الدجیلی النجفی، و قد جمعه الشیخ حسن بن محسن المذکور و یوجد عند ولده الشیخ أحمد بن الحسن أیضا</w:t>
      </w:r>
    </w:p>
    <w:p>
      <w:pPr>
        <w:pStyle w:val="Heading3"/>
      </w:pPr>
      <w:bookmarkStart w:id="3744" w:name="_Toc2440"/>
      <w:r>
        <w:t>1896- دیوان الدجیلی‏</w:t>
      </w:r>
      <w:bookmarkEnd w:id="3744"/>
    </w:p>
    <w:p>
      <w:pPr>
        <w:pStyle w:val="BookText"/>
      </w:pPr>
      <w:r>
        <w:rPr>
          <w:rFonts w:ascii="IRNazanin" w:hAnsi="IRNazanin" w:eastAsia="IRNazanin" w:cs="IRNazanin"/>
          <w:lang w:bidi="fa-IR"/>
          <w:color w:val="111111"/>
          <w:sz w:val="28"/>
          <w:szCs w:val="28"/>
          <w:rtl/>
        </w:rPr>
        <w:t xml:space="preserve">للشیخ کاظم الدجیلی ذکره فی الأدب العصری‏</w:t>
      </w:r>
    </w:p>
    <w:p>
      <w:pPr>
        <w:pStyle w:val="Heading3"/>
      </w:pPr>
      <w:bookmarkStart w:id="3745" w:name="_Toc2441"/>
      <w:r>
        <w:t>1897- دیوان دخلی أصفهانی أو شعره‏</w:t>
      </w:r>
      <w:bookmarkEnd w:id="3745"/>
    </w:p>
    <w:p>
      <w:pPr>
        <w:pStyle w:val="BookText"/>
      </w:pPr>
      <w:r>
        <w:rPr>
          <w:rFonts w:ascii="IRNazanin" w:hAnsi="IRNazanin" w:eastAsia="IRNazanin" w:cs="IRNazanin"/>
          <w:lang w:bidi="fa-IR"/>
          <w:color w:val="111111"/>
          <w:sz w:val="28"/>
          <w:szCs w:val="28"/>
          <w:rtl/>
        </w:rPr>
        <w:t xml:space="preserve">ذهب إلی الهند فی عهد أکبر پادشاه و سلک فی خدمته أورد شعره فی (گلشن- ص 164) و ترجمه أیضا فی (خوش‏گو) عن هفت إقلیم‏</w:t>
      </w:r>
    </w:p>
    <w:p>
      <w:pPr>
        <w:pStyle w:val="Heading3"/>
      </w:pPr>
      <w:bookmarkStart w:id="3746" w:name="_Toc2442"/>
      <w:r>
        <w:t>1898- دیوان دخیل مراغه‏ای‏</w:t>
      </w:r>
      <w:bookmarkEnd w:id="3746"/>
    </w:p>
    <w:p>
      <w:pPr>
        <w:pStyle w:val="BookText"/>
      </w:pPr>
      <w:r>
        <w:rPr>
          <w:rFonts w:ascii="IRNazanin" w:hAnsi="IRNazanin" w:eastAsia="IRNazanin" w:cs="IRNazanin"/>
          <w:lang w:bidi="fa-IR"/>
          <w:color w:val="111111"/>
          <w:sz w:val="28"/>
          <w:szCs w:val="28"/>
          <w:rtl/>
        </w:rPr>
        <w:t xml:space="preserve">و هو المولی حسین المراغی من شعراء القرن الثالث عشر، کلها فی المراثی و قضایا الطف فی ست مجلدات بالترکیة طبع فی تبریز ذکره (دجا- ص 146) و ریحانة الأدب‏</w:t>
      </w:r>
    </w:p>
    <w:p>
      <w:pPr>
        <w:pStyle w:val="Heading3"/>
      </w:pPr>
      <w:bookmarkStart w:id="3747" w:name="_Toc2443"/>
      <w:r>
        <w:t>دیوان دخیل‏</w:t>
      </w:r>
      <w:bookmarkEnd w:id="3747"/>
    </w:p>
    <w:p>
      <w:pPr>
        <w:pStyle w:val="BookText"/>
      </w:pPr>
      <w:r>
        <w:rPr>
          <w:rFonts w:ascii="IRNazanin" w:hAnsi="IRNazanin" w:eastAsia="IRNazanin" w:cs="IRNazanin"/>
          <w:lang w:bidi="fa-IR"/>
          <w:color w:val="111111"/>
          <w:sz w:val="28"/>
          <w:szCs w:val="28"/>
          <w:rtl/>
        </w:rPr>
        <w:t xml:space="preserve">المعبر عنه بکلیات دخیل، فارسی مطبوع کما فی بعض الفهارس‏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317" w:name="pg11704_121797"/>
    <w:bookmarkEnd w:id="317"/>
    <w:p>
      <w:pPr>
        <w:pStyle w:val="Heading3"/>
      </w:pPr>
      <w:bookmarkStart w:id="3748" w:name="_Toc2444"/>
      <w:r>
        <w:t>1899- دیوان دخیلی گیلانی‏</w:t>
      </w:r>
      <w:bookmarkEnd w:id="3748"/>
    </w:p>
    <w:p>
      <w:pPr>
        <w:pStyle w:val="BookText"/>
      </w:pPr>
      <w:r>
        <w:rPr>
          <w:rFonts w:ascii="IRNazanin" w:hAnsi="IRNazanin" w:eastAsia="IRNazanin" w:cs="IRNazanin"/>
          <w:lang w:bidi="fa-IR"/>
          <w:color w:val="111111"/>
          <w:sz w:val="28"/>
          <w:szCs w:val="28"/>
          <w:rtl/>
        </w:rPr>
        <w:t xml:space="preserve">هو الملا آقا جان الملقب شمس ولد بقریة گراب سر فی (1253) و مات بقریة آقا دو برادران من نواحی رشت فی (26- محرم- 1353) عن مائة سنة ترجمه حفیده حسن شمس گیلانی ابن اعتماد بن الناظم، فی کتابه تاریخ علما و شعرای گیلان- ص 66 و نقل عن دیوانه المخطوط</w:t>
      </w:r>
    </w:p>
    <w:p>
      <w:pPr>
        <w:pStyle w:val="Heading3"/>
      </w:pPr>
      <w:bookmarkStart w:id="3749" w:name="_Toc2445"/>
      <w:r>
        <w:t>1900- دیوان دردی أصفهانی أو شعره‏</w:t>
      </w:r>
      <w:bookmarkEnd w:id="3749"/>
    </w:p>
    <w:p>
      <w:pPr>
        <w:pStyle w:val="BookText"/>
      </w:pPr>
      <w:r>
        <w:rPr>
          <w:rFonts w:ascii="IRNazanin" w:hAnsi="IRNazanin" w:eastAsia="IRNazanin" w:cs="IRNazanin"/>
          <w:lang w:bidi="fa-IR"/>
          <w:color w:val="111111"/>
          <w:sz w:val="28"/>
          <w:szCs w:val="28"/>
          <w:rtl/>
        </w:rPr>
        <w:t xml:space="preserve">و هو المیرزا إسماعیل بن إبراهیم، من شعراء أوائل القرن الرابع عشر بأصفهان کما ذکرناه فی (ج 8- ص 157) و یأتی فی دیوان غمگین أصفهانی‏</w:t>
      </w:r>
    </w:p>
    <w:p>
      <w:pPr>
        <w:pStyle w:val="Heading3"/>
      </w:pPr>
      <w:bookmarkStart w:id="3750" w:name="_Toc2446"/>
      <w:r>
        <w:t>1901- دیوان دردی أفشار</w:t>
      </w:r>
      <w:bookmarkEnd w:id="3750"/>
    </w:p>
    <w:p>
      <w:pPr>
        <w:pStyle w:val="BookText"/>
      </w:pPr>
      <w:r>
        <w:rPr>
          <w:rFonts w:ascii="IRNazanin" w:hAnsi="IRNazanin" w:eastAsia="IRNazanin" w:cs="IRNazanin"/>
          <w:lang w:bidi="fa-IR"/>
          <w:color w:val="111111"/>
          <w:sz w:val="28"/>
          <w:szCs w:val="28"/>
          <w:rtl/>
        </w:rPr>
        <w:t xml:space="preserve">من المعاصرین لصادقی ترجمه فی (خص 7- ص 128) و ذکر مطلع غزله المشتمل علی تخلصه دردی و فی (دجا- ص 146) نقل بعض شعره الآخر أیضا مع ما ذکره الصادقی لکنه نقله عن منتخبات إسحاق بیک المتخلص عذری التبریزی الذی کان من شعراء عصر الشاه عباس الماضی، لا عن کتاب الصادقی و ترجمه أیضا فی (تش- ص 13)</w:t>
      </w:r>
    </w:p>
    <w:p>
      <w:pPr>
        <w:pStyle w:val="Heading3"/>
      </w:pPr>
      <w:bookmarkStart w:id="3751" w:name="_Toc2447"/>
      <w:r>
        <w:t>1902- دیوان دردی تویسرکانی‏</w:t>
      </w:r>
      <w:bookmarkEnd w:id="3751"/>
    </w:p>
    <w:p>
      <w:pPr>
        <w:pStyle w:val="BookText"/>
      </w:pPr>
      <w:r>
        <w:rPr>
          <w:rFonts w:ascii="IRNazanin" w:hAnsi="IRNazanin" w:eastAsia="IRNazanin" w:cs="IRNazanin"/>
          <w:lang w:bidi="fa-IR"/>
          <w:color w:val="111111"/>
          <w:sz w:val="28"/>
          <w:szCs w:val="28"/>
          <w:rtl/>
        </w:rPr>
        <w:t xml:space="preserve">من توابع همدان و اسمه المیر إبراهیم، ترجمه الصادقی فی (خص 6- ص 92) و قال إنه فی عنفوان شبابه هاجر إلی همدان و کان مرتبطا معی، و فی برهة قلیلة تعلم الشعر و التصویر و اختار العزلة أخیرا فی کرمان فی آستانة الشاه‏ولی، و أورد عدة من أشعاره المشتمل بعضها علی تخلصه‏</w:t>
      </w:r>
    </w:p>
    <w:p>
      <w:pPr>
        <w:pStyle w:val="Heading3"/>
      </w:pPr>
      <w:bookmarkStart w:id="3752" w:name="_Toc2448"/>
      <w:r>
        <w:t>1903- دیوان دردی سمرقندی‏</w:t>
      </w:r>
      <w:bookmarkEnd w:id="3752"/>
    </w:p>
    <w:p>
      <w:pPr>
        <w:pStyle w:val="BookText"/>
      </w:pPr>
      <w:r>
        <w:rPr>
          <w:rFonts w:ascii="IRNazanin" w:hAnsi="IRNazanin" w:eastAsia="IRNazanin" w:cs="IRNazanin"/>
          <w:lang w:bidi="fa-IR"/>
          <w:color w:val="111111"/>
          <w:sz w:val="28"/>
          <w:szCs w:val="28"/>
          <w:rtl/>
        </w:rPr>
        <w:t xml:space="preserve">ترجمه فی (تش- ص 233) و قال: له شعر کثیر و کذا فی (روشن- ص 212)</w:t>
      </w:r>
    </w:p>
    <w:p>
      <w:pPr>
        <w:pStyle w:val="Heading3"/>
      </w:pPr>
      <w:bookmarkStart w:id="3753" w:name="_Toc2449"/>
      <w:r>
        <w:t>1904- دیوان درر الجواهر</w:t>
      </w:r>
      <w:bookmarkEnd w:id="3753"/>
    </w:p>
    <w:p>
      <w:pPr>
        <w:pStyle w:val="BookText"/>
      </w:pPr>
      <w:r>
        <w:rPr>
          <w:rFonts w:ascii="IRNazanin" w:hAnsi="IRNazanin" w:eastAsia="IRNazanin" w:cs="IRNazanin"/>
          <w:lang w:bidi="fa-IR"/>
          <w:color w:val="111111"/>
          <w:sz w:val="28"/>
          <w:szCs w:val="28"/>
          <w:rtl/>
        </w:rPr>
        <w:t xml:space="preserve">للشیخ محمد تقی بن عبد الرسول آل صاحب الجواهر المولود فی النجف (25- ذی الحجة- 1341) فی المناقب و المراثی رأیته بخطه‏</w:t>
      </w:r>
    </w:p>
    <w:p>
      <w:pPr>
        <w:pStyle w:val="Heading3"/>
      </w:pPr>
      <w:bookmarkStart w:id="3754" w:name="_Toc2450"/>
      <w:r>
        <w:t>دیوان درکانی‏</w:t>
      </w:r>
      <w:bookmarkEnd w:id="3754"/>
    </w:p>
    <w:p>
      <w:pPr>
        <w:pStyle w:val="BookText"/>
      </w:pPr>
      <w:r>
        <w:rPr>
          <w:rFonts w:ascii="IRNazanin" w:hAnsi="IRNazanin" w:eastAsia="IRNazanin" w:cs="IRNazanin"/>
          <w:lang w:bidi="fa-IR"/>
          <w:color w:val="111111"/>
          <w:sz w:val="28"/>
          <w:szCs w:val="28"/>
          <w:rtl/>
        </w:rPr>
        <w:t xml:space="preserve">هو جلال الدین المذکور فی (ص 199) قال سنگلاخ فی امتحان الفضلاء- ج 1 ص 133 إنه رأی دیوانه بخط شفیعا</w:t>
      </w:r>
    </w:p>
    <w:p>
      <w:pPr>
        <w:pStyle w:val="Heading3"/>
      </w:pPr>
      <w:bookmarkStart w:id="3755" w:name="_Toc2451"/>
      <w:r>
        <w:t>1905- دیوان درکی قمی‏</w:t>
      </w:r>
      <w:bookmarkEnd w:id="3755"/>
    </w:p>
    <w:p>
      <w:pPr>
        <w:pStyle w:val="BookText"/>
      </w:pPr>
      <w:r>
        <w:rPr>
          <w:rFonts w:ascii="IRNazanin" w:hAnsi="IRNazanin" w:eastAsia="IRNazanin" w:cs="IRNazanin"/>
          <w:lang w:bidi="fa-IR"/>
          <w:color w:val="111111"/>
          <w:sz w:val="28"/>
          <w:szCs w:val="28"/>
          <w:rtl/>
        </w:rPr>
        <w:t xml:space="preserve">للمولی درکی القمی ترجمه النصرآبادی فی (نر 9- ص 267) و قال إنه من شیبة الشعراء، أدرکته قبل ذلک بسنین فی أصفهان، و رأیت کلیاته تقرب من عشرین ألف بیت، و رجع إلی قم و بها توفی ثم أورد بعض شعره و کذا فی‏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18" w:name="pg11704_121798"/>
    <w:bookmarkEnd w:id="318"/>
    <w:p>
      <w:pPr>
        <w:pStyle w:val="BookText"/>
      </w:pPr>
      <w:r>
        <w:rPr>
          <w:rFonts w:ascii="IRNazanin" w:hAnsi="IRNazanin" w:eastAsia="IRNazanin" w:cs="IRNazanin"/>
          <w:lang w:bidi="fa-IR"/>
          <w:color w:val="111111"/>
          <w:sz w:val="28"/>
          <w:szCs w:val="28"/>
          <w:rtl/>
        </w:rPr>
        <w:t xml:space="preserve">(تش- ص 231) و (تغ- ص 52) و فی (خوش‏گو) أن دیوانه فی ألفی بیت و یوجد نسخه منه فی مکتبة (الملک) تحت رقم (5146) یشتمل علی (6500 بیت) و فیها تواریخ کثیرة</w:t>
      </w:r>
    </w:p>
    <w:p>
      <w:pPr>
        <w:pStyle w:val="Heading3"/>
      </w:pPr>
      <w:bookmarkStart w:id="3756" w:name="_Toc2452"/>
      <w:r>
        <w:t>1906- دیوان درکی نهاوندی أو شعره‏</w:t>
      </w:r>
      <w:bookmarkEnd w:id="3756"/>
    </w:p>
    <w:p>
      <w:pPr>
        <w:pStyle w:val="BookText"/>
      </w:pPr>
      <w:r>
        <w:rPr>
          <w:rFonts w:ascii="IRNazanin" w:hAnsi="IRNazanin" w:eastAsia="IRNazanin" w:cs="IRNazanin"/>
          <w:lang w:bidi="fa-IR"/>
          <w:color w:val="111111"/>
          <w:sz w:val="28"/>
          <w:szCs w:val="28"/>
          <w:rtl/>
        </w:rPr>
        <w:t xml:space="preserve">و اسمه آقا بابا من سکان جولک من قری نهاوند، و کان والده وزیر همدان فی عهد الشاه إسماعیل کذا ترجمه و أورد شعره فی (روشن- ص 213)</w:t>
      </w:r>
    </w:p>
    <w:p>
      <w:pPr>
        <w:pStyle w:val="Heading3"/>
      </w:pPr>
      <w:bookmarkStart w:id="3757" w:name="_Toc2453"/>
      <w:r>
        <w:t>1907- دیوان الدرمکی‏</w:t>
      </w:r>
      <w:bookmarkEnd w:id="3757"/>
    </w:p>
    <w:p>
      <w:pPr>
        <w:pStyle w:val="BookText"/>
      </w:pPr>
      <w:r>
        <w:rPr>
          <w:rFonts w:ascii="IRNazanin" w:hAnsi="IRNazanin" w:eastAsia="IRNazanin" w:cs="IRNazanin"/>
          <w:lang w:bidi="fa-IR"/>
          <w:color w:val="111111"/>
          <w:sz w:val="28"/>
          <w:szCs w:val="28"/>
          <w:rtl/>
        </w:rPr>
        <w:t xml:space="preserve">الذی ترجمه السماوی فی الطلیعة، و دیوانه موجود فی مکتبته” السماوی” کما ذکره لنا شفاها</w:t>
      </w:r>
    </w:p>
    <w:p>
      <w:pPr>
        <w:pStyle w:val="Heading3"/>
      </w:pPr>
      <w:bookmarkStart w:id="3758" w:name="_Toc2454"/>
      <w:r>
        <w:t>1908- دیوان درونی تبریزی‏</w:t>
      </w:r>
      <w:bookmarkEnd w:id="3758"/>
    </w:p>
    <w:p>
      <w:pPr>
        <w:pStyle w:val="BookText"/>
      </w:pPr>
      <w:r>
        <w:rPr>
          <w:rFonts w:ascii="IRNazanin" w:hAnsi="IRNazanin" w:eastAsia="IRNazanin" w:cs="IRNazanin"/>
          <w:lang w:bidi="fa-IR"/>
          <w:color w:val="111111"/>
          <w:sz w:val="28"/>
          <w:szCs w:val="28"/>
          <w:rtl/>
        </w:rPr>
        <w:t xml:space="preserve">ترجمه فی (دجا- ص 146) و نقل جملة من أشعاره التی دونها المیرزا صائب التبریزی المتوفی (1081) فی بیاضه‏</w:t>
      </w:r>
    </w:p>
    <w:p>
      <w:pPr>
        <w:pStyle w:val="Heading3"/>
      </w:pPr>
      <w:bookmarkStart w:id="3759" w:name="_Toc2455"/>
      <w:r>
        <w:t>1909- دیوان الخواجة درویش أو شعره‏</w:t>
      </w:r>
      <w:bookmarkEnd w:id="3759"/>
    </w:p>
    <w:p>
      <w:pPr>
        <w:pStyle w:val="BookText"/>
      </w:pPr>
      <w:r>
        <w:rPr>
          <w:rFonts w:ascii="IRNazanin" w:hAnsi="IRNazanin" w:eastAsia="IRNazanin" w:cs="IRNazanin"/>
          <w:lang w:bidi="fa-IR"/>
          <w:color w:val="111111"/>
          <w:sz w:val="28"/>
          <w:szCs w:val="28"/>
          <w:rtl/>
        </w:rPr>
        <w:t xml:space="preserve">ترجمه سام میرزا فی (تس 3- ص 58) و ذکر أنه وزیر کپک میرزا، و ذکر مطائبتهما و أورد مطلع غزله:</w:t>
      </w:r>
    </w:p>
    <w:p>
      <w:pPr>
        <w:pStyle w:val="BookText"/>
      </w:pPr>
      <w:r>
        <w:rPr>
          <w:rFonts w:ascii="IRNazanin" w:hAnsi="IRNazanin" w:eastAsia="IRNazanin" w:cs="IRNazanin"/>
          <w:lang w:bidi="fa-IR"/>
          <w:color w:val="111111"/>
          <w:sz w:val="28"/>
          <w:szCs w:val="28"/>
          <w:rtl/>
        </w:rPr>
        <w:t xml:space="preserve">چنان ضعیف شدم از غمش من درویش‏</w:t>
      </w:r>
    </w:p>
    <w:p>
      <w:pPr>
        <w:pStyle w:val="BookText"/>
      </w:pPr>
      <w:r>
        <w:rPr>
          <w:rFonts w:ascii="IRNazanin" w:hAnsi="IRNazanin" w:eastAsia="IRNazanin" w:cs="IRNazanin"/>
          <w:lang w:bidi="fa-IR"/>
          <w:color w:val="111111"/>
          <w:sz w:val="28"/>
          <w:szCs w:val="28"/>
          <w:rtl/>
        </w:rPr>
        <w:t xml:space="preserve">که سایه را نتوانم کشیدن از پس خویش‏</w:t>
      </w:r>
    </w:p>
    <w:p>
      <w:pPr>
        <w:pStyle w:val="Heading3"/>
      </w:pPr>
      <w:bookmarkStart w:id="3760" w:name="_Toc2456"/>
      <w:r>
        <w:t>1910- دیوان درویش‏</w:t>
      </w:r>
      <w:bookmarkEnd w:id="3760"/>
    </w:p>
    <w:p>
      <w:pPr>
        <w:pStyle w:val="BookText"/>
      </w:pPr>
      <w:r>
        <w:rPr>
          <w:rFonts w:ascii="IRNazanin" w:hAnsi="IRNazanin" w:eastAsia="IRNazanin" w:cs="IRNazanin"/>
          <w:lang w:bidi="fa-IR"/>
          <w:color w:val="111111"/>
          <w:sz w:val="28"/>
          <w:szCs w:val="28"/>
          <w:rtl/>
        </w:rPr>
        <w:t xml:space="preserve">للمیرزا إبراهیم خان الصحاف‏باشی المعاصر طبع (1322)</w:t>
      </w:r>
    </w:p>
    <w:p>
      <w:pPr>
        <w:pStyle w:val="Heading3"/>
      </w:pPr>
      <w:bookmarkStart w:id="3761" w:name="_Toc2457"/>
      <w:r>
        <w:t>1911- دیوان درویش أحمد خوانساری أو شعره‏</w:t>
      </w:r>
      <w:bookmarkEnd w:id="3761"/>
    </w:p>
    <w:p>
      <w:pPr>
        <w:pStyle w:val="BookText"/>
      </w:pPr>
      <w:r>
        <w:rPr>
          <w:rFonts w:ascii="IRNazanin" w:hAnsi="IRNazanin" w:eastAsia="IRNazanin" w:cs="IRNazanin"/>
          <w:lang w:bidi="fa-IR"/>
          <w:color w:val="111111"/>
          <w:sz w:val="28"/>
          <w:szCs w:val="28"/>
          <w:rtl/>
        </w:rPr>
        <w:t xml:space="preserve">ترجمه النصرآبادی فی (نر 9- ص 381) و أورد رباعیته و کذا فی (روشن- ص 164)</w:t>
      </w:r>
    </w:p>
    <w:p>
      <w:pPr>
        <w:pStyle w:val="Heading3"/>
      </w:pPr>
      <w:bookmarkStart w:id="3762" w:name="_Toc2458"/>
      <w:r>
        <w:t>دیوان درویش أشرف‏</w:t>
      </w:r>
      <w:bookmarkEnd w:id="3762"/>
    </w:p>
    <w:p>
      <w:pPr>
        <w:pStyle w:val="BookText"/>
      </w:pPr>
      <w:r>
        <w:rPr>
          <w:rFonts w:ascii="IRNazanin" w:hAnsi="IRNazanin" w:eastAsia="IRNazanin" w:cs="IRNazanin"/>
          <w:lang w:bidi="fa-IR"/>
          <w:color w:val="111111"/>
          <w:sz w:val="28"/>
          <w:szCs w:val="28"/>
          <w:rtl/>
        </w:rPr>
        <w:t xml:space="preserve">مر بعنوان دیوان أشرف کما هو المکتوب فی صدر کلیاته و لکن واله و تربیت عبرا عنه بدرویش أشرف‏</w:t>
      </w:r>
    </w:p>
    <w:p>
      <w:pPr>
        <w:pStyle w:val="Heading3"/>
      </w:pPr>
      <w:bookmarkStart w:id="3763" w:name="_Toc2459"/>
      <w:r>
        <w:t>1912- دیوان درویش بلبل أو شعره‏</w:t>
      </w:r>
      <w:bookmarkEnd w:id="3763"/>
    </w:p>
    <w:p>
      <w:pPr>
        <w:pStyle w:val="BookText"/>
      </w:pPr>
      <w:r>
        <w:rPr>
          <w:rFonts w:ascii="IRNazanin" w:hAnsi="IRNazanin" w:eastAsia="IRNazanin" w:cs="IRNazanin"/>
          <w:lang w:bidi="fa-IR"/>
          <w:color w:val="111111"/>
          <w:sz w:val="28"/>
          <w:szCs w:val="28"/>
          <w:rtl/>
        </w:rPr>
        <w:t xml:space="preserve">و هو المیرزا محمد تقی التبریزی من الشعراء بالترکیة و کان حیا فی (1265) ترجمه فی (دجا- ص 149) و حکی ترجمته عن حدیقة الشعراء</w:t>
      </w:r>
    </w:p>
    <w:p>
      <w:pPr>
        <w:pStyle w:val="Heading3"/>
      </w:pPr>
      <w:bookmarkStart w:id="3764" w:name="_Toc2460"/>
      <w:r>
        <w:t>1913- دیوان درویش بیک أو شعره‏</w:t>
      </w:r>
      <w:bookmarkEnd w:id="3764"/>
    </w:p>
    <w:p>
      <w:pPr>
        <w:pStyle w:val="BookText"/>
      </w:pPr>
      <w:r>
        <w:rPr>
          <w:rFonts w:ascii="IRNazanin" w:hAnsi="IRNazanin" w:eastAsia="IRNazanin" w:cs="IRNazanin"/>
          <w:lang w:bidi="fa-IR"/>
          <w:color w:val="111111"/>
          <w:sz w:val="28"/>
          <w:szCs w:val="28"/>
          <w:rtl/>
        </w:rPr>
        <w:t xml:space="preserve">و هو المیرزا علی بن اوبکو تیمور ترجمه الأمیر علی شیر فی (مجن 2- ص 54 و 227) و ذکر أن نسبه إلی أهل العلم ظاهر و لا یقل حسبه عن نسبه، و أورد مطلع غزله‏</w:t>
      </w:r>
    </w:p>
    <w:p>
      <w:pPr>
        <w:pStyle w:val="Heading3"/>
      </w:pPr>
      <w:bookmarkStart w:id="3765" w:name="_Toc2461"/>
      <w:r>
        <w:t>1914- دیوان مولانا درویشی التربتی أو شعره‏</w:t>
      </w:r>
      <w:bookmarkEnd w:id="3765"/>
    </w:p>
    <w:p>
      <w:pPr>
        <w:pStyle w:val="BookText"/>
      </w:pPr>
      <w:r>
        <w:rPr>
          <w:rFonts w:ascii="IRNazanin" w:hAnsi="IRNazanin" w:eastAsia="IRNazanin" w:cs="IRNazanin"/>
          <w:lang w:bidi="fa-IR"/>
          <w:color w:val="111111"/>
          <w:sz w:val="28"/>
          <w:szCs w:val="28"/>
          <w:rtl/>
        </w:rPr>
        <w:t xml:space="preserve">ترجمه سام میرزا فی (تس 5- ص 14) و أورد من أشعاره‏</w:t>
      </w:r>
    </w:p>
    <w:p>
      <w:pPr>
        <w:pStyle w:val="Heading3"/>
      </w:pPr>
      <w:bookmarkStart w:id="3766" w:name="_Toc2462"/>
      <w:r>
        <w:t>1915- دیوان درویش حیدر أو شعره‏</w:t>
      </w:r>
      <w:bookmarkEnd w:id="3766"/>
    </w:p>
    <w:p>
      <w:pPr>
        <w:pStyle w:val="BookText"/>
      </w:pPr>
      <w:r>
        <w:rPr>
          <w:rFonts w:ascii="IRNazanin" w:hAnsi="IRNazanin" w:eastAsia="IRNazanin" w:cs="IRNazanin"/>
          <w:lang w:bidi="fa-IR"/>
          <w:color w:val="111111"/>
          <w:sz w:val="28"/>
          <w:szCs w:val="28"/>
          <w:rtl/>
        </w:rPr>
        <w:t xml:space="preserve">کان من سلک الدراویش فی یزد لکنه لم یسأل‏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319" w:name="pg11704_121799"/>
    <w:bookmarkEnd w:id="319"/>
    <w:p>
      <w:pPr>
        <w:pStyle w:val="BookText"/>
      </w:pPr>
      <w:r>
        <w:rPr>
          <w:rFonts w:ascii="IRNazanin" w:hAnsi="IRNazanin" w:eastAsia="IRNazanin" w:cs="IRNazanin"/>
          <w:lang w:bidi="fa-IR"/>
          <w:color w:val="111111"/>
          <w:sz w:val="28"/>
          <w:szCs w:val="28"/>
          <w:rtl/>
        </w:rPr>
        <w:t xml:space="preserve">أحدا ذکره النصرآبادی فی (نر 9- ص 432) و ذکر رباعیة له‏</w:t>
      </w:r>
    </w:p>
    <w:p>
      <w:pPr>
        <w:pStyle w:val="Heading3"/>
      </w:pPr>
      <w:bookmarkStart w:id="3767" w:name="_Toc2463"/>
      <w:r>
        <w:t>1916- دیوان درویش سرخسی أو شعره‏</w:t>
      </w:r>
      <w:bookmarkEnd w:id="3767"/>
    </w:p>
    <w:p>
      <w:pPr>
        <w:pStyle w:val="BookText"/>
      </w:pPr>
      <w:r>
        <w:rPr>
          <w:rFonts w:ascii="IRNazanin" w:hAnsi="IRNazanin" w:eastAsia="IRNazanin" w:cs="IRNazanin"/>
          <w:lang w:bidi="fa-IR"/>
          <w:color w:val="111111"/>
          <w:sz w:val="28"/>
          <w:szCs w:val="28"/>
          <w:rtl/>
        </w:rPr>
        <w:t xml:space="preserve">قال فی (مجتس 6- ص 168) إنه کان عامیا و أورد شعره‏</w:t>
      </w:r>
    </w:p>
    <w:p>
      <w:pPr>
        <w:pStyle w:val="Heading3"/>
      </w:pPr>
      <w:bookmarkStart w:id="3768" w:name="_Toc2464"/>
      <w:r>
        <w:t>1917- دیوان درویش دهکی‏</w:t>
      </w:r>
      <w:bookmarkEnd w:id="3768"/>
    </w:p>
    <w:p>
      <w:pPr>
        <w:pStyle w:val="BookText"/>
      </w:pPr>
      <w:r>
        <w:rPr>
          <w:rFonts w:ascii="IRNazanin" w:hAnsi="IRNazanin" w:eastAsia="IRNazanin" w:cs="IRNazanin"/>
          <w:lang w:bidi="fa-IR"/>
          <w:color w:val="111111"/>
          <w:sz w:val="28"/>
          <w:szCs w:val="28"/>
          <w:rtl/>
        </w:rPr>
        <w:t xml:space="preserve">و دهک محله من محلات قزوین و أشعاره متین بلغ خبره إلی سلطان یعقوب المتوفی (896) فأحضره فأنشأ بدیهة بیتا عرف الحاضرون منه قوة طبعه ترجمه سام میرزا فی (تس 5- ص 107) و أورد بعض شعره الذی استحسنه الجامی و ترجمه الأمیر علی شیر فی (مجن 6- ص 118 و 290) و ذکر أنه من أول ما نظم الشعر إلی حین تألیفه للمجالس لم یصل إلیه شعر من طرف العراق أحسن من شعر دهکی و قال الحکیم شاه محمد فی ترجمته فی (قز مج 6- ص 292) إن لدرویش دهکی من دون مبالغة ألفی مطلع لا نظیر لها و ترجمه فی (تش ص 224) و قد رأی سنگلاخ نسختین من دیوانه فذکرهما فی امتحان الفضلاء (ج 1 ص 160 و ج 2 ص 142) و ترجمه فی (خوش‏گو) عن هفت إقلیم و المجالس و ذکر فی (حسینی- ص 122) مدح جامی له و ذمه للجامی و ذکر دیوانه‏</w:t>
      </w:r>
    </w:p>
    <w:p>
      <w:pPr>
        <w:pStyle w:val="Heading3"/>
      </w:pPr>
      <w:bookmarkStart w:id="3769" w:name="_Toc2465"/>
      <w:r>
        <w:t>1918- دیوان درویش سهراب‏</w:t>
      </w:r>
      <w:bookmarkEnd w:id="3769"/>
    </w:p>
    <w:p>
      <w:pPr>
        <w:pStyle w:val="BookText"/>
      </w:pPr>
      <w:r>
        <w:rPr>
          <w:rFonts w:ascii="IRNazanin" w:hAnsi="IRNazanin" w:eastAsia="IRNazanin" w:cs="IRNazanin"/>
          <w:lang w:bidi="fa-IR"/>
          <w:color w:val="111111"/>
          <w:sz w:val="28"/>
          <w:szCs w:val="28"/>
          <w:rtl/>
        </w:rPr>
        <w:t xml:space="preserve">یأتی فی الهاء بتخلصه همائی‏</w:t>
      </w:r>
    </w:p>
    <w:p>
      <w:pPr>
        <w:pStyle w:val="Heading3"/>
      </w:pPr>
      <w:bookmarkStart w:id="3770" w:name="_Toc2466"/>
      <w:r>
        <w:t>1919- دیوان درویش صادق أو شعره‏</w:t>
      </w:r>
      <w:bookmarkEnd w:id="3770"/>
    </w:p>
    <w:p>
      <w:pPr>
        <w:pStyle w:val="BookText"/>
      </w:pPr>
      <w:r>
        <w:rPr>
          <w:rFonts w:ascii="IRNazanin" w:hAnsi="IRNazanin" w:eastAsia="IRNazanin" w:cs="IRNazanin"/>
          <w:lang w:bidi="fa-IR"/>
          <w:color w:val="111111"/>
          <w:sz w:val="28"/>
          <w:szCs w:val="28"/>
          <w:rtl/>
        </w:rPr>
        <w:t xml:space="preserve">و هو الذی بنی له مرتضی قلی خان فی أصفهان تکیة فی مزار بابا رکن الدین ذکره النصرآبادی فی (نر 9- ص 211)</w:t>
      </w:r>
    </w:p>
    <w:p>
      <w:pPr>
        <w:pStyle w:val="Heading3"/>
      </w:pPr>
      <w:bookmarkStart w:id="3771" w:name="_Toc2467"/>
      <w:r>
        <w:t>1920- دیوان درویش محمد صالح الأصفهانی أو شعره‏</w:t>
      </w:r>
      <w:bookmarkEnd w:id="3771"/>
    </w:p>
    <w:p>
      <w:pPr>
        <w:pStyle w:val="BookText"/>
      </w:pPr>
      <w:r>
        <w:rPr>
          <w:rFonts w:ascii="IRNazanin" w:hAnsi="IRNazanin" w:eastAsia="IRNazanin" w:cs="IRNazanin"/>
          <w:lang w:bidi="fa-IR"/>
          <w:color w:val="111111"/>
          <w:sz w:val="28"/>
          <w:szCs w:val="28"/>
          <w:rtl/>
        </w:rPr>
        <w:t xml:space="preserve">و هو الذی بنی له الشاه عباس الثانی تکیة مصفاة مغصوبة فنزل هو بها و لم یطل حتی توفی و دفن بها ترجمه النصرآبادی فی (نر 8- ص 209) و أورد جملة من أشعاره و منها الملمع من الفارسیة و الترکیة</w:t>
      </w:r>
    </w:p>
    <w:p>
      <w:pPr>
        <w:pStyle w:val="Heading3"/>
      </w:pPr>
      <w:bookmarkStart w:id="3772" w:name="_Toc2468"/>
      <w:r>
        <w:t>دیوان درویش عبد المجید الطالقانی‏</w:t>
      </w:r>
      <w:bookmarkEnd w:id="3772"/>
    </w:p>
    <w:p>
      <w:pPr>
        <w:pStyle w:val="BookText"/>
      </w:pPr>
      <w:r>
        <w:rPr>
          <w:rFonts w:ascii="IRNazanin" w:hAnsi="IRNazanin" w:eastAsia="IRNazanin" w:cs="IRNazanin"/>
          <w:lang w:bidi="fa-IR"/>
          <w:color w:val="111111"/>
          <w:sz w:val="28"/>
          <w:szCs w:val="28"/>
          <w:rtl/>
        </w:rPr>
        <w:t xml:space="preserve">مر بعنوان خموش طالقانی و یأتی درویش مجید</w:t>
      </w:r>
    </w:p>
    <w:p>
      <w:pPr>
        <w:pStyle w:val="Heading3"/>
      </w:pPr>
      <w:bookmarkStart w:id="3773" w:name="_Toc2469"/>
      <w:r>
        <w:t>دیوان درویش عزیز الله‏</w:t>
      </w:r>
      <w:bookmarkEnd w:id="3773"/>
    </w:p>
    <w:p>
      <w:pPr>
        <w:pStyle w:val="BookText"/>
      </w:pPr>
      <w:r>
        <w:rPr>
          <w:rFonts w:ascii="IRNazanin" w:hAnsi="IRNazanin" w:eastAsia="IRNazanin" w:cs="IRNazanin"/>
          <w:lang w:bidi="fa-IR"/>
          <w:color w:val="111111"/>
          <w:sz w:val="28"/>
          <w:szCs w:val="28"/>
          <w:rtl/>
        </w:rPr>
        <w:t xml:space="preserve">راجع اسمه عزیز الله‏</w:t>
      </w:r>
    </w:p>
    <w:p>
      <w:pPr>
        <w:pStyle w:val="Heading3"/>
      </w:pPr>
      <w:bookmarkStart w:id="3774" w:name="_Toc2470"/>
      <w:r>
        <w:t>1921- دیوان مولانا درویش علی أو شعره‏</w:t>
      </w:r>
      <w:bookmarkEnd w:id="3774"/>
    </w:p>
    <w:p>
      <w:pPr>
        <w:pStyle w:val="BookText"/>
      </w:pPr>
      <w:r>
        <w:rPr>
          <w:rFonts w:ascii="IRNazanin" w:hAnsi="IRNazanin" w:eastAsia="IRNazanin" w:cs="IRNazanin"/>
          <w:lang w:bidi="fa-IR"/>
          <w:color w:val="111111"/>
          <w:sz w:val="28"/>
          <w:szCs w:val="28"/>
          <w:rtl/>
        </w:rPr>
        <w:t xml:space="preserve">و هو الطبیب الماهر المسلم عند معاصریه و کان والده شماعا، ترجمه الأمیر علی شیر فی (مجن 3- ص 83 و 257) و ذکر مطلع غزله و معمی من معمیاته التی کان یتوجه إلی نظمها غالبا</w:t>
      </w:r>
    </w:p>
    <w:p>
      <w:pPr>
        <w:pStyle w:val="Heading3"/>
      </w:pPr>
      <w:bookmarkStart w:id="3775" w:name="_Toc2471"/>
      <w:r>
        <w:t>1922- دیوان الخواجة درویش غیاث أو شعره‏</w:t>
      </w:r>
      <w:bookmarkEnd w:id="3775"/>
    </w:p>
    <w:p>
      <w:pPr>
        <w:pStyle w:val="BookText"/>
      </w:pPr>
      <w:r>
        <w:rPr>
          <w:rFonts w:ascii="IRNazanin" w:hAnsi="IRNazanin" w:eastAsia="IRNazanin" w:cs="IRNazanin"/>
          <w:lang w:bidi="fa-IR"/>
          <w:color w:val="111111"/>
          <w:sz w:val="28"/>
          <w:szCs w:val="28"/>
          <w:rtl/>
        </w:rPr>
        <w:t xml:space="preserve">و هو أخ الخواجة مظفر بن الخواجة فخر الدین التپکچی، ترجمه سام میرزا فی (تس 3- 57) و أورد مطلع غزله‏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20" w:name="pg11704_121800"/>
    <w:bookmarkEnd w:id="320"/>
    <w:p>
      <w:pPr>
        <w:pStyle w:val="Heading3"/>
      </w:pPr>
      <w:bookmarkStart w:id="3776" w:name="_Toc2472"/>
      <w:r>
        <w:t>1923- دیوان درویش قائنی أو شعره‏</w:t>
      </w:r>
      <w:bookmarkEnd w:id="3776"/>
    </w:p>
    <w:p>
      <w:pPr>
        <w:pStyle w:val="BookText"/>
      </w:pPr>
      <w:r>
        <w:rPr>
          <w:rFonts w:ascii="IRNazanin" w:hAnsi="IRNazanin" w:eastAsia="IRNazanin" w:cs="IRNazanin"/>
          <w:lang w:bidi="fa-IR"/>
          <w:color w:val="111111"/>
          <w:sz w:val="28"/>
          <w:szCs w:val="28"/>
          <w:rtl/>
        </w:rPr>
        <w:t xml:space="preserve">کان نزیل أصفهان سنین، ترجمه معاصره فی (مع- ج 2- ص 129) و أورد شعره‏</w:t>
      </w:r>
    </w:p>
    <w:p>
      <w:pPr>
        <w:pStyle w:val="Heading3"/>
      </w:pPr>
      <w:bookmarkStart w:id="3777" w:name="_Toc2473"/>
      <w:r>
        <w:t>1924- دیوان درویش کاهن أو شعره‏</w:t>
      </w:r>
      <w:bookmarkEnd w:id="3777"/>
    </w:p>
    <w:p>
      <w:pPr>
        <w:pStyle w:val="BookText"/>
      </w:pPr>
      <w:r>
        <w:rPr>
          <w:rFonts w:ascii="IRNazanin" w:hAnsi="IRNazanin" w:eastAsia="IRNazanin" w:cs="IRNazanin"/>
          <w:lang w:bidi="fa-IR"/>
          <w:color w:val="111111"/>
          <w:sz w:val="28"/>
          <w:szCs w:val="28"/>
          <w:rtl/>
        </w:rPr>
        <w:t xml:space="preserve">و هو التبریزی الأصل، القزوینی ثم الشیرازی المأوی، جال العالم بزی الدراویش ترجمه فی (دجا- ص 149) و حکی بعض رباعیاته عن النصرآبادی الذی ترجمه فی (نر 9- ص 309)</w:t>
      </w:r>
    </w:p>
    <w:p>
      <w:pPr>
        <w:pStyle w:val="Heading3"/>
      </w:pPr>
      <w:bookmarkStart w:id="3778" w:name="_Toc2474"/>
      <w:r>
        <w:t>دیوان درویش مجید طالقانی‏</w:t>
      </w:r>
      <w:bookmarkEnd w:id="3778"/>
    </w:p>
    <w:p>
      <w:pPr>
        <w:pStyle w:val="BookText"/>
      </w:pPr>
      <w:r>
        <w:rPr>
          <w:rFonts w:ascii="IRNazanin" w:hAnsi="IRNazanin" w:eastAsia="IRNazanin" w:cs="IRNazanin"/>
          <w:lang w:bidi="fa-IR"/>
          <w:color w:val="111111"/>
          <w:sz w:val="28"/>
          <w:szCs w:val="28"/>
          <w:rtl/>
        </w:rPr>
        <w:t xml:space="preserve">مر بعنوان خموش طالقانی و ذکرناه هنا لاشتهاره به، فقد ذکر سنگلاخ فی امتحان الفضلاء (ج 2 ص 40) أن الخطاطین یعبرون عن درویش عبد المجید و عن الملا درویش الدرویشین و قیل إن عبد المجید کان یتخلص مجید کما سیجی‏ء فی المیم و قیل فی تاریخ وفاته [جعل الجنة مثواه‏] کما فی ریحانة الأدب عن (عم- ص 545)</w:t>
      </w:r>
    </w:p>
    <w:p>
      <w:pPr>
        <w:pStyle w:val="Heading3"/>
      </w:pPr>
      <w:bookmarkStart w:id="3779" w:name="_Toc2475"/>
      <w:r>
        <w:t>1925- دیوان ملا درویش محمد خراسانی أو شعره‏</w:t>
      </w:r>
      <w:bookmarkEnd w:id="3779"/>
    </w:p>
    <w:p>
      <w:pPr>
        <w:pStyle w:val="BookText"/>
      </w:pPr>
      <w:r>
        <w:rPr>
          <w:rFonts w:ascii="IRNazanin" w:hAnsi="IRNazanin" w:eastAsia="IRNazanin" w:cs="IRNazanin"/>
          <w:lang w:bidi="fa-IR"/>
          <w:color w:val="111111"/>
          <w:sz w:val="28"/>
          <w:szCs w:val="28"/>
          <w:rtl/>
        </w:rPr>
        <w:t xml:space="preserve">کان تلمیذ بهزاد النقاش و فی مدة یسیرة أکمل هذه الصنعة ترجمه و ذکر شعره فی (مجتس 6- ص 154)</w:t>
      </w:r>
    </w:p>
    <w:p>
      <w:pPr>
        <w:pStyle w:val="Heading3"/>
      </w:pPr>
      <w:bookmarkStart w:id="3780" w:name="_Toc2476"/>
      <w:r>
        <w:t>1926- دیوان درویش مشهدی أو شعره‏</w:t>
      </w:r>
      <w:bookmarkEnd w:id="3780"/>
    </w:p>
    <w:p>
      <w:pPr>
        <w:pStyle w:val="BookText"/>
      </w:pPr>
      <w:r>
        <w:rPr>
          <w:rFonts w:ascii="IRNazanin" w:hAnsi="IRNazanin" w:eastAsia="IRNazanin" w:cs="IRNazanin"/>
          <w:lang w:bidi="fa-IR"/>
          <w:color w:val="111111"/>
          <w:sz w:val="28"/>
          <w:szCs w:val="28"/>
          <w:rtl/>
        </w:rPr>
        <w:t xml:space="preserve">ترجمه المیر علی شیر فی (مجن 3- ص 63 و 236) و قال إنه هجاء بذی اللسان و زاد الفخری فی الترجمة قال إنه فوق ما وصفه المیر علی شیر و لکن عفی عنه بهذا المطلع:</w:t>
      </w:r>
    </w:p>
    <w:p>
      <w:pPr>
        <w:pStyle w:val="BookText"/>
      </w:pPr>
      <w:r>
        <w:rPr>
          <w:rFonts w:ascii="IRNazanin" w:hAnsi="IRNazanin" w:eastAsia="IRNazanin" w:cs="IRNazanin"/>
          <w:lang w:bidi="fa-IR"/>
          <w:color w:val="111111"/>
          <w:sz w:val="28"/>
          <w:szCs w:val="28"/>
          <w:rtl/>
        </w:rPr>
        <w:t xml:space="preserve">الهی شیوه روزی کن این نفس سگ آسا را</w:t>
      </w:r>
    </w:p>
    <w:p>
      <w:pPr>
        <w:pStyle w:val="BookText"/>
      </w:pPr>
      <w:r>
        <w:rPr>
          <w:rFonts w:ascii="IRNazanin" w:hAnsi="IRNazanin" w:eastAsia="IRNazanin" w:cs="IRNazanin"/>
          <w:lang w:bidi="fa-IR"/>
          <w:color w:val="111111"/>
          <w:sz w:val="28"/>
          <w:szCs w:val="28"/>
          <w:rtl/>
        </w:rPr>
        <w:t xml:space="preserve">که از درهای دونان بهر نان فارغ کند ما را</w:t>
      </w:r>
    </w:p>
    <w:p>
      <w:pPr>
        <w:pStyle w:val="Heading3"/>
      </w:pPr>
      <w:bookmarkStart w:id="3781" w:name="_Toc2477"/>
      <w:r>
        <w:t>1927- دیوان درویش مقصود تیرگر</w:t>
      </w:r>
      <w:bookmarkEnd w:id="3781"/>
    </w:p>
    <w:p>
      <w:pPr>
        <w:pStyle w:val="BookText"/>
      </w:pPr>
      <w:r>
        <w:rPr>
          <w:rFonts w:ascii="IRNazanin" w:hAnsi="IRNazanin" w:eastAsia="IRNazanin" w:cs="IRNazanin"/>
          <w:lang w:bidi="fa-IR"/>
          <w:color w:val="111111"/>
          <w:sz w:val="28"/>
          <w:szCs w:val="28"/>
          <w:rtl/>
        </w:rPr>
        <w:t xml:space="preserve">رأی سنگلاخ دیوانه بخط سلطان محمد نورا، فذکره فی (ج 1 ص 115) من امتحان الفضلاء</w:t>
      </w:r>
    </w:p>
    <w:p>
      <w:pPr>
        <w:pStyle w:val="Heading3"/>
      </w:pPr>
      <w:bookmarkStart w:id="3782" w:name="_Toc2478"/>
      <w:r>
        <w:t>دیوان درویش ناصر بخاری‏</w:t>
      </w:r>
      <w:bookmarkEnd w:id="3782"/>
    </w:p>
    <w:p>
      <w:pPr>
        <w:pStyle w:val="BookText"/>
      </w:pPr>
      <w:r>
        <w:rPr>
          <w:rFonts w:ascii="IRNazanin" w:hAnsi="IRNazanin" w:eastAsia="IRNazanin" w:cs="IRNazanin"/>
          <w:lang w:bidi="fa-IR"/>
          <w:color w:val="111111"/>
          <w:sz w:val="28"/>
          <w:szCs w:val="28"/>
          <w:rtl/>
        </w:rPr>
        <w:t xml:space="preserve">یأتی فی النون بعنوان تخلصه ناصر</w:t>
      </w:r>
    </w:p>
    <w:p>
      <w:pPr>
        <w:pStyle w:val="Heading3"/>
      </w:pPr>
      <w:bookmarkStart w:id="3783" w:name="_Toc2479"/>
      <w:r>
        <w:t>1928- دیوان درویش نصیرا القزوینی‏</w:t>
      </w:r>
      <w:bookmarkEnd w:id="3783"/>
    </w:p>
    <w:p>
      <w:pPr>
        <w:pStyle w:val="BookText"/>
      </w:pPr>
      <w:r>
        <w:rPr>
          <w:rFonts w:ascii="IRNazanin" w:hAnsi="IRNazanin" w:eastAsia="IRNazanin" w:cs="IRNazanin"/>
          <w:lang w:bidi="fa-IR"/>
          <w:color w:val="111111"/>
          <w:sz w:val="28"/>
          <w:szCs w:val="28"/>
          <w:rtl/>
        </w:rPr>
        <w:t xml:space="preserve">و اسمه آخوند نصیر ذکر النصرآبادی مهاجرته من قزوین مع أستاذه فی الحساب درویش طفیل الیزدی، و وروده بأصفهان و تلمذه علی مولانا محمد مؤمن التبریزی فی أکثر العلوم و قراءته علی الآقا حسین الخوانساری أیضا، و ذکر شده مصاحبته معه و احتراق قلبه بوفاته فی (1079) و ذکر بعض معمیاته فی (نر 15- ص 530)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321" w:name="pg11704_121801"/>
    <w:bookmarkEnd w:id="321"/>
    <w:p>
      <w:pPr>
        <w:pStyle w:val="Heading3"/>
      </w:pPr>
      <w:bookmarkStart w:id="3784" w:name="_Toc2480"/>
      <w:r>
        <w:t>دیوان درویش محمد هاشم‏</w:t>
      </w:r>
      <w:bookmarkEnd w:id="3784"/>
    </w:p>
    <w:p>
      <w:pPr>
        <w:pStyle w:val="BookText"/>
      </w:pPr>
      <w:r>
        <w:rPr>
          <w:rFonts w:ascii="IRNazanin" w:hAnsi="IRNazanin" w:eastAsia="IRNazanin" w:cs="IRNazanin"/>
          <w:lang w:bidi="fa-IR"/>
          <w:color w:val="111111"/>
          <w:sz w:val="28"/>
          <w:szCs w:val="28"/>
          <w:rtl/>
        </w:rPr>
        <w:t xml:space="preserve">یأتی فی الهاء بعنوان هاشم‏</w:t>
      </w:r>
    </w:p>
    <w:p>
      <w:pPr>
        <w:pStyle w:val="Heading3"/>
      </w:pPr>
      <w:bookmarkStart w:id="3785" w:name="_Toc2481"/>
      <w:r>
        <w:t>1929- دیوان درویش یوسف کشمیری أو شعره‏</w:t>
      </w:r>
      <w:bookmarkEnd w:id="3785"/>
    </w:p>
    <w:p>
      <w:pPr>
        <w:pStyle w:val="BookText"/>
      </w:pPr>
      <w:r>
        <w:rPr>
          <w:rFonts w:ascii="IRNazanin" w:hAnsi="IRNazanin" w:eastAsia="IRNazanin" w:cs="IRNazanin"/>
          <w:lang w:bidi="fa-IR"/>
          <w:color w:val="111111"/>
          <w:sz w:val="28"/>
          <w:szCs w:val="28"/>
          <w:rtl/>
        </w:rPr>
        <w:t xml:space="preserve">کان نزیل أصفهان و متصلا بوقائع نویس و أقاربه ذکر النصرآبادی فی (نر 6- ص 204) أنه توفی قبل حال التألیف (1083) و أورد شعره‏</w:t>
      </w:r>
    </w:p>
    <w:p>
      <w:pPr>
        <w:pStyle w:val="Heading3"/>
      </w:pPr>
      <w:bookmarkStart w:id="3786" w:name="_Toc2482"/>
      <w:r>
        <w:t>1930- دیوان درویش یوسف اللاری أو شعره‏</w:t>
      </w:r>
      <w:bookmarkEnd w:id="3786"/>
    </w:p>
    <w:p>
      <w:pPr>
        <w:pStyle w:val="BookText"/>
      </w:pPr>
      <w:r>
        <w:rPr>
          <w:rFonts w:ascii="IRNazanin" w:hAnsi="IRNazanin" w:eastAsia="IRNazanin" w:cs="IRNazanin"/>
          <w:lang w:bidi="fa-IR"/>
          <w:color w:val="111111"/>
          <w:sz w:val="28"/>
          <w:szCs w:val="28"/>
          <w:rtl/>
        </w:rPr>
        <w:t xml:space="preserve">و هو الذی اعتنق الدین الإسلامی و ترک ملة الیهود و اشتغل بالعلوم حتی برع فیها ترجمه النصرآبادی أیضا فی (نر 6- ص 204) و ذکر أنه فی حال التألیف ابتلی بالازدواج و دعا لنجاته منه، و أورد بعض رباعیاته ثم إنه فی (نر 15- ص 537) أورد معمیاته‏</w:t>
      </w:r>
    </w:p>
    <w:p>
      <w:pPr>
        <w:pStyle w:val="Heading3"/>
      </w:pPr>
      <w:bookmarkStart w:id="3787" w:name="_Toc2483"/>
      <w:r>
        <w:t>1931- دیوان دریای چهار محالی أصفهانی‏</w:t>
      </w:r>
      <w:bookmarkEnd w:id="3787"/>
    </w:p>
    <w:p>
      <w:pPr>
        <w:pStyle w:val="BookText"/>
      </w:pPr>
      <w:r>
        <w:rPr>
          <w:rFonts w:ascii="IRNazanin" w:hAnsi="IRNazanin" w:eastAsia="IRNazanin" w:cs="IRNazanin"/>
          <w:lang w:bidi="fa-IR"/>
          <w:color w:val="111111"/>
          <w:sz w:val="28"/>
          <w:szCs w:val="28"/>
          <w:rtl/>
        </w:rPr>
        <w:t xml:space="preserve">و هو المیرزا لطف الله بن المیرزا عبد الوهاب قطرة الأصفهانی، من شعراء السلطان محمد شاه القاجار، ترجمه معاصره فی (مع- ج 2 ص 129) و ذکر أنه من أول شبابه کان شاعرا مداحا، و له دیوان لکنه لیس حاضرا عندی، ثم أورد جملة من شعره و أورد فی المدائح المعتمدیة قصیدته‏</w:t>
      </w:r>
    </w:p>
    <w:p>
      <w:pPr>
        <w:pStyle w:val="Heading3"/>
      </w:pPr>
      <w:bookmarkStart w:id="3788" w:name="_Toc2484"/>
      <w:r>
        <w:t>1932- دیوان دری شوشتری أو شعره‏</w:t>
      </w:r>
      <w:bookmarkEnd w:id="3788"/>
    </w:p>
    <w:p>
      <w:pPr>
        <w:pStyle w:val="BookText"/>
      </w:pPr>
      <w:r>
        <w:rPr>
          <w:rFonts w:ascii="IRNazanin" w:hAnsi="IRNazanin" w:eastAsia="IRNazanin" w:cs="IRNazanin"/>
          <w:lang w:bidi="fa-IR"/>
          <w:color w:val="111111"/>
          <w:sz w:val="28"/>
          <w:szCs w:val="28"/>
          <w:rtl/>
        </w:rPr>
        <w:t xml:space="preserve">و هو المرتب لکتاب تذکره خوش‏گو بأمر من السید محمد بن السید عبد الکریم الجزائری، و أصل التذکرة لخوشگو شاعر محمد شاه روشن أختر کما ذکرناه فی (ص 308) و فی (ج 4- ص 32) و قد رتبه دری فی (1240) و کان حیا إلی (1244) کما یظهر من نسخته الموجودة فی (سپهسالار)</w:t>
      </w:r>
    </w:p>
    <w:p>
      <w:pPr>
        <w:pStyle w:val="Heading3"/>
      </w:pPr>
      <w:bookmarkStart w:id="3789" w:name="_Toc2485"/>
      <w:r>
        <w:t>1933- دیوان دری کابلی أو شعره‏</w:t>
      </w:r>
      <w:bookmarkEnd w:id="3789"/>
    </w:p>
    <w:p>
      <w:pPr>
        <w:pStyle w:val="BookText"/>
      </w:pPr>
      <w:r>
        <w:rPr>
          <w:rFonts w:ascii="IRNazanin" w:hAnsi="IRNazanin" w:eastAsia="IRNazanin" w:cs="IRNazanin"/>
          <w:lang w:bidi="fa-IR"/>
          <w:color w:val="111111"/>
          <w:sz w:val="28"/>
          <w:szCs w:val="28"/>
          <w:rtl/>
        </w:rPr>
        <w:t xml:space="preserve">و هو محمد إبراهیم حسین، المتوفی (1040) أورد شعره فی (حسینی- ص 124)</w:t>
      </w:r>
    </w:p>
    <w:p>
      <w:pPr>
        <w:pStyle w:val="Heading3"/>
      </w:pPr>
      <w:bookmarkStart w:id="3790" w:name="_Toc2486"/>
      <w:r>
        <w:t>دیوان دستغیب شیرازی‏</w:t>
      </w:r>
      <w:bookmarkEnd w:id="3790"/>
    </w:p>
    <w:p>
      <w:pPr>
        <w:pStyle w:val="BookText"/>
      </w:pPr>
      <w:r>
        <w:rPr>
          <w:rFonts w:ascii="IRNazanin" w:hAnsi="IRNazanin" w:eastAsia="IRNazanin" w:cs="IRNazanin"/>
          <w:lang w:bidi="fa-IR"/>
          <w:color w:val="111111"/>
          <w:sz w:val="28"/>
          <w:szCs w:val="28"/>
          <w:rtl/>
        </w:rPr>
        <w:t xml:space="preserve">یأتی بعنوان نظام دستغیب‏</w:t>
      </w:r>
    </w:p>
    <w:p>
      <w:pPr>
        <w:pStyle w:val="Heading3"/>
      </w:pPr>
      <w:bookmarkStart w:id="3791" w:name="_Toc2487"/>
      <w:r>
        <w:t>دیوان دستغیب‏</w:t>
      </w:r>
      <w:bookmarkEnd w:id="3791"/>
    </w:p>
    <w:p>
      <w:pPr>
        <w:pStyle w:val="BookText"/>
      </w:pPr>
      <w:r>
        <w:rPr>
          <w:rFonts w:ascii="IRNazanin" w:hAnsi="IRNazanin" w:eastAsia="IRNazanin" w:cs="IRNazanin"/>
          <w:lang w:bidi="fa-IR"/>
          <w:color w:val="111111"/>
          <w:sz w:val="28"/>
          <w:szCs w:val="28"/>
          <w:rtl/>
        </w:rPr>
        <w:t xml:space="preserve">یأتی بعنوان صادق دستغیب و محسن دستغیب ص 977</w:t>
      </w:r>
    </w:p>
    <w:p>
      <w:pPr>
        <w:pStyle w:val="Heading3"/>
      </w:pPr>
      <w:bookmarkStart w:id="3792" w:name="_Toc2488"/>
      <w:r>
        <w:t>1934- دیوان دستور</w:t>
      </w:r>
      <w:bookmarkEnd w:id="3792"/>
    </w:p>
    <w:p>
      <w:pPr>
        <w:pStyle w:val="BookText"/>
      </w:pPr>
      <w:r>
        <w:rPr>
          <w:rFonts w:ascii="IRNazanin" w:hAnsi="IRNazanin" w:eastAsia="IRNazanin" w:cs="IRNazanin"/>
          <w:lang w:bidi="fa-IR"/>
          <w:color w:val="111111"/>
          <w:sz w:val="28"/>
          <w:szCs w:val="28"/>
          <w:rtl/>
        </w:rPr>
        <w:t xml:space="preserve">و اسمه المیر رفیع الحکیم الماهر فی الرباعی سافر مع الشیخ محمد الخاتونی إلی الهند و بها توفی ترجمه النصرآبادی فی (نر 9- ص 270) و أورد شعره و قال فی (سرخوش- ص 39) إنه مات فی أول العهد الجهانگیری و ذکره فی (تغ- ص 52) و (خوش‏گو) و (روشن- ص 215)</w:t>
      </w:r>
    </w:p>
    <w:p>
      <w:pPr>
        <w:pStyle w:val="Heading3"/>
      </w:pPr>
      <w:bookmarkStart w:id="3793" w:name="_Toc2489"/>
      <w:r>
        <w:t>دیوان دشت بیاضی‏</w:t>
      </w:r>
      <w:bookmarkEnd w:id="3793"/>
    </w:p>
    <w:p>
      <w:pPr>
        <w:pStyle w:val="BookText"/>
      </w:pPr>
      <w:r>
        <w:rPr>
          <w:rFonts w:ascii="IRNazanin" w:hAnsi="IRNazanin" w:eastAsia="IRNazanin" w:cs="IRNazanin"/>
          <w:lang w:bidi="fa-IR"/>
          <w:color w:val="111111"/>
          <w:sz w:val="28"/>
          <w:szCs w:val="28"/>
          <w:rtl/>
        </w:rPr>
        <w:t xml:space="preserve">یأتی بعنوان ولی دشت بیاضی‏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22" w:name="pg11704_121802"/>
    <w:bookmarkEnd w:id="322"/>
    <w:p>
      <w:pPr>
        <w:pStyle w:val="Heading3"/>
      </w:pPr>
      <w:bookmarkStart w:id="3794" w:name="_Toc2490"/>
      <w:r>
        <w:t>دیوان الدشتکی‏</w:t>
      </w:r>
      <w:bookmarkEnd w:id="3794"/>
    </w:p>
    <w:p>
      <w:pPr>
        <w:pStyle w:val="BookText"/>
      </w:pPr>
      <w:r>
        <w:rPr>
          <w:rFonts w:ascii="IRNazanin" w:hAnsi="IRNazanin" w:eastAsia="IRNazanin" w:cs="IRNazanin"/>
          <w:lang w:bidi="fa-IR"/>
          <w:color w:val="111111"/>
          <w:sz w:val="28"/>
          <w:szCs w:val="28"/>
          <w:rtl/>
        </w:rPr>
        <w:t xml:space="preserve">یأتی بعنوان السید علی خان و المیر معصوم‏</w:t>
      </w:r>
    </w:p>
    <w:p>
      <w:pPr>
        <w:pStyle w:val="Heading3"/>
      </w:pPr>
      <w:bookmarkStart w:id="3795" w:name="_Toc2491"/>
      <w:r>
        <w:t>1935- دیوان دشتی‏</w:t>
      </w:r>
      <w:bookmarkEnd w:id="3795"/>
    </w:p>
    <w:p>
      <w:pPr>
        <w:pStyle w:val="BookText"/>
      </w:pPr>
      <w:r>
        <w:rPr>
          <w:rFonts w:ascii="IRNazanin" w:hAnsi="IRNazanin" w:eastAsia="IRNazanin" w:cs="IRNazanin"/>
          <w:lang w:bidi="fa-IR"/>
          <w:color w:val="111111"/>
          <w:sz w:val="28"/>
          <w:szCs w:val="28"/>
          <w:rtl/>
        </w:rPr>
        <w:t xml:space="preserve">للشاعر الأدیب محمد خان بن الحاج خان الدشتی المولود (1246) فیه مدائح و غزلیات و مراثی و رباعیات و دیباجته من إنشاء محمد حسن بن محمد حسین القزوینی المتخلص آیت فی (1286) و قد طبع فی بمبئی فی (1319) فی (436 ص) فی (6500 بیت) و ذکر فی الدیباجة سائر أحوال الناظم و تصانیفه: کلام الملوک نمکدان طریق السلوک شیرین و خسرو و یوجد منه فی (المجلس) نسختان إحداهما کتبت فی (1270) یظهر منها أن حسین خان الدشتی الأخ الأکبر للناظم أوصل</w:t>
      </w:r>
    </w:p>
    <w:p>
      <w:pPr>
        <w:pStyle w:val="BookText"/>
      </w:pPr>
      <w:r>
        <w:rPr>
          <w:rFonts w:ascii="IRNazanin" w:hAnsi="IRNazanin" w:eastAsia="IRNazanin" w:cs="IRNazanin"/>
          <w:lang w:bidi="fa-IR"/>
          <w:color w:val="111111"/>
          <w:sz w:val="28"/>
          <w:szCs w:val="28"/>
          <w:rtl/>
        </w:rPr>
        <w:t xml:space="preserve">مقدارا من هذا الدیوان إلی شیراز عند عبد الرحیم الهمدانی المتخلص خادم و هو جمعه و رتبه و کتب له دیباجة فی التاریخ المذکور، و فی آخره ذکر أسماء الشعراء الستة عشرة المقرظین لهذا الدیوان و هی نسخه جیدة مذهبة منقشة، ذکر جمیع مزایاها فی فهرس المکتبة (ج 3- ص 279) و النسخة الأخری دون النسخة الأولی فی النفاسة و تاریخ کتابتها (1287) مبدوة بدیباجه محمد حسن القزوینی المتخلص بآیت و ترجمه أیضا فی فارس‏نامه ناصری‏</w:t>
      </w:r>
    </w:p>
    <w:p>
      <w:pPr>
        <w:pStyle w:val="Heading3"/>
      </w:pPr>
      <w:bookmarkStart w:id="3796" w:name="_Toc2492"/>
      <w:r>
        <w:t>دیوان دشتی‏</w:t>
      </w:r>
      <w:bookmarkEnd w:id="3796"/>
    </w:p>
    <w:p>
      <w:pPr>
        <w:pStyle w:val="BookText"/>
      </w:pPr>
      <w:r>
        <w:rPr>
          <w:rFonts w:ascii="IRNazanin" w:hAnsi="IRNazanin" w:eastAsia="IRNazanin" w:cs="IRNazanin"/>
          <w:lang w:bidi="fa-IR"/>
          <w:color w:val="111111"/>
          <w:sz w:val="28"/>
          <w:szCs w:val="28"/>
          <w:rtl/>
        </w:rPr>
        <w:t xml:space="preserve">هو التخلص القدیم لنور الدین عبد الرحمن و مر بعنوان دیوان جامی‏</w:t>
      </w:r>
    </w:p>
    <w:p>
      <w:pPr>
        <w:pStyle w:val="Heading3"/>
      </w:pPr>
      <w:bookmarkStart w:id="3797" w:name="_Toc2493"/>
      <w:r>
        <w:t>1936- دیوان دعائی خراسانی‏</w:t>
      </w:r>
      <w:bookmarkEnd w:id="3797"/>
    </w:p>
    <w:p>
      <w:pPr>
        <w:pStyle w:val="BookText"/>
      </w:pPr>
      <w:r>
        <w:rPr>
          <w:rFonts w:ascii="IRNazanin" w:hAnsi="IRNazanin" w:eastAsia="IRNazanin" w:cs="IRNazanin"/>
          <w:lang w:bidi="fa-IR"/>
          <w:color w:val="111111"/>
          <w:sz w:val="28"/>
          <w:szCs w:val="28"/>
          <w:rtl/>
        </w:rPr>
        <w:t xml:space="preserve">ترجمه معاصره سام میرزا فی (تس 5- ص 159) و أورد شعره، و ذکر أنه کان یدعی علی الرءوس أنه أشعر الناس و أحسن الشعراء</w:t>
      </w:r>
    </w:p>
    <w:p>
      <w:pPr>
        <w:pStyle w:val="Heading3"/>
      </w:pPr>
      <w:bookmarkStart w:id="3798" w:name="_Toc2494"/>
      <w:r>
        <w:t>1937- دیوان دعائی دهلوی‏</w:t>
      </w:r>
      <w:bookmarkEnd w:id="3798"/>
    </w:p>
    <w:p>
      <w:pPr>
        <w:pStyle w:val="BookText"/>
      </w:pPr>
      <w:r>
        <w:rPr>
          <w:rFonts w:ascii="IRNazanin" w:hAnsi="IRNazanin" w:eastAsia="IRNazanin" w:cs="IRNazanin"/>
          <w:lang w:bidi="fa-IR"/>
          <w:color w:val="111111"/>
          <w:sz w:val="28"/>
          <w:szCs w:val="28"/>
          <w:rtl/>
        </w:rPr>
        <w:t xml:space="preserve">عده فی (خوش‏گو) من شعراء أکبر شاه و ذکر دیوانه و سماه فی (روشن- ص 215) شاه دعائی‏</w:t>
      </w:r>
    </w:p>
    <w:p>
      <w:pPr>
        <w:pStyle w:val="Heading3"/>
      </w:pPr>
      <w:bookmarkStart w:id="3799" w:name="_Toc2495"/>
      <w:r>
        <w:t>1938- دیوان دعبل الخزاعی‏</w:t>
      </w:r>
      <w:bookmarkEnd w:id="3799"/>
    </w:p>
    <w:p>
      <w:pPr>
        <w:pStyle w:val="BookText"/>
      </w:pPr>
      <w:r>
        <w:rPr>
          <w:rFonts w:ascii="IRNazanin" w:hAnsi="IRNazanin" w:eastAsia="IRNazanin" w:cs="IRNazanin"/>
          <w:lang w:bidi="fa-IR"/>
          <w:color w:val="111111"/>
          <w:sz w:val="28"/>
          <w:szCs w:val="28"/>
          <w:rtl/>
        </w:rPr>
        <w:t xml:space="preserve">المکنی بأبی علی و أبی جعفر محمد بن علی بن رزین بن سلیمان بن تمیم، المنتهی نسبه إلی بدیل بن ورقاء الصحابی، قال ابن الندیم فی (ص 229) إن شعره فی ثلاثمائة ورقة و قد عمله الصولی و ذکر له أیضا طبقات الشعراء و ترجمه فی معجم الأدباء (ج 11 ص 99- 112) و فی الصفحة الأخیرة قال: و لدعبل کتاب طبقات الشعراء و ترجمه فی معجم الأدباء (ج 11 ص 99- 112) و فی الصفحة الأخیرة قال: و لدعبل کتاب طبقات الشعراء و دیوان شعر مات سنة (ست و أربعین و مائتین) و حکی النجاشی فی ترجمه أخ دعبل و هو أبو الحسن علی بن علی بن رزین عن ولد أبی الحسن علی هذا و هو أبو القاسم إسماعیل بن علی بن علی بن رزین بإسناده إلیه أنه قال: ولد عمی دعبل (148) فی خلافة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23" w:name="pg11704_121803"/>
    <w:bookmarkEnd w:id="323"/>
    <w:p>
      <w:pPr>
        <w:pStyle w:val="BookText"/>
      </w:pPr>
      <w:r>
        <w:rPr>
          <w:rFonts w:ascii="IRNazanin" w:hAnsi="IRNazanin" w:eastAsia="IRNazanin" w:cs="IRNazanin"/>
          <w:lang w:bidi="fa-IR"/>
          <w:color w:val="111111"/>
          <w:sz w:val="28"/>
          <w:szCs w:val="28"/>
          <w:rtl/>
        </w:rPr>
        <w:t xml:space="preserve">المنصور و رأی موسی بن جعفر و لقی الرضا علیه السلام  و مات (245) أیام المتوکل و ترجمه أیضا فی نسمة السحر و قد جمع الشیخ محمد السماوی (المتوفی 1370) دیوانه فی ألف بیت و جعله فی قسمین 1) مدائحه للأئمة 2) مدائحه لغیرهم و بعد موت السماوی اشتری النسخة الشیخ محمد علی الیعقوبی و زاد علیه کثیرا</w:t>
      </w:r>
    </w:p>
    <w:p>
      <w:pPr>
        <w:pStyle w:val="Heading3"/>
      </w:pPr>
      <w:bookmarkStart w:id="3800" w:name="_Toc2496"/>
      <w:r>
        <w:t>1939- دیوان دعوی‏</w:t>
      </w:r>
      <w:bookmarkEnd w:id="3800"/>
    </w:p>
    <w:p>
      <w:pPr>
        <w:pStyle w:val="BookText"/>
      </w:pPr>
      <w:r>
        <w:rPr>
          <w:rFonts w:ascii="IRNazanin" w:hAnsi="IRNazanin" w:eastAsia="IRNazanin" w:cs="IRNazanin"/>
          <w:lang w:bidi="fa-IR"/>
          <w:color w:val="111111"/>
          <w:sz w:val="28"/>
          <w:szCs w:val="28"/>
          <w:rtl/>
        </w:rPr>
        <w:t xml:space="preserve">و هو القاضی رکن الدین قاضی قم و مداح جمال الدین عبد الرزاق ذکر دیوانه المشتمل علی الفارسی و العربی فی (روشن- ص 215) نقلا عن تذکره نگارستان سخن‏</w:t>
      </w:r>
    </w:p>
    <w:p>
      <w:pPr>
        <w:pStyle w:val="Heading3"/>
      </w:pPr>
      <w:bookmarkStart w:id="3801" w:name="_Toc2497"/>
      <w:r>
        <w:t>دیوان دقاق یزدی‏</w:t>
      </w:r>
      <w:bookmarkEnd w:id="3801"/>
    </w:p>
    <w:p>
      <w:pPr>
        <w:pStyle w:val="BookText"/>
      </w:pPr>
      <w:r>
        <w:rPr>
          <w:rFonts w:ascii="IRNazanin" w:hAnsi="IRNazanin" w:eastAsia="IRNazanin" w:cs="IRNazanin"/>
          <w:lang w:bidi="fa-IR"/>
          <w:color w:val="111111"/>
          <w:sz w:val="28"/>
          <w:szCs w:val="28"/>
          <w:rtl/>
        </w:rPr>
        <w:t xml:space="preserve">مر بعنوان أمینا الیزدی و الظاهر أنه أخذ اسمه عن اسم حسن بن علی النیشابوری الدقاق الصوفی المتوفی (405) و لکن فی (خوش‏گو) سماه دقائق‏</w:t>
      </w:r>
    </w:p>
    <w:p>
      <w:pPr>
        <w:pStyle w:val="Heading3"/>
      </w:pPr>
      <w:bookmarkStart w:id="3802" w:name="_Toc2498"/>
      <w:r>
        <w:t>دیوان دقائق‏</w:t>
      </w:r>
      <w:bookmarkEnd w:id="3802"/>
    </w:p>
    <w:p>
      <w:pPr>
        <w:pStyle w:val="BookText"/>
      </w:pPr>
      <w:r>
        <w:rPr>
          <w:rFonts w:ascii="IRNazanin" w:hAnsi="IRNazanin" w:eastAsia="IRNazanin" w:cs="IRNazanin"/>
          <w:lang w:bidi="fa-IR"/>
          <w:color w:val="111111"/>
          <w:sz w:val="28"/>
          <w:szCs w:val="28"/>
          <w:rtl/>
        </w:rPr>
        <w:t xml:space="preserve">راجع دیوان دقاق‏</w:t>
      </w:r>
    </w:p>
    <w:p>
      <w:pPr>
        <w:pStyle w:val="Heading3"/>
      </w:pPr>
      <w:bookmarkStart w:id="3803" w:name="_Toc2499"/>
      <w:r>
        <w:t>1940- دیوان دقائقی مروزی‏</w:t>
      </w:r>
      <w:bookmarkEnd w:id="3803"/>
    </w:p>
    <w:p>
      <w:pPr>
        <w:pStyle w:val="BookText"/>
      </w:pPr>
      <w:r>
        <w:rPr>
          <w:rFonts w:ascii="IRNazanin" w:hAnsi="IRNazanin" w:eastAsia="IRNazanin" w:cs="IRNazanin"/>
          <w:lang w:bidi="fa-IR"/>
          <w:color w:val="111111"/>
          <w:sz w:val="28"/>
          <w:szCs w:val="28"/>
          <w:rtl/>
        </w:rPr>
        <w:t xml:space="preserve">شمس الدین محمد، مداح الخواجة فخر الدین حمید الوزیر أورد فی (مع- ج 1 ص 218) قطعة من مدیحه له، و قد طبع له بختیارنامه باهتمام وحید الدستگردی فی (1310 ش) فی (92 ص) و معه فهرس مجلة أرمغان لاثنتی عشر سنة فی (24 ص)</w:t>
      </w:r>
    </w:p>
    <w:p>
      <w:pPr>
        <w:pStyle w:val="Heading3"/>
      </w:pPr>
      <w:bookmarkStart w:id="3804" w:name="_Toc2500"/>
      <w:r>
        <w:t>1941- دیوان دقت‏</w:t>
      </w:r>
      <w:bookmarkEnd w:id="3804"/>
    </w:p>
    <w:p>
      <w:pPr>
        <w:pStyle w:val="BookText"/>
      </w:pPr>
      <w:r>
        <w:rPr>
          <w:rFonts w:ascii="IRNazanin" w:hAnsi="IRNazanin" w:eastAsia="IRNazanin" w:cs="IRNazanin"/>
          <w:lang w:bidi="fa-IR"/>
          <w:color w:val="111111"/>
          <w:sz w:val="28"/>
          <w:szCs w:val="28"/>
          <w:rtl/>
        </w:rPr>
        <w:t xml:space="preserve">و هو الحاج جواد الکربلائی و هو قصائد مرتبة علی حروف القوافی فی مدائح الأئمة علیه السلام  رأیت نسخته ضمن مجموعة ضخمة عند الشیخ علی بن محمد رضا آل کاشف الغطاء فی النجف‏</w:t>
      </w:r>
    </w:p>
    <w:p>
      <w:pPr>
        <w:pStyle w:val="Heading3"/>
      </w:pPr>
      <w:bookmarkStart w:id="3805" w:name="_Toc2501"/>
      <w:r>
        <w:t>1942- دیوان دقیقی مروزی‏</w:t>
      </w:r>
      <w:bookmarkEnd w:id="3805"/>
    </w:p>
    <w:p>
      <w:pPr>
        <w:pStyle w:val="BookText"/>
      </w:pPr>
      <w:r>
        <w:rPr>
          <w:rFonts w:ascii="IRNazanin" w:hAnsi="IRNazanin" w:eastAsia="IRNazanin" w:cs="IRNazanin"/>
          <w:lang w:bidi="fa-IR"/>
          <w:color w:val="111111"/>
          <w:sz w:val="28"/>
          <w:szCs w:val="28"/>
          <w:rtl/>
        </w:rPr>
        <w:t xml:space="preserve">للأستاد أبی منصور محمد بن أحمد معاصر الأمیر نوح السامانی، و بأمره نظم حکایة گشتاسب فی ألف بیت، أدخلها الفردوسی فی شاهنامه، و أورد قطعة منه فی (مع- ج 1 ص 214) و ترجمه الحکیم شاه محمد فی (بهش 1- ص 334) و المستوفی فی تاریخ گزیده- ص 818 و قال آذر فی (تش- ص 333) إنه لم یر له دیوانا، الا أن سنگلاخ ادعی فی (امتحان الفضلاء- ج 2 ص 184) أنه رأی دیوانه بخط أبی البقاء رستم الخطاطین، و أظنه أراد گشتاسب‏نامه و فی (تغ- ص 52) أرخ وفاته (341)</w:t>
      </w:r>
    </w:p>
    <w:p>
      <w:pPr>
        <w:pStyle w:val="Heading3"/>
      </w:pPr>
      <w:bookmarkStart w:id="3806" w:name="_Toc2502"/>
      <w:r>
        <w:t>1943- دیوان دل هندی‏</w:t>
      </w:r>
      <w:bookmarkEnd w:id="3806"/>
    </w:p>
    <w:p>
      <w:pPr>
        <w:pStyle w:val="BookText"/>
      </w:pPr>
      <w:r>
        <w:rPr>
          <w:rFonts w:ascii="IRNazanin" w:hAnsi="IRNazanin" w:eastAsia="IRNazanin" w:cs="IRNazanin"/>
          <w:lang w:bidi="fa-IR"/>
          <w:color w:val="111111"/>
          <w:sz w:val="28"/>
          <w:szCs w:val="28"/>
          <w:rtl/>
        </w:rPr>
        <w:t xml:space="preserve">هو الدیوان الثانی لأنور کوپاموی المذکور فی (ص 109)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24" w:name="pg11704_121804"/>
    <w:bookmarkEnd w:id="324"/>
    <w:p>
      <w:pPr>
        <w:pStyle w:val="Heading3"/>
      </w:pPr>
      <w:bookmarkStart w:id="3807" w:name="_Toc2503"/>
      <w:r>
        <w:t>1944- دیوان دل أصفهانی أو شعره‏</w:t>
      </w:r>
      <w:bookmarkEnd w:id="3807"/>
    </w:p>
    <w:p>
      <w:pPr>
        <w:pStyle w:val="BookText"/>
      </w:pPr>
      <w:r>
        <w:rPr>
          <w:rFonts w:ascii="IRNazanin" w:hAnsi="IRNazanin" w:eastAsia="IRNazanin" w:cs="IRNazanin"/>
          <w:lang w:bidi="fa-IR"/>
          <w:color w:val="111111"/>
          <w:sz w:val="28"/>
          <w:szCs w:val="28"/>
          <w:rtl/>
        </w:rPr>
        <w:t xml:space="preserve">و هو المیر قاسم من سادات أرتیمان قتل فی محاصرة أصفهان بید الأفاغنة أورد شعره فی (گلشن- ص 164) و سماه فی (روشن- ص 216) محمد هاشم و قال إنه ابن رضی الأرتیمانی الآتی ابن إبراهیم الأدهم و کان تلمیذ الشیخ محمد علی الحزین المتوفی (1181)</w:t>
      </w:r>
    </w:p>
    <w:p>
      <w:pPr>
        <w:pStyle w:val="Heading3"/>
      </w:pPr>
      <w:bookmarkStart w:id="3808" w:name="_Toc2504"/>
      <w:r>
        <w:t>1945- دیوان المیر دلال‏</w:t>
      </w:r>
      <w:bookmarkEnd w:id="3808"/>
    </w:p>
    <w:p>
      <w:pPr>
        <w:pStyle w:val="BookText"/>
      </w:pPr>
      <w:r>
        <w:rPr>
          <w:rFonts w:ascii="IRNazanin" w:hAnsi="IRNazanin" w:eastAsia="IRNazanin" w:cs="IRNazanin"/>
          <w:lang w:bidi="fa-IR"/>
          <w:color w:val="111111"/>
          <w:sz w:val="28"/>
          <w:szCs w:val="28"/>
          <w:rtl/>
        </w:rPr>
        <w:t xml:space="preserve">من شعراء عصر السلطان یعقوب خان الترکمانی المتوفی (896) ذکره الحکیم شاه محمد القزوینی فی (ص 312) من ترجمه مجالس النفائس، و هذا مما زاده فی (قز مج 6) و لیس فی الأصل الترکی‏</w:t>
      </w:r>
    </w:p>
    <w:p>
      <w:pPr>
        <w:pStyle w:val="Heading3"/>
      </w:pPr>
      <w:bookmarkStart w:id="3809" w:name="_Toc2505"/>
      <w:r>
        <w:t>1946- دیوان دلخون آذربایجانی‏</w:t>
      </w:r>
      <w:bookmarkEnd w:id="3809"/>
    </w:p>
    <w:p>
      <w:pPr>
        <w:pStyle w:val="BookText"/>
      </w:pPr>
      <w:r>
        <w:rPr>
          <w:rFonts w:ascii="IRNazanin" w:hAnsi="IRNazanin" w:eastAsia="IRNazanin" w:cs="IRNazanin"/>
          <w:lang w:bidi="fa-IR"/>
          <w:color w:val="111111"/>
          <w:sz w:val="28"/>
          <w:szCs w:val="28"/>
          <w:rtl/>
        </w:rPr>
        <w:t xml:space="preserve">اسمه الحاج محمد المشهور بشجاع الملک من شعراء القرن الثالث عشر کان بینه و بین الملا بزمی الخوئی مناظرات فی الأواخر فی طهران و دیوان أشعاره بالترکیة حکی فی (دجا- ص 51) ترجمته کذلک عن حدیقة الشعراء</w:t>
      </w:r>
    </w:p>
    <w:p>
      <w:pPr>
        <w:pStyle w:val="Heading3"/>
      </w:pPr>
      <w:bookmarkStart w:id="3810" w:name="_Toc2506"/>
      <w:r>
        <w:t>1947- دیوان دلریش تبریزی‏</w:t>
      </w:r>
      <w:bookmarkEnd w:id="3810"/>
    </w:p>
    <w:p>
      <w:pPr>
        <w:pStyle w:val="BookText"/>
      </w:pPr>
      <w:r>
        <w:rPr>
          <w:rFonts w:ascii="IRNazanin" w:hAnsi="IRNazanin" w:eastAsia="IRNazanin" w:cs="IRNazanin"/>
          <w:lang w:bidi="fa-IR"/>
          <w:color w:val="111111"/>
          <w:sz w:val="28"/>
          <w:szCs w:val="28"/>
          <w:rtl/>
        </w:rPr>
        <w:t xml:space="preserve">اسمه کربلائی علی أصغر، کان مدیر الهیئة الحسینیة فی تبریز و شعره ترکی، نقله فی (دجا- ص 151) عن الحدیقة</w:t>
      </w:r>
    </w:p>
    <w:p>
      <w:pPr>
        <w:pStyle w:val="Heading3"/>
      </w:pPr>
      <w:bookmarkStart w:id="3811" w:name="_Toc2507"/>
      <w:r>
        <w:t>1948- دیوان دلسوز تبریزی‏</w:t>
      </w:r>
      <w:bookmarkEnd w:id="3811"/>
    </w:p>
    <w:p>
      <w:pPr>
        <w:pStyle w:val="BookText"/>
      </w:pPr>
      <w:r>
        <w:rPr>
          <w:rFonts w:ascii="IRNazanin" w:hAnsi="IRNazanin" w:eastAsia="IRNazanin" w:cs="IRNazanin"/>
          <w:lang w:bidi="fa-IR"/>
          <w:color w:val="111111"/>
          <w:sz w:val="28"/>
          <w:szCs w:val="28"/>
          <w:rtl/>
        </w:rPr>
        <w:t xml:space="preserve">المیرزا محمد أمین التبریزی الملقب أستاذ قال فی (دجا- ص 151) إنه کان أستاذ المیرزا سروش و میرزا مظهر، و دیوانه مرکب من الفارسی و الترکی، و طبع مکررا فی تبریز و ترجمه کذلک أیضا فی ریحانة الأدب‏</w:t>
      </w:r>
    </w:p>
    <w:p>
      <w:pPr>
        <w:pStyle w:val="Heading3"/>
      </w:pPr>
      <w:bookmarkStart w:id="3812" w:name="_Toc2508"/>
      <w:r>
        <w:t>1949- دیوان دلگیر</w:t>
      </w:r>
      <w:bookmarkEnd w:id="3812"/>
    </w:p>
    <w:p>
      <w:pPr>
        <w:pStyle w:val="BookText"/>
      </w:pPr>
      <w:r>
        <w:rPr>
          <w:rFonts w:ascii="IRNazanin" w:hAnsi="IRNazanin" w:eastAsia="IRNazanin" w:cs="IRNazanin"/>
          <w:lang w:bidi="fa-IR"/>
          <w:color w:val="111111"/>
          <w:sz w:val="28"/>
          <w:szCs w:val="28"/>
          <w:rtl/>
        </w:rPr>
        <w:t xml:space="preserve">لکربلائی محمد العطار من شعراء الغزل فی آذربایجان توفی بالوباء (1282) کذا فی (دجا- ص 151) عن حدیقة الشعراء</w:t>
      </w:r>
    </w:p>
    <w:p>
      <w:pPr>
        <w:pStyle w:val="Heading3"/>
      </w:pPr>
      <w:bookmarkStart w:id="3813" w:name="_Toc2509"/>
      <w:r>
        <w:t>1950- دیوان دلیر هندی‏</w:t>
      </w:r>
      <w:bookmarkEnd w:id="3813"/>
    </w:p>
    <w:p>
      <w:pPr>
        <w:pStyle w:val="BookText"/>
      </w:pPr>
      <w:r>
        <w:rPr>
          <w:rFonts w:ascii="IRNazanin" w:hAnsi="IRNazanin" w:eastAsia="IRNazanin" w:cs="IRNazanin"/>
          <w:lang w:bidi="fa-IR"/>
          <w:color w:val="111111"/>
          <w:sz w:val="28"/>
          <w:szCs w:val="28"/>
          <w:rtl/>
        </w:rPr>
        <w:t xml:space="preserve">أورد فی (گلشن- ص 165 و 164) شاعرین بهذا الاسم و ذکر لأحدهما خمسة مثنویات بالأردویة، و قال: و له قصة کامروپ علی سیاق قران السعدین الخسرو الدهلوی‏</w:t>
      </w:r>
    </w:p>
    <w:p>
      <w:pPr>
        <w:pStyle w:val="Heading3"/>
      </w:pPr>
      <w:bookmarkStart w:id="3814" w:name="_Toc2510"/>
      <w:r>
        <w:t>دیوان دلیری أصفهانی‏</w:t>
      </w:r>
      <w:bookmarkEnd w:id="3814"/>
    </w:p>
    <w:p>
      <w:pPr>
        <w:pStyle w:val="BookText"/>
      </w:pPr>
      <w:r>
        <w:rPr>
          <w:rFonts w:ascii="IRNazanin" w:hAnsi="IRNazanin" w:eastAsia="IRNazanin" w:cs="IRNazanin"/>
          <w:lang w:bidi="fa-IR"/>
          <w:color w:val="111111"/>
          <w:sz w:val="28"/>
          <w:szCs w:val="28"/>
          <w:rtl/>
        </w:rPr>
        <w:t xml:space="preserve">کذا فی (روشن 216) و (مرآة الخیال ص 304) راجع دیوان أنسی أصفهانی فی (ص 107) و راجع دیوان ذو القدر</w:t>
      </w:r>
    </w:p>
    <w:p>
      <w:pPr>
        <w:pStyle w:val="Heading3"/>
      </w:pPr>
      <w:bookmarkStart w:id="3815" w:name="_Toc2511"/>
      <w:r>
        <w:t>1951- دیوان دلیری هندی أو شعره‏</w:t>
      </w:r>
      <w:bookmarkEnd w:id="3815"/>
    </w:p>
    <w:p>
      <w:pPr>
        <w:pStyle w:val="BookText"/>
      </w:pPr>
      <w:r>
        <w:rPr>
          <w:rFonts w:ascii="IRNazanin" w:hAnsi="IRNazanin" w:eastAsia="IRNazanin" w:cs="IRNazanin"/>
          <w:lang w:bidi="fa-IR"/>
          <w:color w:val="111111"/>
          <w:sz w:val="28"/>
          <w:szCs w:val="28"/>
          <w:rtl/>
        </w:rPr>
        <w:t xml:space="preserve">ترجمه و أورد شعره فی (خوش‏گو) و قال کان أستاذ جلال الدین الجلالی و عنه أخذ فی (روشن- ص 216)</w:t>
      </w:r>
    </w:p>
    <w:p>
      <w:pPr>
        <w:pStyle w:val="Heading3"/>
      </w:pPr>
      <w:bookmarkStart w:id="3816" w:name="_Toc2512"/>
      <w:r>
        <w:t>1952- دیوان دلیل ایروانی‏</w:t>
      </w:r>
      <w:bookmarkEnd w:id="3816"/>
    </w:p>
    <w:p>
      <w:pPr>
        <w:pStyle w:val="BookText"/>
      </w:pPr>
      <w:r>
        <w:rPr>
          <w:rFonts w:ascii="IRNazanin" w:hAnsi="IRNazanin" w:eastAsia="IRNazanin" w:cs="IRNazanin"/>
          <w:lang w:bidi="fa-IR"/>
          <w:color w:val="111111"/>
          <w:sz w:val="28"/>
          <w:szCs w:val="28"/>
          <w:rtl/>
        </w:rPr>
        <w:t xml:space="preserve">من شعراء السلطان فتح علی شاه ذکره فی (دجا- ص 151)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25" w:name="pg11704_121805"/>
    <w:bookmarkEnd w:id="325"/>
    <w:p>
      <w:pPr>
        <w:pStyle w:val="BookText"/>
      </w:pPr>
      <w:r>
        <w:rPr>
          <w:rFonts w:ascii="IRNazanin" w:hAnsi="IRNazanin" w:eastAsia="IRNazanin" w:cs="IRNazanin"/>
          <w:lang w:bidi="fa-IR"/>
          <w:color w:val="111111"/>
          <w:sz w:val="28"/>
          <w:szCs w:val="28"/>
          <w:rtl/>
        </w:rPr>
        <w:t xml:space="preserve">و أورد من شعره قصیدة مدحة له، و فیها تاریخ بنائه لمسجد إیروان:</w:t>
      </w:r>
    </w:p>
    <w:p>
      <w:pPr>
        <w:pStyle w:val="BookText"/>
      </w:pPr>
      <w:r>
        <w:rPr>
          <w:rFonts w:ascii="IRNazanin" w:hAnsi="IRNazanin" w:eastAsia="IRNazanin" w:cs="IRNazanin"/>
          <w:lang w:bidi="fa-IR"/>
          <w:color w:val="111111"/>
          <w:sz w:val="28"/>
          <w:szCs w:val="28"/>
          <w:rtl/>
        </w:rPr>
        <w:t xml:space="preserve">دلیل از بهر تاریخش رقم زد:</w:t>
      </w:r>
    </w:p>
    <w:p>
      <w:pPr>
        <w:pStyle w:val="BookText"/>
      </w:pPr>
      <w:r>
        <w:rPr>
          <w:rFonts w:ascii="IRNazanin" w:hAnsi="IRNazanin" w:eastAsia="IRNazanin" w:cs="IRNazanin"/>
          <w:lang w:bidi="fa-IR"/>
          <w:color w:val="111111"/>
          <w:sz w:val="28"/>
          <w:szCs w:val="28"/>
          <w:rtl/>
        </w:rPr>
        <w:t xml:space="preserve">(از ایشان مسجد نیکوست برپا 1238)</w:t>
      </w:r>
    </w:p>
    <w:p>
      <w:pPr>
        <w:pStyle w:val="Heading3"/>
      </w:pPr>
      <w:bookmarkStart w:id="3817" w:name="_Toc2513"/>
      <w:r>
        <w:t>1953- دیوان الدمستانی الصغیر</w:t>
      </w:r>
      <w:bookmarkEnd w:id="3817"/>
    </w:p>
    <w:p>
      <w:pPr>
        <w:pStyle w:val="BookText"/>
      </w:pPr>
      <w:r>
        <w:rPr>
          <w:rFonts w:ascii="IRNazanin" w:hAnsi="IRNazanin" w:eastAsia="IRNazanin" w:cs="IRNazanin"/>
          <w:lang w:bidi="fa-IR"/>
          <w:color w:val="111111"/>
          <w:sz w:val="28"/>
          <w:szCs w:val="28"/>
          <w:rtl/>
        </w:rPr>
        <w:t xml:space="preserve">للشیخ أحمد بن الشیخ حسن بن محمد بن علی بن خلف بن إبراهیم بن ضیف الله الدمستانی، هو قصائده فی مدیح المعصومین علیه السلام  ألحقها بآخر دیوان والده، و صرح فی آخرها باسمه و نسبه و نسب أبیه، و قد کتبها بخطه بعد وفاه أبیه فی أواخر ذی الحجة (1190) و دعا لوالده بقدس سره‏</w:t>
      </w:r>
    </w:p>
    <w:p>
      <w:pPr>
        <w:pStyle w:val="Heading3"/>
      </w:pPr>
      <w:bookmarkStart w:id="3818" w:name="_Toc2514"/>
      <w:r>
        <w:t>1954- دیوان الدمستانی الکبیر</w:t>
      </w:r>
      <w:bookmarkEnd w:id="3818"/>
    </w:p>
    <w:p>
      <w:pPr>
        <w:pStyle w:val="BookText"/>
      </w:pPr>
      <w:r>
        <w:rPr>
          <w:rFonts w:ascii="IRNazanin" w:hAnsi="IRNazanin" w:eastAsia="IRNazanin" w:cs="IRNazanin"/>
          <w:lang w:bidi="fa-IR"/>
          <w:color w:val="111111"/>
          <w:sz w:val="28"/>
          <w:szCs w:val="28"/>
          <w:rtl/>
        </w:rPr>
        <w:t xml:space="preserve">هو الشیخ حسن والد الشیخ أحمد المذکور الذی مر نسبه کما وجدناه بخطه، و هو الذی جمع دیوان والده الشیخ حسن هذا و کتبه بخطه فی مجلد مشتمل علی المائة و تسع صفحات فی کل صفحة خمسة عشر سطرا کلها قصائد فی مدیح المعصومین علیه السلام  و ذلک بعد وفاه والده لأنه دعا له بقدس سره أوله:</w:t>
      </w:r>
    </w:p>
    <w:p>
      <w:pPr>
        <w:pStyle w:val="BookText"/>
      </w:pPr>
      <w:r>
        <w:rPr>
          <w:rFonts w:ascii="IRNazanin" w:hAnsi="IRNazanin" w:eastAsia="IRNazanin" w:cs="IRNazanin"/>
          <w:lang w:bidi="fa-IR"/>
          <w:color w:val="111111"/>
          <w:sz w:val="28"/>
          <w:szCs w:val="28"/>
          <w:rtl/>
        </w:rPr>
        <w:t xml:space="preserve">هو السعد وافی مقبلا أی إقبال‏</w:t>
      </w:r>
    </w:p>
    <w:p>
      <w:pPr>
        <w:pStyle w:val="BookText"/>
      </w:pPr>
      <w:r>
        <w:rPr>
          <w:rFonts w:ascii="IRNazanin" w:hAnsi="IRNazanin" w:eastAsia="IRNazanin" w:cs="IRNazanin"/>
          <w:lang w:bidi="fa-IR"/>
          <w:color w:val="111111"/>
          <w:sz w:val="28"/>
          <w:szCs w:val="28"/>
          <w:rtl/>
        </w:rPr>
        <w:t xml:space="preserve">بوصل حبیب کان یؤثر بلبالی‏</w:t>
      </w:r>
    </w:p>
    <w:p>
      <w:pPr>
        <w:pStyle w:val="Heading3"/>
      </w:pPr>
      <w:bookmarkStart w:id="3819" w:name="_Toc2515"/>
      <w:r>
        <w:t>دیوان دوائی شیرازی‏</w:t>
      </w:r>
      <w:bookmarkEnd w:id="3819"/>
    </w:p>
    <w:p>
      <w:pPr>
        <w:pStyle w:val="BookText"/>
      </w:pPr>
      <w:r>
        <w:rPr>
          <w:rFonts w:ascii="IRNazanin" w:hAnsi="IRNazanin" w:eastAsia="IRNazanin" w:cs="IRNazanin"/>
          <w:lang w:bidi="fa-IR"/>
          <w:color w:val="111111"/>
          <w:sz w:val="28"/>
          <w:szCs w:val="28"/>
          <w:rtl/>
        </w:rPr>
        <w:t xml:space="preserve">و اسمه عین الملک الطبیب الکحال لأکبر شاه الهندی مات (1004) کذا ترجمه فی (خوش‏گو) و الظاهر أنه دوائی گیلانی.</w:t>
      </w:r>
    </w:p>
    <w:p>
      <w:pPr>
        <w:pStyle w:val="Heading3"/>
      </w:pPr>
      <w:bookmarkStart w:id="3820" w:name="_Toc2516"/>
      <w:r>
        <w:t>1955- دیوان دوائی سبزواری أو شعره‏</w:t>
      </w:r>
      <w:bookmarkEnd w:id="3820"/>
    </w:p>
    <w:p>
      <w:pPr>
        <w:pStyle w:val="BookText"/>
      </w:pPr>
      <w:r>
        <w:rPr>
          <w:rFonts w:ascii="IRNazanin" w:hAnsi="IRNazanin" w:eastAsia="IRNazanin" w:cs="IRNazanin"/>
          <w:lang w:bidi="fa-IR"/>
          <w:color w:val="111111"/>
          <w:sz w:val="28"/>
          <w:szCs w:val="28"/>
          <w:rtl/>
        </w:rPr>
        <w:t xml:space="preserve">ترجمه صادقی الأفشار فی (خص 8- ص 295) و ذکر شعره و وصفه بأنه متواضع خلیق.</w:t>
      </w:r>
    </w:p>
    <w:p>
      <w:pPr>
        <w:pStyle w:val="Heading3"/>
      </w:pPr>
      <w:bookmarkStart w:id="3821" w:name="_Toc2517"/>
      <w:r>
        <w:t>1956- دیوان دوائی گیلانی أو شعره‏</w:t>
      </w:r>
      <w:bookmarkEnd w:id="3821"/>
    </w:p>
    <w:p>
      <w:pPr>
        <w:pStyle w:val="BookText"/>
      </w:pPr>
      <w:r>
        <w:rPr>
          <w:rFonts w:ascii="IRNazanin" w:hAnsi="IRNazanin" w:eastAsia="IRNazanin" w:cs="IRNazanin"/>
          <w:lang w:bidi="fa-IR"/>
          <w:color w:val="111111"/>
          <w:sz w:val="28"/>
          <w:szCs w:val="28"/>
          <w:rtl/>
        </w:rPr>
        <w:t xml:space="preserve">ترجمه فی (ض- ص 330) ذاکرا أنه من المعاصرین لأکبر شاه الهندی و یشتغل بالطبابة و فصل ترجمته تقی الدین الأوحدی و قال إنه قلیل الشعر و ذکر له مطلعین و کذا فی (روشن- ص 217) و لعله الذی سماه فی (خوش‏گو) عین الملک و نسبه إلی شیراز و قال کان کحالا لأکبر شاه و مات (1004).</w:t>
      </w:r>
    </w:p>
    <w:p>
      <w:pPr>
        <w:pStyle w:val="Heading3"/>
      </w:pPr>
      <w:bookmarkStart w:id="3822" w:name="_Toc2518"/>
      <w:r>
        <w:t>1957- دیوان الدوانی‏</w:t>
      </w:r>
      <w:bookmarkEnd w:id="3822"/>
    </w:p>
    <w:p>
      <w:pPr>
        <w:pStyle w:val="BookText"/>
      </w:pPr>
      <w:r>
        <w:rPr>
          <w:rFonts w:ascii="IRNazanin" w:hAnsi="IRNazanin" w:eastAsia="IRNazanin" w:cs="IRNazanin"/>
          <w:lang w:bidi="fa-IR"/>
          <w:color w:val="111111"/>
          <w:sz w:val="28"/>
          <w:szCs w:val="28"/>
          <w:rtl/>
        </w:rPr>
        <w:t xml:space="preserve">للمولی المحقق جلال الدین محمد بن أسعد الصدیقی الدوانی الکازرونی الشیرازی، المولود فی بضع و عشرین و ثمانمائة کما یظهر من الضوء اللامع ج 7- ص 133 قال: هو حی فی سنتنا سبع و تسعین و هو ابن بضع و سبعین. و توفی حدود (902) کما فی سلم السماوات لأبی القاسم الکازرونی أو (907) و هو المشهور کما فی أعلام الزرکلی أو (909) کما فی شاهد صادق أو (928) کما فی الشذرات و النور السافر أو (918) کما فی الکنی و الألقاب و أما نسبه علی ما ذکره فی‏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26" w:name="pg11704_121806"/>
    <w:bookmarkEnd w:id="326"/>
    <w:p>
      <w:pPr>
        <w:pStyle w:val="BookText"/>
      </w:pPr>
      <w:r>
        <w:rPr>
          <w:rFonts w:ascii="IRNazanin" w:hAnsi="IRNazanin" w:eastAsia="IRNazanin" w:cs="IRNazanin"/>
          <w:lang w:bidi="fa-IR"/>
          <w:color w:val="111111"/>
          <w:sz w:val="28"/>
          <w:szCs w:val="28"/>
          <w:rtl/>
        </w:rPr>
        <w:t xml:space="preserve">آخر إجازته لعفیف الدین حفید صفی الدین عبد الرحمن الصفوی فی (893) هکذا محمد بن أسعد بن محمد بن عبد الرحیم بن علی الصدیقی الدوانی، و ذکر فیها أنه أخذ العلوم العقلیة عن والده الإمام سعد الملة و الدین أسعد المحدث بالجامع المرشدی و أخذها أیضا مع العلوم النقلیة عن العلامة مظهر الدین محمد المرشدی و ذکر من مشایخ إجازته فی الحدیث لفظا و کتبا الشیخ المحدث الرحلة شهاب الإسلام عبد الله بن میمون الکرمانی المشهور بالجبلی، و ذکرنا بعض هذه الإجازة فی (ج 1 ص 231) و قد ترجمه القاضی فی (المجالس- ص 336) و عده من حکماء الشیعة، و ترجمه هدایت فی ض- ص 328 و أورد کثیرا من مقالة القاضی نور الله و بعض غزله و رباعیاته، و ترجمه الفاضل المعاصر فی روضات الجنات ص 162</w:t>
      </w:r>
    </w:p>
    <w:p>
      <w:pPr>
        <w:pStyle w:val="BookText"/>
      </w:pPr>
      <w:r>
        <w:rPr>
          <w:rFonts w:ascii="IRNazanin" w:hAnsi="IRNazanin" w:eastAsia="IRNazanin" w:cs="IRNazanin"/>
          <w:lang w:bidi="fa-IR"/>
          <w:color w:val="111111"/>
          <w:sz w:val="28"/>
          <w:szCs w:val="28"/>
          <w:rtl/>
        </w:rPr>
        <w:t xml:space="preserve">و أورد کثیرا من شعره الفارسی و بعض شعره العربی، و حکی أکثر ترجمته عن سلم السماوات و ترجمه سام میرزا فی (تس 2- ص 48) و أورد رباعیته فی تاریخ وفاه السلطان أبو سعید و ترجمه فی (هفت- ص 209) و أورد شعره فی (نر 14- ص 496) و قال سنگلاخ رأیت دیوانه بخط جعفر الهروی کما فی (امتحان الفضلاء- ج 1 ص 159) و مر فی (ص 199) ثلاثة أقوال فی تخلصه.</w:t>
      </w:r>
    </w:p>
    <w:p>
      <w:pPr>
        <w:pStyle w:val="Heading3"/>
      </w:pPr>
      <w:bookmarkStart w:id="3823" w:name="_Toc2519"/>
      <w:r>
        <w:t>دیوان دوانی‏</w:t>
      </w:r>
      <w:bookmarkEnd w:id="3823"/>
    </w:p>
    <w:p>
      <w:pPr>
        <w:pStyle w:val="BookText"/>
      </w:pPr>
      <w:r>
        <w:rPr>
          <w:rFonts w:ascii="IRNazanin" w:hAnsi="IRNazanin" w:eastAsia="IRNazanin" w:cs="IRNazanin"/>
          <w:lang w:bidi="fa-IR"/>
          <w:color w:val="111111"/>
          <w:sz w:val="28"/>
          <w:szCs w:val="28"/>
          <w:rtl/>
        </w:rPr>
        <w:t xml:space="preserve">مر فی (ص 46) بعنوان أبی الفتح اللاهیجی الگیلانی.</w:t>
      </w:r>
    </w:p>
    <w:p>
      <w:pPr>
        <w:pStyle w:val="Heading3"/>
      </w:pPr>
      <w:bookmarkStart w:id="3824" w:name="_Toc2520"/>
      <w:r>
        <w:t>1958- دیوان دو پیازه أو شعره‏</w:t>
      </w:r>
      <w:bookmarkEnd w:id="3824"/>
    </w:p>
    <w:p>
      <w:pPr>
        <w:pStyle w:val="BookText"/>
      </w:pPr>
      <w:r>
        <w:rPr>
          <w:rFonts w:ascii="IRNazanin" w:hAnsi="IRNazanin" w:eastAsia="IRNazanin" w:cs="IRNazanin"/>
          <w:lang w:bidi="fa-IR"/>
          <w:color w:val="111111"/>
          <w:sz w:val="28"/>
          <w:szCs w:val="28"/>
          <w:rtl/>
        </w:rPr>
        <w:t xml:space="preserve">و هو الشاعر الهزال الهندی الملا عبد المؤمن بن الملا ولی محمد. قال فی (روشن- 217- 222) إنه کان فی خدمة آصف جاه نظام الملک فتح جنگ، و أورد شعره، ثم أورد عدة صفحات من قاموسه الهزلی الذی تتبع فیه قاموس عبید الزاکانی المذکور فی (ج 8- ص 283). أوله: [الخدا: خوان یغما ... الپادشاه:</w:t>
      </w:r>
    </w:p>
    <w:p>
      <w:pPr>
        <w:pStyle w:val="BookText"/>
      </w:pPr>
      <w:r>
        <w:rPr>
          <w:rFonts w:ascii="IRNazanin" w:hAnsi="IRNazanin" w:eastAsia="IRNazanin" w:cs="IRNazanin"/>
          <w:lang w:bidi="fa-IR"/>
          <w:color w:val="111111"/>
          <w:sz w:val="28"/>
          <w:szCs w:val="28"/>
          <w:rtl/>
        </w:rPr>
        <w:t xml:space="preserve">کاهل زبان. الوزیر: هدف تیر آه بیچارگان ... الشاعر: کان کذب ...] و هکذا.</w:t>
      </w:r>
    </w:p>
    <w:p>
      <w:pPr>
        <w:pStyle w:val="Heading3"/>
      </w:pPr>
      <w:bookmarkStart w:id="3825" w:name="_Toc2521"/>
      <w:r>
        <w:t>1959- دیوان دوری أصفهانی أو شعره‏</w:t>
      </w:r>
      <w:bookmarkEnd w:id="3825"/>
    </w:p>
    <w:p>
      <w:pPr>
        <w:pStyle w:val="BookText"/>
      </w:pPr>
      <w:r>
        <w:rPr>
          <w:rFonts w:ascii="IRNazanin" w:hAnsi="IRNazanin" w:eastAsia="IRNazanin" w:cs="IRNazanin"/>
          <w:lang w:bidi="fa-IR"/>
          <w:color w:val="111111"/>
          <w:sz w:val="28"/>
          <w:szCs w:val="28"/>
          <w:rtl/>
        </w:rPr>
        <w:t xml:space="preserve">ذکر فی (روشن- ص 222) شاعرین بهذا الاسم سمی أحدهما مصطفی تکلو و الآخر الآقا رضا.</w:t>
      </w:r>
    </w:p>
    <w:p>
      <w:pPr>
        <w:pStyle w:val="Heading3"/>
      </w:pPr>
      <w:bookmarkStart w:id="3826" w:name="_Toc2522"/>
      <w:r>
        <w:t>1960- دیوان دوری هندی‏</w:t>
      </w:r>
      <w:bookmarkEnd w:id="3826"/>
    </w:p>
    <w:p>
      <w:pPr>
        <w:pStyle w:val="BookText"/>
      </w:pPr>
      <w:r>
        <w:rPr>
          <w:rFonts w:ascii="IRNazanin" w:hAnsi="IRNazanin" w:eastAsia="IRNazanin" w:cs="IRNazanin"/>
          <w:lang w:bidi="fa-IR"/>
          <w:color w:val="111111"/>
          <w:sz w:val="28"/>
          <w:szCs w:val="28"/>
          <w:rtl/>
        </w:rPr>
        <w:t xml:space="preserve">و اسمه سلطان بایزید الخطاط فی عهد أکبر شاه و الملقب منه کاتب الملک ترجمه فی (طبقات أکبری ج 2 ص 494) و (خوش‏گو) و ذکرا دیوانه.</w:t>
      </w:r>
    </w:p>
    <w:p>
      <w:pPr>
        <w:pStyle w:val="Heading3"/>
      </w:pPr>
      <w:bookmarkStart w:id="3827" w:name="_Toc2523"/>
      <w:r>
        <w:t>1961- دیوان الملا دوست إسفزاری أو شعره‏</w:t>
      </w:r>
      <w:bookmarkEnd w:id="3827"/>
    </w:p>
    <w:p>
      <w:pPr>
        <w:pStyle w:val="BookText"/>
      </w:pPr>
      <w:r>
        <w:rPr>
          <w:rFonts w:ascii="IRNazanin" w:hAnsi="IRNazanin" w:eastAsia="IRNazanin" w:cs="IRNazanin"/>
          <w:lang w:bidi="fa-IR"/>
          <w:color w:val="111111"/>
          <w:sz w:val="28"/>
          <w:szCs w:val="28"/>
          <w:rtl/>
        </w:rPr>
        <w:t xml:space="preserve">ترجمه فی (مجتس 6- ص 106) و أطرأه بقوله إنه أنوری عصره فی إنشاء القصیدة. و ذکر مطلع غزله.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27" w:name="pg11704_121807"/>
    <w:bookmarkEnd w:id="327"/>
    <w:p>
      <w:pPr>
        <w:pStyle w:val="Heading3"/>
      </w:pPr>
      <w:bookmarkStart w:id="3828" w:name="_Toc2524"/>
      <w:r>
        <w:t>1962- دیوان دوست حسین أو شعره‏</w:t>
      </w:r>
      <w:bookmarkEnd w:id="3828"/>
    </w:p>
    <w:p>
      <w:pPr>
        <w:pStyle w:val="BookText"/>
      </w:pPr>
      <w:r>
        <w:rPr>
          <w:rFonts w:ascii="IRNazanin" w:hAnsi="IRNazanin" w:eastAsia="IRNazanin" w:cs="IRNazanin"/>
          <w:lang w:bidi="fa-IR"/>
          <w:color w:val="111111"/>
          <w:sz w:val="28"/>
          <w:szCs w:val="28"/>
          <w:rtl/>
        </w:rPr>
        <w:t xml:space="preserve">کان خازن السلطان أبی الفتح محمد خان أوزبک الشیبانی المعروف بشاهی بیک خان، سلطان ما وراء النهر و هو ابن بداق سلطان بن أبی الخیر خان بن دولت شیخ أوغلان بن شیبانی خان بن جوجی خان بن چنگیز خان الذی قتله جیش الشاه إسماعیل فی محمودآباد مرو فی (916) ترجمه فی (مجتس 8- ص 172) و أطرأه وارد شعرا من مثنویاته.</w:t>
      </w:r>
    </w:p>
    <w:p>
      <w:pPr>
        <w:pStyle w:val="Heading3"/>
      </w:pPr>
      <w:bookmarkStart w:id="3829" w:name="_Toc2525"/>
      <w:r>
        <w:t>1963- دیوان دوست کشمیری أو شعره‏</w:t>
      </w:r>
      <w:bookmarkEnd w:id="3829"/>
    </w:p>
    <w:p>
      <w:pPr>
        <w:pStyle w:val="BookText"/>
      </w:pPr>
      <w:r>
        <w:rPr>
          <w:rFonts w:ascii="IRNazanin" w:hAnsi="IRNazanin" w:eastAsia="IRNazanin" w:cs="IRNazanin"/>
          <w:lang w:bidi="fa-IR"/>
          <w:color w:val="111111"/>
          <w:sz w:val="28"/>
          <w:szCs w:val="28"/>
          <w:rtl/>
        </w:rPr>
        <w:t xml:space="preserve">و هو دوست محمد. کان ماهرا فی الشطرنج.</w:t>
      </w:r>
    </w:p>
    <w:p>
      <w:pPr>
        <w:pStyle w:val="BookText"/>
      </w:pPr>
      <w:r>
        <w:rPr>
          <w:rFonts w:ascii="IRNazanin" w:hAnsi="IRNazanin" w:eastAsia="IRNazanin" w:cs="IRNazanin"/>
          <w:lang w:bidi="fa-IR"/>
          <w:color w:val="111111"/>
          <w:sz w:val="28"/>
          <w:szCs w:val="28"/>
          <w:rtl/>
        </w:rPr>
        <w:t xml:space="preserve">أورد شعره فی (گلشن- ص 165).</w:t>
      </w:r>
    </w:p>
    <w:p>
      <w:pPr>
        <w:pStyle w:val="Heading3"/>
      </w:pPr>
      <w:bookmarkStart w:id="3830" w:name="_Toc2526"/>
      <w:r>
        <w:t>1964- دیوان دوست محمد هروی أو شعره‏</w:t>
      </w:r>
      <w:bookmarkEnd w:id="3830"/>
    </w:p>
    <w:p>
      <w:pPr>
        <w:pStyle w:val="BookText"/>
      </w:pPr>
      <w:r>
        <w:rPr>
          <w:rFonts w:ascii="IRNazanin" w:hAnsi="IRNazanin" w:eastAsia="IRNazanin" w:cs="IRNazanin"/>
          <w:lang w:bidi="fa-IR"/>
          <w:color w:val="111111"/>
          <w:sz w:val="28"/>
          <w:szCs w:val="28"/>
          <w:rtl/>
        </w:rPr>
        <w:t xml:space="preserve">اتصل أخیرا بالشاه طهماسب، و سافر إلی الحج و توفی بمکة فی (949) ترجمه سام میرزا فی (تس 4- ص 83) و أورد رباعیته و ذکره القزوینی فی ذیل ترجمه حسن علی فی (قز مج 2- ص 252).</w:t>
      </w:r>
    </w:p>
    <w:p>
      <w:pPr>
        <w:pStyle w:val="Heading3"/>
      </w:pPr>
      <w:bookmarkStart w:id="3831" w:name="_Toc2527"/>
      <w:r>
        <w:t>دیوان دوست محمد حالی‏</w:t>
      </w:r>
      <w:bookmarkEnd w:id="3831"/>
    </w:p>
    <w:p>
      <w:pPr>
        <w:pStyle w:val="BookText"/>
      </w:pPr>
      <w:r>
        <w:rPr>
          <w:rFonts w:ascii="IRNazanin" w:hAnsi="IRNazanin" w:eastAsia="IRNazanin" w:cs="IRNazanin"/>
          <w:lang w:bidi="fa-IR"/>
          <w:color w:val="111111"/>
          <w:sz w:val="28"/>
          <w:szCs w:val="28"/>
          <w:rtl/>
        </w:rPr>
        <w:t xml:space="preserve">کذا فی (روشن- ص 223) مر بعنوان تخلصه حالی السبزواری.</w:t>
      </w:r>
    </w:p>
    <w:p>
      <w:pPr>
        <w:pStyle w:val="Heading3"/>
      </w:pPr>
      <w:bookmarkStart w:id="3832" w:name="_Toc2528"/>
      <w:r>
        <w:t>دیوان دوست محمد کوشوان‏</w:t>
      </w:r>
      <w:bookmarkEnd w:id="3832"/>
    </w:p>
    <w:p>
      <w:pPr>
        <w:pStyle w:val="BookText"/>
      </w:pPr>
      <w:r>
        <w:rPr>
          <w:rFonts w:ascii="IRNazanin" w:hAnsi="IRNazanin" w:eastAsia="IRNazanin" w:cs="IRNazanin"/>
          <w:lang w:bidi="fa-IR"/>
          <w:color w:val="111111"/>
          <w:sz w:val="28"/>
          <w:szCs w:val="28"/>
          <w:rtl/>
        </w:rPr>
        <w:t xml:space="preserve">یأتی بتخلصه گامی و کوشوان قریة فی محال هراة.</w:t>
      </w:r>
    </w:p>
    <w:p>
      <w:pPr>
        <w:pStyle w:val="Heading3"/>
      </w:pPr>
      <w:bookmarkStart w:id="3833" w:name="_Toc2529"/>
      <w:r>
        <w:t>1965- دیوان دوست هروی أو شعره‏</w:t>
      </w:r>
      <w:bookmarkEnd w:id="3833"/>
    </w:p>
    <w:p>
      <w:pPr>
        <w:pStyle w:val="BookText"/>
      </w:pPr>
      <w:r>
        <w:rPr>
          <w:rFonts w:ascii="IRNazanin" w:hAnsi="IRNazanin" w:eastAsia="IRNazanin" w:cs="IRNazanin"/>
          <w:lang w:bidi="fa-IR"/>
          <w:color w:val="111111"/>
          <w:sz w:val="28"/>
          <w:szCs w:val="28"/>
          <w:rtl/>
        </w:rPr>
        <w:t xml:space="preserve">ترجمه و أورد شعره فی (مجن 2- ص 71 و 251) ففی لطائف‏نامه ذکره تحت العدد (181) بعنوان مولانا و قد حذفت من النسخة کلمة دوست و فی (قز مج) ذکره تحت العدد (189).</w:t>
      </w:r>
    </w:p>
    <w:p>
      <w:pPr>
        <w:pStyle w:val="Heading3"/>
      </w:pPr>
      <w:bookmarkStart w:id="3834" w:name="_Toc2530"/>
      <w:r>
        <w:t>1966- دیوان دوستاق‏</w:t>
      </w:r>
      <w:bookmarkEnd w:id="3834"/>
    </w:p>
    <w:p>
      <w:pPr>
        <w:pStyle w:val="BookText"/>
      </w:pPr>
      <w:r>
        <w:rPr>
          <w:rFonts w:ascii="IRNazanin" w:hAnsi="IRNazanin" w:eastAsia="IRNazanin" w:cs="IRNazanin"/>
          <w:lang w:bidi="fa-IR"/>
          <w:color w:val="111111"/>
          <w:sz w:val="28"/>
          <w:szCs w:val="28"/>
          <w:rtl/>
        </w:rPr>
        <w:t xml:space="preserve">و هو بهزاد بیک بن سهراب بیک قورچی. کان أبوه من غلمان الشاه عباس الأول و ترک الخدمة و تثقف و هو ابن أربعین سنة، و ابنه بهزاد ماهر فی النستعلیق و النسخ و یرتزق منه. ترجمه و أورد شعره فی (نر 5- ص 147) و فی (خوش‏گو) صحف اسم أبیه فسماه محراب بیک الگرجی و صحف اسمه فسماه دوش باف.</w:t>
      </w:r>
    </w:p>
    <w:p>
      <w:pPr>
        <w:pStyle w:val="Heading3"/>
      </w:pPr>
      <w:bookmarkStart w:id="3835" w:name="_Toc2531"/>
      <w:r>
        <w:t>دیوان دوش باف‏</w:t>
      </w:r>
      <w:bookmarkEnd w:id="3835"/>
    </w:p>
    <w:p>
      <w:pPr>
        <w:pStyle w:val="BookText"/>
      </w:pPr>
      <w:r>
        <w:rPr>
          <w:rFonts w:ascii="IRNazanin" w:hAnsi="IRNazanin" w:eastAsia="IRNazanin" w:cs="IRNazanin"/>
          <w:lang w:bidi="fa-IR"/>
          <w:color w:val="111111"/>
          <w:sz w:val="28"/>
          <w:szCs w:val="28"/>
          <w:rtl/>
        </w:rPr>
        <w:t xml:space="preserve">راجع دوستاق.</w:t>
      </w:r>
    </w:p>
    <w:p>
      <w:pPr>
        <w:pStyle w:val="Heading3"/>
      </w:pPr>
      <w:bookmarkStart w:id="3836" w:name="_Toc2532"/>
      <w:r>
        <w:t>1967- دیوان دولت‏</w:t>
      </w:r>
      <w:bookmarkEnd w:id="3836"/>
    </w:p>
    <w:p>
      <w:pPr>
        <w:pStyle w:val="BookText"/>
      </w:pPr>
      <w:r>
        <w:rPr>
          <w:rFonts w:ascii="IRNazanin" w:hAnsi="IRNazanin" w:eastAsia="IRNazanin" w:cs="IRNazanin"/>
          <w:lang w:bidi="fa-IR"/>
          <w:color w:val="111111"/>
          <w:sz w:val="28"/>
          <w:szCs w:val="28"/>
          <w:rtl/>
        </w:rPr>
        <w:t xml:space="preserve">للشاه‏زاده محمد علی میرزا بن الفتح علی شاه المعروف بدولت‏شاه و المتخلص فی شعره بدولت ولد (1203) و مات (1237) ترجمه فی (مع- ج 1 ص 26) و أورد ما یقرب من سبعین بیتا من شعره، و قال إنی فصلت خصوصیات أحواله فیما کتبته من تاریخ دولت و ظاهره أنه کتاب مستقل فی تاریخه و لیس مراده ما فصله من‏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28" w:name="pg11704_121808"/>
    <w:bookmarkEnd w:id="328"/>
    <w:p>
      <w:pPr>
        <w:pStyle w:val="BookText"/>
      </w:pPr>
      <w:r>
        <w:rPr>
          <w:rFonts w:ascii="IRNazanin" w:hAnsi="IRNazanin" w:eastAsia="IRNazanin" w:cs="IRNazanin"/>
          <w:lang w:bidi="fa-IR"/>
          <w:color w:val="111111"/>
          <w:sz w:val="28"/>
          <w:szCs w:val="28"/>
          <w:rtl/>
        </w:rPr>
        <w:t xml:space="preserve">أحواله فی المجلد التاسع من روضة الصفا الناصری، و حقیق أن یکتب له تاریخ مستقل و الدیوان طبع فی طهران (1320) و نسخه عصر الناظم بخط نصیر الخطاطین مع مقدمه بلیغة من إنشاء الأدیب الشاعر صادق المتخلص ناطق أنشأها فی (1228) توجد فی مکتبة (المجلس) بطهران کما فصله ابن یوسف فی فهرسها (ص 674- ج 3).</w:t>
      </w:r>
    </w:p>
    <w:p>
      <w:pPr>
        <w:pStyle w:val="Heading3"/>
      </w:pPr>
      <w:bookmarkStart w:id="3837" w:name="_Toc2533"/>
      <w:r>
        <w:t>1968- دیوان دولت شاه سمرقندی أو شعره‏</w:t>
      </w:r>
      <w:bookmarkEnd w:id="3837"/>
    </w:p>
    <w:p>
      <w:pPr>
        <w:pStyle w:val="BookText"/>
      </w:pPr>
      <w:r>
        <w:rPr>
          <w:rFonts w:ascii="IRNazanin" w:hAnsi="IRNazanin" w:eastAsia="IRNazanin" w:cs="IRNazanin"/>
          <w:lang w:bidi="fa-IR"/>
          <w:color w:val="111111"/>
          <w:sz w:val="28"/>
          <w:szCs w:val="28"/>
          <w:rtl/>
        </w:rPr>
        <w:t xml:space="preserve">و هو ابن فیروز شاه و ابن عم الأمیر علاء الدولة الأسفراینی، هکذا ذکره الأمیر علی شیر فی مجالس النفائس فی (ص 282) علی ترجمه الحکیم شاه محمد القزوینی و قال: هو و آباؤه کانوا من أمراء خراسان معززین مشهورین و أطرأه بأنه ترک الدنیا و اختار الفقر و القناعة و أورد مطلع غزله. و لکن فی ترجمه لطائف‏نامه ذکر أنه ابن عم الأمیر فیروز شاه و ابن الأمیر علاء الدولة الأسفراینی و ذکر أنه ألف مجمع الشعراء فی مضمون هذا المجالس کل من طالعة یطلع علی مقدار استعداده و کمالاته. و مراده من المجمع هو کتابه المعروف بالتذکرة الدولت‏شاهیة الذی ألفه باسم الشاه سلطان حسین میرزا بایقرا فی (892) و صدره باسم الوزیر الأمیر علی شیر، و رتبه علی مقدمه فی شعراء العرب و سبع طبقات فی سائر الشعراء و خاتمة فی بعض معاصریه و مجموع من فصل فیه ترجمته مائة و خمسون شاعرا، و فی آخره مختصر من تاریخ الشاه سلطان حسین. و أورد فی أثناء التراجم کثیرا من أشعار نفسه و طبع بالهند (1305) ثم طبع فی أروپا (1318) مع مقدمه فارسیة و إنگلیسیة. و قد سماه الأمیر علی شیر فی خطبة مجالس النفائس بتذکرة الشعراء و ذکر أنه أتعب نفسه فی تألیف هذا الکتاب کثیرا، و ترجمه أیضا ریو فی فهرس بریتش موزیوم و المستر براون فی أدبیات إیران و ابنی فی فهرس مکتبة دانشگاه تهران (ج 2 ص 534- 535). و قد ترجم تذکره دولت شاه بالآلمانیة لافون همر (1818 م) و بالترکیة سلیمان فهمی (1843 م) و نظمه لطف الله محمد معاصر اورنگ زیب بالفارسیة و سماه آسمان سخن کما عن القاموس الترکی‏</w:t>
      </w:r>
    </w:p>
    <w:p>
      <w:pPr>
        <w:pStyle w:val="Heading3"/>
      </w:pPr>
      <w:bookmarkStart w:id="3838" w:name="_Toc2534"/>
      <w:r>
        <w:t>دیوان دهخدا رازی‏</w:t>
      </w:r>
      <w:bookmarkEnd w:id="3838"/>
    </w:p>
    <w:p>
      <w:pPr>
        <w:pStyle w:val="BookText"/>
      </w:pPr>
      <w:r>
        <w:rPr>
          <w:rFonts w:ascii="IRNazanin" w:hAnsi="IRNazanin" w:eastAsia="IRNazanin" w:cs="IRNazanin"/>
          <w:lang w:bidi="fa-IR"/>
          <w:color w:val="111111"/>
          <w:sz w:val="28"/>
          <w:szCs w:val="28"/>
          <w:rtl/>
        </w:rPr>
        <w:t xml:space="preserve">و هو أبو المعالی النحاس الرازی الأصفهانی من شعراء آل سلجوق. و قد عد أصحاب التذاکر رجلین بهذه الکنیة أحدهما أبو المعالی الرازی و الآخر أبو المعالی الأصفهانی و أول من فرق بینهما هو أمین أحمد الرازی فی هفت إقلیم ثم هدایت فی مجمع الفصحاء و عنهم أخذنا فی (ص 49 و 50) و لکن الصحیح اتحادهما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29" w:name="pg11704_121809"/>
    <w:bookmarkEnd w:id="329"/>
    <w:p>
      <w:pPr>
        <w:pStyle w:val="BookText"/>
      </w:pPr>
      <w:r>
        <w:rPr>
          <w:rFonts w:ascii="IRNazanin" w:hAnsi="IRNazanin" w:eastAsia="IRNazanin" w:cs="IRNazanin"/>
          <w:lang w:bidi="fa-IR"/>
          <w:color w:val="111111"/>
          <w:sz w:val="28"/>
          <w:szCs w:val="28"/>
          <w:rtl/>
        </w:rPr>
        <w:t xml:space="preserve">کما حققه القزوینی فی حاشیة (جهان‏گشای جوینی ج 2 ص 2) (ط- 1916 م) و إقبال الآشتیانی فی حاشیة حدائق السحر- ص 119- 121.</w:t>
      </w:r>
    </w:p>
    <w:p>
      <w:pPr>
        <w:pStyle w:val="Heading3"/>
      </w:pPr>
      <w:bookmarkStart w:id="3839" w:name="_Toc2535"/>
      <w:r>
        <w:t>1969- دیوان دهخدا قزوینی‏</w:t>
      </w:r>
      <w:bookmarkEnd w:id="3839"/>
    </w:p>
    <w:p>
      <w:pPr>
        <w:pStyle w:val="BookText"/>
      </w:pPr>
      <w:r>
        <w:rPr>
          <w:rFonts w:ascii="IRNazanin" w:hAnsi="IRNazanin" w:eastAsia="IRNazanin" w:cs="IRNazanin"/>
          <w:lang w:bidi="fa-IR"/>
          <w:color w:val="111111"/>
          <w:sz w:val="28"/>
          <w:szCs w:val="28"/>
          <w:rtl/>
        </w:rPr>
        <w:t xml:space="preserve">لعلی أکبر دهخدا القزوینی المعاصر مؤلف أمثال و حکم فی أربعة مجلدات و لغت‏نامه ولد حدود (1290) طبع أشعاره فی الجرائد فجمعها طهوری خلخالی و طبع بعضها فی قطع صغیر فی (64 ص) مع تصویر الناظم فی (1333 ش) فلم یجز الناظم نشرها فجمعه الدکتور محمد معین مع نظر الناظم و طبعه بقطع أکبر بعد تلک السنة</w:t>
      </w:r>
    </w:p>
    <w:p>
      <w:pPr>
        <w:pStyle w:val="Heading3"/>
      </w:pPr>
      <w:bookmarkStart w:id="3840" w:name="_Toc2536"/>
      <w:r>
        <w:t>دیوان دهدار</w:t>
      </w:r>
      <w:bookmarkEnd w:id="3840"/>
    </w:p>
    <w:p>
      <w:pPr>
        <w:pStyle w:val="BookText"/>
      </w:pPr>
      <w:r>
        <w:rPr>
          <w:rFonts w:ascii="IRNazanin" w:hAnsi="IRNazanin" w:eastAsia="IRNazanin" w:cs="IRNazanin"/>
          <w:lang w:bidi="fa-IR"/>
          <w:color w:val="111111"/>
          <w:sz w:val="28"/>
          <w:szCs w:val="28"/>
          <w:rtl/>
        </w:rPr>
        <w:t xml:space="preserve">و اسمه محمود یأتی بعنوان تخلصه عیانی‏</w:t>
      </w:r>
    </w:p>
    <w:p>
      <w:pPr>
        <w:pStyle w:val="Heading3"/>
      </w:pPr>
      <w:bookmarkStart w:id="3841" w:name="_Toc2537"/>
      <w:r>
        <w:t>1970- دیوان دهقان أصفهانی‏</w:t>
      </w:r>
      <w:bookmarkEnd w:id="3841"/>
    </w:p>
    <w:p>
      <w:pPr>
        <w:pStyle w:val="BookText"/>
      </w:pPr>
      <w:r>
        <w:rPr>
          <w:rFonts w:ascii="IRNazanin" w:hAnsi="IRNazanin" w:eastAsia="IRNazanin" w:cs="IRNazanin"/>
          <w:lang w:bidi="fa-IR"/>
          <w:color w:val="111111"/>
          <w:sz w:val="28"/>
          <w:szCs w:val="28"/>
          <w:rtl/>
        </w:rPr>
        <w:t xml:space="preserve">و هو أبو الفتح خان السامانی- نسبة إلی سامان فی شمال غربی چهار محال من نواحی أصفهان- و الملقب سیف الشعراء و المتخلص دهقان ولد (1265) کما یظهر من شعره:</w:t>
      </w:r>
    </w:p>
    <w:p>
      <w:pPr>
        <w:pStyle w:val="BookText"/>
      </w:pPr>
      <w:r>
        <w:rPr>
          <w:rFonts w:ascii="IRNazanin" w:hAnsi="IRNazanin" w:eastAsia="IRNazanin" w:cs="IRNazanin"/>
          <w:lang w:bidi="fa-IR"/>
          <w:color w:val="111111"/>
          <w:sz w:val="28"/>
          <w:szCs w:val="28"/>
          <w:rtl/>
        </w:rPr>
        <w:t xml:space="preserve">به هشتاد و هفت و هزار و دویست‏</w:t>
      </w:r>
    </w:p>
    <w:p>
      <w:pPr>
        <w:pStyle w:val="BookText"/>
      </w:pPr>
      <w:r>
        <w:rPr>
          <w:rFonts w:ascii="IRNazanin" w:hAnsi="IRNazanin" w:eastAsia="IRNazanin" w:cs="IRNazanin"/>
          <w:lang w:bidi="fa-IR"/>
          <w:color w:val="111111"/>
          <w:sz w:val="28"/>
          <w:szCs w:val="28"/>
          <w:rtl/>
        </w:rPr>
        <w:t xml:space="preserve">چو گردید سالم دو افزون ز بیست‏</w:t>
      </w:r>
    </w:p>
    <w:p>
      <w:pPr>
        <w:pStyle w:val="BookText"/>
      </w:pPr>
      <w:r>
        <w:rPr>
          <w:rFonts w:ascii="IRNazanin" w:hAnsi="IRNazanin" w:eastAsia="IRNazanin" w:cs="IRNazanin"/>
          <w:lang w:bidi="fa-IR"/>
          <w:color w:val="111111"/>
          <w:sz w:val="28"/>
          <w:szCs w:val="28"/>
          <w:rtl/>
        </w:rPr>
        <w:t xml:space="preserve">و توفی (1326) کما فی ریحانة الأدب نظم ألف لیلة و لیلة باسم میرزا سلیمان خان رکن الملک الشیرازی بالفارسیة فی خمسین ألف بیت و طبع بطهران مع مقدمه و یأتی فی الشین شکرستان له‏</w:t>
      </w:r>
    </w:p>
    <w:p>
      <w:pPr>
        <w:pStyle w:val="Heading3"/>
      </w:pPr>
      <w:bookmarkStart w:id="3842" w:name="_Toc2538"/>
      <w:r>
        <w:t>1971- دیوان دهقان رشتی‏</w:t>
      </w:r>
      <w:bookmarkEnd w:id="3842"/>
    </w:p>
    <w:p>
      <w:pPr>
        <w:pStyle w:val="BookText"/>
      </w:pPr>
      <w:r>
        <w:rPr>
          <w:rFonts w:ascii="IRNazanin" w:hAnsi="IRNazanin" w:eastAsia="IRNazanin" w:cs="IRNazanin"/>
          <w:lang w:bidi="fa-IR"/>
          <w:color w:val="111111"/>
          <w:sz w:val="28"/>
          <w:szCs w:val="28"/>
          <w:rtl/>
        </w:rPr>
        <w:t xml:space="preserve">و هو إسماعیل بن الحاج المیرزا إبراهیم بن المیر صادق أرباب بن الحاج حسن ولد برشت فی (رجب- 1304) و مات فی (1365) کان أدیبا فاضلا خطاطا جمع دیوانه ولده فریدون دهقان، و طبعه برشت فی (1328 ش) فی (272 ص) مع مقدمه فی أحوال والده و نموذج من خطه الجید</w:t>
      </w:r>
    </w:p>
    <w:p>
      <w:pPr>
        <w:pStyle w:val="Heading3"/>
      </w:pPr>
      <w:bookmarkStart w:id="3843" w:name="_Toc2539"/>
      <w:r>
        <w:t>دیوان دهقان قاجار</w:t>
      </w:r>
      <w:bookmarkEnd w:id="3843"/>
    </w:p>
    <w:p>
      <w:pPr>
        <w:pStyle w:val="BookText"/>
      </w:pPr>
      <w:r>
        <w:rPr>
          <w:rFonts w:ascii="IRNazanin" w:hAnsi="IRNazanin" w:eastAsia="IRNazanin" w:cs="IRNazanin"/>
          <w:lang w:bidi="fa-IR"/>
          <w:color w:val="111111"/>
          <w:sz w:val="28"/>
          <w:szCs w:val="28"/>
          <w:rtl/>
        </w:rPr>
        <w:t xml:space="preserve">مر بعنوان جعفر قاجار لتخلصه به‏</w:t>
      </w:r>
    </w:p>
    <w:p>
      <w:pPr>
        <w:pStyle w:val="Heading3"/>
      </w:pPr>
      <w:bookmarkStart w:id="3844" w:name="_Toc2540"/>
      <w:r>
        <w:t>1972- دیوان دهقانی رازی أو شعره‏</w:t>
      </w:r>
      <w:bookmarkEnd w:id="3844"/>
    </w:p>
    <w:p>
      <w:pPr>
        <w:pStyle w:val="BookText"/>
      </w:pPr>
      <w:r>
        <w:rPr>
          <w:rFonts w:ascii="IRNazanin" w:hAnsi="IRNazanin" w:eastAsia="IRNazanin" w:cs="IRNazanin"/>
          <w:lang w:bidi="fa-IR"/>
          <w:color w:val="111111"/>
          <w:sz w:val="28"/>
          <w:szCs w:val="28"/>
          <w:rtl/>
        </w:rPr>
        <w:t xml:space="preserve">ترجمه معاصره سام میرزا فی (تس 5- ص 162) و ذکر أنه کان معلم الأطفال و کأنه مبتلا بمرض الجوع، و ذکر مطلع غزله و عنه أخذ فی (روشن- ص 223)</w:t>
      </w:r>
    </w:p>
    <w:p>
      <w:pPr>
        <w:pStyle w:val="Heading3"/>
      </w:pPr>
      <w:bookmarkStart w:id="3845" w:name="_Toc2541"/>
      <w:r>
        <w:t>دیوان دهکی‏</w:t>
      </w:r>
      <w:bookmarkEnd w:id="3845"/>
    </w:p>
    <w:p>
      <w:pPr>
        <w:pStyle w:val="BookText"/>
      </w:pPr>
      <w:r>
        <w:rPr>
          <w:rFonts w:ascii="IRNazanin" w:hAnsi="IRNazanin" w:eastAsia="IRNazanin" w:cs="IRNazanin"/>
          <w:lang w:bidi="fa-IR"/>
          <w:color w:val="111111"/>
          <w:sz w:val="28"/>
          <w:szCs w:val="28"/>
          <w:rtl/>
        </w:rPr>
        <w:t xml:space="preserve">مر بعنوان دیوان درویش دهکی‏</w:t>
      </w:r>
    </w:p>
    <w:p>
      <w:pPr>
        <w:pStyle w:val="Heading3"/>
      </w:pPr>
      <w:bookmarkStart w:id="3846" w:name="_Toc2542"/>
      <w:r>
        <w:t>دیوان دهلوی‏</w:t>
      </w:r>
      <w:bookmarkEnd w:id="3846"/>
    </w:p>
    <w:p>
      <w:pPr>
        <w:pStyle w:val="BookText"/>
      </w:pPr>
      <w:r>
        <w:rPr>
          <w:rFonts w:ascii="IRNazanin" w:hAnsi="IRNazanin" w:eastAsia="IRNazanin" w:cs="IRNazanin"/>
          <w:lang w:bidi="fa-IR"/>
          <w:color w:val="111111"/>
          <w:sz w:val="28"/>
          <w:szCs w:val="28"/>
          <w:rtl/>
        </w:rPr>
        <w:t xml:space="preserve">مر بعنوان حسن دهلوی و آخر خسرو دهلوی‏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30" w:name="pg11704_121810"/>
    <w:bookmarkEnd w:id="330"/>
    <w:p>
      <w:pPr>
        <w:pStyle w:val="Heading3"/>
      </w:pPr>
      <w:bookmarkStart w:id="3847" w:name="_Toc2543"/>
      <w:r>
        <w:t>1973- دیوان دیباجی سمرقندی‏</w:t>
      </w:r>
      <w:bookmarkEnd w:id="3847"/>
    </w:p>
    <w:p>
      <w:pPr>
        <w:pStyle w:val="BookText"/>
      </w:pPr>
      <w:r>
        <w:rPr>
          <w:rFonts w:ascii="IRNazanin" w:hAnsi="IRNazanin" w:eastAsia="IRNazanin" w:cs="IRNazanin"/>
          <w:lang w:bidi="fa-IR"/>
          <w:color w:val="111111"/>
          <w:sz w:val="28"/>
          <w:szCs w:val="28"/>
          <w:rtl/>
        </w:rPr>
        <w:t xml:space="preserve">ترجمه فی (مع- ج 1 ص 218) و عده من الحکماء الفضلاء و قال کان معاصر الحکیم قطران التبریزی و الأسدی الطوسی، و کان مداح الملک فضلون و غیره من ملوک عصره ثم أورد قطعة من شعره‏</w:t>
      </w:r>
    </w:p>
    <w:p>
      <w:pPr>
        <w:pStyle w:val="Heading3"/>
      </w:pPr>
      <w:bookmarkStart w:id="3848" w:name="_Toc2544"/>
      <w:r>
        <w:t>1974- دیوان دیده‏</w:t>
      </w:r>
      <w:bookmarkEnd w:id="3848"/>
    </w:p>
    <w:p>
      <w:pPr>
        <w:pStyle w:val="BookText"/>
      </w:pPr>
      <w:r>
        <w:rPr>
          <w:rFonts w:ascii="IRNazanin" w:hAnsi="IRNazanin" w:eastAsia="IRNazanin" w:cs="IRNazanin"/>
          <w:lang w:bidi="fa-IR"/>
          <w:color w:val="111111"/>
          <w:sz w:val="28"/>
          <w:szCs w:val="28"/>
          <w:rtl/>
        </w:rPr>
        <w:t xml:space="preserve">للمیرزا نصر الله بیک، ترجمه فی (دجا- ص 151) و ذکر أنه من شعراء القرن الثالث عشر فی تبریز، و توفی فی شماخی فی (1287) و دیوانه مرکب من الأشعار الفارسیة و الأشعار العربیة</w:t>
      </w:r>
    </w:p>
    <w:p>
      <w:pPr>
        <w:pStyle w:val="Heading3"/>
      </w:pPr>
      <w:bookmarkStart w:id="3849" w:name="_Toc2545"/>
      <w:r>
        <w:t>1975- دیوان دیری قمی أو شعره‏</w:t>
      </w:r>
      <w:bookmarkEnd w:id="3849"/>
    </w:p>
    <w:p>
      <w:pPr>
        <w:pStyle w:val="BookText"/>
      </w:pPr>
      <w:r>
        <w:rPr>
          <w:rFonts w:ascii="IRNazanin" w:hAnsi="IRNazanin" w:eastAsia="IRNazanin" w:cs="IRNazanin"/>
          <w:lang w:bidi="fa-IR"/>
          <w:color w:val="111111"/>
          <w:sz w:val="28"/>
          <w:szCs w:val="28"/>
          <w:rtl/>
        </w:rPr>
        <w:t xml:space="preserve">ترجمه و أورد شعره فی (روشن- ص 223)</w:t>
      </w:r>
    </w:p>
    <w:p>
      <w:pPr>
        <w:pStyle w:val="Heading3"/>
      </w:pPr>
      <w:bookmarkStart w:id="3850" w:name="_Toc2546"/>
      <w:r>
        <w:t>1976- دیوان دیری‏</w:t>
      </w:r>
      <w:bookmarkEnd w:id="3850"/>
    </w:p>
    <w:p>
      <w:pPr>
        <w:pStyle w:val="BookText"/>
      </w:pPr>
      <w:r>
        <w:rPr>
          <w:rFonts w:ascii="IRNazanin" w:hAnsi="IRNazanin" w:eastAsia="IRNazanin" w:cs="IRNazanin"/>
          <w:lang w:bidi="fa-IR"/>
          <w:color w:val="111111"/>
          <w:sz w:val="28"/>
          <w:szCs w:val="28"/>
          <w:rtl/>
        </w:rPr>
        <w:t xml:space="preserve">لرحمت خان ابن أخت الحکیم رکنا نزل الهند و صار من أعیانها ترجمه النصرآبادی فی (نر 3- ص 55) و أورد بعض شعره و منها فی الکشف عن الحق قوله:</w:t>
      </w:r>
    </w:p>
    <w:p>
      <w:pPr>
        <w:pStyle w:val="BookText"/>
      </w:pPr>
      <w:r>
        <w:rPr>
          <w:rFonts w:ascii="IRNazanin" w:hAnsi="IRNazanin" w:eastAsia="IRNazanin" w:cs="IRNazanin"/>
          <w:lang w:bidi="fa-IR"/>
          <w:color w:val="111111"/>
          <w:sz w:val="28"/>
          <w:szCs w:val="28"/>
          <w:rtl/>
        </w:rPr>
        <w:t xml:space="preserve">محمد سال و فصل أو چهار است‏</w:t>
      </w:r>
    </w:p>
    <w:p>
      <w:pPr>
        <w:pStyle w:val="BookText"/>
      </w:pPr>
      <w:r>
        <w:rPr>
          <w:rFonts w:ascii="IRNazanin" w:hAnsi="IRNazanin" w:eastAsia="IRNazanin" w:cs="IRNazanin"/>
          <w:lang w:bidi="fa-IR"/>
          <w:color w:val="111111"/>
          <w:sz w:val="28"/>
          <w:szCs w:val="28"/>
          <w:rtl/>
        </w:rPr>
        <w:t xml:space="preserve">علی زان فصلها فصل بهار است‏</w:t>
      </w:r>
    </w:p>
    <w:p>
      <w:pPr>
        <w:pStyle w:val="BookText"/>
      </w:pPr>
      <w:r>
        <w:rPr>
          <w:rFonts w:ascii="IRNazanin" w:hAnsi="IRNazanin" w:eastAsia="IRNazanin" w:cs="IRNazanin"/>
          <w:lang w:bidi="fa-IR"/>
          <w:color w:val="111111"/>
          <w:sz w:val="28"/>
          <w:szCs w:val="28"/>
          <w:rtl/>
        </w:rPr>
        <w:t xml:space="preserve">و أظنه دیری ذو القدر المذکور فی (گلشن- ص 165)</w:t>
      </w:r>
    </w:p>
    <w:p>
      <w:pPr>
        <w:pStyle w:val="Heading3"/>
      </w:pPr>
      <w:bookmarkStart w:id="3851" w:name="_Toc2547"/>
      <w:r>
        <w:t>1977- دیوان دیک الجن‏</w:t>
      </w:r>
      <w:bookmarkEnd w:id="3851"/>
    </w:p>
    <w:p>
      <w:pPr>
        <w:pStyle w:val="BookText"/>
      </w:pPr>
      <w:r>
        <w:rPr>
          <w:rFonts w:ascii="IRNazanin" w:hAnsi="IRNazanin" w:eastAsia="IRNazanin" w:cs="IRNazanin"/>
          <w:lang w:bidi="fa-IR"/>
          <w:color w:val="111111"/>
          <w:sz w:val="28"/>
          <w:szCs w:val="28"/>
          <w:rtl/>
        </w:rPr>
        <w:t xml:space="preserve">هو أبو محمد عبد السلام بن رعنان بن عبد السلام بن حبیب ابن عبد الله رغبان بن زید بن تمیم الکلبی الشاعر المشهور أصله من سلمیة بالشام و کان یفجر علی العرب و لا یری لهم فضلا ولد بحمص (161) و نزل الشام و لم یفارقها و لم یتنجع بمدحه أحدا إلی أن توفی فی أیام المتوکل (235) أو (236) کان یتشیع تشیعا حسنا و له مراثی فی الحسین علیه السلام  کذا ترجمه ابن خلکان فی (ج 1- ص 293) و أبو الفرج فی الأغانی و قیل إن أبا تمام أخذ الشعر عنه و ترجمه أیضا فی مجالس المؤمنین و نسمة السحر فیمن تشیع و شعر و تأسیس الشیعة- ص 201 و هدیة الأحباب و غیرها، و أورد الأحسائی فی الجزء الرابع من شرحه للزیارة الجامعة ذکره مفصلا هذا و قد جمع دیوانه الشیخ محمد السماوی المتوفی فی النجف (1370) فی قسمین الأول مدائحه للأئمة و ثانیهما فی مدائحه لغیرهم و هو قریب من خمسمائة بیت، و بعد موت السماوی انتقلت إلی الخطیب محمد علی الیعقوبی‏</w:t>
      </w:r>
    </w:p>
    <w:p>
      <w:pPr>
        <w:pStyle w:val="Heading3"/>
      </w:pPr>
      <w:bookmarkStart w:id="3852" w:name="_Toc2548"/>
      <w:r>
        <w:t>1978- دیوان الدیلمی أو شعره‏</w:t>
      </w:r>
      <w:bookmarkEnd w:id="3852"/>
    </w:p>
    <w:p>
      <w:pPr>
        <w:pStyle w:val="BookText"/>
      </w:pPr>
      <w:r>
        <w:rPr>
          <w:rFonts w:ascii="IRNazanin" w:hAnsi="IRNazanin" w:eastAsia="IRNazanin" w:cs="IRNazanin"/>
          <w:lang w:bidi="fa-IR"/>
          <w:color w:val="111111"/>
          <w:sz w:val="28"/>
          <w:szCs w:val="28"/>
          <w:rtl/>
        </w:rPr>
        <w:t xml:space="preserve">ترجمه فی (تش- ص 224) و عنه أخذ ظاهرا فی (روشن- ص 224) و (مع- ج 1- ص 218) و ذکر أنه من قدماء الشعراء العلماء نسبه بعض إلی قزوین لکن تخلصه الدیلمی ثم ذکر قطعة من شعره‏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31" w:name="pg11704_121811"/>
    <w:bookmarkEnd w:id="331"/>
    <w:p>
      <w:pPr>
        <w:pStyle w:val="Heading3"/>
      </w:pPr>
      <w:bookmarkStart w:id="3853" w:name="_Toc2549"/>
      <w:r>
        <w:t>دیوان الدیلمی‏</w:t>
      </w:r>
      <w:bookmarkEnd w:id="3853"/>
    </w:p>
    <w:p>
      <w:pPr>
        <w:pStyle w:val="BookText"/>
      </w:pPr>
      <w:r>
        <w:rPr>
          <w:rFonts w:ascii="IRNazanin" w:hAnsi="IRNazanin" w:eastAsia="IRNazanin" w:cs="IRNazanin"/>
          <w:lang w:bidi="fa-IR"/>
          <w:color w:val="111111"/>
          <w:sz w:val="28"/>
          <w:szCs w:val="28"/>
          <w:rtl/>
        </w:rPr>
        <w:t xml:space="preserve">یأتی بعنوان مهیار الدیلمی‏</w:t>
      </w:r>
    </w:p>
    <w:p>
      <w:pPr>
        <w:pStyle w:val="Heading3"/>
      </w:pPr>
      <w:bookmarkStart w:id="3854" w:name="_Toc2550"/>
      <w:r>
        <w:t>دیوان دیوانه‏</w:t>
      </w:r>
      <w:bookmarkEnd w:id="3854"/>
    </w:p>
    <w:p>
      <w:pPr>
        <w:pStyle w:val="BookText"/>
      </w:pPr>
      <w:r>
        <w:rPr>
          <w:rFonts w:ascii="IRNazanin" w:hAnsi="IRNazanin" w:eastAsia="IRNazanin" w:cs="IRNazanin"/>
          <w:lang w:bidi="fa-IR"/>
          <w:color w:val="111111"/>
          <w:sz w:val="28"/>
          <w:szCs w:val="28"/>
          <w:rtl/>
        </w:rPr>
        <w:t xml:space="preserve">یأتی بتخلصه محبتی‏</w:t>
      </w:r>
    </w:p>
    <w:p>
      <w:pPr>
        <w:pStyle w:val="Heading3"/>
      </w:pPr>
      <w:bookmarkStart w:id="3855" w:name="_Toc2551"/>
      <w:r>
        <w:t>دیوان دیوانه‏</w:t>
      </w:r>
      <w:bookmarkEnd w:id="3855"/>
    </w:p>
    <w:p>
      <w:pPr>
        <w:pStyle w:val="BookText"/>
      </w:pPr>
      <w:r>
        <w:rPr>
          <w:rFonts w:ascii="IRNazanin" w:hAnsi="IRNazanin" w:eastAsia="IRNazanin" w:cs="IRNazanin"/>
          <w:lang w:bidi="fa-IR"/>
          <w:color w:val="111111"/>
          <w:sz w:val="28"/>
          <w:szCs w:val="28"/>
          <w:rtl/>
        </w:rPr>
        <w:t xml:space="preserve">هو تخلص صدر دیوانه یأتی فی الصاد لشهرته بالصدر</w:t>
      </w:r>
    </w:p>
    <w:p>
      <w:pPr>
        <w:pStyle w:val="Heading3"/>
      </w:pPr>
      <w:bookmarkStart w:id="3856" w:name="_Toc2552"/>
      <w:r>
        <w:t>1979- دیوان دیوانه آذربایجانی‏</w:t>
      </w:r>
      <w:bookmarkEnd w:id="3856"/>
    </w:p>
    <w:p>
      <w:pPr>
        <w:pStyle w:val="BookText"/>
      </w:pPr>
      <w:r>
        <w:rPr>
          <w:rFonts w:ascii="IRNazanin" w:hAnsi="IRNazanin" w:eastAsia="IRNazanin" w:cs="IRNazanin"/>
          <w:lang w:bidi="fa-IR"/>
          <w:color w:val="111111"/>
          <w:sz w:val="28"/>
          <w:szCs w:val="28"/>
          <w:rtl/>
        </w:rPr>
        <w:t xml:space="preserve">ترجمه فی (دجا- ص 152) حکایة عن حدیقة الشعراء و ذکر أنه من شعراء عصر السلطان فتح علی شاه و أشعاره بالترکیة</w:t>
      </w:r>
    </w:p>
    <w:p>
      <w:pPr>
        <w:pStyle w:val="Heading3"/>
      </w:pPr>
      <w:bookmarkStart w:id="3857" w:name="_Toc2553"/>
      <w:r>
        <w:t>1980- دیوان دیوانه أصفهانی‏</w:t>
      </w:r>
      <w:bookmarkEnd w:id="3857"/>
    </w:p>
    <w:p>
      <w:pPr>
        <w:pStyle w:val="BookText"/>
      </w:pPr>
      <w:r>
        <w:rPr>
          <w:rFonts w:ascii="IRNazanin" w:hAnsi="IRNazanin" w:eastAsia="IRNazanin" w:cs="IRNazanin"/>
          <w:lang w:bidi="fa-IR"/>
          <w:color w:val="111111"/>
          <w:sz w:val="28"/>
          <w:szCs w:val="28"/>
          <w:rtl/>
        </w:rPr>
        <w:t xml:space="preserve">و هو لعلی بن باقر المعاصر ولد (1277 ش) و کان عامیا لا یقرأ حتی أربعین سنة فتعلم الکتابة حینئذ و طبع دیوانه فی (1318 ش) فی (133 ص)</w:t>
      </w:r>
    </w:p>
    <w:p>
      <w:pPr>
        <w:pStyle w:val="Heading3"/>
      </w:pPr>
      <w:bookmarkStart w:id="3858" w:name="_Toc2554"/>
      <w:r>
        <w:t>1981- دیوان دیوانه بغدادی أو شعره‏</w:t>
      </w:r>
      <w:bookmarkEnd w:id="3858"/>
    </w:p>
    <w:p>
      <w:pPr>
        <w:pStyle w:val="BookText"/>
      </w:pPr>
      <w:r>
        <w:rPr>
          <w:rFonts w:ascii="IRNazanin" w:hAnsi="IRNazanin" w:eastAsia="IRNazanin" w:cs="IRNazanin"/>
          <w:lang w:bidi="fa-IR"/>
          <w:color w:val="111111"/>
          <w:sz w:val="28"/>
          <w:szCs w:val="28"/>
          <w:rtl/>
        </w:rPr>
        <w:t xml:space="preserve">أورد شعره فی (گلشن- ص 166) و فصل قصة غرامه فی (روشن- ص 224- 225) و (حسینی- ص 121)</w:t>
      </w:r>
    </w:p>
    <w:p>
      <w:pPr>
        <w:pStyle w:val="Heading3"/>
      </w:pPr>
      <w:bookmarkStart w:id="3859" w:name="_Toc2555"/>
      <w:r>
        <w:t>1982- دیوان دیوانه بلخی أو شعره‏</w:t>
      </w:r>
      <w:bookmarkEnd w:id="3859"/>
    </w:p>
    <w:p>
      <w:pPr>
        <w:pStyle w:val="BookText"/>
      </w:pPr>
      <w:r>
        <w:rPr>
          <w:rFonts w:ascii="IRNazanin" w:hAnsi="IRNazanin" w:eastAsia="IRNazanin" w:cs="IRNazanin"/>
          <w:lang w:bidi="fa-IR"/>
          <w:color w:val="111111"/>
          <w:sz w:val="28"/>
          <w:szCs w:val="28"/>
          <w:rtl/>
        </w:rPr>
        <w:t xml:space="preserve">ترجمه الحکیم شاه محمد فی (بهش 2- ص 386) و ذکر أنه کان یکتب سبعة أنواع من الخطوط جیدا و ینظم الشعر أیضا جیدا و أورد بعض شعره‏</w:t>
      </w:r>
    </w:p>
    <w:p>
      <w:pPr>
        <w:pStyle w:val="Heading3"/>
      </w:pPr>
      <w:bookmarkStart w:id="3860" w:name="_Toc2556"/>
      <w:r>
        <w:t>1983- دیوان دیوانه پهلوان حسین أو شعره‏</w:t>
      </w:r>
      <w:bookmarkEnd w:id="3860"/>
    </w:p>
    <w:p>
      <w:pPr>
        <w:pStyle w:val="BookText"/>
      </w:pPr>
      <w:r>
        <w:rPr>
          <w:rFonts w:ascii="IRNazanin" w:hAnsi="IRNazanin" w:eastAsia="IRNazanin" w:cs="IRNazanin"/>
          <w:lang w:bidi="fa-IR"/>
          <w:color w:val="111111"/>
          <w:sz w:val="28"/>
          <w:szCs w:val="28"/>
          <w:rtl/>
        </w:rPr>
        <w:t xml:space="preserve">و هو المقتول فی قراباغ ترجمه فی (مجن 2- ص 52 و 225) و أورد شعره‏</w:t>
      </w:r>
    </w:p>
    <w:p>
      <w:pPr>
        <w:pStyle w:val="Heading3"/>
      </w:pPr>
      <w:bookmarkStart w:id="3861" w:name="_Toc2557"/>
      <w:r>
        <w:t>1984- دیوان دیوانه قمشهی‏</w:t>
      </w:r>
      <w:bookmarkEnd w:id="3861"/>
    </w:p>
    <w:p>
      <w:pPr>
        <w:pStyle w:val="BookText"/>
      </w:pPr>
      <w:r>
        <w:rPr>
          <w:rFonts w:ascii="IRNazanin" w:hAnsi="IRNazanin" w:eastAsia="IRNazanin" w:cs="IRNazanin"/>
          <w:lang w:bidi="fa-IR"/>
          <w:color w:val="111111"/>
          <w:sz w:val="28"/>
          <w:szCs w:val="28"/>
          <w:rtl/>
        </w:rPr>
        <w:t xml:space="preserve">هو الشیخ أسد الله بن المشهدی جعفر القمشه‏إی، تلمذ علی الحکیم میرزا نصر الله القمشه‏إی من تلامیذ أسرار السبزواری بقمشه، ثم سافر إلی أصفهان و سکن مدرسة چهار باغ و مهر فی الأدب و الفلسفة و تعلم اللغة الإفرنسیة و لکنه مات فی شبابه و له ست و ثلاثون سنة فی (1334) و دفن بتخت فولاد کذا ترجمه محمد باقر ألفت فی أول دیوانه الذی طبع منه (16 ص) ضمن دانش‏نامه بأصفهان فی (1342) ثم طبع مرة أخری فی (1314 ش) باهتمام شهشهانی مستقلا بقطع صغیر</w:t>
      </w:r>
    </w:p>
    <w:p>
      <w:pPr>
        <w:pStyle w:val="Heading3"/>
      </w:pPr>
      <w:bookmarkStart w:id="3862" w:name="_Toc2558"/>
      <w:r>
        <w:t>1985- دیوان دیوانه مشهدی‏</w:t>
      </w:r>
      <w:bookmarkEnd w:id="3862"/>
    </w:p>
    <w:p>
      <w:pPr>
        <w:pStyle w:val="BookText"/>
      </w:pPr>
      <w:r>
        <w:rPr>
          <w:rFonts w:ascii="IRNazanin" w:hAnsi="IRNazanin" w:eastAsia="IRNazanin" w:cs="IRNazanin"/>
          <w:lang w:bidi="fa-IR"/>
          <w:color w:val="111111"/>
          <w:sz w:val="28"/>
          <w:szCs w:val="28"/>
          <w:rtl/>
        </w:rPr>
        <w:t xml:space="preserve">و اسمه محمد قاسم من تلامیذ صائب ترجمه فی (سرخوش- ص 93) و قال لم یأت الهند و لکن اشتهر بها و أیضا فی (حسینی- ص 269) (أقول) و طبع دیوانه بنولکشور کما فی فهرس مطبوعاتها و هو غیر أرسلان الآتی بعنوان قاسم طوسی و راجع قاسم دیوانه‏</w:t>
      </w:r>
    </w:p>
    <w:p>
      <w:pPr>
        <w:pStyle w:val="Heading3"/>
      </w:pPr>
      <w:bookmarkStart w:id="3863" w:name="_Toc2559"/>
      <w:r>
        <w:t>1986- دیوان دیوانه نقاش تبریزی أو شعره‏</w:t>
      </w:r>
      <w:bookmarkEnd w:id="3863"/>
    </w:p>
    <w:p>
      <w:pPr>
        <w:pStyle w:val="BookText"/>
      </w:pPr>
      <w:r>
        <w:rPr>
          <w:rFonts w:ascii="IRNazanin" w:hAnsi="IRNazanin" w:eastAsia="IRNazanin" w:cs="IRNazanin"/>
          <w:lang w:bidi="fa-IR"/>
          <w:color w:val="111111"/>
          <w:sz w:val="28"/>
          <w:szCs w:val="28"/>
          <w:rtl/>
        </w:rPr>
        <w:t xml:space="preserve">من ندماء السلطان یعقوب المتوفی‏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32" w:name="pg11704_121812"/>
    <w:bookmarkEnd w:id="332"/>
    <w:p>
      <w:pPr>
        <w:pStyle w:val="BookText"/>
      </w:pPr>
      <w:r>
        <w:rPr>
          <w:rFonts w:ascii="IRNazanin" w:hAnsi="IRNazanin" w:eastAsia="IRNazanin" w:cs="IRNazanin"/>
          <w:lang w:bidi="fa-IR"/>
          <w:color w:val="111111"/>
          <w:sz w:val="28"/>
          <w:szCs w:val="28"/>
          <w:rtl/>
        </w:rPr>
        <w:t xml:space="preserve">(896) ترجمه سام میرزا فی (تس 7 ص 190) و أورد مطلع غزله و عنه فی (دجا- ص 151)</w:t>
      </w:r>
    </w:p>
    <w:p>
      <w:pPr>
        <w:pStyle w:val="Heading3"/>
      </w:pPr>
      <w:bookmarkStart w:id="3864" w:name="_Toc2560"/>
      <w:r>
        <w:t>1987- دیوان دیوانه نیشابوری أو شعره‏</w:t>
      </w:r>
      <w:bookmarkEnd w:id="3864"/>
    </w:p>
    <w:p>
      <w:pPr>
        <w:pStyle w:val="BookText"/>
      </w:pPr>
      <w:r>
        <w:rPr>
          <w:rFonts w:ascii="IRNazanin" w:hAnsi="IRNazanin" w:eastAsia="IRNazanin" w:cs="IRNazanin"/>
          <w:lang w:bidi="fa-IR"/>
          <w:color w:val="111111"/>
          <w:sz w:val="28"/>
          <w:szCs w:val="28"/>
          <w:rtl/>
        </w:rPr>
        <w:t xml:space="preserve">ترجمه فی (مجتس 3- ص 161) و ذکر أنه من قدماء الشعراء و أورد رباعیة له و عنه أخذ فی (روشن- ص 226)</w:t>
      </w:r>
    </w:p>
    <w:p>
      <w:pPr>
        <w:pStyle w:val="Heading3"/>
      </w:pPr>
      <w:bookmarkStart w:id="3865" w:name="_Toc2561"/>
      <w:r>
        <w:t>1988- دیوان دیولی‏</w:t>
      </w:r>
      <w:bookmarkEnd w:id="3865"/>
    </w:p>
    <w:p>
      <w:pPr>
        <w:pStyle w:val="BookText"/>
      </w:pPr>
      <w:r>
        <w:rPr>
          <w:rFonts w:ascii="IRNazanin" w:hAnsi="IRNazanin" w:eastAsia="IRNazanin" w:cs="IRNazanin"/>
          <w:lang w:bidi="fa-IR"/>
          <w:color w:val="111111"/>
          <w:sz w:val="28"/>
          <w:szCs w:val="28"/>
          <w:rtl/>
        </w:rPr>
        <w:t xml:space="preserve">ترجمه فی (مع- ج 1 ص 218) و ذکر أنه من أهل دیول من توابع تته بالهند، و معربه دیبل، و ذکر أنه لم یر دیوانه لکنه نقل جملة من أشعاره عن تذکر الشعراء</w:t>
      </w:r>
    </w:p>
    <w:p>
      <w:pPr>
        <w:pStyle w:val="Heading3"/>
      </w:pPr>
      <w:bookmarkStart w:id="3866" w:name="_Toc2562"/>
      <w:r>
        <w:t>1989- دیوان دیهیم أصفهانی‏</w:t>
      </w:r>
      <w:bookmarkEnd w:id="3866"/>
    </w:p>
    <w:p>
      <w:pPr>
        <w:pStyle w:val="BookText"/>
      </w:pPr>
      <w:r>
        <w:rPr>
          <w:rFonts w:ascii="IRNazanin" w:hAnsi="IRNazanin" w:eastAsia="IRNazanin" w:cs="IRNazanin"/>
          <w:lang w:bidi="fa-IR"/>
          <w:color w:val="111111"/>
          <w:sz w:val="28"/>
          <w:szCs w:val="28"/>
          <w:rtl/>
        </w:rPr>
        <w:t xml:space="preserve">و اسمه محمد علی بیگ أورد شعره فی (روشن- ص 226)</w:t>
      </w:r>
    </w:p>
    <w:p>
      <w:pPr>
        <w:pStyle w:val="Heading3"/>
      </w:pPr>
      <w:bookmarkStart w:id="3867" w:name="_Toc2563"/>
      <w:r>
        <w:t>1990- دیوان دیهیم قزوینی أو شعره‏</w:t>
      </w:r>
      <w:bookmarkEnd w:id="3867"/>
    </w:p>
    <w:p>
      <w:pPr>
        <w:pStyle w:val="BookText"/>
      </w:pPr>
      <w:r>
        <w:rPr>
          <w:rFonts w:ascii="IRNazanin" w:hAnsi="IRNazanin" w:eastAsia="IRNazanin" w:cs="IRNazanin"/>
          <w:lang w:bidi="fa-IR"/>
          <w:color w:val="111111"/>
          <w:sz w:val="28"/>
          <w:szCs w:val="28"/>
          <w:rtl/>
        </w:rPr>
        <w:t xml:space="preserve">و اسمه إسماعیل بیک أورد شعره فی (روشن- ص 226)</w:t>
      </w:r>
    </w:p>
    <w:p>
      <w:pPr>
        <w:pStyle w:val="Heading3"/>
      </w:pPr>
      <w:bookmarkStart w:id="3868" w:name="_Toc2564"/>
      <w:r>
        <w:t>1991- دیوان دیهیم لاهیجانی‏</w:t>
      </w:r>
      <w:bookmarkEnd w:id="3868"/>
    </w:p>
    <w:p>
      <w:pPr>
        <w:pStyle w:val="BookText"/>
      </w:pPr>
      <w:r>
        <w:rPr>
          <w:rFonts w:ascii="IRNazanin" w:hAnsi="IRNazanin" w:eastAsia="IRNazanin" w:cs="IRNazanin"/>
          <w:lang w:bidi="fa-IR"/>
          <w:color w:val="111111"/>
          <w:sz w:val="28"/>
          <w:szCs w:val="28"/>
          <w:rtl/>
        </w:rPr>
        <w:t xml:space="preserve">المعلم فی طهران و المتوفی (1374) کان یعد شاعر البلاط رأیت بعض شعره‏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33" w:name="pg11704_121813"/>
    <w:bookmarkEnd w:id="333"/>
    <w:p>
      <w:pPr>
        <w:pStyle w:val="Heading2"/>
      </w:pPr>
      <w:bookmarkStart w:id="3869" w:name="_Toc2565"/>
      <w:r>
        <w:t>الجزء الثانی</w:t>
      </w:r>
      <w:bookmarkEnd w:id="3869"/>
    </w:p>
    <w:p>
      <w:pPr>
        <w:pStyle w:val="Heading3"/>
      </w:pPr>
      <w:bookmarkStart w:id="3870" w:name="_Toc2566"/>
      <w:r>
        <w:t>اشارة</w:t>
      </w:r>
      <w:bookmarkEnd w:id="3870"/>
    </w:p>
    <w:p>
      <w:pPr>
        <w:pStyle w:val="BookText"/>
      </w:pPr>
      <w:r>
        <w:rPr>
          <w:rFonts w:ascii="IRNazanin" w:hAnsi="IRNazanin" w:eastAsia="IRNazanin" w:cs="IRNazanin"/>
          <w:lang w:bidi="fa-IR"/>
          <w:color w:val="111111"/>
          <w:sz w:val="28"/>
          <w:szCs w:val="28"/>
          <w:rtl/>
        </w:rPr>
        <w:t xml:space="preserve">[بیان]</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علی خیر خلقه محمد و آله الطاهرین. و بعد فهذا هو القسم الثانی من الجزء التاسع من الذریعة الخاص بالشعر و الشعراء نقدمه إلی القراء الکرام راجین منهم إصلاح الخطإ الذی لا یخلو منه إنسان.</w:t>
      </w:r>
    </w:p>
    <w:p>
      <w:pPr>
        <w:pStyle w:val="BookText"/>
      </w:pPr>
      <w:r>
        <w:rPr>
          <w:rFonts w:ascii="IRNazanin" w:hAnsi="IRNazanin" w:eastAsia="IRNazanin" w:cs="IRNazanin"/>
          <w:lang w:bidi="fa-IR"/>
          <w:color w:val="111111"/>
          <w:sz w:val="28"/>
          <w:szCs w:val="28"/>
          <w:rtl/>
        </w:rPr>
        <w:t xml:space="preserve">المؤلف‏</w:t>
      </w:r>
    </w:p>
    <w:p>
      <w:pPr>
        <w:pStyle w:val="Heading3"/>
      </w:pPr>
      <w:bookmarkStart w:id="3871" w:name="_Toc2567"/>
      <w:r>
        <w:t>1992- دیوان ذاتی کبانی‏</w:t>
      </w:r>
      <w:bookmarkEnd w:id="3871"/>
    </w:p>
    <w:p>
      <w:pPr>
        <w:pStyle w:val="BookText"/>
      </w:pPr>
      <w:r>
        <w:rPr>
          <w:rFonts w:ascii="IRNazanin" w:hAnsi="IRNazanin" w:eastAsia="IRNazanin" w:cs="IRNazanin"/>
          <w:lang w:bidi="fa-IR"/>
          <w:color w:val="111111"/>
          <w:sz w:val="28"/>
          <w:szCs w:val="28"/>
          <w:rtl/>
        </w:rPr>
        <w:t xml:space="preserve">من شعراء قم. ترجمه سام میرزا فی (تس 5- ص 174) و ذکر أنه کان ماهرا فی الصنائع الشعریة، و له تمام المیل بنظم القصیدة و الغزل و له:</w:t>
      </w:r>
    </w:p>
    <w:p>
      <w:pPr>
        <w:pStyle w:val="BookText"/>
      </w:pPr>
      <w:r>
        <w:rPr>
          <w:rFonts w:ascii="IRNazanin" w:hAnsi="IRNazanin" w:eastAsia="IRNazanin" w:cs="IRNazanin"/>
          <w:lang w:bidi="fa-IR"/>
          <w:color w:val="111111"/>
          <w:sz w:val="28"/>
          <w:szCs w:val="28"/>
          <w:rtl/>
        </w:rPr>
        <w:t xml:space="preserve">بکنه ذات تو هرگز نمی‏رسد ذاتی‏</w:t>
      </w:r>
    </w:p>
    <w:p>
      <w:pPr>
        <w:pStyle w:val="BookText"/>
      </w:pPr>
      <w:r>
        <w:rPr>
          <w:rFonts w:ascii="IRNazanin" w:hAnsi="IRNazanin" w:eastAsia="IRNazanin" w:cs="IRNazanin"/>
          <w:lang w:bidi="fa-IR"/>
          <w:color w:val="111111"/>
          <w:sz w:val="28"/>
          <w:szCs w:val="28"/>
          <w:rtl/>
        </w:rPr>
        <w:t xml:space="preserve">یکی ز ذات تو می‏گوید از صفات یکی‏</w:t>
      </w:r>
    </w:p>
    <w:p>
      <w:pPr>
        <w:pStyle w:val="Heading3"/>
      </w:pPr>
      <w:bookmarkStart w:id="3872" w:name="_Toc2568"/>
      <w:r>
        <w:t>1993- دیوان ذاتی هروی أو شعره‏</w:t>
      </w:r>
      <w:bookmarkEnd w:id="3872"/>
    </w:p>
    <w:p>
      <w:pPr>
        <w:pStyle w:val="BookText"/>
      </w:pPr>
      <w:r>
        <w:rPr>
          <w:rFonts w:ascii="IRNazanin" w:hAnsi="IRNazanin" w:eastAsia="IRNazanin" w:cs="IRNazanin"/>
          <w:lang w:bidi="fa-IR"/>
          <w:color w:val="111111"/>
          <w:sz w:val="28"/>
          <w:szCs w:val="28"/>
          <w:rtl/>
        </w:rPr>
        <w:t xml:space="preserve">أطری شعره معاصره المیر علی شیر فی (مجن 3- ص 88 و 262) ثم فی (روشن- ص 226).</w:t>
      </w:r>
    </w:p>
    <w:p>
      <w:pPr>
        <w:pStyle w:val="Heading3"/>
      </w:pPr>
      <w:bookmarkStart w:id="3873" w:name="_Toc2569"/>
      <w:r>
        <w:t>دیوان ذاکر</w:t>
      </w:r>
      <w:bookmarkEnd w:id="3873"/>
    </w:p>
    <w:p>
      <w:pPr>
        <w:pStyle w:val="BookText"/>
      </w:pPr>
      <w:r>
        <w:rPr>
          <w:rFonts w:ascii="IRNazanin" w:hAnsi="IRNazanin" w:eastAsia="IRNazanin" w:cs="IRNazanin"/>
          <w:lang w:bidi="fa-IR"/>
          <w:color w:val="111111"/>
          <w:sz w:val="28"/>
          <w:szCs w:val="28"/>
          <w:rtl/>
        </w:rPr>
        <w:t xml:space="preserve">مر بعنوان خزائن الأشعار فی (ج 7 ص 153).</w:t>
      </w:r>
    </w:p>
    <w:p>
      <w:pPr>
        <w:pStyle w:val="Heading3"/>
      </w:pPr>
      <w:bookmarkStart w:id="3874" w:name="_Toc2570"/>
      <w:r>
        <w:t>1994- دیوان ذاکر کشمیری‏</w:t>
      </w:r>
      <w:bookmarkEnd w:id="3874"/>
    </w:p>
    <w:p>
      <w:pPr>
        <w:pStyle w:val="BookText"/>
      </w:pPr>
      <w:r>
        <w:rPr>
          <w:rFonts w:ascii="IRNazanin" w:hAnsi="IRNazanin" w:eastAsia="IRNazanin" w:cs="IRNazanin"/>
          <w:lang w:bidi="fa-IR"/>
          <w:color w:val="111111"/>
          <w:sz w:val="28"/>
          <w:szCs w:val="28"/>
          <w:rtl/>
        </w:rPr>
        <w:t xml:space="preserve">و هو محمد دائم. سافر فی شبابه من وطنه إلی لاهور ثم بنارس و بها تزوج ثم ساح بلاد الصین و رجع، و مات عن خمس و ستین سنة من عمره و له دیوان مختصر. کذا ترجمه فی (روشن- ص 226).</w:t>
      </w:r>
    </w:p>
    <w:p>
      <w:pPr>
        <w:pStyle w:val="Heading3"/>
      </w:pPr>
      <w:bookmarkStart w:id="3875" w:name="_Toc2571"/>
      <w:r>
        <w:t>1995- دیوان ذاکر قراباغی‏</w:t>
      </w:r>
      <w:bookmarkEnd w:id="3875"/>
    </w:p>
    <w:p>
      <w:pPr>
        <w:pStyle w:val="BookText"/>
      </w:pPr>
      <w:r>
        <w:rPr>
          <w:rFonts w:ascii="IRNazanin" w:hAnsi="IRNazanin" w:eastAsia="IRNazanin" w:cs="IRNazanin"/>
          <w:lang w:bidi="fa-IR"/>
          <w:color w:val="111111"/>
          <w:sz w:val="28"/>
          <w:szCs w:val="28"/>
          <w:rtl/>
        </w:rPr>
        <w:t xml:space="preserve">قاسم بیک بن علی بیک من قریة خضر فی قراباغ ولد فی شیشه (1205) و توفی (1271) و دیوانه ترکی. أورد مطلعا منه فی (دجا- ص 152) ثم ذکر أن فی کتاب أشعار شعراء آذربایجان تألیف آدولف برژه الإفرنسی المطبوع فی لبسیک (1867) أورد من (ص 46- إلی 113) أشعار ذاکر.</w:t>
      </w:r>
    </w:p>
    <w:p>
      <w:pPr>
        <w:pStyle w:val="Heading3"/>
      </w:pPr>
      <w:bookmarkStart w:id="3876" w:name="_Toc2572"/>
      <w:r>
        <w:t>1996- دیوان ذاکر الثانی‏</w:t>
      </w:r>
      <w:bookmarkEnd w:id="3876"/>
    </w:p>
    <w:p>
      <w:pPr>
        <w:pStyle w:val="BookText"/>
      </w:pPr>
      <w:r>
        <w:rPr>
          <w:rFonts w:ascii="IRNazanin" w:hAnsi="IRNazanin" w:eastAsia="IRNazanin" w:cs="IRNazanin"/>
          <w:lang w:bidi="fa-IR"/>
          <w:color w:val="111111"/>
          <w:sz w:val="28"/>
          <w:szCs w:val="28"/>
          <w:rtl/>
        </w:rPr>
        <w:t xml:space="preserve">المسمی بقاسم أیضا، و هو حفید القاسم الأول، و دیوان أشعاره أیضا ترکی. و توفی (1314) کما فی (دجا- ص 152). عن کتاب ریاض العاشقین.</w:t>
      </w:r>
    </w:p>
    <w:p>
      <w:pPr>
        <w:pStyle w:val="Heading3"/>
      </w:pPr>
      <w:bookmarkStart w:id="3877" w:name="_Toc2573"/>
      <w:r>
        <w:t>1997- دیوان ذبیح گنجوی‏</w:t>
      </w:r>
      <w:bookmarkEnd w:id="3877"/>
    </w:p>
    <w:p>
      <w:pPr>
        <w:pStyle w:val="BookText"/>
      </w:pPr>
      <w:r>
        <w:rPr>
          <w:rFonts w:ascii="IRNazanin" w:hAnsi="IRNazanin" w:eastAsia="IRNazanin" w:cs="IRNazanin"/>
          <w:lang w:bidi="fa-IR"/>
          <w:color w:val="111111"/>
          <w:sz w:val="28"/>
          <w:szCs w:val="28"/>
          <w:rtl/>
        </w:rPr>
        <w:t xml:space="preserve">الآقا إسماعیل من أهل گنجه مشتمل علی الأشعار الفارسیة و الترکیة. حکاه فی (دجا- ص 152) عن الجزء الثالث من کتاب تاریخ أدبیات آذربایجان لفریدون کوچولی.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34" w:name="pg11704_121814"/>
    <w:bookmarkEnd w:id="334"/>
    <w:p>
      <w:pPr>
        <w:pStyle w:val="Heading3"/>
      </w:pPr>
      <w:bookmarkStart w:id="3878" w:name="_Toc2574"/>
      <w:r>
        <w:t>1998- دیوان ذبیح أصفهانی‏</w:t>
      </w:r>
      <w:bookmarkEnd w:id="3878"/>
    </w:p>
    <w:p>
      <w:pPr>
        <w:pStyle w:val="BookText"/>
      </w:pPr>
      <w:r>
        <w:rPr>
          <w:rFonts w:ascii="IRNazanin" w:hAnsi="IRNazanin" w:eastAsia="IRNazanin" w:cs="IRNazanin"/>
          <w:lang w:bidi="fa-IR"/>
          <w:color w:val="111111"/>
          <w:sz w:val="28"/>
          <w:szCs w:val="28"/>
          <w:rtl/>
        </w:rPr>
        <w:t xml:space="preserve">قال النصرآبادی فی (نر 9- ص 299) إنه کان منزویا، و أورد شعره، و منها هائیة مع ردیف تو فرنگی و تخلصه فیه ذبیحی و هی:</w:t>
      </w:r>
    </w:p>
    <w:p>
      <w:pPr>
        <w:pStyle w:val="BookText"/>
      </w:pPr>
      <w:r>
        <w:rPr>
          <w:rFonts w:ascii="IRNazanin" w:hAnsi="IRNazanin" w:eastAsia="IRNazanin" w:cs="IRNazanin"/>
          <w:lang w:bidi="fa-IR"/>
          <w:color w:val="111111"/>
          <w:sz w:val="28"/>
          <w:szCs w:val="28"/>
          <w:rtl/>
        </w:rPr>
        <w:t xml:space="preserve">از قتل ذبیحی مکن اندیشه که عیسی‏</w:t>
      </w:r>
    </w:p>
    <w:p>
      <w:pPr>
        <w:pStyle w:val="BookText"/>
      </w:pPr>
      <w:r>
        <w:rPr>
          <w:rFonts w:ascii="IRNazanin" w:hAnsi="IRNazanin" w:eastAsia="IRNazanin" w:cs="IRNazanin"/>
          <w:lang w:bidi="fa-IR"/>
          <w:color w:val="111111"/>
          <w:sz w:val="28"/>
          <w:szCs w:val="28"/>
          <w:rtl/>
        </w:rPr>
        <w:t xml:space="preserve">خواهد ز خدا عذر گناه تو فرنگی‏</w:t>
      </w:r>
    </w:p>
    <w:p>
      <w:pPr>
        <w:pStyle w:val="BookText"/>
      </w:pPr>
      <w:r>
        <w:rPr>
          <w:rFonts w:ascii="IRNazanin" w:hAnsi="IRNazanin" w:eastAsia="IRNazanin" w:cs="IRNazanin"/>
          <w:lang w:bidi="fa-IR"/>
          <w:color w:val="111111"/>
          <w:sz w:val="28"/>
          <w:szCs w:val="28"/>
          <w:rtl/>
        </w:rPr>
        <w:t xml:space="preserve">و منها تاریخه لبناء مزار الإمام‏زادة فی (1072) و تخلصه فیه ذبیح و هی:</w:t>
      </w:r>
    </w:p>
    <w:p>
      <w:pPr>
        <w:pStyle w:val="BookText"/>
      </w:pPr>
      <w:r>
        <w:rPr>
          <w:rFonts w:ascii="IRNazanin" w:hAnsi="IRNazanin" w:eastAsia="IRNazanin" w:cs="IRNazanin"/>
          <w:lang w:bidi="fa-IR"/>
          <w:color w:val="111111"/>
          <w:sz w:val="28"/>
          <w:szCs w:val="28"/>
          <w:rtl/>
        </w:rPr>
        <w:t xml:space="preserve">لبیک زنان ذبیح تاریخش گفت:</w:t>
      </w:r>
    </w:p>
    <w:p>
      <w:pPr>
        <w:pStyle w:val="BookText"/>
      </w:pPr>
      <w:r>
        <w:rPr>
          <w:rFonts w:ascii="IRNazanin" w:hAnsi="IRNazanin" w:eastAsia="IRNazanin" w:cs="IRNazanin"/>
          <w:lang w:bidi="fa-IR"/>
          <w:color w:val="111111"/>
          <w:sz w:val="28"/>
          <w:szCs w:val="28"/>
          <w:rtl/>
        </w:rPr>
        <w:t xml:space="preserve">این کعبه صفا یافته از إبراهیم 1072</w:t>
      </w:r>
    </w:p>
    <w:p>
      <w:pPr>
        <w:pStyle w:val="BookText"/>
      </w:pPr>
      <w:r>
        <w:rPr>
          <w:rFonts w:ascii="IRNazanin" w:hAnsi="IRNazanin" w:eastAsia="IRNazanin" w:cs="IRNazanin"/>
          <w:lang w:bidi="fa-IR"/>
          <w:color w:val="111111"/>
          <w:sz w:val="28"/>
          <w:szCs w:val="28"/>
          <w:rtl/>
        </w:rPr>
        <w:t xml:space="preserve">و لعله الذی أورد شعره فی (گلشن- ص 166) بعنوان إسماعیل ذبیح.</w:t>
      </w:r>
    </w:p>
    <w:p>
      <w:pPr>
        <w:pStyle w:val="Heading3"/>
      </w:pPr>
      <w:bookmarkStart w:id="3879" w:name="_Toc2575"/>
      <w:r>
        <w:t>دیوان ذبیحی أصفهانی‏</w:t>
      </w:r>
      <w:bookmarkEnd w:id="3879"/>
    </w:p>
    <w:p>
      <w:pPr>
        <w:pStyle w:val="BookText"/>
      </w:pPr>
      <w:r>
        <w:rPr>
          <w:rFonts w:ascii="IRNazanin" w:hAnsi="IRNazanin" w:eastAsia="IRNazanin" w:cs="IRNazanin"/>
          <w:lang w:bidi="fa-IR"/>
          <w:color w:val="111111"/>
          <w:sz w:val="28"/>
          <w:szCs w:val="28"/>
          <w:rtl/>
        </w:rPr>
        <w:t xml:space="preserve">راجع ذبیح أصفهانی.</w:t>
      </w:r>
    </w:p>
    <w:p>
      <w:pPr>
        <w:pStyle w:val="Heading3"/>
      </w:pPr>
      <w:bookmarkStart w:id="3880" w:name="_Toc2576"/>
      <w:r>
        <w:t>1999- دیوان ذبیحی أفشار</w:t>
      </w:r>
      <w:bookmarkEnd w:id="3880"/>
    </w:p>
    <w:p>
      <w:pPr>
        <w:pStyle w:val="BookText"/>
      </w:pPr>
      <w:r>
        <w:rPr>
          <w:rFonts w:ascii="IRNazanin" w:hAnsi="IRNazanin" w:eastAsia="IRNazanin" w:cs="IRNazanin"/>
          <w:lang w:bidi="fa-IR"/>
          <w:color w:val="111111"/>
          <w:sz w:val="28"/>
          <w:szCs w:val="28"/>
          <w:rtl/>
        </w:rPr>
        <w:t xml:space="preserve">و هو النواب إسماعیل میرزا من أحفاد نادر شاه. کان خطاطا بالنسخ الجید، أحضره الشاه من خراسان إلی طهران، و بعد مدة سکن کرمان فی حمایة والیها إبراهیم خان قاجار، ثم سکن مدة بأصفهان و مدح منوچهر خان معتمد الدولة بقصائد أوردها بهار فی المدائح.</w:t>
      </w:r>
    </w:p>
    <w:p>
      <w:pPr>
        <w:pStyle w:val="Heading3"/>
      </w:pPr>
      <w:bookmarkStart w:id="3881" w:name="_Toc2577"/>
      <w:r>
        <w:t>2000- دیوان ذبیحی یزدی‏</w:t>
      </w:r>
      <w:bookmarkEnd w:id="3881"/>
    </w:p>
    <w:p>
      <w:pPr>
        <w:pStyle w:val="BookText"/>
      </w:pPr>
      <w:r>
        <w:rPr>
          <w:rFonts w:ascii="IRNazanin" w:hAnsi="IRNazanin" w:eastAsia="IRNazanin" w:cs="IRNazanin"/>
          <w:lang w:bidi="fa-IR"/>
          <w:color w:val="111111"/>
          <w:sz w:val="28"/>
          <w:szCs w:val="28"/>
          <w:rtl/>
        </w:rPr>
        <w:t xml:space="preserve">و اسمه إسماعیل، کان ماهرا فی الأسطرلاب و العلوم الغریبة، و کان منشیا لحسن غبغب حاکم یزد و بأمره نظم مثنوی نرگس‏دان و تاریخ نظمه [نرگس‏دان ذبیحی 1115] و له مثنوی نظمه فی جلوس الشاه سلطان حسین الصفوی فی (1105) کل مصرع منه تاریخ. هذا ما ذکره فی (تش یز- ص 289) مع أغلاط، و قال مات فی (1150) و دفن بصفة قبلی میدان شاه القدیم جنب العباسیة.</w:t>
      </w:r>
    </w:p>
    <w:p>
      <w:pPr>
        <w:pStyle w:val="BookText"/>
      </w:pPr>
      <w:r>
        <w:rPr>
          <w:rFonts w:ascii="IRNazanin" w:hAnsi="IRNazanin" w:eastAsia="IRNazanin" w:cs="IRNazanin"/>
          <w:lang w:bidi="fa-IR"/>
          <w:color w:val="111111"/>
          <w:sz w:val="28"/>
          <w:szCs w:val="28"/>
          <w:rtl/>
        </w:rPr>
        <w:t xml:space="preserve">و لکن بقائه إلی هذا التاریخ بعید.</w:t>
      </w:r>
    </w:p>
    <w:p>
      <w:pPr>
        <w:pStyle w:val="Heading3"/>
      </w:pPr>
      <w:bookmarkStart w:id="3882" w:name="_Toc2578"/>
      <w:r>
        <w:t>2001- دیوان ذرة</w:t>
      </w:r>
      <w:bookmarkEnd w:id="3882"/>
    </w:p>
    <w:p>
      <w:pPr>
        <w:pStyle w:val="BookText"/>
      </w:pPr>
      <w:r>
        <w:rPr>
          <w:rFonts w:ascii="IRNazanin" w:hAnsi="IRNazanin" w:eastAsia="IRNazanin" w:cs="IRNazanin"/>
          <w:lang w:bidi="fa-IR"/>
          <w:color w:val="111111"/>
          <w:sz w:val="28"/>
          <w:szCs w:val="28"/>
          <w:rtl/>
        </w:rPr>
        <w:t xml:space="preserve">و اسمه عابد سلطان. نسخه منه کتبت (1302) عند (الملک) تحت رقم (5562) و أظنه بخط الناظم و قد کتب فی آخر فصل غزله بخط إسماعیل بن علی أکبر آجودان باشی توپخانه: أنه اشتری النسخة من ولد الناظم و هی تقرب من (3000 بیت).</w:t>
      </w:r>
    </w:p>
    <w:p>
      <w:pPr>
        <w:pStyle w:val="Heading3"/>
      </w:pPr>
      <w:bookmarkStart w:id="3883" w:name="_Toc2579"/>
      <w:r>
        <w:t>2002- دیوان ذرة أصفهانی أو شعره‏</w:t>
      </w:r>
      <w:bookmarkEnd w:id="3883"/>
    </w:p>
    <w:p>
      <w:pPr>
        <w:pStyle w:val="BookText"/>
      </w:pPr>
      <w:r>
        <w:rPr>
          <w:rFonts w:ascii="IRNazanin" w:hAnsi="IRNazanin" w:eastAsia="IRNazanin" w:cs="IRNazanin"/>
          <w:lang w:bidi="fa-IR"/>
          <w:color w:val="111111"/>
          <w:sz w:val="28"/>
          <w:szCs w:val="28"/>
          <w:rtl/>
        </w:rPr>
        <w:t xml:space="preserve">و هو المیرزا عبد الله بن محمد باقر المجلسی. سکن بخرم‏آباد بعد محاصرة أصفهان و سقوطه بید الأفاغنة. و مات بخرم‏آباد فی رمضان (1137) کذا ترجمه و أورد شعره فی (تغ- ص 53) و فی (گلشن- ص 166) و عنه فی القاموس الترکی ثم الریحانة مغلوطا. و لکن المولی عبد الله هو ابن المولی محمد تقی المجلسی الأول (المتوفی 1070) کما ذکرناه فی (ج 2- ص 94) و فی نجوم السماء- ص 130.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35" w:name="pg11704_121815"/>
    <w:bookmarkEnd w:id="335"/>
    <w:p>
      <w:pPr>
        <w:pStyle w:val="Heading3"/>
      </w:pPr>
      <w:bookmarkStart w:id="3884" w:name="_Toc2580"/>
      <w:r>
        <w:t>2003- دیوان ذرة بلگرامی أو شعره‏</w:t>
      </w:r>
      <w:bookmarkEnd w:id="3884"/>
    </w:p>
    <w:p>
      <w:pPr>
        <w:pStyle w:val="BookText"/>
      </w:pPr>
      <w:r>
        <w:rPr>
          <w:rFonts w:ascii="IRNazanin" w:hAnsi="IRNazanin" w:eastAsia="IRNazanin" w:cs="IRNazanin"/>
          <w:lang w:bidi="fa-IR"/>
          <w:color w:val="111111"/>
          <w:sz w:val="28"/>
          <w:szCs w:val="28"/>
          <w:rtl/>
        </w:rPr>
        <w:t xml:space="preserve">و هو السید افتخار علی بن خورشید علی.</w:t>
      </w:r>
    </w:p>
    <w:p>
      <w:pPr>
        <w:pStyle w:val="BookText"/>
      </w:pPr>
      <w:r>
        <w:rPr>
          <w:rFonts w:ascii="IRNazanin" w:hAnsi="IRNazanin" w:eastAsia="IRNazanin" w:cs="IRNazanin"/>
          <w:lang w:bidi="fa-IR"/>
          <w:color w:val="111111"/>
          <w:sz w:val="28"/>
          <w:szCs w:val="28"/>
          <w:rtl/>
        </w:rPr>
        <w:t xml:space="preserve">ولد (1179) و مات (1240) و تلمذ علی والده و أحسن البلگرامی. کذا فی (روشن- ص 227).</w:t>
      </w:r>
    </w:p>
    <w:p>
      <w:pPr>
        <w:pStyle w:val="Heading3"/>
      </w:pPr>
      <w:bookmarkStart w:id="3885" w:name="_Toc2581"/>
      <w:r>
        <w:t>2004- دیوان ذرة پنجابی‏</w:t>
      </w:r>
      <w:bookmarkEnd w:id="3885"/>
    </w:p>
    <w:p>
      <w:pPr>
        <w:pStyle w:val="BookText"/>
      </w:pPr>
      <w:r>
        <w:rPr>
          <w:rFonts w:ascii="IRNazanin" w:hAnsi="IRNazanin" w:eastAsia="IRNazanin" w:cs="IRNazanin"/>
          <w:lang w:bidi="fa-IR"/>
          <w:color w:val="111111"/>
          <w:sz w:val="28"/>
          <w:szCs w:val="28"/>
          <w:rtl/>
        </w:rPr>
        <w:t xml:space="preserve">کان یتخلص فی شعره الفارسی ذرة و فی الأردویة مهر. أورد شعره فی (گلشن- ص 166).</w:t>
      </w:r>
    </w:p>
    <w:p>
      <w:pPr>
        <w:pStyle w:val="Heading3"/>
      </w:pPr>
      <w:bookmarkStart w:id="3886" w:name="_Toc2582"/>
      <w:r>
        <w:t>2005- دیوان ذرة شیرازی أو شعره‏</w:t>
      </w:r>
      <w:bookmarkEnd w:id="3886"/>
    </w:p>
    <w:p>
      <w:pPr>
        <w:pStyle w:val="BookText"/>
      </w:pPr>
      <w:r>
        <w:rPr>
          <w:rFonts w:ascii="IRNazanin" w:hAnsi="IRNazanin" w:eastAsia="IRNazanin" w:cs="IRNazanin"/>
          <w:lang w:bidi="fa-IR"/>
          <w:color w:val="111111"/>
          <w:sz w:val="28"/>
          <w:szCs w:val="28"/>
          <w:rtl/>
        </w:rPr>
        <w:t xml:space="preserve">و اسمه آقا بزرگ. مات حدود (1290) کما فی (عم- ص 556).</w:t>
      </w:r>
    </w:p>
    <w:p>
      <w:pPr>
        <w:pStyle w:val="Heading3"/>
      </w:pPr>
      <w:bookmarkStart w:id="3887" w:name="_Toc2583"/>
      <w:r>
        <w:t>2006- دیوان ذکاء</w:t>
      </w:r>
      <w:bookmarkEnd w:id="3887"/>
    </w:p>
    <w:p>
      <w:pPr>
        <w:pStyle w:val="BookText"/>
      </w:pPr>
      <w:r>
        <w:rPr>
          <w:rFonts w:ascii="IRNazanin" w:hAnsi="IRNazanin" w:eastAsia="IRNazanin" w:cs="IRNazanin"/>
          <w:lang w:bidi="fa-IR"/>
          <w:color w:val="111111"/>
          <w:sz w:val="28"/>
          <w:szCs w:val="28"/>
          <w:rtl/>
        </w:rPr>
        <w:t xml:space="preserve">اسمه میر أولاد محمد بن المیر غلام إمام البلگرامی، و والده أخ المیر غلام علی الآزاد البلگرامی الذی مر دیوانه. ترجمه عمه فی (خز- ص 228) و ذکر أنه ولد (27 رجب- 1151) و أنشأ تاریخه فی رباعیة بعد ما طلبه عمه فی اورنگ‏آباد فی (1172) و علمه قوانین العروض و أورد جملة من أشعاره.</w:t>
      </w:r>
    </w:p>
    <w:p>
      <w:pPr>
        <w:pStyle w:val="Heading3"/>
      </w:pPr>
      <w:bookmarkStart w:id="3888" w:name="_Toc2584"/>
      <w:r>
        <w:t>2007- دیوان ذکری أردبیلی‏</w:t>
      </w:r>
      <w:bookmarkEnd w:id="3888"/>
    </w:p>
    <w:p>
      <w:pPr>
        <w:pStyle w:val="BookText"/>
      </w:pPr>
      <w:r>
        <w:rPr>
          <w:rFonts w:ascii="IRNazanin" w:hAnsi="IRNazanin" w:eastAsia="IRNazanin" w:cs="IRNazanin"/>
          <w:lang w:bidi="fa-IR"/>
          <w:color w:val="111111"/>
          <w:sz w:val="28"/>
          <w:szCs w:val="28"/>
          <w:rtl/>
        </w:rPr>
        <w:t xml:space="preserve">حکی فی (دجا- ص 152) عن کتاب حدیقة الشعراء أنه من شعراء القرن الثالث عشر و أشعاره بالترکیة.</w:t>
      </w:r>
    </w:p>
    <w:p>
      <w:pPr>
        <w:pStyle w:val="Heading3"/>
      </w:pPr>
      <w:bookmarkStart w:id="3889" w:name="_Toc2585"/>
      <w:r>
        <w:t>دیوان ذکری کاشانی‏</w:t>
      </w:r>
      <w:bookmarkEnd w:id="3889"/>
    </w:p>
    <w:p>
      <w:pPr>
        <w:pStyle w:val="BookText"/>
      </w:pPr>
      <w:r>
        <w:rPr>
          <w:rFonts w:ascii="IRNazanin" w:hAnsi="IRNazanin" w:eastAsia="IRNazanin" w:cs="IRNazanin"/>
          <w:lang w:bidi="fa-IR"/>
          <w:color w:val="111111"/>
          <w:sz w:val="28"/>
          <w:szCs w:val="28"/>
          <w:rtl/>
        </w:rPr>
        <w:t xml:space="preserve">و هو تقی الدین محمد من ملازمی إبراهیم عادل شاه البیجاپوری و هو المؤلف لتذکرة خلاصة الأشعار. کذا ذکره فی (روشن- ص 229) ثم أورد له شعرا بهذا التخلص، و لکنی لم أر لمؤلف التذکرة هذه تخلصا فذکرته فی (ص 174) باسمه فلیراجع.</w:t>
      </w:r>
    </w:p>
    <w:p>
      <w:pPr>
        <w:pStyle w:val="Heading3"/>
      </w:pPr>
      <w:bookmarkStart w:id="3890" w:name="_Toc2586"/>
      <w:r>
        <w:t>2008- دیوان ذکری کوزه‏کنانی‏</w:t>
      </w:r>
      <w:bookmarkEnd w:id="3890"/>
    </w:p>
    <w:p>
      <w:pPr>
        <w:pStyle w:val="BookText"/>
      </w:pPr>
      <w:r>
        <w:rPr>
          <w:rFonts w:ascii="IRNazanin" w:hAnsi="IRNazanin" w:eastAsia="IRNazanin" w:cs="IRNazanin"/>
          <w:lang w:bidi="fa-IR"/>
          <w:color w:val="111111"/>
          <w:sz w:val="28"/>
          <w:szCs w:val="28"/>
          <w:rtl/>
        </w:rPr>
        <w:t xml:space="preserve">لکربلائی نجف البازارچی من شعراء القرن الثالث عشر بتبریز، و شعره ترکی، حکاه أیضا فی (دجا- ص 152) عن الحدیقة.</w:t>
      </w:r>
    </w:p>
    <w:p>
      <w:pPr>
        <w:pStyle w:val="Heading3"/>
      </w:pPr>
      <w:bookmarkStart w:id="3891" w:name="_Toc2587"/>
      <w:r>
        <w:t>دیوان ذکی</w:t>
      </w:r>
      <w:bookmarkEnd w:id="3891"/>
    </w:p>
    <w:p>
      <w:pPr>
        <w:pStyle w:val="BookText"/>
      </w:pPr>
      <w:r>
        <w:rPr>
          <w:rFonts w:ascii="IRNazanin" w:hAnsi="IRNazanin" w:eastAsia="IRNazanin" w:cs="IRNazanin"/>
          <w:lang w:bidi="fa-IR"/>
          <w:color w:val="111111"/>
          <w:sz w:val="28"/>
          <w:szCs w:val="28"/>
          <w:rtl/>
        </w:rPr>
        <w:t xml:space="preserve">کما فی التذاکر الهندیة. راجع دیوان زکی.</w:t>
      </w:r>
    </w:p>
    <w:p>
      <w:pPr>
        <w:pStyle w:val="Heading3"/>
      </w:pPr>
      <w:bookmarkStart w:id="3892" w:name="_Toc2588"/>
      <w:r>
        <w:t>2009- دیوان ذلیل آذربایجانی‏</w:t>
      </w:r>
      <w:bookmarkEnd w:id="3892"/>
    </w:p>
    <w:p>
      <w:pPr>
        <w:pStyle w:val="BookText"/>
      </w:pPr>
      <w:r>
        <w:rPr>
          <w:rFonts w:ascii="IRNazanin" w:hAnsi="IRNazanin" w:eastAsia="IRNazanin" w:cs="IRNazanin"/>
          <w:lang w:bidi="fa-IR"/>
          <w:color w:val="111111"/>
          <w:sz w:val="28"/>
          <w:szCs w:val="28"/>
          <w:rtl/>
        </w:rPr>
        <w:t xml:space="preserve">لکربلائی محمد جعفر. ترجمه فی (دجا- ص 152) عن حدیقة الشعراء، و ذکر کتبه الآخر و منها مخزن المصائب.</w:t>
      </w:r>
    </w:p>
    <w:p>
      <w:pPr>
        <w:pStyle w:val="Heading3"/>
      </w:pPr>
      <w:bookmarkStart w:id="3893" w:name="_Toc2589"/>
      <w:r>
        <w:t>دیوان ذو الرئاستین‏</w:t>
      </w:r>
      <w:bookmarkEnd w:id="3893"/>
    </w:p>
    <w:p>
      <w:pPr>
        <w:pStyle w:val="BookText"/>
      </w:pPr>
      <w:r>
        <w:rPr>
          <w:rFonts w:ascii="IRNazanin" w:hAnsi="IRNazanin" w:eastAsia="IRNazanin" w:cs="IRNazanin"/>
          <w:lang w:bidi="fa-IR"/>
          <w:color w:val="111111"/>
          <w:sz w:val="28"/>
          <w:szCs w:val="28"/>
          <w:rtl/>
        </w:rPr>
        <w:t xml:space="preserve">للمیرزا عبد الحسین بن علی آقا الشیرازی الملقب بمونس علی یأتی بعنوان تخلصه مونس.</w:t>
      </w:r>
    </w:p>
    <w:p>
      <w:pPr>
        <w:pStyle w:val="Heading3"/>
      </w:pPr>
      <w:bookmarkStart w:id="3894" w:name="_Toc2590"/>
      <w:r>
        <w:t>2010- دیوان ذو الفقار شیروانی‏</w:t>
      </w:r>
      <w:bookmarkEnd w:id="389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یتلفظون به- و هو السید قوام الدین حسین بن‏</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36" w:name="pg11704_121816"/>
    <w:bookmarkEnd w:id="336"/>
    <w:p>
      <w:pPr>
        <w:pStyle w:val="BookText"/>
      </w:pPr>
      <w:r>
        <w:rPr>
          <w:rFonts w:ascii="IRNazanin" w:hAnsi="IRNazanin" w:eastAsia="IRNazanin" w:cs="IRNazanin"/>
          <w:lang w:bidi="fa-IR"/>
          <w:color w:val="111111"/>
          <w:sz w:val="28"/>
          <w:szCs w:val="28"/>
          <w:rtl/>
        </w:rPr>
        <w:t xml:space="preserve">السید صدر الدین علی الشیروانی المعاصر للخاقانی و معاصریه و المتوفی فی تبریز (679) و دفن فی سرخاب فی مقبرة الشعراء ترجمه فی الریاض و قال إنه أشعر شعراء الفرس، و قال دولت شاه لم یکن فی البدیع أحسن منه قبل سلمان ساوجی. و ترجمه أیضا فی (خوش‏گو) و کذا فی (تش- ص 49) و (تغ- ص 54) و عده فی تذکره خوشنویسان (ص 36) من الخطاطین و ترجمه أیضا فی (مع- ج 1 ص 219) و أورد کثیرا من أشعاره فی مدح یوسف شاه‏لر الذی ملک من (670) إلی 679 و</w:t>
      </w:r>
    </w:p>
    <w:p>
      <w:pPr>
        <w:pStyle w:val="BookText"/>
      </w:pPr>
      <w:r>
        <w:rPr>
          <w:rFonts w:ascii="IRNazanin" w:hAnsi="IRNazanin" w:eastAsia="IRNazanin" w:cs="IRNazanin"/>
          <w:lang w:bidi="fa-IR"/>
          <w:color w:val="111111"/>
          <w:sz w:val="28"/>
          <w:szCs w:val="28"/>
          <w:rtl/>
        </w:rPr>
        <w:t xml:space="preserve">وزیره قوام الملک و ترجمه (دجا- ص 153) و أورد أوائل قصیدته المصنوعة الموسومة مفاتیح الکلام فی مدائح الکرام التی مدح فیها الصدر الأعظم وزیر شروان شاه محمد الماستری (قریة بین قم و همدان) فوصله بسبعة حمول من الإبریسم، و هی رائیة طویلة تتبعها جمع من الشعراء بقصائد مصنوعة فاخرة مثل بدائع الأسحار فی صنائع الأشعار لقوامی المطرزی و مخزن البحور لشمس الفخری الأصفهانی و مخزن المعانی لأهلی الشیرازی و الصرح الممرد لسلمان الساوجی. و ترجمه البلگرامی فی (خز- ص 224) و ذکر من المتتبعین له خصوص سلمان الذی مدح بقصیدته الخواجة غیاث الدین محمد رشید صاحب الدیوان و زاد فیها صنائع أخر، و لکن لم یصله الا القلیل، فلما بلغ الخواجة استقلال سلمان لصلته قال هذا الفارق بین أمیر المؤمنین علی و سلمان، إشارة إلی أن صلته کانت لسیادته. ثم قال البلگرامی عندی اثنتان و عشرون قصیدة ستة منها مصنوعة، و عندی ثلاث ترکیب بندات کلها مصنوعة، و لکثرة أشعاره اقتصر علی ما یقرب من ستین بیتا من شعر السید، و قد رأی سنگلاخ دیوانه بخط میر عبدی نیشابوری تلمیذ ذو الکمالین والد میر علی الهروی، فأورد ذکره فی امتحان الفضلاء- ج 1- ص 97. و توجد نسخه من دیوانه فی مکتبة الملک (رقم 5283) کتبت (1226) و قد طبع فی لندن فی (1934 م) نسخه فتوغرافیة عن نسخه کتبت فی (745) و قد وصف الکاتب فی آخر صفحة منها و هی صفحة (465) الشاعر بقوله ملک السادة، فرید الزمان، سحبان الوقت، قوام الدین ذو الفقار. و تخلص الشاعر فی بعض غزلیاته قوام شیروانی و فی بعضها ذو الفقار و یشتمل الدیوان المطبوع علی حدود تسعة آلاف بیت.</w:t>
      </w:r>
    </w:p>
    <w:p>
      <w:pPr>
        <w:pStyle w:val="Heading3"/>
      </w:pPr>
      <w:bookmarkStart w:id="3895" w:name="_Toc2591"/>
      <w:r>
        <w:t>2011- دیوان ذوق کاکوری‏</w:t>
      </w:r>
      <w:bookmarkEnd w:id="3895"/>
    </w:p>
    <w:p>
      <w:pPr>
        <w:pStyle w:val="BookText"/>
      </w:pPr>
      <w:r>
        <w:rPr>
          <w:rFonts w:ascii="IRNazanin" w:hAnsi="IRNazanin" w:eastAsia="IRNazanin" w:cs="IRNazanin"/>
          <w:lang w:bidi="fa-IR"/>
          <w:color w:val="111111"/>
          <w:sz w:val="28"/>
          <w:szCs w:val="28"/>
          <w:rtl/>
        </w:rPr>
        <w:t xml:space="preserve">و هو المولوی محمد محیی الدین بن محمد حکیم الدین‏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37" w:name="pg11704_121817"/>
    <w:bookmarkEnd w:id="337"/>
    <w:p>
      <w:pPr>
        <w:pStyle w:val="BookText"/>
      </w:pPr>
      <w:r>
        <w:rPr>
          <w:rFonts w:ascii="IRNazanin" w:hAnsi="IRNazanin" w:eastAsia="IRNazanin" w:cs="IRNazanin"/>
          <w:lang w:bidi="fa-IR"/>
          <w:color w:val="111111"/>
          <w:sz w:val="28"/>
          <w:szCs w:val="28"/>
          <w:rtl/>
        </w:rPr>
        <w:t xml:space="preserve">ابن نجم الدین بهادر ثاقب. تلمذ فی الأدب الفارسی علی المنشی محمد مهدی جهان‏آبادی و فی الأردویة علی نوازش اللکهنوی. أورد بعض شعره فی (گلشن- ص 167) و قد طبع دیوانه بنولکشور کما فی فهرس مطبوعاتها.</w:t>
      </w:r>
    </w:p>
    <w:p>
      <w:pPr>
        <w:pStyle w:val="Heading3"/>
      </w:pPr>
      <w:bookmarkStart w:id="3896" w:name="_Toc2592"/>
      <w:r>
        <w:t>دیوان ذو القدر</w:t>
      </w:r>
      <w:bookmarkEnd w:id="3896"/>
    </w:p>
    <w:p>
      <w:pPr>
        <w:pStyle w:val="BookText"/>
      </w:pPr>
      <w:r>
        <w:rPr>
          <w:rFonts w:ascii="IRNazanin" w:hAnsi="IRNazanin" w:eastAsia="IRNazanin" w:cs="IRNazanin"/>
          <w:lang w:bidi="fa-IR"/>
          <w:color w:val="111111"/>
          <w:sz w:val="28"/>
          <w:szCs w:val="28"/>
          <w:rtl/>
        </w:rPr>
        <w:t xml:space="preserve">و اسمه المیرزا محسن و ذو القدر فی مصطلح الأتراک بمعنی الذی لا یخطی فی رمی السهام، کذا ذکره معاصره لودی فی مرآة الخیال المؤلف (1102) فی (ص 304) و أورد له غزلا تخلصه فیه ذو القدر و یبعدان یکون متحدا مع أنسی أصفهانی معاصر شفائی (المتوفی 1037).</w:t>
      </w:r>
    </w:p>
    <w:p>
      <w:pPr>
        <w:pStyle w:val="Heading3"/>
      </w:pPr>
      <w:bookmarkStart w:id="3897" w:name="_Toc2593"/>
      <w:r>
        <w:t>2012- دیوان ذوقی أردستانی‏</w:t>
      </w:r>
      <w:bookmarkEnd w:id="3897"/>
    </w:p>
    <w:p>
      <w:pPr>
        <w:pStyle w:val="BookText"/>
      </w:pPr>
      <w:r>
        <w:rPr>
          <w:rFonts w:ascii="IRNazanin" w:hAnsi="IRNazanin" w:eastAsia="IRNazanin" w:cs="IRNazanin"/>
          <w:lang w:bidi="fa-IR"/>
          <w:color w:val="111111"/>
          <w:sz w:val="28"/>
          <w:szCs w:val="28"/>
          <w:rtl/>
        </w:rPr>
        <w:t xml:space="preserve">و اسمه ملا علی شاه. أورد شعره فی نر 9- ص 275) و (تش- ص 176) و ذکر دیوانه. و کذا فی (ض- ص 125) و (تغ- ص 53) و (حسینی ص 126) و کان بینه و بین الحکیم شفائی مهاجاة. و مات بأصفهان (1045).</w:t>
      </w:r>
    </w:p>
    <w:p>
      <w:pPr>
        <w:pStyle w:val="Heading3"/>
      </w:pPr>
      <w:bookmarkStart w:id="3898" w:name="_Toc2594"/>
      <w:r>
        <w:t>2013- دیوان ذوقی أصفهانی‏</w:t>
      </w:r>
      <w:bookmarkEnd w:id="3898"/>
    </w:p>
    <w:p>
      <w:pPr>
        <w:pStyle w:val="BookText"/>
      </w:pPr>
      <w:r>
        <w:rPr>
          <w:rFonts w:ascii="IRNazanin" w:hAnsi="IRNazanin" w:eastAsia="IRNazanin" w:cs="IRNazanin"/>
          <w:lang w:bidi="fa-IR"/>
          <w:color w:val="111111"/>
          <w:sz w:val="28"/>
          <w:szCs w:val="28"/>
          <w:rtl/>
        </w:rPr>
        <w:t xml:space="preserve">و اسمه أبو القاسم طبع دیوانه بطهران علی الحجر فی (1336) فی (329 ص) مع مقدمه لکاظم غمگین، قال فیه إنه کان یمدح شعاع السلطنة و نظام السلطنة. و مات 12 محرم 1336 ذوقی ما بجنان شد پویان.</w:t>
      </w:r>
    </w:p>
    <w:p>
      <w:pPr>
        <w:pStyle w:val="Heading3"/>
      </w:pPr>
      <w:bookmarkStart w:id="3899" w:name="_Toc2595"/>
      <w:r>
        <w:t>2014- دیوان ذوقی تنکابنی أو شعره‏</w:t>
      </w:r>
      <w:bookmarkEnd w:id="3899"/>
    </w:p>
    <w:p>
      <w:pPr>
        <w:pStyle w:val="BookText"/>
      </w:pPr>
      <w:r>
        <w:rPr>
          <w:rFonts w:ascii="IRNazanin" w:hAnsi="IRNazanin" w:eastAsia="IRNazanin" w:cs="IRNazanin"/>
          <w:lang w:bidi="fa-IR"/>
          <w:color w:val="111111"/>
          <w:sz w:val="28"/>
          <w:szCs w:val="28"/>
          <w:rtl/>
        </w:rPr>
        <w:t xml:space="preserve">و هو ضیاء الدین محمد مهدی بن داود المذکور فی (ج 3- ص 45).</w:t>
      </w:r>
    </w:p>
    <w:p>
      <w:pPr>
        <w:pStyle w:val="Heading3"/>
      </w:pPr>
      <w:bookmarkStart w:id="3900" w:name="_Toc2596"/>
      <w:r>
        <w:t>2015- دیوان ذوقی بسطامی خراسانی‏</w:t>
      </w:r>
      <w:bookmarkEnd w:id="3900"/>
    </w:p>
    <w:p>
      <w:pPr>
        <w:pStyle w:val="BookText"/>
      </w:pPr>
      <w:r>
        <w:rPr>
          <w:rFonts w:ascii="IRNazanin" w:hAnsi="IRNazanin" w:eastAsia="IRNazanin" w:cs="IRNazanin"/>
          <w:lang w:bidi="fa-IR"/>
          <w:color w:val="111111"/>
          <w:sz w:val="28"/>
          <w:szCs w:val="28"/>
          <w:rtl/>
        </w:rPr>
        <w:t xml:space="preserve">اسمه المیرزا فتح الله، و کان یدعی أن أصله من بنی عامر، نزل بعض أجداده إلی بسطام و کانوا من ولاتها و ذهب برهة إلی شیراز، و حصلت بینه و بین مؤلف مجمع الفصحاء صحبة أکیدة هناک. ثم فی عصر السلطان محمد شاه نزل إلی طهران- و هکذا مؤلف مجمع الفصحاء- و کان حیا بها فی (نیف و سبعین و مائتین و ألف) و توفی بعد ذلک. ثم أورد جملة من أشعاره. و قال فی المدائح إنه مهر فی العروض و القافیة و الخط الشکستة و جاء من شیراز إلی أصفهان و مدح منوچهر خان.</w:t>
      </w:r>
    </w:p>
    <w:p>
      <w:pPr>
        <w:pStyle w:val="Heading3"/>
      </w:pPr>
      <w:bookmarkStart w:id="3901" w:name="_Toc2597"/>
      <w:r>
        <w:t>2016- دیوان ذوقی تونی أو شعره‏</w:t>
      </w:r>
      <w:bookmarkEnd w:id="3901"/>
    </w:p>
    <w:p>
      <w:pPr>
        <w:pStyle w:val="BookText"/>
      </w:pPr>
      <w:r>
        <w:rPr>
          <w:rFonts w:ascii="IRNazanin" w:hAnsi="IRNazanin" w:eastAsia="IRNazanin" w:cs="IRNazanin"/>
          <w:lang w:bidi="fa-IR"/>
          <w:color w:val="111111"/>
          <w:sz w:val="28"/>
          <w:szCs w:val="28"/>
          <w:rtl/>
        </w:rPr>
        <w:t xml:space="preserve">عده فی (روشن- ص 229) من شعراء القرن العاشر، و قال مات 975.</w:t>
      </w:r>
    </w:p>
    <w:p>
      <w:pPr>
        <w:pStyle w:val="Heading3"/>
      </w:pPr>
      <w:bookmarkStart w:id="3902" w:name="_Toc2598"/>
      <w:r>
        <w:t>2017- دیوان ذوقی سمرقندی‏</w:t>
      </w:r>
      <w:bookmarkEnd w:id="3902"/>
    </w:p>
    <w:p>
      <w:pPr>
        <w:pStyle w:val="BookText"/>
      </w:pPr>
      <w:r>
        <w:rPr>
          <w:rFonts w:ascii="IRNazanin" w:hAnsi="IRNazanin" w:eastAsia="IRNazanin" w:cs="IRNazanin"/>
          <w:lang w:bidi="fa-IR"/>
          <w:color w:val="111111"/>
          <w:sz w:val="28"/>
          <w:szCs w:val="28"/>
          <w:rtl/>
        </w:rPr>
        <w:t xml:space="preserve">ترجمه فی (خز- ص 228) و ذکر أنه ترقی أمره فی أیام قل أحمد خان فصار ملک الشعراء له، و نظم باسمه منظومة ناز و نیاز علی بحر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38" w:name="pg11704_121818"/>
    <w:bookmarkEnd w:id="338"/>
    <w:p>
      <w:pPr>
        <w:pStyle w:val="BookText"/>
      </w:pPr>
      <w:r>
        <w:rPr>
          <w:rFonts w:ascii="IRNazanin" w:hAnsi="IRNazanin" w:eastAsia="IRNazanin" w:cs="IRNazanin"/>
          <w:lang w:bidi="fa-IR"/>
          <w:color w:val="111111"/>
          <w:sz w:val="28"/>
          <w:szCs w:val="28"/>
          <w:rtl/>
        </w:rPr>
        <w:t xml:space="preserve">خسرو و شیرین.</w:t>
      </w:r>
    </w:p>
    <w:p>
      <w:pPr>
        <w:pStyle w:val="Heading3"/>
      </w:pPr>
      <w:bookmarkStart w:id="3903" w:name="_Toc2599"/>
      <w:r>
        <w:t>2018- دیوان ذوقی کاشانی‏</w:t>
      </w:r>
      <w:bookmarkEnd w:id="3903"/>
    </w:p>
    <w:p>
      <w:pPr>
        <w:pStyle w:val="BookText"/>
      </w:pPr>
      <w:r>
        <w:rPr>
          <w:rFonts w:ascii="IRNazanin" w:hAnsi="IRNazanin" w:eastAsia="IRNazanin" w:cs="IRNazanin"/>
          <w:lang w:bidi="fa-IR"/>
          <w:color w:val="111111"/>
          <w:sz w:val="28"/>
          <w:szCs w:val="28"/>
          <w:rtl/>
        </w:rPr>
        <w:t xml:space="preserve">و اسمه میر محمد أمین و أصله من الترکمانیة و تحصیلاته فی کاشان کما فی (نر 9- ص 276) و (تغ- ص 53) و کان من تلامیذ المولی میرزا جان الشیرازی معاصر الشاه طهماسب. و توفی بلاهیجان (969) أو (949) و له شعر کثیر أورد بعضه فی (ض- ص 331) و (حسینی- ص 126) و (تش- ص 13) و (سرخوش- ص 40).</w:t>
      </w:r>
    </w:p>
    <w:p>
      <w:pPr>
        <w:pStyle w:val="Heading3"/>
      </w:pPr>
      <w:bookmarkStart w:id="3904" w:name="_Toc2600"/>
      <w:r>
        <w:t>2019- دیوان ذو النون قزوینی‏</w:t>
      </w:r>
      <w:bookmarkEnd w:id="3904"/>
    </w:p>
    <w:p>
      <w:pPr>
        <w:pStyle w:val="BookText"/>
      </w:pPr>
      <w:r>
        <w:rPr>
          <w:rFonts w:ascii="IRNazanin" w:hAnsi="IRNazanin" w:eastAsia="IRNazanin" w:cs="IRNazanin"/>
          <w:lang w:bidi="fa-IR"/>
          <w:color w:val="111111"/>
          <w:sz w:val="28"/>
          <w:szCs w:val="28"/>
          <w:rtl/>
        </w:rPr>
        <w:t xml:space="preserve">الطبیب. ترجمه سام میرزا فی (تس 2- ص 53) و قال ألف باسمی رسالات حفظ الصحة و رسالة بحران و معما و کان مولده جنارح من أعمال قزوین، و صاحبنی عشر سنین، و غاب فلم یعثر له علی خبر. و کان تلمذ الطب علی جلال أحمد الطبیب. و أورد شعره فی (گلشن- ص 167- 168).</w:t>
      </w:r>
    </w:p>
    <w:p>
      <w:pPr>
        <w:pStyle w:val="Heading3"/>
      </w:pPr>
      <w:bookmarkStart w:id="3905" w:name="_Toc2601"/>
      <w:r>
        <w:t>دیوان الذهبة</w:t>
      </w:r>
      <w:bookmarkEnd w:id="3905"/>
    </w:p>
    <w:p>
      <w:pPr>
        <w:pStyle w:val="BookText"/>
      </w:pPr>
      <w:r>
        <w:rPr>
          <w:rFonts w:ascii="IRNazanin" w:hAnsi="IRNazanin" w:eastAsia="IRNazanin" w:cs="IRNazanin"/>
          <w:lang w:bidi="fa-IR"/>
          <w:color w:val="111111"/>
          <w:sz w:val="28"/>
          <w:szCs w:val="28"/>
          <w:rtl/>
        </w:rPr>
        <w:t xml:space="preserve">یأتی بتخلصه دیوان عبد الله.</w:t>
      </w:r>
    </w:p>
    <w:p>
      <w:pPr>
        <w:pStyle w:val="Heading3"/>
      </w:pPr>
      <w:bookmarkStart w:id="3906" w:name="_Toc2602"/>
      <w:r>
        <w:t>دیوان الذهبی‏</w:t>
      </w:r>
      <w:bookmarkEnd w:id="3906"/>
    </w:p>
    <w:p>
      <w:pPr>
        <w:pStyle w:val="BookText"/>
      </w:pPr>
      <w:r>
        <w:rPr>
          <w:rFonts w:ascii="IRNazanin" w:hAnsi="IRNazanin" w:eastAsia="IRNazanin" w:cs="IRNazanin"/>
          <w:lang w:bidi="fa-IR"/>
          <w:color w:val="111111"/>
          <w:sz w:val="28"/>
          <w:szCs w:val="28"/>
          <w:rtl/>
        </w:rPr>
        <w:t xml:space="preserve">لبدر الدین یوسف بن لؤلؤ الإربلی الدمشقی المذکور فی (ص 28) بعنوان ابن لؤلؤ. و قد نشره الشیخ علی الخاقانی صاحب مجلة البیان النجفیة الغراء.</w:t>
      </w:r>
    </w:p>
    <w:p>
      <w:pPr>
        <w:pStyle w:val="Heading3"/>
      </w:pPr>
      <w:bookmarkStart w:id="3907" w:name="_Toc2603"/>
      <w:r>
        <w:t>دیوان ذهبی شیرازی‏</w:t>
      </w:r>
      <w:bookmarkEnd w:id="3907"/>
    </w:p>
    <w:p>
      <w:pPr>
        <w:pStyle w:val="BookText"/>
      </w:pPr>
      <w:r>
        <w:rPr>
          <w:rFonts w:ascii="IRNazanin" w:hAnsi="IRNazanin" w:eastAsia="IRNazanin" w:cs="IRNazanin"/>
          <w:lang w:bidi="fa-IR"/>
          <w:color w:val="111111"/>
          <w:sz w:val="28"/>
          <w:szCs w:val="28"/>
          <w:rtl/>
        </w:rPr>
        <w:t xml:space="preserve">راجع دیوان راز و دیوان عبد النبی.</w:t>
      </w:r>
    </w:p>
    <w:p>
      <w:pPr>
        <w:pStyle w:val="Heading3"/>
      </w:pPr>
      <w:bookmarkStart w:id="3908" w:name="_Toc2604"/>
      <w:r>
        <w:t>دیوان ذهبی کاشانی أو شعره‏</w:t>
      </w:r>
      <w:bookmarkEnd w:id="3908"/>
    </w:p>
    <w:p>
      <w:pPr>
        <w:pStyle w:val="BookText"/>
      </w:pPr>
      <w:r>
        <w:rPr>
          <w:rFonts w:ascii="IRNazanin" w:hAnsi="IRNazanin" w:eastAsia="IRNazanin" w:cs="IRNazanin"/>
          <w:lang w:bidi="fa-IR"/>
          <w:color w:val="111111"/>
          <w:sz w:val="28"/>
          <w:szCs w:val="28"/>
          <w:rtl/>
        </w:rPr>
        <w:t xml:space="preserve">کما فی (خز- ص 411) و الصحیح ذهنی کاشانی.</w:t>
      </w:r>
    </w:p>
    <w:p>
      <w:pPr>
        <w:pStyle w:val="Heading3"/>
      </w:pPr>
      <w:bookmarkStart w:id="3909" w:name="_Toc2605"/>
      <w:r>
        <w:t>2020- دیوان ذهنی بغدادی أو شعره‏</w:t>
      </w:r>
      <w:bookmarkEnd w:id="3909"/>
    </w:p>
    <w:p>
      <w:pPr>
        <w:pStyle w:val="BookText"/>
      </w:pPr>
      <w:r>
        <w:rPr>
          <w:rFonts w:ascii="IRNazanin" w:hAnsi="IRNazanin" w:eastAsia="IRNazanin" w:cs="IRNazanin"/>
          <w:lang w:bidi="fa-IR"/>
          <w:color w:val="111111"/>
          <w:sz w:val="28"/>
          <w:szCs w:val="28"/>
          <w:rtl/>
        </w:rPr>
        <w:t xml:space="preserve">و اسمه عبد الدلیل ذهنی چلبی المشهور بالموسیقی. أورد ذکره فی العراق بین الاحتلالین ج 4- ص 136 عن کتاب گلشن شعراء لعهدی بغدادی.</w:t>
      </w:r>
    </w:p>
    <w:p>
      <w:pPr>
        <w:pStyle w:val="Heading3"/>
      </w:pPr>
      <w:bookmarkStart w:id="3910" w:name="_Toc2606"/>
      <w:r>
        <w:t>2021- دیوان ذهنی تبریزی‏</w:t>
      </w:r>
      <w:bookmarkEnd w:id="3910"/>
    </w:p>
    <w:p>
      <w:pPr>
        <w:pStyle w:val="BookText"/>
      </w:pPr>
      <w:r>
        <w:rPr>
          <w:rFonts w:ascii="IRNazanin" w:hAnsi="IRNazanin" w:eastAsia="IRNazanin" w:cs="IRNazanin"/>
          <w:lang w:bidi="fa-IR"/>
          <w:color w:val="111111"/>
          <w:sz w:val="28"/>
          <w:szCs w:val="28"/>
          <w:rtl/>
        </w:rPr>
        <w:t xml:space="preserve">کان والده معروفا بسیراب‏پز و صار هو من الشعراء. کذا ترجمه معاصره سام میرزا فی (تس 5- ص 171) و أورد مطلع غزله و عنه فی (دجا- 152)</w:t>
      </w:r>
    </w:p>
    <w:p>
      <w:pPr>
        <w:pStyle w:val="Heading3"/>
      </w:pPr>
      <w:bookmarkStart w:id="3911" w:name="_Toc2607"/>
      <w:r>
        <w:t>2022- دیوان ذهنی تبریزی‏</w:t>
      </w:r>
      <w:bookmarkEnd w:id="3911"/>
    </w:p>
    <w:p>
      <w:pPr>
        <w:pStyle w:val="BookText"/>
      </w:pPr>
      <w:r>
        <w:rPr>
          <w:rFonts w:ascii="IRNazanin" w:hAnsi="IRNazanin" w:eastAsia="IRNazanin" w:cs="IRNazanin"/>
          <w:lang w:bidi="fa-IR"/>
          <w:color w:val="111111"/>
          <w:sz w:val="28"/>
          <w:szCs w:val="28"/>
          <w:rtl/>
        </w:rPr>
        <w:t xml:space="preserve">ترجمه معاصره فی (دجا- ص 153) و قال إن اسمه المشهدی علی أصغر من شعراء تبریز. و قد نظم دیوان المراثی و سماه دیوان الحسینیة و قد طبع فی تبریز (1349).</w:t>
      </w:r>
    </w:p>
    <w:p>
      <w:pPr>
        <w:pStyle w:val="Heading3"/>
      </w:pPr>
      <w:bookmarkStart w:id="3912" w:name="_Toc2608"/>
      <w:r>
        <w:t>2023- دیوان ملا ذهنی کابلی أو شعره‏</w:t>
      </w:r>
      <w:bookmarkEnd w:id="3912"/>
    </w:p>
    <w:p>
      <w:pPr>
        <w:pStyle w:val="BookText"/>
      </w:pPr>
      <w:r>
        <w:rPr>
          <w:rFonts w:ascii="IRNazanin" w:hAnsi="IRNazanin" w:eastAsia="IRNazanin" w:cs="IRNazanin"/>
          <w:lang w:bidi="fa-IR"/>
          <w:color w:val="111111"/>
          <w:sz w:val="28"/>
          <w:szCs w:val="28"/>
          <w:rtl/>
        </w:rPr>
        <w:t xml:space="preserve">طلب العلم و تعلم الخط و نظم الشعر. ترجمه کذلک فی (مجتس 6- ص 160) و أورد مطلع غزله.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39" w:name="pg11704_121819"/>
    <w:bookmarkEnd w:id="339"/>
    <w:p>
      <w:pPr>
        <w:pStyle w:val="Heading3"/>
      </w:pPr>
      <w:bookmarkStart w:id="3913" w:name="_Toc2609"/>
      <w:r>
        <w:t>2024- دیوان ذهنی کاشانی أو شعره‏</w:t>
      </w:r>
      <w:bookmarkEnd w:id="3913"/>
    </w:p>
    <w:p>
      <w:pPr>
        <w:pStyle w:val="BookText"/>
      </w:pPr>
      <w:r>
        <w:rPr>
          <w:rFonts w:ascii="IRNazanin" w:hAnsi="IRNazanin" w:eastAsia="IRNazanin" w:cs="IRNazanin"/>
          <w:lang w:bidi="fa-IR"/>
          <w:color w:val="111111"/>
          <w:sz w:val="28"/>
          <w:szCs w:val="28"/>
          <w:rtl/>
        </w:rPr>
        <w:t xml:space="preserve">و اسمه المیر حیدر. أورد شعره فی (تش- ص 243) و قال لم أر دیوانه. و سماه فی (تغ- ص 54) و (میخانه- ص 260) میر حیدر أصفهانی النقاش النراد ساکن دکن حیدرآباد. و عده ظهوری ترشیزی فی خوان خلیل من شعراء إبراهیم عادل شاه الدکنی، کما فی (فهرس مکتبة دانشگاه- ج 2 ص 284) و أورد فی (خز- ص 411) مدیحه لعادل شاه المذکور</w:t>
      </w:r>
    </w:p>
    <w:p>
      <w:pPr>
        <w:pStyle w:val="Heading3"/>
      </w:pPr>
      <w:bookmarkStart w:id="3914" w:name="_Toc2610"/>
      <w:r>
        <w:t>2025- دیوان ذهنی کشمیری‏</w:t>
      </w:r>
      <w:bookmarkEnd w:id="3914"/>
    </w:p>
    <w:p>
      <w:pPr>
        <w:pStyle w:val="BookText"/>
      </w:pPr>
      <w:r>
        <w:rPr>
          <w:rFonts w:ascii="IRNazanin" w:hAnsi="IRNazanin" w:eastAsia="IRNazanin" w:cs="IRNazanin"/>
          <w:lang w:bidi="fa-IR"/>
          <w:color w:val="111111"/>
          <w:sz w:val="28"/>
          <w:szCs w:val="28"/>
          <w:rtl/>
        </w:rPr>
        <w:t xml:space="preserve">أورد ذکره فی (میخانه 3- ص 572) و نقل فی الحاشیة عن واقعات کشمیر أحواله و عن مخزن الغرائب ذکر دیوانه.</w:t>
      </w:r>
    </w:p>
    <w:p>
      <w:pPr>
        <w:pStyle w:val="Heading3"/>
      </w:pPr>
      <w:bookmarkStart w:id="3915" w:name="_Toc2611"/>
      <w:r>
        <w:t>2026- دیوان ذهنی یزدی أو شعره‏</w:t>
      </w:r>
      <w:bookmarkEnd w:id="3915"/>
    </w:p>
    <w:p>
      <w:pPr>
        <w:pStyle w:val="BookText"/>
      </w:pPr>
      <w:r>
        <w:rPr>
          <w:rFonts w:ascii="IRNazanin" w:hAnsi="IRNazanin" w:eastAsia="IRNazanin" w:cs="IRNazanin"/>
          <w:lang w:bidi="fa-IR"/>
          <w:color w:val="111111"/>
          <w:sz w:val="28"/>
          <w:szCs w:val="28"/>
          <w:rtl/>
        </w:rPr>
        <w:t xml:space="preserve">کان نقاشا. أطری شعره معاصره سام میرزا فی (تس 5- ص 135) و أورد مطلع غزله. و أورد ذکره أیضا فی (تش یز- ص 290).</w:t>
      </w:r>
    </w:p>
    <w:p>
      <w:pPr>
        <w:pStyle w:val="Heading3"/>
      </w:pPr>
      <w:bookmarkStart w:id="3916" w:name="_Toc2612"/>
      <w:r>
        <w:t>2027- دیوان ذی الرمة</w:t>
      </w:r>
      <w:bookmarkEnd w:id="3916"/>
    </w:p>
    <w:p>
      <w:pPr>
        <w:pStyle w:val="BookText"/>
      </w:pPr>
      <w:r>
        <w:rPr>
          <w:rFonts w:ascii="IRNazanin" w:hAnsi="IRNazanin" w:eastAsia="IRNazanin" w:cs="IRNazanin"/>
          <w:lang w:bidi="fa-IR"/>
          <w:color w:val="111111"/>
          <w:sz w:val="28"/>
          <w:szCs w:val="28"/>
          <w:rtl/>
        </w:rPr>
        <w:t xml:space="preserve">و هو أبو الحارث غیلان بن عقبة بن یونس بن مسعود العدوی.</w:t>
      </w:r>
    </w:p>
    <w:p>
      <w:pPr>
        <w:pStyle w:val="BookText"/>
      </w:pPr>
      <w:r>
        <w:rPr>
          <w:rFonts w:ascii="IRNazanin" w:hAnsi="IRNazanin" w:eastAsia="IRNazanin" w:cs="IRNazanin"/>
          <w:lang w:bidi="fa-IR"/>
          <w:color w:val="111111"/>
          <w:sz w:val="28"/>
          <w:szCs w:val="28"/>
          <w:rtl/>
        </w:rPr>
        <w:t xml:space="preserve">ذکر تمام نسبه ابن خلکان فی (ج 1 ص 404) و ذکر وفاته فی (117) قال و ذکر هو عند وفاته أنه ابن أربعین سنة فتکون ولادته (77) تقریبا. و فی أعلام الزرکلی: أنه توفی بأصفهان. أقول توجد نسخه منه فی مکتبة (السماوی) و من أجزائه القصیدة الرائیة التی شرحها أبو عبد الله محمد بن أبی بکر بن عثمان الهروی الشاعر الشهیر المتخلص بالإمامی لولائه للأئمة و مدحه لهم. و توجد نسخه الشرح فی مکتبة المجلس کما ذکره ابن یوسف فی فهرسها (ج 3- ص 228) و قد طبع دیوانه کارلیل هانری هیس مکارتنی فی مطبعة کلیة کامبریج فی 1919 م 1337 فی 676 ص مع فهارس.</w:t>
      </w:r>
    </w:p>
    <w:p>
      <w:pPr>
        <w:pStyle w:val="Heading3"/>
      </w:pPr>
      <w:bookmarkStart w:id="3917" w:name="_Toc2613"/>
      <w:r>
        <w:t>دیوان ذی اللسانین‏</w:t>
      </w:r>
      <w:bookmarkEnd w:id="3917"/>
    </w:p>
    <w:p>
      <w:pPr>
        <w:pStyle w:val="BookText"/>
      </w:pPr>
      <w:r>
        <w:rPr>
          <w:rFonts w:ascii="IRNazanin" w:hAnsi="IRNazanin" w:eastAsia="IRNazanin" w:cs="IRNazanin"/>
          <w:lang w:bidi="fa-IR"/>
          <w:color w:val="111111"/>
          <w:sz w:val="28"/>
          <w:szCs w:val="28"/>
          <w:rtl/>
        </w:rPr>
        <w:t xml:space="preserve">مر بعنوان بدیع الزمان النطنزی و یأتی آخر بعنوان فنائی.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40" w:name="pg11704_121820"/>
    <w:bookmarkEnd w:id="340"/>
    <w:p>
      <w:pPr>
        <w:pStyle w:val="Heading3"/>
      </w:pPr>
      <w:bookmarkStart w:id="3918" w:name="_Toc2614"/>
      <w:r>
        <w:t>ر</w:t>
      </w:r>
      <w:bookmarkEnd w:id="3918"/>
    </w:p>
    <w:p>
      <w:pPr>
        <w:pStyle w:val="Heading3"/>
      </w:pPr>
      <w:bookmarkStart w:id="3919" w:name="_Toc2615"/>
      <w:r>
        <w:t>دیوان رائج‏</w:t>
      </w:r>
      <w:bookmarkEnd w:id="3919"/>
    </w:p>
    <w:p>
      <w:pPr>
        <w:pStyle w:val="BookText"/>
      </w:pPr>
      <w:r>
        <w:rPr>
          <w:rFonts w:ascii="IRNazanin" w:hAnsi="IRNazanin" w:eastAsia="IRNazanin" w:cs="IRNazanin"/>
          <w:lang w:bidi="fa-IR"/>
          <w:color w:val="111111"/>
          <w:sz w:val="28"/>
          <w:szCs w:val="28"/>
          <w:rtl/>
        </w:rPr>
        <w:t xml:space="preserve">کما هو الصحیح، نحو القائم و الصائم، و لکنا سنذکره فی رائج بالیاء علی ما یعبر به الفرس، لأن الاسم فارسیة فالمتبع ما یتلفظون به،- و هذا سیر تنافی ذکر أسماء الکتب- و هم یتلفظون الهمزة هذه یاء، و یعدونه بحساب الجمل عشرة.</w:t>
      </w:r>
    </w:p>
    <w:p>
      <w:pPr>
        <w:pStyle w:val="Heading3"/>
      </w:pPr>
      <w:bookmarkStart w:id="3920" w:name="_Toc2616"/>
      <w:r>
        <w:t>2028- دیوان رابط أردبیلی أو شعره‏</w:t>
      </w:r>
      <w:bookmarkEnd w:id="3920"/>
    </w:p>
    <w:p>
      <w:pPr>
        <w:pStyle w:val="BookText"/>
      </w:pPr>
      <w:r>
        <w:rPr>
          <w:rFonts w:ascii="IRNazanin" w:hAnsi="IRNazanin" w:eastAsia="IRNazanin" w:cs="IRNazanin"/>
          <w:lang w:bidi="fa-IR"/>
          <w:color w:val="111111"/>
          <w:sz w:val="28"/>
          <w:szCs w:val="28"/>
          <w:rtl/>
        </w:rPr>
        <w:t xml:space="preserve">و هو المعروف بشاه کاظم، ترجمه معاصره النصرآبادی فی (نر 9- ص 382) و عنه فی (دجا- ص 155) و ذکر أنه سافر إلی الهند و لا أعلم موته و حیاته و ذکر شعره، و کذا فی (روشن- ص 231).</w:t>
      </w:r>
    </w:p>
    <w:p>
      <w:pPr>
        <w:pStyle w:val="Heading3"/>
      </w:pPr>
      <w:bookmarkStart w:id="3921" w:name="_Toc2617"/>
      <w:r>
        <w:t>2029- دیوان رابط أصفهانی أو شعره‏</w:t>
      </w:r>
      <w:bookmarkEnd w:id="3921"/>
    </w:p>
    <w:p>
      <w:pPr>
        <w:pStyle w:val="BookText"/>
      </w:pPr>
      <w:r>
        <w:rPr>
          <w:rFonts w:ascii="IRNazanin" w:hAnsi="IRNazanin" w:eastAsia="IRNazanin" w:cs="IRNazanin"/>
          <w:lang w:bidi="fa-IR"/>
          <w:color w:val="111111"/>
          <w:sz w:val="28"/>
          <w:szCs w:val="28"/>
          <w:rtl/>
        </w:rPr>
        <w:t xml:space="preserve">و اسمه ملک محمد بن نور الأصفهانی الصحاف حفید آقا ملک کدخدا بأصفهان. قال معاصره فی نر 9- ص 423) إنه یتبع شعر نظامی ثم أورد شعره و أطرأه، و کذا فی گلشن- ص 168).</w:t>
      </w:r>
    </w:p>
    <w:p>
      <w:pPr>
        <w:pStyle w:val="Heading3"/>
      </w:pPr>
      <w:bookmarkStart w:id="3922" w:name="_Toc2618"/>
      <w:r>
        <w:t>2030- دیوان رابعة بنت کعب البلخی أو شعرها</w:t>
      </w:r>
      <w:bookmarkEnd w:id="3922"/>
    </w:p>
    <w:p>
      <w:pPr>
        <w:pStyle w:val="BookText"/>
      </w:pPr>
      <w:r>
        <w:rPr>
          <w:rFonts w:ascii="IRNazanin" w:hAnsi="IRNazanin" w:eastAsia="IRNazanin" w:cs="IRNazanin"/>
          <w:lang w:bidi="fa-IR"/>
          <w:color w:val="111111"/>
          <w:sz w:val="28"/>
          <w:szCs w:val="28"/>
          <w:rtl/>
        </w:rPr>
        <w:t xml:space="preserve">و تسمی زین العرب، و لها النظم الفارسی و العربی، و هی عربیة الأصل ظاهرا. کانت تسکن قزدار من حوالی بلخ فی عصر آل سامان و رودکی الشاعر. ترجمها فی اللباب- ج 2 ص 61 و (تغ- ص 54) و قال فی (مع- ج 1 ص 222) إن لها</w:t>
      </w:r>
    </w:p>
    <w:p>
      <w:pPr>
        <w:pStyle w:val="BookText"/>
      </w:pPr>
      <w:r>
        <w:rPr>
          <w:rFonts w:ascii="IRNazanin" w:hAnsi="IRNazanin" w:eastAsia="IRNazanin" w:cs="IRNazanin"/>
          <w:lang w:bidi="fa-IR"/>
          <w:color w:val="111111"/>
          <w:sz w:val="28"/>
          <w:szCs w:val="28"/>
          <w:rtl/>
        </w:rPr>
        <w:t xml:space="preserve">فی خاتمة نفحات الأنس للجامی ترجمه مفصلة</w:t>
      </w:r>
      <w:r>
        <w:rPr>
          <w:rStyle w:val="FootnoteReference"/>
        </w:rPr>
        <w:footnoteReference w:id="31"/>
      </w:r>
      <w:r>
        <w:rPr>
          <w:rFonts w:ascii="IRNazanin" w:hAnsi="IRNazanin" w:eastAsia="IRNazanin" w:cs="IRNazanin"/>
          <w:lang w:bidi="fa-IR"/>
          <w:color w:val="111111"/>
          <w:sz w:val="28"/>
          <w:szCs w:val="28"/>
          <w:rtl/>
        </w:rPr>
        <w:t xml:space="preserve">و فی مثنویات العطار ذکر بعض ما یتعلق بها، ثم قال و إنی قد نظمت المثنوی الموسوم گلستان إرم فی حکایات رابعة هذه، ثم أورد بعض شعره الفارسی و العربی و إحدی رباعیاتها الفارسیة. و قد أورد اعتماد السلطنة محمد حسن خان فی کتابه خیرات حسان هذه الرباعیة بعینها فی ترجمه رابعة الأصفهانیة التی کانت فی عصر آل سامان.</w:t>
      </w:r>
    </w:p>
    <w:p>
      <w:pPr>
        <w:pStyle w:val="Heading3"/>
      </w:pPr>
      <w:bookmarkStart w:id="3923" w:name="_Toc2619"/>
      <w:r>
        <w:t>2031- دیوان رابعة الشامیة أو شعرها</w:t>
      </w:r>
      <w:bookmarkEnd w:id="3923"/>
    </w:p>
    <w:p>
      <w:pPr>
        <w:pStyle w:val="BookText"/>
      </w:pPr>
      <w:r>
        <w:rPr>
          <w:rFonts w:ascii="IRNazanin" w:hAnsi="IRNazanin" w:eastAsia="IRNazanin" w:cs="IRNazanin"/>
          <w:lang w:bidi="fa-IR"/>
          <w:color w:val="111111"/>
          <w:sz w:val="28"/>
          <w:szCs w:val="28"/>
          <w:rtl/>
        </w:rPr>
        <w:t xml:space="preserve">ترجمها فی خیرات حسان- ج 1 ص 139 .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41" w:name="pg11704_121821"/>
    <w:bookmarkEnd w:id="341"/>
    <w:p>
      <w:pPr>
        <w:pStyle w:val="BookText"/>
      </w:pPr>
      <w:r>
        <w:rPr>
          <w:rFonts w:ascii="IRNazanin" w:hAnsi="IRNazanin" w:eastAsia="IRNazanin" w:cs="IRNazanin"/>
          <w:lang w:bidi="fa-IR"/>
          <w:color w:val="111111"/>
          <w:sz w:val="28"/>
          <w:szCs w:val="28"/>
          <w:rtl/>
        </w:rPr>
        <w:t xml:space="preserve">و نفحات الأنس- ص 554 و ریحانة الأدب. و أوردوا بعض شعرها العربی و عدها من النساء العارفات.</w:t>
      </w:r>
    </w:p>
    <w:p>
      <w:pPr>
        <w:pStyle w:val="Heading3"/>
      </w:pPr>
      <w:bookmarkStart w:id="3924" w:name="_Toc2620"/>
      <w:r>
        <w:t>2032- دیوان رابعة العدویة</w:t>
      </w:r>
      <w:bookmarkEnd w:id="3924"/>
    </w:p>
    <w:p>
      <w:pPr>
        <w:pStyle w:val="BookText"/>
      </w:pPr>
      <w:r>
        <w:rPr>
          <w:rFonts w:ascii="IRNazanin" w:hAnsi="IRNazanin" w:eastAsia="IRNazanin" w:cs="IRNazanin"/>
          <w:lang w:bidi="fa-IR"/>
          <w:color w:val="111111"/>
          <w:sz w:val="28"/>
          <w:szCs w:val="28"/>
          <w:rtl/>
        </w:rPr>
        <w:t xml:space="preserve">أم الخیر بنت إسماعیل العدوی، المتوفاة فی القدس الشریف فی (135) أو (185) کانت تضرب الأمثال بزهدها و عرفانها و کانت فی عصر سفیان الثوری و الحسن البصری، و قد خطبها البصری فلم تجبه. ترجمها فی خیرات حسان ص 138 و أورد بعض أشعارها و ابن خلکان فی (ص 182) أورد رباعیة لها، و کذا فی تذکره الأولیاء- ج 1 ص 59 و نفحات الأنس- ص 552 و أعیان الشیعة و ریحانة الأدب.</w:t>
      </w:r>
    </w:p>
    <w:p>
      <w:pPr>
        <w:pStyle w:val="Heading3"/>
      </w:pPr>
      <w:bookmarkStart w:id="3925" w:name="_Toc2621"/>
      <w:r>
        <w:t>2033- دیوان راجه‏</w:t>
      </w:r>
      <w:bookmarkEnd w:id="3925"/>
    </w:p>
    <w:p>
      <w:pPr>
        <w:pStyle w:val="BookText"/>
      </w:pPr>
      <w:r>
        <w:rPr>
          <w:rFonts w:ascii="IRNazanin" w:hAnsi="IRNazanin" w:eastAsia="IRNazanin" w:cs="IRNazanin"/>
          <w:lang w:bidi="fa-IR"/>
          <w:color w:val="111111"/>
          <w:sz w:val="28"/>
          <w:szCs w:val="28"/>
          <w:rtl/>
        </w:rPr>
        <w:t xml:space="preserve">المعروف بمیرزا راجه. کان من أعاظم راجات الهند، و هو خال سلطانها شهاب الدین محمد شاه‏جهان الذی ینسب إلیه شاه جهان‏آباد، و مات فی (1077) مطابق [ز عالم سفر کرد شاه‏جهان‏]. ذکره معاصره النصرآباد فی (نر 2- ص 55) و قال إن له طبع موزون و أورد شعره، و یوجد فی (بنگاله) نسخه دیوان راجه کتبت فی (1151) کما فی فهرسها.</w:t>
      </w:r>
    </w:p>
    <w:p>
      <w:pPr>
        <w:pStyle w:val="Heading3"/>
      </w:pPr>
      <w:bookmarkStart w:id="3926" w:name="_Toc2622"/>
      <w:r>
        <w:t>2034- دیوان راجی تبریزی‏</w:t>
      </w:r>
      <w:bookmarkEnd w:id="3926"/>
    </w:p>
    <w:p>
      <w:pPr>
        <w:pStyle w:val="BookText"/>
      </w:pPr>
      <w:r>
        <w:rPr>
          <w:rFonts w:ascii="IRNazanin" w:hAnsi="IRNazanin" w:eastAsia="IRNazanin" w:cs="IRNazanin"/>
          <w:lang w:bidi="fa-IR"/>
          <w:color w:val="111111"/>
          <w:sz w:val="28"/>
          <w:szCs w:val="28"/>
          <w:rtl/>
        </w:rPr>
        <w:t xml:space="preserve">لمیرزا أبی الحسن بن علی أکبر التبریزی المولود (1247) مات غریقا فی البحر عند رجوعه عن الحج فی (1293) أیا غفار) و دیوانه فارسی ترکی، طبع فی (12- 1313) علی الحجر و قبلها مکررا بتبریز و غیرها. ترجمه فی (دجا- ص 155) و کذا فی ریحانة الأدب. و یأتی ابنه عبد المجید بتخلصه ناجی‏</w:t>
      </w:r>
    </w:p>
    <w:p>
      <w:pPr>
        <w:pStyle w:val="Heading3"/>
      </w:pPr>
      <w:bookmarkStart w:id="3927" w:name="_Toc2623"/>
      <w:r>
        <w:t>2035- دیوان راجی سدهی‏</w:t>
      </w:r>
      <w:bookmarkEnd w:id="3927"/>
    </w:p>
    <w:p>
      <w:pPr>
        <w:pStyle w:val="BookText"/>
      </w:pPr>
      <w:r>
        <w:rPr>
          <w:rFonts w:ascii="IRNazanin" w:hAnsi="IRNazanin" w:eastAsia="IRNazanin" w:cs="IRNazanin"/>
          <w:lang w:bidi="fa-IR"/>
          <w:color w:val="111111"/>
          <w:sz w:val="28"/>
          <w:szCs w:val="28"/>
          <w:rtl/>
        </w:rPr>
        <w:t xml:space="preserve">و اسمه محمد آقا المعاصر. طبع قسم منه فی (1371) فی (16 ص).</w:t>
      </w:r>
    </w:p>
    <w:p>
      <w:pPr>
        <w:pStyle w:val="Heading3"/>
      </w:pPr>
      <w:bookmarkStart w:id="3928" w:name="_Toc2624"/>
      <w:r>
        <w:t>2036- دیوان راجی کرمانی‏</w:t>
      </w:r>
      <w:bookmarkEnd w:id="3928"/>
    </w:p>
    <w:p>
      <w:pPr>
        <w:pStyle w:val="BookText"/>
      </w:pPr>
      <w:r>
        <w:rPr>
          <w:rFonts w:ascii="IRNazanin" w:hAnsi="IRNazanin" w:eastAsia="IRNazanin" w:cs="IRNazanin"/>
          <w:lang w:bidi="fa-IR"/>
          <w:color w:val="111111"/>
          <w:sz w:val="28"/>
          <w:szCs w:val="28"/>
          <w:rtl/>
        </w:rPr>
        <w:t xml:space="preserve">و هو المولی بمان علی (مانی) المستسلم بعد أن کان مجوسیا، و ناظم حمله حیدری المذکور فی (ج 7) و مات بین (1237) و (1241) و نسبه فی (روشن- ص 232) إلی یزد. و الدیوان فارسی فی المراثی و الغزل، و تخلصه فیه راجی مطبوع.</w:t>
      </w:r>
    </w:p>
    <w:p>
      <w:pPr>
        <w:pStyle w:val="Heading3"/>
      </w:pPr>
      <w:bookmarkStart w:id="3929" w:name="_Toc2625"/>
      <w:r>
        <w:t>2037- دیوان راز أصفهانی‏</w:t>
      </w:r>
      <w:bookmarkEnd w:id="3929"/>
    </w:p>
    <w:p>
      <w:pPr>
        <w:pStyle w:val="BookText"/>
      </w:pPr>
      <w:r>
        <w:rPr>
          <w:rFonts w:ascii="IRNazanin" w:hAnsi="IRNazanin" w:eastAsia="IRNazanin" w:cs="IRNazanin"/>
          <w:lang w:bidi="fa-IR"/>
          <w:color w:val="111111"/>
          <w:sz w:val="28"/>
          <w:szCs w:val="28"/>
          <w:rtl/>
        </w:rPr>
        <w:t xml:space="preserve">و هو میر میران نوازش خان بن علی مردان. ذهب من أصفهان سفیرا عن الشاه سلطان حسین و بقی عند فرخ سیر، و بعد وفاته سکن بنگاله عند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42" w:name="pg11704_121822"/>
    <w:bookmarkEnd w:id="342"/>
    <w:p>
      <w:pPr>
        <w:pStyle w:val="BookText"/>
      </w:pPr>
      <w:r>
        <w:rPr>
          <w:rFonts w:ascii="IRNazanin" w:hAnsi="IRNazanin" w:eastAsia="IRNazanin" w:cs="IRNazanin"/>
          <w:lang w:bidi="fa-IR"/>
          <w:color w:val="111111"/>
          <w:sz w:val="28"/>
          <w:szCs w:val="28"/>
          <w:rtl/>
        </w:rPr>
        <w:t xml:space="preserve">حاکمها و مات (6- ع 1- 1180) و صحح أشعاره آزاد البلگرامی. و أورد بعض شعره فی (گلشن- ص 168).</w:t>
      </w:r>
    </w:p>
    <w:p>
      <w:pPr>
        <w:pStyle w:val="Heading3"/>
      </w:pPr>
      <w:bookmarkStart w:id="3930" w:name="_Toc2626"/>
      <w:r>
        <w:t>2038- دیوان راز شیرازی ذهبی‏</w:t>
      </w:r>
      <w:bookmarkEnd w:id="3930"/>
    </w:p>
    <w:p>
      <w:pPr>
        <w:pStyle w:val="BookText"/>
      </w:pPr>
      <w:r>
        <w:rPr>
          <w:rFonts w:ascii="IRNazanin" w:hAnsi="IRNazanin" w:eastAsia="IRNazanin" w:cs="IRNazanin"/>
          <w:lang w:bidi="fa-IR"/>
          <w:color w:val="111111"/>
          <w:sz w:val="28"/>
          <w:szCs w:val="28"/>
          <w:rtl/>
        </w:rPr>
        <w:t xml:space="preserve">للمیرزا أبی القاسم بن محمد نبی الحسینی الشریفی المعروف بمیرزا بابا حفید السید محمد قطب الأقطاب المنتسب إلی المیر سید شریف الجرجانی. و توفی (1286) کان یتخلص راز، و فی بیتهم سدانة ضریح شاه چراغ بشیراز، و هو والد مجد الأشراف و محمد رضا و المیرزا هاشم المترجمین فی (عم- ص 447) و ترجم فی (ض- ص 449) و أعیان الشیعة (ج 8- ص 115 و ج 18 ص 162) و ریحانة الأدب (ج 2 ص 59 و ج 3 ص 450) و مر له آیات الولایة و تباشیر الحکمة و ترجمه تفسیر العسکری، و له کوثرنامه الموجودة فی (الرضویة) و غیرها.</w:t>
      </w:r>
    </w:p>
    <w:p>
      <w:pPr>
        <w:pStyle w:val="BookText"/>
      </w:pPr>
      <w:r>
        <w:rPr>
          <w:rFonts w:ascii="IRNazanin" w:hAnsi="IRNazanin" w:eastAsia="IRNazanin" w:cs="IRNazanin"/>
          <w:lang w:bidi="fa-IR"/>
          <w:color w:val="111111"/>
          <w:sz w:val="28"/>
          <w:szCs w:val="28"/>
          <w:rtl/>
        </w:rPr>
        <w:t xml:space="preserve">و قد طبع دیوانه فی (1312) و (1320) بعنوان دیوان میرزا بابا.</w:t>
      </w:r>
    </w:p>
    <w:p>
      <w:pPr>
        <w:pStyle w:val="Heading3"/>
      </w:pPr>
      <w:bookmarkStart w:id="3931" w:name="_Toc2627"/>
      <w:r>
        <w:t>دیوان رازی‏</w:t>
      </w:r>
      <w:bookmarkEnd w:id="3931"/>
    </w:p>
    <w:p>
      <w:pPr>
        <w:pStyle w:val="BookText"/>
      </w:pPr>
      <w:r>
        <w:rPr>
          <w:rFonts w:ascii="IRNazanin" w:hAnsi="IRNazanin" w:eastAsia="IRNazanin" w:cs="IRNazanin"/>
          <w:lang w:bidi="fa-IR"/>
          <w:color w:val="111111"/>
          <w:sz w:val="28"/>
          <w:szCs w:val="28"/>
          <w:rtl/>
        </w:rPr>
        <w:t xml:space="preserve">مر بعنوان أبی المعالی الرازی، و أبی المفاخر الرازی، و دهخدا الرازی و یأتی غضائری رازی و غیره.</w:t>
      </w:r>
    </w:p>
    <w:p>
      <w:pPr>
        <w:pStyle w:val="Heading3"/>
      </w:pPr>
      <w:bookmarkStart w:id="3932" w:name="_Toc2628"/>
      <w:r>
        <w:t>2039- دیوان رازی أصفهانی أو شعره‏</w:t>
      </w:r>
      <w:bookmarkEnd w:id="3932"/>
    </w:p>
    <w:p>
      <w:pPr>
        <w:pStyle w:val="BookText"/>
      </w:pPr>
      <w:r>
        <w:rPr>
          <w:rFonts w:ascii="IRNazanin" w:hAnsi="IRNazanin" w:eastAsia="IRNazanin" w:cs="IRNazanin"/>
          <w:lang w:bidi="fa-IR"/>
          <w:color w:val="111111"/>
          <w:sz w:val="28"/>
          <w:szCs w:val="28"/>
          <w:rtl/>
        </w:rPr>
        <w:t xml:space="preserve">و هو الأخ الأصغر لمحمد شریف الهجری، کان وزیر أصفهان من قبل الشاه طهماسب الأول. أورد شعره فی (گلشن- ص 169).</w:t>
      </w:r>
    </w:p>
    <w:p>
      <w:pPr>
        <w:pStyle w:val="Heading3"/>
      </w:pPr>
      <w:bookmarkStart w:id="3933" w:name="_Toc2629"/>
      <w:r>
        <w:t>2040- دیوان رازی بغدادی أو شعره‏</w:t>
      </w:r>
      <w:bookmarkEnd w:id="3933"/>
    </w:p>
    <w:p>
      <w:pPr>
        <w:pStyle w:val="BookText"/>
      </w:pPr>
      <w:r>
        <w:rPr>
          <w:rFonts w:ascii="IRNazanin" w:hAnsi="IRNazanin" w:eastAsia="IRNazanin" w:cs="IRNazanin"/>
          <w:lang w:bidi="fa-IR"/>
          <w:color w:val="111111"/>
          <w:sz w:val="28"/>
          <w:szCs w:val="28"/>
          <w:rtl/>
        </w:rPr>
        <w:t xml:space="preserve">أورد شعره فی (بهش 2- ص 384) و قال إنه من أهل السر.</w:t>
      </w:r>
    </w:p>
    <w:p>
      <w:pPr>
        <w:pStyle w:val="Heading3"/>
      </w:pPr>
      <w:bookmarkStart w:id="3934" w:name="_Toc2630"/>
      <w:r>
        <w:t>دیوان رازی تبریزی‏</w:t>
      </w:r>
      <w:bookmarkEnd w:id="3934"/>
    </w:p>
    <w:p>
      <w:pPr>
        <w:pStyle w:val="BookText"/>
      </w:pPr>
      <w:r>
        <w:rPr>
          <w:rFonts w:ascii="IRNazanin" w:hAnsi="IRNazanin" w:eastAsia="IRNazanin" w:cs="IRNazanin"/>
          <w:lang w:bidi="fa-IR"/>
          <w:color w:val="111111"/>
          <w:sz w:val="28"/>
          <w:szCs w:val="28"/>
          <w:rtl/>
        </w:rPr>
        <w:t xml:space="preserve">و اسمه محمد رضا. سافر إلی الهند مرتین و رجع إلی وطنه.</w:t>
      </w:r>
    </w:p>
    <w:p>
      <w:pPr>
        <w:pStyle w:val="BookText"/>
      </w:pPr>
      <w:r>
        <w:rPr>
          <w:rFonts w:ascii="IRNazanin" w:hAnsi="IRNazanin" w:eastAsia="IRNazanin" w:cs="IRNazanin"/>
          <w:lang w:bidi="fa-IR"/>
          <w:color w:val="111111"/>
          <w:sz w:val="28"/>
          <w:szCs w:val="28"/>
          <w:rtl/>
        </w:rPr>
        <w:t xml:space="preserve">أورد شعره فی (گلشن- ص 169) و هو راضی کما یأتی.</w:t>
      </w:r>
    </w:p>
    <w:p>
      <w:pPr>
        <w:pStyle w:val="Heading3"/>
      </w:pPr>
      <w:bookmarkStart w:id="3935" w:name="_Toc2631"/>
      <w:r>
        <w:t>2041- دیوان رازی سبزواری أو شعره‏</w:t>
      </w:r>
      <w:bookmarkEnd w:id="3935"/>
    </w:p>
    <w:p>
      <w:pPr>
        <w:pStyle w:val="BookText"/>
      </w:pPr>
      <w:r>
        <w:rPr>
          <w:rFonts w:ascii="IRNazanin" w:hAnsi="IRNazanin" w:eastAsia="IRNazanin" w:cs="IRNazanin"/>
          <w:lang w:bidi="fa-IR"/>
          <w:color w:val="111111"/>
          <w:sz w:val="28"/>
          <w:szCs w:val="28"/>
          <w:rtl/>
        </w:rPr>
        <w:t xml:space="preserve">استحسن سام میرزا شعره فی (تس 5- 20 ص 164) و أورد شعره و قال فی (روشن- ص 233) إنه مات بشیراز.</w:t>
      </w:r>
    </w:p>
    <w:p>
      <w:pPr>
        <w:pStyle w:val="Heading3"/>
      </w:pPr>
      <w:bookmarkStart w:id="3936" w:name="_Toc2632"/>
      <w:r>
        <w:t>2042- دیوان رازی شوشتری‏</w:t>
      </w:r>
      <w:bookmarkEnd w:id="3936"/>
    </w:p>
    <w:p>
      <w:pPr>
        <w:pStyle w:val="BookText"/>
      </w:pPr>
      <w:r>
        <w:rPr>
          <w:rFonts w:ascii="IRNazanin" w:hAnsi="IRNazanin" w:eastAsia="IRNazanin" w:cs="IRNazanin"/>
          <w:lang w:bidi="fa-IR"/>
          <w:color w:val="111111"/>
          <w:sz w:val="28"/>
          <w:szCs w:val="28"/>
          <w:rtl/>
        </w:rPr>
        <w:t xml:space="preserve">قال سام میرزا فی (تس 5- ص 129) إنه لم یخرج من تستر شاعر مثله حتی الیوم، و بعد الإطراء أورد له غزلا. و نسبه فی (تغ- ص 54) و فی (حسینی- ص 133) إلی شیراز بدل تستر. و قال فی (تش- ص 262) إنه جاء من شوشتر إلی شیراز و ترقی أمره هناک ثم هاجر إلی آذربایجان و رجع إلی أصفهان و بها مات.</w:t>
      </w:r>
    </w:p>
    <w:p>
      <w:pPr>
        <w:pStyle w:val="Heading3"/>
      </w:pPr>
      <w:bookmarkStart w:id="3937" w:name="_Toc2633"/>
      <w:r>
        <w:t>2043- دیوان رازی هندی‏</w:t>
      </w:r>
      <w:bookmarkEnd w:id="3937"/>
    </w:p>
    <w:p>
      <w:pPr>
        <w:pStyle w:val="BookText"/>
      </w:pPr>
      <w:r>
        <w:rPr>
          <w:rFonts w:ascii="IRNazanin" w:hAnsi="IRNazanin" w:eastAsia="IRNazanin" w:cs="IRNazanin"/>
          <w:lang w:bidi="fa-IR"/>
          <w:color w:val="111111"/>
          <w:sz w:val="28"/>
          <w:szCs w:val="28"/>
          <w:rtl/>
        </w:rPr>
        <w:t xml:space="preserve">و هو النواب عاقل خان یأتی فی العین.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43" w:name="pg11704_121823"/>
    <w:bookmarkEnd w:id="343"/>
    <w:p>
      <w:pPr>
        <w:pStyle w:val="Heading3"/>
      </w:pPr>
      <w:bookmarkStart w:id="3938" w:name="_Toc2634"/>
      <w:r>
        <w:t>2044- دیوان راستی تبریزی أو شعره‏</w:t>
      </w:r>
      <w:bookmarkEnd w:id="3938"/>
    </w:p>
    <w:p>
      <w:pPr>
        <w:pStyle w:val="BookText"/>
      </w:pPr>
      <w:r>
        <w:rPr>
          <w:rFonts w:ascii="IRNazanin" w:hAnsi="IRNazanin" w:eastAsia="IRNazanin" w:cs="IRNazanin"/>
          <w:lang w:bidi="fa-IR"/>
          <w:color w:val="111111"/>
          <w:sz w:val="28"/>
          <w:szCs w:val="28"/>
          <w:rtl/>
        </w:rPr>
        <w:t xml:space="preserve">کان محتسب تبریز فی عصر الشاه طهماسب ترجمه الصادقی کتاب دار فی (خص 4- ص 43) و أورد له رباعیة بالفارسیة فی (تش- ص 29) و (گلشن- ص 169) و فی (دجا- ص 156) خلط بینه و بین کمال إسماعیل و أدرج ترجمتهما نقلا عن تحفه سامی فی مکان واحد و فی (تس 1- ص 31) أن أصله من تبریز و نشا بخراسان.</w:t>
      </w:r>
    </w:p>
    <w:p>
      <w:pPr>
        <w:pStyle w:val="Heading3"/>
      </w:pPr>
      <w:bookmarkStart w:id="3939" w:name="_Toc2635"/>
      <w:r>
        <w:t>2045- دیوان راسخ سرهندی‏</w:t>
      </w:r>
      <w:bookmarkEnd w:id="3939"/>
    </w:p>
    <w:p>
      <w:pPr>
        <w:pStyle w:val="BookText"/>
      </w:pPr>
      <w:r>
        <w:rPr>
          <w:rFonts w:ascii="IRNazanin" w:hAnsi="IRNazanin" w:eastAsia="IRNazanin" w:cs="IRNazanin"/>
          <w:lang w:bidi="fa-IR"/>
          <w:color w:val="111111"/>
          <w:sz w:val="28"/>
          <w:szCs w:val="28"/>
          <w:rtl/>
        </w:rPr>
        <w:t xml:space="preserve">للمیر محمد زمان من نجباء سادات لاهور کما ترجمه معاصره فی (نر 11- ص 451) و قال فی مرآة الخیال (ص 306) إن أصله من العراق (إیران) و ولد فی الهند و ترقی أمره عند الشاه‏زاده محمد أعظم. و قال تلمیذه فی (سرخوش- ص 42) هو سرهندی و مات بها فی (1107) و قال فی تاریخه:</w:t>
      </w:r>
    </w:p>
    <w:p>
      <w:pPr>
        <w:pStyle w:val="BookText"/>
      </w:pPr>
      <w:r>
        <w:rPr>
          <w:rFonts w:ascii="IRNazanin" w:hAnsi="IRNazanin" w:eastAsia="IRNazanin" w:cs="IRNazanin"/>
          <w:lang w:bidi="fa-IR"/>
          <w:color w:val="111111"/>
          <w:sz w:val="28"/>
          <w:szCs w:val="28"/>
          <w:rtl/>
        </w:rPr>
        <w:t xml:space="preserve">چو تاریخ فوتش دل از عقل خواست‏</w:t>
      </w:r>
    </w:p>
    <w:p>
      <w:pPr>
        <w:pStyle w:val="BookText"/>
      </w:pPr>
      <w:r>
        <w:rPr>
          <w:rFonts w:ascii="IRNazanin" w:hAnsi="IRNazanin" w:eastAsia="IRNazanin" w:cs="IRNazanin"/>
          <w:lang w:bidi="fa-IR"/>
          <w:color w:val="111111"/>
          <w:sz w:val="28"/>
          <w:szCs w:val="28"/>
          <w:rtl/>
        </w:rPr>
        <w:t xml:space="preserve">خرد گفت با دل که: راسخ بمرد</w:t>
      </w:r>
    </w:p>
    <w:p>
      <w:pPr>
        <w:pStyle w:val="BookText"/>
      </w:pPr>
      <w:r>
        <w:rPr>
          <w:rFonts w:ascii="IRNazanin" w:hAnsi="IRNazanin" w:eastAsia="IRNazanin" w:cs="IRNazanin"/>
          <w:lang w:bidi="fa-IR"/>
          <w:color w:val="111111"/>
          <w:sz w:val="28"/>
          <w:szCs w:val="28"/>
          <w:rtl/>
        </w:rPr>
        <w:t xml:space="preserve">و کذا (</w:t>
      </w:r>
    </w:p>
    <w:p>
      <w:pPr>
        <w:pStyle w:val="BookText"/>
      </w:pPr>
      <w:r>
        <w:rPr>
          <w:rFonts w:ascii="IRNazanin" w:hAnsi="IRNazanin" w:eastAsia="IRNazanin" w:cs="IRNazanin"/>
          <w:lang w:bidi="fa-IR"/>
          <w:color w:val="111111"/>
          <w:sz w:val="28"/>
          <w:szCs w:val="28"/>
          <w:rtl/>
        </w:rPr>
        <w:t xml:space="preserve">راسخ دم بود محمد زمان 1107</w:t>
      </w:r>
    </w:p>
    <w:p>
      <w:pPr>
        <w:pStyle w:val="BookText"/>
      </w:pPr>
      <w:r>
        <w:rPr>
          <w:rFonts w:ascii="IRNazanin" w:hAnsi="IRNazanin" w:eastAsia="IRNazanin" w:cs="IRNazanin"/>
          <w:lang w:bidi="fa-IR"/>
          <w:color w:val="111111"/>
          <w:sz w:val="28"/>
          <w:szCs w:val="28"/>
          <w:rtl/>
        </w:rPr>
        <w:t xml:space="preserve">و أورد ذکره فی (تغ- ص 59) و (حسینی- ص 136).</w:t>
      </w:r>
    </w:p>
    <w:p>
      <w:pPr>
        <w:pStyle w:val="Heading3"/>
      </w:pPr>
      <w:bookmarkStart w:id="3940" w:name="_Toc2636"/>
      <w:r>
        <w:t>2046- دیوان راشد دهلوی أو شعره‏</w:t>
      </w:r>
      <w:bookmarkEnd w:id="3940"/>
    </w:p>
    <w:p>
      <w:pPr>
        <w:pStyle w:val="BookText"/>
      </w:pPr>
      <w:r>
        <w:rPr>
          <w:rFonts w:ascii="IRNazanin" w:hAnsi="IRNazanin" w:eastAsia="IRNazanin" w:cs="IRNazanin"/>
          <w:lang w:bidi="fa-IR"/>
          <w:color w:val="111111"/>
          <w:sz w:val="28"/>
          <w:szCs w:val="28"/>
          <w:rtl/>
        </w:rPr>
        <w:t xml:space="preserve">و اسمه ملا محمد رضا. أورد شعره فی (روشن- ص 233) عن دیباجته لمرقعات تصاویر زینب النساء بیگم.</w:t>
      </w:r>
    </w:p>
    <w:p>
      <w:pPr>
        <w:pStyle w:val="Heading3"/>
      </w:pPr>
      <w:bookmarkStart w:id="3941" w:name="_Toc2637"/>
      <w:r>
        <w:t>2047- دیوان راضی أصفهانی‏</w:t>
      </w:r>
      <w:bookmarkEnd w:id="3941"/>
    </w:p>
    <w:p>
      <w:pPr>
        <w:pStyle w:val="BookText"/>
      </w:pPr>
      <w:r>
        <w:rPr>
          <w:rFonts w:ascii="IRNazanin" w:hAnsi="IRNazanin" w:eastAsia="IRNazanin" w:cs="IRNazanin"/>
          <w:lang w:bidi="fa-IR"/>
          <w:color w:val="111111"/>
          <w:sz w:val="28"/>
          <w:szCs w:val="28"/>
          <w:rtl/>
        </w:rPr>
        <w:t xml:space="preserve">و اسمه زمانا النقاش الأصفهانی. کان یتخلص أولا أنور فبدله راضی کذا فی (تش- ص 176) و نقل فی (گلشن- ص 170) عن بعض التذاکر أن تخلصه رضی و قال فی القاموس الترکی إن له سوی الدیوان، مثنوی، و إنه کان حیا إلی (1112) و أظن أن صاحب القاموس الترکی اشتبه بینه و بین راضی هندی الآتی. و سماه فی (تغ- ص 54) رازی بالزای‏</w:t>
      </w:r>
    </w:p>
    <w:p>
      <w:pPr>
        <w:pStyle w:val="Heading3"/>
      </w:pPr>
      <w:bookmarkStart w:id="3942" w:name="_Toc2638"/>
      <w:r>
        <w:t>2048- دیوان راضی تبریزی‏</w:t>
      </w:r>
      <w:bookmarkEnd w:id="3942"/>
    </w:p>
    <w:p>
      <w:pPr>
        <w:pStyle w:val="BookText"/>
      </w:pPr>
      <w:r>
        <w:rPr>
          <w:rFonts w:ascii="IRNazanin" w:hAnsi="IRNazanin" w:eastAsia="IRNazanin" w:cs="IRNazanin"/>
          <w:lang w:bidi="fa-IR"/>
          <w:color w:val="111111"/>
          <w:sz w:val="28"/>
          <w:szCs w:val="28"/>
          <w:rtl/>
        </w:rPr>
        <w:t xml:space="preserve">لمحمد رضا الصائغ التبریزی نزیل عباس‏آباد أصفهان.</w:t>
      </w:r>
    </w:p>
    <w:p>
      <w:pPr>
        <w:pStyle w:val="BookText"/>
      </w:pPr>
      <w:r>
        <w:rPr>
          <w:rFonts w:ascii="IRNazanin" w:hAnsi="IRNazanin" w:eastAsia="IRNazanin" w:cs="IRNazanin"/>
          <w:lang w:bidi="fa-IR"/>
          <w:color w:val="111111"/>
          <w:sz w:val="28"/>
          <w:szCs w:val="28"/>
          <w:rtl/>
        </w:rPr>
        <w:t xml:space="preserve">ترجمه و أورد شعره فی (نر 9- ص 393) و أظنه أحد الثمانیة و السبعین شاعرا صاحب الدیوان، الموجودین فی تبریز فی (1050) الذین أدرکهم السیاح العثمانی، المنقول حکایته فی (دجا- ص 220).</w:t>
      </w:r>
    </w:p>
    <w:p>
      <w:pPr>
        <w:pStyle w:val="Heading3"/>
      </w:pPr>
      <w:bookmarkStart w:id="3943" w:name="_Toc2639"/>
      <w:r>
        <w:t>2049- دیوان السید راضی القزوینی‏</w:t>
      </w:r>
      <w:bookmarkEnd w:id="3943"/>
    </w:p>
    <w:p>
      <w:pPr>
        <w:pStyle w:val="BookText"/>
      </w:pPr>
      <w:r>
        <w:rPr>
          <w:rFonts w:ascii="IRNazanin" w:hAnsi="IRNazanin" w:eastAsia="IRNazanin" w:cs="IRNazanin"/>
          <w:lang w:bidi="fa-IR"/>
          <w:color w:val="111111"/>
          <w:sz w:val="28"/>
          <w:szCs w:val="28"/>
          <w:rtl/>
        </w:rPr>
        <w:t xml:space="preserve">و هو ابن السید صالح بن السید مهدی بن السید رضا الحسینی القزوینی النجفی نزیل بغداد مع والده الآتی، و توفی قبل والده المعمر بسنین فی (1287) فی تبریز مسافرا إلیها. و کان من أفاضل شعراء عصره، و له، مساجلات‏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44" w:name="pg11704_121824"/>
    <w:bookmarkEnd w:id="344"/>
    <w:p>
      <w:pPr>
        <w:pStyle w:val="BookText"/>
      </w:pPr>
      <w:r>
        <w:rPr>
          <w:rFonts w:ascii="IRNazanin" w:hAnsi="IRNazanin" w:eastAsia="IRNazanin" w:cs="IRNazanin"/>
          <w:lang w:bidi="fa-IR"/>
          <w:color w:val="111111"/>
          <w:sz w:val="28"/>
          <w:szCs w:val="28"/>
          <w:rtl/>
        </w:rPr>
        <w:t xml:space="preserve">معهم، مثل الشیخ عباس الملا و الشیخ موسی شریف و الشیخ عبد الحسین محیی الدین و غیرهم، رأیت بعض شعره فی المجموع الرائق للسید محمد صادق آل بحر العلوم.</w:t>
      </w:r>
    </w:p>
    <w:p>
      <w:pPr>
        <w:pStyle w:val="BookText"/>
      </w:pPr>
      <w:r>
        <w:rPr>
          <w:rFonts w:ascii="IRNazanin" w:hAnsi="IRNazanin" w:eastAsia="IRNazanin" w:cs="IRNazanin"/>
          <w:lang w:bidi="fa-IR"/>
          <w:color w:val="111111"/>
          <w:sz w:val="28"/>
          <w:szCs w:val="28"/>
          <w:rtl/>
        </w:rPr>
        <w:t xml:space="preserve">و کان شعره متفرقا فی المجامیع فدونه المولی المعاصر الشیخ محمد بن الشیخ طاهر السماوی و رتبه قسمین، التخامیس و القصائد، و ترجمه مفصلا فی الطلیعة.</w:t>
      </w:r>
    </w:p>
    <w:p>
      <w:pPr>
        <w:pStyle w:val="Heading3"/>
      </w:pPr>
      <w:bookmarkStart w:id="3944" w:name="_Toc2640"/>
      <w:r>
        <w:t>2050- دیوان راضی کشمیری‏</w:t>
      </w:r>
      <w:bookmarkEnd w:id="3944"/>
    </w:p>
    <w:p>
      <w:pPr>
        <w:pStyle w:val="BookText"/>
      </w:pPr>
      <w:r>
        <w:rPr>
          <w:rFonts w:ascii="IRNazanin" w:hAnsi="IRNazanin" w:eastAsia="IRNazanin" w:cs="IRNazanin"/>
          <w:lang w:bidi="fa-IR"/>
          <w:color w:val="111111"/>
          <w:sz w:val="28"/>
          <w:szCs w:val="28"/>
          <w:rtl/>
        </w:rPr>
        <w:t xml:space="preserve">و اسمه أحسن الله خان الملقب بفصاحت خان من طائفة قاضی خان الکشمیری. تلمذ علی عبد الغنی قبول، و جاء إلی دهلی و ترقی أمره عند محمد شاه و لازم النواب صلابت خان و مات فی العشر الخامس من المائة الثانیة عشر کذا ترجمه فی (روشن- ص 233- 234) و قال إن صاحب صبح گلشن اشتبه فیه و سماه ریاضی تبعا لتذکرة نشتر عشق. و توجد نسخه من دیوانه فی (بنگاله) کتبت (1184) کما فی فهرسها.</w:t>
      </w:r>
    </w:p>
    <w:p>
      <w:pPr>
        <w:pStyle w:val="Heading3"/>
      </w:pPr>
      <w:bookmarkStart w:id="3945" w:name="_Toc2641"/>
      <w:r>
        <w:t>2051- دیوان راغب أردبیلی أو شعره‏</w:t>
      </w:r>
      <w:bookmarkEnd w:id="3945"/>
    </w:p>
    <w:p>
      <w:pPr>
        <w:pStyle w:val="BookText"/>
      </w:pPr>
      <w:r>
        <w:rPr>
          <w:rFonts w:ascii="IRNazanin" w:hAnsi="IRNazanin" w:eastAsia="IRNazanin" w:cs="IRNazanin"/>
          <w:lang w:bidi="fa-IR"/>
          <w:color w:val="111111"/>
          <w:sz w:val="28"/>
          <w:szCs w:val="28"/>
          <w:rtl/>
        </w:rPr>
        <w:t xml:space="preserve">و اسمه میر یوسف. ترجمه و أورد شعره فی (تش- ص 25) و عنه فی (روشن- 234) و نگارستان سخن ثم فی القاموس الترکی و عنه فی ریحانة الأدب و (دجا- ص 157) عن (روز روشن).</w:t>
      </w:r>
    </w:p>
    <w:p>
      <w:pPr>
        <w:pStyle w:val="Heading3"/>
      </w:pPr>
      <w:bookmarkStart w:id="3946" w:name="_Toc2642"/>
      <w:r>
        <w:t>2052- دیوان راغب تبریزی أو شعره‏</w:t>
      </w:r>
      <w:bookmarkEnd w:id="3946"/>
    </w:p>
    <w:p>
      <w:pPr>
        <w:pStyle w:val="BookText"/>
      </w:pPr>
      <w:r>
        <w:rPr>
          <w:rFonts w:ascii="IRNazanin" w:hAnsi="IRNazanin" w:eastAsia="IRNazanin" w:cs="IRNazanin"/>
          <w:lang w:bidi="fa-IR"/>
          <w:color w:val="111111"/>
          <w:sz w:val="28"/>
          <w:szCs w:val="28"/>
          <w:rtl/>
        </w:rPr>
        <w:t xml:space="preserve">و اسمه کلب حسین. ترجمه و أورد شعره فی (تش- ص 29). و نگارستان سخن، و عنه فی (روشن- ص 235) و (دجا- ص 157) نقلا عن مجمع الخواص و لم أره فیه.</w:t>
      </w:r>
    </w:p>
    <w:p>
      <w:pPr>
        <w:pStyle w:val="Heading3"/>
      </w:pPr>
      <w:bookmarkStart w:id="3947" w:name="_Toc2643"/>
      <w:r>
        <w:t>2053- دیوان راغب تبریزی أو شعره‏</w:t>
      </w:r>
      <w:bookmarkEnd w:id="3947"/>
    </w:p>
    <w:p>
      <w:pPr>
        <w:pStyle w:val="BookText"/>
      </w:pPr>
      <w:r>
        <w:rPr>
          <w:rFonts w:ascii="IRNazanin" w:hAnsi="IRNazanin" w:eastAsia="IRNazanin" w:cs="IRNazanin"/>
          <w:lang w:bidi="fa-IR"/>
          <w:color w:val="111111"/>
          <w:sz w:val="28"/>
          <w:szCs w:val="28"/>
          <w:rtl/>
        </w:rPr>
        <w:t xml:space="preserve">و اسمه کلب علی. قال فی (دجا- ص 157) إنه بعد مقتله تبریز هاجر إلی گیلان عند خان أحمد پادشاه گیلان، و لکنه هجاه بعد مدة بقصیدة.</w:t>
      </w:r>
    </w:p>
    <w:p>
      <w:pPr>
        <w:pStyle w:val="Heading3"/>
      </w:pPr>
      <w:bookmarkStart w:id="3948" w:name="_Toc2644"/>
      <w:r>
        <w:t>2054- دیوان راغب شیرازی أو شعره‏</w:t>
      </w:r>
      <w:bookmarkEnd w:id="3948"/>
    </w:p>
    <w:p>
      <w:pPr>
        <w:pStyle w:val="BookText"/>
      </w:pPr>
      <w:r>
        <w:rPr>
          <w:rFonts w:ascii="IRNazanin" w:hAnsi="IRNazanin" w:eastAsia="IRNazanin" w:cs="IRNazanin"/>
          <w:lang w:bidi="fa-IR"/>
          <w:color w:val="111111"/>
          <w:sz w:val="28"/>
          <w:szCs w:val="28"/>
          <w:rtl/>
        </w:rPr>
        <w:t xml:space="preserve">و اسمه المیرزا غلام حسین، مات (1303) ترجمه و أورد شعره فی (عم- ص 557) و عنه فی ریحانة الأدب.</w:t>
      </w:r>
    </w:p>
    <w:p>
      <w:pPr>
        <w:pStyle w:val="Heading3"/>
      </w:pPr>
      <w:bookmarkStart w:id="3949" w:name="_Toc2645"/>
      <w:r>
        <w:t>2055- دیوان راغب کاشانی‏</w:t>
      </w:r>
      <w:bookmarkEnd w:id="3949"/>
    </w:p>
    <w:p>
      <w:pPr>
        <w:pStyle w:val="BookText"/>
      </w:pPr>
      <w:r>
        <w:rPr>
          <w:rFonts w:ascii="IRNazanin" w:hAnsi="IRNazanin" w:eastAsia="IRNazanin" w:cs="IRNazanin"/>
          <w:lang w:bidi="fa-IR"/>
          <w:color w:val="111111"/>
          <w:sz w:val="28"/>
          <w:szCs w:val="28"/>
          <w:rtl/>
        </w:rPr>
        <w:t xml:space="preserve">الحکیم عبد الله بن الحکیم إسماعیل الکاشانی الأصل القمی المسکن العالم الماهر فی أکثر العلوم. أطرأه النصرآبادی فی (نر 13 و 9- ص 478 و ص 364) و ذکر أنه کان یتخلص فی أوائل حاله راغب و الیوم (1083) یتخلص وحدت. و توجد خطه فی مرقع فی المکتبة الشاهیة بطهران کما فی (نمونه‏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45" w:name="pg11704_121825"/>
    <w:bookmarkEnd w:id="345"/>
    <w:p>
      <w:pPr>
        <w:pStyle w:val="BookText"/>
      </w:pPr>
      <w:r>
        <w:rPr>
          <w:rFonts w:ascii="IRNazanin" w:hAnsi="IRNazanin" w:eastAsia="IRNazanin" w:cs="IRNazanin"/>
          <w:lang w:bidi="fa-IR"/>
          <w:color w:val="111111"/>
          <w:sz w:val="28"/>
          <w:szCs w:val="28"/>
          <w:rtl/>
        </w:rPr>
        <w:t xml:space="preserve">خطوط خوش شاهی- ص 110).</w:t>
      </w:r>
    </w:p>
    <w:p>
      <w:pPr>
        <w:pStyle w:val="Heading3"/>
      </w:pPr>
      <w:bookmarkStart w:id="3950" w:name="_Toc2646"/>
      <w:r>
        <w:t>2056- دیوان راغب لکهنوی أو شعره‏</w:t>
      </w:r>
      <w:bookmarkEnd w:id="3950"/>
    </w:p>
    <w:p>
      <w:pPr>
        <w:pStyle w:val="BookText"/>
      </w:pPr>
      <w:r>
        <w:rPr>
          <w:rFonts w:ascii="IRNazanin" w:hAnsi="IRNazanin" w:eastAsia="IRNazanin" w:cs="IRNazanin"/>
          <w:lang w:bidi="fa-IR"/>
          <w:color w:val="111111"/>
          <w:sz w:val="28"/>
          <w:szCs w:val="28"/>
          <w:rtl/>
        </w:rPr>
        <w:t xml:space="preserve">و اسمه المیرزا سبحان قلی بیگ من أصدقاء سعادتیار رنگین أورد شعره فی (روشن- ص 235) و قال إنه غیر راغب لکهنوی الشاعر الذی تلمذ علی محمد باقر منیر.</w:t>
      </w:r>
    </w:p>
    <w:p>
      <w:pPr>
        <w:pStyle w:val="Heading3"/>
      </w:pPr>
      <w:bookmarkStart w:id="3951" w:name="_Toc2647"/>
      <w:r>
        <w:t>2057- دیوان راغب هندی‏</w:t>
      </w:r>
      <w:bookmarkEnd w:id="3951"/>
    </w:p>
    <w:p>
      <w:pPr>
        <w:pStyle w:val="BookText"/>
      </w:pPr>
      <w:r>
        <w:rPr>
          <w:rFonts w:ascii="IRNazanin" w:hAnsi="IRNazanin" w:eastAsia="IRNazanin" w:cs="IRNazanin"/>
          <w:lang w:bidi="fa-IR"/>
          <w:color w:val="111111"/>
          <w:sz w:val="28"/>
          <w:szCs w:val="28"/>
          <w:rtl/>
        </w:rPr>
        <w:t xml:space="preserve">و اسمه المیر مبارک بن السید عاصم بن عبد الله. کان أجداده من قصبة إمام بنواحی بلخ، نزلوا حیدرآباد دکن ثم مدراس، و بها ولد فی (1203) و له غیر الدیوان هذا مثنوی ساقی‏نامه و فراق‏نامه ترجمه و أورد شعره فی (گلشن- ص 170) و عنه فی القاموس الترکی ثم الریحانة.</w:t>
      </w:r>
    </w:p>
    <w:p>
      <w:pPr>
        <w:pStyle w:val="Heading3"/>
      </w:pPr>
      <w:bookmarkStart w:id="3952" w:name="_Toc2648"/>
      <w:r>
        <w:t>2058- دیوان راغب یزدی أو شعره‏</w:t>
      </w:r>
      <w:bookmarkEnd w:id="3952"/>
    </w:p>
    <w:p>
      <w:pPr>
        <w:pStyle w:val="BookText"/>
      </w:pPr>
      <w:r>
        <w:rPr>
          <w:rFonts w:ascii="IRNazanin" w:hAnsi="IRNazanin" w:eastAsia="IRNazanin" w:cs="IRNazanin"/>
          <w:lang w:bidi="fa-IR"/>
          <w:color w:val="111111"/>
          <w:sz w:val="28"/>
          <w:szCs w:val="28"/>
          <w:rtl/>
        </w:rPr>
        <w:t xml:space="preserve">و اسمه محمد سعید الیزدی المال میری. ترجمه و أورد شعره فی (تش یز- ص 290) و قال: سافر إلی الهند و بها مات.</w:t>
      </w:r>
    </w:p>
    <w:p>
      <w:pPr>
        <w:pStyle w:val="Heading3"/>
      </w:pPr>
      <w:bookmarkStart w:id="3953" w:name="_Toc2649"/>
      <w:r>
        <w:t>2059- دیوان رأفت شوشتری أو شعره‏</w:t>
      </w:r>
      <w:bookmarkEnd w:id="3953"/>
    </w:p>
    <w:p>
      <w:pPr>
        <w:pStyle w:val="BookText"/>
      </w:pPr>
      <w:r>
        <w:rPr>
          <w:rFonts w:ascii="IRNazanin" w:hAnsi="IRNazanin" w:eastAsia="IRNazanin" w:cs="IRNazanin"/>
          <w:lang w:bidi="fa-IR"/>
          <w:color w:val="111111"/>
          <w:sz w:val="28"/>
          <w:szCs w:val="28"/>
          <w:rtl/>
        </w:rPr>
        <w:t xml:space="preserve">و هو الآقا قاسم أخو آقا جواد وزیر. ذکره و أورد شعره معاصره فقیر شوشتری المتوفی (1173) فی تذکره شوشتر (ص 150 و 154) و قال قتل فی حرب وقع بین کریم خان زند و علی مردان خان فی کرمانشاه فی ذی الحجة (1165).</w:t>
      </w:r>
    </w:p>
    <w:p>
      <w:pPr>
        <w:pStyle w:val="Heading3"/>
      </w:pPr>
      <w:bookmarkStart w:id="3954" w:name="_Toc2650"/>
      <w:r>
        <w:t>2060- دیوان رأفت لکهنوی أو شعره‏</w:t>
      </w:r>
      <w:bookmarkEnd w:id="3954"/>
    </w:p>
    <w:p>
      <w:pPr>
        <w:pStyle w:val="BookText"/>
      </w:pPr>
      <w:r>
        <w:rPr>
          <w:rFonts w:ascii="IRNazanin" w:hAnsi="IRNazanin" w:eastAsia="IRNazanin" w:cs="IRNazanin"/>
          <w:lang w:bidi="fa-IR"/>
          <w:color w:val="111111"/>
          <w:sz w:val="28"/>
          <w:szCs w:val="28"/>
          <w:rtl/>
        </w:rPr>
        <w:t xml:space="preserve">و هو المیرزا عبد الله بن کاظم. أورد شعره فی (گلشن- ص 171).</w:t>
      </w:r>
    </w:p>
    <w:p>
      <w:pPr>
        <w:pStyle w:val="Heading3"/>
      </w:pPr>
      <w:bookmarkStart w:id="3955" w:name="_Toc2651"/>
      <w:r>
        <w:t>2061- دیوان رافع کشمیری أو شعره‏</w:t>
      </w:r>
      <w:bookmarkEnd w:id="3955"/>
    </w:p>
    <w:p>
      <w:pPr>
        <w:pStyle w:val="BookText"/>
      </w:pPr>
      <w:r>
        <w:rPr>
          <w:rFonts w:ascii="IRNazanin" w:hAnsi="IRNazanin" w:eastAsia="IRNazanin" w:cs="IRNazanin"/>
          <w:lang w:bidi="fa-IR"/>
          <w:color w:val="111111"/>
          <w:sz w:val="28"/>
          <w:szCs w:val="28"/>
          <w:rtl/>
        </w:rPr>
        <w:t xml:space="preserve">ترجمه فی (خز- ص 245) و أورد شعره فی مدیح صمصام الدولة (المقتول (1151) فی حروب نادر شاه فی الهند. و سماه فی (حسینی- ص 136) محمد رافع کشمیری، و لعله رافع یزدی.</w:t>
      </w:r>
    </w:p>
    <w:p>
      <w:pPr>
        <w:pStyle w:val="Heading3"/>
      </w:pPr>
      <w:bookmarkStart w:id="3956" w:name="_Toc2652"/>
      <w:r>
        <w:t>2062- دیوان رافع هندی أو شعره‏</w:t>
      </w:r>
      <w:bookmarkEnd w:id="3956"/>
    </w:p>
    <w:p>
      <w:pPr>
        <w:pStyle w:val="BookText"/>
      </w:pPr>
      <w:r>
        <w:rPr>
          <w:rFonts w:ascii="IRNazanin" w:hAnsi="IRNazanin" w:eastAsia="IRNazanin" w:cs="IRNazanin"/>
          <w:lang w:bidi="fa-IR"/>
          <w:color w:val="111111"/>
          <w:sz w:val="28"/>
          <w:szCs w:val="28"/>
          <w:rtl/>
        </w:rPr>
        <w:t xml:space="preserve">و هو السید محمد کاظم أخو السید أحمد حسین ابنا أبی القاسم. أورد شعره فی (گلشن- ص 171).</w:t>
      </w:r>
    </w:p>
    <w:p>
      <w:pPr>
        <w:pStyle w:val="Heading3"/>
      </w:pPr>
      <w:bookmarkStart w:id="3957" w:name="_Toc2653"/>
      <w:r>
        <w:t>دیوان رافع یزدی أو شعره‏</w:t>
      </w:r>
      <w:bookmarkEnd w:id="3957"/>
    </w:p>
    <w:p>
      <w:pPr>
        <w:pStyle w:val="BookText"/>
      </w:pPr>
      <w:r>
        <w:rPr>
          <w:rFonts w:ascii="IRNazanin" w:hAnsi="IRNazanin" w:eastAsia="IRNazanin" w:cs="IRNazanin"/>
          <w:lang w:bidi="fa-IR"/>
          <w:color w:val="111111"/>
          <w:sz w:val="28"/>
          <w:szCs w:val="28"/>
          <w:rtl/>
        </w:rPr>
        <w:t xml:space="preserve">و هو السید محمد رفیع، جاء من وطنه إلی دهلی فتعین فی کشمیر و سکن بها. کذا فی (روشن- ص 235). و أظنه رافع کشمیری.</w:t>
      </w:r>
    </w:p>
    <w:p>
      <w:pPr>
        <w:pStyle w:val="Heading3"/>
      </w:pPr>
      <w:bookmarkStart w:id="3958" w:name="_Toc2654"/>
      <w:r>
        <w:t>2063- دیوان رافعی أسفراینی أو شعره‏</w:t>
      </w:r>
      <w:bookmarkEnd w:id="3958"/>
    </w:p>
    <w:p>
      <w:pPr>
        <w:pStyle w:val="BookText"/>
      </w:pPr>
      <w:r>
        <w:rPr>
          <w:rFonts w:ascii="IRNazanin" w:hAnsi="IRNazanin" w:eastAsia="IRNazanin" w:cs="IRNazanin"/>
          <w:lang w:bidi="fa-IR"/>
          <w:color w:val="111111"/>
          <w:sz w:val="28"/>
          <w:szCs w:val="28"/>
          <w:rtl/>
        </w:rPr>
        <w:t xml:space="preserve">و هو عز الدین من رؤساء أسفراین ترجمه العوفی فی اللباب (ج 1- ص 151) و کذا فی (خوش‏گو) و (روشن- ص 235). و أوردوا شعره.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46" w:name="pg11704_121826"/>
    <w:bookmarkEnd w:id="346"/>
    <w:p>
      <w:pPr>
        <w:pStyle w:val="Heading3"/>
      </w:pPr>
      <w:bookmarkStart w:id="3959" w:name="_Toc2655"/>
      <w:r>
        <w:t>دیوان رافعی قزوینی‏</w:t>
      </w:r>
      <w:bookmarkEnd w:id="3959"/>
    </w:p>
    <w:p>
      <w:pPr>
        <w:pStyle w:val="BookText"/>
      </w:pPr>
      <w:r>
        <w:rPr>
          <w:rFonts w:ascii="IRNazanin" w:hAnsi="IRNazanin" w:eastAsia="IRNazanin" w:cs="IRNazanin"/>
          <w:lang w:bidi="fa-IR"/>
          <w:color w:val="111111"/>
          <w:sz w:val="28"/>
          <w:szCs w:val="28"/>
          <w:rtl/>
        </w:rPr>
        <w:t xml:space="preserve">مر بعنوان إمام الدین فی (ص 93) و قال فی (خوش‏گو) مات فی ذی القعدة (623 أو 633) و ترجمه أیضا فی (تش- ص 224) و (روشن- ص 236) و سماه فی (تغ- ص 55) أبو سعید بابویه.</w:t>
      </w:r>
    </w:p>
    <w:p>
      <w:pPr>
        <w:pStyle w:val="Heading3"/>
      </w:pPr>
      <w:bookmarkStart w:id="3960" w:name="_Toc2656"/>
      <w:r>
        <w:t>2064- دیوان رافعی النیشابوری أو شعره‏</w:t>
      </w:r>
      <w:bookmarkEnd w:id="3960"/>
    </w:p>
    <w:p>
      <w:pPr>
        <w:pStyle w:val="BookText"/>
      </w:pPr>
      <w:r>
        <w:rPr>
          <w:rFonts w:ascii="IRNazanin" w:hAnsi="IRNazanin" w:eastAsia="IRNazanin" w:cs="IRNazanin"/>
          <w:lang w:bidi="fa-IR"/>
          <w:color w:val="111111"/>
          <w:sz w:val="28"/>
          <w:szCs w:val="28"/>
          <w:rtl/>
        </w:rPr>
        <w:t xml:space="preserve">الحکیم الفاضل من شعراء العصر الغزنوی.</w:t>
      </w:r>
    </w:p>
    <w:p>
      <w:pPr>
        <w:pStyle w:val="BookText"/>
      </w:pPr>
      <w:r>
        <w:rPr>
          <w:rFonts w:ascii="IRNazanin" w:hAnsi="IRNazanin" w:eastAsia="IRNazanin" w:cs="IRNazanin"/>
          <w:lang w:bidi="fa-IR"/>
          <w:color w:val="111111"/>
          <w:sz w:val="28"/>
          <w:szCs w:val="28"/>
          <w:rtl/>
        </w:rPr>
        <w:t xml:space="preserve">کان معاصرا مع الحکیم أبی القاسم الحسن بن أحمد العنصری الذی توفی فی عصر السلطان مسعود بن محمود الغزنوی فی (431) و کان بینهما مشاعرات کما ذکره فی (مع- ج 1- ص 220) و أورد أشعاره فی مدح السلطان محمود بن سبکتکین الغزنوی المتوفی (421) و مدح وزیره الخواجة أحمد بن الحسن المیمندی المتوفی (424) و علیه فهو من شعراء أوائل القرن الخامس، و مقدم علی من ترجمه فی (ض- ص 126) بعنوان رافعی النیشابوری و ذکر أنه إمام الدین أبو القاسم مؤلف الشرح الصغیر و الشرح الکبیر و المتوفی بقزوین (633) و ذکر أن والد هذا الشاعر أبو سعید الرافعی من العرب ثم ذکر أبا سعید فی (ض- ص 332) بقوله الرافعی القزوینی اسمه أبو سعید بابویه والد إمام الدین الرافعی و ذکر من شعره رباعیة فارسیة. و ترجم إمام الدین هذا فی (مع- ج 1 ص 221) بعنوان الرافعی القزوینی إمام الدین أبو القاسم بن أبی سعید مؤلف الشرح الصغیر و الکبیر المتوفی بقزوین (633) و أورد بعض شعره الذی أورده فی (ض- ص 126) للرافعی النیشابوری. و علی أی فهذا الشاعر الرافعی النیشابوری مقدم بکثیر علی الرافعی القزوینی‏</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نیشابور. قال و توفی فی شهر رمضان (508) و الظاهر أنه غلط الطبع و الصحیح (580) حتی یلائم تاریخ فوت ولده إمام الدین فی (623) و قد ذکرنا هذا الرافعی بعنوان إمام الدین.</w:t>
      </w:r>
    </w:p>
    <w:p>
      <w:pPr>
        <w:pStyle w:val="BookText"/>
      </w:pPr>
      <w:r>
        <w:rPr>
          <w:rFonts w:ascii="IRNazanin" w:hAnsi="IRNazanin" w:eastAsia="IRNazanin" w:cs="IRNazanin"/>
          <w:lang w:bidi="fa-IR"/>
          <w:color w:val="111111"/>
          <w:sz w:val="28"/>
          <w:szCs w:val="28"/>
          <w:rtl/>
        </w:rPr>
        <w:t xml:space="preserve">الذی ذکرنا دیوانه أیضا فی (ص 93).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47" w:name="pg11704_121827"/>
    <w:bookmarkEnd w:id="347"/>
    <w:p>
      <w:pPr>
        <w:pStyle w:val="Heading3"/>
      </w:pPr>
      <w:bookmarkStart w:id="3961" w:name="_Toc2657"/>
      <w:r>
        <w:t>2065- دیوان راقم بخاری أو شعره‏</w:t>
      </w:r>
      <w:bookmarkEnd w:id="3961"/>
    </w:p>
    <w:p>
      <w:pPr>
        <w:pStyle w:val="BookText"/>
      </w:pPr>
      <w:r>
        <w:rPr>
          <w:rFonts w:ascii="IRNazanin" w:hAnsi="IRNazanin" w:eastAsia="IRNazanin" w:cs="IRNazanin"/>
          <w:lang w:bidi="fa-IR"/>
          <w:color w:val="111111"/>
          <w:sz w:val="28"/>
          <w:szCs w:val="28"/>
          <w:rtl/>
        </w:rPr>
        <w:t xml:space="preserve">و اسمه الخواجة عابد البخاری. ترجمه النصرآبادی فی (نر 10- ص 439) و ذکر أنه أتی إلی أصفهان قبل سنین و ذهب إلی الهند و أورد شعره و کذا فی (روشن- ص 236).</w:t>
      </w:r>
    </w:p>
    <w:p>
      <w:pPr>
        <w:pStyle w:val="Heading3"/>
      </w:pPr>
      <w:bookmarkStart w:id="3962" w:name="_Toc2658"/>
      <w:r>
        <w:t>2066- دیوان راقم مشهدی‏</w:t>
      </w:r>
      <w:bookmarkEnd w:id="3962"/>
    </w:p>
    <w:p>
      <w:pPr>
        <w:pStyle w:val="BookText"/>
      </w:pPr>
      <w:r>
        <w:rPr>
          <w:rFonts w:ascii="IRNazanin" w:hAnsi="IRNazanin" w:eastAsia="IRNazanin" w:cs="IRNazanin"/>
          <w:lang w:bidi="fa-IR"/>
          <w:color w:val="111111"/>
          <w:sz w:val="28"/>
          <w:szCs w:val="28"/>
          <w:rtl/>
        </w:rPr>
        <w:t xml:space="preserve">و اسمه المیرزا سعد الدین محمد المشهدی ابن الخواجة غیاث الدین الذی کان یتجر فی بلاد الهند فسافر ولده سعد الدین أیضا إلی الهند و اتصل بإسلام خان المشهدی الشاه‏جهانی و نال من إحسانه کثیرا و رجع إلی أصفهان فنصبه الشاه سلیمان وزیرا لهراة ثم وزیرا لجمیع ممالک خراسان کما فصل ذلک فی (نر 4- ص 85) و البلگرامی فی (خز- ص 238) و ذکر أنه ظفر بنسخة من دیوان راقم فی مجلد ضخم أکثره غزلیات و بعض القصائد و القطعات و الرباعیات، و النسخة مبدوة بدیباجتین أولاهما لسعد الدین نفسه فی غایة المتانة، و الثانیة لمحمد صادق المشهدی ثم نقل عنه مائة و نیف و عشرین بیتا. و أورد أحواله فی (تش یز- ص 290). و قال فی (تغ ص 55) إنه کان ممدوح عظیما النیشابوری و شوکت و مقیما المشهدی، و مات (1100). توجد نسخه من دیوانه فی مکتبة (الملک) برقم 5297 و (بنگاله) و بریتش موزیوم کما فی فهرسها لریو (ص 332).</w:t>
      </w:r>
    </w:p>
    <w:p>
      <w:pPr>
        <w:pStyle w:val="Heading3"/>
      </w:pPr>
      <w:bookmarkStart w:id="3963" w:name="_Toc2659"/>
      <w:r>
        <w:t>2067- دیوان راقم مشهدی‏</w:t>
      </w:r>
      <w:bookmarkEnd w:id="3963"/>
    </w:p>
    <w:p>
      <w:pPr>
        <w:pStyle w:val="BookText"/>
      </w:pPr>
      <w:r>
        <w:rPr>
          <w:rFonts w:ascii="IRNazanin" w:hAnsi="IRNazanin" w:eastAsia="IRNazanin" w:cs="IRNazanin"/>
          <w:lang w:bidi="fa-IR"/>
          <w:color w:val="111111"/>
          <w:sz w:val="28"/>
          <w:szCs w:val="28"/>
          <w:rtl/>
        </w:rPr>
        <w:t xml:space="preserve">من شعراء خراسان فی آخر القرن الثالث عشر، و کان حیا حین طبع دیوانه فی (1294) بمشهد فی (190 ص) و أقدم أشعاره فی تاریخ ورود تاج الشعراء المرحوم المیرزا نصر الله شهاب الأصفهانی إلی مشهد و ذلک (1287) و الدیوان کله فی مدائح الأئمة و الحکام و العلماء، و یسمی نفسه راقم مداح.</w:t>
      </w:r>
    </w:p>
    <w:p>
      <w:pPr>
        <w:pStyle w:val="Heading3"/>
      </w:pPr>
      <w:bookmarkStart w:id="3964" w:name="_Toc2660"/>
      <w:r>
        <w:t>2068- دیوان رامش کازرونی‏</w:t>
      </w:r>
      <w:bookmarkEnd w:id="3964"/>
    </w:p>
    <w:p>
      <w:pPr>
        <w:pStyle w:val="BookText"/>
      </w:pPr>
      <w:r>
        <w:rPr>
          <w:rFonts w:ascii="IRNazanin" w:hAnsi="IRNazanin" w:eastAsia="IRNazanin" w:cs="IRNazanin"/>
          <w:lang w:bidi="fa-IR"/>
          <w:color w:val="111111"/>
          <w:sz w:val="28"/>
          <w:szCs w:val="28"/>
          <w:rtl/>
        </w:rPr>
        <w:t xml:space="preserve">نزیل شیراز، و اسمه السید رضا. ترجمه فی (مع- ج 2 ص 135) و أطرأه، و ذکر أنه توفی (1250) ثم قال إنی جمعت دیوانه و کتبت له دیباجة و ذکر بعض شعره فی مدح الفتح علی شاه و حسین علی میرزا فرمان فرما بفارس‏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48" w:name="pg11704_121828"/>
    <w:bookmarkEnd w:id="348"/>
    <w:p>
      <w:pPr>
        <w:pStyle w:val="BookText"/>
      </w:pPr>
      <w:r>
        <w:rPr>
          <w:rFonts w:ascii="IRNazanin" w:hAnsi="IRNazanin" w:eastAsia="IRNazanin" w:cs="IRNazanin"/>
          <w:lang w:bidi="fa-IR"/>
          <w:color w:val="111111"/>
          <w:sz w:val="28"/>
          <w:szCs w:val="28"/>
          <w:rtl/>
        </w:rPr>
        <w:t xml:space="preserve">و رضا قلی میرزا ابن فرمان فرما و النواب محمد علی خان بن جعفر علی خان الهندی و المیرزا أبی الحسن خان الفسائی و غیرهم.</w:t>
      </w:r>
    </w:p>
    <w:p>
      <w:pPr>
        <w:pStyle w:val="Heading3"/>
      </w:pPr>
      <w:bookmarkStart w:id="3965" w:name="_Toc2661"/>
      <w:r>
        <w:t>2069- دیوان رامی الأردوبادی‏</w:t>
      </w:r>
      <w:bookmarkEnd w:id="3965"/>
    </w:p>
    <w:p>
      <w:pPr>
        <w:pStyle w:val="BookText"/>
      </w:pPr>
      <w:r>
        <w:rPr>
          <w:rFonts w:ascii="IRNazanin" w:hAnsi="IRNazanin" w:eastAsia="IRNazanin" w:cs="IRNazanin"/>
          <w:lang w:bidi="fa-IR"/>
          <w:color w:val="111111"/>
          <w:sz w:val="28"/>
          <w:szCs w:val="28"/>
          <w:rtl/>
        </w:rPr>
        <w:t xml:space="preserve">ترجمه معاصره صادقی فی (خص 8- ص 232) و أورد بعض شعره و رباعیاته و عنه فی (دجا- ص 157).</w:t>
      </w:r>
    </w:p>
    <w:p>
      <w:pPr>
        <w:pStyle w:val="Heading3"/>
      </w:pPr>
      <w:bookmarkStart w:id="3966" w:name="_Toc2662"/>
      <w:r>
        <w:t>دیوان رامی تبریزی‏</w:t>
      </w:r>
      <w:bookmarkEnd w:id="3966"/>
    </w:p>
    <w:p>
      <w:pPr>
        <w:pStyle w:val="BookText"/>
      </w:pPr>
      <w:r>
        <w:rPr>
          <w:rFonts w:ascii="IRNazanin" w:hAnsi="IRNazanin" w:eastAsia="IRNazanin" w:cs="IRNazanin"/>
          <w:lang w:bidi="fa-IR"/>
          <w:color w:val="111111"/>
          <w:sz w:val="28"/>
          <w:szCs w:val="28"/>
          <w:rtl/>
        </w:rPr>
        <w:t xml:space="preserve">یأتی بعنوان شرف تبریزی.</w:t>
      </w:r>
    </w:p>
    <w:p>
      <w:pPr>
        <w:pStyle w:val="Heading3"/>
      </w:pPr>
      <w:bookmarkStart w:id="3967" w:name="_Toc2663"/>
      <w:r>
        <w:t>2070- دیوان رامی هندی‏</w:t>
      </w:r>
      <w:bookmarkEnd w:id="3967"/>
    </w:p>
    <w:p>
      <w:pPr>
        <w:pStyle w:val="BookText"/>
      </w:pPr>
      <w:r>
        <w:rPr>
          <w:rFonts w:ascii="IRNazanin" w:hAnsi="IRNazanin" w:eastAsia="IRNazanin" w:cs="IRNazanin"/>
          <w:lang w:bidi="fa-IR"/>
          <w:color w:val="111111"/>
          <w:sz w:val="28"/>
          <w:szCs w:val="28"/>
          <w:rtl/>
        </w:rPr>
        <w:t xml:space="preserve">و اسمه الشیخ خضر سکن بلدة پتنه فی أیام تسلط الأفاغنة علی صوبة بهار، و لم یتزوج تمام عمره، تسع و سبعین سنة و مات (1027) رأی دیوانه فجر الزمانی فی ستة آلاف بیت فذکره فی (میخانه 3- ص 574).</w:t>
      </w:r>
    </w:p>
    <w:p>
      <w:pPr>
        <w:pStyle w:val="Heading3"/>
      </w:pPr>
      <w:bookmarkStart w:id="3968" w:name="_Toc2664"/>
      <w:r>
        <w:t>2071- دیوان رامی یزدی أو شعره‏</w:t>
      </w:r>
      <w:bookmarkEnd w:id="3968"/>
    </w:p>
    <w:p>
      <w:pPr>
        <w:pStyle w:val="BookText"/>
      </w:pPr>
      <w:r>
        <w:rPr>
          <w:rFonts w:ascii="IRNazanin" w:hAnsi="IRNazanin" w:eastAsia="IRNazanin" w:cs="IRNazanin"/>
          <w:lang w:bidi="fa-IR"/>
          <w:color w:val="111111"/>
          <w:sz w:val="28"/>
          <w:szCs w:val="28"/>
          <w:rtl/>
        </w:rPr>
        <w:t xml:space="preserve">و اسمه قلی، و شغله الحلاقة فی بلدة یزد. ترجمه و أورد شعره فی (تش- ص 260) و (تش یز- ص 290) و (روشن- ص 237).</w:t>
      </w:r>
    </w:p>
    <w:p>
      <w:pPr>
        <w:pStyle w:val="Heading3"/>
      </w:pPr>
      <w:bookmarkStart w:id="3969" w:name="_Toc2665"/>
      <w:r>
        <w:t>2072- دیوان رامین‏</w:t>
      </w:r>
      <w:bookmarkEnd w:id="3969"/>
    </w:p>
    <w:p>
      <w:pPr>
        <w:pStyle w:val="BookText"/>
      </w:pPr>
      <w:r>
        <w:rPr>
          <w:rFonts w:ascii="IRNazanin" w:hAnsi="IRNazanin" w:eastAsia="IRNazanin" w:cs="IRNazanin"/>
          <w:lang w:bidi="fa-IR"/>
          <w:color w:val="111111"/>
          <w:sz w:val="28"/>
          <w:szCs w:val="28"/>
          <w:rtl/>
        </w:rPr>
        <w:t xml:space="preserve">و هو الشاعر الشاب الفارسی مهدی موافق المعاصر. صاحب دوشیزه سیه‏روز المذکور فی محله.</w:t>
      </w:r>
    </w:p>
    <w:p>
      <w:pPr>
        <w:pStyle w:val="Heading3"/>
      </w:pPr>
      <w:bookmarkStart w:id="3970" w:name="_Toc2666"/>
      <w:r>
        <w:t>2073- دیوان الراوندی‏</w:t>
      </w:r>
      <w:bookmarkEnd w:id="3970"/>
    </w:p>
    <w:p>
      <w:pPr>
        <w:pStyle w:val="BookText"/>
      </w:pPr>
      <w:r>
        <w:rPr>
          <w:rFonts w:ascii="IRNazanin" w:hAnsi="IRNazanin" w:eastAsia="IRNazanin" w:cs="IRNazanin"/>
          <w:lang w:bidi="fa-IR"/>
          <w:color w:val="111111"/>
          <w:sz w:val="28"/>
          <w:szCs w:val="28"/>
          <w:rtl/>
        </w:rPr>
        <w:t xml:space="preserve">للسید الإمام ضیاء الدین أبی الرضا فضل الله بن علی بن عبد الله (هبة الله: خ. ل.) الحسنی الراوندی الکاشانی المتوفی قبل (547) ترجمه العماد الکاتب الأصفهانی فی خریدة القصر و ذکر أنه رآه فی قاسان فی (533) و هو یعظ الناس فی المدرسة المجدیة، ثم إنه رجع إلی أصفهان فی (547) فرأی ولده السید کمال الدین أبی المحاسن أحمد بن أبی الرضا فضل الله و رأی عنده تصانیف والده منها رمل یبرین و منها دیوانه الذی کان بخطه. ثم أورد العماد فی الخریدة عن هذا الدیوان تمام القصیدة التی أنشأها أبی الرضا فضل الله فی مدح عم المؤلف العماد، و هو الصدر الشهید عز الدین أحمد بن حامد. و أورد السید علی خان فی الطبقات الرفیعة جملة من أشعار هذا الدیوان بعد إطرائه له. و قد طبع هذا الدیوان السید جلال الدین المحدث</w:t>
      </w:r>
    </w:p>
    <w:p>
      <w:pPr>
        <w:pStyle w:val="BookText"/>
      </w:pPr>
      <w:r>
        <w:rPr>
          <w:rFonts w:ascii="IRNazanin" w:hAnsi="IRNazanin" w:eastAsia="IRNazanin" w:cs="IRNazanin"/>
          <w:lang w:bidi="fa-IR"/>
          <w:color w:val="111111"/>
          <w:sz w:val="28"/>
          <w:szCs w:val="28"/>
          <w:rtl/>
        </w:rPr>
        <w:t xml:space="preserve">الأرومی بطهران فی (1374) و للراوندی هذا ولد آخر اسمه أبو الحسن عز الدین علی مؤلف التفسیر و قد ترجم فی الأمل و خاتمة المستدرک ص 324 و غیره.</w:t>
      </w:r>
    </w:p>
    <w:p>
      <w:pPr>
        <w:pStyle w:val="Heading3"/>
      </w:pPr>
      <w:bookmarkStart w:id="3971" w:name="_Toc2667"/>
      <w:r>
        <w:t>2074- دیوان راوی گروسی‏</w:t>
      </w:r>
      <w:bookmarkEnd w:id="3971"/>
    </w:p>
    <w:p>
      <w:pPr>
        <w:pStyle w:val="BookText"/>
      </w:pPr>
      <w:r>
        <w:rPr>
          <w:rFonts w:ascii="IRNazanin" w:hAnsi="IRNazanin" w:eastAsia="IRNazanin" w:cs="IRNazanin"/>
          <w:lang w:bidi="fa-IR"/>
          <w:color w:val="111111"/>
          <w:sz w:val="28"/>
          <w:szCs w:val="28"/>
          <w:rtl/>
        </w:rPr>
        <w:t xml:space="preserve">و اسمه محمد الملقب بفاضل خان و المتخلص راوی و أصله من طائفة بایندر الترکمان. ولد فی گروس (14 ذی الحجة- (1198) و کان فی‏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49" w:name="pg11704_121829"/>
    <w:bookmarkEnd w:id="349"/>
    <w:p>
      <w:pPr>
        <w:pStyle w:val="BookText"/>
      </w:pPr>
      <w:r>
        <w:rPr>
          <w:rFonts w:ascii="IRNazanin" w:hAnsi="IRNazanin" w:eastAsia="IRNazanin" w:cs="IRNazanin"/>
          <w:lang w:bidi="fa-IR"/>
          <w:color w:val="111111"/>
          <w:sz w:val="28"/>
          <w:szCs w:val="28"/>
          <w:rtl/>
        </w:rPr>
        <w:t xml:space="preserve">تربیة أبیه إلی أن توفی (1214) فهاجر هو إلی بلاد عراق العجم و اشتغل بالعلوم إلی أن نزل بطهران فی عصر السلطان فتح علی شاه فتقرب إلیه بواسطة أستاذه ملک الشعراء فتح علی خان صبا الکاشانی، و ألف بأمره تذکره شعراء عصره و مادحیه و سماه انجمن خاقان الموجود فی مکتبات المیرزا جعفر (سلطان القرائی) و (سپهسالار) کما فی فهرسها (ج 2 ص 459) و (مجلس) کما فی فهرسها (ج 3 ص 144) و ذکرناه فی (ج 2 ص 365 و ج 4 ص 29) و نعبر عنه فی قسم الشعر و الشعراء من الذریعة (خاقان) ترجمه فی (مع- ج 2 ص 152) و أورد بعض شعره و مات (1252).</w:t>
      </w:r>
    </w:p>
    <w:p>
      <w:pPr>
        <w:pStyle w:val="Heading3"/>
      </w:pPr>
      <w:bookmarkStart w:id="3972" w:name="_Toc2668"/>
      <w:r>
        <w:t>2075- دیوان راهب أصفهانی‏</w:t>
      </w:r>
      <w:bookmarkEnd w:id="3972"/>
    </w:p>
    <w:p>
      <w:pPr>
        <w:pStyle w:val="BookText"/>
      </w:pPr>
      <w:r>
        <w:rPr>
          <w:rFonts w:ascii="IRNazanin" w:hAnsi="IRNazanin" w:eastAsia="IRNazanin" w:cs="IRNazanin"/>
          <w:lang w:bidi="fa-IR"/>
          <w:color w:val="111111"/>
          <w:sz w:val="28"/>
          <w:szCs w:val="28"/>
          <w:rtl/>
        </w:rPr>
        <w:t xml:space="preserve">أصله من قریة زنان من أعمال أصفهان. سافر لفقره إلی الهند. ترجمه معاصره فی (نر 9- ص 414) و قال کتب راهب کثیرا من شعره فی مجموعة الملا قدرتی الأصفهانی. و قال فی (گلشن- ص 172) سافر إلی الهند و رجع إلی وطنه.</w:t>
      </w:r>
    </w:p>
    <w:p>
      <w:pPr>
        <w:pStyle w:val="Heading3"/>
      </w:pPr>
      <w:bookmarkStart w:id="3973" w:name="_Toc2669"/>
      <w:r>
        <w:t>2076- دیوان راهب أصفهانی‏</w:t>
      </w:r>
      <w:bookmarkEnd w:id="3973"/>
    </w:p>
    <w:p>
      <w:pPr>
        <w:pStyle w:val="BookText"/>
      </w:pPr>
      <w:r>
        <w:rPr>
          <w:rFonts w:ascii="IRNazanin" w:hAnsi="IRNazanin" w:eastAsia="IRNazanin" w:cs="IRNazanin"/>
          <w:lang w:bidi="fa-IR"/>
          <w:color w:val="111111"/>
          <w:sz w:val="28"/>
          <w:szCs w:val="28"/>
          <w:rtl/>
        </w:rPr>
        <w:t xml:space="preserve">قال معاصره فی (تش- ص 373) هو میرزا جعفر الطباطبائی الذی ینتهی نسبه من طرف الأب إلی المیرزا رفیع النائنی و من طرف الأم إلی خلیفة سلطان، و کان ماهرا فی أنواع الشعر الا أنه لم یجمع دیوانه بنفسه و مات (1166) [</w:t>
      </w:r>
    </w:p>
    <w:p>
      <w:pPr>
        <w:pStyle w:val="BookText"/>
      </w:pPr>
      <w:r>
        <w:rPr>
          <w:rFonts w:ascii="IRNazanin" w:hAnsi="IRNazanin" w:eastAsia="IRNazanin" w:cs="IRNazanin"/>
          <w:lang w:bidi="fa-IR"/>
          <w:color w:val="111111"/>
          <w:sz w:val="28"/>
          <w:szCs w:val="28"/>
          <w:rtl/>
        </w:rPr>
        <w:t xml:space="preserve">راهب صد حیف کز جهان رفت‏</w:t>
      </w:r>
    </w:p>
    <w:p>
      <w:pPr>
        <w:pStyle w:val="BookText"/>
      </w:pPr>
      <w:r>
        <w:rPr>
          <w:rFonts w:ascii="IRNazanin" w:hAnsi="IRNazanin" w:eastAsia="IRNazanin" w:cs="IRNazanin"/>
          <w:lang w:bidi="fa-IR"/>
          <w:color w:val="111111"/>
          <w:sz w:val="28"/>
          <w:szCs w:val="28"/>
          <w:rtl/>
        </w:rPr>
        <w:t xml:space="preserve">]. و ذکر معاصره الآخر فی (حسینی- ص 136) قصته مع معاصره المیرزا عبد الکریم و أضاف فی (تغ- ص 55) أنه أخو إمام قلی میرزا مصاحب آزاد بلگرامی فی سفر لاهور، و سماه (پژمان- ص 142) راهب نائنی و أورد شعره.</w:t>
      </w:r>
    </w:p>
    <w:p>
      <w:pPr>
        <w:pStyle w:val="Heading3"/>
      </w:pPr>
      <w:bookmarkStart w:id="3974" w:name="_Toc2670"/>
      <w:r>
        <w:t>دیوان راهب أصفهانی المال میری‏</w:t>
      </w:r>
      <w:bookmarkEnd w:id="3974"/>
    </w:p>
    <w:p>
      <w:pPr>
        <w:pStyle w:val="BookText"/>
      </w:pPr>
      <w:r>
        <w:rPr>
          <w:rFonts w:ascii="IRNazanin" w:hAnsi="IRNazanin" w:eastAsia="IRNazanin" w:cs="IRNazanin"/>
          <w:lang w:bidi="fa-IR"/>
          <w:color w:val="111111"/>
          <w:sz w:val="28"/>
          <w:szCs w:val="28"/>
          <w:rtl/>
        </w:rPr>
        <w:t xml:space="preserve">. یأتی بعنوان واهب کما أشرنا إلیه فی (ص 253).</w:t>
      </w:r>
    </w:p>
    <w:p>
      <w:pPr>
        <w:pStyle w:val="Heading3"/>
      </w:pPr>
      <w:bookmarkStart w:id="3975" w:name="_Toc2671"/>
      <w:r>
        <w:t>2077- دیوان راهب گیلانی أو شعره‏</w:t>
      </w:r>
      <w:bookmarkEnd w:id="3975"/>
    </w:p>
    <w:p>
      <w:pPr>
        <w:pStyle w:val="BookText"/>
      </w:pPr>
      <w:r>
        <w:rPr>
          <w:rFonts w:ascii="IRNazanin" w:hAnsi="IRNazanin" w:eastAsia="IRNazanin" w:cs="IRNazanin"/>
          <w:lang w:bidi="fa-IR"/>
          <w:color w:val="111111"/>
          <w:sz w:val="28"/>
          <w:szCs w:val="28"/>
          <w:rtl/>
        </w:rPr>
        <w:t xml:space="preserve">أورد شعره فی (گلشن- ص 172) و تاریخ علما و شعرای گیلان (ص 87) و (پژمان- ص 133).</w:t>
      </w:r>
    </w:p>
    <w:p>
      <w:pPr>
        <w:pStyle w:val="Heading3"/>
      </w:pPr>
      <w:bookmarkStart w:id="3976" w:name="_Toc2672"/>
      <w:r>
        <w:t>دیوان راهب هروی‏</w:t>
      </w:r>
      <w:bookmarkEnd w:id="3976"/>
    </w:p>
    <w:p>
      <w:pPr>
        <w:pStyle w:val="BookText"/>
      </w:pPr>
      <w:r>
        <w:rPr>
          <w:rFonts w:ascii="IRNazanin" w:hAnsi="IRNazanin" w:eastAsia="IRNazanin" w:cs="IRNazanin"/>
          <w:lang w:bidi="fa-IR"/>
          <w:color w:val="111111"/>
          <w:sz w:val="28"/>
          <w:szCs w:val="28"/>
          <w:rtl/>
        </w:rPr>
        <w:t xml:space="preserve">أستاذ تقی الدین الأوحدی. یأتی بعنوان دیوان صبری هروی‏</w:t>
      </w:r>
    </w:p>
    <w:p>
      <w:pPr>
        <w:pStyle w:val="Heading3"/>
      </w:pPr>
      <w:bookmarkStart w:id="3977" w:name="_Toc2673"/>
      <w:r>
        <w:t>دیوان راهبی غضنفر</w:t>
      </w:r>
      <w:bookmarkEnd w:id="3977"/>
    </w:p>
    <w:p>
      <w:pPr>
        <w:pStyle w:val="BookText"/>
      </w:pPr>
      <w:r>
        <w:rPr>
          <w:rFonts w:ascii="IRNazanin" w:hAnsi="IRNazanin" w:eastAsia="IRNazanin" w:cs="IRNazanin"/>
          <w:lang w:bidi="fa-IR"/>
          <w:color w:val="111111"/>
          <w:sz w:val="28"/>
          <w:szCs w:val="28"/>
          <w:rtl/>
        </w:rPr>
        <w:t xml:space="preserve">یأتی بعنوان صبری.</w:t>
      </w:r>
    </w:p>
    <w:p>
      <w:pPr>
        <w:pStyle w:val="Heading3"/>
      </w:pPr>
      <w:bookmarkStart w:id="3978" w:name="_Toc2674"/>
      <w:r>
        <w:t>2078- دیوان رائج الهندی السیالکوتی‏</w:t>
      </w:r>
      <w:bookmarkEnd w:id="3978"/>
    </w:p>
    <w:p>
      <w:pPr>
        <w:pStyle w:val="BookText"/>
      </w:pPr>
      <w:r>
        <w:rPr>
          <w:rFonts w:ascii="IRNazanin" w:hAnsi="IRNazanin" w:eastAsia="IRNazanin" w:cs="IRNazanin"/>
          <w:lang w:bidi="fa-IR"/>
          <w:color w:val="111111"/>
          <w:sz w:val="28"/>
          <w:szCs w:val="28"/>
          <w:rtl/>
        </w:rPr>
        <w:t xml:space="preserve">من سادات سیالکوت. أطرأه فی (ض- ص 131) و ذکر بعض شعره و قال إنه توفی فی (1016) أقول فی التاریخ غلط فإنه ترجمه فی (خز- ص 244) و ذکر أن اسمه المیر محمد علی بن المیر دوست محمد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50" w:name="pg11704_121830"/>
    <w:bookmarkEnd w:id="350"/>
    <w:p>
      <w:pPr>
        <w:pStyle w:val="BookText"/>
      </w:pPr>
      <w:r>
        <w:rPr>
          <w:rFonts w:ascii="IRNazanin" w:hAnsi="IRNazanin" w:eastAsia="IRNazanin" w:cs="IRNazanin"/>
          <w:lang w:bidi="fa-IR"/>
          <w:color w:val="111111"/>
          <w:sz w:val="28"/>
          <w:szCs w:val="28"/>
          <w:rtl/>
        </w:rPr>
        <w:t xml:space="preserve">المتخلص صانع أخذ فن الشعر عن والده و عمر حدود مائة سنة فی الاعتزال و القناعة و توفی (1- ع 2- 1150) [رفت رائج بعالم باقی‏] کما أنشأه الحاکم اللاهوری فی مادة تاریخه. ثم ذکر أن دیوانه مجلد ضخم مملو من الهجاء، و ذکر بعض شعره منها قوله:</w:t>
      </w:r>
    </w:p>
    <w:p>
      <w:pPr>
        <w:pStyle w:val="BookText"/>
      </w:pPr>
      <w:r>
        <w:rPr>
          <w:rFonts w:ascii="IRNazanin" w:hAnsi="IRNazanin" w:eastAsia="IRNazanin" w:cs="IRNazanin"/>
          <w:lang w:bidi="fa-IR"/>
          <w:color w:val="111111"/>
          <w:sz w:val="28"/>
          <w:szCs w:val="28"/>
          <w:rtl/>
        </w:rPr>
        <w:t xml:space="preserve">دل رائج چه فغانها که چو ناقوس نکرد</w:t>
      </w:r>
    </w:p>
    <w:p>
      <w:pPr>
        <w:pStyle w:val="BookText"/>
      </w:pPr>
      <w:r>
        <w:rPr>
          <w:rFonts w:ascii="IRNazanin" w:hAnsi="IRNazanin" w:eastAsia="IRNazanin" w:cs="IRNazanin"/>
          <w:lang w:bidi="fa-IR"/>
          <w:color w:val="111111"/>
          <w:sz w:val="28"/>
          <w:szCs w:val="28"/>
          <w:rtl/>
        </w:rPr>
        <w:t xml:space="preserve">هیچ أثر در دل این کافر بی‏درد نشد</w:t>
      </w:r>
    </w:p>
    <w:p>
      <w:pPr>
        <w:pStyle w:val="BookText"/>
      </w:pPr>
      <w:r>
        <w:rPr>
          <w:rFonts w:ascii="IRNazanin" w:hAnsi="IRNazanin" w:eastAsia="IRNazanin" w:cs="IRNazanin"/>
          <w:lang w:bidi="fa-IR"/>
          <w:color w:val="111111"/>
          <w:sz w:val="28"/>
          <w:szCs w:val="28"/>
          <w:rtl/>
        </w:rPr>
        <w:t xml:space="preserve">و أورد ذکره فی (سرخوش- ص 41) و (تغ- ص 56) أیضا.</w:t>
      </w:r>
    </w:p>
    <w:p>
      <w:pPr>
        <w:pStyle w:val="Heading3"/>
      </w:pPr>
      <w:bookmarkStart w:id="3979" w:name="_Toc2675"/>
      <w:r>
        <w:t>2079- دیوان ملا رئیس شاختی أو شعره‏</w:t>
      </w:r>
      <w:bookmarkEnd w:id="3979"/>
    </w:p>
    <w:p>
      <w:pPr>
        <w:pStyle w:val="BookText"/>
      </w:pPr>
      <w:r>
        <w:rPr>
          <w:rFonts w:ascii="IRNazanin" w:hAnsi="IRNazanin" w:eastAsia="IRNazanin" w:cs="IRNazanin"/>
          <w:lang w:bidi="fa-IR"/>
          <w:color w:val="111111"/>
          <w:sz w:val="28"/>
          <w:szCs w:val="28"/>
          <w:rtl/>
        </w:rPr>
        <w:t xml:space="preserve">من قریة شاخت من بلوک قائن. ترجمه فی (مجتس 6- 155) و ذکر مطلع غزله‏</w:t>
      </w:r>
    </w:p>
    <w:p>
      <w:pPr>
        <w:pStyle w:val="Heading3"/>
      </w:pPr>
      <w:bookmarkStart w:id="3980" w:name="_Toc2676"/>
      <w:r>
        <w:t>دیوان شیخ الرئیس أبو الحسن میرزا</w:t>
      </w:r>
      <w:bookmarkEnd w:id="3980"/>
    </w:p>
    <w:p>
      <w:pPr>
        <w:pStyle w:val="BookText"/>
      </w:pPr>
      <w:r>
        <w:rPr>
          <w:rFonts w:ascii="IRNazanin" w:hAnsi="IRNazanin" w:eastAsia="IRNazanin" w:cs="IRNazanin"/>
          <w:lang w:bidi="fa-IR"/>
          <w:color w:val="111111"/>
          <w:sz w:val="28"/>
          <w:szCs w:val="28"/>
          <w:rtl/>
        </w:rPr>
        <w:t xml:space="preserve">مر بعنوان حیرت قاجار.</w:t>
      </w:r>
    </w:p>
    <w:p>
      <w:pPr>
        <w:pStyle w:val="Heading3"/>
      </w:pPr>
      <w:bookmarkStart w:id="3981" w:name="_Toc2677"/>
      <w:r>
        <w:t>دیوان شیخ الرئیس أبو علی‏</w:t>
      </w:r>
      <w:bookmarkEnd w:id="3981"/>
    </w:p>
    <w:p>
      <w:pPr>
        <w:pStyle w:val="BookText"/>
      </w:pPr>
      <w:r>
        <w:rPr>
          <w:rFonts w:ascii="IRNazanin" w:hAnsi="IRNazanin" w:eastAsia="IRNazanin" w:cs="IRNazanin"/>
          <w:lang w:bidi="fa-IR"/>
          <w:color w:val="111111"/>
          <w:sz w:val="28"/>
          <w:szCs w:val="28"/>
          <w:rtl/>
        </w:rPr>
        <w:t xml:space="preserve">مر بعنوان ابن سینا</w:t>
      </w:r>
    </w:p>
    <w:p>
      <w:pPr>
        <w:pStyle w:val="Heading3"/>
      </w:pPr>
      <w:bookmarkStart w:id="3982" w:name="_Toc2678"/>
      <w:r>
        <w:t>دیوان رئیس نور الدین هرمزی‏</w:t>
      </w:r>
      <w:bookmarkEnd w:id="3982"/>
    </w:p>
    <w:p>
      <w:pPr>
        <w:pStyle w:val="BookText"/>
      </w:pPr>
      <w:r>
        <w:rPr>
          <w:rFonts w:ascii="IRNazanin" w:hAnsi="IRNazanin" w:eastAsia="IRNazanin" w:cs="IRNazanin"/>
          <w:lang w:bidi="fa-IR"/>
          <w:color w:val="111111"/>
          <w:sz w:val="28"/>
          <w:szCs w:val="28"/>
          <w:rtl/>
        </w:rPr>
        <w:t xml:space="preserve">یأتی بتخلصه نوری‏</w:t>
      </w:r>
    </w:p>
    <w:p>
      <w:pPr>
        <w:pStyle w:val="Heading3"/>
      </w:pPr>
      <w:bookmarkStart w:id="3983" w:name="_Toc2679"/>
      <w:r>
        <w:t>2080- دیوان شیخ رباعی مشهدی‏</w:t>
      </w:r>
      <w:bookmarkEnd w:id="3983"/>
    </w:p>
    <w:p>
      <w:pPr>
        <w:pStyle w:val="BookText"/>
      </w:pPr>
      <w:r>
        <w:rPr>
          <w:rFonts w:ascii="IRNazanin" w:hAnsi="IRNazanin" w:eastAsia="IRNazanin" w:cs="IRNazanin"/>
          <w:lang w:bidi="fa-IR"/>
          <w:color w:val="111111"/>
          <w:sz w:val="28"/>
          <w:szCs w:val="28"/>
          <w:rtl/>
        </w:rPr>
        <w:t xml:space="preserve">ترجمه معاصره الصادقی فی (خص 8- ص 265) و قال کان ملازم إبراهیم میرزا و ذکر شده حرصه فی نظم الرباعیات و أورد بعضها و فیها قوله:</w:t>
      </w:r>
    </w:p>
    <w:p>
      <w:pPr>
        <w:pStyle w:val="BookText"/>
      </w:pPr>
      <w:r>
        <w:rPr>
          <w:rFonts w:ascii="IRNazanin" w:hAnsi="IRNazanin" w:eastAsia="IRNazanin" w:cs="IRNazanin"/>
          <w:lang w:bidi="fa-IR"/>
          <w:color w:val="111111"/>
          <w:sz w:val="28"/>
          <w:szCs w:val="28"/>
          <w:rtl/>
        </w:rPr>
        <w:t xml:space="preserve">پیر گشتی بجهان شیخ رباعی و هنوز</w:t>
      </w:r>
    </w:p>
    <w:p>
      <w:pPr>
        <w:pStyle w:val="BookText"/>
      </w:pPr>
      <w:r>
        <w:rPr>
          <w:rFonts w:ascii="IRNazanin" w:hAnsi="IRNazanin" w:eastAsia="IRNazanin" w:cs="IRNazanin"/>
          <w:lang w:bidi="fa-IR"/>
          <w:color w:val="111111"/>
          <w:sz w:val="28"/>
          <w:szCs w:val="28"/>
          <w:rtl/>
        </w:rPr>
        <w:t xml:space="preserve">بخیه بر چشم هوس دوخته خود نزدی‏</w:t>
      </w:r>
    </w:p>
    <w:p>
      <w:pPr>
        <w:pStyle w:val="BookText"/>
      </w:pPr>
      <w:r>
        <w:rPr>
          <w:rFonts w:ascii="IRNazanin" w:hAnsi="IRNazanin" w:eastAsia="IRNazanin" w:cs="IRNazanin"/>
          <w:lang w:bidi="fa-IR"/>
          <w:color w:val="111111"/>
          <w:sz w:val="28"/>
          <w:szCs w:val="28"/>
          <w:rtl/>
        </w:rPr>
        <w:t xml:space="preserve">ترجمه سام میرزا فی (تس 5- ص 132) و أورد رباعیتین له و ذکر أنه مشهدی و منزوی بها، و زاد فی (خوش‏گو و قال سافر إلی الهند فی عهد أکبر شاه. و ترجم أیضا فی (گلشن- ص 172) و (تغ- ص 56) و القاموس الترکی و عنه فی الریحانة.</w:t>
      </w:r>
    </w:p>
    <w:p>
      <w:pPr>
        <w:pStyle w:val="Heading3"/>
      </w:pPr>
      <w:bookmarkStart w:id="3984" w:name="_Toc2680"/>
      <w:r>
        <w:t>دیوان رباعی همدانی‏</w:t>
      </w:r>
      <w:bookmarkEnd w:id="3984"/>
    </w:p>
    <w:p>
      <w:pPr>
        <w:pStyle w:val="BookText"/>
      </w:pPr>
      <w:r>
        <w:rPr>
          <w:rFonts w:ascii="IRNazanin" w:hAnsi="IRNazanin" w:eastAsia="IRNazanin" w:cs="IRNazanin"/>
          <w:lang w:bidi="fa-IR"/>
          <w:color w:val="111111"/>
          <w:sz w:val="28"/>
          <w:szCs w:val="28"/>
          <w:rtl/>
        </w:rPr>
        <w:t xml:space="preserve">مر بعنوان آقا میر همدانی فی (ص 11).</w:t>
      </w:r>
    </w:p>
    <w:p>
      <w:pPr>
        <w:pStyle w:val="Heading3"/>
      </w:pPr>
      <w:bookmarkStart w:id="3985" w:name="_Toc2681"/>
      <w:r>
        <w:t>2081- دیوان ربانی گرگانی‏</w:t>
      </w:r>
      <w:bookmarkEnd w:id="3985"/>
    </w:p>
    <w:p>
      <w:pPr>
        <w:pStyle w:val="BookText"/>
      </w:pPr>
      <w:r>
        <w:rPr>
          <w:rFonts w:ascii="IRNazanin" w:hAnsi="IRNazanin" w:eastAsia="IRNazanin" w:cs="IRNazanin"/>
          <w:lang w:bidi="fa-IR"/>
          <w:color w:val="111111"/>
          <w:sz w:val="28"/>
          <w:szCs w:val="28"/>
          <w:rtl/>
        </w:rPr>
        <w:t xml:space="preserve">ذکرنا له أرجوزة فی الفقه فی (ج 1 ص 457) و أبدع البدائع المطبوع فی سنة تألیفه (1328) و الانتصار للشیعة و ترجمه فی طرائق الحقائق- ج 3 ص 354 و اسمه شمس الدین و لقبه جناب و شمس العلماء الگرگانی و أورد شعره (پژمان- ص 143) أیضا.</w:t>
      </w:r>
    </w:p>
    <w:p>
      <w:pPr>
        <w:pStyle w:val="Heading3"/>
      </w:pPr>
      <w:bookmarkStart w:id="3986" w:name="_Toc2682"/>
      <w:r>
        <w:t>2082- دیوان ربیعا بلخی أو شعره‏</w:t>
      </w:r>
      <w:bookmarkEnd w:id="3986"/>
    </w:p>
    <w:p>
      <w:pPr>
        <w:pStyle w:val="BookText"/>
      </w:pPr>
      <w:r>
        <w:rPr>
          <w:rFonts w:ascii="IRNazanin" w:hAnsi="IRNazanin" w:eastAsia="IRNazanin" w:cs="IRNazanin"/>
          <w:lang w:bidi="fa-IR"/>
          <w:color w:val="111111"/>
          <w:sz w:val="28"/>
          <w:szCs w:val="28"/>
          <w:rtl/>
        </w:rPr>
        <w:t xml:space="preserve">أورد شعره فی (روشن- ص 238) و قال کان تلمیذ شوکت البخاری.</w:t>
      </w:r>
    </w:p>
    <w:p>
      <w:pPr>
        <w:pStyle w:val="Heading3"/>
      </w:pPr>
      <w:bookmarkStart w:id="3987" w:name="_Toc2683"/>
      <w:r>
        <w:t>2083- دیوان ربیع خوانساری أو شعره‏</w:t>
      </w:r>
      <w:bookmarkEnd w:id="3987"/>
    </w:p>
    <w:p>
      <w:pPr>
        <w:pStyle w:val="BookText"/>
      </w:pPr>
      <w:r>
        <w:rPr>
          <w:rFonts w:ascii="IRNazanin" w:hAnsi="IRNazanin" w:eastAsia="IRNazanin" w:cs="IRNazanin"/>
          <w:lang w:bidi="fa-IR"/>
          <w:color w:val="111111"/>
          <w:sz w:val="28"/>
          <w:szCs w:val="28"/>
          <w:rtl/>
        </w:rPr>
        <w:t xml:space="preserve">و هو محمد ربیع بن آقا رضی الخوانساری أورد شعره فی (روشن- ص 238) و قال سافر فی عهد محمد شاه إلی الهند فأکرمه‏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51" w:name="pg11704_121831"/>
    <w:bookmarkEnd w:id="351"/>
    <w:p>
      <w:pPr>
        <w:pStyle w:val="BookText"/>
      </w:pPr>
      <w:r>
        <w:rPr>
          <w:rFonts w:ascii="IRNazanin" w:hAnsi="IRNazanin" w:eastAsia="IRNazanin" w:cs="IRNazanin"/>
          <w:lang w:bidi="fa-IR"/>
          <w:color w:val="111111"/>
          <w:sz w:val="28"/>
          <w:szCs w:val="28"/>
          <w:rtl/>
        </w:rPr>
        <w:t xml:space="preserve">المیرزا نجف خان. و یأتی والده رضی خوانساری.</w:t>
      </w:r>
    </w:p>
    <w:p>
      <w:pPr>
        <w:pStyle w:val="Heading3"/>
      </w:pPr>
      <w:bookmarkStart w:id="3988" w:name="_Toc2684"/>
      <w:r>
        <w:t>2084- دیوان ربیع کابلی أو شعره‏</w:t>
      </w:r>
      <w:bookmarkEnd w:id="3988"/>
    </w:p>
    <w:p>
      <w:pPr>
        <w:pStyle w:val="BookText"/>
      </w:pPr>
      <w:r>
        <w:rPr>
          <w:rFonts w:ascii="IRNazanin" w:hAnsi="IRNazanin" w:eastAsia="IRNazanin" w:cs="IRNazanin"/>
          <w:lang w:bidi="fa-IR"/>
          <w:color w:val="111111"/>
          <w:sz w:val="28"/>
          <w:szCs w:val="28"/>
          <w:rtl/>
        </w:rPr>
        <w:t xml:space="preserve">و اسمه الملا محمد عالم. و سماه فی نگارستان سخن، ربیعی، هذا ما قاله فی (روشن- ص 239) و أورد شعره.</w:t>
      </w:r>
    </w:p>
    <w:p>
      <w:pPr>
        <w:pStyle w:val="Heading3"/>
      </w:pPr>
      <w:bookmarkStart w:id="3989" w:name="_Toc2685"/>
      <w:r>
        <w:t>2085- دیوان ربیع گرگانی مازندرانی‏</w:t>
      </w:r>
      <w:bookmarkEnd w:id="3989"/>
    </w:p>
    <w:p>
      <w:pPr>
        <w:pStyle w:val="BookText"/>
      </w:pPr>
      <w:r>
        <w:rPr>
          <w:rFonts w:ascii="IRNazanin" w:hAnsi="IRNazanin" w:eastAsia="IRNazanin" w:cs="IRNazanin"/>
          <w:lang w:bidi="fa-IR"/>
          <w:color w:val="111111"/>
          <w:sz w:val="28"/>
          <w:szCs w:val="28"/>
          <w:rtl/>
        </w:rPr>
        <w:t xml:space="preserve">توجد نسخه منه فی مکتبة الملک (تحت رقم 6412) کلها فی مدائح الحکام و مظفر الدین شاه ولی العهد. و تاریخ إحدی قصائده (1303) و الدیوان یشتمل علی حدود (3000 بیت) و فیها قصیدة باللهجة الگرگانیة القدیمة و معها ترجمه اللغات.</w:t>
      </w:r>
    </w:p>
    <w:p>
      <w:pPr>
        <w:pStyle w:val="Heading3"/>
      </w:pPr>
      <w:bookmarkStart w:id="3990" w:name="_Toc2686"/>
      <w:r>
        <w:t>2086- دیوان الربیعی النجفی‏</w:t>
      </w:r>
      <w:bookmarkEnd w:id="3990"/>
    </w:p>
    <w:p>
      <w:pPr>
        <w:pStyle w:val="BookText"/>
      </w:pPr>
      <w:r>
        <w:rPr>
          <w:rFonts w:ascii="IRNazanin" w:hAnsi="IRNazanin" w:eastAsia="IRNazanin" w:cs="IRNazanin"/>
          <w:lang w:bidi="fa-IR"/>
          <w:color w:val="111111"/>
          <w:sz w:val="28"/>
          <w:szCs w:val="28"/>
          <w:rtl/>
        </w:rPr>
        <w:t xml:space="preserve">فی المراثی. طبع بالنجف فی (1360) للشیخ عبد العظیم الربیعی.</w:t>
      </w:r>
    </w:p>
    <w:p>
      <w:pPr>
        <w:pStyle w:val="Heading3"/>
      </w:pPr>
      <w:bookmarkStart w:id="3991" w:name="_Toc2687"/>
      <w:r>
        <w:t>2087- دیوان رجاء زفره‏ای الأصفهانی‏</w:t>
      </w:r>
      <w:bookmarkEnd w:id="3991"/>
    </w:p>
    <w:p>
      <w:pPr>
        <w:pStyle w:val="BookText"/>
      </w:pPr>
      <w:r>
        <w:rPr>
          <w:rFonts w:ascii="IRNazanin" w:hAnsi="IRNazanin" w:eastAsia="IRNazanin" w:cs="IRNazanin"/>
          <w:lang w:bidi="fa-IR"/>
          <w:color w:val="111111"/>
          <w:sz w:val="28"/>
          <w:szCs w:val="28"/>
          <w:rtl/>
        </w:rPr>
        <w:t xml:space="preserve">المولود (محرم 1281) و المتوفی بطهران.</w:t>
      </w:r>
    </w:p>
    <w:p>
      <w:pPr>
        <w:pStyle w:val="BookText"/>
      </w:pPr>
      <w:r>
        <w:rPr>
          <w:rFonts w:ascii="IRNazanin" w:hAnsi="IRNazanin" w:eastAsia="IRNazanin" w:cs="IRNazanin"/>
          <w:lang w:bidi="fa-IR"/>
          <w:color w:val="111111"/>
          <w:sz w:val="28"/>
          <w:szCs w:val="28"/>
          <w:rtl/>
        </w:rPr>
        <w:t xml:space="preserve">(27 محرم 1361) طبع کما فی الفهارس، و له قواعد الرمل و عمان الحساب و قواعد النجوم و تجوید القرآن.</w:t>
      </w:r>
    </w:p>
    <w:p>
      <w:pPr>
        <w:pStyle w:val="Heading3"/>
      </w:pPr>
      <w:bookmarkStart w:id="3992" w:name="_Toc2688"/>
      <w:r>
        <w:t>2088- دیوان رجاء غزنوی‏</w:t>
      </w:r>
      <w:bookmarkEnd w:id="3992"/>
    </w:p>
    <w:p>
      <w:pPr>
        <w:pStyle w:val="BookText"/>
      </w:pPr>
      <w:r>
        <w:rPr>
          <w:rFonts w:ascii="IRNazanin" w:hAnsi="IRNazanin" w:eastAsia="IRNazanin" w:cs="IRNazanin"/>
          <w:lang w:bidi="fa-IR"/>
          <w:color w:val="111111"/>
          <w:sz w:val="28"/>
          <w:szCs w:val="28"/>
          <w:rtl/>
        </w:rPr>
        <w:t xml:space="preserve">للحکیم شهاب الدین قال سنگلاخ فی (امتحان الفضلاء- ج 2 ص 90) إنه رأی بعض مثنویاته بخط محمد طاهر اعتماد الدولة.</w:t>
      </w:r>
    </w:p>
    <w:p>
      <w:pPr>
        <w:pStyle w:val="Heading3"/>
      </w:pPr>
      <w:bookmarkStart w:id="3993" w:name="_Toc2689"/>
      <w:r>
        <w:t>2089- دیوان رجائی أصفهانی أو شعره‏</w:t>
      </w:r>
      <w:bookmarkEnd w:id="3993"/>
    </w:p>
    <w:p>
      <w:pPr>
        <w:pStyle w:val="BookText"/>
      </w:pPr>
      <w:r>
        <w:rPr>
          <w:rFonts w:ascii="IRNazanin" w:hAnsi="IRNazanin" w:eastAsia="IRNazanin" w:cs="IRNazanin"/>
          <w:lang w:bidi="fa-IR"/>
          <w:color w:val="111111"/>
          <w:sz w:val="28"/>
          <w:szCs w:val="28"/>
          <w:rtl/>
        </w:rPr>
        <w:t xml:space="preserve">و اسمه محمد جعفر الصحاف، من شعراء أصفهان فی أوائل القرن الرابع عشر. عده محمد باقر ألفت من أعضاء انجمن دانشکده بأصفهان و أورد له غزلا فی دانش‏نامه المطبوع (1342).</w:t>
      </w:r>
    </w:p>
    <w:p>
      <w:pPr>
        <w:pStyle w:val="Heading3"/>
      </w:pPr>
      <w:bookmarkStart w:id="3994" w:name="_Toc2690"/>
      <w:r>
        <w:t>2090- دیوان رجائی الأصفهانی أو شعره‏</w:t>
      </w:r>
      <w:bookmarkEnd w:id="3994"/>
    </w:p>
    <w:p>
      <w:pPr>
        <w:pStyle w:val="BookText"/>
      </w:pPr>
      <w:r>
        <w:rPr>
          <w:rFonts w:ascii="IRNazanin" w:hAnsi="IRNazanin" w:eastAsia="IRNazanin" w:cs="IRNazanin"/>
          <w:lang w:bidi="fa-IR"/>
          <w:color w:val="111111"/>
          <w:sz w:val="28"/>
          <w:szCs w:val="28"/>
          <w:rtl/>
        </w:rPr>
        <w:t xml:space="preserve">و اسمه سیف الدین محمود الکاتب الرسمی فی دفترخانه للشاه طهماسب کما ذکره فی (خص 4- ص 59) و أورد شعره و رباعیته قال فی (گلشن- ص 173) کان من أقرباء کمال الدین إسماعیل (؟) و کان ماهرا فی العلوم الریاضیة و قتل بید الأوباش فی (962). و ترجمه فی (خوش‏گو) و (تغ- ص 52) أیضا.</w:t>
      </w:r>
    </w:p>
    <w:p>
      <w:pPr>
        <w:pStyle w:val="Heading3"/>
      </w:pPr>
      <w:bookmarkStart w:id="3995" w:name="_Toc2691"/>
      <w:r>
        <w:t>2091- دیوان رجائی شیرازی‏</w:t>
      </w:r>
      <w:bookmarkEnd w:id="3995"/>
    </w:p>
    <w:p>
      <w:pPr>
        <w:pStyle w:val="BookText"/>
      </w:pPr>
      <w:r>
        <w:rPr>
          <w:rFonts w:ascii="IRNazanin" w:hAnsi="IRNazanin" w:eastAsia="IRNazanin" w:cs="IRNazanin"/>
          <w:lang w:bidi="fa-IR"/>
          <w:color w:val="111111"/>
          <w:sz w:val="28"/>
          <w:szCs w:val="28"/>
          <w:rtl/>
        </w:rPr>
        <w:t xml:space="preserve">الحاج السید محمد محسن الشیرازی، طبع فی بمبئی و له أیضا فی المدائح و المراثی دیوان سماه مفرح الفؤاد و مبکی العباد و هو أیضا مطبوع فی بمبئی.</w:t>
      </w:r>
    </w:p>
    <w:p>
      <w:pPr>
        <w:pStyle w:val="Heading3"/>
      </w:pPr>
      <w:bookmarkStart w:id="3996" w:name="_Toc2692"/>
      <w:r>
        <w:t>2092- دیوان رجائی هروی أو شعره‏</w:t>
      </w:r>
      <w:bookmarkEnd w:id="3996"/>
    </w:p>
    <w:p>
      <w:pPr>
        <w:pStyle w:val="BookText"/>
      </w:pPr>
      <w:r>
        <w:rPr>
          <w:rFonts w:ascii="IRNazanin" w:hAnsi="IRNazanin" w:eastAsia="IRNazanin" w:cs="IRNazanin"/>
          <w:lang w:bidi="fa-IR"/>
          <w:color w:val="111111"/>
          <w:sz w:val="28"/>
          <w:szCs w:val="28"/>
          <w:rtl/>
        </w:rPr>
        <w:t xml:space="preserve">و اسمه حسن علی و کان خراسا، أخذ تخلصه‏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52" w:name="pg11704_121832"/>
    <w:bookmarkEnd w:id="352"/>
    <w:p>
      <w:pPr>
        <w:pStyle w:val="BookText"/>
      </w:pPr>
      <w:r>
        <w:rPr>
          <w:rFonts w:ascii="IRNazanin" w:hAnsi="IRNazanin" w:eastAsia="IRNazanin" w:cs="IRNazanin"/>
          <w:lang w:bidi="fa-IR"/>
          <w:color w:val="111111"/>
          <w:sz w:val="28"/>
          <w:szCs w:val="28"/>
          <w:rtl/>
        </w:rPr>
        <w:t xml:space="preserve">فی المنام عن النظامی الگنجوی، و حین السفر إلی الحجاز نزل قزوین و صحب المیرزا شرف‏جهان. هذا ما ذکره فی (تش- ص 149) و قال فی (گلشن- ص 173) إنه روی عن المحدث میرک شاه و عبد الرحمن الجامی، و لما عاد من الحج نزل قزوین ثم زنجان و بها مات فی (965) و دفن بجوار أبی الفرج الزنجانی.</w:t>
      </w:r>
    </w:p>
    <w:p>
      <w:pPr>
        <w:pStyle w:val="Heading3"/>
      </w:pPr>
      <w:bookmarkStart w:id="3997" w:name="_Toc2693"/>
      <w:r>
        <w:t>دیوان الشیخ رجب البرسی الحروفی‏</w:t>
      </w:r>
      <w:bookmarkEnd w:id="3997"/>
    </w:p>
    <w:p>
      <w:pPr>
        <w:pStyle w:val="BookText"/>
      </w:pPr>
      <w:r>
        <w:rPr>
          <w:rFonts w:ascii="IRNazanin" w:hAnsi="IRNazanin" w:eastAsia="IRNazanin" w:cs="IRNazanin"/>
          <w:lang w:bidi="fa-IR"/>
          <w:color w:val="111111"/>
          <w:sz w:val="28"/>
          <w:szCs w:val="28"/>
          <w:rtl/>
        </w:rPr>
        <w:t xml:space="preserve">مر بعنوان دیوان البرسی فإنه یتخلص فی بعض الأشعار المنسوب إلیه بالبرسی و فی بعضها بالحافظ البرسی و فی البعض باسمه رجب.</w:t>
      </w:r>
    </w:p>
    <w:p>
      <w:pPr>
        <w:pStyle w:val="Heading3"/>
      </w:pPr>
      <w:bookmarkStart w:id="3998" w:name="_Toc2694"/>
      <w:r>
        <w:t>دیوان الملا رجب علی التبریزی‏</w:t>
      </w:r>
      <w:bookmarkEnd w:id="3998"/>
    </w:p>
    <w:p>
      <w:pPr>
        <w:pStyle w:val="BookText"/>
      </w:pPr>
      <w:r>
        <w:rPr>
          <w:rFonts w:ascii="IRNazanin" w:hAnsi="IRNazanin" w:eastAsia="IRNazanin" w:cs="IRNazanin"/>
          <w:lang w:bidi="fa-IR"/>
          <w:color w:val="111111"/>
          <w:sz w:val="28"/>
          <w:szCs w:val="28"/>
          <w:rtl/>
        </w:rPr>
        <w:t xml:space="preserve">یأتی بتخلصه واحد.</w:t>
      </w:r>
    </w:p>
    <w:p>
      <w:pPr>
        <w:pStyle w:val="Heading3"/>
      </w:pPr>
      <w:bookmarkStart w:id="3999" w:name="_Toc2695"/>
      <w:r>
        <w:t>2093- دیوان رجوی‏</w:t>
      </w:r>
      <w:bookmarkEnd w:id="3999"/>
    </w:p>
    <w:p>
      <w:pPr>
        <w:pStyle w:val="BookText"/>
      </w:pPr>
      <w:r>
        <w:rPr>
          <w:rFonts w:ascii="IRNazanin" w:hAnsi="IRNazanin" w:eastAsia="IRNazanin" w:cs="IRNazanin"/>
          <w:lang w:bidi="fa-IR"/>
          <w:color w:val="111111"/>
          <w:sz w:val="28"/>
          <w:szCs w:val="28"/>
          <w:rtl/>
        </w:rPr>
        <w:t xml:space="preserve">فارسی لکاظم رجوی المعلم بمدارس طهران. طبع جزئه الأول، و هو یترجم الأشعار الترکیة.</w:t>
      </w:r>
    </w:p>
    <w:p>
      <w:pPr>
        <w:pStyle w:val="Heading3"/>
      </w:pPr>
      <w:bookmarkStart w:id="4000" w:name="_Toc2696"/>
      <w:r>
        <w:t>2094- دیوان رحمت أصفهانی أو شعره‏</w:t>
      </w:r>
      <w:bookmarkEnd w:id="4000"/>
    </w:p>
    <w:p>
      <w:pPr>
        <w:pStyle w:val="BookText"/>
      </w:pPr>
      <w:r>
        <w:rPr>
          <w:rFonts w:ascii="IRNazanin" w:hAnsi="IRNazanin" w:eastAsia="IRNazanin" w:cs="IRNazanin"/>
          <w:lang w:bidi="fa-IR"/>
          <w:color w:val="111111"/>
          <w:sz w:val="28"/>
          <w:szCs w:val="28"/>
          <w:rtl/>
        </w:rPr>
        <w:t xml:space="preserve">و هو المیرزا محمد ترجمه هدایت فی (ض- ص 45) و (مع- ج 2- ص 452) أصله من کوزه‏کنان تبریز و توطن أصفهان ثم نزل طهران و بأمر من فتح علی شاه نظم زینت الحکایات فی خمسین ألف بیت. و کان فی طریقة الصوفیة الذهبیة. و ترجمه فی (دجا- ص 158) عن سفینه محمود و نگارستان دارا.</w:t>
      </w:r>
    </w:p>
    <w:p>
      <w:pPr>
        <w:pStyle w:val="Heading3"/>
      </w:pPr>
      <w:bookmarkStart w:id="4001" w:name="_Toc2697"/>
      <w:r>
        <w:t>دیوان رحمت خان‏</w:t>
      </w:r>
      <w:bookmarkEnd w:id="4001"/>
    </w:p>
    <w:p>
      <w:pPr>
        <w:pStyle w:val="BookText"/>
      </w:pPr>
      <w:r>
        <w:rPr>
          <w:rFonts w:ascii="IRNazanin" w:hAnsi="IRNazanin" w:eastAsia="IRNazanin" w:cs="IRNazanin"/>
          <w:lang w:bidi="fa-IR"/>
          <w:color w:val="111111"/>
          <w:sz w:val="28"/>
          <w:szCs w:val="28"/>
          <w:rtl/>
        </w:rPr>
        <w:t xml:space="preserve">مر بتخلصه دیری‏</w:t>
      </w:r>
    </w:p>
    <w:p>
      <w:pPr>
        <w:pStyle w:val="Heading3"/>
      </w:pPr>
      <w:bookmarkStart w:id="4002" w:name="_Toc2698"/>
      <w:r>
        <w:t>2095- دیوان رحمت شیرازی أو شعره‏</w:t>
      </w:r>
      <w:bookmarkEnd w:id="4002"/>
    </w:p>
    <w:p>
      <w:pPr>
        <w:pStyle w:val="BookText"/>
      </w:pPr>
      <w:r>
        <w:rPr>
          <w:rFonts w:ascii="IRNazanin" w:hAnsi="IRNazanin" w:eastAsia="IRNazanin" w:cs="IRNazanin"/>
          <w:lang w:bidi="fa-IR"/>
          <w:color w:val="111111"/>
          <w:sz w:val="28"/>
          <w:szCs w:val="28"/>
          <w:rtl/>
        </w:rPr>
        <w:t xml:space="preserve">و هو المیرزا عبد الله بن محمود بن وصال الشیرازی. کان ماهرا فی الریاضی و الأدب. و مر دیوان والده المتخلص حکیم.</w:t>
      </w:r>
    </w:p>
    <w:p>
      <w:pPr>
        <w:pStyle w:val="BookText"/>
      </w:pPr>
      <w:r>
        <w:rPr>
          <w:rFonts w:ascii="IRNazanin" w:hAnsi="IRNazanin" w:eastAsia="IRNazanin" w:cs="IRNazanin"/>
          <w:lang w:bidi="fa-IR"/>
          <w:color w:val="111111"/>
          <w:sz w:val="28"/>
          <w:szCs w:val="28"/>
          <w:rtl/>
        </w:rPr>
        <w:t xml:space="preserve">و ترجمه فرصت فی (عم- ص 362).</w:t>
      </w:r>
    </w:p>
    <w:p>
      <w:pPr>
        <w:pStyle w:val="Heading3"/>
      </w:pPr>
      <w:bookmarkStart w:id="4003" w:name="_Toc2699"/>
      <w:r>
        <w:t>2096- دیوان رحمت شیرازی‏</w:t>
      </w:r>
      <w:bookmarkEnd w:id="4003"/>
    </w:p>
    <w:p>
      <w:pPr>
        <w:pStyle w:val="BookText"/>
      </w:pPr>
      <w:r>
        <w:rPr>
          <w:rFonts w:ascii="IRNazanin" w:hAnsi="IRNazanin" w:eastAsia="IRNazanin" w:cs="IRNazanin"/>
          <w:lang w:bidi="fa-IR"/>
          <w:color w:val="111111"/>
          <w:sz w:val="28"/>
          <w:szCs w:val="28"/>
          <w:rtl/>
        </w:rPr>
        <w:t xml:space="preserve">للسید علی بن عباس بن حسین الکازرونی الشیرازی المولود (1277) و المتوفی (1343) و دفن بالحافظیة بشیراز. نسخه منه عند ولده السید محمد المشتغل الیوم بالتحصیل فی النجف، و کلها فی مدائح المعصومین علیه السلام .</w:t>
      </w:r>
    </w:p>
    <w:p>
      <w:pPr>
        <w:pStyle w:val="Heading3"/>
      </w:pPr>
      <w:bookmarkStart w:id="4004" w:name="_Toc2700"/>
      <w:r>
        <w:t>2097- دیوان رحمت علی شاه‏</w:t>
      </w:r>
      <w:bookmarkEnd w:id="4004"/>
    </w:p>
    <w:p>
      <w:pPr>
        <w:pStyle w:val="BookText"/>
      </w:pPr>
      <w:r>
        <w:rPr>
          <w:rFonts w:ascii="IRNazanin" w:hAnsi="IRNazanin" w:eastAsia="IRNazanin" w:cs="IRNazanin"/>
          <w:lang w:bidi="fa-IR"/>
          <w:color w:val="111111"/>
          <w:sz w:val="28"/>
          <w:szCs w:val="28"/>
          <w:rtl/>
        </w:rPr>
        <w:t xml:space="preserve">طبع قطعا منه فی (13 ص) فی ذیل دیوان نور علی شاه و رضا علی شاه فی طهران فی (1374) باعتناء مکتبة میر کمالی.</w:t>
      </w:r>
    </w:p>
    <w:p>
      <w:pPr>
        <w:pStyle w:val="Heading3"/>
      </w:pPr>
      <w:bookmarkStart w:id="4005" w:name="_Toc2701"/>
      <w:r>
        <w:t>2098- دیوان رحمتی تبریزی‏</w:t>
      </w:r>
      <w:bookmarkEnd w:id="4005"/>
    </w:p>
    <w:p>
      <w:pPr>
        <w:pStyle w:val="BookText"/>
      </w:pPr>
      <w:r>
        <w:rPr>
          <w:rFonts w:ascii="IRNazanin" w:hAnsi="IRNazanin" w:eastAsia="IRNazanin" w:cs="IRNazanin"/>
          <w:lang w:bidi="fa-IR"/>
          <w:color w:val="111111"/>
          <w:sz w:val="28"/>
          <w:szCs w:val="28"/>
          <w:rtl/>
        </w:rPr>
        <w:t xml:space="preserve">کان أسودا خطاطا بالنسخ و الثلث، و دیوانه یشتمل علی سبعة أو ثمانیة آلاف بیت. قال صاحب عرفات العاشقین: رأیته بشیراز عند مسافرته إلی الهند، و قد مات فی آکرة. کذا فی (دجا- ص 168).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53" w:name="pg11704_121833"/>
    <w:bookmarkEnd w:id="353"/>
    <w:p>
      <w:pPr>
        <w:pStyle w:val="Heading3"/>
      </w:pPr>
      <w:bookmarkStart w:id="4006" w:name="_Toc2702"/>
      <w:r>
        <w:t>2099- دیوان رحمی بخاری أو شعره‏</w:t>
      </w:r>
      <w:bookmarkEnd w:id="4006"/>
    </w:p>
    <w:p>
      <w:pPr>
        <w:pStyle w:val="BookText"/>
      </w:pPr>
      <w:r>
        <w:rPr>
          <w:rFonts w:ascii="IRNazanin" w:hAnsi="IRNazanin" w:eastAsia="IRNazanin" w:cs="IRNazanin"/>
          <w:lang w:bidi="fa-IR"/>
          <w:color w:val="111111"/>
          <w:sz w:val="28"/>
          <w:szCs w:val="28"/>
          <w:rtl/>
        </w:rPr>
        <w:t xml:space="preserve">. قال فی (خوش‏گو) إنه ینظم الشعر علی السبک القدیم.</w:t>
      </w:r>
    </w:p>
    <w:p>
      <w:pPr>
        <w:pStyle w:val="Heading3"/>
      </w:pPr>
      <w:bookmarkStart w:id="4007" w:name="_Toc2703"/>
      <w:r>
        <w:t>2100- دیوان رحمی لاهیجی أو شعره‏</w:t>
      </w:r>
      <w:bookmarkEnd w:id="4007"/>
    </w:p>
    <w:p>
      <w:pPr>
        <w:pStyle w:val="BookText"/>
      </w:pPr>
      <w:r>
        <w:rPr>
          <w:rFonts w:ascii="IRNazanin" w:hAnsi="IRNazanin" w:eastAsia="IRNazanin" w:cs="IRNazanin"/>
          <w:lang w:bidi="fa-IR"/>
          <w:color w:val="111111"/>
          <w:sz w:val="28"/>
          <w:szCs w:val="28"/>
          <w:rtl/>
        </w:rPr>
        <w:t xml:space="preserve">الساکن فی لاهیجان. ترجمه معاصر الصادقی فی (خص 8 ص 2234) و عده من الشعراء المسلمین عند الکل، و أورد بعض شعره منها قوله:</w:t>
      </w:r>
    </w:p>
    <w:p>
      <w:pPr>
        <w:pStyle w:val="BookText"/>
      </w:pPr>
      <w:r>
        <w:rPr>
          <w:rFonts w:ascii="IRNazanin" w:hAnsi="IRNazanin" w:eastAsia="IRNazanin" w:cs="IRNazanin"/>
          <w:lang w:bidi="fa-IR"/>
          <w:color w:val="111111"/>
          <w:sz w:val="28"/>
          <w:szCs w:val="28"/>
          <w:rtl/>
        </w:rPr>
        <w:t xml:space="preserve">درون سینه رحمی چه می‏طپی ای دل‏</w:t>
      </w:r>
    </w:p>
    <w:p>
      <w:pPr>
        <w:pStyle w:val="BookText"/>
      </w:pPr>
      <w:r>
        <w:rPr>
          <w:rFonts w:ascii="IRNazanin" w:hAnsi="IRNazanin" w:eastAsia="IRNazanin" w:cs="IRNazanin"/>
          <w:lang w:bidi="fa-IR"/>
          <w:color w:val="111111"/>
          <w:sz w:val="28"/>
          <w:szCs w:val="28"/>
          <w:rtl/>
        </w:rPr>
        <w:t xml:space="preserve">قرار گیر زمانی که یار می‏گذرد</w:t>
      </w:r>
    </w:p>
    <w:p>
      <w:pPr>
        <w:pStyle w:val="Heading3"/>
      </w:pPr>
      <w:bookmarkStart w:id="4008" w:name="_Toc2704"/>
      <w:r>
        <w:t>2101- دیوان رحمی أصفهانی أو شعره‏</w:t>
      </w:r>
      <w:bookmarkEnd w:id="4008"/>
    </w:p>
    <w:p>
      <w:pPr>
        <w:pStyle w:val="BookText"/>
      </w:pPr>
      <w:r>
        <w:rPr>
          <w:rFonts w:ascii="IRNazanin" w:hAnsi="IRNazanin" w:eastAsia="IRNazanin" w:cs="IRNazanin"/>
          <w:lang w:bidi="fa-IR"/>
          <w:color w:val="111111"/>
          <w:sz w:val="28"/>
          <w:szCs w:val="28"/>
          <w:rtl/>
        </w:rPr>
        <w:t xml:space="preserve">من الشعراء المعاصرین لسام میرزا، ترجمه فی (تس 5- ص 170) و ذکر أنه کان لا یحترز عن المأثم لکن یرجی حسن عاقبته برباعیته:</w:t>
      </w:r>
    </w:p>
    <w:p>
      <w:pPr>
        <w:pStyle w:val="BookText"/>
      </w:pPr>
      <w:r>
        <w:rPr>
          <w:rFonts w:ascii="IRNazanin" w:hAnsi="IRNazanin" w:eastAsia="IRNazanin" w:cs="IRNazanin"/>
          <w:lang w:bidi="fa-IR"/>
          <w:color w:val="111111"/>
          <w:sz w:val="28"/>
          <w:szCs w:val="28"/>
          <w:rtl/>
        </w:rPr>
        <w:t xml:space="preserve">چون نامه جرم ما بهم پیچیدند</w:t>
      </w:r>
    </w:p>
    <w:p>
      <w:pPr>
        <w:pStyle w:val="BookText"/>
      </w:pPr>
      <w:r>
        <w:rPr>
          <w:rFonts w:ascii="IRNazanin" w:hAnsi="IRNazanin" w:eastAsia="IRNazanin" w:cs="IRNazanin"/>
          <w:lang w:bidi="fa-IR"/>
          <w:color w:val="111111"/>
          <w:sz w:val="28"/>
          <w:szCs w:val="28"/>
          <w:rtl/>
        </w:rPr>
        <w:t xml:space="preserve">بردند و بمیزان عمل سنجیدند</w:t>
      </w:r>
    </w:p>
    <w:p>
      <w:pPr>
        <w:pStyle w:val="BookText"/>
      </w:pPr>
      <w:r>
        <w:rPr>
          <w:rFonts w:ascii="IRNazanin" w:hAnsi="IRNazanin" w:eastAsia="IRNazanin" w:cs="IRNazanin"/>
          <w:lang w:bidi="fa-IR"/>
          <w:color w:val="111111"/>
          <w:sz w:val="28"/>
          <w:szCs w:val="28"/>
          <w:rtl/>
        </w:rPr>
        <w:t xml:space="preserve">بیش از همه‏کس گناه ما بود ولی‏</w:t>
      </w:r>
    </w:p>
    <w:p>
      <w:pPr>
        <w:pStyle w:val="BookText"/>
      </w:pPr>
      <w:r>
        <w:rPr>
          <w:rFonts w:ascii="IRNazanin" w:hAnsi="IRNazanin" w:eastAsia="IRNazanin" w:cs="IRNazanin"/>
          <w:lang w:bidi="fa-IR"/>
          <w:color w:val="111111"/>
          <w:sz w:val="28"/>
          <w:szCs w:val="28"/>
          <w:rtl/>
        </w:rPr>
        <w:t xml:space="preserve">ما را به محبت علی بخشیدند</w:t>
      </w:r>
    </w:p>
    <w:p>
      <w:pPr>
        <w:pStyle w:val="Heading3"/>
      </w:pPr>
      <w:bookmarkStart w:id="4009" w:name="_Toc2705"/>
      <w:r>
        <w:t>دیوان رحیم أصفهانی‏</w:t>
      </w:r>
      <w:bookmarkEnd w:id="4009"/>
    </w:p>
    <w:p>
      <w:pPr>
        <w:pStyle w:val="BookText"/>
      </w:pPr>
      <w:r>
        <w:rPr>
          <w:rFonts w:ascii="IRNazanin" w:hAnsi="IRNazanin" w:eastAsia="IRNazanin" w:cs="IRNazanin"/>
          <w:lang w:bidi="fa-IR"/>
          <w:color w:val="111111"/>
          <w:sz w:val="28"/>
          <w:szCs w:val="28"/>
          <w:rtl/>
        </w:rPr>
        <w:t xml:space="preserve">کما فی (گلشن ص 174) یأتی بتخلصه کافی.</w:t>
      </w:r>
    </w:p>
    <w:p>
      <w:pPr>
        <w:pStyle w:val="Heading3"/>
      </w:pPr>
      <w:bookmarkStart w:id="4010" w:name="_Toc2706"/>
      <w:r>
        <w:t>دیوان رحیم هندی‏</w:t>
      </w:r>
      <w:bookmarkEnd w:id="4010"/>
    </w:p>
    <w:p>
      <w:pPr>
        <w:pStyle w:val="BookText"/>
      </w:pPr>
      <w:r>
        <w:rPr>
          <w:rFonts w:ascii="IRNazanin" w:hAnsi="IRNazanin" w:eastAsia="IRNazanin" w:cs="IRNazanin"/>
          <w:lang w:bidi="fa-IR"/>
          <w:color w:val="111111"/>
          <w:sz w:val="28"/>
          <w:szCs w:val="28"/>
          <w:rtl/>
        </w:rPr>
        <w:t xml:space="preserve">راجع رحیمی هندی.</w:t>
      </w:r>
    </w:p>
    <w:p>
      <w:pPr>
        <w:pStyle w:val="Heading3"/>
      </w:pPr>
      <w:bookmarkStart w:id="4011" w:name="_Toc2707"/>
      <w:r>
        <w:t>2102- دیوان رحیمی‏</w:t>
      </w:r>
      <w:bookmarkEnd w:id="4011"/>
    </w:p>
    <w:p>
      <w:pPr>
        <w:pStyle w:val="BookText"/>
      </w:pPr>
      <w:r>
        <w:rPr>
          <w:rFonts w:ascii="IRNazanin" w:hAnsi="IRNazanin" w:eastAsia="IRNazanin" w:cs="IRNazanin"/>
          <w:lang w:bidi="fa-IR"/>
          <w:color w:val="111111"/>
          <w:sz w:val="28"/>
          <w:szCs w:val="28"/>
          <w:rtl/>
        </w:rPr>
        <w:t xml:space="preserve">لمصطفی رحیمی. له منظومة بهشت گمشده مطبوع.</w:t>
      </w:r>
    </w:p>
    <w:p>
      <w:pPr>
        <w:pStyle w:val="Heading3"/>
      </w:pPr>
      <w:bookmarkStart w:id="4012" w:name="_Toc2708"/>
      <w:r>
        <w:t>2103- دیوان رحیمی تونی أو شعره‏</w:t>
      </w:r>
      <w:bookmarkEnd w:id="4012"/>
    </w:p>
    <w:p>
      <w:pPr>
        <w:pStyle w:val="BookText"/>
      </w:pPr>
      <w:r>
        <w:rPr>
          <w:rFonts w:ascii="IRNazanin" w:hAnsi="IRNazanin" w:eastAsia="IRNazanin" w:cs="IRNazanin"/>
          <w:lang w:bidi="fa-IR"/>
          <w:color w:val="111111"/>
          <w:sz w:val="28"/>
          <w:szCs w:val="28"/>
          <w:rtl/>
        </w:rPr>
        <w:t xml:space="preserve">و اسمه السید زین العابدین الحسینی التونی الخراسانی کما فی (تغ- ص 56).</w:t>
      </w:r>
    </w:p>
    <w:p>
      <w:pPr>
        <w:pStyle w:val="Heading3"/>
      </w:pPr>
      <w:bookmarkStart w:id="4013" w:name="_Toc2709"/>
      <w:r>
        <w:t>2104- دیوان رحیمی طهرانی أو شعره‏</w:t>
      </w:r>
      <w:bookmarkEnd w:id="4013"/>
    </w:p>
    <w:p>
      <w:pPr>
        <w:pStyle w:val="BookText"/>
      </w:pPr>
      <w:r>
        <w:rPr>
          <w:rFonts w:ascii="IRNazanin" w:hAnsi="IRNazanin" w:eastAsia="IRNazanin" w:cs="IRNazanin"/>
          <w:lang w:bidi="fa-IR"/>
          <w:color w:val="111111"/>
          <w:sz w:val="28"/>
          <w:szCs w:val="28"/>
          <w:rtl/>
        </w:rPr>
        <w:t xml:space="preserve">کان مطلعا فی علم النجوم. ترجمه معاصره سام میرزا فی (تس 4- ص 162) و أورد شعره.</w:t>
      </w:r>
    </w:p>
    <w:p>
      <w:pPr>
        <w:pStyle w:val="Heading3"/>
      </w:pPr>
      <w:bookmarkStart w:id="4014" w:name="_Toc2710"/>
      <w:r>
        <w:t>2105- دیوان رحیمی هندی‏</w:t>
      </w:r>
      <w:bookmarkEnd w:id="4014"/>
    </w:p>
    <w:p>
      <w:pPr>
        <w:pStyle w:val="BookText"/>
      </w:pPr>
      <w:r>
        <w:rPr>
          <w:rFonts w:ascii="IRNazanin" w:hAnsi="IRNazanin" w:eastAsia="IRNazanin" w:cs="IRNazanin"/>
          <w:lang w:bidi="fa-IR"/>
          <w:color w:val="111111"/>
          <w:sz w:val="28"/>
          <w:szCs w:val="28"/>
          <w:rtl/>
        </w:rPr>
        <w:t xml:space="preserve">لعبد الرحیم خان خانان ابن بیرام علی خان (أو محمد بیرام خان) الذی کان حاکم قندهار من قبل الدولة الصفویة ففر إلی الهند و ترقی هناک أمره، و هو ابن سیف خان بن علی بیک بن یارعلی بن پیر علی بن علی شکر من إیل بهارلو الترکمانی. ترجمه کذلک فی (نر 3- ص 55) و (سرخوش- ص 34) و (تش ص 13) و (تغ- ص 56) و هفت إقلیم و (خوش‏گو) و (مع- ج 1 ص 29). ولد بالهند فی (14 صفر- 964) و قتل والده و عمره حینئذ خمس سنین فرباه أکبر شاه.</w:t>
      </w:r>
    </w:p>
    <w:p>
      <w:pPr>
        <w:pStyle w:val="BookText"/>
      </w:pPr>
      <w:r>
        <w:rPr>
          <w:rFonts w:ascii="IRNazanin" w:hAnsi="IRNazanin" w:eastAsia="IRNazanin" w:cs="IRNazanin"/>
          <w:lang w:bidi="fa-IR"/>
          <w:color w:val="111111"/>
          <w:sz w:val="28"/>
          <w:szCs w:val="28"/>
          <w:rtl/>
        </w:rPr>
        <w:t xml:space="preserve">قالوا و کان ینظم الشعر بأربع لغات الفارسیة و الهندیة و العربیة و الترکیة. و مات فی (1036) و کان من أعاظم أمراء الهند، و باسمه ألف المیر عبد الباقی کتابه مآثر رحیمی.</w:t>
      </w:r>
    </w:p>
    <w:p>
      <w:pPr>
        <w:pStyle w:val="Heading3"/>
      </w:pPr>
      <w:bookmarkStart w:id="4015" w:name="_Toc2711"/>
      <w:r>
        <w:t>2106- دیوان رزمی‏</w:t>
      </w:r>
      <w:bookmarkEnd w:id="4015"/>
    </w:p>
    <w:p>
      <w:pPr>
        <w:pStyle w:val="BookText"/>
      </w:pPr>
      <w:r>
        <w:rPr>
          <w:rFonts w:ascii="IRNazanin" w:hAnsi="IRNazanin" w:eastAsia="IRNazanin" w:cs="IRNazanin"/>
          <w:lang w:bidi="fa-IR"/>
          <w:color w:val="111111"/>
          <w:sz w:val="28"/>
          <w:szCs w:val="28"/>
          <w:rtl/>
        </w:rPr>
        <w:t xml:space="preserve">و اسمه گرگین بیک ابن سیاوش سلطان. ترجمه معاصره فی‏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54" w:name="pg11704_121834"/>
    <w:bookmarkEnd w:id="354"/>
    <w:p>
      <w:pPr>
        <w:pStyle w:val="BookText"/>
      </w:pPr>
      <w:r>
        <w:rPr>
          <w:rFonts w:ascii="IRNazanin" w:hAnsi="IRNazanin" w:eastAsia="IRNazanin" w:cs="IRNazanin"/>
          <w:lang w:bidi="fa-IR"/>
          <w:color w:val="111111"/>
          <w:sz w:val="28"/>
          <w:szCs w:val="28"/>
          <w:rtl/>
        </w:rPr>
        <w:t xml:space="preserve">(نر 2- ص 43) و توجد نسخه من دیوان رزمی فی (بنگاله) و الظاهر اتحادهما.</w:t>
      </w:r>
    </w:p>
    <w:p>
      <w:pPr>
        <w:pStyle w:val="Heading3"/>
      </w:pPr>
      <w:bookmarkStart w:id="4016" w:name="_Toc2712"/>
      <w:r>
        <w:t>2107- دیوان رسا شاه‏جهان‏آبادی أو شعره‏</w:t>
      </w:r>
      <w:bookmarkEnd w:id="4016"/>
    </w:p>
    <w:p>
      <w:pPr>
        <w:pStyle w:val="BookText"/>
      </w:pPr>
      <w:r>
        <w:rPr>
          <w:rFonts w:ascii="IRNazanin" w:hAnsi="IRNazanin" w:eastAsia="IRNazanin" w:cs="IRNazanin"/>
          <w:lang w:bidi="fa-IR"/>
          <w:color w:val="111111"/>
          <w:sz w:val="28"/>
          <w:szCs w:val="28"/>
          <w:rtl/>
        </w:rPr>
        <w:t xml:space="preserve">و اسمه محمد تقی الجغتائی. ولد بشاه جهان‏آباد، و سکن لکهنو و مات بفیض‏آباد فی (1223). ترجمه و أورد شعره فی (گلشن- ص 174).</w:t>
      </w:r>
    </w:p>
    <w:p>
      <w:pPr>
        <w:pStyle w:val="Heading3"/>
      </w:pPr>
      <w:bookmarkStart w:id="4017" w:name="_Toc2713"/>
      <w:r>
        <w:t>2108- دیوان رسا أکبرآبادی أو شعره‏</w:t>
      </w:r>
      <w:bookmarkEnd w:id="4017"/>
    </w:p>
    <w:p>
      <w:pPr>
        <w:pStyle w:val="BookText"/>
      </w:pPr>
      <w:r>
        <w:rPr>
          <w:rFonts w:ascii="IRNazanin" w:hAnsi="IRNazanin" w:eastAsia="IRNazanin" w:cs="IRNazanin"/>
          <w:lang w:bidi="fa-IR"/>
          <w:color w:val="111111"/>
          <w:sz w:val="28"/>
          <w:szCs w:val="28"/>
          <w:rtl/>
        </w:rPr>
        <w:t xml:space="preserve">و اسمه إیزدبخش. تلمذ علی عبد العزیز عزت و أطری شعره فی (حسینی- ص 135)</w:t>
      </w:r>
    </w:p>
    <w:p>
      <w:pPr>
        <w:pStyle w:val="Heading3"/>
      </w:pPr>
      <w:bookmarkStart w:id="4018" w:name="_Toc2714"/>
      <w:r>
        <w:t>2109- دیوان رستم بیک أو شعره‏</w:t>
      </w:r>
      <w:bookmarkEnd w:id="4018"/>
    </w:p>
    <w:p>
      <w:pPr>
        <w:pStyle w:val="BookText"/>
      </w:pPr>
      <w:r>
        <w:rPr>
          <w:rFonts w:ascii="IRNazanin" w:hAnsi="IRNazanin" w:eastAsia="IRNazanin" w:cs="IRNazanin"/>
          <w:lang w:bidi="fa-IR"/>
          <w:color w:val="111111"/>
          <w:sz w:val="28"/>
          <w:szCs w:val="28"/>
          <w:rtl/>
        </w:rPr>
        <w:t xml:space="preserve">المشهور کوسه رستم ترجمه معاصره الصادقی فی (خص 3- ص 38) و أورد له رباعیة بالترکیة.</w:t>
      </w:r>
    </w:p>
    <w:p>
      <w:pPr>
        <w:pStyle w:val="Heading3"/>
      </w:pPr>
      <w:bookmarkStart w:id="4019" w:name="_Toc2715"/>
      <w:r>
        <w:t>2110- دیوان رستم خوریانی‏</w:t>
      </w:r>
      <w:bookmarkEnd w:id="4019"/>
    </w:p>
    <w:p>
      <w:pPr>
        <w:pStyle w:val="BookText"/>
      </w:pPr>
      <w:r>
        <w:rPr>
          <w:rFonts w:ascii="IRNazanin" w:hAnsi="IRNazanin" w:eastAsia="IRNazanin" w:cs="IRNazanin"/>
          <w:lang w:bidi="fa-IR"/>
          <w:color w:val="111111"/>
          <w:sz w:val="28"/>
          <w:szCs w:val="28"/>
          <w:rtl/>
        </w:rPr>
        <w:t xml:space="preserve">و خوریان أو (خریان) من أعمال بسطام. کان مداح عمر شیخ بن میران شاه. ترجمه دولت شاه فی الطبقة السادسة و أورد غزله بتخلص رستم نقلا عن دیوانه المشهور و کذا فی مرآة الخیال ص 66 و (گلشن- ص 174) و یظهر أنه کان حیا فی (809).</w:t>
      </w:r>
    </w:p>
    <w:p>
      <w:pPr>
        <w:pStyle w:val="Heading3"/>
      </w:pPr>
      <w:bookmarkStart w:id="4020" w:name="_Toc2716"/>
      <w:r>
        <w:t>2111- دیوان رستم خان الشیبانی أو شعره‏</w:t>
      </w:r>
      <w:bookmarkEnd w:id="4020"/>
    </w:p>
    <w:p>
      <w:pPr>
        <w:pStyle w:val="BookText"/>
      </w:pPr>
      <w:r>
        <w:rPr>
          <w:rFonts w:ascii="IRNazanin" w:hAnsi="IRNazanin" w:eastAsia="IRNazanin" w:cs="IRNazanin"/>
          <w:lang w:bidi="fa-IR"/>
          <w:color w:val="111111"/>
          <w:sz w:val="28"/>
          <w:szCs w:val="28"/>
          <w:rtl/>
        </w:rPr>
        <w:t xml:space="preserve">و هو ابن جانی بیک سلطان بن أبی الخیر خان. حکی فی (مع- ج 1 ص 29) قطعة من شعره عن تذکره مذکر الأحباب لنقیب الأشراف الخواجة السید حسن.</w:t>
      </w:r>
    </w:p>
    <w:p>
      <w:pPr>
        <w:pStyle w:val="Heading3"/>
      </w:pPr>
      <w:bookmarkStart w:id="4021" w:name="_Toc2717"/>
      <w:r>
        <w:t>دیوان رستم داری،</w:t>
      </w:r>
      <w:bookmarkEnd w:id="4021"/>
    </w:p>
    <w:p>
      <w:pPr>
        <w:pStyle w:val="BookText"/>
      </w:pPr>
      <w:r>
        <w:rPr>
          <w:rFonts w:ascii="IRNazanin" w:hAnsi="IRNazanin" w:eastAsia="IRNazanin" w:cs="IRNazanin"/>
          <w:lang w:bidi="fa-IR"/>
          <w:color w:val="111111"/>
          <w:sz w:val="28"/>
          <w:szCs w:val="28"/>
          <w:rtl/>
        </w:rPr>
        <w:t xml:space="preserve">و تخلصه رشدی فیأتی بتخلصه.</w:t>
      </w:r>
    </w:p>
    <w:p>
      <w:pPr>
        <w:pStyle w:val="Heading3"/>
      </w:pPr>
      <w:bookmarkStart w:id="4022" w:name="_Toc2718"/>
      <w:r>
        <w:t>2112- دیوان میر رستم علی أو شعره‏</w:t>
      </w:r>
      <w:bookmarkEnd w:id="4022"/>
    </w:p>
    <w:p>
      <w:pPr>
        <w:pStyle w:val="BookText"/>
      </w:pPr>
      <w:r>
        <w:rPr>
          <w:rFonts w:ascii="IRNazanin" w:hAnsi="IRNazanin" w:eastAsia="IRNazanin" w:cs="IRNazanin"/>
          <w:lang w:bidi="fa-IR"/>
          <w:color w:val="111111"/>
          <w:sz w:val="28"/>
          <w:szCs w:val="28"/>
          <w:rtl/>
        </w:rPr>
        <w:t xml:space="preserve">و هو ابن الأمیر قاسم علی من أبناء الأمراء بخراسان. ترجمه فی (مجتس 8- ص 171) و أورد مطلع غزله، و کذا فی (گلشن- 174).</w:t>
      </w:r>
    </w:p>
    <w:p>
      <w:pPr>
        <w:pStyle w:val="Heading3"/>
      </w:pPr>
      <w:bookmarkStart w:id="4023" w:name="_Toc2719"/>
      <w:r>
        <w:t>2113- دیوان رسمی سمرقندی أو شعره‏</w:t>
      </w:r>
      <w:bookmarkEnd w:id="4023"/>
    </w:p>
    <w:p>
      <w:pPr>
        <w:pStyle w:val="BookText"/>
      </w:pPr>
      <w:r>
        <w:rPr>
          <w:rFonts w:ascii="IRNazanin" w:hAnsi="IRNazanin" w:eastAsia="IRNazanin" w:cs="IRNazanin"/>
          <w:lang w:bidi="fa-IR"/>
          <w:color w:val="111111"/>
          <w:sz w:val="28"/>
          <w:szCs w:val="28"/>
          <w:rtl/>
        </w:rPr>
        <w:t xml:space="preserve">کان نزیل تبریز. ذکره فی (تس 5- ص 144) و قال هو من شعراء سمرقند و سکن تبریز، و أورد مطلع غزله و أظنه هو المذکور فی (خوش‏گو) بعنوان رسمی هروی من معاصری أکبر شاه (961- 1014).</w:t>
      </w:r>
    </w:p>
    <w:p>
      <w:pPr>
        <w:pStyle w:val="Heading3"/>
      </w:pPr>
      <w:bookmarkStart w:id="4024" w:name="_Toc2720"/>
      <w:r>
        <w:t>دیوان رسمی لاهیجی‏</w:t>
      </w:r>
      <w:bookmarkEnd w:id="4024"/>
    </w:p>
    <w:p>
      <w:pPr>
        <w:pStyle w:val="BookText"/>
      </w:pPr>
      <w:r>
        <w:rPr>
          <w:rFonts w:ascii="IRNazanin" w:hAnsi="IRNazanin" w:eastAsia="IRNazanin" w:cs="IRNazanin"/>
          <w:lang w:bidi="fa-IR"/>
          <w:color w:val="111111"/>
          <w:sz w:val="28"/>
          <w:szCs w:val="28"/>
          <w:rtl/>
        </w:rPr>
        <w:t xml:space="preserve">من ساداتها. قال فی (تش- ص 163) إنه بدل تخلصه فجعله فغفور فیأتی فی الفاء.</w:t>
      </w:r>
    </w:p>
    <w:p>
      <w:pPr>
        <w:pStyle w:val="Heading3"/>
      </w:pPr>
      <w:bookmarkStart w:id="4025" w:name="_Toc2721"/>
      <w:r>
        <w:t>2114- دیوان رسمی میانجی أو شعره‏</w:t>
      </w:r>
      <w:bookmarkEnd w:id="4025"/>
    </w:p>
    <w:p>
      <w:pPr>
        <w:pStyle w:val="BookText"/>
      </w:pPr>
      <w:r>
        <w:rPr>
          <w:rFonts w:ascii="IRNazanin" w:hAnsi="IRNazanin" w:eastAsia="IRNazanin" w:cs="IRNazanin"/>
          <w:lang w:bidi="fa-IR"/>
          <w:color w:val="111111"/>
          <w:sz w:val="28"/>
          <w:szCs w:val="28"/>
          <w:rtl/>
        </w:rPr>
        <w:t xml:space="preserve">و هو من شعراء القرن الثالث عشر بآذربایجان ترجمه فی (دجا- ص 159) عن حدیقة الشعراء.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55" w:name="pg11704_121835"/>
    <w:bookmarkEnd w:id="355"/>
    <w:p>
      <w:pPr>
        <w:pStyle w:val="Heading3"/>
      </w:pPr>
      <w:bookmarkStart w:id="4026" w:name="_Toc2722"/>
      <w:r>
        <w:t>2115- دیوان رسمی یزدی أو شعره‏</w:t>
      </w:r>
      <w:bookmarkEnd w:id="4026"/>
    </w:p>
    <w:p>
      <w:pPr>
        <w:pStyle w:val="BookText"/>
      </w:pPr>
      <w:r>
        <w:rPr>
          <w:rFonts w:ascii="IRNazanin" w:hAnsi="IRNazanin" w:eastAsia="IRNazanin" w:cs="IRNazanin"/>
          <w:lang w:bidi="fa-IR"/>
          <w:color w:val="111111"/>
          <w:sz w:val="28"/>
          <w:szCs w:val="28"/>
          <w:rtl/>
        </w:rPr>
        <w:t xml:space="preserve">أشار إلیه فی (تش- ص 163) فی ذیل فغفور و رسمی لاهیجی و فی (تغ- ص 56) سماه رسمی قلندر یزدی و فی (روشن- ص 241) عبد الرزاق رسمی یزدی سافر إلی الهند.</w:t>
      </w:r>
    </w:p>
    <w:p>
      <w:pPr>
        <w:pStyle w:val="Heading3"/>
      </w:pPr>
      <w:bookmarkStart w:id="4027" w:name="_Toc2723"/>
      <w:r>
        <w:t>2116- دیوان رسوا شیرازی أو شعره‏</w:t>
      </w:r>
      <w:bookmarkEnd w:id="4027"/>
    </w:p>
    <w:p>
      <w:pPr>
        <w:pStyle w:val="BookText"/>
      </w:pPr>
      <w:r>
        <w:rPr>
          <w:rFonts w:ascii="IRNazanin" w:hAnsi="IRNazanin" w:eastAsia="IRNazanin" w:cs="IRNazanin"/>
          <w:lang w:bidi="fa-IR"/>
          <w:color w:val="111111"/>
          <w:sz w:val="28"/>
          <w:szCs w:val="28"/>
          <w:rtl/>
        </w:rPr>
        <w:t xml:space="preserve">للمولی أحمد الشیرازی الطالب للعلم و معاشه من العبادة و الکتابة کما ذکره النصرآبادی فی (نر 6- ص 201) و أورد بعض شعره و نسبه فی (روشن- ص 241) إلی شیروان.</w:t>
      </w:r>
    </w:p>
    <w:p>
      <w:pPr>
        <w:pStyle w:val="Heading3"/>
      </w:pPr>
      <w:bookmarkStart w:id="4028" w:name="_Toc2724"/>
      <w:r>
        <w:t>2117- دیوان رسوا هندی‏</w:t>
      </w:r>
      <w:bookmarkEnd w:id="4028"/>
    </w:p>
    <w:p>
      <w:pPr>
        <w:pStyle w:val="BookText"/>
      </w:pPr>
      <w:r>
        <w:rPr>
          <w:rFonts w:ascii="IRNazanin" w:hAnsi="IRNazanin" w:eastAsia="IRNazanin" w:cs="IRNazanin"/>
          <w:lang w:bidi="fa-IR"/>
          <w:color w:val="111111"/>
          <w:sz w:val="28"/>
          <w:szCs w:val="28"/>
          <w:rtl/>
        </w:rPr>
        <w:t xml:space="preserve">فارسی لأحمد حسن خان. غزلیات. طبع فی (1316 1899 م) بلکهنو علی الحجر فی (150 ص) و فی أوله مدح الخلفاء و الصوفیة.</w:t>
      </w:r>
    </w:p>
    <w:p>
      <w:pPr>
        <w:pStyle w:val="Heading3"/>
      </w:pPr>
      <w:bookmarkStart w:id="4029" w:name="_Toc2725"/>
      <w:r>
        <w:t>2118- دیوان رسوائی همدانی أو شعره‏</w:t>
      </w:r>
      <w:bookmarkEnd w:id="4029"/>
    </w:p>
    <w:p>
      <w:pPr>
        <w:pStyle w:val="BookText"/>
      </w:pPr>
      <w:r>
        <w:rPr>
          <w:rFonts w:ascii="IRNazanin" w:hAnsi="IRNazanin" w:eastAsia="IRNazanin" w:cs="IRNazanin"/>
          <w:lang w:bidi="fa-IR"/>
          <w:color w:val="111111"/>
          <w:sz w:val="28"/>
          <w:szCs w:val="28"/>
          <w:rtl/>
        </w:rPr>
        <w:t xml:space="preserve">و هو الذی کان من الکتاب و تزیا بالقلندریة، ترجمه کذلک معاصره فی (تس 5- ص 146) و أورد شعره.</w:t>
      </w:r>
    </w:p>
    <w:p>
      <w:pPr>
        <w:pStyle w:val="Heading3"/>
      </w:pPr>
      <w:bookmarkStart w:id="4030" w:name="_Toc2726"/>
      <w:r>
        <w:t>2119- دیوان رسول‏</w:t>
      </w:r>
      <w:bookmarkEnd w:id="4030"/>
    </w:p>
    <w:p>
      <w:pPr>
        <w:pStyle w:val="BookText"/>
      </w:pPr>
      <w:r>
        <w:rPr>
          <w:rFonts w:ascii="IRNazanin" w:hAnsi="IRNazanin" w:eastAsia="IRNazanin" w:cs="IRNazanin"/>
          <w:lang w:bidi="fa-IR"/>
          <w:color w:val="111111"/>
          <w:sz w:val="28"/>
          <w:szCs w:val="28"/>
          <w:rtl/>
        </w:rPr>
        <w:t xml:space="preserve">طبع بإیران کما فی بعض الفهارس.</w:t>
      </w:r>
    </w:p>
    <w:p>
      <w:pPr>
        <w:pStyle w:val="Heading3"/>
      </w:pPr>
      <w:bookmarkStart w:id="4031" w:name="_Toc2727"/>
      <w:r>
        <w:t>2120- دیوان رشحه أصفهانی‏</w:t>
      </w:r>
      <w:bookmarkEnd w:id="4031"/>
    </w:p>
    <w:p>
      <w:pPr>
        <w:pStyle w:val="BookText"/>
      </w:pPr>
      <w:r>
        <w:rPr>
          <w:rFonts w:ascii="IRNazanin" w:hAnsi="IRNazanin" w:eastAsia="IRNazanin" w:cs="IRNazanin"/>
          <w:lang w:bidi="fa-IR"/>
          <w:color w:val="111111"/>
          <w:sz w:val="28"/>
          <w:szCs w:val="28"/>
          <w:rtl/>
        </w:rPr>
        <w:t xml:space="preserve">کان معاصر هدایت فترجمه فی (مع- ج 2 ص 146) و قال إنه اکتسب الکمال عن محمد کاظم واله و أورد جملة من شعره، و أظنه محمد باقر الشیرازی المتخلص رشحه الموجود دیوانه فی (الرضویة).</w:t>
      </w:r>
    </w:p>
    <w:p>
      <w:pPr>
        <w:pStyle w:val="Heading3"/>
      </w:pPr>
      <w:bookmarkStart w:id="4032" w:name="_Toc2728"/>
      <w:r>
        <w:t>2121- دیوان رشحه أصفهانی‏</w:t>
      </w:r>
      <w:bookmarkEnd w:id="4032"/>
    </w:p>
    <w:p>
      <w:pPr>
        <w:pStyle w:val="BookText"/>
      </w:pPr>
      <w:r>
        <w:rPr>
          <w:rFonts w:ascii="IRNazanin" w:hAnsi="IRNazanin" w:eastAsia="IRNazanin" w:cs="IRNazanin"/>
          <w:lang w:bidi="fa-IR"/>
          <w:color w:val="111111"/>
          <w:sz w:val="28"/>
          <w:szCs w:val="28"/>
          <w:rtl/>
        </w:rPr>
        <w:t xml:space="preserve">و اسمها بیگم بنت هاتف أصفهانی الشاعر. تزوجها علی أکبر المتخلص نظیری فولدت منه أحمد المتخلص کشته. ترجمها میرزا محمود قاجار فی تذکره نقل مجلس و قال إن دیوانها فی ثلاثة آلاف بیت أکثرها فی مدیحی و مدیح النواب همایون. هذا و قد طبع ستة صفحات من دیوانها فی آخر دیوان والدها هاتف أصفهانی بطهران من نشریات مجلة أرمغان فی (1332 ش).</w:t>
      </w:r>
    </w:p>
    <w:p>
      <w:pPr>
        <w:pStyle w:val="Heading3"/>
      </w:pPr>
      <w:bookmarkStart w:id="4033" w:name="_Toc2729"/>
      <w:r>
        <w:t>دیوان رشحه شیرازی‏</w:t>
      </w:r>
      <w:bookmarkEnd w:id="4033"/>
    </w:p>
    <w:p>
      <w:pPr>
        <w:pStyle w:val="BookText"/>
      </w:pPr>
      <w:r>
        <w:rPr>
          <w:rFonts w:ascii="IRNazanin" w:hAnsi="IRNazanin" w:eastAsia="IRNazanin" w:cs="IRNazanin"/>
          <w:lang w:bidi="fa-IR"/>
          <w:color w:val="111111"/>
          <w:sz w:val="28"/>
          <w:szCs w:val="28"/>
          <w:rtl/>
        </w:rPr>
        <w:t xml:space="preserve">محمد باقر موجود فی (الرضویة). راجع رشحه أصفهانی.</w:t>
      </w:r>
    </w:p>
    <w:p>
      <w:pPr>
        <w:pStyle w:val="Heading3"/>
      </w:pPr>
      <w:bookmarkStart w:id="4034" w:name="_Toc2730"/>
      <w:r>
        <w:t>2122- دیوان رشدی بافقی یزدی أو شعره‏</w:t>
      </w:r>
      <w:bookmarkEnd w:id="4034"/>
    </w:p>
    <w:p>
      <w:pPr>
        <w:pStyle w:val="BookText"/>
      </w:pPr>
      <w:r>
        <w:rPr>
          <w:rFonts w:ascii="IRNazanin" w:hAnsi="IRNazanin" w:eastAsia="IRNazanin" w:cs="IRNazanin"/>
          <w:lang w:bidi="fa-IR"/>
          <w:color w:val="111111"/>
          <w:sz w:val="28"/>
          <w:szCs w:val="28"/>
          <w:rtl/>
        </w:rPr>
        <w:t xml:space="preserve">أورد شعره فی (روشن- ص 242).</w:t>
      </w:r>
    </w:p>
    <w:p>
      <w:pPr>
        <w:pStyle w:val="Heading3"/>
      </w:pPr>
      <w:bookmarkStart w:id="4035" w:name="_Toc2731"/>
      <w:r>
        <w:t>2123- دیوان رشدی رستمداری أو شعره‏</w:t>
      </w:r>
      <w:bookmarkEnd w:id="4035"/>
    </w:p>
    <w:p>
      <w:pPr>
        <w:pStyle w:val="BookText"/>
      </w:pPr>
      <w:r>
        <w:rPr>
          <w:rFonts w:ascii="IRNazanin" w:hAnsi="IRNazanin" w:eastAsia="IRNazanin" w:cs="IRNazanin"/>
          <w:lang w:bidi="fa-IR"/>
          <w:color w:val="111111"/>
          <w:sz w:val="28"/>
          <w:szCs w:val="28"/>
          <w:rtl/>
        </w:rPr>
        <w:t xml:space="preserve">ترجمه فی (نر 9 و 15- ص 379 و 538) و ذکر بعض أحواله و مسافرته إلی أصفهان و قم و وفاته بمشهد طوس، ثم أورد بعض رباعیاته.</w:t>
      </w:r>
    </w:p>
    <w:p>
      <w:pPr>
        <w:pStyle w:val="Heading3"/>
      </w:pPr>
      <w:bookmarkStart w:id="4036" w:name="_Toc2732"/>
      <w:r>
        <w:t>2124- دیوان رشدی زواره‏ئی أو شعره‏</w:t>
      </w:r>
      <w:bookmarkEnd w:id="4036"/>
    </w:p>
    <w:p>
      <w:pPr>
        <w:pStyle w:val="BookText"/>
      </w:pPr>
      <w:r>
        <w:rPr>
          <w:rFonts w:ascii="IRNazanin" w:hAnsi="IRNazanin" w:eastAsia="IRNazanin" w:cs="IRNazanin"/>
          <w:lang w:bidi="fa-IR"/>
          <w:color w:val="111111"/>
          <w:sz w:val="28"/>
          <w:szCs w:val="28"/>
          <w:rtl/>
        </w:rPr>
        <w:t xml:space="preserve">و اسمه ملا محمد. توجد شعره فی مجموعه گنجینه گران‏مایه عند (فخر الدین) و لعله الذی سماه فی (تغ- ص 56) رشدی قمی‏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56" w:name="pg11704_121836"/>
    <w:bookmarkEnd w:id="356"/>
    <w:p>
      <w:pPr>
        <w:pStyle w:val="Heading3"/>
      </w:pPr>
      <w:bookmarkStart w:id="4037" w:name="_Toc2733"/>
      <w:r>
        <w:t>2125- دیوان رشکی سبزواری أو شعره‏</w:t>
      </w:r>
      <w:bookmarkEnd w:id="4037"/>
    </w:p>
    <w:p>
      <w:pPr>
        <w:pStyle w:val="BookText"/>
      </w:pPr>
      <w:r>
        <w:rPr>
          <w:rFonts w:ascii="IRNazanin" w:hAnsi="IRNazanin" w:eastAsia="IRNazanin" w:cs="IRNazanin"/>
          <w:lang w:bidi="fa-IR"/>
          <w:color w:val="111111"/>
          <w:sz w:val="28"/>
          <w:szCs w:val="28"/>
          <w:rtl/>
        </w:rPr>
        <w:t xml:space="preserve">قال فی (تش- ص 78) إن اسمه ملا شرف السبزواری. سکن مدة بکاشان ثم هاجرا خیرا إلی گیلان و هو مشغول بإنشاء المهملات نظما و نثرا. ثم أورد له عدة أبیات. و لکنی لم أر فیها ضعفا بل یظهر منها قوة نظمه.</w:t>
      </w:r>
    </w:p>
    <w:p>
      <w:pPr>
        <w:pStyle w:val="Heading3"/>
      </w:pPr>
      <w:bookmarkStart w:id="4038" w:name="_Toc2734"/>
      <w:r>
        <w:t>2126- دیوان رشکی قمی‏</w:t>
      </w:r>
      <w:bookmarkEnd w:id="4038"/>
    </w:p>
    <w:p>
      <w:pPr>
        <w:pStyle w:val="BookText"/>
      </w:pPr>
      <w:r>
        <w:rPr>
          <w:rFonts w:ascii="IRNazanin" w:hAnsi="IRNazanin" w:eastAsia="IRNazanin" w:cs="IRNazanin"/>
          <w:lang w:bidi="fa-IR"/>
          <w:color w:val="111111"/>
          <w:sz w:val="28"/>
          <w:szCs w:val="28"/>
          <w:rtl/>
        </w:rPr>
        <w:t xml:space="preserve">قال (خوش‏گو) فی حرف الراء إنه أخو میر حضوری و لکن المیر حضوری ینکره، و هو کثیر الشعر، و قد سافر مع غزالی مشهدی إلی الهند و لما قرب وفاته أعطی دواوینه لفدائی و أوصاه بجمعة فجمع فدائی دواوینه و جعله باسمه فقال أوجی فیه:</w:t>
      </w:r>
    </w:p>
    <w:p>
      <w:pPr>
        <w:pStyle w:val="BookText"/>
      </w:pPr>
      <w:r>
        <w:rPr>
          <w:rFonts w:ascii="IRNazanin" w:hAnsi="IRNazanin" w:eastAsia="IRNazanin" w:cs="IRNazanin"/>
          <w:lang w:bidi="fa-IR"/>
          <w:color w:val="111111"/>
          <w:sz w:val="28"/>
          <w:szCs w:val="28"/>
          <w:rtl/>
        </w:rPr>
        <w:t xml:space="preserve">رشکی نامراد را کشتی تو</w:t>
      </w:r>
    </w:p>
    <w:p>
      <w:pPr>
        <w:pStyle w:val="BookText"/>
      </w:pPr>
      <w:r>
        <w:rPr>
          <w:rFonts w:ascii="IRNazanin" w:hAnsi="IRNazanin" w:eastAsia="IRNazanin" w:cs="IRNazanin"/>
          <w:lang w:bidi="fa-IR"/>
          <w:color w:val="111111"/>
          <w:sz w:val="28"/>
          <w:szCs w:val="28"/>
          <w:rtl/>
        </w:rPr>
        <w:t xml:space="preserve">عقل حیران ز خون خفته أو</w:t>
      </w:r>
    </w:p>
    <w:p>
      <w:pPr>
        <w:pStyle w:val="BookText"/>
      </w:pPr>
      <w:r>
        <w:rPr>
          <w:rFonts w:ascii="IRNazanin" w:hAnsi="IRNazanin" w:eastAsia="IRNazanin" w:cs="IRNazanin"/>
          <w:lang w:bidi="fa-IR"/>
          <w:color w:val="111111"/>
          <w:sz w:val="28"/>
          <w:szCs w:val="28"/>
          <w:rtl/>
        </w:rPr>
        <w:t xml:space="preserve">بهر خود ساختی چار دیوانش‏</w:t>
      </w:r>
    </w:p>
    <w:p>
      <w:pPr>
        <w:pStyle w:val="BookText"/>
      </w:pPr>
      <w:r>
        <w:rPr>
          <w:rFonts w:ascii="IRNazanin" w:hAnsi="IRNazanin" w:eastAsia="IRNazanin" w:cs="IRNazanin"/>
          <w:lang w:bidi="fa-IR"/>
          <w:color w:val="111111"/>
          <w:sz w:val="28"/>
          <w:szCs w:val="28"/>
          <w:rtl/>
        </w:rPr>
        <w:t xml:space="preserve">شعر وامانده تو گفته أو</w:t>
      </w:r>
    </w:p>
    <w:p>
      <w:pPr>
        <w:pStyle w:val="BookText"/>
      </w:pPr>
      <w:r>
        <w:rPr>
          <w:rFonts w:ascii="IRNazanin" w:hAnsi="IRNazanin" w:eastAsia="IRNazanin" w:cs="IRNazanin"/>
          <w:lang w:bidi="fa-IR"/>
          <w:color w:val="111111"/>
          <w:sz w:val="28"/>
          <w:szCs w:val="28"/>
          <w:rtl/>
        </w:rPr>
        <w:t xml:space="preserve">(أقول) هو تصحیف أشکی کما مر فی (ص 79).</w:t>
      </w:r>
    </w:p>
    <w:p>
      <w:pPr>
        <w:pStyle w:val="Heading3"/>
      </w:pPr>
      <w:bookmarkStart w:id="4039" w:name="_Toc2735"/>
      <w:r>
        <w:t>2127- دیوان رشکی همدانی أو شعره‏</w:t>
      </w:r>
      <w:bookmarkEnd w:id="4039"/>
    </w:p>
    <w:p>
      <w:pPr>
        <w:pStyle w:val="BookText"/>
      </w:pPr>
      <w:r>
        <w:rPr>
          <w:rFonts w:ascii="IRNazanin" w:hAnsi="IRNazanin" w:eastAsia="IRNazanin" w:cs="IRNazanin"/>
          <w:lang w:bidi="fa-IR"/>
          <w:color w:val="111111"/>
          <w:sz w:val="28"/>
          <w:szCs w:val="28"/>
          <w:rtl/>
        </w:rPr>
        <w:t xml:space="preserve">سماه فی (تش- ص 255) محسن بیک و لم یسم والده، و لکن فی (خص 8- ص 197) قال إنه ابن حسن بیگ لنگ الدرودآبادی.</w:t>
      </w:r>
    </w:p>
    <w:p>
      <w:pPr>
        <w:pStyle w:val="BookText"/>
      </w:pPr>
      <w:r>
        <w:rPr>
          <w:rFonts w:ascii="IRNazanin" w:hAnsi="IRNazanin" w:eastAsia="IRNazanin" w:cs="IRNazanin"/>
          <w:lang w:bidi="fa-IR"/>
          <w:color w:val="111111"/>
          <w:sz w:val="28"/>
          <w:szCs w:val="28"/>
          <w:rtl/>
        </w:rPr>
        <w:t xml:space="preserve">و قالا کان ماهرا فی شغله علاقه‏بند و لکنه وقیح خلیع و لهذا صار عسسا فی تبریز و لم یطل أیامه حتی أعطاه الأجامر و الأوباش جزاءه. و الظاهر أن آذر أخذ ترجمته عن الصادقی فهو المعتمد، و أطری شعره فی (حسینی- ص 134) و (خوش‏گو) و سماه فی (تغ- ص 56) محمد محسن و قال کان عسس تبریز فی عهد الشاه طهماسب و قتل بها.</w:t>
      </w:r>
    </w:p>
    <w:p>
      <w:pPr>
        <w:pStyle w:val="Heading3"/>
      </w:pPr>
      <w:bookmarkStart w:id="4040" w:name="_Toc2736"/>
      <w:r>
        <w:t>2128- دیوان رشید شوشتری أو شعره‏</w:t>
      </w:r>
      <w:bookmarkEnd w:id="4040"/>
    </w:p>
    <w:p>
      <w:pPr>
        <w:pStyle w:val="BookText"/>
      </w:pPr>
      <w:r>
        <w:rPr>
          <w:rFonts w:ascii="IRNazanin" w:hAnsi="IRNazanin" w:eastAsia="IRNazanin" w:cs="IRNazanin"/>
          <w:lang w:bidi="fa-IR"/>
          <w:color w:val="111111"/>
          <w:sz w:val="28"/>
          <w:szCs w:val="28"/>
          <w:rtl/>
        </w:rPr>
        <w:t xml:space="preserve">هو من شعراء تستر فی عصر واخشتو خان کما یظهر من تذکره شوشتر- ص 119 للسید عبد الله فقیر و أشرنا إلیه (فی ص 264) فی دیوان حلمی شوشتری الذی أرخ وفاته.</w:t>
      </w:r>
    </w:p>
    <w:p>
      <w:pPr>
        <w:pStyle w:val="Heading3"/>
      </w:pPr>
      <w:bookmarkStart w:id="4041" w:name="_Toc2737"/>
      <w:r>
        <w:t>2129- دیوان رشیدی تبریزی أو شعره‏</w:t>
      </w:r>
      <w:bookmarkEnd w:id="4041"/>
    </w:p>
    <w:p>
      <w:pPr>
        <w:pStyle w:val="BookText"/>
      </w:pPr>
      <w:r>
        <w:rPr>
          <w:rFonts w:ascii="IRNazanin" w:hAnsi="IRNazanin" w:eastAsia="IRNazanin" w:cs="IRNazanin"/>
          <w:lang w:bidi="fa-IR"/>
          <w:color w:val="111111"/>
          <w:sz w:val="28"/>
          <w:szCs w:val="28"/>
          <w:rtl/>
        </w:rPr>
        <w:t xml:space="preserve">و هو التبریزی الأصل الساکن بعباس‏آباد أصفهان. ترجمه فی (نر 9- ص 388) و قال کان شغله زرگر (صیاغ) و مینا کار و ذکر بعض حالاته و مسافرته إلی الهند و عودته و وفاته قبل حال تألیفه و أورد بعض رباعیاته و مطلع بعض غزلیاته. و عنه فی نگارستان سخن و آفتاب عالم تاب و عنهما فی (روشن- ص 242) و أورد فی (دجا- ص 159) أشعاره نقلا عن بیاض صائب و عن النصرآبادی أنه توفی (1081) و لکن لیس فی المطبوع منه.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57" w:name="pg11704_121837"/>
    <w:bookmarkEnd w:id="357"/>
    <w:p>
      <w:pPr>
        <w:pStyle w:val="Heading3"/>
      </w:pPr>
      <w:bookmarkStart w:id="4042" w:name="_Toc2738"/>
      <w:r>
        <w:t>2130- دیوان رشیدی قزوینی أو شعره‏</w:t>
      </w:r>
      <w:bookmarkEnd w:id="4042"/>
    </w:p>
    <w:p>
      <w:pPr>
        <w:pStyle w:val="BookText"/>
      </w:pPr>
      <w:r>
        <w:rPr>
          <w:rFonts w:ascii="IRNazanin" w:hAnsi="IRNazanin" w:eastAsia="IRNazanin" w:cs="IRNazanin"/>
          <w:lang w:bidi="fa-IR"/>
          <w:color w:val="111111"/>
          <w:sz w:val="28"/>
          <w:szCs w:val="28"/>
          <w:rtl/>
        </w:rPr>
        <w:t xml:space="preserve">کان نزیل الهند و توفی فی بیجاپور ترجمه فی (نر 9- ص 312) و أورد بعض رباعیاته و مطلع غزلیاته. و قال فی (روشن- ص 242) اسمه جمال الدین الحکیم و کان من العلماء.</w:t>
      </w:r>
    </w:p>
    <w:p>
      <w:pPr>
        <w:pStyle w:val="Heading3"/>
      </w:pPr>
      <w:bookmarkStart w:id="4043" w:name="_Toc2739"/>
      <w:r>
        <w:t>2131- دیوان رشید بن بنجیر الشیرازی‏</w:t>
      </w:r>
      <w:bookmarkEnd w:id="4043"/>
    </w:p>
    <w:p>
      <w:pPr>
        <w:pStyle w:val="BookText"/>
      </w:pPr>
      <w:r>
        <w:rPr>
          <w:rFonts w:ascii="IRNazanin" w:hAnsi="IRNazanin" w:eastAsia="IRNazanin" w:cs="IRNazanin"/>
          <w:lang w:bidi="fa-IR"/>
          <w:color w:val="111111"/>
          <w:sz w:val="28"/>
          <w:szCs w:val="28"/>
          <w:rtl/>
        </w:rPr>
        <w:t xml:space="preserve">من شعراء شیراز فی القرن السادس و السابع و معاصر أتابک تکله بن زنگی (571- 591) و أخوه أتابک سعد بن زنگی (591- 623).</w:t>
      </w:r>
    </w:p>
    <w:p>
      <w:pPr>
        <w:pStyle w:val="BookText"/>
      </w:pPr>
      <w:r>
        <w:rPr>
          <w:rFonts w:ascii="IRNazanin" w:hAnsi="IRNazanin" w:eastAsia="IRNazanin" w:cs="IRNazanin"/>
          <w:lang w:bidi="fa-IR"/>
          <w:color w:val="111111"/>
          <w:sz w:val="28"/>
          <w:szCs w:val="28"/>
          <w:rtl/>
        </w:rPr>
        <w:t xml:space="preserve">قال ابن الفوطی فی باب العین من تلخیص مجمع الألقاب: عز الدین أبو رشاد رشید بن بنجیر بن محمود الشیرازی الأدیب ذکره فی الشیخ العالم عز الدین إبراهیم بن أبی علی الشیرازی، قال: کان أدیبا فصیحا له دیوان موجود و هو بین الفضلاء معدود، و أنشدنی بالرصد</w:t>
      </w:r>
      <w:r>
        <w:rPr>
          <w:rStyle w:val="FootnoteReference"/>
        </w:rPr>
        <w:footnoteReference w:id="33"/>
      </w:r>
      <w:r>
        <w:rPr>
          <w:rFonts w:ascii="IRNazanin" w:hAnsi="IRNazanin" w:eastAsia="IRNazanin" w:cs="IRNazanin"/>
          <w:lang w:bidi="fa-IR"/>
          <w:color w:val="111111"/>
          <w:sz w:val="28"/>
          <w:szCs w:val="28"/>
          <w:rtl/>
        </w:rPr>
        <w:t xml:space="preserve">سنة تسع و ستین و ستمائة و نقل فی تاریخ وصاف- ص 150 و 153 أشعار رشید هذا فی مدیح سعد بن زنگی و وقایع (سنة 600). هذا ما ذکره القزوینی فی حواشی شد الإزار (ط: طهران 1328 ش- ص 534).</w:t>
      </w:r>
    </w:p>
    <w:p>
      <w:pPr>
        <w:pStyle w:val="Heading3"/>
      </w:pPr>
      <w:bookmarkStart w:id="4044" w:name="_Toc2740"/>
      <w:r>
        <w:t>2131- دیوان رشید إسفزاری أو شعره‏</w:t>
      </w:r>
      <w:bookmarkEnd w:id="4044"/>
    </w:p>
    <w:p>
      <w:pPr>
        <w:pStyle w:val="BookText"/>
      </w:pPr>
      <w:r>
        <w:rPr>
          <w:rFonts w:ascii="IRNazanin" w:hAnsi="IRNazanin" w:eastAsia="IRNazanin" w:cs="IRNazanin"/>
          <w:lang w:bidi="fa-IR"/>
          <w:color w:val="111111"/>
          <w:sz w:val="28"/>
          <w:szCs w:val="28"/>
          <w:rtl/>
        </w:rPr>
        <w:t xml:space="preserve">و اسمه رشید الدین محمد بن محمود بن مسعود من الفضلاء المشاهیر بخراسان، و له مرتبة عالیة فی الفضیلة و الکمال، کذا وصفه فی (مع ج 1 ص 231) و لم یذکر عصره و انما ذکر قصیدة مدحة لبعض الملوک و سماه فی (خوش‏گو) مجد الدین عزیزی المتخلص رشید.</w:t>
      </w:r>
    </w:p>
    <w:p>
      <w:pPr>
        <w:pStyle w:val="Heading3"/>
      </w:pPr>
      <w:bookmarkStart w:id="4045" w:name="_Toc2741"/>
      <w:r>
        <w:t>دیوان رشید أفشار أو شعره‏</w:t>
      </w:r>
      <w:bookmarkEnd w:id="4045"/>
    </w:p>
    <w:p>
      <w:pPr>
        <w:pStyle w:val="BookText"/>
      </w:pPr>
      <w:r>
        <w:rPr>
          <w:rFonts w:ascii="IRNazanin" w:hAnsi="IRNazanin" w:eastAsia="IRNazanin" w:cs="IRNazanin"/>
          <w:lang w:bidi="fa-IR"/>
          <w:color w:val="111111"/>
          <w:sz w:val="28"/>
          <w:szCs w:val="28"/>
          <w:rtl/>
        </w:rPr>
        <w:t xml:space="preserve">و اسمه میرزا رشید و شعره ترکی و فارسی. أطرأه معاصره فی (المآثر- ص 215).</w:t>
      </w:r>
    </w:p>
    <w:p>
      <w:pPr>
        <w:pStyle w:val="Heading3"/>
      </w:pPr>
      <w:bookmarkStart w:id="4046" w:name="_Toc2742"/>
      <w:r>
        <w:t>2132- دیوان رشید جغتائی‏</w:t>
      </w:r>
      <w:bookmarkEnd w:id="4046"/>
    </w:p>
    <w:p>
      <w:pPr>
        <w:pStyle w:val="BookText"/>
      </w:pPr>
      <w:r>
        <w:rPr>
          <w:rFonts w:ascii="IRNazanin" w:hAnsi="IRNazanin" w:eastAsia="IRNazanin" w:cs="IRNazanin"/>
          <w:lang w:bidi="fa-IR"/>
          <w:color w:val="111111"/>
          <w:sz w:val="28"/>
          <w:szCs w:val="28"/>
          <w:rtl/>
        </w:rPr>
        <w:t xml:space="preserve">من الخوانین الچنگیزیة. کان حاکم کاشغر و توابعها و توفی (771) کما فی (مع- ج 1 ص 28) و ذکر أن غالب شعره ترکی جغتائی و أورد له مطلع غزل بالفارسیة.</w:t>
      </w:r>
    </w:p>
    <w:p>
      <w:pPr>
        <w:pStyle w:val="Heading3"/>
      </w:pPr>
      <w:bookmarkStart w:id="4047" w:name="_Toc2743"/>
      <w:r>
        <w:t>2133- دیوان رشید ختنی أو شعره‏</w:t>
      </w:r>
      <w:bookmarkEnd w:id="4047"/>
    </w:p>
    <w:p>
      <w:pPr>
        <w:pStyle w:val="BookText"/>
      </w:pPr>
      <w:r>
        <w:rPr>
          <w:rFonts w:ascii="IRNazanin" w:hAnsi="IRNazanin" w:eastAsia="IRNazanin" w:cs="IRNazanin"/>
          <w:lang w:bidi="fa-IR"/>
          <w:color w:val="111111"/>
          <w:sz w:val="28"/>
          <w:szCs w:val="28"/>
          <w:rtl/>
        </w:rPr>
        <w:t xml:space="preserve">و هو السلطان عبد الرشید خان ملک الختن الذی جلس (950). ترجمه فی هفت إقلیم و عنه فی (خوش‏گو) و أورد شعره.</w:t>
      </w:r>
    </w:p>
    <w:p>
      <w:pPr>
        <w:pStyle w:val="Heading3"/>
      </w:pPr>
      <w:bookmarkStart w:id="4048" w:name="_Toc2744"/>
      <w:r>
        <w:t>2134- دیوان رشید کازرونی أو شعره‏</w:t>
      </w:r>
      <w:bookmarkEnd w:id="4048"/>
    </w:p>
    <w:p>
      <w:pPr>
        <w:pStyle w:val="BookText"/>
      </w:pPr>
      <w:r>
        <w:rPr>
          <w:rFonts w:ascii="IRNazanin" w:hAnsi="IRNazanin" w:eastAsia="IRNazanin" w:cs="IRNazanin"/>
          <w:lang w:bidi="fa-IR"/>
          <w:color w:val="111111"/>
          <w:sz w:val="28"/>
          <w:szCs w:val="28"/>
          <w:rtl/>
        </w:rPr>
        <w:t xml:space="preserve">ترجمه الحکیم شاه محمد القزوینی فی (بهش 2- ص 389) و ذکر أن مولانا رشید الکازرونی کان جامع أنواع الفضل و الکمال لذیذ .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58" w:name="pg11704_121838"/>
    <w:bookmarkEnd w:id="358"/>
    <w:p>
      <w:pPr>
        <w:pStyle w:val="BookText"/>
      </w:pPr>
      <w:r>
        <w:rPr>
          <w:rFonts w:ascii="IRNazanin" w:hAnsi="IRNazanin" w:eastAsia="IRNazanin" w:cs="IRNazanin"/>
          <w:lang w:bidi="fa-IR"/>
          <w:color w:val="111111"/>
          <w:sz w:val="28"/>
          <w:szCs w:val="28"/>
          <w:rtl/>
        </w:rPr>
        <w:t xml:space="preserve">الصحبة، سلیم الطبع، مستقیم العقل، و أورد مطلعین من غزلیاته. قال فی (روشن- ص 243) نقلا عن نگارستان سخن أن له شرح فارسی علی فصوص الحکم و مات (920).</w:t>
      </w:r>
    </w:p>
    <w:p>
      <w:pPr>
        <w:pStyle w:val="Heading3"/>
      </w:pPr>
      <w:bookmarkStart w:id="4049" w:name="_Toc2745"/>
      <w:r>
        <w:t>2135- دیوان رشید کاشانی‏</w:t>
      </w:r>
      <w:bookmarkEnd w:id="4049"/>
    </w:p>
    <w:p>
      <w:pPr>
        <w:pStyle w:val="BookText"/>
      </w:pPr>
      <w:r>
        <w:rPr>
          <w:rFonts w:ascii="IRNazanin" w:hAnsi="IRNazanin" w:eastAsia="IRNazanin" w:cs="IRNazanin"/>
          <w:lang w:bidi="fa-IR"/>
          <w:color w:val="111111"/>
          <w:sz w:val="28"/>
          <w:szCs w:val="28"/>
          <w:rtl/>
        </w:rPr>
        <w:t xml:space="preserve">و اسمه شاه رشید. کان معمرا، و له مطارحات مع طالب آملی و سکن مدة بالهند. کذا فی (خوش‏گو) ثم أورد شعره.</w:t>
      </w:r>
    </w:p>
    <w:p>
      <w:pPr>
        <w:pStyle w:val="Heading3"/>
      </w:pPr>
      <w:bookmarkStart w:id="4050" w:name="_Toc2746"/>
      <w:r>
        <w:t>دیوان رشید وطواط</w:t>
      </w:r>
      <w:bookmarkEnd w:id="4050"/>
    </w:p>
    <w:p>
      <w:pPr>
        <w:pStyle w:val="BookText"/>
      </w:pPr>
      <w:r>
        <w:rPr>
          <w:rFonts w:ascii="IRNazanin" w:hAnsi="IRNazanin" w:eastAsia="IRNazanin" w:cs="IRNazanin"/>
          <w:lang w:bidi="fa-IR"/>
          <w:color w:val="111111"/>
          <w:sz w:val="28"/>
          <w:szCs w:val="28"/>
          <w:rtl/>
        </w:rPr>
        <w:t xml:space="preserve">راجع دیوان الوطواط.</w:t>
      </w:r>
    </w:p>
    <w:p>
      <w:pPr>
        <w:pStyle w:val="Heading3"/>
      </w:pPr>
      <w:bookmarkStart w:id="4051" w:name="_Toc2747"/>
      <w:r>
        <w:t>2136- دیوان رشید الهمدانی‏</w:t>
      </w:r>
      <w:bookmarkEnd w:id="4051"/>
    </w:p>
    <w:p>
      <w:pPr>
        <w:pStyle w:val="BookText"/>
      </w:pPr>
      <w:r>
        <w:rPr>
          <w:rFonts w:ascii="IRNazanin" w:hAnsi="IRNazanin" w:eastAsia="IRNazanin" w:cs="IRNazanin"/>
          <w:lang w:bidi="fa-IR"/>
          <w:color w:val="111111"/>
          <w:sz w:val="28"/>
          <w:szCs w:val="28"/>
          <w:rtl/>
        </w:rPr>
        <w:t xml:space="preserve">للوزیر الشهیر الخواجة رشید الدین فضل الله الهمدانی الشهید، مؤلف جامع التواریخ الرشیدی الذی ذکرناه فی ج 3 ص 269 بعنوان تاریخ غازانی ترجمه فی (مع- ج 1 ص 236) و أورد إحدی رباعیاته الفارسیة و قد أخذها ظاهرا من (تش- ص 255) و کذا فی (روشن- ص 242) و (تغ- ص 57).</w:t>
      </w:r>
    </w:p>
    <w:p>
      <w:pPr>
        <w:pStyle w:val="Heading3"/>
      </w:pPr>
      <w:bookmarkStart w:id="4052" w:name="_Toc2748"/>
      <w:r>
        <w:t>2137- دیوان رشیدی أو شعره‏</w:t>
      </w:r>
      <w:bookmarkEnd w:id="4052"/>
    </w:p>
    <w:p>
      <w:pPr>
        <w:pStyle w:val="BookText"/>
      </w:pPr>
      <w:r>
        <w:rPr>
          <w:rFonts w:ascii="IRNazanin" w:hAnsi="IRNazanin" w:eastAsia="IRNazanin" w:cs="IRNazanin"/>
          <w:lang w:bidi="fa-IR"/>
          <w:color w:val="111111"/>
          <w:sz w:val="28"/>
          <w:szCs w:val="28"/>
          <w:rtl/>
        </w:rPr>
        <w:t xml:space="preserve">و هو الملا قاضی رشیدی أخو أفضل همتی. أورد شعره فی (خوش‏گو). و لعله الکرمانی الآتی.</w:t>
      </w:r>
    </w:p>
    <w:p>
      <w:pPr>
        <w:pStyle w:val="Heading3"/>
      </w:pPr>
      <w:bookmarkStart w:id="4053" w:name="_Toc2749"/>
      <w:r>
        <w:t>2138- دیوان رشید یاسمی‏</w:t>
      </w:r>
      <w:bookmarkEnd w:id="4053"/>
    </w:p>
    <w:p>
      <w:pPr>
        <w:pStyle w:val="BookText"/>
      </w:pPr>
      <w:r>
        <w:rPr>
          <w:rFonts w:ascii="IRNazanin" w:hAnsi="IRNazanin" w:eastAsia="IRNazanin" w:cs="IRNazanin"/>
          <w:lang w:bidi="fa-IR"/>
          <w:color w:val="111111"/>
          <w:sz w:val="28"/>
          <w:szCs w:val="28"/>
          <w:rtl/>
        </w:rPr>
        <w:t xml:space="preserve">و اسمه غلام رضا الکرمانشاهی مؤلف أدبیات معاصر المطبوع (1316 ش) و یوجد فیه بعض شعره منها فی (ص 24) و قد طبع دیوانه بطهران.</w:t>
      </w:r>
    </w:p>
    <w:p>
      <w:pPr>
        <w:pStyle w:val="Heading3"/>
      </w:pPr>
      <w:bookmarkStart w:id="4054" w:name="_Toc2750"/>
      <w:r>
        <w:t>2139- دیوان رشیدی سمرقندی‏</w:t>
      </w:r>
      <w:bookmarkEnd w:id="4054"/>
    </w:p>
    <w:p>
      <w:pPr>
        <w:pStyle w:val="BookText"/>
      </w:pPr>
      <w:r>
        <w:rPr>
          <w:rFonts w:ascii="IRNazanin" w:hAnsi="IRNazanin" w:eastAsia="IRNazanin" w:cs="IRNazanin"/>
          <w:lang w:bidi="fa-IR"/>
          <w:color w:val="111111"/>
          <w:sz w:val="28"/>
          <w:szCs w:val="28"/>
          <w:rtl/>
        </w:rPr>
        <w:t xml:space="preserve">ترجمه البلگرامی فی (خز- ص 230) و ذکر أنه من شعراء السلطان خضر بن إبراهیم خان. و کان معاصر عمعق البخاری، و ذکر المراسلات الشعریة بینه و من مسعود سعد سلمان، و ذکر بعض شعره و کذا فی (تش- ص 333) قال فی (تغ- ص 57) له مهر و وفا و سماه الأستاد أبو محمد و قال فی شاهد صادق إنه مات (562).</w:t>
      </w:r>
    </w:p>
    <w:p>
      <w:pPr>
        <w:pStyle w:val="Heading3"/>
      </w:pPr>
      <w:bookmarkStart w:id="4055" w:name="_Toc2751"/>
      <w:r>
        <w:t>2140- دیوان رشیدی أصفهانی أو شعره‏</w:t>
      </w:r>
      <w:bookmarkEnd w:id="4055"/>
    </w:p>
    <w:p>
      <w:pPr>
        <w:pStyle w:val="BookText"/>
      </w:pPr>
      <w:r>
        <w:rPr>
          <w:rFonts w:ascii="IRNazanin" w:hAnsi="IRNazanin" w:eastAsia="IRNazanin" w:cs="IRNazanin"/>
          <w:lang w:bidi="fa-IR"/>
          <w:color w:val="111111"/>
          <w:sz w:val="28"/>
          <w:szCs w:val="28"/>
          <w:rtl/>
        </w:rPr>
        <w:t xml:space="preserve">کان معاصر الشاه طهماسب الأول. أورد شعره فی (گلشن- ص 174) و فی (روشن- ص 245) سماه محمد رشید رشیدی و الظاهر أنه غیر رشیدی عباسی و متقدم علیه.</w:t>
      </w:r>
    </w:p>
    <w:p>
      <w:pPr>
        <w:pStyle w:val="Heading3"/>
      </w:pPr>
      <w:bookmarkStart w:id="4056" w:name="_Toc2752"/>
      <w:r>
        <w:t>2141- دیوان رشیدی عباسی‏</w:t>
      </w:r>
      <w:bookmarkEnd w:id="4056"/>
    </w:p>
    <w:p>
      <w:pPr>
        <w:pStyle w:val="BookText"/>
      </w:pPr>
      <w:r>
        <w:rPr>
          <w:rFonts w:ascii="IRNazanin" w:hAnsi="IRNazanin" w:eastAsia="IRNazanin" w:cs="IRNazanin"/>
          <w:lang w:bidi="fa-IR"/>
          <w:color w:val="111111"/>
          <w:sz w:val="28"/>
          <w:szCs w:val="28"/>
          <w:rtl/>
        </w:rPr>
        <w:t xml:space="preserve">توجد نسخه منه فی مکتبة (الملک) فی سبعة آلاف بیت تحت رقم (5266) کتبت فی القرن الحادی عشر یشتمل علی: حسن گلو سوز و نقش أرژنگ و سبعة سیارة الذی نظمه فی 1060 و قال فی تاریخه:</w:t>
      </w:r>
    </w:p>
    <w:p>
      <w:pPr>
        <w:pStyle w:val="BookText"/>
      </w:pPr>
      <w:r>
        <w:rPr>
          <w:rFonts w:ascii="IRNazanin" w:hAnsi="IRNazanin" w:eastAsia="IRNazanin" w:cs="IRNazanin"/>
          <w:lang w:bidi="fa-IR"/>
          <w:color w:val="111111"/>
          <w:sz w:val="28"/>
          <w:szCs w:val="28"/>
          <w:rtl/>
        </w:rPr>
        <w:t xml:space="preserve">بهر تاریخ سبعة سیار</w:t>
      </w:r>
    </w:p>
    <w:p>
      <w:pPr>
        <w:pStyle w:val="BookText"/>
      </w:pPr>
      <w:r>
        <w:rPr>
          <w:rFonts w:ascii="IRNazanin" w:hAnsi="IRNazanin" w:eastAsia="IRNazanin" w:cs="IRNazanin"/>
          <w:lang w:bidi="fa-IR"/>
          <w:color w:val="111111"/>
          <w:sz w:val="28"/>
          <w:szCs w:val="28"/>
          <w:rtl/>
        </w:rPr>
        <w:t xml:space="preserve">گل باغ أبد شد آینه‏دار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59" w:name="pg11704_121839"/>
    <w:bookmarkEnd w:id="359"/>
    <w:p>
      <w:pPr>
        <w:pStyle w:val="BookText"/>
      </w:pPr>
      <w:r>
        <w:rPr>
          <w:rFonts w:ascii="IRNazanin" w:hAnsi="IRNazanin" w:eastAsia="IRNazanin" w:cs="IRNazanin"/>
          <w:lang w:bidi="fa-IR"/>
          <w:color w:val="111111"/>
          <w:sz w:val="28"/>
          <w:szCs w:val="28"/>
          <w:rtl/>
        </w:rPr>
        <w:t xml:space="preserve">ثم قضا و قدر و ساقی‏نامه و جواهر الأسرار و هذه فی ثمانیة أبواب و أظنه غیر رشید الأصفهانی الخطاط ابن أخت المیر عماد الخطاط و تلمیذه الذی فر من أصفهان بعد قتل المیر عماد إلی الهند و صار أستاذ الخط لدارا شکوه و مات بأکبرآباد (1081).</w:t>
      </w:r>
    </w:p>
    <w:p>
      <w:pPr>
        <w:pStyle w:val="Heading3"/>
      </w:pPr>
      <w:bookmarkStart w:id="4057" w:name="_Toc2753"/>
      <w:r>
        <w:t>2142- دیوان رشیدی کرمانی أو شعره‏</w:t>
      </w:r>
      <w:bookmarkEnd w:id="4057"/>
    </w:p>
    <w:p>
      <w:pPr>
        <w:pStyle w:val="BookText"/>
      </w:pPr>
      <w:r>
        <w:rPr>
          <w:rFonts w:ascii="IRNazanin" w:hAnsi="IRNazanin" w:eastAsia="IRNazanin" w:cs="IRNazanin"/>
          <w:lang w:bidi="fa-IR"/>
          <w:color w:val="111111"/>
          <w:sz w:val="28"/>
          <w:szCs w:val="28"/>
          <w:rtl/>
        </w:rPr>
        <w:t xml:space="preserve">و هو الملا قاضی بن الملا یعقوب خوشنویس.</w:t>
      </w:r>
    </w:p>
    <w:p>
      <w:pPr>
        <w:pStyle w:val="BookText"/>
      </w:pPr>
      <w:r>
        <w:rPr>
          <w:rFonts w:ascii="IRNazanin" w:hAnsi="IRNazanin" w:eastAsia="IRNazanin" w:cs="IRNazanin"/>
          <w:lang w:bidi="fa-IR"/>
          <w:color w:val="111111"/>
          <w:sz w:val="28"/>
          <w:szCs w:val="28"/>
          <w:rtl/>
        </w:rPr>
        <w:t xml:space="preserve">کان مشتغلا بخدمة الدیوان. أورد شعره فی (تش- ص 120). و لعله أخو همتی المذکور فی (خوش‏گو).</w:t>
      </w:r>
    </w:p>
    <w:p>
      <w:pPr>
        <w:pStyle w:val="Heading3"/>
      </w:pPr>
      <w:bookmarkStart w:id="4058" w:name="_Toc2754"/>
      <w:r>
        <w:t>2143- دیوان الرصافی البغدادی‏</w:t>
      </w:r>
      <w:bookmarkEnd w:id="4058"/>
    </w:p>
    <w:p>
      <w:pPr>
        <w:pStyle w:val="BookText"/>
      </w:pPr>
      <w:r>
        <w:rPr>
          <w:rFonts w:ascii="IRNazanin" w:hAnsi="IRNazanin" w:eastAsia="IRNazanin" w:cs="IRNazanin"/>
          <w:lang w:bidi="fa-IR"/>
          <w:color w:val="111111"/>
          <w:sz w:val="28"/>
          <w:szCs w:val="28"/>
          <w:rtl/>
        </w:rPr>
        <w:t xml:space="preserve">و هو معروف أفندی بن عبد الغنی البغدادی ولد بالرصافة (1293) و سافر إلی إستانبول و رجع إلی سوریة و فلسطین فبغداد و بها توفی أخیرا. له دفع الهجنة فی ارتضاح اللکنة فی الألفاظ العربیة التی استعملها الترک فی غیر معناها. طبع بأستانبول (1331) و نفح الطیب فی الخطابة و الخطیب و الأدب العربی و الآلة و الأداة و دفع المراق فی لغة العامة من أهل العراق و غیرها. و دیوان شعره الذی طبع قصائد محیی الدین أفندی بیروت فی (1910 م 1327) و طبع کله فی مجلدین فی (1369).</w:t>
      </w:r>
    </w:p>
    <w:p>
      <w:pPr>
        <w:pStyle w:val="Heading3"/>
      </w:pPr>
      <w:bookmarkStart w:id="4059" w:name="_Toc2755"/>
      <w:r>
        <w:t>دیوان الشیخ محمد رضا الأزری‏</w:t>
      </w:r>
      <w:bookmarkEnd w:id="4059"/>
    </w:p>
    <w:p>
      <w:pPr>
        <w:pStyle w:val="BookText"/>
      </w:pPr>
      <w:r>
        <w:rPr>
          <w:rFonts w:ascii="IRNazanin" w:hAnsi="IRNazanin" w:eastAsia="IRNazanin" w:cs="IRNazanin"/>
          <w:lang w:bidi="fa-IR"/>
          <w:color w:val="111111"/>
          <w:sz w:val="28"/>
          <w:szCs w:val="28"/>
          <w:rtl/>
        </w:rPr>
        <w:t xml:space="preserve">مر بعنوان دیوان الأزری الصغیر و توجد نسخه منه فی مکتبة الشیخ محمد رضا آل مظفر فی النجف.</w:t>
      </w:r>
    </w:p>
    <w:p>
      <w:pPr>
        <w:pStyle w:val="Heading3"/>
      </w:pPr>
      <w:bookmarkStart w:id="4060" w:name="_Toc2756"/>
      <w:r>
        <w:t>دیوان رضا أصفهانی‏</w:t>
      </w:r>
      <w:bookmarkEnd w:id="4060"/>
    </w:p>
    <w:p>
      <w:pPr>
        <w:pStyle w:val="BookText"/>
      </w:pPr>
      <w:r>
        <w:rPr>
          <w:rFonts w:ascii="IRNazanin" w:hAnsi="IRNazanin" w:eastAsia="IRNazanin" w:cs="IRNazanin"/>
          <w:lang w:bidi="fa-IR"/>
          <w:color w:val="111111"/>
          <w:sz w:val="28"/>
          <w:szCs w:val="28"/>
          <w:rtl/>
        </w:rPr>
        <w:t xml:space="preserve">یأتی بتخلصه فکری.</w:t>
      </w:r>
    </w:p>
    <w:p>
      <w:pPr>
        <w:pStyle w:val="Heading3"/>
      </w:pPr>
      <w:bookmarkStart w:id="4061" w:name="_Toc2757"/>
      <w:r>
        <w:t>دیوان رضا أصفهانی‏</w:t>
      </w:r>
      <w:bookmarkEnd w:id="4061"/>
    </w:p>
    <w:p>
      <w:pPr>
        <w:pStyle w:val="BookText"/>
      </w:pPr>
      <w:r>
        <w:rPr>
          <w:rFonts w:ascii="IRNazanin" w:hAnsi="IRNazanin" w:eastAsia="IRNazanin" w:cs="IRNazanin"/>
          <w:lang w:bidi="fa-IR"/>
          <w:color w:val="111111"/>
          <w:sz w:val="28"/>
          <w:szCs w:val="28"/>
          <w:rtl/>
        </w:rPr>
        <w:t xml:space="preserve">راجع دیوان رضا پاشا.</w:t>
      </w:r>
    </w:p>
    <w:p>
      <w:pPr>
        <w:pStyle w:val="Heading3"/>
      </w:pPr>
      <w:bookmarkStart w:id="4062" w:name="_Toc2758"/>
      <w:r>
        <w:t>2144- دیوان رضا أصفهانی أو شعره‏</w:t>
      </w:r>
      <w:bookmarkEnd w:id="4062"/>
    </w:p>
    <w:p>
      <w:pPr>
        <w:pStyle w:val="BookText"/>
      </w:pPr>
      <w:r>
        <w:rPr>
          <w:rFonts w:ascii="IRNazanin" w:hAnsi="IRNazanin" w:eastAsia="IRNazanin" w:cs="IRNazanin"/>
          <w:lang w:bidi="fa-IR"/>
          <w:color w:val="111111"/>
          <w:sz w:val="28"/>
          <w:szCs w:val="28"/>
          <w:rtl/>
        </w:rPr>
        <w:t xml:space="preserve">و هو محمد رضا ابن الآخوند محمد باقر المجلسی کما وصفه و أطری شعره فی (تغ- ص 57) و ذکر له رسالة معراج النفس و قال مات فی أیام استیلاء الأفاغنة علی أصفهان.</w:t>
      </w:r>
    </w:p>
    <w:p>
      <w:pPr>
        <w:pStyle w:val="Heading3"/>
      </w:pPr>
      <w:bookmarkStart w:id="4063" w:name="_Toc2759"/>
      <w:r>
        <w:t>2145- دیوان الشیخ محمد رضا الأصفهانی‏</w:t>
      </w:r>
      <w:bookmarkEnd w:id="4063"/>
    </w:p>
    <w:p>
      <w:pPr>
        <w:pStyle w:val="BookText"/>
      </w:pPr>
      <w:r>
        <w:rPr>
          <w:rFonts w:ascii="IRNazanin" w:hAnsi="IRNazanin" w:eastAsia="IRNazanin" w:cs="IRNazanin"/>
          <w:lang w:bidi="fa-IR"/>
          <w:color w:val="111111"/>
          <w:sz w:val="28"/>
          <w:szCs w:val="28"/>
          <w:rtl/>
        </w:rPr>
        <w:t xml:space="preserve">و هو أبو المجد الرضا بن الشیخ محمد حسین بن محمد باقر الأصفهانی صاحب الإیراد و الإصدار المتوفی (24 محرم- 1362) دون شعره بنفسه و هی عربیة و فارسیة، و نسخه خطه موجودة بأصفهان عند صهره” الشیخ محمد رضا الأصفهانی” و قد أشتریها من ولده آقا مجد الدین.</w:t>
      </w:r>
    </w:p>
    <w:p>
      <w:pPr>
        <w:pStyle w:val="Heading3"/>
      </w:pPr>
      <w:bookmarkStart w:id="4064" w:name="_Toc2760"/>
      <w:r>
        <w:t>2146- دیوان رضا أصفهانی أو شعره‏</w:t>
      </w:r>
      <w:bookmarkEnd w:id="4064"/>
    </w:p>
    <w:p>
      <w:pPr>
        <w:pStyle w:val="BookText"/>
      </w:pPr>
      <w:r>
        <w:rPr>
          <w:rFonts w:ascii="IRNazanin" w:hAnsi="IRNazanin" w:eastAsia="IRNazanin" w:cs="IRNazanin"/>
          <w:lang w:bidi="fa-IR"/>
          <w:color w:val="111111"/>
          <w:sz w:val="28"/>
          <w:szCs w:val="28"/>
          <w:rtl/>
        </w:rPr>
        <w:t xml:space="preserve">و هو السید رضا الحسینی، الذی نصبه الشاه سلطان‏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60" w:name="pg11704_121840"/>
    <w:bookmarkEnd w:id="360"/>
    <w:p>
      <w:pPr>
        <w:pStyle w:val="BookText"/>
      </w:pPr>
      <w:r>
        <w:rPr>
          <w:rFonts w:ascii="IRNazanin" w:hAnsi="IRNazanin" w:eastAsia="IRNazanin" w:cs="IRNazanin"/>
          <w:lang w:bidi="fa-IR"/>
          <w:color w:val="111111"/>
          <w:sz w:val="28"/>
          <w:szCs w:val="28"/>
          <w:rtl/>
        </w:rPr>
        <w:t xml:space="preserve">حسین الصفوی نقیبا بأصفهان و مات بها. أورد شعره فی (تش- ص 176). و لعله هو المذکور فی (گلشن- ص 176) المذکور بعد هذا.</w:t>
      </w:r>
    </w:p>
    <w:p>
      <w:pPr>
        <w:pStyle w:val="Heading3"/>
      </w:pPr>
      <w:bookmarkStart w:id="4065" w:name="_Toc2761"/>
      <w:r>
        <w:t>2147- دیوان رضا أصفهانی أو شعره‏</w:t>
      </w:r>
      <w:bookmarkEnd w:id="4065"/>
    </w:p>
    <w:p>
      <w:pPr>
        <w:pStyle w:val="BookText"/>
      </w:pPr>
      <w:r>
        <w:rPr>
          <w:rFonts w:ascii="IRNazanin" w:hAnsi="IRNazanin" w:eastAsia="IRNazanin" w:cs="IRNazanin"/>
          <w:lang w:bidi="fa-IR"/>
          <w:color w:val="111111"/>
          <w:sz w:val="28"/>
          <w:szCs w:val="28"/>
          <w:rtl/>
        </w:rPr>
        <w:t xml:space="preserve">و اسمه المیرزا رضا بن شاه تقی میرزا من سادات أصفهان، و کان یعرف نمک خوان أصفهان أورد شعره فی (روشن- ص 246) نقلا عن (گلشن- ص 176) و نگارستان سخن.</w:t>
      </w:r>
    </w:p>
    <w:p>
      <w:pPr>
        <w:pStyle w:val="Heading3"/>
      </w:pPr>
      <w:bookmarkStart w:id="4066" w:name="_Toc2762"/>
      <w:r>
        <w:t>2148- دیوان رضا بلگرامی أو شعره‏</w:t>
      </w:r>
      <w:bookmarkEnd w:id="4066"/>
    </w:p>
    <w:p>
      <w:pPr>
        <w:pStyle w:val="BookText"/>
      </w:pPr>
      <w:r>
        <w:rPr>
          <w:rFonts w:ascii="IRNazanin" w:hAnsi="IRNazanin" w:eastAsia="IRNazanin" w:cs="IRNazanin"/>
          <w:lang w:bidi="fa-IR"/>
          <w:color w:val="111111"/>
          <w:sz w:val="28"/>
          <w:szCs w:val="28"/>
          <w:rtl/>
        </w:rPr>
        <w:t xml:space="preserve">و اسمه محمد رضا تلمیذ سلامة الله الکشفی فی العربیة و تلمیذ ذرة بلگرامی المذکور فی النظم الفارسی. أورد شعره فی (روشن- ص 247).</w:t>
      </w:r>
    </w:p>
    <w:p>
      <w:pPr>
        <w:pStyle w:val="Heading3"/>
      </w:pPr>
      <w:bookmarkStart w:id="4067" w:name="_Toc2763"/>
      <w:r>
        <w:t>2149- دیوان محمد رضا پاشا</w:t>
      </w:r>
      <w:bookmarkEnd w:id="4067"/>
    </w:p>
    <w:p>
      <w:pPr>
        <w:pStyle w:val="BookText"/>
      </w:pPr>
      <w:r>
        <w:rPr>
          <w:rFonts w:ascii="IRNazanin" w:hAnsi="IRNazanin" w:eastAsia="IRNazanin" w:cs="IRNazanin"/>
          <w:lang w:bidi="fa-IR"/>
          <w:color w:val="111111"/>
          <w:sz w:val="28"/>
          <w:szCs w:val="28"/>
          <w:rtl/>
        </w:rPr>
        <w:t xml:space="preserve">من تبارزه عباس‏آباد بأصفهان، و هو من بنی أعمام محمد حسین چلبی کان یتخلص باسمه، و سافر إلی الروم و عین پاشا لمصر ثم پاشا. للحبشة ثم عزل و جاور مکة إلی أن توفی بها. ترجمه فی (نر 3- ص 69) و أورد شعره و کذا فی (تش- ص 176) و زاد فی (گلشن- ص 174) أنه سافر إلی الیمن أیضا و إنه اعتزل الحکم فی (1034). و ذکره فی (تغ- ص 58).</w:t>
      </w:r>
    </w:p>
    <w:p>
      <w:pPr>
        <w:pStyle w:val="Heading3"/>
      </w:pPr>
      <w:bookmarkStart w:id="4068" w:name="_Toc2764"/>
      <w:r>
        <w:t>دیوان رضا تبریزی‏</w:t>
      </w:r>
      <w:bookmarkEnd w:id="4068"/>
    </w:p>
    <w:p>
      <w:pPr>
        <w:pStyle w:val="BookText"/>
      </w:pPr>
      <w:r>
        <w:rPr>
          <w:rFonts w:ascii="IRNazanin" w:hAnsi="IRNazanin" w:eastAsia="IRNazanin" w:cs="IRNazanin"/>
          <w:lang w:bidi="fa-IR"/>
          <w:color w:val="111111"/>
          <w:sz w:val="28"/>
          <w:szCs w:val="28"/>
          <w:rtl/>
        </w:rPr>
        <w:t xml:space="preserve">راجع رضا پاشا.</w:t>
      </w:r>
    </w:p>
    <w:p>
      <w:pPr>
        <w:pStyle w:val="Heading3"/>
      </w:pPr>
      <w:bookmarkStart w:id="4069" w:name="_Toc2765"/>
      <w:r>
        <w:t>2150- دیوان رضا جوینی أو شعره‏</w:t>
      </w:r>
      <w:bookmarkEnd w:id="4069"/>
    </w:p>
    <w:p>
      <w:pPr>
        <w:pStyle w:val="BookText"/>
      </w:pPr>
      <w:r>
        <w:rPr>
          <w:rFonts w:ascii="IRNazanin" w:hAnsi="IRNazanin" w:eastAsia="IRNazanin" w:cs="IRNazanin"/>
          <w:lang w:bidi="fa-IR"/>
          <w:color w:val="111111"/>
          <w:sz w:val="28"/>
          <w:szCs w:val="28"/>
          <w:rtl/>
        </w:rPr>
        <w:t xml:space="preserve">و هو الخواجة محمد رضا المعروف سارو خواجه ابن خواجه ملک، ولد فی جوین من أعمال قزوین و کان وزیر ذو الفقار خان حاکم آذربایجان و بعد أن قتل ذو الفقار نصب محمد رضا هذا مکانه وزیرا لجمیع آذربایجان.</w:t>
      </w:r>
    </w:p>
    <w:p>
      <w:pPr>
        <w:pStyle w:val="BookText"/>
      </w:pPr>
      <w:r>
        <w:rPr>
          <w:rFonts w:ascii="IRNazanin" w:hAnsi="IRNazanin" w:eastAsia="IRNazanin" w:cs="IRNazanin"/>
          <w:lang w:bidi="fa-IR"/>
          <w:color w:val="111111"/>
          <w:sz w:val="28"/>
          <w:szCs w:val="28"/>
          <w:rtl/>
        </w:rPr>
        <w:t xml:space="preserve">ترجمه و أورد قطعة من نثره و قطعات من شعره فی (نر 4- ص 74) و منها فی تاریخ عرسه بأمر الشاه فی (1029):</w:t>
      </w:r>
    </w:p>
    <w:p>
      <w:pPr>
        <w:pStyle w:val="BookText"/>
      </w:pPr>
      <w:r>
        <w:rPr>
          <w:rFonts w:ascii="IRNazanin" w:hAnsi="IRNazanin" w:eastAsia="IRNazanin" w:cs="IRNazanin"/>
          <w:lang w:bidi="fa-IR"/>
          <w:color w:val="111111"/>
          <w:sz w:val="28"/>
          <w:szCs w:val="28"/>
          <w:rtl/>
        </w:rPr>
        <w:t xml:space="preserve">بهر تاریخ این عطا گفتم:</w:t>
      </w:r>
    </w:p>
    <w:p>
      <w:pPr>
        <w:pStyle w:val="BookText"/>
      </w:pPr>
      <w:r>
        <w:rPr>
          <w:rFonts w:ascii="IRNazanin" w:hAnsi="IRNazanin" w:eastAsia="IRNazanin" w:cs="IRNazanin"/>
          <w:lang w:bidi="fa-IR"/>
          <w:color w:val="111111"/>
          <w:sz w:val="28"/>
          <w:szCs w:val="28"/>
          <w:rtl/>
        </w:rPr>
        <w:t xml:space="preserve">خانه شاه باد آبادان‏</w:t>
      </w:r>
    </w:p>
    <w:p>
      <w:pPr>
        <w:pStyle w:val="BookText"/>
      </w:pPr>
      <w:r>
        <w:rPr>
          <w:rFonts w:ascii="IRNazanin" w:hAnsi="IRNazanin" w:eastAsia="IRNazanin" w:cs="IRNazanin"/>
          <w:lang w:bidi="fa-IR"/>
          <w:color w:val="111111"/>
          <w:sz w:val="28"/>
          <w:szCs w:val="28"/>
          <w:rtl/>
        </w:rPr>
        <w:t xml:space="preserve">و أورد شعره فی (روشن- ص 245) أیضا.</w:t>
      </w:r>
    </w:p>
    <w:p>
      <w:pPr>
        <w:pStyle w:val="Heading3"/>
      </w:pPr>
      <w:bookmarkStart w:id="4070" w:name="_Toc2766"/>
      <w:r>
        <w:t>2151- دیوان الشیخ محمد رضا الخالصی‏</w:t>
      </w:r>
      <w:bookmarkEnd w:id="4070"/>
    </w:p>
    <w:p>
      <w:pPr>
        <w:pStyle w:val="BookText"/>
      </w:pPr>
      <w:r>
        <w:rPr>
          <w:rFonts w:ascii="IRNazanin" w:hAnsi="IRNazanin" w:eastAsia="IRNazanin" w:cs="IRNazanin"/>
          <w:lang w:bidi="fa-IR"/>
          <w:color w:val="111111"/>
          <w:sz w:val="28"/>
          <w:szCs w:val="28"/>
          <w:rtl/>
        </w:rPr>
        <w:t xml:space="preserve">المعاصر المعروف بشالچی موسی نسبة إلی أمه. و والده الشیخ محمد علی بن الشیخ عزیز الخالصی الکاظمی، ولد (1302) ذکر دیوانه حسین علی محفوظ فی خزائن کتب الکاظمیة.</w:t>
      </w:r>
    </w:p>
    <w:p>
      <w:pPr>
        <w:pStyle w:val="Heading3"/>
      </w:pPr>
      <w:bookmarkStart w:id="4071" w:name="_Toc2767"/>
      <w:r>
        <w:t>دیوان رضا خراسانی‏</w:t>
      </w:r>
      <w:bookmarkEnd w:id="4071"/>
    </w:p>
    <w:p>
      <w:pPr>
        <w:pStyle w:val="BookText"/>
      </w:pPr>
      <w:r>
        <w:rPr>
          <w:rFonts w:ascii="IRNazanin" w:hAnsi="IRNazanin" w:eastAsia="IRNazanin" w:cs="IRNazanin"/>
          <w:lang w:bidi="fa-IR"/>
          <w:color w:val="111111"/>
          <w:sz w:val="28"/>
          <w:szCs w:val="28"/>
          <w:rtl/>
        </w:rPr>
        <w:t xml:space="preserve">مر بعنوان تسلیم خراسانی و هو غیر رضا الخراسانی الکاشانی‏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61" w:name="pg11704_121841"/>
    <w:bookmarkEnd w:id="361"/>
    <w:p>
      <w:pPr>
        <w:pStyle w:val="BookText"/>
      </w:pPr>
      <w:r>
        <w:rPr>
          <w:rFonts w:ascii="IRNazanin" w:hAnsi="IRNazanin" w:eastAsia="IRNazanin" w:cs="IRNazanin"/>
          <w:lang w:bidi="fa-IR"/>
          <w:color w:val="111111"/>
          <w:sz w:val="28"/>
          <w:szCs w:val="28"/>
          <w:rtl/>
        </w:rPr>
        <w:t xml:space="preserve">محرر المحکمة المذکور شعره فی (تش- ص 374).</w:t>
      </w:r>
    </w:p>
    <w:p>
      <w:pPr>
        <w:pStyle w:val="Heading3"/>
      </w:pPr>
      <w:bookmarkStart w:id="4072" w:name="_Toc2768"/>
      <w:r>
        <w:t>2152- دیوان الشیخ محمد رضا الخزاعی‏</w:t>
      </w:r>
      <w:bookmarkEnd w:id="4072"/>
    </w:p>
    <w:p>
      <w:pPr>
        <w:pStyle w:val="BookText"/>
      </w:pPr>
      <w:r>
        <w:rPr>
          <w:rFonts w:ascii="IRNazanin" w:hAnsi="IRNazanin" w:eastAsia="IRNazanin" w:cs="IRNazanin"/>
          <w:lang w:bidi="fa-IR"/>
          <w:color w:val="111111"/>
          <w:sz w:val="28"/>
          <w:szCs w:val="28"/>
          <w:rtl/>
        </w:rPr>
        <w:t xml:space="preserve">و هو ابن إدریس الخزاعی المعاصر. دون الشیخ حسن الحلی بعض مراثیه، منها ما ذیل به قصیدة السید باقر الهندی فی رثاء مسلم بن عقیل.</w:t>
      </w:r>
    </w:p>
    <w:p>
      <w:pPr>
        <w:pStyle w:val="Heading3"/>
      </w:pPr>
      <w:bookmarkStart w:id="4073" w:name="_Toc2769"/>
      <w:r>
        <w:t>2153- دیوان السید رضا الخطیب‏</w:t>
      </w:r>
      <w:bookmarkEnd w:id="4073"/>
    </w:p>
    <w:p>
      <w:pPr>
        <w:pStyle w:val="BookText"/>
      </w:pPr>
      <w:r>
        <w:rPr>
          <w:rFonts w:ascii="IRNazanin" w:hAnsi="IRNazanin" w:eastAsia="IRNazanin" w:cs="IRNazanin"/>
          <w:lang w:bidi="fa-IR"/>
          <w:color w:val="111111"/>
          <w:sz w:val="28"/>
          <w:szCs w:val="28"/>
          <w:rtl/>
        </w:rPr>
        <w:t xml:space="preserve">مؤلف الخبر و العیان المذکور فی (ج 7- ص 139) و هو خطیب بطوریج. دون دیوانه بخطه.</w:t>
      </w:r>
    </w:p>
    <w:p>
      <w:pPr>
        <w:pStyle w:val="Heading3"/>
      </w:pPr>
      <w:bookmarkStart w:id="4074" w:name="_Toc2770"/>
      <w:r>
        <w:t>2154- دیوان أستاذ محمد رضا خوانساری أو شعره‏</w:t>
      </w:r>
      <w:bookmarkEnd w:id="4074"/>
    </w:p>
    <w:p>
      <w:pPr>
        <w:pStyle w:val="BookText"/>
      </w:pPr>
      <w:r>
        <w:rPr>
          <w:rFonts w:ascii="IRNazanin" w:hAnsi="IRNazanin" w:eastAsia="IRNazanin" w:cs="IRNazanin"/>
          <w:lang w:bidi="fa-IR"/>
          <w:color w:val="111111"/>
          <w:sz w:val="28"/>
          <w:szCs w:val="28"/>
          <w:rtl/>
        </w:rPr>
        <w:t xml:space="preserve">و هو الشاعر المعمر حدود الثمانین سنة ترجمه و أورد غزلیاته و رباعیاته فی (نر 9- ص 381) و (گلشن- ص 174).</w:t>
      </w:r>
    </w:p>
    <w:p>
      <w:pPr>
        <w:pStyle w:val="BookText"/>
      </w:pPr>
      <w:r>
        <w:rPr>
          <w:rFonts w:ascii="IRNazanin" w:hAnsi="IRNazanin" w:eastAsia="IRNazanin" w:cs="IRNazanin"/>
          <w:lang w:bidi="fa-IR"/>
          <w:color w:val="111111"/>
          <w:sz w:val="28"/>
          <w:szCs w:val="28"/>
          <w:rtl/>
        </w:rPr>
        <w:t xml:space="preserve">و (تغ- ص 57).</w:t>
      </w:r>
    </w:p>
    <w:p>
      <w:pPr>
        <w:pStyle w:val="Heading3"/>
      </w:pPr>
      <w:bookmarkStart w:id="4075" w:name="_Toc2771"/>
      <w:r>
        <w:t>2155- دیوان الشیخ محمد رضا الدزفولی الکاظمی‏</w:t>
      </w:r>
      <w:bookmarkEnd w:id="4075"/>
    </w:p>
    <w:p>
      <w:pPr>
        <w:pStyle w:val="BookText"/>
      </w:pPr>
      <w:r>
        <w:rPr>
          <w:rFonts w:ascii="IRNazanin" w:hAnsi="IRNazanin" w:eastAsia="IRNazanin" w:cs="IRNazanin"/>
          <w:lang w:bidi="fa-IR"/>
          <w:color w:val="111111"/>
          <w:sz w:val="28"/>
          <w:szCs w:val="28"/>
          <w:rtl/>
        </w:rPr>
        <w:t xml:space="preserve">و هو ابن الشیخ إسماعیل بن الحسن بن الشیخ أسد الله الدزفولی الکاظمی. ولد (1301) و مات فی (رمضان- 1369) و کان تلمیذ السید عدنان البحرانی. جمع دیوانه حسین علی محفوظ.</w:t>
      </w:r>
    </w:p>
    <w:p>
      <w:pPr>
        <w:pStyle w:val="Heading3"/>
      </w:pPr>
      <w:bookmarkStart w:id="4076" w:name="_Toc2772"/>
      <w:r>
        <w:t>2156- دیوان رضا دهلوی أو شعره‏</w:t>
      </w:r>
      <w:bookmarkEnd w:id="4076"/>
    </w:p>
    <w:p>
      <w:pPr>
        <w:pStyle w:val="BookText"/>
      </w:pPr>
      <w:r>
        <w:rPr>
          <w:rFonts w:ascii="IRNazanin" w:hAnsi="IRNazanin" w:eastAsia="IRNazanin" w:cs="IRNazanin"/>
          <w:lang w:bidi="fa-IR"/>
          <w:color w:val="111111"/>
          <w:sz w:val="28"/>
          <w:szCs w:val="28"/>
          <w:rtl/>
        </w:rPr>
        <w:t xml:space="preserve">و هو محمد محسن من أولاد الشیخ محمد شجاع المعاصر لمحمد شاه الهندی. کان حافظا للقرآن، سکن فرخ‏آباد. أورد شعره فی (گلشن- ص 175).</w:t>
      </w:r>
    </w:p>
    <w:p>
      <w:pPr>
        <w:pStyle w:val="Heading3"/>
      </w:pPr>
      <w:bookmarkStart w:id="4077" w:name="_Toc2773"/>
      <w:r>
        <w:t>2157- دیوان رضا رازی نوربخشی‏</w:t>
      </w:r>
      <w:bookmarkEnd w:id="4077"/>
    </w:p>
    <w:p>
      <w:pPr>
        <w:pStyle w:val="BookText"/>
      </w:pPr>
      <w:r>
        <w:rPr>
          <w:rFonts w:ascii="IRNazanin" w:hAnsi="IRNazanin" w:eastAsia="IRNazanin" w:cs="IRNazanin"/>
          <w:lang w:bidi="fa-IR"/>
          <w:color w:val="111111"/>
          <w:sz w:val="28"/>
          <w:szCs w:val="28"/>
          <w:rtl/>
        </w:rPr>
        <w:t xml:space="preserve">و اسمه الشاه رضا بن الشاه بهاء الدولة من أولاد الشاه قاسم النوربخش. أورد منتخبا من شعره و ترجمه کذلک فی (تش- ص 212) و کذا فی (خوش‏گو) و لکن فی (گلشن- ص 177) سماه رضائی، و زاد أنه کان ماهرا فی الشطرنج.</w:t>
      </w:r>
    </w:p>
    <w:p>
      <w:pPr>
        <w:pStyle w:val="Heading3"/>
      </w:pPr>
      <w:bookmarkStart w:id="4078" w:name="_Toc2774"/>
      <w:r>
        <w:t>دیوان رضا رضوی‏</w:t>
      </w:r>
      <w:bookmarkEnd w:id="4078"/>
    </w:p>
    <w:p>
      <w:pPr>
        <w:pStyle w:val="BookText"/>
      </w:pPr>
      <w:r>
        <w:rPr>
          <w:rFonts w:ascii="IRNazanin" w:hAnsi="IRNazanin" w:eastAsia="IRNazanin" w:cs="IRNazanin"/>
          <w:lang w:bidi="fa-IR"/>
          <w:color w:val="111111"/>
          <w:sz w:val="28"/>
          <w:szCs w:val="28"/>
          <w:rtl/>
        </w:rPr>
        <w:t xml:space="preserve">و هو محمد رضا بن عبد الحی یأتی یتخلصه قاضی رضوی کما فی (نر 5- ص 116- 117).</w:t>
      </w:r>
    </w:p>
    <w:p>
      <w:pPr>
        <w:pStyle w:val="Heading3"/>
      </w:pPr>
      <w:bookmarkStart w:id="4079" w:name="_Toc2775"/>
      <w:r>
        <w:t>دیوان رضا سارو خواجه‏</w:t>
      </w:r>
      <w:bookmarkEnd w:id="4079"/>
    </w:p>
    <w:p>
      <w:pPr>
        <w:pStyle w:val="BookText"/>
      </w:pPr>
      <w:r>
        <w:rPr>
          <w:rFonts w:ascii="IRNazanin" w:hAnsi="IRNazanin" w:eastAsia="IRNazanin" w:cs="IRNazanin"/>
          <w:lang w:bidi="fa-IR"/>
          <w:color w:val="111111"/>
          <w:sz w:val="28"/>
          <w:szCs w:val="28"/>
          <w:rtl/>
        </w:rPr>
        <w:t xml:space="preserve">مر بعنوان رضا جوینی.</w:t>
      </w:r>
    </w:p>
    <w:p>
      <w:pPr>
        <w:pStyle w:val="Heading3"/>
      </w:pPr>
      <w:bookmarkStart w:id="4080" w:name="_Toc2776"/>
      <w:r>
        <w:t>2158- دیوان رضا سبزواری أو شعره‏</w:t>
      </w:r>
      <w:bookmarkEnd w:id="4080"/>
    </w:p>
    <w:p>
      <w:pPr>
        <w:pStyle w:val="BookText"/>
      </w:pPr>
      <w:r>
        <w:rPr>
          <w:rFonts w:ascii="IRNazanin" w:hAnsi="IRNazanin" w:eastAsia="IRNazanin" w:cs="IRNazanin"/>
          <w:lang w:bidi="fa-IR"/>
          <w:color w:val="111111"/>
          <w:sz w:val="28"/>
          <w:szCs w:val="28"/>
          <w:rtl/>
        </w:rPr>
        <w:t xml:space="preserve">و اسمه شرف الدین السبزواری أورد شعره فی (روشن- ص 246).</w:t>
      </w:r>
    </w:p>
    <w:p>
      <w:pPr>
        <w:pStyle w:val="Heading3"/>
      </w:pPr>
      <w:bookmarkStart w:id="4081" w:name="_Toc2777"/>
      <w:r>
        <w:t>2159- دیوان رضا سمنانی أو شعره‏</w:t>
      </w:r>
      <w:bookmarkEnd w:id="4081"/>
    </w:p>
    <w:p>
      <w:pPr>
        <w:pStyle w:val="BookText"/>
      </w:pPr>
      <w:r>
        <w:rPr>
          <w:rFonts w:ascii="IRNazanin" w:hAnsi="IRNazanin" w:eastAsia="IRNazanin" w:cs="IRNazanin"/>
          <w:lang w:bidi="fa-IR"/>
          <w:color w:val="111111"/>
          <w:sz w:val="28"/>
          <w:szCs w:val="28"/>
          <w:rtl/>
        </w:rPr>
        <w:t xml:space="preserve">کان من سادات هرات، و لاشتغاله بقضاء سمنان‏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62" w:name="pg11704_121842"/>
    <w:bookmarkEnd w:id="362"/>
    <w:p>
      <w:pPr>
        <w:pStyle w:val="BookText"/>
      </w:pPr>
      <w:r>
        <w:rPr>
          <w:rFonts w:ascii="IRNazanin" w:hAnsi="IRNazanin" w:eastAsia="IRNazanin" w:cs="IRNazanin"/>
          <w:lang w:bidi="fa-IR"/>
          <w:color w:val="111111"/>
          <w:sz w:val="28"/>
          <w:szCs w:val="28"/>
          <w:rtl/>
        </w:rPr>
        <w:t xml:space="preserve">عرف به. أورد شعره فی (روشن- ص 246).</w:t>
      </w:r>
    </w:p>
    <w:p>
      <w:pPr>
        <w:pStyle w:val="Heading3"/>
      </w:pPr>
      <w:bookmarkStart w:id="4082" w:name="_Toc2778"/>
      <w:r>
        <w:t>2160- دیوان رضا شوشتری‏</w:t>
      </w:r>
      <w:bookmarkEnd w:id="4082"/>
    </w:p>
    <w:p>
      <w:pPr>
        <w:pStyle w:val="BookText"/>
      </w:pPr>
      <w:r>
        <w:rPr>
          <w:rFonts w:ascii="IRNazanin" w:hAnsi="IRNazanin" w:eastAsia="IRNazanin" w:cs="IRNazanin"/>
          <w:lang w:bidi="fa-IR"/>
          <w:color w:val="111111"/>
          <w:sz w:val="28"/>
          <w:szCs w:val="28"/>
          <w:rtl/>
        </w:rPr>
        <w:t xml:space="preserve">و هو والد الحاج ملا علی الطبیب المعاصر. یوجد نسخته بخطه عند ولده” رضا شوشتری”، و منها:</w:t>
      </w:r>
    </w:p>
    <w:p>
      <w:pPr>
        <w:pStyle w:val="BookText"/>
      </w:pPr>
      <w:r>
        <w:rPr>
          <w:rFonts w:ascii="IRNazanin" w:hAnsi="IRNazanin" w:eastAsia="IRNazanin" w:cs="IRNazanin"/>
          <w:lang w:bidi="fa-IR"/>
          <w:color w:val="111111"/>
          <w:sz w:val="28"/>
          <w:szCs w:val="28"/>
          <w:rtl/>
        </w:rPr>
        <w:t xml:space="preserve">سرانجام جهان را از کتابی‏</w:t>
      </w:r>
    </w:p>
    <w:p>
      <w:pPr>
        <w:pStyle w:val="BookText"/>
      </w:pPr>
      <w:r>
        <w:rPr>
          <w:rFonts w:ascii="IRNazanin" w:hAnsi="IRNazanin" w:eastAsia="IRNazanin" w:cs="IRNazanin"/>
          <w:lang w:bidi="fa-IR"/>
          <w:color w:val="111111"/>
          <w:sz w:val="28"/>
          <w:szCs w:val="28"/>
          <w:rtl/>
        </w:rPr>
        <w:t xml:space="preserve">تفائل کردم آمد خوش جوابی‏</w:t>
      </w:r>
    </w:p>
    <w:p>
      <w:pPr>
        <w:pStyle w:val="BookText"/>
      </w:pPr>
      <w:r>
        <w:rPr>
          <w:rFonts w:ascii="IRNazanin" w:hAnsi="IRNazanin" w:eastAsia="IRNazanin" w:cs="IRNazanin"/>
          <w:lang w:bidi="fa-IR"/>
          <w:color w:val="111111"/>
          <w:sz w:val="28"/>
          <w:szCs w:val="28"/>
          <w:rtl/>
        </w:rPr>
        <w:t xml:space="preserve">له الملک ینادی کل یوم‏</w:t>
      </w:r>
    </w:p>
    <w:p>
      <w:pPr>
        <w:pStyle w:val="BookText"/>
      </w:pPr>
      <w:r>
        <w:rPr>
          <w:rFonts w:ascii="IRNazanin" w:hAnsi="IRNazanin" w:eastAsia="IRNazanin" w:cs="IRNazanin"/>
          <w:lang w:bidi="fa-IR"/>
          <w:color w:val="111111"/>
          <w:sz w:val="28"/>
          <w:szCs w:val="28"/>
          <w:rtl/>
        </w:rPr>
        <w:t xml:space="preserve">لدوا للموت و ابنوا للخراب‏</w:t>
      </w:r>
    </w:p>
    <w:p>
      <w:pPr>
        <w:pStyle w:val="Heading3"/>
      </w:pPr>
      <w:bookmarkStart w:id="4083" w:name="_Toc2779"/>
      <w:r>
        <w:t>2161- دیوان رضا شیرازی أو شعره‏</w:t>
      </w:r>
      <w:bookmarkEnd w:id="4083"/>
    </w:p>
    <w:p>
      <w:pPr>
        <w:pStyle w:val="BookText"/>
      </w:pPr>
      <w:r>
        <w:rPr>
          <w:rFonts w:ascii="IRNazanin" w:hAnsi="IRNazanin" w:eastAsia="IRNazanin" w:cs="IRNazanin"/>
          <w:lang w:bidi="fa-IR"/>
          <w:color w:val="111111"/>
          <w:sz w:val="28"/>
          <w:szCs w:val="28"/>
          <w:rtl/>
        </w:rPr>
        <w:t xml:space="preserve">اسمه الحکیم شاه رضا الشیرازی من الفضلاء الحکماء، سافر إلی الهند فی عصر السلطان أکبر پادشاه و توفی بها ترجمه الهدایة فی (ض- ص 332) و أورد له رباعیتین و سماه فی (روشن- ص 245) رضا فارسی الحکیم و فی (روشن- ص 246) رجل آخر باسم رضا شیرازی‏</w:t>
      </w:r>
    </w:p>
    <w:p>
      <w:pPr>
        <w:pStyle w:val="Heading3"/>
      </w:pPr>
      <w:bookmarkStart w:id="4084" w:name="_Toc2780"/>
      <w:r>
        <w:t>2162- دیوان رضا عظیم‏آبادی‏</w:t>
      </w:r>
      <w:bookmarkEnd w:id="4084"/>
    </w:p>
    <w:p>
      <w:pPr>
        <w:pStyle w:val="BookText"/>
      </w:pPr>
      <w:r>
        <w:rPr>
          <w:rFonts w:ascii="IRNazanin" w:hAnsi="IRNazanin" w:eastAsia="IRNazanin" w:cs="IRNazanin"/>
          <w:lang w:bidi="fa-IR"/>
          <w:color w:val="111111"/>
          <w:sz w:val="28"/>
          <w:szCs w:val="28"/>
          <w:rtl/>
        </w:rPr>
        <w:t xml:space="preserve">و هو محمد رضا المعروف میر محمدی ولد بعظیم‏آباد و سکن مرشدآباد، و جاء لکهنو لزیارة السید دلدار علی فی (1216) و رجع فی السنة إلی مرشدآباد و مات بها فی تلک السنة عن عمر یناهز الخمس و الخمسین سنة، و کان یصحح شعره عند ضیاء الدین المتخلص ضیاء الشاه‏جهان‏آبادی‏</w:t>
      </w:r>
    </w:p>
    <w:p>
      <w:pPr>
        <w:pStyle w:val="Heading3"/>
      </w:pPr>
      <w:bookmarkStart w:id="4085" w:name="_Toc2781"/>
      <w:r>
        <w:t>2163- دیوان رضا علی شاه دکنی‏</w:t>
      </w:r>
      <w:bookmarkEnd w:id="4085"/>
    </w:p>
    <w:p>
      <w:pPr>
        <w:pStyle w:val="BookText"/>
      </w:pPr>
      <w:r>
        <w:rPr>
          <w:rFonts w:ascii="IRNazanin" w:hAnsi="IRNazanin" w:eastAsia="IRNazanin" w:cs="IRNazanin"/>
          <w:lang w:bidi="fa-IR"/>
          <w:color w:val="111111"/>
          <w:sz w:val="28"/>
          <w:szCs w:val="28"/>
          <w:rtl/>
        </w:rPr>
        <w:t xml:space="preserve">من العرفاء السادات المتأخرین عمر لما یقارب المائة و الأربعین سنة حتی أدرکه بعض المعاصرین کذا وصفه هدایت فی (ض- ص 451) و ذکر أنه کان من السلسلة النعمةاللهیة بواسطة شمس الدین الدکنی، و إنه بعث معصوم علی شاه الدکنی إلی إیران لترویج هذه السلسلة الصوفیة</w:t>
      </w:r>
    </w:p>
    <w:p>
      <w:pPr>
        <w:pStyle w:val="Heading3"/>
      </w:pPr>
      <w:bookmarkStart w:id="4086" w:name="_Toc2782"/>
      <w:r>
        <w:t>2164- دیوان رضا علی شاه هروی‏</w:t>
      </w:r>
      <w:bookmarkEnd w:id="4086"/>
    </w:p>
    <w:p>
      <w:pPr>
        <w:pStyle w:val="BookText"/>
      </w:pPr>
      <w:r>
        <w:rPr>
          <w:rFonts w:ascii="IRNazanin" w:hAnsi="IRNazanin" w:eastAsia="IRNazanin" w:cs="IRNazanin"/>
          <w:lang w:bidi="fa-IR"/>
          <w:color w:val="111111"/>
          <w:sz w:val="28"/>
          <w:szCs w:val="28"/>
          <w:rtl/>
        </w:rPr>
        <w:t xml:space="preserve">و هو ممن رباه معصوم علی شاه الدکنی حین وصل إلی هرات فی طریقه إلی إیران، و کان اسمه رضا علی فلقبه رضا علی شاه ترجمه فی (ض- ص 452) و أورد بیتین من دیوانه و قد طبع دیوان رضا علی شاه کما فی الفهارس ثم أعید طبعه بطهران (1374) فی (42 ص) فیها حدود المائة غزل و تخلصه فیه نور طبعه مکتبة میر کمالی فی ذیل دیوان نور علی شاه و رحمت علی شاه‏</w:t>
      </w:r>
    </w:p>
    <w:p>
      <w:pPr>
        <w:pStyle w:val="Heading3"/>
      </w:pPr>
      <w:bookmarkStart w:id="4087" w:name="_Toc2783"/>
      <w:r>
        <w:t>2165- دیوان رضا قزوینی أو شعره‏</w:t>
      </w:r>
      <w:bookmarkEnd w:id="4087"/>
    </w:p>
    <w:p>
      <w:pPr>
        <w:pStyle w:val="BookText"/>
      </w:pPr>
      <w:r>
        <w:rPr>
          <w:rFonts w:ascii="IRNazanin" w:hAnsi="IRNazanin" w:eastAsia="IRNazanin" w:cs="IRNazanin"/>
          <w:lang w:bidi="fa-IR"/>
          <w:color w:val="111111"/>
          <w:sz w:val="28"/>
          <w:szCs w:val="28"/>
          <w:rtl/>
        </w:rPr>
        <w:t xml:space="preserve">من مقربی بلاط الشاه عباس الأول الصفوی أورد شعره فی (گلشن- ص 176)</w:t>
      </w:r>
    </w:p>
    <w:p>
      <w:pPr>
        <w:pStyle w:val="Heading3"/>
      </w:pPr>
      <w:bookmarkStart w:id="4088" w:name="_Toc2784"/>
      <w:r>
        <w:t>2166- دیوان رضا قلی همدانی أو شعره‏</w:t>
      </w:r>
      <w:bookmarkEnd w:id="4088"/>
    </w:p>
    <w:p>
      <w:pPr>
        <w:pStyle w:val="BookText"/>
      </w:pPr>
      <w:r>
        <w:rPr>
          <w:rFonts w:ascii="IRNazanin" w:hAnsi="IRNazanin" w:eastAsia="IRNazanin" w:cs="IRNazanin"/>
          <w:lang w:bidi="fa-IR"/>
          <w:color w:val="111111"/>
          <w:sz w:val="28"/>
          <w:szCs w:val="28"/>
          <w:rtl/>
        </w:rPr>
        <w:t xml:space="preserve">و اسمه المیرزا رضا قلی قراگوزلو مدح‏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63" w:name="pg11704_121843"/>
    <w:bookmarkEnd w:id="363"/>
    <w:p>
      <w:pPr>
        <w:pStyle w:val="BookText"/>
      </w:pPr>
      <w:r>
        <w:rPr>
          <w:rFonts w:ascii="IRNazanin" w:hAnsi="IRNazanin" w:eastAsia="IRNazanin" w:cs="IRNazanin"/>
          <w:lang w:bidi="fa-IR"/>
          <w:color w:val="111111"/>
          <w:sz w:val="28"/>
          <w:szCs w:val="28"/>
          <w:rtl/>
        </w:rPr>
        <w:t xml:space="preserve">منوچهر خان معتمد الدولة بأصفهان، فأورد شعره بهار الأصفهانی فی المدائح و هو غیر رضا قلی المازندرانی المتخلص نغمه المذکور فی المدائح أیضا</w:t>
      </w:r>
    </w:p>
    <w:p>
      <w:pPr>
        <w:pStyle w:val="Heading3"/>
      </w:pPr>
      <w:bookmarkStart w:id="4089" w:name="_Toc2785"/>
      <w:r>
        <w:t>دیوان رضا قلی خان‏</w:t>
      </w:r>
      <w:bookmarkEnd w:id="4089"/>
    </w:p>
    <w:p>
      <w:pPr>
        <w:pStyle w:val="BookText"/>
      </w:pPr>
      <w:r>
        <w:rPr>
          <w:rFonts w:ascii="IRNazanin" w:hAnsi="IRNazanin" w:eastAsia="IRNazanin" w:cs="IRNazanin"/>
          <w:lang w:bidi="fa-IR"/>
          <w:color w:val="111111"/>
          <w:sz w:val="28"/>
          <w:szCs w:val="28"/>
          <w:rtl/>
        </w:rPr>
        <w:t xml:space="preserve">یأتی بتخلصه هدایت و مر چاکر</w:t>
      </w:r>
    </w:p>
    <w:p>
      <w:pPr>
        <w:pStyle w:val="Heading3"/>
      </w:pPr>
      <w:bookmarkStart w:id="4090" w:name="_Toc2786"/>
      <w:r>
        <w:t>2167- دیوان محمد رضا قمشهی‏</w:t>
      </w:r>
      <w:bookmarkEnd w:id="4090"/>
    </w:p>
    <w:p>
      <w:pPr>
        <w:pStyle w:val="BookText"/>
      </w:pPr>
      <w:r>
        <w:rPr>
          <w:rFonts w:ascii="IRNazanin" w:hAnsi="IRNazanin" w:eastAsia="IRNazanin" w:cs="IRNazanin"/>
          <w:lang w:bidi="fa-IR"/>
          <w:color w:val="111111"/>
          <w:sz w:val="28"/>
          <w:szCs w:val="28"/>
          <w:rtl/>
        </w:rPr>
        <w:t xml:space="preserve">ترجمه و أورد شعره فی (نر 5- ص 129) و قال هو المیرزا محمد رضا بن المیرزا حیدر من نجباء قومشة، و کان وکیل میرزا حسن بن خلیفة سلطان و کان خطاطا و ماهرا فی فن المعمی و الشعر و مات قبل سنتین من تألیف النصرآبادی (1083) و أورد شعره و رباعیاته و أورد شعره أیضا فی (حسینی- ص 134) و قال فی (گلشن- ص 176) إن شعره مقبول عند الهنود و الفرس‏</w:t>
      </w:r>
    </w:p>
    <w:p>
      <w:pPr>
        <w:pStyle w:val="Heading3"/>
      </w:pPr>
      <w:bookmarkStart w:id="4091" w:name="_Toc2787"/>
      <w:r>
        <w:t>2168- دیوان میرزا محمد رضا قمی‏</w:t>
      </w:r>
      <w:bookmarkEnd w:id="4091"/>
    </w:p>
    <w:p>
      <w:pPr>
        <w:pStyle w:val="BookText"/>
      </w:pPr>
      <w:r>
        <w:rPr>
          <w:rFonts w:ascii="IRNazanin" w:hAnsi="IRNazanin" w:eastAsia="IRNazanin" w:cs="IRNazanin"/>
          <w:lang w:bidi="fa-IR"/>
          <w:color w:val="111111"/>
          <w:sz w:val="28"/>
          <w:szCs w:val="28"/>
          <w:rtl/>
        </w:rPr>
        <w:t xml:space="preserve">قال فی (نر 5- ص 112) إنه الولد الأرشد لآقا رضی وزیر قم، ثم أطری شعره و فضله، و قال نصب وزیرا لقم بعد استعفاء والده، و حسن سلوکه، و لکن سعایة الحساد سببت اعتزاله، فسکن أصفهان إلی الیوم (1083) و أورد شعره فی (روشن- ص 247) و ذکر فی (تغ- ص 58) (أقول) یوجد فی (الرضویة) مثنوی ریاض حسینی لحاج رضا القمی و لعله لهذا الرجل‏</w:t>
      </w:r>
    </w:p>
    <w:p>
      <w:pPr>
        <w:pStyle w:val="Heading3"/>
      </w:pPr>
      <w:bookmarkStart w:id="4092" w:name="_Toc2788"/>
      <w:r>
        <w:t>دیوان ملا رضا کاشانی‏</w:t>
      </w:r>
      <w:bookmarkEnd w:id="4092"/>
    </w:p>
    <w:p>
      <w:pPr>
        <w:pStyle w:val="BookText"/>
      </w:pPr>
      <w:r>
        <w:rPr>
          <w:rFonts w:ascii="IRNazanin" w:hAnsi="IRNazanin" w:eastAsia="IRNazanin" w:cs="IRNazanin"/>
          <w:lang w:bidi="fa-IR"/>
          <w:color w:val="111111"/>
          <w:sz w:val="28"/>
          <w:szCs w:val="28"/>
          <w:rtl/>
        </w:rPr>
        <w:t xml:space="preserve">راجع رضا خراسانی و راجع رضائی کاشانی‏</w:t>
      </w:r>
    </w:p>
    <w:p>
      <w:pPr>
        <w:pStyle w:val="Heading3"/>
      </w:pPr>
      <w:bookmarkStart w:id="4093" w:name="_Toc2789"/>
      <w:r>
        <w:t>2169- دیوان رضا کشمیری أو شعره‏</w:t>
      </w:r>
      <w:bookmarkEnd w:id="4093"/>
    </w:p>
    <w:p>
      <w:pPr>
        <w:pStyle w:val="BookText"/>
      </w:pPr>
      <w:r>
        <w:rPr>
          <w:rFonts w:ascii="IRNazanin" w:hAnsi="IRNazanin" w:eastAsia="IRNazanin" w:cs="IRNazanin"/>
          <w:lang w:bidi="fa-IR"/>
          <w:color w:val="111111"/>
          <w:sz w:val="28"/>
          <w:szCs w:val="28"/>
          <w:rtl/>
        </w:rPr>
        <w:t xml:space="preserve">و اسمه محمد رضا أورد شعره فی (حسینی- ص 135) ثم فی (روشن- ص 246) و لعله الذی سماه فی (سرخوش- ص 43) محمد رضی کشمیری‏</w:t>
      </w:r>
    </w:p>
    <w:p>
      <w:pPr>
        <w:pStyle w:val="Heading3"/>
      </w:pPr>
      <w:bookmarkStart w:id="4094" w:name="_Toc2790"/>
      <w:r>
        <w:t>2170- دیوان رضا لاهیجی أو شعره‏</w:t>
      </w:r>
      <w:bookmarkEnd w:id="4094"/>
    </w:p>
    <w:p>
      <w:pPr>
        <w:pStyle w:val="BookText"/>
      </w:pPr>
      <w:r>
        <w:rPr>
          <w:rFonts w:ascii="IRNazanin" w:hAnsi="IRNazanin" w:eastAsia="IRNazanin" w:cs="IRNazanin"/>
          <w:lang w:bidi="fa-IR"/>
          <w:color w:val="111111"/>
          <w:sz w:val="28"/>
          <w:szCs w:val="28"/>
          <w:rtl/>
        </w:rPr>
        <w:t xml:space="preserve">أورد شعره فی (گلشن- ص 175) و تاریخ علما و شعرای گیلان ص 87 و لعله المذکور فی (روشن- ص 247) بعنوان رضا گیلانی و قال فی (تغ- ص 57) إنه من العلماء و مات فی أیام استیلاء الأفاغنة علی أصفهان‏</w:t>
      </w:r>
    </w:p>
    <w:p>
      <w:pPr>
        <w:pStyle w:val="Heading3"/>
      </w:pPr>
      <w:bookmarkStart w:id="4095" w:name="_Toc2791"/>
      <w:r>
        <w:t>2171- دیوان رضا مشهدی أو شعره‏</w:t>
      </w:r>
      <w:bookmarkEnd w:id="4095"/>
    </w:p>
    <w:p>
      <w:pPr>
        <w:pStyle w:val="BookText"/>
      </w:pPr>
      <w:r>
        <w:rPr>
          <w:rFonts w:ascii="IRNazanin" w:hAnsi="IRNazanin" w:eastAsia="IRNazanin" w:cs="IRNazanin"/>
          <w:lang w:bidi="fa-IR"/>
          <w:color w:val="111111"/>
          <w:sz w:val="28"/>
          <w:szCs w:val="28"/>
          <w:rtl/>
        </w:rPr>
        <w:t xml:space="preserve">قال فی (گلشن- ص 176) إنه کان سیاحا سافر إلی الهند ثم أورد شعره (أقول) و لعله الذی ذکره فی طبقات أکبری (ج 2- ص 514) و قال کان عالما بالنجوم، أو لعله الآتی بعنوان رضائی مشهدی المذکور فی (خص 8- 250)</w:t>
      </w:r>
    </w:p>
    <w:p>
      <w:pPr>
        <w:pStyle w:val="Heading3"/>
      </w:pPr>
      <w:bookmarkStart w:id="4096" w:name="_Toc2792"/>
      <w:r>
        <w:t>2172- دیوان الشیخ محمد رضا النحوی‏</w:t>
      </w:r>
      <w:bookmarkEnd w:id="4096"/>
    </w:p>
    <w:p>
      <w:pPr>
        <w:pStyle w:val="BookText"/>
      </w:pPr>
      <w:r>
        <w:rPr>
          <w:rFonts w:ascii="IRNazanin" w:hAnsi="IRNazanin" w:eastAsia="IRNazanin" w:cs="IRNazanin"/>
          <w:lang w:bidi="fa-IR"/>
          <w:color w:val="111111"/>
          <w:sz w:val="28"/>
          <w:szCs w:val="28"/>
          <w:rtl/>
        </w:rPr>
        <w:t xml:space="preserve">ابن الشیخ أحمد بن الحسن النحوی الذی مر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64" w:name="pg11704_121844"/>
    <w:bookmarkEnd w:id="364"/>
    <w:p>
      <w:pPr>
        <w:pStyle w:val="BookText"/>
      </w:pPr>
      <w:r>
        <w:rPr>
          <w:rFonts w:ascii="IRNazanin" w:hAnsi="IRNazanin" w:eastAsia="IRNazanin" w:cs="IRNazanin"/>
          <w:lang w:bidi="fa-IR"/>
          <w:color w:val="111111"/>
          <w:sz w:val="28"/>
          <w:szCs w:val="28"/>
          <w:rtl/>
        </w:rPr>
        <w:t xml:space="preserve">دیوانه فی (ص 55) و دیوان الشیخ محمد رضا أیضا موجود فی مکتبة (السماوی) کدیوان أبیه و فیه تخمیسة لمقصورة ابن درید، و تحویلها إلی مدیح بحر العلوم، و تخمیسة لقصیدة البردة الذی فرغ منه فی (14- رجب- 1200) و قرض هذا التخمیس سبعة من شعراء عصره منهم أخوه الشیخ هادی بن الشیخ أحمد النحوی، و أول تقریظه:</w:t>
      </w:r>
    </w:p>
    <w:p>
      <w:pPr>
        <w:pStyle w:val="BookText"/>
      </w:pPr>
      <w:r>
        <w:rPr>
          <w:rFonts w:ascii="IRNazanin" w:hAnsi="IRNazanin" w:eastAsia="IRNazanin" w:cs="IRNazanin"/>
          <w:lang w:bidi="fa-IR"/>
          <w:color w:val="111111"/>
          <w:sz w:val="28"/>
          <w:szCs w:val="28"/>
          <w:rtl/>
        </w:rPr>
        <w:t xml:space="preserve">ذی زبدة الشعر بل ذی نخبة الأدب‏</w:t>
      </w:r>
    </w:p>
    <w:p>
      <w:pPr>
        <w:pStyle w:val="BookText"/>
      </w:pPr>
      <w:r>
        <w:rPr>
          <w:rFonts w:ascii="IRNazanin" w:hAnsi="IRNazanin" w:eastAsia="IRNazanin" w:cs="IRNazanin"/>
          <w:lang w:bidi="fa-IR"/>
          <w:color w:val="111111"/>
          <w:sz w:val="28"/>
          <w:szCs w:val="28"/>
          <w:rtl/>
        </w:rPr>
        <w:t xml:space="preserve">حاشا تعالی من زور و من کذب‏</w:t>
      </w:r>
    </w:p>
    <w:p>
      <w:pPr>
        <w:pStyle w:val="BookText"/>
      </w:pPr>
      <w:r>
        <w:rPr>
          <w:rFonts w:ascii="IRNazanin" w:hAnsi="IRNazanin" w:eastAsia="IRNazanin" w:cs="IRNazanin"/>
          <w:lang w:bidi="fa-IR"/>
          <w:color w:val="111111"/>
          <w:sz w:val="28"/>
          <w:szCs w:val="28"/>
          <w:rtl/>
        </w:rPr>
        <w:t xml:space="preserve">و قد طبع فی النجف فی (1374) مع مقدمه الشیخ علی الخاقانی و قد توفی بالحلة فی 26 رجب (1226) و حمل إلی النجف‏</w:t>
      </w:r>
    </w:p>
    <w:p>
      <w:pPr>
        <w:pStyle w:val="Heading3"/>
      </w:pPr>
      <w:bookmarkStart w:id="4097" w:name="_Toc2793"/>
      <w:r>
        <w:t>2173- دیوان رضا نور نعمةاللهی‏</w:t>
      </w:r>
      <w:bookmarkEnd w:id="4097"/>
    </w:p>
    <w:p>
      <w:pPr>
        <w:pStyle w:val="BookText"/>
      </w:pPr>
      <w:r>
        <w:rPr>
          <w:rFonts w:ascii="IRNazanin" w:hAnsi="IRNazanin" w:eastAsia="IRNazanin" w:cs="IRNazanin"/>
          <w:lang w:bidi="fa-IR"/>
          <w:color w:val="111111"/>
          <w:sz w:val="28"/>
          <w:szCs w:val="28"/>
          <w:rtl/>
        </w:rPr>
        <w:t xml:space="preserve">المعاصر، قال مرتضی المدرسی الچهاردهی: إن دیوانه فی عشرة آلاف بیت‏</w:t>
      </w:r>
    </w:p>
    <w:p>
      <w:pPr>
        <w:pStyle w:val="Heading3"/>
      </w:pPr>
      <w:bookmarkStart w:id="4098" w:name="_Toc2794"/>
      <w:r>
        <w:t>دیوان رضا الهروی‏</w:t>
      </w:r>
      <w:bookmarkEnd w:id="4098"/>
    </w:p>
    <w:p>
      <w:pPr>
        <w:pStyle w:val="BookText"/>
      </w:pPr>
      <w:r>
        <w:rPr>
          <w:rFonts w:ascii="IRNazanin" w:hAnsi="IRNazanin" w:eastAsia="IRNazanin" w:cs="IRNazanin"/>
          <w:lang w:bidi="fa-IR"/>
          <w:color w:val="111111"/>
          <w:sz w:val="28"/>
          <w:szCs w:val="28"/>
          <w:rtl/>
        </w:rPr>
        <w:t xml:space="preserve">مر بعنوان دیوان رضا علی شاه الهروی، و رضا سمنانی‏</w:t>
      </w:r>
    </w:p>
    <w:p>
      <w:pPr>
        <w:pStyle w:val="Heading3"/>
      </w:pPr>
      <w:bookmarkStart w:id="4099" w:name="_Toc2795"/>
      <w:r>
        <w:t>2174- دیوان المیرزا محمد رضا الهمدانی‏</w:t>
      </w:r>
      <w:bookmarkEnd w:id="4099"/>
    </w:p>
    <w:p>
      <w:pPr>
        <w:pStyle w:val="BookText"/>
      </w:pPr>
      <w:r>
        <w:rPr>
          <w:rFonts w:ascii="IRNazanin" w:hAnsi="IRNazanin" w:eastAsia="IRNazanin" w:cs="IRNazanin"/>
          <w:lang w:bidi="fa-IR"/>
          <w:color w:val="111111"/>
          <w:sz w:val="28"/>
          <w:szCs w:val="28"/>
          <w:rtl/>
        </w:rPr>
        <w:t xml:space="preserve">الواعظ الشهیر نزیل طهران و المتوفی بها فی (1318) مؤلف تثنیة الثلاثة المذکور فی (ج 3 ص 346) ذکر مع سائر تصانیفه فی مقدمه طبع کتابه الأنوار القدسیة و فیه القصائد العربیة و الفارسیة المطبوع بعضها فی آخر الأنوار القدسیة</w:t>
      </w:r>
    </w:p>
    <w:p>
      <w:pPr>
        <w:pStyle w:val="Heading3"/>
      </w:pPr>
      <w:bookmarkStart w:id="4100" w:name="_Toc2796"/>
      <w:r>
        <w:t>2175- دیوان محمد رضا بیک همدانی أو شعره‏</w:t>
      </w:r>
      <w:bookmarkEnd w:id="4100"/>
    </w:p>
    <w:p>
      <w:pPr>
        <w:pStyle w:val="BookText"/>
      </w:pPr>
      <w:r>
        <w:rPr>
          <w:rFonts w:ascii="IRNazanin" w:hAnsi="IRNazanin" w:eastAsia="IRNazanin" w:cs="IRNazanin"/>
          <w:lang w:bidi="fa-IR"/>
          <w:color w:val="111111"/>
          <w:sz w:val="28"/>
          <w:szCs w:val="28"/>
          <w:rtl/>
        </w:rPr>
        <w:t xml:space="preserve">ذکر النصرآبادی فی (نر 4- ص 87) أن آباءه و أجداده کانوا کلانتر همدان و ذهب هو إلی بغداد منشیا لحاکمها بکتاش خان، ثم انتقل إلی أصفهان منشیا للوزیر الشهیر بساروتقی، و بعد قتله صار وزیر خلیفة سلطان و توفی فی زمن وزارة المیرزا مهدی و أورد رباعیة له و أورد شعره فی (روشن- ص 247) و ذکر فی (تغ- ص 57) أیضا</w:t>
      </w:r>
    </w:p>
    <w:p>
      <w:pPr>
        <w:pStyle w:val="Heading3"/>
      </w:pPr>
      <w:bookmarkStart w:id="4101" w:name="_Toc2797"/>
      <w:r>
        <w:t>2176- دیوان السید رضا الهندی‏</w:t>
      </w:r>
      <w:bookmarkEnd w:id="4101"/>
    </w:p>
    <w:p>
      <w:pPr>
        <w:pStyle w:val="BookText"/>
      </w:pPr>
      <w:r>
        <w:rPr>
          <w:rFonts w:ascii="IRNazanin" w:hAnsi="IRNazanin" w:eastAsia="IRNazanin" w:cs="IRNazanin"/>
          <w:lang w:bidi="fa-IR"/>
          <w:color w:val="111111"/>
          <w:sz w:val="28"/>
          <w:szCs w:val="28"/>
          <w:rtl/>
        </w:rPr>
        <w:t xml:space="preserve">و هو ابن السید محمد، و أخ السید باقر الهندی و صاحب بلغة الراحل رتبه بنفسه بخطه و رأیت عدة من قصائد رثائه فیما دونه الشیخ حسن بن علی الحلی فی (1330) کانت ولادته (1290) و وفاته (12- ج 1- 1362) و طبع له الکوثریة بالنجف مکررا</w:t>
      </w:r>
    </w:p>
    <w:p>
      <w:pPr>
        <w:pStyle w:val="Heading3"/>
      </w:pPr>
      <w:bookmarkStart w:id="4102" w:name="_Toc2798"/>
      <w:r>
        <w:t>2177- دیوان رضا هندی أو شعره‏</w:t>
      </w:r>
      <w:bookmarkEnd w:id="4102"/>
    </w:p>
    <w:p>
      <w:pPr>
        <w:pStyle w:val="BookText"/>
      </w:pPr>
      <w:r>
        <w:rPr>
          <w:rFonts w:ascii="IRNazanin" w:hAnsi="IRNazanin" w:eastAsia="IRNazanin" w:cs="IRNazanin"/>
          <w:lang w:bidi="fa-IR"/>
          <w:color w:val="111111"/>
          <w:sz w:val="28"/>
          <w:szCs w:val="28"/>
          <w:rtl/>
        </w:rPr>
        <w:t xml:space="preserve">و هو الشیخ محمد رضا البهکهری الهندی تلمیذ عبد الجلیل البلگرامی مات (1143) أورد شعره فی (گلشن- ص 175)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65" w:name="pg11704_121845"/>
    <w:bookmarkEnd w:id="365"/>
    <w:p>
      <w:pPr>
        <w:pStyle w:val="Heading3"/>
      </w:pPr>
      <w:bookmarkStart w:id="4103" w:name="_Toc2799"/>
      <w:r>
        <w:t>2178- دیوان رضائی أصفهانی أو شعره‏</w:t>
      </w:r>
      <w:bookmarkEnd w:id="4103"/>
    </w:p>
    <w:p>
      <w:pPr>
        <w:pStyle w:val="BookText"/>
      </w:pPr>
      <w:r>
        <w:rPr>
          <w:rFonts w:ascii="IRNazanin" w:hAnsi="IRNazanin" w:eastAsia="IRNazanin" w:cs="IRNazanin"/>
          <w:lang w:bidi="fa-IR"/>
          <w:color w:val="111111"/>
          <w:sz w:val="28"/>
          <w:szCs w:val="28"/>
          <w:rtl/>
        </w:rPr>
        <w:t xml:space="preserve">أورد شعره المتخلص فیه رضائی فی (روشن- ص 247) و ذکر أیضا فی (تغ- ص 58)</w:t>
      </w:r>
    </w:p>
    <w:p>
      <w:pPr>
        <w:pStyle w:val="Heading3"/>
      </w:pPr>
      <w:bookmarkStart w:id="4104" w:name="_Toc2800"/>
      <w:r>
        <w:t>2179- دیوان رضائی بخاری أو شعره‏</w:t>
      </w:r>
      <w:bookmarkEnd w:id="4104"/>
    </w:p>
    <w:p>
      <w:pPr>
        <w:pStyle w:val="BookText"/>
      </w:pPr>
      <w:r>
        <w:rPr>
          <w:rFonts w:ascii="IRNazanin" w:hAnsi="IRNazanin" w:eastAsia="IRNazanin" w:cs="IRNazanin"/>
          <w:lang w:bidi="fa-IR"/>
          <w:color w:val="111111"/>
          <w:sz w:val="28"/>
          <w:szCs w:val="28"/>
          <w:rtl/>
        </w:rPr>
        <w:t xml:space="preserve">و هو السید جلال الدین الرضوی البخاری ابن السید محمد البخاری کان مقربا عند شاه‏جهان و کان یتخلص أولا جلال ثم بدله رضائی ترجمه کذلک و أورد شعره فی (روشن- ص 149)</w:t>
      </w:r>
    </w:p>
    <w:p>
      <w:pPr>
        <w:pStyle w:val="Heading3"/>
      </w:pPr>
      <w:bookmarkStart w:id="4105" w:name="_Toc2801"/>
      <w:r>
        <w:t>2180- دیوان رضائی تبریزی‏</w:t>
      </w:r>
      <w:bookmarkEnd w:id="4105"/>
    </w:p>
    <w:p>
      <w:pPr>
        <w:pStyle w:val="BookText"/>
      </w:pPr>
      <w:r>
        <w:rPr>
          <w:rFonts w:ascii="IRNazanin" w:hAnsi="IRNazanin" w:eastAsia="IRNazanin" w:cs="IRNazanin"/>
          <w:lang w:bidi="fa-IR"/>
          <w:color w:val="111111"/>
          <w:sz w:val="28"/>
          <w:szCs w:val="28"/>
          <w:rtl/>
        </w:rPr>
        <w:t xml:space="preserve">للمیرزا علی رضا تبیان الملک التبریزی المعاصر المولود (1278) تخلصه فی شعره رضائی و لقبه الوقائعی لأن والده میرزا داود کان لقبه وقایع‏نگار قال فیما کتبه إلینا إن فیه آلاف بیت من القصائد العربیة و الفارسیة و الغزلیات و القطعات و الرباعیات و التهانی و المدائح و المراثی و التواریخ و القضایا المهمة و الألغاز و المعمیات و الأهاجی و الفکاهیات‏</w:t>
      </w:r>
    </w:p>
    <w:p>
      <w:pPr>
        <w:pStyle w:val="Heading3"/>
      </w:pPr>
      <w:bookmarkStart w:id="4106" w:name="_Toc2802"/>
      <w:r>
        <w:t>2181- دیوان رضائی تتوی‏</w:t>
      </w:r>
      <w:bookmarkEnd w:id="4106"/>
    </w:p>
    <w:p>
      <w:pPr>
        <w:pStyle w:val="BookText"/>
      </w:pPr>
      <w:r>
        <w:rPr>
          <w:rFonts w:ascii="IRNazanin" w:hAnsi="IRNazanin" w:eastAsia="IRNazanin" w:cs="IRNazanin"/>
          <w:lang w:bidi="fa-IR"/>
          <w:color w:val="111111"/>
          <w:sz w:val="28"/>
          <w:szCs w:val="28"/>
          <w:rtl/>
        </w:rPr>
        <w:t xml:space="preserve">له داستان زیبانگار قصة غرامیة محزنة نظمها فی (1071) فی (5500 بیت) و أورد مضمونها نثرا فی مجلة سخن الطهرانیة (العدد 1- السنة 6) المؤرخة (إسفند 1333 ش) بقلم الدکتور سدارنگانی الهندی‏</w:t>
      </w:r>
    </w:p>
    <w:p>
      <w:pPr>
        <w:pStyle w:val="Heading3"/>
      </w:pPr>
      <w:bookmarkStart w:id="4107" w:name="_Toc2803"/>
      <w:r>
        <w:t>2182- دیوان رضائی دارابجردی أو شعره‏</w:t>
      </w:r>
      <w:bookmarkEnd w:id="4107"/>
    </w:p>
    <w:p>
      <w:pPr>
        <w:pStyle w:val="BookText"/>
      </w:pPr>
      <w:r>
        <w:rPr>
          <w:rFonts w:ascii="IRNazanin" w:hAnsi="IRNazanin" w:eastAsia="IRNazanin" w:cs="IRNazanin"/>
          <w:lang w:bidi="fa-IR"/>
          <w:color w:val="111111"/>
          <w:sz w:val="28"/>
          <w:szCs w:val="28"/>
          <w:rtl/>
        </w:rPr>
        <w:t xml:space="preserve">ترجمه سام میرزا فی (تس 5- ص 137) و قال إنه لم یخرج من تلک البلدة أشعر منه، و أورد مطلع غزله‏</w:t>
      </w:r>
    </w:p>
    <w:p>
      <w:pPr>
        <w:pStyle w:val="Heading3"/>
      </w:pPr>
      <w:bookmarkStart w:id="4108" w:name="_Toc2804"/>
      <w:r>
        <w:t>دیوان رضائی رازی‏</w:t>
      </w:r>
      <w:bookmarkEnd w:id="4108"/>
    </w:p>
    <w:p>
      <w:pPr>
        <w:pStyle w:val="BookText"/>
      </w:pPr>
      <w:r>
        <w:rPr>
          <w:rFonts w:ascii="IRNazanin" w:hAnsi="IRNazanin" w:eastAsia="IRNazanin" w:cs="IRNazanin"/>
          <w:lang w:bidi="fa-IR"/>
          <w:color w:val="111111"/>
          <w:sz w:val="28"/>
          <w:szCs w:val="28"/>
          <w:rtl/>
        </w:rPr>
        <w:t xml:space="preserve">کما فی (گلشن- ص 177) و الصحیح رضا رازی کما مر</w:t>
      </w:r>
    </w:p>
    <w:p>
      <w:pPr>
        <w:pStyle w:val="Heading3"/>
      </w:pPr>
      <w:bookmarkStart w:id="4109" w:name="_Toc2805"/>
      <w:r>
        <w:t>2183- دیوان رضائی رشتی أو شعره‏</w:t>
      </w:r>
      <w:bookmarkEnd w:id="4109"/>
    </w:p>
    <w:p>
      <w:pPr>
        <w:pStyle w:val="BookText"/>
      </w:pPr>
      <w:r>
        <w:rPr>
          <w:rFonts w:ascii="IRNazanin" w:hAnsi="IRNazanin" w:eastAsia="IRNazanin" w:cs="IRNazanin"/>
          <w:lang w:bidi="fa-IR"/>
          <w:color w:val="111111"/>
          <w:sz w:val="28"/>
          <w:szCs w:val="28"/>
          <w:rtl/>
        </w:rPr>
        <w:t xml:space="preserve">ترجمه معاصر النصرآبادی فی (نر 9- ص 378) و ذکر أنه کثیر الشعر و الهجاء و ذکر رباعیته فی الهجو و غیره‏</w:t>
      </w:r>
    </w:p>
    <w:p>
      <w:pPr>
        <w:pStyle w:val="Heading3"/>
      </w:pPr>
      <w:bookmarkStart w:id="4110" w:name="_Toc2806"/>
      <w:r>
        <w:t>دیوان رضائی رضوی‏</w:t>
      </w:r>
      <w:bookmarkEnd w:id="4110"/>
    </w:p>
    <w:p>
      <w:pPr>
        <w:pStyle w:val="BookText"/>
      </w:pPr>
      <w:r>
        <w:rPr>
          <w:rFonts w:ascii="IRNazanin" w:hAnsi="IRNazanin" w:eastAsia="IRNazanin" w:cs="IRNazanin"/>
          <w:lang w:bidi="fa-IR"/>
          <w:color w:val="111111"/>
          <w:sz w:val="28"/>
          <w:szCs w:val="28"/>
          <w:rtl/>
        </w:rPr>
        <w:t xml:space="preserve">راجع رضائی بخاری‏</w:t>
      </w:r>
    </w:p>
    <w:p>
      <w:pPr>
        <w:pStyle w:val="Heading3"/>
      </w:pPr>
      <w:bookmarkStart w:id="4111" w:name="_Toc2807"/>
      <w:r>
        <w:t>دیوان رضائی کاشی أو شعره‏</w:t>
      </w:r>
      <w:bookmarkEnd w:id="4111"/>
    </w:p>
    <w:p>
      <w:pPr>
        <w:pStyle w:val="BookText"/>
      </w:pPr>
      <w:r>
        <w:rPr>
          <w:rFonts w:ascii="IRNazanin" w:hAnsi="IRNazanin" w:eastAsia="IRNazanin" w:cs="IRNazanin"/>
          <w:lang w:bidi="fa-IR"/>
          <w:color w:val="111111"/>
          <w:sz w:val="28"/>
          <w:szCs w:val="28"/>
          <w:rtl/>
        </w:rPr>
        <w:t xml:space="preserve">أورد شعره فی (تش- ص 243) و لعله الآتی بعد هذا</w:t>
      </w:r>
    </w:p>
    <w:p>
      <w:pPr>
        <w:pStyle w:val="Heading3"/>
      </w:pPr>
      <w:bookmarkStart w:id="4112" w:name="_Toc2808"/>
      <w:r>
        <w:t>2184- دیوان رضائی کاشی‏</w:t>
      </w:r>
      <w:bookmarkEnd w:id="4112"/>
    </w:p>
    <w:p>
      <w:pPr>
        <w:pStyle w:val="BookText"/>
      </w:pPr>
      <w:r>
        <w:rPr>
          <w:rFonts w:ascii="IRNazanin" w:hAnsi="IRNazanin" w:eastAsia="IRNazanin" w:cs="IRNazanin"/>
          <w:lang w:bidi="fa-IR"/>
          <w:color w:val="111111"/>
          <w:sz w:val="28"/>
          <w:szCs w:val="28"/>
          <w:rtl/>
        </w:rPr>
        <w:t xml:space="preserve">ترجمه صادقی کتاب دار فی (خص 8- ص 310) و ذکر أنه عند الشعراء مقبول القول، و أورد مطالع غزلیاته قال فی (خوش‏گو) إن الظرفاء کانوا یسمونه قاری سامره لأنه کان یؤدی الکلمات عن مخارجها و هاجر أخیرا إلی خراسان و قتل بها بأیدی التوران أورد شعره (پژمان- ص 149) و سماه فی (حسینی ص 133) رضا کاشی، و زاد فی (گلشن- ص 177) أنه قتل فی وقعة عبد الله أزبک‏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66" w:name="pg11704_121846"/>
    <w:bookmarkEnd w:id="366"/>
    <w:p>
      <w:pPr>
        <w:pStyle w:val="BookText"/>
      </w:pPr>
      <w:r>
        <w:rPr>
          <w:rFonts w:ascii="IRNazanin" w:hAnsi="IRNazanin" w:eastAsia="IRNazanin" w:cs="IRNazanin"/>
          <w:lang w:bidi="fa-IR"/>
          <w:color w:val="111111"/>
          <w:sz w:val="28"/>
          <w:szCs w:val="28"/>
          <w:rtl/>
        </w:rPr>
        <w:t xml:space="preserve">بخراسان فی (980) و عنه أخذ القاموس و الریحانة و لعله متحد مع ما قبله‏</w:t>
      </w:r>
    </w:p>
    <w:p>
      <w:pPr>
        <w:pStyle w:val="Heading3"/>
      </w:pPr>
      <w:bookmarkStart w:id="4113" w:name="_Toc2809"/>
      <w:r>
        <w:t>2185- دیوان رضائی گنگ أو شعره‏</w:t>
      </w:r>
      <w:bookmarkEnd w:id="4113"/>
    </w:p>
    <w:p>
      <w:pPr>
        <w:pStyle w:val="BookText"/>
      </w:pPr>
      <w:r>
        <w:rPr>
          <w:rFonts w:ascii="IRNazanin" w:hAnsi="IRNazanin" w:eastAsia="IRNazanin" w:cs="IRNazanin"/>
          <w:lang w:bidi="fa-IR"/>
          <w:color w:val="111111"/>
          <w:sz w:val="28"/>
          <w:szCs w:val="28"/>
          <w:rtl/>
        </w:rPr>
        <w:t xml:space="preserve">ترجمه سام میرزا فی (تس 5- ص 171) و قال إنه سافر إلی بلاد الروم و انقطع خبره، و کان من أهل العراق سریع الکتابة یکتب فی کل یوم ألف بیت، و کان مسلما عند الشعراء فی معرفة الشعر، و أورد مطلع غزله‏</w:t>
      </w:r>
    </w:p>
    <w:p>
      <w:pPr>
        <w:pStyle w:val="Heading3"/>
      </w:pPr>
      <w:bookmarkStart w:id="4114" w:name="_Toc2810"/>
      <w:r>
        <w:t>2186- دیوان رضائی مازندرانی‏</w:t>
      </w:r>
      <w:bookmarkEnd w:id="4114"/>
    </w:p>
    <w:p>
      <w:pPr>
        <w:pStyle w:val="BookText"/>
      </w:pPr>
      <w:r>
        <w:rPr>
          <w:rFonts w:ascii="IRNazanin" w:hAnsi="IRNazanin" w:eastAsia="IRNazanin" w:cs="IRNazanin"/>
          <w:lang w:bidi="fa-IR"/>
          <w:color w:val="111111"/>
          <w:sz w:val="28"/>
          <w:szCs w:val="28"/>
          <w:rtl/>
        </w:rPr>
        <w:t xml:space="preserve">و اسمه محمد رضا النوری ابن المیرزا محمد حسین وزیر خراسان مدح معتمد الدولة بأصفهان فذکره البهار الأصفهانی فی المدائح و قال کان آباؤه حکام مازندران من لدن عصر الصفویة</w:t>
      </w:r>
    </w:p>
    <w:p>
      <w:pPr>
        <w:pStyle w:val="Heading3"/>
      </w:pPr>
      <w:bookmarkStart w:id="4115" w:name="_Toc2811"/>
      <w:r>
        <w:t>2187- دیوان رضائی مشهدی أو شعره‏</w:t>
      </w:r>
      <w:bookmarkEnd w:id="4115"/>
    </w:p>
    <w:p>
      <w:pPr>
        <w:pStyle w:val="BookText"/>
      </w:pPr>
      <w:r>
        <w:rPr>
          <w:rFonts w:ascii="IRNazanin" w:hAnsi="IRNazanin" w:eastAsia="IRNazanin" w:cs="IRNazanin"/>
          <w:lang w:bidi="fa-IR"/>
          <w:color w:val="111111"/>
          <w:sz w:val="28"/>
          <w:szCs w:val="28"/>
          <w:rtl/>
        </w:rPr>
        <w:t xml:space="preserve">و هو من أفراد الموظفین فی الکفشداریة للحضرة الرضویة کما ذکره صادقی فی (خص 8- ص 250) و ذکر أنه فی الحال مسافر إلی هرات، و أورد مطلع غزله و لعله رضا مشهدی المذکور فی (ص 367)</w:t>
      </w:r>
    </w:p>
    <w:p>
      <w:pPr>
        <w:pStyle w:val="Heading3"/>
      </w:pPr>
      <w:bookmarkStart w:id="4116" w:name="_Toc2812"/>
      <w:r>
        <w:t>2188- دیوان رضوان‏</w:t>
      </w:r>
      <w:bookmarkEnd w:id="4116"/>
    </w:p>
    <w:p>
      <w:pPr>
        <w:pStyle w:val="BookText"/>
      </w:pPr>
      <w:r>
        <w:rPr>
          <w:rFonts w:ascii="IRNazanin" w:hAnsi="IRNazanin" w:eastAsia="IRNazanin" w:cs="IRNazanin"/>
          <w:lang w:bidi="fa-IR"/>
          <w:color w:val="111111"/>
          <w:sz w:val="28"/>
          <w:szCs w:val="28"/>
          <w:rtl/>
        </w:rPr>
        <w:t xml:space="preserve">و اسمه المیرزا رضا خان القاضی توجد نسخه مخطوطة من دیوانه فی (الرضویة) کما فی فهرسها المخطوط</w:t>
      </w:r>
    </w:p>
    <w:p>
      <w:pPr>
        <w:pStyle w:val="Heading3"/>
      </w:pPr>
      <w:bookmarkStart w:id="4117" w:name="_Toc2813"/>
      <w:r>
        <w:t>2189- دیوان رضوان شیرازی‏</w:t>
      </w:r>
      <w:bookmarkEnd w:id="4117"/>
    </w:p>
    <w:p>
      <w:pPr>
        <w:pStyle w:val="BookText"/>
      </w:pPr>
      <w:r>
        <w:rPr>
          <w:rFonts w:ascii="IRNazanin" w:hAnsi="IRNazanin" w:eastAsia="IRNazanin" w:cs="IRNazanin"/>
          <w:lang w:bidi="fa-IR"/>
          <w:color w:val="111111"/>
          <w:sz w:val="28"/>
          <w:szCs w:val="28"/>
          <w:rtl/>
        </w:rPr>
        <w:t xml:space="preserve">سافر من وطنه إلی الهند و سکن فی اورنگ‏آباد و بها مات فی أوائل عهد عالمگیر و له دیوان کبیر کذا ذکره فی (خوش‏گو)</w:t>
      </w:r>
    </w:p>
    <w:p>
      <w:pPr>
        <w:pStyle w:val="Heading3"/>
      </w:pPr>
      <w:bookmarkStart w:id="4118" w:name="_Toc2814"/>
      <w:r>
        <w:t>2190- دیوان رضوان قاجار</w:t>
      </w:r>
      <w:bookmarkEnd w:id="4118"/>
    </w:p>
    <w:p>
      <w:pPr>
        <w:pStyle w:val="BookText"/>
      </w:pPr>
      <w:r>
        <w:rPr>
          <w:rFonts w:ascii="IRNazanin" w:hAnsi="IRNazanin" w:eastAsia="IRNazanin" w:cs="IRNazanin"/>
          <w:lang w:bidi="fa-IR"/>
          <w:color w:val="111111"/>
          <w:sz w:val="28"/>
          <w:szCs w:val="28"/>
          <w:rtl/>
        </w:rPr>
        <w:t xml:space="preserve">للشاه‏زاده سام میرزا قاجار الملقب شمس الشعراء- و ذلک بعد وفاة سروش الأصفهانی شمس الشعراء- و کان حیا فی سنة تألیف المآثر (1306) کما ترجمه فیه فی (ص 190) و تخلصه رضوان، و کان ینظم المدائح و القصائد الطوال و یلقیها فی مجالس السلام الشاهیة أورد شعره (پژمان- ص 150)</w:t>
      </w:r>
    </w:p>
    <w:p>
      <w:pPr>
        <w:pStyle w:val="Heading3"/>
      </w:pPr>
      <w:bookmarkStart w:id="4119" w:name="_Toc2815"/>
      <w:r>
        <w:t>2191- دیوان رضوان کرندی‏</w:t>
      </w:r>
      <w:bookmarkEnd w:id="4119"/>
    </w:p>
    <w:p>
      <w:pPr>
        <w:pStyle w:val="BookText"/>
      </w:pPr>
      <w:r>
        <w:rPr>
          <w:rFonts w:ascii="IRNazanin" w:hAnsi="IRNazanin" w:eastAsia="IRNazanin" w:cs="IRNazanin"/>
          <w:lang w:bidi="fa-IR"/>
          <w:color w:val="111111"/>
          <w:sz w:val="28"/>
          <w:szCs w:val="28"/>
          <w:rtl/>
        </w:rPr>
        <w:t xml:space="preserve">کان من الصوفیة بکرمانشاه رأیت دیوانه عند المرحوم صادی وحدت أدیب حضور المتوفی بطهران (1373)</w:t>
      </w:r>
    </w:p>
    <w:p>
      <w:pPr>
        <w:pStyle w:val="Heading3"/>
      </w:pPr>
      <w:bookmarkStart w:id="4120" w:name="_Toc2816"/>
      <w:r>
        <w:t>2192- دیوان رضوان لاهوری‏</w:t>
      </w:r>
      <w:bookmarkEnd w:id="4120"/>
    </w:p>
    <w:p>
      <w:pPr>
        <w:pStyle w:val="BookText"/>
      </w:pPr>
      <w:r>
        <w:rPr>
          <w:rFonts w:ascii="IRNazanin" w:hAnsi="IRNazanin" w:eastAsia="IRNazanin" w:cs="IRNazanin"/>
          <w:lang w:bidi="fa-IR"/>
          <w:color w:val="111111"/>
          <w:sz w:val="28"/>
          <w:szCs w:val="28"/>
          <w:rtl/>
        </w:rPr>
        <w:t xml:space="preserve">ترجمه (سرخوش- ص 44) و قال إن شعره سخیف، و قد جاء من وطنه إیران و سکن لاهور و سماه فی (حسینی- ص 134) محمد حسین رضوان و أطری شعره، و کذا فی (گلشن- ص 177)</w:t>
      </w:r>
    </w:p>
    <w:p>
      <w:pPr>
        <w:pStyle w:val="Heading3"/>
      </w:pPr>
      <w:bookmarkStart w:id="4121" w:name="_Toc2817"/>
      <w:r>
        <w:t>2193- دیوان رضوانی فسوی‏</w:t>
      </w:r>
      <w:bookmarkEnd w:id="4121"/>
    </w:p>
    <w:p>
      <w:pPr>
        <w:pStyle w:val="BookText"/>
      </w:pPr>
      <w:r>
        <w:rPr>
          <w:rFonts w:ascii="IRNazanin" w:hAnsi="IRNazanin" w:eastAsia="IRNazanin" w:cs="IRNazanin"/>
          <w:lang w:bidi="fa-IR"/>
          <w:color w:val="111111"/>
          <w:sz w:val="28"/>
          <w:szCs w:val="28"/>
          <w:rtl/>
        </w:rPr>
        <w:t xml:space="preserve">و هو السید محمد فصیح الزمان ابن السید أبی القاسم ولد بفسا فی (1240 ش) و سافر إلی أصفهان فی (1256 ش) ثم سافر إلی قم بعد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67" w:name="pg11704_121847"/>
    <w:bookmarkEnd w:id="367"/>
    <w:p>
      <w:pPr>
        <w:pStyle w:val="BookText"/>
      </w:pPr>
      <w:r>
        <w:rPr>
          <w:rFonts w:ascii="IRNazanin" w:hAnsi="IRNazanin" w:eastAsia="IRNazanin" w:cs="IRNazanin"/>
          <w:lang w:bidi="fa-IR"/>
          <w:color w:val="111111"/>
          <w:sz w:val="28"/>
          <w:szCs w:val="28"/>
          <w:rtl/>
        </w:rPr>
        <w:t xml:space="preserve">سنتین لتحصیل العلوم، و بعد عشر سنین هاجر إلی طهران و تقرب عند ناصر الدین شاه فلقبه فصیح الزمان، ثم تقرب عند مظفر الدین شاه و لقبه سلطان الواعظین، و مات (1324 ش) و دیوانه فی خمسة آلاف بیت طبع منتخب منه فی شیراز کذا ذکره (البرقعی- ج 2- ص 135)</w:t>
      </w:r>
    </w:p>
    <w:p>
      <w:pPr>
        <w:pStyle w:val="Heading3"/>
      </w:pPr>
      <w:bookmarkStart w:id="4122" w:name="_Toc2818"/>
      <w:r>
        <w:t>2194- دیوان رضوانی یزدی‏</w:t>
      </w:r>
      <w:bookmarkEnd w:id="4122"/>
    </w:p>
    <w:p>
      <w:pPr>
        <w:pStyle w:val="BookText"/>
      </w:pPr>
      <w:r>
        <w:rPr>
          <w:rFonts w:ascii="IRNazanin" w:hAnsi="IRNazanin" w:eastAsia="IRNazanin" w:cs="IRNazanin"/>
          <w:lang w:bidi="fa-IR"/>
          <w:color w:val="111111"/>
          <w:sz w:val="28"/>
          <w:szCs w:val="28"/>
          <w:rtl/>
        </w:rPr>
        <w:t xml:space="preserve">و اسمه السید رضا المعروف أمیر رضوانی هاجر من یزد إلی طهران و أسس جریدة گلشن من (1296 ش) و مات (25 إسفند 1314 ش) و قال ساعی مدیر نسیم شمال فی تاریخه:</w:t>
      </w:r>
    </w:p>
    <w:p>
      <w:pPr>
        <w:pStyle w:val="BookText"/>
      </w:pPr>
      <w:r>
        <w:rPr>
          <w:rFonts w:ascii="IRNazanin" w:hAnsi="IRNazanin" w:eastAsia="IRNazanin" w:cs="IRNazanin"/>
          <w:lang w:bidi="fa-IR"/>
          <w:color w:val="111111"/>
          <w:sz w:val="28"/>
          <w:szCs w:val="28"/>
          <w:rtl/>
        </w:rPr>
        <w:t xml:space="preserve">بکاه چار عدد از أمیر رضوانی‏</w:t>
      </w:r>
    </w:p>
    <w:p>
      <w:pPr>
        <w:pStyle w:val="BookText"/>
      </w:pPr>
      <w:r>
        <w:rPr>
          <w:rFonts w:ascii="IRNazanin" w:hAnsi="IRNazanin" w:eastAsia="IRNazanin" w:cs="IRNazanin"/>
          <w:lang w:bidi="fa-IR"/>
          <w:color w:val="111111"/>
          <w:sz w:val="28"/>
          <w:szCs w:val="28"/>
          <w:rtl/>
        </w:rPr>
        <w:t xml:space="preserve">که تا شود به تو سال وفات أو پیدا</w:t>
      </w:r>
    </w:p>
    <w:p>
      <w:pPr>
        <w:pStyle w:val="BookText"/>
      </w:pPr>
      <w:r>
        <w:rPr>
          <w:rFonts w:ascii="IRNazanin" w:hAnsi="IRNazanin" w:eastAsia="IRNazanin" w:cs="IRNazanin"/>
          <w:lang w:bidi="fa-IR"/>
          <w:color w:val="111111"/>
          <w:sz w:val="28"/>
          <w:szCs w:val="28"/>
          <w:rtl/>
        </w:rPr>
        <w:t xml:space="preserve">و ترجمه فی (تش یز- ص 291) و تاریخ جرائد لصدر هاشمی (ج 4- ص 163)</w:t>
      </w:r>
    </w:p>
    <w:p>
      <w:pPr>
        <w:pStyle w:val="Heading3"/>
      </w:pPr>
      <w:bookmarkStart w:id="4123" w:name="_Toc2819"/>
      <w:r>
        <w:t>2195- دیوان رضی آرتیمانی‏</w:t>
      </w:r>
      <w:bookmarkEnd w:id="4123"/>
    </w:p>
    <w:p>
      <w:pPr>
        <w:pStyle w:val="BookText"/>
      </w:pPr>
      <w:r>
        <w:rPr>
          <w:rFonts w:ascii="IRNazanin" w:hAnsi="IRNazanin" w:eastAsia="IRNazanin" w:cs="IRNazanin"/>
          <w:lang w:bidi="fa-IR"/>
          <w:color w:val="111111"/>
          <w:sz w:val="28"/>
          <w:szCs w:val="28"/>
          <w:rtl/>
        </w:rPr>
        <w:t xml:space="preserve">ترجمه النصرآبادی فی (نر 9 ص 273) بعنوان میرزا رضی و ذکر أن آرتیمان من محال تویسرکان من توابع همدان، و ذکر جملة من غزله و رباعیاته، و لم یصرح بالنقل عن دیوانه و کذا ترجم ولده المیرزا إبراهیم المتخلص أدهم فی (نر 9- ص 359) من غیر تعرض للسیادة، و لکن فی (تش- ص 255) و فی (ض- ص 129) ذکرا أن اسمه المیرزا محمد رضی و إنه من السادات العظماء و الأفاضل من العرفاء و دیوانه بالغ إلی ألف بیت و ذکرا بعضه و الظاهر أنه اشتبه بینه و بین الرضی الأصفهانی و ترجمه أیضا فی (خوش‏گو) و قال فی (گلشن ص 179) کان کاتب الشاه عباس و کذا فی (تغ- ص 58) و توجد نسخه من دیوانه عند (الملک) کتب فی القرن الثالث عشر تحت رقم (4586) و قال فی (روشن- ص 216) فی ترجمه دل أصفهانی أنه ابن رضی أرتیمانی ابن إبراهیم أدهم، و هو غلط و لعل الصحیح أن دل ابن إبراهیم أدهم بن رضی أرتیمانی هذا</w:t>
      </w:r>
    </w:p>
    <w:p>
      <w:pPr>
        <w:pStyle w:val="Heading3"/>
      </w:pPr>
      <w:bookmarkStart w:id="4124" w:name="_Toc2820"/>
      <w:r>
        <w:t>2196- دیوان رضی أصفهانی أو شعره‏</w:t>
      </w:r>
      <w:bookmarkEnd w:id="4124"/>
    </w:p>
    <w:p>
      <w:pPr>
        <w:pStyle w:val="BookText"/>
      </w:pPr>
      <w:r>
        <w:rPr>
          <w:rFonts w:ascii="IRNazanin" w:hAnsi="IRNazanin" w:eastAsia="IRNazanin" w:cs="IRNazanin"/>
          <w:lang w:bidi="fa-IR"/>
          <w:color w:val="111111"/>
          <w:sz w:val="28"/>
          <w:szCs w:val="28"/>
          <w:rtl/>
        </w:rPr>
        <w:t xml:space="preserve">و هو من سادات أصفهان سافر إلی الهند و رجع و مات فی (1024 آه از رضی) کذا ترجمه فی (حسینی- ص 133) و (تش- ص 176) و (سرو آزاد- ص 31) و (گلشن- ص 178) و سماه فی (تغ- ص 58) قاضی محسن و أطری حدة ذهنه و هو غیر رضی الأرتیمانی الهمدانی المذکور، و قد اشتبه بینهما هدایت فعد فی (ض- ص 129) رضی الأرتیمانی من السادات کما فعل بیگدلی فی (تش- ص 255) و لیس کذلک‏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68" w:name="pg11704_121848"/>
    <w:bookmarkEnd w:id="368"/>
    <w:p>
      <w:pPr>
        <w:pStyle w:val="Heading3"/>
      </w:pPr>
      <w:bookmarkStart w:id="4125" w:name="_Toc2821"/>
      <w:r>
        <w:t>2197- دیوان الرضی البغدادی‏</w:t>
      </w:r>
      <w:bookmarkEnd w:id="4125"/>
    </w:p>
    <w:p>
      <w:pPr>
        <w:pStyle w:val="BookText"/>
      </w:pPr>
      <w:r>
        <w:rPr>
          <w:rFonts w:ascii="IRNazanin" w:hAnsi="IRNazanin" w:eastAsia="IRNazanin" w:cs="IRNazanin"/>
          <w:lang w:bidi="fa-IR"/>
          <w:color w:val="111111"/>
          <w:sz w:val="28"/>
          <w:szCs w:val="28"/>
          <w:rtl/>
        </w:rPr>
        <w:t xml:space="preserve">للسید الشریف أبی الحسن محمد بن الحسین بن موسی بن محمد بن موسی بن إبراهیم بن الإمام موسی الکاظم علیه السلام  ولد فی بغداد (359) و ولی النقابة (380) و توفی (6- المحرم- 406) لم یعرف من قریش مجید مکثر سواه و دیوانه بالنسبة إلی حماسة أبی تمام التی فیها جید شعر العرب کالشمس و ضحیها و القمر إذا تلیها طبع علی الحجر فی بمبئی فی (1306) فی (549 ص) و طبع فی بیروت فی (1310) فی (ص 986) فی مجلدین و طبع أخیرا فی مصر فی أربع مجلدات و هو مرتب علی خمسة أبواب 1) فی المدیح 2) فی الافتخار و شکوی الزمان 3) فی المراثی 4) فی النسیب و المشیب و وصف طیف الحبیب 5) فی الفنون المختلفة، و کل باب مرتب علی حروف المعجم رأیت النسخة المکتوبة منه فی (515) فی کتب السید محمد بن سیدنا الیزدی، و نسخه خط السید علی خان المدنی فی مکتبة (السماوی) و نسخه بقلم النسخ الجید فی مکتبة آل</w:t>
      </w:r>
    </w:p>
    <w:p>
      <w:pPr>
        <w:pStyle w:val="BookText"/>
      </w:pPr>
      <w:r>
        <w:rPr>
          <w:rFonts w:ascii="IRNazanin" w:hAnsi="IRNazanin" w:eastAsia="IRNazanin" w:cs="IRNazanin"/>
          <w:lang w:bidi="fa-IR"/>
          <w:color w:val="111111"/>
          <w:sz w:val="28"/>
          <w:szCs w:val="28"/>
          <w:rtl/>
        </w:rPr>
        <w:t xml:space="preserve">السید عیسی (العطار ببغداد) فی ثلاثمائة و تسع و سبعین ورقة فی کل ورقة اثنان و أربعون سطرا، أول أشعاره فی مدح بها الدولة الدیلمی:</w:t>
      </w:r>
    </w:p>
    <w:p>
      <w:pPr>
        <w:pStyle w:val="BookText"/>
      </w:pPr>
      <w:r>
        <w:rPr>
          <w:rFonts w:ascii="IRNazanin" w:hAnsi="IRNazanin" w:eastAsia="IRNazanin" w:cs="IRNazanin"/>
          <w:lang w:bidi="fa-IR"/>
          <w:color w:val="111111"/>
          <w:sz w:val="28"/>
          <w:szCs w:val="28"/>
          <w:rtl/>
        </w:rPr>
        <w:t xml:space="preserve">بهاء المجد من هذا البهاء</w:t>
      </w:r>
    </w:p>
    <w:p>
      <w:pPr>
        <w:pStyle w:val="BookText"/>
      </w:pPr>
      <w:r>
        <w:rPr>
          <w:rFonts w:ascii="IRNazanin" w:hAnsi="IRNazanin" w:eastAsia="IRNazanin" w:cs="IRNazanin"/>
          <w:lang w:bidi="fa-IR"/>
          <w:color w:val="111111"/>
          <w:sz w:val="28"/>
          <w:szCs w:val="28"/>
          <w:rtl/>
        </w:rPr>
        <w:t xml:space="preserve">وضوء المجد من هذا الضیاء</w:t>
      </w:r>
    </w:p>
    <w:p>
      <w:pPr>
        <w:pStyle w:val="Heading3"/>
      </w:pPr>
      <w:bookmarkStart w:id="4126" w:name="_Toc2822"/>
      <w:r>
        <w:t>دیوان رضی تبریزی‏</w:t>
      </w:r>
      <w:bookmarkEnd w:id="4126"/>
    </w:p>
    <w:p>
      <w:pPr>
        <w:pStyle w:val="BookText"/>
      </w:pPr>
      <w:r>
        <w:rPr>
          <w:rFonts w:ascii="IRNazanin" w:hAnsi="IRNazanin" w:eastAsia="IRNazanin" w:cs="IRNazanin"/>
          <w:lang w:bidi="fa-IR"/>
          <w:color w:val="111111"/>
          <w:sz w:val="28"/>
          <w:szCs w:val="28"/>
          <w:rtl/>
        </w:rPr>
        <w:t xml:space="preserve">ذکرناه بتخلصه بنده و له رسالة عشق و روح و جنگ روس- أتریش- فرانسه و رسالة حسن و دل الذی نسبناه فی (ج 7- ص 16- 17) إلی المیر رضی المستوفی مؤلف ربیع المنجمین و المطلع فی نقد الشعر، من علماء القرن الحادی عشر، و الصحیح أنه لمیر رضی هذا المتوفی (1222) فلیصحح‏</w:t>
      </w:r>
    </w:p>
    <w:p>
      <w:pPr>
        <w:pStyle w:val="Heading3"/>
      </w:pPr>
      <w:bookmarkStart w:id="4127" w:name="_Toc2823"/>
      <w:r>
        <w:t>دیوان الرضی التستری‏</w:t>
      </w:r>
      <w:bookmarkEnd w:id="4127"/>
    </w:p>
    <w:p>
      <w:pPr>
        <w:pStyle w:val="BookText"/>
      </w:pPr>
      <w:r>
        <w:rPr>
          <w:rFonts w:ascii="IRNazanin" w:hAnsi="IRNazanin" w:eastAsia="IRNazanin" w:cs="IRNazanin"/>
          <w:lang w:bidi="fa-IR"/>
          <w:color w:val="111111"/>
          <w:sz w:val="28"/>
          <w:szCs w:val="28"/>
          <w:rtl/>
        </w:rPr>
        <w:t xml:space="preserve">فارسی للسید رضی الدین ابن السید نور الدین التستری مر بتخلصه أقدس شوشتری‏</w:t>
      </w:r>
    </w:p>
    <w:p>
      <w:pPr>
        <w:pStyle w:val="Heading3"/>
      </w:pPr>
      <w:bookmarkStart w:id="4128" w:name="_Toc2824"/>
      <w:r>
        <w:t>2198- دیوان رضی خراسانی‏</w:t>
      </w:r>
      <w:bookmarkEnd w:id="4128"/>
    </w:p>
    <w:p>
      <w:pPr>
        <w:pStyle w:val="BookText"/>
      </w:pPr>
      <w:r>
        <w:rPr>
          <w:rFonts w:ascii="IRNazanin" w:hAnsi="IRNazanin" w:eastAsia="IRNazanin" w:cs="IRNazanin"/>
          <w:lang w:bidi="fa-IR"/>
          <w:color w:val="111111"/>
          <w:sz w:val="28"/>
          <w:szCs w:val="28"/>
          <w:rtl/>
        </w:rPr>
        <w:t xml:space="preserve">و اسمه المیرزا أرشد ابن آقا شفیعا الخراسانی ترجمه النصرآبادی فی (نر 4- ص 80) و قال کان یشتغل فی الدفاتر الخاصة و عزل ثم نصب مستوفیا لمازندران، ثم وزیر الاعتماد الدولة الشیخ علی خان و أورد بعض شعره، و کذا فی (گلشن ص 178)</w:t>
      </w:r>
    </w:p>
    <w:p>
      <w:pPr>
        <w:pStyle w:val="Heading3"/>
      </w:pPr>
      <w:bookmarkStart w:id="4129" w:name="_Toc2825"/>
      <w:r>
        <w:t>دیوان رضی الدین بابا</w:t>
      </w:r>
      <w:bookmarkEnd w:id="4129"/>
    </w:p>
    <w:p>
      <w:pPr>
        <w:pStyle w:val="BookText"/>
      </w:pPr>
      <w:r>
        <w:rPr>
          <w:rFonts w:ascii="IRNazanin" w:hAnsi="IRNazanin" w:eastAsia="IRNazanin" w:cs="IRNazanin"/>
          <w:lang w:bidi="fa-IR"/>
          <w:color w:val="111111"/>
          <w:sz w:val="28"/>
          <w:szCs w:val="28"/>
          <w:rtl/>
        </w:rPr>
        <w:t xml:space="preserve">ترجمه الحکیم شاه محمد فی (بهش 1- ص 338) و (تغ- ص 58) و ذکر أنه کان حاکم دیار بکر فی عصر ابقا خان و له شعر کثیر، ثم أورد له رباعیة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69" w:name="pg11704_121849"/>
    <w:bookmarkEnd w:id="369"/>
    <w:p>
      <w:pPr>
        <w:pStyle w:val="BookText"/>
      </w:pPr>
      <w:r>
        <w:rPr>
          <w:rFonts w:ascii="IRNazanin" w:hAnsi="IRNazanin" w:eastAsia="IRNazanin" w:cs="IRNazanin"/>
          <w:lang w:bidi="fa-IR"/>
          <w:color w:val="111111"/>
          <w:sz w:val="28"/>
          <w:szCs w:val="28"/>
          <w:rtl/>
        </w:rPr>
        <w:t xml:space="preserve">أنشأها بعد عزله عن الحکومة و قد ذکرناه بعنوان بابا رضی الدین‏</w:t>
      </w:r>
    </w:p>
    <w:p>
      <w:pPr>
        <w:pStyle w:val="Heading3"/>
      </w:pPr>
      <w:bookmarkStart w:id="4130" w:name="_Toc2826"/>
      <w:r>
        <w:t>دیوان رضی الدین الخشاب النیشابوری أو الکاشانی‏</w:t>
      </w:r>
      <w:bookmarkEnd w:id="4130"/>
    </w:p>
    <w:p>
      <w:pPr>
        <w:pStyle w:val="BookText"/>
      </w:pPr>
      <w:r>
        <w:rPr>
          <w:rFonts w:ascii="IRNazanin" w:hAnsi="IRNazanin" w:eastAsia="IRNazanin" w:cs="IRNazanin"/>
          <w:lang w:bidi="fa-IR"/>
          <w:color w:val="111111"/>
          <w:sz w:val="28"/>
          <w:szCs w:val="28"/>
          <w:rtl/>
        </w:rPr>
        <w:t xml:space="preserve">مر بعنوان الخشاب‏</w:t>
      </w:r>
    </w:p>
    <w:p>
      <w:pPr>
        <w:pStyle w:val="Heading3"/>
      </w:pPr>
      <w:bookmarkStart w:id="4131" w:name="_Toc2827"/>
      <w:r>
        <w:t>دیوان رضی الدین الغزنوی‏</w:t>
      </w:r>
      <w:bookmarkEnd w:id="4131"/>
    </w:p>
    <w:p>
      <w:pPr>
        <w:pStyle w:val="BookText"/>
      </w:pPr>
      <w:r>
        <w:rPr>
          <w:rFonts w:ascii="IRNazanin" w:hAnsi="IRNazanin" w:eastAsia="IRNazanin" w:cs="IRNazanin"/>
          <w:lang w:bidi="fa-IR"/>
          <w:color w:val="111111"/>
          <w:sz w:val="28"/>
          <w:szCs w:val="28"/>
          <w:rtl/>
        </w:rPr>
        <w:t xml:space="preserve">هو الشیخ العارف علی بن الشیخ سعید بن عبد الجلیل یأتی بعنوان رضی لالا</w:t>
      </w:r>
    </w:p>
    <w:p>
      <w:pPr>
        <w:pStyle w:val="Heading3"/>
      </w:pPr>
      <w:bookmarkStart w:id="4132" w:name="_Toc2828"/>
      <w:r>
        <w:t>2199- دیوان رضی الدین النیسابوری‏</w:t>
      </w:r>
      <w:bookmarkEnd w:id="4132"/>
    </w:p>
    <w:p>
      <w:pPr>
        <w:pStyle w:val="BookText"/>
      </w:pPr>
      <w:r>
        <w:rPr>
          <w:rFonts w:ascii="IRNazanin" w:hAnsi="IRNazanin" w:eastAsia="IRNazanin" w:cs="IRNazanin"/>
          <w:lang w:bidi="fa-IR"/>
          <w:color w:val="111111"/>
          <w:sz w:val="28"/>
          <w:szCs w:val="28"/>
          <w:rtl/>
        </w:rPr>
        <w:t xml:space="preserve">ترجمه فی (ض- ص 126) و أورد بعض أشعاره، و وصفه بأنه من الشعراء العارفین بفنون الشعر، لکن الغالب علیه نظم القصائد، و کان فی أوائل أمره مداح السلطان أرسلان بن طغرل السلجوقی ترجمه فی (تش- ص 135) و أورد قصة سفره و مرضه و تأخره عن العیر و سفره إلی الحجاز و إرادته للشیخ معین الدین عم الشیخ سعد الدین الحموی، و مات فی آخر الدولة السلجوقیة، و فی القاموس الترکی أنه مات (598) و ترجمه أیضا فی (مع- ج 2 ص 231) و (گلشن- ص 178) و (تغ- ص 58) و قد خلط بعضهم بین الرجل هذا و بین الخشاب النیشابوری المذکور فی محله‏</w:t>
      </w:r>
    </w:p>
    <w:p>
      <w:pPr>
        <w:pStyle w:val="Heading3"/>
      </w:pPr>
      <w:bookmarkStart w:id="4133" w:name="_Toc2829"/>
      <w:r>
        <w:t>دیوان رضی شریفی‏</w:t>
      </w:r>
      <w:bookmarkEnd w:id="4133"/>
    </w:p>
    <w:p>
      <w:pPr>
        <w:pStyle w:val="BookText"/>
      </w:pPr>
      <w:r>
        <w:rPr>
          <w:rFonts w:ascii="IRNazanin" w:hAnsi="IRNazanin" w:eastAsia="IRNazanin" w:cs="IRNazanin"/>
          <w:lang w:bidi="fa-IR"/>
          <w:color w:val="111111"/>
          <w:sz w:val="28"/>
          <w:szCs w:val="28"/>
          <w:rtl/>
        </w:rPr>
        <w:t xml:space="preserve">راجع رضی شیرازی‏</w:t>
      </w:r>
    </w:p>
    <w:p>
      <w:pPr>
        <w:pStyle w:val="Heading3"/>
      </w:pPr>
      <w:bookmarkStart w:id="4134" w:name="_Toc2830"/>
      <w:r>
        <w:t>دیوان رضی شوشتری‏</w:t>
      </w:r>
      <w:bookmarkEnd w:id="4134"/>
    </w:p>
    <w:p>
      <w:pPr>
        <w:pStyle w:val="BookText"/>
      </w:pPr>
      <w:r>
        <w:rPr>
          <w:rFonts w:ascii="IRNazanin" w:hAnsi="IRNazanin" w:eastAsia="IRNazanin" w:cs="IRNazanin"/>
          <w:lang w:bidi="fa-IR"/>
          <w:color w:val="111111"/>
          <w:sz w:val="28"/>
          <w:szCs w:val="28"/>
          <w:rtl/>
        </w:rPr>
        <w:t xml:space="preserve">مر بعنوان أقدس شوشتری و ترجمه فی نجوم السماء ص 262 و (روشن- ص 248) أیضا و هو ابن السید نور الدین شیخ الإسلام بتستر</w:t>
      </w:r>
    </w:p>
    <w:p>
      <w:pPr>
        <w:pStyle w:val="Heading3"/>
      </w:pPr>
      <w:bookmarkStart w:id="4135" w:name="_Toc2831"/>
      <w:r>
        <w:t>2200- دیوان رضی شیرازی أو شعره‏</w:t>
      </w:r>
      <w:bookmarkEnd w:id="4135"/>
    </w:p>
    <w:p>
      <w:pPr>
        <w:pStyle w:val="BookText"/>
      </w:pPr>
      <w:r>
        <w:rPr>
          <w:rFonts w:ascii="IRNazanin" w:hAnsi="IRNazanin" w:eastAsia="IRNazanin" w:cs="IRNazanin"/>
          <w:lang w:bidi="fa-IR"/>
          <w:color w:val="111111"/>
          <w:sz w:val="28"/>
          <w:szCs w:val="28"/>
          <w:rtl/>
        </w:rPr>
        <w:t xml:space="preserve">و اسمه السید مرتضی، و هو من السادة الشریفیین فی شیراز، و کان قاضی القضاة بها، و قد بنی تکیة فی مقبرة شاه چراغ فباعها بعده ولده المیر السید شریف للوزیر معین الدین محمد کذا ذکره و أورد شعره فی (خوش‏گو) و کذا فی (گلشن- ص 179) و (روشن- ص 248) عن نگارستان سخن، و کلهم أخذوا التفصیل عن (نر 6- ص 178)</w:t>
      </w:r>
    </w:p>
    <w:p>
      <w:pPr>
        <w:pStyle w:val="Heading3"/>
      </w:pPr>
      <w:bookmarkStart w:id="4136" w:name="_Toc2832"/>
      <w:r>
        <w:t>2201- دیوان الآقا رضی القزوینی‏</w:t>
      </w:r>
      <w:bookmarkEnd w:id="4136"/>
    </w:p>
    <w:p>
      <w:pPr>
        <w:pStyle w:val="BookText"/>
      </w:pPr>
      <w:r>
        <w:rPr>
          <w:rFonts w:ascii="IRNazanin" w:hAnsi="IRNazanin" w:eastAsia="IRNazanin" w:cs="IRNazanin"/>
          <w:lang w:bidi="fa-IR"/>
          <w:color w:val="111111"/>
          <w:sz w:val="28"/>
          <w:szCs w:val="28"/>
          <w:rtl/>
        </w:rPr>
        <w:t xml:space="preserve">ترجمه النصرآبادی فی (نر 6- ص 172) و أورد جملة من أشعاره. أقول هو العلامة المحقق المدقق رضی الدین محمد بن الحسن القزوینی مؤلف لسان الخواص و المتوفی (1096) و حج (1053) و بعد رجوعه ألف رسالة میزان المقادیر و کانت فی مکتبة التقوی بطهران. مجموعة من رسائله تاریخ کتابتها (1100) فیها النوروزیة فی تعیین النوروز و الوقتیة فی تعیین أوقات الصلوات و العیاریة فی تعیین عیار الفلزات و المولودیة فی تعیین المولد النبوی و رسالة الفراسة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70" w:name="pg11704_121850"/>
    <w:bookmarkEnd w:id="370"/>
    <w:p>
      <w:pPr>
        <w:pStyle w:val="BookText"/>
      </w:pPr>
      <w:r>
        <w:rPr>
          <w:rFonts w:ascii="IRNazanin" w:hAnsi="IRNazanin" w:eastAsia="IRNazanin" w:cs="IRNazanin"/>
          <w:lang w:bidi="fa-IR"/>
          <w:color w:val="111111"/>
          <w:sz w:val="28"/>
          <w:szCs w:val="28"/>
          <w:rtl/>
        </w:rPr>
        <w:t xml:space="preserve">و له ترجمه فی الأمل و فیها بعض تصانیفه الآخر، و ترجمه فی نجوم السماء- ص 137 مفصلا، ثم ذکر فی النجم الثانی منه مختصرا فی (ص 228) و ترجمه أیضا فی (خوش‏گو).</w:t>
      </w:r>
    </w:p>
    <w:p>
      <w:pPr>
        <w:pStyle w:val="Heading3"/>
      </w:pPr>
      <w:bookmarkStart w:id="4137" w:name="_Toc2833"/>
      <w:r>
        <w:t>دیوان رضی القزوینی أو شعره‏</w:t>
      </w:r>
      <w:bookmarkEnd w:id="4137"/>
    </w:p>
    <w:p>
      <w:pPr>
        <w:pStyle w:val="BookText"/>
      </w:pPr>
      <w:r>
        <w:rPr>
          <w:rFonts w:ascii="IRNazanin" w:hAnsi="IRNazanin" w:eastAsia="IRNazanin" w:cs="IRNazanin"/>
          <w:lang w:bidi="fa-IR"/>
          <w:color w:val="111111"/>
          <w:sz w:val="28"/>
          <w:szCs w:val="28"/>
          <w:rtl/>
        </w:rPr>
        <w:t xml:space="preserve">و اسمه ملک رضی الدین من أحفاد افتخار الدین البکری، کان مدة حاکم دیار بکر. ترجمه فی (خوش‏گو) و قد ذکرناه بعنوان رضی الدین بابا و بابا رضی الدین.</w:t>
      </w:r>
    </w:p>
    <w:p>
      <w:pPr>
        <w:pStyle w:val="Heading3"/>
      </w:pPr>
      <w:bookmarkStart w:id="4138" w:name="_Toc2834"/>
      <w:r>
        <w:t>2202- دیوان آقا رضی قمی‏</w:t>
      </w:r>
      <w:bookmarkEnd w:id="4138"/>
    </w:p>
    <w:p>
      <w:pPr>
        <w:pStyle w:val="BookText"/>
      </w:pPr>
      <w:r>
        <w:rPr>
          <w:rFonts w:ascii="IRNazanin" w:hAnsi="IRNazanin" w:eastAsia="IRNazanin" w:cs="IRNazanin"/>
          <w:lang w:bidi="fa-IR"/>
          <w:color w:val="111111"/>
          <w:sz w:val="28"/>
          <w:szCs w:val="28"/>
          <w:rtl/>
        </w:rPr>
        <w:t xml:space="preserve">و هو ابن المیر محمد مؤمن الذی هو من أحفاد المیر مکی من السادة و بعض آبائه کانوا شیخ الإسلام بقم. ترجمه النصرآبادی فی (نر 5- ص 115) و أورد شعره. و کذا فی (گلشن- ص 179).</w:t>
      </w:r>
    </w:p>
    <w:p>
      <w:pPr>
        <w:pStyle w:val="Heading3"/>
      </w:pPr>
      <w:bookmarkStart w:id="4139" w:name="_Toc2835"/>
      <w:r>
        <w:t>دیوان محمد رضی کشمیری‏</w:t>
      </w:r>
      <w:bookmarkEnd w:id="4139"/>
    </w:p>
    <w:p>
      <w:pPr>
        <w:pStyle w:val="BookText"/>
      </w:pPr>
      <w:r>
        <w:rPr>
          <w:rFonts w:ascii="IRNazanin" w:hAnsi="IRNazanin" w:eastAsia="IRNazanin" w:cs="IRNazanin"/>
          <w:lang w:bidi="fa-IR"/>
          <w:color w:val="111111"/>
          <w:sz w:val="28"/>
          <w:szCs w:val="28"/>
          <w:rtl/>
        </w:rPr>
        <w:t xml:space="preserve">کما فی (سرخوش- ص 43) مر بعنوان رضا کشمیری.</w:t>
      </w:r>
    </w:p>
    <w:p>
      <w:pPr>
        <w:pStyle w:val="Heading3"/>
      </w:pPr>
      <w:bookmarkStart w:id="4140" w:name="_Toc2836"/>
      <w:r>
        <w:t>2203- دیوان رضی لالا أو شعره‏</w:t>
      </w:r>
      <w:bookmarkEnd w:id="4140"/>
    </w:p>
    <w:p>
      <w:pPr>
        <w:pStyle w:val="BookText"/>
      </w:pPr>
      <w:r>
        <w:rPr>
          <w:rFonts w:ascii="IRNazanin" w:hAnsi="IRNazanin" w:eastAsia="IRNazanin" w:cs="IRNazanin"/>
          <w:lang w:bidi="fa-IR"/>
          <w:color w:val="111111"/>
          <w:sz w:val="28"/>
          <w:szCs w:val="28"/>
          <w:rtl/>
        </w:rPr>
        <w:t xml:space="preserve">و هو العارف الشیخ علی بن سعید بن عبد الجلیل لالا، الغزنوی المعروف علی لالا قال هدایت و (تغ- ص 58) إنه مات فی (643) و قبره فی حوالی أصفهان یعرف گنبد لالا و قال غیره مات بغزنة فی (642 أو 643) و دفن عند قبر السلطان محمود الغزنوی. و مادة تاریخه [سید أکرم علی بن سعید 642] أو [شهباز هوای عالم قدس 643]. قالوا کان من أحفاد عم الحکیم سنائی أو من أحفاده، و إنه أخذ الخرقة عن مائة و أربع و ستین شیخا و عمدتهم الشیخ نجم الدین الکبری المقتول بخوارزم (618) و عن خزینة الأصفیاء ص 267 أنه سافر إلی الهند و أخذ عن أبی الرضا العارف الهندی و أخذ منه المشط الذی کان یدعی أنه کان للنبی  صلی الله علیه و آله  و ترجمه فی مجالس المؤمنین (ص 147) و القاموس الترکی و الریحانة. و (ض- ص 127) و (گلشن- ص 178).</w:t>
      </w:r>
    </w:p>
    <w:p>
      <w:pPr>
        <w:pStyle w:val="Heading3"/>
      </w:pPr>
      <w:bookmarkStart w:id="4141" w:name="_Toc2837"/>
      <w:r>
        <w:t>2204- دیوان آقا رضی لاهیجی‏</w:t>
      </w:r>
      <w:bookmarkEnd w:id="4141"/>
    </w:p>
    <w:p>
      <w:pPr>
        <w:pStyle w:val="BookText"/>
      </w:pPr>
      <w:r>
        <w:rPr>
          <w:rFonts w:ascii="IRNazanin" w:hAnsi="IRNazanin" w:eastAsia="IRNazanin" w:cs="IRNazanin"/>
          <w:lang w:bidi="fa-IR"/>
          <w:color w:val="111111"/>
          <w:sz w:val="28"/>
          <w:szCs w:val="28"/>
          <w:rtl/>
        </w:rPr>
        <w:t xml:space="preserve">و هو ابن جمال الدین أحمد. هاجر من وطنه إلی أصفهان و هو حسن المعاشرة مع الناس. ترجمه معاصره النصرآبادی فی (نر 5- ص 118) و أورد شعره و رباعیته:</w:t>
      </w:r>
    </w:p>
    <w:p>
      <w:pPr>
        <w:pStyle w:val="Heading3"/>
      </w:pPr>
      <w:bookmarkStart w:id="4142" w:name="_Toc2838"/>
      <w:r>
        <w:t>دیوان رضی مشهدی‏</w:t>
      </w:r>
      <w:bookmarkEnd w:id="4142"/>
    </w:p>
    <w:p>
      <w:pPr>
        <w:pStyle w:val="BookText"/>
      </w:pPr>
      <w:r>
        <w:rPr>
          <w:rFonts w:ascii="IRNazanin" w:hAnsi="IRNazanin" w:eastAsia="IRNazanin" w:cs="IRNazanin"/>
          <w:lang w:bidi="fa-IR"/>
          <w:color w:val="111111"/>
          <w:sz w:val="28"/>
          <w:szCs w:val="28"/>
          <w:rtl/>
        </w:rPr>
        <w:t xml:space="preserve">مر بعنوان دانش مشهدی و أورد شعره فی گلستان مسرت ص 138.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71" w:name="pg11704_121851"/>
    <w:bookmarkEnd w:id="371"/>
    <w:p>
      <w:pPr>
        <w:pStyle w:val="Heading3"/>
      </w:pPr>
      <w:bookmarkStart w:id="4143" w:name="_Toc2839"/>
      <w:r>
        <w:t>دیوان رضی نیشابوری‏</w:t>
      </w:r>
      <w:bookmarkEnd w:id="4143"/>
    </w:p>
    <w:p>
      <w:pPr>
        <w:pStyle w:val="BookText"/>
      </w:pPr>
      <w:r>
        <w:rPr>
          <w:rFonts w:ascii="IRNazanin" w:hAnsi="IRNazanin" w:eastAsia="IRNazanin" w:cs="IRNazanin"/>
          <w:lang w:bidi="fa-IR"/>
          <w:color w:val="111111"/>
          <w:sz w:val="28"/>
          <w:szCs w:val="28"/>
          <w:rtl/>
        </w:rPr>
        <w:t xml:space="preserve">مر رضی الدین نیشابوری و الخشاب النیشابوری.</w:t>
      </w:r>
    </w:p>
    <w:p>
      <w:pPr>
        <w:pStyle w:val="Heading3"/>
      </w:pPr>
      <w:bookmarkStart w:id="4144" w:name="_Toc2840"/>
      <w:r>
        <w:t>دیوان رضی همدانی‏</w:t>
      </w:r>
      <w:bookmarkEnd w:id="4144"/>
    </w:p>
    <w:p>
      <w:pPr>
        <w:pStyle w:val="BookText"/>
      </w:pPr>
      <w:r>
        <w:rPr>
          <w:rFonts w:ascii="IRNazanin" w:hAnsi="IRNazanin" w:eastAsia="IRNazanin" w:cs="IRNazanin"/>
          <w:lang w:bidi="fa-IR"/>
          <w:color w:val="111111"/>
          <w:sz w:val="28"/>
          <w:szCs w:val="28"/>
          <w:rtl/>
        </w:rPr>
        <w:t xml:space="preserve">قال فی (تش- ص 255) إنه من سادات آرتیمان من محال همدان و یتخلص باسمه. و الظاهر أنه هو رضی آرتیمانی المذکور.</w:t>
      </w:r>
    </w:p>
    <w:p>
      <w:pPr>
        <w:pStyle w:val="Heading3"/>
      </w:pPr>
      <w:bookmarkStart w:id="4145" w:name="_Toc2841"/>
      <w:r>
        <w:t>2205- دیوان رعدی آذرخشی تبریزی‏</w:t>
      </w:r>
      <w:bookmarkEnd w:id="4145"/>
    </w:p>
    <w:p>
      <w:pPr>
        <w:pStyle w:val="BookText"/>
      </w:pPr>
      <w:r>
        <w:rPr>
          <w:rFonts w:ascii="IRNazanin" w:hAnsi="IRNazanin" w:eastAsia="IRNazanin" w:cs="IRNazanin"/>
          <w:lang w:bidi="fa-IR"/>
          <w:color w:val="111111"/>
          <w:sz w:val="28"/>
          <w:szCs w:val="28"/>
          <w:rtl/>
        </w:rPr>
        <w:t xml:space="preserve">هو الدکتور غلام علی المعاصر. له شعر کثیر طبع بعضها فی (پژمان- ص 823) و فی کنگره نویسندگان- ص 120 ولد بتبریز (1288 ش) و سافر إلی أروپا (1315 ش) و رجع (1320 ش).</w:t>
      </w:r>
    </w:p>
    <w:p>
      <w:pPr>
        <w:pStyle w:val="Heading3"/>
      </w:pPr>
      <w:bookmarkStart w:id="4146" w:name="_Toc2842"/>
      <w:r>
        <w:t>2206- دیوان رعد هندی‏</w:t>
      </w:r>
      <w:bookmarkEnd w:id="4146"/>
    </w:p>
    <w:p>
      <w:pPr>
        <w:pStyle w:val="BookText"/>
      </w:pPr>
      <w:r>
        <w:rPr>
          <w:rFonts w:ascii="IRNazanin" w:hAnsi="IRNazanin" w:eastAsia="IRNazanin" w:cs="IRNazanin"/>
          <w:lang w:bidi="fa-IR"/>
          <w:color w:val="111111"/>
          <w:sz w:val="28"/>
          <w:szCs w:val="28"/>
          <w:rtl/>
        </w:rPr>
        <w:t xml:space="preserve">للحکیم نادر علی المعاصر. طبع غزلیاته الفارسیة بحیدرآباد دکن.</w:t>
      </w:r>
    </w:p>
    <w:p>
      <w:pPr>
        <w:pStyle w:val="Heading3"/>
      </w:pPr>
      <w:bookmarkStart w:id="4147" w:name="_Toc2843"/>
      <w:r>
        <w:t>2207- دیوان رعنای أصفهانی أو شعره‏</w:t>
      </w:r>
      <w:bookmarkEnd w:id="4147"/>
    </w:p>
    <w:p>
      <w:pPr>
        <w:pStyle w:val="BookText"/>
      </w:pPr>
      <w:r>
        <w:rPr>
          <w:rFonts w:ascii="IRNazanin" w:hAnsi="IRNazanin" w:eastAsia="IRNazanin" w:cs="IRNazanin"/>
          <w:lang w:bidi="fa-IR"/>
          <w:color w:val="111111"/>
          <w:sz w:val="28"/>
          <w:szCs w:val="28"/>
          <w:rtl/>
        </w:rPr>
        <w:t xml:space="preserve">و هو المیر سید عبد الله. عده الشیخ محمد باقر ألفت من أعضاء انجمن دانشکده بأصفهان. و أورد غزله فی دانش‏نامه المطبوع (1342) بأصفهان و کذا جاء شعره فی (پژمان- ص 824).</w:t>
      </w:r>
    </w:p>
    <w:p>
      <w:pPr>
        <w:pStyle w:val="Heading3"/>
      </w:pPr>
      <w:bookmarkStart w:id="4148" w:name="_Toc2844"/>
      <w:r>
        <w:t>2208- دیوان رغمی هروی‏</w:t>
      </w:r>
      <w:bookmarkEnd w:id="4148"/>
    </w:p>
    <w:p>
      <w:pPr>
        <w:pStyle w:val="BookText"/>
      </w:pPr>
      <w:r>
        <w:rPr>
          <w:rFonts w:ascii="IRNazanin" w:hAnsi="IRNazanin" w:eastAsia="IRNazanin" w:cs="IRNazanin"/>
          <w:lang w:bidi="fa-IR"/>
          <w:color w:val="111111"/>
          <w:sz w:val="28"/>
          <w:szCs w:val="28"/>
          <w:rtl/>
        </w:rPr>
        <w:t xml:space="preserve">اسمه قاسم بیک الهروی، أخ زوجة علی قلی خان بیگلر بیگی فی هرات کما ذکره الصادقی فی (خص 7- ص 122) و أورد غزله و تخلصه فی قوله:</w:t>
      </w:r>
    </w:p>
    <w:p>
      <w:pPr>
        <w:pStyle w:val="BookText"/>
      </w:pPr>
      <w:r>
        <w:rPr>
          <w:rFonts w:ascii="IRNazanin" w:hAnsi="IRNazanin" w:eastAsia="IRNazanin" w:cs="IRNazanin"/>
          <w:lang w:bidi="fa-IR"/>
          <w:color w:val="111111"/>
          <w:sz w:val="28"/>
          <w:szCs w:val="28"/>
          <w:rtl/>
        </w:rPr>
        <w:t xml:space="preserve">باز بی‏تابی تو کردی رغمی و رفتی برش‏</w:t>
      </w:r>
    </w:p>
    <w:p>
      <w:pPr>
        <w:pStyle w:val="BookText"/>
      </w:pPr>
      <w:r>
        <w:rPr>
          <w:rFonts w:ascii="IRNazanin" w:hAnsi="IRNazanin" w:eastAsia="IRNazanin" w:cs="IRNazanin"/>
          <w:lang w:bidi="fa-IR"/>
          <w:color w:val="111111"/>
          <w:sz w:val="28"/>
          <w:szCs w:val="28"/>
          <w:rtl/>
        </w:rPr>
        <w:t xml:space="preserve">ورنه این دل یک دو روزی خوب هجران کرده بود</w:t>
      </w:r>
    </w:p>
    <w:p>
      <w:pPr>
        <w:pStyle w:val="BookText"/>
      </w:pPr>
      <w:r>
        <w:rPr>
          <w:rFonts w:ascii="IRNazanin" w:hAnsi="IRNazanin" w:eastAsia="IRNazanin" w:cs="IRNazanin"/>
          <w:lang w:bidi="fa-IR"/>
          <w:color w:val="111111"/>
          <w:sz w:val="28"/>
          <w:szCs w:val="28"/>
          <w:rtl/>
        </w:rPr>
        <w:t xml:space="preserve">و سماه فی (روشن- ص 248) رغمی أسترآبادی.</w:t>
      </w:r>
    </w:p>
    <w:p>
      <w:pPr>
        <w:pStyle w:val="Heading3"/>
      </w:pPr>
      <w:bookmarkStart w:id="4149" w:name="_Toc2845"/>
      <w:r>
        <w:t>2209- دیوان الرفاء</w:t>
      </w:r>
      <w:bookmarkEnd w:id="4149"/>
    </w:p>
    <w:p>
      <w:pPr>
        <w:pStyle w:val="BookText"/>
      </w:pPr>
      <w:r>
        <w:rPr>
          <w:rFonts w:ascii="IRNazanin" w:hAnsi="IRNazanin" w:eastAsia="IRNazanin" w:cs="IRNazanin"/>
          <w:lang w:bidi="fa-IR"/>
          <w:color w:val="111111"/>
          <w:sz w:val="28"/>
          <w:szCs w:val="28"/>
          <w:rtl/>
        </w:rPr>
        <w:t xml:space="preserve">لأبی الحسن السری ابن أحمد بن السری الرفاء الکندی الموصلی الشاعر المجید المتوفی (362) ترجمه السید ضیاء الدین یوسف فی نسمة السحر بذکر فی من تشیع و شعر و رأیت نسخه من دیوانه فی خزانة کتب آل السید عیسی (العطار ببغداد و یوجد أیضا فی مکتبات پاریس و لندن و خدیویه مصر. أوله:</w:t>
      </w:r>
    </w:p>
    <w:p>
      <w:pPr>
        <w:pStyle w:val="BookText"/>
      </w:pPr>
      <w:r>
        <w:rPr>
          <w:rFonts w:ascii="IRNazanin" w:hAnsi="IRNazanin" w:eastAsia="IRNazanin" w:cs="IRNazanin"/>
          <w:lang w:bidi="fa-IR"/>
          <w:color w:val="111111"/>
          <w:sz w:val="28"/>
          <w:szCs w:val="28"/>
          <w:rtl/>
        </w:rPr>
        <w:t xml:space="preserve">خذوا طربا فی أوان الطرب‏</w:t>
      </w:r>
    </w:p>
    <w:p>
      <w:pPr>
        <w:pStyle w:val="BookText"/>
      </w:pPr>
      <w:r>
        <w:rPr>
          <w:rFonts w:ascii="IRNazanin" w:hAnsi="IRNazanin" w:eastAsia="IRNazanin" w:cs="IRNazanin"/>
          <w:lang w:bidi="fa-IR"/>
          <w:color w:val="111111"/>
          <w:sz w:val="28"/>
          <w:szCs w:val="28"/>
          <w:rtl/>
        </w:rPr>
        <w:t xml:space="preserve">و أنجب أقدامه بالنجب‏</w:t>
      </w:r>
    </w:p>
    <w:p>
      <w:pPr>
        <w:pStyle w:val="BookText"/>
      </w:pPr>
      <w:r>
        <w:rPr>
          <w:rFonts w:ascii="IRNazanin" w:hAnsi="IRNazanin" w:eastAsia="IRNazanin" w:cs="IRNazanin"/>
          <w:lang w:bidi="fa-IR"/>
          <w:color w:val="111111"/>
          <w:sz w:val="28"/>
          <w:szCs w:val="28"/>
          <w:rtl/>
        </w:rPr>
        <w:t xml:space="preserve">و له غیر الدیوان الدیرة و المحب و المحبوب و المشموم و المشروب سافر إلی حلب و مدح سیف الدولة ابن حمدان و بعد وفاته سافر إلی بغداد. و کان شغله تعمیر الفرش و الزوالی، و قال فیه:</w:t>
      </w:r>
    </w:p>
    <w:p>
      <w:pPr>
        <w:pStyle w:val="BookText"/>
      </w:pPr>
      <w:r>
        <w:rPr>
          <w:rFonts w:ascii="IRNazanin" w:hAnsi="IRNazanin" w:eastAsia="IRNazanin" w:cs="IRNazanin"/>
          <w:lang w:bidi="fa-IR"/>
          <w:color w:val="111111"/>
          <w:sz w:val="28"/>
          <w:szCs w:val="28"/>
          <w:rtl/>
        </w:rPr>
        <w:t xml:space="preserve">و کانت الإبرة فیما مضی‏</w:t>
      </w:r>
    </w:p>
    <w:p>
      <w:pPr>
        <w:pStyle w:val="BookText"/>
      </w:pPr>
      <w:r>
        <w:rPr>
          <w:rFonts w:ascii="IRNazanin" w:hAnsi="IRNazanin" w:eastAsia="IRNazanin" w:cs="IRNazanin"/>
          <w:lang w:bidi="fa-IR"/>
          <w:color w:val="111111"/>
          <w:sz w:val="28"/>
          <w:szCs w:val="28"/>
          <w:rtl/>
        </w:rPr>
        <w:t xml:space="preserve">صائنة وجهی و أشعاری‏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72" w:name="pg11704_121852"/>
    <w:bookmarkEnd w:id="372"/>
    <w:p>
      <w:pPr>
        <w:pStyle w:val="BookText"/>
      </w:pPr>
      <w:r>
        <w:rPr>
          <w:rFonts w:ascii="IRNazanin" w:hAnsi="IRNazanin" w:eastAsia="IRNazanin" w:cs="IRNazanin"/>
          <w:lang w:bidi="fa-IR"/>
          <w:color w:val="111111"/>
          <w:sz w:val="28"/>
          <w:szCs w:val="28"/>
          <w:rtl/>
        </w:rPr>
        <w:t xml:space="preserve">ترجمه ابن خلکان (ج 1- ص 218) و (جما- ج 11- ص 182) و (الروضات ص 308).</w:t>
      </w:r>
    </w:p>
    <w:p>
      <w:pPr>
        <w:pStyle w:val="Heading3"/>
      </w:pPr>
      <w:bookmarkStart w:id="4150" w:name="_Toc2846"/>
      <w:r>
        <w:t>2210- دیوان رفاهی‏</w:t>
      </w:r>
      <w:bookmarkEnd w:id="4150"/>
    </w:p>
    <w:p>
      <w:pPr>
        <w:pStyle w:val="BookText"/>
      </w:pPr>
      <w:r>
        <w:rPr>
          <w:rFonts w:ascii="IRNazanin" w:hAnsi="IRNazanin" w:eastAsia="IRNazanin" w:cs="IRNazanin"/>
          <w:lang w:bidi="fa-IR"/>
          <w:color w:val="111111"/>
          <w:sz w:val="28"/>
          <w:szCs w:val="28"/>
          <w:rtl/>
        </w:rPr>
        <w:t xml:space="preserve">و هو الحاج میرزا حسن خان معتضد الدولة. توجد نسخه منه بخط الناظم الجید عند دهخدا بطهران، و فیه غزلیات و قصیدة باسم جهان‏نامه فی (251 بیت) قال فی آخره:</w:t>
      </w:r>
    </w:p>
    <w:p>
      <w:pPr>
        <w:pStyle w:val="BookText"/>
      </w:pPr>
      <w:r>
        <w:rPr>
          <w:rFonts w:ascii="IRNazanin" w:hAnsi="IRNazanin" w:eastAsia="IRNazanin" w:cs="IRNazanin"/>
          <w:lang w:bidi="fa-IR"/>
          <w:color w:val="111111"/>
          <w:sz w:val="28"/>
          <w:szCs w:val="28"/>
          <w:rtl/>
        </w:rPr>
        <w:t xml:space="preserve">این جهان‏نامه رفاهی را</w:t>
      </w:r>
    </w:p>
    <w:p>
      <w:pPr>
        <w:pStyle w:val="BookText"/>
      </w:pPr>
      <w:r>
        <w:rPr>
          <w:rFonts w:ascii="IRNazanin" w:hAnsi="IRNazanin" w:eastAsia="IRNazanin" w:cs="IRNazanin"/>
          <w:lang w:bidi="fa-IR"/>
          <w:color w:val="111111"/>
          <w:sz w:val="28"/>
          <w:szCs w:val="28"/>
          <w:rtl/>
        </w:rPr>
        <w:t xml:space="preserve">کامل از عین لطف بر خوانش‏</w:t>
      </w:r>
    </w:p>
    <w:p>
      <w:pPr>
        <w:pStyle w:val="BookText"/>
      </w:pPr>
      <w:r>
        <w:rPr>
          <w:rFonts w:ascii="IRNazanin" w:hAnsi="IRNazanin" w:eastAsia="IRNazanin" w:cs="IRNazanin"/>
          <w:lang w:bidi="fa-IR"/>
          <w:color w:val="111111"/>
          <w:sz w:val="28"/>
          <w:szCs w:val="28"/>
          <w:rtl/>
        </w:rPr>
        <w:t xml:space="preserve">و قال فی تاریخه:</w:t>
      </w:r>
    </w:p>
    <w:p>
      <w:pPr>
        <w:pStyle w:val="BookText"/>
      </w:pPr>
      <w:r>
        <w:rPr>
          <w:rFonts w:ascii="IRNazanin" w:hAnsi="IRNazanin" w:eastAsia="IRNazanin" w:cs="IRNazanin"/>
          <w:lang w:bidi="fa-IR"/>
          <w:color w:val="111111"/>
          <w:sz w:val="28"/>
          <w:szCs w:val="28"/>
          <w:rtl/>
        </w:rPr>
        <w:t xml:space="preserve">سیصد و سی و هفت بعد هزار</w:t>
      </w:r>
    </w:p>
    <w:p>
      <w:pPr>
        <w:pStyle w:val="BookText"/>
      </w:pPr>
      <w:r>
        <w:rPr>
          <w:rFonts w:ascii="IRNazanin" w:hAnsi="IRNazanin" w:eastAsia="IRNazanin" w:cs="IRNazanin"/>
          <w:lang w:bidi="fa-IR"/>
          <w:color w:val="111111"/>
          <w:sz w:val="28"/>
          <w:szCs w:val="28"/>
          <w:rtl/>
        </w:rPr>
        <w:t xml:space="preserve">گفتم این داستان بطهرانش‏</w:t>
      </w:r>
    </w:p>
    <w:p>
      <w:pPr>
        <w:pStyle w:val="Heading3"/>
      </w:pPr>
      <w:bookmarkStart w:id="4151" w:name="_Toc2847"/>
      <w:r>
        <w:t>2211- دیوان ملا رفعا بخاری أو شعره‏</w:t>
      </w:r>
      <w:bookmarkEnd w:id="4151"/>
    </w:p>
    <w:p>
      <w:pPr>
        <w:pStyle w:val="BookText"/>
      </w:pPr>
      <w:r>
        <w:rPr>
          <w:rFonts w:ascii="IRNazanin" w:hAnsi="IRNazanin" w:eastAsia="IRNazanin" w:cs="IRNazanin"/>
          <w:lang w:bidi="fa-IR"/>
          <w:color w:val="111111"/>
          <w:sz w:val="28"/>
          <w:szCs w:val="28"/>
          <w:rtl/>
        </w:rPr>
        <w:t xml:space="preserve">و اسمه ملا رفعا أو ملا رافع، علی اختلاف نسخ النصرآبادی فیه. قال فی (نر 10- ص 433) إنه سافر إلی الهند و لازم أبا الفضل مدة و رجع إلی إیران و نقل عن آثار البخاری- الذی ذکرناه فی (ص 2) و قد کان معه فی سفر الهند- قصة قطع أذنه بأمر السلطان. ثم أورد شعره، و کذا ذکره فی (روشن- ص 251) بعنوان ملا رفعی.</w:t>
      </w:r>
    </w:p>
    <w:p>
      <w:pPr>
        <w:pStyle w:val="Heading3"/>
      </w:pPr>
      <w:bookmarkStart w:id="4152" w:name="_Toc2848"/>
      <w:r>
        <w:t>2212- دیوان رفعت أصفهانی أو شعره‏</w:t>
      </w:r>
      <w:bookmarkEnd w:id="4152"/>
    </w:p>
    <w:p>
      <w:pPr>
        <w:pStyle w:val="BookText"/>
      </w:pPr>
      <w:r>
        <w:rPr>
          <w:rFonts w:ascii="IRNazanin" w:hAnsi="IRNazanin" w:eastAsia="IRNazanin" w:cs="IRNazanin"/>
          <w:lang w:bidi="fa-IR"/>
          <w:color w:val="111111"/>
          <w:sz w:val="28"/>
          <w:szCs w:val="28"/>
          <w:rtl/>
        </w:rPr>
        <w:t xml:space="preserve">للمیرزا رفیع الدین محمد بن المیر محمد حسین و ابن بنت الحاج باقر المعروف مسگر ترجمه معاصره فی (نر 6- ص 189) و أطری شعره و خطه النسخ تعلیق، ثم أورد غزله بتخلص رفعت‏</w:t>
      </w:r>
    </w:p>
    <w:p>
      <w:pPr>
        <w:pStyle w:val="Heading3"/>
      </w:pPr>
      <w:bookmarkStart w:id="4153" w:name="_Toc2849"/>
      <w:r>
        <w:t>2213- دیوان رفعت رامپوری‏</w:t>
      </w:r>
      <w:bookmarkEnd w:id="4153"/>
    </w:p>
    <w:p>
      <w:pPr>
        <w:pStyle w:val="BookText"/>
      </w:pPr>
      <w:r>
        <w:rPr>
          <w:rFonts w:ascii="IRNazanin" w:hAnsi="IRNazanin" w:eastAsia="IRNazanin" w:cs="IRNazanin"/>
          <w:lang w:bidi="fa-IR"/>
          <w:color w:val="111111"/>
          <w:sz w:val="28"/>
          <w:szCs w:val="28"/>
          <w:rtl/>
        </w:rPr>
        <w:t xml:space="preserve">و اسمه غلام جیلانی و أصله من شاه‏جهان‏پور کان معلما و نظم قصة محاربة آصف الدولة و غلام محمد خان روسیله بالفارسیة ترجمه و أورد شعره فی (روشن- ص 250)</w:t>
      </w:r>
    </w:p>
    <w:p>
      <w:pPr>
        <w:pStyle w:val="Heading3"/>
      </w:pPr>
      <w:bookmarkStart w:id="4154" w:name="_Toc2850"/>
      <w:r>
        <w:t>2214- دیوان رفعت فیروزآبادی أو شعره‏</w:t>
      </w:r>
      <w:bookmarkEnd w:id="4154"/>
    </w:p>
    <w:p>
      <w:pPr>
        <w:pStyle w:val="BookText"/>
      </w:pPr>
      <w:r>
        <w:rPr>
          <w:rFonts w:ascii="IRNazanin" w:hAnsi="IRNazanin" w:eastAsia="IRNazanin" w:cs="IRNazanin"/>
          <w:lang w:bidi="fa-IR"/>
          <w:color w:val="111111"/>
          <w:sz w:val="28"/>
          <w:szCs w:val="28"/>
          <w:rtl/>
        </w:rPr>
        <w:t xml:space="preserve">للمولی شاه محمود الفیروزآبادی الشیرازی ترجمه و أورد شعره معاصره فی (نر 9- ص 411)</w:t>
      </w:r>
    </w:p>
    <w:p>
      <w:pPr>
        <w:pStyle w:val="Heading3"/>
      </w:pPr>
      <w:bookmarkStart w:id="4155" w:name="_Toc2851"/>
      <w:r>
        <w:t>2215- دیوان رفعت قاجار أو شعره‏</w:t>
      </w:r>
      <w:bookmarkEnd w:id="4155"/>
    </w:p>
    <w:p>
      <w:pPr>
        <w:pStyle w:val="BookText"/>
      </w:pPr>
      <w:r>
        <w:rPr>
          <w:rFonts w:ascii="IRNazanin" w:hAnsi="IRNazanin" w:eastAsia="IRNazanin" w:cs="IRNazanin"/>
          <w:lang w:bidi="fa-IR"/>
          <w:color w:val="111111"/>
          <w:sz w:val="28"/>
          <w:szCs w:val="28"/>
          <w:rtl/>
        </w:rPr>
        <w:t xml:space="preserve">و هو فتح الله میرزا بن محمد علی دولت شاه حکم مدة فی کرمانشاه عن فتح علی شاه، و مات عن ثلاثین سنة من عمره فی (1250) کان ماهرا فی الخط النسخ أورد شعره فی المدائح المعتمدیة</w:t>
      </w:r>
    </w:p>
    <w:p>
      <w:pPr>
        <w:pStyle w:val="Heading3"/>
      </w:pPr>
      <w:bookmarkStart w:id="4156" w:name="_Toc2852"/>
      <w:r>
        <w:t>2216- دیوان رفعت هندی‏</w:t>
      </w:r>
      <w:bookmarkEnd w:id="4156"/>
    </w:p>
    <w:p>
      <w:pPr>
        <w:pStyle w:val="BookText"/>
      </w:pPr>
      <w:r>
        <w:rPr>
          <w:rFonts w:ascii="IRNazanin" w:hAnsi="IRNazanin" w:eastAsia="IRNazanin" w:cs="IRNazanin"/>
          <w:lang w:bidi="fa-IR"/>
          <w:color w:val="111111"/>
          <w:sz w:val="28"/>
          <w:szCs w:val="28"/>
          <w:rtl/>
        </w:rPr>
        <w:t xml:space="preserve">و اسمه غلام أشرف له مثنوی می‏باید شنید أورد بعضها فی (روشن- ص 248)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73" w:name="pg11704_121853"/>
    <w:bookmarkEnd w:id="373"/>
    <w:p>
      <w:pPr>
        <w:pStyle w:val="Heading3"/>
      </w:pPr>
      <w:bookmarkStart w:id="4157" w:name="_Toc2853"/>
      <w:r>
        <w:t>2217- دیوان رفعت هندی‏</w:t>
      </w:r>
      <w:bookmarkEnd w:id="4157"/>
    </w:p>
    <w:p>
      <w:pPr>
        <w:pStyle w:val="BookText"/>
      </w:pPr>
      <w:r>
        <w:rPr>
          <w:rFonts w:ascii="IRNazanin" w:hAnsi="IRNazanin" w:eastAsia="IRNazanin" w:cs="IRNazanin"/>
          <w:lang w:bidi="fa-IR"/>
          <w:color w:val="111111"/>
          <w:sz w:val="28"/>
          <w:szCs w:val="28"/>
          <w:rtl/>
        </w:rPr>
        <w:t xml:space="preserve">و هو محمد عباس بن الشیخ أحمد الشیروانی الیمنی ابن المیرزا محمد تقی (الشیخ محمد الشیروانی) ابن محمد علی خان مستوفی الممالک ابن المیرزا إبراهیم الهمدانی کان جده إبراهیم وزیرا لنادر شاه فعزله فسکن النجف، و ابنه محمد علی خان المستوفی قتله نادر ففر ابنه محمد تقی إلی شیروان و بدل اسمه بالشیخ محمد، ثم سافر إلی بنارس ثم لکهنو ثم نزل الیمن فولد له هناک الشیخ أحمد، ثم نزل الشیخ أحمد کلکتة و نصب مدرسا بمدارسها العالیة، ثم نزل لکهنو و هناک ولد له الشیخ محمد عباس المتخلص رفعت فی (22 شوال- 1241) و مات الشیخ أحمد والد رفعت فی (1256) و سافر رفعت بعد موت والده إلی أکثر بلاد الهند و صنف تصانیف کثیرة منها انشای عجب العجاب و نفحة الیمن و مناقب حیدریة و حدیقة الأفراح و منهج البیان الشافی فی علمی العروض و القوافی و بحر النفائس و تاج الإقبال فی تاریخ ملک بهوپال و غیرها و کان حیا إلی (1295) الذی ألف فیها صبح گلشن فأورد فیه بعض شعره فی (گلشن- ص 181- 182)</w:t>
      </w:r>
    </w:p>
    <w:p>
      <w:pPr>
        <w:pStyle w:val="Heading3"/>
      </w:pPr>
      <w:bookmarkStart w:id="4158" w:name="_Toc2854"/>
      <w:r>
        <w:t>2218- دیوان ملا رفعتی تبریزی‏</w:t>
      </w:r>
      <w:bookmarkEnd w:id="4158"/>
    </w:p>
    <w:p>
      <w:pPr>
        <w:pStyle w:val="BookText"/>
      </w:pPr>
      <w:r>
        <w:rPr>
          <w:rFonts w:ascii="IRNazanin" w:hAnsi="IRNazanin" w:eastAsia="IRNazanin" w:cs="IRNazanin"/>
          <w:lang w:bidi="fa-IR"/>
          <w:color w:val="111111"/>
          <w:sz w:val="28"/>
          <w:szCs w:val="28"/>
          <w:rtl/>
        </w:rPr>
        <w:t xml:space="preserve">اسمه المیرزا إبراهیم و أصله من تبریز، سافر إلی الهند و رجع و فی الأخیر کان فی خدمة عرب خان حاکم شیروان إلی أن توفی بها کذا ترجمه النصرآبادی فی (نر 9- ص 399) و عنه فی (دجا- ص 160) و ذکر بعض شعره، و کذا فی (خوش‏گو و (گلشن- ص 182)</w:t>
      </w:r>
    </w:p>
    <w:p>
      <w:pPr>
        <w:pStyle w:val="Heading3"/>
      </w:pPr>
      <w:bookmarkStart w:id="4159" w:name="_Toc2855"/>
      <w:r>
        <w:t>2219- دیوان مولانا رفقی‏</w:t>
      </w:r>
      <w:bookmarkEnd w:id="4159"/>
    </w:p>
    <w:p>
      <w:pPr>
        <w:pStyle w:val="BookText"/>
      </w:pPr>
      <w:r>
        <w:rPr>
          <w:rFonts w:ascii="IRNazanin" w:hAnsi="IRNazanin" w:eastAsia="IRNazanin" w:cs="IRNazanin"/>
          <w:lang w:bidi="fa-IR"/>
          <w:color w:val="111111"/>
          <w:sz w:val="28"/>
          <w:szCs w:val="28"/>
          <w:rtl/>
        </w:rPr>
        <w:t xml:space="preserve">ترجمه الحکیم شاه محمد فی (بهش 2- ص 403) و ذکر أنه ظریف الطبع لطیف الشعر و أورد مطلع غزله‏</w:t>
      </w:r>
    </w:p>
    <w:p>
      <w:pPr>
        <w:pStyle w:val="Heading3"/>
      </w:pPr>
      <w:bookmarkStart w:id="4160" w:name="_Toc2856"/>
      <w:r>
        <w:t>2220- دیوان رفیعا نائینی أصفهانی‏</w:t>
      </w:r>
      <w:bookmarkEnd w:id="4160"/>
    </w:p>
    <w:p>
      <w:pPr>
        <w:pStyle w:val="BookText"/>
      </w:pPr>
      <w:r>
        <w:rPr>
          <w:rFonts w:ascii="IRNazanin" w:hAnsi="IRNazanin" w:eastAsia="IRNazanin" w:cs="IRNazanin"/>
          <w:lang w:bidi="fa-IR"/>
          <w:color w:val="111111"/>
          <w:sz w:val="28"/>
          <w:szCs w:val="28"/>
          <w:rtl/>
        </w:rPr>
        <w:t xml:space="preserve">کان أصله من نائین کما ذکره النصرآبادی فی (نر 5- ص 128) و وصفه بکونه من أولیاء بالا و پائین وسیع المشرب، و قال کان یلازم المیرزا حبیب الله صدر ثم هاجر إلی إیروان فی خدمة نجف قلی خان ابن قزاق خان و بعد موته ذهب مع نعشه إلی مشهد خراسان، و بقی عند قبره سنتین و رجع إلی أصفهان فی سنة تألیف النصرآبادی، ثم أورد جملة من شعره، و کذا فی (تغ- ص 59) و (گلشن- ص 182) و ریحانة الأدب، و لکن فی (خوش‏گو) بعنوان رفیقا و فی (ض- 131) أیضا سماه رفیقا یزدی و هذا الرجل غیر رفیع الدین محمد بن حیدر الحسینی صاحب‏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74" w:name="pg11704_121854"/>
    <w:bookmarkEnd w:id="374"/>
    <w:p>
      <w:pPr>
        <w:pStyle w:val="BookText"/>
      </w:pPr>
      <w:r>
        <w:rPr>
          <w:rFonts w:ascii="IRNazanin" w:hAnsi="IRNazanin" w:eastAsia="IRNazanin" w:cs="IRNazanin"/>
          <w:lang w:bidi="fa-IR"/>
          <w:color w:val="111111"/>
          <w:sz w:val="28"/>
          <w:szCs w:val="28"/>
          <w:rtl/>
        </w:rPr>
        <w:t xml:space="preserve">الحواشی المذکورة فی (ج 6) و المتوفی (1080) فإن الشاعر لیس من السادة ظاهرا و لعل الصحیح فی اسمه رفیقا</w:t>
      </w:r>
    </w:p>
    <w:p>
      <w:pPr>
        <w:pStyle w:val="Heading3"/>
      </w:pPr>
      <w:bookmarkStart w:id="4161" w:name="_Toc2857"/>
      <w:r>
        <w:t>دیوان رفیعا نائینی أو شعره‏</w:t>
      </w:r>
      <w:bookmarkEnd w:id="4161"/>
    </w:p>
    <w:p>
      <w:pPr>
        <w:pStyle w:val="BookText"/>
      </w:pPr>
      <w:r>
        <w:rPr>
          <w:rFonts w:ascii="IRNazanin" w:hAnsi="IRNazanin" w:eastAsia="IRNazanin" w:cs="IRNazanin"/>
          <w:lang w:bidi="fa-IR"/>
          <w:color w:val="111111"/>
          <w:sz w:val="28"/>
          <w:szCs w:val="28"/>
          <w:rtl/>
        </w:rPr>
        <w:t xml:space="preserve">ولد بنائین و نشا بیزد و سافر إلی أصفهان کان فی أواخر العهد الصفوی و بقی إلی أوائل العهد الأفشاری فهو فی القرن الثانی عشر ترجمه فی (تش 5- یز- ص 291)</w:t>
      </w:r>
    </w:p>
    <w:p>
      <w:pPr>
        <w:pStyle w:val="Heading3"/>
      </w:pPr>
      <w:bookmarkStart w:id="4162" w:name="_Toc2858"/>
      <w:r>
        <w:t>2221- دیوان رفیع آمدی‏</w:t>
      </w:r>
      <w:bookmarkEnd w:id="4162"/>
    </w:p>
    <w:p>
      <w:pPr>
        <w:pStyle w:val="BookText"/>
      </w:pPr>
      <w:r>
        <w:rPr>
          <w:rFonts w:ascii="IRNazanin" w:hAnsi="IRNazanin" w:eastAsia="IRNazanin" w:cs="IRNazanin"/>
          <w:lang w:bidi="fa-IR"/>
          <w:color w:val="111111"/>
          <w:sz w:val="28"/>
          <w:szCs w:val="28"/>
          <w:rtl/>
        </w:rPr>
        <w:t xml:space="preserve">فارسی یوجد فی مکتبة حالت أفندی بأستانبول کما ذکر فی فهرسها (أقول) و لعله رفیقی آملی‏</w:t>
      </w:r>
    </w:p>
    <w:p>
      <w:pPr>
        <w:pStyle w:val="Heading3"/>
      </w:pPr>
      <w:bookmarkStart w:id="4163" w:name="_Toc2859"/>
      <w:r>
        <w:t>2222- دیوان رفیع الدین الأبهری القزوینی‏</w:t>
      </w:r>
      <w:bookmarkEnd w:id="4163"/>
    </w:p>
    <w:p>
      <w:pPr>
        <w:pStyle w:val="BookText"/>
      </w:pPr>
      <w:r>
        <w:rPr>
          <w:rFonts w:ascii="IRNazanin" w:hAnsi="IRNazanin" w:eastAsia="IRNazanin" w:cs="IRNazanin"/>
          <w:lang w:bidi="fa-IR"/>
          <w:color w:val="111111"/>
          <w:sz w:val="28"/>
          <w:szCs w:val="28"/>
          <w:rtl/>
        </w:rPr>
        <w:t xml:space="preserve">المعاصر و المصاحب مع کمال الدین إسماعیل الشهید فی أصفهان بید التتار فی (635) کما فی (تغ- ص 59) و دیوانه فی ثلاث آلاف بیت کما فی (مع- ج 1 ص 234)</w:t>
      </w:r>
    </w:p>
    <w:p>
      <w:pPr>
        <w:pStyle w:val="Heading3"/>
      </w:pPr>
      <w:bookmarkStart w:id="4164" w:name="_Toc2860"/>
      <w:r>
        <w:t>2223- دیوان رفیع الدین البکرانی أو شعره‏</w:t>
      </w:r>
      <w:bookmarkEnd w:id="4164"/>
    </w:p>
    <w:p>
      <w:pPr>
        <w:pStyle w:val="BookText"/>
      </w:pPr>
      <w:r>
        <w:rPr>
          <w:rFonts w:ascii="IRNazanin" w:hAnsi="IRNazanin" w:eastAsia="IRNazanin" w:cs="IRNazanin"/>
          <w:lang w:bidi="fa-IR"/>
          <w:color w:val="111111"/>
          <w:sz w:val="28"/>
          <w:szCs w:val="28"/>
          <w:rtl/>
        </w:rPr>
        <w:t xml:space="preserve">الأبهری الأصل المعاصر لغازان خان الذی ملک (694- 703) کما ذکر الحکیم شاه محمد فی (بهش 1- ص 335) و أورد له رباعیة، و لا یحتمل اتحاده مع سابقة لبعد الزمان بین معاصریهما</w:t>
      </w:r>
    </w:p>
    <w:p>
      <w:pPr>
        <w:pStyle w:val="Heading3"/>
      </w:pPr>
      <w:bookmarkStart w:id="4165" w:name="_Toc2861"/>
      <w:r>
        <w:t>2224- دیوان میر رفیع دستور</w:t>
      </w:r>
      <w:bookmarkEnd w:id="4165"/>
    </w:p>
    <w:p>
      <w:pPr>
        <w:pStyle w:val="BookText"/>
      </w:pPr>
      <w:r>
        <w:rPr>
          <w:rFonts w:ascii="IRNazanin" w:hAnsi="IRNazanin" w:eastAsia="IRNazanin" w:cs="IRNazanin"/>
          <w:lang w:bidi="fa-IR"/>
          <w:color w:val="111111"/>
          <w:sz w:val="28"/>
          <w:szCs w:val="28"/>
          <w:rtl/>
        </w:rPr>
        <w:t xml:space="preserve">قرأ کتب المعقول و هاجر مع الشیخ شمس الدین محمد بن خاتون العاملی تلمیذ الشیخ البهائی و مترجم شرح أربعینه إلی الهند، کما ذکره النصرآبادی فی (نر 9- ص 270) و أورد عدة من رباعیاته‏</w:t>
      </w:r>
    </w:p>
    <w:p>
      <w:pPr>
        <w:pStyle w:val="Heading3"/>
      </w:pPr>
      <w:bookmarkStart w:id="4166" w:name="_Toc2862"/>
      <w:r>
        <w:t>دیوان میرزا رفیع الدین رفعت‏</w:t>
      </w:r>
      <w:bookmarkEnd w:id="4166"/>
    </w:p>
    <w:p>
      <w:pPr>
        <w:pStyle w:val="BookText"/>
      </w:pPr>
      <w:r>
        <w:rPr>
          <w:rFonts w:ascii="IRNazanin" w:hAnsi="IRNazanin" w:eastAsia="IRNazanin" w:cs="IRNazanin"/>
          <w:lang w:bidi="fa-IR"/>
          <w:color w:val="111111"/>
          <w:sz w:val="28"/>
          <w:szCs w:val="28"/>
          <w:rtl/>
        </w:rPr>
        <w:t xml:space="preserve">مر بتخلصه بعنوان دیوان رفعت أصفهانی مسگر</w:t>
      </w:r>
    </w:p>
    <w:p>
      <w:pPr>
        <w:pStyle w:val="Heading3"/>
      </w:pPr>
      <w:bookmarkStart w:id="4167" w:name="_Toc2863"/>
      <w:r>
        <w:t>2225- دیوان رفیع الدین کرمانی‏</w:t>
      </w:r>
      <w:bookmarkEnd w:id="4167"/>
    </w:p>
    <w:p>
      <w:pPr>
        <w:pStyle w:val="BookText"/>
      </w:pPr>
      <w:r>
        <w:rPr>
          <w:rFonts w:ascii="IRNazanin" w:hAnsi="IRNazanin" w:eastAsia="IRNazanin" w:cs="IRNazanin"/>
          <w:lang w:bidi="fa-IR"/>
          <w:color w:val="111111"/>
          <w:sz w:val="28"/>
          <w:szCs w:val="28"/>
          <w:rtl/>
        </w:rPr>
        <w:t xml:space="preserve">ترجمه مختصرا و أورد شعره فی تاریخ گزیده ص 818 و أطری شعره و قال سنگلاخ فی امتحان الفضلاء- ج 2- ص 7 إنه رأی دیوانه بخط أبی تراب الأصفهانی و ترجمه و أورد شعره أیضا فی (تش- ص 120) و (ض- ص 331) نقلا عن علی</w:t>
      </w:r>
    </w:p>
    <w:p>
      <w:pPr>
        <w:pStyle w:val="BookText"/>
      </w:pPr>
      <w:r>
        <w:rPr>
          <w:rFonts w:ascii="IRNazanin" w:hAnsi="IRNazanin" w:eastAsia="IRNazanin" w:cs="IRNazanin"/>
          <w:lang w:bidi="fa-IR"/>
          <w:color w:val="111111"/>
          <w:sz w:val="28"/>
          <w:szCs w:val="28"/>
          <w:rtl/>
        </w:rPr>
        <w:t xml:space="preserve">قلی خان واله الداغستانی مؤلف ریاض الشعراء المتوفی (1170) و أطری دقة ذهنه فی (تغ- ص 59) و (روشن- ص 253)</w:t>
      </w:r>
    </w:p>
    <w:p>
      <w:pPr>
        <w:pStyle w:val="Heading3"/>
      </w:pPr>
      <w:bookmarkStart w:id="4168" w:name="_Toc2864"/>
      <w:r>
        <w:t>2226- دیوان رفیع الدین لنبانی‏</w:t>
      </w:r>
      <w:bookmarkEnd w:id="4168"/>
    </w:p>
    <w:p>
      <w:pPr>
        <w:pStyle w:val="BookText"/>
      </w:pPr>
      <w:r>
        <w:rPr>
          <w:rFonts w:ascii="IRNazanin" w:hAnsi="IRNazanin" w:eastAsia="IRNazanin" w:cs="IRNazanin"/>
          <w:lang w:bidi="fa-IR"/>
          <w:color w:val="111111"/>
          <w:sz w:val="28"/>
          <w:szCs w:val="28"/>
          <w:rtl/>
        </w:rPr>
        <w:t xml:space="preserve">من شعراء أصفهان فی آخر القرن السادس ترجمه العرفی فی اللباب- ج 2- ص 400 و فی دولت- الطبقة 3 بهذا العنوان و زاد فی هفت إقلیم فسماه رفیع الدین مسعود اللنبانی و بعد ذلک ترجم شاعرا آخر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75" w:name="pg11704_121855"/>
    <w:bookmarkEnd w:id="375"/>
    <w:p>
      <w:pPr>
        <w:pStyle w:val="BookText"/>
      </w:pPr>
      <w:r>
        <w:rPr>
          <w:rFonts w:ascii="IRNazanin" w:hAnsi="IRNazanin" w:eastAsia="IRNazanin" w:cs="IRNazanin"/>
          <w:lang w:bidi="fa-IR"/>
          <w:color w:val="111111"/>
          <w:sz w:val="28"/>
          <w:szCs w:val="28"/>
          <w:rtl/>
        </w:rPr>
        <w:t xml:space="preserve">بعنوان رفیع الدین عبد العزیز، و فی تش- ص 177 سماه عبد العزیز مسعود، ثم جاء هدایت و سماه عبد العزیز بن مسعود و عنه أخذ ریو فی فهرسه (ص 239) و (گلشن- ص 183) و (تغ- ص 59) و (روشن- ص 253) و قالوا جمیعا مات فی عنفوان شبابه، و قال فی شاهد صادق إنه مات (639) و فی (تغ- ص 59) أنه مات بأصفهان و قال دولت شاه: و دیوانه فی العراق معروف و فی خراسان متروک قال هدایت و دیوانه فی عشرة آلاف بیت و لکن نسخته الموجودة فی (المجلس) تشتمل علی (1300 بیت) کتبت فی القرن الحادی عشر کما فی فهرسها (ج 3 ص 285) مدح فیها رکن الدین مسعود بن صاعد قاضی أصفهان المقتول (619) و له فی الدیوان عدة قصائد عربیة أیضا</w:t>
      </w:r>
    </w:p>
    <w:p>
      <w:pPr>
        <w:pStyle w:val="Heading3"/>
      </w:pPr>
      <w:bookmarkStart w:id="4169" w:name="_Toc2865"/>
      <w:r>
        <w:t>2227- دیوان رفیع الدین النسوی‏</w:t>
      </w:r>
      <w:bookmarkEnd w:id="4169"/>
    </w:p>
    <w:p>
      <w:pPr>
        <w:pStyle w:val="BookText"/>
      </w:pPr>
      <w:r>
        <w:rPr>
          <w:rFonts w:ascii="IRNazanin" w:hAnsi="IRNazanin" w:eastAsia="IRNazanin" w:cs="IRNazanin"/>
          <w:lang w:bidi="fa-IR"/>
          <w:color w:val="111111"/>
          <w:sz w:val="28"/>
          <w:szCs w:val="28"/>
          <w:rtl/>
        </w:rPr>
        <w:t xml:space="preserve">أورد النصرآبادی فی (نر 14- ص 492) لغزا له فی ستة أبیات باسم السیف (شمشیر)</w:t>
      </w:r>
    </w:p>
    <w:p>
      <w:pPr>
        <w:pStyle w:val="Heading3"/>
      </w:pPr>
      <w:bookmarkStart w:id="4170" w:name="_Toc2866"/>
      <w:r>
        <w:t>2228- دیوان رفیع الدین النیشابوری‏</w:t>
      </w:r>
      <w:bookmarkEnd w:id="4170"/>
    </w:p>
    <w:p>
      <w:pPr>
        <w:pStyle w:val="BookText"/>
      </w:pPr>
      <w:r>
        <w:rPr>
          <w:rFonts w:ascii="IRNazanin" w:hAnsi="IRNazanin" w:eastAsia="IRNazanin" w:cs="IRNazanin"/>
          <w:lang w:bidi="fa-IR"/>
          <w:color w:val="111111"/>
          <w:sz w:val="28"/>
          <w:szCs w:val="28"/>
          <w:rtl/>
        </w:rPr>
        <w:t xml:space="preserve">ذکر فی (مع- ج 1 ص 234) أنه من قدماء الحکماء و قد أطرأه مؤلف تذکره عرفات العاشقین و أورد رباعیته‏</w:t>
      </w:r>
    </w:p>
    <w:p>
      <w:pPr>
        <w:pStyle w:val="Heading3"/>
      </w:pPr>
      <w:bookmarkStart w:id="4171" w:name="_Toc2867"/>
      <w:r>
        <w:t>2229- دیوان المیرزا رفیع الصدر الشهرستانی‏</w:t>
      </w:r>
      <w:bookmarkEnd w:id="4171"/>
    </w:p>
    <w:p>
      <w:pPr>
        <w:pStyle w:val="BookText"/>
      </w:pPr>
      <w:r>
        <w:rPr>
          <w:rFonts w:ascii="IRNazanin" w:hAnsi="IRNazanin" w:eastAsia="IRNazanin" w:cs="IRNazanin"/>
          <w:lang w:bidi="fa-IR"/>
          <w:color w:val="111111"/>
          <w:sz w:val="28"/>
          <w:szCs w:val="28"/>
          <w:rtl/>
        </w:rPr>
        <w:t xml:space="preserve">کان من السادة الأجلاء الشهرستانیین بأصفهان، و کان صهر الشاه عباس الماضی و صدرا فی دولته و عزل فی عصر الشاه صفی ترجمه النصرآبادی فی (نر 2- ص 16) و أورد بعض رباعیاته و عنه أخذ (روشن- ص 252) و قال فی (خوش‏گو) إن مجموعة منشئاته مشهورة</w:t>
      </w:r>
    </w:p>
    <w:p>
      <w:pPr>
        <w:pStyle w:val="Heading3"/>
      </w:pPr>
      <w:bookmarkStart w:id="4172" w:name="_Toc2868"/>
      <w:r>
        <w:t>دیوان رفیع شیرازی‏</w:t>
      </w:r>
      <w:bookmarkEnd w:id="4172"/>
    </w:p>
    <w:p>
      <w:pPr>
        <w:pStyle w:val="BookText"/>
      </w:pPr>
      <w:r>
        <w:rPr>
          <w:rFonts w:ascii="IRNazanin" w:hAnsi="IRNazanin" w:eastAsia="IRNazanin" w:cs="IRNazanin"/>
          <w:lang w:bidi="fa-IR"/>
          <w:color w:val="111111"/>
          <w:sz w:val="28"/>
          <w:szCs w:val="28"/>
          <w:rtl/>
        </w:rPr>
        <w:t xml:space="preserve">و اسمه مرزبان الشیرازی عده فی بعض التذاکر من معاصری حنظلة و أبو سلیک، و بعض عده من شعراء آل سلجوق کذا ترجمه و أورد شعره فی (گلشن- ص 183) راجع رفیع مرزبان‏</w:t>
      </w:r>
    </w:p>
    <w:p>
      <w:pPr>
        <w:pStyle w:val="Heading3"/>
      </w:pPr>
      <w:bookmarkStart w:id="4173" w:name="_Toc2869"/>
      <w:r>
        <w:t>2230- دیوان رفیع قزوینی‏</w:t>
      </w:r>
      <w:bookmarkEnd w:id="4173"/>
    </w:p>
    <w:p>
      <w:pPr>
        <w:pStyle w:val="BookText"/>
      </w:pPr>
      <w:r>
        <w:rPr>
          <w:rFonts w:ascii="IRNazanin" w:hAnsi="IRNazanin" w:eastAsia="IRNazanin" w:cs="IRNazanin"/>
          <w:lang w:bidi="fa-IR"/>
          <w:color w:val="111111"/>
          <w:sz w:val="28"/>
          <w:szCs w:val="28"/>
          <w:rtl/>
        </w:rPr>
        <w:t xml:space="preserve">و اسمه حسین بیک القزوینی الأصل ساکن مشهد خراسان کما فی (حسینی- ص 135) و سرو آزاد ص 107 هاجر إلی بلخ و فوض إلیه محمد خان أزبک مکتبته و دار إنشائه، ثم طلبه شاه‏جهان الذی عزل (1068) و مات (1077) فذهب إلی الهند و وصل شاه جهان‏آباد فی (1054) و تقرب عنده و بعد ذلک نصبه عالمگیر علی بیوتات کشمیر و قد فصل ترجمته النصرآبادی فی (نر 9- ص 268) و أورد مطالع من غزله و رباعیاته و ترجمه فی (خز- ص 233) و ذکر أنه اشتری دیوان غزله‏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76" w:name="pg11704_121856"/>
    <w:bookmarkEnd w:id="376"/>
    <w:p>
      <w:pPr>
        <w:pStyle w:val="BookText"/>
      </w:pPr>
      <w:r>
        <w:rPr>
          <w:rFonts w:ascii="IRNazanin" w:hAnsi="IRNazanin" w:eastAsia="IRNazanin" w:cs="IRNazanin"/>
          <w:lang w:bidi="fa-IR"/>
          <w:color w:val="111111"/>
          <w:sz w:val="28"/>
          <w:szCs w:val="28"/>
          <w:rtl/>
        </w:rPr>
        <w:t xml:space="preserve">و رباعیاته و لم یظفر بدیوان قصائده و مثنویاته و منها مثنوی التهنئة ل (ع 1- 1066) الذی کان صلته عشرة آلاف روپیه، و ترجمه فی (خوش‏گو) أیضا و قال فی (سرخوش- ص 40) إنه مات بدار الخلافة (شاه جهان‏آباد) و له مثنوی فی وصف تلک البلدة و قال فی (تغ- ص 59) إنه مات (1100) و کثیر من شعره وردت فی گلستان مسرت‏</w:t>
      </w:r>
    </w:p>
    <w:p>
      <w:pPr>
        <w:pStyle w:val="Heading3"/>
      </w:pPr>
      <w:bookmarkStart w:id="4174" w:name="_Toc2870"/>
      <w:r>
        <w:t>دیوان رفیع قزوینی‏</w:t>
      </w:r>
      <w:bookmarkEnd w:id="4174"/>
    </w:p>
    <w:p>
      <w:pPr>
        <w:pStyle w:val="BookText"/>
      </w:pPr>
      <w:r>
        <w:rPr>
          <w:rFonts w:ascii="IRNazanin" w:hAnsi="IRNazanin" w:eastAsia="IRNazanin" w:cs="IRNazanin"/>
          <w:lang w:bidi="fa-IR"/>
          <w:color w:val="111111"/>
          <w:sz w:val="28"/>
          <w:szCs w:val="28"/>
          <w:rtl/>
        </w:rPr>
        <w:t xml:space="preserve">صاحب أبواب الجنان یأتی بتخلصه دیوان واعظ</w:t>
      </w:r>
    </w:p>
    <w:p>
      <w:pPr>
        <w:pStyle w:val="Heading3"/>
      </w:pPr>
      <w:bookmarkStart w:id="4175" w:name="_Toc2871"/>
      <w:r>
        <w:t>2231- دیوان رفیع گنجوی أو شعره‏</w:t>
      </w:r>
      <w:bookmarkEnd w:id="4175"/>
    </w:p>
    <w:p>
      <w:pPr>
        <w:pStyle w:val="BookText"/>
      </w:pPr>
      <w:r>
        <w:rPr>
          <w:rFonts w:ascii="IRNazanin" w:hAnsi="IRNazanin" w:eastAsia="IRNazanin" w:cs="IRNazanin"/>
          <w:lang w:bidi="fa-IR"/>
          <w:color w:val="111111"/>
          <w:sz w:val="28"/>
          <w:szCs w:val="28"/>
          <w:rtl/>
        </w:rPr>
        <w:t xml:space="preserve">أورد شعره فی (دجا- ص 160) نقلا عن حدیقة الشعراء و قال إنه من شعراء القرن الثالث عشر</w:t>
      </w:r>
    </w:p>
    <w:p>
      <w:pPr>
        <w:pStyle w:val="Heading3"/>
      </w:pPr>
      <w:bookmarkStart w:id="4176" w:name="_Toc2872"/>
      <w:r>
        <w:t>2232- دیوان رفیع مرزبان أو شعره‏</w:t>
      </w:r>
      <w:bookmarkEnd w:id="4176"/>
    </w:p>
    <w:p>
      <w:pPr>
        <w:pStyle w:val="BookText"/>
      </w:pPr>
      <w:r>
        <w:rPr>
          <w:rFonts w:ascii="IRNazanin" w:hAnsi="IRNazanin" w:eastAsia="IRNazanin" w:cs="IRNazanin"/>
          <w:lang w:bidi="fa-IR"/>
          <w:color w:val="111111"/>
          <w:sz w:val="28"/>
          <w:szCs w:val="28"/>
          <w:rtl/>
        </w:rPr>
        <w:t xml:space="preserve">ترجمه و أورد شعره فی (هفت- ص 229).</w:t>
      </w:r>
    </w:p>
    <w:p>
      <w:pPr>
        <w:pStyle w:val="BookText"/>
      </w:pPr>
      <w:r>
        <w:rPr>
          <w:rFonts w:ascii="IRNazanin" w:hAnsi="IRNazanin" w:eastAsia="IRNazanin" w:cs="IRNazanin"/>
          <w:lang w:bidi="fa-IR"/>
          <w:color w:val="111111"/>
          <w:sz w:val="28"/>
          <w:szCs w:val="28"/>
          <w:rtl/>
        </w:rPr>
        <w:t xml:space="preserve">و ذکر أن قیل فیه إنه معاصر أبی سلیک الگرگانی و قیل إنه من شعراء آل سلجوق و هذا أصح. و سماه فی (گلشن- ص 183) رفیع شیرازی.</w:t>
      </w:r>
    </w:p>
    <w:p>
      <w:pPr>
        <w:pStyle w:val="Heading3"/>
      </w:pPr>
      <w:bookmarkStart w:id="4177" w:name="_Toc2873"/>
      <w:r>
        <w:t>دیوان رفیع مشهدی‏</w:t>
      </w:r>
      <w:bookmarkEnd w:id="4177"/>
    </w:p>
    <w:p>
      <w:pPr>
        <w:pStyle w:val="BookText"/>
      </w:pPr>
      <w:r>
        <w:rPr>
          <w:rFonts w:ascii="IRNazanin" w:hAnsi="IRNazanin" w:eastAsia="IRNazanin" w:cs="IRNazanin"/>
          <w:lang w:bidi="fa-IR"/>
          <w:color w:val="111111"/>
          <w:sz w:val="28"/>
          <w:szCs w:val="28"/>
          <w:rtl/>
        </w:rPr>
        <w:t xml:space="preserve">مر بعنوان رفیع قزوینی.</w:t>
      </w:r>
    </w:p>
    <w:p>
      <w:pPr>
        <w:pStyle w:val="Heading3"/>
      </w:pPr>
      <w:bookmarkStart w:id="4178" w:name="_Toc2874"/>
      <w:r>
        <w:t>دیوان رفیع مشهدی‏</w:t>
      </w:r>
      <w:bookmarkEnd w:id="4178"/>
    </w:p>
    <w:p>
      <w:pPr>
        <w:pStyle w:val="BookText"/>
      </w:pPr>
      <w:r>
        <w:rPr>
          <w:rFonts w:ascii="IRNazanin" w:hAnsi="IRNazanin" w:eastAsia="IRNazanin" w:cs="IRNazanin"/>
          <w:lang w:bidi="fa-IR"/>
          <w:color w:val="111111"/>
          <w:sz w:val="28"/>
          <w:szCs w:val="28"/>
          <w:rtl/>
        </w:rPr>
        <w:t xml:space="preserve">مر بعنوان دیوان باذل و ترجمه فی نجوم السماء- ص 220 و أورد شعره فی گلستان مسرت- ص 29 أیضا.</w:t>
      </w:r>
    </w:p>
    <w:p>
      <w:pPr>
        <w:pStyle w:val="Heading3"/>
      </w:pPr>
      <w:bookmarkStart w:id="4179" w:name="_Toc2875"/>
      <w:r>
        <w:t>2233- دیوان رفیعی أصفهانی أو شعره‏</w:t>
      </w:r>
      <w:bookmarkEnd w:id="4179"/>
    </w:p>
    <w:p>
      <w:pPr>
        <w:pStyle w:val="BookText"/>
      </w:pPr>
      <w:r>
        <w:rPr>
          <w:rFonts w:ascii="IRNazanin" w:hAnsi="IRNazanin" w:eastAsia="IRNazanin" w:cs="IRNazanin"/>
          <w:lang w:bidi="fa-IR"/>
          <w:color w:val="111111"/>
          <w:sz w:val="28"/>
          <w:szCs w:val="28"/>
          <w:rtl/>
        </w:rPr>
        <w:t xml:space="preserve">و هو محمد جواد بن أبی القاسم القهفرخی من أعمال أصفهان. معاصر، ولد (1320) أورد مخمسه الذی یذکر فیه أسماء اثنین و ثلاثین شاعرا من شعراء قهفرخ فی (شعراء أصفهان- ص 216).</w:t>
      </w:r>
    </w:p>
    <w:p>
      <w:pPr>
        <w:pStyle w:val="Heading3"/>
      </w:pPr>
      <w:bookmarkStart w:id="4180" w:name="_Toc2876"/>
      <w:r>
        <w:t>2234- دیوان رفیعی کاشانی‏</w:t>
      </w:r>
      <w:bookmarkEnd w:id="4180"/>
    </w:p>
    <w:p>
      <w:pPr>
        <w:pStyle w:val="BookText"/>
      </w:pPr>
      <w:r>
        <w:rPr>
          <w:rFonts w:ascii="IRNazanin" w:hAnsi="IRNazanin" w:eastAsia="IRNazanin" w:cs="IRNazanin"/>
          <w:lang w:bidi="fa-IR"/>
          <w:color w:val="111111"/>
          <w:sz w:val="28"/>
          <w:szCs w:val="28"/>
          <w:rtl/>
        </w:rPr>
        <w:t xml:space="preserve">و هو المیر رفیع الدین حیدر الطباطبائی المعمائی الکاشانی سافر إلی الهند فی (999) و ترقی بوسیلة میرزا جعفر آصف خان عند أکبر شاه و سافر إلی الحجاز فنهب أمواله السراق فرجع إلی الهند فرأی أن ولده محمد هاشم سنجر قد هاجر من وطنه إلی آکرة. و قال فی (تش- ص 243) مات فی (1032) و فی (تغ- ص 59) أنه مات (1025) بکاشان ترجمه فی خزانة عامرة و طبقات أکبری (ج 2- ص 495) و فی (میخانه- ص 249) و عالم‏آرای عباس- ص 131 و بدیوانی (3: 232) و (نر- 13 و 15 ص 475 و 514) و ذکرناه فی (ص 270) بعنوان حیدر کاشی. و توجد ثمان صفحات من دیوان رفیعی بمکتبة کلیة الطب بطهران کما فی فهرسها (ص 22) و لعله‏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77" w:name="pg11704_121857"/>
    <w:bookmarkEnd w:id="377"/>
    <w:p>
      <w:pPr>
        <w:pStyle w:val="BookText"/>
      </w:pPr>
      <w:r>
        <w:rPr>
          <w:rFonts w:ascii="IRNazanin" w:hAnsi="IRNazanin" w:eastAsia="IRNazanin" w:cs="IRNazanin"/>
          <w:lang w:bidi="fa-IR"/>
          <w:color w:val="111111"/>
          <w:sz w:val="28"/>
          <w:szCs w:val="28"/>
          <w:rtl/>
        </w:rPr>
        <w:t xml:space="preserve">هذا. و طبع بعض شعره فی (پژمان- ص 152 و 599 و 812) و سماه فی (حسینی- ص 133) رفیقی بدل رفیعی و علی أی فهو غیر رفیعی الترک الشاعر الحروفی تلمیذ نسیمی.</w:t>
      </w:r>
    </w:p>
    <w:p>
      <w:pPr>
        <w:pStyle w:val="Heading3"/>
      </w:pPr>
      <w:bookmarkStart w:id="4181" w:name="_Toc2877"/>
      <w:r>
        <w:t>2235- دیوان رفیق أصفهانی‏</w:t>
      </w:r>
      <w:bookmarkEnd w:id="4181"/>
    </w:p>
    <w:p>
      <w:pPr>
        <w:pStyle w:val="BookText"/>
      </w:pPr>
      <w:r>
        <w:rPr>
          <w:rFonts w:ascii="IRNazanin" w:hAnsi="IRNazanin" w:eastAsia="IRNazanin" w:cs="IRNazanin"/>
          <w:lang w:bidi="fa-IR"/>
          <w:color w:val="111111"/>
          <w:sz w:val="28"/>
          <w:szCs w:val="28"/>
          <w:rtl/>
        </w:rPr>
        <w:t xml:space="preserve">قال فی (انجمن- 4) إنه ملا حسین سبزی‏فروش ترقی أمره و مات (1212) بأصفهان و دفن فی النجف و دیوانه فی (6000 بیت). و قال فی (مع 2- ص 142) هو معاصر لهاتف و آذر و دیوانه یشتمل علی ثمانیة آلاف بیت، ثم أورد بعض أبیاته. و یوجد منه نسخه فی مکتبة المجلس کما ذکره ابن یوسف فی فهرسها (ج 3 ص 288) و حکی ترجمته عن انجمن خاقان و نقل بعض شعره فی نفایس اللباب و قال فی (تش- ص 374) أصله من أصفهان و أورد أشعاره فی جواب</w:t>
      </w:r>
    </w:p>
    <w:p>
      <w:pPr>
        <w:pStyle w:val="BookText"/>
      </w:pPr>
      <w:r>
        <w:rPr>
          <w:rFonts w:ascii="IRNazanin" w:hAnsi="IRNazanin" w:eastAsia="IRNazanin" w:cs="IRNazanin"/>
          <w:lang w:bidi="fa-IR"/>
          <w:color w:val="111111"/>
          <w:sz w:val="28"/>
          <w:szCs w:val="28"/>
          <w:rtl/>
        </w:rPr>
        <w:t xml:space="preserve">شعر وفا. و نسخه منه فی المتحف البریطانی کما فی فهرس ریو (ص 350) و قال فی (روشن- ص 254) أنه ولد (1150) و کان حیا إلی (1226).</w:t>
      </w:r>
    </w:p>
    <w:p>
      <w:pPr>
        <w:pStyle w:val="Heading3"/>
      </w:pPr>
      <w:bookmarkStart w:id="4182" w:name="_Toc2878"/>
      <w:r>
        <w:t>2236- دیوان مولانا رفیقی أو شعره‏</w:t>
      </w:r>
      <w:bookmarkEnd w:id="4182"/>
    </w:p>
    <w:p>
      <w:pPr>
        <w:pStyle w:val="BookText"/>
      </w:pPr>
      <w:r>
        <w:rPr>
          <w:rFonts w:ascii="IRNazanin" w:hAnsi="IRNazanin" w:eastAsia="IRNazanin" w:cs="IRNazanin"/>
          <w:lang w:bidi="fa-IR"/>
          <w:color w:val="111111"/>
          <w:sz w:val="28"/>
          <w:szCs w:val="28"/>
          <w:rtl/>
        </w:rPr>
        <w:t xml:space="preserve">کذا ترجمه الحکیم شاه محمد القزوینی فی (بهش 2- ص 385) و ذکر أنه کان رفیقا شفیقا من أهل الطریق ثم أورد رباعیة له فی تکذیب المدعین للعشق و الظاهر أنه کان من معاصریه، و لعله الذی ذکره فی (حسینی- ص 132) و سماه میر علی دوست رفیق معاصر مولانا جامی.</w:t>
      </w:r>
    </w:p>
    <w:p>
      <w:pPr>
        <w:pStyle w:val="Heading3"/>
      </w:pPr>
      <w:bookmarkStart w:id="4183" w:name="_Toc2879"/>
      <w:r>
        <w:t>2237- دیوان رفیقی آملی أو شعره‏</w:t>
      </w:r>
      <w:bookmarkEnd w:id="4183"/>
    </w:p>
    <w:p>
      <w:pPr>
        <w:pStyle w:val="BookText"/>
      </w:pPr>
      <w:r>
        <w:rPr>
          <w:rFonts w:ascii="IRNazanin" w:hAnsi="IRNazanin" w:eastAsia="IRNazanin" w:cs="IRNazanin"/>
          <w:lang w:bidi="fa-IR"/>
          <w:color w:val="111111"/>
          <w:sz w:val="28"/>
          <w:szCs w:val="28"/>
          <w:rtl/>
        </w:rPr>
        <w:t xml:space="preserve">سافر من وطنه إلی الحجاز ثم نزل دکن حیدرآباد. کان ماهرا فی المعمی و التاریخ. أورد بعض شعره و ترجمه کذلک فی (گلشن- ص 183). و راجع رفیع آمدی فی (ص 378).</w:t>
      </w:r>
    </w:p>
    <w:p>
      <w:pPr>
        <w:pStyle w:val="Heading3"/>
      </w:pPr>
      <w:bookmarkStart w:id="4184" w:name="_Toc2880"/>
      <w:r>
        <w:t>2238- دیوان رفیقی أصفهانی أو شعره‏</w:t>
      </w:r>
      <w:bookmarkEnd w:id="4184"/>
    </w:p>
    <w:p>
      <w:pPr>
        <w:pStyle w:val="BookText"/>
      </w:pPr>
      <w:r>
        <w:rPr>
          <w:rFonts w:ascii="IRNazanin" w:hAnsi="IRNazanin" w:eastAsia="IRNazanin" w:cs="IRNazanin"/>
          <w:lang w:bidi="fa-IR"/>
          <w:color w:val="111111"/>
          <w:sz w:val="28"/>
          <w:szCs w:val="28"/>
          <w:rtl/>
        </w:rPr>
        <w:t xml:space="preserve">أورد شعره فی (روشن- ص 255) و قال إن اسمه المیر مرتضی.</w:t>
      </w:r>
    </w:p>
    <w:p>
      <w:pPr>
        <w:pStyle w:val="Heading3"/>
      </w:pPr>
      <w:bookmarkStart w:id="4185" w:name="_Toc2881"/>
      <w:r>
        <w:t>2239- دیوان رفیقی تبریزی أو شعره‏</w:t>
      </w:r>
      <w:bookmarkEnd w:id="4185"/>
    </w:p>
    <w:p>
      <w:pPr>
        <w:pStyle w:val="BookText"/>
      </w:pPr>
      <w:r>
        <w:rPr>
          <w:rFonts w:ascii="IRNazanin" w:hAnsi="IRNazanin" w:eastAsia="IRNazanin" w:cs="IRNazanin"/>
          <w:lang w:bidi="fa-IR"/>
          <w:color w:val="111111"/>
          <w:sz w:val="28"/>
          <w:szCs w:val="28"/>
          <w:rtl/>
        </w:rPr>
        <w:t xml:space="preserve">من المغنین بها. أورد شعره فی (دجا- ص 160) عن تحفه سامی و لکن لم أره فیه.</w:t>
      </w:r>
    </w:p>
    <w:p>
      <w:pPr>
        <w:pStyle w:val="Heading3"/>
      </w:pPr>
      <w:bookmarkStart w:id="4186" w:name="_Toc2882"/>
      <w:r>
        <w:t>2240- دیوان رفیقی تفریشی أو شعره‏</w:t>
      </w:r>
      <w:bookmarkEnd w:id="4186"/>
    </w:p>
    <w:p>
      <w:pPr>
        <w:pStyle w:val="BookText"/>
      </w:pPr>
      <w:r>
        <w:rPr>
          <w:rFonts w:ascii="IRNazanin" w:hAnsi="IRNazanin" w:eastAsia="IRNazanin" w:cs="IRNazanin"/>
          <w:lang w:bidi="fa-IR"/>
          <w:color w:val="111111"/>
          <w:sz w:val="28"/>
          <w:szCs w:val="28"/>
          <w:rtl/>
        </w:rPr>
        <w:t xml:space="preserve">من السادة الطباطبائیة فی تفرش من محال قم و اسمه المیرزا محمد علی اشتغل بتحصیل العلوم فی أصفهان سنین و مهر فی الریاضیات.</w:t>
      </w:r>
    </w:p>
    <w:p>
      <w:pPr>
        <w:pStyle w:val="BookText"/>
      </w:pPr>
      <w:r>
        <w:rPr>
          <w:rFonts w:ascii="IRNazanin" w:hAnsi="IRNazanin" w:eastAsia="IRNazanin" w:cs="IRNazanin"/>
          <w:lang w:bidi="fa-IR"/>
          <w:color w:val="111111"/>
          <w:sz w:val="28"/>
          <w:szCs w:val="28"/>
          <w:rtl/>
        </w:rPr>
        <w:t xml:space="preserve">ترجمه معاصره کذلک فی (مع- ج 2 ص 143) و ذکر بعض غزلیاته و کذا فی (انجمن- 4) و وصفه بأنه قلیل الشعر.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78" w:name="pg11704_121858"/>
    <w:bookmarkEnd w:id="378"/>
    <w:p>
      <w:pPr>
        <w:pStyle w:val="Heading3"/>
      </w:pPr>
      <w:bookmarkStart w:id="4187" w:name="_Toc2883"/>
      <w:r>
        <w:t>دیوان رفیعی کاشی‏</w:t>
      </w:r>
      <w:bookmarkEnd w:id="4187"/>
    </w:p>
    <w:p>
      <w:pPr>
        <w:pStyle w:val="BookText"/>
      </w:pPr>
      <w:r>
        <w:rPr>
          <w:rFonts w:ascii="IRNazanin" w:hAnsi="IRNazanin" w:eastAsia="IRNazanin" w:cs="IRNazanin"/>
          <w:lang w:bidi="fa-IR"/>
          <w:color w:val="111111"/>
          <w:sz w:val="28"/>
          <w:szCs w:val="28"/>
          <w:rtl/>
        </w:rPr>
        <w:t xml:space="preserve">راجع رفیعی کاشی.</w:t>
      </w:r>
    </w:p>
    <w:p>
      <w:pPr>
        <w:pStyle w:val="Heading3"/>
      </w:pPr>
      <w:bookmarkStart w:id="4188" w:name="_Toc2884"/>
      <w:r>
        <w:t>2241- دیوان رفیقی همدانی أو شعره‏</w:t>
      </w:r>
      <w:bookmarkEnd w:id="4188"/>
    </w:p>
    <w:p>
      <w:pPr>
        <w:pStyle w:val="BookText"/>
      </w:pPr>
      <w:r>
        <w:rPr>
          <w:rFonts w:ascii="IRNazanin" w:hAnsi="IRNazanin" w:eastAsia="IRNazanin" w:cs="IRNazanin"/>
          <w:lang w:bidi="fa-IR"/>
          <w:color w:val="111111"/>
          <w:sz w:val="28"/>
          <w:szCs w:val="28"/>
          <w:rtl/>
        </w:rPr>
        <w:t xml:space="preserve">ترجمه الحکیم شاه محمد القزوینی فی (بهش 2- ص 304) و صرح بأنه من شعراء عصر السلطان یعقوب المتوفی (896) و ذکر أنه من المعمرین و المصاحبین لمولانا الطوسی.</w:t>
      </w:r>
    </w:p>
    <w:p>
      <w:pPr>
        <w:pStyle w:val="Heading3"/>
      </w:pPr>
      <w:bookmarkStart w:id="4189" w:name="_Toc2885"/>
      <w:r>
        <w:t>2242- دیوان رقمی تربتی أو شعره‏</w:t>
      </w:r>
      <w:bookmarkEnd w:id="4189"/>
    </w:p>
    <w:p>
      <w:pPr>
        <w:pStyle w:val="BookText"/>
      </w:pPr>
      <w:r>
        <w:rPr>
          <w:rFonts w:ascii="IRNazanin" w:hAnsi="IRNazanin" w:eastAsia="IRNazanin" w:cs="IRNazanin"/>
          <w:lang w:bidi="fa-IR"/>
          <w:color w:val="111111"/>
          <w:sz w:val="28"/>
          <w:szCs w:val="28"/>
          <w:rtl/>
        </w:rPr>
        <w:t xml:space="preserve">و هو الملا زین العابدین. أورد شعره فی (روشن- ص 256).</w:t>
      </w:r>
    </w:p>
    <w:p>
      <w:pPr>
        <w:pStyle w:val="Heading3"/>
      </w:pPr>
      <w:bookmarkStart w:id="4190" w:name="_Toc2886"/>
      <w:r>
        <w:t>دیوان رکنا کاشانی‏</w:t>
      </w:r>
      <w:bookmarkEnd w:id="4190"/>
    </w:p>
    <w:p>
      <w:pPr>
        <w:pStyle w:val="BookText"/>
      </w:pPr>
      <w:r>
        <w:rPr>
          <w:rFonts w:ascii="IRNazanin" w:hAnsi="IRNazanin" w:eastAsia="IRNazanin" w:cs="IRNazanin"/>
          <w:lang w:bidi="fa-IR"/>
          <w:color w:val="111111"/>
          <w:sz w:val="28"/>
          <w:szCs w:val="28"/>
          <w:rtl/>
        </w:rPr>
        <w:t xml:space="preserve">یأتی بعنوان مسیح کاشانی و مر ابنه حسین رکنا فی (ص 252).</w:t>
      </w:r>
    </w:p>
    <w:p>
      <w:pPr>
        <w:pStyle w:val="Heading3"/>
      </w:pPr>
      <w:bookmarkStart w:id="4191" w:name="_Toc2887"/>
      <w:r>
        <w:t>دیوان رکن الدین رازی‏</w:t>
      </w:r>
      <w:bookmarkEnd w:id="4191"/>
    </w:p>
    <w:p>
      <w:pPr>
        <w:pStyle w:val="BookText"/>
      </w:pPr>
      <w:r>
        <w:rPr>
          <w:rFonts w:ascii="IRNazanin" w:hAnsi="IRNazanin" w:eastAsia="IRNazanin" w:cs="IRNazanin"/>
          <w:lang w:bidi="fa-IR"/>
          <w:color w:val="111111"/>
          <w:sz w:val="28"/>
          <w:szCs w:val="28"/>
          <w:rtl/>
        </w:rPr>
        <w:t xml:space="preserve">أورد شعره فی (گلشن- ص 184) و أظنه رکن الدین سمنانی.</w:t>
      </w:r>
    </w:p>
    <w:p>
      <w:pPr>
        <w:pStyle w:val="Heading3"/>
      </w:pPr>
      <w:bookmarkStart w:id="4192" w:name="_Toc2888"/>
      <w:r>
        <w:t>2243- دیوان رکن الدین زیارتگاهی أو شعره‏</w:t>
      </w:r>
      <w:bookmarkEnd w:id="4192"/>
    </w:p>
    <w:p>
      <w:pPr>
        <w:pStyle w:val="BookText"/>
      </w:pPr>
      <w:r>
        <w:rPr>
          <w:rFonts w:ascii="IRNazanin" w:hAnsi="IRNazanin" w:eastAsia="IRNazanin" w:cs="IRNazanin"/>
          <w:lang w:bidi="fa-IR"/>
          <w:color w:val="111111"/>
          <w:sz w:val="28"/>
          <w:szCs w:val="28"/>
          <w:rtl/>
        </w:rPr>
        <w:t xml:space="preserve">و هو ابن القاضی أبی المعانی أورد شعره فی طبقات أکبری (ج 2 ص 515) و لعله الذی ذکره فی (تغ- ص 60) بعنوان رکن الدین مسعود الکاشانی معاصر جلال الدین أکبر شاه.</w:t>
      </w:r>
    </w:p>
    <w:p>
      <w:pPr>
        <w:pStyle w:val="Heading3"/>
      </w:pPr>
      <w:bookmarkStart w:id="4193" w:name="_Toc2889"/>
      <w:r>
        <w:t>دیوان رکن الدین سمنانی‏</w:t>
      </w:r>
      <w:bookmarkEnd w:id="4193"/>
    </w:p>
    <w:p>
      <w:pPr>
        <w:pStyle w:val="BookText"/>
      </w:pPr>
      <w:r>
        <w:rPr>
          <w:rFonts w:ascii="IRNazanin" w:hAnsi="IRNazanin" w:eastAsia="IRNazanin" w:cs="IRNazanin"/>
          <w:lang w:bidi="fa-IR"/>
          <w:color w:val="111111"/>
          <w:sz w:val="28"/>
          <w:szCs w:val="28"/>
          <w:rtl/>
        </w:rPr>
        <w:t xml:space="preserve">و هو علاء الدولة السمنانی یأتی بهذا العنوان.</w:t>
      </w:r>
    </w:p>
    <w:p>
      <w:pPr>
        <w:pStyle w:val="Heading3"/>
      </w:pPr>
      <w:bookmarkStart w:id="4194" w:name="_Toc2890"/>
      <w:r>
        <w:t>2244- دیوان رکن الدین قبائی‏</w:t>
      </w:r>
      <w:bookmarkEnd w:id="4194"/>
    </w:p>
    <w:p>
      <w:pPr>
        <w:pStyle w:val="BookText"/>
      </w:pPr>
      <w:r>
        <w:rPr>
          <w:rFonts w:ascii="IRNazanin" w:hAnsi="IRNazanin" w:eastAsia="IRNazanin" w:cs="IRNazanin"/>
          <w:lang w:bidi="fa-IR"/>
          <w:color w:val="111111"/>
          <w:sz w:val="28"/>
          <w:szCs w:val="28"/>
          <w:rtl/>
        </w:rPr>
        <w:t xml:space="preserve">من شعراء قبا بترکستان من ما وراء النهر.</w:t>
      </w:r>
    </w:p>
    <w:p>
      <w:pPr>
        <w:pStyle w:val="BookText"/>
      </w:pPr>
      <w:r>
        <w:rPr>
          <w:rFonts w:ascii="IRNazanin" w:hAnsi="IRNazanin" w:eastAsia="IRNazanin" w:cs="IRNazanin"/>
          <w:lang w:bidi="fa-IR"/>
          <w:color w:val="111111"/>
          <w:sz w:val="28"/>
          <w:szCs w:val="28"/>
          <w:rtl/>
        </w:rPr>
        <w:t xml:space="preserve">جاء من وطنه إلی العراق العجمی. کان تلمیذ أثیر الدین الأومانی و أستاذ پوربها الجامی، و ناظر فی أصفهان بدر الدین الجاجرمی، و کان شعره أفضل من شعر بدر. ترجمه دولت شاه فی الطبقة الثالثة کذلک و أورد شعره فی حق الخواجة عز الدین. و فی (تش- ص 344) سمی ممدوحه معز الدین طاهر بدل عز الدین، و عنهم أخذ فی (روشن- ص 257) و قد</w:t>
      </w:r>
    </w:p>
    <w:p>
      <w:pPr>
        <w:pStyle w:val="BookText"/>
      </w:pPr>
      <w:r>
        <w:rPr>
          <w:rFonts w:ascii="IRNazanin" w:hAnsi="IRNazanin" w:eastAsia="IRNazanin" w:cs="IRNazanin"/>
          <w:lang w:bidi="fa-IR"/>
          <w:color w:val="111111"/>
          <w:sz w:val="28"/>
          <w:szCs w:val="28"/>
          <w:rtl/>
        </w:rPr>
        <w:t xml:space="preserve">رأی سنگلاخ نسختین من أشعاره أحدهما بخط خلیل قلندر الهروی و الثانی بخط إبراهیم بن المیر عماد فذکرهما فی (امتحان الفضلاء- ج 1 ص 256 و 292).</w:t>
      </w:r>
    </w:p>
    <w:p>
      <w:pPr>
        <w:pStyle w:val="Heading3"/>
      </w:pPr>
      <w:bookmarkStart w:id="4195" w:name="_Toc2891"/>
      <w:r>
        <w:t>دیوان رکن الدین قمی‏</w:t>
      </w:r>
      <w:bookmarkEnd w:id="4195"/>
    </w:p>
    <w:p>
      <w:pPr>
        <w:pStyle w:val="BookText"/>
      </w:pPr>
      <w:r>
        <w:rPr>
          <w:rFonts w:ascii="IRNazanin" w:hAnsi="IRNazanin" w:eastAsia="IRNazanin" w:cs="IRNazanin"/>
          <w:lang w:bidi="fa-IR"/>
          <w:color w:val="111111"/>
          <w:sz w:val="28"/>
          <w:szCs w:val="28"/>
          <w:rtl/>
        </w:rPr>
        <w:t xml:space="preserve">مر بعنوان حکیم رکن الدین فی (ص 261).</w:t>
      </w:r>
    </w:p>
    <w:p>
      <w:pPr>
        <w:pStyle w:val="Heading3"/>
      </w:pPr>
      <w:bookmarkStart w:id="4196" w:name="_Toc2892"/>
      <w:r>
        <w:t>2245- دیوان رکن الدین قمی‏</w:t>
      </w:r>
      <w:bookmarkEnd w:id="4196"/>
    </w:p>
    <w:p>
      <w:pPr>
        <w:pStyle w:val="BookText"/>
      </w:pPr>
      <w:r>
        <w:rPr>
          <w:rFonts w:ascii="IRNazanin" w:hAnsi="IRNazanin" w:eastAsia="IRNazanin" w:cs="IRNazanin"/>
          <w:lang w:bidi="fa-IR"/>
          <w:color w:val="111111"/>
          <w:sz w:val="28"/>
          <w:szCs w:val="28"/>
          <w:rtl/>
        </w:rPr>
        <w:t xml:space="preserve">أصله من قم و یصل نسبه بثلاثة آباء إلی دعویدار القمی و لذلک کان یعرف بالقاضی رکن الدین دعویدار. کان ماهرا فی النظم و النثر العربی و الفارسی و کان معاصرا للسلاطین الأتابکیة و مدحهم بقصائد کثیرة و قد نصبوه‏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79" w:name="pg11704_121859"/>
    <w:bookmarkEnd w:id="379"/>
    <w:p>
      <w:pPr>
        <w:pStyle w:val="BookText"/>
      </w:pPr>
      <w:r>
        <w:rPr>
          <w:rFonts w:ascii="IRNazanin" w:hAnsi="IRNazanin" w:eastAsia="IRNazanin" w:cs="IRNazanin"/>
          <w:lang w:bidi="fa-IR"/>
          <w:color w:val="111111"/>
          <w:sz w:val="28"/>
          <w:szCs w:val="28"/>
          <w:rtl/>
        </w:rPr>
        <w:t xml:space="preserve">قاضیا مفتیا بقم، کذا وصفه فی (تش- ص 231) و فی (مع 1 ص 236) ذکر أنه کان معاصرا لکمال إسماعیل الأصفهانی و أثیر الدین الأومانی (المتوفی 656) و قال سنگلاخ فی امتحان الفضلاء- ج 2 ص 152 إنه رأی (85 ورقة) من قریضة بخط جمشید خوشنویس. (أقول) و لعله من ولد الشیخ هبة الله بن دعویدار الراوی عن الدوریستی الذی عده شیخنا النوری فی خاتمة المستدرک- ص 490 السادس عشر من مشایخ القطب الراوندی (المتوفی (573).</w:t>
      </w:r>
    </w:p>
    <w:p>
      <w:pPr>
        <w:pStyle w:val="Heading3"/>
      </w:pPr>
      <w:bookmarkStart w:id="4197" w:name="_Toc2893"/>
      <w:r>
        <w:t>دیوان رکن الدین کاشی‏</w:t>
      </w:r>
      <w:bookmarkEnd w:id="4197"/>
    </w:p>
    <w:p>
      <w:pPr>
        <w:pStyle w:val="BookText"/>
      </w:pPr>
      <w:r>
        <w:rPr>
          <w:rFonts w:ascii="IRNazanin" w:hAnsi="IRNazanin" w:eastAsia="IRNazanin" w:cs="IRNazanin"/>
          <w:lang w:bidi="fa-IR"/>
          <w:color w:val="111111"/>
          <w:sz w:val="28"/>
          <w:szCs w:val="28"/>
          <w:rtl/>
        </w:rPr>
        <w:t xml:space="preserve">راجع دیوان رکن الدین زیارتگاهی و مسیح کاشانی.</w:t>
      </w:r>
    </w:p>
    <w:p>
      <w:pPr>
        <w:pStyle w:val="Heading3"/>
      </w:pPr>
      <w:bookmarkStart w:id="4198" w:name="_Toc2894"/>
      <w:r>
        <w:t>دیوان رکن الدین مکرانی‏</w:t>
      </w:r>
      <w:bookmarkEnd w:id="4198"/>
    </w:p>
    <w:p>
      <w:pPr>
        <w:pStyle w:val="BookText"/>
      </w:pPr>
      <w:r>
        <w:rPr>
          <w:rFonts w:ascii="IRNazanin" w:hAnsi="IRNazanin" w:eastAsia="IRNazanin" w:cs="IRNazanin"/>
          <w:lang w:bidi="fa-IR"/>
          <w:color w:val="111111"/>
          <w:sz w:val="28"/>
          <w:szCs w:val="28"/>
          <w:rtl/>
        </w:rPr>
        <w:t xml:space="preserve">من شعراء عهد غازان خان. أورد شعره فی (روشن- ص 255) و أظنه رکن کرمانی الآتی.</w:t>
      </w:r>
    </w:p>
    <w:p>
      <w:pPr>
        <w:pStyle w:val="Heading3"/>
      </w:pPr>
      <w:bookmarkStart w:id="4199" w:name="_Toc2895"/>
      <w:r>
        <w:t>دیوان رکن سمنانی‏</w:t>
      </w:r>
      <w:bookmarkEnd w:id="4199"/>
    </w:p>
    <w:p>
      <w:pPr>
        <w:pStyle w:val="BookText"/>
      </w:pPr>
      <w:r>
        <w:rPr>
          <w:rFonts w:ascii="IRNazanin" w:hAnsi="IRNazanin" w:eastAsia="IRNazanin" w:cs="IRNazanin"/>
          <w:lang w:bidi="fa-IR"/>
          <w:color w:val="111111"/>
          <w:sz w:val="28"/>
          <w:szCs w:val="28"/>
          <w:rtl/>
        </w:rPr>
        <w:t xml:space="preserve">مر بعنوان رکن الدین سمنانی.</w:t>
      </w:r>
    </w:p>
    <w:p>
      <w:pPr>
        <w:pStyle w:val="Heading3"/>
      </w:pPr>
      <w:bookmarkStart w:id="4200" w:name="_Toc2896"/>
      <w:r>
        <w:t>2246- دیوان رکن سمنانی‏</w:t>
      </w:r>
      <w:bookmarkEnd w:id="4200"/>
    </w:p>
    <w:p>
      <w:pPr>
        <w:pStyle w:val="BookText"/>
      </w:pPr>
      <w:r>
        <w:rPr>
          <w:rFonts w:ascii="IRNazanin" w:hAnsi="IRNazanin" w:eastAsia="IRNazanin" w:cs="IRNazanin"/>
          <w:lang w:bidi="fa-IR"/>
          <w:color w:val="111111"/>
          <w:sz w:val="28"/>
          <w:szCs w:val="28"/>
          <w:rtl/>
        </w:rPr>
        <w:t xml:space="preserve">و اسمه رکن الدین صائن من أولاد قضاة سمنان نصبه طغی تیمور- الذی جلس مکان السلطان أبی سعید حاکما علی أسترآباد و جرجان و قتل (754)- إماما للجماعة ثم حبسه. و له ده‏نامه و دیوانه معروف فی العراق العجمی.</w:t>
      </w:r>
    </w:p>
    <w:p>
      <w:pPr>
        <w:pStyle w:val="BookText"/>
      </w:pPr>
      <w:r>
        <w:rPr>
          <w:rFonts w:ascii="IRNazanin" w:hAnsi="IRNazanin" w:eastAsia="IRNazanin" w:cs="IRNazanin"/>
          <w:lang w:bidi="fa-IR"/>
          <w:color w:val="111111"/>
          <w:sz w:val="28"/>
          <w:szCs w:val="28"/>
          <w:rtl/>
        </w:rPr>
        <w:t xml:space="preserve">کذا ترجمه و أطری غزله دولت شاه فی الطبقة الرابعة. و عنه نقل فی (تش ص 80) و (خوش‏گو) و عن هفت إقلیم أنه هروی معاصر للمیر مظفر، و دیوانه متداول. و هو غیر رکن الدین الأسترآبادی المتوفی (725) المذکور فی شاهد صادق. و لأصحاب التذاکر فیه خلاف فقد یذکرونه بتخلص صائن ترک أصفهانی أو صائن هروی و مات (765) کما فی (روشن- ص 256) و گلشن. و راجع دیوان صائن.</w:t>
      </w:r>
    </w:p>
    <w:p>
      <w:pPr>
        <w:pStyle w:val="Heading3"/>
      </w:pPr>
      <w:bookmarkStart w:id="4201" w:name="_Toc2897"/>
      <w:r>
        <w:t>2247- دیوان رکن کرمانی‏</w:t>
      </w:r>
      <w:bookmarkEnd w:id="4201"/>
    </w:p>
    <w:p>
      <w:pPr>
        <w:pStyle w:val="BookText"/>
      </w:pPr>
      <w:r>
        <w:rPr>
          <w:rFonts w:ascii="IRNazanin" w:hAnsi="IRNazanin" w:eastAsia="IRNazanin" w:cs="IRNazanin"/>
          <w:lang w:bidi="fa-IR"/>
          <w:color w:val="111111"/>
          <w:sz w:val="28"/>
          <w:szCs w:val="28"/>
          <w:rtl/>
        </w:rPr>
        <w:t xml:space="preserve">هو رکن الدین بن رفیع الدین الکرمانی- المذکور فی ص 388- معاصر حمد الله المستوفی. ذکره فی تاریخ گزیده (ص 818) و قال طلبت منه دیوانه. و له شعر حسن. (أقول) و جاء فی فهرس دیوان الهند بلندن (العدد 934) دیوان ظهیر الدین شفروه، و أورد علیه القزوینی فی تعلیقاته علی اللباب (ص 360) أن تلک النسخة هی دیوان رکن الکرمانی لا شفروه. و تخلص الشاعر (رکن) و یمدح فیه ملوک آل مظفر مثل مبارز الدین محمد المظفر (718- 759) و ابنه جلال الدین شاه شجاع (759- 786) ثم ابنه الآخر قطب الدین شاه محمود (759- 776) و یذکر الشاه‏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80" w:name="pg11704_121860"/>
    <w:bookmarkEnd w:id="380"/>
    <w:p>
      <w:pPr>
        <w:pStyle w:val="BookText"/>
      </w:pPr>
      <w:r>
        <w:rPr>
          <w:rFonts w:ascii="IRNazanin" w:hAnsi="IRNazanin" w:eastAsia="IRNazanin" w:cs="IRNazanin"/>
          <w:lang w:bidi="fa-IR"/>
          <w:color w:val="111111"/>
          <w:sz w:val="28"/>
          <w:szCs w:val="28"/>
          <w:rtl/>
        </w:rPr>
        <w:t xml:space="preserve">أبو إسحاق الذی حارب مبارز الدین، بقوله:</w:t>
      </w:r>
    </w:p>
    <w:p>
      <w:pPr>
        <w:pStyle w:val="BookText"/>
      </w:pPr>
      <w:r>
        <w:rPr>
          <w:rFonts w:ascii="IRNazanin" w:hAnsi="IRNazanin" w:eastAsia="IRNazanin" w:cs="IRNazanin"/>
          <w:lang w:bidi="fa-IR"/>
          <w:color w:val="111111"/>
          <w:sz w:val="28"/>
          <w:szCs w:val="28"/>
          <w:rtl/>
        </w:rPr>
        <w:t xml:space="preserve">صریح اکنون بگویم تا بدانی‏</w:t>
      </w:r>
    </w:p>
    <w:p>
      <w:pPr>
        <w:pStyle w:val="BookText"/>
      </w:pPr>
      <w:r>
        <w:rPr>
          <w:rFonts w:ascii="IRNazanin" w:hAnsi="IRNazanin" w:eastAsia="IRNazanin" w:cs="IRNazanin"/>
          <w:lang w:bidi="fa-IR"/>
          <w:color w:val="111111"/>
          <w:sz w:val="28"/>
          <w:szCs w:val="28"/>
          <w:rtl/>
        </w:rPr>
        <w:t xml:space="preserve">أبو إسحاق ابن محمود شاه است‏</w:t>
      </w:r>
    </w:p>
    <w:p>
      <w:pPr>
        <w:pStyle w:val="BookText"/>
      </w:pPr>
      <w:r>
        <w:rPr>
          <w:rFonts w:ascii="IRNazanin" w:hAnsi="IRNazanin" w:eastAsia="IRNazanin" w:cs="IRNazanin"/>
          <w:lang w:bidi="fa-IR"/>
          <w:color w:val="111111"/>
          <w:sz w:val="28"/>
          <w:szCs w:val="28"/>
          <w:rtl/>
        </w:rPr>
        <w:t xml:space="preserve">و رأیت نسخه أخری منه فی مکتبة (التقوی).</w:t>
      </w:r>
    </w:p>
    <w:p>
      <w:pPr>
        <w:pStyle w:val="Heading3"/>
      </w:pPr>
      <w:bookmarkStart w:id="4202" w:name="_Toc2898"/>
      <w:r>
        <w:t>2248- دیوان ملا رکنی نیشابوری أو شعره‏</w:t>
      </w:r>
      <w:bookmarkEnd w:id="4202"/>
    </w:p>
    <w:p>
      <w:pPr>
        <w:pStyle w:val="BookText"/>
      </w:pPr>
      <w:r>
        <w:rPr>
          <w:rFonts w:ascii="IRNazanin" w:hAnsi="IRNazanin" w:eastAsia="IRNazanin" w:cs="IRNazanin"/>
          <w:lang w:bidi="fa-IR"/>
          <w:color w:val="111111"/>
          <w:sz w:val="28"/>
          <w:szCs w:val="28"/>
          <w:rtl/>
        </w:rPr>
        <w:t xml:space="preserve">تلمیذ السید المیر حسین بن محمد الحسینی الشیرازی النیشابوری المعروف بالمیر حسین المعمائی المتوفی (904) و قد نظم تاریخه هذا التلمیذ فی رباعیة أوردها النصرآبادی فی (نر 13- ص 471) ثم فی (نر 15- ص 521) أورده بعنوان رکنی النیشابوری و قال إنه شرح رسالة المعمی تألیف أستاذه و أورد له شعرا واحدا یستخرج منه أسماء کثیرة.</w:t>
      </w:r>
    </w:p>
    <w:p>
      <w:pPr>
        <w:pStyle w:val="Heading3"/>
      </w:pPr>
      <w:bookmarkStart w:id="4203" w:name="_Toc2899"/>
      <w:r>
        <w:t>2249- دیوان رمزی أصفهانی أو شعره‏</w:t>
      </w:r>
      <w:bookmarkEnd w:id="4203"/>
    </w:p>
    <w:p>
      <w:pPr>
        <w:pStyle w:val="BookText"/>
      </w:pPr>
      <w:r>
        <w:rPr>
          <w:rFonts w:ascii="IRNazanin" w:hAnsi="IRNazanin" w:eastAsia="IRNazanin" w:cs="IRNazanin"/>
          <w:lang w:bidi="fa-IR"/>
          <w:color w:val="111111"/>
          <w:sz w:val="28"/>
          <w:szCs w:val="28"/>
          <w:rtl/>
        </w:rPr>
        <w:t xml:space="preserve">کان رمال الشاه طهماسب، و مات بقم. أورد شعره فی (روشن- ص 258).</w:t>
      </w:r>
    </w:p>
    <w:p>
      <w:pPr>
        <w:pStyle w:val="Heading3"/>
      </w:pPr>
      <w:bookmarkStart w:id="4204" w:name="_Toc2900"/>
      <w:r>
        <w:t>2250- دیوان رمزی تبریزی أو شعره‏</w:t>
      </w:r>
      <w:bookmarkEnd w:id="4204"/>
    </w:p>
    <w:p>
      <w:pPr>
        <w:pStyle w:val="BookText"/>
      </w:pPr>
      <w:r>
        <w:rPr>
          <w:rFonts w:ascii="IRNazanin" w:hAnsi="IRNazanin" w:eastAsia="IRNazanin" w:cs="IRNazanin"/>
          <w:lang w:bidi="fa-IR"/>
          <w:color w:val="111111"/>
          <w:sz w:val="28"/>
          <w:szCs w:val="28"/>
          <w:rtl/>
        </w:rPr>
        <w:t xml:space="preserve">سماه فی (دجا- ص 161) رمزی بابا و قال هو من شعراء أواخر القرن الثالث عشر بتبریز، و سکن إستانبول. و کان معاصر لعلی، و آهی و راجی، و شکوهی الذی رآه فی (1302) و ذکره فی دیوانه و جاء شعره فی (پژمان- ص 824).</w:t>
      </w:r>
    </w:p>
    <w:p>
      <w:pPr>
        <w:pStyle w:val="Heading3"/>
      </w:pPr>
      <w:bookmarkStart w:id="4205" w:name="_Toc2901"/>
      <w:r>
        <w:t>2251- دیوان رمزی کاشانی‏</w:t>
      </w:r>
      <w:bookmarkEnd w:id="4205"/>
    </w:p>
    <w:p>
      <w:pPr>
        <w:pStyle w:val="BookText"/>
      </w:pPr>
      <w:r>
        <w:rPr>
          <w:rFonts w:ascii="IRNazanin" w:hAnsi="IRNazanin" w:eastAsia="IRNazanin" w:cs="IRNazanin"/>
          <w:lang w:bidi="fa-IR"/>
          <w:color w:val="111111"/>
          <w:sz w:val="28"/>
          <w:szCs w:val="28"/>
          <w:rtl/>
        </w:rPr>
        <w:t xml:space="preserve">معاصر النصرآبادی الذی ذکره فی (نر 9 و 13 ص 373 و 484) و معاصر المؤرخ ولی قلی شاملو ابن داود قلی مؤلف قصص الخاقانی المرتب علی مقدمه و ثلاثة أبواب و خاتمة، و کان تألیفه باسم الشاه عباس الثانی (1073) و اسمه تاریخه و قد ذکر فی الخاتمة جمعا من العلماء و الشعراء المعاصرین له، و منهم المولی رمزی الذی اسمه هادی و والده حبیب و قال النصرآبادی إن اسمه محمد هادی و والده الحاج حبیب الله الکاشانی و أطریاه حتی قال النصرآبادی لا یوجد لطیفة أو مثل فی العالم الا و قد نظمها رمزی و هو ماهر فی چوب تراشی ثم أورد بعض رباعیاته و غزله و ذکر شاملو أن رمزی نظم أکثر من اثنی عشر ألف بیت و عمره نیف و ثلاثون سنة فی وقت تألیفه، فیظهر أنه ولد حدود (1040) و صرح النصرآبادی بکونه حیا فی أصفهان فی حین تألیفه (1083) و له مثنویان أحدهما رمز الریاحین الموجود منتخب منه فی مکتبة (المجلس) و ذکر ابن یوسف خصوصیاته فی فهرسها (ج 3- ص 706) و الآخر رمز الحقائق و ترجمه‏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81" w:name="pg11704_121861"/>
    <w:bookmarkEnd w:id="381"/>
    <w:p>
      <w:pPr>
        <w:pStyle w:val="BookText"/>
      </w:pPr>
      <w:r>
        <w:rPr>
          <w:rFonts w:ascii="IRNazanin" w:hAnsi="IRNazanin" w:eastAsia="IRNazanin" w:cs="IRNazanin"/>
          <w:lang w:bidi="fa-IR"/>
          <w:color w:val="111111"/>
          <w:sz w:val="28"/>
          <w:szCs w:val="28"/>
          <w:rtl/>
        </w:rPr>
        <w:t xml:space="preserve">أیضا فی (تش- ص 243) مختصرا، و أورد شعره. و قال فی (خوش‏گو) إن شغله (چوب تراشی) و کذا فی (گلشن- ص 184).</w:t>
      </w:r>
    </w:p>
    <w:p>
      <w:pPr>
        <w:pStyle w:val="Heading3"/>
      </w:pPr>
      <w:bookmarkStart w:id="4206" w:name="_Toc2902"/>
      <w:r>
        <w:t>2252- دیوان رمزی همدانی أو شعره‏</w:t>
      </w:r>
      <w:bookmarkEnd w:id="4206"/>
    </w:p>
    <w:p>
      <w:pPr>
        <w:pStyle w:val="BookText"/>
      </w:pPr>
      <w:r>
        <w:rPr>
          <w:rFonts w:ascii="IRNazanin" w:hAnsi="IRNazanin" w:eastAsia="IRNazanin" w:cs="IRNazanin"/>
          <w:lang w:bidi="fa-IR"/>
          <w:color w:val="111111"/>
          <w:sz w:val="28"/>
          <w:szCs w:val="28"/>
          <w:rtl/>
        </w:rPr>
        <w:t xml:space="preserve">ترجمه معاصره سام میرزا فی (تس 5- ص 148) و أورد مطلع غزله.</w:t>
      </w:r>
    </w:p>
    <w:p>
      <w:pPr>
        <w:pStyle w:val="Heading3"/>
      </w:pPr>
      <w:bookmarkStart w:id="4207" w:name="_Toc2903"/>
      <w:r>
        <w:t>2253- دیوان رمزی هندی‏</w:t>
      </w:r>
      <w:bookmarkEnd w:id="4207"/>
    </w:p>
    <w:p>
      <w:pPr>
        <w:pStyle w:val="BookText"/>
      </w:pPr>
      <w:r>
        <w:rPr>
          <w:rFonts w:ascii="IRNazanin" w:hAnsi="IRNazanin" w:eastAsia="IRNazanin" w:cs="IRNazanin"/>
          <w:lang w:bidi="fa-IR"/>
          <w:color w:val="111111"/>
          <w:sz w:val="28"/>
          <w:szCs w:val="28"/>
          <w:rtl/>
        </w:rPr>
        <w:t xml:space="preserve">کان فی جند الشاه‏زاده محمد شجاع. و له دیوان مختصر أورد منه فی (خوش‏گو).</w:t>
      </w:r>
    </w:p>
    <w:p>
      <w:pPr>
        <w:pStyle w:val="Heading3"/>
      </w:pPr>
      <w:bookmarkStart w:id="4208" w:name="_Toc2904"/>
      <w:r>
        <w:t>دیوان مولانا رمضان‏</w:t>
      </w:r>
      <w:bookmarkEnd w:id="4208"/>
    </w:p>
    <w:p>
      <w:pPr>
        <w:pStyle w:val="BookText"/>
      </w:pPr>
      <w:r>
        <w:rPr>
          <w:rFonts w:ascii="IRNazanin" w:hAnsi="IRNazanin" w:eastAsia="IRNazanin" w:cs="IRNazanin"/>
          <w:lang w:bidi="fa-IR"/>
          <w:color w:val="111111"/>
          <w:sz w:val="28"/>
          <w:szCs w:val="28"/>
          <w:rtl/>
        </w:rPr>
        <w:t xml:space="preserve">یأتی بتخلصه فنائی. و اسمه رمضان الصحاف الأسترآبادی.</w:t>
      </w:r>
    </w:p>
    <w:p>
      <w:pPr>
        <w:pStyle w:val="Heading3"/>
      </w:pPr>
      <w:bookmarkStart w:id="4209" w:name="_Toc2905"/>
      <w:r>
        <w:t>2254- دیوان رند</w:t>
      </w:r>
      <w:bookmarkEnd w:id="4209"/>
    </w:p>
    <w:p>
      <w:pPr>
        <w:pStyle w:val="BookText"/>
      </w:pPr>
      <w:r>
        <w:rPr>
          <w:rFonts w:ascii="IRNazanin" w:hAnsi="IRNazanin" w:eastAsia="IRNazanin" w:cs="IRNazanin"/>
          <w:lang w:bidi="fa-IR"/>
          <w:color w:val="111111"/>
          <w:sz w:val="28"/>
          <w:szCs w:val="28"/>
          <w:rtl/>
        </w:rPr>
        <w:t xml:space="preserve">طبع بنولکشور بالهند کما فی فهرس مطبوعاتها.</w:t>
      </w:r>
    </w:p>
    <w:p>
      <w:pPr>
        <w:pStyle w:val="Heading3"/>
      </w:pPr>
      <w:bookmarkStart w:id="4210" w:name="_Toc2906"/>
      <w:r>
        <w:t>2255- دیوان رندی البغدادی‏</w:t>
      </w:r>
      <w:bookmarkEnd w:id="4210"/>
    </w:p>
    <w:p>
      <w:pPr>
        <w:pStyle w:val="BookText"/>
      </w:pPr>
      <w:r>
        <w:rPr>
          <w:rFonts w:ascii="IRNazanin" w:hAnsi="IRNazanin" w:eastAsia="IRNazanin" w:cs="IRNazanin"/>
          <w:lang w:bidi="fa-IR"/>
          <w:color w:val="111111"/>
          <w:sz w:val="28"/>
          <w:szCs w:val="28"/>
          <w:rtl/>
        </w:rPr>
        <w:t xml:space="preserve">ترجمه معاصره سام میرزا فی (تس 5- ص 151) و أورد مطلع غزله الفارسی. و هو معاصر لروحی بغدادی المتوفی (1014) و قد ذکره فی قصیدته فنقل عنها العزاوی فی العراق بین الاحتلالین- ج 4- ص 150. و جاء شعره فی گلستان مسرت- ص 243 و (روشن- ص 259).</w:t>
      </w:r>
    </w:p>
    <w:p>
      <w:pPr>
        <w:pStyle w:val="Heading3"/>
      </w:pPr>
      <w:bookmarkStart w:id="4211" w:name="_Toc2907"/>
      <w:r>
        <w:t>2256- دیوان رنگین دهلوی‏</w:t>
      </w:r>
      <w:bookmarkEnd w:id="4211"/>
    </w:p>
    <w:p>
      <w:pPr>
        <w:pStyle w:val="BookText"/>
      </w:pPr>
      <w:r>
        <w:rPr>
          <w:rFonts w:ascii="IRNazanin" w:hAnsi="IRNazanin" w:eastAsia="IRNazanin" w:cs="IRNazanin"/>
          <w:lang w:bidi="fa-IR"/>
          <w:color w:val="111111"/>
          <w:sz w:val="28"/>
          <w:szCs w:val="28"/>
          <w:rtl/>
        </w:rPr>
        <w:t xml:space="preserve">و هو سعادت یار خان بن محکم الدولة المیرزا طهماسب المتوفی (1251). له أربعة دواوین بالأردویة. أورد شعره الفارسی فی (روشن- ص 259).</w:t>
      </w:r>
    </w:p>
    <w:p>
      <w:pPr>
        <w:pStyle w:val="Heading3"/>
      </w:pPr>
      <w:bookmarkStart w:id="4212" w:name="_Toc2908"/>
      <w:r>
        <w:t>2257- دیوان روانی أکبرآبادی أو شعره‏</w:t>
      </w:r>
      <w:bookmarkEnd w:id="4212"/>
    </w:p>
    <w:p>
      <w:pPr>
        <w:pStyle w:val="BookText"/>
      </w:pPr>
      <w:r>
        <w:rPr>
          <w:rFonts w:ascii="IRNazanin" w:hAnsi="IRNazanin" w:eastAsia="IRNazanin" w:cs="IRNazanin"/>
          <w:lang w:bidi="fa-IR"/>
          <w:color w:val="111111"/>
          <w:sz w:val="28"/>
          <w:szCs w:val="28"/>
          <w:rtl/>
        </w:rPr>
        <w:t xml:space="preserve">قال فی (خوش‏گو) إن اسمه المیر حیدر من شعراء آخر عهد شاه‏جهان، و کان ألکن اللسان قلیلا. و أما فی (گلشن- ص 184 و 356) فقد ذکره مرتین و أورد شعره مرة بعنوان لکنتی لاهوری فقال هو الملا حیدر أخو ناطق، کان یتخلص أولا روانی ثم بدله لکنتی و أخری بعنوان روانی أکبرآبادی فقال إن اسمه وحید و الظاهر أنه تصحیف. و ذکر فی (نر 11- ص 451) ثلاث إخوة شعراء بتخلص ناطق و أبکم الذی ذکرناه فی (ص 17) و لکنتی و قال إنهم من کشمیر و أتی بشعر ناطق حسب. و هو غیر روانی ترک إلیاس بن شجاع چلبی الأدرنوی المتوفی (930) المذکور فی أسماء المؤلفین (ج 1- 226).</w:t>
      </w:r>
    </w:p>
    <w:p>
      <w:pPr>
        <w:pStyle w:val="Heading3"/>
      </w:pPr>
      <w:bookmarkStart w:id="4213" w:name="_Toc2909"/>
      <w:r>
        <w:t>دیوان روح‏</w:t>
      </w:r>
      <w:bookmarkEnd w:id="4213"/>
    </w:p>
    <w:p>
      <w:pPr>
        <w:pStyle w:val="BookText"/>
      </w:pPr>
      <w:r>
        <w:rPr>
          <w:rFonts w:ascii="IRNazanin" w:hAnsi="IRNazanin" w:eastAsia="IRNazanin" w:cs="IRNazanin"/>
          <w:lang w:bidi="fa-IR"/>
          <w:color w:val="111111"/>
          <w:sz w:val="28"/>
          <w:szCs w:val="28"/>
          <w:rtl/>
        </w:rPr>
        <w:t xml:space="preserve">یأتی بعنوان روح عطار.</w:t>
      </w:r>
    </w:p>
    <w:p>
      <w:pPr>
        <w:pStyle w:val="Heading3"/>
      </w:pPr>
      <w:bookmarkStart w:id="4214" w:name="_Toc2910"/>
      <w:r>
        <w:t>2258- دیوان روحانی‏</w:t>
      </w:r>
      <w:bookmarkEnd w:id="4214"/>
    </w:p>
    <w:p>
      <w:pPr>
        <w:pStyle w:val="BookText"/>
      </w:pPr>
      <w:r>
        <w:rPr>
          <w:rFonts w:ascii="IRNazanin" w:hAnsi="IRNazanin" w:eastAsia="IRNazanin" w:cs="IRNazanin"/>
          <w:lang w:bidi="fa-IR"/>
          <w:color w:val="111111"/>
          <w:sz w:val="28"/>
          <w:szCs w:val="28"/>
          <w:rtl/>
        </w:rPr>
        <w:t xml:space="preserve">فکاهیات نشرت فی جریدة أمید من نظم غلام رضا بن شکر الله المولود بطهران (1314) کما ذکر فی أدبیات معاصر للیاسمی (ص 54).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82" w:name="pg11704_121862"/>
    <w:bookmarkEnd w:id="382"/>
    <w:p>
      <w:pPr>
        <w:pStyle w:val="Heading3"/>
      </w:pPr>
      <w:bookmarkStart w:id="4215" w:name="_Toc2911"/>
      <w:r>
        <w:t>2259- دیوان روحانی تبریزی أو شعره‏</w:t>
      </w:r>
      <w:bookmarkEnd w:id="4215"/>
    </w:p>
    <w:p>
      <w:pPr>
        <w:pStyle w:val="BookText"/>
      </w:pPr>
      <w:r>
        <w:rPr>
          <w:rFonts w:ascii="IRNazanin" w:hAnsi="IRNazanin" w:eastAsia="IRNazanin" w:cs="IRNazanin"/>
          <w:lang w:bidi="fa-IR"/>
          <w:color w:val="111111"/>
          <w:sz w:val="28"/>
          <w:szCs w:val="28"/>
          <w:rtl/>
        </w:rPr>
        <w:t xml:space="preserve">کان معاصر السلطان حسین بایقرا. أورد شعره فی (روشن- ص 261) و عنه فی (دجا- ص 161).</w:t>
      </w:r>
    </w:p>
    <w:p>
      <w:pPr>
        <w:pStyle w:val="Heading3"/>
      </w:pPr>
      <w:bookmarkStart w:id="4216" w:name="_Toc2912"/>
      <w:r>
        <w:t>2260- دیوان روحانی سمرقندی أو شعره‏</w:t>
      </w:r>
      <w:bookmarkEnd w:id="4216"/>
    </w:p>
    <w:p>
      <w:pPr>
        <w:pStyle w:val="BookText"/>
      </w:pPr>
      <w:r>
        <w:rPr>
          <w:rFonts w:ascii="IRNazanin" w:hAnsi="IRNazanin" w:eastAsia="IRNazanin" w:cs="IRNazanin"/>
          <w:lang w:bidi="fa-IR"/>
          <w:color w:val="111111"/>
          <w:sz w:val="28"/>
          <w:szCs w:val="28"/>
          <w:rtl/>
        </w:rPr>
        <w:t xml:space="preserve">قال دولت شاه فی الطبقة الثانیة إنه تلمیذ رشیدی سمرقندی و سیف إسفرنگ و أورد له بیتین فی صفتین ذمیمتین. و سماه فی (تش- ص 333) أبو بکر محمد. و قال فی (حسینی- 132) إنه کان معاصر بهرام شاه و السلطان شمس الدین و أورد القطعة الا أنه ثلاثة أبیات فی ثلاث صفات و أورد فی (نر 14- ص 493) له لغزا. ثم إن هدایت ترجمه فی (مع- ج 1 ص 240) بعنوان الحکیم أبی بکر بن علی الروحانی، و لکن فی (ض- ص 331) سماه روحی و قال هو تلمیذ رشیدی المعروف أرشدی و قال سنگلاخ فی امتحان الفضلاء- ج 1- ص 157 إنه رأی دیوانه بخط محمد سبزواری. و أورد ذکره فی (تغ- ص 60) و قال مات (624).</w:t>
      </w:r>
    </w:p>
    <w:p>
      <w:pPr>
        <w:pStyle w:val="BookText"/>
      </w:pPr>
      <w:r>
        <w:rPr>
          <w:rFonts w:ascii="IRNazanin" w:hAnsi="IRNazanin" w:eastAsia="IRNazanin" w:cs="IRNazanin"/>
          <w:lang w:bidi="fa-IR"/>
          <w:color w:val="111111"/>
          <w:sz w:val="28"/>
          <w:szCs w:val="28"/>
          <w:rtl/>
        </w:rPr>
        <w:t xml:space="preserve">و فی (روشن- ص 261) أورد له قصیدة نظمها فی (623).</w:t>
      </w:r>
    </w:p>
    <w:p>
      <w:pPr>
        <w:pStyle w:val="Heading3"/>
      </w:pPr>
      <w:bookmarkStart w:id="4217" w:name="_Toc2913"/>
      <w:r>
        <w:t>2261- دیوان روحانی شیرازی‏</w:t>
      </w:r>
      <w:bookmarkEnd w:id="4217"/>
    </w:p>
    <w:p>
      <w:pPr>
        <w:pStyle w:val="BookText"/>
      </w:pPr>
      <w:r>
        <w:rPr>
          <w:rFonts w:ascii="IRNazanin" w:hAnsi="IRNazanin" w:eastAsia="IRNazanin" w:cs="IRNazanin"/>
          <w:lang w:bidi="fa-IR"/>
          <w:color w:val="111111"/>
          <w:sz w:val="28"/>
          <w:szCs w:val="28"/>
          <w:rtl/>
        </w:rPr>
        <w:t xml:space="preserve">و هو المیرزا علی بن المیر عبد الوهاب یزدانی بن وصال الشیرازی. ولد بشیراز فی (1257 ش) و مهر فی الأدب و الخط و التصویر و سافر إلی بمبئی فی (1288 ش) و ساح مع نجف قلی میرزا تلک البلاد، و کتب ما رآه بعنوان سفرنامه ثم سافر مرة ثانیة إلی الهند فی (1297 ش) و رجع، و من آثاره نظم بینوایان لویکتور هوگو و گلشن وصال فی أحوال أقربائه أولاد وصال. ترجمه مختصرا فی (عم- ص 364) و عنه فی الریحانة و فصله البرقعی فی سخنوران نامی معاصر ج 2- ص 139. و أورد شعره (پژمان- ص 157 و 825).</w:t>
      </w:r>
    </w:p>
    <w:p>
      <w:pPr>
        <w:pStyle w:val="Heading3"/>
      </w:pPr>
      <w:bookmarkStart w:id="4218" w:name="_Toc2914"/>
      <w:r>
        <w:t>2262- دیوان روح الأمین‏</w:t>
      </w:r>
      <w:bookmarkEnd w:id="4218"/>
    </w:p>
    <w:p>
      <w:pPr>
        <w:pStyle w:val="BookText"/>
      </w:pPr>
      <w:r>
        <w:rPr>
          <w:rFonts w:ascii="IRNazanin" w:hAnsi="IRNazanin" w:eastAsia="IRNazanin" w:cs="IRNazanin"/>
          <w:lang w:bidi="fa-IR"/>
          <w:color w:val="111111"/>
          <w:sz w:val="28"/>
          <w:szCs w:val="28"/>
          <w:rtl/>
        </w:rPr>
        <w:t xml:space="preserve">الملقب بمیر جملة الأصفهانی ناظم الخمسة المذکورة مفصلا فی (ج 7 ص 260) و دیوان غزلیاته هذا مرتب علی حروف القوافی. نسخه منه فی مکتبة المجلس و قد أسقط منها قافیة المیم و النون و الهاء، و یقرب البقیة من خمسة آلاف بیت کما</w:t>
      </w:r>
    </w:p>
    <w:p>
      <w:pPr>
        <w:pStyle w:val="BookText"/>
      </w:pPr>
      <w:r>
        <w:rPr>
          <w:rFonts w:ascii="IRNazanin" w:hAnsi="IRNazanin" w:eastAsia="IRNazanin" w:cs="IRNazanin"/>
          <w:lang w:bidi="fa-IR"/>
          <w:color w:val="111111"/>
          <w:sz w:val="28"/>
          <w:szCs w:val="28"/>
          <w:rtl/>
        </w:rPr>
        <w:t xml:space="preserve">ذکره ابن یوسف فی فهرسها مفصلا (ج 3- ص 291) و ترجمه مفصلا فی (خوش‏گو) و (تغ- ص 60) و (روشن- ص 261).</w:t>
      </w:r>
    </w:p>
    <w:p>
      <w:pPr>
        <w:pStyle w:val="Heading3"/>
      </w:pPr>
      <w:bookmarkStart w:id="4219" w:name="_Toc2915"/>
      <w:r>
        <w:t>2263- دیوان روح الأمین البلگرامی‏</w:t>
      </w:r>
      <w:bookmarkEnd w:id="4219"/>
    </w:p>
    <w:p>
      <w:pPr>
        <w:pStyle w:val="BookText"/>
      </w:pPr>
      <w:r>
        <w:rPr>
          <w:rFonts w:ascii="IRNazanin" w:hAnsi="IRNazanin" w:eastAsia="IRNazanin" w:cs="IRNazanin"/>
          <w:lang w:bidi="fa-IR"/>
          <w:color w:val="111111"/>
          <w:sz w:val="28"/>
          <w:szCs w:val="28"/>
          <w:rtl/>
        </w:rPr>
        <w:t xml:space="preserve">هو ابن القاضی محمد سعید. توجد نسخه مخطوطة منه فی (بنگاله).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83" w:name="pg11704_121863"/>
    <w:bookmarkEnd w:id="383"/>
    <w:p>
      <w:pPr>
        <w:pStyle w:val="Heading3"/>
      </w:pPr>
      <w:bookmarkStart w:id="4220" w:name="_Toc2916"/>
      <w:r>
        <w:t>2264- دیوان روح عطار شیرازی‏</w:t>
      </w:r>
      <w:bookmarkEnd w:id="4220"/>
    </w:p>
    <w:p>
      <w:pPr>
        <w:pStyle w:val="BookText"/>
      </w:pPr>
      <w:r>
        <w:rPr>
          <w:rFonts w:ascii="IRNazanin" w:hAnsi="IRNazanin" w:eastAsia="IRNazanin" w:cs="IRNazanin"/>
          <w:lang w:bidi="fa-IR"/>
          <w:color w:val="111111"/>
          <w:sz w:val="28"/>
          <w:szCs w:val="28"/>
          <w:rtl/>
        </w:rPr>
        <w:t xml:space="preserve">کما یظهر من بعض أشعاره و صرح بتخلص روح عطار فی أول أشعاره و کذا فی شعره الأخیر، و قد یتخلص بروح فقط فی بعض أشعاره، و فی بعضها بروحی عطار، و فی أوائله یمدح الخواجة قوام الدین محمد بن علی المعروف بصاحب عیار و المقتول (764) و فیه محاکمته بین شعر الحافظ و سلمان الساوجی، و أورد المحاکمة فی مقدمه تاریخ عصر حافظ (الصفحة- لو). توجد منه نسخه فی مکتبة المجلس تاریخ کتابتها (855) فصل ابن یوسف خصوصیاتها فی فهرسها (ج 3- ص 653).</w:t>
      </w:r>
    </w:p>
    <w:p>
      <w:pPr>
        <w:pStyle w:val="Heading3"/>
      </w:pPr>
      <w:bookmarkStart w:id="4221" w:name="_Toc2917"/>
      <w:r>
        <w:t>دیوان قاضی روح الله قزوینی‏</w:t>
      </w:r>
      <w:bookmarkEnd w:id="4221"/>
    </w:p>
    <w:p>
      <w:pPr>
        <w:pStyle w:val="BookText"/>
      </w:pPr>
      <w:r>
        <w:rPr>
          <w:rFonts w:ascii="IRNazanin" w:hAnsi="IRNazanin" w:eastAsia="IRNazanin" w:cs="IRNazanin"/>
          <w:lang w:bidi="fa-IR"/>
          <w:color w:val="111111"/>
          <w:sz w:val="28"/>
          <w:szCs w:val="28"/>
          <w:rtl/>
        </w:rPr>
        <w:t xml:space="preserve">هو عم المیرزا شرف‏جهان القاضی بقزوین أورد شعره فی (خوش‏گو). (أقول) و لعله الآتی بعنوان شرف قزوینی.</w:t>
      </w:r>
    </w:p>
    <w:p>
      <w:pPr>
        <w:pStyle w:val="Heading3"/>
      </w:pPr>
      <w:bookmarkStart w:id="4222" w:name="_Toc2918"/>
      <w:r>
        <w:t>2265- دیوان روحی أو شعره‏</w:t>
      </w:r>
      <w:bookmarkEnd w:id="4222"/>
    </w:p>
    <w:p>
      <w:pPr>
        <w:pStyle w:val="BookText"/>
      </w:pPr>
      <w:r>
        <w:rPr>
          <w:rFonts w:ascii="IRNazanin" w:hAnsi="IRNazanin" w:eastAsia="IRNazanin" w:cs="IRNazanin"/>
          <w:lang w:bidi="fa-IR"/>
          <w:color w:val="111111"/>
          <w:sz w:val="28"/>
          <w:szCs w:val="28"/>
          <w:rtl/>
        </w:rPr>
        <w:t xml:space="preserve">من شعراء السلطان یعقوب آق‏قوینلو المتوفی (896) ذکره الحکیم شاه محمد فی (قز مج- ص 308) و أورد مطلع غزله. و لعله المذکور فی (سرخوش- ص 43) بعنوان میر روحی و لم یعرفه و أورد شعره.</w:t>
      </w:r>
    </w:p>
    <w:p>
      <w:pPr>
        <w:pStyle w:val="Heading3"/>
      </w:pPr>
      <w:bookmarkStart w:id="4223" w:name="_Toc2919"/>
      <w:r>
        <w:t>2266- دیوان روحی بخارائی أو شعره‏</w:t>
      </w:r>
      <w:bookmarkEnd w:id="4223"/>
    </w:p>
    <w:p>
      <w:pPr>
        <w:pStyle w:val="BookText"/>
      </w:pPr>
      <w:r>
        <w:rPr>
          <w:rFonts w:ascii="IRNazanin" w:hAnsi="IRNazanin" w:eastAsia="IRNazanin" w:cs="IRNazanin"/>
          <w:lang w:bidi="fa-IR"/>
          <w:color w:val="111111"/>
          <w:sz w:val="28"/>
          <w:szCs w:val="28"/>
          <w:rtl/>
        </w:rPr>
        <w:t xml:space="preserve">من ملازمی شیبک خان المحارب مع السلطان حسین میرزا بایقرا. و قد ولاة معدن الفیروزج کما فی (مجتس 6- ص 159) و أورد بعض شعره فیه، و کذا فی (روشن- ص 261).</w:t>
      </w:r>
    </w:p>
    <w:p>
      <w:pPr>
        <w:pStyle w:val="Heading3"/>
      </w:pPr>
      <w:bookmarkStart w:id="4224" w:name="_Toc2920"/>
      <w:r>
        <w:t>2267- دیوان روحی أنار جانی‏</w:t>
      </w:r>
      <w:bookmarkEnd w:id="4224"/>
    </w:p>
    <w:p>
      <w:pPr>
        <w:pStyle w:val="BookText"/>
      </w:pPr>
      <w:r>
        <w:rPr>
          <w:rFonts w:ascii="IRNazanin" w:hAnsi="IRNazanin" w:eastAsia="IRNazanin" w:cs="IRNazanin"/>
          <w:lang w:bidi="fa-IR"/>
          <w:color w:val="111111"/>
          <w:sz w:val="28"/>
          <w:szCs w:val="28"/>
          <w:rtl/>
        </w:rPr>
        <w:t xml:space="preserve">من شعراء آذربایجان. قال فی (دجا- ص 161) إن له دیوانا و منشئات فارسیة و لعله المذکور آنفا عن (قز مج- ص 308).</w:t>
      </w:r>
    </w:p>
    <w:p>
      <w:pPr>
        <w:pStyle w:val="Heading3"/>
      </w:pPr>
      <w:bookmarkStart w:id="4225" w:name="_Toc2921"/>
      <w:r>
        <w:t>2268- دیوان روحی بغدادی‏</w:t>
      </w:r>
      <w:bookmarkEnd w:id="4225"/>
    </w:p>
    <w:p>
      <w:pPr>
        <w:pStyle w:val="BookText"/>
      </w:pPr>
      <w:r>
        <w:rPr>
          <w:rFonts w:ascii="IRNazanin" w:hAnsi="IRNazanin" w:eastAsia="IRNazanin" w:cs="IRNazanin"/>
          <w:lang w:bidi="fa-IR"/>
          <w:color w:val="111111"/>
          <w:sz w:val="28"/>
          <w:szCs w:val="28"/>
          <w:rtl/>
        </w:rPr>
        <w:t xml:space="preserve">و اسمه عثمان بن عبد الله، أصله من الروم و کان والده من ممالیک أمیر الأمراء ببغداد (إیاس پاشا) و نبغ فی الشعر الفارسی و الترکی و طبع دیوانه الترکی فی (1287). تجول بلاد العراق و الشام و قونیة و مات (1014) و مذهبه حروفی بکتاشی و أعرف شعره ترکیب بند و قصیدة حیرت‏انگیز و قصیدتین أرسلهما من الشام إلی بغداد ذکر فیهما أسماء ثلاث و خمسین من شعراء بغداد من معاصریه ذکر ترجمته فی العراق بین الاحتلالین ج 4- ص 148- 152 نقلا عن خلاصة الأثر و تذکره شعراء لعهدی بغدادی و عن قاموس الأعلام الترکیة. و کذا ذکره فی الکاکائیة فی التاریخ ص 43- 53 و فی أسماء المؤلفین- ج 1 ص 657.</w:t>
      </w:r>
    </w:p>
    <w:p>
      <w:pPr>
        <w:pStyle w:val="Heading3"/>
      </w:pPr>
      <w:bookmarkStart w:id="4226" w:name="_Toc2922"/>
      <w:r>
        <w:t>2269- دیوان روحی تبریزی أو شعره‏</w:t>
      </w:r>
      <w:bookmarkEnd w:id="4226"/>
    </w:p>
    <w:p>
      <w:pPr>
        <w:pStyle w:val="BookText"/>
      </w:pPr>
      <w:r>
        <w:rPr>
          <w:rFonts w:ascii="IRNazanin" w:hAnsi="IRNazanin" w:eastAsia="IRNazanin" w:cs="IRNazanin"/>
          <w:lang w:bidi="fa-IR"/>
          <w:color w:val="111111"/>
          <w:sz w:val="28"/>
          <w:szCs w:val="28"/>
          <w:rtl/>
        </w:rPr>
        <w:t xml:space="preserve">کان حکاکا. ذکره الصادقی کتاب دار فی‏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84" w:name="pg11704_121864"/>
    <w:bookmarkEnd w:id="384"/>
    <w:p>
      <w:pPr>
        <w:pStyle w:val="BookText"/>
      </w:pPr>
      <w:r>
        <w:rPr>
          <w:rFonts w:ascii="IRNazanin" w:hAnsi="IRNazanin" w:eastAsia="IRNazanin" w:cs="IRNazanin"/>
          <w:lang w:bidi="fa-IR"/>
          <w:color w:val="111111"/>
          <w:sz w:val="28"/>
          <w:szCs w:val="28"/>
          <w:rtl/>
        </w:rPr>
        <w:t xml:space="preserve">(خص 8- ص 276) و أورد شعره، و عنه فی (دجا- ص 161).</w:t>
      </w:r>
    </w:p>
    <w:p>
      <w:pPr>
        <w:pStyle w:val="Heading3"/>
      </w:pPr>
      <w:bookmarkStart w:id="4227" w:name="_Toc2923"/>
      <w:r>
        <w:t>2270- دیوان روحی خراسانی‏</w:t>
      </w:r>
      <w:bookmarkEnd w:id="4227"/>
    </w:p>
    <w:p>
      <w:pPr>
        <w:pStyle w:val="BookText"/>
      </w:pPr>
      <w:r>
        <w:rPr>
          <w:rFonts w:ascii="IRNazanin" w:hAnsi="IRNazanin" w:eastAsia="IRNazanin" w:cs="IRNazanin"/>
          <w:lang w:bidi="fa-IR"/>
          <w:color w:val="111111"/>
          <w:sz w:val="28"/>
          <w:szCs w:val="28"/>
          <w:rtl/>
        </w:rPr>
        <w:t xml:space="preserve">ترجمه معاصر الأمیر علی شیر فی (مجن 1- ص 15- 190) و ذکر أنه من أفاضل خراسان، و أکثر شعراء سرخس و سمرقند من تلامیذه، و أورد مطلعا من غزله. و ذکر أن له مناظرة گل و بلبل و مناظرة شمع و پروانه أورد شعره فی (روشن- ص 261).</w:t>
      </w:r>
    </w:p>
    <w:p>
      <w:pPr>
        <w:pStyle w:val="Heading3"/>
      </w:pPr>
      <w:bookmarkStart w:id="4228" w:name="_Toc2924"/>
      <w:r>
        <w:t>2271- دیوان روحی رازی‏</w:t>
      </w:r>
      <w:bookmarkEnd w:id="4228"/>
    </w:p>
    <w:p>
      <w:pPr>
        <w:pStyle w:val="BookText"/>
      </w:pPr>
      <w:r>
        <w:rPr>
          <w:rFonts w:ascii="IRNazanin" w:hAnsi="IRNazanin" w:eastAsia="IRNazanin" w:cs="IRNazanin"/>
          <w:lang w:bidi="fa-IR"/>
          <w:color w:val="111111"/>
          <w:sz w:val="28"/>
          <w:szCs w:val="28"/>
          <w:rtl/>
        </w:rPr>
        <w:t xml:space="preserve">ذکر سام میرزا فی (تس 5- ص 163) أن طبعه حسن و شعره مرغوب و هو أخ نیستی الذی هو أیضا من شعراء ری و أورد مطلع غزله‏</w:t>
      </w:r>
    </w:p>
    <w:p>
      <w:pPr>
        <w:pStyle w:val="Heading3"/>
      </w:pPr>
      <w:bookmarkStart w:id="4229" w:name="_Toc2925"/>
      <w:r>
        <w:t>2272- دیوان روحی رنبیری‏</w:t>
      </w:r>
      <w:bookmarkEnd w:id="4229"/>
    </w:p>
    <w:p>
      <w:pPr>
        <w:pStyle w:val="BookText"/>
      </w:pPr>
      <w:r>
        <w:rPr>
          <w:rFonts w:ascii="IRNazanin" w:hAnsi="IRNazanin" w:eastAsia="IRNazanin" w:cs="IRNazanin"/>
          <w:lang w:bidi="fa-IR"/>
          <w:color w:val="111111"/>
          <w:sz w:val="28"/>
          <w:szCs w:val="28"/>
          <w:rtl/>
        </w:rPr>
        <w:t xml:space="preserve">و اسمه السید جعفر من أولاد السید محمود الذی هو من أحفاد السید نعمة الله ولی الکرمانی نزل السید محمود من وطنه إلی الهند و نزل أحفاده فی رنبیر- بفتح المهملة کفعلیل- و تلمذ السید جعفر روحی علی المیر لطف الله البلگرامی، ثم سافر إلی شاه جهان‏آباد و صحب عبد القادر بیدل، ثم نزل لکهنو و صحب عبد الرضا متین أصفهانی و عبد العلی تحسین کشمیری و داود أکبرآبادی و مات فی غرة رمضان (1154) و دفن برنبیر أورد شعره و ترجمه کذلک فی سرو آزاد- ص 207 و (تغ- ص 60) و أورد شعره فی گلستان مسرت (ص 476 و 543) و قال آزاد فی تاریخ وفاته:</w:t>
      </w:r>
    </w:p>
    <w:p>
      <w:pPr>
        <w:pStyle w:val="BookText"/>
      </w:pPr>
      <w:r>
        <w:rPr>
          <w:rFonts w:ascii="IRNazanin" w:hAnsi="IRNazanin" w:eastAsia="IRNazanin" w:cs="IRNazanin"/>
          <w:lang w:bidi="fa-IR"/>
          <w:color w:val="111111"/>
          <w:sz w:val="28"/>
          <w:szCs w:val="28"/>
          <w:rtl/>
        </w:rPr>
        <w:t xml:space="preserve">سال تاریخ أو شود پیدا</w:t>
      </w:r>
    </w:p>
    <w:p>
      <w:pPr>
        <w:pStyle w:val="BookText"/>
      </w:pPr>
      <w:r>
        <w:rPr>
          <w:rFonts w:ascii="IRNazanin" w:hAnsi="IRNazanin" w:eastAsia="IRNazanin" w:cs="IRNazanin"/>
          <w:lang w:bidi="fa-IR"/>
          <w:color w:val="111111"/>
          <w:sz w:val="28"/>
          <w:szCs w:val="28"/>
          <w:rtl/>
        </w:rPr>
        <w:t xml:space="preserve">وقت تکرار جعفر روحی‏</w:t>
      </w:r>
    </w:p>
    <w:p>
      <w:pPr>
        <w:pStyle w:val="Heading3"/>
      </w:pPr>
      <w:bookmarkStart w:id="4230" w:name="_Toc2926"/>
      <w:r>
        <w:t>2273- دیوان روحی ساوجی أو شعره‏</w:t>
      </w:r>
      <w:bookmarkEnd w:id="4230"/>
    </w:p>
    <w:p>
      <w:pPr>
        <w:pStyle w:val="BookText"/>
      </w:pPr>
      <w:r>
        <w:rPr>
          <w:rFonts w:ascii="IRNazanin" w:hAnsi="IRNazanin" w:eastAsia="IRNazanin" w:cs="IRNazanin"/>
          <w:lang w:bidi="fa-IR"/>
          <w:color w:val="111111"/>
          <w:sz w:val="28"/>
          <w:szCs w:val="28"/>
          <w:rtl/>
        </w:rPr>
        <w:t xml:space="preserve">قال سام میرزا فی (تس 5- ص 153) إنه تاجر شاعر ثم أورد له مطلع غزله و کذا فی (روشن- ص 261)</w:t>
      </w:r>
    </w:p>
    <w:p>
      <w:pPr>
        <w:pStyle w:val="Heading3"/>
      </w:pPr>
      <w:bookmarkStart w:id="4231" w:name="_Toc2927"/>
      <w:r>
        <w:t>2274- دیوان روحی سمرقندی أو شعره‏</w:t>
      </w:r>
      <w:bookmarkEnd w:id="4231"/>
    </w:p>
    <w:p>
      <w:pPr>
        <w:pStyle w:val="BookText"/>
      </w:pPr>
      <w:r>
        <w:rPr>
          <w:rFonts w:ascii="IRNazanin" w:hAnsi="IRNazanin" w:eastAsia="IRNazanin" w:cs="IRNazanin"/>
          <w:lang w:bidi="fa-IR"/>
          <w:color w:val="111111"/>
          <w:sz w:val="28"/>
          <w:szCs w:val="28"/>
          <w:rtl/>
        </w:rPr>
        <w:t xml:space="preserve">هو من شعراء عصر الأزبکیة، و کان مشهورا بنظم القطعات ذکره سام میرزا فی (تس 5- ص 151) و أورد قطعة من نظمه‏</w:t>
      </w:r>
    </w:p>
    <w:p>
      <w:pPr>
        <w:pStyle w:val="Heading3"/>
      </w:pPr>
      <w:bookmarkStart w:id="4232" w:name="_Toc2928"/>
      <w:r>
        <w:t>دیوان روحی سمرقندی‏</w:t>
      </w:r>
      <w:bookmarkEnd w:id="4232"/>
    </w:p>
    <w:p>
      <w:pPr>
        <w:pStyle w:val="BookText"/>
      </w:pPr>
      <w:r>
        <w:rPr>
          <w:rFonts w:ascii="IRNazanin" w:hAnsi="IRNazanin" w:eastAsia="IRNazanin" w:cs="IRNazanin"/>
          <w:lang w:bidi="fa-IR"/>
          <w:color w:val="111111"/>
          <w:sz w:val="28"/>
          <w:szCs w:val="28"/>
          <w:rtl/>
        </w:rPr>
        <w:t xml:space="preserve">سماه کذلک فی (ص- ص 331) و الصحیح ما مر بعنوان روحانی‏</w:t>
      </w:r>
    </w:p>
    <w:p>
      <w:pPr>
        <w:pStyle w:val="Heading3"/>
      </w:pPr>
      <w:bookmarkStart w:id="4233" w:name="_Toc2929"/>
      <w:r>
        <w:t>2275- دیوان روحی شارستانی‏</w:t>
      </w:r>
      <w:bookmarkEnd w:id="4233"/>
    </w:p>
    <w:p>
      <w:pPr>
        <w:pStyle w:val="BookText"/>
      </w:pPr>
      <w:r>
        <w:rPr>
          <w:rFonts w:ascii="IRNazanin" w:hAnsi="IRNazanin" w:eastAsia="IRNazanin" w:cs="IRNazanin"/>
          <w:lang w:bidi="fa-IR"/>
          <w:color w:val="111111"/>
          <w:sz w:val="28"/>
          <w:szCs w:val="28"/>
          <w:rtl/>
        </w:rPr>
        <w:t xml:space="preserve">ترجمه فی (مع- ج 1 ص 240) و ذکر أنه من أماجد الشعراء و کان مداح أبی المظفر طغماج خان و نقل بعض شعره عن تذکره تقی الدین الأوحدی و نسبته فی (گلشن- ص 184) سیوستانی بدل شارستانی و قال کان معاصر طغماج‏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85" w:name="pg11704_121865"/>
    <w:bookmarkEnd w:id="385"/>
    <w:p>
      <w:pPr>
        <w:pStyle w:val="BookText"/>
      </w:pPr>
      <w:r>
        <w:rPr>
          <w:rFonts w:ascii="IRNazanin" w:hAnsi="IRNazanin" w:eastAsia="IRNazanin" w:cs="IRNazanin"/>
          <w:lang w:bidi="fa-IR"/>
          <w:color w:val="111111"/>
          <w:sz w:val="28"/>
          <w:szCs w:val="28"/>
          <w:rtl/>
        </w:rPr>
        <w:t xml:space="preserve">حاکم ما وراء النهر و أورد شعره‏</w:t>
      </w:r>
    </w:p>
    <w:p>
      <w:pPr>
        <w:pStyle w:val="Heading3"/>
      </w:pPr>
      <w:bookmarkStart w:id="4234" w:name="_Toc2930"/>
      <w:r>
        <w:t>2276- دیوان روحی کرمانی أو شعره‏</w:t>
      </w:r>
      <w:bookmarkEnd w:id="4234"/>
    </w:p>
    <w:p>
      <w:pPr>
        <w:pStyle w:val="BookText"/>
      </w:pPr>
      <w:r>
        <w:rPr>
          <w:rFonts w:ascii="IRNazanin" w:hAnsi="IRNazanin" w:eastAsia="IRNazanin" w:cs="IRNazanin"/>
          <w:lang w:bidi="fa-IR"/>
          <w:color w:val="111111"/>
          <w:sz w:val="28"/>
          <w:szCs w:val="28"/>
          <w:rtl/>
        </w:rPr>
        <w:t xml:space="preserve">و هو الشیخ أحمد بن الشیخ محمد جعفر الکرمانی کان أدیبا نطاقا شاعرا ولد (1272) و تلمذ علی والده العالم الجلیل بکرمان و جاء إلی طهران و سافر إلی إستانبول فصحب السید جمال الدین الأسدآبادی المعروف بالأفغانی هناک و شارکه فی کفاحه للتحرر، فقبض علیه البولیس العثمانی فی (12 رجب 1313) و معه المیرزا آقا خان الکرمانی و المیرزا حسن خبیر الملک و ذلک بطلب من سفیر الشاه، ثم سلمتهم إلی السلطات الإیرانیة فحبسوا فی تبریز و فی هذا الحین قتل ناصر الدین شاه فی طهران فی (الجمعة 17 ذی القعدة- 1313) بید المیرزا رضا خان الکرمانی فذبح الشیخ أحمد و رفیقاه فی سجن تبریز فی (6 ذی حجة- 1313) بأمر من محمد علی میرزا بن مظفر الدین بن ناصر الدین شاه، و ذلک بعد أن عذبهم بأنواع العذاب‏</w:t>
      </w:r>
    </w:p>
    <w:p>
      <w:pPr>
        <w:pStyle w:val="Heading3"/>
      </w:pPr>
      <w:bookmarkStart w:id="4235" w:name="_Toc2931"/>
      <w:r>
        <w:t>2277- دیوان روحی همدانی أو شعره‏</w:t>
      </w:r>
      <w:bookmarkEnd w:id="4235"/>
    </w:p>
    <w:p>
      <w:pPr>
        <w:pStyle w:val="BookText"/>
      </w:pPr>
      <w:r>
        <w:rPr>
          <w:rFonts w:ascii="IRNazanin" w:hAnsi="IRNazanin" w:eastAsia="IRNazanin" w:cs="IRNazanin"/>
          <w:lang w:bidi="fa-IR"/>
          <w:color w:val="111111"/>
          <w:sz w:val="28"/>
          <w:szCs w:val="28"/>
          <w:rtl/>
        </w:rPr>
        <w:t xml:space="preserve">کان معاصر الشاه عباس الأول هجا الشاه فقطع یعقوب خان لسانه أورد شعره فی (گلشن- ص 184) و (تغ- ص 60) و (پژمان- ص 158)</w:t>
      </w:r>
    </w:p>
    <w:p>
      <w:pPr>
        <w:pStyle w:val="Heading3"/>
      </w:pPr>
      <w:bookmarkStart w:id="4236" w:name="_Toc2932"/>
      <w:r>
        <w:t>2278- دیوان رودکی بخاری‏</w:t>
      </w:r>
      <w:bookmarkEnd w:id="4236"/>
    </w:p>
    <w:p>
      <w:pPr>
        <w:pStyle w:val="BookText"/>
      </w:pPr>
      <w:r>
        <w:rPr>
          <w:rFonts w:ascii="IRNazanin" w:hAnsi="IRNazanin" w:eastAsia="IRNazanin" w:cs="IRNazanin"/>
          <w:lang w:bidi="fa-IR"/>
          <w:color w:val="111111"/>
          <w:sz w:val="28"/>
          <w:szCs w:val="28"/>
          <w:rtl/>
        </w:rPr>
        <w:t xml:space="preserve">الشاعر الشهیر أبو الحسن محمد أو أبو عبد الله جعفر بن محمد الرودکی من قری نسف المعروف بنخشب کان مکفوفا من صغره و مع ذلک حفظ القرآن بالقراءات السبعة و له ثمان سنوات کما فی (قز مج- ص 336) کان من شعراء الأمیر نصر بن أحمد بن إسماعیل السامانی الذی ملک بعد موت والده فی (301) و توفی (331) و بأمره نظم کتاب کلیلة و دمنة فأعطی صلته أربعین ألف درهم کما فی (خز- ص 230) و ترجمه فی تاریخ گزیده- ص 819 و (تش ص 320) و چهار مقالة للعروضی و فی (تغ- ص 60) سماه فرید الدین عبد الله و قال مات (304) و لیس بصحیح و أورد فی (مع- ج 1 ص 138) جملة من أشعاره و قد طبع دیوانه بأمر فریدون میرزا قاجار فی (114 ص) فی طهران (1315) و أدرج فیه کثیر من أشعار الحکیم شرف الزمان قطران بن منصور الأزدی التبریزی المتوفی (465) کما فی مقدمته، و قد کتب سعید النفیسی فی أحواله ثلاث مجلدات ضخام طبع بطهران، و کتب غیره أیضا فیه کتابا مستقلا قال سنگلاخ فی (امتحان الفضلاء- ج 1 ص 133) إنه رأی‏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86" w:name="pg11704_121866"/>
    <w:bookmarkEnd w:id="386"/>
    <w:p>
      <w:pPr>
        <w:pStyle w:val="BookText"/>
      </w:pPr>
      <w:r>
        <w:rPr>
          <w:rFonts w:ascii="IRNazanin" w:hAnsi="IRNazanin" w:eastAsia="IRNazanin" w:cs="IRNazanin"/>
          <w:lang w:bidi="fa-IR"/>
          <w:color w:val="111111"/>
          <w:sz w:val="28"/>
          <w:szCs w:val="28"/>
          <w:rtl/>
        </w:rPr>
        <w:t xml:space="preserve">دیوانه بخط شفیعا و توجد نسخه من دیوانه فی (الرضویة) و قد جمع أشعاره فی کرمانشاه سنة (1280) بأمر حسین قلی کلهر (سلطانی) فی (21 ورقة) مذهبة توجد عند دهخدا بطهران و طبع بعض رباعیاته فی سخنان بو سعید بو الخیر بطهران فی (1374) کما فی (ص 58) منه‏</w:t>
      </w:r>
    </w:p>
    <w:p>
      <w:pPr>
        <w:pStyle w:val="Heading3"/>
      </w:pPr>
      <w:bookmarkStart w:id="4237" w:name="_Toc2933"/>
      <w:r>
        <w:t>2279- دیوان روزبه أو شعرها</w:t>
      </w:r>
      <w:bookmarkEnd w:id="4237"/>
    </w:p>
    <w:p>
      <w:pPr>
        <w:pStyle w:val="BookText"/>
      </w:pPr>
      <w:r>
        <w:rPr>
          <w:rFonts w:ascii="IRNazanin" w:hAnsi="IRNazanin" w:eastAsia="IRNazanin" w:cs="IRNazanin"/>
          <w:lang w:bidi="fa-IR"/>
          <w:color w:val="111111"/>
          <w:sz w:val="28"/>
          <w:szCs w:val="28"/>
          <w:rtl/>
        </w:rPr>
        <w:t xml:space="preserve">هی من النساء الشاعرات ترجمها الحکیم شاه محمد القزوینی فی (بهش 2 ص 400) من ترجمه مجالس النفائس و أورد مطلعین لغزلین لها</w:t>
      </w:r>
    </w:p>
    <w:p>
      <w:pPr>
        <w:pStyle w:val="Heading3"/>
      </w:pPr>
      <w:bookmarkStart w:id="4238" w:name="_Toc2934"/>
      <w:r>
        <w:t>2280- دیوان روزبهان النسوی‏</w:t>
      </w:r>
      <w:bookmarkEnd w:id="4238"/>
    </w:p>
    <w:p>
      <w:pPr>
        <w:pStyle w:val="BookText"/>
      </w:pPr>
      <w:r>
        <w:rPr>
          <w:rFonts w:ascii="IRNazanin" w:hAnsi="IRNazanin" w:eastAsia="IRNazanin" w:cs="IRNazanin"/>
          <w:lang w:bidi="fa-IR"/>
          <w:color w:val="111111"/>
          <w:sz w:val="28"/>
          <w:szCs w:val="28"/>
          <w:rtl/>
        </w:rPr>
        <w:t xml:space="preserve">ثم الشیرازی من المشایخ العرفاء یعرف بالشیخ الشطاح و کنیته أبو محمد بن أبی نصر البقلی، و أصله من نسا من نواحی خراسان کما ترجمه مفصلا فی نفحات الأنس- ص 240 و مجالس العشاق- ص 80 و (هفت- ص 215) و خزینة الأصفیاء ج 2 ص 253 و لکن فی (حسینی- ص 127) و (عم- ص 83) و (مع- ج 1 ص 235) و (ض- ص 128) و غیرها أنه من فسا من نواحی شیراز و ذکروا فی ترجمته أنه اشتغل فی الإسکندریة بالعلوم سنین و جاور مکة أیضا سنین، و کان یعظ الناس فی الجامع العتیق بشیراز خمسین سنة إلی أن ماته بها (15 محرم- 606) و دفن فی بقعته فی محلة بال‏کفت التی یزار حتی الیوم و أورد وافی المآخذ المذکورة عدة من أشعاره و الشطحیات له موجود فی الرضویة کما فی فهرسها (ج 1- ص 48) و تفسیره العرائس من أقدم تفاسیر الصوفیة توجد بمکتبة (دانشگاه تهران) کما ذکر فی فهرسها (ج 1 ص 170) و قد طبع بعض رباعیاته ضمن رباعیات أبی سعید کما نبه علیه النفیسی فی مقدمته (ص 59) من المطبوع (1334 ش)</w:t>
      </w:r>
    </w:p>
    <w:p>
      <w:pPr>
        <w:pStyle w:val="Heading3"/>
      </w:pPr>
      <w:bookmarkStart w:id="4239" w:name="_Toc2935"/>
      <w:r>
        <w:t>2281- دیوان روشن أصفهانی‏</w:t>
      </w:r>
      <w:bookmarkEnd w:id="4239"/>
    </w:p>
    <w:p>
      <w:pPr>
        <w:pStyle w:val="BookText"/>
      </w:pPr>
      <w:r>
        <w:rPr>
          <w:rFonts w:ascii="IRNazanin" w:hAnsi="IRNazanin" w:eastAsia="IRNazanin" w:cs="IRNazanin"/>
          <w:lang w:bidi="fa-IR"/>
          <w:color w:val="111111"/>
          <w:sz w:val="28"/>
          <w:szCs w:val="28"/>
          <w:rtl/>
        </w:rPr>
        <w:t xml:space="preserve">للمیرزا محمد صادق بن محمد طاهر بن الملا محمد صادق الأردستانی الأصفهانی الذی کان معاصرا للعلامة المجلسی و قبره یزار بتخت فولاد فی مقبرة پلوی و کان روشن یسکن أصفهان ثم سکن مشهد خراسان ثم طهران و بها مات (1305) کان معاصرا لهدایت و ساعده فی تصحیح روضة الصفا و مجمع الفصحاء و غیره طبع دیوانه بتصحیح أسد الله بن محمد صادق معین الحکماء الطبیب الکاشانی فی (1317) علی الحجر بطهران فی (475 ص) و فی آخره قسم من دیوان محتشم فی (50 ص) ترجمه فی (مع 2- ص 143) و شمس التواریخ و المدائح المعتمدیة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87" w:name="pg11704_121867"/>
    <w:bookmarkEnd w:id="387"/>
    <w:p>
      <w:pPr>
        <w:pStyle w:val="Heading3"/>
      </w:pPr>
      <w:bookmarkStart w:id="4240" w:name="_Toc2936"/>
      <w:r>
        <w:t>2282- دیوان روشن أصفهانی‏</w:t>
      </w:r>
      <w:bookmarkEnd w:id="4240"/>
    </w:p>
    <w:p>
      <w:pPr>
        <w:pStyle w:val="BookText"/>
      </w:pPr>
      <w:r>
        <w:rPr>
          <w:rFonts w:ascii="IRNazanin" w:hAnsi="IRNazanin" w:eastAsia="IRNazanin" w:cs="IRNazanin"/>
          <w:lang w:bidi="fa-IR"/>
          <w:color w:val="111111"/>
          <w:sz w:val="28"/>
          <w:szCs w:val="28"/>
          <w:rtl/>
        </w:rPr>
        <w:t xml:space="preserve">و هو المیرزا هاشم خان بن فضل الله کان من أعضاء انجمن دانشکده بأصفهان فأورد شعره فی دانش‏نامه- ط 1342 و طبع بعض آخر من شعره فی مجلة آتشکده بأصفهان و هوم یسکن یزد کما فی (شعراء أصفهان ص 222) و مر بستان السعادة المیرزا روشن‏</w:t>
      </w:r>
    </w:p>
    <w:p>
      <w:pPr>
        <w:pStyle w:val="Heading3"/>
      </w:pPr>
      <w:bookmarkStart w:id="4241" w:name="_Toc2937"/>
      <w:r>
        <w:t>2283- دیوان روشن ضمیر أو شعره‏</w:t>
      </w:r>
      <w:bookmarkEnd w:id="4241"/>
    </w:p>
    <w:p>
      <w:pPr>
        <w:pStyle w:val="BookText"/>
      </w:pPr>
      <w:r>
        <w:rPr>
          <w:rFonts w:ascii="IRNazanin" w:hAnsi="IRNazanin" w:eastAsia="IRNazanin" w:cs="IRNazanin"/>
          <w:lang w:bidi="fa-IR"/>
          <w:color w:val="111111"/>
          <w:sz w:val="28"/>
          <w:szCs w:val="28"/>
          <w:rtl/>
        </w:rPr>
        <w:t xml:space="preserve">الإیرانی نزیل بلاد الهند و المفوض إلیه من قبل سلطانها بندر سورت ذکره النصرآبادی فی (نر 3 ص 60) و أطرأه و أورد رباعیه و بعض شعره و قال فی (خیال- ص 149) إنه مهر فی الموسیقات و صنف مقامات عربیة و فارسیة و هندیة و مات (1077) و کذا فی (روشن- ص 263) و لعله هو روشن المذکور فی (حسینی ص 138)</w:t>
      </w:r>
    </w:p>
    <w:p>
      <w:pPr>
        <w:pStyle w:val="Heading3"/>
      </w:pPr>
      <w:bookmarkStart w:id="4242" w:name="_Toc2938"/>
      <w:r>
        <w:t>2284- دیوان روشندل شهر کردی‏</w:t>
      </w:r>
      <w:bookmarkEnd w:id="4242"/>
    </w:p>
    <w:p>
      <w:pPr>
        <w:pStyle w:val="BookText"/>
      </w:pPr>
      <w:r>
        <w:rPr>
          <w:rFonts w:ascii="IRNazanin" w:hAnsi="IRNazanin" w:eastAsia="IRNazanin" w:cs="IRNazanin"/>
          <w:lang w:bidi="fa-IR"/>
          <w:color w:val="111111"/>
          <w:sz w:val="28"/>
          <w:szCs w:val="28"/>
          <w:rtl/>
        </w:rPr>
        <w:t xml:space="preserve">و هو الشیخ حسین الشهرکردی الأصفهانی ولد حدود (1320) و قد عمی بصره و هو فی الثالثة من عمره بمرض الجدری، و حفظ القرآن و هو ابن اثنی عشر سنة، و تعلم الخط أیضا و هو الیوم من وعاظ شهر کرد و له مصیبت‏نامه فی ألفی بیت نظما و مناجات‏نامه و کان یتخلص سابقا ذاکر فبدله روشن دل کذا ترجمه فی شعراء أصفهان- ص 223</w:t>
      </w:r>
    </w:p>
    <w:p>
      <w:pPr>
        <w:pStyle w:val="Heading3"/>
      </w:pPr>
      <w:bookmarkStart w:id="4243" w:name="_Toc2939"/>
      <w:r>
        <w:t>2285- دیوان روشنی بغدادی‏</w:t>
      </w:r>
      <w:bookmarkEnd w:id="4243"/>
    </w:p>
    <w:p>
      <w:pPr>
        <w:pStyle w:val="BookText"/>
      </w:pPr>
      <w:r>
        <w:rPr>
          <w:rFonts w:ascii="IRNazanin" w:hAnsi="IRNazanin" w:eastAsia="IRNazanin" w:cs="IRNazanin"/>
          <w:lang w:bidi="fa-IR"/>
          <w:color w:val="111111"/>
          <w:sz w:val="28"/>
          <w:szCs w:val="28"/>
          <w:rtl/>
        </w:rPr>
        <w:t xml:space="preserve">و سماه فی (تس 7- ص 189) حاجی روشنی و قال إنه منزو عن الناس یشتغل بالکتابة، ثم أورد شعره و لعله عمر ضیاء الدین روشنی الرومی الصوفی المتوفی (907) بتبریز، الذی ذکره فی أسماء المؤلفین- ج 1- ص 794 و ذکر له آثار عشق نظما و شرح المثنوی للمولوی بالفارسیة</w:t>
      </w:r>
    </w:p>
    <w:p>
      <w:pPr>
        <w:pStyle w:val="Heading3"/>
      </w:pPr>
      <w:bookmarkStart w:id="4244" w:name="_Toc2940"/>
      <w:r>
        <w:t>دیوان روشنی تبریزی‏</w:t>
      </w:r>
      <w:bookmarkEnd w:id="4244"/>
    </w:p>
    <w:p>
      <w:pPr>
        <w:pStyle w:val="BookText"/>
      </w:pPr>
      <w:r>
        <w:rPr>
          <w:rFonts w:ascii="IRNazanin" w:hAnsi="IRNazanin" w:eastAsia="IRNazanin" w:cs="IRNazanin"/>
          <w:lang w:bidi="fa-IR"/>
          <w:color w:val="111111"/>
          <w:sz w:val="28"/>
          <w:szCs w:val="28"/>
          <w:rtl/>
        </w:rPr>
        <w:t xml:space="preserve">راجع روشنی بغدادی‏</w:t>
      </w:r>
    </w:p>
    <w:p>
      <w:pPr>
        <w:pStyle w:val="Heading3"/>
      </w:pPr>
      <w:bookmarkStart w:id="4245" w:name="_Toc2941"/>
      <w:r>
        <w:t>2286- دیوان روشنی همدانی أو شعره‏</w:t>
      </w:r>
      <w:bookmarkEnd w:id="4245"/>
    </w:p>
    <w:p>
      <w:pPr>
        <w:pStyle w:val="BookText"/>
      </w:pPr>
      <w:r>
        <w:rPr>
          <w:rFonts w:ascii="IRNazanin" w:hAnsi="IRNazanin" w:eastAsia="IRNazanin" w:cs="IRNazanin"/>
          <w:lang w:bidi="fa-IR"/>
          <w:color w:val="111111"/>
          <w:sz w:val="28"/>
          <w:szCs w:val="28"/>
          <w:rtl/>
        </w:rPr>
        <w:t xml:space="preserve">من شعراء عهد أکبر شاه فی الهند أورد شعره فی (روشن- ص 264)</w:t>
      </w:r>
    </w:p>
    <w:p>
      <w:pPr>
        <w:pStyle w:val="Heading3"/>
      </w:pPr>
      <w:bookmarkStart w:id="4246" w:name="_Toc2942"/>
      <w:r>
        <w:t>2287- دیوان روغنی أسترآبادی أو شعره‏</w:t>
      </w:r>
      <w:bookmarkEnd w:id="4246"/>
    </w:p>
    <w:p>
      <w:pPr>
        <w:pStyle w:val="BookText"/>
      </w:pPr>
      <w:r>
        <w:rPr>
          <w:rFonts w:ascii="IRNazanin" w:hAnsi="IRNazanin" w:eastAsia="IRNazanin" w:cs="IRNazanin"/>
          <w:lang w:bidi="fa-IR"/>
          <w:color w:val="111111"/>
          <w:sz w:val="28"/>
          <w:szCs w:val="28"/>
          <w:rtl/>
        </w:rPr>
        <w:t xml:space="preserve">الشاعر الهجاء سافر إلی الهند و تقرب عند أکبر شاه و مات فی سفره إلی گجرات فی (980) ترجمه و أورد شعره فی طبقات أکبری (ج 2 ص 501) و (تش- ص 151) و (خوش‏گو) و (پژمان- ص 158)</w:t>
      </w:r>
    </w:p>
    <w:p>
      <w:pPr>
        <w:pStyle w:val="Heading3"/>
      </w:pPr>
      <w:bookmarkStart w:id="4247" w:name="_Toc2943"/>
      <w:r>
        <w:t>دیوان رومی‏</w:t>
      </w:r>
      <w:bookmarkEnd w:id="4247"/>
    </w:p>
    <w:p>
      <w:pPr>
        <w:pStyle w:val="BookText"/>
      </w:pPr>
      <w:r>
        <w:rPr>
          <w:rFonts w:ascii="IRNazanin" w:hAnsi="IRNazanin" w:eastAsia="IRNazanin" w:cs="IRNazanin"/>
          <w:lang w:bidi="fa-IR"/>
          <w:color w:val="111111"/>
          <w:sz w:val="28"/>
          <w:szCs w:val="28"/>
          <w:rtl/>
        </w:rPr>
        <w:t xml:space="preserve">و هو گرگین المذکور بعنوان رزمی أصفهانی قال فی (روشن- ص 264) إن قاضی أختر یعتقد أن تخلصه رومی، و أما رزمی فتصحیف، و قد ترجمه‏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88" w:name="pg11704_121868"/>
    <w:bookmarkEnd w:id="388"/>
    <w:p>
      <w:pPr>
        <w:pStyle w:val="BookText"/>
      </w:pPr>
      <w:r>
        <w:rPr>
          <w:rFonts w:ascii="IRNazanin" w:hAnsi="IRNazanin" w:eastAsia="IRNazanin" w:cs="IRNazanin"/>
          <w:lang w:bidi="fa-IR"/>
          <w:color w:val="111111"/>
          <w:sz w:val="28"/>
          <w:szCs w:val="28"/>
          <w:rtl/>
        </w:rPr>
        <w:t xml:space="preserve">معاصره تقی الدین الأوحدی‏</w:t>
      </w:r>
    </w:p>
    <w:p>
      <w:pPr>
        <w:pStyle w:val="Heading3"/>
      </w:pPr>
      <w:bookmarkStart w:id="4248" w:name="_Toc2944"/>
      <w:r>
        <w:t>2288- دیوان رومی آذربایجانی أو شعره‏</w:t>
      </w:r>
      <w:bookmarkEnd w:id="4248"/>
    </w:p>
    <w:p>
      <w:pPr>
        <w:pStyle w:val="BookText"/>
      </w:pPr>
      <w:r>
        <w:rPr>
          <w:rFonts w:ascii="IRNazanin" w:hAnsi="IRNazanin" w:eastAsia="IRNazanin" w:cs="IRNazanin"/>
          <w:lang w:bidi="fa-IR"/>
          <w:color w:val="111111"/>
          <w:sz w:val="28"/>
          <w:szCs w:val="28"/>
          <w:rtl/>
        </w:rPr>
        <w:t xml:space="preserve">و هو من شعراء القرن الثالث عشر ترجمه فی (دجا- ص 161) نقلا عن حدیقة الشعراء</w:t>
      </w:r>
    </w:p>
    <w:p>
      <w:pPr>
        <w:pStyle w:val="Heading3"/>
      </w:pPr>
      <w:bookmarkStart w:id="4249" w:name="_Toc2945"/>
      <w:r>
        <w:t>دیوان الرومی‏</w:t>
      </w:r>
      <w:bookmarkEnd w:id="4249"/>
    </w:p>
    <w:p>
      <w:pPr>
        <w:pStyle w:val="BookText"/>
      </w:pPr>
      <w:r>
        <w:rPr>
          <w:rFonts w:ascii="IRNazanin" w:hAnsi="IRNazanin" w:eastAsia="IRNazanin" w:cs="IRNazanin"/>
          <w:lang w:bidi="fa-IR"/>
          <w:color w:val="111111"/>
          <w:sz w:val="28"/>
          <w:szCs w:val="28"/>
          <w:rtl/>
        </w:rPr>
        <w:t xml:space="preserve">یأتی بعنوان دیوان مولوی رومی و دیوان شمس تبریزی‏</w:t>
      </w:r>
    </w:p>
    <w:p>
      <w:pPr>
        <w:pStyle w:val="Heading3"/>
      </w:pPr>
      <w:bookmarkStart w:id="4250" w:name="_Toc2946"/>
      <w:r>
        <w:t>2289- دیوان رونق برهان‏پوری أو شعره‏</w:t>
      </w:r>
      <w:bookmarkEnd w:id="4250"/>
    </w:p>
    <w:p>
      <w:pPr>
        <w:pStyle w:val="BookText"/>
      </w:pPr>
      <w:r>
        <w:rPr>
          <w:rFonts w:ascii="IRNazanin" w:hAnsi="IRNazanin" w:eastAsia="IRNazanin" w:cs="IRNazanin"/>
          <w:lang w:bidi="fa-IR"/>
          <w:color w:val="111111"/>
          <w:sz w:val="28"/>
          <w:szCs w:val="28"/>
          <w:rtl/>
        </w:rPr>
        <w:t xml:space="preserve">عارف الدین بن الحافظ محمد سکن مع والده بمدراس، ثم نزل حیدرآباد أورد شعره فی (گلشن- ص 184- 185)</w:t>
      </w:r>
    </w:p>
    <w:p>
      <w:pPr>
        <w:pStyle w:val="Heading3"/>
      </w:pPr>
      <w:bookmarkStart w:id="4251" w:name="_Toc2947"/>
      <w:r>
        <w:t>2290- دیوان رونق تبریزی أو شعره‏</w:t>
      </w:r>
      <w:bookmarkEnd w:id="4251"/>
    </w:p>
    <w:p>
      <w:pPr>
        <w:pStyle w:val="BookText"/>
      </w:pPr>
      <w:r>
        <w:rPr>
          <w:rFonts w:ascii="IRNazanin" w:hAnsi="IRNazanin" w:eastAsia="IRNazanin" w:cs="IRNazanin"/>
          <w:lang w:bidi="fa-IR"/>
          <w:color w:val="111111"/>
          <w:sz w:val="28"/>
          <w:szCs w:val="28"/>
          <w:rtl/>
        </w:rPr>
        <w:t xml:space="preserve">مات فی أوائل القرن الرابع عشر له الشعر بالفارسیة و الترکیة کما ذکره فی (دجا- ص 161)</w:t>
      </w:r>
    </w:p>
    <w:p>
      <w:pPr>
        <w:pStyle w:val="Heading3"/>
      </w:pPr>
      <w:bookmarkStart w:id="4252" w:name="_Toc2948"/>
      <w:r>
        <w:t>2291- دیوان رونق شوشتری‏</w:t>
      </w:r>
      <w:bookmarkEnd w:id="4252"/>
    </w:p>
    <w:p>
      <w:pPr>
        <w:pStyle w:val="BookText"/>
      </w:pPr>
      <w:r>
        <w:rPr>
          <w:rFonts w:ascii="IRNazanin" w:hAnsi="IRNazanin" w:eastAsia="IRNazanin" w:cs="IRNazanin"/>
          <w:lang w:bidi="fa-IR"/>
          <w:color w:val="111111"/>
          <w:sz w:val="28"/>
          <w:szCs w:val="28"/>
          <w:rtl/>
        </w:rPr>
        <w:t xml:space="preserve">السید محمد بن أبی الفتح خان المرعشی مر له نظم تحفه المقلدین فی (ج 3: 470) و له راز و نیاز و ذکر فی (ج 4: 411) و (ج 2: 69) و (ج 5- ص 312) و (ج 1 ص 59)</w:t>
      </w:r>
    </w:p>
    <w:p>
      <w:pPr>
        <w:pStyle w:val="Heading3"/>
      </w:pPr>
      <w:bookmarkStart w:id="4253" w:name="_Toc2949"/>
      <w:r>
        <w:t>2292- دیوان رونق کرمانی‏</w:t>
      </w:r>
      <w:bookmarkEnd w:id="4253"/>
    </w:p>
    <w:p>
      <w:pPr>
        <w:pStyle w:val="BookText"/>
      </w:pPr>
      <w:r>
        <w:rPr>
          <w:rFonts w:ascii="IRNazanin" w:hAnsi="IRNazanin" w:eastAsia="IRNazanin" w:cs="IRNazanin"/>
          <w:lang w:bidi="fa-IR"/>
          <w:color w:val="111111"/>
          <w:sz w:val="28"/>
          <w:szCs w:val="28"/>
          <w:rtl/>
        </w:rPr>
        <w:t xml:space="preserve">و هو المیرزا محمد حسین الملقب رونق علی شاه و المتخلص رونق العارف الشهیر و خلیفة نور علی شاه المتوفی (1212) فی بلدة کرمان و المتمم لجناته کما ذکر فی (ج 5- ص 152) و له مرآة المحققین و غرائب فی أحوال مشتاق علی شاه ألفه عام (1213 غرائب) و ترجمه فی المدائح المعتمدیة و قال هدایت فی (مع 2- ص 146) و (ض- ص 452) إنه توفی (1225) و قال فی نور الابصار- ص 42- 43 إنه توفی (1230) و خلفه نظام علی شاه و قال آیتی فی کشف الحیل (ج</w:t>
      </w:r>
    </w:p>
    <w:p>
      <w:pPr>
        <w:pStyle w:val="BookText"/>
      </w:pPr>
      <w:r>
        <w:rPr>
          <w:rFonts w:ascii="IRNazanin" w:hAnsi="IRNazanin" w:eastAsia="IRNazanin" w:cs="IRNazanin"/>
          <w:lang w:bidi="fa-IR"/>
          <w:color w:val="111111"/>
          <w:sz w:val="28"/>
          <w:szCs w:val="28"/>
          <w:rtl/>
        </w:rPr>
        <w:t xml:space="preserve">2- ص 68- ط 3) إن أکثر دیوان پروین اعتصامی سرقات من دیوان رونق علی شاه، و لکن المعلم الحبیب‏آبادی و السید محمد علی الروضاتی بأصفهان قابلا نسخه من دیوان رونق علی شاه فلم یجدا فیه و لا بیتا یشابه دیوان پروین، و نسخه الدیوان بأصفهان یشتمل علی حدود (2500 بیت)</w:t>
      </w:r>
    </w:p>
    <w:p>
      <w:pPr>
        <w:pStyle w:val="Heading3"/>
      </w:pPr>
      <w:bookmarkStart w:id="4254" w:name="_Toc2950"/>
      <w:r>
        <w:t>2293- دیوان رونق لکهنوی‏</w:t>
      </w:r>
      <w:bookmarkEnd w:id="4254"/>
    </w:p>
    <w:p>
      <w:pPr>
        <w:pStyle w:val="BookText"/>
      </w:pPr>
      <w:r>
        <w:rPr>
          <w:rFonts w:ascii="IRNazanin" w:hAnsi="IRNazanin" w:eastAsia="IRNazanin" w:cs="IRNazanin"/>
          <w:lang w:bidi="fa-IR"/>
          <w:color w:val="111111"/>
          <w:sz w:val="28"/>
          <w:szCs w:val="28"/>
          <w:rtl/>
        </w:rPr>
        <w:t xml:space="preserve">و هو رام سهای المنشی من قوم کایتة مات (1290) قال فی (أسماء المؤلفین- ج 1 ص 364) إن له دیوان فارسی و مثنوی، و أورد شعره فی (گلشن- ص 185)</w:t>
      </w:r>
    </w:p>
    <w:p>
      <w:pPr>
        <w:pStyle w:val="Heading3"/>
      </w:pPr>
      <w:bookmarkStart w:id="4255" w:name="_Toc2951"/>
      <w:r>
        <w:t>2294- دیوان رونق لکهنوی أو شعره‏</w:t>
      </w:r>
      <w:bookmarkEnd w:id="4255"/>
    </w:p>
    <w:p>
      <w:pPr>
        <w:pStyle w:val="BookText"/>
      </w:pPr>
      <w:r>
        <w:rPr>
          <w:rFonts w:ascii="IRNazanin" w:hAnsi="IRNazanin" w:eastAsia="IRNazanin" w:cs="IRNazanin"/>
          <w:lang w:bidi="fa-IR"/>
          <w:color w:val="111111"/>
          <w:sz w:val="28"/>
          <w:szCs w:val="28"/>
          <w:rtl/>
        </w:rPr>
        <w:t xml:space="preserve">لرونق علی خان الملا نوائی من- أعمال لکهنو-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89" w:name="pg11704_121869"/>
    <w:bookmarkEnd w:id="389"/>
    <w:p>
      <w:pPr>
        <w:pStyle w:val="BookText"/>
      </w:pPr>
      <w:r>
        <w:rPr>
          <w:rFonts w:ascii="IRNazanin" w:hAnsi="IRNazanin" w:eastAsia="IRNazanin" w:cs="IRNazanin"/>
          <w:lang w:bidi="fa-IR"/>
          <w:color w:val="111111"/>
          <w:sz w:val="28"/>
          <w:szCs w:val="28"/>
          <w:rtl/>
        </w:rPr>
        <w:t xml:space="preserve">کان أمین الإنشاء لسعادت علی خان یمین الدولة حاکم منطقة الأود له خط جید أورد بعض شعره فی (گلشن- ص 186)</w:t>
      </w:r>
    </w:p>
    <w:p>
      <w:pPr>
        <w:pStyle w:val="Heading3"/>
      </w:pPr>
      <w:bookmarkStart w:id="4256" w:name="_Toc2952"/>
      <w:r>
        <w:t>2295- دیوان رونق هندی أو شعره‏</w:t>
      </w:r>
      <w:bookmarkEnd w:id="4256"/>
    </w:p>
    <w:p>
      <w:pPr>
        <w:pStyle w:val="BookText"/>
      </w:pPr>
      <w:r>
        <w:rPr>
          <w:rFonts w:ascii="IRNazanin" w:hAnsi="IRNazanin" w:eastAsia="IRNazanin" w:cs="IRNazanin"/>
          <w:lang w:bidi="fa-IR"/>
          <w:color w:val="111111"/>
          <w:sz w:val="28"/>
          <w:szCs w:val="28"/>
          <w:rtl/>
        </w:rPr>
        <w:t xml:space="preserve">و هو سهراب بیک من شعراء عالمگیر، ترجمه و أورد شعره فی (خوش‏گو) و لعله المذکور فی (حسینی- ص 134) و قال کان یتخلص سابقا سمندر فبدله إلی رونق‏</w:t>
      </w:r>
    </w:p>
    <w:p>
      <w:pPr>
        <w:pStyle w:val="Heading3"/>
      </w:pPr>
      <w:bookmarkStart w:id="4257" w:name="_Toc2953"/>
      <w:r>
        <w:t>2296- دیوان رونقی بافقی أو شعره‏</w:t>
      </w:r>
      <w:bookmarkEnd w:id="4257"/>
    </w:p>
    <w:p>
      <w:pPr>
        <w:pStyle w:val="BookText"/>
      </w:pPr>
      <w:r>
        <w:rPr>
          <w:rFonts w:ascii="IRNazanin" w:hAnsi="IRNazanin" w:eastAsia="IRNazanin" w:cs="IRNazanin"/>
          <w:lang w:bidi="fa-IR"/>
          <w:color w:val="111111"/>
          <w:sz w:val="28"/>
          <w:szCs w:val="28"/>
          <w:rtl/>
        </w:rPr>
        <w:t xml:space="preserve">و اسمه محمد زمان ولد ببافق و سکن مریم‏آباد یزد فی أواخر العهد الصفوی ترجمه و أورد شعره فی (تش یز- ص 292)</w:t>
      </w:r>
    </w:p>
    <w:p>
      <w:pPr>
        <w:pStyle w:val="Heading3"/>
      </w:pPr>
      <w:bookmarkStart w:id="4258" w:name="_Toc2954"/>
      <w:r>
        <w:t>2297- دیوان رونقی بخاری أو شعره‏</w:t>
      </w:r>
      <w:bookmarkEnd w:id="4258"/>
    </w:p>
    <w:p>
      <w:pPr>
        <w:pStyle w:val="BookText"/>
      </w:pPr>
      <w:r>
        <w:rPr>
          <w:rFonts w:ascii="IRNazanin" w:hAnsi="IRNazanin" w:eastAsia="IRNazanin" w:cs="IRNazanin"/>
          <w:lang w:bidi="fa-IR"/>
          <w:color w:val="111111"/>
          <w:sz w:val="28"/>
          <w:szCs w:val="28"/>
          <w:rtl/>
        </w:rPr>
        <w:t xml:space="preserve">کان ینظم علی طریقة القدماء کذا وصفه و أورد شعره فی (خوش‏گو)</w:t>
      </w:r>
    </w:p>
    <w:p>
      <w:pPr>
        <w:pStyle w:val="Heading3"/>
      </w:pPr>
      <w:bookmarkStart w:id="4259" w:name="_Toc2955"/>
      <w:r>
        <w:t>2298- دیوان ملا رونقی همدانی‏</w:t>
      </w:r>
      <w:bookmarkEnd w:id="4259"/>
    </w:p>
    <w:p>
      <w:pPr>
        <w:pStyle w:val="BookText"/>
      </w:pPr>
      <w:r>
        <w:rPr>
          <w:rFonts w:ascii="IRNazanin" w:hAnsi="IRNazanin" w:eastAsia="IRNazanin" w:cs="IRNazanin"/>
          <w:lang w:bidi="fa-IR"/>
          <w:color w:val="111111"/>
          <w:sz w:val="28"/>
          <w:szCs w:val="28"/>
          <w:rtl/>
        </w:rPr>
        <w:t xml:space="preserve">ترجمه النصرآبادی فی (نر 9 و 13 ص 257 و 479) و ذکر مسافرته إلی الهند و مشاعرته بها مع أختری الیزدی نزیل الهند، قال و رجع إلی العراق ثم عاد إلی الهند و بها توفی، و أورد جملة من أشعاره و قال فی میخانه 3- ص 541 کان تلمیذ</w:t>
      </w:r>
    </w:p>
    <w:p>
      <w:pPr>
        <w:pStyle w:val="BookText"/>
      </w:pPr>
      <w:r>
        <w:rPr>
          <w:rFonts w:ascii="IRNazanin" w:hAnsi="IRNazanin" w:eastAsia="IRNazanin" w:cs="IRNazanin"/>
          <w:lang w:bidi="fa-IR"/>
          <w:color w:val="111111"/>
          <w:sz w:val="28"/>
          <w:szCs w:val="28"/>
          <w:rtl/>
        </w:rPr>
        <w:t xml:space="preserve">شراری و رأیته فی (1025) و کان عمره (27 سنة) و قد جاء من إیران أخیرا و کان متینا و دیوانه یشتمل إذ ذاک علی (3500 بیت) و نقل فی الحاشیة عن سراج وفاته فی (1031) و نقل أیضا عن مخزن الغرائب أنه جاء إلی الهند فی عهد شاه‏جهان و إنه کان ماهرا فی الموسیقی ثم قال إن تاریخ وفاة رونقی ینافی ذلک، و لعله شاعر آخر بهذا الاسم و نقل عن نشتر عشق أنه من أقرباء أختری و أبی طالب کلیم، جاء الهند و رجع فی (1026) ثم جاء ثانیا و بها مات (1027) و جاءوا به إلی النجف و کان ماهرا فی الموسیقی و قال فی (خز- ص 309) تاریخا لوفاته:</w:t>
      </w:r>
    </w:p>
    <w:p>
      <w:pPr>
        <w:pStyle w:val="BookText"/>
      </w:pPr>
      <w:r>
        <w:rPr>
          <w:rFonts w:ascii="IRNazanin" w:hAnsi="IRNazanin" w:eastAsia="IRNazanin" w:cs="IRNazanin"/>
          <w:lang w:bidi="fa-IR"/>
          <w:color w:val="111111"/>
          <w:sz w:val="28"/>
          <w:szCs w:val="28"/>
          <w:rtl/>
        </w:rPr>
        <w:t xml:space="preserve">رقم زد از پی تاریخ رونقی کلکم:</w:t>
      </w:r>
    </w:p>
    <w:p>
      <w:pPr>
        <w:pStyle w:val="BookText"/>
      </w:pPr>
      <w:r>
        <w:rPr>
          <w:rFonts w:ascii="IRNazanin" w:hAnsi="IRNazanin" w:eastAsia="IRNazanin" w:cs="IRNazanin"/>
          <w:lang w:bidi="fa-IR"/>
          <w:color w:val="111111"/>
          <w:sz w:val="28"/>
          <w:szCs w:val="28"/>
          <w:rtl/>
        </w:rPr>
        <w:t xml:space="preserve">به کاوش مژه از هند تا نجف آمد 1027</w:t>
      </w:r>
    </w:p>
    <w:p>
      <w:pPr>
        <w:pStyle w:val="BookText"/>
      </w:pPr>
      <w:r>
        <w:rPr>
          <w:rFonts w:ascii="IRNazanin" w:hAnsi="IRNazanin" w:eastAsia="IRNazanin" w:cs="IRNazanin"/>
          <w:lang w:bidi="fa-IR"/>
          <w:color w:val="111111"/>
          <w:sz w:val="28"/>
          <w:szCs w:val="28"/>
          <w:rtl/>
        </w:rPr>
        <w:t xml:space="preserve">و ترجمه فی (خوش‏گو) و (حسینی- ص 134) و أورد شعره فی (نر 9 و 13- ص 257 و 479) و (تش- ص 256) و (تغ- ص 60) و (روشن- ص 265) و (پژمان ص 158) و قاموس الأعلام الترکیة و عنه فی الریحانة و أورد شعره فی گلستان مسرت- ص 535</w:t>
      </w:r>
    </w:p>
    <w:p>
      <w:pPr>
        <w:pStyle w:val="Heading3"/>
      </w:pPr>
      <w:bookmarkStart w:id="4260" w:name="_Toc2956"/>
      <w:r>
        <w:t>دیوان رونی‏</w:t>
      </w:r>
      <w:bookmarkEnd w:id="4260"/>
    </w:p>
    <w:p>
      <w:pPr>
        <w:pStyle w:val="BookText"/>
      </w:pPr>
      <w:r>
        <w:rPr>
          <w:rFonts w:ascii="IRNazanin" w:hAnsi="IRNazanin" w:eastAsia="IRNazanin" w:cs="IRNazanin"/>
          <w:lang w:bidi="fa-IR"/>
          <w:color w:val="111111"/>
          <w:sz w:val="28"/>
          <w:szCs w:val="28"/>
          <w:rtl/>
        </w:rPr>
        <w:t xml:space="preserve">مر بعنوان أبی الفرج الرونی‏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90" w:name="pg11704_121870"/>
    <w:bookmarkEnd w:id="390"/>
    <w:p>
      <w:pPr>
        <w:pStyle w:val="Heading3"/>
      </w:pPr>
      <w:bookmarkStart w:id="4261" w:name="_Toc2957"/>
      <w:r>
        <w:t>2299- دیوان رهائی خوافی‏</w:t>
      </w:r>
      <w:bookmarkEnd w:id="4261"/>
    </w:p>
    <w:p>
      <w:pPr>
        <w:pStyle w:val="BookText"/>
      </w:pPr>
      <w:r>
        <w:rPr>
          <w:rFonts w:ascii="IRNazanin" w:hAnsi="IRNazanin" w:eastAsia="IRNazanin" w:cs="IRNazanin"/>
          <w:lang w:bidi="fa-IR"/>
          <w:color w:val="111111"/>
          <w:sz w:val="28"/>
          <w:szCs w:val="28"/>
          <w:rtl/>
        </w:rPr>
        <w:t xml:space="preserve">و هو مولانا سعد الدین من أحفاد الشیخ زین الدین الخافی ذکر له فی طبقات أکبری (ج 2- ص 494) دیوانه الفارسی و خمسة و قال کان فی بلاط أکبر شاه و کذا ذکره و أورد شعره فی (حسینی- ص 133) و (تش- ص 77) و فی (خوش‏گو) أنه تتبع الخمسة للنظامی و سماه پنج گنج و فی القاموس الترکی أنه توفی (980) و عنه فی الریحانة و جاء شعره فی (روشن- ص 265) و (پژمان- ص 825)</w:t>
      </w:r>
    </w:p>
    <w:p>
      <w:pPr>
        <w:pStyle w:val="Heading3"/>
      </w:pPr>
      <w:bookmarkStart w:id="4262" w:name="_Toc2958"/>
      <w:r>
        <w:t>2300- دیوان رهائی سبزواری أو شعره‏</w:t>
      </w:r>
      <w:bookmarkEnd w:id="4262"/>
    </w:p>
    <w:p>
      <w:pPr>
        <w:pStyle w:val="BookText"/>
      </w:pPr>
      <w:r>
        <w:rPr>
          <w:rFonts w:ascii="IRNazanin" w:hAnsi="IRNazanin" w:eastAsia="IRNazanin" w:cs="IRNazanin"/>
          <w:lang w:bidi="fa-IR"/>
          <w:color w:val="111111"/>
          <w:sz w:val="28"/>
          <w:szCs w:val="28"/>
          <w:rtl/>
        </w:rPr>
        <w:t xml:space="preserve">أورد ذکره فی (روشن- ص 265) نقلا عن معاصره التقی الأوحدی‏</w:t>
      </w:r>
    </w:p>
    <w:p>
      <w:pPr>
        <w:pStyle w:val="Heading3"/>
      </w:pPr>
      <w:bookmarkStart w:id="4263" w:name="_Toc2959"/>
      <w:r>
        <w:t>2301- دیوان رهائی تورانی أو شعره‏</w:t>
      </w:r>
      <w:bookmarkEnd w:id="4263"/>
    </w:p>
    <w:p>
      <w:pPr>
        <w:pStyle w:val="BookText"/>
      </w:pPr>
      <w:r>
        <w:rPr>
          <w:rFonts w:ascii="IRNazanin" w:hAnsi="IRNazanin" w:eastAsia="IRNazanin" w:cs="IRNazanin"/>
          <w:lang w:bidi="fa-IR"/>
          <w:color w:val="111111"/>
          <w:sz w:val="28"/>
          <w:szCs w:val="28"/>
          <w:rtl/>
        </w:rPr>
        <w:t xml:space="preserve">من شعراء توران، انتقل إلی شیروان و تعشق سلطان خلیل الشروانی و أتعب نفسه فی تعشقه حتی مات کذا ذکره سام میرزا فی (تس 5 ص 166) و أورد له ثلاثة مطالع من غزلیاته و کذا فی (روشن- ص 265)</w:t>
      </w:r>
    </w:p>
    <w:p>
      <w:pPr>
        <w:pStyle w:val="Heading3"/>
      </w:pPr>
      <w:bookmarkStart w:id="4264" w:name="_Toc2960"/>
      <w:r>
        <w:t>2302- دیوان رهائی ما وراء النهری أو شعره‏</w:t>
      </w:r>
      <w:bookmarkEnd w:id="4264"/>
    </w:p>
    <w:p>
      <w:pPr>
        <w:pStyle w:val="BookText"/>
      </w:pPr>
      <w:r>
        <w:rPr>
          <w:rFonts w:ascii="IRNazanin" w:hAnsi="IRNazanin" w:eastAsia="IRNazanin" w:cs="IRNazanin"/>
          <w:lang w:bidi="fa-IR"/>
          <w:color w:val="111111"/>
          <w:sz w:val="28"/>
          <w:szCs w:val="28"/>
          <w:rtl/>
        </w:rPr>
        <w:t xml:space="preserve">ترجمه فی (مجتس 6- ص 159) ذکر أنه سافر إلی الهرات فی لباس القلندریة و منها إلی الکعبة، و أورد مطلع غزله و کذا فی (روشن- ص 265)</w:t>
      </w:r>
    </w:p>
    <w:p>
      <w:pPr>
        <w:pStyle w:val="Heading3"/>
      </w:pPr>
      <w:bookmarkStart w:id="4265" w:name="_Toc2961"/>
      <w:r>
        <w:t>2303- دیوان رهبان أصفهانی أو شعره‏</w:t>
      </w:r>
      <w:bookmarkEnd w:id="4265"/>
    </w:p>
    <w:p>
      <w:pPr>
        <w:pStyle w:val="BookText"/>
      </w:pPr>
      <w:r>
        <w:rPr>
          <w:rFonts w:ascii="IRNazanin" w:hAnsi="IRNazanin" w:eastAsia="IRNazanin" w:cs="IRNazanin"/>
          <w:lang w:bidi="fa-IR"/>
          <w:color w:val="111111"/>
          <w:sz w:val="28"/>
          <w:szCs w:val="28"/>
          <w:rtl/>
        </w:rPr>
        <w:t xml:space="preserve">و هو المیرزا محمد علی بن عبد الله الطبیب تعلم الطب عند أخیه محمد نصیر و مهر فیه ترجمه و أورد شعره فی (تش- ص 378) و لکن سماه فی المتن رامیان و فی الفهرس رهبان و هذا هو الصحیح کما فی (روشن- ص 266)</w:t>
      </w:r>
    </w:p>
    <w:p>
      <w:pPr>
        <w:pStyle w:val="Heading3"/>
      </w:pPr>
      <w:bookmarkStart w:id="4266" w:name="_Toc2962"/>
      <w:r>
        <w:t>دیوان رهبری أصفهانی أو شعره‏</w:t>
      </w:r>
      <w:bookmarkEnd w:id="4266"/>
    </w:p>
    <w:p>
      <w:pPr>
        <w:pStyle w:val="BookText"/>
      </w:pPr>
      <w:r>
        <w:rPr>
          <w:rFonts w:ascii="IRNazanin" w:hAnsi="IRNazanin" w:eastAsia="IRNazanin" w:cs="IRNazanin"/>
          <w:lang w:bidi="fa-IR"/>
          <w:color w:val="111111"/>
          <w:sz w:val="28"/>
          <w:szCs w:val="28"/>
          <w:rtl/>
        </w:rPr>
        <w:t xml:space="preserve">کما فی (حسینی- ص 135) و الصحیح أنه رهی شاملو</w:t>
      </w:r>
    </w:p>
    <w:p>
      <w:pPr>
        <w:pStyle w:val="Heading3"/>
      </w:pPr>
      <w:bookmarkStart w:id="4267" w:name="_Toc2963"/>
      <w:r>
        <w:t>دیوان رهی أصفهانی‏</w:t>
      </w:r>
      <w:bookmarkEnd w:id="4267"/>
    </w:p>
    <w:p>
      <w:pPr>
        <w:pStyle w:val="BookText"/>
      </w:pPr>
      <w:r>
        <w:rPr>
          <w:rFonts w:ascii="IRNazanin" w:hAnsi="IRNazanin" w:eastAsia="IRNazanin" w:cs="IRNazanin"/>
          <w:lang w:bidi="fa-IR"/>
          <w:color w:val="111111"/>
          <w:sz w:val="28"/>
          <w:szCs w:val="28"/>
          <w:rtl/>
        </w:rPr>
        <w:t xml:space="preserve">راجع رهی شاملو</w:t>
      </w:r>
    </w:p>
    <w:p>
      <w:pPr>
        <w:pStyle w:val="Heading3"/>
      </w:pPr>
      <w:bookmarkStart w:id="4268" w:name="_Toc2964"/>
      <w:r>
        <w:t>2304- دیوان رهی أصفهانی أو شعره‏</w:t>
      </w:r>
      <w:bookmarkEnd w:id="4268"/>
    </w:p>
    <w:p>
      <w:pPr>
        <w:pStyle w:val="BookText"/>
      </w:pPr>
      <w:r>
        <w:rPr>
          <w:rFonts w:ascii="IRNazanin" w:hAnsi="IRNazanin" w:eastAsia="IRNazanin" w:cs="IRNazanin"/>
          <w:lang w:bidi="fa-IR"/>
          <w:color w:val="111111"/>
          <w:sz w:val="28"/>
          <w:szCs w:val="28"/>
          <w:rtl/>
        </w:rPr>
        <w:t xml:space="preserve">و اسمه محمد علی ذکره و أورد شعره معاصره آذر البیگدلی فی (تش- ص 378) و کذا فی (روشن- ص 266) و قال جاء إلی الهند و رجع و أورد شعره فی (پژمان- ص 159)</w:t>
      </w:r>
    </w:p>
    <w:p>
      <w:pPr>
        <w:pStyle w:val="Heading3"/>
      </w:pPr>
      <w:bookmarkStart w:id="4269" w:name="_Toc2965"/>
      <w:r>
        <w:t>2305- دیوان رهی أصفهانی أو شعره‏</w:t>
      </w:r>
      <w:bookmarkEnd w:id="4269"/>
    </w:p>
    <w:p>
      <w:pPr>
        <w:pStyle w:val="BookText"/>
      </w:pPr>
      <w:r>
        <w:rPr>
          <w:rFonts w:ascii="IRNazanin" w:hAnsi="IRNazanin" w:eastAsia="IRNazanin" w:cs="IRNazanin"/>
          <w:lang w:bidi="fa-IR"/>
          <w:color w:val="111111"/>
          <w:sz w:val="28"/>
          <w:szCs w:val="28"/>
          <w:rtl/>
        </w:rPr>
        <w:t xml:space="preserve">و اسمه محمد إبراهیم کان قصابا فترک شغله و لازم رفیق الأصفهانی المذکور و أخذ تخلصه منه و توفی بأصفهان (1226) و دفن بها کذا ترجمه و أورد شعره فی انجمن خاقان و کذا فی (مع 2 ص 143)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91" w:name="pg11704_121871"/>
    <w:bookmarkEnd w:id="391"/>
    <w:p>
      <w:pPr>
        <w:pStyle w:val="Heading3"/>
      </w:pPr>
      <w:bookmarkStart w:id="4270" w:name="_Toc2966"/>
      <w:r>
        <w:t>دیوان رهی ترکمان‏</w:t>
      </w:r>
      <w:bookmarkEnd w:id="4270"/>
    </w:p>
    <w:p>
      <w:pPr>
        <w:pStyle w:val="BookText"/>
      </w:pPr>
      <w:r>
        <w:rPr>
          <w:rFonts w:ascii="IRNazanin" w:hAnsi="IRNazanin" w:eastAsia="IRNazanin" w:cs="IRNazanin"/>
          <w:lang w:bidi="fa-IR"/>
          <w:color w:val="111111"/>
          <w:sz w:val="28"/>
          <w:szCs w:val="28"/>
          <w:rtl/>
        </w:rPr>
        <w:t xml:space="preserve">راجع دیوان رهی شاملو</w:t>
      </w:r>
    </w:p>
    <w:p>
      <w:pPr>
        <w:pStyle w:val="Heading3"/>
      </w:pPr>
      <w:bookmarkStart w:id="4271" w:name="_Toc2967"/>
      <w:r>
        <w:t>2306- دیوان رهی خراسانی أو شعره‏</w:t>
      </w:r>
      <w:bookmarkEnd w:id="4271"/>
    </w:p>
    <w:p>
      <w:pPr>
        <w:pStyle w:val="BookText"/>
      </w:pPr>
      <w:r>
        <w:rPr>
          <w:rFonts w:ascii="IRNazanin" w:hAnsi="IRNazanin" w:eastAsia="IRNazanin" w:cs="IRNazanin"/>
          <w:lang w:bidi="fa-IR"/>
          <w:color w:val="111111"/>
          <w:sz w:val="28"/>
          <w:szCs w:val="28"/>
          <w:rtl/>
        </w:rPr>
        <w:t xml:space="preserve">المجاور لمشهد خراسان و اسمه الشاه محمود ترجمه و أورد شعره فی (خص 8- ص 264)</w:t>
      </w:r>
    </w:p>
    <w:p>
      <w:pPr>
        <w:pStyle w:val="Heading3"/>
      </w:pPr>
      <w:bookmarkStart w:id="4272" w:name="_Toc2968"/>
      <w:r>
        <w:t>2307- دیوان رهی شاملو</w:t>
      </w:r>
      <w:bookmarkEnd w:id="4272"/>
    </w:p>
    <w:p>
      <w:pPr>
        <w:pStyle w:val="BookText"/>
      </w:pPr>
      <w:r>
        <w:rPr>
          <w:rFonts w:ascii="IRNazanin" w:hAnsi="IRNazanin" w:eastAsia="IRNazanin" w:cs="IRNazanin"/>
          <w:lang w:bidi="fa-IR"/>
          <w:color w:val="111111"/>
          <w:sz w:val="28"/>
          <w:szCs w:val="28"/>
          <w:rtl/>
        </w:rPr>
        <w:t xml:space="preserve">و هو سلطان علی بیگ حفید علی قلی خان شاملو ترکمان ایشک آقاسی للشاه عباس- کان فی عداد (یساولان) و ما کان قانعا بمنصبه، و کان مفرطا فی الشرب فاخترم فی شبابه کذا ترجمه فی (نر 2- ص 27) و قال لم أر دیوانه و رأیت مثنویة علی زنة تحفه العراقین و کذا ذکره فی (تش- ص 14) و (خوش‏گو) و (تغ- ص 61) و لکن فی (حسینی- ص 135) سماه رهبری غلطا</w:t>
      </w:r>
    </w:p>
    <w:p>
      <w:pPr>
        <w:pStyle w:val="Heading3"/>
      </w:pPr>
      <w:bookmarkStart w:id="4273" w:name="_Toc2969"/>
      <w:r>
        <w:t>دیوان رهی شیرازی‏</w:t>
      </w:r>
      <w:bookmarkEnd w:id="4273"/>
    </w:p>
    <w:p>
      <w:pPr>
        <w:pStyle w:val="BookText"/>
      </w:pPr>
      <w:r>
        <w:rPr>
          <w:rFonts w:ascii="IRNazanin" w:hAnsi="IRNazanin" w:eastAsia="IRNazanin" w:cs="IRNazanin"/>
          <w:lang w:bidi="fa-IR"/>
          <w:color w:val="111111"/>
          <w:sz w:val="28"/>
          <w:szCs w:val="28"/>
          <w:rtl/>
        </w:rPr>
        <w:t xml:space="preserve">هو التخلص السابق لمجد الدین همگر الآتی فی الهاء</w:t>
      </w:r>
    </w:p>
    <w:p>
      <w:pPr>
        <w:pStyle w:val="Heading3"/>
      </w:pPr>
      <w:bookmarkStart w:id="4274" w:name="_Toc2970"/>
      <w:r>
        <w:t>2308- دیوان رهی قاضی أو شعره‏</w:t>
      </w:r>
      <w:bookmarkEnd w:id="4274"/>
    </w:p>
    <w:p>
      <w:pPr>
        <w:pStyle w:val="BookText"/>
      </w:pPr>
      <w:r>
        <w:rPr>
          <w:rFonts w:ascii="IRNazanin" w:hAnsi="IRNazanin" w:eastAsia="IRNazanin" w:cs="IRNazanin"/>
          <w:lang w:bidi="fa-IR"/>
          <w:color w:val="111111"/>
          <w:sz w:val="28"/>
          <w:szCs w:val="28"/>
          <w:rtl/>
        </w:rPr>
        <w:t xml:space="preserve">و اسمه القاضی محمد أورد فی (نر 13- ص 481) شعره فی تاریخ صلح الشاه طهماسب و قیصر الروم فی (969) بهذا التخلص‏</w:t>
      </w:r>
    </w:p>
    <w:p>
      <w:pPr>
        <w:pStyle w:val="Heading3"/>
      </w:pPr>
      <w:bookmarkStart w:id="4275" w:name="_Toc2971"/>
      <w:r>
        <w:t>2309- دیوان رهی معیری‏</w:t>
      </w:r>
      <w:bookmarkEnd w:id="4275"/>
    </w:p>
    <w:p>
      <w:pPr>
        <w:pStyle w:val="BookText"/>
      </w:pPr>
      <w:r>
        <w:rPr>
          <w:rFonts w:ascii="IRNazanin" w:hAnsi="IRNazanin" w:eastAsia="IRNazanin" w:cs="IRNazanin"/>
          <w:lang w:bidi="fa-IR"/>
          <w:color w:val="111111"/>
          <w:sz w:val="28"/>
          <w:szCs w:val="28"/>
          <w:rtl/>
        </w:rPr>
        <w:t xml:space="preserve">المعاصر ولد بطهران (1288 ش) و له أشعار کثیرة مطبوعة فی الجرائد و المجلات، و ترجمه فی کنگره نویسندگان- ص 102</w:t>
      </w:r>
    </w:p>
    <w:p>
      <w:pPr>
        <w:pStyle w:val="Heading3"/>
      </w:pPr>
      <w:bookmarkStart w:id="4276" w:name="_Toc2972"/>
      <w:r>
        <w:t>2310- دیوان رهین لکهنوی‏</w:t>
      </w:r>
      <w:bookmarkEnd w:id="4276"/>
    </w:p>
    <w:p>
      <w:pPr>
        <w:pStyle w:val="BookText"/>
      </w:pPr>
      <w:r>
        <w:rPr>
          <w:rFonts w:ascii="IRNazanin" w:hAnsi="IRNazanin" w:eastAsia="IRNazanin" w:cs="IRNazanin"/>
          <w:lang w:bidi="fa-IR"/>
          <w:color w:val="111111"/>
          <w:sz w:val="28"/>
          <w:szCs w:val="28"/>
          <w:rtl/>
        </w:rPr>
        <w:t xml:space="preserve">و اسمه برهان علی خان بن معز الدین خان کان یتخلص سابقا عاشق فبدله رهین تلمذ علی المیرزا فاخر مکین أورد شعره فی (گلشن- ص 186) و (پژمان- ص 827)</w:t>
      </w:r>
    </w:p>
    <w:p>
      <w:pPr>
        <w:pStyle w:val="Heading3"/>
      </w:pPr>
      <w:bookmarkStart w:id="4277" w:name="_Toc2973"/>
      <w:r>
        <w:t>2311- دیوان ریاض همدانی‏</w:t>
      </w:r>
      <w:bookmarkEnd w:id="4277"/>
    </w:p>
    <w:p>
      <w:pPr>
        <w:pStyle w:val="BookText"/>
      </w:pPr>
      <w:r>
        <w:rPr>
          <w:rFonts w:ascii="IRNazanin" w:hAnsi="IRNazanin" w:eastAsia="IRNazanin" w:cs="IRNazanin"/>
          <w:lang w:bidi="fa-IR"/>
          <w:color w:val="111111"/>
          <w:sz w:val="28"/>
          <w:szCs w:val="28"/>
          <w:rtl/>
        </w:rPr>
        <w:t xml:space="preserve">و هو المیرزا جعفر ترجم فی المآثر و الآثار و نسبه فی (مع 2- ص 147) إلی بروجرد غلطا و له مقالات علی طراز المقامات للحمیدی و المقامات لبدیع الزمان و گنج شایگان علی طراز گلستان، و رسالة فی الموسیقی و کان ماهرا فیه و فی الخطین النسخ و الشکستة، و النجوم و الحساب، و له غزلیات فارسیة و عربیة تلمذ علی المیر أبی القاسم ذی الرئاستین و بعد موت ذی الرئاستین سافر إلی طهران و بقی منزویا حتی عرفه أمیر کبیر المیرزا تقی خان و قربه، و بعد نکبة الأمیر الکبیر مرض و مات بها شابا طبع دیوان غزله بطهران فی (1313 ش) فی (73 ص) بتصحیح و تقدمه من السید نصر الله التقوی عن نسخه بهاء الدین ساعد الملک حفید ذی الرئاستین المذکور و توجد له قصیدة فی مدیح الرضا علیه السلام  فی أربعین بیتا فی مجموعة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92" w:name="pg11704_121872"/>
    <w:bookmarkEnd w:id="392"/>
    <w:p>
      <w:pPr>
        <w:pStyle w:val="BookText"/>
      </w:pPr>
      <w:r>
        <w:rPr>
          <w:rFonts w:ascii="IRNazanin" w:hAnsi="IRNazanin" w:eastAsia="IRNazanin" w:cs="IRNazanin"/>
          <w:lang w:bidi="fa-IR"/>
          <w:color w:val="111111"/>
          <w:sz w:val="28"/>
          <w:szCs w:val="28"/>
          <w:rtl/>
        </w:rPr>
        <w:t xml:space="preserve">کتبت (1274) عند السید محمد الجزائری فی النجف‏</w:t>
      </w:r>
    </w:p>
    <w:p>
      <w:pPr>
        <w:pStyle w:val="Heading3"/>
      </w:pPr>
      <w:bookmarkStart w:id="4278" w:name="_Toc2974"/>
      <w:r>
        <w:t>2312- دیوان ریاضی زاوه‏ای‏</w:t>
      </w:r>
      <w:bookmarkEnd w:id="427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زاوة قصبة قریبة من محولات، من محال خراسان- و کان هو قاضیا بها من قبل السلطان حسین میرزا بایقرا مدة، ثم عزل عن القضاء و نظم بأمر السلطان حسین میرزا تاریخ وقایع عصره، و منها فتح خراسان و قتل شیبک خان الأوزبک و ذکره سام میرزا فی (تس 5- ص 110) قال و قد بلغ ثمانیة آلاف بیت و توفی فی (921) و ترجمه المیر علی شیر فی (مجن 3- ص 77 و ص 253) و ذکر أنه کان یعظ الناس بعد عزله و یقرأ علی المنبر شعره مع الحال و الوجد و البکاء، و ذکر مطلع غزله و کذا فی (خوش‏گو) و (روشن- ص 266)</w:t>
      </w:r>
    </w:p>
    <w:p>
      <w:pPr>
        <w:pStyle w:val="Heading3"/>
      </w:pPr>
      <w:bookmarkStart w:id="4279" w:name="_Toc2975"/>
      <w:r>
        <w:t>2313- دیوان ریاضی سمرقندی‏</w:t>
      </w:r>
      <w:bookmarkEnd w:id="4279"/>
    </w:p>
    <w:p>
      <w:pPr>
        <w:pStyle w:val="BookText"/>
      </w:pPr>
      <w:r>
        <w:rPr>
          <w:rFonts w:ascii="IRNazanin" w:hAnsi="IRNazanin" w:eastAsia="IRNazanin" w:cs="IRNazanin"/>
          <w:lang w:bidi="fa-IR"/>
          <w:color w:val="111111"/>
          <w:sz w:val="28"/>
          <w:szCs w:val="28"/>
          <w:rtl/>
        </w:rPr>
        <w:t xml:space="preserve">ترجمه المیر علی شیر أیضا فی (مجن 2- ص 48- 221) و ذکر إعجابه بنفسه و تکبره و صحبته معه و وفاته بسمرقند، و أورد مطلع غزله الذی أسقط فیه کاف الرابطة فغیره المیر علی شیر لکنه لم یرتضه:</w:t>
      </w:r>
    </w:p>
    <w:p>
      <w:pPr>
        <w:pStyle w:val="BookText"/>
      </w:pPr>
      <w:r>
        <w:rPr>
          <w:rFonts w:ascii="IRNazanin" w:hAnsi="IRNazanin" w:eastAsia="IRNazanin" w:cs="IRNazanin"/>
          <w:lang w:bidi="fa-IR"/>
          <w:color w:val="111111"/>
          <w:sz w:val="28"/>
          <w:szCs w:val="28"/>
          <w:rtl/>
        </w:rPr>
        <w:t xml:space="preserve">فمطلع غزله:</w:t>
      </w:r>
    </w:p>
    <w:p>
      <w:pPr>
        <w:pStyle w:val="BookText"/>
      </w:pPr>
      <w:r>
        <w:rPr>
          <w:rFonts w:ascii="IRNazanin" w:hAnsi="IRNazanin" w:eastAsia="IRNazanin" w:cs="IRNazanin"/>
          <w:lang w:bidi="fa-IR"/>
          <w:color w:val="111111"/>
          <w:sz w:val="28"/>
          <w:szCs w:val="28"/>
          <w:rtl/>
        </w:rPr>
        <w:t xml:space="preserve">ستاره‏ای است در گوش آن هلال ابرو</w:t>
      </w:r>
    </w:p>
    <w:p>
      <w:pPr>
        <w:pStyle w:val="BookText"/>
      </w:pPr>
      <w:r>
        <w:rPr>
          <w:rFonts w:ascii="IRNazanin" w:hAnsi="IRNazanin" w:eastAsia="IRNazanin" w:cs="IRNazanin"/>
          <w:lang w:bidi="fa-IR"/>
          <w:color w:val="111111"/>
          <w:sz w:val="28"/>
          <w:szCs w:val="28"/>
          <w:rtl/>
        </w:rPr>
        <w:t xml:space="preserve">ز روی حسن به خورشید می‏زند پهلو</w:t>
      </w:r>
    </w:p>
    <w:p>
      <w:pPr>
        <w:pStyle w:val="BookText"/>
      </w:pPr>
      <w:r>
        <w:rPr>
          <w:rFonts w:ascii="IRNazanin" w:hAnsi="IRNazanin" w:eastAsia="IRNazanin" w:cs="IRNazanin"/>
          <w:lang w:bidi="fa-IR"/>
          <w:color w:val="111111"/>
          <w:sz w:val="28"/>
          <w:szCs w:val="28"/>
          <w:rtl/>
        </w:rPr>
        <w:t xml:space="preserve">و مطلع المیر:</w:t>
      </w:r>
    </w:p>
    <w:p>
      <w:pPr>
        <w:pStyle w:val="BookText"/>
      </w:pPr>
      <w:r>
        <w:rPr>
          <w:rFonts w:ascii="IRNazanin" w:hAnsi="IRNazanin" w:eastAsia="IRNazanin" w:cs="IRNazanin"/>
          <w:lang w:bidi="fa-IR"/>
          <w:color w:val="111111"/>
          <w:sz w:val="28"/>
          <w:szCs w:val="28"/>
          <w:rtl/>
        </w:rPr>
        <w:t xml:space="preserve">ز روی حسن در گوش آن هلال ابرو</w:t>
      </w:r>
    </w:p>
    <w:p>
      <w:pPr>
        <w:pStyle w:val="BookText"/>
      </w:pPr>
      <w:r>
        <w:rPr>
          <w:rFonts w:ascii="IRNazanin" w:hAnsi="IRNazanin" w:eastAsia="IRNazanin" w:cs="IRNazanin"/>
          <w:lang w:bidi="fa-IR"/>
          <w:color w:val="111111"/>
          <w:sz w:val="28"/>
          <w:szCs w:val="28"/>
          <w:rtl/>
        </w:rPr>
        <w:t xml:space="preserve">ستاره‏ای است که با ماه می‏زند پهلو</w:t>
      </w:r>
    </w:p>
    <w:p>
      <w:pPr>
        <w:pStyle w:val="BookText"/>
      </w:pPr>
      <w:r>
        <w:rPr>
          <w:rFonts w:ascii="IRNazanin" w:hAnsi="IRNazanin" w:eastAsia="IRNazanin" w:cs="IRNazanin"/>
          <w:lang w:bidi="fa-IR"/>
          <w:color w:val="111111"/>
          <w:sz w:val="28"/>
          <w:szCs w:val="28"/>
          <w:rtl/>
        </w:rPr>
        <w:t xml:space="preserve">و یوجد نسخه منه فی مکتبة (دانشگاه) یشتمل علی (518 بیتا) کما فی فهرسها (ج 2 ص 243) و أخری فی مکتبة المتحف البریطانی کما فی فهرس ریو (ص 295) و أخری عند (سلطان القرائی) بتبریز علی ما أرسل إلینا فهرسها المخطوط و هی نسخه جیدة خطا و نفیسة ملوکیة مجدولة مذهبة، تشتمل علی (486 بیتا) کلها غزلیات مرتبة علی حروف القوافی لم یذکر فیها اسم الکاتب و لا التاریخ. و یظهر من رسم الخط و غیره کونه کتابة القرن الحادی عشر من الهجرة أوله:</w:t>
      </w:r>
    </w:p>
    <w:p>
      <w:pPr>
        <w:pStyle w:val="BookText"/>
      </w:pPr>
      <w:r>
        <w:rPr>
          <w:rFonts w:ascii="IRNazanin" w:hAnsi="IRNazanin" w:eastAsia="IRNazanin" w:cs="IRNazanin"/>
          <w:lang w:bidi="fa-IR"/>
          <w:color w:val="111111"/>
          <w:sz w:val="28"/>
          <w:szCs w:val="28"/>
          <w:rtl/>
        </w:rPr>
        <w:t xml:space="preserve">گر طبیب آید که گیرد نبض جانان مرا</w:t>
      </w:r>
    </w:p>
    <w:p>
      <w:pPr>
        <w:pStyle w:val="BookText"/>
      </w:pPr>
      <w:r>
        <w:rPr>
          <w:rFonts w:ascii="IRNazanin" w:hAnsi="IRNazanin" w:eastAsia="IRNazanin" w:cs="IRNazanin"/>
          <w:lang w:bidi="fa-IR"/>
          <w:color w:val="111111"/>
          <w:sz w:val="28"/>
          <w:szCs w:val="28"/>
          <w:rtl/>
        </w:rPr>
        <w:t xml:space="preserve">من همی‏میرم که می‏گیرد رگ جان مرا</w:t>
      </w:r>
    </w:p>
    <w:p>
      <w:pPr>
        <w:pStyle w:val="BookText"/>
      </w:pPr>
      <w:r>
        <w:rPr>
          <w:rFonts w:ascii="IRNazanin" w:hAnsi="IRNazanin" w:eastAsia="IRNazanin" w:cs="IRNazanin"/>
          <w:lang w:bidi="fa-IR"/>
          <w:color w:val="111111"/>
          <w:sz w:val="28"/>
          <w:szCs w:val="28"/>
          <w:rtl/>
        </w:rPr>
        <w:t xml:space="preserve">و کذا فی (خوش‏گو و (حسینی- ص 135) و (تغ- ص 61) و قال سنگلاخ فی (امتحان الفضلاء- ج 1 ص 115) إنه رأی دیوان الحکیم ریاضی السمرقندی بخط محمد خندان. و أورد شعره فی گلستان مسرت- ص 79 أیضا.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93" w:name="pg11704_121873"/>
    <w:bookmarkEnd w:id="393"/>
    <w:p>
      <w:pPr>
        <w:pStyle w:val="Heading3"/>
      </w:pPr>
      <w:bookmarkStart w:id="4280" w:name="_Toc2976"/>
      <w:r>
        <w:t>دیوان ریاضی کشمیری‏</w:t>
      </w:r>
      <w:bookmarkEnd w:id="4280"/>
    </w:p>
    <w:p>
      <w:pPr>
        <w:pStyle w:val="BookText"/>
      </w:pPr>
      <w:r>
        <w:rPr>
          <w:rFonts w:ascii="IRNazanin" w:hAnsi="IRNazanin" w:eastAsia="IRNazanin" w:cs="IRNazanin"/>
          <w:lang w:bidi="fa-IR"/>
          <w:color w:val="111111"/>
          <w:sz w:val="28"/>
          <w:szCs w:val="28"/>
          <w:rtl/>
        </w:rPr>
        <w:t xml:space="preserve">کما فی (گلشن- ص 187) و الصحیح راضی کما مر.</w:t>
      </w:r>
    </w:p>
    <w:p>
      <w:pPr>
        <w:pStyle w:val="Heading3"/>
      </w:pPr>
      <w:bookmarkStart w:id="4281" w:name="_Toc2977"/>
      <w:r>
        <w:t>2314- دیوان ریاضی لاهوری أو شعره‏</w:t>
      </w:r>
      <w:bookmarkEnd w:id="4281"/>
    </w:p>
    <w:p>
      <w:pPr>
        <w:pStyle w:val="BookText"/>
      </w:pPr>
      <w:r>
        <w:rPr>
          <w:rFonts w:ascii="IRNazanin" w:hAnsi="IRNazanin" w:eastAsia="IRNazanin" w:cs="IRNazanin"/>
          <w:lang w:bidi="fa-IR"/>
          <w:color w:val="111111"/>
          <w:sz w:val="28"/>
          <w:szCs w:val="28"/>
          <w:rtl/>
        </w:rPr>
        <w:t xml:space="preserve">هو إمام الدین بن لطف الله المهندس بقلعة شاه جهان‏آباد. مات (1145). أورد شعره فی (گلشن- ص 187).</w:t>
      </w:r>
    </w:p>
    <w:p>
      <w:pPr>
        <w:pStyle w:val="Heading3"/>
      </w:pPr>
      <w:bookmarkStart w:id="4282" w:name="_Toc2978"/>
      <w:r>
        <w:t>2315- دیوان ریاضی هروی‏</w:t>
      </w:r>
      <w:bookmarkEnd w:id="4282"/>
    </w:p>
    <w:p>
      <w:pPr>
        <w:pStyle w:val="BookText"/>
      </w:pPr>
      <w:r>
        <w:rPr>
          <w:rFonts w:ascii="IRNazanin" w:hAnsi="IRNazanin" w:eastAsia="IRNazanin" w:cs="IRNazanin"/>
          <w:lang w:bidi="fa-IR"/>
          <w:color w:val="111111"/>
          <w:sz w:val="28"/>
          <w:szCs w:val="28"/>
          <w:rtl/>
        </w:rPr>
        <w:t xml:space="preserve">الموسوم ببحر الفوائد لمحمد یوسف بن محمد حسن المهاجر الهروی المتخلص فی شعره بالریاضی و المنتهی نسبه إلی فیروز خان (السلطان الإبدالی فی سنة (1015). ولد بهراة و حضر فی المکتب (المدرسة) و له ثمان سنین و هاجر والده إلی مشهد خراسان فی (سنة 1309) له کتاب فارسی کبیر طبع (1324) بمشهد فی (547 ص) بقطع کبیر رحلی، و ذلک فی حیات مؤلفه، مرتب علی اثنی عشر کتابا لکل واحد منها عنوان خاص (1) بیان الواقعة فی أحوال المؤلف (2) ضیاء المعرفة (3) عین الوقائع (4) دفتر دانش (5) پاسخ و پرسش (6) فیض روحانی (7) منبع البکاء فی المراثی (8) التخمیسات (9) الرباعیات (10) پریشان فی التاریخ (11) أوضاع البلاد فی الجغرافیا (12) خاتمة الکتاب فی تاریخ الحرب الروسیة الیابانیة. و کل منها کتاب مستقل. و له دیباجة.</w:t>
      </w:r>
    </w:p>
    <w:p>
      <w:pPr>
        <w:pStyle w:val="BookText"/>
      </w:pPr>
      <w:r>
        <w:rPr>
          <w:rFonts w:ascii="IRNazanin" w:hAnsi="IRNazanin" w:eastAsia="IRNazanin" w:cs="IRNazanin"/>
          <w:lang w:bidi="fa-IR"/>
          <w:color w:val="111111"/>
          <w:sz w:val="28"/>
          <w:szCs w:val="28"/>
          <w:rtl/>
        </w:rPr>
        <w:t xml:space="preserve">و رتبه علی اثنی عشر عنوانا بعدد الأئمة.</w:t>
      </w:r>
    </w:p>
    <w:p>
      <w:pPr>
        <w:pStyle w:val="Heading3"/>
      </w:pPr>
      <w:bookmarkStart w:id="4283" w:name="_Toc2979"/>
      <w:r>
        <w:t>2316- دیوان ریحان أصفهانی‏</w:t>
      </w:r>
      <w:bookmarkEnd w:id="4283"/>
    </w:p>
    <w:p>
      <w:pPr>
        <w:pStyle w:val="BookText"/>
      </w:pPr>
      <w:r>
        <w:rPr>
          <w:rFonts w:ascii="IRNazanin" w:hAnsi="IRNazanin" w:eastAsia="IRNazanin" w:cs="IRNazanin"/>
          <w:lang w:bidi="fa-IR"/>
          <w:color w:val="111111"/>
          <w:sz w:val="28"/>
          <w:szCs w:val="28"/>
          <w:rtl/>
        </w:rPr>
        <w:t xml:space="preserve">اسمه یحیی سمیعیان بن محمد باقر. أصله من أصفهان ولد بطهران فی (1313) و فی (1334) نشر جریدة گل زرد و فی (1340) حبسه السید ضیاء الدین فی دار المجانین بطهران فألف قصه یک شب در دار المجانین و طبعه ثم نشر جریدة أخری باسم نوروز و له أشعار کثیرة فی الجرائد و من آثاره باغچه ریحان مطبوع فی (1338) فی (68 ص). ثم سافر إلی نیویورک. ترجمه فی تاریخ جرائد- ج 4- ص 157 و سخنوران نامی معاصر للبرقعی (ج 2- ص 142) و شعراء أصفهان- ص 226.</w:t>
      </w:r>
    </w:p>
    <w:p>
      <w:pPr>
        <w:pStyle w:val="Heading3"/>
      </w:pPr>
      <w:bookmarkStart w:id="4284" w:name="_Toc2980"/>
      <w:r>
        <w:t>2317- دیوان ریحان طوسی أو شعره‏</w:t>
      </w:r>
      <w:bookmarkEnd w:id="4284"/>
    </w:p>
    <w:p>
      <w:pPr>
        <w:pStyle w:val="BookText"/>
      </w:pPr>
      <w:r>
        <w:rPr>
          <w:rFonts w:ascii="IRNazanin" w:hAnsi="IRNazanin" w:eastAsia="IRNazanin" w:cs="IRNazanin"/>
          <w:lang w:bidi="fa-IR"/>
          <w:color w:val="111111"/>
          <w:sz w:val="28"/>
          <w:szCs w:val="28"/>
          <w:rtl/>
        </w:rPr>
        <w:t xml:space="preserve">قال فی (مع 1- ص 241) إنه من قدماء الشعراء، و أورد بعض شعره المدرج فی تذکره عرفات العاشقین و لیس هو ریحان العارف العربی المذکور فی نفحات الأنس- ص 527.</w:t>
      </w:r>
    </w:p>
    <w:p>
      <w:pPr>
        <w:pStyle w:val="Heading3"/>
      </w:pPr>
      <w:bookmarkStart w:id="4285" w:name="_Toc2981"/>
      <w:r>
        <w:t>دیوان ریگستان‏</w:t>
      </w:r>
      <w:bookmarkEnd w:id="4285"/>
    </w:p>
    <w:p>
      <w:pPr>
        <w:pStyle w:val="BookText"/>
      </w:pPr>
      <w:r>
        <w:rPr>
          <w:rFonts w:ascii="IRNazanin" w:hAnsi="IRNazanin" w:eastAsia="IRNazanin" w:cs="IRNazanin"/>
          <w:lang w:bidi="fa-IR"/>
          <w:color w:val="111111"/>
          <w:sz w:val="28"/>
          <w:szCs w:val="28"/>
          <w:rtl/>
        </w:rPr>
        <w:t xml:space="preserve">یأتی فی الراء بعنوان ریگستان نجف.</w:t>
      </w:r>
    </w:p>
    <w:p>
      <w:pPr>
        <w:pStyle w:val="Heading3"/>
      </w:pPr>
      <w:bookmarkStart w:id="4286" w:name="_Toc2982"/>
      <w:r>
        <w:t>2318- دیوان ریگی‏</w:t>
      </w:r>
      <w:bookmarkEnd w:id="4286"/>
    </w:p>
    <w:p>
      <w:pPr>
        <w:pStyle w:val="BookText"/>
      </w:pPr>
      <w:r>
        <w:rPr>
          <w:rFonts w:ascii="IRNazanin" w:hAnsi="IRNazanin" w:eastAsia="IRNazanin" w:cs="IRNazanin"/>
          <w:lang w:bidi="fa-IR"/>
          <w:color w:val="111111"/>
          <w:sz w:val="28"/>
          <w:szCs w:val="28"/>
          <w:rtl/>
        </w:rPr>
        <w:t xml:space="preserve">للحاج غلام حسین التاجر من أهل بندر ریگ علی بحر عمان. ترجمه فرصت فی (عم- ص 372) و أورد شعره.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94" w:name="pg11704_121874"/>
    <w:bookmarkEnd w:id="394"/>
    <w:p>
      <w:pPr>
        <w:pStyle w:val="Heading3"/>
      </w:pPr>
      <w:bookmarkStart w:id="4287" w:name="_Toc2983"/>
      <w:r>
        <w:t>ز</w:t>
      </w:r>
      <w:bookmarkEnd w:id="4287"/>
    </w:p>
    <w:p>
      <w:pPr>
        <w:pStyle w:val="Heading3"/>
      </w:pPr>
      <w:bookmarkStart w:id="4288" w:name="_Toc2984"/>
      <w:r>
        <w:t>دیوان زائر</w:t>
      </w:r>
      <w:bookmarkEnd w:id="4288"/>
    </w:p>
    <w:p>
      <w:pPr>
        <w:pStyle w:val="BookText"/>
      </w:pPr>
      <w:r>
        <w:rPr>
          <w:rFonts w:ascii="IRNazanin" w:hAnsi="IRNazanin" w:eastAsia="IRNazanin" w:cs="IRNazanin"/>
          <w:lang w:bidi="fa-IR"/>
          <w:color w:val="111111"/>
          <w:sz w:val="28"/>
          <w:szCs w:val="28"/>
          <w:rtl/>
        </w:rPr>
        <w:t xml:space="preserve">یأتی بالیاء لما مر فی دیوان رائج من متابعة العرف العام فیما یتلفظون به.</w:t>
      </w:r>
    </w:p>
    <w:p>
      <w:pPr>
        <w:pStyle w:val="Heading3"/>
      </w:pPr>
      <w:bookmarkStart w:id="4289" w:name="_Toc2985"/>
      <w:r>
        <w:t>2319- دیوان زاجری أو شعره‏</w:t>
      </w:r>
      <w:bookmarkEnd w:id="4289"/>
    </w:p>
    <w:p>
      <w:pPr>
        <w:pStyle w:val="BookText"/>
      </w:pPr>
      <w:r>
        <w:rPr>
          <w:rFonts w:ascii="IRNazanin" w:hAnsi="IRNazanin" w:eastAsia="IRNazanin" w:cs="IRNazanin"/>
          <w:lang w:bidi="fa-IR"/>
          <w:color w:val="111111"/>
          <w:sz w:val="28"/>
          <w:szCs w:val="28"/>
          <w:rtl/>
        </w:rPr>
        <w:t xml:space="preserve">و اسمه السید حسن، و کان معاصر الشاه عباس.</w:t>
      </w:r>
    </w:p>
    <w:p>
      <w:pPr>
        <w:pStyle w:val="BookText"/>
      </w:pPr>
      <w:r>
        <w:rPr>
          <w:rFonts w:ascii="IRNazanin" w:hAnsi="IRNazanin" w:eastAsia="IRNazanin" w:cs="IRNazanin"/>
          <w:lang w:bidi="fa-IR"/>
          <w:color w:val="111111"/>
          <w:sz w:val="28"/>
          <w:szCs w:val="28"/>
          <w:rtl/>
        </w:rPr>
        <w:t xml:space="preserve">أورد شعره فی (حسینی- ص 139) و لعله زجری.</w:t>
      </w:r>
    </w:p>
    <w:p>
      <w:pPr>
        <w:pStyle w:val="Heading3"/>
      </w:pPr>
      <w:bookmarkStart w:id="4290" w:name="_Toc2986"/>
      <w:r>
        <w:t>2320- دیوان زاری أو شعره‏</w:t>
      </w:r>
      <w:bookmarkEnd w:id="4290"/>
    </w:p>
    <w:p>
      <w:pPr>
        <w:pStyle w:val="BookText"/>
      </w:pPr>
      <w:r>
        <w:rPr>
          <w:rFonts w:ascii="IRNazanin" w:hAnsi="IRNazanin" w:eastAsia="IRNazanin" w:cs="IRNazanin"/>
          <w:lang w:bidi="fa-IR"/>
          <w:color w:val="111111"/>
          <w:sz w:val="28"/>
          <w:szCs w:val="28"/>
          <w:rtl/>
        </w:rPr>
        <w:t xml:space="preserve">اسمه المیر سدید بن القاضی محمد المشهور. أطرأه الصادقی (حدود 1010) فی (خص 6- ص 79) و ذکر أنه نقاد الشعر ماهر فی الموسیقی، و أورد مطلع غزله و سماه فی (تغ ص 61) نقلا عن التقی الأوحدی زاری کمانچه و لعله زاری مشهدی.</w:t>
      </w:r>
    </w:p>
    <w:p>
      <w:pPr>
        <w:pStyle w:val="Heading3"/>
      </w:pPr>
      <w:bookmarkStart w:id="4291" w:name="_Toc2987"/>
      <w:r>
        <w:t>2321- دیوان زاری أو شعره‏</w:t>
      </w:r>
      <w:bookmarkEnd w:id="4291"/>
    </w:p>
    <w:p>
      <w:pPr>
        <w:pStyle w:val="BookText"/>
      </w:pPr>
      <w:r>
        <w:rPr>
          <w:rFonts w:ascii="IRNazanin" w:hAnsi="IRNazanin" w:eastAsia="IRNazanin" w:cs="IRNazanin"/>
          <w:lang w:bidi="fa-IR"/>
          <w:color w:val="111111"/>
          <w:sz w:val="28"/>
          <w:szCs w:val="28"/>
          <w:rtl/>
        </w:rPr>
        <w:t xml:space="preserve">عده المیر علی شیر المتوفی (906) فی (مجن 3- ص 88 و 262) من الشعراء المتجددین فی زمانه و أورد مطلع غزله و لعله متحد مع ما بعده.</w:t>
      </w:r>
    </w:p>
    <w:p>
      <w:pPr>
        <w:pStyle w:val="Heading3"/>
      </w:pPr>
      <w:bookmarkStart w:id="4292" w:name="_Toc2988"/>
      <w:r>
        <w:t>دیوان زاری شیرازی أو شعره‏</w:t>
      </w:r>
      <w:bookmarkEnd w:id="4292"/>
    </w:p>
    <w:p>
      <w:pPr>
        <w:pStyle w:val="BookText"/>
      </w:pPr>
      <w:r>
        <w:rPr>
          <w:rFonts w:ascii="IRNazanin" w:hAnsi="IRNazanin" w:eastAsia="IRNazanin" w:cs="IRNazanin"/>
          <w:lang w:bidi="fa-IR"/>
          <w:color w:val="111111"/>
          <w:sz w:val="28"/>
          <w:szCs w:val="28"/>
          <w:rtl/>
        </w:rPr>
        <w:t xml:space="preserve">أورد شعره فی (گلشن- ص 188) و عنه فی القاموس الترکی ثم الریحانة و لعله متحد مع ما قبله.</w:t>
      </w:r>
    </w:p>
    <w:p>
      <w:pPr>
        <w:pStyle w:val="Heading3"/>
      </w:pPr>
      <w:bookmarkStart w:id="4293" w:name="_Toc2989"/>
      <w:r>
        <w:t>2322- دیوان زاری مشهدی أو شعره‏</w:t>
      </w:r>
      <w:bookmarkEnd w:id="4293"/>
    </w:p>
    <w:p>
      <w:pPr>
        <w:pStyle w:val="BookText"/>
      </w:pPr>
      <w:r>
        <w:rPr>
          <w:rFonts w:ascii="IRNazanin" w:hAnsi="IRNazanin" w:eastAsia="IRNazanin" w:cs="IRNazanin"/>
          <w:lang w:bidi="fa-IR"/>
          <w:color w:val="111111"/>
          <w:sz w:val="28"/>
          <w:szCs w:val="28"/>
          <w:rtl/>
        </w:rPr>
        <w:t xml:space="preserve">و اسمه محمد قاسم المؤرخ. قتله قطاع الطریق بأصفهان فی (979) أورد شعره فی (گلشن- 188) و عنه فی القاموس و الریحانة.</w:t>
      </w:r>
    </w:p>
    <w:p>
      <w:pPr>
        <w:pStyle w:val="Heading3"/>
      </w:pPr>
      <w:bookmarkStart w:id="4294" w:name="_Toc2990"/>
      <w:r>
        <w:t>دیوان زاکانی‏</w:t>
      </w:r>
      <w:bookmarkEnd w:id="4294"/>
    </w:p>
    <w:p>
      <w:pPr>
        <w:pStyle w:val="BookText"/>
      </w:pPr>
      <w:r>
        <w:rPr>
          <w:rFonts w:ascii="IRNazanin" w:hAnsi="IRNazanin" w:eastAsia="IRNazanin" w:cs="IRNazanin"/>
          <w:lang w:bidi="fa-IR"/>
          <w:color w:val="111111"/>
          <w:sz w:val="28"/>
          <w:szCs w:val="28"/>
          <w:rtl/>
        </w:rPr>
        <w:t xml:space="preserve">راجع دیوان عبید زاکانی.</w:t>
      </w:r>
    </w:p>
    <w:p>
      <w:pPr>
        <w:pStyle w:val="Heading3"/>
      </w:pPr>
      <w:bookmarkStart w:id="4295" w:name="_Toc2991"/>
      <w:r>
        <w:t>2323- دیوان مولانا زاهد</w:t>
      </w:r>
      <w:bookmarkEnd w:id="4295"/>
    </w:p>
    <w:p>
      <w:pPr>
        <w:pStyle w:val="BookText"/>
      </w:pPr>
      <w:r>
        <w:rPr>
          <w:rFonts w:ascii="IRNazanin" w:hAnsi="IRNazanin" w:eastAsia="IRNazanin" w:cs="IRNazanin"/>
          <w:lang w:bidi="fa-IR"/>
          <w:color w:val="111111"/>
          <w:sz w:val="28"/>
          <w:szCs w:val="28"/>
          <w:rtl/>
        </w:rPr>
        <w:t xml:space="preserve">المعاصر لبابا سودایی الذی کان مادح السلطان محمد بایسنقر میرزا و کان عاشقا له. ترجمه المیر علی شیر فی (مجن 1- ص 193) و ذکر أنه تتبع المیر خسرو فی مثنوی دریای أبرار و له نظیره تجنیسات الکاتبی. و له فی المناجاة:</w:t>
      </w:r>
    </w:p>
    <w:p>
      <w:pPr>
        <w:pStyle w:val="BookText"/>
      </w:pPr>
      <w:r>
        <w:rPr>
          <w:rFonts w:ascii="IRNazanin" w:hAnsi="IRNazanin" w:eastAsia="IRNazanin" w:cs="IRNazanin"/>
          <w:lang w:bidi="fa-IR"/>
          <w:color w:val="111111"/>
          <w:sz w:val="28"/>
          <w:szCs w:val="28"/>
          <w:rtl/>
        </w:rPr>
        <w:t xml:space="preserve">زهرة را چنگ یا رباب که داد</w:t>
      </w:r>
    </w:p>
    <w:p>
      <w:pPr>
        <w:pStyle w:val="BookText"/>
      </w:pPr>
      <w:r>
        <w:rPr>
          <w:rFonts w:ascii="IRNazanin" w:hAnsi="IRNazanin" w:eastAsia="IRNazanin" w:cs="IRNazanin"/>
          <w:lang w:bidi="fa-IR"/>
          <w:color w:val="111111"/>
          <w:sz w:val="28"/>
          <w:szCs w:val="28"/>
          <w:rtl/>
        </w:rPr>
        <w:t xml:space="preserve">لعل در سنک یا رب آب که داد</w:t>
      </w:r>
    </w:p>
    <w:p>
      <w:pPr>
        <w:pStyle w:val="BookText"/>
      </w:pPr>
      <w:r>
        <w:rPr>
          <w:rFonts w:ascii="IRNazanin" w:hAnsi="IRNazanin" w:eastAsia="IRNazanin" w:cs="IRNazanin"/>
          <w:lang w:bidi="fa-IR"/>
          <w:color w:val="111111"/>
          <w:sz w:val="28"/>
          <w:szCs w:val="28"/>
          <w:rtl/>
        </w:rPr>
        <w:t xml:space="preserve">و یأتی أن فی (لط 1- ص 18) ذکره بعنوان زاهدی بیاء النسبة.</w:t>
      </w:r>
    </w:p>
    <w:p>
      <w:pPr>
        <w:pStyle w:val="Heading3"/>
      </w:pPr>
      <w:bookmarkStart w:id="4296" w:name="_Toc2992"/>
      <w:r>
        <w:t>2324- دیوان زاهد الآذربایجانی‏</w:t>
      </w:r>
      <w:bookmarkEnd w:id="4296"/>
    </w:p>
    <w:p>
      <w:pPr>
        <w:pStyle w:val="BookText"/>
      </w:pPr>
      <w:r>
        <w:rPr>
          <w:rFonts w:ascii="IRNazanin" w:hAnsi="IRNazanin" w:eastAsia="IRNazanin" w:cs="IRNazanin"/>
          <w:lang w:bidi="fa-IR"/>
          <w:color w:val="111111"/>
          <w:sz w:val="28"/>
          <w:szCs w:val="28"/>
          <w:rtl/>
        </w:rPr>
        <w:t xml:space="preserve">من شعراء صائن قلعة، و اسمه کربلائی نوروز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95" w:name="pg11704_121875"/>
    <w:bookmarkEnd w:id="395"/>
    <w:p>
      <w:pPr>
        <w:pStyle w:val="BookText"/>
      </w:pPr>
      <w:r>
        <w:rPr>
          <w:rFonts w:ascii="IRNazanin" w:hAnsi="IRNazanin" w:eastAsia="IRNazanin" w:cs="IRNazanin"/>
          <w:lang w:bidi="fa-IR"/>
          <w:color w:val="111111"/>
          <w:sz w:val="28"/>
          <w:szCs w:val="28"/>
          <w:rtl/>
        </w:rPr>
        <w:t xml:space="preserve">و شعره بالترکیة. ترجمه فی (دجا- ص 162) حکایة عن حدیقة الشعراء.</w:t>
      </w:r>
    </w:p>
    <w:p>
      <w:pPr>
        <w:pStyle w:val="Heading3"/>
      </w:pPr>
      <w:bookmarkStart w:id="4297" w:name="_Toc2993"/>
      <w:r>
        <w:t>2325- دیوان زاهد الأصفهانی التبریزی‏</w:t>
      </w:r>
      <w:bookmarkEnd w:id="4297"/>
    </w:p>
    <w:p>
      <w:pPr>
        <w:pStyle w:val="BookText"/>
      </w:pPr>
      <w:r>
        <w:rPr>
          <w:rFonts w:ascii="IRNazanin" w:hAnsi="IRNazanin" w:eastAsia="IRNazanin" w:cs="IRNazanin"/>
          <w:lang w:bidi="fa-IR"/>
          <w:color w:val="111111"/>
          <w:sz w:val="28"/>
          <w:szCs w:val="28"/>
          <w:rtl/>
        </w:rPr>
        <w:t xml:space="preserve">الأصل نزیل عباس‏آباد أصفهان. اسمه المیرزا قاسم بن المیرزا محسن التبریزی کذا ترجمه فی (نر 5- ص 120) و أطرأه و أبدی فضائله و أورد جملة من أشعاره. و ترجمه أیضا فی (تغ- 61) و (حسینی- ص 138) و (دجا- ص 162) و أورد هذا شعره نقلا عن النصرآبادی و صحف إبراهیم و ذکر أن دیوانه مدون‏</w:t>
      </w:r>
    </w:p>
    <w:p>
      <w:pPr>
        <w:pStyle w:val="Heading3"/>
      </w:pPr>
      <w:bookmarkStart w:id="4298" w:name="_Toc2994"/>
      <w:r>
        <w:t>2326- دیوان زاهد التبریزی‏</w:t>
      </w:r>
      <w:bookmarkEnd w:id="4298"/>
    </w:p>
    <w:p>
      <w:pPr>
        <w:pStyle w:val="BookText"/>
      </w:pPr>
      <w:r>
        <w:rPr>
          <w:rFonts w:ascii="IRNazanin" w:hAnsi="IRNazanin" w:eastAsia="IRNazanin" w:cs="IRNazanin"/>
          <w:lang w:bidi="fa-IR"/>
          <w:color w:val="111111"/>
          <w:sz w:val="28"/>
          <w:szCs w:val="28"/>
          <w:rtl/>
        </w:rPr>
        <w:t xml:space="preserve">المدعو بفقیه زاهد. و اسمه معین الدین محمد بن رمضان و هو من الأولیاء المدفونین بمقبرة کجیل فی تبریز کما فی (دجا- ص 162) و أورد رباعیته عن روضات الجنان.</w:t>
      </w:r>
    </w:p>
    <w:p>
      <w:pPr>
        <w:pStyle w:val="Heading3"/>
      </w:pPr>
      <w:bookmarkStart w:id="4299" w:name="_Toc2995"/>
      <w:r>
        <w:t>2327- دیوان زاهد فراهی أو شعره‏</w:t>
      </w:r>
      <w:bookmarkEnd w:id="4299"/>
    </w:p>
    <w:p>
      <w:pPr>
        <w:pStyle w:val="BookText"/>
      </w:pPr>
      <w:r>
        <w:rPr>
          <w:rFonts w:ascii="IRNazanin" w:hAnsi="IRNazanin" w:eastAsia="IRNazanin" w:cs="IRNazanin"/>
          <w:lang w:bidi="fa-IR"/>
          <w:color w:val="111111"/>
          <w:sz w:val="28"/>
          <w:szCs w:val="28"/>
          <w:rtl/>
        </w:rPr>
        <w:t xml:space="preserve">معاصر السلطان حسین. سافر إلی هرات.</w:t>
      </w:r>
    </w:p>
    <w:p>
      <w:pPr>
        <w:pStyle w:val="BookText"/>
      </w:pPr>
      <w:r>
        <w:rPr>
          <w:rFonts w:ascii="IRNazanin" w:hAnsi="IRNazanin" w:eastAsia="IRNazanin" w:cs="IRNazanin"/>
          <w:lang w:bidi="fa-IR"/>
          <w:color w:val="111111"/>
          <w:sz w:val="28"/>
          <w:szCs w:val="28"/>
          <w:rtl/>
        </w:rPr>
        <w:t xml:space="preserve">أورد شعره فی (حسینی- ص 321).</w:t>
      </w:r>
    </w:p>
    <w:p>
      <w:pPr>
        <w:pStyle w:val="Heading3"/>
      </w:pPr>
      <w:bookmarkStart w:id="4300" w:name="_Toc2996"/>
      <w:r>
        <w:t>2328- دیوان زاهد گیلانی‏</w:t>
      </w:r>
      <w:bookmarkEnd w:id="4300"/>
    </w:p>
    <w:p>
      <w:pPr>
        <w:pStyle w:val="BookText"/>
      </w:pPr>
      <w:r>
        <w:rPr>
          <w:rFonts w:ascii="IRNazanin" w:hAnsi="IRNazanin" w:eastAsia="IRNazanin" w:cs="IRNazanin"/>
          <w:lang w:bidi="fa-IR"/>
          <w:color w:val="111111"/>
          <w:sz w:val="28"/>
          <w:szCs w:val="28"/>
          <w:rtl/>
        </w:rPr>
        <w:t xml:space="preserve">ترجمه فی (ض- ص 453) و ذکر أنه من أحفاد الشیخ زاهد الگیلانی المشهور الذی هو شیخ الشیخ صفی الدین الأردبیلی و الجد الأعلی للشیخ علی الحزین الزاهدی، و ذکر استکماله للمعقول و کونه من العرفاء النعمةاللهیة، و قد سافر بعزم الحج و توفی بالکاظمیة (1222) و أورد رباعیة له. و عنه أخذ فی الریحانة.</w:t>
      </w:r>
    </w:p>
    <w:p>
      <w:pPr>
        <w:pStyle w:val="Heading3"/>
      </w:pPr>
      <w:bookmarkStart w:id="4301" w:name="_Toc2997"/>
      <w:r>
        <w:t>دیوان زاهدی‏</w:t>
      </w:r>
      <w:bookmarkEnd w:id="4301"/>
    </w:p>
    <w:p>
      <w:pPr>
        <w:pStyle w:val="BookText"/>
      </w:pPr>
      <w:r>
        <w:rPr>
          <w:rFonts w:ascii="IRNazanin" w:hAnsi="IRNazanin" w:eastAsia="IRNazanin" w:cs="IRNazanin"/>
          <w:lang w:bidi="fa-IR"/>
          <w:color w:val="111111"/>
          <w:sz w:val="28"/>
          <w:szCs w:val="28"/>
          <w:rtl/>
        </w:rPr>
        <w:t xml:space="preserve">بیاء النسبة کما فی (لط- ص 18) و مر بغیر یاء کما فی ترجمه القزوینی‏</w:t>
      </w:r>
    </w:p>
    <w:p>
      <w:pPr>
        <w:pStyle w:val="Heading3"/>
      </w:pPr>
      <w:bookmarkStart w:id="4302" w:name="_Toc2998"/>
      <w:r>
        <w:t>2329- دیوان زاهدی گیلانی أو شعره‏</w:t>
      </w:r>
      <w:bookmarkEnd w:id="4302"/>
    </w:p>
    <w:p>
      <w:pPr>
        <w:pStyle w:val="BookText"/>
      </w:pPr>
      <w:r>
        <w:rPr>
          <w:rFonts w:ascii="IRNazanin" w:hAnsi="IRNazanin" w:eastAsia="IRNazanin" w:cs="IRNazanin"/>
          <w:lang w:bidi="fa-IR"/>
          <w:color w:val="111111"/>
          <w:sz w:val="28"/>
          <w:szCs w:val="28"/>
          <w:rtl/>
        </w:rPr>
        <w:t xml:space="preserve">و هو الشیخ إبراهیم بن عبد الله بن عطاء الله الزاهدی الگیلانی الأصفهانی مؤلف توضیح أقلیدس و رافع الخلاف و المتوفی (1119) ترجمه ابن أخیه الحزین فی تذکرته (ط. أصفهان. ص 21) و قال کان ماهرا فی الشعر و المعمی و اللغز.</w:t>
      </w:r>
    </w:p>
    <w:p>
      <w:pPr>
        <w:pStyle w:val="Heading3"/>
      </w:pPr>
      <w:bookmarkStart w:id="4303" w:name="_Toc2999"/>
      <w:r>
        <w:t>2330- دیوان الزاهی‏</w:t>
      </w:r>
      <w:bookmarkEnd w:id="4303"/>
    </w:p>
    <w:p>
      <w:pPr>
        <w:pStyle w:val="BookText"/>
      </w:pPr>
      <w:r>
        <w:rPr>
          <w:rFonts w:ascii="IRNazanin" w:hAnsi="IRNazanin" w:eastAsia="IRNazanin" w:cs="IRNazanin"/>
          <w:lang w:bidi="fa-IR"/>
          <w:color w:val="111111"/>
          <w:sz w:val="28"/>
          <w:szCs w:val="28"/>
          <w:rtl/>
        </w:rPr>
        <w:t xml:space="preserve">هو أبو القاسم علی بن إسحاق بن خلف البغدادی المعروف بالزاهی الشاعر المشهور کذا ترجمه ابن خلکان فی (ج 1- ص 355) و قال [ذکر عمید الدولة أبو سعید بن عبد الرحیم فی طبقات الشعراء أنه ولد فی (318) و توفی (352) و دفن فی مقابر قریش، و شعره فی أربعة أجزاء و أکثره فی أهل البیت ...] و عده ابن شهرآشوب فی آخر معالم العلماء من المجاهرین فی مدح أهل البیت علیه السلام  و ترجمه فی نسمة السحر فیمن تشیع و شعر. و ذکر فی کشف الظنون (ج 2- ص 93) طبقات‏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96" w:name="pg11704_121876"/>
    <w:bookmarkEnd w:id="396"/>
    <w:p>
      <w:pPr>
        <w:pStyle w:val="BookText"/>
      </w:pPr>
      <w:r>
        <w:rPr>
          <w:rFonts w:ascii="IRNazanin" w:hAnsi="IRNazanin" w:eastAsia="IRNazanin" w:cs="IRNazanin"/>
          <w:lang w:bidi="fa-IR"/>
          <w:color w:val="111111"/>
          <w:sz w:val="28"/>
          <w:szCs w:val="28"/>
          <w:rtl/>
        </w:rPr>
        <w:t xml:space="preserve">الشعراء تألیف أبی سعید محمد بن الحسین بن عبد الرحیم الوزیر المتوفی (388). و ترجم الزاهی فی (لس- ص 228) و تاریخ بغداد (ج 11 ص 350) و ریحانة الأدب. و زاه قریة نیشابور.</w:t>
      </w:r>
    </w:p>
    <w:p>
      <w:pPr>
        <w:pStyle w:val="Heading3"/>
      </w:pPr>
      <w:bookmarkStart w:id="4304" w:name="_Toc3000"/>
      <w:r>
        <w:t>2331- دیوان زائر دامغانی أو شعره‏</w:t>
      </w:r>
      <w:bookmarkEnd w:id="4304"/>
    </w:p>
    <w:p>
      <w:pPr>
        <w:pStyle w:val="BookText"/>
      </w:pPr>
      <w:r>
        <w:rPr>
          <w:rFonts w:ascii="IRNazanin" w:hAnsi="IRNazanin" w:eastAsia="IRNazanin" w:cs="IRNazanin"/>
          <w:lang w:bidi="fa-IR"/>
          <w:color w:val="111111"/>
          <w:sz w:val="28"/>
          <w:szCs w:val="28"/>
          <w:rtl/>
        </w:rPr>
        <w:t xml:space="preserve">و اسمه إسماعیل. یشتغل فی محکمة شیخ الإسلام بها. ذکره النصرآبادی فی (نر 9- ص 406) و أورد شعره.</w:t>
      </w:r>
    </w:p>
    <w:p>
      <w:pPr>
        <w:pStyle w:val="Heading3"/>
      </w:pPr>
      <w:bookmarkStart w:id="4305" w:name="_Toc3001"/>
      <w:r>
        <w:t>2332- دیوان زائر شوشتری‏</w:t>
      </w:r>
      <w:bookmarkEnd w:id="4305"/>
    </w:p>
    <w:p>
      <w:pPr>
        <w:pStyle w:val="BookText"/>
      </w:pPr>
      <w:r>
        <w:rPr>
          <w:rFonts w:ascii="IRNazanin" w:hAnsi="IRNazanin" w:eastAsia="IRNazanin" w:cs="IRNazanin"/>
          <w:lang w:bidi="fa-IR"/>
          <w:color w:val="111111"/>
          <w:sz w:val="28"/>
          <w:szCs w:val="28"/>
          <w:rtl/>
        </w:rPr>
        <w:t xml:space="preserve">و هو الخواجة عبد الحمید التستری الذی ذکره السید عبد الله التستری فی تذکره شوشتر (ص 139 و 162) و أورد بعض شعره عن دیوانه، و قال إنه من تلامیذ المولی کاسبی المسمی بمحب علی و المعاصر لواخشتو خان حاکم تستر إلی (1078) قال و عمر طویلا و توفی (1126). و قال الحزین فی تذکرته (ص 99) إنه سافر إلی أصفهان فلاقیته هناک.</w:t>
      </w:r>
    </w:p>
    <w:p>
      <w:pPr>
        <w:pStyle w:val="Heading3"/>
      </w:pPr>
      <w:bookmarkStart w:id="4306" w:name="_Toc3002"/>
      <w:r>
        <w:t>2333- دیوان زائر همدانی أو شعره‏</w:t>
      </w:r>
      <w:bookmarkEnd w:id="4306"/>
    </w:p>
    <w:p>
      <w:pPr>
        <w:pStyle w:val="BookText"/>
      </w:pPr>
      <w:r>
        <w:rPr>
          <w:rFonts w:ascii="IRNazanin" w:hAnsi="IRNazanin" w:eastAsia="IRNazanin" w:cs="IRNazanin"/>
          <w:lang w:bidi="fa-IR"/>
          <w:color w:val="111111"/>
          <w:sz w:val="28"/>
          <w:szCs w:val="28"/>
          <w:rtl/>
        </w:rPr>
        <w:t xml:space="preserve">و اسمه الحاج أمید. کان والده من الملاکین فی همدان، و بعد موته أتلف الأموال و هاجر إلی بلاد الهند ثم رجع و صار ملازم بوداق سلطان الکمره‏إی، کذا وصفه النصرآبادی فی (نر 9- ص 324) و أورد جملة من شعره. و أورد شعره فی (گلشن- ص 189).</w:t>
      </w:r>
    </w:p>
    <w:p>
      <w:pPr>
        <w:pStyle w:val="Heading3"/>
      </w:pPr>
      <w:bookmarkStart w:id="4307" w:name="_Toc3003"/>
      <w:r>
        <w:t>2334- دیوان زائر هندی أو شعره‏</w:t>
      </w:r>
      <w:bookmarkEnd w:id="4307"/>
    </w:p>
    <w:p>
      <w:pPr>
        <w:pStyle w:val="BookText"/>
      </w:pPr>
      <w:r>
        <w:rPr>
          <w:rFonts w:ascii="IRNazanin" w:hAnsi="IRNazanin" w:eastAsia="IRNazanin" w:cs="IRNazanin"/>
          <w:lang w:bidi="fa-IR"/>
          <w:color w:val="111111"/>
          <w:sz w:val="28"/>
          <w:szCs w:val="28"/>
          <w:rtl/>
        </w:rPr>
        <w:t xml:space="preserve">و هو المیر أولاد علی الهندی. أورد شعره فی (گلشن- ص 189).</w:t>
      </w:r>
    </w:p>
    <w:p>
      <w:pPr>
        <w:pStyle w:val="Heading3"/>
      </w:pPr>
      <w:bookmarkStart w:id="4308" w:name="_Toc3004"/>
      <w:r>
        <w:t>2335- دیوان زائر هندی‏</w:t>
      </w:r>
      <w:bookmarkEnd w:id="4308"/>
    </w:p>
    <w:p>
      <w:pPr>
        <w:pStyle w:val="BookText"/>
      </w:pPr>
      <w:r>
        <w:rPr>
          <w:rFonts w:ascii="IRNazanin" w:hAnsi="IRNazanin" w:eastAsia="IRNazanin" w:cs="IRNazanin"/>
          <w:lang w:bidi="fa-IR"/>
          <w:color w:val="111111"/>
          <w:sz w:val="28"/>
          <w:szCs w:val="28"/>
          <w:rtl/>
        </w:rPr>
        <w:t xml:space="preserve">و هو الشیخ محمد فاخر بن محمد یحیی. أورد شعره فی سرو آزاد- ص 210. و قال ولد (1120) و مات ببرهان‏پور (1164) و له دیوان أورد منها شعره.</w:t>
      </w:r>
    </w:p>
    <w:p>
      <w:pPr>
        <w:pStyle w:val="Heading3"/>
      </w:pPr>
      <w:bookmarkStart w:id="4309" w:name="_Toc3005"/>
      <w:r>
        <w:t>2336- دیوان زائری أصفهانی‏</w:t>
      </w:r>
      <w:bookmarkEnd w:id="4309"/>
    </w:p>
    <w:p>
      <w:pPr>
        <w:pStyle w:val="BookText"/>
      </w:pPr>
      <w:r>
        <w:rPr>
          <w:rFonts w:ascii="IRNazanin" w:hAnsi="IRNazanin" w:eastAsia="IRNazanin" w:cs="IRNazanin"/>
          <w:lang w:bidi="fa-IR"/>
          <w:color w:val="111111"/>
          <w:sz w:val="28"/>
          <w:szCs w:val="28"/>
          <w:rtl/>
        </w:rPr>
        <w:t xml:space="preserve">أو شعرها و هی من شاعرات أصفهان کما فی آفتاب عالمتاب و نشتر عشق و نتایج الأفکار و شمع انجمن أورد شعرها بعد الإطراء فی (روشن- ص 268) و (تغ- ص 61).</w:t>
      </w:r>
    </w:p>
    <w:p>
      <w:pPr>
        <w:pStyle w:val="Heading3"/>
      </w:pPr>
      <w:bookmarkStart w:id="4310" w:name="_Toc3006"/>
      <w:r>
        <w:t>دیوان زبانی یزدی أو شعره‏</w:t>
      </w:r>
      <w:bookmarkEnd w:id="4310"/>
    </w:p>
    <w:p>
      <w:pPr>
        <w:pStyle w:val="BookText"/>
      </w:pPr>
      <w:r>
        <w:rPr>
          <w:rFonts w:ascii="IRNazanin" w:hAnsi="IRNazanin" w:eastAsia="IRNazanin" w:cs="IRNazanin"/>
          <w:lang w:bidi="fa-IR"/>
          <w:color w:val="111111"/>
          <w:sz w:val="28"/>
          <w:szCs w:val="28"/>
          <w:rtl/>
        </w:rPr>
        <w:t xml:space="preserve">قال فی (تش یز- ص 292) إنه من سادات الشعراء فی العصر الصفوی. و أورد شعره هناک و فی (گلستان مسرت- ص 291) و لعله زمانی.</w:t>
      </w:r>
    </w:p>
    <w:p>
      <w:pPr>
        <w:pStyle w:val="Heading3"/>
      </w:pPr>
      <w:bookmarkStart w:id="4311" w:name="_Toc3007"/>
      <w:r>
        <w:t>دیوان زبیدة</w:t>
      </w:r>
      <w:bookmarkEnd w:id="4311"/>
    </w:p>
    <w:p>
      <w:pPr>
        <w:pStyle w:val="BookText"/>
      </w:pPr>
      <w:r>
        <w:rPr>
          <w:rFonts w:ascii="IRNazanin" w:hAnsi="IRNazanin" w:eastAsia="IRNazanin" w:cs="IRNazanin"/>
          <w:lang w:bidi="fa-IR"/>
          <w:color w:val="111111"/>
          <w:sz w:val="28"/>
          <w:szCs w:val="28"/>
          <w:rtl/>
        </w:rPr>
        <w:t xml:space="preserve">بنت السلطان فتح علی شاه من الفضلیات الشاعرات کثیرة الخیرات و المبرات‏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97" w:name="pg11704_121877"/>
    <w:bookmarkEnd w:id="397"/>
    <w:p>
      <w:pPr>
        <w:pStyle w:val="BookText"/>
      </w:pPr>
      <w:r>
        <w:rPr>
          <w:rFonts w:ascii="IRNazanin" w:hAnsi="IRNazanin" w:eastAsia="IRNazanin" w:cs="IRNazanin"/>
          <w:lang w:bidi="fa-IR"/>
          <w:color w:val="111111"/>
          <w:sz w:val="28"/>
          <w:szCs w:val="28"/>
          <w:rtl/>
        </w:rPr>
        <w:t xml:space="preserve">کما ذکر فی ترجمتها. مرت بعنوان تخلصها جهان قاجار. و أورد شعرها فی (پژمان- ص 160).</w:t>
      </w:r>
    </w:p>
    <w:p>
      <w:pPr>
        <w:pStyle w:val="Heading3"/>
      </w:pPr>
      <w:bookmarkStart w:id="4312" w:name="_Toc3008"/>
      <w:r>
        <w:t>2337- دیوان زجری أو شعره‏</w:t>
      </w:r>
      <w:bookmarkEnd w:id="4312"/>
    </w:p>
    <w:p>
      <w:pPr>
        <w:pStyle w:val="BookText"/>
      </w:pPr>
      <w:r>
        <w:rPr>
          <w:rFonts w:ascii="IRNazanin" w:hAnsi="IRNazanin" w:eastAsia="IRNazanin" w:cs="IRNazanin"/>
          <w:lang w:bidi="fa-IR"/>
          <w:color w:val="111111"/>
          <w:sz w:val="28"/>
          <w:szCs w:val="28"/>
          <w:rtl/>
        </w:rPr>
        <w:t xml:space="preserve">من معاصری الشاه طهماسب الأول. کذا ترجمه و أورد شعره فی (گلشن- ص 189) و (تغ- ص 61) و لعله زاجری المذکور فی (حسینی- ص 139).</w:t>
      </w:r>
    </w:p>
    <w:p>
      <w:pPr>
        <w:pStyle w:val="Heading3"/>
      </w:pPr>
      <w:bookmarkStart w:id="4313" w:name="_Toc3009"/>
      <w:r>
        <w:t>2338- دیوان زخمی هندی‏</w:t>
      </w:r>
      <w:bookmarkEnd w:id="4313"/>
    </w:p>
    <w:p>
      <w:pPr>
        <w:pStyle w:val="BookText"/>
      </w:pPr>
      <w:r>
        <w:rPr>
          <w:rFonts w:ascii="IRNazanin" w:hAnsi="IRNazanin" w:eastAsia="IRNazanin" w:cs="IRNazanin"/>
          <w:lang w:bidi="fa-IR"/>
          <w:color w:val="111111"/>
          <w:sz w:val="28"/>
          <w:szCs w:val="28"/>
          <w:rtl/>
        </w:rPr>
        <w:t xml:space="preserve">کان برهمنیا فأسلم فی (1164) و نظم الشعر باللغات الفارسیة و الترکیة و العربیة و الإنگلیزیة و السانسکریتیة و الأردویة. کذا فی ریحانة الأدب نقلا عن القاموس الترکی.</w:t>
      </w:r>
    </w:p>
    <w:p>
      <w:pPr>
        <w:pStyle w:val="Heading3"/>
      </w:pPr>
      <w:bookmarkStart w:id="4314" w:name="_Toc3010"/>
      <w:r>
        <w:t>دیوان زرد تبریزی‏</w:t>
      </w:r>
      <w:bookmarkEnd w:id="4314"/>
    </w:p>
    <w:p>
      <w:pPr>
        <w:pStyle w:val="BookText"/>
      </w:pPr>
      <w:r>
        <w:rPr>
          <w:rFonts w:ascii="IRNazanin" w:hAnsi="IRNazanin" w:eastAsia="IRNazanin" w:cs="IRNazanin"/>
          <w:lang w:bidi="fa-IR"/>
          <w:color w:val="111111"/>
          <w:sz w:val="28"/>
          <w:szCs w:val="28"/>
          <w:rtl/>
        </w:rPr>
        <w:t xml:space="preserve">یأتی بعنوان شرف زرد تبریزی.</w:t>
      </w:r>
    </w:p>
    <w:p>
      <w:pPr>
        <w:pStyle w:val="Heading3"/>
      </w:pPr>
      <w:bookmarkStart w:id="4315" w:name="_Toc3011"/>
      <w:r>
        <w:t>2339- دیوان زرکش أو شعره‏</w:t>
      </w:r>
      <w:bookmarkEnd w:id="4315"/>
    </w:p>
    <w:p>
      <w:pPr>
        <w:pStyle w:val="BookText"/>
      </w:pPr>
      <w:r>
        <w:rPr>
          <w:rFonts w:ascii="IRNazanin" w:hAnsi="IRNazanin" w:eastAsia="IRNazanin" w:cs="IRNazanin"/>
          <w:lang w:bidi="fa-IR"/>
          <w:color w:val="111111"/>
          <w:sz w:val="28"/>
          <w:szCs w:val="28"/>
          <w:rtl/>
        </w:rPr>
        <w:t xml:space="preserve">اسمه آقا زمان. کان یتخلص أولا فریبی فبدله زرکش. نظم قصة غرام محمد رضا قهوه‏چی، ثم سافر إلی الهند و بها مات. کذا ترجمه و أورد شعره فی (نر 9- ص 332).</w:t>
      </w:r>
    </w:p>
    <w:p>
      <w:pPr>
        <w:pStyle w:val="Heading3"/>
      </w:pPr>
      <w:bookmarkStart w:id="4316" w:name="_Toc3012"/>
      <w:r>
        <w:t>2340- دیوان زرکش رشتی أو شعره‏</w:t>
      </w:r>
      <w:bookmarkEnd w:id="4316"/>
    </w:p>
    <w:p>
      <w:pPr>
        <w:pStyle w:val="BookText"/>
      </w:pPr>
      <w:r>
        <w:rPr>
          <w:rFonts w:ascii="IRNazanin" w:hAnsi="IRNazanin" w:eastAsia="IRNazanin" w:cs="IRNazanin"/>
          <w:lang w:bidi="fa-IR"/>
          <w:color w:val="111111"/>
          <w:sz w:val="28"/>
          <w:szCs w:val="28"/>
          <w:rtl/>
        </w:rPr>
        <w:t xml:space="preserve">و اسمه مقیما الرشتی الماهر فی العروض، اشتغل أولا بشغل أبیه شاهنامه خوانی ثم اشتغل ب زرکشی. أورد شعره فی (نر 9- ص 379).</w:t>
      </w:r>
    </w:p>
    <w:p>
      <w:pPr>
        <w:pStyle w:val="Heading3"/>
      </w:pPr>
      <w:bookmarkStart w:id="4317" w:name="_Toc3013"/>
      <w:r>
        <w:t>2341- دیوان زرکش یزدی أو شعره‏</w:t>
      </w:r>
      <w:bookmarkEnd w:id="4317"/>
    </w:p>
    <w:p>
      <w:pPr>
        <w:pStyle w:val="BookText"/>
      </w:pPr>
      <w:r>
        <w:rPr>
          <w:rFonts w:ascii="IRNazanin" w:hAnsi="IRNazanin" w:eastAsia="IRNazanin" w:cs="IRNazanin"/>
          <w:lang w:bidi="fa-IR"/>
          <w:color w:val="111111"/>
          <w:sz w:val="28"/>
          <w:szCs w:val="28"/>
          <w:rtl/>
        </w:rPr>
        <w:t xml:space="preserve">و اسمه محمد باقر من شعراء عهد کریم خان زند.</w:t>
      </w:r>
    </w:p>
    <w:p>
      <w:pPr>
        <w:pStyle w:val="BookText"/>
      </w:pPr>
      <w:r>
        <w:rPr>
          <w:rFonts w:ascii="IRNazanin" w:hAnsi="IRNazanin" w:eastAsia="IRNazanin" w:cs="IRNazanin"/>
          <w:lang w:bidi="fa-IR"/>
          <w:color w:val="111111"/>
          <w:sz w:val="28"/>
          <w:szCs w:val="28"/>
          <w:rtl/>
        </w:rPr>
        <w:t xml:space="preserve">أورد شعره فی (تش یز- ص 293).</w:t>
      </w:r>
    </w:p>
    <w:p>
      <w:pPr>
        <w:pStyle w:val="Heading3"/>
      </w:pPr>
      <w:bookmarkStart w:id="4318" w:name="_Toc3014"/>
      <w:r>
        <w:t>2342- دیوان زرکوب أصفهانی أو شعره‏</w:t>
      </w:r>
      <w:bookmarkEnd w:id="4318"/>
    </w:p>
    <w:p>
      <w:pPr>
        <w:pStyle w:val="BookText"/>
      </w:pPr>
      <w:r>
        <w:rPr>
          <w:rFonts w:ascii="IRNazanin" w:hAnsi="IRNazanin" w:eastAsia="IRNazanin" w:cs="IRNazanin"/>
          <w:lang w:bidi="fa-IR"/>
          <w:color w:val="111111"/>
          <w:sz w:val="28"/>
          <w:szCs w:val="28"/>
          <w:rtl/>
        </w:rPr>
        <w:t xml:space="preserve">و هو المیرزا جعفر الهزال، معاصر مجید شبستری. أورد أشعاره الهزلیة فی (حسینی- ص 329).</w:t>
      </w:r>
    </w:p>
    <w:p>
      <w:pPr>
        <w:pStyle w:val="Heading3"/>
      </w:pPr>
      <w:bookmarkStart w:id="4319" w:name="_Toc3015"/>
      <w:r>
        <w:t>2343- دیوان زرکوب تبریزی‏</w:t>
      </w:r>
      <w:bookmarkEnd w:id="4319"/>
    </w:p>
    <w:p>
      <w:pPr>
        <w:pStyle w:val="BookText"/>
      </w:pPr>
      <w:r>
        <w:rPr>
          <w:rFonts w:ascii="IRNazanin" w:hAnsi="IRNazanin" w:eastAsia="IRNazanin" w:cs="IRNazanin"/>
          <w:lang w:bidi="fa-IR"/>
          <w:color w:val="111111"/>
          <w:sz w:val="28"/>
          <w:szCs w:val="28"/>
          <w:rtl/>
        </w:rPr>
        <w:t xml:space="preserve">اسمه الشیخ نجم الدین معاصر ابقا خان کما فی (تاریخ گزیده- ص 825). و هو غیر الشیخ نجم الدین الرازی کما ذکر فی (ض- ص 131) و غیر الشیرازی جد فخر الدین أحمد مؤلف شیرازنامه. و قد ذکر جملة من أشعاره و ترجمته فی (دجا- ص 165) و ذکر أن بدر الدین الجاجرمی أورد فی مونس الأبرار ترجیع بندا له یقرب من مائة بیت، و ذکر أیضا أن له فتوت‏نامه و أورد إحدی غزلیاته و ما هو المکتوب علی لوح قبره فی مقبرة کجیل من ألقابه و اسمه و نسبه و تاریخ فوته فی (5 رجب (712).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98" w:name="pg11704_121878"/>
    <w:bookmarkEnd w:id="398"/>
    <w:p>
      <w:pPr>
        <w:pStyle w:val="Heading3"/>
      </w:pPr>
      <w:bookmarkStart w:id="4320" w:name="_Toc3016"/>
      <w:r>
        <w:t>دیوان زرگر أصفهانی‏</w:t>
      </w:r>
      <w:bookmarkEnd w:id="4320"/>
    </w:p>
    <w:p>
      <w:pPr>
        <w:pStyle w:val="BookText"/>
      </w:pPr>
      <w:r>
        <w:rPr>
          <w:rFonts w:ascii="IRNazanin" w:hAnsi="IRNazanin" w:eastAsia="IRNazanin" w:cs="IRNazanin"/>
          <w:lang w:bidi="fa-IR"/>
          <w:color w:val="111111"/>
          <w:sz w:val="28"/>
          <w:szCs w:val="28"/>
          <w:rtl/>
        </w:rPr>
        <w:t xml:space="preserve">مر جوهری زرگر و قال فی شاهد صادق إنه مات (552).</w:t>
      </w:r>
    </w:p>
    <w:p>
      <w:pPr>
        <w:pStyle w:val="Heading3"/>
      </w:pPr>
      <w:bookmarkStart w:id="4321" w:name="_Toc3017"/>
      <w:r>
        <w:t>دیوان زرگر أصفهانی‏</w:t>
      </w:r>
      <w:bookmarkEnd w:id="4321"/>
    </w:p>
    <w:p>
      <w:pPr>
        <w:pStyle w:val="BookText"/>
      </w:pPr>
      <w:r>
        <w:rPr>
          <w:rFonts w:ascii="IRNazanin" w:hAnsi="IRNazanin" w:eastAsia="IRNazanin" w:cs="IRNazanin"/>
          <w:lang w:bidi="fa-IR"/>
          <w:color w:val="111111"/>
          <w:sz w:val="28"/>
          <w:szCs w:val="28"/>
          <w:rtl/>
        </w:rPr>
        <w:t xml:space="preserve">راجع زرگر تبریزی.</w:t>
      </w:r>
    </w:p>
    <w:p>
      <w:pPr>
        <w:pStyle w:val="Heading3"/>
      </w:pPr>
      <w:bookmarkStart w:id="4322" w:name="_Toc3018"/>
      <w:r>
        <w:t>2344- دیوان زرگر أصفهانی‏</w:t>
      </w:r>
      <w:bookmarkEnd w:id="4322"/>
    </w:p>
    <w:p>
      <w:pPr>
        <w:pStyle w:val="BookText"/>
      </w:pPr>
      <w:r>
        <w:rPr>
          <w:rFonts w:ascii="IRNazanin" w:hAnsi="IRNazanin" w:eastAsia="IRNazanin" w:cs="IRNazanin"/>
          <w:lang w:bidi="fa-IR"/>
          <w:color w:val="111111"/>
          <w:sz w:val="28"/>
          <w:szCs w:val="28"/>
          <w:rtl/>
        </w:rPr>
        <w:t xml:space="preserve">و اسمه محمد حسین و تخلصه زرگر. ترجمه فی (مع- ج 2 ص 151) و قال إنه توفی (1270) و أورد عدة من غزلیاته. طبع دیوانه فی (42 ص) ضمن دانش‏نامه لمحمد باقر ألفت بأصفهان فی (1342) ثم مستقلا فی (1353) ثم (1359). و سماه فیه محمد حسن و قال ألفت فی مقدمته أنه کان صائغا. و قد مدح منوچهر خان معتمد الدولة فذکر فی المدائح المعتمدیة.</w:t>
      </w:r>
    </w:p>
    <w:p>
      <w:pPr>
        <w:pStyle w:val="Heading3"/>
      </w:pPr>
      <w:bookmarkStart w:id="4323" w:name="_Toc3019"/>
      <w:r>
        <w:t>2345- دیوان زرگر تبریزی‏</w:t>
      </w:r>
      <w:bookmarkEnd w:id="4323"/>
    </w:p>
    <w:p>
      <w:pPr>
        <w:pStyle w:val="BookText"/>
      </w:pPr>
      <w:r>
        <w:rPr>
          <w:rFonts w:ascii="IRNazanin" w:hAnsi="IRNazanin" w:eastAsia="IRNazanin" w:cs="IRNazanin"/>
          <w:lang w:bidi="fa-IR"/>
          <w:color w:val="111111"/>
          <w:sz w:val="28"/>
          <w:szCs w:val="28"/>
          <w:rtl/>
        </w:rPr>
        <w:t xml:space="preserve">الأصفهانی المسکن. ترجمه فی (ض- ص 133) و ذکر أن اسمه الشیخ نجیب الدین رضا من المریدین للعارف الشیخ محمد علی المؤذن الخراسانی من مشایخ السلسلة الذهبیة. و کان أمیا و له مثنوی السبع المثانی و مثنوی خلاصة الحقائق و دیوانه هذا غزلیات کله، و قد یتخلص فیه جوهری و رضا و نجیب الدین قال و أنا رأیت هذه الثلاثة من منظوماته و أورد بعضا منها و توفی (1080).</w:t>
      </w:r>
    </w:p>
    <w:p>
      <w:pPr>
        <w:pStyle w:val="BookText"/>
      </w:pPr>
      <w:r>
        <w:rPr>
          <w:rFonts w:ascii="IRNazanin" w:hAnsi="IRNazanin" w:eastAsia="IRNazanin" w:cs="IRNazanin"/>
          <w:lang w:bidi="fa-IR"/>
          <w:color w:val="111111"/>
          <w:sz w:val="28"/>
          <w:szCs w:val="28"/>
          <w:rtl/>
        </w:rPr>
        <w:t xml:space="preserve">و لعله المیرزا مقیم المذکور فی (ص 210) بعنوان جوهری تبریزی.</w:t>
      </w:r>
    </w:p>
    <w:p>
      <w:pPr>
        <w:pStyle w:val="Heading3"/>
      </w:pPr>
      <w:bookmarkStart w:id="4324" w:name="_Toc3020"/>
      <w:r>
        <w:t>2346- دیوان زرگر رشتی‏</w:t>
      </w:r>
      <w:bookmarkEnd w:id="4324"/>
    </w:p>
    <w:p>
      <w:pPr>
        <w:pStyle w:val="BookText"/>
      </w:pPr>
      <w:r>
        <w:rPr>
          <w:rFonts w:ascii="IRNazanin" w:hAnsi="IRNazanin" w:eastAsia="IRNazanin" w:cs="IRNazanin"/>
          <w:lang w:bidi="fa-IR"/>
          <w:color w:val="111111"/>
          <w:sz w:val="28"/>
          <w:szCs w:val="28"/>
          <w:rtl/>
        </w:rPr>
        <w:t xml:space="preserve">اسمه خلیل و کان صرافا فی رشت. ترجمه صادقی کتاب دار فی (خص 8- ص 236) و ذکر أنه نظم جمشیدنامه لکنه لم یشتهر و أورد عدة من أبیاته‏</w:t>
      </w:r>
    </w:p>
    <w:p>
      <w:pPr>
        <w:pStyle w:val="Heading3"/>
      </w:pPr>
      <w:bookmarkStart w:id="4325" w:name="_Toc3021"/>
      <w:r>
        <w:t>2347- دیوان زکریا ملتانی أو شعره‏</w:t>
      </w:r>
      <w:bookmarkEnd w:id="4325"/>
    </w:p>
    <w:p>
      <w:pPr>
        <w:pStyle w:val="BookText"/>
      </w:pPr>
      <w:r>
        <w:rPr>
          <w:rFonts w:ascii="IRNazanin" w:hAnsi="IRNazanin" w:eastAsia="IRNazanin" w:cs="IRNazanin"/>
          <w:lang w:bidi="fa-IR"/>
          <w:color w:val="111111"/>
          <w:sz w:val="28"/>
          <w:szCs w:val="28"/>
          <w:rtl/>
        </w:rPr>
        <w:t xml:space="preserve">هو بهاء الدین زکریا. ترجمه فی (ض- ص 291) و أورد شعره. و کذا فی (روشن- ص 105) و قال هو ابن وجیه الدین بن الشیخ کمال الدین القرشی. جاء جده من مکة إلی ملتان. و مات زکریا فی (9 صفر (605).</w:t>
      </w:r>
    </w:p>
    <w:p>
      <w:pPr>
        <w:pStyle w:val="Heading3"/>
      </w:pPr>
      <w:bookmarkStart w:id="4326" w:name="_Toc3022"/>
      <w:r>
        <w:t>2348- دیوان زکی‏</w:t>
      </w:r>
      <w:bookmarkEnd w:id="4326"/>
    </w:p>
    <w:p>
      <w:pPr>
        <w:pStyle w:val="BookText"/>
      </w:pPr>
      <w:r>
        <w:rPr>
          <w:rFonts w:ascii="IRNazanin" w:hAnsi="IRNazanin" w:eastAsia="IRNazanin" w:cs="IRNazanin"/>
          <w:lang w:bidi="fa-IR"/>
          <w:color w:val="111111"/>
          <w:sz w:val="28"/>
          <w:szCs w:val="28"/>
          <w:rtl/>
        </w:rPr>
        <w:t xml:space="preserve">و اسمه المیرزا محمد. توجد نسخته ضمن مجموعة تحت رقم (4583) عند (الملک) کتابتها (1295) فی (18 ورقة). أوله:</w:t>
      </w:r>
    </w:p>
    <w:p>
      <w:pPr>
        <w:pStyle w:val="BookText"/>
      </w:pPr>
      <w:r>
        <w:rPr>
          <w:rFonts w:ascii="IRNazanin" w:hAnsi="IRNazanin" w:eastAsia="IRNazanin" w:cs="IRNazanin"/>
          <w:lang w:bidi="fa-IR"/>
          <w:color w:val="111111"/>
          <w:sz w:val="28"/>
          <w:szCs w:val="28"/>
          <w:rtl/>
        </w:rPr>
        <w:t xml:space="preserve">ای کائنات را به درت التجا بجا</w:t>
      </w:r>
    </w:p>
    <w:p>
      <w:pPr>
        <w:pStyle w:val="BookText"/>
      </w:pPr>
      <w:r>
        <w:rPr>
          <w:rFonts w:ascii="IRNazanin" w:hAnsi="IRNazanin" w:eastAsia="IRNazanin" w:cs="IRNazanin"/>
          <w:lang w:bidi="fa-IR"/>
          <w:color w:val="111111"/>
          <w:sz w:val="28"/>
          <w:szCs w:val="28"/>
          <w:rtl/>
        </w:rPr>
        <w:t xml:space="preserve">بر درگهت دلیل ره مدعا دعا</w:t>
      </w:r>
    </w:p>
    <w:p>
      <w:pPr>
        <w:pStyle w:val="BookText"/>
      </w:pPr>
      <w:r>
        <w:rPr>
          <w:rFonts w:ascii="IRNazanin" w:hAnsi="IRNazanin" w:eastAsia="IRNazanin" w:cs="IRNazanin"/>
          <w:lang w:bidi="fa-IR"/>
          <w:color w:val="111111"/>
          <w:sz w:val="28"/>
          <w:szCs w:val="28"/>
          <w:rtl/>
        </w:rPr>
        <w:t xml:space="preserve">إلی قوله:</w:t>
      </w:r>
    </w:p>
    <w:p>
      <w:pPr>
        <w:pStyle w:val="BookText"/>
      </w:pPr>
      <w:r>
        <w:rPr>
          <w:rFonts w:ascii="IRNazanin" w:hAnsi="IRNazanin" w:eastAsia="IRNazanin" w:cs="IRNazanin"/>
          <w:lang w:bidi="fa-IR"/>
          <w:color w:val="111111"/>
          <w:sz w:val="28"/>
          <w:szCs w:val="28"/>
          <w:rtl/>
        </w:rPr>
        <w:t xml:space="preserve">روز ظهور قائم آل محمد است‏</w:t>
      </w:r>
    </w:p>
    <w:p>
      <w:pPr>
        <w:pStyle w:val="BookText"/>
      </w:pPr>
      <w:r>
        <w:rPr>
          <w:rFonts w:ascii="IRNazanin" w:hAnsi="IRNazanin" w:eastAsia="IRNazanin" w:cs="IRNazanin"/>
          <w:lang w:bidi="fa-IR"/>
          <w:color w:val="111111"/>
          <w:sz w:val="28"/>
          <w:szCs w:val="28"/>
          <w:rtl/>
        </w:rPr>
        <w:t xml:space="preserve">در حفره می‏زنند نقیبان صلا صلا</w:t>
      </w:r>
    </w:p>
    <w:p>
      <w:pPr>
        <w:pStyle w:val="Heading3"/>
      </w:pPr>
      <w:bookmarkStart w:id="4327" w:name="_Toc3023"/>
      <w:r>
        <w:t>2349- دیوان زکی شیرازی أو شعره‏</w:t>
      </w:r>
      <w:bookmarkEnd w:id="4327"/>
    </w:p>
    <w:p>
      <w:pPr>
        <w:pStyle w:val="BookText"/>
      </w:pPr>
      <w:r>
        <w:rPr>
          <w:rFonts w:ascii="IRNazanin" w:hAnsi="IRNazanin" w:eastAsia="IRNazanin" w:cs="IRNazanin"/>
          <w:lang w:bidi="fa-IR"/>
          <w:color w:val="111111"/>
          <w:sz w:val="28"/>
          <w:szCs w:val="28"/>
          <w:rtl/>
        </w:rPr>
        <w:t xml:space="preserve">و هو عبد الله بن أبی تراب بن بهرام بن زکی أستاذ القاضی البیضاوی و القطب الشیرازی و أبی البحاش ظهیر المرغش، و قد نسب إلیه البیضاوی‏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99" w:name="pg11704_121879"/>
    <w:bookmarkEnd w:id="399"/>
    <w:p>
      <w:pPr>
        <w:pStyle w:val="BookText"/>
      </w:pPr>
      <w:r>
        <w:rPr>
          <w:rFonts w:ascii="IRNazanin" w:hAnsi="IRNazanin" w:eastAsia="IRNazanin" w:cs="IRNazanin"/>
          <w:lang w:bidi="fa-IR"/>
          <w:color w:val="111111"/>
          <w:sz w:val="28"/>
          <w:szCs w:val="28"/>
          <w:rtl/>
        </w:rPr>
        <w:t xml:space="preserve">کرامة الحیاة بعد الموت فی (677) کما نقل عنه فی (ض- ص 333) و ترجمه فی (مع- ج 1 ص 244) و أورد رباعیته.</w:t>
      </w:r>
    </w:p>
    <w:p>
      <w:pPr>
        <w:pStyle w:val="Heading3"/>
      </w:pPr>
      <w:bookmarkStart w:id="4328" w:name="_Toc3024"/>
      <w:r>
        <w:t>2350- دیوان زکی کاشغری‏</w:t>
      </w:r>
      <w:bookmarkEnd w:id="4328"/>
    </w:p>
    <w:p>
      <w:pPr>
        <w:pStyle w:val="BookText"/>
      </w:pPr>
      <w:r>
        <w:rPr>
          <w:rFonts w:ascii="IRNazanin" w:hAnsi="IRNazanin" w:eastAsia="IRNazanin" w:cs="IRNazanin"/>
          <w:lang w:bidi="fa-IR"/>
          <w:color w:val="111111"/>
          <w:sz w:val="28"/>
          <w:szCs w:val="28"/>
          <w:rtl/>
        </w:rPr>
        <w:t xml:space="preserve">المولد و المراغی الأصل، و اسمه لطیف الدین توفی (607) ترجمه کذلک فی (دجا- ص 167) و أورد رباعیته، و نقل عن لباب الألباب أن لطائف أشعاره خارج عن الحد و العد و کلها مقبولة، و أورد رباعیة مدحه بها أبو الفرج الرونی و ترجمه فی</w:t>
      </w:r>
    </w:p>
    <w:p>
      <w:pPr>
        <w:pStyle w:val="BookText"/>
      </w:pPr>
      <w:r>
        <w:rPr>
          <w:rFonts w:ascii="IRNazanin" w:hAnsi="IRNazanin" w:eastAsia="IRNazanin" w:cs="IRNazanin"/>
          <w:lang w:bidi="fa-IR"/>
          <w:color w:val="111111"/>
          <w:sz w:val="28"/>
          <w:szCs w:val="28"/>
          <w:rtl/>
        </w:rPr>
        <w:t xml:space="preserve">(تغ- ص 53) فی باب الذال، و فی (مع- ج 1 ص 241) و أورد عدة من أشعاره و قد دخل بعض رباعیاته فی رباعیات أبی سعید أبی الخیر المطبوعة بطهران فی (1334) و رأیت بعض شعره فی جنگ کتابته (755) عند (فخر الدین).</w:t>
      </w:r>
    </w:p>
    <w:p>
      <w:pPr>
        <w:pStyle w:val="Heading3"/>
      </w:pPr>
      <w:bookmarkStart w:id="4329" w:name="_Toc3025"/>
      <w:r>
        <w:t>دیوان زکی مشهدی‏</w:t>
      </w:r>
      <w:bookmarkEnd w:id="4329"/>
    </w:p>
    <w:p>
      <w:pPr>
        <w:pStyle w:val="BookText"/>
      </w:pPr>
      <w:r>
        <w:rPr>
          <w:rFonts w:ascii="IRNazanin" w:hAnsi="IRNazanin" w:eastAsia="IRNazanin" w:cs="IRNazanin"/>
          <w:lang w:bidi="fa-IR"/>
          <w:color w:val="111111"/>
          <w:sz w:val="28"/>
          <w:szCs w:val="28"/>
          <w:rtl/>
        </w:rPr>
        <w:t xml:space="preserve">المتوفی (1163) المتخلص ندیم یأتی. و فی گلستان مسرت- ص 203 أورد شعرا لزکی ندیم.</w:t>
      </w:r>
    </w:p>
    <w:p>
      <w:pPr>
        <w:pStyle w:val="Heading3"/>
      </w:pPr>
      <w:bookmarkStart w:id="4330" w:name="_Toc3026"/>
      <w:r>
        <w:t>2351- دیوان زکی مرادآبادی أو شعره‏</w:t>
      </w:r>
      <w:bookmarkEnd w:id="4330"/>
    </w:p>
    <w:p>
      <w:pPr>
        <w:pStyle w:val="BookText"/>
      </w:pPr>
      <w:r>
        <w:rPr>
          <w:rFonts w:ascii="IRNazanin" w:hAnsi="IRNazanin" w:eastAsia="IRNazanin" w:cs="IRNazanin"/>
          <w:lang w:bidi="fa-IR"/>
          <w:color w:val="111111"/>
          <w:sz w:val="28"/>
          <w:szCs w:val="28"/>
          <w:rtl/>
        </w:rPr>
        <w:t xml:space="preserve">ملک الشعراء فی منطقة أود بالهند. أورد شعره فی (گلشن- ص 190).</w:t>
      </w:r>
    </w:p>
    <w:p>
      <w:pPr>
        <w:pStyle w:val="Heading3"/>
      </w:pPr>
      <w:bookmarkStart w:id="4331" w:name="_Toc3027"/>
      <w:r>
        <w:t>2352- دیوان زکی همدانی‏</w:t>
      </w:r>
      <w:bookmarkEnd w:id="4331"/>
    </w:p>
    <w:p>
      <w:pPr>
        <w:pStyle w:val="BookText"/>
      </w:pPr>
      <w:r>
        <w:rPr>
          <w:rFonts w:ascii="IRNazanin" w:hAnsi="IRNazanin" w:eastAsia="IRNazanin" w:cs="IRNazanin"/>
          <w:lang w:bidi="fa-IR"/>
          <w:color w:val="111111"/>
          <w:sz w:val="28"/>
          <w:szCs w:val="28"/>
          <w:rtl/>
        </w:rPr>
        <w:t xml:space="preserve">الوحید فی نظم الغزلیات و کان مشارکا مع المولی شکوهی فی التلمیذ عند العلامة المیرزا إبراهیم الهمدانی الحسینی (المتوفی 1025 أو 1026) المترجم فی (عالم‏آرا- ص 111 و 644) المعاصر و المراسل مع الشیخ البهائی، ترجمه النصرآبادی فی نر 9- ص 23) و ذکر أنه توفی (1030) و أورد کثیرا من شعره و عبر عنه بملا زکی الهمدانی، فیظهر أن اسمه زکی و کان یتخلص به أیضا کما فی قوله:</w:t>
      </w:r>
    </w:p>
    <w:p>
      <w:pPr>
        <w:pStyle w:val="BookText"/>
      </w:pPr>
      <w:r>
        <w:rPr>
          <w:rFonts w:ascii="IRNazanin" w:hAnsi="IRNazanin" w:eastAsia="IRNazanin" w:cs="IRNazanin"/>
          <w:lang w:bidi="fa-IR"/>
          <w:color w:val="111111"/>
          <w:sz w:val="28"/>
          <w:szCs w:val="28"/>
          <w:rtl/>
        </w:rPr>
        <w:t xml:space="preserve">زکی از بی‏خودیهای جرس در ناله دانستم‏</w:t>
      </w:r>
    </w:p>
    <w:p>
      <w:pPr>
        <w:pStyle w:val="BookText"/>
      </w:pPr>
      <w:r>
        <w:rPr>
          <w:rFonts w:ascii="IRNazanin" w:hAnsi="IRNazanin" w:eastAsia="IRNazanin" w:cs="IRNazanin"/>
          <w:lang w:bidi="fa-IR"/>
          <w:color w:val="111111"/>
          <w:sz w:val="28"/>
          <w:szCs w:val="28"/>
          <w:rtl/>
        </w:rPr>
        <w:t xml:space="preserve">که ره گم کرده سر در پی این کاروان دارد</w:t>
      </w:r>
    </w:p>
    <w:p>
      <w:pPr>
        <w:pStyle w:val="BookText"/>
      </w:pPr>
      <w:r>
        <w:rPr>
          <w:rFonts w:ascii="IRNazanin" w:hAnsi="IRNazanin" w:eastAsia="IRNazanin" w:cs="IRNazanin"/>
          <w:lang w:bidi="fa-IR"/>
          <w:color w:val="111111"/>
          <w:sz w:val="28"/>
          <w:szCs w:val="28"/>
          <w:rtl/>
        </w:rPr>
        <w:t xml:space="preserve">قال فی میخانه- ص 296 إنه ولد بهمدان و سافر إلی شیراز و تقرب عند محمد قلی خان پرناک ثم رجع و جاء إلی الهند و رجع إلی وطنه. و رأیت دیوانه فی الهند یشتمل علی خمسة آلاف بیت. ثم أورد له ساقی‏نامه. و نقل فی (سرو آزاد- ص 36) عن ناظم تبریزی، وفاته فی (1025) و فی حاشیة میخانه نقل وفاته عن نشتر عشق (1030) و قیل (1035) و ترجمه أیضا فی (حسینی- ص 238) و (تغ- ص 51).</w:t>
      </w:r>
      <w:r>
        <w:rPr>
          <w:rStyle w:val="FootnoteReference"/>
        </w:rPr>
        <w:footnoteReference w:id="34"/>
      </w:r>
      <w:r>
        <w:rPr>
          <w:rFonts w:ascii="Times New Roman" w:hAnsi="Times New Roman" w:eastAsia="Times New Roman" w:cs="Times New Roman"/>
          <w:lang w:val="en-US" w:bidi="en-US"/>
          <w:color w:val="111111"/>
          <w:sz w:val="28"/>
          <w:szCs w:val="28"/>
          <w:rtl/>
        </w:rPr>
        <w:t xml:space="preserve">.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400" w:name="pg11704_121880"/>
    <w:bookmarkEnd w:id="400"/>
    <w:p>
      <w:pPr>
        <w:pStyle w:val="Heading3"/>
      </w:pPr>
      <w:bookmarkStart w:id="4332" w:name="_Toc3028"/>
      <w:r>
        <w:t>2353- دیوان زکی همدانی‏</w:t>
      </w:r>
      <w:bookmarkEnd w:id="4332"/>
    </w:p>
    <w:p>
      <w:pPr>
        <w:pStyle w:val="BookText"/>
      </w:pPr>
      <w:r>
        <w:rPr>
          <w:rFonts w:ascii="IRNazanin" w:hAnsi="IRNazanin" w:eastAsia="IRNazanin" w:cs="IRNazanin"/>
          <w:lang w:bidi="fa-IR"/>
          <w:color w:val="111111"/>
          <w:sz w:val="28"/>
          <w:szCs w:val="28"/>
          <w:rtl/>
        </w:rPr>
        <w:t xml:space="preserve">ترجمه الصادقی فی (خص 8- ص 208) و ذکر أنه یعیش من کسبه الضعیف و عمله الشاق و هو نعلگری ترفعا من نفسه عن ملق الشعر و أورد کثیرا من أشعاره، و کذا فی (تش- ص 256) نقلا عن دیوانه الذی رآه، و کذا (سرخوش- ص 44). و لعله متحد مع ما قبله.</w:t>
      </w:r>
    </w:p>
    <w:p>
      <w:pPr>
        <w:pStyle w:val="Heading3"/>
      </w:pPr>
      <w:bookmarkStart w:id="4333" w:name="_Toc3029"/>
      <w:r>
        <w:t>2354- دیوان زکیا یزدی أو شعره‏</w:t>
      </w:r>
      <w:bookmarkEnd w:id="4333"/>
    </w:p>
    <w:p>
      <w:pPr>
        <w:pStyle w:val="BookText"/>
      </w:pPr>
      <w:r>
        <w:rPr>
          <w:rFonts w:ascii="IRNazanin" w:hAnsi="IRNazanin" w:eastAsia="IRNazanin" w:cs="IRNazanin"/>
          <w:lang w:bidi="fa-IR"/>
          <w:color w:val="111111"/>
          <w:sz w:val="28"/>
          <w:szCs w:val="28"/>
          <w:rtl/>
        </w:rPr>
        <w:t xml:space="preserve">الأصفهانی المسکن و الیزدی الأصل، هو ابن عم الخواجة سیف الدین محمود من أحفاد الخواجة غیاث النقش‏بند کما ذکر النصرآبادی فی (نر 9- ص 413) قال و له الید الطولی فی صناعة النقش‏بندیة، و أورد قطعة من شعره و رباعیته و غیرهما و عنه أخذ فی (گلشن- ص 190).</w:t>
      </w:r>
    </w:p>
    <w:p>
      <w:pPr>
        <w:pStyle w:val="Heading3"/>
      </w:pPr>
      <w:bookmarkStart w:id="4334" w:name="_Toc3030"/>
      <w:r>
        <w:t>2355- دیوان زلالی تبریزی أو شعره‏</w:t>
      </w:r>
      <w:bookmarkEnd w:id="4334"/>
    </w:p>
    <w:p>
      <w:pPr>
        <w:pStyle w:val="BookText"/>
      </w:pPr>
      <w:r>
        <w:rPr>
          <w:rFonts w:ascii="IRNazanin" w:hAnsi="IRNazanin" w:eastAsia="IRNazanin" w:cs="IRNazanin"/>
          <w:lang w:bidi="fa-IR"/>
          <w:color w:val="111111"/>
          <w:sz w:val="28"/>
          <w:szCs w:val="28"/>
          <w:rtl/>
        </w:rPr>
        <w:t xml:space="preserve">ترجمه سام میرزا فی (تس 5- ص 145) و أورد مطلعین له و ذکر أنه ترک الشعر أخیرا و صار خفافا. و نقل فی (دجا- ص 168) ترجمته عن تحفه سامی لکن مع اختلاف فی أحد المطلعین. و نسبه فی ریحانة الأدب إلی القرن الحادی عشر اشتباها. و أورد شعره فی (روشن- ص 371) أیضا.</w:t>
      </w:r>
    </w:p>
    <w:p>
      <w:pPr>
        <w:pStyle w:val="Heading3"/>
      </w:pPr>
      <w:bookmarkStart w:id="4335" w:name="_Toc3031"/>
      <w:r>
        <w:t>2356- دیوان زلالی خوارزمی‏</w:t>
      </w:r>
      <w:bookmarkEnd w:id="4335"/>
    </w:p>
    <w:p>
      <w:pPr>
        <w:pStyle w:val="BookText"/>
      </w:pPr>
      <w:r>
        <w:rPr>
          <w:rFonts w:ascii="IRNazanin" w:hAnsi="IRNazanin" w:eastAsia="IRNazanin" w:cs="IRNazanin"/>
          <w:lang w:bidi="fa-IR"/>
          <w:color w:val="111111"/>
          <w:sz w:val="28"/>
          <w:szCs w:val="28"/>
          <w:rtl/>
        </w:rPr>
        <w:t xml:space="preserve">المولد و کان اشتغاله فی هرات، و ینظم القصائد الحسنة کما وصفه کذلک مع ذکر مطلع غزله فی (مجتس 4- ص 146) الذی صرح فی أوله أنه ألحقه بمجالس النفائس لیذکر فیه من لم یذکر فی المجالس الثمانیة. و قد ترجم فی المجلس الثالث زلالی الهروی الآتی ذکره، کما أن المترجم القزوینی أیضا ذکره فی البهشت الثالث، فلعله غیر هذا الخوارزمی المولد الهروی التحصیل و الاشتغال، و یحتمل الاتحاد أیضا. و ترجمه و أورد شعره فی (حسینی- ص 139) أیضا. و نقل فی (روشن- ص 371) عن نگارستان سخن و آفتاب عالم تاب أنه کان یبیع الخل.</w:t>
      </w:r>
    </w:p>
    <w:p>
      <w:pPr>
        <w:pStyle w:val="Heading3"/>
      </w:pPr>
      <w:bookmarkStart w:id="4336" w:name="_Toc3032"/>
      <w:r>
        <w:t>2357- دیوان زلالی خوانساری‏</w:t>
      </w:r>
      <w:bookmarkEnd w:id="4336"/>
    </w:p>
    <w:p>
      <w:pPr>
        <w:pStyle w:val="BookText"/>
      </w:pPr>
      <w:r>
        <w:rPr>
          <w:rFonts w:ascii="IRNazanin" w:hAnsi="IRNazanin" w:eastAsia="IRNazanin" w:cs="IRNazanin"/>
          <w:lang w:bidi="fa-IR"/>
          <w:color w:val="111111"/>
          <w:sz w:val="28"/>
          <w:szCs w:val="28"/>
          <w:rtl/>
        </w:rPr>
        <w:t xml:space="preserve">للحکیم الشاعر محمد حسن المعروف بزلالی ناظم المثنویات السبعة التی منها حسن گلو سوز الذی مر فی (ج 7 ص 15) ترجمه النصرآبادی فی (نر 9- ص 230- 234) و أورد أسماء سائر المثنویات السبعة، محمود و أیاز، آذر و سمندر، شعلة دیدار، میخانه، ذرة و خورشید، سلیمان‏نامه. و ذکر بعض الأشعار من کل منها. توجد نسخه من دیوانه فی (الرضویة). و</w:t>
      </w:r>
    </w:p>
    <w:p>
      <w:pPr>
        <w:pStyle w:val="BookText"/>
      </w:pPr>
      <w:r>
        <w:rPr>
          <w:rFonts w:ascii="IRNazanin" w:hAnsi="IRNazanin" w:eastAsia="IRNazanin" w:cs="IRNazanin"/>
          <w:lang w:bidi="fa-IR"/>
          <w:color w:val="111111"/>
          <w:sz w:val="28"/>
          <w:szCs w:val="28"/>
          <w:rtl/>
        </w:rPr>
        <w:t xml:space="preserve">مثنویاته السبعة عند (الملک) و توجد دیباجة طغرائی لکل من مثنویاته فی مکتبة (المجلس) و (دانشگاه) کما فی فهرسها (ج 2 ص 200)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401" w:name="pg11704_121881"/>
    <w:bookmarkEnd w:id="401"/>
    <w:p>
      <w:pPr>
        <w:pStyle w:val="BookText"/>
      </w:pPr>
      <w:r>
        <w:rPr>
          <w:rFonts w:ascii="IRNazanin" w:hAnsi="IRNazanin" w:eastAsia="IRNazanin" w:cs="IRNazanin"/>
          <w:lang w:bidi="fa-IR"/>
          <w:color w:val="111111"/>
          <w:sz w:val="28"/>
          <w:szCs w:val="28"/>
          <w:rtl/>
        </w:rPr>
        <w:t xml:space="preserve">و قال براون فی أدبیات إیران (ج 4 ص 167) إنه توفی (حدود 1024) و فی شمع انجمن و سرو آزاد- ص 41 (1031-</w:t>
      </w:r>
    </w:p>
    <w:p>
      <w:pPr>
        <w:pStyle w:val="BookText"/>
      </w:pPr>
      <w:r>
        <w:rPr>
          <w:rFonts w:ascii="IRNazanin" w:hAnsi="IRNazanin" w:eastAsia="IRNazanin" w:cs="IRNazanin"/>
          <w:lang w:bidi="fa-IR"/>
          <w:color w:val="111111"/>
          <w:sz w:val="28"/>
          <w:szCs w:val="28"/>
          <w:rtl/>
        </w:rPr>
        <w:t xml:space="preserve">از جهان رفت زلالی بجنان‏</w:t>
      </w:r>
    </w:p>
    <w:p>
      <w:pPr>
        <w:pStyle w:val="BookText"/>
      </w:pPr>
      <w:r>
        <w:rPr>
          <w:rFonts w:ascii="IRNazanin" w:hAnsi="IRNazanin" w:eastAsia="IRNazanin" w:cs="IRNazanin"/>
          <w:lang w:bidi="fa-IR"/>
          <w:color w:val="111111"/>
          <w:sz w:val="28"/>
          <w:szCs w:val="28"/>
          <w:rtl/>
        </w:rPr>
        <w:t xml:space="preserve">) و أورد شعره فی (تش- ص 208) و مرآة الخیال- ص 77.</w:t>
      </w:r>
    </w:p>
    <w:p>
      <w:pPr>
        <w:pStyle w:val="Heading3"/>
      </w:pPr>
      <w:bookmarkStart w:id="4337" w:name="_Toc3033"/>
      <w:r>
        <w:t>2358- دیوان زلالی درویش أو شعره‏</w:t>
      </w:r>
      <w:bookmarkEnd w:id="4337"/>
    </w:p>
    <w:p>
      <w:pPr>
        <w:pStyle w:val="BookText"/>
      </w:pPr>
      <w:r>
        <w:rPr>
          <w:rFonts w:ascii="IRNazanin" w:hAnsi="IRNazanin" w:eastAsia="IRNazanin" w:cs="IRNazanin"/>
          <w:lang w:bidi="fa-IR"/>
          <w:color w:val="111111"/>
          <w:sz w:val="28"/>
          <w:szCs w:val="28"/>
          <w:rtl/>
        </w:rPr>
        <w:t xml:space="preserve">أو درویش زلالی بن صفائی. توجد أشعاره بخطه فی مشیخة کنز السالکین المذکور فی (ج 8 ص 187).</w:t>
      </w:r>
    </w:p>
    <w:p>
      <w:pPr>
        <w:pStyle w:val="Heading3"/>
      </w:pPr>
      <w:bookmarkStart w:id="4338" w:name="_Toc3034"/>
      <w:r>
        <w:t>2359- دیوان زلالی شیرازی أو شعره‏</w:t>
      </w:r>
      <w:bookmarkEnd w:id="4338"/>
    </w:p>
    <w:p>
      <w:pPr>
        <w:pStyle w:val="BookText"/>
      </w:pPr>
      <w:r>
        <w:rPr>
          <w:rFonts w:ascii="IRNazanin" w:hAnsi="IRNazanin" w:eastAsia="IRNazanin" w:cs="IRNazanin"/>
          <w:lang w:bidi="fa-IR"/>
          <w:color w:val="111111"/>
          <w:sz w:val="28"/>
          <w:szCs w:val="28"/>
          <w:rtl/>
        </w:rPr>
        <w:t xml:space="preserve">من تلامذة أهلی شیرازی. سافر إلی الهند و مات بگجرات (948) ترجمه و أورد شعره فی (تش- ص 269) و القاموس الترکی ثم الریحانة</w:t>
      </w:r>
    </w:p>
    <w:p>
      <w:pPr>
        <w:pStyle w:val="Heading3"/>
      </w:pPr>
      <w:bookmarkStart w:id="4339" w:name="_Toc3035"/>
      <w:r>
        <w:t>2360- دیوان زلالی شیروانی‏</w:t>
      </w:r>
      <w:bookmarkEnd w:id="4339"/>
    </w:p>
    <w:p>
      <w:pPr>
        <w:pStyle w:val="BookText"/>
      </w:pPr>
      <w:r>
        <w:rPr>
          <w:rFonts w:ascii="IRNazanin" w:hAnsi="IRNazanin" w:eastAsia="IRNazanin" w:cs="IRNazanin"/>
          <w:lang w:bidi="fa-IR"/>
          <w:color w:val="111111"/>
          <w:sz w:val="28"/>
          <w:szCs w:val="28"/>
          <w:rtl/>
        </w:rPr>
        <w:t xml:space="preserve">بالترکیة. و اسمه المیرزا حسین ذکره فی (دجا- ص 168) نقلا عن تاریخ أدبیات آذربایجان لفریدون کوچولی (ج 2).</w:t>
      </w:r>
    </w:p>
    <w:p>
      <w:pPr>
        <w:pStyle w:val="Heading3"/>
      </w:pPr>
      <w:bookmarkStart w:id="4340" w:name="_Toc3036"/>
      <w:r>
        <w:t>2361- دیوان زلالی گیلانی أو شعره‏</w:t>
      </w:r>
      <w:bookmarkEnd w:id="4340"/>
    </w:p>
    <w:p>
      <w:pPr>
        <w:pStyle w:val="BookText"/>
      </w:pPr>
      <w:r>
        <w:rPr>
          <w:rFonts w:ascii="IRNazanin" w:hAnsi="IRNazanin" w:eastAsia="IRNazanin" w:cs="IRNazanin"/>
          <w:lang w:bidi="fa-IR"/>
          <w:color w:val="111111"/>
          <w:sz w:val="28"/>
          <w:szCs w:val="28"/>
          <w:rtl/>
        </w:rPr>
        <w:t xml:space="preserve">ذکره الصادقی فی (خص 8- ص 297) و أورد شعره.</w:t>
      </w:r>
    </w:p>
    <w:p>
      <w:pPr>
        <w:pStyle w:val="Heading3"/>
      </w:pPr>
      <w:bookmarkStart w:id="4341" w:name="_Toc3037"/>
      <w:r>
        <w:t>2362- دیوان زلالی لاری أو شعره‏</w:t>
      </w:r>
      <w:bookmarkEnd w:id="4341"/>
    </w:p>
    <w:p>
      <w:pPr>
        <w:pStyle w:val="BookText"/>
      </w:pPr>
      <w:r>
        <w:rPr>
          <w:rFonts w:ascii="IRNazanin" w:hAnsi="IRNazanin" w:eastAsia="IRNazanin" w:cs="IRNazanin"/>
          <w:lang w:bidi="fa-IR"/>
          <w:color w:val="111111"/>
          <w:sz w:val="28"/>
          <w:szCs w:val="28"/>
          <w:rtl/>
        </w:rPr>
        <w:t xml:space="preserve">کان صحافا فی تبریز. ذکره سام میرزا فی (تس 5- ص 170) و أورد مطلعه فی مدح تبریز.</w:t>
      </w:r>
    </w:p>
    <w:p>
      <w:pPr>
        <w:pStyle w:val="Heading3"/>
      </w:pPr>
      <w:bookmarkStart w:id="4342" w:name="_Toc3038"/>
      <w:r>
        <w:t>2363- دیوان زلالی هروی أو شعره‏</w:t>
      </w:r>
      <w:bookmarkEnd w:id="4342"/>
    </w:p>
    <w:p>
      <w:pPr>
        <w:pStyle w:val="BookText"/>
      </w:pPr>
      <w:r>
        <w:rPr>
          <w:rFonts w:ascii="IRNazanin" w:hAnsi="IRNazanin" w:eastAsia="IRNazanin" w:cs="IRNazanin"/>
          <w:lang w:bidi="fa-IR"/>
          <w:color w:val="111111"/>
          <w:sz w:val="28"/>
          <w:szCs w:val="28"/>
          <w:rtl/>
        </w:rPr>
        <w:t xml:space="preserve">و هو المتوفی (931) کما ترجمه سام میرزا فی (تس 5- ص 127) و قال أکثر شعره القصائد و أورد بعض قصیدته فی ذم بعض الشعراء.</w:t>
      </w:r>
    </w:p>
    <w:p>
      <w:pPr>
        <w:pStyle w:val="BookText"/>
      </w:pPr>
      <w:r>
        <w:rPr>
          <w:rFonts w:ascii="IRNazanin" w:hAnsi="IRNazanin" w:eastAsia="IRNazanin" w:cs="IRNazanin"/>
          <w:lang w:bidi="fa-IR"/>
          <w:color w:val="111111"/>
          <w:sz w:val="28"/>
          <w:szCs w:val="28"/>
          <w:rtl/>
        </w:rPr>
        <w:t xml:space="preserve">هو معاصر المیر علی شیر کما ذکره فی (مجن 3- ص 72 و 243) و ذکر أنه یبیع الغزل و أورد مطلع غزله، و ذکره فی (تش- ص 149) و أورد شعرا آخر له و لم یر دیوانه.</w:t>
      </w:r>
    </w:p>
    <w:p>
      <w:pPr>
        <w:pStyle w:val="BookText"/>
      </w:pPr>
      <w:r>
        <w:rPr>
          <w:rFonts w:ascii="IRNazanin" w:hAnsi="IRNazanin" w:eastAsia="IRNazanin" w:cs="IRNazanin"/>
          <w:lang w:bidi="fa-IR"/>
          <w:color w:val="111111"/>
          <w:sz w:val="28"/>
          <w:szCs w:val="28"/>
          <w:rtl/>
        </w:rPr>
        <w:t xml:space="preserve">و کذا فی (گلشن- ص 191) و عنهم فی القاموس الترکی ثم الریحانة. راجع زلالی خوارزمی.</w:t>
      </w:r>
    </w:p>
    <w:p>
      <w:pPr>
        <w:pStyle w:val="Heading3"/>
      </w:pPr>
      <w:bookmarkStart w:id="4343" w:name="_Toc3039"/>
      <w:r>
        <w:t>دیوان زمانا حنا تراش‏</w:t>
      </w:r>
      <w:bookmarkEnd w:id="4343"/>
    </w:p>
    <w:p>
      <w:pPr>
        <w:pStyle w:val="BookText"/>
      </w:pPr>
      <w:r>
        <w:rPr>
          <w:rFonts w:ascii="IRNazanin" w:hAnsi="IRNazanin" w:eastAsia="IRNazanin" w:cs="IRNazanin"/>
          <w:lang w:bidi="fa-IR"/>
          <w:color w:val="111111"/>
          <w:sz w:val="28"/>
          <w:szCs w:val="28"/>
          <w:rtl/>
        </w:rPr>
        <w:t xml:space="preserve">أی نجار خشب السروج تخلصه مشهور فیأتی بتخلصه فی المیم.</w:t>
      </w:r>
    </w:p>
    <w:p>
      <w:pPr>
        <w:pStyle w:val="Heading3"/>
      </w:pPr>
      <w:bookmarkStart w:id="4344" w:name="_Toc3040"/>
      <w:r>
        <w:t>2364- دیوان زمانا لاهیجی أو شعره‏</w:t>
      </w:r>
      <w:bookmarkEnd w:id="4344"/>
    </w:p>
    <w:p>
      <w:pPr>
        <w:pStyle w:val="BookText"/>
      </w:pPr>
      <w:r>
        <w:rPr>
          <w:rFonts w:ascii="IRNazanin" w:hAnsi="IRNazanin" w:eastAsia="IRNazanin" w:cs="IRNazanin"/>
          <w:lang w:bidi="fa-IR"/>
          <w:color w:val="111111"/>
          <w:sz w:val="28"/>
          <w:szCs w:val="28"/>
          <w:rtl/>
        </w:rPr>
        <w:t xml:space="preserve">الذی کان تلمیذ المیر معز الدین محمد فی یزد عدة سنین. ذکره کذلک معاصره النصرآبادی فی (نر 9- ص 399) و أورد شعره. و الظاهر أن المیر معز الدین محمد المذکور هو الأردکانی (الأردستانی) الحسینی الذی ألف تفسیر سورة هل أتی بالفارسیة فی (1044) و سماه فی (گلشن- ص 191) زمانی لاهیجی، و عنه أخذ فی القاموس الترکی ثم الریحانة.</w:t>
      </w:r>
    </w:p>
    <w:p>
      <w:pPr>
        <w:pStyle w:val="Heading3"/>
      </w:pPr>
      <w:bookmarkStart w:id="4345" w:name="_Toc3041"/>
      <w:r>
        <w:t>2365- دیوان زمانای نقاش أو شعره‏</w:t>
      </w:r>
      <w:bookmarkEnd w:id="4345"/>
    </w:p>
    <w:p>
      <w:pPr>
        <w:pStyle w:val="BookText"/>
      </w:pPr>
      <w:r>
        <w:rPr>
          <w:rFonts w:ascii="IRNazanin" w:hAnsi="IRNazanin" w:eastAsia="IRNazanin" w:cs="IRNazanin"/>
          <w:lang w:bidi="fa-IR"/>
          <w:color w:val="111111"/>
          <w:sz w:val="28"/>
          <w:szCs w:val="28"/>
          <w:rtl/>
        </w:rPr>
        <w:t xml:space="preserve">قال النصرآبادی فی (نر 9- ص 296): أظن‏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402" w:name="pg11704_121882"/>
    <w:bookmarkEnd w:id="402"/>
    <w:p>
      <w:pPr>
        <w:pStyle w:val="BookText"/>
      </w:pPr>
      <w:r>
        <w:rPr>
          <w:rFonts w:ascii="IRNazanin" w:hAnsi="IRNazanin" w:eastAsia="IRNazanin" w:cs="IRNazanin"/>
          <w:lang w:bidi="fa-IR"/>
          <w:color w:val="111111"/>
          <w:sz w:val="28"/>
          <w:szCs w:val="28"/>
          <w:rtl/>
        </w:rPr>
        <w:t xml:space="preserve">أنه والد الحکیم إسماعیل الطبیب، ثم أورد شعره نقلا عن سعید أی نقشبند. و قال فی (تش- ص 176) إن تخلصه راضی و أورد له تلک الأشعار أیضا، فذکرناه فی (ص 347) بعنوان راضی أصفهانی و سماه فی (گلشن- ص 191) زمانی أردستانی، و قال فی (تغ- ص 62) إنه المیرشاهکی المتخلص زمانا النقاش الأردستانی، فهو غیر رازی النقاش الأصفهانی- الذی ذکرناه فی (ص 347) بعنوان راضی أصفهانی- (أقول) و لکنی أظنهما واحدا. و فی (روشن- ص 271) خلط بینه و بین زمانا حنا تراش.</w:t>
      </w:r>
    </w:p>
    <w:p>
      <w:pPr>
        <w:pStyle w:val="Heading3"/>
      </w:pPr>
      <w:bookmarkStart w:id="4346" w:name="_Toc3042"/>
      <w:r>
        <w:t>دیوان زمان أصفهانی‏</w:t>
      </w:r>
      <w:bookmarkEnd w:id="4346"/>
    </w:p>
    <w:p>
      <w:pPr>
        <w:pStyle w:val="BookText"/>
      </w:pPr>
      <w:r>
        <w:rPr>
          <w:rFonts w:ascii="IRNazanin" w:hAnsi="IRNazanin" w:eastAsia="IRNazanin" w:cs="IRNazanin"/>
          <w:lang w:bidi="fa-IR"/>
          <w:color w:val="111111"/>
          <w:sz w:val="28"/>
          <w:szCs w:val="28"/>
          <w:rtl/>
        </w:rPr>
        <w:t xml:space="preserve">مر بعنوان زرکش أصفهانی و آخر زمانای نقاش.</w:t>
      </w:r>
    </w:p>
    <w:p>
      <w:pPr>
        <w:pStyle w:val="Heading3"/>
      </w:pPr>
      <w:bookmarkStart w:id="4347" w:name="_Toc3043"/>
      <w:r>
        <w:t>2366- دیوان محمد زمان بندگانی‏</w:t>
      </w:r>
      <w:bookmarkEnd w:id="4347"/>
    </w:p>
    <w:p>
      <w:pPr>
        <w:pStyle w:val="BookText"/>
      </w:pPr>
      <w:r>
        <w:rPr>
          <w:rFonts w:ascii="IRNazanin" w:hAnsi="IRNazanin" w:eastAsia="IRNazanin" w:cs="IRNazanin"/>
          <w:lang w:bidi="fa-IR"/>
          <w:color w:val="111111"/>
          <w:sz w:val="28"/>
          <w:szCs w:val="28"/>
          <w:rtl/>
        </w:rPr>
        <w:t xml:space="preserve">من أعمال جرفادقان. کان محررا لشیخ الإسلام بها، و له مثنوی مدینة الأحباب ترجمه النصرآبادی (نر 9- ص 382) و أورد بعض مثنویة</w:t>
      </w:r>
    </w:p>
    <w:p>
      <w:pPr>
        <w:pStyle w:val="Heading3"/>
      </w:pPr>
      <w:bookmarkStart w:id="4348" w:name="_Toc3044"/>
      <w:r>
        <w:t>دیوان محمد زمان بیک الأردبیلی‏</w:t>
      </w:r>
      <w:bookmarkEnd w:id="4348"/>
    </w:p>
    <w:p>
      <w:pPr>
        <w:pStyle w:val="BookText"/>
      </w:pPr>
      <w:r>
        <w:rPr>
          <w:rFonts w:ascii="IRNazanin" w:hAnsi="IRNazanin" w:eastAsia="IRNazanin" w:cs="IRNazanin"/>
          <w:lang w:bidi="fa-IR"/>
          <w:color w:val="111111"/>
          <w:sz w:val="28"/>
          <w:szCs w:val="28"/>
          <w:rtl/>
        </w:rPr>
        <w:t xml:space="preserve">المتخلص همت یأتی بتخلصه.</w:t>
      </w:r>
    </w:p>
    <w:p>
      <w:pPr>
        <w:pStyle w:val="Heading3"/>
      </w:pPr>
      <w:bookmarkStart w:id="4349" w:name="_Toc3045"/>
      <w:r>
        <w:t>2367- دیوان المیر محمد زمان الرضوی أو شعره‏</w:t>
      </w:r>
      <w:bookmarkEnd w:id="4349"/>
    </w:p>
    <w:p>
      <w:pPr>
        <w:pStyle w:val="BookText"/>
      </w:pPr>
      <w:r>
        <w:rPr>
          <w:rFonts w:ascii="IRNazanin" w:hAnsi="IRNazanin" w:eastAsia="IRNazanin" w:cs="IRNazanin"/>
          <w:lang w:bidi="fa-IR"/>
          <w:color w:val="111111"/>
          <w:sz w:val="28"/>
          <w:szCs w:val="28"/>
          <w:rtl/>
        </w:rPr>
        <w:t xml:space="preserve">المتوفی (1041) بمشهد خراسان العالم الجلیل الذی ترجم فی سلافة العصر و أمل الآمل و غیرهما. و له صحیفة الرشاد فی رد الصوفیة و أورد النصرآبادی فی (نر 6- ص 160) شعره فی طعن الصوفیة.</w:t>
      </w:r>
    </w:p>
    <w:p>
      <w:pPr>
        <w:pStyle w:val="Heading3"/>
      </w:pPr>
      <w:bookmarkStart w:id="4350" w:name="_Toc3046"/>
      <w:r>
        <w:t>دیوان آقا زمان زرکش الأصفهانی‏</w:t>
      </w:r>
      <w:bookmarkEnd w:id="4350"/>
    </w:p>
    <w:p>
      <w:pPr>
        <w:pStyle w:val="BookText"/>
      </w:pPr>
      <w:r>
        <w:rPr>
          <w:rFonts w:ascii="IRNazanin" w:hAnsi="IRNazanin" w:eastAsia="IRNazanin" w:cs="IRNazanin"/>
          <w:lang w:bidi="fa-IR"/>
          <w:color w:val="111111"/>
          <w:sz w:val="28"/>
          <w:szCs w:val="28"/>
          <w:rtl/>
        </w:rPr>
        <w:t xml:space="preserve">مر بتخلصه زرکش أصفهانی.</w:t>
      </w:r>
    </w:p>
    <w:p>
      <w:pPr>
        <w:pStyle w:val="Heading3"/>
      </w:pPr>
      <w:bookmarkStart w:id="4351" w:name="_Toc3047"/>
      <w:r>
        <w:t>2368- دیوان حاج زمان الشیرازی الکفاش‏</w:t>
      </w:r>
      <w:bookmarkEnd w:id="4351"/>
    </w:p>
    <w:p>
      <w:pPr>
        <w:pStyle w:val="BookText"/>
      </w:pPr>
      <w:r>
        <w:rPr>
          <w:rFonts w:ascii="IRNazanin" w:hAnsi="IRNazanin" w:eastAsia="IRNazanin" w:cs="IRNazanin"/>
          <w:lang w:bidi="fa-IR"/>
          <w:color w:val="111111"/>
          <w:sz w:val="28"/>
          <w:szCs w:val="28"/>
          <w:rtl/>
        </w:rPr>
        <w:t xml:space="preserve">المصاحب مع العلماء ترجمه النصرآبادی فی (نر 9- ص 382) و أورد شعره و کذا فی (تش- ص 269).</w:t>
      </w:r>
    </w:p>
    <w:p>
      <w:pPr>
        <w:pStyle w:val="Heading3"/>
      </w:pPr>
      <w:bookmarkStart w:id="4352" w:name="_Toc3048"/>
      <w:r>
        <w:t>دیوان زمان لاهوری‏</w:t>
      </w:r>
      <w:bookmarkEnd w:id="4352"/>
    </w:p>
    <w:p>
      <w:pPr>
        <w:pStyle w:val="BookText"/>
      </w:pPr>
      <w:r>
        <w:rPr>
          <w:rFonts w:ascii="IRNazanin" w:hAnsi="IRNazanin" w:eastAsia="IRNazanin" w:cs="IRNazanin"/>
          <w:lang w:bidi="fa-IR"/>
          <w:color w:val="111111"/>
          <w:sz w:val="28"/>
          <w:szCs w:val="28"/>
          <w:rtl/>
        </w:rPr>
        <w:t xml:space="preserve">مر بعنوان راسخ سرهندی.</w:t>
      </w:r>
    </w:p>
    <w:p>
      <w:pPr>
        <w:pStyle w:val="Heading3"/>
      </w:pPr>
      <w:bookmarkStart w:id="4353" w:name="_Toc3049"/>
      <w:r>
        <w:t>دیوان آقا زمان لنجانی‏</w:t>
      </w:r>
      <w:bookmarkEnd w:id="4353"/>
    </w:p>
    <w:p>
      <w:pPr>
        <w:pStyle w:val="BookText"/>
      </w:pPr>
      <w:r>
        <w:rPr>
          <w:rFonts w:ascii="IRNazanin" w:hAnsi="IRNazanin" w:eastAsia="IRNazanin" w:cs="IRNazanin"/>
          <w:lang w:bidi="fa-IR"/>
          <w:color w:val="111111"/>
          <w:sz w:val="28"/>
          <w:szCs w:val="28"/>
          <w:rtl/>
        </w:rPr>
        <w:t xml:space="preserve">من بلوکات أصفهان یأتی یتخلصه واضع.</w:t>
      </w:r>
    </w:p>
    <w:p>
      <w:pPr>
        <w:pStyle w:val="Heading3"/>
      </w:pPr>
      <w:bookmarkStart w:id="4354" w:name="_Toc3050"/>
      <w:r>
        <w:t>2369- دیوان زمانی آملی أو شعره‏</w:t>
      </w:r>
      <w:bookmarkEnd w:id="4354"/>
    </w:p>
    <w:p>
      <w:pPr>
        <w:pStyle w:val="BookText"/>
      </w:pPr>
      <w:r>
        <w:rPr>
          <w:rFonts w:ascii="IRNazanin" w:hAnsi="IRNazanin" w:eastAsia="IRNazanin" w:cs="IRNazanin"/>
          <w:lang w:bidi="fa-IR"/>
          <w:color w:val="111111"/>
          <w:sz w:val="28"/>
          <w:szCs w:val="28"/>
          <w:rtl/>
        </w:rPr>
        <w:t xml:space="preserve">و هو ابن المولی محمد الآملی. کان والده من تلامیذ المولی شرف الدین علی الیزدی المعمائی کما ذکره الأمیر علی شیر فی (مجن 3- ص 76 و ص 252) قال و کان تخلصه أولا وفائی فالتمس منه تغییره إلی زمانی بمناسبة أنه من شعراء السلطان</w:t>
      </w:r>
    </w:p>
    <w:p>
      <w:pPr>
        <w:pStyle w:val="BookText"/>
      </w:pPr>
      <w:r>
        <w:rPr>
          <w:rFonts w:ascii="IRNazanin" w:hAnsi="IRNazanin" w:eastAsia="IRNazanin" w:cs="IRNazanin"/>
          <w:lang w:bidi="fa-IR"/>
          <w:color w:val="111111"/>
          <w:sz w:val="28"/>
          <w:szCs w:val="28"/>
          <w:rtl/>
        </w:rPr>
        <w:t xml:space="preserve">بدیع الزمان میرزا و لأن أمیر أحمد حاجی یتخلص وفائی و شعره مشهور بتخلصه، و له دیوان فلا یناسب الاشتراک مع الکبار فی التخلص. ثم أورد مطلع غزله. و فی (حسینی- ص 139) سماه محمد زمان بن محمد أمین.</w:t>
      </w:r>
    </w:p>
    <w:p>
      <w:pPr>
        <w:pStyle w:val="Heading3"/>
      </w:pPr>
      <w:bookmarkStart w:id="4355" w:name="_Toc3051"/>
      <w:r>
        <w:t>دیوان زمانی أردستانی‏</w:t>
      </w:r>
      <w:bookmarkEnd w:id="4355"/>
    </w:p>
    <w:p>
      <w:pPr>
        <w:pStyle w:val="BookText"/>
      </w:pPr>
      <w:r>
        <w:rPr>
          <w:rFonts w:ascii="IRNazanin" w:hAnsi="IRNazanin" w:eastAsia="IRNazanin" w:cs="IRNazanin"/>
          <w:lang w:bidi="fa-IR"/>
          <w:color w:val="111111"/>
          <w:sz w:val="28"/>
          <w:szCs w:val="28"/>
          <w:rtl/>
        </w:rPr>
        <w:t xml:space="preserve">راجع زمانای نقاش.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403" w:name="pg11704_121883"/>
    <w:bookmarkEnd w:id="403"/>
    <w:p>
      <w:pPr>
        <w:pStyle w:val="Heading3"/>
      </w:pPr>
      <w:bookmarkStart w:id="4356" w:name="_Toc3052"/>
      <w:r>
        <w:t>2370- دیوان زمانی سیستانی أو شعره‏</w:t>
      </w:r>
      <w:bookmarkEnd w:id="4356"/>
    </w:p>
    <w:p>
      <w:pPr>
        <w:pStyle w:val="BookText"/>
      </w:pPr>
      <w:r>
        <w:rPr>
          <w:rFonts w:ascii="IRNazanin" w:hAnsi="IRNazanin" w:eastAsia="IRNazanin" w:cs="IRNazanin"/>
          <w:lang w:bidi="fa-IR"/>
          <w:color w:val="111111"/>
          <w:sz w:val="28"/>
          <w:szCs w:val="28"/>
          <w:rtl/>
        </w:rPr>
        <w:t xml:space="preserve">ترجمه و أورد شعره فی (گلشن- ص 191) بعد ذکر الأردستانی و عنه أخذ القاموس الترکی ثم الریحانة. و أظنهما رجلا واحدا.</w:t>
      </w:r>
    </w:p>
    <w:p>
      <w:pPr>
        <w:pStyle w:val="Heading3"/>
      </w:pPr>
      <w:bookmarkStart w:id="4357" w:name="_Toc3053"/>
      <w:r>
        <w:t>دیوان زمانی لاهیجی‏</w:t>
      </w:r>
      <w:bookmarkEnd w:id="4357"/>
    </w:p>
    <w:p>
      <w:pPr>
        <w:pStyle w:val="BookText"/>
      </w:pPr>
      <w:r>
        <w:rPr>
          <w:rFonts w:ascii="IRNazanin" w:hAnsi="IRNazanin" w:eastAsia="IRNazanin" w:cs="IRNazanin"/>
          <w:lang w:bidi="fa-IR"/>
          <w:color w:val="111111"/>
          <w:sz w:val="28"/>
          <w:szCs w:val="28"/>
          <w:rtl/>
        </w:rPr>
        <w:t xml:space="preserve">کما فی (گلشن- ص 191) و الصحیح زمانای لاهیجی کما مر عن النصرآبادی.</w:t>
      </w:r>
    </w:p>
    <w:p>
      <w:pPr>
        <w:pStyle w:val="Heading3"/>
      </w:pPr>
      <w:bookmarkStart w:id="4358" w:name="_Toc3054"/>
      <w:r>
        <w:t>2371- دیوان زمانی یزدی‏</w:t>
      </w:r>
      <w:bookmarkEnd w:id="4358"/>
    </w:p>
    <w:p>
      <w:pPr>
        <w:pStyle w:val="BookText"/>
      </w:pPr>
      <w:r>
        <w:rPr>
          <w:rFonts w:ascii="IRNazanin" w:hAnsi="IRNazanin" w:eastAsia="IRNazanin" w:cs="IRNazanin"/>
          <w:lang w:bidi="fa-IR"/>
          <w:color w:val="111111"/>
          <w:sz w:val="28"/>
          <w:szCs w:val="28"/>
          <w:rtl/>
        </w:rPr>
        <w:t xml:space="preserve">ذکره النصرآبادی فی (نر 9- ص 244) و (تش- ص 260) و قال إن له الید الطولی فی الشعر، و المشهور أنه عمل دیوانا فی الجواب عن دیوان الخواجة حافظ الشیرازی و عرضه علی الشاه عباس الماضی، ثم أورد بعض مثنویاته و غزلیاته و رباعیاته.</w:t>
      </w:r>
    </w:p>
    <w:p>
      <w:pPr>
        <w:pStyle w:val="BookText"/>
      </w:pPr>
      <w:r>
        <w:rPr>
          <w:rFonts w:ascii="IRNazanin" w:hAnsi="IRNazanin" w:eastAsia="IRNazanin" w:cs="IRNazanin"/>
          <w:lang w:bidi="fa-IR"/>
          <w:color w:val="111111"/>
          <w:sz w:val="28"/>
          <w:szCs w:val="28"/>
          <w:rtl/>
        </w:rPr>
        <w:t xml:space="preserve">و قال فی سرو آزاد- ص 28 إنه کان یعتقد بالتناسخ و کان یدعی أنه هو النظامی الگنجوی دفن بگنجه و خرج من یزد. و کلیاته فی عشرة آلاف بیت. قال فی شاهد صادق إنه مات (1021) و قال ناظم تبریزی إنه مات (1017) و قد تتبع خمسه نظامی کما فی فهرس مکتبة دانشگاه (ج 2 ص 45) ترجمه فی القاموس و الریحانة و (تش یز- ص 213) و فی گلستان مسرت قد یعبر عنه بالکاشانی. أیضا و أظنه المذکور فی (سرخوش- ص 44) و (هفت- ص 188) و (تغ- ص 61).</w:t>
      </w:r>
    </w:p>
    <w:p>
      <w:pPr>
        <w:pStyle w:val="Heading3"/>
      </w:pPr>
      <w:bookmarkStart w:id="4359" w:name="_Toc3055"/>
      <w:r>
        <w:t>دیوان زنده پیل‏</w:t>
      </w:r>
      <w:bookmarkEnd w:id="4359"/>
    </w:p>
    <w:p>
      <w:pPr>
        <w:pStyle w:val="BookText"/>
      </w:pPr>
      <w:r>
        <w:rPr>
          <w:rFonts w:ascii="IRNazanin" w:hAnsi="IRNazanin" w:eastAsia="IRNazanin" w:cs="IRNazanin"/>
          <w:lang w:bidi="fa-IR"/>
          <w:color w:val="111111"/>
          <w:sz w:val="28"/>
          <w:szCs w:val="28"/>
          <w:rtl/>
        </w:rPr>
        <w:t xml:space="preserve">أو ژنده پیل. مر بعنوان دیوان جامی أحمد فی (ص 188).</w:t>
      </w:r>
    </w:p>
    <w:p>
      <w:pPr>
        <w:pStyle w:val="Heading3"/>
      </w:pPr>
      <w:bookmarkStart w:id="4360" w:name="_Toc3056"/>
      <w:r>
        <w:t>2372- دیوان زنده دل ساوجی أو شعره‏</w:t>
      </w:r>
      <w:bookmarkEnd w:id="4360"/>
    </w:p>
    <w:p>
      <w:pPr>
        <w:pStyle w:val="BookText"/>
      </w:pPr>
      <w:r>
        <w:rPr>
          <w:rFonts w:ascii="IRNazanin" w:hAnsi="IRNazanin" w:eastAsia="IRNazanin" w:cs="IRNazanin"/>
          <w:lang w:bidi="fa-IR"/>
          <w:color w:val="111111"/>
          <w:sz w:val="28"/>
          <w:szCs w:val="28"/>
          <w:rtl/>
        </w:rPr>
        <w:t xml:space="preserve">أورد شعره فی (تش- ص 218) و (گلشن ص 191) و گلستان مسرت- ص 265 و قالوا إنه کان متخبط العقل.</w:t>
      </w:r>
    </w:p>
    <w:p>
      <w:pPr>
        <w:pStyle w:val="Heading3"/>
      </w:pPr>
      <w:bookmarkStart w:id="4361" w:name="_Toc3057"/>
      <w:r>
        <w:t>2373- دیوان زنگی شیرازی أو شعره‏</w:t>
      </w:r>
      <w:bookmarkEnd w:id="4361"/>
    </w:p>
    <w:p>
      <w:pPr>
        <w:pStyle w:val="BookText"/>
      </w:pPr>
      <w:r>
        <w:rPr>
          <w:rFonts w:ascii="IRNazanin" w:hAnsi="IRNazanin" w:eastAsia="IRNazanin" w:cs="IRNazanin"/>
          <w:lang w:bidi="fa-IR"/>
          <w:color w:val="111111"/>
          <w:sz w:val="28"/>
          <w:szCs w:val="28"/>
          <w:rtl/>
        </w:rPr>
        <w:t xml:space="preserve">من شعراء أتابک مظفر الدین الزنگی. أورد شعره فی (هفت- ص 249) ثم فی (گلشن- ص 191). و لیس هو الزنجی الصوفی المذکور فی نفحات الأنس.</w:t>
      </w:r>
    </w:p>
    <w:p>
      <w:pPr>
        <w:pStyle w:val="Heading3"/>
      </w:pPr>
      <w:bookmarkStart w:id="4362" w:name="_Toc3058"/>
      <w:r>
        <w:t>دیوان زنگنه‏</w:t>
      </w:r>
      <w:bookmarkEnd w:id="4362"/>
    </w:p>
    <w:p>
      <w:pPr>
        <w:pStyle w:val="BookText"/>
      </w:pPr>
      <w:r>
        <w:rPr>
          <w:rFonts w:ascii="IRNazanin" w:hAnsi="IRNazanin" w:eastAsia="IRNazanin" w:cs="IRNazanin"/>
          <w:lang w:bidi="fa-IR"/>
          <w:color w:val="111111"/>
          <w:sz w:val="28"/>
          <w:szCs w:val="28"/>
          <w:rtl/>
        </w:rPr>
        <w:t xml:space="preserve">راجع دیوان نجف قلی خان.</w:t>
      </w:r>
    </w:p>
    <w:p>
      <w:pPr>
        <w:pStyle w:val="Heading3"/>
      </w:pPr>
      <w:bookmarkStart w:id="4363" w:name="_Toc3059"/>
      <w:r>
        <w:t>دیوان زنوزی‏</w:t>
      </w:r>
      <w:bookmarkEnd w:id="4363"/>
    </w:p>
    <w:p>
      <w:pPr>
        <w:pStyle w:val="BookText"/>
      </w:pPr>
      <w:r>
        <w:rPr>
          <w:rFonts w:ascii="IRNazanin" w:hAnsi="IRNazanin" w:eastAsia="IRNazanin" w:cs="IRNazanin"/>
          <w:lang w:bidi="fa-IR"/>
          <w:color w:val="111111"/>
          <w:sz w:val="28"/>
          <w:szCs w:val="28"/>
          <w:rtl/>
        </w:rPr>
        <w:t xml:space="preserve">یأتی بعنوان دیوان فنا عبد الرسول و ولده فانی حسن.</w:t>
      </w:r>
    </w:p>
    <w:p>
      <w:pPr>
        <w:pStyle w:val="Heading3"/>
      </w:pPr>
      <w:bookmarkStart w:id="4364" w:name="_Toc3060"/>
      <w:r>
        <w:t>2374- دیوان زیادی أو شعره‏</w:t>
      </w:r>
      <w:bookmarkEnd w:id="4364"/>
    </w:p>
    <w:p>
      <w:pPr>
        <w:pStyle w:val="BookText"/>
      </w:pPr>
      <w:r>
        <w:rPr>
          <w:rFonts w:ascii="IRNazanin" w:hAnsi="IRNazanin" w:eastAsia="IRNazanin" w:cs="IRNazanin"/>
          <w:lang w:bidi="fa-IR"/>
          <w:color w:val="111111"/>
          <w:sz w:val="28"/>
          <w:szCs w:val="28"/>
          <w:rtl/>
        </w:rPr>
        <w:t xml:space="preserve">و اسمه أغورلو خان کما مر فی (ص 9 و 83) ابن محمد قلی خان زیاد أغلی بیگلر بیگی قره‏باغ، و کان مدة داروغه (مستحفظا) بقم، و تلمذ هناک علی المولی عبد الرزاق اللاهیجی، و بعد موت عمه مرتضی قلی خان، صار هو بیگلر بیگی أصفهان. کذا ترجمه و أورد شعره فی (نر 2- ص 25) و عنه فی (دجا-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404" w:name="pg11704_121884"/>
    <w:bookmarkEnd w:id="404"/>
    <w:p>
      <w:pPr>
        <w:pStyle w:val="BookText"/>
      </w:pPr>
      <w:r>
        <w:rPr>
          <w:rFonts w:ascii="IRNazanin" w:hAnsi="IRNazanin" w:eastAsia="IRNazanin" w:cs="IRNazanin"/>
          <w:lang w:bidi="fa-IR"/>
          <w:color w:val="111111"/>
          <w:sz w:val="28"/>
          <w:szCs w:val="28"/>
          <w:rtl/>
        </w:rPr>
        <w:t xml:space="preserve">ص 168).</w:t>
      </w:r>
    </w:p>
    <w:p>
      <w:pPr>
        <w:pStyle w:val="Heading3"/>
      </w:pPr>
      <w:bookmarkStart w:id="4365" w:name="_Toc3061"/>
      <w:r>
        <w:t>2375- دیوان زیانی أو شعره‏</w:t>
      </w:r>
      <w:bookmarkEnd w:id="4365"/>
    </w:p>
    <w:p>
      <w:pPr>
        <w:pStyle w:val="BookText"/>
      </w:pPr>
      <w:r>
        <w:rPr>
          <w:rFonts w:ascii="IRNazanin" w:hAnsi="IRNazanin" w:eastAsia="IRNazanin" w:cs="IRNazanin"/>
          <w:lang w:bidi="fa-IR"/>
          <w:color w:val="111111"/>
          <w:sz w:val="28"/>
          <w:szCs w:val="28"/>
          <w:rtl/>
        </w:rPr>
        <w:t xml:space="preserve">و اسمه أبو القاسم أخ المیر عنایة الله. ترجمه معاصره فی (تش- ص 378) و أطری ذکائه و قال هو الآن وزیر بکرمان. و قال فی (روشن ص 273) إنه کان وزیر کرمان من قبل نادر شاه.</w:t>
      </w:r>
    </w:p>
    <w:p>
      <w:pPr>
        <w:pStyle w:val="Heading3"/>
      </w:pPr>
      <w:bookmarkStart w:id="4366" w:name="_Toc3062"/>
      <w:r>
        <w:t>2376- دیوان زیب النساء</w:t>
      </w:r>
      <w:bookmarkEnd w:id="4366"/>
    </w:p>
    <w:p>
      <w:pPr>
        <w:pStyle w:val="BookText"/>
      </w:pPr>
      <w:r>
        <w:rPr>
          <w:rFonts w:ascii="IRNazanin" w:hAnsi="IRNazanin" w:eastAsia="IRNazanin" w:cs="IRNazanin"/>
          <w:lang w:bidi="fa-IR"/>
          <w:color w:val="111111"/>
          <w:sz w:val="28"/>
          <w:szCs w:val="28"/>
          <w:rtl/>
        </w:rPr>
        <w:t xml:space="preserve">أو شعرها و اسمها زیب النساء بنت اورنگ زیب عالمگیر ملک الهند. أورد شعرها فی التذاکر و منها فی گلستان مسرت- ص 455 و أورد شعر أختها زینت الحافظة للقرآن فی (گلشن- ص 191).</w:t>
      </w:r>
    </w:p>
    <w:p>
      <w:pPr>
        <w:pStyle w:val="Heading3"/>
      </w:pPr>
      <w:bookmarkStart w:id="4367" w:name="_Toc3063"/>
      <w:r>
        <w:t>2377- دیوان مولانا زیبایی أو شعره‏</w:t>
      </w:r>
      <w:bookmarkEnd w:id="4367"/>
    </w:p>
    <w:p>
      <w:pPr>
        <w:pStyle w:val="BookText"/>
      </w:pPr>
      <w:r>
        <w:rPr>
          <w:rFonts w:ascii="IRNazanin" w:hAnsi="IRNazanin" w:eastAsia="IRNazanin" w:cs="IRNazanin"/>
          <w:lang w:bidi="fa-IR"/>
          <w:color w:val="111111"/>
          <w:sz w:val="28"/>
          <w:szCs w:val="28"/>
          <w:rtl/>
        </w:rPr>
        <w:t xml:space="preserve">ترجمه المیر علی شیر و أورد مطلع غزله فی (مجن 3- ص 82 و 257) و الظاهر أنه لم یره، و کذا فی (حسینی- ص 139).</w:t>
      </w:r>
    </w:p>
    <w:p>
      <w:pPr>
        <w:pStyle w:val="Heading3"/>
      </w:pPr>
      <w:bookmarkStart w:id="4368" w:name="_Toc3064"/>
      <w:r>
        <w:t>2378- دیوان زیبق أو شعره‏</w:t>
      </w:r>
      <w:bookmarkEnd w:id="4368"/>
    </w:p>
    <w:p>
      <w:pPr>
        <w:pStyle w:val="BookText"/>
      </w:pPr>
      <w:r>
        <w:rPr>
          <w:rFonts w:ascii="IRNazanin" w:hAnsi="IRNazanin" w:eastAsia="IRNazanin" w:cs="IRNazanin"/>
          <w:lang w:bidi="fa-IR"/>
          <w:color w:val="111111"/>
          <w:sz w:val="28"/>
          <w:szCs w:val="28"/>
          <w:rtl/>
        </w:rPr>
        <w:t xml:space="preserve">من شعراء آذربایجان. ترجمه فی (دجا- ص 169) و أورد شعره نقلا عن حدیقة الشعراء.</w:t>
      </w:r>
    </w:p>
    <w:p>
      <w:pPr>
        <w:pStyle w:val="Heading3"/>
      </w:pPr>
      <w:bookmarkStart w:id="4369" w:name="_Toc3065"/>
      <w:r>
        <w:t>2379- دیوان زیرک أو شعره‏</w:t>
      </w:r>
      <w:bookmarkEnd w:id="4369"/>
    </w:p>
    <w:p>
      <w:pPr>
        <w:pStyle w:val="BookText"/>
      </w:pPr>
      <w:r>
        <w:rPr>
          <w:rFonts w:ascii="IRNazanin" w:hAnsi="IRNazanin" w:eastAsia="IRNazanin" w:cs="IRNazanin"/>
          <w:lang w:bidi="fa-IR"/>
          <w:color w:val="111111"/>
          <w:sz w:val="28"/>
          <w:szCs w:val="28"/>
          <w:rtl/>
        </w:rPr>
        <w:t xml:space="preserve">و یقال له زیرکی. ترجمه المیر علی شیر فی (مجن 3 ص 75 و 250) و قال مولانا زیرک المشهور بزیرکی، و أورد مطلع غزله. و قد تتبع الحکیم شاه محمد القزوینی أحد غزلیاته بأمر السلطان سلیم المتوفی (926).</w:t>
      </w:r>
    </w:p>
    <w:p>
      <w:pPr>
        <w:pStyle w:val="Heading3"/>
      </w:pPr>
      <w:bookmarkStart w:id="4370" w:name="_Toc3066"/>
      <w:r>
        <w:t>2380- دیوان مولانا زین کیسه دوز أو شعره‏</w:t>
      </w:r>
      <w:bookmarkEnd w:id="4370"/>
    </w:p>
    <w:p>
      <w:pPr>
        <w:pStyle w:val="BookText"/>
      </w:pPr>
      <w:r>
        <w:rPr>
          <w:rFonts w:ascii="IRNazanin" w:hAnsi="IRNazanin" w:eastAsia="IRNazanin" w:cs="IRNazanin"/>
          <w:lang w:bidi="fa-IR"/>
          <w:color w:val="111111"/>
          <w:sz w:val="28"/>
          <w:szCs w:val="28"/>
          <w:rtl/>
        </w:rPr>
        <w:t xml:space="preserve">کذا ترجمه المیر علی شیر فی (مجن 1- ص 23 و 197) و أورد له:-</w:t>
      </w:r>
    </w:p>
    <w:p>
      <w:pPr>
        <w:pStyle w:val="BookText"/>
      </w:pPr>
      <w:r>
        <w:rPr>
          <w:rFonts w:ascii="IRNazanin" w:hAnsi="IRNazanin" w:eastAsia="IRNazanin" w:cs="IRNazanin"/>
          <w:lang w:bidi="fa-IR"/>
          <w:color w:val="111111"/>
          <w:sz w:val="28"/>
          <w:szCs w:val="28"/>
          <w:rtl/>
        </w:rPr>
        <w:t xml:space="preserve">باز ایکه منعت کند از مردم ناجنس‏</w:t>
      </w:r>
    </w:p>
    <w:p>
      <w:pPr>
        <w:pStyle w:val="BookText"/>
      </w:pPr>
      <w:r>
        <w:rPr>
          <w:rFonts w:ascii="IRNazanin" w:hAnsi="IRNazanin" w:eastAsia="IRNazanin" w:cs="IRNazanin"/>
          <w:lang w:bidi="fa-IR"/>
          <w:color w:val="111111"/>
          <w:sz w:val="28"/>
          <w:szCs w:val="28"/>
          <w:rtl/>
        </w:rPr>
        <w:t xml:space="preserve">بیگانه چنانی که غم خویش نداری‏</w:t>
      </w:r>
    </w:p>
    <w:p>
      <w:pPr>
        <w:pStyle w:val="Heading3"/>
      </w:pPr>
      <w:bookmarkStart w:id="4371" w:name="_Toc3067"/>
      <w:r>
        <w:t>2381- دیوان میرزا زین نطنزی أو شعره‏</w:t>
      </w:r>
      <w:bookmarkEnd w:id="4371"/>
    </w:p>
    <w:p>
      <w:pPr>
        <w:pStyle w:val="BookText"/>
      </w:pPr>
      <w:r>
        <w:rPr>
          <w:rFonts w:ascii="IRNazanin" w:hAnsi="IRNazanin" w:eastAsia="IRNazanin" w:cs="IRNazanin"/>
          <w:lang w:bidi="fa-IR"/>
          <w:color w:val="111111"/>
          <w:sz w:val="28"/>
          <w:szCs w:val="28"/>
          <w:rtl/>
        </w:rPr>
        <w:t xml:space="preserve">ترجمه النصرآبادی فی (نر 5- ص 144) و ذکر قطعته فی طلب لوازم المعیشة عن شهریاری الحاج هدایت.</w:t>
      </w:r>
    </w:p>
    <w:p>
      <w:pPr>
        <w:pStyle w:val="Heading3"/>
      </w:pPr>
      <w:bookmarkStart w:id="4372" w:name="_Toc3068"/>
      <w:r>
        <w:t>2382- دیوان زینبی علوی محمودی أو شعره‏</w:t>
      </w:r>
      <w:bookmarkEnd w:id="4372"/>
    </w:p>
    <w:p>
      <w:pPr>
        <w:pStyle w:val="BookText"/>
      </w:pPr>
      <w:r>
        <w:rPr>
          <w:rFonts w:ascii="IRNazanin" w:hAnsi="IRNazanin" w:eastAsia="IRNazanin" w:cs="IRNazanin"/>
          <w:lang w:bidi="fa-IR"/>
          <w:color w:val="111111"/>
          <w:sz w:val="28"/>
          <w:szCs w:val="28"/>
          <w:rtl/>
        </w:rPr>
        <w:t xml:space="preserve">هو عبد الجبار العلوی من شعراء عصر محمود و مسعود الغزنویین، و سماه العوفی فی (اللباب- ج 2 ص 39) زینتی، و لکن أبا الفضل البیهقی فی تاریخه (ص 131) من طبع الدکتور فیاض بطهران سماه زینبی، و هو الصحیح لانتسابه إلی آل الزینبی ببغداد کما ذکره السمعانی. جاء شعره فی ترجمان البلاغة و حدائق السحر و لغت فرس و لباب الألباب و المعجم و غیره. و ترجمه إقبال فی حواشی حدائق السحر و الدکتور صفا فی تاریخ أدبیات ایران (ج 1 ص 465).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405" w:name="pg11704_121885"/>
    <w:bookmarkEnd w:id="405"/>
    <w:p>
      <w:pPr>
        <w:pStyle w:val="Heading3"/>
      </w:pPr>
      <w:bookmarkStart w:id="4373" w:name="_Toc3069"/>
      <w:r>
        <w:t>2383- دیوان زینتی أصفهانی أو شعره‏</w:t>
      </w:r>
      <w:bookmarkEnd w:id="4373"/>
    </w:p>
    <w:p>
      <w:pPr>
        <w:pStyle w:val="BookText"/>
      </w:pPr>
      <w:r>
        <w:rPr>
          <w:rFonts w:ascii="IRNazanin" w:hAnsi="IRNazanin" w:eastAsia="IRNazanin" w:cs="IRNazanin"/>
          <w:lang w:bidi="fa-IR"/>
          <w:color w:val="111111"/>
          <w:sz w:val="28"/>
          <w:szCs w:val="28"/>
          <w:rtl/>
        </w:rPr>
        <w:t xml:space="preserve">هو السید حسن من سادات نطنز. ترجمه النصرآبادی فی (نر 9- ص 327) و أورد بعض غزلیاته. و فی (تش- ص 177) سماه زینت أصفهانی. و کذا فی (تغ- ص 62). و فی (روشن- ص 275) عن نگارستان سخن و آفتاب عالمتاب بعنوان زینت لنبانی و عن شمع انجمن بعنوان زینتی لنبانی و ترجم رجل آخر بعنوان زینتی بلیانی نقلا عن التقی الأوحدی، و قال إنه أسترآبادی. و قد ذکر فی نگارستان سخن بعنوان زینتی أسترآبادی (أقول) الظاهر أنه خلط بین زینتی أصفهانی و زینتی سبزواری.</w:t>
      </w:r>
    </w:p>
    <w:p>
      <w:pPr>
        <w:pStyle w:val="Heading3"/>
      </w:pPr>
      <w:bookmarkStart w:id="4374" w:name="_Toc3070"/>
      <w:r>
        <w:t>2384- دیوان زینتی سبزواری أو شعره‏</w:t>
      </w:r>
      <w:bookmarkEnd w:id="4374"/>
    </w:p>
    <w:p>
      <w:pPr>
        <w:pStyle w:val="BookText"/>
      </w:pPr>
      <w:r>
        <w:rPr>
          <w:rFonts w:ascii="IRNazanin" w:hAnsi="IRNazanin" w:eastAsia="IRNazanin" w:cs="IRNazanin"/>
          <w:lang w:bidi="fa-IR"/>
          <w:color w:val="111111"/>
          <w:sz w:val="28"/>
          <w:szCs w:val="28"/>
          <w:rtl/>
        </w:rPr>
        <w:t xml:space="preserve">الملازم لمحمد ظهیر الدین بابر شاه. کذا ترجمه و أورد شعره فی (روشن- ص 275) بعد أن ذکر زینتی بدخشانی و لکن الظاهر اتحادهما.</w:t>
      </w:r>
    </w:p>
    <w:p>
      <w:pPr>
        <w:pStyle w:val="Heading3"/>
      </w:pPr>
      <w:bookmarkStart w:id="4375" w:name="_Toc3071"/>
      <w:r>
        <w:t>2385- دیوان زینتی مشهدی أو شعره‏</w:t>
      </w:r>
      <w:bookmarkEnd w:id="4375"/>
    </w:p>
    <w:p>
      <w:pPr>
        <w:pStyle w:val="BookText"/>
      </w:pPr>
      <w:r>
        <w:rPr>
          <w:rFonts w:ascii="IRNazanin" w:hAnsi="IRNazanin" w:eastAsia="IRNazanin" w:cs="IRNazanin"/>
          <w:lang w:bidi="fa-IR"/>
          <w:color w:val="111111"/>
          <w:sz w:val="28"/>
          <w:szCs w:val="28"/>
          <w:rtl/>
        </w:rPr>
        <w:t xml:space="preserve">و اسمه محمد حسین المشهدی. ترجمه الصادقی فی (خص 8- ص 299) و أورد عدة من رباعیاته.</w:t>
      </w:r>
    </w:p>
    <w:p>
      <w:pPr>
        <w:pStyle w:val="Heading3"/>
      </w:pPr>
      <w:bookmarkStart w:id="4376" w:name="_Toc3072"/>
      <w:r>
        <w:t>دیوان زین الدین أسترآبادی‏</w:t>
      </w:r>
      <w:bookmarkEnd w:id="4376"/>
    </w:p>
    <w:p>
      <w:pPr>
        <w:pStyle w:val="BookText"/>
      </w:pPr>
      <w:r>
        <w:rPr>
          <w:rFonts w:ascii="IRNazanin" w:hAnsi="IRNazanin" w:eastAsia="IRNazanin" w:cs="IRNazanin"/>
          <w:lang w:bidi="fa-IR"/>
          <w:color w:val="111111"/>
          <w:sz w:val="28"/>
          <w:szCs w:val="28"/>
          <w:rtl/>
        </w:rPr>
        <w:t xml:space="preserve">راجع زین الدین خوافی.</w:t>
      </w:r>
    </w:p>
    <w:p>
      <w:pPr>
        <w:pStyle w:val="Heading3"/>
      </w:pPr>
      <w:bookmarkStart w:id="4377" w:name="_Toc3073"/>
      <w:r>
        <w:t>2386- دیوان زین الدین تایبادی أو شعره‏</w:t>
      </w:r>
      <w:bookmarkEnd w:id="4377"/>
    </w:p>
    <w:p>
      <w:pPr>
        <w:pStyle w:val="BookText"/>
      </w:pPr>
      <w:r>
        <w:rPr>
          <w:rFonts w:ascii="IRNazanin" w:hAnsi="IRNazanin" w:eastAsia="IRNazanin" w:cs="IRNazanin"/>
          <w:lang w:bidi="fa-IR"/>
          <w:color w:val="111111"/>
          <w:sz w:val="28"/>
          <w:szCs w:val="28"/>
          <w:rtl/>
        </w:rPr>
        <w:t xml:space="preserve">من مشایخ الطریقة و کان الأمیر تیمور گورکان من مریدیه. ترجمه فی (ض- ص 134) و أورد رباعیته فی تخویف الملک غیاث الدین و وعظه إیاه بترک الظلم.</w:t>
      </w:r>
    </w:p>
    <w:p>
      <w:pPr>
        <w:pStyle w:val="Heading3"/>
      </w:pPr>
      <w:bookmarkStart w:id="4378" w:name="_Toc3074"/>
      <w:r>
        <w:t>2387- دیوان زین الدین أصفهانی أو شعره‏</w:t>
      </w:r>
      <w:bookmarkEnd w:id="4378"/>
    </w:p>
    <w:p>
      <w:pPr>
        <w:pStyle w:val="BookText"/>
      </w:pPr>
      <w:r>
        <w:rPr>
          <w:rFonts w:ascii="IRNazanin" w:hAnsi="IRNazanin" w:eastAsia="IRNazanin" w:cs="IRNazanin"/>
          <w:lang w:bidi="fa-IR"/>
          <w:color w:val="111111"/>
          <w:sz w:val="28"/>
          <w:szCs w:val="28"/>
          <w:rtl/>
        </w:rPr>
        <w:t xml:space="preserve">و اسمه محمود العارف، جاء إلی الهند و رجع فی عهد أکبر شاه. أورد شعره فی (روشن- ص 276).</w:t>
      </w:r>
    </w:p>
    <w:p>
      <w:pPr>
        <w:pStyle w:val="Heading3"/>
      </w:pPr>
      <w:bookmarkStart w:id="4379" w:name="_Toc3075"/>
      <w:r>
        <w:t>2388- دیوان شیخ زین الدین خوافی خراسانی أو شعره‏</w:t>
      </w:r>
      <w:bookmarkEnd w:id="4379"/>
    </w:p>
    <w:p>
      <w:pPr>
        <w:pStyle w:val="BookText"/>
      </w:pPr>
      <w:r>
        <w:rPr>
          <w:rFonts w:ascii="IRNazanin" w:hAnsi="IRNazanin" w:eastAsia="IRNazanin" w:cs="IRNazanin"/>
          <w:lang w:bidi="fa-IR"/>
          <w:color w:val="111111"/>
          <w:sz w:val="28"/>
          <w:szCs w:val="28"/>
          <w:rtl/>
        </w:rPr>
        <w:t xml:space="preserve">المتوفی (838) کما فی شاهد صادق أو ثانی شوال (833) کما ذکره فی ریاض العارفین. کان من مشایخ السهروردیة.</w:t>
      </w:r>
    </w:p>
    <w:p>
      <w:pPr>
        <w:pStyle w:val="BookText"/>
      </w:pPr>
      <w:r>
        <w:rPr>
          <w:rFonts w:ascii="IRNazanin" w:hAnsi="IRNazanin" w:eastAsia="IRNazanin" w:cs="IRNazanin"/>
          <w:lang w:bidi="fa-IR"/>
          <w:color w:val="111111"/>
          <w:sz w:val="28"/>
          <w:szCs w:val="28"/>
          <w:rtl/>
        </w:rPr>
        <w:t xml:space="preserve">أخذ الطریقة عن الشیخ عبد الرحمن النظری عن الشیخ جمال الدین عن الشیخ حسام الدین عن الشیخ عبد الصمد عن الشیخ نجیب الدین علی السرخسی عن شهاب الدین السهروردی عن نجیب الدین السهروردی عن الشیخ أحمد الغزالی. ثم أورد بعض أشعاره و کان الشیخ زین الدین الخوافی معاصرا مع الأمیر قاسم الأنوار المتوفی (837) و قد کان الشیخ صفی الدین جد الصفویة متمائلا إلی إرادة الأمیر قاسم الأنوار، لکنه انصرف عنه و صحب الشیخ‏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406" w:name="pg11704_121886"/>
    <w:bookmarkEnd w:id="406"/>
    <w:p>
      <w:pPr>
        <w:pStyle w:val="BookText"/>
      </w:pPr>
      <w:r>
        <w:rPr>
          <w:rFonts w:ascii="IRNazanin" w:hAnsi="IRNazanin" w:eastAsia="IRNazanin" w:cs="IRNazanin"/>
          <w:lang w:bidi="fa-IR"/>
          <w:color w:val="111111"/>
          <w:sz w:val="28"/>
          <w:szCs w:val="28"/>
          <w:rtl/>
        </w:rPr>
        <w:t xml:space="preserve">زین الدین الخوافی کما ذکر فی (مجن ص 6 و ص 184) و ذکر فی (مجن 2- ص 27 و 202) أن مولانا محمد التبادکانی کان من خلفاء الشیخ زین الدین، و ذکر فی (مجن 2- ص 28 و 202) أن الشیخ صدر الدین الرواسی أیضا کان من خلفاء الشیخ زین الدین. و قال فی (خوش‏گو) إنه کان یتخلص فانی (أقول) توجد شعره فی جنک عند (فخر الدین) و فی (گلشن- 192) سماه زین الدین الأسترآبادی.</w:t>
      </w:r>
    </w:p>
    <w:p>
      <w:pPr>
        <w:pStyle w:val="Heading3"/>
      </w:pPr>
      <w:bookmarkStart w:id="4380" w:name="_Toc3076"/>
      <w:r>
        <w:t>2389- دیوان زین الدین خبوشانی‏</w:t>
      </w:r>
      <w:bookmarkEnd w:id="4380"/>
    </w:p>
    <w:p>
      <w:pPr>
        <w:pStyle w:val="BookText"/>
      </w:pPr>
      <w:r>
        <w:rPr>
          <w:rFonts w:ascii="IRNazanin" w:hAnsi="IRNazanin" w:eastAsia="IRNazanin" w:cs="IRNazanin"/>
          <w:lang w:bidi="fa-IR"/>
          <w:color w:val="111111"/>
          <w:sz w:val="28"/>
          <w:szCs w:val="28"/>
          <w:rtl/>
        </w:rPr>
        <w:t xml:space="preserve">و اسمه صاعد الکلیددار للسلطان إسکندر.</w:t>
      </w:r>
    </w:p>
    <w:p>
      <w:pPr>
        <w:pStyle w:val="BookText"/>
      </w:pPr>
      <w:r>
        <w:rPr>
          <w:rFonts w:ascii="IRNazanin" w:hAnsi="IRNazanin" w:eastAsia="IRNazanin" w:cs="IRNazanin"/>
          <w:lang w:bidi="fa-IR"/>
          <w:color w:val="111111"/>
          <w:sz w:val="28"/>
          <w:szCs w:val="28"/>
          <w:rtl/>
        </w:rPr>
        <w:t xml:space="preserve">کذا وصفه و أورد رباعیته فی (تش- ص 76) و قال سنگلاخ فی امتحان الفضلاء- ج 1 ص 152 إنه رأی دیوان رباعیاته بخط أحمد المشهدی غزال العین. و ذکره فی (مع ج 1- ص 242) بعنوان زین الدین السکزی و قال إنه رأی مجموعة قصائده، و نقل بعض شعره عن عرفات للتقی الأوحدی، و منها فی مدیح علاء الدین و مدیح الوزیر علی بن أحمد. و ترجمه فی (گلشن- ص 192) بعنوان زین الدین سیستانی.</w:t>
      </w:r>
    </w:p>
    <w:p>
      <w:pPr>
        <w:pStyle w:val="Heading3"/>
      </w:pPr>
      <w:bookmarkStart w:id="4381" w:name="_Toc3077"/>
      <w:r>
        <w:t>دیوان زین الدین السکزی السیستانی‏</w:t>
      </w:r>
      <w:bookmarkEnd w:id="4381"/>
    </w:p>
    <w:p>
      <w:pPr>
        <w:pStyle w:val="BookText"/>
      </w:pPr>
      <w:r>
        <w:rPr>
          <w:rFonts w:ascii="IRNazanin" w:hAnsi="IRNazanin" w:eastAsia="IRNazanin" w:cs="IRNazanin"/>
          <w:lang w:bidi="fa-IR"/>
          <w:color w:val="111111"/>
          <w:sz w:val="28"/>
          <w:szCs w:val="28"/>
          <w:rtl/>
        </w:rPr>
        <w:t xml:space="preserve">کما فی (مع- ج 1 ص 242) راجع الخبوشانی.</w:t>
      </w:r>
    </w:p>
    <w:p>
      <w:pPr>
        <w:pStyle w:val="Heading3"/>
      </w:pPr>
      <w:bookmarkStart w:id="4382" w:name="_Toc3078"/>
      <w:r>
        <w:t>دیوان ملا زین الدین علی‏</w:t>
      </w:r>
      <w:bookmarkEnd w:id="4382"/>
    </w:p>
    <w:p>
      <w:pPr>
        <w:pStyle w:val="BookText"/>
      </w:pPr>
      <w:r>
        <w:rPr>
          <w:rFonts w:ascii="IRNazanin" w:hAnsi="IRNazanin" w:eastAsia="IRNazanin" w:cs="IRNazanin"/>
          <w:lang w:bidi="fa-IR"/>
          <w:color w:val="111111"/>
          <w:sz w:val="28"/>
          <w:szCs w:val="28"/>
          <w:rtl/>
        </w:rPr>
        <w:t xml:space="preserve">ملازم بدیع الزمان میرزا ابن السلطان حسین میرزا بایقرا ترجمه فی (مجتس 6- ص 168) من لطائف‏نامه و أورد مطلع غزله.</w:t>
      </w:r>
    </w:p>
    <w:p>
      <w:pPr>
        <w:pStyle w:val="Heading3"/>
      </w:pPr>
      <w:bookmarkStart w:id="4383" w:name="_Toc3079"/>
      <w:r>
        <w:t>2390- دیوان الشیخ زین الدین‏</w:t>
      </w:r>
      <w:bookmarkEnd w:id="4383"/>
    </w:p>
    <w:p>
      <w:pPr>
        <w:pStyle w:val="BookText"/>
      </w:pPr>
      <w:r>
        <w:rPr>
          <w:rFonts w:ascii="IRNazanin" w:hAnsi="IRNazanin" w:eastAsia="IRNazanin" w:cs="IRNazanin"/>
          <w:lang w:bidi="fa-IR"/>
          <w:color w:val="111111"/>
          <w:sz w:val="28"/>
          <w:szCs w:val="28"/>
          <w:rtl/>
        </w:rPr>
        <w:t xml:space="preserve">ابن الشیخ محمد ابن صاحب المعالم ولد (1009) و تلمذ علی أبیه المدعو بالشیخ محمد السبط و علی الشیخ البهائی و علی المولی محمد أمین الأسترآبادی، و جاور مکة إلی أن دفن بها عند قبر خدیجة فی (1074) ترجمه تلمیذه الشیخ الحر و قال رأیت دیوانه الصغیر بخطه.</w:t>
      </w:r>
    </w:p>
    <w:p>
      <w:pPr>
        <w:pStyle w:val="Heading3"/>
      </w:pPr>
      <w:bookmarkStart w:id="4384" w:name="_Toc3080"/>
      <w:r>
        <w:t>2391- دیوان زین الدین النسوی أو شعره‏</w:t>
      </w:r>
      <w:bookmarkEnd w:id="4384"/>
    </w:p>
    <w:p>
      <w:pPr>
        <w:pStyle w:val="BookText"/>
      </w:pPr>
      <w:r>
        <w:rPr>
          <w:rFonts w:ascii="IRNazanin" w:hAnsi="IRNazanin" w:eastAsia="IRNazanin" w:cs="IRNazanin"/>
          <w:lang w:bidi="fa-IR"/>
          <w:color w:val="111111"/>
          <w:sz w:val="28"/>
          <w:szCs w:val="28"/>
          <w:rtl/>
        </w:rPr>
        <w:t xml:space="preserve">من شعراء شهرستان من توابع دشت خاوران بخراسان، و کان من أعاظم العرفاء أیضا. ترجمه فی (ض- ص 333) و أورد رباعیة له.</w:t>
      </w:r>
    </w:p>
    <w:p>
      <w:pPr>
        <w:pStyle w:val="Heading3"/>
      </w:pPr>
      <w:bookmarkStart w:id="4385" w:name="_Toc3081"/>
      <w:r>
        <w:t>2392- دیوان میرزا زین العابدین أو شعره‏</w:t>
      </w:r>
      <w:bookmarkEnd w:id="4385"/>
    </w:p>
    <w:p>
      <w:pPr>
        <w:pStyle w:val="BookText"/>
      </w:pPr>
      <w:r>
        <w:rPr>
          <w:rFonts w:ascii="IRNazanin" w:hAnsi="IRNazanin" w:eastAsia="IRNazanin" w:cs="IRNazanin"/>
          <w:lang w:bidi="fa-IR"/>
          <w:color w:val="111111"/>
          <w:sz w:val="28"/>
          <w:szCs w:val="28"/>
          <w:rtl/>
        </w:rPr>
        <w:t xml:space="preserve">هو ابن آصف خان. أطرأه معاصره النصرآبادی فی (نر 3- ص 60) و أورد بعض شعره.</w:t>
      </w:r>
    </w:p>
    <w:p>
      <w:pPr>
        <w:pStyle w:val="Heading3"/>
      </w:pPr>
      <w:bookmarkStart w:id="4386" w:name="_Toc3082"/>
      <w:r>
        <w:t>دیوان میرزا زین العابدین‏</w:t>
      </w:r>
      <w:bookmarkEnd w:id="4386"/>
    </w:p>
    <w:p>
      <w:pPr>
        <w:pStyle w:val="BookText"/>
      </w:pPr>
      <w:r>
        <w:rPr>
          <w:rFonts w:ascii="IRNazanin" w:hAnsi="IRNazanin" w:eastAsia="IRNazanin" w:cs="IRNazanin"/>
          <w:lang w:bidi="fa-IR"/>
          <w:color w:val="111111"/>
          <w:sz w:val="28"/>
          <w:szCs w:val="28"/>
          <w:rtl/>
        </w:rPr>
        <w:t xml:space="preserve">المتخلص تسلیم مر بتخلصه.</w:t>
      </w:r>
    </w:p>
    <w:p>
      <w:pPr>
        <w:pStyle w:val="Heading3"/>
      </w:pPr>
      <w:bookmarkStart w:id="4387" w:name="_Toc3083"/>
      <w:r>
        <w:t>2393- دیوان المولی زین العابدین تکلو خان‏</w:t>
      </w:r>
      <w:bookmarkEnd w:id="4387"/>
    </w:p>
    <w:p>
      <w:pPr>
        <w:pStyle w:val="BookText"/>
      </w:pPr>
      <w:r>
        <w:rPr>
          <w:rFonts w:ascii="IRNazanin" w:hAnsi="IRNazanin" w:eastAsia="IRNazanin" w:cs="IRNazanin"/>
          <w:lang w:bidi="fa-IR"/>
          <w:color w:val="111111"/>
          <w:sz w:val="28"/>
          <w:szCs w:val="28"/>
          <w:rtl/>
        </w:rPr>
        <w:t xml:space="preserve">. ترجمه سام میرزا فی (تس 4- ص 83) و ذکر أنه کان مقربا عند الشاه إسماعیل الفاتح بما لم یحصل لأحد من طائفته مثله.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407" w:name="pg11704_121887"/>
    <w:bookmarkEnd w:id="407"/>
    <w:p>
      <w:pPr>
        <w:pStyle w:val="BookText"/>
      </w:pPr>
      <w:r>
        <w:rPr>
          <w:rFonts w:ascii="IRNazanin" w:hAnsi="IRNazanin" w:eastAsia="IRNazanin" w:cs="IRNazanin"/>
          <w:lang w:bidi="fa-IR"/>
          <w:color w:val="111111"/>
          <w:sz w:val="28"/>
          <w:szCs w:val="28"/>
          <w:rtl/>
        </w:rPr>
        <w:t xml:space="preserve">و کان بینهما ظرائف لم یذکرها تأدبا. و أورد بعض شعره.</w:t>
      </w:r>
    </w:p>
    <w:p>
      <w:pPr>
        <w:pStyle w:val="Heading3"/>
      </w:pPr>
      <w:bookmarkStart w:id="4388" w:name="_Toc3084"/>
      <w:r>
        <w:t>2394- دیوان الشیخ زین العابدین‏</w:t>
      </w:r>
      <w:bookmarkEnd w:id="4388"/>
    </w:p>
    <w:p>
      <w:pPr>
        <w:pStyle w:val="BookText"/>
      </w:pPr>
      <w:r>
        <w:rPr>
          <w:rFonts w:ascii="IRNazanin" w:hAnsi="IRNazanin" w:eastAsia="IRNazanin" w:cs="IRNazanin"/>
          <w:lang w:bidi="fa-IR"/>
          <w:color w:val="111111"/>
          <w:sz w:val="28"/>
          <w:szCs w:val="28"/>
          <w:rtl/>
        </w:rPr>
        <w:t xml:space="preserve">ابن الحسن بن علی بن محمد الحر العاملی، أخ الشیخ الحر و المتوفی بصنعاء بعد رجوعه عن الحج فی (1078) ترجمه أخوه فی الأمل و قال دیوانه یقارب الخمسة آلاف بیت. و مر دیوان أخیه بعنوان دیوان الحر. و ذکر فی السلافة ص 50 أیضا، و لکن فی نجوم السماء ص 144 ذکر بعنوان زین الدین‏</w:t>
      </w:r>
    </w:p>
    <w:p>
      <w:pPr>
        <w:pStyle w:val="Heading3"/>
      </w:pPr>
      <w:bookmarkStart w:id="4389" w:name="_Toc3085"/>
      <w:r>
        <w:t>دیوان زین العابدین الخورانی‏</w:t>
      </w:r>
      <w:bookmarkEnd w:id="4389"/>
    </w:p>
    <w:p>
      <w:pPr>
        <w:pStyle w:val="BookText"/>
      </w:pPr>
      <w:r>
        <w:rPr>
          <w:rFonts w:ascii="IRNazanin" w:hAnsi="IRNazanin" w:eastAsia="IRNazanin" w:cs="IRNazanin"/>
          <w:lang w:bidi="fa-IR"/>
          <w:color w:val="111111"/>
          <w:sz w:val="28"/>
          <w:szCs w:val="28"/>
          <w:rtl/>
        </w:rPr>
        <w:t xml:space="preserve">الذی کان یتخلص فی شعره فاضل یأتی بتخلصه.</w:t>
      </w:r>
    </w:p>
    <w:p>
      <w:pPr>
        <w:pStyle w:val="Heading3"/>
      </w:pPr>
      <w:bookmarkStart w:id="4390" w:name="_Toc3086"/>
      <w:r>
        <w:t>دیوان الحاج زین العابدین الشروانی‏</w:t>
      </w:r>
      <w:bookmarkEnd w:id="4390"/>
    </w:p>
    <w:p>
      <w:pPr>
        <w:pStyle w:val="BookText"/>
      </w:pPr>
      <w:r>
        <w:rPr>
          <w:rFonts w:ascii="IRNazanin" w:hAnsi="IRNazanin" w:eastAsia="IRNazanin" w:cs="IRNazanin"/>
          <w:lang w:bidi="fa-IR"/>
          <w:color w:val="111111"/>
          <w:sz w:val="28"/>
          <w:szCs w:val="28"/>
          <w:rtl/>
        </w:rPr>
        <w:t xml:space="preserve">المتخلص فی شعره تمکین مر بتخلصه.</w:t>
      </w:r>
    </w:p>
    <w:p>
      <w:pPr>
        <w:pStyle w:val="Heading3"/>
      </w:pPr>
      <w:bookmarkStart w:id="4391" w:name="_Toc3087"/>
      <w:r>
        <w:t>2395- دیوان المیرزا زین العابدین الشهرستانی أو شعره‏</w:t>
      </w:r>
      <w:bookmarkEnd w:id="4391"/>
    </w:p>
    <w:p>
      <w:pPr>
        <w:pStyle w:val="BookText"/>
      </w:pPr>
      <w:r>
        <w:rPr>
          <w:rFonts w:ascii="IRNazanin" w:hAnsi="IRNazanin" w:eastAsia="IRNazanin" w:cs="IRNazanin"/>
          <w:lang w:bidi="fa-IR"/>
          <w:color w:val="111111"/>
          <w:sz w:val="28"/>
          <w:szCs w:val="28"/>
          <w:rtl/>
        </w:rPr>
        <w:t xml:space="preserve">کان من أعاظم سادات شهرستان من نواحی أصفهان. هو و أخوه الأکبر المیر علاء الدین محمد المتخلص صائبا سبطا السلطان الشاه عباس الماضی. و والدهما المیرزا رفیع الشهرستانی کان صدر الممالک الخاصة. ترجمه النصرآبادی فی (نر 1- ص 13) و أورد بعض شعره. و ترجمه فی (دجا- ص 171) بعنوان زین العابدین میرزا نقلا عن شمع انجمن.</w:t>
      </w:r>
    </w:p>
    <w:p>
      <w:pPr>
        <w:pStyle w:val="Heading3"/>
      </w:pPr>
      <w:bookmarkStart w:id="4392" w:name="_Toc3088"/>
      <w:r>
        <w:t>2396- دیوان میرزا زین العابدین منشی الممالک أو شعره‏</w:t>
      </w:r>
      <w:bookmarkEnd w:id="4392"/>
    </w:p>
    <w:p>
      <w:pPr>
        <w:pStyle w:val="BookText"/>
      </w:pPr>
      <w:r>
        <w:rPr>
          <w:rFonts w:ascii="IRNazanin" w:hAnsi="IRNazanin" w:eastAsia="IRNazanin" w:cs="IRNazanin"/>
          <w:lang w:bidi="fa-IR"/>
          <w:color w:val="111111"/>
          <w:sz w:val="28"/>
          <w:szCs w:val="28"/>
          <w:rtl/>
        </w:rPr>
        <w:t xml:space="preserve">قام مقام والده المیرزا عبد الحسین النصیری منشی الممالک المنسوب إلی الخواجة نصیر الدین الطوسی کما ذکره النصرآبادی فی (نر 4- ص 72) و أورد بعض شعره، و قال إنه توفی بعد سنین، و قام مقامه أخوه و عدیله فی الفضیلة.</w:t>
      </w:r>
    </w:p>
    <w:p>
      <w:pPr>
        <w:pStyle w:val="Heading3"/>
      </w:pPr>
      <w:bookmarkStart w:id="4393" w:name="_Toc3089"/>
      <w:r>
        <w:t>2397- دیوان زینل بیک أو شعره‏</w:t>
      </w:r>
      <w:bookmarkEnd w:id="4393"/>
    </w:p>
    <w:p>
      <w:pPr>
        <w:pStyle w:val="BookText"/>
      </w:pPr>
      <w:r>
        <w:rPr>
          <w:rFonts w:ascii="IRNazanin" w:hAnsi="IRNazanin" w:eastAsia="IRNazanin" w:cs="IRNazanin"/>
          <w:lang w:bidi="fa-IR"/>
          <w:color w:val="111111"/>
          <w:sz w:val="28"/>
          <w:szCs w:val="28"/>
          <w:rtl/>
        </w:rPr>
        <w:t xml:space="preserve">ابن أصلان خان الگرجستانی، کان والده و إلی مرو فی أیام الشاه عباس الثانی کما ذکره النصرآبادی فی (نر 2- ص 32) و أطرأه و أورد بعض شعره.</w:t>
      </w:r>
    </w:p>
    <w:p>
      <w:pPr>
        <w:pStyle w:val="Heading3"/>
      </w:pPr>
      <w:bookmarkStart w:id="4394" w:name="_Toc3090"/>
      <w:r>
        <w:t>2398- دیوان زینی سیاه‏</w:t>
      </w:r>
      <w:bookmarkEnd w:id="4394"/>
    </w:p>
    <w:p>
      <w:pPr>
        <w:pStyle w:val="BookText"/>
      </w:pPr>
      <w:r>
        <w:rPr>
          <w:rFonts w:ascii="IRNazanin" w:hAnsi="IRNazanin" w:eastAsia="IRNazanin" w:cs="IRNazanin"/>
          <w:lang w:bidi="fa-IR"/>
          <w:color w:val="111111"/>
          <w:sz w:val="28"/>
          <w:szCs w:val="28"/>
          <w:rtl/>
        </w:rPr>
        <w:t xml:space="preserve">ترجمه معاصره سام میرزا فی (تس 5- ص 154) و ذکر أنه کان کثیر التعرض للناس بالهجاء و لذا هجاه الحافظ چرکین (چرگر) و أخرج فی تاریخ وفاته (خرس سیاه (956) و قال إن شعره کثیر و نقل منه مطلع غزل واحد له.</w:t>
      </w:r>
    </w:p>
    <w:p>
      <w:pPr>
        <w:pStyle w:val="Heading3"/>
      </w:pPr>
      <w:bookmarkStart w:id="4395" w:name="_Toc3091"/>
      <w:r>
        <w:t>2399- دیوان زینی لاهیجانی أو شعره‏</w:t>
      </w:r>
      <w:bookmarkEnd w:id="4395"/>
    </w:p>
    <w:p>
      <w:pPr>
        <w:pStyle w:val="BookText"/>
      </w:pPr>
      <w:r>
        <w:rPr>
          <w:rFonts w:ascii="IRNazanin" w:hAnsi="IRNazanin" w:eastAsia="IRNazanin" w:cs="IRNazanin"/>
          <w:lang w:bidi="fa-IR"/>
          <w:color w:val="111111"/>
          <w:sz w:val="28"/>
          <w:szCs w:val="28"/>
          <w:rtl/>
        </w:rPr>
        <w:t xml:space="preserve">ترجمه سام میرزا فی (تس 5- ص 149) قال هو من شعراء لاهیجان و أورد مطلعا له.</w:t>
      </w:r>
    </w:p>
    <w:p>
      <w:pPr>
        <w:pStyle w:val="Heading3"/>
      </w:pPr>
      <w:bookmarkStart w:id="4396" w:name="_Toc3092"/>
      <w:r>
        <w:t>2400- دیوان الزینی النجفی‏</w:t>
      </w:r>
      <w:bookmarkEnd w:id="4396"/>
    </w:p>
    <w:p>
      <w:pPr>
        <w:pStyle w:val="BookText"/>
      </w:pPr>
      <w:r>
        <w:rPr>
          <w:rFonts w:ascii="IRNazanin" w:hAnsi="IRNazanin" w:eastAsia="IRNazanin" w:cs="IRNazanin"/>
          <w:lang w:bidi="fa-IR"/>
          <w:color w:val="111111"/>
          <w:sz w:val="28"/>
          <w:szCs w:val="28"/>
          <w:rtl/>
        </w:rPr>
        <w:t xml:space="preserve">السید محمد بن أحمد بن زین الدین الحسنی الحسینی‏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408" w:name="pg11704_121888"/>
    <w:bookmarkEnd w:id="408"/>
    <w:p>
      <w:pPr>
        <w:pStyle w:val="BookText"/>
      </w:pPr>
      <w:r>
        <w:rPr>
          <w:rFonts w:ascii="IRNazanin" w:hAnsi="IRNazanin" w:eastAsia="IRNazanin" w:cs="IRNazanin"/>
          <w:lang w:bidi="fa-IR"/>
          <w:color w:val="111111"/>
          <w:sz w:val="28"/>
          <w:szCs w:val="28"/>
          <w:rtl/>
        </w:rPr>
        <w:t xml:space="preserve">البغدادی النجفی المتوفی (1216) قال السید محمد صادق آل بحر العلوم إنه رآه و هو مجلد کبیر.</w:t>
      </w:r>
    </w:p>
    <w:p>
      <w:pPr>
        <w:pStyle w:val="Heading3"/>
      </w:pPr>
      <w:bookmarkStart w:id="4397" w:name="_Toc3093"/>
      <w:r>
        <w:t>2401- دیوان زینی مشهدی‏</w:t>
      </w:r>
      <w:bookmarkEnd w:id="4397"/>
    </w:p>
    <w:p>
      <w:pPr>
        <w:pStyle w:val="BookText"/>
      </w:pPr>
      <w:r>
        <w:rPr>
          <w:rFonts w:ascii="IRNazanin" w:hAnsi="IRNazanin" w:eastAsia="IRNazanin" w:cs="IRNazanin"/>
          <w:lang w:bidi="fa-IR"/>
          <w:color w:val="111111"/>
          <w:sz w:val="28"/>
          <w:szCs w:val="28"/>
          <w:rtl/>
        </w:rPr>
        <w:t xml:space="preserve">کان والده درویش الدهان، و اشتغل هو فی تحصیل العلم و هاجر إلی العراق و بها توفی. ذکره سام میرزا فی (تس 5- ص 172) و قال له أشعار حسنة و أورد مطلع و أحد من غزلیاته.</w:t>
      </w:r>
    </w:p>
    <w:p>
      <w:pPr>
        <w:pStyle w:val="Heading3"/>
      </w:pPr>
      <w:bookmarkStart w:id="4398" w:name="_Toc3094"/>
      <w:r>
        <w:t>2402- دیوان زیور یزدی أو شعره‏</w:t>
      </w:r>
      <w:bookmarkEnd w:id="4398"/>
    </w:p>
    <w:p>
      <w:pPr>
        <w:pStyle w:val="BookText"/>
      </w:pPr>
      <w:r>
        <w:rPr>
          <w:rFonts w:ascii="IRNazanin" w:hAnsi="IRNazanin" w:eastAsia="IRNazanin" w:cs="IRNazanin"/>
          <w:lang w:bidi="fa-IR"/>
          <w:color w:val="111111"/>
          <w:sz w:val="28"/>
          <w:szCs w:val="28"/>
          <w:rtl/>
        </w:rPr>
        <w:t xml:space="preserve">و اسمه محمد تقی علاقه‏بند. ولد فی یزد (1250) کما ذکره و أورد شعره فی (تش یز- ص 294).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409" w:name="pg11704_121889"/>
    <w:bookmarkEnd w:id="409"/>
    <w:p>
      <w:pPr>
        <w:pStyle w:val="Heading3"/>
      </w:pPr>
      <w:bookmarkStart w:id="4399" w:name="_Toc3095"/>
      <w:r>
        <w:t>ژ</w:t>
      </w:r>
      <w:bookmarkEnd w:id="4399"/>
    </w:p>
    <w:p>
      <w:pPr>
        <w:pStyle w:val="Heading3"/>
      </w:pPr>
      <w:bookmarkStart w:id="4400" w:name="_Toc3096"/>
      <w:r>
        <w:t>2403- دیوان ژاله سلطانی‏</w:t>
      </w:r>
      <w:bookmarkEnd w:id="4400"/>
    </w:p>
    <w:p>
      <w:pPr>
        <w:pStyle w:val="BookText"/>
      </w:pPr>
      <w:r>
        <w:rPr>
          <w:rFonts w:ascii="IRNazanin" w:hAnsi="IRNazanin" w:eastAsia="IRNazanin" w:cs="IRNazanin"/>
          <w:lang w:bidi="fa-IR"/>
          <w:color w:val="111111"/>
          <w:sz w:val="28"/>
          <w:szCs w:val="28"/>
          <w:rtl/>
        </w:rPr>
        <w:t xml:space="preserve">الأصفهانیة الأصل ولدت بطهران فی (1300 ش).</w:t>
      </w:r>
    </w:p>
    <w:p>
      <w:pPr>
        <w:pStyle w:val="BookText"/>
      </w:pPr>
      <w:r>
        <w:rPr>
          <w:rFonts w:ascii="IRNazanin" w:hAnsi="IRNazanin" w:eastAsia="IRNazanin" w:cs="IRNazanin"/>
          <w:lang w:bidi="fa-IR"/>
          <w:color w:val="111111"/>
          <w:sz w:val="28"/>
          <w:szCs w:val="28"/>
          <w:rtl/>
        </w:rPr>
        <w:t xml:space="preserve">طبع لها منظومة گلهای خود رو فی (1323 ش). ترجمها و أورد شعرها فی کنگره نویسندگان- ص 188 و سخنوران نامی معاصر- ص 146 و شعراء أصفهان (ص 229).</w:t>
      </w:r>
    </w:p>
    <w:p>
      <w:pPr>
        <w:pStyle w:val="Heading3"/>
      </w:pPr>
      <w:bookmarkStart w:id="4401" w:name="_Toc3097"/>
      <w:r>
        <w:t>دیوان ژنده پیل‏</w:t>
      </w:r>
      <w:bookmarkEnd w:id="4401"/>
    </w:p>
    <w:p>
      <w:pPr>
        <w:pStyle w:val="BookText"/>
      </w:pPr>
      <w:r>
        <w:rPr>
          <w:rFonts w:ascii="IRNazanin" w:hAnsi="IRNazanin" w:eastAsia="IRNazanin" w:cs="IRNazanin"/>
          <w:lang w:bidi="fa-IR"/>
          <w:color w:val="111111"/>
          <w:sz w:val="28"/>
          <w:szCs w:val="28"/>
          <w:rtl/>
        </w:rPr>
        <w:t xml:space="preserve">مر بعنوان أحمد جامی فی (ص 188). و له رباعیات دخلت بعضها فی مجموعة رباعیات أبی سعید أبی الخیر کما ذکر فی مقدمته (ص 59).</w:t>
      </w:r>
    </w:p>
    <w:p>
      <w:pPr>
        <w:pStyle w:val="Heading3"/>
      </w:pPr>
      <w:bookmarkStart w:id="4402" w:name="_Toc3098"/>
      <w:r>
        <w:t>2404- دیوان ژولیده شیرازی‏</w:t>
      </w:r>
      <w:bookmarkEnd w:id="4402"/>
    </w:p>
    <w:p>
      <w:pPr>
        <w:pStyle w:val="BookText"/>
      </w:pPr>
      <w:r>
        <w:rPr>
          <w:rFonts w:ascii="IRNazanin" w:hAnsi="IRNazanin" w:eastAsia="IRNazanin" w:cs="IRNazanin"/>
          <w:lang w:bidi="fa-IR"/>
          <w:color w:val="111111"/>
          <w:sz w:val="28"/>
          <w:szCs w:val="28"/>
          <w:rtl/>
        </w:rPr>
        <w:t xml:space="preserve">و اسمه عبد الله، توجد نسخه منه کتبها محمد إبراهیم الشیرازی لأخیه کربلائی‏باشی القناد، فی القرن الثالث عشر) فی (254 ورقة) تحتوی علی حدود (2500 بیت) عند (الملک) برقم (5459) و قد یعبر عنه بهدایت الفقراء و یذکر فی بعض أشعاره اسم السید المیر فتح علی، و لعله کان مرشده، و قال فی قصیدة أخری:</w:t>
      </w:r>
    </w:p>
    <w:p>
      <w:pPr>
        <w:pStyle w:val="BookText"/>
      </w:pPr>
      <w:r>
        <w:rPr>
          <w:rFonts w:ascii="IRNazanin" w:hAnsi="IRNazanin" w:eastAsia="IRNazanin" w:cs="IRNazanin"/>
          <w:lang w:bidi="fa-IR"/>
          <w:color w:val="111111"/>
          <w:sz w:val="28"/>
          <w:szCs w:val="28"/>
          <w:rtl/>
        </w:rPr>
        <w:t xml:space="preserve">گه باشی و إبراهیم، گه مونس ژولیده‏</w:t>
      </w:r>
    </w:p>
    <w:p>
      <w:pPr>
        <w:pStyle w:val="BookText"/>
      </w:pPr>
      <w:r>
        <w:rPr>
          <w:rFonts w:ascii="IRNazanin" w:hAnsi="IRNazanin" w:eastAsia="IRNazanin" w:cs="IRNazanin"/>
          <w:lang w:bidi="fa-IR"/>
          <w:color w:val="111111"/>
          <w:sz w:val="28"/>
          <w:szCs w:val="28"/>
          <w:rtl/>
        </w:rPr>
        <w:t xml:space="preserve">گه همدم و گه دوریم، یلی یللی یلا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410" w:name="pg11704_121890"/>
    <w:bookmarkEnd w:id="410"/>
    <w:p>
      <w:pPr>
        <w:pStyle w:val="Heading3"/>
      </w:pPr>
      <w:bookmarkStart w:id="4403" w:name="_Toc3099"/>
      <w:r>
        <w:t>س‏</w:t>
      </w:r>
      <w:bookmarkEnd w:id="4403"/>
    </w:p>
    <w:p>
      <w:pPr>
        <w:pStyle w:val="Heading3"/>
      </w:pPr>
      <w:bookmarkStart w:id="4404" w:name="_Toc3100"/>
      <w:r>
        <w:t>دیوان سائر</w:t>
      </w:r>
      <w:bookmarkEnd w:id="4404"/>
    </w:p>
    <w:p>
      <w:pPr>
        <w:pStyle w:val="BookText"/>
      </w:pPr>
      <w:r>
        <w:rPr>
          <w:rFonts w:ascii="IRNazanin" w:hAnsi="IRNazanin" w:eastAsia="IRNazanin" w:cs="IRNazanin"/>
          <w:lang w:bidi="fa-IR"/>
          <w:color w:val="111111"/>
          <w:sz w:val="28"/>
          <w:szCs w:val="28"/>
          <w:rtl/>
        </w:rPr>
        <w:t xml:space="preserve">یأتی بعنوان دیوان سایر ...</w:t>
      </w:r>
    </w:p>
    <w:p>
      <w:pPr>
        <w:pStyle w:val="Heading3"/>
      </w:pPr>
      <w:bookmarkStart w:id="4405" w:name="_Toc3101"/>
      <w:r>
        <w:t>دیوان سائل‏</w:t>
      </w:r>
      <w:bookmarkEnd w:id="4405"/>
    </w:p>
    <w:p>
      <w:pPr>
        <w:pStyle w:val="BookText"/>
      </w:pPr>
      <w:r>
        <w:rPr>
          <w:rFonts w:ascii="IRNazanin" w:hAnsi="IRNazanin" w:eastAsia="IRNazanin" w:cs="IRNazanin"/>
          <w:lang w:bidi="fa-IR"/>
          <w:color w:val="111111"/>
          <w:sz w:val="28"/>
          <w:szCs w:val="28"/>
          <w:rtl/>
        </w:rPr>
        <w:t xml:space="preserve">یأتی بعنوان دیوان سائل ...</w:t>
      </w:r>
    </w:p>
    <w:p>
      <w:pPr>
        <w:pStyle w:val="Heading3"/>
      </w:pPr>
      <w:bookmarkStart w:id="4406" w:name="_Toc3102"/>
      <w:r>
        <w:t>2405- دیوان سابق ترک‏</w:t>
      </w:r>
      <w:bookmarkEnd w:id="4406"/>
    </w:p>
    <w:p>
      <w:pPr>
        <w:pStyle w:val="BookText"/>
      </w:pPr>
      <w:r>
        <w:rPr>
          <w:rFonts w:ascii="IRNazanin" w:hAnsi="IRNazanin" w:eastAsia="IRNazanin" w:cs="IRNazanin"/>
          <w:lang w:bidi="fa-IR"/>
          <w:color w:val="111111"/>
          <w:sz w:val="28"/>
          <w:szCs w:val="28"/>
          <w:rtl/>
        </w:rPr>
        <w:t xml:space="preserve">و اسمه الحاج فریدون. ترجمه فی (نر 9- ص 345) و قال لیس له عدیل فی الشعر و إنه ملک فی لباس البشر، و إنه حج سنة تألیف النصرآبادی لتذکرته فی (1083) أقول و توجد دیوانه فی بنگاله و أورد شعره فی گلستان مسرت ص 151 و غیرها مکررا. و ذکره فی (تغ- ص 62) و (روشن- ص 277).</w:t>
      </w:r>
    </w:p>
    <w:p>
      <w:pPr>
        <w:pStyle w:val="Heading3"/>
      </w:pPr>
      <w:bookmarkStart w:id="4407" w:name="_Toc3103"/>
      <w:r>
        <w:t>2406- دیوان سابق مازندرانی أو شعره‏</w:t>
      </w:r>
      <w:bookmarkEnd w:id="4407"/>
    </w:p>
    <w:p>
      <w:pPr>
        <w:pStyle w:val="BookText"/>
      </w:pPr>
      <w:r>
        <w:rPr>
          <w:rFonts w:ascii="IRNazanin" w:hAnsi="IRNazanin" w:eastAsia="IRNazanin" w:cs="IRNazanin"/>
          <w:lang w:bidi="fa-IR"/>
          <w:color w:val="111111"/>
          <w:sz w:val="28"/>
          <w:szCs w:val="28"/>
          <w:rtl/>
        </w:rPr>
        <w:t xml:space="preserve">و هو المولی علی نقی بن محمد صالح المازندرانی سبط محمد تقی المجلسی، و قد ذهب إلی الهند و مدح اورنگ زیب عالمگیر و توفی هناک سنة تألیف النصرآبادی لتذکرته حدود (1083) فذکره فی (نر 6- ص 182) و (گلشن ص 192) و مر أخوه أشرف فی (ص 78).</w:t>
      </w:r>
    </w:p>
    <w:p>
      <w:pPr>
        <w:pStyle w:val="Heading3"/>
      </w:pPr>
      <w:bookmarkStart w:id="4408" w:name="_Toc3104"/>
      <w:r>
        <w:t>2407- دیوان ساحری ترک أو شعره‏</w:t>
      </w:r>
      <w:bookmarkEnd w:id="4408"/>
    </w:p>
    <w:p>
      <w:pPr>
        <w:pStyle w:val="BookText"/>
      </w:pPr>
      <w:r>
        <w:rPr>
          <w:rFonts w:ascii="IRNazanin" w:hAnsi="IRNazanin" w:eastAsia="IRNazanin" w:cs="IRNazanin"/>
          <w:lang w:bidi="fa-IR"/>
          <w:color w:val="111111"/>
          <w:sz w:val="28"/>
          <w:szCs w:val="28"/>
          <w:rtl/>
        </w:rPr>
        <w:t xml:space="preserve">کان سیاحا أورد شعره فی (تش- ص 14) فی الشعراء الأمراء، و فی (روشن- ص 279) و (پژمان- ص 164).</w:t>
      </w:r>
    </w:p>
    <w:p>
      <w:pPr>
        <w:pStyle w:val="Heading3"/>
      </w:pPr>
      <w:bookmarkStart w:id="4409" w:name="_Toc3105"/>
      <w:r>
        <w:t>2408- دیوان ساحری تونی أو شعره‏</w:t>
      </w:r>
      <w:bookmarkEnd w:id="4409"/>
    </w:p>
    <w:p>
      <w:pPr>
        <w:pStyle w:val="BookText"/>
      </w:pPr>
      <w:r>
        <w:rPr>
          <w:rFonts w:ascii="IRNazanin" w:hAnsi="IRNazanin" w:eastAsia="IRNazanin" w:cs="IRNazanin"/>
          <w:lang w:bidi="fa-IR"/>
          <w:color w:val="111111"/>
          <w:sz w:val="28"/>
          <w:szCs w:val="28"/>
          <w:rtl/>
        </w:rPr>
        <w:t xml:space="preserve">أورد شعره فی (روشن- ص 279) عن التقی الأوحدی، و فی (پژمان- ص 830) بعنوان ساحری گنابادی.</w:t>
      </w:r>
    </w:p>
    <w:p>
      <w:pPr>
        <w:pStyle w:val="Heading3"/>
      </w:pPr>
      <w:bookmarkStart w:id="4410" w:name="_Toc3106"/>
      <w:r>
        <w:t>دیوان سادات حسینی غوری‏</w:t>
      </w:r>
      <w:bookmarkEnd w:id="4410"/>
    </w:p>
    <w:p>
      <w:pPr>
        <w:pStyle w:val="BookText"/>
      </w:pPr>
      <w:r>
        <w:rPr>
          <w:rFonts w:ascii="IRNazanin" w:hAnsi="IRNazanin" w:eastAsia="IRNazanin" w:cs="IRNazanin"/>
          <w:lang w:bidi="fa-IR"/>
          <w:color w:val="111111"/>
          <w:sz w:val="28"/>
          <w:szCs w:val="28"/>
          <w:rtl/>
        </w:rPr>
        <w:t xml:space="preserve">قال فی (تش- ص 116) إن محمود شبستری نظم گلشن راز فی جواب مسائل سادات هذا. و قد مر ذکره فی (ص 100) بعنوان دیوان حسینی غوری. و أورد شعره فی گلستان مسرت- ص 517 و غیره.</w:t>
      </w:r>
    </w:p>
    <w:p>
      <w:pPr>
        <w:pStyle w:val="Heading3"/>
      </w:pPr>
      <w:bookmarkStart w:id="4411" w:name="_Toc3107"/>
      <w:r>
        <w:t>2409- دیوان سادات سمرقندی أو شعره‏</w:t>
      </w:r>
      <w:bookmarkEnd w:id="4411"/>
    </w:p>
    <w:p>
      <w:pPr>
        <w:pStyle w:val="BookText"/>
      </w:pPr>
      <w:r>
        <w:rPr>
          <w:rFonts w:ascii="IRNazanin" w:hAnsi="IRNazanin" w:eastAsia="IRNazanin" w:cs="IRNazanin"/>
          <w:lang w:bidi="fa-IR"/>
          <w:color w:val="111111"/>
          <w:sz w:val="28"/>
          <w:szCs w:val="28"/>
          <w:rtl/>
        </w:rPr>
        <w:t xml:space="preserve">و هو الخواجة سمیع. ترجمه فی (نر 10- ص 440) و أورد شعره، و قال کان یتخلص شاداب فلما رأی غیره قد تخلص به، غیره‏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411" w:name="pg11704_121891"/>
    <w:bookmarkEnd w:id="411"/>
    <w:p>
      <w:pPr>
        <w:pStyle w:val="BookText"/>
      </w:pPr>
      <w:r>
        <w:rPr>
          <w:rFonts w:ascii="IRNazanin" w:hAnsi="IRNazanin" w:eastAsia="IRNazanin" w:cs="IRNazanin"/>
          <w:lang w:bidi="fa-IR"/>
          <w:color w:val="111111"/>
          <w:sz w:val="28"/>
          <w:szCs w:val="28"/>
          <w:rtl/>
        </w:rPr>
        <w:t xml:space="preserve">إلی سادات.</w:t>
      </w:r>
    </w:p>
    <w:p>
      <w:pPr>
        <w:pStyle w:val="Heading3"/>
      </w:pPr>
      <w:bookmarkStart w:id="4412" w:name="_Toc3108"/>
      <w:r>
        <w:t>دیوان سارو خواجه‏</w:t>
      </w:r>
      <w:bookmarkEnd w:id="4412"/>
    </w:p>
    <w:p>
      <w:pPr>
        <w:pStyle w:val="BookText"/>
      </w:pPr>
      <w:r>
        <w:rPr>
          <w:rFonts w:ascii="IRNazanin" w:hAnsi="IRNazanin" w:eastAsia="IRNazanin" w:cs="IRNazanin"/>
          <w:lang w:bidi="fa-IR"/>
          <w:color w:val="111111"/>
          <w:sz w:val="28"/>
          <w:szCs w:val="28"/>
          <w:rtl/>
        </w:rPr>
        <w:t xml:space="preserve">مر بعنوان رضا جوینی.</w:t>
      </w:r>
    </w:p>
    <w:p>
      <w:pPr>
        <w:pStyle w:val="Heading3"/>
      </w:pPr>
      <w:bookmarkStart w:id="4413" w:name="_Toc3109"/>
      <w:r>
        <w:t>2410- دیوان ساری‏</w:t>
      </w:r>
      <w:bookmarkEnd w:id="4413"/>
    </w:p>
    <w:p>
      <w:pPr>
        <w:pStyle w:val="BookText"/>
      </w:pPr>
      <w:r>
        <w:rPr>
          <w:rFonts w:ascii="IRNazanin" w:hAnsi="IRNazanin" w:eastAsia="IRNazanin" w:cs="IRNazanin"/>
          <w:lang w:bidi="fa-IR"/>
          <w:color w:val="111111"/>
          <w:sz w:val="28"/>
          <w:szCs w:val="28"/>
          <w:rtl/>
        </w:rPr>
        <w:t xml:space="preserve">کلها غزلیات، توجد نسخته عند (محمد النخجوانی) کما کتبه إلینا، و تاریخ کتابة النسخة (1251).</w:t>
      </w:r>
    </w:p>
    <w:p>
      <w:pPr>
        <w:pStyle w:val="Heading3"/>
      </w:pPr>
      <w:bookmarkStart w:id="4414" w:name="_Toc3110"/>
      <w:r>
        <w:t>2411- دیوان ساطع‏</w:t>
      </w:r>
      <w:bookmarkEnd w:id="4414"/>
    </w:p>
    <w:p>
      <w:pPr>
        <w:pStyle w:val="BookText"/>
      </w:pPr>
      <w:r>
        <w:rPr>
          <w:rFonts w:ascii="IRNazanin" w:hAnsi="IRNazanin" w:eastAsia="IRNazanin" w:cs="IRNazanin"/>
          <w:lang w:bidi="fa-IR"/>
          <w:color w:val="111111"/>
          <w:sz w:val="28"/>
          <w:szCs w:val="28"/>
          <w:rtl/>
        </w:rPr>
        <w:t xml:space="preserve">و اسمه الملا أبو الحسن بن ملا علی الکشمیری، تلمیذ داراب بیک جویا من شعراء الهند بالفارسیة. أورد شعره فی گلستان مسرت مکررا و قال فی (روشن- ص 279) إنه ألف گلشن إسلام و نظم مثنوی جنگ فیلان لمحمد شاه و انتخب برهان قاطع و سماه حجت ساطع و مات (1156).</w:t>
      </w:r>
    </w:p>
    <w:p>
      <w:pPr>
        <w:pStyle w:val="Heading3"/>
      </w:pPr>
      <w:bookmarkStart w:id="4415" w:name="_Toc3111"/>
      <w:r>
        <w:t>2412- دیوان ساعی‏</w:t>
      </w:r>
      <w:bookmarkEnd w:id="4415"/>
    </w:p>
    <w:p>
      <w:pPr>
        <w:pStyle w:val="BookText"/>
      </w:pPr>
      <w:r>
        <w:rPr>
          <w:rFonts w:ascii="IRNazanin" w:hAnsi="IRNazanin" w:eastAsia="IRNazanin" w:cs="IRNazanin"/>
          <w:lang w:bidi="fa-IR"/>
          <w:color w:val="111111"/>
          <w:sz w:val="28"/>
          <w:szCs w:val="28"/>
          <w:rtl/>
        </w:rPr>
        <w:t xml:space="preserve">فارسی. نسخه منه مخرومة فی (بنگاله).</w:t>
      </w:r>
    </w:p>
    <w:p>
      <w:pPr>
        <w:pStyle w:val="Heading3"/>
      </w:pPr>
      <w:bookmarkStart w:id="4416" w:name="_Toc3112"/>
      <w:r>
        <w:t>2413- دیوان ساغر</w:t>
      </w:r>
      <w:bookmarkEnd w:id="4416"/>
    </w:p>
    <w:p>
      <w:pPr>
        <w:pStyle w:val="BookText"/>
      </w:pPr>
      <w:r>
        <w:rPr>
          <w:rFonts w:ascii="IRNazanin" w:hAnsi="IRNazanin" w:eastAsia="IRNazanin" w:cs="IRNazanin"/>
          <w:lang w:bidi="fa-IR"/>
          <w:color w:val="111111"/>
          <w:sz w:val="28"/>
          <w:szCs w:val="28"/>
          <w:rtl/>
        </w:rPr>
        <w:t xml:space="preserve">الموجود نسخه منه فی مکتبة آقا جعفر بن أبی القاسم (سلطان القرائی) التبریزی بخط الشکستة فی (140 ص) للناظم نفسه، عدد أبیاته (7194) بیتا أوله:</w:t>
      </w:r>
    </w:p>
    <w:p>
      <w:pPr>
        <w:pStyle w:val="BookText"/>
      </w:pPr>
      <w:r>
        <w:rPr>
          <w:rFonts w:ascii="IRNazanin" w:hAnsi="IRNazanin" w:eastAsia="IRNazanin" w:cs="IRNazanin"/>
          <w:lang w:bidi="fa-IR"/>
          <w:color w:val="111111"/>
          <w:sz w:val="28"/>
          <w:szCs w:val="28"/>
          <w:rtl/>
        </w:rPr>
        <w:t xml:space="preserve">به نام آنکه نام أو بود سردفتر دلها</w:t>
      </w:r>
    </w:p>
    <w:p>
      <w:pPr>
        <w:pStyle w:val="BookText"/>
      </w:pPr>
      <w:r>
        <w:rPr>
          <w:rFonts w:ascii="IRNazanin" w:hAnsi="IRNazanin" w:eastAsia="IRNazanin" w:cs="IRNazanin"/>
          <w:lang w:bidi="fa-IR"/>
          <w:color w:val="111111"/>
          <w:sz w:val="28"/>
          <w:szCs w:val="28"/>
          <w:rtl/>
        </w:rPr>
        <w:t xml:space="preserve">ز نام نامیش گردیده آسان جملة مشکلها</w:t>
      </w:r>
    </w:p>
    <w:p>
      <w:pPr>
        <w:pStyle w:val="BookText"/>
      </w:pPr>
      <w:r>
        <w:rPr>
          <w:rFonts w:ascii="IRNazanin" w:hAnsi="IRNazanin" w:eastAsia="IRNazanin" w:cs="IRNazanin"/>
          <w:lang w:bidi="fa-IR"/>
          <w:color w:val="111111"/>
          <w:sz w:val="28"/>
          <w:szCs w:val="28"/>
          <w:rtl/>
        </w:rPr>
        <w:t xml:space="preserve">نگردد راهبر گر خضر فیض لطف أو ما را</w:t>
      </w:r>
    </w:p>
    <w:p>
      <w:pPr>
        <w:pStyle w:val="BookText"/>
      </w:pPr>
      <w:r>
        <w:rPr>
          <w:rFonts w:ascii="IRNazanin" w:hAnsi="IRNazanin" w:eastAsia="IRNazanin" w:cs="IRNazanin"/>
          <w:lang w:bidi="fa-IR"/>
          <w:color w:val="111111"/>
          <w:sz w:val="28"/>
          <w:szCs w:val="28"/>
          <w:rtl/>
        </w:rPr>
        <w:t xml:space="preserve">براه عشق نتوانیم کردن طی منزلها</w:t>
      </w:r>
    </w:p>
    <w:p>
      <w:pPr>
        <w:pStyle w:val="BookText"/>
      </w:pPr>
      <w:r>
        <w:rPr>
          <w:rFonts w:ascii="IRNazanin" w:hAnsi="IRNazanin" w:eastAsia="IRNazanin" w:cs="IRNazanin"/>
          <w:lang w:bidi="fa-IR"/>
          <w:color w:val="111111"/>
          <w:sz w:val="28"/>
          <w:szCs w:val="28"/>
          <w:rtl/>
        </w:rPr>
        <w:t xml:space="preserve">غزلیاته مرتبة علی الحروف و بعدها الرباعیات، و من حرف المیم ناقص قلیلا، لکن لیس فی هذا النسخة شی‏ء مما نقل عن ساغر السرابی و الشیرازی فی الکتب، فالظاهر أن ساغر هذا غیر السرابی و الشیرازی الآتیین کما کتبه إلینا.</w:t>
      </w:r>
    </w:p>
    <w:p>
      <w:pPr>
        <w:pStyle w:val="Heading3"/>
      </w:pPr>
      <w:bookmarkStart w:id="4417" w:name="_Toc3113"/>
      <w:r>
        <w:t>2414- دیوان ساغر الأصفهانی أو شعره‏</w:t>
      </w:r>
      <w:bookmarkEnd w:id="4417"/>
    </w:p>
    <w:p>
      <w:pPr>
        <w:pStyle w:val="BookText"/>
      </w:pPr>
      <w:r>
        <w:rPr>
          <w:rFonts w:ascii="IRNazanin" w:hAnsi="IRNazanin" w:eastAsia="IRNazanin" w:cs="IRNazanin"/>
          <w:lang w:bidi="fa-IR"/>
          <w:color w:val="111111"/>
          <w:sz w:val="28"/>
          <w:szCs w:val="28"/>
          <w:rtl/>
        </w:rPr>
        <w:t xml:space="preserve">اسمه المیرزا محمد إبراهیم رأیت فی بعض المجامیع شعره فی استنهاض الحجة علیه السلام  و ترجمه فی (المآثر- ص 216) و قال کان أستاذا فی الخط النسخ و مات (1302) و أخرج مانی الأصفهانی تاریخه [یک ساغر بده‏] و قد مدح معتمد الدولة فترجم فی المدائح المعتمدیة لبهار الأصفهانی.</w:t>
      </w:r>
    </w:p>
    <w:p>
      <w:pPr>
        <w:pStyle w:val="Heading3"/>
      </w:pPr>
      <w:bookmarkStart w:id="4418" w:name="_Toc3114"/>
      <w:r>
        <w:t>2415- دیوان ساغر سرابی أو شعره‏</w:t>
      </w:r>
      <w:bookmarkEnd w:id="4418"/>
    </w:p>
    <w:p>
      <w:pPr>
        <w:pStyle w:val="BookText"/>
      </w:pPr>
      <w:r>
        <w:rPr>
          <w:rFonts w:ascii="IRNazanin" w:hAnsi="IRNazanin" w:eastAsia="IRNazanin" w:cs="IRNazanin"/>
          <w:lang w:bidi="fa-IR"/>
          <w:color w:val="111111"/>
          <w:sz w:val="28"/>
          <w:szCs w:val="28"/>
          <w:rtl/>
        </w:rPr>
        <w:t xml:space="preserve">المیرزا عبد الرحیم بن المیرزا سعید کلانتر فی سراب. ترجمه فی (دجا- ص 171) نقلا عن نگارستان دارا و أطری فضله و کماله و خطه و أورد شعره.</w:t>
      </w:r>
    </w:p>
    <w:p>
      <w:pPr>
        <w:pStyle w:val="Heading3"/>
      </w:pPr>
      <w:bookmarkStart w:id="4419" w:name="_Toc3115"/>
      <w:r>
        <w:t>2416- دیوان ساغر شیرازی‏</w:t>
      </w:r>
      <w:bookmarkEnd w:id="4419"/>
    </w:p>
    <w:p>
      <w:pPr>
        <w:pStyle w:val="BookText"/>
      </w:pPr>
      <w:r>
        <w:rPr>
          <w:rFonts w:ascii="IRNazanin" w:hAnsi="IRNazanin" w:eastAsia="IRNazanin" w:cs="IRNazanin"/>
          <w:lang w:bidi="fa-IR"/>
          <w:color w:val="111111"/>
          <w:sz w:val="28"/>
          <w:szCs w:val="28"/>
          <w:rtl/>
        </w:rPr>
        <w:t xml:space="preserve">هو الشیخ محمد بن الشیخ مؤمن نزیل شیراز و کان یدعی أن أصله من العرب من بنی خزاعة. ترجمه معاصره فی (مع- ج 2- ص 181) و فی‏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412" w:name="pg11704_121892"/>
    <w:bookmarkEnd w:id="412"/>
    <w:p>
      <w:pPr>
        <w:pStyle w:val="BookText"/>
      </w:pPr>
      <w:r>
        <w:rPr>
          <w:rFonts w:ascii="IRNazanin" w:hAnsi="IRNazanin" w:eastAsia="IRNazanin" w:cs="IRNazanin"/>
          <w:lang w:bidi="fa-IR"/>
          <w:color w:val="111111"/>
          <w:sz w:val="28"/>
          <w:szCs w:val="28"/>
          <w:rtl/>
        </w:rPr>
        <w:t xml:space="preserve">(ض- ص 453) و أطری علمه و زهده و ورعه و أخلاقه و إمامته فی المسجد الجامع بشیراز و أورد فی کل منهما عدة أبیات من غزلیاته و شعره. و ترجمه فی انجمن خاقان و فی طرائق الحقائق أیضا و أوردا أیضا شعره. و توجد نسخه من دیوانه فی (700 بیت) عند (الملک) برقم (5408).</w:t>
      </w:r>
    </w:p>
    <w:p>
      <w:pPr>
        <w:pStyle w:val="Heading3"/>
      </w:pPr>
      <w:bookmarkStart w:id="4420" w:name="_Toc3116"/>
      <w:r>
        <w:t>2417- دیوان ساغری أو شعره‏</w:t>
      </w:r>
      <w:bookmarkEnd w:id="4420"/>
    </w:p>
    <w:p>
      <w:pPr>
        <w:pStyle w:val="BookText"/>
      </w:pPr>
      <w:r>
        <w:rPr>
          <w:rFonts w:ascii="IRNazanin" w:hAnsi="IRNazanin" w:eastAsia="IRNazanin" w:cs="IRNazanin"/>
          <w:lang w:bidi="fa-IR"/>
          <w:color w:val="111111"/>
          <w:sz w:val="28"/>
          <w:szCs w:val="28"/>
          <w:rtl/>
        </w:rPr>
        <w:t xml:space="preserve">منسوبا إلی بلدة ساغر کما فی (مجن 2 ص 32 و ص 205) و ذکر أنه من شعراء هراة معاصر للمولی جامی و ویسی و أورد شعره و قصة عدم مسافرته إلی الحج مع جامی. و عنه أخذ ظاهرا فی سفینة الشعراء و زاد علیه، ثم عنه أخذ فی (گلشن- ص 192) و القاموس الترکی ثم الریحانة. و کذا براون (ج 3- ص 571).</w:t>
      </w:r>
    </w:p>
    <w:p>
      <w:pPr>
        <w:pStyle w:val="Heading3"/>
      </w:pPr>
      <w:bookmarkStart w:id="4421" w:name="_Toc3117"/>
      <w:r>
        <w:t>2418- دیوان ساغری کاشانی أو شعره‏</w:t>
      </w:r>
      <w:bookmarkEnd w:id="4421"/>
    </w:p>
    <w:p>
      <w:pPr>
        <w:pStyle w:val="BookText"/>
      </w:pPr>
      <w:r>
        <w:rPr>
          <w:rFonts w:ascii="IRNazanin" w:hAnsi="IRNazanin" w:eastAsia="IRNazanin" w:cs="IRNazanin"/>
          <w:lang w:bidi="fa-IR"/>
          <w:color w:val="111111"/>
          <w:sz w:val="28"/>
          <w:szCs w:val="28"/>
          <w:rtl/>
        </w:rPr>
        <w:t xml:space="preserve">ترجمه فی (تس 5- ص 151) و أورد شعره‏</w:t>
      </w:r>
    </w:p>
    <w:p>
      <w:pPr>
        <w:pStyle w:val="Heading3"/>
      </w:pPr>
      <w:bookmarkStart w:id="4422" w:name="_Toc3118"/>
      <w:r>
        <w:t>2419- ساقی أصفهانی أو شعره‏</w:t>
      </w:r>
      <w:bookmarkEnd w:id="4422"/>
    </w:p>
    <w:p>
      <w:pPr>
        <w:pStyle w:val="BookText"/>
      </w:pPr>
      <w:r>
        <w:rPr>
          <w:rFonts w:ascii="IRNazanin" w:hAnsi="IRNazanin" w:eastAsia="IRNazanin" w:cs="IRNazanin"/>
          <w:lang w:bidi="fa-IR"/>
          <w:color w:val="111111"/>
          <w:sz w:val="28"/>
          <w:szCs w:val="28"/>
          <w:rtl/>
        </w:rPr>
        <w:t xml:space="preserve">و اسمه المیرزا شاه حسین. کان بناء فترقی إلی منصب الداروغة فی أصفهان ثم نصبه الشاه إسماعیل الصفوی وزیرا و کان مؤذیا فقتله مهتر شاه قلی. کذا ترجمه و أورد شعره فی (تش- ص 177) مع أغلاط فیه، و أورد شعره فی (روشن- ص 281) و (پژمان- ص 164).</w:t>
      </w:r>
    </w:p>
    <w:p>
      <w:pPr>
        <w:pStyle w:val="Heading3"/>
      </w:pPr>
      <w:bookmarkStart w:id="4423" w:name="_Toc3119"/>
      <w:r>
        <w:t>2420- دیوان ساقی بخشی أو شعره‏</w:t>
      </w:r>
      <w:bookmarkEnd w:id="4423"/>
    </w:p>
    <w:p>
      <w:pPr>
        <w:pStyle w:val="BookText"/>
      </w:pPr>
      <w:r>
        <w:rPr>
          <w:rFonts w:ascii="IRNazanin" w:hAnsi="IRNazanin" w:eastAsia="IRNazanin" w:cs="IRNazanin"/>
          <w:lang w:bidi="fa-IR"/>
          <w:color w:val="111111"/>
          <w:sz w:val="28"/>
          <w:szCs w:val="28"/>
          <w:rtl/>
        </w:rPr>
        <w:t xml:space="preserve">و هو ابن جعفر، و کان شاعرا بالفارسیة و الترکیة ترجمه فی (مجن 5- ص 113 و 285) و أورد مطلعا لغزله الفارسی.</w:t>
      </w:r>
    </w:p>
    <w:p>
      <w:pPr>
        <w:pStyle w:val="Heading3"/>
      </w:pPr>
      <w:bookmarkStart w:id="4424" w:name="_Toc3120"/>
      <w:r>
        <w:t>2421- دیوان ساقی جزائری أو شعره‏</w:t>
      </w:r>
      <w:bookmarkEnd w:id="4424"/>
    </w:p>
    <w:p>
      <w:pPr>
        <w:pStyle w:val="BookText"/>
      </w:pPr>
      <w:r>
        <w:rPr>
          <w:rFonts w:ascii="IRNazanin" w:hAnsi="IRNazanin" w:eastAsia="IRNazanin" w:cs="IRNazanin"/>
          <w:lang w:bidi="fa-IR"/>
          <w:color w:val="111111"/>
          <w:sz w:val="28"/>
          <w:szCs w:val="28"/>
          <w:rtl/>
        </w:rPr>
        <w:t xml:space="preserve">کان معاصرا لأکبر شاه أورد شعره فی (گلشن- ص 193).</w:t>
      </w:r>
    </w:p>
    <w:p>
      <w:pPr>
        <w:pStyle w:val="Heading3"/>
      </w:pPr>
      <w:bookmarkStart w:id="4425" w:name="_Toc3121"/>
      <w:r>
        <w:t>2422- دیوان ساقی خراسانی‏</w:t>
      </w:r>
      <w:bookmarkEnd w:id="4425"/>
    </w:p>
    <w:p>
      <w:pPr>
        <w:pStyle w:val="BookText"/>
      </w:pPr>
      <w:r>
        <w:rPr>
          <w:rFonts w:ascii="IRNazanin" w:hAnsi="IRNazanin" w:eastAsia="IRNazanin" w:cs="IRNazanin"/>
          <w:lang w:bidi="fa-IR"/>
          <w:color w:val="111111"/>
          <w:sz w:val="28"/>
          <w:szCs w:val="28"/>
          <w:rtl/>
        </w:rPr>
        <w:t xml:space="preserve">للعارف السالک الحاج محمد زمان بن کلب علی خان جلایر الکلائی المتوفی بطهران فی لیلة الاثنین (21 رجب- 1286) و کان من أولاد حکام کلات و تلمذ علی محمد إسماعیل وجدی أزغدی. ترجمه مؤرخا فی (مع- ج 2 ص 195) و فی (المآثر- ص 205) و ذکرا تصانیفه: نفحات غیبیة درج اللآلی و دیوان المناقب هذا و هو المشتمل علی مناقب الأئمة علیه السلام  و الغزلیات و الرباعیات و الترجیعات و ساقی‏نامه و إلهی‏نامه و غیر ذلک مما یوجد فی النسخة الموجودة فی مکتبة (المجلس) کما فی فهرسها (ج 3- ص 295) و له أیضا خلاصة مشارق الأنوار کما مر فی (ج 7 ص 233) و مثنوی سلسلة مشایخ طریقت.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413" w:name="pg11704_121893"/>
    <w:bookmarkEnd w:id="413"/>
    <w:p>
      <w:pPr>
        <w:pStyle w:val="Heading3"/>
      </w:pPr>
      <w:bookmarkStart w:id="4426" w:name="_Toc3122"/>
      <w:r>
        <w:t>دیوان ساقی قزوینی‏</w:t>
      </w:r>
      <w:bookmarkEnd w:id="4426"/>
    </w:p>
    <w:p>
      <w:pPr>
        <w:pStyle w:val="BookText"/>
      </w:pPr>
      <w:r>
        <w:rPr>
          <w:rFonts w:ascii="IRNazanin" w:hAnsi="IRNazanin" w:eastAsia="IRNazanin" w:cs="IRNazanin"/>
          <w:lang w:bidi="fa-IR"/>
          <w:color w:val="111111"/>
          <w:sz w:val="28"/>
          <w:szCs w:val="28"/>
          <w:rtl/>
        </w:rPr>
        <w:t xml:space="preserve">کما فی شمع انجمن راجع دیوان سامی قزوینی.</w:t>
      </w:r>
    </w:p>
    <w:p>
      <w:pPr>
        <w:pStyle w:val="Heading3"/>
      </w:pPr>
      <w:bookmarkStart w:id="4427" w:name="_Toc3123"/>
      <w:r>
        <w:t>2423- دیوان ساقی هروی أو شعره‏</w:t>
      </w:r>
      <w:bookmarkEnd w:id="4427"/>
    </w:p>
    <w:p>
      <w:pPr>
        <w:pStyle w:val="BookText"/>
      </w:pPr>
      <w:r>
        <w:rPr>
          <w:rFonts w:ascii="IRNazanin" w:hAnsi="IRNazanin" w:eastAsia="IRNazanin" w:cs="IRNazanin"/>
          <w:lang w:bidi="fa-IR"/>
          <w:color w:val="111111"/>
          <w:sz w:val="28"/>
          <w:szCs w:val="28"/>
          <w:rtl/>
        </w:rPr>
        <w:t xml:space="preserve">کان طالب العلم و ینظم الشعر کما فی (مجتس ص 163) و أورد شعره.</w:t>
      </w:r>
    </w:p>
    <w:p>
      <w:pPr>
        <w:pStyle w:val="Heading3"/>
      </w:pPr>
      <w:bookmarkStart w:id="4428" w:name="_Toc3124"/>
      <w:r>
        <w:t>2424- دیوان ساکت أصفهانی‏</w:t>
      </w:r>
      <w:bookmarkEnd w:id="4428"/>
    </w:p>
    <w:p>
      <w:pPr>
        <w:pStyle w:val="BookText"/>
      </w:pPr>
      <w:r>
        <w:rPr>
          <w:rFonts w:ascii="IRNazanin" w:hAnsi="IRNazanin" w:eastAsia="IRNazanin" w:cs="IRNazanin"/>
          <w:lang w:bidi="fa-IR"/>
          <w:color w:val="111111"/>
          <w:sz w:val="28"/>
          <w:szCs w:val="28"/>
          <w:rtl/>
        </w:rPr>
        <w:t xml:space="preserve">و المیرزا محمد حسن القناد ابن المیرزا أحمد، من الصوفیة الصفی علی‏شاهیة بأصفهان. ولد (1285 أو 1277 أو رجب 1278) بأصفهان و مات بها فی رجب (1356) کان تاجرا فی معاملات الأفیون، و قد أقعده فی آخر عمره اخترام ولده المیرزا عباس. و له دیوان مدون. ترجمه فی نامه سخنوران- ص 80 و شعراء أصفهان- ص 231 نقلا عن جلال همائی و المعلم الحبیب‏آبادی، و کان من أعضاء انجمن دانشکده بأصفهان فأورد ألفت غزله فی دانش‏نامه المطبوع فی (1342) و کذا فی (پژمان- ص 830).</w:t>
      </w:r>
    </w:p>
    <w:p>
      <w:pPr>
        <w:pStyle w:val="Heading3"/>
      </w:pPr>
      <w:bookmarkStart w:id="4429" w:name="_Toc3125"/>
      <w:r>
        <w:t>2425- دیوان ساکت تبریزی‏</w:t>
      </w:r>
      <w:bookmarkEnd w:id="4429"/>
    </w:p>
    <w:p>
      <w:pPr>
        <w:pStyle w:val="BookText"/>
      </w:pPr>
      <w:r>
        <w:rPr>
          <w:rFonts w:ascii="IRNazanin" w:hAnsi="IRNazanin" w:eastAsia="IRNazanin" w:cs="IRNazanin"/>
          <w:lang w:bidi="fa-IR"/>
          <w:color w:val="111111"/>
          <w:sz w:val="28"/>
          <w:szCs w:val="28"/>
          <w:rtl/>
        </w:rPr>
        <w:t xml:space="preserve">و اسمه المیرزا محمد أمین بن المیرزا مؤمن بن الخواجة میرزا بیک من أعاظم تبریز و معاصر لصائب التبریزی الذی اختار هو له هذا التخلص. سکن مشهد خراسان برهة ثم سافر إلی الهند فی بنگاله و أکرمه عالمگیر شاه. نقل ترجمته کذلک فی (دجا- ص 171) عن تذکره یوسف علی خان و صحف إبراهیم و ترجمه النصرآبادی فی (نر 5- ص 132) نقلا عن أخیه الذی کان بأصفهان بعنوان میرزا أمین بن المیرزا مؤمن بن میرزا بیک. و هو مقدم علی أمین المذکور فی (ص 102) و قد أورد شعره فی (گلشن- ص 193) و (تغ ص 63) و (پژمان 831).</w:t>
      </w:r>
    </w:p>
    <w:p>
      <w:pPr>
        <w:pStyle w:val="Heading3"/>
      </w:pPr>
      <w:bookmarkStart w:id="4430" w:name="_Toc3126"/>
      <w:r>
        <w:t>2426- دیوان ساکت شیرازی أو شعره‏</w:t>
      </w:r>
      <w:bookmarkEnd w:id="4430"/>
    </w:p>
    <w:p>
      <w:pPr>
        <w:pStyle w:val="BookText"/>
      </w:pPr>
      <w:r>
        <w:rPr>
          <w:rFonts w:ascii="IRNazanin" w:hAnsi="IRNazanin" w:eastAsia="IRNazanin" w:cs="IRNazanin"/>
          <w:lang w:bidi="fa-IR"/>
          <w:color w:val="111111"/>
          <w:sz w:val="28"/>
          <w:szCs w:val="28"/>
          <w:rtl/>
        </w:rPr>
        <w:t xml:space="preserve">و هو غلام رضا من شعراء أوائل القرن الحاضر بشیراز. کان حیا حین تألیف فرصت لکتابه فی (1313) فترجمه فی (عم- 545).</w:t>
      </w:r>
    </w:p>
    <w:p>
      <w:pPr>
        <w:pStyle w:val="BookText"/>
      </w:pPr>
      <w:r>
        <w:rPr>
          <w:rFonts w:ascii="IRNazanin" w:hAnsi="IRNazanin" w:eastAsia="IRNazanin" w:cs="IRNazanin"/>
          <w:lang w:bidi="fa-IR"/>
          <w:color w:val="111111"/>
          <w:sz w:val="28"/>
          <w:szCs w:val="28"/>
          <w:rtl/>
        </w:rPr>
        <w:t xml:space="preserve">و عنه فی الریحانة. و أورد شعره فی (پژمان- ص 165).</w:t>
      </w:r>
    </w:p>
    <w:p>
      <w:pPr>
        <w:pStyle w:val="Heading3"/>
      </w:pPr>
      <w:bookmarkStart w:id="4431" w:name="_Toc3127"/>
      <w:r>
        <w:t>2427- دیوان ساکت یزدی أو شعره‏</w:t>
      </w:r>
      <w:bookmarkEnd w:id="4431"/>
    </w:p>
    <w:p>
      <w:pPr>
        <w:pStyle w:val="BookText"/>
      </w:pPr>
      <w:r>
        <w:rPr>
          <w:rFonts w:ascii="IRNazanin" w:hAnsi="IRNazanin" w:eastAsia="IRNazanin" w:cs="IRNazanin"/>
          <w:lang w:bidi="fa-IR"/>
          <w:color w:val="111111"/>
          <w:sz w:val="28"/>
          <w:szCs w:val="28"/>
          <w:rtl/>
        </w:rPr>
        <w:t xml:space="preserve">و اسمه شاه إبراهیم. أورد شعره فی (روشن ص 281).</w:t>
      </w:r>
    </w:p>
    <w:p>
      <w:pPr>
        <w:pStyle w:val="Heading3"/>
      </w:pPr>
      <w:bookmarkStart w:id="4432" w:name="_Toc3128"/>
      <w:r>
        <w:t>2428- دیوان ساکتی قمی أو شعره‏</w:t>
      </w:r>
      <w:bookmarkEnd w:id="4432"/>
    </w:p>
    <w:p>
      <w:pPr>
        <w:pStyle w:val="BookText"/>
      </w:pPr>
      <w:r>
        <w:rPr>
          <w:rFonts w:ascii="IRNazanin" w:hAnsi="IRNazanin" w:eastAsia="IRNazanin" w:cs="IRNazanin"/>
          <w:lang w:bidi="fa-IR"/>
          <w:color w:val="111111"/>
          <w:sz w:val="28"/>
          <w:szCs w:val="28"/>
          <w:rtl/>
        </w:rPr>
        <w:t xml:space="preserve">و هو من أحفاد الخواجة عبد الله الأنصاری کما ترجمه و أورد شعره فی (روشن- ص 281).</w:t>
      </w:r>
    </w:p>
    <w:p>
      <w:pPr>
        <w:pStyle w:val="Heading3"/>
      </w:pPr>
      <w:bookmarkStart w:id="4433" w:name="_Toc3129"/>
      <w:r>
        <w:t>2429- دیوان ساکن شاه‏جهان‏آبادی أو شعره‏</w:t>
      </w:r>
      <w:bookmarkEnd w:id="4433"/>
    </w:p>
    <w:p>
      <w:pPr>
        <w:pStyle w:val="BookText"/>
      </w:pPr>
      <w:r>
        <w:rPr>
          <w:rFonts w:ascii="IRNazanin" w:hAnsi="IRNazanin" w:eastAsia="IRNazanin" w:cs="IRNazanin"/>
          <w:lang w:bidi="fa-IR"/>
          <w:color w:val="111111"/>
          <w:sz w:val="28"/>
          <w:szCs w:val="28"/>
          <w:rtl/>
        </w:rPr>
        <w:t xml:space="preserve">و هو المیرزا عنایت الله. ذهب‏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414" w:name="pg11704_121894"/>
    <w:bookmarkEnd w:id="414"/>
    <w:p>
      <w:pPr>
        <w:pStyle w:val="BookText"/>
      </w:pPr>
      <w:r>
        <w:rPr>
          <w:rFonts w:ascii="IRNazanin" w:hAnsi="IRNazanin" w:eastAsia="IRNazanin" w:cs="IRNazanin"/>
          <w:lang w:bidi="fa-IR"/>
          <w:color w:val="111111"/>
          <w:sz w:val="28"/>
          <w:szCs w:val="28"/>
          <w:rtl/>
        </w:rPr>
        <w:t xml:space="preserve">إلی لکهنو فی (1160) و تقرب عند شجاع الدولة ثم اعتزل الأمر و تزهد و نزل ببنارس و بایع شاه نظر علی صانع و تلمذ علی محمد فاخر مکین أورد شعره فی (گلشن- ص 193).</w:t>
      </w:r>
    </w:p>
    <w:p>
      <w:pPr>
        <w:pStyle w:val="Heading3"/>
      </w:pPr>
      <w:bookmarkStart w:id="4434" w:name="_Toc3130"/>
      <w:r>
        <w:t>2430- دیوان المولی ساکنی سمرقندی أو شعره‏</w:t>
      </w:r>
      <w:bookmarkEnd w:id="4434"/>
    </w:p>
    <w:p>
      <w:pPr>
        <w:pStyle w:val="BookText"/>
      </w:pPr>
      <w:r>
        <w:rPr>
          <w:rFonts w:ascii="IRNazanin" w:hAnsi="IRNazanin" w:eastAsia="IRNazanin" w:cs="IRNazanin"/>
          <w:lang w:bidi="fa-IR"/>
          <w:color w:val="111111"/>
          <w:sz w:val="28"/>
          <w:szCs w:val="28"/>
          <w:rtl/>
        </w:rPr>
        <w:t xml:space="preserve">ترجمه فی (مجتس 4 ص 147) و قال إنه طالب العلم و ناظم الشعر و أورد مطلع غزله. و کذا فی (گلشن ص 193).</w:t>
      </w:r>
    </w:p>
    <w:p>
      <w:pPr>
        <w:pStyle w:val="Heading3"/>
      </w:pPr>
      <w:bookmarkStart w:id="4435" w:name="_Toc3131"/>
      <w:r>
        <w:t>2431- دیوان سالک أو شعره‏</w:t>
      </w:r>
      <w:bookmarkEnd w:id="4435"/>
    </w:p>
    <w:p>
      <w:pPr>
        <w:pStyle w:val="BookText"/>
      </w:pPr>
      <w:r>
        <w:rPr>
          <w:rFonts w:ascii="IRNazanin" w:hAnsi="IRNazanin" w:eastAsia="IRNazanin" w:cs="IRNazanin"/>
          <w:lang w:bidi="fa-IR"/>
          <w:color w:val="111111"/>
          <w:sz w:val="28"/>
          <w:szCs w:val="28"/>
          <w:rtl/>
        </w:rPr>
        <w:t xml:space="preserve">و اسمه درویش حسین. أطری شعره الأمین أحمد فی (هفت- ص 299).</w:t>
      </w:r>
    </w:p>
    <w:p>
      <w:pPr>
        <w:pStyle w:val="Heading3"/>
      </w:pPr>
      <w:bookmarkStart w:id="4436" w:name="_Toc3132"/>
      <w:r>
        <w:t>2432- دیوان سالک أردوبادی أو شعره‏</w:t>
      </w:r>
      <w:bookmarkEnd w:id="4436"/>
    </w:p>
    <w:p>
      <w:pPr>
        <w:pStyle w:val="BookText"/>
      </w:pPr>
      <w:r>
        <w:rPr>
          <w:rFonts w:ascii="IRNazanin" w:hAnsi="IRNazanin" w:eastAsia="IRNazanin" w:cs="IRNazanin"/>
          <w:lang w:bidi="fa-IR"/>
          <w:color w:val="111111"/>
          <w:sz w:val="28"/>
          <w:szCs w:val="28"/>
          <w:rtl/>
        </w:rPr>
        <w:t xml:space="preserve">ترجمه فی (دجا- ص 172) و قال إنه من شعراء القرن الثالث عشر بالترکیة.</w:t>
      </w:r>
    </w:p>
    <w:p>
      <w:pPr>
        <w:pStyle w:val="Heading3"/>
      </w:pPr>
      <w:bookmarkStart w:id="4437" w:name="_Toc3133"/>
      <w:r>
        <w:t>دیوان سالک أصفهانی‏</w:t>
      </w:r>
      <w:bookmarkEnd w:id="4437"/>
    </w:p>
    <w:p>
      <w:pPr>
        <w:pStyle w:val="BookText"/>
      </w:pPr>
      <w:r>
        <w:rPr>
          <w:rFonts w:ascii="IRNazanin" w:hAnsi="IRNazanin" w:eastAsia="IRNazanin" w:cs="IRNazanin"/>
          <w:lang w:bidi="fa-IR"/>
          <w:color w:val="111111"/>
          <w:sz w:val="28"/>
          <w:szCs w:val="28"/>
          <w:rtl/>
        </w:rPr>
        <w:t xml:space="preserve">راجع سالک بروجنی و سالک پیر أصفهانی.</w:t>
      </w:r>
    </w:p>
    <w:p>
      <w:pPr>
        <w:pStyle w:val="Heading3"/>
      </w:pPr>
      <w:bookmarkStart w:id="4438" w:name="_Toc3134"/>
      <w:r>
        <w:t>دیوان سالک أصفهانی‏</w:t>
      </w:r>
      <w:bookmarkEnd w:id="4438"/>
    </w:p>
    <w:p>
      <w:pPr>
        <w:pStyle w:val="BookText"/>
      </w:pPr>
      <w:r>
        <w:rPr>
          <w:rFonts w:ascii="IRNazanin" w:hAnsi="IRNazanin" w:eastAsia="IRNazanin" w:cs="IRNazanin"/>
          <w:lang w:bidi="fa-IR"/>
          <w:color w:val="111111"/>
          <w:sz w:val="28"/>
          <w:szCs w:val="28"/>
          <w:rtl/>
        </w:rPr>
        <w:t xml:space="preserve">کما فی (تش- ص 177) و (روشن- ص 282) و الظاهر أنه سالک قزوینی.</w:t>
      </w:r>
    </w:p>
    <w:p>
      <w:pPr>
        <w:pStyle w:val="Heading3"/>
      </w:pPr>
      <w:bookmarkStart w:id="4439" w:name="_Toc3135"/>
      <w:r>
        <w:t>2433- دیوان سالک أصفهانی أو شعره‏</w:t>
      </w:r>
      <w:bookmarkEnd w:id="4439"/>
    </w:p>
    <w:p>
      <w:pPr>
        <w:pStyle w:val="BookText"/>
      </w:pPr>
      <w:r>
        <w:rPr>
          <w:rFonts w:ascii="IRNazanin" w:hAnsi="IRNazanin" w:eastAsia="IRNazanin" w:cs="IRNazanin"/>
          <w:lang w:bidi="fa-IR"/>
          <w:color w:val="111111"/>
          <w:sz w:val="28"/>
          <w:szCs w:val="28"/>
          <w:rtl/>
        </w:rPr>
        <w:t xml:space="preserve">و اسمه محمد حسین. ترجمه و أورد شعره معاصره هدایت فی (مع- ج 2 ص 211) و أطری حسن خطه و أخلاقه. و ترجمه أیضا فی انجمن خاقان.</w:t>
      </w:r>
    </w:p>
    <w:p>
      <w:pPr>
        <w:pStyle w:val="Heading3"/>
      </w:pPr>
      <w:bookmarkStart w:id="4440" w:name="_Toc3136"/>
      <w:r>
        <w:t>2434- دیوان سالک بروجنی‏</w:t>
      </w:r>
      <w:bookmarkEnd w:id="4440"/>
    </w:p>
    <w:p>
      <w:pPr>
        <w:pStyle w:val="BookText"/>
      </w:pPr>
      <w:r>
        <w:rPr>
          <w:rFonts w:ascii="IRNazanin" w:hAnsi="IRNazanin" w:eastAsia="IRNazanin" w:cs="IRNazanin"/>
          <w:lang w:bidi="fa-IR"/>
          <w:color w:val="111111"/>
          <w:sz w:val="28"/>
          <w:szCs w:val="28"/>
          <w:rtl/>
        </w:rPr>
        <w:t xml:space="preserve">و هو الله کرم الملقب رءوفی. ولد بقریة بروجن من أعمال أصفهان فی (1322) و کان بزازا طالب علم شاعرا. له دیوان مدون کما ترجمه و أورد شعره ایزد گشسب فی نامه سخنوران- ص 158 و کذا فی (شعراء أصفهان ص 232).</w:t>
      </w:r>
    </w:p>
    <w:p>
      <w:pPr>
        <w:pStyle w:val="Heading3"/>
      </w:pPr>
      <w:bookmarkStart w:id="4441" w:name="_Toc3137"/>
      <w:r>
        <w:t>2435- دیوان سالک پیر أصفهانی أو شعره‏</w:t>
      </w:r>
      <w:bookmarkEnd w:id="4441"/>
    </w:p>
    <w:p>
      <w:pPr>
        <w:pStyle w:val="BookText"/>
      </w:pPr>
      <w:r>
        <w:rPr>
          <w:rFonts w:ascii="IRNazanin" w:hAnsi="IRNazanin" w:eastAsia="IRNazanin" w:cs="IRNazanin"/>
          <w:lang w:bidi="fa-IR"/>
          <w:color w:val="111111"/>
          <w:sz w:val="28"/>
          <w:szCs w:val="28"/>
          <w:rtl/>
        </w:rPr>
        <w:t xml:space="preserve">و اسمه شاطر حسن. ولد (1288) و مات بها (1356) و کان من أعضاء انجمن أدبی لشیدای أصفهانی. کان یتخلص سالک فبدله إلی سالک پیر. ترجمه و أورد شعره فی (شعراء أصفهان- ص 233).</w:t>
      </w:r>
    </w:p>
    <w:p>
      <w:pPr>
        <w:pStyle w:val="Heading3"/>
      </w:pPr>
      <w:bookmarkStart w:id="4442" w:name="_Toc3138"/>
      <w:r>
        <w:t>2436- دیوان سالک تبریزی‏</w:t>
      </w:r>
      <w:bookmarkEnd w:id="4442"/>
    </w:p>
    <w:p>
      <w:pPr>
        <w:pStyle w:val="BookText"/>
      </w:pPr>
      <w:r>
        <w:rPr>
          <w:rFonts w:ascii="IRNazanin" w:hAnsi="IRNazanin" w:eastAsia="IRNazanin" w:cs="IRNazanin"/>
          <w:lang w:bidi="fa-IR"/>
          <w:color w:val="111111"/>
          <w:sz w:val="28"/>
          <w:szCs w:val="28"/>
          <w:rtl/>
        </w:rPr>
        <w:t xml:space="preserve">ترجمه فی (دجا- ص 172) و ذکر أنه من شعراء آذربایجان فی القرن الثالث عشر و أن دیوانه یقرب من ألف بیت و نسخه منه فی مکتبة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415" w:name="pg11704_121895"/>
    <w:bookmarkEnd w:id="415"/>
    <w:p>
      <w:pPr>
        <w:pStyle w:val="BookText"/>
      </w:pPr>
      <w:r>
        <w:rPr>
          <w:rFonts w:ascii="IRNazanin" w:hAnsi="IRNazanin" w:eastAsia="IRNazanin" w:cs="IRNazanin"/>
          <w:lang w:bidi="fa-IR"/>
          <w:color w:val="111111"/>
          <w:sz w:val="28"/>
          <w:szCs w:val="28"/>
          <w:rtl/>
        </w:rPr>
        <w:t xml:space="preserve">الحاج حسین آقا النخجوانی فی تبریز، و نقل عنها مثنویة المختصر الذی نظمه فی (1238) فی وصف مرض الوباء الحادث فی تلک السنة. و یوجد شعره فی گلستان مسرت ص 516).</w:t>
      </w:r>
    </w:p>
    <w:p>
      <w:pPr>
        <w:pStyle w:val="Heading3"/>
      </w:pPr>
      <w:bookmarkStart w:id="4443" w:name="_Toc3139"/>
      <w:r>
        <w:t>دیوان سالک الحموئی‏</w:t>
      </w:r>
      <w:bookmarkEnd w:id="4443"/>
    </w:p>
    <w:p>
      <w:pPr>
        <w:pStyle w:val="BookText"/>
      </w:pPr>
      <w:r>
        <w:rPr>
          <w:rFonts w:ascii="IRNazanin" w:hAnsi="IRNazanin" w:eastAsia="IRNazanin" w:cs="IRNazanin"/>
          <w:lang w:bidi="fa-IR"/>
          <w:color w:val="111111"/>
          <w:sz w:val="28"/>
          <w:szCs w:val="28"/>
          <w:rtl/>
        </w:rPr>
        <w:t xml:space="preserve">راجع سالک شیرازی.</w:t>
      </w:r>
    </w:p>
    <w:p>
      <w:pPr>
        <w:pStyle w:val="Heading3"/>
      </w:pPr>
      <w:bookmarkStart w:id="4444" w:name="_Toc3140"/>
      <w:r>
        <w:t>2437- دیوان سالک خوی‏</w:t>
      </w:r>
      <w:bookmarkEnd w:id="4444"/>
    </w:p>
    <w:p>
      <w:pPr>
        <w:pStyle w:val="BookText"/>
      </w:pPr>
      <w:r>
        <w:rPr>
          <w:rFonts w:ascii="IRNazanin" w:hAnsi="IRNazanin" w:eastAsia="IRNazanin" w:cs="IRNazanin"/>
          <w:lang w:bidi="fa-IR"/>
          <w:color w:val="111111"/>
          <w:sz w:val="28"/>
          <w:szCs w:val="28"/>
          <w:rtl/>
        </w:rPr>
        <w:t xml:space="preserve">و اسمه المولی حسین من شعراء القرن الثالث عشر. کان حیا فی (1246) و دیوانه یقرب من ألف و خمسمائة بیت. ترجمه کذلک فی (دجا- ص 172) و أورد بعض شعره. و توجد دیوانه عند (محمد النخجوانی) کما کتبه إلینا.</w:t>
      </w:r>
    </w:p>
    <w:p>
      <w:pPr>
        <w:pStyle w:val="Heading3"/>
      </w:pPr>
      <w:bookmarkStart w:id="4445" w:name="_Toc3141"/>
      <w:r>
        <w:t>2438- دیوان سالک شیرازی أو شعره‏</w:t>
      </w:r>
      <w:bookmarkEnd w:id="4445"/>
    </w:p>
    <w:p>
      <w:pPr>
        <w:pStyle w:val="BookText"/>
      </w:pPr>
      <w:r>
        <w:rPr>
          <w:rFonts w:ascii="IRNazanin" w:hAnsi="IRNazanin" w:eastAsia="IRNazanin" w:cs="IRNazanin"/>
          <w:lang w:bidi="fa-IR"/>
          <w:color w:val="111111"/>
          <w:sz w:val="28"/>
          <w:szCs w:val="28"/>
          <w:rtl/>
        </w:rPr>
        <w:t xml:space="preserve">و هو سالک الدین محمد بن نجم الدین صاحب کنز السالکین المذکور فی (ج 8- ص 187) أورد فیه کثیرا من شعره الفارسی.</w:t>
      </w:r>
    </w:p>
    <w:p>
      <w:pPr>
        <w:pStyle w:val="Heading3"/>
      </w:pPr>
      <w:bookmarkStart w:id="4446" w:name="_Toc3142"/>
      <w:r>
        <w:t>2439- دیوان سالک قزوینی‏</w:t>
      </w:r>
      <w:bookmarkEnd w:id="4446"/>
    </w:p>
    <w:p>
      <w:pPr>
        <w:pStyle w:val="BookText"/>
      </w:pPr>
      <w:r>
        <w:rPr>
          <w:rFonts w:ascii="IRNazanin" w:hAnsi="IRNazanin" w:eastAsia="IRNazanin" w:cs="IRNazanin"/>
          <w:lang w:bidi="fa-IR"/>
          <w:color w:val="111111"/>
          <w:sz w:val="28"/>
          <w:szCs w:val="28"/>
          <w:rtl/>
        </w:rPr>
        <w:t xml:space="preserve">و اسمه إبراهیم. ولد (1021) کما صرح به نفسه فی مثنویة الموسوم محیط کونین الذی فرغ من نظمه (1061) و له یومئذ أربعین سنة. و هو موجود مع دیوانه فی مکتبة (المجلس) و دیوانه مشتمل علی ساقی‏نامه و الغزلیات و الرباعیات و القصائد فی حدود عشرة آلاف بیت. ذکر سائر خصوصیاته فی فهرس المکتبة فی (ج 3- ص 296) و تاریخ إتمام کتابة النسخة فی قزوین للحاج محمد صادق فی (1084) و هی نسخه عصر الناظم و علیها خطوطه و تصحیحاته، و یظهر وفاه الناظم حین تألیف النصرآبادی لتذکرته فی (1083) کما یظهر من (نر 9- ص 328) و ذکر أنه کان بأصفهان و سافر إلی الهند مرتین و سکن بقزوین و مات بها و ذکره فی (تش- ص 224) فی شعراء قزوین ثم أورد فی (ص 177) رجلا باسم سالک أصفهانی و أن ظنهما واحدا، و أورد شعره فی (سرخوش- ص 45) و (تغ- ص 62) و سرو آزاد- ص 109 و (پژمان- ص 166) و گلستان مسرت ص 469 و غیرها.</w:t>
      </w:r>
    </w:p>
    <w:p>
      <w:pPr>
        <w:pStyle w:val="Heading3"/>
      </w:pPr>
      <w:bookmarkStart w:id="4447" w:name="_Toc3143"/>
      <w:r>
        <w:t>2440- دیوان سالک کاشانی‏</w:t>
      </w:r>
      <w:bookmarkEnd w:id="4447"/>
    </w:p>
    <w:p>
      <w:pPr>
        <w:pStyle w:val="BookText"/>
      </w:pPr>
      <w:r>
        <w:rPr>
          <w:rFonts w:ascii="IRNazanin" w:hAnsi="IRNazanin" w:eastAsia="IRNazanin" w:cs="IRNazanin"/>
          <w:lang w:bidi="fa-IR"/>
          <w:color w:val="111111"/>
          <w:sz w:val="28"/>
          <w:szCs w:val="28"/>
          <w:rtl/>
        </w:rPr>
        <w:t xml:space="preserve">و هو المیرزا حبیب الله المذکور فی (ج 7- ص 96 و 271) ذکر الدیوان لنفسه فی کتابه لباب الألقاب فی ألقاب الأطیاب الذی جمع فیه تراجم علماء کاشان و غیرها و الموجودة عند السید أحمد الروضاتی بأصفهان، استنسخها عن نسخه کانت بقم عند السید شهاب الدین التبریزی النجفی. له منظومات مختلفة و گلزار اسرار.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416" w:name="pg11704_121896"/>
    <w:bookmarkEnd w:id="416"/>
    <w:p>
      <w:pPr>
        <w:pStyle w:val="Heading3"/>
      </w:pPr>
      <w:bookmarkStart w:id="4448" w:name="_Toc3144"/>
      <w:r>
        <w:t>2441- دیوان سالک کاشانی أو شعره‏</w:t>
      </w:r>
      <w:bookmarkEnd w:id="4448"/>
    </w:p>
    <w:p>
      <w:pPr>
        <w:pStyle w:val="BookText"/>
      </w:pPr>
      <w:r>
        <w:rPr>
          <w:rFonts w:ascii="IRNazanin" w:hAnsi="IRNazanin" w:eastAsia="IRNazanin" w:cs="IRNazanin"/>
          <w:lang w:bidi="fa-IR"/>
          <w:color w:val="111111"/>
          <w:sz w:val="28"/>
          <w:szCs w:val="28"/>
          <w:rtl/>
        </w:rPr>
        <w:t xml:space="preserve">و اسمه المیر محمد علی. ترجمه و أورد رباعیته فی (تش- ص 244). و کذا فی (گلشن- ص 194) و (تغ- ص 63) و (پژمان- ص 167).</w:t>
      </w:r>
    </w:p>
    <w:p>
      <w:pPr>
        <w:pStyle w:val="Heading3"/>
      </w:pPr>
      <w:bookmarkStart w:id="4449" w:name="_Toc3145"/>
      <w:r>
        <w:t>2442- دیوان سالک نائنی أو شعره‏</w:t>
      </w:r>
      <w:bookmarkEnd w:id="4449"/>
    </w:p>
    <w:p>
      <w:pPr>
        <w:pStyle w:val="BookText"/>
      </w:pPr>
      <w:r>
        <w:rPr>
          <w:rFonts w:ascii="IRNazanin" w:hAnsi="IRNazanin" w:eastAsia="IRNazanin" w:cs="IRNazanin"/>
          <w:lang w:bidi="fa-IR"/>
          <w:color w:val="111111"/>
          <w:sz w:val="28"/>
          <w:szCs w:val="28"/>
          <w:rtl/>
        </w:rPr>
        <w:t xml:space="preserve">و هو الملا محمد رضا بن الحاج محمد حسین، أخ الملا محمد حسن المرتاض و الحاج محمد صادق المعین. کان تاجرا. له رسالة فی تاریخ عرفاء نائین و فی آخره بعض أشعاره، طبعها فی (1355) و مات بعدها. کذا فی تاریخ نائین- ص 190- ج 1 للبلاغی النائنی.</w:t>
      </w:r>
    </w:p>
    <w:p>
      <w:pPr>
        <w:pStyle w:val="Heading3"/>
      </w:pPr>
      <w:bookmarkStart w:id="4450" w:name="_Toc3146"/>
      <w:r>
        <w:t>2443- دیوان سالک یزدی أو شعره‏</w:t>
      </w:r>
      <w:bookmarkEnd w:id="4450"/>
    </w:p>
    <w:p>
      <w:pPr>
        <w:pStyle w:val="BookText"/>
      </w:pPr>
      <w:r>
        <w:rPr>
          <w:rFonts w:ascii="IRNazanin" w:hAnsi="IRNazanin" w:eastAsia="IRNazanin" w:cs="IRNazanin"/>
          <w:lang w:bidi="fa-IR"/>
          <w:color w:val="111111"/>
          <w:sz w:val="28"/>
          <w:szCs w:val="28"/>
          <w:rtl/>
        </w:rPr>
        <w:t xml:space="preserve">ترجمه مجالسه و مصاحبه فی (مع- ج 2- ص 181) و ذکر أن اسمه محمد جعفر هاجر إلی أصفهان للتحصیل ثم إلی شیراز و اتصل هناک بحسین علی میرزا فرمان فرما بفارس و کان من أعضاء مجلس حضوره و فی الأواخر کان یباشر الطبابة، ثم أورد جملة من شعره، و کذا فی (تش یز- ص 294) و قال فی انجمن خاقان إن له شرح مشکلات تاریخ وصاف الحضرة</w:t>
      </w:r>
    </w:p>
    <w:p>
      <w:pPr>
        <w:pStyle w:val="Heading3"/>
      </w:pPr>
      <w:bookmarkStart w:id="4451" w:name="_Toc3147"/>
      <w:r>
        <w:t>2444- دیوان سالک یزدی‏</w:t>
      </w:r>
      <w:bookmarkEnd w:id="4451"/>
    </w:p>
    <w:p>
      <w:pPr>
        <w:pStyle w:val="BookText"/>
      </w:pPr>
      <w:r>
        <w:rPr>
          <w:rFonts w:ascii="IRNazanin" w:hAnsi="IRNazanin" w:eastAsia="IRNazanin" w:cs="IRNazanin"/>
          <w:lang w:bidi="fa-IR"/>
          <w:color w:val="111111"/>
          <w:sz w:val="28"/>
          <w:szCs w:val="28"/>
          <w:rtl/>
        </w:rPr>
        <w:t xml:space="preserve">کان مدة بشیراز فسکن أصفهان، ثم ذهب إلی الهند و خدم عبد الله قطب شاه (1020- 1083) فی دکن، و بعد إخراج المغول منها جاء إلی شاه جهان‏آباد عند دانشمند خان و هناک توفی کذا ترجمه و أورد شعره فی (نر 9- ص 329) و (تش- ص 260) و (سرخوش- 45) و (حسینی- 158) و قال فی سرو آزاد- ص 110 إن الملا شفیعائی الیزدی المخاطب دانشمند خان المتوفی (1081) أکرم سالک فی شاه جهان‏آباد إلی أن توفی فی (1066) و قال فی (روشن- ص 282) إنه کان تلمیذ الحکیم رکنا الکاشانی‏</w:t>
      </w:r>
    </w:p>
    <w:p>
      <w:pPr>
        <w:pStyle w:val="Heading3"/>
      </w:pPr>
      <w:bookmarkStart w:id="4452" w:name="_Toc3148"/>
      <w:r>
        <w:t>2445- دیوان سالم أردبیلی أو شعره‏</w:t>
      </w:r>
      <w:bookmarkEnd w:id="4452"/>
    </w:p>
    <w:p>
      <w:pPr>
        <w:pStyle w:val="BookText"/>
      </w:pPr>
      <w:r>
        <w:rPr>
          <w:rFonts w:ascii="IRNazanin" w:hAnsi="IRNazanin" w:eastAsia="IRNazanin" w:cs="IRNazanin"/>
          <w:lang w:bidi="fa-IR"/>
          <w:color w:val="111111"/>
          <w:sz w:val="28"/>
          <w:szCs w:val="28"/>
          <w:rtl/>
        </w:rPr>
        <w:t xml:space="preserve">ترجمه فی (دجا- ص 173) و قال إنه من شعراء القرن الثانی عشر و أورد شعره عن جنگ کتبت فی (1125)</w:t>
      </w:r>
    </w:p>
    <w:p>
      <w:pPr>
        <w:pStyle w:val="Heading3"/>
      </w:pPr>
      <w:bookmarkStart w:id="4453" w:name="_Toc3149"/>
      <w:r>
        <w:t>2446- دیوان سالم أصفهانی أو شعره‏</w:t>
      </w:r>
      <w:bookmarkEnd w:id="4453"/>
    </w:p>
    <w:p>
      <w:pPr>
        <w:pStyle w:val="BookText"/>
      </w:pPr>
      <w:r>
        <w:rPr>
          <w:rFonts w:ascii="IRNazanin" w:hAnsi="IRNazanin" w:eastAsia="IRNazanin" w:cs="IRNazanin"/>
          <w:lang w:bidi="fa-IR"/>
          <w:color w:val="111111"/>
          <w:sz w:val="28"/>
          <w:szCs w:val="28"/>
          <w:rtl/>
        </w:rPr>
        <w:t xml:space="preserve">و اسمه المیر محمد علی من أحفاد خلیفة سلطان مات ببغداد فی (1187) کما ترجمه و أورد شعره فی (تش- ص 378)</w:t>
      </w:r>
    </w:p>
    <w:p>
      <w:pPr>
        <w:pStyle w:val="Heading3"/>
      </w:pPr>
      <w:bookmarkStart w:id="4454" w:name="_Toc3150"/>
      <w:r>
        <w:t>دیوان سالم بلگرامی‏</w:t>
      </w:r>
      <w:bookmarkEnd w:id="4454"/>
    </w:p>
    <w:p>
      <w:pPr>
        <w:pStyle w:val="BookText"/>
      </w:pPr>
      <w:r>
        <w:rPr>
          <w:rFonts w:ascii="IRNazanin" w:hAnsi="IRNazanin" w:eastAsia="IRNazanin" w:cs="IRNazanin"/>
          <w:lang w:bidi="fa-IR"/>
          <w:color w:val="111111"/>
          <w:sz w:val="28"/>
          <w:szCs w:val="28"/>
          <w:rtl/>
        </w:rPr>
        <w:t xml:space="preserve">راجع دیوان أسلم بلگرامی فی (ص 73) و سالم کشمیری أورد شعره کثیرا فی گلستان مسرت‏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417" w:name="pg11704_121897"/>
    <w:bookmarkEnd w:id="417"/>
    <w:p>
      <w:pPr>
        <w:pStyle w:val="Heading3"/>
      </w:pPr>
      <w:bookmarkStart w:id="4455" w:name="_Toc3151"/>
      <w:r>
        <w:t>2447- دیوان سالم تبریزی‏</w:t>
      </w:r>
      <w:bookmarkEnd w:id="4455"/>
    </w:p>
    <w:p>
      <w:pPr>
        <w:pStyle w:val="BookText"/>
      </w:pPr>
      <w:r>
        <w:rPr>
          <w:rFonts w:ascii="IRNazanin" w:hAnsi="IRNazanin" w:eastAsia="IRNazanin" w:cs="IRNazanin"/>
          <w:lang w:bidi="fa-IR"/>
          <w:color w:val="111111"/>
          <w:sz w:val="28"/>
          <w:szCs w:val="28"/>
          <w:rtl/>
        </w:rPr>
        <w:t xml:space="preserve">محمود بیک بن أبی الفتح بیک ترکمان، ناظم مثنوی یوسف زلیخا ترجمه فی (دجا- ص 173) نقلا عن خاتمة خلاصة الأشعار قائلا إن مجموعة أشعاره تزید علی ثمانیة آلاف بیت و له مثنویات أخر مهر و وفا علی زنة مخزن الأسرار و لیلی و مجنون و شاهنامه شاه طهماسب و ترجمه الصادقی المعاصر له فی (خص 7- ص 110) و أورد بعض أبیات یوسف زلیخا و بعض أبیات مهر و وفا و ذکر أن الشائع أنه تتبع الخمسة لکن لم یصل إلینا أورد شعره فی (تش- ص 14) بعنوان سالم ترکمان و گلستان مسرت- ص 160 و (پژمان- ص 167 و 831)</w:t>
      </w:r>
    </w:p>
    <w:p>
      <w:pPr>
        <w:pStyle w:val="Heading3"/>
      </w:pPr>
      <w:bookmarkStart w:id="4456" w:name="_Toc3152"/>
      <w:r>
        <w:t>دیوان سالم ترکمان‏</w:t>
      </w:r>
      <w:bookmarkEnd w:id="4456"/>
    </w:p>
    <w:p>
      <w:pPr>
        <w:pStyle w:val="BookText"/>
      </w:pPr>
      <w:r>
        <w:rPr>
          <w:rFonts w:ascii="IRNazanin" w:hAnsi="IRNazanin" w:eastAsia="IRNazanin" w:cs="IRNazanin"/>
          <w:lang w:bidi="fa-IR"/>
          <w:color w:val="111111"/>
          <w:sz w:val="28"/>
          <w:szCs w:val="28"/>
          <w:rtl/>
        </w:rPr>
        <w:t xml:space="preserve">راجع دیوان سالم تبریزی‏</w:t>
      </w:r>
    </w:p>
    <w:p>
      <w:pPr>
        <w:pStyle w:val="Heading3"/>
      </w:pPr>
      <w:bookmarkStart w:id="4457" w:name="_Toc3153"/>
      <w:r>
        <w:t>دیوان سالم شیرازی‏</w:t>
      </w:r>
      <w:bookmarkEnd w:id="4457"/>
    </w:p>
    <w:p>
      <w:pPr>
        <w:pStyle w:val="BookText"/>
      </w:pPr>
      <w:r>
        <w:rPr>
          <w:rFonts w:ascii="IRNazanin" w:hAnsi="IRNazanin" w:eastAsia="IRNazanin" w:cs="IRNazanin"/>
          <w:lang w:bidi="fa-IR"/>
          <w:color w:val="111111"/>
          <w:sz w:val="28"/>
          <w:szCs w:val="28"/>
          <w:rtl/>
        </w:rPr>
        <w:t xml:space="preserve">کما فی (نر 9- ص 384) راجع دیوان ناظم شیرازی‏</w:t>
      </w:r>
    </w:p>
    <w:p>
      <w:pPr>
        <w:pStyle w:val="Heading3"/>
      </w:pPr>
      <w:bookmarkStart w:id="4458" w:name="_Toc3154"/>
      <w:r>
        <w:t>2448- دیوان سالم کاشانی أو شعره‏</w:t>
      </w:r>
      <w:bookmarkEnd w:id="4458"/>
    </w:p>
    <w:p>
      <w:pPr>
        <w:pStyle w:val="BookText"/>
      </w:pPr>
      <w:r>
        <w:rPr>
          <w:rFonts w:ascii="IRNazanin" w:hAnsi="IRNazanin" w:eastAsia="IRNazanin" w:cs="IRNazanin"/>
          <w:lang w:bidi="fa-IR"/>
          <w:color w:val="111111"/>
          <w:sz w:val="28"/>
          <w:szCs w:val="28"/>
          <w:rtl/>
        </w:rPr>
        <w:t xml:space="preserve">و اسمه عبد الغفار أورد شعره فی (تش- ص 244) و کذا فی (روشن- ص 283)</w:t>
      </w:r>
    </w:p>
    <w:p>
      <w:pPr>
        <w:pStyle w:val="Heading3"/>
      </w:pPr>
      <w:bookmarkStart w:id="4459" w:name="_Toc3155"/>
      <w:r>
        <w:t>2449- دیوان سالم کشمیری أو شعره‏</w:t>
      </w:r>
      <w:bookmarkEnd w:id="4459"/>
    </w:p>
    <w:p>
      <w:pPr>
        <w:pStyle w:val="BookText"/>
      </w:pPr>
      <w:r>
        <w:rPr>
          <w:rFonts w:ascii="IRNazanin" w:hAnsi="IRNazanin" w:eastAsia="IRNazanin" w:cs="IRNazanin"/>
          <w:lang w:bidi="fa-IR"/>
          <w:color w:val="111111"/>
          <w:sz w:val="28"/>
          <w:szCs w:val="28"/>
          <w:rtl/>
        </w:rPr>
        <w:t xml:space="preserve">و هو السید المیر لطف الله بن السید میر علی من سادات کشمیر ترجمه النصرآبادی فی (نر 11- ص 450) و ذکر تنقلاته إلی أکثر البلاد و منها إلی أصفهان و استفادته عن المحقق السبزواری، و کان فی جمیع تلک التحولات یجتمع مع أرباب الذوق و أهل المعرفة، کتأثیر و نجات، و کان حیا إلی (سنة تألیف النصرآبادی 1081- 1083) ثم أورد بعض أشعاره، و ترجمه أیضا فی (روشن- ص 283)</w:t>
      </w:r>
    </w:p>
    <w:p>
      <w:pPr>
        <w:pStyle w:val="Heading3"/>
      </w:pPr>
      <w:bookmarkStart w:id="4460" w:name="_Toc3156"/>
      <w:r>
        <w:t>دیوان سالم کشمیری‏</w:t>
      </w:r>
      <w:bookmarkEnd w:id="4460"/>
    </w:p>
    <w:p>
      <w:pPr>
        <w:pStyle w:val="BookText"/>
      </w:pPr>
      <w:r>
        <w:rPr>
          <w:rFonts w:ascii="IRNazanin" w:hAnsi="IRNazanin" w:eastAsia="IRNazanin" w:cs="IRNazanin"/>
          <w:lang w:bidi="fa-IR"/>
          <w:color w:val="111111"/>
          <w:sz w:val="28"/>
          <w:szCs w:val="28"/>
          <w:rtl/>
        </w:rPr>
        <w:t xml:space="preserve">کما فی (تغ- ص 63) مات (1119) و کان محمد أسلم برهمنیا ثم أسلم و مر بعنوان أسلم فی (ص 73) و هو غیر أسلم المذکور فی (روشن- ص 44) لأنه من القرن الثالث عشر</w:t>
      </w:r>
    </w:p>
    <w:p>
      <w:pPr>
        <w:pStyle w:val="Heading3"/>
      </w:pPr>
      <w:bookmarkStart w:id="4461" w:name="_Toc3157"/>
      <w:r>
        <w:t>دیوان سالمی تفرشی‏</w:t>
      </w:r>
      <w:bookmarkEnd w:id="4461"/>
    </w:p>
    <w:p>
      <w:pPr>
        <w:pStyle w:val="BookText"/>
      </w:pPr>
      <w:r>
        <w:rPr>
          <w:rFonts w:ascii="IRNazanin" w:hAnsi="IRNazanin" w:eastAsia="IRNazanin" w:cs="IRNazanin"/>
          <w:lang w:bidi="fa-IR"/>
          <w:color w:val="111111"/>
          <w:sz w:val="28"/>
          <w:szCs w:val="28"/>
          <w:rtl/>
        </w:rPr>
        <w:t xml:space="preserve">ترجمه و أورد شعره فی (گلشن- ص 194) و أظنه اشتبه بسائلی قرشی الآتی‏</w:t>
      </w:r>
    </w:p>
    <w:p>
      <w:pPr>
        <w:pStyle w:val="Heading3"/>
      </w:pPr>
      <w:bookmarkStart w:id="4462" w:name="_Toc3158"/>
      <w:r>
        <w:t>2450- دیوان سالمی خراسانی أو شعره‏</w:t>
      </w:r>
      <w:bookmarkEnd w:id="4462"/>
    </w:p>
    <w:p>
      <w:pPr>
        <w:pStyle w:val="BookText"/>
      </w:pPr>
      <w:r>
        <w:rPr>
          <w:rFonts w:ascii="IRNazanin" w:hAnsi="IRNazanin" w:eastAsia="IRNazanin" w:cs="IRNazanin"/>
          <w:lang w:bidi="fa-IR"/>
          <w:color w:val="111111"/>
          <w:sz w:val="28"/>
          <w:szCs w:val="28"/>
          <w:rtl/>
        </w:rPr>
        <w:t xml:space="preserve">أصله من العراق و اکتسب العلم بخراسان و مهر فی المعمی و الخط و الموسیقی ترجمه فی (مجن 3- ص 66 و 238) و لکن جاء اسمه فی الأول سائلی و کذا فی (گلشن- ص 196) و الصحیح ما ذکرناه‏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418" w:name="pg11704_121898"/>
    <w:bookmarkEnd w:id="418"/>
    <w:p>
      <w:pPr>
        <w:pStyle w:val="Heading3"/>
      </w:pPr>
      <w:bookmarkStart w:id="4463" w:name="_Toc3159"/>
      <w:r>
        <w:t>2451- دیوان سامانی بختیاری‏</w:t>
      </w:r>
      <w:bookmarkEnd w:id="4463"/>
    </w:p>
    <w:p>
      <w:pPr>
        <w:pStyle w:val="BookText"/>
      </w:pPr>
      <w:r>
        <w:rPr>
          <w:rFonts w:ascii="IRNazanin" w:hAnsi="IRNazanin" w:eastAsia="IRNazanin" w:cs="IRNazanin"/>
          <w:lang w:bidi="fa-IR"/>
          <w:color w:val="111111"/>
          <w:sz w:val="28"/>
          <w:szCs w:val="28"/>
          <w:rtl/>
        </w:rPr>
        <w:t xml:space="preserve">معتمد همایون المعاصر هو و أبوه و جده شعراء کلهم یتخلصون سامانی أورد شعرهم فی (پژمان- ص 167)</w:t>
      </w:r>
    </w:p>
    <w:p>
      <w:pPr>
        <w:pStyle w:val="Heading3"/>
      </w:pPr>
      <w:bookmarkStart w:id="4464" w:name="_Toc3160"/>
      <w:r>
        <w:t>2452- دیوان سامانی بخاری أو شعره‏</w:t>
      </w:r>
      <w:bookmarkEnd w:id="4464"/>
    </w:p>
    <w:p>
      <w:pPr>
        <w:pStyle w:val="BookText"/>
      </w:pPr>
      <w:r>
        <w:rPr>
          <w:rFonts w:ascii="IRNazanin" w:hAnsi="IRNazanin" w:eastAsia="IRNazanin" w:cs="IRNazanin"/>
          <w:lang w:bidi="fa-IR"/>
          <w:color w:val="111111"/>
          <w:sz w:val="28"/>
          <w:szCs w:val="28"/>
          <w:rtl/>
        </w:rPr>
        <w:t xml:space="preserve">ترجمه فی (مجتس 6- ص 160) و ذکر أن اسمه ملا سرکاری من طلبة العلم و أورد شعره‏</w:t>
      </w:r>
    </w:p>
    <w:p>
      <w:pPr>
        <w:pStyle w:val="Heading3"/>
      </w:pPr>
      <w:bookmarkStart w:id="4465" w:name="_Toc3161"/>
      <w:r>
        <w:t>2453- دیوان سامانی جونپوری أو شعره‏</w:t>
      </w:r>
      <w:bookmarkEnd w:id="4465"/>
    </w:p>
    <w:p>
      <w:pPr>
        <w:pStyle w:val="BookText"/>
      </w:pPr>
      <w:r>
        <w:rPr>
          <w:rFonts w:ascii="IRNazanin" w:hAnsi="IRNazanin" w:eastAsia="IRNazanin" w:cs="IRNazanin"/>
          <w:lang w:bidi="fa-IR"/>
          <w:color w:val="111111"/>
          <w:sz w:val="28"/>
          <w:szCs w:val="28"/>
          <w:rtl/>
        </w:rPr>
        <w:t xml:space="preserve">و اسمه المیر محمد ناصر کان من أمراء خان خانان و قتل فی (1147) أورد شعره فی (گلشن- ص 194) و عنه فی القاموس الترکی ثم الریحانة</w:t>
      </w:r>
    </w:p>
    <w:p>
      <w:pPr>
        <w:pStyle w:val="Heading3"/>
      </w:pPr>
      <w:bookmarkStart w:id="4466" w:name="_Toc3162"/>
      <w:r>
        <w:t>2454- دیوان سامانی شیرازی‏</w:t>
      </w:r>
      <w:bookmarkEnd w:id="4466"/>
    </w:p>
    <w:p>
      <w:pPr>
        <w:pStyle w:val="BookText"/>
      </w:pPr>
      <w:r>
        <w:rPr>
          <w:rFonts w:ascii="IRNazanin" w:hAnsi="IRNazanin" w:eastAsia="IRNazanin" w:cs="IRNazanin"/>
          <w:lang w:bidi="fa-IR"/>
          <w:color w:val="111111"/>
          <w:sz w:val="28"/>
          <w:szCs w:val="28"/>
          <w:rtl/>
        </w:rPr>
        <w:t xml:space="preserve">اسمه محمد حسن بن المیرزا حبیب الله المعروف بالحکیم القاآنی ترجمه فی (مع- ج 2 ص 203) و ذکر أنه ولد بشیراز و نزل مع والده بطهران و اشتغل بالتحصیل حتی برع فی فنون و توفی شابا فی (1285) و أورد من أشعاره ما تقرب من مائتین و خمسین بیتا و کذا ترجمه فی المآثر- ص 204</w:t>
      </w:r>
    </w:p>
    <w:p>
      <w:pPr>
        <w:pStyle w:val="Heading3"/>
      </w:pPr>
      <w:bookmarkStart w:id="4467" w:name="_Toc3163"/>
      <w:r>
        <w:t>2455- دیوان سامری تبریزی أو شعره‏</w:t>
      </w:r>
      <w:bookmarkEnd w:id="4467"/>
    </w:p>
    <w:p>
      <w:pPr>
        <w:pStyle w:val="BookText"/>
      </w:pPr>
      <w:r>
        <w:rPr>
          <w:rFonts w:ascii="IRNazanin" w:hAnsi="IRNazanin" w:eastAsia="IRNazanin" w:cs="IRNazanin"/>
          <w:lang w:bidi="fa-IR"/>
          <w:color w:val="111111"/>
          <w:sz w:val="28"/>
          <w:szCs w:val="28"/>
          <w:rtl/>
        </w:rPr>
        <w:t xml:space="preserve">هو ابن حیدری التبریزی ترجمه فی (دجا ص 176) و ذکر أنه سافر إلی الهند بزی التجار و اتصل بخان خانان و نقل عدة من أشعاره عن خاتمة خلاصة الأشعار و کذا فی (گلشن- ص 195) و (تغ- ص 62) و (پژمان- ص 831)</w:t>
      </w:r>
    </w:p>
    <w:p>
      <w:pPr>
        <w:pStyle w:val="Heading3"/>
      </w:pPr>
      <w:bookmarkStart w:id="4468" w:name="_Toc3164"/>
      <w:r>
        <w:t>دیوان سامعا تبریزی‏</w:t>
      </w:r>
      <w:bookmarkEnd w:id="4468"/>
    </w:p>
    <w:p>
      <w:pPr>
        <w:pStyle w:val="BookText"/>
      </w:pPr>
      <w:r>
        <w:rPr>
          <w:rFonts w:ascii="IRNazanin" w:hAnsi="IRNazanin" w:eastAsia="IRNazanin" w:cs="IRNazanin"/>
          <w:lang w:bidi="fa-IR"/>
          <w:color w:val="111111"/>
          <w:sz w:val="28"/>
          <w:szCs w:val="28"/>
          <w:rtl/>
        </w:rPr>
        <w:t xml:space="preserve">و اسمه بیرام بیک ترجمه کذلک فی (دجا- ص 176) و الصحیح أنه همدانی کما یأتی‏</w:t>
      </w:r>
    </w:p>
    <w:p>
      <w:pPr>
        <w:pStyle w:val="Heading3"/>
      </w:pPr>
      <w:bookmarkStart w:id="4469" w:name="_Toc3165"/>
      <w:r>
        <w:t>2456- دیوان سامعا مازندرانی أو شعره‏</w:t>
      </w:r>
      <w:bookmarkEnd w:id="4469"/>
    </w:p>
    <w:p>
      <w:pPr>
        <w:pStyle w:val="BookText"/>
      </w:pPr>
      <w:r>
        <w:rPr>
          <w:rFonts w:ascii="IRNazanin" w:hAnsi="IRNazanin" w:eastAsia="IRNazanin" w:cs="IRNazanin"/>
          <w:lang w:bidi="fa-IR"/>
          <w:color w:val="111111"/>
          <w:sz w:val="28"/>
          <w:szCs w:val="28"/>
          <w:rtl/>
        </w:rPr>
        <w:t xml:space="preserve">ترجمه معاصره النصرآبادی فی (نر 9- ص 381) و ذکر اشتغاله بالعلم و سفره إلی الهند و عودته إلی أصفهان و وفاته بها و أورد بعض شعره‏</w:t>
      </w:r>
    </w:p>
    <w:p>
      <w:pPr>
        <w:pStyle w:val="Heading3"/>
      </w:pPr>
      <w:bookmarkStart w:id="4470" w:name="_Toc3166"/>
      <w:r>
        <w:t>2457- دیوان سامعا همدانی أو شعره‏</w:t>
      </w:r>
      <w:bookmarkEnd w:id="4470"/>
    </w:p>
    <w:p>
      <w:pPr>
        <w:pStyle w:val="BookText"/>
      </w:pPr>
      <w:r>
        <w:rPr>
          <w:rFonts w:ascii="IRNazanin" w:hAnsi="IRNazanin" w:eastAsia="IRNazanin" w:cs="IRNazanin"/>
          <w:lang w:bidi="fa-IR"/>
          <w:color w:val="111111"/>
          <w:sz w:val="28"/>
          <w:szCs w:val="28"/>
          <w:rtl/>
        </w:rPr>
        <w:t xml:space="preserve">ترجمه النصرآبادی فی (نر 9- ص 323) قال اسمه بیرام بن باقر بیک الهمدانی الذی کان ملازم رستم خان سپهسالار و قتل فی قزوین و ذکر أنه کان ماهرا فی علم الموسیقی و نظم التصنیف، و ابتلی بمرض حمل إلی البیمارستان المؤسس فی ورنوسفادران و بها توفی و أورد جملة من شعره، و کذا فی (تغ- ص 63) و (پژمان- ص 831) و (گلشن- ص 195) و لکن فی (دجا- ص 176) نسبه إلی تبریز اشتباها</w:t>
      </w:r>
    </w:p>
    <w:p>
      <w:pPr>
        <w:pStyle w:val="Heading3"/>
      </w:pPr>
      <w:bookmarkStart w:id="4471" w:name="_Toc3167"/>
      <w:r>
        <w:t>2458- دیوان سامع شوشتری‏</w:t>
      </w:r>
      <w:bookmarkEnd w:id="4471"/>
    </w:p>
    <w:p>
      <w:pPr>
        <w:pStyle w:val="BookText"/>
      </w:pPr>
      <w:r>
        <w:rPr>
          <w:rFonts w:ascii="IRNazanin" w:hAnsi="IRNazanin" w:eastAsia="IRNazanin" w:cs="IRNazanin"/>
          <w:lang w:bidi="fa-IR"/>
          <w:color w:val="111111"/>
          <w:sz w:val="28"/>
          <w:szCs w:val="28"/>
          <w:rtl/>
        </w:rPr>
        <w:t xml:space="preserve">و هو الحاج محمد حسن بن علی رضا ناجی ابن محمد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419" w:name="pg11704_121899"/>
    <w:bookmarkEnd w:id="419"/>
    <w:p>
      <w:pPr>
        <w:pStyle w:val="BookText"/>
      </w:pPr>
      <w:r>
        <w:rPr>
          <w:rFonts w:ascii="IRNazanin" w:hAnsi="IRNazanin" w:eastAsia="IRNazanin" w:cs="IRNazanin"/>
          <w:lang w:bidi="fa-IR"/>
          <w:color w:val="111111"/>
          <w:sz w:val="28"/>
          <w:szCs w:val="28"/>
          <w:rtl/>
        </w:rPr>
        <w:t xml:space="preserve">طاهر نزیل بمبئی هاجر والده إلی بمبئی حدود (1240) فتزوج بابنة الملا علی التستری التاجر بها فرزق منها محمد حسن هذا و أخته فماتت، فتزوج بأختها فرزق منها شاکرة فی (1244) و محمد حسین فی (1247) و محمد علی حزین فی (1266) و ترجمهم جمیعا عباس بن محمد علی الحزین فی مقدمه ناله حزین المطبوع (1938 م) و ذکر أنه تلمذ علی الفاضل الأردکانی، و کان یتجر فی بمبئی و مات فی الکاظمیة فی (1297) و حمل إلی النجف و دفن عند أبیه، و له من الأولاد محمد و أحمد و علی و ترجمه أیضا أخوه محمد علی الحزین فی تحفه الأحباب و أورد شعره‏</w:t>
      </w:r>
    </w:p>
    <w:p>
      <w:pPr>
        <w:pStyle w:val="Heading3"/>
      </w:pPr>
      <w:bookmarkStart w:id="4472" w:name="_Toc3168"/>
      <w:r>
        <w:t>2459- دیوان سامعی هندی‏</w:t>
      </w:r>
      <w:bookmarkEnd w:id="4472"/>
    </w:p>
    <w:p>
      <w:pPr>
        <w:pStyle w:val="BookText"/>
      </w:pPr>
      <w:r>
        <w:rPr>
          <w:rFonts w:ascii="IRNazanin" w:hAnsi="IRNazanin" w:eastAsia="IRNazanin" w:cs="IRNazanin"/>
          <w:lang w:bidi="fa-IR"/>
          <w:color w:val="111111"/>
          <w:sz w:val="28"/>
          <w:szCs w:val="28"/>
          <w:rtl/>
        </w:rPr>
        <w:t xml:space="preserve">له ذیل المثنوی بهمن‏نامه للشیخ آذری حمزة بن علی، کما رأیته فی بعض الفهارس.</w:t>
      </w:r>
    </w:p>
    <w:p>
      <w:pPr>
        <w:pStyle w:val="Heading3"/>
      </w:pPr>
      <w:bookmarkStart w:id="4473" w:name="_Toc3169"/>
      <w:r>
        <w:t>دیوان سام نیشابوری‏</w:t>
      </w:r>
      <w:bookmarkEnd w:id="4473"/>
    </w:p>
    <w:p>
      <w:pPr>
        <w:pStyle w:val="BookText"/>
      </w:pPr>
      <w:r>
        <w:rPr>
          <w:rFonts w:ascii="IRNazanin" w:hAnsi="IRNazanin" w:eastAsia="IRNazanin" w:cs="IRNazanin"/>
          <w:lang w:bidi="fa-IR"/>
          <w:color w:val="111111"/>
          <w:sz w:val="28"/>
          <w:szCs w:val="28"/>
          <w:rtl/>
        </w:rPr>
        <w:t xml:space="preserve">کما فی (تش- ص 138) و الظاهر أنه سامی نیشابوری کما یأتی.</w:t>
      </w:r>
    </w:p>
    <w:p>
      <w:pPr>
        <w:pStyle w:val="Heading3"/>
      </w:pPr>
      <w:bookmarkStart w:id="4474" w:name="_Toc3170"/>
      <w:r>
        <w:t>دیوان سامی أصفهانی‏</w:t>
      </w:r>
      <w:bookmarkEnd w:id="4474"/>
    </w:p>
    <w:p>
      <w:pPr>
        <w:pStyle w:val="BookText"/>
      </w:pPr>
      <w:r>
        <w:rPr>
          <w:rFonts w:ascii="IRNazanin" w:hAnsi="IRNazanin" w:eastAsia="IRNazanin" w:cs="IRNazanin"/>
          <w:lang w:bidi="fa-IR"/>
          <w:color w:val="111111"/>
          <w:sz w:val="28"/>
          <w:szCs w:val="28"/>
          <w:rtl/>
        </w:rPr>
        <w:t xml:space="preserve">راجع دیوان سامی چرکسی.</w:t>
      </w:r>
    </w:p>
    <w:p>
      <w:pPr>
        <w:pStyle w:val="Heading3"/>
      </w:pPr>
      <w:bookmarkStart w:id="4475" w:name="_Toc3171"/>
      <w:r>
        <w:t>2460- دیوان سامی چرکسی‏</w:t>
      </w:r>
      <w:bookmarkEnd w:id="4475"/>
    </w:p>
    <w:p>
      <w:pPr>
        <w:pStyle w:val="BookText"/>
      </w:pPr>
      <w:r>
        <w:rPr>
          <w:rFonts w:ascii="IRNazanin" w:hAnsi="IRNazanin" w:eastAsia="IRNazanin" w:cs="IRNazanin"/>
          <w:lang w:bidi="fa-IR"/>
          <w:color w:val="111111"/>
          <w:sz w:val="28"/>
          <w:szCs w:val="28"/>
          <w:rtl/>
        </w:rPr>
        <w:t xml:space="preserve">و اسمه لطف علی بیگ بن إسماعیل من أمراء چرکس. سماه فی شمع انجمن ساقی غلطا. و قال کان یتخلص سابقا نجیب ثم اتخذ سامی تخلصا. کذا ترجمه فی (گلشن- ص 196) و (تغ- ص 63) و مختصرا فی (تش- ص 14) و توجد نسخه من دیوانه عند (الملک) برقم (5121) یشتمل علی أکثر من (5500) بیتا کتبت فی القرن الحادی عشر. و لعله صاحب مثنوی یوسف و زلیخا المذکور فی (روشن- ص 284).</w:t>
      </w:r>
    </w:p>
    <w:p>
      <w:pPr>
        <w:pStyle w:val="Heading3"/>
      </w:pPr>
      <w:bookmarkStart w:id="4476" w:name="_Toc3172"/>
      <w:r>
        <w:t>دیوان سامی خراسانی‏</w:t>
      </w:r>
      <w:bookmarkEnd w:id="4476"/>
    </w:p>
    <w:p>
      <w:pPr>
        <w:pStyle w:val="BookText"/>
      </w:pPr>
      <w:r>
        <w:rPr>
          <w:rFonts w:ascii="IRNazanin" w:hAnsi="IRNazanin" w:eastAsia="IRNazanin" w:cs="IRNazanin"/>
          <w:lang w:bidi="fa-IR"/>
          <w:color w:val="111111"/>
          <w:sz w:val="28"/>
          <w:szCs w:val="28"/>
          <w:rtl/>
        </w:rPr>
        <w:t xml:space="preserve">یأتی بعنوان سامی نیشابوری.</w:t>
      </w:r>
    </w:p>
    <w:p>
      <w:pPr>
        <w:pStyle w:val="Heading3"/>
      </w:pPr>
      <w:bookmarkStart w:id="4477" w:name="_Toc3173"/>
      <w:r>
        <w:t>دیوان سامی دامغانی‏</w:t>
      </w:r>
      <w:bookmarkEnd w:id="4477"/>
    </w:p>
    <w:p>
      <w:pPr>
        <w:pStyle w:val="BookText"/>
      </w:pPr>
      <w:r>
        <w:rPr>
          <w:rFonts w:ascii="IRNazanin" w:hAnsi="IRNazanin" w:eastAsia="IRNazanin" w:cs="IRNazanin"/>
          <w:lang w:bidi="fa-IR"/>
          <w:color w:val="111111"/>
          <w:sz w:val="28"/>
          <w:szCs w:val="28"/>
          <w:rtl/>
        </w:rPr>
        <w:t xml:space="preserve">کما فی النسخة الترکیة لمجالس النفائس، و لکن فی ترجمته فی (مجن 3 ص 62 و 235) جاء شامی فیأتی فی الشین.</w:t>
      </w:r>
    </w:p>
    <w:p>
      <w:pPr>
        <w:pStyle w:val="Heading3"/>
      </w:pPr>
      <w:bookmarkStart w:id="4478" w:name="_Toc3174"/>
      <w:r>
        <w:t>2461- دیوان سامی صفوی‏</w:t>
      </w:r>
      <w:bookmarkEnd w:id="4478"/>
    </w:p>
    <w:p>
      <w:pPr>
        <w:pStyle w:val="BookText"/>
      </w:pPr>
      <w:r>
        <w:rPr>
          <w:rFonts w:ascii="IRNazanin" w:hAnsi="IRNazanin" w:eastAsia="IRNazanin" w:cs="IRNazanin"/>
          <w:lang w:bidi="fa-IR"/>
          <w:color w:val="111111"/>
          <w:sz w:val="28"/>
          <w:szCs w:val="28"/>
          <w:rtl/>
        </w:rPr>
        <w:t xml:space="preserve">و هو الشاه‏زاده سام میرزا ابن الشاه إسماعیل الأول المؤسس للدولة الصفویة و أخ الشاه طهماسب و المعارض معه. ولد فی الثلاثاء (21- شعبان- (923) و مات حین هدم علیه السقف فی الزلزال فی (974) حین کان محبوسا فی حصن قهقة کما فی (دجا- ص 176) أو قتل (983) کما فی حبیب السیر. له‏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420" w:name="pg11704_121900"/>
    <w:bookmarkEnd w:id="420"/>
    <w:p>
      <w:pPr>
        <w:pStyle w:val="BookText"/>
      </w:pPr>
      <w:r>
        <w:rPr>
          <w:rFonts w:ascii="IRNazanin" w:hAnsi="IRNazanin" w:eastAsia="IRNazanin" w:cs="IRNazanin"/>
          <w:lang w:bidi="fa-IR"/>
          <w:color w:val="111111"/>
          <w:sz w:val="28"/>
          <w:szCs w:val="28"/>
          <w:rtl/>
        </w:rPr>
        <w:t xml:space="preserve">تذکره تحفه سامی المؤلف (957) و المشتمل علی (664) ترجمه کما ذکر تربیت و قال رأیت دیوانه البالغ ستة آلاف بیت. و ترجمه فی (تش- ص 14) و (حسینی- ص 148) و (مع- ج 1 ص 31) و القاموس الترکی و عنه فی الریحانة. و فی مقدمه طبع التحفة المطبوعة (1317 ش).</w:t>
      </w:r>
    </w:p>
    <w:p>
      <w:pPr>
        <w:pStyle w:val="Heading3"/>
      </w:pPr>
      <w:bookmarkStart w:id="4479" w:name="_Toc3175"/>
      <w:r>
        <w:t>2462- دیوان سامی قزوینی أو شعره‏</w:t>
      </w:r>
      <w:bookmarkEnd w:id="4479"/>
    </w:p>
    <w:p>
      <w:pPr>
        <w:pStyle w:val="BookText"/>
      </w:pPr>
      <w:r>
        <w:rPr>
          <w:rFonts w:ascii="IRNazanin" w:hAnsi="IRNazanin" w:eastAsia="IRNazanin" w:cs="IRNazanin"/>
          <w:lang w:bidi="fa-IR"/>
          <w:color w:val="111111"/>
          <w:sz w:val="28"/>
          <w:szCs w:val="28"/>
          <w:rtl/>
        </w:rPr>
        <w:t xml:space="preserve">قال فی (حسینی- ص 153) اسمه عز الدین و مات (950) و أورد شعره. و فی (گلشن- ص 195) سماه کذلک و لکن تاریخ وفاته (956) و نقل عن شمع انجمن أن اسمه نصیر الدین و تخلصه ساقی و عنه أخذ فی القاموس الترکی و عنه فی الریحانة.</w:t>
      </w:r>
    </w:p>
    <w:p>
      <w:pPr>
        <w:pStyle w:val="Heading3"/>
      </w:pPr>
      <w:bookmarkStart w:id="4480" w:name="_Toc3176"/>
      <w:r>
        <w:t>2463- دیوان سامی لاهوری أو شعره‏</w:t>
      </w:r>
      <w:bookmarkEnd w:id="4480"/>
    </w:p>
    <w:p>
      <w:pPr>
        <w:pStyle w:val="BookText"/>
      </w:pPr>
      <w:r>
        <w:rPr>
          <w:rFonts w:ascii="IRNazanin" w:hAnsi="IRNazanin" w:eastAsia="IRNazanin" w:cs="IRNazanin"/>
          <w:lang w:bidi="fa-IR"/>
          <w:color w:val="111111"/>
          <w:sz w:val="28"/>
          <w:szCs w:val="28"/>
          <w:rtl/>
        </w:rPr>
        <w:t xml:space="preserve">و اسمه الخواجة عبد الله. کان من أولاد أتراک کوهپایه و ولد هو بلاهور، و له مع بیدل فی شاه جهان‏آباد مناظرات و مات (1155) کذا ترجمه و أورد شعره فی (گلشن- ص 195) و فی القاموس الترکی مات (1115) کما فی الریحانة. و أورد شعره فی گلستان مسرت- ص 468.</w:t>
      </w:r>
    </w:p>
    <w:p>
      <w:pPr>
        <w:pStyle w:val="Heading3"/>
      </w:pPr>
      <w:bookmarkStart w:id="4481" w:name="_Toc3177"/>
      <w:r>
        <w:t>دیوان سامی میانجی‏</w:t>
      </w:r>
      <w:bookmarkEnd w:id="4481"/>
    </w:p>
    <w:p>
      <w:pPr>
        <w:pStyle w:val="BookText"/>
      </w:pPr>
      <w:r>
        <w:rPr>
          <w:rFonts w:ascii="IRNazanin" w:hAnsi="IRNazanin" w:eastAsia="IRNazanin" w:cs="IRNazanin"/>
          <w:lang w:bidi="fa-IR"/>
          <w:color w:val="111111"/>
          <w:sz w:val="28"/>
          <w:szCs w:val="28"/>
          <w:rtl/>
        </w:rPr>
        <w:t xml:space="preserve">أورد شعره بهذا العنوان فی (حسینی- ص 154) بعد ذکره سامی قزوینی و أظنهما رجلا واحدا.</w:t>
      </w:r>
    </w:p>
    <w:p>
      <w:pPr>
        <w:pStyle w:val="Heading3"/>
      </w:pPr>
      <w:bookmarkStart w:id="4482" w:name="_Toc3178"/>
      <w:r>
        <w:t>2464- دیوان سامی نیشابوری أو شعره‏</w:t>
      </w:r>
      <w:bookmarkEnd w:id="4482"/>
    </w:p>
    <w:p>
      <w:pPr>
        <w:pStyle w:val="BookText"/>
      </w:pPr>
      <w:r>
        <w:rPr>
          <w:rFonts w:ascii="IRNazanin" w:hAnsi="IRNazanin" w:eastAsia="IRNazanin" w:cs="IRNazanin"/>
          <w:lang w:bidi="fa-IR"/>
          <w:color w:val="111111"/>
          <w:sz w:val="28"/>
          <w:szCs w:val="28"/>
          <w:rtl/>
        </w:rPr>
        <w:t xml:space="preserve">کان من شعراء خراسان من عهد السلطان حسین بایقرا (المتوفی 911) إلی عهد السلطان طهماسب الصفوی (المتوفی 984) ترجمه کذلک بعنوان سامی خراسانی فی (گلشن- ص 195) و عنه فی القاموس الترکی و عنه فی الریحانة و (پژمان- ص 168) و الظاهر أنه متحد مع سام نیشابوری الذی ذکره فی (تش- ص 138) و قال إن اسمه غیاث الدین أحمد.</w:t>
      </w:r>
    </w:p>
    <w:p>
      <w:pPr>
        <w:pStyle w:val="Heading3"/>
      </w:pPr>
      <w:bookmarkStart w:id="4483" w:name="_Toc3179"/>
      <w:r>
        <w:t>دیوان سامی هندی‏</w:t>
      </w:r>
      <w:bookmarkEnd w:id="4483"/>
    </w:p>
    <w:p>
      <w:pPr>
        <w:pStyle w:val="BookText"/>
      </w:pPr>
      <w:r>
        <w:rPr>
          <w:rFonts w:ascii="IRNazanin" w:hAnsi="IRNazanin" w:eastAsia="IRNazanin" w:cs="IRNazanin"/>
          <w:lang w:bidi="fa-IR"/>
          <w:color w:val="111111"/>
          <w:sz w:val="28"/>
          <w:szCs w:val="28"/>
          <w:rtl/>
        </w:rPr>
        <w:t xml:space="preserve">راجع دیوان سامی لاهوری.</w:t>
      </w:r>
    </w:p>
    <w:p>
      <w:pPr>
        <w:pStyle w:val="Heading3"/>
      </w:pPr>
      <w:bookmarkStart w:id="4484" w:name="_Toc3180"/>
      <w:r>
        <w:t>2465- دیوان سامی هزار جریبی‏</w:t>
      </w:r>
      <w:bookmarkEnd w:id="4484"/>
    </w:p>
    <w:p>
      <w:pPr>
        <w:pStyle w:val="BookText"/>
      </w:pPr>
      <w:r>
        <w:rPr>
          <w:rFonts w:ascii="IRNazanin" w:hAnsi="IRNazanin" w:eastAsia="IRNazanin" w:cs="IRNazanin"/>
          <w:lang w:bidi="fa-IR"/>
          <w:color w:val="111111"/>
          <w:sz w:val="28"/>
          <w:szCs w:val="28"/>
          <w:rtl/>
        </w:rPr>
        <w:t xml:space="preserve">للمیرزا علی بن المیرزا حسن الذی کان ناظر حسین علی میرزا فرمان فرما بشیراز قدیما. و اشتغل بتحصیل العلوم و الکمالات من أول عمره و صار جامعا لها. ترجمه معاصره فی (مع- ج 2 ص 182) و ذکر مفارقته معه فهو فی شیراز و هدایت بطهران. قال و سمعت أنه یتخلص هشیار و أورد ما یقرب من خمسین بیتا من شعره.</w:t>
      </w:r>
    </w:p>
    <w:p>
      <w:pPr>
        <w:pStyle w:val="Heading3"/>
      </w:pPr>
      <w:bookmarkStart w:id="4485" w:name="_Toc3181"/>
      <w:r>
        <w:t>2466- دیوان سایر أردوبادی أو شعره‏</w:t>
      </w:r>
      <w:bookmarkEnd w:id="4485"/>
    </w:p>
    <w:p>
      <w:pPr>
        <w:pStyle w:val="BookText"/>
      </w:pPr>
      <w:r>
        <w:rPr>
          <w:rFonts w:ascii="IRNazanin" w:hAnsi="IRNazanin" w:eastAsia="IRNazanin" w:cs="IRNazanin"/>
          <w:lang w:bidi="fa-IR"/>
          <w:color w:val="111111"/>
          <w:sz w:val="28"/>
          <w:szCs w:val="28"/>
          <w:rtl/>
        </w:rPr>
        <w:t xml:space="preserve">ترجمه النصرآبادی فی (نر 9- ص 281)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421" w:name="pg11704_121901"/>
    <w:bookmarkEnd w:id="421"/>
    <w:p>
      <w:pPr>
        <w:pStyle w:val="BookText"/>
      </w:pPr>
      <w:r>
        <w:rPr>
          <w:rFonts w:ascii="IRNazanin" w:hAnsi="IRNazanin" w:eastAsia="IRNazanin" w:cs="IRNazanin"/>
          <w:lang w:bidi="fa-IR"/>
          <w:color w:val="111111"/>
          <w:sz w:val="28"/>
          <w:szCs w:val="28"/>
          <w:rtl/>
        </w:rPr>
        <w:t xml:space="preserve">و حکی عن میرزا صائبا أنه مشهدی راه فی الهند و کأنه مات بها و سمع أنه من أهل المشهد و أورد رباعیة له و شعرا و هو قوله:</w:t>
      </w:r>
    </w:p>
    <w:p>
      <w:pPr>
        <w:pStyle w:val="BookText"/>
      </w:pPr>
      <w:r>
        <w:rPr>
          <w:rFonts w:ascii="IRNazanin" w:hAnsi="IRNazanin" w:eastAsia="IRNazanin" w:cs="IRNazanin"/>
          <w:lang w:bidi="fa-IR"/>
          <w:color w:val="111111"/>
          <w:sz w:val="28"/>
          <w:szCs w:val="28"/>
          <w:rtl/>
        </w:rPr>
        <w:t xml:space="preserve">بنوش و لعنت حق بر یزید کن سایر</w:t>
      </w:r>
    </w:p>
    <w:p>
      <w:pPr>
        <w:pStyle w:val="BookText"/>
      </w:pPr>
      <w:r>
        <w:rPr>
          <w:rFonts w:ascii="IRNazanin" w:hAnsi="IRNazanin" w:eastAsia="IRNazanin" w:cs="IRNazanin"/>
          <w:lang w:bidi="fa-IR"/>
          <w:color w:val="111111"/>
          <w:sz w:val="28"/>
          <w:szCs w:val="28"/>
          <w:rtl/>
        </w:rPr>
        <w:t xml:space="preserve">اگر به دست تو در کربلاء شراب دهند</w:t>
      </w:r>
    </w:p>
    <w:p>
      <w:pPr>
        <w:pStyle w:val="BookText"/>
      </w:pPr>
      <w:r>
        <w:rPr>
          <w:rFonts w:ascii="IRNazanin" w:hAnsi="IRNazanin" w:eastAsia="IRNazanin" w:cs="IRNazanin"/>
          <w:lang w:bidi="fa-IR"/>
          <w:color w:val="111111"/>
          <w:sz w:val="28"/>
          <w:szCs w:val="28"/>
          <w:rtl/>
        </w:rPr>
        <w:t xml:space="preserve">أقول سیأتی سایر المشهدی الذی کان بأصفهان و أهدی دیوانه إلی الشاه سلیمان الصفوی و حکی فی (دجا- ص 178) عن سفینه خوش‏گو أن سایر الأردوبادی لم یخرج من بلده و الذی کان بالهند هو المشهدی.</w:t>
      </w:r>
    </w:p>
    <w:p>
      <w:pPr>
        <w:pStyle w:val="Heading3"/>
      </w:pPr>
      <w:bookmarkStart w:id="4486" w:name="_Toc3182"/>
      <w:r>
        <w:t>دیوان سایر تبریزی أو شعره‏</w:t>
      </w:r>
      <w:bookmarkEnd w:id="4486"/>
    </w:p>
    <w:p>
      <w:pPr>
        <w:pStyle w:val="BookText"/>
      </w:pPr>
      <w:r>
        <w:rPr>
          <w:rFonts w:ascii="IRNazanin" w:hAnsi="IRNazanin" w:eastAsia="IRNazanin" w:cs="IRNazanin"/>
          <w:lang w:bidi="fa-IR"/>
          <w:color w:val="111111"/>
          <w:sz w:val="28"/>
          <w:szCs w:val="28"/>
          <w:rtl/>
        </w:rPr>
        <w:t xml:space="preserve">ترجمه و ذکر له رباعیتین فی (دجا- ص 178) نقلا عن نسخه جنک مخطوط.</w:t>
      </w:r>
    </w:p>
    <w:p>
      <w:pPr>
        <w:pStyle w:val="Heading3"/>
      </w:pPr>
      <w:bookmarkStart w:id="4487" w:name="_Toc3183"/>
      <w:r>
        <w:t>2467- دیوان سایر تفریشی أو شعره‏</w:t>
      </w:r>
      <w:bookmarkEnd w:id="4487"/>
    </w:p>
    <w:p>
      <w:pPr>
        <w:pStyle w:val="BookText"/>
      </w:pPr>
      <w:r>
        <w:rPr>
          <w:rFonts w:ascii="IRNazanin" w:hAnsi="IRNazanin" w:eastAsia="IRNazanin" w:cs="IRNazanin"/>
          <w:lang w:bidi="fa-IR"/>
          <w:color w:val="111111"/>
          <w:sz w:val="28"/>
          <w:szCs w:val="28"/>
          <w:rtl/>
        </w:rPr>
        <w:t xml:space="preserve">الذی ذکره (خوش‏گو) فی سفینته و أورد شعره و ذکر أنه غیر الأردوبادی و غیر المشهدی.</w:t>
      </w:r>
    </w:p>
    <w:p>
      <w:pPr>
        <w:pStyle w:val="Heading3"/>
      </w:pPr>
      <w:bookmarkStart w:id="4488" w:name="_Toc3184"/>
      <w:r>
        <w:t>2468- دیوان سایر مشهدی‏</w:t>
      </w:r>
      <w:bookmarkEnd w:id="4488"/>
    </w:p>
    <w:p>
      <w:pPr>
        <w:pStyle w:val="BookText"/>
      </w:pPr>
      <w:r>
        <w:rPr>
          <w:rFonts w:ascii="IRNazanin" w:hAnsi="IRNazanin" w:eastAsia="IRNazanin" w:cs="IRNazanin"/>
          <w:lang w:bidi="fa-IR"/>
          <w:color w:val="111111"/>
          <w:sz w:val="28"/>
          <w:szCs w:val="28"/>
          <w:rtl/>
        </w:rPr>
        <w:t xml:space="preserve">نزیل أصفهان فی تکیة حیدر فی چهار باغ. ذکره النصرآبادی فی (نر 9- ص 344) و أطری قناعته و زهده عن الدنیا و أورد بعض رباعیاته و شعره، و یظهر من الوحید الدستگردی فی حاشیة (ص 282) من تذکره النصرآبادی أن نسخه دیوان سایر المشهدی الذی کتبها بخطه للشاه سلیمان الصفوی موجودة فی مکتبته” شاه سلیمان”. و ترجمه فی (تش- ص 86) و (سرخوش- ص 46) و سفینه خوش‏گو کما فی (دجا- ص 174) و جاء شعره فی گلستان مسرت (پژمان- ص 169).</w:t>
      </w:r>
    </w:p>
    <w:p>
      <w:pPr>
        <w:pStyle w:val="Heading3"/>
      </w:pPr>
      <w:bookmarkStart w:id="4489" w:name="_Toc3185"/>
      <w:r>
        <w:t>دیوان ساوجی‏</w:t>
      </w:r>
      <w:bookmarkEnd w:id="4489"/>
    </w:p>
    <w:p>
      <w:pPr>
        <w:pStyle w:val="BookText"/>
      </w:pPr>
      <w:r>
        <w:rPr>
          <w:rFonts w:ascii="IRNazanin" w:hAnsi="IRNazanin" w:eastAsia="IRNazanin" w:cs="IRNazanin"/>
          <w:lang w:bidi="fa-IR"/>
          <w:color w:val="111111"/>
          <w:sz w:val="28"/>
          <w:szCs w:val="28"/>
          <w:rtl/>
        </w:rPr>
        <w:t xml:space="preserve">یأتی بعناوین سوزی ساوجی و سلمان ساوجی و صرفی ساوجی و سیفی ساوجی.</w:t>
      </w:r>
    </w:p>
    <w:p>
      <w:pPr>
        <w:pStyle w:val="Heading3"/>
      </w:pPr>
      <w:bookmarkStart w:id="4490" w:name="_Toc3186"/>
      <w:r>
        <w:t>2469- دیوان ساوجی هندی‏</w:t>
      </w:r>
      <w:bookmarkEnd w:id="4490"/>
    </w:p>
    <w:p>
      <w:pPr>
        <w:pStyle w:val="BookText"/>
      </w:pPr>
      <w:r>
        <w:rPr>
          <w:rFonts w:ascii="IRNazanin" w:hAnsi="IRNazanin" w:eastAsia="IRNazanin" w:cs="IRNazanin"/>
          <w:lang w:bidi="fa-IR"/>
          <w:color w:val="111111"/>
          <w:sz w:val="28"/>
          <w:szCs w:val="28"/>
          <w:rtl/>
        </w:rPr>
        <w:t xml:space="preserve">فارسی لفرخنده خانم الرشیدیة، مطبوعة، کما فی أدبیات معاصر للیاسمی (ص 99).</w:t>
      </w:r>
    </w:p>
    <w:p>
      <w:pPr>
        <w:pStyle w:val="Heading3"/>
      </w:pPr>
      <w:bookmarkStart w:id="4491" w:name="_Toc3187"/>
      <w:r>
        <w:t>2470- دیوان سائل أصفهانی‏</w:t>
      </w:r>
      <w:bookmarkEnd w:id="4491"/>
    </w:p>
    <w:p>
      <w:pPr>
        <w:pStyle w:val="BookText"/>
      </w:pPr>
      <w:r>
        <w:rPr>
          <w:rFonts w:ascii="IRNazanin" w:hAnsi="IRNazanin" w:eastAsia="IRNazanin" w:cs="IRNazanin"/>
          <w:lang w:bidi="fa-IR"/>
          <w:color w:val="111111"/>
          <w:sz w:val="28"/>
          <w:szCs w:val="28"/>
          <w:rtl/>
        </w:rPr>
        <w:t xml:space="preserve">و هو السید حسین الحسینی بن السید حسن القاری (روضه‏خوان) ولد بأصفهان فی (النیریز سنة 1289 ش). جمع (210 رباعیا) من رباعیاته فی کتاب سماه دویست و ده رباعی و هو تاریخ جمعه (1333 ش). کذا ترجمه و أورد شعره فی (شعراء أصفهان- ص 229).</w:t>
      </w:r>
    </w:p>
    <w:p>
      <w:pPr>
        <w:pStyle w:val="Heading3"/>
      </w:pPr>
      <w:bookmarkStart w:id="4492" w:name="_Toc3188"/>
      <w:r>
        <w:t>2471- دیوان سائل بختیاری أو شعره‏</w:t>
      </w:r>
      <w:bookmarkEnd w:id="4492"/>
    </w:p>
    <w:p>
      <w:pPr>
        <w:pStyle w:val="BookText"/>
      </w:pPr>
      <w:r>
        <w:rPr>
          <w:rFonts w:ascii="IRNazanin" w:hAnsi="IRNazanin" w:eastAsia="IRNazanin" w:cs="IRNazanin"/>
          <w:lang w:bidi="fa-IR"/>
          <w:color w:val="111111"/>
          <w:sz w:val="28"/>
          <w:szCs w:val="28"/>
          <w:rtl/>
        </w:rPr>
        <w:t xml:space="preserve">أورد شعره فی (پژمان- ص 168).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422" w:name="pg11704_121902"/>
    <w:bookmarkEnd w:id="422"/>
    <w:p>
      <w:pPr>
        <w:pStyle w:val="Heading3"/>
      </w:pPr>
      <w:bookmarkStart w:id="4493" w:name="_Toc3189"/>
      <w:r>
        <w:t>دیوان سائل دماوندی‏</w:t>
      </w:r>
      <w:bookmarkEnd w:id="4493"/>
    </w:p>
    <w:p>
      <w:pPr>
        <w:pStyle w:val="BookText"/>
      </w:pPr>
      <w:r>
        <w:rPr>
          <w:rFonts w:ascii="IRNazanin" w:hAnsi="IRNazanin" w:eastAsia="IRNazanin" w:cs="IRNazanin"/>
          <w:lang w:bidi="fa-IR"/>
          <w:color w:val="111111"/>
          <w:sz w:val="28"/>
          <w:szCs w:val="28"/>
          <w:rtl/>
        </w:rPr>
        <w:t xml:space="preserve">راجع سائل همدانی.</w:t>
      </w:r>
    </w:p>
    <w:p>
      <w:pPr>
        <w:pStyle w:val="Heading3"/>
      </w:pPr>
      <w:bookmarkStart w:id="4494" w:name="_Toc3190"/>
      <w:r>
        <w:t>دیوان سائل رازی‏</w:t>
      </w:r>
      <w:bookmarkEnd w:id="4494"/>
    </w:p>
    <w:p>
      <w:pPr>
        <w:pStyle w:val="BookText"/>
      </w:pPr>
      <w:r>
        <w:rPr>
          <w:rFonts w:ascii="IRNazanin" w:hAnsi="IRNazanin" w:eastAsia="IRNazanin" w:cs="IRNazanin"/>
          <w:lang w:bidi="fa-IR"/>
          <w:color w:val="111111"/>
          <w:sz w:val="28"/>
          <w:szCs w:val="28"/>
          <w:rtl/>
        </w:rPr>
        <w:t xml:space="preserve">راجع دیوان سائل همدانی.</w:t>
      </w:r>
    </w:p>
    <w:p>
      <w:pPr>
        <w:pStyle w:val="Heading3"/>
      </w:pPr>
      <w:bookmarkStart w:id="4495" w:name="_Toc3191"/>
      <w:r>
        <w:t>2472- دیوان سائل شیرازی‏</w:t>
      </w:r>
      <w:bookmarkEnd w:id="4495"/>
    </w:p>
    <w:p>
      <w:pPr>
        <w:pStyle w:val="BookText"/>
      </w:pPr>
      <w:r>
        <w:rPr>
          <w:rFonts w:ascii="IRNazanin" w:hAnsi="IRNazanin" w:eastAsia="IRNazanin" w:cs="IRNazanin"/>
          <w:lang w:bidi="fa-IR"/>
          <w:color w:val="111111"/>
          <w:sz w:val="28"/>
          <w:szCs w:val="28"/>
          <w:rtl/>
        </w:rPr>
        <w:t xml:space="preserve">محمد سعید و المشهور بآقا جانی ذکر فی (مع- ج 2 ص 182) أن آباءه کانوا من عمال قیر و کازرون من أعمال فارس، و هو خلف أخاه مکانه و سکن شیراز مجالسا مع فضلائها إلی أن توفی بها قبل ورودی إلیها فی (1225) و له دیوان یقال إنه نحله منه خادم القیری و أخرج غزلیاته باسمه- و قد أشرنا إلیه فی ترجمه خادم- و أورد بعض غزلیاته. و توجد نسخه منه فی مکتبة (المجلس) أورد خصوصیاتها و محتویاتها ابن یوسف فی فهرسها (ج 3- ص 294) و هی فی (7000 بیت) و قال الگروسی فی انجمن خاقان- 4 إن دیوانه فی (8000 بیت).</w:t>
      </w:r>
    </w:p>
    <w:p>
      <w:pPr>
        <w:pStyle w:val="Heading3"/>
      </w:pPr>
      <w:bookmarkStart w:id="4496" w:name="_Toc3192"/>
      <w:r>
        <w:t>2473- دیوان سائل کاشانی‏</w:t>
      </w:r>
      <w:bookmarkEnd w:id="4496"/>
    </w:p>
    <w:p>
      <w:pPr>
        <w:pStyle w:val="BookText"/>
      </w:pPr>
      <w:r>
        <w:rPr>
          <w:rFonts w:ascii="IRNazanin" w:hAnsi="IRNazanin" w:eastAsia="IRNazanin" w:cs="IRNazanin"/>
          <w:lang w:bidi="fa-IR"/>
          <w:color w:val="111111"/>
          <w:sz w:val="28"/>
          <w:szCs w:val="28"/>
          <w:rtl/>
        </w:rPr>
        <w:t xml:space="preserve">ترجمه سام میرزا فی (تس 2- ص 35) و ذکر رغبته بنظم القصائد و تتبعه دریای اسرار للأمیر خسرو، و أورد بیتا منه، و قال إنه من سادات کاشان.</w:t>
      </w:r>
    </w:p>
    <w:p>
      <w:pPr>
        <w:pStyle w:val="Heading3"/>
      </w:pPr>
      <w:bookmarkStart w:id="4497" w:name="_Toc3193"/>
      <w:r>
        <w:t>دیوان سائل نهاوندی‏</w:t>
      </w:r>
      <w:bookmarkEnd w:id="4497"/>
    </w:p>
    <w:p>
      <w:pPr>
        <w:pStyle w:val="BookText"/>
      </w:pPr>
      <w:r>
        <w:rPr>
          <w:rFonts w:ascii="IRNazanin" w:hAnsi="IRNazanin" w:eastAsia="IRNazanin" w:cs="IRNazanin"/>
          <w:lang w:bidi="fa-IR"/>
          <w:color w:val="111111"/>
          <w:sz w:val="28"/>
          <w:szCs w:val="28"/>
          <w:rtl/>
        </w:rPr>
        <w:t xml:space="preserve">راجع سائل همدانی.</w:t>
      </w:r>
    </w:p>
    <w:p>
      <w:pPr>
        <w:pStyle w:val="Heading3"/>
      </w:pPr>
      <w:bookmarkStart w:id="4498" w:name="_Toc3194"/>
      <w:r>
        <w:t>2474- دیوان سائل همدانی‏</w:t>
      </w:r>
      <w:bookmarkEnd w:id="4498"/>
    </w:p>
    <w:p>
      <w:pPr>
        <w:pStyle w:val="BookText"/>
      </w:pPr>
      <w:r>
        <w:rPr>
          <w:rFonts w:ascii="IRNazanin" w:hAnsi="IRNazanin" w:eastAsia="IRNazanin" w:cs="IRNazanin"/>
          <w:lang w:bidi="fa-IR"/>
          <w:color w:val="111111"/>
          <w:sz w:val="28"/>
          <w:szCs w:val="28"/>
          <w:rtl/>
        </w:rPr>
        <w:t xml:space="preserve">قال فی (تش- ص 212) إن أصله من ری و سکن بنهاوند من همدان و ساح بلاد عراق و آذربایجان و خاصم شعراء عصره فآذوه فتجنن و أحرق رأسه بنفسه فمات بیزد. و قال فی (تس 5- ص 122) إنه من دماوند (ظ: نهاوند) و سکن همدان من شبابه فاشتهر به، و بعد إطراء فضائله قال: ذمه حیرتی فقال:</w:t>
      </w:r>
    </w:p>
    <w:p>
      <w:pPr>
        <w:pStyle w:val="BookText"/>
      </w:pPr>
      <w:r>
        <w:rPr>
          <w:rFonts w:ascii="IRNazanin" w:hAnsi="IRNazanin" w:eastAsia="IRNazanin" w:cs="IRNazanin"/>
          <w:lang w:bidi="fa-IR"/>
          <w:color w:val="111111"/>
          <w:sz w:val="28"/>
          <w:szCs w:val="28"/>
          <w:rtl/>
        </w:rPr>
        <w:t xml:space="preserve">سائل آن کهنه فاسق همدان‏</w:t>
      </w:r>
    </w:p>
    <w:p>
      <w:pPr>
        <w:pStyle w:val="BookText"/>
      </w:pPr>
      <w:r>
        <w:rPr>
          <w:rFonts w:ascii="IRNazanin" w:hAnsi="IRNazanin" w:eastAsia="IRNazanin" w:cs="IRNazanin"/>
          <w:lang w:bidi="fa-IR"/>
          <w:color w:val="111111"/>
          <w:sz w:val="28"/>
          <w:szCs w:val="28"/>
          <w:rtl/>
        </w:rPr>
        <w:t xml:space="preserve">که سرشتش ز بغض و کین باشد</w:t>
      </w:r>
    </w:p>
    <w:p>
      <w:pPr>
        <w:pStyle w:val="BookText"/>
      </w:pPr>
      <w:r>
        <w:rPr>
          <w:rFonts w:ascii="IRNazanin" w:hAnsi="IRNazanin" w:eastAsia="IRNazanin" w:cs="IRNazanin"/>
          <w:lang w:bidi="fa-IR"/>
          <w:color w:val="111111"/>
          <w:sz w:val="28"/>
          <w:szCs w:val="28"/>
          <w:rtl/>
        </w:rPr>
        <w:t xml:space="preserve">و اختل دماغه فی آخر عمره و مات (940) و قال فی (خص 8- ص 180) إنه من نهاوند من جلکة همدان و کان جامعا بین علوم الظاهر و الباطن حتی اتهم بالجنون و أورد أشعاره التی جاء بعضها فی (تس 5- ص 122) و بعضها فی (تش- ص 212).</w:t>
      </w:r>
    </w:p>
    <w:p>
      <w:pPr>
        <w:pStyle w:val="BookText"/>
      </w:pPr>
      <w:r>
        <w:rPr>
          <w:rFonts w:ascii="IRNazanin" w:hAnsi="IRNazanin" w:eastAsia="IRNazanin" w:cs="IRNazanin"/>
          <w:lang w:bidi="fa-IR"/>
          <w:color w:val="111111"/>
          <w:sz w:val="28"/>
          <w:szCs w:val="28"/>
          <w:rtl/>
        </w:rPr>
        <w:t xml:space="preserve">و کذا فی گلستان مسرت و (گلشن- ص 196) و القاموس الترکی و عنه فی الریحانة.</w:t>
      </w:r>
    </w:p>
    <w:p>
      <w:pPr>
        <w:pStyle w:val="BookText"/>
      </w:pPr>
      <w:r>
        <w:rPr>
          <w:rFonts w:ascii="IRNazanin" w:hAnsi="IRNazanin" w:eastAsia="IRNazanin" w:cs="IRNazanin"/>
          <w:lang w:bidi="fa-IR"/>
          <w:color w:val="111111"/>
          <w:sz w:val="28"/>
          <w:szCs w:val="28"/>
          <w:rtl/>
        </w:rPr>
        <w:t xml:space="preserve">و علی أی فهو غیر هاشم بن کوچک الفراهی المتخلص سائل الذی کتب سفینة بخطه فی (1104- 1106) الذی نقل عنه السعید النفیسی فی سخنان منظوم أبی سعید أبی الخیر- ص 185.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423" w:name="pg11704_121903"/>
    <w:bookmarkEnd w:id="423"/>
    <w:p>
      <w:pPr>
        <w:pStyle w:val="Heading3"/>
      </w:pPr>
      <w:bookmarkStart w:id="4499" w:name="_Toc3195"/>
      <w:r>
        <w:t>2475- دیوان سائلی جوینی‏</w:t>
      </w:r>
      <w:bookmarkEnd w:id="4499"/>
    </w:p>
    <w:p>
      <w:pPr>
        <w:pStyle w:val="BookText"/>
      </w:pPr>
      <w:r>
        <w:rPr>
          <w:rFonts w:ascii="IRNazanin" w:hAnsi="IRNazanin" w:eastAsia="IRNazanin" w:cs="IRNazanin"/>
          <w:lang w:bidi="fa-IR"/>
          <w:color w:val="111111"/>
          <w:sz w:val="28"/>
          <w:szCs w:val="28"/>
          <w:rtl/>
        </w:rPr>
        <w:t xml:space="preserve">ترجمه و أورد شعره فی (مجن 3- ص 67 و 241) و زاد المترجم القزوینی فی (قز مج 3- ص 241) أنه الیوم یسکن بلاد الروم کاتبا لسلطانها و هو صائم الدهر یتجنب أکل الحیوانیات، و قد نظم جوابا لبوستان، و جوابا لگلستان سعدی. و الظاهر أن المترجم القزوینی خلط بینه و بین سائلی قرشی.</w:t>
      </w:r>
    </w:p>
    <w:p>
      <w:pPr>
        <w:pStyle w:val="Heading3"/>
      </w:pPr>
      <w:bookmarkStart w:id="4500" w:name="_Toc3196"/>
      <w:r>
        <w:t>دیوان سائلی خراسانی‏</w:t>
      </w:r>
      <w:bookmarkEnd w:id="4500"/>
    </w:p>
    <w:p>
      <w:pPr>
        <w:pStyle w:val="BookText"/>
      </w:pPr>
      <w:r>
        <w:rPr>
          <w:rFonts w:ascii="IRNazanin" w:hAnsi="IRNazanin" w:eastAsia="IRNazanin" w:cs="IRNazanin"/>
          <w:lang w:bidi="fa-IR"/>
          <w:color w:val="111111"/>
          <w:sz w:val="28"/>
          <w:szCs w:val="28"/>
          <w:rtl/>
        </w:rPr>
        <w:t xml:space="preserve">کما فی (لط 3- ص 66) و (گلشن- ص 196) و لعل الصحیح ما ذکره فی (قز مج 3- ص 238) کما مر سالمی.</w:t>
      </w:r>
    </w:p>
    <w:p>
      <w:pPr>
        <w:pStyle w:val="Heading3"/>
      </w:pPr>
      <w:bookmarkStart w:id="4501" w:name="_Toc3197"/>
      <w:r>
        <w:t>2476- دیوان سائلی طهرانی أو شعره‏</w:t>
      </w:r>
      <w:bookmarkEnd w:id="4501"/>
    </w:p>
    <w:p>
      <w:pPr>
        <w:pStyle w:val="BookText"/>
      </w:pPr>
      <w:r>
        <w:rPr>
          <w:rFonts w:ascii="IRNazanin" w:hAnsi="IRNazanin" w:eastAsia="IRNazanin" w:cs="IRNazanin"/>
          <w:lang w:bidi="fa-IR"/>
          <w:color w:val="111111"/>
          <w:sz w:val="28"/>
          <w:szCs w:val="28"/>
          <w:rtl/>
        </w:rPr>
        <w:t xml:space="preserve">اسمه زین الدین، سلطان کان والده من الرؤساء فی طهران کما ذکره سام میرزا فی (تس 5- ص 163) و أورد مطلع غزله و لیس هو سائل رازی همدانی لأنه ذکره فی (تس 5- ص 122).</w:t>
      </w:r>
    </w:p>
    <w:p>
      <w:pPr>
        <w:pStyle w:val="Heading3"/>
      </w:pPr>
      <w:bookmarkStart w:id="4502" w:name="_Toc3198"/>
      <w:r>
        <w:t>2477- دیوان سائلی عراقی أو شعره‏</w:t>
      </w:r>
      <w:bookmarkEnd w:id="4502"/>
    </w:p>
    <w:p>
      <w:pPr>
        <w:pStyle w:val="BookText"/>
      </w:pPr>
      <w:r>
        <w:rPr>
          <w:rFonts w:ascii="IRNazanin" w:hAnsi="IRNazanin" w:eastAsia="IRNazanin" w:cs="IRNazanin"/>
          <w:lang w:bidi="fa-IR"/>
          <w:color w:val="111111"/>
          <w:sz w:val="28"/>
          <w:szCs w:val="28"/>
          <w:rtl/>
        </w:rPr>
        <w:t xml:space="preserve">أورد شعره فی (گلشن- ص 196) و قال إن أصله من العراق و نزل خراسان. و أورد شعره (پژمان- ص 168).</w:t>
      </w:r>
    </w:p>
    <w:p>
      <w:pPr>
        <w:pStyle w:val="Heading3"/>
      </w:pPr>
      <w:bookmarkStart w:id="4503" w:name="_Toc3199"/>
      <w:r>
        <w:t>2478- دیوان سائلی قرشی‏</w:t>
      </w:r>
      <w:bookmarkEnd w:id="4503"/>
    </w:p>
    <w:p>
      <w:pPr>
        <w:pStyle w:val="BookText"/>
      </w:pPr>
      <w:r>
        <w:rPr>
          <w:rFonts w:ascii="IRNazanin" w:hAnsi="IRNazanin" w:eastAsia="IRNazanin" w:cs="IRNazanin"/>
          <w:lang w:bidi="fa-IR"/>
          <w:color w:val="111111"/>
          <w:sz w:val="28"/>
          <w:szCs w:val="28"/>
          <w:rtl/>
        </w:rPr>
        <w:t xml:space="preserve">نسبة إلی قرش بالفتح بلدة بخراسان. قال فی (مجن 6- ص 118 و 289) إنه ساذج القلب سریع الکتابة یکتب فی الیوم خمسمائة بیت و إنه رتب دیوانه علی الحروف، و زاد المترجم القزوینی فی (قز مج 6- ص 289) أنه الیوم (عام 927) یسکن الروم و هو دائم الصیام، ألف کتابا فی قبال گلستان و لکن لا یطالعها غیره. أقول الظاهر أن المترجم القزوینی خلط بین سائلی قرشی و سائلی جوینی.</w:t>
      </w:r>
    </w:p>
    <w:p>
      <w:pPr>
        <w:pStyle w:val="Heading3"/>
      </w:pPr>
      <w:bookmarkStart w:id="4504" w:name="_Toc3200"/>
      <w:r>
        <w:t>2479- دیوان سائلی قزوینی أو شعره‏</w:t>
      </w:r>
      <w:bookmarkEnd w:id="4504"/>
    </w:p>
    <w:p>
      <w:pPr>
        <w:pStyle w:val="BookText"/>
      </w:pPr>
      <w:r>
        <w:rPr>
          <w:rFonts w:ascii="IRNazanin" w:hAnsi="IRNazanin" w:eastAsia="IRNazanin" w:cs="IRNazanin"/>
          <w:lang w:bidi="fa-IR"/>
          <w:color w:val="111111"/>
          <w:sz w:val="28"/>
          <w:szCs w:val="28"/>
          <w:rtl/>
        </w:rPr>
        <w:t xml:space="preserve">و اسمه سعد الملک الحسینی. کان إمام الجماعة بالمسجد الجامع. أورد شعره فی (تش- ص 224) و (پژمان- ص 168).</w:t>
      </w:r>
    </w:p>
    <w:p>
      <w:pPr>
        <w:pStyle w:val="Heading3"/>
      </w:pPr>
      <w:bookmarkStart w:id="4505" w:name="_Toc3201"/>
      <w:r>
        <w:t>2480- دیوان سائلی هراتی أو شعره‏</w:t>
      </w:r>
      <w:bookmarkEnd w:id="4505"/>
    </w:p>
    <w:p>
      <w:pPr>
        <w:pStyle w:val="BookText"/>
      </w:pPr>
      <w:r>
        <w:rPr>
          <w:rFonts w:ascii="IRNazanin" w:hAnsi="IRNazanin" w:eastAsia="IRNazanin" w:cs="IRNazanin"/>
          <w:lang w:bidi="fa-IR"/>
          <w:color w:val="111111"/>
          <w:sz w:val="28"/>
          <w:szCs w:val="28"/>
          <w:rtl/>
        </w:rPr>
        <w:t xml:space="preserve">ترجمه سام میرزا فی (تس 5- 147) و أورد شعره.</w:t>
      </w:r>
    </w:p>
    <w:p>
      <w:pPr>
        <w:pStyle w:val="Heading3"/>
      </w:pPr>
      <w:bookmarkStart w:id="4506" w:name="_Toc3202"/>
      <w:r>
        <w:t>2481- دیوان السبتی الکبیری‏</w:t>
      </w:r>
      <w:bookmarkEnd w:id="4506"/>
    </w:p>
    <w:p>
      <w:pPr>
        <w:pStyle w:val="BookText"/>
      </w:pPr>
      <w:r>
        <w:rPr>
          <w:rFonts w:ascii="IRNazanin" w:hAnsi="IRNazanin" w:eastAsia="IRNazanin" w:cs="IRNazanin"/>
          <w:lang w:bidi="fa-IR"/>
          <w:color w:val="111111"/>
          <w:sz w:val="28"/>
          <w:szCs w:val="28"/>
          <w:rtl/>
        </w:rPr>
        <w:t xml:space="preserve">الشیخ کاظم بن الشیخ حسن بن علی السبتی النجفی المولود بها فی (1258) و المتوفی (29- ع 1- 1342) بالقریض اللطیف العالی دونه ولده القائم مقامه الشیخ حسن الآتی بعدا. أکثره فی مراثی الحسین علیه السلام  و مدائحه و فیه رثاء، بعض من عاصرهم من العلماء. یقرب من خمسة آلاف بیت.</w:t>
      </w:r>
    </w:p>
    <w:p>
      <w:pPr>
        <w:pStyle w:val="Heading3"/>
      </w:pPr>
      <w:bookmarkStart w:id="4507" w:name="_Toc3203"/>
      <w:r>
        <w:t>2482- دیوان السبتی‏</w:t>
      </w:r>
      <w:bookmarkEnd w:id="4507"/>
    </w:p>
    <w:p>
      <w:pPr>
        <w:pStyle w:val="BookText"/>
      </w:pPr>
      <w:r>
        <w:rPr>
          <w:rFonts w:ascii="IRNazanin" w:hAnsi="IRNazanin" w:eastAsia="IRNazanin" w:cs="IRNazanin"/>
          <w:lang w:bidi="fa-IR"/>
          <w:color w:val="111111"/>
          <w:sz w:val="28"/>
          <w:szCs w:val="28"/>
          <w:rtl/>
        </w:rPr>
        <w:t xml:space="preserve">باللغة الدارجة فی العراق المعروفة بالحسکة کلها فی رثاء الحسین علیه السلام  یقرب من ثلاثة آلاف بیت. أیضا للشیخ کاظم المذکور. دونه ولده الشیخ حسن.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424" w:name="pg11704_121904"/>
    <w:bookmarkEnd w:id="424"/>
    <w:p>
      <w:pPr>
        <w:pStyle w:val="Heading3"/>
      </w:pPr>
      <w:bookmarkStart w:id="4508" w:name="_Toc3204"/>
      <w:r>
        <w:t>2483- دیوان السبتی الصغیر</w:t>
      </w:r>
      <w:bookmarkEnd w:id="4508"/>
    </w:p>
    <w:p>
      <w:pPr>
        <w:pStyle w:val="BookText"/>
      </w:pPr>
      <w:r>
        <w:rPr>
          <w:rFonts w:ascii="IRNazanin" w:hAnsi="IRNazanin" w:eastAsia="IRNazanin" w:cs="IRNazanin"/>
          <w:lang w:bidi="fa-IR"/>
          <w:color w:val="111111"/>
          <w:sz w:val="28"/>
          <w:szCs w:val="28"/>
          <w:rtl/>
        </w:rPr>
        <w:t xml:space="preserve">للشیخ حسن بن الشیخ کاظم المذکور الخطیب بعد أبیه و المتوفی (صفر 1374) فی المراثی و المدائح للمعصومین. یقرب من ستة آلاف بیت بالشعر القریض دونه بنفسه و له أنفع الزاد و الکلم الطیب و أنیس الجلیس کما مر و یأتی.</w:t>
      </w:r>
    </w:p>
    <w:p>
      <w:pPr>
        <w:pStyle w:val="Heading3"/>
      </w:pPr>
      <w:bookmarkStart w:id="4509" w:name="_Toc3205"/>
      <w:r>
        <w:t>2484- دیوان السبتی أیضا</w:t>
      </w:r>
      <w:bookmarkEnd w:id="4509"/>
    </w:p>
    <w:p>
      <w:pPr>
        <w:pStyle w:val="BookText"/>
      </w:pPr>
      <w:r>
        <w:rPr>
          <w:rFonts w:ascii="IRNazanin" w:hAnsi="IRNazanin" w:eastAsia="IRNazanin" w:cs="IRNazanin"/>
          <w:lang w:bidi="fa-IR"/>
          <w:color w:val="111111"/>
          <w:sz w:val="28"/>
          <w:szCs w:val="28"/>
          <w:rtl/>
        </w:rPr>
        <w:t xml:space="preserve">بلسان الحسکة یقرب من أربعة آلاف بیت کلها فی المدیح و الرثاء للمعصومین علیه السلام  للشیخ حسن المذکور دونه بنفسه أیضا.</w:t>
      </w:r>
    </w:p>
    <w:p>
      <w:pPr>
        <w:pStyle w:val="Heading3"/>
      </w:pPr>
      <w:bookmarkStart w:id="4510" w:name="_Toc3206"/>
      <w:r>
        <w:t>2485- دیوان سبحانی‏</w:t>
      </w:r>
      <w:bookmarkEnd w:id="4510"/>
    </w:p>
    <w:p>
      <w:pPr>
        <w:pStyle w:val="BookText"/>
      </w:pPr>
      <w:r>
        <w:rPr>
          <w:rFonts w:ascii="IRNazanin" w:hAnsi="IRNazanin" w:eastAsia="IRNazanin" w:cs="IRNazanin"/>
          <w:lang w:bidi="fa-IR"/>
          <w:color w:val="111111"/>
          <w:sz w:val="28"/>
          <w:szCs w:val="28"/>
          <w:rtl/>
        </w:rPr>
        <w:t xml:space="preserve">للمیر صالح بن السید عبد الله وصفی مشکین قلم، الأکبرآبادی العارف المنشئ الخطاط الشاعر. کان یتخلص فی شعره الفارسی کشفی و فی الهندیة سبحانی و کان أمیرا فی بلاط شاه جهان‏آباد. و مات (1060) قطب هادی میر صالح متقی) ترجمه فی خزینة الأصفیاء (ج 2- ص 350).</w:t>
      </w:r>
    </w:p>
    <w:p>
      <w:pPr>
        <w:pStyle w:val="BookText"/>
      </w:pPr>
      <w:r>
        <w:rPr>
          <w:rFonts w:ascii="IRNazanin" w:hAnsi="IRNazanin" w:eastAsia="IRNazanin" w:cs="IRNazanin"/>
          <w:lang w:bidi="fa-IR"/>
          <w:color w:val="111111"/>
          <w:sz w:val="28"/>
          <w:szCs w:val="28"/>
          <w:rtl/>
        </w:rPr>
        <w:t xml:space="preserve">و عنه فی الریحانة.</w:t>
      </w:r>
    </w:p>
    <w:p>
      <w:pPr>
        <w:pStyle w:val="Heading3"/>
      </w:pPr>
      <w:bookmarkStart w:id="4511" w:name="_Toc3207"/>
      <w:r>
        <w:t>دیوان سبحانی شوشتری‏</w:t>
      </w:r>
      <w:bookmarkEnd w:id="4511"/>
    </w:p>
    <w:p>
      <w:pPr>
        <w:pStyle w:val="BookText"/>
      </w:pPr>
      <w:r>
        <w:rPr>
          <w:rFonts w:ascii="IRNazanin" w:hAnsi="IRNazanin" w:eastAsia="IRNazanin" w:cs="IRNazanin"/>
          <w:lang w:bidi="fa-IR"/>
          <w:color w:val="111111"/>
          <w:sz w:val="28"/>
          <w:szCs w:val="28"/>
          <w:rtl/>
        </w:rPr>
        <w:t xml:space="preserve">کما فی (تغ- ص 63) راجع سحابی شوشتری.</w:t>
      </w:r>
    </w:p>
    <w:p>
      <w:pPr>
        <w:pStyle w:val="Heading3"/>
      </w:pPr>
      <w:bookmarkStart w:id="4512" w:name="_Toc3208"/>
      <w:r>
        <w:t>دیوان سبط ابن التعاویذی‏</w:t>
      </w:r>
      <w:bookmarkEnd w:id="4512"/>
    </w:p>
    <w:p>
      <w:pPr>
        <w:pStyle w:val="BookText"/>
      </w:pPr>
      <w:r>
        <w:rPr>
          <w:rFonts w:ascii="IRNazanin" w:hAnsi="IRNazanin" w:eastAsia="IRNazanin" w:cs="IRNazanin"/>
          <w:lang w:bidi="fa-IR"/>
          <w:color w:val="111111"/>
          <w:sz w:val="28"/>
          <w:szCs w:val="28"/>
          <w:rtl/>
        </w:rPr>
        <w:t xml:space="preserve">مر بعنوان دیوان ابن التعاویذی. نسخه منه کتبت فی المدینة (1112) أصح من المطبوع فی المقتطف (1903 م) عند الخطیب الیعقوبی فی النجف.</w:t>
      </w:r>
    </w:p>
    <w:p>
      <w:pPr>
        <w:pStyle w:val="Heading3"/>
      </w:pPr>
      <w:bookmarkStart w:id="4513" w:name="_Toc3209"/>
      <w:r>
        <w:t>دیوان سبقت دهلوی‏</w:t>
      </w:r>
      <w:bookmarkEnd w:id="4513"/>
    </w:p>
    <w:p>
      <w:pPr>
        <w:pStyle w:val="BookText"/>
      </w:pPr>
      <w:r>
        <w:rPr>
          <w:rFonts w:ascii="IRNazanin" w:hAnsi="IRNazanin" w:eastAsia="IRNazanin" w:cs="IRNazanin"/>
          <w:lang w:bidi="fa-IR"/>
          <w:color w:val="111111"/>
          <w:sz w:val="28"/>
          <w:szCs w:val="28"/>
          <w:rtl/>
        </w:rPr>
        <w:t xml:space="preserve">راجع دیوان خادم ... و توجد شعر بهذا التخلص فی گلستان مسرت- ص 517 و لعله لما بعده.</w:t>
      </w:r>
    </w:p>
    <w:p>
      <w:pPr>
        <w:pStyle w:val="Heading3"/>
      </w:pPr>
      <w:bookmarkStart w:id="4514" w:name="_Toc3210"/>
      <w:r>
        <w:t>2486- دیوان سبقت لکهنوی‏</w:t>
      </w:r>
      <w:bookmarkEnd w:id="4514"/>
    </w:p>
    <w:p>
      <w:pPr>
        <w:pStyle w:val="BookText"/>
      </w:pPr>
      <w:r>
        <w:rPr>
          <w:rFonts w:ascii="IRNazanin" w:hAnsi="IRNazanin" w:eastAsia="IRNazanin" w:cs="IRNazanin"/>
          <w:lang w:bidi="fa-IR"/>
          <w:color w:val="111111"/>
          <w:sz w:val="28"/>
          <w:szCs w:val="28"/>
          <w:rtl/>
        </w:rPr>
        <w:t xml:space="preserve">و هو سکراج الکایتة من ملازمی أسد خان وزیر عالمگیر. کان ماهرا فی العلوم و الآداب و التاریخ. تلمذ علی عبد القادر بیدل. و قتل (1138). له منظومة جنگ‏نامه حسین علی خان. أورد شعره فی (گلشن- ص 197).</w:t>
      </w:r>
    </w:p>
    <w:p>
      <w:pPr>
        <w:pStyle w:val="Heading3"/>
      </w:pPr>
      <w:bookmarkStart w:id="4515" w:name="_Toc3211"/>
      <w:r>
        <w:t>2487- دیوان سپاهی أو شعره‏</w:t>
      </w:r>
      <w:bookmarkEnd w:id="4515"/>
    </w:p>
    <w:p>
      <w:pPr>
        <w:pStyle w:val="BookText"/>
      </w:pPr>
      <w:r>
        <w:rPr>
          <w:rFonts w:ascii="IRNazanin" w:hAnsi="IRNazanin" w:eastAsia="IRNazanin" w:cs="IRNazanin"/>
          <w:lang w:bidi="fa-IR"/>
          <w:color w:val="111111"/>
          <w:sz w:val="28"/>
          <w:szCs w:val="28"/>
          <w:rtl/>
        </w:rPr>
        <w:t xml:space="preserve">و اسمه الشاه حسن. أورد شعره فی (گلشن- ص 197).</w:t>
      </w:r>
    </w:p>
    <w:p>
      <w:pPr>
        <w:pStyle w:val="Heading3"/>
      </w:pPr>
      <w:bookmarkStart w:id="4516" w:name="_Toc3212"/>
      <w:r>
        <w:t>2488- دیوان سپاهی أندجانی أو شعره‏</w:t>
      </w:r>
      <w:bookmarkEnd w:id="4516"/>
    </w:p>
    <w:p>
      <w:pPr>
        <w:pStyle w:val="BookText"/>
      </w:pPr>
      <w:r>
        <w:rPr>
          <w:rFonts w:ascii="IRNazanin" w:hAnsi="IRNazanin" w:eastAsia="IRNazanin" w:cs="IRNazanin"/>
          <w:lang w:bidi="fa-IR"/>
          <w:color w:val="111111"/>
          <w:sz w:val="28"/>
          <w:szCs w:val="28"/>
          <w:rtl/>
        </w:rPr>
        <w:t xml:space="preserve">و اسمه خدا دوست، حفید الخواجة کلان بیگ الأندجانی. مات (979) أورد شعره و ترجمه فی (گلشن- ص 197) و عنه أخذ فی القاموس الترکی ناقصا، ثم عنه فی الریحانة.</w:t>
      </w:r>
    </w:p>
    <w:p>
      <w:pPr>
        <w:pStyle w:val="Heading3"/>
      </w:pPr>
      <w:bookmarkStart w:id="4517" w:name="_Toc3213"/>
      <w:r>
        <w:t>2489- دیوان سپاهی هروی أو شعره‏</w:t>
      </w:r>
      <w:bookmarkEnd w:id="4517"/>
    </w:p>
    <w:p>
      <w:pPr>
        <w:pStyle w:val="BookText"/>
      </w:pPr>
      <w:r>
        <w:rPr>
          <w:rFonts w:ascii="IRNazanin" w:hAnsi="IRNazanin" w:eastAsia="IRNazanin" w:cs="IRNazanin"/>
          <w:lang w:bidi="fa-IR"/>
          <w:color w:val="111111"/>
          <w:sz w:val="28"/>
          <w:szCs w:val="28"/>
          <w:rtl/>
        </w:rPr>
        <w:t xml:space="preserve">و اسمه یامغورچی بیک (یغمورچی: خ. ل.)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425" w:name="pg11704_121905"/>
    <w:bookmarkEnd w:id="425"/>
    <w:p>
      <w:pPr>
        <w:pStyle w:val="BookText"/>
      </w:pPr>
      <w:r>
        <w:rPr>
          <w:rFonts w:ascii="IRNazanin" w:hAnsi="IRNazanin" w:eastAsia="IRNazanin" w:cs="IRNazanin"/>
          <w:lang w:bidi="fa-IR"/>
          <w:color w:val="111111"/>
          <w:sz w:val="28"/>
          <w:szCs w:val="28"/>
          <w:rtl/>
        </w:rPr>
        <w:t xml:space="preserve">ابن المیر ولی بیگ، و والده أعظم شانا من المیر علیکة. ترجمه و أورد شعره فی (مجن 5- ص 111 و 283) و أطری جندیته.</w:t>
      </w:r>
    </w:p>
    <w:p>
      <w:pPr>
        <w:pStyle w:val="Heading3"/>
      </w:pPr>
      <w:bookmarkStart w:id="4518" w:name="_Toc3214"/>
      <w:r>
        <w:t>2490- دیوان سپنتای أصفهانی‏</w:t>
      </w:r>
      <w:bookmarkEnd w:id="4518"/>
    </w:p>
    <w:p>
      <w:pPr>
        <w:pStyle w:val="BookText"/>
      </w:pPr>
      <w:r>
        <w:rPr>
          <w:rFonts w:ascii="IRNazanin" w:hAnsi="IRNazanin" w:eastAsia="IRNazanin" w:cs="IRNazanin"/>
          <w:lang w:bidi="fa-IR"/>
          <w:color w:val="111111"/>
          <w:sz w:val="28"/>
          <w:szCs w:val="28"/>
          <w:rtl/>
        </w:rPr>
        <w:t xml:space="preserve">و هو عبد الحسین بن غلام رضا ولد بطهران (1282 ش) و سافر إلی الهند و رجع فی (1316 ش) و سکن أصفهان إلی الیوم. له غیر هذا الدیوان أخلاق ایران باستان و پرتوی از فلسفة ایران باستان و نوآموز مزدیسنا و پیام راستی و آنچه را دنیا مرهون تمدن ایران می‏باشد و حافظ چه می‏گوید و جریدة دورنمای ایران أصدره فی بمبئی الهند أربعة أشهر بالفارسیة فی (1307 ش) و زرتشت که بود و چه کرد و أشک سپنتا و اسرار جنگل و أفلام سینمائیة أخلاقیة متعددة. ترجمه ایزد گشسب فی سخنوران نامی ص 90 و فی تاریخ جرائد و مجلات و فی شعراء معاصر أصفهان (ص 235).</w:t>
      </w:r>
    </w:p>
    <w:p>
      <w:pPr>
        <w:pStyle w:val="Heading3"/>
      </w:pPr>
      <w:bookmarkStart w:id="4519" w:name="_Toc3215"/>
      <w:r>
        <w:t>2491- دیوان سپهر بخارائی أو شعره‏</w:t>
      </w:r>
      <w:bookmarkEnd w:id="4519"/>
    </w:p>
    <w:p>
      <w:pPr>
        <w:pStyle w:val="BookText"/>
      </w:pPr>
      <w:r>
        <w:rPr>
          <w:rFonts w:ascii="IRNazanin" w:hAnsi="IRNazanin" w:eastAsia="IRNazanin" w:cs="IRNazanin"/>
          <w:lang w:bidi="fa-IR"/>
          <w:color w:val="111111"/>
          <w:sz w:val="28"/>
          <w:szCs w:val="28"/>
          <w:rtl/>
        </w:rPr>
        <w:t xml:space="preserve">من شعراء السامانیة، و معاصر أبی المؤید البلخی و أبی المثل البخارائی. کذا ذکر فی (مع- ج 1 ص 244) و أورد شعره.</w:t>
      </w:r>
    </w:p>
    <w:p>
      <w:pPr>
        <w:pStyle w:val="Heading3"/>
      </w:pPr>
      <w:bookmarkStart w:id="4520" w:name="_Toc3216"/>
      <w:r>
        <w:t>2492- دیوان سپهر ثانی‏</w:t>
      </w:r>
      <w:bookmarkEnd w:id="4520"/>
    </w:p>
    <w:p>
      <w:pPr>
        <w:pStyle w:val="BookText"/>
      </w:pPr>
      <w:r>
        <w:rPr>
          <w:rFonts w:ascii="IRNazanin" w:hAnsi="IRNazanin" w:eastAsia="IRNazanin" w:cs="IRNazanin"/>
          <w:lang w:bidi="fa-IR"/>
          <w:color w:val="111111"/>
          <w:sz w:val="28"/>
          <w:szCs w:val="28"/>
          <w:rtl/>
        </w:rPr>
        <w:t xml:space="preserve">و اسمه عباس قلی خان مشیر أفخم بن محمد تقی سپهر. له تحفه مظفری فی نقد الشعر و خلاصة تاج المآثر أو مختصر مظفری نظما، و هو المذکور فی (ج 7 ص 216)- قال فی أول شامل التواریخ إنه مختصر من کتابی آیین أکبری للفیضی و</w:t>
      </w:r>
    </w:p>
    <w:p>
      <w:pPr>
        <w:pStyle w:val="BookText"/>
      </w:pPr>
      <w:r>
        <w:rPr>
          <w:rFonts w:ascii="IRNazanin" w:hAnsi="IRNazanin" w:eastAsia="IRNazanin" w:cs="IRNazanin"/>
          <w:lang w:bidi="fa-IR"/>
          <w:color w:val="111111"/>
          <w:sz w:val="28"/>
          <w:szCs w:val="28"/>
          <w:rtl/>
        </w:rPr>
        <w:t xml:space="preserve">تاج المآثر لصدر الدین حسن النظامی الهندیین- و له أیضا سلوک الملوک و شامل التواریخ فی تاریخ المغول فرغ منه (1316) توجد نسخه منه بخط المؤلف عند (سلطان القرائی) و له طراز المذهب فی أحوال زینب علیه السلام  تعد من مجلدات ناسخ التواریخ لوالده و تکمیلا له. و له مجلدات أخر فی أحوال موسی بن جعفر علیه السلام  فرغ منه (1340) و له محمود التواریخ فی أحوال سبکتکین ترجمه فی (المآثر- ص 190) و ریحانة الأدب فی ترجمه والده لسان الملک سپهر کاشانی.</w:t>
      </w:r>
    </w:p>
    <w:p>
      <w:pPr>
        <w:pStyle w:val="Heading3"/>
      </w:pPr>
      <w:bookmarkStart w:id="4521" w:name="_Toc3217"/>
      <w:r>
        <w:t>2493- دیوان سپهر کاشانی‏</w:t>
      </w:r>
      <w:bookmarkEnd w:id="4521"/>
    </w:p>
    <w:p>
      <w:pPr>
        <w:pStyle w:val="BookText"/>
      </w:pPr>
      <w:r>
        <w:rPr>
          <w:rFonts w:ascii="IRNazanin" w:hAnsi="IRNazanin" w:eastAsia="IRNazanin" w:cs="IRNazanin"/>
          <w:lang w:bidi="fa-IR"/>
          <w:color w:val="111111"/>
          <w:sz w:val="28"/>
          <w:szCs w:val="28"/>
          <w:rtl/>
        </w:rPr>
        <w:t xml:space="preserve">المیرزا محمد تقی خان لسان الملک الملقب بسپهر الکاشانی المولود بکاشان (1216) کما ترجم نفسه فی مقدمه دیوانه الأول الموسوم محمود القصائد المؤلف (1241) الموجود فی (المجلس) کما فی فهرسها (ج 3- ص 680) و المتوفی بطهران (1297) و أشهر تصانیفه المطبوعة ناسخ التواریخ و مر له‏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426" w:name="pg11704_121906"/>
    <w:bookmarkEnd w:id="426"/>
    <w:p>
      <w:pPr>
        <w:pStyle w:val="BookText"/>
      </w:pPr>
      <w:r>
        <w:rPr>
          <w:rFonts w:ascii="IRNazanin" w:hAnsi="IRNazanin" w:eastAsia="IRNazanin" w:cs="IRNazanin"/>
          <w:lang w:bidi="fa-IR"/>
          <w:color w:val="111111"/>
          <w:sz w:val="28"/>
          <w:szCs w:val="28"/>
          <w:rtl/>
        </w:rPr>
        <w:t xml:space="preserve">براهین العجم فی (ج 3 ص 81) مع ذکر بعض أحواله. و صرح نفسه فی أول مجلد أحوال فاطمة علیه السلام  من ناسخه بأن دیوانه هذا فارسی فی عشرین ألف بیت من مختار شعره البالغ إلی مائة ألف بیت. ترجمه معاصره و مصاحبه فی (مع- ج 2 ص 156) و أورد ما یزید علی ألف و خمسمائة بیت من دیوانه الموجود عنده” صاحب مع”. و توجد نسخه من دیوانه الثانی عند (الملک) تحت رقم (4905) کتب فی (1265) فی (12600 بیت) علیها خطه فی (1282) و خط ابنه عباس قلی مشیر أفخم وزیر تألیفات فی (1327) کما فی فهرسها لابنی. و نسخه فی (5500 بیت) موجودة فی (المجلس) علیها خط (1262) کما فی فهرسها (ج 3 ص 299).</w:t>
      </w:r>
    </w:p>
    <w:p>
      <w:pPr>
        <w:pStyle w:val="Heading3"/>
      </w:pPr>
      <w:bookmarkStart w:id="4522" w:name="_Toc3218"/>
      <w:r>
        <w:t>2494- دیوان سپهری‏</w:t>
      </w:r>
      <w:bookmarkEnd w:id="4522"/>
    </w:p>
    <w:p>
      <w:pPr>
        <w:pStyle w:val="BookText"/>
      </w:pPr>
      <w:r>
        <w:rPr>
          <w:rFonts w:ascii="IRNazanin" w:hAnsi="IRNazanin" w:eastAsia="IRNazanin" w:cs="IRNazanin"/>
          <w:lang w:bidi="fa-IR"/>
          <w:color w:val="111111"/>
          <w:sz w:val="28"/>
          <w:szCs w:val="28"/>
          <w:rtl/>
        </w:rPr>
        <w:t xml:space="preserve">و اسمه سهراب. له منظومة در کنار چمن المذکور 10 فی (ج 8 ص 143).</w:t>
      </w:r>
    </w:p>
    <w:p>
      <w:pPr>
        <w:pStyle w:val="Heading3"/>
      </w:pPr>
      <w:bookmarkStart w:id="4523" w:name="_Toc3219"/>
      <w:r>
        <w:t>2495- دیوان سپهری زوارجی‏</w:t>
      </w:r>
      <w:bookmarkEnd w:id="4523"/>
    </w:p>
    <w:p>
      <w:pPr>
        <w:pStyle w:val="BookText"/>
      </w:pPr>
      <w:r>
        <w:rPr>
          <w:rFonts w:ascii="IRNazanin" w:hAnsi="IRNazanin" w:eastAsia="IRNazanin" w:cs="IRNazanin"/>
          <w:lang w:bidi="fa-IR"/>
          <w:color w:val="111111"/>
          <w:sz w:val="28"/>
          <w:szCs w:val="28"/>
          <w:rtl/>
        </w:rPr>
        <w:t xml:space="preserve">ترجمه صادقی فی (خص 8- ص 246) المؤلف (1016) بما یظهر منه حیاته فی زمن التألیف و أورد بیتین من شعره، و الظاهر أنه نسبة إلی بلد الشاعر زوارة فی نواحی أصفهان. و قال فی (تش- ص 177) من زوارة أردستان، و هو صوفی له أشعار کثیرة. و کذا فی القاموس الترکی و عنه فی الریحانة.</w:t>
      </w:r>
    </w:p>
    <w:p>
      <w:pPr>
        <w:pStyle w:val="Heading3"/>
      </w:pPr>
      <w:bookmarkStart w:id="4524" w:name="_Toc3220"/>
      <w:r>
        <w:t>2496- دیوان سپهری هندی‏</w:t>
      </w:r>
      <w:bookmarkEnd w:id="4524"/>
    </w:p>
    <w:p>
      <w:pPr>
        <w:pStyle w:val="BookText"/>
      </w:pPr>
      <w:r>
        <w:rPr>
          <w:rFonts w:ascii="IRNazanin" w:hAnsi="IRNazanin" w:eastAsia="IRNazanin" w:cs="IRNazanin"/>
          <w:lang w:bidi="fa-IR"/>
          <w:color w:val="111111"/>
          <w:sz w:val="28"/>
          <w:szCs w:val="28"/>
          <w:rtl/>
        </w:rPr>
        <w:t xml:space="preserve">ترجمه فی (مع 1: 31) و (خص 1- ص 18) قال هو تخلص السلطان نظام شاه من ملوک الهند فی (1016- 896) حسن الصحبة لم یوجد فی ملوک الهند أحد مثله فی محبته أهل العراق (الإیرانیین) و المغول. و لذلک یفد إلیه کل من سافر من إیران إلی الهند الا أن یرده القضاء إلی السلطان همایون الهندی. و أورد مطلعا و مقطعا من شعره، و ظاهر کلامه أنه کان حیا فی زمن تألیفه. و کان یفد إلیه الوفود من العراق. و تواریخ الملوک النظامشاهیة مبسوطة فی تاریخ فرشته، و ذکر فیه أن سلطان العصر فی (1016) منهم السلطان مرتضی الثانی نظام شاه بن شاه علی بن برهان شاه الأول الذی مات (961) فیحتمل أن سپهری هو هذا أو من کان قبله، و هم أحد عشر ملکا کما فی طبقات لین پول (ص 290).</w:t>
      </w:r>
    </w:p>
    <w:p>
      <w:pPr>
        <w:pStyle w:val="Heading3"/>
      </w:pPr>
      <w:bookmarkStart w:id="4525" w:name="_Toc3221"/>
      <w:r>
        <w:t>2497- دیوان ستار تبریزی‏</w:t>
      </w:r>
      <w:bookmarkEnd w:id="4525"/>
    </w:p>
    <w:p>
      <w:pPr>
        <w:pStyle w:val="BookText"/>
      </w:pPr>
      <w:r>
        <w:rPr>
          <w:rFonts w:ascii="IRNazanin" w:hAnsi="IRNazanin" w:eastAsia="IRNazanin" w:cs="IRNazanin"/>
          <w:lang w:bidi="fa-IR"/>
          <w:color w:val="111111"/>
          <w:sz w:val="28"/>
          <w:szCs w:val="28"/>
          <w:rtl/>
        </w:rPr>
        <w:t xml:space="preserve">اسمه محمد صالح. سافر إلی الهند فی عهد شاه‏جهان الذی مات (1076) و صاحب فی بنگاله منعم خان. حکی ترجمته کذلک مع بیتین له (دجا-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427" w:name="pg11704_121907"/>
    <w:bookmarkEnd w:id="427"/>
    <w:p>
      <w:pPr>
        <w:pStyle w:val="BookText"/>
      </w:pPr>
      <w:r>
        <w:rPr>
          <w:rFonts w:ascii="IRNazanin" w:hAnsi="IRNazanin" w:eastAsia="IRNazanin" w:cs="IRNazanin"/>
          <w:lang w:bidi="fa-IR"/>
          <w:color w:val="111111"/>
          <w:sz w:val="28"/>
          <w:szCs w:val="28"/>
          <w:rtl/>
        </w:rPr>
        <w:t xml:space="preserve">ص 174) و تذکره (حسینی- ص 157) و ترجمه (سرخوش 47) و النصرآبادی فی (نر 9- ص 308) و تردد هذا فی تخلصه فکتب بدله سیار.</w:t>
      </w:r>
    </w:p>
    <w:p>
      <w:pPr>
        <w:pStyle w:val="Heading3"/>
      </w:pPr>
      <w:bookmarkStart w:id="4526" w:name="_Toc3222"/>
      <w:r>
        <w:t>2498- دیوان ستاک یزدی‏</w:t>
      </w:r>
      <w:bookmarkEnd w:id="4526"/>
    </w:p>
    <w:p>
      <w:pPr>
        <w:pStyle w:val="BookText"/>
      </w:pPr>
      <w:r>
        <w:rPr>
          <w:rFonts w:ascii="IRNazanin" w:hAnsi="IRNazanin" w:eastAsia="IRNazanin" w:cs="IRNazanin"/>
          <w:lang w:bidi="fa-IR"/>
          <w:color w:val="111111"/>
          <w:sz w:val="28"/>
          <w:szCs w:val="28"/>
          <w:rtl/>
        </w:rPr>
        <w:t xml:space="preserve">و اسمه طلعت یزدی. طبع دیوانه بمبئی فی (1347).</w:t>
      </w:r>
    </w:p>
    <w:p>
      <w:pPr>
        <w:pStyle w:val="Heading3"/>
      </w:pPr>
      <w:bookmarkStart w:id="4527" w:name="_Toc3223"/>
      <w:r>
        <w:t>2499- دیوان السجاد</w:t>
      </w:r>
      <w:bookmarkEnd w:id="4527"/>
    </w:p>
    <w:p>
      <w:pPr>
        <w:pStyle w:val="BookText"/>
      </w:pPr>
      <w:r>
        <w:rPr>
          <w:rFonts w:ascii="IRNazanin" w:hAnsi="IRNazanin" w:eastAsia="IRNazanin" w:cs="IRNazanin"/>
          <w:lang w:bidi="fa-IR"/>
          <w:color w:val="111111"/>
          <w:sz w:val="28"/>
          <w:szCs w:val="28"/>
          <w:rtl/>
        </w:rPr>
        <w:t xml:space="preserve">ینسب إلی الإمام زین العابدین علی بن الحسین بن علی بن أبی طالب علیه السلام . و الدیوان فی حدود (150 بیتا) مرتب علی حروف القوافی، لکل حرف خمسة أبیات و قد عد لا اللام ألف حرفا مستقلا. و کان الشیخ البهائی أورد قافیة الألف منه فی الجزء الرابع من کشکوله مع التردید فی نسبه إلی الإمام، ثم إن عبد الغفار نجم الدولة ناشر الکشکول أورد جمیع الدیوان فیه و صرح بذلک فی مقدمه طبعه علی الحجر بطهران فی (1296) و توجد نسخه من هذا الدیوان عند مجید موقر بطهران فی مجلد یشتمل علی (23 ورقة) و ذکر فی آخره: [تم الکتاب فی السابع من محرم سنة ثمان و تسعین و مائتین، و یلیه (37 ورقة) نثرا أوله بعد البسملة</w:t>
      </w:r>
    </w:p>
    <w:p>
      <w:pPr>
        <w:pStyle w:val="BookText"/>
      </w:pPr>
      <w:r>
        <w:rPr>
          <w:rFonts w:ascii="IRNazanin" w:hAnsi="IRNazanin" w:eastAsia="IRNazanin" w:cs="IRNazanin"/>
          <w:lang w:bidi="fa-IR"/>
          <w:color w:val="111111"/>
          <w:sz w:val="28"/>
          <w:szCs w:val="28"/>
          <w:rtl/>
        </w:rPr>
        <w:t xml:space="preserve">روی عن الزهری أنه حکی عن علی بن الحسین زین العابدین ع أنه کان یحاسب نفسه و یناجی ربه جل ذکره:/ یا نفس حتی م إلی الحیاة سکونک و إلی الدنیا ...</w:t>
      </w:r>
    </w:p>
    <w:p>
      <w:pPr>
        <w:pStyle w:val="BookText"/>
      </w:pPr>
      <w:r>
        <w:rPr>
          <w:rFonts w:ascii="IRNazanin" w:hAnsi="IRNazanin" w:eastAsia="IRNazanin" w:cs="IRNazanin"/>
          <w:lang w:bidi="fa-IR"/>
          <w:color w:val="111111"/>
          <w:sz w:val="28"/>
          <w:szCs w:val="28"/>
          <w:rtl/>
        </w:rPr>
        <w:t xml:space="preserve">] و آخره [و کتب هذا کله أبو سعد رافع بن نوح بن إدریس الغنوی فی 9 صفر 299 و الحمد لله ...] أقول و صحة التواریخ هذه مشکوک فیها. و قد شرح الدیوان هذا عدة مرات منها ما أوله:</w:t>
      </w:r>
    </w:p>
    <w:p>
      <w:pPr>
        <w:pStyle w:val="BookText"/>
      </w:pPr>
      <w:r>
        <w:rPr>
          <w:rFonts w:ascii="IRNazanin" w:hAnsi="IRNazanin" w:eastAsia="IRNazanin" w:cs="IRNazanin"/>
          <w:lang w:bidi="fa-IR"/>
          <w:color w:val="111111"/>
          <w:sz w:val="28"/>
          <w:szCs w:val="28"/>
          <w:rtl/>
        </w:rPr>
        <w:t xml:space="preserve">[الحمد لله الذی هو بالحمد جدیر ... قال الشیخ الإمام ... زین العابدین بن الحسین ..</w:t>
      </w:r>
    </w:p>
    <w:p>
      <w:pPr>
        <w:pStyle w:val="BookText"/>
      </w:pPr>
      <w:r>
        <w:rPr>
          <w:rFonts w:ascii="IRNazanin" w:hAnsi="IRNazanin" w:eastAsia="IRNazanin" w:cs="IRNazanin"/>
          <w:lang w:bidi="fa-IR"/>
          <w:color w:val="111111"/>
          <w:sz w:val="28"/>
          <w:szCs w:val="28"/>
          <w:rtl/>
        </w:rPr>
        <w:t xml:space="preserve">فی قافیة الألف:</w:t>
      </w:r>
    </w:p>
    <w:p>
      <w:pPr>
        <w:pStyle w:val="BookText"/>
      </w:pPr>
      <w:r>
        <w:rPr>
          <w:rFonts w:ascii="IRNazanin" w:hAnsi="IRNazanin" w:eastAsia="IRNazanin" w:cs="IRNazanin"/>
          <w:lang w:bidi="fa-IR"/>
          <w:color w:val="111111"/>
          <w:sz w:val="28"/>
          <w:szCs w:val="28"/>
          <w:rtl/>
        </w:rPr>
        <w:t xml:space="preserve">تبارک ذو العلی و الکبریاء</w:t>
      </w:r>
    </w:p>
    <w:p>
      <w:pPr>
        <w:pStyle w:val="BookText"/>
      </w:pPr>
      <w:r>
        <w:rPr>
          <w:rFonts w:ascii="IRNazanin" w:hAnsi="IRNazanin" w:eastAsia="IRNazanin" w:cs="IRNazanin"/>
          <w:lang w:bidi="fa-IR"/>
          <w:color w:val="111111"/>
          <w:sz w:val="28"/>
          <w:szCs w:val="28"/>
          <w:rtl/>
        </w:rPr>
        <w:t xml:space="preserve">تفرد بالجلال و بالبقاء</w:t>
      </w:r>
    </w:p>
    <w:p>
      <w:pPr>
        <w:pStyle w:val="BookText"/>
      </w:pPr>
      <w:r>
        <w:rPr>
          <w:rFonts w:ascii="IRNazanin" w:hAnsi="IRNazanin" w:eastAsia="IRNazanin" w:cs="IRNazanin"/>
          <w:lang w:bidi="fa-IR"/>
          <w:color w:val="111111"/>
          <w:sz w:val="28"/>
          <w:szCs w:val="28"/>
          <w:rtl/>
        </w:rPr>
        <w:t xml:space="preserve">تبارک تفاعل من البرکة بفتحتین و هی ...] و قد طبع الدیوان هذا فی ضمن دیوان المعصومین أیضا.</w:t>
      </w:r>
    </w:p>
    <w:p>
      <w:pPr>
        <w:pStyle w:val="Heading3"/>
      </w:pPr>
      <w:bookmarkStart w:id="4528" w:name="_Toc3224"/>
      <w:r>
        <w:t>2500- دیوان سجادی بروجردی‏</w:t>
      </w:r>
      <w:bookmarkEnd w:id="4528"/>
    </w:p>
    <w:p>
      <w:pPr>
        <w:pStyle w:val="BookText"/>
      </w:pPr>
      <w:r>
        <w:rPr>
          <w:rFonts w:ascii="IRNazanin" w:hAnsi="IRNazanin" w:eastAsia="IRNazanin" w:cs="IRNazanin"/>
          <w:lang w:bidi="fa-IR"/>
          <w:color w:val="111111"/>
          <w:sz w:val="28"/>
          <w:szCs w:val="28"/>
          <w:rtl/>
        </w:rPr>
        <w:t xml:space="preserve">و هو السید علی أکبر بن عبد الرحیم المتخلص سجادی البروجردی المعاصر. طبع بطهران فی (1328 ش) فی (103 ص) و هو قصائد و غزلیات و مراثی و رباعیات.</w:t>
      </w:r>
    </w:p>
    <w:p>
      <w:pPr>
        <w:pStyle w:val="Heading3"/>
      </w:pPr>
      <w:bookmarkStart w:id="4529" w:name="_Toc3225"/>
      <w:r>
        <w:t>2501- دیوان سجاوندی‏</w:t>
      </w:r>
      <w:bookmarkEnd w:id="4529"/>
    </w:p>
    <w:p>
      <w:pPr>
        <w:pStyle w:val="BookText"/>
      </w:pPr>
      <w:r>
        <w:rPr>
          <w:rFonts w:ascii="IRNazanin" w:hAnsi="IRNazanin" w:eastAsia="IRNazanin" w:cs="IRNazanin"/>
          <w:lang w:bidi="fa-IR"/>
          <w:color w:val="111111"/>
          <w:sz w:val="28"/>
          <w:szCs w:val="28"/>
          <w:rtl/>
        </w:rPr>
        <w:t xml:space="preserve">هو ملک الکلام مجد الدین أحمد ابن أبی بدیل محمد السجاوندی. ذکره فی لباب الألباب (ج 2- ص 282) و وصفه: [سلطان جهان‏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428" w:name="pg11704_121908"/>
    <w:bookmarkEnd w:id="428"/>
    <w:p>
      <w:pPr>
        <w:pStyle w:val="BookText"/>
      </w:pPr>
      <w:r>
        <w:rPr>
          <w:rFonts w:ascii="IRNazanin" w:hAnsi="IRNazanin" w:eastAsia="IRNazanin" w:cs="IRNazanin"/>
          <w:lang w:bidi="fa-IR"/>
          <w:color w:val="111111"/>
          <w:sz w:val="28"/>
          <w:szCs w:val="28"/>
          <w:rtl/>
        </w:rPr>
        <w:t xml:space="preserve">علم و مالک أعنه فضل و قائد ازمه عمل، منشی حقایق ...] و قال إن له مصنفات مقبولة عند العلماء، و منها إنسان عین المعانی فی التفسیر و ذخائر الثمار در معانی أخبار سید مختار ثم أورد له أبیاتا فارسیة لطیفة. و قد ذکر الکتابین فی کشف الظنون‏</w:t>
      </w:r>
      <w:r>
        <w:rPr>
          <w:rStyle w:val="FootnoteReference"/>
        </w:rPr>
        <w:footnoteReference w:id="35"/>
      </w:r>
      <w:r>
        <w:rPr>
          <w:rFonts w:ascii="IRNazanin" w:hAnsi="IRNazanin" w:eastAsia="IRNazanin" w:cs="IRNazanin"/>
          <w:lang w:bidi="fa-IR"/>
          <w:color w:val="111111"/>
          <w:sz w:val="28"/>
          <w:szCs w:val="28"/>
          <w:rtl/>
        </w:rPr>
        <w:t xml:space="preserve">و خلط فی مؤلفها بین مجد الدین أحمد بن أبی بدیل المفسر الشاعر الفارسی السجاوندی و شمس الدین أبی الفضل محمد بن أبی یزید طیفور السجاوندی القاری المتوفی (560) مؤلف الوقوف و مؤلف عین المعانی فی تفسیر السبع المثانی. کذا فی (فهرس مکتبة دانشگاه تهران- ج 1 ص 242).</w:t>
      </w:r>
    </w:p>
    <w:p>
      <w:pPr>
        <w:pStyle w:val="Heading3"/>
      </w:pPr>
      <w:bookmarkStart w:id="4530" w:name="_Toc3226"/>
      <w:r>
        <w:t>2502- دیوان سجودی سمرقندی أو شعره‏</w:t>
      </w:r>
      <w:bookmarkEnd w:id="4530"/>
    </w:p>
    <w:p>
      <w:pPr>
        <w:pStyle w:val="BookText"/>
      </w:pPr>
      <w:r>
        <w:rPr>
          <w:rFonts w:ascii="IRNazanin" w:hAnsi="IRNazanin" w:eastAsia="IRNazanin" w:cs="IRNazanin"/>
          <w:lang w:bidi="fa-IR"/>
          <w:color w:val="111111"/>
          <w:sz w:val="28"/>
          <w:szCs w:val="28"/>
          <w:rtl/>
        </w:rPr>
        <w:t xml:space="preserve">کان من فضلاء شعراء سمرقند. وصفه فی (تس 5- ص 165) و أورد شعره.</w:t>
      </w:r>
    </w:p>
    <w:p>
      <w:pPr>
        <w:pStyle w:val="Heading3"/>
      </w:pPr>
      <w:bookmarkStart w:id="4531" w:name="_Toc3227"/>
      <w:r>
        <w:t>2503- دیوان سحاب الأردوبادی الأصفهانی‏</w:t>
      </w:r>
      <w:bookmarkEnd w:id="4531"/>
    </w:p>
    <w:p>
      <w:pPr>
        <w:pStyle w:val="BookText"/>
      </w:pPr>
      <w:r>
        <w:rPr>
          <w:rFonts w:ascii="IRNazanin" w:hAnsi="IRNazanin" w:eastAsia="IRNazanin" w:cs="IRNazanin"/>
          <w:lang w:bidi="fa-IR"/>
          <w:color w:val="111111"/>
          <w:sz w:val="28"/>
          <w:szCs w:val="28"/>
          <w:rtl/>
        </w:rPr>
        <w:t xml:space="preserve">هو السید محمد بن السید أحمد الحسینی المتخلص هاتف. نزل جده الأعلی من أردوباد إلی أصفهان و یأتی والده الطبیب الماهر الشاعر المتوفی (1198) و کان سحاب من شعراء عصر الفتح علی شاه و لقبه مجتهد الشعراء و باسمه ألف تذکره رشحات سحاب و له سحاب البکاء و توفی (1222) و حمل إلی العراق. ترجمه (مع- ج 2 ص 207) و قال إن دیوانه یقرب من خمسة آلاف بیت و ترجمه فی (دجا- ص 176) نقلا عن نگارستان دارا و ذکر أن دیوانه فی ثمانیة آلاف بیت. توجد نسخه منه فی (الرضویة). و ثلاث نسخ عند (الملک) و نسخه فی (سپهسالار) أقل من (4000 بیت) و نسخه دانشگاه تهران أقل من (2000 بیت) کما فی فهرسها (ج 2- ص 54) و ترجم فی انجمن خاقان أیضا.</w:t>
      </w:r>
    </w:p>
    <w:p>
      <w:pPr>
        <w:pStyle w:val="Heading3"/>
      </w:pPr>
      <w:bookmarkStart w:id="4532" w:name="_Toc3228"/>
      <w:r>
        <w:t>2504- دیوان سحاب تفریشی أو شعره‏</w:t>
      </w:r>
      <w:bookmarkEnd w:id="4532"/>
    </w:p>
    <w:p>
      <w:pPr>
        <w:pStyle w:val="BookText"/>
      </w:pPr>
      <w:r>
        <w:rPr>
          <w:rFonts w:ascii="IRNazanin" w:hAnsi="IRNazanin" w:eastAsia="IRNazanin" w:cs="IRNazanin"/>
          <w:lang w:bidi="fa-IR"/>
          <w:color w:val="111111"/>
          <w:sz w:val="28"/>
          <w:szCs w:val="28"/>
          <w:rtl/>
        </w:rPr>
        <w:t xml:space="preserve">هو أبو القاسم بن محمد زمان التفریشی المولود بها (1304) طبع بعض أشعاره فی تصانیفه منها فی مدیح الإمام الصادق علیه السلام  فی کتابه زندگانی إمام صادق. و طبع له فرهنگ خاورشناسان.</w:t>
      </w:r>
    </w:p>
    <w:p>
      <w:pPr>
        <w:pStyle w:val="Heading3"/>
      </w:pPr>
      <w:bookmarkStart w:id="4533" w:name="_Toc3229"/>
      <w:r>
        <w:t>2505- دیوان سحاب سامانی‏</w:t>
      </w:r>
      <w:bookmarkEnd w:id="4533"/>
    </w:p>
    <w:p>
      <w:pPr>
        <w:pStyle w:val="BookText"/>
      </w:pPr>
      <w:r>
        <w:rPr>
          <w:rFonts w:ascii="IRNazanin" w:hAnsi="IRNazanin" w:eastAsia="IRNazanin" w:cs="IRNazanin"/>
          <w:lang w:bidi="fa-IR"/>
          <w:color w:val="111111"/>
          <w:sz w:val="28"/>
          <w:szCs w:val="28"/>
          <w:rtl/>
        </w:rPr>
        <w:t xml:space="preserve">و هو ابن عبد الله محیط. ولد بسامان من قری أصفهان فی (1301 ش) ذکره فی (شعراء معاصر أصفهان- ص 237) و قال إنه من عمال أصفهان و أورد من شعره و أطرأه. ر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429" w:name="pg11704_121909"/>
    <w:bookmarkEnd w:id="429"/>
    <w:p>
      <w:pPr>
        <w:pStyle w:val="Heading3"/>
      </w:pPr>
      <w:bookmarkStart w:id="4534" w:name="_Toc3230"/>
      <w:r>
        <w:t>2506- دیوان سحاب همدانی‏</w:t>
      </w:r>
      <w:bookmarkEnd w:id="4534"/>
    </w:p>
    <w:p>
      <w:pPr>
        <w:pStyle w:val="BookText"/>
      </w:pPr>
      <w:r>
        <w:rPr>
          <w:rFonts w:ascii="IRNazanin" w:hAnsi="IRNazanin" w:eastAsia="IRNazanin" w:cs="IRNazanin"/>
          <w:lang w:bidi="fa-IR"/>
          <w:color w:val="111111"/>
          <w:sz w:val="28"/>
          <w:szCs w:val="28"/>
          <w:rtl/>
        </w:rPr>
        <w:t xml:space="preserve">الشیخ حسن علی من أعضاء انجمن دانش بهمدان کما وصفه و أورد شعره فی دانش‏نامه لمحمد باقر ألفت الأصفهانی، و یوجد دیوان سحاب فی مکتبة (المحیط) بطهران.</w:t>
      </w:r>
    </w:p>
    <w:p>
      <w:pPr>
        <w:pStyle w:val="Heading3"/>
      </w:pPr>
      <w:bookmarkStart w:id="4535" w:name="_Toc3231"/>
      <w:r>
        <w:t>2507- دیوان سحابی أسترآبادی‏</w:t>
      </w:r>
      <w:bookmarkEnd w:id="4535"/>
    </w:p>
    <w:p>
      <w:pPr>
        <w:pStyle w:val="BookText"/>
      </w:pPr>
      <w:r>
        <w:rPr>
          <w:rFonts w:ascii="IRNazanin" w:hAnsi="IRNazanin" w:eastAsia="IRNazanin" w:cs="IRNazanin"/>
          <w:lang w:bidi="fa-IR"/>
          <w:color w:val="111111"/>
          <w:sz w:val="28"/>
          <w:szCs w:val="28"/>
          <w:rtl/>
        </w:rPr>
        <w:t xml:space="preserve">النجفی الجوار أصله من جرجان و مولده تستر و مسکنه النجف. ترجمه معاصره الصادقی فی (خص 8- ص 304) و ذکر لقائه فی النجف بعد ریاضاته بها فی سبعة عشر سنة و مع اعترافه بأنه کان فی ظاهر حاله فی کسوة التفرید و التجرید ادعی</w:t>
      </w:r>
    </w:p>
    <w:p>
      <w:pPr>
        <w:pStyle w:val="BookText"/>
      </w:pPr>
      <w:r>
        <w:rPr>
          <w:rFonts w:ascii="IRNazanin" w:hAnsi="IRNazanin" w:eastAsia="IRNazanin" w:cs="IRNazanin"/>
          <w:lang w:bidi="fa-IR"/>
          <w:color w:val="111111"/>
          <w:sz w:val="28"/>
          <w:szCs w:val="28"/>
          <w:rtl/>
        </w:rPr>
        <w:t xml:space="preserve">أنه کان مرائیا مزورا و أورد رباعیة له. و لکن فی (مع- ج 2 ص 21) و فی (ض- ص 138) ذکر أنه جاور النجف أربعین سنة فی الریاضات النفسانیة و المجاهدات فی عصر الشاه عباس الماضی و بها توفی (1021) و له ستة آلاف رباعیا غیر ما له من الغزلیات، و أورد فی الکتابین جملة من رباعیاته و عد رباعیاته فی مرآة الخیال ص 84 باثنتی عشر ألف رباعیة و فی سرو آزاد- ص 14 نقل عن صبح صادق أن له سبعین ألف رباعیة، و کذا فی شمع انجمن- ص 198 و لیس بصحیح. و فی (نر 9- ص 254) قارنه بالخیام من کثرة رباعیاته و لم یترجمه مستقلا. و ترجمه فی هفت إقلیم و فی (تش- ص 151) و لکن غلطا، و فی (تغ- ص 63) سماه کمال الدین، و فی فهرس ریو (ص 672) و عنه فی (براون ج 4- ص 168) و ذکر هذا وفاته فی (1010) و هو مأخوذ عن سرو آزاد. و نسخه من دیوانه توجد عند (الملک) تشتمل علی (4452) رباعیة کتبت (1091) تحت رقم (4995). و نسخه (المجلس) تشتمل علی (6250 رباعیة) و فی مقدمتها رسالة عرفانیة فارسیة لسحابی طاهرا، و اسمه عروة الوثقی تشتمل علی أربعة فصول و بعد الرباعیات مثنوی لسحابی أیضا. و نسخه پارسای تویسرکانی بطهران تشتمل علی عروة الوثقی ثم الرباعیات ثم المثنوی المذکور فی (343 بیتا) کما ذکر ذلک مفصلا فی مجلة أرمغان الطهرانیة (السنة 14- ص 515- 518) و سماه فی فهرس الآصفیة (ص 298) سحابی شوشتری.</w:t>
      </w:r>
    </w:p>
    <w:p>
      <w:pPr>
        <w:pStyle w:val="Heading3"/>
      </w:pPr>
      <w:bookmarkStart w:id="4536" w:name="_Toc3232"/>
      <w:r>
        <w:t>دیوان سحابی شوشتری‏</w:t>
      </w:r>
      <w:bookmarkEnd w:id="4536"/>
    </w:p>
    <w:p>
      <w:pPr>
        <w:pStyle w:val="BookText"/>
      </w:pPr>
      <w:r>
        <w:rPr>
          <w:rFonts w:ascii="IRNazanin" w:hAnsi="IRNazanin" w:eastAsia="IRNazanin" w:cs="IRNazanin"/>
          <w:lang w:bidi="fa-IR"/>
          <w:color w:val="111111"/>
          <w:sz w:val="28"/>
          <w:szCs w:val="28"/>
          <w:rtl/>
        </w:rPr>
        <w:t xml:space="preserve">ذکر دیوان رباعیاته فی فهرس الآصفیة (ص 298) و فی (تغ- ص 63) سبحانی شوشتری. و الظاهر أنه هو الأسترآبادی المذکور آنفا.</w:t>
      </w:r>
    </w:p>
    <w:p>
      <w:pPr>
        <w:pStyle w:val="Heading3"/>
      </w:pPr>
      <w:bookmarkStart w:id="4537" w:name="_Toc3233"/>
      <w:r>
        <w:t>دیوان سحابی نجفی‏</w:t>
      </w:r>
      <w:bookmarkEnd w:id="4537"/>
    </w:p>
    <w:p>
      <w:pPr>
        <w:pStyle w:val="BookText"/>
      </w:pPr>
      <w:r>
        <w:rPr>
          <w:rFonts w:ascii="IRNazanin" w:hAnsi="IRNazanin" w:eastAsia="IRNazanin" w:cs="IRNazanin"/>
          <w:lang w:bidi="fa-IR"/>
          <w:color w:val="111111"/>
          <w:sz w:val="28"/>
          <w:szCs w:val="28"/>
          <w:rtl/>
        </w:rPr>
        <w:t xml:space="preserve">راجع سحابی الأسترآبادی.</w:t>
      </w:r>
    </w:p>
    <w:p>
      <w:pPr>
        <w:pStyle w:val="Heading3"/>
      </w:pPr>
      <w:bookmarkStart w:id="4538" w:name="_Toc3234"/>
      <w:r>
        <w:t>2508- دیوان سحری خوانساری‏</w:t>
      </w:r>
      <w:bookmarkEnd w:id="4538"/>
    </w:p>
    <w:p>
      <w:pPr>
        <w:pStyle w:val="BookText"/>
      </w:pPr>
      <w:r>
        <w:rPr>
          <w:rFonts w:ascii="IRNazanin" w:hAnsi="IRNazanin" w:eastAsia="IRNazanin" w:cs="IRNazanin"/>
          <w:lang w:bidi="fa-IR"/>
          <w:color w:val="111111"/>
          <w:sz w:val="28"/>
          <w:szCs w:val="28"/>
          <w:rtl/>
        </w:rPr>
        <w:t xml:space="preserve">المعروف بقطبا. کان قاضی خوانسار و والده القاضی‏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430" w:name="pg11704_121910"/>
    <w:bookmarkEnd w:id="430"/>
    <w:p>
      <w:pPr>
        <w:pStyle w:val="BookText"/>
      </w:pPr>
      <w:r>
        <w:rPr>
          <w:rFonts w:ascii="IRNazanin" w:hAnsi="IRNazanin" w:eastAsia="IRNazanin" w:cs="IRNazanin"/>
          <w:lang w:bidi="fa-IR"/>
          <w:color w:val="111111"/>
          <w:sz w:val="28"/>
          <w:szCs w:val="28"/>
          <w:rtl/>
        </w:rPr>
        <w:t xml:space="preserve">أمین الخوانساری. ترجمه النصرآبادی و أطرأه فی (نر 9- ص 318) و أورد رباعیة له.</w:t>
      </w:r>
    </w:p>
    <w:p>
      <w:pPr>
        <w:pStyle w:val="BookText"/>
      </w:pPr>
      <w:r>
        <w:rPr>
          <w:rFonts w:ascii="IRNazanin" w:hAnsi="IRNazanin" w:eastAsia="IRNazanin" w:cs="IRNazanin"/>
          <w:lang w:bidi="fa-IR"/>
          <w:color w:val="111111"/>
          <w:sz w:val="28"/>
          <w:szCs w:val="28"/>
          <w:rtl/>
        </w:rPr>
        <w:t xml:space="preserve">و کذا فی (گلشن- ص 198).</w:t>
      </w:r>
    </w:p>
    <w:p>
      <w:pPr>
        <w:pStyle w:val="Heading3"/>
      </w:pPr>
      <w:bookmarkStart w:id="4539" w:name="_Toc3235"/>
      <w:r>
        <w:t>2509- دیوان سحری زواره‏ئی أو شعره‏</w:t>
      </w:r>
      <w:bookmarkEnd w:id="4539"/>
    </w:p>
    <w:p>
      <w:pPr>
        <w:pStyle w:val="BookText"/>
      </w:pPr>
      <w:r>
        <w:rPr>
          <w:rFonts w:ascii="IRNazanin" w:hAnsi="IRNazanin" w:eastAsia="IRNazanin" w:cs="IRNazanin"/>
          <w:lang w:bidi="fa-IR"/>
          <w:color w:val="111111"/>
          <w:sz w:val="28"/>
          <w:szCs w:val="28"/>
          <w:rtl/>
        </w:rPr>
        <w:t xml:space="preserve">أصله من أردستان، و کان عطارا بأصفهان.</w:t>
      </w:r>
    </w:p>
    <w:p>
      <w:pPr>
        <w:pStyle w:val="BookText"/>
      </w:pPr>
      <w:r>
        <w:rPr>
          <w:rFonts w:ascii="IRNazanin" w:hAnsi="IRNazanin" w:eastAsia="IRNazanin" w:cs="IRNazanin"/>
          <w:lang w:bidi="fa-IR"/>
          <w:color w:val="111111"/>
          <w:sz w:val="28"/>
          <w:szCs w:val="28"/>
          <w:rtl/>
        </w:rPr>
        <w:t xml:space="preserve">أورد شعره فی (گلشن- ص 198).</w:t>
      </w:r>
    </w:p>
    <w:p>
      <w:pPr>
        <w:pStyle w:val="Heading3"/>
      </w:pPr>
      <w:bookmarkStart w:id="4540" w:name="_Toc3236"/>
      <w:r>
        <w:t>2510- دیوان ملا سحری طهرانی‏</w:t>
      </w:r>
      <w:bookmarkEnd w:id="4540"/>
    </w:p>
    <w:p>
      <w:pPr>
        <w:pStyle w:val="BookText"/>
      </w:pPr>
      <w:r>
        <w:rPr>
          <w:rFonts w:ascii="IRNazanin" w:hAnsi="IRNazanin" w:eastAsia="IRNazanin" w:cs="IRNazanin"/>
          <w:lang w:bidi="fa-IR"/>
          <w:color w:val="111111"/>
          <w:sz w:val="28"/>
          <w:szCs w:val="28"/>
          <w:rtl/>
        </w:rPr>
        <w:t xml:space="preserve">ترجمه معاصره النصرآبادی فی (نر 9- ص 409) و ذکر صحبته مع المولی صبوحی الخوانساری المتوفی (1078) فی طهران و ذکر شعره فی حق مقصود علی الأرباب الطهرانی و أورد کثیرا من أشعاره التی أنشأها باللهجة الطهرانیة.</w:t>
      </w:r>
    </w:p>
    <w:p>
      <w:pPr>
        <w:pStyle w:val="BookText"/>
      </w:pPr>
      <w:r>
        <w:rPr>
          <w:rFonts w:ascii="IRNazanin" w:hAnsi="IRNazanin" w:eastAsia="IRNazanin" w:cs="IRNazanin"/>
          <w:lang w:bidi="fa-IR"/>
          <w:color w:val="111111"/>
          <w:sz w:val="28"/>
          <w:szCs w:val="28"/>
          <w:rtl/>
        </w:rPr>
        <w:t xml:space="preserve">و ترجمه فی (مع- ج 2- ص 21) و أورد بعض أشعاره الطهرانیة، و کذا فی (گلشن- ص 198).</w:t>
      </w:r>
    </w:p>
    <w:p>
      <w:pPr>
        <w:pStyle w:val="Heading3"/>
      </w:pPr>
      <w:bookmarkStart w:id="4541" w:name="_Toc3237"/>
      <w:r>
        <w:t>2511- دیوان سحیم‏</w:t>
      </w:r>
      <w:bookmarkEnd w:id="4541"/>
    </w:p>
    <w:p>
      <w:pPr>
        <w:pStyle w:val="BookText"/>
      </w:pPr>
      <w:r>
        <w:rPr>
          <w:rFonts w:ascii="IRNazanin" w:hAnsi="IRNazanin" w:eastAsia="IRNazanin" w:cs="IRNazanin"/>
          <w:lang w:bidi="fa-IR"/>
          <w:color w:val="111111"/>
          <w:sz w:val="28"/>
          <w:szCs w:val="28"/>
          <w:rtl/>
        </w:rPr>
        <w:t xml:space="preserve">ابن وثیل العاملی الریاحی. ذکره (ابن الندیم- ص 224) جمع شعره الأصمعی و ابن السکیت.</w:t>
      </w:r>
    </w:p>
    <w:p>
      <w:pPr>
        <w:pStyle w:val="Heading3"/>
      </w:pPr>
      <w:bookmarkStart w:id="4542" w:name="_Toc3238"/>
      <w:r>
        <w:t>2512- دیوان سخای أصفهانی‏</w:t>
      </w:r>
      <w:bookmarkEnd w:id="4542"/>
    </w:p>
    <w:p>
      <w:pPr>
        <w:pStyle w:val="BookText"/>
      </w:pPr>
      <w:r>
        <w:rPr>
          <w:rFonts w:ascii="IRNazanin" w:hAnsi="IRNazanin" w:eastAsia="IRNazanin" w:cs="IRNazanin"/>
          <w:lang w:bidi="fa-IR"/>
          <w:color w:val="111111"/>
          <w:sz w:val="28"/>
          <w:szCs w:val="28"/>
          <w:rtl/>
        </w:rPr>
        <w:t xml:space="preserve">و اسمه محمد زمان خان بن نظام الدولة الحاج محمد حسین خان الصدر الأعظم للسلطان فتح علی شاه. و کان حاکم یزد کما ترجمه فی (مع- ج 2 ص 181) و أورد بعض شعره. و کذا فی انجمن خاقان.</w:t>
      </w:r>
    </w:p>
    <w:p>
      <w:pPr>
        <w:pStyle w:val="Heading3"/>
      </w:pPr>
      <w:bookmarkStart w:id="4543" w:name="_Toc3239"/>
      <w:r>
        <w:t>2513- دیوان سخای لاری‏</w:t>
      </w:r>
      <w:bookmarkEnd w:id="4543"/>
    </w:p>
    <w:p>
      <w:pPr>
        <w:pStyle w:val="BookText"/>
      </w:pPr>
      <w:r>
        <w:rPr>
          <w:rFonts w:ascii="IRNazanin" w:hAnsi="IRNazanin" w:eastAsia="IRNazanin" w:cs="IRNazanin"/>
          <w:lang w:bidi="fa-IR"/>
          <w:color w:val="111111"/>
          <w:sz w:val="28"/>
          <w:szCs w:val="28"/>
          <w:rtl/>
        </w:rPr>
        <w:t xml:space="preserve">المیرزا زاهد علی المتخلص سخا ابن المیرزا سعد الدین اللاری. کان هو بعد والده ضابط مالیات بنادر فارس. ترجمه فی تذکره حزین (ص 95) قال و بعد الانقلابات ترک عمله و فر إلی الهند و مات بدهلی. أقول أورد أشعاره فی گلستان مسرت مکررا. و قال فی لارستان کهن- ص 199 إنه فی محاربات محمد خان بلوچ فر إلی دهلی و مات بها فی (1146) و دیوانه ذکر فی التذاکر و لعله یوجد فی مکتبات الهند. و أضاف فی (تغ- ص 63) أنه فر من نادر شاه. و زاد فی أسماء المؤلفین- ج 1 ص 767 أنه مات مسموما.</w:t>
      </w:r>
    </w:p>
    <w:p>
      <w:pPr>
        <w:pStyle w:val="Heading3"/>
      </w:pPr>
      <w:bookmarkStart w:id="4544" w:name="_Toc3240"/>
      <w:r>
        <w:t>2514- دیوان سخن أکبرآبادی أو شعره‏</w:t>
      </w:r>
      <w:bookmarkEnd w:id="4544"/>
    </w:p>
    <w:p>
      <w:pPr>
        <w:pStyle w:val="BookText"/>
      </w:pPr>
      <w:r>
        <w:rPr>
          <w:rFonts w:ascii="IRNazanin" w:hAnsi="IRNazanin" w:eastAsia="IRNazanin" w:cs="IRNazanin"/>
          <w:lang w:bidi="fa-IR"/>
          <w:color w:val="111111"/>
          <w:sz w:val="28"/>
          <w:szCs w:val="28"/>
          <w:rtl/>
        </w:rPr>
        <w:t xml:space="preserve">و اسمه عبد الصمد. کان من تلامیذ عبد القادر بیدل، و من أساتیذ سراج الدین آرزو. مات بأحمدآباد گجرات فی (1141) أورد شعره فی (گلشن- ص 199) و القاموس الترکی ثم الریحانة.</w:t>
      </w:r>
    </w:p>
    <w:p>
      <w:pPr>
        <w:pStyle w:val="Heading3"/>
      </w:pPr>
      <w:bookmarkStart w:id="4545" w:name="_Toc3241"/>
      <w:r>
        <w:t>2515- دیوان سخن أصفهانی‏</w:t>
      </w:r>
      <w:bookmarkEnd w:id="4545"/>
    </w:p>
    <w:p>
      <w:pPr>
        <w:pStyle w:val="BookText"/>
      </w:pPr>
      <w:r>
        <w:rPr>
          <w:rFonts w:ascii="IRNazanin" w:hAnsi="IRNazanin" w:eastAsia="IRNazanin" w:cs="IRNazanin"/>
          <w:lang w:bidi="fa-IR"/>
          <w:color w:val="111111"/>
          <w:sz w:val="28"/>
          <w:szCs w:val="28"/>
          <w:rtl/>
        </w:rPr>
        <w:t xml:space="preserve">سافر إلی الهند للتجارة فلازم بهادر والی. له دیوان مختصر. و مات (1226) أورد شعره فی (گلشن- ص 199) و أضاف فی الریحانة نقلا عن‏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431" w:name="pg11704_121911"/>
    <w:bookmarkEnd w:id="431"/>
    <w:p>
      <w:pPr>
        <w:pStyle w:val="BookText"/>
      </w:pPr>
      <w:r>
        <w:rPr>
          <w:rFonts w:ascii="IRNazanin" w:hAnsi="IRNazanin" w:eastAsia="IRNazanin" w:cs="IRNazanin"/>
          <w:lang w:bidi="fa-IR"/>
          <w:color w:val="111111"/>
          <w:sz w:val="28"/>
          <w:szCs w:val="28"/>
          <w:rtl/>
        </w:rPr>
        <w:t xml:space="preserve">القاموس الترکی أن اسمه السید محمد خان و مات (1216).</w:t>
      </w:r>
    </w:p>
    <w:p>
      <w:pPr>
        <w:pStyle w:val="Heading3"/>
      </w:pPr>
      <w:bookmarkStart w:id="4546" w:name="_Toc3242"/>
      <w:r>
        <w:t>2516- دیوان سخن شیرازی أو شعره‏</w:t>
      </w:r>
      <w:bookmarkEnd w:id="4546"/>
    </w:p>
    <w:p>
      <w:pPr>
        <w:pStyle w:val="BookText"/>
      </w:pPr>
      <w:r>
        <w:rPr>
          <w:rFonts w:ascii="IRNazanin" w:hAnsi="IRNazanin" w:eastAsia="IRNazanin" w:cs="IRNazanin"/>
          <w:lang w:bidi="fa-IR"/>
          <w:color w:val="111111"/>
          <w:sz w:val="28"/>
          <w:szCs w:val="28"/>
          <w:rtl/>
        </w:rPr>
        <w:t xml:space="preserve">و اسمه آقا نبی المنشی العلاقة بند. أورد شعره فی (گلشن- ص 198).</w:t>
      </w:r>
    </w:p>
    <w:p>
      <w:pPr>
        <w:pStyle w:val="Heading3"/>
      </w:pPr>
      <w:bookmarkStart w:id="4547" w:name="_Toc3243"/>
      <w:r>
        <w:t>2517- دیوان سخی کرمانی أو شعره‏</w:t>
      </w:r>
      <w:bookmarkEnd w:id="4547"/>
    </w:p>
    <w:p>
      <w:pPr>
        <w:pStyle w:val="BookText"/>
      </w:pPr>
      <w:r>
        <w:rPr>
          <w:rFonts w:ascii="IRNazanin" w:hAnsi="IRNazanin" w:eastAsia="IRNazanin" w:cs="IRNazanin"/>
          <w:lang w:bidi="fa-IR"/>
          <w:color w:val="111111"/>
          <w:sz w:val="28"/>
          <w:szCs w:val="28"/>
          <w:rtl/>
        </w:rPr>
        <w:t xml:space="preserve">من شعراء عصر السلطان الشاه عباس الماضی المتوفی (1038) ترجمه النصرآبادی فی (نر 9- ص 245) و أورد بعض قصیدته فی مدح الشاه عباس و بعض غزله و رباعیته، و کذا فی (تغ- ص 64).</w:t>
      </w:r>
    </w:p>
    <w:p>
      <w:pPr>
        <w:pStyle w:val="Heading3"/>
      </w:pPr>
      <w:bookmarkStart w:id="4548" w:name="_Toc3244"/>
      <w:r>
        <w:t>2518- دیوان سخنور بلگرامی أو شعره‏</w:t>
      </w:r>
      <w:bookmarkEnd w:id="4548"/>
    </w:p>
    <w:p>
      <w:pPr>
        <w:pStyle w:val="BookText"/>
      </w:pPr>
      <w:r>
        <w:rPr>
          <w:rFonts w:ascii="IRNazanin" w:hAnsi="IRNazanin" w:eastAsia="IRNazanin" w:cs="IRNazanin"/>
          <w:lang w:bidi="fa-IR"/>
          <w:color w:val="111111"/>
          <w:sz w:val="28"/>
          <w:szCs w:val="28"/>
          <w:rtl/>
        </w:rPr>
        <w:t xml:space="preserve">و اسمه الشیخ محمد صدیق ابن القاضی إحسان الله قاضی بلگرام. تلمذ علی نوازش علی. ترجمه و أورد شعره فی (سرو آزاد- ص 349). و أورد شعره فی گلستان مسرت.</w:t>
      </w:r>
    </w:p>
    <w:p>
      <w:pPr>
        <w:pStyle w:val="Heading3"/>
      </w:pPr>
      <w:bookmarkStart w:id="4549" w:name="_Toc3245"/>
      <w:r>
        <w:t>2519- دیوان سدید أعور</w:t>
      </w:r>
      <w:bookmarkEnd w:id="4549"/>
    </w:p>
    <w:p>
      <w:pPr>
        <w:pStyle w:val="BookText"/>
      </w:pPr>
      <w:r>
        <w:rPr>
          <w:rFonts w:ascii="IRNazanin" w:hAnsi="IRNazanin" w:eastAsia="IRNazanin" w:cs="IRNazanin"/>
          <w:lang w:bidi="fa-IR"/>
          <w:color w:val="111111"/>
          <w:sz w:val="28"/>
          <w:szCs w:val="28"/>
          <w:rtl/>
        </w:rPr>
        <w:t xml:space="preserve">و هو سدید الدین محمد من طائفة أکراد کرماج و معاصر أثیر الدین أخسیکتی (المتوفی (562) و المعارض معه فی الشعر. ترجمه فی (مع- ج 1 ص 245) و أورد شعره المنبئ عن کونه أعور العین و کذا فی (تش- ص 14) و (تغ- ص 64) و القاموس الترکی ثم الریحانة. و قال سنگلاخ فی امتحان الفضلاء- ج 2 ص 333 إنه رأی دیوانه فی خمسین ورقة بخط محمد رضا صدر الکتاب.</w:t>
      </w:r>
    </w:p>
    <w:p>
      <w:pPr>
        <w:pStyle w:val="Heading3"/>
      </w:pPr>
      <w:bookmarkStart w:id="4550" w:name="_Toc3246"/>
      <w:r>
        <w:t>2520- دیوان سدید بیهقی أو شعره‏</w:t>
      </w:r>
      <w:bookmarkEnd w:id="4550"/>
    </w:p>
    <w:p>
      <w:pPr>
        <w:pStyle w:val="BookText"/>
      </w:pPr>
      <w:r>
        <w:rPr>
          <w:rFonts w:ascii="IRNazanin" w:hAnsi="IRNazanin" w:eastAsia="IRNazanin" w:cs="IRNazanin"/>
          <w:lang w:bidi="fa-IR"/>
          <w:color w:val="111111"/>
          <w:sz w:val="28"/>
          <w:szCs w:val="28"/>
          <w:rtl/>
        </w:rPr>
        <w:t xml:space="preserve">و اسمه سدید الدین الخراسانی. قال فی (مع- ج 1 ص 245) کانت بینه و بین الحکیم أنوری (المتوفی 552) مهاجاة شعریة و أورد شعره.</w:t>
      </w:r>
    </w:p>
    <w:p>
      <w:pPr>
        <w:pStyle w:val="Heading3"/>
      </w:pPr>
      <w:bookmarkStart w:id="4551" w:name="_Toc3247"/>
      <w:r>
        <w:t>2521- دیوان سدید قزوینی أو شعره‏</w:t>
      </w:r>
      <w:bookmarkEnd w:id="4551"/>
    </w:p>
    <w:p>
      <w:pPr>
        <w:pStyle w:val="BookText"/>
      </w:pPr>
      <w:r>
        <w:rPr>
          <w:rFonts w:ascii="IRNazanin" w:hAnsi="IRNazanin" w:eastAsia="IRNazanin" w:cs="IRNazanin"/>
          <w:lang w:bidi="fa-IR"/>
          <w:color w:val="111111"/>
          <w:sz w:val="28"/>
          <w:szCs w:val="28"/>
          <w:rtl/>
        </w:rPr>
        <w:t xml:space="preserve">کان طبیبا للسلطان العثمانی. ترجمه الشاه محمد القزوینی فی (بهش 2- ص 381) و أورد مطلع غزله.</w:t>
      </w:r>
    </w:p>
    <w:p>
      <w:pPr>
        <w:pStyle w:val="Heading3"/>
      </w:pPr>
      <w:bookmarkStart w:id="4552" w:name="_Toc3248"/>
      <w:r>
        <w:t>دیوان سدید قمی‏</w:t>
      </w:r>
      <w:bookmarkEnd w:id="4552"/>
    </w:p>
    <w:p>
      <w:pPr>
        <w:pStyle w:val="BookText"/>
      </w:pPr>
      <w:r>
        <w:rPr>
          <w:rFonts w:ascii="IRNazanin" w:hAnsi="IRNazanin" w:eastAsia="IRNazanin" w:cs="IRNazanin"/>
          <w:lang w:bidi="fa-IR"/>
          <w:color w:val="111111"/>
          <w:sz w:val="28"/>
          <w:szCs w:val="28"/>
          <w:rtl/>
        </w:rPr>
        <w:t xml:space="preserve">مر بعنوان حکیم سدید فی (ص 261).</w:t>
      </w:r>
    </w:p>
    <w:p>
      <w:pPr>
        <w:pStyle w:val="Heading3"/>
      </w:pPr>
      <w:bookmarkStart w:id="4553" w:name="_Toc3249"/>
      <w:r>
        <w:t>2522- دیوان سدید طبیب گیلانی‏</w:t>
      </w:r>
      <w:bookmarkEnd w:id="4553"/>
    </w:p>
    <w:p>
      <w:pPr>
        <w:pStyle w:val="BookText"/>
      </w:pPr>
      <w:r>
        <w:rPr>
          <w:rFonts w:ascii="IRNazanin" w:hAnsi="IRNazanin" w:eastAsia="IRNazanin" w:cs="IRNazanin"/>
          <w:lang w:bidi="fa-IR"/>
          <w:color w:val="111111"/>
          <w:sz w:val="28"/>
          <w:szCs w:val="28"/>
          <w:rtl/>
        </w:rPr>
        <w:t xml:space="preserve">ابن المولی نعمة الطبیب الگیلانی. کان والده یهودیا فأسلم بعد معاشرته مع مرضی المسلمین. و ابنه سدید ترقی من الطبابة و غلب علیه حب السلطنة فکان معارض السلطان کما ذکره القزوینی فی (بهش 2- ص 384) و أورد بعض شعره. و أورد شعره المذکور عینا فی (خص 8- ص 285).</w:t>
      </w:r>
    </w:p>
    <w:p>
      <w:pPr>
        <w:pStyle w:val="Heading3"/>
      </w:pPr>
      <w:bookmarkStart w:id="4554" w:name="_Toc3250"/>
      <w:r>
        <w:t>2523- دیوان سرابی‏</w:t>
      </w:r>
      <w:bookmarkEnd w:id="4554"/>
    </w:p>
    <w:p>
      <w:pPr>
        <w:pStyle w:val="BookText"/>
      </w:pPr>
      <w:r>
        <w:rPr>
          <w:rFonts w:ascii="IRNazanin" w:hAnsi="IRNazanin" w:eastAsia="IRNazanin" w:cs="IRNazanin"/>
          <w:lang w:bidi="fa-IR"/>
          <w:color w:val="111111"/>
          <w:sz w:val="28"/>
          <w:szCs w:val="28"/>
          <w:rtl/>
        </w:rPr>
        <w:t xml:space="preserve">السید مصطفی الخراسانی المعاصر. طبع له مناظرة غنچة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432" w:name="pg11704_121912"/>
    <w:bookmarkEnd w:id="432"/>
    <w:p>
      <w:pPr>
        <w:pStyle w:val="BookText"/>
      </w:pPr>
      <w:r>
        <w:rPr>
          <w:rFonts w:ascii="IRNazanin" w:hAnsi="IRNazanin" w:eastAsia="IRNazanin" w:cs="IRNazanin"/>
          <w:lang w:bidi="fa-IR"/>
          <w:color w:val="111111"/>
          <w:sz w:val="28"/>
          <w:szCs w:val="28"/>
          <w:rtl/>
        </w:rPr>
        <w:t xml:space="preserve">و گل فی الحجاب فی (1310 ش) و طبع دیوانه فی (1332 ش) بطهران مع مقدمه فی تقریظه کلها فی (76 ص).</w:t>
      </w:r>
    </w:p>
    <w:p>
      <w:pPr>
        <w:pStyle w:val="Heading3"/>
      </w:pPr>
      <w:bookmarkStart w:id="4555" w:name="_Toc3251"/>
      <w:r>
        <w:t>2524- دیوان سراجا أصفهانی‏</w:t>
      </w:r>
      <w:bookmarkEnd w:id="4555"/>
    </w:p>
    <w:p>
      <w:pPr>
        <w:pStyle w:val="BookText"/>
      </w:pPr>
      <w:r>
        <w:rPr>
          <w:rFonts w:ascii="IRNazanin" w:hAnsi="IRNazanin" w:eastAsia="IRNazanin" w:cs="IRNazanin"/>
          <w:lang w:bidi="fa-IR"/>
          <w:color w:val="111111"/>
          <w:sz w:val="28"/>
          <w:szCs w:val="28"/>
          <w:rtl/>
        </w:rPr>
        <w:t xml:space="preserve">ابن أخت ترابا الشاعر الخطاط المذکور دیوانه.</w:t>
      </w:r>
    </w:p>
    <w:p>
      <w:pPr>
        <w:pStyle w:val="BookText"/>
      </w:pPr>
      <w:r>
        <w:rPr>
          <w:rFonts w:ascii="IRNazanin" w:hAnsi="IRNazanin" w:eastAsia="IRNazanin" w:cs="IRNazanin"/>
          <w:lang w:bidi="fa-IR"/>
          <w:color w:val="111111"/>
          <w:sz w:val="28"/>
          <w:szCs w:val="28"/>
          <w:rtl/>
        </w:rPr>
        <w:t xml:space="preserve">ترجمه النصرآبادی فی (نر 9- ص 394) و ذکر أنه کان أولا نقاشا لکنه ترکه و کان مشاعرا فی أصفهان مع المیرزا حسن واهب. و یمکن اتحاده مع سراجا نقاش.</w:t>
      </w:r>
    </w:p>
    <w:p>
      <w:pPr>
        <w:pStyle w:val="Heading3"/>
      </w:pPr>
      <w:bookmarkStart w:id="4556" w:name="_Toc3252"/>
      <w:r>
        <w:t>دیوان سراجا حکاک الأصفهانی‏</w:t>
      </w:r>
      <w:bookmarkEnd w:id="4556"/>
    </w:p>
    <w:p>
      <w:pPr>
        <w:pStyle w:val="BookText"/>
      </w:pPr>
      <w:r>
        <w:rPr>
          <w:rFonts w:ascii="IRNazanin" w:hAnsi="IRNazanin" w:eastAsia="IRNazanin" w:cs="IRNazanin"/>
          <w:lang w:bidi="fa-IR"/>
          <w:color w:val="111111"/>
          <w:sz w:val="28"/>
          <w:szCs w:val="28"/>
          <w:rtl/>
        </w:rPr>
        <w:t xml:space="preserve">المذکور فی (ص 260) ترجمه فی (تش- ص 187) و (روشن- ص 289).</w:t>
      </w:r>
    </w:p>
    <w:p>
      <w:pPr>
        <w:pStyle w:val="Heading3"/>
      </w:pPr>
      <w:bookmarkStart w:id="4557" w:name="_Toc3253"/>
      <w:r>
        <w:t>2525- دیوان سراجا نقاش أو شعره‏</w:t>
      </w:r>
      <w:bookmarkEnd w:id="4557"/>
    </w:p>
    <w:p>
      <w:pPr>
        <w:pStyle w:val="BookText"/>
      </w:pPr>
      <w:r>
        <w:rPr>
          <w:rFonts w:ascii="IRNazanin" w:hAnsi="IRNazanin" w:eastAsia="IRNazanin" w:cs="IRNazanin"/>
          <w:lang w:bidi="fa-IR"/>
          <w:color w:val="111111"/>
          <w:sz w:val="28"/>
          <w:szCs w:val="28"/>
          <w:rtl/>
        </w:rPr>
        <w:t xml:space="preserve">ترجمه النصرآبادی فی (نر 5- ص 139) و ذکر أن اسمه محمد قاسم و أطری إنسانیته و مهارته فی صنعته و إنه تتبع أکثر الشعراء المتقدمین و المتأخرین و أورد بعض ما أنشأه بدیهة من غیر فکر. و یمکن اتحاده مع سراجا أصفهانی. و الظاهر أنه هو الذی أمره خان خانان فی (1024) بجمع آثار عرفی، فجمع دیوانه فی مدة سنة و نصف فی (14000 بیت) و قد جاء ذکره فی دیوان فوقی یزدی.</w:t>
      </w:r>
    </w:p>
    <w:p>
      <w:pPr>
        <w:pStyle w:val="Heading3"/>
      </w:pPr>
      <w:bookmarkStart w:id="4558" w:name="_Toc3254"/>
      <w:r>
        <w:t>دیوان سراج آرزو</w:t>
      </w:r>
      <w:bookmarkEnd w:id="4558"/>
    </w:p>
    <w:p>
      <w:pPr>
        <w:pStyle w:val="BookText"/>
      </w:pPr>
      <w:r>
        <w:rPr>
          <w:rFonts w:ascii="IRNazanin" w:hAnsi="IRNazanin" w:eastAsia="IRNazanin" w:cs="IRNazanin"/>
          <w:lang w:bidi="fa-IR"/>
          <w:color w:val="111111"/>
          <w:sz w:val="28"/>
          <w:szCs w:val="28"/>
          <w:rtl/>
        </w:rPr>
        <w:t xml:space="preserve">مر بعنوان دیوان آرزو الأکبرآبادی و یعرف سراج الشعراء أیضا.</w:t>
      </w:r>
    </w:p>
    <w:p>
      <w:pPr>
        <w:pStyle w:val="Heading3"/>
      </w:pPr>
      <w:bookmarkStart w:id="4559" w:name="_Toc3255"/>
      <w:r>
        <w:t>2526- دیوان سراج أروسانی أو شعره‏</w:t>
      </w:r>
      <w:bookmarkEnd w:id="4559"/>
    </w:p>
    <w:p>
      <w:pPr>
        <w:pStyle w:val="BookText"/>
      </w:pPr>
      <w:r>
        <w:rPr>
          <w:rFonts w:ascii="IRNazanin" w:hAnsi="IRNazanin" w:eastAsia="IRNazanin" w:cs="IRNazanin"/>
          <w:lang w:bidi="fa-IR"/>
          <w:color w:val="111111"/>
          <w:sz w:val="28"/>
          <w:szCs w:val="28"/>
          <w:rtl/>
        </w:rPr>
        <w:t xml:space="preserve">و اسمه محمد قاسم نصاص. لاقاه الحزین بمشهد خراسان و کان معمرا. ترجمه و أورد شعره فی تذکره حزین- ص 123. و گلستان مسرت- ص 143 و (روشن- ص 289).</w:t>
      </w:r>
    </w:p>
    <w:p>
      <w:pPr>
        <w:pStyle w:val="Heading3"/>
      </w:pPr>
      <w:bookmarkStart w:id="4560" w:name="_Toc3256"/>
      <w:r>
        <w:t>2527- دیوان سراج اورنگ‏آبادی أو شعره‏</w:t>
      </w:r>
      <w:bookmarkEnd w:id="4560"/>
    </w:p>
    <w:p>
      <w:pPr>
        <w:pStyle w:val="BookText"/>
      </w:pPr>
      <w:r>
        <w:rPr>
          <w:rFonts w:ascii="IRNazanin" w:hAnsi="IRNazanin" w:eastAsia="IRNazanin" w:cs="IRNazanin"/>
          <w:lang w:bidi="fa-IR"/>
          <w:color w:val="111111"/>
          <w:sz w:val="28"/>
          <w:szCs w:val="28"/>
          <w:rtl/>
        </w:rPr>
        <w:t xml:space="preserve">و هو السید سراج الدین العارف بدکن حیدرآباد. و شعره بالفارسیة و الأردویة. و مات (1177) أورد شعره فی (گلشن- ص 200) و القاموس الترکی ثم الریحانة.</w:t>
      </w:r>
    </w:p>
    <w:p>
      <w:pPr>
        <w:pStyle w:val="Heading3"/>
      </w:pPr>
      <w:bookmarkStart w:id="4561" w:name="_Toc3257"/>
      <w:r>
        <w:t>2528- دیوان سراج بلخی‏</w:t>
      </w:r>
      <w:bookmarkEnd w:id="4561"/>
    </w:p>
    <w:p>
      <w:pPr>
        <w:pStyle w:val="BookText"/>
      </w:pPr>
      <w:r>
        <w:rPr>
          <w:rFonts w:ascii="IRNazanin" w:hAnsi="IRNazanin" w:eastAsia="IRNazanin" w:cs="IRNazanin"/>
          <w:lang w:bidi="fa-IR"/>
          <w:color w:val="111111"/>
          <w:sz w:val="28"/>
          <w:szCs w:val="28"/>
          <w:rtl/>
        </w:rPr>
        <w:t xml:space="preserve">اسمه سراج الدین علا، مداح خوارزم شاه، کما ذکر فی (تش- ص 303) و فی (مع- ج 1 ص 247) و قال سنگلاخ إنه رأی دیوانه بخط إبراهیم ابن المیر عماد الخطاط کما فی امتحان الفضلاء- ج 1 ص 292. و ترجم فی القاموس الترکی و الریحانة.</w:t>
      </w:r>
    </w:p>
    <w:p>
      <w:pPr>
        <w:pStyle w:val="Heading3"/>
      </w:pPr>
      <w:bookmarkStart w:id="4562" w:name="_Toc3258"/>
      <w:r>
        <w:t>2529- دیوان سراج الدین سکزی‏</w:t>
      </w:r>
      <w:bookmarkEnd w:id="4562"/>
    </w:p>
    <w:p>
      <w:pPr>
        <w:pStyle w:val="BookText"/>
      </w:pPr>
      <w:r>
        <w:rPr>
          <w:rFonts w:ascii="IRNazanin" w:hAnsi="IRNazanin" w:eastAsia="IRNazanin" w:cs="IRNazanin"/>
          <w:lang w:bidi="fa-IR"/>
          <w:color w:val="111111"/>
          <w:sz w:val="28"/>
          <w:szCs w:val="28"/>
          <w:rtl/>
        </w:rPr>
        <w:t xml:space="preserve">ترجمه فی (مع- ج 1- ص 245) و ذکر أنه مداح نصرة الدین السیستانی، و أدرک ناصر الدین أیضا. و حج البیت و من قصائده فی نعت‏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433" w:name="pg11704_121913"/>
    <w:bookmarkEnd w:id="433"/>
    <w:p>
      <w:pPr>
        <w:pStyle w:val="BookText"/>
      </w:pPr>
      <w:r>
        <w:rPr>
          <w:rFonts w:ascii="IRNazanin" w:hAnsi="IRNazanin" w:eastAsia="IRNazanin" w:cs="IRNazanin"/>
          <w:lang w:bidi="fa-IR"/>
          <w:color w:val="111111"/>
          <w:sz w:val="28"/>
          <w:szCs w:val="28"/>
          <w:rtl/>
        </w:rPr>
        <w:t xml:space="preserve">النبی ص بردیف مصطفی و قد انتخب أشعارا من دیوانه فی تذکره عرفات العاشقین و ترجمه أیضا فی (تغ- ص 64).</w:t>
      </w:r>
    </w:p>
    <w:p>
      <w:pPr>
        <w:pStyle w:val="Heading3"/>
      </w:pPr>
      <w:bookmarkStart w:id="4563" w:name="_Toc3259"/>
      <w:r>
        <w:t>دیوان سراج الدین غزنوی‏</w:t>
      </w:r>
      <w:bookmarkEnd w:id="4563"/>
    </w:p>
    <w:p>
      <w:pPr>
        <w:pStyle w:val="BookText"/>
      </w:pPr>
      <w:r>
        <w:rPr>
          <w:rFonts w:ascii="IRNazanin" w:hAnsi="IRNazanin" w:eastAsia="IRNazanin" w:cs="IRNazanin"/>
          <w:lang w:bidi="fa-IR"/>
          <w:color w:val="111111"/>
          <w:sz w:val="28"/>
          <w:szCs w:val="28"/>
          <w:rtl/>
        </w:rPr>
        <w:t xml:space="preserve">یأتی بعنوان مختاری غزنوی.</w:t>
      </w:r>
    </w:p>
    <w:p>
      <w:pPr>
        <w:pStyle w:val="Heading3"/>
      </w:pPr>
      <w:bookmarkStart w:id="4564" w:name="_Toc3260"/>
      <w:r>
        <w:t>2530- دیوان سراج سبزواری أو شعره‏</w:t>
      </w:r>
      <w:bookmarkEnd w:id="4564"/>
    </w:p>
    <w:p>
      <w:pPr>
        <w:pStyle w:val="BookText"/>
      </w:pPr>
      <w:r>
        <w:rPr>
          <w:rFonts w:ascii="IRNazanin" w:hAnsi="IRNazanin" w:eastAsia="IRNazanin" w:cs="IRNazanin"/>
          <w:lang w:bidi="fa-IR"/>
          <w:color w:val="111111"/>
          <w:sz w:val="28"/>
          <w:szCs w:val="28"/>
          <w:rtl/>
        </w:rPr>
        <w:t xml:space="preserve">و اسمه الملا أحمد الماهر فی اللغز. أطری شعره فی (مجتس 6- ص 163).</w:t>
      </w:r>
    </w:p>
    <w:p>
      <w:pPr>
        <w:pStyle w:val="Heading3"/>
      </w:pPr>
      <w:bookmarkStart w:id="4565" w:name="_Toc3261"/>
      <w:r>
        <w:t>دیوان سراج سکزی‏</w:t>
      </w:r>
      <w:bookmarkEnd w:id="4565"/>
    </w:p>
    <w:p>
      <w:pPr>
        <w:pStyle w:val="BookText"/>
      </w:pPr>
      <w:r>
        <w:rPr>
          <w:rFonts w:ascii="IRNazanin" w:hAnsi="IRNazanin" w:eastAsia="IRNazanin" w:cs="IRNazanin"/>
          <w:lang w:bidi="fa-IR"/>
          <w:color w:val="111111"/>
          <w:sz w:val="28"/>
          <w:szCs w:val="28"/>
          <w:rtl/>
        </w:rPr>
        <w:t xml:space="preserve">راجع سراج الدین سکزی.</w:t>
      </w:r>
    </w:p>
    <w:p>
      <w:pPr>
        <w:pStyle w:val="Heading3"/>
      </w:pPr>
      <w:bookmarkStart w:id="4566" w:name="_Toc3262"/>
      <w:r>
        <w:t>2531- دیوان سراج سمرقندی أو شعره‏</w:t>
      </w:r>
      <w:bookmarkEnd w:id="4566"/>
    </w:p>
    <w:p>
      <w:pPr>
        <w:pStyle w:val="BookText"/>
      </w:pPr>
      <w:r>
        <w:rPr>
          <w:rFonts w:ascii="IRNazanin" w:hAnsi="IRNazanin" w:eastAsia="IRNazanin" w:cs="IRNazanin"/>
          <w:lang w:bidi="fa-IR"/>
          <w:color w:val="111111"/>
          <w:sz w:val="28"/>
          <w:szCs w:val="28"/>
          <w:rtl/>
        </w:rPr>
        <w:t xml:space="preserve">و اسمه سراج الدین منهاج. ولد بلاهور و تعهد القضاء من عهد شمس الدین التتمش إلی عهد ناصر الدین محمود. و لقب بصدرجهان و ألف طبقات ناصری باسمه. أورد شعره فی (گلشن- ص 200) و القاموس الترکی ثم الریحانة. و فی (تش- ص 350) بعنوان سراج لاهوری نقلا عن هفت إقلیم.</w:t>
      </w:r>
    </w:p>
    <w:p>
      <w:pPr>
        <w:pStyle w:val="Heading3"/>
      </w:pPr>
      <w:bookmarkStart w:id="4567" w:name="_Toc3263"/>
      <w:r>
        <w:t>دیوان سراج الشعراء</w:t>
      </w:r>
      <w:bookmarkEnd w:id="4567"/>
    </w:p>
    <w:p>
      <w:pPr>
        <w:pStyle w:val="BookText"/>
      </w:pPr>
      <w:r>
        <w:rPr>
          <w:rFonts w:ascii="IRNazanin" w:hAnsi="IRNazanin" w:eastAsia="IRNazanin" w:cs="IRNazanin"/>
          <w:lang w:bidi="fa-IR"/>
          <w:color w:val="111111"/>
          <w:sz w:val="28"/>
          <w:szCs w:val="28"/>
          <w:rtl/>
        </w:rPr>
        <w:t xml:space="preserve">هو دیوان آرزو الأکبرآبادی المذکور فی (ص 5). و هو مؤلف تنبیه الغافلین فی لغة الفرس.</w:t>
      </w:r>
    </w:p>
    <w:p>
      <w:pPr>
        <w:pStyle w:val="Heading3"/>
      </w:pPr>
      <w:bookmarkStart w:id="4568" w:name="_Toc3264"/>
      <w:r>
        <w:t>دیوان سراج قزوینی‏</w:t>
      </w:r>
      <w:bookmarkEnd w:id="4568"/>
    </w:p>
    <w:p>
      <w:pPr>
        <w:pStyle w:val="BookText"/>
      </w:pPr>
      <w:r>
        <w:rPr>
          <w:rFonts w:ascii="IRNazanin" w:hAnsi="IRNazanin" w:eastAsia="IRNazanin" w:cs="IRNazanin"/>
          <w:lang w:bidi="fa-IR"/>
          <w:color w:val="111111"/>
          <w:sz w:val="28"/>
          <w:szCs w:val="28"/>
          <w:rtl/>
        </w:rPr>
        <w:t xml:space="preserve">راجع سراج قمری.</w:t>
      </w:r>
    </w:p>
    <w:p>
      <w:pPr>
        <w:pStyle w:val="Heading3"/>
      </w:pPr>
      <w:bookmarkStart w:id="4569" w:name="_Toc3265"/>
      <w:r>
        <w:t>2532- دیوان سراج قمری‏</w:t>
      </w:r>
      <w:bookmarkEnd w:id="4569"/>
    </w:p>
    <w:p>
      <w:pPr>
        <w:pStyle w:val="BookText"/>
      </w:pPr>
      <w:r>
        <w:rPr>
          <w:rFonts w:ascii="IRNazanin" w:hAnsi="IRNazanin" w:eastAsia="IRNazanin" w:cs="IRNazanin"/>
          <w:lang w:bidi="fa-IR"/>
          <w:color w:val="111111"/>
          <w:sz w:val="28"/>
          <w:szCs w:val="28"/>
          <w:rtl/>
        </w:rPr>
        <w:t xml:space="preserve">ترجمه فی تاریخ گزیده- ص 820 و الطبقة الرابعة من تذکره دولت شاه. کان سراج الدین هذا من قزوین و لازم مجلس السلطان أبی سعید خان (855- 872) و له هزلیات مع قنقرات خاتون أخت السلطان و بی‏بی صفیة العارفة، و له معارضات مع معاصریه سلمان الساوجی و عبید الزاکانی و شبهة فی (بهش 1- ص 338) بعمر الخیام‏</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من می خورم و هر که چو من أهل بود</w:t>
      </w:r>
    </w:p>
    <w:p>
      <w:pPr>
        <w:pStyle w:val="BookText"/>
      </w:pPr>
      <w:r>
        <w:rPr>
          <w:rFonts w:ascii="IRNazanin" w:hAnsi="IRNazanin" w:eastAsia="IRNazanin" w:cs="IRNazanin"/>
          <w:lang w:bidi="fa-IR"/>
          <w:color w:val="111111"/>
          <w:sz w:val="28"/>
          <w:szCs w:val="28"/>
          <w:rtl/>
        </w:rPr>
        <w:t xml:space="preserve">می خوردن من به نزد أو سهل بود</w:t>
      </w:r>
    </w:p>
    <w:p>
      <w:pPr>
        <w:pStyle w:val="BookText"/>
      </w:pPr>
      <w:r>
        <w:rPr>
          <w:rFonts w:ascii="IRNazanin" w:hAnsi="IRNazanin" w:eastAsia="IRNazanin" w:cs="IRNazanin"/>
          <w:lang w:bidi="fa-IR"/>
          <w:color w:val="111111"/>
          <w:sz w:val="28"/>
          <w:szCs w:val="28"/>
          <w:rtl/>
        </w:rPr>
        <w:t xml:space="preserve">می خوردن من حق بازل می‏دانست‏</w:t>
      </w:r>
    </w:p>
    <w:p>
      <w:pPr>
        <w:pStyle w:val="BookText"/>
      </w:pPr>
      <w:r>
        <w:rPr>
          <w:rFonts w:ascii="IRNazanin" w:hAnsi="IRNazanin" w:eastAsia="IRNazanin" w:cs="IRNazanin"/>
          <w:lang w:bidi="fa-IR"/>
          <w:color w:val="111111"/>
          <w:sz w:val="28"/>
          <w:szCs w:val="28"/>
          <w:rtl/>
        </w:rPr>
        <w:t xml:space="preserve">گر می نخورم علم خدا جهل بود</w:t>
      </w:r>
    </w:p>
    <w:p>
      <w:pPr>
        <w:pStyle w:val="BookText"/>
      </w:pPr>
      <w:r>
        <w:rPr>
          <w:rFonts w:ascii="IRNazanin" w:hAnsi="IRNazanin" w:eastAsia="IRNazanin" w:cs="IRNazanin"/>
          <w:lang w:bidi="fa-IR"/>
          <w:color w:val="111111"/>
          <w:sz w:val="28"/>
          <w:szCs w:val="28"/>
          <w:rtl/>
        </w:rPr>
        <w:t xml:space="preserve">قال: و أجاب عنه عز الدین گرجی بقوله: ...</w:t>
      </w:r>
    </w:p>
    <w:p>
      <w:pPr>
        <w:pStyle w:val="BookText"/>
      </w:pPr>
      <w:r>
        <w:rPr>
          <w:rFonts w:ascii="IRNazanin" w:hAnsi="IRNazanin" w:eastAsia="IRNazanin" w:cs="IRNazanin"/>
          <w:lang w:bidi="fa-IR"/>
          <w:color w:val="111111"/>
          <w:sz w:val="28"/>
          <w:szCs w:val="28"/>
          <w:rtl/>
        </w:rPr>
        <w:t xml:space="preserve">علم أزلی علت عصیان بودن‏</w:t>
      </w:r>
    </w:p>
    <w:p>
      <w:pPr>
        <w:pStyle w:val="BookText"/>
      </w:pPr>
      <w:r>
        <w:rPr>
          <w:rFonts w:ascii="IRNazanin" w:hAnsi="IRNazanin" w:eastAsia="IRNazanin" w:cs="IRNazanin"/>
          <w:lang w:bidi="fa-IR"/>
          <w:color w:val="111111"/>
          <w:sz w:val="28"/>
          <w:szCs w:val="28"/>
          <w:rtl/>
        </w:rPr>
        <w:t xml:space="preserve">نزد عقلا ز غایت جهل بود</w:t>
      </w:r>
    </w:p>
    <w:p>
      <w:pPr>
        <w:pStyle w:val="BookText"/>
      </w:pPr>
      <w:r>
        <w:rPr>
          <w:rFonts w:ascii="IRNazanin" w:hAnsi="IRNazanin" w:eastAsia="IRNazanin" w:cs="IRNazanin"/>
          <w:lang w:bidi="fa-IR"/>
          <w:color w:val="111111"/>
          <w:sz w:val="28"/>
          <w:szCs w:val="28"/>
          <w:rtl/>
        </w:rPr>
        <w:t xml:space="preserve">أقول: و الرد أیضا قد ینسب إلی الخواجة نصیر الدین الطوسی‏</w:t>
      </w:r>
    </w:p>
    <w:p>
      <w:pPr>
        <w:pStyle w:val="BookText"/>
      </w:pPr>
      <w:r>
        <w:rPr>
          <w:rFonts w:ascii="IRNazanin" w:hAnsi="IRNazanin" w:eastAsia="IRNazanin" w:cs="IRNazanin"/>
          <w:lang w:bidi="fa-IR"/>
          <w:color w:val="111111"/>
          <w:sz w:val="28"/>
          <w:szCs w:val="28"/>
          <w:rtl/>
        </w:rPr>
        <w:t xml:space="preserve">و فی مرآة الخیال ص 54 نسبه إلی ما وراء النهر و سماه فی (گلشن- ص 20) سراجی قزوینی و قال یتخلص تارة سراجی و تارة قمری و سافر إلی الحجاز و مدح النبی  صلی الله علیه و آله  و أورد شعره فی گلستان مسرت- ص 450 و فی نسخه تذکره شعراء‏</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434" w:name="pg11704_121914"/>
    <w:bookmarkEnd w:id="434"/>
    <w:p>
      <w:pPr>
        <w:pStyle w:val="BookText"/>
      </w:pPr>
      <w:r>
        <w:rPr>
          <w:rFonts w:ascii="IRNazanin" w:hAnsi="IRNazanin" w:eastAsia="IRNazanin" w:cs="IRNazanin"/>
          <w:lang w:bidi="fa-IR"/>
          <w:color w:val="111111"/>
          <w:sz w:val="28"/>
          <w:szCs w:val="28"/>
          <w:rtl/>
        </w:rPr>
        <w:t xml:space="preserve">المخطوط الموجود فی (المجلس) کما فی فهرسها (ج 3: 159).</w:t>
      </w:r>
    </w:p>
    <w:p>
      <w:pPr>
        <w:pStyle w:val="Heading3"/>
      </w:pPr>
      <w:bookmarkStart w:id="4570" w:name="_Toc3266"/>
      <w:r>
        <w:t>دیوان سراج لاهوری‏</w:t>
      </w:r>
      <w:bookmarkEnd w:id="4570"/>
    </w:p>
    <w:p>
      <w:pPr>
        <w:pStyle w:val="BookText"/>
      </w:pPr>
      <w:r>
        <w:rPr>
          <w:rFonts w:ascii="IRNazanin" w:hAnsi="IRNazanin" w:eastAsia="IRNazanin" w:cs="IRNazanin"/>
          <w:lang w:bidi="fa-IR"/>
          <w:color w:val="111111"/>
          <w:sz w:val="28"/>
          <w:szCs w:val="28"/>
          <w:rtl/>
        </w:rPr>
        <w:t xml:space="preserve">راجع دیوان سراج سمرقندی.</w:t>
      </w:r>
    </w:p>
    <w:p>
      <w:pPr>
        <w:pStyle w:val="Heading3"/>
      </w:pPr>
      <w:bookmarkStart w:id="4571" w:name="_Toc3267"/>
      <w:r>
        <w:t>دیوان سراج یزدی‏</w:t>
      </w:r>
      <w:bookmarkEnd w:id="4571"/>
    </w:p>
    <w:p>
      <w:pPr>
        <w:pStyle w:val="BookText"/>
      </w:pPr>
      <w:r>
        <w:rPr>
          <w:rFonts w:ascii="IRNazanin" w:hAnsi="IRNazanin" w:eastAsia="IRNazanin" w:cs="IRNazanin"/>
          <w:lang w:bidi="fa-IR"/>
          <w:color w:val="111111"/>
          <w:sz w:val="28"/>
          <w:szCs w:val="28"/>
          <w:rtl/>
        </w:rPr>
        <w:t xml:space="preserve">معاصر الشاه سلیمان الصفوی. کذا ذکره فی (تش یز- ص 294) و أورد شعره. و أظنه أراد به أحد المذکورین آنفا.</w:t>
      </w:r>
    </w:p>
    <w:p>
      <w:pPr>
        <w:pStyle w:val="Heading3"/>
      </w:pPr>
      <w:bookmarkStart w:id="4572" w:name="_Toc3268"/>
      <w:r>
        <w:t>دیوان سراج هندی‏</w:t>
      </w:r>
      <w:bookmarkEnd w:id="4572"/>
    </w:p>
    <w:p>
      <w:pPr>
        <w:pStyle w:val="BookText"/>
      </w:pPr>
      <w:r>
        <w:rPr>
          <w:rFonts w:ascii="IRNazanin" w:hAnsi="IRNazanin" w:eastAsia="IRNazanin" w:cs="IRNazanin"/>
          <w:lang w:bidi="fa-IR"/>
          <w:color w:val="111111"/>
          <w:sz w:val="28"/>
          <w:szCs w:val="28"/>
          <w:rtl/>
        </w:rPr>
        <w:t xml:space="preserve">راجع آرزو و سراج اورنگ‏آبادی و سراج سمرقندی.</w:t>
      </w:r>
    </w:p>
    <w:p>
      <w:pPr>
        <w:pStyle w:val="Heading3"/>
      </w:pPr>
      <w:bookmarkStart w:id="4573" w:name="_Toc3269"/>
      <w:r>
        <w:t>2533- دیوان سراجی أو شعره‏</w:t>
      </w:r>
      <w:bookmarkEnd w:id="4573"/>
    </w:p>
    <w:p>
      <w:pPr>
        <w:pStyle w:val="BookText"/>
      </w:pPr>
      <w:r>
        <w:rPr>
          <w:rFonts w:ascii="IRNazanin" w:hAnsi="IRNazanin" w:eastAsia="IRNazanin" w:cs="IRNazanin"/>
          <w:lang w:bidi="fa-IR"/>
          <w:color w:val="111111"/>
          <w:sz w:val="28"/>
          <w:szCs w:val="28"/>
          <w:rtl/>
        </w:rPr>
        <w:t xml:space="preserve">أطری شعره و قصیدته التی التزم فیها بذکر العناصر الأربعة فی (بهش 1- ص 338) قبل ذکره لسراج قمری. و قد خلط بینهما فی (گلشن- ص 201) فسماه سراجی قزوینی.</w:t>
      </w:r>
    </w:p>
    <w:p>
      <w:pPr>
        <w:pStyle w:val="Heading3"/>
      </w:pPr>
      <w:bookmarkStart w:id="4574" w:name="_Toc3270"/>
      <w:r>
        <w:t>2534- دیوان سراجی خراسانی‏</w:t>
      </w:r>
      <w:bookmarkEnd w:id="4574"/>
    </w:p>
    <w:p>
      <w:pPr>
        <w:pStyle w:val="BookText"/>
      </w:pPr>
      <w:r>
        <w:rPr>
          <w:rFonts w:ascii="IRNazanin" w:hAnsi="IRNazanin" w:eastAsia="IRNazanin" w:cs="IRNazanin"/>
          <w:lang w:bidi="fa-IR"/>
          <w:color w:val="111111"/>
          <w:sz w:val="28"/>
          <w:szCs w:val="28"/>
          <w:rtl/>
        </w:rPr>
        <w:t xml:space="preserve">قال فی (مع- ج 1 ص 245) إن اسمه جمال الدین محمد بن علی و کان مداح خسرو ملک الذی توفی (583).</w:t>
      </w:r>
    </w:p>
    <w:p>
      <w:pPr>
        <w:pStyle w:val="Heading3"/>
      </w:pPr>
      <w:bookmarkStart w:id="4575" w:name="_Toc3271"/>
      <w:r>
        <w:t>دیوان سراجی قزوینی‏</w:t>
      </w:r>
      <w:bookmarkEnd w:id="4575"/>
    </w:p>
    <w:p>
      <w:pPr>
        <w:pStyle w:val="BookText"/>
      </w:pPr>
      <w:r>
        <w:rPr>
          <w:rFonts w:ascii="IRNazanin" w:hAnsi="IRNazanin" w:eastAsia="IRNazanin" w:cs="IRNazanin"/>
          <w:lang w:bidi="fa-IR"/>
          <w:color w:val="111111"/>
          <w:sz w:val="28"/>
          <w:szCs w:val="28"/>
          <w:rtl/>
        </w:rPr>
        <w:t xml:space="preserve">راجع سراجی و سراج قمری.</w:t>
      </w:r>
    </w:p>
    <w:p>
      <w:pPr>
        <w:pStyle w:val="Heading3"/>
      </w:pPr>
      <w:bookmarkStart w:id="4576" w:name="_Toc3272"/>
      <w:r>
        <w:t>2535- دیوان سرافراز سمرقندی أو شعره‏</w:t>
      </w:r>
      <w:bookmarkEnd w:id="4576"/>
    </w:p>
    <w:p>
      <w:pPr>
        <w:pStyle w:val="BookText"/>
      </w:pPr>
      <w:r>
        <w:rPr>
          <w:rFonts w:ascii="IRNazanin" w:hAnsi="IRNazanin" w:eastAsia="IRNazanin" w:cs="IRNazanin"/>
          <w:lang w:bidi="fa-IR"/>
          <w:color w:val="111111"/>
          <w:sz w:val="28"/>
          <w:szCs w:val="28"/>
          <w:rtl/>
        </w:rPr>
        <w:t xml:space="preserve">و اسمه محمد أمین بن الأستاد عوض السمرقندی بهله دوز (دستکش چرمی) ترجمه النصرآبادی فی (نر 10- ص 439) و ذکر أنه من طلبة العلم و عارف بصنعة أبیه، و أورد بعض شعره و کذا فی (روشن- ص 290).</w:t>
      </w:r>
    </w:p>
    <w:p>
      <w:pPr>
        <w:pStyle w:val="Heading3"/>
      </w:pPr>
      <w:bookmarkStart w:id="4577" w:name="_Toc3273"/>
      <w:r>
        <w:t>2536- دیوان سرباز</w:t>
      </w:r>
      <w:bookmarkEnd w:id="4577"/>
    </w:p>
    <w:p>
      <w:pPr>
        <w:pStyle w:val="BookText"/>
      </w:pPr>
      <w:r>
        <w:rPr>
          <w:rFonts w:ascii="IRNazanin" w:hAnsi="IRNazanin" w:eastAsia="IRNazanin" w:cs="IRNazanin"/>
          <w:lang w:bidi="fa-IR"/>
          <w:color w:val="111111"/>
          <w:sz w:val="28"/>
          <w:szCs w:val="28"/>
          <w:rtl/>
        </w:rPr>
        <w:t xml:space="preserve">اسمه المیرزا إسماعیل خان البروجردی المتخلص فی شعره بسرباز صاحب دیوان المراثی المطبوع الموسوم بأسرار الشهادة کما مر فی (ج 2 ص 46) و دیوانه هذا غزلیات کله رأیت فی کتب السید محمد علی السبزواری نسخه منه کتبت فی بروجرد و تاریخ کتابتها (1260) فی عصر الناظم. ترجمه بعد وفاته فی (المآثر- ص 207) و قال إنه متوسط. و قد طبع فی (1283) کما فی الفهارس.</w:t>
      </w:r>
    </w:p>
    <w:p>
      <w:pPr>
        <w:pStyle w:val="Heading3"/>
      </w:pPr>
      <w:bookmarkStart w:id="4578" w:name="_Toc3274"/>
      <w:r>
        <w:t>2537- دیوان سید سر برهنه أو شعره‏</w:t>
      </w:r>
      <w:bookmarkEnd w:id="4578"/>
    </w:p>
    <w:p>
      <w:pPr>
        <w:pStyle w:val="BookText"/>
      </w:pPr>
      <w:r>
        <w:rPr>
          <w:rFonts w:ascii="IRNazanin" w:hAnsi="IRNazanin" w:eastAsia="IRNazanin" w:cs="IRNazanin"/>
          <w:lang w:bidi="fa-IR"/>
          <w:color w:val="111111"/>
          <w:sz w:val="28"/>
          <w:szCs w:val="28"/>
          <w:rtl/>
        </w:rPr>
        <w:t xml:space="preserve">ترجمه میر علی شیر فی (مجن 4- ص 91 و 265) و ذکر أنه من السادة المحترمین بغایة الاحترام فی ترکستان و کان صدرا فی خراسان مدة و استعفی عن الصدارة بعلو همته و أورد رباعیته الفارسیة. و مر تفسیر محمود سر برهنه: فی (4: 313) و قال فی شاهد صادق مات السید شمس الدین محمد سر برهنه فی (998).</w:t>
      </w:r>
    </w:p>
    <w:p>
      <w:pPr>
        <w:pStyle w:val="Heading3"/>
      </w:pPr>
      <w:bookmarkStart w:id="4579" w:name="_Toc3275"/>
      <w:r>
        <w:t>2538- دیوان سرتیپ‏</w:t>
      </w:r>
      <w:bookmarkEnd w:id="4579"/>
    </w:p>
    <w:p>
      <w:pPr>
        <w:pStyle w:val="BookText"/>
      </w:pPr>
      <w:r>
        <w:rPr>
          <w:rFonts w:ascii="IRNazanin" w:hAnsi="IRNazanin" w:eastAsia="IRNazanin" w:cs="IRNazanin"/>
          <w:lang w:bidi="fa-IR"/>
          <w:color w:val="111111"/>
          <w:sz w:val="28"/>
          <w:szCs w:val="28"/>
          <w:rtl/>
        </w:rPr>
        <w:t xml:space="preserve">هو معتمد السلطان الحاج أحمد خان وکیل الرعایا المولود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435" w:name="pg11704_121915"/>
    <w:bookmarkEnd w:id="435"/>
    <w:p>
      <w:pPr>
        <w:pStyle w:val="BookText"/>
      </w:pPr>
      <w:r>
        <w:rPr>
          <w:rFonts w:ascii="IRNazanin" w:hAnsi="IRNazanin" w:eastAsia="IRNazanin" w:cs="IRNazanin"/>
          <w:lang w:bidi="fa-IR"/>
          <w:color w:val="111111"/>
          <w:sz w:val="28"/>
          <w:szCs w:val="28"/>
          <w:rtl/>
        </w:rPr>
        <w:t xml:space="preserve">بمسقط و المتوطن ببوشهر صاحب تذکره شعراء العرب الموسوم نبراس و کان حاکم بندر عباس من قبل السلطان ناصر الدین شاه. ترجمه فرصت فی عم- ص 372 و ذکر أنه جمع دیوانه بنفسه و یتخلص فیه باسمه، و ذکر أن ولده محمد علی خان سرهنگ یتخلص فی شعره عاری.</w:t>
      </w:r>
    </w:p>
    <w:p>
      <w:pPr>
        <w:pStyle w:val="Heading3"/>
      </w:pPr>
      <w:bookmarkStart w:id="4580" w:name="_Toc3276"/>
      <w:r>
        <w:t>2539- دیوان سرحدی بختیاری القهفرخی الأصفهانی‏</w:t>
      </w:r>
      <w:bookmarkEnd w:id="4580"/>
    </w:p>
    <w:p>
      <w:pPr>
        <w:pStyle w:val="BookText"/>
      </w:pPr>
      <w:r>
        <w:rPr>
          <w:rFonts w:ascii="IRNazanin" w:hAnsi="IRNazanin" w:eastAsia="IRNazanin" w:cs="IRNazanin"/>
          <w:lang w:bidi="fa-IR"/>
          <w:color w:val="111111"/>
          <w:sz w:val="28"/>
          <w:szCs w:val="28"/>
          <w:rtl/>
        </w:rPr>
        <w:t xml:space="preserve">. أورد کثیرا من شعره و قطعة من مثنویة سفرنامه کاج فی پژمان- ص 173- 176).</w:t>
      </w:r>
    </w:p>
    <w:p>
      <w:pPr>
        <w:pStyle w:val="Heading3"/>
      </w:pPr>
      <w:bookmarkStart w:id="4581" w:name="_Toc3277"/>
      <w:r>
        <w:t>2540- دیوان سرخوش أصفهانی‏</w:t>
      </w:r>
      <w:bookmarkEnd w:id="4581"/>
    </w:p>
    <w:p>
      <w:pPr>
        <w:pStyle w:val="BookText"/>
      </w:pPr>
      <w:r>
        <w:rPr>
          <w:rFonts w:ascii="IRNazanin" w:hAnsi="IRNazanin" w:eastAsia="IRNazanin" w:cs="IRNazanin"/>
          <w:lang w:bidi="fa-IR"/>
          <w:color w:val="111111"/>
          <w:sz w:val="28"/>
          <w:szCs w:val="28"/>
          <w:rtl/>
        </w:rPr>
        <w:t xml:space="preserve">المیرزا الحاج عبد المحمود بن الحاج محمد صادق الأصفهانی. ولد فی (شوال- (1282) بأصفهان و کان من أعضاء انجمن شیدا فأورد ألفت غزله فی دانش‏نامه المطبوع (1342) و مات بعدها. و ترجمه کذلک فی شعراء معاصر أصفهان- ص 239.</w:t>
      </w:r>
    </w:p>
    <w:p>
      <w:pPr>
        <w:pStyle w:val="Heading3"/>
      </w:pPr>
      <w:bookmarkStart w:id="4582" w:name="_Toc3278"/>
      <w:r>
        <w:t>2541- دیوان سرخوش تفرشی‏</w:t>
      </w:r>
      <w:bookmarkEnd w:id="4582"/>
    </w:p>
    <w:p>
      <w:pPr>
        <w:pStyle w:val="BookText"/>
      </w:pPr>
      <w:r>
        <w:rPr>
          <w:rFonts w:ascii="IRNazanin" w:hAnsi="IRNazanin" w:eastAsia="IRNazanin" w:cs="IRNazanin"/>
          <w:lang w:bidi="fa-IR"/>
          <w:color w:val="111111"/>
          <w:sz w:val="28"/>
          <w:szCs w:val="28"/>
          <w:rtl/>
        </w:rPr>
        <w:t xml:space="preserve">المیرزا یحیی بن عبد الغنی منشی السفارة البریطانیة بطهران. طبع دیوانه فی (1316) مع مقدمه فی أحواله بقلم زین العابدین بن محمد رضا حکیم إلهی الشیرازی، و معه مختصر جغرافیا بلدة تفرش و أحوال إخوانه محمد علی و المیرزا علی رقی و نصر الله حیران. و قد ترجم سرخوش هذا عبرت فی نامه فرهنگیان الموجود نسخته بمکتبة (المجلس) کما فی فهرسها (ج 3 ص 694). و أورد شعره فی (پژمان- ص 177).</w:t>
      </w:r>
    </w:p>
    <w:p>
      <w:pPr>
        <w:pStyle w:val="Heading3"/>
      </w:pPr>
      <w:bookmarkStart w:id="4583" w:name="_Toc3279"/>
      <w:r>
        <w:t>2542- دیوان سرخوش لاهوری‏</w:t>
      </w:r>
      <w:bookmarkEnd w:id="4583"/>
    </w:p>
    <w:p>
      <w:pPr>
        <w:pStyle w:val="BookText"/>
      </w:pPr>
      <w:r>
        <w:rPr>
          <w:rFonts w:ascii="IRNazanin" w:hAnsi="IRNazanin" w:eastAsia="IRNazanin" w:cs="IRNazanin"/>
          <w:lang w:bidi="fa-IR"/>
          <w:color w:val="111111"/>
          <w:sz w:val="28"/>
          <w:szCs w:val="28"/>
          <w:rtl/>
        </w:rPr>
        <w:t xml:space="preserve">الملا محمد أفضل بن محمد زاهد. ولد (1050) و مات (1126) بدهلی. و هو الشاعر الفارسی الهندی. له مثنوی حسن و عشق المذکور فی (ج 7) و مثنوی ساقی‏نامه و مثنوی قضا و قدر و نور علی نور فی تتبع المثنوی للمولوی الرومی، و شاهنامه محمد عظیم و کلمات شعرا تذکره للشعراء و دیباجة دیوان نظما و مثنوی أحوال هند و جوش و خروش نثرا و مثنوی خمخانه و روائح نثرا فی قبال لوائح للجامی. ذکر کلها فی مقدمه طبع کلمات الشعراء بقلم دلاوری مصحح المطبوع</w:t>
      </w:r>
    </w:p>
    <w:p>
      <w:pPr>
        <w:pStyle w:val="BookText"/>
      </w:pPr>
      <w:r>
        <w:rPr>
          <w:rFonts w:ascii="IRNazanin" w:hAnsi="IRNazanin" w:eastAsia="IRNazanin" w:cs="IRNazanin"/>
          <w:lang w:bidi="fa-IR"/>
          <w:color w:val="111111"/>
          <w:sz w:val="28"/>
          <w:szCs w:val="28"/>
          <w:rtl/>
        </w:rPr>
        <w:t xml:space="preserve">فی (1942 م) بلاهور. و ترجمه أیضا فی (نر 11- ص 450) و سرو آزاد- ص 143 و (خیال- ص 290) و (حسینی- ص 158) و کذا نفسه فی کتابه کلمات شعرا الذی نعبر عنه فی قسم الشعراء من الذریعة (سرخوش- ص 51)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436" w:name="pg11704_121916"/>
    <w:bookmarkEnd w:id="436"/>
    <w:p>
      <w:pPr>
        <w:pStyle w:val="BookText"/>
      </w:pPr>
      <w:r>
        <w:rPr>
          <w:rFonts w:ascii="IRNazanin" w:hAnsi="IRNazanin" w:eastAsia="IRNazanin" w:cs="IRNazanin"/>
          <w:lang w:bidi="fa-IR"/>
          <w:color w:val="111111"/>
          <w:sz w:val="28"/>
          <w:szCs w:val="28"/>
          <w:rtl/>
        </w:rPr>
        <w:t xml:space="preserve">و کذا فی (تغ- ص 64) و قاموس الأعلام الترکیة و عنه فی الریحانة.</w:t>
      </w:r>
    </w:p>
    <w:p>
      <w:pPr>
        <w:pStyle w:val="Heading3"/>
      </w:pPr>
      <w:bookmarkStart w:id="4584" w:name="_Toc3280"/>
      <w:r>
        <w:t>2543- دیوان سرشار القفقازی‏</w:t>
      </w:r>
      <w:bookmarkEnd w:id="4584"/>
    </w:p>
    <w:p>
      <w:pPr>
        <w:pStyle w:val="BookText"/>
      </w:pPr>
      <w:r>
        <w:rPr>
          <w:rFonts w:ascii="IRNazanin" w:hAnsi="IRNazanin" w:eastAsia="IRNazanin" w:cs="IRNazanin"/>
          <w:lang w:bidi="fa-IR"/>
          <w:color w:val="111111"/>
          <w:sz w:val="28"/>
          <w:szCs w:val="28"/>
          <w:rtl/>
        </w:rPr>
        <w:t xml:space="preserve">الذی کان حیا إلی (1190). نسخه منه یشتمل علی الغزلیات و القصائد موجودة عند (محمد النخجوانی) کتابتها (1248) کما کتبه إلینا.</w:t>
      </w:r>
    </w:p>
    <w:p>
      <w:pPr>
        <w:pStyle w:val="Heading3"/>
      </w:pPr>
      <w:bookmarkStart w:id="4585" w:name="_Toc3281"/>
      <w:r>
        <w:t>2544- دیوان سرشار کاکوروی‏</w:t>
      </w:r>
      <w:bookmarkEnd w:id="4585"/>
    </w:p>
    <w:p>
      <w:pPr>
        <w:pStyle w:val="BookText"/>
      </w:pPr>
      <w:r>
        <w:rPr>
          <w:rFonts w:ascii="IRNazanin" w:hAnsi="IRNazanin" w:eastAsia="IRNazanin" w:cs="IRNazanin"/>
          <w:lang w:bidi="fa-IR"/>
          <w:color w:val="111111"/>
          <w:sz w:val="28"/>
          <w:szCs w:val="28"/>
          <w:rtl/>
        </w:rPr>
        <w:t xml:space="preserve">و اسمه هیرالال، و یشتهر بسیام سند من قوم کایتة من أمراء الأود. مات (1284) و دیوانه الفارسی موجود کما ذکره فی (گلشن- ص 202- 201).</w:t>
      </w:r>
    </w:p>
    <w:p>
      <w:pPr>
        <w:pStyle w:val="Heading3"/>
      </w:pPr>
      <w:bookmarkStart w:id="4586" w:name="_Toc3282"/>
      <w:r>
        <w:t>2545- دیوان سرشکی کابلی أو شعره‏</w:t>
      </w:r>
      <w:bookmarkEnd w:id="4586"/>
    </w:p>
    <w:p>
      <w:pPr>
        <w:pStyle w:val="BookText"/>
      </w:pPr>
      <w:r>
        <w:rPr>
          <w:rFonts w:ascii="IRNazanin" w:hAnsi="IRNazanin" w:eastAsia="IRNazanin" w:cs="IRNazanin"/>
          <w:lang w:bidi="fa-IR"/>
          <w:color w:val="111111"/>
          <w:sz w:val="28"/>
          <w:szCs w:val="28"/>
          <w:rtl/>
        </w:rPr>
        <w:t xml:space="preserve">. أورد شعره الفارسی فی (گلشن- ص 202).</w:t>
      </w:r>
    </w:p>
    <w:p>
      <w:pPr>
        <w:pStyle w:val="Heading3"/>
      </w:pPr>
      <w:bookmarkStart w:id="4587" w:name="_Toc3283"/>
      <w:r>
        <w:t>2546- دیوان سرعت مازندرانی‏</w:t>
      </w:r>
      <w:bookmarkEnd w:id="4587"/>
    </w:p>
    <w:p>
      <w:pPr>
        <w:pStyle w:val="BookText"/>
      </w:pPr>
      <w:r>
        <w:rPr>
          <w:rFonts w:ascii="IRNazanin" w:hAnsi="IRNazanin" w:eastAsia="IRNazanin" w:cs="IRNazanin"/>
          <w:lang w:bidi="fa-IR"/>
          <w:color w:val="111111"/>
          <w:sz w:val="28"/>
          <w:szCs w:val="28"/>
          <w:rtl/>
        </w:rPr>
        <w:t xml:space="preserve">هو السید المیر محمد حسین، من نجباء سادات آمل مازندران و المجاور للحائر. ترجمه معاصره النصرآبادی فی (نر 9- ص 411). و ذکر مسافرته إلی أصفهان قبل سنتین و عودته إلی کربلاء و أورد جملة من أشعاره. و کذا فی (پژمان- ص 834) و کذا فی (گلشن- ص 202).</w:t>
      </w:r>
    </w:p>
    <w:p>
      <w:pPr>
        <w:pStyle w:val="Heading3"/>
      </w:pPr>
      <w:bookmarkStart w:id="4588" w:name="_Toc3284"/>
      <w:r>
        <w:t>دیوان سرکای بخاری‏</w:t>
      </w:r>
      <w:bookmarkEnd w:id="4588"/>
    </w:p>
    <w:p>
      <w:pPr>
        <w:pStyle w:val="BookText"/>
      </w:pPr>
      <w:r>
        <w:rPr>
          <w:rFonts w:ascii="IRNazanin" w:hAnsi="IRNazanin" w:eastAsia="IRNazanin" w:cs="IRNazanin"/>
          <w:lang w:bidi="fa-IR"/>
          <w:color w:val="111111"/>
          <w:sz w:val="28"/>
          <w:szCs w:val="28"/>
          <w:rtl/>
        </w:rPr>
        <w:t xml:space="preserve">مر فی (ص 422) سامانی. و جاء اسمه سرکاری غلطا.</w:t>
      </w:r>
    </w:p>
    <w:p>
      <w:pPr>
        <w:pStyle w:val="Heading3"/>
      </w:pPr>
      <w:bookmarkStart w:id="4589" w:name="_Toc3285"/>
      <w:r>
        <w:t>2547- دیوان سرگشته أصفهانی گرجی‏</w:t>
      </w:r>
      <w:bookmarkEnd w:id="4589"/>
    </w:p>
    <w:p>
      <w:pPr>
        <w:pStyle w:val="BookText"/>
      </w:pPr>
      <w:r>
        <w:rPr>
          <w:rFonts w:ascii="IRNazanin" w:hAnsi="IRNazanin" w:eastAsia="IRNazanin" w:cs="IRNazanin"/>
          <w:lang w:bidi="fa-IR"/>
          <w:color w:val="111111"/>
          <w:sz w:val="28"/>
          <w:szCs w:val="28"/>
          <w:rtl/>
        </w:rPr>
        <w:t xml:space="preserve">و هو المیرزا عبد الله بن الحاج فریدون الگرجی. کان قد جاء محمد شاه قاجار بوالده من گرجستان، فولد سرگشته بأصفهان فی (1245) و تربی هناک فتخلص أولا سرگشته ثم بدله إشتها و مات (1289) فقال عباس قلی بختیاری خرم فی تاریخه:</w:t>
      </w:r>
    </w:p>
    <w:p>
      <w:pPr>
        <w:pStyle w:val="BookText"/>
      </w:pPr>
      <w:r>
        <w:rPr>
          <w:rFonts w:ascii="IRNazanin" w:hAnsi="IRNazanin" w:eastAsia="IRNazanin" w:cs="IRNazanin"/>
          <w:lang w:bidi="fa-IR"/>
          <w:color w:val="111111"/>
          <w:sz w:val="28"/>
          <w:szCs w:val="28"/>
          <w:rtl/>
        </w:rPr>
        <w:t xml:space="preserve">گفتا پی تاریخ وفاتش خرم:</w:t>
      </w:r>
    </w:p>
    <w:p>
      <w:pPr>
        <w:pStyle w:val="BookText"/>
      </w:pPr>
      <w:r>
        <w:rPr>
          <w:rFonts w:ascii="IRNazanin" w:hAnsi="IRNazanin" w:eastAsia="IRNazanin" w:cs="IRNazanin"/>
          <w:lang w:bidi="fa-IR"/>
          <w:color w:val="111111"/>
          <w:sz w:val="28"/>
          <w:szCs w:val="28"/>
          <w:rtl/>
        </w:rPr>
        <w:t xml:space="preserve">ای وای که اشتها نداریم دگر</w:t>
      </w:r>
    </w:p>
    <w:p>
      <w:pPr>
        <w:pStyle w:val="BookText"/>
      </w:pPr>
      <w:r>
        <w:rPr>
          <w:rFonts w:ascii="IRNazanin" w:hAnsi="IRNazanin" w:eastAsia="IRNazanin" w:cs="IRNazanin"/>
          <w:lang w:bidi="fa-IR"/>
          <w:color w:val="111111"/>
          <w:sz w:val="28"/>
          <w:szCs w:val="28"/>
          <w:rtl/>
        </w:rPr>
        <w:t xml:space="preserve">طبع علی الحجر بطهران فی (80 ص) مع مقدمه فی أحواله مغلوطا. و توجد نسخه منه فی (المجلس) کما فی فهرسها (3: 217) تشتمل علی (1500 بیت) کلها غزلیات فی الأطعمة نظیر دیوان بسحاق. و قد کتب له دیباجة ذکر فیها أن جامع الدیوان هو المیرزا نصر الله بن محمد شفیع الخطاط بأصفهان الذی کان سرگشته یعلم أطفاله. و کتب الدیباجة علی محمد المنشی بن محمد علی المنشی.</w:t>
      </w:r>
    </w:p>
    <w:p>
      <w:pPr>
        <w:pStyle w:val="Heading3"/>
      </w:pPr>
      <w:bookmarkStart w:id="4590" w:name="_Toc3286"/>
      <w:r>
        <w:t>2548- دیوان سرمد</w:t>
      </w:r>
      <w:bookmarkEnd w:id="4590"/>
    </w:p>
    <w:p>
      <w:pPr>
        <w:pStyle w:val="BookText"/>
      </w:pPr>
      <w:r>
        <w:rPr>
          <w:rFonts w:ascii="IRNazanin" w:hAnsi="IRNazanin" w:eastAsia="IRNazanin" w:cs="IRNazanin"/>
          <w:lang w:bidi="fa-IR"/>
          <w:color w:val="111111"/>
          <w:sz w:val="28"/>
          <w:szCs w:val="28"/>
          <w:rtl/>
        </w:rPr>
        <w:t xml:space="preserve">و اسمه صادق یسکن طهران، و یعد من شعراء البلاط. رأیت کثیرا من شعره فی جرائد طهران و غیرها و کذا فی (پژمان- ص 180 و 834).</w:t>
      </w:r>
    </w:p>
    <w:p>
      <w:pPr>
        <w:pStyle w:val="Heading3"/>
      </w:pPr>
      <w:bookmarkStart w:id="4591" w:name="_Toc3287"/>
      <w:r>
        <w:t>2549- دیوان سرمد کاشی‏</w:t>
      </w:r>
      <w:bookmarkEnd w:id="4591"/>
    </w:p>
    <w:p>
      <w:pPr>
        <w:pStyle w:val="BookText"/>
      </w:pPr>
      <w:r>
        <w:rPr>
          <w:rFonts w:ascii="IRNazanin" w:hAnsi="IRNazanin" w:eastAsia="IRNazanin" w:cs="IRNazanin"/>
          <w:lang w:bidi="fa-IR"/>
          <w:color w:val="111111"/>
          <w:sz w:val="28"/>
          <w:szCs w:val="28"/>
          <w:rtl/>
        </w:rPr>
        <w:t xml:space="preserve">اسمه سعیدا و أصله من یهود کاشان و أسلم کما فی‏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437" w:name="pg11704_121917"/>
    <w:bookmarkEnd w:id="437"/>
    <w:p>
      <w:pPr>
        <w:pStyle w:val="BookText"/>
      </w:pPr>
      <w:r>
        <w:rPr>
          <w:rFonts w:ascii="IRNazanin" w:hAnsi="IRNazanin" w:eastAsia="IRNazanin" w:cs="IRNazanin"/>
          <w:lang w:bidi="fa-IR"/>
          <w:color w:val="111111"/>
          <w:sz w:val="28"/>
          <w:szCs w:val="28"/>
          <w:rtl/>
        </w:rPr>
        <w:t xml:space="preserve">(نر 9- ص 310) أو من أرامنة الإفرنج کما فی مرآة الخیال- ص 140) و قرأ علی المیر الفندرسکی و المولی صدر الشیرازی و لازم العرفاء و أدرک المشایخ و صار مجذوبا فسافر إلی بندر سورت کما فی (مع- ج 2 ص 20) و (ض- ص 141) عن دبستان مذاهب و قال فی مرآة الخیال إنه سافر إلی تته و استولی علیه غرام ولد، قال النصرآبادی إنه ابن راجه و قال (حسینی- ص 145) إن اسمه أبهی چند، من الهنود فتجنن فکان یمشی مکشوف الرأس و العورة، و کان دارا شکوه یحبه فأکرمه و لما مات دارا شکوه فی (1069) و انهدم مآثر أکبر شاه و بدعه، أمر به عالمگیر شاه فحاکمه قاضی القضاة ملا عبد القوی الماوراءالنهری إمام جمع من العلماء و الملک نفسه، فأجاب عن سؤالات الملک بشدة فغضب الملک فحکم علیه بالموت و لما أراد الجلاد أن یشد علی عینه سترا امتنع عن ذلک فضرب عنقه فی (1072) کما فی مرآة الخیال أو (1070) کما فی شعر غلام سرور المنقول فی ریحانة الأدب عن خزینة الأصفیاء- ج 2 ص 352 و هو:</w:t>
      </w:r>
    </w:p>
    <w:p>
      <w:pPr>
        <w:pStyle w:val="BookText"/>
      </w:pPr>
      <w:r>
        <w:rPr>
          <w:rFonts w:ascii="IRNazanin" w:hAnsi="IRNazanin" w:eastAsia="IRNazanin" w:cs="IRNazanin"/>
          <w:lang w:bidi="fa-IR"/>
          <w:color w:val="111111"/>
          <w:sz w:val="28"/>
          <w:szCs w:val="28"/>
          <w:rtl/>
        </w:rPr>
        <w:t xml:space="preserve">سال قتلش چو از خرد جستم‏</w:t>
      </w:r>
    </w:p>
    <w:p>
      <w:pPr>
        <w:pStyle w:val="BookText"/>
      </w:pPr>
      <w:r>
        <w:rPr>
          <w:rFonts w:ascii="IRNazanin" w:hAnsi="IRNazanin" w:eastAsia="IRNazanin" w:cs="IRNazanin"/>
          <w:lang w:bidi="fa-IR"/>
          <w:color w:val="111111"/>
          <w:sz w:val="28"/>
          <w:szCs w:val="28"/>
          <w:rtl/>
        </w:rPr>
        <w:t xml:space="preserve">گشت پیدا که سرمد و سرمست‏</w:t>
      </w:r>
    </w:p>
    <w:p>
      <w:pPr>
        <w:pStyle w:val="BookText"/>
      </w:pPr>
      <w:r>
        <w:rPr>
          <w:rFonts w:ascii="IRNazanin" w:hAnsi="IRNazanin" w:eastAsia="IRNazanin" w:cs="IRNazanin"/>
          <w:lang w:bidi="fa-IR"/>
          <w:color w:val="111111"/>
          <w:sz w:val="28"/>
          <w:szCs w:val="28"/>
          <w:rtl/>
        </w:rPr>
        <w:t xml:space="preserve">و قال فی (تش- ص 244) إنه قد اقتص من القاضی المذکور بعد ذلک. و ترجمه أیضا النصرآبادی فی (نر 9- ص 310) و أورد شعره فی ذم التنباک و أورد فی مرآة الخیال و (سرخوش- ص 50) شعره فی تأویل المعراج. و یظهر من قتله بید اورنگ زیب عالمگیر بتهمة الزندقة و مصاحبته لدارا شکوه، حسن حاله. و سرمد أیضا تخلص لفیض الله بن محمد الرومی المتوفی (1202) و دیوانه ترکی کما فی أسماء المؤلفین (ص 824- ج 1).</w:t>
      </w:r>
    </w:p>
    <w:p>
      <w:pPr>
        <w:pStyle w:val="Heading3"/>
      </w:pPr>
      <w:bookmarkStart w:id="4592" w:name="_Toc3288"/>
      <w:r>
        <w:t>2550- دیوان سرمدی أصفهانی أو شعره‏</w:t>
      </w:r>
      <w:bookmarkEnd w:id="4592"/>
    </w:p>
    <w:p>
      <w:pPr>
        <w:pStyle w:val="BookText"/>
      </w:pPr>
      <w:r>
        <w:rPr>
          <w:rFonts w:ascii="IRNazanin" w:hAnsi="IRNazanin" w:eastAsia="IRNazanin" w:cs="IRNazanin"/>
          <w:lang w:bidi="fa-IR"/>
          <w:color w:val="111111"/>
          <w:sz w:val="28"/>
          <w:szCs w:val="28"/>
          <w:rtl/>
        </w:rPr>
        <w:t xml:space="preserve">و لقبه شریف. کان من ملازمی أکبر شاه فترجمه فی طبقات أکبری (ج 2 ص 511) و أورد شعره. و سماه فی (روشن- ص 290) السید محمد شریف و قال ورد الهند و لازم راجه‏مان سنگه و مات (1015).</w:t>
      </w:r>
    </w:p>
    <w:p>
      <w:pPr>
        <w:pStyle w:val="Heading3"/>
      </w:pPr>
      <w:bookmarkStart w:id="4593" w:name="_Toc3289"/>
      <w:r>
        <w:t>2551- دیوان سرمست کفری أو شعره‏</w:t>
      </w:r>
      <w:bookmarkEnd w:id="4593"/>
    </w:p>
    <w:p>
      <w:pPr>
        <w:pStyle w:val="BookText"/>
      </w:pPr>
      <w:r>
        <w:rPr>
          <w:rFonts w:ascii="IRNazanin" w:hAnsi="IRNazanin" w:eastAsia="IRNazanin" w:cs="IRNazanin"/>
          <w:lang w:bidi="fa-IR"/>
          <w:color w:val="111111"/>
          <w:sz w:val="28"/>
          <w:szCs w:val="28"/>
          <w:rtl/>
        </w:rPr>
        <w:t xml:space="preserve">و اسمه باقر الکفری. ترجمه فی (دجا- ص 181) عن حدیقة الشعراء.</w:t>
      </w:r>
    </w:p>
    <w:p>
      <w:pPr>
        <w:pStyle w:val="Heading3"/>
      </w:pPr>
      <w:bookmarkStart w:id="4594" w:name="_Toc3290"/>
      <w:r>
        <w:t>دیوان سرمست‏</w:t>
      </w:r>
      <w:bookmarkEnd w:id="4594"/>
    </w:p>
    <w:p>
      <w:pPr>
        <w:pStyle w:val="BookText"/>
      </w:pPr>
      <w:r>
        <w:rPr>
          <w:rFonts w:ascii="IRNazanin" w:hAnsi="IRNazanin" w:eastAsia="IRNazanin" w:cs="IRNazanin"/>
          <w:lang w:bidi="fa-IR"/>
          <w:color w:val="111111"/>
          <w:sz w:val="28"/>
          <w:szCs w:val="28"/>
          <w:rtl/>
        </w:rPr>
        <w:t xml:space="preserve">و اسمه حسن المتخلص مستی یأتی بتخلصه، و هو غیر سرمست عبد الکریم المذکور فی (ج 6- ص 380).</w:t>
      </w:r>
    </w:p>
    <w:p>
      <w:pPr>
        <w:pStyle w:val="Heading3"/>
      </w:pPr>
      <w:bookmarkStart w:id="4595" w:name="_Toc3291"/>
      <w:r>
        <w:t>2552- دیوان سرود رشتی أو شعره‏</w:t>
      </w:r>
      <w:bookmarkEnd w:id="4595"/>
    </w:p>
    <w:p>
      <w:pPr>
        <w:pStyle w:val="BookText"/>
      </w:pPr>
      <w:r>
        <w:rPr>
          <w:rFonts w:ascii="IRNazanin" w:hAnsi="IRNazanin" w:eastAsia="IRNazanin" w:cs="IRNazanin"/>
          <w:lang w:bidi="fa-IR"/>
          <w:color w:val="111111"/>
          <w:sz w:val="28"/>
          <w:szCs w:val="28"/>
          <w:rtl/>
        </w:rPr>
        <w:t xml:space="preserve">ترجمه النصرآبادی فی (ص نر 9- 378) بعنوان‏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438" w:name="pg11704_121918"/>
    <w:bookmarkEnd w:id="438"/>
    <w:p>
      <w:pPr>
        <w:pStyle w:val="BookText"/>
      </w:pPr>
      <w:r>
        <w:rPr>
          <w:rFonts w:ascii="IRNazanin" w:hAnsi="IRNazanin" w:eastAsia="IRNazanin" w:cs="IRNazanin"/>
          <w:lang w:bidi="fa-IR"/>
          <w:color w:val="111111"/>
          <w:sz w:val="28"/>
          <w:szCs w:val="28"/>
          <w:rtl/>
        </w:rPr>
        <w:t xml:space="preserve">ملا سرود، و ذکر أنه ماهر فی فنون الشعر و لا سیما التاریخ حتی أنه کان ینظم تاریخ بعض الأحیاء و أورد شعره.</w:t>
      </w:r>
    </w:p>
    <w:p>
      <w:pPr>
        <w:pStyle w:val="Heading3"/>
      </w:pPr>
      <w:bookmarkStart w:id="4596" w:name="_Toc3292"/>
      <w:r>
        <w:t>2553- دیوان سرودی خراسانی أو شعره‏</w:t>
      </w:r>
      <w:bookmarkEnd w:id="4596"/>
    </w:p>
    <w:p>
      <w:pPr>
        <w:pStyle w:val="BookText"/>
      </w:pPr>
      <w:r>
        <w:rPr>
          <w:rFonts w:ascii="IRNazanin" w:hAnsi="IRNazanin" w:eastAsia="IRNazanin" w:cs="IRNazanin"/>
          <w:lang w:bidi="fa-IR"/>
          <w:color w:val="111111"/>
          <w:sz w:val="28"/>
          <w:szCs w:val="28"/>
          <w:rtl/>
        </w:rPr>
        <w:t xml:space="preserve">و اسمه الملا سرود أیضا. أورد شعره فی (روشن- ص 290) و أطرأه فی (تغ- ص 64).</w:t>
      </w:r>
    </w:p>
    <w:p>
      <w:pPr>
        <w:pStyle w:val="Heading3"/>
      </w:pPr>
      <w:bookmarkStart w:id="4597" w:name="_Toc3293"/>
      <w:r>
        <w:t>2554- دیوان سرودی الخوانساری‏</w:t>
      </w:r>
      <w:bookmarkEnd w:id="4597"/>
    </w:p>
    <w:p>
      <w:pPr>
        <w:pStyle w:val="BookText"/>
      </w:pPr>
      <w:r>
        <w:rPr>
          <w:rFonts w:ascii="IRNazanin" w:hAnsi="IRNazanin" w:eastAsia="IRNazanin" w:cs="IRNazanin"/>
          <w:lang w:bidi="fa-IR"/>
          <w:color w:val="111111"/>
          <w:sz w:val="28"/>
          <w:szCs w:val="28"/>
          <w:rtl/>
        </w:rPr>
        <w:t xml:space="preserve">ذکر سام میرزا فی (تس 5- ص 158) المؤلف فی (957) أنه کان تخلصه أولا ایمنی ثم غیره بسرودی بمناسبة شغله، ثم ذکر ثلاثة مطالع من شعره کلها غیر ما ذکره الصادقی الآتی.</w:t>
      </w:r>
    </w:p>
    <w:p>
      <w:pPr>
        <w:pStyle w:val="Heading3"/>
      </w:pPr>
      <w:bookmarkStart w:id="4598" w:name="_Toc3294"/>
      <w:r>
        <w:t>2555- دیوان سرودی قمی‏</w:t>
      </w:r>
      <w:bookmarkEnd w:id="4598"/>
    </w:p>
    <w:p>
      <w:pPr>
        <w:pStyle w:val="BookText"/>
      </w:pPr>
      <w:r>
        <w:rPr>
          <w:rFonts w:ascii="IRNazanin" w:hAnsi="IRNazanin" w:eastAsia="IRNazanin" w:cs="IRNazanin"/>
          <w:lang w:bidi="fa-IR"/>
          <w:color w:val="111111"/>
          <w:sz w:val="28"/>
          <w:szCs w:val="28"/>
          <w:rtl/>
        </w:rPr>
        <w:t xml:space="preserve">من قصبة تسمی بخوانسار. ترجمه کذلک الصادقی فی حیاته علی الظاهر فی (خص 8- ص 243) المؤلف (1010) و أورد شعره فی فن من الموسیقی و من ملاحظة تاریخ تألیف التحفة و المجمع یظهر تأخر القمی هذا عن الخوانساری الذی کان ممن غیر تخلصه الأول فی زمن تألیف التحفة (957).</w:t>
      </w:r>
    </w:p>
    <w:p>
      <w:pPr>
        <w:pStyle w:val="Heading3"/>
      </w:pPr>
      <w:bookmarkStart w:id="4599" w:name="_Toc3295"/>
      <w:r>
        <w:t>2556- دیوان سرور خوانساری‏</w:t>
      </w:r>
      <w:bookmarkEnd w:id="4599"/>
    </w:p>
    <w:p>
      <w:pPr>
        <w:pStyle w:val="BookText"/>
      </w:pPr>
      <w:r>
        <w:rPr>
          <w:rFonts w:ascii="IRNazanin" w:hAnsi="IRNazanin" w:eastAsia="IRNazanin" w:cs="IRNazanin"/>
          <w:lang w:bidi="fa-IR"/>
          <w:color w:val="111111"/>
          <w:sz w:val="28"/>
          <w:szCs w:val="28"/>
          <w:rtl/>
        </w:rPr>
        <w:t xml:space="preserve">اسمه المیرزا محمد حسین بن المیرزا محمد علی و تخلصه سرور براءین بینهما الواو. کان من بدو سلطنة محمد شاه ثم ناصر الدین شاه نازلا فی طهران ماد حالهما إلی زمن تألیف مجمع الفصحاء کما ذکر فی (مع- ج 2 ص 211) قال و له دیوان و أورد بعض أشعاره.</w:t>
      </w:r>
    </w:p>
    <w:p>
      <w:pPr>
        <w:pStyle w:val="Heading3"/>
      </w:pPr>
      <w:bookmarkStart w:id="4600" w:name="_Toc3296"/>
      <w:r>
        <w:t>2557- دیوان سرور شاه جهان‏پوری‏</w:t>
      </w:r>
      <w:bookmarkEnd w:id="4600"/>
    </w:p>
    <w:p>
      <w:pPr>
        <w:pStyle w:val="BookText"/>
      </w:pPr>
      <w:r>
        <w:rPr>
          <w:rFonts w:ascii="IRNazanin" w:hAnsi="IRNazanin" w:eastAsia="IRNazanin" w:cs="IRNazanin"/>
          <w:lang w:bidi="fa-IR"/>
          <w:color w:val="111111"/>
          <w:sz w:val="28"/>
          <w:szCs w:val="28"/>
          <w:rtl/>
        </w:rPr>
        <w:t xml:space="preserve">و اسمه لاله هیت پرشاد، من قوم کایتهة. له تذکره تراجم الشعراء نظما، فأورد فی تاریخ کل شاعر رباعیا. و کان ماهرا فی نظم التواریخ و کان حیا حین تألیف آفتاب عالمتاب کما ذکره فی (روشن- ص 290- 291).</w:t>
      </w:r>
    </w:p>
    <w:p>
      <w:pPr>
        <w:pStyle w:val="Heading3"/>
      </w:pPr>
      <w:bookmarkStart w:id="4601" w:name="_Toc3297"/>
      <w:r>
        <w:t>2558- دیوان سرور شاه نعمةاللهی أو شعره‏</w:t>
      </w:r>
      <w:bookmarkEnd w:id="4601"/>
    </w:p>
    <w:p>
      <w:pPr>
        <w:pStyle w:val="BookText"/>
      </w:pPr>
      <w:r>
        <w:rPr>
          <w:rFonts w:ascii="IRNazanin" w:hAnsi="IRNazanin" w:eastAsia="IRNazanin" w:cs="IRNazanin"/>
          <w:lang w:bidi="fa-IR"/>
          <w:color w:val="111111"/>
          <w:sz w:val="28"/>
          <w:szCs w:val="28"/>
          <w:rtl/>
        </w:rPr>
        <w:t xml:space="preserve">و اسمه کربلائی شکر الله، و شعره ترکی.</w:t>
      </w:r>
    </w:p>
    <w:p>
      <w:pPr>
        <w:pStyle w:val="BookText"/>
      </w:pPr>
      <w:r>
        <w:rPr>
          <w:rFonts w:ascii="IRNazanin" w:hAnsi="IRNazanin" w:eastAsia="IRNazanin" w:cs="IRNazanin"/>
          <w:lang w:bidi="fa-IR"/>
          <w:color w:val="111111"/>
          <w:sz w:val="28"/>
          <w:szCs w:val="28"/>
          <w:rtl/>
        </w:rPr>
        <w:t xml:space="preserve">ترجمه فی (دجا- ص 181) نقلا عن حدیقة الشعراء.</w:t>
      </w:r>
    </w:p>
    <w:p>
      <w:pPr>
        <w:pStyle w:val="Heading3"/>
      </w:pPr>
      <w:bookmarkStart w:id="4602" w:name="_Toc3298"/>
      <w:r>
        <w:t>2559- دیوان سرور شیرازی أو شعره‏</w:t>
      </w:r>
      <w:bookmarkEnd w:id="4602"/>
    </w:p>
    <w:p>
      <w:pPr>
        <w:pStyle w:val="BookText"/>
      </w:pPr>
      <w:r>
        <w:rPr>
          <w:rFonts w:ascii="IRNazanin" w:hAnsi="IRNazanin" w:eastAsia="IRNazanin" w:cs="IRNazanin"/>
          <w:lang w:bidi="fa-IR"/>
          <w:color w:val="111111"/>
          <w:sz w:val="28"/>
          <w:szCs w:val="28"/>
          <w:rtl/>
        </w:rPr>
        <w:t xml:space="preserve">و هو المیرزا محمد بن کاظم بن الحاج محمد الطبیب المولود بشیراز و المتوفی بها (1315) له رشحات الفنون فی الأدب. ترجمه فرصت فی (عم- ص 116) ثم أورد فی (ص 489) فی تاریخ موته:</w:t>
      </w:r>
    </w:p>
    <w:p>
      <w:pPr>
        <w:pStyle w:val="BookText"/>
      </w:pPr>
      <w:r>
        <w:rPr>
          <w:rFonts w:ascii="IRNazanin" w:hAnsi="IRNazanin" w:eastAsia="IRNazanin" w:cs="IRNazanin"/>
          <w:lang w:bidi="fa-IR"/>
          <w:color w:val="111111"/>
          <w:sz w:val="28"/>
          <w:szCs w:val="28"/>
          <w:rtl/>
        </w:rPr>
        <w:t xml:space="preserve">فرصت دل‏خسته بتاریخ گفت:</w:t>
      </w:r>
    </w:p>
    <w:p>
      <w:pPr>
        <w:pStyle w:val="BookText"/>
      </w:pPr>
      <w:r>
        <w:rPr>
          <w:rFonts w:ascii="IRNazanin" w:hAnsi="IRNazanin" w:eastAsia="IRNazanin" w:cs="IRNazanin"/>
          <w:lang w:bidi="fa-IR"/>
          <w:color w:val="111111"/>
          <w:sz w:val="28"/>
          <w:szCs w:val="28"/>
          <w:rtl/>
        </w:rPr>
        <w:t xml:space="preserve">(از دل ما رفت پس از وی سرور)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439" w:name="pg11704_121919"/>
    <w:bookmarkEnd w:id="439"/>
    <w:p>
      <w:pPr>
        <w:pStyle w:val="BookText"/>
      </w:pPr>
      <w:r>
        <w:rPr>
          <w:rFonts w:ascii="IRNazanin" w:hAnsi="IRNazanin" w:eastAsia="IRNazanin" w:cs="IRNazanin"/>
          <w:lang w:bidi="fa-IR"/>
          <w:color w:val="111111"/>
          <w:sz w:val="28"/>
          <w:szCs w:val="28"/>
          <w:rtl/>
        </w:rPr>
        <w:t xml:space="preserve">و له مهاجاة مع مشتری و فروغی فی طهران عند ناصر الدین شاه.</w:t>
      </w:r>
    </w:p>
    <w:p>
      <w:pPr>
        <w:pStyle w:val="Heading3"/>
      </w:pPr>
      <w:bookmarkStart w:id="4603" w:name="_Toc3299"/>
      <w:r>
        <w:t>2560- دیوان سروری کابلی أو شعره‏</w:t>
      </w:r>
      <w:bookmarkEnd w:id="4603"/>
    </w:p>
    <w:p>
      <w:pPr>
        <w:pStyle w:val="BookText"/>
      </w:pPr>
      <w:r>
        <w:rPr>
          <w:rFonts w:ascii="IRNazanin" w:hAnsi="IRNazanin" w:eastAsia="IRNazanin" w:cs="IRNazanin"/>
          <w:lang w:bidi="fa-IR"/>
          <w:color w:val="111111"/>
          <w:sz w:val="28"/>
          <w:szCs w:val="28"/>
          <w:rtl/>
        </w:rPr>
        <w:t xml:space="preserve">و اسمه عالم بیک. کان فی خدمة خان خانان کما فی (نر 3- ص 62) و خدمة جهانگیر کما فی سرو آزاد- ص 57 و (تغ- ص 64) و (پژمان- ص 845) و أوردوا شعره. و فی نسخه من النصرآبادی سرور بدل سروری‏</w:t>
      </w:r>
    </w:p>
    <w:p>
      <w:pPr>
        <w:pStyle w:val="Heading3"/>
      </w:pPr>
      <w:bookmarkStart w:id="4604" w:name="_Toc3300"/>
      <w:r>
        <w:t>2561- دیوان سروری کاشانی‏</w:t>
      </w:r>
      <w:bookmarkEnd w:id="4604"/>
    </w:p>
    <w:p>
      <w:pPr>
        <w:pStyle w:val="BookText"/>
      </w:pPr>
      <w:r>
        <w:rPr>
          <w:rFonts w:ascii="IRNazanin" w:hAnsi="IRNazanin" w:eastAsia="IRNazanin" w:cs="IRNazanin"/>
          <w:lang w:bidi="fa-IR"/>
          <w:color w:val="111111"/>
          <w:sz w:val="28"/>
          <w:szCs w:val="28"/>
          <w:rtl/>
        </w:rPr>
        <w:t xml:space="preserve">و هو محمد قاسم بن الحاج محمد، صاحب مجمع الفرس الذی ألفه فی أصفهان (1008) و لخصه باسم خلاصة المجمع‏</w:t>
      </w:r>
      <w:r>
        <w:rPr>
          <w:rStyle w:val="FootnoteReference"/>
        </w:rPr>
        <w:footnoteReference w:id="37"/>
      </w:r>
      <w:r>
        <w:rPr>
          <w:rFonts w:ascii="IRNazanin" w:hAnsi="IRNazanin" w:eastAsia="IRNazanin" w:cs="IRNazanin"/>
          <w:lang w:bidi="fa-IR"/>
          <w:color w:val="111111"/>
          <w:sz w:val="28"/>
          <w:szCs w:val="28"/>
          <w:rtl/>
        </w:rPr>
        <w:t xml:space="preserve">فی (1018) باسم حاتم بیک وزیر الشاه عباس، ثم سافر فی (1032) إلی الهند و کان بلاهور فی (1036) قال النصرآبادی فی (نر 9- ص 291) إنه أکمله فی الهند و أورد شعره بتخلص سروری و کذا فی (گلشن- ص 203) و ریاض الشعراء و مرآة العالم و فهرست (سپهسالار) (ج 2 ص 219) و کشف الظنون و فهرس ریو (ج 2 ص 498) و (تغ- ص 64).</w:t>
      </w:r>
    </w:p>
    <w:p>
      <w:pPr>
        <w:pStyle w:val="Heading3"/>
      </w:pPr>
      <w:bookmarkStart w:id="4605" w:name="_Toc3301"/>
      <w:r>
        <w:t>2562- دیوان سروری لکهنوی‏</w:t>
      </w:r>
      <w:bookmarkEnd w:id="4605"/>
    </w:p>
    <w:p>
      <w:pPr>
        <w:pStyle w:val="BookText"/>
      </w:pPr>
      <w:r>
        <w:rPr>
          <w:rFonts w:ascii="IRNazanin" w:hAnsi="IRNazanin" w:eastAsia="IRNazanin" w:cs="IRNazanin"/>
          <w:lang w:bidi="fa-IR"/>
          <w:color w:val="111111"/>
          <w:sz w:val="28"/>
          <w:szCs w:val="28"/>
          <w:rtl/>
        </w:rPr>
        <w:t xml:space="preserve">و اسمه رای‏بنس دهر، من قوم کایتهة من أولاد لاجی بهادر. تلمذ علی إحسان الله ممتاز، و استبصر و تشیع. أورد شعره فی (گلشن- ص 202). و قد طبع فی نولکشور بلکهنو دیوان سروری و یحتمل أنه له، أو لما بعده‏</w:t>
      </w:r>
    </w:p>
    <w:p>
      <w:pPr>
        <w:pStyle w:val="Heading3"/>
      </w:pPr>
      <w:bookmarkStart w:id="4606" w:name="_Toc3302"/>
      <w:r>
        <w:t>2563- دیوان سروری هندی أو شعره‏</w:t>
      </w:r>
      <w:bookmarkEnd w:id="4606"/>
    </w:p>
    <w:p>
      <w:pPr>
        <w:pStyle w:val="BookText"/>
      </w:pPr>
      <w:r>
        <w:rPr>
          <w:rFonts w:ascii="IRNazanin" w:hAnsi="IRNazanin" w:eastAsia="IRNazanin" w:cs="IRNazanin"/>
          <w:lang w:bidi="fa-IR"/>
          <w:color w:val="111111"/>
          <w:sz w:val="28"/>
          <w:szCs w:val="28"/>
          <w:rtl/>
        </w:rPr>
        <w:t xml:space="preserve">و هو الشیخ رضی الدین غلام مرتضی ابن الحافظ غلام محمد و تلمیذ نظام الدین معجز. أورد شعره فی (گلشن- ص 203- 202) و مات فی أواسط القرن الثالث عشر کما فی (روشن- ص 291).</w:t>
      </w:r>
    </w:p>
    <w:p>
      <w:pPr>
        <w:pStyle w:val="Heading3"/>
      </w:pPr>
      <w:bookmarkStart w:id="4607" w:name="_Toc3303"/>
      <w:r>
        <w:t>2564- دیوان سروری هندی‏</w:t>
      </w:r>
      <w:bookmarkEnd w:id="4607"/>
    </w:p>
    <w:p>
      <w:pPr>
        <w:pStyle w:val="BookText"/>
      </w:pPr>
      <w:r>
        <w:rPr>
          <w:rFonts w:ascii="IRNazanin" w:hAnsi="IRNazanin" w:eastAsia="IRNazanin" w:cs="IRNazanin"/>
          <w:lang w:bidi="fa-IR"/>
          <w:color w:val="111111"/>
          <w:sz w:val="28"/>
          <w:szCs w:val="28"/>
          <w:rtl/>
        </w:rPr>
        <w:t xml:space="preserve">و اسمه سکندر المتوفی (1136). توجد نسخته فی مکتبة المتحف البریطانی برقم (335)، و له دیباجة کتبها مستعد خان ساقی. أوله:</w:t>
      </w:r>
    </w:p>
    <w:p>
      <w:pPr>
        <w:pStyle w:val="BookText"/>
      </w:pPr>
      <w:r>
        <w:rPr>
          <w:rFonts w:ascii="IRNazanin" w:hAnsi="IRNazanin" w:eastAsia="IRNazanin" w:cs="IRNazanin"/>
          <w:lang w:bidi="fa-IR"/>
          <w:color w:val="111111"/>
          <w:sz w:val="28"/>
          <w:szCs w:val="28"/>
          <w:rtl/>
        </w:rPr>
        <w:t xml:space="preserve">[الحمد لله علی نواله و الصلاة علی محمد و آله سرور دلهای دانش ...] و أول الدیوان:</w:t>
      </w:r>
    </w:p>
    <w:p>
      <w:pPr>
        <w:pStyle w:val="BookText"/>
      </w:pPr>
      <w:r>
        <w:rPr>
          <w:rFonts w:ascii="IRNazanin" w:hAnsi="IRNazanin" w:eastAsia="IRNazanin" w:cs="IRNazanin"/>
          <w:lang w:bidi="fa-IR"/>
          <w:color w:val="111111"/>
          <w:sz w:val="28"/>
          <w:szCs w:val="28"/>
          <w:rtl/>
        </w:rPr>
        <w:t xml:space="preserve">الهی در طریق عشق آسان ساز مشکلها</w:t>
      </w:r>
    </w:p>
    <w:p>
      <w:pPr>
        <w:pStyle w:val="BookText"/>
      </w:pPr>
      <w:r>
        <w:rPr>
          <w:rFonts w:ascii="IRNazanin" w:hAnsi="IRNazanin" w:eastAsia="IRNazanin" w:cs="IRNazanin"/>
          <w:lang w:bidi="fa-IR"/>
          <w:color w:val="111111"/>
          <w:sz w:val="28"/>
          <w:szCs w:val="28"/>
          <w:rtl/>
        </w:rPr>
        <w:t xml:space="preserve">بیابانها خطرناک و بسی دور است منزلها</w:t>
      </w:r>
    </w:p>
    <w:p>
      <w:pPr>
        <w:pStyle w:val="BookText"/>
      </w:pPr>
      <w:r>
        <w:rPr>
          <w:rFonts w:ascii="IRNazanin" w:hAnsi="IRNazanin" w:eastAsia="IRNazanin" w:cs="IRNazanin"/>
          <w:lang w:bidi="fa-IR"/>
          <w:color w:val="111111"/>
          <w:sz w:val="28"/>
          <w:szCs w:val="28"/>
          <w:rtl/>
        </w:rPr>
        <w:t xml:space="preserve">و النسخة تشتمل علی غزلیات و مقطعات و رباعیات و قصائد و منها قصیدة عمان المعانی کما فصلها ریو فی فهرسه (ج 4 ص 211).</w:t>
      </w:r>
    </w:p>
    <w:p>
      <w:pPr>
        <w:pStyle w:val="Heading3"/>
      </w:pPr>
      <w:bookmarkStart w:id="4608" w:name="_Toc3304"/>
      <w:r>
        <w:t>2565- دیوان سروش أصفهانی‏</w:t>
      </w:r>
      <w:bookmarkEnd w:id="4608"/>
    </w:p>
    <w:p>
      <w:pPr>
        <w:pStyle w:val="BookText"/>
      </w:pPr>
      <w:r>
        <w:rPr>
          <w:rFonts w:ascii="IRNazanin" w:hAnsi="IRNazanin" w:eastAsia="IRNazanin" w:cs="IRNazanin"/>
          <w:lang w:bidi="fa-IR"/>
          <w:color w:val="111111"/>
          <w:sz w:val="28"/>
          <w:szCs w:val="28"/>
          <w:rtl/>
        </w:rPr>
        <w:t xml:space="preserve">الملقب شمس الشعراء، المیرزا محمد علی بن قنبر .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440" w:name="pg11704_121920"/>
    <w:bookmarkEnd w:id="440"/>
    <w:p>
      <w:pPr>
        <w:pStyle w:val="BookText"/>
      </w:pPr>
      <w:r>
        <w:rPr>
          <w:rFonts w:ascii="IRNazanin" w:hAnsi="IRNazanin" w:eastAsia="IRNazanin" w:cs="IRNazanin"/>
          <w:lang w:bidi="fa-IR"/>
          <w:color w:val="111111"/>
          <w:sz w:val="28"/>
          <w:szCs w:val="28"/>
          <w:rtl/>
        </w:rPr>
        <w:t xml:space="preserve">علی من محال سه ده. اشتغل بنظم الشعر من شبابه و جال فی بلاد إیران إلی أن تمکن و استقر فی تبریز مادحا لأعاظمها و لا سیما ولی العهد، ناصر الدین شاه و سافر فی خدمته إلی طهران و لقب منه شمس الشعراء و نظم غزوات أمیر المؤمنین علیه السلام  إلی أن توفی (1285) عن 57 سنة. ترجمه فی (مع- ج 2 ص 184) و أورد فیه ما یقرب من سبعمائة بیت من شعره. و مر له فی (ج 2- ص 294) ترجمه أشعار ألف لیلة نظما بالفارسیة. و قد اعترض علی أشعاره آخوندزاده القفقازی فی رسالة توجد فی مکتبة (سپهسالار) کما فی فهرسها (ج 2- ص 96). و توجد نسخه من دیوانه عند (الملک) برقم (5053) و توجد له هناک منظومة تحفه الوزراء أیضا برقم (4885). و بعد موته انتقل لقب شمس الشعراء إلی رضوان قاجار کما فی ترجمته فی (انجمن- 4).</w:t>
      </w:r>
    </w:p>
    <w:p>
      <w:pPr>
        <w:pStyle w:val="Heading3"/>
      </w:pPr>
      <w:bookmarkStart w:id="4609" w:name="_Toc3305"/>
      <w:r>
        <w:t>2566- دیوان سروش تفرشی‏</w:t>
      </w:r>
      <w:bookmarkEnd w:id="4609"/>
    </w:p>
    <w:p>
      <w:pPr>
        <w:pStyle w:val="BookText"/>
      </w:pPr>
      <w:r>
        <w:rPr>
          <w:rFonts w:ascii="IRNazanin" w:hAnsi="IRNazanin" w:eastAsia="IRNazanin" w:cs="IRNazanin"/>
          <w:lang w:bidi="fa-IR"/>
          <w:color w:val="111111"/>
          <w:sz w:val="28"/>
          <w:szCs w:val="28"/>
          <w:rtl/>
        </w:rPr>
        <w:t xml:space="preserve">لمیرزا إبراهیم بن محمد مهدی بن رضا قلی التفریشی الطهرانی الملقب مدائح‏نگار قبلا و مدیح الملک أخیرا، و المتخلص سروش ولد (1290) و توفی (1325) کما فی جریدة کانون شعراء لإسماعیل‏پور و له انجمن ناصری فی تاریخ القاجاریة و دقائق النظر فی حقایق السفر و ملستان طبع بخراسان فی عهد والیها آصف الدولة</w:t>
      </w:r>
    </w:p>
    <w:p>
      <w:pPr>
        <w:pStyle w:val="Heading3"/>
      </w:pPr>
      <w:bookmarkStart w:id="4610" w:name="_Toc3306"/>
      <w:r>
        <w:t>2567- دیوان سروشی أو شعره‏</w:t>
      </w:r>
      <w:bookmarkEnd w:id="4610"/>
    </w:p>
    <w:p>
      <w:pPr>
        <w:pStyle w:val="BookText"/>
      </w:pPr>
      <w:r>
        <w:rPr>
          <w:rFonts w:ascii="IRNazanin" w:hAnsi="IRNazanin" w:eastAsia="IRNazanin" w:cs="IRNazanin"/>
          <w:lang w:bidi="fa-IR"/>
          <w:color w:val="111111"/>
          <w:sz w:val="28"/>
          <w:szCs w:val="28"/>
          <w:rtl/>
        </w:rPr>
        <w:t xml:space="preserve">و هو المرتضی قلی بیک من غلمان البلاط الصفوی ترجمه و أورد شعره بعد الإطراء فی (نر 2 ص 46- 47) و فی (تغ- ص 64) سماه سروش‏</w:t>
      </w:r>
    </w:p>
    <w:p>
      <w:pPr>
        <w:pStyle w:val="Heading3"/>
      </w:pPr>
      <w:bookmarkStart w:id="4611" w:name="_Toc3307"/>
      <w:r>
        <w:t>2568- دیوان المولی سروی بیرجندی أو شعره‏</w:t>
      </w:r>
      <w:bookmarkEnd w:id="4611"/>
    </w:p>
    <w:p>
      <w:pPr>
        <w:pStyle w:val="BookText"/>
      </w:pPr>
      <w:r>
        <w:rPr>
          <w:rFonts w:ascii="IRNazanin" w:hAnsi="IRNazanin" w:eastAsia="IRNazanin" w:cs="IRNazanin"/>
          <w:lang w:bidi="fa-IR"/>
          <w:color w:val="111111"/>
          <w:sz w:val="28"/>
          <w:szCs w:val="28"/>
          <w:rtl/>
        </w:rPr>
        <w:t xml:space="preserve">هو ابن الحافظ علی البیرجندی القاری الذی لم یوجد له نظیر فی علم القراءة و التجوید فی عصر الفخری الذی ألف لطائف‏نامه فی (928) کما ذکره فی (مجتس 6- ص 157) فی عداد من لم یذکرهم الأمیر علی شیر، و ذکر غریب هیئته و أورد مطلع غزله و الظاهر اتحاده مع سروی خراسانی الآتی و یحتمل کونه ابن حافظ جامی المذکور</w:t>
      </w:r>
      <w:r>
        <w:rPr>
          <w:rStyle w:val="FootnoteReference"/>
        </w:rPr>
        <w:footnoteReference w:id="38"/>
      </w:r>
    </w:p>
    <w:p>
      <w:pPr>
        <w:pStyle w:val="Heading3"/>
      </w:pPr>
      <w:bookmarkStart w:id="4612" w:name="_Toc3308"/>
      <w:r>
        <w:t>دیوان المولی سروی الخراسانی‏</w:t>
      </w:r>
      <w:bookmarkEnd w:id="4612"/>
    </w:p>
    <w:p>
      <w:pPr>
        <w:pStyle w:val="BookText"/>
      </w:pPr>
      <w:r>
        <w:rPr>
          <w:rFonts w:ascii="IRNazanin" w:hAnsi="IRNazanin" w:eastAsia="IRNazanin" w:cs="IRNazanin"/>
          <w:lang w:bidi="fa-IR"/>
          <w:color w:val="111111"/>
          <w:sz w:val="28"/>
          <w:szCs w:val="28"/>
          <w:rtl/>
        </w:rPr>
        <w:t xml:space="preserve">ترجمه کذلک الحکیم شاه محمد القزوینی فی (بهش 2- ص 392) و أورد مطلع غزل له غیر ما ذکره الفخری و یحتمل اتحاده مع البیرجندی المذکور، لکون خراسان شاملا لبیرجند و غیرها ا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441" w:name="pg11704_121921"/>
    <w:bookmarkEnd w:id="441"/>
    <w:p>
      <w:pPr>
        <w:pStyle w:val="Heading3"/>
      </w:pPr>
      <w:bookmarkStart w:id="4613" w:name="_Toc3309"/>
      <w:r>
        <w:t>2569- دیوان سرهنگ أو شعره‏</w:t>
      </w:r>
      <w:bookmarkEnd w:id="4613"/>
    </w:p>
    <w:p>
      <w:pPr>
        <w:pStyle w:val="BookText"/>
      </w:pPr>
      <w:r>
        <w:rPr>
          <w:rFonts w:ascii="IRNazanin" w:hAnsi="IRNazanin" w:eastAsia="IRNazanin" w:cs="IRNazanin"/>
          <w:lang w:bidi="fa-IR"/>
          <w:color w:val="111111"/>
          <w:sz w:val="28"/>
          <w:szCs w:val="28"/>
          <w:rtl/>
        </w:rPr>
        <w:t xml:space="preserve">و اسمه موسی خان ترجمه و أورد شعره فی تذکره ممیز، الموجودة فی (المجلس) کما فی فهرسها (3: 164) و قال لاقاه فی (1299) و کان یتخلص سرهنگ‏</w:t>
      </w:r>
    </w:p>
    <w:p>
      <w:pPr>
        <w:pStyle w:val="Heading3"/>
      </w:pPr>
      <w:bookmarkStart w:id="4614" w:name="_Toc3310"/>
      <w:r>
        <w:t>2570- دیوان سرهنگ تبریزی‏</w:t>
      </w:r>
      <w:bookmarkEnd w:id="4614"/>
    </w:p>
    <w:p>
      <w:pPr>
        <w:pStyle w:val="BookText"/>
      </w:pPr>
      <w:r>
        <w:rPr>
          <w:rFonts w:ascii="IRNazanin" w:hAnsi="IRNazanin" w:eastAsia="IRNazanin" w:cs="IRNazanin"/>
          <w:lang w:bidi="fa-IR"/>
          <w:color w:val="111111"/>
          <w:sz w:val="28"/>
          <w:szCs w:val="28"/>
          <w:rtl/>
        </w:rPr>
        <w:t xml:space="preserve">اسمه حسن خان، لقب سرهنگ من قبل نائب السلطنة عباس میرزا و آباؤه کانوا من أهل الدیوان فی تبریز کما ترجمه معاصره فی (مع ج 2 ص 183) و فی (دجا- ص 181) و أورد بعض شعره، و تاریخه لوفاة الحاج میرزا مهدی القاضی الطباطبائی التبریزی بقوله (مسکن ببهشت کرده سید مهدی) مطابق (1241) و أورد شعره فی (پژمان- ص 182)</w:t>
      </w:r>
    </w:p>
    <w:p>
      <w:pPr>
        <w:pStyle w:val="Heading3"/>
      </w:pPr>
      <w:bookmarkStart w:id="4615" w:name="_Toc3311"/>
      <w:r>
        <w:t>2571- دیوان سری پوده‏ای‏</w:t>
      </w:r>
      <w:bookmarkEnd w:id="4615"/>
    </w:p>
    <w:p>
      <w:pPr>
        <w:pStyle w:val="BookText"/>
      </w:pPr>
      <w:r>
        <w:rPr>
          <w:rFonts w:ascii="IRNazanin" w:hAnsi="IRNazanin" w:eastAsia="IRNazanin" w:cs="IRNazanin"/>
          <w:lang w:bidi="fa-IR"/>
          <w:color w:val="111111"/>
          <w:sz w:val="28"/>
          <w:szCs w:val="28"/>
          <w:rtl/>
        </w:rPr>
        <w:t xml:space="preserve">هو المیر إبراهیم بن أبی القاسم ولد فی (1310) بقریة پوده من سمیرم السفلی بأصفهان و تلمذ علی المیرزا یحیی البیدآبادی الکاشی و صهره له آخرین قانون و دیوان شعر یشتمل علی خمسة آلاف بیت و مجموعة طبع فی (24 ص) فی (1346) و مثنوی مرغابیه أو سفرنامه و مکاشفات و مات فی رمضان (1369) فی أحد المارستانات بطهران و دفن بقم ترجمه و أورد شعره فی (شعراء معاصر أصفهان- ص 242 و ابنه أبو القاسم بن إبراهیم بن أبی القاسم شاعر یتخلص سری أیضا و هو حی یرزق، ولد (1351)</w:t>
      </w:r>
    </w:p>
    <w:p>
      <w:pPr>
        <w:pStyle w:val="Heading3"/>
      </w:pPr>
      <w:bookmarkStart w:id="4616" w:name="_Toc3312"/>
      <w:r>
        <w:t>2572- دیوان مولانا سری ترشیزی أو شعره‏</w:t>
      </w:r>
      <w:bookmarkEnd w:id="4616"/>
    </w:p>
    <w:p>
      <w:pPr>
        <w:pStyle w:val="BookText"/>
      </w:pPr>
      <w:r>
        <w:rPr>
          <w:rFonts w:ascii="IRNazanin" w:hAnsi="IRNazanin" w:eastAsia="IRNazanin" w:cs="IRNazanin"/>
          <w:lang w:bidi="fa-IR"/>
          <w:color w:val="111111"/>
          <w:sz w:val="28"/>
          <w:szCs w:val="28"/>
          <w:rtl/>
        </w:rPr>
        <w:t xml:space="preserve">و هو ابن علی شهاب الدین الترشیزی ملازم السلطان محمد بایسنقر الآتی ترجمه المیر علی شیر فی (مجن 3- ص 67 و 240) کما ترجم والده فی (لط 1- ص 17) و أورد مطلع غزلهما</w:t>
      </w:r>
    </w:p>
    <w:p>
      <w:pPr>
        <w:pStyle w:val="Heading3"/>
      </w:pPr>
      <w:bookmarkStart w:id="4617" w:name="_Toc3313"/>
      <w:r>
        <w:t>دیوان سری الرفاء</w:t>
      </w:r>
      <w:bookmarkEnd w:id="4617"/>
    </w:p>
    <w:p>
      <w:pPr>
        <w:pStyle w:val="BookText"/>
      </w:pPr>
      <w:r>
        <w:rPr>
          <w:rFonts w:ascii="IRNazanin" w:hAnsi="IRNazanin" w:eastAsia="IRNazanin" w:cs="IRNazanin"/>
          <w:lang w:bidi="fa-IR"/>
          <w:color w:val="111111"/>
          <w:sz w:val="28"/>
          <w:szCs w:val="28"/>
          <w:rtl/>
        </w:rPr>
        <w:t xml:space="preserve">مر بعنوان دیوان الرفاء</w:t>
      </w:r>
    </w:p>
    <w:p>
      <w:pPr>
        <w:pStyle w:val="Heading3"/>
      </w:pPr>
      <w:bookmarkStart w:id="4618" w:name="_Toc3314"/>
      <w:r>
        <w:t>2573- دیوان سعادت أصفهانی‏</w:t>
      </w:r>
      <w:bookmarkEnd w:id="4618"/>
    </w:p>
    <w:p>
      <w:pPr>
        <w:pStyle w:val="BookText"/>
      </w:pPr>
      <w:r>
        <w:rPr>
          <w:rFonts w:ascii="IRNazanin" w:hAnsi="IRNazanin" w:eastAsia="IRNazanin" w:cs="IRNazanin"/>
          <w:lang w:bidi="fa-IR"/>
          <w:color w:val="111111"/>
          <w:sz w:val="28"/>
          <w:szCs w:val="28"/>
          <w:rtl/>
        </w:rPr>
        <w:t xml:space="preserve">و اسمه حسین سعادت النوری الأصفهانی یسکن طهران و له گلهای سعادت و شهرهای تاریخی ایران و هشت سال در میان ایرانیان کلها مطبوعات و له شعر کثیر ترجمه و أورد شعره فی (شعرای معاصر أصفهان- ص 244- 246)</w:t>
      </w:r>
    </w:p>
    <w:p>
      <w:pPr>
        <w:pStyle w:val="Heading3"/>
      </w:pPr>
      <w:bookmarkStart w:id="4619" w:name="_Toc3315"/>
      <w:r>
        <w:t>2574- دیوان میر سعادت لاهوری أو شعره‏</w:t>
      </w:r>
      <w:bookmarkEnd w:id="4619"/>
    </w:p>
    <w:p>
      <w:pPr>
        <w:pStyle w:val="BookText"/>
      </w:pPr>
      <w:r>
        <w:rPr>
          <w:rFonts w:ascii="IRNazanin" w:hAnsi="IRNazanin" w:eastAsia="IRNazanin" w:cs="IRNazanin"/>
          <w:lang w:bidi="fa-IR"/>
          <w:color w:val="111111"/>
          <w:sz w:val="28"/>
          <w:szCs w:val="28"/>
          <w:rtl/>
        </w:rPr>
        <w:t xml:space="preserve">ترجمه معاصره النصرآبادی فی (نر 11- ص 451) و ذکر له مطلعین و هذه الرباعیة: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442" w:name="pg11704_121922"/>
    <w:bookmarkEnd w:id="442"/>
    <w:p>
      <w:pPr>
        <w:pStyle w:val="BookText"/>
      </w:pPr>
      <w:r>
        <w:rPr>
          <w:rFonts w:ascii="IRNazanin" w:hAnsi="IRNazanin" w:eastAsia="IRNazanin" w:cs="IRNazanin"/>
          <w:lang w:bidi="fa-IR"/>
          <w:color w:val="111111"/>
          <w:sz w:val="28"/>
          <w:szCs w:val="28"/>
          <w:rtl/>
        </w:rPr>
        <w:t xml:space="preserve">مدح علی از عین یقین است مرا</w:t>
      </w:r>
    </w:p>
    <w:p>
      <w:pPr>
        <w:pStyle w:val="BookText"/>
      </w:pPr>
      <w:r>
        <w:rPr>
          <w:rFonts w:ascii="IRNazanin" w:hAnsi="IRNazanin" w:eastAsia="IRNazanin" w:cs="IRNazanin"/>
          <w:lang w:bidi="fa-IR"/>
          <w:color w:val="111111"/>
          <w:sz w:val="28"/>
          <w:szCs w:val="28"/>
          <w:rtl/>
        </w:rPr>
        <w:t xml:space="preserve">رکن دوم از أصول دین است مرا</w:t>
      </w:r>
    </w:p>
    <w:p>
      <w:pPr>
        <w:pStyle w:val="BookText"/>
      </w:pPr>
      <w:r>
        <w:rPr>
          <w:rFonts w:ascii="IRNazanin" w:hAnsi="IRNazanin" w:eastAsia="IRNazanin" w:cs="IRNazanin"/>
          <w:lang w:bidi="fa-IR"/>
          <w:color w:val="111111"/>
          <w:sz w:val="28"/>
          <w:szCs w:val="28"/>
          <w:rtl/>
        </w:rPr>
        <w:t xml:space="preserve">آن را کنم آشکار و این را پنهان‏</w:t>
      </w:r>
    </w:p>
    <w:p>
      <w:pPr>
        <w:pStyle w:val="BookText"/>
      </w:pPr>
      <w:r>
        <w:rPr>
          <w:rFonts w:ascii="IRNazanin" w:hAnsi="IRNazanin" w:eastAsia="IRNazanin" w:cs="IRNazanin"/>
          <w:lang w:bidi="fa-IR"/>
          <w:color w:val="111111"/>
          <w:sz w:val="28"/>
          <w:szCs w:val="28"/>
          <w:rtl/>
        </w:rPr>
        <w:t xml:space="preserve">ذکر خفی و جلی همین است مرا</w:t>
      </w:r>
    </w:p>
    <w:p>
      <w:pPr>
        <w:pStyle w:val="Heading3"/>
      </w:pPr>
      <w:bookmarkStart w:id="4620" w:name="_Toc3316"/>
      <w:r>
        <w:t>2575- دیوان سعدای أردستانی أو شعره‏</w:t>
      </w:r>
      <w:bookmarkEnd w:id="4620"/>
    </w:p>
    <w:p>
      <w:pPr>
        <w:pStyle w:val="BookText"/>
      </w:pPr>
      <w:r>
        <w:rPr>
          <w:rFonts w:ascii="IRNazanin" w:hAnsi="IRNazanin" w:eastAsia="IRNazanin" w:cs="IRNazanin"/>
          <w:lang w:bidi="fa-IR"/>
          <w:color w:val="111111"/>
          <w:sz w:val="28"/>
          <w:szCs w:val="28"/>
          <w:rtl/>
        </w:rPr>
        <w:t xml:space="preserve">من نواحی أصفهان کان من شعراء عصر الشاه عباس الأول الصفوی سافر إلی الهند و رجع ترجمه و أورد شعره فی (تش- ص 177) و (روشن- ص 291) و سماه فی (گلشن- ص 204) و ید بیضاء سعدی بدل سعدا و سماه فی (نر 9- ص 283) سعیدا و قال مات بعد رجوعه من دکن و أورد قصیدته فی مدح الشاه عباس‏</w:t>
      </w:r>
    </w:p>
    <w:p>
      <w:pPr>
        <w:pStyle w:val="Heading3"/>
      </w:pPr>
      <w:bookmarkStart w:id="4621" w:name="_Toc3317"/>
      <w:r>
        <w:t>2576- دیوان سعد بخاری‏</w:t>
      </w:r>
      <w:bookmarkEnd w:id="4621"/>
    </w:p>
    <w:p>
      <w:pPr>
        <w:pStyle w:val="BookText"/>
      </w:pPr>
      <w:r>
        <w:rPr>
          <w:rFonts w:ascii="IRNazanin" w:hAnsi="IRNazanin" w:eastAsia="IRNazanin" w:cs="IRNazanin"/>
          <w:lang w:bidi="fa-IR"/>
          <w:color w:val="111111"/>
          <w:sz w:val="28"/>
          <w:szCs w:val="28"/>
          <w:rtl/>
        </w:rPr>
        <w:t xml:space="preserve">و هو الحافظ سعد من أهل بخاری کما وصفه کذلک فی (نر 15- ص 527) و قال المیر علی شیر فی (مجن 1- ص 8 و 184): کان من مریدی المیر قاسم الأنوار (المتوفی (837) و قد طرده المیر من الخانقاه توجد نسخه من دیوانه فی مکتبة دانشگاه طهران کما ذکر فی فهرسه (ج 2 ص 241) تشتمل علی (360 بیت 61 غزلا) و قد خلط فی (دجا- ص 181) بین سعد البخاری و سعد التبریزی‏</w:t>
      </w:r>
    </w:p>
    <w:p>
      <w:pPr>
        <w:pStyle w:val="Heading3"/>
      </w:pPr>
      <w:bookmarkStart w:id="4622" w:name="_Toc3318"/>
      <w:r>
        <w:t>2577- دیوان سعد بها جامی أو شعره‏</w:t>
      </w:r>
      <w:bookmarkEnd w:id="4622"/>
    </w:p>
    <w:p>
      <w:pPr>
        <w:pStyle w:val="BookText"/>
      </w:pPr>
      <w:r>
        <w:rPr>
          <w:rFonts w:ascii="IRNazanin" w:hAnsi="IRNazanin" w:eastAsia="IRNazanin" w:cs="IRNazanin"/>
          <w:lang w:bidi="fa-IR"/>
          <w:color w:val="111111"/>
          <w:sz w:val="28"/>
          <w:szCs w:val="28"/>
          <w:rtl/>
        </w:rPr>
        <w:t xml:space="preserve">ترجمه و أورد شعره فی (تاریخ گزیده للمستوفی (ص 828) من طبع أروپا و کذا فی (بهش 1- ص 339) للشاه محمد القزوینی و رجال حبیب السیر (ص 27)</w:t>
      </w:r>
    </w:p>
    <w:p>
      <w:pPr>
        <w:pStyle w:val="Heading3"/>
      </w:pPr>
      <w:bookmarkStart w:id="4623" w:name="_Toc3319"/>
      <w:r>
        <w:t>2578- دیوان سعد تبریزی أو شعره‏</w:t>
      </w:r>
      <w:bookmarkEnd w:id="4623"/>
    </w:p>
    <w:p>
      <w:pPr>
        <w:pStyle w:val="BookText"/>
      </w:pPr>
      <w:r>
        <w:rPr>
          <w:rFonts w:ascii="IRNazanin" w:hAnsi="IRNazanin" w:eastAsia="IRNazanin" w:cs="IRNazanin"/>
          <w:lang w:bidi="fa-IR"/>
          <w:color w:val="111111"/>
          <w:sz w:val="28"/>
          <w:szCs w:val="28"/>
          <w:rtl/>
        </w:rPr>
        <w:t xml:space="preserve">و اسمه جلال الدین سعد الله التبریزی الحافظ معارض سعد الدین الخطیب فی منصب الخطابة، کذا وصفه فی (دجا- ص 181) ثم قال إنه کان مرید القاسم أنوار و أورد کلما قیل فی حق سعد بخاری فخلط بینهما و الظاهر أن منشاه اشتباهه ما وقع فی (روشن- ص 291)</w:t>
      </w:r>
    </w:p>
    <w:p>
      <w:pPr>
        <w:pStyle w:val="Heading3"/>
      </w:pPr>
      <w:bookmarkStart w:id="4624" w:name="_Toc3320"/>
      <w:r>
        <w:t>دیوان سعد تهرانی‏</w:t>
      </w:r>
      <w:bookmarkEnd w:id="4624"/>
    </w:p>
    <w:p>
      <w:pPr>
        <w:pStyle w:val="BookText"/>
      </w:pPr>
      <w:r>
        <w:rPr>
          <w:rFonts w:ascii="IRNazanin" w:hAnsi="IRNazanin" w:eastAsia="IRNazanin" w:cs="IRNazanin"/>
          <w:lang w:bidi="fa-IR"/>
          <w:color w:val="111111"/>
          <w:sz w:val="28"/>
          <w:szCs w:val="28"/>
          <w:rtl/>
        </w:rPr>
        <w:t xml:space="preserve">مر بعنوان دیوان أمیدی الطهرانی فی (ص 97)</w:t>
      </w:r>
    </w:p>
    <w:p>
      <w:pPr>
        <w:pStyle w:val="Heading3"/>
      </w:pPr>
      <w:bookmarkStart w:id="4625" w:name="_Toc3321"/>
      <w:r>
        <w:t>2579- دیوان سعد تونی أو شعره‏</w:t>
      </w:r>
      <w:bookmarkEnd w:id="4625"/>
    </w:p>
    <w:p>
      <w:pPr>
        <w:pStyle w:val="BookText"/>
      </w:pPr>
      <w:r>
        <w:rPr>
          <w:rFonts w:ascii="IRNazanin" w:hAnsi="IRNazanin" w:eastAsia="IRNazanin" w:cs="IRNazanin"/>
          <w:lang w:bidi="fa-IR"/>
          <w:color w:val="111111"/>
          <w:sz w:val="28"/>
          <w:szCs w:val="28"/>
          <w:rtl/>
        </w:rPr>
        <w:t xml:space="preserve">و هو سعد الله بن مقصود بیک التونی سافر إلی الهند و رجع إلی إیران و سماه فی آفتاب عالمتاب سعید، کذا فی (روشن- ص 293) و أورد شعره‏</w:t>
      </w:r>
    </w:p>
    <w:p>
      <w:pPr>
        <w:pStyle w:val="Heading3"/>
      </w:pPr>
      <w:bookmarkStart w:id="4626" w:name="_Toc3322"/>
      <w:r>
        <w:t>دیوان سعد جامی‏</w:t>
      </w:r>
      <w:bookmarkEnd w:id="4626"/>
    </w:p>
    <w:p>
      <w:pPr>
        <w:pStyle w:val="BookText"/>
      </w:pPr>
      <w:r>
        <w:rPr>
          <w:rFonts w:ascii="IRNazanin" w:hAnsi="IRNazanin" w:eastAsia="IRNazanin" w:cs="IRNazanin"/>
          <w:lang w:bidi="fa-IR"/>
          <w:color w:val="111111"/>
          <w:sz w:val="28"/>
          <w:szCs w:val="28"/>
          <w:rtl/>
        </w:rPr>
        <w:t xml:space="preserve">مر بعنوان سعد بها جامی‏</w:t>
      </w:r>
    </w:p>
    <w:p>
      <w:pPr>
        <w:pStyle w:val="Heading3"/>
      </w:pPr>
      <w:bookmarkStart w:id="4627" w:name="_Toc3323"/>
      <w:r>
        <w:t>دیوان سعد حموی‏</w:t>
      </w:r>
      <w:bookmarkEnd w:id="4627"/>
    </w:p>
    <w:p>
      <w:pPr>
        <w:pStyle w:val="BookText"/>
      </w:pPr>
      <w:r>
        <w:rPr>
          <w:rFonts w:ascii="IRNazanin" w:hAnsi="IRNazanin" w:eastAsia="IRNazanin" w:cs="IRNazanin"/>
          <w:lang w:bidi="fa-IR"/>
          <w:color w:val="111111"/>
          <w:sz w:val="28"/>
          <w:szCs w:val="28"/>
          <w:rtl/>
        </w:rPr>
        <w:t xml:space="preserve">راجع دیوان سعد الدین الحموی‏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443" w:name="pg11704_121923"/>
    <w:bookmarkEnd w:id="443"/>
    <w:p>
      <w:pPr>
        <w:pStyle w:val="Heading3"/>
      </w:pPr>
      <w:bookmarkStart w:id="4628" w:name="_Toc3324"/>
      <w:r>
        <w:t>دیوان سعد دهلوی‏</w:t>
      </w:r>
      <w:bookmarkEnd w:id="4628"/>
    </w:p>
    <w:p>
      <w:pPr>
        <w:pStyle w:val="BookText"/>
      </w:pPr>
      <w:r>
        <w:rPr>
          <w:rFonts w:ascii="IRNazanin" w:hAnsi="IRNazanin" w:eastAsia="IRNazanin" w:cs="IRNazanin"/>
          <w:lang w:bidi="fa-IR"/>
          <w:color w:val="111111"/>
          <w:sz w:val="28"/>
          <w:szCs w:val="28"/>
          <w:rtl/>
        </w:rPr>
        <w:t xml:space="preserve">راجع دیوان سعد الدین خلیفة</w:t>
      </w:r>
    </w:p>
    <w:p>
      <w:pPr>
        <w:pStyle w:val="Heading3"/>
      </w:pPr>
      <w:bookmarkStart w:id="4629" w:name="_Toc3325"/>
      <w:r>
        <w:t>2580- دیوان سعد الدین الحموی أو شعره‏</w:t>
      </w:r>
      <w:bookmarkEnd w:id="4629"/>
    </w:p>
    <w:p>
      <w:pPr>
        <w:pStyle w:val="BookText"/>
      </w:pPr>
      <w:r>
        <w:rPr>
          <w:rFonts w:ascii="IRNazanin" w:hAnsi="IRNazanin" w:eastAsia="IRNazanin" w:cs="IRNazanin"/>
          <w:lang w:bidi="fa-IR"/>
          <w:color w:val="111111"/>
          <w:sz w:val="28"/>
          <w:szCs w:val="28"/>
          <w:rtl/>
        </w:rPr>
        <w:t xml:space="preserve">و هو محمد بن المؤید بن أبی بکر بن حسن بن محمد بن حموة الجوینی المتوفی (650) و هو والد صدر الدین إبراهیم مؤلف فرائد السمطین کان من أصحاب نجم الدین الکبری أرخ وفاته فی الشذرات و ترجمه بعنوان محمد بن المؤید بن عبد الله بن علی الصوفی، سکن صفح قاسیون مدة ثم رجع إلی خراسان و توفی هناک أقول أورد شعره فی (حسینی- ص 140) و فی (تش- ص 72) و قال إنه توفی یوم الأضحی و إن له سجنجل الأرواح و غیره و قد خلط بعض شعره فی أشعار أبی سعید أبی الخیر کما فی مقدمه دیوان الأخیر (ص 56) من طبع طهران و ترجمه أیضا فی (ض- ص 135) و (مع- ج 1 ص 244) و (تغ- ص 56) و (گلشن- ص 203) و توجد شعره فی مشیخة کنز السالکین المذکور فی (ج 8 ص 187)</w:t>
      </w:r>
    </w:p>
    <w:p>
      <w:pPr>
        <w:pStyle w:val="Heading3"/>
      </w:pPr>
      <w:bookmarkStart w:id="4630" w:name="_Toc3326"/>
      <w:r>
        <w:t>2581- دیوان سعد الدین خلیفة دهلوی أو شعره‏</w:t>
      </w:r>
      <w:bookmarkEnd w:id="4630"/>
    </w:p>
    <w:p>
      <w:pPr>
        <w:pStyle w:val="BookText"/>
      </w:pPr>
      <w:r>
        <w:rPr>
          <w:rFonts w:ascii="IRNazanin" w:hAnsi="IRNazanin" w:eastAsia="IRNazanin" w:cs="IRNazanin"/>
          <w:lang w:bidi="fa-IR"/>
          <w:color w:val="111111"/>
          <w:sz w:val="28"/>
          <w:szCs w:val="28"/>
          <w:rtl/>
        </w:rPr>
        <w:t xml:space="preserve">کان معلما أورد شعره فی مدح شاه‏جهان فی (روشن- ص 292) و أورد شعره فی (مع- ج 1 ص 247)</w:t>
      </w:r>
    </w:p>
    <w:p>
      <w:pPr>
        <w:pStyle w:val="Heading3"/>
      </w:pPr>
      <w:bookmarkStart w:id="4631" w:name="_Toc3327"/>
      <w:r>
        <w:t>دیوان سعد شیرازی‏</w:t>
      </w:r>
      <w:bookmarkEnd w:id="4631"/>
    </w:p>
    <w:p>
      <w:pPr>
        <w:pStyle w:val="BookText"/>
      </w:pPr>
      <w:r>
        <w:rPr>
          <w:rFonts w:ascii="IRNazanin" w:hAnsi="IRNazanin" w:eastAsia="IRNazanin" w:cs="IRNazanin"/>
          <w:lang w:bidi="fa-IR"/>
          <w:color w:val="111111"/>
          <w:sz w:val="28"/>
          <w:szCs w:val="28"/>
          <w:rtl/>
        </w:rPr>
        <w:t xml:space="preserve">راجع دیوان سعد گل‏</w:t>
      </w:r>
    </w:p>
    <w:p>
      <w:pPr>
        <w:pStyle w:val="Heading3"/>
      </w:pPr>
      <w:bookmarkStart w:id="4632" w:name="_Toc3328"/>
      <w:r>
        <w:t>2582- دیوان سعد گل أو شعره‏</w:t>
      </w:r>
      <w:bookmarkEnd w:id="4632"/>
    </w:p>
    <w:p>
      <w:pPr>
        <w:pStyle w:val="BookText"/>
      </w:pPr>
      <w:r>
        <w:rPr>
          <w:rFonts w:ascii="IRNazanin" w:hAnsi="IRNazanin" w:eastAsia="IRNazanin" w:cs="IRNazanin"/>
          <w:lang w:bidi="fa-IR"/>
          <w:color w:val="111111"/>
          <w:sz w:val="28"/>
          <w:szCs w:val="28"/>
          <w:rtl/>
        </w:rPr>
        <w:t xml:space="preserve">و هو من شعراء شیراز و من مریدی الخواجة حافظ الشیرازی، و دفن عند قبره کما فی (حسینی- ص 152) و أورد شعره فی (هفت- ص 258)</w:t>
      </w:r>
    </w:p>
    <w:p>
      <w:pPr>
        <w:pStyle w:val="Heading3"/>
      </w:pPr>
      <w:bookmarkStart w:id="4633" w:name="_Toc3329"/>
      <w:r>
        <w:t>2583- دیوان سعد هروی أو شعره‏</w:t>
      </w:r>
      <w:bookmarkEnd w:id="4633"/>
    </w:p>
    <w:p>
      <w:pPr>
        <w:pStyle w:val="BookText"/>
      </w:pPr>
      <w:r>
        <w:rPr>
          <w:rFonts w:ascii="IRNazanin" w:hAnsi="IRNazanin" w:eastAsia="IRNazanin" w:cs="IRNazanin"/>
          <w:lang w:bidi="fa-IR"/>
          <w:color w:val="111111"/>
          <w:sz w:val="28"/>
          <w:szCs w:val="28"/>
          <w:rtl/>
        </w:rPr>
        <w:t xml:space="preserve">ترجمه و أورد شعره فی (مجن 3- ص 85 و 259) و أورد شعره و قال لم یعرف مولده و فی نسخه جاء سعید. و عده فی شاهد صادق من المتوفین فی (766). فهو غیر سعید الهروی المتوفی (649) المذکور فی (دولت 3) و قد خلط بینهما فی (مع- ج 1 ص 248). و کذلک هو غیر سعد کاشغری النقش‏بندی المتوفی (660) کما فی شاهد صادق و قبره مزار کما یظهر من (مجن 1 ص 23) و المترجم فی خزینة الأصفیاء و ریحانة الأدب.</w:t>
      </w:r>
    </w:p>
    <w:p>
      <w:pPr>
        <w:pStyle w:val="Heading3"/>
      </w:pPr>
      <w:bookmarkStart w:id="4634" w:name="_Toc3330"/>
      <w:r>
        <w:t>دیوان سعدی أردستانی‏</w:t>
      </w:r>
      <w:bookmarkEnd w:id="4634"/>
    </w:p>
    <w:p>
      <w:pPr>
        <w:pStyle w:val="BookText"/>
      </w:pPr>
      <w:r>
        <w:rPr>
          <w:rFonts w:ascii="IRNazanin" w:hAnsi="IRNazanin" w:eastAsia="IRNazanin" w:cs="IRNazanin"/>
          <w:lang w:bidi="fa-IR"/>
          <w:color w:val="111111"/>
          <w:sz w:val="28"/>
          <w:szCs w:val="28"/>
          <w:rtl/>
        </w:rPr>
        <w:t xml:space="preserve">مر بعنوان سعدای أردستانی.</w:t>
      </w:r>
    </w:p>
    <w:p>
      <w:pPr>
        <w:pStyle w:val="Heading3"/>
      </w:pPr>
      <w:bookmarkStart w:id="4635" w:name="_Toc3331"/>
      <w:r>
        <w:t>2584- دیوان سعدی شیرازی‏</w:t>
      </w:r>
      <w:bookmarkEnd w:id="4635"/>
    </w:p>
    <w:p>
      <w:pPr>
        <w:pStyle w:val="BookText"/>
      </w:pPr>
      <w:r>
        <w:rPr>
          <w:rFonts w:ascii="IRNazanin" w:hAnsi="IRNazanin" w:eastAsia="IRNazanin" w:cs="IRNazanin"/>
          <w:lang w:bidi="fa-IR"/>
          <w:color w:val="111111"/>
          <w:sz w:val="28"/>
          <w:szCs w:val="28"/>
          <w:rtl/>
        </w:rPr>
        <w:t xml:space="preserve">هو الحکیم العارف مشرف بن مصلح الشیرازی، أکبر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شعراء إیران فی القرن السابع و أعظمهم فی الغزل علی الإطلاق‏1 کان یمدح السلطان سعد الدین زنگی فتخلص باسمه فی شعره. ولد فی العشر الأول من تلک المائة، و مات فی (17 ذی الحجة- (691) بشیراز ظاهرا، و رأیت تاریخ وفاته نظما فی ظهر نسخه من شرح گلستان بالعربیة موجودة فی مکتبة دانشگاه تهران برقم (230) و هو:</w:t>
      </w:r>
    </w:p>
    <w:p>
      <w:pPr>
        <w:pStyle w:val="BookText"/>
      </w:pPr>
      <w:r>
        <w:rPr>
          <w:rFonts w:ascii="IRNazanin" w:hAnsi="IRNazanin" w:eastAsia="IRNazanin" w:cs="IRNazanin"/>
          <w:lang w:bidi="fa-IR"/>
          <w:color w:val="111111"/>
          <w:sz w:val="28"/>
          <w:szCs w:val="28"/>
          <w:rtl/>
        </w:rPr>
        <w:t xml:space="preserve">همای روح پاک شیخ سعدی‏</w:t>
      </w:r>
    </w:p>
    <w:p>
      <w:pPr>
        <w:pStyle w:val="BookText"/>
      </w:pPr>
      <w:r>
        <w:rPr>
          <w:rFonts w:ascii="IRNazanin" w:hAnsi="IRNazanin" w:eastAsia="IRNazanin" w:cs="IRNazanin"/>
          <w:lang w:bidi="fa-IR"/>
          <w:color w:val="111111"/>
          <w:sz w:val="28"/>
          <w:szCs w:val="28"/>
          <w:rtl/>
        </w:rPr>
        <w:t xml:space="preserve">مه ذی حجة بود و در خصا سال‏</w:t>
      </w:r>
    </w:p>
    <w:p>
      <w:pPr>
        <w:pStyle w:val="BookText"/>
      </w:pPr>
      <w:r>
        <w:rPr>
          <w:rFonts w:ascii="IRNazanin" w:hAnsi="IRNazanin" w:eastAsia="IRNazanin" w:cs="IRNazanin"/>
          <w:lang w:bidi="fa-IR"/>
          <w:color w:val="111111"/>
          <w:sz w:val="28"/>
          <w:szCs w:val="28"/>
          <w:rtl/>
        </w:rPr>
        <w:t xml:space="preserve">شب سه‏شنبه و هنگام صبح‏</w:t>
      </w:r>
    </w:p>
    <w:p>
      <w:pPr>
        <w:pStyle w:val="BookText"/>
      </w:pPr>
      <w:r>
        <w:rPr>
          <w:rFonts w:ascii="IRNazanin" w:hAnsi="IRNazanin" w:eastAsia="IRNazanin" w:cs="IRNazanin"/>
          <w:lang w:bidi="fa-IR"/>
          <w:color w:val="111111"/>
          <w:sz w:val="28"/>
          <w:szCs w:val="28"/>
          <w:rtl/>
        </w:rPr>
        <w:t xml:space="preserve">بیفشاند از غبار تن ید و بال‏</w:t>
      </w:r>
    </w:p>
    <w:p>
      <w:pPr>
        <w:pStyle w:val="BookText"/>
      </w:pPr>
      <w:r>
        <w:rPr>
          <w:rFonts w:ascii="IRNazanin" w:hAnsi="IRNazanin" w:eastAsia="IRNazanin" w:cs="IRNazanin"/>
          <w:lang w:bidi="fa-IR"/>
          <w:color w:val="111111"/>
          <w:sz w:val="28"/>
          <w:szCs w:val="28"/>
          <w:rtl/>
        </w:rPr>
        <w:t xml:space="preserve">1 و قد عده فی شاهد صادق من المتوفین فی (691) و أما غیره فقد ذکروا (690) إلی (694) و ترجم سعدی فی الحوادث الجامعة و فی مرآة الخیال (ص 44) و (تش- ص 269) و (حسینی- ص 142) و (دولت 4) و جمیع التذاکر المؤلفة بعده. ثم فی (1356) بمناسبة مضی سبعمائة عام علی تألیف گلستان أقیم فی طهران مهرجان لسعدی و کتب فی أحواله من المقالات ما لا یحصی و رسالات کثیرة رأیت منها حیات سعدی لنصر الله سروش فی (141 ص) و سرگذشت شیخ بزرگوار لمحمد حسن الأنصاری فی (64 ص) و تعلیم و تربیت از نظر سعدی لجناب‏زاده فی (164) و سخن سعدی لقاسم تویسرکانی فی (84 ص) و سعدی‏نامه ضمیمة لمجلة تعلیم و تربیت فی (222 ص) و زندگی سعدی لبدیع پاک بین فی (15 ص).</w:t>
      </w:r>
    </w:p>
    <w:p>
      <w:pPr>
        <w:pStyle w:val="BookText"/>
      </w:pPr>
      <w:r>
        <w:rPr>
          <w:rFonts w:ascii="IRNazanin" w:hAnsi="IRNazanin" w:eastAsia="IRNazanin" w:cs="IRNazanin"/>
          <w:lang w:bidi="fa-IR"/>
          <w:color w:val="111111"/>
          <w:sz w:val="28"/>
          <w:szCs w:val="28"/>
          <w:rtl/>
        </w:rPr>
        <w:t xml:space="preserve">و الموجود الیوم من دیوان سعدی هو القسم المنظوم من کلیاته المطبوعة مکررا و هو:</w:t>
      </w:r>
    </w:p>
    <w:p>
      <w:pPr>
        <w:pStyle w:val="BookText"/>
      </w:pPr>
      <w:r>
        <w:rPr>
          <w:rStyle w:val="FootnoteReference"/>
        </w:rPr>
        <w:footnoteReference w:id="39"/>
      </w:r>
    </w:p>
    <w:p>
      <w:pPr>
        <w:pStyle w:val="BookText"/>
      </w:pPr>
      <w:r>
        <w:rPr>
          <w:rFonts w:ascii="IRNazanin" w:hAnsi="IRNazanin" w:eastAsia="IRNazanin" w:cs="IRNazanin"/>
          <w:lang w:bidi="fa-IR"/>
          <w:color w:val="111111"/>
          <w:sz w:val="28"/>
          <w:szCs w:val="28"/>
          <w:rtl/>
        </w:rPr>
        <w:t xml:space="preserve">هر چند که لا نبی بعدی‏</w:t>
      </w:r>
    </w:p>
    <w:p>
      <w:pPr>
        <w:pStyle w:val="BookText"/>
      </w:pPr>
      <w:r>
        <w:rPr>
          <w:rFonts w:ascii="IRNazanin" w:hAnsi="IRNazanin" w:eastAsia="IRNazanin" w:cs="IRNazanin"/>
          <w:lang w:bidi="fa-IR"/>
          <w:color w:val="111111"/>
          <w:sz w:val="28"/>
          <w:szCs w:val="28"/>
          <w:rtl/>
        </w:rPr>
        <w:t xml:space="preserve">أوصاف و قصائد و غزل را</w:t>
      </w:r>
    </w:p>
    <w:p>
      <w:pPr>
        <w:pStyle w:val="BookText"/>
      </w:pPr>
      <w:r>
        <w:rPr>
          <w:rFonts w:ascii="IRNazanin" w:hAnsi="IRNazanin" w:eastAsia="IRNazanin" w:cs="IRNazanin"/>
          <w:lang w:bidi="fa-IR"/>
          <w:color w:val="111111"/>
          <w:sz w:val="28"/>
          <w:szCs w:val="28"/>
          <w:rtl/>
        </w:rPr>
        <w:t xml:space="preserve">فردوسی انوری و سعدی‏</w:t>
      </w:r>
    </w:p>
    <w:p>
      <w:pPr>
        <w:pStyle w:val="BookText"/>
      </w:pPr>
      <w:r>
        <w:rPr>
          <w:rFonts w:ascii="IRNazanin" w:hAnsi="IRNazanin" w:eastAsia="IRNazanin" w:cs="IRNazanin"/>
          <w:lang w:bidi="fa-IR"/>
          <w:color w:val="111111"/>
          <w:sz w:val="28"/>
          <w:szCs w:val="28"/>
          <w:rtl/>
        </w:rPr>
        <w:t xml:space="preserve">بوستان (أو سعدی‏نامه) 2 القصائد العربیة 3 القصائد الفارسیة 4 الملمعات 5 طیبات 6 البدائع 7 الخواتیم 8 صاحبیه 9 مقطعات 10 الرباعیات 11 المفردات 12 الخبیثات‏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أربعة منها (5 و 6 و 7 و 8) غزلیات کل منها مرتبة علی الحروف فی القوافی. و لا یعلم علی التحقیق من الجامع لأشعار سعدی و هل هو الذی جمعها فی حیاته، أو جمعت بعد وفاته و الدیباجة المنسوبة إلیه موضوعة، و علی أی فقد جاء رجل اسمه علی بن أحمد بن أبی بکر المشهور ب بیستون و رتب غزلیات الکتب الأربعة علی ترتیب حروف أول شعر من الغزل فی (726) ثم فی (734) بدا له و رتبه علی ترتیب القوافی و کتب لها دیباجة أخری و هو الترتیب المتداول الیوم و لا یعلم</w:t>
      </w:r>
    </w:p>
    <w:p>
      <w:pPr>
        <w:pStyle w:val="BookText"/>
      </w:pPr>
      <w:r>
        <w:rPr>
          <w:rFonts w:ascii="IRNazanin" w:hAnsi="IRNazanin" w:eastAsia="IRNazanin" w:cs="IRNazanin"/>
          <w:lang w:bidi="fa-IR"/>
          <w:color w:val="111111"/>
          <w:sz w:val="28"/>
          <w:szCs w:val="28"/>
          <w:rtl/>
        </w:rPr>
        <w:t xml:space="preserve">الترتیب الذی کان قبله. و یوجد فی مکتبة (الملک) نسخه من کلیات سعدی علی غیر ترتیب بیستون، و کذا نسخه فی مکتبة (المحیط).</w:t>
      </w:r>
    </w:p>
    <w:p>
      <w:pPr>
        <w:pStyle w:val="BookText"/>
      </w:pPr>
      <w:r>
        <w:rPr>
          <w:rFonts w:ascii="IRNazanin" w:hAnsi="IRNazanin" w:eastAsia="IRNazanin" w:cs="IRNazanin"/>
          <w:lang w:bidi="fa-IR"/>
          <w:color w:val="111111"/>
          <w:sz w:val="28"/>
          <w:szCs w:val="28"/>
          <w:rtl/>
        </w:rPr>
        <w:t xml:space="preserve">ثم إن فروغی (محمد علی ذکاء الملک) جمع الکتب الأربعة و جعله کتابا واحدا یشتمل علی جمیع غزلیات سعدی مرتبا لها علی الحروف فی القوافی و طبعها (1318 ش). و قد ترجم أکثر کتب کلیات سعدی إلی الألسنة الأوروبیة المختلفة و أکثرها ترجمه گلستان الذی هو أقدم کتاب مطبوع بالفارسیة کما سیأتی فی الکاف. و قد طبع کل من کتبه مستقلة و نذکرها فی محالها و طبع کلیاته مجموعا مرارا فی إیران و الهند منها فی بمبئی فی (210 ص) علی الحجر و طهران بخط محمد باقر الخوانساری فی (1259) و هناک أیضا علی الحجر سنة (1306) و بخط سراج الکتاب فی (422 ص) و تصحیح شوریده فی (432 ص) علی الحجر، و تصحیح فروغی طبعه علی أکبر علمی فی (988 ص) و طبعه محمد علی علمی فی (884 ص) و طبعه بروخیم کلها علی الحروف، و طبعه علمی علی طبعه شوریده بطهران علی الحجر، و طبعه السید محمد صاحب بمبئی، و طبعه عباس إقبال فی (1317 ش)، و عدة کتب منها فی برلن. و طبع خلاصه دیوان سعدی لکوهی کرمانی فی (239 ص) علی الحروف بطهران و طبع بوستان فی تبریز (1301 ش) و طهران (1307 ش) و تبریز (1310 ش) و برلن (1304 ش) و طهران (12881328 ش) علی الحجر و (1316 ش) بتصحیح فروغی و فی (1317 ش) فیها بتصحیح محیط، و طبع أیضا علی الحجر بتصحیح محمد رضا الطهرانی ساکن کربلاء بلا تاریخ و معه قاموس للغاته المعضلة</w:t>
      </w:r>
      <w:r>
        <w:rPr>
          <w:rStyle w:val="FootnoteReference"/>
        </w:rPr>
        <w:footnoteReference w:id="40"/>
      </w:r>
      <w:r>
        <w:rPr>
          <w:rFonts w:ascii="Times New Roman" w:hAnsi="Times New Roman" w:eastAsia="Times New Roman" w:cs="Times New Roman"/>
          <w:lang w:val="en-US" w:bidi="en-US"/>
          <w:color w:val="111111"/>
          <w:sz w:val="28"/>
          <w:szCs w:val="28"/>
          <w:rtl/>
        </w:rPr>
        <w:t xml:space="preserve">.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444" w:name="pg11704_121926"/>
    <w:bookmarkEnd w:id="444"/>
    <w:p>
      <w:pPr>
        <w:pStyle w:val="BookText"/>
      </w:pPr>
      <w:r>
        <w:rPr>
          <w:rFonts w:ascii="IRNazanin" w:hAnsi="IRNazanin" w:eastAsia="IRNazanin" w:cs="IRNazanin"/>
          <w:lang w:bidi="fa-IR"/>
          <w:color w:val="111111"/>
          <w:sz w:val="28"/>
          <w:szCs w:val="28"/>
          <w:rtl/>
        </w:rPr>
        <w:t xml:space="preserve">و لشهرة سعدی فقد لقب کثیر من العلماء بهذا اللقب فذکر إسماعیل پاشا ثمانیة رجال منهم فی الجزء الأول من أسماء المؤلفین ص 121، 190، 197، 199، 332، 386، 587، 634</w:t>
      </w:r>
    </w:p>
    <w:p>
      <w:pPr>
        <w:pStyle w:val="Heading3"/>
      </w:pPr>
      <w:bookmarkStart w:id="4636" w:name="_Toc3332"/>
      <w:r>
        <w:t>2585- دیوان سعدی مشهدی أو شعره‏</w:t>
      </w:r>
      <w:bookmarkEnd w:id="4636"/>
    </w:p>
    <w:p>
      <w:pPr>
        <w:pStyle w:val="BookText"/>
      </w:pPr>
      <w:r>
        <w:rPr>
          <w:rFonts w:ascii="IRNazanin" w:hAnsi="IRNazanin" w:eastAsia="IRNazanin" w:cs="IRNazanin"/>
          <w:lang w:bidi="fa-IR"/>
          <w:color w:val="111111"/>
          <w:sz w:val="28"/>
          <w:szCs w:val="28"/>
          <w:rtl/>
        </w:rPr>
        <w:t xml:space="preserve">کان شغله کاسه‏گر فعرف به، استحسن شعره المیر علی شیر فأورد منه ذو قافیتین فی (مجن 2 ص 43 و 216). و فی (روشن- ص 295) سماه سعیدی کاسه‏گر.</w:t>
      </w:r>
    </w:p>
    <w:p>
      <w:pPr>
        <w:pStyle w:val="Heading3"/>
      </w:pPr>
      <w:bookmarkStart w:id="4637" w:name="_Toc3333"/>
      <w:r>
        <w:t>دیوان سعید أردستانی‏</w:t>
      </w:r>
      <w:bookmarkEnd w:id="4637"/>
    </w:p>
    <w:p>
      <w:pPr>
        <w:pStyle w:val="BookText"/>
      </w:pPr>
      <w:r>
        <w:rPr>
          <w:rFonts w:ascii="IRNazanin" w:hAnsi="IRNazanin" w:eastAsia="IRNazanin" w:cs="IRNazanin"/>
          <w:lang w:bidi="fa-IR"/>
          <w:color w:val="111111"/>
          <w:sz w:val="28"/>
          <w:szCs w:val="28"/>
          <w:rtl/>
        </w:rPr>
        <w:t xml:space="preserve">مر بعنوان دیوان سعدای أردستانی.</w:t>
      </w:r>
    </w:p>
    <w:p>
      <w:pPr>
        <w:pStyle w:val="Heading3"/>
      </w:pPr>
      <w:bookmarkStart w:id="4638" w:name="_Toc3334"/>
      <w:r>
        <w:t>دیوان سعید أشرف‏</w:t>
      </w:r>
      <w:bookmarkEnd w:id="4638"/>
    </w:p>
    <w:p>
      <w:pPr>
        <w:pStyle w:val="BookText"/>
      </w:pPr>
      <w:r>
        <w:rPr>
          <w:rFonts w:ascii="IRNazanin" w:hAnsi="IRNazanin" w:eastAsia="IRNazanin" w:cs="IRNazanin"/>
          <w:lang w:bidi="fa-IR"/>
          <w:color w:val="111111"/>
          <w:sz w:val="28"/>
          <w:szCs w:val="28"/>
          <w:rtl/>
        </w:rPr>
        <w:t xml:space="preserve">مر بعنوان دیوان أشرف.</w:t>
      </w:r>
    </w:p>
    <w:p>
      <w:pPr>
        <w:pStyle w:val="Heading3"/>
      </w:pPr>
      <w:bookmarkStart w:id="4639" w:name="_Toc3335"/>
      <w:r>
        <w:t>2586- دیوان سعید تبریزی أو شعره‏</w:t>
      </w:r>
      <w:bookmarkEnd w:id="4639"/>
    </w:p>
    <w:p>
      <w:pPr>
        <w:pStyle w:val="BookText"/>
      </w:pPr>
      <w:r>
        <w:rPr>
          <w:rFonts w:ascii="IRNazanin" w:hAnsi="IRNazanin" w:eastAsia="IRNazanin" w:cs="IRNazanin"/>
          <w:lang w:bidi="fa-IR"/>
          <w:color w:val="111111"/>
          <w:sz w:val="28"/>
          <w:szCs w:val="28"/>
          <w:rtl/>
        </w:rPr>
        <w:t xml:space="preserve">أورد شعره فی (روشن- ص 293) و عنه فی (دجا- ص 182).</w:t>
      </w:r>
    </w:p>
    <w:p>
      <w:pPr>
        <w:pStyle w:val="Heading3"/>
      </w:pPr>
      <w:bookmarkStart w:id="4640" w:name="_Toc3336"/>
      <w:r>
        <w:t>دیوان السید سعید الحبوبی‏</w:t>
      </w:r>
      <w:bookmarkEnd w:id="4640"/>
    </w:p>
    <w:p>
      <w:pPr>
        <w:pStyle w:val="BookText"/>
      </w:pPr>
      <w:r>
        <w:rPr>
          <w:rFonts w:ascii="IRNazanin" w:hAnsi="IRNazanin" w:eastAsia="IRNazanin" w:cs="IRNazanin"/>
          <w:lang w:bidi="fa-IR"/>
          <w:color w:val="111111"/>
          <w:sz w:val="28"/>
          <w:szCs w:val="28"/>
          <w:rtl/>
        </w:rPr>
        <w:t xml:space="preserve">مر بعنوان دیوان الحبوبی.</w:t>
      </w:r>
    </w:p>
    <w:p>
      <w:pPr>
        <w:pStyle w:val="Heading3"/>
      </w:pPr>
      <w:bookmarkStart w:id="4641" w:name="_Toc3337"/>
      <w:r>
        <w:t>2587- دیوان سعید خوارزمی أو شعره‏</w:t>
      </w:r>
      <w:bookmarkEnd w:id="4641"/>
    </w:p>
    <w:p>
      <w:pPr>
        <w:pStyle w:val="BookText"/>
      </w:pPr>
      <w:r>
        <w:rPr>
          <w:rFonts w:ascii="IRNazanin" w:hAnsi="IRNazanin" w:eastAsia="IRNazanin" w:cs="IRNazanin"/>
          <w:lang w:bidi="fa-IR"/>
          <w:color w:val="111111"/>
          <w:sz w:val="28"/>
          <w:szCs w:val="28"/>
          <w:rtl/>
        </w:rPr>
        <w:t xml:space="preserve">و اسمه سعید بیگ أو نور سعید توفی بمرو و دفن بجوار الخواجة یوسف الهمدانی. ترجمه و أورد شعره معاصره فی (مجن 2 ص 52 و 225) و أطری شعره.</w:t>
      </w:r>
    </w:p>
    <w:p>
      <w:pPr>
        <w:pStyle w:val="Heading3"/>
      </w:pPr>
      <w:bookmarkStart w:id="4642" w:name="_Toc3338"/>
      <w:r>
        <w:t>2588- دیوان سعید الدین لاری‏</w:t>
      </w:r>
      <w:bookmarkEnd w:id="4642"/>
    </w:p>
    <w:p>
      <w:pPr>
        <w:pStyle w:val="BookText"/>
      </w:pPr>
      <w:r>
        <w:rPr>
          <w:rFonts w:ascii="IRNazanin" w:hAnsi="IRNazanin" w:eastAsia="IRNazanin" w:cs="IRNazanin"/>
          <w:lang w:bidi="fa-IR"/>
          <w:color w:val="111111"/>
          <w:sz w:val="28"/>
          <w:szCs w:val="28"/>
          <w:rtl/>
        </w:rPr>
        <w:t xml:space="preserve">نقل سرجان مالکم عن فهرس پرچ أن له أشعار کثیرة کذا فی لارستان کهن- ص 139. و فی گلستان مسرت- ص 176 نقل شعر سعید الدین و لعله هذا. و أورد فی (روشن- ص 292) شعر سعد الدین الإله و قال هو من قدماء الشعراء، و الإله اسم قبیلة (کذا).</w:t>
      </w:r>
    </w:p>
    <w:p>
      <w:pPr>
        <w:pStyle w:val="Heading3"/>
      </w:pPr>
      <w:bookmarkStart w:id="4643" w:name="_Toc3339"/>
      <w:r>
        <w:t>2589- دیوان سعید سبزواری أو شعره‏</w:t>
      </w:r>
      <w:bookmarkEnd w:id="4643"/>
    </w:p>
    <w:p>
      <w:pPr>
        <w:pStyle w:val="BookText"/>
      </w:pPr>
      <w:r>
        <w:rPr>
          <w:rFonts w:ascii="IRNazanin" w:hAnsi="IRNazanin" w:eastAsia="IRNazanin" w:cs="IRNazanin"/>
          <w:lang w:bidi="fa-IR"/>
          <w:color w:val="111111"/>
          <w:sz w:val="28"/>
          <w:szCs w:val="28"/>
          <w:rtl/>
        </w:rPr>
        <w:t xml:space="preserve">أورد شعره فی (روشن- ص 293) و أظنه الشیرازی.</w:t>
      </w:r>
    </w:p>
    <w:p>
      <w:pPr>
        <w:pStyle w:val="Heading3"/>
      </w:pPr>
      <w:bookmarkStart w:id="4644" w:name="_Toc3340"/>
      <w:r>
        <w:t>2590- دیوان سعید سیاه أو شعره‏</w:t>
      </w:r>
      <w:bookmarkEnd w:id="4644"/>
    </w:p>
    <w:p>
      <w:pPr>
        <w:pStyle w:val="BookText"/>
      </w:pPr>
      <w:r>
        <w:rPr>
          <w:rFonts w:ascii="IRNazanin" w:hAnsi="IRNazanin" w:eastAsia="IRNazanin" w:cs="IRNazanin"/>
          <w:lang w:bidi="fa-IR"/>
          <w:color w:val="111111"/>
          <w:sz w:val="28"/>
          <w:szCs w:val="28"/>
          <w:rtl/>
        </w:rPr>
        <w:t xml:space="preserve">کان أسودا بلون الهنود فکان یظن عبدا.</w:t>
      </w:r>
    </w:p>
    <w:p>
      <w:pPr>
        <w:pStyle w:val="BookText"/>
      </w:pPr>
      <w:r>
        <w:rPr>
          <w:rFonts w:ascii="IRNazanin" w:hAnsi="IRNazanin" w:eastAsia="IRNazanin" w:cs="IRNazanin"/>
          <w:lang w:bidi="fa-IR"/>
          <w:color w:val="111111"/>
          <w:sz w:val="28"/>
          <w:szCs w:val="28"/>
          <w:rtl/>
        </w:rPr>
        <w:t xml:space="preserve">أطری شعره معاصره فی (مجن 3 ص 83 و 257) و عنه أخذ فی (روشن- ص 294).</w:t>
      </w:r>
    </w:p>
    <w:p>
      <w:pPr>
        <w:pStyle w:val="Heading3"/>
      </w:pPr>
      <w:bookmarkStart w:id="4645" w:name="_Toc3341"/>
      <w:r>
        <w:t>دیوان سعید شیرازی‏</w:t>
      </w:r>
      <w:bookmarkEnd w:id="4645"/>
    </w:p>
    <w:p>
      <w:pPr>
        <w:pStyle w:val="BookText"/>
      </w:pPr>
      <w:r>
        <w:rPr>
          <w:rFonts w:ascii="IRNazanin" w:hAnsi="IRNazanin" w:eastAsia="IRNazanin" w:cs="IRNazanin"/>
          <w:lang w:bidi="fa-IR"/>
          <w:color w:val="111111"/>
          <w:sz w:val="28"/>
          <w:szCs w:val="28"/>
          <w:rtl/>
        </w:rPr>
        <w:t xml:space="preserve">یأتی بتخلصه متین.</w:t>
      </w:r>
    </w:p>
    <w:p>
      <w:pPr>
        <w:pStyle w:val="Heading3"/>
      </w:pPr>
      <w:bookmarkStart w:id="4646" w:name="_Toc3342"/>
      <w:r>
        <w:t>2591- دیوان سعید الطائی‏</w:t>
      </w:r>
      <w:bookmarkEnd w:id="4646"/>
    </w:p>
    <w:p>
      <w:pPr>
        <w:pStyle w:val="BookText"/>
      </w:pPr>
      <w:r>
        <w:rPr>
          <w:rFonts w:ascii="IRNazanin" w:hAnsi="IRNazanin" w:eastAsia="IRNazanin" w:cs="IRNazanin"/>
          <w:lang w:bidi="fa-IR"/>
          <w:color w:val="111111"/>
          <w:sz w:val="28"/>
          <w:szCs w:val="28"/>
          <w:rtl/>
        </w:rPr>
        <w:t xml:space="preserve">ترجمه العوفی فی لباب الألباب و عنه فی (مع 1- ص 248) و قال سنگلاخ فی امتحان الفضلاء (ج 1 ص 122 و ج 2 ص 89) إنه رأی نسختین من دیوانه بخط المیر محمد و الأخری بخط محمد طاهر اعتماد الدولة.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445" w:name="pg11704_121927"/>
    <w:bookmarkEnd w:id="445"/>
    <w:p>
      <w:pPr>
        <w:pStyle w:val="Heading3"/>
      </w:pPr>
      <w:bookmarkStart w:id="4647" w:name="_Toc3343"/>
      <w:r>
        <w:t>2592- دیوان سعید عظیم‏آبادی‏</w:t>
      </w:r>
      <w:bookmarkEnd w:id="4647"/>
    </w:p>
    <w:p>
      <w:pPr>
        <w:pStyle w:val="BookText"/>
      </w:pPr>
      <w:r>
        <w:rPr>
          <w:rFonts w:ascii="IRNazanin" w:hAnsi="IRNazanin" w:eastAsia="IRNazanin" w:cs="IRNazanin"/>
          <w:lang w:bidi="fa-IR"/>
          <w:color w:val="111111"/>
          <w:sz w:val="28"/>
          <w:szCs w:val="28"/>
          <w:rtl/>
        </w:rPr>
        <w:t xml:space="preserve">و هو المولوی محمد سعید معاصر عاقل خان الرازی. کان یتخلص أولا غالب فبدله إلی سعید. له شرحان علی الشافیة و الکافیة.</w:t>
      </w:r>
    </w:p>
    <w:p>
      <w:pPr>
        <w:pStyle w:val="BookText"/>
      </w:pPr>
      <w:r>
        <w:rPr>
          <w:rFonts w:ascii="IRNazanin" w:hAnsi="IRNazanin" w:eastAsia="IRNazanin" w:cs="IRNazanin"/>
          <w:lang w:bidi="fa-IR"/>
          <w:color w:val="111111"/>
          <w:sz w:val="28"/>
          <w:szCs w:val="28"/>
          <w:rtl/>
        </w:rPr>
        <w:t xml:space="preserve">أورد شعره و ترجمه فی (روشن- ص 294). و أورد فی گلستان مسرت کثیرا من شعر محمد سعید.</w:t>
      </w:r>
    </w:p>
    <w:p>
      <w:pPr>
        <w:pStyle w:val="Heading3"/>
      </w:pPr>
      <w:bookmarkStart w:id="4648" w:name="_Toc3344"/>
      <w:r>
        <w:t>2593- دیوان سعید قرشی‏</w:t>
      </w:r>
      <w:bookmarkEnd w:id="4648"/>
    </w:p>
    <w:p>
      <w:pPr>
        <w:pStyle w:val="BookText"/>
      </w:pPr>
      <w:r>
        <w:rPr>
          <w:rFonts w:ascii="IRNazanin" w:hAnsi="IRNazanin" w:eastAsia="IRNazanin" w:cs="IRNazanin"/>
          <w:lang w:bidi="fa-IR"/>
          <w:color w:val="111111"/>
          <w:sz w:val="28"/>
          <w:szCs w:val="28"/>
          <w:rtl/>
        </w:rPr>
        <w:t xml:space="preserve">و هو المولی محمد سعید الملتانی کان ملازم السلطان مرادبخش بأحمدآباد گجرات ثم ذهب إلی شاه جهان‏آباد و تقرب عند دارا شکوه ثم عالم‏گیر و مات فی (رمضان 1087) ترجمه و أورد کثیرا من شعره فی مدیح الرضا علیه السلام  و غیره فی (تذکره مرآة الخیال ص 169- 175) قال و کان معبرا للرؤیا، عالما بمعرفة الإنسان (علم الفراسة) فأورد فی التذکرة بالمناسبة بحثا مفصلا عن هذین العلمین.</w:t>
      </w:r>
    </w:p>
    <w:p>
      <w:pPr>
        <w:pStyle w:val="BookText"/>
      </w:pPr>
      <w:r>
        <w:rPr>
          <w:rFonts w:ascii="IRNazanin" w:hAnsi="IRNazanin" w:eastAsia="IRNazanin" w:cs="IRNazanin"/>
          <w:lang w:bidi="fa-IR"/>
          <w:color w:val="111111"/>
          <w:sz w:val="28"/>
          <w:szCs w:val="28"/>
          <w:rtl/>
        </w:rPr>
        <w:t xml:space="preserve">و ترجمه أیضا فی (حسینی ص 156).</w:t>
      </w:r>
    </w:p>
    <w:p>
      <w:pPr>
        <w:pStyle w:val="Heading3"/>
      </w:pPr>
      <w:bookmarkStart w:id="4649" w:name="_Toc3345"/>
      <w:r>
        <w:t>2594- دیوان سعید قصاب‏</w:t>
      </w:r>
      <w:bookmarkEnd w:id="4649"/>
    </w:p>
    <w:p>
      <w:pPr>
        <w:pStyle w:val="BookText"/>
      </w:pPr>
      <w:r>
        <w:rPr>
          <w:rFonts w:ascii="IRNazanin" w:hAnsi="IRNazanin" w:eastAsia="IRNazanin" w:cs="IRNazanin"/>
          <w:lang w:bidi="fa-IR"/>
          <w:color w:val="111111"/>
          <w:sz w:val="28"/>
          <w:szCs w:val="28"/>
          <w:rtl/>
        </w:rPr>
        <w:t xml:space="preserve">تلمذ علی صائب فی الشعر. و کان أمیا و دیوانه یشتمل علی عشرین ألف بیت. ترک شغله و سکن مشهد خراسان و مات عن کبر و دفن بها.</w:t>
      </w:r>
    </w:p>
    <w:p>
      <w:pPr>
        <w:pStyle w:val="BookText"/>
      </w:pPr>
      <w:r>
        <w:rPr>
          <w:rFonts w:ascii="IRNazanin" w:hAnsi="IRNazanin" w:eastAsia="IRNazanin" w:cs="IRNazanin"/>
          <w:lang w:bidi="fa-IR"/>
          <w:color w:val="111111"/>
          <w:sz w:val="28"/>
          <w:szCs w:val="28"/>
          <w:rtl/>
        </w:rPr>
        <w:t xml:space="preserve">ترجمه کذلک فی تذکره حزین (ص 120).</w:t>
      </w:r>
    </w:p>
    <w:p>
      <w:pPr>
        <w:pStyle w:val="Heading3"/>
      </w:pPr>
      <w:bookmarkStart w:id="4650" w:name="_Toc3346"/>
      <w:r>
        <w:t>2595- دیوان سعید قمی أو شعره‏</w:t>
      </w:r>
      <w:bookmarkEnd w:id="4650"/>
    </w:p>
    <w:p>
      <w:pPr>
        <w:pStyle w:val="BookText"/>
      </w:pPr>
      <w:r>
        <w:rPr>
          <w:rFonts w:ascii="IRNazanin" w:hAnsi="IRNazanin" w:eastAsia="IRNazanin" w:cs="IRNazanin"/>
          <w:lang w:bidi="fa-IR"/>
          <w:color w:val="111111"/>
          <w:sz w:val="28"/>
          <w:szCs w:val="28"/>
          <w:rtl/>
        </w:rPr>
        <w:t xml:space="preserve">و اسمه آقا سعید أخ المیر محمد باقر تابع المذکور فی (ص 164) و ابن المیر غیاث الدین المحتسب بقم. ترجمه معاصره فی (نر 5- ص 114 و 115) و ترجم أخاه و قال إنه من أولاد خدام الإمام العسکری علیه السلام . قال و جاء سعید من قم إلی أصفهان و شرفنی فی جامع لنبان و أورد شعره. و ذکره فی (تغ- ص 65) أیضا.</w:t>
      </w:r>
    </w:p>
    <w:p>
      <w:pPr>
        <w:pStyle w:val="Heading3"/>
      </w:pPr>
      <w:bookmarkStart w:id="4651" w:name="_Toc3347"/>
      <w:r>
        <w:t>2596- دیوان سعید قمی‏</w:t>
      </w:r>
      <w:bookmarkEnd w:id="4651"/>
    </w:p>
    <w:p>
      <w:pPr>
        <w:pStyle w:val="BookText"/>
      </w:pPr>
      <w:r>
        <w:rPr>
          <w:rFonts w:ascii="IRNazanin" w:hAnsi="IRNazanin" w:eastAsia="IRNazanin" w:cs="IRNazanin"/>
          <w:lang w:bidi="fa-IR"/>
          <w:color w:val="111111"/>
          <w:sz w:val="28"/>
          <w:szCs w:val="28"/>
          <w:rtl/>
        </w:rPr>
        <w:t xml:space="preserve">و هو المیرزا محمد سعید بن الحکیم محمد باقر القمی الطبیب الحاذق. کان هو و أخوه المیرزا محمد حسین طبیبی بلاط الشاه عباس الثانی (1052- 1078) و کان ماهرا فی العلوم النظریة أیضا، فعزل و حبس فی قلعة الموت ثم نفی إلی قم و سکن هناک إلی زمن تألیف النصرآبادی (1083) فأورد شعره فی (نر 6- ص 167). و قال فی (تش- ص 231) إنه مات بقم و أورد شعره نقلا عن دیوانه.</w:t>
      </w:r>
    </w:p>
    <w:p>
      <w:pPr>
        <w:pStyle w:val="BookText"/>
      </w:pPr>
      <w:r>
        <w:rPr>
          <w:rFonts w:ascii="IRNazanin" w:hAnsi="IRNazanin" w:eastAsia="IRNazanin" w:cs="IRNazanin"/>
          <w:lang w:bidi="fa-IR"/>
          <w:color w:val="111111"/>
          <w:sz w:val="28"/>
          <w:szCs w:val="28"/>
          <w:rtl/>
        </w:rPr>
        <w:t xml:space="preserve">و فهو متقدم علی القاضی سعید القمی بن محمد مفید الذی کان قاضیا بقم (1099). و قال فی امتحان الفضلاء. (ج 2 ص 142) إنه رأی (44 ورقة) من دیوان الحکیم سعید الله خان بخط عبد الجبار صدر الصدور، و لعله هذا. و قال فی (روشن- ص 293) إنه بدل‏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46" w:name="pg11704_121928"/>
    <w:bookmarkEnd w:id="446"/>
    <w:p>
      <w:pPr>
        <w:pStyle w:val="BookText"/>
      </w:pPr>
      <w:r>
        <w:rPr>
          <w:rFonts w:ascii="IRNazanin" w:hAnsi="IRNazanin" w:eastAsia="IRNazanin" w:cs="IRNazanin"/>
          <w:lang w:bidi="fa-IR"/>
          <w:color w:val="111111"/>
          <w:sz w:val="28"/>
          <w:szCs w:val="28"/>
          <w:rtl/>
        </w:rPr>
        <w:t xml:space="preserve">تخلصه فی آخر عمره ب حکیم. و ذکره فی (تغ- 65) أیضا.</w:t>
      </w:r>
    </w:p>
    <w:p>
      <w:pPr>
        <w:pStyle w:val="Heading3"/>
      </w:pPr>
      <w:bookmarkStart w:id="4652" w:name="_Toc3348"/>
      <w:r>
        <w:t>2597- دیوان میرزا سعید قومشهی‏</w:t>
      </w:r>
      <w:bookmarkEnd w:id="4652"/>
    </w:p>
    <w:p>
      <w:pPr>
        <w:pStyle w:val="BookText"/>
      </w:pPr>
      <w:r>
        <w:rPr>
          <w:rFonts w:ascii="IRNazanin" w:hAnsi="IRNazanin" w:eastAsia="IRNazanin" w:cs="IRNazanin"/>
          <w:lang w:bidi="fa-IR"/>
          <w:color w:val="111111"/>
          <w:sz w:val="28"/>
          <w:szCs w:val="28"/>
          <w:rtl/>
        </w:rPr>
        <w:t xml:space="preserve">ترجمه النصرآبادی فی (نر 4- ص 76) و ترجم أخواه المیرزا عبد الواسع و المیرزا أحمد خان و ذکر أنهم جمیعا وزراء صلحاء و المیرزا سعید لم یفته صلاة اللیل مدة مدیدة، و أورد عدة من رباعیاته، و عنه أخذ فی (گلشن- ص 204).</w:t>
      </w:r>
    </w:p>
    <w:p>
      <w:pPr>
        <w:pStyle w:val="Heading3"/>
      </w:pPr>
      <w:bookmarkStart w:id="4653" w:name="_Toc3349"/>
      <w:r>
        <w:t>2598- دیوان المیر سعید الکابلی أو شعره‏</w:t>
      </w:r>
      <w:bookmarkEnd w:id="4653"/>
    </w:p>
    <w:p>
      <w:pPr>
        <w:pStyle w:val="BookText"/>
      </w:pPr>
      <w:r>
        <w:rPr>
          <w:rFonts w:ascii="IRNazanin" w:hAnsi="IRNazanin" w:eastAsia="IRNazanin" w:cs="IRNazanin"/>
          <w:lang w:bidi="fa-IR"/>
          <w:color w:val="111111"/>
          <w:sz w:val="28"/>
          <w:szCs w:val="28"/>
          <w:rtl/>
        </w:rPr>
        <w:t xml:space="preserve">ترجمه المیر علی شیر فی (مجن 2 ص 53 و ص 226) و ذکر أنه خال المؤلف و إنه کان ینظم الشعر بالترکیة غالبا و استشهد فی فتنة أبی سعید میرزا فی سرخس و دفن فی البلدة. و ذکر أیضا أخاه المیر محمد علی الکابلی الذی یتخلص غریبی و أورد بعض شعرهما بالترکیة.</w:t>
      </w:r>
    </w:p>
    <w:p>
      <w:pPr>
        <w:pStyle w:val="Heading3"/>
      </w:pPr>
      <w:bookmarkStart w:id="4654" w:name="_Toc3350"/>
      <w:r>
        <w:t>دیوان سعید کاشی‏</w:t>
      </w:r>
      <w:bookmarkEnd w:id="4654"/>
    </w:p>
    <w:p>
      <w:pPr>
        <w:pStyle w:val="BookText"/>
      </w:pPr>
      <w:r>
        <w:rPr>
          <w:rFonts w:ascii="IRNazanin" w:hAnsi="IRNazanin" w:eastAsia="IRNazanin" w:cs="IRNazanin"/>
          <w:lang w:bidi="fa-IR"/>
          <w:color w:val="111111"/>
          <w:sz w:val="28"/>
          <w:szCs w:val="28"/>
          <w:rtl/>
        </w:rPr>
        <w:t xml:space="preserve">مر بعنوان سرمد کاشی.</w:t>
      </w:r>
    </w:p>
    <w:p>
      <w:pPr>
        <w:pStyle w:val="Heading3"/>
      </w:pPr>
      <w:bookmarkStart w:id="4655" w:name="_Toc3351"/>
      <w:r>
        <w:t>2599- دیوان سعید کاکوری أو شعره‏</w:t>
      </w:r>
      <w:bookmarkEnd w:id="4655"/>
    </w:p>
    <w:p>
      <w:pPr>
        <w:pStyle w:val="BookText"/>
      </w:pPr>
      <w:r>
        <w:rPr>
          <w:rFonts w:ascii="IRNazanin" w:hAnsi="IRNazanin" w:eastAsia="IRNazanin" w:cs="IRNazanin"/>
          <w:lang w:bidi="fa-IR"/>
          <w:color w:val="111111"/>
          <w:sz w:val="28"/>
          <w:szCs w:val="28"/>
          <w:rtl/>
        </w:rPr>
        <w:t xml:space="preserve">و اسمه ممتاز العلماء القاضی محمد سعید الدین خان بهادر ابن القاضی محمد نجم الدین خان ثاقب، کان أدیبا فی اللغتین الفارسیة و الأردویة و کان قاضیا فی فرخ‏آباد و اعتزل أخیرا و مات (1262). ترجمه کذلک و أورد شعره فی (گلشن- ص 204).</w:t>
      </w:r>
    </w:p>
    <w:p>
      <w:pPr>
        <w:pStyle w:val="Heading3"/>
      </w:pPr>
      <w:bookmarkStart w:id="4656" w:name="_Toc3352"/>
      <w:r>
        <w:t>2600- دیوان سعید کشمیری أو شعره‏</w:t>
      </w:r>
      <w:bookmarkEnd w:id="4656"/>
    </w:p>
    <w:p>
      <w:pPr>
        <w:pStyle w:val="BookText"/>
      </w:pPr>
      <w:r>
        <w:rPr>
          <w:rFonts w:ascii="IRNazanin" w:hAnsi="IRNazanin" w:eastAsia="IRNazanin" w:cs="IRNazanin"/>
          <w:lang w:bidi="fa-IR"/>
          <w:color w:val="111111"/>
          <w:sz w:val="28"/>
          <w:szCs w:val="28"/>
          <w:rtl/>
        </w:rPr>
        <w:t xml:space="preserve">و سماه فی (روشن- ص 293) بابا سعید و أورد شعره.</w:t>
      </w:r>
    </w:p>
    <w:p>
      <w:pPr>
        <w:pStyle w:val="Heading3"/>
      </w:pPr>
      <w:bookmarkStart w:id="4657" w:name="_Toc3353"/>
      <w:r>
        <w:t>دیوان سعید گوینده‏</w:t>
      </w:r>
      <w:bookmarkEnd w:id="4657"/>
    </w:p>
    <w:p>
      <w:pPr>
        <w:pStyle w:val="BookText"/>
      </w:pPr>
      <w:r>
        <w:rPr>
          <w:rFonts w:ascii="IRNazanin" w:hAnsi="IRNazanin" w:eastAsia="IRNazanin" w:cs="IRNazanin"/>
          <w:lang w:bidi="fa-IR"/>
          <w:color w:val="111111"/>
          <w:sz w:val="28"/>
          <w:szCs w:val="28"/>
          <w:rtl/>
        </w:rPr>
        <w:t xml:space="preserve">و تخلصه فی شعره فغانی. یأتی. أو أن فغانی ابن سعید گوینده کما فی (مجن 3- 80 و 255).</w:t>
      </w:r>
    </w:p>
    <w:p>
      <w:pPr>
        <w:pStyle w:val="Heading3"/>
      </w:pPr>
      <w:bookmarkStart w:id="4658" w:name="_Toc3354"/>
      <w:r>
        <w:t>2601- دیوان سعید لاهیجی أو شعره‏</w:t>
      </w:r>
      <w:bookmarkEnd w:id="4658"/>
    </w:p>
    <w:p>
      <w:pPr>
        <w:pStyle w:val="BookText"/>
      </w:pPr>
      <w:r>
        <w:rPr>
          <w:rFonts w:ascii="IRNazanin" w:hAnsi="IRNazanin" w:eastAsia="IRNazanin" w:cs="IRNazanin"/>
          <w:lang w:bidi="fa-IR"/>
          <w:color w:val="111111"/>
          <w:sz w:val="28"/>
          <w:szCs w:val="28"/>
          <w:rtl/>
        </w:rPr>
        <w:t xml:space="preserve">و اسمه سعید ابن الخواجة علی اللاهیجی التاجر. معاصر الشاه سلیمان. أطری النصرآبادی شعره و تذهیبه و تصویره فی الذهب و الفضة فی (نر 9- ص 377). و (روشن- ص 293) و (شعراء گیلان ص 101).</w:t>
      </w:r>
    </w:p>
    <w:p>
      <w:pPr>
        <w:pStyle w:val="BookText"/>
      </w:pPr>
      <w:r>
        <w:rPr>
          <w:rFonts w:ascii="IRNazanin" w:hAnsi="IRNazanin" w:eastAsia="IRNazanin" w:cs="IRNazanin"/>
          <w:lang w:bidi="fa-IR"/>
          <w:color w:val="111111"/>
          <w:sz w:val="28"/>
          <w:szCs w:val="28"/>
          <w:rtl/>
        </w:rPr>
        <w:t xml:space="preserve">و سماه فی (خوش‏گو سعید گیلانی.</w:t>
      </w:r>
    </w:p>
    <w:p>
      <w:pPr>
        <w:pStyle w:val="Heading3"/>
      </w:pPr>
      <w:bookmarkStart w:id="4659" w:name="_Toc3355"/>
      <w:r>
        <w:t>دیوان سعید مازندرانی‏</w:t>
      </w:r>
      <w:bookmarkEnd w:id="4659"/>
    </w:p>
    <w:p>
      <w:pPr>
        <w:pStyle w:val="BookText"/>
      </w:pPr>
      <w:r>
        <w:rPr>
          <w:rFonts w:ascii="IRNazanin" w:hAnsi="IRNazanin" w:eastAsia="IRNazanin" w:cs="IRNazanin"/>
          <w:lang w:bidi="fa-IR"/>
          <w:color w:val="111111"/>
          <w:sz w:val="28"/>
          <w:szCs w:val="28"/>
          <w:rtl/>
        </w:rPr>
        <w:t xml:space="preserve">مر بعنوان دیوان أشرف.</w:t>
      </w:r>
    </w:p>
    <w:p>
      <w:pPr>
        <w:pStyle w:val="Heading3"/>
      </w:pPr>
      <w:bookmarkStart w:id="4660" w:name="_Toc3356"/>
      <w:r>
        <w:t>دیوان سعید ملتانی‏</w:t>
      </w:r>
      <w:bookmarkEnd w:id="4660"/>
    </w:p>
    <w:p>
      <w:pPr>
        <w:pStyle w:val="BookText"/>
      </w:pPr>
      <w:r>
        <w:rPr>
          <w:rFonts w:ascii="IRNazanin" w:hAnsi="IRNazanin" w:eastAsia="IRNazanin" w:cs="IRNazanin"/>
          <w:lang w:bidi="fa-IR"/>
          <w:color w:val="111111"/>
          <w:sz w:val="28"/>
          <w:szCs w:val="28"/>
          <w:rtl/>
        </w:rPr>
        <w:t xml:space="preserve">مر بعنوان دیوان سعید قرشی.</w:t>
      </w:r>
    </w:p>
    <w:p>
      <w:pPr>
        <w:pStyle w:val="Heading3"/>
      </w:pPr>
      <w:bookmarkStart w:id="4661" w:name="_Toc3357"/>
      <w:r>
        <w:t>دیوان سعید نفیسی‏</w:t>
      </w:r>
      <w:bookmarkEnd w:id="4661"/>
    </w:p>
    <w:p>
      <w:pPr>
        <w:pStyle w:val="BookText"/>
      </w:pPr>
      <w:r>
        <w:rPr>
          <w:rFonts w:ascii="IRNazanin" w:hAnsi="IRNazanin" w:eastAsia="IRNazanin" w:cs="IRNazanin"/>
          <w:lang w:bidi="fa-IR"/>
          <w:color w:val="111111"/>
          <w:sz w:val="28"/>
          <w:szCs w:val="28"/>
          <w:rtl/>
        </w:rPr>
        <w:t xml:space="preserve">راجع دیوان نفیسی‏</w:t>
      </w:r>
    </w:p>
    <w:p>
      <w:pPr>
        <w:pStyle w:val="Heading3"/>
      </w:pPr>
      <w:bookmarkStart w:id="4662" w:name="_Toc3358"/>
      <w:r>
        <w:t>2602- دیوان سعید نقشبند أو شعره‏</w:t>
      </w:r>
      <w:bookmarkEnd w:id="4662"/>
    </w:p>
    <w:p>
      <w:pPr>
        <w:pStyle w:val="BookText"/>
      </w:pPr>
      <w:r>
        <w:rPr>
          <w:rFonts w:ascii="IRNazanin" w:hAnsi="IRNazanin" w:eastAsia="IRNazanin" w:cs="IRNazanin"/>
          <w:lang w:bidi="fa-IR"/>
          <w:color w:val="111111"/>
          <w:sz w:val="28"/>
          <w:szCs w:val="28"/>
          <w:rtl/>
        </w:rPr>
        <w:t xml:space="preserve">یزدی سکن أصفهان و مهر فی صناعة التصویر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447" w:name="pg11704_121929"/>
    <w:bookmarkEnd w:id="447"/>
    <w:p>
      <w:pPr>
        <w:pStyle w:val="BookText"/>
      </w:pPr>
      <w:r>
        <w:rPr>
          <w:rFonts w:ascii="IRNazanin" w:hAnsi="IRNazanin" w:eastAsia="IRNazanin" w:cs="IRNazanin"/>
          <w:lang w:bidi="fa-IR"/>
          <w:color w:val="111111"/>
          <w:sz w:val="28"/>
          <w:szCs w:val="28"/>
          <w:rtl/>
        </w:rPr>
        <w:t xml:space="preserve">و النقوش و له أبناء. ترجمه و أورد شعره فی (نر 9- ص 334). و نقل فی سرو آزاد- ص 55 مدح صائب له یسمیه فیه سعیدای نقشبند و کذا فی (تش- ص 260).</w:t>
      </w:r>
    </w:p>
    <w:p>
      <w:pPr>
        <w:pStyle w:val="Heading3"/>
      </w:pPr>
      <w:bookmarkStart w:id="4663" w:name="_Toc3359"/>
      <w:r>
        <w:t>2603- دیوان سعید وزیر أو شعره‏</w:t>
      </w:r>
      <w:bookmarkEnd w:id="4663"/>
    </w:p>
    <w:p>
      <w:pPr>
        <w:pStyle w:val="BookText"/>
      </w:pPr>
      <w:r>
        <w:rPr>
          <w:rFonts w:ascii="IRNazanin" w:hAnsi="IRNazanin" w:eastAsia="IRNazanin" w:cs="IRNazanin"/>
          <w:lang w:bidi="fa-IR"/>
          <w:color w:val="111111"/>
          <w:sz w:val="28"/>
          <w:szCs w:val="28"/>
          <w:rtl/>
        </w:rPr>
        <w:t xml:space="preserve">و هو المیرزا سعید حفید الخواجة شهاب الوزیر.</w:t>
      </w:r>
    </w:p>
    <w:p>
      <w:pPr>
        <w:pStyle w:val="BookText"/>
      </w:pPr>
      <w:r>
        <w:rPr>
          <w:rFonts w:ascii="IRNazanin" w:hAnsi="IRNazanin" w:eastAsia="IRNazanin" w:cs="IRNazanin"/>
          <w:lang w:bidi="fa-IR"/>
          <w:color w:val="111111"/>
          <w:sz w:val="28"/>
          <w:szCs w:val="28"/>
          <w:rtl/>
        </w:rPr>
        <w:t xml:space="preserve">ترجمه و أورد شعره معاصره النصرآبادی فی (نر 4- ص 87) و قال توفی فی وزارة مرو.</w:t>
      </w:r>
    </w:p>
    <w:p>
      <w:pPr>
        <w:pStyle w:val="Heading3"/>
      </w:pPr>
      <w:bookmarkStart w:id="4664" w:name="_Toc3360"/>
      <w:r>
        <w:t>2604- دیوان سعید هروی أو شعره‏</w:t>
      </w:r>
      <w:bookmarkEnd w:id="4664"/>
    </w:p>
    <w:p>
      <w:pPr>
        <w:pStyle w:val="BookText"/>
      </w:pPr>
      <w:r>
        <w:rPr>
          <w:rFonts w:ascii="IRNazanin" w:hAnsi="IRNazanin" w:eastAsia="IRNazanin" w:cs="IRNazanin"/>
          <w:lang w:bidi="fa-IR"/>
          <w:color w:val="111111"/>
          <w:sz w:val="28"/>
          <w:szCs w:val="28"/>
          <w:rtl/>
        </w:rPr>
        <w:t xml:space="preserve">من أقران القاضی شمس الدین الطبسی و مداح الخواجة عز الدین طاهر الفریومدی. و کان فی حکومة أولاد چنگیز وزیرا لخراسان و یسکن بطوس فعزله هولاکو خان و صادر أمواله و مات فی (649) کذا ترجمه و أورد شعره دولت شاه فی الطبقة الثالثة، و قال کان سعید أستاذ پوربها الجامی. و قد خلط فی (مع 1- ص 248) بین الرجل و بین سعد الهروی المذکور فی (ص 447).</w:t>
      </w:r>
    </w:p>
    <w:p>
      <w:pPr>
        <w:pStyle w:val="Heading3"/>
      </w:pPr>
      <w:bookmarkStart w:id="4665" w:name="_Toc3361"/>
      <w:r>
        <w:t>2605- دیوان سعید همدانی أو شعره‏</w:t>
      </w:r>
      <w:bookmarkEnd w:id="4665"/>
    </w:p>
    <w:p>
      <w:pPr>
        <w:pStyle w:val="BookText"/>
      </w:pPr>
      <w:r>
        <w:rPr>
          <w:rFonts w:ascii="IRNazanin" w:hAnsi="IRNazanin" w:eastAsia="IRNazanin" w:cs="IRNazanin"/>
          <w:lang w:bidi="fa-IR"/>
          <w:color w:val="111111"/>
          <w:sz w:val="28"/>
          <w:szCs w:val="28"/>
          <w:rtl/>
        </w:rPr>
        <w:t xml:space="preserve">هو ابن حجة الله المولود بسعدآباد (ظ: أسدآباد) بهمدان. ترجمه و أورد شعره فی (روشن- ص 294).</w:t>
      </w:r>
    </w:p>
    <w:p>
      <w:pPr>
        <w:pStyle w:val="Heading3"/>
      </w:pPr>
      <w:bookmarkStart w:id="4666" w:name="_Toc3362"/>
      <w:r>
        <w:t>دیوان سعید یزدی‏</w:t>
      </w:r>
      <w:bookmarkEnd w:id="4666"/>
    </w:p>
    <w:p>
      <w:pPr>
        <w:pStyle w:val="BookText"/>
      </w:pPr>
      <w:r>
        <w:rPr>
          <w:rFonts w:ascii="IRNazanin" w:hAnsi="IRNazanin" w:eastAsia="IRNazanin" w:cs="IRNazanin"/>
          <w:lang w:bidi="fa-IR"/>
          <w:color w:val="111111"/>
          <w:sz w:val="28"/>
          <w:szCs w:val="28"/>
          <w:rtl/>
        </w:rPr>
        <w:t xml:space="preserve">مر بعنوان دیوان سعید نقشبند.</w:t>
      </w:r>
    </w:p>
    <w:p>
      <w:pPr>
        <w:pStyle w:val="Heading3"/>
      </w:pPr>
      <w:bookmarkStart w:id="4667" w:name="_Toc3363"/>
      <w:r>
        <w:t>2606- دیوان میرزا سعید یزدی أو شعره‏</w:t>
      </w:r>
      <w:bookmarkEnd w:id="4667"/>
    </w:p>
    <w:p>
      <w:pPr>
        <w:pStyle w:val="BookText"/>
      </w:pPr>
      <w:r>
        <w:rPr>
          <w:rFonts w:ascii="IRNazanin" w:hAnsi="IRNazanin" w:eastAsia="IRNazanin" w:cs="IRNazanin"/>
          <w:lang w:bidi="fa-IR"/>
          <w:color w:val="111111"/>
          <w:sz w:val="28"/>
          <w:szCs w:val="28"/>
          <w:rtl/>
        </w:rPr>
        <w:t xml:space="preserve">هو ابن المیرزا محمد أمین من السادة الحسینیة الأجلاء فی یزد و هو من أسباط السید صدر الدین بن نصیر الدین بن السید المیر محمد صالح الأردکانی نزیل یزد و المدرس بالمصلی، جد السادة المدرسیین الطباطبائیین. ذکر حفیده المیرزا محمد علی</w:t>
      </w:r>
    </w:p>
    <w:p>
      <w:pPr>
        <w:pStyle w:val="BookText"/>
      </w:pPr>
      <w:r>
        <w:rPr>
          <w:rFonts w:ascii="IRNazanin" w:hAnsi="IRNazanin" w:eastAsia="IRNazanin" w:cs="IRNazanin"/>
          <w:lang w:bidi="fa-IR"/>
          <w:color w:val="111111"/>
          <w:sz w:val="28"/>
          <w:szCs w:val="28"/>
          <w:rtl/>
        </w:rPr>
        <w:t xml:space="preserve">الحسینی الیزدی فی کتابه میکده أن المیرزا سعید هذا جده من طرف الأب بواسطتین. و کان وحید عصره فی حل أشعار الأنوری و الخاقانی و النظامی، و بیان المعمیات و الألغاز المشکلة، و کان ینظم الشعر حسب مذاق أهل عصره و کذا والده المیرزا محمد أمین کان ینظم الشعر المتین.</w:t>
      </w:r>
    </w:p>
    <w:p>
      <w:pPr>
        <w:pStyle w:val="Heading3"/>
      </w:pPr>
      <w:bookmarkStart w:id="4668" w:name="_Toc3364"/>
      <w:r>
        <w:t>2607- دیوان سعیدی بدخشی أو شعره‏</w:t>
      </w:r>
      <w:bookmarkEnd w:id="4668"/>
    </w:p>
    <w:p>
      <w:pPr>
        <w:pStyle w:val="BookText"/>
      </w:pPr>
      <w:r>
        <w:rPr>
          <w:rFonts w:ascii="IRNazanin" w:hAnsi="IRNazanin" w:eastAsia="IRNazanin" w:cs="IRNazanin"/>
          <w:lang w:bidi="fa-IR"/>
          <w:color w:val="111111"/>
          <w:sz w:val="28"/>
          <w:szCs w:val="28"/>
          <w:rtl/>
        </w:rPr>
        <w:t xml:space="preserve">من شعراء الهند، و ملازم بیرم خان، خان خانان. ترجمه و أورد شعره فی (روشن- ص 295).</w:t>
      </w:r>
    </w:p>
    <w:p>
      <w:pPr>
        <w:pStyle w:val="Heading3"/>
      </w:pPr>
      <w:bookmarkStart w:id="4669" w:name="_Toc3365"/>
      <w:r>
        <w:t>دیوان سعیدی کاسه‏گر أو شعره‏</w:t>
      </w:r>
      <w:bookmarkEnd w:id="4669"/>
    </w:p>
    <w:p>
      <w:pPr>
        <w:pStyle w:val="BookText"/>
      </w:pPr>
      <w:r>
        <w:rPr>
          <w:rFonts w:ascii="IRNazanin" w:hAnsi="IRNazanin" w:eastAsia="IRNazanin" w:cs="IRNazanin"/>
          <w:lang w:bidi="fa-IR"/>
          <w:color w:val="111111"/>
          <w:sz w:val="28"/>
          <w:szCs w:val="28"/>
          <w:rtl/>
        </w:rPr>
        <w:t xml:space="preserve">ترجمه و أورد شعره فی (روشن- ص 295) و الظاهر أنه هو سعدی مشهدی المذکور.</w:t>
      </w:r>
    </w:p>
    <w:p>
      <w:pPr>
        <w:pStyle w:val="Heading3"/>
      </w:pPr>
      <w:bookmarkStart w:id="4670" w:name="_Toc3366"/>
      <w:r>
        <w:t>2608- دیوان سفیر فاریابی أو شعره‏</w:t>
      </w:r>
      <w:bookmarkEnd w:id="4670"/>
    </w:p>
    <w:p>
      <w:pPr>
        <w:pStyle w:val="BookText"/>
      </w:pPr>
      <w:r>
        <w:rPr>
          <w:rFonts w:ascii="IRNazanin" w:hAnsi="IRNazanin" w:eastAsia="IRNazanin" w:cs="IRNazanin"/>
          <w:lang w:bidi="fa-IR"/>
          <w:color w:val="111111"/>
          <w:sz w:val="28"/>
          <w:szCs w:val="28"/>
          <w:rtl/>
        </w:rPr>
        <w:t xml:space="preserve">رأیت شعره فی بعض المجامیع و منها فی گلستان مسرت (ص 448).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448" w:name="pg11704_121930"/>
    <w:bookmarkEnd w:id="448"/>
    <w:p>
      <w:pPr>
        <w:pStyle w:val="Heading3"/>
      </w:pPr>
      <w:bookmarkStart w:id="4671" w:name="_Toc3367"/>
      <w:r>
        <w:t>2609- دیوان سقا</w:t>
      </w:r>
      <w:bookmarkEnd w:id="4671"/>
    </w:p>
    <w:p>
      <w:pPr>
        <w:pStyle w:val="BookText"/>
      </w:pPr>
      <w:r>
        <w:rPr>
          <w:rFonts w:ascii="IRNazanin" w:hAnsi="IRNazanin" w:eastAsia="IRNazanin" w:cs="IRNazanin"/>
          <w:lang w:bidi="fa-IR"/>
          <w:color w:val="111111"/>
          <w:sz w:val="28"/>
          <w:szCs w:val="28"/>
          <w:rtl/>
        </w:rPr>
        <w:t xml:space="preserve">الحاج بهرام. توجد نسخه من دیوانه فی بنگاله کما فی فهرسها و سماه فی (تغ- ص 65) سقائی بخاری، و فصل أحواله فی (روشن- ص 295) نقلا عن نگارستان سخن و قال جاء من بخارا إلی الهند فأکرمه محمد أکبر پادشاه و بعد مدة ترک الدنیا و حمل قربة یسقی الماء فی سبیل الله و ینشد أشعاره الفارسیة و الترکیة فجمعت دیوانا. و سافر إلی سیلان و مات هناک. و نقل عن قاضی أختران قبره فی بنگاله معروف و أورد له غزلا تخلصه فیه سقا.</w:t>
      </w:r>
    </w:p>
    <w:p>
      <w:pPr>
        <w:pStyle w:val="Heading3"/>
      </w:pPr>
      <w:bookmarkStart w:id="4672" w:name="_Toc3368"/>
      <w:r>
        <w:t>2610- دیوان سقیما آباده‏ای أو شعره‏</w:t>
      </w:r>
      <w:bookmarkEnd w:id="4672"/>
    </w:p>
    <w:p>
      <w:pPr>
        <w:pStyle w:val="BookText"/>
      </w:pPr>
      <w:r>
        <w:rPr>
          <w:rFonts w:ascii="IRNazanin" w:hAnsi="IRNazanin" w:eastAsia="IRNazanin" w:cs="IRNazanin"/>
          <w:lang w:bidi="fa-IR"/>
          <w:color w:val="111111"/>
          <w:sz w:val="28"/>
          <w:szCs w:val="28"/>
          <w:rtl/>
        </w:rPr>
        <w:t xml:space="preserve">أطری صلاحه و فقره النصرآبادی فی (نر 9- ص 385) و أورد بعض شعره و رباعیاته، و کذا فی (گلشن- ص 205) و فی (روشن- ص 296) سماه سقیم أصفهانی.</w:t>
      </w:r>
    </w:p>
    <w:p>
      <w:pPr>
        <w:pStyle w:val="Heading3"/>
      </w:pPr>
      <w:bookmarkStart w:id="4673" w:name="_Toc3369"/>
      <w:r>
        <w:t>دیوان سکاکی‏</w:t>
      </w:r>
      <w:bookmarkEnd w:id="4673"/>
    </w:p>
    <w:p>
      <w:pPr>
        <w:pStyle w:val="BookText"/>
      </w:pPr>
      <w:r>
        <w:rPr>
          <w:rFonts w:ascii="IRNazanin" w:hAnsi="IRNazanin" w:eastAsia="IRNazanin" w:cs="IRNazanin"/>
          <w:lang w:bidi="fa-IR"/>
          <w:color w:val="111111"/>
          <w:sz w:val="28"/>
          <w:szCs w:val="28"/>
          <w:rtl/>
        </w:rPr>
        <w:t xml:space="preserve">و هو التخلص السابق ل فغانی راجع دیوان فغانی.</w:t>
      </w:r>
    </w:p>
    <w:p>
      <w:pPr>
        <w:pStyle w:val="Heading3"/>
      </w:pPr>
      <w:bookmarkStart w:id="4674" w:name="_Toc3370"/>
      <w:r>
        <w:t>2611- دیوان سکاکی الماوراءالنهری‏</w:t>
      </w:r>
      <w:bookmarkEnd w:id="4674"/>
    </w:p>
    <w:p>
      <w:pPr>
        <w:pStyle w:val="BookText"/>
      </w:pPr>
      <w:r>
        <w:rPr>
          <w:rFonts w:ascii="IRNazanin" w:hAnsi="IRNazanin" w:eastAsia="IRNazanin" w:cs="IRNazanin"/>
          <w:lang w:bidi="fa-IR"/>
          <w:color w:val="111111"/>
          <w:sz w:val="28"/>
          <w:szCs w:val="28"/>
          <w:rtl/>
        </w:rPr>
        <w:t xml:space="preserve">نزیل سمرقند و المتوفی بها ترجمه المیر علی شیر فی مجن 2- ص 51 و من 225) و أورد شعره بالترکیة و توجد شعره فی مکتبة دانشگاه تهران کما فی فهرسها (ج 2 ص 251).</w:t>
      </w:r>
    </w:p>
    <w:p>
      <w:pPr>
        <w:pStyle w:val="Heading3"/>
      </w:pPr>
      <w:bookmarkStart w:id="4675" w:name="_Toc3371"/>
      <w:r>
        <w:t>2612- دیوان سکوت شیرازی أو شعره‏</w:t>
      </w:r>
      <w:bookmarkEnd w:id="4675"/>
    </w:p>
    <w:p>
      <w:pPr>
        <w:pStyle w:val="BookText"/>
      </w:pPr>
      <w:r>
        <w:rPr>
          <w:rFonts w:ascii="IRNazanin" w:hAnsi="IRNazanin" w:eastAsia="IRNazanin" w:cs="IRNazanin"/>
          <w:lang w:bidi="fa-IR"/>
          <w:color w:val="111111"/>
          <w:sz w:val="28"/>
          <w:szCs w:val="28"/>
          <w:rtl/>
        </w:rPr>
        <w:t xml:space="preserve">ترجمه فی طرائق الحقائق (ج 3 ص 111) نقلا عن وصف الحال و قال تلمذ فی أصفهان علی نور علی شاه و مشتاق علی شاه و رجع إلی وطنه شیراز فأراد حسین علی میرزا فرمان فرما أن یقتله طلبا لمرضاة العوام فنجا من المهلکة بحمله و سکوته. و مات (1239) و خلف فی مقامه الحاج محمد حسین و دفن بشاه چراغ شیراز. و رثاه وصال شیرازی. و قیل فی تاریخه (هو الذی لا یموت). و ذکره فی (عم- ص 560) فی الحاشیة. و مدحه تلمیذه الحسینی فی إلهی‏نامه.</w:t>
      </w:r>
    </w:p>
    <w:p>
      <w:pPr>
        <w:pStyle w:val="Heading3"/>
      </w:pPr>
      <w:bookmarkStart w:id="4676" w:name="_Toc3372"/>
      <w:r>
        <w:t>2613- دیوان سگ أو شعره‏</w:t>
      </w:r>
      <w:bookmarkEnd w:id="4676"/>
    </w:p>
    <w:p>
      <w:pPr>
        <w:pStyle w:val="BookText"/>
      </w:pPr>
      <w:r>
        <w:rPr>
          <w:rFonts w:ascii="IRNazanin" w:hAnsi="IRNazanin" w:eastAsia="IRNazanin" w:cs="IRNazanin"/>
          <w:lang w:bidi="fa-IR"/>
          <w:color w:val="111111"/>
          <w:sz w:val="28"/>
          <w:szCs w:val="28"/>
          <w:rtl/>
        </w:rPr>
        <w:t xml:space="preserve">و سماه بعضهم سگ‏لوند، و هو سمی نفسه فی بعض شعره سگ علی أی کلب علی. ترجمه النصرآبادی فی (نر 9- ص 431) و قال کان مزاحا من الأتراک مقربا عند الشاه عباس الأول، و هو الذی نبه الملک علی نقض حکم ضیق به علی الناس، و هو أنه کان قد أجبر الناس علی تزیین الأسواق لأجله، و ذکر أیضا فی هفت إقلیم و عنهما أخذ فی خوش‏گو مفصلا و (حسینی- 154). و فی (گلشن ص 205) سماه حسن بیگ.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449" w:name="pg11704_121931"/>
    <w:bookmarkEnd w:id="449"/>
    <w:p>
      <w:pPr>
        <w:pStyle w:val="Heading3"/>
      </w:pPr>
      <w:bookmarkStart w:id="4677" w:name="_Toc3373"/>
      <w:r>
        <w:t>2614- دیوان القاضی سلام الله الکاشی أو شعره‏</w:t>
      </w:r>
      <w:bookmarkEnd w:id="4677"/>
    </w:p>
    <w:p>
      <w:pPr>
        <w:pStyle w:val="BookText"/>
      </w:pPr>
      <w:r>
        <w:rPr>
          <w:rFonts w:ascii="IRNazanin" w:hAnsi="IRNazanin" w:eastAsia="IRNazanin" w:cs="IRNazanin"/>
          <w:lang w:bidi="fa-IR"/>
          <w:color w:val="111111"/>
          <w:sz w:val="28"/>
          <w:szCs w:val="28"/>
          <w:rtl/>
        </w:rPr>
        <w:t xml:space="preserve">ترجمه شاه محمد القزوینی فی (بهش 2- ص 395) و أورد شعره و قال فی (روشن- ص 296) مات (911).</w:t>
      </w:r>
    </w:p>
    <w:p>
      <w:pPr>
        <w:pStyle w:val="Heading3"/>
      </w:pPr>
      <w:bookmarkStart w:id="4678" w:name="_Toc3374"/>
      <w:r>
        <w:t>2615- دیوان مولانا سلامی أو شعره‏</w:t>
      </w:r>
      <w:bookmarkEnd w:id="4678"/>
    </w:p>
    <w:p>
      <w:pPr>
        <w:pStyle w:val="BookText"/>
      </w:pPr>
      <w:r>
        <w:rPr>
          <w:rFonts w:ascii="IRNazanin" w:hAnsi="IRNazanin" w:eastAsia="IRNazanin" w:cs="IRNazanin"/>
          <w:lang w:bidi="fa-IR"/>
          <w:color w:val="111111"/>
          <w:sz w:val="28"/>
          <w:szCs w:val="28"/>
          <w:rtl/>
        </w:rPr>
        <w:t xml:space="preserve">ترجمه فی (قز مج 6- ص 311) و ذکر أنه من شعراء سلطان یعقوب الترکمانی المتوفی (896).</w:t>
      </w:r>
    </w:p>
    <w:p>
      <w:pPr>
        <w:pStyle w:val="Heading3"/>
      </w:pPr>
      <w:bookmarkStart w:id="4679" w:name="_Toc3375"/>
      <w:r>
        <w:t>2616- دیوان سلامی أردبیلی أو شعره‏</w:t>
      </w:r>
      <w:bookmarkEnd w:id="4679"/>
    </w:p>
    <w:p>
      <w:pPr>
        <w:pStyle w:val="BookText"/>
      </w:pPr>
      <w:r>
        <w:rPr>
          <w:rFonts w:ascii="IRNazanin" w:hAnsi="IRNazanin" w:eastAsia="IRNazanin" w:cs="IRNazanin"/>
          <w:lang w:bidi="fa-IR"/>
          <w:color w:val="111111"/>
          <w:sz w:val="28"/>
          <w:szCs w:val="28"/>
          <w:rtl/>
        </w:rPr>
        <w:t xml:space="preserve">کان وزیرا لمعصوم بیک بن صدر الدین خان. ترجمه الصادقی فی (خص 8- ص 279) و أورد قصة ملاقاته مع سلامی هذا و حزینی گیلانی فی مجلس و ذکر قصیدته المسماة بردیة و ذکر أن له رفیقا اسمه کلامی و لیس له طبع حسن و فی حقهما قیل:</w:t>
      </w:r>
    </w:p>
    <w:p>
      <w:pPr>
        <w:pStyle w:val="BookText"/>
      </w:pPr>
      <w:r>
        <w:rPr>
          <w:rFonts w:ascii="IRNazanin" w:hAnsi="IRNazanin" w:eastAsia="IRNazanin" w:cs="IRNazanin"/>
          <w:lang w:bidi="fa-IR"/>
          <w:color w:val="111111"/>
          <w:sz w:val="28"/>
          <w:szCs w:val="28"/>
          <w:rtl/>
        </w:rPr>
        <w:t xml:space="preserve">دو چیزند بدتر ز تیر حرامی‏</w:t>
      </w:r>
    </w:p>
    <w:p>
      <w:pPr>
        <w:pStyle w:val="BookText"/>
      </w:pPr>
      <w:r>
        <w:rPr>
          <w:rFonts w:ascii="IRNazanin" w:hAnsi="IRNazanin" w:eastAsia="IRNazanin" w:cs="IRNazanin"/>
          <w:lang w:bidi="fa-IR"/>
          <w:color w:val="111111"/>
          <w:sz w:val="28"/>
          <w:szCs w:val="28"/>
          <w:rtl/>
        </w:rPr>
        <w:t xml:space="preserve">سلام کلامی کلام سلامی‏</w:t>
      </w:r>
    </w:p>
    <w:p>
      <w:pPr>
        <w:pStyle w:val="BookText"/>
      </w:pPr>
      <w:r>
        <w:rPr>
          <w:rFonts w:ascii="IRNazanin" w:hAnsi="IRNazanin" w:eastAsia="IRNazanin" w:cs="IRNazanin"/>
          <w:lang w:bidi="fa-IR"/>
          <w:color w:val="111111"/>
          <w:sz w:val="28"/>
          <w:szCs w:val="28"/>
          <w:rtl/>
        </w:rPr>
        <w:t xml:space="preserve">و قال فی (نر 9- ص 289) فی أحوال کلامی أصفهانی: سمعت صائبا یقول إن کلامی أخو سلامی و لم أسمع بشعر سلامی و راجع سلامی أصفهانی.</w:t>
      </w:r>
    </w:p>
    <w:p>
      <w:pPr>
        <w:pStyle w:val="Heading3"/>
      </w:pPr>
      <w:bookmarkStart w:id="4680" w:name="_Toc3376"/>
      <w:r>
        <w:t>2617- دیوان سلامی أصفهانی أو شعره‏</w:t>
      </w:r>
      <w:bookmarkEnd w:id="4680"/>
    </w:p>
    <w:p>
      <w:pPr>
        <w:pStyle w:val="BookText"/>
      </w:pPr>
      <w:r>
        <w:rPr>
          <w:rFonts w:ascii="IRNazanin" w:hAnsi="IRNazanin" w:eastAsia="IRNazanin" w:cs="IRNazanin"/>
          <w:lang w:bidi="fa-IR"/>
          <w:color w:val="111111"/>
          <w:sz w:val="28"/>
          <w:szCs w:val="28"/>
          <w:rtl/>
        </w:rPr>
        <w:t xml:space="preserve">کان قابض أردو بإزار. ترجمه سام میرزا فی (تش 5- ص 143) و أورد شعره و کذا فی (گلشن- ص 206). و لعله متحد مع ما قبله.</w:t>
      </w:r>
    </w:p>
    <w:p>
      <w:pPr>
        <w:pStyle w:val="Heading3"/>
      </w:pPr>
      <w:bookmarkStart w:id="4681" w:name="_Toc3377"/>
      <w:r>
        <w:t>2618- دیوان السلامی البغدادی‏</w:t>
      </w:r>
      <w:bookmarkEnd w:id="4681"/>
    </w:p>
    <w:p>
      <w:pPr>
        <w:pStyle w:val="BookText"/>
      </w:pPr>
      <w:r>
        <w:rPr>
          <w:rFonts w:ascii="IRNazanin" w:hAnsi="IRNazanin" w:eastAsia="IRNazanin" w:cs="IRNazanin"/>
          <w:lang w:bidi="fa-IR"/>
          <w:color w:val="111111"/>
          <w:sz w:val="28"/>
          <w:szCs w:val="28"/>
          <w:rtl/>
        </w:rPr>
        <w:t xml:space="preserve">و هو أبو الحسن محمد بن عبید الله بن محمد بن یحیی المخزومی من أحفاد الولید بن مغیرة المخزومی. ذکرنا شرح قصیدته فی (ج 4- ص 350) و کتابه الثأر فی (ج 5- ص 3) و ذکر فی أحواله أن له دیوانا و کان من شعراء الصاحب بن عباد. ترجمه فی الیتیمة و کذا فی نسمة السحر فیمن تشیع و شعر.</w:t>
      </w:r>
    </w:p>
    <w:p>
      <w:pPr>
        <w:pStyle w:val="Heading3"/>
      </w:pPr>
      <w:bookmarkStart w:id="4682" w:name="_Toc3378"/>
      <w:r>
        <w:t>2619- دیوان سلامی هروی أو شعره‏</w:t>
      </w:r>
      <w:bookmarkEnd w:id="4682"/>
    </w:p>
    <w:p>
      <w:pPr>
        <w:pStyle w:val="BookText"/>
      </w:pPr>
      <w:r>
        <w:rPr>
          <w:rFonts w:ascii="IRNazanin" w:hAnsi="IRNazanin" w:eastAsia="IRNazanin" w:cs="IRNazanin"/>
          <w:lang w:bidi="fa-IR"/>
          <w:color w:val="111111"/>
          <w:sz w:val="28"/>
          <w:szCs w:val="28"/>
          <w:rtl/>
        </w:rPr>
        <w:t xml:space="preserve">و اسمه محمد. کان یشتغل بالأبریشم. أورد شعره فی (گلشن- ص 206) و فی (لط 3- ص 69): مولانا سلامی کان فی جامع هرات خادما لقبه ملکان و أورد شعره.</w:t>
      </w:r>
    </w:p>
    <w:p>
      <w:pPr>
        <w:pStyle w:val="Heading3"/>
      </w:pPr>
      <w:bookmarkStart w:id="4683" w:name="_Toc3379"/>
      <w:r>
        <w:t>2620- دیوان سلجوق شاه أو شعره‏</w:t>
      </w:r>
      <w:bookmarkEnd w:id="4683"/>
    </w:p>
    <w:p>
      <w:pPr>
        <w:pStyle w:val="BookText"/>
      </w:pPr>
      <w:r>
        <w:rPr>
          <w:rFonts w:ascii="IRNazanin" w:hAnsi="IRNazanin" w:eastAsia="IRNazanin" w:cs="IRNazanin"/>
          <w:lang w:bidi="fa-IR"/>
          <w:color w:val="111111"/>
          <w:sz w:val="28"/>
          <w:szCs w:val="28"/>
          <w:rtl/>
        </w:rPr>
        <w:t xml:space="preserve">و هو ابن سلغر بن محمد بن سعد بن زنگی السلغری من أتابکة فارس. جلس فی فارس من قبل هولاکو بعد أخیه أتابک محمد فی (661). ترجمه فی (حسینی- ص 147) و (مع 1- ص 30) و أورد رباعیته التی أنشأها حین کونه محبوسا بأمر أخیه و أرسلها إلیه، و کذا فی (روشن- ص 297).</w:t>
      </w:r>
    </w:p>
    <w:p>
      <w:pPr>
        <w:pStyle w:val="BookText"/>
      </w:pPr>
      <w:r>
        <w:rPr>
          <w:rFonts w:ascii="IRNazanin" w:hAnsi="IRNazanin" w:eastAsia="IRNazanin" w:cs="IRNazanin"/>
          <w:lang w:bidi="fa-IR"/>
          <w:color w:val="111111"/>
          <w:sz w:val="28"/>
          <w:szCs w:val="28"/>
          <w:rtl/>
        </w:rPr>
        <w:t xml:space="preserve">و (پژمان- ص 209).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50" w:name="pg11704_121932"/>
    <w:bookmarkEnd w:id="450"/>
    <w:p>
      <w:pPr>
        <w:pStyle w:val="Heading3"/>
      </w:pPr>
      <w:bookmarkStart w:id="4684" w:name="_Toc3380"/>
      <w:r>
        <w:t>2621- دیوان سلطان أصفهانی أو شعره‏</w:t>
      </w:r>
      <w:bookmarkEnd w:id="4684"/>
    </w:p>
    <w:p>
      <w:pPr>
        <w:pStyle w:val="BookText"/>
      </w:pPr>
      <w:r>
        <w:rPr>
          <w:rFonts w:ascii="IRNazanin" w:hAnsi="IRNazanin" w:eastAsia="IRNazanin" w:cs="IRNazanin"/>
          <w:lang w:bidi="fa-IR"/>
          <w:color w:val="111111"/>
          <w:sz w:val="28"/>
          <w:szCs w:val="28"/>
          <w:rtl/>
        </w:rPr>
        <w:t xml:space="preserve">و اسمه سلطان محمد التاجر بأصفهان أورد بعض شعره فی (گلشن- ص 207).</w:t>
      </w:r>
    </w:p>
    <w:p>
      <w:pPr>
        <w:pStyle w:val="Heading3"/>
      </w:pPr>
      <w:bookmarkStart w:id="4685" w:name="_Toc3381"/>
      <w:r>
        <w:t>دیوان سلطان بابر</w:t>
      </w:r>
      <w:bookmarkEnd w:id="4685"/>
    </w:p>
    <w:p>
      <w:pPr>
        <w:pStyle w:val="BookText"/>
      </w:pPr>
      <w:r>
        <w:rPr>
          <w:rFonts w:ascii="IRNazanin" w:hAnsi="IRNazanin" w:eastAsia="IRNazanin" w:cs="IRNazanin"/>
          <w:lang w:bidi="fa-IR"/>
          <w:color w:val="111111"/>
          <w:sz w:val="28"/>
          <w:szCs w:val="28"/>
          <w:rtl/>
        </w:rPr>
        <w:t xml:space="preserve">مر بعنوان دیوان بابر میرزا أبو القاسم. أورد غزله فی (مرآة الخیال ص 70) و عینه فی (بهش 2- ص 378).</w:t>
      </w:r>
    </w:p>
    <w:p>
      <w:pPr>
        <w:pStyle w:val="Heading3"/>
      </w:pPr>
      <w:bookmarkStart w:id="4686" w:name="_Toc3382"/>
      <w:r>
        <w:t>دیوان سلطان بدیع الزمان‏</w:t>
      </w:r>
      <w:bookmarkEnd w:id="4686"/>
    </w:p>
    <w:p>
      <w:pPr>
        <w:pStyle w:val="BookText"/>
      </w:pPr>
      <w:r>
        <w:rPr>
          <w:rFonts w:ascii="IRNazanin" w:hAnsi="IRNazanin" w:eastAsia="IRNazanin" w:cs="IRNazanin"/>
          <w:lang w:bidi="fa-IR"/>
          <w:color w:val="111111"/>
          <w:sz w:val="28"/>
          <w:szCs w:val="28"/>
          <w:rtl/>
        </w:rPr>
        <w:t xml:space="preserve">مر بعنوان بدیع الزمان فی (ص 130).</w:t>
      </w:r>
    </w:p>
    <w:p>
      <w:pPr>
        <w:pStyle w:val="Heading3"/>
      </w:pPr>
      <w:bookmarkStart w:id="4687" w:name="_Toc3383"/>
      <w:r>
        <w:t>دیوان سلطان جابری أو شعره‏</w:t>
      </w:r>
      <w:bookmarkEnd w:id="4687"/>
    </w:p>
    <w:p>
      <w:pPr>
        <w:pStyle w:val="BookText"/>
      </w:pPr>
      <w:r>
        <w:rPr>
          <w:rFonts w:ascii="IRNazanin" w:hAnsi="IRNazanin" w:eastAsia="IRNazanin" w:cs="IRNazanin"/>
          <w:lang w:bidi="fa-IR"/>
          <w:color w:val="111111"/>
          <w:sz w:val="28"/>
          <w:szCs w:val="28"/>
          <w:rtl/>
        </w:rPr>
        <w:t xml:space="preserve">کان ینسب نفسه إلی جابر بن عبد الله الأنصاری.</w:t>
      </w:r>
    </w:p>
    <w:p>
      <w:pPr>
        <w:pStyle w:val="BookText"/>
      </w:pPr>
      <w:r>
        <w:rPr>
          <w:rFonts w:ascii="IRNazanin" w:hAnsi="IRNazanin" w:eastAsia="IRNazanin" w:cs="IRNazanin"/>
          <w:lang w:bidi="fa-IR"/>
          <w:color w:val="111111"/>
          <w:sz w:val="28"/>
          <w:szCs w:val="28"/>
          <w:rtl/>
        </w:rPr>
        <w:t xml:space="preserve">ولد بأصفهان و استوزره السلطان محمد خدابنده و قتل (990). أورد شعره فی (خوش‏گو) و عنه أخذا ظاهرا فی (گلشن- ص 206) و الصحیح سلمان أصفهانی.</w:t>
      </w:r>
    </w:p>
    <w:p>
      <w:pPr>
        <w:pStyle w:val="Heading3"/>
      </w:pPr>
      <w:bookmarkStart w:id="4688" w:name="_Toc3384"/>
      <w:r>
        <w:t>دیوان سلطان حسن کیا</w:t>
      </w:r>
      <w:bookmarkEnd w:id="4688"/>
    </w:p>
    <w:p>
      <w:pPr>
        <w:pStyle w:val="BookText"/>
      </w:pPr>
      <w:r>
        <w:rPr>
          <w:rFonts w:ascii="IRNazanin" w:hAnsi="IRNazanin" w:eastAsia="IRNazanin" w:cs="IRNazanin"/>
          <w:lang w:bidi="fa-IR"/>
          <w:color w:val="111111"/>
          <w:sz w:val="28"/>
          <w:szCs w:val="28"/>
          <w:rtl/>
        </w:rPr>
        <w:t xml:space="preserve">راجع سلطان کیا.</w:t>
      </w:r>
    </w:p>
    <w:p>
      <w:pPr>
        <w:pStyle w:val="Heading3"/>
      </w:pPr>
      <w:bookmarkStart w:id="4689" w:name="_Toc3385"/>
      <w:r>
        <w:t>دیوان سلطان حسین بایقرا</w:t>
      </w:r>
      <w:bookmarkEnd w:id="4689"/>
    </w:p>
    <w:p>
      <w:pPr>
        <w:pStyle w:val="BookText"/>
      </w:pPr>
      <w:r>
        <w:rPr>
          <w:rFonts w:ascii="IRNazanin" w:hAnsi="IRNazanin" w:eastAsia="IRNazanin" w:cs="IRNazanin"/>
          <w:lang w:bidi="fa-IR"/>
          <w:color w:val="111111"/>
          <w:sz w:val="28"/>
          <w:szCs w:val="28"/>
          <w:rtl/>
        </w:rPr>
        <w:t xml:space="preserve">مر بعنوان دیوان حسینی گورکانی.</w:t>
      </w:r>
    </w:p>
    <w:p>
      <w:pPr>
        <w:pStyle w:val="Heading3"/>
      </w:pPr>
      <w:bookmarkStart w:id="4690" w:name="_Toc3386"/>
      <w:r>
        <w:t>دیوان سلطان الخطاطین‏</w:t>
      </w:r>
      <w:bookmarkEnd w:id="4690"/>
    </w:p>
    <w:p>
      <w:pPr>
        <w:pStyle w:val="BookText"/>
      </w:pPr>
      <w:r>
        <w:rPr>
          <w:rFonts w:ascii="IRNazanin" w:hAnsi="IRNazanin" w:eastAsia="IRNazanin" w:cs="IRNazanin"/>
          <w:lang w:bidi="fa-IR"/>
          <w:color w:val="111111"/>
          <w:sz w:val="28"/>
          <w:szCs w:val="28"/>
          <w:rtl/>
        </w:rPr>
        <w:t xml:space="preserve">راجع سلطان علی مشهدی.</w:t>
      </w:r>
    </w:p>
    <w:p>
      <w:pPr>
        <w:pStyle w:val="Heading3"/>
      </w:pPr>
      <w:bookmarkStart w:id="4691" w:name="_Toc3387"/>
      <w:r>
        <w:t>دیوان سلطان خدیجة</w:t>
      </w:r>
      <w:bookmarkEnd w:id="4691"/>
    </w:p>
    <w:p>
      <w:pPr>
        <w:pStyle w:val="BookText"/>
      </w:pPr>
      <w:r>
        <w:rPr>
          <w:rFonts w:ascii="IRNazanin" w:hAnsi="IRNazanin" w:eastAsia="IRNazanin" w:cs="IRNazanin"/>
          <w:lang w:bidi="fa-IR"/>
          <w:color w:val="111111"/>
          <w:sz w:val="28"/>
          <w:szCs w:val="28"/>
          <w:rtl/>
        </w:rPr>
        <w:t xml:space="preserve">راجع دیوان سلطان داغستانی.</w:t>
      </w:r>
    </w:p>
    <w:p>
      <w:pPr>
        <w:pStyle w:val="Heading3"/>
      </w:pPr>
      <w:bookmarkStart w:id="4692" w:name="_Toc3388"/>
      <w:r>
        <w:t>2622- دیوان سلطان داغستانی أو شعرها</w:t>
      </w:r>
      <w:bookmarkEnd w:id="4692"/>
    </w:p>
    <w:p>
      <w:pPr>
        <w:pStyle w:val="BookText"/>
      </w:pPr>
      <w:r>
        <w:rPr>
          <w:rFonts w:ascii="IRNazanin" w:hAnsi="IRNazanin" w:eastAsia="IRNazanin" w:cs="IRNazanin"/>
          <w:lang w:bidi="fa-IR"/>
          <w:color w:val="111111"/>
          <w:sz w:val="28"/>
          <w:szCs w:val="28"/>
          <w:rtl/>
        </w:rPr>
        <w:t xml:space="preserve">و هی خدیجة بنت حسن علی خان داغستانی عم علی قلی خان واله مؤلف ریاض الشعراء کانت معشوقة ابن عمها علی قلی خان هذا. و بعد فراره إلی الهند فی (1144) تزوجها میرزا أحمد وزیر إبراهیم شاه، فبعث علی قلی خان رجلا اسمه میرزا شریف لیأخذها من أصفهان فخاب سعیه و قد نظم غرامهما شمس الدین فقیر و مر بعنوان داستان واله و سلطان فی (ج 8 ص 40- 41). ترجمها (تغ-- ص 65) و أورد شعرها فی (دجا ص 183) و (از رابعة تا پروین ص 152) و (گلشن- ص 206). و توجد أشعار سلطان علی نسخه من داستان واله و سلطان المذکور فی (ج 8- ص 40) عند (سلطان القرائی) بتبریز.</w:t>
      </w:r>
    </w:p>
    <w:p>
      <w:pPr>
        <w:pStyle w:val="Heading3"/>
      </w:pPr>
      <w:bookmarkStart w:id="4693" w:name="_Toc3389"/>
      <w:r>
        <w:t>2623- دیوان السلطان سلغر شاه أو شعره‏</w:t>
      </w:r>
      <w:bookmarkEnd w:id="4693"/>
    </w:p>
    <w:p>
      <w:pPr>
        <w:pStyle w:val="BookText"/>
      </w:pPr>
      <w:r>
        <w:rPr>
          <w:rFonts w:ascii="IRNazanin" w:hAnsi="IRNazanin" w:eastAsia="IRNazanin" w:cs="IRNazanin"/>
          <w:lang w:bidi="fa-IR"/>
          <w:color w:val="111111"/>
          <w:sz w:val="28"/>
          <w:szCs w:val="28"/>
          <w:rtl/>
        </w:rPr>
        <w:t xml:space="preserve">هو ابن سعد زنگی و أخ أبی بکر أتابک بن سعد بن زنگی الذی کان ملقبا بقتلق خان و کان سلطان فارس من (623) إلی (658) و کان الشیخ سعدی یتخلص باسمه. ترجمه فی (مع- ج 1 ص 30) و أورد رباعیته التی أنشدها باکیا عند أخیه. و کذا فی (روشن- 298).</w:t>
      </w:r>
    </w:p>
    <w:p>
      <w:pPr>
        <w:pStyle w:val="Heading3"/>
      </w:pPr>
      <w:bookmarkStart w:id="4694" w:name="_Toc3390"/>
      <w:r>
        <w:t>2624- دیوان سلطان سلکی أو شعره‏</w:t>
      </w:r>
      <w:bookmarkEnd w:id="4694"/>
    </w:p>
    <w:p>
      <w:pPr>
        <w:pStyle w:val="BookText"/>
      </w:pPr>
      <w:r>
        <w:rPr>
          <w:rFonts w:ascii="IRNazanin" w:hAnsi="IRNazanin" w:eastAsia="IRNazanin" w:cs="IRNazanin"/>
          <w:lang w:bidi="fa-IR"/>
          <w:color w:val="111111"/>
          <w:sz w:val="28"/>
          <w:szCs w:val="28"/>
          <w:rtl/>
        </w:rPr>
        <w:t xml:space="preserve">و سلک من مضافات قندهار. و اسمه محمد.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51" w:name="pg11704_121933"/>
    <w:bookmarkEnd w:id="451"/>
    <w:p>
      <w:pPr>
        <w:pStyle w:val="BookText"/>
      </w:pPr>
      <w:r>
        <w:rPr>
          <w:rFonts w:ascii="IRNazanin" w:hAnsi="IRNazanin" w:eastAsia="IRNazanin" w:cs="IRNazanin"/>
          <w:lang w:bidi="fa-IR"/>
          <w:color w:val="111111"/>
          <w:sz w:val="28"/>
          <w:szCs w:val="28"/>
          <w:rtl/>
        </w:rPr>
        <w:t xml:space="preserve">نقل فی (خوش‏گو عن چهار عنصر لبی‏دل أن سلطان محمد هذا مدح الأمیر علی قلی خان أزبک المتخلص أیضا سلطان فطلب منه الأمیر الممدوح أن یترک هذا التخلص له و هدده بالقتل فلم یقبل الشاعر ذلک. و علی قلی خان المتخلص سلطان هو أخو محمد سعید عرف بهادر و هما ابنا حیدر سلطان أزبک و کلاهما شاعران أیضا.</w:t>
      </w:r>
    </w:p>
    <w:p>
      <w:pPr>
        <w:pStyle w:val="BookText"/>
      </w:pPr>
      <w:r>
        <w:rPr>
          <w:rFonts w:ascii="IRNazanin" w:hAnsi="IRNazanin" w:eastAsia="IRNazanin" w:cs="IRNazanin"/>
          <w:lang w:bidi="fa-IR"/>
          <w:color w:val="111111"/>
          <w:sz w:val="28"/>
          <w:szCs w:val="28"/>
          <w:rtl/>
        </w:rPr>
        <w:t xml:space="preserve">کذا فی (خوش‏گو). و أورد القضیة فی (روشن- ص 297) و لکن ذکر الممدوح باسم خان زمان سیستانی بدلا من الأمیر علی قلی خان أزبک.</w:t>
      </w:r>
    </w:p>
    <w:p>
      <w:pPr>
        <w:pStyle w:val="Heading3"/>
      </w:pPr>
      <w:bookmarkStart w:id="4695" w:name="_Toc3391"/>
      <w:r>
        <w:t>دیوان السلطان سلیمان‏</w:t>
      </w:r>
      <w:bookmarkEnd w:id="4695"/>
    </w:p>
    <w:p>
      <w:pPr>
        <w:pStyle w:val="BookText"/>
      </w:pPr>
      <w:r>
        <w:rPr>
          <w:rFonts w:ascii="IRNazanin" w:hAnsi="IRNazanin" w:eastAsia="IRNazanin" w:cs="IRNazanin"/>
          <w:lang w:bidi="fa-IR"/>
          <w:color w:val="111111"/>
          <w:sz w:val="28"/>
          <w:szCs w:val="28"/>
          <w:rtl/>
        </w:rPr>
        <w:t xml:space="preserve">یأتی باسمه سلیمان خان.</w:t>
      </w:r>
    </w:p>
    <w:p>
      <w:pPr>
        <w:pStyle w:val="Heading3"/>
      </w:pPr>
      <w:bookmarkStart w:id="4696" w:name="_Toc3392"/>
      <w:r>
        <w:t>دیوان السلطان سنجر</w:t>
      </w:r>
      <w:bookmarkEnd w:id="4696"/>
    </w:p>
    <w:p>
      <w:pPr>
        <w:pStyle w:val="BookText"/>
      </w:pPr>
      <w:r>
        <w:rPr>
          <w:rFonts w:ascii="IRNazanin" w:hAnsi="IRNazanin" w:eastAsia="IRNazanin" w:cs="IRNazanin"/>
          <w:lang w:bidi="fa-IR"/>
          <w:color w:val="111111"/>
          <w:sz w:val="28"/>
          <w:szCs w:val="28"/>
          <w:rtl/>
        </w:rPr>
        <w:t xml:space="preserve">بن ملک شاه بن ألب أرسلان السلجوقی المولود (479) و المتوفی (552) أو (555) ترجمه فی (مع- 1 ص 31) و أورد بعض شعره.</w:t>
      </w:r>
    </w:p>
    <w:p>
      <w:pPr>
        <w:pStyle w:val="Heading3"/>
      </w:pPr>
      <w:bookmarkStart w:id="4697" w:name="_Toc3393"/>
      <w:r>
        <w:t>2625- دیوان السید سلطان الشدقمی أو شعره‏</w:t>
      </w:r>
      <w:bookmarkEnd w:id="4697"/>
    </w:p>
    <w:p>
      <w:pPr>
        <w:pStyle w:val="BookText"/>
      </w:pPr>
      <w:r>
        <w:rPr>
          <w:rFonts w:ascii="IRNazanin" w:hAnsi="IRNazanin" w:eastAsia="IRNazanin" w:cs="IRNazanin"/>
          <w:lang w:bidi="fa-IR"/>
          <w:color w:val="111111"/>
          <w:sz w:val="28"/>
          <w:szCs w:val="28"/>
          <w:rtl/>
        </w:rPr>
        <w:t xml:space="preserve">و هو ابن السید محمد بن خضر الشدقمی المدنی. کتب بخطه منهاج النجاة للفیض و فرغ منه فی الثلاثاء (6 رجب- (1159) و کتب فی آخره ما لفظه: لکاتبه:</w:t>
      </w:r>
    </w:p>
    <w:p>
      <w:pPr>
        <w:pStyle w:val="BookText"/>
      </w:pPr>
      <w:r>
        <w:rPr>
          <w:rFonts w:ascii="IRNazanin" w:hAnsi="IRNazanin" w:eastAsia="IRNazanin" w:cs="IRNazanin"/>
          <w:lang w:bidi="fa-IR"/>
          <w:color w:val="111111"/>
          <w:sz w:val="28"/>
          <w:szCs w:val="28"/>
          <w:rtl/>
        </w:rPr>
        <w:t xml:space="preserve">إن تری عیبا فغطیه و کن‏</w:t>
      </w:r>
    </w:p>
    <w:p>
      <w:pPr>
        <w:pStyle w:val="BookText"/>
      </w:pPr>
      <w:r>
        <w:rPr>
          <w:rFonts w:ascii="IRNazanin" w:hAnsi="IRNazanin" w:eastAsia="IRNazanin" w:cs="IRNazanin"/>
          <w:lang w:bidi="fa-IR"/>
          <w:color w:val="111111"/>
          <w:sz w:val="28"/>
          <w:szCs w:val="28"/>
          <w:rtl/>
        </w:rPr>
        <w:t xml:space="preserve">ساتر العیب ککهف مؤتمن‏</w:t>
      </w:r>
    </w:p>
    <w:p>
      <w:pPr>
        <w:pStyle w:val="BookText"/>
      </w:pPr>
      <w:r>
        <w:rPr>
          <w:rFonts w:ascii="IRNazanin" w:hAnsi="IRNazanin" w:eastAsia="IRNazanin" w:cs="IRNazanin"/>
          <w:lang w:bidi="fa-IR"/>
          <w:color w:val="111111"/>
          <w:sz w:val="28"/>
          <w:szCs w:val="28"/>
          <w:rtl/>
        </w:rPr>
        <w:t xml:space="preserve">جل ربا لم یکن عیب به‏</w:t>
      </w:r>
    </w:p>
    <w:p>
      <w:pPr>
        <w:pStyle w:val="BookText"/>
      </w:pPr>
      <w:r>
        <w:rPr>
          <w:rFonts w:ascii="IRNazanin" w:hAnsi="IRNazanin" w:eastAsia="IRNazanin" w:cs="IRNazanin"/>
          <w:lang w:bidi="fa-IR"/>
          <w:color w:val="111111"/>
          <w:sz w:val="28"/>
          <w:szCs w:val="28"/>
          <w:rtl/>
        </w:rPr>
        <w:t xml:space="preserve">و هو ستار له الفعل الحسن‏</w:t>
      </w:r>
    </w:p>
    <w:p>
      <w:pPr>
        <w:pStyle w:val="BookText"/>
      </w:pPr>
      <w:r>
        <w:rPr>
          <w:rFonts w:ascii="IRNazanin" w:hAnsi="IRNazanin" w:eastAsia="IRNazanin" w:cs="IRNazanin"/>
          <w:lang w:bidi="fa-IR"/>
          <w:color w:val="111111"/>
          <w:sz w:val="28"/>
          <w:szCs w:val="28"/>
          <w:rtl/>
        </w:rPr>
        <w:t xml:space="preserve">و النسخة فی مکتبة الشیخ جواد الجزائری و قد کان من کتب السید خلیفة الأحسائی.</w:t>
      </w:r>
    </w:p>
    <w:p>
      <w:pPr>
        <w:pStyle w:val="Heading3"/>
      </w:pPr>
      <w:bookmarkStart w:id="4698" w:name="_Toc3394"/>
      <w:r>
        <w:t>2626- دیوان السلطان شاه الخوارزمی أو شعره‏</w:t>
      </w:r>
      <w:bookmarkEnd w:id="4698"/>
    </w:p>
    <w:p>
      <w:pPr>
        <w:pStyle w:val="BookText"/>
      </w:pPr>
      <w:r>
        <w:rPr>
          <w:rFonts w:ascii="IRNazanin" w:hAnsi="IRNazanin" w:eastAsia="IRNazanin" w:cs="IRNazanin"/>
          <w:lang w:bidi="fa-IR"/>
          <w:color w:val="111111"/>
          <w:sz w:val="28"/>
          <w:szCs w:val="28"/>
          <w:rtl/>
        </w:rPr>
        <w:t xml:space="preserve">هو ابن إیل أرسلان بن أتسز. جلس بعد أبیه من (558) أورد شعره فی (مع- ج 1 ص 30)</w:t>
      </w:r>
    </w:p>
    <w:p>
      <w:pPr>
        <w:pStyle w:val="Heading3"/>
      </w:pPr>
      <w:bookmarkStart w:id="4699" w:name="_Toc3395"/>
      <w:r>
        <w:t>2627 دیوان السلطان عبد الله أو شعره‏</w:t>
      </w:r>
      <w:bookmarkEnd w:id="4699"/>
    </w:p>
    <w:p>
      <w:pPr>
        <w:pStyle w:val="BookText"/>
      </w:pPr>
      <w:r>
        <w:rPr>
          <w:rFonts w:ascii="IRNazanin" w:hAnsi="IRNazanin" w:eastAsia="IRNazanin" w:cs="IRNazanin"/>
          <w:lang w:bidi="fa-IR"/>
          <w:color w:val="111111"/>
          <w:sz w:val="28"/>
          <w:szCs w:val="28"/>
          <w:rtl/>
        </w:rPr>
        <w:t xml:space="preserve">هو ملک بخارا و الشاعر بالترکیة و الفارسیة.</w:t>
      </w:r>
    </w:p>
    <w:p>
      <w:pPr>
        <w:pStyle w:val="BookText"/>
      </w:pPr>
      <w:r>
        <w:rPr>
          <w:rFonts w:ascii="IRNazanin" w:hAnsi="IRNazanin" w:eastAsia="IRNazanin" w:cs="IRNazanin"/>
          <w:lang w:bidi="fa-IR"/>
          <w:color w:val="111111"/>
          <w:sz w:val="28"/>
          <w:szCs w:val="28"/>
          <w:rtl/>
        </w:rPr>
        <w:t xml:space="preserve">ترجمه القزوینی فی (بهش 2- ص 378) و أورد شعره.</w:t>
      </w:r>
    </w:p>
    <w:p>
      <w:pPr>
        <w:pStyle w:val="Heading3"/>
      </w:pPr>
      <w:bookmarkStart w:id="4700" w:name="_Toc3396"/>
      <w:r>
        <w:t>دیوان سلطان العلماء</w:t>
      </w:r>
      <w:bookmarkEnd w:id="4700"/>
    </w:p>
    <w:p>
      <w:pPr>
        <w:pStyle w:val="BookText"/>
      </w:pPr>
      <w:r>
        <w:rPr>
          <w:rFonts w:ascii="IRNazanin" w:hAnsi="IRNazanin" w:eastAsia="IRNazanin" w:cs="IRNazanin"/>
          <w:lang w:bidi="fa-IR"/>
          <w:color w:val="111111"/>
          <w:sz w:val="28"/>
          <w:szCs w:val="28"/>
          <w:rtl/>
        </w:rPr>
        <w:t xml:space="preserve">مر بعنوان خلیفة سلطان فی (ص 302) ترجمه فی تاریخ نائین ص 299- 300 و ذکر قوله بانقراض الجن فی زمن النبی ص و عدم وجودهم الیوم.</w:t>
      </w:r>
    </w:p>
    <w:p>
      <w:pPr>
        <w:pStyle w:val="Heading3"/>
      </w:pPr>
      <w:bookmarkStart w:id="4701" w:name="_Toc3397"/>
      <w:r>
        <w:t>دیوان سلطان علی أوبهی‏</w:t>
      </w:r>
      <w:bookmarkEnd w:id="4701"/>
    </w:p>
    <w:p>
      <w:pPr>
        <w:pStyle w:val="BookText"/>
      </w:pPr>
      <w:r>
        <w:rPr>
          <w:rFonts w:ascii="IRNazanin" w:hAnsi="IRNazanin" w:eastAsia="IRNazanin" w:cs="IRNazanin"/>
          <w:lang w:bidi="fa-IR"/>
          <w:color w:val="111111"/>
          <w:sz w:val="28"/>
          <w:szCs w:val="28"/>
          <w:rtl/>
        </w:rPr>
        <w:t xml:space="preserve">و هو المذکور بعنوان حافظ أوبهی فی (ص 220) قال سنگلاخ فی امتحان الفضلاء- ج 1 ص 159 إنه رأی رباعیاته بخط جعفر هروی الخطاط</w:t>
      </w:r>
      <w:r>
        <w:rPr>
          <w:rStyle w:val="FootnoteReference"/>
        </w:rPr>
        <w:footnoteReference w:id="41"/>
      </w:r>
      <w:r>
        <w:rPr>
          <w:rFonts w:ascii="Times New Roman" w:hAnsi="Times New Roman" w:eastAsia="Times New Roman" w:cs="Times New Roman"/>
          <w:lang w:val="en-US" w:bidi="en-US"/>
          <w:color w:val="111111"/>
          <w:sz w:val="28"/>
          <w:szCs w:val="28"/>
          <w:rtl/>
        </w:rPr>
        <w:t xml:space="preserve">.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452" w:name="pg11704_121934"/>
    <w:bookmarkEnd w:id="452"/>
    <w:p>
      <w:pPr>
        <w:pStyle w:val="Heading3"/>
      </w:pPr>
      <w:bookmarkStart w:id="4702" w:name="_Toc3398"/>
      <w:r>
        <w:t>دیوان سلطان علی بیگ‏</w:t>
      </w:r>
      <w:bookmarkEnd w:id="4702"/>
    </w:p>
    <w:p>
      <w:pPr>
        <w:pStyle w:val="BookText"/>
      </w:pPr>
      <w:r>
        <w:rPr>
          <w:rFonts w:ascii="IRNazanin" w:hAnsi="IRNazanin" w:eastAsia="IRNazanin" w:cs="IRNazanin"/>
          <w:lang w:bidi="fa-IR"/>
          <w:color w:val="111111"/>
          <w:sz w:val="28"/>
          <w:szCs w:val="28"/>
          <w:rtl/>
        </w:rPr>
        <w:t xml:space="preserve">مر بعنوان رهی شاملو.</w:t>
      </w:r>
    </w:p>
    <w:p>
      <w:pPr>
        <w:pStyle w:val="Heading3"/>
      </w:pPr>
      <w:bookmarkStart w:id="4703" w:name="_Toc3399"/>
      <w:r>
        <w:t>دیوان سلطان علی شاملو</w:t>
      </w:r>
      <w:bookmarkEnd w:id="4703"/>
    </w:p>
    <w:p>
      <w:pPr>
        <w:pStyle w:val="BookText"/>
      </w:pPr>
      <w:r>
        <w:rPr>
          <w:rFonts w:ascii="IRNazanin" w:hAnsi="IRNazanin" w:eastAsia="IRNazanin" w:cs="IRNazanin"/>
          <w:lang w:bidi="fa-IR"/>
          <w:color w:val="111111"/>
          <w:sz w:val="28"/>
          <w:szCs w:val="28"/>
          <w:rtl/>
        </w:rPr>
        <w:t xml:space="preserve">راجع دیوان رهی شاملو.</w:t>
      </w:r>
    </w:p>
    <w:p>
      <w:pPr>
        <w:pStyle w:val="Heading3"/>
      </w:pPr>
      <w:bookmarkStart w:id="4704" w:name="_Toc3400"/>
      <w:r>
        <w:t>دیوان سلطان علی قائنی أو شعره‏</w:t>
      </w:r>
      <w:bookmarkEnd w:id="4704"/>
    </w:p>
    <w:p>
      <w:pPr>
        <w:pStyle w:val="BookText"/>
      </w:pPr>
      <w:r>
        <w:rPr>
          <w:rFonts w:ascii="IRNazanin" w:hAnsi="IRNazanin" w:eastAsia="IRNazanin" w:cs="IRNazanin"/>
          <w:lang w:bidi="fa-IR"/>
          <w:color w:val="111111"/>
          <w:sz w:val="28"/>
          <w:szCs w:val="28"/>
          <w:rtl/>
        </w:rPr>
        <w:t xml:space="preserve">کان ملازما للمولی عبد الرحمن الجامی الذی توفی (898) و کاتبا لتصانیفه بخطه الجید النسخ التعلیق ترجمه فی (مجن 4- ص 274 و 101) و أورد مطلعا لغزله و ذکر أنه کان یغالی فی قیمه کل بیت من خطه لکن أهل الإدراک ینکرون قوله فیظهر أنه غیر الخطاط المشهور الآتی بعد.</w:t>
      </w:r>
    </w:p>
    <w:p>
      <w:pPr>
        <w:pStyle w:val="Heading3"/>
      </w:pPr>
      <w:bookmarkStart w:id="4705" w:name="_Toc3401"/>
      <w:r>
        <w:t>دیوان سلطان علی کاتب‏</w:t>
      </w:r>
      <w:bookmarkEnd w:id="4705"/>
    </w:p>
    <w:p>
      <w:pPr>
        <w:pStyle w:val="BookText"/>
      </w:pPr>
      <w:r>
        <w:rPr>
          <w:rFonts w:ascii="IRNazanin" w:hAnsi="IRNazanin" w:eastAsia="IRNazanin" w:cs="IRNazanin"/>
          <w:lang w:bidi="fa-IR"/>
          <w:color w:val="111111"/>
          <w:sz w:val="28"/>
          <w:szCs w:val="28"/>
          <w:rtl/>
        </w:rPr>
        <w:t xml:space="preserve">راجع سلطان علی مشهدی.</w:t>
      </w:r>
    </w:p>
    <w:p>
      <w:pPr>
        <w:pStyle w:val="Heading3"/>
      </w:pPr>
      <w:bookmarkStart w:id="4706" w:name="_Toc3402"/>
      <w:r>
        <w:t>دیوان سلطان علی مشهدی‏</w:t>
      </w:r>
      <w:bookmarkEnd w:id="4706"/>
    </w:p>
    <w:p>
      <w:pPr>
        <w:pStyle w:val="BookText"/>
      </w:pPr>
      <w:r>
        <w:rPr>
          <w:rFonts w:ascii="IRNazanin" w:hAnsi="IRNazanin" w:eastAsia="IRNazanin" w:cs="IRNazanin"/>
          <w:lang w:bidi="fa-IR"/>
          <w:color w:val="111111"/>
          <w:sz w:val="28"/>
          <w:szCs w:val="28"/>
          <w:rtl/>
        </w:rPr>
        <w:t xml:space="preserve">الخطاط المعروف بملا سلطان علی. ترجمه فی (مجن 4 ص 100 و 273) و وصفه بقبلة الکتاب، و أورد له مطلعا:</w:t>
      </w:r>
    </w:p>
    <w:p>
      <w:pPr>
        <w:pStyle w:val="BookText"/>
      </w:pPr>
      <w:r>
        <w:rPr>
          <w:rFonts w:ascii="IRNazanin" w:hAnsi="IRNazanin" w:eastAsia="IRNazanin" w:cs="IRNazanin"/>
          <w:lang w:bidi="fa-IR"/>
          <w:color w:val="111111"/>
          <w:sz w:val="28"/>
          <w:szCs w:val="28"/>
          <w:rtl/>
        </w:rPr>
        <w:t xml:space="preserve">گل در بهار از آن رخ گلگونه شمه‏ای است‏</w:t>
      </w:r>
    </w:p>
    <w:p>
      <w:pPr>
        <w:pStyle w:val="BookText"/>
      </w:pPr>
      <w:r>
        <w:rPr>
          <w:rFonts w:ascii="IRNazanin" w:hAnsi="IRNazanin" w:eastAsia="IRNazanin" w:cs="IRNazanin"/>
          <w:lang w:bidi="fa-IR"/>
          <w:color w:val="111111"/>
          <w:sz w:val="28"/>
          <w:szCs w:val="28"/>
          <w:rtl/>
        </w:rPr>
        <w:t xml:space="preserve">چون أشک من که از دل پرخون نمونه‏ای است‏</w:t>
      </w:r>
    </w:p>
    <w:p>
      <w:pPr>
        <w:pStyle w:val="BookText"/>
      </w:pPr>
      <w:r>
        <w:rPr>
          <w:rFonts w:ascii="IRNazanin" w:hAnsi="IRNazanin" w:eastAsia="IRNazanin" w:cs="IRNazanin"/>
          <w:lang w:bidi="fa-IR"/>
          <w:color w:val="111111"/>
          <w:sz w:val="28"/>
          <w:szCs w:val="28"/>
          <w:rtl/>
        </w:rPr>
        <w:t xml:space="preserve">و ترجمه سام میرزا فی (تس 4- ص 69) و قال إن خطه النسخ التعلیق أشهر من أن یذکر و یوصف. و أورد بیتین من مثنویة:</w:t>
      </w:r>
    </w:p>
    <w:p>
      <w:pPr>
        <w:pStyle w:val="BookText"/>
      </w:pPr>
      <w:r>
        <w:rPr>
          <w:rFonts w:ascii="IRNazanin" w:hAnsi="IRNazanin" w:eastAsia="IRNazanin" w:cs="IRNazanin"/>
          <w:lang w:bidi="fa-IR"/>
          <w:color w:val="111111"/>
          <w:sz w:val="28"/>
          <w:szCs w:val="28"/>
          <w:rtl/>
        </w:rPr>
        <w:t xml:space="preserve">مرا عمر شصت و سه بیش است و کم‏</w:t>
      </w:r>
    </w:p>
    <w:p>
      <w:pPr>
        <w:pStyle w:val="BookText"/>
      </w:pPr>
      <w:r>
        <w:rPr>
          <w:rFonts w:ascii="IRNazanin" w:hAnsi="IRNazanin" w:eastAsia="IRNazanin" w:cs="IRNazanin"/>
          <w:lang w:bidi="fa-IR"/>
          <w:color w:val="111111"/>
          <w:sz w:val="28"/>
          <w:szCs w:val="28"/>
          <w:rtl/>
        </w:rPr>
        <w:t xml:space="preserve">هنوزم جوان است مشکین رقم‏</w:t>
      </w:r>
    </w:p>
    <w:p>
      <w:pPr>
        <w:pStyle w:val="BookText"/>
      </w:pPr>
      <w:r>
        <w:rPr>
          <w:rFonts w:ascii="IRNazanin" w:hAnsi="IRNazanin" w:eastAsia="IRNazanin" w:cs="IRNazanin"/>
          <w:lang w:bidi="fa-IR"/>
          <w:color w:val="111111"/>
          <w:sz w:val="28"/>
          <w:szCs w:val="28"/>
          <w:rtl/>
        </w:rPr>
        <w:t xml:space="preserve">توانم هنوز از خفی و جلی‏</w:t>
      </w:r>
    </w:p>
    <w:p>
      <w:pPr>
        <w:pStyle w:val="BookText"/>
      </w:pPr>
      <w:r>
        <w:rPr>
          <w:rFonts w:ascii="IRNazanin" w:hAnsi="IRNazanin" w:eastAsia="IRNazanin" w:cs="IRNazanin"/>
          <w:lang w:bidi="fa-IR"/>
          <w:color w:val="111111"/>
          <w:sz w:val="28"/>
          <w:szCs w:val="28"/>
          <w:rtl/>
        </w:rPr>
        <w:t xml:space="preserve">نویسم که: العبد سلطان علی‏</w:t>
      </w:r>
    </w:p>
    <w:p>
      <w:pPr>
        <w:pStyle w:val="BookText"/>
      </w:pPr>
      <w:r>
        <w:rPr>
          <w:rFonts w:ascii="IRNazanin" w:hAnsi="IRNazanin" w:eastAsia="IRNazanin" w:cs="IRNazanin"/>
          <w:lang w:bidi="fa-IR"/>
          <w:color w:val="111111"/>
          <w:sz w:val="28"/>
          <w:szCs w:val="28"/>
          <w:rtl/>
        </w:rPr>
        <w:t xml:space="preserve">أقول: و هذا من مثنویة صراط السطور و هو منظومة فی علم الخط فی (270 بیت) و فی أوله مقدمه نثریة.</w:t>
      </w:r>
    </w:p>
    <w:p>
      <w:pPr>
        <w:pStyle w:val="BookText"/>
      </w:pPr>
      <w:r>
        <w:rPr>
          <w:rFonts w:ascii="IRNazanin" w:hAnsi="IRNazanin" w:eastAsia="IRNazanin" w:cs="IRNazanin"/>
          <w:lang w:bidi="fa-IR"/>
          <w:color w:val="111111"/>
          <w:sz w:val="28"/>
          <w:szCs w:val="28"/>
          <w:rtl/>
        </w:rPr>
        <w:t xml:space="preserve">و أول المنظوم:</w:t>
      </w:r>
    </w:p>
    <w:p>
      <w:pPr>
        <w:pStyle w:val="BookText"/>
      </w:pPr>
      <w:r>
        <w:rPr>
          <w:rFonts w:ascii="IRNazanin" w:hAnsi="IRNazanin" w:eastAsia="IRNazanin" w:cs="IRNazanin"/>
          <w:lang w:bidi="fa-IR"/>
          <w:color w:val="111111"/>
          <w:sz w:val="28"/>
          <w:szCs w:val="28"/>
          <w:rtl/>
        </w:rPr>
        <w:t xml:space="preserve">با این همه بی‏حاصلی و بلهوسی‏</w:t>
      </w:r>
    </w:p>
    <w:p>
      <w:pPr>
        <w:pStyle w:val="BookText"/>
      </w:pPr>
      <w:r>
        <w:rPr>
          <w:rFonts w:ascii="IRNazanin" w:hAnsi="IRNazanin" w:eastAsia="IRNazanin" w:cs="IRNazanin"/>
          <w:lang w:bidi="fa-IR"/>
          <w:color w:val="111111"/>
          <w:sz w:val="28"/>
          <w:szCs w:val="28"/>
          <w:rtl/>
        </w:rPr>
        <w:t xml:space="preserve">درمانده به پارسائی و هیچ کسی‏</w:t>
      </w:r>
    </w:p>
    <w:p>
      <w:pPr>
        <w:pStyle w:val="BookText"/>
      </w:pPr>
      <w:r>
        <w:rPr>
          <w:rFonts w:ascii="IRNazanin" w:hAnsi="IRNazanin" w:eastAsia="IRNazanin" w:cs="IRNazanin"/>
          <w:lang w:bidi="fa-IR"/>
          <w:color w:val="111111"/>
          <w:sz w:val="28"/>
          <w:szCs w:val="28"/>
          <w:rtl/>
        </w:rPr>
        <w:t xml:space="preserve">قال فی أوله إن والده مات عن أربعین سنة من عمره و له آنئذ سبعة سنین. و قال فی تاریخ نظمه فی آخر المنظومة:</w:t>
      </w:r>
    </w:p>
    <w:p>
      <w:pPr>
        <w:pStyle w:val="BookText"/>
      </w:pPr>
      <w:r>
        <w:rPr>
          <w:rFonts w:ascii="IRNazanin" w:hAnsi="IRNazanin" w:eastAsia="IRNazanin" w:cs="IRNazanin"/>
          <w:lang w:bidi="fa-IR"/>
          <w:color w:val="111111"/>
          <w:sz w:val="28"/>
          <w:szCs w:val="28"/>
          <w:rtl/>
        </w:rPr>
        <w:t xml:space="preserve">سال تاریخ نظم این نامه‏</w:t>
      </w:r>
    </w:p>
    <w:p>
      <w:pPr>
        <w:pStyle w:val="BookText"/>
      </w:pPr>
      <w:r>
        <w:rPr>
          <w:rFonts w:ascii="IRNazanin" w:hAnsi="IRNazanin" w:eastAsia="IRNazanin" w:cs="IRNazanin"/>
          <w:lang w:bidi="fa-IR"/>
          <w:color w:val="111111"/>
          <w:sz w:val="28"/>
          <w:szCs w:val="28"/>
          <w:rtl/>
        </w:rPr>
        <w:t xml:space="preserve">نهصد و بیست زد رقم خامه‏</w:t>
      </w:r>
    </w:p>
    <w:p>
      <w:pPr>
        <w:pStyle w:val="BookText"/>
      </w:pPr>
      <w:r>
        <w:rPr>
          <w:rFonts w:ascii="IRNazanin" w:hAnsi="IRNazanin" w:eastAsia="IRNazanin" w:cs="IRNazanin"/>
          <w:lang w:bidi="fa-IR"/>
          <w:color w:val="111111"/>
          <w:sz w:val="28"/>
          <w:szCs w:val="28"/>
          <w:rtl/>
        </w:rPr>
        <w:t xml:space="preserve">أی (920) و عمره إذ ذاک ثمانون سنة و هو مبتلی بآبله‏فرنگی و قد أقعده المرض خمس سنین و قد طبع المنظومة فی آخر المجلد الثانی من امتحان الفضلاء (ص 359- 371) و مع هذا فقد قال سنگلاخ إنه توفی (915 أو 909) و عده فی شاهد صادق من المتوفین (919)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53" w:name="pg11704_121935"/>
    <w:bookmarkEnd w:id="453"/>
    <w:p>
      <w:pPr>
        <w:pStyle w:val="BookText"/>
      </w:pPr>
      <w:r>
        <w:rPr>
          <w:rFonts w:ascii="IRNazanin" w:hAnsi="IRNazanin" w:eastAsia="IRNazanin" w:cs="IRNazanin"/>
          <w:lang w:bidi="fa-IR"/>
          <w:color w:val="111111"/>
          <w:sz w:val="28"/>
          <w:szCs w:val="28"/>
          <w:rtl/>
        </w:rPr>
        <w:t xml:space="preserve">و کذا فی حبیب السیر الجزء الثالث من المجلد الثالث- ص 344 و ترجمه فی (لس- ص 352) فی عداد الکتاب و الوزراء. و قال فی پیدایش خط و خطاطان- ص 158 إنه تلمذ علی أظهر هروی و تقرب عند السلطان حسین بایقرا و المیر علی شیر، و توجد بخطه أکثر کتائب المساجد فی هرات حتی الیوم، و کان عمره ست و ستین سنة و لم یشتعل رأسه شیبا بعد. و مات (919). و أورد شعره فی (گلشن- ص 207).</w:t>
      </w:r>
    </w:p>
    <w:p>
      <w:pPr>
        <w:pStyle w:val="Heading3"/>
      </w:pPr>
      <w:bookmarkStart w:id="4707" w:name="_Toc3403"/>
      <w:r>
        <w:t>دیوان مولانا سلطان علی الهروی‏</w:t>
      </w:r>
      <w:bookmarkEnd w:id="4707"/>
    </w:p>
    <w:p>
      <w:pPr>
        <w:pStyle w:val="BookText"/>
      </w:pPr>
      <w:r>
        <w:rPr>
          <w:rFonts w:ascii="IRNazanin" w:hAnsi="IRNazanin" w:eastAsia="IRNazanin" w:cs="IRNazanin"/>
          <w:lang w:bidi="fa-IR"/>
          <w:color w:val="111111"/>
          <w:sz w:val="28"/>
          <w:szCs w:val="28"/>
          <w:rtl/>
        </w:rPr>
        <w:t xml:space="preserve">أخ المولی هلاکی الذی کان مصاحبا مع المولی عبد الرحمن الجامی فی سفر الحج ترجمه فی (مجتس 6- ص 151 و أورد شعره.</w:t>
      </w:r>
    </w:p>
    <w:p>
      <w:pPr>
        <w:pStyle w:val="Heading3"/>
      </w:pPr>
      <w:bookmarkStart w:id="4708" w:name="_Toc3404"/>
      <w:r>
        <w:t>2628- دیوان سلطان قاجار</w:t>
      </w:r>
      <w:bookmarkEnd w:id="4708"/>
    </w:p>
    <w:p>
      <w:pPr>
        <w:pStyle w:val="BookText"/>
      </w:pPr>
      <w:r>
        <w:rPr>
          <w:rFonts w:ascii="IRNazanin" w:hAnsi="IRNazanin" w:eastAsia="IRNazanin" w:cs="IRNazanin"/>
          <w:lang w:bidi="fa-IR"/>
          <w:color w:val="111111"/>
          <w:sz w:val="28"/>
          <w:szCs w:val="28"/>
          <w:rtl/>
        </w:rPr>
        <w:t xml:space="preserve">لشاه‏زاده سلطان محمد میرزا الملقب بسیف الدولة ابن الفتح علی شاه المولود (1227) من أمه الکرجیة تاج الدولة، و تولی الحکومات فی عهد والده، و حج فی (1279) ترجمه مفصلا فی (مع- ج 1 ص 31) و ذکر من مثنویاته ملوک الکلام و تحفه الحرمین و سیف الرسائل و قال إن دیوانه یقرب من عشرین ألف بیت من الغزلیات و الترجیعات. توجد نسخه الدیوان فی (الرضویة). و له تذکره السلاطین و بزم خاقان توجد الأول فی مکتبة سپهسالار و الثانی فی (المجلس) کما فصلهما فی فهرس سپهسالار (ج 2 ص 477- 479) و هما فی أحوال الشعراء.</w:t>
      </w:r>
    </w:p>
    <w:p>
      <w:pPr>
        <w:pStyle w:val="Heading3"/>
      </w:pPr>
      <w:bookmarkStart w:id="4709" w:name="_Toc3405"/>
      <w:r>
        <w:t>2629- دیوان سلطان قاجار أو شعرها</w:t>
      </w:r>
      <w:bookmarkEnd w:id="4709"/>
    </w:p>
    <w:p>
      <w:pPr>
        <w:pStyle w:val="BookText"/>
      </w:pPr>
      <w:r>
        <w:rPr>
          <w:rFonts w:ascii="IRNazanin" w:hAnsi="IRNazanin" w:eastAsia="IRNazanin" w:cs="IRNazanin"/>
          <w:lang w:bidi="fa-IR"/>
          <w:color w:val="111111"/>
          <w:sz w:val="28"/>
          <w:szCs w:val="28"/>
          <w:rtl/>
        </w:rPr>
        <w:t xml:space="preserve">و هی بنت محمود میرزا بن فتح علی شاه. ترجمها و أورد شعرها والدها فی تذکره نقل مجلس و عنه فی از رابعة تا پروین- ص 151. و کذا فی (پژمان- ص 210).</w:t>
      </w:r>
    </w:p>
    <w:p>
      <w:pPr>
        <w:pStyle w:val="Heading3"/>
      </w:pPr>
      <w:bookmarkStart w:id="4710" w:name="_Toc3406"/>
      <w:r>
        <w:t>2630- دیوان سلطان قمی أو شعره‏</w:t>
      </w:r>
      <w:bookmarkEnd w:id="4710"/>
    </w:p>
    <w:p>
      <w:pPr>
        <w:pStyle w:val="BookText"/>
      </w:pPr>
      <w:r>
        <w:rPr>
          <w:rFonts w:ascii="IRNazanin" w:hAnsi="IRNazanin" w:eastAsia="IRNazanin" w:cs="IRNazanin"/>
          <w:lang w:bidi="fa-IR"/>
          <w:color w:val="111111"/>
          <w:sz w:val="28"/>
          <w:szCs w:val="28"/>
          <w:rtl/>
        </w:rPr>
        <w:t xml:space="preserve">و اسمه ملک سلطان محمد ابن رئیس شهاب الدین القمی المعمائی. ترجمه فی (خص 8- ص 271) و (تغ- ص 66) و (تش- ص 232) و زاد هذا أنه صار کلانتر قم. و أورد شعره (پژمان- ص 210). و لا أظن والده شهاب الدین حقیری المذکور فی (ص 259).</w:t>
      </w:r>
    </w:p>
    <w:p>
      <w:pPr>
        <w:pStyle w:val="Heading3"/>
      </w:pPr>
      <w:bookmarkStart w:id="4711" w:name="_Toc3407"/>
      <w:r>
        <w:t>دیوان سلطان کرمانشاهی‏</w:t>
      </w:r>
      <w:bookmarkEnd w:id="4711"/>
    </w:p>
    <w:p>
      <w:pPr>
        <w:pStyle w:val="BookText"/>
      </w:pPr>
      <w:r>
        <w:rPr>
          <w:rFonts w:ascii="IRNazanin" w:hAnsi="IRNazanin" w:eastAsia="IRNazanin" w:cs="IRNazanin"/>
          <w:lang w:bidi="fa-IR"/>
          <w:color w:val="111111"/>
          <w:sz w:val="28"/>
          <w:szCs w:val="28"/>
          <w:rtl/>
        </w:rPr>
        <w:t xml:space="preserve">کما فی (مع 2- ص 152) یأتی بعنوان سلطانی.</w:t>
      </w:r>
    </w:p>
    <w:p>
      <w:pPr>
        <w:pStyle w:val="Heading3"/>
      </w:pPr>
      <w:bookmarkStart w:id="4712" w:name="_Toc3408"/>
      <w:r>
        <w:t>2631- دیوان سلطان کیا أو شعره‏</w:t>
      </w:r>
      <w:bookmarkEnd w:id="4712"/>
    </w:p>
    <w:p>
      <w:pPr>
        <w:pStyle w:val="BookText"/>
      </w:pPr>
      <w:r>
        <w:rPr>
          <w:rFonts w:ascii="IRNazanin" w:hAnsi="IRNazanin" w:eastAsia="IRNazanin" w:cs="IRNazanin"/>
          <w:lang w:bidi="fa-IR"/>
          <w:color w:val="111111"/>
          <w:sz w:val="28"/>
          <w:szCs w:val="28"/>
          <w:rtl/>
        </w:rPr>
        <w:t xml:space="preserve">و هو السلطان حسن والی گیلان و لاهیجان بن کارکیا السلطان أحمد من أحفاد الأمیر کیا الملاطی. ملک بعد قتل عمه سلطان علی إلی أن توفی (903) ترجمه سام میرزا فی (تس 1- ص 10) و أورد مطلع غزله.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54" w:name="pg11704_121936"/>
    <w:bookmarkEnd w:id="454"/>
    <w:p>
      <w:pPr>
        <w:pStyle w:val="Heading3"/>
      </w:pPr>
      <w:bookmarkStart w:id="4713" w:name="_Toc3409"/>
      <w:r>
        <w:t>2632- دیوان سلطان محمد أسترآبادی أو شعره‏</w:t>
      </w:r>
      <w:bookmarkEnd w:id="4713"/>
    </w:p>
    <w:p>
      <w:pPr>
        <w:pStyle w:val="BookText"/>
      </w:pPr>
      <w:r>
        <w:rPr>
          <w:rFonts w:ascii="IRNazanin" w:hAnsi="IRNazanin" w:eastAsia="IRNazanin" w:cs="IRNazanin"/>
          <w:lang w:bidi="fa-IR"/>
          <w:color w:val="111111"/>
          <w:sz w:val="28"/>
          <w:szCs w:val="28"/>
          <w:rtl/>
        </w:rPr>
        <w:t xml:space="preserve">أخ المولی إبراهیم الخطاط الذی کان منشئا للروضة الرضویة. ذکره سام میرزا فی (تس 4- ص 82) و ذکر شعره.</w:t>
      </w:r>
    </w:p>
    <w:p>
      <w:pPr>
        <w:pStyle w:val="Heading3"/>
      </w:pPr>
      <w:bookmarkStart w:id="4714" w:name="_Toc3410"/>
      <w:r>
        <w:t>دیوان سلطان محمد أسترآبادی الکاشانی‏</w:t>
      </w:r>
      <w:bookmarkEnd w:id="4714"/>
    </w:p>
    <w:p>
      <w:pPr>
        <w:pStyle w:val="BookText"/>
      </w:pPr>
      <w:r>
        <w:rPr>
          <w:rFonts w:ascii="IRNazanin" w:hAnsi="IRNazanin" w:eastAsia="IRNazanin" w:cs="IRNazanin"/>
          <w:lang w:bidi="fa-IR"/>
          <w:color w:val="111111"/>
          <w:sz w:val="28"/>
          <w:szCs w:val="28"/>
          <w:rtl/>
        </w:rPr>
        <w:t xml:space="preserve">یأتی بعنوان تخلصه دیوان صدقی.</w:t>
      </w:r>
    </w:p>
    <w:p>
      <w:pPr>
        <w:pStyle w:val="Heading3"/>
      </w:pPr>
      <w:bookmarkStart w:id="4715" w:name="_Toc3411"/>
      <w:r>
        <w:t>2633- دیوان سلطان محمد خندان أو شعره‏</w:t>
      </w:r>
      <w:bookmarkEnd w:id="4715"/>
    </w:p>
    <w:p>
      <w:pPr>
        <w:pStyle w:val="BookText"/>
      </w:pPr>
      <w:r>
        <w:rPr>
          <w:rFonts w:ascii="IRNazanin" w:hAnsi="IRNazanin" w:eastAsia="IRNazanin" w:cs="IRNazanin"/>
          <w:lang w:bidi="fa-IR"/>
          <w:color w:val="111111"/>
          <w:sz w:val="28"/>
          <w:szCs w:val="28"/>
          <w:rtl/>
        </w:rPr>
        <w:t xml:space="preserve">خطاط معروف من أهل کابل. ذکره فی (روشن- ص 298) بتخلص سلطان و أورد شعره و قال إنه من أطراف کابل.</w:t>
      </w:r>
    </w:p>
    <w:p>
      <w:pPr>
        <w:pStyle w:val="BookText"/>
      </w:pPr>
      <w:r>
        <w:rPr>
          <w:rFonts w:ascii="IRNazanin" w:hAnsi="IRNazanin" w:eastAsia="IRNazanin" w:cs="IRNazanin"/>
          <w:lang w:bidi="fa-IR"/>
          <w:color w:val="111111"/>
          <w:sz w:val="28"/>
          <w:szCs w:val="28"/>
          <w:rtl/>
        </w:rPr>
        <w:t xml:space="preserve">و قال فی الریحانة إنه تلمذ الخط علی سلطان علی المشهدی قبله الکتاب، و مات (950).</w:t>
      </w:r>
    </w:p>
    <w:p>
      <w:pPr>
        <w:pStyle w:val="BookText"/>
      </w:pPr>
      <w:r>
        <w:rPr>
          <w:rFonts w:ascii="IRNazanin" w:hAnsi="IRNazanin" w:eastAsia="IRNazanin" w:cs="IRNazanin"/>
          <w:lang w:bidi="fa-IR"/>
          <w:color w:val="111111"/>
          <w:sz w:val="28"/>
          <w:szCs w:val="28"/>
          <w:rtl/>
        </w:rPr>
        <w:t xml:space="preserve">قال سنگلاخ فی امتحان الفضلاء (ج 2- ص 39) إن الخطاطین یعرفون السلطان علی المشهدی و تلمیذه السلطان محمد خندان به السلطانین و ترجمه الخواند میر فی الجزء الثالث من المجلد الثالث من حبیب السیر (ص 350) و المیر معصوم فی طرائق الحقائق (ج 3 ص 51).</w:t>
      </w:r>
    </w:p>
    <w:p>
      <w:pPr>
        <w:pStyle w:val="Heading3"/>
      </w:pPr>
      <w:bookmarkStart w:id="4716" w:name="_Toc3412"/>
      <w:r>
        <w:t>دیوان سلطان محمد سبزواری‏</w:t>
      </w:r>
      <w:bookmarkEnd w:id="4716"/>
    </w:p>
    <w:p>
      <w:pPr>
        <w:pStyle w:val="BookText"/>
      </w:pPr>
      <w:r>
        <w:rPr>
          <w:rFonts w:ascii="IRNazanin" w:hAnsi="IRNazanin" w:eastAsia="IRNazanin" w:cs="IRNazanin"/>
          <w:lang w:bidi="fa-IR"/>
          <w:color w:val="111111"/>
          <w:sz w:val="28"/>
          <w:szCs w:val="28"/>
          <w:rtl/>
        </w:rPr>
        <w:t xml:space="preserve">من مادحی أهل البیت علیه السلام  یأتی بتخلصه نوشی.</w:t>
      </w:r>
    </w:p>
    <w:p>
      <w:pPr>
        <w:pStyle w:val="Heading3"/>
      </w:pPr>
      <w:bookmarkStart w:id="4717" w:name="_Toc3413"/>
      <w:r>
        <w:t>2634- دیوان سلطان محمد سلجوقی أو شعره‏</w:t>
      </w:r>
      <w:bookmarkEnd w:id="4717"/>
    </w:p>
    <w:p>
      <w:pPr>
        <w:pStyle w:val="BookText"/>
      </w:pPr>
      <w:r>
        <w:rPr>
          <w:rFonts w:ascii="IRNazanin" w:hAnsi="IRNazanin" w:eastAsia="IRNazanin" w:cs="IRNazanin"/>
          <w:lang w:bidi="fa-IR"/>
          <w:color w:val="111111"/>
          <w:sz w:val="28"/>
          <w:szCs w:val="28"/>
          <w:rtl/>
        </w:rPr>
        <w:t xml:space="preserve">هو ابن السلطان ملک شاه بن السلطان ألب أرسلان بن چغری داود بن میکائیل بن سلجوق بن تقاق و یعرف غیاث الدین أبو شجاع محمد، و توفی (511) ترجمه فی (مع- ج 1 ص 30) و أورد رباعیته التی أنشأها بدیهة عند موته و قرأها علی أخیه و ولی عهده محمود. و لکن قام بعده أخوه الآخر السلطان سنجر.</w:t>
      </w:r>
    </w:p>
    <w:p>
      <w:pPr>
        <w:pStyle w:val="Heading3"/>
      </w:pPr>
      <w:bookmarkStart w:id="4718" w:name="_Toc3414"/>
      <w:r>
        <w:t>2635- دیوان سلطان محمد شارختی هروی أو شعره‏</w:t>
      </w:r>
      <w:bookmarkEnd w:id="4718"/>
    </w:p>
    <w:p>
      <w:pPr>
        <w:pStyle w:val="BookText"/>
      </w:pPr>
      <w:r>
        <w:rPr>
          <w:rFonts w:ascii="IRNazanin" w:hAnsi="IRNazanin" w:eastAsia="IRNazanin" w:cs="IRNazanin"/>
          <w:lang w:bidi="fa-IR"/>
          <w:color w:val="111111"/>
          <w:sz w:val="28"/>
          <w:szCs w:val="28"/>
          <w:rtl/>
        </w:rPr>
        <w:t xml:space="preserve">ترجمه فی (مجن 4- ص 99 و 276) و أورد مطلع غزله.</w:t>
      </w:r>
    </w:p>
    <w:p>
      <w:pPr>
        <w:pStyle w:val="Heading3"/>
      </w:pPr>
      <w:bookmarkStart w:id="4719" w:name="_Toc3415"/>
      <w:r>
        <w:t>2636- دیوان سلطان محمد میرزا أو شعره‏</w:t>
      </w:r>
      <w:bookmarkEnd w:id="4719"/>
    </w:p>
    <w:p>
      <w:pPr>
        <w:pStyle w:val="BookText"/>
      </w:pPr>
      <w:r>
        <w:rPr>
          <w:rFonts w:ascii="IRNazanin" w:hAnsi="IRNazanin" w:eastAsia="IRNazanin" w:cs="IRNazanin"/>
          <w:lang w:bidi="fa-IR"/>
          <w:color w:val="111111"/>
          <w:sz w:val="28"/>
          <w:szCs w:val="28"/>
          <w:rtl/>
        </w:rPr>
        <w:t xml:space="preserve">ترجمه سام میرزا فی (تس 1- ص 10) و أورد شعره و مراده أخوه السلطان محمد المکفوف ابن الشاه طهماسب المعروف بشاه خدابنده الثانی، الذی جلس بعد أخیه الشاه إسماعیل الثانی فی (985) إلی أن عزل و جلس مکانه ابنه الشاه عباس الماضی فی (996) و مات معزولا فی (1003).</w:t>
      </w:r>
    </w:p>
    <w:p>
      <w:pPr>
        <w:pStyle w:val="Heading3"/>
      </w:pPr>
      <w:bookmarkStart w:id="4720" w:name="_Toc3416"/>
      <w:r>
        <w:t>2637- دیوان سلطان محمود میرزا أو شعره‏</w:t>
      </w:r>
      <w:bookmarkEnd w:id="4720"/>
    </w:p>
    <w:p>
      <w:pPr>
        <w:pStyle w:val="BookText"/>
      </w:pPr>
      <w:r>
        <w:rPr>
          <w:rFonts w:ascii="IRNazanin" w:hAnsi="IRNazanin" w:eastAsia="IRNazanin" w:cs="IRNazanin"/>
          <w:lang w:bidi="fa-IR"/>
          <w:color w:val="111111"/>
          <w:sz w:val="28"/>
          <w:szCs w:val="28"/>
          <w:rtl/>
        </w:rPr>
        <w:t xml:space="preserve">و هو ابن السلطان أبی سعید میرزا المعروف بمحمود الغازی.</w:t>
      </w:r>
    </w:p>
    <w:p>
      <w:pPr>
        <w:pStyle w:val="Heading3"/>
      </w:pPr>
      <w:bookmarkStart w:id="4721" w:name="_Toc3417"/>
      <w:r>
        <w:t>2638- دیوان سلطان محمود أو شعره‏</w:t>
      </w:r>
      <w:bookmarkEnd w:id="4721"/>
    </w:p>
    <w:p>
      <w:pPr>
        <w:pStyle w:val="BookText"/>
      </w:pPr>
      <w:r>
        <w:rPr>
          <w:rFonts w:ascii="IRNazanin" w:hAnsi="IRNazanin" w:eastAsia="IRNazanin" w:cs="IRNazanin"/>
          <w:lang w:bidi="fa-IR"/>
          <w:color w:val="111111"/>
          <w:sz w:val="28"/>
          <w:szCs w:val="28"/>
          <w:rtl/>
        </w:rPr>
        <w:t xml:space="preserve">و هو ابن الخواجة شمس الدین محمد من بیت بتکچی الجرجانی. کان ماهرا فی النجوم. ترجمه فی (مجن 3- ص 85 و 259) و أورد مطلع غزله.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55" w:name="pg11704_121937"/>
    <w:bookmarkEnd w:id="455"/>
    <w:p>
      <w:pPr>
        <w:pStyle w:val="Heading3"/>
      </w:pPr>
      <w:bookmarkStart w:id="4722" w:name="_Toc3418"/>
      <w:r>
        <w:t>دیوان السلطان مسعود</w:t>
      </w:r>
      <w:bookmarkEnd w:id="4722"/>
    </w:p>
    <w:p>
      <w:pPr>
        <w:pStyle w:val="BookText"/>
      </w:pPr>
      <w:r>
        <w:rPr>
          <w:rFonts w:ascii="IRNazanin" w:hAnsi="IRNazanin" w:eastAsia="IRNazanin" w:cs="IRNazanin"/>
          <w:lang w:bidi="fa-IR"/>
          <w:color w:val="111111"/>
          <w:sz w:val="28"/>
          <w:szCs w:val="28"/>
          <w:rtl/>
        </w:rPr>
        <w:t xml:space="preserve">ابن السلطان محمود الغازی. فارسی تخلصه فیه عارفی و ترکی تخلصه فیه شاهی یأتی بتخلصه.</w:t>
      </w:r>
    </w:p>
    <w:p>
      <w:pPr>
        <w:pStyle w:val="Heading3"/>
      </w:pPr>
      <w:bookmarkStart w:id="4723" w:name="_Toc3419"/>
      <w:r>
        <w:t>دیوان سلطان مشهدی‏</w:t>
      </w:r>
      <w:bookmarkEnd w:id="4723"/>
    </w:p>
    <w:p>
      <w:pPr>
        <w:pStyle w:val="BookText"/>
      </w:pPr>
      <w:r>
        <w:rPr>
          <w:rFonts w:ascii="IRNazanin" w:hAnsi="IRNazanin" w:eastAsia="IRNazanin" w:cs="IRNazanin"/>
          <w:lang w:bidi="fa-IR"/>
          <w:color w:val="111111"/>
          <w:sz w:val="28"/>
          <w:szCs w:val="28"/>
          <w:rtl/>
        </w:rPr>
        <w:t xml:space="preserve">راجع دیوان سلطان علی مشهدی.</w:t>
      </w:r>
    </w:p>
    <w:p>
      <w:pPr>
        <w:pStyle w:val="Heading3"/>
      </w:pPr>
      <w:bookmarkStart w:id="4724" w:name="_Toc3420"/>
      <w:r>
        <w:t>2639- دیوان سلطان مصطفی میرزا أو شعره‏</w:t>
      </w:r>
      <w:bookmarkEnd w:id="4724"/>
    </w:p>
    <w:p>
      <w:pPr>
        <w:pStyle w:val="BookText"/>
      </w:pPr>
      <w:r>
        <w:rPr>
          <w:rFonts w:ascii="IRNazanin" w:hAnsi="IRNazanin" w:eastAsia="IRNazanin" w:cs="IRNazanin"/>
          <w:lang w:bidi="fa-IR"/>
          <w:color w:val="111111"/>
          <w:sz w:val="28"/>
          <w:szCs w:val="28"/>
          <w:rtl/>
        </w:rPr>
        <w:t xml:space="preserve">و هو ابن السلطان علی میرزا بن السلطان الشاه طهماسب الصفوی. ترجمه فی (مع- ج 1 ص 31) و أورد شعره و ذکر أنه قتله الشاه إسماعیل الثانی مع غیره من الشاهزادات فی (984) لکنه سهو من قلمه فإنه ترجمه النصرآبادی فی (نر 1- ص 10) و ذکر أن والده کان مقربا عند الشاه صفی الذی توفی (1051) و توفی فی عصره، و توفی ولده السلطان مصطفی بعده بثمانیة أشهر، و کان مع ذهاب بصره عالما فقیها صالحا ورعا لم یفته شی‏ء من الآداب و السنن الشرعیة. و أورد شعره فی (پژمان- ص 210).</w:t>
      </w:r>
    </w:p>
    <w:p>
      <w:pPr>
        <w:pStyle w:val="Heading3"/>
      </w:pPr>
      <w:bookmarkStart w:id="4725" w:name="_Toc3421"/>
      <w:r>
        <w:t>دیوان سلطان ولد</w:t>
      </w:r>
      <w:bookmarkEnd w:id="4725"/>
    </w:p>
    <w:p>
      <w:pPr>
        <w:pStyle w:val="BookText"/>
      </w:pPr>
      <w:r>
        <w:rPr>
          <w:rFonts w:ascii="IRNazanin" w:hAnsi="IRNazanin" w:eastAsia="IRNazanin" w:cs="IRNazanin"/>
          <w:lang w:bidi="fa-IR"/>
          <w:color w:val="111111"/>
          <w:sz w:val="28"/>
          <w:szCs w:val="28"/>
          <w:rtl/>
        </w:rPr>
        <w:t xml:space="preserve">یأتی بتخلصه ولد.</w:t>
      </w:r>
    </w:p>
    <w:p>
      <w:pPr>
        <w:pStyle w:val="Heading3"/>
      </w:pPr>
      <w:bookmarkStart w:id="4726" w:name="_Toc3422"/>
      <w:r>
        <w:t>2640- دیوان سلطان ولی أو شعره‏</w:t>
      </w:r>
      <w:bookmarkEnd w:id="4726"/>
    </w:p>
    <w:p>
      <w:pPr>
        <w:pStyle w:val="BookText"/>
      </w:pPr>
      <w:r>
        <w:rPr>
          <w:rFonts w:ascii="IRNazanin" w:hAnsi="IRNazanin" w:eastAsia="IRNazanin" w:cs="IRNazanin"/>
          <w:lang w:bidi="fa-IR"/>
          <w:color w:val="111111"/>
          <w:sz w:val="28"/>
          <w:szCs w:val="28"/>
          <w:rtl/>
        </w:rPr>
        <w:t xml:space="preserve">و اسمه الأمیر سلطان ولی حفید الأمیر ولی بیگ. ترجمه و أورد شعره فی (مجتس 8- ص 172).</w:t>
      </w:r>
    </w:p>
    <w:p>
      <w:pPr>
        <w:pStyle w:val="Heading3"/>
      </w:pPr>
      <w:bookmarkStart w:id="4727" w:name="_Toc3423"/>
      <w:r>
        <w:t>2641- دیوان سلطان هندی‏</w:t>
      </w:r>
      <w:bookmarkEnd w:id="4727"/>
    </w:p>
    <w:p>
      <w:pPr>
        <w:pStyle w:val="BookText"/>
      </w:pPr>
      <w:r>
        <w:rPr>
          <w:rFonts w:ascii="IRNazanin" w:hAnsi="IRNazanin" w:eastAsia="IRNazanin" w:cs="IRNazanin"/>
          <w:lang w:bidi="fa-IR"/>
          <w:color w:val="111111"/>
          <w:sz w:val="28"/>
          <w:szCs w:val="28"/>
          <w:rtl/>
        </w:rPr>
        <w:t xml:space="preserve">للشاه‏زاده محمد أعظم الدین. طبع علی الحجر بالهند بدون تاریخ. و دخل فی مکتبة (بنگاله) سنة (1868 م) کما فی فهرسها.</w:t>
      </w:r>
    </w:p>
    <w:p>
      <w:pPr>
        <w:pStyle w:val="Heading3"/>
      </w:pPr>
      <w:bookmarkStart w:id="4728" w:name="_Toc3424"/>
      <w:r>
        <w:t>2642- دیوان سلطانی بختیاری الکرمانشاهانی الکلهری‏</w:t>
      </w:r>
      <w:bookmarkEnd w:id="4728"/>
    </w:p>
    <w:p>
      <w:pPr>
        <w:pStyle w:val="BookText"/>
      </w:pPr>
      <w:r>
        <w:rPr>
          <w:rFonts w:ascii="IRNazanin" w:hAnsi="IRNazanin" w:eastAsia="IRNazanin" w:cs="IRNazanin"/>
          <w:lang w:bidi="fa-IR"/>
          <w:color w:val="111111"/>
          <w:sz w:val="28"/>
          <w:szCs w:val="28"/>
          <w:rtl/>
        </w:rPr>
        <w:t xml:space="preserve">لحسین قلی خان بن مصطفی قلی خان بن الحاج شهباز خان کلهر- بانی المسجد و المدرسة و الحمام، و الواقف للمستغلات بکرمانشاه، الذی توفی بها (1257) مر له باغستان و تمثال البدیع و یأتی له نجات الثقلین و نور الیقین و شکرستان و غیرها. ولد (1247) و توفی (1303) رأیت من دیوانه نسخه کتبت عن نسخه خط الناظم فی (1333) فی مکتبة (التقوی) بطهران و نسخه عند (الملک) و نسختان من گلستان مراد له هناک أیضا. و ترجمه فی (انجمن 3) و فی (المآثر- ص 205).</w:t>
      </w:r>
    </w:p>
    <w:p>
      <w:pPr>
        <w:pStyle w:val="Heading3"/>
      </w:pPr>
      <w:bookmarkStart w:id="4729" w:name="_Toc3425"/>
      <w:r>
        <w:t>دیوان سلطانی کلهر</w:t>
      </w:r>
      <w:bookmarkEnd w:id="4729"/>
    </w:p>
    <w:p>
      <w:pPr>
        <w:pStyle w:val="BookText"/>
      </w:pPr>
      <w:r>
        <w:rPr>
          <w:rFonts w:ascii="IRNazanin" w:hAnsi="IRNazanin" w:eastAsia="IRNazanin" w:cs="IRNazanin"/>
          <w:lang w:bidi="fa-IR"/>
          <w:color w:val="111111"/>
          <w:sz w:val="28"/>
          <w:szCs w:val="28"/>
          <w:rtl/>
        </w:rPr>
        <w:t xml:space="preserve">راجع دیوان سلطانی بختیاری.</w:t>
      </w:r>
    </w:p>
    <w:p>
      <w:pPr>
        <w:pStyle w:val="Heading3"/>
      </w:pPr>
      <w:bookmarkStart w:id="4730" w:name="_Toc3426"/>
      <w:r>
        <w:t>2643- دیوان سلطانی مازندرانی أو شعره‏</w:t>
      </w:r>
      <w:bookmarkEnd w:id="4730"/>
    </w:p>
    <w:p>
      <w:pPr>
        <w:pStyle w:val="BookText"/>
      </w:pPr>
      <w:r>
        <w:rPr>
          <w:rFonts w:ascii="IRNazanin" w:hAnsi="IRNazanin" w:eastAsia="IRNazanin" w:cs="IRNazanin"/>
          <w:lang w:bidi="fa-IR"/>
          <w:color w:val="111111"/>
          <w:sz w:val="28"/>
          <w:szCs w:val="28"/>
          <w:rtl/>
        </w:rPr>
        <w:t xml:space="preserve">و اسمه الحاج میرزا رضا قلی و أصله من قریة نوا، و قد لقبه السلطان فتح علی شاه بمنشی الممالک کما فی (مع- ج 2 ص 181) و ذکر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56" w:name="pg11704_121938"/>
    <w:bookmarkEnd w:id="456"/>
    <w:p>
      <w:pPr>
        <w:pStyle w:val="BookText"/>
      </w:pPr>
      <w:r>
        <w:rPr>
          <w:rFonts w:ascii="IRNazanin" w:hAnsi="IRNazanin" w:eastAsia="IRNazanin" w:cs="IRNazanin"/>
          <w:lang w:bidi="fa-IR"/>
          <w:color w:val="111111"/>
          <w:sz w:val="28"/>
          <w:szCs w:val="28"/>
          <w:rtl/>
        </w:rPr>
        <w:t xml:space="preserve">بعض غزله، و أورد شعره (پژمان- ص 210).</w:t>
      </w:r>
    </w:p>
    <w:p>
      <w:pPr>
        <w:pStyle w:val="Heading3"/>
      </w:pPr>
      <w:bookmarkStart w:id="4731" w:name="_Toc3427"/>
      <w:r>
        <w:t>دیوان سلغر</w:t>
      </w:r>
      <w:bookmarkEnd w:id="4731"/>
    </w:p>
    <w:p>
      <w:pPr>
        <w:pStyle w:val="BookText"/>
      </w:pPr>
      <w:r>
        <w:rPr>
          <w:rFonts w:ascii="IRNazanin" w:hAnsi="IRNazanin" w:eastAsia="IRNazanin" w:cs="IRNazanin"/>
          <w:lang w:bidi="fa-IR"/>
          <w:color w:val="111111"/>
          <w:sz w:val="28"/>
          <w:szCs w:val="28"/>
          <w:rtl/>
        </w:rPr>
        <w:t xml:space="preserve">راجع دیوان سلطان سلغر.</w:t>
      </w:r>
    </w:p>
    <w:p>
      <w:pPr>
        <w:pStyle w:val="Heading3"/>
      </w:pPr>
      <w:bookmarkStart w:id="4732" w:name="_Toc3428"/>
      <w:r>
        <w:t>2644- دیوان سلمان أصفهانی‏</w:t>
      </w:r>
      <w:bookmarkEnd w:id="4732"/>
    </w:p>
    <w:p>
      <w:pPr>
        <w:pStyle w:val="BookText"/>
      </w:pPr>
      <w:r>
        <w:rPr>
          <w:rFonts w:ascii="IRNazanin" w:hAnsi="IRNazanin" w:eastAsia="IRNazanin" w:cs="IRNazanin"/>
          <w:lang w:bidi="fa-IR"/>
          <w:color w:val="111111"/>
          <w:sz w:val="28"/>
          <w:szCs w:val="28"/>
          <w:rtl/>
        </w:rPr>
        <w:t xml:space="preserve">الوزیر الأعظم و الأمیر الأکرم المیرزا سلمان.</w:t>
      </w:r>
    </w:p>
    <w:p>
      <w:pPr>
        <w:pStyle w:val="BookText"/>
      </w:pPr>
      <w:r>
        <w:rPr>
          <w:rFonts w:ascii="IRNazanin" w:hAnsi="IRNazanin" w:eastAsia="IRNazanin" w:cs="IRNazanin"/>
          <w:lang w:bidi="fa-IR"/>
          <w:color w:val="111111"/>
          <w:sz w:val="28"/>
          <w:szCs w:val="28"/>
          <w:rtl/>
        </w:rPr>
        <w:t xml:space="preserve">ولد بأصفهان و صار من أهل الدفتر فی عصر الشاه طهماسب الصفوی و استوزره الشاه إسماعیل الثانی و صار الوزیر الأعظم فی عصر السلطان محمد بن الشاه طهماسب و قتل فی (990) ترجمه صادقی الکتاب دار فی (خص 4- ص 41) و قال إنه جمع دیوانه بنفسه و أورد بعض أشعاره منها قوله:</w:t>
      </w:r>
    </w:p>
    <w:p>
      <w:pPr>
        <w:pStyle w:val="BookText"/>
      </w:pPr>
      <w:r>
        <w:rPr>
          <w:rFonts w:ascii="IRNazanin" w:hAnsi="IRNazanin" w:eastAsia="IRNazanin" w:cs="IRNazanin"/>
          <w:lang w:bidi="fa-IR"/>
          <w:color w:val="111111"/>
          <w:sz w:val="28"/>
          <w:szCs w:val="28"/>
          <w:rtl/>
        </w:rPr>
        <w:t xml:space="preserve">رقیبان مست خواب و یار بیدار است ای سلمان‏</w:t>
      </w:r>
    </w:p>
    <w:p>
      <w:pPr>
        <w:pStyle w:val="BookText"/>
      </w:pPr>
      <w:r>
        <w:rPr>
          <w:rFonts w:ascii="IRNazanin" w:hAnsi="IRNazanin" w:eastAsia="IRNazanin" w:cs="IRNazanin"/>
          <w:lang w:bidi="fa-IR"/>
          <w:color w:val="111111"/>
          <w:sz w:val="28"/>
          <w:szCs w:val="28"/>
          <w:rtl/>
        </w:rPr>
        <w:t xml:space="preserve">اگر درددلی داری مجال گفتن است امشب‏</w:t>
      </w:r>
    </w:p>
    <w:p>
      <w:pPr>
        <w:pStyle w:val="BookText"/>
      </w:pPr>
      <w:r>
        <w:rPr>
          <w:rFonts w:ascii="IRNazanin" w:hAnsi="IRNazanin" w:eastAsia="IRNazanin" w:cs="IRNazanin"/>
          <w:lang w:bidi="fa-IR"/>
          <w:color w:val="111111"/>
          <w:sz w:val="28"/>
          <w:szCs w:val="28"/>
          <w:rtl/>
        </w:rPr>
        <w:t xml:space="preserve">و ترجمه و أورد شعره فی (تش- ص 177) أیضا و قال إنه قتل بید الأمراء القزلباشیة.</w:t>
      </w:r>
    </w:p>
    <w:p>
      <w:pPr>
        <w:pStyle w:val="BookText"/>
      </w:pPr>
      <w:r>
        <w:rPr>
          <w:rFonts w:ascii="IRNazanin" w:hAnsi="IRNazanin" w:eastAsia="IRNazanin" w:cs="IRNazanin"/>
          <w:lang w:bidi="fa-IR"/>
          <w:color w:val="111111"/>
          <w:sz w:val="28"/>
          <w:szCs w:val="28"/>
          <w:rtl/>
        </w:rPr>
        <w:t xml:space="preserve">و قال فی (روشن- ص 298) إنه کان من أحفاد جابر الأنصاری و استوزره خدابنده و قتله القزلباشیة فی نواحی هرات. و سماه فی (خوش‏گو) سلطان جابری کما مر.</w:t>
      </w:r>
    </w:p>
    <w:p>
      <w:pPr>
        <w:pStyle w:val="Heading3"/>
      </w:pPr>
      <w:bookmarkStart w:id="4733" w:name="_Toc3429"/>
      <w:r>
        <w:t>2645- دیوان سلمان ساوجی‏</w:t>
      </w:r>
      <w:bookmarkEnd w:id="4733"/>
    </w:p>
    <w:p>
      <w:pPr>
        <w:pStyle w:val="BookText"/>
      </w:pPr>
      <w:r>
        <w:rPr>
          <w:rFonts w:ascii="IRNazanin" w:hAnsi="IRNazanin" w:eastAsia="IRNazanin" w:cs="IRNazanin"/>
          <w:lang w:bidi="fa-IR"/>
          <w:color w:val="111111"/>
          <w:sz w:val="28"/>
          <w:szCs w:val="28"/>
          <w:rtl/>
        </w:rPr>
        <w:t xml:space="preserve">هو جمال الدین سلمان بن علاء الدین محمد المولود حدود (709) کما استظهره رشید یاسمی فیما کتبه فی (ص 6) من ترجمه سلمان المطبوع (700) أو (692) و المتوفی (12 صفر- (778) مطابق (بساط دار قرار) علی ما فی رثائه المکتوب فی آخر نسخه من هذا الدیوان التی حصلت عند آزاد البلگرامی فی حین تألیفه ل خزانة عامرة و ذکر فی (ص 254) منه خصوصیات تلک النسخة و إنها بخط ناصر بن بوذرجمهر قد فرغ من کتابتها بعد وفاة سلمان بثلاثة عشر عاما فی المحرم من (791) و ذکر خمسة أبیات من رثائه المشتملة علی تاریخ الوفاة، ثم أورد جملة من مطالع غزلیاته تقرب من خمسین بیتا. و مر له جمشید و خورشید أو خورشید و جمشید و یأتی ساقی‏نامه و فراق‏نامه و کلها مدرج فی کلیاته. توجد نسخه منه فی مکتبة المجلس فیها القصائد و الترجیعات و المقطعات و الغزلیات و حدود عشرة آلاف بیت کما فی فهرسها لابن یوسف فی (ج 3: ص 300) و نسخه أخری فی مکتبة سپهسالار کما ذکره أیضا و قال فیها زیادة ألف بیت. و عند (سلطان القرائی) نسخه تاریخها (856) و فیها فراق‏نامه و خورشید و جمشید و القصائد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57" w:name="pg11704_121939"/>
    <w:bookmarkEnd w:id="457"/>
    <w:p>
      <w:pPr>
        <w:pStyle w:val="BookText"/>
      </w:pPr>
      <w:r>
        <w:rPr>
          <w:rFonts w:ascii="IRNazanin" w:hAnsi="IRNazanin" w:eastAsia="IRNazanin" w:cs="IRNazanin"/>
          <w:lang w:bidi="fa-IR"/>
          <w:color w:val="111111"/>
          <w:sz w:val="28"/>
          <w:szCs w:val="28"/>
          <w:rtl/>
        </w:rPr>
        <w:t xml:space="preserve">و القطعات و الترجیعات و الغزلیات و الرباعیات. و عدد أبیات الجمیع (15027) بیت و فی أکثر قصائده مدح السلطان أویس و والده الشیخ حسن و أمه دلشاد خاتون و قال فی تاریخه رباعیة.</w:t>
      </w:r>
    </w:p>
    <w:p>
      <w:pPr>
        <w:pStyle w:val="BookText"/>
      </w:pPr>
      <w:r>
        <w:rPr>
          <w:rFonts w:ascii="IRNazanin" w:hAnsi="IRNazanin" w:eastAsia="IRNazanin" w:cs="IRNazanin"/>
          <w:lang w:bidi="fa-IR"/>
          <w:color w:val="111111"/>
          <w:sz w:val="28"/>
          <w:szCs w:val="28"/>
          <w:rtl/>
        </w:rPr>
        <w:t xml:space="preserve">برسم حضرت سلطان عصر شاه أویس‏</w:t>
      </w:r>
    </w:p>
    <w:p>
      <w:pPr>
        <w:pStyle w:val="BookText"/>
      </w:pPr>
      <w:r>
        <w:rPr>
          <w:rFonts w:ascii="IRNazanin" w:hAnsi="IRNazanin" w:eastAsia="IRNazanin" w:cs="IRNazanin"/>
          <w:lang w:bidi="fa-IR"/>
          <w:color w:val="111111"/>
          <w:sz w:val="28"/>
          <w:szCs w:val="28"/>
          <w:rtl/>
        </w:rPr>
        <w:t xml:space="preserve">که عهد سلطنتش باد متصل به دوام‏</w:t>
      </w:r>
    </w:p>
    <w:p>
      <w:pPr>
        <w:pStyle w:val="BookText"/>
      </w:pPr>
      <w:r>
        <w:rPr>
          <w:rFonts w:ascii="IRNazanin" w:hAnsi="IRNazanin" w:eastAsia="IRNazanin" w:cs="IRNazanin"/>
          <w:lang w:bidi="fa-IR"/>
          <w:color w:val="111111"/>
          <w:sz w:val="28"/>
          <w:szCs w:val="28"/>
          <w:rtl/>
        </w:rPr>
        <w:t xml:space="preserve">شد این ربیع معانی جمیدی الثانی‏</w:t>
      </w:r>
    </w:p>
    <w:p>
      <w:pPr>
        <w:pStyle w:val="BookText"/>
      </w:pPr>
      <w:r>
        <w:rPr>
          <w:rFonts w:ascii="IRNazanin" w:hAnsi="IRNazanin" w:eastAsia="IRNazanin" w:cs="IRNazanin"/>
          <w:lang w:bidi="fa-IR"/>
          <w:color w:val="111111"/>
          <w:sz w:val="28"/>
          <w:szCs w:val="28"/>
          <w:rtl/>
        </w:rPr>
        <w:t xml:space="preserve">سنة. ثلاث و ستین سبعمائة تمام‏</w:t>
      </w:r>
    </w:p>
    <w:p>
      <w:pPr>
        <w:pStyle w:val="BookText"/>
      </w:pPr>
      <w:r>
        <w:rPr>
          <w:rFonts w:ascii="IRNazanin" w:hAnsi="IRNazanin" w:eastAsia="IRNazanin" w:cs="IRNazanin"/>
          <w:lang w:bidi="fa-IR"/>
          <w:color w:val="111111"/>
          <w:sz w:val="28"/>
          <w:szCs w:val="28"/>
          <w:rtl/>
        </w:rPr>
        <w:t xml:space="preserve">و أول القصائد التی هی أول هذه المجموعة</w:t>
      </w:r>
    </w:p>
    <w:p>
      <w:pPr>
        <w:pStyle w:val="BookText"/>
      </w:pPr>
      <w:r>
        <w:rPr>
          <w:rFonts w:ascii="IRNazanin" w:hAnsi="IRNazanin" w:eastAsia="IRNazanin" w:cs="IRNazanin"/>
          <w:lang w:bidi="fa-IR"/>
          <w:color w:val="111111"/>
          <w:sz w:val="28"/>
          <w:szCs w:val="28"/>
          <w:rtl/>
        </w:rPr>
        <w:t xml:space="preserve">هر دل که در هوای هویت مجال یافت‏</w:t>
      </w:r>
    </w:p>
    <w:p>
      <w:pPr>
        <w:pStyle w:val="BookText"/>
      </w:pPr>
      <w:r>
        <w:rPr>
          <w:rFonts w:ascii="IRNazanin" w:hAnsi="IRNazanin" w:eastAsia="IRNazanin" w:cs="IRNazanin"/>
          <w:lang w:bidi="fa-IR"/>
          <w:color w:val="111111"/>
          <w:sz w:val="28"/>
          <w:szCs w:val="28"/>
          <w:rtl/>
        </w:rPr>
        <w:t xml:space="preserve">عنقای همتش دو جهان زیر بال یافت‏</w:t>
      </w:r>
    </w:p>
    <w:p>
      <w:pPr>
        <w:pStyle w:val="BookText"/>
      </w:pPr>
      <w:r>
        <w:rPr>
          <w:rFonts w:ascii="IRNazanin" w:hAnsi="IRNazanin" w:eastAsia="IRNazanin" w:cs="IRNazanin"/>
          <w:lang w:bidi="fa-IR"/>
          <w:color w:val="111111"/>
          <w:sz w:val="28"/>
          <w:szCs w:val="28"/>
          <w:rtl/>
        </w:rPr>
        <w:t xml:space="preserve">و أول غزلیاته.</w:t>
      </w:r>
    </w:p>
    <w:p>
      <w:pPr>
        <w:pStyle w:val="BookText"/>
      </w:pPr>
      <w:r>
        <w:rPr>
          <w:rFonts w:ascii="IRNazanin" w:hAnsi="IRNazanin" w:eastAsia="IRNazanin" w:cs="IRNazanin"/>
          <w:lang w:bidi="fa-IR"/>
          <w:color w:val="111111"/>
          <w:sz w:val="28"/>
          <w:szCs w:val="28"/>
          <w:rtl/>
        </w:rPr>
        <w:t xml:space="preserve">اگر حسن تو بگشاید نقاب از چهره دعوی را</w:t>
      </w:r>
    </w:p>
    <w:p>
      <w:pPr>
        <w:pStyle w:val="BookText"/>
      </w:pPr>
      <w:r>
        <w:rPr>
          <w:rFonts w:ascii="IRNazanin" w:hAnsi="IRNazanin" w:eastAsia="IRNazanin" w:cs="IRNazanin"/>
          <w:lang w:bidi="fa-IR"/>
          <w:color w:val="111111"/>
          <w:sz w:val="28"/>
          <w:szCs w:val="28"/>
          <w:rtl/>
        </w:rPr>
        <w:t xml:space="preserve">به گل رضوان براندازید در فردوس أعلی را</w:t>
      </w:r>
    </w:p>
    <w:p>
      <w:pPr>
        <w:pStyle w:val="BookText"/>
      </w:pPr>
      <w:r>
        <w:rPr>
          <w:rFonts w:ascii="IRNazanin" w:hAnsi="IRNazanin" w:eastAsia="IRNazanin" w:cs="IRNazanin"/>
          <w:lang w:bidi="fa-IR"/>
          <w:color w:val="111111"/>
          <w:sz w:val="28"/>
          <w:szCs w:val="28"/>
          <w:rtl/>
        </w:rPr>
        <w:t xml:space="preserve">و توجد نسخه من مثنویاته عند (الملک). و طبع بالهند (بمبئی) فی (236 ص) بغیر تاریخ بعنوان کلیات سلمان ساوجی و فیه ثمانیة آلاف و خمسمائة بیت. و طبع قصائده المصنوعة فی آخر مجموعة تشتمل علی رباعیات خیام و بابا طاهر و أبو سعید أبو الخیر و الخواجة عبد الله و خلد برین لوحشی علی الحجر بطهران فی (1313) کلها فی (160 ص) و طبع قصائده مستقلا بطهران فی (64 ص) و ترجم سلمان فی أکثر التذاکر فذکر فی (دولت- 5) و (بهش 1- ص 353) و مرآة الخیال (ص 53- 54) و عده فی شاهد صادق من المتوفین فی (779) و (حسینی- ص 148) و (تش- ص 218- 221). و (لس- ص 499) و أورد مدیحه للأمیر و مرثیته للحسین علیه السلام  و (خز- ص 254) مفصلا عن دولت شاه و ناظم تبریزی و کذا فی (مع- ج 2 ص 19) و (تغ- 66) و إقبال فی تاریخ مغول- ص 553 و ریحانة الأدب عن القاموس الترکی. و جمع کلها و حقق تواریخه غلام رضا رشید یاسمی المتوفی (1370) فی رسالة اختصه به و طبعه فی (129 ص) و فی (حسینی- ص 148) سماه غلطا سلیمان.</w:t>
      </w:r>
    </w:p>
    <w:p>
      <w:pPr>
        <w:pStyle w:val="Heading3"/>
      </w:pPr>
      <w:bookmarkStart w:id="4734" w:name="_Toc3430"/>
      <w:r>
        <w:t>2646- دیوان سلوکی‏</w:t>
      </w:r>
      <w:bookmarkEnd w:id="4734"/>
    </w:p>
    <w:p>
      <w:pPr>
        <w:pStyle w:val="BookText"/>
      </w:pPr>
      <w:r>
        <w:rPr>
          <w:rFonts w:ascii="IRNazanin" w:hAnsi="IRNazanin" w:eastAsia="IRNazanin" w:cs="IRNazanin"/>
          <w:lang w:bidi="fa-IR"/>
          <w:color w:val="111111"/>
          <w:sz w:val="28"/>
          <w:szCs w:val="28"/>
          <w:rtl/>
        </w:rPr>
        <w:t xml:space="preserve">و اسمه محمد زمان. کان ندیم إسلام خان. أورد شعره فی‏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58" w:name="pg11704_121940"/>
    <w:bookmarkEnd w:id="458"/>
    <w:p>
      <w:pPr>
        <w:pStyle w:val="BookText"/>
      </w:pPr>
      <w:r>
        <w:rPr>
          <w:rFonts w:ascii="IRNazanin" w:hAnsi="IRNazanin" w:eastAsia="IRNazanin" w:cs="IRNazanin"/>
          <w:lang w:bidi="fa-IR"/>
          <w:color w:val="111111"/>
          <w:sz w:val="28"/>
          <w:szCs w:val="28"/>
          <w:rtl/>
        </w:rPr>
        <w:t xml:space="preserve">(خوش‏گو).</w:t>
      </w:r>
    </w:p>
    <w:p>
      <w:pPr>
        <w:pStyle w:val="Heading3"/>
      </w:pPr>
      <w:bookmarkStart w:id="4735" w:name="_Toc3431"/>
      <w:r>
        <w:t>2647- دیوان سلیم بهوپالی أو شعره‏</w:t>
      </w:r>
      <w:bookmarkEnd w:id="4735"/>
    </w:p>
    <w:p>
      <w:pPr>
        <w:pStyle w:val="BookText"/>
      </w:pPr>
      <w:r>
        <w:rPr>
          <w:rFonts w:ascii="IRNazanin" w:hAnsi="IRNazanin" w:eastAsia="IRNazanin" w:cs="IRNazanin"/>
          <w:lang w:bidi="fa-IR"/>
          <w:color w:val="111111"/>
          <w:sz w:val="28"/>
          <w:szCs w:val="28"/>
          <w:rtl/>
        </w:rPr>
        <w:t xml:space="preserve">و هو المیر علی حسن خان بن السید صدیق حسن خان بهادر. ولد فی بهوپال من أعمال دکن (4 ع 2- (1283) و ألف تذکره للشعراء باسم صبح گلشن فی (1295) و ننقل عنه فی قسم الشعراء من الذریعة ب (گلشن ...) ترجمه والده فی إتحاف النبلاء و ترجم نفسه فی کتابه المذکور (گلشن- ص 208- 210) و أورد بعض شعره و له موارد المصادر طبع فی (640 ص).</w:t>
      </w:r>
    </w:p>
    <w:p>
      <w:pPr>
        <w:pStyle w:val="Heading3"/>
      </w:pPr>
      <w:bookmarkStart w:id="4736" w:name="_Toc3432"/>
      <w:r>
        <w:t>2648- دیوان سلیم شاملو</w:t>
      </w:r>
      <w:bookmarkEnd w:id="4736"/>
    </w:p>
    <w:p>
      <w:pPr>
        <w:pStyle w:val="BookText"/>
      </w:pPr>
      <w:r>
        <w:rPr>
          <w:rFonts w:ascii="IRNazanin" w:hAnsi="IRNazanin" w:eastAsia="IRNazanin" w:cs="IRNazanin"/>
          <w:lang w:bidi="fa-IR"/>
          <w:color w:val="111111"/>
          <w:sz w:val="28"/>
          <w:szCs w:val="28"/>
          <w:rtl/>
        </w:rPr>
        <w:t xml:space="preserve">قال بیگدلی فی (تش- ص 14) إن اسمه محمد قلی و هو من طائفة اویماق شاملو، یسکن طهران و قزوین. و له دیوان. و لعله متحد مع سلیم طهرانی الآتی.</w:t>
      </w:r>
    </w:p>
    <w:p>
      <w:pPr>
        <w:pStyle w:val="Heading3"/>
      </w:pPr>
      <w:bookmarkStart w:id="4737" w:name="_Toc3433"/>
      <w:r>
        <w:t>2649- دیوان سلیم طهرانی‏</w:t>
      </w:r>
      <w:bookmarkEnd w:id="4737"/>
    </w:p>
    <w:p>
      <w:pPr>
        <w:pStyle w:val="BookText"/>
      </w:pPr>
      <w:r>
        <w:rPr>
          <w:rFonts w:ascii="IRNazanin" w:hAnsi="IRNazanin" w:eastAsia="IRNazanin" w:cs="IRNazanin"/>
          <w:lang w:bidi="fa-IR"/>
          <w:color w:val="111111"/>
          <w:sz w:val="28"/>
          <w:szCs w:val="28"/>
          <w:rtl/>
        </w:rPr>
        <w:t xml:space="preserve">و اسمه المیرزا محمد قلی و أصله من طرشت و توفی (1057) رأیت جملة من قصائده فی مدح أمیر المؤمنین و ثامن الأئمة و الحجة علیه السلام  فی ضمن مجموعة تاریخ کتابها (1129) فی مکتبة (الخوانساری) و یوجد النسخة الناقصة من دیوانه عند (الملک) برقم (5539) و التامة فی مکتبة راجه فیض‏آباد فی الماری (6) کما فی فهرسها المخطوط. و نسختان فی مکتبة المجلس ذکر ابن یوسف خصوصیاتهما فی فهرس المکتبة فی (ج 3 ص 302 و 668) و محتویاتها: القصائد و المقطعات و الغزلیات و الرباعیات و مثنوی قضا و قدر و مدح کشمیر و ذم التزویر. و حکی عن تذکره خوش‏گو أنه مات فی کشمیر و دفن فی جنب قدسی و کلیم و غنی. و نسخ ثلاثة فی (بنگاله) کما فی فهرسها.</w:t>
      </w:r>
    </w:p>
    <w:p>
      <w:pPr>
        <w:pStyle w:val="BookText"/>
      </w:pPr>
      <w:r>
        <w:rPr>
          <w:rFonts w:ascii="IRNazanin" w:hAnsi="IRNazanin" w:eastAsia="IRNazanin" w:cs="IRNazanin"/>
          <w:lang w:bidi="fa-IR"/>
          <w:color w:val="111111"/>
          <w:sz w:val="28"/>
          <w:szCs w:val="28"/>
          <w:rtl/>
        </w:rPr>
        <w:t xml:space="preserve">و ترجمه معاصره النصرآبادی فی (نر 9 ص 227) و ذکر صحبته مع ملا واصبا و ملا صبوحی للمیرزا عبد الله وزیر لاهیجان و تزویجه هناک و ولادة ابن له بها، و نظمه للمثنوی فی وصف لاهیجان و إنه بعد ذهابه إلی الهند جعل ذلک المثنوی بعینه فی مدح کشمیر، و لما اتصل بمیر عبد السلام المشهدی الوزیر لشاه‏جهان و المخاطب بإسلام خان أنشأ قصائد و مثنویات فی مدحه، و توفیا معا فی سنة واحدة، ثم أورد النصرآبادی کثیرا من أشعاره الغزلیات و غیرها. و ترجمه (خوش‏گو) و (سرخوش- ص 45) و (تغ- 66) و (حسینی- ص 155). و (سرو آزاد- ص 63) و (براون- ج 4 ص 167) و فی (تش- ص 14) سماه سلیم شاملو من طائفة أو یماق. و أورد بعض شعره فی مشیخة کنز السالکین المذکور فی‏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59" w:name="pg11704_121941"/>
    <w:bookmarkEnd w:id="459"/>
    <w:p>
      <w:pPr>
        <w:pStyle w:val="BookText"/>
      </w:pPr>
      <w:r>
        <w:rPr>
          <w:rFonts w:ascii="IRNazanin" w:hAnsi="IRNazanin" w:eastAsia="IRNazanin" w:cs="IRNazanin"/>
          <w:lang w:bidi="fa-IR"/>
          <w:color w:val="111111"/>
          <w:sz w:val="28"/>
          <w:szCs w:val="28"/>
          <w:rtl/>
        </w:rPr>
        <w:t xml:space="preserve">(ج 8 ص 187) بخطه، و متفرقة فی آنندراج و گلستان مسرت و لا تشتبه بینه و بین معاصره ملا محمد سلیم الرازی مؤلف شرح الصحیفة السجادیة المذکورة فی فهرس مکتبة دانشگاه تهران (ج 1 ص 141). و راجع دیوان سلیم شاملو و سلیما طهرانی.</w:t>
      </w:r>
    </w:p>
    <w:p>
      <w:pPr>
        <w:pStyle w:val="Heading3"/>
      </w:pPr>
      <w:bookmarkStart w:id="4738" w:name="_Toc3434"/>
      <w:r>
        <w:t>دیوان سلیم عثمانی‏</w:t>
      </w:r>
      <w:bookmarkEnd w:id="4738"/>
    </w:p>
    <w:p>
      <w:pPr>
        <w:pStyle w:val="BookText"/>
      </w:pPr>
      <w:r>
        <w:rPr>
          <w:rFonts w:ascii="IRNazanin" w:hAnsi="IRNazanin" w:eastAsia="IRNazanin" w:cs="IRNazanin"/>
          <w:lang w:bidi="fa-IR"/>
          <w:color w:val="111111"/>
          <w:sz w:val="28"/>
          <w:szCs w:val="28"/>
          <w:rtl/>
        </w:rPr>
        <w:t xml:space="preserve">راجع دیوان سلیمی عثمانی.</w:t>
      </w:r>
    </w:p>
    <w:p>
      <w:pPr>
        <w:pStyle w:val="Heading3"/>
      </w:pPr>
      <w:bookmarkStart w:id="4739" w:name="_Toc3435"/>
      <w:r>
        <w:t>2650- دیوان سلیم کردستانی أو شعره‏</w:t>
      </w:r>
      <w:bookmarkEnd w:id="4739"/>
    </w:p>
    <w:p>
      <w:pPr>
        <w:pStyle w:val="BookText"/>
      </w:pPr>
      <w:r>
        <w:rPr>
          <w:rFonts w:ascii="IRNazanin" w:hAnsi="IRNazanin" w:eastAsia="IRNazanin" w:cs="IRNazanin"/>
          <w:lang w:bidi="fa-IR"/>
          <w:color w:val="111111"/>
          <w:sz w:val="28"/>
          <w:szCs w:val="28"/>
          <w:rtl/>
        </w:rPr>
        <w:t xml:space="preserve">اسمه میرزا سلیم، و توفی (1214) کما ترجمه فی (مع- ج 2 ص 182) و أورد بعض شعره.</w:t>
      </w:r>
    </w:p>
    <w:p>
      <w:pPr>
        <w:pStyle w:val="Heading3"/>
      </w:pPr>
      <w:bookmarkStart w:id="4740" w:name="_Toc3436"/>
      <w:r>
        <w:t>2651- دیوان سلیم همدانی أو شعره‏</w:t>
      </w:r>
      <w:bookmarkEnd w:id="4740"/>
    </w:p>
    <w:p>
      <w:pPr>
        <w:pStyle w:val="BookText"/>
      </w:pPr>
      <w:r>
        <w:rPr>
          <w:rFonts w:ascii="IRNazanin" w:hAnsi="IRNazanin" w:eastAsia="IRNazanin" w:cs="IRNazanin"/>
          <w:lang w:bidi="fa-IR"/>
          <w:color w:val="111111"/>
          <w:sz w:val="28"/>
          <w:szCs w:val="28"/>
          <w:rtl/>
        </w:rPr>
        <w:t xml:space="preserve">و اسمه المیرزا أبو الفضل من أعضاء انجمن دانش بهمدان. أورد غزله فی دانش‏نامه لمحمد باقر ألفت المطبوع (1342) و أورد شعره (پژمان- ص 211).</w:t>
      </w:r>
    </w:p>
    <w:p>
      <w:pPr>
        <w:pStyle w:val="Heading3"/>
      </w:pPr>
      <w:bookmarkStart w:id="4741" w:name="_Toc3437"/>
      <w:r>
        <w:t>2652- دیوان سلیما</w:t>
      </w:r>
      <w:bookmarkEnd w:id="4741"/>
    </w:p>
    <w:p>
      <w:pPr>
        <w:pStyle w:val="BookText"/>
      </w:pPr>
      <w:r>
        <w:rPr>
          <w:rFonts w:ascii="IRNazanin" w:hAnsi="IRNazanin" w:eastAsia="IRNazanin" w:cs="IRNazanin"/>
          <w:lang w:bidi="fa-IR"/>
          <w:color w:val="111111"/>
          <w:sz w:val="28"/>
          <w:szCs w:val="28"/>
          <w:rtl/>
        </w:rPr>
        <w:t xml:space="preserve">و اسمه محمد شفیع الطراح فی الذهب و الفضة، المسلم عند أساتذة فنه و الماهر فی نظم الشعر. کان یذکر أن شعره قد بلغ إلی مائة ألف بیت، کذا ترجمه معاصره النصرآبادی فی (نر 9- ص 424) و أورد بعض شعره.</w:t>
      </w:r>
    </w:p>
    <w:p>
      <w:pPr>
        <w:pStyle w:val="Heading3"/>
      </w:pPr>
      <w:bookmarkStart w:id="4742" w:name="_Toc3438"/>
      <w:r>
        <w:t>2653- دیوان سلیما طهرانی أو شعره‏</w:t>
      </w:r>
      <w:bookmarkEnd w:id="4742"/>
    </w:p>
    <w:p>
      <w:pPr>
        <w:pStyle w:val="BookText"/>
      </w:pPr>
      <w:r>
        <w:rPr>
          <w:rFonts w:ascii="IRNazanin" w:hAnsi="IRNazanin" w:eastAsia="IRNazanin" w:cs="IRNazanin"/>
          <w:lang w:bidi="fa-IR"/>
          <w:color w:val="111111"/>
          <w:sz w:val="28"/>
          <w:szCs w:val="28"/>
          <w:rtl/>
        </w:rPr>
        <w:t xml:space="preserve">ترجمه النصرآبادی فی (نر 6- ص 184) و ذکر أنه کان من تلامیذ خلیفة سلطان فی أصفهان فی سنین و صار شیخ الإسلام بطهران ثم عزل فی صدارة النواب المیرزا مهدی و اضطر من ضیق المعیشة إلی المسافرة إلی الهند و بها توفی، و أورد ما سمع من شعره عند سفره إلی الهند. و سماه فی (گلشن- ص 211) سلیمان طهرانی و راجع أیضا سلیم طهرانی.</w:t>
      </w:r>
    </w:p>
    <w:p>
      <w:pPr>
        <w:pStyle w:val="Heading3"/>
      </w:pPr>
      <w:bookmarkStart w:id="4743" w:name="_Toc3439"/>
      <w:r>
        <w:t>دیوان سلیمان‏</w:t>
      </w:r>
      <w:bookmarkEnd w:id="4743"/>
    </w:p>
    <w:p>
      <w:pPr>
        <w:pStyle w:val="BookText"/>
      </w:pPr>
      <w:r>
        <w:rPr>
          <w:rFonts w:ascii="IRNazanin" w:hAnsi="IRNazanin" w:eastAsia="IRNazanin" w:cs="IRNazanin"/>
          <w:lang w:bidi="fa-IR"/>
          <w:color w:val="111111"/>
          <w:sz w:val="28"/>
          <w:szCs w:val="28"/>
          <w:rtl/>
        </w:rPr>
        <w:t xml:space="preserve">کذا فی (قز مج 1- ص 194) و عبر عنه فی (لط 1- ص 21) بسلیمانی کما یأتی.</w:t>
      </w:r>
    </w:p>
    <w:p>
      <w:pPr>
        <w:pStyle w:val="Heading3"/>
      </w:pPr>
      <w:bookmarkStart w:id="4744" w:name="_Toc3440"/>
      <w:r>
        <w:t>2654- دیوان سلیمان بن أبی سهل‏</w:t>
      </w:r>
      <w:bookmarkEnd w:id="4744"/>
    </w:p>
    <w:p>
      <w:pPr>
        <w:pStyle w:val="BookText"/>
      </w:pPr>
      <w:r>
        <w:rPr>
          <w:rFonts w:ascii="IRNazanin" w:hAnsi="IRNazanin" w:eastAsia="IRNazanin" w:cs="IRNazanin"/>
          <w:lang w:bidi="fa-IR"/>
          <w:color w:val="111111"/>
          <w:sz w:val="28"/>
          <w:szCs w:val="28"/>
          <w:rtl/>
        </w:rPr>
        <w:t xml:space="preserve">ابن نوبخت فی خمسین ورقة. ذکره ابن الندیم فی فهرسه.</w:t>
      </w:r>
    </w:p>
    <w:p>
      <w:pPr>
        <w:pStyle w:val="Heading3"/>
      </w:pPr>
      <w:bookmarkStart w:id="4745" w:name="_Toc3441"/>
      <w:r>
        <w:t>2655- دیوان سلیمان بیک أو شعره‏</w:t>
      </w:r>
      <w:bookmarkEnd w:id="4745"/>
    </w:p>
    <w:p>
      <w:pPr>
        <w:pStyle w:val="BookText"/>
      </w:pPr>
      <w:r>
        <w:rPr>
          <w:rFonts w:ascii="IRNazanin" w:hAnsi="IRNazanin" w:eastAsia="IRNazanin" w:cs="IRNazanin"/>
          <w:lang w:bidi="fa-IR"/>
          <w:color w:val="111111"/>
          <w:sz w:val="28"/>
          <w:szCs w:val="28"/>
          <w:rtl/>
        </w:rPr>
        <w:t xml:space="preserve">حفید محب علی بیک المشهور بلله بیک. ترجمه معاصره النصرآبادی فی (نر 2- ص 32) و أورد شعره و کذا فی (روشن- ص 301).</w:t>
      </w:r>
    </w:p>
    <w:p>
      <w:pPr>
        <w:pStyle w:val="Heading3"/>
      </w:pPr>
      <w:bookmarkStart w:id="4746" w:name="_Toc3442"/>
      <w:r>
        <w:t>2656- دیوان سلیمان ترکمان أو شعره‏</w:t>
      </w:r>
      <w:bookmarkEnd w:id="4746"/>
    </w:p>
    <w:p>
      <w:pPr>
        <w:pStyle w:val="BookText"/>
      </w:pPr>
      <w:r>
        <w:rPr>
          <w:rFonts w:ascii="IRNazanin" w:hAnsi="IRNazanin" w:eastAsia="IRNazanin" w:cs="IRNazanin"/>
          <w:lang w:bidi="fa-IR"/>
          <w:color w:val="111111"/>
          <w:sz w:val="28"/>
          <w:szCs w:val="28"/>
          <w:rtl/>
        </w:rPr>
        <w:t xml:space="preserve">ترجمه و أورد شعره فی (مجتس 6- ص 161) و استحسن شعره و أورد مطلع غزله.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60" w:name="pg11704_121942"/>
    <w:bookmarkEnd w:id="460"/>
    <w:p>
      <w:pPr>
        <w:pStyle w:val="Heading3"/>
      </w:pPr>
      <w:bookmarkStart w:id="4747" w:name="_Toc3443"/>
      <w:r>
        <w:t>2657- دیوان المولی سلیمان التستری‏</w:t>
      </w:r>
      <w:bookmarkEnd w:id="4747"/>
    </w:p>
    <w:p>
      <w:pPr>
        <w:pStyle w:val="BookText"/>
      </w:pPr>
      <w:r>
        <w:rPr>
          <w:rFonts w:ascii="IRNazanin" w:hAnsi="IRNazanin" w:eastAsia="IRNazanin" w:cs="IRNazanin"/>
          <w:lang w:bidi="fa-IR"/>
          <w:color w:val="111111"/>
          <w:sz w:val="28"/>
          <w:szCs w:val="28"/>
          <w:rtl/>
        </w:rPr>
        <w:t xml:space="preserve">من شعراء عصر و أخشنو خان حاکم تستر من (1042) إلی (1078) ذکر تاریخ وفاته المولی حلمی فی دیوانه کما مر.</w:t>
      </w:r>
    </w:p>
    <w:p>
      <w:pPr>
        <w:pStyle w:val="Heading3"/>
      </w:pPr>
      <w:bookmarkStart w:id="4748" w:name="_Toc3444"/>
      <w:r>
        <w:t>2658- دیوان السید سلیمان الحلی‏</w:t>
      </w:r>
      <w:bookmarkEnd w:id="4748"/>
    </w:p>
    <w:p>
      <w:pPr>
        <w:pStyle w:val="BookText"/>
      </w:pPr>
      <w:r>
        <w:rPr>
          <w:rFonts w:ascii="IRNazanin" w:hAnsi="IRNazanin" w:eastAsia="IRNazanin" w:cs="IRNazanin"/>
          <w:lang w:bidi="fa-IR"/>
          <w:color w:val="111111"/>
          <w:sz w:val="28"/>
          <w:szCs w:val="28"/>
          <w:rtl/>
        </w:rPr>
        <w:t xml:space="preserve">هو بن داود بن سلیمان الحلی الآتی والد السید حیدر الشاعر الشهیر و توفی (1247) و له خلاصة الإعراب المذکور فی (ج 7 ص 214) و له الدرر الحلیة المذکور فی (ج 8 ص 124) و نسخه دیوانه فی مکتبة السماوی.</w:t>
      </w:r>
    </w:p>
    <w:p>
      <w:pPr>
        <w:pStyle w:val="Heading3"/>
      </w:pPr>
      <w:bookmarkStart w:id="4749" w:name="_Toc3445"/>
      <w:r>
        <w:t>2659- دیوان سلیمان الخزاعی أو شعره‏</w:t>
      </w:r>
      <w:bookmarkEnd w:id="4749"/>
    </w:p>
    <w:p>
      <w:pPr>
        <w:pStyle w:val="BookText"/>
      </w:pPr>
      <w:r>
        <w:rPr>
          <w:rFonts w:ascii="IRNazanin" w:hAnsi="IRNazanin" w:eastAsia="IRNazanin" w:cs="IRNazanin"/>
          <w:lang w:bidi="fa-IR"/>
          <w:color w:val="111111"/>
          <w:sz w:val="28"/>
          <w:szCs w:val="28"/>
          <w:rtl/>
        </w:rPr>
        <w:t xml:space="preserve">ترجمه و أورد شعره فی (لس- ص 376) و قال إنه من طائفة دعبل الخزاعی.</w:t>
      </w:r>
    </w:p>
    <w:p>
      <w:pPr>
        <w:pStyle w:val="Heading3"/>
      </w:pPr>
      <w:bookmarkStart w:id="4750" w:name="_Toc3446"/>
      <w:r>
        <w:t>2660- دیوان سلیمان شاه میرزا أو شعره‏</w:t>
      </w:r>
      <w:bookmarkEnd w:id="4750"/>
    </w:p>
    <w:p>
      <w:pPr>
        <w:pStyle w:val="BookText"/>
      </w:pPr>
      <w:r>
        <w:rPr>
          <w:rFonts w:ascii="IRNazanin" w:hAnsi="IRNazanin" w:eastAsia="IRNazanin" w:cs="IRNazanin"/>
          <w:lang w:bidi="fa-IR"/>
          <w:color w:val="111111"/>
          <w:sz w:val="28"/>
          <w:szCs w:val="28"/>
          <w:rtl/>
        </w:rPr>
        <w:t xml:space="preserve">هو ابن یادگار ناصر میرزا الگورکانی ابن عمر شیخ بن السلطان أبی سعید بن ألغ بیک صاحب الزیج. ترجمه فی (مع- ج 1 ص 31) و أورد رباعیه فی رثاء ولده إبراهیم میرزا. قال و کان والیا لنواحی بدخشان من قبل عمه السلطان بابر شاه بن عمر شیخ الذی مات (937).</w:t>
      </w:r>
    </w:p>
    <w:p>
      <w:pPr>
        <w:pStyle w:val="Heading3"/>
      </w:pPr>
      <w:bookmarkStart w:id="4751" w:name="_Toc3447"/>
      <w:r>
        <w:t>دیوان سلیمان طهرانی‏</w:t>
      </w:r>
      <w:bookmarkEnd w:id="4751"/>
    </w:p>
    <w:p>
      <w:pPr>
        <w:pStyle w:val="BookText"/>
      </w:pPr>
      <w:r>
        <w:rPr>
          <w:rFonts w:ascii="IRNazanin" w:hAnsi="IRNazanin" w:eastAsia="IRNazanin" w:cs="IRNazanin"/>
          <w:lang w:bidi="fa-IR"/>
          <w:color w:val="111111"/>
          <w:sz w:val="28"/>
          <w:szCs w:val="28"/>
          <w:rtl/>
        </w:rPr>
        <w:t xml:space="preserve">راجع دیوان سلیما طهرانی.</w:t>
      </w:r>
    </w:p>
    <w:p>
      <w:pPr>
        <w:pStyle w:val="Heading3"/>
      </w:pPr>
      <w:bookmarkStart w:id="4752" w:name="_Toc3448"/>
      <w:r>
        <w:t>2661- دیوان سلیمان ظاهر العاملی النبطی‏</w:t>
      </w:r>
      <w:bookmarkEnd w:id="4752"/>
    </w:p>
    <w:p>
      <w:pPr>
        <w:pStyle w:val="BookText"/>
      </w:pPr>
      <w:r>
        <w:rPr>
          <w:rFonts w:ascii="IRNazanin" w:hAnsi="IRNazanin" w:eastAsia="IRNazanin" w:cs="IRNazanin"/>
          <w:lang w:bidi="fa-IR"/>
          <w:color w:val="111111"/>
          <w:sz w:val="28"/>
          <w:szCs w:val="28"/>
          <w:rtl/>
        </w:rPr>
        <w:t xml:space="preserve">المولود (1290). طبع قسم منه بمطبعة العرفان بعنوان الذخیرة إلی المعاد فذکرناه فی (ج 10 ص 19).</w:t>
      </w:r>
    </w:p>
    <w:p>
      <w:pPr>
        <w:pStyle w:val="Heading3"/>
      </w:pPr>
      <w:bookmarkStart w:id="4753" w:name="_Toc3449"/>
      <w:r>
        <w:t>2662- دیوان سلطان سلیمان خان عثمانی أو شعره‏</w:t>
      </w:r>
      <w:bookmarkEnd w:id="4753"/>
    </w:p>
    <w:p>
      <w:pPr>
        <w:pStyle w:val="BookText"/>
      </w:pPr>
      <w:r>
        <w:rPr>
          <w:rFonts w:ascii="IRNazanin" w:hAnsi="IRNazanin" w:eastAsia="IRNazanin" w:cs="IRNazanin"/>
          <w:lang w:bidi="fa-IR"/>
          <w:color w:val="111111"/>
          <w:sz w:val="28"/>
          <w:szCs w:val="28"/>
          <w:rtl/>
        </w:rPr>
        <w:t xml:space="preserve">هو ابن السلطان سلیم العثمانی المولود (900) و المتوفی (974) ترجمه سام میرزا فی (تس 1- ص 19) و (مع- ج 1 ص 30) و أورد شعره، و کذا فی (پژمان- ص 210).</w:t>
      </w:r>
    </w:p>
    <w:p>
      <w:pPr>
        <w:pStyle w:val="Heading3"/>
      </w:pPr>
      <w:bookmarkStart w:id="4754" w:name="_Toc3450"/>
      <w:r>
        <w:t>2663- دیوان الشیخ سلیمان الماحوزی‏</w:t>
      </w:r>
      <w:bookmarkEnd w:id="4754"/>
    </w:p>
    <w:p>
      <w:pPr>
        <w:pStyle w:val="BookText"/>
      </w:pPr>
      <w:r>
        <w:rPr>
          <w:rFonts w:ascii="IRNazanin" w:hAnsi="IRNazanin" w:eastAsia="IRNazanin" w:cs="IRNazanin"/>
          <w:lang w:bidi="fa-IR"/>
          <w:color w:val="111111"/>
          <w:sz w:val="28"/>
          <w:szCs w:val="28"/>
          <w:rtl/>
        </w:rPr>
        <w:t xml:space="preserve">ابن عبد الله بن علی بن الحسن بن أحمد ابن یوسف بن عماد الماحوزی السراوی البحرانی المولود (1075) و المتوفی (17 رجب- (1121) صاحب البلغة المذکور فی (ج 3 ص 146) جمعه تلمیذ الناظم بأمره و هو السید علی بن إبراهیم بن علی بن إبراهیم الأول بن أبی شبانه البحرانی. حکاه سیدنا فی التکملة عن السید ناصر البحرانی المعاصر نزیل البصرة و المتوفی (1331) صاحب خصائص المؤمنین المذکور فی (ج 7 ص 174).</w:t>
      </w:r>
    </w:p>
    <w:p>
      <w:pPr>
        <w:pStyle w:val="Heading3"/>
      </w:pPr>
      <w:bookmarkStart w:id="4755" w:name="_Toc3451"/>
      <w:r>
        <w:t>2664- دیوان الشیخ سلیمان الماحوزی‏</w:t>
      </w:r>
      <w:bookmarkEnd w:id="4755"/>
    </w:p>
    <w:p>
      <w:pPr>
        <w:pStyle w:val="BookText"/>
      </w:pPr>
      <w:r>
        <w:rPr>
          <w:rFonts w:ascii="IRNazanin" w:hAnsi="IRNazanin" w:eastAsia="IRNazanin" w:cs="IRNazanin"/>
          <w:lang w:bidi="fa-IR"/>
          <w:color w:val="111111"/>
          <w:sz w:val="28"/>
          <w:szCs w:val="28"/>
          <w:rtl/>
        </w:rPr>
        <w:t xml:space="preserve">المذکور. من جمع الفقیه المحدث الشیخ یوسف البحرانی. رتبه علی حروف القوافی کما قاله فی اللؤلؤة و ذکر أنه لم یتم‏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61" w:name="pg11704_121943"/>
    <w:bookmarkEnd w:id="461"/>
    <w:p>
      <w:pPr>
        <w:pStyle w:val="BookText"/>
      </w:pPr>
      <w:r>
        <w:rPr>
          <w:rFonts w:ascii="IRNazanin" w:hAnsi="IRNazanin" w:eastAsia="IRNazanin" w:cs="IRNazanin"/>
          <w:lang w:bidi="fa-IR"/>
          <w:color w:val="111111"/>
          <w:sz w:val="28"/>
          <w:szCs w:val="28"/>
          <w:rtl/>
        </w:rPr>
        <w:t xml:space="preserve">و قد ضاع منه. و له منظومة درة البحرین فی رثاء الحسین أدرجه فی أزهار الریاض کما ذکر فی فهرس مکتبة دانشگاه تهران (ج 2 ص 685). و توجد مراثیه فی مجموعة الشیخ لطف الله الموجودة عند الشیخ محمد علی الیعقوبی. فی النجف.</w:t>
      </w:r>
    </w:p>
    <w:p>
      <w:pPr>
        <w:pStyle w:val="Heading3"/>
      </w:pPr>
      <w:bookmarkStart w:id="4756" w:name="_Toc3452"/>
      <w:r>
        <w:t>2665- دیوان السید سلیمان النجفی‏</w:t>
      </w:r>
      <w:bookmarkEnd w:id="4756"/>
    </w:p>
    <w:p>
      <w:pPr>
        <w:pStyle w:val="BookText"/>
      </w:pPr>
      <w:r>
        <w:rPr>
          <w:rFonts w:ascii="IRNazanin" w:hAnsi="IRNazanin" w:eastAsia="IRNazanin" w:cs="IRNazanin"/>
          <w:lang w:bidi="fa-IR"/>
          <w:color w:val="111111"/>
          <w:sz w:val="28"/>
          <w:szCs w:val="28"/>
          <w:rtl/>
        </w:rPr>
        <w:t xml:space="preserve">هو ابن داود بن حیدر بن أحمد بن محمود الحسینی النجفی المولد فی (1141) الحلی المسکن من (1175) المتوفی بها فی (1211) و المحمول إلی النجف فی ثلاثمائة من المشیعین استقبلهم أهل النجف و مقدمهم السید بحر العلوم و دفن بالصحن الغروی خلف الحرم الشریف المرتضوی کما ترجمه کذلک ولده السید داود بن سلیمان جد السید حیدر الشاعر الحلی الذی توفی (1304) فیما أفرده من رسالة فی ترجمه أبیه ذکرناها فی (ج 4 ص 157) و أورد فیها تراجم بعض معاصریه من العلماء</w:t>
      </w:r>
    </w:p>
    <w:p>
      <w:pPr>
        <w:pStyle w:val="BookText"/>
      </w:pPr>
      <w:r>
        <w:rPr>
          <w:rFonts w:ascii="IRNazanin" w:hAnsi="IRNazanin" w:eastAsia="IRNazanin" w:cs="IRNazanin"/>
          <w:lang w:bidi="fa-IR"/>
          <w:color w:val="111111"/>
          <w:sz w:val="28"/>
          <w:szCs w:val="28"/>
          <w:rtl/>
        </w:rPr>
        <w:t xml:space="preserve">و بعض الشعراء الراثین له و غیرهم و رأیت نسخه الدیوان بخط الناظم ضمن مجموعة بیاضیة عند الشیخ محمد (السماوی) فیه قصائده فی مدح الأمیر علیه السلام  و قصائد المراثی و المثالب و تخمیس قصیدة ابن سبع و تشطیر العینیة الحمیریة و تشطیر قصیدة الشیخ رجب البرسی. و یصرح فی آخر القصائد باسمه، سلیمان، أو سلیمان ابن داود.</w:t>
      </w:r>
    </w:p>
    <w:p>
      <w:pPr>
        <w:pStyle w:val="Heading3"/>
      </w:pPr>
      <w:bookmarkStart w:id="4757" w:name="_Toc3453"/>
      <w:r>
        <w:t>2666- دیوان سلیمانی أو شعره‏</w:t>
      </w:r>
      <w:bookmarkEnd w:id="4757"/>
    </w:p>
    <w:p>
      <w:pPr>
        <w:pStyle w:val="BookText"/>
      </w:pPr>
      <w:r>
        <w:rPr>
          <w:rFonts w:ascii="IRNazanin" w:hAnsi="IRNazanin" w:eastAsia="IRNazanin" w:cs="IRNazanin"/>
          <w:lang w:bidi="fa-IR"/>
          <w:color w:val="111111"/>
          <w:sz w:val="28"/>
          <w:szCs w:val="28"/>
          <w:rtl/>
        </w:rPr>
        <w:t xml:space="preserve">کما ذکره فی (لط 1- ص 21) قال و کان ملازما لخدمة بابر میرزا بن عمر شیخ، و کان مسلطا علی نظم البدیهة و متتبعا لغزلیات الحافظ غالبا. ثم ذکر بعضها، و ضعف قول من ینسب بعض تلک الغزلیات إلی مهری زوجة مولانا الحکیم طبیب شاه‏رخ. و لکن مؤلف اللطائف فی (قز مج 1 ص 194) اختار الثانی.</w:t>
      </w:r>
    </w:p>
    <w:p>
      <w:pPr>
        <w:pStyle w:val="BookText"/>
      </w:pPr>
      <w:r>
        <w:rPr>
          <w:rFonts w:ascii="IRNazanin" w:hAnsi="IRNazanin" w:eastAsia="IRNazanin" w:cs="IRNazanin"/>
          <w:lang w:bidi="fa-IR"/>
          <w:color w:val="111111"/>
          <w:sz w:val="28"/>
          <w:szCs w:val="28"/>
          <w:rtl/>
        </w:rPr>
        <w:t xml:space="preserve">و سماه سلیمان و نقل قصة لمهری الآتیة فی المیم.</w:t>
      </w:r>
    </w:p>
    <w:p>
      <w:pPr>
        <w:pStyle w:val="Heading3"/>
      </w:pPr>
      <w:bookmarkStart w:id="4758" w:name="_Toc3454"/>
      <w:r>
        <w:t>2667- دیوان سلیمی أو شعره‏</w:t>
      </w:r>
      <w:bookmarkEnd w:id="4758"/>
    </w:p>
    <w:p>
      <w:pPr>
        <w:pStyle w:val="BookText"/>
      </w:pPr>
      <w:r>
        <w:rPr>
          <w:rFonts w:ascii="IRNazanin" w:hAnsi="IRNazanin" w:eastAsia="IRNazanin" w:cs="IRNazanin"/>
          <w:lang w:bidi="fa-IR"/>
          <w:color w:val="111111"/>
          <w:sz w:val="28"/>
          <w:szCs w:val="28"/>
          <w:rtl/>
        </w:rPr>
        <w:t xml:space="preserve">و اسمه سلیم. رأیت فی مجموعة لبعض الأصحاب نقل عنه بعض قصائده فی مدح أمیر المؤمنین علیه السلام  و بعض غزلیاته.</w:t>
      </w:r>
    </w:p>
    <w:p>
      <w:pPr>
        <w:pStyle w:val="Heading3"/>
      </w:pPr>
      <w:bookmarkStart w:id="4759" w:name="_Toc3455"/>
      <w:r>
        <w:t>2668- دیوان سلیمی تونی‏</w:t>
      </w:r>
      <w:bookmarkEnd w:id="4759"/>
    </w:p>
    <w:p>
      <w:pPr>
        <w:pStyle w:val="BookText"/>
      </w:pPr>
      <w:r>
        <w:rPr>
          <w:rFonts w:ascii="IRNazanin" w:hAnsi="IRNazanin" w:eastAsia="IRNazanin" w:cs="IRNazanin"/>
          <w:lang w:bidi="fa-IR"/>
          <w:color w:val="111111"/>
          <w:sz w:val="28"/>
          <w:szCs w:val="28"/>
          <w:rtl/>
        </w:rPr>
        <w:t xml:space="preserve">و اسمه حسن. أصله من تون سکن سبزوار. قال دولت شاه فی (دولت- 7) إنه اشتغل فی أول عمره بعلمداری (الجابی) و کان یظلم الناس و یعین الظالمین کسائر علمداریة هذا الزمان (أی القرن التاسع) ثم إن عجوزا سبب توبته فلبس الفقر و حج البیت و زار مراقد الأئمة علیه السلام  و مدح الأمیر و أولاده المعصومین علیه السلام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62" w:name="pg11704_121944"/>
    <w:bookmarkEnd w:id="462"/>
    <w:p>
      <w:pPr>
        <w:pStyle w:val="BookText"/>
      </w:pPr>
      <w:r>
        <w:rPr>
          <w:rFonts w:ascii="IRNazanin" w:hAnsi="IRNazanin" w:eastAsia="IRNazanin" w:cs="IRNazanin"/>
          <w:lang w:bidi="fa-IR"/>
          <w:color w:val="111111"/>
          <w:sz w:val="28"/>
          <w:szCs w:val="28"/>
          <w:rtl/>
        </w:rPr>
        <w:t xml:space="preserve">بقصائد و رثاهم و لم ینظم أحد مثله ولایت‏نامه و مات عند زیارته لمشهد الرضا علیه السلام  فی (854) و نقل جنازته إلی سبزوار و دفن بها. و کذا فی الریحانة نقلا عن (السفینة- ص 212). و فی شاهد صادق عده فی المتوفین (854) و فی (تش- ص 67) قال مات (327) و هذا من غلط الطبع. و ذکره فی (روشن- ص 302) أیضا مغلوطا. و له حرز النجاة منظومة فی أصول الدین و فروعه طبق القواعد الإمامیة و صرح فی مقدمته النثریة باسمه هکذا: تاج الدین حسن بن سلیمان التونی المتخلص سلیمی و قال فیه إنه سکن مع اهله فی شبابه شیراز. و النسخة فی مجموعة برقم (1184) فی (المجلس) کما فی فهرسها (ج 3- ص 662). فالظاهر أن سبزوار تصحیف لشیراز.</w:t>
      </w:r>
    </w:p>
    <w:p>
      <w:pPr>
        <w:pStyle w:val="Heading3"/>
      </w:pPr>
      <w:bookmarkStart w:id="4760" w:name="_Toc3456"/>
      <w:r>
        <w:t>2669- دیوان سلیمی تهرانی‏</w:t>
      </w:r>
      <w:bookmarkEnd w:id="4760"/>
    </w:p>
    <w:p>
      <w:pPr>
        <w:pStyle w:val="BookText"/>
      </w:pPr>
      <w:r>
        <w:rPr>
          <w:rFonts w:ascii="IRNazanin" w:hAnsi="IRNazanin" w:eastAsia="IRNazanin" w:cs="IRNazanin"/>
          <w:lang w:bidi="fa-IR"/>
          <w:color w:val="111111"/>
          <w:sz w:val="28"/>
          <w:szCs w:val="28"/>
          <w:rtl/>
        </w:rPr>
        <w:t xml:space="preserve">و اسمه علی أکبر بن علی أصغر (شیر دربار) حفید سلیم طهرانی. ولد (1279 ش) و أسس جریدة اطلاعات فی (1304 ش) ثم فی (1305 ش) فوضه إلی مسعودی، و له مجموعه گلهای رنگارنگ خرج منها (86 مجلدا صغیرا) و طبع منتخب من شعره باسم مهر جاوید فی (1330 ش) و کتب السید محمد باقر البرقعی له مقدمه فی أحواله. و ترجمه فی سخنوران نامی معاصر- ج 2 ص 151- 155 و هو الذی جمع دیوان السید رضا میرزاده عشقی و طبعه مکررا بعنوان کلیات مصور عشقی.</w:t>
      </w:r>
    </w:p>
    <w:p>
      <w:pPr>
        <w:pStyle w:val="Heading3"/>
      </w:pPr>
      <w:bookmarkStart w:id="4761" w:name="_Toc3457"/>
      <w:r>
        <w:t>2670- دیوان سلیمی عثمانی‏</w:t>
      </w:r>
      <w:bookmarkEnd w:id="4761"/>
    </w:p>
    <w:p>
      <w:pPr>
        <w:pStyle w:val="BookText"/>
      </w:pPr>
      <w:r>
        <w:rPr>
          <w:rFonts w:ascii="IRNazanin" w:hAnsi="IRNazanin" w:eastAsia="IRNazanin" w:cs="IRNazanin"/>
          <w:lang w:bidi="fa-IR"/>
          <w:color w:val="111111"/>
          <w:sz w:val="28"/>
          <w:szCs w:val="28"/>
          <w:rtl/>
        </w:rPr>
        <w:t xml:space="preserve">للسلطان سلیم بن بایزید المنتهی نسبه إلی قرأ عثمان بستة آباء. طال ملکه ثمان سنین و مات (926) ذکر تمام نسبه و تاریخه سام میرزا فی (تس 1- ص 19) و ترجمه مفصلا شاه محمد القزوینی فی (بهش 2- ص 359) و (روشن- ص 297) و أورد کثیرا من أشعاره الفارسیة و تخلصه فیها سلیمی، و سلیم. کان یعد نفسه من أولاد فریدون ملک الفرس و یعد الشاه إسماعیل الصفوی من أولاد أفراسیاب ملک الترک. و کان سلیم یقول الشعر بالفارسیة و الشاه إسماعیل ینظم بالترکیة. و قد طبع دیوانه الفارسی الدکتور پل هرن فی برلن و أهداه الإمپراطور الألمانی إلی السلطان عبد الحمید فی (1904 م).</w:t>
      </w:r>
    </w:p>
    <w:p>
      <w:pPr>
        <w:pStyle w:val="Heading3"/>
      </w:pPr>
      <w:bookmarkStart w:id="4762" w:name="_Toc3458"/>
      <w:r>
        <w:t>2671- دیوان سلیمی فیروزکوهی أو شعره‏</w:t>
      </w:r>
      <w:bookmarkEnd w:id="4762"/>
    </w:p>
    <w:p>
      <w:pPr>
        <w:pStyle w:val="BookText"/>
      </w:pPr>
      <w:r>
        <w:rPr>
          <w:rFonts w:ascii="IRNazanin" w:hAnsi="IRNazanin" w:eastAsia="IRNazanin" w:cs="IRNazanin"/>
          <w:lang w:bidi="fa-IR"/>
          <w:color w:val="111111"/>
          <w:sz w:val="28"/>
          <w:szCs w:val="28"/>
          <w:rtl/>
        </w:rPr>
        <w:t xml:space="preserve">هو من المعاصرین لسام میرزا. ذکره و ذکر مطلع غزله فی (تس 5- ص 152).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63" w:name="pg11704_121945"/>
    <w:bookmarkEnd w:id="463"/>
    <w:p>
      <w:pPr>
        <w:pStyle w:val="Heading3"/>
      </w:pPr>
      <w:bookmarkStart w:id="4763" w:name="_Toc3459"/>
      <w:r>
        <w:t>2672- دیوان سمائی کحال أو شعره‏</w:t>
      </w:r>
      <w:bookmarkEnd w:id="4763"/>
    </w:p>
    <w:p>
      <w:pPr>
        <w:pStyle w:val="BookText"/>
      </w:pPr>
      <w:r>
        <w:rPr>
          <w:rFonts w:ascii="IRNazanin" w:hAnsi="IRNazanin" w:eastAsia="IRNazanin" w:cs="IRNazanin"/>
          <w:lang w:bidi="fa-IR"/>
          <w:color w:val="111111"/>
          <w:sz w:val="28"/>
          <w:szCs w:val="28"/>
          <w:rtl/>
        </w:rPr>
        <w:t xml:space="preserve">من شعراء العهد الصفوی مات (1001).</w:t>
      </w:r>
    </w:p>
    <w:p>
      <w:pPr>
        <w:pStyle w:val="BookText"/>
      </w:pPr>
      <w:r>
        <w:rPr>
          <w:rFonts w:ascii="IRNazanin" w:hAnsi="IRNazanin" w:eastAsia="IRNazanin" w:cs="IRNazanin"/>
          <w:lang w:bidi="fa-IR"/>
          <w:color w:val="111111"/>
          <w:sz w:val="28"/>
          <w:szCs w:val="28"/>
          <w:rtl/>
        </w:rPr>
        <w:t xml:space="preserve">أورد شعره فی (گلشن- ص 211) فالقاموس الترکی و عنه فی الریحانة و (پژمان- ص 847).</w:t>
      </w:r>
    </w:p>
    <w:p>
      <w:pPr>
        <w:pStyle w:val="Heading3"/>
      </w:pPr>
      <w:bookmarkStart w:id="4764" w:name="_Toc3460"/>
      <w:r>
        <w:t>2673- دیوان سمائی مروزی أو شعره‏</w:t>
      </w:r>
      <w:bookmarkEnd w:id="4764"/>
    </w:p>
    <w:p>
      <w:pPr>
        <w:pStyle w:val="BookText"/>
      </w:pPr>
      <w:r>
        <w:rPr>
          <w:rFonts w:ascii="IRNazanin" w:hAnsi="IRNazanin" w:eastAsia="IRNazanin" w:cs="IRNazanin"/>
          <w:lang w:bidi="fa-IR"/>
          <w:color w:val="111111"/>
          <w:sz w:val="28"/>
          <w:szCs w:val="28"/>
          <w:rtl/>
        </w:rPr>
        <w:t xml:space="preserve">و هو الحکیم محمود بن علی من شعراء العهد السلجوقی و معاصر الحکیم سوزنی و کان بینهما مهاجاة. ترجمه و أورد شعره فی (مع- ج 1 ص 248) و (گلشن- ص 211) فالقاموس الترکی ثم الریحانة.</w:t>
      </w:r>
    </w:p>
    <w:p>
      <w:pPr>
        <w:pStyle w:val="Heading3"/>
      </w:pPr>
      <w:bookmarkStart w:id="4765" w:name="_Toc3461"/>
      <w:r>
        <w:t>2674- دیوان السماوی‏</w:t>
      </w:r>
      <w:bookmarkEnd w:id="4765"/>
    </w:p>
    <w:p>
      <w:pPr>
        <w:pStyle w:val="BookText"/>
      </w:pPr>
      <w:r>
        <w:rPr>
          <w:rFonts w:ascii="IRNazanin" w:hAnsi="IRNazanin" w:eastAsia="IRNazanin" w:cs="IRNazanin"/>
          <w:lang w:bidi="fa-IR"/>
          <w:color w:val="111111"/>
          <w:sz w:val="28"/>
          <w:szCs w:val="28"/>
          <w:rtl/>
        </w:rPr>
        <w:t xml:space="preserve">الشیخ محمد بن الشیخ طاهر بن الشیخ حبیب بن الحسین ابن المحسن من آل فضل أحلاف المنتفک. المولود فی (27 ذی الحجة (1292) فی بلدة سماوة و هاجر مع أبیه إلی النجف (1304) و بها توفی یوم الأحد الثانی من المحرم (1370) فصلت ترجمته و مشایخه و تصانیفه فی الجزء الثانی من نقباء البشر و أشعاره مدرج فی عدة مجامیع بخطه تبلغ العشرین ألف بیت. و له أراجیز فی فنون کثیرة: أرجوزة فی النحو و أخری فی الصرف و أخری فی علم الخط و أرجوزة فی المعانی و البیان و البدیع و أرجوزة فی أصول الفقه و أرجوزة فی الأسطرلاب و أرجوزة فی الهیئة و أرجوزة فی الربع المجیب و أرجوزة فی الطبیعی و الإلهی و أرجوزة فی تواریخ المعصومین علیه السلام  رأیت جمیع ذلک بخطه فی مکتبته النفیسة التی تفرقت بعد موته بعدة أیام لأنه ورثتها بنت واحدة لم تعرف قدرها. و قد طبع من شعره شجرة الریاض و ثمرة الشجر فی المدائح و أراجیز فی تاریخ النجف و کربلاء و الکاظمیة و سامراء و من ولوعه فی علم الأدب قد دون أشعار جمع من الشعراء مما اقتطفه من مواضع متفرقة فدون أشعار السید الحمیری و أشعار الشیخ حسین نجف و أشعار الصنوبری و أشعار الشیخ رجب البرسی و أشعار الشیخ مفلح الصیمری و أشعار الشیخ مغامس و أشعار أبی ذؤیب و أشعار الشیخ حسن قفطان و أشعار دعبل و أشعار دیک الجن و أشعار السید نعمان الحلی و أشعار الشیخ شریف الکاظمی و أشعار الدرمکی و أشعار العربی و غیر ذلک.</w:t>
      </w:r>
    </w:p>
    <w:p>
      <w:pPr>
        <w:pStyle w:val="BookText"/>
      </w:pPr>
      <w:r>
        <w:rPr>
          <w:rFonts w:ascii="IRNazanin" w:hAnsi="IRNazanin" w:eastAsia="IRNazanin" w:cs="IRNazanin"/>
          <w:lang w:bidi="fa-IR"/>
          <w:color w:val="111111"/>
          <w:sz w:val="28"/>
          <w:szCs w:val="28"/>
          <w:rtl/>
        </w:rPr>
        <w:t xml:space="preserve">و بما أنه بعد ستة أیام من وفاته توفی عدیله فی الفضل و الأدب و القضاء و المنصب، الشیخ جعفر النقدی قاضی الجعفریة ببغداد، فی السبت الثامن من المحرم فجأة، و کانا من أصدقاء السید محمد صادق بحر العلوم فرثاهما و أرخ وفاتهما فی قطعة و هی قوله: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64" w:name="pg11704_121946"/>
    <w:bookmarkEnd w:id="464"/>
    <w:p>
      <w:pPr>
        <w:pStyle w:val="BookText"/>
      </w:pPr>
      <w:r>
        <w:rPr>
          <w:rFonts w:ascii="IRNazanin" w:hAnsi="IRNazanin" w:eastAsia="IRNazanin" w:cs="IRNazanin"/>
          <w:lang w:bidi="fa-IR"/>
          <w:color w:val="111111"/>
          <w:sz w:val="28"/>
          <w:szCs w:val="28"/>
          <w:rtl/>
        </w:rPr>
        <w:t xml:space="preserve">قد دهی الکون رنة و عویل‏</w:t>
      </w:r>
    </w:p>
    <w:p>
      <w:pPr>
        <w:pStyle w:val="BookText"/>
      </w:pPr>
      <w:r>
        <w:rPr>
          <w:rFonts w:ascii="IRNazanin" w:hAnsi="IRNazanin" w:eastAsia="IRNazanin" w:cs="IRNazanin"/>
          <w:lang w:bidi="fa-IR"/>
          <w:color w:val="111111"/>
          <w:sz w:val="28"/>
          <w:szCs w:val="28"/>
          <w:rtl/>
        </w:rPr>
        <w:t xml:space="preserve">و رزایا مثلها لیس یوجد</w:t>
      </w:r>
    </w:p>
    <w:p>
      <w:pPr>
        <w:pStyle w:val="BookText"/>
      </w:pPr>
      <w:r>
        <w:rPr>
          <w:rFonts w:ascii="IRNazanin" w:hAnsi="IRNazanin" w:eastAsia="IRNazanin" w:cs="IRNazanin"/>
          <w:lang w:bidi="fa-IR"/>
          <w:color w:val="111111"/>
          <w:sz w:val="28"/>
          <w:szCs w:val="28"/>
          <w:rtl/>
        </w:rPr>
        <w:t xml:space="preserve">أ لأن الأنام تندب شجوا</w:t>
      </w:r>
    </w:p>
    <w:p>
      <w:pPr>
        <w:pStyle w:val="BookText"/>
      </w:pPr>
      <w:r>
        <w:rPr>
          <w:rFonts w:ascii="IRNazanin" w:hAnsi="IRNazanin" w:eastAsia="IRNazanin" w:cs="IRNazanin"/>
          <w:lang w:bidi="fa-IR"/>
          <w:color w:val="111111"/>
          <w:sz w:val="28"/>
          <w:szCs w:val="28"/>
          <w:rtl/>
        </w:rPr>
        <w:t xml:space="preserve">شهر عاشور سبط طه محمد</w:t>
      </w:r>
    </w:p>
    <w:p>
      <w:pPr>
        <w:pStyle w:val="BookText"/>
      </w:pPr>
      <w:r>
        <w:rPr>
          <w:rFonts w:ascii="IRNazanin" w:hAnsi="IRNazanin" w:eastAsia="IRNazanin" w:cs="IRNazanin"/>
          <w:lang w:bidi="fa-IR"/>
          <w:color w:val="111111"/>
          <w:sz w:val="28"/>
          <w:szCs w:val="28"/>
          <w:rtl/>
        </w:rPr>
        <w:t xml:space="preserve">أ لأن الأیام جاءت بخطب‏</w:t>
      </w:r>
    </w:p>
    <w:p>
      <w:pPr>
        <w:pStyle w:val="BookText"/>
      </w:pPr>
      <w:r>
        <w:rPr>
          <w:rFonts w:ascii="IRNazanin" w:hAnsi="IRNazanin" w:eastAsia="IRNazanin" w:cs="IRNazanin"/>
          <w:lang w:bidi="fa-IR"/>
          <w:color w:val="111111"/>
          <w:sz w:val="28"/>
          <w:szCs w:val="28"/>
          <w:rtl/>
        </w:rPr>
        <w:t xml:space="preserve">إثر خطب فالعیش أضحی منکد</w:t>
      </w:r>
    </w:p>
    <w:p>
      <w:pPr>
        <w:pStyle w:val="BookText"/>
      </w:pPr>
      <w:r>
        <w:rPr>
          <w:rFonts w:ascii="IRNazanin" w:hAnsi="IRNazanin" w:eastAsia="IRNazanin" w:cs="IRNazanin"/>
          <w:lang w:bidi="fa-IR"/>
          <w:color w:val="111111"/>
          <w:sz w:val="28"/>
          <w:szCs w:val="28"/>
          <w:rtl/>
        </w:rPr>
        <w:t xml:space="preserve">أ بها قد قضی الحسین فأرخ‏</w:t>
      </w:r>
    </w:p>
    <w:p>
      <w:pPr>
        <w:pStyle w:val="BookText"/>
      </w:pPr>
      <w:r>
        <w:rPr>
          <w:rFonts w:ascii="IRNazanin" w:hAnsi="IRNazanin" w:eastAsia="IRNazanin" w:cs="IRNazanin"/>
          <w:lang w:bidi="fa-IR"/>
          <w:color w:val="111111"/>
          <w:sz w:val="28"/>
          <w:szCs w:val="28"/>
          <w:rtl/>
        </w:rPr>
        <w:t xml:space="preserve">أ قضی جعفر بها و محمد</w:t>
      </w:r>
    </w:p>
    <w:p>
      <w:pPr>
        <w:pStyle w:val="Heading3"/>
      </w:pPr>
      <w:bookmarkStart w:id="4766" w:name="_Toc3462"/>
      <w:r>
        <w:t>2675- دیوان السماهیجی‏</w:t>
      </w:r>
      <w:bookmarkEnd w:id="4766"/>
    </w:p>
    <w:p>
      <w:pPr>
        <w:pStyle w:val="BookText"/>
      </w:pPr>
      <w:r>
        <w:rPr>
          <w:rFonts w:ascii="IRNazanin" w:hAnsi="IRNazanin" w:eastAsia="IRNazanin" w:cs="IRNazanin"/>
          <w:lang w:bidi="fa-IR"/>
          <w:color w:val="111111"/>
          <w:sz w:val="28"/>
          <w:szCs w:val="28"/>
          <w:rtl/>
        </w:rPr>
        <w:t xml:space="preserve">الشیخ عبد الله بن صالح المتوفی (1135) مر له تحفه الرجال نظما فی (ج 3 ص 433) و له مصائب الشهداء خمس مجلدات یأتی.</w:t>
      </w:r>
    </w:p>
    <w:p>
      <w:pPr>
        <w:pStyle w:val="Heading3"/>
      </w:pPr>
      <w:bookmarkStart w:id="4767" w:name="_Toc3463"/>
      <w:r>
        <w:t>2676- دیوان سمر</w:t>
      </w:r>
      <w:bookmarkEnd w:id="4767"/>
    </w:p>
    <w:p>
      <w:pPr>
        <w:pStyle w:val="BookText"/>
      </w:pPr>
      <w:r>
        <w:rPr>
          <w:rFonts w:ascii="IRNazanin" w:hAnsi="IRNazanin" w:eastAsia="IRNazanin" w:cs="IRNazanin"/>
          <w:lang w:bidi="fa-IR"/>
          <w:color w:val="111111"/>
          <w:sz w:val="28"/>
          <w:szCs w:val="28"/>
          <w:rtl/>
        </w:rPr>
        <w:t xml:space="preserve">من شعراء عصر محمد شاه قاجار. رأیت نسخه منه عند (الملک) برقم (5404) یشتمل فی أولها علی عدة خطب فارسیة و عربیة مصنوعة. و کلها قصائد فی مدیح الأمراء. جمعها الناظم بنفسه باسم محمد شاه. و تخلصه فیها سمر</w:t>
      </w:r>
    </w:p>
    <w:p>
      <w:pPr>
        <w:pStyle w:val="Heading3"/>
      </w:pPr>
      <w:bookmarkStart w:id="4768" w:name="_Toc3464"/>
      <w:r>
        <w:t>دیوان السمری أو شعره‏</w:t>
      </w:r>
      <w:bookmarkEnd w:id="4768"/>
    </w:p>
    <w:p>
      <w:pPr>
        <w:pStyle w:val="BookText"/>
      </w:pPr>
      <w:r>
        <w:rPr>
          <w:rFonts w:ascii="IRNazanin" w:hAnsi="IRNazanin" w:eastAsia="IRNazanin" w:cs="IRNazanin"/>
          <w:lang w:bidi="fa-IR"/>
          <w:color w:val="111111"/>
          <w:sz w:val="28"/>
          <w:szCs w:val="28"/>
          <w:rtl/>
        </w:rPr>
        <w:t xml:space="preserve">و اسمه أبو الحسن عده ابن شهرآشوب فی (معالم العلماء- ص 137) فی شعراء الشیعة و لعله أراد علی بن محمد السمری النائب الخاص المتوفی (329) و لکنا لم نر له شعرا</w:t>
      </w:r>
    </w:p>
    <w:p>
      <w:pPr>
        <w:pStyle w:val="Heading3"/>
      </w:pPr>
      <w:bookmarkStart w:id="4769" w:name="_Toc3465"/>
      <w:r>
        <w:t>2677- دیوان سمطوری الأردبیلی أو شعره‏</w:t>
      </w:r>
      <w:bookmarkEnd w:id="4769"/>
    </w:p>
    <w:p>
      <w:pPr>
        <w:pStyle w:val="BookText"/>
      </w:pPr>
      <w:r>
        <w:rPr>
          <w:rFonts w:ascii="IRNazanin" w:hAnsi="IRNazanin" w:eastAsia="IRNazanin" w:cs="IRNazanin"/>
          <w:lang w:bidi="fa-IR"/>
          <w:color w:val="111111"/>
          <w:sz w:val="28"/>
          <w:szCs w:val="28"/>
          <w:rtl/>
        </w:rPr>
        <w:t xml:space="preserve">ترجمه فی (دجا- ص 183) و قال إنه من الشعراء المترجمین فی حدیقة الشعراء لأحمد بن أبی الحسن الشیرازی المتوفی (1310)</w:t>
      </w:r>
    </w:p>
    <w:p>
      <w:pPr>
        <w:pStyle w:val="Heading3"/>
      </w:pPr>
      <w:bookmarkStart w:id="4770" w:name="_Toc3466"/>
      <w:r>
        <w:t>2678- دیوان سمندر بواناتی أو شعره‏</w:t>
      </w:r>
      <w:bookmarkEnd w:id="4770"/>
    </w:p>
    <w:p>
      <w:pPr>
        <w:pStyle w:val="BookText"/>
      </w:pPr>
      <w:r>
        <w:rPr>
          <w:rFonts w:ascii="IRNazanin" w:hAnsi="IRNazanin" w:eastAsia="IRNazanin" w:cs="IRNazanin"/>
          <w:lang w:bidi="fa-IR"/>
          <w:color w:val="111111"/>
          <w:sz w:val="28"/>
          <w:szCs w:val="28"/>
          <w:rtl/>
        </w:rPr>
        <w:t xml:space="preserve">و بوانات من نواحی فارس و اسمه المیر رونق، و کان فی الأواخر یتخلص باسمه رونق ترجمه معاصره النصرآبادی فی (نر 9- 410) و ذکر أنه بعد سفر قندهار و رجوعه مع العساکر إلی طهران توفی بها</w:t>
      </w:r>
    </w:p>
    <w:p>
      <w:pPr>
        <w:pStyle w:val="Heading3"/>
      </w:pPr>
      <w:bookmarkStart w:id="4771" w:name="_Toc3467"/>
      <w:r>
        <w:t>2679- دیوان سمندر گیلانی أو شعره‏</w:t>
      </w:r>
      <w:bookmarkEnd w:id="4771"/>
    </w:p>
    <w:p>
      <w:pPr>
        <w:pStyle w:val="BookText"/>
      </w:pPr>
      <w:r>
        <w:rPr>
          <w:rFonts w:ascii="IRNazanin" w:hAnsi="IRNazanin" w:eastAsia="IRNazanin" w:cs="IRNazanin"/>
          <w:lang w:bidi="fa-IR"/>
          <w:color w:val="111111"/>
          <w:sz w:val="28"/>
          <w:szCs w:val="28"/>
          <w:rtl/>
        </w:rPr>
        <w:t xml:space="preserve">و اسمه آقا علی ابن الخواجة عبد الصمد المعروف فی جیلان بسمند هو أخ حسین خان کلانتر أردو ترجمه و أورد شعره معاصره و معاشره النصرآبادی فی (نر 5- ص 137)</w:t>
      </w:r>
    </w:p>
    <w:p>
      <w:pPr>
        <w:pStyle w:val="Heading3"/>
      </w:pPr>
      <w:bookmarkStart w:id="4772" w:name="_Toc3468"/>
      <w:r>
        <w:t>2680- دیوان سموری سجزی أو شعره‏</w:t>
      </w:r>
      <w:bookmarkEnd w:id="4772"/>
    </w:p>
    <w:p>
      <w:pPr>
        <w:pStyle w:val="BookText"/>
      </w:pPr>
      <w:r>
        <w:rPr>
          <w:rFonts w:ascii="IRNazanin" w:hAnsi="IRNazanin" w:eastAsia="IRNazanin" w:cs="IRNazanin"/>
          <w:lang w:bidi="fa-IR"/>
          <w:color w:val="111111"/>
          <w:sz w:val="28"/>
          <w:szCs w:val="28"/>
          <w:rtl/>
        </w:rPr>
        <w:t xml:space="preserve">الأمیر ظهیر الدین [نصر] السموری السجزی الوزیر الشاعر الخطاط سافر من سیستان إلی غور سفیرا و مدح الصدر الأجل فخر الدین مبارک شاه بها أورد قصیدته فی (اللباب 6- ج 1 ص 133)</w:t>
      </w:r>
    </w:p>
    <w:p>
      <w:pPr>
        <w:pStyle w:val="Heading3"/>
      </w:pPr>
      <w:bookmarkStart w:id="4773" w:name="_Toc3469"/>
      <w:r>
        <w:t>2681- دیوان سموی تبریزی أو شعره‏</w:t>
      </w:r>
      <w:bookmarkEnd w:id="4773"/>
    </w:p>
    <w:p>
      <w:pPr>
        <w:pStyle w:val="BookText"/>
      </w:pPr>
      <w:r>
        <w:rPr>
          <w:rFonts w:ascii="IRNazanin" w:hAnsi="IRNazanin" w:eastAsia="IRNazanin" w:cs="IRNazanin"/>
          <w:lang w:bidi="fa-IR"/>
          <w:color w:val="111111"/>
          <w:sz w:val="28"/>
          <w:szCs w:val="28"/>
          <w:rtl/>
        </w:rPr>
        <w:t xml:space="preserve">ترجمه فی (دجا- ص 183) و حکی‏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65" w:name="pg11704_121947"/>
    <w:bookmarkEnd w:id="465"/>
    <w:p>
      <w:pPr>
        <w:pStyle w:val="BookText"/>
      </w:pPr>
      <w:r>
        <w:rPr>
          <w:rFonts w:ascii="IRNazanin" w:hAnsi="IRNazanin" w:eastAsia="IRNazanin" w:cs="IRNazanin"/>
          <w:lang w:bidi="fa-IR"/>
          <w:color w:val="111111"/>
          <w:sz w:val="28"/>
          <w:szCs w:val="28"/>
          <w:rtl/>
        </w:rPr>
        <w:t xml:space="preserve">شعره عن خلاصة الأفکار للمیر محمد تقی الکاشی الذی کان إلی حدود الألف الهجری‏</w:t>
      </w:r>
    </w:p>
    <w:p>
      <w:pPr>
        <w:pStyle w:val="Heading3"/>
      </w:pPr>
      <w:bookmarkStart w:id="4774" w:name="_Toc3470"/>
      <w:r>
        <w:t>دیوان خواجه سمیع‏</w:t>
      </w:r>
      <w:bookmarkEnd w:id="4774"/>
    </w:p>
    <w:p>
      <w:pPr>
        <w:pStyle w:val="BookText"/>
      </w:pPr>
      <w:r>
        <w:rPr>
          <w:rFonts w:ascii="IRNazanin" w:hAnsi="IRNazanin" w:eastAsia="IRNazanin" w:cs="IRNazanin"/>
          <w:lang w:bidi="fa-IR"/>
          <w:color w:val="111111"/>
          <w:sz w:val="28"/>
          <w:szCs w:val="28"/>
          <w:rtl/>
        </w:rPr>
        <w:t xml:space="preserve">مر بعنوان تخلصه سادات‏</w:t>
      </w:r>
    </w:p>
    <w:p>
      <w:pPr>
        <w:pStyle w:val="Heading3"/>
      </w:pPr>
      <w:bookmarkStart w:id="4775" w:name="_Toc3471"/>
      <w:r>
        <w:t>2682- دیوان سمیعی أو شعره‏</w:t>
      </w:r>
      <w:bookmarkEnd w:id="4775"/>
    </w:p>
    <w:p>
      <w:pPr>
        <w:pStyle w:val="BookText"/>
      </w:pPr>
      <w:r>
        <w:rPr>
          <w:rFonts w:ascii="IRNazanin" w:hAnsi="IRNazanin" w:eastAsia="IRNazanin" w:cs="IRNazanin"/>
          <w:lang w:bidi="fa-IR"/>
          <w:color w:val="111111"/>
          <w:sz w:val="28"/>
          <w:szCs w:val="28"/>
          <w:rtl/>
        </w:rPr>
        <w:t xml:space="preserve">هو الشاعر البلخی ترجمه النصرآبادی فی (نر 10- ص 441) و ذکر أنه من طلاب العلوم ببلخ و ذکر رباعیته‏</w:t>
      </w:r>
    </w:p>
    <w:p>
      <w:pPr>
        <w:pStyle w:val="Heading3"/>
      </w:pPr>
      <w:bookmarkStart w:id="4776" w:name="_Toc3472"/>
      <w:r>
        <w:t>دیوان سنائی حروفی‏</w:t>
      </w:r>
      <w:bookmarkEnd w:id="4776"/>
    </w:p>
    <w:p>
      <w:pPr>
        <w:pStyle w:val="BookText"/>
      </w:pPr>
      <w:r>
        <w:rPr>
          <w:rFonts w:ascii="IRNazanin" w:hAnsi="IRNazanin" w:eastAsia="IRNazanin" w:cs="IRNazanin"/>
          <w:lang w:bidi="fa-IR"/>
          <w:color w:val="111111"/>
          <w:sz w:val="28"/>
          <w:szCs w:val="28"/>
          <w:rtl/>
        </w:rPr>
        <w:t xml:space="preserve">یأتی بعنوان کمال سنائی‏</w:t>
      </w:r>
    </w:p>
    <w:p>
      <w:pPr>
        <w:pStyle w:val="Heading3"/>
      </w:pPr>
      <w:bookmarkStart w:id="4777" w:name="_Toc3473"/>
      <w:r>
        <w:t>2683- دیوان سنائی غزنوی‏</w:t>
      </w:r>
      <w:bookmarkEnd w:id="4777"/>
    </w:p>
    <w:p>
      <w:pPr>
        <w:pStyle w:val="BookText"/>
      </w:pPr>
      <w:r>
        <w:rPr>
          <w:rFonts w:ascii="IRNazanin" w:hAnsi="IRNazanin" w:eastAsia="IRNazanin" w:cs="IRNazanin"/>
          <w:lang w:bidi="fa-IR"/>
          <w:color w:val="111111"/>
          <w:sz w:val="28"/>
          <w:szCs w:val="28"/>
          <w:rtl/>
        </w:rPr>
        <w:t xml:space="preserve">لأبی المجد مجدود بن آدم المتخلص سنائی المولود حدود (464) و المتوفی (525) کما فی شاهد صادق و قیل فی تاریخه:</w:t>
      </w:r>
    </w:p>
    <w:p>
      <w:pPr>
        <w:pStyle w:val="BookText"/>
      </w:pPr>
      <w:r>
        <w:rPr>
          <w:rFonts w:ascii="IRNazanin" w:hAnsi="IRNazanin" w:eastAsia="IRNazanin" w:cs="IRNazanin"/>
          <w:lang w:bidi="fa-IR"/>
          <w:color w:val="111111"/>
          <w:sz w:val="28"/>
          <w:szCs w:val="28"/>
          <w:rtl/>
        </w:rPr>
        <w:t xml:space="preserve">سال نقلش برتبة و مکنت‏</w:t>
      </w:r>
    </w:p>
    <w:p>
      <w:pPr>
        <w:pStyle w:val="BookText"/>
      </w:pPr>
      <w:r>
        <w:rPr>
          <w:rFonts w:ascii="IRNazanin" w:hAnsi="IRNazanin" w:eastAsia="IRNazanin" w:cs="IRNazanin"/>
          <w:lang w:bidi="fa-IR"/>
          <w:color w:val="111111"/>
          <w:sz w:val="28"/>
          <w:szCs w:val="28"/>
          <w:rtl/>
        </w:rPr>
        <w:t xml:space="preserve">گفت هاتف زهی گل جنت‏</w:t>
      </w:r>
    </w:p>
    <w:p>
      <w:pPr>
        <w:pStyle w:val="BookText"/>
      </w:pPr>
      <w:r>
        <w:rPr>
          <w:rFonts w:ascii="IRNazanin" w:hAnsi="IRNazanin" w:eastAsia="IRNazanin" w:cs="IRNazanin"/>
          <w:lang w:bidi="fa-IR"/>
          <w:color w:val="111111"/>
          <w:sz w:val="28"/>
          <w:szCs w:val="28"/>
          <w:rtl/>
        </w:rPr>
        <w:t xml:space="preserve">کما فی گلستان مسرت- ص 384 و ترجمه فی نفحات الأنس- ص 537 و (لس- ص 190) و تاریخ گزیده- ص 821 و مرآة الخیال- ص 33 و (تش- ص 103) و مجالس العشاق- ص 65 و (بهش 1- ص 339) و (تغ- ص 66) و (روشن- ص 303) و (مع- ج 1- ص 254) و (ض- ص 333- 360) و جمیع التذاکر المتأخرة و اسمه أبو المجد مجدود بن آدم أو أبو الحسن علی بن آدم کما فی نسخه کلیاته المکتوبة فی حیاته و الموجودة فی المکتبة الملیة بطهران، و ذکرنا تفصیله فی (ج 6 ص 382) عند ذکر کتابه حدیقة الحقیقة و هذه النسخة کانت سابقا عند (فخر الدین النصیری) ابن مجد الدین بن صدر الأفاضل المیرزا لطف علی الشیرازی نزیل طهران و المتخلص فی شعره بدانش کما مر، و قد کتبت برسم خزانة (قیراندلغ امکناش ألب قتلغ جیوفا ألغ أتابک أبو سعید أرسلان أمه بن آق‏سنقر أتابک ظهیر أمیر المؤمنین) أقول کان آق‏سنقر أتابک معاصر السلطان سنجر، و هذه النسخة مرتبة علی عشرة أبواب، و بینهما و بین سائر نسخها المطبوعة و المخطوطة فروق و مخالفات کثیرة و مر له الانتخابات و بهروز و بهرام و طبع له سیر العباد مع مقدمه للنفیسی علیه فی (1316 ش) و طبع دیوانه فی طهران فی (1274) و فیه القصائد و الغزلیات و المقطعات و الرباعیات و قد طبع المدرس</w:t>
      </w:r>
    </w:p>
    <w:p>
      <w:pPr>
        <w:pStyle w:val="BookText"/>
      </w:pPr>
      <w:r>
        <w:rPr>
          <w:rFonts w:ascii="IRNazanin" w:hAnsi="IRNazanin" w:eastAsia="IRNazanin" w:cs="IRNazanin"/>
          <w:lang w:bidi="fa-IR"/>
          <w:color w:val="111111"/>
          <w:sz w:val="28"/>
          <w:szCs w:val="28"/>
          <w:rtl/>
        </w:rPr>
        <w:t xml:space="preserve">الرضوی دیوان سنائی فی (872 ص) فی (1320 ش) کما طبع حدیقة الحدیقة المذکور فی (ج 6) ثم إنه کان قد جمع السنائی دیوان مسعود سعد، فاعترض علیه خواجه طاهر ثقة الملک بأنه قد أدخل فیه أشعارا لیس لمسعود، فأجابه‏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66" w:name="pg11704_121948"/>
    <w:bookmarkEnd w:id="466"/>
    <w:p>
      <w:pPr>
        <w:pStyle w:val="BookText"/>
      </w:pPr>
      <w:r>
        <w:rPr>
          <w:rFonts w:ascii="IRNazanin" w:hAnsi="IRNazanin" w:eastAsia="IRNazanin" w:cs="IRNazanin"/>
          <w:lang w:bidi="fa-IR"/>
          <w:color w:val="111111"/>
          <w:sz w:val="28"/>
          <w:szCs w:val="28"/>
          <w:rtl/>
        </w:rPr>
        <w:t xml:space="preserve">السنائی بقصیدة طبع فی دیوان مسعود من طبع یاسمی بطهران (ص 732- 733)</w:t>
      </w:r>
    </w:p>
    <w:p>
      <w:pPr>
        <w:pStyle w:val="Heading3"/>
      </w:pPr>
      <w:bookmarkStart w:id="4778" w:name="_Toc3474"/>
      <w:r>
        <w:t>2684- دیوان سنای أصفهانی‏</w:t>
      </w:r>
      <w:bookmarkEnd w:id="4778"/>
    </w:p>
    <w:p>
      <w:pPr>
        <w:pStyle w:val="BookText"/>
      </w:pPr>
      <w:r>
        <w:rPr>
          <w:rFonts w:ascii="IRNazanin" w:hAnsi="IRNazanin" w:eastAsia="IRNazanin" w:cs="IRNazanin"/>
          <w:lang w:bidi="fa-IR"/>
          <w:color w:val="111111"/>
          <w:sz w:val="28"/>
          <w:szCs w:val="28"/>
          <w:rtl/>
        </w:rPr>
        <w:t xml:space="preserve">للمیر جلال الدین همائی المتخلص سنا أستاذ جامعة طهران ولد فی (رمضان- (1317) هو ابن المیر أبی القاسم طرب ابن هما الشیرازی و هما شاعران یأتی دیوانهما ترجمه ایزد گشسب فی نامه سخنوران- ص 81 و (شعرای معاصر أصفهان- ص 247- 250) و أورد شعره فی (پژمان- ص 213 و 755 و 893) طبع منتخب دیوانه فی (500 بیت) فی دانش‏نامه لألفت فی (1342) بأصفهان و الدیوان کله فی (7000 بیت)</w:t>
      </w:r>
    </w:p>
    <w:p>
      <w:pPr>
        <w:pStyle w:val="Heading3"/>
      </w:pPr>
      <w:bookmarkStart w:id="4779" w:name="_Toc3475"/>
      <w:r>
        <w:t>2685- دیوان سنای هندی أو شعره‏</w:t>
      </w:r>
      <w:bookmarkEnd w:id="4779"/>
    </w:p>
    <w:p>
      <w:pPr>
        <w:pStyle w:val="BookText"/>
      </w:pPr>
      <w:r>
        <w:rPr>
          <w:rFonts w:ascii="IRNazanin" w:hAnsi="IRNazanin" w:eastAsia="IRNazanin" w:cs="IRNazanin"/>
          <w:lang w:bidi="fa-IR"/>
          <w:color w:val="111111"/>
          <w:sz w:val="28"/>
          <w:szCs w:val="28"/>
          <w:rtl/>
        </w:rPr>
        <w:t xml:space="preserve">و اسمه فیلان بیگ سافر من هند إلی إیران سفیرا لملکها و صاحب صائب ترجمه و أورد شعره (حسینی- ص 157)</w:t>
      </w:r>
    </w:p>
    <w:p>
      <w:pPr>
        <w:pStyle w:val="Heading3"/>
      </w:pPr>
      <w:bookmarkStart w:id="4780" w:name="_Toc3476"/>
      <w:r>
        <w:t>2686- دیوان السنجاری‏</w:t>
      </w:r>
      <w:bookmarkEnd w:id="4780"/>
    </w:p>
    <w:p>
      <w:pPr>
        <w:pStyle w:val="BookText"/>
      </w:pPr>
      <w:r>
        <w:rPr>
          <w:rFonts w:ascii="IRNazanin" w:hAnsi="IRNazanin" w:eastAsia="IRNazanin" w:cs="IRNazanin"/>
          <w:lang w:bidi="fa-IR"/>
          <w:color w:val="111111"/>
          <w:sz w:val="28"/>
          <w:szCs w:val="28"/>
          <w:rtl/>
        </w:rPr>
        <w:t xml:space="preserve">للأمیر حسن بن مکرون السنجاری الجامع لفنون من التصوف و المنطق و البیان و العروض و فیه قصیدة فی مدح مشارق الأنوار للحافظ البرسی المتوفی (813) و قصائد فی معارضة ابن الفارض عمر بن علی المتوفی (632) أورد بعضها زکی مبارک فی بعض تصانیفه و لعله مقدم علی تقی الدین بن یحیی السنجاری المعاصر للسید صدر الدین علی صاحب السلافة و لذا لم یذکره فیه، أو متأخر عنه و نسخه الدیوان هذا موجودة فی اللاذقیة بسوریا عند السید أحمد بن محمد بن حیدر کما کتبه إلینا</w:t>
      </w:r>
    </w:p>
    <w:p>
      <w:pPr>
        <w:pStyle w:val="Heading3"/>
      </w:pPr>
      <w:bookmarkStart w:id="4781" w:name="_Toc3477"/>
      <w:r>
        <w:t>دیوان سنجانی‏</w:t>
      </w:r>
      <w:bookmarkEnd w:id="4781"/>
    </w:p>
    <w:p>
      <w:pPr>
        <w:pStyle w:val="BookText"/>
      </w:pPr>
      <w:r>
        <w:rPr>
          <w:rFonts w:ascii="IRNazanin" w:hAnsi="IRNazanin" w:eastAsia="IRNazanin" w:cs="IRNazanin"/>
          <w:lang w:bidi="fa-IR"/>
          <w:color w:val="111111"/>
          <w:sz w:val="28"/>
          <w:szCs w:val="28"/>
          <w:rtl/>
        </w:rPr>
        <w:t xml:space="preserve">یأتی بعنوان شاه سنجان رکن الدین‏</w:t>
      </w:r>
    </w:p>
    <w:p>
      <w:pPr>
        <w:pStyle w:val="Heading3"/>
      </w:pPr>
      <w:bookmarkStart w:id="4782" w:name="_Toc3478"/>
      <w:r>
        <w:t>2687- دیوان سنجانی أو قاضی سنجانی‏</w:t>
      </w:r>
      <w:bookmarkEnd w:id="4782"/>
    </w:p>
    <w:p>
      <w:pPr>
        <w:pStyle w:val="BookText"/>
      </w:pPr>
      <w:r>
        <w:rPr>
          <w:rFonts w:ascii="IRNazanin" w:hAnsi="IRNazanin" w:eastAsia="IRNazanin" w:cs="IRNazanin"/>
          <w:lang w:bidi="fa-IR"/>
          <w:color w:val="111111"/>
          <w:sz w:val="28"/>
          <w:szCs w:val="28"/>
          <w:rtl/>
        </w:rPr>
        <w:t xml:space="preserve">کان من أولاد شاه سنجان الآتی کما ذکره فی (تس 4- ص 80- 81) قال و له منظومة منظر الابصار نظمه بأمر المیر علی شیر، و مثنوی آخر نظم فیه تاریخ وقایع بدائع للشاه إسماعیل الصفوی و عمر إلی تسعین سنة و مات فی (941) و فی کشف الظنون سمی مثنویة منظر الأبرار و قال مات (841) و هو غلط</w:t>
      </w:r>
    </w:p>
    <w:p>
      <w:pPr>
        <w:pStyle w:val="Heading3"/>
      </w:pPr>
      <w:bookmarkStart w:id="4783" w:name="_Toc3479"/>
      <w:r>
        <w:t>دیوان سنجر</w:t>
      </w:r>
      <w:bookmarkEnd w:id="4783"/>
    </w:p>
    <w:p>
      <w:pPr>
        <w:pStyle w:val="BookText"/>
      </w:pPr>
      <w:r>
        <w:rPr>
          <w:rFonts w:ascii="IRNazanin" w:hAnsi="IRNazanin" w:eastAsia="IRNazanin" w:cs="IRNazanin"/>
          <w:lang w:bidi="fa-IR"/>
          <w:color w:val="111111"/>
          <w:sz w:val="28"/>
          <w:szCs w:val="28"/>
          <w:rtl/>
        </w:rPr>
        <w:t xml:space="preserve">راجع دیوان سلطان سنجر</w:t>
      </w:r>
    </w:p>
    <w:p>
      <w:pPr>
        <w:pStyle w:val="Heading3"/>
      </w:pPr>
      <w:bookmarkStart w:id="4784" w:name="_Toc3480"/>
      <w:r>
        <w:t>2688- دیوان سنجر کاشانی‏</w:t>
      </w:r>
      <w:bookmarkEnd w:id="4784"/>
    </w:p>
    <w:p>
      <w:pPr>
        <w:pStyle w:val="BookText"/>
      </w:pPr>
      <w:r>
        <w:rPr>
          <w:rFonts w:ascii="IRNazanin" w:hAnsi="IRNazanin" w:eastAsia="IRNazanin" w:cs="IRNazanin"/>
          <w:lang w:bidi="fa-IR"/>
          <w:color w:val="111111"/>
          <w:sz w:val="28"/>
          <w:szCs w:val="28"/>
          <w:rtl/>
        </w:rPr>
        <w:t xml:space="preserve">و هو محمد هاشم بن رفیع الدین حیدر المعمائی الکاشانی الطباطبائی ولد بکاشان، و بعد ما هاجر والده فی (999) إلی الهند سافر هو أیضا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67" w:name="pg11704_121949"/>
    <w:bookmarkEnd w:id="467"/>
    <w:p>
      <w:pPr>
        <w:pStyle w:val="BookText"/>
      </w:pPr>
      <w:r>
        <w:rPr>
          <w:rFonts w:ascii="IRNazanin" w:hAnsi="IRNazanin" w:eastAsia="IRNazanin" w:cs="IRNazanin"/>
          <w:lang w:bidi="fa-IR"/>
          <w:color w:val="111111"/>
          <w:sz w:val="28"/>
          <w:szCs w:val="28"/>
          <w:rtl/>
        </w:rPr>
        <w:t xml:space="preserve">إلیها و عمره حینئذ عشرون سنة و ترقی عند جلال الدین أکبر شاه، ثم هاجر إلی بیجاپور فقربه عادل شاه و تزوج بابنة ملک قمی الشاعر ثم طلبه الشاه عباس إلی أصفهان و لما أراد الخروج إلی إیران مرض بالإسهال و مات فی (1021) عن إحدی و أربعین سنة من عمره و قال باقر کاشی خورده‏ای فی تاریخه:</w:t>
      </w:r>
    </w:p>
    <w:p>
      <w:pPr>
        <w:pStyle w:val="BookText"/>
      </w:pPr>
      <w:r>
        <w:rPr>
          <w:rFonts w:ascii="IRNazanin" w:hAnsi="IRNazanin" w:eastAsia="IRNazanin" w:cs="IRNazanin"/>
          <w:lang w:bidi="fa-IR"/>
          <w:color w:val="111111"/>
          <w:sz w:val="28"/>
          <w:szCs w:val="28"/>
          <w:rtl/>
        </w:rPr>
        <w:t xml:space="preserve">تاریخ أو به تعمیه گفتم بوالدش:</w:t>
      </w:r>
    </w:p>
    <w:p>
      <w:pPr>
        <w:pStyle w:val="BookText"/>
      </w:pPr>
      <w:r>
        <w:rPr>
          <w:rFonts w:ascii="IRNazanin" w:hAnsi="IRNazanin" w:eastAsia="IRNazanin" w:cs="IRNazanin"/>
          <w:lang w:bidi="fa-IR"/>
          <w:color w:val="111111"/>
          <w:sz w:val="28"/>
          <w:szCs w:val="28"/>
          <w:rtl/>
        </w:rPr>
        <w:t xml:space="preserve">افکنده پادشاه سخن چتر سنجری‏</w:t>
      </w:r>
    </w:p>
    <w:p>
      <w:pPr>
        <w:pStyle w:val="BookText"/>
      </w:pPr>
      <w:r>
        <w:rPr>
          <w:rFonts w:ascii="IRNazanin" w:hAnsi="IRNazanin" w:eastAsia="IRNazanin" w:cs="IRNazanin"/>
          <w:lang w:bidi="fa-IR"/>
          <w:color w:val="111111"/>
          <w:sz w:val="28"/>
          <w:szCs w:val="28"/>
          <w:rtl/>
        </w:rPr>
        <w:t xml:space="preserve">بحذف ألباء الذی عبر عنه بچتر سنجری، عن جملة پادشاه سخن 1023) و دیوانه فی اثنی عشر ألف بیت و له ساقی‏نامه فی (500 بیت) کذا فی (میخانه- ص 249- 258) و مخزن الغرائب و قال فی مآثر رحیمی إن سنجر کان مدة فی حبس أکبر شاه ثم سافر إلی بیجاپور، و کذا فی سرو آزاد- ص 26 و (تش- ص 244) و (سر خوش- ص 47) و (خز- ص 27) و (خوش‏گو) و (تغ- ص 67) و نسخه دیوانه فی بریتش موزیوم تشتمل علی (2600 بیت) و نسخه (بنگاله) تشتمل علی (5200 بیت) و نسخه عند (الملک) برقم (5158) کتبت فی القرن الحادی عشر و رأیت النقل عن دیوانه فی بعض المجامیع بلقب سید الشعراء</w:t>
      </w:r>
    </w:p>
    <w:p>
      <w:pPr>
        <w:pStyle w:val="Heading3"/>
      </w:pPr>
      <w:bookmarkStart w:id="4785" w:name="_Toc3481"/>
      <w:r>
        <w:t>2689- دیوان سنجری‏</w:t>
      </w:r>
      <w:bookmarkEnd w:id="4785"/>
    </w:p>
    <w:p>
      <w:pPr>
        <w:pStyle w:val="BookText"/>
      </w:pPr>
      <w:r>
        <w:rPr>
          <w:rFonts w:ascii="IRNazanin" w:hAnsi="IRNazanin" w:eastAsia="IRNazanin" w:cs="IRNazanin"/>
          <w:lang w:bidi="fa-IR"/>
          <w:color w:val="111111"/>
          <w:sz w:val="28"/>
          <w:szCs w:val="28"/>
          <w:rtl/>
        </w:rPr>
        <w:t xml:space="preserve">و اسمه أبو الفرج کان أستاذ عنصری و مداح آل سیمجور حکام خراسان، و بأمر الأمیر علی سیمجور هجا السلطان محمود الغزنوی و بعد انقراض آل سیمجور أمر السلطان محمود بقتله و بشفاعة تلمیذه العنصری نجی من القتل قال فی (تش- ص</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بما أنا لم نعرف شاعرا فی عهد سنجر باسم أبی الفرج فالمظنون أنه سجزی بالسین المفتوحة و الجیم و الزای نسبة إلی بلاد سگز (سجستان) و شعره قلیل و ما نسب إلی أبی الفرج فهو للرونی (المذکور فی ص 47) ظاهرا لا السنجری هذا أقول و لکن سنگلاخ ادعی فی امتحان الفضلاء ج 1 ص 319 أنه رأی دیوان أبی الفرج السنجری بخط عبد الرزاق بن أخت المیر عماد المعروف‏</w:t>
      </w:r>
    </w:p>
    <w:p>
      <w:pPr>
        <w:pStyle w:val="Heading3"/>
      </w:pPr>
      <w:bookmarkStart w:id="4786" w:name="_Toc3482"/>
      <w:r>
        <w:t>2690- دیوان سنجری خراسانی أو شعره‏</w:t>
      </w:r>
      <w:bookmarkEnd w:id="4786"/>
    </w:p>
    <w:p>
      <w:pPr>
        <w:pStyle w:val="BookText"/>
      </w:pPr>
      <w:r>
        <w:rPr>
          <w:rFonts w:ascii="IRNazanin" w:hAnsi="IRNazanin" w:eastAsia="IRNazanin" w:cs="IRNazanin"/>
          <w:lang w:bidi="fa-IR"/>
          <w:color w:val="111111"/>
          <w:sz w:val="28"/>
          <w:szCs w:val="28"/>
          <w:rtl/>
        </w:rPr>
        <w:t xml:space="preserve">من شعراء السلطان سنجر السلجوقی ترجمه فی (مع- ج 1 ص 249) و أورد رباعیته و لا یحتمل کونه السجزی (السگزی) المذکور قبل هذا، لقول الأنوری فی قصیدة رائیة له: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68" w:name="pg11704_121950"/>
    <w:bookmarkEnd w:id="468"/>
    <w:p>
      <w:pPr>
        <w:pStyle w:val="BookText"/>
      </w:pPr>
      <w:r>
        <w:rPr>
          <w:rFonts w:ascii="IRNazanin" w:hAnsi="IRNazanin" w:eastAsia="IRNazanin" w:cs="IRNazanin"/>
          <w:lang w:bidi="fa-IR"/>
          <w:color w:val="111111"/>
          <w:sz w:val="28"/>
          <w:szCs w:val="28"/>
          <w:rtl/>
        </w:rPr>
        <w:t xml:space="preserve">اینکه پرسد هر زمان این کون خران ریش گاو</w:t>
      </w:r>
    </w:p>
    <w:p>
      <w:pPr>
        <w:pStyle w:val="BookText"/>
      </w:pPr>
      <w:r>
        <w:rPr>
          <w:rFonts w:ascii="IRNazanin" w:hAnsi="IRNazanin" w:eastAsia="IRNazanin" w:cs="IRNazanin"/>
          <w:lang w:bidi="fa-IR"/>
          <w:color w:val="111111"/>
          <w:sz w:val="28"/>
          <w:szCs w:val="28"/>
          <w:rtl/>
        </w:rPr>
        <w:t xml:space="preserve">کانوری به یا فتوحی در سخن یا سنجری‏</w:t>
      </w:r>
    </w:p>
    <w:p>
      <w:pPr>
        <w:pStyle w:val="BookText"/>
      </w:pPr>
      <w:r>
        <w:rPr>
          <w:rFonts w:ascii="IRNazanin" w:hAnsi="IRNazanin" w:eastAsia="IRNazanin" w:cs="IRNazanin"/>
          <w:lang w:bidi="fa-IR"/>
          <w:color w:val="111111"/>
          <w:sz w:val="28"/>
          <w:szCs w:val="28"/>
          <w:rtl/>
        </w:rPr>
        <w:t xml:space="preserve">و سماه فی (تغ- ص 67) زین الدین سنجری و عده غیر شمس الدین سنجری سمرقندی و أورد شعره (پژمان- ص 218) أیضا و احتمل فی فهرس سپهسالار (ج 2 ص 296) اتحاده مع مؤلف مهذب الأسماء فی مرتب الأشیاء و هو محمود بن عمر الربنجنی (الزنجی) السمرقندی‏</w:t>
      </w:r>
    </w:p>
    <w:p>
      <w:pPr>
        <w:pStyle w:val="Heading3"/>
      </w:pPr>
      <w:bookmarkStart w:id="4787" w:name="_Toc3483"/>
      <w:r>
        <w:t>2691- دیوان سنجری سمرقندی‏</w:t>
      </w:r>
      <w:bookmarkEnd w:id="4787"/>
    </w:p>
    <w:p>
      <w:pPr>
        <w:pStyle w:val="BookText"/>
      </w:pPr>
      <w:r>
        <w:rPr>
          <w:rFonts w:ascii="IRNazanin" w:hAnsi="IRNazanin" w:eastAsia="IRNazanin" w:cs="IRNazanin"/>
          <w:lang w:bidi="fa-IR"/>
          <w:color w:val="111111"/>
          <w:sz w:val="28"/>
          <w:szCs w:val="28"/>
          <w:rtl/>
        </w:rPr>
        <w:t xml:space="preserve">قال فی (تغ- ص 67) إن اسمه الحکیم شمس الدین. قال ولد بکلاش سمرقند، و دیوانه یشتمل علی أربعة عشر ألف بیت.</w:t>
      </w:r>
    </w:p>
    <w:p>
      <w:pPr>
        <w:pStyle w:val="Heading3"/>
      </w:pPr>
      <w:bookmarkStart w:id="4788" w:name="_Toc3484"/>
      <w:r>
        <w:t>2692- دیوان میر سند کاشانی‏</w:t>
      </w:r>
      <w:bookmarkEnd w:id="4788"/>
    </w:p>
    <w:p>
      <w:pPr>
        <w:pStyle w:val="BookText"/>
      </w:pPr>
      <w:r>
        <w:rPr>
          <w:rFonts w:ascii="IRNazanin" w:hAnsi="IRNazanin" w:eastAsia="IRNazanin" w:cs="IRNazanin"/>
          <w:lang w:bidi="fa-IR"/>
          <w:color w:val="111111"/>
          <w:sz w:val="28"/>
          <w:szCs w:val="28"/>
          <w:rtl/>
        </w:rPr>
        <w:t xml:space="preserve">من نجباء السادات بکاشان ساکن فین. جمعه النصرآبادی فی (نر 9- ص 327) و ذکر أن له شعر کثیر أورد بعضه. و کذا فی (گلشن- ص 211) و گلستان مسرت- ص 483.</w:t>
      </w:r>
    </w:p>
    <w:p>
      <w:pPr>
        <w:pStyle w:val="Heading3"/>
      </w:pPr>
      <w:bookmarkStart w:id="4789" w:name="_Toc3485"/>
      <w:r>
        <w:t>دیوان سنگ‏ریزه أو شعره‏</w:t>
      </w:r>
      <w:bookmarkEnd w:id="4789"/>
    </w:p>
    <w:p>
      <w:pPr>
        <w:pStyle w:val="BookText"/>
      </w:pPr>
      <w:r>
        <w:rPr>
          <w:rFonts w:ascii="IRNazanin" w:hAnsi="IRNazanin" w:eastAsia="IRNazanin" w:cs="IRNazanin"/>
          <w:lang w:bidi="fa-IR"/>
          <w:color w:val="111111"/>
          <w:sz w:val="28"/>
          <w:szCs w:val="28"/>
          <w:rtl/>
        </w:rPr>
        <w:t xml:space="preserve">و اسمه تاج الدین. کان من شعراء غیاث الدین بلبان حاکم دهلی. عده شمس الدین سامی من شعراء إیران و عنه فی الریحانة و لعله أحد المذکورین فی (ص 165).</w:t>
      </w:r>
    </w:p>
    <w:p>
      <w:pPr>
        <w:pStyle w:val="Heading3"/>
      </w:pPr>
      <w:bookmarkStart w:id="4790" w:name="_Toc3486"/>
      <w:r>
        <w:t>2693- دیوان سنگلاخ خراسانی‏</w:t>
      </w:r>
      <w:bookmarkEnd w:id="4790"/>
    </w:p>
    <w:p>
      <w:pPr>
        <w:pStyle w:val="BookText"/>
      </w:pPr>
      <w:r>
        <w:rPr>
          <w:rFonts w:ascii="IRNazanin" w:hAnsi="IRNazanin" w:eastAsia="IRNazanin" w:cs="IRNazanin"/>
          <w:lang w:bidi="fa-IR"/>
          <w:color w:val="111111"/>
          <w:sz w:val="28"/>
          <w:szCs w:val="28"/>
          <w:rtl/>
        </w:rPr>
        <w:t xml:space="preserve">الشاعر الخطاط الماهر فی النستعلیق. سکن بمصر 25 سنة و مدة بأستانبول و لم یتزوج، و عمر مائة و عشرة سنین و مات بتبریز فی (1294) کذا وصفه فی (المآثر و الآثار- ص 216) و طرائق الحقائق (ج 3 ص 215) طبع دیوانه بأستانبول علی الحجر بخط نستعلیق (قبل طبع المآثر (1306) مدح فیها عبد المجید العثمانی و محمد علی پاشا و غیرهما من الأمراء. و قد رأیت من المطبوع نسخه ناقصة لم أعرف تاریخها. و له أشعار کثیرة فی وصف الخطاطین فی کتابه امتحان الفضلاء المذکور فی (ج 4 ص 31)- الذی ألفه فی (1283) کما یظهر من (ص 119) من المطبوع (1295) بتبریز فی مجلدین- و شعره ثقیل. و مر فی (ص 315) مجمع الأوصاف فی مدائح نظمها الشعراء فی حق سنگلاخ جمعها دانش و طبعها بأستانبول فی (1273) فی (131 ص).</w:t>
      </w:r>
    </w:p>
    <w:p>
      <w:pPr>
        <w:pStyle w:val="BookText"/>
      </w:pPr>
      <w:r>
        <w:rPr>
          <w:rFonts w:ascii="IRNazanin" w:hAnsi="IRNazanin" w:eastAsia="IRNazanin" w:cs="IRNazanin"/>
          <w:lang w:bidi="fa-IR"/>
          <w:color w:val="111111"/>
          <w:sz w:val="28"/>
          <w:szCs w:val="28"/>
          <w:rtl/>
        </w:rPr>
        <w:t xml:space="preserve">و سنگلاخ اسم کتاب فی لغة الترک ألفه مهدی خان منشی نادر کما سیجی‏ء فی السین.</w:t>
      </w:r>
    </w:p>
    <w:p>
      <w:pPr>
        <w:pStyle w:val="Heading3"/>
      </w:pPr>
      <w:bookmarkStart w:id="4791" w:name="_Toc3487"/>
      <w:r>
        <w:t>2694- دیوان سودایی أبیوردی‏</w:t>
      </w:r>
      <w:bookmarkEnd w:id="4791"/>
    </w:p>
    <w:p>
      <w:pPr>
        <w:pStyle w:val="BookText"/>
      </w:pPr>
      <w:r>
        <w:rPr>
          <w:rFonts w:ascii="IRNazanin" w:hAnsi="IRNazanin" w:eastAsia="IRNazanin" w:cs="IRNazanin"/>
          <w:lang w:bidi="fa-IR"/>
          <w:color w:val="111111"/>
          <w:sz w:val="28"/>
          <w:szCs w:val="28"/>
          <w:rtl/>
        </w:rPr>
        <w:t xml:space="preserve">أو بابا سودایی خاوری کما یعرف به هو من من معاریف‏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69" w:name="pg11704_121951"/>
    <w:bookmarkEnd w:id="469"/>
    <w:p>
      <w:pPr>
        <w:pStyle w:val="BookText"/>
      </w:pPr>
      <w:r>
        <w:rPr>
          <w:rFonts w:ascii="IRNazanin" w:hAnsi="IRNazanin" w:eastAsia="IRNazanin" w:cs="IRNazanin"/>
          <w:lang w:bidi="fa-IR"/>
          <w:color w:val="111111"/>
          <w:sz w:val="28"/>
          <w:szCs w:val="28"/>
          <w:rtl/>
        </w:rPr>
        <w:t xml:space="preserve">شعراء خراسان. کان مالکا لقریة سگان من قری باورد (أبیورد) و کان ینازعه مالک قریة اشتر جان، فشکی إلی شاه‏رخ فی قصیدة مدحه بها فحکم له. و اتفق أن کان فی أبیورد (باورد) قاض اسمه أبو سعید خر، و کان العامل بها جلال الأشترجانی و الداروغة صدر الدین سگ، و محصل المالیة محمد گله گاو، فأنشد سودایی:</w:t>
      </w:r>
    </w:p>
    <w:p>
      <w:pPr>
        <w:pStyle w:val="BookText"/>
      </w:pPr>
      <w:r>
        <w:rPr>
          <w:rFonts w:ascii="IRNazanin" w:hAnsi="IRNazanin" w:eastAsia="IRNazanin" w:cs="IRNazanin"/>
          <w:lang w:bidi="fa-IR"/>
          <w:color w:val="111111"/>
          <w:sz w:val="28"/>
          <w:szCs w:val="28"/>
          <w:rtl/>
        </w:rPr>
        <w:t xml:space="preserve">باورد بسان آسیایی است‏</w:t>
      </w:r>
    </w:p>
    <w:p>
      <w:pPr>
        <w:pStyle w:val="BookText"/>
      </w:pPr>
      <w:r>
        <w:rPr>
          <w:rFonts w:ascii="IRNazanin" w:hAnsi="IRNazanin" w:eastAsia="IRNazanin" w:cs="IRNazanin"/>
          <w:lang w:bidi="fa-IR"/>
          <w:color w:val="111111"/>
          <w:sz w:val="28"/>
          <w:szCs w:val="28"/>
          <w:rtl/>
        </w:rPr>
        <w:t xml:space="preserve">چرخش همه غصة است و غم ناو</w:t>
      </w:r>
    </w:p>
    <w:p>
      <w:pPr>
        <w:pStyle w:val="BookText"/>
      </w:pPr>
      <w:r>
        <w:rPr>
          <w:rFonts w:ascii="IRNazanin" w:hAnsi="IRNazanin" w:eastAsia="IRNazanin" w:cs="IRNazanin"/>
          <w:lang w:bidi="fa-IR"/>
          <w:color w:val="111111"/>
          <w:sz w:val="28"/>
          <w:szCs w:val="28"/>
          <w:rtl/>
        </w:rPr>
        <w:t xml:space="preserve">داروغه سگ است و قاضیش خر</w:t>
      </w:r>
    </w:p>
    <w:p>
      <w:pPr>
        <w:pStyle w:val="BookText"/>
      </w:pPr>
      <w:r>
        <w:rPr>
          <w:rFonts w:ascii="IRNazanin" w:hAnsi="IRNazanin" w:eastAsia="IRNazanin" w:cs="IRNazanin"/>
          <w:lang w:bidi="fa-IR"/>
          <w:color w:val="111111"/>
          <w:sz w:val="28"/>
          <w:szCs w:val="28"/>
          <w:rtl/>
        </w:rPr>
        <w:t xml:space="preserve">عامل شتر و محصلش گاو</w:t>
      </w:r>
    </w:p>
    <w:p>
      <w:pPr>
        <w:pStyle w:val="BookText"/>
      </w:pPr>
      <w:r>
        <w:rPr>
          <w:rFonts w:ascii="IRNazanin" w:hAnsi="IRNazanin" w:eastAsia="IRNazanin" w:cs="IRNazanin"/>
          <w:lang w:bidi="fa-IR"/>
          <w:color w:val="111111"/>
          <w:sz w:val="28"/>
          <w:szCs w:val="28"/>
          <w:rtl/>
        </w:rPr>
        <w:t xml:space="preserve">زینها چه بود نصیب رعیت‏</w:t>
      </w:r>
    </w:p>
    <w:p>
      <w:pPr>
        <w:pStyle w:val="BookText"/>
      </w:pPr>
      <w:r>
        <w:rPr>
          <w:rFonts w:ascii="IRNazanin" w:hAnsi="IRNazanin" w:eastAsia="IRNazanin" w:cs="IRNazanin"/>
          <w:lang w:bidi="fa-IR"/>
          <w:color w:val="111111"/>
          <w:sz w:val="28"/>
          <w:szCs w:val="28"/>
          <w:rtl/>
        </w:rPr>
        <w:t xml:space="preserve">لت خوردن زر شمردن و داو</w:t>
      </w:r>
    </w:p>
    <w:p>
      <w:pPr>
        <w:pStyle w:val="BookText"/>
      </w:pPr>
      <w:r>
        <w:rPr>
          <w:rFonts w:ascii="IRNazanin" w:hAnsi="IRNazanin" w:eastAsia="IRNazanin" w:cs="IRNazanin"/>
          <w:lang w:bidi="fa-IR"/>
          <w:color w:val="111111"/>
          <w:sz w:val="28"/>
          <w:szCs w:val="28"/>
          <w:rtl/>
        </w:rPr>
        <w:t xml:space="preserve">و له قصائد فی مدیح الأمیر علیه السلام  و ذم الأمراء و السلاطین و له أشعار فیها لطائف و ظرائف موجودة فی دیوانه و تجاوز عمره عن الثمانین و توفی (853) و دفن بسگان کذا ترجمه دولت شاه فی الطبقة السادسة و قال کان یتخلص خاوری فأصابه الجذبة فبدله إلی سودایی. و ترجمه أیضا فی (مجن 1- ص 18 و 192) و فی بعض نسخه بابا سودایی و زاد أنه عقب ولدین و إنه کان یمدح بایسنقر میرزا و یتعشق به ثم أورد قصة عنهما.</w:t>
      </w:r>
    </w:p>
    <w:p>
      <w:pPr>
        <w:pStyle w:val="BookText"/>
      </w:pPr>
      <w:r>
        <w:rPr>
          <w:rFonts w:ascii="IRNazanin" w:hAnsi="IRNazanin" w:eastAsia="IRNazanin" w:cs="IRNazanin"/>
          <w:lang w:bidi="fa-IR"/>
          <w:color w:val="111111"/>
          <w:sz w:val="28"/>
          <w:szCs w:val="28"/>
          <w:rtl/>
        </w:rPr>
        <w:t xml:space="preserve">و ترجم سودایی فی (هفت- ص 88) و (روشن- ص 305) و الجزء الثالث من المجلد الثالث (ص 149- 150) من حبیب السیر و طرائق الحقائق (ج 3 ص 28).</w:t>
      </w:r>
    </w:p>
    <w:p>
      <w:pPr>
        <w:pStyle w:val="Heading3"/>
      </w:pPr>
      <w:bookmarkStart w:id="4792" w:name="_Toc3488"/>
      <w:r>
        <w:t>2695- دیوان سودایی أصفهانی‏</w:t>
      </w:r>
      <w:bookmarkEnd w:id="4792"/>
    </w:p>
    <w:p>
      <w:pPr>
        <w:pStyle w:val="BookText"/>
      </w:pPr>
      <w:r>
        <w:rPr>
          <w:rFonts w:ascii="IRNazanin" w:hAnsi="IRNazanin" w:eastAsia="IRNazanin" w:cs="IRNazanin"/>
          <w:lang w:bidi="fa-IR"/>
          <w:color w:val="111111"/>
          <w:sz w:val="28"/>
          <w:szCs w:val="28"/>
          <w:rtl/>
        </w:rPr>
        <w:t xml:space="preserve">و اسمه الآخوند ملا عبد الکریم أدیب الشریعة ابن عبد الرزاق بن إسماعیل الدستگردی من أعمال أصفهان. ولد 1281 و تأدب و تفقه بأصفهان و صار مرجعا للشرعیات بدستگرد و کان شاعرا فحلا و کان عضوا بأنجمن شیدا و له دیوان قصائد و مراثی اثنی عشر ألف بیت، و دیوان غزلیات و رباعیات ستة آلاف بیت، و أنوار سهیلی منظوم نظم هذا الکتاب فی البحر الخفیف فی اثنی عشر ألف بیت، و شمس و قهقهة تتبع فیه خسرو و شیرین للنظامی فی أربعة و عشرین ألف بیت، و ترجمه الدرر نظم لکلمات الأمیر علیه السلام  و ضیاء الابصار فی أحوال الأطهار و خمسة طیبة و إجمالی در أحوال رسول ص و ملتقط اللغة و گلزار فی المصائب. و مات فی دستگرد فی (1352) و عقب ولدین شاعرین أحدهما طبیب هو إبراهیم المتخلص أنواری و الآخر اسمه باقر المتخلص لمعة. ترجمه ایزد گشسب فی نامه سخنوران (ص 83) و شعرای معاصر أصفهان (ص 250).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70" w:name="pg11704_121952"/>
    <w:bookmarkEnd w:id="470"/>
    <w:p>
      <w:pPr>
        <w:pStyle w:val="Heading3"/>
      </w:pPr>
      <w:bookmarkStart w:id="4793" w:name="_Toc3489"/>
      <w:r>
        <w:t>2696- دیوان سودای گجراتی أو شعره‏</w:t>
      </w:r>
      <w:bookmarkEnd w:id="4793"/>
    </w:p>
    <w:p>
      <w:pPr>
        <w:pStyle w:val="BookText"/>
      </w:pPr>
      <w:r>
        <w:rPr>
          <w:rFonts w:ascii="IRNazanin" w:hAnsi="IRNazanin" w:eastAsia="IRNazanin" w:cs="IRNazanin"/>
          <w:lang w:bidi="fa-IR"/>
          <w:color w:val="111111"/>
          <w:sz w:val="28"/>
          <w:szCs w:val="28"/>
          <w:rtl/>
        </w:rPr>
        <w:t xml:space="preserve">کان یلازم نظیری الشاعر و بعد موته لازم قبره حتی مات (1031) کذا فی (میخانه- ص 531) نقلا عن ریاض الشعراء لواله داغستانی. و ترجمه و أورد شعره فی (گلشن- ص 212). و فی (خوش‏گو) سماه سودایی گجراتی.</w:t>
      </w:r>
    </w:p>
    <w:p>
      <w:pPr>
        <w:pStyle w:val="Heading3"/>
      </w:pPr>
      <w:bookmarkStart w:id="4794" w:name="_Toc3490"/>
      <w:r>
        <w:t>2697- دیوان سودای هندی‏</w:t>
      </w:r>
      <w:bookmarkEnd w:id="4794"/>
    </w:p>
    <w:p>
      <w:pPr>
        <w:pStyle w:val="BookText"/>
      </w:pPr>
      <w:r>
        <w:rPr>
          <w:rFonts w:ascii="IRNazanin" w:hAnsi="IRNazanin" w:eastAsia="IRNazanin" w:cs="IRNazanin"/>
          <w:lang w:bidi="fa-IR"/>
          <w:color w:val="111111"/>
          <w:sz w:val="28"/>
          <w:szCs w:val="28"/>
          <w:rtl/>
        </w:rPr>
        <w:t xml:space="preserve">و هو المیرزا محمد رفیع الدهلوی اللکهنوی. له قصائد و هجویات کثیرة. و مات (1195) ترجمه فی الریحانة نقلا عن القاموس الترکی.</w:t>
      </w:r>
    </w:p>
    <w:p>
      <w:pPr>
        <w:pStyle w:val="BookText"/>
      </w:pPr>
      <w:r>
        <w:rPr>
          <w:rFonts w:ascii="IRNazanin" w:hAnsi="IRNazanin" w:eastAsia="IRNazanin" w:cs="IRNazanin"/>
          <w:lang w:bidi="fa-IR"/>
          <w:color w:val="111111"/>
          <w:sz w:val="28"/>
          <w:szCs w:val="28"/>
          <w:rtl/>
        </w:rPr>
        <w:t xml:space="preserve">و قد طبع دیوان سودا الفارسی فی نولکشور بالهند کما فی فهرس مطبوعاتها.</w:t>
      </w:r>
    </w:p>
    <w:p>
      <w:pPr>
        <w:pStyle w:val="Heading3"/>
      </w:pPr>
      <w:bookmarkStart w:id="4795" w:name="_Toc3491"/>
      <w:r>
        <w:t>دیوان سوری‏</w:t>
      </w:r>
      <w:bookmarkEnd w:id="4795"/>
    </w:p>
    <w:p>
      <w:pPr>
        <w:pStyle w:val="BookText"/>
      </w:pPr>
      <w:r>
        <w:rPr>
          <w:rFonts w:ascii="IRNazanin" w:hAnsi="IRNazanin" w:eastAsia="IRNazanin" w:cs="IRNazanin"/>
          <w:lang w:bidi="fa-IR"/>
          <w:color w:val="111111"/>
          <w:sz w:val="28"/>
          <w:szCs w:val="28"/>
          <w:rtl/>
        </w:rPr>
        <w:t xml:space="preserve">مر بعنوان دیوان حکیم سوری للمیرزا تقی دانش.</w:t>
      </w:r>
    </w:p>
    <w:p>
      <w:pPr>
        <w:pStyle w:val="Heading3"/>
      </w:pPr>
      <w:bookmarkStart w:id="4796" w:name="_Toc3492"/>
      <w:r>
        <w:t>2698- دیوان سوزنی سمرقندی‏</w:t>
      </w:r>
      <w:bookmarkEnd w:id="4796"/>
    </w:p>
    <w:p>
      <w:pPr>
        <w:pStyle w:val="BookText"/>
      </w:pPr>
      <w:r>
        <w:rPr>
          <w:rFonts w:ascii="IRNazanin" w:hAnsi="IRNazanin" w:eastAsia="IRNazanin" w:cs="IRNazanin"/>
          <w:lang w:bidi="fa-IR"/>
          <w:color w:val="111111"/>
          <w:sz w:val="28"/>
          <w:szCs w:val="28"/>
          <w:rtl/>
        </w:rPr>
        <w:t xml:space="preserve">الحکیم شمس الدین محمد (مسعود) بن علی. أصله من کلاش من محال سمرقند، النسفی کما فی (بهش 1 ص 351) ولد بنسف و اشتغل فی بخارا و لازم الحکیم السنائی و توفی (569) کما فی شاهد صادق و (روشن- 306) و ریاض العارفین (ص 361) أو (562) کما فی (مع- ج 1 ص 249) و قال إن دیوانه اثنا عشر ألف بیت و قال فی (تغ- 67) إنه فی أربعة عشر ألف. و ترجمه ابن یوسف فی فهرس سپهسالار (ج 2 ص 609- 111) و فی فهرس المجلس (ج 3 ص 304 و 311) و ذکر الخلاف فی اسمه و فی وفاته، و ما یظهر من أشعاره من حسن عقیدته و قصیدته فی مدح الأمیر علیه السلام  و توجد نسخه الدیوان فی (الرضویة) و (الملک) و عند دهخدا بطهران.</w:t>
      </w:r>
    </w:p>
    <w:p>
      <w:pPr>
        <w:pStyle w:val="BookText"/>
      </w:pPr>
      <w:r>
        <w:rPr>
          <w:rFonts w:ascii="IRNazanin" w:hAnsi="IRNazanin" w:eastAsia="IRNazanin" w:cs="IRNazanin"/>
          <w:lang w:bidi="fa-IR"/>
          <w:color w:val="111111"/>
          <w:sz w:val="28"/>
          <w:szCs w:val="28"/>
          <w:rtl/>
        </w:rPr>
        <w:t xml:space="preserve">و ترجمه أیضا فی (تاریخ گزیده- ص 820) و دولت شاه فی الطبقة الثانیة و (تش- ص 333).</w:t>
      </w:r>
    </w:p>
    <w:p>
      <w:pPr>
        <w:pStyle w:val="Heading3"/>
      </w:pPr>
      <w:bookmarkStart w:id="4797" w:name="_Toc3493"/>
      <w:r>
        <w:t>دیوان سوزی أصفهانی‏</w:t>
      </w:r>
      <w:bookmarkEnd w:id="4797"/>
    </w:p>
    <w:p>
      <w:pPr>
        <w:pStyle w:val="BookText"/>
      </w:pPr>
      <w:r>
        <w:rPr>
          <w:rFonts w:ascii="IRNazanin" w:hAnsi="IRNazanin" w:eastAsia="IRNazanin" w:cs="IRNazanin"/>
          <w:lang w:bidi="fa-IR"/>
          <w:color w:val="111111"/>
          <w:sz w:val="28"/>
          <w:szCs w:val="28"/>
          <w:rtl/>
        </w:rPr>
        <w:t xml:space="preserve">راجع سوزی ساوجی.</w:t>
      </w:r>
    </w:p>
    <w:p>
      <w:pPr>
        <w:pStyle w:val="Heading3"/>
      </w:pPr>
      <w:bookmarkStart w:id="4798" w:name="_Toc3494"/>
      <w:r>
        <w:t>2699- دیوان سوزی بخاری أو شعره‏</w:t>
      </w:r>
      <w:bookmarkEnd w:id="4798"/>
    </w:p>
    <w:p>
      <w:pPr>
        <w:pStyle w:val="BookText"/>
      </w:pPr>
      <w:r>
        <w:rPr>
          <w:rFonts w:ascii="IRNazanin" w:hAnsi="IRNazanin" w:eastAsia="IRNazanin" w:cs="IRNazanin"/>
          <w:lang w:bidi="fa-IR"/>
          <w:color w:val="111111"/>
          <w:sz w:val="28"/>
          <w:szCs w:val="28"/>
          <w:rtl/>
        </w:rPr>
        <w:t xml:space="preserve">و اسمه المیر جمیل. أصله من قبة الإسلام بخارا، ولد و نشا بالهند. أورد شعره مع الإطراء معاصره فی (مرآة الخیال- ص 257- 258). و قال: و فی أوان هذا التألیف (1102) توجه إلی ربه.</w:t>
      </w:r>
    </w:p>
    <w:p>
      <w:pPr>
        <w:pStyle w:val="Heading3"/>
      </w:pPr>
      <w:bookmarkStart w:id="4799" w:name="_Toc3495"/>
      <w:r>
        <w:t>2700- دیوان سوزی ساوجی‏</w:t>
      </w:r>
      <w:bookmarkEnd w:id="4799"/>
    </w:p>
    <w:p>
      <w:pPr>
        <w:pStyle w:val="BookText"/>
      </w:pPr>
      <w:r>
        <w:rPr>
          <w:rFonts w:ascii="IRNazanin" w:hAnsi="IRNazanin" w:eastAsia="IRNazanin" w:cs="IRNazanin"/>
          <w:lang w:bidi="fa-IR"/>
          <w:color w:val="111111"/>
          <w:sz w:val="28"/>
          <w:szCs w:val="28"/>
          <w:rtl/>
        </w:rPr>
        <w:t xml:space="preserve">و اسمه ملا حسن علی. أصله من ساوه و سکن أصفهان و لذا عرفه بعض بالأصفهانی. و کان یشتغل بالکتابة بمدرسة هارون ولایت. کان یتخلص سابقا جفاکش و بعد سفره إلی خراسان بدله ب سوزی. قیل إن له عشرین إلی ثلاثین ألف بیت. کذا ذکره فی (تش- ص 218) فی شعراء ساوه و مات بأصفهان فی (114)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71" w:name="pg11704_121953"/>
    <w:bookmarkEnd w:id="471"/>
    <w:p>
      <w:pPr>
        <w:pStyle w:val="BookText"/>
      </w:pPr>
      <w:r>
        <w:rPr>
          <w:rFonts w:ascii="IRNazanin" w:hAnsi="IRNazanin" w:eastAsia="IRNazanin" w:cs="IRNazanin"/>
          <w:lang w:bidi="fa-IR"/>
          <w:color w:val="111111"/>
          <w:sz w:val="28"/>
          <w:szCs w:val="28"/>
          <w:rtl/>
        </w:rPr>
        <w:t xml:space="preserve">کذا فی المطبوع و لعله أراد (1014) کما فی أسماء المؤلفین (ص 291) و ذکر دیوانه.</w:t>
      </w:r>
    </w:p>
    <w:p>
      <w:pPr>
        <w:pStyle w:val="BookText"/>
      </w:pPr>
      <w:r>
        <w:rPr>
          <w:rFonts w:ascii="IRNazanin" w:hAnsi="IRNazanin" w:eastAsia="IRNazanin" w:cs="IRNazanin"/>
          <w:lang w:bidi="fa-IR"/>
          <w:color w:val="111111"/>
          <w:sz w:val="28"/>
          <w:szCs w:val="28"/>
          <w:rtl/>
        </w:rPr>
        <w:t xml:space="preserve">و فی (تغ- ص 67) أنه مات (1002). و فی ریحانة الأدب عن القاموس الترکی وفاته (1114) و هو غلط لأنه أورد شعره فی (خص) 8- ص 245) المؤلف (1110) بعنوان سوزی أصفهانی. و ترجمه أیضا فی (حسینی- ص 153) و (روشن- ص 307) نقلا عن شمع انجمن و أورد شعره (پژمان- ص 223) و گلستان مسرت- ص 289.</w:t>
      </w:r>
    </w:p>
    <w:p>
      <w:pPr>
        <w:pStyle w:val="Heading3"/>
      </w:pPr>
      <w:bookmarkStart w:id="4800" w:name="_Toc3496"/>
      <w:r>
        <w:t>دیوان سوزی هندی‏</w:t>
      </w:r>
      <w:bookmarkEnd w:id="4800"/>
    </w:p>
    <w:p>
      <w:pPr>
        <w:pStyle w:val="BookText"/>
      </w:pPr>
      <w:r>
        <w:rPr>
          <w:rFonts w:ascii="IRNazanin" w:hAnsi="IRNazanin" w:eastAsia="IRNazanin" w:cs="IRNazanin"/>
          <w:lang w:bidi="fa-IR"/>
          <w:color w:val="111111"/>
          <w:sz w:val="28"/>
          <w:szCs w:val="28"/>
          <w:rtl/>
        </w:rPr>
        <w:t xml:space="preserve">راجع دیوان سوزی بخاری.</w:t>
      </w:r>
    </w:p>
    <w:p>
      <w:pPr>
        <w:pStyle w:val="Heading3"/>
      </w:pPr>
      <w:bookmarkStart w:id="4801" w:name="_Toc3497"/>
      <w:r>
        <w:t>2701- دیوان سوسنی أو شعره‏</w:t>
      </w:r>
      <w:bookmarkEnd w:id="4801"/>
    </w:p>
    <w:p>
      <w:pPr>
        <w:pStyle w:val="BookText"/>
      </w:pPr>
      <w:r>
        <w:rPr>
          <w:rFonts w:ascii="IRNazanin" w:hAnsi="IRNazanin" w:eastAsia="IRNazanin" w:cs="IRNazanin"/>
          <w:lang w:bidi="fa-IR"/>
          <w:color w:val="111111"/>
          <w:sz w:val="28"/>
          <w:szCs w:val="28"/>
          <w:rtl/>
        </w:rPr>
        <w:t xml:space="preserve">المجرد التارک للمعاشرات و العیالات. کان منزویا فی مدرسة مهد علیا گوهرشاد بیگم. ترجمه فی (تغ- ص 67) و (مجن 4- ص 76 و ص 252) و أورد من شعره.</w:t>
      </w:r>
    </w:p>
    <w:p>
      <w:pPr>
        <w:pStyle w:val="BookText"/>
      </w:pPr>
      <w:r>
        <w:rPr>
          <w:rFonts w:ascii="IRNazanin" w:hAnsi="IRNazanin" w:eastAsia="IRNazanin" w:cs="IRNazanin"/>
          <w:lang w:bidi="fa-IR"/>
          <w:color w:val="111111"/>
          <w:sz w:val="28"/>
          <w:szCs w:val="28"/>
          <w:rtl/>
        </w:rPr>
        <w:t xml:space="preserve">مجردان که ز قید زمانه آزادند</w:t>
      </w:r>
    </w:p>
    <w:p>
      <w:pPr>
        <w:pStyle w:val="BookText"/>
      </w:pPr>
      <w:r>
        <w:rPr>
          <w:rFonts w:ascii="IRNazanin" w:hAnsi="IRNazanin" w:eastAsia="IRNazanin" w:cs="IRNazanin"/>
          <w:lang w:bidi="fa-IR"/>
          <w:color w:val="111111"/>
          <w:sz w:val="28"/>
          <w:szCs w:val="28"/>
          <w:rtl/>
        </w:rPr>
        <w:t xml:space="preserve">نه صید گشته به دام کسی نه صیادند</w:t>
      </w:r>
    </w:p>
    <w:p>
      <w:pPr>
        <w:pStyle w:val="Heading3"/>
      </w:pPr>
      <w:bookmarkStart w:id="4802" w:name="_Toc3498"/>
      <w:r>
        <w:t>2702- دیوان سوسنی بیک أو شعره‏</w:t>
      </w:r>
      <w:bookmarkEnd w:id="4802"/>
    </w:p>
    <w:p>
      <w:pPr>
        <w:pStyle w:val="BookText"/>
      </w:pPr>
      <w:r>
        <w:rPr>
          <w:rFonts w:ascii="IRNazanin" w:hAnsi="IRNazanin" w:eastAsia="IRNazanin" w:cs="IRNazanin"/>
          <w:lang w:bidi="fa-IR"/>
          <w:color w:val="111111"/>
          <w:sz w:val="28"/>
          <w:szCs w:val="28"/>
          <w:rtl/>
        </w:rPr>
        <w:t xml:space="preserve">کما فی (خص 7- ص 118) و ذکر بعض شعره الترکی أو سوسنی من دون قید کما فی (تس 6- ص 187) ذکرا کلاهما أنه من التراکمة و کان أولا قورچی‏باشی. و فصل سام میرزا أحواله و إنه کان ینسب إلی نفسه شعر غیره و طلبت عنه مرة شعره فکتب إلی شعر سوسنی القدیم المذکور فی مجالس النفائس.</w:t>
      </w:r>
    </w:p>
    <w:p>
      <w:pPr>
        <w:pStyle w:val="Heading3"/>
      </w:pPr>
      <w:bookmarkStart w:id="4803" w:name="_Toc3499"/>
      <w:r>
        <w:t>2703- دیوان السوسی‏</w:t>
      </w:r>
      <w:bookmarkEnd w:id="4803"/>
    </w:p>
    <w:p>
      <w:pPr>
        <w:pStyle w:val="BookText"/>
      </w:pPr>
      <w:r>
        <w:rPr>
          <w:rFonts w:ascii="IRNazanin" w:hAnsi="IRNazanin" w:eastAsia="IRNazanin" w:cs="IRNazanin"/>
          <w:lang w:bidi="fa-IR"/>
          <w:color w:val="111111"/>
          <w:sz w:val="28"/>
          <w:szCs w:val="28"/>
          <w:rtl/>
        </w:rPr>
        <w:t xml:space="preserve">و هو الأمیر أبو عبد الله محمد بن عبد الله بن عبد العزیز. ذکره فی معالم العلماء (ص 135) من شعراء أهل البیت المجاهرین و أورد کثیرا من شعره فی المناقب و مات (370) و کان فی مکتبة (السماوی) نسخه من دیوان السوسی. و هو غیر أبی بکر السوسی (المتوفی (386) المذکور فی النفحات (ص 188) و غیر أبی یعقوب السوسی البصری المذکور فیها (ص 130).</w:t>
      </w:r>
    </w:p>
    <w:p>
      <w:pPr>
        <w:pStyle w:val="Heading3"/>
      </w:pPr>
      <w:bookmarkStart w:id="4804" w:name="_Toc3500"/>
      <w:r>
        <w:t>2704- دیوان سها تبریزی‏</w:t>
      </w:r>
      <w:bookmarkEnd w:id="4804"/>
    </w:p>
    <w:p>
      <w:pPr>
        <w:pStyle w:val="BookText"/>
      </w:pPr>
      <w:r>
        <w:rPr>
          <w:rFonts w:ascii="IRNazanin" w:hAnsi="IRNazanin" w:eastAsia="IRNazanin" w:cs="IRNazanin"/>
          <w:lang w:bidi="fa-IR"/>
          <w:color w:val="111111"/>
          <w:sz w:val="28"/>
          <w:szCs w:val="28"/>
          <w:rtl/>
        </w:rPr>
        <w:t xml:space="preserve">و اسمه إبراهیم. ترجمه فی (دجا- ص 180) و أورد بعض شعره العربی فی مدیح الصدر الأعظم النوری المیرزا آقا خان الذی صار صدرا بعد الأمیر الکبیر المیرزا تقی خان المقتول (1268) نقلا عن کتاب گنج شایگان تألیف میرزا طاهر دیباجه‏نگار المؤلف (1273).</w:t>
      </w:r>
    </w:p>
    <w:p>
      <w:pPr>
        <w:pStyle w:val="Heading3"/>
      </w:pPr>
      <w:bookmarkStart w:id="4805" w:name="_Toc3501"/>
      <w:r>
        <w:t>2705- دیوان سها شیرازی‏</w:t>
      </w:r>
      <w:bookmarkEnd w:id="4805"/>
    </w:p>
    <w:p>
      <w:pPr>
        <w:pStyle w:val="BookText"/>
      </w:pPr>
      <w:r>
        <w:rPr>
          <w:rFonts w:ascii="IRNazanin" w:hAnsi="IRNazanin" w:eastAsia="IRNazanin" w:cs="IRNazanin"/>
          <w:lang w:bidi="fa-IR"/>
          <w:color w:val="111111"/>
          <w:sz w:val="28"/>
          <w:szCs w:val="28"/>
          <w:rtl/>
        </w:rPr>
        <w:t xml:space="preserve">لمحمد تقی خان الشیرازی المشهور بخان سها نسخه منه فی مکتبة (المجلس) ذکر خصوصیاته ابن یوسف فی فهرسها (ج 3- ص 312) و ذکر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72" w:name="pg11704_121954"/>
    <w:bookmarkEnd w:id="472"/>
    <w:p>
      <w:pPr>
        <w:pStyle w:val="BookText"/>
      </w:pPr>
      <w:r>
        <w:rPr>
          <w:rFonts w:ascii="IRNazanin" w:hAnsi="IRNazanin" w:eastAsia="IRNazanin" w:cs="IRNazanin"/>
          <w:lang w:bidi="fa-IR"/>
          <w:color w:val="111111"/>
          <w:sz w:val="28"/>
          <w:szCs w:val="28"/>
          <w:rtl/>
        </w:rPr>
        <w:t xml:space="preserve">مندرجاته الستة من القصائد، و ترجمه العوامل فی النحو، و الغزلیات، و الرباعیات، و مثنوی عاشق و معشوق و المقطعات فی حدود (2800) بیتا. و إن الشاعر کان حیا بعد (1250).</w:t>
      </w:r>
    </w:p>
    <w:p>
      <w:pPr>
        <w:pStyle w:val="Heading3"/>
      </w:pPr>
      <w:bookmarkStart w:id="4806" w:name="_Toc3502"/>
      <w:r>
        <w:t>2706- دیوان سها شیرازی‏</w:t>
      </w:r>
      <w:bookmarkEnd w:id="4806"/>
    </w:p>
    <w:p>
      <w:pPr>
        <w:pStyle w:val="BookText"/>
      </w:pPr>
      <w:r>
        <w:rPr>
          <w:rFonts w:ascii="IRNazanin" w:hAnsi="IRNazanin" w:eastAsia="IRNazanin" w:cs="IRNazanin"/>
          <w:lang w:bidi="fa-IR"/>
          <w:color w:val="111111"/>
          <w:sz w:val="28"/>
          <w:szCs w:val="28"/>
          <w:rtl/>
        </w:rPr>
        <w:t xml:space="preserve">و اسمه محمد، و هو ثانی أولاد هما الشیرازی ولد (1262) و مات (1338) و دفن بأصفهان نسخة من دیوانه فی عشرین ألف بیت عند ابن أخیه جلال همائی سنا بطهران کما وصفه لنا</w:t>
      </w:r>
    </w:p>
    <w:p>
      <w:pPr>
        <w:pStyle w:val="Heading3"/>
      </w:pPr>
      <w:bookmarkStart w:id="4807" w:name="_Toc3503"/>
      <w:r>
        <w:t>2707- دیوان سهائی ما وراء النهری‏</w:t>
      </w:r>
      <w:bookmarkEnd w:id="4807"/>
    </w:p>
    <w:p>
      <w:pPr>
        <w:pStyle w:val="BookText"/>
      </w:pPr>
      <w:r>
        <w:rPr>
          <w:rFonts w:ascii="IRNazanin" w:hAnsi="IRNazanin" w:eastAsia="IRNazanin" w:cs="IRNazanin"/>
          <w:lang w:bidi="fa-IR"/>
          <w:color w:val="111111"/>
          <w:sz w:val="28"/>
          <w:szCs w:val="28"/>
          <w:rtl/>
        </w:rPr>
        <w:t xml:space="preserve">کان سیدا ماهرا فی نظم التواریخ أورد بعض شعره فی (گلشن- ص 212) و رأیت فی بعض الفهارس أنه طبع دیوان سهائی‏</w:t>
      </w:r>
    </w:p>
    <w:p>
      <w:pPr>
        <w:pStyle w:val="Heading3"/>
      </w:pPr>
      <w:bookmarkStart w:id="4808" w:name="_Toc3504"/>
      <w:r>
        <w:t>2708- دیوان سهامی‏</w:t>
      </w:r>
      <w:bookmarkEnd w:id="4808"/>
    </w:p>
    <w:p>
      <w:pPr>
        <w:pStyle w:val="BookText"/>
      </w:pPr>
      <w:r>
        <w:rPr>
          <w:rFonts w:ascii="IRNazanin" w:hAnsi="IRNazanin" w:eastAsia="IRNazanin" w:cs="IRNazanin"/>
          <w:lang w:bidi="fa-IR"/>
          <w:color w:val="111111"/>
          <w:sz w:val="28"/>
          <w:szCs w:val="28"/>
          <w:rtl/>
        </w:rPr>
        <w:t xml:space="preserve">و اسمه میرزا خان و هو أخ المیرزا حسین و المیرزا حسن المالمیریان من سکنة أصفهان، ترجمه النصرآبادی فی (نر 5- ص 109) و ذکر أنه صار برهة وزیر کاشان و توفی شابا، و أورد بعض شعره‏</w:t>
      </w:r>
    </w:p>
    <w:p>
      <w:pPr>
        <w:pStyle w:val="Heading3"/>
      </w:pPr>
      <w:bookmarkStart w:id="4809" w:name="_Toc3505"/>
      <w:r>
        <w:t>2709- دیوان سهراب بیک أو شعره‏</w:t>
      </w:r>
      <w:bookmarkEnd w:id="4809"/>
    </w:p>
    <w:p>
      <w:pPr>
        <w:pStyle w:val="BookText"/>
      </w:pPr>
      <w:r>
        <w:rPr>
          <w:rFonts w:ascii="IRNazanin" w:hAnsi="IRNazanin" w:eastAsia="IRNazanin" w:cs="IRNazanin"/>
          <w:lang w:bidi="fa-IR"/>
          <w:color w:val="111111"/>
          <w:sz w:val="28"/>
          <w:szCs w:val="28"/>
          <w:rtl/>
        </w:rPr>
        <w:t xml:space="preserve">هو من أقارب رستم خان سپهسالار ترجمه النصرآبادی و ذکر بعض شعره فی (نر 2- ص 34) و (گلشن- ص 212) و قال فی (خوش‏گو) إنه انتحر بعد وفاة الشاه عباس حزنا</w:t>
      </w:r>
    </w:p>
    <w:p>
      <w:pPr>
        <w:pStyle w:val="Heading3"/>
      </w:pPr>
      <w:bookmarkStart w:id="4810" w:name="_Toc3506"/>
      <w:r>
        <w:t>2710- دیوان سهروردی أو شعره‏</w:t>
      </w:r>
      <w:bookmarkEnd w:id="4810"/>
    </w:p>
    <w:p>
      <w:pPr>
        <w:pStyle w:val="BookText"/>
      </w:pPr>
      <w:r>
        <w:rPr>
          <w:rFonts w:ascii="IRNazanin" w:hAnsi="IRNazanin" w:eastAsia="IRNazanin" w:cs="IRNazanin"/>
          <w:lang w:bidi="fa-IR"/>
          <w:color w:val="111111"/>
          <w:sz w:val="28"/>
          <w:szCs w:val="28"/>
          <w:rtl/>
        </w:rPr>
        <w:t xml:space="preserve">و هو الشیخ شهاب الدین أبو حفص عمر بن محمد بن عبد الله البکری العارف ولد فی رجب (539) و توفی (632) له عوارف المعارف المطبوع و رشف النصائح و أعلام الهدی ترجمه کذلک فی نفحات الأنس (ص- 420) و ابن خلکان (ج 1- ص 414) و (لس- ص 187) و أورد شعره فی (مع- ج 1 ص 312) و قد جاء شعره فی ضمن أشعار أبی سعید کما ذکره النفیسی فی مقدمه مجموعه سخنان منظوم أبو سعید أبو الخیر (ص 60) و طبع شرح عز الدین الآملی لإحدی رباعیات السهروردی فی آخر تلک المجموعة (ص 151- 154) و هو غیر صاحب التلویحات شیخ الإشراق یحیی بن حبیش السهروردی المقتول (581)</w:t>
      </w:r>
    </w:p>
    <w:p>
      <w:pPr>
        <w:pStyle w:val="Heading3"/>
      </w:pPr>
      <w:bookmarkStart w:id="4811" w:name="_Toc3507"/>
      <w:r>
        <w:t>2711- دیوان سهمی بخاری أو شعره‏</w:t>
      </w:r>
      <w:bookmarkEnd w:id="4811"/>
    </w:p>
    <w:p>
      <w:pPr>
        <w:pStyle w:val="BookText"/>
      </w:pPr>
      <w:r>
        <w:rPr>
          <w:rFonts w:ascii="IRNazanin" w:hAnsi="IRNazanin" w:eastAsia="IRNazanin" w:cs="IRNazanin"/>
          <w:lang w:bidi="fa-IR"/>
          <w:color w:val="111111"/>
          <w:sz w:val="28"/>
          <w:szCs w:val="28"/>
          <w:rtl/>
        </w:rPr>
        <w:t xml:space="preserve">کان ابن سهام یعمل السهام، فتخلص هو به و نظم الشعر فی العاشر من سنین عمره سافر إلی الهند فی عهد أکبر شاه و تقرب عنده أورد شعره فی (گلشن- ص 212) و (طبقات أکبری- ج 2 ص 507) و أورد فی (خوش‏گو) شعره الذی اعترف فیه بأنه سنی‏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73" w:name="pg11704_121955"/>
    <w:bookmarkEnd w:id="473"/>
    <w:p>
      <w:pPr>
        <w:pStyle w:val="Heading3"/>
      </w:pPr>
      <w:bookmarkStart w:id="4812" w:name="_Toc3508"/>
      <w:r>
        <w:t>2712- دیوان سهوی تبریزی أو شعره‏</w:t>
      </w:r>
      <w:bookmarkEnd w:id="4812"/>
    </w:p>
    <w:p>
      <w:pPr>
        <w:pStyle w:val="BookText"/>
      </w:pPr>
      <w:r>
        <w:rPr>
          <w:rFonts w:ascii="IRNazanin" w:hAnsi="IRNazanin" w:eastAsia="IRNazanin" w:cs="IRNazanin"/>
          <w:lang w:bidi="fa-IR"/>
          <w:color w:val="111111"/>
          <w:sz w:val="28"/>
          <w:szCs w:val="28"/>
          <w:rtl/>
        </w:rPr>
        <w:t xml:space="preserve">و هو المیر محمد حسین الخطاط و تلمیذ المیر محمد حسین محزون التبریزی فر من تبریز عند هجوم العثمانیین إلیها، و سکن کاشان اثنی عشر سنة ثم سافر إلی الهند و مات بها (1003) ترجمه تقی الدین الأوحدی فی خلاصة الأشعار و کذا فی کلام الملوک و طبقات أکبری (ص 516 ج 2) و (خوش‏گو) و (گلشن- ص 213) و (دجا- ص 184) و خط و خطاطان- ص 156 و القاموس الترکی و عنها فی الریحانة و قد أورد نموذجا من خطه فی (نمونه خطوط خوش- ص 225) و ترجمه فی (ص 141 منها)</w:t>
      </w:r>
    </w:p>
    <w:p>
      <w:pPr>
        <w:pStyle w:val="Heading3"/>
      </w:pPr>
      <w:bookmarkStart w:id="4813" w:name="_Toc3509"/>
      <w:r>
        <w:t>2713- دیوان سهیلی أو شعره‏</w:t>
      </w:r>
      <w:bookmarkEnd w:id="4813"/>
    </w:p>
    <w:p>
      <w:pPr>
        <w:pStyle w:val="BookText"/>
      </w:pPr>
      <w:r>
        <w:rPr>
          <w:rFonts w:ascii="IRNazanin" w:hAnsi="IRNazanin" w:eastAsia="IRNazanin" w:cs="IRNazanin"/>
          <w:lang w:bidi="fa-IR"/>
          <w:color w:val="111111"/>
          <w:sz w:val="28"/>
          <w:szCs w:val="28"/>
          <w:rtl/>
        </w:rPr>
        <w:t xml:space="preserve">لمهدی بن غلام رضا مدیر جریدة متلک ثم نوشخند و هما فکاهیتان سیاسیتان و أشعاره أیضا فکاهیة انتقادیة ولد (1303 ش) بطهران ترجمه و أورد شعره فی سخنوران نامی معاصر- ج 2- ص 156</w:t>
      </w:r>
    </w:p>
    <w:p>
      <w:pPr>
        <w:pStyle w:val="Heading3"/>
      </w:pPr>
      <w:bookmarkStart w:id="4814" w:name="_Toc3510"/>
      <w:r>
        <w:t>2714- دیوان سهیلی تبریزی‏</w:t>
      </w:r>
      <w:bookmarkEnd w:id="4814"/>
    </w:p>
    <w:p>
      <w:pPr>
        <w:pStyle w:val="BookText"/>
      </w:pPr>
      <w:r>
        <w:rPr>
          <w:rFonts w:ascii="IRNazanin" w:hAnsi="IRNazanin" w:eastAsia="IRNazanin" w:cs="IRNazanin"/>
          <w:lang w:bidi="fa-IR"/>
          <w:color w:val="111111"/>
          <w:sz w:val="28"/>
          <w:szCs w:val="28"/>
          <w:rtl/>
        </w:rPr>
        <w:t xml:space="preserve">و هو المیرزا أحمد الشهید فی سبیل حریة وطنه صلبه المستعمرون عمال التزار من الروس فی یوم عاشوراء طبع فی تبریز مجموعة من شعره و معها شاه و درویش لهلالی و جم و گل لأهلی أورد شعره و ترجمه فی (دجا- ص 185)</w:t>
      </w:r>
    </w:p>
    <w:p>
      <w:pPr>
        <w:pStyle w:val="Heading3"/>
      </w:pPr>
      <w:bookmarkStart w:id="4815" w:name="_Toc3511"/>
      <w:r>
        <w:t>2715- دیوان سهیلی جغتائی‏</w:t>
      </w:r>
      <w:bookmarkEnd w:id="4815"/>
    </w:p>
    <w:p>
      <w:pPr>
        <w:pStyle w:val="BookText"/>
      </w:pPr>
      <w:r>
        <w:rPr>
          <w:rFonts w:ascii="IRNazanin" w:hAnsi="IRNazanin" w:eastAsia="IRNazanin" w:cs="IRNazanin"/>
          <w:lang w:bidi="fa-IR"/>
          <w:color w:val="111111"/>
          <w:sz w:val="28"/>
          <w:szCs w:val="28"/>
          <w:rtl/>
        </w:rPr>
        <w:t xml:space="preserve">الشیخ نظام الدین أحمد، من آلوس جغتائی، و کان أجداده أمراء الترک من عصر تیمور قال دولت شاه فی خاتمة التذکرة إنه سمع من سهیلی إنه قال: أخذت تخلصی من الشیخ آذری و أورد من شعره الفارسی و الترکی من دیوانیه الفارسی و الترکی و قال فی (تش- ص 12) إن له لیلی و مجنون و مات (918) و فی (تغ)- ص 68) أنه مات (907) و زاد فی (تس 6- ص 181) أن ملا حسین الکاشفی باسمه کتب أنوار سهیلی الذی ذکرناه فی (ج 2 ص 430) و سماه فی رجال حبیب</w:t>
      </w:r>
    </w:p>
    <w:p>
      <w:pPr>
        <w:pStyle w:val="BookText"/>
      </w:pPr>
      <w:r>
        <w:rPr>
          <w:rFonts w:ascii="IRNazanin" w:hAnsi="IRNazanin" w:eastAsia="IRNazanin" w:cs="IRNazanin"/>
          <w:lang w:bidi="fa-IR"/>
          <w:color w:val="111111"/>
          <w:sz w:val="28"/>
          <w:szCs w:val="28"/>
          <w:rtl/>
        </w:rPr>
        <w:t xml:space="preserve">السیر- ص 141 بالسید نظام الدین سلطان أحمد و نقل المستر براون فی (ج 3 ص 517) أحواله عن با برنامه لمیرزا بابر- المذکور فی (ص 118)- بعنوان شیخیم و قال إن شعره مخوف، اعترض الجامی علیه فی ذلک، و أورد شعره فی (حسینی- 153) بعنوان سهیلی شیخم و ترجمه أیضا فی (مع- ج 1- ص 31) و قاموس الأعلام الترکیة و عنه فی الریحانة قال سنگلاخ فی (امتحان الفضلاء- ج 1 ص 160 و ج 2- ص 333)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74" w:name="pg11704_121956"/>
    <w:bookmarkEnd w:id="474"/>
    <w:p>
      <w:pPr>
        <w:pStyle w:val="BookText"/>
      </w:pPr>
      <w:r>
        <w:rPr>
          <w:rFonts w:ascii="IRNazanin" w:hAnsi="IRNazanin" w:eastAsia="IRNazanin" w:cs="IRNazanin"/>
          <w:lang w:bidi="fa-IR"/>
          <w:color w:val="111111"/>
          <w:sz w:val="28"/>
          <w:szCs w:val="28"/>
          <w:rtl/>
        </w:rPr>
        <w:t xml:space="preserve">إنه رأی منتخب دیوانه بخط محمد رضا صدر الکتاب و غزلیاته بخط جعفر هروی و توجد نسخته فی مکتبة (بنگاله) کما فی فهرسها و کانت نسخته فی مکتبة الشیخ صفی الدین بأردبیل فی العهد الصفوی‏</w:t>
      </w:r>
    </w:p>
    <w:p>
      <w:pPr>
        <w:pStyle w:val="Heading3"/>
      </w:pPr>
      <w:bookmarkStart w:id="4816" w:name="_Toc3512"/>
      <w:r>
        <w:t>2716- دیوان سهیلی خوانساری أو شعره‏</w:t>
      </w:r>
      <w:bookmarkEnd w:id="4816"/>
    </w:p>
    <w:p>
      <w:pPr>
        <w:pStyle w:val="BookText"/>
      </w:pPr>
      <w:r>
        <w:rPr>
          <w:rFonts w:ascii="IRNazanin" w:hAnsi="IRNazanin" w:eastAsia="IRNazanin" w:cs="IRNazanin"/>
          <w:lang w:bidi="fa-IR"/>
          <w:color w:val="111111"/>
          <w:sz w:val="28"/>
          <w:szCs w:val="28"/>
          <w:rtl/>
        </w:rPr>
        <w:t xml:space="preserve">لأحمد بن غلام رضا الخوانساری، صاحب حصار نای المذکور فی (ج 7 ص 23) طبع قریب الألفی بیت منه فی المجلات و الجرائد أورد شعره (پژمان- ص 223)</w:t>
      </w:r>
    </w:p>
    <w:p>
      <w:pPr>
        <w:pStyle w:val="Heading3"/>
      </w:pPr>
      <w:bookmarkStart w:id="4817" w:name="_Toc3513"/>
      <w:r>
        <w:t>2717- دیوان سیادت لاهوری‏</w:t>
      </w:r>
      <w:bookmarkEnd w:id="4817"/>
    </w:p>
    <w:p>
      <w:pPr>
        <w:pStyle w:val="BookText"/>
      </w:pPr>
      <w:r>
        <w:rPr>
          <w:rFonts w:ascii="IRNazanin" w:hAnsi="IRNazanin" w:eastAsia="IRNazanin" w:cs="IRNazanin"/>
          <w:lang w:bidi="fa-IR"/>
          <w:color w:val="111111"/>
          <w:sz w:val="28"/>
          <w:szCs w:val="28"/>
          <w:rtl/>
        </w:rPr>
        <w:t xml:space="preserve">و هو المیر جلال الدین ترجمه و أورد شعره فی (حسینی- ص 158) و (سرخوش- ص 49) و قال فی حاشیته إنه کتب سیادت جزوتین من أشعاره بخطه فی بیاض لی و أورد شعره فی گلستان مسرت مکررا و ذکر فی (تغ- ص 68) أیضا</w:t>
      </w:r>
    </w:p>
    <w:p>
      <w:pPr>
        <w:pStyle w:val="Heading3"/>
      </w:pPr>
      <w:bookmarkStart w:id="4818" w:name="_Toc3514"/>
      <w:r>
        <w:t>دیوان سیار</w:t>
      </w:r>
      <w:bookmarkEnd w:id="4818"/>
    </w:p>
    <w:p>
      <w:pPr>
        <w:pStyle w:val="BookText"/>
      </w:pPr>
      <w:r>
        <w:rPr>
          <w:rFonts w:ascii="IRNazanin" w:hAnsi="IRNazanin" w:eastAsia="IRNazanin" w:cs="IRNazanin"/>
          <w:lang w:bidi="fa-IR"/>
          <w:color w:val="111111"/>
          <w:sz w:val="28"/>
          <w:szCs w:val="28"/>
          <w:rtl/>
        </w:rPr>
        <w:t xml:space="preserve">کما فی (نر 9- ص 308) و (خوش‏گو) و الصحیح ما مر بعنوان ستار</w:t>
      </w:r>
    </w:p>
    <w:p>
      <w:pPr>
        <w:pStyle w:val="Heading3"/>
      </w:pPr>
      <w:bookmarkStart w:id="4819" w:name="_Toc3515"/>
      <w:r>
        <w:t>2718- دیوان سیار أصفهانی‏</w:t>
      </w:r>
      <w:bookmarkEnd w:id="4819"/>
    </w:p>
    <w:p>
      <w:pPr>
        <w:pStyle w:val="BookText"/>
      </w:pPr>
      <w:r>
        <w:rPr>
          <w:rFonts w:ascii="IRNazanin" w:hAnsi="IRNazanin" w:eastAsia="IRNazanin" w:cs="IRNazanin"/>
          <w:lang w:bidi="fa-IR"/>
          <w:color w:val="111111"/>
          <w:sz w:val="28"/>
          <w:szCs w:val="28"/>
          <w:rtl/>
        </w:rPr>
        <w:t xml:space="preserve">و اسمه قلی خان یشتغل بالإسکاف ولد بأصفهان (1295 ش) و هو من أعضاء انجمن کمال أورد و أطری شعره الکثیر فی (شعراء معاصر أصفهان- ص 252)</w:t>
      </w:r>
    </w:p>
    <w:p>
      <w:pPr>
        <w:pStyle w:val="Heading3"/>
      </w:pPr>
      <w:bookmarkStart w:id="4820" w:name="_Toc3516"/>
      <w:r>
        <w:t>2719- دیوان سیار أصفهانی أو شعره‏</w:t>
      </w:r>
      <w:bookmarkEnd w:id="4820"/>
    </w:p>
    <w:p>
      <w:pPr>
        <w:pStyle w:val="BookText"/>
      </w:pPr>
      <w:r>
        <w:rPr>
          <w:rFonts w:ascii="IRNazanin" w:hAnsi="IRNazanin" w:eastAsia="IRNazanin" w:cs="IRNazanin"/>
          <w:lang w:bidi="fa-IR"/>
          <w:color w:val="111111"/>
          <w:sz w:val="28"/>
          <w:szCs w:val="28"/>
          <w:rtl/>
        </w:rPr>
        <w:t xml:space="preserve">و اسمه محمود بن أمان الله من أحفاد قطرة أصفهانی الآتی أورد شعره فی تاریخ وفاة أستاذه دهقان سامانی المذکور فی (ص 333) و أطرأه فی (شعراء معاصر أصفهان- ص 253)</w:t>
      </w:r>
    </w:p>
    <w:p>
      <w:pPr>
        <w:pStyle w:val="Heading3"/>
      </w:pPr>
      <w:bookmarkStart w:id="4821" w:name="_Toc3517"/>
      <w:r>
        <w:t>2720- دیوان سیارة أصفهانی‏</w:t>
      </w:r>
      <w:bookmarkEnd w:id="4821"/>
    </w:p>
    <w:p>
      <w:pPr>
        <w:pStyle w:val="BookText"/>
      </w:pPr>
      <w:r>
        <w:rPr>
          <w:rFonts w:ascii="IRNazanin" w:hAnsi="IRNazanin" w:eastAsia="IRNazanin" w:cs="IRNazanin"/>
          <w:lang w:bidi="fa-IR"/>
          <w:color w:val="111111"/>
          <w:sz w:val="28"/>
          <w:szCs w:val="28"/>
          <w:rtl/>
        </w:rPr>
        <w:t xml:space="preserve">و اسمه هاشم الشهرضائی المعاصر له جنگل مولی و گلشن معرفت مطبوعان أورد شعره فی (شعراء معاصر أصفهان- ص 253)</w:t>
      </w:r>
    </w:p>
    <w:p>
      <w:pPr>
        <w:pStyle w:val="Heading3"/>
      </w:pPr>
      <w:bookmarkStart w:id="4822" w:name="_Toc3518"/>
      <w:r>
        <w:t>2721- دیوان سیارة بختیاری أو شعره‏</w:t>
      </w:r>
      <w:bookmarkEnd w:id="4822"/>
    </w:p>
    <w:p>
      <w:pPr>
        <w:pStyle w:val="BookText"/>
      </w:pPr>
      <w:r>
        <w:rPr>
          <w:rFonts w:ascii="IRNazanin" w:hAnsi="IRNazanin" w:eastAsia="IRNazanin" w:cs="IRNazanin"/>
          <w:lang w:bidi="fa-IR"/>
          <w:color w:val="111111"/>
          <w:sz w:val="28"/>
          <w:szCs w:val="28"/>
          <w:rtl/>
        </w:rPr>
        <w:t xml:space="preserve">و اسمه حسین قلی خان إیل خان بختیار رأیت شعره متفرقا و أورد له (پژمان- ص 223)</w:t>
      </w:r>
    </w:p>
    <w:p>
      <w:pPr>
        <w:pStyle w:val="Heading3"/>
      </w:pPr>
      <w:bookmarkStart w:id="4823" w:name="_Toc3519"/>
      <w:r>
        <w:t>2722- دیوان سیاسی أصفهانی‏</w:t>
      </w:r>
      <w:bookmarkEnd w:id="4823"/>
    </w:p>
    <w:p>
      <w:pPr>
        <w:pStyle w:val="BookText"/>
      </w:pPr>
      <w:r>
        <w:rPr>
          <w:rFonts w:ascii="IRNazanin" w:hAnsi="IRNazanin" w:eastAsia="IRNazanin" w:cs="IRNazanin"/>
          <w:lang w:bidi="fa-IR"/>
          <w:color w:val="111111"/>
          <w:sz w:val="28"/>
          <w:szCs w:val="28"/>
          <w:rtl/>
        </w:rPr>
        <w:t xml:space="preserve">و اسمه محمد بن حسین ولد بها فی (1311 ش) و تعلم بکلیة الطب بأصفهان طبع له بی‏پناه أورد شعره فی (شعراء معاصر أصفهان ص 254)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75" w:name="pg11704_121957"/>
    <w:bookmarkEnd w:id="475"/>
    <w:p>
      <w:pPr>
        <w:pStyle w:val="Heading3"/>
      </w:pPr>
      <w:bookmarkStart w:id="4824" w:name="_Toc3520"/>
      <w:r>
        <w:t>2723- دیوان سیاف شیرازی‏</w:t>
      </w:r>
      <w:bookmarkEnd w:id="4824"/>
    </w:p>
    <w:p>
      <w:pPr>
        <w:pStyle w:val="BookText"/>
      </w:pPr>
      <w:r>
        <w:rPr>
          <w:rFonts w:ascii="IRNazanin" w:hAnsi="IRNazanin" w:eastAsia="IRNazanin" w:cs="IRNazanin"/>
          <w:lang w:bidi="fa-IR"/>
          <w:color w:val="111111"/>
          <w:sz w:val="28"/>
          <w:szCs w:val="28"/>
          <w:rtl/>
        </w:rPr>
        <w:t xml:space="preserve">و اسمه الحاج علی أصغر المتوفی (1262) من الصوفیة توجد له منظومة گنج اسرار فی المکتبة (الرضویة) و هو فی خمس مجلدات و له جنات وصال مثنوی فی سبع مجلدات ذکرها فی أسماء المؤلفین (ج 1 ص 775) و أظنه الموجود فی مکتبة دانشگاه تهران، المذکور فی فهرسها (ج 4 ص 2178)</w:t>
      </w:r>
    </w:p>
    <w:p>
      <w:pPr>
        <w:pStyle w:val="Heading3"/>
      </w:pPr>
      <w:bookmarkStart w:id="4825" w:name="_Toc3521"/>
      <w:r>
        <w:t>دیوان سیاه‏پوش‏</w:t>
      </w:r>
      <w:bookmarkEnd w:id="4825"/>
    </w:p>
    <w:p>
      <w:pPr>
        <w:pStyle w:val="BookText"/>
      </w:pPr>
      <w:r>
        <w:rPr>
          <w:rFonts w:ascii="IRNazanin" w:hAnsi="IRNazanin" w:eastAsia="IRNazanin" w:cs="IRNazanin"/>
          <w:lang w:bidi="fa-IR"/>
          <w:color w:val="111111"/>
          <w:sz w:val="28"/>
          <w:szCs w:val="28"/>
          <w:rtl/>
        </w:rPr>
        <w:t xml:space="preserve">ذکره بهذا العنوان فی الریحانة نقلا عن (منن الرحمن ج 1 ص 53) و ذکرناه بعنوان جواد سیاه‏پوش فی (ص 208)</w:t>
      </w:r>
    </w:p>
    <w:p>
      <w:pPr>
        <w:pStyle w:val="Heading3"/>
      </w:pPr>
      <w:bookmarkStart w:id="4826" w:name="_Toc3522"/>
      <w:r>
        <w:t>دیوان سیاه‏پوش‏</w:t>
      </w:r>
      <w:bookmarkEnd w:id="4826"/>
    </w:p>
    <w:p>
      <w:pPr>
        <w:pStyle w:val="BookText"/>
      </w:pPr>
      <w:r>
        <w:rPr>
          <w:rFonts w:ascii="IRNazanin" w:hAnsi="IRNazanin" w:eastAsia="IRNazanin" w:cs="IRNazanin"/>
          <w:lang w:bidi="fa-IR"/>
          <w:color w:val="111111"/>
          <w:sz w:val="28"/>
          <w:szCs w:val="28"/>
          <w:rtl/>
        </w:rPr>
        <w:t xml:space="preserve">کما فی الریحانة یأتی بتخلصه علی‏</w:t>
      </w:r>
    </w:p>
    <w:p>
      <w:pPr>
        <w:pStyle w:val="Heading3"/>
      </w:pPr>
      <w:bookmarkStart w:id="4827" w:name="_Toc3523"/>
      <w:r>
        <w:t>دیوان سیاه دانی أو شعره‏</w:t>
      </w:r>
      <w:bookmarkEnd w:id="4827"/>
    </w:p>
    <w:p>
      <w:pPr>
        <w:pStyle w:val="BookText"/>
      </w:pPr>
      <w:r>
        <w:rPr>
          <w:rFonts w:ascii="IRNazanin" w:hAnsi="IRNazanin" w:eastAsia="IRNazanin" w:cs="IRNazanin"/>
          <w:lang w:bidi="fa-IR"/>
          <w:color w:val="111111"/>
          <w:sz w:val="28"/>
          <w:szCs w:val="28"/>
          <w:rtl/>
        </w:rPr>
        <w:t xml:space="preserve">و اسمه عبد الرحمن مر بعنوان أنسی سیاه دانی‏</w:t>
      </w:r>
    </w:p>
    <w:p>
      <w:pPr>
        <w:pStyle w:val="Heading3"/>
      </w:pPr>
      <w:bookmarkStart w:id="4828" w:name="_Toc3524"/>
      <w:r>
        <w:t>دیوان سیاهی اندجانی‏</w:t>
      </w:r>
      <w:bookmarkEnd w:id="4828"/>
    </w:p>
    <w:p>
      <w:pPr>
        <w:pStyle w:val="BookText"/>
      </w:pPr>
      <w:r>
        <w:rPr>
          <w:rFonts w:ascii="IRNazanin" w:hAnsi="IRNazanin" w:eastAsia="IRNazanin" w:cs="IRNazanin"/>
          <w:lang w:bidi="fa-IR"/>
          <w:color w:val="111111"/>
          <w:sz w:val="28"/>
          <w:szCs w:val="28"/>
          <w:rtl/>
        </w:rPr>
        <w:t xml:space="preserve">کما فی (خوش‏گو قال و مات (973) و الصحیح ما ذکرناه بعنوان سپاهی اندجانی‏</w:t>
      </w:r>
    </w:p>
    <w:p>
      <w:pPr>
        <w:pStyle w:val="Heading3"/>
      </w:pPr>
      <w:bookmarkStart w:id="4829" w:name="_Toc3525"/>
      <w:r>
        <w:t>دیوان سیبک‏</w:t>
      </w:r>
      <w:bookmarkEnd w:id="4829"/>
    </w:p>
    <w:p>
      <w:pPr>
        <w:pStyle w:val="BookText"/>
      </w:pPr>
      <w:r>
        <w:rPr>
          <w:rFonts w:ascii="IRNazanin" w:hAnsi="IRNazanin" w:eastAsia="IRNazanin" w:cs="IRNazanin"/>
          <w:lang w:bidi="fa-IR"/>
          <w:color w:val="111111"/>
          <w:sz w:val="28"/>
          <w:szCs w:val="28"/>
          <w:rtl/>
        </w:rPr>
        <w:t xml:space="preserve">یأتی بعنوان فتاحی فی الفاء</w:t>
      </w:r>
    </w:p>
    <w:p>
      <w:pPr>
        <w:pStyle w:val="Heading3"/>
      </w:pPr>
      <w:bookmarkStart w:id="4830" w:name="_Toc3526"/>
      <w:r>
        <w:t>دیوان سیبویه الثانی‏</w:t>
      </w:r>
      <w:bookmarkEnd w:id="4830"/>
    </w:p>
    <w:p>
      <w:pPr>
        <w:pStyle w:val="BookText"/>
      </w:pPr>
      <w:r>
        <w:rPr>
          <w:rFonts w:ascii="IRNazanin" w:hAnsi="IRNazanin" w:eastAsia="IRNazanin" w:cs="IRNazanin"/>
          <w:lang w:bidi="fa-IR"/>
          <w:color w:val="111111"/>
          <w:sz w:val="28"/>
          <w:szCs w:val="28"/>
          <w:rtl/>
        </w:rPr>
        <w:t xml:space="preserve">راجع دیوان الشبستری‏</w:t>
      </w:r>
    </w:p>
    <w:p>
      <w:pPr>
        <w:pStyle w:val="Heading3"/>
      </w:pPr>
      <w:bookmarkStart w:id="4831" w:name="_Toc3527"/>
      <w:r>
        <w:t>2724- دیوان سیحون یزدی أو شعره‏</w:t>
      </w:r>
      <w:bookmarkEnd w:id="4831"/>
    </w:p>
    <w:p>
      <w:pPr>
        <w:pStyle w:val="BookText"/>
      </w:pPr>
      <w:r>
        <w:rPr>
          <w:rFonts w:ascii="IRNazanin" w:hAnsi="IRNazanin" w:eastAsia="IRNazanin" w:cs="IRNazanin"/>
          <w:lang w:bidi="fa-IR"/>
          <w:color w:val="111111"/>
          <w:sz w:val="28"/>
          <w:szCs w:val="28"/>
          <w:rtl/>
        </w:rPr>
        <w:t xml:space="preserve">لتاج الأطباء حسین، و هو أخ محمد جیحون المذکور فی (ص 212) ترجمه و أورد شعره فی (تش یز- ص 295) قال و توفی (1351) عن سبع و سبعین سنة من عمره‏</w:t>
      </w:r>
    </w:p>
    <w:p>
      <w:pPr>
        <w:pStyle w:val="Heading3"/>
      </w:pPr>
      <w:bookmarkStart w:id="4832" w:name="_Toc3528"/>
      <w:r>
        <w:t>2725- دیوان السید آقائی‏</w:t>
      </w:r>
      <w:bookmarkEnd w:id="4832"/>
    </w:p>
    <w:p>
      <w:pPr>
        <w:pStyle w:val="BookText"/>
      </w:pPr>
      <w:r>
        <w:rPr>
          <w:rFonts w:ascii="IRNazanin" w:hAnsi="IRNazanin" w:eastAsia="IRNazanin" w:cs="IRNazanin"/>
          <w:lang w:bidi="fa-IR"/>
          <w:color w:val="111111"/>
          <w:sz w:val="28"/>
          <w:szCs w:val="28"/>
          <w:rtl/>
        </w:rPr>
        <w:t xml:space="preserve">و اسمه السید نعمة الله بن السید نور الدین المحدث الجزائری، و تخلصه سید فارسی فی ثلاثة آلاف بیت و توفی الناظم (1151) کما ذکره فی تحفه العالم‏</w:t>
      </w:r>
    </w:p>
    <w:p>
      <w:pPr>
        <w:pStyle w:val="Heading3"/>
      </w:pPr>
      <w:bookmarkStart w:id="4833" w:name="_Toc3529"/>
      <w:r>
        <w:t>دیوان سید أصفهانی‏</w:t>
      </w:r>
      <w:bookmarkEnd w:id="4833"/>
    </w:p>
    <w:p>
      <w:pPr>
        <w:pStyle w:val="BookText"/>
      </w:pPr>
      <w:r>
        <w:rPr>
          <w:rFonts w:ascii="IRNazanin" w:hAnsi="IRNazanin" w:eastAsia="IRNazanin" w:cs="IRNazanin"/>
          <w:lang w:bidi="fa-IR"/>
          <w:color w:val="111111"/>
          <w:sz w:val="28"/>
          <w:szCs w:val="28"/>
          <w:rtl/>
        </w:rPr>
        <w:t xml:space="preserve">ذکرناه فی (ص 364) بعنوان رضا أصفهانی ثم رأینا فی تذکره حزین- ص 93 أن تخلصه سید و إنه کان معاشرا مع حزین و مات (1133) و عنه أخذ (گلشن- ص 176) علی ما ذکرناه‏</w:t>
      </w:r>
    </w:p>
    <w:p>
      <w:pPr>
        <w:pStyle w:val="Heading3"/>
      </w:pPr>
      <w:bookmarkStart w:id="4834" w:name="_Toc3530"/>
      <w:r>
        <w:t>2726- دیوان سید أصفهانی أو شعره‏</w:t>
      </w:r>
      <w:bookmarkEnd w:id="4834"/>
    </w:p>
    <w:p>
      <w:pPr>
        <w:pStyle w:val="BookText"/>
      </w:pPr>
      <w:r>
        <w:rPr>
          <w:rFonts w:ascii="IRNazanin" w:hAnsi="IRNazanin" w:eastAsia="IRNazanin" w:cs="IRNazanin"/>
          <w:lang w:bidi="fa-IR"/>
          <w:color w:val="111111"/>
          <w:sz w:val="28"/>
          <w:szCs w:val="28"/>
          <w:rtl/>
        </w:rPr>
        <w:t xml:space="preserve">و اسمه ضیاء الدین بن صادق بن طاهر بن علی بن السید علاء الدین حسین المعروف بسلطان العلماء مر له تذکره الشعراء المعاصرین فی (ج 4- ص 37) و نسبه فی (تغ- ص 68) إلی کاشان و سماه عبد الله‏</w:t>
      </w:r>
    </w:p>
    <w:p>
      <w:pPr>
        <w:pStyle w:val="Heading3"/>
      </w:pPr>
      <w:bookmarkStart w:id="4835" w:name="_Toc3531"/>
      <w:r>
        <w:t>2727- دیوان سید أصفهانی‏</w:t>
      </w:r>
      <w:bookmarkEnd w:id="4835"/>
    </w:p>
    <w:p>
      <w:pPr>
        <w:pStyle w:val="BookText"/>
      </w:pPr>
      <w:r>
        <w:rPr>
          <w:rFonts w:ascii="IRNazanin" w:hAnsi="IRNazanin" w:eastAsia="IRNazanin" w:cs="IRNazanin"/>
          <w:lang w:bidi="fa-IR"/>
          <w:color w:val="111111"/>
          <w:sz w:val="28"/>
          <w:szCs w:val="28"/>
          <w:rtl/>
        </w:rPr>
        <w:t xml:space="preserve">و هو السید مرتضی بن السید محمد أشرف بن عبد الحسیب‏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76" w:name="pg11704_121958"/>
    <w:bookmarkEnd w:id="476"/>
    <w:p>
      <w:pPr>
        <w:pStyle w:val="BookText"/>
      </w:pPr>
      <w:r>
        <w:rPr>
          <w:rFonts w:ascii="IRNazanin" w:hAnsi="IRNazanin" w:eastAsia="IRNazanin" w:cs="IRNazanin"/>
          <w:lang w:bidi="fa-IR"/>
          <w:color w:val="111111"/>
          <w:sz w:val="28"/>
          <w:szCs w:val="28"/>
          <w:rtl/>
        </w:rPr>
        <w:t xml:space="preserve">بن أحمد بن زین العابدین العلوی العاملی ذکر ذلک حفیده السید محمد جعفر المیردامادی بن محمد حسین بن محمد جعفر بن محمد حسین المقدس بن المیر أحمد بن المیر عبد الله بن محمد رحیم الکبیر بن السید مرتضی هذا، فی رسالة ألفها فی أحوال السادة المیردامادیة بسده من أصفهان، و أورد شعره و قال کان یتخلص سید کتب لنا ذلک الشیخ محمد علی المعلم الحبیب‏آبادی من أصفهان‏</w:t>
      </w:r>
    </w:p>
    <w:p>
      <w:pPr>
        <w:pStyle w:val="Heading3"/>
      </w:pPr>
      <w:bookmarkStart w:id="4836" w:name="_Toc3532"/>
      <w:r>
        <w:t>2728- دیوان سید تبریزی أو شعره‏</w:t>
      </w:r>
      <w:bookmarkEnd w:id="4836"/>
    </w:p>
    <w:p>
      <w:pPr>
        <w:pStyle w:val="BookText"/>
      </w:pPr>
      <w:r>
        <w:rPr>
          <w:rFonts w:ascii="IRNazanin" w:hAnsi="IRNazanin" w:eastAsia="IRNazanin" w:cs="IRNazanin"/>
          <w:lang w:bidi="fa-IR"/>
          <w:color w:val="111111"/>
          <w:sz w:val="28"/>
          <w:szCs w:val="28"/>
          <w:rtl/>
        </w:rPr>
        <w:t xml:space="preserve">و اسمه السید محسن و الملقب گلستان النقاش و توفی حدود (1330) طبع له منظومة مرآة البکاء فی المراثی فی تبریز ترجمه فی (دجا- ص 12)</w:t>
      </w:r>
    </w:p>
    <w:p>
      <w:pPr>
        <w:pStyle w:val="Heading3"/>
      </w:pPr>
      <w:bookmarkStart w:id="4837" w:name="_Toc3533"/>
      <w:r>
        <w:t>دیوان سید جواهر رقم‏</w:t>
      </w:r>
      <w:bookmarkEnd w:id="4837"/>
    </w:p>
    <w:p>
      <w:pPr>
        <w:pStyle w:val="BookText"/>
      </w:pPr>
      <w:r>
        <w:rPr>
          <w:rFonts w:ascii="IRNazanin" w:hAnsi="IRNazanin" w:eastAsia="IRNazanin" w:cs="IRNazanin"/>
          <w:lang w:bidi="fa-IR"/>
          <w:color w:val="111111"/>
          <w:sz w:val="28"/>
          <w:szCs w:val="28"/>
          <w:rtl/>
        </w:rPr>
        <w:t xml:space="preserve">راجع سید کشمیری و دیوان علی جواهر رقم‏</w:t>
      </w:r>
    </w:p>
    <w:p>
      <w:pPr>
        <w:pStyle w:val="Heading3"/>
      </w:pPr>
      <w:bookmarkStart w:id="4838" w:name="_Toc3534"/>
      <w:r>
        <w:t>دیوان السید الحمیری‏</w:t>
      </w:r>
      <w:bookmarkEnd w:id="4838"/>
    </w:p>
    <w:p>
      <w:pPr>
        <w:pStyle w:val="BookText"/>
      </w:pPr>
      <w:r>
        <w:rPr>
          <w:rFonts w:ascii="IRNazanin" w:hAnsi="IRNazanin" w:eastAsia="IRNazanin" w:cs="IRNazanin"/>
          <w:lang w:bidi="fa-IR"/>
          <w:color w:val="111111"/>
          <w:sz w:val="28"/>
          <w:szCs w:val="28"/>
          <w:rtl/>
        </w:rPr>
        <w:t xml:space="preserve">مر فی الحاء و توجد شرح بهاء الدین محمد بن الحسن الأصفهانی المعروف بالفاضل الهندی لقصیدته کتبت فی عصر الشارح عند (فخر الدین)</w:t>
      </w:r>
    </w:p>
    <w:p>
      <w:pPr>
        <w:pStyle w:val="Heading3"/>
      </w:pPr>
      <w:bookmarkStart w:id="4839" w:name="_Toc3535"/>
      <w:r>
        <w:t>2729- دیوان سیدزاده منشی أو شعره‏</w:t>
      </w:r>
      <w:bookmarkEnd w:id="4839"/>
    </w:p>
    <w:p>
      <w:pPr>
        <w:pStyle w:val="BookText"/>
      </w:pPr>
      <w:r>
        <w:rPr>
          <w:rFonts w:ascii="IRNazanin" w:hAnsi="IRNazanin" w:eastAsia="IRNazanin" w:cs="IRNazanin"/>
          <w:lang w:bidi="fa-IR"/>
          <w:color w:val="111111"/>
          <w:sz w:val="28"/>
          <w:szCs w:val="28"/>
          <w:rtl/>
        </w:rPr>
        <w:t xml:space="preserve">ترجمه و أورد شعره فی (مجن 3- ص 78 و 254)</w:t>
      </w:r>
    </w:p>
    <w:p>
      <w:pPr>
        <w:pStyle w:val="Heading3"/>
      </w:pPr>
      <w:bookmarkStart w:id="4840" w:name="_Toc3536"/>
      <w:r>
        <w:t>2730- دیوان سید سوراتی أو شعره‏</w:t>
      </w:r>
      <w:bookmarkEnd w:id="4840"/>
    </w:p>
    <w:p>
      <w:pPr>
        <w:pStyle w:val="BookText"/>
      </w:pPr>
      <w:r>
        <w:rPr>
          <w:rFonts w:ascii="IRNazanin" w:hAnsi="IRNazanin" w:eastAsia="IRNazanin" w:cs="IRNazanin"/>
          <w:lang w:bidi="fa-IR"/>
          <w:color w:val="111111"/>
          <w:sz w:val="28"/>
          <w:szCs w:val="28"/>
          <w:rtl/>
        </w:rPr>
        <w:t xml:space="preserve">و اسمه صلابت خان، من أمراء فرخ سیر بالهند تلمذ علی عبد الغنی قبول الکشمیری، و مات (1137) أورد شعره و ترجمته فی (خوش‏گو) و کذا فی (گلشن- ص 213)</w:t>
      </w:r>
    </w:p>
    <w:p>
      <w:pPr>
        <w:pStyle w:val="Heading3"/>
      </w:pPr>
      <w:bookmarkStart w:id="4841" w:name="_Toc3537"/>
      <w:r>
        <w:t>2731- دیوان سید شاه عبد العظیمی أو شعره‏</w:t>
      </w:r>
      <w:bookmarkEnd w:id="4841"/>
    </w:p>
    <w:p>
      <w:pPr>
        <w:pStyle w:val="BookText"/>
      </w:pPr>
      <w:r>
        <w:rPr>
          <w:rFonts w:ascii="IRNazanin" w:hAnsi="IRNazanin" w:eastAsia="IRNazanin" w:cs="IRNazanin"/>
          <w:lang w:bidi="fa-IR"/>
          <w:color w:val="111111"/>
          <w:sz w:val="28"/>
          <w:szCs w:val="28"/>
          <w:rtl/>
        </w:rPr>
        <w:t xml:space="preserve">و هو أخ الأمیر نور الله الذی کان من خدام حرم عبد العظیم بری، و قد کان ابن أخیه و هو الأمیر عنایة الله بن نور الله متولی الحرم عند تألیف سام میرزا لتذکرته فی (957) فذکره فی (تس 1- ص 4) و قد کان کثیر من أعضاء هذا البیت من الشعراء، و منهم ابنا عنایة الله، الأمیر شاهمیر و الأمیر قاسم‏</w:t>
      </w:r>
    </w:p>
    <w:p>
      <w:pPr>
        <w:pStyle w:val="Heading3"/>
      </w:pPr>
      <w:bookmarkStart w:id="4842" w:name="_Toc3538"/>
      <w:r>
        <w:t>2732- دیوان سید شوشتری‏</w:t>
      </w:r>
      <w:bookmarkEnd w:id="4842"/>
    </w:p>
    <w:p>
      <w:pPr>
        <w:pStyle w:val="BookText"/>
      </w:pPr>
      <w:r>
        <w:rPr>
          <w:rFonts w:ascii="IRNazanin" w:hAnsi="IRNazanin" w:eastAsia="IRNazanin" w:cs="IRNazanin"/>
          <w:lang w:bidi="fa-IR"/>
          <w:color w:val="111111"/>
          <w:sz w:val="28"/>
          <w:szCs w:val="28"/>
          <w:rtl/>
        </w:rPr>
        <w:t xml:space="preserve">للمفتی المیر محمد عباس بن أکبر الجزائری التستری اللکهنوی المتوفی (1306) ذکر فی التجلیات أن دیوانه العربی فی مجلدین و دیوانه الفارسی فی ثلاث مجلدات و هذا غیر رطب العرب و لابنه دیوان وزیر یأتی‏</w:t>
      </w:r>
    </w:p>
    <w:p>
      <w:pPr>
        <w:pStyle w:val="Heading3"/>
      </w:pPr>
      <w:bookmarkStart w:id="4843" w:name="_Toc3539"/>
      <w:r>
        <w:t>2733- دیوان سید شیروانی‏</w:t>
      </w:r>
      <w:bookmarkEnd w:id="4843"/>
    </w:p>
    <w:p>
      <w:pPr>
        <w:pStyle w:val="BookText"/>
      </w:pPr>
      <w:r>
        <w:rPr>
          <w:rFonts w:ascii="IRNazanin" w:hAnsi="IRNazanin" w:eastAsia="IRNazanin" w:cs="IRNazanin"/>
          <w:lang w:bidi="fa-IR"/>
          <w:color w:val="111111"/>
          <w:sz w:val="28"/>
          <w:szCs w:val="28"/>
          <w:rtl/>
        </w:rPr>
        <w:t xml:space="preserve">و اسمه الحاج السید عظیم الشیروانی المتخلص سید ولد (1251) و توفی (1308) طبع دیوانه بتبریز فی (1313- 1315)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77" w:name="pg11704_121959"/>
    <w:bookmarkEnd w:id="477"/>
    <w:p>
      <w:pPr>
        <w:pStyle w:val="BookText"/>
      </w:pPr>
      <w:r>
        <w:rPr>
          <w:rFonts w:ascii="IRNazanin" w:hAnsi="IRNazanin" w:eastAsia="IRNazanin" w:cs="IRNazanin"/>
          <w:lang w:bidi="fa-IR"/>
          <w:color w:val="111111"/>
          <w:sz w:val="28"/>
          <w:szCs w:val="28"/>
          <w:rtl/>
        </w:rPr>
        <w:t xml:space="preserve">بخط أحمد بصیرت فی مجلدین فیه أسماء جمع من شعراء معاصریه و معاشریه، نورس، عاصی، صفا، جرمی، یوسف، سالک، ثریا، مصور، ترجمه فی (دجا- ص 185- 186) نقلا عن أدبیات آذربایجان لفریدون کوچولی‏</w:t>
      </w:r>
    </w:p>
    <w:p>
      <w:pPr>
        <w:pStyle w:val="Heading3"/>
      </w:pPr>
      <w:bookmarkStart w:id="4844" w:name="_Toc3540"/>
      <w:r>
        <w:t>دیوان السید علی خان المدنی‏</w:t>
      </w:r>
      <w:bookmarkEnd w:id="4844"/>
    </w:p>
    <w:p>
      <w:pPr>
        <w:pStyle w:val="BookText"/>
      </w:pPr>
      <w:r>
        <w:rPr>
          <w:rFonts w:ascii="IRNazanin" w:hAnsi="IRNazanin" w:eastAsia="IRNazanin" w:cs="IRNazanin"/>
          <w:lang w:bidi="fa-IR"/>
          <w:color w:val="111111"/>
          <w:sz w:val="28"/>
          <w:szCs w:val="28"/>
          <w:rtl/>
        </w:rPr>
        <w:t xml:space="preserve">یأتی فی العین و کذا السید علی شاه و غیرهما</w:t>
      </w:r>
    </w:p>
    <w:p>
      <w:pPr>
        <w:pStyle w:val="Heading3"/>
      </w:pPr>
      <w:bookmarkStart w:id="4845" w:name="_Toc3541"/>
      <w:r>
        <w:t>2734- دیوان سید فرخ‏آبادی أو شعره‏</w:t>
      </w:r>
      <w:bookmarkEnd w:id="4845"/>
    </w:p>
    <w:p>
      <w:pPr>
        <w:pStyle w:val="BookText"/>
      </w:pPr>
      <w:r>
        <w:rPr>
          <w:rFonts w:ascii="IRNazanin" w:hAnsi="IRNazanin" w:eastAsia="IRNazanin" w:cs="IRNazanin"/>
          <w:lang w:bidi="fa-IR"/>
          <w:color w:val="111111"/>
          <w:sz w:val="28"/>
          <w:szCs w:val="28"/>
          <w:rtl/>
        </w:rPr>
        <w:t xml:space="preserve">و اسمه المیر بهادر علی أورد شعره فی (گلشن- ص 213)</w:t>
      </w:r>
    </w:p>
    <w:p>
      <w:pPr>
        <w:pStyle w:val="Heading3"/>
      </w:pPr>
      <w:bookmarkStart w:id="4846" w:name="_Toc3542"/>
      <w:r>
        <w:t>2735- دیوان سید قلمدانی أو شعره‏</w:t>
      </w:r>
      <w:bookmarkEnd w:id="4846"/>
    </w:p>
    <w:p>
      <w:pPr>
        <w:pStyle w:val="BookText"/>
      </w:pPr>
      <w:r>
        <w:rPr>
          <w:rFonts w:ascii="IRNazanin" w:hAnsi="IRNazanin" w:eastAsia="IRNazanin" w:cs="IRNazanin"/>
          <w:lang w:bidi="fa-IR"/>
          <w:color w:val="111111"/>
          <w:sz w:val="28"/>
          <w:szCs w:val="28"/>
          <w:rtl/>
        </w:rPr>
        <w:t xml:space="preserve">رأیت له فی بعض المجامیع قصائد فی مدح الأمیر و سائر المعصومین علیه السلام  تخلصه فیها سید</w:t>
      </w:r>
    </w:p>
    <w:p>
      <w:pPr>
        <w:pStyle w:val="Heading3"/>
      </w:pPr>
      <w:bookmarkStart w:id="4847" w:name="_Toc3543"/>
      <w:r>
        <w:t>دیوان سید قهستانی‏</w:t>
      </w:r>
      <w:bookmarkEnd w:id="4847"/>
    </w:p>
    <w:p>
      <w:pPr>
        <w:pStyle w:val="BookText"/>
      </w:pPr>
      <w:r>
        <w:rPr>
          <w:rFonts w:ascii="IRNazanin" w:hAnsi="IRNazanin" w:eastAsia="IRNazanin" w:cs="IRNazanin"/>
          <w:lang w:bidi="fa-IR"/>
          <w:color w:val="111111"/>
          <w:sz w:val="28"/>
          <w:szCs w:val="28"/>
          <w:rtl/>
        </w:rPr>
        <w:t xml:space="preserve">للسید نعمة الله الکرمانی الماهانی المتخلص ولی یأتی فی الواو</w:t>
      </w:r>
    </w:p>
    <w:p>
      <w:pPr>
        <w:pStyle w:val="Heading3"/>
      </w:pPr>
      <w:bookmarkStart w:id="4848" w:name="_Toc3544"/>
      <w:r>
        <w:t>دیوان سید کاشانی‏</w:t>
      </w:r>
      <w:bookmarkEnd w:id="4848"/>
    </w:p>
    <w:p>
      <w:pPr>
        <w:pStyle w:val="BookText"/>
      </w:pPr>
      <w:r>
        <w:rPr>
          <w:rFonts w:ascii="IRNazanin" w:hAnsi="IRNazanin" w:eastAsia="IRNazanin" w:cs="IRNazanin"/>
          <w:lang w:bidi="fa-IR"/>
          <w:color w:val="111111"/>
          <w:sz w:val="28"/>
          <w:szCs w:val="28"/>
          <w:rtl/>
        </w:rPr>
        <w:t xml:space="preserve">راجع سید أصفهانی‏</w:t>
      </w:r>
    </w:p>
    <w:p>
      <w:pPr>
        <w:pStyle w:val="Heading3"/>
      </w:pPr>
      <w:bookmarkStart w:id="4849" w:name="_Toc3545"/>
      <w:r>
        <w:t>2736- دیوان سید کشمیری أو شعره‏</w:t>
      </w:r>
      <w:bookmarkEnd w:id="4849"/>
    </w:p>
    <w:p>
      <w:pPr>
        <w:pStyle w:val="BookText"/>
      </w:pPr>
      <w:r>
        <w:rPr>
          <w:rFonts w:ascii="IRNazanin" w:hAnsi="IRNazanin" w:eastAsia="IRNazanin" w:cs="IRNazanin"/>
          <w:lang w:bidi="fa-IR"/>
          <w:color w:val="111111"/>
          <w:sz w:val="28"/>
          <w:szCs w:val="28"/>
          <w:rtl/>
        </w:rPr>
        <w:t xml:space="preserve">و اسمه السید میر علی بن میر رضی کان خطاطا بکشمیر و یتخلص سید و أخوه الأکبر میر أحمد خان صهر شاهنواز خان لم ینزل إلی الهند و انما جاء بشعره إلی الهند معاشرة المیر معز کذا ترجمه و أورد شعره فی (سرخوش- ص 48) و أورد بعد ذلک ترجمه السید علی جواهر رقم الخطاط الشاعر الذی لیس له تخلص ثم خلط فی (گلشن- ص 213) و ذکر تخلص سید لعلی جواهر رقم و هو غیر من نسب فی مطلع الشمس- ص 433 إلی مشهد</w:t>
      </w:r>
    </w:p>
    <w:p>
      <w:pPr>
        <w:pStyle w:val="Heading3"/>
      </w:pPr>
      <w:bookmarkStart w:id="4850" w:name="_Toc3546"/>
      <w:r>
        <w:t>دیوان سید گیسو دراز</w:t>
      </w:r>
      <w:bookmarkEnd w:id="4850"/>
    </w:p>
    <w:p>
      <w:pPr>
        <w:pStyle w:val="BookText"/>
      </w:pPr>
      <w:r>
        <w:rPr>
          <w:rFonts w:ascii="IRNazanin" w:hAnsi="IRNazanin" w:eastAsia="IRNazanin" w:cs="IRNazanin"/>
          <w:lang w:bidi="fa-IR"/>
          <w:color w:val="111111"/>
          <w:sz w:val="28"/>
          <w:szCs w:val="28"/>
          <w:rtl/>
        </w:rPr>
        <w:t xml:space="preserve">یأتی بعنوان گیسو دراز</w:t>
      </w:r>
    </w:p>
    <w:p>
      <w:pPr>
        <w:pStyle w:val="Heading3"/>
      </w:pPr>
      <w:bookmarkStart w:id="4851" w:name="_Toc3547"/>
      <w:r>
        <w:t>2737- دیوان سید میرزا جندقی‏</w:t>
      </w:r>
      <w:bookmarkEnd w:id="4851"/>
    </w:p>
    <w:p>
      <w:pPr>
        <w:pStyle w:val="BookText"/>
      </w:pPr>
      <w:r>
        <w:rPr>
          <w:rFonts w:ascii="IRNazanin" w:hAnsi="IRNazanin" w:eastAsia="IRNazanin" w:cs="IRNazanin"/>
          <w:lang w:bidi="fa-IR"/>
          <w:color w:val="111111"/>
          <w:sz w:val="28"/>
          <w:szCs w:val="28"/>
          <w:rtl/>
        </w:rPr>
        <w:t xml:space="preserve">و تخلصه جندقی فاتنا ذکره طبع له منظومة قاب پلو فی (96 ص) صغیرة بطهران (1370) و توفی بکرج طهران فی (1373)</w:t>
      </w:r>
    </w:p>
    <w:p>
      <w:pPr>
        <w:pStyle w:val="Heading3"/>
      </w:pPr>
      <w:bookmarkStart w:id="4852" w:name="_Toc3548"/>
      <w:r>
        <w:t>2738- دیوان سیرتی قزوینی‏</w:t>
      </w:r>
      <w:bookmarkEnd w:id="4852"/>
    </w:p>
    <w:p>
      <w:pPr>
        <w:pStyle w:val="BookText"/>
      </w:pPr>
      <w:r>
        <w:rPr>
          <w:rFonts w:ascii="IRNazanin" w:hAnsi="IRNazanin" w:eastAsia="IRNazanin" w:cs="IRNazanin"/>
          <w:lang w:bidi="fa-IR"/>
          <w:color w:val="111111"/>
          <w:sz w:val="28"/>
          <w:szCs w:val="28"/>
          <w:rtl/>
        </w:rPr>
        <w:t xml:space="preserve">لمحمد حسین غفاری الخطاط سافر إلی الهند و تقرب عند پرویز بن جهانگیر پادشاه و بعد وفاته سافر إلی الحج أورد شعره فی (گلشن- ص 214) توجد نسخه منه عند (محمد النخجوانی) کما کتبه إلینا و سماه فی (تغ- ص 68) سیری قزوینی‏</w:t>
      </w:r>
    </w:p>
    <w:p>
      <w:pPr>
        <w:pStyle w:val="Heading3"/>
      </w:pPr>
      <w:bookmarkStart w:id="4853" w:name="_Toc3549"/>
      <w:r>
        <w:t>2739- دیوان سیری أسترآبادی البسمه‏چی أو شعره‏</w:t>
      </w:r>
      <w:bookmarkEnd w:id="4853"/>
    </w:p>
    <w:p>
      <w:pPr>
        <w:pStyle w:val="BookText"/>
      </w:pPr>
      <w:r>
        <w:rPr>
          <w:rFonts w:ascii="IRNazanin" w:hAnsi="IRNazanin" w:eastAsia="IRNazanin" w:cs="IRNazanin"/>
          <w:lang w:bidi="fa-IR"/>
          <w:color w:val="111111"/>
          <w:sz w:val="28"/>
          <w:szCs w:val="28"/>
          <w:rtl/>
        </w:rPr>
        <w:t xml:space="preserve">ترجمه الصادقی فی (خص 8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78" w:name="pg11704_121960"/>
    <w:bookmarkEnd w:id="478"/>
    <w:p>
      <w:pPr>
        <w:pStyle w:val="BookText"/>
      </w:pPr>
      <w:r>
        <w:rPr>
          <w:rFonts w:ascii="IRNazanin" w:hAnsi="IRNazanin" w:eastAsia="IRNazanin" w:cs="IRNazanin"/>
          <w:lang w:bidi="fa-IR"/>
          <w:color w:val="111111"/>
          <w:sz w:val="28"/>
          <w:szCs w:val="28"/>
          <w:rtl/>
        </w:rPr>
        <w:t xml:space="preserve">ص 292) و ذکر أنه کان لتشیعه محبوبا عند السلطان و عند أهل أسترآباد، و أورد شعره، و فی (تش- ص 152) أنه کان پاشنه ساز</w:t>
      </w:r>
    </w:p>
    <w:p>
      <w:pPr>
        <w:pStyle w:val="Heading3"/>
      </w:pPr>
      <w:bookmarkStart w:id="4854" w:name="_Toc3550"/>
      <w:r>
        <w:t>2740- دیوان ملا سیری جرفادقانی أو شعره‏</w:t>
      </w:r>
      <w:bookmarkEnd w:id="4854"/>
    </w:p>
    <w:p>
      <w:pPr>
        <w:pStyle w:val="BookText"/>
      </w:pPr>
      <w:r>
        <w:rPr>
          <w:rFonts w:ascii="IRNazanin" w:hAnsi="IRNazanin" w:eastAsia="IRNazanin" w:cs="IRNazanin"/>
          <w:lang w:bidi="fa-IR"/>
          <w:color w:val="111111"/>
          <w:sz w:val="28"/>
          <w:szCs w:val="28"/>
          <w:rtl/>
        </w:rPr>
        <w:t xml:space="preserve">ملازم إمام قلی حاکم فارس ترجمه النصرآبادی فی (نر 9- ص 269) و ذکر أنه حج فی آخر عمره و توفی فی طریقه و کذا فی (تش- ص 207) و (خوش‏گو) و فی (تغ- ص 68) سماه المیرزا محسن و کذا فی (روشن 312) نقلا عن نگارستان سخن‏</w:t>
      </w:r>
    </w:p>
    <w:p>
      <w:pPr>
        <w:pStyle w:val="Heading3"/>
      </w:pPr>
      <w:bookmarkStart w:id="4855" w:name="_Toc3551"/>
      <w:r>
        <w:t>2741- دیوان سیری رازی النوربخشی‏</w:t>
      </w:r>
      <w:bookmarkEnd w:id="4855"/>
    </w:p>
    <w:p>
      <w:pPr>
        <w:pStyle w:val="BookText"/>
      </w:pPr>
      <w:r>
        <w:rPr>
          <w:rFonts w:ascii="IRNazanin" w:hAnsi="IRNazanin" w:eastAsia="IRNazanin" w:cs="IRNazanin"/>
          <w:lang w:bidi="fa-IR"/>
          <w:color w:val="111111"/>
          <w:sz w:val="28"/>
          <w:szCs w:val="28"/>
          <w:rtl/>
        </w:rPr>
        <w:t xml:space="preserve">سافر إلی حیدرآباد دکن و استفاد من شاه طاهر دکنی و بدل تخلصه إلی فکری أورد شعره بالعنوان الأول فی (خوش‏گو) و بالعنوان الثانی فی (گلشن- ص 319) و فی (روشن) سیری طهرانی، اسمه ملا محمد، ابن عم ملا فهیمی من شعراء الشاه طهماسب الأول، ثم نقل عن نگارستان سخن أنه خیرآبادی‏</w:t>
      </w:r>
    </w:p>
    <w:p>
      <w:pPr>
        <w:pStyle w:val="Heading3"/>
      </w:pPr>
      <w:bookmarkStart w:id="4856" w:name="_Toc3552"/>
      <w:r>
        <w:t>دیوان سیری طهرانی‏</w:t>
      </w:r>
      <w:bookmarkEnd w:id="4856"/>
    </w:p>
    <w:p>
      <w:pPr>
        <w:pStyle w:val="BookText"/>
      </w:pPr>
      <w:r>
        <w:rPr>
          <w:rFonts w:ascii="IRNazanin" w:hAnsi="IRNazanin" w:eastAsia="IRNazanin" w:cs="IRNazanin"/>
          <w:lang w:bidi="fa-IR"/>
          <w:color w:val="111111"/>
          <w:sz w:val="28"/>
          <w:szCs w:val="28"/>
          <w:rtl/>
        </w:rPr>
        <w:t xml:space="preserve">راجع سیری رازی‏</w:t>
      </w:r>
    </w:p>
    <w:p>
      <w:pPr>
        <w:pStyle w:val="Heading3"/>
      </w:pPr>
      <w:bookmarkStart w:id="4857" w:name="_Toc3553"/>
      <w:r>
        <w:t>2742- دیوان سیری غزنوی أو شعره‏</w:t>
      </w:r>
      <w:bookmarkEnd w:id="4857"/>
    </w:p>
    <w:p>
      <w:pPr>
        <w:pStyle w:val="BookText"/>
      </w:pPr>
      <w:r>
        <w:rPr>
          <w:rFonts w:ascii="IRNazanin" w:hAnsi="IRNazanin" w:eastAsia="IRNazanin" w:cs="IRNazanin"/>
          <w:lang w:bidi="fa-IR"/>
          <w:color w:val="111111"/>
          <w:sz w:val="28"/>
          <w:szCs w:val="28"/>
          <w:rtl/>
        </w:rPr>
        <w:t xml:space="preserve">جاء إلی الهند فی عهد أکبر شاه و کان ماهرا فی العروض و القافیة و المعمی ترجمه فی (خوش‏گو) و أورد شعره و فی (روشن- ص 312) نقلا عن نگارستان سخن أنه مات (977)</w:t>
      </w:r>
    </w:p>
    <w:p>
      <w:pPr>
        <w:pStyle w:val="Heading3"/>
      </w:pPr>
      <w:bookmarkStart w:id="4858" w:name="_Toc3554"/>
      <w:r>
        <w:t>دیوان سیری قزوینی‏</w:t>
      </w:r>
      <w:bookmarkEnd w:id="4858"/>
    </w:p>
    <w:p>
      <w:pPr>
        <w:pStyle w:val="BookText"/>
      </w:pPr>
      <w:r>
        <w:rPr>
          <w:rFonts w:ascii="IRNazanin" w:hAnsi="IRNazanin" w:eastAsia="IRNazanin" w:cs="IRNazanin"/>
          <w:lang w:bidi="fa-IR"/>
          <w:color w:val="111111"/>
          <w:sz w:val="28"/>
          <w:szCs w:val="28"/>
          <w:rtl/>
        </w:rPr>
        <w:t xml:space="preserve">راجع سیرتی قزوینی‏</w:t>
      </w:r>
    </w:p>
    <w:p>
      <w:pPr>
        <w:pStyle w:val="Heading3"/>
      </w:pPr>
      <w:bookmarkStart w:id="4859" w:name="_Toc3555"/>
      <w:r>
        <w:t>2743- دیوان ملا سیری مروزی أو شعره‏</w:t>
      </w:r>
      <w:bookmarkEnd w:id="4859"/>
    </w:p>
    <w:p>
      <w:pPr>
        <w:pStyle w:val="BookText"/>
      </w:pPr>
      <w:r>
        <w:rPr>
          <w:rFonts w:ascii="IRNazanin" w:hAnsi="IRNazanin" w:eastAsia="IRNazanin" w:cs="IRNazanin"/>
          <w:lang w:bidi="fa-IR"/>
          <w:color w:val="111111"/>
          <w:sz w:val="28"/>
          <w:szCs w:val="28"/>
          <w:rtl/>
        </w:rPr>
        <w:t xml:space="preserve">من طلبة العلم له الید الطولی فی نظم البدیهة کذا فی (مجتس 6- ص 165) و أورد شعره‏</w:t>
      </w:r>
    </w:p>
    <w:p>
      <w:pPr>
        <w:pStyle w:val="Heading3"/>
      </w:pPr>
      <w:bookmarkStart w:id="4860" w:name="_Toc3556"/>
      <w:r>
        <w:t>2744- دیوان سیری مشهدی أو شعره‏</w:t>
      </w:r>
      <w:bookmarkEnd w:id="4860"/>
    </w:p>
    <w:p>
      <w:pPr>
        <w:pStyle w:val="BookText"/>
      </w:pPr>
      <w:r>
        <w:rPr>
          <w:rFonts w:ascii="IRNazanin" w:hAnsi="IRNazanin" w:eastAsia="IRNazanin" w:cs="IRNazanin"/>
          <w:lang w:bidi="fa-IR"/>
          <w:color w:val="111111"/>
          <w:sz w:val="28"/>
          <w:szCs w:val="28"/>
          <w:rtl/>
        </w:rPr>
        <w:t xml:space="preserve">قال فی (حسینی- ص 155) إنه کان یسکن مشهد و ذکر مباحثته مع ملا حسین کاشی و کان یلقب تافته و کان ملک الشعراء لإبراهیم خان حاکم شیراز و ذکره فی (تغ- ص 68) و (روشن- ص 313) و (پژمان- ص 225) و مطلع الشمس- ص 434</w:t>
      </w:r>
    </w:p>
    <w:p>
      <w:pPr>
        <w:pStyle w:val="Heading3"/>
      </w:pPr>
      <w:bookmarkStart w:id="4861" w:name="_Toc3557"/>
      <w:r>
        <w:t>2745- دیوان سیف إسفرنگ‏</w:t>
      </w:r>
      <w:bookmarkEnd w:id="4861"/>
    </w:p>
    <w:p>
      <w:pPr>
        <w:pStyle w:val="BookText"/>
      </w:pPr>
      <w:r>
        <w:rPr>
          <w:rFonts w:ascii="IRNazanin" w:hAnsi="IRNazanin" w:eastAsia="IRNazanin" w:cs="IRNazanin"/>
          <w:lang w:bidi="fa-IR"/>
          <w:color w:val="111111"/>
          <w:sz w:val="28"/>
          <w:szCs w:val="28"/>
          <w:rtl/>
        </w:rPr>
        <w:t xml:space="preserve">و اسمه سیف الدین و لقبه أعرج و ینسب إلی إسفرنگ (إسفره) کما فی معجم البلدان، من توابع سغد سمرقند، و قال أمین أحمد الرازی فی هفت إقلیم، بینه و بین مرغنان تسعة فراسخ ولد (581) کما ذکره بنفسه فی شعره‏</w:t>
      </w:r>
    </w:p>
    <w:p>
      <w:pPr>
        <w:pStyle w:val="BookText"/>
      </w:pPr>
      <w:r>
        <w:rPr>
          <w:rFonts w:ascii="IRNazanin" w:hAnsi="IRNazanin" w:eastAsia="IRNazanin" w:cs="IRNazanin"/>
          <w:lang w:bidi="fa-IR"/>
          <w:color w:val="111111"/>
          <w:sz w:val="28"/>
          <w:szCs w:val="28"/>
          <w:rtl/>
        </w:rPr>
        <w:t xml:space="preserve">مرا مادر پس از تاریخ هجرت‏</w:t>
      </w:r>
    </w:p>
    <w:p>
      <w:pPr>
        <w:pStyle w:val="BookText"/>
      </w:pPr>
      <w:r>
        <w:rPr>
          <w:rFonts w:ascii="IRNazanin" w:hAnsi="IRNazanin" w:eastAsia="IRNazanin" w:cs="IRNazanin"/>
          <w:lang w:bidi="fa-IR"/>
          <w:color w:val="111111"/>
          <w:sz w:val="28"/>
          <w:szCs w:val="28"/>
          <w:rtl/>
        </w:rPr>
        <w:t xml:space="preserve">بسال پانصد و هشتاد و یک زاد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79" w:name="pg11704_121961"/>
    <w:bookmarkEnd w:id="479"/>
    <w:p>
      <w:pPr>
        <w:pStyle w:val="BookText"/>
      </w:pPr>
      <w:r>
        <w:rPr>
          <w:rFonts w:ascii="IRNazanin" w:hAnsi="IRNazanin" w:eastAsia="IRNazanin" w:cs="IRNazanin"/>
          <w:lang w:bidi="fa-IR"/>
          <w:color w:val="111111"/>
          <w:sz w:val="28"/>
          <w:szCs w:val="28"/>
          <w:rtl/>
        </w:rPr>
        <w:t xml:space="preserve">و قال فی (تش- ص 317) إنه عمر خمسة و ثمانین سنة، فیکون وفاته (666) لا (652) کما فی شمع انجمن- ص 213 و فی شاهد صادق و لا (672) کما فی (مع- ج 1 ص 252) و لم یعقب کما ذکره بنفسه:</w:t>
      </w:r>
    </w:p>
    <w:p>
      <w:pPr>
        <w:pStyle w:val="BookText"/>
      </w:pPr>
      <w:r>
        <w:rPr>
          <w:rFonts w:ascii="IRNazanin" w:hAnsi="IRNazanin" w:eastAsia="IRNazanin" w:cs="IRNazanin"/>
          <w:lang w:bidi="fa-IR"/>
          <w:color w:val="111111"/>
          <w:sz w:val="28"/>
          <w:szCs w:val="28"/>
          <w:rtl/>
        </w:rPr>
        <w:t xml:space="preserve">نهال عمر من هفتاد و نه سال‏</w:t>
      </w:r>
    </w:p>
    <w:p>
      <w:pPr>
        <w:pStyle w:val="BookText"/>
      </w:pPr>
      <w:r>
        <w:rPr>
          <w:rFonts w:ascii="IRNazanin" w:hAnsi="IRNazanin" w:eastAsia="IRNazanin" w:cs="IRNazanin"/>
          <w:lang w:bidi="fa-IR"/>
          <w:color w:val="111111"/>
          <w:sz w:val="28"/>
          <w:szCs w:val="28"/>
          <w:rtl/>
        </w:rPr>
        <w:t xml:space="preserve">چو طوبی هر زمانی نوبری دارد</w:t>
      </w:r>
    </w:p>
    <w:p>
      <w:pPr>
        <w:pStyle w:val="BookText"/>
      </w:pPr>
      <w:r>
        <w:rPr>
          <w:rFonts w:ascii="IRNazanin" w:hAnsi="IRNazanin" w:eastAsia="IRNazanin" w:cs="IRNazanin"/>
          <w:lang w:bidi="fa-IR"/>
          <w:color w:val="111111"/>
          <w:sz w:val="28"/>
          <w:szCs w:val="28"/>
          <w:rtl/>
        </w:rPr>
        <w:t xml:space="preserve">اگر فرزند جسمانی نبودم‏</w:t>
      </w:r>
    </w:p>
    <w:p>
      <w:pPr>
        <w:pStyle w:val="BookText"/>
      </w:pPr>
      <w:r>
        <w:rPr>
          <w:rFonts w:ascii="IRNazanin" w:hAnsi="IRNazanin" w:eastAsia="IRNazanin" w:cs="IRNazanin"/>
          <w:lang w:bidi="fa-IR"/>
          <w:color w:val="111111"/>
          <w:sz w:val="28"/>
          <w:szCs w:val="28"/>
          <w:rtl/>
        </w:rPr>
        <w:t xml:space="preserve">که گیرد در جهان از نام من یاد</w:t>
      </w:r>
    </w:p>
    <w:p>
      <w:pPr>
        <w:pStyle w:val="BookText"/>
      </w:pPr>
      <w:r>
        <w:rPr>
          <w:rFonts w:ascii="IRNazanin" w:hAnsi="IRNazanin" w:eastAsia="IRNazanin" w:cs="IRNazanin"/>
          <w:lang w:bidi="fa-IR"/>
          <w:color w:val="111111"/>
          <w:sz w:val="28"/>
          <w:szCs w:val="28"/>
          <w:rtl/>
        </w:rPr>
        <w:t xml:space="preserve">مرا فرزند روحانی بسی هست‏</w:t>
      </w:r>
    </w:p>
    <w:p>
      <w:pPr>
        <w:pStyle w:val="BookText"/>
      </w:pPr>
      <w:r>
        <w:rPr>
          <w:rFonts w:ascii="IRNazanin" w:hAnsi="IRNazanin" w:eastAsia="IRNazanin" w:cs="IRNazanin"/>
          <w:lang w:bidi="fa-IR"/>
          <w:color w:val="111111"/>
          <w:sz w:val="28"/>
          <w:szCs w:val="28"/>
          <w:rtl/>
        </w:rPr>
        <w:t xml:space="preserve">که جان غم زده زیشان شود شاد</w:t>
      </w:r>
    </w:p>
    <w:p>
      <w:pPr>
        <w:pStyle w:val="BookText"/>
      </w:pPr>
      <w:r>
        <w:rPr>
          <w:rFonts w:ascii="IRNazanin" w:hAnsi="IRNazanin" w:eastAsia="IRNazanin" w:cs="IRNazanin"/>
          <w:lang w:bidi="fa-IR"/>
          <w:color w:val="111111"/>
          <w:sz w:val="28"/>
          <w:szCs w:val="28"/>
          <w:rtl/>
        </w:rPr>
        <w:t xml:space="preserve">و دیوانه یشتمل علی اثنی عشر ألف بیت کما ذکره دولت شاه فی الطبقة الثانیة، و فی (سپهسالار) نسختان ناقصتان کتبا فی القرن العاشر تحتویان علی أحد عشر ألف بیت کما فی فهرسها (ج 2 ص 612- 614) فما ذکره هدایت من أن له عشرة آلاف لیس بصحیح، و نسخه عند (الملک) برقم (4712) کتبت (1030) و نسخه فی (الرضویة) و نسخه فی (المجلس) کتبت (1026) کما فی فهرسها (3: 314) و قد مدح فیها الملوک الخوارزمشاهیة و الأئمة الاثنی عشر، و شعره قصائد علی طراز ظهیر الفاریابی، و لیس فیها تخلص و انما یعرف باسمه و ترجمه أیضا فی تاریخ گزیده (ص 494) و مرآة الخیال- ص 43 و هفت إقلیم و حبیب السیر الجزء الرابع من المجلد الثانی (ص 177) و تاریخ مغول- ص 534 لعباس إقبال، و کذا فی الریحانة و (تغ- ص 68)</w:t>
      </w:r>
    </w:p>
    <w:p>
      <w:pPr>
        <w:pStyle w:val="Heading3"/>
      </w:pPr>
      <w:bookmarkStart w:id="4862" w:name="_Toc3558"/>
      <w:r>
        <w:t>2746- دیوان سیف أصفهانی أو شعره‏</w:t>
      </w:r>
      <w:bookmarkEnd w:id="4862"/>
    </w:p>
    <w:p>
      <w:pPr>
        <w:pStyle w:val="BookText"/>
      </w:pPr>
      <w:r>
        <w:rPr>
          <w:rFonts w:ascii="IRNazanin" w:hAnsi="IRNazanin" w:eastAsia="IRNazanin" w:cs="IRNazanin"/>
          <w:lang w:bidi="fa-IR"/>
          <w:color w:val="111111"/>
          <w:sz w:val="28"/>
          <w:szCs w:val="28"/>
          <w:rtl/>
        </w:rPr>
        <w:t xml:space="preserve">و اسمه سیف الدین محمود من أحفاد کمال إسماعیل. أورد شعره فی (گلشن- ص 384).</w:t>
      </w:r>
    </w:p>
    <w:p>
      <w:pPr>
        <w:pStyle w:val="Heading3"/>
      </w:pPr>
      <w:bookmarkStart w:id="4863" w:name="_Toc3559"/>
      <w:r>
        <w:t>دیوان سیف أعرج‏</w:t>
      </w:r>
      <w:bookmarkEnd w:id="4863"/>
    </w:p>
    <w:p>
      <w:pPr>
        <w:pStyle w:val="BookText"/>
      </w:pPr>
      <w:r>
        <w:rPr>
          <w:rFonts w:ascii="IRNazanin" w:hAnsi="IRNazanin" w:eastAsia="IRNazanin" w:cs="IRNazanin"/>
          <w:lang w:bidi="fa-IR"/>
          <w:color w:val="111111"/>
          <w:sz w:val="28"/>
          <w:szCs w:val="28"/>
          <w:rtl/>
        </w:rPr>
        <w:t xml:space="preserve">مر بعنوان سیف إسفرنگ.</w:t>
      </w:r>
    </w:p>
    <w:p>
      <w:pPr>
        <w:pStyle w:val="Heading3"/>
      </w:pPr>
      <w:bookmarkStart w:id="4864" w:name="_Toc3560"/>
      <w:r>
        <w:t>2747- دیوان سیف باخرزی‏</w:t>
      </w:r>
      <w:bookmarkEnd w:id="4864"/>
    </w:p>
    <w:p>
      <w:pPr>
        <w:pStyle w:val="BookText"/>
      </w:pPr>
      <w:r>
        <w:rPr>
          <w:rFonts w:ascii="IRNazanin" w:hAnsi="IRNazanin" w:eastAsia="IRNazanin" w:cs="IRNazanin"/>
          <w:lang w:bidi="fa-IR"/>
          <w:color w:val="111111"/>
          <w:sz w:val="28"/>
          <w:szCs w:val="28"/>
          <w:rtl/>
        </w:rPr>
        <w:t xml:space="preserve">و هو سیف الدین سعید بن مظفر الخبوشانی. کان معاصرا للعطار النیشابوری و رضی لالا و سعد الدین الحموی و خلیفة نجم الدین الکبری ترجمه و أورد شعره فی خزینة الأصفیاء ج 2 ص 274 و (بهش 1- ص 320) مجالس العشاق- ص 113 و (حسینی- ص 140) قال فی نفحات الأنس (ص 385) إنه مات (658) و فی شاهد صادق أنه مات (653) و ترجمه أیضا فی (تش- ص 77) و طرائق الحقائق (ج 2 ص 153). و (مع- ج 1 ص 244) و (ض- ص 136) و (گلشن- ص 214- 215) و طبع بعض رباعیاته ضمن مجموعة رباعیات أبی سعید أبی الخیر بطهران‏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80" w:name="pg11704_121962"/>
    <w:bookmarkEnd w:id="480"/>
    <w:p>
      <w:pPr>
        <w:pStyle w:val="BookText"/>
      </w:pPr>
      <w:r>
        <w:rPr>
          <w:rFonts w:ascii="IRNazanin" w:hAnsi="IRNazanin" w:eastAsia="IRNazanin" w:cs="IRNazanin"/>
          <w:lang w:bidi="fa-IR"/>
          <w:color w:val="111111"/>
          <w:sz w:val="28"/>
          <w:szCs w:val="28"/>
          <w:rtl/>
        </w:rPr>
        <w:t xml:space="preserve">(1334) کما ذکر فی مقدمته و حواشیه.</w:t>
      </w:r>
    </w:p>
    <w:p>
      <w:pPr>
        <w:pStyle w:val="Heading3"/>
      </w:pPr>
      <w:bookmarkStart w:id="4865" w:name="_Toc3561"/>
      <w:r>
        <w:t>2748- دیوان سیف تبریزی أو شعره‏</w:t>
      </w:r>
      <w:bookmarkEnd w:id="4865"/>
    </w:p>
    <w:p>
      <w:pPr>
        <w:pStyle w:val="BookText"/>
      </w:pPr>
      <w:r>
        <w:rPr>
          <w:rFonts w:ascii="IRNazanin" w:hAnsi="IRNazanin" w:eastAsia="IRNazanin" w:cs="IRNazanin"/>
          <w:lang w:bidi="fa-IR"/>
          <w:color w:val="111111"/>
          <w:sz w:val="28"/>
          <w:szCs w:val="28"/>
          <w:rtl/>
        </w:rPr>
        <w:t xml:space="preserve">و اسمه سیف الدین. ترجمه فی (دجا- ص 186) و قال إنه من الشعراء المتقدمین و أورد شعره نقلا عن عرفات العاشقین.</w:t>
      </w:r>
    </w:p>
    <w:p>
      <w:pPr>
        <w:pStyle w:val="Heading3"/>
      </w:pPr>
      <w:bookmarkStart w:id="4866" w:name="_Toc3562"/>
      <w:r>
        <w:t>دیوان سیف الدین‏</w:t>
      </w:r>
      <w:bookmarkEnd w:id="4866"/>
    </w:p>
    <w:p>
      <w:pPr>
        <w:pStyle w:val="BookText"/>
      </w:pPr>
      <w:r>
        <w:rPr>
          <w:rFonts w:ascii="IRNazanin" w:hAnsi="IRNazanin" w:eastAsia="IRNazanin" w:cs="IRNazanin"/>
          <w:lang w:bidi="fa-IR"/>
          <w:color w:val="111111"/>
          <w:sz w:val="28"/>
          <w:szCs w:val="28"/>
          <w:rtl/>
        </w:rPr>
        <w:t xml:space="preserve">متعدد ذکرناها بحذف المضاف إلیه لاشتهارها کذلک.</w:t>
      </w:r>
    </w:p>
    <w:p>
      <w:pPr>
        <w:pStyle w:val="Heading3"/>
      </w:pPr>
      <w:bookmarkStart w:id="4867" w:name="_Toc3563"/>
      <w:r>
        <w:t>2749- دیوان سیف الدین دبیر أو شعره‏</w:t>
      </w:r>
      <w:bookmarkEnd w:id="4867"/>
    </w:p>
    <w:p>
      <w:pPr>
        <w:pStyle w:val="BookText"/>
      </w:pPr>
      <w:r>
        <w:rPr>
          <w:rFonts w:ascii="IRNazanin" w:hAnsi="IRNazanin" w:eastAsia="IRNazanin" w:cs="IRNazanin"/>
          <w:lang w:bidi="fa-IR"/>
          <w:color w:val="111111"/>
          <w:sz w:val="28"/>
          <w:szCs w:val="28"/>
          <w:rtl/>
        </w:rPr>
        <w:t xml:space="preserve">ترجمه فی (مع- ج 1- ص 254) و أورد قصیدته المیمیة نقلا عن عرفات العاشقین و أظنه غیر ما قبله.</w:t>
      </w:r>
    </w:p>
    <w:p>
      <w:pPr>
        <w:pStyle w:val="Heading3"/>
      </w:pPr>
      <w:bookmarkStart w:id="4868" w:name="_Toc3564"/>
      <w:r>
        <w:t>2750- دیوان سیف هندی أو شعره‏</w:t>
      </w:r>
      <w:bookmarkEnd w:id="4868"/>
    </w:p>
    <w:p>
      <w:pPr>
        <w:pStyle w:val="BookText"/>
      </w:pPr>
      <w:r>
        <w:rPr>
          <w:rFonts w:ascii="IRNazanin" w:hAnsi="IRNazanin" w:eastAsia="IRNazanin" w:cs="IRNazanin"/>
          <w:lang w:bidi="fa-IR"/>
          <w:color w:val="111111"/>
          <w:sz w:val="28"/>
          <w:szCs w:val="28"/>
          <w:rtl/>
        </w:rPr>
        <w:t xml:space="preserve">و اسمه سیف خان بن تربیت خان. کان ماهرا فی الموسیقی و ألف رسالة فیها و فی الرقص الهندی. و توفی (25 رمضان- (1095). أورد شعره فی (گلشن- ص 215).</w:t>
      </w:r>
    </w:p>
    <w:p>
      <w:pPr>
        <w:pStyle w:val="Heading3"/>
      </w:pPr>
      <w:bookmarkStart w:id="4869" w:name="_Toc3565"/>
      <w:r>
        <w:t>2751- دیوان سیفی آشوری‏</w:t>
      </w:r>
      <w:bookmarkEnd w:id="4869"/>
    </w:p>
    <w:p>
      <w:pPr>
        <w:pStyle w:val="BookText"/>
      </w:pPr>
      <w:r>
        <w:rPr>
          <w:rFonts w:ascii="IRNazanin" w:hAnsi="IRNazanin" w:eastAsia="IRNazanin" w:cs="IRNazanin"/>
          <w:lang w:bidi="fa-IR"/>
          <w:color w:val="111111"/>
          <w:sz w:val="28"/>
          <w:szCs w:val="28"/>
          <w:rtl/>
        </w:rPr>
        <w:t xml:space="preserve">و اسمه سیف الله بن المیرزا باقر الأصفهانی المتخلص خاص ابن مرتضی. ولد بأصفهان فی (1302 ش) و نشا بها و لم یحصل العلم فی المدارس لعدم استعداد والده اقتصادیا، و لما کان ذهنه وقادا تلقف العلم خارج وقت اشتغاله فی المعمل، و جعل ینظم الشعر، و اشترک فی انجمن أدبی پروانه و طبع دیوانه بأصفهان أخیرا. کذا ترجمه و أورد شعره فی شعرای معاصر أصفهان (ص 257).</w:t>
      </w:r>
    </w:p>
    <w:p>
      <w:pPr>
        <w:pStyle w:val="Heading3"/>
      </w:pPr>
      <w:bookmarkStart w:id="4870" w:name="_Toc3566"/>
      <w:r>
        <w:t>2752- دیوان سیفی بخاری‏</w:t>
      </w:r>
      <w:bookmarkEnd w:id="4870"/>
    </w:p>
    <w:p>
      <w:pPr>
        <w:pStyle w:val="BookText"/>
      </w:pPr>
      <w:r>
        <w:rPr>
          <w:rFonts w:ascii="IRNazanin" w:hAnsi="IRNazanin" w:eastAsia="IRNazanin" w:cs="IRNazanin"/>
          <w:lang w:bidi="fa-IR"/>
          <w:color w:val="111111"/>
          <w:sz w:val="28"/>
          <w:szCs w:val="28"/>
          <w:rtl/>
        </w:rPr>
        <w:t xml:space="preserve">عده المیر علی شیر فی (مجن 3 ص 57 و 230) من معاصریه. قال: جاء من بخارا إلی هرات لتحصیل العلم و نظم الشعر و الأمثال، و المعمی، و له شعر یخص أهل الحرف و الصنائع و الشبان و العامة. و له رسالة فی المعمی. و قال فی حبیب السیر (الجزء الثالث من المجلد الثالث ص 341) إنه کان فی خدمة المیر علی شیر بهرات ثم رجع إلی وطنه بخارا و مات بها. و له دیوان خاص لأهل الصنائع و الحرف. و ذکر فی (نر 15 ص 513) معمیاته. و ذکره دولت شاه مع سیفی آخر من أمراء تیمور، فی ضمن ذکره لأحوال سیفی نیشابوری فی الطبقة الثانیة مستطردا. و وعد أن یذکره فی الخاتمة و نسی. و عنه أخذ فی (حسینی- ص 152) و ترجمه فی بابرنامه کما نقل عنه براون فی (ج 3- ص 520) و قال فی (تش- ص 321) إنه مات بهراة فی (99) فلعله أراد (909). و قال فی (گلشن- ص 216) مات سیفی عروضی (898) قال فی کشف الظنون إن رسالته فی المعمی مشتمل علی مقدمه و أربعین قاعدة و خاتمة و أدرج فی الخاتمة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81" w:name="pg11704_121963"/>
    <w:bookmarkEnd w:id="481"/>
    <w:p>
      <w:pPr>
        <w:pStyle w:val="BookText"/>
      </w:pPr>
      <w:r>
        <w:rPr>
          <w:rFonts w:ascii="IRNazanin" w:hAnsi="IRNazanin" w:eastAsia="IRNazanin" w:cs="IRNazanin"/>
          <w:lang w:bidi="fa-IR"/>
          <w:color w:val="111111"/>
          <w:sz w:val="28"/>
          <w:szCs w:val="28"/>
          <w:rtl/>
        </w:rPr>
        <w:t xml:space="preserve">معمیات شرف الدین الیزدی بإشارة الألف و الجامی بإشارة العین و حاجی أبو الحسن الأندجانی بإشارة اللام. أقول و یوجد دیوانه فی مکتبة دانشگاه تهران کما فی فهرسها (ج 2 ص 244) یشتمل علی تسعة و أربعین غزلا و قطعتین کلها فی (260 بیتا). و له رسالة فی العروض فارسی. رأیت نسختها بأصفهان فی مجموعة کلها بخط محمد أمین وقاری کتبها (1095) فی (46 ورقة) عند أبی الحسن الکتابی، و لذلک قد یعرف بسیفی عروضی کما فی (گلشن- ص 216) و (تغ- ص 69) و (خوش‏گو).</w:t>
      </w:r>
    </w:p>
    <w:p>
      <w:pPr>
        <w:pStyle w:val="Heading3"/>
      </w:pPr>
      <w:bookmarkStart w:id="4871" w:name="_Toc3567"/>
      <w:r>
        <w:t>2753- دیوان سیفی ترمذی‏</w:t>
      </w:r>
      <w:bookmarkEnd w:id="4871"/>
    </w:p>
    <w:p>
      <w:pPr>
        <w:pStyle w:val="BookText"/>
      </w:pPr>
      <w:r>
        <w:rPr>
          <w:rFonts w:ascii="IRNazanin" w:hAnsi="IRNazanin" w:eastAsia="IRNazanin" w:cs="IRNazanin"/>
          <w:lang w:bidi="fa-IR"/>
          <w:color w:val="111111"/>
          <w:sz w:val="28"/>
          <w:szCs w:val="28"/>
          <w:rtl/>
        </w:rPr>
        <w:t xml:space="preserve">رأی سنگلاخ نسخه من قصائده بخط سلطان محمد نورا، فذکره فی امتحان الفضلاء- ج 1 ص 115 و لعله الخراسانی المذکور فی (بهش 2- ص 403) أو أنه هو سیفی هروی مؤلف تاریخ هرات فی (720).</w:t>
      </w:r>
    </w:p>
    <w:p>
      <w:pPr>
        <w:pStyle w:val="Heading3"/>
      </w:pPr>
      <w:bookmarkStart w:id="4872" w:name="_Toc3568"/>
      <w:r>
        <w:t>2754- دیوان سیفی خراسانی‏</w:t>
      </w:r>
      <w:bookmarkEnd w:id="4872"/>
    </w:p>
    <w:p>
      <w:pPr>
        <w:pStyle w:val="BookText"/>
      </w:pPr>
      <w:r>
        <w:rPr>
          <w:rFonts w:ascii="IRNazanin" w:hAnsi="IRNazanin" w:eastAsia="IRNazanin" w:cs="IRNazanin"/>
          <w:lang w:bidi="fa-IR"/>
          <w:color w:val="111111"/>
          <w:sz w:val="28"/>
          <w:szCs w:val="28"/>
          <w:rtl/>
        </w:rPr>
        <w:t xml:space="preserve">من الأمراء الظرفاء. أورد غزله فی (بهش 2- ص 403). و قال دولت شاه فی أحوال سیفی نیشابوری فی الطبقة الثانیة إن هناک سیفی آخر اسمه الحاج سیف الدین و هو من أمراء تیمور، قد نظم الشعر الفارسی و الترکی جیدا و عنه أخذ فی (حسینی- ص 152). و لعله متحد مع ما قبله.</w:t>
      </w:r>
    </w:p>
    <w:p>
      <w:pPr>
        <w:pStyle w:val="Heading3"/>
      </w:pPr>
      <w:bookmarkStart w:id="4873" w:name="_Toc3569"/>
      <w:r>
        <w:t>2755- دیوان سیفی ساوجی أو شعره‏</w:t>
      </w:r>
      <w:bookmarkEnd w:id="4873"/>
    </w:p>
    <w:p>
      <w:pPr>
        <w:pStyle w:val="BookText"/>
      </w:pPr>
      <w:r>
        <w:rPr>
          <w:rFonts w:ascii="IRNazanin" w:hAnsi="IRNazanin" w:eastAsia="IRNazanin" w:cs="IRNazanin"/>
          <w:lang w:bidi="fa-IR"/>
          <w:color w:val="111111"/>
          <w:sz w:val="28"/>
          <w:szCs w:val="28"/>
          <w:rtl/>
        </w:rPr>
        <w:t xml:space="preserve">و صناعته عمل السیوف. ترجمه و أورد شعره فی (تس 5- ص 168).</w:t>
      </w:r>
    </w:p>
    <w:p>
      <w:pPr>
        <w:pStyle w:val="Heading3"/>
      </w:pPr>
      <w:bookmarkStart w:id="4874" w:name="_Toc3570"/>
      <w:r>
        <w:t>دیوان سیفی عروض‏</w:t>
      </w:r>
      <w:bookmarkEnd w:id="4874"/>
    </w:p>
    <w:p>
      <w:pPr>
        <w:pStyle w:val="BookText"/>
      </w:pPr>
      <w:r>
        <w:rPr>
          <w:rFonts w:ascii="IRNazanin" w:hAnsi="IRNazanin" w:eastAsia="IRNazanin" w:cs="IRNazanin"/>
          <w:lang w:bidi="fa-IR"/>
          <w:color w:val="111111"/>
          <w:sz w:val="28"/>
          <w:szCs w:val="28"/>
          <w:rtl/>
        </w:rPr>
        <w:t xml:space="preserve">کما فی (گلشن- ص 216). و (خوش‏گو) و هو سیفی البخاری المذکور.</w:t>
      </w:r>
    </w:p>
    <w:p>
      <w:pPr>
        <w:pStyle w:val="Heading3"/>
      </w:pPr>
      <w:bookmarkStart w:id="4875" w:name="_Toc3571"/>
      <w:r>
        <w:t>2756- دیوان السیفی القزوینی‏</w:t>
      </w:r>
      <w:bookmarkEnd w:id="4875"/>
    </w:p>
    <w:p>
      <w:pPr>
        <w:pStyle w:val="BookText"/>
      </w:pPr>
      <w:r>
        <w:rPr>
          <w:rFonts w:ascii="IRNazanin" w:hAnsi="IRNazanin" w:eastAsia="IRNazanin" w:cs="IRNazanin"/>
          <w:lang w:bidi="fa-IR"/>
          <w:color w:val="111111"/>
          <w:sz w:val="28"/>
          <w:szCs w:val="28"/>
          <w:rtl/>
        </w:rPr>
        <w:t xml:space="preserve">السید قوام الدین محمد السیفی الحسینی القزوینی قال الحزین فی تذکرته (ص 27) إن بیت السیفی من بیوت السادة الأجلاء بقزوین و منهم السید قوام الدین هذا. له الشعر بالفارسیة و العربیة و نظم اللمعة الدمشقیة، و له مهارة خاصة فی نظم التواریخ. و عنه أخذ فی نجوم السماء- ص 194 أقول مر أرجوزاته فی (ج 1 و ج 7- ص 225) و قد توفی (1150).</w:t>
      </w:r>
    </w:p>
    <w:p>
      <w:pPr>
        <w:pStyle w:val="Heading3"/>
      </w:pPr>
      <w:bookmarkStart w:id="4876" w:name="_Toc3572"/>
      <w:r>
        <w:t>2757- دیوان سیفی نیشابوری‏</w:t>
      </w:r>
      <w:bookmarkEnd w:id="4876"/>
    </w:p>
    <w:p>
      <w:pPr>
        <w:pStyle w:val="BookText"/>
      </w:pPr>
      <w:r>
        <w:rPr>
          <w:rFonts w:ascii="IRNazanin" w:hAnsi="IRNazanin" w:eastAsia="IRNazanin" w:cs="IRNazanin"/>
          <w:lang w:bidi="fa-IR"/>
          <w:color w:val="111111"/>
          <w:sz w:val="28"/>
          <w:szCs w:val="28"/>
          <w:rtl/>
        </w:rPr>
        <w:t xml:space="preserve">اسمه علی بن أحمد و هو مداح سلطان تکش الخوارزمشاه. ترجمه دولت شاه فی الطبقة الثانیة، و عنه أخذ فی (تش- ص 138) و (مع- ج 1 ص 252) و أورد منتخبا من أشعاره منها قصیدة سیم و سنک الملتزم فی کل مصرع‏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82" w:name="pg11704_121964"/>
    <w:bookmarkEnd w:id="482"/>
    <w:p>
      <w:pPr>
        <w:pStyle w:val="BookText"/>
      </w:pPr>
      <w:r>
        <w:rPr>
          <w:rFonts w:ascii="IRNazanin" w:hAnsi="IRNazanin" w:eastAsia="IRNazanin" w:cs="IRNazanin"/>
          <w:lang w:bidi="fa-IR"/>
          <w:color w:val="111111"/>
          <w:sz w:val="28"/>
          <w:szCs w:val="28"/>
          <w:rtl/>
        </w:rPr>
        <w:t xml:space="preserve">بذکر هذین اللفظین و (روشن- ص 315) و (گلشن- ص 215).</w:t>
      </w:r>
    </w:p>
    <w:p>
      <w:pPr>
        <w:pStyle w:val="Heading3"/>
      </w:pPr>
      <w:bookmarkStart w:id="4877" w:name="_Toc3573"/>
      <w:r>
        <w:t>2758- دیوان سیفی هروی‏</w:t>
      </w:r>
      <w:bookmarkEnd w:id="4877"/>
    </w:p>
    <w:p>
      <w:pPr>
        <w:pStyle w:val="BookText"/>
      </w:pPr>
      <w:r>
        <w:rPr>
          <w:rFonts w:ascii="IRNazanin" w:hAnsi="IRNazanin" w:eastAsia="IRNazanin" w:cs="IRNazanin"/>
          <w:lang w:bidi="fa-IR"/>
          <w:color w:val="111111"/>
          <w:sz w:val="28"/>
          <w:szCs w:val="28"/>
          <w:rtl/>
        </w:rPr>
        <w:t xml:space="preserve">هو سیف بن محمد بن یعقوب الهروی. ولد بهرات (681) و کان یمدح الملک فخر الدین، و قال مدحته بثمانین قصیدة و مائة و خمسین قطعة من الشعر. و مدح أیضا الملک غیاث الدین کرت و فی (720) باسمه ألف تاریخ‏نامه هرات أو تاریخ سیفی الذی طبعه و صححه محمد زبیر الصدیقی معلم الألسنة الشرقیة فی کلیة کلکتة فی (1362). و ترجمه المستر براون فی (ج 3- ص 196- 197).</w:t>
      </w:r>
    </w:p>
    <w:p>
      <w:pPr>
        <w:pStyle w:val="Heading3"/>
      </w:pPr>
      <w:bookmarkStart w:id="4878" w:name="_Toc3574"/>
      <w:r>
        <w:t>2759- دیوان سیلی بلخی أو شعره‏</w:t>
      </w:r>
      <w:bookmarkEnd w:id="4878"/>
    </w:p>
    <w:p>
      <w:pPr>
        <w:pStyle w:val="BookText"/>
      </w:pPr>
      <w:r>
        <w:rPr>
          <w:rFonts w:ascii="IRNazanin" w:hAnsi="IRNazanin" w:eastAsia="IRNazanin" w:cs="IRNazanin"/>
          <w:lang w:bidi="fa-IR"/>
          <w:color w:val="111111"/>
          <w:sz w:val="28"/>
          <w:szCs w:val="28"/>
          <w:rtl/>
        </w:rPr>
        <w:t xml:space="preserve">ترجمه النصرآبادی فی (نر 10- ص 439) و قال کان فی خدمة سبحان قلی سلطان. و عنوانه هناک سیلی مستقیم بلخی و لعل مستقیم أیضا لقبه أو تخلصه. و ترجمه فی (حسینی- ص 154) و لکن لم یذکره هذه الکلمة، و کذا فی (گلشن- ص 216) فلعله زائد.</w:t>
      </w:r>
    </w:p>
    <w:p>
      <w:pPr>
        <w:pStyle w:val="Heading3"/>
      </w:pPr>
      <w:bookmarkStart w:id="4879" w:name="_Toc3575"/>
      <w:r>
        <w:t>2760- دیوان سیما طالخانی‏</w:t>
      </w:r>
      <w:bookmarkEnd w:id="4879"/>
    </w:p>
    <w:p>
      <w:pPr>
        <w:pStyle w:val="BookText"/>
      </w:pPr>
      <w:r>
        <w:rPr>
          <w:rFonts w:ascii="IRNazanin" w:hAnsi="IRNazanin" w:eastAsia="IRNazanin" w:cs="IRNazanin"/>
          <w:lang w:bidi="fa-IR"/>
          <w:color w:val="111111"/>
          <w:sz w:val="28"/>
          <w:szCs w:val="28"/>
          <w:rtl/>
        </w:rPr>
        <w:t xml:space="preserve">میرزا عبد الکریم ولد بطالخان من سمیرم السفلی و سافر إلی أصفهان و تعلم الأدب و النجوم، و سافر إلی گیلان و رجع و له خمسة دواوین إلهی‏نامه و ریاض المحبین و شقائق الحقائق و مشرق الأنوار و مجموعة القصائد. کان مریدا لقربان علی شاه ثم مجذوب علی شاه، و سافر إلی کاشان و بقی عند ملا أحمد النراقی. و ترجمه فی المدائح المعتمدیة.</w:t>
      </w:r>
    </w:p>
    <w:p>
      <w:pPr>
        <w:pStyle w:val="Heading3"/>
      </w:pPr>
      <w:bookmarkStart w:id="4880" w:name="_Toc3576"/>
      <w:r>
        <w:t>2761- دیوان سیمائی مشهدی‏</w:t>
      </w:r>
      <w:bookmarkEnd w:id="4880"/>
    </w:p>
    <w:p>
      <w:pPr>
        <w:pStyle w:val="BookText"/>
      </w:pPr>
      <w:r>
        <w:rPr>
          <w:rFonts w:ascii="IRNazanin" w:hAnsi="IRNazanin" w:eastAsia="IRNazanin" w:cs="IRNazanin"/>
          <w:lang w:bidi="fa-IR"/>
          <w:color w:val="111111"/>
          <w:sz w:val="28"/>
          <w:szCs w:val="28"/>
          <w:rtl/>
        </w:rPr>
        <w:t xml:space="preserve">کان مقلدا، و کان قد قرر علی نفسه أن ینظم مائة بیت فی کل ساعة. ترجمه سام میرزا فی (تس 5- ص 138) و أورد شعره. و فی (روشن- 315) سماه سیما مشهدی. و کذا فی مطلع الشمس- ص 434.</w:t>
      </w:r>
    </w:p>
    <w:p>
      <w:pPr>
        <w:pStyle w:val="Heading3"/>
      </w:pPr>
      <w:bookmarkStart w:id="4881" w:name="_Toc3577"/>
      <w:r>
        <w:t>دیوان سیمی بغدادی‏</w:t>
      </w:r>
      <w:bookmarkEnd w:id="4881"/>
    </w:p>
    <w:p>
      <w:pPr>
        <w:pStyle w:val="BookText"/>
      </w:pPr>
      <w:r>
        <w:rPr>
          <w:rFonts w:ascii="IRNazanin" w:hAnsi="IRNazanin" w:eastAsia="IRNazanin" w:cs="IRNazanin"/>
          <w:lang w:bidi="fa-IR"/>
          <w:color w:val="111111"/>
          <w:sz w:val="28"/>
          <w:szCs w:val="28"/>
          <w:rtl/>
        </w:rPr>
        <w:t xml:space="preserve">قال فی (شاهد صادق: مات (830) و أظنه متحدا مع ما بعده.</w:t>
      </w:r>
    </w:p>
    <w:p>
      <w:pPr>
        <w:pStyle w:val="Heading3"/>
      </w:pPr>
      <w:bookmarkStart w:id="4882" w:name="_Toc3578"/>
      <w:r>
        <w:t>2762- دیوان سیمی نیشابوری‏</w:t>
      </w:r>
      <w:bookmarkEnd w:id="4882"/>
    </w:p>
    <w:p>
      <w:pPr>
        <w:pStyle w:val="BookText"/>
      </w:pPr>
      <w:r>
        <w:rPr>
          <w:rFonts w:ascii="IRNazanin" w:hAnsi="IRNazanin" w:eastAsia="IRNazanin" w:cs="IRNazanin"/>
          <w:lang w:bidi="fa-IR"/>
          <w:color w:val="111111"/>
          <w:sz w:val="28"/>
          <w:szCs w:val="28"/>
          <w:rtl/>
        </w:rPr>
        <w:t xml:space="preserve">کان بنیشابور فسکن مشهد خراسان و اشتغل بتعلیم الصبیان، کان یکتب بستة أقلام (ستة أنواع من الکتابة) و کان ماهرا فی المعمی و الشعر و التصویر و تلوین الأوراق و التحبیر و التذهیب و الترسل و الإنشاء، و تلمذ علیه کثیر، منهم عبد الحی الخطاط. یقال إنه کان ینظم و یکتب فی الیوم ثلاثة آلاف بیت و هذا غریب. هکذا ترجمه دولت شاه فی الطبقة السادسة و قال: کان معاصرا لعلاء الدولة ابن بایسنقر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83" w:name="pg11704_121965"/>
    <w:bookmarkEnd w:id="483"/>
    <w:p>
      <w:pPr>
        <w:pStyle w:val="BookText"/>
      </w:pPr>
      <w:r>
        <w:rPr>
          <w:rFonts w:ascii="IRNazanin" w:hAnsi="IRNazanin" w:eastAsia="IRNazanin" w:cs="IRNazanin"/>
          <w:lang w:bidi="fa-IR"/>
          <w:color w:val="111111"/>
          <w:sz w:val="28"/>
          <w:szCs w:val="28"/>
          <w:rtl/>
        </w:rPr>
        <w:t xml:space="preserve">و ذکر فی الجزء الثالث من المجلد الثالث من حبیب السیر (ص 174) قصة من ابتلائه بمرض الجوع. و قال فی (مجن 1 ص 16 و 191) إنه کان یدعی أنه ینظم و یکتب ألفی بیت فی کل یوم، و کان قد حک علی خاتمه هذا البیت:</w:t>
      </w:r>
    </w:p>
    <w:p>
      <w:pPr>
        <w:pStyle w:val="BookText"/>
      </w:pPr>
      <w:r>
        <w:rPr>
          <w:rFonts w:ascii="IRNazanin" w:hAnsi="IRNazanin" w:eastAsia="IRNazanin" w:cs="IRNazanin"/>
          <w:lang w:bidi="fa-IR"/>
          <w:color w:val="111111"/>
          <w:sz w:val="28"/>
          <w:szCs w:val="28"/>
          <w:rtl/>
        </w:rPr>
        <w:t xml:space="preserve">یک روز بمدح شاه پاکیزه سرشت‏</w:t>
      </w:r>
    </w:p>
    <w:p>
      <w:pPr>
        <w:pStyle w:val="BookText"/>
      </w:pPr>
      <w:r>
        <w:rPr>
          <w:rFonts w:ascii="IRNazanin" w:hAnsi="IRNazanin" w:eastAsia="IRNazanin" w:cs="IRNazanin"/>
          <w:lang w:bidi="fa-IR"/>
          <w:color w:val="111111"/>
          <w:sz w:val="28"/>
          <w:szCs w:val="28"/>
          <w:rtl/>
        </w:rPr>
        <w:t xml:space="preserve">سیمی دو هزار بیت گفت و بنوشت‏</w:t>
      </w:r>
    </w:p>
    <w:p>
      <w:pPr>
        <w:pStyle w:val="BookText"/>
      </w:pPr>
      <w:r>
        <w:rPr>
          <w:rFonts w:ascii="IRNazanin" w:hAnsi="IRNazanin" w:eastAsia="IRNazanin" w:cs="IRNazanin"/>
          <w:lang w:bidi="fa-IR"/>
          <w:color w:val="111111"/>
          <w:sz w:val="28"/>
          <w:szCs w:val="28"/>
          <w:rtl/>
        </w:rPr>
        <w:t xml:space="preserve">و ترجمه فی أعیان الشیعة (ج 40) و مطلع الشمس (ص 434) و (تغ- ص 69) و (روشن.</w:t>
      </w:r>
    </w:p>
    <w:p>
      <w:pPr>
        <w:pStyle w:val="BookText"/>
      </w:pPr>
      <w:r>
        <w:rPr>
          <w:rFonts w:ascii="IRNazanin" w:hAnsi="IRNazanin" w:eastAsia="IRNazanin" w:cs="IRNazanin"/>
          <w:lang w:bidi="fa-IR"/>
          <w:color w:val="111111"/>
          <w:sz w:val="28"/>
          <w:szCs w:val="28"/>
          <w:rtl/>
        </w:rPr>
        <w:t xml:space="preserve">ص 316) و طرائق الحقائق (ج 3 ص 245) و فی شاهد صادق مات سیمی بغدادی (830).</w:t>
      </w:r>
    </w:p>
    <w:p>
      <w:pPr>
        <w:pStyle w:val="BookText"/>
      </w:pPr>
      <w:r>
        <w:rPr>
          <w:rFonts w:ascii="IRNazanin" w:hAnsi="IRNazanin" w:eastAsia="IRNazanin" w:cs="IRNazanin"/>
          <w:lang w:bidi="fa-IR"/>
          <w:color w:val="111111"/>
          <w:sz w:val="28"/>
          <w:szCs w:val="28"/>
          <w:rtl/>
        </w:rPr>
        <w:t xml:space="preserve">و کان معاصرا لکاتبی الشاعر المتوفی (839) و قد نسبه کاتبی إلی سرقة الشعر حین قال:</w:t>
      </w:r>
    </w:p>
    <w:p>
      <w:pPr>
        <w:pStyle w:val="BookText"/>
      </w:pPr>
      <w:r>
        <w:rPr>
          <w:rFonts w:ascii="IRNazanin" w:hAnsi="IRNazanin" w:eastAsia="IRNazanin" w:cs="IRNazanin"/>
          <w:lang w:bidi="fa-IR"/>
          <w:color w:val="111111"/>
          <w:sz w:val="28"/>
          <w:szCs w:val="28"/>
          <w:rtl/>
        </w:rPr>
        <w:t xml:space="preserve">میان شهر نیشابور سیمی‏</w:t>
      </w:r>
    </w:p>
    <w:p>
      <w:pPr>
        <w:pStyle w:val="BookText"/>
      </w:pPr>
      <w:r>
        <w:rPr>
          <w:rFonts w:ascii="IRNazanin" w:hAnsi="IRNazanin" w:eastAsia="IRNazanin" w:cs="IRNazanin"/>
          <w:lang w:bidi="fa-IR"/>
          <w:color w:val="111111"/>
          <w:sz w:val="28"/>
          <w:szCs w:val="28"/>
          <w:rtl/>
        </w:rPr>
        <w:t xml:space="preserve">چو اشعار ملیح کاتبی دید</w:t>
      </w:r>
    </w:p>
    <w:p>
      <w:pPr>
        <w:pStyle w:val="BookText"/>
      </w:pPr>
      <w:r>
        <w:rPr>
          <w:rFonts w:ascii="IRNazanin" w:hAnsi="IRNazanin" w:eastAsia="IRNazanin" w:cs="IRNazanin"/>
          <w:lang w:bidi="fa-IR"/>
          <w:color w:val="111111"/>
          <w:sz w:val="28"/>
          <w:szCs w:val="28"/>
          <w:rtl/>
        </w:rPr>
        <w:t xml:space="preserve">بمشهد رفت و بر نام خودش بست‏</w:t>
      </w:r>
    </w:p>
    <w:p>
      <w:pPr>
        <w:pStyle w:val="BookText"/>
      </w:pPr>
      <w:r>
        <w:rPr>
          <w:rFonts w:ascii="IRNazanin" w:hAnsi="IRNazanin" w:eastAsia="IRNazanin" w:cs="IRNazanin"/>
          <w:lang w:bidi="fa-IR"/>
          <w:color w:val="111111"/>
          <w:sz w:val="28"/>
          <w:szCs w:val="28"/>
          <w:rtl/>
        </w:rPr>
        <w:t xml:space="preserve">نمک خورد و نمکدان را بدزدید</w:t>
      </w:r>
    </w:p>
    <w:p>
      <w:pPr>
        <w:pStyle w:val="BookText"/>
      </w:pPr>
      <w:r>
        <w:rPr>
          <w:rFonts w:ascii="IRNazanin" w:hAnsi="IRNazanin" w:eastAsia="IRNazanin" w:cs="IRNazanin"/>
          <w:lang w:bidi="fa-IR"/>
          <w:color w:val="111111"/>
          <w:sz w:val="28"/>
          <w:szCs w:val="28"/>
          <w:rtl/>
        </w:rPr>
        <w:t xml:space="preserve">و توجد بالمکتبة الملیة بطهران نسخه من دیوان مولانا لطف الله نیشابوری بخط سیمی هذا.</w:t>
      </w:r>
    </w:p>
    <w:p>
      <w:pPr>
        <w:pStyle w:val="Heading3"/>
      </w:pPr>
      <w:bookmarkStart w:id="4883" w:name="_Toc3579"/>
      <w:r>
        <w:t>2763- دیوان سیمین بهبهانی‏</w:t>
      </w:r>
      <w:bookmarkEnd w:id="4883"/>
    </w:p>
    <w:p>
      <w:pPr>
        <w:pStyle w:val="BookText"/>
      </w:pPr>
      <w:r>
        <w:rPr>
          <w:rFonts w:ascii="IRNazanin" w:hAnsi="IRNazanin" w:eastAsia="IRNazanin" w:cs="IRNazanin"/>
          <w:lang w:bidi="fa-IR"/>
          <w:color w:val="111111"/>
          <w:sz w:val="28"/>
          <w:szCs w:val="28"/>
          <w:rtl/>
        </w:rPr>
        <w:t xml:space="preserve">من المعلمات الشاعرات. تسکن بطهران. طبع دیوانها بعنوان جای پا و هو مجموعة من أشعارها فی (1335 ش). فی (241 ص) مع مقدمه فی تطور النثر الفارسی. و ترجمها فی تذکره علوی (ص 12).</w:t>
      </w:r>
    </w:p>
    <w:p>
      <w:pPr>
        <w:pStyle w:val="Heading3"/>
      </w:pPr>
      <w:bookmarkStart w:id="4884" w:name="_Toc3580"/>
      <w:r>
        <w:t>2764- دیوان سینا أصفهانی‏</w:t>
      </w:r>
      <w:bookmarkEnd w:id="4884"/>
    </w:p>
    <w:p>
      <w:pPr>
        <w:pStyle w:val="BookText"/>
      </w:pPr>
      <w:r>
        <w:rPr>
          <w:rFonts w:ascii="IRNazanin" w:hAnsi="IRNazanin" w:eastAsia="IRNazanin" w:cs="IRNazanin"/>
          <w:lang w:bidi="fa-IR"/>
          <w:color w:val="111111"/>
          <w:sz w:val="28"/>
          <w:szCs w:val="28"/>
          <w:rtl/>
        </w:rPr>
        <w:t xml:space="preserve">و اسمه مصطفی قلی بن محمد التیرانی الکرونی من نواحی أصفهان ولد فی (رمضان- (1293) و مهر فی الغزل و خبط عقله (حدود (1353) و مات بکرون. طبع قسم من دیوانه فی (1327) فی (240 ص) علی الحجر و کان عضوا بأنجمن أدبی دانشکده فأورد ألفت غزله فی دانش‏نامه المطبوع (1342).</w:t>
      </w:r>
    </w:p>
    <w:p>
      <w:pPr>
        <w:pStyle w:val="BookText"/>
      </w:pPr>
      <w:r>
        <w:rPr>
          <w:rFonts w:ascii="IRNazanin" w:hAnsi="IRNazanin" w:eastAsia="IRNazanin" w:cs="IRNazanin"/>
          <w:lang w:bidi="fa-IR"/>
          <w:color w:val="111111"/>
          <w:sz w:val="28"/>
          <w:szCs w:val="28"/>
          <w:rtl/>
        </w:rPr>
        <w:t xml:space="preserve">ترجمه إیزدگشسب فی نامه سخنوران- ص 86 و شعرای معاصر أصفهان (ص- 258) و أورد شعره (پژمان- ص 225).</w:t>
      </w:r>
    </w:p>
    <w:p>
      <w:pPr>
        <w:pStyle w:val="Heading3"/>
      </w:pPr>
      <w:bookmarkStart w:id="4885" w:name="_Toc3581"/>
      <w:r>
        <w:t>2765- دیوان سینا کرمانی‏</w:t>
      </w:r>
      <w:bookmarkEnd w:id="4885"/>
    </w:p>
    <w:p>
      <w:pPr>
        <w:pStyle w:val="BookText"/>
      </w:pPr>
      <w:r>
        <w:rPr>
          <w:rFonts w:ascii="IRNazanin" w:hAnsi="IRNazanin" w:eastAsia="IRNazanin" w:cs="IRNazanin"/>
          <w:lang w:bidi="fa-IR"/>
          <w:color w:val="111111"/>
          <w:sz w:val="28"/>
          <w:szCs w:val="28"/>
          <w:rtl/>
        </w:rPr>
        <w:t xml:space="preserve">و اسمه جواد بن محمد علی المعلم. ولد بکرمان فی (1297) و تلمذ علی علمائها و مهر فی الشعر الفارسی و العربی و الخط. طبع له أرجوزة فی النحو بالعربیة مع ألفیة ابن مالک فی کرمان (1329) بتصحیح أخیه الأصغر منه أحمد بهمنیار أستاذ جامعة طهران و المتوفی بطهران أخیرا فی (1374) و توفی الناظم فی (1336) بکرمان. توجد کثیرا من شعره عند تلمیذه السید محمد الهاشمی الکرمانی بطهران.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84" w:name="pg11704_121966"/>
    <w:bookmarkEnd w:id="484"/>
    <w:p>
      <w:pPr>
        <w:pStyle w:val="Heading3"/>
      </w:pPr>
      <w:bookmarkStart w:id="4886" w:name="_Toc3582"/>
      <w:r>
        <w:t>ش‏</w:t>
      </w:r>
      <w:bookmarkEnd w:id="4886"/>
    </w:p>
    <w:p>
      <w:pPr>
        <w:pStyle w:val="Heading3"/>
      </w:pPr>
      <w:bookmarkStart w:id="4887" w:name="_Toc3583"/>
      <w:r>
        <w:t>دیوان شائق‏</w:t>
      </w:r>
      <w:bookmarkEnd w:id="4887"/>
    </w:p>
    <w:p>
      <w:pPr>
        <w:pStyle w:val="BookText"/>
      </w:pPr>
      <w:r>
        <w:rPr>
          <w:rFonts w:ascii="IRNazanin" w:hAnsi="IRNazanin" w:eastAsia="IRNazanin" w:cs="IRNazanin"/>
          <w:lang w:bidi="fa-IR"/>
          <w:color w:val="111111"/>
          <w:sz w:val="28"/>
          <w:szCs w:val="28"/>
          <w:rtl/>
        </w:rPr>
        <w:t xml:space="preserve">کما هو الصحیح. راجع شایق کما یتلفظون به.</w:t>
      </w:r>
    </w:p>
    <w:p>
      <w:pPr>
        <w:pStyle w:val="Heading3"/>
      </w:pPr>
      <w:bookmarkStart w:id="4888" w:name="_Toc3584"/>
      <w:r>
        <w:t>دیوان شاپور</w:t>
      </w:r>
      <w:bookmarkEnd w:id="4888"/>
    </w:p>
    <w:p>
      <w:pPr>
        <w:pStyle w:val="BookText"/>
      </w:pPr>
      <w:r>
        <w:rPr>
          <w:rFonts w:ascii="IRNazanin" w:hAnsi="IRNazanin" w:eastAsia="IRNazanin" w:cs="IRNazanin"/>
          <w:lang w:bidi="fa-IR"/>
          <w:color w:val="111111"/>
          <w:sz w:val="28"/>
          <w:szCs w:val="28"/>
          <w:rtl/>
        </w:rPr>
        <w:t xml:space="preserve">راجع دیوان شاهپور.</w:t>
      </w:r>
    </w:p>
    <w:p>
      <w:pPr>
        <w:pStyle w:val="Heading3"/>
      </w:pPr>
      <w:bookmarkStart w:id="4889" w:name="_Toc3585"/>
      <w:r>
        <w:t>2766- دیوان شاپور رازی‏</w:t>
      </w:r>
      <w:bookmarkEnd w:id="4889"/>
    </w:p>
    <w:p>
      <w:pPr>
        <w:pStyle w:val="BookText"/>
      </w:pPr>
      <w:r>
        <w:rPr>
          <w:rFonts w:ascii="IRNazanin" w:hAnsi="IRNazanin" w:eastAsia="IRNazanin" w:cs="IRNazanin"/>
          <w:lang w:bidi="fa-IR"/>
          <w:color w:val="111111"/>
          <w:sz w:val="28"/>
          <w:szCs w:val="28"/>
          <w:rtl/>
        </w:rPr>
        <w:t xml:space="preserve">و لقبه شرف الدین کما فی خلاصة تقی الدین الکاشی.</w:t>
      </w:r>
    </w:p>
    <w:p>
      <w:pPr>
        <w:pStyle w:val="BookText"/>
      </w:pPr>
      <w:r>
        <w:rPr>
          <w:rFonts w:ascii="IRNazanin" w:hAnsi="IRNazanin" w:eastAsia="IRNazanin" w:cs="IRNazanin"/>
          <w:lang w:bidi="fa-IR"/>
          <w:color w:val="111111"/>
          <w:sz w:val="28"/>
          <w:szCs w:val="28"/>
          <w:rtl/>
        </w:rPr>
        <w:t xml:space="preserve">و اسمه أرجاسب کما فی ریاض الشعراء للداغستانی و کذا فی أکثر التذاکر. و هو من بیوت أکابر طهران من قری الری و والده خواجه خواجگی أخو محمد شریف الهجری الذی هو والد اعتماد الدولة جهانگیری والد نورجهان بیگم کما فی سرو آزاد- ص 51 و هو ابن أخت أمیدی تهرانی کما فی (نر 9- ص 237) و (خوش‏گو) و قال فی (تش- ص 213) و (مع- ج 2- ص 23) و (تغ- ص 69) إنه من أولاد أمیدی المذکور و من أقرباء أمین أحمد الرازی. ولد بطهران و تخلص فی شعره فریبی و لکن تقی کاشی سماه قریبی و تقی أوحدی سماه قربی و قال عبد النبی فی میخانه- ص 282:</w:t>
      </w:r>
    </w:p>
    <w:p>
      <w:pPr>
        <w:pStyle w:val="BookText"/>
      </w:pPr>
      <w:r>
        <w:rPr>
          <w:rFonts w:ascii="IRNazanin" w:hAnsi="IRNazanin" w:eastAsia="IRNazanin" w:cs="IRNazanin"/>
          <w:lang w:bidi="fa-IR"/>
          <w:color w:val="111111"/>
          <w:sz w:val="28"/>
          <w:szCs w:val="28"/>
          <w:rtl/>
        </w:rPr>
        <w:t xml:space="preserve">رأیته فی (1025) بلاهور فقال: إنی ترکت التخلص فریبی و اتخذت اسمی شاپور تخلصا. و نقل فی حاشیة میخانه أن تقی أوحدی لاقی شاپور فی قزوین فی (996) ثم سافر شاپور فی تلک السنة إلی الهند للتجارة و رجع فی (1003) إلی وطنه، ثم سافر ثانیا فی (1019) إلیها و رجع فی (1025) فلاقاه ناظم تبریزی فی أصفهان فی (1026) ثم سافر إلی الحجاز فی (1027) و مات (1028) أو (حدود 1030) و له مثنوی فی قبال خسرو و شیرین و قد رأی دیوانه آزاد و النصرآبادی فقال فی (نر 9- ص 237) إنه فی أربعة آلاف بیت. و توجد عدة نسخ منه فی المتحف البریطانی و بانکی‏پور و فی (بنگاله) نسخه من دیوان ملک الشعراء شاپور کما فی فهرسها. قالوا و هو ماهر فی القصائد و جاء شعره فی گلستان مسرت مکررا.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85" w:name="pg11704_121967"/>
    <w:bookmarkEnd w:id="485"/>
    <w:p>
      <w:pPr>
        <w:pStyle w:val="Heading3"/>
      </w:pPr>
      <w:bookmarkStart w:id="4890" w:name="_Toc3586"/>
      <w:r>
        <w:t>2767- دیوان شاپور قاجار أو شعره‏</w:t>
      </w:r>
      <w:bookmarkEnd w:id="4890"/>
    </w:p>
    <w:p>
      <w:pPr>
        <w:pStyle w:val="BookText"/>
      </w:pPr>
      <w:r>
        <w:rPr>
          <w:rFonts w:ascii="IRNazanin" w:hAnsi="IRNazanin" w:eastAsia="IRNazanin" w:cs="IRNazanin"/>
          <w:lang w:bidi="fa-IR"/>
          <w:color w:val="111111"/>
          <w:sz w:val="28"/>
          <w:szCs w:val="28"/>
          <w:rtl/>
        </w:rPr>
        <w:t xml:space="preserve">و اسمه شیخ علی میرزا ابن السلطان فتح علی شاه. و کان سمی جده الأمی. ترجمه و أورد شعره فی (مع 1- ص 36) و (انجمن 2) و (پژمان ص 226).</w:t>
      </w:r>
    </w:p>
    <w:p>
      <w:pPr>
        <w:pStyle w:val="Heading3"/>
      </w:pPr>
      <w:bookmarkStart w:id="4891" w:name="_Toc3587"/>
      <w:r>
        <w:t>2768- دیوان شاپور کاشانی‏</w:t>
      </w:r>
      <w:bookmarkEnd w:id="4891"/>
    </w:p>
    <w:p>
      <w:pPr>
        <w:pStyle w:val="BookText"/>
      </w:pPr>
      <w:r>
        <w:rPr>
          <w:rFonts w:ascii="IRNazanin" w:hAnsi="IRNazanin" w:eastAsia="IRNazanin" w:cs="IRNazanin"/>
          <w:lang w:bidi="fa-IR"/>
          <w:color w:val="111111"/>
          <w:sz w:val="28"/>
          <w:szCs w:val="28"/>
          <w:rtl/>
        </w:rPr>
        <w:t xml:space="preserve">ترجمه سام میرزا فی (تس 5- ص 155) و عده من شعراء کاشان الذین لهم دواوین خاصة و أورد شعره. و یوجد نظم خطبة البیان لشاپور کاشانی فی مکتبة دانشگاه تهران کما فی فهرسها (ج 2 ص 115) نظمها فی (846).</w:t>
      </w:r>
    </w:p>
    <w:p>
      <w:pPr>
        <w:pStyle w:val="Heading3"/>
      </w:pPr>
      <w:bookmarkStart w:id="4892" w:name="_Toc3588"/>
      <w:r>
        <w:t>دیوان شاپور نیشابوری‏</w:t>
      </w:r>
      <w:bookmarkEnd w:id="4892"/>
    </w:p>
    <w:p>
      <w:pPr>
        <w:pStyle w:val="BookText"/>
      </w:pPr>
      <w:r>
        <w:rPr>
          <w:rFonts w:ascii="IRNazanin" w:hAnsi="IRNazanin" w:eastAsia="IRNazanin" w:cs="IRNazanin"/>
          <w:lang w:bidi="fa-IR"/>
          <w:color w:val="111111"/>
          <w:sz w:val="28"/>
          <w:szCs w:val="28"/>
          <w:rtl/>
        </w:rPr>
        <w:t xml:space="preserve">راجع شاهپور نیشابوری کما اشتهر به.</w:t>
      </w:r>
    </w:p>
    <w:p>
      <w:pPr>
        <w:pStyle w:val="Heading3"/>
      </w:pPr>
      <w:bookmarkStart w:id="4893" w:name="_Toc3589"/>
      <w:r>
        <w:t>2769- دیوان الشاخوری أو شعره‏</w:t>
      </w:r>
      <w:bookmarkEnd w:id="4893"/>
    </w:p>
    <w:p>
      <w:pPr>
        <w:pStyle w:val="BookText"/>
      </w:pPr>
      <w:r>
        <w:rPr>
          <w:rFonts w:ascii="IRNazanin" w:hAnsi="IRNazanin" w:eastAsia="IRNazanin" w:cs="IRNazanin"/>
          <w:lang w:bidi="fa-IR"/>
          <w:color w:val="111111"/>
          <w:sz w:val="28"/>
          <w:szCs w:val="28"/>
          <w:rtl/>
        </w:rPr>
        <w:t xml:space="preserve">و هو السید حسین بن علی الشاخوری. توجد مراثیه ضمن مجموعة دونها الشیخ لطف الله بن علی بن لطف الله بن محمد الجد حفصی فی (1201) و فیها منظومات لأربعة و عشرین شاعرا، و النسخة عند الخطیب الشیخ محمد علی یعقوب فی النجف.</w:t>
      </w:r>
    </w:p>
    <w:p>
      <w:pPr>
        <w:pStyle w:val="Heading3"/>
      </w:pPr>
      <w:bookmarkStart w:id="4894" w:name="_Toc3590"/>
      <w:r>
        <w:t>2770- دیوان الشاخوری أو شعره‏</w:t>
      </w:r>
      <w:bookmarkEnd w:id="4894"/>
    </w:p>
    <w:p>
      <w:pPr>
        <w:pStyle w:val="BookText"/>
      </w:pPr>
      <w:r>
        <w:rPr>
          <w:rFonts w:ascii="IRNazanin" w:hAnsi="IRNazanin" w:eastAsia="IRNazanin" w:cs="IRNazanin"/>
          <w:lang w:bidi="fa-IR"/>
          <w:color w:val="111111"/>
          <w:sz w:val="28"/>
          <w:szCs w:val="28"/>
          <w:rtl/>
        </w:rPr>
        <w:t xml:space="preserve">و هو السید محمد. توجد شعره فی المجموعة المذکورة قبل هذا.</w:t>
      </w:r>
    </w:p>
    <w:p>
      <w:pPr>
        <w:pStyle w:val="Heading3"/>
      </w:pPr>
      <w:bookmarkStart w:id="4895" w:name="_Toc3591"/>
      <w:r>
        <w:t>دیوان شاداب‏</w:t>
      </w:r>
      <w:bookmarkEnd w:id="4895"/>
    </w:p>
    <w:p>
      <w:pPr>
        <w:pStyle w:val="BookText"/>
      </w:pPr>
      <w:r>
        <w:rPr>
          <w:rFonts w:ascii="IRNazanin" w:hAnsi="IRNazanin" w:eastAsia="IRNazanin" w:cs="IRNazanin"/>
          <w:lang w:bidi="fa-IR"/>
          <w:color w:val="111111"/>
          <w:sz w:val="28"/>
          <w:szCs w:val="28"/>
          <w:rtl/>
        </w:rPr>
        <w:t xml:space="preserve">راجع دیوان سادات فی (ص 414).</w:t>
      </w:r>
    </w:p>
    <w:p>
      <w:pPr>
        <w:pStyle w:val="Heading3"/>
      </w:pPr>
      <w:bookmarkStart w:id="4896" w:name="_Toc3592"/>
      <w:r>
        <w:t>2771- دیوان شادابی جونپوری أو شعره‏</w:t>
      </w:r>
      <w:bookmarkEnd w:id="4896"/>
    </w:p>
    <w:p>
      <w:pPr>
        <w:pStyle w:val="BookText"/>
      </w:pPr>
      <w:r>
        <w:rPr>
          <w:rFonts w:ascii="IRNazanin" w:hAnsi="IRNazanin" w:eastAsia="IRNazanin" w:cs="IRNazanin"/>
          <w:lang w:bidi="fa-IR"/>
          <w:color w:val="111111"/>
          <w:sz w:val="28"/>
          <w:szCs w:val="28"/>
          <w:rtl/>
        </w:rPr>
        <w:t xml:space="preserve">و اسمه محمد حسین. کان ماهرا فی الموسیقی الهندی أورد بعض شعره فی (گلشن- ص 216).</w:t>
      </w:r>
    </w:p>
    <w:p>
      <w:pPr>
        <w:pStyle w:val="Heading3"/>
      </w:pPr>
      <w:bookmarkStart w:id="4897" w:name="_Toc3593"/>
      <w:r>
        <w:t>2772- دیوان شادمان أصفهانی‏</w:t>
      </w:r>
      <w:bookmarkEnd w:id="4897"/>
    </w:p>
    <w:p>
      <w:pPr>
        <w:pStyle w:val="BookText"/>
      </w:pPr>
      <w:r>
        <w:rPr>
          <w:rFonts w:ascii="IRNazanin" w:hAnsi="IRNazanin" w:eastAsia="IRNazanin" w:cs="IRNazanin"/>
          <w:lang w:bidi="fa-IR"/>
          <w:color w:val="111111"/>
          <w:sz w:val="28"/>
          <w:szCs w:val="28"/>
          <w:rtl/>
        </w:rPr>
        <w:t xml:space="preserve">و هو الحاج میرزا أبو الفضل الهمائی بن أبی القاسم طرب و أخ سنا. ولد (1324) له سیر و تحول نثر فارسی و رهبر ایمان در ترجمه قرآن و دیوان شعره هذا. نقل عنه فی شعرای معاصر أصفهان (ص 260) و (پژمان- ص 850).</w:t>
      </w:r>
    </w:p>
    <w:p>
      <w:pPr>
        <w:pStyle w:val="Heading3"/>
      </w:pPr>
      <w:bookmarkStart w:id="4898" w:name="_Toc3594"/>
      <w:r>
        <w:t>2773- دیوان شادمان گکهر</w:t>
      </w:r>
      <w:bookmarkEnd w:id="4898"/>
    </w:p>
    <w:p>
      <w:pPr>
        <w:pStyle w:val="BookText"/>
      </w:pPr>
      <w:r>
        <w:rPr>
          <w:rFonts w:ascii="IRNazanin" w:hAnsi="IRNazanin" w:eastAsia="IRNazanin" w:cs="IRNazanin"/>
          <w:lang w:bidi="fa-IR"/>
          <w:color w:val="111111"/>
          <w:sz w:val="28"/>
          <w:szCs w:val="28"/>
          <w:rtl/>
        </w:rPr>
        <w:t xml:space="preserve">من أولاد الأمراء بنواحی گکهر بین پنجاب و حسن إبدال بالهند کان معاصرا لعالمگیر پادشاه و شاه‏جهان، و ترک المناصب و اعتزل عن الناس، و رتب لنفسه دیوانا أورد منه فی (سرخوش- ص 59- 60) نقلا عن عبد العزیز داروغه المتخلص عزت. و ترجمه فی (خوش‏گو) و (تغ- ص 69) أیضا و ذکره فی (حسینی- ص 177) بعنوان شادیان غلطا. و طبع دیوان فارسی لسلطان شادمان‏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86" w:name="pg11704_121968"/>
    <w:bookmarkEnd w:id="486"/>
    <w:p>
      <w:pPr>
        <w:pStyle w:val="BookText"/>
      </w:pPr>
      <w:r>
        <w:rPr>
          <w:rFonts w:ascii="IRNazanin" w:hAnsi="IRNazanin" w:eastAsia="IRNazanin" w:cs="IRNazanin"/>
          <w:lang w:bidi="fa-IR"/>
          <w:color w:val="111111"/>
          <w:sz w:val="28"/>
          <w:szCs w:val="28"/>
          <w:rtl/>
        </w:rPr>
        <w:t xml:space="preserve">خان گکهر سارنگ آل، بلاهور (1899 م) فی (88 ص) بتصحیح ممتاز علی.</w:t>
      </w:r>
    </w:p>
    <w:p>
      <w:pPr>
        <w:pStyle w:val="Heading3"/>
      </w:pPr>
      <w:bookmarkStart w:id="4899" w:name="_Toc3595"/>
      <w:r>
        <w:t>2774- دیوان شادی هروی أو شعره‏</w:t>
      </w:r>
      <w:bookmarkEnd w:id="4899"/>
    </w:p>
    <w:p>
      <w:pPr>
        <w:pStyle w:val="BookText"/>
      </w:pPr>
      <w:r>
        <w:rPr>
          <w:rFonts w:ascii="IRNazanin" w:hAnsi="IRNazanin" w:eastAsia="IRNazanin" w:cs="IRNazanin"/>
          <w:lang w:bidi="fa-IR"/>
          <w:color w:val="111111"/>
          <w:sz w:val="28"/>
          <w:szCs w:val="28"/>
          <w:rtl/>
        </w:rPr>
        <w:t xml:space="preserve">کان رمالا شاعرا. أورد شعره فی (تش- ص 149) فی شعراء هرات، و کذا فی (پژمان- ص 227).</w:t>
      </w:r>
    </w:p>
    <w:p>
      <w:pPr>
        <w:pStyle w:val="Heading3"/>
      </w:pPr>
      <w:bookmarkStart w:id="4900" w:name="_Toc3596"/>
      <w:r>
        <w:t>2775- دیوان شارق بروجنی البختیاری‏</w:t>
      </w:r>
      <w:bookmarkEnd w:id="4900"/>
    </w:p>
    <w:p>
      <w:pPr>
        <w:pStyle w:val="BookText"/>
      </w:pPr>
      <w:r>
        <w:rPr>
          <w:rFonts w:ascii="IRNazanin" w:hAnsi="IRNazanin" w:eastAsia="IRNazanin" w:cs="IRNazanin"/>
          <w:lang w:bidi="fa-IR"/>
          <w:color w:val="111111"/>
          <w:sz w:val="28"/>
          <w:szCs w:val="28"/>
          <w:rtl/>
        </w:rPr>
        <w:t xml:space="preserve">و اسمه مهدی کان طبیبا للأسنان ببروجن من نواحی أصفهان. ولد (1293) و توفی (1368) له أشعار کثیرة. ذکره (پژمان- ص 228) و کذا فی شعرای معاصر أصفهان (ص 261) و ترجم ابنه بهمن، الشاب الشاعر المتخلص بتخلص أبیه أیضا.</w:t>
      </w:r>
    </w:p>
    <w:p>
      <w:pPr>
        <w:pStyle w:val="Heading3"/>
      </w:pPr>
      <w:bookmarkStart w:id="4901" w:name="_Toc3597"/>
      <w:r>
        <w:t>2776- دیوان شارق یزدی أو شعره‏</w:t>
      </w:r>
      <w:bookmarkEnd w:id="4901"/>
    </w:p>
    <w:p>
      <w:pPr>
        <w:pStyle w:val="BookText"/>
      </w:pPr>
      <w:r>
        <w:rPr>
          <w:rFonts w:ascii="IRNazanin" w:hAnsi="IRNazanin" w:eastAsia="IRNazanin" w:cs="IRNazanin"/>
          <w:lang w:bidi="fa-IR"/>
          <w:color w:val="111111"/>
          <w:sz w:val="28"/>
          <w:szCs w:val="28"/>
          <w:rtl/>
        </w:rPr>
        <w:t xml:space="preserve">و اسمه غلام حسین المحامی بیزد. ترجمه و أورد شعره فی (تش یز- ص 295).</w:t>
      </w:r>
    </w:p>
    <w:p>
      <w:pPr>
        <w:pStyle w:val="Heading3"/>
      </w:pPr>
      <w:bookmarkStart w:id="4902" w:name="_Toc3598"/>
      <w:r>
        <w:t>دیوان شاطر عباس‏</w:t>
      </w:r>
      <w:bookmarkEnd w:id="4902"/>
    </w:p>
    <w:p>
      <w:pPr>
        <w:pStyle w:val="BookText"/>
      </w:pPr>
      <w:r>
        <w:rPr>
          <w:rFonts w:ascii="IRNazanin" w:hAnsi="IRNazanin" w:eastAsia="IRNazanin" w:cs="IRNazanin"/>
          <w:lang w:bidi="fa-IR"/>
          <w:color w:val="111111"/>
          <w:sz w:val="28"/>
          <w:szCs w:val="28"/>
          <w:rtl/>
        </w:rPr>
        <w:t xml:space="preserve">المتخلص صبوحی راجع تخلصه.</w:t>
      </w:r>
    </w:p>
    <w:p>
      <w:pPr>
        <w:pStyle w:val="Heading3"/>
      </w:pPr>
      <w:bookmarkStart w:id="4903" w:name="_Toc3599"/>
      <w:r>
        <w:t>2777- دیوان شاعر بلگرامی‏</w:t>
      </w:r>
      <w:bookmarkEnd w:id="4903"/>
    </w:p>
    <w:p>
      <w:pPr>
        <w:pStyle w:val="BookText"/>
      </w:pPr>
      <w:r>
        <w:rPr>
          <w:rFonts w:ascii="IRNazanin" w:hAnsi="IRNazanin" w:eastAsia="IRNazanin" w:cs="IRNazanin"/>
          <w:lang w:bidi="fa-IR"/>
          <w:color w:val="111111"/>
          <w:sz w:val="28"/>
          <w:szCs w:val="28"/>
          <w:rtl/>
        </w:rPr>
        <w:t xml:space="preserve">و هو المیر السید محمد بن المیر عبد الجلیل البلگرامی المولود (14- ع 1- (1101) و المتوفی (8 شعبان- 1185) و رثاه آزاد کما ذکره فی کتابه (خز- ص 284) و أورد کثیرا من شعره عن دیوانه. و ترجمه أیضا آزاد هذا فی حیاته فی سرو آزاد- ص 289- 291 المؤلف (1166) قال: و تلمذ علی المیر طفیل محمد. و کان والده حاکم سیوستان و استعفی عنه و</w:t>
      </w:r>
    </w:p>
    <w:p>
      <w:pPr>
        <w:pStyle w:val="BookText"/>
      </w:pPr>
      <w:r>
        <w:rPr>
          <w:rFonts w:ascii="IRNazanin" w:hAnsi="IRNazanin" w:eastAsia="IRNazanin" w:cs="IRNazanin"/>
          <w:lang w:bidi="fa-IR"/>
          <w:color w:val="111111"/>
          <w:sz w:val="28"/>
          <w:szCs w:val="28"/>
          <w:rtl/>
        </w:rPr>
        <w:t xml:space="preserve">أجلس مکانه ابنه هذا فی (1133) و فی (1143) اتخذ آزاد هذا نائبا له. و لما توجه نادر شاه إلی الهند فر شاعر هذا من سیوستان و نزل وطنه بلگرام فی (1156) ثم أطری شعره فی اللغات الثلاث العربیة و الفارسیة و الهندیة.</w:t>
      </w:r>
    </w:p>
    <w:p>
      <w:pPr>
        <w:pStyle w:val="Heading3"/>
      </w:pPr>
      <w:bookmarkStart w:id="4904" w:name="_Toc3600"/>
      <w:r>
        <w:t>2778- دیوان شاعر شاه‏جهانی أو شعره‏</w:t>
      </w:r>
      <w:bookmarkEnd w:id="4904"/>
    </w:p>
    <w:p>
      <w:pPr>
        <w:pStyle w:val="BookText"/>
      </w:pPr>
      <w:r>
        <w:rPr>
          <w:rFonts w:ascii="IRNazanin" w:hAnsi="IRNazanin" w:eastAsia="IRNazanin" w:cs="IRNazanin"/>
          <w:lang w:bidi="fa-IR"/>
          <w:color w:val="111111"/>
          <w:sz w:val="28"/>
          <w:szCs w:val="28"/>
          <w:rtl/>
        </w:rPr>
        <w:t xml:space="preserve">و اسمه محمد من أمراء محمد شاه. و لقبه معنی یأب خان تلمذ علی بیدل و فائق. أورد شعره فی سرو آزاد- ص 235).</w:t>
      </w:r>
    </w:p>
    <w:p>
      <w:pPr>
        <w:pStyle w:val="Heading3"/>
      </w:pPr>
      <w:bookmarkStart w:id="4905" w:name="_Toc3601"/>
      <w:r>
        <w:t>دیوان شاعر الفلاسفة</w:t>
      </w:r>
      <w:bookmarkEnd w:id="4905"/>
    </w:p>
    <w:p>
      <w:pPr>
        <w:pStyle w:val="BookText"/>
      </w:pPr>
      <w:r>
        <w:rPr>
          <w:rFonts w:ascii="IRNazanin" w:hAnsi="IRNazanin" w:eastAsia="IRNazanin" w:cs="IRNazanin"/>
          <w:lang w:bidi="fa-IR"/>
          <w:color w:val="111111"/>
          <w:sz w:val="28"/>
          <w:szCs w:val="28"/>
          <w:rtl/>
        </w:rPr>
        <w:t xml:space="preserve">هو لقب أبی العلاء المعری المذکور فی (ص 45) کما طبع علی منتخبات اللزومیات له المطبوع (1319) بالإسکندریة بمصر.</w:t>
      </w:r>
    </w:p>
    <w:p>
      <w:pPr>
        <w:pStyle w:val="Heading3"/>
      </w:pPr>
      <w:bookmarkStart w:id="4906" w:name="_Toc3602"/>
      <w:r>
        <w:t>2779- دیوان شافی حیدرآبادی أو شعره‏</w:t>
      </w:r>
      <w:bookmarkEnd w:id="4906"/>
    </w:p>
    <w:p>
      <w:pPr>
        <w:pStyle w:val="BookText"/>
      </w:pPr>
      <w:r>
        <w:rPr>
          <w:rFonts w:ascii="IRNazanin" w:hAnsi="IRNazanin" w:eastAsia="IRNazanin" w:cs="IRNazanin"/>
          <w:lang w:bidi="fa-IR"/>
          <w:color w:val="111111"/>
          <w:sz w:val="28"/>
          <w:szCs w:val="28"/>
          <w:rtl/>
        </w:rPr>
        <w:t xml:space="preserve">و اسمه إمداد حسین بن غلام إمام. کان یشتغل بآصفیة حیدرآباد دکن بالهند. مات نیف و ستین و مائتین و ألف. أورد شعره‏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87" w:name="pg11704_121969"/>
    <w:bookmarkEnd w:id="487"/>
    <w:p>
      <w:pPr>
        <w:pStyle w:val="BookText"/>
      </w:pPr>
      <w:r>
        <w:rPr>
          <w:rFonts w:ascii="IRNazanin" w:hAnsi="IRNazanin" w:eastAsia="IRNazanin" w:cs="IRNazanin"/>
          <w:lang w:bidi="fa-IR"/>
          <w:color w:val="111111"/>
          <w:sz w:val="28"/>
          <w:szCs w:val="28"/>
          <w:rtl/>
        </w:rPr>
        <w:t xml:space="preserve">فی (گلشن- ص 216).</w:t>
      </w:r>
    </w:p>
    <w:p>
      <w:pPr>
        <w:pStyle w:val="Heading3"/>
      </w:pPr>
      <w:bookmarkStart w:id="4907" w:name="_Toc3603"/>
      <w:r>
        <w:t>2780- دیوان شاکر أصفهانی أو شعره‏</w:t>
      </w:r>
      <w:bookmarkEnd w:id="4907"/>
    </w:p>
    <w:p>
      <w:pPr>
        <w:pStyle w:val="BookText"/>
      </w:pPr>
      <w:r>
        <w:rPr>
          <w:rFonts w:ascii="IRNazanin" w:hAnsi="IRNazanin" w:eastAsia="IRNazanin" w:cs="IRNazanin"/>
          <w:lang w:bidi="fa-IR"/>
          <w:color w:val="111111"/>
          <w:sz w:val="28"/>
          <w:szCs w:val="28"/>
          <w:rtl/>
        </w:rPr>
        <w:t xml:space="preserve">و هو محمد قلی بیک من تبارزه عباس‏آباد بأصفهان کان ماهرا فی الصیاغة و النقش. ترجمه و أورد شعره معاصره فی (نر 9- ص 392) و عنه فی (دجا- 186). و فی (گلشن- ص 217) سماه محمد علی شاکر تبریزی.</w:t>
      </w:r>
    </w:p>
    <w:p>
      <w:pPr>
        <w:pStyle w:val="Heading3"/>
      </w:pPr>
      <w:bookmarkStart w:id="4908" w:name="_Toc3604"/>
      <w:r>
        <w:t>2781- دیوان شاکر تبریزی أو شعره‏</w:t>
      </w:r>
      <w:bookmarkEnd w:id="4908"/>
    </w:p>
    <w:p>
      <w:pPr>
        <w:pStyle w:val="BookText"/>
      </w:pPr>
      <w:r>
        <w:rPr>
          <w:rFonts w:ascii="IRNazanin" w:hAnsi="IRNazanin" w:eastAsia="IRNazanin" w:cs="IRNazanin"/>
          <w:lang w:bidi="fa-IR"/>
          <w:color w:val="111111"/>
          <w:sz w:val="28"/>
          <w:szCs w:val="28"/>
          <w:rtl/>
        </w:rPr>
        <w:t xml:space="preserve">من شعراء القرن الثالث عشر بالترکیة.</w:t>
      </w:r>
    </w:p>
    <w:p>
      <w:pPr>
        <w:pStyle w:val="BookText"/>
      </w:pPr>
      <w:r>
        <w:rPr>
          <w:rFonts w:ascii="IRNazanin" w:hAnsi="IRNazanin" w:eastAsia="IRNazanin" w:cs="IRNazanin"/>
          <w:lang w:bidi="fa-IR"/>
          <w:color w:val="111111"/>
          <w:sz w:val="28"/>
          <w:szCs w:val="28"/>
          <w:rtl/>
        </w:rPr>
        <w:t xml:space="preserve">کذا ترجمه فی (دجا- ص 187) نقلا عن حدیقة الشعراء.</w:t>
      </w:r>
    </w:p>
    <w:p>
      <w:pPr>
        <w:pStyle w:val="Heading3"/>
      </w:pPr>
      <w:bookmarkStart w:id="4909" w:name="_Toc3605"/>
      <w:r>
        <w:t>دیوان شاکر تبریزی‏</w:t>
      </w:r>
      <w:bookmarkEnd w:id="4909"/>
    </w:p>
    <w:p>
      <w:pPr>
        <w:pStyle w:val="BookText"/>
      </w:pPr>
      <w:r>
        <w:rPr>
          <w:rFonts w:ascii="IRNazanin" w:hAnsi="IRNazanin" w:eastAsia="IRNazanin" w:cs="IRNazanin"/>
          <w:lang w:bidi="fa-IR"/>
          <w:color w:val="111111"/>
          <w:sz w:val="28"/>
          <w:szCs w:val="28"/>
          <w:rtl/>
        </w:rPr>
        <w:t xml:space="preserve">راجع دیوان شاکر أصفهانی.</w:t>
      </w:r>
    </w:p>
    <w:p>
      <w:pPr>
        <w:pStyle w:val="Heading3"/>
      </w:pPr>
      <w:bookmarkStart w:id="4910" w:name="_Toc3606"/>
      <w:r>
        <w:t>2782- دیوان شاکر دزفولی أو شعره‏</w:t>
      </w:r>
      <w:bookmarkEnd w:id="4910"/>
    </w:p>
    <w:p>
      <w:pPr>
        <w:pStyle w:val="BookText"/>
      </w:pPr>
      <w:r>
        <w:rPr>
          <w:rFonts w:ascii="IRNazanin" w:hAnsi="IRNazanin" w:eastAsia="IRNazanin" w:cs="IRNazanin"/>
          <w:lang w:bidi="fa-IR"/>
          <w:color w:val="111111"/>
          <w:sz w:val="28"/>
          <w:szCs w:val="28"/>
          <w:rtl/>
        </w:rPr>
        <w:t xml:space="preserve">اسمه المولی نصر الله تراب بن المولی فتح علی الدزفولی، من تلامیذ الشیخ الأنصاری و المتخلص فی شعره شاکر و المتوفی (1311) أورد کثیرا من أشعاره فی المجموع الشبیه بالکشکول المسمی لمعات البیان الموجود فی أهواز عند الشیخ مرتضی بن الشیخ محمد جعفر بن مرتضی الدزفولی المعاصر و له مظهر البینات و مظهر الدلالات ترجمه لشرح ابن أبی الحدید لنهج البلاغة بالفارسیة، توجد فی مکتبة دانشگاه تهران کما فی فهرسها (ج 2 ص 253- 264).</w:t>
      </w:r>
    </w:p>
    <w:p>
      <w:pPr>
        <w:pStyle w:val="Heading3"/>
      </w:pPr>
      <w:bookmarkStart w:id="4911" w:name="_Toc3607"/>
      <w:r>
        <w:t>2783- دیوان شاکر طهرانی أو شعره‏</w:t>
      </w:r>
      <w:bookmarkEnd w:id="4911"/>
    </w:p>
    <w:p>
      <w:pPr>
        <w:pStyle w:val="BookText"/>
      </w:pPr>
      <w:r>
        <w:rPr>
          <w:rFonts w:ascii="IRNazanin" w:hAnsi="IRNazanin" w:eastAsia="IRNazanin" w:cs="IRNazanin"/>
          <w:lang w:bidi="fa-IR"/>
          <w:color w:val="111111"/>
          <w:sz w:val="28"/>
          <w:szCs w:val="28"/>
          <w:rtl/>
        </w:rPr>
        <w:t xml:space="preserve">أو شاکرا- و الألف للتکریم- سکن أصفهان ترجمه و أورد شعره مصاحبه مدة مدیدة الشیخ علی الحزین فی تذکرته (ص- 96) و قال مات قبل مدة. و عنه أخذ ظاهرا فی (گلشن- ص 217) و فی (تغ- ص 69) أنه کان ماهرا فی العروض و شعره قلیل و لکنه جید.</w:t>
      </w:r>
    </w:p>
    <w:p>
      <w:pPr>
        <w:pStyle w:val="Heading3"/>
      </w:pPr>
      <w:bookmarkStart w:id="4912" w:name="_Toc3608"/>
      <w:r>
        <w:t>2784- دیوان شاکر هندی أو شعره‏</w:t>
      </w:r>
      <w:bookmarkEnd w:id="4912"/>
    </w:p>
    <w:p>
      <w:pPr>
        <w:pStyle w:val="BookText"/>
      </w:pPr>
      <w:r>
        <w:rPr>
          <w:rFonts w:ascii="IRNazanin" w:hAnsi="IRNazanin" w:eastAsia="IRNazanin" w:cs="IRNazanin"/>
          <w:lang w:bidi="fa-IR"/>
          <w:color w:val="111111"/>
          <w:sz w:val="28"/>
          <w:szCs w:val="28"/>
          <w:rtl/>
        </w:rPr>
        <w:t xml:space="preserve">و هو عبد الرحمن بن الحاج محمد روشن خان بن محمد نواز خان تلمیذ السید ناصر علی نصیر، له گلستان مسرت بالفارسیة فی خمسة حدائق 1 فی الحمد و الثناء 2 فی الغرام و العشق 3 فی الخط 4 فی المطائبات 5 فی النصائح جمع فی کل حدیقة أشعار کثیرة من الشعراء مما یناسب الموضوع ألفه فی (1261) باسم محمد أمجد علی شاه و ابنه محمد واجد علی شاه بالهند و طبع هناک فی (562 ص) فی (1267) و له فیه أشعار کثیرة لکنها غیر جیدة</w:t>
      </w:r>
    </w:p>
    <w:p>
      <w:pPr>
        <w:pStyle w:val="Heading3"/>
      </w:pPr>
      <w:bookmarkStart w:id="4913" w:name="_Toc3609"/>
      <w:r>
        <w:t>2785- دیوان شاکرة هندیة</w:t>
      </w:r>
      <w:bookmarkEnd w:id="4913"/>
    </w:p>
    <w:p>
      <w:pPr>
        <w:pStyle w:val="BookText"/>
      </w:pPr>
      <w:r>
        <w:rPr>
          <w:rFonts w:ascii="IRNazanin" w:hAnsi="IRNazanin" w:eastAsia="IRNazanin" w:cs="IRNazanin"/>
          <w:lang w:bidi="fa-IR"/>
          <w:color w:val="111111"/>
          <w:sz w:val="28"/>
          <w:szCs w:val="28"/>
          <w:rtl/>
        </w:rPr>
        <w:t xml:space="preserve">باللغة الهندیة للفاضلة شهربانو بنت الحاج علی رضا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88" w:name="pg11704_121970"/>
    <w:bookmarkEnd w:id="488"/>
    <w:p>
      <w:pPr>
        <w:pStyle w:val="BookText"/>
      </w:pPr>
      <w:r>
        <w:rPr>
          <w:rFonts w:ascii="IRNazanin" w:hAnsi="IRNazanin" w:eastAsia="IRNazanin" w:cs="IRNazanin"/>
          <w:lang w:bidi="fa-IR"/>
          <w:color w:val="111111"/>
          <w:sz w:val="28"/>
          <w:szCs w:val="28"/>
          <w:rtl/>
        </w:rPr>
        <w:t xml:space="preserve">بن محمد طاهر التستری المولودة بمبئی (1244) و تزوجت آغا علی عسکر الشیرازی (1268) و توفت (1319) ترجمها أخوه المولی محمد علی المتخلص حزین فی کتابه تحفه الأحباب و نقل عنه فی مقدمه ناله حزین المطبوع بالهند فی (1938 م) علی نفقة المیرزا إسماعیل الشیرازی أمین الملک حفید الآقا علی عسکر المذکور</w:t>
      </w:r>
    </w:p>
    <w:p>
      <w:pPr>
        <w:pStyle w:val="Heading3"/>
      </w:pPr>
      <w:bookmarkStart w:id="4914" w:name="_Toc3610"/>
      <w:r>
        <w:t>دیوان شاملو قیصر</w:t>
      </w:r>
      <w:bookmarkEnd w:id="4914"/>
    </w:p>
    <w:p>
      <w:pPr>
        <w:pStyle w:val="BookText"/>
      </w:pPr>
      <w:r>
        <w:rPr>
          <w:rFonts w:ascii="IRNazanin" w:hAnsi="IRNazanin" w:eastAsia="IRNazanin" w:cs="IRNazanin"/>
          <w:lang w:bidi="fa-IR"/>
          <w:color w:val="111111"/>
          <w:sz w:val="28"/>
          <w:szCs w:val="28"/>
          <w:rtl/>
        </w:rPr>
        <w:t xml:space="preserve">یأتی فی القاف بعنوان قیصر</w:t>
      </w:r>
    </w:p>
    <w:p>
      <w:pPr>
        <w:pStyle w:val="Heading3"/>
      </w:pPr>
      <w:bookmarkStart w:id="4915" w:name="_Toc3611"/>
      <w:r>
        <w:t>دیوان شاملو مرتضی‏</w:t>
      </w:r>
      <w:bookmarkEnd w:id="4915"/>
    </w:p>
    <w:p>
      <w:pPr>
        <w:pStyle w:val="BookText"/>
      </w:pPr>
      <w:r>
        <w:rPr>
          <w:rFonts w:ascii="IRNazanin" w:hAnsi="IRNazanin" w:eastAsia="IRNazanin" w:cs="IRNazanin"/>
          <w:lang w:bidi="fa-IR"/>
          <w:color w:val="111111"/>
          <w:sz w:val="28"/>
          <w:szCs w:val="28"/>
          <w:rtl/>
        </w:rPr>
        <w:t xml:space="preserve">یأتی بتخلصه مرتضی کما فی دیوانه الموجود عند الملک‏</w:t>
      </w:r>
    </w:p>
    <w:p>
      <w:pPr>
        <w:pStyle w:val="Heading3"/>
      </w:pPr>
      <w:bookmarkStart w:id="4916" w:name="_Toc3612"/>
      <w:r>
        <w:t>دیوان شاملو ولی قلی‏</w:t>
      </w:r>
      <w:bookmarkEnd w:id="4916"/>
    </w:p>
    <w:p>
      <w:pPr>
        <w:pStyle w:val="BookText"/>
      </w:pPr>
      <w:r>
        <w:rPr>
          <w:rFonts w:ascii="IRNazanin" w:hAnsi="IRNazanin" w:eastAsia="IRNazanin" w:cs="IRNazanin"/>
          <w:lang w:bidi="fa-IR"/>
          <w:color w:val="111111"/>
          <w:sz w:val="28"/>
          <w:szCs w:val="28"/>
          <w:rtl/>
        </w:rPr>
        <w:t xml:space="preserve">یأتی باسمه ولی قلی کما فی (نر 4- ص 93)</w:t>
      </w:r>
    </w:p>
    <w:p>
      <w:pPr>
        <w:pStyle w:val="Heading3"/>
      </w:pPr>
      <w:bookmarkStart w:id="4917" w:name="_Toc3613"/>
      <w:r>
        <w:t>دیوان شاملو هروی‏</w:t>
      </w:r>
      <w:bookmarkEnd w:id="4917"/>
    </w:p>
    <w:p>
      <w:pPr>
        <w:pStyle w:val="BookText"/>
      </w:pPr>
      <w:r>
        <w:rPr>
          <w:rFonts w:ascii="IRNazanin" w:hAnsi="IRNazanin" w:eastAsia="IRNazanin" w:cs="IRNazanin"/>
          <w:lang w:bidi="fa-IR"/>
          <w:color w:val="111111"/>
          <w:sz w:val="28"/>
          <w:szCs w:val="28"/>
          <w:rtl/>
        </w:rPr>
        <w:t xml:space="preserve">أورد شعره المتخلص فیه حسن فی (نر 2- ص 22) و اسمه أیضا حسن مر فی (ص 243) و توجد فی شعره فی گلستان مسرت أیضا</w:t>
      </w:r>
    </w:p>
    <w:p>
      <w:pPr>
        <w:pStyle w:val="Heading3"/>
      </w:pPr>
      <w:bookmarkStart w:id="4918" w:name="_Toc3614"/>
      <w:r>
        <w:t>2786- دیوان شاملی أو شعره‏</w:t>
      </w:r>
      <w:bookmarkEnd w:id="4918"/>
    </w:p>
    <w:p>
      <w:pPr>
        <w:pStyle w:val="BookText"/>
      </w:pPr>
      <w:r>
        <w:rPr>
          <w:rFonts w:ascii="IRNazanin" w:hAnsi="IRNazanin" w:eastAsia="IRNazanin" w:cs="IRNazanin"/>
          <w:lang w:bidi="fa-IR"/>
          <w:color w:val="111111"/>
          <w:sz w:val="28"/>
          <w:szCs w:val="28"/>
          <w:rtl/>
        </w:rPr>
        <w:t xml:space="preserve">أورد شعره فی (گلشن- ص 217) و (پژمان- ص 850)</w:t>
      </w:r>
    </w:p>
    <w:p>
      <w:pPr>
        <w:pStyle w:val="Heading3"/>
      </w:pPr>
      <w:bookmarkStart w:id="4919" w:name="_Toc3615"/>
      <w:r>
        <w:t>2787- دیوان شامی دامغانی أو شعره‏</w:t>
      </w:r>
      <w:bookmarkEnd w:id="4919"/>
    </w:p>
    <w:p>
      <w:pPr>
        <w:pStyle w:val="BookText"/>
      </w:pPr>
      <w:r>
        <w:rPr>
          <w:rFonts w:ascii="IRNazanin" w:hAnsi="IRNazanin" w:eastAsia="IRNazanin" w:cs="IRNazanin"/>
          <w:lang w:bidi="fa-IR"/>
          <w:color w:val="111111"/>
          <w:sz w:val="28"/>
          <w:szCs w:val="28"/>
          <w:rtl/>
        </w:rPr>
        <w:t xml:space="preserve">ترجمه فی (مجن 3- ص 62 و ص 235) و أورد شعره‏</w:t>
      </w:r>
    </w:p>
    <w:p>
      <w:pPr>
        <w:pStyle w:val="Heading3"/>
      </w:pPr>
      <w:bookmarkStart w:id="4920" w:name="_Toc3616"/>
      <w:r>
        <w:t>2788- دیوان شانی تکلو</w:t>
      </w:r>
      <w:bookmarkEnd w:id="4920"/>
    </w:p>
    <w:p>
      <w:pPr>
        <w:pStyle w:val="BookText"/>
      </w:pPr>
      <w:r>
        <w:rPr>
          <w:rFonts w:ascii="IRNazanin" w:hAnsi="IRNazanin" w:eastAsia="IRNazanin" w:cs="IRNazanin"/>
          <w:lang w:bidi="fa-IR"/>
          <w:color w:val="111111"/>
          <w:sz w:val="28"/>
          <w:szCs w:val="28"/>
          <w:rtl/>
        </w:rPr>
        <w:t xml:space="preserve">مداح الشاه عباس الماضی وزنه بالفضة فی صلة بعض مدائحه فی (1001) کما ترجمه فی خزانة عامرة (ص 269) و ذکر بالمناسبة جمعا کثیرا ممن کانت صلة شعرهم وزنهم بالفضة قال و توفی الشانی بمشهد خراسان (1023) و مر ولده حسن المتخلص ثانی و رأیت قصیدة طویلة فارسیة فی مدح أمیر المؤمنین علیه السلام  لشانی هذا ضمن مجموعة، کتب کثیر منها فی (1130) و ترجمه الصادقی فی (خص 7- ص 112) و ذکر أنه تمم دیوانه بنفسه (أقول) توجد نسخه من دیوان شانی تکلو فی مکتبة الآقا جعفر (سلطان القرائی) و هی بخط عبد اللطیف بن نظام الدین، فرغ من الکتابة فی یوم الاثنین الثانی و العشرین من شوال (1073) و کتبه بأمر الفاضل المولوی مولانا بدیع الزمان الفیروزآبادی، فیه القصائد و الغزلیات و الرباعیات فی (6257) بیتا أول القصائد فی مدح النبی  صلی الله علیه و آله  و البتول الطاهرة و الأئمة الاثنی عشر علیه السلام  ثم مدائح الملوک و الأمراء فی إیران و الهند أول القصائد قوله: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89" w:name="pg11704_121971"/>
    <w:bookmarkEnd w:id="489"/>
    <w:p>
      <w:pPr>
        <w:pStyle w:val="BookText"/>
      </w:pPr>
      <w:r>
        <w:rPr>
          <w:rFonts w:ascii="IRNazanin" w:hAnsi="IRNazanin" w:eastAsia="IRNazanin" w:cs="IRNazanin"/>
          <w:lang w:bidi="fa-IR"/>
          <w:color w:val="111111"/>
          <w:sz w:val="28"/>
          <w:szCs w:val="28"/>
          <w:rtl/>
        </w:rPr>
        <w:t xml:space="preserve">ای ز سودا سایه بر زلف ایاز انداخته‏</w:t>
      </w:r>
    </w:p>
    <w:p>
      <w:pPr>
        <w:pStyle w:val="BookText"/>
      </w:pPr>
      <w:r>
        <w:rPr>
          <w:rFonts w:ascii="IRNazanin" w:hAnsi="IRNazanin" w:eastAsia="IRNazanin" w:cs="IRNazanin"/>
          <w:lang w:bidi="fa-IR"/>
          <w:color w:val="111111"/>
          <w:sz w:val="28"/>
          <w:szCs w:val="28"/>
          <w:rtl/>
        </w:rPr>
        <w:t xml:space="preserve">گردن محمود را در دام ناز انداخته‏</w:t>
      </w:r>
    </w:p>
    <w:p>
      <w:pPr>
        <w:pStyle w:val="BookText"/>
      </w:pPr>
      <w:r>
        <w:rPr>
          <w:rFonts w:ascii="IRNazanin" w:hAnsi="IRNazanin" w:eastAsia="IRNazanin" w:cs="IRNazanin"/>
          <w:lang w:bidi="fa-IR"/>
          <w:color w:val="111111"/>
          <w:sz w:val="28"/>
          <w:szCs w:val="28"/>
          <w:rtl/>
        </w:rPr>
        <w:t xml:space="preserve">و أول غزلیاته:</w:t>
      </w:r>
    </w:p>
    <w:p>
      <w:pPr>
        <w:pStyle w:val="BookText"/>
      </w:pPr>
      <w:r>
        <w:rPr>
          <w:rFonts w:ascii="IRNazanin" w:hAnsi="IRNazanin" w:eastAsia="IRNazanin" w:cs="IRNazanin"/>
          <w:lang w:bidi="fa-IR"/>
          <w:color w:val="111111"/>
          <w:sz w:val="28"/>
          <w:szCs w:val="28"/>
          <w:rtl/>
        </w:rPr>
        <w:t xml:space="preserve">ای به ادای حمد تو زمزمه عقل و رأی را</w:t>
      </w:r>
    </w:p>
    <w:p>
      <w:pPr>
        <w:pStyle w:val="BookText"/>
      </w:pPr>
      <w:r>
        <w:rPr>
          <w:rFonts w:ascii="IRNazanin" w:hAnsi="IRNazanin" w:eastAsia="IRNazanin" w:cs="IRNazanin"/>
          <w:lang w:bidi="fa-IR"/>
          <w:color w:val="111111"/>
          <w:sz w:val="28"/>
          <w:szCs w:val="28"/>
          <w:rtl/>
        </w:rPr>
        <w:t xml:space="preserve">از تو حلاوت سخن طبع سخن‏سرای را</w:t>
      </w:r>
    </w:p>
    <w:p>
      <w:pPr>
        <w:pStyle w:val="BookText"/>
      </w:pPr>
      <w:r>
        <w:rPr>
          <w:rFonts w:ascii="IRNazanin" w:hAnsi="IRNazanin" w:eastAsia="IRNazanin" w:cs="IRNazanin"/>
          <w:lang w:bidi="fa-IR"/>
          <w:color w:val="111111"/>
          <w:sz w:val="28"/>
          <w:szCs w:val="28"/>
          <w:rtl/>
        </w:rPr>
        <w:t xml:space="preserve">و آخر الدیوان یختم برباعیته:</w:t>
      </w:r>
    </w:p>
    <w:p>
      <w:pPr>
        <w:pStyle w:val="BookText"/>
      </w:pPr>
      <w:r>
        <w:rPr>
          <w:rFonts w:ascii="IRNazanin" w:hAnsi="IRNazanin" w:eastAsia="IRNazanin" w:cs="IRNazanin"/>
          <w:lang w:bidi="fa-IR"/>
          <w:color w:val="111111"/>
          <w:sz w:val="28"/>
          <w:szCs w:val="28"/>
          <w:rtl/>
        </w:rPr>
        <w:t xml:space="preserve">دلبسته همت بلندم دارد</w:t>
      </w:r>
    </w:p>
    <w:p>
      <w:pPr>
        <w:pStyle w:val="BookText"/>
      </w:pPr>
      <w:r>
        <w:rPr>
          <w:rFonts w:ascii="IRNazanin" w:hAnsi="IRNazanin" w:eastAsia="IRNazanin" w:cs="IRNazanin"/>
          <w:lang w:bidi="fa-IR"/>
          <w:color w:val="111111"/>
          <w:sz w:val="28"/>
          <w:szCs w:val="28"/>
          <w:rtl/>
        </w:rPr>
        <w:t xml:space="preserve">در گوشه فقر پایبندم دارد</w:t>
      </w:r>
    </w:p>
    <w:p>
      <w:pPr>
        <w:pStyle w:val="BookText"/>
      </w:pPr>
      <w:r>
        <w:rPr>
          <w:rFonts w:ascii="IRNazanin" w:hAnsi="IRNazanin" w:eastAsia="IRNazanin" w:cs="IRNazanin"/>
          <w:lang w:bidi="fa-IR"/>
          <w:color w:val="111111"/>
          <w:sz w:val="28"/>
          <w:szCs w:val="28"/>
          <w:rtl/>
        </w:rPr>
        <w:t xml:space="preserve">هر چند که من قابل بزم تو نیم‏</w:t>
      </w:r>
    </w:p>
    <w:p>
      <w:pPr>
        <w:pStyle w:val="BookText"/>
      </w:pPr>
      <w:r>
        <w:rPr>
          <w:rFonts w:ascii="IRNazanin" w:hAnsi="IRNazanin" w:eastAsia="IRNazanin" w:cs="IRNazanin"/>
          <w:lang w:bidi="fa-IR"/>
          <w:color w:val="111111"/>
          <w:sz w:val="28"/>
          <w:szCs w:val="28"/>
          <w:rtl/>
        </w:rPr>
        <w:t xml:space="preserve">دوری رفیقان گله‏مندم دارد</w:t>
      </w:r>
    </w:p>
    <w:p>
      <w:pPr>
        <w:pStyle w:val="BookText"/>
      </w:pPr>
      <w:r>
        <w:rPr>
          <w:rFonts w:ascii="IRNazanin" w:hAnsi="IRNazanin" w:eastAsia="IRNazanin" w:cs="IRNazanin"/>
          <w:lang w:bidi="fa-IR"/>
          <w:color w:val="111111"/>
          <w:sz w:val="28"/>
          <w:szCs w:val="28"/>
          <w:rtl/>
        </w:rPr>
        <w:t xml:space="preserve">و نسخه أخری منه فی (بنگاله) کما فی فهرسها و ترجم شانی هذا فی (سرو آزاد- ص 28) و (حسینی- ص 172) و (سرخوش- ص 56) و (خوش‏گو) و (تش- 15) و (خز- ص 269) و (تغ- ص 70) و له مثنوی تتبع فیه مخزن الأسرار کما فی فهرس مکتبة دانشگاه تهران (ج 2 ص 44) و الظاهر أن شانی الرومی المتوفی (1180) و المذکور فی أسماء المؤلفین (ص 415) أخذ تخلصه من هذا الرجل‏</w:t>
      </w:r>
    </w:p>
    <w:p>
      <w:pPr>
        <w:pStyle w:val="Heading3"/>
      </w:pPr>
      <w:bookmarkStart w:id="4921" w:name="_Toc3617"/>
      <w:r>
        <w:t>2789- دیوان شانی شبستری أو شعره‏</w:t>
      </w:r>
      <w:bookmarkEnd w:id="4921"/>
    </w:p>
    <w:p>
      <w:pPr>
        <w:pStyle w:val="BookText"/>
      </w:pPr>
      <w:r>
        <w:rPr>
          <w:rFonts w:ascii="IRNazanin" w:hAnsi="IRNazanin" w:eastAsia="IRNazanin" w:cs="IRNazanin"/>
          <w:lang w:bidi="fa-IR"/>
          <w:color w:val="111111"/>
          <w:sz w:val="28"/>
          <w:szCs w:val="28"/>
          <w:rtl/>
        </w:rPr>
        <w:t xml:space="preserve">من الشعراء المذکورین فی حدیقة الشعراء کما نقل عنه فی (دجا- ص 187)</w:t>
      </w:r>
    </w:p>
    <w:p>
      <w:pPr>
        <w:pStyle w:val="Heading3"/>
      </w:pPr>
      <w:bookmarkStart w:id="4922" w:name="_Toc3618"/>
      <w:r>
        <w:t>دیوان شاه‏آفرین هندی‏</w:t>
      </w:r>
      <w:bookmarkEnd w:id="4922"/>
    </w:p>
    <w:p>
      <w:pPr>
        <w:pStyle w:val="BookText"/>
      </w:pPr>
      <w:r>
        <w:rPr>
          <w:rFonts w:ascii="IRNazanin" w:hAnsi="IRNazanin" w:eastAsia="IRNazanin" w:cs="IRNazanin"/>
          <w:lang w:bidi="fa-IR"/>
          <w:color w:val="111111"/>
          <w:sz w:val="28"/>
          <w:szCs w:val="28"/>
          <w:rtl/>
        </w:rPr>
        <w:t xml:space="preserve">مر فی (ص 10) بعنوان آفرین‏</w:t>
      </w:r>
    </w:p>
    <w:p>
      <w:pPr>
        <w:pStyle w:val="Heading3"/>
      </w:pPr>
      <w:bookmarkStart w:id="4923" w:name="_Toc3619"/>
      <w:r>
        <w:t>دیوان شاه إسماعیل صفوی‏</w:t>
      </w:r>
      <w:bookmarkEnd w:id="4923"/>
    </w:p>
    <w:p>
      <w:pPr>
        <w:pStyle w:val="BookText"/>
      </w:pPr>
      <w:r>
        <w:rPr>
          <w:rFonts w:ascii="IRNazanin" w:hAnsi="IRNazanin" w:eastAsia="IRNazanin" w:cs="IRNazanin"/>
          <w:lang w:bidi="fa-IR"/>
          <w:color w:val="111111"/>
          <w:sz w:val="28"/>
          <w:szCs w:val="28"/>
          <w:rtl/>
        </w:rPr>
        <w:t xml:space="preserve">مر بعنوان دیوان خطائی‏</w:t>
      </w:r>
    </w:p>
    <w:p>
      <w:pPr>
        <w:pStyle w:val="Heading3"/>
      </w:pPr>
      <w:bookmarkStart w:id="4924" w:name="_Toc3620"/>
      <w:r>
        <w:t>دیوان شاه بابا أصفهانی‏</w:t>
      </w:r>
      <w:bookmarkEnd w:id="4924"/>
    </w:p>
    <w:p>
      <w:pPr>
        <w:pStyle w:val="BookText"/>
      </w:pPr>
      <w:r>
        <w:rPr>
          <w:rFonts w:ascii="IRNazanin" w:hAnsi="IRNazanin" w:eastAsia="IRNazanin" w:cs="IRNazanin"/>
          <w:lang w:bidi="fa-IR"/>
          <w:color w:val="111111"/>
          <w:sz w:val="28"/>
          <w:szCs w:val="28"/>
          <w:rtl/>
        </w:rPr>
        <w:t xml:space="preserve">مر فی (ص 226) بعنوان حالی و ترجمه فی روضة الصفا</w:t>
      </w:r>
    </w:p>
    <w:p>
      <w:pPr>
        <w:pStyle w:val="Heading3"/>
      </w:pPr>
      <w:bookmarkStart w:id="4925" w:name="_Toc3621"/>
      <w:r>
        <w:t>2790- دیوان شاهباز تبریزی أو شعره‏</w:t>
      </w:r>
      <w:bookmarkEnd w:id="4925"/>
    </w:p>
    <w:p>
      <w:pPr>
        <w:pStyle w:val="BookText"/>
      </w:pPr>
      <w:r>
        <w:rPr>
          <w:rFonts w:ascii="IRNazanin" w:hAnsi="IRNazanin" w:eastAsia="IRNazanin" w:cs="IRNazanin"/>
          <w:lang w:bidi="fa-IR"/>
          <w:color w:val="111111"/>
          <w:sz w:val="28"/>
          <w:szCs w:val="28"/>
          <w:rtl/>
        </w:rPr>
        <w:t xml:space="preserve">من شعراء القرن الثالث عشر بالترکیة ترجمه فی (دجا- ص 187) نقلا عن حدیقة الشعراء</w:t>
      </w:r>
    </w:p>
    <w:p>
      <w:pPr>
        <w:pStyle w:val="Heading3"/>
      </w:pPr>
      <w:bookmarkStart w:id="4926" w:name="_Toc3622"/>
      <w:r>
        <w:t>دیوان شاه باقر کاشی أو شعره‏</w:t>
      </w:r>
      <w:bookmarkEnd w:id="4926"/>
    </w:p>
    <w:p>
      <w:pPr>
        <w:pStyle w:val="BookText"/>
      </w:pPr>
      <w:r>
        <w:rPr>
          <w:rFonts w:ascii="IRNazanin" w:hAnsi="IRNazanin" w:eastAsia="IRNazanin" w:cs="IRNazanin"/>
          <w:lang w:bidi="fa-IR"/>
          <w:color w:val="111111"/>
          <w:sz w:val="28"/>
          <w:szCs w:val="28"/>
          <w:rtl/>
        </w:rPr>
        <w:t xml:space="preserve">ترجمه فی (خوش‏گو) و مر فی (ص 122) بعنوان باقر کاشی‏</w:t>
      </w:r>
    </w:p>
    <w:p>
      <w:pPr>
        <w:pStyle w:val="Heading3"/>
      </w:pPr>
      <w:bookmarkStart w:id="4927" w:name="_Toc3623"/>
      <w:r>
        <w:t>2791- دیوان شاه باقر لاری أو شعره‏</w:t>
      </w:r>
      <w:bookmarkEnd w:id="4927"/>
    </w:p>
    <w:p>
      <w:pPr>
        <w:pStyle w:val="BookText"/>
      </w:pPr>
      <w:r>
        <w:rPr>
          <w:rFonts w:ascii="IRNazanin" w:hAnsi="IRNazanin" w:eastAsia="IRNazanin" w:cs="IRNazanin"/>
          <w:lang w:bidi="fa-IR"/>
          <w:color w:val="111111"/>
          <w:sz w:val="28"/>
          <w:szCs w:val="28"/>
          <w:rtl/>
        </w:rPr>
        <w:t xml:space="preserve">و هو ابن الحکیم شاه معصوم کان کأبیه ماهرا فی الطب أورد ذکره و والده، معاصرهما الحزین فی تذکرته (ص 88) و عنه فی لارستان کهن- ص 139</w:t>
      </w:r>
    </w:p>
    <w:p>
      <w:pPr>
        <w:pStyle w:val="Heading3"/>
      </w:pPr>
      <w:bookmarkStart w:id="4928" w:name="_Toc3624"/>
      <w:r>
        <w:t>دیوان شاه بدخشان‏</w:t>
      </w:r>
      <w:bookmarkEnd w:id="4928"/>
    </w:p>
    <w:p>
      <w:pPr>
        <w:pStyle w:val="BookText"/>
      </w:pPr>
      <w:r>
        <w:rPr>
          <w:rFonts w:ascii="IRNazanin" w:hAnsi="IRNazanin" w:eastAsia="IRNazanin" w:cs="IRNazanin"/>
          <w:lang w:bidi="fa-IR"/>
          <w:color w:val="111111"/>
          <w:sz w:val="28"/>
          <w:szCs w:val="28"/>
          <w:rtl/>
        </w:rPr>
        <w:t xml:space="preserve">یأتی بتخلصه لعلی فی اللام‏</w:t>
      </w:r>
    </w:p>
    <w:p>
      <w:pPr>
        <w:pStyle w:val="Heading3"/>
      </w:pPr>
      <w:bookmarkStart w:id="4929" w:name="_Toc3625"/>
      <w:r>
        <w:t>2792- دیوان شاه بدخشانی‏</w:t>
      </w:r>
      <w:bookmarkEnd w:id="4929"/>
    </w:p>
    <w:p>
      <w:pPr>
        <w:pStyle w:val="BookText"/>
      </w:pPr>
      <w:r>
        <w:rPr>
          <w:rFonts w:ascii="IRNazanin" w:hAnsi="IRNazanin" w:eastAsia="IRNazanin" w:cs="IRNazanin"/>
          <w:lang w:bidi="fa-IR"/>
          <w:color w:val="111111"/>
          <w:sz w:val="28"/>
          <w:szCs w:val="28"/>
          <w:rtl/>
        </w:rPr>
        <w:t xml:space="preserve">و اسمه ملا شاه ولد ببدخشان و سافر إلی الهند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90" w:name="pg11704_121972"/>
    <w:bookmarkEnd w:id="490"/>
    <w:p>
      <w:pPr>
        <w:pStyle w:val="BookText"/>
      </w:pPr>
      <w:r>
        <w:rPr>
          <w:rFonts w:ascii="IRNazanin" w:hAnsi="IRNazanin" w:eastAsia="IRNazanin" w:cs="IRNazanin"/>
          <w:lang w:bidi="fa-IR"/>
          <w:color w:val="111111"/>
          <w:sz w:val="28"/>
          <w:szCs w:val="28"/>
          <w:rtl/>
        </w:rPr>
        <w:t xml:space="preserve">و نزل کشمیر و تلمذ علی میان شاه و ترقی أمره بعد وفاته، و کان معجبا بنفسه ترجمه و ذمه النصرآبادی فی (نر 3- ص 63) و (خوش‏گو) و ترجمه مفصلا فی (خیال- ص 127- 139) و قال مات (1070) لکن فی ذیل کشف الظنون (1069) ثم أورد المیر علی لودی تفسیره للجزء الأول من القرآن و ترجمه فی (ض- ص 161) و الریحانة نقلا عن القاموس الترکی و ذکر تکفیر العوام له و السعی فی قتله و ذکر إسماعیل پاشا دیوانه الفارسی فی ذیل کشف الظنون‏</w:t>
      </w:r>
    </w:p>
    <w:p>
      <w:pPr>
        <w:pStyle w:val="Heading3"/>
      </w:pPr>
      <w:bookmarkStart w:id="4930" w:name="_Toc3626"/>
      <w:r>
        <w:t>دیوان شاهپور</w:t>
      </w:r>
      <w:bookmarkEnd w:id="4930"/>
    </w:p>
    <w:p>
      <w:pPr>
        <w:pStyle w:val="BookText"/>
      </w:pPr>
      <w:r>
        <w:rPr>
          <w:rFonts w:ascii="IRNazanin" w:hAnsi="IRNazanin" w:eastAsia="IRNazanin" w:cs="IRNazanin"/>
          <w:lang w:bidi="fa-IR"/>
          <w:color w:val="111111"/>
          <w:sz w:val="28"/>
          <w:szCs w:val="28"/>
          <w:rtl/>
        </w:rPr>
        <w:t xml:space="preserve">راجع دیوان شاپور</w:t>
      </w:r>
    </w:p>
    <w:p>
      <w:pPr>
        <w:pStyle w:val="Heading3"/>
      </w:pPr>
      <w:bookmarkStart w:id="4931" w:name="_Toc3627"/>
      <w:r>
        <w:t>دیوان شاهپور أشهری‏</w:t>
      </w:r>
      <w:bookmarkEnd w:id="4931"/>
    </w:p>
    <w:p>
      <w:pPr>
        <w:pStyle w:val="BookText"/>
      </w:pPr>
      <w:r>
        <w:rPr>
          <w:rFonts w:ascii="IRNazanin" w:hAnsi="IRNazanin" w:eastAsia="IRNazanin" w:cs="IRNazanin"/>
          <w:lang w:bidi="fa-IR"/>
          <w:color w:val="111111"/>
          <w:sz w:val="28"/>
          <w:szCs w:val="28"/>
          <w:rtl/>
        </w:rPr>
        <w:t xml:space="preserve">راجع دیوان شاهپور نیشابوری‏</w:t>
      </w:r>
    </w:p>
    <w:p>
      <w:pPr>
        <w:pStyle w:val="Heading3"/>
      </w:pPr>
      <w:bookmarkStart w:id="4932" w:name="_Toc3628"/>
      <w:r>
        <w:t>2793- دیوان شاهپور نیشابوری أو شعره‏</w:t>
      </w:r>
      <w:bookmarkEnd w:id="4932"/>
    </w:p>
    <w:p>
      <w:pPr>
        <w:pStyle w:val="BookText"/>
      </w:pPr>
      <w:r>
        <w:rPr>
          <w:rFonts w:ascii="IRNazanin" w:hAnsi="IRNazanin" w:eastAsia="IRNazanin" w:cs="IRNazanin"/>
          <w:lang w:bidi="fa-IR"/>
          <w:color w:val="111111"/>
          <w:sz w:val="28"/>
          <w:szCs w:val="28"/>
          <w:rtl/>
        </w:rPr>
        <w:t xml:space="preserve">و اسمه شاهپور بن محمد المتصل نسبه إلی عمر الخیام تلمذ علی ظهیر الدین الفاریابی، و کان السلطان محمد بن تکش قد عهد منصب الإنشاء إلیه له رسالة شاهفوری فی الاستیفاء و رسائل فی الإنشاء ترجمه و أورد شعره دولت شاه فی الطبقة الثالثة، و أورد نهیه لنور الدین وزیر جلال الدین عن شرب الخمر و قال فی (خیال- ص 52) إنه من تلامیذ الخواجة نور الدین الطبسی المذکور، وزیر جلال الدین محمد خوارزم شاه، و أورد القصة المذکورة مع زیادات مات بتبریز فی (600) و دفن بمقبرة سرخاب جنب قبر الخاقانی و الظهیر الفاریابی و عده فی شاهد صادق من المتوفین فی (645) و سماه شاهپور أشهری نیشابوری و ترجمه أیضا فی (گلشن- ص 230) و لا تشتبه هذا الرجل بشاهپور الأسفراینی طاهر بن محمد المتوفی (471) صاحب تاج التراجم فی التفسیر للأعاجم الذی ذکره إسماعیل پاشا فی أسماء المؤلفین (ج 1 ص 430)</w:t>
      </w:r>
    </w:p>
    <w:p>
      <w:pPr>
        <w:pStyle w:val="Heading3"/>
      </w:pPr>
      <w:bookmarkStart w:id="4933" w:name="_Toc3629"/>
      <w:r>
        <w:t>2794- دیوان شاه تراب کاکوروی‏</w:t>
      </w:r>
      <w:bookmarkEnd w:id="4933"/>
    </w:p>
    <w:p>
      <w:pPr>
        <w:pStyle w:val="BookText"/>
      </w:pPr>
      <w:r>
        <w:rPr>
          <w:rFonts w:ascii="IRNazanin" w:hAnsi="IRNazanin" w:eastAsia="IRNazanin" w:cs="IRNazanin"/>
          <w:lang w:bidi="fa-IR"/>
          <w:color w:val="111111"/>
          <w:sz w:val="28"/>
          <w:szCs w:val="28"/>
          <w:rtl/>
        </w:rPr>
        <w:t xml:space="preserve">طبع دیوانه بهذا العنوان فی (نولکشور) بالهند و لعله ترابی پانی‏پتی المذکور فی (ص 169)</w:t>
      </w:r>
    </w:p>
    <w:p>
      <w:pPr>
        <w:pStyle w:val="Heading3"/>
      </w:pPr>
      <w:bookmarkStart w:id="4934" w:name="_Toc3630"/>
      <w:r>
        <w:t>دیوان شاه تقی میرزا</w:t>
      </w:r>
      <w:bookmarkEnd w:id="4934"/>
    </w:p>
    <w:p>
      <w:pPr>
        <w:pStyle w:val="BookText"/>
      </w:pPr>
      <w:r>
        <w:rPr>
          <w:rFonts w:ascii="IRNazanin" w:hAnsi="IRNazanin" w:eastAsia="IRNazanin" w:cs="IRNazanin"/>
          <w:lang w:bidi="fa-IR"/>
          <w:color w:val="111111"/>
          <w:sz w:val="28"/>
          <w:szCs w:val="28"/>
          <w:rtl/>
        </w:rPr>
        <w:t xml:space="preserve">یأتی بتخلصه واحد</w:t>
      </w:r>
    </w:p>
    <w:p>
      <w:pPr>
        <w:pStyle w:val="Heading3"/>
      </w:pPr>
      <w:bookmarkStart w:id="4935" w:name="_Toc3631"/>
      <w:r>
        <w:t>2795- دیوان شاه‏جهان بیگم أو شعرها</w:t>
      </w:r>
      <w:bookmarkEnd w:id="4935"/>
    </w:p>
    <w:p>
      <w:pPr>
        <w:pStyle w:val="BookText"/>
      </w:pPr>
      <w:r>
        <w:rPr>
          <w:rFonts w:ascii="IRNazanin" w:hAnsi="IRNazanin" w:eastAsia="IRNazanin" w:cs="IRNazanin"/>
          <w:lang w:bidi="fa-IR"/>
          <w:color w:val="111111"/>
          <w:sz w:val="28"/>
          <w:szCs w:val="28"/>
          <w:rtl/>
        </w:rPr>
        <w:t xml:space="preserve">و هی بنت جهانگیر خان حاکم بهوپال بالهند من قبل الحکومة الإنگلیزیة ولدت فی (1254) و أمها سکندر بیگم، و تزوجت بالسید محمد صدیق حسن خان، و ولدت له سلیم بهوپالی المذکور فی (ص 464) و بعد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91" w:name="pg11704_121973"/>
    <w:bookmarkEnd w:id="491"/>
    <w:p>
      <w:pPr>
        <w:pStyle w:val="BookText"/>
      </w:pPr>
      <w:r>
        <w:rPr>
          <w:rFonts w:ascii="IRNazanin" w:hAnsi="IRNazanin" w:eastAsia="IRNazanin" w:cs="IRNazanin"/>
          <w:lang w:bidi="fa-IR"/>
          <w:color w:val="111111"/>
          <w:sz w:val="28"/>
          <w:szCs w:val="28"/>
          <w:rtl/>
        </w:rPr>
        <w:t xml:space="preserve">موت والدها جهانگیر فی (1285) جلست فی مسند الحکم و لقبتها ویکتوریا ملکة بریطانیا ب گراون اف إیندیا ترجمها و أورد شعرها فی تذکره الخواتین- ص 143 المؤلفة لها و کذا فی شمع انجمن و نگارستان سخن و ماه درخشان و أختر تابان و طور کلیم و بزم سخن و خیرات حسان (ج 2- ص 203)</w:t>
      </w:r>
    </w:p>
    <w:p>
      <w:pPr>
        <w:pStyle w:val="Heading3"/>
      </w:pPr>
      <w:bookmarkStart w:id="4936" w:name="_Toc3632"/>
      <w:r>
        <w:t>2796- دیوان شاه حسین أردوبادی أو شعره‏</w:t>
      </w:r>
      <w:bookmarkEnd w:id="4936"/>
    </w:p>
    <w:p>
      <w:pPr>
        <w:pStyle w:val="BookText"/>
      </w:pPr>
      <w:r>
        <w:rPr>
          <w:rFonts w:ascii="IRNazanin" w:hAnsi="IRNazanin" w:eastAsia="IRNazanin" w:cs="IRNazanin"/>
          <w:lang w:bidi="fa-IR"/>
          <w:color w:val="111111"/>
          <w:sz w:val="28"/>
          <w:szCs w:val="28"/>
          <w:rtl/>
        </w:rPr>
        <w:t xml:space="preserve">ترجمه فی (دجا- ص 187) نقلا عن تحفه سامی و قال إنه کان فی أوائل عمره قد سافر إلی خراسان و حضر مجالس الأمیر علی شیر الوزیر و تقرب إلیه و نال الجوائز و الصلات، و أورد بعض شعره‏</w:t>
      </w:r>
    </w:p>
    <w:p>
      <w:pPr>
        <w:pStyle w:val="Heading3"/>
      </w:pPr>
      <w:bookmarkStart w:id="4937" w:name="_Toc3633"/>
      <w:r>
        <w:t>2797- دیوان شاه حسین أصفهانی أو شعره‏</w:t>
      </w:r>
      <w:bookmarkEnd w:id="4937"/>
    </w:p>
    <w:p>
      <w:pPr>
        <w:pStyle w:val="BookText"/>
      </w:pPr>
      <w:r>
        <w:rPr>
          <w:rFonts w:ascii="IRNazanin" w:hAnsi="IRNazanin" w:eastAsia="IRNazanin" w:cs="IRNazanin"/>
          <w:lang w:bidi="fa-IR"/>
          <w:color w:val="111111"/>
          <w:sz w:val="28"/>
          <w:szCs w:val="28"/>
          <w:rtl/>
        </w:rPr>
        <w:t xml:space="preserve">و هو اعتماد الدولة کمال الدین میرزا شاه حسین، الوزیر الأعظم للشاه إسماعیل الفاتح قتل فی قصر هشت بهشت بتبریز بید مهتر شاه قلی غیلة فی (925) کما ذکر مفصلا فی حبیب السیر و أحسن التواریخ و قد أضاف الهروی فی آخر ترجمته لمجالس النفائس فصلا فی أحوال هذا الوزیر فی (مجتس 10- ص 176) و أورد شعره فی (تس 3- ص 55) و خلط البیگدلی فی (تش- ص 177) فجمع بین الرجل و بین شاه حسین المتخلص ساقی الآتی فجعل تخلص الوزیر ساقی فذکرناه فی (ص 416) تبعا له‏</w:t>
      </w:r>
    </w:p>
    <w:p>
      <w:pPr>
        <w:pStyle w:val="Heading3"/>
      </w:pPr>
      <w:bookmarkStart w:id="4938" w:name="_Toc3634"/>
      <w:r>
        <w:t>دیوان شاه حسین أوبهی‏</w:t>
      </w:r>
      <w:bookmarkEnd w:id="4938"/>
    </w:p>
    <w:p>
      <w:pPr>
        <w:pStyle w:val="BookText"/>
      </w:pPr>
      <w:r>
        <w:rPr>
          <w:rFonts w:ascii="IRNazanin" w:hAnsi="IRNazanin" w:eastAsia="IRNazanin" w:cs="IRNazanin"/>
          <w:lang w:bidi="fa-IR"/>
          <w:color w:val="111111"/>
          <w:sz w:val="28"/>
          <w:szCs w:val="28"/>
          <w:rtl/>
        </w:rPr>
        <w:t xml:space="preserve">أصله من أوبه من نواحی خراسان یأتی بعنوان تخلصه کامی أوبهی‏</w:t>
      </w:r>
    </w:p>
    <w:p>
      <w:pPr>
        <w:pStyle w:val="Heading3"/>
      </w:pPr>
      <w:bookmarkStart w:id="4939" w:name="_Toc3635"/>
      <w:r>
        <w:t>دیوان شاه حسین خراسانی‏</w:t>
      </w:r>
      <w:bookmarkEnd w:id="4939"/>
    </w:p>
    <w:p>
      <w:pPr>
        <w:pStyle w:val="BookText"/>
      </w:pPr>
      <w:r>
        <w:rPr>
          <w:rFonts w:ascii="IRNazanin" w:hAnsi="IRNazanin" w:eastAsia="IRNazanin" w:cs="IRNazanin"/>
          <w:lang w:bidi="fa-IR"/>
          <w:color w:val="111111"/>
          <w:sz w:val="28"/>
          <w:szCs w:val="28"/>
          <w:rtl/>
        </w:rPr>
        <w:t xml:space="preserve">مر بعنوان بزمی‏</w:t>
      </w:r>
    </w:p>
    <w:p>
      <w:pPr>
        <w:pStyle w:val="Heading3"/>
      </w:pPr>
      <w:bookmarkStart w:id="4940" w:name="_Toc3636"/>
      <w:r>
        <w:t>دیوان شاه حسین ساقی أصفهانی‏</w:t>
      </w:r>
      <w:bookmarkEnd w:id="4940"/>
    </w:p>
    <w:p>
      <w:pPr>
        <w:pStyle w:val="BookText"/>
      </w:pPr>
      <w:r>
        <w:rPr>
          <w:rFonts w:ascii="IRNazanin" w:hAnsi="IRNazanin" w:eastAsia="IRNazanin" w:cs="IRNazanin"/>
          <w:lang w:bidi="fa-IR"/>
          <w:color w:val="111111"/>
          <w:sz w:val="28"/>
          <w:szCs w:val="28"/>
          <w:rtl/>
        </w:rPr>
        <w:t xml:space="preserve">ترجمه سام میرزا فی (تس 5- ص 121) و ذکر أنه توفی فی حوالی دامغان فی (941) و أورد بعض شعره و قد ذکرنا فی (ص 416) ساقی تخلصا للوزیر المذکور قبل هذا و لیس بصحیح‏</w:t>
      </w:r>
    </w:p>
    <w:p>
      <w:pPr>
        <w:pStyle w:val="Heading3"/>
      </w:pPr>
      <w:bookmarkStart w:id="4941" w:name="_Toc3637"/>
      <w:r>
        <w:t>2798- دیوان شاه دارابجردی‏</w:t>
      </w:r>
      <w:bookmarkEnd w:id="4941"/>
    </w:p>
    <w:p>
      <w:pPr>
        <w:pStyle w:val="BookText"/>
      </w:pPr>
      <w:r>
        <w:rPr>
          <w:rFonts w:ascii="IRNazanin" w:hAnsi="IRNazanin" w:eastAsia="IRNazanin" w:cs="IRNazanin"/>
          <w:lang w:bidi="fa-IR"/>
          <w:color w:val="111111"/>
          <w:sz w:val="28"/>
          <w:szCs w:val="28"/>
          <w:rtl/>
        </w:rPr>
        <w:t xml:space="preserve">للمولی محمد الدارابی المتخلص شاه سافر إلی الهند و رجع إلی إیران حین تألیف النصرآبادی لتذکرته، فذکره فی (نر 6- ص 186) و قال إنه مشغول بتألیف تذکره الشعراء، و أطری علمه و فضله و قد ذکرنا تذکرته فی (ج 4 ص 38) نقلا عن (گلشن- ص 220) و أورد شعره فی (پژمان- ص 851)</w:t>
      </w:r>
    </w:p>
    <w:p>
      <w:pPr>
        <w:pStyle w:val="Heading3"/>
      </w:pPr>
      <w:bookmarkStart w:id="4942" w:name="_Toc3638"/>
      <w:r>
        <w:t>2799- دیوان شاهدای گیلانی أو شعره‏</w:t>
      </w:r>
      <w:bookmarkEnd w:id="4942"/>
    </w:p>
    <w:p>
      <w:pPr>
        <w:pStyle w:val="BookText"/>
      </w:pPr>
      <w:r>
        <w:rPr>
          <w:rFonts w:ascii="IRNazanin" w:hAnsi="IRNazanin" w:eastAsia="IRNazanin" w:cs="IRNazanin"/>
          <w:lang w:bidi="fa-IR"/>
          <w:color w:val="111111"/>
          <w:sz w:val="28"/>
          <w:szCs w:val="28"/>
          <w:rtl/>
        </w:rPr>
        <w:t xml:space="preserve">ترجمه و أورد شعره معاصره فی (نر 9-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92" w:name="pg11704_121974"/>
    <w:bookmarkEnd w:id="492"/>
    <w:p>
      <w:pPr>
        <w:pStyle w:val="BookText"/>
      </w:pPr>
      <w:r>
        <w:rPr>
          <w:rFonts w:ascii="IRNazanin" w:hAnsi="IRNazanin" w:eastAsia="IRNazanin" w:cs="IRNazanin"/>
          <w:lang w:bidi="fa-IR"/>
          <w:color w:val="111111"/>
          <w:sz w:val="28"/>
          <w:szCs w:val="28"/>
          <w:rtl/>
        </w:rPr>
        <w:t xml:space="preserve">ص 375) و قال إنه من صلحاء أردبیل و کذا فی (گلشن- ص 230)</w:t>
      </w:r>
    </w:p>
    <w:p>
      <w:pPr>
        <w:pStyle w:val="Heading3"/>
      </w:pPr>
      <w:bookmarkStart w:id="4943" w:name="_Toc3639"/>
      <w:r>
        <w:t>دیوان شاه داعی شیرازی‏</w:t>
      </w:r>
      <w:bookmarkEnd w:id="4943"/>
    </w:p>
    <w:p>
      <w:pPr>
        <w:pStyle w:val="BookText"/>
      </w:pPr>
      <w:r>
        <w:rPr>
          <w:rFonts w:ascii="IRNazanin" w:hAnsi="IRNazanin" w:eastAsia="IRNazanin" w:cs="IRNazanin"/>
          <w:lang w:bidi="fa-IR"/>
          <w:color w:val="111111"/>
          <w:sz w:val="28"/>
          <w:szCs w:val="28"/>
          <w:rtl/>
        </w:rPr>
        <w:t xml:space="preserve">مر بعنوان دیوان داعی شیرازی‏</w:t>
      </w:r>
    </w:p>
    <w:p>
      <w:pPr>
        <w:pStyle w:val="Heading3"/>
      </w:pPr>
      <w:bookmarkStart w:id="4944" w:name="_Toc3640"/>
      <w:r>
        <w:t>2800- دیوان شاهد شیرازی أو شعره‏</w:t>
      </w:r>
      <w:bookmarkEnd w:id="4944"/>
    </w:p>
    <w:p>
      <w:pPr>
        <w:pStyle w:val="BookText"/>
      </w:pPr>
      <w:r>
        <w:rPr>
          <w:rFonts w:ascii="IRNazanin" w:hAnsi="IRNazanin" w:eastAsia="IRNazanin" w:cs="IRNazanin"/>
          <w:lang w:bidi="fa-IR"/>
          <w:color w:val="111111"/>
          <w:sz w:val="28"/>
          <w:szCs w:val="28"/>
          <w:rtl/>
        </w:rPr>
        <w:t xml:space="preserve">و هو المیر مؤمن بن أبی القاسم ولد فی بلدة ایزد خواست، من محال شیراز و اشتغل بشیراز ترجمه معاصره هدایت فی (ض- ص 456) و (مع- ج 2- 249) و عنهما فی الریحانة</w:t>
      </w:r>
    </w:p>
    <w:p>
      <w:pPr>
        <w:pStyle w:val="Heading3"/>
      </w:pPr>
      <w:bookmarkStart w:id="4945" w:name="_Toc3641"/>
      <w:r>
        <w:t>2801- دیوان شاهدی بلگرامی‏</w:t>
      </w:r>
      <w:bookmarkEnd w:id="4945"/>
    </w:p>
    <w:p>
      <w:pPr>
        <w:pStyle w:val="BookText"/>
      </w:pPr>
      <w:r>
        <w:rPr>
          <w:rFonts w:ascii="IRNazanin" w:hAnsi="IRNazanin" w:eastAsia="IRNazanin" w:cs="IRNazanin"/>
          <w:lang w:bidi="fa-IR"/>
          <w:color w:val="111111"/>
          <w:sz w:val="28"/>
          <w:szCs w:val="28"/>
          <w:rtl/>
        </w:rPr>
        <w:t xml:space="preserve">و هو المیر عبد الواحد الحسینی الواسطی البلگرامی، تلمیذ الشیخ صفی السائی‏پوری و الشیخ حسین سکندره. له السنابل و حل شبهات و شرح کافیة و دیوان صغیر. و مات (3 رمضان- 1017) ترجمه فی سرو آزاد- ص 247- 248. نقلا عن المیر علاء الدولة القزوینی فی نفائس المآثر و البدوانی فی منتخب التواریخ.</w:t>
      </w:r>
    </w:p>
    <w:p>
      <w:pPr>
        <w:pStyle w:val="Heading3"/>
      </w:pPr>
      <w:bookmarkStart w:id="4946" w:name="_Toc3642"/>
      <w:r>
        <w:t>2802- دیوان شاهدی دده‏</w:t>
      </w:r>
      <w:bookmarkEnd w:id="4946"/>
    </w:p>
    <w:p>
      <w:pPr>
        <w:pStyle w:val="BookText"/>
      </w:pPr>
      <w:r>
        <w:rPr>
          <w:rFonts w:ascii="IRNazanin" w:hAnsi="IRNazanin" w:eastAsia="IRNazanin" w:cs="IRNazanin"/>
          <w:lang w:bidi="fa-IR"/>
          <w:color w:val="111111"/>
          <w:sz w:val="28"/>
          <w:szCs w:val="28"/>
          <w:rtl/>
        </w:rPr>
        <w:t xml:space="preserve">و اسمه إبراهیم دده ابن صالح المغلوی. له مفردات مثنوی انتخب فیه مائة بیت من کل دفتر من الدفاتر الستة للمثنوی للمولوی، ثم شرح کل بیت بخمسة أبیات فی (940) و سماه گلشن توحید موجودة فی (المجلس) فی (3749 بیتا) کما فی فهرسها (ج 3 ص 632) و ثلاث نسخ عند (الملک) و نسخه فی بریتش موزیوم، و قال ریو فی فهرسه إن له تحفه شاهدی</w:t>
      </w:r>
    </w:p>
    <w:p>
      <w:pPr>
        <w:pStyle w:val="BookText"/>
      </w:pPr>
      <w:r>
        <w:rPr>
          <w:rFonts w:ascii="IRNazanin" w:hAnsi="IRNazanin" w:eastAsia="IRNazanin" w:cs="IRNazanin"/>
          <w:lang w:bidi="fa-IR"/>
          <w:color w:val="111111"/>
          <w:sz w:val="28"/>
          <w:szCs w:val="28"/>
          <w:rtl/>
        </w:rPr>
        <w:t xml:space="preserve">فی لغة الفرس و مات (957) و کذا إسماعیل پاشا فی أسماء المؤلفین (ج 1- ص 27) و فی کشف الظنون أنه مات (927).</w:t>
      </w:r>
    </w:p>
    <w:p>
      <w:pPr>
        <w:pStyle w:val="Heading3"/>
      </w:pPr>
      <w:bookmarkStart w:id="4947" w:name="_Toc3643"/>
      <w:r>
        <w:t>2803- دیوان شاهدی نیشابوری أو شعره‏</w:t>
      </w:r>
      <w:bookmarkEnd w:id="4947"/>
    </w:p>
    <w:p>
      <w:pPr>
        <w:pStyle w:val="BookText"/>
      </w:pPr>
      <w:r>
        <w:rPr>
          <w:rFonts w:ascii="IRNazanin" w:hAnsi="IRNazanin" w:eastAsia="IRNazanin" w:cs="IRNazanin"/>
          <w:lang w:bidi="fa-IR"/>
          <w:color w:val="111111"/>
          <w:sz w:val="28"/>
          <w:szCs w:val="28"/>
          <w:rtl/>
        </w:rPr>
        <w:t xml:space="preserve">أورد شعره فی (تش- 138) و (پژمان ص 229).</w:t>
      </w:r>
    </w:p>
    <w:p>
      <w:pPr>
        <w:pStyle w:val="Heading3"/>
      </w:pPr>
      <w:bookmarkStart w:id="4948" w:name="_Toc3644"/>
      <w:r>
        <w:t>2804- دیوان شاه رشید کاشی‏</w:t>
      </w:r>
      <w:bookmarkEnd w:id="4948"/>
    </w:p>
    <w:p>
      <w:pPr>
        <w:pStyle w:val="BookText"/>
      </w:pPr>
      <w:r>
        <w:rPr>
          <w:rFonts w:ascii="IRNazanin" w:hAnsi="IRNazanin" w:eastAsia="IRNazanin" w:cs="IRNazanin"/>
          <w:lang w:bidi="fa-IR"/>
          <w:color w:val="111111"/>
          <w:sz w:val="28"/>
          <w:szCs w:val="28"/>
          <w:rtl/>
        </w:rPr>
        <w:t xml:space="preserve">المعمر. ترجمه معاصره النصرآبادی فی (نر 9- ص 372) و ذکر أنه سافر برهة إلی الهند و أورد رباعیة له و شعرا.</w:t>
      </w:r>
    </w:p>
    <w:p>
      <w:pPr>
        <w:pStyle w:val="Heading3"/>
      </w:pPr>
      <w:bookmarkStart w:id="4949" w:name="_Toc3645"/>
      <w:r>
        <w:t>دیوان شاه رضا</w:t>
      </w:r>
      <w:bookmarkEnd w:id="4949"/>
    </w:p>
    <w:p>
      <w:pPr>
        <w:pStyle w:val="BookText"/>
      </w:pPr>
      <w:r>
        <w:rPr>
          <w:rFonts w:ascii="IRNazanin" w:hAnsi="IRNazanin" w:eastAsia="IRNazanin" w:cs="IRNazanin"/>
          <w:lang w:bidi="fa-IR"/>
          <w:color w:val="111111"/>
          <w:sz w:val="28"/>
          <w:szCs w:val="28"/>
          <w:rtl/>
        </w:rPr>
        <w:t xml:space="preserve">المتخلص بتسلیم مر بعنوان تخلصه.</w:t>
      </w:r>
    </w:p>
    <w:p>
      <w:pPr>
        <w:pStyle w:val="Heading3"/>
      </w:pPr>
      <w:bookmarkStart w:id="4950" w:name="_Toc3646"/>
      <w:r>
        <w:t>2805- دیوان شاه سنجان أو شعره‏</w:t>
      </w:r>
      <w:bookmarkEnd w:id="4950"/>
    </w:p>
    <w:p>
      <w:pPr>
        <w:pStyle w:val="BookText"/>
      </w:pPr>
      <w:r>
        <w:rPr>
          <w:rFonts w:ascii="IRNazanin" w:hAnsi="IRNazanin" w:eastAsia="IRNazanin" w:cs="IRNazanin"/>
          <w:lang w:bidi="fa-IR"/>
          <w:color w:val="111111"/>
          <w:sz w:val="28"/>
          <w:szCs w:val="28"/>
          <w:rtl/>
        </w:rPr>
        <w:t xml:space="preserve">و هو الخواجة رکن الدین محمود الخوافی السنجانی، من عرفاء الشعراء فی القرن السادس و من تلامیذ الخواجة مودود الچشتی و هذا هو الذی لقبه شاه سنجان و توفی (597) کما فی شاهد صادق و قیل فی تاریخه عالی زبده دین شاه محمود ترجمه فی خزینة الأصفیاء (ج 1- ص 252) و (تش‏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93" w:name="pg11704_121975"/>
    <w:bookmarkEnd w:id="493"/>
    <w:p>
      <w:pPr>
        <w:pStyle w:val="BookText"/>
      </w:pPr>
      <w:r>
        <w:rPr>
          <w:rFonts w:ascii="IRNazanin" w:hAnsi="IRNazanin" w:eastAsia="IRNazanin" w:cs="IRNazanin"/>
          <w:lang w:bidi="fa-IR"/>
          <w:color w:val="111111"/>
          <w:sz w:val="28"/>
          <w:szCs w:val="28"/>
          <w:rtl/>
        </w:rPr>
        <w:t xml:space="preserve">ص 77) و (تغ- ص 70) و ریحانة الأدب عن القاموس الترکی، قال سنگلاخ فی امتحان الفضلاء (ج 1 ص 319) إنه رأی کتابه بخط عبد الرزاق ابن أخت المیر عماد.</w:t>
      </w:r>
    </w:p>
    <w:p>
      <w:pPr>
        <w:pStyle w:val="BookText"/>
      </w:pPr>
      <w:r>
        <w:rPr>
          <w:rFonts w:ascii="IRNazanin" w:hAnsi="IRNazanin" w:eastAsia="IRNazanin" w:cs="IRNazanin"/>
          <w:lang w:bidi="fa-IR"/>
          <w:color w:val="111111"/>
          <w:sz w:val="28"/>
          <w:szCs w:val="28"/>
          <w:rtl/>
        </w:rPr>
        <w:t xml:space="preserve">و قد دخل بعض رباعیاته فی رباعیات أبی سعید أبی الخیر کما ذکره النفیسی فی مقدمته (ص 59) من طبعه طهران (1334 ش) و توجد بعض أشعاره فی جنگ عند (فخر الدین النصیری) بطهران. و مر فی (ص 472) قاضی سنجانی الذی هو من أحفاد الرجل هذا.</w:t>
      </w:r>
    </w:p>
    <w:p>
      <w:pPr>
        <w:pStyle w:val="Heading3"/>
      </w:pPr>
      <w:bookmarkStart w:id="4951" w:name="_Toc3647"/>
      <w:r>
        <w:t>دیوان شاه سنجان الخوافی‏</w:t>
      </w:r>
      <w:bookmarkEnd w:id="4951"/>
    </w:p>
    <w:p>
      <w:pPr>
        <w:pStyle w:val="BookText"/>
      </w:pPr>
      <w:r>
        <w:rPr>
          <w:rFonts w:ascii="IRNazanin" w:hAnsi="IRNazanin" w:eastAsia="IRNazanin" w:cs="IRNazanin"/>
          <w:lang w:bidi="fa-IR"/>
          <w:color w:val="111111"/>
          <w:sz w:val="28"/>
          <w:szCs w:val="28"/>
          <w:rtl/>
        </w:rPr>
        <w:t xml:space="preserve">أیضا المدفون بتربت من بلاد خراسان فی (999) کما فی (مع 2- ص 21). و أظنه متحدا مع قاضی سنجانی المذکور فی (ص 472)</w:t>
      </w:r>
    </w:p>
    <w:p>
      <w:pPr>
        <w:pStyle w:val="Heading3"/>
      </w:pPr>
      <w:bookmarkStart w:id="4952" w:name="_Toc3648"/>
      <w:r>
        <w:t>2806- دیوان شاه شجاع‏</w:t>
      </w:r>
      <w:bookmarkEnd w:id="4952"/>
    </w:p>
    <w:p>
      <w:pPr>
        <w:pStyle w:val="BookText"/>
      </w:pPr>
      <w:r>
        <w:rPr>
          <w:rFonts w:ascii="IRNazanin" w:hAnsi="IRNazanin" w:eastAsia="IRNazanin" w:cs="IRNazanin"/>
          <w:lang w:bidi="fa-IR"/>
          <w:color w:val="111111"/>
          <w:sz w:val="28"/>
          <w:szCs w:val="28"/>
          <w:rtl/>
        </w:rPr>
        <w:t xml:space="preserve">و هو ابن مبارز الدین محمد بن الأمیر مظفر بن منصور بن پهلوان حاجی. کان جده هذا من خواف بخراسان، عمر ثلاث و خمسون سنة و ملک خمسة و عشرون عاما و مات (786) و قال حافظ الشیرازی فی تاریخه:</w:t>
      </w:r>
    </w:p>
    <w:p>
      <w:pPr>
        <w:pStyle w:val="BookText"/>
      </w:pPr>
      <w:r>
        <w:rPr>
          <w:rFonts w:ascii="IRNazanin" w:hAnsi="IRNazanin" w:eastAsia="IRNazanin" w:cs="IRNazanin"/>
          <w:lang w:bidi="fa-IR"/>
          <w:color w:val="111111"/>
          <w:sz w:val="28"/>
          <w:szCs w:val="28"/>
          <w:rtl/>
        </w:rPr>
        <w:t xml:space="preserve">جانش غریق رحمت خود کرد تا بود</w:t>
      </w:r>
    </w:p>
    <w:p>
      <w:pPr>
        <w:pStyle w:val="BookText"/>
      </w:pPr>
      <w:r>
        <w:rPr>
          <w:rFonts w:ascii="IRNazanin" w:hAnsi="IRNazanin" w:eastAsia="IRNazanin" w:cs="IRNazanin"/>
          <w:lang w:bidi="fa-IR"/>
          <w:color w:val="111111"/>
          <w:sz w:val="28"/>
          <w:szCs w:val="28"/>
          <w:rtl/>
        </w:rPr>
        <w:t xml:space="preserve">تاریخ این معامله رحمان لا یموت‏</w:t>
      </w:r>
    </w:p>
    <w:p>
      <w:pPr>
        <w:pStyle w:val="BookText"/>
      </w:pPr>
      <w:r>
        <w:rPr>
          <w:rFonts w:ascii="IRNazanin" w:hAnsi="IRNazanin" w:eastAsia="IRNazanin" w:cs="IRNazanin"/>
          <w:lang w:bidi="fa-IR"/>
          <w:color w:val="111111"/>
          <w:sz w:val="28"/>
          <w:szCs w:val="28"/>
          <w:rtl/>
        </w:rPr>
        <w:t xml:space="preserve">ترجمه فی شد الإزار- ص 456- 459 و (مع 1- 35) و فی آثار العجم (ص 478) و أشعاره عربیة و فارسیة جمعها سعد الدین الأنسی و کتب لها دیباجة فارسیة، توجد الدیباجة و قطعة من الدیوان فی سفینة عبد الحی الماردینی المؤلفة (823) فی مکتبة (التقوی) و طبع الدیوان فی بمبئی.</w:t>
      </w:r>
    </w:p>
    <w:p>
      <w:pPr>
        <w:pStyle w:val="Heading3"/>
      </w:pPr>
      <w:bookmarkStart w:id="4953" w:name="_Toc3649"/>
      <w:r>
        <w:t>2807- دیوان شاه شروان أو شعره‏</w:t>
      </w:r>
      <w:bookmarkEnd w:id="4953"/>
    </w:p>
    <w:p>
      <w:pPr>
        <w:pStyle w:val="BookText"/>
      </w:pPr>
      <w:r>
        <w:rPr>
          <w:rFonts w:ascii="IRNazanin" w:hAnsi="IRNazanin" w:eastAsia="IRNazanin" w:cs="IRNazanin"/>
          <w:lang w:bidi="fa-IR"/>
          <w:color w:val="111111"/>
          <w:sz w:val="28"/>
          <w:szCs w:val="28"/>
          <w:rtl/>
        </w:rPr>
        <w:t xml:space="preserve">من شعراء القرن الثالث عشر. ترجمه فی (دجا ص 188) نقلا عن حدیقة الشعراء.</w:t>
      </w:r>
    </w:p>
    <w:p>
      <w:pPr>
        <w:pStyle w:val="Heading3"/>
      </w:pPr>
      <w:bookmarkStart w:id="4954" w:name="_Toc3650"/>
      <w:r>
        <w:t>دیوان شاه شیرازی‏</w:t>
      </w:r>
      <w:bookmarkEnd w:id="4954"/>
    </w:p>
    <w:p>
      <w:pPr>
        <w:pStyle w:val="BookText"/>
      </w:pPr>
      <w:r>
        <w:rPr>
          <w:rFonts w:ascii="IRNazanin" w:hAnsi="IRNazanin" w:eastAsia="IRNazanin" w:cs="IRNazanin"/>
          <w:lang w:bidi="fa-IR"/>
          <w:color w:val="111111"/>
          <w:sz w:val="28"/>
          <w:szCs w:val="28"/>
          <w:rtl/>
        </w:rPr>
        <w:t xml:space="preserve">راجع دیوان داعی شیرازی.</w:t>
      </w:r>
    </w:p>
    <w:p>
      <w:pPr>
        <w:pStyle w:val="Heading3"/>
      </w:pPr>
      <w:bookmarkStart w:id="4955" w:name="_Toc3651"/>
      <w:r>
        <w:t>2808- دیوان شاه صدر دیلمی أو شعره‏</w:t>
      </w:r>
      <w:bookmarkEnd w:id="4955"/>
    </w:p>
    <w:p>
      <w:pPr>
        <w:pStyle w:val="BookText"/>
      </w:pPr>
      <w:r>
        <w:rPr>
          <w:rFonts w:ascii="IRNazanin" w:hAnsi="IRNazanin" w:eastAsia="IRNazanin" w:cs="IRNazanin"/>
          <w:lang w:bidi="fa-IR"/>
          <w:color w:val="111111"/>
          <w:sz w:val="28"/>
          <w:szCs w:val="28"/>
          <w:rtl/>
        </w:rPr>
        <w:t xml:space="preserve">و هو ابن شاه عنایة الله الدیلمی. من وزراء الترک. توفی (955). ترجمه سام میرزا فی (تس 3- 59) و أورد شعره. و یأتی والده و ولده الموسوم باسم جده عنایة الله.</w:t>
      </w:r>
    </w:p>
    <w:p>
      <w:pPr>
        <w:pStyle w:val="Heading3"/>
      </w:pPr>
      <w:bookmarkStart w:id="4956" w:name="_Toc3652"/>
      <w:r>
        <w:t>دیوان شاه صفی صفوی‏</w:t>
      </w:r>
      <w:bookmarkEnd w:id="4956"/>
    </w:p>
    <w:p>
      <w:pPr>
        <w:pStyle w:val="BookText"/>
      </w:pPr>
      <w:r>
        <w:rPr>
          <w:rFonts w:ascii="IRNazanin" w:hAnsi="IRNazanin" w:eastAsia="IRNazanin" w:cs="IRNazanin"/>
          <w:lang w:bidi="fa-IR"/>
          <w:color w:val="111111"/>
          <w:sz w:val="28"/>
          <w:szCs w:val="28"/>
          <w:rtl/>
        </w:rPr>
        <w:t xml:space="preserve">یأتی فی الصاد.</w:t>
      </w:r>
    </w:p>
    <w:p>
      <w:pPr>
        <w:pStyle w:val="Heading3"/>
      </w:pPr>
      <w:bookmarkStart w:id="4957" w:name="_Toc3653"/>
      <w:r>
        <w:t>دیوان شاه صفی نوربخشی‏</w:t>
      </w:r>
      <w:bookmarkEnd w:id="4957"/>
    </w:p>
    <w:p>
      <w:pPr>
        <w:pStyle w:val="BookText"/>
      </w:pPr>
      <w:r>
        <w:rPr>
          <w:rFonts w:ascii="IRNazanin" w:hAnsi="IRNazanin" w:eastAsia="IRNazanin" w:cs="IRNazanin"/>
          <w:lang w:bidi="fa-IR"/>
          <w:color w:val="111111"/>
          <w:sz w:val="28"/>
          <w:szCs w:val="28"/>
          <w:rtl/>
        </w:rPr>
        <w:t xml:space="preserve">یأتی فی الصاد.</w:t>
      </w:r>
    </w:p>
    <w:p>
      <w:pPr>
        <w:pStyle w:val="Heading3"/>
      </w:pPr>
      <w:bookmarkStart w:id="4958" w:name="_Toc3654"/>
      <w:r>
        <w:t>2809- دیوان شاه طاهر أنجدانی‏</w:t>
      </w:r>
      <w:bookmarkEnd w:id="4958"/>
    </w:p>
    <w:p>
      <w:pPr>
        <w:pStyle w:val="BookText"/>
      </w:pPr>
      <w:r>
        <w:rPr>
          <w:rFonts w:ascii="IRNazanin" w:hAnsi="IRNazanin" w:eastAsia="IRNazanin" w:cs="IRNazanin"/>
          <w:lang w:bidi="fa-IR"/>
          <w:color w:val="111111"/>
          <w:sz w:val="28"/>
          <w:szCs w:val="28"/>
          <w:rtl/>
        </w:rPr>
        <w:t xml:space="preserve">و هو السید طاهر بن رضی الدین الکاشانی الأنجدانی الحسینی، من تلامیذ محمد بن أحمد الخفری. ولد بهمدان و سکن کاشان،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94" w:name="pg11704_121976"/>
    <w:bookmarkEnd w:id="494"/>
    <w:p>
      <w:pPr>
        <w:pStyle w:val="BookText"/>
      </w:pPr>
      <w:r>
        <w:rPr>
          <w:rFonts w:ascii="IRNazanin" w:hAnsi="IRNazanin" w:eastAsia="IRNazanin" w:cs="IRNazanin"/>
          <w:lang w:bidi="fa-IR"/>
          <w:color w:val="111111"/>
          <w:sz w:val="28"/>
          <w:szCs w:val="28"/>
          <w:rtl/>
        </w:rPr>
        <w:t xml:space="preserve">و اتهم بالإسماعیلیة ففر إلی الهند و سکن دهلی و دکن، و ترقی و صار صدرا عند نظام شاه و عادل شاه و قطب شاه و مات (952 أو 956) بأحمدنگر، و دفن بها. ترجمه مفصلا فی مجالس المؤمنین ص 170 و (تس 2 ص 29) و الروضات (ص 674) و أورد فی (نر 13- ص 470) شعره فی تاریخ وفاه الشاه إسماعیل الصفوی (930) و توجد شعره فی جنگ عند (فخر الدین).</w:t>
      </w:r>
    </w:p>
    <w:p>
      <w:pPr>
        <w:pStyle w:val="Heading3"/>
      </w:pPr>
      <w:bookmarkStart w:id="4959" w:name="_Toc3655"/>
      <w:r>
        <w:t>دیوان شاه طبیب هروی‏</w:t>
      </w:r>
      <w:bookmarkEnd w:id="4959"/>
    </w:p>
    <w:p>
      <w:pPr>
        <w:pStyle w:val="BookText"/>
      </w:pPr>
      <w:r>
        <w:rPr>
          <w:rFonts w:ascii="IRNazanin" w:hAnsi="IRNazanin" w:eastAsia="IRNazanin" w:cs="IRNazanin"/>
          <w:lang w:bidi="fa-IR"/>
          <w:color w:val="111111"/>
          <w:sz w:val="28"/>
          <w:szCs w:val="28"/>
          <w:rtl/>
        </w:rPr>
        <w:t xml:space="preserve">یأتی بتخلصه نامی هروی.</w:t>
      </w:r>
    </w:p>
    <w:p>
      <w:pPr>
        <w:pStyle w:val="Heading3"/>
      </w:pPr>
      <w:bookmarkStart w:id="4960" w:name="_Toc3656"/>
      <w:r>
        <w:t>دیوان شاه عادل‏</w:t>
      </w:r>
      <w:bookmarkEnd w:id="4960"/>
    </w:p>
    <w:p>
      <w:pPr>
        <w:pStyle w:val="BookText"/>
      </w:pPr>
      <w:r>
        <w:rPr>
          <w:rFonts w:ascii="IRNazanin" w:hAnsi="IRNazanin" w:eastAsia="IRNazanin" w:cs="IRNazanin"/>
          <w:lang w:bidi="fa-IR"/>
          <w:color w:val="111111"/>
          <w:sz w:val="28"/>
          <w:szCs w:val="28"/>
          <w:rtl/>
        </w:rPr>
        <w:t xml:space="preserve">یأتی فی العین.</w:t>
      </w:r>
    </w:p>
    <w:p>
      <w:pPr>
        <w:pStyle w:val="Heading3"/>
      </w:pPr>
      <w:bookmarkStart w:id="4961" w:name="_Toc3657"/>
      <w:r>
        <w:t>دیوان شاه عباس‏</w:t>
      </w:r>
      <w:bookmarkEnd w:id="4961"/>
    </w:p>
    <w:p>
      <w:pPr>
        <w:pStyle w:val="BookText"/>
      </w:pPr>
      <w:r>
        <w:rPr>
          <w:rFonts w:ascii="IRNazanin" w:hAnsi="IRNazanin" w:eastAsia="IRNazanin" w:cs="IRNazanin"/>
          <w:lang w:bidi="fa-IR"/>
          <w:color w:val="111111"/>
          <w:sz w:val="28"/>
          <w:szCs w:val="28"/>
          <w:rtl/>
        </w:rPr>
        <w:t xml:space="preserve">یأتی فی العین.</w:t>
      </w:r>
    </w:p>
    <w:p>
      <w:pPr>
        <w:pStyle w:val="Heading3"/>
      </w:pPr>
      <w:bookmarkStart w:id="4962" w:name="_Toc3658"/>
      <w:r>
        <w:t>دیوان شاه عنایت الله‏</w:t>
      </w:r>
      <w:bookmarkEnd w:id="4962"/>
    </w:p>
    <w:p>
      <w:pPr>
        <w:pStyle w:val="BookText"/>
      </w:pPr>
      <w:r>
        <w:rPr>
          <w:rFonts w:ascii="IRNazanin" w:hAnsi="IRNazanin" w:eastAsia="IRNazanin" w:cs="IRNazanin"/>
          <w:lang w:bidi="fa-IR"/>
          <w:color w:val="111111"/>
          <w:sz w:val="28"/>
          <w:szCs w:val="28"/>
          <w:rtl/>
        </w:rPr>
        <w:t xml:space="preserve">یأتی فی العین.</w:t>
      </w:r>
    </w:p>
    <w:p>
      <w:pPr>
        <w:pStyle w:val="Heading3"/>
      </w:pPr>
      <w:bookmarkStart w:id="4963" w:name="_Toc3659"/>
      <w:r>
        <w:t>دیوان شاهفور أشهری‏</w:t>
      </w:r>
      <w:bookmarkEnd w:id="4963"/>
    </w:p>
    <w:p>
      <w:pPr>
        <w:pStyle w:val="BookText"/>
      </w:pPr>
      <w:r>
        <w:rPr>
          <w:rFonts w:ascii="IRNazanin" w:hAnsi="IRNazanin" w:eastAsia="IRNazanin" w:cs="IRNazanin"/>
          <w:lang w:bidi="fa-IR"/>
          <w:color w:val="111111"/>
          <w:sz w:val="28"/>
          <w:szCs w:val="28"/>
          <w:rtl/>
        </w:rPr>
        <w:t xml:space="preserve">مر بعنوان شاهپور.</w:t>
      </w:r>
    </w:p>
    <w:p>
      <w:pPr>
        <w:pStyle w:val="Heading3"/>
      </w:pPr>
      <w:bookmarkStart w:id="4964" w:name="_Toc3660"/>
      <w:r>
        <w:t>دیوان شاه غریب میرزا</w:t>
      </w:r>
      <w:bookmarkEnd w:id="4964"/>
    </w:p>
    <w:p>
      <w:pPr>
        <w:pStyle w:val="BookText"/>
      </w:pPr>
      <w:r>
        <w:rPr>
          <w:rFonts w:ascii="IRNazanin" w:hAnsi="IRNazanin" w:eastAsia="IRNazanin" w:cs="IRNazanin"/>
          <w:lang w:bidi="fa-IR"/>
          <w:color w:val="111111"/>
          <w:sz w:val="28"/>
          <w:szCs w:val="28"/>
          <w:rtl/>
        </w:rPr>
        <w:t xml:space="preserve">یأتی فی الغین.</w:t>
      </w:r>
    </w:p>
    <w:p>
      <w:pPr>
        <w:pStyle w:val="Heading3"/>
      </w:pPr>
      <w:bookmarkStart w:id="4965" w:name="_Toc3661"/>
      <w:r>
        <w:t>دیوان شاه قاسم الأنوار</w:t>
      </w:r>
      <w:bookmarkEnd w:id="4965"/>
    </w:p>
    <w:p>
      <w:pPr>
        <w:pStyle w:val="BookText"/>
      </w:pPr>
      <w:r>
        <w:rPr>
          <w:rFonts w:ascii="IRNazanin" w:hAnsi="IRNazanin" w:eastAsia="IRNazanin" w:cs="IRNazanin"/>
          <w:lang w:bidi="fa-IR"/>
          <w:color w:val="111111"/>
          <w:sz w:val="28"/>
          <w:szCs w:val="28"/>
          <w:rtl/>
        </w:rPr>
        <w:t xml:space="preserve">یأتی فی القاف.</w:t>
      </w:r>
    </w:p>
    <w:p>
      <w:pPr>
        <w:pStyle w:val="Heading3"/>
      </w:pPr>
      <w:bookmarkStart w:id="4966" w:name="_Toc3662"/>
      <w:r>
        <w:t>دیوان شاه قاسم بدلا</w:t>
      </w:r>
      <w:bookmarkEnd w:id="4966"/>
    </w:p>
    <w:p>
      <w:pPr>
        <w:pStyle w:val="BookText"/>
      </w:pPr>
      <w:r>
        <w:rPr>
          <w:rFonts w:ascii="IRNazanin" w:hAnsi="IRNazanin" w:eastAsia="IRNazanin" w:cs="IRNazanin"/>
          <w:lang w:bidi="fa-IR"/>
          <w:color w:val="111111"/>
          <w:sz w:val="28"/>
          <w:szCs w:val="28"/>
          <w:rtl/>
        </w:rPr>
        <w:t xml:space="preserve">یأتی بتخلصه واقفی کما فی (تس 2- ص 34).</w:t>
      </w:r>
    </w:p>
    <w:p>
      <w:pPr>
        <w:pStyle w:val="Heading3"/>
      </w:pPr>
      <w:bookmarkStart w:id="4967" w:name="_Toc3663"/>
      <w:r>
        <w:t>2810- دیوان شاه قاضی أو شعره‏</w:t>
      </w:r>
      <w:bookmarkEnd w:id="4967"/>
    </w:p>
    <w:p>
      <w:pPr>
        <w:pStyle w:val="BookText"/>
      </w:pPr>
      <w:r>
        <w:rPr>
          <w:rFonts w:ascii="IRNazanin" w:hAnsi="IRNazanin" w:eastAsia="IRNazanin" w:cs="IRNazanin"/>
          <w:lang w:bidi="fa-IR"/>
          <w:color w:val="111111"/>
          <w:sz w:val="28"/>
          <w:szCs w:val="28"/>
          <w:rtl/>
        </w:rPr>
        <w:t xml:space="preserve">و هو ابن الشاه صدر الدیلمی المذکور فی (ص 499) ابن الشاه عنایة الله الذی توفی (955) ترجمه فی (تس 3- ص 62).</w:t>
      </w:r>
    </w:p>
    <w:p>
      <w:pPr>
        <w:pStyle w:val="Heading3"/>
      </w:pPr>
      <w:bookmarkStart w:id="4968" w:name="_Toc3664"/>
      <w:r>
        <w:t>2811- دیوان شاه قلی خلخالی أو شعره‏</w:t>
      </w:r>
      <w:bookmarkEnd w:id="4968"/>
    </w:p>
    <w:p>
      <w:pPr>
        <w:pStyle w:val="BookText"/>
      </w:pPr>
      <w:r>
        <w:rPr>
          <w:rFonts w:ascii="IRNazanin" w:hAnsi="IRNazanin" w:eastAsia="IRNazanin" w:cs="IRNazanin"/>
          <w:lang w:bidi="fa-IR"/>
          <w:color w:val="111111"/>
          <w:sz w:val="28"/>
          <w:szCs w:val="28"/>
          <w:rtl/>
        </w:rPr>
        <w:t xml:space="preserve">ترجمه و أورد شعره فی (تس 2- ص 55) و کذا فی (دجا- ص 189). نقلا عن جنگ محمد تقی بن هادی المازندرانی.</w:t>
      </w:r>
    </w:p>
    <w:p>
      <w:pPr>
        <w:pStyle w:val="Heading3"/>
      </w:pPr>
      <w:bookmarkStart w:id="4969" w:name="_Toc3665"/>
      <w:r>
        <w:t>دیوان شاه کبود جامه‏</w:t>
      </w:r>
      <w:bookmarkEnd w:id="4969"/>
    </w:p>
    <w:p>
      <w:pPr>
        <w:pStyle w:val="BookText"/>
      </w:pPr>
      <w:r>
        <w:rPr>
          <w:rFonts w:ascii="IRNazanin" w:hAnsi="IRNazanin" w:eastAsia="IRNazanin" w:cs="IRNazanin"/>
          <w:lang w:bidi="fa-IR"/>
          <w:color w:val="111111"/>
          <w:sz w:val="28"/>
          <w:szCs w:val="28"/>
          <w:rtl/>
        </w:rPr>
        <w:t xml:space="preserve">یأتی فی الکاف.</w:t>
      </w:r>
    </w:p>
    <w:p>
      <w:pPr>
        <w:pStyle w:val="Heading3"/>
      </w:pPr>
      <w:bookmarkStart w:id="4970" w:name="_Toc3666"/>
      <w:r>
        <w:t>دیوان شاه کرم خوانساری‏</w:t>
      </w:r>
      <w:bookmarkEnd w:id="4970"/>
    </w:p>
    <w:p>
      <w:pPr>
        <w:pStyle w:val="BookText"/>
      </w:pPr>
      <w:r>
        <w:rPr>
          <w:rFonts w:ascii="IRNazanin" w:hAnsi="IRNazanin" w:eastAsia="IRNazanin" w:cs="IRNazanin"/>
          <w:lang w:bidi="fa-IR"/>
          <w:color w:val="111111"/>
          <w:sz w:val="28"/>
          <w:szCs w:val="28"/>
          <w:rtl/>
        </w:rPr>
        <w:t xml:space="preserve">یأتی فی الکاف.</w:t>
      </w:r>
    </w:p>
    <w:p>
      <w:pPr>
        <w:pStyle w:val="Heading3"/>
      </w:pPr>
      <w:bookmarkStart w:id="4971" w:name="_Toc3667"/>
      <w:r>
        <w:t>2812- دیوان شاهکی أصفهانی أو شعره‏</w:t>
      </w:r>
      <w:bookmarkEnd w:id="4971"/>
    </w:p>
    <w:p>
      <w:pPr>
        <w:pStyle w:val="BookText"/>
      </w:pPr>
      <w:r>
        <w:rPr>
          <w:rFonts w:ascii="IRNazanin" w:hAnsi="IRNazanin" w:eastAsia="IRNazanin" w:cs="IRNazanin"/>
          <w:lang w:bidi="fa-IR"/>
          <w:color w:val="111111"/>
          <w:sz w:val="28"/>
          <w:szCs w:val="28"/>
          <w:rtl/>
        </w:rPr>
        <w:t xml:space="preserve">من أقرباء المیر یوسف الرنانی- و رنان من قری ماربین أحد البلوکات التسعة بأصفهان- ترجمه و أورد شعره معاصره فی (تس 5- ص 131) و (تش- ص 178) و (خوش‏گو) و (پژمان- ص 229).</w:t>
      </w:r>
    </w:p>
    <w:p>
      <w:pPr>
        <w:pStyle w:val="Heading3"/>
      </w:pPr>
      <w:bookmarkStart w:id="4972" w:name="_Toc3668"/>
      <w:r>
        <w:t>2813- دیوان شاهکی قمی أو شعره‏</w:t>
      </w:r>
      <w:bookmarkEnd w:id="4972"/>
    </w:p>
    <w:p>
      <w:pPr>
        <w:pStyle w:val="BookText"/>
      </w:pPr>
      <w:r>
        <w:rPr>
          <w:rFonts w:ascii="IRNazanin" w:hAnsi="IRNazanin" w:eastAsia="IRNazanin" w:cs="IRNazanin"/>
          <w:lang w:bidi="fa-IR"/>
          <w:color w:val="111111"/>
          <w:sz w:val="28"/>
          <w:szCs w:val="28"/>
          <w:rtl/>
        </w:rPr>
        <w:t xml:space="preserve">من ساداتها. ترجمه و أورد شعره معاصره فی (تس 2- ص 42).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95" w:name="pg11704_121977"/>
    <w:bookmarkEnd w:id="495"/>
    <w:p>
      <w:pPr>
        <w:pStyle w:val="Heading3"/>
      </w:pPr>
      <w:bookmarkStart w:id="4973" w:name="_Toc3669"/>
      <w:r>
        <w:t>دیوان شاه ملا</w:t>
      </w:r>
      <w:bookmarkEnd w:id="4973"/>
    </w:p>
    <w:p>
      <w:pPr>
        <w:pStyle w:val="BookText"/>
      </w:pPr>
      <w:r>
        <w:rPr>
          <w:rFonts w:ascii="IRNazanin" w:hAnsi="IRNazanin" w:eastAsia="IRNazanin" w:cs="IRNazanin"/>
          <w:lang w:bidi="fa-IR"/>
          <w:color w:val="111111"/>
          <w:sz w:val="28"/>
          <w:szCs w:val="28"/>
          <w:rtl/>
        </w:rPr>
        <w:t xml:space="preserve">راجع دیوان شاه بدخشانی.</w:t>
      </w:r>
    </w:p>
    <w:p>
      <w:pPr>
        <w:pStyle w:val="Heading3"/>
      </w:pPr>
      <w:bookmarkStart w:id="4974" w:name="_Toc3670"/>
      <w:r>
        <w:t>دیوان شاه محمد دارابی‏</w:t>
      </w:r>
      <w:bookmarkEnd w:id="4974"/>
    </w:p>
    <w:p>
      <w:pPr>
        <w:pStyle w:val="BookText"/>
      </w:pPr>
      <w:r>
        <w:rPr>
          <w:rFonts w:ascii="IRNazanin" w:hAnsi="IRNazanin" w:eastAsia="IRNazanin" w:cs="IRNazanin"/>
          <w:lang w:bidi="fa-IR"/>
          <w:color w:val="111111"/>
          <w:sz w:val="28"/>
          <w:szCs w:val="28"/>
          <w:rtl/>
        </w:rPr>
        <w:t xml:space="preserve">مر بعنوان شاه دارابجردی.</w:t>
      </w:r>
    </w:p>
    <w:p>
      <w:pPr>
        <w:pStyle w:val="Heading3"/>
      </w:pPr>
      <w:bookmarkStart w:id="4975" w:name="_Toc3671"/>
      <w:r>
        <w:t>دیوان شاه محمد شیرازی‏</w:t>
      </w:r>
      <w:bookmarkEnd w:id="4975"/>
    </w:p>
    <w:p>
      <w:pPr>
        <w:pStyle w:val="BookText"/>
      </w:pPr>
      <w:r>
        <w:rPr>
          <w:rFonts w:ascii="IRNazanin" w:hAnsi="IRNazanin" w:eastAsia="IRNazanin" w:cs="IRNazanin"/>
          <w:lang w:bidi="fa-IR"/>
          <w:color w:val="111111"/>
          <w:sz w:val="28"/>
          <w:szCs w:val="28"/>
          <w:rtl/>
        </w:rPr>
        <w:t xml:space="preserve">یأتی بتخلصه عارف.</w:t>
      </w:r>
    </w:p>
    <w:p>
      <w:pPr>
        <w:pStyle w:val="Heading3"/>
      </w:pPr>
      <w:bookmarkStart w:id="4976" w:name="_Toc3672"/>
      <w:r>
        <w:t>دیوان شاه محمود فیروزآبادی‏</w:t>
      </w:r>
      <w:bookmarkEnd w:id="4976"/>
    </w:p>
    <w:p>
      <w:pPr>
        <w:pStyle w:val="BookText"/>
      </w:pPr>
      <w:r>
        <w:rPr>
          <w:rFonts w:ascii="IRNazanin" w:hAnsi="IRNazanin" w:eastAsia="IRNazanin" w:cs="IRNazanin"/>
          <w:lang w:bidi="fa-IR"/>
          <w:color w:val="111111"/>
          <w:sz w:val="28"/>
          <w:szCs w:val="28"/>
          <w:rtl/>
        </w:rPr>
        <w:t xml:space="preserve">مر بعنوان رفعت فیروزآبادی.</w:t>
      </w:r>
    </w:p>
    <w:p>
      <w:pPr>
        <w:pStyle w:val="Heading3"/>
      </w:pPr>
      <w:bookmarkStart w:id="4977" w:name="_Toc3673"/>
      <w:r>
        <w:t>دیوان شاه محمود نیشابوری‏</w:t>
      </w:r>
      <w:bookmarkEnd w:id="4977"/>
    </w:p>
    <w:p>
      <w:pPr>
        <w:pStyle w:val="BookText"/>
      </w:pPr>
      <w:r>
        <w:rPr>
          <w:rFonts w:ascii="IRNazanin" w:hAnsi="IRNazanin" w:eastAsia="IRNazanin" w:cs="IRNazanin"/>
          <w:lang w:bidi="fa-IR"/>
          <w:color w:val="111111"/>
          <w:sz w:val="28"/>
          <w:szCs w:val="28"/>
          <w:rtl/>
        </w:rPr>
        <w:t xml:space="preserve">یأتی بتخلصه مخلص.</w:t>
      </w:r>
    </w:p>
    <w:p>
      <w:pPr>
        <w:pStyle w:val="Heading3"/>
      </w:pPr>
      <w:bookmarkStart w:id="4978" w:name="_Toc3674"/>
      <w:r>
        <w:t>دیوان شاه مراد</w:t>
      </w:r>
      <w:bookmarkEnd w:id="4978"/>
    </w:p>
    <w:p>
      <w:pPr>
        <w:pStyle w:val="BookText"/>
      </w:pPr>
      <w:r>
        <w:rPr>
          <w:rFonts w:ascii="IRNazanin" w:hAnsi="IRNazanin" w:eastAsia="IRNazanin" w:cs="IRNazanin"/>
          <w:lang w:bidi="fa-IR"/>
          <w:color w:val="111111"/>
          <w:sz w:val="28"/>
          <w:szCs w:val="28"/>
          <w:rtl/>
        </w:rPr>
        <w:t xml:space="preserve">یأتی فی المیم.</w:t>
      </w:r>
    </w:p>
    <w:p>
      <w:pPr>
        <w:pStyle w:val="Heading3"/>
      </w:pPr>
      <w:bookmarkStart w:id="4979" w:name="_Toc3675"/>
      <w:r>
        <w:t>دیوان المیر شاه مرتضی‏</w:t>
      </w:r>
      <w:bookmarkEnd w:id="4979"/>
    </w:p>
    <w:p>
      <w:pPr>
        <w:pStyle w:val="BookText"/>
      </w:pPr>
      <w:r>
        <w:rPr>
          <w:rFonts w:ascii="IRNazanin" w:hAnsi="IRNazanin" w:eastAsia="IRNazanin" w:cs="IRNazanin"/>
          <w:lang w:bidi="fa-IR"/>
          <w:color w:val="111111"/>
          <w:sz w:val="28"/>
          <w:szCs w:val="28"/>
          <w:rtl/>
        </w:rPr>
        <w:t xml:space="preserve">یأتی فی المیم.</w:t>
      </w:r>
    </w:p>
    <w:p>
      <w:pPr>
        <w:pStyle w:val="Heading3"/>
      </w:pPr>
      <w:bookmarkStart w:id="4980" w:name="_Toc3676"/>
      <w:r>
        <w:t>دیوان شاه معصوم‏</w:t>
      </w:r>
      <w:bookmarkEnd w:id="4980"/>
    </w:p>
    <w:p>
      <w:pPr>
        <w:pStyle w:val="BookText"/>
      </w:pPr>
      <w:r>
        <w:rPr>
          <w:rFonts w:ascii="IRNazanin" w:hAnsi="IRNazanin" w:eastAsia="IRNazanin" w:cs="IRNazanin"/>
          <w:lang w:bidi="fa-IR"/>
          <w:color w:val="111111"/>
          <w:sz w:val="28"/>
          <w:szCs w:val="28"/>
          <w:rtl/>
        </w:rPr>
        <w:t xml:space="preserve">المتخلص مشرب. یأتی بتخلصه فی المیم.</w:t>
      </w:r>
    </w:p>
    <w:p>
      <w:pPr>
        <w:pStyle w:val="Heading3"/>
      </w:pPr>
      <w:bookmarkStart w:id="4981" w:name="_Toc3677"/>
      <w:r>
        <w:t>2814- دیوان شاه معصوم لاری أو شعره‏</w:t>
      </w:r>
      <w:bookmarkEnd w:id="4981"/>
    </w:p>
    <w:p>
      <w:pPr>
        <w:pStyle w:val="BookText"/>
      </w:pPr>
      <w:r>
        <w:rPr>
          <w:rFonts w:ascii="IRNazanin" w:hAnsi="IRNazanin" w:eastAsia="IRNazanin" w:cs="IRNazanin"/>
          <w:lang w:bidi="fa-IR"/>
          <w:color w:val="111111"/>
          <w:sz w:val="28"/>
          <w:szCs w:val="28"/>
          <w:rtl/>
        </w:rPr>
        <w:t xml:space="preserve">ذکره معاصره الحزین فی تذکرته (ص- 88) بعنوان الحکیم شاه معصوم اللاری، و قال: کنت معاشرا معه بها، و کان طبیبا ماهرا قلیل الشعر. فأورد شعره مع الإطراء. و عنه فی لارستان کهن- ص 139 و مر ابنه شاه باقر لاری فی (ص 495).</w:t>
      </w:r>
    </w:p>
    <w:p>
      <w:pPr>
        <w:pStyle w:val="Heading3"/>
      </w:pPr>
      <w:bookmarkStart w:id="4982" w:name="_Toc3678"/>
      <w:r>
        <w:t>2815- دیوان شاهمیر الدیلمی أو شعره‏</w:t>
      </w:r>
      <w:bookmarkEnd w:id="4982"/>
    </w:p>
    <w:p>
      <w:pPr>
        <w:pStyle w:val="BookText"/>
      </w:pPr>
      <w:r>
        <w:rPr>
          <w:rFonts w:ascii="IRNazanin" w:hAnsi="IRNazanin" w:eastAsia="IRNazanin" w:cs="IRNazanin"/>
          <w:lang w:bidi="fa-IR"/>
          <w:color w:val="111111"/>
          <w:sz w:val="28"/>
          <w:szCs w:val="28"/>
          <w:rtl/>
        </w:rPr>
        <w:t xml:space="preserve">هو أخ میرک بیک الوزیر للشاه إسماعیل الفاتح و صار وزیرا بعد أخیه قلیلا ثم استعفی عن الوزارة- ترجمه سام میرزا فی (تس 3- ص 57) و أورد شعره و ذکر علمه و فضله و إنه کان من تلامیذ الحاج محمود التبریزی.</w:t>
      </w:r>
    </w:p>
    <w:p>
      <w:pPr>
        <w:pStyle w:val="Heading3"/>
      </w:pPr>
      <w:bookmarkStart w:id="4983" w:name="_Toc3679"/>
      <w:r>
        <w:t>2816- دیوان شاهمیر عبد العظیمی أو شعره‏</w:t>
      </w:r>
      <w:bookmarkEnd w:id="4983"/>
    </w:p>
    <w:p>
      <w:pPr>
        <w:pStyle w:val="BookText"/>
      </w:pPr>
      <w:r>
        <w:rPr>
          <w:rFonts w:ascii="IRNazanin" w:hAnsi="IRNazanin" w:eastAsia="IRNazanin" w:cs="IRNazanin"/>
          <w:lang w:bidi="fa-IR"/>
          <w:color w:val="111111"/>
          <w:sz w:val="28"/>
          <w:szCs w:val="28"/>
          <w:rtl/>
        </w:rPr>
        <w:t xml:space="preserve">هو ابن الأمیر عنایة الله المتولی لحضرة عبد العظیم. ترجمه معاصره سام میرزا و أورد بعض شعره فی (تس 2- ص 42).</w:t>
      </w:r>
    </w:p>
    <w:p>
      <w:pPr>
        <w:pStyle w:val="Heading3"/>
      </w:pPr>
      <w:bookmarkStart w:id="4984" w:name="_Toc3680"/>
      <w:r>
        <w:t>دیوان شاهمیر قزوینی‏</w:t>
      </w:r>
      <w:bookmarkEnd w:id="4984"/>
    </w:p>
    <w:p>
      <w:pPr>
        <w:pStyle w:val="BookText"/>
      </w:pPr>
      <w:r>
        <w:rPr>
          <w:rFonts w:ascii="IRNazanin" w:hAnsi="IRNazanin" w:eastAsia="IRNazanin" w:cs="IRNazanin"/>
          <w:lang w:bidi="fa-IR"/>
          <w:color w:val="111111"/>
          <w:sz w:val="28"/>
          <w:szCs w:val="28"/>
          <w:rtl/>
        </w:rPr>
        <w:t xml:space="preserve">أورد شعره (پژمان- ص 851) و الظاهر أنه متحد مع ما بعده.</w:t>
      </w:r>
    </w:p>
    <w:p>
      <w:pPr>
        <w:pStyle w:val="Heading3"/>
      </w:pPr>
      <w:bookmarkStart w:id="4985" w:name="_Toc3681"/>
      <w:r>
        <w:t>2817- دیوان شاهمیر قمی أو شعره‏</w:t>
      </w:r>
      <w:bookmarkEnd w:id="4985"/>
    </w:p>
    <w:p>
      <w:pPr>
        <w:pStyle w:val="BookText"/>
      </w:pPr>
      <w:r>
        <w:rPr>
          <w:rFonts w:ascii="IRNazanin" w:hAnsi="IRNazanin" w:eastAsia="IRNazanin" w:cs="IRNazanin"/>
          <w:lang w:bidi="fa-IR"/>
          <w:color w:val="111111"/>
          <w:sz w:val="28"/>
          <w:szCs w:val="28"/>
          <w:rtl/>
        </w:rPr>
        <w:t xml:space="preserve">أورد شعره فی (گلشن- ص 220) و عنه أخذ ظاهرا فی تاریخ علما و شعرای گیلان (ص 143). و لعله جد السید علی جواهر رقم الآتی.</w:t>
      </w:r>
    </w:p>
    <w:p>
      <w:pPr>
        <w:pStyle w:val="BookText"/>
      </w:pPr>
      <w:r>
        <w:rPr>
          <w:rFonts w:ascii="IRNazanin" w:hAnsi="IRNazanin" w:eastAsia="IRNazanin" w:cs="IRNazanin"/>
          <w:lang w:bidi="fa-IR"/>
          <w:color w:val="111111"/>
          <w:sz w:val="28"/>
          <w:szCs w:val="28"/>
          <w:rtl/>
        </w:rPr>
        <w:t xml:space="preserve">و راجع شاهمیر قزوینی.</w:t>
      </w:r>
    </w:p>
    <w:p>
      <w:pPr>
        <w:pStyle w:val="Heading3"/>
      </w:pPr>
      <w:bookmarkStart w:id="4986" w:name="_Toc3682"/>
      <w:r>
        <w:t>دیوان شاهمیر همدانی‏</w:t>
      </w:r>
      <w:bookmarkEnd w:id="4986"/>
    </w:p>
    <w:p>
      <w:pPr>
        <w:pStyle w:val="BookText"/>
      </w:pPr>
      <w:r>
        <w:rPr>
          <w:rFonts w:ascii="IRNazanin" w:hAnsi="IRNazanin" w:eastAsia="IRNazanin" w:cs="IRNazanin"/>
          <w:lang w:bidi="fa-IR"/>
          <w:color w:val="111111"/>
          <w:sz w:val="28"/>
          <w:szCs w:val="28"/>
          <w:rtl/>
        </w:rPr>
        <w:t xml:space="preserve">مر بعنوان إیمان.</w:t>
      </w:r>
    </w:p>
    <w:p>
      <w:pPr>
        <w:pStyle w:val="Heading3"/>
      </w:pPr>
      <w:bookmarkStart w:id="4987" w:name="_Toc3683"/>
      <w:r>
        <w:t>2818- دیوان شاه نظر القومشهی‏</w:t>
      </w:r>
      <w:bookmarkEnd w:id="4987"/>
    </w:p>
    <w:p>
      <w:pPr>
        <w:pStyle w:val="BookText"/>
      </w:pPr>
      <w:r>
        <w:rPr>
          <w:rFonts w:ascii="IRNazanin" w:hAnsi="IRNazanin" w:eastAsia="IRNazanin" w:cs="IRNazanin"/>
          <w:lang w:bidi="fa-IR"/>
          <w:color w:val="111111"/>
          <w:sz w:val="28"/>
          <w:szCs w:val="28"/>
          <w:rtl/>
        </w:rPr>
        <w:t xml:space="preserve">من مشایخ قومشة أصفهان و المتولی لحضرة شاه رضا الواقعة فی قومشة. ترجمه معاصره النصرآبادی فی (نر 9- ص 277) و ذکر أنه‏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96" w:name="pg11704_121978"/>
    <w:bookmarkEnd w:id="496"/>
    <w:p>
      <w:pPr>
        <w:pStyle w:val="BookText"/>
      </w:pPr>
      <w:r>
        <w:rPr>
          <w:rFonts w:ascii="IRNazanin" w:hAnsi="IRNazanin" w:eastAsia="IRNazanin" w:cs="IRNazanin"/>
          <w:lang w:bidi="fa-IR"/>
          <w:color w:val="111111"/>
          <w:sz w:val="28"/>
          <w:szCs w:val="28"/>
          <w:rtl/>
        </w:rPr>
        <w:t xml:space="preserve">توفی بعد المراجعة عن مسافرة الهند، و لم یذکر تاریخه و أورد سبعا من رباعیاته، و عنه أخذ ظاهرا فی (تش- ص 178) و (پژمان- ص 851). و ترجمه أیضا فی میخانه.</w:t>
      </w:r>
    </w:p>
    <w:p>
      <w:pPr>
        <w:pStyle w:val="Heading3"/>
      </w:pPr>
      <w:bookmarkStart w:id="4988" w:name="_Toc3684"/>
      <w:r>
        <w:t>دیوان شاه نعمة الله‏</w:t>
      </w:r>
      <w:bookmarkEnd w:id="4988"/>
    </w:p>
    <w:p>
      <w:pPr>
        <w:pStyle w:val="BookText"/>
      </w:pPr>
      <w:r>
        <w:rPr>
          <w:rFonts w:ascii="IRNazanin" w:hAnsi="IRNazanin" w:eastAsia="IRNazanin" w:cs="IRNazanin"/>
          <w:lang w:bidi="fa-IR"/>
          <w:color w:val="111111"/>
          <w:sz w:val="28"/>
          <w:szCs w:val="28"/>
          <w:rtl/>
        </w:rPr>
        <w:t xml:space="preserve">یأتی بعنوان دیوان نعمة الله و دیوان ولی.</w:t>
      </w:r>
    </w:p>
    <w:p>
      <w:pPr>
        <w:pStyle w:val="Heading3"/>
      </w:pPr>
      <w:bookmarkStart w:id="4989" w:name="_Toc3685"/>
      <w:r>
        <w:t>2819- دیوان شاه نیاز هندی‏</w:t>
      </w:r>
      <w:bookmarkEnd w:id="4989"/>
    </w:p>
    <w:p>
      <w:pPr>
        <w:pStyle w:val="BookText"/>
      </w:pPr>
      <w:r>
        <w:rPr>
          <w:rFonts w:ascii="IRNazanin" w:hAnsi="IRNazanin" w:eastAsia="IRNazanin" w:cs="IRNazanin"/>
          <w:lang w:bidi="fa-IR"/>
          <w:color w:val="111111"/>
          <w:sz w:val="28"/>
          <w:szCs w:val="28"/>
          <w:rtl/>
        </w:rPr>
        <w:t xml:space="preserve">و هو أحمد بن عبد الله الحسینی الچشتی المولوی المتوفی (1250) ذکر دیوانه إسماعیل پاشا فی أسماء المؤلفین (ج 1- ص 186).</w:t>
      </w:r>
    </w:p>
    <w:p>
      <w:pPr>
        <w:pStyle w:val="Heading3"/>
      </w:pPr>
      <w:bookmarkStart w:id="4990" w:name="_Toc3686"/>
      <w:r>
        <w:t>2820- دیوان شاهوردی بیک أو شعره‏</w:t>
      </w:r>
      <w:bookmarkEnd w:id="4990"/>
    </w:p>
    <w:p>
      <w:pPr>
        <w:pStyle w:val="BookText"/>
      </w:pPr>
      <w:r>
        <w:rPr>
          <w:rFonts w:ascii="IRNazanin" w:hAnsi="IRNazanin" w:eastAsia="IRNazanin" w:cs="IRNazanin"/>
          <w:lang w:bidi="fa-IR"/>
          <w:color w:val="111111"/>
          <w:sz w:val="28"/>
          <w:szCs w:val="28"/>
          <w:rtl/>
        </w:rPr>
        <w:t xml:space="preserve">هو ابن سلطان علی بیگ و ابن أخت حسین قلی خان قورچی‏باشی. ترجمه و أورد شعره معاصره النصرآبادی فی (نر 2- ص 31) فهو غیر حسن شاهوردی الشاعر الذی عده فی شاهد صادق فی المتوفین (889).</w:t>
      </w:r>
    </w:p>
    <w:p>
      <w:pPr>
        <w:pStyle w:val="Heading3"/>
      </w:pPr>
      <w:bookmarkStart w:id="4991" w:name="_Toc3687"/>
      <w:r>
        <w:t>2821- دیوان شاه ولی أو شعره‏</w:t>
      </w:r>
      <w:bookmarkEnd w:id="4991"/>
    </w:p>
    <w:p>
      <w:pPr>
        <w:pStyle w:val="BookText"/>
      </w:pPr>
      <w:r>
        <w:rPr>
          <w:rFonts w:ascii="IRNazanin" w:hAnsi="IRNazanin" w:eastAsia="IRNazanin" w:cs="IRNazanin"/>
          <w:lang w:bidi="fa-IR"/>
          <w:color w:val="111111"/>
          <w:sz w:val="28"/>
          <w:szCs w:val="28"/>
          <w:rtl/>
        </w:rPr>
        <w:t xml:space="preserve">و اسمه الخواجة شاه ولی السمنانی من أولاد الأکابر بها. ترجمه معاصره سام میرزا فی (تس 7- ص 190) و أورد شعره.</w:t>
      </w:r>
    </w:p>
    <w:p>
      <w:pPr>
        <w:pStyle w:val="Heading3"/>
      </w:pPr>
      <w:bookmarkStart w:id="4992" w:name="_Toc3688"/>
      <w:r>
        <w:t>دیوان شاه هندی‏</w:t>
      </w:r>
      <w:bookmarkEnd w:id="4992"/>
    </w:p>
    <w:p>
      <w:pPr>
        <w:pStyle w:val="BookText"/>
      </w:pPr>
      <w:r>
        <w:rPr>
          <w:rFonts w:ascii="IRNazanin" w:hAnsi="IRNazanin" w:eastAsia="IRNazanin" w:cs="IRNazanin"/>
          <w:lang w:bidi="fa-IR"/>
          <w:color w:val="111111"/>
          <w:sz w:val="28"/>
          <w:szCs w:val="28"/>
          <w:rtl/>
        </w:rPr>
        <w:t xml:space="preserve">راجع شاه بدخشانی و شاه دارابجردی.</w:t>
      </w:r>
    </w:p>
    <w:p>
      <w:pPr>
        <w:pStyle w:val="Heading3"/>
      </w:pPr>
      <w:bookmarkStart w:id="4993" w:name="_Toc3689"/>
      <w:r>
        <w:t>2822- دیوان شاهی آکری‏</w:t>
      </w:r>
      <w:bookmarkEnd w:id="4993"/>
    </w:p>
    <w:p>
      <w:pPr>
        <w:pStyle w:val="BookText"/>
      </w:pPr>
      <w:r>
        <w:rPr>
          <w:rFonts w:ascii="IRNazanin" w:hAnsi="IRNazanin" w:eastAsia="IRNazanin" w:cs="IRNazanin"/>
          <w:lang w:bidi="fa-IR"/>
          <w:color w:val="111111"/>
          <w:sz w:val="28"/>
          <w:szCs w:val="28"/>
          <w:rtl/>
        </w:rPr>
        <w:t xml:space="preserve">الشاعر المتصوف اللکهنوی. له مثنوی موهو شرح فیها الناظم غرام أخیه السید موسی مع هندیة اسمها موهو. ترجمه و أورد شعره فی (حسینی- ص 173) و (خوش‏گو).</w:t>
      </w:r>
    </w:p>
    <w:p>
      <w:pPr>
        <w:pStyle w:val="Heading3"/>
      </w:pPr>
      <w:bookmarkStart w:id="4994" w:name="_Toc3690"/>
      <w:r>
        <w:t>2823- دیوان شاهی سبزواری‏</w:t>
      </w:r>
      <w:bookmarkEnd w:id="4994"/>
    </w:p>
    <w:p>
      <w:pPr>
        <w:pStyle w:val="BookText"/>
      </w:pPr>
      <w:r>
        <w:rPr>
          <w:rFonts w:ascii="IRNazanin" w:hAnsi="IRNazanin" w:eastAsia="IRNazanin" w:cs="IRNazanin"/>
          <w:lang w:bidi="fa-IR"/>
          <w:color w:val="111111"/>
          <w:sz w:val="28"/>
          <w:szCs w:val="28"/>
          <w:rtl/>
        </w:rPr>
        <w:t xml:space="preserve">أو میر شاهی. و اسمه آق ملک بن ملک جمال الدین الفیروزکوهی، من أحفاد السربداریة، و ابن أخت الخواجة علی مؤید. ولد بسبزوار و تجاوز عمره السبعین و مات بأسترآباد فی عهد بابر بهادر فی (857) و حمل إلی سبزوار و دفن بخانقاه أجداده</w:t>
      </w:r>
    </w:p>
    <w:p>
      <w:pPr>
        <w:pStyle w:val="BookText"/>
      </w:pPr>
      <w:r>
        <w:rPr>
          <w:rFonts w:ascii="IRNazanin" w:hAnsi="IRNazanin" w:eastAsia="IRNazanin" w:cs="IRNazanin"/>
          <w:lang w:bidi="fa-IR"/>
          <w:color w:val="111111"/>
          <w:sz w:val="28"/>
          <w:szCs w:val="28"/>
          <w:rtl/>
        </w:rPr>
        <w:t xml:space="preserve">خارج البلدة فی جانب طریق نیشابور. و کان ماهرا فی الشعر و الموسیقی و الخط و التصویر، و کان ندیم بایسنقر. و کان بایسنقر یتخلص أولا شاهی فلما رأی شهرة آق ملک باللقب ترکه له، ثم ترک شاهی بایسنقر و سکن سبزوار بمزرعة له. هکذا ترجمه دولت شاه فی أول الطبقة السابعة و أورد له عدة غزلیات جدیدة لم یوجد فی نسخ دیوانه إذ ذاک. و ترجمه أیضا میر علی شیر فی (مجن 1 ص 23 و 197) و قال کان بیننا مراسلات و لکنی لم أره، قال المترجم الهراتی إن حاکم أسترآبادی طلبه فمات هناک، و قال المترجم القزوینی إنه مات بأسترآباد حین کان حاکما بها. و ذکره الجامی فی بهارستان. و ترجم فی الجزء الثالث من المجلد الثالث من حبیب السیر ص 150 و فی (تش-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97" w:name="pg11704_121979"/>
    <w:bookmarkEnd w:id="497"/>
    <w:p>
      <w:pPr>
        <w:pStyle w:val="BookText"/>
      </w:pPr>
      <w:r>
        <w:rPr>
          <w:rFonts w:ascii="IRNazanin" w:hAnsi="IRNazanin" w:eastAsia="IRNazanin" w:cs="IRNazanin"/>
          <w:lang w:bidi="fa-IR"/>
          <w:color w:val="111111"/>
          <w:sz w:val="28"/>
          <w:szCs w:val="28"/>
          <w:rtl/>
        </w:rPr>
        <w:t xml:space="preserve">ص 79) و (خیال- ص 66) و مجالس المؤمنین (ص 504) و (لس 418) و هفت إقلیم و عده فی شاهد صادق من المتوفین (857) و فی (حسینی- ص 168) و (گلشن- ص 221) و (تغ- ص 70) و (مع 2- ص 23). قال فی هفت إقلیم إن دیوانه فی ألف بیت و حکی فی المجالس عن حبیب السیر أنه نظم اثنی عشر ألف بیت، دون الألف منها و غسل الباقی بالماء، و رثاه معاصره أوحدی السبزواری بقوله فی قصیدة:</w:t>
      </w:r>
    </w:p>
    <w:p>
      <w:pPr>
        <w:pStyle w:val="BookText"/>
      </w:pPr>
      <w:r>
        <w:rPr>
          <w:rFonts w:ascii="IRNazanin" w:hAnsi="IRNazanin" w:eastAsia="IRNazanin" w:cs="IRNazanin"/>
          <w:lang w:bidi="fa-IR"/>
          <w:color w:val="111111"/>
          <w:sz w:val="28"/>
          <w:szCs w:val="28"/>
          <w:rtl/>
        </w:rPr>
        <w:t xml:space="preserve">گو بشو زیر و زبر از أشک و آهم سبزوار</w:t>
      </w:r>
    </w:p>
    <w:p>
      <w:pPr>
        <w:pStyle w:val="BookText"/>
      </w:pPr>
      <w:r>
        <w:rPr>
          <w:rFonts w:ascii="IRNazanin" w:hAnsi="IRNazanin" w:eastAsia="IRNazanin" w:cs="IRNazanin"/>
          <w:lang w:bidi="fa-IR"/>
          <w:color w:val="111111"/>
          <w:sz w:val="28"/>
          <w:szCs w:val="28"/>
          <w:rtl/>
        </w:rPr>
        <w:t xml:space="preserve">زانکه شهر شاه بی شاهی نمی‏آید بکار</w:t>
      </w:r>
    </w:p>
    <w:p>
      <w:pPr>
        <w:pStyle w:val="BookText"/>
      </w:pPr>
      <w:r>
        <w:rPr>
          <w:rFonts w:ascii="IRNazanin" w:hAnsi="IRNazanin" w:eastAsia="IRNazanin" w:cs="IRNazanin"/>
          <w:lang w:bidi="fa-IR"/>
          <w:color w:val="111111"/>
          <w:sz w:val="28"/>
          <w:szCs w:val="28"/>
          <w:rtl/>
        </w:rPr>
        <w:t xml:space="preserve">نسخه من دیوانه فی مکتبة موسکو کما فی فهرست کتابخانه عمومی معارف لجواهر الکلام (2: 75). و نسختان فی المکتبة (الشاهیة) بطهران کما فی خطوط خوش سلطنتی- ص 31- 32 و نسخه عند (محمد آقا النخجوانی) بتبریز و نسخه فی (سپهسالار) کما فی فهرسها (ج 2 ص 616). و نسخه مجدولة مذهبة بخط ... ابن میر علی فی (82 ص) کتابتها (987) تشتمل علی (959 بیتا) فی تبریز فی مکتبة (سلطان القرائی) کما کتب إلینا هذه الخصوصیات أوله:</w:t>
      </w:r>
    </w:p>
    <w:p>
      <w:pPr>
        <w:pStyle w:val="BookText"/>
      </w:pPr>
      <w:r>
        <w:rPr>
          <w:rFonts w:ascii="IRNazanin" w:hAnsi="IRNazanin" w:eastAsia="IRNazanin" w:cs="IRNazanin"/>
          <w:lang w:bidi="fa-IR"/>
          <w:color w:val="111111"/>
          <w:sz w:val="28"/>
          <w:szCs w:val="28"/>
          <w:rtl/>
        </w:rPr>
        <w:t xml:space="preserve">ای نقش بستة نام خطت با سرشت ما</w:t>
      </w:r>
    </w:p>
    <w:p>
      <w:pPr>
        <w:pStyle w:val="BookText"/>
      </w:pPr>
      <w:r>
        <w:rPr>
          <w:rFonts w:ascii="IRNazanin" w:hAnsi="IRNazanin" w:eastAsia="IRNazanin" w:cs="IRNazanin"/>
          <w:lang w:bidi="fa-IR"/>
          <w:color w:val="111111"/>
          <w:sz w:val="28"/>
          <w:szCs w:val="28"/>
          <w:rtl/>
        </w:rPr>
        <w:t xml:space="preserve">این حرف شد ز روز أزل سرنوشت ما</w:t>
      </w:r>
    </w:p>
    <w:p>
      <w:pPr>
        <w:pStyle w:val="BookText"/>
      </w:pPr>
      <w:r>
        <w:rPr>
          <w:rFonts w:ascii="IRNazanin" w:hAnsi="IRNazanin" w:eastAsia="IRNazanin" w:cs="IRNazanin"/>
          <w:lang w:bidi="fa-IR"/>
          <w:color w:val="111111"/>
          <w:sz w:val="28"/>
          <w:szCs w:val="28"/>
          <w:rtl/>
        </w:rPr>
        <w:t xml:space="preserve">و آخر رباعیاته:</w:t>
      </w:r>
    </w:p>
    <w:p>
      <w:pPr>
        <w:pStyle w:val="BookText"/>
      </w:pPr>
      <w:r>
        <w:rPr>
          <w:rFonts w:ascii="IRNazanin" w:hAnsi="IRNazanin" w:eastAsia="IRNazanin" w:cs="IRNazanin"/>
          <w:lang w:bidi="fa-IR"/>
          <w:color w:val="111111"/>
          <w:sz w:val="28"/>
          <w:szCs w:val="28"/>
          <w:rtl/>
        </w:rPr>
        <w:t xml:space="preserve">بشتاب که از رهش بگردی برسی‏</w:t>
      </w:r>
    </w:p>
    <w:p>
      <w:pPr>
        <w:pStyle w:val="BookText"/>
      </w:pPr>
      <w:r>
        <w:rPr>
          <w:rFonts w:ascii="IRNazanin" w:hAnsi="IRNazanin" w:eastAsia="IRNazanin" w:cs="IRNazanin"/>
          <w:lang w:bidi="fa-IR"/>
          <w:color w:val="111111"/>
          <w:sz w:val="28"/>
          <w:szCs w:val="28"/>
          <w:rtl/>
        </w:rPr>
        <w:t xml:space="preserve">در کوی وفا بأهل دردی برسی‏</w:t>
      </w:r>
    </w:p>
    <w:p>
      <w:pPr>
        <w:pStyle w:val="BookText"/>
      </w:pPr>
      <w:r>
        <w:rPr>
          <w:rFonts w:ascii="IRNazanin" w:hAnsi="IRNazanin" w:eastAsia="IRNazanin" w:cs="IRNazanin"/>
          <w:lang w:bidi="fa-IR"/>
          <w:color w:val="111111"/>
          <w:sz w:val="28"/>
          <w:szCs w:val="28"/>
          <w:rtl/>
        </w:rPr>
        <w:t xml:space="preserve">رو خاک شو اندر ره خدمت شاهی‏</w:t>
      </w:r>
    </w:p>
    <w:p>
      <w:pPr>
        <w:pStyle w:val="BookText"/>
      </w:pPr>
      <w:r>
        <w:rPr>
          <w:rFonts w:ascii="IRNazanin" w:hAnsi="IRNazanin" w:eastAsia="IRNazanin" w:cs="IRNazanin"/>
          <w:lang w:bidi="fa-IR"/>
          <w:color w:val="111111"/>
          <w:sz w:val="28"/>
          <w:szCs w:val="28"/>
          <w:rtl/>
        </w:rPr>
        <w:t xml:space="preserve">باشد که به پای‏بوس مردی برسی‏</w:t>
      </w:r>
    </w:p>
    <w:p>
      <w:pPr>
        <w:pStyle w:val="BookText"/>
      </w:pPr>
      <w:r>
        <w:rPr>
          <w:rFonts w:ascii="IRNazanin" w:hAnsi="IRNazanin" w:eastAsia="IRNazanin" w:cs="IRNazanin"/>
          <w:lang w:bidi="fa-IR"/>
          <w:color w:val="111111"/>
          <w:sz w:val="28"/>
          <w:szCs w:val="28"/>
          <w:rtl/>
        </w:rPr>
        <w:t xml:space="preserve">و باشر طبع بعض غزلیاته المستشرق الإفرنسی سیلوستر دساسی فی آخر ما طبعه من پندنامه عطار فی (1234) فی پاریس کما ذکره فی فرهنگ خاورشناسان- ص 306 و طبع علی الحجر بأستانبول فی (1324) فی (72 ص) مع نصائح حضرت لقمان و رباعیات خیام کلها فی (ص 120).</w:t>
      </w:r>
    </w:p>
    <w:p>
      <w:pPr>
        <w:pStyle w:val="Heading3"/>
      </w:pPr>
      <w:bookmarkStart w:id="4995" w:name="_Toc3691"/>
      <w:r>
        <w:t>2824- دیوان شاهین أصفهانی‏</w:t>
      </w:r>
      <w:bookmarkEnd w:id="4995"/>
    </w:p>
    <w:p>
      <w:pPr>
        <w:pStyle w:val="BookText"/>
      </w:pPr>
      <w:r>
        <w:rPr>
          <w:rFonts w:ascii="IRNazanin" w:hAnsi="IRNazanin" w:eastAsia="IRNazanin" w:cs="IRNazanin"/>
          <w:lang w:bidi="fa-IR"/>
          <w:color w:val="111111"/>
          <w:sz w:val="28"/>
          <w:szCs w:val="28"/>
          <w:rtl/>
        </w:rPr>
        <w:t xml:space="preserve">و اسمه علی البرزانی- من نواحی أصفهان- ابن محمد. لیس له تحصیلات عالیة، و لکن قریحته جیدة، و دیوانه فی ثلاثة آلاف بیت. کذا فی شعراء معاصر أصفهان (ص 265).</w:t>
      </w:r>
    </w:p>
    <w:p>
      <w:pPr>
        <w:pStyle w:val="Heading3"/>
      </w:pPr>
      <w:bookmarkStart w:id="4996" w:name="_Toc3692"/>
      <w:r>
        <w:t>2825- دیوان شاهین فراهانی أو شعرها</w:t>
      </w:r>
      <w:bookmarkEnd w:id="4996"/>
    </w:p>
    <w:p>
      <w:pPr>
        <w:pStyle w:val="BookText"/>
      </w:pPr>
      <w:r>
        <w:rPr>
          <w:rFonts w:ascii="IRNazanin" w:hAnsi="IRNazanin" w:eastAsia="IRNazanin" w:cs="IRNazanin"/>
          <w:lang w:bidi="fa-IR"/>
          <w:color w:val="111111"/>
          <w:sz w:val="28"/>
          <w:szCs w:val="28"/>
          <w:rtl/>
        </w:rPr>
        <w:t xml:space="preserve">من الشاعرات المعاصرات. أورد شعرها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98" w:name="pg11704_121980"/>
    <w:bookmarkEnd w:id="498"/>
    <w:p>
      <w:pPr>
        <w:pStyle w:val="BookText"/>
      </w:pPr>
      <w:r>
        <w:rPr>
          <w:rFonts w:ascii="IRNazanin" w:hAnsi="IRNazanin" w:eastAsia="IRNazanin" w:cs="IRNazanin"/>
          <w:lang w:bidi="fa-IR"/>
          <w:color w:val="111111"/>
          <w:sz w:val="28"/>
          <w:szCs w:val="28"/>
          <w:rtl/>
        </w:rPr>
        <w:t xml:space="preserve">(پژمان- ص 851- 852).</w:t>
      </w:r>
    </w:p>
    <w:p>
      <w:pPr>
        <w:pStyle w:val="Heading3"/>
      </w:pPr>
      <w:bookmarkStart w:id="4997" w:name="_Toc3693"/>
      <w:r>
        <w:t>2826- دیوان شاهین کاشانی أو شعره‏</w:t>
      </w:r>
      <w:bookmarkEnd w:id="4997"/>
    </w:p>
    <w:p>
      <w:pPr>
        <w:pStyle w:val="BookText"/>
      </w:pPr>
      <w:r>
        <w:rPr>
          <w:rFonts w:ascii="IRNazanin" w:hAnsi="IRNazanin" w:eastAsia="IRNazanin" w:cs="IRNazanin"/>
          <w:lang w:bidi="fa-IR"/>
          <w:color w:val="111111"/>
          <w:sz w:val="28"/>
          <w:szCs w:val="28"/>
          <w:rtl/>
        </w:rPr>
        <w:t xml:space="preserve">و اسمه و تخلصه شاهین. سکن أصفهان و مدح بها منوچهر خان حاکمها فذکر فی المدائح المعتمدیة و أورد قصیدته.</w:t>
      </w:r>
    </w:p>
    <w:p>
      <w:pPr>
        <w:pStyle w:val="Heading3"/>
      </w:pPr>
      <w:bookmarkStart w:id="4998" w:name="_Toc3694"/>
      <w:r>
        <w:t>2827- دیوان شایان کرمانشاهی أو شعره‏</w:t>
      </w:r>
      <w:bookmarkEnd w:id="4998"/>
    </w:p>
    <w:p>
      <w:pPr>
        <w:pStyle w:val="BookText"/>
      </w:pPr>
      <w:r>
        <w:rPr>
          <w:rFonts w:ascii="IRNazanin" w:hAnsi="IRNazanin" w:eastAsia="IRNazanin" w:cs="IRNazanin"/>
          <w:lang w:bidi="fa-IR"/>
          <w:color w:val="111111"/>
          <w:sz w:val="28"/>
          <w:szCs w:val="28"/>
          <w:rtl/>
        </w:rPr>
        <w:t xml:space="preserve">و اسمه أسد الله شهریاری. ولد بکرمانشاه (1299 ش) و نشا بمشهد خراسان و سکن بطهران معلما للمدارس. طبع أشعاره فی الجرائد بأسماء مستعارة شب کور و یارو و آقا معلم و معلم الأطفال و أسد و سرخلوتیان و قناص الشعراء و غیرها. ترجمه و أورد شعره البرقعی فی سخنوران نامی معاصر (ج 2- ص 160- 164).</w:t>
      </w:r>
    </w:p>
    <w:p>
      <w:pPr>
        <w:pStyle w:val="Heading3"/>
      </w:pPr>
      <w:bookmarkStart w:id="4999" w:name="_Toc3695"/>
      <w:r>
        <w:t>2828- دیوان شایق آذربایجانی أو شعره‏</w:t>
      </w:r>
      <w:bookmarkEnd w:id="4999"/>
    </w:p>
    <w:p>
      <w:pPr>
        <w:pStyle w:val="BookText"/>
      </w:pPr>
      <w:r>
        <w:rPr>
          <w:rFonts w:ascii="IRNazanin" w:hAnsi="IRNazanin" w:eastAsia="IRNazanin" w:cs="IRNazanin"/>
          <w:lang w:bidi="fa-IR"/>
          <w:color w:val="111111"/>
          <w:sz w:val="28"/>
          <w:szCs w:val="28"/>
          <w:rtl/>
        </w:rPr>
        <w:t xml:space="preserve">و اسمه الحاج ملا غفار من شعراء القرن الثالث عشر. ترجمه فی (دجا- ص 189) نقلا عن حدیقة الشعراء.</w:t>
      </w:r>
    </w:p>
    <w:p>
      <w:pPr>
        <w:pStyle w:val="Heading3"/>
      </w:pPr>
      <w:bookmarkStart w:id="5000" w:name="_Toc3696"/>
      <w:r>
        <w:t>2829- دیوان شایق أصفهانی‏</w:t>
      </w:r>
      <w:bookmarkEnd w:id="5000"/>
    </w:p>
    <w:p>
      <w:pPr>
        <w:pStyle w:val="BookText"/>
      </w:pPr>
      <w:r>
        <w:rPr>
          <w:rFonts w:ascii="IRNazanin" w:hAnsi="IRNazanin" w:eastAsia="IRNazanin" w:cs="IRNazanin"/>
          <w:lang w:bidi="fa-IR"/>
          <w:color w:val="111111"/>
          <w:sz w:val="28"/>
          <w:szCs w:val="28"/>
          <w:rtl/>
        </w:rPr>
        <w:t xml:space="preserve">محمد علی بن جعفر أسیر أطری فضله فی میکده رأیت عدة قصائد فی مدح أمیر المؤمنین و الإمام الرضا علیه السلام  و مراثی الحسین، ضمن مجموعة فی النجف عند السید محمد الجزائری لشائق أصفهانی و لعله لما یلیه.</w:t>
      </w:r>
    </w:p>
    <w:p>
      <w:pPr>
        <w:pStyle w:val="Heading3"/>
      </w:pPr>
      <w:bookmarkStart w:id="5001" w:name="_Toc3697"/>
      <w:r>
        <w:t>2830- دیوان شایق أصفهانی‏</w:t>
      </w:r>
      <w:bookmarkEnd w:id="5001"/>
    </w:p>
    <w:p>
      <w:pPr>
        <w:pStyle w:val="BookText"/>
      </w:pPr>
      <w:r>
        <w:rPr>
          <w:rFonts w:ascii="IRNazanin" w:hAnsi="IRNazanin" w:eastAsia="IRNazanin" w:cs="IRNazanin"/>
          <w:lang w:bidi="fa-IR"/>
          <w:color w:val="111111"/>
          <w:sz w:val="28"/>
          <w:szCs w:val="28"/>
          <w:rtl/>
        </w:rPr>
        <w:t xml:space="preserve">الخیاط اسمه آقا علی أصغر من المعاصرین لصاحب مجمع الفصحاء. ترجمه فی (مع- ج 2 ص 249) و ذکر أنه أدرکه و کان ینظم الغزلیات و لم یظفر بشعره. و ترجمه أیضا فی (انجمن 4). و لعله متحد مع ما قبله.</w:t>
      </w:r>
    </w:p>
    <w:p>
      <w:pPr>
        <w:pStyle w:val="Heading3"/>
      </w:pPr>
      <w:bookmarkStart w:id="5002" w:name="_Toc3698"/>
      <w:r>
        <w:t>2831- دیوان شایق سنندجی أو شعره‏</w:t>
      </w:r>
      <w:bookmarkEnd w:id="5002"/>
    </w:p>
    <w:p>
      <w:pPr>
        <w:pStyle w:val="BookText"/>
      </w:pPr>
      <w:r>
        <w:rPr>
          <w:rFonts w:ascii="IRNazanin" w:hAnsi="IRNazanin" w:eastAsia="IRNazanin" w:cs="IRNazanin"/>
          <w:lang w:bidi="fa-IR"/>
          <w:color w:val="111111"/>
          <w:sz w:val="28"/>
          <w:szCs w:val="28"/>
          <w:rtl/>
        </w:rPr>
        <w:t xml:space="preserve">ملا أحمد الفاضل القاضی فی کردستان ترجمه معاصره فی (مع- ج 2 ص 246) و أورد بعض قصائده.</w:t>
      </w:r>
    </w:p>
    <w:p>
      <w:pPr>
        <w:pStyle w:val="Heading3"/>
      </w:pPr>
      <w:bookmarkStart w:id="5003" w:name="_Toc3699"/>
      <w:r>
        <w:t>2832- دیوان شایق لرستانی‏</w:t>
      </w:r>
      <w:bookmarkEnd w:id="5003"/>
    </w:p>
    <w:p>
      <w:pPr>
        <w:pStyle w:val="BookText"/>
      </w:pPr>
      <w:r>
        <w:rPr>
          <w:rFonts w:ascii="IRNazanin" w:hAnsi="IRNazanin" w:eastAsia="IRNazanin" w:cs="IRNazanin"/>
          <w:lang w:bidi="fa-IR"/>
          <w:color w:val="111111"/>
          <w:sz w:val="28"/>
          <w:szCs w:val="28"/>
          <w:rtl/>
        </w:rPr>
        <w:t xml:space="preserve">اسمه هادی بیک من أهل ساکی. له دیوان مشتمل علی أربعة آلاف بیت، قدمه أخ الناظم حسین خان ساکی إلی مؤلف مجمع الفصحاء کما ذکره فی (مع- ج 2 ص 250) قال و توفی بأصفهان (1229).</w:t>
      </w:r>
    </w:p>
    <w:p>
      <w:pPr>
        <w:pStyle w:val="Heading3"/>
      </w:pPr>
      <w:bookmarkStart w:id="5004" w:name="_Toc3700"/>
      <w:r>
        <w:t>2833- دیوان شائق نائینی أو شعره‏</w:t>
      </w:r>
      <w:bookmarkEnd w:id="5004"/>
    </w:p>
    <w:p>
      <w:pPr>
        <w:pStyle w:val="BookText"/>
      </w:pPr>
      <w:r>
        <w:rPr>
          <w:rFonts w:ascii="IRNazanin" w:hAnsi="IRNazanin" w:eastAsia="IRNazanin" w:cs="IRNazanin"/>
          <w:lang w:bidi="fa-IR"/>
          <w:color w:val="111111"/>
          <w:sz w:val="28"/>
          <w:szCs w:val="28"/>
          <w:rtl/>
        </w:rPr>
        <w:t xml:space="preserve">و اسمه الشیخ محمد القاری للتعزیة ابن علی محمد بن جعفر. ترجمه و أورد شعره السید عبد الحجة البلاغی فی تاریخ نائین- ج 4- ص 162.</w:t>
      </w:r>
    </w:p>
    <w:p>
      <w:pPr>
        <w:pStyle w:val="Heading3"/>
      </w:pPr>
      <w:bookmarkStart w:id="5005" w:name="_Toc3701"/>
      <w:r>
        <w:t>2834- دیوان شایق هندی أو شعره‏</w:t>
      </w:r>
      <w:bookmarkEnd w:id="5005"/>
    </w:p>
    <w:p>
      <w:pPr>
        <w:pStyle w:val="BookText"/>
      </w:pPr>
      <w:r>
        <w:rPr>
          <w:rFonts w:ascii="IRNazanin" w:hAnsi="IRNazanin" w:eastAsia="IRNazanin" w:cs="IRNazanin"/>
          <w:lang w:bidi="fa-IR"/>
          <w:color w:val="111111"/>
          <w:sz w:val="28"/>
          <w:szCs w:val="28"/>
          <w:rtl/>
        </w:rPr>
        <w:t xml:space="preserve">و هو المیر یوسف بیک العارف. کان أخوه من أمراء بلاط عالمگیر پادشاه، و اعتزل هو عن الأمور، و لما أمر عالمگیر بإخراج دیوان الحافظ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99" w:name="pg11704_121981"/>
    <w:bookmarkEnd w:id="499"/>
    <w:p>
      <w:pPr>
        <w:pStyle w:val="BookText"/>
      </w:pPr>
      <w:r>
        <w:rPr>
          <w:rFonts w:ascii="IRNazanin" w:hAnsi="IRNazanin" w:eastAsia="IRNazanin" w:cs="IRNazanin"/>
          <w:lang w:bidi="fa-IR"/>
          <w:color w:val="111111"/>
          <w:sz w:val="28"/>
          <w:szCs w:val="28"/>
          <w:rtl/>
        </w:rPr>
        <w:t xml:space="preserve">الشیرازی من المکتبات و إحراقه، لم یفعل ذلک، و کان یأول خمریاته. و مات (1098).</w:t>
      </w:r>
    </w:p>
    <w:p>
      <w:pPr>
        <w:pStyle w:val="BookText"/>
      </w:pPr>
      <w:r>
        <w:rPr>
          <w:rFonts w:ascii="IRNazanin" w:hAnsi="IRNazanin" w:eastAsia="IRNazanin" w:cs="IRNazanin"/>
          <w:lang w:bidi="fa-IR"/>
          <w:color w:val="111111"/>
          <w:sz w:val="28"/>
          <w:szCs w:val="28"/>
          <w:rtl/>
        </w:rPr>
        <w:t xml:space="preserve">ترجمه و أورد شعره فی (خیال- ص 224) و بمناسبته أورد أحوال ابن فارض و شرح خمریته. و توجد شعره فی گلستان مسرت- ص 234 و غیرها.</w:t>
      </w:r>
    </w:p>
    <w:p>
      <w:pPr>
        <w:pStyle w:val="Heading3"/>
      </w:pPr>
      <w:bookmarkStart w:id="5006" w:name="_Toc3702"/>
      <w:r>
        <w:t>دیوان شایق یزدی‏</w:t>
      </w:r>
      <w:bookmarkEnd w:id="5006"/>
    </w:p>
    <w:p>
      <w:pPr>
        <w:pStyle w:val="BookText"/>
      </w:pPr>
      <w:r>
        <w:rPr>
          <w:rFonts w:ascii="IRNazanin" w:hAnsi="IRNazanin" w:eastAsia="IRNazanin" w:cs="IRNazanin"/>
          <w:lang w:bidi="fa-IR"/>
          <w:color w:val="111111"/>
          <w:sz w:val="28"/>
          <w:szCs w:val="28"/>
          <w:rtl/>
        </w:rPr>
        <w:t xml:space="preserve">هو التخلص السابق للمیر السید علی المدرس الیزدی، المذکور فی (ج 2 ص 301). و تخلص أخیرا مشتاق فیأتی فی المیم.</w:t>
      </w:r>
    </w:p>
    <w:p>
      <w:pPr>
        <w:pStyle w:val="Heading3"/>
      </w:pPr>
      <w:bookmarkStart w:id="5007" w:name="_Toc3703"/>
      <w:r>
        <w:t>2835- دیوان شباب أصفهانی أو شعره‏</w:t>
      </w:r>
      <w:bookmarkEnd w:id="5007"/>
    </w:p>
    <w:p>
      <w:pPr>
        <w:pStyle w:val="BookText"/>
      </w:pPr>
      <w:r>
        <w:rPr>
          <w:rFonts w:ascii="IRNazanin" w:hAnsi="IRNazanin" w:eastAsia="IRNazanin" w:cs="IRNazanin"/>
          <w:lang w:bidi="fa-IR"/>
          <w:color w:val="111111"/>
          <w:sz w:val="28"/>
          <w:szCs w:val="28"/>
          <w:rtl/>
        </w:rPr>
        <w:t xml:space="preserve">معاصر و اسمه حسین بن حاجی بیگ.</w:t>
      </w:r>
    </w:p>
    <w:p>
      <w:pPr>
        <w:pStyle w:val="BookText"/>
      </w:pPr>
      <w:r>
        <w:rPr>
          <w:rFonts w:ascii="IRNazanin" w:hAnsi="IRNazanin" w:eastAsia="IRNazanin" w:cs="IRNazanin"/>
          <w:lang w:bidi="fa-IR"/>
          <w:color w:val="111111"/>
          <w:sz w:val="28"/>
          <w:szCs w:val="28"/>
          <w:rtl/>
        </w:rPr>
        <w:t xml:space="preserve">ولد ببروجن من نواحی أصفهان فی (1320). أورد شعره فی (شعرای معاصر أصفهان ص 266).</w:t>
      </w:r>
    </w:p>
    <w:p>
      <w:pPr>
        <w:pStyle w:val="Heading3"/>
      </w:pPr>
      <w:bookmarkStart w:id="5008" w:name="_Toc3704"/>
      <w:r>
        <w:t>2836- دیوان شباب رامینی أو شعره‏</w:t>
      </w:r>
      <w:bookmarkEnd w:id="5008"/>
    </w:p>
    <w:p>
      <w:pPr>
        <w:pStyle w:val="BookText"/>
      </w:pPr>
      <w:r>
        <w:rPr>
          <w:rFonts w:ascii="IRNazanin" w:hAnsi="IRNazanin" w:eastAsia="IRNazanin" w:cs="IRNazanin"/>
          <w:lang w:bidi="fa-IR"/>
          <w:color w:val="111111"/>
          <w:sz w:val="28"/>
          <w:szCs w:val="28"/>
          <w:rtl/>
        </w:rPr>
        <w:t xml:space="preserve">و اسمه الحاج محمد حسین، معاصر محمود الأفغان. أورد شعره فی (روشن- ص 338) عن نگارستان سخن و آفتاب عالمتاب.</w:t>
      </w:r>
    </w:p>
    <w:p>
      <w:pPr>
        <w:pStyle w:val="Heading3"/>
      </w:pPr>
      <w:bookmarkStart w:id="5009" w:name="_Toc3705"/>
      <w:r>
        <w:t>2837- دیوان شباب شوشتری‏</w:t>
      </w:r>
      <w:bookmarkEnd w:id="5009"/>
    </w:p>
    <w:p>
      <w:pPr>
        <w:pStyle w:val="BookText"/>
      </w:pPr>
      <w:r>
        <w:rPr>
          <w:rFonts w:ascii="IRNazanin" w:hAnsi="IRNazanin" w:eastAsia="IRNazanin" w:cs="IRNazanin"/>
          <w:lang w:bidi="fa-IR"/>
          <w:color w:val="111111"/>
          <w:sz w:val="28"/>
          <w:szCs w:val="28"/>
          <w:rtl/>
        </w:rPr>
        <w:t xml:space="preserve">المعاصر. ولد بتستر فی (1250) و توفی (1324) طبع کلیات دیوانه بقطع کبیر فی بمبئی فی (1312) و فی أوله تحفه الأحباب و آخره الرباعیات. و کان قد أخذ تخلصه من أستاذه الشیخ جعفر التستری المتوفی (1303) و قد مدحه فی دیوانه. أورد شعره فی مخزن الدرر و توجد نسخه من دیوانه فی (الرضویة).</w:t>
      </w:r>
    </w:p>
    <w:p>
      <w:pPr>
        <w:pStyle w:val="Heading3"/>
      </w:pPr>
      <w:bookmarkStart w:id="5010" w:name="_Toc3706"/>
      <w:r>
        <w:t>2838- دیوان شباب قندهاری‏</w:t>
      </w:r>
      <w:bookmarkEnd w:id="5010"/>
    </w:p>
    <w:p>
      <w:pPr>
        <w:pStyle w:val="BookText"/>
      </w:pPr>
      <w:r>
        <w:rPr>
          <w:rFonts w:ascii="IRNazanin" w:hAnsi="IRNazanin" w:eastAsia="IRNazanin" w:cs="IRNazanin"/>
          <w:lang w:bidi="fa-IR"/>
          <w:color w:val="111111"/>
          <w:sz w:val="28"/>
          <w:szCs w:val="28"/>
          <w:rtl/>
        </w:rPr>
        <w:t xml:space="preserve">للحاج محمد حسن بن الحاج محمد حسین التاجر القندهاری نزیل بغداد و المتوفی بها. حمل منها إلی النجف فرثاه جماعة من فضلاء عصره منهم الشیخ محمد مهدی الکشمیری و المیرزا جواد المتخلص هشیار و المیر محمد جان المتخلص فیض و السید زیرک حسین الملقب بضیاء الإسلام. طبع کلیاته بنفقة ولده المیرزا أبی الحسن خان فی جزءین منظوم و منثور و توجد کلیات دیوانه فی (الرضویة). و کان قد توفی والده التاجر ببغداد (1284).</w:t>
      </w:r>
    </w:p>
    <w:p>
      <w:pPr>
        <w:pStyle w:val="Heading3"/>
      </w:pPr>
      <w:bookmarkStart w:id="5011" w:name="_Toc3707"/>
      <w:r>
        <w:t>2839- دیوان شباب کرمانشاهی‏</w:t>
      </w:r>
      <w:bookmarkEnd w:id="5011"/>
    </w:p>
    <w:p>
      <w:pPr>
        <w:pStyle w:val="BookText"/>
      </w:pPr>
      <w:r>
        <w:rPr>
          <w:rFonts w:ascii="IRNazanin" w:hAnsi="IRNazanin" w:eastAsia="IRNazanin" w:cs="IRNazanin"/>
          <w:lang w:bidi="fa-IR"/>
          <w:color w:val="111111"/>
          <w:sz w:val="28"/>
          <w:szCs w:val="28"/>
          <w:rtl/>
        </w:rPr>
        <w:t xml:space="preserve">و اسمه محمد جواد. ولد بکرمانشاهان فی (1270) و نشا بها، و أسس مجلة فصاحت فی (1344) و فی (1345) نشرها یومیا إلی (1349) و توفی (1352) و له شکرستان و مخزن لئالی و نشاط شباب و چشمه نوش و دبستان معرفت و تیر شهاب و پریشان و لسان‏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500" w:name="pg11704_121982"/>
    <w:bookmarkEnd w:id="500"/>
    <w:p>
      <w:pPr>
        <w:pStyle w:val="BookText"/>
      </w:pPr>
      <w:r>
        <w:rPr>
          <w:rFonts w:ascii="IRNazanin" w:hAnsi="IRNazanin" w:eastAsia="IRNazanin" w:cs="IRNazanin"/>
          <w:lang w:bidi="fa-IR"/>
          <w:color w:val="111111"/>
          <w:sz w:val="28"/>
          <w:szCs w:val="28"/>
          <w:rtl/>
        </w:rPr>
        <w:t xml:space="preserve">العاشقین و کیمیای سعادت کلها منظومات، و تزید الجمیع عن الخمسین ألف بیت.</w:t>
      </w:r>
    </w:p>
    <w:p>
      <w:pPr>
        <w:pStyle w:val="BookText"/>
      </w:pPr>
      <w:r>
        <w:rPr>
          <w:rFonts w:ascii="IRNazanin" w:hAnsi="IRNazanin" w:eastAsia="IRNazanin" w:cs="IRNazanin"/>
          <w:lang w:bidi="fa-IR"/>
          <w:color w:val="111111"/>
          <w:sz w:val="28"/>
          <w:szCs w:val="28"/>
          <w:rtl/>
        </w:rPr>
        <w:t xml:space="preserve">ترجمه فی سال‏نامه پارس لسنة (1309 ش) مع تصویر منه. و ترجمه أیضا فی تاریخ جرائد و مجلات (ج 4 ص 81) و سخنوران نامی معاصر- 2: 165.</w:t>
      </w:r>
    </w:p>
    <w:p>
      <w:pPr>
        <w:pStyle w:val="Heading3"/>
      </w:pPr>
      <w:bookmarkStart w:id="5012" w:name="_Toc3708"/>
      <w:r>
        <w:t>2840- دیوان شباهنگ طهرانی‏</w:t>
      </w:r>
      <w:bookmarkEnd w:id="5012"/>
    </w:p>
    <w:p>
      <w:pPr>
        <w:pStyle w:val="BookText"/>
      </w:pPr>
      <w:r>
        <w:rPr>
          <w:rFonts w:ascii="IRNazanin" w:hAnsi="IRNazanin" w:eastAsia="IRNazanin" w:cs="IRNazanin"/>
          <w:lang w:bidi="fa-IR"/>
          <w:color w:val="111111"/>
          <w:sz w:val="28"/>
          <w:szCs w:val="28"/>
          <w:rtl/>
        </w:rPr>
        <w:t xml:space="preserve">اسمه المیرزا سید علی من نجباء عرفاء سادات طهران. ترجمه معاصره فی (مع- ج 2 ص 216) و أورد من شعره قرب مائتی بیت. و ترجمه فی (المآثر- ص 204) و نقل مدیحه للمیرزا أبی الفضل الساوجی فی (ص 199 منه).</w:t>
      </w:r>
    </w:p>
    <w:p>
      <w:pPr>
        <w:pStyle w:val="Heading3"/>
      </w:pPr>
      <w:bookmarkStart w:id="5013" w:name="_Toc3709"/>
      <w:r>
        <w:t>2841- دیوان الشبر</w:t>
      </w:r>
      <w:bookmarkEnd w:id="5013"/>
    </w:p>
    <w:p>
      <w:pPr>
        <w:pStyle w:val="BookText"/>
      </w:pPr>
      <w:r>
        <w:rPr>
          <w:rFonts w:ascii="IRNazanin" w:hAnsi="IRNazanin" w:eastAsia="IRNazanin" w:cs="IRNazanin"/>
          <w:lang w:bidi="fa-IR"/>
          <w:color w:val="111111"/>
          <w:sz w:val="28"/>
          <w:szCs w:val="28"/>
          <w:rtl/>
        </w:rPr>
        <w:t xml:space="preserve">السید حسن بن عدنان بن شبر الموسوی. له نظم الدلیل القطعی لوالده السید عدنان، کما ذکرناه فی (ج 8 ص 259) مطبوع ببروجرد فی (1360) مع أصله.</w:t>
      </w:r>
    </w:p>
    <w:p>
      <w:pPr>
        <w:pStyle w:val="Heading3"/>
      </w:pPr>
      <w:bookmarkStart w:id="5014" w:name="_Toc3710"/>
      <w:r>
        <w:t>دیوان شبستان خیال‏</w:t>
      </w:r>
      <w:bookmarkEnd w:id="5014"/>
    </w:p>
    <w:p>
      <w:pPr>
        <w:pStyle w:val="BookText"/>
      </w:pPr>
      <w:r>
        <w:rPr>
          <w:rFonts w:ascii="IRNazanin" w:hAnsi="IRNazanin" w:eastAsia="IRNazanin" w:cs="IRNazanin"/>
          <w:lang w:bidi="fa-IR"/>
          <w:color w:val="111111"/>
          <w:sz w:val="28"/>
          <w:szCs w:val="28"/>
          <w:rtl/>
        </w:rPr>
        <w:t xml:space="preserve">یأتی فی الشین. و یأتی دیوان ناظمه یحیی سیبک بعنوان دیوان فتاحی فی الفاء.</w:t>
      </w:r>
    </w:p>
    <w:p>
      <w:pPr>
        <w:pStyle w:val="Heading3"/>
      </w:pPr>
      <w:bookmarkStart w:id="5015" w:name="_Toc3711"/>
      <w:r>
        <w:t>2842- دیوان شبستری‏</w:t>
      </w:r>
      <w:bookmarkEnd w:id="5015"/>
    </w:p>
    <w:p>
      <w:pPr>
        <w:pStyle w:val="BookText"/>
      </w:pPr>
      <w:r>
        <w:rPr>
          <w:rFonts w:ascii="IRNazanin" w:hAnsi="IRNazanin" w:eastAsia="IRNazanin" w:cs="IRNazanin"/>
          <w:lang w:bidi="fa-IR"/>
          <w:color w:val="111111"/>
          <w:sz w:val="28"/>
          <w:szCs w:val="28"/>
          <w:rtl/>
        </w:rPr>
        <w:t xml:space="preserve">الشیخ إبراهیم بن الحسن النقش‏بندی، الملقب برهان الدین.</w:t>
      </w:r>
    </w:p>
    <w:p>
      <w:pPr>
        <w:pStyle w:val="BookText"/>
      </w:pPr>
      <w:r>
        <w:rPr>
          <w:rFonts w:ascii="IRNazanin" w:hAnsi="IRNazanin" w:eastAsia="IRNazanin" w:cs="IRNazanin"/>
          <w:lang w:bidi="fa-IR"/>
          <w:color w:val="111111"/>
          <w:sz w:val="28"/>
          <w:szCs w:val="28"/>
          <w:rtl/>
        </w:rPr>
        <w:t xml:space="preserve">من عرفاء القرن العاشر من النقش‏بندیة. له أنبیانامه و نهایة البهجة و هی منظومة تائیة لکافیة ابن الحاجب، نظمها فی (900) و موزون المیزان نظم لإیساغوجی الأثیریة و تفسیر القرآن إلی سورة یوسف. و توفی (917) ذکرناه فی (ج 3 ص 201) و ذکره فی أسماء المؤلفین (ج 1 ص 24) و لقبه فی کشف الظنون بسیبویه الثانی.</w:t>
      </w:r>
    </w:p>
    <w:p>
      <w:pPr>
        <w:pStyle w:val="Heading3"/>
      </w:pPr>
      <w:bookmarkStart w:id="5016" w:name="_Toc3712"/>
      <w:r>
        <w:t>2843- دیوان شبستری‏</w:t>
      </w:r>
      <w:bookmarkEnd w:id="5016"/>
    </w:p>
    <w:p>
      <w:pPr>
        <w:pStyle w:val="BookText"/>
      </w:pPr>
      <w:r>
        <w:rPr>
          <w:rFonts w:ascii="IRNazanin" w:hAnsi="IRNazanin" w:eastAsia="IRNazanin" w:cs="IRNazanin"/>
          <w:lang w:bidi="fa-IR"/>
          <w:color w:val="111111"/>
          <w:sz w:val="28"/>
          <w:szCs w:val="28"/>
          <w:rtl/>
        </w:rPr>
        <w:t xml:space="preserve">و هو الشیخ محمود بن عبد الکریم بن یحیی المتوفی (720) کما فی شاهد صادق له سعادت‏نامه و گلشن راز و حق الیقین منظومة عرفانیة. و قال فی مجالس العشاق و واله فی ریاض الشعراء: إن السائل للأسئلة التی أجاب عنها فی گلشن راز هو حسینی سادات الذی ذکرناه فی (ص 100) بعنوان أمیر حسینی غوری. و لحسن مشحون أحوال محمود شبستری مطبوع فی</w:t>
      </w:r>
    </w:p>
    <w:p>
      <w:pPr>
        <w:pStyle w:val="BookText"/>
      </w:pPr>
      <w:r>
        <w:rPr>
          <w:rFonts w:ascii="IRNazanin" w:hAnsi="IRNazanin" w:eastAsia="IRNazanin" w:cs="IRNazanin"/>
          <w:lang w:bidi="fa-IR"/>
          <w:color w:val="111111"/>
          <w:sz w:val="28"/>
          <w:szCs w:val="28"/>
          <w:rtl/>
        </w:rPr>
        <w:t xml:space="preserve">(53 ص) و فصل أحواله فی کتاب کبیر ألفه حسن شفیع‏زاده شبستری الساکن بأستانبول و ذکرناه فی (ج 4 ص 158). و یأتی شروح گلشن راز. و طبع گلشن راز بأصفهان فی (1309) فی (104 ص) و غیرها. و ترجم محمود فی مجالس العشاق- ص 128 و (تش- ص 33)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501" w:name="pg11704_121983"/>
    <w:bookmarkEnd w:id="501"/>
    <w:p>
      <w:pPr>
        <w:pStyle w:val="BookText"/>
      </w:pPr>
      <w:r>
        <w:rPr>
          <w:rFonts w:ascii="IRNazanin" w:hAnsi="IRNazanin" w:eastAsia="IRNazanin" w:cs="IRNazanin"/>
          <w:lang w:bidi="fa-IR"/>
          <w:color w:val="111111"/>
          <w:sz w:val="28"/>
          <w:szCs w:val="28"/>
          <w:rtl/>
        </w:rPr>
        <w:t xml:space="preserve">و تاریخ مغول- ص 545 لعباس إقبال الآشتیانی المتوفی (1375).</w:t>
      </w:r>
    </w:p>
    <w:p>
      <w:pPr>
        <w:pStyle w:val="Heading3"/>
      </w:pPr>
      <w:bookmarkStart w:id="5017" w:name="_Toc3713"/>
      <w:r>
        <w:t>2844- دیوان شبیب‏</w:t>
      </w:r>
      <w:bookmarkEnd w:id="5017"/>
    </w:p>
    <w:p>
      <w:pPr>
        <w:pStyle w:val="BookText"/>
      </w:pPr>
      <w:r>
        <w:rPr>
          <w:rFonts w:ascii="IRNazanin" w:hAnsi="IRNazanin" w:eastAsia="IRNazanin" w:cs="IRNazanin"/>
          <w:lang w:bidi="fa-IR"/>
          <w:color w:val="111111"/>
          <w:sz w:val="28"/>
          <w:szCs w:val="28"/>
          <w:rtl/>
        </w:rPr>
        <w:t xml:space="preserve">ابن علی بیگ الأسعد الوائلی العاملی. طبع بأستانبول مع العقد المنضد الذی یضم دیوان شبیب پاشا الأسعد.</w:t>
      </w:r>
    </w:p>
    <w:p>
      <w:pPr>
        <w:pStyle w:val="Heading3"/>
      </w:pPr>
      <w:bookmarkStart w:id="5018" w:name="_Toc3714"/>
      <w:r>
        <w:t>2845- دیوان الشبیبی الصغیر</w:t>
      </w:r>
      <w:bookmarkEnd w:id="5018"/>
    </w:p>
    <w:p>
      <w:pPr>
        <w:pStyle w:val="BookText"/>
      </w:pPr>
      <w:r>
        <w:rPr>
          <w:rFonts w:ascii="IRNazanin" w:hAnsi="IRNazanin" w:eastAsia="IRNazanin" w:cs="IRNazanin"/>
          <w:lang w:bidi="fa-IR"/>
          <w:color w:val="111111"/>
          <w:sz w:val="28"/>
          <w:szCs w:val="28"/>
          <w:rtl/>
        </w:rPr>
        <w:t xml:space="preserve">لسماحة الأدیب الفاضل الشیخ محمد رضا بن الشبیبی الکبیر. المعاصر المولود (1306) کان وزیرا لمعارف العراق سنین و انتخب عضوا للمجلس النیابی ببغداد مکررا. و دیوانه مطبوع بمصر.</w:t>
      </w:r>
    </w:p>
    <w:p>
      <w:pPr>
        <w:pStyle w:val="Heading3"/>
      </w:pPr>
      <w:bookmarkStart w:id="5019" w:name="_Toc3715"/>
      <w:r>
        <w:t>2846- دیوان الشبیبی الکبیر</w:t>
      </w:r>
      <w:bookmarkEnd w:id="5019"/>
    </w:p>
    <w:p>
      <w:pPr>
        <w:pStyle w:val="BookText"/>
      </w:pPr>
      <w:r>
        <w:rPr>
          <w:rFonts w:ascii="IRNazanin" w:hAnsi="IRNazanin" w:eastAsia="IRNazanin" w:cs="IRNazanin"/>
          <w:lang w:bidi="fa-IR"/>
          <w:color w:val="111111"/>
          <w:sz w:val="28"/>
          <w:szCs w:val="28"/>
          <w:rtl/>
        </w:rPr>
        <w:t xml:space="preserve">للشیخ المعمر المعاصر الشیخ جواد بن الشیخ محمد بن الشیخ شبیب النجفی المولود حدود نیف و ثمانین و مائتین و ألف و المتوفی فی (1363) و قد أرخه السماوی بقوله فی مصراع رثائه: [</w:t>
      </w:r>
    </w:p>
    <w:p>
      <w:pPr>
        <w:pStyle w:val="BookText"/>
      </w:pPr>
      <w:r>
        <w:rPr>
          <w:rFonts w:ascii="IRNazanin" w:hAnsi="IRNazanin" w:eastAsia="IRNazanin" w:cs="IRNazanin"/>
          <w:lang w:bidi="fa-IR"/>
          <w:color w:val="111111"/>
          <w:sz w:val="28"/>
          <w:szCs w:val="28"/>
          <w:rtl/>
        </w:rPr>
        <w:t xml:space="preserve">حل جواد الغرف‏</w:t>
      </w:r>
    </w:p>
    <w:p>
      <w:pPr>
        <w:pStyle w:val="BookText"/>
      </w:pPr>
      <w:r>
        <w:rPr>
          <w:rFonts w:ascii="IRNazanin" w:hAnsi="IRNazanin" w:eastAsia="IRNazanin" w:cs="IRNazanin"/>
          <w:lang w:bidi="fa-IR"/>
          <w:color w:val="111111"/>
          <w:sz w:val="28"/>
          <w:szCs w:val="28"/>
          <w:rtl/>
        </w:rPr>
        <w:t xml:space="preserve">]. کبیر فیه ما أنشأه من أوان شبابه إلی أواخر عصر الترک، فتلف بعض أوراق دیوانه فیما تلف منه. ثم إنه أقدم الشاب الأدیب السید محمود الحبوبی و جمع متفرقات من شعره و دونها فی مجلد.</w:t>
      </w:r>
    </w:p>
    <w:p>
      <w:pPr>
        <w:pStyle w:val="BookText"/>
      </w:pPr>
      <w:r>
        <w:rPr>
          <w:rFonts w:ascii="IRNazanin" w:hAnsi="IRNazanin" w:eastAsia="IRNazanin" w:cs="IRNazanin"/>
          <w:lang w:bidi="fa-IR"/>
          <w:color w:val="111111"/>
          <w:sz w:val="28"/>
          <w:szCs w:val="28"/>
          <w:rtl/>
        </w:rPr>
        <w:t xml:space="preserve">و قد جمع القدیم و الحدیث من شعره سبطه الشیخ أحمد بن الشیخ محمد مظفر من غیر ترتیب.</w:t>
      </w:r>
    </w:p>
    <w:p>
      <w:pPr>
        <w:pStyle w:val="BookText"/>
      </w:pPr>
      <w:r>
        <w:rPr>
          <w:rFonts w:ascii="IRNazanin" w:hAnsi="IRNazanin" w:eastAsia="IRNazanin" w:cs="IRNazanin"/>
          <w:lang w:bidi="fa-IR"/>
          <w:color w:val="111111"/>
          <w:sz w:val="28"/>
          <w:szCs w:val="28"/>
          <w:rtl/>
        </w:rPr>
        <w:t xml:space="preserve">موجود عنده” الشیخ أحمد”، کما أنه یوجد عنده نسخه من خط الشیخ جواد الناظم جده لأمه.</w:t>
      </w:r>
    </w:p>
    <w:p>
      <w:pPr>
        <w:pStyle w:val="Heading3"/>
      </w:pPr>
      <w:bookmarkStart w:id="5020" w:name="_Toc3716"/>
      <w:r>
        <w:t>2847- دیوان شتاب أو شعره‏</w:t>
      </w:r>
      <w:bookmarkEnd w:id="5020"/>
    </w:p>
    <w:p>
      <w:pPr>
        <w:pStyle w:val="BookText"/>
      </w:pPr>
      <w:r>
        <w:rPr>
          <w:rFonts w:ascii="IRNazanin" w:hAnsi="IRNazanin" w:eastAsia="IRNazanin" w:cs="IRNazanin"/>
          <w:lang w:bidi="fa-IR"/>
          <w:color w:val="111111"/>
          <w:sz w:val="28"/>
          <w:szCs w:val="28"/>
          <w:rtl/>
        </w:rPr>
        <w:t xml:space="preserve">و اسمه المیر یحیی. جاء من إیران إلی الهند فی عهد شاه‏جهان. أورد شعره فی (خوش‏گو). و جاء فی (روشن- ص 339): شتابی گنابادی.</w:t>
      </w:r>
    </w:p>
    <w:p>
      <w:pPr>
        <w:pStyle w:val="Heading3"/>
      </w:pPr>
      <w:bookmarkStart w:id="5021" w:name="_Toc3717"/>
      <w:r>
        <w:t>2848- دیوان شجاع أصفهانی أو شعره‏</w:t>
      </w:r>
      <w:bookmarkEnd w:id="5021"/>
    </w:p>
    <w:p>
      <w:pPr>
        <w:pStyle w:val="BookText"/>
      </w:pPr>
      <w:r>
        <w:rPr>
          <w:rFonts w:ascii="IRNazanin" w:hAnsi="IRNazanin" w:eastAsia="IRNazanin" w:cs="IRNazanin"/>
          <w:lang w:bidi="fa-IR"/>
          <w:color w:val="111111"/>
          <w:sz w:val="28"/>
          <w:szCs w:val="28"/>
          <w:rtl/>
        </w:rPr>
        <w:t xml:space="preserve">و اسمه السید شجاع الدین محمود ابن أخ خلیفة أسد الله المتوفی لمشهد الرضا علیه السلام  ترجمه و أورد شعره فی (تش- ص 178) و (تغ- ص 70) و قال فی (روشن- ص 340) إنه ابن خلیفة سلطان ابن خلیفة أسد الله و هذا غلط و قد ذکرنا الخلیفتین فی (ص 301- 302).</w:t>
      </w:r>
    </w:p>
    <w:p>
      <w:pPr>
        <w:pStyle w:val="Heading3"/>
      </w:pPr>
      <w:bookmarkStart w:id="5022" w:name="_Toc3718"/>
      <w:r>
        <w:t>2849- دیوان شجاع سیستانی أو شعره‏</w:t>
      </w:r>
      <w:bookmarkEnd w:id="5022"/>
    </w:p>
    <w:p>
      <w:pPr>
        <w:pStyle w:val="BookText"/>
      </w:pPr>
      <w:r>
        <w:rPr>
          <w:rFonts w:ascii="IRNazanin" w:hAnsi="IRNazanin" w:eastAsia="IRNazanin" w:cs="IRNazanin"/>
          <w:lang w:bidi="fa-IR"/>
          <w:color w:val="111111"/>
          <w:sz w:val="28"/>
          <w:szCs w:val="28"/>
          <w:rtl/>
        </w:rPr>
        <w:t xml:space="preserve">و یعرف بملک شجاع ابن عم ملک حمزة حاکم سیستان المتخلص غافل جاء من سیستان إلی أصفهان. ترجمه و أورد شعره فی (نر 2 و 15 ص 37 و 540) و فی (گلشن- 221) و (خوش‏گو.</w:t>
      </w:r>
    </w:p>
    <w:p>
      <w:pPr>
        <w:pStyle w:val="Heading3"/>
      </w:pPr>
      <w:bookmarkStart w:id="5023" w:name="_Toc3719"/>
      <w:r>
        <w:t>2850- دیوان شجاع شیرازی‏</w:t>
      </w:r>
      <w:bookmarkEnd w:id="5023"/>
    </w:p>
    <w:p>
      <w:pPr>
        <w:pStyle w:val="BookText"/>
      </w:pPr>
      <w:r>
        <w:rPr>
          <w:rFonts w:ascii="IRNazanin" w:hAnsi="IRNazanin" w:eastAsia="IRNazanin" w:cs="IRNazanin"/>
          <w:lang w:bidi="fa-IR"/>
          <w:color w:val="111111"/>
          <w:sz w:val="28"/>
          <w:szCs w:val="28"/>
          <w:rtl/>
        </w:rPr>
        <w:t xml:space="preserve">و هو السلطان جلال الدین أبو الفوارس شاه شجاع بن محمد بن مظفر بن منصور. کان أدیبا یحضر مجالس العلماء بلا تجشم، ملک نیفا و عشرین سنة،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502" w:name="pg11704_121984"/>
    <w:bookmarkEnd w:id="502"/>
    <w:p>
      <w:pPr>
        <w:pStyle w:val="BookText"/>
      </w:pPr>
      <w:r>
        <w:rPr>
          <w:rFonts w:ascii="IRNazanin" w:hAnsi="IRNazanin" w:eastAsia="IRNazanin" w:cs="IRNazanin"/>
          <w:lang w:bidi="fa-IR"/>
          <w:color w:val="111111"/>
          <w:sz w:val="28"/>
          <w:szCs w:val="28"/>
          <w:rtl/>
        </w:rPr>
        <w:t xml:space="preserve">و باسمه ألف کتبا کثیرة، و له رسالة عربیة بلیغة فی فضیلة العلم و مات فی (شعبان- 786) و دفن عند قطب الدین محمد. و دیوانه یشتمل علی العربیات و الفارسیات ... کذا فی شد الإزار (ص 456- 458) و هو ثانی ملوک آل مظفر غلب علی أبیه و حبسه حتی مات. و جلس مکانه بعد وفاته ابنه زین العابدین بن شاه شجاع. ترجمه و أورد شعره فی (مع 1 ص 35) و (تش یز- ص 297 و 168- 170) و (روشن- ص 339).</w:t>
      </w:r>
    </w:p>
    <w:p>
      <w:pPr>
        <w:pStyle w:val="Heading3"/>
      </w:pPr>
      <w:bookmarkStart w:id="5024" w:name="_Toc3720"/>
      <w:r>
        <w:t>2851- دیوان شجاع قاجار أو شعره‏</w:t>
      </w:r>
      <w:bookmarkEnd w:id="5024"/>
    </w:p>
    <w:p>
      <w:pPr>
        <w:pStyle w:val="BookText"/>
      </w:pPr>
      <w:r>
        <w:rPr>
          <w:rFonts w:ascii="IRNazanin" w:hAnsi="IRNazanin" w:eastAsia="IRNazanin" w:cs="IRNazanin"/>
          <w:lang w:bidi="fa-IR"/>
          <w:color w:val="111111"/>
          <w:sz w:val="28"/>
          <w:szCs w:val="28"/>
          <w:rtl/>
        </w:rPr>
        <w:t xml:space="preserve">و هو شجاع السلطنة حسن علی میرزا ابن فتح علی شاه المتوفی (1270) أورد شعره فی (مع 1 ص 35) و (پژمان- ص 232). و هو ممدوح ألفت کاشی فی دیوانه المذکور فی (ص 90).</w:t>
      </w:r>
    </w:p>
    <w:p>
      <w:pPr>
        <w:pStyle w:val="Heading3"/>
      </w:pPr>
      <w:bookmarkStart w:id="5025" w:name="_Toc3721"/>
      <w:r>
        <w:t>2852- دیوان شجاع کاشی أو شعره‏</w:t>
      </w:r>
      <w:bookmarkEnd w:id="5025"/>
    </w:p>
    <w:p>
      <w:pPr>
        <w:pStyle w:val="BookText"/>
      </w:pPr>
      <w:r>
        <w:rPr>
          <w:rFonts w:ascii="IRNazanin" w:hAnsi="IRNazanin" w:eastAsia="IRNazanin" w:cs="IRNazanin"/>
          <w:lang w:bidi="fa-IR"/>
          <w:color w:val="111111"/>
          <w:sz w:val="28"/>
          <w:szCs w:val="28"/>
          <w:rtl/>
        </w:rPr>
        <w:t xml:space="preserve">ترجمه و أورد بعض أشعاره فی (تش- ص 244) و (خوش‏گو و نقل النصرآبادی فی (نر 13- ص 476) رثاء المیر حیدر الکاشی لشجاع هذا و تاریخه لوفاته فی (987) و قال فیه: إنه کان جید الشعر، ألکن اللسان. و ذکره فی (تغ- ص 70) أیضا. و أورد شعره (پژمان- ص 232).</w:t>
      </w:r>
    </w:p>
    <w:p>
      <w:pPr>
        <w:pStyle w:val="Heading3"/>
      </w:pPr>
      <w:bookmarkStart w:id="5026" w:name="_Toc3722"/>
      <w:r>
        <w:t>دیوان شجاع نائنی‏</w:t>
      </w:r>
      <w:bookmarkEnd w:id="5026"/>
    </w:p>
    <w:p>
      <w:pPr>
        <w:pStyle w:val="BookText"/>
      </w:pPr>
      <w:r>
        <w:rPr>
          <w:rFonts w:ascii="IRNazanin" w:hAnsi="IRNazanin" w:eastAsia="IRNazanin" w:cs="IRNazanin"/>
          <w:lang w:bidi="fa-IR"/>
          <w:color w:val="111111"/>
          <w:sz w:val="28"/>
          <w:szCs w:val="28"/>
          <w:rtl/>
        </w:rPr>
        <w:t xml:space="preserve">یأتی بتخلصه طوبی.</w:t>
      </w:r>
    </w:p>
    <w:p>
      <w:pPr>
        <w:pStyle w:val="Heading3"/>
      </w:pPr>
      <w:bookmarkStart w:id="5027" w:name="_Toc3723"/>
      <w:r>
        <w:t>2853- دیوان شجاعی دماوندی أو شعره‏</w:t>
      </w:r>
      <w:bookmarkEnd w:id="5027"/>
    </w:p>
    <w:p>
      <w:pPr>
        <w:pStyle w:val="BookText"/>
      </w:pPr>
      <w:r>
        <w:rPr>
          <w:rFonts w:ascii="IRNazanin" w:hAnsi="IRNazanin" w:eastAsia="IRNazanin" w:cs="IRNazanin"/>
          <w:lang w:bidi="fa-IR"/>
          <w:color w:val="111111"/>
          <w:sz w:val="28"/>
          <w:szCs w:val="28"/>
          <w:rtl/>
        </w:rPr>
        <w:t xml:space="preserve">ترجمه و أورد شعره فی (گلشن- ص 222) قال و کان حاذقا فی الطب، سافر إلی الهند. و فی (خوش‏گو) أن اسمه سیف الملوک و قد صار ممرض السید محمد جامه‏باف المتخلص فکری فمدحه هذا بقصیدة و سماه فی (تغ- ص 71) سیف الحکماء.</w:t>
      </w:r>
    </w:p>
    <w:p>
      <w:pPr>
        <w:pStyle w:val="Heading3"/>
      </w:pPr>
      <w:bookmarkStart w:id="5028" w:name="_Toc3724"/>
      <w:r>
        <w:t>2854- دیوان شجاعی مشهدی أو شعره‏</w:t>
      </w:r>
      <w:bookmarkEnd w:id="5028"/>
    </w:p>
    <w:p>
      <w:pPr>
        <w:pStyle w:val="BookText"/>
      </w:pPr>
      <w:r>
        <w:rPr>
          <w:rFonts w:ascii="IRNazanin" w:hAnsi="IRNazanin" w:eastAsia="IRNazanin" w:cs="IRNazanin"/>
          <w:lang w:bidi="fa-IR"/>
          <w:color w:val="111111"/>
          <w:sz w:val="28"/>
          <w:szCs w:val="28"/>
          <w:rtl/>
        </w:rPr>
        <w:t xml:space="preserve">ترجمه و أورد شعره فی (مطلع الشمس- ج 2 ص 435) و (گلشن- ص 222). و (پژمان- ص 232).</w:t>
      </w:r>
    </w:p>
    <w:p>
      <w:pPr>
        <w:pStyle w:val="Heading3"/>
      </w:pPr>
      <w:bookmarkStart w:id="5029" w:name="_Toc3725"/>
      <w:r>
        <w:t>2855- دیوان شحنة خراسانی‏</w:t>
      </w:r>
      <w:bookmarkEnd w:id="5029"/>
    </w:p>
    <w:p>
      <w:pPr>
        <w:pStyle w:val="BookText"/>
      </w:pPr>
      <w:r>
        <w:rPr>
          <w:rFonts w:ascii="IRNazanin" w:hAnsi="IRNazanin" w:eastAsia="IRNazanin" w:cs="IRNazanin"/>
          <w:lang w:bidi="fa-IR"/>
          <w:color w:val="111111"/>
          <w:sz w:val="28"/>
          <w:szCs w:val="28"/>
          <w:rtl/>
        </w:rPr>
        <w:t xml:space="preserve">محمد مهدی خان بن محمد حسن بیک بن حاج محمد خان الأوبهی- من محال هرات- کان فی الأوائل شحنة (داروغه) بشیراز، فأخذ تخلصه من شغله. ترجمه مصاهره فی (ض- ص 457) و ذکر أن دیوانه حاو لأنواع الشعر و فصل أحواله فی (مع- ج 2 ص 252) بعنوان شحنة مازندرانی و ذکر أن أصله من خراسان لکن والده نزل بمازندران. و ذکر أن له علیه حق التعلیم و التربیة و إنه کان ربیبه و صهره علی بنته و إنه توفی (1247) و دفن فی أصفهان بمقبرة ملا محمد سراب.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503" w:name="pg11704_121985"/>
    <w:bookmarkEnd w:id="503"/>
    <w:p>
      <w:pPr>
        <w:pStyle w:val="BookText"/>
      </w:pPr>
      <w:r>
        <w:rPr>
          <w:rFonts w:ascii="IRNazanin" w:hAnsi="IRNazanin" w:eastAsia="IRNazanin" w:cs="IRNazanin"/>
          <w:lang w:bidi="fa-IR"/>
          <w:color w:val="111111"/>
          <w:sz w:val="28"/>
          <w:szCs w:val="28"/>
          <w:rtl/>
        </w:rPr>
        <w:t xml:space="preserve">ترجمه و أورد شعره فی (انجمن- 3) و أورد شعره أیضا فی (پژمان 233).</w:t>
      </w:r>
    </w:p>
    <w:p>
      <w:pPr>
        <w:pStyle w:val="Heading3"/>
      </w:pPr>
      <w:bookmarkStart w:id="5030" w:name="_Toc3726"/>
      <w:r>
        <w:t>2856- دیوان شحنة کاشانی أو شعره‏</w:t>
      </w:r>
      <w:bookmarkEnd w:id="5030"/>
    </w:p>
    <w:p>
      <w:pPr>
        <w:pStyle w:val="BookText"/>
      </w:pPr>
      <w:r>
        <w:rPr>
          <w:rFonts w:ascii="IRNazanin" w:hAnsi="IRNazanin" w:eastAsia="IRNazanin" w:cs="IRNazanin"/>
          <w:lang w:bidi="fa-IR"/>
          <w:color w:val="111111"/>
          <w:sz w:val="28"/>
          <w:szCs w:val="28"/>
          <w:rtl/>
        </w:rPr>
        <w:t xml:space="preserve">من سادات البلدة. أورد شعره فی (روشن- ص 441).</w:t>
      </w:r>
    </w:p>
    <w:p>
      <w:pPr>
        <w:pStyle w:val="Heading3"/>
      </w:pPr>
      <w:bookmarkStart w:id="5031" w:name="_Toc3727"/>
      <w:r>
        <w:t>دیوان شحنة مازندرانی‏</w:t>
      </w:r>
      <w:bookmarkEnd w:id="5031"/>
    </w:p>
    <w:p>
      <w:pPr>
        <w:pStyle w:val="BookText"/>
      </w:pPr>
      <w:r>
        <w:rPr>
          <w:rFonts w:ascii="IRNazanin" w:hAnsi="IRNazanin" w:eastAsia="IRNazanin" w:cs="IRNazanin"/>
          <w:lang w:bidi="fa-IR"/>
          <w:color w:val="111111"/>
          <w:sz w:val="28"/>
          <w:szCs w:val="28"/>
          <w:rtl/>
        </w:rPr>
        <w:t xml:space="preserve">راجع شحنة خراسانی.</w:t>
      </w:r>
    </w:p>
    <w:p>
      <w:pPr>
        <w:pStyle w:val="Heading3"/>
      </w:pPr>
      <w:bookmarkStart w:id="5032" w:name="_Toc3728"/>
      <w:r>
        <w:t>2857- دیوان الشدقمی‏</w:t>
      </w:r>
      <w:bookmarkEnd w:id="5032"/>
    </w:p>
    <w:p>
      <w:pPr>
        <w:pStyle w:val="BookText"/>
      </w:pPr>
      <w:r>
        <w:rPr>
          <w:rFonts w:ascii="IRNazanin" w:hAnsi="IRNazanin" w:eastAsia="IRNazanin" w:cs="IRNazanin"/>
          <w:lang w:bidi="fa-IR"/>
          <w:color w:val="111111"/>
          <w:sz w:val="28"/>
          <w:szCs w:val="28"/>
          <w:rtl/>
        </w:rPr>
        <w:t xml:space="preserve">السید زین الدین علی بن بدر الدین الشدقمی الحمزی المدنی المولود (950) و المتوفی (1033) ذکره حفیده السید ضامن بن شدقم بن زین الدین علی المذکور، فی تحفه الأزهار الموجود فی مکتبة دانشگاه تهران کما فی فهرسها (ج 2 ص 530) و نقل عنه قصیدته التهلیلیة و قصیدته الکوثریة و غیرهما.</w:t>
      </w:r>
    </w:p>
    <w:p>
      <w:pPr>
        <w:pStyle w:val="Heading3"/>
      </w:pPr>
      <w:bookmarkStart w:id="5033" w:name="_Toc3729"/>
      <w:r>
        <w:t>دیوان الشذرات‏</w:t>
      </w:r>
      <w:bookmarkEnd w:id="5033"/>
    </w:p>
    <w:p>
      <w:pPr>
        <w:pStyle w:val="BookText"/>
      </w:pPr>
      <w:r>
        <w:rPr>
          <w:rFonts w:ascii="IRNazanin" w:hAnsi="IRNazanin" w:eastAsia="IRNazanin" w:cs="IRNazanin"/>
          <w:lang w:bidi="fa-IR"/>
          <w:color w:val="111111"/>
          <w:sz w:val="28"/>
          <w:szCs w:val="28"/>
          <w:rtl/>
        </w:rPr>
        <w:t xml:space="preserve">للأدیب الشاعر الشهیر بالشیخ مهدی البصیر الحلی البغدادی المولود (1313) المذکور فی (ص 138). طبع فی (1340) ببغداد فی (44 ص).</w:t>
      </w:r>
    </w:p>
    <w:p>
      <w:pPr>
        <w:pStyle w:val="Heading3"/>
      </w:pPr>
      <w:bookmarkStart w:id="5034" w:name="_Toc3730"/>
      <w:r>
        <w:t>2858- دیوان شراری أسترآبادی أو شعره‏</w:t>
      </w:r>
      <w:bookmarkEnd w:id="5034"/>
    </w:p>
    <w:p>
      <w:pPr>
        <w:pStyle w:val="BookText"/>
      </w:pPr>
      <w:r>
        <w:rPr>
          <w:rFonts w:ascii="IRNazanin" w:hAnsi="IRNazanin" w:eastAsia="IRNazanin" w:cs="IRNazanin"/>
          <w:lang w:bidi="fa-IR"/>
          <w:color w:val="111111"/>
          <w:sz w:val="28"/>
          <w:szCs w:val="28"/>
          <w:rtl/>
        </w:rPr>
        <w:t xml:space="preserve">ترجمه و أورد شعره المیر علی شیر فی (مجن 3- ص 87 و 261) و قال کان أحمر الوجه. و عنه أخذ ظاهرا فی (گلشن- ص 222).</w:t>
      </w:r>
    </w:p>
    <w:p>
      <w:pPr>
        <w:pStyle w:val="Heading3"/>
      </w:pPr>
      <w:bookmarkStart w:id="5035" w:name="_Toc3731"/>
      <w:r>
        <w:t>2859- دیوان شراری همدانی‏</w:t>
      </w:r>
      <w:bookmarkEnd w:id="5035"/>
    </w:p>
    <w:p>
      <w:pPr>
        <w:pStyle w:val="BookText"/>
      </w:pPr>
      <w:r>
        <w:rPr>
          <w:rFonts w:ascii="IRNazanin" w:hAnsi="IRNazanin" w:eastAsia="IRNazanin" w:cs="IRNazanin"/>
          <w:lang w:bidi="fa-IR"/>
          <w:color w:val="111111"/>
          <w:sz w:val="28"/>
          <w:szCs w:val="28"/>
          <w:rtl/>
        </w:rPr>
        <w:t xml:space="preserve">ولد (964) قال فی (میخانه- ص 534) إنه رآه بإجمیر فی (1025) و عمره (61 سنة) و قال أمین أحمد الرازی فی هفت إقلیم المؤلف (996- 1002) إنه جاء شراری إلی الهند فی هذه السنة. و قال فی میخانه إنه سافر إلی الهند سبع مرات، و مدح خان خانان، و رجع و سافر إلی الحج. و دیوانه فی (3000 بیت).</w:t>
      </w:r>
    </w:p>
    <w:p>
      <w:pPr>
        <w:pStyle w:val="Heading3"/>
      </w:pPr>
      <w:bookmarkStart w:id="5036" w:name="_Toc3732"/>
      <w:r>
        <w:t>2860- دیوان شربتی أو شعره‏</w:t>
      </w:r>
      <w:bookmarkEnd w:id="5036"/>
    </w:p>
    <w:p>
      <w:pPr>
        <w:pStyle w:val="BookText"/>
      </w:pPr>
      <w:r>
        <w:rPr>
          <w:rFonts w:ascii="IRNazanin" w:hAnsi="IRNazanin" w:eastAsia="IRNazanin" w:cs="IRNazanin"/>
          <w:lang w:bidi="fa-IR"/>
          <w:color w:val="111111"/>
          <w:sz w:val="28"/>
          <w:szCs w:val="28"/>
          <w:rtl/>
        </w:rPr>
        <w:t xml:space="preserve">قال المیر علی شیر فی (مجن 4- ص 103 و 279) إنه کان ماهرا فی الموسیقی و التصویر. و أورد شعره.</w:t>
      </w:r>
    </w:p>
    <w:p>
      <w:pPr>
        <w:pStyle w:val="Heading3"/>
      </w:pPr>
      <w:bookmarkStart w:id="5037" w:name="_Toc3733"/>
      <w:r>
        <w:t>2861- دیوان شرر بیگدلی‏</w:t>
      </w:r>
      <w:bookmarkEnd w:id="5037"/>
    </w:p>
    <w:p>
      <w:pPr>
        <w:pStyle w:val="BookText"/>
      </w:pPr>
      <w:r>
        <w:rPr>
          <w:rFonts w:ascii="IRNazanin" w:hAnsi="IRNazanin" w:eastAsia="IRNazanin" w:cs="IRNazanin"/>
          <w:lang w:bidi="fa-IR"/>
          <w:color w:val="111111"/>
          <w:sz w:val="28"/>
          <w:szCs w:val="28"/>
          <w:rtl/>
        </w:rPr>
        <w:t xml:space="preserve">و اسمه حسین علی بن لطف علی آذر. کان یشتغل بالزراعة بأراضیه فی قم. و عمر سبعین سنة. و کان معظما عند وزراء فتح علی شاه و من خواص کیکاووس میرزا حاکم قم. و مات بقم فی (1248) و دفن عند آبائه بإیوان الذهب فی صحن</w:t>
      </w:r>
    </w:p>
    <w:p>
      <w:pPr>
        <w:pStyle w:val="BookText"/>
      </w:pPr>
      <w:r>
        <w:rPr>
          <w:rFonts w:ascii="IRNazanin" w:hAnsi="IRNazanin" w:eastAsia="IRNazanin" w:cs="IRNazanin"/>
          <w:lang w:bidi="fa-IR"/>
          <w:color w:val="111111"/>
          <w:sz w:val="28"/>
          <w:szCs w:val="28"/>
          <w:rtl/>
        </w:rPr>
        <w:t xml:space="preserve">المعصومة علیه السلام . نسخه من دیوانه عند (الملک) فی (120 ورقة) کل منها تحتوی علی (26 بیتا) و نسخه أخری عند حفید الناظم و هو لطف علی البیگدلی الآذری بطهران فی (126 ورقة) کذلک، و هذه بخط ابن الناظم و هو رشید خان‏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504" w:name="pg11704_121986"/>
    <w:bookmarkEnd w:id="504"/>
    <w:p>
      <w:pPr>
        <w:pStyle w:val="BookText"/>
      </w:pPr>
      <w:r>
        <w:rPr>
          <w:rFonts w:ascii="IRNazanin" w:hAnsi="IRNazanin" w:eastAsia="IRNazanin" w:cs="IRNazanin"/>
          <w:lang w:bidi="fa-IR"/>
          <w:color w:val="111111"/>
          <w:sz w:val="28"/>
          <w:szCs w:val="28"/>
          <w:rtl/>
        </w:rPr>
        <w:t xml:space="preserve">أخگر</w:t>
      </w:r>
      <w:r>
        <w:rPr>
          <w:rStyle w:val="FootnoteReference"/>
        </w:rPr>
        <w:footnoteReference w:id="42"/>
      </w:r>
      <w:r>
        <w:rPr>
          <w:rFonts w:ascii="IRNazanin" w:hAnsi="IRNazanin" w:eastAsia="IRNazanin" w:cs="IRNazanin"/>
          <w:lang w:bidi="fa-IR"/>
          <w:color w:val="111111"/>
          <w:sz w:val="28"/>
          <w:szCs w:val="28"/>
          <w:rtl/>
        </w:rPr>
        <w:t xml:space="preserve">کتبه فی شبابه. و قد ترجم شرر، الفاضل الگروسی فی (انجمن- 4) و فرهاد میرزا فی زنبیل. و جاء شعره فی (پژمان- ص 233 و 853).</w:t>
      </w:r>
    </w:p>
    <w:p>
      <w:pPr>
        <w:pStyle w:val="Heading3"/>
      </w:pPr>
      <w:bookmarkStart w:id="5038" w:name="_Toc3734"/>
      <w:r>
        <w:t>2862- دیوان شرر خراسانی أو شعره‏</w:t>
      </w:r>
      <w:bookmarkEnd w:id="5038"/>
    </w:p>
    <w:p>
      <w:pPr>
        <w:pStyle w:val="BookText"/>
      </w:pPr>
      <w:r>
        <w:rPr>
          <w:rFonts w:ascii="IRNazanin" w:hAnsi="IRNazanin" w:eastAsia="IRNazanin" w:cs="IRNazanin"/>
          <w:lang w:bidi="fa-IR"/>
          <w:color w:val="111111"/>
          <w:sz w:val="28"/>
          <w:szCs w:val="28"/>
          <w:rtl/>
        </w:rPr>
        <w:t xml:space="preserve">للسید العالم الحاج میرزا عسکری بن الحاج میرزا هدایة الله بن المیرزا مهدی الشهید الرضوی المشهدی المتوفی (1280) عن سبعین سنة کما أرخه فی مطلع الشمس و ترجمه فی (مع- ج 2 ص 250) و أورد مطلع غزله. و أورد شعره فی (پژمان- 233).</w:t>
      </w:r>
    </w:p>
    <w:p>
      <w:pPr>
        <w:pStyle w:val="Heading3"/>
      </w:pPr>
      <w:bookmarkStart w:id="5039" w:name="_Toc3735"/>
      <w:r>
        <w:t>2863- دیوان شرر شیرازی أو شعره‏</w:t>
      </w:r>
      <w:bookmarkEnd w:id="5039"/>
    </w:p>
    <w:p>
      <w:pPr>
        <w:pStyle w:val="BookText"/>
      </w:pPr>
      <w:r>
        <w:rPr>
          <w:rFonts w:ascii="IRNazanin" w:hAnsi="IRNazanin" w:eastAsia="IRNazanin" w:cs="IRNazanin"/>
          <w:lang w:bidi="fa-IR"/>
          <w:color w:val="111111"/>
          <w:sz w:val="28"/>
          <w:szCs w:val="28"/>
          <w:rtl/>
        </w:rPr>
        <w:t xml:space="preserve">و اسمه المیر هادی قلندر. ترجمه و أورد شعره معاصره فی (سرخوش- ص 60) و عده فی تذکره شوشتر- ص 139. من معاصری المیر طاهر الوحید و نجیبای کاشی و شفیعای أثر و غیرهم. و جاء شعره فی (پژمان- 233) و گلستان مسرت- ص 465. و قال فی (تغ- ص 71) و (روشن- ص 341) إنه مات بشیراز (1107) و عمره ستون سنة، و إن ابنه معتمد الملک حکیم علوی خان.</w:t>
      </w:r>
    </w:p>
    <w:p>
      <w:pPr>
        <w:pStyle w:val="Heading3"/>
      </w:pPr>
      <w:bookmarkStart w:id="5040" w:name="_Toc3736"/>
      <w:r>
        <w:t>دیوان شرر قمی‏</w:t>
      </w:r>
      <w:bookmarkEnd w:id="5040"/>
    </w:p>
    <w:p>
      <w:pPr>
        <w:pStyle w:val="BookText"/>
      </w:pPr>
      <w:r>
        <w:rPr>
          <w:rFonts w:ascii="IRNazanin" w:hAnsi="IRNazanin" w:eastAsia="IRNazanin" w:cs="IRNazanin"/>
          <w:lang w:bidi="fa-IR"/>
          <w:color w:val="111111"/>
          <w:sz w:val="28"/>
          <w:szCs w:val="28"/>
          <w:rtl/>
        </w:rPr>
        <w:t xml:space="preserve">راجع دیوان شرر بیگدلی.</w:t>
      </w:r>
    </w:p>
    <w:p>
      <w:pPr>
        <w:pStyle w:val="Heading3"/>
      </w:pPr>
      <w:bookmarkStart w:id="5041" w:name="_Toc3737"/>
      <w:r>
        <w:t>2864- دیوان شرر قمی أو شعره‏</w:t>
      </w:r>
      <w:bookmarkEnd w:id="5041"/>
    </w:p>
    <w:p>
      <w:pPr>
        <w:pStyle w:val="BookText"/>
      </w:pPr>
      <w:r>
        <w:rPr>
          <w:rFonts w:ascii="IRNazanin" w:hAnsi="IRNazanin" w:eastAsia="IRNazanin" w:cs="IRNazanin"/>
          <w:lang w:bidi="fa-IR"/>
          <w:color w:val="111111"/>
          <w:sz w:val="28"/>
          <w:szCs w:val="28"/>
          <w:rtl/>
        </w:rPr>
        <w:t xml:space="preserve">و اسمه المیر کاظم، أطری شعره فی (تغ- ص 71).</w:t>
      </w:r>
    </w:p>
    <w:p>
      <w:pPr>
        <w:pStyle w:val="Heading3"/>
      </w:pPr>
      <w:bookmarkStart w:id="5042" w:name="_Toc3738"/>
      <w:r>
        <w:t>2865- دیوان شرطی قزوینی أو شعره‏</w:t>
      </w:r>
      <w:bookmarkEnd w:id="5042"/>
    </w:p>
    <w:p>
      <w:pPr>
        <w:pStyle w:val="BookText"/>
      </w:pPr>
      <w:r>
        <w:rPr>
          <w:rFonts w:ascii="IRNazanin" w:hAnsi="IRNazanin" w:eastAsia="IRNazanin" w:cs="IRNazanin"/>
          <w:lang w:bidi="fa-IR"/>
          <w:color w:val="111111"/>
          <w:sz w:val="28"/>
          <w:szCs w:val="28"/>
          <w:rtl/>
        </w:rPr>
        <w:t xml:space="preserve">کان تاجرا. ترجمه معاصره سام میرزا فی (تس 5- ص 165) و أورد شعره.</w:t>
      </w:r>
    </w:p>
    <w:p>
      <w:pPr>
        <w:pStyle w:val="Heading3"/>
      </w:pPr>
      <w:bookmarkStart w:id="5043" w:name="_Toc3739"/>
      <w:r>
        <w:t>دیوان شرف أصفهانی‏</w:t>
      </w:r>
      <w:bookmarkEnd w:id="5043"/>
    </w:p>
    <w:p>
      <w:pPr>
        <w:pStyle w:val="BookText"/>
      </w:pPr>
      <w:r>
        <w:rPr>
          <w:rFonts w:ascii="IRNazanin" w:hAnsi="IRNazanin" w:eastAsia="IRNazanin" w:cs="IRNazanin"/>
          <w:lang w:bidi="fa-IR"/>
          <w:color w:val="111111"/>
          <w:sz w:val="28"/>
          <w:szCs w:val="28"/>
          <w:rtl/>
        </w:rPr>
        <w:t xml:space="preserve">یأتی بعنوان دیوان شرف شفروه الأصفهانی.</w:t>
      </w:r>
    </w:p>
    <w:p>
      <w:pPr>
        <w:pStyle w:val="Heading3"/>
      </w:pPr>
      <w:bookmarkStart w:id="5044" w:name="_Toc3740"/>
      <w:r>
        <w:t>2866- دیوان شرف بافقی‏</w:t>
      </w:r>
      <w:bookmarkEnd w:id="5044"/>
    </w:p>
    <w:p>
      <w:pPr>
        <w:pStyle w:val="BookText"/>
      </w:pPr>
      <w:r>
        <w:rPr>
          <w:rFonts w:ascii="IRNazanin" w:hAnsi="IRNazanin" w:eastAsia="IRNazanin" w:cs="IRNazanin"/>
          <w:lang w:bidi="fa-IR"/>
          <w:color w:val="111111"/>
          <w:sz w:val="28"/>
          <w:szCs w:val="28"/>
          <w:rtl/>
        </w:rPr>
        <w:t xml:space="preserve">و اسمه شرف الدین علی کما فی (تس 2- ص 52) بعد الإطراء، و نقل فی (تش یز- ص 296) عن سلم السمات قال و جاء من یزد إلی‏ .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505" w:name="pg11704_121987"/>
    <w:bookmarkEnd w:id="505"/>
    <w:p>
      <w:pPr>
        <w:pStyle w:val="BookText"/>
      </w:pPr>
      <w:r>
        <w:rPr>
          <w:rFonts w:ascii="IRNazanin" w:hAnsi="IRNazanin" w:eastAsia="IRNazanin" w:cs="IRNazanin"/>
          <w:lang w:bidi="fa-IR"/>
          <w:color w:val="111111"/>
          <w:sz w:val="28"/>
          <w:szCs w:val="28"/>
          <w:rtl/>
        </w:rPr>
        <w:t xml:space="preserve">شیراز لتحصیل العلم، ثم سافر إلی الهند، و رجع و تقرب عند الشاه طهماسب (930- 984) و کان أستاذ وحشی بافقی و أخیه، و کان ثقیل السمع، و أورد قصته مع الشاه فی ذلک.</w:t>
      </w:r>
    </w:p>
    <w:p>
      <w:pPr>
        <w:pStyle w:val="BookText"/>
      </w:pPr>
      <w:r>
        <w:rPr>
          <w:rFonts w:ascii="IRNazanin" w:hAnsi="IRNazanin" w:eastAsia="IRNazanin" w:cs="IRNazanin"/>
          <w:lang w:bidi="fa-IR"/>
          <w:color w:val="111111"/>
          <w:sz w:val="28"/>
          <w:szCs w:val="28"/>
          <w:rtl/>
        </w:rPr>
        <w:t xml:space="preserve">و فی (تش- ص 120) و (حسینی 171) سمیاه شرف الدین بافقی، و لم یذکرا اسمه علیا، و فی کشف الظنون ذکر دیوانه بعنوان بافقی و أورد شعره (پژمان- ص 238 و 855). و یأتی دیوان سمیه شرف یزدی. و قال فی (تغ- ص 72) کان یعرف بشرف‏جهان و مات بقزوین (962) و ذلک بعد ذکره لشرف‏جهان القزوینی مستقلا و لکنی أظنه قد خلط بینهما. و قال فی (روشن- ص 343) مات بقزوین (974) عن ثمانین سنة، و کذا فی نگارستان سخن.</w:t>
      </w:r>
    </w:p>
    <w:p>
      <w:pPr>
        <w:pStyle w:val="Heading3"/>
      </w:pPr>
      <w:bookmarkStart w:id="5045" w:name="_Toc3741"/>
      <w:r>
        <w:t>2867- دیوان شرف تبریزی‏</w:t>
      </w:r>
      <w:bookmarkEnd w:id="5045"/>
    </w:p>
    <w:p>
      <w:pPr>
        <w:pStyle w:val="BookText"/>
      </w:pPr>
      <w:r>
        <w:rPr>
          <w:rFonts w:ascii="IRNazanin" w:hAnsi="IRNazanin" w:eastAsia="IRNazanin" w:cs="IRNazanin"/>
          <w:lang w:bidi="fa-IR"/>
          <w:color w:val="111111"/>
          <w:sz w:val="28"/>
          <w:szCs w:val="28"/>
          <w:rtl/>
        </w:rPr>
        <w:t xml:space="preserve">و هو ملک الشعراء شرف الدین حسن بن محمد الرامی المتوفی (795) و مؤلف حدائق الحقائق المذکور فی (ج 6 ص 284) و له أنیس العشاق‏</w:t>
      </w:r>
      <w:r>
        <w:rPr>
          <w:rStyle w:val="FootnoteReference"/>
        </w:rPr>
        <w:footnoteReference w:id="43"/>
      </w:r>
      <w:r>
        <w:rPr>
          <w:rFonts w:ascii="IRNazanin" w:hAnsi="IRNazanin" w:eastAsia="IRNazanin" w:cs="IRNazanin"/>
          <w:lang w:bidi="fa-IR"/>
          <w:color w:val="111111"/>
          <w:sz w:val="28"/>
          <w:szCs w:val="28"/>
          <w:rtl/>
        </w:rPr>
        <w:t xml:space="preserve">و له مثنوی فی قصة باباکوهی و دختر ملک‏</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رفت بکوه أو به سه سال تمام‏</w:t>
      </w:r>
    </w:p>
    <w:p>
      <w:pPr>
        <w:pStyle w:val="BookText"/>
      </w:pPr>
      <w:r>
        <w:rPr>
          <w:rFonts w:ascii="IRNazanin" w:hAnsi="IRNazanin" w:eastAsia="IRNazanin" w:cs="IRNazanin"/>
          <w:lang w:bidi="fa-IR"/>
          <w:color w:val="111111"/>
          <w:sz w:val="28"/>
          <w:szCs w:val="28"/>
          <w:rtl/>
        </w:rPr>
        <w:t xml:space="preserve">شد لقبش کوهی و باباش نام‏</w:t>
      </w:r>
    </w:p>
    <w:p>
      <w:pPr>
        <w:pStyle w:val="BookText"/>
      </w:pPr>
      <w:r>
        <w:rPr>
          <w:rFonts w:ascii="IRNazanin" w:hAnsi="IRNazanin" w:eastAsia="IRNazanin" w:cs="IRNazanin"/>
          <w:lang w:bidi="fa-IR"/>
          <w:color w:val="111111"/>
          <w:sz w:val="28"/>
          <w:szCs w:val="28"/>
          <w:rtl/>
        </w:rPr>
        <w:t xml:space="preserve">و جاء اسم باباکوهی فی بوستان سعدی (المنظوم (656) حیث قال:</w:t>
      </w:r>
    </w:p>
    <w:p>
      <w:pPr>
        <w:pStyle w:val="BookText"/>
      </w:pPr>
      <w:r>
        <w:rPr>
          <w:rFonts w:ascii="IRNazanin" w:hAnsi="IRNazanin" w:eastAsia="IRNazanin" w:cs="IRNazanin"/>
          <w:lang w:bidi="fa-IR"/>
          <w:color w:val="111111"/>
          <w:sz w:val="28"/>
          <w:szCs w:val="28"/>
          <w:rtl/>
        </w:rPr>
        <w:t xml:space="preserve">ندانی که بابای کوهی چه گفت‏</w:t>
      </w:r>
    </w:p>
    <w:p>
      <w:pPr>
        <w:pStyle w:val="BookText"/>
      </w:pPr>
      <w:r>
        <w:rPr>
          <w:rFonts w:ascii="IRNazanin" w:hAnsi="IRNazanin" w:eastAsia="IRNazanin" w:cs="IRNazanin"/>
          <w:lang w:bidi="fa-IR"/>
          <w:color w:val="111111"/>
          <w:sz w:val="28"/>
          <w:szCs w:val="28"/>
          <w:rtl/>
        </w:rPr>
        <w:t xml:space="preserve">به مردی که ناموس را شب نخفت‏</w:t>
      </w:r>
    </w:p>
    <w:p>
      <w:pPr>
        <w:pStyle w:val="BookText"/>
      </w:pPr>
      <w:r>
        <w:rPr>
          <w:rFonts w:ascii="IRNazanin" w:hAnsi="IRNazanin" w:eastAsia="IRNazanin" w:cs="IRNazanin"/>
          <w:lang w:bidi="fa-IR"/>
          <w:color w:val="111111"/>
          <w:sz w:val="28"/>
          <w:szCs w:val="28"/>
          <w:rtl/>
        </w:rPr>
        <w:t xml:space="preserve">و راجع دیوان باباکوهی فی (ص 117) المطبوع بتصحیح شعاع شیرازی (ع م)</w:t>
      </w:r>
    </w:p>
    <w:p>
      <w:pPr>
        <w:pStyle w:val="BookText"/>
      </w:pPr>
      <w:r>
        <w:rPr>
          <w:rFonts w:ascii="IRNazanin" w:hAnsi="IRNazanin" w:eastAsia="IRNazanin" w:cs="IRNazanin"/>
          <w:lang w:bidi="fa-IR"/>
          <w:color w:val="111111"/>
          <w:sz w:val="28"/>
          <w:szCs w:val="28"/>
          <w:rtl/>
        </w:rPr>
        <w:t xml:space="preserve">أوردها فی تذکره شوشتر- ص 29- 33 و هی (73 بیتا) یتخلص فیها رامی و توجد شعره فی گنجینه گران‏مایه عند (فخر الدین) و ترجمه فی (دولت 7) و کذا فی ریحانة الأدب عن القاموس الترکی، و کشف الظنون، و فی (دجا- ص 189- 191) أورد أحواله و شعره بتخلص شرف‏)</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506" w:name="pg11704_121988"/>
    <w:bookmarkEnd w:id="506"/>
    <w:p>
      <w:pPr>
        <w:pStyle w:val="Heading3"/>
      </w:pPr>
      <w:bookmarkStart w:id="5046" w:name="_Toc3742"/>
      <w:r>
        <w:t>2868- دیوان شرف تبریزی أو شعره‏</w:t>
      </w:r>
      <w:bookmarkEnd w:id="5046"/>
    </w:p>
    <w:p>
      <w:pPr>
        <w:pStyle w:val="BookText"/>
      </w:pPr>
      <w:r>
        <w:rPr>
          <w:rFonts w:ascii="IRNazanin" w:hAnsi="IRNazanin" w:eastAsia="IRNazanin" w:cs="IRNazanin"/>
          <w:lang w:bidi="fa-IR"/>
          <w:color w:val="111111"/>
          <w:sz w:val="28"/>
          <w:szCs w:val="28"/>
          <w:rtl/>
        </w:rPr>
        <w:t xml:space="preserve">کان معاصرا لشاه‏جهان (1037- 1068) بالهند ترجمه و أورد رباعیته فی (خوش‏گو و عنه فی (دجا- ص 189) و جاء شعره فی (پژمان- ص 853)</w:t>
      </w:r>
    </w:p>
    <w:p>
      <w:pPr>
        <w:pStyle w:val="Heading3"/>
      </w:pPr>
      <w:bookmarkStart w:id="5047" w:name="_Toc3743"/>
      <w:r>
        <w:t>دیوان شرف تبریزی‏</w:t>
      </w:r>
      <w:bookmarkEnd w:id="5047"/>
    </w:p>
    <w:p>
      <w:pPr>
        <w:pStyle w:val="BookText"/>
      </w:pPr>
      <w:r>
        <w:rPr>
          <w:rFonts w:ascii="IRNazanin" w:hAnsi="IRNazanin" w:eastAsia="IRNazanin" w:cs="IRNazanin"/>
          <w:lang w:bidi="fa-IR"/>
          <w:color w:val="111111"/>
          <w:sz w:val="28"/>
          <w:szCs w:val="28"/>
          <w:rtl/>
        </w:rPr>
        <w:t xml:space="preserve">راجع دیوان شرف زرد</w:t>
      </w:r>
    </w:p>
    <w:p>
      <w:pPr>
        <w:pStyle w:val="Heading3"/>
      </w:pPr>
      <w:bookmarkStart w:id="5048" w:name="_Toc3744"/>
      <w:r>
        <w:t>2869- دیوان الشرف الجد حفصی أو شعره‏</w:t>
      </w:r>
      <w:bookmarkEnd w:id="5048"/>
    </w:p>
    <w:p>
      <w:pPr>
        <w:pStyle w:val="BookText"/>
      </w:pPr>
      <w:r>
        <w:rPr>
          <w:rFonts w:ascii="IRNazanin" w:hAnsi="IRNazanin" w:eastAsia="IRNazanin" w:cs="IRNazanin"/>
          <w:lang w:bidi="fa-IR"/>
          <w:color w:val="111111"/>
          <w:sz w:val="28"/>
          <w:szCs w:val="28"/>
          <w:rtl/>
        </w:rPr>
        <w:t xml:space="preserve">و هو السید شرف بن إسماعیل الجد حفصی رأیت مراثیه للأئمة فی مجموعة دونها الشیخ لطف الله بن علی بن لطف الله فی (1201) الموجودة عند الشیخ محمد علی الیعقوبی بالنجف و معها مراثی عبد الرءوف الجد حفصی المتوفی (1006) کما یأتی و مراثی الشیخ داود الجد حفصی‏</w:t>
      </w:r>
    </w:p>
    <w:p>
      <w:pPr>
        <w:pStyle w:val="Heading3"/>
      </w:pPr>
      <w:bookmarkStart w:id="5049" w:name="_Toc3745"/>
      <w:r>
        <w:t>دیوان شرف‏جهان قزوینی‏</w:t>
      </w:r>
      <w:bookmarkEnd w:id="5049"/>
    </w:p>
    <w:p>
      <w:pPr>
        <w:pStyle w:val="BookText"/>
      </w:pPr>
      <w:r>
        <w:rPr>
          <w:rFonts w:ascii="IRNazanin" w:hAnsi="IRNazanin" w:eastAsia="IRNazanin" w:cs="IRNazanin"/>
          <w:lang w:bidi="fa-IR"/>
          <w:color w:val="111111"/>
          <w:sz w:val="28"/>
          <w:szCs w:val="28"/>
          <w:rtl/>
        </w:rPr>
        <w:t xml:space="preserve">راجع شرف قزوینی‏</w:t>
      </w:r>
    </w:p>
    <w:p>
      <w:pPr>
        <w:pStyle w:val="Heading3"/>
      </w:pPr>
      <w:bookmarkStart w:id="5050" w:name="_Toc3746"/>
      <w:r>
        <w:t>2870- دیوان شرف خراسانی‏</w:t>
      </w:r>
      <w:bookmarkEnd w:id="5050"/>
    </w:p>
    <w:p>
      <w:pPr>
        <w:pStyle w:val="BookText"/>
      </w:pPr>
      <w:r>
        <w:rPr>
          <w:rFonts w:ascii="IRNazanin" w:hAnsi="IRNazanin" w:eastAsia="IRNazanin" w:cs="IRNazanin"/>
          <w:lang w:bidi="fa-IR"/>
          <w:color w:val="111111"/>
          <w:sz w:val="28"/>
          <w:szCs w:val="28"/>
          <w:rtl/>
        </w:rPr>
        <w:t xml:space="preserve">للسید شرف الدین بن السید عبد الله الخراسانی ولد بشیراز فی (1306 ش) و سافر إلی العراق و سکن طهران له زندگی أدبی أبو العلاء و فلسفة اگزستانسیالیسم و عدة قصص و روایات أخلاقیة، و له أشعار کثیرة یتخلص فیها شرف ترجمه فی سخنوران نامی معاصر- 2: 167 و والده من العلماء المعاصرین بطهران‏</w:t>
      </w:r>
    </w:p>
    <w:p>
      <w:pPr>
        <w:pStyle w:val="Heading3"/>
      </w:pPr>
      <w:bookmarkStart w:id="5051" w:name="_Toc3747"/>
      <w:r>
        <w:t>دیوان شرف خیابانی‏</w:t>
      </w:r>
      <w:bookmarkEnd w:id="5051"/>
    </w:p>
    <w:p>
      <w:pPr>
        <w:pStyle w:val="BookText"/>
      </w:pPr>
      <w:r>
        <w:rPr>
          <w:rFonts w:ascii="IRNazanin" w:hAnsi="IRNazanin" w:eastAsia="IRNazanin" w:cs="IRNazanin"/>
          <w:lang w:bidi="fa-IR"/>
          <w:color w:val="111111"/>
          <w:sz w:val="28"/>
          <w:szCs w:val="28"/>
          <w:rtl/>
        </w:rPr>
        <w:t xml:space="preserve">قال فی (مجن 1- ص 11 و 187) إنه کان منزویا و مشغولا بتتبع الخمسة للنظامی أقول: و مر خمسة درویش أشرف خیابانی المراغی فی (ج 7 ص 259) کما مر دیوان أشرف فی (ص 87)</w:t>
      </w:r>
    </w:p>
    <w:p>
      <w:pPr>
        <w:pStyle w:val="Heading3"/>
      </w:pPr>
      <w:bookmarkStart w:id="5052" w:name="_Toc3748"/>
      <w:r>
        <w:t>دیوان شرف الدین أصفهانی‏</w:t>
      </w:r>
      <w:bookmarkEnd w:id="5052"/>
    </w:p>
    <w:p>
      <w:pPr>
        <w:pStyle w:val="BookText"/>
      </w:pPr>
      <w:r>
        <w:rPr>
          <w:rFonts w:ascii="IRNazanin" w:hAnsi="IRNazanin" w:eastAsia="IRNazanin" w:cs="IRNazanin"/>
          <w:lang w:bidi="fa-IR"/>
          <w:color w:val="111111"/>
          <w:sz w:val="28"/>
          <w:szCs w:val="28"/>
          <w:rtl/>
        </w:rPr>
        <w:t xml:space="preserve">راجع شرف شفروه‏</w:t>
      </w:r>
    </w:p>
    <w:p>
      <w:pPr>
        <w:pStyle w:val="Heading3"/>
      </w:pPr>
      <w:bookmarkStart w:id="5053" w:name="_Toc3749"/>
      <w:r>
        <w:t>دیوان شرف الدین بافقی‏</w:t>
      </w:r>
      <w:bookmarkEnd w:id="5053"/>
    </w:p>
    <w:p>
      <w:pPr>
        <w:pStyle w:val="BookText"/>
      </w:pPr>
      <w:r>
        <w:rPr>
          <w:rFonts w:ascii="IRNazanin" w:hAnsi="IRNazanin" w:eastAsia="IRNazanin" w:cs="IRNazanin"/>
          <w:lang w:bidi="fa-IR"/>
          <w:color w:val="111111"/>
          <w:sz w:val="28"/>
          <w:szCs w:val="28"/>
          <w:rtl/>
        </w:rPr>
        <w:t xml:space="preserve">راجع شرف بافقی‏</w:t>
      </w:r>
    </w:p>
    <w:p>
      <w:pPr>
        <w:pStyle w:val="Heading3"/>
      </w:pPr>
      <w:bookmarkStart w:id="5054" w:name="_Toc3750"/>
      <w:r>
        <w:t>دیوان شرف الدین تبریزی‏</w:t>
      </w:r>
      <w:bookmarkEnd w:id="5054"/>
    </w:p>
    <w:p>
      <w:pPr>
        <w:pStyle w:val="BookText"/>
      </w:pPr>
      <w:r>
        <w:rPr>
          <w:rFonts w:ascii="IRNazanin" w:hAnsi="IRNazanin" w:eastAsia="IRNazanin" w:cs="IRNazanin"/>
          <w:lang w:bidi="fa-IR"/>
          <w:color w:val="111111"/>
          <w:sz w:val="28"/>
          <w:szCs w:val="28"/>
          <w:rtl/>
        </w:rPr>
        <w:t xml:space="preserve">راجع دیوان شرف تبریزی‏</w:t>
      </w:r>
    </w:p>
    <w:p>
      <w:pPr>
        <w:pStyle w:val="Heading3"/>
      </w:pPr>
      <w:bookmarkStart w:id="5055" w:name="_Toc3751"/>
      <w:r>
        <w:t>2871- دیوان شرف الدین حسین أو شعره‏</w:t>
      </w:r>
      <w:bookmarkEnd w:id="5055"/>
    </w:p>
    <w:p>
      <w:pPr>
        <w:pStyle w:val="BookText"/>
      </w:pPr>
      <w:r>
        <w:rPr>
          <w:rFonts w:ascii="IRNazanin" w:hAnsi="IRNazanin" w:eastAsia="IRNazanin" w:cs="IRNazanin"/>
          <w:lang w:bidi="fa-IR"/>
          <w:color w:val="111111"/>
          <w:sz w:val="28"/>
          <w:szCs w:val="28"/>
          <w:rtl/>
        </w:rPr>
        <w:t xml:space="preserve">أورد شعره فی (سرخوش- ص 60)</w:t>
      </w:r>
    </w:p>
    <w:p>
      <w:pPr>
        <w:pStyle w:val="Heading3"/>
      </w:pPr>
      <w:bookmarkStart w:id="5056" w:name="_Toc3752"/>
      <w:r>
        <w:t>دیوان شرف الدین سبزواری‏</w:t>
      </w:r>
      <w:bookmarkEnd w:id="5056"/>
    </w:p>
    <w:p>
      <w:pPr>
        <w:pStyle w:val="BookText"/>
      </w:pPr>
      <w:r>
        <w:rPr>
          <w:rFonts w:ascii="IRNazanin" w:hAnsi="IRNazanin" w:eastAsia="IRNazanin" w:cs="IRNazanin"/>
          <w:lang w:bidi="fa-IR"/>
          <w:color w:val="111111"/>
          <w:sz w:val="28"/>
          <w:szCs w:val="28"/>
          <w:rtl/>
        </w:rPr>
        <w:t xml:space="preserve">ذکرناه بتخلصه رضا سبزواری ترجمه فی (دولت 7) و قال إنه من السادات العریضیین کان من وزراء الخواجة علی مؤید سربدار، و فی عهد شاه‏رخ کان مقدم سبزوار، و قد حبسه الوزیر غیاث الدین پیر أحمد و قتل فی زمان حکومة الأمیر بابا حسن قوچین بید جباه الضرائب للحکومة فی (حدود 856) ثم أورد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507" w:name="pg11704_121989"/>
    <w:bookmarkEnd w:id="507"/>
    <w:p>
      <w:pPr>
        <w:pStyle w:val="BookText"/>
      </w:pPr>
      <w:r>
        <w:rPr>
          <w:rFonts w:ascii="IRNazanin" w:hAnsi="IRNazanin" w:eastAsia="IRNazanin" w:cs="IRNazanin"/>
          <w:lang w:bidi="fa-IR"/>
          <w:color w:val="111111"/>
          <w:sz w:val="28"/>
          <w:szCs w:val="28"/>
          <w:rtl/>
        </w:rPr>
        <w:t xml:space="preserve">شعره فی تتبع شعر لأمیر خسرو الدهلوی و هی:</w:t>
      </w:r>
    </w:p>
    <w:p>
      <w:pPr>
        <w:pStyle w:val="BookText"/>
      </w:pPr>
      <w:r>
        <w:rPr>
          <w:rFonts w:ascii="IRNazanin" w:hAnsi="IRNazanin" w:eastAsia="IRNazanin" w:cs="IRNazanin"/>
          <w:lang w:bidi="fa-IR"/>
          <w:color w:val="111111"/>
          <w:sz w:val="28"/>
          <w:szCs w:val="28"/>
          <w:rtl/>
        </w:rPr>
        <w:t xml:space="preserve">ما بستة دردیم و دوا را نشناسیم‏</w:t>
      </w:r>
    </w:p>
    <w:p>
      <w:pPr>
        <w:pStyle w:val="BookText"/>
      </w:pPr>
      <w:r>
        <w:rPr>
          <w:rFonts w:ascii="IRNazanin" w:hAnsi="IRNazanin" w:eastAsia="IRNazanin" w:cs="IRNazanin"/>
          <w:lang w:bidi="fa-IR"/>
          <w:color w:val="111111"/>
          <w:sz w:val="28"/>
          <w:szCs w:val="28"/>
          <w:rtl/>
        </w:rPr>
        <w:t xml:space="preserve">تا تشنه دردیم صفا را نشناسیم‏</w:t>
      </w:r>
    </w:p>
    <w:p>
      <w:pPr>
        <w:pStyle w:val="BookText"/>
      </w:pPr>
      <w:r>
        <w:rPr>
          <w:rFonts w:ascii="IRNazanin" w:hAnsi="IRNazanin" w:eastAsia="IRNazanin" w:cs="IRNazanin"/>
          <w:lang w:bidi="fa-IR"/>
          <w:color w:val="111111"/>
          <w:sz w:val="28"/>
          <w:szCs w:val="28"/>
          <w:rtl/>
        </w:rPr>
        <w:t xml:space="preserve">فقال هذا فی غزل تخلص فیه رضا:</w:t>
      </w:r>
    </w:p>
    <w:p>
      <w:pPr>
        <w:pStyle w:val="BookText"/>
      </w:pPr>
      <w:r>
        <w:rPr>
          <w:rFonts w:ascii="IRNazanin" w:hAnsi="IRNazanin" w:eastAsia="IRNazanin" w:cs="IRNazanin"/>
          <w:lang w:bidi="fa-IR"/>
          <w:color w:val="111111"/>
          <w:sz w:val="28"/>
          <w:szCs w:val="28"/>
          <w:rtl/>
        </w:rPr>
        <w:t xml:space="preserve">تا چند ز مستی سر و پا را نشناسیم‏</w:t>
      </w:r>
    </w:p>
    <w:p>
      <w:pPr>
        <w:pStyle w:val="BookText"/>
      </w:pPr>
      <w:r>
        <w:rPr>
          <w:rFonts w:ascii="IRNazanin" w:hAnsi="IRNazanin" w:eastAsia="IRNazanin" w:cs="IRNazanin"/>
          <w:lang w:bidi="fa-IR"/>
          <w:color w:val="111111"/>
          <w:sz w:val="28"/>
          <w:szCs w:val="28"/>
          <w:rtl/>
        </w:rPr>
        <w:t xml:space="preserve">خود را نشناسیم و خدا را نشناسیم‏</w:t>
      </w:r>
    </w:p>
    <w:p>
      <w:pPr>
        <w:pStyle w:val="BookText"/>
      </w:pPr>
      <w:r>
        <w:rPr>
          <w:rFonts w:ascii="IRNazanin" w:hAnsi="IRNazanin" w:eastAsia="IRNazanin" w:cs="IRNazanin"/>
          <w:lang w:bidi="fa-IR"/>
          <w:color w:val="111111"/>
          <w:sz w:val="28"/>
          <w:szCs w:val="28"/>
          <w:rtl/>
        </w:rPr>
        <w:t xml:space="preserve">و فی (تغ- ص 73) سماه شریف سبزواری‏</w:t>
      </w:r>
    </w:p>
    <w:p>
      <w:pPr>
        <w:pStyle w:val="Heading3"/>
      </w:pPr>
      <w:bookmarkStart w:id="5057" w:name="_Toc3753"/>
      <w:r>
        <w:t>دیوان شرف الدین شفروه‏</w:t>
      </w:r>
      <w:bookmarkEnd w:id="5057"/>
    </w:p>
    <w:p>
      <w:pPr>
        <w:pStyle w:val="BookText"/>
      </w:pPr>
      <w:r>
        <w:rPr>
          <w:rFonts w:ascii="IRNazanin" w:hAnsi="IRNazanin" w:eastAsia="IRNazanin" w:cs="IRNazanin"/>
          <w:lang w:bidi="fa-IR"/>
          <w:color w:val="111111"/>
          <w:sz w:val="28"/>
          <w:szCs w:val="28"/>
          <w:rtl/>
        </w:rPr>
        <w:t xml:space="preserve">راجع دیوان شرف شفروه‏</w:t>
      </w:r>
    </w:p>
    <w:p>
      <w:pPr>
        <w:pStyle w:val="Heading3"/>
      </w:pPr>
      <w:bookmarkStart w:id="5058" w:name="_Toc3754"/>
      <w:r>
        <w:t>دیوان شرف الدین عراقی‏</w:t>
      </w:r>
      <w:bookmarkEnd w:id="5058"/>
    </w:p>
    <w:p>
      <w:pPr>
        <w:pStyle w:val="BookText"/>
      </w:pPr>
      <w:r>
        <w:rPr>
          <w:rFonts w:ascii="IRNazanin" w:hAnsi="IRNazanin" w:eastAsia="IRNazanin" w:cs="IRNazanin"/>
          <w:lang w:bidi="fa-IR"/>
          <w:color w:val="111111"/>
          <w:sz w:val="28"/>
          <w:szCs w:val="28"/>
          <w:rtl/>
        </w:rPr>
        <w:t xml:space="preserve">راجع شرف قلندر</w:t>
      </w:r>
    </w:p>
    <w:p>
      <w:pPr>
        <w:pStyle w:val="Heading3"/>
      </w:pPr>
      <w:bookmarkStart w:id="5059" w:name="_Toc3755"/>
      <w:r>
        <w:t>دیوان شرف الدین علی‏</w:t>
      </w:r>
      <w:bookmarkEnd w:id="5059"/>
    </w:p>
    <w:p>
      <w:pPr>
        <w:pStyle w:val="BookText"/>
      </w:pPr>
      <w:r>
        <w:rPr>
          <w:rFonts w:ascii="IRNazanin" w:hAnsi="IRNazanin" w:eastAsia="IRNazanin" w:cs="IRNazanin"/>
          <w:lang w:bidi="fa-IR"/>
          <w:color w:val="111111"/>
          <w:sz w:val="28"/>
          <w:szCs w:val="28"/>
          <w:rtl/>
        </w:rPr>
        <w:t xml:space="preserve">راجع دیوان شرف یزدی، و دیوان شرف بافقی‏</w:t>
      </w:r>
    </w:p>
    <w:p>
      <w:pPr>
        <w:pStyle w:val="Heading3"/>
      </w:pPr>
      <w:bookmarkStart w:id="5060" w:name="_Toc3756"/>
      <w:r>
        <w:t>دیوان شرف الدین فراهی‏</w:t>
      </w:r>
      <w:bookmarkEnd w:id="5060"/>
    </w:p>
    <w:p>
      <w:pPr>
        <w:pStyle w:val="BookText"/>
      </w:pPr>
      <w:r>
        <w:rPr>
          <w:rFonts w:ascii="IRNazanin" w:hAnsi="IRNazanin" w:eastAsia="IRNazanin" w:cs="IRNazanin"/>
          <w:lang w:bidi="fa-IR"/>
          <w:color w:val="111111"/>
          <w:sz w:val="28"/>
          <w:szCs w:val="28"/>
          <w:rtl/>
        </w:rPr>
        <w:t xml:space="preserve">راجع شرف فراهی‏</w:t>
      </w:r>
    </w:p>
    <w:p>
      <w:pPr>
        <w:pStyle w:val="Heading3"/>
      </w:pPr>
      <w:bookmarkStart w:id="5061" w:name="_Toc3757"/>
      <w:r>
        <w:t>دیوان شرف الدین قلندر</w:t>
      </w:r>
      <w:bookmarkEnd w:id="5061"/>
    </w:p>
    <w:p>
      <w:pPr>
        <w:pStyle w:val="BookText"/>
      </w:pPr>
      <w:r>
        <w:rPr>
          <w:rFonts w:ascii="IRNazanin" w:hAnsi="IRNazanin" w:eastAsia="IRNazanin" w:cs="IRNazanin"/>
          <w:lang w:bidi="fa-IR"/>
          <w:color w:val="111111"/>
          <w:sz w:val="28"/>
          <w:szCs w:val="28"/>
          <w:rtl/>
        </w:rPr>
        <w:t xml:space="preserve">راجع شرف قلندر و هو غیر شرر شیرازی قلندر</w:t>
      </w:r>
    </w:p>
    <w:p>
      <w:pPr>
        <w:pStyle w:val="Heading3"/>
      </w:pPr>
      <w:bookmarkStart w:id="5062" w:name="_Toc3758"/>
      <w:r>
        <w:t>دیوان شرف الدین کرمانی‏</w:t>
      </w:r>
      <w:bookmarkEnd w:id="5062"/>
    </w:p>
    <w:p>
      <w:pPr>
        <w:pStyle w:val="BookText"/>
      </w:pPr>
      <w:r>
        <w:rPr>
          <w:rFonts w:ascii="IRNazanin" w:hAnsi="IRNazanin" w:eastAsia="IRNazanin" w:cs="IRNazanin"/>
          <w:lang w:bidi="fa-IR"/>
          <w:color w:val="111111"/>
          <w:sz w:val="28"/>
          <w:szCs w:val="28"/>
          <w:rtl/>
        </w:rPr>
        <w:t xml:space="preserve">راجع شرف کرمانی‏</w:t>
      </w:r>
    </w:p>
    <w:p>
      <w:pPr>
        <w:pStyle w:val="Heading3"/>
      </w:pPr>
      <w:bookmarkStart w:id="5063" w:name="_Toc3759"/>
      <w:r>
        <w:t>دیوان شرف الدین منیری‏</w:t>
      </w:r>
      <w:bookmarkEnd w:id="5063"/>
    </w:p>
    <w:p>
      <w:pPr>
        <w:pStyle w:val="BookText"/>
      </w:pPr>
      <w:r>
        <w:rPr>
          <w:rFonts w:ascii="IRNazanin" w:hAnsi="IRNazanin" w:eastAsia="IRNazanin" w:cs="IRNazanin"/>
          <w:lang w:bidi="fa-IR"/>
          <w:color w:val="111111"/>
          <w:sz w:val="28"/>
          <w:szCs w:val="28"/>
          <w:rtl/>
        </w:rPr>
        <w:t xml:space="preserve">راجع شرف منیری‏</w:t>
      </w:r>
    </w:p>
    <w:p>
      <w:pPr>
        <w:pStyle w:val="Heading3"/>
      </w:pPr>
      <w:bookmarkStart w:id="5064" w:name="_Toc3760"/>
      <w:r>
        <w:t>دیوان شرف رامی‏</w:t>
      </w:r>
      <w:bookmarkEnd w:id="5064"/>
    </w:p>
    <w:p>
      <w:pPr>
        <w:pStyle w:val="BookText"/>
      </w:pPr>
      <w:r>
        <w:rPr>
          <w:rFonts w:ascii="IRNazanin" w:hAnsi="IRNazanin" w:eastAsia="IRNazanin" w:cs="IRNazanin"/>
          <w:lang w:bidi="fa-IR"/>
          <w:color w:val="111111"/>
          <w:sz w:val="28"/>
          <w:szCs w:val="28"/>
          <w:rtl/>
        </w:rPr>
        <w:t xml:space="preserve">مر بعنوان شرف تبریزی‏</w:t>
      </w:r>
    </w:p>
    <w:p>
      <w:pPr>
        <w:pStyle w:val="Heading3"/>
      </w:pPr>
      <w:bookmarkStart w:id="5065" w:name="_Toc3761"/>
      <w:r>
        <w:t>دیوان شرف رضائی‏</w:t>
      </w:r>
      <w:bookmarkEnd w:id="5065"/>
    </w:p>
    <w:p>
      <w:pPr>
        <w:pStyle w:val="BookText"/>
      </w:pPr>
      <w:r>
        <w:rPr>
          <w:rFonts w:ascii="IRNazanin" w:hAnsi="IRNazanin" w:eastAsia="IRNazanin" w:cs="IRNazanin"/>
          <w:lang w:bidi="fa-IR"/>
          <w:color w:val="111111"/>
          <w:sz w:val="28"/>
          <w:szCs w:val="28"/>
          <w:rtl/>
        </w:rPr>
        <w:t xml:space="preserve">کما فی بعض المواضع راجع شرف الدین سبزواری‏</w:t>
      </w:r>
    </w:p>
    <w:p>
      <w:pPr>
        <w:pStyle w:val="Heading3"/>
      </w:pPr>
      <w:bookmarkStart w:id="5066" w:name="_Toc3762"/>
      <w:r>
        <w:t>2872- دیوان شرف زرد التبریزی‏</w:t>
      </w:r>
      <w:bookmarkEnd w:id="5066"/>
    </w:p>
    <w:p>
      <w:pPr>
        <w:pStyle w:val="BookText"/>
      </w:pPr>
      <w:r>
        <w:rPr>
          <w:rFonts w:ascii="IRNazanin" w:hAnsi="IRNazanin" w:eastAsia="IRNazanin" w:cs="IRNazanin"/>
          <w:lang w:bidi="fa-IR"/>
          <w:color w:val="111111"/>
          <w:sz w:val="28"/>
          <w:szCs w:val="28"/>
          <w:rtl/>
        </w:rPr>
        <w:t xml:space="preserve">ترجمه معاصره المیر تقی الحسینی الأوحدی الأصفهانی فی عرفات العاشقین- المؤلف (1025) و الموجود بمکتبة (الملک)- و ذکر أنه کان معاصر المولی وحشی و له ساقی‏نامه و أورد بعض شعره المیر تقی الکاشی المعاصر له أیضا فی خلاصة الأشعار و نقل فی (دجا- ص 191- 192) عن لطائف الخیال لمحمد عارف البقائی التفریشی، أنه توفی شرف زرد التبریزی فی (1016) و ترجمه أیضا فی (روشن- ص 342)</w:t>
      </w:r>
    </w:p>
    <w:p>
      <w:pPr>
        <w:pStyle w:val="Heading3"/>
      </w:pPr>
      <w:bookmarkStart w:id="5067" w:name="_Toc3763"/>
      <w:r>
        <w:t>دیوان شرف سبزواری‏</w:t>
      </w:r>
      <w:bookmarkEnd w:id="5067"/>
    </w:p>
    <w:p>
      <w:pPr>
        <w:pStyle w:val="BookText"/>
      </w:pPr>
      <w:r>
        <w:rPr>
          <w:rFonts w:ascii="IRNazanin" w:hAnsi="IRNazanin" w:eastAsia="IRNazanin" w:cs="IRNazanin"/>
          <w:lang w:bidi="fa-IR"/>
          <w:color w:val="111111"/>
          <w:sz w:val="28"/>
          <w:szCs w:val="28"/>
          <w:rtl/>
        </w:rPr>
        <w:t xml:space="preserve">کما فی (پژمان- ص 854) راجع شرف الدین سبزواری و شریف سبزواری‏</w:t>
      </w:r>
    </w:p>
    <w:p>
      <w:pPr>
        <w:pStyle w:val="Heading3"/>
      </w:pPr>
      <w:bookmarkStart w:id="5068" w:name="_Toc3764"/>
      <w:r>
        <w:t>2873- دیوان شرف شفروه‏</w:t>
      </w:r>
      <w:bookmarkEnd w:id="5068"/>
    </w:p>
    <w:p>
      <w:pPr>
        <w:pStyle w:val="BookText"/>
      </w:pPr>
      <w:r>
        <w:rPr>
          <w:rFonts w:ascii="IRNazanin" w:hAnsi="IRNazanin" w:eastAsia="IRNazanin" w:cs="IRNazanin"/>
          <w:lang w:bidi="fa-IR"/>
          <w:color w:val="111111"/>
          <w:sz w:val="28"/>
          <w:szCs w:val="28"/>
          <w:rtl/>
        </w:rPr>
        <w:t xml:space="preserve">و هو شرف الدین محمد، أو عبد المؤمن ابن هبة الله، أو فضل الله الأصفهانی المتوفی (598) کما فی شاهد صادق. یظهر من دیوانه أنه کان یتخلص شرف قال العوفی فی (اللباب- ج 1- ص 268) إنه رأی دیوانه فی‏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508" w:name="pg11704_121990"/>
    <w:bookmarkEnd w:id="508"/>
    <w:p>
      <w:pPr>
        <w:pStyle w:val="BookText"/>
      </w:pPr>
      <w:r>
        <w:rPr>
          <w:rFonts w:ascii="IRNazanin" w:hAnsi="IRNazanin" w:eastAsia="IRNazanin" w:cs="IRNazanin"/>
          <w:lang w:bidi="fa-IR"/>
          <w:color w:val="111111"/>
          <w:sz w:val="28"/>
          <w:szCs w:val="28"/>
          <w:rtl/>
        </w:rPr>
        <w:t xml:space="preserve">نیشابور فی أکثر من مائة طبق قرطاسا. و قال القزوینی فی تعلیقاته (ص 356) إن الباقی من دیوانه قلیل یمدح فیه رکن الدین أرسلان (555- 571) و رکن الدین طغرل (571- 590) و شمس الدین محمد أتابک إیلدکز (568- 582). قال فی (دولت 3) و فی (تش- ص 178) و فی ریاض الشعراء إن أتابک شیرگیر لقب شفروه هذا ملک الشعراء و یمکن أن یکون هو أنوشتکین حاکم آبة (آوة) السلجوقی. و شفروه لقب جده ظاهرا، فإن ابن عمه ظهیر الدین یلقب شفروه أیضا. و یظهر من تذکره تقی الدین کاشی و المعجم فی معاییر أشعار العجم أن شفروه بالفاء و الواو، و لکن واله فی ریاض الشعراء قال إنه بالقاف و الدال، و شقرد قریة بأصفهان ینسب إلیها. و لیس بصحیح. و ترجمه أیضا فی تاریخ گزیده ص 821 و (حسینی- ص 169) و (بهش 1- ص 339) و (تغ- 72) و (روشن- 342) و فی (مع 1: ص 302) قال إن دیوانه فی ثمانیة آلاف بیت. و مر له فی (ج 2 ص 216) أطباق الذهب فی قبال أطواق الذهب للزمخشری. و یأتی دیوان ابن عمه ظهیر شفروه.</w:t>
      </w:r>
    </w:p>
    <w:p>
      <w:pPr>
        <w:pStyle w:val="Heading3"/>
      </w:pPr>
      <w:bookmarkStart w:id="5069" w:name="_Toc3765"/>
      <w:r>
        <w:t>2874- دیوان شرف شیرازی أو شعره‏</w:t>
      </w:r>
      <w:bookmarkEnd w:id="5069"/>
    </w:p>
    <w:p>
      <w:pPr>
        <w:pStyle w:val="BookText"/>
      </w:pPr>
      <w:r>
        <w:rPr>
          <w:rFonts w:ascii="IRNazanin" w:hAnsi="IRNazanin" w:eastAsia="IRNazanin" w:cs="IRNazanin"/>
          <w:lang w:bidi="fa-IR"/>
          <w:color w:val="111111"/>
          <w:sz w:val="28"/>
          <w:szCs w:val="28"/>
          <w:rtl/>
        </w:rPr>
        <w:t xml:space="preserve">و اسمه شرف الدین عبد الله. ترجمه و أورد شعره فی (مع 1 ص 306) و حکی عن بعض اتحاده مع وصاف الحضرة صاحب تجزئه الأمصار المذکور فی (ج 3- ص 358) و نقل عن آخرین إنکار ذلک.</w:t>
      </w:r>
    </w:p>
    <w:p>
      <w:pPr>
        <w:pStyle w:val="BookText"/>
      </w:pPr>
      <w:r>
        <w:rPr>
          <w:rFonts w:ascii="IRNazanin" w:hAnsi="IRNazanin" w:eastAsia="IRNazanin" w:cs="IRNazanin"/>
          <w:lang w:bidi="fa-IR"/>
          <w:color w:val="111111"/>
          <w:sz w:val="28"/>
          <w:szCs w:val="28"/>
          <w:rtl/>
        </w:rPr>
        <w:t xml:space="preserve">(أقول) أما مؤلف تجزئه الأمصار فهو عبد الله المتخلص شرف ابن عز الدین فضل الله مؤلف المعجم فی آثار ملوک العجم. أصله من یزد و ولد شرف بشیراز فی (663) ترجمه فی (تغ- ص 72) و (روشن- ص 72) و (روشن- ص 343) و سبک‏شناسی (3: 101) و (عم:</w:t>
      </w:r>
    </w:p>
    <w:p>
      <w:pPr>
        <w:pStyle w:val="BookText"/>
      </w:pPr>
      <w:r>
        <w:rPr>
          <w:rFonts w:ascii="Times New Roman" w:hAnsi="Times New Roman" w:eastAsia="Times New Roman" w:cs="Times New Roman"/>
          <w:lang w:val="en-US" w:bidi="en-US"/>
          <w:color w:val="111111"/>
          <w:sz w:val="28"/>
          <w:szCs w:val="28"/>
          <w:rtl/>
        </w:rPr>
        <w:t xml:space="preserve">475.</w:t>
      </w:r>
    </w:p>
    <w:p>
      <w:pPr>
        <w:pStyle w:val="BookText"/>
      </w:pPr>
      <w:r>
        <w:rPr>
          <w:rFonts w:ascii="IRNazanin" w:hAnsi="IRNazanin" w:eastAsia="IRNazanin" w:cs="IRNazanin"/>
          <w:lang w:bidi="fa-IR"/>
          <w:color w:val="111111"/>
          <w:sz w:val="28"/>
          <w:szCs w:val="28"/>
          <w:rtl/>
        </w:rPr>
        <w:t xml:space="preserve">و فارس‏نامه (2: 148) و لکن هذا لم یصفه بلقب وصاف الحضرة.</w:t>
      </w:r>
    </w:p>
    <w:p>
      <w:pPr>
        <w:pStyle w:val="Heading3"/>
      </w:pPr>
      <w:bookmarkStart w:id="5070" w:name="_Toc3766"/>
      <w:r>
        <w:t>دیوان شرف شیرازی‏</w:t>
      </w:r>
      <w:bookmarkEnd w:id="5070"/>
    </w:p>
    <w:p>
      <w:pPr>
        <w:pStyle w:val="BookText"/>
      </w:pPr>
      <w:r>
        <w:rPr>
          <w:rFonts w:ascii="IRNazanin" w:hAnsi="IRNazanin" w:eastAsia="IRNazanin" w:cs="IRNazanin"/>
          <w:lang w:bidi="fa-IR"/>
          <w:color w:val="111111"/>
          <w:sz w:val="28"/>
          <w:szCs w:val="28"/>
          <w:rtl/>
        </w:rPr>
        <w:t xml:space="preserve">راجع دیوان شرف معرف.</w:t>
      </w:r>
    </w:p>
    <w:p>
      <w:pPr>
        <w:pStyle w:val="Heading3"/>
      </w:pPr>
      <w:bookmarkStart w:id="5071" w:name="_Toc3767"/>
      <w:r>
        <w:t>دیوان شرف طوسی أو شعره‏</w:t>
      </w:r>
      <w:bookmarkEnd w:id="5071"/>
    </w:p>
    <w:p>
      <w:pPr>
        <w:pStyle w:val="BookText"/>
      </w:pPr>
      <w:r>
        <w:rPr>
          <w:rFonts w:ascii="IRNazanin" w:hAnsi="IRNazanin" w:eastAsia="IRNazanin" w:cs="IRNazanin"/>
          <w:lang w:bidi="fa-IR"/>
          <w:color w:val="111111"/>
          <w:sz w:val="28"/>
          <w:szCs w:val="28"/>
          <w:rtl/>
        </w:rPr>
        <w:t xml:space="preserve">أورد شعره فی (گلشن- ص 222) و فی (تغ- ص 71).</w:t>
      </w:r>
    </w:p>
    <w:p>
      <w:pPr>
        <w:pStyle w:val="BookText"/>
      </w:pPr>
      <w:r>
        <w:rPr>
          <w:rFonts w:ascii="IRNazanin" w:hAnsi="IRNazanin" w:eastAsia="IRNazanin" w:cs="IRNazanin"/>
          <w:lang w:bidi="fa-IR"/>
          <w:color w:val="111111"/>
          <w:sz w:val="28"/>
          <w:szCs w:val="28"/>
          <w:rtl/>
        </w:rPr>
        <w:t xml:space="preserve">عده من قدماء الشعراء. و لعله الغزنوی.</w:t>
      </w:r>
    </w:p>
    <w:p>
      <w:pPr>
        <w:pStyle w:val="Heading3"/>
      </w:pPr>
      <w:bookmarkStart w:id="5072" w:name="_Toc3768"/>
      <w:r>
        <w:t>دیوان شرف عراقی‏</w:t>
      </w:r>
      <w:bookmarkEnd w:id="5072"/>
    </w:p>
    <w:p>
      <w:pPr>
        <w:pStyle w:val="BookText"/>
      </w:pPr>
      <w:r>
        <w:rPr>
          <w:rFonts w:ascii="IRNazanin" w:hAnsi="IRNazanin" w:eastAsia="IRNazanin" w:cs="IRNazanin"/>
          <w:lang w:bidi="fa-IR"/>
          <w:color w:val="111111"/>
          <w:sz w:val="28"/>
          <w:szCs w:val="28"/>
          <w:rtl/>
        </w:rPr>
        <w:t xml:space="preserve">راجع شرف قلندر.</w:t>
      </w:r>
    </w:p>
    <w:p>
      <w:pPr>
        <w:pStyle w:val="Heading3"/>
      </w:pPr>
      <w:bookmarkStart w:id="5073" w:name="_Toc3769"/>
      <w:r>
        <w:t>2875- دیوان شرف غزنوی أو شعره‏</w:t>
      </w:r>
      <w:bookmarkEnd w:id="5073"/>
    </w:p>
    <w:p>
      <w:pPr>
        <w:pStyle w:val="BookText"/>
      </w:pPr>
      <w:r>
        <w:rPr>
          <w:rFonts w:ascii="IRNazanin" w:hAnsi="IRNazanin" w:eastAsia="IRNazanin" w:cs="IRNazanin"/>
          <w:lang w:bidi="fa-IR"/>
          <w:color w:val="111111"/>
          <w:sz w:val="28"/>
          <w:szCs w:val="28"/>
          <w:rtl/>
        </w:rPr>
        <w:t xml:space="preserve">و اسمه شرف الدین محمد بن رشید الدین محمد الکاتب المحاسب الغزنوی کما فی (تغ- ص 71) و (روشن- ص 343). و لعله شرف طوسی المذکور فی (گلشن- ص 222).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509" w:name="pg11704_121991"/>
    <w:bookmarkEnd w:id="509"/>
    <w:p>
      <w:pPr>
        <w:pStyle w:val="Heading3"/>
      </w:pPr>
      <w:bookmarkStart w:id="5074" w:name="_Toc3770"/>
      <w:r>
        <w:t>2876- دیوان شرف فراهی‏</w:t>
      </w:r>
      <w:bookmarkEnd w:id="5074"/>
    </w:p>
    <w:p>
      <w:pPr>
        <w:pStyle w:val="BookText"/>
      </w:pPr>
      <w:r>
        <w:rPr>
          <w:rFonts w:ascii="IRNazanin" w:hAnsi="IRNazanin" w:eastAsia="IRNazanin" w:cs="IRNazanin"/>
          <w:lang w:bidi="fa-IR"/>
          <w:color w:val="111111"/>
          <w:sz w:val="28"/>
          <w:szCs w:val="28"/>
          <w:rtl/>
        </w:rPr>
        <w:t xml:space="preserve">) قال العوفی فی (اللباب 7- ج 2: 259- 263) هو الإمام شرف الدین محمد بن محمد الفراهی. ثم قال رأیته عند سفری إلی فره ثم أورد قطعة من منظومته باسم کارنامه فی الشکایة عن رجال عهده. و فی (نر 14- ص 492) أورد الشعر و نسبه إلی محمد بن محمود الفراهی. و أورد العوفی فی (اللباب 5- ج 2 ص 49) مطلع قصیدته التی یهنئ فیها الأمیر ناصر الدین عثمان بن حرب السنجری فی انتصاره علی الملاحدة بترشیز. و قد اشتبه صاحب جهان‏آرا بین هذا الرجل و بین معاصره أبی نصر بدر الدین محمود (أو مسعود) ابن أبی بکر بن الحسین بن جعفر الفراهی صاحب نصاب الصبیان فنسب القصیدة إلی هذا الرجل، کما نبه علیه القزوینی فی تعلیقاته (ص 353) من ذلک المجلد. و جاء شعره فی (خوش‏گو) و کذا فی (روشن- ص 343).</w:t>
      </w:r>
    </w:p>
    <w:p>
      <w:pPr>
        <w:pStyle w:val="Heading3"/>
      </w:pPr>
      <w:bookmarkStart w:id="5075" w:name="_Toc3771"/>
      <w:r>
        <w:t>2877- دیوان شرف قزوینی‏</w:t>
      </w:r>
      <w:bookmarkEnd w:id="5075"/>
    </w:p>
    <w:p>
      <w:pPr>
        <w:pStyle w:val="BookText"/>
      </w:pPr>
      <w:r>
        <w:rPr>
          <w:rFonts w:ascii="IRNazanin" w:hAnsi="IRNazanin" w:eastAsia="IRNazanin" w:cs="IRNazanin"/>
          <w:lang w:bidi="fa-IR"/>
          <w:color w:val="111111"/>
          <w:sz w:val="28"/>
          <w:szCs w:val="28"/>
          <w:rtl/>
        </w:rPr>
        <w:t xml:space="preserve">و هو المیر شرف‏جهان بن القاضی نور الهدی. کان والده قاضی قزوین فی عهد الشاه طهماسب فلقبه الشاه قاضی جهان ترجمه فی (میخانه- ص 132) و نقل علو مقام والده عند الشاه، ثم سقوطه بسبب تسنن ولده شرف هذا، ثم ذکر وفاته فی (961) عن اثنین و أربعین سنة من عمره، ثم قال رأیت دیوانه و یشتمل علی (855 بیتا) غیر ساقی‏نامه. و قد تتبع غزلیاته جعفر القزوینی المذکور فی (ص 197) و قرأها فی مجمع فی مکتب ملا خلیل القاری القزوینی، و قد اجتمع فیه الشعراء مثل حسابی و ضمیری أصفهانی، فلم یستحسنوه فغسله بالماء. ثم أورد له مثنوی ساقی‏نامه و مر فی (ج 7 ص 261) تتبع ضمیری لشعره باسم ترانه وصال و ترجمه و أورد شعره فی (تس 2- ص 24) و (تش- ص 224) و قال فی (مع 2- ص 23) إنه تلمذ علی غیاث الدین منصور من علماء عصر الشاه طهماسب، و أورد شعره. و قال فی الریحانة نقلا عن القاموس الترکی أنه مات (968) و فی (تغ- ص 71) مات (963). و ترجمه أیضا (حسینی- ص 175) و (خوش‏گو) و (پژمان 234). و نقل شبلی فی شعر العجم (ج 3 ص 16) أحواله عن خزانة عامرة. ثم قال و توجد دیوانه عندی” شبلی” و مات (962) ثم قال فی (ج 5 ص 50 منه) أن دیوانه فی ألف بیت، و قال کان وزیر الشاه طهماسب و إنه هو الذی حفر نهرا لسقی أرض کربلاء، موجودة حتی الیوم، أقول: و هذا النهر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510" w:name="pg11704_121992"/>
    <w:bookmarkEnd w:id="510"/>
    <w:p>
      <w:pPr>
        <w:pStyle w:val="BookText"/>
      </w:pPr>
      <w:r>
        <w:rPr>
          <w:rFonts w:ascii="IRNazanin" w:hAnsi="IRNazanin" w:eastAsia="IRNazanin" w:cs="IRNazanin"/>
          <w:lang w:bidi="fa-IR"/>
          <w:color w:val="111111"/>
          <w:sz w:val="28"/>
          <w:szCs w:val="28"/>
          <w:rtl/>
        </w:rPr>
        <w:t xml:space="preserve">یسمی الیوم بالنهر الحسینی. و توجد دیوانه الیوم فی (بنگاله) کما فی فهرسها و عند (الملک) برقم (5281) کتبت فی القرن الحادی عشر و فیها حدود (800 بیت) من شعره.</w:t>
      </w:r>
    </w:p>
    <w:p>
      <w:pPr>
        <w:pStyle w:val="BookText"/>
      </w:pPr>
      <w:r>
        <w:rPr>
          <w:rFonts w:ascii="IRNazanin" w:hAnsi="IRNazanin" w:eastAsia="IRNazanin" w:cs="IRNazanin"/>
          <w:lang w:bidi="fa-IR"/>
          <w:color w:val="111111"/>
          <w:sz w:val="28"/>
          <w:szCs w:val="28"/>
          <w:rtl/>
        </w:rPr>
        <w:t xml:space="preserve">و مر دیوان عمه روح الله فی (ص 387).</w:t>
      </w:r>
    </w:p>
    <w:p>
      <w:pPr>
        <w:pStyle w:val="Heading3"/>
      </w:pPr>
      <w:bookmarkStart w:id="5076" w:name="_Toc3772"/>
      <w:r>
        <w:t>2878- دیوان شرف قزوینی‏</w:t>
      </w:r>
      <w:bookmarkEnd w:id="5076"/>
    </w:p>
    <w:p>
      <w:pPr>
        <w:pStyle w:val="BookText"/>
      </w:pPr>
      <w:r>
        <w:rPr>
          <w:rFonts w:ascii="IRNazanin" w:hAnsi="IRNazanin" w:eastAsia="IRNazanin" w:cs="IRNazanin"/>
          <w:lang w:bidi="fa-IR"/>
          <w:color w:val="111111"/>
          <w:sz w:val="28"/>
          <w:szCs w:val="28"/>
          <w:rtl/>
        </w:rPr>
        <w:t xml:space="preserve">اسمه شرف الدین فضل الله ترجمه فی (مع- ج 1 ص 306) و أطری بدائعه و صنائعه الشعریة، و أورد قصیدته الخالیة عن الإعجام المسماة بالمحذوفة، لحذف النقط فیها و عده (پژمان- ص 238) أصفهانیا</w:t>
      </w:r>
    </w:p>
    <w:p>
      <w:pPr>
        <w:pStyle w:val="Heading3"/>
      </w:pPr>
      <w:bookmarkStart w:id="5077" w:name="_Toc3773"/>
      <w:r>
        <w:t>2879- دیوان شرف قلندر أو شعره‏</w:t>
      </w:r>
      <w:bookmarkEnd w:id="5077"/>
    </w:p>
    <w:p>
      <w:pPr>
        <w:pStyle w:val="BookText"/>
      </w:pPr>
      <w:r>
        <w:rPr>
          <w:rFonts w:ascii="IRNazanin" w:hAnsi="IRNazanin" w:eastAsia="IRNazanin" w:cs="IRNazanin"/>
          <w:lang w:bidi="fa-IR"/>
          <w:color w:val="111111"/>
          <w:sz w:val="28"/>
          <w:szCs w:val="28"/>
          <w:rtl/>
        </w:rPr>
        <w:t xml:space="preserve">و هو أبو علی شرف الدین بن سالار فخر الدین العراقی و أمه بی‏بی حافظ یقال إن نسبه ینتهی إلی أبی حنیفة نعمان بن ثابت و هو من مشاهیر عرفاء السلسلة الچشتیة بالهند یقال إنه ألقی بتألیفاته فی البحر الهندی فی حال الجذبة و مات (13 رمضان- 724) ببلدة پانی‏پت و قال فی (تغ- ص 71) مات (701) أورد شعره فی خزینة الأصفیاء- ج 1 ص 326 و (حسینی ص 162- 166) و عنهما فی الریحانة و یتخلص فی شعره شرف و مر شرر شیرازی قلندر</w:t>
      </w:r>
    </w:p>
    <w:p>
      <w:pPr>
        <w:pStyle w:val="Heading3"/>
      </w:pPr>
      <w:bookmarkStart w:id="5078" w:name="_Toc3774"/>
      <w:r>
        <w:t>2880- دیوان شرف کرمانی‏</w:t>
      </w:r>
      <w:bookmarkEnd w:id="5078"/>
    </w:p>
    <w:p>
      <w:pPr>
        <w:pStyle w:val="BookText"/>
      </w:pPr>
      <w:r>
        <w:rPr>
          <w:rFonts w:ascii="IRNazanin" w:hAnsi="IRNazanin" w:eastAsia="IRNazanin" w:cs="IRNazanin"/>
          <w:lang w:bidi="fa-IR"/>
          <w:color w:val="111111"/>
          <w:sz w:val="28"/>
          <w:szCs w:val="28"/>
          <w:rtl/>
        </w:rPr>
        <w:t xml:space="preserve">و هو الشیخ شرف الدین الکرمانی قال سنگلاخ فی امتحان الفضلاء- ج 1 ص 194 إنه رأی منتخب دیوانه بخط حالی بابا شاه الأصفهانی‏</w:t>
      </w:r>
    </w:p>
    <w:p>
      <w:pPr>
        <w:pStyle w:val="Heading3"/>
      </w:pPr>
      <w:bookmarkStart w:id="5079" w:name="_Toc3775"/>
      <w:r>
        <w:t>2881- دیوان شرف معرف‏</w:t>
      </w:r>
      <w:bookmarkEnd w:id="5079"/>
    </w:p>
    <w:p>
      <w:pPr>
        <w:pStyle w:val="BookText"/>
      </w:pPr>
      <w:r>
        <w:rPr>
          <w:rFonts w:ascii="IRNazanin" w:hAnsi="IRNazanin" w:eastAsia="IRNazanin" w:cs="IRNazanin"/>
          <w:lang w:bidi="fa-IR"/>
          <w:color w:val="111111"/>
          <w:sz w:val="28"/>
          <w:szCs w:val="28"/>
          <w:rtl/>
        </w:rPr>
        <w:t xml:space="preserve">کان معرفا للواردین فی مجالس الأکابر بشیراز و هو أخ المیر شریف الآتی ذکره معاصره النصرآبادی فی (نر 5- ص 140) و ذکر شعره فی تاریخ جلوس الشاه عباس الثانی (1052) و ذکر نزاعه مع صائبا و تحکیمهما للنصرآبادی و حکمه لصائبا ثم ذکر أخاه شرف‏</w:t>
      </w:r>
    </w:p>
    <w:p>
      <w:pPr>
        <w:pStyle w:val="Heading3"/>
      </w:pPr>
      <w:bookmarkStart w:id="5080" w:name="_Toc3776"/>
      <w:r>
        <w:t>دیوان شرف منیری‏</w:t>
      </w:r>
      <w:bookmarkEnd w:id="5080"/>
    </w:p>
    <w:p>
      <w:pPr>
        <w:pStyle w:val="BookText"/>
      </w:pPr>
      <w:r>
        <w:rPr>
          <w:rFonts w:ascii="IRNazanin" w:hAnsi="IRNazanin" w:eastAsia="IRNazanin" w:cs="IRNazanin"/>
          <w:lang w:bidi="fa-IR"/>
          <w:color w:val="111111"/>
          <w:sz w:val="28"/>
          <w:szCs w:val="28"/>
          <w:rtl/>
        </w:rPr>
        <w:t xml:space="preserve">صاحب شرف‏نامه فی لغة الفرس قال إسماعیل پاشا فی أسماء المؤلفین (1: 620) إن تخلصه منیری و له مائة ألف بیت من الشعر فیأتی فی المیم‏</w:t>
      </w:r>
    </w:p>
    <w:p>
      <w:pPr>
        <w:pStyle w:val="Heading3"/>
      </w:pPr>
      <w:bookmarkStart w:id="5081" w:name="_Toc3777"/>
      <w:r>
        <w:t>2882- دیوان شرف الملک نسوی‏</w:t>
      </w:r>
      <w:bookmarkEnd w:id="5081"/>
    </w:p>
    <w:p>
      <w:pPr>
        <w:pStyle w:val="BookText"/>
      </w:pPr>
      <w:r>
        <w:rPr>
          <w:rFonts w:ascii="IRNazanin" w:hAnsi="IRNazanin" w:eastAsia="IRNazanin" w:cs="IRNazanin"/>
          <w:lang w:bidi="fa-IR"/>
          <w:color w:val="111111"/>
          <w:sz w:val="28"/>
          <w:szCs w:val="28"/>
          <w:rtl/>
        </w:rPr>
        <w:t xml:space="preserve">قال سنگلاخ فی امتحان الفضلاء- 1: 122 إنه رأی دیوانه بخط المیر محمد</w:t>
      </w:r>
    </w:p>
    <w:p>
      <w:pPr>
        <w:pStyle w:val="Heading3"/>
      </w:pPr>
      <w:bookmarkStart w:id="5082" w:name="_Toc3778"/>
      <w:r>
        <w:t>دیوان شرف یزدی‏</w:t>
      </w:r>
      <w:bookmarkEnd w:id="5082"/>
    </w:p>
    <w:p>
      <w:pPr>
        <w:pStyle w:val="BookText"/>
      </w:pPr>
      <w:r>
        <w:rPr>
          <w:rFonts w:ascii="IRNazanin" w:hAnsi="IRNazanin" w:eastAsia="IRNazanin" w:cs="IRNazanin"/>
          <w:lang w:bidi="fa-IR"/>
          <w:color w:val="111111"/>
          <w:sz w:val="28"/>
          <w:szCs w:val="28"/>
          <w:rtl/>
        </w:rPr>
        <w:t xml:space="preserve">صاحب تاریخ وصاف مر بعنوان شرف شیرازی‏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511" w:name="pg11704_121993"/>
    <w:bookmarkEnd w:id="511"/>
    <w:p>
      <w:pPr>
        <w:pStyle w:val="Heading3"/>
      </w:pPr>
      <w:bookmarkStart w:id="5083" w:name="_Toc3779"/>
      <w:r>
        <w:t>2883- دیوان شرف یزدی‏</w:t>
      </w:r>
      <w:bookmarkEnd w:id="5083"/>
    </w:p>
    <w:p>
      <w:pPr>
        <w:pStyle w:val="BookText"/>
      </w:pPr>
      <w:r>
        <w:rPr>
          <w:rFonts w:ascii="IRNazanin" w:hAnsi="IRNazanin" w:eastAsia="IRNazanin" w:cs="IRNazanin"/>
          <w:lang w:bidi="fa-IR"/>
          <w:color w:val="111111"/>
          <w:sz w:val="28"/>
          <w:szCs w:val="28"/>
          <w:rtl/>
        </w:rPr>
        <w:t xml:space="preserve">و هو شرف الدین علی بن شیخ حاجی الیزدی کان أبوه مریدا لشیخ أندیان و علی بلیمانی من صوفیة یزد، و کان هو مریدا لملا حسین الأخلاطی الحروفی و هذا ما جعله یعتقد بخواص الحروف فأخذ یتکلف فی المعمیات و ألف فیها کتبا له ظفرنامه فی تاریخ تیمور، و مر نظمه باسم تمرنامه و له حقائق التهلیل و شرح قصیدة البردة و کتاب فی الأسطرلاب، و له أیضا حلل مطرز در معما و لغز و منتخب حلل و کنه الزاد در علم وفق أعداد و مواطن کلها فی المعمی و مات (830) کما فی ریاض العلماء أو (834) کما فی (تغ- ص 72) أو (850) کما فی گنج دانش و کشف الظنون أو (853) کما فی شاهد صادق أو (858) کما فی مجالس العشاق- ص 167 و ترجمه أیضا فی (دولت 6) و (خیال- ص 67) و (هفت- ص 173) و (نر 15- ص 497) و (مجن 1- ص 25 و 199) و (تش- ص 120) و (تش یز- 295) و (ض- ص 365) و</w:t>
      </w:r>
    </w:p>
    <w:p>
      <w:pPr>
        <w:pStyle w:val="BookText"/>
      </w:pPr>
      <w:r>
        <w:rPr>
          <w:rFonts w:ascii="IRNazanin" w:hAnsi="IRNazanin" w:eastAsia="IRNazanin" w:cs="IRNazanin"/>
          <w:lang w:bidi="fa-IR"/>
          <w:color w:val="111111"/>
          <w:sz w:val="28"/>
          <w:szCs w:val="28"/>
          <w:rtl/>
        </w:rPr>
        <w:t xml:space="preserve">عنهم فی الریحانة و ابنی فی فهرس مکتبة دانشگاه تهران مفصلا فی (ج 2- ص 616- 621) قال سنگلاخ فی امتحان الفضلاء- ج 1- ص 214 إنی رأیت دیوانه بخط محمد حسین زره أسفراینی و توجد الیوم نسخته فی مکتبة (الملک) برقم (5307) کتبت فی القرن الحادی عشر فی حاشیة مجموعة تحتوی علی أکثر من عشرین دیوانا لمعاریف الشعراء</w:t>
      </w:r>
    </w:p>
    <w:p>
      <w:pPr>
        <w:pStyle w:val="Heading3"/>
      </w:pPr>
      <w:bookmarkStart w:id="5084" w:name="_Toc3780"/>
      <w:r>
        <w:t>2884- دیوان شرفی یزدی أو شعره‏</w:t>
      </w:r>
      <w:bookmarkEnd w:id="5084"/>
    </w:p>
    <w:p>
      <w:pPr>
        <w:pStyle w:val="BookText"/>
      </w:pPr>
      <w:r>
        <w:rPr>
          <w:rFonts w:ascii="IRNazanin" w:hAnsi="IRNazanin" w:eastAsia="IRNazanin" w:cs="IRNazanin"/>
          <w:lang w:bidi="fa-IR"/>
          <w:color w:val="111111"/>
          <w:sz w:val="28"/>
          <w:szCs w:val="28"/>
          <w:rtl/>
        </w:rPr>
        <w:t xml:space="preserve">و اسمه المولی محمد الشرفی بالفاء لأنه کان من أقارب شرف الدین علی الیزدی صاحب ظفرنامه ترجمه سام میرزا فی (تس 4- ص 74)</w:t>
      </w:r>
      <w:r>
        <w:rPr>
          <w:rStyle w:val="FootnoteReference"/>
        </w:rPr>
        <w:footnoteReference w:id="45"/>
      </w:r>
      <w:r>
        <w:rPr>
          <w:rFonts w:ascii="IRNazanin" w:hAnsi="IRNazanin" w:eastAsia="IRNazanin" w:cs="IRNazanin"/>
          <w:lang w:bidi="fa-IR"/>
          <w:color w:val="111111"/>
          <w:sz w:val="28"/>
          <w:szCs w:val="28"/>
          <w:rtl/>
        </w:rPr>
        <w:t xml:space="preserve">قال إنه کان راتقا فاتقا عند الشاه نور الدین نعمة الله- المتوفی 832- و أورد بعض شعره و ترجمه آیتی فی (تش یز- ص 297) و ذکر أنه صار أخیرا من شعراء الشاه طهماسب و مادحیه و ترجم أیضا فی (روشن- ص 344) و جاء شعره فی (پژمان- ص 239)</w:t>
      </w:r>
    </w:p>
    <w:p>
      <w:pPr>
        <w:pStyle w:val="Heading3"/>
      </w:pPr>
      <w:bookmarkStart w:id="5085" w:name="_Toc3781"/>
      <w:r>
        <w:t>دیوان الشرق الکلبی‏</w:t>
      </w:r>
      <w:bookmarkEnd w:id="5085"/>
    </w:p>
    <w:p>
      <w:pPr>
        <w:pStyle w:val="BookText"/>
      </w:pPr>
      <w:r>
        <w:rPr>
          <w:rFonts w:ascii="IRNazanin" w:hAnsi="IRNazanin" w:eastAsia="IRNazanin" w:cs="IRNazanin"/>
          <w:lang w:bidi="fa-IR"/>
          <w:color w:val="111111"/>
          <w:sz w:val="28"/>
          <w:szCs w:val="28"/>
          <w:rtl/>
        </w:rPr>
        <w:t xml:space="preserve">قال ابن الندیم فی (ص 132) الشرق بن القطامی و یکنی أبا المثنی الکلبی و اسمه الولید بن الحصین، أحد النسابین الرواة للأخبار و الأنساب و الدواوین- إلی قوله- و للشرقی (؟) قصیدة فی الغریب‏ )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512" w:name="pg11704_121994"/>
    <w:bookmarkEnd w:id="512"/>
    <w:p>
      <w:pPr>
        <w:pStyle w:val="Heading3"/>
      </w:pPr>
      <w:bookmarkStart w:id="5086" w:name="_Toc3782"/>
      <w:r>
        <w:t>2885- دیوان شرق هندی لکهنوی‏</w:t>
      </w:r>
      <w:bookmarkEnd w:id="5086"/>
    </w:p>
    <w:p>
      <w:pPr>
        <w:pStyle w:val="BookText"/>
      </w:pPr>
      <w:r>
        <w:rPr>
          <w:rFonts w:ascii="IRNazanin" w:hAnsi="IRNazanin" w:eastAsia="IRNazanin" w:cs="IRNazanin"/>
          <w:lang w:bidi="fa-IR"/>
          <w:color w:val="111111"/>
          <w:sz w:val="28"/>
          <w:szCs w:val="28"/>
          <w:rtl/>
        </w:rPr>
        <w:t xml:space="preserve">ترجمه معاصره فی (مع- ج 2- ص 248) و ذکر أن اسمه السید محمد أفضل اللکهنوی، جاء إلی إیران للزیارة، و کان برهة عند النواب ملک‏آرا، و أورد بعض شعره‏</w:t>
      </w:r>
    </w:p>
    <w:p>
      <w:pPr>
        <w:pStyle w:val="Heading3"/>
      </w:pPr>
      <w:bookmarkStart w:id="5087" w:name="_Toc3783"/>
      <w:r>
        <w:t>دیوان شرقی قزوینی أو شعره‏</w:t>
      </w:r>
      <w:bookmarkEnd w:id="5087"/>
    </w:p>
    <w:p>
      <w:pPr>
        <w:pStyle w:val="BookText"/>
      </w:pPr>
      <w:r>
        <w:rPr>
          <w:rFonts w:ascii="IRNazanin" w:hAnsi="IRNazanin" w:eastAsia="IRNazanin" w:cs="IRNazanin"/>
          <w:lang w:bidi="fa-IR"/>
          <w:color w:val="111111"/>
          <w:sz w:val="28"/>
          <w:szCs w:val="28"/>
          <w:rtl/>
        </w:rPr>
        <w:t xml:space="preserve">الخیاط المعروف بملا شرقی، معاصر الشاه عباس الماضی کذا طبع فی (نر 9- ص 261) و کذا فی نسخه (خوش‏گو) و أورد رباعیته، و لکن الصحیح شرقی کما فی (نر 13- ص 479)</w:t>
      </w:r>
    </w:p>
    <w:p>
      <w:pPr>
        <w:pStyle w:val="Heading3"/>
      </w:pPr>
      <w:bookmarkStart w:id="5088" w:name="_Toc3784"/>
      <w:r>
        <w:t>2886- دیوان الشرقی الصغیر</w:t>
      </w:r>
      <w:bookmarkEnd w:id="5088"/>
    </w:p>
    <w:p>
      <w:pPr>
        <w:pStyle w:val="BookText"/>
      </w:pPr>
      <w:r>
        <w:rPr>
          <w:rFonts w:ascii="IRNazanin" w:hAnsi="IRNazanin" w:eastAsia="IRNazanin" w:cs="IRNazanin"/>
          <w:lang w:bidi="fa-IR"/>
          <w:color w:val="111111"/>
          <w:sz w:val="28"/>
          <w:szCs w:val="28"/>
          <w:rtl/>
        </w:rPr>
        <w:t xml:space="preserve">للشیخ الأدیب الفاضل المؤرخ الماهر المعروف بالشیخ علی الشرقی ابن الشیخ جعفر بن الشیخ محمد حسن الشرقی الآتی و له عدة تصانیف و دیوانه المعروف بدیوان الشرقی (الشروقی) موجود، أکثره فی السیاسة و الاجتماع و الوجدانیات‏</w:t>
      </w:r>
    </w:p>
    <w:p>
      <w:pPr>
        <w:pStyle w:val="Heading3"/>
      </w:pPr>
      <w:bookmarkStart w:id="5089" w:name="_Toc3785"/>
      <w:r>
        <w:t>2887- دیوان الشرقی الکبیر</w:t>
      </w:r>
      <w:bookmarkEnd w:id="5089"/>
    </w:p>
    <w:p>
      <w:pPr>
        <w:pStyle w:val="BookText"/>
      </w:pPr>
      <w:r>
        <w:rPr>
          <w:rFonts w:ascii="IRNazanin" w:hAnsi="IRNazanin" w:eastAsia="IRNazanin" w:cs="IRNazanin"/>
          <w:lang w:bidi="fa-IR"/>
          <w:color w:val="111111"/>
          <w:sz w:val="28"/>
          <w:szCs w:val="28"/>
          <w:rtl/>
        </w:rPr>
        <w:t xml:space="preserve">للشیخ الفاضل الأدیب الشاعر الشیخ جعفر الشرقی (الشروقی) ابن الشیخ محمد حسن الشرقی النجفی المتوفی حدود (1309) کان صهر الشیخ عبد علی بن صاحب الجواهر علی بنته و والده الشیخ محمد حسن الشرقی کان صهر صاحب الجواهر علی بنته و شعره موجود عند ولده الشیخ علی الشرقی المذکور</w:t>
      </w:r>
    </w:p>
    <w:p>
      <w:pPr>
        <w:pStyle w:val="Heading3"/>
      </w:pPr>
      <w:bookmarkStart w:id="5090" w:name="_Toc3786"/>
      <w:r>
        <w:t>دیوان شرقی یزدی‏</w:t>
      </w:r>
      <w:bookmarkEnd w:id="5090"/>
    </w:p>
    <w:p>
      <w:pPr>
        <w:pStyle w:val="BookText"/>
      </w:pPr>
      <w:r>
        <w:rPr>
          <w:rFonts w:ascii="IRNazanin" w:hAnsi="IRNazanin" w:eastAsia="IRNazanin" w:cs="IRNazanin"/>
          <w:lang w:bidi="fa-IR"/>
          <w:color w:val="111111"/>
          <w:sz w:val="28"/>
          <w:szCs w:val="28"/>
          <w:rtl/>
        </w:rPr>
        <w:t xml:space="preserve">راجع شرقی یزدی بالفاء</w:t>
      </w:r>
    </w:p>
    <w:p>
      <w:pPr>
        <w:pStyle w:val="Heading3"/>
      </w:pPr>
      <w:bookmarkStart w:id="5091" w:name="_Toc3787"/>
      <w:r>
        <w:t>2888- دیوان شرمی قزوینی‏</w:t>
      </w:r>
      <w:bookmarkEnd w:id="5091"/>
    </w:p>
    <w:p>
      <w:pPr>
        <w:pStyle w:val="BookText"/>
      </w:pPr>
      <w:r>
        <w:rPr>
          <w:rFonts w:ascii="IRNazanin" w:hAnsi="IRNazanin" w:eastAsia="IRNazanin" w:cs="IRNazanin"/>
          <w:lang w:bidi="fa-IR"/>
          <w:color w:val="111111"/>
          <w:sz w:val="28"/>
          <w:szCs w:val="28"/>
          <w:rtl/>
        </w:rPr>
        <w:t xml:space="preserve">و اسمه نظام الدین أحمد بن مولانا مشقی قزوینی کان خیاطا کما نقل فی حاشیة میخانه 3- ص 567 عن منتخب الأشعار لمبتلا و مخزن الغرائب و فهرس بادلی و قال إنه ولد بقزوین و کان ینظم الشعر باللهجة القزوینیة، و کان هجاء و مؤذیا (سیاه زبان) یهجو و یخرج مادة تاریخ موت الأشخاص فی حیاتهم إیذاء، و تقرب عند الشاه عباس و قال فی عالم‏آرا ص 758 إنه استخرج مادة تاریخ جلوس الشاه صفی (1038) [-</w:t>
      </w:r>
    </w:p>
    <w:p>
      <w:pPr>
        <w:pStyle w:val="BookText"/>
      </w:pPr>
      <w:r>
        <w:rPr>
          <w:rFonts w:ascii="IRNazanin" w:hAnsi="IRNazanin" w:eastAsia="IRNazanin" w:cs="IRNazanin"/>
          <w:lang w:bidi="fa-IR"/>
          <w:color w:val="111111"/>
          <w:sz w:val="28"/>
          <w:szCs w:val="28"/>
          <w:rtl/>
        </w:rPr>
        <w:t xml:space="preserve">صفی پا بر اورنگ شاهی نهاد</w:t>
      </w:r>
    </w:p>
    <w:p>
      <w:pPr>
        <w:pStyle w:val="BookText"/>
      </w:pPr>
      <w:r>
        <w:rPr>
          <w:rFonts w:ascii="IRNazanin" w:hAnsi="IRNazanin" w:eastAsia="IRNazanin" w:cs="IRNazanin"/>
          <w:lang w:bidi="fa-IR"/>
          <w:color w:val="111111"/>
          <w:sz w:val="28"/>
          <w:szCs w:val="28"/>
          <w:rtl/>
        </w:rPr>
        <w:t xml:space="preserve">] و ترجمه فی (نر 9 ص 261) و لکن جاء فی الطبع شرقی غلطا قال کان خیاطا بعباس‏آباد أصفهان و ذکر قصة تهمته ثم أورد فی (نر 13 ص 479) شعره فی تاریخ فتح گنجه فی (1020) بعنوان شرمی و کذا فی (خوش‏گو) و (تش- ص 226) و (پژمان- 239)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513" w:name="pg11704_121995"/>
    <w:bookmarkEnd w:id="513"/>
    <w:p>
      <w:pPr>
        <w:pStyle w:val="Heading3"/>
      </w:pPr>
      <w:bookmarkStart w:id="5092" w:name="_Toc3788"/>
      <w:r>
        <w:t>دیوان الشروقی‏</w:t>
      </w:r>
      <w:bookmarkEnd w:id="5092"/>
    </w:p>
    <w:p>
      <w:pPr>
        <w:pStyle w:val="BookText"/>
      </w:pPr>
      <w:r>
        <w:rPr>
          <w:rFonts w:ascii="IRNazanin" w:hAnsi="IRNazanin" w:eastAsia="IRNazanin" w:cs="IRNazanin"/>
          <w:lang w:bidi="fa-IR"/>
          <w:color w:val="111111"/>
          <w:sz w:val="28"/>
          <w:szCs w:val="28"/>
          <w:rtl/>
        </w:rPr>
        <w:t xml:space="preserve">مر بعنوان الشرقی الکبیر و الصغیر</w:t>
      </w:r>
    </w:p>
    <w:p>
      <w:pPr>
        <w:pStyle w:val="Heading3"/>
      </w:pPr>
      <w:bookmarkStart w:id="5093" w:name="_Toc3789"/>
      <w:r>
        <w:t>2889- دیوان الشروقی‏</w:t>
      </w:r>
      <w:bookmarkEnd w:id="5093"/>
    </w:p>
    <w:p>
      <w:pPr>
        <w:pStyle w:val="BookText"/>
      </w:pPr>
      <w:r>
        <w:rPr>
          <w:rFonts w:ascii="IRNazanin" w:hAnsi="IRNazanin" w:eastAsia="IRNazanin" w:cs="IRNazanin"/>
          <w:lang w:bidi="fa-IR"/>
          <w:color w:val="111111"/>
          <w:sz w:val="28"/>
          <w:szCs w:val="28"/>
          <w:rtl/>
        </w:rPr>
        <w:t xml:space="preserve">للشیخ باقر حیدر العالم الذی خرج مجاهدا إلی القورنة فی الحرب العامة (32- 1336) مع عشائر الجنوب محاربا للإنگلیز فمرض فحمل إلی سوق الشیوخ و مات فی (المحرم- (1333) و کان الدیوان مع سائر تصانیفه عند ولده القائم مقامه الشیخ جعفر المتوفی (12 شوال- (1372)</w:t>
      </w:r>
    </w:p>
    <w:p>
      <w:pPr>
        <w:pStyle w:val="Heading3"/>
      </w:pPr>
      <w:bookmarkStart w:id="5094" w:name="_Toc3790"/>
      <w:r>
        <w:t>2890- دیوان شریعت طالخونچه‏</w:t>
      </w:r>
      <w:bookmarkEnd w:id="5094"/>
    </w:p>
    <w:p>
      <w:pPr>
        <w:pStyle w:val="BookText"/>
      </w:pPr>
      <w:r>
        <w:rPr>
          <w:rFonts w:ascii="IRNazanin" w:hAnsi="IRNazanin" w:eastAsia="IRNazanin" w:cs="IRNazanin"/>
          <w:lang w:bidi="fa-IR"/>
          <w:color w:val="111111"/>
          <w:sz w:val="28"/>
          <w:szCs w:val="28"/>
          <w:rtl/>
        </w:rPr>
        <w:t xml:space="preserve">الشیخ محمد رضا بن ملا زین العابدین الأصفهانی ساکن طالخونچه من نواحی سمیرم سکن مدة بمدرسة جده بأصفهان، و رجع إلی طالخونچه و مات بها (1373) طبع دیوانه کما ذکر فی (شعرای معاصر أصفهان- ص 267) و ذکر ابنه محمد جواد أیضا</w:t>
      </w:r>
    </w:p>
    <w:p>
      <w:pPr>
        <w:pStyle w:val="Heading3"/>
      </w:pPr>
      <w:bookmarkStart w:id="5095" w:name="_Toc3791"/>
      <w:r>
        <w:t>دیوان شریفا</w:t>
      </w:r>
      <w:bookmarkEnd w:id="5095"/>
    </w:p>
    <w:p>
      <w:pPr>
        <w:pStyle w:val="BookText"/>
      </w:pPr>
      <w:r>
        <w:rPr>
          <w:rFonts w:ascii="IRNazanin" w:hAnsi="IRNazanin" w:eastAsia="IRNazanin" w:cs="IRNazanin"/>
          <w:lang w:bidi="fa-IR"/>
          <w:color w:val="111111"/>
          <w:sz w:val="28"/>
          <w:szCs w:val="28"/>
          <w:rtl/>
        </w:rPr>
        <w:t xml:space="preserve">و الألف للتفخیم فلیسقط</w:t>
      </w:r>
    </w:p>
    <w:p>
      <w:pPr>
        <w:pStyle w:val="Heading3"/>
      </w:pPr>
      <w:bookmarkStart w:id="5096" w:name="_Toc3792"/>
      <w:r>
        <w:t>2891- دیوان شریف آملی أو شعره‏</w:t>
      </w:r>
      <w:bookmarkEnd w:id="5096"/>
    </w:p>
    <w:p>
      <w:pPr>
        <w:pStyle w:val="BookText"/>
      </w:pPr>
      <w:r>
        <w:rPr>
          <w:rFonts w:ascii="IRNazanin" w:hAnsi="IRNazanin" w:eastAsia="IRNazanin" w:cs="IRNazanin"/>
          <w:lang w:bidi="fa-IR"/>
          <w:color w:val="111111"/>
          <w:sz w:val="28"/>
          <w:szCs w:val="28"/>
          <w:rtl/>
        </w:rPr>
        <w:t xml:space="preserve">و اسمه محمد شریف بن حسن الآملی النقطوی من أقرباء طالب الآملی حصل العلوم بأصفهان و فر إلی الهند بعد مقتله النقطویة، و اتصل بإبراهیم خان بن علی مردان خان- من أمراء أکبر شاه و شاه‏جهان- ترجمه النصرآبادی فی (نر 6- ص 187) و جاء شعره فی (گلشن- ص 222) و (پژمان- 855) و قال فی (تغ- ص 73) إنه مات (1105) و لعله الذی بعده‏</w:t>
      </w:r>
    </w:p>
    <w:p>
      <w:pPr>
        <w:pStyle w:val="Heading3"/>
      </w:pPr>
      <w:bookmarkStart w:id="5097" w:name="_Toc3793"/>
      <w:r>
        <w:t>2892- دیوان شریف آملی أو شعره‏</w:t>
      </w:r>
      <w:bookmarkEnd w:id="5097"/>
    </w:p>
    <w:p>
      <w:pPr>
        <w:pStyle w:val="BookText"/>
      </w:pPr>
      <w:r>
        <w:rPr>
          <w:rFonts w:ascii="IRNazanin" w:hAnsi="IRNazanin" w:eastAsia="IRNazanin" w:cs="IRNazanin"/>
          <w:lang w:bidi="fa-IR"/>
          <w:color w:val="111111"/>
          <w:sz w:val="28"/>
          <w:szCs w:val="28"/>
          <w:rtl/>
        </w:rPr>
        <w:t xml:space="preserve">و اسمه محمد شریف بن حسین علی قال فی (خوش‏گو) إنه غیر الأکبر شاهی المذکور فی النصرآبادی‏</w:t>
      </w:r>
    </w:p>
    <w:p>
      <w:pPr>
        <w:pStyle w:val="Heading3"/>
      </w:pPr>
      <w:bookmarkStart w:id="5098" w:name="_Toc3794"/>
      <w:r>
        <w:t>دیوان الشریف ابن طباطبا الأصفهانی‏</w:t>
      </w:r>
      <w:bookmarkEnd w:id="5098"/>
    </w:p>
    <w:p>
      <w:pPr>
        <w:pStyle w:val="BookText"/>
      </w:pPr>
      <w:r>
        <w:rPr>
          <w:rFonts w:ascii="IRNazanin" w:hAnsi="IRNazanin" w:eastAsia="IRNazanin" w:cs="IRNazanin"/>
          <w:lang w:bidi="fa-IR"/>
          <w:color w:val="111111"/>
          <w:sz w:val="28"/>
          <w:szCs w:val="28"/>
          <w:rtl/>
        </w:rPr>
        <w:t xml:space="preserve">کما فی معالم العلماء (ص 141) لابن شهرآشوب مر فی (ص 26)</w:t>
      </w:r>
    </w:p>
    <w:p>
      <w:pPr>
        <w:pStyle w:val="Heading3"/>
      </w:pPr>
      <w:bookmarkStart w:id="5099" w:name="_Toc3795"/>
      <w:r>
        <w:t>دیوان شریف أصفهانی‏</w:t>
      </w:r>
      <w:bookmarkEnd w:id="5099"/>
    </w:p>
    <w:p>
      <w:pPr>
        <w:pStyle w:val="BookText"/>
      </w:pPr>
      <w:r>
        <w:rPr>
          <w:rFonts w:ascii="IRNazanin" w:hAnsi="IRNazanin" w:eastAsia="IRNazanin" w:cs="IRNazanin"/>
          <w:lang w:bidi="fa-IR"/>
          <w:color w:val="111111"/>
          <w:sz w:val="28"/>
          <w:szCs w:val="28"/>
          <w:rtl/>
        </w:rPr>
        <w:t xml:space="preserve">راجع شریف ورنوسفادرانی‏</w:t>
      </w:r>
    </w:p>
    <w:p>
      <w:pPr>
        <w:pStyle w:val="Heading3"/>
      </w:pPr>
      <w:bookmarkStart w:id="5100" w:name="_Toc3796"/>
      <w:r>
        <w:t>دیوان شریف أصفهانی‏</w:t>
      </w:r>
      <w:bookmarkEnd w:id="5100"/>
    </w:p>
    <w:p>
      <w:pPr>
        <w:pStyle w:val="BookText"/>
      </w:pPr>
      <w:r>
        <w:rPr>
          <w:rFonts w:ascii="IRNazanin" w:hAnsi="IRNazanin" w:eastAsia="IRNazanin" w:cs="IRNazanin"/>
          <w:lang w:bidi="fa-IR"/>
          <w:color w:val="111111"/>
          <w:sz w:val="28"/>
          <w:szCs w:val="28"/>
          <w:rtl/>
        </w:rPr>
        <w:t xml:space="preserve">یأتی بتخلصه منشور کما فی (نر 9- ص 414)</w:t>
      </w:r>
    </w:p>
    <w:p>
      <w:pPr>
        <w:pStyle w:val="Heading3"/>
      </w:pPr>
      <w:bookmarkStart w:id="5101" w:name="_Toc3797"/>
      <w:r>
        <w:t>دیوان شریف أصفهانی‏</w:t>
      </w:r>
      <w:bookmarkEnd w:id="5101"/>
    </w:p>
    <w:p>
      <w:pPr>
        <w:pStyle w:val="BookText"/>
      </w:pPr>
      <w:r>
        <w:rPr>
          <w:rFonts w:ascii="IRNazanin" w:hAnsi="IRNazanin" w:eastAsia="IRNazanin" w:cs="IRNazanin"/>
          <w:lang w:bidi="fa-IR"/>
          <w:color w:val="111111"/>
          <w:sz w:val="28"/>
          <w:szCs w:val="28"/>
          <w:rtl/>
        </w:rPr>
        <w:t xml:space="preserve">مر فی (ص 92) بعنوان إلهام‏</w:t>
      </w:r>
    </w:p>
    <w:p>
      <w:pPr>
        <w:pStyle w:val="Heading3"/>
      </w:pPr>
      <w:bookmarkStart w:id="5102" w:name="_Toc3798"/>
      <w:r>
        <w:t>دیوان شریف أصفهانی‏</w:t>
      </w:r>
      <w:bookmarkEnd w:id="5102"/>
    </w:p>
    <w:p>
      <w:pPr>
        <w:pStyle w:val="BookText"/>
      </w:pPr>
      <w:r>
        <w:rPr>
          <w:rFonts w:ascii="IRNazanin" w:hAnsi="IRNazanin" w:eastAsia="IRNazanin" w:cs="IRNazanin"/>
          <w:lang w:bidi="fa-IR"/>
          <w:color w:val="111111"/>
          <w:sz w:val="28"/>
          <w:szCs w:val="28"/>
          <w:rtl/>
        </w:rPr>
        <w:t xml:space="preserve">راجع دیوان سرمدی فی (ص 441)</w:t>
      </w:r>
    </w:p>
    <w:p>
      <w:pPr>
        <w:pStyle w:val="Heading3"/>
      </w:pPr>
      <w:bookmarkStart w:id="5103" w:name="_Toc3799"/>
      <w:r>
        <w:t>دیوان شریف باقی‏</w:t>
      </w:r>
      <w:bookmarkEnd w:id="5103"/>
    </w:p>
    <w:p>
      <w:pPr>
        <w:pStyle w:val="BookText"/>
      </w:pPr>
      <w:r>
        <w:rPr>
          <w:rFonts w:ascii="IRNazanin" w:hAnsi="IRNazanin" w:eastAsia="IRNazanin" w:cs="IRNazanin"/>
          <w:lang w:bidi="fa-IR"/>
          <w:color w:val="111111"/>
          <w:sz w:val="28"/>
          <w:szCs w:val="28"/>
          <w:rtl/>
        </w:rPr>
        <w:t xml:space="preserve">ابن شریف ثانی کما فی (هفت- ص 278) راجع شریفی شیرازی‏</w:t>
      </w:r>
    </w:p>
    <w:p>
      <w:pPr>
        <w:pStyle w:val="Heading3"/>
      </w:pPr>
      <w:bookmarkStart w:id="5104" w:name="_Toc3800"/>
      <w:r>
        <w:t>2893- دیوان شریف بخاری أو شعره‏</w:t>
      </w:r>
      <w:bookmarkEnd w:id="5104"/>
    </w:p>
    <w:p>
      <w:pPr>
        <w:pStyle w:val="BookText"/>
      </w:pPr>
      <w:r>
        <w:rPr>
          <w:rFonts w:ascii="IRNazanin" w:hAnsi="IRNazanin" w:eastAsia="IRNazanin" w:cs="IRNazanin"/>
          <w:lang w:bidi="fa-IR"/>
          <w:color w:val="111111"/>
          <w:sz w:val="28"/>
          <w:szCs w:val="28"/>
          <w:rtl/>
        </w:rPr>
        <w:t xml:space="preserve">کان فی خدمة إمام قلی خان حاکم بخارا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514" w:name="pg11704_121996"/>
    <w:bookmarkEnd w:id="514"/>
    <w:p>
      <w:pPr>
        <w:pStyle w:val="BookText"/>
      </w:pPr>
      <w:r>
        <w:rPr>
          <w:rFonts w:ascii="IRNazanin" w:hAnsi="IRNazanin" w:eastAsia="IRNazanin" w:cs="IRNazanin"/>
          <w:lang w:bidi="fa-IR"/>
          <w:color w:val="111111"/>
          <w:sz w:val="28"/>
          <w:szCs w:val="28"/>
          <w:rtl/>
        </w:rPr>
        <w:t xml:space="preserve">ترجمه و أورد شعره النصرآبادی فی (نر 10- ص 436) و (روشن- ص 345)</w:t>
      </w:r>
    </w:p>
    <w:p>
      <w:pPr>
        <w:pStyle w:val="Heading3"/>
      </w:pPr>
      <w:bookmarkStart w:id="5105" w:name="_Toc3801"/>
      <w:r>
        <w:t>2894- دیوان شریف بلخی أو شعره‏</w:t>
      </w:r>
      <w:bookmarkEnd w:id="5105"/>
    </w:p>
    <w:p>
      <w:pPr>
        <w:pStyle w:val="BookText"/>
      </w:pPr>
      <w:r>
        <w:rPr>
          <w:rFonts w:ascii="IRNazanin" w:hAnsi="IRNazanin" w:eastAsia="IRNazanin" w:cs="IRNazanin"/>
          <w:lang w:bidi="fa-IR"/>
          <w:color w:val="111111"/>
          <w:sz w:val="28"/>
          <w:szCs w:val="28"/>
          <w:rtl/>
        </w:rPr>
        <w:t xml:space="preserve">یأتی بعنوان شریفی بلخی‏</w:t>
      </w:r>
    </w:p>
    <w:p>
      <w:pPr>
        <w:pStyle w:val="Heading3"/>
      </w:pPr>
      <w:bookmarkStart w:id="5106" w:name="_Toc3802"/>
      <w:r>
        <w:t>دیوان شریف تبریزی‏</w:t>
      </w:r>
      <w:bookmarkEnd w:id="5106"/>
    </w:p>
    <w:p>
      <w:pPr>
        <w:pStyle w:val="BookText"/>
      </w:pPr>
      <w:r>
        <w:rPr>
          <w:rFonts w:ascii="IRNazanin" w:hAnsi="IRNazanin" w:eastAsia="IRNazanin" w:cs="IRNazanin"/>
          <w:lang w:bidi="fa-IR"/>
          <w:color w:val="111111"/>
          <w:sz w:val="28"/>
          <w:szCs w:val="28"/>
          <w:rtl/>
        </w:rPr>
        <w:t xml:space="preserve">مر بعنوان خازن فی (ص 279)</w:t>
      </w:r>
    </w:p>
    <w:p>
      <w:pPr>
        <w:pStyle w:val="Heading3"/>
      </w:pPr>
      <w:bookmarkStart w:id="5107" w:name="_Toc3803"/>
      <w:r>
        <w:t>2895- دیوان شریف تبریزی‏</w:t>
      </w:r>
      <w:bookmarkEnd w:id="5107"/>
    </w:p>
    <w:p>
      <w:pPr>
        <w:pStyle w:val="BookText"/>
      </w:pPr>
      <w:r>
        <w:rPr>
          <w:rFonts w:ascii="IRNazanin" w:hAnsi="IRNazanin" w:eastAsia="IRNazanin" w:cs="IRNazanin"/>
          <w:lang w:bidi="fa-IR"/>
          <w:color w:val="111111"/>
          <w:sz w:val="28"/>
          <w:szCs w:val="28"/>
          <w:rtl/>
        </w:rPr>
        <w:t xml:space="preserve">المتوفی بالوباء فی أردبیل فی (956) کان تلمیذ لسانی الشیرازی المتوفی بتبریز فی (942) و قد أساء إلیه بما جمعه من الأشعار الردیة و نسبه إلی أستاذه و سماه سهو اللسان ترجمه فی (تس 5- ص 121) و قال إن شرافه شعره یظهر من دیوانه و کذا فی (تش- ص 29) و (حسینی- ص 167- 168) و (خوش‏گو) و (تغ- ص 73) و قالوا إنه مدح الخواجة غیاث الدین المستوفی للشاه طهماسب فلم یصله بشی‏ء فهجاه الشاعر، فأمر الشاه بقتله ثم عفی عنه و ترجمه مفصلا فی (دجا- ص 192) و نقل ترجمته أیضا عن أمین أحمد الرازی فی هفت إقلیم و عن الأمیر تقی الدین محمد الأوحدی فی عرفات العاشقین و أورد کثیرا من شعره و ترجمه فی (خز- ص 265) و أورد أیضا شعره و مر حیدری التبریزی الذی رد سهو اللسان هذا بما سماه لسان الغیب کما یأتی أن الصادقی الأفشار انتقد لسان الغیب و سماه هجو ثالث و یوجد دیوان شریف هذا فی أکثر من ألف بیت عند (الملک) برقم (4869) کتبت فی القرن العاشر و معه دیوان أمیر خسرو، و فی (سپهسالار) کما فی فهرسها (ج 2- ص 618) و نسخه کانت عند صادق وحدت‏</w:t>
      </w:r>
      <w:r>
        <w:rPr>
          <w:rStyle w:val="FootnoteReference"/>
        </w:rPr>
        <w:footnoteReference w:id="46"/>
      </w:r>
      <w:r>
        <w:rPr>
          <w:rFonts w:ascii="IRNazanin" w:hAnsi="IRNazanin" w:eastAsia="IRNazanin" w:cs="IRNazanin"/>
          <w:lang w:bidi="fa-IR"/>
          <w:color w:val="111111"/>
          <w:sz w:val="28"/>
          <w:szCs w:val="28"/>
          <w:rtl/>
        </w:rPr>
        <w:t xml:space="preserve">و جاء شعره فی (پژمان- ص 239 و 855)</w:t>
      </w:r>
    </w:p>
    <w:p>
      <w:pPr>
        <w:pStyle w:val="Heading3"/>
      </w:pPr>
      <w:bookmarkStart w:id="5108" w:name="_Toc3804"/>
      <w:r>
        <w:t>2896- دیوان شریف ترشیزی أو شعره‏</w:t>
      </w:r>
      <w:bookmarkEnd w:id="5108"/>
    </w:p>
    <w:p>
      <w:pPr>
        <w:pStyle w:val="BookText"/>
      </w:pPr>
      <w:r>
        <w:rPr>
          <w:rFonts w:ascii="IRNazanin" w:hAnsi="IRNazanin" w:eastAsia="IRNazanin" w:cs="IRNazanin"/>
          <w:lang w:bidi="fa-IR"/>
          <w:color w:val="111111"/>
          <w:sz w:val="28"/>
          <w:szCs w:val="28"/>
          <w:rtl/>
        </w:rPr>
        <w:t xml:space="preserve">أورد شعره (سرخوش- ص 61) نقلا عن سفینة محمد علی المتخلص ماهر</w:t>
      </w:r>
    </w:p>
    <w:p>
      <w:pPr>
        <w:pStyle w:val="Heading3"/>
      </w:pPr>
      <w:bookmarkStart w:id="5109" w:name="_Toc3805"/>
      <w:r>
        <w:t>دیوان شریف ثالث‏</w:t>
      </w:r>
      <w:bookmarkEnd w:id="5109"/>
    </w:p>
    <w:p>
      <w:pPr>
        <w:pStyle w:val="BookText"/>
      </w:pPr>
      <w:r>
        <w:rPr>
          <w:rFonts w:ascii="IRNazanin" w:hAnsi="IRNazanin" w:eastAsia="IRNazanin" w:cs="IRNazanin"/>
          <w:lang w:bidi="fa-IR"/>
          <w:color w:val="111111"/>
          <w:sz w:val="28"/>
          <w:szCs w:val="28"/>
          <w:rtl/>
        </w:rPr>
        <w:t xml:space="preserve">ابن شریف ثانی راجع شریفی شیرازی‏</w:t>
      </w:r>
    </w:p>
    <w:p>
      <w:pPr>
        <w:pStyle w:val="Heading3"/>
      </w:pPr>
      <w:bookmarkStart w:id="5110" w:name="_Toc3806"/>
      <w:r>
        <w:t>2897- دیوان شریف ثانی أو شعره‏</w:t>
      </w:r>
      <w:bookmarkEnd w:id="5110"/>
    </w:p>
    <w:p>
      <w:pPr>
        <w:pStyle w:val="BookText"/>
      </w:pPr>
      <w:r>
        <w:rPr>
          <w:rFonts w:ascii="IRNazanin" w:hAnsi="IRNazanin" w:eastAsia="IRNazanin" w:cs="IRNazanin"/>
          <w:lang w:bidi="fa-IR"/>
          <w:color w:val="111111"/>
          <w:sz w:val="28"/>
          <w:szCs w:val="28"/>
          <w:rtl/>
        </w:rPr>
        <w:t xml:space="preserve">هو السید علی ابن بنت المیر السید شریف الجرجانی و لذلک یعرف بالشریف الثانی نصب بعد القاضی محمد الکاشی صدرا للشاه إسماعیل، ثم عزل لمخالفة المیر نجم الثانی، فذهب إلی العتبات فی العراق و بعد قتل النجم رجع إلی منصبه و قتل فی حرب چالدران کذا فی (هفت- ص 278) و هو والد شریفی‏ ‏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515" w:name="pg11704_121997"/>
    <w:bookmarkEnd w:id="515"/>
    <w:p>
      <w:pPr>
        <w:pStyle w:val="BookText"/>
      </w:pPr>
      <w:r>
        <w:rPr>
          <w:rFonts w:ascii="IRNazanin" w:hAnsi="IRNazanin" w:eastAsia="IRNazanin" w:cs="IRNazanin"/>
          <w:lang w:bidi="fa-IR"/>
          <w:color w:val="111111"/>
          <w:sz w:val="28"/>
          <w:szCs w:val="28"/>
          <w:rtl/>
        </w:rPr>
        <w:t xml:space="preserve">شیرازی الآتی و قال فی (بهش 2- ص 384- 385) کان عالما فاضلا و لکنه صار رافضیا لمصاحبته عبد الصمد البغدادی و بنی الرفض فی إیران و قتل فی حرب الصوفی (أی الشاه إسماعیل) و أوردا شعره و فی (روشن- ص 346) سماه شریفی‏</w:t>
      </w:r>
    </w:p>
    <w:p>
      <w:pPr>
        <w:pStyle w:val="Heading3"/>
      </w:pPr>
      <w:bookmarkStart w:id="5111" w:name="_Toc3807"/>
      <w:r>
        <w:t>دیوان الشریف الجامعی‏</w:t>
      </w:r>
      <w:bookmarkEnd w:id="5111"/>
    </w:p>
    <w:p>
      <w:pPr>
        <w:pStyle w:val="BookText"/>
      </w:pPr>
      <w:r>
        <w:rPr>
          <w:rFonts w:ascii="IRNazanin" w:hAnsi="IRNazanin" w:eastAsia="IRNazanin" w:cs="IRNazanin"/>
          <w:lang w:bidi="fa-IR"/>
          <w:color w:val="111111"/>
          <w:sz w:val="28"/>
          <w:szCs w:val="28"/>
          <w:rtl/>
        </w:rPr>
        <w:t xml:space="preserve">راجع الشریف محیی الدین‏</w:t>
      </w:r>
    </w:p>
    <w:p>
      <w:pPr>
        <w:pStyle w:val="Heading3"/>
      </w:pPr>
      <w:bookmarkStart w:id="5112" w:name="_Toc3808"/>
      <w:r>
        <w:t>2898- دیوان الشریف الجرجانی أو شعره‏</w:t>
      </w:r>
      <w:bookmarkEnd w:id="5112"/>
    </w:p>
    <w:p>
      <w:pPr>
        <w:pStyle w:val="BookText"/>
      </w:pPr>
      <w:r>
        <w:rPr>
          <w:rFonts w:ascii="IRNazanin" w:hAnsi="IRNazanin" w:eastAsia="IRNazanin" w:cs="IRNazanin"/>
          <w:lang w:bidi="fa-IR"/>
          <w:color w:val="111111"/>
          <w:sz w:val="28"/>
          <w:szCs w:val="28"/>
          <w:rtl/>
        </w:rPr>
        <w:t xml:space="preserve">و هو المیر السید الشریف علی بن محمد الجرجانی المتوفی (816) أورد أصحاب التذاکر أشعاره الفارسیة کما فی (ض- ص 364) و فی فارس‏نامه (2: 148) و أورد فی گلستان مسرت- ص 389 شعرا فی تاریخ وفاته یستخرج منه (818) و هو:</w:t>
      </w:r>
    </w:p>
    <w:p>
      <w:pPr>
        <w:pStyle w:val="BookText"/>
      </w:pPr>
      <w:r>
        <w:rPr>
          <w:rFonts w:ascii="IRNazanin" w:hAnsi="IRNazanin" w:eastAsia="IRNazanin" w:cs="IRNazanin"/>
          <w:lang w:bidi="fa-IR"/>
          <w:color w:val="111111"/>
          <w:sz w:val="28"/>
          <w:szCs w:val="28"/>
          <w:rtl/>
        </w:rPr>
        <w:t xml:space="preserve">سال نقلش بگو: بهشت مکان‏</w:t>
      </w:r>
    </w:p>
    <w:p>
      <w:pPr>
        <w:pStyle w:val="BookText"/>
      </w:pPr>
      <w:r>
        <w:rPr>
          <w:rFonts w:ascii="IRNazanin" w:hAnsi="IRNazanin" w:eastAsia="IRNazanin" w:cs="IRNazanin"/>
          <w:lang w:bidi="fa-IR"/>
          <w:color w:val="111111"/>
          <w:sz w:val="28"/>
          <w:szCs w:val="28"/>
          <w:rtl/>
        </w:rPr>
        <w:t xml:space="preserve">یا تو قطب بهشت أو را دان‏</w:t>
      </w:r>
    </w:p>
    <w:p>
      <w:pPr>
        <w:pStyle w:val="Heading3"/>
      </w:pPr>
      <w:bookmarkStart w:id="5113" w:name="_Toc3809"/>
      <w:r>
        <w:t>2899- دیوان شریف حکیم‏</w:t>
      </w:r>
      <w:bookmarkEnd w:id="5113"/>
    </w:p>
    <w:p>
      <w:pPr>
        <w:pStyle w:val="BookText"/>
      </w:pPr>
      <w:r>
        <w:rPr>
          <w:rFonts w:ascii="IRNazanin" w:hAnsi="IRNazanin" w:eastAsia="IRNazanin" w:cs="IRNazanin"/>
          <w:lang w:bidi="fa-IR"/>
          <w:color w:val="111111"/>
          <w:sz w:val="28"/>
          <w:szCs w:val="28"/>
          <w:rtl/>
        </w:rPr>
        <w:t xml:space="preserve">للحکیم شریف المتخلص فی شعره شریف ألحق مقدار ثمان صفحات منه بآخر دیوان یوسف گرجی المکتوب (1297) و الموجود فی مکتبة (المجلس) ذکره ابن یوسف فی فهرسها (ص 450- ج 3)</w:t>
      </w:r>
    </w:p>
    <w:p>
      <w:pPr>
        <w:pStyle w:val="Heading3"/>
      </w:pPr>
      <w:bookmarkStart w:id="5114" w:name="_Toc3810"/>
      <w:r>
        <w:t>2900- دیوان شریف سبزواری أو شعره‏</w:t>
      </w:r>
      <w:bookmarkEnd w:id="5114"/>
    </w:p>
    <w:p>
      <w:pPr>
        <w:pStyle w:val="BookText"/>
      </w:pPr>
      <w:r>
        <w:rPr>
          <w:rFonts w:ascii="IRNazanin" w:hAnsi="IRNazanin" w:eastAsia="IRNazanin" w:cs="IRNazanin"/>
          <w:lang w:bidi="fa-IR"/>
          <w:color w:val="111111"/>
          <w:sz w:val="28"/>
          <w:szCs w:val="28"/>
          <w:rtl/>
        </w:rPr>
        <w:t xml:space="preserve">و اسمه المیرزا محمد أورد شعره فی (روشن- ص 346) و (تغ- ص 73) قالوا کان یسکن مشهد خراسان، فهو المذکور فی مطلع الشمس- ج 2 ص 435</w:t>
      </w:r>
    </w:p>
    <w:p>
      <w:pPr>
        <w:pStyle w:val="Heading3"/>
      </w:pPr>
      <w:bookmarkStart w:id="5115" w:name="_Toc3811"/>
      <w:r>
        <w:t>دیوان الشریف الرضی‏</w:t>
      </w:r>
      <w:bookmarkEnd w:id="5115"/>
    </w:p>
    <w:p>
      <w:pPr>
        <w:pStyle w:val="BookText"/>
      </w:pPr>
      <w:r>
        <w:rPr>
          <w:rFonts w:ascii="IRNazanin" w:hAnsi="IRNazanin" w:eastAsia="IRNazanin" w:cs="IRNazanin"/>
          <w:lang w:bidi="fa-IR"/>
          <w:color w:val="111111"/>
          <w:sz w:val="28"/>
          <w:szCs w:val="28"/>
          <w:rtl/>
        </w:rPr>
        <w:t xml:space="preserve">مر الرضی البغدادی فی (ص 372)</w:t>
      </w:r>
    </w:p>
    <w:p>
      <w:pPr>
        <w:pStyle w:val="Heading3"/>
      </w:pPr>
      <w:bookmarkStart w:id="5116" w:name="_Toc3812"/>
      <w:r>
        <w:t>دیوان شریف سرمدی‏</w:t>
      </w:r>
      <w:bookmarkEnd w:id="5116"/>
    </w:p>
    <w:p>
      <w:pPr>
        <w:pStyle w:val="BookText"/>
      </w:pPr>
      <w:r>
        <w:rPr>
          <w:rFonts w:ascii="IRNazanin" w:hAnsi="IRNazanin" w:eastAsia="IRNazanin" w:cs="IRNazanin"/>
          <w:lang w:bidi="fa-IR"/>
          <w:color w:val="111111"/>
          <w:sz w:val="28"/>
          <w:szCs w:val="28"/>
          <w:rtl/>
        </w:rPr>
        <w:t xml:space="preserve">مر فی (ص 441) بعنوان سرمدی‏</w:t>
      </w:r>
    </w:p>
    <w:p>
      <w:pPr>
        <w:pStyle w:val="Heading3"/>
      </w:pPr>
      <w:bookmarkStart w:id="5117" w:name="_Toc3813"/>
      <w:r>
        <w:t>دیوان شریف سمرقندی‏</w:t>
      </w:r>
      <w:bookmarkEnd w:id="5117"/>
    </w:p>
    <w:p>
      <w:pPr>
        <w:pStyle w:val="BookText"/>
      </w:pPr>
      <w:r>
        <w:rPr>
          <w:rFonts w:ascii="IRNazanin" w:hAnsi="IRNazanin" w:eastAsia="IRNazanin" w:cs="IRNazanin"/>
          <w:lang w:bidi="fa-IR"/>
          <w:color w:val="111111"/>
          <w:sz w:val="28"/>
          <w:szCs w:val="28"/>
          <w:rtl/>
        </w:rPr>
        <w:t xml:space="preserve">یأتی فی المیم بتخلصه موزون کما فی (نر 10- ص 440)</w:t>
      </w:r>
    </w:p>
    <w:p>
      <w:pPr>
        <w:pStyle w:val="Heading3"/>
      </w:pPr>
      <w:bookmarkStart w:id="5118" w:name="_Toc3814"/>
      <w:r>
        <w:t>دیوان شریف شیرازی‏</w:t>
      </w:r>
      <w:bookmarkEnd w:id="5118"/>
    </w:p>
    <w:p>
      <w:pPr>
        <w:pStyle w:val="BookText"/>
      </w:pPr>
      <w:r>
        <w:rPr>
          <w:rFonts w:ascii="IRNazanin" w:hAnsi="IRNazanin" w:eastAsia="IRNazanin" w:cs="IRNazanin"/>
          <w:lang w:bidi="fa-IR"/>
          <w:color w:val="111111"/>
          <w:sz w:val="28"/>
          <w:szCs w:val="28"/>
          <w:rtl/>
        </w:rPr>
        <w:t xml:space="preserve">کما فی (تس 2- ص 29) راجع شریفی شیرازی‏</w:t>
      </w:r>
    </w:p>
    <w:p>
      <w:pPr>
        <w:pStyle w:val="Heading3"/>
      </w:pPr>
      <w:bookmarkStart w:id="5119" w:name="_Toc3815"/>
      <w:r>
        <w:t>دیوان شریف شیرازی‏</w:t>
      </w:r>
      <w:bookmarkEnd w:id="5119"/>
    </w:p>
    <w:p>
      <w:pPr>
        <w:pStyle w:val="BookText"/>
      </w:pPr>
      <w:r>
        <w:rPr>
          <w:rFonts w:ascii="IRNazanin" w:hAnsi="IRNazanin" w:eastAsia="IRNazanin" w:cs="IRNazanin"/>
          <w:lang w:bidi="fa-IR"/>
          <w:color w:val="111111"/>
          <w:sz w:val="28"/>
          <w:szCs w:val="28"/>
          <w:rtl/>
        </w:rPr>
        <w:t xml:space="preserve">کما فی فارس‏نامه- 2: 148 مر بعنوان شریف جرجانی‏</w:t>
      </w:r>
    </w:p>
    <w:p>
      <w:pPr>
        <w:pStyle w:val="Heading3"/>
      </w:pPr>
      <w:bookmarkStart w:id="5120" w:name="_Toc3816"/>
      <w:r>
        <w:t>دیوان شریف شیرازی‏</w:t>
      </w:r>
      <w:bookmarkEnd w:id="5120"/>
    </w:p>
    <w:p>
      <w:pPr>
        <w:pStyle w:val="BookText"/>
      </w:pPr>
      <w:r>
        <w:rPr>
          <w:rFonts w:ascii="IRNazanin" w:hAnsi="IRNazanin" w:eastAsia="IRNazanin" w:cs="IRNazanin"/>
          <w:lang w:bidi="fa-IR"/>
          <w:color w:val="111111"/>
          <w:sz w:val="28"/>
          <w:szCs w:val="28"/>
          <w:rtl/>
        </w:rPr>
        <w:t xml:space="preserve">کما فی (نر 9- ص 251) یأتی بتخلصه کاشف فی الکاف‏</w:t>
      </w:r>
    </w:p>
    <w:p>
      <w:pPr>
        <w:pStyle w:val="Heading3"/>
      </w:pPr>
      <w:bookmarkStart w:id="5121" w:name="_Toc3817"/>
      <w:r>
        <w:t>2901- دیوان شریف شیرازی أو شعره‏</w:t>
      </w:r>
      <w:bookmarkEnd w:id="5121"/>
    </w:p>
    <w:p>
      <w:pPr>
        <w:pStyle w:val="BookText"/>
      </w:pPr>
      <w:r>
        <w:rPr>
          <w:rFonts w:ascii="IRNazanin" w:hAnsi="IRNazanin" w:eastAsia="IRNazanin" w:cs="IRNazanin"/>
          <w:lang w:bidi="fa-IR"/>
          <w:color w:val="111111"/>
          <w:sz w:val="28"/>
          <w:szCs w:val="28"/>
          <w:rtl/>
        </w:rPr>
        <w:t xml:space="preserve">و اسمه الخواجة شریف أورد شعره فی (خوش‏گو) و (گلشن- ص 223) و فارس‏نامه ناصری (2- 148) و لعله أخ شرف المعرف‏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516" w:name="pg11704_121998"/>
    <w:bookmarkEnd w:id="516"/>
    <w:p>
      <w:pPr>
        <w:pStyle w:val="BookText"/>
      </w:pPr>
      <w:r>
        <w:rPr>
          <w:rFonts w:ascii="IRNazanin" w:hAnsi="IRNazanin" w:eastAsia="IRNazanin" w:cs="IRNazanin"/>
          <w:lang w:bidi="fa-IR"/>
          <w:color w:val="111111"/>
          <w:sz w:val="28"/>
          <w:szCs w:val="28"/>
          <w:rtl/>
        </w:rPr>
        <w:t xml:space="preserve">المذکور فی (نر 5- ص 140)</w:t>
      </w:r>
    </w:p>
    <w:p>
      <w:pPr>
        <w:pStyle w:val="Heading3"/>
      </w:pPr>
      <w:bookmarkStart w:id="5122" w:name="_Toc3818"/>
      <w:r>
        <w:t>2902- دیوان شریف شیرازی أو شعره‏</w:t>
      </w:r>
      <w:bookmarkEnd w:id="5122"/>
    </w:p>
    <w:p>
      <w:pPr>
        <w:pStyle w:val="BookText"/>
      </w:pPr>
      <w:r>
        <w:rPr>
          <w:rFonts w:ascii="IRNazanin" w:hAnsi="IRNazanin" w:eastAsia="IRNazanin" w:cs="IRNazanin"/>
          <w:lang w:bidi="fa-IR"/>
          <w:color w:val="111111"/>
          <w:sz w:val="28"/>
          <w:szCs w:val="28"/>
          <w:rtl/>
        </w:rPr>
        <w:t xml:space="preserve">هو القاضی محمد شریف ابن الخواجة عبد الصمد، کان ماهرا فی التصویر و الخط. أورد شعره فی طبقات أکبری (ج 2 ص 512) و عده من شعراء بلاط أکبر شاه، و کذا فی (گلشن- ص 223). و جاء شعره فی گلستان مسرت- ص 252 و (روشن- ص 345).</w:t>
      </w:r>
    </w:p>
    <w:p>
      <w:pPr>
        <w:pStyle w:val="Heading3"/>
      </w:pPr>
      <w:bookmarkStart w:id="5123" w:name="_Toc3819"/>
      <w:r>
        <w:t>2903- دیوان شریف شیرازی أو شعره‏</w:t>
      </w:r>
      <w:bookmarkEnd w:id="5123"/>
    </w:p>
    <w:p>
      <w:pPr>
        <w:pStyle w:val="BookText"/>
      </w:pPr>
      <w:r>
        <w:rPr>
          <w:rFonts w:ascii="IRNazanin" w:hAnsi="IRNazanin" w:eastAsia="IRNazanin" w:cs="IRNazanin"/>
          <w:lang w:bidi="fa-IR"/>
          <w:color w:val="111111"/>
          <w:sz w:val="28"/>
          <w:szCs w:val="28"/>
          <w:rtl/>
        </w:rPr>
        <w:t xml:space="preserve">الحداد الزاهد. ترجمه و أورد شعره الحزین فی تذکرته (ص 121)- المؤلف فی النصف الثانی من القرن الثانی عشر- و قال مات أربعین سنة قبل هذا.</w:t>
      </w:r>
    </w:p>
    <w:p>
      <w:pPr>
        <w:pStyle w:val="Heading3"/>
      </w:pPr>
      <w:bookmarkStart w:id="5124" w:name="_Toc3820"/>
      <w:r>
        <w:t>دیوان شریف طهرانی‏</w:t>
      </w:r>
      <w:bookmarkEnd w:id="5124"/>
    </w:p>
    <w:p>
      <w:pPr>
        <w:pStyle w:val="BookText"/>
      </w:pPr>
      <w:r>
        <w:rPr>
          <w:rFonts w:ascii="IRNazanin" w:hAnsi="IRNazanin" w:eastAsia="IRNazanin" w:cs="IRNazanin"/>
          <w:lang w:bidi="fa-IR"/>
          <w:color w:val="111111"/>
          <w:sz w:val="28"/>
          <w:szCs w:val="28"/>
          <w:rtl/>
        </w:rPr>
        <w:t xml:space="preserve">یأتی بتخلصه کاشف کما فی (نر 9- ص 251).</w:t>
      </w:r>
    </w:p>
    <w:p>
      <w:pPr>
        <w:pStyle w:val="Heading3"/>
      </w:pPr>
      <w:bookmarkStart w:id="5125" w:name="_Toc3821"/>
      <w:r>
        <w:t>دیوان شریف طهرانی‏</w:t>
      </w:r>
      <w:bookmarkEnd w:id="5125"/>
    </w:p>
    <w:p>
      <w:pPr>
        <w:pStyle w:val="BookText"/>
      </w:pPr>
      <w:r>
        <w:rPr>
          <w:rFonts w:ascii="IRNazanin" w:hAnsi="IRNazanin" w:eastAsia="IRNazanin" w:cs="IRNazanin"/>
          <w:lang w:bidi="fa-IR"/>
          <w:color w:val="111111"/>
          <w:sz w:val="28"/>
          <w:szCs w:val="28"/>
          <w:rtl/>
        </w:rPr>
        <w:t xml:space="preserve">یأتی بتخلصه صبری کما فی (تس 5- ص 138).</w:t>
      </w:r>
    </w:p>
    <w:p>
      <w:pPr>
        <w:pStyle w:val="Heading3"/>
      </w:pPr>
      <w:bookmarkStart w:id="5126" w:name="_Toc3822"/>
      <w:r>
        <w:t>دیوان شریف طهرانی‏</w:t>
      </w:r>
      <w:bookmarkEnd w:id="5126"/>
    </w:p>
    <w:p>
      <w:pPr>
        <w:pStyle w:val="BookText"/>
      </w:pPr>
      <w:r>
        <w:rPr>
          <w:rFonts w:ascii="IRNazanin" w:hAnsi="IRNazanin" w:eastAsia="IRNazanin" w:cs="IRNazanin"/>
          <w:lang w:bidi="fa-IR"/>
          <w:color w:val="111111"/>
          <w:sz w:val="28"/>
          <w:szCs w:val="28"/>
          <w:rtl/>
        </w:rPr>
        <w:t xml:space="preserve">ابن أخ أمیدی. یأتی بتخلصه هجری. کما فی (تس 5- ص 136).</w:t>
      </w:r>
    </w:p>
    <w:p>
      <w:pPr>
        <w:pStyle w:val="Heading3"/>
      </w:pPr>
      <w:bookmarkStart w:id="5127" w:name="_Toc3823"/>
      <w:r>
        <w:t>2904- دیوان الشریف العقیلی‏</w:t>
      </w:r>
      <w:bookmarkEnd w:id="5127"/>
    </w:p>
    <w:p>
      <w:pPr>
        <w:pStyle w:val="BookText"/>
      </w:pPr>
      <w:r>
        <w:rPr>
          <w:rFonts w:ascii="IRNazanin" w:hAnsi="IRNazanin" w:eastAsia="IRNazanin" w:cs="IRNazanin"/>
          <w:lang w:bidi="fa-IR"/>
          <w:color w:val="111111"/>
          <w:sz w:val="28"/>
          <w:szCs w:val="28"/>
          <w:rtl/>
        </w:rPr>
        <w:t xml:space="preserve">ترجمه الشیخ محمد السماوی فی الطلیعة مفصلا و یوجد دیوانه فی مکتبة” السماوی” کما ذکره لی شفاها.</w:t>
      </w:r>
    </w:p>
    <w:p>
      <w:pPr>
        <w:pStyle w:val="Heading3"/>
      </w:pPr>
      <w:bookmarkStart w:id="5128" w:name="_Toc3824"/>
      <w:r>
        <w:t>دیوان شریف فارسی‏</w:t>
      </w:r>
      <w:bookmarkEnd w:id="5128"/>
    </w:p>
    <w:p>
      <w:pPr>
        <w:pStyle w:val="BookText"/>
      </w:pPr>
      <w:r>
        <w:rPr>
          <w:rFonts w:ascii="IRNazanin" w:hAnsi="IRNazanin" w:eastAsia="IRNazanin" w:cs="IRNazanin"/>
          <w:lang w:bidi="fa-IR"/>
          <w:color w:val="111111"/>
          <w:sz w:val="28"/>
          <w:szCs w:val="28"/>
          <w:rtl/>
        </w:rPr>
        <w:t xml:space="preserve">راجع شریف شیرازی.</w:t>
      </w:r>
    </w:p>
    <w:p>
      <w:pPr>
        <w:pStyle w:val="Heading3"/>
      </w:pPr>
      <w:bookmarkStart w:id="5129" w:name="_Toc3825"/>
      <w:r>
        <w:t>2905- دیوان شریف کاشانی‏</w:t>
      </w:r>
      <w:bookmarkEnd w:id="5129"/>
    </w:p>
    <w:p>
      <w:pPr>
        <w:pStyle w:val="BookText"/>
      </w:pPr>
      <w:r>
        <w:rPr>
          <w:rFonts w:ascii="IRNazanin" w:hAnsi="IRNazanin" w:eastAsia="IRNazanin" w:cs="IRNazanin"/>
          <w:lang w:bidi="fa-IR"/>
          <w:color w:val="111111"/>
          <w:sz w:val="28"/>
          <w:szCs w:val="28"/>
          <w:rtl/>
        </w:rPr>
        <w:t xml:space="preserve">حصل العلم من صباه و سافر من وطنه کاشان إلی سیستان فهراة و عند محاصرتها بید عبد الله خان أزبک فر إلی الهند و تقرب عند قطب شاه.</w:t>
      </w:r>
    </w:p>
    <w:p>
      <w:pPr>
        <w:pStyle w:val="BookText"/>
      </w:pPr>
      <w:r>
        <w:rPr>
          <w:rFonts w:ascii="IRNazanin" w:hAnsi="IRNazanin" w:eastAsia="IRNazanin" w:cs="IRNazanin"/>
          <w:lang w:bidi="fa-IR"/>
          <w:color w:val="111111"/>
          <w:sz w:val="28"/>
          <w:szCs w:val="28"/>
          <w:rtl/>
        </w:rPr>
        <w:t xml:space="preserve">کذا فی (تش- ص 245) و (خوش‏گو). توجد دیوانه الیوم فی (بنگاله) کما فی فهرسها و جاء شعره فی (پژمان- 239).</w:t>
      </w:r>
    </w:p>
    <w:p>
      <w:pPr>
        <w:pStyle w:val="Heading3"/>
      </w:pPr>
      <w:bookmarkStart w:id="5130" w:name="_Toc3826"/>
      <w:r>
        <w:t>2906- دیوان الشریف الکاظمی‏</w:t>
      </w:r>
      <w:bookmarkEnd w:id="5130"/>
    </w:p>
    <w:p>
      <w:pPr>
        <w:pStyle w:val="BookText"/>
      </w:pPr>
      <w:r>
        <w:rPr>
          <w:rFonts w:ascii="IRNazanin" w:hAnsi="IRNazanin" w:eastAsia="IRNazanin" w:cs="IRNazanin"/>
          <w:lang w:bidi="fa-IR"/>
          <w:color w:val="111111"/>
          <w:sz w:val="28"/>
          <w:szCs w:val="28"/>
          <w:rtl/>
        </w:rPr>
        <w:t xml:space="preserve">هو الشیخ محمد شریف بن فلاح الکاظمی ناظم القصیدة الرائیة الکراریة، التی کرر فیها ذکر الکرار. و قد نظمها فی (1166) مطابق ختامه مسک و أورد فی آخرها ثمانیة عشر تقریظا من علماء عصره و أدباء زمانه مصرحا فی بعض التقاریظ أنه تقریظ لدیوان الناظم للکراریة مثل تقریظ الشیخ مهدی الفتونی بقطعة مشتملة علی تاریخ الدیوان فی (1155) و هو قوله:</w:t>
      </w:r>
    </w:p>
    <w:p>
      <w:pPr>
        <w:pStyle w:val="BookText"/>
      </w:pPr>
      <w:r>
        <w:rPr>
          <w:rFonts w:ascii="IRNazanin" w:hAnsi="IRNazanin" w:eastAsia="IRNazanin" w:cs="IRNazanin"/>
          <w:lang w:bidi="fa-IR"/>
          <w:color w:val="111111"/>
          <w:sz w:val="28"/>
          <w:szCs w:val="28"/>
          <w:rtl/>
        </w:rPr>
        <w:t xml:space="preserve">یا ناظما عقودا، بنانه البیان‏</w:t>
      </w:r>
    </w:p>
    <w:p>
      <w:pPr>
        <w:pStyle w:val="BookText"/>
      </w:pPr>
      <w:r>
        <w:rPr>
          <w:rFonts w:ascii="IRNazanin" w:hAnsi="IRNazanin" w:eastAsia="IRNazanin" w:cs="IRNazanin"/>
          <w:lang w:bidi="fa-IR"/>
          <w:color w:val="111111"/>
          <w:sz w:val="28"/>
          <w:szCs w:val="28"/>
          <w:rtl/>
        </w:rPr>
        <w:t xml:space="preserve">بمثلها ابتکارا، لم یسمح الزمان‏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517" w:name="pg11704_121999"/>
    <w:bookmarkEnd w:id="517"/>
    <w:p>
      <w:pPr>
        <w:pStyle w:val="BookText"/>
      </w:pPr>
      <w:r>
        <w:rPr>
          <w:rFonts w:ascii="IRNazanin" w:hAnsi="IRNazanin" w:eastAsia="IRNazanin" w:cs="IRNazanin"/>
          <w:lang w:bidi="fa-IR"/>
          <w:color w:val="111111"/>
          <w:sz w:val="28"/>
          <w:szCs w:val="28"/>
          <w:rtl/>
        </w:rPr>
        <w:t xml:space="preserve">تبنی بکل بیت، بمدحکم لسان‏</w:t>
      </w:r>
    </w:p>
    <w:p>
      <w:pPr>
        <w:pStyle w:val="BookText"/>
      </w:pPr>
      <w:r>
        <w:rPr>
          <w:rFonts w:ascii="IRNazanin" w:hAnsi="IRNazanin" w:eastAsia="IRNazanin" w:cs="IRNazanin"/>
          <w:lang w:bidi="fa-IR"/>
          <w:color w:val="111111"/>
          <w:sz w:val="28"/>
          <w:szCs w:val="28"/>
          <w:rtl/>
        </w:rPr>
        <w:t xml:space="preserve">رقیتها بشعری، خوفا فلا تعان‏</w:t>
      </w:r>
    </w:p>
    <w:p>
      <w:pPr>
        <w:pStyle w:val="BookText"/>
      </w:pPr>
      <w:r>
        <w:rPr>
          <w:rFonts w:ascii="IRNazanin" w:hAnsi="IRNazanin" w:eastAsia="IRNazanin" w:cs="IRNazanin"/>
          <w:lang w:bidi="fa-IR"/>
          <w:color w:val="111111"/>
          <w:sz w:val="28"/>
          <w:szCs w:val="28"/>
          <w:rtl/>
        </w:rPr>
        <w:t xml:space="preserve">أرختها بقولی: نظامکم جمان‏</w:t>
      </w:r>
    </w:p>
    <w:p>
      <w:pPr>
        <w:pStyle w:val="BookText"/>
      </w:pPr>
      <w:r>
        <w:rPr>
          <w:rFonts w:ascii="IRNazanin" w:hAnsi="IRNazanin" w:eastAsia="IRNazanin" w:cs="IRNazanin"/>
          <w:lang w:bidi="fa-IR"/>
          <w:color w:val="111111"/>
          <w:sz w:val="28"/>
          <w:szCs w:val="28"/>
          <w:rtl/>
        </w:rPr>
        <w:t xml:space="preserve">و ذلک یطابق (1155). و منها تقریظ السید نصر الله المدرس الحائری المصرح بأنه تقریظ الدیوان. و منها تقریظ الشیخ محمد علی بن الشیخ بشاره، قال فیه:</w:t>
      </w:r>
    </w:p>
    <w:p>
      <w:pPr>
        <w:pStyle w:val="BookText"/>
      </w:pPr>
      <w:r>
        <w:rPr>
          <w:rFonts w:ascii="IRNazanin" w:hAnsi="IRNazanin" w:eastAsia="IRNazanin" w:cs="IRNazanin"/>
          <w:lang w:bidi="fa-IR"/>
          <w:color w:val="111111"/>
          <w:sz w:val="28"/>
          <w:szCs w:val="28"/>
          <w:rtl/>
        </w:rPr>
        <w:t xml:space="preserve">إن ذا الدیوان مسک و به الدر منضد</w:t>
      </w:r>
    </w:p>
    <w:p>
      <w:pPr>
        <w:pStyle w:val="BookText"/>
      </w:pPr>
      <w:r>
        <w:rPr>
          <w:rFonts w:ascii="IRNazanin" w:hAnsi="IRNazanin" w:eastAsia="IRNazanin" w:cs="IRNazanin"/>
          <w:lang w:bidi="fa-IR"/>
          <w:color w:val="111111"/>
          <w:sz w:val="28"/>
          <w:szCs w:val="28"/>
          <w:rtl/>
        </w:rPr>
        <w:t xml:space="preserve">أصبح الناظم فیه علما بالشعر مفرد</w:t>
      </w:r>
    </w:p>
    <w:p>
      <w:pPr>
        <w:pStyle w:val="BookText"/>
      </w:pPr>
      <w:r>
        <w:rPr>
          <w:rFonts w:ascii="IRNazanin" w:hAnsi="IRNazanin" w:eastAsia="IRNazanin" w:cs="IRNazanin"/>
          <w:lang w:bidi="fa-IR"/>
          <w:color w:val="111111"/>
          <w:sz w:val="28"/>
          <w:szCs w:val="28"/>
          <w:rtl/>
        </w:rPr>
        <w:t xml:space="preserve">و لئن نوزع فیه فله بالفضل أشهد</w:t>
      </w:r>
    </w:p>
    <w:p>
      <w:pPr>
        <w:pStyle w:val="BookText"/>
      </w:pPr>
      <w:r>
        <w:rPr>
          <w:rFonts w:ascii="IRNazanin" w:hAnsi="IRNazanin" w:eastAsia="IRNazanin" w:cs="IRNazanin"/>
          <w:lang w:bidi="fa-IR"/>
          <w:color w:val="111111"/>
          <w:sz w:val="28"/>
          <w:szCs w:val="28"/>
          <w:rtl/>
        </w:rPr>
        <w:t xml:space="preserve">و منها تقریظ السید أحمد بن محمد العطار، فمما قاله فیه:</w:t>
      </w:r>
    </w:p>
    <w:p>
      <w:pPr>
        <w:pStyle w:val="BookText"/>
      </w:pPr>
      <w:r>
        <w:rPr>
          <w:rFonts w:ascii="IRNazanin" w:hAnsi="IRNazanin" w:eastAsia="IRNazanin" w:cs="IRNazanin"/>
          <w:lang w:bidi="fa-IR"/>
          <w:color w:val="111111"/>
          <w:sz w:val="28"/>
          <w:szCs w:val="28"/>
          <w:rtl/>
        </w:rPr>
        <w:t xml:space="preserve">أتیت بمعجز دیوان شعر</w:t>
      </w:r>
    </w:p>
    <w:p>
      <w:pPr>
        <w:pStyle w:val="BookText"/>
      </w:pPr>
      <w:r>
        <w:rPr>
          <w:rFonts w:ascii="IRNazanin" w:hAnsi="IRNazanin" w:eastAsia="IRNazanin" w:cs="IRNazanin"/>
          <w:lang w:bidi="fa-IR"/>
          <w:color w:val="111111"/>
          <w:sz w:val="28"/>
          <w:szCs w:val="28"/>
          <w:rtl/>
        </w:rPr>
        <w:t xml:space="preserve">تلقف سحر ما صنع الأوالی‏</w:t>
      </w:r>
    </w:p>
    <w:p>
      <w:pPr>
        <w:pStyle w:val="BookText"/>
      </w:pPr>
      <w:r>
        <w:rPr>
          <w:rFonts w:ascii="IRNazanin" w:hAnsi="IRNazanin" w:eastAsia="IRNazanin" w:cs="IRNazanin"/>
          <w:lang w:bidi="fa-IR"/>
          <w:color w:val="111111"/>
          <w:sz w:val="28"/>
          <w:szCs w:val="28"/>
          <w:rtl/>
        </w:rPr>
        <w:t xml:space="preserve">و أکثر هؤلاء المقرظین توفوا قبل المائة الثالث عشر. و أما الشریف الناظم فقد ترجمه الشیخ عبد النبی القزوینی فی تتمیمه لأمل الآمل الذی ألفه (1191) و قال [... سمعت جمعا من العلماء یصفونه بجودة الشعر و دقة المعانی المودعة فیه ...] یظهر منه أنه لم یره و کان من المتوفین قبل تاریخ تألیفه. و دیوانه یوجد فی مکتبة (السماوی).</w:t>
      </w:r>
    </w:p>
    <w:p>
      <w:pPr>
        <w:pStyle w:val="Heading3"/>
      </w:pPr>
      <w:bookmarkStart w:id="5131" w:name="_Toc3827"/>
      <w:r>
        <w:t>2907- دیوان الشیخ شریف محیی الدین الجامعی‏</w:t>
      </w:r>
      <w:bookmarkEnd w:id="5131"/>
    </w:p>
    <w:p>
      <w:pPr>
        <w:pStyle w:val="BookText"/>
      </w:pPr>
      <w:r>
        <w:rPr>
          <w:rFonts w:ascii="IRNazanin" w:hAnsi="IRNazanin" w:eastAsia="IRNazanin" w:cs="IRNazanin"/>
          <w:lang w:bidi="fa-IR"/>
          <w:color w:val="111111"/>
          <w:sz w:val="28"/>
          <w:szCs w:val="28"/>
          <w:rtl/>
        </w:rPr>
        <w:t xml:space="preserve">هو الشیخ شریف بن الشیخ محمد بن یوسف بن جعفر بن علی بن الحسین بن محیی الدین الثانی من آل أبی جامع العاملی النجفی المتوفی (1250) نسخه منه فی مکتبة (السماوی).</w:t>
      </w:r>
    </w:p>
    <w:p>
      <w:pPr>
        <w:pStyle w:val="Heading3"/>
      </w:pPr>
      <w:bookmarkStart w:id="5132" w:name="_Toc3828"/>
      <w:r>
        <w:t>دیوان الشریف المرتضی‏</w:t>
      </w:r>
      <w:bookmarkEnd w:id="5132"/>
    </w:p>
    <w:p>
      <w:pPr>
        <w:pStyle w:val="BookText"/>
      </w:pPr>
      <w:r>
        <w:rPr>
          <w:rFonts w:ascii="IRNazanin" w:hAnsi="IRNazanin" w:eastAsia="IRNazanin" w:cs="IRNazanin"/>
          <w:lang w:bidi="fa-IR"/>
          <w:color w:val="111111"/>
          <w:sz w:val="28"/>
          <w:szCs w:val="28"/>
          <w:rtl/>
        </w:rPr>
        <w:t xml:space="preserve">یأتی بعنوان دیوان علم الهدی.</w:t>
      </w:r>
    </w:p>
    <w:p>
      <w:pPr>
        <w:pStyle w:val="Heading3"/>
      </w:pPr>
      <w:bookmarkStart w:id="5133" w:name="_Toc3829"/>
      <w:r>
        <w:t>دیوان شریف مشهدی‏</w:t>
      </w:r>
      <w:bookmarkEnd w:id="5133"/>
    </w:p>
    <w:p>
      <w:pPr>
        <w:pStyle w:val="BookText"/>
      </w:pPr>
      <w:r>
        <w:rPr>
          <w:rFonts w:ascii="IRNazanin" w:hAnsi="IRNazanin" w:eastAsia="IRNazanin" w:cs="IRNazanin"/>
          <w:lang w:bidi="fa-IR"/>
          <w:color w:val="111111"/>
          <w:sz w:val="28"/>
          <w:szCs w:val="28"/>
          <w:rtl/>
        </w:rPr>
        <w:t xml:space="preserve">أورد شعره فی مطلع الشمس- ج 2 ص 435 و الظاهر أنه السبزواری.</w:t>
      </w:r>
    </w:p>
    <w:p>
      <w:pPr>
        <w:pStyle w:val="Heading3"/>
      </w:pPr>
      <w:bookmarkStart w:id="5134" w:name="_Toc3830"/>
      <w:r>
        <w:t>2908- دیوان شریف معمایی أو شعره‏</w:t>
      </w:r>
      <w:bookmarkEnd w:id="5134"/>
    </w:p>
    <w:p>
      <w:pPr>
        <w:pStyle w:val="BookText"/>
      </w:pPr>
      <w:r>
        <w:rPr>
          <w:rFonts w:ascii="IRNazanin" w:hAnsi="IRNazanin" w:eastAsia="IRNazanin" w:cs="IRNazanin"/>
          <w:lang w:bidi="fa-IR"/>
          <w:color w:val="111111"/>
          <w:sz w:val="28"/>
          <w:szCs w:val="28"/>
          <w:rtl/>
        </w:rPr>
        <w:t xml:space="preserve">و هو السید الشریف المعمائی الذی ألف ألفیة الشریف فی (908) فی مقدمه و ثمان و عشرین مقالة و خاتمة کما ذکره فی کشف الظنون شرح لاستخراج ألف اسم بطریق التعمیة من بیت واحد نظمه، و هو:</w:t>
      </w:r>
    </w:p>
    <w:p>
      <w:pPr>
        <w:pStyle w:val="BookText"/>
      </w:pPr>
      <w:r>
        <w:rPr>
          <w:rFonts w:ascii="IRNazanin" w:hAnsi="IRNazanin" w:eastAsia="IRNazanin" w:cs="IRNazanin"/>
          <w:lang w:bidi="fa-IR"/>
          <w:color w:val="111111"/>
          <w:sz w:val="28"/>
          <w:szCs w:val="28"/>
          <w:rtl/>
        </w:rPr>
        <w:t xml:space="preserve">از قد و ابرو بدید آن ماه‏چهر</w:t>
      </w:r>
    </w:p>
    <w:p>
      <w:pPr>
        <w:pStyle w:val="BookText"/>
      </w:pPr>
      <w:r>
        <w:rPr>
          <w:rFonts w:ascii="IRNazanin" w:hAnsi="IRNazanin" w:eastAsia="IRNazanin" w:cs="IRNazanin"/>
          <w:lang w:bidi="fa-IR"/>
          <w:color w:val="111111"/>
          <w:sz w:val="28"/>
          <w:szCs w:val="28"/>
          <w:rtl/>
        </w:rPr>
        <w:t xml:space="preserve">موج آب دیده‏ام بالای مهر</w:t>
      </w:r>
    </w:p>
    <w:p>
      <w:pPr>
        <w:pStyle w:val="BookText"/>
      </w:pPr>
      <w:r>
        <w:rPr>
          <w:rFonts w:ascii="IRNazanin" w:hAnsi="IRNazanin" w:eastAsia="IRNazanin" w:cs="IRNazanin"/>
          <w:lang w:bidi="fa-IR"/>
          <w:color w:val="111111"/>
          <w:sz w:val="28"/>
          <w:szCs w:val="28"/>
          <w:rtl/>
        </w:rPr>
        <w:t xml:space="preserve">و قال فی اسمه و تاریخه من دون تطبیق:</w:t>
      </w:r>
    </w:p>
    <w:p>
      <w:pPr>
        <w:pStyle w:val="BookText"/>
      </w:pPr>
      <w:r>
        <w:rPr>
          <w:rFonts w:ascii="IRNazanin" w:hAnsi="IRNazanin" w:eastAsia="IRNazanin" w:cs="IRNazanin"/>
          <w:lang w:bidi="fa-IR"/>
          <w:color w:val="111111"/>
          <w:sz w:val="28"/>
          <w:szCs w:val="28"/>
          <w:rtl/>
        </w:rPr>
        <w:t xml:space="preserve">بیتی که یک کتاب بود در بیان أو</w:t>
      </w:r>
    </w:p>
    <w:p>
      <w:pPr>
        <w:pStyle w:val="BookText"/>
      </w:pPr>
      <w:r>
        <w:rPr>
          <w:rFonts w:ascii="IRNazanin" w:hAnsi="IRNazanin" w:eastAsia="IRNazanin" w:cs="IRNazanin"/>
          <w:lang w:bidi="fa-IR"/>
          <w:color w:val="111111"/>
          <w:sz w:val="28"/>
          <w:szCs w:val="28"/>
          <w:rtl/>
        </w:rPr>
        <w:t xml:space="preserve">معلوم نیست گفته کسی غیر این ضعیف‏</w:t>
      </w:r>
    </w:p>
    <w:p>
      <w:pPr>
        <w:pStyle w:val="BookText"/>
      </w:pPr>
      <w:r>
        <w:rPr>
          <w:rFonts w:ascii="IRNazanin" w:hAnsi="IRNazanin" w:eastAsia="IRNazanin" w:cs="IRNazanin"/>
          <w:lang w:bidi="fa-IR"/>
          <w:color w:val="111111"/>
          <w:sz w:val="28"/>
          <w:szCs w:val="28"/>
          <w:rtl/>
        </w:rPr>
        <w:t xml:space="preserve">کرده شریف تعمیه در وی هزار نام‏</w:t>
      </w:r>
    </w:p>
    <w:p>
      <w:pPr>
        <w:pStyle w:val="BookText"/>
      </w:pPr>
      <w:r>
        <w:rPr>
          <w:rFonts w:ascii="IRNazanin" w:hAnsi="IRNazanin" w:eastAsia="IRNazanin" w:cs="IRNazanin"/>
          <w:lang w:bidi="fa-IR"/>
          <w:color w:val="111111"/>
          <w:sz w:val="28"/>
          <w:szCs w:val="28"/>
          <w:rtl/>
        </w:rPr>
        <w:t xml:space="preserve">زان رو ملقب است بألفیة الشریف‏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518" w:name="pg11704_122000"/>
    <w:bookmarkEnd w:id="518"/>
    <w:p>
      <w:pPr>
        <w:pStyle w:val="BookText"/>
      </w:pPr>
      <w:r>
        <w:rPr>
          <w:rFonts w:ascii="IRNazanin" w:hAnsi="IRNazanin" w:eastAsia="IRNazanin" w:cs="IRNazanin"/>
          <w:lang w:bidi="fa-IR"/>
          <w:color w:val="111111"/>
          <w:sz w:val="28"/>
          <w:szCs w:val="28"/>
          <w:rtl/>
        </w:rPr>
        <w:t xml:space="preserve">و قد خلط أحمد رفعت فی لغات تاریخی- 4: 93 بینه و بین الشریف الجرجانی کما نقل عنه فی ریحانة الأدب (ج 2 ص 324).</w:t>
      </w:r>
    </w:p>
    <w:p>
      <w:pPr>
        <w:pStyle w:val="Heading3"/>
      </w:pPr>
      <w:bookmarkStart w:id="5135" w:name="_Toc3831"/>
      <w:r>
        <w:t>2909- دیوان الشیخ شریف النجفی‏</w:t>
      </w:r>
      <w:bookmarkEnd w:id="5135"/>
    </w:p>
    <w:p>
      <w:pPr>
        <w:pStyle w:val="BookText"/>
      </w:pPr>
      <w:r>
        <w:rPr>
          <w:rFonts w:ascii="IRNazanin" w:hAnsi="IRNazanin" w:eastAsia="IRNazanin" w:cs="IRNazanin"/>
          <w:lang w:bidi="fa-IR"/>
          <w:color w:val="111111"/>
          <w:sz w:val="28"/>
          <w:szCs w:val="28"/>
          <w:rtl/>
        </w:rPr>
        <w:t xml:space="preserve">یوجد بعض مراثیه فی مجموعة من أشعار أهل القرن الثالث عشر دونها السید یوسف بن محمد الحسینی الأرومی أو أن توقفه فی النجف و کتابتها فی (1302) و النسخة فی مکتبة (الملک) و الناظم أن کان هو الشیخ شریف بن الشیخ محمد بن الشیخ یوسف الجامعی النجفی المعاصر لصاحب الجواهر فقد مر بعنوان الشریف محیی الدین و لکن الظاهر أن هذا الناظم هو حفیده و سمیه الشیخ شریف بن الشیخ موسی بن الشیخ شریف الجامعی الذی توفی قرب (1300) فإنه أیضا کان أدیبا شاعرا کما أن دیوان والده الشیخ موسی بن شریف أیضا موجود بمکتبة (السماوی) کما یأتی.</w:t>
      </w:r>
    </w:p>
    <w:p>
      <w:pPr>
        <w:pStyle w:val="Heading3"/>
      </w:pPr>
      <w:bookmarkStart w:id="5136" w:name="_Toc3832"/>
      <w:r>
        <w:t>2910- دیوان شریف ورنوسفادرانی‏</w:t>
      </w:r>
      <w:bookmarkEnd w:id="5136"/>
    </w:p>
    <w:p>
      <w:pPr>
        <w:pStyle w:val="BookText"/>
      </w:pPr>
      <w:r>
        <w:rPr>
          <w:rFonts w:ascii="IRNazanin" w:hAnsi="IRNazanin" w:eastAsia="IRNazanin" w:cs="IRNazanin"/>
          <w:lang w:bidi="fa-IR"/>
          <w:color w:val="111111"/>
          <w:sz w:val="28"/>
          <w:szCs w:val="28"/>
          <w:rtl/>
        </w:rPr>
        <w:t xml:space="preserve">و اسمه ملا محمد بن کلب علی الحجار، من قریة ورنوسفادران بأصفهان. تلمذ علی ملا عبد الحق. اشتغل بشغل أبیه ثم نصب کاتبا للمحاکم و السجلات. کان ماهرا فی نظم التاریخ و المعمی. و له منظومة علی زنة مخزن الأسرار للنظامی. و قد هجا المیر مؤید. أورد حاله النصرآبادی فی (نر 9- ص 415- 416). و أورد تاریخه لبناء قبة الرضا علیه السلام  فی (1086) فی (نر 13- ص 485). و أورد معماه فی (نر 15- ص 542) و عنه أخذ ظاهرا فی (گلشن- ص 223).</w:t>
      </w:r>
    </w:p>
    <w:p>
      <w:pPr>
        <w:pStyle w:val="Heading3"/>
      </w:pPr>
      <w:bookmarkStart w:id="5137" w:name="_Toc3833"/>
      <w:r>
        <w:t>دیوان شریفی بدخشانی‏</w:t>
      </w:r>
      <w:bookmarkEnd w:id="5137"/>
    </w:p>
    <w:p>
      <w:pPr>
        <w:pStyle w:val="BookText"/>
      </w:pPr>
      <w:r>
        <w:rPr>
          <w:rFonts w:ascii="IRNazanin" w:hAnsi="IRNazanin" w:eastAsia="IRNazanin" w:cs="IRNazanin"/>
          <w:lang w:bidi="fa-IR"/>
          <w:color w:val="111111"/>
          <w:sz w:val="28"/>
          <w:szCs w:val="28"/>
          <w:rtl/>
        </w:rPr>
        <w:t xml:space="preserve">کما فی (گلشن- ص 223) و الظاهر أنه البلخی.</w:t>
      </w:r>
    </w:p>
    <w:p>
      <w:pPr>
        <w:pStyle w:val="Heading3"/>
      </w:pPr>
      <w:bookmarkStart w:id="5138" w:name="_Toc3834"/>
      <w:r>
        <w:t>2911- دیوان شریفی بلخی‏</w:t>
      </w:r>
      <w:bookmarkEnd w:id="5138"/>
    </w:p>
    <w:p>
      <w:pPr>
        <w:pStyle w:val="BookText"/>
      </w:pPr>
      <w:r>
        <w:rPr>
          <w:rFonts w:ascii="IRNazanin" w:hAnsi="IRNazanin" w:eastAsia="IRNazanin" w:cs="IRNazanin"/>
          <w:lang w:bidi="fa-IR"/>
          <w:color w:val="111111"/>
          <w:sz w:val="28"/>
          <w:szCs w:val="28"/>
          <w:rtl/>
        </w:rPr>
        <w:t xml:space="preserve">و هو مولانا صاحب ملک الشعراء لبلاط أمراء بدخشان الذین انقرضت حکومتهم بقتل سلطان محمد فی (871) بأمر السلطان أبی سعید کما فی (دولت 7) قال و کان ماهرا فی الطب و الموسیقی و الشعر، و أورد غزله بهذا التخلص و لکن المیر علی شیر فی (مجن 1- ص 15 و 190) ذم أخلاقه و لم یذکر تخلصه بل اکتفی باسمه صاحب و فی (خیال- ص 70) ذکر کل ما فی دولت شاه و لکن جاء فی الطبع شریف بدل شریفی. و ذکر أیضا فی (تغ- ص 73) و (روشن- ص 346).</w:t>
      </w:r>
    </w:p>
    <w:p>
      <w:pPr>
        <w:pStyle w:val="Heading3"/>
      </w:pPr>
      <w:bookmarkStart w:id="5139" w:name="_Toc3835"/>
      <w:r>
        <w:t>2912- دیوان شریفی تبریزی أو شعره‏</w:t>
      </w:r>
      <w:bookmarkEnd w:id="5139"/>
    </w:p>
    <w:p>
      <w:pPr>
        <w:pStyle w:val="BookText"/>
      </w:pPr>
      <w:r>
        <w:rPr>
          <w:rFonts w:ascii="IRNazanin" w:hAnsi="IRNazanin" w:eastAsia="IRNazanin" w:cs="IRNazanin"/>
          <w:lang w:bidi="fa-IR"/>
          <w:color w:val="111111"/>
          <w:sz w:val="28"/>
          <w:szCs w:val="28"/>
          <w:rtl/>
        </w:rPr>
        <w:t xml:space="preserve">و هو السید معین الدین محمد الخطاط.</w:t>
      </w:r>
    </w:p>
    <w:p>
      <w:pPr>
        <w:pStyle w:val="BookText"/>
      </w:pPr>
      <w:r>
        <w:rPr>
          <w:rFonts w:ascii="IRNazanin" w:hAnsi="IRNazanin" w:eastAsia="IRNazanin" w:cs="IRNazanin"/>
          <w:lang w:bidi="fa-IR"/>
          <w:color w:val="111111"/>
          <w:sz w:val="28"/>
          <w:szCs w:val="28"/>
          <w:rtl/>
        </w:rPr>
        <w:t xml:space="preserve">تلمیذ المیر علی مجنون الهروی الخطاط الذی مات (951). ترجمه فی (دجا-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519" w:name="pg11704_122001"/>
    <w:bookmarkEnd w:id="519"/>
    <w:p>
      <w:pPr>
        <w:pStyle w:val="BookText"/>
      </w:pPr>
      <w:r>
        <w:rPr>
          <w:rFonts w:ascii="IRNazanin" w:hAnsi="IRNazanin" w:eastAsia="IRNazanin" w:cs="IRNazanin"/>
          <w:lang w:bidi="fa-IR"/>
          <w:color w:val="111111"/>
          <w:sz w:val="28"/>
          <w:szCs w:val="28"/>
          <w:rtl/>
        </w:rPr>
        <w:t xml:space="preserve">ص 197) و أورد شعره.</w:t>
      </w:r>
    </w:p>
    <w:p>
      <w:pPr>
        <w:pStyle w:val="Heading3"/>
      </w:pPr>
      <w:bookmarkStart w:id="5140" w:name="_Toc3836"/>
      <w:r>
        <w:t>2913- دیوان شریفی شیرازی‏</w:t>
      </w:r>
      <w:bookmarkEnd w:id="5140"/>
    </w:p>
    <w:p>
      <w:pPr>
        <w:pStyle w:val="BookText"/>
      </w:pPr>
      <w:r>
        <w:rPr>
          <w:rFonts w:ascii="IRNazanin" w:hAnsi="IRNazanin" w:eastAsia="IRNazanin" w:cs="IRNazanin"/>
          <w:lang w:bidi="fa-IR"/>
          <w:color w:val="111111"/>
          <w:sz w:val="28"/>
          <w:szCs w:val="28"/>
          <w:rtl/>
        </w:rPr>
        <w:t xml:space="preserve">و هو المیر مرتضی و من أحفاد المیر السید الشریف الجرجانی. تلمذ علی ابن حجر و سافر إلی الهند و مات بها (964) و نقل جثمانه إلی مشهد خراسان. کذا فی (روشن- ص 346) و قال فی (هفت- ص 281) إنه کان صدرا بخراسان ثم حج و سافر إلی الهند و مات بها. و له نظم الکافیة، و دیوان غزل. و ترجمه أیضا فی (خوش‏گو).</w:t>
      </w:r>
    </w:p>
    <w:p>
      <w:pPr>
        <w:pStyle w:val="Heading3"/>
      </w:pPr>
      <w:bookmarkStart w:id="5141" w:name="_Toc3837"/>
      <w:r>
        <w:t>دیوان شریفی شیرازی‏</w:t>
      </w:r>
      <w:bookmarkEnd w:id="5141"/>
    </w:p>
    <w:p>
      <w:pPr>
        <w:pStyle w:val="BookText"/>
      </w:pPr>
      <w:r>
        <w:rPr>
          <w:rFonts w:ascii="IRNazanin" w:hAnsi="IRNazanin" w:eastAsia="IRNazanin" w:cs="IRNazanin"/>
          <w:lang w:bidi="fa-IR"/>
          <w:color w:val="111111"/>
          <w:sz w:val="28"/>
          <w:szCs w:val="28"/>
          <w:rtl/>
        </w:rPr>
        <w:t xml:space="preserve">المیر مخدم. راجع دیوان أشرف جرجانی.</w:t>
      </w:r>
    </w:p>
    <w:p>
      <w:pPr>
        <w:pStyle w:val="Heading3"/>
      </w:pPr>
      <w:bookmarkStart w:id="5142" w:name="_Toc3838"/>
      <w:r>
        <w:t>دیوان شریفی شیرازی‏</w:t>
      </w:r>
      <w:bookmarkEnd w:id="5142"/>
    </w:p>
    <w:p>
      <w:pPr>
        <w:pStyle w:val="BookText"/>
      </w:pPr>
      <w:r>
        <w:rPr>
          <w:rFonts w:ascii="IRNazanin" w:hAnsi="IRNazanin" w:eastAsia="IRNazanin" w:cs="IRNazanin"/>
          <w:lang w:bidi="fa-IR"/>
          <w:color w:val="111111"/>
          <w:sz w:val="28"/>
          <w:szCs w:val="28"/>
          <w:rtl/>
        </w:rPr>
        <w:t xml:space="preserve">راجع دیوان شریف ثانی.</w:t>
      </w:r>
    </w:p>
    <w:p>
      <w:pPr>
        <w:pStyle w:val="Heading3"/>
      </w:pPr>
      <w:bookmarkStart w:id="5143" w:name="_Toc3839"/>
      <w:r>
        <w:t>2914- دیوان شریفی شیرازی أو شعره‏</w:t>
      </w:r>
      <w:bookmarkEnd w:id="5143"/>
    </w:p>
    <w:p>
      <w:pPr>
        <w:pStyle w:val="BookText"/>
      </w:pPr>
      <w:r>
        <w:rPr>
          <w:rFonts w:ascii="IRNazanin" w:hAnsi="IRNazanin" w:eastAsia="IRNazanin" w:cs="IRNazanin"/>
          <w:lang w:bidi="fa-IR"/>
          <w:color w:val="111111"/>
          <w:sz w:val="28"/>
          <w:szCs w:val="28"/>
          <w:rtl/>
        </w:rPr>
        <w:t xml:space="preserve">و هو السید المیر شریف الثالث بن الشریف الثانی ابن بنت المیر سید الشریف الجرجانی علی بن محمد. ترجمه معاصر سام میرزا فی (تس 2- ص 29) و قال إنه الآن حاکم شیراز. و قال فی (هفت- ص 278) إنه نصبه الشاه طهماسب وزیرا للعراق (أراک) ثم نصب کلانترا لشیراز ثم اکتفی بداراب‏جرد، و أورد غزله بتخلص شریفی. و له ولدان، المیرزا أمیر، و المیر معین الدین المتخلص أشرف المذکور فی (ص 77) و المشهور بمیر مخدوم. و ترجمه فی (روشن- ص 345) بعنوان شریف.</w:t>
      </w:r>
    </w:p>
    <w:p>
      <w:pPr>
        <w:pStyle w:val="Heading3"/>
      </w:pPr>
      <w:bookmarkStart w:id="5144" w:name="_Toc3840"/>
      <w:r>
        <w:t>2915- دیوان شریفی الکرمانی أو شعره‏</w:t>
      </w:r>
      <w:bookmarkEnd w:id="5144"/>
    </w:p>
    <w:p>
      <w:pPr>
        <w:pStyle w:val="BookText"/>
      </w:pPr>
      <w:r>
        <w:rPr>
          <w:rFonts w:ascii="IRNazanin" w:hAnsi="IRNazanin" w:eastAsia="IRNazanin" w:cs="IRNazanin"/>
          <w:lang w:bidi="fa-IR"/>
          <w:color w:val="111111"/>
          <w:sz w:val="28"/>
          <w:szCs w:val="28"/>
          <w:rtl/>
        </w:rPr>
        <w:t xml:space="preserve">المذکور فی (ج 3 ص 202- 203) و هو غیر شرف الکرمانی المذکور فی (ص 516).</w:t>
      </w:r>
    </w:p>
    <w:p>
      <w:pPr>
        <w:pStyle w:val="Heading3"/>
      </w:pPr>
      <w:bookmarkStart w:id="5145" w:name="_Toc3841"/>
      <w:r>
        <w:t>2916- دیوان شریفی مشهدی أو شعره‏</w:t>
      </w:r>
      <w:bookmarkEnd w:id="5145"/>
    </w:p>
    <w:p>
      <w:pPr>
        <w:pStyle w:val="BookText"/>
      </w:pPr>
      <w:r>
        <w:rPr>
          <w:rFonts w:ascii="IRNazanin" w:hAnsi="IRNazanin" w:eastAsia="IRNazanin" w:cs="IRNazanin"/>
          <w:lang w:bidi="fa-IR"/>
          <w:color w:val="111111"/>
          <w:sz w:val="28"/>
          <w:szCs w:val="28"/>
          <w:rtl/>
        </w:rPr>
        <w:t xml:space="preserve">عده فی مطلع الشمس (ج 2 ص 435) من شعراء خراسان و من أحفاد المیر السید شریف الجرجانی. و کذا فی (گلشن- ص 223) و فی (مجتس 2- ص 139) و (حسینی- ص 169) و لکن لم یذکر نسبته و قالوا کان ماهرا فی الموسیقی.</w:t>
      </w:r>
    </w:p>
    <w:p>
      <w:pPr>
        <w:pStyle w:val="Heading3"/>
      </w:pPr>
      <w:bookmarkStart w:id="5146" w:name="_Toc3842"/>
      <w:r>
        <w:t>دیوان شصت کله‏</w:t>
      </w:r>
      <w:bookmarkEnd w:id="5146"/>
    </w:p>
    <w:p>
      <w:pPr>
        <w:pStyle w:val="BookText"/>
      </w:pPr>
      <w:r>
        <w:rPr>
          <w:rFonts w:ascii="IRNazanin" w:hAnsi="IRNazanin" w:eastAsia="IRNazanin" w:cs="IRNazanin"/>
          <w:lang w:bidi="fa-IR"/>
          <w:color w:val="111111"/>
          <w:sz w:val="28"/>
          <w:szCs w:val="28"/>
          <w:rtl/>
        </w:rPr>
        <w:t xml:space="preserve">قال فی (تش- ص 306) إنه لقب منوچهر البلخی مداح السلطان محمود الغزنوی. و أراد أنه لقب الشاعر المعروف منوچهری دامغانی الآتی فی المیم، کما یظهر من غیره من التذاکر. و الحق أنه لقب أحمد بن منوچهر الآتی بعده.</w:t>
      </w:r>
    </w:p>
    <w:p>
      <w:pPr>
        <w:pStyle w:val="Heading3"/>
      </w:pPr>
      <w:bookmarkStart w:id="5147" w:name="_Toc3843"/>
      <w:r>
        <w:t>2917- دیوان شصت کله أو شعره‏</w:t>
      </w:r>
      <w:bookmarkEnd w:id="5147"/>
    </w:p>
    <w:p>
      <w:pPr>
        <w:pStyle w:val="BookText"/>
      </w:pPr>
      <w:r>
        <w:rPr>
          <w:rFonts w:ascii="IRNazanin" w:hAnsi="IRNazanin" w:eastAsia="IRNazanin" w:cs="IRNazanin"/>
          <w:lang w:bidi="fa-IR"/>
          <w:color w:val="111111"/>
          <w:sz w:val="28"/>
          <w:szCs w:val="28"/>
          <w:rtl/>
        </w:rPr>
        <w:t xml:space="preserve">و اسمه شمس الدین أحمد بن منوچهر الملقب‏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520" w:name="pg11704_122002"/>
    <w:bookmarkEnd w:id="520"/>
    <w:p>
      <w:pPr>
        <w:pStyle w:val="BookText"/>
      </w:pPr>
      <w:r>
        <w:rPr>
          <w:rFonts w:ascii="IRNazanin" w:hAnsi="IRNazanin" w:eastAsia="IRNazanin" w:cs="IRNazanin"/>
          <w:lang w:bidi="fa-IR"/>
          <w:color w:val="111111"/>
          <w:sz w:val="28"/>
          <w:szCs w:val="28"/>
          <w:rtl/>
        </w:rPr>
        <w:t xml:space="preserve">أمیر الشعراء و سفیر الکبراء کما ترجمه فی (580) معاصره الراوندی و ذکر قصیدته تتماج فی راحة الصدور- ص 57 و قد فصل ذلک بهار فی مجلة مهر- العدد 5- السنة 6- لسنة (1317 ش). الصادرة بطهران.</w:t>
      </w:r>
    </w:p>
    <w:p>
      <w:pPr>
        <w:pStyle w:val="Heading3"/>
      </w:pPr>
      <w:bookmarkStart w:id="5148" w:name="_Toc3844"/>
      <w:r>
        <w:t>دیوان الشطاح‏</w:t>
      </w:r>
      <w:bookmarkEnd w:id="5148"/>
    </w:p>
    <w:p>
      <w:pPr>
        <w:pStyle w:val="BookText"/>
      </w:pPr>
      <w:r>
        <w:rPr>
          <w:rFonts w:ascii="IRNazanin" w:hAnsi="IRNazanin" w:eastAsia="IRNazanin" w:cs="IRNazanin"/>
          <w:lang w:bidi="fa-IR"/>
          <w:color w:val="111111"/>
          <w:sz w:val="28"/>
          <w:szCs w:val="28"/>
          <w:rtl/>
        </w:rPr>
        <w:t xml:space="preserve">کما فی (تش- ص 286) و فارس‏نامه- 2: 148 و (روشن- ص 346). مر بعنوان روزبهان فی (ص 390).</w:t>
      </w:r>
    </w:p>
    <w:p>
      <w:pPr>
        <w:pStyle w:val="Heading3"/>
      </w:pPr>
      <w:bookmarkStart w:id="5149" w:name="_Toc3845"/>
      <w:r>
        <w:t>2918- دیوان شطرنجی سمرقندی أو شعره‏</w:t>
      </w:r>
      <w:bookmarkEnd w:id="5149"/>
    </w:p>
    <w:p>
      <w:pPr>
        <w:pStyle w:val="BookText"/>
      </w:pPr>
      <w:r>
        <w:rPr>
          <w:rFonts w:ascii="IRNazanin" w:hAnsi="IRNazanin" w:eastAsia="IRNazanin" w:cs="IRNazanin"/>
          <w:lang w:bidi="fa-IR"/>
          <w:color w:val="111111"/>
          <w:sz w:val="28"/>
          <w:szCs w:val="28"/>
          <w:rtl/>
        </w:rPr>
        <w:t xml:space="preserve">و هو أبو علی السمرقندی من شعراء آل خاقان و کان ماهرا فی الشطرنج. ترجمه و أورد شعره فی (تش- ص 332) و (گلشن ص 224) و الریحانة نقلا عن القاموس الترکی و (تغ- ص 73).</w:t>
      </w:r>
    </w:p>
    <w:p>
      <w:pPr>
        <w:pStyle w:val="Heading3"/>
      </w:pPr>
      <w:bookmarkStart w:id="5150" w:name="_Toc3846"/>
      <w:r>
        <w:t>2919- دیوان شعاع أصفهانی‏</w:t>
      </w:r>
      <w:bookmarkEnd w:id="5150"/>
    </w:p>
    <w:p>
      <w:pPr>
        <w:pStyle w:val="BookText"/>
      </w:pPr>
      <w:r>
        <w:rPr>
          <w:rFonts w:ascii="IRNazanin" w:hAnsi="IRNazanin" w:eastAsia="IRNazanin" w:cs="IRNazanin"/>
          <w:lang w:bidi="fa-IR"/>
          <w:color w:val="111111"/>
          <w:sz w:val="28"/>
          <w:szCs w:val="28"/>
          <w:rtl/>
        </w:rPr>
        <w:t xml:space="preserve">الشیخ غلام علی صدر الملقب بشعاع الواعظین الواعظ بکرمان. طبع منتخب من شعره باسم آثار مشعشع بکرمان.</w:t>
      </w:r>
    </w:p>
    <w:p>
      <w:pPr>
        <w:pStyle w:val="Heading3"/>
      </w:pPr>
      <w:bookmarkStart w:id="5151" w:name="_Toc3847"/>
      <w:r>
        <w:t>2920- دیوان شعاع شیرازی‏</w:t>
      </w:r>
      <w:bookmarkEnd w:id="5151"/>
    </w:p>
    <w:p>
      <w:pPr>
        <w:pStyle w:val="BookText"/>
      </w:pPr>
      <w:r>
        <w:rPr>
          <w:rFonts w:ascii="IRNazanin" w:hAnsi="IRNazanin" w:eastAsia="IRNazanin" w:cs="IRNazanin"/>
          <w:lang w:bidi="fa-IR"/>
          <w:color w:val="111111"/>
          <w:sz w:val="28"/>
          <w:szCs w:val="28"/>
          <w:rtl/>
        </w:rPr>
        <w:t xml:space="preserve">و هو المیرزا محمد حسین بن أبی الحسن شعاع الملک الشیرازی المولود (1298) و المتوفی (1364) له تذکره شکرستان فارس و تذکره شعاعیة و أشعة شعاعیة</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جستند چو از فرصت تاریخی أزین تألیف‏</w:t>
      </w:r>
    </w:p>
    <w:p>
      <w:pPr>
        <w:pStyle w:val="BookText"/>
      </w:pPr>
      <w:r>
        <w:rPr>
          <w:rFonts w:ascii="IRNazanin" w:hAnsi="IRNazanin" w:eastAsia="IRNazanin" w:cs="IRNazanin"/>
          <w:lang w:bidi="fa-IR"/>
          <w:color w:val="111111"/>
          <w:sz w:val="28"/>
          <w:szCs w:val="28"/>
          <w:rtl/>
        </w:rPr>
        <w:t xml:space="preserve">گفتا: ز شعاعیه گردید جهان روشن‏</w:t>
      </w:r>
    </w:p>
    <w:p>
      <w:pPr>
        <w:pStyle w:val="BookText"/>
      </w:pPr>
      <w:r>
        <w:rPr>
          <w:rFonts w:ascii="IRNazanin" w:hAnsi="IRNazanin" w:eastAsia="IRNazanin" w:cs="IRNazanin"/>
          <w:lang w:bidi="fa-IR"/>
          <w:color w:val="111111"/>
          <w:sz w:val="28"/>
          <w:szCs w:val="28"/>
          <w:rtl/>
        </w:rPr>
        <w:t xml:space="preserve">و دیوان یشتمل علی ثلاثین ألف بیت.</w:t>
      </w:r>
    </w:p>
    <w:p>
      <w:pPr>
        <w:pStyle w:val="BookText"/>
      </w:pPr>
      <w:r>
        <w:rPr>
          <w:rFonts w:ascii="IRNazanin" w:hAnsi="IRNazanin" w:eastAsia="IRNazanin" w:cs="IRNazanin"/>
          <w:lang w:bidi="fa-IR"/>
          <w:color w:val="111111"/>
          <w:sz w:val="28"/>
          <w:szCs w:val="28"/>
          <w:rtl/>
        </w:rPr>
        <w:t xml:space="preserve">و هو الذی صحح دیوان باباکوهی و طبعه فی (1347) ترجمه فی آثار العجم (ص- 559) و سخنوران نامی معاصر- ج 2- ص 171 و کان له مکتبة نفیسة بشیراز. و أورد شعره (پژمان ص 240).</w:t>
      </w:r>
    </w:p>
    <w:p>
      <w:pPr>
        <w:pStyle w:val="Heading3"/>
      </w:pPr>
      <w:bookmarkStart w:id="5152" w:name="_Toc3848"/>
      <w:r>
        <w:t>2921- دیوان شعاعی قاجار</w:t>
      </w:r>
      <w:bookmarkEnd w:id="5152"/>
    </w:p>
    <w:p>
      <w:pPr>
        <w:pStyle w:val="BookText"/>
      </w:pPr>
      <w:r>
        <w:rPr>
          <w:rFonts w:ascii="IRNazanin" w:hAnsi="IRNazanin" w:eastAsia="IRNazanin" w:cs="IRNazanin"/>
          <w:lang w:bidi="fa-IR"/>
          <w:color w:val="111111"/>
          <w:sz w:val="28"/>
          <w:szCs w:val="28"/>
          <w:rtl/>
        </w:rPr>
        <w:t xml:space="preserve">و هو محمد حسین بن الحاج عیسی خان بیگلر بیگی قاجار دولو. توجد نسخته بخطه کتبه فی (ذی الحجة- 1302) عند (الملک) برقم (4749) فی (213 ورقة) بخط جلی. و هو صاحب مصیبت‏نامه المذکور فی فهرس مکتبة المعارف لجواهر الکلام (ج 2 ص 3 و 7).</w:t>
      </w:r>
    </w:p>
    <w:p>
      <w:pPr>
        <w:pStyle w:val="Heading3"/>
      </w:pPr>
      <w:bookmarkStart w:id="5153" w:name="_Toc3849"/>
      <w:r>
        <w:t>2922- دیوان شعبان‏</w:t>
      </w:r>
      <w:bookmarkEnd w:id="5153"/>
    </w:p>
    <w:p>
      <w:pPr>
        <w:pStyle w:val="BookText"/>
      </w:pPr>
      <w:r>
        <w:rPr>
          <w:rFonts w:ascii="IRNazanin" w:hAnsi="IRNazanin" w:eastAsia="IRNazanin" w:cs="IRNazanin"/>
          <w:lang w:bidi="fa-IR"/>
          <w:color w:val="111111"/>
          <w:sz w:val="28"/>
          <w:szCs w:val="28"/>
          <w:rtl/>
        </w:rPr>
        <w:t xml:space="preserve">هو الشیخ الأدیب شعبان بن سلیم بن عثمان الرومی الصنعانی.</w:t>
      </w:r>
    </w:p>
    <w:p>
      <w:pPr>
        <w:pStyle w:val="BookText"/>
      </w:pPr>
      <w:r>
        <w:rPr>
          <w:rFonts w:ascii="IRNazanin" w:hAnsi="IRNazanin" w:eastAsia="IRNazanin" w:cs="IRNazanin"/>
          <w:lang w:bidi="fa-IR"/>
          <w:color w:val="111111"/>
          <w:sz w:val="28"/>
          <w:szCs w:val="28"/>
          <w:rtl/>
        </w:rPr>
        <w:t xml:space="preserve">ترجمه فی نسمة السحر فیمن تشیع و شعر و کتب بعض شعره إلی مؤلف النسمة فی المحرم (1114) و مکتوب فی هامش النسخة أنه توفی هذا الشاعر (1149) و رأیت نسخه‏ ن‏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521" w:name="pg11704_122003"/>
    <w:bookmarkEnd w:id="521"/>
    <w:p>
      <w:pPr>
        <w:pStyle w:val="BookText"/>
      </w:pPr>
      <w:r>
        <w:rPr>
          <w:rFonts w:ascii="IRNazanin" w:hAnsi="IRNazanin" w:eastAsia="IRNazanin" w:cs="IRNazanin"/>
          <w:lang w:bidi="fa-IR"/>
          <w:color w:val="111111"/>
          <w:sz w:val="28"/>
          <w:szCs w:val="28"/>
          <w:rtl/>
        </w:rPr>
        <w:t xml:space="preserve">دیوان شعبان الیمانی فی مکتبة (السبزواری بالکاظمیة) و الظاهر أنه لهذا الشاعر.</w:t>
      </w:r>
    </w:p>
    <w:p>
      <w:pPr>
        <w:pStyle w:val="Heading3"/>
      </w:pPr>
      <w:bookmarkStart w:id="5154" w:name="_Toc3850"/>
      <w:r>
        <w:t>2923- دیوان شعری‏</w:t>
      </w:r>
      <w:bookmarkEnd w:id="5154"/>
    </w:p>
    <w:p>
      <w:pPr>
        <w:pStyle w:val="BookText"/>
      </w:pPr>
      <w:r>
        <w:rPr>
          <w:rFonts w:ascii="IRNazanin" w:hAnsi="IRNazanin" w:eastAsia="IRNazanin" w:cs="IRNazanin"/>
          <w:lang w:bidi="fa-IR"/>
          <w:color w:val="111111"/>
          <w:sz w:val="28"/>
          <w:szCs w:val="28"/>
          <w:rtl/>
        </w:rPr>
        <w:t xml:space="preserve">فارسی مطبوع بإیران کما فی بعض الفهارس. و لعله لأحد الآتیین بعد هذا.</w:t>
      </w:r>
    </w:p>
    <w:p>
      <w:pPr>
        <w:pStyle w:val="Heading3"/>
      </w:pPr>
      <w:bookmarkStart w:id="5155" w:name="_Toc3851"/>
      <w:r>
        <w:t>2924- دیوان شعری أصفهانی‏</w:t>
      </w:r>
      <w:bookmarkEnd w:id="5155"/>
    </w:p>
    <w:p>
      <w:pPr>
        <w:pStyle w:val="BookText"/>
      </w:pPr>
      <w:r>
        <w:rPr>
          <w:rFonts w:ascii="IRNazanin" w:hAnsi="IRNazanin" w:eastAsia="IRNazanin" w:cs="IRNazanin"/>
          <w:lang w:bidi="fa-IR"/>
          <w:color w:val="111111"/>
          <w:sz w:val="28"/>
          <w:szCs w:val="28"/>
          <w:rtl/>
        </w:rPr>
        <w:t xml:space="preserve">و اسمه المیرزا طاهر الملقب بدیباچه‏نگار، مؤلف تذکره گنج شایگان فی تراجم مادحی المیرزا آقا خان النوری المرتب علی درجین و سلک و ترجم نفسه فی السلک و ذکر أنه من ولد الشیخ الزاهد الگیلانی و أن قضاء أصفهان کان فی بیتهم من أوائل دولة القاجار و إنه ولد بأصفهان فی (1224) و هاجر أول بلوغه إلی طهران مع أخیه الشیخ صالح و نزلا بمدرسة دار الشفاء إلی أن صار أخوه معلما فی دار الفنون المؤسسة فی (5- ع 1- 1268) و کانت عدة التلامیذ مائة نفس إلی آخر کلامه. ترجمه فی (المآثر- ص 204) و (مع- ج 2 ص 246) و ذکر أنه توفی (1270) و أورد قرب خمسین بیتا من شعره، و عنه فی الریحانة.</w:t>
      </w:r>
    </w:p>
    <w:p>
      <w:pPr>
        <w:pStyle w:val="Heading3"/>
      </w:pPr>
      <w:bookmarkStart w:id="5156" w:name="_Toc3852"/>
      <w:r>
        <w:t>2925- دیوان شعری شیرازی أو شعره‏</w:t>
      </w:r>
      <w:bookmarkEnd w:id="5156"/>
    </w:p>
    <w:p>
      <w:pPr>
        <w:pStyle w:val="BookText"/>
      </w:pPr>
      <w:r>
        <w:rPr>
          <w:rFonts w:ascii="IRNazanin" w:hAnsi="IRNazanin" w:eastAsia="IRNazanin" w:cs="IRNazanin"/>
          <w:lang w:bidi="fa-IR"/>
          <w:color w:val="111111"/>
          <w:sz w:val="28"/>
          <w:szCs w:val="28"/>
          <w:rtl/>
        </w:rPr>
        <w:t xml:space="preserve">و اسمه المیرزا أبی القاسم ترجمه معاصره فی آثار عجم- ص 559 و أورد شعره و (روشن- ص 346).</w:t>
      </w:r>
    </w:p>
    <w:p>
      <w:pPr>
        <w:pStyle w:val="Heading3"/>
      </w:pPr>
      <w:bookmarkStart w:id="5157" w:name="_Toc3853"/>
      <w:r>
        <w:t>2926- دیوان شعری کشمیری‏</w:t>
      </w:r>
      <w:bookmarkEnd w:id="5157"/>
    </w:p>
    <w:p>
      <w:pPr>
        <w:pStyle w:val="BookText"/>
      </w:pPr>
      <w:r>
        <w:rPr>
          <w:rFonts w:ascii="IRNazanin" w:hAnsi="IRNazanin" w:eastAsia="IRNazanin" w:cs="IRNazanin"/>
          <w:lang w:bidi="fa-IR"/>
          <w:color w:val="111111"/>
          <w:sz w:val="28"/>
          <w:szCs w:val="28"/>
          <w:rtl/>
        </w:rPr>
        <w:t xml:space="preserve">لمحمد حسن الکشمیری فرغ منه (1263) ذکر فی ذیل کشف الظنون.</w:t>
      </w:r>
    </w:p>
    <w:p>
      <w:pPr>
        <w:pStyle w:val="Heading3"/>
      </w:pPr>
      <w:bookmarkStart w:id="5158" w:name="_Toc3854"/>
      <w:r>
        <w:t>2927- دیوان شعری یزدی‏</w:t>
      </w:r>
      <w:bookmarkEnd w:id="5158"/>
    </w:p>
    <w:p>
      <w:pPr>
        <w:pStyle w:val="BookText"/>
      </w:pPr>
      <w:r>
        <w:rPr>
          <w:rFonts w:ascii="IRNazanin" w:hAnsi="IRNazanin" w:eastAsia="IRNazanin" w:cs="IRNazanin"/>
          <w:lang w:bidi="fa-IR"/>
          <w:color w:val="111111"/>
          <w:sz w:val="28"/>
          <w:szCs w:val="28"/>
          <w:rtl/>
        </w:rPr>
        <w:t xml:space="preserve">و هو المیرزا محمد علی بن علی أکبر خان، و ابن أخ عبد الرضا خان الیزدی. ترجمه معاصره فی (مع- ج 2 ص 248) و أورد بعض شعره المدرج فی بعض المجموعات. و ترجمه آیتی فی (تش یز- ص 297) و ذکر أنه صار مقربا عند محمد ولی میرزا القاجار.</w:t>
      </w:r>
    </w:p>
    <w:p>
      <w:pPr>
        <w:pStyle w:val="Heading3"/>
      </w:pPr>
      <w:bookmarkStart w:id="5159" w:name="_Toc3855"/>
      <w:r>
        <w:t>2928- دیوان شعف قمی‏</w:t>
      </w:r>
      <w:bookmarkEnd w:id="5159"/>
    </w:p>
    <w:p>
      <w:pPr>
        <w:pStyle w:val="BookText"/>
      </w:pPr>
      <w:r>
        <w:rPr>
          <w:rFonts w:ascii="IRNazanin" w:hAnsi="IRNazanin" w:eastAsia="IRNazanin" w:cs="IRNazanin"/>
          <w:lang w:bidi="fa-IR"/>
          <w:color w:val="111111"/>
          <w:sz w:val="28"/>
          <w:szCs w:val="28"/>
          <w:rtl/>
        </w:rPr>
        <w:t xml:space="preserve">و اسمه آقا عبد الله الکفاش ببلدة قم. قال فی (تش- ص 379) إن أشعاره الکثیرة تفرقت فی فتنة الأفاغنة، و استمعت منه عند أبی بأصفهان.</w:t>
      </w:r>
    </w:p>
    <w:p>
      <w:pPr>
        <w:pStyle w:val="Heading3"/>
      </w:pPr>
      <w:bookmarkStart w:id="5160" w:name="_Toc3856"/>
      <w:r>
        <w:t>2929- دیوان شعلة أصفهانی‏</w:t>
      </w:r>
      <w:bookmarkEnd w:id="5160"/>
    </w:p>
    <w:p>
      <w:pPr>
        <w:pStyle w:val="BookText"/>
      </w:pPr>
      <w:r>
        <w:rPr>
          <w:rFonts w:ascii="IRNazanin" w:hAnsi="IRNazanin" w:eastAsia="IRNazanin" w:cs="IRNazanin"/>
          <w:lang w:bidi="fa-IR"/>
          <w:color w:val="111111"/>
          <w:sz w:val="28"/>
          <w:szCs w:val="28"/>
          <w:rtl/>
        </w:rPr>
        <w:t xml:space="preserve">و اسمه السید محمد الأصفهانی الحکیم الإلهی الطبیب المتخلص شعلة و المتوفی (1160) کما فی (مع- ج 2 ص 261) و أورد بعض شعره نقلا عن آتشکده لآذر البیگدلی الذی توفی (1195) و کذا فی (انجمن 4) و لکن فی المطبوع من (تش- ص 379) ذکر وفاته (1120) و فی (تغ- ص 73)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522" w:name="pg11704_122004"/>
    <w:bookmarkEnd w:id="522"/>
    <w:p>
      <w:pPr>
        <w:pStyle w:val="BookText"/>
      </w:pPr>
      <w:r>
        <w:rPr>
          <w:rFonts w:ascii="IRNazanin" w:hAnsi="IRNazanin" w:eastAsia="IRNazanin" w:cs="IRNazanin"/>
          <w:lang w:bidi="fa-IR"/>
          <w:color w:val="111111"/>
          <w:sz w:val="28"/>
          <w:szCs w:val="28"/>
          <w:rtl/>
        </w:rPr>
        <w:t xml:space="preserve">قال مات (1150) و علی أی فلیس هو متحدا مع شعلة گلپایگانی کما زعمه فی (ج 3 ص 703) من فهرس (المجلس) و فی (دجا 175) نسب إلیه یوسف و زلیخا و الظاهر أنه خلط بینه و بین شعلة گلپایگانی أیضا.</w:t>
      </w:r>
    </w:p>
    <w:p>
      <w:pPr>
        <w:pStyle w:val="Heading3"/>
      </w:pPr>
      <w:bookmarkStart w:id="5161" w:name="_Toc3857"/>
      <w:r>
        <w:t>2930- دیوان شعلة تبریزی‏</w:t>
      </w:r>
      <w:bookmarkEnd w:id="5161"/>
    </w:p>
    <w:p>
      <w:pPr>
        <w:pStyle w:val="BookText"/>
      </w:pPr>
      <w:r>
        <w:rPr>
          <w:rFonts w:ascii="IRNazanin" w:hAnsi="IRNazanin" w:eastAsia="IRNazanin" w:cs="IRNazanin"/>
          <w:lang w:bidi="fa-IR"/>
          <w:color w:val="111111"/>
          <w:sz w:val="28"/>
          <w:szCs w:val="28"/>
          <w:rtl/>
        </w:rPr>
        <w:t xml:space="preserve">و اسمه محمد جعفر. طبع له خسرو و شیرین المذکور فی (ج 7- ص 160).</w:t>
      </w:r>
    </w:p>
    <w:p>
      <w:pPr>
        <w:pStyle w:val="Heading3"/>
      </w:pPr>
      <w:bookmarkStart w:id="5162" w:name="_Toc3858"/>
      <w:r>
        <w:t>2931- دیوان شعلة دهلوی‏</w:t>
      </w:r>
      <w:bookmarkEnd w:id="5162"/>
    </w:p>
    <w:p>
      <w:pPr>
        <w:pStyle w:val="BookText"/>
      </w:pPr>
      <w:r>
        <w:rPr>
          <w:rFonts w:ascii="IRNazanin" w:hAnsi="IRNazanin" w:eastAsia="IRNazanin" w:cs="IRNazanin"/>
          <w:lang w:bidi="fa-IR"/>
          <w:color w:val="111111"/>
          <w:sz w:val="28"/>
          <w:szCs w:val="28"/>
          <w:rtl/>
        </w:rPr>
        <w:t xml:space="preserve">فارسی لمیرزا کاظم علی خان بن المیر أحمد علی خان المتوفی (1308) ذکر فی ذیل کشف الظنون.</w:t>
      </w:r>
    </w:p>
    <w:p>
      <w:pPr>
        <w:pStyle w:val="Heading3"/>
      </w:pPr>
      <w:bookmarkStart w:id="5163" w:name="_Toc3859"/>
      <w:r>
        <w:t>2932- دیوان شعلة شیرازی أو شعره‏</w:t>
      </w:r>
      <w:bookmarkEnd w:id="5163"/>
    </w:p>
    <w:p>
      <w:pPr>
        <w:pStyle w:val="BookText"/>
      </w:pPr>
      <w:r>
        <w:rPr>
          <w:rFonts w:ascii="IRNazanin" w:hAnsi="IRNazanin" w:eastAsia="IRNazanin" w:cs="IRNazanin"/>
          <w:lang w:bidi="fa-IR"/>
          <w:color w:val="111111"/>
          <w:sz w:val="28"/>
          <w:szCs w:val="28"/>
          <w:rtl/>
        </w:rPr>
        <w:t xml:space="preserve">و اسمه آغوپور خان ابن إمام قلی خان حاکم فارس ابن الله‏وردی خان أفشار. أسمل عینه الشاه صفی فی (1043) حین قتل والده إمام قلی خان. أورد شعره فی (حسینی- ص 176) و (گلشن- ص 224).</w:t>
      </w:r>
    </w:p>
    <w:p>
      <w:pPr>
        <w:pStyle w:val="Heading3"/>
      </w:pPr>
      <w:bookmarkStart w:id="5164" w:name="_Toc3860"/>
      <w:r>
        <w:t>2933- دیوان شعلة گلپایگانی‏</w:t>
      </w:r>
      <w:bookmarkEnd w:id="5164"/>
    </w:p>
    <w:p>
      <w:pPr>
        <w:pStyle w:val="BookText"/>
      </w:pPr>
      <w:r>
        <w:rPr>
          <w:rFonts w:ascii="IRNazanin" w:hAnsi="IRNazanin" w:eastAsia="IRNazanin" w:cs="IRNazanin"/>
          <w:lang w:bidi="fa-IR"/>
          <w:color w:val="111111"/>
          <w:sz w:val="28"/>
          <w:szCs w:val="28"/>
          <w:rtl/>
        </w:rPr>
        <w:t xml:space="preserve">المولود حدود (1124) لأنه نظم یوسف و زلیخا فی (1175) و عمره إحدی و خمسین سنة فی أربعین یوما. توجد نسخه منه فی مکتبة (المجلس) کما فی فهرسها (ج 3 ص 702) تشتمل علی خمسة آلاف بیت و فیها تاریخان لنظم الکتاب أحدهما (1175) و الآخر (1180) و یذکر فیه یوسف و زلیخا لآذر الذی نظمه فی (1176) و ظن مؤلف الفهرس أنه متحد مع شعلة أصفهانی و لیس بصحیح، و له أیضا چاه وصال المذکور فی (ج 5 ص 305).</w:t>
      </w:r>
    </w:p>
    <w:p>
      <w:pPr>
        <w:pStyle w:val="Heading3"/>
      </w:pPr>
      <w:bookmarkStart w:id="5165" w:name="_Toc3861"/>
      <w:r>
        <w:t>2934- دیوان شعوری تبریزی أو شعره‏</w:t>
      </w:r>
      <w:bookmarkEnd w:id="5165"/>
    </w:p>
    <w:p>
      <w:pPr>
        <w:pStyle w:val="BookText"/>
      </w:pPr>
      <w:r>
        <w:rPr>
          <w:rFonts w:ascii="IRNazanin" w:hAnsi="IRNazanin" w:eastAsia="IRNazanin" w:cs="IRNazanin"/>
          <w:lang w:bidi="fa-IR"/>
          <w:color w:val="111111"/>
          <w:sz w:val="28"/>
          <w:szCs w:val="28"/>
          <w:rtl/>
        </w:rPr>
        <w:t xml:space="preserve">من شعراء القرن العاشر. ترجمه فی (دجا- ص 199) نقلا عن سفینه خوش‏گو، و أورد رباعیة له. و سماه فی (خوش‏گو) مهدی تبریزی.</w:t>
      </w:r>
    </w:p>
    <w:p>
      <w:pPr>
        <w:pStyle w:val="Heading3"/>
      </w:pPr>
      <w:bookmarkStart w:id="5166" w:name="_Toc3862"/>
      <w:r>
        <w:t>2935- دیوان شعوری کاشی‏</w:t>
      </w:r>
      <w:bookmarkEnd w:id="5166"/>
    </w:p>
    <w:p>
      <w:pPr>
        <w:pStyle w:val="BookText"/>
      </w:pPr>
      <w:r>
        <w:rPr>
          <w:rFonts w:ascii="IRNazanin" w:hAnsi="IRNazanin" w:eastAsia="IRNazanin" w:cs="IRNazanin"/>
          <w:lang w:bidi="fa-IR"/>
          <w:color w:val="111111"/>
          <w:sz w:val="28"/>
          <w:szCs w:val="28"/>
          <w:rtl/>
        </w:rPr>
        <w:t xml:space="preserve">ترجمه معاصره النصرآبادی فی (نر 9- ص 295) و ذکر أن قصائده و غزلیاته یقرب من ستة آلاف بیت و أورد بعض شعره و قال کان یمدح حاتم بیک- و هو صافی أردوبادی المتوفی (1019)- و قال فی (گلشن- ص 224) إنه تلمیذ محتشم کاشی. و قال فی (تش- ص 245) إنه کان مربی نفسه و فی (روشن- ص 348) إن هناک شاعران بهذا الاسم و إن لتلمیذ المحتشم دیوان فی ستة آلاف بیت.</w:t>
      </w:r>
    </w:p>
    <w:p>
      <w:pPr>
        <w:pStyle w:val="Heading3"/>
      </w:pPr>
      <w:bookmarkStart w:id="5167" w:name="_Toc3863"/>
      <w:r>
        <w:t>2936- دیوان شعوری مشهدی أو شعره‏</w:t>
      </w:r>
      <w:bookmarkEnd w:id="5167"/>
    </w:p>
    <w:p>
      <w:pPr>
        <w:pStyle w:val="BookText"/>
      </w:pPr>
      <w:r>
        <w:rPr>
          <w:rFonts w:ascii="IRNazanin" w:hAnsi="IRNazanin" w:eastAsia="IRNazanin" w:cs="IRNazanin"/>
          <w:lang w:bidi="fa-IR"/>
          <w:color w:val="111111"/>
          <w:sz w:val="28"/>
          <w:szCs w:val="28"/>
          <w:rtl/>
        </w:rPr>
        <w:t xml:space="preserve">الشاعر المعاصر للنصرآبادی. ذکر فی‏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523" w:name="pg11704_122005"/>
    <w:bookmarkEnd w:id="523"/>
    <w:p>
      <w:pPr>
        <w:pStyle w:val="BookText"/>
      </w:pPr>
      <w:r>
        <w:rPr>
          <w:rFonts w:ascii="IRNazanin" w:hAnsi="IRNazanin" w:eastAsia="IRNazanin" w:cs="IRNazanin"/>
          <w:lang w:bidi="fa-IR"/>
          <w:color w:val="111111"/>
          <w:sz w:val="28"/>
          <w:szCs w:val="28"/>
          <w:rtl/>
        </w:rPr>
        <w:t xml:space="preserve">(نر 9- ص 295) بعض شعره و قال إن أشعاره غیر مدونة. و عنه أخذ ظاهرا فی (مطلع الشمس- ج 2 ص 435) و الریحانة.</w:t>
      </w:r>
    </w:p>
    <w:p>
      <w:pPr>
        <w:pStyle w:val="Heading3"/>
      </w:pPr>
      <w:bookmarkStart w:id="5168" w:name="_Toc3864"/>
      <w:r>
        <w:t>2937- دیوان شعوری هروی‏</w:t>
      </w:r>
      <w:bookmarkEnd w:id="5168"/>
    </w:p>
    <w:p>
      <w:pPr>
        <w:pStyle w:val="BookText"/>
      </w:pPr>
      <w:r>
        <w:rPr>
          <w:rFonts w:ascii="IRNazanin" w:hAnsi="IRNazanin" w:eastAsia="IRNazanin" w:cs="IRNazanin"/>
          <w:lang w:bidi="fa-IR"/>
          <w:color w:val="111111"/>
          <w:sz w:val="28"/>
          <w:szCs w:val="28"/>
          <w:rtl/>
        </w:rPr>
        <w:t xml:space="preserve">نزل کابل ثم سافر إلی الحجاز ثم سافر إلی الحجاز و نزل الهند و تقرب عند أکبر شاه. له مثنوی قند و شکر أورد بعضه فی (گلشن- ص 225) و فی (روشن- ص 349) سماه شعوری نیشابوری.</w:t>
      </w:r>
    </w:p>
    <w:p>
      <w:pPr>
        <w:pStyle w:val="Heading3"/>
      </w:pPr>
      <w:bookmarkStart w:id="5169" w:name="_Toc3865"/>
      <w:r>
        <w:t>2938- دیوان شعیب جوشقانی‏</w:t>
      </w:r>
      <w:bookmarkEnd w:id="5169"/>
    </w:p>
    <w:p>
      <w:pPr>
        <w:pStyle w:val="BookText"/>
      </w:pPr>
      <w:r>
        <w:rPr>
          <w:rFonts w:ascii="IRNazanin" w:hAnsi="IRNazanin" w:eastAsia="IRNazanin" w:cs="IRNazanin"/>
          <w:lang w:bidi="fa-IR"/>
          <w:color w:val="111111"/>
          <w:sz w:val="28"/>
          <w:szCs w:val="28"/>
          <w:rtl/>
        </w:rPr>
        <w:t xml:space="preserve">من أکابر أهل کاشان و صار من وزراء الشاه عباس الماضی. و نظم مثنوی وامق و عذراء کما ذکره النصرآبادی فی (نر 4- ص 79) و هی فی (3305 بیتا) توجد نسخه منه فی أول دیوانه المشتمل علی القصائد و الغزل و المقطعات فی مکتبة (الملک) برقم (5577) کتبت فی القرن الحادی عشر. و قال فی آخر وامق و عذراء:</w:t>
      </w:r>
    </w:p>
    <w:p>
      <w:pPr>
        <w:pStyle w:val="BookText"/>
      </w:pPr>
      <w:r>
        <w:rPr>
          <w:rFonts w:ascii="IRNazanin" w:hAnsi="IRNazanin" w:eastAsia="IRNazanin" w:cs="IRNazanin"/>
          <w:lang w:bidi="fa-IR"/>
          <w:color w:val="111111"/>
          <w:sz w:val="28"/>
          <w:szCs w:val="28"/>
          <w:rtl/>
        </w:rPr>
        <w:t xml:space="preserve">نهد چون تاج دولت بر سر آن‏</w:t>
      </w:r>
    </w:p>
    <w:p>
      <w:pPr>
        <w:pStyle w:val="BookText"/>
      </w:pPr>
      <w:r>
        <w:rPr>
          <w:rFonts w:ascii="IRNazanin" w:hAnsi="IRNazanin" w:eastAsia="IRNazanin" w:cs="IRNazanin"/>
          <w:lang w:bidi="fa-IR"/>
          <w:color w:val="111111"/>
          <w:sz w:val="28"/>
          <w:szCs w:val="28"/>
          <w:rtl/>
        </w:rPr>
        <w:t xml:space="preserve">شود تاریخ نیم شهر شعبان- (1032)</w:t>
      </w:r>
    </w:p>
    <w:p>
      <w:pPr>
        <w:pStyle w:val="BookText"/>
      </w:pPr>
      <w:r>
        <w:rPr>
          <w:rFonts w:ascii="IRNazanin" w:hAnsi="IRNazanin" w:eastAsia="IRNazanin" w:cs="IRNazanin"/>
          <w:lang w:bidi="fa-IR"/>
          <w:color w:val="111111"/>
          <w:sz w:val="28"/>
          <w:szCs w:val="28"/>
          <w:rtl/>
        </w:rPr>
        <w:t xml:space="preserve">اگر خواهی شمار نقد این گنج‏</w:t>
      </w:r>
    </w:p>
    <w:p>
      <w:pPr>
        <w:pStyle w:val="BookText"/>
      </w:pPr>
      <w:r>
        <w:rPr>
          <w:rFonts w:ascii="IRNazanin" w:hAnsi="IRNazanin" w:eastAsia="IRNazanin" w:cs="IRNazanin"/>
          <w:lang w:bidi="fa-IR"/>
          <w:color w:val="111111"/>
          <w:sz w:val="28"/>
          <w:szCs w:val="28"/>
          <w:rtl/>
        </w:rPr>
        <w:t xml:space="preserve">هزار آمد سه بار و سیصد و پنج‏</w:t>
      </w:r>
    </w:p>
    <w:p>
      <w:pPr>
        <w:pStyle w:val="BookText"/>
      </w:pPr>
      <w:r>
        <w:rPr>
          <w:rFonts w:ascii="IRNazanin" w:hAnsi="IRNazanin" w:eastAsia="IRNazanin" w:cs="IRNazanin"/>
          <w:lang w:bidi="fa-IR"/>
          <w:color w:val="111111"/>
          <w:sz w:val="28"/>
          <w:szCs w:val="28"/>
          <w:rtl/>
        </w:rPr>
        <w:t xml:space="preserve">پی این نورسیده نام لائق‏</w:t>
      </w:r>
    </w:p>
    <w:p>
      <w:pPr>
        <w:pStyle w:val="BookText"/>
      </w:pPr>
      <w:r>
        <w:rPr>
          <w:rFonts w:ascii="IRNazanin" w:hAnsi="IRNazanin" w:eastAsia="IRNazanin" w:cs="IRNazanin"/>
          <w:lang w:bidi="fa-IR"/>
          <w:color w:val="111111"/>
          <w:sz w:val="28"/>
          <w:szCs w:val="28"/>
          <w:rtl/>
        </w:rPr>
        <w:t xml:space="preserve">نمودم وامق و عذراء موافق‏</w:t>
      </w:r>
    </w:p>
    <w:p>
      <w:pPr>
        <w:pStyle w:val="BookText"/>
      </w:pPr>
      <w:r>
        <w:rPr>
          <w:rFonts w:ascii="IRNazanin" w:hAnsi="IRNazanin" w:eastAsia="IRNazanin" w:cs="IRNazanin"/>
          <w:lang w:bidi="fa-IR"/>
          <w:color w:val="111111"/>
          <w:sz w:val="28"/>
          <w:szCs w:val="28"/>
          <w:rtl/>
        </w:rPr>
        <w:t xml:space="preserve">و أورد له تاریخا لسنة (1020) فی (نر 13- ص 477) و ترجمه أیضا فی (حسینی- ص 177) و (سرخوش- ص 61) و لکن فی (تش- ص 178) قال إن جوشقان من نواحی أصفهان. و ترجمه أیضا فی (خوش‏گو). و قال فی (تغ- ص 74) إن الشاه عباس لقبه ملک الشعراء و استوزره. و أورد شعره فی (روشن- ص 349) و (پژمان- ص 240).</w:t>
      </w:r>
    </w:p>
    <w:p>
      <w:pPr>
        <w:pStyle w:val="Heading3"/>
      </w:pPr>
      <w:bookmarkStart w:id="5170" w:name="_Toc3866"/>
      <w:r>
        <w:t>2939- دیوان شعیبا خوانساری‏</w:t>
      </w:r>
      <w:bookmarkEnd w:id="5170"/>
    </w:p>
    <w:p>
      <w:pPr>
        <w:pStyle w:val="BookText"/>
      </w:pPr>
      <w:r>
        <w:rPr>
          <w:rFonts w:ascii="IRNazanin" w:hAnsi="IRNazanin" w:eastAsia="IRNazanin" w:cs="IRNazanin"/>
          <w:lang w:bidi="fa-IR"/>
          <w:color w:val="111111"/>
          <w:sz w:val="28"/>
          <w:szCs w:val="28"/>
          <w:rtl/>
        </w:rPr>
        <w:t xml:space="preserve">العالم الکامل من أخص تلامیذ المحقق الآقا حسین الخوانساری. کان ساکن مدرسة جده بأصفهان و بها توفی (1083) کما ترجمه النصرآبادی فی (نر 6- ص 194) و أورد بعض أشعاره. و کذا فی (تغ- ص 73).</w:t>
      </w:r>
    </w:p>
    <w:p>
      <w:pPr>
        <w:pStyle w:val="Heading3"/>
      </w:pPr>
      <w:bookmarkStart w:id="5171" w:name="_Toc3867"/>
      <w:r>
        <w:t>2940- دیوان شغال أو شعره‏</w:t>
      </w:r>
      <w:bookmarkEnd w:id="5171"/>
    </w:p>
    <w:p>
      <w:pPr>
        <w:pStyle w:val="BookText"/>
      </w:pPr>
      <w:r>
        <w:rPr>
          <w:rFonts w:ascii="IRNazanin" w:hAnsi="IRNazanin" w:eastAsia="IRNazanin" w:cs="IRNazanin"/>
          <w:lang w:bidi="fa-IR"/>
          <w:color w:val="111111"/>
          <w:sz w:val="28"/>
          <w:szCs w:val="28"/>
          <w:rtl/>
        </w:rPr>
        <w:t xml:space="preserve">و اسمه ملا علی. أطری النصرآبادی أشعاره فی المعمی فی (نر 15- ص 504).</w:t>
      </w:r>
    </w:p>
    <w:p>
      <w:pPr>
        <w:pStyle w:val="Heading3"/>
      </w:pPr>
      <w:bookmarkStart w:id="5172" w:name="_Toc3868"/>
      <w:r>
        <w:t>2941- دیوان شفائی‏</w:t>
      </w:r>
      <w:bookmarkEnd w:id="5172"/>
    </w:p>
    <w:p>
      <w:pPr>
        <w:pStyle w:val="BookText"/>
      </w:pPr>
      <w:r>
        <w:rPr>
          <w:rFonts w:ascii="IRNazanin" w:hAnsi="IRNazanin" w:eastAsia="IRNazanin" w:cs="IRNazanin"/>
          <w:lang w:bidi="fa-IR"/>
          <w:color w:val="111111"/>
          <w:sz w:val="28"/>
          <w:szCs w:val="28"/>
          <w:rtl/>
        </w:rPr>
        <w:t xml:space="preserve">من المعاصرین. طبع له منظومة صبح و عصر بطهران فی (1334 ش) فی (ص 28).</w:t>
      </w:r>
    </w:p>
    <w:p>
      <w:pPr>
        <w:pStyle w:val="Heading3"/>
      </w:pPr>
      <w:bookmarkStart w:id="5173" w:name="_Toc3869"/>
      <w:r>
        <w:t>2942- دیوان شفائی‏</w:t>
      </w:r>
      <w:bookmarkEnd w:id="5173"/>
    </w:p>
    <w:p>
      <w:pPr>
        <w:pStyle w:val="BookText"/>
      </w:pPr>
      <w:r>
        <w:rPr>
          <w:rFonts w:ascii="IRNazanin" w:hAnsi="IRNazanin" w:eastAsia="IRNazanin" w:cs="IRNazanin"/>
          <w:lang w:bidi="fa-IR"/>
          <w:color w:val="111111"/>
          <w:sz w:val="28"/>
          <w:szCs w:val="28"/>
          <w:rtl/>
        </w:rPr>
        <w:t xml:space="preserve">هو الحکیم ملا شرف الدین حسن بن حکیم ملا الأصفهانی‏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المشتهر بالشفائی قال فی ریاض العلماء [إنه کان من علماء الدولة الصفویة فی عصر الشاه عباس الماضی، معاصر الشیخ البهائی و السید الداماد. کان من أفاضل العلماء و مشاهیر الأطباء و لاشتهار شعره عد فی الشعراء، و کان یقول فی وصف نفسه مطائبة: إن طبابتی قد ستر تبحری فی سائر العلوم، و شعری قد ستر طبابتی، و کثرة هجائی قد ستر شاعریتی. و من دواوینه الفارسیة ما سماه شکر المذاقین رأیته فی ساری مازندران. و له دواوین أخر فی الأشعار المدیحیة و الهجائیة، و لعله صاحب کتاب القرابادین المعروف بقرابادین الشفائی ...] انتهی ملخص قول صاحب الریاض (أقول) احتمال کونه صاحب القرابادین لا وجه له لما یأتی أن قرابادین الشفائی للسید مظفر بن محمد الحسینی الشفائی الکاشانی الذی استخرج معدن اللاجورد فی بعض الجبال علی فرسخ من قمصر کاشان فوهب السلطان المعدن له و بعده لذراریه المعروفین بالسادة اللاجوردیین حتی الیوم کما فصلناه فی (ج 3 ص 188- 189). و قال فی (میخانه 2- ص 375) إن دیوانه الذی وصل إلی الهند یبلغ خمسة آلاف بیت، و قال محشیه- أنه رأی نسخه منه کتبت (1041) فی تسعة آلاف بیت. و توجد الیوم منه نسخ فی بانکی‏پور. و (الملک) برقم (5144) و فی (بنگاله) نسخه ناقصة. و قال فی عالم‏آرا- ط: تهران- ص 1082 إنه کان طبیبا مقربا عند الشاه عباس، و لقبه ملک الشعراء و ممتاز أمیران و لکنه کان هزالا خلیعا و ترجمه أیضا فی ریاض الشعراء للداغستانی و هفت آسمان- ص 134 و سرو آزاد ص 47 و فی مخزن الغرائب أنه کان حکیم‏باشی للشاه. و قال فی عالم‏آرا ط: هند- ص 761- و ص 1082 ط: تهران و (نر 9- ص 211) إنه مات فی (رمضان 1037) و ترجم أیضا فی هفت إقلیم و منتخب الأشعار و (حسینی- ص 178) و (مع- ج 2 ص 21- 23) و (خوش‏گو) و (تش- ص 178) و روضة الصفا و (تغ 76) و قال فی میخانه إنه ولد بأصفهان و سافر إلی خراسان للزیارة ثم إلی هرات فلاقی المیرزا فصیحی، و رجع إلی أصفهان، و کان یعیش بالطبابة و أورد مطائباته مع فغفور فی (ص 332 منه) و له مثنوی مهر و محبت موجود بخط علی رضا عباسی کما ذکر فی نمونه خطوط شاهنشاهی- ص 146. و أورده النصرآبادی فی (نر 9- ص 213) و له دیده بیدار و نمکدان حقیقت و مجمع البحرین فی قبال تحفه‏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524" w:name="pg11704_122007"/>
    <w:bookmarkEnd w:id="524"/>
    <w:p>
      <w:pPr>
        <w:pStyle w:val="BookText"/>
      </w:pPr>
      <w:r>
        <w:rPr>
          <w:rFonts w:ascii="IRNazanin" w:hAnsi="IRNazanin" w:eastAsia="IRNazanin" w:cs="IRNazanin"/>
          <w:lang w:bidi="fa-IR"/>
          <w:color w:val="111111"/>
          <w:sz w:val="28"/>
          <w:szCs w:val="28"/>
          <w:rtl/>
        </w:rPr>
        <w:t xml:space="preserve">العراقین و خمسة مرت فی (ج 7).</w:t>
      </w:r>
    </w:p>
    <w:p>
      <w:pPr>
        <w:pStyle w:val="Heading3"/>
      </w:pPr>
      <w:bookmarkStart w:id="5174" w:name="_Toc3870"/>
      <w:r>
        <w:t>دیوان شفائی محلاتی‏</w:t>
      </w:r>
      <w:bookmarkEnd w:id="5174"/>
    </w:p>
    <w:p>
      <w:pPr>
        <w:pStyle w:val="BookText"/>
      </w:pPr>
      <w:r>
        <w:rPr>
          <w:rFonts w:ascii="IRNazanin" w:hAnsi="IRNazanin" w:eastAsia="IRNazanin" w:cs="IRNazanin"/>
          <w:lang w:bidi="fa-IR"/>
          <w:color w:val="111111"/>
          <w:sz w:val="28"/>
          <w:szCs w:val="28"/>
          <w:rtl/>
        </w:rPr>
        <w:t xml:space="preserve">کما فی (خوش‏گو) مر بعنوان باقر محلاتی فی (ص 122)</w:t>
      </w:r>
    </w:p>
    <w:p>
      <w:pPr>
        <w:pStyle w:val="Heading3"/>
      </w:pPr>
      <w:bookmarkStart w:id="5175" w:name="_Toc3871"/>
      <w:r>
        <w:t>2943- دیوان شفای تبریزی‏</w:t>
      </w:r>
      <w:bookmarkEnd w:id="5175"/>
    </w:p>
    <w:p>
      <w:pPr>
        <w:pStyle w:val="BookText"/>
      </w:pPr>
      <w:r>
        <w:rPr>
          <w:rFonts w:ascii="IRNazanin" w:hAnsi="IRNazanin" w:eastAsia="IRNazanin" w:cs="IRNazanin"/>
          <w:lang w:bidi="fa-IR"/>
          <w:color w:val="111111"/>
          <w:sz w:val="28"/>
          <w:szCs w:val="28"/>
          <w:rtl/>
        </w:rPr>
        <w:t xml:space="preserve">المولی رضا التبریزی، من تلامیذ الشیخ مهدی الفتونی و الآقا باقر الهزارجریبی و الآقا باقر البهبهانی و توفی حدود (1208) کما أرخه و أطرأه فی (دجا- ص 198) نقلا عن نگارستان دارا و أورد مقدارا من شاهنامه حسینی له و هو والد صدر الدین تبریزی الآتی فی الصاد</w:t>
      </w:r>
    </w:p>
    <w:p>
      <w:pPr>
        <w:pStyle w:val="Heading3"/>
      </w:pPr>
      <w:bookmarkStart w:id="5176" w:name="_Toc3872"/>
      <w:r>
        <w:t>دیوان شفروه‏</w:t>
      </w:r>
      <w:bookmarkEnd w:id="5176"/>
    </w:p>
    <w:p>
      <w:pPr>
        <w:pStyle w:val="BookText"/>
      </w:pPr>
      <w:r>
        <w:rPr>
          <w:rFonts w:ascii="IRNazanin" w:hAnsi="IRNazanin" w:eastAsia="IRNazanin" w:cs="IRNazanin"/>
          <w:lang w:bidi="fa-IR"/>
          <w:color w:val="111111"/>
          <w:sz w:val="28"/>
          <w:szCs w:val="28"/>
          <w:rtl/>
        </w:rPr>
        <w:t xml:space="preserve">راجع ظهیر شفروه‏</w:t>
      </w:r>
    </w:p>
    <w:p>
      <w:pPr>
        <w:pStyle w:val="Heading3"/>
      </w:pPr>
      <w:bookmarkStart w:id="5177" w:name="_Toc3873"/>
      <w:r>
        <w:t>دیوان شفروه‏</w:t>
      </w:r>
      <w:bookmarkEnd w:id="5177"/>
    </w:p>
    <w:p>
      <w:pPr>
        <w:pStyle w:val="BookText"/>
      </w:pPr>
      <w:r>
        <w:rPr>
          <w:rFonts w:ascii="IRNazanin" w:hAnsi="IRNazanin" w:eastAsia="IRNazanin" w:cs="IRNazanin"/>
          <w:lang w:bidi="fa-IR"/>
          <w:color w:val="111111"/>
          <w:sz w:val="28"/>
          <w:szCs w:val="28"/>
          <w:rtl/>
        </w:rPr>
        <w:t xml:space="preserve">راجع شرف شفروه‏</w:t>
      </w:r>
    </w:p>
    <w:p>
      <w:pPr>
        <w:pStyle w:val="Heading3"/>
      </w:pPr>
      <w:bookmarkStart w:id="5178" w:name="_Toc3874"/>
      <w:r>
        <w:t>2944- دیوان شفق أو شعره‏</w:t>
      </w:r>
      <w:bookmarkEnd w:id="5178"/>
    </w:p>
    <w:p>
      <w:pPr>
        <w:pStyle w:val="BookText"/>
      </w:pPr>
      <w:r>
        <w:rPr>
          <w:rFonts w:ascii="IRNazanin" w:hAnsi="IRNazanin" w:eastAsia="IRNazanin" w:cs="IRNazanin"/>
          <w:lang w:bidi="fa-IR"/>
          <w:color w:val="111111"/>
          <w:sz w:val="28"/>
          <w:szCs w:val="28"/>
          <w:rtl/>
        </w:rPr>
        <w:t xml:space="preserve">قال فی (میکده) إنه شاب اسمه المیرزا أحمد بن الملا محمد حسین بن الملا أحمد الکاتب الشهیر بحمص أدرکت والده و جده و کان ماهرا فی الخط</w:t>
      </w:r>
    </w:p>
    <w:p>
      <w:pPr>
        <w:pStyle w:val="Heading3"/>
      </w:pPr>
      <w:bookmarkStart w:id="5179" w:name="_Toc3875"/>
      <w:r>
        <w:t>2945- دیوان شفق قمی أو شعره‏</w:t>
      </w:r>
      <w:bookmarkEnd w:id="5179"/>
    </w:p>
    <w:p>
      <w:pPr>
        <w:pStyle w:val="BookText"/>
      </w:pPr>
      <w:r>
        <w:rPr>
          <w:rFonts w:ascii="IRNazanin" w:hAnsi="IRNazanin" w:eastAsia="IRNazanin" w:cs="IRNazanin"/>
          <w:lang w:bidi="fa-IR"/>
          <w:color w:val="111111"/>
          <w:sz w:val="28"/>
          <w:szCs w:val="28"/>
          <w:rtl/>
        </w:rPr>
        <w:t xml:space="preserve">و اسمه عبد الله جاء فی شبابه إلی أصفهان، و کان یشتغل بالإسکاف نصف یومه و یتعلم فی نصفه الآخر حتی مهر فی الأدب و الشعر فألبسه أصحابه لباس العلم و زار العراق، و مات بأرتیمان کذا ترجمه و أورد شعره معاصره الحزین فی تذکرته (ص 121- 122) و عنه ظاهرا فی علماء گیلان (ص 140)</w:t>
      </w:r>
    </w:p>
    <w:p>
      <w:pPr>
        <w:pStyle w:val="Heading3"/>
      </w:pPr>
      <w:bookmarkStart w:id="5180" w:name="_Toc3876"/>
      <w:r>
        <w:t>2946- دیوان شفیعای أثر</w:t>
      </w:r>
      <w:bookmarkEnd w:id="5180"/>
    </w:p>
    <w:p>
      <w:pPr>
        <w:pStyle w:val="BookText"/>
      </w:pPr>
      <w:r>
        <w:rPr>
          <w:rFonts w:ascii="IRNazanin" w:hAnsi="IRNazanin" w:eastAsia="IRNazanin" w:cs="IRNazanin"/>
          <w:lang w:bidi="fa-IR"/>
          <w:color w:val="111111"/>
          <w:sz w:val="28"/>
          <w:szCs w:val="28"/>
          <w:rtl/>
        </w:rPr>
        <w:t xml:space="preserve">مر مختصرا فی (ص 53) بعنوان أثر لاری قال الحزین فی تذکرته (ص 74- 77) إنه عمی بصره و هو فی التاسعة من عمره و حصل العلم بأصفهان و شیراز و مات بلار و عنه أخذ فی لارستان کهن- ص 148 و قال فی سرو آزاد- ص 142 إن والده کان من قریة پرشگفت، من نواحی شیراز، و ولد هو بشیراز و مات بعد (1120) و ذکره أیضا فی تذکره شوشتر- ص 139 و فارس‏نامه- ج 2 ص 148 و فی (روشن- ص 350) عده طبیبا</w:t>
      </w:r>
    </w:p>
    <w:p>
      <w:pPr>
        <w:pStyle w:val="Heading3"/>
      </w:pPr>
      <w:bookmarkStart w:id="5181" w:name="_Toc3877"/>
      <w:r>
        <w:t>2947- دیوان شفیعای خراسانی أو شعره‏</w:t>
      </w:r>
      <w:bookmarkEnd w:id="5181"/>
    </w:p>
    <w:p>
      <w:pPr>
        <w:pStyle w:val="BookText"/>
      </w:pPr>
      <w:r>
        <w:rPr>
          <w:rFonts w:ascii="IRNazanin" w:hAnsi="IRNazanin" w:eastAsia="IRNazanin" w:cs="IRNazanin"/>
          <w:lang w:bidi="fa-IR"/>
          <w:color w:val="111111"/>
          <w:sz w:val="28"/>
          <w:szCs w:val="28"/>
          <w:rtl/>
        </w:rPr>
        <w:t xml:space="preserve">کان خطاطا ماهرا ترجمه و أورد شعره النصرآبادی فی (نر 9- ص 406) و قال مات (1081) و کذا فی ریاض الشعراء لواله الداغستانی و (روشن- ص 350)</w:t>
      </w:r>
    </w:p>
    <w:p>
      <w:pPr>
        <w:pStyle w:val="Heading3"/>
      </w:pPr>
      <w:bookmarkStart w:id="5182" w:name="_Toc3878"/>
      <w:r>
        <w:t>دیوان شفیعای شیرازی‏</w:t>
      </w:r>
      <w:bookmarkEnd w:id="5182"/>
    </w:p>
    <w:p>
      <w:pPr>
        <w:pStyle w:val="BookText"/>
      </w:pPr>
      <w:r>
        <w:rPr>
          <w:rFonts w:ascii="IRNazanin" w:hAnsi="IRNazanin" w:eastAsia="IRNazanin" w:cs="IRNazanin"/>
          <w:lang w:bidi="fa-IR"/>
          <w:color w:val="111111"/>
          <w:sz w:val="28"/>
          <w:szCs w:val="28"/>
          <w:rtl/>
        </w:rPr>
        <w:t xml:space="preserve">مر بعنوان شفیعای أثر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525" w:name="pg11704_122008"/>
    <w:bookmarkEnd w:id="525"/>
    <w:p>
      <w:pPr>
        <w:pStyle w:val="Heading3"/>
      </w:pPr>
      <w:bookmarkStart w:id="5183" w:name="_Toc3879"/>
      <w:r>
        <w:t>دیوان شفیعای لاری‏</w:t>
      </w:r>
      <w:bookmarkEnd w:id="5183"/>
    </w:p>
    <w:p>
      <w:pPr>
        <w:pStyle w:val="BookText"/>
      </w:pPr>
      <w:r>
        <w:rPr>
          <w:rFonts w:ascii="IRNazanin" w:hAnsi="IRNazanin" w:eastAsia="IRNazanin" w:cs="IRNazanin"/>
          <w:lang w:bidi="fa-IR"/>
          <w:color w:val="111111"/>
          <w:sz w:val="28"/>
          <w:szCs w:val="28"/>
          <w:rtl/>
        </w:rPr>
        <w:t xml:space="preserve">مر بعنوان شفیعای أثر</w:t>
      </w:r>
    </w:p>
    <w:p>
      <w:pPr>
        <w:pStyle w:val="Heading3"/>
      </w:pPr>
      <w:bookmarkStart w:id="5184" w:name="_Toc3880"/>
      <w:r>
        <w:t>2948- دیوان شفیعای هروی أو شعره‏</w:t>
      </w:r>
      <w:bookmarkEnd w:id="5184"/>
    </w:p>
    <w:p>
      <w:pPr>
        <w:pStyle w:val="BookText"/>
      </w:pPr>
      <w:r>
        <w:rPr>
          <w:rFonts w:ascii="IRNazanin" w:hAnsi="IRNazanin" w:eastAsia="IRNazanin" w:cs="IRNazanin"/>
          <w:lang w:bidi="fa-IR"/>
          <w:color w:val="111111"/>
          <w:sz w:val="28"/>
          <w:szCs w:val="28"/>
          <w:rtl/>
        </w:rPr>
        <w:t xml:space="preserve">و اسمه محمد شفیع الحسینی من سادات هرات کان ماهرا فی الخط الشکستة و باسمه اشتهر خط شفیعائی سافر إلی الهند و رجع و سکن مدة أصفهان، و مات عن خمس و ثمانین سنة و دفن بمشهد قال فی نمونه خطوط شاهنشاهی- ص 286 إنه رأی توقیعاته بتواریخ (1086) و 1092) و 1124 و 1128 فهو غیر شفیعای خراسانی المتوفی (1081) کما مر عن واله و النصرآبادی و أظنه الذی سماه فی (تغ- ص 74) شفیع بخاری‏</w:t>
      </w:r>
    </w:p>
    <w:p>
      <w:pPr>
        <w:pStyle w:val="Heading3"/>
      </w:pPr>
      <w:bookmarkStart w:id="5185" w:name="_Toc3881"/>
      <w:r>
        <w:t>دیوان شفیع بخاری‏</w:t>
      </w:r>
      <w:bookmarkEnd w:id="5185"/>
    </w:p>
    <w:p>
      <w:pPr>
        <w:pStyle w:val="BookText"/>
      </w:pPr>
      <w:r>
        <w:rPr>
          <w:rFonts w:ascii="IRNazanin" w:hAnsi="IRNazanin" w:eastAsia="IRNazanin" w:cs="IRNazanin"/>
          <w:lang w:bidi="fa-IR"/>
          <w:color w:val="111111"/>
          <w:sz w:val="28"/>
          <w:szCs w:val="28"/>
          <w:rtl/>
        </w:rPr>
        <w:t xml:space="preserve">راجع شفیعای هروی‏</w:t>
      </w:r>
    </w:p>
    <w:p>
      <w:pPr>
        <w:pStyle w:val="Heading3"/>
      </w:pPr>
      <w:bookmarkStart w:id="5186" w:name="_Toc3882"/>
      <w:r>
        <w:t>2949- دیوان میرزا شفیع تبریزی أو شعره‏</w:t>
      </w:r>
      <w:bookmarkEnd w:id="5186"/>
    </w:p>
    <w:p>
      <w:pPr>
        <w:pStyle w:val="BookText"/>
      </w:pPr>
      <w:r>
        <w:rPr>
          <w:rFonts w:ascii="IRNazanin" w:hAnsi="IRNazanin" w:eastAsia="IRNazanin" w:cs="IRNazanin"/>
          <w:lang w:bidi="fa-IR"/>
          <w:color w:val="111111"/>
          <w:sz w:val="28"/>
          <w:szCs w:val="28"/>
          <w:rtl/>
        </w:rPr>
        <w:t xml:space="preserve">هو ابن شریف خان بن ملک محمد بیک التبریزی الأصفهانی ترجمه معاصره النصرآبادی فی (نر 5- ص 131) و ذکر أشغاله فی دوائر الدولة الصفویة و إنه أخیرا کان وکیل فتح علی خان حاکم تستر، و أورد کثیرا من شعره الرباعیات‏</w:t>
      </w:r>
    </w:p>
    <w:p>
      <w:pPr>
        <w:pStyle w:val="Heading3"/>
      </w:pPr>
      <w:bookmarkStart w:id="5187" w:name="_Toc3883"/>
      <w:r>
        <w:t>2950- دیوان محمد شفیع رشتی أو شعره‏</w:t>
      </w:r>
      <w:bookmarkEnd w:id="5187"/>
    </w:p>
    <w:p>
      <w:pPr>
        <w:pStyle w:val="BookText"/>
      </w:pPr>
      <w:r>
        <w:rPr>
          <w:rFonts w:ascii="IRNazanin" w:hAnsi="IRNazanin" w:eastAsia="IRNazanin" w:cs="IRNazanin"/>
          <w:lang w:bidi="fa-IR"/>
          <w:color w:val="111111"/>
          <w:sz w:val="28"/>
          <w:szCs w:val="28"/>
          <w:rtl/>
        </w:rPr>
        <w:t xml:space="preserve">من التجار برشت و کان حیا عند تألیف النصرآبادی، فذکره فی (نر 9- ص 379) و أورد شعره‏</w:t>
      </w:r>
    </w:p>
    <w:p>
      <w:pPr>
        <w:pStyle w:val="Heading3"/>
      </w:pPr>
      <w:bookmarkStart w:id="5188" w:name="_Toc3884"/>
      <w:r>
        <w:t>دیوان شفیع شیرازی‏</w:t>
      </w:r>
      <w:bookmarkEnd w:id="5188"/>
    </w:p>
    <w:p>
      <w:pPr>
        <w:pStyle w:val="BookText"/>
      </w:pPr>
      <w:r>
        <w:rPr>
          <w:rFonts w:ascii="IRNazanin" w:hAnsi="IRNazanin" w:eastAsia="IRNazanin" w:cs="IRNazanin"/>
          <w:lang w:bidi="fa-IR"/>
          <w:color w:val="111111"/>
          <w:sz w:val="28"/>
          <w:szCs w:val="28"/>
          <w:rtl/>
        </w:rPr>
        <w:t xml:space="preserve">راجع دیوان عشرت شیرازی بن وصال‏</w:t>
      </w:r>
    </w:p>
    <w:p>
      <w:pPr>
        <w:pStyle w:val="Heading3"/>
      </w:pPr>
      <w:bookmarkStart w:id="5189" w:name="_Toc3885"/>
      <w:r>
        <w:t>2951- دیوان شفیع قزوینی أو شعره‏</w:t>
      </w:r>
      <w:bookmarkEnd w:id="5189"/>
    </w:p>
    <w:p>
      <w:pPr>
        <w:pStyle w:val="BookText"/>
      </w:pPr>
      <w:r>
        <w:rPr>
          <w:rFonts w:ascii="IRNazanin" w:hAnsi="IRNazanin" w:eastAsia="IRNazanin" w:cs="IRNazanin"/>
          <w:lang w:bidi="fa-IR"/>
          <w:color w:val="111111"/>
          <w:sz w:val="28"/>
          <w:szCs w:val="28"/>
          <w:rtl/>
        </w:rPr>
        <w:t xml:space="preserve">و هو المولی محمد شفیع الواعظ ابن المولی محمد رفیع الواعظ القزوینی الجیلانی، صاحب أبواب الجنان الذی توفی (1089) و کان تخلصه واعظ و ابنه محمد شفیع هذا له تتمیم أبواب الجنان کما مر فی (ج 3 ص 336) و تحدیق النظر المذکور فی (ج 3 ص 376) و ترجمه النصرآبادی فی (نر 6- ص 173) و صرح بأنه ابن الواعظ، و الولد سر أبیه، و إنه وعظ فی مسجد الحکیم بأصفهان فی (1077) و أورد بعض شعره، و لم یشر إلی تخلصه و انما صرح بتخلص والده واعظ کما یأتی و أورد شعره فی (گلشن- ص 225)</w:t>
      </w:r>
    </w:p>
    <w:p>
      <w:pPr>
        <w:pStyle w:val="Heading3"/>
      </w:pPr>
      <w:bookmarkStart w:id="5190" w:name="_Toc3886"/>
      <w:r>
        <w:t>2952- دیوان شفیع مازندرانی أو شعره‏</w:t>
      </w:r>
      <w:bookmarkEnd w:id="5190"/>
    </w:p>
    <w:p>
      <w:pPr>
        <w:pStyle w:val="BookText"/>
      </w:pPr>
      <w:r>
        <w:rPr>
          <w:rFonts w:ascii="IRNazanin" w:hAnsi="IRNazanin" w:eastAsia="IRNazanin" w:cs="IRNazanin"/>
          <w:lang w:bidi="fa-IR"/>
          <w:color w:val="111111"/>
          <w:sz w:val="28"/>
          <w:szCs w:val="28"/>
          <w:rtl/>
        </w:rPr>
        <w:t xml:space="preserve">و هو المیر محمد شفیع من سادات مازندران المشهورین بعلاقه‏بند ترجمه النصرآبادی فی (نر 4- ص 71) و ذکر بعد الإطراء علی فضله: أنه کان فی إشغال الدولة و کان مستوفیا للأوقاف و فی أیام عزله ألف تاریخا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526" w:name="pg11704_122009"/>
    <w:bookmarkEnd w:id="526"/>
    <w:p>
      <w:pPr>
        <w:pStyle w:val="BookText"/>
      </w:pPr>
      <w:r>
        <w:rPr>
          <w:rFonts w:ascii="IRNazanin" w:hAnsi="IRNazanin" w:eastAsia="IRNazanin" w:cs="IRNazanin"/>
          <w:lang w:bidi="fa-IR"/>
          <w:color w:val="111111"/>
          <w:sz w:val="28"/>
          <w:szCs w:val="28"/>
          <w:rtl/>
        </w:rPr>
        <w:t xml:space="preserve">عاما من أول الخلقة إلی عصر الشاه سلیمان الصفوی یقرب من ثلاثمائة ألف بیت کتابه و قد ینظم الشعر، و ذکر بعضه و ترجمه أیضا فی (خوش‏گو) و (تغ- ص 76) و (روشن ص 350)</w:t>
      </w:r>
    </w:p>
    <w:p>
      <w:pPr>
        <w:pStyle w:val="Heading3"/>
      </w:pPr>
      <w:bookmarkStart w:id="5191" w:name="_Toc3887"/>
      <w:r>
        <w:t>2953- دیوان شفیعی أردوبادی أو شعره‏</w:t>
      </w:r>
      <w:bookmarkEnd w:id="5191"/>
    </w:p>
    <w:p>
      <w:pPr>
        <w:pStyle w:val="BookText"/>
      </w:pPr>
      <w:r>
        <w:rPr>
          <w:rFonts w:ascii="IRNazanin" w:hAnsi="IRNazanin" w:eastAsia="IRNazanin" w:cs="IRNazanin"/>
          <w:lang w:bidi="fa-IR"/>
          <w:color w:val="111111"/>
          <w:sz w:val="28"/>
          <w:szCs w:val="28"/>
          <w:rtl/>
        </w:rPr>
        <w:t xml:space="preserve">و اسمه ضیاء الدین صاحب شرح معمیات المیر حسین النیشابوری الآتی بعنوان شفیعی نیشابوری ذکره فی کشف الظنون و جاء فی الطبعة الأولی بأستانبول شفیعی بدل شفیعی و لعله هو الذی عده القزوینی فیما زاده علی مجالس النفائس فی (مجن 6- ص 306) بعنوان شفیقی من شعراء السلطان یعقوب آق‏قوینلو</w:t>
      </w:r>
    </w:p>
    <w:p>
      <w:pPr>
        <w:pStyle w:val="Heading3"/>
      </w:pPr>
      <w:bookmarkStart w:id="5192" w:name="_Toc3888"/>
      <w:r>
        <w:t>2954- دیوان شفیعی أصفهانی‏</w:t>
      </w:r>
      <w:bookmarkEnd w:id="5192"/>
    </w:p>
    <w:p>
      <w:pPr>
        <w:pStyle w:val="BookText"/>
      </w:pPr>
      <w:r>
        <w:rPr>
          <w:rFonts w:ascii="IRNazanin" w:hAnsi="IRNazanin" w:eastAsia="IRNazanin" w:cs="IRNazanin"/>
          <w:lang w:bidi="fa-IR"/>
          <w:color w:val="111111"/>
          <w:sz w:val="28"/>
          <w:szCs w:val="28"/>
          <w:rtl/>
        </w:rPr>
        <w:t xml:space="preserve">حسین بن علی بن محمد شفیع ولد بأصفهان (1331) له شرح خطبة الهمام و شرح وصیت‏نامه علی علیه السلام  و لوامع العرفان نظما بالعربیة و دیوان شعره هذا ترجمه و أورد شعره فی (شعرای معاصر أصفهان- ص 270)</w:t>
      </w:r>
    </w:p>
    <w:p>
      <w:pPr>
        <w:pStyle w:val="Heading3"/>
      </w:pPr>
      <w:bookmarkStart w:id="5193" w:name="_Toc3889"/>
      <w:r>
        <w:t>2955- دیوان شفیعی أصفهانی‏</w:t>
      </w:r>
      <w:bookmarkEnd w:id="5193"/>
    </w:p>
    <w:p>
      <w:pPr>
        <w:pStyle w:val="BookText"/>
      </w:pPr>
      <w:r>
        <w:rPr>
          <w:rFonts w:ascii="IRNazanin" w:hAnsi="IRNazanin" w:eastAsia="IRNazanin" w:cs="IRNazanin"/>
          <w:lang w:bidi="fa-IR"/>
          <w:color w:val="111111"/>
          <w:sz w:val="28"/>
          <w:szCs w:val="28"/>
          <w:rtl/>
        </w:rPr>
        <w:t xml:space="preserve">السید محمد بن أحمد ولد بأصفهان (1299 ش) له در راه میهن و شرح حال خواجه نصیر الدین طوسی و أمواج إحساسات و مفسرین شیعة ترجمه و أورد شعره البرقعی فی سخنوران نامی معاصر- ج 2- ص 174 و فی شعرای معاصر أصفهان (ص 271)</w:t>
      </w:r>
    </w:p>
    <w:p>
      <w:pPr>
        <w:pStyle w:val="Heading3"/>
      </w:pPr>
      <w:bookmarkStart w:id="5194" w:name="_Toc3890"/>
      <w:r>
        <w:t>2956- دیوان شفیعی بخارائی أو شعره‏</w:t>
      </w:r>
      <w:bookmarkEnd w:id="5194"/>
    </w:p>
    <w:p>
      <w:pPr>
        <w:pStyle w:val="BookText"/>
      </w:pPr>
      <w:r>
        <w:rPr>
          <w:rFonts w:ascii="IRNazanin" w:hAnsi="IRNazanin" w:eastAsia="IRNazanin" w:cs="IRNazanin"/>
          <w:lang w:bidi="fa-IR"/>
          <w:color w:val="111111"/>
          <w:sz w:val="28"/>
          <w:szCs w:val="28"/>
          <w:rtl/>
        </w:rPr>
        <w:t xml:space="preserve">کان فی خدمة إمام قلی خان سلطان بخارا و بها توفی ترجمه معاصره النصرآبادی فی (نر 10- ص 436) و کذا فی (خوش‏گو)</w:t>
      </w:r>
    </w:p>
    <w:p>
      <w:pPr>
        <w:pStyle w:val="Heading3"/>
      </w:pPr>
      <w:bookmarkStart w:id="5195" w:name="_Toc3891"/>
      <w:r>
        <w:t>2957- دیوان شفیعی گیلانی أو شعره‏</w:t>
      </w:r>
      <w:bookmarkEnd w:id="5195"/>
    </w:p>
    <w:p>
      <w:pPr>
        <w:pStyle w:val="BookText"/>
      </w:pPr>
      <w:r>
        <w:rPr>
          <w:rFonts w:ascii="IRNazanin" w:hAnsi="IRNazanin" w:eastAsia="IRNazanin" w:cs="IRNazanin"/>
          <w:lang w:bidi="fa-IR"/>
          <w:color w:val="111111"/>
          <w:sz w:val="28"/>
          <w:szCs w:val="28"/>
          <w:rtl/>
        </w:rPr>
        <w:t xml:space="preserve">ترجمه النصرآبادی فی (نر 9- ص 376) و قال کان مدة فی أصفهان ثم رجع إلی گیلان و بها توفی و أورد له مطلع غزلین من شعره، و عنه أخذ ظاهرا فی شعراء گیلان (ص 87)</w:t>
      </w:r>
    </w:p>
    <w:p>
      <w:pPr>
        <w:pStyle w:val="Heading3"/>
      </w:pPr>
      <w:bookmarkStart w:id="5196" w:name="_Toc3892"/>
      <w:r>
        <w:t>2958- دیوان شفیعی مشهدی أو شعره‏</w:t>
      </w:r>
      <w:bookmarkEnd w:id="5196"/>
    </w:p>
    <w:p>
      <w:pPr>
        <w:pStyle w:val="BookText"/>
      </w:pPr>
      <w:r>
        <w:rPr>
          <w:rFonts w:ascii="IRNazanin" w:hAnsi="IRNazanin" w:eastAsia="IRNazanin" w:cs="IRNazanin"/>
          <w:lang w:bidi="fa-IR"/>
          <w:color w:val="111111"/>
          <w:sz w:val="28"/>
          <w:szCs w:val="28"/>
          <w:rtl/>
        </w:rPr>
        <w:t xml:space="preserve">ترجمه سام میرزا فی (تس 5- ص 172) و أورد شعره‏</w:t>
      </w:r>
    </w:p>
    <w:p>
      <w:pPr>
        <w:pStyle w:val="Heading3"/>
      </w:pPr>
      <w:bookmarkStart w:id="5197" w:name="_Toc3893"/>
      <w:r>
        <w:t>2959- دیوان شفیعی نیشابوری‏</w:t>
      </w:r>
      <w:bookmarkEnd w:id="5197"/>
    </w:p>
    <w:p>
      <w:pPr>
        <w:pStyle w:val="BookText"/>
      </w:pPr>
      <w:r>
        <w:rPr>
          <w:rFonts w:ascii="IRNazanin" w:hAnsi="IRNazanin" w:eastAsia="IRNazanin" w:cs="IRNazanin"/>
          <w:lang w:bidi="fa-IR"/>
          <w:color w:val="111111"/>
          <w:sz w:val="28"/>
          <w:szCs w:val="28"/>
          <w:rtl/>
        </w:rPr>
        <w:t xml:space="preserve">و هو المیر حسین بن محمد الحسینی المعمائی النیشابوری المتوفی (904) تلمیذ عبد الرحمن الجامی و قد قال الجامی فی حقه: لو علمت أن المیر حسین سیوصل بالمعمی إلی هذا الحد لما أقدمت علیه له رسالة فی المعمی‏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527" w:name="pg11704_122010"/>
    <w:bookmarkEnd w:id="527"/>
    <w:p>
      <w:pPr>
        <w:pStyle w:val="BookText"/>
      </w:pPr>
      <w:r>
        <w:rPr>
          <w:rFonts w:ascii="IRNazanin" w:hAnsi="IRNazanin" w:eastAsia="IRNazanin" w:cs="IRNazanin"/>
          <w:lang w:bidi="fa-IR"/>
          <w:color w:val="111111"/>
          <w:sz w:val="28"/>
          <w:szCs w:val="28"/>
          <w:rtl/>
        </w:rPr>
        <w:t xml:space="preserve">و فی مقدمته غزل فی مدح المیر علی شیر النوائی، یتخلص فیه شفیعی ذکر الرسالة فی کشف الظنون فی حرف المیم و ذکر له عدة شروح و توجد له شرحان فی مکتبة جامعة طهران کما ذکر فی فهرسها (ج 2- ص 401- 405) أوله:</w:t>
      </w:r>
    </w:p>
    <w:p>
      <w:pPr>
        <w:pStyle w:val="BookText"/>
      </w:pPr>
      <w:r>
        <w:rPr>
          <w:rFonts w:ascii="IRNazanin" w:hAnsi="IRNazanin" w:eastAsia="IRNazanin" w:cs="IRNazanin"/>
          <w:lang w:bidi="fa-IR"/>
          <w:color w:val="111111"/>
          <w:sz w:val="28"/>
          <w:szCs w:val="28"/>
          <w:rtl/>
        </w:rPr>
        <w:t xml:space="preserve">به نام آنکه از تألیف و ترکیب‏</w:t>
      </w:r>
    </w:p>
    <w:p>
      <w:pPr>
        <w:pStyle w:val="BookText"/>
      </w:pPr>
      <w:r>
        <w:rPr>
          <w:rFonts w:ascii="IRNazanin" w:hAnsi="IRNazanin" w:eastAsia="IRNazanin" w:cs="IRNazanin"/>
          <w:lang w:bidi="fa-IR"/>
          <w:color w:val="111111"/>
          <w:sz w:val="28"/>
          <w:szCs w:val="28"/>
          <w:rtl/>
        </w:rPr>
        <w:t xml:space="preserve">معمای جهان را داد ترتیب‏</w:t>
      </w:r>
    </w:p>
    <w:p>
      <w:pPr>
        <w:pStyle w:val="BookText"/>
      </w:pPr>
      <w:r>
        <w:rPr>
          <w:rFonts w:ascii="IRNazanin" w:hAnsi="IRNazanin" w:eastAsia="IRNazanin" w:cs="IRNazanin"/>
          <w:lang w:bidi="fa-IR"/>
          <w:color w:val="111111"/>
          <w:sz w:val="28"/>
          <w:szCs w:val="28"/>
          <w:rtl/>
        </w:rPr>
        <w:t xml:space="preserve">و رأیت مثنوی فی أسماء الله الحسنی بالمعمی فی (62 بیتا) أظنه لهذا الرجل و ذلک عند السید حسین الشهشهانی الأصفهانی بطهران آخره:</w:t>
      </w:r>
    </w:p>
    <w:p>
      <w:pPr>
        <w:pStyle w:val="BookText"/>
      </w:pPr>
      <w:r>
        <w:rPr>
          <w:rFonts w:ascii="IRNazanin" w:hAnsi="IRNazanin" w:eastAsia="IRNazanin" w:cs="IRNazanin"/>
          <w:lang w:bidi="fa-IR"/>
          <w:color w:val="111111"/>
          <w:sz w:val="28"/>
          <w:szCs w:val="28"/>
          <w:rtl/>
        </w:rPr>
        <w:t xml:space="preserve">سوی فضلت چون شفیعی راست روی‏</w:t>
      </w:r>
    </w:p>
    <w:p>
      <w:pPr>
        <w:pStyle w:val="BookText"/>
      </w:pPr>
      <w:r>
        <w:rPr>
          <w:rFonts w:ascii="IRNazanin" w:hAnsi="IRNazanin" w:eastAsia="IRNazanin" w:cs="IRNazanin"/>
          <w:lang w:bidi="fa-IR"/>
          <w:color w:val="111111"/>
          <w:sz w:val="28"/>
          <w:szCs w:val="28"/>
          <w:rtl/>
        </w:rPr>
        <w:t xml:space="preserve">آخر از جود تو دارد گفتگوی‏</w:t>
      </w:r>
    </w:p>
    <w:p>
      <w:pPr>
        <w:pStyle w:val="BookText"/>
      </w:pPr>
      <w:r>
        <w:rPr>
          <w:rFonts w:ascii="IRNazanin" w:hAnsi="IRNazanin" w:eastAsia="IRNazanin" w:cs="IRNazanin"/>
          <w:lang w:bidi="fa-IR"/>
          <w:color w:val="111111"/>
          <w:sz w:val="28"/>
          <w:szCs w:val="28"/>
          <w:rtl/>
        </w:rPr>
        <w:t xml:space="preserve">و قد ترجم بهذا العنوان فی (روشن- ص 351)</w:t>
      </w:r>
    </w:p>
    <w:p>
      <w:pPr>
        <w:pStyle w:val="Heading3"/>
      </w:pPr>
      <w:bookmarkStart w:id="5198" w:name="_Toc3894"/>
      <w:r>
        <w:t>2960- دیوان شفیق‏</w:t>
      </w:r>
      <w:bookmarkEnd w:id="5198"/>
    </w:p>
    <w:p>
      <w:pPr>
        <w:pStyle w:val="BookText"/>
      </w:pPr>
      <w:r>
        <w:rPr>
          <w:rFonts w:ascii="IRNazanin" w:hAnsi="IRNazanin" w:eastAsia="IRNazanin" w:cs="IRNazanin"/>
          <w:lang w:bidi="fa-IR"/>
          <w:color w:val="111111"/>
          <w:sz w:val="28"/>
          <w:szCs w:val="28"/>
          <w:rtl/>
        </w:rPr>
        <w:t xml:space="preserve">للحاج الشیخ علی أکبر المروج الکرمانی نزیل مشهد خراسان المعاصر المؤلف ل نفائس اللباب المأخوذ من ألفی کتاب موجود عنده‏</w:t>
      </w:r>
    </w:p>
    <w:p>
      <w:pPr>
        <w:pStyle w:val="Heading3"/>
      </w:pPr>
      <w:bookmarkStart w:id="5199" w:name="_Toc3895"/>
      <w:r>
        <w:t>دیوان شفیهنی‏</w:t>
      </w:r>
      <w:bookmarkEnd w:id="5199"/>
    </w:p>
    <w:p>
      <w:pPr>
        <w:pStyle w:val="BookText"/>
      </w:pPr>
      <w:r>
        <w:rPr>
          <w:rFonts w:ascii="IRNazanin" w:hAnsi="IRNazanin" w:eastAsia="IRNazanin" w:cs="IRNazanin"/>
          <w:lang w:bidi="fa-IR"/>
          <w:color w:val="111111"/>
          <w:sz w:val="28"/>
          <w:szCs w:val="28"/>
          <w:rtl/>
        </w:rPr>
        <w:t xml:space="preserve">یأتی بعنوان شهیفنی‏</w:t>
      </w:r>
    </w:p>
    <w:p>
      <w:pPr>
        <w:pStyle w:val="Heading3"/>
      </w:pPr>
      <w:bookmarkStart w:id="5200" w:name="_Toc3896"/>
      <w:r>
        <w:t>دیوان شفیقی أردوبادی‏</w:t>
      </w:r>
      <w:bookmarkEnd w:id="5200"/>
    </w:p>
    <w:p>
      <w:pPr>
        <w:pStyle w:val="BookText"/>
      </w:pPr>
      <w:r>
        <w:rPr>
          <w:rFonts w:ascii="IRNazanin" w:hAnsi="IRNazanin" w:eastAsia="IRNazanin" w:cs="IRNazanin"/>
          <w:lang w:bidi="fa-IR"/>
          <w:color w:val="111111"/>
          <w:sz w:val="28"/>
          <w:szCs w:val="28"/>
          <w:rtl/>
        </w:rPr>
        <w:t xml:space="preserve">راجع شفیعی أردوبادی‏</w:t>
      </w:r>
    </w:p>
    <w:p>
      <w:pPr>
        <w:pStyle w:val="Heading3"/>
      </w:pPr>
      <w:bookmarkStart w:id="5201" w:name="_Toc3897"/>
      <w:r>
        <w:t>2961- دیوان شفیقی گیلانی أو شعره‏</w:t>
      </w:r>
      <w:bookmarkEnd w:id="5201"/>
    </w:p>
    <w:p>
      <w:pPr>
        <w:pStyle w:val="BookText"/>
      </w:pPr>
      <w:r>
        <w:rPr>
          <w:rFonts w:ascii="IRNazanin" w:hAnsi="IRNazanin" w:eastAsia="IRNazanin" w:cs="IRNazanin"/>
          <w:lang w:bidi="fa-IR"/>
          <w:color w:val="111111"/>
          <w:sz w:val="28"/>
          <w:szCs w:val="28"/>
          <w:rtl/>
        </w:rPr>
        <w:t xml:space="preserve">أورد شعره فی (گلشن- ص 225)</w:t>
      </w:r>
    </w:p>
    <w:p>
      <w:pPr>
        <w:pStyle w:val="Heading3"/>
      </w:pPr>
      <w:bookmarkStart w:id="5202" w:name="_Toc3898"/>
      <w:r>
        <w:t>2962- دیوان شقاقی تبریزی‏</w:t>
      </w:r>
      <w:bookmarkEnd w:id="5202"/>
    </w:p>
    <w:p>
      <w:pPr>
        <w:pStyle w:val="BookText"/>
      </w:pPr>
      <w:r>
        <w:rPr>
          <w:rFonts w:ascii="IRNazanin" w:hAnsi="IRNazanin" w:eastAsia="IRNazanin" w:cs="IRNazanin"/>
          <w:lang w:bidi="fa-IR"/>
          <w:color w:val="111111"/>
          <w:sz w:val="28"/>
          <w:szCs w:val="28"/>
          <w:rtl/>
        </w:rPr>
        <w:t xml:space="preserve">و اسمه مهدی بیگ من طائفة إسپرلو بسراب تبریز کان هجاء هتاکا ذهب إلی أصفهان و مات بها فی (1214) ترجمه و أورد شعره فی (مع 2- ص 488)</w:t>
      </w:r>
    </w:p>
    <w:p>
      <w:pPr>
        <w:pStyle w:val="Heading3"/>
      </w:pPr>
      <w:bookmarkStart w:id="5203" w:name="_Toc3899"/>
      <w:r>
        <w:t>دیوان شقیق بلخی أو شعره‏</w:t>
      </w:r>
      <w:bookmarkEnd w:id="5203"/>
    </w:p>
    <w:p>
      <w:pPr>
        <w:pStyle w:val="BookText"/>
      </w:pPr>
      <w:r>
        <w:rPr>
          <w:rFonts w:ascii="IRNazanin" w:hAnsi="IRNazanin" w:eastAsia="IRNazanin" w:cs="IRNazanin"/>
          <w:lang w:bidi="fa-IR"/>
          <w:color w:val="111111"/>
          <w:sz w:val="28"/>
          <w:szCs w:val="28"/>
          <w:rtl/>
        </w:rPr>
        <w:t xml:space="preserve">نسبت إلیه رباعیة فارسیة فی (لس- ص 126) و (تش- ص 304) و (مع 1 ص 304) و (ض- ص 156) و لکنه لیست له لأنه توفی فی النصف الأخیر من القرن الثانی، کما ترجمه ابن خلکان، و فی (النفحات- ص 51) و فی الروضات (ص 328) و غیرها</w:t>
      </w:r>
    </w:p>
    <w:p>
      <w:pPr>
        <w:pStyle w:val="Heading3"/>
      </w:pPr>
      <w:bookmarkStart w:id="5204" w:name="_Toc3900"/>
      <w:r>
        <w:t>2963- دیوان شکر</w:t>
      </w:r>
      <w:bookmarkEnd w:id="5204"/>
    </w:p>
    <w:p>
      <w:pPr>
        <w:pStyle w:val="BookText"/>
      </w:pPr>
      <w:r>
        <w:rPr>
          <w:rFonts w:ascii="IRNazanin" w:hAnsi="IRNazanin" w:eastAsia="IRNazanin" w:cs="IRNazanin"/>
          <w:lang w:bidi="fa-IR"/>
          <w:color w:val="111111"/>
          <w:sz w:val="28"/>
          <w:szCs w:val="28"/>
          <w:rtl/>
        </w:rPr>
        <w:t xml:space="preserve">للشیخ عبد الحسین شکر الشاعر النجفی الذی سافر إلی إیران و توفی بطهران (1285) و ذلک فی حیاة والده کما ذکره السماوی فی الطلیعة و ذکر شعره و هو ابن الشیخ أحمد شکر الذی کتب إجازته للمیرزا بهاء الدین نظام الدولة فی النجف (1286) و قد رأیت بخطه مجلدا کبیرا عند أحفاده سماه بکشکول و نسبه علی ما فی الطلیعة هکذا: الشیخ أحمد بن الحاج حسین بن محمد بن شکر بن محمود البرزچی‏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528" w:name="pg11704_122011"/>
    <w:bookmarkEnd w:id="528"/>
    <w:p>
      <w:pPr>
        <w:pStyle w:val="BookText"/>
      </w:pPr>
      <w:r>
        <w:rPr>
          <w:rFonts w:ascii="IRNazanin" w:hAnsi="IRNazanin" w:eastAsia="IRNazanin" w:cs="IRNazanin"/>
          <w:lang w:bidi="fa-IR"/>
          <w:color w:val="111111"/>
          <w:sz w:val="28"/>
          <w:szCs w:val="28"/>
          <w:rtl/>
        </w:rPr>
        <w:t xml:space="preserve">الجباوی النجفی و له أیضا زینة الأعیاد ینقل عنه شیخنا فی دار السلام و یروی عنه أیضا المیرزا محمد تقی المامقانی فی صحیفة الأبرار و ذکر أنه یروی عن السید کاظم الرشتی‏</w:t>
      </w:r>
    </w:p>
    <w:p>
      <w:pPr>
        <w:pStyle w:val="Heading3"/>
      </w:pPr>
      <w:bookmarkStart w:id="5205" w:name="_Toc3901"/>
      <w:r>
        <w:t>2964- دیوان شکر</w:t>
      </w:r>
      <w:bookmarkEnd w:id="5205"/>
    </w:p>
    <w:p>
      <w:pPr>
        <w:pStyle w:val="BookText"/>
      </w:pPr>
      <w:r>
        <w:rPr>
          <w:rFonts w:ascii="IRNazanin" w:hAnsi="IRNazanin" w:eastAsia="IRNazanin" w:cs="IRNazanin"/>
          <w:lang w:bidi="fa-IR"/>
          <w:color w:val="111111"/>
          <w:sz w:val="28"/>
          <w:szCs w:val="28"/>
          <w:rtl/>
        </w:rPr>
        <w:t xml:space="preserve">للشاعر الأدیب الذی رأیت بخطه بعض أشعاره فی ظهر الکشکول الذی بخط الشیخ أحمد شکر، و إمضاء الشاعر مرتضی شکر، و لعله أخ عبد الحسین شکر المترجم فی الطلیعة و المذکور آنفا</w:t>
      </w:r>
    </w:p>
    <w:p>
      <w:pPr>
        <w:pStyle w:val="Heading3"/>
      </w:pPr>
      <w:bookmarkStart w:id="5206" w:name="_Toc3902"/>
      <w:r>
        <w:t>2965- دیوان شکر ریز أو شعره‏</w:t>
      </w:r>
      <w:bookmarkEnd w:id="5206"/>
    </w:p>
    <w:p>
      <w:pPr>
        <w:pStyle w:val="BookText"/>
      </w:pPr>
      <w:r>
        <w:rPr>
          <w:rFonts w:ascii="IRNazanin" w:hAnsi="IRNazanin" w:eastAsia="IRNazanin" w:cs="IRNazanin"/>
          <w:lang w:bidi="fa-IR"/>
          <w:color w:val="111111"/>
          <w:sz w:val="28"/>
          <w:szCs w:val="28"/>
          <w:rtl/>
        </w:rPr>
        <w:t xml:space="preserve">کان قنادا و أخذ تخلصه من شغله ترجمه و أورد شعره فی میکده‏</w:t>
      </w:r>
    </w:p>
    <w:p>
      <w:pPr>
        <w:pStyle w:val="Heading3"/>
      </w:pPr>
      <w:bookmarkStart w:id="5207" w:name="_Toc3903"/>
      <w:r>
        <w:t>2966- دیوان شکر گنج‏</w:t>
      </w:r>
      <w:bookmarkEnd w:id="5207"/>
    </w:p>
    <w:p>
      <w:pPr>
        <w:pStyle w:val="BookText"/>
      </w:pPr>
      <w:r>
        <w:rPr>
          <w:rFonts w:ascii="IRNazanin" w:hAnsi="IRNazanin" w:eastAsia="IRNazanin" w:cs="IRNazanin"/>
          <w:lang w:bidi="fa-IR"/>
          <w:color w:val="111111"/>
          <w:sz w:val="28"/>
          <w:szCs w:val="28"/>
          <w:rtl/>
        </w:rPr>
        <w:t xml:space="preserve">الشیخ فرید الدین الهندی، مرید نظام الدین أولیاء بدهلی ترجمه و أورد شعره فی (تش- ص 349) و قال سنگلاخ فی امتحان الفضلاء ج 1- ص 292 إنی رأیت شعره بخط إبراهیم بن المیر عماد</w:t>
      </w:r>
    </w:p>
    <w:p>
      <w:pPr>
        <w:pStyle w:val="Heading3"/>
      </w:pPr>
      <w:bookmarkStart w:id="5208" w:name="_Toc3904"/>
      <w:r>
        <w:t>دیوان شکر المذاقین‏</w:t>
      </w:r>
      <w:bookmarkEnd w:id="5208"/>
    </w:p>
    <w:p>
      <w:pPr>
        <w:pStyle w:val="BookText"/>
      </w:pPr>
      <w:r>
        <w:rPr>
          <w:rFonts w:ascii="IRNazanin" w:hAnsi="IRNazanin" w:eastAsia="IRNazanin" w:cs="IRNazanin"/>
          <w:lang w:bidi="fa-IR"/>
          <w:color w:val="111111"/>
          <w:sz w:val="28"/>
          <w:szCs w:val="28"/>
          <w:rtl/>
        </w:rPr>
        <w:t xml:space="preserve">للشفائی الأصفهانی یأتی فی الشین‏</w:t>
      </w:r>
    </w:p>
    <w:p>
      <w:pPr>
        <w:pStyle w:val="Heading3"/>
      </w:pPr>
      <w:bookmarkStart w:id="5209" w:name="_Toc3905"/>
      <w:r>
        <w:t>2967- دیوان شکری شیرازی أو شعره‏</w:t>
      </w:r>
      <w:bookmarkEnd w:id="5209"/>
    </w:p>
    <w:p>
      <w:pPr>
        <w:pStyle w:val="BookText"/>
      </w:pPr>
      <w:r>
        <w:rPr>
          <w:rFonts w:ascii="IRNazanin" w:hAnsi="IRNazanin" w:eastAsia="IRNazanin" w:cs="IRNazanin"/>
          <w:lang w:bidi="fa-IR"/>
          <w:color w:val="111111"/>
          <w:sz w:val="28"/>
          <w:szCs w:val="28"/>
          <w:rtl/>
        </w:rPr>
        <w:t xml:space="preserve">و اسمه المیر شکر أیضا من سادات شیراز یشتغل بالصحافة و التجلید و الموسیقی ترجمه و أورد شعره فی (تس 2- ص 45) و (روشن- ص 351) و أورد فی گلستان مسرت- ص 59 شعر شکری همدانی‏</w:t>
      </w:r>
    </w:p>
    <w:p>
      <w:pPr>
        <w:pStyle w:val="Heading3"/>
      </w:pPr>
      <w:bookmarkStart w:id="5210" w:name="_Toc3906"/>
      <w:r>
        <w:t>2968- دیوان شکری هروی أو شعره‏</w:t>
      </w:r>
      <w:bookmarkEnd w:id="5210"/>
    </w:p>
    <w:p>
      <w:pPr>
        <w:pStyle w:val="BookText"/>
      </w:pPr>
      <w:r>
        <w:rPr>
          <w:rFonts w:ascii="IRNazanin" w:hAnsi="IRNazanin" w:eastAsia="IRNazanin" w:cs="IRNazanin"/>
          <w:lang w:bidi="fa-IR"/>
          <w:color w:val="111111"/>
          <w:sz w:val="28"/>
          <w:szCs w:val="28"/>
          <w:rtl/>
        </w:rPr>
        <w:t xml:space="preserve">ترجمه و أورد شعره فی (مجن 3- ص 84 و 259) و قال: یجاری فی شعره مولانا سیفی و أورد فی گلستان مسرت- ص 59 شعر شکری همدانی‏</w:t>
      </w:r>
    </w:p>
    <w:p>
      <w:pPr>
        <w:pStyle w:val="Heading3"/>
      </w:pPr>
      <w:bookmarkStart w:id="5211" w:name="_Toc3907"/>
      <w:r>
        <w:t>دیوان شکری همدانی‏</w:t>
      </w:r>
      <w:bookmarkEnd w:id="5211"/>
    </w:p>
    <w:p>
      <w:pPr>
        <w:pStyle w:val="BookText"/>
      </w:pPr>
      <w:r>
        <w:rPr>
          <w:rFonts w:ascii="IRNazanin" w:hAnsi="IRNazanin" w:eastAsia="IRNazanin" w:cs="IRNazanin"/>
          <w:lang w:bidi="fa-IR"/>
          <w:color w:val="111111"/>
          <w:sz w:val="28"/>
          <w:szCs w:val="28"/>
          <w:rtl/>
        </w:rPr>
        <w:t xml:space="preserve">راجع ما قبلیه‏</w:t>
      </w:r>
    </w:p>
    <w:p>
      <w:pPr>
        <w:pStyle w:val="Heading3"/>
      </w:pPr>
      <w:bookmarkStart w:id="5212" w:name="_Toc3908"/>
      <w:r>
        <w:t>2969- دیوان شکسته‏</w:t>
      </w:r>
      <w:bookmarkEnd w:id="5212"/>
    </w:p>
    <w:p>
      <w:pPr>
        <w:pStyle w:val="BookText"/>
      </w:pPr>
      <w:r>
        <w:rPr>
          <w:rFonts w:ascii="IRNazanin" w:hAnsi="IRNazanin" w:eastAsia="IRNazanin" w:cs="IRNazanin"/>
          <w:lang w:bidi="fa-IR"/>
          <w:color w:val="111111"/>
          <w:sz w:val="28"/>
          <w:szCs w:val="28"/>
          <w:rtl/>
        </w:rPr>
        <w:t xml:space="preserve">و اسمه حسن علی کان مداح فتح علی شاه توجد نسختان من دیوانه عند (الملک) إحداهما برقم (4922)</w:t>
      </w:r>
    </w:p>
    <w:p>
      <w:pPr>
        <w:pStyle w:val="Heading3"/>
      </w:pPr>
      <w:bookmarkStart w:id="5213" w:name="_Toc3909"/>
      <w:r>
        <w:t>2970- دیوان شکسته کابلی أو شعره‏</w:t>
      </w:r>
      <w:bookmarkEnd w:id="5213"/>
    </w:p>
    <w:p>
      <w:pPr>
        <w:pStyle w:val="BookText"/>
      </w:pPr>
      <w:r>
        <w:rPr>
          <w:rFonts w:ascii="IRNazanin" w:hAnsi="IRNazanin" w:eastAsia="IRNazanin" w:cs="IRNazanin"/>
          <w:lang w:bidi="fa-IR"/>
          <w:color w:val="111111"/>
          <w:sz w:val="28"/>
          <w:szCs w:val="28"/>
          <w:rtl/>
        </w:rPr>
        <w:t xml:space="preserve">و اسمه محمد صالح من النقش‏بندیة ترجمه و أورد شعره معاصره فی مرآة الخیال (ص 204- 205) و عنه فی الریحانة</w:t>
      </w:r>
    </w:p>
    <w:p>
      <w:pPr>
        <w:pStyle w:val="Heading3"/>
      </w:pPr>
      <w:bookmarkStart w:id="5214" w:name="_Toc3910"/>
      <w:r>
        <w:t>2971- دیوان شکونی جرفادقانی أو شعره‏</w:t>
      </w:r>
      <w:bookmarkEnd w:id="5214"/>
    </w:p>
    <w:p>
      <w:pPr>
        <w:pStyle w:val="BookText"/>
      </w:pPr>
      <w:r>
        <w:rPr>
          <w:rFonts w:ascii="IRNazanin" w:hAnsi="IRNazanin" w:eastAsia="IRNazanin" w:cs="IRNazanin"/>
          <w:lang w:bidi="fa-IR"/>
          <w:color w:val="111111"/>
          <w:sz w:val="28"/>
          <w:szCs w:val="28"/>
          <w:rtl/>
        </w:rPr>
        <w:t xml:space="preserve">و اسمه میر حیدر نشا فی الهند ترجمه و أورد شعره (حسینی- ص 178) و (خوش‏گو) و (تغ 75)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529" w:name="pg11704_122012"/>
    <w:bookmarkEnd w:id="529"/>
    <w:p>
      <w:pPr>
        <w:pStyle w:val="Heading3"/>
      </w:pPr>
      <w:bookmarkStart w:id="5215" w:name="_Toc3911"/>
      <w:r>
        <w:t>2972- دیوان شکوه شیرازی‏</w:t>
      </w:r>
      <w:bookmarkEnd w:id="5215"/>
    </w:p>
    <w:p>
      <w:pPr>
        <w:pStyle w:val="BookText"/>
      </w:pPr>
      <w:r>
        <w:rPr>
          <w:rFonts w:ascii="IRNazanin" w:hAnsi="IRNazanin" w:eastAsia="IRNazanin" w:cs="IRNazanin"/>
          <w:lang w:bidi="fa-IR"/>
          <w:color w:val="111111"/>
          <w:sz w:val="28"/>
          <w:szCs w:val="28"/>
          <w:rtl/>
        </w:rPr>
        <w:t xml:space="preserve">اسمه المیرزا عبد الحمید بن علی محمد خان الفیروزآبادی أطرأه فی (مع- ج 2 ص 250) و أورد کثیرا من شعره فی مدح السلطان محمد شاه القاجار و وزیره المیرزا آغاسی و غیرهما، و کذا فی فارس‏نامه ناصری (ج 2 ص 148)</w:t>
      </w:r>
    </w:p>
    <w:p>
      <w:pPr>
        <w:pStyle w:val="Heading3"/>
      </w:pPr>
      <w:bookmarkStart w:id="5216" w:name="_Toc3912"/>
      <w:r>
        <w:t>2973- دیوان شکوهی تبریزی‏</w:t>
      </w:r>
      <w:bookmarkEnd w:id="5216"/>
    </w:p>
    <w:p>
      <w:pPr>
        <w:pStyle w:val="BookText"/>
      </w:pPr>
      <w:r>
        <w:rPr>
          <w:rFonts w:ascii="IRNazanin" w:hAnsi="IRNazanin" w:eastAsia="IRNazanin" w:cs="IRNazanin"/>
          <w:lang w:bidi="fa-IR"/>
          <w:color w:val="111111"/>
          <w:sz w:val="28"/>
          <w:szCs w:val="28"/>
          <w:rtl/>
        </w:rPr>
        <w:t xml:space="preserve">للحاج مهدی التبریزی المتوفی (1314) عن تسع و ستین سنة و سافر إلی الحج فی (1303) طبع دیوانه المشتمل علی الفارسیات و الترکیات بتبریز فی (1321) و فیها تاریخ ولادة ابنه جمال سنة (1303) ترجمه فی ریحانة الأدب و قد أخذه ظاهرا من (دجا- ص 199)</w:t>
      </w:r>
    </w:p>
    <w:p>
      <w:pPr>
        <w:pStyle w:val="Heading3"/>
      </w:pPr>
      <w:bookmarkStart w:id="5217" w:name="_Toc3913"/>
      <w:r>
        <w:t>2974- دیوان ملا شکوهی همدانی أو شعره‏</w:t>
      </w:r>
      <w:bookmarkEnd w:id="5217"/>
    </w:p>
    <w:p>
      <w:pPr>
        <w:pStyle w:val="BookText"/>
      </w:pPr>
      <w:r>
        <w:rPr>
          <w:rFonts w:ascii="IRNazanin" w:hAnsi="IRNazanin" w:eastAsia="IRNazanin" w:cs="IRNazanin"/>
          <w:lang w:bidi="fa-IR"/>
          <w:color w:val="111111"/>
          <w:sz w:val="28"/>
          <w:szCs w:val="28"/>
          <w:rtl/>
        </w:rPr>
        <w:t xml:space="preserve">خطاط. تعلم النسخ التعلیق عن میرزا إبراهیم الهمدانی. ترجمه معاصره النصرآبادی فی (نر 9- ص 239) و أورد جملة من شعره و کذا فی (خوش‏گو) و (حسینی- ص 176) و (تغ- ص 74). و أورد شعره فی گلستان مسرت- ص 288. و (پژمان- ص 242).</w:t>
      </w:r>
    </w:p>
    <w:p>
      <w:pPr>
        <w:pStyle w:val="Heading3"/>
      </w:pPr>
      <w:bookmarkStart w:id="5218" w:name="_Toc3914"/>
      <w:r>
        <w:t>2975- دیوان شکوهی یزدی أو شعره‏</w:t>
      </w:r>
      <w:bookmarkEnd w:id="5218"/>
    </w:p>
    <w:p>
      <w:pPr>
        <w:pStyle w:val="BookText"/>
      </w:pPr>
      <w:r>
        <w:rPr>
          <w:rFonts w:ascii="IRNazanin" w:hAnsi="IRNazanin" w:eastAsia="IRNazanin" w:cs="IRNazanin"/>
          <w:lang w:bidi="fa-IR"/>
          <w:color w:val="111111"/>
          <w:sz w:val="28"/>
          <w:szCs w:val="28"/>
          <w:rtl/>
        </w:rPr>
        <w:t xml:space="preserve">السید حسن بن السید علی ملک السادات الموسوی البنادکی الیزدی المعاصر، من أحفاد المیرزا علی نقی العالم الجلیل المعروف بوقت ساعتی. ترجمه آیتی فی (تش یز- ص 297) و أورد قطعة من شعره و قال إنه الآن مفتش للمالیة و کذا فی (پژمان- ص 242).</w:t>
      </w:r>
    </w:p>
    <w:p>
      <w:pPr>
        <w:pStyle w:val="Heading3"/>
      </w:pPr>
      <w:bookmarkStart w:id="5219" w:name="_Toc3915"/>
      <w:r>
        <w:t>2976- دیوان شکیب أصفهانی‏</w:t>
      </w:r>
      <w:bookmarkEnd w:id="5219"/>
    </w:p>
    <w:p>
      <w:pPr>
        <w:pStyle w:val="BookText"/>
      </w:pPr>
      <w:r>
        <w:rPr>
          <w:rFonts w:ascii="IRNazanin" w:hAnsi="IRNazanin" w:eastAsia="IRNazanin" w:cs="IRNazanin"/>
          <w:lang w:bidi="fa-IR"/>
          <w:color w:val="111111"/>
          <w:sz w:val="28"/>
          <w:szCs w:val="28"/>
          <w:rtl/>
        </w:rPr>
        <w:t xml:space="preserve">و اسمه محمد رضا بن محمد حسین شمشیری.</w:t>
      </w:r>
    </w:p>
    <w:p>
      <w:pPr>
        <w:pStyle w:val="BookText"/>
      </w:pPr>
      <w:r>
        <w:rPr>
          <w:rFonts w:ascii="IRNazanin" w:hAnsi="IRNazanin" w:eastAsia="IRNazanin" w:cs="IRNazanin"/>
          <w:lang w:bidi="fa-IR"/>
          <w:color w:val="111111"/>
          <w:sz w:val="28"/>
          <w:szCs w:val="28"/>
          <w:rtl/>
        </w:rPr>
        <w:t xml:space="preserve">ولد بأصفهان (1284 ش) و طبع قسم من دیوانه فی (1329 ش) بأصفهان فی (178 ص) و هو من مریدی الذهبیة بشیراز. ترجمه و أورد قسم من شعره فی شعرای معاصر أصفهان- ص 274.</w:t>
      </w:r>
    </w:p>
    <w:p>
      <w:pPr>
        <w:pStyle w:val="Heading3"/>
      </w:pPr>
      <w:bookmarkStart w:id="5220" w:name="_Toc3916"/>
      <w:r>
        <w:t>2977- دیوان شکیب أصفهانی أو شعره‏</w:t>
      </w:r>
      <w:bookmarkEnd w:id="5220"/>
    </w:p>
    <w:p>
      <w:pPr>
        <w:pStyle w:val="BookText"/>
      </w:pPr>
      <w:r>
        <w:rPr>
          <w:rFonts w:ascii="IRNazanin" w:hAnsi="IRNazanin" w:eastAsia="IRNazanin" w:cs="IRNazanin"/>
          <w:lang w:bidi="fa-IR"/>
          <w:color w:val="111111"/>
          <w:sz w:val="28"/>
          <w:szCs w:val="28"/>
          <w:rtl/>
        </w:rPr>
        <w:t xml:space="preserve">ترجمه معاصره و معاشره فی (مع- ج 2- ص 252) و فی (ض- ص 456) و صرح بقلة شعره و إنه مات بالهند. و سماه فی (انجمن 4) السید محمد علی و قال سافر أخیرا إلی الروم.</w:t>
      </w:r>
    </w:p>
    <w:p>
      <w:pPr>
        <w:pStyle w:val="Heading3"/>
      </w:pPr>
      <w:bookmarkStart w:id="5221" w:name="_Toc3917"/>
      <w:r>
        <w:t>2978- دیوان شکیب شیرازی أو شعره‏</w:t>
      </w:r>
      <w:bookmarkEnd w:id="5221"/>
    </w:p>
    <w:p>
      <w:pPr>
        <w:pStyle w:val="BookText"/>
      </w:pPr>
      <w:r>
        <w:rPr>
          <w:rFonts w:ascii="IRNazanin" w:hAnsi="IRNazanin" w:eastAsia="IRNazanin" w:cs="IRNazanin"/>
          <w:lang w:bidi="fa-IR"/>
          <w:color w:val="111111"/>
          <w:sz w:val="28"/>
          <w:szCs w:val="28"/>
          <w:rtl/>
        </w:rPr>
        <w:t xml:space="preserve">و اسمه محمد علی بن محمد أمین السکاکی من تلامیذ مسیح الأنام. نصب مدرسا بشیراز. قال الحزین فی تذکرته (ص 34) استفدت منه ما دمت بشیراز. و قتل بید الأفاغنة فی (1135) عن عمر ناهز الستین. و قال هدایت فی‏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530" w:name="pg11704_122013"/>
    <w:bookmarkEnd w:id="530"/>
    <w:p>
      <w:pPr>
        <w:pStyle w:val="BookText"/>
      </w:pPr>
      <w:r>
        <w:rPr>
          <w:rFonts w:ascii="IRNazanin" w:hAnsi="IRNazanin" w:eastAsia="IRNazanin" w:cs="IRNazanin"/>
          <w:lang w:bidi="fa-IR"/>
          <w:color w:val="111111"/>
          <w:sz w:val="28"/>
          <w:szCs w:val="28"/>
          <w:rtl/>
        </w:rPr>
        <w:t xml:space="preserve">(ض- ص 162) کان أبوه یعمل السیوف. و جاء فی (تش- ص 379) حکاک بدل سکاک.</w:t>
      </w:r>
    </w:p>
    <w:p>
      <w:pPr>
        <w:pStyle w:val="BookText"/>
      </w:pPr>
      <w:r>
        <w:rPr>
          <w:rFonts w:ascii="IRNazanin" w:hAnsi="IRNazanin" w:eastAsia="IRNazanin" w:cs="IRNazanin"/>
          <w:lang w:bidi="fa-IR"/>
          <w:color w:val="111111"/>
          <w:sz w:val="28"/>
          <w:szCs w:val="28"/>
          <w:rtl/>
        </w:rPr>
        <w:t xml:space="preserve">و ترجمه أیضا فی فارس‏نامه- ج 2- ص 148.</w:t>
      </w:r>
    </w:p>
    <w:p>
      <w:pPr>
        <w:pStyle w:val="Heading3"/>
      </w:pPr>
      <w:bookmarkStart w:id="5222" w:name="_Toc3918"/>
      <w:r>
        <w:t>2979- دیوان شکیب شیرازی أو شعره‏</w:t>
      </w:r>
      <w:bookmarkEnd w:id="5222"/>
    </w:p>
    <w:p>
      <w:pPr>
        <w:pStyle w:val="BookText"/>
      </w:pPr>
      <w:r>
        <w:rPr>
          <w:rFonts w:ascii="IRNazanin" w:hAnsi="IRNazanin" w:eastAsia="IRNazanin" w:cs="IRNazanin"/>
          <w:lang w:bidi="fa-IR"/>
          <w:color w:val="111111"/>
          <w:sz w:val="28"/>
          <w:szCs w:val="28"/>
          <w:rtl/>
        </w:rPr>
        <w:t xml:space="preserve">و اسمه المیر عبد الوهاب تلمیذ میرزا کوچک وصال. ترجمه فی (روشن- ص 350) عن آفتاب عالمتاب و أورد شعره.</w:t>
      </w:r>
    </w:p>
    <w:p>
      <w:pPr>
        <w:pStyle w:val="Heading3"/>
      </w:pPr>
      <w:bookmarkStart w:id="5223" w:name="_Toc3919"/>
      <w:r>
        <w:t>2980- دیوان شکیبی أصفهانی‏</w:t>
      </w:r>
      <w:bookmarkEnd w:id="5223"/>
    </w:p>
    <w:p>
      <w:pPr>
        <w:pStyle w:val="BookText"/>
      </w:pPr>
      <w:r>
        <w:rPr>
          <w:rFonts w:ascii="IRNazanin" w:hAnsi="IRNazanin" w:eastAsia="IRNazanin" w:cs="IRNazanin"/>
          <w:lang w:bidi="fa-IR"/>
          <w:color w:val="111111"/>
          <w:sz w:val="28"/>
          <w:szCs w:val="28"/>
          <w:rtl/>
        </w:rPr>
        <w:t xml:space="preserve">و هو محمد رضا الإمامی المتخلص شکیبی ابن ظهیر الدین عبد الله الإمامی الأصفهانی. ولد بها فی (964) کما فی (سرو آزاد- ص 29) و (خز- ص 267) نقلا عن نفسه. اکتسب العلم فی أصفهان و شیراز متلمذا علی المیر تقی الدین محمد الشیرازی. و کان عمره أربع و ثلاثین سنة حین سافر إلی الهند عن طریق جزیرة هرمز و بندر چیول، و تقرب هناک عند خان خانان و ترقی أمره، و فی (1012) سافر إلی الحج، و بعد ثلاث سنوات رجع إلی الهند معسرا بعد أن أوقع البحر بسفینته إلی عدن و سرق اللصوص أمواله، فلازم خان خانان أیضا. قال فی (میخانه- ص 236): و فی (27- ع 1- 1019) [أو 1018 کما فی خزانة عامرة] نصبه جهانگیر پادشاه صدرا لصوبة دهلی، و بها مات فی (1022) [- شکیبی رفت‏] عن سبع و ستین من عمره کما فی میخانه أو (1023) [- صدر دهلی رفت‏] کما فی الخزانة. و دیوانه فی أربعة آلاف بیت غیر مثنویة الذی نظمه علی زنة خسرو و شیرین و مثنوی ساقی‏نامه المسماة عشرت‏آباد الذی نظمه لخان خانان، و ذکره فی کشف الظنون و (خوش‏گو) و طبقات أکبری (ج 2- ص 502) و (تش- ص 179) و (تغ- ص 74).</w:t>
      </w:r>
    </w:p>
    <w:p>
      <w:pPr>
        <w:pStyle w:val="Heading3"/>
      </w:pPr>
      <w:bookmarkStart w:id="5224" w:name="_Toc3920"/>
      <w:r>
        <w:t>2981- دیوان شکیبی تبریزی أو شعره‏</w:t>
      </w:r>
      <w:bookmarkEnd w:id="5224"/>
    </w:p>
    <w:p>
      <w:pPr>
        <w:pStyle w:val="BookText"/>
      </w:pPr>
      <w:r>
        <w:rPr>
          <w:rFonts w:ascii="IRNazanin" w:hAnsi="IRNazanin" w:eastAsia="IRNazanin" w:cs="IRNazanin"/>
          <w:lang w:bidi="fa-IR"/>
          <w:color w:val="111111"/>
          <w:sz w:val="28"/>
          <w:szCs w:val="28"/>
          <w:rtl/>
        </w:rPr>
        <w:t xml:space="preserve">و اسمه مقصود علی. سافر من تبریز إلی قزوین فی عهد الشاه طهماسب و رجع إلی تبریز و مات بها فی (971) و دفن بسرخاب کما عن عرفات العاشقین و عن نفائس المآثر أنه دفن بشیراز. و احتمل فی الریحانة اتحاده مع شکیب شیرازی. و لکن فی (تس 5- ص 173) قال إنه تبریزی یشتغل بالزرکشة و فی (دجا- ص 200) نقل عنه و عن خلاصة الأشعار و خزانة عامرة. و قد ذکروه مفصلا فهو غیر الشیرازی، و الاشتباه من علاء الدولة فی نفائس المآثر.</w:t>
      </w:r>
    </w:p>
    <w:p>
      <w:pPr>
        <w:pStyle w:val="Heading3"/>
      </w:pPr>
      <w:bookmarkStart w:id="5225" w:name="_Toc3921"/>
      <w:r>
        <w:t>2982- دیوان شمالی دهستانی الخراسانی‏</w:t>
      </w:r>
      <w:bookmarkEnd w:id="5225"/>
    </w:p>
    <w:p>
      <w:pPr>
        <w:pStyle w:val="BookText"/>
      </w:pPr>
      <w:r>
        <w:rPr>
          <w:rFonts w:ascii="IRNazanin" w:hAnsi="IRNazanin" w:eastAsia="IRNazanin" w:cs="IRNazanin"/>
          <w:lang w:bidi="fa-IR"/>
          <w:color w:val="111111"/>
          <w:sz w:val="28"/>
          <w:szCs w:val="28"/>
          <w:rtl/>
        </w:rPr>
        <w:t xml:space="preserve">. ترجمه فی (مع- ج 1 ص 309) و قال‏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531" w:name="pg11704_122014"/>
    <w:bookmarkEnd w:id="531"/>
    <w:p>
      <w:pPr>
        <w:pStyle w:val="BookText"/>
      </w:pPr>
      <w:r>
        <w:rPr>
          <w:rFonts w:ascii="IRNazanin" w:hAnsi="IRNazanin" w:eastAsia="IRNazanin" w:cs="IRNazanin"/>
          <w:lang w:bidi="fa-IR"/>
          <w:color w:val="111111"/>
          <w:sz w:val="28"/>
          <w:szCs w:val="28"/>
          <w:rtl/>
        </w:rPr>
        <w:t xml:space="preserve">إنه معاصر الأدیب و بینهما مناظرات، و أورد کثیرا من شعره.</w:t>
      </w:r>
    </w:p>
    <w:p>
      <w:pPr>
        <w:pStyle w:val="Heading3"/>
      </w:pPr>
      <w:bookmarkStart w:id="5226" w:name="_Toc3922"/>
      <w:r>
        <w:t>2983- دیوان شمخال بیک أو شعره‏</w:t>
      </w:r>
      <w:bookmarkEnd w:id="5226"/>
    </w:p>
    <w:p>
      <w:pPr>
        <w:pStyle w:val="BookText"/>
      </w:pPr>
      <w:r>
        <w:rPr>
          <w:rFonts w:ascii="IRNazanin" w:hAnsi="IRNazanin" w:eastAsia="IRNazanin" w:cs="IRNazanin"/>
          <w:lang w:bidi="fa-IR"/>
          <w:color w:val="111111"/>
          <w:sz w:val="28"/>
          <w:szCs w:val="28"/>
          <w:rtl/>
        </w:rPr>
        <w:t xml:space="preserve">من غلمان خلیفة سلطان، و قد ساح البلاد و أقام بالهند سنین. ترجمه النصرآباد فی (نر 5- ص 147) و أورد شعره. و کذا فی (خوش‏گو) و (روشن- ص 353).</w:t>
      </w:r>
    </w:p>
    <w:p>
      <w:pPr>
        <w:pStyle w:val="Heading3"/>
      </w:pPr>
      <w:bookmarkStart w:id="5227" w:name="_Toc3923"/>
      <w:r>
        <w:t>دیوان شمسا</w:t>
      </w:r>
      <w:bookmarkEnd w:id="5227"/>
    </w:p>
    <w:p>
      <w:pPr>
        <w:pStyle w:val="BookText"/>
      </w:pPr>
      <w:r>
        <w:rPr>
          <w:rFonts w:ascii="IRNazanin" w:hAnsi="IRNazanin" w:eastAsia="IRNazanin" w:cs="IRNazanin"/>
          <w:lang w:bidi="fa-IR"/>
          <w:color w:val="111111"/>
          <w:sz w:val="28"/>
          <w:szCs w:val="28"/>
          <w:rtl/>
        </w:rPr>
        <w:t xml:space="preserve">و تخلصه صغیر یأتی فی الصاد.</w:t>
      </w:r>
    </w:p>
    <w:p>
      <w:pPr>
        <w:pStyle w:val="Heading3"/>
      </w:pPr>
      <w:bookmarkStart w:id="5228" w:name="_Toc3924"/>
      <w:r>
        <w:t>2984- دیوان شمسای گیلانی أو شعره‏</w:t>
      </w:r>
      <w:bookmarkEnd w:id="5228"/>
    </w:p>
    <w:p>
      <w:pPr>
        <w:pStyle w:val="BookText"/>
      </w:pPr>
      <w:r>
        <w:rPr>
          <w:rFonts w:ascii="IRNazanin" w:hAnsi="IRNazanin" w:eastAsia="IRNazanin" w:cs="IRNazanin"/>
          <w:lang w:bidi="fa-IR"/>
          <w:color w:val="111111"/>
          <w:sz w:val="28"/>
          <w:szCs w:val="28"/>
          <w:rtl/>
        </w:rPr>
        <w:t xml:space="preserve">و هو شمس الدین محمد بن مجتهد الزمان محمد سعید الجیلانی، کان مرید الحاج عبد القادر العاشق‏آبادی الأصفهانی. و کان فذا و آیة فی التحقیق و العرفان کما ذکره و أورد شعره معاصره الحزین فی تذکرته (ص- 111) و فی تاریخه (ص 18- 19). و قال مات قبل والده فی عنفوان شبابه.</w:t>
      </w:r>
    </w:p>
    <w:p>
      <w:pPr>
        <w:pStyle w:val="BookText"/>
      </w:pPr>
      <w:r>
        <w:rPr>
          <w:rFonts w:ascii="IRNazanin" w:hAnsi="IRNazanin" w:eastAsia="IRNazanin" w:cs="IRNazanin"/>
          <w:lang w:bidi="fa-IR"/>
          <w:color w:val="111111"/>
          <w:sz w:val="28"/>
          <w:szCs w:val="28"/>
          <w:rtl/>
        </w:rPr>
        <w:t xml:space="preserve">قال و أخواه آقا مهدی الماهر فی الریاضیات یسکن جیلان، و الحاج محمد یسکن أصفهان. و قد ذکرناه فی (ج 6 ص 295).</w:t>
      </w:r>
    </w:p>
    <w:p>
      <w:pPr>
        <w:pStyle w:val="Heading3"/>
      </w:pPr>
      <w:bookmarkStart w:id="5229" w:name="_Toc3925"/>
      <w:r>
        <w:t>دیوان شمسای قمی‏</w:t>
      </w:r>
      <w:bookmarkEnd w:id="5229"/>
    </w:p>
    <w:p>
      <w:pPr>
        <w:pStyle w:val="BookText"/>
      </w:pPr>
      <w:r>
        <w:rPr>
          <w:rFonts w:ascii="IRNazanin" w:hAnsi="IRNazanin" w:eastAsia="IRNazanin" w:cs="IRNazanin"/>
          <w:lang w:bidi="fa-IR"/>
          <w:color w:val="111111"/>
          <w:sz w:val="28"/>
          <w:szCs w:val="28"/>
          <w:rtl/>
        </w:rPr>
        <w:t xml:space="preserve">راجع شمس الدین قمی، و راجع صغیر قمی.</w:t>
      </w:r>
    </w:p>
    <w:p>
      <w:pPr>
        <w:pStyle w:val="Heading3"/>
      </w:pPr>
      <w:bookmarkStart w:id="5230" w:name="_Toc3926"/>
      <w:r>
        <w:t>2985- دیوان شمس الأدباء</w:t>
      </w:r>
      <w:bookmarkEnd w:id="5230"/>
    </w:p>
    <w:p>
      <w:pPr>
        <w:pStyle w:val="BookText"/>
      </w:pPr>
      <w:r>
        <w:rPr>
          <w:rFonts w:ascii="IRNazanin" w:hAnsi="IRNazanin" w:eastAsia="IRNazanin" w:cs="IRNazanin"/>
          <w:lang w:bidi="fa-IR"/>
          <w:color w:val="111111"/>
          <w:sz w:val="28"/>
          <w:szCs w:val="28"/>
          <w:rtl/>
        </w:rPr>
        <w:t xml:space="preserve">السید محمد بن العالم الجلیل الحاج السید رضی اللاریجانی. ولد بأصفهان فی (1253) و بعد أربعة عشر عاما نزل إلی طهران و صاهر الحکیم إلهی ترجمه فی (مع- ج 2 ص 212) و أورد بعض قصائده الذی فیه تاریخ طبع مجمع الفصحاء (1292) و عنه أخذ فی تذکره علوی- ص 14. و قد لقبه ناصر الدین شاه شمس الأدباء.</w:t>
      </w:r>
    </w:p>
    <w:p>
      <w:pPr>
        <w:pStyle w:val="Heading3"/>
      </w:pPr>
      <w:bookmarkStart w:id="5231" w:name="_Toc3927"/>
      <w:r>
        <w:t>دیوان شمس اندجانی‏</w:t>
      </w:r>
      <w:bookmarkEnd w:id="5231"/>
    </w:p>
    <w:p>
      <w:pPr>
        <w:pStyle w:val="BookText"/>
      </w:pPr>
      <w:r>
        <w:rPr>
          <w:rFonts w:ascii="IRNazanin" w:hAnsi="IRNazanin" w:eastAsia="IRNazanin" w:cs="IRNazanin"/>
          <w:lang w:bidi="fa-IR"/>
          <w:color w:val="111111"/>
          <w:sz w:val="28"/>
          <w:szCs w:val="28"/>
          <w:rtl/>
        </w:rPr>
        <w:t xml:space="preserve">و اسمه شمس الدین محمد سر برهنه الأندجانی. توفی (998) و هو من شعراء السلطان حسین بایقرا. أورد شعره فی (روشن- ص 355). و مر بعنوان سر برهنه فی (ص 438).</w:t>
      </w:r>
    </w:p>
    <w:p>
      <w:pPr>
        <w:pStyle w:val="Heading3"/>
      </w:pPr>
      <w:bookmarkStart w:id="5232" w:name="_Toc3928"/>
      <w:r>
        <w:t>دیوان شمس أصفهانی‏</w:t>
      </w:r>
      <w:bookmarkEnd w:id="5232"/>
    </w:p>
    <w:p>
      <w:pPr>
        <w:pStyle w:val="BookText"/>
      </w:pPr>
      <w:r>
        <w:rPr>
          <w:rFonts w:ascii="IRNazanin" w:hAnsi="IRNazanin" w:eastAsia="IRNazanin" w:cs="IRNazanin"/>
          <w:lang w:bidi="fa-IR"/>
          <w:color w:val="111111"/>
          <w:sz w:val="28"/>
          <w:szCs w:val="28"/>
          <w:rtl/>
        </w:rPr>
        <w:t xml:space="preserve">ایزد گشسب. راجع دیوان شمس گلپایگانی.</w:t>
      </w:r>
    </w:p>
    <w:p>
      <w:pPr>
        <w:pStyle w:val="Heading3"/>
      </w:pPr>
      <w:bookmarkStart w:id="5233" w:name="_Toc3929"/>
      <w:r>
        <w:t>2986- دیوان شمس أعرج أو شعره‏</w:t>
      </w:r>
      <w:bookmarkEnd w:id="5233"/>
    </w:p>
    <w:p>
      <w:pPr>
        <w:pStyle w:val="BookText"/>
      </w:pPr>
      <w:r>
        <w:rPr>
          <w:rFonts w:ascii="IRNazanin" w:hAnsi="IRNazanin" w:eastAsia="IRNazanin" w:cs="IRNazanin"/>
          <w:lang w:bidi="fa-IR"/>
          <w:color w:val="111111"/>
          <w:sz w:val="28"/>
          <w:szCs w:val="28"/>
          <w:rtl/>
        </w:rPr>
        <w:t xml:space="preserve">أورد العوفی قصیدته فی مدح تاج الدین عمر بن مسعود بن أحمد صدر الشریعة فی (اللباب 7- ج 1 ص 169- 174) و معه جواب صدر الشریعة له. و نسبه فی (تغ- 75) إلی سمرقند و بلخ.</w:t>
      </w:r>
    </w:p>
    <w:p>
      <w:pPr>
        <w:pStyle w:val="Heading3"/>
      </w:pPr>
      <w:bookmarkStart w:id="5234" w:name="_Toc3930"/>
      <w:r>
        <w:t>دیوان شمس أورجندی أو شعره‏</w:t>
      </w:r>
      <w:bookmarkEnd w:id="5234"/>
    </w:p>
    <w:p>
      <w:pPr>
        <w:pStyle w:val="BookText"/>
      </w:pPr>
      <w:r>
        <w:rPr>
          <w:rFonts w:ascii="IRNazanin" w:hAnsi="IRNazanin" w:eastAsia="IRNazanin" w:cs="IRNazanin"/>
          <w:lang w:bidi="fa-IR"/>
          <w:color w:val="111111"/>
          <w:sz w:val="28"/>
          <w:szCs w:val="28"/>
          <w:rtl/>
        </w:rPr>
        <w:t xml:space="preserve">هو القاضی شمس الدین منصور بن محمود المعروف‏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532" w:name="pg11704_122015"/>
    <w:bookmarkEnd w:id="532"/>
    <w:p>
      <w:pPr>
        <w:pStyle w:val="BookText"/>
      </w:pPr>
      <w:r>
        <w:rPr>
          <w:rFonts w:ascii="IRNazanin" w:hAnsi="IRNazanin" w:eastAsia="IRNazanin" w:cs="IRNazanin"/>
          <w:lang w:bidi="fa-IR"/>
          <w:color w:val="111111"/>
          <w:sz w:val="28"/>
          <w:szCs w:val="28"/>
          <w:rtl/>
        </w:rPr>
        <w:t xml:space="preserve">بصدر الشریعة. ترجمه فی (مع- ج 1 ص 306) و أورد شعره، و أظنه شمس نسائی.</w:t>
      </w:r>
    </w:p>
    <w:p>
      <w:pPr>
        <w:pStyle w:val="Heading3"/>
      </w:pPr>
      <w:bookmarkStart w:id="5235" w:name="_Toc3931"/>
      <w:r>
        <w:t>2987- دیوان شمس بخاری أو شعره‏</w:t>
      </w:r>
      <w:bookmarkEnd w:id="5235"/>
    </w:p>
    <w:p>
      <w:pPr>
        <w:pStyle w:val="BookText"/>
      </w:pPr>
      <w:r>
        <w:rPr>
          <w:rFonts w:ascii="IRNazanin" w:hAnsi="IRNazanin" w:eastAsia="IRNazanin" w:cs="IRNazanin"/>
          <w:lang w:bidi="fa-IR"/>
          <w:color w:val="111111"/>
          <w:sz w:val="28"/>
          <w:szCs w:val="28"/>
          <w:rtl/>
        </w:rPr>
        <w:t xml:space="preserve">هو شمس الدین محمد بن المؤید الحداد المعروف بشمس الدین خاله ترجمه و أورد شعره فی (تش- ص 321) و لکن سماه أحمد خالد و قال فی (تغ- ص 75) إنه من أقرباء نظام الملک ببغداد و أظنه متحدا مع شمس خراسانی و إن ذکرا معا فی (مع- ج 1 ص 309 و 312)</w:t>
      </w:r>
    </w:p>
    <w:p>
      <w:pPr>
        <w:pStyle w:val="Heading3"/>
      </w:pPr>
      <w:bookmarkStart w:id="5236" w:name="_Toc3932"/>
      <w:r>
        <w:t>2988- دیوان شمس بروجنی‏</w:t>
      </w:r>
      <w:bookmarkEnd w:id="5236"/>
    </w:p>
    <w:p>
      <w:pPr>
        <w:pStyle w:val="BookText"/>
      </w:pPr>
      <w:r>
        <w:rPr>
          <w:rFonts w:ascii="IRNazanin" w:hAnsi="IRNazanin" w:eastAsia="IRNazanin" w:cs="IRNazanin"/>
          <w:lang w:bidi="fa-IR"/>
          <w:color w:val="111111"/>
          <w:sz w:val="28"/>
          <w:szCs w:val="28"/>
          <w:rtl/>
        </w:rPr>
        <w:t xml:space="preserve">و اسمه محمد ولد ببروجن من نواحی أصفهان فی (20 صفر 1335) أورد شعره نقلا عن دیوانه فی شعرای معاصر أصفهان- ص 283</w:t>
      </w:r>
    </w:p>
    <w:p>
      <w:pPr>
        <w:pStyle w:val="Heading3"/>
      </w:pPr>
      <w:bookmarkStart w:id="5237" w:name="_Toc3933"/>
      <w:r>
        <w:t>دیوان شمس بلخی‏</w:t>
      </w:r>
      <w:bookmarkEnd w:id="5237"/>
    </w:p>
    <w:p>
      <w:pPr>
        <w:pStyle w:val="BookText"/>
      </w:pPr>
      <w:r>
        <w:rPr>
          <w:rFonts w:ascii="IRNazanin" w:hAnsi="IRNazanin" w:eastAsia="IRNazanin" w:cs="IRNazanin"/>
          <w:lang w:bidi="fa-IR"/>
          <w:color w:val="111111"/>
          <w:sz w:val="28"/>
          <w:szCs w:val="28"/>
          <w:rtl/>
        </w:rPr>
        <w:t xml:space="preserve">راجع شمس أعرج‏</w:t>
      </w:r>
    </w:p>
    <w:p>
      <w:pPr>
        <w:pStyle w:val="Heading3"/>
      </w:pPr>
      <w:bookmarkStart w:id="5238" w:name="_Toc3934"/>
      <w:r>
        <w:t>2989- دیوان شمس تبریزی‏</w:t>
      </w:r>
      <w:bookmarkEnd w:id="5238"/>
    </w:p>
    <w:p>
      <w:pPr>
        <w:pStyle w:val="BookText"/>
      </w:pPr>
      <w:r>
        <w:rPr>
          <w:rFonts w:ascii="IRNazanin" w:hAnsi="IRNazanin" w:eastAsia="IRNazanin" w:cs="IRNazanin"/>
          <w:lang w:bidi="fa-IR"/>
          <w:color w:val="111111"/>
          <w:sz w:val="28"/>
          <w:szCs w:val="28"/>
          <w:rtl/>
        </w:rPr>
        <w:t xml:space="preserve">هو دیوان جلال الدین محمد المعروف بملای رومی ناظم المثنوی المعروف المذکور فی (ج 6- ص 191) و قد جمع هذا الدیوان باسم مرشده و شیخه الروحانی شمس الدین محمد بن علی بن ملک داود التبریزی الصوفی الرحالة الذی ورد قونیة فی (642) و قتله العوام هناک فی (645) کما فی (النفحات) و شاهد صادق أو (644) کما فی شعر جاء فی گلستان مسرت- ص 386:</w:t>
      </w:r>
    </w:p>
    <w:p>
      <w:pPr>
        <w:pStyle w:val="BookText"/>
      </w:pPr>
      <w:r>
        <w:rPr>
          <w:rFonts w:ascii="IRNazanin" w:hAnsi="IRNazanin" w:eastAsia="IRNazanin" w:cs="IRNazanin"/>
          <w:lang w:bidi="fa-IR"/>
          <w:color w:val="111111"/>
          <w:sz w:val="28"/>
          <w:szCs w:val="28"/>
          <w:rtl/>
        </w:rPr>
        <w:t xml:space="preserve">سال تاریخ نقل أو رضوان‏</w:t>
      </w:r>
    </w:p>
    <w:p>
      <w:pPr>
        <w:pStyle w:val="BookText"/>
      </w:pPr>
      <w:r>
        <w:rPr>
          <w:rFonts w:ascii="IRNazanin" w:hAnsi="IRNazanin" w:eastAsia="IRNazanin" w:cs="IRNazanin"/>
          <w:lang w:bidi="fa-IR"/>
          <w:color w:val="111111"/>
          <w:sz w:val="28"/>
          <w:szCs w:val="28"/>
          <w:rtl/>
        </w:rPr>
        <w:t xml:space="preserve">زد رقم شمس أوج عدن و جنان‏</w:t>
      </w:r>
    </w:p>
    <w:p>
      <w:pPr>
        <w:pStyle w:val="BookText"/>
      </w:pPr>
      <w:r>
        <w:rPr>
          <w:rFonts w:ascii="IRNazanin" w:hAnsi="IRNazanin" w:eastAsia="IRNazanin" w:cs="IRNazanin"/>
          <w:lang w:bidi="fa-IR"/>
          <w:color w:val="111111"/>
          <w:sz w:val="28"/>
          <w:szCs w:val="28"/>
          <w:rtl/>
        </w:rPr>
        <w:t xml:space="preserve">و قال فی مادة گجیل من برهان قاطع إن قبر شمس فی محلة گجیل فی تبریز و لعله أراد رجلا آخر و الدیوان یشتمل علی الغزل العرفانی و الترجیعات و الرباعیات و غیرها موجود عند (الملک) و غیره کثیرا و طبع بالهند، و تبریز فی (378 ص) و طبع هدایت منتخبه فی طهران (1280) و طبع بطهران بتصحیح الهمائی فی (1335 ش) فی (811 ص) و ترجم شمس فی (النفحات- ص 413) و مجالس العشاق- ص 106 و (تش- ص 30) و خزینة الأصفیاء- 2: 268 و (مع 1 ص 286) و (روشن 358) و فی الدیوان غزلیات کثیرة تختلف نسخه بین الخمسة آلاف و الخمسین ألف بیت‏</w:t>
      </w:r>
    </w:p>
    <w:p>
      <w:pPr>
        <w:pStyle w:val="Heading3"/>
      </w:pPr>
      <w:bookmarkStart w:id="5239" w:name="_Toc3935"/>
      <w:r>
        <w:t>2990- دیوان شمس الجوینی الصغیر أو شعره‏</w:t>
      </w:r>
      <w:bookmarkEnd w:id="5239"/>
    </w:p>
    <w:p>
      <w:pPr>
        <w:pStyle w:val="BookText"/>
      </w:pPr>
      <w:r>
        <w:rPr>
          <w:rFonts w:ascii="IRNazanin" w:hAnsi="IRNazanin" w:eastAsia="IRNazanin" w:cs="IRNazanin"/>
          <w:lang w:bidi="fa-IR"/>
          <w:color w:val="111111"/>
          <w:sz w:val="28"/>
          <w:szCs w:val="28"/>
          <w:rtl/>
        </w:rPr>
        <w:t xml:space="preserve">هو صاحب الدیوان شمس الدین محمد بن بهاء الدین محمد بن شمس الدین محمد الجوینی الکبیر الآتی ترجمه فی (تش- ص 72) و (مع- ج 1 ص 311) کان صاحب دیوان هلاکو، و ابنه بها الدین محمد سمی جده مات فی حیاة والده فرثاه والده برباعیة، و ابنه الآخر شرف الدین هارون قتل مع والده‏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533" w:name="pg11704_122016"/>
    <w:bookmarkEnd w:id="533"/>
    <w:p>
      <w:pPr>
        <w:pStyle w:val="BookText"/>
      </w:pPr>
      <w:r>
        <w:rPr>
          <w:rFonts w:ascii="IRNazanin" w:hAnsi="IRNazanin" w:eastAsia="IRNazanin" w:cs="IRNazanin"/>
          <w:lang w:bidi="fa-IR"/>
          <w:color w:val="111111"/>
          <w:sz w:val="28"/>
          <w:szCs w:val="28"/>
          <w:rtl/>
        </w:rPr>
        <w:t xml:space="preserve">فی (683) و أخوه عطا ملک مؤلف تاریخ جهان‏گشا کما مر</w:t>
      </w:r>
    </w:p>
    <w:p>
      <w:pPr>
        <w:pStyle w:val="Heading3"/>
      </w:pPr>
      <w:bookmarkStart w:id="5240" w:name="_Toc3936"/>
      <w:r>
        <w:t>2991- دیوان شمس الجوینی الکبیر أو شعره‏</w:t>
      </w:r>
      <w:bookmarkEnd w:id="5240"/>
    </w:p>
    <w:p>
      <w:pPr>
        <w:pStyle w:val="BookText"/>
      </w:pPr>
      <w:r>
        <w:rPr>
          <w:rFonts w:ascii="IRNazanin" w:hAnsi="IRNazanin" w:eastAsia="IRNazanin" w:cs="IRNazanin"/>
          <w:lang w:bidi="fa-IR"/>
          <w:color w:val="111111"/>
          <w:sz w:val="28"/>
          <w:szCs w:val="28"/>
          <w:rtl/>
        </w:rPr>
        <w:t xml:space="preserve">هو شمس الدین محمد من أحفاد أبی المعالی الجوینی و هو جد صاحب دیوان المذکور ترجمه فی (تش- ص 72) و (روشن- ص 354) و (مع- ج 1 ص 304) و أوردوا شعره‏</w:t>
      </w:r>
    </w:p>
    <w:p>
      <w:pPr>
        <w:pStyle w:val="Heading3"/>
      </w:pPr>
      <w:bookmarkStart w:id="5241" w:name="_Toc3937"/>
      <w:r>
        <w:t>دیوان شمس الحکماء</w:t>
      </w:r>
      <w:bookmarkEnd w:id="5241"/>
    </w:p>
    <w:p>
      <w:pPr>
        <w:pStyle w:val="BookText"/>
      </w:pPr>
      <w:r>
        <w:rPr>
          <w:rFonts w:ascii="IRNazanin" w:hAnsi="IRNazanin" w:eastAsia="IRNazanin" w:cs="IRNazanin"/>
          <w:lang w:bidi="fa-IR"/>
          <w:color w:val="111111"/>
          <w:sz w:val="28"/>
          <w:szCs w:val="28"/>
          <w:rtl/>
        </w:rPr>
        <w:t xml:space="preserve">راجع دیوان لعلی‏</w:t>
      </w:r>
    </w:p>
    <w:p>
      <w:pPr>
        <w:pStyle w:val="Heading3"/>
      </w:pPr>
      <w:bookmarkStart w:id="5242" w:name="_Toc3938"/>
      <w:r>
        <w:t>دیوان شمس خراسانی‏</w:t>
      </w:r>
      <w:bookmarkEnd w:id="5242"/>
    </w:p>
    <w:p>
      <w:pPr>
        <w:pStyle w:val="BookText"/>
      </w:pPr>
      <w:r>
        <w:rPr>
          <w:rFonts w:ascii="IRNazanin" w:hAnsi="IRNazanin" w:eastAsia="IRNazanin" w:cs="IRNazanin"/>
          <w:lang w:bidi="fa-IR"/>
          <w:color w:val="111111"/>
          <w:sz w:val="28"/>
          <w:szCs w:val="28"/>
          <w:rtl/>
        </w:rPr>
        <w:t xml:space="preserve">اسمه شمس الدین خالد الأمیر فی عصر السلطان طغرل السلجوقی ترجمه فی (مع- ج 1 ص 312) و أورد شعره و أظنه متحدا مع شمس البخاری‏</w:t>
      </w:r>
    </w:p>
    <w:p>
      <w:pPr>
        <w:pStyle w:val="Heading3"/>
      </w:pPr>
      <w:bookmarkStart w:id="5243" w:name="_Toc3939"/>
      <w:r>
        <w:t>دیوان شمس الدین أورجندی‏</w:t>
      </w:r>
      <w:bookmarkEnd w:id="5243"/>
    </w:p>
    <w:p>
      <w:pPr>
        <w:pStyle w:val="BookText"/>
      </w:pPr>
      <w:r>
        <w:rPr>
          <w:rFonts w:ascii="IRNazanin" w:hAnsi="IRNazanin" w:eastAsia="IRNazanin" w:cs="IRNazanin"/>
          <w:lang w:bidi="fa-IR"/>
          <w:color w:val="111111"/>
          <w:sz w:val="28"/>
          <w:szCs w:val="28"/>
          <w:rtl/>
        </w:rPr>
        <w:t xml:space="preserve">راجع شمس نسوی‏</w:t>
      </w:r>
    </w:p>
    <w:p>
      <w:pPr>
        <w:pStyle w:val="Heading3"/>
      </w:pPr>
      <w:bookmarkStart w:id="5244" w:name="_Toc3940"/>
      <w:r>
        <w:t>دیوان شمس الدین بخاری‏</w:t>
      </w:r>
      <w:bookmarkEnd w:id="5244"/>
    </w:p>
    <w:p>
      <w:pPr>
        <w:pStyle w:val="BookText"/>
      </w:pPr>
      <w:r>
        <w:rPr>
          <w:rFonts w:ascii="IRNazanin" w:hAnsi="IRNazanin" w:eastAsia="IRNazanin" w:cs="IRNazanin"/>
          <w:lang w:bidi="fa-IR"/>
          <w:color w:val="111111"/>
          <w:sz w:val="28"/>
          <w:szCs w:val="28"/>
          <w:rtl/>
        </w:rPr>
        <w:t xml:space="preserve">راجع شمس بخاری‏</w:t>
      </w:r>
    </w:p>
    <w:p>
      <w:pPr>
        <w:pStyle w:val="Heading3"/>
      </w:pPr>
      <w:bookmarkStart w:id="5245" w:name="_Toc3941"/>
      <w:r>
        <w:t>دیوان شمس الدین بردعی‏</w:t>
      </w:r>
      <w:bookmarkEnd w:id="5245"/>
    </w:p>
    <w:p>
      <w:pPr>
        <w:pStyle w:val="BookText"/>
      </w:pPr>
      <w:r>
        <w:rPr>
          <w:rFonts w:ascii="IRNazanin" w:hAnsi="IRNazanin" w:eastAsia="IRNazanin" w:cs="IRNazanin"/>
          <w:lang w:bidi="fa-IR"/>
          <w:color w:val="111111"/>
          <w:sz w:val="28"/>
          <w:szCs w:val="28"/>
          <w:rtl/>
        </w:rPr>
        <w:t xml:space="preserve">مر فی (ص 266) بعنوان حمدی و ترجمه فی حبیب السیر و کان حیا حین تألیفه‏</w:t>
      </w:r>
    </w:p>
    <w:p>
      <w:pPr>
        <w:pStyle w:val="Heading3"/>
      </w:pPr>
      <w:bookmarkStart w:id="5246" w:name="_Toc3942"/>
      <w:r>
        <w:t>دیوان شمس الدین تبریزی‏</w:t>
      </w:r>
      <w:bookmarkEnd w:id="5246"/>
    </w:p>
    <w:p>
      <w:pPr>
        <w:pStyle w:val="BookText"/>
      </w:pPr>
      <w:r>
        <w:rPr>
          <w:rFonts w:ascii="IRNazanin" w:hAnsi="IRNazanin" w:eastAsia="IRNazanin" w:cs="IRNazanin"/>
          <w:lang w:bidi="fa-IR"/>
          <w:color w:val="111111"/>
          <w:sz w:val="28"/>
          <w:szCs w:val="28"/>
          <w:rtl/>
        </w:rPr>
        <w:t xml:space="preserve">راجع شمس تبریزی و شمس الدین قواس‏</w:t>
      </w:r>
    </w:p>
    <w:p>
      <w:pPr>
        <w:pStyle w:val="Heading3"/>
      </w:pPr>
      <w:bookmarkStart w:id="5247" w:name="_Toc3943"/>
      <w:r>
        <w:t>دیوان شمس الدین جاسبی‏</w:t>
      </w:r>
      <w:bookmarkEnd w:id="5247"/>
    </w:p>
    <w:p>
      <w:pPr>
        <w:pStyle w:val="BookText"/>
      </w:pPr>
      <w:r>
        <w:rPr>
          <w:rFonts w:ascii="IRNazanin" w:hAnsi="IRNazanin" w:eastAsia="IRNazanin" w:cs="IRNazanin"/>
          <w:lang w:bidi="fa-IR"/>
          <w:color w:val="111111"/>
          <w:sz w:val="28"/>
          <w:szCs w:val="28"/>
          <w:rtl/>
        </w:rPr>
        <w:t xml:space="preserve">راجع شمس الدین قمی‏</w:t>
      </w:r>
    </w:p>
    <w:p>
      <w:pPr>
        <w:pStyle w:val="Heading3"/>
      </w:pPr>
      <w:bookmarkStart w:id="5248" w:name="_Toc3944"/>
      <w:r>
        <w:t>دیوان شمس الدین الجرجانی‏</w:t>
      </w:r>
      <w:bookmarkEnd w:id="5248"/>
    </w:p>
    <w:p>
      <w:pPr>
        <w:pStyle w:val="BookText"/>
      </w:pPr>
      <w:r>
        <w:rPr>
          <w:rFonts w:ascii="IRNazanin" w:hAnsi="IRNazanin" w:eastAsia="IRNazanin" w:cs="IRNazanin"/>
          <w:lang w:bidi="fa-IR"/>
          <w:color w:val="111111"/>
          <w:sz w:val="28"/>
          <w:szCs w:val="28"/>
          <w:rtl/>
        </w:rPr>
        <w:t xml:space="preserve">راجع شریفی شیرازی و تفسیر شاهی‏</w:t>
      </w:r>
    </w:p>
    <w:p>
      <w:pPr>
        <w:pStyle w:val="Heading3"/>
      </w:pPr>
      <w:bookmarkStart w:id="5249" w:name="_Toc3945"/>
      <w:r>
        <w:t>دیوان شمس الدین الجوینی‏</w:t>
      </w:r>
      <w:bookmarkEnd w:id="5249"/>
    </w:p>
    <w:p>
      <w:pPr>
        <w:pStyle w:val="BookText"/>
      </w:pPr>
      <w:r>
        <w:rPr>
          <w:rFonts w:ascii="IRNazanin" w:hAnsi="IRNazanin" w:eastAsia="IRNazanin" w:cs="IRNazanin"/>
          <w:lang w:bidi="fa-IR"/>
          <w:color w:val="111111"/>
          <w:sz w:val="28"/>
          <w:szCs w:val="28"/>
          <w:rtl/>
        </w:rPr>
        <w:t xml:space="preserve">راجع شمس جوینی‏</w:t>
      </w:r>
    </w:p>
    <w:p>
      <w:pPr>
        <w:pStyle w:val="Heading3"/>
      </w:pPr>
      <w:bookmarkStart w:id="5250" w:name="_Toc3946"/>
      <w:r>
        <w:t>دیوان شمس الدین خالد</w:t>
      </w:r>
      <w:bookmarkEnd w:id="5250"/>
    </w:p>
    <w:p>
      <w:pPr>
        <w:pStyle w:val="BookText"/>
      </w:pPr>
      <w:r>
        <w:rPr>
          <w:rFonts w:ascii="IRNazanin" w:hAnsi="IRNazanin" w:eastAsia="IRNazanin" w:cs="IRNazanin"/>
          <w:lang w:bidi="fa-IR"/>
          <w:color w:val="111111"/>
          <w:sz w:val="28"/>
          <w:szCs w:val="28"/>
          <w:rtl/>
        </w:rPr>
        <w:t xml:space="preserve">راجع شمس بخاری‏</w:t>
      </w:r>
    </w:p>
    <w:p>
      <w:pPr>
        <w:pStyle w:val="Heading3"/>
      </w:pPr>
      <w:bookmarkStart w:id="5251" w:name="_Toc3947"/>
      <w:r>
        <w:t>2992- دیوان شمس الدین شهرستانی أو شعره‏</w:t>
      </w:r>
      <w:bookmarkEnd w:id="5251"/>
    </w:p>
    <w:p>
      <w:pPr>
        <w:pStyle w:val="BookText"/>
      </w:pPr>
      <w:r>
        <w:rPr>
          <w:rFonts w:ascii="IRNazanin" w:hAnsi="IRNazanin" w:eastAsia="IRNazanin" w:cs="IRNazanin"/>
          <w:lang w:bidi="fa-IR"/>
          <w:color w:val="111111"/>
          <w:sz w:val="28"/>
          <w:szCs w:val="28"/>
          <w:rtl/>
        </w:rPr>
        <w:t xml:space="preserve">و هو المیرزا شمس الدین محمد ابن محمد رضا بن المیر عنایة الله الشهرستانی، و أمه بنت رفیع الدین صدر قال فی (نر 5- ص 99- 100) إنه نصب متولیا لأوقاف آذربایجان، و قبل أن یسافر إلی تلک البلاد زاد رجل آخر فی ثمن هذا المنصب فعزل شمس الدین عنه، و نصب علی قری ماربین بأصفهان و لکنه عزل عنه أیضا ثم أورد شعره و ترجمه أیضا فی (خوش‏گو) و (تغ- ص 75) و (روشن- ص 355)</w:t>
      </w:r>
    </w:p>
    <w:p>
      <w:pPr>
        <w:pStyle w:val="Heading3"/>
      </w:pPr>
      <w:bookmarkStart w:id="5252" w:name="_Toc3948"/>
      <w:r>
        <w:t>دیوان شمس الدین الطبسی‏</w:t>
      </w:r>
      <w:bookmarkEnd w:id="5252"/>
    </w:p>
    <w:p>
      <w:pPr>
        <w:pStyle w:val="BookText"/>
      </w:pPr>
      <w:r>
        <w:rPr>
          <w:rFonts w:ascii="IRNazanin" w:hAnsi="IRNazanin" w:eastAsia="IRNazanin" w:cs="IRNazanin"/>
          <w:lang w:bidi="fa-IR"/>
          <w:color w:val="111111"/>
          <w:sz w:val="28"/>
          <w:szCs w:val="28"/>
          <w:rtl/>
        </w:rPr>
        <w:t xml:space="preserve">راجع شمس طبسی‏</w:t>
      </w:r>
    </w:p>
    <w:p>
      <w:pPr>
        <w:pStyle w:val="Heading3"/>
      </w:pPr>
      <w:bookmarkStart w:id="5253" w:name="_Toc3949"/>
      <w:r>
        <w:t>دیوان شمس الدین فقیر</w:t>
      </w:r>
      <w:bookmarkEnd w:id="5253"/>
    </w:p>
    <w:p>
      <w:pPr>
        <w:pStyle w:val="BookText"/>
      </w:pPr>
      <w:r>
        <w:rPr>
          <w:rFonts w:ascii="IRNazanin" w:hAnsi="IRNazanin" w:eastAsia="IRNazanin" w:cs="IRNazanin"/>
          <w:lang w:bidi="fa-IR"/>
          <w:color w:val="111111"/>
          <w:sz w:val="28"/>
          <w:szCs w:val="28"/>
          <w:rtl/>
        </w:rPr>
        <w:t xml:space="preserve">راجع دیوان فقیر فی الفاء</w:t>
      </w:r>
    </w:p>
    <w:p>
      <w:pPr>
        <w:pStyle w:val="Heading3"/>
      </w:pPr>
      <w:bookmarkStart w:id="5254" w:name="_Toc3950"/>
      <w:r>
        <w:t>دیوان شمس الدین القاضی‏</w:t>
      </w:r>
      <w:bookmarkEnd w:id="5254"/>
    </w:p>
    <w:p>
      <w:pPr>
        <w:pStyle w:val="BookText"/>
      </w:pPr>
      <w:r>
        <w:rPr>
          <w:rFonts w:ascii="IRNazanin" w:hAnsi="IRNazanin" w:eastAsia="IRNazanin" w:cs="IRNazanin"/>
          <w:lang w:bidi="fa-IR"/>
          <w:color w:val="111111"/>
          <w:sz w:val="28"/>
          <w:szCs w:val="28"/>
          <w:rtl/>
        </w:rPr>
        <w:t xml:space="preserve">قال سنگلاخ فی امتحان الفضلاء- ج 2 ص 267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534" w:name="pg11704_122017"/>
    <w:bookmarkEnd w:id="534"/>
    <w:p>
      <w:pPr>
        <w:pStyle w:val="BookText"/>
      </w:pPr>
      <w:r>
        <w:rPr>
          <w:rFonts w:ascii="IRNazanin" w:hAnsi="IRNazanin" w:eastAsia="IRNazanin" w:cs="IRNazanin"/>
          <w:lang w:bidi="fa-IR"/>
          <w:color w:val="111111"/>
          <w:sz w:val="28"/>
          <w:szCs w:val="28"/>
          <w:rtl/>
        </w:rPr>
        <w:t xml:space="preserve">إنه رأی دیوانه بخط مختار بیگ القزوینی مختار الخطاطین و جاء بهذا العنوان أیضا فی (گلستان مسرت- ص 497 و أظنه شمس طبسی أو شمس نسائی أو شمس هروی‏</w:t>
      </w:r>
    </w:p>
    <w:p>
      <w:pPr>
        <w:pStyle w:val="Heading3"/>
      </w:pPr>
      <w:bookmarkStart w:id="5255" w:name="_Toc3951"/>
      <w:r>
        <w:t>2993- دیوان شمس الدین قمی أو شعره‏</w:t>
      </w:r>
      <w:bookmarkEnd w:id="5255"/>
    </w:p>
    <w:p>
      <w:pPr>
        <w:pStyle w:val="BookText"/>
      </w:pPr>
      <w:r>
        <w:rPr>
          <w:rFonts w:ascii="IRNazanin" w:hAnsi="IRNazanin" w:eastAsia="IRNazanin" w:cs="IRNazanin"/>
          <w:lang w:bidi="fa-IR"/>
          <w:color w:val="111111"/>
          <w:sz w:val="28"/>
          <w:szCs w:val="28"/>
          <w:rtl/>
        </w:rPr>
        <w:t xml:space="preserve">و أصله من جاسب من توابع قم ذکره فی (تش- ص 232)</w:t>
      </w:r>
    </w:p>
    <w:p>
      <w:pPr>
        <w:pStyle w:val="Heading3"/>
      </w:pPr>
      <w:bookmarkStart w:id="5256" w:name="_Toc3952"/>
      <w:r>
        <w:t>2994- دیوان شمس الدین قواس أو شعره‏</w:t>
      </w:r>
      <w:bookmarkEnd w:id="5256"/>
    </w:p>
    <w:p>
      <w:pPr>
        <w:pStyle w:val="BookText"/>
      </w:pPr>
      <w:r>
        <w:rPr>
          <w:rFonts w:ascii="IRNazanin" w:hAnsi="IRNazanin" w:eastAsia="IRNazanin" w:cs="IRNazanin"/>
          <w:lang w:bidi="fa-IR"/>
          <w:color w:val="111111"/>
          <w:sz w:val="28"/>
          <w:szCs w:val="28"/>
          <w:rtl/>
        </w:rPr>
        <w:t xml:space="preserve">تبریزی، أورد شعره فی (دجا- ص 207) عن عرفات العاشقین‏</w:t>
      </w:r>
    </w:p>
    <w:p>
      <w:pPr>
        <w:pStyle w:val="Heading3"/>
      </w:pPr>
      <w:bookmarkStart w:id="5257" w:name="_Toc3953"/>
      <w:r>
        <w:t>2995- دیوان شمس الدین کاشی أو شعره‏</w:t>
      </w:r>
      <w:bookmarkEnd w:id="5257"/>
    </w:p>
    <w:p>
      <w:pPr>
        <w:pStyle w:val="BookText"/>
      </w:pPr>
      <w:r>
        <w:rPr>
          <w:rFonts w:ascii="IRNazanin" w:hAnsi="IRNazanin" w:eastAsia="IRNazanin" w:cs="IRNazanin"/>
          <w:lang w:bidi="fa-IR"/>
          <w:color w:val="111111"/>
          <w:sz w:val="28"/>
          <w:szCs w:val="28"/>
          <w:rtl/>
        </w:rPr>
        <w:t xml:space="preserve">المتوفی بتبریز فی (602) و هو الذی جمع دیوان ظهیر الفاریابی کما فی تاریخ گزیده (ص 821) و توجد فی مقدمه نسخه من دیوان ظهیر الموجودة بمکتبة (سپهسالار) أن الجامع للدیوان شاعر جاء من وطنه إلی تبریز لزیارة الظهیر، و کان قد توفی الظهیر فی (598) فجمع دیوانه و أهداه إلی مجد الدین ملک الصدور قاسم الأیادی کما ذکر فی فهرسها (ج 2 ص 633) و لیس هو شمس الدین کاشی المذکور بعد</w:t>
      </w:r>
    </w:p>
    <w:p>
      <w:pPr>
        <w:pStyle w:val="Heading3"/>
      </w:pPr>
      <w:bookmarkStart w:id="5258" w:name="_Toc3954"/>
      <w:r>
        <w:t>2996- دیوان شمس الدین کاشی‏</w:t>
      </w:r>
      <w:bookmarkEnd w:id="5258"/>
    </w:p>
    <w:p>
      <w:pPr>
        <w:pStyle w:val="BookText"/>
      </w:pPr>
      <w:r>
        <w:rPr>
          <w:rFonts w:ascii="IRNazanin" w:hAnsi="IRNazanin" w:eastAsia="IRNazanin" w:cs="IRNazanin"/>
          <w:lang w:bidi="fa-IR"/>
          <w:color w:val="111111"/>
          <w:sz w:val="28"/>
          <w:szCs w:val="28"/>
          <w:rtl/>
        </w:rPr>
        <w:t xml:space="preserve">ذکره فی تاریخ گزیده (ص 821) بعد ذکره لشمس الدین کاشی المذکور آنفا، فقال له قصائد مصنوعة مدح بها الخواجة بهاء الدین صاحب الدیوان الجوینی و نظم تاریخا بالعربیة، و مات فی هذه السنتین- و تألیف گزیده فی 730- (أقول) و قد وقع بین أدباء کاشان خلاف فی (4- 673) هل أن شعر الظهیر الفاریابی أقوی أم شعر الأنوری؟ فبعث شمس الدین الکاشی بقصیدة إلی مجد همگر یستفتیه فی ذلک، فأجابه بالقصیدة المعروفة و لعل هذه القضیة وقعت فی أوان شبابه هذا قد خلط فی حبیب السیر فی الجزء الأول من المجلد الثالث (ص 109 ط: طهران علی الحجر- و ج 3 ص 191 ط: طهران علی الحروف) بین الشمسین الکاشانیین هذین‏</w:t>
      </w:r>
    </w:p>
    <w:p>
      <w:pPr>
        <w:pStyle w:val="Heading3"/>
      </w:pPr>
      <w:bookmarkStart w:id="5259" w:name="_Toc3955"/>
      <w:r>
        <w:t>2997- دیوان شمس الدین کرت أو شعره‏</w:t>
      </w:r>
      <w:bookmarkEnd w:id="5259"/>
    </w:p>
    <w:p>
      <w:pPr>
        <w:pStyle w:val="BookText"/>
      </w:pPr>
      <w:r>
        <w:rPr>
          <w:rFonts w:ascii="IRNazanin" w:hAnsi="IRNazanin" w:eastAsia="IRNazanin" w:cs="IRNazanin"/>
          <w:lang w:bidi="fa-IR"/>
          <w:color w:val="111111"/>
          <w:sz w:val="28"/>
          <w:szCs w:val="28"/>
          <w:rtl/>
        </w:rPr>
        <w:t xml:space="preserve">حارب المغول و کسرهم ثم کسروه و استسلم إلی چنگیز و مات (676) ترجمه و أورد شعره فی (تش- ص 16) و (تغ- ص 75)</w:t>
      </w:r>
    </w:p>
    <w:p>
      <w:pPr>
        <w:pStyle w:val="Heading3"/>
      </w:pPr>
      <w:bookmarkStart w:id="5260" w:name="_Toc3956"/>
      <w:r>
        <w:t>2998- دیوان شمس الدین کرمانی أو شعره‏</w:t>
      </w:r>
      <w:bookmarkEnd w:id="5260"/>
    </w:p>
    <w:p>
      <w:pPr>
        <w:pStyle w:val="BookText"/>
      </w:pPr>
      <w:r>
        <w:rPr>
          <w:rFonts w:ascii="IRNazanin" w:hAnsi="IRNazanin" w:eastAsia="IRNazanin" w:cs="IRNazanin"/>
          <w:lang w:bidi="fa-IR"/>
          <w:color w:val="111111"/>
          <w:sz w:val="28"/>
          <w:szCs w:val="28"/>
          <w:rtl/>
        </w:rPr>
        <w:t xml:space="preserve">و اسمه المیر شمس الدین، من أکابر البلدة أورد شعره فی (تس 2- ص 38)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535" w:name="pg11704_122018"/>
    <w:bookmarkEnd w:id="535"/>
    <w:p>
      <w:pPr>
        <w:pStyle w:val="Heading3"/>
      </w:pPr>
      <w:bookmarkStart w:id="5261" w:name="_Toc3957"/>
      <w:r>
        <w:t>2999- دیوان شمس الدین الکوفی‏</w:t>
      </w:r>
      <w:bookmarkEnd w:id="5261"/>
    </w:p>
    <w:p>
      <w:pPr>
        <w:pStyle w:val="BookText"/>
      </w:pPr>
      <w:r>
        <w:rPr>
          <w:rFonts w:ascii="IRNazanin" w:hAnsi="IRNazanin" w:eastAsia="IRNazanin" w:cs="IRNazanin"/>
          <w:lang w:bidi="fa-IR"/>
          <w:color w:val="111111"/>
          <w:sz w:val="28"/>
          <w:szCs w:val="28"/>
          <w:rtl/>
        </w:rPr>
        <w:t xml:space="preserve">و هو أبو القاسم علی، ناظر الکوفة ولد (536) ذکر ابن أنجب فی الدر الثمین فی أسماء المصنفین أنه ناوله دیوانه بخطه علی ما حکی عنه السید تاج الدین ابن زهرة، و قال کان السید شمس الدین بن المختار من آل الحسین الأصغر، سیدا متأدبا شاعرا نقیبا بالکوفة</w:t>
      </w:r>
    </w:p>
    <w:p>
      <w:pPr>
        <w:pStyle w:val="Heading3"/>
      </w:pPr>
      <w:bookmarkStart w:id="5262" w:name="_Toc3958"/>
      <w:r>
        <w:t>دیوان شمس الدین گیلانی‏</w:t>
      </w:r>
      <w:bookmarkEnd w:id="5262"/>
    </w:p>
    <w:p>
      <w:pPr>
        <w:pStyle w:val="BookText"/>
      </w:pPr>
      <w:r>
        <w:rPr>
          <w:rFonts w:ascii="IRNazanin" w:hAnsi="IRNazanin" w:eastAsia="IRNazanin" w:cs="IRNazanin"/>
          <w:lang w:bidi="fa-IR"/>
          <w:color w:val="111111"/>
          <w:sz w:val="28"/>
          <w:szCs w:val="28"/>
          <w:rtl/>
        </w:rPr>
        <w:t xml:space="preserve">راجع شمسا گیلانی‏</w:t>
      </w:r>
    </w:p>
    <w:p>
      <w:pPr>
        <w:pStyle w:val="Heading3"/>
      </w:pPr>
      <w:bookmarkStart w:id="5263" w:name="_Toc3959"/>
      <w:r>
        <w:t>دیوان شمس الدین گیلانی‏</w:t>
      </w:r>
      <w:bookmarkEnd w:id="5263"/>
    </w:p>
    <w:p>
      <w:pPr>
        <w:pStyle w:val="BookText"/>
      </w:pPr>
      <w:r>
        <w:rPr>
          <w:rFonts w:ascii="IRNazanin" w:hAnsi="IRNazanin" w:eastAsia="IRNazanin" w:cs="IRNazanin"/>
          <w:lang w:bidi="fa-IR"/>
          <w:color w:val="111111"/>
          <w:sz w:val="28"/>
          <w:szCs w:val="28"/>
          <w:rtl/>
        </w:rPr>
        <w:t xml:space="preserve">شارح گلشن راز مر بتخلصه أثیری فی (ص 54)</w:t>
      </w:r>
    </w:p>
    <w:p>
      <w:pPr>
        <w:pStyle w:val="Heading3"/>
      </w:pPr>
      <w:bookmarkStart w:id="5264" w:name="_Toc3960"/>
      <w:r>
        <w:t>دیوان شمس الدین لاهیجی‏</w:t>
      </w:r>
      <w:bookmarkEnd w:id="5264"/>
    </w:p>
    <w:p>
      <w:pPr>
        <w:pStyle w:val="BookText"/>
      </w:pPr>
      <w:r>
        <w:rPr>
          <w:rFonts w:ascii="IRNazanin" w:hAnsi="IRNazanin" w:eastAsia="IRNazanin" w:cs="IRNazanin"/>
          <w:lang w:bidi="fa-IR"/>
          <w:color w:val="111111"/>
          <w:sz w:val="28"/>
          <w:szCs w:val="28"/>
          <w:rtl/>
        </w:rPr>
        <w:t xml:space="preserve">راجع أثیری فی (ص 54)</w:t>
      </w:r>
    </w:p>
    <w:p>
      <w:pPr>
        <w:pStyle w:val="Heading3"/>
      </w:pPr>
      <w:bookmarkStart w:id="5265" w:name="_Toc3961"/>
      <w:r>
        <w:t>دیوان شمس الدین لاهیجی‏</w:t>
      </w:r>
      <w:bookmarkEnd w:id="5265"/>
    </w:p>
    <w:p>
      <w:pPr>
        <w:pStyle w:val="BookText"/>
      </w:pPr>
      <w:r>
        <w:rPr>
          <w:rFonts w:ascii="IRNazanin" w:hAnsi="IRNazanin" w:eastAsia="IRNazanin" w:cs="IRNazanin"/>
          <w:lang w:bidi="fa-IR"/>
          <w:color w:val="111111"/>
          <w:sz w:val="28"/>
          <w:szCs w:val="28"/>
          <w:rtl/>
        </w:rPr>
        <w:t xml:space="preserve">راجع شمس الدین معلم‏</w:t>
      </w:r>
    </w:p>
    <w:p>
      <w:pPr>
        <w:pStyle w:val="Heading3"/>
      </w:pPr>
      <w:bookmarkStart w:id="5266" w:name="_Toc3962"/>
      <w:r>
        <w:t>دیوان شمس الدین لطیفی‏</w:t>
      </w:r>
      <w:bookmarkEnd w:id="5266"/>
    </w:p>
    <w:p>
      <w:pPr>
        <w:pStyle w:val="BookText"/>
      </w:pPr>
      <w:r>
        <w:rPr>
          <w:rFonts w:ascii="IRNazanin" w:hAnsi="IRNazanin" w:eastAsia="IRNazanin" w:cs="IRNazanin"/>
          <w:lang w:bidi="fa-IR"/>
          <w:color w:val="111111"/>
          <w:sz w:val="28"/>
          <w:szCs w:val="28"/>
          <w:rtl/>
        </w:rPr>
        <w:t xml:space="preserve">یأتی فی اللام‏</w:t>
      </w:r>
    </w:p>
    <w:p>
      <w:pPr>
        <w:pStyle w:val="Heading3"/>
      </w:pPr>
      <w:bookmarkStart w:id="5267" w:name="_Toc3963"/>
      <w:r>
        <w:t>3000- دیوان شمس الدین معلم‏</w:t>
      </w:r>
      <w:bookmarkEnd w:id="5267"/>
    </w:p>
    <w:p>
      <w:pPr>
        <w:pStyle w:val="BookText"/>
      </w:pPr>
      <w:r>
        <w:rPr>
          <w:rFonts w:ascii="IRNazanin" w:hAnsi="IRNazanin" w:eastAsia="IRNazanin" w:cs="IRNazanin"/>
          <w:lang w:bidi="fa-IR"/>
          <w:color w:val="111111"/>
          <w:sz w:val="28"/>
          <w:szCs w:val="28"/>
          <w:rtl/>
        </w:rPr>
        <w:t xml:space="preserve">القاضی اللاهیجانی المولد، لازم السلطان الشاه إسماعیل الفاتح من أول ظهور الدولة الصفویة و صار صدر الممالک، و کان یعلم بعض الشاهزادات و ترک الأشغال أخیرا، و تجاوز عمره التسعین، و کان حیا فی زمن تألیف التحفة السامیة (957) کما ذکر مع بعض شعره فی (تس 2- ص 51) و (روشن- ص 356)</w:t>
      </w:r>
    </w:p>
    <w:p>
      <w:pPr>
        <w:pStyle w:val="Heading3"/>
      </w:pPr>
      <w:bookmarkStart w:id="5268" w:name="_Toc3964"/>
      <w:r>
        <w:t>3001- دیوان شمس ساوه‏ئی أو شعره‏</w:t>
      </w:r>
      <w:bookmarkEnd w:id="5268"/>
    </w:p>
    <w:p>
      <w:pPr>
        <w:pStyle w:val="BookText"/>
      </w:pPr>
      <w:r>
        <w:rPr>
          <w:rFonts w:ascii="IRNazanin" w:hAnsi="IRNazanin" w:eastAsia="IRNazanin" w:cs="IRNazanin"/>
          <w:lang w:bidi="fa-IR"/>
          <w:color w:val="111111"/>
          <w:sz w:val="28"/>
          <w:szCs w:val="28"/>
          <w:rtl/>
        </w:rPr>
        <w:t xml:space="preserve">هو السید شمس الدین الحسینی الکاشانی الهجاء کان والده متولی مقبرة بابا شجاع فی کاشان ترجمه معاصره سام میرزا فی (تس 2- ص 44) و أورد شعره‏</w:t>
      </w:r>
    </w:p>
    <w:p>
      <w:pPr>
        <w:pStyle w:val="Heading3"/>
      </w:pPr>
      <w:bookmarkStart w:id="5269" w:name="_Toc3965"/>
      <w:r>
        <w:t>دیوان شمس السمرقندی‏</w:t>
      </w:r>
      <w:bookmarkEnd w:id="5269"/>
    </w:p>
    <w:p>
      <w:pPr>
        <w:pStyle w:val="BookText"/>
      </w:pPr>
      <w:r>
        <w:rPr>
          <w:rFonts w:ascii="IRNazanin" w:hAnsi="IRNazanin" w:eastAsia="IRNazanin" w:cs="IRNazanin"/>
          <w:lang w:bidi="fa-IR"/>
          <w:color w:val="111111"/>
          <w:sz w:val="28"/>
          <w:szCs w:val="28"/>
          <w:rtl/>
        </w:rPr>
        <w:t xml:space="preserve">مر بما اشتهر به بعنوان الحکیم سوزنی فی (ص 476)</w:t>
      </w:r>
    </w:p>
    <w:p>
      <w:pPr>
        <w:pStyle w:val="Heading3"/>
      </w:pPr>
      <w:bookmarkStart w:id="5270" w:name="_Toc3966"/>
      <w:r>
        <w:t>دیوان شمس سمرقندی‏</w:t>
      </w:r>
      <w:bookmarkEnd w:id="5270"/>
    </w:p>
    <w:p>
      <w:pPr>
        <w:pStyle w:val="BookText"/>
      </w:pPr>
      <w:r>
        <w:rPr>
          <w:rFonts w:ascii="IRNazanin" w:hAnsi="IRNazanin" w:eastAsia="IRNazanin" w:cs="IRNazanin"/>
          <w:lang w:bidi="fa-IR"/>
          <w:color w:val="111111"/>
          <w:sz w:val="28"/>
          <w:szCs w:val="28"/>
          <w:rtl/>
        </w:rPr>
        <w:t xml:space="preserve">راجع شمس أعرج‏</w:t>
      </w:r>
    </w:p>
    <w:p>
      <w:pPr>
        <w:pStyle w:val="Heading3"/>
      </w:pPr>
      <w:bookmarkStart w:id="5271" w:name="_Toc3967"/>
      <w:r>
        <w:t>3002- دیوان شمس شیرازی أو شعره‏</w:t>
      </w:r>
      <w:bookmarkEnd w:id="5271"/>
    </w:p>
    <w:p>
      <w:pPr>
        <w:pStyle w:val="BookText"/>
      </w:pPr>
      <w:r>
        <w:rPr>
          <w:rFonts w:ascii="IRNazanin" w:hAnsi="IRNazanin" w:eastAsia="IRNazanin" w:cs="IRNazanin"/>
          <w:lang w:bidi="fa-IR"/>
          <w:color w:val="111111"/>
          <w:sz w:val="28"/>
          <w:szCs w:val="28"/>
          <w:rtl/>
        </w:rPr>
        <w:t xml:space="preserve">ترجمه فی (ض- ص 364) و ذکر أنه کان مراد الخواجة حافظ الشیرازی و أستاذ قوام الدین أبی إسحاق و غیره، و توفی (772) و أورد رباعیته و کذا فی (گلشن- ص 225) و قال کان ماهرا فی الموسیقی و کذا فی فارس‏نامه- ج 2 ص 148</w:t>
      </w:r>
    </w:p>
    <w:p>
      <w:pPr>
        <w:pStyle w:val="Heading3"/>
      </w:pPr>
      <w:bookmarkStart w:id="5272" w:name="_Toc3968"/>
      <w:r>
        <w:t>3003- دیوان شمس شیرازی أو شعره‏</w:t>
      </w:r>
      <w:bookmarkEnd w:id="5272"/>
    </w:p>
    <w:p>
      <w:pPr>
        <w:pStyle w:val="BookText"/>
      </w:pPr>
      <w:r>
        <w:rPr>
          <w:rFonts w:ascii="IRNazanin" w:hAnsi="IRNazanin" w:eastAsia="IRNazanin" w:cs="IRNazanin"/>
          <w:lang w:bidi="fa-IR"/>
          <w:color w:val="111111"/>
          <w:sz w:val="28"/>
          <w:szCs w:val="28"/>
          <w:rtl/>
        </w:rPr>
        <w:t xml:space="preserve">المعروف تیشی جاء من شیراز إلی أصفهان و کان ماهرا فی الموسیقی، فتقرب عند الشاه عباس الأول فأباح له بیع الخمر علنا فی چهار باغ ترجمه و أورد شعره فی (نر 5- ص 147)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536" w:name="pg11704_122019"/>
    <w:bookmarkEnd w:id="536"/>
    <w:p>
      <w:pPr>
        <w:pStyle w:val="Heading3"/>
      </w:pPr>
      <w:bookmarkStart w:id="5273" w:name="_Toc3969"/>
      <w:r>
        <w:t>3004- دیوان شمس طبسی‏</w:t>
      </w:r>
      <w:bookmarkEnd w:id="5273"/>
    </w:p>
    <w:p>
      <w:pPr>
        <w:pStyle w:val="BookText"/>
      </w:pPr>
      <w:r>
        <w:rPr>
          <w:rFonts w:ascii="IRNazanin" w:hAnsi="IRNazanin" w:eastAsia="IRNazanin" w:cs="IRNazanin"/>
          <w:lang w:bidi="fa-IR"/>
          <w:color w:val="111111"/>
          <w:sz w:val="28"/>
          <w:szCs w:val="28"/>
          <w:rtl/>
        </w:rPr>
        <w:t xml:space="preserve">هو شمس الدین محمد بن عبد الکریم القاضی بهراة إلی أن توفی (626) ترجمه فی تاریخ گزیده (ص 821)، قال و دیوانه مشهور و ترجمه مفصلا فی (دولت- 3) و فی آثار البلاد- ص 272 و لباب الألباب- 11 (ج 2 ص 307) و (تش- ص 67) و مرآة الخیال (ص 38) و (هفت- ص 19) و (تغ 76) و (روشن 356) و (ض- ص 361) و لکن فی (مع- ج 1 ص 306) ذکر أنه توفی (624) قال و رأیت دیوانه بشیراز فی مکتبة النواب فریدون میرزا فی حدود ألفی بیت و قد خلط شعره مع شعر ظهیر الفاریابی فطبع باسم ظهیر فی أصفهان، و قال کاتب المقدمة للطبعة: إن ظهیر قد یتخلص شمس و قال سنگلاخ فی (امتحان الفضلاء- ج 1 ص 122 و ص 152) إنه رأی نسختین من دیوانه إحداهما بخط أحمد مشهدی غزال العین و الأخری بخط المیر محمد و توجد نسخه من دیوانه تشتمل علی ألفی بیت فی (المجلس) کما فی فهرسها (3: 316- 318) و راجع شمس الدین قاضی‏</w:t>
      </w:r>
    </w:p>
    <w:p>
      <w:pPr>
        <w:pStyle w:val="Heading3"/>
      </w:pPr>
      <w:bookmarkStart w:id="5274" w:name="_Toc3970"/>
      <w:r>
        <w:t>دیوان شمس کاشی‏</w:t>
      </w:r>
      <w:bookmarkEnd w:id="5274"/>
    </w:p>
    <w:p>
      <w:pPr>
        <w:pStyle w:val="BookText"/>
      </w:pPr>
      <w:r>
        <w:rPr>
          <w:rFonts w:ascii="IRNazanin" w:hAnsi="IRNazanin" w:eastAsia="IRNazanin" w:cs="IRNazanin"/>
          <w:lang w:bidi="fa-IR"/>
          <w:color w:val="111111"/>
          <w:sz w:val="28"/>
          <w:szCs w:val="28"/>
          <w:rtl/>
        </w:rPr>
        <w:t xml:space="preserve">راجع دیوان شمس الدین کاشی‏</w:t>
      </w:r>
    </w:p>
    <w:p>
      <w:pPr>
        <w:pStyle w:val="Heading3"/>
      </w:pPr>
      <w:bookmarkStart w:id="5275" w:name="_Toc3971"/>
      <w:r>
        <w:t>3005- دیوان شمس فخری‏</w:t>
      </w:r>
      <w:bookmarkEnd w:id="5275"/>
    </w:p>
    <w:p>
      <w:pPr>
        <w:pStyle w:val="BookText"/>
      </w:pPr>
      <w:r>
        <w:rPr>
          <w:rFonts w:ascii="IRNazanin" w:hAnsi="IRNazanin" w:eastAsia="IRNazanin" w:cs="IRNazanin"/>
          <w:lang w:bidi="fa-IR"/>
          <w:color w:val="111111"/>
          <w:sz w:val="28"/>
          <w:szCs w:val="28"/>
          <w:rtl/>
        </w:rPr>
        <w:t xml:space="preserve">هو شمس الدین بن فخر الدین الأصفهانی، من شعراء الشاه أبی إسحاق جمال الدین بن محمود، و معاصر الخواجة حافظ الشیرازی له معیار جمالی ألفه باسم الشاه المذکور فی العروض و القوافی و البدیع و اللغة و نظم لکل مادة فی لغته شعرا یستشهد به لمورد استعماله بالفارسیة، و کلها مدیح للشاه المذکور و له معیار نصرتی ألفه باسم أتابک نصرة الدین حاکم لرستان فی (713) کان یسکن قم أولا فی (732) و بها نظم مخزن البحور و مجمع الصنائع و بعد ذلک سافر إلی شیراز و لحق بالشاه أبی إسحاق‏</w:t>
      </w:r>
    </w:p>
    <w:p>
      <w:pPr>
        <w:pStyle w:val="Heading3"/>
      </w:pPr>
      <w:bookmarkStart w:id="5276" w:name="_Toc3972"/>
      <w:r>
        <w:t>3006- دیوان شمس قیس رازی أو شعره‏</w:t>
      </w:r>
      <w:bookmarkEnd w:id="5276"/>
    </w:p>
    <w:p>
      <w:pPr>
        <w:pStyle w:val="BookText"/>
      </w:pPr>
      <w:r>
        <w:rPr>
          <w:rFonts w:ascii="IRNazanin" w:hAnsi="IRNazanin" w:eastAsia="IRNazanin" w:cs="IRNazanin"/>
          <w:lang w:bidi="fa-IR"/>
          <w:color w:val="111111"/>
          <w:sz w:val="28"/>
          <w:szCs w:val="28"/>
          <w:rtl/>
        </w:rPr>
        <w:t xml:space="preserve">هو شمس الدین محمد بن قیس الرازی و یعبر عن نفسه فی شعره بشمس قیس کان معاصرا لسعد بن زنگی (599- 625) و ابنه أبی بکر بن سعد (628- 658) له المعجم فی معاییر أشعار العجم مطبوع مرتین و المعرب فی معاییر أشعار العرب و الکافی فی العروضین و القوافی و له فی کل منها أشعار کثیرة و له حدائق المعجم و لعله اختصار من المعجم کما فی فهرس ریو، و تحقیق القزوینی فی مقدمه طبع المعجم فی بیروت (1327)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537" w:name="pg11704_122020"/>
    <w:bookmarkEnd w:id="537"/>
    <w:p>
      <w:pPr>
        <w:pStyle w:val="Heading3"/>
      </w:pPr>
      <w:bookmarkStart w:id="5277" w:name="_Toc3973"/>
      <w:r>
        <w:t>3007- دیوان شمس گلپایگانی‏</w:t>
      </w:r>
      <w:bookmarkEnd w:id="5277"/>
    </w:p>
    <w:p>
      <w:pPr>
        <w:pStyle w:val="BookText"/>
      </w:pPr>
      <w:r>
        <w:rPr>
          <w:rFonts w:ascii="IRNazanin" w:hAnsi="IRNazanin" w:eastAsia="IRNazanin" w:cs="IRNazanin"/>
          <w:lang w:bidi="fa-IR"/>
          <w:color w:val="111111"/>
          <w:sz w:val="28"/>
          <w:szCs w:val="28"/>
          <w:rtl/>
        </w:rPr>
        <w:t xml:space="preserve">و هو الشیخ أسد الله الملقب إیزد گشسب بن محمود الگلپایگانی نزیل أصفهان ولد حدود (1303) و توفی (5 ج 1- (1366) مر له تحفه السفر و تذکره شمس التواریخ و جنة النفوس و حیاة الإنسان و ترجم نفسه فی شمس التواریخ و فی نامه سخنوران (ص 94) الآتی و ترجمه المهدوی فی شعرای معاصر أصفهان- ص 279 و ذکر دیوان شعره‏</w:t>
      </w:r>
    </w:p>
    <w:p>
      <w:pPr>
        <w:pStyle w:val="Heading3"/>
      </w:pPr>
      <w:bookmarkStart w:id="5278" w:name="_Toc3974"/>
      <w:r>
        <w:t>دیوان شمس گیلانی‏</w:t>
      </w:r>
      <w:bookmarkEnd w:id="5278"/>
    </w:p>
    <w:p>
      <w:pPr>
        <w:pStyle w:val="BookText"/>
      </w:pPr>
      <w:r>
        <w:rPr>
          <w:rFonts w:ascii="IRNazanin" w:hAnsi="IRNazanin" w:eastAsia="IRNazanin" w:cs="IRNazanin"/>
          <w:lang w:bidi="fa-IR"/>
          <w:color w:val="111111"/>
          <w:sz w:val="28"/>
          <w:szCs w:val="28"/>
          <w:rtl/>
        </w:rPr>
        <w:t xml:space="preserve">راجع شمسا گیلانی‏</w:t>
      </w:r>
    </w:p>
    <w:p>
      <w:pPr>
        <w:pStyle w:val="Heading3"/>
      </w:pPr>
      <w:bookmarkStart w:id="5279" w:name="_Toc3975"/>
      <w:r>
        <w:t>3008- دیوان شمس مشرقی‏</w:t>
      </w:r>
      <w:bookmarkEnd w:id="5279"/>
    </w:p>
    <w:p>
      <w:pPr>
        <w:pStyle w:val="BookText"/>
      </w:pPr>
      <w:r>
        <w:rPr>
          <w:rFonts w:ascii="IRNazanin" w:hAnsi="IRNazanin" w:eastAsia="IRNazanin" w:cs="IRNazanin"/>
          <w:lang w:bidi="fa-IR"/>
          <w:color w:val="111111"/>
          <w:sz w:val="28"/>
          <w:szCs w:val="28"/>
          <w:rtl/>
        </w:rPr>
        <w:t xml:space="preserve">توجد مائتی غزل له أدخلت فی دیوان شمس تبریزی کما میزها و نقحها بدیع الزمان فروزانفر، و أشار إلیه فی کتابه فی أحوال المولوی (ص 150- 151)</w:t>
      </w:r>
    </w:p>
    <w:p>
      <w:pPr>
        <w:pStyle w:val="Heading3"/>
      </w:pPr>
      <w:bookmarkStart w:id="5280" w:name="_Toc3976"/>
      <w:r>
        <w:t>دیوان شمس المعالی‏</w:t>
      </w:r>
      <w:bookmarkEnd w:id="5280"/>
    </w:p>
    <w:p>
      <w:pPr>
        <w:pStyle w:val="BookText"/>
      </w:pPr>
      <w:r>
        <w:rPr>
          <w:rFonts w:ascii="IRNazanin" w:hAnsi="IRNazanin" w:eastAsia="IRNazanin" w:cs="IRNazanin"/>
          <w:lang w:bidi="fa-IR"/>
          <w:color w:val="111111"/>
          <w:sz w:val="28"/>
          <w:szCs w:val="28"/>
          <w:rtl/>
        </w:rPr>
        <w:t xml:space="preserve">راجع دیوان قابوس وشمگیر</w:t>
      </w:r>
    </w:p>
    <w:p>
      <w:pPr>
        <w:pStyle w:val="Heading3"/>
      </w:pPr>
      <w:bookmarkStart w:id="5281" w:name="_Toc3977"/>
      <w:r>
        <w:t>دیوان شمس مغربی‏</w:t>
      </w:r>
      <w:bookmarkEnd w:id="5281"/>
    </w:p>
    <w:p>
      <w:pPr>
        <w:pStyle w:val="BookText"/>
      </w:pPr>
      <w:r>
        <w:rPr>
          <w:rFonts w:ascii="IRNazanin" w:hAnsi="IRNazanin" w:eastAsia="IRNazanin" w:cs="IRNazanin"/>
          <w:lang w:bidi="fa-IR"/>
          <w:color w:val="111111"/>
          <w:sz w:val="28"/>
          <w:szCs w:val="28"/>
          <w:rtl/>
        </w:rPr>
        <w:t xml:space="preserve">یأتی بتخلصه مغربی الشیخ محمد</w:t>
      </w:r>
    </w:p>
    <w:p>
      <w:pPr>
        <w:pStyle w:val="Heading3"/>
      </w:pPr>
      <w:bookmarkStart w:id="5282" w:name="_Toc3978"/>
      <w:r>
        <w:t>3009- دیوان شمس منشی أو شعره‏</w:t>
      </w:r>
      <w:bookmarkEnd w:id="5282"/>
    </w:p>
    <w:p>
      <w:pPr>
        <w:pStyle w:val="BookText"/>
      </w:pPr>
      <w:r>
        <w:rPr>
          <w:rFonts w:ascii="IRNazanin" w:hAnsi="IRNazanin" w:eastAsia="IRNazanin" w:cs="IRNazanin"/>
          <w:lang w:bidi="fa-IR"/>
          <w:color w:val="111111"/>
          <w:sz w:val="28"/>
          <w:szCs w:val="28"/>
          <w:rtl/>
        </w:rPr>
        <w:t xml:space="preserve">و هو شمس الدین محمد بن فخر الدین هندو شاه النخجوانی له أشعار فی کتابه دستور الکاتب المذکور فی (ج 8 ص 165) و کتابه الآخر صحاح الفرس الذی صححه و علق علیه و هیأه للطبع، عبد العلی طاعتی الرشتی بطهران کما سیأتی فی الصاد</w:t>
      </w:r>
    </w:p>
    <w:p>
      <w:pPr>
        <w:pStyle w:val="Heading3"/>
      </w:pPr>
      <w:bookmarkStart w:id="5283" w:name="_Toc3979"/>
      <w:r>
        <w:t>3010- دیوان شمس نسائی‏</w:t>
      </w:r>
      <w:bookmarkEnd w:id="5283"/>
    </w:p>
    <w:p>
      <w:pPr>
        <w:pStyle w:val="BookText"/>
      </w:pPr>
      <w:r>
        <w:rPr>
          <w:rFonts w:ascii="IRNazanin" w:hAnsi="IRNazanin" w:eastAsia="IRNazanin" w:cs="IRNazanin"/>
          <w:lang w:bidi="fa-IR"/>
          <w:color w:val="111111"/>
          <w:sz w:val="28"/>
          <w:szCs w:val="28"/>
          <w:rtl/>
        </w:rPr>
        <w:t xml:space="preserve">قال فی (تش- ص 134) و (تغ- ص 75) و (روشن- ص 355) إن القاضی شمس الدین النسوی أصله من نسا و کان بنیشابور و قال سنگلاخ فی (امتحان الفضلاء- ج 1 ص 159) إنه رأی (88 قطعة) من دیوان شمس نسوی بخط جعفر هروی الخطاط و قال فیها (ج 1- ص 194) إنه رأی (32 ورقة) من دیوان شمس نیشابوری بخط حالی أصفهانی بابا شاه، و الظاهر أنهما متحدان کما أظن أنه هو الذی ذکر فی (مع 1 ص 306) بعنوان شمس أورجندی، القاضی شمس الدین منصور بن محمود صدر الشریعة و راجع شمس الدین القاضی‏</w:t>
      </w:r>
    </w:p>
    <w:p>
      <w:pPr>
        <w:pStyle w:val="Heading3"/>
      </w:pPr>
      <w:bookmarkStart w:id="5284" w:name="_Toc3980"/>
      <w:r>
        <w:t>دیوان شمس نیشابوری‏</w:t>
      </w:r>
      <w:bookmarkEnd w:id="5284"/>
    </w:p>
    <w:p>
      <w:pPr>
        <w:pStyle w:val="BookText"/>
      </w:pPr>
      <w:r>
        <w:rPr>
          <w:rFonts w:ascii="IRNazanin" w:hAnsi="IRNazanin" w:eastAsia="IRNazanin" w:cs="IRNazanin"/>
          <w:lang w:bidi="fa-IR"/>
          <w:color w:val="111111"/>
          <w:sz w:val="28"/>
          <w:szCs w:val="28"/>
          <w:rtl/>
        </w:rPr>
        <w:t xml:space="preserve">راجع شمس نسائی‏</w:t>
      </w:r>
    </w:p>
    <w:p>
      <w:pPr>
        <w:pStyle w:val="Heading3"/>
      </w:pPr>
      <w:bookmarkStart w:id="5285" w:name="_Toc3981"/>
      <w:r>
        <w:t>3011- دیوان شمس هروی‏</w:t>
      </w:r>
      <w:bookmarkEnd w:id="5285"/>
    </w:p>
    <w:p>
      <w:pPr>
        <w:pStyle w:val="BookText"/>
      </w:pPr>
      <w:r>
        <w:rPr>
          <w:rFonts w:ascii="IRNazanin" w:hAnsi="IRNazanin" w:eastAsia="IRNazanin" w:cs="IRNazanin"/>
          <w:lang w:bidi="fa-IR"/>
          <w:color w:val="111111"/>
          <w:sz w:val="28"/>
          <w:szCs w:val="28"/>
          <w:rtl/>
        </w:rPr>
        <w:t xml:space="preserve">و اسمه القاضی شمس الدین محمد توجد شعره فی جنگ عند (فخر الدین النصیری) قال فی (تغ- ص 76) نشا بهراة و تقرب عند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538" w:name="pg11704_122021"/>
    <w:bookmarkEnd w:id="538"/>
    <w:p>
      <w:pPr>
        <w:pStyle w:val="BookText"/>
      </w:pPr>
      <w:r>
        <w:rPr>
          <w:rFonts w:ascii="IRNazanin" w:hAnsi="IRNazanin" w:eastAsia="IRNazanin" w:cs="IRNazanin"/>
          <w:lang w:bidi="fa-IR"/>
          <w:color w:val="111111"/>
          <w:sz w:val="28"/>
          <w:szCs w:val="28"/>
          <w:rtl/>
        </w:rPr>
        <w:t xml:space="preserve">صدر الدولة نظام الملک وزیر السلطان جلال الدین بسمرقند و مات (624) و دیوانه فی ألفی بیت، و أورد شعره فی (گلشن- ص 225)</w:t>
      </w:r>
    </w:p>
    <w:p>
      <w:pPr>
        <w:pStyle w:val="Heading3"/>
      </w:pPr>
      <w:bookmarkStart w:id="5286" w:name="_Toc3982"/>
      <w:r>
        <w:t>3012- دیوان شمسی أو شعره‏</w:t>
      </w:r>
      <w:bookmarkEnd w:id="5286"/>
    </w:p>
    <w:p>
      <w:pPr>
        <w:pStyle w:val="BookText"/>
      </w:pPr>
      <w:r>
        <w:rPr>
          <w:rFonts w:ascii="IRNazanin" w:hAnsi="IRNazanin" w:eastAsia="IRNazanin" w:cs="IRNazanin"/>
          <w:lang w:bidi="fa-IR"/>
          <w:color w:val="111111"/>
          <w:sz w:val="28"/>
          <w:szCs w:val="28"/>
          <w:rtl/>
        </w:rPr>
        <w:t xml:space="preserve">عد بهذا العنوان من شعراء الشیعة فی کتاب بعض مثالب النواصب المؤلف فی القرن السادس (ص 252).</w:t>
      </w:r>
    </w:p>
    <w:p>
      <w:pPr>
        <w:pStyle w:val="Heading3"/>
      </w:pPr>
      <w:bookmarkStart w:id="5287" w:name="_Toc3983"/>
      <w:r>
        <w:t>3013- دیوان شمسی أو شعره‏</w:t>
      </w:r>
      <w:bookmarkEnd w:id="5287"/>
    </w:p>
    <w:p>
      <w:pPr>
        <w:pStyle w:val="BookText"/>
      </w:pPr>
      <w:r>
        <w:rPr>
          <w:rFonts w:ascii="IRNazanin" w:hAnsi="IRNazanin" w:eastAsia="IRNazanin" w:cs="IRNazanin"/>
          <w:lang w:bidi="fa-IR"/>
          <w:color w:val="111111"/>
          <w:sz w:val="28"/>
          <w:szCs w:val="28"/>
          <w:rtl/>
        </w:rPr>
        <w:t xml:space="preserve">ذکره القزوینی فیما زاده علی مجالس النفائس فی (مجن 6 ص 305) و عده من شعراء سلطان سعید، و ذلک بعد ذکره شمسی بدخشانی فی (ص 289 منه) فیظهر تعددهما. و کذا أطلق ذکره فی گلستان مسرت- ص 67.</w:t>
      </w:r>
    </w:p>
    <w:p>
      <w:pPr>
        <w:pStyle w:val="Heading3"/>
      </w:pPr>
      <w:bookmarkStart w:id="5288" w:name="_Toc3984"/>
      <w:r>
        <w:t>3014- دیوان شمسی بدخشانی‏</w:t>
      </w:r>
      <w:bookmarkEnd w:id="5288"/>
    </w:p>
    <w:p>
      <w:pPr>
        <w:pStyle w:val="BookText"/>
      </w:pPr>
      <w:r>
        <w:rPr>
          <w:rFonts w:ascii="IRNazanin" w:hAnsi="IRNazanin" w:eastAsia="IRNazanin" w:cs="IRNazanin"/>
          <w:lang w:bidi="fa-IR"/>
          <w:color w:val="111111"/>
          <w:sz w:val="28"/>
          <w:szCs w:val="28"/>
          <w:rtl/>
        </w:rPr>
        <w:t xml:space="preserve">المعاصر للجامی. و اسمه شمس الدین. ترجمه و أورد شعره. فی (حسینی- ص 171) و (خوش‏گو) و فی (تغ- ص 76) و (روشن- ص 359) و المیر علی شیر فی (مجن 6- ص 118 و 289) نقلا عن ملا محمد بدخشی.</w:t>
      </w:r>
    </w:p>
    <w:p>
      <w:pPr>
        <w:pStyle w:val="Heading3"/>
      </w:pPr>
      <w:bookmarkStart w:id="5289" w:name="_Toc3985"/>
      <w:r>
        <w:t>3015- دیوان شمسی بغدادی‏</w:t>
      </w:r>
      <w:bookmarkEnd w:id="5289"/>
    </w:p>
    <w:p>
      <w:pPr>
        <w:pStyle w:val="BookText"/>
      </w:pPr>
      <w:r>
        <w:rPr>
          <w:rFonts w:ascii="IRNazanin" w:hAnsi="IRNazanin" w:eastAsia="IRNazanin" w:cs="IRNazanin"/>
          <w:lang w:bidi="fa-IR"/>
          <w:color w:val="111111"/>
          <w:sz w:val="28"/>
          <w:szCs w:val="28"/>
          <w:rtl/>
        </w:rPr>
        <w:t xml:space="preserve">ابن عبد الملک البغدادی و والد عهدی البغدادی کان حیا فی (975) فترجمه ابنه فی گلشن شعرا و قال اعتزل عن الخلق و نظم ثلاثة دواوین علی بحر المثنوی. و له دیوان فی الغزل و أورد شعره بالفارسیة و الترکیة. و یوجد فی مکتبة کوپرلی برقم (294 قسم الأدب) نسخه من مثنویة الفارسی منظر الأبرار فی قبال مخزن الأسرار للنظامی قدمه للسلطان سلیمان. کذا ذکر فی العراق بین الاحتلالین- ج 4- ص 109 و 293.</w:t>
      </w:r>
    </w:p>
    <w:p>
      <w:pPr>
        <w:pStyle w:val="Heading3"/>
      </w:pPr>
      <w:bookmarkStart w:id="5290" w:name="_Toc3986"/>
      <w:r>
        <w:t>3016- دیوان شمسی شیروانی أو شعره‏</w:t>
      </w:r>
      <w:bookmarkEnd w:id="5290"/>
    </w:p>
    <w:p>
      <w:pPr>
        <w:pStyle w:val="BookText"/>
      </w:pPr>
      <w:r>
        <w:rPr>
          <w:rFonts w:ascii="IRNazanin" w:hAnsi="IRNazanin" w:eastAsia="IRNazanin" w:cs="IRNazanin"/>
          <w:lang w:bidi="fa-IR"/>
          <w:color w:val="111111"/>
          <w:sz w:val="28"/>
          <w:szCs w:val="28"/>
          <w:rtl/>
        </w:rPr>
        <w:t xml:space="preserve">کان سراجا. ترجمه و أورد شعره معاصره فی (تس 5- ص 166) و عنه فی (دجا- ص 208).</w:t>
      </w:r>
    </w:p>
    <w:p>
      <w:pPr>
        <w:pStyle w:val="Heading3"/>
      </w:pPr>
      <w:bookmarkStart w:id="5291" w:name="_Toc3987"/>
      <w:r>
        <w:t>3017- دیوان شمسی همدانی أو شعره‏</w:t>
      </w:r>
      <w:bookmarkEnd w:id="5291"/>
    </w:p>
    <w:p>
      <w:pPr>
        <w:pStyle w:val="BookText"/>
      </w:pPr>
      <w:r>
        <w:rPr>
          <w:rFonts w:ascii="IRNazanin" w:hAnsi="IRNazanin" w:eastAsia="IRNazanin" w:cs="IRNazanin"/>
          <w:lang w:bidi="fa-IR"/>
          <w:color w:val="111111"/>
          <w:sz w:val="28"/>
          <w:szCs w:val="28"/>
          <w:rtl/>
        </w:rPr>
        <w:t xml:space="preserve">ترجمه و أورد شعره فی (گلشن- ص 226) و قال توفی (825) و قیل فی تاریخه: [شهید کوی دوست‏].</w:t>
      </w:r>
    </w:p>
    <w:p>
      <w:pPr>
        <w:pStyle w:val="Heading3"/>
      </w:pPr>
      <w:bookmarkStart w:id="5292" w:name="_Toc3988"/>
      <w:r>
        <w:t>3018- دیوان شمعی همدانی أو شعره‏</w:t>
      </w:r>
      <w:bookmarkEnd w:id="5292"/>
    </w:p>
    <w:p>
      <w:pPr>
        <w:pStyle w:val="BookText"/>
      </w:pPr>
      <w:r>
        <w:rPr>
          <w:rFonts w:ascii="IRNazanin" w:hAnsi="IRNazanin" w:eastAsia="IRNazanin" w:cs="IRNazanin"/>
          <w:lang w:bidi="fa-IR"/>
          <w:color w:val="111111"/>
          <w:sz w:val="28"/>
          <w:szCs w:val="28"/>
          <w:rtl/>
        </w:rPr>
        <w:t xml:space="preserve">) من أحفاد فرا حسن خان الحاکم بهمدان.</w:t>
      </w:r>
    </w:p>
    <w:p>
      <w:pPr>
        <w:pStyle w:val="BookText"/>
      </w:pPr>
      <w:r>
        <w:rPr>
          <w:rFonts w:ascii="IRNazanin" w:hAnsi="IRNazanin" w:eastAsia="IRNazanin" w:cs="IRNazanin"/>
          <w:lang w:bidi="fa-IR"/>
          <w:color w:val="111111"/>
          <w:sz w:val="28"/>
          <w:szCs w:val="28"/>
          <w:rtl/>
        </w:rPr>
        <w:t xml:space="preserve">ترجمه معاصره النصرآبادی فی (نر 2- ص 43) و حکی شعره عمن سمعه منه و أورد شعره فی گلستان مسرت- ص 187.</w:t>
      </w:r>
    </w:p>
    <w:p>
      <w:pPr>
        <w:pStyle w:val="Heading3"/>
      </w:pPr>
      <w:bookmarkStart w:id="5293" w:name="_Toc3989"/>
      <w:r>
        <w:t>دیوان شمیم أصفهانی‏</w:t>
      </w:r>
      <w:bookmarkEnd w:id="5293"/>
    </w:p>
    <w:p>
      <w:pPr>
        <w:pStyle w:val="BookText"/>
      </w:pPr>
      <w:r>
        <w:rPr>
          <w:rFonts w:ascii="IRNazanin" w:hAnsi="IRNazanin" w:eastAsia="IRNazanin" w:cs="IRNazanin"/>
          <w:lang w:bidi="fa-IR"/>
          <w:color w:val="111111"/>
          <w:sz w:val="28"/>
          <w:szCs w:val="28"/>
          <w:rtl/>
        </w:rPr>
        <w:t xml:space="preserve">راجع شمیم شیرازی.</w:t>
      </w:r>
    </w:p>
    <w:p>
      <w:pPr>
        <w:pStyle w:val="Heading3"/>
      </w:pPr>
      <w:bookmarkStart w:id="5294" w:name="_Toc3990"/>
      <w:r>
        <w:t>3019- دیوان شمیم شیرازی‏</w:t>
      </w:r>
      <w:bookmarkEnd w:id="5294"/>
    </w:p>
    <w:p>
      <w:pPr>
        <w:pStyle w:val="BookText"/>
      </w:pPr>
      <w:r>
        <w:rPr>
          <w:rFonts w:ascii="IRNazanin" w:hAnsi="IRNazanin" w:eastAsia="IRNazanin" w:cs="IRNazanin"/>
          <w:lang w:bidi="fa-IR"/>
          <w:color w:val="111111"/>
          <w:sz w:val="28"/>
          <w:szCs w:val="28"/>
          <w:rtl/>
        </w:rPr>
        <w:t xml:space="preserve">الحاج محمد علی المعروف حکاک سافر إلی‏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539" w:name="pg11704_122022"/>
    <w:bookmarkEnd w:id="539"/>
    <w:p>
      <w:pPr>
        <w:pStyle w:val="BookText"/>
      </w:pPr>
      <w:r>
        <w:rPr>
          <w:rFonts w:ascii="IRNazanin" w:hAnsi="IRNazanin" w:eastAsia="IRNazanin" w:cs="IRNazanin"/>
          <w:lang w:bidi="fa-IR"/>
          <w:color w:val="111111"/>
          <w:sz w:val="28"/>
          <w:szCs w:val="28"/>
          <w:rtl/>
        </w:rPr>
        <w:t xml:space="preserve">مشهد خراسان و لاقی الحاج ملا هادی السبزواری المتوفی (1289) و کان له ولد اسمه علی محمد شمیم، أیضا له شعر حسن، کان حیا عند تألیف فرصت لآثار عجم، فترجم الوالد و ابنه فی (عم- ص 559). و قد طبع دیوان شمیم بالهند فلعله له أو لمن بعده.</w:t>
      </w:r>
    </w:p>
    <w:p>
      <w:pPr>
        <w:pStyle w:val="Heading3"/>
      </w:pPr>
      <w:bookmarkStart w:id="5295" w:name="_Toc3991"/>
      <w:r>
        <w:t>3020- دیوان شمیم شیرازی‏</w:t>
      </w:r>
      <w:bookmarkEnd w:id="5295"/>
    </w:p>
    <w:p>
      <w:pPr>
        <w:pStyle w:val="BookText"/>
      </w:pPr>
      <w:r>
        <w:rPr>
          <w:rFonts w:ascii="IRNazanin" w:hAnsi="IRNazanin" w:eastAsia="IRNazanin" w:cs="IRNazanin"/>
          <w:lang w:bidi="fa-IR"/>
          <w:color w:val="111111"/>
          <w:sz w:val="28"/>
          <w:szCs w:val="28"/>
          <w:rtl/>
        </w:rPr>
        <w:t xml:space="preserve">و هو المیرزا محمد حسین بن المیرزا عبد الکریم.</w:t>
      </w:r>
    </w:p>
    <w:p>
      <w:pPr>
        <w:pStyle w:val="BookText"/>
      </w:pPr>
      <w:r>
        <w:rPr>
          <w:rFonts w:ascii="IRNazanin" w:hAnsi="IRNazanin" w:eastAsia="IRNazanin" w:cs="IRNazanin"/>
          <w:lang w:bidi="fa-IR"/>
          <w:color w:val="111111"/>
          <w:sz w:val="28"/>
          <w:szCs w:val="28"/>
          <w:rtl/>
        </w:rPr>
        <w:t xml:space="preserve">جاء آباؤه من شیراز إلی أصفهان و نشا شمیم بها. و صار قاضی العسکر للجیش النادری ثم نصب کلانترا الأصفهان و فی سنته قتله نادر شاه. و کان یکتب بالشکسته جیدا. کذا ترجمه فی (تش- ص 380) فی زمرة معاصریه. و ترجم أیضا فی باب الصفویة من روضة الصفا. و طبع دیوان شمیم بالهند فلعله له أو لمن قبله.</w:t>
      </w:r>
    </w:p>
    <w:p>
      <w:pPr>
        <w:pStyle w:val="Heading3"/>
      </w:pPr>
      <w:bookmarkStart w:id="5296" w:name="_Toc3992"/>
      <w:r>
        <w:t>3021- دیوان شواء</w:t>
      </w:r>
      <w:bookmarkEnd w:id="5296"/>
    </w:p>
    <w:p>
      <w:pPr>
        <w:pStyle w:val="BookText"/>
      </w:pPr>
      <w:r>
        <w:rPr>
          <w:rFonts w:ascii="IRNazanin" w:hAnsi="IRNazanin" w:eastAsia="IRNazanin" w:cs="IRNazanin"/>
          <w:lang w:bidi="fa-IR"/>
          <w:color w:val="111111"/>
          <w:sz w:val="28"/>
          <w:szCs w:val="28"/>
          <w:rtl/>
        </w:rPr>
        <w:t xml:space="preserve">هو شهاب الدین الکوفی الحلبی المولد و المنشا و الوفاة أبو المحاسن یوسف بن إسماعیل الکوفی الحلبی، المولود (562) و المتوفی (635) المغالی فی التشیع کما ترجمه مصاحبه فی السنین، المؤرخ ابن خلکان فی (ج 2 ص 411) و بسط القول فی ترجمته. قال و له دیوان شعر کبیر یدخل فی أربع مجلدات. و ترجمه فی نسمة السحر و قال کان من کبار الشیعة. و ذکر دیوانه فی کشف الظنون.</w:t>
      </w:r>
    </w:p>
    <w:p>
      <w:pPr>
        <w:pStyle w:val="Heading3"/>
      </w:pPr>
      <w:bookmarkStart w:id="5297" w:name="_Toc3993"/>
      <w:r>
        <w:t>3022- دیوان شوخی خوانساری أو شعره‏</w:t>
      </w:r>
      <w:bookmarkEnd w:id="5297"/>
    </w:p>
    <w:p>
      <w:pPr>
        <w:pStyle w:val="BookText"/>
      </w:pPr>
      <w:r>
        <w:rPr>
          <w:rFonts w:ascii="IRNazanin" w:hAnsi="IRNazanin" w:eastAsia="IRNazanin" w:cs="IRNazanin"/>
          <w:lang w:bidi="fa-IR"/>
          <w:color w:val="111111"/>
          <w:sz w:val="28"/>
          <w:szCs w:val="28"/>
          <w:rtl/>
        </w:rPr>
        <w:t xml:space="preserve">کان ماهرا فی الصنعة فلاحا نجارا، عمر ثمانین سنة. ترجمه و أورد شعره فی (تش- ص 208) و (خوش‏گو) و (روشن- ص 359) و (پژمان- ص 245).</w:t>
      </w:r>
    </w:p>
    <w:p>
      <w:pPr>
        <w:pStyle w:val="Heading3"/>
      </w:pPr>
      <w:bookmarkStart w:id="5298" w:name="_Toc3994"/>
      <w:r>
        <w:t>3023- دیوان شوخی هروی أو شعره‏</w:t>
      </w:r>
      <w:bookmarkEnd w:id="5298"/>
    </w:p>
    <w:p>
      <w:pPr>
        <w:pStyle w:val="BookText"/>
      </w:pPr>
      <w:r>
        <w:rPr>
          <w:rFonts w:ascii="IRNazanin" w:hAnsi="IRNazanin" w:eastAsia="IRNazanin" w:cs="IRNazanin"/>
          <w:lang w:bidi="fa-IR"/>
          <w:color w:val="111111"/>
          <w:sz w:val="28"/>
          <w:szCs w:val="28"/>
          <w:rtl/>
        </w:rPr>
        <w:t xml:space="preserve">و هو مولانا شوخی بن الشیخ أبی سعید لادة.</w:t>
      </w:r>
    </w:p>
    <w:p>
      <w:pPr>
        <w:pStyle w:val="BookText"/>
      </w:pPr>
      <w:r>
        <w:rPr>
          <w:rFonts w:ascii="IRNazanin" w:hAnsi="IRNazanin" w:eastAsia="IRNazanin" w:cs="IRNazanin"/>
          <w:lang w:bidi="fa-IR"/>
          <w:color w:val="111111"/>
          <w:sz w:val="28"/>
          <w:szCs w:val="28"/>
          <w:rtl/>
        </w:rPr>
        <w:t xml:space="preserve">ذکره و أورد شعره فی (مجن 3- ص 82 و 257) و لادة بمعنی الأحمق.</w:t>
      </w:r>
    </w:p>
    <w:p>
      <w:pPr>
        <w:pStyle w:val="Heading3"/>
      </w:pPr>
      <w:bookmarkStart w:id="5299" w:name="_Toc3995"/>
      <w:r>
        <w:t>3024- دیوان شوخی یزدی أو شعره‏</w:t>
      </w:r>
      <w:bookmarkEnd w:id="5299"/>
    </w:p>
    <w:p>
      <w:pPr>
        <w:pStyle w:val="BookText"/>
      </w:pPr>
      <w:r>
        <w:rPr>
          <w:rFonts w:ascii="IRNazanin" w:hAnsi="IRNazanin" w:eastAsia="IRNazanin" w:cs="IRNazanin"/>
          <w:lang w:bidi="fa-IR"/>
          <w:color w:val="111111"/>
          <w:sz w:val="28"/>
          <w:szCs w:val="28"/>
          <w:rtl/>
        </w:rPr>
        <w:t xml:space="preserve">کان ماهرا فی الصنعة أیضا، و قبره بمسجد فرط (فرد) بیزد. ترجمه و أورد شعره فی (تس 5- 160) و (گلشن- ص 226) و (تش یز- ص 298). و قیل فی تاریخ وفاته فی (990):</w:t>
      </w:r>
    </w:p>
    <w:p>
      <w:pPr>
        <w:pStyle w:val="BookText"/>
      </w:pPr>
      <w:r>
        <w:rPr>
          <w:rFonts w:ascii="IRNazanin" w:hAnsi="IRNazanin" w:eastAsia="IRNazanin" w:cs="IRNazanin"/>
          <w:lang w:bidi="fa-IR"/>
          <w:color w:val="111111"/>
          <w:sz w:val="28"/>
          <w:szCs w:val="28"/>
          <w:rtl/>
        </w:rPr>
        <w:t xml:space="preserve">شوخی آن بی‏قرینه عالم‏</w:t>
      </w:r>
    </w:p>
    <w:p>
      <w:pPr>
        <w:pStyle w:val="BookText"/>
      </w:pPr>
      <w:r>
        <w:rPr>
          <w:rFonts w:ascii="IRNazanin" w:hAnsi="IRNazanin" w:eastAsia="IRNazanin" w:cs="IRNazanin"/>
          <w:lang w:bidi="fa-IR"/>
          <w:color w:val="111111"/>
          <w:sz w:val="28"/>
          <w:szCs w:val="28"/>
          <w:rtl/>
        </w:rPr>
        <w:t xml:space="preserve">که نبودش درین زمانه قرین‏</w:t>
      </w:r>
    </w:p>
    <w:p>
      <w:pPr>
        <w:pStyle w:val="BookText"/>
      </w:pPr>
      <w:r>
        <w:rPr>
          <w:rFonts w:ascii="IRNazanin" w:hAnsi="IRNazanin" w:eastAsia="IRNazanin" w:cs="IRNazanin"/>
          <w:lang w:bidi="fa-IR"/>
          <w:color w:val="111111"/>
          <w:sz w:val="28"/>
          <w:szCs w:val="28"/>
          <w:rtl/>
        </w:rPr>
        <w:t xml:space="preserve">از عرب تا عجم به صنعت أو</w:t>
      </w:r>
    </w:p>
    <w:p>
      <w:pPr>
        <w:pStyle w:val="BookText"/>
      </w:pPr>
      <w:r>
        <w:rPr>
          <w:rFonts w:ascii="IRNazanin" w:hAnsi="IRNazanin" w:eastAsia="IRNazanin" w:cs="IRNazanin"/>
          <w:lang w:bidi="fa-IR"/>
          <w:color w:val="111111"/>
          <w:sz w:val="28"/>
          <w:szCs w:val="28"/>
          <w:rtl/>
        </w:rPr>
        <w:t xml:space="preserve">ندهد کس نشان به روی زمین‏</w:t>
      </w:r>
    </w:p>
    <w:p>
      <w:pPr>
        <w:pStyle w:val="BookText"/>
      </w:pPr>
      <w:r>
        <w:rPr>
          <w:rFonts w:ascii="IRNazanin" w:hAnsi="IRNazanin" w:eastAsia="IRNazanin" w:cs="IRNazanin"/>
          <w:lang w:bidi="fa-IR"/>
          <w:color w:val="111111"/>
          <w:sz w:val="28"/>
          <w:szCs w:val="28"/>
          <w:rtl/>
        </w:rPr>
        <w:t xml:space="preserve">شرح تاریخ فوتش آن پرسید</w:t>
      </w:r>
    </w:p>
    <w:p>
      <w:pPr>
        <w:pStyle w:val="BookText"/>
      </w:pPr>
      <w:r>
        <w:rPr>
          <w:rFonts w:ascii="IRNazanin" w:hAnsi="IRNazanin" w:eastAsia="IRNazanin" w:cs="IRNazanin"/>
          <w:lang w:bidi="fa-IR"/>
          <w:color w:val="111111"/>
          <w:sz w:val="28"/>
          <w:szCs w:val="28"/>
          <w:rtl/>
        </w:rPr>
        <w:t xml:space="preserve">گفتمش جای أو بهشت برین‏</w:t>
      </w:r>
    </w:p>
    <w:p>
      <w:pPr>
        <w:pStyle w:val="Heading3"/>
      </w:pPr>
      <w:bookmarkStart w:id="5300" w:name="_Toc3996"/>
      <w:r>
        <w:t>3025- دیوان شورش أو شعره‏</w:t>
      </w:r>
      <w:bookmarkEnd w:id="5300"/>
    </w:p>
    <w:p>
      <w:pPr>
        <w:pStyle w:val="BookText"/>
      </w:pPr>
      <w:r>
        <w:rPr>
          <w:rFonts w:ascii="IRNazanin" w:hAnsi="IRNazanin" w:eastAsia="IRNazanin" w:cs="IRNazanin"/>
          <w:lang w:bidi="fa-IR"/>
          <w:color w:val="111111"/>
          <w:sz w:val="28"/>
          <w:szCs w:val="28"/>
          <w:rtl/>
        </w:rPr>
        <w:t xml:space="preserve">مدح منوچهر خان فذکره فی المدائح‏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540" w:name="pg11704_122023"/>
    <w:bookmarkEnd w:id="540"/>
    <w:p>
      <w:pPr>
        <w:pStyle w:val="BookText"/>
      </w:pPr>
      <w:r>
        <w:rPr>
          <w:rFonts w:ascii="IRNazanin" w:hAnsi="IRNazanin" w:eastAsia="IRNazanin" w:cs="IRNazanin"/>
          <w:lang w:bidi="fa-IR"/>
          <w:color w:val="111111"/>
          <w:sz w:val="28"/>
          <w:szCs w:val="28"/>
          <w:rtl/>
        </w:rPr>
        <w:t xml:space="preserve">المعتمدیة.</w:t>
      </w:r>
    </w:p>
    <w:p>
      <w:pPr>
        <w:pStyle w:val="Heading3"/>
      </w:pPr>
      <w:bookmarkStart w:id="5301" w:name="_Toc3997"/>
      <w:r>
        <w:t>3026- دیوان شورش عشق‏</w:t>
      </w:r>
      <w:bookmarkEnd w:id="5301"/>
    </w:p>
    <w:p>
      <w:pPr>
        <w:pStyle w:val="BookText"/>
      </w:pPr>
      <w:r>
        <w:rPr>
          <w:rFonts w:ascii="IRNazanin" w:hAnsi="IRNazanin" w:eastAsia="IRNazanin" w:cs="IRNazanin"/>
          <w:lang w:bidi="fa-IR"/>
          <w:color w:val="111111"/>
          <w:sz w:val="28"/>
          <w:szCs w:val="28"/>
          <w:rtl/>
        </w:rPr>
        <w:t xml:space="preserve">لسعد الدین صاحب القاری بالهند. طبع بدکن حیدرآباد فی (1309) علی الحجر فی (448 ص).</w:t>
      </w:r>
    </w:p>
    <w:p>
      <w:pPr>
        <w:pStyle w:val="Heading3"/>
      </w:pPr>
      <w:bookmarkStart w:id="5302" w:name="_Toc3998"/>
      <w:r>
        <w:t>3027- دیوان شورش شیرازی أو شعره‏</w:t>
      </w:r>
      <w:bookmarkEnd w:id="5302"/>
    </w:p>
    <w:p>
      <w:pPr>
        <w:pStyle w:val="BookText"/>
      </w:pPr>
      <w:r>
        <w:rPr>
          <w:rFonts w:ascii="IRNazanin" w:hAnsi="IRNazanin" w:eastAsia="IRNazanin" w:cs="IRNazanin"/>
          <w:lang w:bidi="fa-IR"/>
          <w:color w:val="111111"/>
          <w:sz w:val="28"/>
          <w:szCs w:val="28"/>
          <w:rtl/>
        </w:rPr>
        <w:t xml:space="preserve">و اسمه أمیر أفشار الملقب کریم‏پور ابن قدم علی، ینتسب إلی بیت الزند. ولد بفسا من توابع شیراز و تعلم هناک و جاء إلی طهران و دخل فی کلیة الحقوق لکن الحکومة طردته منها. و فی (1369) نشر جریدة شورش. و بعد سقوط حکومة تأمیم النفط زجوه فی السجن، ثم صبوا علیه النفط و أحرقوه هناک حیا. و لا حول و لا قوة الا بالله فهو أحد الشهداء بید المغاربة الصلیبیین.</w:t>
      </w:r>
    </w:p>
    <w:p>
      <w:pPr>
        <w:pStyle w:val="Heading3"/>
      </w:pPr>
      <w:bookmarkStart w:id="5303" w:name="_Toc3999"/>
      <w:r>
        <w:t>3028- دیوان شورش لکهنوی أو شعره‏</w:t>
      </w:r>
      <w:bookmarkEnd w:id="5303"/>
    </w:p>
    <w:p>
      <w:pPr>
        <w:pStyle w:val="BookText"/>
      </w:pPr>
      <w:r>
        <w:rPr>
          <w:rFonts w:ascii="IRNazanin" w:hAnsi="IRNazanin" w:eastAsia="IRNazanin" w:cs="IRNazanin"/>
          <w:lang w:bidi="fa-IR"/>
          <w:color w:val="111111"/>
          <w:sz w:val="28"/>
          <w:szCs w:val="28"/>
          <w:rtl/>
        </w:rPr>
        <w:t xml:space="preserve">و اسمه السید علی. ترجمه و أورد شعره فی (روشن- ص 361) و قال کان تلمیذ میرزا قتیل.</w:t>
      </w:r>
    </w:p>
    <w:p>
      <w:pPr>
        <w:pStyle w:val="Heading3"/>
      </w:pPr>
      <w:bookmarkStart w:id="5304" w:name="_Toc4000"/>
      <w:r>
        <w:t>3029- دیوان شوری أصفهانی‏</w:t>
      </w:r>
      <w:bookmarkEnd w:id="5304"/>
    </w:p>
    <w:p>
      <w:pPr>
        <w:pStyle w:val="BookText"/>
      </w:pPr>
      <w:r>
        <w:rPr>
          <w:rFonts w:ascii="IRNazanin" w:hAnsi="IRNazanin" w:eastAsia="IRNazanin" w:cs="IRNazanin"/>
          <w:lang w:bidi="fa-IR"/>
          <w:color w:val="111111"/>
          <w:sz w:val="28"/>
          <w:szCs w:val="28"/>
          <w:rtl/>
        </w:rPr>
        <w:t xml:space="preserve">المیرزا أحمد بن محمد هاشم الخطاط فی النسخ و الوزیر لإمام قلی میرزا ابن محمد ولی میرزا ابن الفتح علی شاه. ترجمه معاصره فی (مع- ج 2- ص 248) و فی (روشن- ص 361).</w:t>
      </w:r>
    </w:p>
    <w:p>
      <w:pPr>
        <w:pStyle w:val="Heading3"/>
      </w:pPr>
      <w:bookmarkStart w:id="5305" w:name="_Toc4001"/>
      <w:r>
        <w:t>دیوان شوریده‏</w:t>
      </w:r>
      <w:bookmarkEnd w:id="5305"/>
    </w:p>
    <w:p>
      <w:pPr>
        <w:pStyle w:val="BookText"/>
      </w:pPr>
      <w:r>
        <w:rPr>
          <w:rFonts w:ascii="IRNazanin" w:hAnsi="IRNazanin" w:eastAsia="IRNazanin" w:cs="IRNazanin"/>
          <w:lang w:bidi="fa-IR"/>
          <w:color w:val="111111"/>
          <w:sz w:val="28"/>
          <w:szCs w:val="28"/>
          <w:rtl/>
        </w:rPr>
        <w:t xml:space="preserve">مر بعنوان بابا شوریده.</w:t>
      </w:r>
    </w:p>
    <w:p>
      <w:pPr>
        <w:pStyle w:val="Heading3"/>
      </w:pPr>
      <w:bookmarkStart w:id="5306" w:name="_Toc4002"/>
      <w:r>
        <w:t>3030- دیوان شوریده‏</w:t>
      </w:r>
      <w:bookmarkEnd w:id="5306"/>
    </w:p>
    <w:p>
      <w:pPr>
        <w:pStyle w:val="BookText"/>
      </w:pPr>
      <w:r>
        <w:rPr>
          <w:rFonts w:ascii="IRNazanin" w:hAnsi="IRNazanin" w:eastAsia="IRNazanin" w:cs="IRNazanin"/>
          <w:lang w:bidi="fa-IR"/>
          <w:color w:val="111111"/>
          <w:sz w:val="28"/>
          <w:szCs w:val="28"/>
          <w:rtl/>
        </w:rPr>
        <w:t xml:space="preserve">الحاج محمد تقی بن عباس الشیرازی المولود (1274) أو (1280) کما فی مجلة أرمغان و المتوفی (1345) یزید علی أربعة عشر ألف بیت کما ترجمه مفصلا فی أدبیات معاصر- ص 61 و ترجمه فی (عم- ص 266) و قید ولادته کما ذکر فی فارس‏نامه (ج 2 ص 148) و ألقی وزیر المعارف بإیران علی أصغر حکمت فی (1305 ش) خطابا مفصلا فی وصفه أدرج فی العدد السادس من السنة السابعة من مجلة أرمغان. توجد نسخه من دیوانه صححه ولداه حسن إحسان و حسین شیفته، بمکتبة (المجلس) کما فی فهرسها (3: 318) و أخری عند (فخر الدین) تحت رقم (52) و طبع غزلیاته ابنه الإحسان بطهران فی (120 ص). و کان له خط جید، طبع بخطه کلیات سعدی علی الحجر ببمبئی فی (1296) و تعرف کلیات سعدی طبعه شوریده بأنها من أحسن طبعات سعدی. و ترجمه الشیخ أسد الله إیزد گشسب فی نامه سخنوران- ص 111. و طبع له آذر فی (53 ص) بطهران فی (1320 ش).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541" w:name="pg11704_122024"/>
    <w:bookmarkEnd w:id="541"/>
    <w:p>
      <w:pPr>
        <w:pStyle w:val="Heading3"/>
      </w:pPr>
      <w:bookmarkStart w:id="5307" w:name="_Toc4003"/>
      <w:r>
        <w:t>3031- دیوان شوق أکبرآبادی‏</w:t>
      </w:r>
      <w:bookmarkEnd w:id="5307"/>
    </w:p>
    <w:p>
      <w:pPr>
        <w:pStyle w:val="BookText"/>
      </w:pPr>
      <w:r>
        <w:rPr>
          <w:rFonts w:ascii="IRNazanin" w:hAnsi="IRNazanin" w:eastAsia="IRNazanin" w:cs="IRNazanin"/>
          <w:lang w:bidi="fa-IR"/>
          <w:color w:val="111111"/>
          <w:sz w:val="28"/>
          <w:szCs w:val="28"/>
          <w:rtl/>
        </w:rPr>
        <w:t xml:space="preserve">و اسمه الشیخ إلهی‏بخش سافر من أکبرآباد إلی فرخ‏آباد و تقرب عند المیرزا مظفر بخت التیموری و دیوانه فی (3000 بیت) مات فی أواسط المائة الثالث عشرة أورد شعره فی (گلشن- ص 326) و نقل عن دیوانه فی ذیل کشف الظنون‏</w:t>
      </w:r>
    </w:p>
    <w:p>
      <w:pPr>
        <w:pStyle w:val="Heading3"/>
      </w:pPr>
      <w:bookmarkStart w:id="5308" w:name="_Toc4004"/>
      <w:r>
        <w:t>دیوان شوق حیدرآبادی‏</w:t>
      </w:r>
      <w:bookmarkEnd w:id="5308"/>
    </w:p>
    <w:p>
      <w:pPr>
        <w:pStyle w:val="BookText"/>
      </w:pPr>
      <w:r>
        <w:rPr>
          <w:rFonts w:ascii="IRNazanin" w:hAnsi="IRNazanin" w:eastAsia="IRNazanin" w:cs="IRNazanin"/>
          <w:lang w:bidi="fa-IR"/>
          <w:color w:val="111111"/>
          <w:sz w:val="28"/>
          <w:szCs w:val="28"/>
          <w:rtl/>
        </w:rPr>
        <w:t xml:space="preserve">لمیرزا غلام محمد عرب طبع فی (1351) مر باسمه آتش پاره‏</w:t>
      </w:r>
    </w:p>
    <w:p>
      <w:pPr>
        <w:pStyle w:val="Heading3"/>
      </w:pPr>
      <w:bookmarkStart w:id="5309" w:name="_Toc4005"/>
      <w:r>
        <w:t>3032- دیوان شوق کاکوری أو شعره‏</w:t>
      </w:r>
      <w:bookmarkEnd w:id="5309"/>
    </w:p>
    <w:p>
      <w:pPr>
        <w:pStyle w:val="BookText"/>
      </w:pPr>
      <w:r>
        <w:rPr>
          <w:rFonts w:ascii="IRNazanin" w:hAnsi="IRNazanin" w:eastAsia="IRNazanin" w:cs="IRNazanin"/>
          <w:lang w:bidi="fa-IR"/>
          <w:color w:val="111111"/>
          <w:sz w:val="28"/>
          <w:szCs w:val="28"/>
          <w:rtl/>
        </w:rPr>
        <w:t xml:space="preserve">و اسمه محمد إنعام الدین خان ابن محمد یحیی الدین، من أعیان تلک القصبة الهندیة أورد شعره فی (گلشن- ص 227)</w:t>
      </w:r>
    </w:p>
    <w:p>
      <w:pPr>
        <w:pStyle w:val="Heading3"/>
      </w:pPr>
      <w:bookmarkStart w:id="5310" w:name="_Toc4006"/>
      <w:r>
        <w:t>3033- دیوان شوقی أردستانی أو شعره‏</w:t>
      </w:r>
      <w:bookmarkEnd w:id="5310"/>
    </w:p>
    <w:p>
      <w:pPr>
        <w:pStyle w:val="BookText"/>
      </w:pPr>
      <w:r>
        <w:rPr>
          <w:rFonts w:ascii="IRNazanin" w:hAnsi="IRNazanin" w:eastAsia="IRNazanin" w:cs="IRNazanin"/>
          <w:lang w:bidi="fa-IR"/>
          <w:color w:val="111111"/>
          <w:sz w:val="28"/>
          <w:szCs w:val="28"/>
          <w:rtl/>
        </w:rPr>
        <w:t xml:space="preserve">أورد شعره فی (خوش‏گو) و قال: هجاه شفائی‏</w:t>
      </w:r>
    </w:p>
    <w:p>
      <w:pPr>
        <w:pStyle w:val="Heading3"/>
      </w:pPr>
      <w:bookmarkStart w:id="5311" w:name="_Toc4007"/>
      <w:r>
        <w:t>3034- دیوان شوقی أصفهانی‏</w:t>
      </w:r>
      <w:bookmarkEnd w:id="5311"/>
    </w:p>
    <w:p>
      <w:pPr>
        <w:pStyle w:val="BookText"/>
      </w:pPr>
      <w:r>
        <w:rPr>
          <w:rFonts w:ascii="IRNazanin" w:hAnsi="IRNazanin" w:eastAsia="IRNazanin" w:cs="IRNazanin"/>
          <w:lang w:bidi="fa-IR"/>
          <w:color w:val="111111"/>
          <w:sz w:val="28"/>
          <w:szCs w:val="28"/>
          <w:rtl/>
        </w:rPr>
        <w:t xml:space="preserve">المیرزا جواد بن أبی القاسم ولد (1299) بأصفهان و مات بکربلاء زائرا فی (25 محرم- 1371) و دفن بها طبع دیوان بأصفهان فی (340 ص) فی (1333 ش) مع مقدمه لعزیز الله المسعودی فی أحواله ترجمه فی شعرای معاصر أصفهان (ص 284)</w:t>
      </w:r>
    </w:p>
    <w:p>
      <w:pPr>
        <w:pStyle w:val="Heading3"/>
      </w:pPr>
      <w:bookmarkStart w:id="5312" w:name="_Toc4008"/>
      <w:r>
        <w:t>3035- دیوان شوقی تبریزی‏</w:t>
      </w:r>
      <w:bookmarkEnd w:id="5312"/>
    </w:p>
    <w:p>
      <w:pPr>
        <w:pStyle w:val="BookText"/>
      </w:pPr>
      <w:r>
        <w:rPr>
          <w:rFonts w:ascii="IRNazanin" w:hAnsi="IRNazanin" w:eastAsia="IRNazanin" w:cs="IRNazanin"/>
          <w:lang w:bidi="fa-IR"/>
          <w:color w:val="111111"/>
          <w:sz w:val="28"/>
          <w:szCs w:val="28"/>
          <w:rtl/>
        </w:rPr>
        <w:t xml:space="preserve">کان من شعراء سام میرزا و فی نکبته فر إلی الهند عند همایون پادشاه، و مات بکابل فی أواسط المائة العاشرة أورد شعره فی (تش- ص 30) و عنه فی (گلشن- ص 228) و عنهما فی القاموس الترکی ثم الریحانة و قال فی (دجا- ص 208): إنه من المنسوبین إلی الخواجة رشید الدین الوزیر و کان خطاطا بالنستعلیق و کان منشیا لسام میرزا، سافر إلی الهند و مات بکابل (954) له دیوان مشتمل علی القصائد و الغزل فی (400 بیت) و له ترجمه دیوان علی علیه السلام  نظما فارسیا، ترجمه فی (885) للسلطان یعقوب آق‏قوینلو، توجد نسخته عندی (عند محمد علی تربیت بتبریز) (أقول) و بعض هذه الخصوصیات یطابق شوقی یزدی المذکور فی (تس 5- ص 109) و ذکرناه فی (ص 550) فلعله صحف الیزدی بالتبریزی، أو أنه الذی ذکر فی (تس 6- ص 186) و قال إنه جالس الشعراء حتی صار شاعرا</w:t>
      </w:r>
    </w:p>
    <w:p>
      <w:pPr>
        <w:pStyle w:val="Heading3"/>
      </w:pPr>
      <w:bookmarkStart w:id="5313" w:name="_Toc4009"/>
      <w:r>
        <w:t>3036- دیوان شوقی تفرشی أو شعره‏</w:t>
      </w:r>
      <w:bookmarkEnd w:id="5313"/>
    </w:p>
    <w:p>
      <w:pPr>
        <w:pStyle w:val="BookText"/>
      </w:pPr>
      <w:r>
        <w:rPr>
          <w:rFonts w:ascii="IRNazanin" w:hAnsi="IRNazanin" w:eastAsia="IRNazanin" w:cs="IRNazanin"/>
          <w:lang w:bidi="fa-IR"/>
          <w:color w:val="111111"/>
          <w:sz w:val="28"/>
          <w:szCs w:val="28"/>
          <w:rtl/>
        </w:rPr>
        <w:t xml:space="preserve">من سادات تفرش أورد شعره فی (روشن-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542" w:name="pg11704_122025"/>
    <w:bookmarkEnd w:id="542"/>
    <w:p>
      <w:pPr>
        <w:pStyle w:val="BookText"/>
      </w:pPr>
      <w:r>
        <w:rPr>
          <w:rFonts w:ascii="IRNazanin" w:hAnsi="IRNazanin" w:eastAsia="IRNazanin" w:cs="IRNazanin"/>
          <w:lang w:bidi="fa-IR"/>
          <w:color w:val="111111"/>
          <w:sz w:val="28"/>
          <w:szCs w:val="28"/>
          <w:rtl/>
        </w:rPr>
        <w:t xml:space="preserve">ص 361)</w:t>
      </w:r>
    </w:p>
    <w:p>
      <w:pPr>
        <w:pStyle w:val="Heading3"/>
      </w:pPr>
      <w:bookmarkStart w:id="5314" w:name="_Toc4010"/>
      <w:r>
        <w:t>3037- دیوان شوقی خبوشانی أو شعره‏</w:t>
      </w:r>
      <w:bookmarkEnd w:id="5314"/>
    </w:p>
    <w:p>
      <w:pPr>
        <w:pStyle w:val="BookText"/>
      </w:pPr>
      <w:r>
        <w:rPr>
          <w:rFonts w:ascii="IRNazanin" w:hAnsi="IRNazanin" w:eastAsia="IRNazanin" w:cs="IRNazanin"/>
          <w:lang w:bidi="fa-IR"/>
          <w:color w:val="111111"/>
          <w:sz w:val="28"/>
          <w:szCs w:val="28"/>
          <w:rtl/>
        </w:rPr>
        <w:t xml:space="preserve">ترجمه معاصره سام میرزا فی (تس 5- ص 171) و أورد رباعیته‏</w:t>
      </w:r>
    </w:p>
    <w:p>
      <w:pPr>
        <w:pStyle w:val="Heading3"/>
      </w:pPr>
      <w:bookmarkStart w:id="5315" w:name="_Toc4011"/>
      <w:r>
        <w:t>3038- دیوان شوقی خراسانی‏</w:t>
      </w:r>
      <w:bookmarkEnd w:id="5315"/>
    </w:p>
    <w:p>
      <w:pPr>
        <w:pStyle w:val="BookText"/>
      </w:pPr>
      <w:r>
        <w:rPr>
          <w:rFonts w:ascii="IRNazanin" w:hAnsi="IRNazanin" w:eastAsia="IRNazanin" w:cs="IRNazanin"/>
          <w:lang w:bidi="fa-IR"/>
          <w:color w:val="111111"/>
          <w:sz w:val="28"/>
          <w:szCs w:val="28"/>
          <w:rtl/>
        </w:rPr>
        <w:t xml:space="preserve">الشیخ موسی الحائری بن محمد علی بن مراد الخراسانی نزیل الحائر الحسینی إلی أن توفی بها فی مدرسة البقعة فی حدود (1333) عن عمر طویل، و هو المشهور بالکیمیاوی، ناظم قصیدة البتول العذراء المذکور فی (ج 3- ص 16) و دیوانه فارسی تخلصه فیه شوقی ذکره مصاحبه السید هبة الدین و من شعره المطبوع قصة ضامن آهو للإمام الثامن‏</w:t>
      </w:r>
    </w:p>
    <w:p>
      <w:pPr>
        <w:pStyle w:val="Heading3"/>
      </w:pPr>
      <w:bookmarkStart w:id="5316" w:name="_Toc4012"/>
      <w:r>
        <w:t>3039- دیوان شوقی خوارزمی أو شعره‏</w:t>
      </w:r>
      <w:bookmarkEnd w:id="5316"/>
    </w:p>
    <w:p>
      <w:pPr>
        <w:pStyle w:val="BookText"/>
      </w:pPr>
      <w:r>
        <w:rPr>
          <w:rFonts w:ascii="IRNazanin" w:hAnsi="IRNazanin" w:eastAsia="IRNazanin" w:cs="IRNazanin"/>
          <w:lang w:bidi="fa-IR"/>
          <w:color w:val="111111"/>
          <w:sz w:val="28"/>
          <w:szCs w:val="28"/>
          <w:rtl/>
        </w:rPr>
        <w:t xml:space="preserve">و هو مولانا شوقی من بلدة جیجکتو، و أصله من خوارزم، کثیر المطالعة و التفکر ترجمه و أورد شعره الفارسی و الترکی فی (مجن 3- ص 64 و 237)</w:t>
      </w:r>
    </w:p>
    <w:p>
      <w:pPr>
        <w:pStyle w:val="Heading3"/>
      </w:pPr>
      <w:bookmarkStart w:id="5317" w:name="_Toc4013"/>
      <w:r>
        <w:t>3040- دیوان شوقی دارابجردی أو شعره‏</w:t>
      </w:r>
      <w:bookmarkEnd w:id="5317"/>
    </w:p>
    <w:p>
      <w:pPr>
        <w:pStyle w:val="BookText"/>
      </w:pPr>
      <w:r>
        <w:rPr>
          <w:rFonts w:ascii="IRNazanin" w:hAnsi="IRNazanin" w:eastAsia="IRNazanin" w:cs="IRNazanin"/>
          <w:lang w:bidi="fa-IR"/>
          <w:color w:val="111111"/>
          <w:sz w:val="28"/>
          <w:szCs w:val="28"/>
          <w:rtl/>
        </w:rPr>
        <w:t xml:space="preserve">من معاصری المیر تقی الأوحدی أورد شعره فی (گلشن- ص 228)</w:t>
      </w:r>
    </w:p>
    <w:p>
      <w:pPr>
        <w:pStyle w:val="Heading3"/>
      </w:pPr>
      <w:bookmarkStart w:id="5318" w:name="_Toc4014"/>
      <w:r>
        <w:t>3041- دیوان شوقی ساوجی‏</w:t>
      </w:r>
      <w:bookmarkEnd w:id="5318"/>
    </w:p>
    <w:p>
      <w:pPr>
        <w:pStyle w:val="BookText"/>
      </w:pPr>
      <w:r>
        <w:rPr>
          <w:rFonts w:ascii="IRNazanin" w:hAnsi="IRNazanin" w:eastAsia="IRNazanin" w:cs="IRNazanin"/>
          <w:lang w:bidi="fa-IR"/>
          <w:color w:val="111111"/>
          <w:sz w:val="28"/>
          <w:szCs w:val="28"/>
          <w:rtl/>
        </w:rPr>
        <w:t xml:space="preserve">المیر محمد حسن (حسین) بن المیر عزیز الله من سادات ساوه و له شعر کثیر فیها الغث و السمین کان فی شبابه فی خدمة الخواجة شعیب وزیر الأرامنة بکاشان، و بعد موته سافر إلی الهند و رجع، ثم أراد العودة إلی الهند لکنه بقی عند المیر جمال سلطان حاکم بندر عباس و تزوج هناک و له ثلاثة أبناء، مات أحدهم و سافر الآخران إلی الهند ترجمه و أورد شعره النصرآبادی فی (نر 9- ص 331) و عنه فی (خوش‏گو) و زاد أنه تقرب فی الهند عند جهانگیر و کذا فی (تش- ص 221) و فی سرو آزاد- ص 49 و (حسینی- ص 174) أنه حبسه جهانگیر پادشاه و نجاه قاسم خان، فرجع إلی إیران و لعله المذکور فی (سرخوش- ص 60) و (تغ)- ص 76)</w:t>
      </w:r>
    </w:p>
    <w:p>
      <w:pPr>
        <w:pStyle w:val="Heading3"/>
      </w:pPr>
      <w:bookmarkStart w:id="5319" w:name="_Toc4015"/>
      <w:r>
        <w:t>3042- دیوان شوقی شوشتری أو شعره‏</w:t>
      </w:r>
      <w:bookmarkEnd w:id="5319"/>
    </w:p>
    <w:p>
      <w:pPr>
        <w:pStyle w:val="BookText"/>
      </w:pPr>
      <w:r>
        <w:rPr>
          <w:rFonts w:ascii="IRNazanin" w:hAnsi="IRNazanin" w:eastAsia="IRNazanin" w:cs="IRNazanin"/>
          <w:lang w:bidi="fa-IR"/>
          <w:color w:val="111111"/>
          <w:sz w:val="28"/>
          <w:szCs w:val="28"/>
          <w:rtl/>
        </w:rPr>
        <w:t xml:space="preserve">أورد شعره فی (خوش‏گو) و قال إنه ألف دیباجة لدیوان خاقانی‏</w:t>
      </w:r>
    </w:p>
    <w:p>
      <w:pPr>
        <w:pStyle w:val="Heading3"/>
      </w:pPr>
      <w:bookmarkStart w:id="5320" w:name="_Toc4016"/>
      <w:r>
        <w:t>3043- دیوان شوقی شیرازی أو شعره‏</w:t>
      </w:r>
      <w:bookmarkEnd w:id="5320"/>
    </w:p>
    <w:p>
      <w:pPr>
        <w:pStyle w:val="BookText"/>
      </w:pPr>
      <w:r>
        <w:rPr>
          <w:rFonts w:ascii="IRNazanin" w:hAnsi="IRNazanin" w:eastAsia="IRNazanin" w:cs="IRNazanin"/>
          <w:lang w:bidi="fa-IR"/>
          <w:color w:val="111111"/>
          <w:sz w:val="28"/>
          <w:szCs w:val="28"/>
          <w:rtl/>
        </w:rPr>
        <w:t xml:space="preserve">ترجمه فی (تس 5- ص 175) و قال إنه کان یمدح القاسم بیک پرناک و قد نال منه صلاة جلیلة، و له قصائد فی مدیحه‏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543" w:name="pg11704_122026"/>
    <w:bookmarkEnd w:id="543"/>
    <w:p>
      <w:pPr>
        <w:pStyle w:val="Heading3"/>
      </w:pPr>
      <w:bookmarkStart w:id="5321" w:name="_Toc4017"/>
      <w:r>
        <w:t>3044- دیوان شوقی عراقی‏</w:t>
      </w:r>
      <w:bookmarkEnd w:id="5321"/>
    </w:p>
    <w:p>
      <w:pPr>
        <w:pStyle w:val="BookText"/>
      </w:pPr>
      <w:r>
        <w:rPr>
          <w:rFonts w:ascii="IRNazanin" w:hAnsi="IRNazanin" w:eastAsia="IRNazanin" w:cs="IRNazanin"/>
          <w:lang w:bidi="fa-IR"/>
          <w:color w:val="111111"/>
          <w:sz w:val="28"/>
          <w:szCs w:val="28"/>
          <w:rtl/>
        </w:rPr>
        <w:t xml:space="preserve">ذکرنا له فی (ج 10- ص 164) منظومة رجوم الشیاطین فی رد المیرزا نعیم السیاح و فی (ج 8 ص 135) درر المصائب و اسمه محمد شفیع بن محمد سمیع العراقی (أراکی) المیثمی‏</w:t>
      </w:r>
    </w:p>
    <w:p>
      <w:pPr>
        <w:pStyle w:val="Heading3"/>
      </w:pPr>
      <w:bookmarkStart w:id="5322" w:name="_Toc4018"/>
      <w:r>
        <w:t>3045- دیوان شوقی کاشانی أو شعره‏</w:t>
      </w:r>
      <w:bookmarkEnd w:id="5322"/>
    </w:p>
    <w:p>
      <w:pPr>
        <w:pStyle w:val="BookText"/>
      </w:pPr>
      <w:r>
        <w:rPr>
          <w:rFonts w:ascii="IRNazanin" w:hAnsi="IRNazanin" w:eastAsia="IRNazanin" w:cs="IRNazanin"/>
          <w:lang w:bidi="fa-IR"/>
          <w:color w:val="111111"/>
          <w:sz w:val="28"/>
          <w:szCs w:val="28"/>
          <w:rtl/>
        </w:rPr>
        <w:t xml:space="preserve">ترجمه و أورد شعره فی (تس 5- ص 157) و قال إنه قلیل الشعر</w:t>
      </w:r>
    </w:p>
    <w:p>
      <w:pPr>
        <w:pStyle w:val="Heading3"/>
      </w:pPr>
      <w:bookmarkStart w:id="5323" w:name="_Toc4019"/>
      <w:r>
        <w:t>3046- دیوان شوقی همدانی أو شعره‏</w:t>
      </w:r>
      <w:bookmarkEnd w:id="5323"/>
    </w:p>
    <w:p>
      <w:pPr>
        <w:pStyle w:val="BookText"/>
      </w:pPr>
      <w:r>
        <w:rPr>
          <w:rFonts w:ascii="IRNazanin" w:hAnsi="IRNazanin" w:eastAsia="IRNazanin" w:cs="IRNazanin"/>
          <w:lang w:bidi="fa-IR"/>
          <w:color w:val="111111"/>
          <w:sz w:val="28"/>
          <w:szCs w:val="28"/>
          <w:rtl/>
        </w:rPr>
        <w:t xml:space="preserve">من المعاصرین أورد شعره فی (پژمان- ص 246)</w:t>
      </w:r>
    </w:p>
    <w:p>
      <w:pPr>
        <w:pStyle w:val="Heading3"/>
      </w:pPr>
      <w:bookmarkStart w:id="5324" w:name="_Toc4020"/>
      <w:r>
        <w:t>3047- دیوان شوقی یزدی أو شعره‏</w:t>
      </w:r>
      <w:bookmarkEnd w:id="5324"/>
    </w:p>
    <w:p>
      <w:pPr>
        <w:pStyle w:val="BookText"/>
      </w:pPr>
      <w:r>
        <w:rPr>
          <w:rFonts w:ascii="IRNazanin" w:hAnsi="IRNazanin" w:eastAsia="IRNazanin" w:cs="IRNazanin"/>
          <w:lang w:bidi="fa-IR"/>
          <w:color w:val="111111"/>
          <w:sz w:val="28"/>
          <w:szCs w:val="28"/>
          <w:rtl/>
        </w:rPr>
        <w:t xml:space="preserve">أورد شعره فی (تش- ص 261) و قال إنه کان خلعا و قال فی (خوش‏گو) إنه من أکابر یزد و قال فی (گلشن- ص 229) إنه من أحفاد الخواجة رشید الوزیر سکن هرات و مات بها (963) و دفن بمقبرة الخواجة عبد الله الأنصاری و عنه أخذ ظاهرا فی القاموس الترکی ثم عنه الریحانة و أورد شعره (پژمان)- ص 247)</w:t>
      </w:r>
    </w:p>
    <w:p>
      <w:pPr>
        <w:pStyle w:val="Heading3"/>
      </w:pPr>
      <w:bookmarkStart w:id="5325" w:name="_Toc4021"/>
      <w:r>
        <w:t>3048- دیوان شوقی یزدی أو شعره‏</w:t>
      </w:r>
      <w:bookmarkEnd w:id="5325"/>
    </w:p>
    <w:p>
      <w:pPr>
        <w:pStyle w:val="BookText"/>
      </w:pPr>
      <w:r>
        <w:rPr>
          <w:rFonts w:ascii="IRNazanin" w:hAnsi="IRNazanin" w:eastAsia="IRNazanin" w:cs="IRNazanin"/>
          <w:lang w:bidi="fa-IR"/>
          <w:color w:val="111111"/>
          <w:sz w:val="28"/>
          <w:szCs w:val="28"/>
          <w:rtl/>
        </w:rPr>
        <w:t xml:space="preserve">المنشی لسام میرزا الخطاط بالنستعلیق ترجمه سام میرزا کذلک و أورد قصائده فی تتبع قصائد أمیدی تهرانی و کاتبی فی (تس 5- ص 109) و راجع دیوان شوقی تبریزی‏</w:t>
      </w:r>
    </w:p>
    <w:p>
      <w:pPr>
        <w:pStyle w:val="Heading3"/>
      </w:pPr>
      <w:bookmarkStart w:id="5326" w:name="_Toc4022"/>
      <w:r>
        <w:t>3049- دیوان شوکت بخاری‏</w:t>
      </w:r>
      <w:bookmarkEnd w:id="5326"/>
    </w:p>
    <w:p>
      <w:pPr>
        <w:pStyle w:val="BookText"/>
      </w:pPr>
      <w:r>
        <w:rPr>
          <w:rFonts w:ascii="IRNazanin" w:hAnsi="IRNazanin" w:eastAsia="IRNazanin" w:cs="IRNazanin"/>
          <w:lang w:bidi="fa-IR"/>
          <w:color w:val="111111"/>
          <w:sz w:val="28"/>
          <w:szCs w:val="28"/>
          <w:rtl/>
        </w:rPr>
        <w:t xml:space="preserve">و اسمه محمد إسحاق قال النصرآبادی فی (نر 10 ص 442) إنه جاء إلی هرات فی (1088) و هو الآن ساکن بها عند حاکمها صفی قلی خان و عند حاکم خراسان المیر سعد الدین راقم الشاعر المذکور فی (ص 351) ثم فر منه إلی أصفهان و سکن عند علی بن سهل و بها مات (1107) کما فی تذکره حزین- ص 66 الذی أدرکه فی صغره، و (تغ ص 76) و ذیل کشف الظنون و قال فی (سرخوش- ص 61) لم یخرج من توران شاعر مثله و نقل المستر براون فی تاریخه (ج 4 ص 167) عن گیپ فی تاریخ الشعر العثمانی (ج 1- ص 130) أنه کان متبعا عند الأتراک مدة نصف قرن و ترجم أیضا فی سرو آزاد- ص 120 و (حسینی- ص 184) و (ض- ص 364) توجد نسخ من دیوانه عند شیخ الإسلام ولی الدین أفندی و غیره من مکتبات ترکیا، (بنگاله) و أخری کتبت حدود الألف و المائة عند (فخر الدین- رقم 64)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544" w:name="pg11704_122027"/>
    <w:bookmarkEnd w:id="544"/>
    <w:p>
      <w:pPr>
        <w:pStyle w:val="BookText"/>
      </w:pPr>
      <w:r>
        <w:rPr>
          <w:rFonts w:ascii="IRNazanin" w:hAnsi="IRNazanin" w:eastAsia="IRNazanin" w:cs="IRNazanin"/>
          <w:lang w:bidi="fa-IR"/>
          <w:color w:val="111111"/>
          <w:sz w:val="28"/>
          <w:szCs w:val="28"/>
          <w:rtl/>
        </w:rPr>
        <w:t xml:space="preserve">و أخری فی مکتبة مدرسة القزوینی فی النجف، و هاتان مجدولتان بالذهب یقرب من دیوان الحافظ الشیرازی و قد طبع بإیران کما فی بعض الفهارس‏</w:t>
      </w:r>
    </w:p>
    <w:p>
      <w:pPr>
        <w:pStyle w:val="Heading3"/>
      </w:pPr>
      <w:bookmarkStart w:id="5327" w:name="_Toc4023"/>
      <w:r>
        <w:t>دیوان شوکت بلگرامی‏</w:t>
      </w:r>
      <w:bookmarkEnd w:id="5327"/>
    </w:p>
    <w:p>
      <w:pPr>
        <w:pStyle w:val="BookText"/>
      </w:pPr>
      <w:r>
        <w:rPr>
          <w:rFonts w:ascii="IRNazanin" w:hAnsi="IRNazanin" w:eastAsia="IRNazanin" w:cs="IRNazanin"/>
          <w:lang w:bidi="fa-IR"/>
          <w:color w:val="111111"/>
          <w:sz w:val="28"/>
          <w:szCs w:val="28"/>
          <w:rtl/>
        </w:rPr>
        <w:t xml:space="preserve">مر بعنوان جام شهادت بالأردویة</w:t>
      </w:r>
    </w:p>
    <w:p>
      <w:pPr>
        <w:pStyle w:val="Heading3"/>
      </w:pPr>
      <w:bookmarkStart w:id="5328" w:name="_Toc4024"/>
      <w:r>
        <w:t>3050- دیوان شوکت شیرازی‏</w:t>
      </w:r>
      <w:bookmarkEnd w:id="5328"/>
    </w:p>
    <w:p>
      <w:pPr>
        <w:pStyle w:val="BookText"/>
      </w:pPr>
      <w:r>
        <w:rPr>
          <w:rFonts w:ascii="IRNazanin" w:hAnsi="IRNazanin" w:eastAsia="IRNazanin" w:cs="IRNazanin"/>
          <w:lang w:bidi="fa-IR"/>
          <w:color w:val="111111"/>
          <w:sz w:val="28"/>
          <w:szCs w:val="28"/>
          <w:rtl/>
        </w:rPr>
        <w:t xml:space="preserve">نزیل طهران ترجمه معاصره فی (مع- ج 2 ص 248) و قال إن له مقاما عالیا فی الشعر و انما أذکر بعض أشعاره ثم أورد عدة من غزلیاته فیما یقرب من أربعین بیتا و له یوسف و زلیخا کما فی (دجا- ص 175)</w:t>
      </w:r>
    </w:p>
    <w:p>
      <w:pPr>
        <w:pStyle w:val="Heading3"/>
      </w:pPr>
      <w:bookmarkStart w:id="5329" w:name="_Toc4025"/>
      <w:r>
        <w:t>3051- دیوان شوکت قاجار أو شعره‏</w:t>
      </w:r>
      <w:bookmarkEnd w:id="5329"/>
    </w:p>
    <w:p>
      <w:pPr>
        <w:pStyle w:val="BookText"/>
      </w:pPr>
      <w:r>
        <w:rPr>
          <w:rFonts w:ascii="IRNazanin" w:hAnsi="IRNazanin" w:eastAsia="IRNazanin" w:cs="IRNazanin"/>
          <w:lang w:bidi="fa-IR"/>
          <w:color w:val="111111"/>
          <w:sz w:val="28"/>
          <w:szCs w:val="28"/>
          <w:rtl/>
        </w:rPr>
        <w:t xml:space="preserve">هو النواب محمد تقی میرزا حسام السلطنة ابن فتح علی شاه، المتوفی (1278) أرخه فی آثار عجم- ص 529 و ترجمه فی (مع- ج 1 ص 36) و (انجمن- 2) و أورد شعره و هو والد شیخ الرئیس المتخلص حیرت‏</w:t>
      </w:r>
    </w:p>
    <w:p>
      <w:pPr>
        <w:pStyle w:val="Heading3"/>
      </w:pPr>
      <w:bookmarkStart w:id="5330" w:name="_Toc4026"/>
      <w:r>
        <w:t>3052- دیوان شوکت قاجار أو شعره‏</w:t>
      </w:r>
      <w:bookmarkEnd w:id="5330"/>
    </w:p>
    <w:p>
      <w:pPr>
        <w:pStyle w:val="BookText"/>
      </w:pPr>
      <w:r>
        <w:rPr>
          <w:rFonts w:ascii="IRNazanin" w:hAnsi="IRNazanin" w:eastAsia="IRNazanin" w:cs="IRNazanin"/>
          <w:lang w:bidi="fa-IR"/>
          <w:color w:val="111111"/>
          <w:sz w:val="28"/>
          <w:szCs w:val="28"/>
          <w:rtl/>
        </w:rPr>
        <w:t xml:space="preserve">الأمیر الکبیر محمد قاسم خان أرشد أولاد اعتضاد الدولة سلیمان خان بن محمد خان القاجار ترجمه فی (مع- ج 1 ص 36) و أورد بعض غزلیاته‏</w:t>
      </w:r>
    </w:p>
    <w:p>
      <w:pPr>
        <w:pStyle w:val="Heading3"/>
      </w:pPr>
      <w:bookmarkStart w:id="5331" w:name="_Toc4027"/>
      <w:r>
        <w:t>3053- دیوان شوکت یزدی‏</w:t>
      </w:r>
      <w:bookmarkEnd w:id="5331"/>
    </w:p>
    <w:p>
      <w:pPr>
        <w:pStyle w:val="BookText"/>
      </w:pPr>
      <w:r>
        <w:rPr>
          <w:rFonts w:ascii="IRNazanin" w:hAnsi="IRNazanin" w:eastAsia="IRNazanin" w:cs="IRNazanin"/>
          <w:lang w:bidi="fa-IR"/>
          <w:color w:val="111111"/>
          <w:sz w:val="28"/>
          <w:szCs w:val="28"/>
          <w:rtl/>
        </w:rPr>
        <w:t xml:space="preserve">لحسین بن محمد الیزدی الملقب ناظم لشعراء الملاقی أخیرا مع جیحون و له دیوان مطبوع، و دیوان آخر غیر مطبوع، کما یظهر من آیتی فی (تش یز- ص 300)</w:t>
      </w:r>
    </w:p>
    <w:p>
      <w:pPr>
        <w:pStyle w:val="Heading3"/>
      </w:pPr>
      <w:bookmarkStart w:id="5332" w:name="_Toc4028"/>
      <w:r>
        <w:t>3054- دیوان شوکتی أصفهانی أو شعره‏</w:t>
      </w:r>
      <w:bookmarkEnd w:id="5332"/>
    </w:p>
    <w:p>
      <w:pPr>
        <w:pStyle w:val="BookText"/>
      </w:pPr>
      <w:r>
        <w:rPr>
          <w:rFonts w:ascii="IRNazanin" w:hAnsi="IRNazanin" w:eastAsia="IRNazanin" w:cs="IRNazanin"/>
          <w:lang w:bidi="fa-IR"/>
          <w:color w:val="111111"/>
          <w:sz w:val="28"/>
          <w:szCs w:val="28"/>
          <w:rtl/>
        </w:rPr>
        <w:t xml:space="preserve">و اسمه محمد إبراهیم الأصفهانی نزیل الهند و المقتول بسوء نیة بها. ترجمه النصرآبادی فی (نر 9- ص 336) و أورد جملة من أشعاره، و کذا فی (تش- ص 179) و (خوش‏گو) و (روشن- ص 361) عن نگارستان سخن و (تغ- ص 76) و (پژمان- ص 858).</w:t>
      </w:r>
    </w:p>
    <w:p>
      <w:pPr>
        <w:pStyle w:val="Heading3"/>
      </w:pPr>
      <w:bookmarkStart w:id="5333" w:name="_Toc4029"/>
      <w:r>
        <w:t>دیوان شهاب‏</w:t>
      </w:r>
      <w:bookmarkEnd w:id="5333"/>
    </w:p>
    <w:p>
      <w:pPr>
        <w:pStyle w:val="BookText"/>
      </w:pPr>
      <w:r>
        <w:rPr>
          <w:rFonts w:ascii="IRNazanin" w:hAnsi="IRNazanin" w:eastAsia="IRNazanin" w:cs="IRNazanin"/>
          <w:lang w:bidi="fa-IR"/>
          <w:color w:val="111111"/>
          <w:sz w:val="28"/>
          <w:szCs w:val="28"/>
          <w:rtl/>
        </w:rPr>
        <w:t xml:space="preserve">ذکر بهذا الاسم مطلقا رجلان فی (مجتس 6- ص 156) و (بهش 2 ص 385) الأول معمایی و الثانی هزال. و قال سنگلاخ فی امتحان الفضلاء- ج 1- ص 319 إنه رأی مختصر دیوان شهاب بخط عبد الرزاق ابن أخت المیر عماد. و لعلهما أحد الآتیین بعد هذا.</w:t>
      </w:r>
    </w:p>
    <w:p>
      <w:pPr>
        <w:pStyle w:val="Heading3"/>
      </w:pPr>
      <w:bookmarkStart w:id="5334" w:name="_Toc4030"/>
      <w:r>
        <w:t>3055- دیوان شهاب أبیوردی‏</w:t>
      </w:r>
      <w:bookmarkEnd w:id="5334"/>
    </w:p>
    <w:p>
      <w:pPr>
        <w:pStyle w:val="BookText"/>
      </w:pPr>
      <w:r>
        <w:rPr>
          <w:rFonts w:ascii="IRNazanin" w:hAnsi="IRNazanin" w:eastAsia="IRNazanin" w:cs="IRNazanin"/>
          <w:lang w:bidi="fa-IR"/>
          <w:color w:val="111111"/>
          <w:sz w:val="28"/>
          <w:szCs w:val="28"/>
          <w:rtl/>
        </w:rPr>
        <w:t xml:space="preserve">و اسمه شهاب الدین. قال سنگلاخ فی (امتحان الفضلاء- ج 1- ص 214) رأیت منتخب دیوانه بخط زره أسفراینی محمد حسین. و لعله‏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545" w:name="pg11704_122028"/>
    <w:bookmarkEnd w:id="545"/>
    <w:p>
      <w:pPr>
        <w:pStyle w:val="BookText"/>
      </w:pPr>
      <w:r>
        <w:rPr>
          <w:rFonts w:ascii="IRNazanin" w:hAnsi="IRNazanin" w:eastAsia="IRNazanin" w:cs="IRNazanin"/>
          <w:lang w:bidi="fa-IR"/>
          <w:color w:val="111111"/>
          <w:sz w:val="28"/>
          <w:szCs w:val="28"/>
          <w:rtl/>
        </w:rPr>
        <w:t xml:space="preserve">متحد مع شهاب باخرزی.</w:t>
      </w:r>
    </w:p>
    <w:p>
      <w:pPr>
        <w:pStyle w:val="Heading3"/>
      </w:pPr>
      <w:bookmarkStart w:id="5335" w:name="_Toc4031"/>
      <w:r>
        <w:t>3056- دیوان شهاب أرسنجانی أو شعره‏</w:t>
      </w:r>
      <w:bookmarkEnd w:id="5335"/>
    </w:p>
    <w:p>
      <w:pPr>
        <w:pStyle w:val="BookText"/>
      </w:pPr>
      <w:r>
        <w:rPr>
          <w:rFonts w:ascii="IRNazanin" w:hAnsi="IRNazanin" w:eastAsia="IRNazanin" w:cs="IRNazanin"/>
          <w:lang w:bidi="fa-IR"/>
          <w:color w:val="111111"/>
          <w:sz w:val="28"/>
          <w:szCs w:val="28"/>
          <w:rtl/>
        </w:rPr>
        <w:t xml:space="preserve">و اسمه حسن علی و کان یلقب صدر الشعراء. أطری شعره و أدبه فی (عم- ص 249 و 560) و قال کان یسکن شیراز و کذا فی (پژمان- ص 248).</w:t>
      </w:r>
    </w:p>
    <w:p>
      <w:pPr>
        <w:pStyle w:val="Heading3"/>
      </w:pPr>
      <w:bookmarkStart w:id="5336" w:name="_Toc4032"/>
      <w:r>
        <w:t>3057- دیوان شهاب أصفهانی‏</w:t>
      </w:r>
      <w:bookmarkEnd w:id="5336"/>
    </w:p>
    <w:p>
      <w:pPr>
        <w:pStyle w:val="BookText"/>
      </w:pPr>
      <w:r>
        <w:rPr>
          <w:rFonts w:ascii="IRNazanin" w:hAnsi="IRNazanin" w:eastAsia="IRNazanin" w:cs="IRNazanin"/>
          <w:lang w:bidi="fa-IR"/>
          <w:color w:val="111111"/>
          <w:sz w:val="28"/>
          <w:szCs w:val="28"/>
          <w:rtl/>
        </w:rPr>
        <w:t xml:space="preserve">و اسمه المیرزا نصر الله. مدح منوچهر خان گرجی بأصفهان قبل أن یصل الثلاثین من عمره فذکره فی المدائح المعتمدیة و جاء إلی طهران فی (1254) و تقرب عند المیرزا آقاسی، و لقبه الشاه تاج الشعراء. و کان آباؤه قضاة الجیش القاجاری. و له شاهنامه قاجاریة. و ترجمه أیضا فی (المآثر- ص 204) و (مع- ج 2 ص 219- 224) و (ض- ص 454) و گنج شایگان- ص 244- 324).</w:t>
      </w:r>
    </w:p>
    <w:p>
      <w:pPr>
        <w:pStyle w:val="BookText"/>
      </w:pPr>
      <w:r>
        <w:rPr>
          <w:rFonts w:ascii="IRNazanin" w:hAnsi="IRNazanin" w:eastAsia="IRNazanin" w:cs="IRNazanin"/>
          <w:lang w:bidi="fa-IR"/>
          <w:color w:val="111111"/>
          <w:sz w:val="28"/>
          <w:szCs w:val="28"/>
          <w:rtl/>
        </w:rPr>
        <w:t xml:space="preserve">و توجد نسخه من دیوانه فی (سپهسالار) کما فی فهرسها (ج 2- ص 619) فی (8000 بیت) و نسخه عند (الملک) برقم (5318).</w:t>
      </w:r>
    </w:p>
    <w:p>
      <w:pPr>
        <w:pStyle w:val="Heading3"/>
      </w:pPr>
      <w:bookmarkStart w:id="5337" w:name="_Toc4033"/>
      <w:r>
        <w:t>3058- دیوان شهاب أصفهانی أو شعره‏</w:t>
      </w:r>
      <w:bookmarkEnd w:id="5337"/>
    </w:p>
    <w:p>
      <w:pPr>
        <w:pStyle w:val="BookText"/>
      </w:pPr>
      <w:r>
        <w:rPr>
          <w:rFonts w:ascii="IRNazanin" w:hAnsi="IRNazanin" w:eastAsia="IRNazanin" w:cs="IRNazanin"/>
          <w:lang w:bidi="fa-IR"/>
          <w:color w:val="111111"/>
          <w:sz w:val="28"/>
          <w:szCs w:val="28"/>
          <w:rtl/>
        </w:rPr>
        <w:t xml:space="preserve">و اسمه محمد طاهر. أصله من أصفهان و سافر إلی شیراز فی (1233) و تقرب عند حسین علی میرزا. ثم سکن حویزة بخوزستان و یعرف بشهاب لرستانی أیضا، و کان خطاطا جیدا بالنسخ، مدح منوچهر الگرجی فذکر فی المدائح المعتمدیة بعد ذکره لشهاب أصفهانی المیر نصر الله.</w:t>
      </w:r>
    </w:p>
    <w:p>
      <w:pPr>
        <w:pStyle w:val="Heading3"/>
      </w:pPr>
      <w:bookmarkStart w:id="5338" w:name="_Toc4034"/>
      <w:r>
        <w:t>3059- دیوان شهاب باخرزی‏</w:t>
      </w:r>
      <w:bookmarkEnd w:id="5338"/>
    </w:p>
    <w:p>
      <w:pPr>
        <w:pStyle w:val="BookText"/>
      </w:pPr>
      <w:r>
        <w:rPr>
          <w:rFonts w:ascii="IRNazanin" w:hAnsi="IRNazanin" w:eastAsia="IRNazanin" w:cs="IRNazanin"/>
          <w:lang w:bidi="fa-IR"/>
          <w:color w:val="111111"/>
          <w:sz w:val="28"/>
          <w:szCs w:val="28"/>
          <w:rtl/>
        </w:rPr>
        <w:t xml:space="preserve">و اسمه شهاب الدین شرف الملک. قال سنگلاخ (فی امتحان الفضلاء- 2: 90) رأیت دیوان قصائده بخط محمد طاهر اعتماد الدولة.</w:t>
      </w:r>
    </w:p>
    <w:p>
      <w:pPr>
        <w:pStyle w:val="BookText"/>
      </w:pPr>
      <w:r>
        <w:rPr>
          <w:rFonts w:ascii="IRNazanin" w:hAnsi="IRNazanin" w:eastAsia="IRNazanin" w:cs="IRNazanin"/>
          <w:lang w:bidi="fa-IR"/>
          <w:color w:val="111111"/>
          <w:sz w:val="28"/>
          <w:szCs w:val="28"/>
          <w:rtl/>
        </w:rPr>
        <w:t xml:space="preserve">و لعله المذکور فی (اللباب- 6) بعنوان الصدر الأجل شهاب الدولة و الدین شرف الملک صاحب الاستیفائی.</w:t>
      </w:r>
    </w:p>
    <w:p>
      <w:pPr>
        <w:pStyle w:val="Heading3"/>
      </w:pPr>
      <w:bookmarkStart w:id="5339" w:name="_Toc4035"/>
      <w:r>
        <w:t>دیوان شهاب بخاری‏</w:t>
      </w:r>
      <w:bookmarkEnd w:id="5339"/>
    </w:p>
    <w:p>
      <w:pPr>
        <w:pStyle w:val="BookText"/>
      </w:pPr>
      <w:r>
        <w:rPr>
          <w:rFonts w:ascii="IRNazanin" w:hAnsi="IRNazanin" w:eastAsia="IRNazanin" w:cs="IRNazanin"/>
          <w:lang w:bidi="fa-IR"/>
          <w:color w:val="111111"/>
          <w:sz w:val="28"/>
          <w:szCs w:val="28"/>
          <w:rtl/>
        </w:rPr>
        <w:t xml:space="preserve">راجع عمعق بخاری، و شهاب سمرقندی.</w:t>
      </w:r>
    </w:p>
    <w:p>
      <w:pPr>
        <w:pStyle w:val="Heading3"/>
      </w:pPr>
      <w:bookmarkStart w:id="5340" w:name="_Toc4036"/>
      <w:r>
        <w:t>3060- دیوان شهاب تبریزی‏</w:t>
      </w:r>
      <w:bookmarkEnd w:id="5340"/>
    </w:p>
    <w:p>
      <w:pPr>
        <w:pStyle w:val="BookText"/>
      </w:pPr>
      <w:r>
        <w:rPr>
          <w:rFonts w:ascii="IRNazanin" w:hAnsi="IRNazanin" w:eastAsia="IRNazanin" w:cs="IRNazanin"/>
          <w:lang w:bidi="fa-IR"/>
          <w:color w:val="111111"/>
          <w:sz w:val="28"/>
          <w:szCs w:val="28"/>
          <w:rtl/>
        </w:rPr>
        <w:t xml:space="preserve">فی مصائب الحسین علیه السلام  بالترکیة طبع للمرة الثالثة فی مجلدین صغیرین، أولها فی (264 ص) فی تبریز علی الحجر.</w:t>
      </w:r>
    </w:p>
    <w:p>
      <w:pPr>
        <w:pStyle w:val="Heading3"/>
      </w:pPr>
      <w:bookmarkStart w:id="5341" w:name="_Toc4037"/>
      <w:r>
        <w:t>3061- دیوان شهاب ترشیزی أو شعره‏</w:t>
      </w:r>
      <w:bookmarkEnd w:id="5341"/>
    </w:p>
    <w:p>
      <w:pPr>
        <w:pStyle w:val="BookText"/>
      </w:pPr>
      <w:r>
        <w:rPr>
          <w:rFonts w:ascii="IRNazanin" w:hAnsi="IRNazanin" w:eastAsia="IRNazanin" w:cs="IRNazanin"/>
          <w:lang w:bidi="fa-IR"/>
          <w:color w:val="111111"/>
          <w:sz w:val="28"/>
          <w:szCs w:val="28"/>
          <w:rtl/>
        </w:rPr>
        <w:t xml:space="preserve">و اسمه علی شهاب من شعراء القرن التاسع.</w:t>
      </w:r>
    </w:p>
    <w:p>
      <w:pPr>
        <w:pStyle w:val="BookText"/>
      </w:pPr>
      <w:r>
        <w:rPr>
          <w:rFonts w:ascii="IRNazanin" w:hAnsi="IRNazanin" w:eastAsia="IRNazanin" w:cs="IRNazanin"/>
          <w:lang w:bidi="fa-IR"/>
          <w:color w:val="111111"/>
          <w:sz w:val="28"/>
          <w:szCs w:val="28"/>
          <w:rtl/>
        </w:rPr>
        <w:t xml:space="preserve">کان له مناظرات مع الشیخ آذری الذی کان اسمه حمزة فکان یفضل اسم حمزة علی اسم علی، و قد أجابه شهاب برباعیة فضل فیه اسم علی علی حمزة. ترجمه و أورد شعره فی‏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546" w:name="pg11704_122029"/>
    <w:bookmarkEnd w:id="546"/>
    <w:p>
      <w:pPr>
        <w:pStyle w:val="BookText"/>
      </w:pPr>
      <w:r>
        <w:rPr>
          <w:rFonts w:ascii="IRNazanin" w:hAnsi="IRNazanin" w:eastAsia="IRNazanin" w:cs="IRNazanin"/>
          <w:lang w:bidi="fa-IR"/>
          <w:color w:val="111111"/>
          <w:sz w:val="28"/>
          <w:szCs w:val="28"/>
          <w:rtl/>
        </w:rPr>
        <w:t xml:space="preserve">(دولت- 6) و قال کان یمدح محمد جوکی بن شاه‏رخ الذی مات (848) و کذلک فی (تش- ص 70) و ترجمه فی (لط 1- ص 17) و فی الریحانة نقلا عن سفینة الشعراء (ص 194) و القاموس الترکی، و فی (روشن- ص 362). و ترجم ولده السری فی (مجن 3 ص 67 و 240) و قد ذکرناه فی (ص 445).</w:t>
      </w:r>
    </w:p>
    <w:p>
      <w:pPr>
        <w:pStyle w:val="Heading3"/>
      </w:pPr>
      <w:bookmarkStart w:id="5342" w:name="_Toc4038"/>
      <w:r>
        <w:t>3062- دیوان شهاب ترشیزی‏</w:t>
      </w:r>
      <w:bookmarkEnd w:id="5342"/>
    </w:p>
    <w:p>
      <w:pPr>
        <w:pStyle w:val="BookText"/>
      </w:pPr>
      <w:r>
        <w:rPr>
          <w:rFonts w:ascii="IRNazanin" w:hAnsi="IRNazanin" w:eastAsia="IRNazanin" w:cs="IRNazanin"/>
          <w:lang w:bidi="fa-IR"/>
          <w:color w:val="111111"/>
          <w:sz w:val="28"/>
          <w:szCs w:val="28"/>
          <w:rtl/>
        </w:rPr>
        <w:t xml:space="preserve">و اسمه المیرزا عبد الله خان بن حبیب الله خان الخطاط الماهر فی التصویر و العالم فی النجوم و قد عمر طویلا، فله شعر تاریخه (1133) و مات بتربت حیدری فی (1215) کما فی (انجمن- 4) و (مع 2- ص 253) أو (1216) کما فی (ض- ص 454). کان بهراة فی عهد تیمور شاه الآرانی (1187- 1207) و کان ملازم ابنه محمود (1224- 1245) حین کان ولی العهد. رتب دیوانه أولا بنفسه فی (1206) علی أربعة أقسام 1 حمد الله و مدح السلطان 2 مدائح الأمراء. 3 التواریخ 4 الأهاجی، ثم الحق به إلی (1214) و کتب له مقدمه ذکر فیها لنفسه خسرو و شیرین و یوسف و زلیخا الموجودتان فی (المجلس) کما فی فهرسها (3: 704) و بهرام‏نامه و عقد گهر فی النجوم، و تذکره شعراء و مرادنامه فی وقایع علی مراد زند، و تذکره وزراء و تاریخ مجدول. الستة الأولی منظومات و الأخیران منثوران.</w:t>
      </w:r>
    </w:p>
    <w:p>
      <w:pPr>
        <w:pStyle w:val="BookText"/>
      </w:pPr>
      <w:r>
        <w:rPr>
          <w:rFonts w:ascii="IRNazanin" w:hAnsi="IRNazanin" w:eastAsia="IRNazanin" w:cs="IRNazanin"/>
          <w:lang w:bidi="fa-IR"/>
          <w:color w:val="111111"/>
          <w:sz w:val="28"/>
          <w:szCs w:val="28"/>
          <w:rtl/>
        </w:rPr>
        <w:t xml:space="preserve">قال فی (انجمن 4) إن دیوانه فی عشرین ألف بیت، و لکن النسخة الموجودة فی (المجلس) تشتمل علی (7500 بیت) کما فی الفهرس (3: 321) و قال فی ریاض العارفین إن أشعاره تزید علی المائة ألف. و قد یعرف شهاب خراسانی أیضا. و له ولدان هما میرزا اختیار شهابی و مرتضی محجوب کما سیأتی.</w:t>
      </w:r>
    </w:p>
    <w:p>
      <w:pPr>
        <w:pStyle w:val="Heading3"/>
      </w:pPr>
      <w:bookmarkStart w:id="5343" w:name="_Toc4039"/>
      <w:r>
        <w:t>دیوان الشهاب الحویزی‏</w:t>
      </w:r>
      <w:bookmarkEnd w:id="5343"/>
    </w:p>
    <w:p>
      <w:pPr>
        <w:pStyle w:val="BookText"/>
      </w:pPr>
      <w:r>
        <w:rPr>
          <w:rFonts w:ascii="IRNazanin" w:hAnsi="IRNazanin" w:eastAsia="IRNazanin" w:cs="IRNazanin"/>
          <w:lang w:bidi="fa-IR"/>
          <w:color w:val="111111"/>
          <w:sz w:val="28"/>
          <w:szCs w:val="28"/>
          <w:rtl/>
        </w:rPr>
        <w:t xml:space="preserve">مر بعنوان دیوان ابن معتوق.</w:t>
      </w:r>
    </w:p>
    <w:p>
      <w:pPr>
        <w:pStyle w:val="Heading3"/>
      </w:pPr>
      <w:bookmarkStart w:id="5344" w:name="_Toc4040"/>
      <w:r>
        <w:t>دیوان شهاب خراسانی‏</w:t>
      </w:r>
      <w:bookmarkEnd w:id="5344"/>
    </w:p>
    <w:p>
      <w:pPr>
        <w:pStyle w:val="BookText"/>
      </w:pPr>
      <w:r>
        <w:rPr>
          <w:rFonts w:ascii="IRNazanin" w:hAnsi="IRNazanin" w:eastAsia="IRNazanin" w:cs="IRNazanin"/>
          <w:lang w:bidi="fa-IR"/>
          <w:color w:val="111111"/>
          <w:sz w:val="28"/>
          <w:szCs w:val="28"/>
          <w:rtl/>
        </w:rPr>
        <w:t xml:space="preserve">مر بعنوان شهاب ترشیزی. و یأتی شهاب الدین الغزنوی.</w:t>
      </w:r>
    </w:p>
    <w:p>
      <w:pPr>
        <w:pStyle w:val="Heading3"/>
      </w:pPr>
      <w:bookmarkStart w:id="5345" w:name="_Toc4041"/>
      <w:r>
        <w:t>3063- دیوان شهاب دولت‏آبادی‏</w:t>
      </w:r>
      <w:bookmarkEnd w:id="5345"/>
    </w:p>
    <w:p>
      <w:pPr>
        <w:pStyle w:val="BookText"/>
      </w:pPr>
      <w:r>
        <w:rPr>
          <w:rFonts w:ascii="IRNazanin" w:hAnsi="IRNazanin" w:eastAsia="IRNazanin" w:cs="IRNazanin"/>
          <w:lang w:bidi="fa-IR"/>
          <w:color w:val="111111"/>
          <w:sz w:val="28"/>
          <w:szCs w:val="28"/>
          <w:rtl/>
        </w:rPr>
        <w:t xml:space="preserve">و هو شهاب الدین أحمد بن شمس الدین بن عمر القاضی بدولت‏آباد بهند، الملقب ملک العلماء له إرشاد النحو و بحر مواج و بدیع البیان و شرح بانت سعاد و شرح الکافیة و تفضیل العالم و مناقب السادات و شرح أصول البزدوی مات (848) و دفن بجونپور. ترجمه فی خزینة الأصفیاء- ج 1 ص 390 و (گلشن- ص 229) و عنهما فی القاموس الترکی‏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547" w:name="pg11704_122030"/>
    <w:bookmarkEnd w:id="547"/>
    <w:p>
      <w:pPr>
        <w:pStyle w:val="BookText"/>
      </w:pPr>
      <w:r>
        <w:rPr>
          <w:rFonts w:ascii="IRNazanin" w:hAnsi="IRNazanin" w:eastAsia="IRNazanin" w:cs="IRNazanin"/>
          <w:lang w:bidi="fa-IR"/>
          <w:color w:val="111111"/>
          <w:sz w:val="28"/>
          <w:szCs w:val="28"/>
          <w:rtl/>
        </w:rPr>
        <w:t xml:space="preserve">و معجم المطبوعات فالریحانة.</w:t>
      </w:r>
    </w:p>
    <w:p>
      <w:pPr>
        <w:pStyle w:val="Heading3"/>
      </w:pPr>
      <w:bookmarkStart w:id="5346" w:name="_Toc4042"/>
      <w:r>
        <w:t>دیوان شهاب الدین‏</w:t>
      </w:r>
      <w:bookmarkEnd w:id="5346"/>
    </w:p>
    <w:p>
      <w:pPr>
        <w:pStyle w:val="BookText"/>
      </w:pPr>
      <w:r>
        <w:rPr>
          <w:rFonts w:ascii="IRNazanin" w:hAnsi="IRNazanin" w:eastAsia="IRNazanin" w:cs="IRNazanin"/>
          <w:lang w:bidi="fa-IR"/>
          <w:color w:val="111111"/>
          <w:sz w:val="28"/>
          <w:szCs w:val="28"/>
          <w:rtl/>
        </w:rPr>
        <w:t xml:space="preserve">ذکر بهذا الاسم مطلقا فی (حسینی- ص 171) و کذا فی (بهش 1- ص 320) فقال و له تصانیف مشهورة. و قال سنگلاخ فی امتحان الفضلاء (ج 1- ص 319) إنه رأی مختصر دیوان شهاب بخط عبد الرزاق ابن أخت المیر عماد.</w:t>
      </w:r>
    </w:p>
    <w:p>
      <w:pPr>
        <w:pStyle w:val="BookText"/>
      </w:pPr>
      <w:r>
        <w:rPr>
          <w:rFonts w:ascii="IRNazanin" w:hAnsi="IRNazanin" w:eastAsia="IRNazanin" w:cs="IRNazanin"/>
          <w:lang w:bidi="fa-IR"/>
          <w:color w:val="111111"/>
          <w:sz w:val="28"/>
          <w:szCs w:val="28"/>
          <w:rtl/>
        </w:rPr>
        <w:t xml:space="preserve">و لعلهما أحد الآتیین بعد هذا.</w:t>
      </w:r>
    </w:p>
    <w:p>
      <w:pPr>
        <w:pStyle w:val="Heading3"/>
      </w:pPr>
      <w:bookmarkStart w:id="5347" w:name="_Toc4043"/>
      <w:r>
        <w:t>3064- دیوان شهاب الدین استیفائی أو شعره‏</w:t>
      </w:r>
      <w:bookmarkEnd w:id="5347"/>
    </w:p>
    <w:p>
      <w:pPr>
        <w:pStyle w:val="BookText"/>
      </w:pPr>
      <w:r>
        <w:rPr>
          <w:rFonts w:ascii="IRNazanin" w:hAnsi="IRNazanin" w:eastAsia="IRNazanin" w:cs="IRNazanin"/>
          <w:lang w:bidi="fa-IR"/>
          <w:color w:val="111111"/>
          <w:sz w:val="28"/>
          <w:szCs w:val="28"/>
          <w:rtl/>
        </w:rPr>
        <w:t xml:space="preserve">الصدر الأجل شهاب الدولة و الدین شرف الملک. أورد شعره و أطرأه فی (اللباب- 6). و مر شهاب باخرزی.</w:t>
      </w:r>
    </w:p>
    <w:p>
      <w:pPr>
        <w:pStyle w:val="Heading3"/>
      </w:pPr>
      <w:bookmarkStart w:id="5348" w:name="_Toc4044"/>
      <w:r>
        <w:t>3065- دیوان شهاب الدین بخاری أو شعره‏</w:t>
      </w:r>
      <w:bookmarkEnd w:id="5348"/>
    </w:p>
    <w:p>
      <w:pPr>
        <w:pStyle w:val="BookText"/>
      </w:pPr>
      <w:r>
        <w:rPr>
          <w:rFonts w:ascii="IRNazanin" w:hAnsi="IRNazanin" w:eastAsia="IRNazanin" w:cs="IRNazanin"/>
          <w:lang w:bidi="fa-IR"/>
          <w:color w:val="111111"/>
          <w:sz w:val="28"/>
          <w:szCs w:val="28"/>
          <w:rtl/>
        </w:rPr>
        <w:t xml:space="preserve">أورد شعره فی (تش- ص 321) فی شعراء بخارا، و قال اسمه شهاب الدین أحمد. ثم ذکر بعده فی شعراء سمرقند، شهاب الدین أحمد السمرقندی فهما اثنان.</w:t>
      </w:r>
    </w:p>
    <w:p>
      <w:pPr>
        <w:pStyle w:val="Heading3"/>
      </w:pPr>
      <w:bookmarkStart w:id="5349" w:name="_Toc4045"/>
      <w:r>
        <w:t>دیوان شهاب الدین جمندی‏</w:t>
      </w:r>
      <w:bookmarkEnd w:id="5349"/>
    </w:p>
    <w:p>
      <w:pPr>
        <w:pStyle w:val="BookText"/>
      </w:pPr>
      <w:r>
        <w:rPr>
          <w:rFonts w:ascii="IRNazanin" w:hAnsi="IRNazanin" w:eastAsia="IRNazanin" w:cs="IRNazanin"/>
          <w:lang w:bidi="fa-IR"/>
          <w:color w:val="111111"/>
          <w:sz w:val="28"/>
          <w:szCs w:val="28"/>
          <w:rtl/>
        </w:rPr>
        <w:t xml:space="preserve">راجع شهاب مرندی.</w:t>
      </w:r>
    </w:p>
    <w:p>
      <w:pPr>
        <w:pStyle w:val="Heading3"/>
      </w:pPr>
      <w:bookmarkStart w:id="5350" w:name="_Toc4046"/>
      <w:r>
        <w:t>دیوان شهاب الدین الحویزی‏</w:t>
      </w:r>
      <w:bookmarkEnd w:id="5350"/>
    </w:p>
    <w:p>
      <w:pPr>
        <w:pStyle w:val="BookText"/>
      </w:pPr>
      <w:r>
        <w:rPr>
          <w:rFonts w:ascii="IRNazanin" w:hAnsi="IRNazanin" w:eastAsia="IRNazanin" w:cs="IRNazanin"/>
          <w:lang w:bidi="fa-IR"/>
          <w:color w:val="111111"/>
          <w:sz w:val="28"/>
          <w:szCs w:val="28"/>
          <w:rtl/>
        </w:rPr>
        <w:t xml:space="preserve">مر بعنوان دیوان ابن معتوق.</w:t>
      </w:r>
    </w:p>
    <w:p>
      <w:pPr>
        <w:pStyle w:val="Heading3"/>
      </w:pPr>
      <w:bookmarkStart w:id="5351" w:name="_Toc4047"/>
      <w:r>
        <w:t>دیوان شهاب الدین خاندار</w:t>
      </w:r>
      <w:bookmarkEnd w:id="5351"/>
    </w:p>
    <w:p>
      <w:pPr>
        <w:pStyle w:val="BookText"/>
      </w:pPr>
      <w:r>
        <w:rPr>
          <w:rFonts w:ascii="IRNazanin" w:hAnsi="IRNazanin" w:eastAsia="IRNazanin" w:cs="IRNazanin"/>
          <w:lang w:bidi="fa-IR"/>
          <w:color w:val="111111"/>
          <w:sz w:val="28"/>
          <w:szCs w:val="28"/>
          <w:rtl/>
        </w:rPr>
        <w:t xml:space="preserve">مر بعنوان حسین بن شهاب الدین.</w:t>
      </w:r>
    </w:p>
    <w:p>
      <w:pPr>
        <w:pStyle w:val="Heading3"/>
      </w:pPr>
      <w:bookmarkStart w:id="5352" w:name="_Toc4048"/>
      <w:r>
        <w:t>3066- دیوان شهاب الدین الرازی أو شعره‏</w:t>
      </w:r>
      <w:bookmarkEnd w:id="5352"/>
    </w:p>
    <w:p>
      <w:pPr>
        <w:pStyle w:val="BookText"/>
      </w:pPr>
      <w:r>
        <w:rPr>
          <w:rFonts w:ascii="IRNazanin" w:hAnsi="IRNazanin" w:eastAsia="IRNazanin" w:cs="IRNazanin"/>
          <w:lang w:bidi="fa-IR"/>
          <w:color w:val="111111"/>
          <w:sz w:val="28"/>
          <w:szCs w:val="28"/>
          <w:rtl/>
        </w:rPr>
        <w:t xml:space="preserve">من أبناء المشایخ فی ری. ذکر فضائله و أورد شعره فی (تس 5- ص 136).</w:t>
      </w:r>
    </w:p>
    <w:p>
      <w:pPr>
        <w:pStyle w:val="Heading3"/>
      </w:pPr>
      <w:bookmarkStart w:id="5353" w:name="_Toc4049"/>
      <w:r>
        <w:t>3067- دیوان شهاب الدین السهروردی أو شعره‏</w:t>
      </w:r>
      <w:bookmarkEnd w:id="5353"/>
    </w:p>
    <w:p>
      <w:pPr>
        <w:pStyle w:val="BookText"/>
      </w:pPr>
      <w:r>
        <w:rPr>
          <w:rFonts w:ascii="IRNazanin" w:hAnsi="IRNazanin" w:eastAsia="IRNazanin" w:cs="IRNazanin"/>
          <w:lang w:bidi="fa-IR"/>
          <w:color w:val="111111"/>
          <w:sz w:val="28"/>
          <w:szCs w:val="28"/>
          <w:rtl/>
        </w:rPr>
        <w:t xml:space="preserve">و هو شیخ الإشراق أبو الفتح یحیی بن حبیش المقتول بحلب (587) ترجمه ابن خلکان و الجامی فی النفحات (ص 530) و أورد کثیرا من شعره العربی. و فی (مع 1- ص 312) و (ض- ص 362) و (روشن- ص 362) أوردوا شعره الفارسی.</w:t>
      </w:r>
    </w:p>
    <w:p>
      <w:pPr>
        <w:pStyle w:val="Heading3"/>
      </w:pPr>
      <w:bookmarkStart w:id="5354" w:name="_Toc4050"/>
      <w:r>
        <w:t>دیوان شهاب الدین السهروردی‏</w:t>
      </w:r>
      <w:bookmarkEnd w:id="5354"/>
    </w:p>
    <w:p>
      <w:pPr>
        <w:pStyle w:val="BookText"/>
      </w:pPr>
      <w:r>
        <w:rPr>
          <w:rFonts w:ascii="IRNazanin" w:hAnsi="IRNazanin" w:eastAsia="IRNazanin" w:cs="IRNazanin"/>
          <w:lang w:bidi="fa-IR"/>
          <w:color w:val="111111"/>
          <w:sz w:val="28"/>
          <w:szCs w:val="28"/>
          <w:rtl/>
        </w:rPr>
        <w:t xml:space="preserve">مر فی (ص 478) و ترجمه أیضا فی (تش- ص 226) و (روشن- ص 362) و أورد فی گلستان مسرت (ص 385) شعرا فی تاریخ ولادته، و هو:</w:t>
      </w:r>
    </w:p>
    <w:p>
      <w:pPr>
        <w:pStyle w:val="BookText"/>
      </w:pPr>
      <w:r>
        <w:rPr>
          <w:rFonts w:ascii="IRNazanin" w:hAnsi="IRNazanin" w:eastAsia="IRNazanin" w:cs="IRNazanin"/>
          <w:lang w:bidi="fa-IR"/>
          <w:color w:val="111111"/>
          <w:sz w:val="28"/>
          <w:szCs w:val="28"/>
          <w:rtl/>
        </w:rPr>
        <w:t xml:space="preserve">سال مولود أو بدان بیقین‏</w:t>
      </w:r>
    </w:p>
    <w:p>
      <w:pPr>
        <w:pStyle w:val="BookText"/>
      </w:pPr>
      <w:r>
        <w:rPr>
          <w:rFonts w:ascii="IRNazanin" w:hAnsi="IRNazanin" w:eastAsia="IRNazanin" w:cs="IRNazanin"/>
          <w:lang w:bidi="fa-IR"/>
          <w:color w:val="111111"/>
          <w:sz w:val="28"/>
          <w:szCs w:val="28"/>
          <w:rtl/>
        </w:rPr>
        <w:t xml:space="preserve">(أکمل الأولیاء شهاب الدین)</w:t>
      </w:r>
    </w:p>
    <w:p>
      <w:pPr>
        <w:pStyle w:val="BookText"/>
      </w:pPr>
      <w:r>
        <w:rPr>
          <w:rFonts w:ascii="IRNazanin" w:hAnsi="IRNazanin" w:eastAsia="IRNazanin" w:cs="IRNazanin"/>
          <w:lang w:bidi="fa-IR"/>
          <w:color w:val="111111"/>
          <w:sz w:val="28"/>
          <w:szCs w:val="28"/>
          <w:rtl/>
        </w:rPr>
        <w:t xml:space="preserve">و فی تاریخ وفاته (632):</w:t>
      </w:r>
    </w:p>
    <w:p>
      <w:pPr>
        <w:pStyle w:val="BookText"/>
      </w:pPr>
      <w:r>
        <w:rPr>
          <w:rFonts w:ascii="IRNazanin" w:hAnsi="IRNazanin" w:eastAsia="IRNazanin" w:cs="IRNazanin"/>
          <w:lang w:bidi="fa-IR"/>
          <w:color w:val="111111"/>
          <w:sz w:val="28"/>
          <w:szCs w:val="28"/>
          <w:rtl/>
        </w:rPr>
        <w:t xml:space="preserve">شد رقم سال نقل آن بالا</w:t>
      </w:r>
    </w:p>
    <w:p>
      <w:pPr>
        <w:pStyle w:val="BookText"/>
      </w:pPr>
      <w:r>
        <w:rPr>
          <w:rFonts w:ascii="IRNazanin" w:hAnsi="IRNazanin" w:eastAsia="IRNazanin" w:cs="IRNazanin"/>
          <w:lang w:bidi="fa-IR"/>
          <w:color w:val="111111"/>
          <w:sz w:val="28"/>
          <w:szCs w:val="28"/>
          <w:rtl/>
        </w:rPr>
        <w:t xml:space="preserve">ساکن أوج جنت والا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548" w:name="pg11704_122031"/>
    <w:bookmarkEnd w:id="548"/>
    <w:p>
      <w:pPr>
        <w:pStyle w:val="BookText"/>
      </w:pPr>
      <w:r>
        <w:rPr>
          <w:rFonts w:ascii="IRNazanin" w:hAnsi="IRNazanin" w:eastAsia="IRNazanin" w:cs="IRNazanin"/>
          <w:lang w:bidi="fa-IR"/>
          <w:color w:val="111111"/>
          <w:sz w:val="28"/>
          <w:szCs w:val="28"/>
          <w:rtl/>
        </w:rPr>
        <w:t xml:space="preserve">و راجع شهاب الدین العارف، و شهاب الدین عمر.</w:t>
      </w:r>
    </w:p>
    <w:p>
      <w:pPr>
        <w:pStyle w:val="Heading3"/>
      </w:pPr>
      <w:bookmarkStart w:id="5355" w:name="_Toc4051"/>
      <w:r>
        <w:t>3068- دیوان شهاب الدین طبیب‏</w:t>
      </w:r>
      <w:bookmarkEnd w:id="5355"/>
    </w:p>
    <w:p>
      <w:pPr>
        <w:pStyle w:val="BookText"/>
      </w:pPr>
      <w:r>
        <w:rPr>
          <w:rFonts w:ascii="IRNazanin" w:hAnsi="IRNazanin" w:eastAsia="IRNazanin" w:cs="IRNazanin"/>
          <w:lang w:bidi="fa-IR"/>
          <w:color w:val="111111"/>
          <w:sz w:val="28"/>
          <w:szCs w:val="28"/>
          <w:rtl/>
        </w:rPr>
        <w:t xml:space="preserve">و اسمه شهاب الدین بن عبد الکریم. قال فی حسینی- ص 173 له منظومة شفاء المرض و إمساکی و غیرهما فی الطب و المجربات الصحیة، ثم أورد بعضها.</w:t>
      </w:r>
    </w:p>
    <w:p>
      <w:pPr>
        <w:pStyle w:val="Heading3"/>
      </w:pPr>
      <w:bookmarkStart w:id="5356" w:name="_Toc4052"/>
      <w:r>
        <w:t>3069- دیوان شهاب الدین طلحة</w:t>
      </w:r>
      <w:bookmarkEnd w:id="5356"/>
    </w:p>
    <w:p>
      <w:pPr>
        <w:pStyle w:val="BookText"/>
      </w:pPr>
      <w:r>
        <w:rPr>
          <w:rFonts w:ascii="IRNazanin" w:hAnsi="IRNazanin" w:eastAsia="IRNazanin" w:cs="IRNazanin"/>
          <w:lang w:bidi="fa-IR"/>
          <w:color w:val="111111"/>
          <w:sz w:val="28"/>
          <w:szCs w:val="28"/>
          <w:rtl/>
        </w:rPr>
        <w:t xml:space="preserve">قال فی. (اللباب- 10) الأجل شهاب الدین أبو الحسن طلحة، أشعاره کثیرة و أکثرها الرباعیات.</w:t>
      </w:r>
    </w:p>
    <w:p>
      <w:pPr>
        <w:pStyle w:val="Heading3"/>
      </w:pPr>
      <w:bookmarkStart w:id="5357" w:name="_Toc4053"/>
      <w:r>
        <w:t>دیوان شهاب الدین العارف‏</w:t>
      </w:r>
      <w:bookmarkEnd w:id="5357"/>
    </w:p>
    <w:p>
      <w:pPr>
        <w:pStyle w:val="BookText"/>
      </w:pPr>
      <w:r>
        <w:rPr>
          <w:rFonts w:ascii="IRNazanin" w:hAnsi="IRNazanin" w:eastAsia="IRNazanin" w:cs="IRNazanin"/>
          <w:lang w:bidi="fa-IR"/>
          <w:color w:val="111111"/>
          <w:sz w:val="28"/>
          <w:szCs w:val="28"/>
          <w:rtl/>
        </w:rPr>
        <w:t xml:space="preserve">قال سنگلاخ فی (امتحان الفضلاء- ج 2- ص 268) إنه رأی دیوانه بخط مختار بیگ، مختار الخطاطین. و مقصوده شهاب الدین السهروردی المذکور آنفا.</w:t>
      </w:r>
    </w:p>
    <w:p>
      <w:pPr>
        <w:pStyle w:val="Heading3"/>
      </w:pPr>
      <w:bookmarkStart w:id="5358" w:name="_Toc4054"/>
      <w:r>
        <w:t>دیوان شهاب الدین عمر</w:t>
      </w:r>
      <w:bookmarkEnd w:id="5358"/>
    </w:p>
    <w:p>
      <w:pPr>
        <w:pStyle w:val="BookText"/>
      </w:pPr>
      <w:r>
        <w:rPr>
          <w:rFonts w:ascii="IRNazanin" w:hAnsi="IRNazanin" w:eastAsia="IRNazanin" w:cs="IRNazanin"/>
          <w:lang w:bidi="fa-IR"/>
          <w:color w:val="111111"/>
          <w:sz w:val="28"/>
          <w:szCs w:val="28"/>
          <w:rtl/>
        </w:rPr>
        <w:t xml:space="preserve">کما فی (حسینی- ص 161) و قد مر بعنوان السهروردی آنفا و فی (ص 478).</w:t>
      </w:r>
    </w:p>
    <w:p>
      <w:pPr>
        <w:pStyle w:val="Heading3"/>
      </w:pPr>
      <w:bookmarkStart w:id="5359" w:name="_Toc4055"/>
      <w:r>
        <w:t>3070- دیوان شهاب الدین غزنوی أو شعره‏</w:t>
      </w:r>
      <w:bookmarkEnd w:id="5359"/>
    </w:p>
    <w:p>
      <w:pPr>
        <w:pStyle w:val="BookText"/>
      </w:pPr>
      <w:r>
        <w:rPr>
          <w:rFonts w:ascii="IRNazanin" w:hAnsi="IRNazanin" w:eastAsia="IRNazanin" w:cs="IRNazanin"/>
          <w:lang w:bidi="fa-IR"/>
          <w:color w:val="111111"/>
          <w:sz w:val="28"/>
          <w:szCs w:val="28"/>
          <w:rtl/>
        </w:rPr>
        <w:t xml:space="preserve">شهاب الدولة و الدین محمد بن رشید الرئیس. المتوفی (598) ترجمه و أطری شعره الکثیر فی (اللباب- 6). و قال فی (تش- ص 113) ولد و نشا بغزنة و مدح بهرام شاه. و کذا فی (روشن- ص 363).</w:t>
      </w:r>
    </w:p>
    <w:p>
      <w:pPr>
        <w:pStyle w:val="BookText"/>
      </w:pPr>
      <w:r>
        <w:rPr>
          <w:rFonts w:ascii="IRNazanin" w:hAnsi="IRNazanin" w:eastAsia="IRNazanin" w:cs="IRNazanin"/>
          <w:lang w:bidi="fa-IR"/>
          <w:color w:val="111111"/>
          <w:sz w:val="28"/>
          <w:szCs w:val="28"/>
          <w:rtl/>
        </w:rPr>
        <w:t xml:space="preserve">و (پژمان- ص 248).</w:t>
      </w:r>
    </w:p>
    <w:p>
      <w:pPr>
        <w:pStyle w:val="Heading3"/>
      </w:pPr>
      <w:bookmarkStart w:id="5360" w:name="_Toc4056"/>
      <w:r>
        <w:t>3071- دیوان شهاب الدین مدارانی‏</w:t>
      </w:r>
      <w:bookmarkEnd w:id="5360"/>
    </w:p>
    <w:p>
      <w:pPr>
        <w:pStyle w:val="BookText"/>
      </w:pPr>
      <w:r>
        <w:rPr>
          <w:rFonts w:ascii="IRNazanin" w:hAnsi="IRNazanin" w:eastAsia="IRNazanin" w:cs="IRNazanin"/>
          <w:lang w:bidi="fa-IR"/>
          <w:color w:val="111111"/>
          <w:sz w:val="28"/>
          <w:szCs w:val="28"/>
          <w:rtl/>
        </w:rPr>
        <w:t xml:space="preserve">و مداران من بلاد الهند. و اسمه شهاب الدین ابن جمال الدین و یقال له شهاب متمزه کما مدحه الأمیر خسرو الدهلوی. له قصائد ذات التزامات مشکلة. أورد فی (مع 1- ص 304) قرب مائة بیت منها.</w:t>
      </w:r>
    </w:p>
    <w:p>
      <w:pPr>
        <w:pStyle w:val="Heading3"/>
      </w:pPr>
      <w:bookmarkStart w:id="5361" w:name="_Toc4057"/>
      <w:r>
        <w:t>3072- دیوان شهاب الدین الملکی أو شعره‏</w:t>
      </w:r>
      <w:bookmarkEnd w:id="5361"/>
    </w:p>
    <w:p>
      <w:pPr>
        <w:pStyle w:val="BookText"/>
      </w:pPr>
      <w:r>
        <w:rPr>
          <w:rFonts w:ascii="IRNazanin" w:hAnsi="IRNazanin" w:eastAsia="IRNazanin" w:cs="IRNazanin"/>
          <w:lang w:bidi="fa-IR"/>
          <w:color w:val="111111"/>
          <w:sz w:val="28"/>
          <w:szCs w:val="28"/>
          <w:rtl/>
        </w:rPr>
        <w:t xml:space="preserve">و اسمه شهاب الدین أحمد بن الملا علی بن الملا قاسم بن نعمة الله الشیرازی الأصل المکی المولد. کان جده ظهیر الدین له مدرسة بشیراز. و ولد والده الملا علی بمکة. أورد شعره الذی نظمه فی (1074) فی سلافة العصر (ص 182- 187) یمدح والد المؤلف.</w:t>
      </w:r>
    </w:p>
    <w:p>
      <w:pPr>
        <w:pStyle w:val="Heading3"/>
      </w:pPr>
      <w:bookmarkStart w:id="5362" w:name="_Toc4058"/>
      <w:r>
        <w:t>3073- دیوان شهاب زوزنی‏</w:t>
      </w:r>
      <w:bookmarkEnd w:id="5362"/>
    </w:p>
    <w:p>
      <w:pPr>
        <w:pStyle w:val="BookText"/>
      </w:pPr>
      <w:r>
        <w:rPr>
          <w:rFonts w:ascii="IRNazanin" w:hAnsi="IRNazanin" w:eastAsia="IRNazanin" w:cs="IRNazanin"/>
          <w:lang w:bidi="fa-IR"/>
          <w:color w:val="111111"/>
          <w:sz w:val="28"/>
          <w:szCs w:val="28"/>
          <w:rtl/>
        </w:rPr>
        <w:t xml:space="preserve">قال سنگلاخ فی (امتحان الفضلاء- ج 1 ص 122) رأیت دیوانه بخط المیر محمد.</w:t>
      </w:r>
    </w:p>
    <w:p>
      <w:pPr>
        <w:pStyle w:val="Heading3"/>
      </w:pPr>
      <w:bookmarkStart w:id="5363" w:name="_Toc4059"/>
      <w:r>
        <w:t>3074- دیوان شهاب ساوجی‏</w:t>
      </w:r>
      <w:bookmarkEnd w:id="5363"/>
    </w:p>
    <w:p>
      <w:pPr>
        <w:pStyle w:val="BookText"/>
      </w:pPr>
      <w:r>
        <w:rPr>
          <w:rFonts w:ascii="IRNazanin" w:hAnsi="IRNazanin" w:eastAsia="IRNazanin" w:cs="IRNazanin"/>
          <w:lang w:bidi="fa-IR"/>
          <w:color w:val="111111"/>
          <w:sz w:val="28"/>
          <w:szCs w:val="28"/>
          <w:rtl/>
        </w:rPr>
        <w:t xml:space="preserve">هاجر إلی الهند فی عهد همایون پادشاه. و بها مات‏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549" w:name="pg11704_122032"/>
    <w:bookmarkEnd w:id="549"/>
    <w:p>
      <w:pPr>
        <w:pStyle w:val="BookText"/>
      </w:pPr>
      <w:r>
        <w:rPr>
          <w:rFonts w:ascii="IRNazanin" w:hAnsi="IRNazanin" w:eastAsia="IRNazanin" w:cs="IRNazanin"/>
          <w:lang w:bidi="fa-IR"/>
          <w:color w:val="111111"/>
          <w:sz w:val="28"/>
          <w:szCs w:val="28"/>
          <w:rtl/>
        </w:rPr>
        <w:t xml:space="preserve">(942)- شهاب الثاقب) کما فی تاریخ میرخوند. ترجمه کذلک و أورد شعره فی (گلشن- ص 229).</w:t>
      </w:r>
    </w:p>
    <w:p>
      <w:pPr>
        <w:pStyle w:val="Heading3"/>
      </w:pPr>
      <w:bookmarkStart w:id="5364" w:name="_Toc4060"/>
      <w:r>
        <w:t>3075- دیوان شهاب ساوجی‏</w:t>
      </w:r>
      <w:bookmarkEnd w:id="5364"/>
    </w:p>
    <w:p>
      <w:pPr>
        <w:pStyle w:val="BookText"/>
      </w:pPr>
      <w:r>
        <w:rPr>
          <w:rFonts w:ascii="IRNazanin" w:hAnsi="IRNazanin" w:eastAsia="IRNazanin" w:cs="IRNazanin"/>
          <w:lang w:bidi="fa-IR"/>
          <w:color w:val="111111"/>
          <w:sz w:val="28"/>
          <w:szCs w:val="28"/>
          <w:rtl/>
        </w:rPr>
        <w:t xml:space="preserve">و اسمه الحاج جناب بن هدایة الله الساوجی المتوفی بالنجف (1331) کان شاعرا معمرا. رأیت دیوانه بخطه الجید عند السید الحاج أبو محمد الساوجی المتوفی بالنجف (1333).</w:t>
      </w:r>
    </w:p>
    <w:p>
      <w:pPr>
        <w:pStyle w:val="Heading3"/>
      </w:pPr>
      <w:bookmarkStart w:id="5365" w:name="_Toc4061"/>
      <w:r>
        <w:t>3076- دیوان شهاب سمرقندی‏</w:t>
      </w:r>
      <w:bookmarkEnd w:id="5365"/>
    </w:p>
    <w:p>
      <w:pPr>
        <w:pStyle w:val="BookText"/>
      </w:pPr>
      <w:r>
        <w:rPr>
          <w:rFonts w:ascii="IRNazanin" w:hAnsi="IRNazanin" w:eastAsia="IRNazanin" w:cs="IRNazanin"/>
          <w:lang w:bidi="fa-IR"/>
          <w:color w:val="111111"/>
          <w:sz w:val="28"/>
          <w:szCs w:val="28"/>
          <w:rtl/>
        </w:rPr>
        <w:t xml:space="preserve">الأجل الأفضل شهاب الدین أحمد ابن المؤید السمرقندی البخاری. له دیوان نقل عنه فی (اللباب- 11) و سماه فی (مع- ج 1- ص 310) شهابی سمرقندی، و قال ولد بنسف و سکن سمرقند، و أورد کثیرا من شعره.</w:t>
      </w:r>
    </w:p>
    <w:p>
      <w:pPr>
        <w:pStyle w:val="BookText"/>
      </w:pPr>
      <w:r>
        <w:rPr>
          <w:rFonts w:ascii="IRNazanin" w:hAnsi="IRNazanin" w:eastAsia="IRNazanin" w:cs="IRNazanin"/>
          <w:lang w:bidi="fa-IR"/>
          <w:color w:val="111111"/>
          <w:sz w:val="28"/>
          <w:szCs w:val="28"/>
          <w:rtl/>
        </w:rPr>
        <w:t xml:space="preserve">و ترجمه فی (تش- ص 335) فی شعراء سمرقند و أورد شعره، و (تغ- ص 77) و (روشن- ص 362) عن نگارستان سخن.</w:t>
      </w:r>
    </w:p>
    <w:p>
      <w:pPr>
        <w:pStyle w:val="Heading3"/>
      </w:pPr>
      <w:bookmarkStart w:id="5366" w:name="_Toc4062"/>
      <w:r>
        <w:t>دیوان شهاب شیرازی‏</w:t>
      </w:r>
      <w:bookmarkEnd w:id="5366"/>
    </w:p>
    <w:p>
      <w:pPr>
        <w:pStyle w:val="BookText"/>
      </w:pPr>
      <w:r>
        <w:rPr>
          <w:rFonts w:ascii="IRNazanin" w:hAnsi="IRNazanin" w:eastAsia="IRNazanin" w:cs="IRNazanin"/>
          <w:lang w:bidi="fa-IR"/>
          <w:color w:val="111111"/>
          <w:sz w:val="28"/>
          <w:szCs w:val="28"/>
          <w:rtl/>
        </w:rPr>
        <w:t xml:space="preserve">مر بعنوان شهاب أرسنجانی.</w:t>
      </w:r>
    </w:p>
    <w:p>
      <w:pPr>
        <w:pStyle w:val="Heading3"/>
      </w:pPr>
      <w:bookmarkStart w:id="5367" w:name="_Toc4063"/>
      <w:r>
        <w:t>3077- دیوان شهاب کرمانی‏</w:t>
      </w:r>
      <w:bookmarkEnd w:id="5367"/>
    </w:p>
    <w:p>
      <w:pPr>
        <w:pStyle w:val="BookText"/>
      </w:pPr>
      <w:r>
        <w:rPr>
          <w:rFonts w:ascii="IRNazanin" w:hAnsi="IRNazanin" w:eastAsia="IRNazanin" w:cs="IRNazanin"/>
          <w:lang w:bidi="fa-IR"/>
          <w:color w:val="111111"/>
          <w:sz w:val="28"/>
          <w:szCs w:val="28"/>
          <w:rtl/>
        </w:rPr>
        <w:t xml:space="preserve">اسمه شهاب الدین. ترجمه و أورد شعره فی (روشن- ص 363) و لعله بیانی المذکور فی (ص 150).</w:t>
      </w:r>
    </w:p>
    <w:p>
      <w:pPr>
        <w:pStyle w:val="Heading3"/>
      </w:pPr>
      <w:bookmarkStart w:id="5368" w:name="_Toc4064"/>
      <w:r>
        <w:t>دیوان شهاب لرستانی‏</w:t>
      </w:r>
      <w:bookmarkEnd w:id="5368"/>
    </w:p>
    <w:p>
      <w:pPr>
        <w:pStyle w:val="BookText"/>
      </w:pPr>
      <w:r>
        <w:rPr>
          <w:rFonts w:ascii="IRNazanin" w:hAnsi="IRNazanin" w:eastAsia="IRNazanin" w:cs="IRNazanin"/>
          <w:lang w:bidi="fa-IR"/>
          <w:color w:val="111111"/>
          <w:sz w:val="28"/>
          <w:szCs w:val="28"/>
          <w:rtl/>
        </w:rPr>
        <w:t xml:space="preserve">مر بعنوان شهاب أصفهانی.</w:t>
      </w:r>
    </w:p>
    <w:p>
      <w:pPr>
        <w:pStyle w:val="Heading3"/>
      </w:pPr>
      <w:bookmarkStart w:id="5369" w:name="_Toc4065"/>
      <w:r>
        <w:t>3078- دیوان شهاب مازندرانی‏</w:t>
      </w:r>
      <w:bookmarkEnd w:id="5369"/>
    </w:p>
    <w:p>
      <w:pPr>
        <w:pStyle w:val="BookText"/>
      </w:pPr>
      <w:r>
        <w:rPr>
          <w:rFonts w:ascii="IRNazanin" w:hAnsi="IRNazanin" w:eastAsia="IRNazanin" w:cs="IRNazanin"/>
          <w:lang w:bidi="fa-IR"/>
          <w:color w:val="111111"/>
          <w:sz w:val="28"/>
          <w:szCs w:val="28"/>
          <w:rtl/>
        </w:rPr>
        <w:t xml:space="preserve">و اسمه میرزا عمران بیگ. سافر إلی الهند و تقرب عند عبد المطلب خان بأکبرآباد. و قتل بأیدی اللصوص فیها. نظم رزم‏نامه لذی الفقار الدولة. نقل عنها فی (روشن- ص 364) عن آفتاب عالمتاب.</w:t>
      </w:r>
    </w:p>
    <w:p>
      <w:pPr>
        <w:pStyle w:val="Heading3"/>
      </w:pPr>
      <w:bookmarkStart w:id="5370" w:name="_Toc4066"/>
      <w:r>
        <w:t>3079- دیوان شهاب مرندی أو شعره‏</w:t>
      </w:r>
      <w:bookmarkEnd w:id="5370"/>
    </w:p>
    <w:p>
      <w:pPr>
        <w:pStyle w:val="BookText"/>
      </w:pPr>
      <w:r>
        <w:rPr>
          <w:rFonts w:ascii="IRNazanin" w:hAnsi="IRNazanin" w:eastAsia="IRNazanin" w:cs="IRNazanin"/>
          <w:lang w:bidi="fa-IR"/>
          <w:color w:val="111111"/>
          <w:sz w:val="28"/>
          <w:szCs w:val="28"/>
          <w:rtl/>
        </w:rPr>
        <w:t xml:space="preserve">و اسمه القاضی شهاب الدین. من الشعراء المعاصرین لسام میرزا. ترجمه فی (تس 4- ص 77) و أورد شعره، و لکن جاء فی الطبع غلطا جمندی بدل مرندی، و الصحیح ما کان فی نسخه تربیت التی نقل عنها فی (دجا- ص 210). و کذا فی (روشن- ص 363).</w:t>
      </w:r>
    </w:p>
    <w:p>
      <w:pPr>
        <w:pStyle w:val="Heading3"/>
      </w:pPr>
      <w:bookmarkStart w:id="5371" w:name="_Toc4067"/>
      <w:r>
        <w:t>دیوان شهاب معمایی‏</w:t>
      </w:r>
      <w:bookmarkEnd w:id="5371"/>
    </w:p>
    <w:p>
      <w:pPr>
        <w:pStyle w:val="BookText"/>
      </w:pPr>
      <w:r>
        <w:rPr>
          <w:rFonts w:ascii="IRNazanin" w:hAnsi="IRNazanin" w:eastAsia="IRNazanin" w:cs="IRNazanin"/>
          <w:lang w:bidi="fa-IR"/>
          <w:color w:val="111111"/>
          <w:sz w:val="28"/>
          <w:szCs w:val="28"/>
          <w:rtl/>
        </w:rPr>
        <w:t xml:space="preserve">یأتی بعنوان شهاب هروی و مر حقیری.</w:t>
      </w:r>
    </w:p>
    <w:p>
      <w:pPr>
        <w:pStyle w:val="Heading3"/>
      </w:pPr>
      <w:bookmarkStart w:id="5372" w:name="_Toc4068"/>
      <w:r>
        <w:t>دیوان شهاب مؤید</w:t>
      </w:r>
      <w:bookmarkEnd w:id="5372"/>
    </w:p>
    <w:p>
      <w:pPr>
        <w:pStyle w:val="BookText"/>
      </w:pPr>
      <w:r>
        <w:rPr>
          <w:rFonts w:ascii="IRNazanin" w:hAnsi="IRNazanin" w:eastAsia="IRNazanin" w:cs="IRNazanin"/>
          <w:lang w:bidi="fa-IR"/>
          <w:color w:val="111111"/>
          <w:sz w:val="28"/>
          <w:szCs w:val="28"/>
          <w:rtl/>
        </w:rPr>
        <w:t xml:space="preserve">مر بعنوان شهاب سمرقندی.</w:t>
      </w:r>
    </w:p>
    <w:p>
      <w:pPr>
        <w:pStyle w:val="Heading3"/>
      </w:pPr>
      <w:bookmarkStart w:id="5373" w:name="_Toc4069"/>
      <w:r>
        <w:t>دیوان شهاب نسفی‏</w:t>
      </w:r>
      <w:bookmarkEnd w:id="5373"/>
    </w:p>
    <w:p>
      <w:pPr>
        <w:pStyle w:val="BookText"/>
      </w:pPr>
      <w:r>
        <w:rPr>
          <w:rFonts w:ascii="IRNazanin" w:hAnsi="IRNazanin" w:eastAsia="IRNazanin" w:cs="IRNazanin"/>
          <w:lang w:bidi="fa-IR"/>
          <w:color w:val="111111"/>
          <w:sz w:val="28"/>
          <w:szCs w:val="28"/>
          <w:rtl/>
        </w:rPr>
        <w:t xml:space="preserve">مر بعنوان شهاب سمرقندی.</w:t>
      </w:r>
    </w:p>
    <w:p>
      <w:pPr>
        <w:pStyle w:val="Heading3"/>
      </w:pPr>
      <w:bookmarkStart w:id="5374" w:name="_Toc4070"/>
      <w:r>
        <w:t>دیوان شهاب هروی المعمائی‏</w:t>
      </w:r>
      <w:bookmarkEnd w:id="5374"/>
    </w:p>
    <w:p>
      <w:pPr>
        <w:pStyle w:val="BookText"/>
      </w:pPr>
      <w:r>
        <w:rPr>
          <w:rFonts w:ascii="IRNazanin" w:hAnsi="IRNazanin" w:eastAsia="IRNazanin" w:cs="IRNazanin"/>
          <w:lang w:bidi="fa-IR"/>
          <w:color w:val="111111"/>
          <w:sz w:val="28"/>
          <w:szCs w:val="28"/>
          <w:rtl/>
        </w:rPr>
        <w:t xml:space="preserve">من مشاهیر شعرائها و لا سیما فی المعمی. له رسالة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550" w:name="pg11704_122033"/>
    <w:bookmarkEnd w:id="550"/>
    <w:p>
      <w:pPr>
        <w:pStyle w:val="BookText"/>
      </w:pPr>
      <w:r>
        <w:rPr>
          <w:rFonts w:ascii="IRNazanin" w:hAnsi="IRNazanin" w:eastAsia="IRNazanin" w:cs="IRNazanin"/>
          <w:lang w:bidi="fa-IR"/>
          <w:color w:val="111111"/>
          <w:sz w:val="28"/>
          <w:szCs w:val="28"/>
          <w:rtl/>
        </w:rPr>
        <w:t xml:space="preserve">منظومة فی المعمی. ذکره فی (تس 5- ص 127) و قال فی (روشن- ص 364) إن اسمه ملا شهاب الدین. کان بهراة عند بابر شاه ظهیر الدین، و جاء إلی الهند و مات (942) و قد مر بتخلصه حقیری.</w:t>
      </w:r>
    </w:p>
    <w:p>
      <w:pPr>
        <w:pStyle w:val="Heading3"/>
      </w:pPr>
      <w:bookmarkStart w:id="5375" w:name="_Toc4071"/>
      <w:r>
        <w:t>3080- دیوان شهاب همام أو شعره‏</w:t>
      </w:r>
      <w:bookmarkEnd w:id="5375"/>
    </w:p>
    <w:p>
      <w:pPr>
        <w:pStyle w:val="BookText"/>
      </w:pPr>
      <w:r>
        <w:rPr>
          <w:rFonts w:ascii="IRNazanin" w:hAnsi="IRNazanin" w:eastAsia="IRNazanin" w:cs="IRNazanin"/>
          <w:lang w:bidi="fa-IR"/>
          <w:color w:val="111111"/>
          <w:sz w:val="28"/>
          <w:szCs w:val="28"/>
          <w:rtl/>
        </w:rPr>
        <w:t xml:space="preserve">و هو شهاب الدین فخر الکتاب محمد بن همام المعروف بشهاب همام. ترجمه کذلک و أورد شعره فی (اللباب- 6).</w:t>
      </w:r>
    </w:p>
    <w:p>
      <w:pPr>
        <w:pStyle w:val="Heading3"/>
      </w:pPr>
      <w:bookmarkStart w:id="5376" w:name="_Toc4072"/>
      <w:r>
        <w:t>3081- دیوان شهاب همدانی أو شعره‏</w:t>
      </w:r>
      <w:bookmarkEnd w:id="5376"/>
    </w:p>
    <w:p>
      <w:pPr>
        <w:pStyle w:val="BookText"/>
      </w:pPr>
      <w:r>
        <w:rPr>
          <w:rFonts w:ascii="IRNazanin" w:hAnsi="IRNazanin" w:eastAsia="IRNazanin" w:cs="IRNazanin"/>
          <w:lang w:bidi="fa-IR"/>
          <w:color w:val="111111"/>
          <w:sz w:val="28"/>
          <w:szCs w:val="28"/>
          <w:rtl/>
        </w:rPr>
        <w:t xml:space="preserve">و اسمه المیرزا محمود الغمامی الهمدانی من أعضاء انجمن دانش بهمدان. أورد شعره محمد باقر ألفت فی دانش‏نامه المطبوع (1342). و (پژمان- ص 248).</w:t>
      </w:r>
    </w:p>
    <w:p>
      <w:pPr>
        <w:pStyle w:val="Heading3"/>
      </w:pPr>
      <w:bookmarkStart w:id="5377" w:name="_Toc4073"/>
      <w:r>
        <w:t>3082- دیوان شهاب هندی‏</w:t>
      </w:r>
      <w:bookmarkEnd w:id="5377"/>
    </w:p>
    <w:p>
      <w:pPr>
        <w:pStyle w:val="BookText"/>
      </w:pPr>
      <w:r>
        <w:rPr>
          <w:rFonts w:ascii="IRNazanin" w:hAnsi="IRNazanin" w:eastAsia="IRNazanin" w:cs="IRNazanin"/>
          <w:lang w:bidi="fa-IR"/>
          <w:color w:val="111111"/>
          <w:sz w:val="28"/>
          <w:szCs w:val="28"/>
          <w:rtl/>
        </w:rPr>
        <w:t xml:space="preserve">و اسمه القاضی شهاب. قال سنگلاخ فی (امتحان الفضلاء- ج 1 ص 160) إنه رأی قصائده بخط جعفر الهروی. و أورد شعره أیضا فی (روشن- ص 362).</w:t>
      </w:r>
    </w:p>
    <w:p>
      <w:pPr>
        <w:pStyle w:val="Heading3"/>
      </w:pPr>
      <w:bookmarkStart w:id="5378" w:name="_Toc4074"/>
      <w:r>
        <w:t>3083- دیوان شهابی ترشیزی‏</w:t>
      </w:r>
      <w:bookmarkEnd w:id="5378"/>
    </w:p>
    <w:p>
      <w:pPr>
        <w:pStyle w:val="BookText"/>
      </w:pPr>
      <w:r>
        <w:rPr>
          <w:rFonts w:ascii="IRNazanin" w:hAnsi="IRNazanin" w:eastAsia="IRNazanin" w:cs="IRNazanin"/>
          <w:lang w:bidi="fa-IR"/>
          <w:color w:val="111111"/>
          <w:sz w:val="28"/>
          <w:szCs w:val="28"/>
          <w:rtl/>
        </w:rPr>
        <w:t xml:space="preserve">اسمه میرزا اختیار بن المیرزا عبد الله خان المتخلص بشهاب المذکور فی (ص 553) و أخ مرتضی محجوب. ترجمه فی (مع- ج 2 ص 249) و ذکر أنه توفی قبل سنین من تألیفه و کان دیوانه فی المسودة، و لم أدر إلی ید من وقع.</w:t>
      </w:r>
    </w:p>
    <w:p>
      <w:pPr>
        <w:pStyle w:val="BookText"/>
      </w:pPr>
      <w:r>
        <w:rPr>
          <w:rFonts w:ascii="IRNazanin" w:hAnsi="IRNazanin" w:eastAsia="IRNazanin" w:cs="IRNazanin"/>
          <w:lang w:bidi="fa-IR"/>
          <w:color w:val="111111"/>
          <w:sz w:val="28"/>
          <w:szCs w:val="28"/>
          <w:rtl/>
        </w:rPr>
        <w:t xml:space="preserve">و ذکر بعض رباعیاته التی کتبه بخطه فی دیوان هدایت مؤلف المجمع.</w:t>
      </w:r>
    </w:p>
    <w:p>
      <w:pPr>
        <w:pStyle w:val="Heading3"/>
      </w:pPr>
      <w:bookmarkStart w:id="5379" w:name="_Toc4075"/>
      <w:r>
        <w:t>3084- دیوان شهابی خجندی أو شعره‏</w:t>
      </w:r>
      <w:bookmarkEnd w:id="5379"/>
    </w:p>
    <w:p>
      <w:pPr>
        <w:pStyle w:val="BookText"/>
      </w:pPr>
      <w:r>
        <w:rPr>
          <w:rFonts w:ascii="IRNazanin" w:hAnsi="IRNazanin" w:eastAsia="IRNazanin" w:cs="IRNazanin"/>
          <w:lang w:bidi="fa-IR"/>
          <w:color w:val="111111"/>
          <w:sz w:val="28"/>
          <w:szCs w:val="28"/>
          <w:rtl/>
        </w:rPr>
        <w:t xml:space="preserve">ترجمه و أورد شعره فی (اللباب- 11) و سماه شهابی غزال خجندی. و ذکر معارضته مع شمس خاله المذکور فی (ص 539).</w:t>
      </w:r>
    </w:p>
    <w:p>
      <w:pPr>
        <w:pStyle w:val="BookText"/>
      </w:pPr>
      <w:r>
        <w:rPr>
          <w:rFonts w:ascii="IRNazanin" w:hAnsi="IRNazanin" w:eastAsia="IRNazanin" w:cs="IRNazanin"/>
          <w:lang w:bidi="fa-IR"/>
          <w:color w:val="111111"/>
          <w:sz w:val="28"/>
          <w:szCs w:val="28"/>
          <w:rtl/>
        </w:rPr>
        <w:t xml:space="preserve">و ذکر أیضا فی تاریخ بیهقی و تعلیقات النفیسی ج 3 ص 1352- 1355 و 1534- 1550.</w:t>
      </w:r>
    </w:p>
    <w:p>
      <w:pPr>
        <w:pStyle w:val="Heading3"/>
      </w:pPr>
      <w:bookmarkStart w:id="5380" w:name="_Toc4076"/>
      <w:r>
        <w:t>دیوان شهابی سمرقندی‏</w:t>
      </w:r>
      <w:bookmarkEnd w:id="5380"/>
    </w:p>
    <w:p>
      <w:pPr>
        <w:pStyle w:val="BookText"/>
      </w:pPr>
      <w:r>
        <w:rPr>
          <w:rFonts w:ascii="IRNazanin" w:hAnsi="IRNazanin" w:eastAsia="IRNazanin" w:cs="IRNazanin"/>
          <w:lang w:bidi="fa-IR"/>
          <w:color w:val="111111"/>
          <w:sz w:val="28"/>
          <w:szCs w:val="28"/>
          <w:rtl/>
        </w:rPr>
        <w:t xml:space="preserve">مر شهاب سمرقندی.</w:t>
      </w:r>
    </w:p>
    <w:p>
      <w:pPr>
        <w:pStyle w:val="Heading3"/>
      </w:pPr>
      <w:bookmarkStart w:id="5381" w:name="_Toc4077"/>
      <w:r>
        <w:t>دیوان شهابی غزال‏</w:t>
      </w:r>
      <w:bookmarkEnd w:id="5381"/>
    </w:p>
    <w:p>
      <w:pPr>
        <w:pStyle w:val="BookText"/>
      </w:pPr>
      <w:r>
        <w:rPr>
          <w:rFonts w:ascii="IRNazanin" w:hAnsi="IRNazanin" w:eastAsia="IRNazanin" w:cs="IRNazanin"/>
          <w:lang w:bidi="fa-IR"/>
          <w:color w:val="111111"/>
          <w:sz w:val="28"/>
          <w:szCs w:val="28"/>
          <w:rtl/>
        </w:rPr>
        <w:t xml:space="preserve">راجع شهابی خجندی.</w:t>
      </w:r>
    </w:p>
    <w:p>
      <w:pPr>
        <w:pStyle w:val="Heading3"/>
      </w:pPr>
      <w:bookmarkStart w:id="5382" w:name="_Toc4078"/>
      <w:r>
        <w:t>3085- دیوان شهابی قزوینی‏</w:t>
      </w:r>
      <w:bookmarkEnd w:id="5382"/>
    </w:p>
    <w:p>
      <w:pPr>
        <w:pStyle w:val="BookText"/>
      </w:pPr>
      <w:r>
        <w:rPr>
          <w:rFonts w:ascii="IRNazanin" w:hAnsi="IRNazanin" w:eastAsia="IRNazanin" w:cs="IRNazanin"/>
          <w:lang w:bidi="fa-IR"/>
          <w:color w:val="111111"/>
          <w:sz w:val="28"/>
          <w:szCs w:val="28"/>
          <w:rtl/>
        </w:rPr>
        <w:t xml:space="preserve">اسمه السید عبد الله من سادات قزوین. ترجمه سام میرزا فی (تس 5- ص 136) و أورد شعره فی (تش- ص 226) و (پژمان- ص 248).</w:t>
      </w:r>
    </w:p>
    <w:p>
      <w:pPr>
        <w:pStyle w:val="Heading3"/>
      </w:pPr>
      <w:bookmarkStart w:id="5383" w:name="_Toc4079"/>
      <w:r>
        <w:t>3086- دیوان شهابی هروی‏</w:t>
      </w:r>
      <w:bookmarkEnd w:id="5383"/>
    </w:p>
    <w:p>
      <w:pPr>
        <w:pStyle w:val="BookText"/>
      </w:pPr>
      <w:r>
        <w:rPr>
          <w:rFonts w:ascii="IRNazanin" w:hAnsi="IRNazanin" w:eastAsia="IRNazanin" w:cs="IRNazanin"/>
          <w:lang w:bidi="fa-IR"/>
          <w:color w:val="111111"/>
          <w:sz w:val="28"/>
          <w:szCs w:val="28"/>
          <w:rtl/>
        </w:rPr>
        <w:t xml:space="preserve">و اسمه المیر عبد الوهاب بن عبد الرزاق أتکة، و ابن أخت سهیلی جغتائی (شیخم) ترجمه و أورد شعره فی (مجن 5- ص 109 و 283) قال‏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551" w:name="pg11704_122034"/>
    <w:bookmarkEnd w:id="551"/>
    <w:p>
      <w:pPr>
        <w:pStyle w:val="BookText"/>
      </w:pPr>
      <w:r>
        <w:rPr>
          <w:rFonts w:ascii="IRNazanin" w:hAnsi="IRNazanin" w:eastAsia="IRNazanin" w:cs="IRNazanin"/>
          <w:lang w:bidi="fa-IR"/>
          <w:color w:val="111111"/>
          <w:sz w:val="28"/>
          <w:szCs w:val="28"/>
          <w:rtl/>
        </w:rPr>
        <w:t xml:space="preserve">و جمع دیوانه بنفسه و سماه إبدال نامه و فی نسخه تخلصه سهائی فلعله المذکور فی (ص 478).</w:t>
      </w:r>
    </w:p>
    <w:p>
      <w:pPr>
        <w:pStyle w:val="Heading3"/>
      </w:pPr>
      <w:bookmarkStart w:id="5384" w:name="_Toc4080"/>
      <w:r>
        <w:t>3087- دیوان شهباز أو شعرها</w:t>
      </w:r>
      <w:bookmarkEnd w:id="5384"/>
    </w:p>
    <w:p>
      <w:pPr>
        <w:pStyle w:val="BookText"/>
      </w:pPr>
      <w:r>
        <w:rPr>
          <w:rFonts w:ascii="IRNazanin" w:hAnsi="IRNazanin" w:eastAsia="IRNazanin" w:cs="IRNazanin"/>
          <w:lang w:bidi="fa-IR"/>
          <w:color w:val="111111"/>
          <w:sz w:val="28"/>
          <w:szCs w:val="28"/>
          <w:rtl/>
        </w:rPr>
        <w:t xml:space="preserve">و هی شاعرة کردیة فارسیة بنت شهناز خان الدنبلی.</w:t>
      </w:r>
    </w:p>
    <w:p>
      <w:pPr>
        <w:pStyle w:val="BookText"/>
      </w:pPr>
      <w:r>
        <w:rPr>
          <w:rFonts w:ascii="IRNazanin" w:hAnsi="IRNazanin" w:eastAsia="IRNazanin" w:cs="IRNazanin"/>
          <w:lang w:bidi="fa-IR"/>
          <w:color w:val="111111"/>
          <w:sz w:val="28"/>
          <w:szCs w:val="28"/>
          <w:rtl/>
        </w:rPr>
        <w:t xml:space="preserve">مدحت حسن علی میرزا قاجار ابن فتح علی شاه والی خراسان. ترجمها و أورد شعرها فی خیرات حسان و عنه فی از رابعة تا پروین- ص 160.</w:t>
      </w:r>
    </w:p>
    <w:p>
      <w:pPr>
        <w:pStyle w:val="Heading3"/>
      </w:pPr>
      <w:bookmarkStart w:id="5385" w:name="_Toc4081"/>
      <w:r>
        <w:t>دیوان شهر آشور</w:t>
      </w:r>
      <w:bookmarkEnd w:id="5385"/>
    </w:p>
    <w:p>
      <w:pPr>
        <w:pStyle w:val="BookText"/>
      </w:pPr>
      <w:r>
        <w:rPr>
          <w:rFonts w:ascii="IRNazanin" w:hAnsi="IRNazanin" w:eastAsia="IRNazanin" w:cs="IRNazanin"/>
          <w:lang w:bidi="fa-IR"/>
          <w:color w:val="111111"/>
          <w:sz w:val="28"/>
          <w:szCs w:val="28"/>
          <w:rtl/>
        </w:rPr>
        <w:t xml:space="preserve">اسم لخمس قصائد فارسیة للفیض الکاشانی المولی محسن، میمیة و دالیة و نونیة تأتی فی الشین.</w:t>
      </w:r>
    </w:p>
    <w:p>
      <w:pPr>
        <w:pStyle w:val="Heading3"/>
      </w:pPr>
      <w:bookmarkStart w:id="5386" w:name="_Toc4082"/>
      <w:r>
        <w:t>3088- دیوان شهرت شیرازی‏</w:t>
      </w:r>
      <w:bookmarkEnd w:id="5386"/>
    </w:p>
    <w:p>
      <w:pPr>
        <w:pStyle w:val="BookText"/>
      </w:pPr>
      <w:r>
        <w:rPr>
          <w:rFonts w:ascii="IRNazanin" w:hAnsi="IRNazanin" w:eastAsia="IRNazanin" w:cs="IRNazanin"/>
          <w:lang w:bidi="fa-IR"/>
          <w:color w:val="111111"/>
          <w:sz w:val="28"/>
          <w:szCs w:val="28"/>
          <w:rtl/>
        </w:rPr>
        <w:t xml:space="preserve">و اسمه الشیخ حسین الطبیب. کان من الأعراب و نشا بفارس و سکن الهند و تقرب عند محمد أعظم طبیا خاصا له. و لقبه فرخ سیر حکیم الممالک و فی عهد محمد شاه حج البیت، و مات بشاه جهان‏آباد فی (ذی الحجة- (1149) رأی دیوانه آزاد بلگرامی فذکره فی سرو آزاد- ص 201 و نقل عن منتخب دیوانه. و عنه أخذ ظاهرا هدایت فی (مع- ج 2- ص 250) و (انجمن 4) و قال (خوش‏گو) فی أحوال تأثیر تبریزی: إنه بعث بدیوانه إلی حکیم الملک شهرت الشیرازی إلی الهند فاشتهر هناک. و توجد شعره فی گلستان مسرت- ص 154 و توجد دیوانه مع منتخب دیوان کمال خجندی فی (بنگاله). و ترجمه فی (حسینی- ص 184) و فی (تغ- ص 77) قال إن دیوانه أربعة آلاف بیت.</w:t>
      </w:r>
    </w:p>
    <w:p>
      <w:pPr>
        <w:pStyle w:val="Heading3"/>
      </w:pPr>
      <w:bookmarkStart w:id="5387" w:name="_Toc4083"/>
      <w:r>
        <w:t>3089- دیوان شهرت لکهنوی أو شعره‏</w:t>
      </w:r>
      <w:bookmarkEnd w:id="5387"/>
    </w:p>
    <w:p>
      <w:pPr>
        <w:pStyle w:val="BookText"/>
      </w:pPr>
      <w:r>
        <w:rPr>
          <w:rFonts w:ascii="IRNazanin" w:hAnsi="IRNazanin" w:eastAsia="IRNazanin" w:cs="IRNazanin"/>
          <w:lang w:bidi="fa-IR"/>
          <w:color w:val="111111"/>
          <w:sz w:val="28"/>
          <w:szCs w:val="28"/>
          <w:rtl/>
        </w:rPr>
        <w:t xml:space="preserve">و هو النواب افتخار الدین علی خان تلمذ علی محمد حسن قتیل أورد بعض شعره فی (گلشن- ص 230)</w:t>
      </w:r>
    </w:p>
    <w:p>
      <w:pPr>
        <w:pStyle w:val="Heading3"/>
      </w:pPr>
      <w:bookmarkStart w:id="5388" w:name="_Toc4084"/>
      <w:r>
        <w:t>3090- دیوان شهرة قاجار</w:t>
      </w:r>
      <w:bookmarkEnd w:id="5388"/>
    </w:p>
    <w:p>
      <w:pPr>
        <w:pStyle w:val="BookText"/>
      </w:pPr>
      <w:r>
        <w:rPr>
          <w:rFonts w:ascii="IRNazanin" w:hAnsi="IRNazanin" w:eastAsia="IRNazanin" w:cs="IRNazanin"/>
          <w:lang w:bidi="fa-IR"/>
          <w:color w:val="111111"/>
          <w:sz w:val="28"/>
          <w:szCs w:val="28"/>
          <w:rtl/>
        </w:rPr>
        <w:t xml:space="preserve">و اسمه علی رضا ابن السلطان فتح علی شاه و أخ محمد رضا میرزا المتخلص أفسر لأمه قال فی ناسخ التواریخ إنه الولد العشرین لفتح علی شاه ولد (1218) و سکن ملایر یرتزق من أقطاع أعطاه والده و مات هناک توجد دیوانه بمکتبة (المجلس) بخط زوجة الشاعر المسماة دلدار خان لرستانی، فی (1700 بیت) قصائد و غزلیات و مثنویات، و علیه تقریظ لفریدون میرزا کتبه فی (1323) کما فی فهرس المجلس (3: 323) و ترجمه فی (مع- ج 1 ص 36) و رأیت قصیدة لشهرت فی مدیح الرضا علیه السلام  ضمن مجموعة دونها شاعر یتخلص مداح فی (1285) عند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552" w:name="pg11704_122035"/>
    <w:bookmarkEnd w:id="552"/>
    <w:p>
      <w:pPr>
        <w:pStyle w:val="BookText"/>
      </w:pPr>
      <w:r>
        <w:rPr>
          <w:rFonts w:ascii="IRNazanin" w:hAnsi="IRNazanin" w:eastAsia="IRNazanin" w:cs="IRNazanin"/>
          <w:lang w:bidi="fa-IR"/>
          <w:color w:val="111111"/>
          <w:sz w:val="28"/>
          <w:szCs w:val="28"/>
          <w:rtl/>
        </w:rPr>
        <w:t xml:space="preserve">السید محمد الجزائری فی النجف و لعله لهذا الرجل‏</w:t>
      </w:r>
    </w:p>
    <w:p>
      <w:pPr>
        <w:pStyle w:val="Heading3"/>
      </w:pPr>
      <w:bookmarkStart w:id="5389" w:name="_Toc4085"/>
      <w:r>
        <w:t>3091- دیوان شهرة قمی‏</w:t>
      </w:r>
      <w:bookmarkEnd w:id="5389"/>
    </w:p>
    <w:p>
      <w:pPr>
        <w:pStyle w:val="BookText"/>
      </w:pPr>
      <w:r>
        <w:rPr>
          <w:rFonts w:ascii="IRNazanin" w:hAnsi="IRNazanin" w:eastAsia="IRNazanin" w:cs="IRNazanin"/>
          <w:lang w:bidi="fa-IR"/>
          <w:color w:val="111111"/>
          <w:sz w:val="28"/>
          <w:szCs w:val="28"/>
          <w:rtl/>
        </w:rPr>
        <w:t xml:space="preserve">و اسمه أحمد نعمةاللهی من المعاصرین طبع له هناک اندیشه‏های من، یا دامنه‏های خیال فی (227 ص)</w:t>
      </w:r>
    </w:p>
    <w:p>
      <w:pPr>
        <w:pStyle w:val="Heading3"/>
      </w:pPr>
      <w:bookmarkStart w:id="5390" w:name="_Toc4086"/>
      <w:r>
        <w:t>3092- دیوان شهریار أو شعره‏</w:t>
      </w:r>
      <w:bookmarkEnd w:id="5390"/>
    </w:p>
    <w:p>
      <w:pPr>
        <w:pStyle w:val="BookText"/>
      </w:pPr>
      <w:r>
        <w:rPr>
          <w:rFonts w:ascii="IRNazanin" w:hAnsi="IRNazanin" w:eastAsia="IRNazanin" w:cs="IRNazanin"/>
          <w:lang w:bidi="fa-IR"/>
          <w:color w:val="111111"/>
          <w:sz w:val="28"/>
          <w:szCs w:val="28"/>
          <w:rtl/>
        </w:rPr>
        <w:t xml:space="preserve">و هو الشاه‏زاده ابن نور الدین جهانگیر پادشاه و صهر نورجهان بیگم جلس بعد أبیه ثم أسمل عینیه آصف خان أورد بعض شعره فی (گلشن ص 239)</w:t>
      </w:r>
    </w:p>
    <w:p>
      <w:pPr>
        <w:pStyle w:val="Heading3"/>
      </w:pPr>
      <w:bookmarkStart w:id="5391" w:name="_Toc4087"/>
      <w:r>
        <w:t>3093- دیوان شهریار تبریزی‏</w:t>
      </w:r>
      <w:bookmarkEnd w:id="5391"/>
    </w:p>
    <w:p>
      <w:pPr>
        <w:pStyle w:val="BookText"/>
      </w:pPr>
      <w:r>
        <w:rPr>
          <w:rFonts w:ascii="IRNazanin" w:hAnsi="IRNazanin" w:eastAsia="IRNazanin" w:cs="IRNazanin"/>
          <w:lang w:bidi="fa-IR"/>
          <w:color w:val="111111"/>
          <w:sz w:val="28"/>
          <w:szCs w:val="28"/>
          <w:rtl/>
        </w:rPr>
        <w:t xml:space="preserve">قصائد و غزلیات و رباعیات للمیرزا محمد حسین المعاصر طبع جزئه الأول فی (1310 ص) فی (214 ص) ثم أعید أخیرا فی (619 ص) و جاء شعره فی کنگره نویسندگان- ص 212</w:t>
      </w:r>
    </w:p>
    <w:p>
      <w:pPr>
        <w:pStyle w:val="Heading3"/>
      </w:pPr>
      <w:bookmarkStart w:id="5392" w:name="_Toc4088"/>
      <w:r>
        <w:t>دیوان شهریاری‏</w:t>
      </w:r>
      <w:bookmarkEnd w:id="5392"/>
    </w:p>
    <w:p>
      <w:pPr>
        <w:pStyle w:val="BookText"/>
      </w:pPr>
      <w:r>
        <w:rPr>
          <w:rFonts w:ascii="IRNazanin" w:hAnsi="IRNazanin" w:eastAsia="IRNazanin" w:cs="IRNazanin"/>
          <w:lang w:bidi="fa-IR"/>
          <w:color w:val="111111"/>
          <w:sz w:val="28"/>
          <w:szCs w:val="28"/>
          <w:rtl/>
        </w:rPr>
        <w:t xml:space="preserve">راجع دیوان عمادی شهریاری‏</w:t>
      </w:r>
    </w:p>
    <w:p>
      <w:pPr>
        <w:pStyle w:val="Heading3"/>
      </w:pPr>
      <w:bookmarkStart w:id="5393" w:name="_Toc4089"/>
      <w:r>
        <w:t>3094- دیوان شهریاری خراسانی أو شعره‏</w:t>
      </w:r>
      <w:bookmarkEnd w:id="5393"/>
    </w:p>
    <w:p>
      <w:pPr>
        <w:pStyle w:val="BookText"/>
      </w:pPr>
      <w:r>
        <w:rPr>
          <w:rFonts w:ascii="IRNazanin" w:hAnsi="IRNazanin" w:eastAsia="IRNazanin" w:cs="IRNazanin"/>
          <w:lang w:bidi="fa-IR"/>
          <w:color w:val="111111"/>
          <w:sz w:val="28"/>
          <w:szCs w:val="28"/>
          <w:rtl/>
        </w:rPr>
        <w:t xml:space="preserve">قال فی (اللباب- 11) إن قصائده غیر مشهورة و لکن رباعیاته معروفة سائرة</w:t>
      </w:r>
    </w:p>
    <w:p>
      <w:pPr>
        <w:pStyle w:val="Heading3"/>
      </w:pPr>
      <w:bookmarkStart w:id="5394" w:name="_Toc4090"/>
      <w:r>
        <w:t>3095- دیوان شهرین أصفهانی‏</w:t>
      </w:r>
      <w:bookmarkEnd w:id="5394"/>
    </w:p>
    <w:p>
      <w:pPr>
        <w:pStyle w:val="BookText"/>
      </w:pPr>
      <w:r>
        <w:rPr>
          <w:rFonts w:ascii="IRNazanin" w:hAnsi="IRNazanin" w:eastAsia="IRNazanin" w:cs="IRNazanin"/>
          <w:lang w:bidi="fa-IR"/>
          <w:color w:val="111111"/>
          <w:sz w:val="28"/>
          <w:szCs w:val="28"/>
          <w:rtl/>
        </w:rPr>
        <w:t xml:space="preserve">و اسمه کاظم ولد حدود (1301 ش) طبع له فی (1322 ش) عشق و شاعری و علی ظهره أن له أشعار جدید و أفکار و مناظر ترجمه و أورد شعره فی (شعرای معاصر أصفهان- ص 289)</w:t>
      </w:r>
    </w:p>
    <w:p>
      <w:pPr>
        <w:pStyle w:val="Heading3"/>
      </w:pPr>
      <w:bookmarkStart w:id="5395" w:name="_Toc4091"/>
      <w:r>
        <w:t>دیوان شهسوار بیگ‏</w:t>
      </w:r>
      <w:bookmarkEnd w:id="5395"/>
    </w:p>
    <w:p>
      <w:pPr>
        <w:pStyle w:val="BookText"/>
      </w:pPr>
      <w:r>
        <w:rPr>
          <w:rFonts w:ascii="IRNazanin" w:hAnsi="IRNazanin" w:eastAsia="IRNazanin" w:cs="IRNazanin"/>
          <w:lang w:bidi="fa-IR"/>
          <w:color w:val="111111"/>
          <w:sz w:val="28"/>
          <w:szCs w:val="28"/>
          <w:rtl/>
        </w:rPr>
        <w:t xml:space="preserve">یأتی بعنوان تخلصه نادم‏</w:t>
      </w:r>
    </w:p>
    <w:p>
      <w:pPr>
        <w:pStyle w:val="Heading3"/>
      </w:pPr>
      <w:bookmarkStart w:id="5396" w:name="_Toc4092"/>
      <w:r>
        <w:t>دیوان شهشهانی‏</w:t>
      </w:r>
      <w:bookmarkEnd w:id="5396"/>
    </w:p>
    <w:p>
      <w:pPr>
        <w:pStyle w:val="BookText"/>
      </w:pPr>
      <w:r>
        <w:rPr>
          <w:rFonts w:ascii="IRNazanin" w:hAnsi="IRNazanin" w:eastAsia="IRNazanin" w:cs="IRNazanin"/>
          <w:lang w:bidi="fa-IR"/>
          <w:color w:val="111111"/>
          <w:sz w:val="28"/>
          <w:szCs w:val="28"/>
          <w:rtl/>
        </w:rPr>
        <w:t xml:space="preserve">راجع دیوان نیسان أصفهانی‏</w:t>
      </w:r>
    </w:p>
    <w:p>
      <w:pPr>
        <w:pStyle w:val="Heading3"/>
      </w:pPr>
      <w:bookmarkStart w:id="5397" w:name="_Toc4093"/>
      <w:r>
        <w:t>دیوان شهفینی‏</w:t>
      </w:r>
      <w:bookmarkEnd w:id="5397"/>
    </w:p>
    <w:p>
      <w:pPr>
        <w:pStyle w:val="BookText"/>
      </w:pPr>
      <w:r>
        <w:rPr>
          <w:rFonts w:ascii="IRNazanin" w:hAnsi="IRNazanin" w:eastAsia="IRNazanin" w:cs="IRNazanin"/>
          <w:lang w:bidi="fa-IR"/>
          <w:color w:val="111111"/>
          <w:sz w:val="28"/>
          <w:szCs w:val="28"/>
          <w:rtl/>
        </w:rPr>
        <w:t xml:space="preserve">راجع دیوان شهیفنی‏</w:t>
      </w:r>
    </w:p>
    <w:p>
      <w:pPr>
        <w:pStyle w:val="Heading3"/>
      </w:pPr>
      <w:bookmarkStart w:id="5398" w:name="_Toc4094"/>
      <w:r>
        <w:t>3096- دیوان شهلای یزدی‏</w:t>
      </w:r>
      <w:bookmarkEnd w:id="5398"/>
    </w:p>
    <w:p>
      <w:pPr>
        <w:pStyle w:val="BookText"/>
      </w:pPr>
      <w:r>
        <w:rPr>
          <w:rFonts w:ascii="IRNazanin" w:hAnsi="IRNazanin" w:eastAsia="IRNazanin" w:cs="IRNazanin"/>
          <w:lang w:bidi="fa-IR"/>
          <w:color w:val="111111"/>
          <w:sz w:val="28"/>
          <w:szCs w:val="28"/>
          <w:rtl/>
        </w:rPr>
        <w:t xml:space="preserve">المیر محمد علی بن عبد الوهاب من بیت المدرسی بیزد، و صاحب تذکره شبستان المذکورة فی (ج 4 ص 35) ترجمه آیتی فی (تش یز- ص 300) و مر حفیده آگهی یزدی‏</w:t>
      </w:r>
    </w:p>
    <w:p>
      <w:pPr>
        <w:pStyle w:val="Heading3"/>
      </w:pPr>
      <w:bookmarkStart w:id="5399" w:name="_Toc4095"/>
      <w:r>
        <w:t>3097- دیوان شهناز</w:t>
      </w:r>
      <w:bookmarkEnd w:id="5399"/>
    </w:p>
    <w:p>
      <w:pPr>
        <w:pStyle w:val="BookText"/>
      </w:pPr>
      <w:r>
        <w:rPr>
          <w:rFonts w:ascii="IRNazanin" w:hAnsi="IRNazanin" w:eastAsia="IRNazanin" w:cs="IRNazanin"/>
          <w:lang w:bidi="fa-IR"/>
          <w:color w:val="111111"/>
          <w:sz w:val="28"/>
          <w:szCs w:val="28"/>
          <w:rtl/>
        </w:rPr>
        <w:t xml:space="preserve">من المعاصرین اسمه أحمد ولد بمشهد خراسان حدود (1344) و طبع له غنچه‏ها بطهران‏</w:t>
      </w:r>
    </w:p>
    <w:p>
      <w:pPr>
        <w:pStyle w:val="Heading3"/>
      </w:pPr>
      <w:bookmarkStart w:id="5400" w:name="_Toc4096"/>
      <w:r>
        <w:t>3098- دیوان شهناز أعلامی‏</w:t>
      </w:r>
      <w:bookmarkEnd w:id="5400"/>
    </w:p>
    <w:p>
      <w:pPr>
        <w:pStyle w:val="BookText"/>
      </w:pPr>
      <w:r>
        <w:rPr>
          <w:rFonts w:ascii="IRNazanin" w:hAnsi="IRNazanin" w:eastAsia="IRNazanin" w:cs="IRNazanin"/>
          <w:lang w:bidi="fa-IR"/>
          <w:color w:val="111111"/>
          <w:sz w:val="28"/>
          <w:szCs w:val="28"/>
          <w:rtl/>
        </w:rPr>
        <w:t xml:space="preserve">و هی بنت المیرزا أبی تراب ثقة الأعلام النائنی الذی توفی (1346) ابن المیرزا أبی طالب بن محمد بن علی رضا النائنی ولدت بأصفهان‏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553" w:name="pg11704_122036"/>
    <w:bookmarkEnd w:id="553"/>
    <w:p>
      <w:pPr>
        <w:pStyle w:val="BookText"/>
      </w:pPr>
      <w:r>
        <w:rPr>
          <w:rFonts w:ascii="IRNazanin" w:hAnsi="IRNazanin" w:eastAsia="IRNazanin" w:cs="IRNazanin"/>
          <w:lang w:bidi="fa-IR"/>
          <w:color w:val="111111"/>
          <w:sz w:val="28"/>
          <w:szCs w:val="28"/>
          <w:rtl/>
        </w:rPr>
        <w:t xml:space="preserve">فی (1304) و تخرجت من کلیة الآداب بطهران ترجمها و أورد شعرها فی شعرای معاصر أصفهان (ص 42) و سخنوران نامی معاصر (ص 27)</w:t>
      </w:r>
    </w:p>
    <w:p>
      <w:pPr>
        <w:pStyle w:val="Heading3"/>
      </w:pPr>
      <w:bookmarkStart w:id="5401" w:name="_Toc4097"/>
      <w:r>
        <w:t>3099- دیوان شهناز نائنی أو شعره‏</w:t>
      </w:r>
      <w:bookmarkEnd w:id="5401"/>
    </w:p>
    <w:p>
      <w:pPr>
        <w:pStyle w:val="BookText"/>
      </w:pPr>
      <w:r>
        <w:rPr>
          <w:rFonts w:ascii="IRNazanin" w:hAnsi="IRNazanin" w:eastAsia="IRNazanin" w:cs="IRNazanin"/>
          <w:lang w:bidi="fa-IR"/>
          <w:color w:val="111111"/>
          <w:sz w:val="28"/>
          <w:szCs w:val="28"/>
          <w:rtl/>
        </w:rPr>
        <w:t xml:space="preserve">و اسمه عباس خان أورد شعره معاصره آیتی فی (تش یز- ص 300) و عنه فی تاریخ نائین فی (ج 4 ص 149)</w:t>
      </w:r>
    </w:p>
    <w:p>
      <w:pPr>
        <w:pStyle w:val="Heading3"/>
      </w:pPr>
      <w:bookmarkStart w:id="5402" w:name="_Toc4098"/>
      <w:r>
        <w:t>3100- دیوان شهودی أصفهانی أو شعره‏</w:t>
      </w:r>
      <w:bookmarkEnd w:id="5402"/>
    </w:p>
    <w:p>
      <w:pPr>
        <w:pStyle w:val="BookText"/>
      </w:pPr>
      <w:r>
        <w:rPr>
          <w:rFonts w:ascii="IRNazanin" w:hAnsi="IRNazanin" w:eastAsia="IRNazanin" w:cs="IRNazanin"/>
          <w:lang w:bidi="fa-IR"/>
          <w:color w:val="111111"/>
          <w:sz w:val="28"/>
          <w:szCs w:val="28"/>
          <w:rtl/>
        </w:rPr>
        <w:t xml:space="preserve">و اسمه المیر حسین الرمال أطری أخلاقه النصرآبادی فی (نر 9- ص 293) و قال عمر أکثر من سبعین سنة و لم یذکر اسمه الحسین فنقلناه عن (تغ- ص 77) و (گلشن- ص 239) و قال هذا إنه أصفهانی أو خراسانی، و لذلک قال فی (روشن- 367) إنه خراسانی‏</w:t>
      </w:r>
    </w:p>
    <w:p>
      <w:pPr>
        <w:pStyle w:val="Heading3"/>
      </w:pPr>
      <w:bookmarkStart w:id="5403" w:name="_Toc4099"/>
      <w:r>
        <w:t>3101- دیوان شهودی سبزواری أو شعره‏</w:t>
      </w:r>
      <w:bookmarkEnd w:id="5403"/>
    </w:p>
    <w:p>
      <w:pPr>
        <w:pStyle w:val="BookText"/>
      </w:pPr>
      <w:r>
        <w:rPr>
          <w:rFonts w:ascii="IRNazanin" w:hAnsi="IRNazanin" w:eastAsia="IRNazanin" w:cs="IRNazanin"/>
          <w:lang w:bidi="fa-IR"/>
          <w:color w:val="111111"/>
          <w:sz w:val="28"/>
          <w:szCs w:val="28"/>
          <w:rtl/>
        </w:rPr>
        <w:t xml:space="preserve">ترجمه و أورد شعره فی (خص 8- ص 311) و (تغ- ص 77)</w:t>
      </w:r>
    </w:p>
    <w:p>
      <w:pPr>
        <w:pStyle w:val="Heading3"/>
      </w:pPr>
      <w:bookmarkStart w:id="5404" w:name="_Toc4100"/>
      <w:r>
        <w:t>3102- دیوان شهودی لاهیجی‏</w:t>
      </w:r>
      <w:bookmarkEnd w:id="5404"/>
    </w:p>
    <w:p>
      <w:pPr>
        <w:pStyle w:val="BookText"/>
      </w:pPr>
      <w:r>
        <w:rPr>
          <w:rFonts w:ascii="IRNazanin" w:hAnsi="IRNazanin" w:eastAsia="IRNazanin" w:cs="IRNazanin"/>
          <w:lang w:bidi="fa-IR"/>
          <w:color w:val="111111"/>
          <w:sz w:val="28"/>
          <w:szCs w:val="28"/>
          <w:rtl/>
        </w:rPr>
        <w:t xml:space="preserve">معاصر السلطان یعقوب ترجمه و أورد شعره نقلا عن دیوانه فی (تش- ص 162) و قال إن شعره لیس بشعر و ذکر حکم القاضی اللاهیجی بإهدار دمه‏</w:t>
      </w:r>
    </w:p>
    <w:p>
      <w:pPr>
        <w:pStyle w:val="Heading3"/>
      </w:pPr>
      <w:bookmarkStart w:id="5405" w:name="_Toc4101"/>
      <w:r>
        <w:t>3103- دیوان شهودی یزدی‏</w:t>
      </w:r>
      <w:bookmarkEnd w:id="5405"/>
    </w:p>
    <w:p>
      <w:pPr>
        <w:pStyle w:val="BookText"/>
      </w:pPr>
      <w:r>
        <w:rPr>
          <w:rFonts w:ascii="IRNazanin" w:hAnsi="IRNazanin" w:eastAsia="IRNazanin" w:cs="IRNazanin"/>
          <w:lang w:bidi="fa-IR"/>
          <w:color w:val="111111"/>
          <w:sz w:val="28"/>
          <w:szCs w:val="28"/>
          <w:rtl/>
        </w:rPr>
        <w:t xml:space="preserve">ترجمه و أورد شعره فی (روشن- ص 367) قال و اسمه محمد علی جاء إلی الهند فی عهد أکبر شاه و له مثنوی عدم‏نامه‏</w:t>
      </w:r>
    </w:p>
    <w:p>
      <w:pPr>
        <w:pStyle w:val="Heading3"/>
      </w:pPr>
      <w:bookmarkStart w:id="5406" w:name="_Toc4102"/>
      <w:r>
        <w:t>3104- دیوان شهی شیرازی أو شعره‏</w:t>
      </w:r>
      <w:bookmarkEnd w:id="5406"/>
    </w:p>
    <w:p>
      <w:pPr>
        <w:pStyle w:val="BookText"/>
      </w:pPr>
      <w:r>
        <w:rPr>
          <w:rFonts w:ascii="IRNazanin" w:hAnsi="IRNazanin" w:eastAsia="IRNazanin" w:cs="IRNazanin"/>
          <w:lang w:bidi="fa-IR"/>
          <w:color w:val="111111"/>
          <w:sz w:val="28"/>
          <w:szCs w:val="28"/>
          <w:rtl/>
        </w:rPr>
        <w:t xml:space="preserve">ترجمه و أورد شعره معاصره فی (تس 5- ص 149)</w:t>
      </w:r>
    </w:p>
    <w:p>
      <w:pPr>
        <w:pStyle w:val="Heading3"/>
      </w:pPr>
      <w:bookmarkStart w:id="5407" w:name="_Toc4103"/>
      <w:r>
        <w:t>3105- دیوان الشهید الأول‏</w:t>
      </w:r>
      <w:bookmarkEnd w:id="5407"/>
    </w:p>
    <w:p>
      <w:pPr>
        <w:pStyle w:val="BookText"/>
      </w:pPr>
      <w:r>
        <w:rPr>
          <w:rFonts w:ascii="IRNazanin" w:hAnsi="IRNazanin" w:eastAsia="IRNazanin" w:cs="IRNazanin"/>
          <w:lang w:bidi="fa-IR"/>
          <w:color w:val="111111"/>
          <w:sz w:val="28"/>
          <w:szCs w:val="28"/>
          <w:rtl/>
        </w:rPr>
        <w:t xml:space="preserve">الشیخ شمس الدین محمد بن جمال الدین مکی بن محمد بن حامد الجزینی الشهید فی (9- ج 2- 786) جمعه الشیخ محمد رضا بن الشیخ زین العابدین بن شمس الدین العاملی، من أحفاد شیخنا الشهید الناظم و الجامع شاب فاضل معاصر</w:t>
      </w:r>
    </w:p>
    <w:p>
      <w:pPr>
        <w:pStyle w:val="Heading3"/>
      </w:pPr>
      <w:bookmarkStart w:id="5408" w:name="_Toc4104"/>
      <w:r>
        <w:t>3106- دیوان شهید بلخی‏</w:t>
      </w:r>
      <w:bookmarkEnd w:id="5408"/>
    </w:p>
    <w:p>
      <w:pPr>
        <w:pStyle w:val="BookText"/>
      </w:pPr>
      <w:r>
        <w:rPr>
          <w:rFonts w:ascii="IRNazanin" w:hAnsi="IRNazanin" w:eastAsia="IRNazanin" w:cs="IRNazanin"/>
          <w:lang w:bidi="fa-IR"/>
          <w:color w:val="111111"/>
          <w:sz w:val="28"/>
          <w:szCs w:val="28"/>
          <w:rtl/>
        </w:rPr>
        <w:t xml:space="preserve">الشیخ أبو الحسن من شعراء آل سامان اعترف بفضله الرودکی و رثاه حین مات فی (325) بقطعة جاء فی ترجمته فی (اللباب- 8) قال و کان ینظم بالعربیة و الفارسیة و نقل شعره العربی عن حماسة الظرفاء لأبی محمد عبد الکافی الزوزنی و ترجمه أیضا فی (تش- ص 299) و الریحانة عن القاموس الترکی و قال‏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554" w:name="pg11704_122037"/>
    <w:bookmarkEnd w:id="554"/>
    <w:p>
      <w:pPr>
        <w:pStyle w:val="BookText"/>
      </w:pPr>
      <w:r>
        <w:rPr>
          <w:rFonts w:ascii="IRNazanin" w:hAnsi="IRNazanin" w:eastAsia="IRNazanin" w:cs="IRNazanin"/>
          <w:lang w:bidi="fa-IR"/>
          <w:color w:val="111111"/>
          <w:sz w:val="28"/>
          <w:szCs w:val="28"/>
          <w:rtl/>
        </w:rPr>
        <w:t xml:space="preserve">محمد دبیر سیاقی فی مقدمه گنج باز یافته إنه جمع أشعاره و إنه سیطبع دیوانه‏</w:t>
      </w:r>
    </w:p>
    <w:p>
      <w:pPr>
        <w:pStyle w:val="Heading3"/>
      </w:pPr>
      <w:bookmarkStart w:id="5409" w:name="_Toc4105"/>
      <w:r>
        <w:t>3107- دیوان شهید دزفولی أو شعره‏</w:t>
      </w:r>
      <w:bookmarkEnd w:id="5409"/>
    </w:p>
    <w:p>
      <w:pPr>
        <w:pStyle w:val="BookText"/>
      </w:pPr>
      <w:r>
        <w:rPr>
          <w:rFonts w:ascii="IRNazanin" w:hAnsi="IRNazanin" w:eastAsia="IRNazanin" w:cs="IRNazanin"/>
          <w:lang w:bidi="fa-IR"/>
          <w:color w:val="111111"/>
          <w:sz w:val="28"/>
          <w:szCs w:val="28"/>
          <w:rtl/>
        </w:rPr>
        <w:t xml:space="preserve">أورد شعره فی مخزن الدرر لحقیر الدزفولی المذکور فی (ص 258) و کان معاصرا له‏</w:t>
      </w:r>
    </w:p>
    <w:p>
      <w:pPr>
        <w:pStyle w:val="Heading3"/>
      </w:pPr>
      <w:bookmarkStart w:id="5410" w:name="_Toc4106"/>
      <w:r>
        <w:t>3108- دیوان شهید شیرازی أو شعره‏</w:t>
      </w:r>
      <w:bookmarkEnd w:id="5410"/>
    </w:p>
    <w:p>
      <w:pPr>
        <w:pStyle w:val="BookText"/>
      </w:pPr>
      <w:r>
        <w:rPr>
          <w:rFonts w:ascii="IRNazanin" w:hAnsi="IRNazanin" w:eastAsia="IRNazanin" w:cs="IRNazanin"/>
          <w:lang w:bidi="fa-IR"/>
          <w:color w:val="111111"/>
          <w:sz w:val="28"/>
          <w:szCs w:val="28"/>
          <w:rtl/>
        </w:rPr>
        <w:t xml:space="preserve">و اسمه المیرزا عبد الله الطبیب المتوفی (نیف و 1270) ترجمه فی آثار عجم- ص 560</w:t>
      </w:r>
    </w:p>
    <w:p>
      <w:pPr>
        <w:pStyle w:val="Heading3"/>
      </w:pPr>
      <w:bookmarkStart w:id="5411" w:name="_Toc4107"/>
      <w:r>
        <w:t>3109- دیوان شهید قمی‏</w:t>
      </w:r>
      <w:bookmarkEnd w:id="5411"/>
    </w:p>
    <w:p>
      <w:pPr>
        <w:pStyle w:val="BookText"/>
      </w:pPr>
      <w:r>
        <w:rPr>
          <w:rFonts w:ascii="IRNazanin" w:hAnsi="IRNazanin" w:eastAsia="IRNazanin" w:cs="IRNazanin"/>
          <w:lang w:bidi="fa-IR"/>
          <w:color w:val="111111"/>
          <w:sz w:val="28"/>
          <w:szCs w:val="28"/>
          <w:rtl/>
        </w:rPr>
        <w:t xml:space="preserve">ذکر النصرآبادی فی (نر 9- ص 367) أنه نزل إلی أصفهان قبل سنین و هاجر منها إلی الهند و بها توفی، و ذکر بعض شعره و لعله متحد مع شهیدی قمی الآتی‏</w:t>
      </w:r>
    </w:p>
    <w:p>
      <w:pPr>
        <w:pStyle w:val="Heading3"/>
      </w:pPr>
      <w:bookmarkStart w:id="5412" w:name="_Toc4108"/>
      <w:r>
        <w:t>3110- دیوان شهید لاهیجانی‏</w:t>
      </w:r>
      <w:bookmarkEnd w:id="5412"/>
    </w:p>
    <w:p>
      <w:pPr>
        <w:pStyle w:val="BookText"/>
      </w:pPr>
      <w:r>
        <w:rPr>
          <w:rFonts w:ascii="IRNazanin" w:hAnsi="IRNazanin" w:eastAsia="IRNazanin" w:cs="IRNazanin"/>
          <w:lang w:bidi="fa-IR"/>
          <w:color w:val="111111"/>
          <w:sz w:val="28"/>
          <w:szCs w:val="28"/>
          <w:rtl/>
        </w:rPr>
        <w:t xml:space="preserve">المیر محمد هاشم کان یذکر أنه من سادات لاهیجان، و سافر إلی البلاد و منها إلی أصفهان فی عصر النصرآبادی کما ذکره فی (نر 9- ص 350) و أشار إلی غزلیاته الکثیرة و عنه أخذ فی الریحانة، و فی (روشن- ص 369) سماه شهیدی لاهیجی‏</w:t>
      </w:r>
    </w:p>
    <w:p>
      <w:pPr>
        <w:pStyle w:val="Heading3"/>
      </w:pPr>
      <w:bookmarkStart w:id="5413" w:name="_Toc4109"/>
      <w:r>
        <w:t>3111- دیوان شهید لاهوری أو شعره‏</w:t>
      </w:r>
      <w:bookmarkEnd w:id="5413"/>
    </w:p>
    <w:p>
      <w:pPr>
        <w:pStyle w:val="BookText"/>
      </w:pPr>
      <w:r>
        <w:rPr>
          <w:rFonts w:ascii="IRNazanin" w:hAnsi="IRNazanin" w:eastAsia="IRNazanin" w:cs="IRNazanin"/>
          <w:lang w:bidi="fa-IR"/>
          <w:color w:val="111111"/>
          <w:sz w:val="28"/>
          <w:szCs w:val="28"/>
          <w:rtl/>
        </w:rPr>
        <w:t xml:space="preserve">و اسمه میر غازی ابن أخت راسخ مات (1130) ترجمه و أورد شعره فی (حسینی- ص 184) و کذا فی (خوش‏گو)</w:t>
      </w:r>
    </w:p>
    <w:p>
      <w:pPr>
        <w:pStyle w:val="Heading3"/>
      </w:pPr>
      <w:bookmarkStart w:id="5414" w:name="_Toc4110"/>
      <w:r>
        <w:t>3112- دیوان شهیدی بختیاری‏</w:t>
      </w:r>
      <w:bookmarkEnd w:id="5414"/>
    </w:p>
    <w:p>
      <w:pPr>
        <w:pStyle w:val="BookText"/>
      </w:pPr>
      <w:r>
        <w:rPr>
          <w:rFonts w:ascii="IRNazanin" w:hAnsi="IRNazanin" w:eastAsia="IRNazanin" w:cs="IRNazanin"/>
          <w:lang w:bidi="fa-IR"/>
          <w:color w:val="111111"/>
          <w:sz w:val="28"/>
          <w:szCs w:val="28"/>
          <w:rtl/>
        </w:rPr>
        <w:t xml:space="preserve">نزیل طهران فی عصر رضا قلی خان و قد مدح السلطان محمد شاه و وزیره و سائر الأرکان ترجمه (مع 2: 245) و أورد ما یقرب من أربعین بیتا من شعره‏</w:t>
      </w:r>
    </w:p>
    <w:p>
      <w:pPr>
        <w:pStyle w:val="Heading3"/>
      </w:pPr>
      <w:bookmarkStart w:id="5415" w:name="_Toc4111"/>
      <w:r>
        <w:t>3113- دیوان شهیدی خراسانی‏</w:t>
      </w:r>
      <w:bookmarkEnd w:id="5415"/>
    </w:p>
    <w:p>
      <w:pPr>
        <w:pStyle w:val="BookText"/>
      </w:pPr>
      <w:r>
        <w:rPr>
          <w:rFonts w:ascii="IRNazanin" w:hAnsi="IRNazanin" w:eastAsia="IRNazanin" w:cs="IRNazanin"/>
          <w:lang w:bidi="fa-IR"/>
          <w:color w:val="111111"/>
          <w:sz w:val="28"/>
          <w:szCs w:val="28"/>
          <w:rtl/>
        </w:rPr>
        <w:t xml:space="preserve">و هو الحاج میرزا حبیب الله بن المیرزا هاشم بن المیرزا هدایة الله ابن المیرزا مهدی الخراسانی الشهید ولد (1266) ترجمه فی مطلع الشمس و عبر عنه بسید المجتهدین إمام الجماعة بمسجد گوهرشاد و ترجمه تلمیذه السید حسن المشکان الطبسی فی مجلة دبستان و قال کان یخطب و یعظ الناس أکثر من ساعتین متصلا تلمذ علی المیرزا حسن الشیرازی بسامراء و المیرزا حبیب الله الرشتی فی النجف، و تعلم اللغة الإفرنسیة و توفی بمشهد (27 شعبان 1327) و دفن بصفة الشاه طهماسب طبع دیوانه حفیده حسن حبیب بطهران فی (1376) و یتخلص فیه حبیب و حبیبا و إن اشتهر بالشهیدی هذا ما ذکره محمد شهید نورائی فی خطاب ألقاه فی‏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555" w:name="pg11704_122038"/>
    <w:bookmarkEnd w:id="555"/>
    <w:p>
      <w:pPr>
        <w:pStyle w:val="BookText"/>
      </w:pPr>
      <w:r>
        <w:rPr>
          <w:rFonts w:ascii="IRNazanin" w:hAnsi="IRNazanin" w:eastAsia="IRNazanin" w:cs="IRNazanin"/>
          <w:lang w:bidi="fa-IR"/>
          <w:color w:val="111111"/>
          <w:sz w:val="28"/>
          <w:szCs w:val="28"/>
          <w:rtl/>
        </w:rPr>
        <w:t xml:space="preserve">حفلة ذکری له هذا و قد طبع مجموعة من شعره بعنوان گنج گهر فی (1370) جمعها عباس زرین قلم‏</w:t>
      </w:r>
    </w:p>
    <w:p>
      <w:pPr>
        <w:pStyle w:val="Heading3"/>
      </w:pPr>
      <w:bookmarkStart w:id="5416" w:name="_Toc4112"/>
      <w:r>
        <w:t>3114- دیوان شهیدی قمی‏</w:t>
      </w:r>
      <w:bookmarkEnd w:id="5416"/>
    </w:p>
    <w:p>
      <w:pPr>
        <w:pStyle w:val="BookText"/>
      </w:pPr>
      <w:r>
        <w:rPr>
          <w:rFonts w:ascii="IRNazanin" w:hAnsi="IRNazanin" w:eastAsia="IRNazanin" w:cs="IRNazanin"/>
          <w:lang w:bidi="fa-IR"/>
          <w:color w:val="111111"/>
          <w:sz w:val="28"/>
          <w:szCs w:val="28"/>
          <w:rtl/>
        </w:rPr>
        <w:t xml:space="preserve">أو بابا شهیدی ترجمه و أورد بعض مطالعه سام میرزا فی (تس 5- ص 106) و ذکر أنه کان ملک الشعراء للسلطان یعقوب و کان شعره مرغوبا ثم سافر إلی الهند و بعض بلاد گجرات و بها توفی (935) و أورد بعض شعره أیضا و نقل فی (حسینی- ص 170) أخذه الصلة الکثیرة من عادل شاه بالهند و ترجمه فی (تش- ص 232) و تتبع ضمیری دیوانه، بدیوان سماه خجسته فال کما ذکر فی (ج 7- ص 261) و قال سنگلاخ فی امتحان الفضلاء- ج 1 ص 115 إنه رأی دیوان غزله بخط سلطان محمد نورا و ترجمه أیضا فی (مع 2: 23) و کذا فی (خوش‏گو) و (تغ- ص 77) و حبیب السیر الجزء الرابع من المجلد الثالث (ص 115) کما فی رجال حبیب السیر</w:t>
      </w:r>
    </w:p>
    <w:p>
      <w:pPr>
        <w:pStyle w:val="Heading3"/>
      </w:pPr>
      <w:bookmarkStart w:id="5417" w:name="_Toc4113"/>
      <w:r>
        <w:t>3115- دیوان شهیر رامپوری أو شعره‏</w:t>
      </w:r>
      <w:bookmarkEnd w:id="5417"/>
    </w:p>
    <w:p>
      <w:pPr>
        <w:pStyle w:val="BookText"/>
      </w:pPr>
      <w:r>
        <w:rPr>
          <w:rFonts w:ascii="IRNazanin" w:hAnsi="IRNazanin" w:eastAsia="IRNazanin" w:cs="IRNazanin"/>
          <w:lang w:bidi="fa-IR"/>
          <w:color w:val="111111"/>
          <w:sz w:val="28"/>
          <w:szCs w:val="28"/>
          <w:rtl/>
        </w:rPr>
        <w:t xml:space="preserve">و هو الحافظ خان محمد خان بن غلام محمد خان بن غلام حسین خان، تلمیذ أسد الله غالب کان والده من حکام الإنگلیز بلکهنو و لقب افتخار الشعراء أورد شعره فی (گلشن 230- 238)</w:t>
      </w:r>
    </w:p>
    <w:p>
      <w:pPr>
        <w:pStyle w:val="Heading3"/>
      </w:pPr>
      <w:bookmarkStart w:id="5418" w:name="_Toc4114"/>
      <w:r>
        <w:t>3116- دیوان شهی شیرازی أو شعره‏</w:t>
      </w:r>
      <w:bookmarkEnd w:id="5418"/>
    </w:p>
    <w:p>
      <w:pPr>
        <w:pStyle w:val="BookText"/>
      </w:pPr>
      <w:r>
        <w:rPr>
          <w:rFonts w:ascii="IRNazanin" w:hAnsi="IRNazanin" w:eastAsia="IRNazanin" w:cs="IRNazanin"/>
          <w:lang w:bidi="fa-IR"/>
          <w:color w:val="111111"/>
          <w:sz w:val="28"/>
          <w:szCs w:val="28"/>
          <w:rtl/>
        </w:rPr>
        <w:t xml:space="preserve">ترجمه و أورد شعره فی (تس 5- ص 149).</w:t>
      </w:r>
    </w:p>
    <w:p>
      <w:pPr>
        <w:pStyle w:val="Heading3"/>
      </w:pPr>
      <w:bookmarkStart w:id="5419" w:name="_Toc4115"/>
      <w:r>
        <w:t>3117- دیوان الشهیفنی‏</w:t>
      </w:r>
      <w:bookmarkEnd w:id="5419"/>
    </w:p>
    <w:p>
      <w:pPr>
        <w:pStyle w:val="BookText"/>
      </w:pPr>
      <w:r>
        <w:rPr>
          <w:rFonts w:ascii="IRNazanin" w:hAnsi="IRNazanin" w:eastAsia="IRNazanin" w:cs="IRNazanin"/>
          <w:lang w:bidi="fa-IR"/>
          <w:color w:val="111111"/>
          <w:sz w:val="28"/>
          <w:szCs w:val="28"/>
          <w:rtl/>
        </w:rPr>
        <w:t xml:space="preserve">للشیخ أبی الحسن علی بن الحسین الحلی قال فی الریاض عندنا قصیدة من دیوانه و فی مجالس المؤمنین ذکره بعنوان علی بن الحسین الشهیفیة و قال إن الشیخ السعید محمد بن مکی الشهید فی (786) قد شرح إحدی قصائده الکثیرة فی أهل البیت و هی التی فی مدح الأمیر علیه السلام . و لما بلغ الناظم اعتناء الشهید بقصیدته و شرحه إیاها مدحه بقطعة فی عشرة أبیات و أرسلها إلی الشهید تشکرا منه. و فی الریاض عبر عنه بالشهیفیة تارة کما فی الأمل و المجالس و تارة بالشفیهیة و الظاهر أن الثانی تصحیف.</w:t>
      </w:r>
    </w:p>
    <w:p>
      <w:pPr>
        <w:pStyle w:val="Heading3"/>
      </w:pPr>
      <w:bookmarkStart w:id="5420" w:name="_Toc4116"/>
      <w:r>
        <w:t>3118- دیوان شیبانی کاشانی‏</w:t>
      </w:r>
      <w:bookmarkEnd w:id="5420"/>
    </w:p>
    <w:p>
      <w:pPr>
        <w:pStyle w:val="BookText"/>
      </w:pPr>
      <w:r>
        <w:rPr>
          <w:rFonts w:ascii="IRNazanin" w:hAnsi="IRNazanin" w:eastAsia="IRNazanin" w:cs="IRNazanin"/>
          <w:lang w:bidi="fa-IR"/>
          <w:color w:val="111111"/>
          <w:sz w:val="28"/>
          <w:szCs w:val="28"/>
          <w:rtl/>
        </w:rPr>
        <w:t xml:space="preserve">أبو نصر فتح الله خان بن محمد کاظم بن حسین خان الکاشانی. کان آباؤه حکام کاشان فی العهد القاجاری. له فواکه السحر و مقالات سگانه و خطاب فرخ و جواهر مخزون و لئالی مکنون و تنگ شکر و درج گهر و مسعودنامه و یوسفیة و کامرانیة و زبدة الآثار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556" w:name="pg11704_122039"/>
    <w:bookmarkEnd w:id="556"/>
    <w:p>
      <w:pPr>
        <w:pStyle w:val="BookText"/>
      </w:pPr>
      <w:r>
        <w:rPr>
          <w:rFonts w:ascii="IRNazanin" w:hAnsi="IRNazanin" w:eastAsia="IRNazanin" w:cs="IRNazanin"/>
          <w:lang w:bidi="fa-IR"/>
          <w:color w:val="111111"/>
          <w:sz w:val="28"/>
          <w:szCs w:val="28"/>
          <w:rtl/>
        </w:rPr>
        <w:t xml:space="preserve">و مطائبات و نصائح منظوم و عنوان بیان و شرف الملوک و فتح و ظفر کلها منظومات و توجد الأخیر فی المجلس کما فصلها. فی فهرسها (3: 519) و قد انتخب من کل واحد منها مجموعة طبعت بأستانبول فی (1308) و له دیباجة علی مظهر العجائب للعطار طبعت (1323) و هذه کلها غیر دیوانه المطبوع بطهران فی (204 ص) و مات بطهران عن ثمان و ستین سنة فی (1308) ترجمه فی (المآثر و الآثار- ص 204 و فی (مع 2: 224) و أورد ما یقرب من ألف و ثلاثمائة بیت من قصائده. و توجد نسخه من دیوانه کتبت فی دار النصرة هرات فی (شوال (1273) فی (3000 بیت) عند (الملک) برقم (5159).</w:t>
      </w:r>
    </w:p>
    <w:p>
      <w:pPr>
        <w:pStyle w:val="Heading3"/>
      </w:pPr>
      <w:bookmarkStart w:id="5421" w:name="_Toc4117"/>
      <w:r>
        <w:t>3119- دیوان شیبک خان‏</w:t>
      </w:r>
      <w:bookmarkEnd w:id="5421"/>
    </w:p>
    <w:p>
      <w:pPr>
        <w:pStyle w:val="BookText"/>
      </w:pPr>
      <w:r>
        <w:rPr>
          <w:rFonts w:ascii="IRNazanin" w:hAnsi="IRNazanin" w:eastAsia="IRNazanin" w:cs="IRNazanin"/>
          <w:lang w:bidi="fa-IR"/>
          <w:color w:val="111111"/>
          <w:sz w:val="28"/>
          <w:szCs w:val="28"/>
          <w:rtl/>
        </w:rPr>
        <w:t xml:space="preserve">ابن براق خان أوز بیک من نسل چنگیز خان و سلطان ما وراء النهر من (906) و استأصل هو أولاد سلطان حسین میرزا بایقرا فی (913) و بقی بعدها مدة إلی أن قتله بعض عسکره. ترجمه و أورد شعره فی (تس 1- ص 19).</w:t>
      </w:r>
    </w:p>
    <w:p>
      <w:pPr>
        <w:pStyle w:val="Heading3"/>
      </w:pPr>
      <w:bookmarkStart w:id="5422" w:name="_Toc4118"/>
      <w:r>
        <w:t>دیوان شیخ آذری أسفراینی‏</w:t>
      </w:r>
      <w:bookmarkEnd w:id="5422"/>
    </w:p>
    <w:p>
      <w:pPr>
        <w:pStyle w:val="BookText"/>
      </w:pPr>
      <w:r>
        <w:rPr>
          <w:rFonts w:ascii="IRNazanin" w:hAnsi="IRNazanin" w:eastAsia="IRNazanin" w:cs="IRNazanin"/>
          <w:lang w:bidi="fa-IR"/>
          <w:color w:val="111111"/>
          <w:sz w:val="28"/>
          <w:szCs w:val="28"/>
          <w:rtl/>
        </w:rPr>
        <w:t xml:space="preserve">المتوفی (866) کما فی شاهد صادق مؤلف جواهر الأسرار قال سنگلاخ فی امتحان الفضلاء- 1: 114 إنه رأی دیوانه بخط محمد ابریشمی. و مر فی (ص 3).</w:t>
      </w:r>
    </w:p>
    <w:p>
      <w:pPr>
        <w:pStyle w:val="Heading3"/>
      </w:pPr>
      <w:bookmarkStart w:id="5423" w:name="_Toc4119"/>
      <w:r>
        <w:t>دیوان شیخ أبو الحسن خرقانی‏</w:t>
      </w:r>
      <w:bookmarkEnd w:id="5423"/>
    </w:p>
    <w:p>
      <w:pPr>
        <w:pStyle w:val="BookText"/>
      </w:pPr>
      <w:r>
        <w:rPr>
          <w:rFonts w:ascii="IRNazanin" w:hAnsi="IRNazanin" w:eastAsia="IRNazanin" w:cs="IRNazanin"/>
          <w:lang w:bidi="fa-IR"/>
          <w:color w:val="111111"/>
          <w:sz w:val="28"/>
          <w:szCs w:val="28"/>
          <w:rtl/>
        </w:rPr>
        <w:t xml:space="preserve">مر فی الألف.</w:t>
      </w:r>
    </w:p>
    <w:p>
      <w:pPr>
        <w:pStyle w:val="Heading3"/>
      </w:pPr>
      <w:bookmarkStart w:id="5424" w:name="_Toc4120"/>
      <w:r>
        <w:t>دیوان الشیخ أبی سعید أبی الخیر</w:t>
      </w:r>
      <w:bookmarkEnd w:id="5424"/>
    </w:p>
    <w:p>
      <w:pPr>
        <w:pStyle w:val="BookText"/>
      </w:pPr>
      <w:r>
        <w:rPr>
          <w:rFonts w:ascii="IRNazanin" w:hAnsi="IRNazanin" w:eastAsia="IRNazanin" w:cs="IRNazanin"/>
          <w:lang w:bidi="fa-IR"/>
          <w:color w:val="111111"/>
          <w:sz w:val="28"/>
          <w:szCs w:val="28"/>
          <w:rtl/>
        </w:rPr>
        <w:t xml:space="preserve">مر فی الألف (ص 41) قال سنگلاخ فی امتحان الفضلاء- 1: 60 أنه رأی دیوان رباعیاته بخط المیر علی الهروی. و قد طبع سعید النفیسی ثمانمائة رباعیة منسوبة إلی الشیخ بعنوان سخنان منظوم أبو سعید أبو الخیر بطهران فی (1374) مع مقدمه و تعلیقات مفصلة.</w:t>
      </w:r>
    </w:p>
    <w:p>
      <w:pPr>
        <w:pStyle w:val="Heading3"/>
      </w:pPr>
      <w:bookmarkStart w:id="5425" w:name="_Toc4121"/>
      <w:r>
        <w:t>دیوان شیخ الإسلام بخاری‏</w:t>
      </w:r>
      <w:bookmarkEnd w:id="5425"/>
    </w:p>
    <w:p>
      <w:pPr>
        <w:pStyle w:val="BookText"/>
      </w:pPr>
      <w:r>
        <w:rPr>
          <w:rFonts w:ascii="IRNazanin" w:hAnsi="IRNazanin" w:eastAsia="IRNazanin" w:cs="IRNazanin"/>
          <w:lang w:bidi="fa-IR"/>
          <w:color w:val="111111"/>
          <w:sz w:val="28"/>
          <w:szCs w:val="28"/>
          <w:rtl/>
        </w:rPr>
        <w:t xml:space="preserve">اسمه خواجه هاشم یأتی فی الهاء.</w:t>
      </w:r>
    </w:p>
    <w:p>
      <w:pPr>
        <w:pStyle w:val="Heading3"/>
      </w:pPr>
      <w:bookmarkStart w:id="5426" w:name="_Toc4122"/>
      <w:r>
        <w:t>دیوان شیخ الإسلامی‏</w:t>
      </w:r>
      <w:bookmarkEnd w:id="5426"/>
    </w:p>
    <w:p>
      <w:pPr>
        <w:pStyle w:val="BookText"/>
      </w:pPr>
      <w:r>
        <w:rPr>
          <w:rFonts w:ascii="IRNazanin" w:hAnsi="IRNazanin" w:eastAsia="IRNazanin" w:cs="IRNazanin"/>
          <w:lang w:bidi="fa-IR"/>
          <w:color w:val="111111"/>
          <w:sz w:val="28"/>
          <w:szCs w:val="28"/>
          <w:rtl/>
        </w:rPr>
        <w:t xml:space="preserve">یطلق غالبا علی الشیخ أحمد الجامی نظیر حجة الإسلام علی الغزالی. مر فی (ص 188).</w:t>
      </w:r>
    </w:p>
    <w:p>
      <w:pPr>
        <w:pStyle w:val="Heading3"/>
      </w:pPr>
      <w:bookmarkStart w:id="5427" w:name="_Toc4123"/>
      <w:r>
        <w:t>دیوان الشیخ جمال الدین البروجردی‏</w:t>
      </w:r>
      <w:bookmarkEnd w:id="5427"/>
    </w:p>
    <w:p>
      <w:pPr>
        <w:pStyle w:val="BookText"/>
      </w:pPr>
      <w:r>
        <w:rPr>
          <w:rFonts w:ascii="IRNazanin" w:hAnsi="IRNazanin" w:eastAsia="IRNazanin" w:cs="IRNazanin"/>
          <w:lang w:bidi="fa-IR"/>
          <w:color w:val="111111"/>
          <w:sz w:val="28"/>
          <w:szCs w:val="28"/>
          <w:rtl/>
        </w:rPr>
        <w:t xml:space="preserve">ترجمه فی (تس 5- ص 178)، و مر فی (ص 203).</w:t>
      </w:r>
    </w:p>
    <w:p>
      <w:pPr>
        <w:pStyle w:val="Heading3"/>
      </w:pPr>
      <w:bookmarkStart w:id="5428" w:name="_Toc4124"/>
      <w:r>
        <w:t>دیوان الشیخ الحر</w:t>
      </w:r>
      <w:bookmarkEnd w:id="5428"/>
    </w:p>
    <w:p>
      <w:pPr>
        <w:pStyle w:val="BookText"/>
      </w:pPr>
      <w:r>
        <w:rPr>
          <w:rFonts w:ascii="IRNazanin" w:hAnsi="IRNazanin" w:eastAsia="IRNazanin" w:cs="IRNazanin"/>
          <w:lang w:bidi="fa-IR"/>
          <w:color w:val="111111"/>
          <w:sz w:val="28"/>
          <w:szCs w:val="28"/>
          <w:rtl/>
        </w:rPr>
        <w:t xml:space="preserve">نسخته عند (الملک- 902) و مر فی (ص 233).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557" w:name="pg11704_122040"/>
    <w:bookmarkEnd w:id="557"/>
    <w:p>
      <w:pPr>
        <w:pStyle w:val="Heading3"/>
      </w:pPr>
      <w:bookmarkStart w:id="5429" w:name="_Toc4125"/>
      <w:r>
        <w:t>دیوان شیخ ذو النون القزوینی‏</w:t>
      </w:r>
      <w:bookmarkEnd w:id="5429"/>
    </w:p>
    <w:p>
      <w:pPr>
        <w:pStyle w:val="BookText"/>
      </w:pPr>
      <w:r>
        <w:rPr>
          <w:rFonts w:ascii="IRNazanin" w:hAnsi="IRNazanin" w:eastAsia="IRNazanin" w:cs="IRNazanin"/>
          <w:lang w:bidi="fa-IR"/>
          <w:color w:val="111111"/>
          <w:sz w:val="28"/>
          <w:szCs w:val="28"/>
          <w:rtl/>
        </w:rPr>
        <w:t xml:space="preserve">الذی عاشره سام میرزا عشر سنوات مر فی (ص 342)</w:t>
      </w:r>
    </w:p>
    <w:p>
      <w:pPr>
        <w:pStyle w:val="Heading3"/>
      </w:pPr>
      <w:bookmarkStart w:id="5430" w:name="_Toc4126"/>
      <w:r>
        <w:t>دیوان شیخ الرئیس‏</w:t>
      </w:r>
      <w:bookmarkEnd w:id="5430"/>
    </w:p>
    <w:p>
      <w:pPr>
        <w:pStyle w:val="BookText"/>
      </w:pPr>
      <w:r>
        <w:rPr>
          <w:rFonts w:ascii="IRNazanin" w:hAnsi="IRNazanin" w:eastAsia="IRNazanin" w:cs="IRNazanin"/>
          <w:lang w:bidi="fa-IR"/>
          <w:color w:val="111111"/>
          <w:sz w:val="28"/>
          <w:szCs w:val="28"/>
          <w:rtl/>
        </w:rPr>
        <w:t xml:space="preserve">مر بعنوان حیرت قاجار فی (ص 274).</w:t>
      </w:r>
    </w:p>
    <w:p>
      <w:pPr>
        <w:pStyle w:val="Heading3"/>
      </w:pPr>
      <w:bookmarkStart w:id="5431" w:name="_Toc4127"/>
      <w:r>
        <w:t>دیوان شیخ الرئیس‏</w:t>
      </w:r>
      <w:bookmarkEnd w:id="5431"/>
    </w:p>
    <w:p>
      <w:pPr>
        <w:pStyle w:val="BookText"/>
      </w:pPr>
      <w:r>
        <w:rPr>
          <w:rFonts w:ascii="IRNazanin" w:hAnsi="IRNazanin" w:eastAsia="IRNazanin" w:cs="IRNazanin"/>
          <w:lang w:bidi="fa-IR"/>
          <w:color w:val="111111"/>
          <w:sz w:val="28"/>
          <w:szCs w:val="28"/>
          <w:rtl/>
        </w:rPr>
        <w:t xml:space="preserve">ابن سینا حسین بن عبد الله مر فی (ص 26).</w:t>
      </w:r>
    </w:p>
    <w:p>
      <w:pPr>
        <w:pStyle w:val="Heading3"/>
      </w:pPr>
      <w:bookmarkStart w:id="5432" w:name="_Toc4128"/>
      <w:r>
        <w:t>دیوان شیخ رباعی‏</w:t>
      </w:r>
      <w:bookmarkEnd w:id="5432"/>
    </w:p>
    <w:p>
      <w:pPr>
        <w:pStyle w:val="BookText"/>
      </w:pPr>
      <w:r>
        <w:rPr>
          <w:rFonts w:ascii="IRNazanin" w:hAnsi="IRNazanin" w:eastAsia="IRNazanin" w:cs="IRNazanin"/>
          <w:lang w:bidi="fa-IR"/>
          <w:color w:val="111111"/>
          <w:sz w:val="28"/>
          <w:szCs w:val="28"/>
          <w:rtl/>
        </w:rPr>
        <w:t xml:space="preserve">مر فی حرف الراء بعنوان رباعی فی (ص 354). و ترجمه فی (مطلع الشمس ج 2 ص 436).</w:t>
      </w:r>
    </w:p>
    <w:p>
      <w:pPr>
        <w:pStyle w:val="Heading3"/>
      </w:pPr>
      <w:bookmarkStart w:id="5433" w:name="_Toc4129"/>
      <w:r>
        <w:t>دیوان شیخ‏زاده‏</w:t>
      </w:r>
      <w:bookmarkEnd w:id="5433"/>
    </w:p>
    <w:p>
      <w:pPr>
        <w:pStyle w:val="BookText"/>
      </w:pPr>
      <w:r>
        <w:rPr>
          <w:rFonts w:ascii="IRNazanin" w:hAnsi="IRNazanin" w:eastAsia="IRNazanin" w:cs="IRNazanin"/>
          <w:lang w:bidi="fa-IR"/>
          <w:color w:val="111111"/>
          <w:sz w:val="28"/>
          <w:szCs w:val="28"/>
          <w:rtl/>
        </w:rPr>
        <w:t xml:space="preserve">ذکره فی (مجتس 6- ص 164) و لعله اللاهیجی المذکور فی (بهش 2- 383).</w:t>
      </w:r>
    </w:p>
    <w:p>
      <w:pPr>
        <w:pStyle w:val="Heading3"/>
      </w:pPr>
      <w:bookmarkStart w:id="5434" w:name="_Toc4130"/>
      <w:r>
        <w:t>3120- دیوان شیخ‏زاده الأنصاری‏</w:t>
      </w:r>
      <w:bookmarkEnd w:id="5434"/>
    </w:p>
    <w:p>
      <w:pPr>
        <w:pStyle w:val="BookText"/>
      </w:pPr>
      <w:r>
        <w:rPr>
          <w:rFonts w:ascii="IRNazanin" w:hAnsi="IRNazanin" w:eastAsia="IRNazanin" w:cs="IRNazanin"/>
          <w:lang w:bidi="fa-IR"/>
          <w:color w:val="111111"/>
          <w:sz w:val="28"/>
          <w:szCs w:val="28"/>
          <w:rtl/>
        </w:rPr>
        <w:t xml:space="preserve">ترجمه أیضا معاصره فی (مجن 4- 102 و ص 277) و ذکر أنه ابن الشیخ عبد الله دیوانه. و أورد شعره المعمی و ذکر شعر أمه و شعر أبیه أیضا. و مر أمه بیدلی فی (ص 153).</w:t>
      </w:r>
    </w:p>
    <w:p>
      <w:pPr>
        <w:pStyle w:val="Heading3"/>
      </w:pPr>
      <w:bookmarkStart w:id="5435" w:name="_Toc4131"/>
      <w:r>
        <w:t>3121- دیوان شیخ‏زاده پورانی‏</w:t>
      </w:r>
      <w:bookmarkEnd w:id="5435"/>
    </w:p>
    <w:p>
      <w:pPr>
        <w:pStyle w:val="BookText"/>
      </w:pPr>
      <w:r>
        <w:rPr>
          <w:rFonts w:ascii="IRNazanin" w:hAnsi="IRNazanin" w:eastAsia="IRNazanin" w:cs="IRNazanin"/>
          <w:lang w:bidi="fa-IR"/>
          <w:color w:val="111111"/>
          <w:sz w:val="28"/>
          <w:szCs w:val="28"/>
          <w:rtl/>
        </w:rPr>
        <w:t xml:space="preserve">خلیفة الشیخ أبی سعید البورانی العارف الخطاط الشهیر. ترجمه فی (مجن 4- ص 97 و 275) و أورد شعره. و هو غیر جلال الدین أبو یزید پورانی المتوفی (862) المذکور فی النفحات (ص 451).</w:t>
      </w:r>
    </w:p>
    <w:p>
      <w:pPr>
        <w:pStyle w:val="Heading3"/>
      </w:pPr>
      <w:bookmarkStart w:id="5436" w:name="_Toc4132"/>
      <w:r>
        <w:t>دیوان شیخ‏زاده لاهیجی‏</w:t>
      </w:r>
      <w:bookmarkEnd w:id="5436"/>
    </w:p>
    <w:p>
      <w:pPr>
        <w:pStyle w:val="BookText"/>
      </w:pPr>
      <w:r>
        <w:rPr>
          <w:rFonts w:ascii="IRNazanin" w:hAnsi="IRNazanin" w:eastAsia="IRNazanin" w:cs="IRNazanin"/>
          <w:lang w:bidi="fa-IR"/>
          <w:color w:val="111111"/>
          <w:sz w:val="28"/>
          <w:szCs w:val="28"/>
          <w:rtl/>
        </w:rPr>
        <w:t xml:space="preserve">اسمه الشیخ أحمد بن الشیخ محمد اللاهیجی. یأتی تخلصه فدائی ترجمه سام میرزا فی (تس 4- ص 67) و (بهش 2- ص 383) و ذکرا شعره.</w:t>
      </w:r>
    </w:p>
    <w:p>
      <w:pPr>
        <w:pStyle w:val="Heading3"/>
      </w:pPr>
      <w:bookmarkStart w:id="5437" w:name="_Toc4133"/>
      <w:r>
        <w:t>3122- دیوان شیخ‏زاده زوزنی‏</w:t>
      </w:r>
      <w:bookmarkEnd w:id="5437"/>
    </w:p>
    <w:p>
      <w:pPr>
        <w:pStyle w:val="BookText"/>
      </w:pPr>
      <w:r>
        <w:rPr>
          <w:rFonts w:ascii="IRNazanin" w:hAnsi="IRNazanin" w:eastAsia="IRNazanin" w:cs="IRNazanin"/>
          <w:lang w:bidi="fa-IR"/>
          <w:color w:val="111111"/>
          <w:sz w:val="28"/>
          <w:szCs w:val="28"/>
          <w:rtl/>
        </w:rPr>
        <w:t xml:space="preserve">له جام جمشید قال سنگلاخ فی امتحان الفضلاء- 1: 159 إنه رأی منتخب جام جمشید هذا بخط جعفر هروی.</w:t>
      </w:r>
    </w:p>
    <w:p>
      <w:pPr>
        <w:pStyle w:val="Heading3"/>
      </w:pPr>
      <w:bookmarkStart w:id="5438" w:name="_Toc4134"/>
      <w:r>
        <w:t>دیوان شیخ شطاح‏</w:t>
      </w:r>
      <w:bookmarkEnd w:id="5438"/>
    </w:p>
    <w:p>
      <w:pPr>
        <w:pStyle w:val="BookText"/>
      </w:pPr>
      <w:r>
        <w:rPr>
          <w:rFonts w:ascii="IRNazanin" w:hAnsi="IRNazanin" w:eastAsia="IRNazanin" w:cs="IRNazanin"/>
          <w:lang w:bidi="fa-IR"/>
          <w:color w:val="111111"/>
          <w:sz w:val="28"/>
          <w:szCs w:val="28"/>
          <w:rtl/>
        </w:rPr>
        <w:t xml:space="preserve">مر فی (ص 526 و 390) و توجد عدة أوراق من شعره فی کتاب تحفه العرفان فی أحوال روزبهان لحفیده إبراهیم.</w:t>
      </w:r>
    </w:p>
    <w:p>
      <w:pPr>
        <w:pStyle w:val="Heading3"/>
      </w:pPr>
      <w:bookmarkStart w:id="5439" w:name="_Toc4135"/>
      <w:r>
        <w:t>دیوان شیخ صفی‏</w:t>
      </w:r>
      <w:bookmarkEnd w:id="5439"/>
    </w:p>
    <w:p>
      <w:pPr>
        <w:pStyle w:val="BookText"/>
      </w:pPr>
      <w:r>
        <w:rPr>
          <w:rFonts w:ascii="IRNazanin" w:hAnsi="IRNazanin" w:eastAsia="IRNazanin" w:cs="IRNazanin"/>
          <w:lang w:bidi="fa-IR"/>
          <w:color w:val="111111"/>
          <w:sz w:val="28"/>
          <w:szCs w:val="28"/>
          <w:rtl/>
        </w:rPr>
        <w:t xml:space="preserve">جد الصفویة. نسبوا إلیه أشعار یأتی فی الصاد.</w:t>
      </w:r>
    </w:p>
    <w:p>
      <w:pPr>
        <w:pStyle w:val="Heading3"/>
      </w:pPr>
      <w:bookmarkStart w:id="5440" w:name="_Toc4136"/>
      <w:r>
        <w:t>دیوان شیخ علاء الدولة رازی‏</w:t>
      </w:r>
      <w:bookmarkEnd w:id="5440"/>
    </w:p>
    <w:p>
      <w:pPr>
        <w:pStyle w:val="BookText"/>
      </w:pPr>
      <w:r>
        <w:rPr>
          <w:rFonts w:ascii="IRNazanin" w:hAnsi="IRNazanin" w:eastAsia="IRNazanin" w:cs="IRNazanin"/>
          <w:lang w:bidi="fa-IR"/>
          <w:color w:val="111111"/>
          <w:sz w:val="28"/>
          <w:szCs w:val="28"/>
          <w:rtl/>
        </w:rPr>
        <w:t xml:space="preserve">یأتی فی العین.</w:t>
      </w:r>
    </w:p>
    <w:p>
      <w:pPr>
        <w:pStyle w:val="Heading3"/>
      </w:pPr>
      <w:bookmarkStart w:id="5441" w:name="_Toc4137"/>
      <w:r>
        <w:t>دیوان شیخ علاء الدولة سمنانی‏</w:t>
      </w:r>
      <w:bookmarkEnd w:id="5441"/>
    </w:p>
    <w:p>
      <w:pPr>
        <w:pStyle w:val="BookText"/>
      </w:pPr>
      <w:r>
        <w:rPr>
          <w:rFonts w:ascii="IRNazanin" w:hAnsi="IRNazanin" w:eastAsia="IRNazanin" w:cs="IRNazanin"/>
          <w:lang w:bidi="fa-IR"/>
          <w:color w:val="111111"/>
          <w:sz w:val="28"/>
          <w:szCs w:val="28"/>
          <w:rtl/>
        </w:rPr>
        <w:t xml:space="preserve">یأتی فی العین.</w:t>
      </w:r>
    </w:p>
    <w:p>
      <w:pPr>
        <w:pStyle w:val="Heading3"/>
      </w:pPr>
      <w:bookmarkStart w:id="5442" w:name="_Toc4138"/>
      <w:r>
        <w:t>دیوان شیخ کمال دیلمی‏</w:t>
      </w:r>
      <w:bookmarkEnd w:id="5442"/>
    </w:p>
    <w:p>
      <w:pPr>
        <w:pStyle w:val="BookText"/>
      </w:pPr>
      <w:r>
        <w:rPr>
          <w:rFonts w:ascii="IRNazanin" w:hAnsi="IRNazanin" w:eastAsia="IRNazanin" w:cs="IRNazanin"/>
          <w:lang w:bidi="fa-IR"/>
          <w:color w:val="111111"/>
          <w:sz w:val="28"/>
          <w:szCs w:val="28"/>
          <w:rtl/>
        </w:rPr>
        <w:t xml:space="preserve">یأتی فی الکاف.</w:t>
      </w:r>
    </w:p>
    <w:p>
      <w:pPr>
        <w:pStyle w:val="Heading3"/>
      </w:pPr>
      <w:bookmarkStart w:id="5443" w:name="_Toc4139"/>
      <w:r>
        <w:t>دیوان شیخ کمال سبزواری‏</w:t>
      </w:r>
      <w:bookmarkEnd w:id="5443"/>
    </w:p>
    <w:p>
      <w:pPr>
        <w:pStyle w:val="BookText"/>
      </w:pPr>
      <w:r>
        <w:rPr>
          <w:rFonts w:ascii="IRNazanin" w:hAnsi="IRNazanin" w:eastAsia="IRNazanin" w:cs="IRNazanin"/>
          <w:lang w:bidi="fa-IR"/>
          <w:color w:val="111111"/>
          <w:sz w:val="28"/>
          <w:szCs w:val="28"/>
          <w:rtl/>
        </w:rPr>
        <w:t xml:space="preserve">یأتی فی الکاف.</w:t>
      </w:r>
    </w:p>
    <w:p>
      <w:pPr>
        <w:pStyle w:val="Heading3"/>
      </w:pPr>
      <w:bookmarkStart w:id="5444" w:name="_Toc4140"/>
      <w:r>
        <w:t>دیوان شیخم جغتائی‏</w:t>
      </w:r>
      <w:bookmarkEnd w:id="5444"/>
    </w:p>
    <w:p>
      <w:pPr>
        <w:pStyle w:val="BookText"/>
      </w:pPr>
      <w:r>
        <w:rPr>
          <w:rFonts w:ascii="IRNazanin" w:hAnsi="IRNazanin" w:eastAsia="IRNazanin" w:cs="IRNazanin"/>
          <w:lang w:bidi="fa-IR"/>
          <w:color w:val="111111"/>
          <w:sz w:val="28"/>
          <w:szCs w:val="28"/>
          <w:rtl/>
        </w:rPr>
        <w:t xml:space="preserve">مر بعنوان سهیلی جغتائی. و قد طبع فی الهند فی (1255)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558" w:name="pg11704_122041"/>
    <w:bookmarkEnd w:id="558"/>
    <w:p>
      <w:pPr>
        <w:pStyle w:val="BookText"/>
      </w:pPr>
      <w:r>
        <w:rPr>
          <w:rFonts w:ascii="IRNazanin" w:hAnsi="IRNazanin" w:eastAsia="IRNazanin" w:cs="IRNazanin"/>
          <w:lang w:bidi="fa-IR"/>
          <w:color w:val="111111"/>
          <w:sz w:val="28"/>
          <w:szCs w:val="28"/>
          <w:rtl/>
        </w:rPr>
        <w:t xml:space="preserve">منظومة کلمات قصار علی علیه السلام  للجامی باسم آیات جلی فتوغرافیا بخط شیخ نظام شیخم الخطاط الأمیرانی فی القرن العاشر. و أظنه هذا الرجل. الذی ترجم فن (مجن 3- ص 56 و 230) أیضا.</w:t>
      </w:r>
    </w:p>
    <w:p>
      <w:pPr>
        <w:pStyle w:val="Heading3"/>
      </w:pPr>
      <w:bookmarkStart w:id="5445" w:name="_Toc4141"/>
      <w:r>
        <w:t>3123- دیوان الخواجة شیخ محمد المستوفی‏</w:t>
      </w:r>
      <w:bookmarkEnd w:id="5445"/>
    </w:p>
    <w:p>
      <w:pPr>
        <w:pStyle w:val="BookText"/>
      </w:pPr>
      <w:r>
        <w:rPr>
          <w:rFonts w:ascii="IRNazanin" w:hAnsi="IRNazanin" w:eastAsia="IRNazanin" w:cs="IRNazanin"/>
          <w:lang w:bidi="fa-IR"/>
          <w:color w:val="111111"/>
          <w:sz w:val="28"/>
          <w:szCs w:val="28"/>
          <w:rtl/>
        </w:rPr>
        <w:t xml:space="preserve">بأصفهان. ترجمه معاصره سام میرزا فی (تس 3- ص 61) و أورد شعره.</w:t>
      </w:r>
    </w:p>
    <w:p>
      <w:pPr>
        <w:pStyle w:val="Heading3"/>
      </w:pPr>
      <w:bookmarkStart w:id="5446" w:name="_Toc4142"/>
      <w:r>
        <w:t>3124- دیوان شیخ نجم ساوجی‏</w:t>
      </w:r>
      <w:bookmarkEnd w:id="5446"/>
    </w:p>
    <w:p>
      <w:pPr>
        <w:pStyle w:val="BookText"/>
      </w:pPr>
      <w:r>
        <w:rPr>
          <w:rFonts w:ascii="IRNazanin" w:hAnsi="IRNazanin" w:eastAsia="IRNazanin" w:cs="IRNazanin"/>
          <w:lang w:bidi="fa-IR"/>
          <w:color w:val="111111"/>
          <w:sz w:val="28"/>
          <w:szCs w:val="28"/>
          <w:rtl/>
        </w:rPr>
        <w:t xml:space="preserve">من أقرباء قاضی عیسی قاضی عسکر (أو الصدر) للسلطان یعقوب. و بینه و بین الوزیر المیر علی شیر مصافات و مراسلات. ترجمه سام میرزا فی (تس 4- ص 72) و (مجن 6- ص 119 و 295) و أوردا شعره.</w:t>
      </w:r>
    </w:p>
    <w:p>
      <w:pPr>
        <w:pStyle w:val="Heading3"/>
      </w:pPr>
      <w:bookmarkStart w:id="5447" w:name="_Toc4143"/>
      <w:r>
        <w:t>3125- دیوان شیخی أردبیلی أو شعره‏</w:t>
      </w:r>
      <w:bookmarkEnd w:id="5447"/>
    </w:p>
    <w:p>
      <w:pPr>
        <w:pStyle w:val="BookText"/>
      </w:pPr>
      <w:r>
        <w:rPr>
          <w:rFonts w:ascii="IRNazanin" w:hAnsi="IRNazanin" w:eastAsia="IRNazanin" w:cs="IRNazanin"/>
          <w:lang w:bidi="fa-IR"/>
          <w:color w:val="111111"/>
          <w:sz w:val="28"/>
          <w:szCs w:val="28"/>
          <w:rtl/>
        </w:rPr>
        <w:t xml:space="preserve">ترجمه و أورد شعره فی ریاض الشعراء و (روشن- ص 370) و (دجا- ص 210).</w:t>
      </w:r>
    </w:p>
    <w:p>
      <w:pPr>
        <w:pStyle w:val="Heading3"/>
      </w:pPr>
      <w:bookmarkStart w:id="5448" w:name="_Toc4144"/>
      <w:r>
        <w:t>3126- دیوان شیخی طبسی أو شعره‏</w:t>
      </w:r>
      <w:bookmarkEnd w:id="5448"/>
    </w:p>
    <w:p>
      <w:pPr>
        <w:pStyle w:val="BookText"/>
      </w:pPr>
      <w:r>
        <w:rPr>
          <w:rFonts w:ascii="IRNazanin" w:hAnsi="IRNazanin" w:eastAsia="IRNazanin" w:cs="IRNazanin"/>
          <w:lang w:bidi="fa-IR"/>
          <w:color w:val="111111"/>
          <w:sz w:val="28"/>
          <w:szCs w:val="28"/>
          <w:rtl/>
        </w:rPr>
        <w:t xml:space="preserve">ترجمه و أورد شعره فی (مجن 3- ص 80 و 255) و قال سافر إلی العراق و الحجاز و مهر فی الموسیقی و رجع إلی هراة.</w:t>
      </w:r>
    </w:p>
    <w:p>
      <w:pPr>
        <w:pStyle w:val="Heading3"/>
      </w:pPr>
      <w:bookmarkStart w:id="5449" w:name="_Toc4145"/>
      <w:r>
        <w:t>دیوان شیخی فوشنجی‏</w:t>
      </w:r>
      <w:bookmarkEnd w:id="5449"/>
    </w:p>
    <w:p>
      <w:pPr>
        <w:pStyle w:val="BookText"/>
      </w:pPr>
      <w:r>
        <w:rPr>
          <w:rFonts w:ascii="IRNazanin" w:hAnsi="IRNazanin" w:eastAsia="IRNazanin" w:cs="IRNazanin"/>
          <w:lang w:bidi="fa-IR"/>
          <w:color w:val="111111"/>
          <w:sz w:val="28"/>
          <w:szCs w:val="28"/>
          <w:rtl/>
        </w:rPr>
        <w:t xml:space="preserve">کما فی (لط 1 ص 22) و الصحیح مسیحی کما فی (قز مج 1 ص 196).</w:t>
      </w:r>
    </w:p>
    <w:p>
      <w:pPr>
        <w:pStyle w:val="Heading3"/>
      </w:pPr>
      <w:bookmarkStart w:id="5450" w:name="_Toc4146"/>
      <w:r>
        <w:t>دیوان شیخی قهستانی‏</w:t>
      </w:r>
      <w:bookmarkEnd w:id="5450"/>
    </w:p>
    <w:p>
      <w:pPr>
        <w:pStyle w:val="BookText"/>
      </w:pPr>
      <w:r>
        <w:rPr>
          <w:rFonts w:ascii="IRNazanin" w:hAnsi="IRNazanin" w:eastAsia="IRNazanin" w:cs="IRNazanin"/>
          <w:lang w:bidi="fa-IR"/>
          <w:color w:val="111111"/>
          <w:sz w:val="28"/>
          <w:szCs w:val="28"/>
          <w:rtl/>
        </w:rPr>
        <w:t xml:space="preserve">نظم تاریخ وفاة الأمیر قوام الدین نصر الله السنجانی فی (820) کما فی رجال حبیب السیر (ص 59) و لا أظنه شیخی کرمانی.</w:t>
      </w:r>
    </w:p>
    <w:p>
      <w:pPr>
        <w:pStyle w:val="Heading3"/>
      </w:pPr>
      <w:bookmarkStart w:id="5451" w:name="_Toc4147"/>
      <w:r>
        <w:t>3127- دیوان شیخی کرمانی‏</w:t>
      </w:r>
      <w:bookmarkEnd w:id="5451"/>
    </w:p>
    <w:p>
      <w:pPr>
        <w:pStyle w:val="BookText"/>
      </w:pPr>
      <w:r>
        <w:rPr>
          <w:rFonts w:ascii="IRNazanin" w:hAnsi="IRNazanin" w:eastAsia="IRNazanin" w:cs="IRNazanin"/>
          <w:lang w:bidi="fa-IR"/>
          <w:color w:val="111111"/>
          <w:sz w:val="28"/>
          <w:szCs w:val="28"/>
          <w:rtl/>
        </w:rPr>
        <w:t xml:space="preserve">ترجمه معاصره سام میرزا فی (تس 5- ص 152) و أورد شعره.</w:t>
      </w:r>
    </w:p>
    <w:p>
      <w:pPr>
        <w:pStyle w:val="Heading3"/>
      </w:pPr>
      <w:bookmarkStart w:id="5452" w:name="_Toc4148"/>
      <w:r>
        <w:t>3128- دیوان شیخی هروی یزدی‏</w:t>
      </w:r>
      <w:bookmarkEnd w:id="5452"/>
    </w:p>
    <w:p>
      <w:pPr>
        <w:pStyle w:val="BookText"/>
      </w:pPr>
      <w:r>
        <w:rPr>
          <w:rFonts w:ascii="IRNazanin" w:hAnsi="IRNazanin" w:eastAsia="IRNazanin" w:cs="IRNazanin"/>
          <w:lang w:bidi="fa-IR"/>
          <w:color w:val="111111"/>
          <w:sz w:val="28"/>
          <w:szCs w:val="28"/>
          <w:rtl/>
        </w:rPr>
        <w:t xml:space="preserve">ترجمه آیتی فی (تش یز- ص 301) و ذکر أنه هاجر من هرات إلی یزد فی (968) و کانت فی لسانه لکنه.</w:t>
      </w:r>
    </w:p>
    <w:p>
      <w:pPr>
        <w:pStyle w:val="Heading3"/>
      </w:pPr>
      <w:bookmarkStart w:id="5453" w:name="_Toc4149"/>
      <w:r>
        <w:t>3129- دیوان شیدای أردکانی أو شعره‏</w:t>
      </w:r>
      <w:bookmarkEnd w:id="5453"/>
    </w:p>
    <w:p>
      <w:pPr>
        <w:pStyle w:val="BookText"/>
      </w:pPr>
      <w:r>
        <w:rPr>
          <w:rFonts w:ascii="IRNazanin" w:hAnsi="IRNazanin" w:eastAsia="IRNazanin" w:cs="IRNazanin"/>
          <w:lang w:bidi="fa-IR"/>
          <w:color w:val="111111"/>
          <w:sz w:val="28"/>
          <w:szCs w:val="28"/>
          <w:rtl/>
        </w:rPr>
        <w:t xml:space="preserve">و اسمه آقا محمد من فقهاء یزد، و توفی بها (1337). ترجمه و أورد شعره الآیتی فی (تش یز- ص 301) و قال بلغ عمره الخمس و الثمانین.</w:t>
      </w:r>
    </w:p>
    <w:p>
      <w:pPr>
        <w:pStyle w:val="Heading3"/>
      </w:pPr>
      <w:bookmarkStart w:id="5454" w:name="_Toc4150"/>
      <w:r>
        <w:t>3130- دیوان شیدای أصفهانی‏</w:t>
      </w:r>
      <w:bookmarkEnd w:id="5454"/>
    </w:p>
    <w:p>
      <w:pPr>
        <w:pStyle w:val="BookText"/>
      </w:pPr>
      <w:r>
        <w:rPr>
          <w:rFonts w:ascii="IRNazanin" w:hAnsi="IRNazanin" w:eastAsia="IRNazanin" w:cs="IRNazanin"/>
          <w:lang w:bidi="fa-IR"/>
          <w:color w:val="111111"/>
          <w:sz w:val="28"/>
          <w:szCs w:val="28"/>
          <w:rtl/>
        </w:rPr>
        <w:t xml:space="preserve">و اسمه المیرزا عباس خان بن إسحاق بن ربیع الدهکردی. ولد فی السبت (14 ذی الحجة- 1299) بشهرکرد. کان والده نائب‏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559" w:name="pg11704_122042"/>
    <w:bookmarkEnd w:id="559"/>
    <w:p>
      <w:pPr>
        <w:pStyle w:val="BookText"/>
      </w:pPr>
      <w:r>
        <w:rPr>
          <w:rFonts w:ascii="IRNazanin" w:hAnsi="IRNazanin" w:eastAsia="IRNazanin" w:cs="IRNazanin"/>
          <w:lang w:bidi="fa-IR"/>
          <w:color w:val="111111"/>
          <w:sz w:val="28"/>
          <w:szCs w:val="28"/>
          <w:rtl/>
        </w:rPr>
        <w:t xml:space="preserve">الحکومة. و تلمذ علی علماء أصفهان و برع فی الفقه و الأدب و الخط. فأسس بأصفهان جریدة بلدیة أصفهان ثم أسس مجمعا أدبیا سماه انجمن دانشکده و بقی هذا المجمع أربع عشر سنة، و نشر مجلة دانشکده لسان حال للمجمع خرجت منها سبعة، أعداد فتوقفت ثم نشر ثانیا خمسة أعداد و توقفت أیضا. و توفی شیدا بأصفهان فی (الثلاثاء 24- ج 1- 1369). و له دیوان. ترجم شیدا فی نامه سخنوران- ص 114 و أورد شعره فی مجموعة دانش‏نامه لألفت، و شعرای معاصر أصفهان- ص 291 و تاریخ جرائد و مجلات ج 2 ص 20 و 272 و تممه الشیخ محمد علی الحبیب‏آبادی.</w:t>
      </w:r>
    </w:p>
    <w:p>
      <w:pPr>
        <w:pStyle w:val="Heading3"/>
      </w:pPr>
      <w:bookmarkStart w:id="5455" w:name="_Toc4151"/>
      <w:r>
        <w:t>3131- دیوان شیدای أصفهانی‏</w:t>
      </w:r>
      <w:bookmarkEnd w:id="5455"/>
    </w:p>
    <w:p>
      <w:pPr>
        <w:pStyle w:val="BookText"/>
      </w:pPr>
      <w:r>
        <w:rPr>
          <w:rFonts w:ascii="IRNazanin" w:hAnsi="IRNazanin" w:eastAsia="IRNazanin" w:cs="IRNazanin"/>
          <w:lang w:bidi="fa-IR"/>
          <w:color w:val="111111"/>
          <w:sz w:val="28"/>
          <w:szCs w:val="28"/>
          <w:rtl/>
        </w:rPr>
        <w:t xml:space="preserve">السید عبد الله بن محمد علی شاکر چالشتری ولد بچالشتر فی (1296) تلمذ علی جده لأمه ملا علی جناب. و سکن أصفهان و دخل فی انجمن دانشکده. و طبع شعره فی مجلة دانشکده کما ذکر فی مجموعة دانش‏نامه لألفت فی (1342). و دیوانه یشتمل علی عدة آلاف بیت کما فی شعرای معاصر أصفهان ص 294.</w:t>
      </w:r>
    </w:p>
    <w:p>
      <w:pPr>
        <w:pStyle w:val="Heading3"/>
      </w:pPr>
      <w:bookmarkStart w:id="5456" w:name="_Toc4152"/>
      <w:r>
        <w:t>3132- دیوان شیدای أصفهانی‏</w:t>
      </w:r>
      <w:bookmarkEnd w:id="5456"/>
    </w:p>
    <w:p>
      <w:pPr>
        <w:pStyle w:val="BookText"/>
      </w:pPr>
      <w:r>
        <w:rPr>
          <w:rFonts w:ascii="IRNazanin" w:hAnsi="IRNazanin" w:eastAsia="IRNazanin" w:cs="IRNazanin"/>
          <w:lang w:bidi="fa-IR"/>
          <w:color w:val="111111"/>
          <w:sz w:val="28"/>
          <w:szCs w:val="28"/>
          <w:rtl/>
        </w:rPr>
        <w:t xml:space="preserve">معاصر رضا قلی خان هدایت، و اسمه محمد علی.</w:t>
      </w:r>
    </w:p>
    <w:p>
      <w:pPr>
        <w:pStyle w:val="BookText"/>
      </w:pPr>
      <w:r>
        <w:rPr>
          <w:rFonts w:ascii="IRNazanin" w:hAnsi="IRNazanin" w:eastAsia="IRNazanin" w:cs="IRNazanin"/>
          <w:lang w:bidi="fa-IR"/>
          <w:color w:val="111111"/>
          <w:sz w:val="28"/>
          <w:szCs w:val="28"/>
          <w:rtl/>
        </w:rPr>
        <w:t xml:space="preserve">نشا بشیراز و مات بها فی (1214). ترجمه و أورد شعره. فی (مع 2- ص 249) و (انجمن- 4).</w:t>
      </w:r>
    </w:p>
    <w:p>
      <w:pPr>
        <w:pStyle w:val="Heading3"/>
      </w:pPr>
      <w:bookmarkStart w:id="5457" w:name="_Toc4153"/>
      <w:r>
        <w:t>3133- دیوان شیدای أکبرآبادی‏</w:t>
      </w:r>
      <w:bookmarkEnd w:id="5457"/>
    </w:p>
    <w:p>
      <w:pPr>
        <w:pStyle w:val="BookText"/>
      </w:pPr>
      <w:r>
        <w:rPr>
          <w:rFonts w:ascii="IRNazanin" w:hAnsi="IRNazanin" w:eastAsia="IRNazanin" w:cs="IRNazanin"/>
          <w:lang w:bidi="fa-IR"/>
          <w:color w:val="111111"/>
          <w:sz w:val="28"/>
          <w:szCs w:val="28"/>
          <w:rtl/>
        </w:rPr>
        <w:t xml:space="preserve">للمولوی مهدی بن محمد متقی الکاکوری ولد و نشا بفتح‏پور من توابع أکبرآباد. و تقرب عند جهانگیر (1014) و شاه‏جهان (1037). کان هجاء طعن فیه أقرانه و کان ممن غضب علیه جهانگیر تعصبا و أراد إخراجه من الهند، لأنه وصف الخمر، فاعتذر عنه و قال:</w:t>
      </w:r>
    </w:p>
    <w:p>
      <w:pPr>
        <w:pStyle w:val="BookText"/>
      </w:pPr>
      <w:r>
        <w:rPr>
          <w:rFonts w:ascii="IRNazanin" w:hAnsi="IRNazanin" w:eastAsia="IRNazanin" w:cs="IRNazanin"/>
          <w:lang w:bidi="fa-IR"/>
          <w:color w:val="111111"/>
          <w:sz w:val="28"/>
          <w:szCs w:val="28"/>
          <w:rtl/>
        </w:rPr>
        <w:t xml:space="preserve">بوصف می ز صراحی دوباره قلقل می‏</w:t>
      </w:r>
    </w:p>
    <w:p>
      <w:pPr>
        <w:pStyle w:val="BookText"/>
      </w:pPr>
      <w:r>
        <w:rPr>
          <w:rFonts w:ascii="IRNazanin" w:hAnsi="IRNazanin" w:eastAsia="IRNazanin" w:cs="IRNazanin"/>
          <w:lang w:bidi="fa-IR"/>
          <w:color w:val="111111"/>
          <w:sz w:val="28"/>
          <w:szCs w:val="28"/>
          <w:rtl/>
        </w:rPr>
        <w:t xml:space="preserve">به از چهارقلش گفت و فارغ از تکفیر</w:t>
      </w:r>
    </w:p>
    <w:p>
      <w:pPr>
        <w:pStyle w:val="BookText"/>
      </w:pPr>
      <w:r>
        <w:rPr>
          <w:rFonts w:ascii="IRNazanin" w:hAnsi="IRNazanin" w:eastAsia="IRNazanin" w:cs="IRNazanin"/>
          <w:lang w:bidi="fa-IR"/>
          <w:color w:val="111111"/>
          <w:sz w:val="28"/>
          <w:szCs w:val="28"/>
          <w:rtl/>
        </w:rPr>
        <w:t xml:space="preserve">و هو یومی إلی قول الجامی:</w:t>
      </w:r>
    </w:p>
    <w:p>
      <w:pPr>
        <w:pStyle w:val="BookText"/>
      </w:pPr>
      <w:r>
        <w:rPr>
          <w:rFonts w:ascii="IRNazanin" w:hAnsi="IRNazanin" w:eastAsia="IRNazanin" w:cs="IRNazanin"/>
          <w:lang w:bidi="fa-IR"/>
          <w:color w:val="111111"/>
          <w:sz w:val="28"/>
          <w:szCs w:val="28"/>
          <w:rtl/>
        </w:rPr>
        <w:t xml:space="preserve">از صراحی دوباره قلقل می‏</w:t>
      </w:r>
    </w:p>
    <w:p>
      <w:pPr>
        <w:pStyle w:val="BookText"/>
      </w:pPr>
      <w:r>
        <w:rPr>
          <w:rFonts w:ascii="IRNazanin" w:hAnsi="IRNazanin" w:eastAsia="IRNazanin" w:cs="IRNazanin"/>
          <w:lang w:bidi="fa-IR"/>
          <w:color w:val="111111"/>
          <w:sz w:val="28"/>
          <w:szCs w:val="28"/>
          <w:rtl/>
        </w:rPr>
        <w:t xml:space="preserve">نزد جامی به از چهار قل است‏</w:t>
      </w:r>
    </w:p>
    <w:p>
      <w:pPr>
        <w:pStyle w:val="BookText"/>
      </w:pPr>
      <w:r>
        <w:rPr>
          <w:rFonts w:ascii="IRNazanin" w:hAnsi="IRNazanin" w:eastAsia="IRNazanin" w:cs="IRNazanin"/>
          <w:lang w:bidi="fa-IR"/>
          <w:color w:val="111111"/>
          <w:sz w:val="28"/>
          <w:szCs w:val="28"/>
          <w:rtl/>
        </w:rPr>
        <w:t xml:space="preserve">فعفی عنه جهانگیر، و فی آخر أیامه اعتزل فی کشمیر و مات (1062) و له مثنوی دولت بیدار فی قبال مخزن اسرار للنظامی. و نقل فی سرو آزاد- ص 82 عن صبح‏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560" w:name="pg11704_122043"/>
    <w:bookmarkEnd w:id="560"/>
    <w:p>
      <w:pPr>
        <w:pStyle w:val="BookText"/>
      </w:pPr>
      <w:r>
        <w:rPr>
          <w:rFonts w:ascii="IRNazanin" w:hAnsi="IRNazanin" w:eastAsia="IRNazanin" w:cs="IRNazanin"/>
          <w:lang w:bidi="fa-IR"/>
          <w:color w:val="111111"/>
          <w:sz w:val="28"/>
          <w:szCs w:val="28"/>
          <w:rtl/>
        </w:rPr>
        <w:t xml:space="preserve">صادق أن له مائة ألف بیت من الشعر و فی (نر 11- ص 444) خمسین ألف. و ترجمه فی (سرخوش- ص 56) و (خیال- ص 91) و (حسینی- ص 178) و (خوش‏گو) و (گلشن- ص 239) و (تغ- ص 78) و القاموس الترکی ثم الریحانة. و توجد غزلیات شیدای هندی عند (دهخدا) بطهران.</w:t>
      </w:r>
    </w:p>
    <w:p>
      <w:pPr>
        <w:pStyle w:val="Heading3"/>
      </w:pPr>
      <w:bookmarkStart w:id="5458" w:name="_Toc4154"/>
      <w:r>
        <w:t>3134- دیوان شیدای تبریزی‏</w:t>
      </w:r>
      <w:bookmarkEnd w:id="5458"/>
    </w:p>
    <w:p>
      <w:pPr>
        <w:pStyle w:val="BookText"/>
      </w:pPr>
      <w:r>
        <w:rPr>
          <w:rFonts w:ascii="IRNazanin" w:hAnsi="IRNazanin" w:eastAsia="IRNazanin" w:cs="IRNazanin"/>
          <w:lang w:bidi="fa-IR"/>
          <w:color w:val="111111"/>
          <w:sz w:val="28"/>
          <w:szCs w:val="28"/>
          <w:rtl/>
        </w:rPr>
        <w:t xml:space="preserve">کان والده المیرزا علی بیگ کلانتر تبریز فی عهد الشاه طهماسب، ثم فر إلی قندهار. و أما شیدا فکان اسمه چلبی بیگ و یعرف بالعلامة جاء فی شبابه إلی شیراز و تعلم علی فضلائها مثل المیرزا جان الباغنوی و رجع إلی قزوین و لما سمع أکبر شاه صیت فضله دعاه إلی الهند. و کان أکبر شاه وسیع المشرب لا یتعصب للصحابة و لذلک اتهمه أصحاب السنة فی دینه، فلما تقرب شیدا عنده اتهم أنه ألف رسالة فی رد الأنبیاء. ثم إنه بدل تخلصه إلی فارغ. ترجمه و أورد شعره فی (نر 6- ص 158) و عنه فی الریحانة. و کأنه یخاطب من أعانهم فی ظلمهم من الحکام و الملوک حیث یقول:</w:t>
      </w:r>
    </w:p>
    <w:p>
      <w:pPr>
        <w:pStyle w:val="BookText"/>
      </w:pPr>
      <w:r>
        <w:rPr>
          <w:rFonts w:ascii="IRNazanin" w:hAnsi="IRNazanin" w:eastAsia="IRNazanin" w:cs="IRNazanin"/>
          <w:lang w:bidi="fa-IR"/>
          <w:color w:val="111111"/>
          <w:sz w:val="28"/>
          <w:szCs w:val="28"/>
          <w:rtl/>
        </w:rPr>
        <w:t xml:space="preserve">تو تا بچند خوری خون خلق و من تا کی‏</w:t>
      </w:r>
    </w:p>
    <w:p>
      <w:pPr>
        <w:pStyle w:val="BookText"/>
      </w:pPr>
      <w:r>
        <w:rPr>
          <w:rFonts w:ascii="IRNazanin" w:hAnsi="IRNazanin" w:eastAsia="IRNazanin" w:cs="IRNazanin"/>
          <w:lang w:bidi="fa-IR"/>
          <w:color w:val="111111"/>
          <w:sz w:val="28"/>
          <w:szCs w:val="28"/>
          <w:rtl/>
        </w:rPr>
        <w:t xml:space="preserve">أثر ز ناله دلهای ناتوان دزدم‏</w:t>
      </w:r>
    </w:p>
    <w:p>
      <w:pPr>
        <w:pStyle w:val="Heading3"/>
      </w:pPr>
      <w:bookmarkStart w:id="5459" w:name="_Toc4155"/>
      <w:r>
        <w:t>3135- دیوان شیدای تویسرکانی أو شعره‏</w:t>
      </w:r>
      <w:bookmarkEnd w:id="5459"/>
    </w:p>
    <w:p>
      <w:pPr>
        <w:pStyle w:val="BookText"/>
      </w:pPr>
      <w:r>
        <w:rPr>
          <w:rFonts w:ascii="IRNazanin" w:hAnsi="IRNazanin" w:eastAsia="IRNazanin" w:cs="IRNazanin"/>
          <w:lang w:bidi="fa-IR"/>
          <w:color w:val="111111"/>
          <w:sz w:val="28"/>
          <w:szCs w:val="28"/>
          <w:rtl/>
        </w:rPr>
        <w:t xml:space="preserve">أورد شعره (پژمان- ص 258).</w:t>
      </w:r>
    </w:p>
    <w:p>
      <w:pPr>
        <w:pStyle w:val="Heading3"/>
      </w:pPr>
      <w:bookmarkStart w:id="5460" w:name="_Toc4156"/>
      <w:r>
        <w:t>دیوان شیدای چلبی‏</w:t>
      </w:r>
      <w:bookmarkEnd w:id="5460"/>
    </w:p>
    <w:p>
      <w:pPr>
        <w:pStyle w:val="BookText"/>
      </w:pPr>
      <w:r>
        <w:rPr>
          <w:rFonts w:ascii="IRNazanin" w:hAnsi="IRNazanin" w:eastAsia="IRNazanin" w:cs="IRNazanin"/>
          <w:lang w:bidi="fa-IR"/>
          <w:color w:val="111111"/>
          <w:sz w:val="28"/>
          <w:szCs w:val="28"/>
          <w:rtl/>
        </w:rPr>
        <w:t xml:space="preserve">راجع شیدای تبریزی.</w:t>
      </w:r>
    </w:p>
    <w:p>
      <w:pPr>
        <w:pStyle w:val="Heading3"/>
      </w:pPr>
      <w:bookmarkStart w:id="5461" w:name="_Toc4157"/>
      <w:r>
        <w:t>3136- دیوان شیدای شبستری أو شعره‏</w:t>
      </w:r>
      <w:bookmarkEnd w:id="5461"/>
    </w:p>
    <w:p>
      <w:pPr>
        <w:pStyle w:val="BookText"/>
      </w:pPr>
      <w:r>
        <w:rPr>
          <w:rFonts w:ascii="IRNazanin" w:hAnsi="IRNazanin" w:eastAsia="IRNazanin" w:cs="IRNazanin"/>
          <w:lang w:bidi="fa-IR"/>
          <w:color w:val="111111"/>
          <w:sz w:val="28"/>
          <w:szCs w:val="28"/>
          <w:rtl/>
        </w:rPr>
        <w:t xml:space="preserve">قال فی (دجا- 210) نقلا عن حدیقة الشعراء أن شعره ترکیة.</w:t>
      </w:r>
    </w:p>
    <w:p>
      <w:pPr>
        <w:pStyle w:val="Heading3"/>
      </w:pPr>
      <w:bookmarkStart w:id="5462" w:name="_Toc4158"/>
      <w:r>
        <w:t>دیوان شیدای علامة</w:t>
      </w:r>
      <w:bookmarkEnd w:id="5462"/>
    </w:p>
    <w:p>
      <w:pPr>
        <w:pStyle w:val="BookText"/>
      </w:pPr>
      <w:r>
        <w:rPr>
          <w:rFonts w:ascii="IRNazanin" w:hAnsi="IRNazanin" w:eastAsia="IRNazanin" w:cs="IRNazanin"/>
          <w:lang w:bidi="fa-IR"/>
          <w:color w:val="111111"/>
          <w:sz w:val="28"/>
          <w:szCs w:val="28"/>
          <w:rtl/>
        </w:rPr>
        <w:t xml:space="preserve">راجع شیدای تبریزی.</w:t>
      </w:r>
    </w:p>
    <w:p>
      <w:pPr>
        <w:pStyle w:val="Heading3"/>
      </w:pPr>
      <w:bookmarkStart w:id="5463" w:name="_Toc4159"/>
      <w:r>
        <w:t>3137- دیوان شیدای کردستانی‏</w:t>
      </w:r>
      <w:bookmarkEnd w:id="5463"/>
    </w:p>
    <w:p>
      <w:pPr>
        <w:pStyle w:val="BookText"/>
      </w:pPr>
      <w:r>
        <w:rPr>
          <w:rFonts w:ascii="IRNazanin" w:hAnsi="IRNazanin" w:eastAsia="IRNazanin" w:cs="IRNazanin"/>
          <w:lang w:bidi="fa-IR"/>
          <w:color w:val="111111"/>
          <w:sz w:val="28"/>
          <w:szCs w:val="28"/>
          <w:rtl/>
        </w:rPr>
        <w:t xml:space="preserve">اسمه المیرزا عبد الباقی من أولاد الوزراء. له قرب ألفی بیت و توفی (1244) کما ترجمه فی (مع 2: 246).</w:t>
      </w:r>
    </w:p>
    <w:p>
      <w:pPr>
        <w:pStyle w:val="Heading3"/>
      </w:pPr>
      <w:bookmarkStart w:id="5464" w:name="_Toc4160"/>
      <w:r>
        <w:t>3138- دیوان شیدای نسفی‏</w:t>
      </w:r>
      <w:bookmarkEnd w:id="5464"/>
    </w:p>
    <w:p>
      <w:pPr>
        <w:pStyle w:val="BookText"/>
      </w:pPr>
      <w:r>
        <w:rPr>
          <w:rFonts w:ascii="IRNazanin" w:hAnsi="IRNazanin" w:eastAsia="IRNazanin" w:cs="IRNazanin"/>
          <w:lang w:bidi="fa-IR"/>
          <w:color w:val="111111"/>
          <w:sz w:val="28"/>
          <w:szCs w:val="28"/>
          <w:rtl/>
        </w:rPr>
        <w:t xml:space="preserve">نزیل بخارا و شاعر حاکمها فی عصر النصرآبادی. أورد شعره فی (نر 10- ص 442).</w:t>
      </w:r>
    </w:p>
    <w:p>
      <w:pPr>
        <w:pStyle w:val="Heading3"/>
      </w:pPr>
      <w:bookmarkStart w:id="5465" w:name="_Toc4161"/>
      <w:r>
        <w:t>3139- دیوان شیدای همدانی أو شعره‏</w:t>
      </w:r>
      <w:bookmarkEnd w:id="5465"/>
    </w:p>
    <w:p>
      <w:pPr>
        <w:pStyle w:val="BookText"/>
      </w:pPr>
      <w:r>
        <w:rPr>
          <w:rFonts w:ascii="IRNazanin" w:hAnsi="IRNazanin" w:eastAsia="IRNazanin" w:cs="IRNazanin"/>
          <w:lang w:bidi="fa-IR"/>
          <w:color w:val="111111"/>
          <w:sz w:val="28"/>
          <w:szCs w:val="28"/>
          <w:rtl/>
        </w:rPr>
        <w:t xml:space="preserve">جاء شعره مکررا فی گلستان مسرت‏</w:t>
      </w:r>
    </w:p>
    <w:p>
      <w:pPr>
        <w:pStyle w:val="Heading3"/>
      </w:pPr>
      <w:bookmarkStart w:id="5466" w:name="_Toc4162"/>
      <w:r>
        <w:t>دیوان شیدای هندی‏</w:t>
      </w:r>
      <w:bookmarkEnd w:id="5466"/>
    </w:p>
    <w:p>
      <w:pPr>
        <w:pStyle w:val="BookText"/>
      </w:pPr>
      <w:r>
        <w:rPr>
          <w:rFonts w:ascii="IRNazanin" w:hAnsi="IRNazanin" w:eastAsia="IRNazanin" w:cs="IRNazanin"/>
          <w:lang w:bidi="fa-IR"/>
          <w:color w:val="111111"/>
          <w:sz w:val="28"/>
          <w:szCs w:val="28"/>
          <w:rtl/>
        </w:rPr>
        <w:t xml:space="preserve">راجع شیدای أکبرآبادی.</w:t>
      </w:r>
    </w:p>
    <w:p>
      <w:pPr>
        <w:pStyle w:val="Heading3"/>
      </w:pPr>
      <w:bookmarkStart w:id="5467" w:name="_Toc4163"/>
      <w:r>
        <w:t>3140- دیوان شیدای یزدی‏</w:t>
      </w:r>
      <w:bookmarkEnd w:id="5467"/>
    </w:p>
    <w:p>
      <w:pPr>
        <w:pStyle w:val="BookText"/>
      </w:pPr>
      <w:r>
        <w:rPr>
          <w:rFonts w:ascii="IRNazanin" w:hAnsi="IRNazanin" w:eastAsia="IRNazanin" w:cs="IRNazanin"/>
          <w:lang w:bidi="fa-IR"/>
          <w:color w:val="111111"/>
          <w:sz w:val="28"/>
          <w:szCs w:val="28"/>
          <w:rtl/>
        </w:rPr>
        <w:t xml:space="preserve">و هو المیرزا أبو الحسن من فضلاء سادات یزد، کان‏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561" w:name="pg11704_122044"/>
    <w:bookmarkEnd w:id="561"/>
    <w:p>
      <w:pPr>
        <w:pStyle w:val="BookText"/>
      </w:pPr>
      <w:r>
        <w:rPr>
          <w:rFonts w:ascii="IRNazanin" w:hAnsi="IRNazanin" w:eastAsia="IRNazanin" w:cs="IRNazanin"/>
          <w:lang w:bidi="fa-IR"/>
          <w:color w:val="111111"/>
          <w:sz w:val="28"/>
          <w:szCs w:val="28"/>
          <w:rtl/>
        </w:rPr>
        <w:t xml:space="preserve">حافظا ثبتا راویة للقصائد. ترجمه فی (مع 2- ص 250) و فی (انجمن- 4) کان آباؤه أیضا علماء فی اللغة و الأدب. و فی (میکده) أن دیوانه فی ثلاثة آلاف بیت. و له نصاب التزم فی قطعاته الصنائع البدیعیة، و لیس فیها اللغات المذکورة فی نصاب الفراهی.</w:t>
      </w:r>
    </w:p>
    <w:p>
      <w:pPr>
        <w:pStyle w:val="Heading3"/>
      </w:pPr>
      <w:bookmarkStart w:id="5468" w:name="_Toc4164"/>
      <w:r>
        <w:t>دیوان شیر خان أو شعره‏</w:t>
      </w:r>
      <w:bookmarkEnd w:id="5468"/>
    </w:p>
    <w:p>
      <w:pPr>
        <w:pStyle w:val="BookText"/>
      </w:pPr>
      <w:r>
        <w:rPr>
          <w:rFonts w:ascii="IRNazanin" w:hAnsi="IRNazanin" w:eastAsia="IRNazanin" w:cs="IRNazanin"/>
          <w:lang w:bidi="fa-IR"/>
          <w:color w:val="111111"/>
          <w:sz w:val="28"/>
          <w:szCs w:val="28"/>
          <w:rtl/>
        </w:rPr>
        <w:t xml:space="preserve">أورد شعره فی گلستان مسرت و لعله شیری لاهوری.</w:t>
      </w:r>
    </w:p>
    <w:p>
      <w:pPr>
        <w:pStyle w:val="Heading3"/>
      </w:pPr>
      <w:bookmarkStart w:id="5469" w:name="_Toc4165"/>
      <w:r>
        <w:t>3141- دیوان شیر علی أو شعره‏</w:t>
      </w:r>
      <w:bookmarkEnd w:id="5469"/>
    </w:p>
    <w:p>
      <w:pPr>
        <w:pStyle w:val="BookText"/>
      </w:pPr>
      <w:r>
        <w:rPr>
          <w:rFonts w:ascii="IRNazanin" w:hAnsi="IRNazanin" w:eastAsia="IRNazanin" w:cs="IRNazanin"/>
          <w:lang w:bidi="fa-IR"/>
          <w:color w:val="111111"/>
          <w:sz w:val="28"/>
          <w:szCs w:val="28"/>
          <w:rtl/>
        </w:rPr>
        <w:t xml:space="preserve">العارف الماهر فی الخط و المعمی و الإنشاء. ترجمه و أورد شعره فی (مجن 4- ص 100 و 273).</w:t>
      </w:r>
    </w:p>
    <w:p>
      <w:pPr>
        <w:pStyle w:val="Heading3"/>
      </w:pPr>
      <w:bookmarkStart w:id="5470" w:name="_Toc4166"/>
      <w:r>
        <w:t>دیوان شیر مردان‏</w:t>
      </w:r>
      <w:bookmarkEnd w:id="5470"/>
    </w:p>
    <w:p>
      <w:pPr>
        <w:pStyle w:val="BookText"/>
      </w:pPr>
      <w:r>
        <w:rPr>
          <w:rFonts w:ascii="IRNazanin" w:hAnsi="IRNazanin" w:eastAsia="IRNazanin" w:cs="IRNazanin"/>
          <w:lang w:bidi="fa-IR"/>
          <w:color w:val="111111"/>
          <w:sz w:val="28"/>
          <w:szCs w:val="28"/>
          <w:rtl/>
        </w:rPr>
        <w:t xml:space="preserve">مر بتخلصه برهمن.</w:t>
      </w:r>
    </w:p>
    <w:p>
      <w:pPr>
        <w:pStyle w:val="Heading3"/>
      </w:pPr>
      <w:bookmarkStart w:id="5471" w:name="_Toc4167"/>
      <w:r>
        <w:t>دیوان شیروانی‏</w:t>
      </w:r>
      <w:bookmarkEnd w:id="5471"/>
    </w:p>
    <w:p>
      <w:pPr>
        <w:pStyle w:val="BookText"/>
      </w:pPr>
      <w:r>
        <w:rPr>
          <w:rFonts w:ascii="IRNazanin" w:hAnsi="IRNazanin" w:eastAsia="IRNazanin" w:cs="IRNazanin"/>
          <w:lang w:bidi="fa-IR"/>
          <w:color w:val="111111"/>
          <w:sz w:val="28"/>
          <w:szCs w:val="28"/>
          <w:rtl/>
        </w:rPr>
        <w:t xml:space="preserve">یأتی فی المیم میرزای شیروانی و فی الفاء فلکی شیروانی.</w:t>
      </w:r>
    </w:p>
    <w:p>
      <w:pPr>
        <w:pStyle w:val="Heading3"/>
      </w:pPr>
      <w:bookmarkStart w:id="5472" w:name="_Toc4168"/>
      <w:r>
        <w:t>3142- دیوان شیری لاهوری أو شعره‏</w:t>
      </w:r>
      <w:bookmarkEnd w:id="5472"/>
    </w:p>
    <w:p>
      <w:pPr>
        <w:pStyle w:val="BookText"/>
      </w:pPr>
      <w:r>
        <w:rPr>
          <w:rFonts w:ascii="IRNazanin" w:hAnsi="IRNazanin" w:eastAsia="IRNazanin" w:cs="IRNazanin"/>
          <w:lang w:bidi="fa-IR"/>
          <w:color w:val="111111"/>
          <w:sz w:val="28"/>
          <w:szCs w:val="28"/>
          <w:rtl/>
        </w:rPr>
        <w:t xml:space="preserve">ترجمه و أورد شعره فی (طبقات أکبری ج 2 ص 490) و (خوش‏گو). و ذکر فی (روشن- ص 370) مکاتبته مع غزالی مشهدی و سماه غزالی سیالکوتی.</w:t>
      </w:r>
    </w:p>
    <w:p>
      <w:pPr>
        <w:pStyle w:val="Heading3"/>
      </w:pPr>
      <w:bookmarkStart w:id="5473" w:name="_Toc4169"/>
      <w:r>
        <w:t>دیوان شیرین مغربی‏</w:t>
      </w:r>
      <w:bookmarkEnd w:id="5473"/>
    </w:p>
    <w:p>
      <w:pPr>
        <w:pStyle w:val="BookText"/>
      </w:pPr>
      <w:r>
        <w:rPr>
          <w:rFonts w:ascii="IRNazanin" w:hAnsi="IRNazanin" w:eastAsia="IRNazanin" w:cs="IRNazanin"/>
          <w:lang w:bidi="fa-IR"/>
          <w:color w:val="111111"/>
          <w:sz w:val="28"/>
          <w:szCs w:val="28"/>
          <w:rtl/>
        </w:rPr>
        <w:t xml:space="preserve">المترجم فی (النفحات- ص 550) یأتی بتخلصه مغربی.</w:t>
      </w:r>
    </w:p>
    <w:p>
      <w:pPr>
        <w:pStyle w:val="Heading3"/>
      </w:pPr>
      <w:bookmarkStart w:id="5474" w:name="_Toc4170"/>
      <w:r>
        <w:t>دیوان شیشه‏گر</w:t>
      </w:r>
      <w:bookmarkEnd w:id="5474"/>
    </w:p>
    <w:p>
      <w:pPr>
        <w:pStyle w:val="BookText"/>
      </w:pPr>
      <w:r>
        <w:rPr>
          <w:rFonts w:ascii="IRNazanin" w:hAnsi="IRNazanin" w:eastAsia="IRNazanin" w:cs="IRNazanin"/>
          <w:lang w:bidi="fa-IR"/>
          <w:color w:val="111111"/>
          <w:sz w:val="28"/>
          <w:szCs w:val="28"/>
          <w:rtl/>
        </w:rPr>
        <w:t xml:space="preserve">مر بعنوان اسمی خان.</w:t>
      </w:r>
    </w:p>
    <w:p>
      <w:pPr>
        <w:pStyle w:val="Heading3"/>
      </w:pPr>
      <w:bookmarkStart w:id="5475" w:name="_Toc4171"/>
      <w:r>
        <w:t>3143- دیوان شیفته همدانی أو شعره‏</w:t>
      </w:r>
      <w:bookmarkEnd w:id="5475"/>
    </w:p>
    <w:p>
      <w:pPr>
        <w:pStyle w:val="BookText"/>
      </w:pPr>
      <w:r>
        <w:rPr>
          <w:rFonts w:ascii="IRNazanin" w:hAnsi="IRNazanin" w:eastAsia="IRNazanin" w:cs="IRNazanin"/>
          <w:lang w:bidi="fa-IR"/>
          <w:color w:val="111111"/>
          <w:sz w:val="28"/>
          <w:szCs w:val="28"/>
          <w:rtl/>
        </w:rPr>
        <w:t xml:space="preserve">و اسمه الشیخ أبو القاسم من أبناء الکبار و الأعاظم. ترجمه فی (مع- ج 2- ص 247) و أورد شعره.</w:t>
      </w:r>
    </w:p>
    <w:p>
      <w:pPr>
        <w:pStyle w:val="Heading3"/>
      </w:pPr>
      <w:bookmarkStart w:id="5476" w:name="_Toc4172"/>
      <w:r>
        <w:t>3144- دیوان شیوای سدهی‏</w:t>
      </w:r>
      <w:bookmarkEnd w:id="5476"/>
    </w:p>
    <w:p>
      <w:pPr>
        <w:pStyle w:val="BookText"/>
      </w:pPr>
      <w:r>
        <w:rPr>
          <w:rFonts w:ascii="IRNazanin" w:hAnsi="IRNazanin" w:eastAsia="IRNazanin" w:cs="IRNazanin"/>
          <w:lang w:bidi="fa-IR"/>
          <w:color w:val="111111"/>
          <w:sz w:val="28"/>
          <w:szCs w:val="28"/>
          <w:rtl/>
        </w:rPr>
        <w:t xml:space="preserve">و هو السید علی الطاهری بن محمد رحیم من أحفاد السید صالح القصیر دفین بیدهن من نواحی خوانسار. ولد (1320) و نشا بأصفهان.</w:t>
      </w:r>
    </w:p>
    <w:p>
      <w:pPr>
        <w:pStyle w:val="BookText"/>
      </w:pPr>
      <w:r>
        <w:rPr>
          <w:rFonts w:ascii="IRNazanin" w:hAnsi="IRNazanin" w:eastAsia="IRNazanin" w:cs="IRNazanin"/>
          <w:lang w:bidi="fa-IR"/>
          <w:color w:val="111111"/>
          <w:sz w:val="28"/>
          <w:szCs w:val="28"/>
          <w:rtl/>
        </w:rPr>
        <w:t xml:space="preserve">طبع دیوانه بأصفهان (1373) فی (160 ص).</w:t>
      </w:r>
    </w:p>
    <w:p>
      <w:pPr>
        <w:pStyle w:val="Heading3"/>
      </w:pPr>
      <w:bookmarkStart w:id="5477" w:name="_Toc4173"/>
      <w:r>
        <w:t>3145- دیوان شیوای شیرازی‏</w:t>
      </w:r>
      <w:bookmarkEnd w:id="5477"/>
    </w:p>
    <w:p>
      <w:pPr>
        <w:pStyle w:val="BookText"/>
      </w:pPr>
      <w:r>
        <w:rPr>
          <w:rFonts w:ascii="IRNazanin" w:hAnsi="IRNazanin" w:eastAsia="IRNazanin" w:cs="IRNazanin"/>
          <w:lang w:bidi="fa-IR"/>
          <w:color w:val="111111"/>
          <w:sz w:val="28"/>
          <w:szCs w:val="28"/>
          <w:rtl/>
        </w:rPr>
        <w:t xml:space="preserve">المیرزا سید محمد بن المیرزا محمد رحیم الشیرازی المتخلص زلال ترجمه (پژمان- ص 258) و معاصره فی (آثار عجم ص 560) و ذکر شعره و اعتذر من عدم ذکر والده المرحوم المتخلص زلال لعدم الظفر بشعره.</w:t>
      </w:r>
    </w:p>
    <w:p>
      <w:pPr>
        <w:pStyle w:val="Heading3"/>
      </w:pPr>
      <w:bookmarkStart w:id="5478" w:name="_Toc4174"/>
      <w:r>
        <w:t>3146- دیوان شیوای همدانی أو شعره‏</w:t>
      </w:r>
      <w:bookmarkEnd w:id="5478"/>
    </w:p>
    <w:p>
      <w:pPr>
        <w:pStyle w:val="BookText"/>
      </w:pPr>
      <w:r>
        <w:rPr>
          <w:rFonts w:ascii="IRNazanin" w:hAnsi="IRNazanin" w:eastAsia="IRNazanin" w:cs="IRNazanin"/>
          <w:lang w:bidi="fa-IR"/>
          <w:color w:val="111111"/>
          <w:sz w:val="28"/>
          <w:szCs w:val="28"/>
          <w:rtl/>
        </w:rPr>
        <w:t xml:space="preserve">و اسمه المیرزا علی الغمامی، من أعضاء انجمن دانش بهمدان. أورد غزله محمد باقر ألفت فی دانش‏نامه المطبوع (1342)</w:t>
      </w:r>
    </w:p>
    <w:p>
      <w:pPr>
        <w:pStyle w:val="Heading3"/>
      </w:pPr>
      <w:bookmarkStart w:id="5479" w:name="_Toc4175"/>
      <w:r>
        <w:t>3147- دیوان شیونی قاینی أو شعره‏</w:t>
      </w:r>
      <w:bookmarkEnd w:id="5479"/>
    </w:p>
    <w:p>
      <w:pPr>
        <w:pStyle w:val="BookText"/>
      </w:pPr>
      <w:r>
        <w:rPr>
          <w:rFonts w:ascii="IRNazanin" w:hAnsi="IRNazanin" w:eastAsia="IRNazanin" w:cs="IRNazanin"/>
          <w:lang w:bidi="fa-IR"/>
          <w:color w:val="111111"/>
          <w:sz w:val="28"/>
          <w:szCs w:val="28"/>
          <w:rtl/>
        </w:rPr>
        <w:t xml:space="preserve">. ترجمه و أورد شعره فی (تش- ص 116) و گلستان مسرت- ص 235. و (روشن- ص 370).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562" w:name="pg11704_122045"/>
    <w:bookmarkEnd w:id="562"/>
    <w:p>
      <w:pPr>
        <w:pStyle w:val="Heading3"/>
      </w:pPr>
      <w:bookmarkStart w:id="5480" w:name="_Toc4176"/>
      <w:r>
        <w:t>ص‏</w:t>
      </w:r>
      <w:bookmarkEnd w:id="5480"/>
    </w:p>
    <w:p>
      <w:pPr>
        <w:pStyle w:val="Heading3"/>
      </w:pPr>
      <w:bookmarkStart w:id="5481" w:name="_Toc4177"/>
      <w:r>
        <w:t>3148- دیوان صائب أصفهانی‏</w:t>
      </w:r>
      <w:bookmarkEnd w:id="5481"/>
    </w:p>
    <w:p>
      <w:pPr>
        <w:pStyle w:val="BookText"/>
      </w:pPr>
      <w:r>
        <w:rPr>
          <w:rFonts w:ascii="IRNazanin" w:hAnsi="IRNazanin" w:eastAsia="IRNazanin" w:cs="IRNazanin"/>
          <w:lang w:bidi="fa-IR"/>
          <w:color w:val="111111"/>
          <w:sz w:val="28"/>
          <w:szCs w:val="28"/>
          <w:rtl/>
        </w:rPr>
        <w:t xml:space="preserve">محمد علی بن عبد الرحیم التبریزی الأصل- و قال الحزین فی تذکرته (ص 120) إن أصله من کاشان- ولد بأصفهان فی (1016) و هاجر منها فی (1034) فوصل هرات و کابل فی (1039) و ورد دکن و برهان‏پور و تلقب مستعد خان و مک الکلام هناک. و فی (1042) رجع لزیارة والده، و فی (1050) کان فی تبریز و برهة کان فی قم و قزوین و أردبیل و یزد. و صار ملک الشعراء للشاه عباس الثانی، و أنشأ له فتح‏نامه قندهار فی (1059) و توفی بأصفهان و دفن فی تکیته فی (1081 أو 1077) کما فی (براون- 4: 167). و دواوینه متعددة تشتمل علی مائتی ألف بیت غیر مثنوی قندهارنامه و محمود و ایاز و له بیاض یشتمل علی خمسة و عشرین ألف بیت من منتخبات أشعار له و لغیره، و سمی کل نوع من</w:t>
      </w:r>
    </w:p>
    <w:p>
      <w:pPr>
        <w:pStyle w:val="BookText"/>
      </w:pPr>
      <w:r>
        <w:rPr>
          <w:rFonts w:ascii="IRNazanin" w:hAnsi="IRNazanin" w:eastAsia="IRNazanin" w:cs="IRNazanin"/>
          <w:lang w:bidi="fa-IR"/>
          <w:color w:val="111111"/>
          <w:sz w:val="28"/>
          <w:szCs w:val="28"/>
          <w:rtl/>
        </w:rPr>
        <w:t xml:space="preserve">المنتخبات باسم خاص مثل مرآة الجمال و آرایش‏نگار و میخانه و سمی منتخب الغزلیات واجب الحفظ. و ترجمه فی (خز- ص 287- 293) و ذکر أنه کان سنی المذهب. فیظهر منه أنه فی مسافرته إلی الهند قرب عشر سنین کان یعمل بالتقیة، و الا فصلته مع الصفویة تکفی لثبوت مذهبه، ثم مدیحه بعد عوده عن حج البیت، لثامن الأئمة علی بن موسی الرضا علیه السلام  بقصیدة فیها قوله:</w:t>
      </w:r>
    </w:p>
    <w:p>
      <w:pPr>
        <w:pStyle w:val="BookText"/>
      </w:pPr>
      <w:r>
        <w:rPr>
          <w:rFonts w:ascii="IRNazanin" w:hAnsi="IRNazanin" w:eastAsia="IRNazanin" w:cs="IRNazanin"/>
          <w:lang w:bidi="fa-IR"/>
          <w:color w:val="111111"/>
          <w:sz w:val="28"/>
          <w:szCs w:val="28"/>
          <w:rtl/>
        </w:rPr>
        <w:t xml:space="preserve">لله الحمد که بعد از سفر حج صائب‏</w:t>
      </w:r>
    </w:p>
    <w:p>
      <w:pPr>
        <w:pStyle w:val="BookText"/>
      </w:pPr>
      <w:r>
        <w:rPr>
          <w:rFonts w:ascii="IRNazanin" w:hAnsi="IRNazanin" w:eastAsia="IRNazanin" w:cs="IRNazanin"/>
          <w:lang w:bidi="fa-IR"/>
          <w:color w:val="111111"/>
          <w:sz w:val="28"/>
          <w:szCs w:val="28"/>
          <w:rtl/>
        </w:rPr>
        <w:t xml:space="preserve">عهد خود تازه بسلطان خراسان کردم‏</w:t>
      </w:r>
    </w:p>
    <w:p>
      <w:pPr>
        <w:pStyle w:val="BookText"/>
      </w:pPr>
      <w:r>
        <w:rPr>
          <w:rFonts w:ascii="IRNazanin" w:hAnsi="IRNazanin" w:eastAsia="IRNazanin" w:cs="IRNazanin"/>
          <w:lang w:bidi="fa-IR"/>
          <w:color w:val="111111"/>
          <w:sz w:val="28"/>
          <w:szCs w:val="28"/>
          <w:rtl/>
        </w:rPr>
        <w:t xml:space="preserve">و ترجمه فی (نر 9- ص 217) و ریاض الشعراء و (تغ- ص 78). و سرو آزاد- ص 98 و (حسینی- ص 188) و (خیال- ص 88) و (سرخوش- ص 62) و (تش- ص 30) و (خوش‏گو) و القاموس الترکی و الریحانة و فی (دجا- ص 217) عن خمس و عشرین کتابا. و نسخه کثیرة موجودة فی (سپهسالار) و (المجلس) و (الرضویة) و (الملک)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563" w:name="pg11704_122046"/>
    <w:bookmarkEnd w:id="563"/>
    <w:p>
      <w:pPr>
        <w:pStyle w:val="BookText"/>
      </w:pPr>
      <w:r>
        <w:rPr>
          <w:rFonts w:ascii="IRNazanin" w:hAnsi="IRNazanin" w:eastAsia="IRNazanin" w:cs="IRNazanin"/>
          <w:lang w:bidi="fa-IR"/>
          <w:color w:val="111111"/>
          <w:sz w:val="28"/>
          <w:szCs w:val="28"/>
          <w:rtl/>
        </w:rPr>
        <w:t xml:space="preserve">و الموصل کما فی فهارس مخطوطاتها. و فی (نر 12- ص 486) ذکر نسخه کتبه محمد أمین النصرآبادی. و طبع أشعاره بنولکشور (1904 م) فی (152 ص) و کذا فی (1919 م) و طبع منتخبه لکمالی حیدر علی بطهران (1305 ش) فی (168 ص) ثم أعاده فی (224 ص) و طبع منتخبه بطهران فی (120 ص) و طبع منتخب أشعاره الاجتماعیة مع أحواله لشهید نورائی بمشهد فی (1330 ش) و طبع کلیاته بطهران فی (1334 ش).</w:t>
      </w:r>
    </w:p>
    <w:p>
      <w:pPr>
        <w:pStyle w:val="Heading3"/>
      </w:pPr>
      <w:bookmarkStart w:id="5482" w:name="_Toc4178"/>
      <w:r>
        <w:t>3149- دیوان صائب شیرازی‏</w:t>
      </w:r>
      <w:bookmarkEnd w:id="5482"/>
    </w:p>
    <w:p>
      <w:pPr>
        <w:pStyle w:val="BookText"/>
      </w:pPr>
      <w:r>
        <w:rPr>
          <w:rFonts w:ascii="IRNazanin" w:hAnsi="IRNazanin" w:eastAsia="IRNazanin" w:cs="IRNazanin"/>
          <w:lang w:bidi="fa-IR"/>
          <w:color w:val="111111"/>
          <w:sz w:val="28"/>
          <w:szCs w:val="28"/>
          <w:rtl/>
        </w:rPr>
        <w:t xml:space="preserve">یوجد فی مکتبة علی پاشا بإسلامبول کما فی فهرسها المطبوع و أظنه متحدا مع الأصفهانی التبریزی.</w:t>
      </w:r>
    </w:p>
    <w:p>
      <w:pPr>
        <w:pStyle w:val="Heading3"/>
      </w:pPr>
      <w:bookmarkStart w:id="5483" w:name="_Toc4179"/>
      <w:r>
        <w:t>دیوان صائب هندی‏</w:t>
      </w:r>
      <w:bookmarkEnd w:id="5483"/>
    </w:p>
    <w:p>
      <w:pPr>
        <w:pStyle w:val="BookText"/>
      </w:pPr>
      <w:r>
        <w:rPr>
          <w:rFonts w:ascii="IRNazanin" w:hAnsi="IRNazanin" w:eastAsia="IRNazanin" w:cs="IRNazanin"/>
          <w:lang w:bidi="fa-IR"/>
          <w:color w:val="111111"/>
          <w:sz w:val="28"/>
          <w:szCs w:val="28"/>
          <w:rtl/>
        </w:rPr>
        <w:t xml:space="preserve">کما فی الریحانة نقلا عن القاموس الترکی. و هو متحد مع التبریزی و لیس غیره.</w:t>
      </w:r>
    </w:p>
    <w:p>
      <w:pPr>
        <w:pStyle w:val="Heading3"/>
      </w:pPr>
      <w:bookmarkStart w:id="5484" w:name="_Toc4180"/>
      <w:r>
        <w:t>3150- دیوان صائغ خراسانی أو شعره‏</w:t>
      </w:r>
      <w:bookmarkEnd w:id="5484"/>
    </w:p>
    <w:p>
      <w:pPr>
        <w:pStyle w:val="BookText"/>
      </w:pPr>
      <w:r>
        <w:rPr>
          <w:rFonts w:ascii="IRNazanin" w:hAnsi="IRNazanin" w:eastAsia="IRNazanin" w:cs="IRNazanin"/>
          <w:lang w:bidi="fa-IR"/>
          <w:color w:val="111111"/>
          <w:sz w:val="28"/>
          <w:szCs w:val="28"/>
          <w:rtl/>
        </w:rPr>
        <w:t xml:space="preserve">و هو الحکیم شهاب الدین محمد بن علی المعروف شهاب زرگر أورد شعره فی (اللباب- 11) و قال کان ماهرا فی الشعر و الصیاغة.</w:t>
      </w:r>
    </w:p>
    <w:p>
      <w:pPr>
        <w:pStyle w:val="Heading3"/>
      </w:pPr>
      <w:bookmarkStart w:id="5485" w:name="_Toc4181"/>
      <w:r>
        <w:t>3151- دیوان الصائغ الرامهرمزی أو شعره‏</w:t>
      </w:r>
      <w:bookmarkEnd w:id="5485"/>
    </w:p>
    <w:p>
      <w:pPr>
        <w:pStyle w:val="BookText"/>
      </w:pPr>
      <w:r>
        <w:rPr>
          <w:rFonts w:ascii="IRNazanin" w:hAnsi="IRNazanin" w:eastAsia="IRNazanin" w:cs="IRNazanin"/>
          <w:lang w:bidi="fa-IR"/>
          <w:color w:val="111111"/>
          <w:sz w:val="28"/>
          <w:szCs w:val="28"/>
          <w:rtl/>
        </w:rPr>
        <w:t xml:space="preserve">ترجمه الیاقوت فی معجم الأدباء (ج 4 ص 65) نقلا عن القاضی التنوخی، و أطری توسعه فی العلم و الأدب و النحو و الکلام و هو أستاذ أبی هاشم الجبائی. و کان مداح أهل البیت، خرج فی هیج من العامة فرموه بالمقالیع فأصابه حجر و مات بها فی (312) و أورد شعره.</w:t>
      </w:r>
    </w:p>
    <w:p>
      <w:pPr>
        <w:pStyle w:val="Heading3"/>
      </w:pPr>
      <w:bookmarkStart w:id="5486" w:name="_Toc4182"/>
      <w:r>
        <w:t>3152- دیوان صائغ هروی أو شعره‏</w:t>
      </w:r>
      <w:bookmarkEnd w:id="5486"/>
    </w:p>
    <w:p>
      <w:pPr>
        <w:pStyle w:val="BookText"/>
      </w:pPr>
      <w:r>
        <w:rPr>
          <w:rFonts w:ascii="IRNazanin" w:hAnsi="IRNazanin" w:eastAsia="IRNazanin" w:cs="IRNazanin"/>
          <w:lang w:bidi="fa-IR"/>
          <w:color w:val="111111"/>
          <w:sz w:val="28"/>
          <w:szCs w:val="28"/>
          <w:rtl/>
        </w:rPr>
        <w:t xml:space="preserve">هو الحکیم أبو المحامد محمود بن محمود الجوهری الصائغ الهروی. ترجمه فی (اللباب- 10). و قال کان ماهرا فی الصنعة و أورد قصیدة من أمهات قصائده.</w:t>
      </w:r>
    </w:p>
    <w:p>
      <w:pPr>
        <w:pStyle w:val="Heading3"/>
      </w:pPr>
      <w:bookmarkStart w:id="5487" w:name="_Toc4183"/>
      <w:r>
        <w:t>دیوان صائن ترکة</w:t>
      </w:r>
      <w:bookmarkEnd w:id="5487"/>
    </w:p>
    <w:p>
      <w:pPr>
        <w:pStyle w:val="BookText"/>
      </w:pPr>
      <w:r>
        <w:rPr>
          <w:rFonts w:ascii="IRNazanin" w:hAnsi="IRNazanin" w:eastAsia="IRNazanin" w:cs="IRNazanin"/>
          <w:lang w:bidi="fa-IR"/>
          <w:color w:val="111111"/>
          <w:sz w:val="28"/>
          <w:szCs w:val="28"/>
          <w:rtl/>
        </w:rPr>
        <w:t xml:space="preserve">راجع صائن الدین أصفهانی.</w:t>
      </w:r>
    </w:p>
    <w:p>
      <w:pPr>
        <w:pStyle w:val="Heading3"/>
      </w:pPr>
      <w:bookmarkStart w:id="5488" w:name="_Toc4184"/>
      <w:r>
        <w:t>3153- دیوان صائن الدین أصفهانی أو شعره‏</w:t>
      </w:r>
      <w:bookmarkEnd w:id="5488"/>
    </w:p>
    <w:p>
      <w:pPr>
        <w:pStyle w:val="BookText"/>
      </w:pPr>
      <w:r>
        <w:rPr>
          <w:rFonts w:ascii="IRNazanin" w:hAnsi="IRNazanin" w:eastAsia="IRNazanin" w:cs="IRNazanin"/>
          <w:lang w:bidi="fa-IR"/>
          <w:color w:val="111111"/>
          <w:sz w:val="28"/>
          <w:szCs w:val="28"/>
          <w:rtl/>
        </w:rPr>
        <w:t xml:space="preserve">و هو علی بن محمد بن أفضل الدین محمد ترکة الأصفهانی المذکور فی (ج 4- ص 434). کان آباؤه من خجند و لذا عرفوا بالترک. تلمذ علی أخیه الأکبر منه و مهر فی العلوم الغریبة و الحروف و التصوف، ثم جاء به تیمور إلی سمرقند مع أخیه و أهلیهم و نصبوا للقضاء، ثم سافر إلی مصر و تلمذ علی سراج الدین البلقینی. و رجع و سکن أصفهان بعد موت تیمور لنگ، ثم ذهب إلی‏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564" w:name="pg11704_122047"/>
    <w:bookmarkEnd w:id="564"/>
    <w:p>
      <w:pPr>
        <w:pStyle w:val="BookText"/>
      </w:pPr>
      <w:r>
        <w:rPr>
          <w:rFonts w:ascii="IRNazanin" w:hAnsi="IRNazanin" w:eastAsia="IRNazanin" w:cs="IRNazanin"/>
          <w:lang w:bidi="fa-IR"/>
          <w:color w:val="111111"/>
          <w:sz w:val="28"/>
          <w:szCs w:val="28"/>
          <w:rtl/>
        </w:rPr>
        <w:t xml:space="preserve">شیراز عند إسکندر و بعد غلبة شاه‏رخ علی إسکندر ذهب معه إلی خراسان، و کتب له نفثة المصدور یتبری فیه عما نسب إلیه من التصوف و العلوم، و یتستر بالتسنن، و بقی هناک إلی أن اغتال أحمدلر، شاه‏رخ فی (830) و نجی شاه‏رخ من الموت و مات ضاربه أحمد، فأخذ شاه‏رخ فی الضغط علی العلماء و الأدباء مثل قاسم أنوار و صائن هذا و نفاهم بعد التعذیبات إلی سجون بعیدة، فأتوا بالصائن إلی کردستان ثم تبریز ثم گیلان ثم نطنز و مات فی (835) کما فی شاهد صادق أو (836) کما فی نسخه حبیب السیر لبهار، کما ذکره فی سبک‏شناسی- ج 3- ص 236 و لیس (830) کما فی روضة الصفا لأنه ألف بعد التاریخ کتبا. و قد ذکر بهار تصانیفه، فالعربیة منها: شرح فصول الحکم ألفه (814) المفاحص فی الحروف، الرسالة البائیة فی الحروف. الرسالة الإنزالیة. الرسالة المحمدیة. حواش و اصطلاحات. التمهید المذکور فی (ج 4- ص 434) البسملة. تعلیقات علی الکشاف المناهج شرح تائیة ابن الفارض ثم ذکر له بالفارسیة: شرح تائیة ابن فارض. أسرار الصلاة</w:t>
      </w:r>
    </w:p>
    <w:p>
      <w:pPr>
        <w:pStyle w:val="BookText"/>
      </w:pPr>
      <w:r>
        <w:rPr>
          <w:rFonts w:ascii="IRNazanin" w:hAnsi="IRNazanin" w:eastAsia="IRNazanin" w:cs="IRNazanin"/>
          <w:lang w:bidi="fa-IR"/>
          <w:color w:val="111111"/>
          <w:sz w:val="28"/>
          <w:szCs w:val="28"/>
          <w:rtl/>
        </w:rPr>
        <w:t xml:space="preserve">الأطوار الثلاثة فی شرح فمنهم ظالم لنفسه. تحفه علائیة. مدارج أفهام الأفواج ألفه 831 رسالة در اعتقاد فی رد اتهامه بالتصوف مناظرة بزم و رزم شرح لمعات عراقی شق القمر و بیان ساعت. رسالة انجام رسالة نقطه معنی ده بیت از محیی الدین. مبدأ و معاد ألفه (832) سؤال الملوک سلم دار السلام ترجمه کلمات علی علیه السلام  خواص علم الصرف و أورد فی جلها أشعار فارسیة و عربیة لنفسه.</w:t>
      </w:r>
    </w:p>
    <w:p>
      <w:pPr>
        <w:pStyle w:val="Heading3"/>
      </w:pPr>
      <w:bookmarkStart w:id="5489" w:name="_Toc4185"/>
      <w:r>
        <w:t>3154- دیوان صائن الدین یحیی أو شعره‏</w:t>
      </w:r>
      <w:bookmarkEnd w:id="5489"/>
    </w:p>
    <w:p>
      <w:pPr>
        <w:pStyle w:val="BookText"/>
      </w:pPr>
      <w:r>
        <w:rPr>
          <w:rFonts w:ascii="IRNazanin" w:hAnsi="IRNazanin" w:eastAsia="IRNazanin" w:cs="IRNazanin"/>
          <w:lang w:bidi="fa-IR"/>
          <w:color w:val="111111"/>
          <w:sz w:val="28"/>
          <w:szCs w:val="28"/>
          <w:rtl/>
        </w:rPr>
        <w:t xml:space="preserve">و هو ابن الخواجة عبد العزیز التبریزی العارف الشاعر الشهیر المتوفی (683) ترجمه فی (دجا- ص 226) و عده من مشاهیر الشعراء و أورد قول الشبستری فی سعادت‏نامه فی حقه.</w:t>
      </w:r>
    </w:p>
    <w:p>
      <w:pPr>
        <w:pStyle w:val="Heading3"/>
      </w:pPr>
      <w:bookmarkStart w:id="5490" w:name="_Toc4186"/>
      <w:r>
        <w:t>دیوان صائن سمنانی‏</w:t>
      </w:r>
      <w:bookmarkEnd w:id="5490"/>
    </w:p>
    <w:p>
      <w:pPr>
        <w:pStyle w:val="BookText"/>
      </w:pPr>
      <w:r>
        <w:rPr>
          <w:rFonts w:ascii="IRNazanin" w:hAnsi="IRNazanin" w:eastAsia="IRNazanin" w:cs="IRNazanin"/>
          <w:lang w:bidi="fa-IR"/>
          <w:color w:val="111111"/>
          <w:sz w:val="28"/>
          <w:szCs w:val="28"/>
          <w:rtl/>
        </w:rPr>
        <w:t xml:space="preserve">راجع صائن هروی.</w:t>
      </w:r>
    </w:p>
    <w:p>
      <w:pPr>
        <w:pStyle w:val="Heading3"/>
      </w:pPr>
      <w:bookmarkStart w:id="5491" w:name="_Toc4187"/>
      <w:r>
        <w:t>دیوان صائن شیرازی‏</w:t>
      </w:r>
      <w:bookmarkEnd w:id="5491"/>
    </w:p>
    <w:p>
      <w:pPr>
        <w:pStyle w:val="BookText"/>
      </w:pPr>
      <w:r>
        <w:rPr>
          <w:rFonts w:ascii="IRNazanin" w:hAnsi="IRNazanin" w:eastAsia="IRNazanin" w:cs="IRNazanin"/>
          <w:lang w:bidi="fa-IR"/>
          <w:color w:val="111111"/>
          <w:sz w:val="28"/>
          <w:szCs w:val="28"/>
          <w:rtl/>
        </w:rPr>
        <w:t xml:space="preserve">راجع صائن هروی.</w:t>
      </w:r>
    </w:p>
    <w:p>
      <w:pPr>
        <w:pStyle w:val="Heading3"/>
      </w:pPr>
      <w:bookmarkStart w:id="5492" w:name="_Toc4188"/>
      <w:r>
        <w:t>دیوان صائن هروی‏</w:t>
      </w:r>
      <w:bookmarkEnd w:id="5492"/>
    </w:p>
    <w:p>
      <w:pPr>
        <w:pStyle w:val="BookText"/>
      </w:pPr>
      <w:r>
        <w:rPr>
          <w:rFonts w:ascii="IRNazanin" w:hAnsi="IRNazanin" w:eastAsia="IRNazanin" w:cs="IRNazanin"/>
          <w:lang w:bidi="fa-IR"/>
          <w:color w:val="111111"/>
          <w:sz w:val="28"/>
          <w:szCs w:val="28"/>
          <w:rtl/>
        </w:rPr>
        <w:t xml:space="preserve">ذکرناه فی (ص 383) بعنوان دیوان رکن سمنانی کان إمام الجماعة عند طغی تیمور ثم عزله و حبسه، و بعد الإفراج عنه ذهب إلی شیراز و تقرب عند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565" w:name="pg11704_122048"/>
    <w:bookmarkEnd w:id="565"/>
    <w:p>
      <w:pPr>
        <w:pStyle w:val="BookText"/>
      </w:pPr>
      <w:r>
        <w:rPr>
          <w:rFonts w:ascii="IRNazanin" w:hAnsi="IRNazanin" w:eastAsia="IRNazanin" w:cs="IRNazanin"/>
          <w:lang w:bidi="fa-IR"/>
          <w:color w:val="111111"/>
          <w:sz w:val="28"/>
          <w:szCs w:val="28"/>
          <w:rtl/>
        </w:rPr>
        <w:t xml:space="preserve">شاه شجاع و الأمیر مظفر، و مات هناک (765) کما فی (خیال- 46) و (تش- ص 217) و (گلشن- ص 245) و لذلک یعرف بالشیرازی، و جاء شعره فی مجموعة محمد شفیع الحسینی فی الورق (205) عند (فخر الدین).</w:t>
      </w:r>
    </w:p>
    <w:p>
      <w:pPr>
        <w:pStyle w:val="Heading3"/>
      </w:pPr>
      <w:bookmarkStart w:id="5493" w:name="_Toc4189"/>
      <w:r>
        <w:t>3155- دیوان صابر آیینه‏ساز أو شعره‏</w:t>
      </w:r>
      <w:bookmarkEnd w:id="5493"/>
    </w:p>
    <w:p>
      <w:pPr>
        <w:pStyle w:val="BookText"/>
      </w:pPr>
      <w:r>
        <w:rPr>
          <w:rFonts w:ascii="IRNazanin" w:hAnsi="IRNazanin" w:eastAsia="IRNazanin" w:cs="IRNazanin"/>
          <w:lang w:bidi="fa-IR"/>
          <w:color w:val="111111"/>
          <w:sz w:val="28"/>
          <w:szCs w:val="28"/>
          <w:rtl/>
        </w:rPr>
        <w:t xml:space="preserve">عده من شعراء إیران و أورد شعره فی (گلشن- ص 239).</w:t>
      </w:r>
    </w:p>
    <w:p>
      <w:pPr>
        <w:pStyle w:val="Heading3"/>
      </w:pPr>
      <w:bookmarkStart w:id="5494" w:name="_Toc4190"/>
      <w:r>
        <w:t>دیوان صابر أصفهانی‏</w:t>
      </w:r>
      <w:bookmarkEnd w:id="5494"/>
    </w:p>
    <w:p>
      <w:pPr>
        <w:pStyle w:val="BookText"/>
      </w:pPr>
      <w:r>
        <w:rPr>
          <w:rFonts w:ascii="IRNazanin" w:hAnsi="IRNazanin" w:eastAsia="IRNazanin" w:cs="IRNazanin"/>
          <w:lang w:bidi="fa-IR"/>
          <w:color w:val="111111"/>
          <w:sz w:val="28"/>
          <w:szCs w:val="28"/>
          <w:rtl/>
        </w:rPr>
        <w:t xml:space="preserve">ترجمه و أورد شعره فی (روشن- ص 372). راجع صابر زواره‏ئی.</w:t>
      </w:r>
    </w:p>
    <w:p>
      <w:pPr>
        <w:pStyle w:val="Heading3"/>
      </w:pPr>
      <w:bookmarkStart w:id="5495" w:name="_Toc4191"/>
      <w:r>
        <w:t>3156- دیوان صابر تبریزی‏</w:t>
      </w:r>
      <w:bookmarkEnd w:id="5495"/>
    </w:p>
    <w:p>
      <w:pPr>
        <w:pStyle w:val="BookText"/>
      </w:pPr>
      <w:r>
        <w:rPr>
          <w:rFonts w:ascii="IRNazanin" w:hAnsi="IRNazanin" w:eastAsia="IRNazanin" w:cs="IRNazanin"/>
          <w:lang w:bidi="fa-IR"/>
          <w:color w:val="111111"/>
          <w:sz w:val="28"/>
          <w:szCs w:val="28"/>
          <w:rtl/>
        </w:rPr>
        <w:t xml:space="preserve">و اسمه الحاج میرزا عباس قلی المعاصر الساکن بمشهد خراسان. طبع له توسلات صابر فی المراثی بالترکیة مع مقدمه لمصححه سعدی زمان فی (1334 ش) علی الحجر بتبریز.</w:t>
      </w:r>
    </w:p>
    <w:p>
      <w:pPr>
        <w:pStyle w:val="Heading3"/>
      </w:pPr>
      <w:bookmarkStart w:id="5496" w:name="_Toc4192"/>
      <w:r>
        <w:t>3157- دیوان صابر ترمذی‏</w:t>
      </w:r>
      <w:bookmarkEnd w:id="5496"/>
    </w:p>
    <w:p>
      <w:pPr>
        <w:pStyle w:val="BookText"/>
      </w:pPr>
      <w:r>
        <w:rPr>
          <w:rFonts w:ascii="IRNazanin" w:hAnsi="IRNazanin" w:eastAsia="IRNazanin" w:cs="IRNazanin"/>
          <w:lang w:bidi="fa-IR"/>
          <w:color w:val="111111"/>
          <w:sz w:val="28"/>
          <w:szCs w:val="28"/>
          <w:rtl/>
        </w:rPr>
        <w:t xml:space="preserve">شهاب الدین الأدیب صابر بن الأدیب إسماعیل الخراسانی. قال فی (لت- 2) أصله من ترمذ و بخارا، جاء إلی مرو و عارض رشید الدین الوطواط و تهاجیا. و الخاقانی یرجحه علی الوطواط. و قد مدح السید أبا جعفر علی بن الحسین قدامة الموسوی‏</w:t>
      </w:r>
      <w:r>
        <w:rPr>
          <w:rStyle w:val="FootnoteReference"/>
        </w:rPr>
        <w:footnoteReference w:id="48"/>
      </w:r>
      <w:r>
        <w:rPr>
          <w:rFonts w:ascii="IRNazanin" w:hAnsi="IRNazanin" w:eastAsia="IRNazanin" w:cs="IRNazanin"/>
          <w:lang w:bidi="fa-IR"/>
          <w:color w:val="111111"/>
          <w:sz w:val="28"/>
          <w:szCs w:val="28"/>
          <w:rtl/>
        </w:rPr>
        <w:t xml:space="preserve">الرئیس بخراسان و الساکن بنیشابور. و بعثه سنجر إلی خوارزم یتجسس له عند أتسز، فأخذه أتسز و أغرقه فی الجیحون و کان ذلک فی (546) و أورد تاریخه کذلک فی شاهد صادق أیضا. و ترجمه أیضا العوفی فی (اللباب- 10) و القزوینی فی (بهش 1- ص 347) و ذکر مدح الأنوری (المتوفی (580) له. و ترجمه فی (تش- 327) و (گلشن- ص 239) و (مع- ج 1 ص 314). توجد دیوانه فی (سپهسالار- الفهرس- 2: 554) و نسخه أتم منه فی (المجلس- الفهرس- 3: 212) و ثلاث نسخ عند (الملک) منها فی (7000 بیت) و نسخه عند (فخر الدین) و أخری عند (محمد آقا النخجوانی).</w:t>
      </w:r>
    </w:p>
    <w:p>
      <w:pPr>
        <w:pStyle w:val="Heading3"/>
      </w:pPr>
      <w:bookmarkStart w:id="5497" w:name="_Toc4193"/>
      <w:r>
        <w:t>3158- دیوان صابر دیلمقانی أو شعره‏</w:t>
      </w:r>
      <w:bookmarkEnd w:id="5497"/>
    </w:p>
    <w:p>
      <w:pPr>
        <w:pStyle w:val="BookText"/>
      </w:pPr>
      <w:r>
        <w:rPr>
          <w:rFonts w:ascii="IRNazanin" w:hAnsi="IRNazanin" w:eastAsia="IRNazanin" w:cs="IRNazanin"/>
          <w:lang w:bidi="fa-IR"/>
          <w:color w:val="111111"/>
          <w:sz w:val="28"/>
          <w:szCs w:val="28"/>
          <w:rtl/>
        </w:rPr>
        <w:t xml:space="preserve">و اسمه الحاج رضا نزیل إیروان و المتوفی بها عن ستین من عمره فی (1312) ترجمه فی (دجا- ص 210).</w:t>
      </w:r>
    </w:p>
    <w:p>
      <w:pPr>
        <w:pStyle w:val="Heading3"/>
      </w:pPr>
      <w:bookmarkStart w:id="5498" w:name="_Toc4194"/>
      <w:r>
        <w:t>3159- دیوان صابر رازی أو شعره‏</w:t>
      </w:r>
      <w:bookmarkEnd w:id="5498"/>
    </w:p>
    <w:p>
      <w:pPr>
        <w:pStyle w:val="BookText"/>
      </w:pPr>
      <w:r>
        <w:rPr>
          <w:rFonts w:ascii="IRNazanin" w:hAnsi="IRNazanin" w:eastAsia="IRNazanin" w:cs="IRNazanin"/>
          <w:lang w:bidi="fa-IR"/>
          <w:color w:val="111111"/>
          <w:sz w:val="28"/>
          <w:szCs w:val="28"/>
          <w:rtl/>
        </w:rPr>
        <w:t xml:space="preserve">الشاعر الخطیب فی ری. ترجمه معاصره سام میرزا ).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566" w:name="pg11704_122049"/>
    <w:bookmarkEnd w:id="566"/>
    <w:p>
      <w:pPr>
        <w:pStyle w:val="BookText"/>
      </w:pPr>
      <w:r>
        <w:rPr>
          <w:rFonts w:ascii="IRNazanin" w:hAnsi="IRNazanin" w:eastAsia="IRNazanin" w:cs="IRNazanin"/>
          <w:lang w:bidi="fa-IR"/>
          <w:color w:val="111111"/>
          <w:sz w:val="28"/>
          <w:szCs w:val="28"/>
          <w:rtl/>
        </w:rPr>
        <w:t xml:space="preserve">فی (تس 5- ص 176) و (تش- ص 214) و (پژمان- ص 259).</w:t>
      </w:r>
    </w:p>
    <w:p>
      <w:pPr>
        <w:pStyle w:val="Heading3"/>
      </w:pPr>
      <w:bookmarkStart w:id="5499" w:name="_Toc4195"/>
      <w:r>
        <w:t>3160- دیوان صابر زواره‏ئی أو شعره‏</w:t>
      </w:r>
      <w:bookmarkEnd w:id="5499"/>
    </w:p>
    <w:p>
      <w:pPr>
        <w:pStyle w:val="BookText"/>
      </w:pPr>
      <w:r>
        <w:rPr>
          <w:rFonts w:ascii="IRNazanin" w:hAnsi="IRNazanin" w:eastAsia="IRNazanin" w:cs="IRNazanin"/>
          <w:lang w:bidi="fa-IR"/>
          <w:color w:val="111111"/>
          <w:sz w:val="28"/>
          <w:szCs w:val="28"/>
          <w:rtl/>
        </w:rPr>
        <w:t xml:space="preserve">من سادات أصفهان سافر إلی الهند و تمول.</w:t>
      </w:r>
    </w:p>
    <w:p>
      <w:pPr>
        <w:pStyle w:val="BookText"/>
      </w:pPr>
      <w:r>
        <w:rPr>
          <w:rFonts w:ascii="IRNazanin" w:hAnsi="IRNazanin" w:eastAsia="IRNazanin" w:cs="IRNazanin"/>
          <w:lang w:bidi="fa-IR"/>
          <w:color w:val="111111"/>
          <w:sz w:val="28"/>
          <w:szCs w:val="28"/>
          <w:rtl/>
        </w:rPr>
        <w:t xml:space="preserve">ترجمه معاصره فی (نر 3- ص 65) و أورد شعره. و أظنه متحدا مع صابر أصفهانی الذی حمل عظام عرفی شیرازی الرمیم بعد وفاته (999) من الهند إلی النجف فی (1027) و توفی صابر أصفهانی فی (1070) کما فی (تغ 78).</w:t>
      </w:r>
    </w:p>
    <w:p>
      <w:pPr>
        <w:pStyle w:val="Heading3"/>
      </w:pPr>
      <w:bookmarkStart w:id="5500" w:name="_Toc4196"/>
      <w:r>
        <w:t>3161- دیوان صابر سمرقندی أو شعره‏</w:t>
      </w:r>
      <w:bookmarkEnd w:id="5500"/>
    </w:p>
    <w:p>
      <w:pPr>
        <w:pStyle w:val="BookText"/>
      </w:pPr>
      <w:r>
        <w:rPr>
          <w:rFonts w:ascii="IRNazanin" w:hAnsi="IRNazanin" w:eastAsia="IRNazanin" w:cs="IRNazanin"/>
          <w:lang w:bidi="fa-IR"/>
          <w:color w:val="111111"/>
          <w:sz w:val="28"/>
          <w:szCs w:val="28"/>
          <w:rtl/>
        </w:rPr>
        <w:t xml:space="preserve">هو الخواجة بهاء الدین. أورد شعره فی (گلشن- ص 240).</w:t>
      </w:r>
    </w:p>
    <w:p>
      <w:pPr>
        <w:pStyle w:val="Heading3"/>
      </w:pPr>
      <w:bookmarkStart w:id="5501" w:name="_Toc4197"/>
      <w:r>
        <w:t>3162- دیوان صابر شماخی‏</w:t>
      </w:r>
      <w:bookmarkEnd w:id="5501"/>
    </w:p>
    <w:p>
      <w:pPr>
        <w:pStyle w:val="BookText"/>
      </w:pPr>
      <w:r>
        <w:rPr>
          <w:rFonts w:ascii="IRNazanin" w:hAnsi="IRNazanin" w:eastAsia="IRNazanin" w:cs="IRNazanin"/>
          <w:lang w:bidi="fa-IR"/>
          <w:color w:val="111111"/>
          <w:sz w:val="28"/>
          <w:szCs w:val="28"/>
          <w:rtl/>
        </w:rPr>
        <w:t xml:space="preserve">و اسمه المیرزا علی أکبر طاهرزاده. ولد بشماخی تبریز (1278) و توفی (1329) طبع دیوانه الترکی مکررا و فیها أشعار اجتماعیة تلقته العامة بالقبول، و طبع بعضها فی جریدة ملا نصر الدین السیاسیة الانتقادیة التی کانت تنتشر فی باکو کما فی (دجا- ص 210).</w:t>
      </w:r>
    </w:p>
    <w:p>
      <w:pPr>
        <w:pStyle w:val="Heading3"/>
      </w:pPr>
      <w:bookmarkStart w:id="5502" w:name="_Toc4198"/>
      <w:r>
        <w:t>3163- دیوان صابر شیرازی أو شعره‏</w:t>
      </w:r>
      <w:bookmarkEnd w:id="5502"/>
    </w:p>
    <w:p>
      <w:pPr>
        <w:pStyle w:val="BookText"/>
      </w:pPr>
      <w:r>
        <w:rPr>
          <w:rFonts w:ascii="IRNazanin" w:hAnsi="IRNazanin" w:eastAsia="IRNazanin" w:cs="IRNazanin"/>
          <w:lang w:bidi="fa-IR"/>
          <w:color w:val="111111"/>
          <w:sz w:val="28"/>
          <w:szCs w:val="28"/>
          <w:rtl/>
        </w:rPr>
        <w:t xml:space="preserve">قال معاصره فی (نر 9- 425) إن اسمه عبدی و یشتهر دنبة و هو من أواسط الناس یعمل التصانیف و الألحان الموسیقیة و بعض تصانیفه من شعر نفسه، و قد سافر إلی الهند و مات بها أخیرا. فعلی هذا فهو غیر عبدی بیگ الشیرازی الذی ترجمه معاصره فی (تس 3- ص 59) و المتخلص نویدی.</w:t>
      </w:r>
    </w:p>
    <w:p>
      <w:pPr>
        <w:pStyle w:val="BookText"/>
      </w:pPr>
      <w:r>
        <w:rPr>
          <w:rFonts w:ascii="IRNazanin" w:hAnsi="IRNazanin" w:eastAsia="IRNazanin" w:cs="IRNazanin"/>
          <w:lang w:bidi="fa-IR"/>
          <w:color w:val="111111"/>
          <w:sz w:val="28"/>
          <w:szCs w:val="28"/>
          <w:rtl/>
        </w:rPr>
        <w:t xml:space="preserve">المذکور فی (ج 7 ص 263).</w:t>
      </w:r>
    </w:p>
    <w:p>
      <w:pPr>
        <w:pStyle w:val="Heading3"/>
      </w:pPr>
      <w:bookmarkStart w:id="5503" w:name="_Toc4199"/>
      <w:r>
        <w:t>3164- دیوان صابر شیرازی‏</w:t>
      </w:r>
      <w:bookmarkEnd w:id="5503"/>
    </w:p>
    <w:p>
      <w:pPr>
        <w:pStyle w:val="BookText"/>
      </w:pPr>
      <w:r>
        <w:rPr>
          <w:rFonts w:ascii="IRNazanin" w:hAnsi="IRNazanin" w:eastAsia="IRNazanin" w:cs="IRNazanin"/>
          <w:lang w:bidi="fa-IR"/>
          <w:color w:val="111111"/>
          <w:sz w:val="28"/>
          <w:szCs w:val="28"/>
          <w:rtl/>
        </w:rPr>
        <w:t xml:space="preserve">الخطاط و اسمه آقا مهدی و توفی (نیف و 1280) ترجمه فی (آثار عجم- ص 560) و فارس‏نامه ناصری- ص 149. و طرائق الحقائق (3: 112) له دیوان، و مثنوی فرهاد و شیرین ذیلا علی فرهاد و شیرین لوصال الذی هو ذیل علی فرهاد و شیرین لوحشی بافقی. قال فی أوله:</w:t>
      </w:r>
    </w:p>
    <w:p>
      <w:pPr>
        <w:pStyle w:val="BookText"/>
      </w:pPr>
      <w:r>
        <w:rPr>
          <w:rFonts w:ascii="IRNazanin" w:hAnsi="IRNazanin" w:eastAsia="IRNazanin" w:cs="IRNazanin"/>
          <w:lang w:bidi="fa-IR"/>
          <w:color w:val="111111"/>
          <w:sz w:val="28"/>
          <w:szCs w:val="28"/>
          <w:rtl/>
        </w:rPr>
        <w:t xml:space="preserve">حدیثی را که وحشی کرده عنوان‏</w:t>
      </w:r>
    </w:p>
    <w:p>
      <w:pPr>
        <w:pStyle w:val="BookText"/>
      </w:pPr>
      <w:r>
        <w:rPr>
          <w:rFonts w:ascii="IRNazanin" w:hAnsi="IRNazanin" w:eastAsia="IRNazanin" w:cs="IRNazanin"/>
          <w:lang w:bidi="fa-IR"/>
          <w:color w:val="111111"/>
          <w:sz w:val="28"/>
          <w:szCs w:val="28"/>
          <w:rtl/>
        </w:rPr>
        <w:t xml:space="preserve">وصالش نیز ناورده به پایان‏</w:t>
      </w:r>
    </w:p>
    <w:p>
      <w:pPr>
        <w:pStyle w:val="BookText"/>
      </w:pPr>
      <w:r>
        <w:rPr>
          <w:rFonts w:ascii="IRNazanin" w:hAnsi="IRNazanin" w:eastAsia="IRNazanin" w:cs="IRNazanin"/>
          <w:lang w:bidi="fa-IR"/>
          <w:color w:val="111111"/>
          <w:sz w:val="28"/>
          <w:szCs w:val="28"/>
          <w:rtl/>
        </w:rPr>
        <w:t xml:space="preserve">بتوفیق خداوند یگانه‏</w:t>
      </w:r>
    </w:p>
    <w:p>
      <w:pPr>
        <w:pStyle w:val="BookText"/>
      </w:pPr>
      <w:r>
        <w:rPr>
          <w:rFonts w:ascii="IRNazanin" w:hAnsi="IRNazanin" w:eastAsia="IRNazanin" w:cs="IRNazanin"/>
          <w:lang w:bidi="fa-IR"/>
          <w:color w:val="111111"/>
          <w:sz w:val="28"/>
          <w:szCs w:val="28"/>
          <w:rtl/>
        </w:rPr>
        <w:t xml:space="preserve">به پایان آرم آن شیرین فسانه‏</w:t>
      </w:r>
    </w:p>
    <w:p>
      <w:pPr>
        <w:pStyle w:val="BookText"/>
      </w:pPr>
      <w:r>
        <w:rPr>
          <w:rFonts w:ascii="IRNazanin" w:hAnsi="IRNazanin" w:eastAsia="IRNazanin" w:cs="IRNazanin"/>
          <w:lang w:bidi="fa-IR"/>
          <w:color w:val="111111"/>
          <w:sz w:val="28"/>
          <w:szCs w:val="28"/>
          <w:rtl/>
        </w:rPr>
        <w:t xml:space="preserve">و هو فی (306 بیت) توجه نسخته فی (المجلس) کما فی فهرسها (3: 523).</w:t>
      </w:r>
    </w:p>
    <w:p>
      <w:pPr>
        <w:pStyle w:val="Heading3"/>
      </w:pPr>
      <w:bookmarkStart w:id="5504" w:name="_Toc4200"/>
      <w:r>
        <w:t>3165- دیوان صابر لاهیجی أو شعره‏</w:t>
      </w:r>
      <w:bookmarkEnd w:id="5504"/>
    </w:p>
    <w:p>
      <w:pPr>
        <w:pStyle w:val="BookText"/>
      </w:pPr>
      <w:r>
        <w:rPr>
          <w:rFonts w:ascii="IRNazanin" w:hAnsi="IRNazanin" w:eastAsia="IRNazanin" w:cs="IRNazanin"/>
          <w:lang w:bidi="fa-IR"/>
          <w:color w:val="111111"/>
          <w:sz w:val="28"/>
          <w:szCs w:val="28"/>
          <w:rtl/>
        </w:rPr>
        <w:t xml:space="preserve">و اسمه محمد قاسم. کان یتجر مع الروس فغرق سفینته فی البحر، و هو الیوم خلیفة فی أحد محلات لاهیجان. کذا ترجمه معاصره فی‏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567" w:name="pg11704_122050"/>
    <w:bookmarkEnd w:id="567"/>
    <w:p>
      <w:pPr>
        <w:pStyle w:val="BookText"/>
      </w:pPr>
      <w:r>
        <w:rPr>
          <w:rFonts w:ascii="IRNazanin" w:hAnsi="IRNazanin" w:eastAsia="IRNazanin" w:cs="IRNazanin"/>
          <w:lang w:bidi="fa-IR"/>
          <w:color w:val="111111"/>
          <w:sz w:val="28"/>
          <w:szCs w:val="28"/>
          <w:rtl/>
        </w:rPr>
        <w:t xml:space="preserve">(نر 9- ص 376).</w:t>
      </w:r>
    </w:p>
    <w:p>
      <w:pPr>
        <w:pStyle w:val="Heading3"/>
      </w:pPr>
      <w:bookmarkStart w:id="5505" w:name="_Toc4201"/>
      <w:r>
        <w:t>3166- دیوان صابر مشهدی أو شعره‏</w:t>
      </w:r>
      <w:bookmarkEnd w:id="5505"/>
    </w:p>
    <w:p>
      <w:pPr>
        <w:pStyle w:val="BookText"/>
      </w:pPr>
      <w:r>
        <w:rPr>
          <w:rFonts w:ascii="IRNazanin" w:hAnsi="IRNazanin" w:eastAsia="IRNazanin" w:cs="IRNazanin"/>
          <w:lang w:bidi="fa-IR"/>
          <w:color w:val="111111"/>
          <w:sz w:val="28"/>
          <w:szCs w:val="28"/>
          <w:rtl/>
        </w:rPr>
        <w:t xml:space="preserve">و اسمه محمد علی. ترجمه و أورد شعره فی (تش- ص 86) و کذا فی مطلع الشمس: 2: 436 و (پژمان- ص 259).</w:t>
      </w:r>
    </w:p>
    <w:p>
      <w:pPr>
        <w:pStyle w:val="Heading3"/>
      </w:pPr>
      <w:bookmarkStart w:id="5506" w:name="_Toc4202"/>
      <w:r>
        <w:t>3167- دیوان صابر همدانی أو شعره‏</w:t>
      </w:r>
      <w:bookmarkEnd w:id="5506"/>
    </w:p>
    <w:p>
      <w:pPr>
        <w:pStyle w:val="BookText"/>
      </w:pPr>
      <w:r>
        <w:rPr>
          <w:rFonts w:ascii="IRNazanin" w:hAnsi="IRNazanin" w:eastAsia="IRNazanin" w:cs="IRNazanin"/>
          <w:lang w:bidi="fa-IR"/>
          <w:color w:val="111111"/>
          <w:sz w:val="28"/>
          <w:szCs w:val="28"/>
          <w:rtl/>
        </w:rPr>
        <w:t xml:space="preserve">و هو السید أحمد من أعضاء انجمن دانش بهمدان. أورد ألفت غزله فی دانش‏نامه المطبوع (1342) و جاء ذکره فی (پژمان- ص 259) و ترجمه فی تذکره علوی (ص 14) و قال إنه ابن محمد هادی. ولد بهمدان فی (1271) و جاء إلی طهران و دخل فی الوزارة الحربیة و یتتبع فی شعره صائب تبریزی.</w:t>
      </w:r>
    </w:p>
    <w:p>
      <w:pPr>
        <w:pStyle w:val="Heading3"/>
      </w:pPr>
      <w:bookmarkStart w:id="5507" w:name="_Toc4203"/>
      <w:r>
        <w:t>3168- دیوان صابری أو شعره‏</w:t>
      </w:r>
      <w:bookmarkEnd w:id="5507"/>
    </w:p>
    <w:p>
      <w:pPr>
        <w:pStyle w:val="BookText"/>
      </w:pPr>
      <w:r>
        <w:rPr>
          <w:rFonts w:ascii="IRNazanin" w:hAnsi="IRNazanin" w:eastAsia="IRNazanin" w:cs="IRNazanin"/>
          <w:lang w:bidi="fa-IR"/>
          <w:color w:val="111111"/>
          <w:sz w:val="28"/>
          <w:szCs w:val="28"/>
          <w:rtl/>
        </w:rPr>
        <w:t xml:space="preserve">وصفه فی (دجا- ص 210) نقلا عن حدیقة الشعراء بالارتجال، و قال شعره ترکی، و کان فی القرن الثالث عشر. و أورد شعر صابری فی (روشن- ص 372).</w:t>
      </w:r>
    </w:p>
    <w:p>
      <w:pPr>
        <w:pStyle w:val="Heading3"/>
      </w:pPr>
      <w:bookmarkStart w:id="5508" w:name="_Toc4204"/>
      <w:r>
        <w:t>3169- دیوان صابر یزدی‏</w:t>
      </w:r>
      <w:bookmarkEnd w:id="5508"/>
    </w:p>
    <w:p>
      <w:pPr>
        <w:pStyle w:val="BookText"/>
      </w:pPr>
      <w:r>
        <w:rPr>
          <w:rFonts w:ascii="IRNazanin" w:hAnsi="IRNazanin" w:eastAsia="IRNazanin" w:cs="IRNazanin"/>
          <w:lang w:bidi="fa-IR"/>
          <w:color w:val="111111"/>
          <w:sz w:val="28"/>
          <w:szCs w:val="28"/>
          <w:rtl/>
        </w:rPr>
        <w:t xml:space="preserve">الشاعر من السادة المدرسیة فی یزد. ترجمه آیتی فی تاریخ یزد فی ص 302 و ذکر أن له تذکره أحوال المدرسین فی یزد سماه تذکره سلسلة و أورد فیه کثیرا من شعر نفسه کما مر فی (4: 35).</w:t>
      </w:r>
    </w:p>
    <w:p>
      <w:pPr>
        <w:pStyle w:val="Heading3"/>
      </w:pPr>
      <w:bookmarkStart w:id="5509" w:name="_Toc4205"/>
      <w:r>
        <w:t>دیوان صابونی قزوینی‏</w:t>
      </w:r>
      <w:bookmarkEnd w:id="5509"/>
    </w:p>
    <w:p>
      <w:pPr>
        <w:pStyle w:val="BookText"/>
      </w:pPr>
      <w:r>
        <w:rPr>
          <w:rFonts w:ascii="IRNazanin" w:hAnsi="IRNazanin" w:eastAsia="IRNazanin" w:cs="IRNazanin"/>
          <w:lang w:bidi="fa-IR"/>
          <w:color w:val="111111"/>
          <w:sz w:val="28"/>
          <w:szCs w:val="28"/>
          <w:rtl/>
        </w:rPr>
        <w:t xml:space="preserve">مر حافظ صابونی.</w:t>
      </w:r>
    </w:p>
    <w:p>
      <w:pPr>
        <w:pStyle w:val="Heading3"/>
      </w:pPr>
      <w:bookmarkStart w:id="5510" w:name="_Toc4206"/>
      <w:r>
        <w:t>3170- دیوان صابونی همدانی‏</w:t>
      </w:r>
      <w:bookmarkEnd w:id="5510"/>
    </w:p>
    <w:p>
      <w:pPr>
        <w:pStyle w:val="BookText"/>
      </w:pPr>
      <w:r>
        <w:rPr>
          <w:rFonts w:ascii="IRNazanin" w:hAnsi="IRNazanin" w:eastAsia="IRNazanin" w:cs="IRNazanin"/>
          <w:lang w:bidi="fa-IR"/>
          <w:color w:val="111111"/>
          <w:sz w:val="28"/>
          <w:szCs w:val="28"/>
          <w:rtl/>
        </w:rPr>
        <w:t xml:space="preserve">و اسمه عبد الوهاب. أصله من همدان بإیران. سافر إلی مصر و الشام و إستانبول. و مات (954) له منظومات نوای خروس و مناقب ملا خداوندگار و صراط مستقیم أوردها فی کشف الظنون. و ترجمه فی الریحانة نقلا عن القاموس الترکی.</w:t>
      </w:r>
    </w:p>
    <w:p>
      <w:pPr>
        <w:pStyle w:val="Heading3"/>
      </w:pPr>
      <w:bookmarkStart w:id="5511" w:name="_Toc4207"/>
      <w:r>
        <w:t>دیوان الصاحب ابن عباد</w:t>
      </w:r>
      <w:bookmarkEnd w:id="5511"/>
    </w:p>
    <w:p>
      <w:pPr>
        <w:pStyle w:val="BookText"/>
      </w:pPr>
      <w:r>
        <w:rPr>
          <w:rFonts w:ascii="IRNazanin" w:hAnsi="IRNazanin" w:eastAsia="IRNazanin" w:cs="IRNazanin"/>
          <w:lang w:bidi="fa-IR"/>
          <w:color w:val="111111"/>
          <w:sz w:val="28"/>
          <w:szCs w:val="28"/>
          <w:rtl/>
        </w:rPr>
        <w:t xml:space="preserve">راجع دیوان الصاحب الوزیر.</w:t>
      </w:r>
    </w:p>
    <w:p>
      <w:pPr>
        <w:pStyle w:val="Heading3"/>
      </w:pPr>
      <w:bookmarkStart w:id="5512" w:name="_Toc4208"/>
      <w:r>
        <w:t>دیوان صاحب أسترآبادی‏</w:t>
      </w:r>
      <w:bookmarkEnd w:id="5512"/>
    </w:p>
    <w:p>
      <w:pPr>
        <w:pStyle w:val="BookText"/>
      </w:pPr>
      <w:r>
        <w:rPr>
          <w:rFonts w:ascii="IRNazanin" w:hAnsi="IRNazanin" w:eastAsia="IRNazanin" w:cs="IRNazanin"/>
          <w:lang w:bidi="fa-IR"/>
          <w:color w:val="111111"/>
          <w:sz w:val="28"/>
          <w:szCs w:val="28"/>
          <w:rtl/>
        </w:rPr>
        <w:t xml:space="preserve">راجع دیوان صاحب کبود جامه.</w:t>
      </w:r>
    </w:p>
    <w:p>
      <w:pPr>
        <w:pStyle w:val="Heading3"/>
      </w:pPr>
      <w:bookmarkStart w:id="5513" w:name="_Toc4209"/>
      <w:r>
        <w:t>دیوان الصاحب الاستیفائی‏</w:t>
      </w:r>
      <w:bookmarkEnd w:id="5513"/>
    </w:p>
    <w:p>
      <w:pPr>
        <w:pStyle w:val="BookText"/>
      </w:pPr>
      <w:r>
        <w:rPr>
          <w:rFonts w:ascii="IRNazanin" w:hAnsi="IRNazanin" w:eastAsia="IRNazanin" w:cs="IRNazanin"/>
          <w:lang w:bidi="fa-IR"/>
          <w:color w:val="111111"/>
          <w:sz w:val="28"/>
          <w:szCs w:val="28"/>
          <w:rtl/>
        </w:rPr>
        <w:t xml:space="preserve">مر شهاب الدین الاستیفائی.</w:t>
      </w:r>
    </w:p>
    <w:p>
      <w:pPr>
        <w:pStyle w:val="Heading3"/>
      </w:pPr>
      <w:bookmarkStart w:id="5514" w:name="_Toc4210"/>
      <w:r>
        <w:t>دیوان صاحب بلخی‏</w:t>
      </w:r>
      <w:bookmarkEnd w:id="5514"/>
    </w:p>
    <w:p>
      <w:pPr>
        <w:pStyle w:val="BookText"/>
      </w:pPr>
      <w:r>
        <w:rPr>
          <w:rFonts w:ascii="IRNazanin" w:hAnsi="IRNazanin" w:eastAsia="IRNazanin" w:cs="IRNazanin"/>
          <w:lang w:bidi="fa-IR"/>
          <w:color w:val="111111"/>
          <w:sz w:val="28"/>
          <w:szCs w:val="28"/>
          <w:rtl/>
        </w:rPr>
        <w:t xml:space="preserve">مر فی (ص 524) بعنوان شریفی بلخی.</w:t>
      </w:r>
    </w:p>
    <w:p>
      <w:pPr>
        <w:pStyle w:val="Heading3"/>
      </w:pPr>
      <w:bookmarkStart w:id="5515" w:name="_Toc4211"/>
      <w:r>
        <w:t>دیوان صاحب بلگرامی‏</w:t>
      </w:r>
      <w:bookmarkEnd w:id="5515"/>
    </w:p>
    <w:p>
      <w:pPr>
        <w:pStyle w:val="BookText"/>
      </w:pPr>
      <w:r>
        <w:rPr>
          <w:rFonts w:ascii="IRNazanin" w:hAnsi="IRNazanin" w:eastAsia="IRNazanin" w:cs="IRNazanin"/>
          <w:lang w:bidi="fa-IR"/>
          <w:color w:val="111111"/>
          <w:sz w:val="28"/>
          <w:szCs w:val="28"/>
          <w:rtl/>
        </w:rPr>
        <w:t xml:space="preserve">راجع صاحب قران بلگرامی.</w:t>
      </w:r>
    </w:p>
    <w:p>
      <w:pPr>
        <w:pStyle w:val="Heading3"/>
      </w:pPr>
      <w:bookmarkStart w:id="5516" w:name="_Toc4212"/>
      <w:r>
        <w:t>دیوان صاحب دارا</w:t>
      </w:r>
      <w:bookmarkEnd w:id="5516"/>
    </w:p>
    <w:p>
      <w:pPr>
        <w:pStyle w:val="BookText"/>
      </w:pPr>
      <w:r>
        <w:rPr>
          <w:rFonts w:ascii="IRNazanin" w:hAnsi="IRNazanin" w:eastAsia="IRNazanin" w:cs="IRNazanin"/>
          <w:lang w:bidi="fa-IR"/>
          <w:color w:val="111111"/>
          <w:sz w:val="28"/>
          <w:szCs w:val="28"/>
          <w:rtl/>
        </w:rPr>
        <w:t xml:space="preserve">راجع دیوان صاحب کبود جامه.</w:t>
      </w:r>
    </w:p>
    <w:p>
      <w:pPr>
        <w:pStyle w:val="Heading3"/>
      </w:pPr>
      <w:bookmarkStart w:id="5517" w:name="_Toc4213"/>
      <w:r>
        <w:t>دیوان الصاحب الدیلمی‏</w:t>
      </w:r>
      <w:bookmarkEnd w:id="5517"/>
    </w:p>
    <w:p>
      <w:pPr>
        <w:pStyle w:val="BookText"/>
      </w:pPr>
      <w:r>
        <w:rPr>
          <w:rFonts w:ascii="IRNazanin" w:hAnsi="IRNazanin" w:eastAsia="IRNazanin" w:cs="IRNazanin"/>
          <w:lang w:bidi="fa-IR"/>
          <w:color w:val="111111"/>
          <w:sz w:val="28"/>
          <w:szCs w:val="28"/>
          <w:rtl/>
        </w:rPr>
        <w:t xml:space="preserve">راجع الصاحب الوزیر.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568" w:name="pg11704_122051"/>
    <w:bookmarkEnd w:id="568"/>
    <w:p>
      <w:pPr>
        <w:pStyle w:val="Heading3"/>
      </w:pPr>
      <w:bookmarkStart w:id="5518" w:name="_Toc4214"/>
      <w:r>
        <w:t>3171- دیوان صاحب دیوان جوینی أو شعره‏</w:t>
      </w:r>
      <w:bookmarkEnd w:id="5518"/>
    </w:p>
    <w:p>
      <w:pPr>
        <w:pStyle w:val="BookText"/>
      </w:pPr>
      <w:r>
        <w:rPr>
          <w:rFonts w:ascii="IRNazanin" w:hAnsi="IRNazanin" w:eastAsia="IRNazanin" w:cs="IRNazanin"/>
          <w:lang w:bidi="fa-IR"/>
          <w:color w:val="111111"/>
          <w:sz w:val="28"/>
          <w:szCs w:val="28"/>
          <w:rtl/>
        </w:rPr>
        <w:t xml:space="preserve">و هو الخواجة شمس الدین محمد صاحب الدیوان وزیر السلطان جلال الدین. قتله أرغون خان فی تبریز (4- شعبان- 683) أورد شعره فی (خیال- ص 39- 40) و (لس- ص 345) و قال سنگلاخ فی امتحان الفضلاء- ج 1 ص 173 إنه رأی شعره بخط معروف الکاتب.</w:t>
      </w:r>
    </w:p>
    <w:p>
      <w:pPr>
        <w:pStyle w:val="Heading3"/>
      </w:pPr>
      <w:bookmarkStart w:id="5519" w:name="_Toc4215"/>
      <w:r>
        <w:t>دیوان صاحب دیوان علی‏آبادی‏</w:t>
      </w:r>
      <w:bookmarkEnd w:id="5519"/>
    </w:p>
    <w:p>
      <w:pPr>
        <w:pStyle w:val="BookText"/>
      </w:pPr>
      <w:r>
        <w:rPr>
          <w:rFonts w:ascii="IRNazanin" w:hAnsi="IRNazanin" w:eastAsia="IRNazanin" w:cs="IRNazanin"/>
          <w:lang w:bidi="fa-IR"/>
          <w:color w:val="111111"/>
          <w:sz w:val="28"/>
          <w:szCs w:val="28"/>
          <w:rtl/>
        </w:rPr>
        <w:t xml:space="preserve">راجع صاحب علی‏آبادی.</w:t>
      </w:r>
    </w:p>
    <w:p>
      <w:pPr>
        <w:pStyle w:val="Heading3"/>
      </w:pPr>
      <w:bookmarkStart w:id="5520" w:name="_Toc4216"/>
      <w:r>
        <w:t>دیوان صاحب دیوان مازندرانی‏</w:t>
      </w:r>
      <w:bookmarkEnd w:id="5520"/>
    </w:p>
    <w:p>
      <w:pPr>
        <w:pStyle w:val="BookText"/>
      </w:pPr>
      <w:r>
        <w:rPr>
          <w:rFonts w:ascii="IRNazanin" w:hAnsi="IRNazanin" w:eastAsia="IRNazanin" w:cs="IRNazanin"/>
          <w:lang w:bidi="fa-IR"/>
          <w:color w:val="111111"/>
          <w:sz w:val="28"/>
          <w:szCs w:val="28"/>
          <w:rtl/>
        </w:rPr>
        <w:t xml:space="preserve">راجع دیوان صاحب علی‏آبادی.</w:t>
      </w:r>
    </w:p>
    <w:p>
      <w:pPr>
        <w:pStyle w:val="Heading3"/>
      </w:pPr>
      <w:bookmarkStart w:id="5521" w:name="_Toc4217"/>
      <w:r>
        <w:t>3172- دیوان صاحب رام‏</w:t>
      </w:r>
      <w:bookmarkEnd w:id="5521"/>
    </w:p>
    <w:p>
      <w:pPr>
        <w:pStyle w:val="BookText"/>
      </w:pPr>
      <w:r>
        <w:rPr>
          <w:rFonts w:ascii="IRNazanin" w:hAnsi="IRNazanin" w:eastAsia="IRNazanin" w:cs="IRNazanin"/>
          <w:lang w:bidi="fa-IR"/>
          <w:color w:val="111111"/>
          <w:sz w:val="28"/>
          <w:szCs w:val="28"/>
          <w:rtl/>
        </w:rPr>
        <w:t xml:space="preserve">من قوم کایتهة بلکهنو الشاعر بالفارسیة و الأردویة.</w:t>
      </w:r>
    </w:p>
    <w:p>
      <w:pPr>
        <w:pStyle w:val="BookText"/>
      </w:pPr>
      <w:r>
        <w:rPr>
          <w:rFonts w:ascii="IRNazanin" w:hAnsi="IRNazanin" w:eastAsia="IRNazanin" w:cs="IRNazanin"/>
          <w:lang w:bidi="fa-IR"/>
          <w:color w:val="111111"/>
          <w:sz w:val="28"/>
          <w:szCs w:val="28"/>
          <w:rtl/>
        </w:rPr>
        <w:t xml:space="preserve">له ید فی نظم التواریخ. و کان معاصرا لشاه زمن غازی الدین حیدر المتوفی (1243) و نصیر الدین حیدر من سلاطین أود. أورد شعره فی (گلشن- ص 240).</w:t>
      </w:r>
    </w:p>
    <w:p>
      <w:pPr>
        <w:pStyle w:val="Heading3"/>
      </w:pPr>
      <w:bookmarkStart w:id="5522" w:name="_Toc4218"/>
      <w:r>
        <w:t>3173- دیوان صاحب الروضات‏</w:t>
      </w:r>
      <w:bookmarkEnd w:id="5522"/>
    </w:p>
    <w:p>
      <w:pPr>
        <w:pStyle w:val="BookText"/>
      </w:pPr>
      <w:r>
        <w:rPr>
          <w:rFonts w:ascii="IRNazanin" w:hAnsi="IRNazanin" w:eastAsia="IRNazanin" w:cs="IRNazanin"/>
          <w:lang w:bidi="fa-IR"/>
          <w:color w:val="111111"/>
          <w:sz w:val="28"/>
          <w:szCs w:val="28"/>
          <w:rtl/>
        </w:rPr>
        <w:t xml:space="preserve">للسید المیرزا محمد باقر بن زین العابدین الموسوی الخوانساری الأصفهانی المتوفی (1313) ذکره فی ترجمه نفسه. مشتمل علی قصائد فی مدائح المعصومین، سمی کل قصیدة باسم خاص: التحفة المحمودیة عنبة عسکریة شعشعة قمریة هدیة فیروزجیة و غیر ذلک و کتب له خطبة خالیة عن الحروف المعجمة. أولها [الحمد لله الملک المالک المحمود و الواحد الصمد و المصمود أهل الحمد و مسدد العهود ...] فرغ من نظمه (1251) یوجد عند حفیدیه السید محمد علی و السید أحمد الروضاتیین بأصفهان. و قد کمله هذا الأخیر مما وجد من أشعاره الغیر المدونة. و قد طبع لصاحب الروضات منظومة قرة العین فی أصول الدین فی (117 ص) علی الحجر فی (1320) بأصفهان.</w:t>
      </w:r>
    </w:p>
    <w:p>
      <w:pPr>
        <w:pStyle w:val="Heading3"/>
      </w:pPr>
      <w:bookmarkStart w:id="5523" w:name="_Toc4219"/>
      <w:r>
        <w:t>3174- دیوان صاحب الزنج‏</w:t>
      </w:r>
      <w:bookmarkEnd w:id="5523"/>
    </w:p>
    <w:p>
      <w:pPr>
        <w:pStyle w:val="BookText"/>
      </w:pPr>
      <w:r>
        <w:rPr>
          <w:rFonts w:ascii="IRNazanin" w:hAnsi="IRNazanin" w:eastAsia="IRNazanin" w:cs="IRNazanin"/>
          <w:lang w:bidi="fa-IR"/>
          <w:color w:val="111111"/>
          <w:sz w:val="28"/>
          <w:szCs w:val="28"/>
          <w:rtl/>
        </w:rPr>
        <w:t xml:space="preserve">و هو علی بن محمد العلوی الذین ثار بالبصرة علی الدولة العباسیة خمسة عشر سنة لنجاة السودان، و قتل بید الموفق بن المتوکل فی أیام المعتمد (270) و قد ذکرنا فی أخباره ثلاثة کتب فی (ج 1 ص 333 و 336 و 337) قال فی عمدة الطالب- ص 286 ط: النجف [و له دیوان مفرد، رأیت کثیرا من نسخه، و قد نحل کثیرا من أشعاره علی بن محمد الحمانی ...] و قد أورد له رائیة و هائیة.</w:t>
      </w:r>
    </w:p>
    <w:p>
      <w:pPr>
        <w:pStyle w:val="Heading3"/>
      </w:pPr>
      <w:bookmarkStart w:id="5524" w:name="_Toc4220"/>
      <w:r>
        <w:t>3175- دیوان صاحب علی‏آبادی‏</w:t>
      </w:r>
      <w:bookmarkEnd w:id="5524"/>
    </w:p>
    <w:p>
      <w:pPr>
        <w:pStyle w:val="BookText"/>
      </w:pPr>
      <w:r>
        <w:rPr>
          <w:rFonts w:ascii="IRNazanin" w:hAnsi="IRNazanin" w:eastAsia="IRNazanin" w:cs="IRNazanin"/>
          <w:lang w:bidi="fa-IR"/>
          <w:color w:val="111111"/>
          <w:sz w:val="28"/>
          <w:szCs w:val="28"/>
          <w:rtl/>
        </w:rPr>
        <w:t xml:space="preserve">و اسمه المیرزا محمد تقی بن زکی العلی‏آبادی المازندرانی المعروف آقا المتوفی (1256) کان وزیرا لعبد الله میرزا حاکم خمسة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569" w:name="pg11704_122052"/>
    <w:bookmarkEnd w:id="569"/>
    <w:p>
      <w:pPr>
        <w:pStyle w:val="BookText"/>
      </w:pPr>
      <w:r>
        <w:rPr>
          <w:rFonts w:ascii="IRNazanin" w:hAnsi="IRNazanin" w:eastAsia="IRNazanin" w:cs="IRNazanin"/>
          <w:lang w:bidi="fa-IR"/>
          <w:color w:val="111111"/>
          <w:sz w:val="28"/>
          <w:szCs w:val="28"/>
          <w:rtl/>
        </w:rPr>
        <w:t xml:space="preserve">و سهرورد، و جاء طهران فی (1234) و لقبه الشاه صاحب دیوان فتخلص صاحب و صاحب دیوان و کان قبل ذلک یتخلص ملالی کما فی نسخه قدیمة فی (المجلس) لیس فیها تاریخ کما فصله فی فهرسها (3: 422 و 328). و قال هدایت فی (مع 2:</w:t>
      </w:r>
    </w:p>
    <w:p>
      <w:pPr>
        <w:pStyle w:val="BookText"/>
      </w:pPr>
      <w:r>
        <w:rPr>
          <w:rFonts w:ascii="IRNazanin" w:hAnsi="IRNazanin" w:eastAsia="IRNazanin" w:cs="IRNazanin"/>
          <w:lang w:bidi="fa-IR"/>
          <w:color w:val="111111"/>
          <w:sz w:val="28"/>
          <w:szCs w:val="28"/>
          <w:rtl/>
        </w:rPr>
        <w:t xml:space="preserve">298- 316) أن دیوانه فی ستة آلاف بیت، و کلیاته تشتمل علی قطعات نثریة هی: 1- تاریخ طائفة قاجار 2- حکایات علی طراز گلستان 3- مکاتیب و مراسلات. ثم القصائد و القطعات و الغزل و الرباعیات و المثنویات. توجد نسختان منه فی (المجلس) کتبت الجدیدة (1302) و نسخه بسپهسالار و نسخه عند (سلطان القرائی) کتبت (1302) و ترجم صاحب العلی‏آبادی فی المدائح المعتمدیة و (انجمن 3).</w:t>
      </w:r>
    </w:p>
    <w:p>
      <w:pPr>
        <w:pStyle w:val="Heading3"/>
      </w:pPr>
      <w:bookmarkStart w:id="5525" w:name="_Toc4221"/>
      <w:r>
        <w:t>3176- دیوان صاحب قران بلگرامی‏</w:t>
      </w:r>
      <w:bookmarkEnd w:id="5525"/>
    </w:p>
    <w:p>
      <w:pPr>
        <w:pStyle w:val="BookText"/>
      </w:pPr>
      <w:r>
        <w:rPr>
          <w:rFonts w:ascii="IRNazanin" w:hAnsi="IRNazanin" w:eastAsia="IRNazanin" w:cs="IRNazanin"/>
          <w:lang w:bidi="fa-IR"/>
          <w:color w:val="111111"/>
          <w:sz w:val="28"/>
          <w:szCs w:val="28"/>
          <w:rtl/>
        </w:rPr>
        <w:t xml:space="preserve">کان یتتبع معلم القائنی و دیوانه مشحون بالأدب المکشوف المستهجن. أورد شعره فی (گلشن- ص 436).</w:t>
      </w:r>
    </w:p>
    <w:p>
      <w:pPr>
        <w:pStyle w:val="Heading3"/>
      </w:pPr>
      <w:bookmarkStart w:id="5526" w:name="_Toc4222"/>
      <w:r>
        <w:t>دیوان صاحب قران گورکانی‏</w:t>
      </w:r>
      <w:bookmarkEnd w:id="5526"/>
    </w:p>
    <w:p>
      <w:pPr>
        <w:pStyle w:val="BookText"/>
      </w:pPr>
      <w:r>
        <w:rPr>
          <w:rFonts w:ascii="IRNazanin" w:hAnsi="IRNazanin" w:eastAsia="IRNazanin" w:cs="IRNazanin"/>
          <w:lang w:bidi="fa-IR"/>
          <w:color w:val="111111"/>
          <w:sz w:val="28"/>
          <w:szCs w:val="28"/>
          <w:rtl/>
        </w:rPr>
        <w:t xml:space="preserve">مر بعنوان حسینی گورکانی فی (ص 255).</w:t>
      </w:r>
    </w:p>
    <w:p>
      <w:pPr>
        <w:pStyle w:val="Heading3"/>
      </w:pPr>
      <w:bookmarkStart w:id="5527" w:name="_Toc4223"/>
      <w:r>
        <w:t>3177- دیوان صاحب کاشانی أو شعره‏</w:t>
      </w:r>
      <w:bookmarkEnd w:id="5527"/>
    </w:p>
    <w:p>
      <w:pPr>
        <w:pStyle w:val="BookText"/>
      </w:pPr>
      <w:r>
        <w:rPr>
          <w:rFonts w:ascii="IRNazanin" w:hAnsi="IRNazanin" w:eastAsia="IRNazanin" w:cs="IRNazanin"/>
          <w:lang w:bidi="fa-IR"/>
          <w:color w:val="111111"/>
          <w:sz w:val="28"/>
          <w:szCs w:val="28"/>
          <w:rtl/>
        </w:rPr>
        <w:t xml:space="preserve">و اسمه مسیحا. کان من تلامیذ آقا حسین الخوانساری أطری نظمه و نثره بالعربیة و الفارسیة فی (نر 6- ص 175) و أورد شعره.</w:t>
      </w:r>
    </w:p>
    <w:p>
      <w:pPr>
        <w:pStyle w:val="BookText"/>
      </w:pPr>
      <w:r>
        <w:rPr>
          <w:rFonts w:ascii="IRNazanin" w:hAnsi="IRNazanin" w:eastAsia="IRNazanin" w:cs="IRNazanin"/>
          <w:lang w:bidi="fa-IR"/>
          <w:color w:val="111111"/>
          <w:sz w:val="28"/>
          <w:szCs w:val="28"/>
          <w:rtl/>
        </w:rPr>
        <w:t xml:space="preserve">و کذا فی تذکره حزین- ص 28 و (روشن- ص 374).</w:t>
      </w:r>
    </w:p>
    <w:p>
      <w:pPr>
        <w:pStyle w:val="Heading3"/>
      </w:pPr>
      <w:bookmarkStart w:id="5528" w:name="_Toc4224"/>
      <w:r>
        <w:t>3178- دیوان صاحب کبود جامه‏</w:t>
      </w:r>
      <w:bookmarkEnd w:id="5528"/>
    </w:p>
    <w:p>
      <w:pPr>
        <w:pStyle w:val="BookText"/>
      </w:pPr>
      <w:r>
        <w:rPr>
          <w:rFonts w:ascii="IRNazanin" w:hAnsi="IRNazanin" w:eastAsia="IRNazanin" w:cs="IRNazanin"/>
          <w:lang w:bidi="fa-IR"/>
          <w:color w:val="111111"/>
          <w:sz w:val="28"/>
          <w:szCs w:val="28"/>
          <w:rtl/>
        </w:rPr>
        <w:t xml:space="preserve">من الشعراء المعاصرین للمیر علی شیر النوائی بهراة. و أصله من کبود جامه من أعمال أسترآباد. ذکره المیر علی شیر فی (مجن 3- ص 73 و 243) و أطری شعره و إنشاءه و معماه. و قال إنه ماهر فی الشطرنج حضورا و غیابا و زاد القزوینی فی (قز مج- ص 243) أنه رثی المیر علی شیر بقصیدة یستخرج من کل بیت تاریخ ولادة المیر فی (844) و وفاته فی (906) و تخلصه صاحبا. و ترجمه أیضا فی (تش- ص 152) و قال اسمه فصیح الدین، و قال مات بأسترآباد. و أورد النصرآبادی معماه فی (نر 15- ص 526) بعنوان صاحب دارا و الظاهر أنه غلط و فی (روشن- ص 373) أنه کان داروغه بمکتبة الشاه بهراة و مات بأسترآباد (1017) و هو بعید.</w:t>
      </w:r>
    </w:p>
    <w:p>
      <w:pPr>
        <w:pStyle w:val="Heading3"/>
      </w:pPr>
      <w:bookmarkStart w:id="5529" w:name="_Toc4225"/>
      <w:r>
        <w:t>دیوان صاحب مازندرانی‏</w:t>
      </w:r>
      <w:bookmarkEnd w:id="5529"/>
    </w:p>
    <w:p>
      <w:pPr>
        <w:pStyle w:val="BookText"/>
      </w:pPr>
      <w:r>
        <w:rPr>
          <w:rFonts w:ascii="IRNazanin" w:hAnsi="IRNazanin" w:eastAsia="IRNazanin" w:cs="IRNazanin"/>
          <w:lang w:bidi="fa-IR"/>
          <w:color w:val="111111"/>
          <w:sz w:val="28"/>
          <w:szCs w:val="28"/>
          <w:rtl/>
        </w:rPr>
        <w:t xml:space="preserve">مر بعنوان صاحب علی‏آبادی.</w:t>
      </w:r>
    </w:p>
    <w:p>
      <w:pPr>
        <w:pStyle w:val="Heading3"/>
      </w:pPr>
      <w:bookmarkStart w:id="5530" w:name="_Toc4226"/>
      <w:r>
        <w:t>3179- دیوان صاحب مشهدی أو شعره‏</w:t>
      </w:r>
      <w:bookmarkEnd w:id="5530"/>
    </w:p>
    <w:p>
      <w:pPr>
        <w:pStyle w:val="BookText"/>
      </w:pPr>
      <w:r>
        <w:rPr>
          <w:rFonts w:ascii="IRNazanin" w:hAnsi="IRNazanin" w:eastAsia="IRNazanin" w:cs="IRNazanin"/>
          <w:lang w:bidi="fa-IR"/>
          <w:color w:val="111111"/>
          <w:sz w:val="28"/>
          <w:szCs w:val="28"/>
          <w:rtl/>
        </w:rPr>
        <w:t xml:space="preserve">ذکر الحزین فی (ص 223) من تذکرته أن اسمه محمد مؤمن، الماهر فی النسخ و النستعلیق، کان بیاع الکرباس، سافر إلی النجف‏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570" w:name="pg11704_122053"/>
    <w:bookmarkEnd w:id="570"/>
    <w:p>
      <w:pPr>
        <w:pStyle w:val="BookText"/>
      </w:pPr>
      <w:r>
        <w:rPr>
          <w:rFonts w:ascii="IRNazanin" w:hAnsi="IRNazanin" w:eastAsia="IRNazanin" w:cs="IRNazanin"/>
          <w:lang w:bidi="fa-IR"/>
          <w:color w:val="111111"/>
          <w:sz w:val="28"/>
          <w:szCs w:val="28"/>
          <w:rtl/>
        </w:rPr>
        <w:t xml:space="preserve">و تلمذ علی هناک، و سمعت أنه مات بالنجف.</w:t>
      </w:r>
    </w:p>
    <w:p>
      <w:pPr>
        <w:pStyle w:val="Heading3"/>
      </w:pPr>
      <w:bookmarkStart w:id="5531" w:name="_Toc4227"/>
      <w:r>
        <w:t>دیوان صاحب المعالم‏</w:t>
      </w:r>
      <w:bookmarkEnd w:id="5531"/>
    </w:p>
    <w:p>
      <w:pPr>
        <w:pStyle w:val="BookText"/>
      </w:pPr>
      <w:r>
        <w:rPr>
          <w:rFonts w:ascii="IRNazanin" w:hAnsi="IRNazanin" w:eastAsia="IRNazanin" w:cs="IRNazanin"/>
          <w:lang w:bidi="fa-IR"/>
          <w:color w:val="111111"/>
          <w:sz w:val="28"/>
          <w:szCs w:val="28"/>
          <w:rtl/>
        </w:rPr>
        <w:t xml:space="preserve">مر فی (ص 239) بعنوان حسن بن زین الدین.</w:t>
      </w:r>
    </w:p>
    <w:p>
      <w:pPr>
        <w:pStyle w:val="Heading3"/>
      </w:pPr>
      <w:bookmarkStart w:id="5532" w:name="_Toc4228"/>
      <w:r>
        <w:t>3180- دیوان الصاحب الوزیر إسماعیل ابن عباد</w:t>
      </w:r>
      <w:bookmarkEnd w:id="5532"/>
    </w:p>
    <w:p>
      <w:pPr>
        <w:pStyle w:val="BookText"/>
      </w:pPr>
      <w:r>
        <w:rPr>
          <w:rFonts w:ascii="IRNazanin" w:hAnsi="IRNazanin" w:eastAsia="IRNazanin" w:cs="IRNazanin"/>
          <w:lang w:bidi="fa-IR"/>
          <w:color w:val="111111"/>
          <w:sz w:val="28"/>
          <w:szCs w:val="28"/>
          <w:rtl/>
        </w:rPr>
        <w:t xml:space="preserve">هو ابن الحسن بن عباد الطالقانی المولود (326) و المتوفی (385) رتبه الشیخ محمد السماوی علی الحروف. و قد جمعه مما ذکره رشید الدین ابن شهرآشوب فی المناقب و الثعالبی فی الیتیمة و السید الأمین فی أعیان الشیعة فبلغ المجموع قریبا من</w:t>
      </w:r>
    </w:p>
    <w:p>
      <w:pPr>
        <w:pStyle w:val="BookText"/>
      </w:pPr>
      <w:r>
        <w:rPr>
          <w:rFonts w:ascii="IRNazanin" w:hAnsi="IRNazanin" w:eastAsia="IRNazanin" w:cs="IRNazanin"/>
          <w:lang w:bidi="fa-IR"/>
          <w:color w:val="111111"/>
          <w:sz w:val="28"/>
          <w:szCs w:val="28"/>
          <w:rtl/>
        </w:rPr>
        <w:t xml:space="preserve">الألف و المائتین بیتا فی مجلد بخطه. اشتراه بعد موته الشیخ محمد علی یعقوب الخطیب فی النجف. و قد عده ابن شهرآشوب فی شعراء أهل البیت فی آخر کتابه معالم العلماء- ص 136.</w:t>
      </w:r>
    </w:p>
    <w:p>
      <w:pPr>
        <w:pStyle w:val="Heading3"/>
      </w:pPr>
      <w:bookmarkStart w:id="5533" w:name="_Toc4229"/>
      <w:r>
        <w:t>دیوان صاحب هروی‏</w:t>
      </w:r>
      <w:bookmarkEnd w:id="5533"/>
    </w:p>
    <w:p>
      <w:pPr>
        <w:pStyle w:val="BookText"/>
      </w:pPr>
      <w:r>
        <w:rPr>
          <w:rFonts w:ascii="IRNazanin" w:hAnsi="IRNazanin" w:eastAsia="IRNazanin" w:cs="IRNazanin"/>
          <w:lang w:bidi="fa-IR"/>
          <w:color w:val="111111"/>
          <w:sz w:val="28"/>
          <w:szCs w:val="28"/>
          <w:rtl/>
        </w:rPr>
        <w:t xml:space="preserve">راجع صاحب کبود جامه.</w:t>
      </w:r>
    </w:p>
    <w:p>
      <w:pPr>
        <w:pStyle w:val="Heading3"/>
      </w:pPr>
      <w:bookmarkStart w:id="5534" w:name="_Toc4230"/>
      <w:r>
        <w:t>دیوان صادرات‏</w:t>
      </w:r>
      <w:bookmarkEnd w:id="5534"/>
    </w:p>
    <w:p>
      <w:pPr>
        <w:pStyle w:val="BookText"/>
      </w:pPr>
      <w:r>
        <w:rPr>
          <w:rFonts w:ascii="IRNazanin" w:hAnsi="IRNazanin" w:eastAsia="IRNazanin" w:cs="IRNazanin"/>
          <w:lang w:bidi="fa-IR"/>
          <w:color w:val="111111"/>
          <w:sz w:val="28"/>
          <w:szCs w:val="28"/>
          <w:rtl/>
        </w:rPr>
        <w:t xml:space="preserve">فارسی للسید نظام الدین المتخلص داعی المذکور فی (ص 314).</w:t>
      </w:r>
    </w:p>
    <w:p>
      <w:pPr>
        <w:pStyle w:val="Heading3"/>
      </w:pPr>
      <w:bookmarkStart w:id="5535" w:name="_Toc4231"/>
      <w:r>
        <w:t>3181- دیوان صادق آذربایجانی أو شعره‏</w:t>
      </w:r>
      <w:bookmarkEnd w:id="5535"/>
    </w:p>
    <w:p>
      <w:pPr>
        <w:pStyle w:val="BookText"/>
      </w:pPr>
      <w:r>
        <w:rPr>
          <w:rFonts w:ascii="IRNazanin" w:hAnsi="IRNazanin" w:eastAsia="IRNazanin" w:cs="IRNazanin"/>
          <w:lang w:bidi="fa-IR"/>
          <w:color w:val="111111"/>
          <w:sz w:val="28"/>
          <w:szCs w:val="28"/>
          <w:rtl/>
        </w:rPr>
        <w:t xml:space="preserve">و اسمه المیرزا علی خان الأصغر من أخیه مراد خان. أورد شعره الترکی و الفارسی فی (خص 5- ص 67).</w:t>
      </w:r>
    </w:p>
    <w:p>
      <w:pPr>
        <w:pStyle w:val="Heading3"/>
      </w:pPr>
      <w:bookmarkStart w:id="5536" w:name="_Toc4232"/>
      <w:r>
        <w:t>3182- دیوان صادق آذربایجانی‏</w:t>
      </w:r>
      <w:bookmarkEnd w:id="5536"/>
    </w:p>
    <w:p>
      <w:pPr>
        <w:pStyle w:val="BookText"/>
      </w:pPr>
      <w:r>
        <w:rPr>
          <w:rFonts w:ascii="IRNazanin" w:hAnsi="IRNazanin" w:eastAsia="IRNazanin" w:cs="IRNazanin"/>
          <w:lang w:bidi="fa-IR"/>
          <w:color w:val="111111"/>
          <w:sz w:val="28"/>
          <w:szCs w:val="28"/>
          <w:rtl/>
        </w:rPr>
        <w:t xml:space="preserve">من شعراء القرن الثالث عشر. و شعره بالترکیة حکاه فی (دجا- ص 211) عن حدیقة الشعراء.</w:t>
      </w:r>
    </w:p>
    <w:p>
      <w:pPr>
        <w:pStyle w:val="Heading3"/>
      </w:pPr>
      <w:bookmarkStart w:id="5537" w:name="_Toc4233"/>
      <w:r>
        <w:t>3183- دیوان صادق أردوبادی‏</w:t>
      </w:r>
      <w:bookmarkEnd w:id="5537"/>
    </w:p>
    <w:p>
      <w:pPr>
        <w:pStyle w:val="BookText"/>
      </w:pPr>
      <w:r>
        <w:rPr>
          <w:rFonts w:ascii="IRNazanin" w:hAnsi="IRNazanin" w:eastAsia="IRNazanin" w:cs="IRNazanin"/>
          <w:lang w:bidi="fa-IR"/>
          <w:color w:val="111111"/>
          <w:sz w:val="28"/>
          <w:szCs w:val="28"/>
          <w:rtl/>
        </w:rPr>
        <w:t xml:space="preserve">و اسمه المیرزا صادق ابن أخ المیرزا کافی الذی توفی بقزوین (969) و هو من أحفاد الخواجة نصیر الدین الطوسی. ترجمه فی (دجا- ص 211) عن خلاصة الأشعار و ذکر أن له رباعیات کرباعیات الجامی و المولی جلال الدوانی.</w:t>
      </w:r>
    </w:p>
    <w:p>
      <w:pPr>
        <w:pStyle w:val="BookText"/>
      </w:pPr>
      <w:r>
        <w:rPr>
          <w:rFonts w:ascii="IRNazanin" w:hAnsi="IRNazanin" w:eastAsia="IRNazanin" w:cs="IRNazanin"/>
          <w:lang w:bidi="fa-IR"/>
          <w:color w:val="111111"/>
          <w:sz w:val="28"/>
          <w:szCs w:val="28"/>
          <w:rtl/>
        </w:rPr>
        <w:t xml:space="preserve">و قد شرحها بنفسه. هاجر إلی الهند (970) و کان حیا فی (988) و هی سنة تألیف خلاصة الأشعار. و ترجمه صادقی فی (خص 6 ص 90) و قال سافر إلی مشهد خراسان و هجا رجال الآستانة فنفوه، فخرج إلی دکن. و قال فی (گلشن- ص 242) تقرب بدکن عند نظام شاه و مات هناک حین تسلط أکبر پادشاه علی البلاد. و یأتی صافی.</w:t>
      </w:r>
    </w:p>
    <w:p>
      <w:pPr>
        <w:pStyle w:val="Heading3"/>
      </w:pPr>
      <w:bookmarkStart w:id="5538" w:name="_Toc4234"/>
      <w:r>
        <w:t>دیوان صادق أصفهانی‏</w:t>
      </w:r>
      <w:bookmarkEnd w:id="5538"/>
    </w:p>
    <w:p>
      <w:pPr>
        <w:pStyle w:val="BookText"/>
      </w:pPr>
      <w:r>
        <w:rPr>
          <w:rFonts w:ascii="IRNazanin" w:hAnsi="IRNazanin" w:eastAsia="IRNazanin" w:cs="IRNazanin"/>
          <w:lang w:bidi="fa-IR"/>
          <w:color w:val="111111"/>
          <w:sz w:val="28"/>
          <w:szCs w:val="28"/>
          <w:rtl/>
        </w:rPr>
        <w:t xml:space="preserve">المتخلص بصامت یأتی. و راجع صادقی مینا و صادق گاو و صادق ملا رجب و نامی أصفهانی و مر درویش صادق فی (ص 323).</w:t>
      </w:r>
    </w:p>
    <w:p>
      <w:pPr>
        <w:pStyle w:val="Heading3"/>
      </w:pPr>
      <w:bookmarkStart w:id="5539" w:name="_Toc4235"/>
      <w:r>
        <w:t>دیوان صادق أفشار</w:t>
      </w:r>
      <w:bookmarkEnd w:id="5539"/>
    </w:p>
    <w:p>
      <w:pPr>
        <w:pStyle w:val="BookText"/>
      </w:pPr>
      <w:r>
        <w:rPr>
          <w:rFonts w:ascii="IRNazanin" w:hAnsi="IRNazanin" w:eastAsia="IRNazanin" w:cs="IRNazanin"/>
          <w:lang w:bidi="fa-IR"/>
          <w:color w:val="111111"/>
          <w:sz w:val="28"/>
          <w:szCs w:val="28"/>
          <w:rtl/>
        </w:rPr>
        <w:t xml:space="preserve">راجع صادقی کتاب دار.</w:t>
      </w:r>
    </w:p>
    <w:p>
      <w:pPr>
        <w:pStyle w:val="Heading3"/>
      </w:pPr>
      <w:bookmarkStart w:id="5540" w:name="_Toc4236"/>
      <w:r>
        <w:t>3184- دیوان صادق بروجردی أو شعره‏</w:t>
      </w:r>
      <w:bookmarkEnd w:id="5540"/>
    </w:p>
    <w:p>
      <w:pPr>
        <w:pStyle w:val="BookText"/>
      </w:pPr>
      <w:r>
        <w:rPr>
          <w:rFonts w:ascii="IRNazanin" w:hAnsi="IRNazanin" w:eastAsia="IRNazanin" w:cs="IRNazanin"/>
          <w:lang w:bidi="fa-IR"/>
          <w:color w:val="111111"/>
          <w:sz w:val="28"/>
          <w:szCs w:val="28"/>
          <w:rtl/>
        </w:rPr>
        <w:t xml:space="preserve">و اسمه الحاج میرزا صادق المعاصر.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571" w:name="pg11704_122054"/>
    <w:bookmarkEnd w:id="571"/>
    <w:p>
      <w:pPr>
        <w:pStyle w:val="BookText"/>
      </w:pPr>
      <w:r>
        <w:rPr>
          <w:rFonts w:ascii="IRNazanin" w:hAnsi="IRNazanin" w:eastAsia="IRNazanin" w:cs="IRNazanin"/>
          <w:lang w:bidi="fa-IR"/>
          <w:color w:val="111111"/>
          <w:sz w:val="28"/>
          <w:szCs w:val="28"/>
          <w:rtl/>
        </w:rPr>
        <w:t xml:space="preserve">رأیت شعره فی جرائد کرمانشاه. و له قصیدة فی مدیح السید جمال الدین الأسدآبادی.</w:t>
      </w:r>
    </w:p>
    <w:p>
      <w:pPr>
        <w:pStyle w:val="BookText"/>
      </w:pPr>
      <w:r>
        <w:rPr>
          <w:rFonts w:ascii="IRNazanin" w:hAnsi="IRNazanin" w:eastAsia="IRNazanin" w:cs="IRNazanin"/>
          <w:lang w:bidi="fa-IR"/>
          <w:color w:val="111111"/>
          <w:sz w:val="28"/>
          <w:szCs w:val="28"/>
          <w:rtl/>
        </w:rPr>
        <w:t xml:space="preserve">طبع فی آخر أحوال جمال الدین من طبع تبریز (ص 120).</w:t>
      </w:r>
    </w:p>
    <w:p>
      <w:pPr>
        <w:pStyle w:val="Heading3"/>
      </w:pPr>
      <w:bookmarkStart w:id="5541" w:name="_Toc4237"/>
      <w:r>
        <w:t>دیوان صادق بلیانی‏</w:t>
      </w:r>
      <w:bookmarkEnd w:id="5541"/>
    </w:p>
    <w:p>
      <w:pPr>
        <w:pStyle w:val="BookText"/>
      </w:pPr>
      <w:r>
        <w:rPr>
          <w:rFonts w:ascii="IRNazanin" w:hAnsi="IRNazanin" w:eastAsia="IRNazanin" w:cs="IRNazanin"/>
          <w:lang w:bidi="fa-IR"/>
          <w:color w:val="111111"/>
          <w:sz w:val="28"/>
          <w:szCs w:val="28"/>
          <w:rtl/>
        </w:rPr>
        <w:t xml:space="preserve">قال فی (روشن- ص 376) هو صادقی مینا.</w:t>
      </w:r>
    </w:p>
    <w:p>
      <w:pPr>
        <w:pStyle w:val="Heading3"/>
      </w:pPr>
      <w:bookmarkStart w:id="5542" w:name="_Toc4238"/>
      <w:r>
        <w:t>3185- دیوان صادق بیدگلی أو شعره‏</w:t>
      </w:r>
      <w:bookmarkEnd w:id="5542"/>
    </w:p>
    <w:p>
      <w:pPr>
        <w:pStyle w:val="BookText"/>
      </w:pPr>
      <w:r>
        <w:rPr>
          <w:rFonts w:ascii="IRNazanin" w:hAnsi="IRNazanin" w:eastAsia="IRNazanin" w:cs="IRNazanin"/>
          <w:lang w:bidi="fa-IR"/>
          <w:color w:val="111111"/>
          <w:sz w:val="28"/>
          <w:szCs w:val="28"/>
          <w:rtl/>
        </w:rPr>
        <w:t xml:space="preserve">هو من سادات کاشان. حکی فی (مع- 2:</w:t>
      </w:r>
    </w:p>
    <w:p>
      <w:pPr>
        <w:pStyle w:val="BookText"/>
      </w:pPr>
      <w:r>
        <w:rPr>
          <w:rFonts w:ascii="Times New Roman" w:hAnsi="Times New Roman" w:eastAsia="Times New Roman" w:cs="Times New Roman"/>
          <w:lang w:val="en-US" w:bidi="en-US"/>
          <w:color w:val="111111"/>
          <w:sz w:val="28"/>
          <w:szCs w:val="28"/>
          <w:rtl/>
        </w:rPr>
        <w:t xml:space="preserve">315.</w:t>
      </w:r>
    </w:p>
    <w:p>
      <w:pPr>
        <w:pStyle w:val="BookText"/>
      </w:pPr>
      <w:r>
        <w:rPr>
          <w:rFonts w:ascii="IRNazanin" w:hAnsi="IRNazanin" w:eastAsia="IRNazanin" w:cs="IRNazanin"/>
          <w:lang w:bidi="fa-IR"/>
          <w:color w:val="111111"/>
          <w:sz w:val="28"/>
          <w:szCs w:val="28"/>
          <w:rtl/>
        </w:rPr>
        <w:t xml:space="preserve">عن کتاب تذکره الشعراء تألیف السید عبد الرحیم المازندرانی المتخلص منصف بعض أشعار البیدگلی المذکور کما مر فی (4: 38).</w:t>
      </w:r>
    </w:p>
    <w:p>
      <w:pPr>
        <w:pStyle w:val="Heading3"/>
      </w:pPr>
      <w:bookmarkStart w:id="5543" w:name="_Toc4239"/>
      <w:r>
        <w:t>دیوان صادق بیک‏</w:t>
      </w:r>
      <w:bookmarkEnd w:id="5543"/>
    </w:p>
    <w:p>
      <w:pPr>
        <w:pStyle w:val="BookText"/>
      </w:pPr>
      <w:r>
        <w:rPr>
          <w:rFonts w:ascii="IRNazanin" w:hAnsi="IRNazanin" w:eastAsia="IRNazanin" w:cs="IRNazanin"/>
          <w:lang w:bidi="fa-IR"/>
          <w:color w:val="111111"/>
          <w:sz w:val="28"/>
          <w:szCs w:val="28"/>
          <w:rtl/>
        </w:rPr>
        <w:t xml:space="preserve">یأتی بعنوان صادقی کتاب دار.</w:t>
      </w:r>
    </w:p>
    <w:p>
      <w:pPr>
        <w:pStyle w:val="Heading3"/>
      </w:pPr>
      <w:bookmarkStart w:id="5544" w:name="_Toc4240"/>
      <w:r>
        <w:t>3186- دیوان صادق تفرشی‏</w:t>
      </w:r>
      <w:bookmarkEnd w:id="5544"/>
    </w:p>
    <w:p>
      <w:pPr>
        <w:pStyle w:val="BookText"/>
      </w:pPr>
      <w:r>
        <w:rPr>
          <w:rFonts w:ascii="IRNazanin" w:hAnsi="IRNazanin" w:eastAsia="IRNazanin" w:cs="IRNazanin"/>
          <w:lang w:bidi="fa-IR"/>
          <w:color w:val="111111"/>
          <w:sz w:val="28"/>
          <w:szCs w:val="28"/>
          <w:rtl/>
        </w:rPr>
        <w:t xml:space="preserve">و اسمه آقا محمد صادق من أهل تفرش قم، جاء فی شبابه إلی أصفهان، و تلمذ علی المولی محمد صادق الأردستانی الفیلسوف الزاهد، و رجع إلی وطنه. و بعد سقوط الصفویة لازم رضا قلی بن نادر شاه، فغضب علیه یوما و عذبه أشد العذاب ثم عفی عنه. ثم أجبر علی مجاورة مشهد خراسان و معه بعض أهل تفرش و بعد قتل نادر (1160) رجع إلی وطنه و مات فی الطریق و دفن بالری فی جوار عبد العظیم. له مثنوی فی مظالم حکام زمانه و یخاطب المهضومین فیقول:</w:t>
      </w:r>
    </w:p>
    <w:p>
      <w:pPr>
        <w:pStyle w:val="BookText"/>
      </w:pPr>
      <w:r>
        <w:rPr>
          <w:rFonts w:ascii="IRNazanin" w:hAnsi="IRNazanin" w:eastAsia="IRNazanin" w:cs="IRNazanin"/>
          <w:lang w:bidi="fa-IR"/>
          <w:color w:val="111111"/>
          <w:sz w:val="28"/>
          <w:szCs w:val="28"/>
          <w:rtl/>
        </w:rPr>
        <w:t xml:space="preserve">ای برون از خانمان افتاده‏ها</w:t>
      </w:r>
    </w:p>
    <w:p>
      <w:pPr>
        <w:pStyle w:val="BookText"/>
      </w:pPr>
      <w:r>
        <w:rPr>
          <w:rFonts w:ascii="IRNazanin" w:hAnsi="IRNazanin" w:eastAsia="IRNazanin" w:cs="IRNazanin"/>
          <w:lang w:bidi="fa-IR"/>
          <w:color w:val="111111"/>
          <w:sz w:val="28"/>
          <w:szCs w:val="28"/>
          <w:rtl/>
        </w:rPr>
        <w:t xml:space="preserve">در قفس از آشیان افتاده‏ها</w:t>
      </w:r>
    </w:p>
    <w:p>
      <w:pPr>
        <w:pStyle w:val="BookText"/>
      </w:pPr>
      <w:r>
        <w:rPr>
          <w:rFonts w:ascii="IRNazanin" w:hAnsi="IRNazanin" w:eastAsia="IRNazanin" w:cs="IRNazanin"/>
          <w:lang w:bidi="fa-IR"/>
          <w:color w:val="111111"/>
          <w:sz w:val="28"/>
          <w:szCs w:val="28"/>
          <w:rtl/>
        </w:rPr>
        <w:t xml:space="preserve">و یقول إنی و إن کنت مظلوما و لکن لست بشاعر أبیع الشعر کالفردوسی و أما هذا المثنوی فهو لبیان حالی. و له شاهنامه فی سبعمائة بیت توجد نسخه فی (سپهسالار- برقم 1861) و (الملک) و مکتبة کلیة الآداب بطهران. ترجمه و أورد شعره فی روضة الصفا و فی (تغ- ص 78) و (تش- ص 380) فی معاصریه، و قال یتخلص باسمه صادق. و یوجد له سوز و گداز فی (المجلس) کما فی فهرسها (3: 450).</w:t>
      </w:r>
    </w:p>
    <w:p>
      <w:pPr>
        <w:pStyle w:val="Heading3"/>
      </w:pPr>
      <w:bookmarkStart w:id="5545" w:name="_Toc4241"/>
      <w:r>
        <w:t>3187- دیوان صادق تویسرکانی أو شعره‏</w:t>
      </w:r>
      <w:bookmarkEnd w:id="5545"/>
    </w:p>
    <w:p>
      <w:pPr>
        <w:pStyle w:val="BookText"/>
      </w:pPr>
      <w:r>
        <w:rPr>
          <w:rFonts w:ascii="IRNazanin" w:hAnsi="IRNazanin" w:eastAsia="IRNazanin" w:cs="IRNazanin"/>
          <w:lang w:bidi="fa-IR"/>
          <w:color w:val="111111"/>
          <w:sz w:val="28"/>
          <w:szCs w:val="28"/>
          <w:rtl/>
        </w:rPr>
        <w:t xml:space="preserve">و اسمه المولی محمد صادق. ترجمه و أورد شعره معاصره فی (نر 6- ص 195) و قال سافر إلی الهند.</w:t>
      </w:r>
    </w:p>
    <w:p>
      <w:pPr>
        <w:pStyle w:val="Heading3"/>
      </w:pPr>
      <w:bookmarkStart w:id="5546" w:name="_Toc4242"/>
      <w:r>
        <w:t>3188- دیوان صادق دستغیب‏</w:t>
      </w:r>
      <w:bookmarkEnd w:id="5546"/>
    </w:p>
    <w:p>
      <w:pPr>
        <w:pStyle w:val="BookText"/>
      </w:pPr>
      <w:r>
        <w:rPr>
          <w:rFonts w:ascii="IRNazanin" w:hAnsi="IRNazanin" w:eastAsia="IRNazanin" w:cs="IRNazanin"/>
          <w:lang w:bidi="fa-IR"/>
          <w:color w:val="111111"/>
          <w:sz w:val="28"/>
          <w:szCs w:val="28"/>
          <w:rtl/>
        </w:rPr>
        <w:t xml:space="preserve">و اسمه السید محمد صادق الحسینی الشیرازی.</w:t>
      </w:r>
    </w:p>
    <w:p>
      <w:pPr>
        <w:pStyle w:val="BookText"/>
      </w:pPr>
      <w:r>
        <w:rPr>
          <w:rFonts w:ascii="IRNazanin" w:hAnsi="IRNazanin" w:eastAsia="IRNazanin" w:cs="IRNazanin"/>
          <w:lang w:bidi="fa-IR"/>
          <w:color w:val="111111"/>
          <w:sz w:val="28"/>
          <w:szCs w:val="28"/>
          <w:rtl/>
        </w:rPr>
        <w:t xml:space="preserve">کان هو و والده قاضی القضاة بشیراز. و هو ابن عم المیرزا نظام دستغیب الآتی فی النون.</w:t>
      </w:r>
    </w:p>
    <w:p>
      <w:pPr>
        <w:pStyle w:val="BookText"/>
      </w:pPr>
      <w:r>
        <w:rPr>
          <w:rFonts w:ascii="IRNazanin" w:hAnsi="IRNazanin" w:eastAsia="IRNazanin" w:cs="IRNazanin"/>
          <w:lang w:bidi="fa-IR"/>
          <w:color w:val="111111"/>
          <w:sz w:val="28"/>
          <w:szCs w:val="28"/>
          <w:rtl/>
        </w:rPr>
        <w:t xml:space="preserve">کان کاتبا بمکتبة الشاه صفی ثم جاء إلی شیراز و مات بها. أورد شعره المتخلص فیه صادق فی (نر 9- ص 272) و أورد تاریخه لوزارة آصف بشیراز فی (نر 13- ص 481) و جاء فی‏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572" w:name="pg11704_122055"/>
    <w:bookmarkEnd w:id="572"/>
    <w:p>
      <w:pPr>
        <w:pStyle w:val="BookText"/>
      </w:pPr>
      <w:r>
        <w:rPr>
          <w:rFonts w:ascii="IRNazanin" w:hAnsi="IRNazanin" w:eastAsia="IRNazanin" w:cs="IRNazanin"/>
          <w:lang w:bidi="fa-IR"/>
          <w:color w:val="111111"/>
          <w:sz w:val="28"/>
          <w:szCs w:val="28"/>
          <w:rtl/>
        </w:rPr>
        <w:t xml:space="preserve">گلستان مسرت شعر صادق سبزواری و الظاهر أنه تصحیف. و ترجمه أیضا فی (مع 2:</w:t>
      </w:r>
    </w:p>
    <w:p>
      <w:pPr>
        <w:pStyle w:val="BookText"/>
      </w:pPr>
      <w:r>
        <w:rPr>
          <w:rFonts w:ascii="IRNazanin" w:hAnsi="IRNazanin" w:eastAsia="IRNazanin" w:cs="IRNazanin"/>
          <w:lang w:bidi="fa-IR"/>
          <w:color w:val="111111"/>
          <w:sz w:val="28"/>
          <w:szCs w:val="28"/>
          <w:rtl/>
        </w:rPr>
        <w:t xml:space="preserve">ص 316). و (تغ- 78).</w:t>
      </w:r>
    </w:p>
    <w:p>
      <w:pPr>
        <w:pStyle w:val="Heading3"/>
      </w:pPr>
      <w:bookmarkStart w:id="5547" w:name="_Toc4243"/>
      <w:r>
        <w:t>دیوان صادق رازی‏</w:t>
      </w:r>
      <w:bookmarkEnd w:id="5547"/>
    </w:p>
    <w:p>
      <w:pPr>
        <w:pStyle w:val="BookText"/>
      </w:pPr>
      <w:r>
        <w:rPr>
          <w:rFonts w:ascii="IRNazanin" w:hAnsi="IRNazanin" w:eastAsia="IRNazanin" w:cs="IRNazanin"/>
          <w:lang w:bidi="fa-IR"/>
          <w:color w:val="111111"/>
          <w:sz w:val="28"/>
          <w:szCs w:val="28"/>
          <w:rtl/>
        </w:rPr>
        <w:t xml:space="preserve">راجع صادق طهرانی.</w:t>
      </w:r>
    </w:p>
    <w:p>
      <w:pPr>
        <w:pStyle w:val="Heading3"/>
      </w:pPr>
      <w:bookmarkStart w:id="5548" w:name="_Toc4244"/>
      <w:r>
        <w:t>3189- دیوان صادق رازی‏</w:t>
      </w:r>
      <w:bookmarkEnd w:id="5548"/>
    </w:p>
    <w:p>
      <w:pPr>
        <w:pStyle w:val="BookText"/>
      </w:pPr>
      <w:r>
        <w:rPr>
          <w:rFonts w:ascii="IRNazanin" w:hAnsi="IRNazanin" w:eastAsia="IRNazanin" w:cs="IRNazanin"/>
          <w:lang w:bidi="fa-IR"/>
          <w:color w:val="111111"/>
          <w:sz w:val="28"/>
          <w:szCs w:val="28"/>
          <w:rtl/>
        </w:rPr>
        <w:t xml:space="preserve">و اسمه محمد صادق رازی (رضا خانلو) التبریزی طبع له آیین حج نظما فارسیا بطهران فی (1328 ش) بالقطع الصغیر فی (83 ص) و معها ثلاث قطعات أخر.</w:t>
      </w:r>
    </w:p>
    <w:p>
      <w:pPr>
        <w:pStyle w:val="Heading3"/>
      </w:pPr>
      <w:bookmarkStart w:id="5549" w:name="_Toc4245"/>
      <w:r>
        <w:t>3190- دیوان صادق سمرقندی أو شعره‏</w:t>
      </w:r>
      <w:bookmarkEnd w:id="5549"/>
    </w:p>
    <w:p>
      <w:pPr>
        <w:pStyle w:val="BookText"/>
      </w:pPr>
      <w:r>
        <w:rPr>
          <w:rFonts w:ascii="IRNazanin" w:hAnsi="IRNazanin" w:eastAsia="IRNazanin" w:cs="IRNazanin"/>
          <w:lang w:bidi="fa-IR"/>
          <w:color w:val="111111"/>
          <w:sz w:val="28"/>
          <w:szCs w:val="28"/>
          <w:rtl/>
        </w:rPr>
        <w:t xml:space="preserve">و اسمه محمد صادق من أحفاد شمس الأئمة الحلوائی، و من تلامیذ المولی أحمد الجنیدی سافر من وطنه إلی الحجاز و ذهب إلی الهند و تقرب عند بیرام خان حاکم لاهور، و جلس للتدریس هناک، و مدة بکابل ثم رجع إلی سمرقند و مات هناک أورد شعره فی (گلشن- ص 241)</w:t>
      </w:r>
    </w:p>
    <w:p>
      <w:pPr>
        <w:pStyle w:val="Heading3"/>
      </w:pPr>
      <w:bookmarkStart w:id="5550" w:name="_Toc4246"/>
      <w:r>
        <w:t>دیوان صادق سبزواری‏</w:t>
      </w:r>
      <w:bookmarkEnd w:id="5550"/>
    </w:p>
    <w:p>
      <w:pPr>
        <w:pStyle w:val="BookText"/>
      </w:pPr>
      <w:r>
        <w:rPr>
          <w:rFonts w:ascii="IRNazanin" w:hAnsi="IRNazanin" w:eastAsia="IRNazanin" w:cs="IRNazanin"/>
          <w:lang w:bidi="fa-IR"/>
          <w:color w:val="111111"/>
          <w:sz w:val="28"/>
          <w:szCs w:val="28"/>
          <w:rtl/>
        </w:rPr>
        <w:t xml:space="preserve">کما فی گلستان مسرت مکررا و لعله تصحیف الشیرازی‏</w:t>
      </w:r>
    </w:p>
    <w:p>
      <w:pPr>
        <w:pStyle w:val="Heading3"/>
      </w:pPr>
      <w:bookmarkStart w:id="5551" w:name="_Toc4247"/>
      <w:r>
        <w:t>3191- دیوان صادق شیرازی أو شعره‏</w:t>
      </w:r>
      <w:bookmarkEnd w:id="5551"/>
    </w:p>
    <w:p>
      <w:pPr>
        <w:pStyle w:val="BookText"/>
      </w:pPr>
      <w:r>
        <w:rPr>
          <w:rFonts w:ascii="IRNazanin" w:hAnsi="IRNazanin" w:eastAsia="IRNazanin" w:cs="IRNazanin"/>
          <w:lang w:bidi="fa-IR"/>
          <w:color w:val="111111"/>
          <w:sz w:val="28"/>
          <w:szCs w:val="28"/>
          <w:rtl/>
        </w:rPr>
        <w:t xml:space="preserve">ترجمه و أورد شعره فی فارس‏نامه 2: 151 و لقبه تسبیح ساز و قال مات (1250) بفسا و قال فی آثار عجم- ص 560 إن اسمه میرزا محمد صادق و کان من مریدی سکوت‏</w:t>
      </w:r>
    </w:p>
    <w:p>
      <w:pPr>
        <w:pStyle w:val="Heading3"/>
      </w:pPr>
      <w:bookmarkStart w:id="5552" w:name="_Toc4248"/>
      <w:r>
        <w:t>دیوان صادق شیرازی أو شعره‏</w:t>
      </w:r>
      <w:bookmarkEnd w:id="5552"/>
    </w:p>
    <w:p>
      <w:pPr>
        <w:pStyle w:val="BookText"/>
      </w:pPr>
      <w:r>
        <w:rPr>
          <w:rFonts w:ascii="IRNazanin" w:hAnsi="IRNazanin" w:eastAsia="IRNazanin" w:cs="IRNazanin"/>
          <w:lang w:bidi="fa-IR"/>
          <w:color w:val="111111"/>
          <w:sz w:val="28"/>
          <w:szCs w:val="28"/>
          <w:rtl/>
        </w:rPr>
        <w:t xml:space="preserve">راجع صادق دستغیب‏</w:t>
      </w:r>
    </w:p>
    <w:p>
      <w:pPr>
        <w:pStyle w:val="Heading3"/>
      </w:pPr>
      <w:bookmarkStart w:id="5553" w:name="_Toc4249"/>
      <w:r>
        <w:t>3192- دیوان صادق طهرانی‏</w:t>
      </w:r>
      <w:bookmarkEnd w:id="5553"/>
    </w:p>
    <w:p>
      <w:pPr>
        <w:pStyle w:val="BookText"/>
      </w:pPr>
      <w:r>
        <w:rPr>
          <w:rFonts w:ascii="IRNazanin" w:hAnsi="IRNazanin" w:eastAsia="IRNazanin" w:cs="IRNazanin"/>
          <w:lang w:bidi="fa-IR"/>
          <w:color w:val="111111"/>
          <w:sz w:val="28"/>
          <w:szCs w:val="28"/>
          <w:rtl/>
        </w:rPr>
        <w:t xml:space="preserve">و اسمه محمد صادق بن محمد حسن الطبیب الطهرانی المتوفی (1288) طبع له ألفیة الفنون نظما مع مقدمه للمولی علی الکنی بطهران فی (1275) ذکر فی (ج 2 ص 298)</w:t>
      </w:r>
    </w:p>
    <w:p>
      <w:pPr>
        <w:pStyle w:val="Heading3"/>
      </w:pPr>
      <w:bookmarkStart w:id="5554" w:name="_Toc4250"/>
      <w:r>
        <w:t>دیوان صادق طهرانی‏</w:t>
      </w:r>
      <w:bookmarkEnd w:id="5554"/>
    </w:p>
    <w:p>
      <w:pPr>
        <w:pStyle w:val="BookText"/>
      </w:pPr>
      <w:r>
        <w:rPr>
          <w:rFonts w:ascii="IRNazanin" w:hAnsi="IRNazanin" w:eastAsia="IRNazanin" w:cs="IRNazanin"/>
          <w:lang w:bidi="fa-IR"/>
          <w:color w:val="111111"/>
          <w:sz w:val="28"/>
          <w:szCs w:val="28"/>
          <w:rtl/>
        </w:rPr>
        <w:t xml:space="preserve">راجع صادق رازی‏</w:t>
      </w:r>
    </w:p>
    <w:p>
      <w:pPr>
        <w:pStyle w:val="Heading3"/>
      </w:pPr>
      <w:bookmarkStart w:id="5555" w:name="_Toc4251"/>
      <w:r>
        <w:t>3193- دیوان السید صادق الفحام‏</w:t>
      </w:r>
      <w:bookmarkEnd w:id="5555"/>
    </w:p>
    <w:p>
      <w:pPr>
        <w:pStyle w:val="BookText"/>
      </w:pPr>
      <w:r>
        <w:rPr>
          <w:rFonts w:ascii="IRNazanin" w:hAnsi="IRNazanin" w:eastAsia="IRNazanin" w:cs="IRNazanin"/>
          <w:lang w:bidi="fa-IR"/>
          <w:color w:val="111111"/>
          <w:sz w:val="28"/>
          <w:szCs w:val="28"/>
          <w:rtl/>
        </w:rPr>
        <w:t xml:space="preserve">هو السید صادق بن محمد بن الحسن (الحسین) بن هاشم (هشام) بن عبد الله بن هاشم بن قاسم بن شمس الدین بن أبی هاشم سنان، قاضی المدینة ابن القاضی عبد الوهاب ابن القاضی کتیلة بن محمد بن إبراهیم بن عبد الوهاب کلهم قضاة المدینة ابن الأمیر أبی عمارة المهنا (جد آل المهنا) ابن الأمیر أبی هاشم داود بن الأمیر أبی أحمد القاسم بن الأمیر أبی علی عبید الله بن الأمیر أبی الحسن طاهر المحدث، ممدوح المتنبی ابن یحیی النسابة بن الحسن بن جعفر الحجة بن عبید الله الأعرج‏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573" w:name="pg11704_122056"/>
    <w:bookmarkEnd w:id="573"/>
    <w:p>
      <w:pPr>
        <w:pStyle w:val="BookText"/>
      </w:pPr>
      <w:r>
        <w:rPr>
          <w:rFonts w:ascii="IRNazanin" w:hAnsi="IRNazanin" w:eastAsia="IRNazanin" w:cs="IRNazanin"/>
          <w:lang w:bidi="fa-IR"/>
          <w:color w:val="111111"/>
          <w:sz w:val="28"/>
          <w:szCs w:val="28"/>
          <w:rtl/>
        </w:rPr>
        <w:t xml:space="preserve">ابن الحسین الأصغر بن الإمام السجاد علیه السلام  ولد بقریة الحصین من نواحی الحلة فی (1145) و عاصر الأدباء الشیخ کاظم الأزری (م 1212) و الشیخ محمد رضا النحوی (م 1195) و الشیخ محمد علی الأعسم (م 1215) و السید سلیمان الحلی الکبیر (م 1211) و الشیخ أحمد النحوی (م 1179) و السید أحمد العطار (م 1215) و توفی هو (1205) و رثاه الشیخ مسلم بن عقیل (م 1220) بقوله [یسی‏ء الحدیث الیوم من رزء صادق‏] و دیوانه بخط السید أحمد بن حبیب الزوین الأعرجی فی (1232) فی مکتبة الشیخ محمد علی یعقوب بالنجف فی جزءین أولهما فی (146 ص) فی کل (21 بیتا) بالقریض، و الثانی فی الدارج الرکبانی فی (28 ص) و نسخه خط الناظم فی مکتبة (السماوی) و خلف ولدا صغیرا اسمه السید أحمد، صار من أهل العلم توفی (1274) ذکره الخاقانی فی دلیل الآثار المخطوطة</w:t>
      </w:r>
    </w:p>
    <w:p>
      <w:pPr>
        <w:pStyle w:val="Heading3"/>
      </w:pPr>
      <w:bookmarkStart w:id="5556" w:name="_Toc4252"/>
      <w:r>
        <w:t>دیوان صادق فراهانی‏</w:t>
      </w:r>
      <w:bookmarkEnd w:id="5556"/>
    </w:p>
    <w:p>
      <w:pPr>
        <w:pStyle w:val="BookText"/>
      </w:pPr>
      <w:r>
        <w:rPr>
          <w:rFonts w:ascii="IRNazanin" w:hAnsi="IRNazanin" w:eastAsia="IRNazanin" w:cs="IRNazanin"/>
          <w:lang w:bidi="fa-IR"/>
          <w:color w:val="111111"/>
          <w:sz w:val="28"/>
          <w:szCs w:val="28"/>
          <w:rtl/>
        </w:rPr>
        <w:t xml:space="preserve">مر دیوان أدیب الممالک‏</w:t>
      </w:r>
    </w:p>
    <w:p>
      <w:pPr>
        <w:pStyle w:val="Heading3"/>
      </w:pPr>
      <w:bookmarkStart w:id="5557" w:name="_Toc4253"/>
      <w:r>
        <w:t>دیوان صادق کاشانی‏</w:t>
      </w:r>
      <w:bookmarkEnd w:id="5557"/>
    </w:p>
    <w:p>
      <w:pPr>
        <w:pStyle w:val="BookText"/>
      </w:pPr>
      <w:r>
        <w:rPr>
          <w:rFonts w:ascii="IRNazanin" w:hAnsi="IRNazanin" w:eastAsia="IRNazanin" w:cs="IRNazanin"/>
          <w:lang w:bidi="fa-IR"/>
          <w:color w:val="111111"/>
          <w:sz w:val="28"/>
          <w:szCs w:val="28"/>
          <w:rtl/>
        </w:rPr>
        <w:t xml:space="preserve">راجع صادق بیدگلی‏</w:t>
      </w:r>
    </w:p>
    <w:p>
      <w:pPr>
        <w:pStyle w:val="Heading3"/>
      </w:pPr>
      <w:bookmarkStart w:id="5558" w:name="_Toc4254"/>
      <w:r>
        <w:t>دیوان صادق کتاب دار</w:t>
      </w:r>
      <w:bookmarkEnd w:id="5558"/>
    </w:p>
    <w:p>
      <w:pPr>
        <w:pStyle w:val="BookText"/>
      </w:pPr>
      <w:r>
        <w:rPr>
          <w:rFonts w:ascii="IRNazanin" w:hAnsi="IRNazanin" w:eastAsia="IRNazanin" w:cs="IRNazanin"/>
          <w:lang w:bidi="fa-IR"/>
          <w:color w:val="111111"/>
          <w:sz w:val="28"/>
          <w:szCs w:val="28"/>
          <w:rtl/>
        </w:rPr>
        <w:t xml:space="preserve">راجع صادق کتاب دار</w:t>
      </w:r>
    </w:p>
    <w:p>
      <w:pPr>
        <w:pStyle w:val="Heading3"/>
      </w:pPr>
      <w:bookmarkStart w:id="5559" w:name="_Toc4255"/>
      <w:r>
        <w:t>3194- دیوان صادق گاو أو شعره‏</w:t>
      </w:r>
      <w:bookmarkEnd w:id="5559"/>
    </w:p>
    <w:p>
      <w:pPr>
        <w:pStyle w:val="BookText"/>
      </w:pPr>
      <w:r>
        <w:rPr>
          <w:rFonts w:ascii="IRNazanin" w:hAnsi="IRNazanin" w:eastAsia="IRNazanin" w:cs="IRNazanin"/>
          <w:lang w:bidi="fa-IR"/>
          <w:color w:val="111111"/>
          <w:sz w:val="28"/>
          <w:szCs w:val="28"/>
          <w:rtl/>
        </w:rPr>
        <w:t xml:space="preserve">کان خادما بالمسجد الجامع القدیم بأصفهان و یتخلص صادق أورد شعره معاصره النصرآبادی فی (نر 5- ص 149) و کذا فی (تش- ص 179) و (حسینی- ص 188) و (گلشن- ص 241) و (پژمان- ص 260)</w:t>
      </w:r>
    </w:p>
    <w:p>
      <w:pPr>
        <w:pStyle w:val="Heading3"/>
      </w:pPr>
      <w:bookmarkStart w:id="5560" w:name="_Toc4256"/>
      <w:r>
        <w:t>3195- دیوان صادق گویا أو شعره‏</w:t>
      </w:r>
      <w:bookmarkEnd w:id="5560"/>
    </w:p>
    <w:p>
      <w:pPr>
        <w:pStyle w:val="BookText"/>
      </w:pPr>
      <w:r>
        <w:rPr>
          <w:rFonts w:ascii="IRNazanin" w:hAnsi="IRNazanin" w:eastAsia="IRNazanin" w:cs="IRNazanin"/>
          <w:lang w:bidi="fa-IR"/>
          <w:color w:val="111111"/>
          <w:sz w:val="28"/>
          <w:szCs w:val="28"/>
          <w:rtl/>
        </w:rPr>
        <w:t xml:space="preserve">هو ابن أخ المیر أبی المعالی ترجمه معاصره النصرآبادی فی (نر 5- ص 112) و أورد شعره‏</w:t>
      </w:r>
    </w:p>
    <w:p>
      <w:pPr>
        <w:pStyle w:val="Heading3"/>
      </w:pPr>
      <w:bookmarkStart w:id="5561" w:name="_Toc4257"/>
      <w:r>
        <w:t>دیوان صادق الملائکة</w:t>
      </w:r>
      <w:bookmarkEnd w:id="5561"/>
    </w:p>
    <w:p>
      <w:pPr>
        <w:pStyle w:val="BookText"/>
      </w:pPr>
      <w:r>
        <w:rPr>
          <w:rFonts w:ascii="IRNazanin" w:hAnsi="IRNazanin" w:eastAsia="IRNazanin" w:cs="IRNazanin"/>
          <w:lang w:bidi="fa-IR"/>
          <w:color w:val="111111"/>
          <w:sz w:val="28"/>
          <w:szCs w:val="28"/>
          <w:rtl/>
        </w:rPr>
        <w:t xml:space="preserve">راجع دیوان الملائکة</w:t>
      </w:r>
    </w:p>
    <w:p>
      <w:pPr>
        <w:pStyle w:val="Heading3"/>
      </w:pPr>
      <w:bookmarkStart w:id="5562" w:name="_Toc4258"/>
      <w:r>
        <w:t>3196- دیوان صادق ملا رجب الأصفهانی‏</w:t>
      </w:r>
      <w:bookmarkEnd w:id="5562"/>
    </w:p>
    <w:p>
      <w:pPr>
        <w:pStyle w:val="BookText"/>
      </w:pPr>
      <w:r>
        <w:rPr>
          <w:rFonts w:ascii="IRNazanin" w:hAnsi="IRNazanin" w:eastAsia="IRNazanin" w:cs="IRNazanin"/>
          <w:lang w:bidi="fa-IR"/>
          <w:color w:val="111111"/>
          <w:sz w:val="28"/>
          <w:szCs w:val="28"/>
          <w:rtl/>
        </w:rPr>
        <w:t xml:space="preserve">الماهر فی خط النسخ مات عن سبعین سنة من عمره و دفن بتخت فولاد طبع بأصفهان بمطبعة گل بهار فی (1309 ش) علی الحجر فی (96 ص) و ثالثا علی الحروف فی (88 ص) و توجد نسخه منه کتبت فی (1319) عند (فخر الدین- رقم 54) و فیها هزلیات کثیرة</w:t>
      </w:r>
    </w:p>
    <w:p>
      <w:pPr>
        <w:pStyle w:val="Heading3"/>
      </w:pPr>
      <w:bookmarkStart w:id="5563" w:name="_Toc4259"/>
      <w:r>
        <w:t>3197- دیوان صادق منشی الممالک أو شعره‏</w:t>
      </w:r>
      <w:bookmarkEnd w:id="5563"/>
    </w:p>
    <w:p>
      <w:pPr>
        <w:pStyle w:val="BookText"/>
      </w:pPr>
      <w:r>
        <w:rPr>
          <w:rFonts w:ascii="IRNazanin" w:hAnsi="IRNazanin" w:eastAsia="IRNazanin" w:cs="IRNazanin"/>
          <w:lang w:bidi="fa-IR"/>
          <w:color w:val="111111"/>
          <w:sz w:val="28"/>
          <w:szCs w:val="28"/>
          <w:rtl/>
        </w:rPr>
        <w:t xml:space="preserve">و اسمه میرزا صادق أرشد أولاد المیرزا عبد الحسین منشی الممالک، ترجمه و أورد شعره معاصره النصرآبادی فی (نر 4- ص 84)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574" w:name="pg11704_122057"/>
    <w:bookmarkEnd w:id="574"/>
    <w:p>
      <w:pPr>
        <w:pStyle w:val="Heading3"/>
      </w:pPr>
      <w:bookmarkStart w:id="5564" w:name="_Toc4260"/>
      <w:r>
        <w:t>3198- دیوان میرزا محمد صادق موسوی‏</w:t>
      </w:r>
      <w:bookmarkEnd w:id="5564"/>
    </w:p>
    <w:p>
      <w:pPr>
        <w:pStyle w:val="BookText"/>
      </w:pPr>
      <w:r>
        <w:rPr>
          <w:rFonts w:ascii="IRNazanin" w:hAnsi="IRNazanin" w:eastAsia="IRNazanin" w:cs="IRNazanin"/>
          <w:lang w:bidi="fa-IR"/>
          <w:color w:val="111111"/>
          <w:sz w:val="28"/>
          <w:szCs w:val="28"/>
          <w:rtl/>
        </w:rPr>
        <w:t xml:space="preserve">ابن المیرزا محمد طاهر بن علی بن السید حسین سلطان العلماء الحسینی الموسوی المتوفی (1035) ذکر فی کشکوله الموجود</w:t>
      </w:r>
    </w:p>
    <w:p>
      <w:pPr>
        <w:pStyle w:val="Heading3"/>
      </w:pPr>
      <w:bookmarkStart w:id="5565" w:name="_Toc4261"/>
      <w:r>
        <w:t>دیوان صادق مینا</w:t>
      </w:r>
      <w:bookmarkEnd w:id="5565"/>
    </w:p>
    <w:p>
      <w:pPr>
        <w:pStyle w:val="BookText"/>
      </w:pPr>
      <w:r>
        <w:rPr>
          <w:rFonts w:ascii="IRNazanin" w:hAnsi="IRNazanin" w:eastAsia="IRNazanin" w:cs="IRNazanin"/>
          <w:lang w:bidi="fa-IR"/>
          <w:color w:val="111111"/>
          <w:sz w:val="28"/>
          <w:szCs w:val="28"/>
          <w:rtl/>
        </w:rPr>
        <w:t xml:space="preserve">راجع دیوان صادقی مینا</w:t>
      </w:r>
    </w:p>
    <w:p>
      <w:pPr>
        <w:pStyle w:val="Heading3"/>
      </w:pPr>
      <w:bookmarkStart w:id="5566" w:name="_Toc4262"/>
      <w:r>
        <w:t>3199- دیوان صادق هندی‏</w:t>
      </w:r>
      <w:bookmarkEnd w:id="5566"/>
    </w:p>
    <w:p>
      <w:pPr>
        <w:pStyle w:val="BookText"/>
      </w:pPr>
      <w:r>
        <w:rPr>
          <w:rFonts w:ascii="IRNazanin" w:hAnsi="IRNazanin" w:eastAsia="IRNazanin" w:cs="IRNazanin"/>
          <w:lang w:bidi="fa-IR"/>
          <w:color w:val="111111"/>
          <w:sz w:val="28"/>
          <w:szCs w:val="28"/>
          <w:rtl/>
        </w:rPr>
        <w:t xml:space="preserve">من شعراء أکبر پادشاه و اسمه محمد صادق أورد شعره فی (گلشن- ص 241) و لعله المذکور شعره فی گلستان مسرت بعنوان حاجی محمد صادق‏</w:t>
      </w:r>
    </w:p>
    <w:p>
      <w:pPr>
        <w:pStyle w:val="Heading3"/>
      </w:pPr>
      <w:bookmarkStart w:id="5567" w:name="_Toc4263"/>
      <w:r>
        <w:t>دیوان صادقی أصفهانی‏</w:t>
      </w:r>
      <w:bookmarkEnd w:id="5567"/>
    </w:p>
    <w:p>
      <w:pPr>
        <w:pStyle w:val="BookText"/>
      </w:pPr>
      <w:r>
        <w:rPr>
          <w:rFonts w:ascii="IRNazanin" w:hAnsi="IRNazanin" w:eastAsia="IRNazanin" w:cs="IRNazanin"/>
          <w:lang w:bidi="fa-IR"/>
          <w:color w:val="111111"/>
          <w:sz w:val="28"/>
          <w:szCs w:val="28"/>
          <w:rtl/>
        </w:rPr>
        <w:t xml:space="preserve">راجع دیوان صادقی مینا</w:t>
      </w:r>
    </w:p>
    <w:p>
      <w:pPr>
        <w:pStyle w:val="Heading3"/>
      </w:pPr>
      <w:bookmarkStart w:id="5568" w:name="_Toc4264"/>
      <w:r>
        <w:t>دیوان صادقی أفشار</w:t>
      </w:r>
      <w:bookmarkEnd w:id="5568"/>
    </w:p>
    <w:p>
      <w:pPr>
        <w:pStyle w:val="BookText"/>
      </w:pPr>
      <w:r>
        <w:rPr>
          <w:rFonts w:ascii="IRNazanin" w:hAnsi="IRNazanin" w:eastAsia="IRNazanin" w:cs="IRNazanin"/>
          <w:lang w:bidi="fa-IR"/>
          <w:color w:val="111111"/>
          <w:sz w:val="28"/>
          <w:szCs w:val="28"/>
          <w:rtl/>
        </w:rPr>
        <w:t xml:space="preserve">راجع صادقی کتاب دار</w:t>
      </w:r>
    </w:p>
    <w:p>
      <w:pPr>
        <w:pStyle w:val="Heading3"/>
      </w:pPr>
      <w:bookmarkStart w:id="5569" w:name="_Toc4265"/>
      <w:r>
        <w:t>دیوان صادقی تبریزی‏</w:t>
      </w:r>
      <w:bookmarkEnd w:id="5569"/>
    </w:p>
    <w:p>
      <w:pPr>
        <w:pStyle w:val="BookText"/>
      </w:pPr>
      <w:r>
        <w:rPr>
          <w:rFonts w:ascii="IRNazanin" w:hAnsi="IRNazanin" w:eastAsia="IRNazanin" w:cs="IRNazanin"/>
          <w:lang w:bidi="fa-IR"/>
          <w:color w:val="111111"/>
          <w:sz w:val="28"/>
          <w:szCs w:val="28"/>
          <w:rtl/>
        </w:rPr>
        <w:t xml:space="preserve">راجع صادقی کتاب دار</w:t>
      </w:r>
    </w:p>
    <w:p>
      <w:pPr>
        <w:pStyle w:val="Heading3"/>
      </w:pPr>
      <w:bookmarkStart w:id="5570" w:name="_Toc4266"/>
      <w:r>
        <w:t>3200- دیوان صادقی قاینی أو شعره‏</w:t>
      </w:r>
      <w:bookmarkEnd w:id="5570"/>
    </w:p>
    <w:p>
      <w:pPr>
        <w:pStyle w:val="BookText"/>
      </w:pPr>
      <w:r>
        <w:rPr>
          <w:rFonts w:ascii="IRNazanin" w:hAnsi="IRNazanin" w:eastAsia="IRNazanin" w:cs="IRNazanin"/>
          <w:lang w:bidi="fa-IR"/>
          <w:color w:val="111111"/>
          <w:sz w:val="28"/>
          <w:szCs w:val="28"/>
          <w:rtl/>
        </w:rPr>
        <w:t xml:space="preserve">ترجمه و أورد شعره فی (مجتس 6- ص 151) و قال کان یشتغل بگلکاری‏</w:t>
      </w:r>
    </w:p>
    <w:p>
      <w:pPr>
        <w:pStyle w:val="Heading3"/>
      </w:pPr>
      <w:bookmarkStart w:id="5571" w:name="_Toc4267"/>
      <w:r>
        <w:t>3201- دیوان صادقی کتاب دار</w:t>
      </w:r>
      <w:bookmarkEnd w:id="5571"/>
    </w:p>
    <w:p>
      <w:pPr>
        <w:pStyle w:val="BookText"/>
      </w:pPr>
      <w:r>
        <w:rPr>
          <w:rFonts w:ascii="IRNazanin" w:hAnsi="IRNazanin" w:eastAsia="IRNazanin" w:cs="IRNazanin"/>
          <w:lang w:bidi="fa-IR"/>
          <w:color w:val="111111"/>
          <w:sz w:val="28"/>
          <w:szCs w:val="28"/>
          <w:rtl/>
        </w:rPr>
        <w:t xml:space="preserve">غزلیات فارسیة و ترکیة مرتبة علی الحروف لصادق بیک أفشار من إیل خدابنده‏لو و من رجال عهد الشاه عباس الماضی و له بتبریز فی (940) و مات والده و هو فی العشرین من عمره، و مهر فی الشعر و تلمذ فن التصویر علی مظفر علی النقاش ابن أخت بهزاد، و نصب مدیرا لمکتبة الشاه عباس فاشتهر بکتابدار له:</w:t>
      </w:r>
    </w:p>
    <w:p>
      <w:pPr>
        <w:pStyle w:val="BookText"/>
      </w:pPr>
      <w:r>
        <w:rPr>
          <w:rFonts w:ascii="IRNazanin" w:hAnsi="IRNazanin" w:eastAsia="IRNazanin" w:cs="IRNazanin"/>
          <w:lang w:bidi="fa-IR"/>
          <w:color w:val="111111"/>
          <w:sz w:val="28"/>
          <w:szCs w:val="28"/>
          <w:rtl/>
        </w:rPr>
        <w:t xml:space="preserve">زبدة الکلام و مثنوی فتح‏نامه عباس نامدار و حکایات علی زنة بوستان و مخزن الأسرار و سعد و سعید فی قبال خسرو و شیرین و مجمع الخواص و منظومة قانون الصور فی فن التصویر و منشئات و تذکره منظوم شعراء و خطبات ترجمه و أورد شعره فی (نر 2- ص 39) و (دجا- ص 213) و عالم‏آرا- ص 175 [127] و (تش- ص 16) و (حسینی 186) و کشف الظنون و القاموس الترکی و عنه فی الریحانة و فصله الدکتور خیام‏پور فی مقدمه طبع ترجمته لمجمع الخواص الذی هو فی ثمانیة أقسام و خاتمة و هی: 1- الملوک 2- أولاد الملوک 3- أمراء الترک 4- أمراء الفرس 5- أولاد الأمراء 6- السادات 7- شعراء الترک 8- شعراء الفرس و الخاتمة شعر المؤلف نفسه و نحن ننقل عن هذا الکتاب فی قسم الشعر و الشعراء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575" w:name="pg11704_122058"/>
    <w:bookmarkEnd w:id="575"/>
    <w:p>
      <w:pPr>
        <w:pStyle w:val="BookText"/>
      </w:pPr>
      <w:r>
        <w:rPr>
          <w:rFonts w:ascii="IRNazanin" w:hAnsi="IRNazanin" w:eastAsia="IRNazanin" w:cs="IRNazanin"/>
          <w:lang w:bidi="fa-IR"/>
          <w:color w:val="111111"/>
          <w:sz w:val="28"/>
          <w:szCs w:val="28"/>
          <w:rtl/>
        </w:rPr>
        <w:t xml:space="preserve">من الذریعة بعنوان (خص) و نجعل بعده رقم القسم ثم رقم الصفحة من طبع خیام‏پور ممیزین لها بحرف  صلی الله علیه و آله  فنقول ترجم صادقی نفسه فی (خص 9- ص 314- 317) أی فی خاتمة مجمع الخواص فی الصفحات 314- 317 من طبع خیام‏پور</w:t>
      </w:r>
    </w:p>
    <w:p>
      <w:pPr>
        <w:pStyle w:val="Heading3"/>
      </w:pPr>
      <w:bookmarkStart w:id="5572" w:name="_Toc4268"/>
      <w:r>
        <w:t>3202- دیوان صادقی مینا</w:t>
      </w:r>
      <w:bookmarkEnd w:id="5572"/>
    </w:p>
    <w:p>
      <w:pPr>
        <w:pStyle w:val="BookText"/>
      </w:pPr>
      <w:r>
        <w:rPr>
          <w:rFonts w:ascii="IRNazanin" w:hAnsi="IRNazanin" w:eastAsia="IRNazanin" w:cs="IRNazanin"/>
          <w:lang w:bidi="fa-IR"/>
          <w:color w:val="111111"/>
          <w:sz w:val="28"/>
          <w:szCs w:val="28"/>
          <w:rtl/>
        </w:rPr>
        <w:t xml:space="preserve">و اسمه المیرزا صادق الأصفهانی الملقب مینا و تخلصه صادقی و هو ابن محمد صالح الذی کان ملازم عبد الرحیم خان خانان (966- 1036) بالهند، و جد المیرزا طاهر النصرآبادی مؤلف التذکرة له صبح صادق الموجود فی بریتش موزیوم و شاهد صادق الموجود فی مکتبة (المشکاة) کما فی فهرسها (2:</w:t>
      </w:r>
    </w:p>
    <w:p>
      <w:pPr>
        <w:pStyle w:val="BookText"/>
      </w:pPr>
      <w:r>
        <w:rPr>
          <w:rFonts w:ascii="IRNazanin" w:hAnsi="IRNazanin" w:eastAsia="IRNazanin" w:cs="IRNazanin"/>
          <w:lang w:bidi="fa-IR"/>
          <w:color w:val="111111"/>
          <w:sz w:val="28"/>
          <w:szCs w:val="28"/>
          <w:rtl/>
        </w:rPr>
        <w:t xml:space="preserve">594- 605) ترجم نفسه فی المطلع الثانی عشر من کتابه صبح صادق و قال ولدت ببندر سورات بالهند فی (1018) و جئت مع والدی إلی الله‏آباد فی (1027) و فی (1035) إلی حیدرآباد دکن، و فی (1036) نصبت واقعه نویس لشاه‏جهان و حاربت له الأفغان فی بنگاله و فی (1048) زجونی فی السجن و بعد الإفراج عنی اعتزلت الأمور و قال حفیده النصرآبادی فی (نر 3- ص 64) إنه وقع من فرس و عمی إحدی عینیه فجعل مکانها عینا من المینا- الخزف فاشتهر بالمیرزا صادق مینا و کان ماهرا فی الحساب و الهندسة و الأسطرلاب و کان قائدا ماهرا فی الحروب کان ینظم تاریخ محارباته و یبعث بشعره إلی أصفهان و مات بالهند (1061) ثم أورد بعض شعره و قال ابن یوسف فی فهرس المجلس (3: 266) إن دیوان مینا هذا کان عند حمید همدانی الذی ذکرناه فی (ص 267) و لیس بثابت‏</w:t>
      </w:r>
    </w:p>
    <w:p>
      <w:pPr>
        <w:pStyle w:val="Heading3"/>
      </w:pPr>
      <w:bookmarkStart w:id="5573" w:name="_Toc4269"/>
      <w:r>
        <w:t>دیوان صادقی نقاش‏</w:t>
      </w:r>
      <w:bookmarkEnd w:id="5573"/>
    </w:p>
    <w:p>
      <w:pPr>
        <w:pStyle w:val="BookText"/>
      </w:pPr>
      <w:r>
        <w:rPr>
          <w:rFonts w:ascii="IRNazanin" w:hAnsi="IRNazanin" w:eastAsia="IRNazanin" w:cs="IRNazanin"/>
          <w:lang w:bidi="fa-IR"/>
          <w:color w:val="111111"/>
          <w:sz w:val="28"/>
          <w:szCs w:val="28"/>
          <w:rtl/>
        </w:rPr>
        <w:t xml:space="preserve">راجع صادقی کتاب دار</w:t>
      </w:r>
    </w:p>
    <w:p>
      <w:pPr>
        <w:pStyle w:val="Heading3"/>
      </w:pPr>
      <w:bookmarkStart w:id="5574" w:name="_Toc4270"/>
      <w:r>
        <w:t>3203- دیوان صادقی هراتی أو شعره‏</w:t>
      </w:r>
      <w:bookmarkEnd w:id="5574"/>
    </w:p>
    <w:p>
      <w:pPr>
        <w:pStyle w:val="BookText"/>
      </w:pPr>
      <w:r>
        <w:rPr>
          <w:rFonts w:ascii="IRNazanin" w:hAnsi="IRNazanin" w:eastAsia="IRNazanin" w:cs="IRNazanin"/>
          <w:lang w:bidi="fa-IR"/>
          <w:color w:val="111111"/>
          <w:sz w:val="28"/>
          <w:szCs w:val="28"/>
          <w:rtl/>
        </w:rPr>
        <w:t xml:space="preserve">أصله من هراة ولد بقندهار و مدح جلال الدین محمد أکبر پادشاه أورد شعره فی (گلشن ص 242)</w:t>
      </w:r>
    </w:p>
    <w:p>
      <w:pPr>
        <w:pStyle w:val="Heading3"/>
      </w:pPr>
      <w:bookmarkStart w:id="5575" w:name="_Toc4271"/>
      <w:r>
        <w:t>3204- دیوان صادقیة</w:t>
      </w:r>
      <w:bookmarkEnd w:id="5575"/>
    </w:p>
    <w:p>
      <w:pPr>
        <w:pStyle w:val="BookText"/>
      </w:pPr>
      <w:r>
        <w:rPr>
          <w:rFonts w:ascii="IRNazanin" w:hAnsi="IRNazanin" w:eastAsia="IRNazanin" w:cs="IRNazanin"/>
          <w:lang w:bidi="fa-IR"/>
          <w:color w:val="111111"/>
          <w:sz w:val="28"/>
          <w:szCs w:val="28"/>
          <w:rtl/>
        </w:rPr>
        <w:t xml:space="preserve">للحاج محمد صادق الخوئی طبع بمباشرة ولده محمد إبراهیم فی بمبئی (1317)</w:t>
      </w:r>
    </w:p>
    <w:p>
      <w:pPr>
        <w:pStyle w:val="Heading3"/>
      </w:pPr>
      <w:bookmarkStart w:id="5576" w:name="_Toc4272"/>
      <w:r>
        <w:t>3205- دیوان صارم أو شعره‏</w:t>
      </w:r>
      <w:bookmarkEnd w:id="5576"/>
    </w:p>
    <w:p>
      <w:pPr>
        <w:pStyle w:val="BookText"/>
      </w:pPr>
      <w:r>
        <w:rPr>
          <w:rFonts w:ascii="IRNazanin" w:hAnsi="IRNazanin" w:eastAsia="IRNazanin" w:cs="IRNazanin"/>
          <w:lang w:bidi="fa-IR"/>
          <w:color w:val="111111"/>
          <w:sz w:val="28"/>
          <w:szCs w:val="28"/>
          <w:rtl/>
        </w:rPr>
        <w:t xml:space="preserve">هو للمیر عبد الحی الملقب بصمصام الدولة ابن صمصام الدولة الشهید فی (3 رمضان 1171) ترجمه فی (خز- ص 296) و ذکر أنه ولد (1142) و کان تخلصه أولا وقار و غیره إلی صارم و ذکر بعض شعره و جاء شعره فی گلستان‏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576" w:name="pg11704_122059"/>
    <w:bookmarkEnd w:id="576"/>
    <w:p>
      <w:pPr>
        <w:pStyle w:val="BookText"/>
      </w:pPr>
      <w:r>
        <w:rPr>
          <w:rFonts w:ascii="IRNazanin" w:hAnsi="IRNazanin" w:eastAsia="IRNazanin" w:cs="IRNazanin"/>
          <w:lang w:bidi="fa-IR"/>
          <w:color w:val="111111"/>
          <w:sz w:val="28"/>
          <w:szCs w:val="28"/>
          <w:rtl/>
        </w:rPr>
        <w:t xml:space="preserve">مسرت- ص 535</w:t>
      </w:r>
    </w:p>
    <w:p>
      <w:pPr>
        <w:pStyle w:val="Heading3"/>
      </w:pPr>
      <w:bookmarkStart w:id="5577" w:name="_Toc4273"/>
      <w:r>
        <w:t>3206- دیوان صارم الدین‏</w:t>
      </w:r>
      <w:bookmarkEnd w:id="5577"/>
    </w:p>
    <w:p>
      <w:pPr>
        <w:pStyle w:val="BookText"/>
      </w:pPr>
      <w:r>
        <w:rPr>
          <w:rFonts w:ascii="IRNazanin" w:hAnsi="IRNazanin" w:eastAsia="IRNazanin" w:cs="IRNazanin"/>
          <w:lang w:bidi="fa-IR"/>
          <w:color w:val="111111"/>
          <w:sz w:val="28"/>
          <w:szCs w:val="28"/>
          <w:rtl/>
        </w:rPr>
        <w:t xml:space="preserve">محمد الشریف ابن الشیخ محمد إبراهیم بن محمد إسماعیل بن محمد إبراهیم بن المولی محمد صادق الأردستانی الیزدی الحائری، مؤلف لواء الحمد فی (1304) و المطبوع فی بمبئی (1305) أورد فی آخره قصیدتین من نظمه فی مدح أمیر المؤمنین أولهما أربعة و سبعون بیتا، و ثانیهما ثمانیة و خمسون مخمسا فی آخرها</w:t>
      </w:r>
    </w:p>
    <w:p>
      <w:pPr>
        <w:pStyle w:val="BookText"/>
      </w:pPr>
      <w:r>
        <w:rPr>
          <w:rFonts w:ascii="IRNazanin" w:hAnsi="IRNazanin" w:eastAsia="IRNazanin" w:cs="IRNazanin"/>
          <w:lang w:bidi="fa-IR"/>
          <w:color w:val="111111"/>
          <w:sz w:val="28"/>
          <w:szCs w:val="28"/>
          <w:rtl/>
        </w:rPr>
        <w:t xml:space="preserve">صارم الدین عبدکم بفناکم‏</w:t>
      </w:r>
    </w:p>
    <w:p>
      <w:pPr>
        <w:pStyle w:val="BookText"/>
      </w:pPr>
      <w:r>
        <w:rPr>
          <w:rFonts w:ascii="IRNazanin" w:hAnsi="IRNazanin" w:eastAsia="IRNazanin" w:cs="IRNazanin"/>
          <w:lang w:bidi="fa-IR"/>
          <w:color w:val="111111"/>
          <w:sz w:val="28"/>
          <w:szCs w:val="28"/>
          <w:rtl/>
        </w:rPr>
        <w:t xml:space="preserve">سادتی قد أتاکم و رجاکم‏</w:t>
      </w:r>
    </w:p>
    <w:p>
      <w:pPr>
        <w:pStyle w:val="BookText"/>
      </w:pPr>
      <w:r>
        <w:rPr>
          <w:rFonts w:ascii="IRNazanin" w:hAnsi="IRNazanin" w:eastAsia="IRNazanin" w:cs="IRNazanin"/>
          <w:lang w:bidi="fa-IR"/>
          <w:color w:val="111111"/>
          <w:sz w:val="28"/>
          <w:szCs w:val="28"/>
          <w:rtl/>
        </w:rPr>
        <w:t xml:space="preserve">مستجیر بحبکم و ولاکم‏</w:t>
      </w:r>
    </w:p>
    <w:p>
      <w:pPr>
        <w:pStyle w:val="BookText"/>
      </w:pPr>
      <w:r>
        <w:rPr>
          <w:rFonts w:ascii="IRNazanin" w:hAnsi="IRNazanin" w:eastAsia="IRNazanin" w:cs="IRNazanin"/>
          <w:lang w:bidi="fa-IR"/>
          <w:color w:val="111111"/>
          <w:sz w:val="28"/>
          <w:szCs w:val="28"/>
          <w:rtl/>
        </w:rPr>
        <w:t xml:space="preserve">و هو یرجو فی النشأتین حباکم‏</w:t>
      </w:r>
    </w:p>
    <w:p>
      <w:pPr>
        <w:pStyle w:val="BookText"/>
      </w:pPr>
      <w:r>
        <w:rPr>
          <w:rFonts w:ascii="IRNazanin" w:hAnsi="IRNazanin" w:eastAsia="IRNazanin" w:cs="IRNazanin"/>
          <w:lang w:bidi="fa-IR"/>
          <w:color w:val="111111"/>
          <w:sz w:val="28"/>
          <w:szCs w:val="28"/>
          <w:rtl/>
        </w:rPr>
        <w:t xml:space="preserve">آملا وصلکم و خیر تفون‏</w:t>
      </w:r>
    </w:p>
    <w:p>
      <w:pPr>
        <w:pStyle w:val="BookText"/>
      </w:pPr>
      <w:r>
        <w:rPr>
          <w:rFonts w:ascii="IRNazanin" w:hAnsi="IRNazanin" w:eastAsia="IRNazanin" w:cs="IRNazanin"/>
          <w:lang w:bidi="fa-IR"/>
          <w:color w:val="111111"/>
          <w:sz w:val="28"/>
          <w:szCs w:val="28"/>
          <w:rtl/>
        </w:rPr>
        <w:t xml:space="preserve">و رأیت بخطه بعض مراثیه الفارسیة فهو شاعر ذو لسانین‏</w:t>
      </w:r>
    </w:p>
    <w:p>
      <w:pPr>
        <w:pStyle w:val="Heading3"/>
      </w:pPr>
      <w:bookmarkStart w:id="5578" w:name="_Toc4274"/>
      <w:r>
        <w:t>3207- دیوان صاعد خبوشانی‏</w:t>
      </w:r>
      <w:bookmarkEnd w:id="5578"/>
    </w:p>
    <w:p>
      <w:pPr>
        <w:pStyle w:val="BookText"/>
      </w:pPr>
      <w:r>
        <w:rPr>
          <w:rFonts w:ascii="IRNazanin" w:hAnsi="IRNazanin" w:eastAsia="IRNazanin" w:cs="IRNazanin"/>
          <w:lang w:bidi="fa-IR"/>
          <w:color w:val="111111"/>
          <w:sz w:val="28"/>
          <w:szCs w:val="28"/>
          <w:rtl/>
        </w:rPr>
        <w:t xml:space="preserve">الصدر الأجل زین الدین کان کلید دار للسلطان إسکندر، و بعد عزله رجع إلی خبوشان و مات بها أورد شعره فی (اللباب 6) و قال سنگلاخ فی امتحان الفضلاء- 1: 173 إنه رأی منتخب دیوانه بخط ملا معروف‏</w:t>
      </w:r>
    </w:p>
    <w:p>
      <w:pPr>
        <w:pStyle w:val="Heading3"/>
      </w:pPr>
      <w:bookmarkStart w:id="5579" w:name="_Toc4275"/>
      <w:r>
        <w:t>3208- دیوان صاعد الشیرازی‏</w:t>
      </w:r>
      <w:bookmarkEnd w:id="5579"/>
    </w:p>
    <w:p>
      <w:pPr>
        <w:pStyle w:val="BookText"/>
      </w:pPr>
      <w:r>
        <w:rPr>
          <w:rFonts w:ascii="IRNazanin" w:hAnsi="IRNazanin" w:eastAsia="IRNazanin" w:cs="IRNazanin"/>
          <w:lang w:bidi="fa-IR"/>
          <w:color w:val="111111"/>
          <w:sz w:val="28"/>
          <w:szCs w:val="28"/>
          <w:rtl/>
        </w:rPr>
        <w:t xml:space="preserve">اسمه محمد باقر نزیل النجف و المتوفی بها بین (1312) و (1315) کان أمیا لکن رزق القریحة القویمة و السلیقة المستقیمة فی نظم الأبیات المبتکرة بغیر فکرة سابقة، و لم یرزق مالا و لا دارا و لا عیالا و کان یرتزق أخیرا بالجلوس مع المتکدین علی باب الصحن الکبیر، و لما طرد الکلیددار الفقراء من باب الصحن فی بعض الأیام و کان صاعد أحدهم، ذهب إلی محلة المشراق و رجع إلی الصحن من الباب الطوسی و أنشأ یخاطب الأمیر علیه السلام  بقوله:</w:t>
      </w:r>
    </w:p>
    <w:p>
      <w:pPr>
        <w:pStyle w:val="BookText"/>
      </w:pPr>
      <w:r>
        <w:rPr>
          <w:rFonts w:ascii="IRNazanin" w:hAnsi="IRNazanin" w:eastAsia="IRNazanin" w:cs="IRNazanin"/>
          <w:lang w:bidi="fa-IR"/>
          <w:color w:val="111111"/>
          <w:sz w:val="28"/>
          <w:szCs w:val="28"/>
          <w:rtl/>
        </w:rPr>
        <w:t xml:space="preserve">نمی‏روم ز دیارت به کشور دیگر</w:t>
      </w:r>
    </w:p>
    <w:p>
      <w:pPr>
        <w:pStyle w:val="BookText"/>
      </w:pPr>
      <w:r>
        <w:rPr>
          <w:rFonts w:ascii="IRNazanin" w:hAnsi="IRNazanin" w:eastAsia="IRNazanin" w:cs="IRNazanin"/>
          <w:lang w:bidi="fa-IR"/>
          <w:color w:val="111111"/>
          <w:sz w:val="28"/>
          <w:szCs w:val="28"/>
          <w:rtl/>
        </w:rPr>
        <w:t xml:space="preserve">گرم برانی از این در در آیم از در دیگر</w:t>
      </w:r>
    </w:p>
    <w:p>
      <w:pPr>
        <w:pStyle w:val="BookText"/>
      </w:pPr>
      <w:r>
        <w:rPr>
          <w:rFonts w:ascii="IRNazanin" w:hAnsi="IRNazanin" w:eastAsia="IRNazanin" w:cs="IRNazanin"/>
          <w:lang w:bidi="fa-IR"/>
          <w:color w:val="111111"/>
          <w:sz w:val="28"/>
          <w:szCs w:val="28"/>
          <w:rtl/>
        </w:rPr>
        <w:t xml:space="preserve">حدثنی من سمعه منه بأن هذا البیت آخر ما سمع منه و رأیت أنا بعض قصائده و مدیحه و رثائه للحسین علیه السلام  فی بعض المجامیع المتأخرة و تخلصه فیها صاعد</w:t>
      </w:r>
    </w:p>
    <w:p>
      <w:pPr>
        <w:pStyle w:val="Heading3"/>
      </w:pPr>
      <w:bookmarkStart w:id="5580" w:name="_Toc4276"/>
      <w:r>
        <w:t>3209- دیوان صاعدی خبوشانی‏</w:t>
      </w:r>
      <w:bookmarkEnd w:id="5580"/>
    </w:p>
    <w:p>
      <w:pPr>
        <w:pStyle w:val="BookText"/>
      </w:pPr>
      <w:r>
        <w:rPr>
          <w:rFonts w:ascii="IRNazanin" w:hAnsi="IRNazanin" w:eastAsia="IRNazanin" w:cs="IRNazanin"/>
          <w:lang w:bidi="fa-IR"/>
          <w:color w:val="111111"/>
          <w:sz w:val="28"/>
          <w:szCs w:val="28"/>
          <w:rtl/>
        </w:rPr>
        <w:t xml:space="preserve">قال فی قاموس الأعلام الترکیة إن اسمه زین الدین و هو من شعراء القرن السادس، و له مثنوی لیلی و مجنون و أظنه من أغلاطه، و قد اشتبه علیه صاعد خبوشانی المذکور آنفا</w:t>
      </w:r>
    </w:p>
    <w:p>
      <w:pPr>
        <w:pStyle w:val="Heading3"/>
      </w:pPr>
      <w:bookmarkStart w:id="5581" w:name="_Toc4277"/>
      <w:r>
        <w:t>3210- دیوان صافی‏</w:t>
      </w:r>
      <w:bookmarkEnd w:id="5581"/>
    </w:p>
    <w:p>
      <w:pPr>
        <w:pStyle w:val="BookText"/>
      </w:pPr>
      <w:r>
        <w:rPr>
          <w:rFonts w:ascii="IRNazanin" w:hAnsi="IRNazanin" w:eastAsia="IRNazanin" w:cs="IRNazanin"/>
          <w:lang w:bidi="fa-IR"/>
          <w:color w:val="111111"/>
          <w:sz w:val="28"/>
          <w:szCs w:val="28"/>
          <w:rtl/>
        </w:rPr>
        <w:t xml:space="preserve">کان من أبناء الأعاظم بجبل صاف و لذلک تخلص بصافی‏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577" w:name="pg11704_122060"/>
    <w:bookmarkEnd w:id="577"/>
    <w:p>
      <w:pPr>
        <w:pStyle w:val="BookText"/>
      </w:pPr>
      <w:r>
        <w:rPr>
          <w:rFonts w:ascii="IRNazanin" w:hAnsi="IRNazanin" w:eastAsia="IRNazanin" w:cs="IRNazanin"/>
          <w:lang w:bidi="fa-IR"/>
          <w:color w:val="111111"/>
          <w:sz w:val="28"/>
          <w:szCs w:val="28"/>
          <w:rtl/>
        </w:rPr>
        <w:t xml:space="preserve">و کان یتبع شعر حافظ الشیرازی ترجمه کذلک و أورد شعره معاصره النوائی فی (مجن 3 ص 79 و 255) و قال فی (روشن ص 378) إنه نظم الشاهنامة بالترکیة</w:t>
      </w:r>
    </w:p>
    <w:p>
      <w:pPr>
        <w:pStyle w:val="Heading3"/>
      </w:pPr>
      <w:bookmarkStart w:id="5582" w:name="_Toc4278"/>
      <w:r>
        <w:t>3211- دیوان صافی أردوبادی أو شعره‏</w:t>
      </w:r>
      <w:bookmarkEnd w:id="5582"/>
    </w:p>
    <w:p>
      <w:pPr>
        <w:pStyle w:val="BookText"/>
      </w:pPr>
      <w:r>
        <w:rPr>
          <w:rFonts w:ascii="IRNazanin" w:hAnsi="IRNazanin" w:eastAsia="IRNazanin" w:cs="IRNazanin"/>
          <w:lang w:bidi="fa-IR"/>
          <w:color w:val="111111"/>
          <w:sz w:val="28"/>
          <w:szCs w:val="28"/>
          <w:rtl/>
        </w:rPr>
        <w:t xml:space="preserve">هو الوزیر اعتماد الدولة حاتم بیگ الأردوبادی ینتسب إلی الخواجة نصیر الدین الطوسی و کان ابن عم المیرزا کافی استوزره الشاه عباس، و مات فجأة عند محاصرته لقلعه (دم دم) کما فی روضة الصفا أو قلعة أرومیة کما فی میخانه (ص 402) و ذلک فی (1019) و حمل إلی مشهد خراسان ذکره فی (تغ- ص 39) بعنوان حاتم و قال کان وزیر بکتاش خان بکرمان ثم استوزره الشاه عباس الأول ترجمه فی (فهرس ریو- 185) و (روشن- ص 161) و (دجا- ص 213) و جاء شعره فی گلستان مسرت- ص 71 أقول و کان تلمیذ الشیخ البهائی و باسمه ألف هفتاد باب اسطرلاب کما فی مقدمته و هو غیر اعتماد الدولة سارو تقی وزیر الشاه عباس الثانی و مر صادق أردوبادی‏</w:t>
      </w:r>
    </w:p>
    <w:p>
      <w:pPr>
        <w:pStyle w:val="Heading3"/>
      </w:pPr>
      <w:bookmarkStart w:id="5583" w:name="_Toc4279"/>
      <w:r>
        <w:t>3212- دیوان صافی أصفهانی‏</w:t>
      </w:r>
      <w:bookmarkEnd w:id="5583"/>
    </w:p>
    <w:p>
      <w:pPr>
        <w:pStyle w:val="BookText"/>
      </w:pPr>
      <w:r>
        <w:rPr>
          <w:rFonts w:ascii="IRNazanin" w:hAnsi="IRNazanin" w:eastAsia="IRNazanin" w:cs="IRNazanin"/>
          <w:lang w:bidi="fa-IR"/>
          <w:color w:val="111111"/>
          <w:sz w:val="28"/>
          <w:szCs w:val="28"/>
          <w:rtl/>
        </w:rPr>
        <w:t xml:space="preserve">اسمه السید المیرزا جعفر من مشاهیر السادة الشعراء بأصفهان و بها توفی (1219) و دفن بمقبرة المیر الفندرسکی عن قرب سبعین سنة حکی فی (مع- 2: 317) أن دیوانه اثنی عشر ألف بیت و له گلشن خیال و شهنامه فی معجزات النبی و غزواته و أورد منهما قرب ستمائة بیت عده فی (تش- ص 381) من الشباب المعاصرین له، و قال فی (انجمن- 4) رأیته بأصفهان فی (1317) و مات فی (1319) و قال وامق فی تاریخه: [میرزا جعفر صافی بجنان جایش باد] و ذکر فی ذیل کشف الظنون توجد نسخه من دیوانه کتبت (1256) فی (المجلس) کما فی فهرسها (3: 328) و أخری عند ألفت بأصفهان فی (12 ألف بیت) کتبت فی (1268)</w:t>
      </w:r>
    </w:p>
    <w:p>
      <w:pPr>
        <w:pStyle w:val="Heading3"/>
      </w:pPr>
      <w:bookmarkStart w:id="5584" w:name="_Toc4280"/>
      <w:r>
        <w:t>دیوان صافی أصفهانی‏</w:t>
      </w:r>
      <w:bookmarkEnd w:id="5584"/>
    </w:p>
    <w:p>
      <w:pPr>
        <w:pStyle w:val="BookText"/>
      </w:pPr>
      <w:r>
        <w:rPr>
          <w:rFonts w:ascii="IRNazanin" w:hAnsi="IRNazanin" w:eastAsia="IRNazanin" w:cs="IRNazanin"/>
          <w:lang w:bidi="fa-IR"/>
          <w:color w:val="111111"/>
          <w:sz w:val="28"/>
          <w:szCs w:val="28"/>
          <w:rtl/>
        </w:rPr>
        <w:t xml:space="preserve">مر بعنوان أوحدی مراغی و قال فی شاهد صادق إنه مات (738)</w:t>
      </w:r>
    </w:p>
    <w:p>
      <w:pPr>
        <w:pStyle w:val="Heading3"/>
      </w:pPr>
      <w:bookmarkStart w:id="5585" w:name="_Toc4281"/>
      <w:r>
        <w:t>3213- دیوان صافی أصفهانی أو شعره‏</w:t>
      </w:r>
      <w:bookmarkEnd w:id="5585"/>
    </w:p>
    <w:p>
      <w:pPr>
        <w:pStyle w:val="BookText"/>
      </w:pPr>
      <w:r>
        <w:rPr>
          <w:rFonts w:ascii="IRNazanin" w:hAnsi="IRNazanin" w:eastAsia="IRNazanin" w:cs="IRNazanin"/>
          <w:lang w:bidi="fa-IR"/>
          <w:color w:val="111111"/>
          <w:sz w:val="28"/>
          <w:szCs w:val="28"/>
          <w:rtl/>
        </w:rPr>
        <w:t xml:space="preserve">طبع شعره فی مجلة دانشکده، و کان من أعضاء انجمن شیدا کذا ترجمه و أورد شعره فی شعرای معاصر أصفهان- ص 300</w:t>
      </w:r>
    </w:p>
    <w:p>
      <w:pPr>
        <w:pStyle w:val="Heading3"/>
      </w:pPr>
      <w:bookmarkStart w:id="5586" w:name="_Toc4282"/>
      <w:r>
        <w:t>3214- دیوان صافی تبریزی‏</w:t>
      </w:r>
      <w:bookmarkEnd w:id="5586"/>
    </w:p>
    <w:p>
      <w:pPr>
        <w:pStyle w:val="BookText"/>
      </w:pPr>
      <w:r>
        <w:rPr>
          <w:rFonts w:ascii="IRNazanin" w:hAnsi="IRNazanin" w:eastAsia="IRNazanin" w:cs="IRNazanin"/>
          <w:lang w:bidi="fa-IR"/>
          <w:color w:val="111111"/>
          <w:sz w:val="28"/>
          <w:szCs w:val="28"/>
          <w:rtl/>
        </w:rPr>
        <w:t xml:space="preserve">اسمه آقا کریم من بیت الحاج جعفر دائی و توفی (1348) طبع دیوانه بتبریز و ترجمه فی (دجا- ص 214)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578" w:name="pg11704_122061"/>
    <w:bookmarkEnd w:id="578"/>
    <w:p>
      <w:pPr>
        <w:pStyle w:val="Heading3"/>
      </w:pPr>
      <w:bookmarkStart w:id="5587" w:name="_Toc4283"/>
      <w:r>
        <w:t>دیوان صافی تبریزی‏</w:t>
      </w:r>
      <w:bookmarkEnd w:id="5587"/>
    </w:p>
    <w:p>
      <w:pPr>
        <w:pStyle w:val="BookText"/>
      </w:pPr>
      <w:r>
        <w:rPr>
          <w:rFonts w:ascii="IRNazanin" w:hAnsi="IRNazanin" w:eastAsia="IRNazanin" w:cs="IRNazanin"/>
          <w:lang w:bidi="fa-IR"/>
          <w:color w:val="111111"/>
          <w:sz w:val="28"/>
          <w:szCs w:val="28"/>
          <w:rtl/>
        </w:rPr>
        <w:t xml:space="preserve">السیاح فی زی أهل السؤال ترجمه فی (دجا- ص 214) و أورد له شعرا ذکره النصرآبادی لصافی الشیرازی الآتی‏</w:t>
      </w:r>
    </w:p>
    <w:p>
      <w:pPr>
        <w:pStyle w:val="Heading3"/>
      </w:pPr>
      <w:bookmarkStart w:id="5588" w:name="_Toc4284"/>
      <w:r>
        <w:t>دیوان صافی توزپوش‏</w:t>
      </w:r>
      <w:bookmarkEnd w:id="5588"/>
    </w:p>
    <w:p>
      <w:pPr>
        <w:pStyle w:val="BookText"/>
      </w:pPr>
      <w:r>
        <w:rPr>
          <w:rFonts w:ascii="IRNazanin" w:hAnsi="IRNazanin" w:eastAsia="IRNazanin" w:cs="IRNazanin"/>
          <w:lang w:bidi="fa-IR"/>
          <w:color w:val="111111"/>
          <w:sz w:val="28"/>
          <w:szCs w:val="28"/>
          <w:rtl/>
        </w:rPr>
        <w:t xml:space="preserve">هو صافی الهروی الآتی قریبا</w:t>
      </w:r>
    </w:p>
    <w:p>
      <w:pPr>
        <w:pStyle w:val="Heading3"/>
      </w:pPr>
      <w:bookmarkStart w:id="5589" w:name="_Toc4285"/>
      <w:r>
        <w:t>3215- دیوان صافی خراسانی أو شعره‏</w:t>
      </w:r>
      <w:bookmarkEnd w:id="5589"/>
    </w:p>
    <w:p>
      <w:pPr>
        <w:pStyle w:val="BookText"/>
      </w:pPr>
      <w:r>
        <w:rPr>
          <w:rFonts w:ascii="IRNazanin" w:hAnsi="IRNazanin" w:eastAsia="IRNazanin" w:cs="IRNazanin"/>
          <w:lang w:bidi="fa-IR"/>
          <w:color w:val="111111"/>
          <w:sz w:val="28"/>
          <w:szCs w:val="28"/>
          <w:rtl/>
        </w:rPr>
        <w:t xml:space="preserve">و اسمه المیر صافی هاجر من وطنه إلی خراسان و مات هناک بفتنة الأزبک ترجمه و أورد شعره فی (گلشن- ص 243)</w:t>
      </w:r>
    </w:p>
    <w:p>
      <w:pPr>
        <w:pStyle w:val="Heading3"/>
      </w:pPr>
      <w:bookmarkStart w:id="5590" w:name="_Toc4286"/>
      <w:r>
        <w:t>3216- دیوان صافی خلخالی‏</w:t>
      </w:r>
      <w:bookmarkEnd w:id="5590"/>
    </w:p>
    <w:p>
      <w:pPr>
        <w:pStyle w:val="BookText"/>
      </w:pPr>
      <w:r>
        <w:rPr>
          <w:rFonts w:ascii="IRNazanin" w:hAnsi="IRNazanin" w:eastAsia="IRNazanin" w:cs="IRNazanin"/>
          <w:lang w:bidi="fa-IR"/>
          <w:color w:val="111111"/>
          <w:sz w:val="28"/>
          <w:szCs w:val="28"/>
          <w:rtl/>
        </w:rPr>
        <w:t xml:space="preserve">له منظومة فی مدح تفلیس و ذکره (دجا- ص 214)</w:t>
      </w:r>
    </w:p>
    <w:p>
      <w:pPr>
        <w:pStyle w:val="Heading3"/>
      </w:pPr>
      <w:bookmarkStart w:id="5591" w:name="_Toc4287"/>
      <w:r>
        <w:t>3217- دیوان صافی شیرازی‏</w:t>
      </w:r>
      <w:bookmarkEnd w:id="5591"/>
    </w:p>
    <w:p>
      <w:pPr>
        <w:pStyle w:val="BookText"/>
      </w:pPr>
      <w:r>
        <w:rPr>
          <w:rFonts w:ascii="IRNazanin" w:hAnsi="IRNazanin" w:eastAsia="IRNazanin" w:cs="IRNazanin"/>
          <w:lang w:bidi="fa-IR"/>
          <w:color w:val="111111"/>
          <w:sz w:val="28"/>
          <w:szCs w:val="28"/>
          <w:rtl/>
        </w:rPr>
        <w:t xml:space="preserve">قال النصرآبادی فی (نر 9 ص 387) إن أصله من کازرون و لکثرة سکونته بشیراز اشتهر بالشیرازی و أورد له الشعر الذی ذکره (دجا- ص 214) لصافی السیاح التبریزی الأصل و ترجم أیضا فی (گلشن- ص 242- 243) و فی (روشن 377) قیل إنه تبریزی‏</w:t>
      </w:r>
    </w:p>
    <w:p>
      <w:pPr>
        <w:pStyle w:val="Heading3"/>
      </w:pPr>
      <w:bookmarkStart w:id="5592" w:name="_Toc4288"/>
      <w:r>
        <w:t>3218- دیوان صافی قمی أو شعره‏</w:t>
      </w:r>
      <w:bookmarkEnd w:id="5592"/>
    </w:p>
    <w:p>
      <w:pPr>
        <w:pStyle w:val="BookText"/>
      </w:pPr>
      <w:r>
        <w:rPr>
          <w:rFonts w:ascii="IRNazanin" w:hAnsi="IRNazanin" w:eastAsia="IRNazanin" w:cs="IRNazanin"/>
          <w:lang w:bidi="fa-IR"/>
          <w:color w:val="111111"/>
          <w:sz w:val="28"/>
          <w:szCs w:val="28"/>
          <w:rtl/>
        </w:rPr>
        <w:t xml:space="preserve">ترجمه و أورد شعره فی (تس 5- ص 130) و قال: شعره کثیر و المفید منه قلیل‏</w:t>
      </w:r>
    </w:p>
    <w:p>
      <w:pPr>
        <w:pStyle w:val="Heading3"/>
      </w:pPr>
      <w:bookmarkStart w:id="5593" w:name="_Toc4289"/>
      <w:r>
        <w:t>دیوان صافی کازرونی‏</w:t>
      </w:r>
      <w:bookmarkEnd w:id="5593"/>
    </w:p>
    <w:p>
      <w:pPr>
        <w:pStyle w:val="BookText"/>
      </w:pPr>
      <w:r>
        <w:rPr>
          <w:rFonts w:ascii="IRNazanin" w:hAnsi="IRNazanin" w:eastAsia="IRNazanin" w:cs="IRNazanin"/>
          <w:lang w:bidi="fa-IR"/>
          <w:color w:val="111111"/>
          <w:sz w:val="28"/>
          <w:szCs w:val="28"/>
          <w:rtl/>
        </w:rPr>
        <w:t xml:space="preserve">هو الشیرازی المذکور عبر عنه النصرآبادی بالکازرونی و قال فی (روشن- ص 378) إنه غیر الشیرازی و هذا أصله من أصفهان‏</w:t>
      </w:r>
    </w:p>
    <w:p>
      <w:pPr>
        <w:pStyle w:val="Heading3"/>
      </w:pPr>
      <w:bookmarkStart w:id="5594" w:name="_Toc4290"/>
      <w:r>
        <w:t>3219- دیوان صافی گلپایگانی‏</w:t>
      </w:r>
      <w:bookmarkEnd w:id="5594"/>
    </w:p>
    <w:p>
      <w:pPr>
        <w:pStyle w:val="BookText"/>
      </w:pPr>
      <w:r>
        <w:rPr>
          <w:rFonts w:ascii="IRNazanin" w:hAnsi="IRNazanin" w:eastAsia="IRNazanin" w:cs="IRNazanin"/>
          <w:lang w:bidi="fa-IR"/>
          <w:color w:val="111111"/>
          <w:sz w:val="28"/>
          <w:szCs w:val="28"/>
          <w:rtl/>
        </w:rPr>
        <w:t xml:space="preserve">المولی محمد جواد بن المولی عباس المتخلص بصافی و المولود بگلپایگان (1288) و سافر إلی العراق (1366) و ذکر لی شفاها هنا أنه یقرب من خمسة عشر ألف بیت و طبع له گنجینه گهر الذی فرغ من نظمه (1356) و طبع أخیرا صافی‏نامه أو فیض ایزدی و أشعاری شیوا و ابنه الشیخ لطف الله صافی مؤلف منتخب الأثر المطبوع (1373) فی حیاة أبیه‏</w:t>
      </w:r>
    </w:p>
    <w:p>
      <w:pPr>
        <w:pStyle w:val="Heading3"/>
      </w:pPr>
      <w:bookmarkStart w:id="5595" w:name="_Toc4291"/>
      <w:r>
        <w:t>دیوان صافی مراغی‏</w:t>
      </w:r>
      <w:bookmarkEnd w:id="5595"/>
    </w:p>
    <w:p>
      <w:pPr>
        <w:pStyle w:val="BookText"/>
      </w:pPr>
      <w:r>
        <w:rPr>
          <w:rFonts w:ascii="IRNazanin" w:hAnsi="IRNazanin" w:eastAsia="IRNazanin" w:cs="IRNazanin"/>
          <w:lang w:bidi="fa-IR"/>
          <w:color w:val="111111"/>
          <w:sz w:val="28"/>
          <w:szCs w:val="28"/>
          <w:rtl/>
        </w:rPr>
        <w:t xml:space="preserve">مر بعنوان أوحدی مراغی‏</w:t>
      </w:r>
    </w:p>
    <w:p>
      <w:pPr>
        <w:pStyle w:val="Heading3"/>
      </w:pPr>
      <w:bookmarkStart w:id="5596" w:name="_Toc4292"/>
      <w:r>
        <w:t>دیوان الصافی النجفی‏</w:t>
      </w:r>
      <w:bookmarkEnd w:id="5596"/>
    </w:p>
    <w:p>
      <w:pPr>
        <w:pStyle w:val="BookText"/>
      </w:pPr>
      <w:r>
        <w:rPr>
          <w:rFonts w:ascii="IRNazanin" w:hAnsi="IRNazanin" w:eastAsia="IRNazanin" w:cs="IRNazanin"/>
          <w:lang w:bidi="fa-IR"/>
          <w:color w:val="111111"/>
          <w:sz w:val="28"/>
          <w:szCs w:val="28"/>
          <w:rtl/>
        </w:rPr>
        <w:t xml:space="preserve">مر أحمد الصافی فی (9: 59)</w:t>
      </w:r>
    </w:p>
    <w:p>
      <w:pPr>
        <w:pStyle w:val="Heading3"/>
      </w:pPr>
      <w:bookmarkStart w:id="5597" w:name="_Toc4293"/>
      <w:r>
        <w:t>دیوان صافی هروی‏</w:t>
      </w:r>
      <w:bookmarkEnd w:id="5597"/>
    </w:p>
    <w:p>
      <w:pPr>
        <w:pStyle w:val="BookText"/>
      </w:pPr>
      <w:r>
        <w:rPr>
          <w:rFonts w:ascii="IRNazanin" w:hAnsi="IRNazanin" w:eastAsia="IRNazanin" w:cs="IRNazanin"/>
          <w:lang w:bidi="fa-IR"/>
          <w:color w:val="111111"/>
          <w:sz w:val="28"/>
          <w:szCs w:val="28"/>
          <w:rtl/>
        </w:rPr>
        <w:t xml:space="preserve">ذکر فی (مجتس 6- ص 152) بعنوان مولانا صافی توزپوش من أبناء هراة و أورد رباعیته، و أورد فی (روشن- ص 378) شعر صافی الهروی‏</w:t>
      </w:r>
    </w:p>
    <w:p>
      <w:pPr>
        <w:pStyle w:val="Heading3"/>
      </w:pPr>
      <w:bookmarkStart w:id="5598" w:name="_Toc4294"/>
      <w:r>
        <w:t>3220- دیوان صالح‏</w:t>
      </w:r>
      <w:bookmarkEnd w:id="5598"/>
    </w:p>
    <w:p>
      <w:pPr>
        <w:pStyle w:val="BookText"/>
      </w:pPr>
      <w:r>
        <w:rPr>
          <w:rFonts w:ascii="IRNazanin" w:hAnsi="IRNazanin" w:eastAsia="IRNazanin" w:cs="IRNazanin"/>
          <w:lang w:bidi="fa-IR"/>
          <w:color w:val="111111"/>
          <w:sz w:val="28"/>
          <w:szCs w:val="28"/>
          <w:rtl/>
        </w:rPr>
        <w:t xml:space="preserve">و اسمه محمد صالح ذهب إلی الهند و تقرب عند عبد الله قطب شاه و دیوانه فی ثلاثین ألف بیت و أخذ صلة فی قبال مدح قطب شاه قدره (300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579" w:name="pg11704_122062"/>
    <w:bookmarkEnd w:id="579"/>
    <w:p>
      <w:pPr>
        <w:pStyle w:val="BookText"/>
      </w:pPr>
      <w:r>
        <w:rPr>
          <w:rFonts w:ascii="IRNazanin" w:hAnsi="IRNazanin" w:eastAsia="IRNazanin" w:cs="IRNazanin"/>
          <w:lang w:bidi="fa-IR"/>
          <w:color w:val="111111"/>
          <w:sz w:val="28"/>
          <w:szCs w:val="28"/>
          <w:rtl/>
        </w:rPr>
        <w:t xml:space="preserve">تومانا تبریزیا) کذا فی شعر و شاعری صفوی لصدر هاشمی (ص 33) و أظنه صالح البروجردی أو الأصفهانی و جاء شعره فی گلستان مسرت أیضا و مر فی (7: 261) استقبال ضمیری لدیوان صالح‏</w:t>
      </w:r>
    </w:p>
    <w:p>
      <w:pPr>
        <w:pStyle w:val="Heading3"/>
      </w:pPr>
      <w:bookmarkStart w:id="5599" w:name="_Toc4295"/>
      <w:r>
        <w:t>دیوان صالحای مشهدی أو شعره‏</w:t>
      </w:r>
      <w:bookmarkEnd w:id="5599"/>
    </w:p>
    <w:p>
      <w:pPr>
        <w:pStyle w:val="BookText"/>
      </w:pPr>
      <w:r>
        <w:rPr>
          <w:rFonts w:ascii="IRNazanin" w:hAnsi="IRNazanin" w:eastAsia="IRNazanin" w:cs="IRNazanin"/>
          <w:lang w:bidi="fa-IR"/>
          <w:color w:val="111111"/>
          <w:sz w:val="28"/>
          <w:szCs w:val="28"/>
          <w:rtl/>
        </w:rPr>
        <w:t xml:space="preserve">ترجمه و ذکر شعره فی (نر 9- ص 325) و أظنه متحدا مع صالحی مشهدی‏</w:t>
      </w:r>
    </w:p>
    <w:p>
      <w:pPr>
        <w:pStyle w:val="Heading3"/>
      </w:pPr>
      <w:bookmarkStart w:id="5600" w:name="_Toc4296"/>
      <w:r>
        <w:t>دیوان صالح أصفهانی‏</w:t>
      </w:r>
      <w:bookmarkEnd w:id="5600"/>
    </w:p>
    <w:p>
      <w:pPr>
        <w:pStyle w:val="BookText"/>
      </w:pPr>
      <w:r>
        <w:rPr>
          <w:rFonts w:ascii="IRNazanin" w:hAnsi="IRNazanin" w:eastAsia="IRNazanin" w:cs="IRNazanin"/>
          <w:lang w:bidi="fa-IR"/>
          <w:color w:val="111111"/>
          <w:sz w:val="28"/>
          <w:szCs w:val="28"/>
          <w:rtl/>
        </w:rPr>
        <w:t xml:space="preserve">مر بعنوان درویش محمد صالح‏</w:t>
      </w:r>
    </w:p>
    <w:p>
      <w:pPr>
        <w:pStyle w:val="Heading3"/>
      </w:pPr>
      <w:bookmarkStart w:id="5601" w:name="_Toc4297"/>
      <w:r>
        <w:t>دیوان صالح أصفهانی أو شعره‏</w:t>
      </w:r>
      <w:bookmarkEnd w:id="5601"/>
    </w:p>
    <w:p>
      <w:pPr>
        <w:pStyle w:val="BookText"/>
      </w:pPr>
      <w:r>
        <w:rPr>
          <w:rFonts w:ascii="IRNazanin" w:hAnsi="IRNazanin" w:eastAsia="IRNazanin" w:cs="IRNazanin"/>
          <w:lang w:bidi="fa-IR"/>
          <w:color w:val="111111"/>
          <w:sz w:val="28"/>
          <w:szCs w:val="28"/>
          <w:rtl/>
        </w:rPr>
        <w:t xml:space="preserve">کان من أحفاد طبیب الدین الأصفهانی تقرب عند جهانگیر و شاه‏جهان، و مات (13 شوال 1043) أورد شعره فی (گلشن- ص 243)</w:t>
      </w:r>
    </w:p>
    <w:p>
      <w:pPr>
        <w:pStyle w:val="Heading3"/>
      </w:pPr>
      <w:bookmarkStart w:id="5602" w:name="_Toc4298"/>
      <w:r>
        <w:t>3221- دیوان صالح أصفهانی أو شعره‏</w:t>
      </w:r>
      <w:bookmarkEnd w:id="5602"/>
    </w:p>
    <w:p>
      <w:pPr>
        <w:pStyle w:val="BookText"/>
      </w:pPr>
      <w:r>
        <w:rPr>
          <w:rFonts w:ascii="IRNazanin" w:hAnsi="IRNazanin" w:eastAsia="IRNazanin" w:cs="IRNazanin"/>
          <w:lang w:bidi="fa-IR"/>
          <w:color w:val="111111"/>
          <w:sz w:val="28"/>
          <w:szCs w:val="28"/>
          <w:rtl/>
        </w:rPr>
        <w:t xml:space="preserve">أورد شعره النصرآبادی فی (نر 9 ص 442) و الظاهر أنه غیر درویش صالح المذکور فی الدال‏</w:t>
      </w:r>
    </w:p>
    <w:p>
      <w:pPr>
        <w:pStyle w:val="Heading3"/>
      </w:pPr>
      <w:bookmarkStart w:id="5603" w:name="_Toc4299"/>
      <w:r>
        <w:t>3222- دیوان صالح باکوئی أو شعره‏</w:t>
      </w:r>
      <w:bookmarkEnd w:id="5603"/>
    </w:p>
    <w:p>
      <w:pPr>
        <w:pStyle w:val="BookText"/>
      </w:pPr>
      <w:r>
        <w:rPr>
          <w:rFonts w:ascii="IRNazanin" w:hAnsi="IRNazanin" w:eastAsia="IRNazanin" w:cs="IRNazanin"/>
          <w:lang w:bidi="fa-IR"/>
          <w:color w:val="111111"/>
          <w:sz w:val="28"/>
          <w:szCs w:val="28"/>
          <w:rtl/>
        </w:rPr>
        <w:t xml:space="preserve">ترجمه و أورد شعره فی (دجا- ص 214)</w:t>
      </w:r>
    </w:p>
    <w:p>
      <w:pPr>
        <w:pStyle w:val="Heading3"/>
      </w:pPr>
      <w:bookmarkStart w:id="5604" w:name="_Toc4300"/>
      <w:r>
        <w:t>3223- دیوان صالح البحرانی‏</w:t>
      </w:r>
      <w:bookmarkEnd w:id="5604"/>
    </w:p>
    <w:p>
      <w:pPr>
        <w:pStyle w:val="BookText"/>
      </w:pPr>
      <w:r>
        <w:rPr>
          <w:rFonts w:ascii="IRNazanin" w:hAnsi="IRNazanin" w:eastAsia="IRNazanin" w:cs="IRNazanin"/>
          <w:lang w:bidi="fa-IR"/>
          <w:color w:val="111111"/>
          <w:sz w:val="28"/>
          <w:szCs w:val="28"/>
          <w:rtl/>
        </w:rPr>
        <w:t xml:space="preserve">و هو الشیخ صالح بن طعان بن ناصر بن علی الستری البحرانی البرکویانی المتوفی بالطاعون فی مکة (1281) و الدیوان فی المراثی، مطبوع فی بمبئی و رأیت رثاءه للشیخ سلیمان بن أحمد بن عبد الجبار فی (1262) فی (22 بیتا) بخط صاحب أنوار البدرین و ولده الشیخ أحمد بن صالح المولود (1251) و له أیضا دیوان مطبوع بمبئی، و توفی (1315)</w:t>
      </w:r>
      <w:r>
        <w:rPr>
          <w:rStyle w:val="FootnoteReference"/>
        </w:rPr>
        <w:footnoteReference w:id="49"/>
      </w:r>
    </w:p>
    <w:p>
      <w:pPr>
        <w:pStyle w:val="Heading3"/>
      </w:pPr>
      <w:bookmarkStart w:id="5605" w:name="_Toc4301"/>
      <w:r>
        <w:t>3224- دیوان صالح بدخشانی أو شعره‏</w:t>
      </w:r>
      <w:bookmarkEnd w:id="5605"/>
    </w:p>
    <w:p>
      <w:pPr>
        <w:pStyle w:val="BookText"/>
      </w:pPr>
      <w:r>
        <w:rPr>
          <w:rFonts w:ascii="IRNazanin" w:hAnsi="IRNazanin" w:eastAsia="IRNazanin" w:cs="IRNazanin"/>
          <w:lang w:bidi="fa-IR"/>
          <w:color w:val="111111"/>
          <w:sz w:val="28"/>
          <w:szCs w:val="28"/>
          <w:rtl/>
        </w:rPr>
        <w:t xml:space="preserve">ترجمه و أورد شعره فی (گلشن- ص 243)</w:t>
      </w:r>
    </w:p>
    <w:p>
      <w:pPr>
        <w:pStyle w:val="Heading3"/>
      </w:pPr>
      <w:bookmarkStart w:id="5606" w:name="_Toc4302"/>
      <w:r>
        <w:t>3225- دیوان صالح بروجردی أو شعره‏</w:t>
      </w:r>
      <w:bookmarkEnd w:id="5606"/>
    </w:p>
    <w:p>
      <w:pPr>
        <w:pStyle w:val="BookText"/>
      </w:pPr>
      <w:r>
        <w:rPr>
          <w:rFonts w:ascii="IRNazanin" w:hAnsi="IRNazanin" w:eastAsia="IRNazanin" w:cs="IRNazanin"/>
          <w:lang w:bidi="fa-IR"/>
          <w:color w:val="111111"/>
          <w:sz w:val="28"/>
          <w:szCs w:val="28"/>
          <w:rtl/>
        </w:rPr>
        <w:t xml:space="preserve">ترجمه النصرآبادی فی (نر 5- ص 111) و قال هو من سادات بروجرد و ذهب إلی الهند و تقرب عند سلطانها</w:t>
      </w:r>
    </w:p>
    <w:p>
      <w:pPr>
        <w:pStyle w:val="Heading3"/>
      </w:pPr>
      <w:bookmarkStart w:id="5607" w:name="_Toc4303"/>
      <w:r>
        <w:t>3226- دیوان صالح بیگ أو شعره‏</w:t>
      </w:r>
      <w:bookmarkEnd w:id="5607"/>
    </w:p>
    <w:p>
      <w:pPr>
        <w:pStyle w:val="BookText"/>
      </w:pPr>
      <w:r>
        <w:rPr>
          <w:rFonts w:ascii="IRNazanin" w:hAnsi="IRNazanin" w:eastAsia="IRNazanin" w:cs="IRNazanin"/>
          <w:lang w:bidi="fa-IR"/>
          <w:color w:val="111111"/>
          <w:sz w:val="28"/>
          <w:szCs w:val="28"/>
          <w:rtl/>
        </w:rPr>
        <w:t xml:space="preserve">هو محمد صالح ابن المیرزا مؤمن ابن الخواجة میرزا بیک التبریزی أخ المیرزا أمین المتخلص ساکت ترجمه فی (نر 5- ص 133)</w:t>
      </w:r>
    </w:p>
    <w:p>
      <w:pPr>
        <w:pStyle w:val="Heading3"/>
      </w:pPr>
      <w:bookmarkStart w:id="5608" w:name="_Toc4304"/>
      <w:r>
        <w:t>3227- دیوان صالح بیک أو شعره‏</w:t>
      </w:r>
      <w:bookmarkEnd w:id="5608"/>
    </w:p>
    <w:p>
      <w:pPr>
        <w:pStyle w:val="BookText"/>
      </w:pPr>
      <w:r>
        <w:rPr>
          <w:rFonts w:ascii="IRNazanin" w:hAnsi="IRNazanin" w:eastAsia="IRNazanin" w:cs="IRNazanin"/>
          <w:lang w:bidi="fa-IR"/>
          <w:color w:val="111111"/>
          <w:sz w:val="28"/>
          <w:szCs w:val="28"/>
          <w:rtl/>
        </w:rPr>
        <w:t xml:space="preserve">و هو محمد صالح بن مقصود بیک الوزیری ترجمه و أورد شعره فی (خص 5- ص 72) )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580" w:name="pg11704_122063"/>
    <w:bookmarkEnd w:id="580"/>
    <w:p>
      <w:pPr>
        <w:pStyle w:val="Heading3"/>
      </w:pPr>
      <w:bookmarkStart w:id="5609" w:name="_Toc4305"/>
      <w:r>
        <w:t>دیوان صالح تبریزی‏</w:t>
      </w:r>
      <w:bookmarkEnd w:id="5609"/>
    </w:p>
    <w:p>
      <w:pPr>
        <w:pStyle w:val="BookText"/>
      </w:pPr>
      <w:r>
        <w:rPr>
          <w:rFonts w:ascii="IRNazanin" w:hAnsi="IRNazanin" w:eastAsia="IRNazanin" w:cs="IRNazanin"/>
          <w:lang w:bidi="fa-IR"/>
          <w:color w:val="111111"/>
          <w:sz w:val="28"/>
          <w:szCs w:val="28"/>
          <w:rtl/>
        </w:rPr>
        <w:t xml:space="preserve">راجع صالح بیک و صالح صوفی‏</w:t>
      </w:r>
    </w:p>
    <w:p>
      <w:pPr>
        <w:pStyle w:val="Heading3"/>
      </w:pPr>
      <w:bookmarkStart w:id="5610" w:name="_Toc4306"/>
      <w:r>
        <w:t>3228- دیوان صالح تبریزی‏</w:t>
      </w:r>
      <w:bookmarkEnd w:id="5610"/>
    </w:p>
    <w:p>
      <w:pPr>
        <w:pStyle w:val="BookText"/>
      </w:pPr>
      <w:r>
        <w:rPr>
          <w:rFonts w:ascii="IRNazanin" w:hAnsi="IRNazanin" w:eastAsia="IRNazanin" w:cs="IRNazanin"/>
          <w:lang w:bidi="fa-IR"/>
          <w:color w:val="111111"/>
          <w:sz w:val="28"/>
          <w:szCs w:val="28"/>
          <w:rtl/>
        </w:rPr>
        <w:t xml:space="preserve">و اسمه المیرزا صالح کان شیخ الإسلام بتبریز فی عصر النصرآبادی فترجمه فی (نر 5- ص 103) و قال لم یشتک عنه أحد، و أشعاره فارسیة و ترکیة و ترجمه أیضا فی (روشن- ص 378) و (خوش‏گو) و عنه فی (دجا- ص 215) و توجد شعره فی جنگ کتبت (1081) عند (دهخدا) و توجد دیوانه فی (970 بیت) فی (المجلس) کما فی فهرسها (3: 331) یظهر منه تشیعه‏</w:t>
      </w:r>
    </w:p>
    <w:p>
      <w:pPr>
        <w:pStyle w:val="Heading3"/>
      </w:pPr>
      <w:bookmarkStart w:id="5611" w:name="_Toc4307"/>
      <w:r>
        <w:t>3229- دیوان صالح تبریزی أو شعره‏</w:t>
      </w:r>
      <w:bookmarkEnd w:id="5611"/>
    </w:p>
    <w:p>
      <w:pPr>
        <w:pStyle w:val="BookText"/>
      </w:pPr>
      <w:r>
        <w:rPr>
          <w:rFonts w:ascii="IRNazanin" w:hAnsi="IRNazanin" w:eastAsia="IRNazanin" w:cs="IRNazanin"/>
          <w:lang w:bidi="fa-IR"/>
          <w:color w:val="111111"/>
          <w:sz w:val="28"/>
          <w:szCs w:val="28"/>
          <w:rtl/>
        </w:rPr>
        <w:t xml:space="preserve">کان یشتغل ب تفنگ‏سازی فی جیش الشاه‏زاده پرویز أورد شعره فی رثاء فغفور گیلانی فی (1029) فی میخانه- ص 335 و 66 و نقل فی الحاشیة عن مخزن الغرائب أن أشعاره سخیفة و ترجمه أیضا فی (خوش‏گو) و عنهما فی (دجا- ص 215)</w:t>
      </w:r>
    </w:p>
    <w:p>
      <w:pPr>
        <w:pStyle w:val="Heading3"/>
      </w:pPr>
      <w:bookmarkStart w:id="5612" w:name="_Toc4308"/>
      <w:r>
        <w:t>3230- دیوان صالح ترکمان أو شعره‏</w:t>
      </w:r>
      <w:bookmarkEnd w:id="5612"/>
    </w:p>
    <w:p>
      <w:pPr>
        <w:pStyle w:val="BookText"/>
      </w:pPr>
      <w:r>
        <w:rPr>
          <w:rFonts w:ascii="IRNazanin" w:hAnsi="IRNazanin" w:eastAsia="IRNazanin" w:cs="IRNazanin"/>
          <w:lang w:bidi="fa-IR"/>
          <w:color w:val="111111"/>
          <w:sz w:val="28"/>
          <w:szCs w:val="28"/>
          <w:rtl/>
        </w:rPr>
        <w:t xml:space="preserve">و هو محمد صالح بن علی خان الترکمان ترجمه و أورد شعره الصادقی فی (خص 5- ص 68)</w:t>
      </w:r>
    </w:p>
    <w:p>
      <w:pPr>
        <w:pStyle w:val="Heading3"/>
      </w:pPr>
      <w:bookmarkStart w:id="5613" w:name="_Toc4309"/>
      <w:r>
        <w:t>3231- دیوان الشیخ صالح التمیمی‏</w:t>
      </w:r>
      <w:bookmarkEnd w:id="5613"/>
    </w:p>
    <w:p>
      <w:pPr>
        <w:pStyle w:val="BookText"/>
      </w:pPr>
      <w:r>
        <w:rPr>
          <w:rFonts w:ascii="IRNazanin" w:hAnsi="IRNazanin" w:eastAsia="IRNazanin" w:cs="IRNazanin"/>
          <w:lang w:bidi="fa-IR"/>
          <w:color w:val="111111"/>
          <w:sz w:val="28"/>
          <w:szCs w:val="28"/>
          <w:rtl/>
        </w:rPr>
        <w:t xml:space="preserve">ابن الشیخ درویش بن الشیخ زینی التمیمی المولود (1190) أو (1188) فی الکاظمیة و المتوفی بها (16 شعبان 1261) مات أبوه و هو صغیر و هاجر إلی النجف و حضر درس سیدنا بحر العلوم و عاشر الأدباء و الشعراء من أعضاء معرکة الخمیس کالنحوی و الفحام و الزینی و الأعسمی و غیرهم و بعد وفاه بحر العلوم هاجر إلی الحلة و اتصل بمشایخ العشائر الفراتیة و غیرها و طلبه داود پاشا إلی بغداد فی (1232) فصار مقدما عنده موظفا منه. و جمع دیوانه بعد موته ولده الشیخ کاظم بإشارة من مصاحبه عبد الباقی العمری، فرتبه علی حروف القافیة، و طبعه علی الخاقانی صاحب مجلة البیان و کتب له مقدمه فی (14 ص) و علق علیه تعلیقات فی (1367) و فی المقدمة ترجمه الناظم و تواریخ حیاته، و تصانیفه شرک العقول و وشاح الرود و الاخبار المستفادة و غیرها.</w:t>
      </w:r>
    </w:p>
    <w:p>
      <w:pPr>
        <w:pStyle w:val="Heading3"/>
      </w:pPr>
      <w:bookmarkStart w:id="5614" w:name="_Toc4310"/>
      <w:r>
        <w:t>3232- دیوان الشیخ محمد صالح الجامعی‏</w:t>
      </w:r>
      <w:bookmarkEnd w:id="5614"/>
    </w:p>
    <w:p>
      <w:pPr>
        <w:pStyle w:val="BookText"/>
      </w:pPr>
      <w:r>
        <w:rPr>
          <w:rFonts w:ascii="IRNazanin" w:hAnsi="IRNazanin" w:eastAsia="IRNazanin" w:cs="IRNazanin"/>
          <w:lang w:bidi="fa-IR"/>
          <w:color w:val="111111"/>
          <w:sz w:val="28"/>
          <w:szCs w:val="28"/>
          <w:rtl/>
        </w:rPr>
        <w:t xml:space="preserve">ابن الشیخ قاسم بن محمد بن أحمد بن علی بن الحسین بن الشیخ محیی الدین الجامعی العاملی المتوفی بالنجف فی نیف و عشرین و ثلاثمائة بعد الألف. دونه السید أحمد المدعو بالسید آقا التستری فی مجموعة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581" w:name="pg11704_122064"/>
    <w:bookmarkEnd w:id="581"/>
    <w:p>
      <w:pPr>
        <w:pStyle w:val="BookText"/>
      </w:pPr>
      <w:r>
        <w:rPr>
          <w:rFonts w:ascii="IRNazanin" w:hAnsi="IRNazanin" w:eastAsia="IRNazanin" w:cs="IRNazanin"/>
          <w:lang w:bidi="fa-IR"/>
          <w:color w:val="111111"/>
          <w:sz w:val="28"/>
          <w:szCs w:val="28"/>
          <w:rtl/>
        </w:rPr>
        <w:t xml:space="preserve">له، و فیه قصائد کثیرة فی مدح السید محمد بحر العلوم و السید محسن و غیرهما من آل بحر العلوم و فیه رثاء السید الشیرازی و السید إسماعیل العقیلی النوری و غیرهما.</w:t>
      </w:r>
    </w:p>
    <w:p>
      <w:pPr>
        <w:pStyle w:val="Heading3"/>
      </w:pPr>
      <w:bookmarkStart w:id="5615" w:name="_Toc4311"/>
      <w:r>
        <w:t>3233- دیوان صالح جغتائی أو شعره‏</w:t>
      </w:r>
      <w:bookmarkEnd w:id="5615"/>
    </w:p>
    <w:p>
      <w:pPr>
        <w:pStyle w:val="BookText"/>
      </w:pPr>
      <w:r>
        <w:rPr>
          <w:rFonts w:ascii="IRNazanin" w:hAnsi="IRNazanin" w:eastAsia="IRNazanin" w:cs="IRNazanin"/>
          <w:lang w:bidi="fa-IR"/>
          <w:color w:val="111111"/>
          <w:sz w:val="28"/>
          <w:szCs w:val="28"/>
          <w:rtl/>
        </w:rPr>
        <w:t xml:space="preserve">هو محمد صالح بن الأمیر نور سعد من أحفاد المیر شاه ملک من أمراء تیمور لنگ. تلمذ علی الجامی و مات ببخارا فی (941) کذا فی (تش- ص 16) و العجب أنه أورد له شعرا أوردها بعینه لهمایون أسفراینی فی (تش- 66) و عنه کذلک فی القاموس الترکی. و نسب إلیه راز و نیاز. و ترجمه فی (مجن 5- ص 110 و 283) و سمی والده نور سعید و أمیر سعید. و ترجم أیضا فی (گلشن- ص 243) و (تغ 78) و (پژمان 261).</w:t>
      </w:r>
    </w:p>
    <w:p>
      <w:pPr>
        <w:pStyle w:val="Heading3"/>
      </w:pPr>
      <w:bookmarkStart w:id="5616" w:name="_Toc4312"/>
      <w:r>
        <w:t>دیوان صالح خاموش‏</w:t>
      </w:r>
      <w:bookmarkEnd w:id="5616"/>
    </w:p>
    <w:p>
      <w:pPr>
        <w:pStyle w:val="BookText"/>
      </w:pPr>
      <w:r>
        <w:rPr>
          <w:rFonts w:ascii="IRNazanin" w:hAnsi="IRNazanin" w:eastAsia="IRNazanin" w:cs="IRNazanin"/>
          <w:lang w:bidi="fa-IR"/>
          <w:color w:val="111111"/>
          <w:sz w:val="28"/>
          <w:szCs w:val="28"/>
          <w:rtl/>
        </w:rPr>
        <w:t xml:space="preserve">مر فی الخاء.</w:t>
      </w:r>
    </w:p>
    <w:p>
      <w:pPr>
        <w:pStyle w:val="Heading3"/>
      </w:pPr>
      <w:bookmarkStart w:id="5617" w:name="_Toc4313"/>
      <w:r>
        <w:t>3234- دیوان صالح خراسانی أو شعره‏</w:t>
      </w:r>
      <w:bookmarkEnd w:id="5617"/>
    </w:p>
    <w:p>
      <w:pPr>
        <w:pStyle w:val="BookText"/>
      </w:pPr>
      <w:r>
        <w:rPr>
          <w:rFonts w:ascii="IRNazanin" w:hAnsi="IRNazanin" w:eastAsia="IRNazanin" w:cs="IRNazanin"/>
          <w:lang w:bidi="fa-IR"/>
          <w:color w:val="111111"/>
          <w:sz w:val="28"/>
          <w:szCs w:val="28"/>
          <w:rtl/>
        </w:rPr>
        <w:t xml:space="preserve">تعلم العروض بعد أن مهر فی الشعر، و سکن حصار شادمان و صار کتاب دارا لمکتبة حاکمها. ترجمه المیر علی شیر فی (مجن 6- ص 118 و 290) و أورد غزله بتخلص صالح فی (ص 290) و لکن جاء اسمه فی (ص 118) صالحی غلطا و کذا فی (گلشن- ص 244). و فی (حسینی ص 186) بعنوان صالحی کتاب دار.</w:t>
      </w:r>
    </w:p>
    <w:p>
      <w:pPr>
        <w:pStyle w:val="Heading3"/>
      </w:pPr>
      <w:bookmarkStart w:id="5618" w:name="_Toc4314"/>
      <w:r>
        <w:t>دیوان صالح الستری‏</w:t>
      </w:r>
      <w:bookmarkEnd w:id="5618"/>
    </w:p>
    <w:p>
      <w:pPr>
        <w:pStyle w:val="BookText"/>
      </w:pPr>
      <w:r>
        <w:rPr>
          <w:rFonts w:ascii="IRNazanin" w:hAnsi="IRNazanin" w:eastAsia="IRNazanin" w:cs="IRNazanin"/>
          <w:lang w:bidi="fa-IR"/>
          <w:color w:val="111111"/>
          <w:sz w:val="28"/>
          <w:szCs w:val="28"/>
          <w:rtl/>
        </w:rPr>
        <w:t xml:space="preserve">مر صالح البحرانی.</w:t>
      </w:r>
    </w:p>
    <w:p>
      <w:pPr>
        <w:pStyle w:val="Heading3"/>
      </w:pPr>
      <w:bookmarkStart w:id="5619" w:name="_Toc4315"/>
      <w:r>
        <w:t>دیوان صالح سیار</w:t>
      </w:r>
      <w:bookmarkEnd w:id="5619"/>
    </w:p>
    <w:p>
      <w:pPr>
        <w:pStyle w:val="BookText"/>
      </w:pPr>
      <w:r>
        <w:rPr>
          <w:rFonts w:ascii="IRNazanin" w:hAnsi="IRNazanin" w:eastAsia="IRNazanin" w:cs="IRNazanin"/>
          <w:lang w:bidi="fa-IR"/>
          <w:color w:val="111111"/>
          <w:sz w:val="28"/>
          <w:szCs w:val="28"/>
          <w:rtl/>
        </w:rPr>
        <w:t xml:space="preserve">کما فی (نر 9- ص 308) مر بعنوان دیوان ستار تبریزی.</w:t>
      </w:r>
    </w:p>
    <w:p>
      <w:pPr>
        <w:pStyle w:val="Heading3"/>
      </w:pPr>
      <w:bookmarkStart w:id="5620" w:name="_Toc4316"/>
      <w:r>
        <w:t>3235- دیوان صالح شوشتری أو شعره‏</w:t>
      </w:r>
      <w:bookmarkEnd w:id="5620"/>
    </w:p>
    <w:p>
      <w:pPr>
        <w:pStyle w:val="BookText"/>
      </w:pPr>
      <w:r>
        <w:rPr>
          <w:rFonts w:ascii="IRNazanin" w:hAnsi="IRNazanin" w:eastAsia="IRNazanin" w:cs="IRNazanin"/>
          <w:lang w:bidi="fa-IR"/>
          <w:color w:val="111111"/>
          <w:sz w:val="28"/>
          <w:szCs w:val="28"/>
          <w:rtl/>
        </w:rPr>
        <w:t xml:space="preserve">و اسمه محمد صالح، من طلاب العلم.</w:t>
      </w:r>
    </w:p>
    <w:p>
      <w:pPr>
        <w:pStyle w:val="BookText"/>
      </w:pPr>
      <w:r>
        <w:rPr>
          <w:rFonts w:ascii="IRNazanin" w:hAnsi="IRNazanin" w:eastAsia="IRNazanin" w:cs="IRNazanin"/>
          <w:lang w:bidi="fa-IR"/>
          <w:color w:val="111111"/>
          <w:sz w:val="28"/>
          <w:szCs w:val="28"/>
          <w:rtl/>
        </w:rPr>
        <w:t xml:space="preserve">ترجمه النصرآبادی فی (نر 9- ص 356) و أورد شعره.</w:t>
      </w:r>
    </w:p>
    <w:p>
      <w:pPr>
        <w:pStyle w:val="Heading3"/>
      </w:pPr>
      <w:bookmarkStart w:id="5621" w:name="_Toc4317"/>
      <w:r>
        <w:t>3236- دیوان محمد صالح شیرازی أو شعره‏</w:t>
      </w:r>
      <w:bookmarkEnd w:id="5621"/>
    </w:p>
    <w:p>
      <w:pPr>
        <w:pStyle w:val="BookText"/>
      </w:pPr>
      <w:r>
        <w:rPr>
          <w:rFonts w:ascii="IRNazanin" w:hAnsi="IRNazanin" w:eastAsia="IRNazanin" w:cs="IRNazanin"/>
          <w:lang w:bidi="fa-IR"/>
          <w:color w:val="111111"/>
          <w:sz w:val="28"/>
          <w:szCs w:val="28"/>
          <w:rtl/>
        </w:rPr>
        <w:t xml:space="preserve">هاجر من شیراز إلی أصفهان، و بها توفی، ذکره معاصره النصرآبادی فی (نر 9- ص 425) مع بعض شعره. و ذکر فی (روشن ص 379) شعر صالح الشیرازی الزرکش.</w:t>
      </w:r>
    </w:p>
    <w:p>
      <w:pPr>
        <w:pStyle w:val="Heading3"/>
      </w:pPr>
      <w:bookmarkStart w:id="5622" w:name="_Toc4318"/>
      <w:r>
        <w:t>3237- دیوان صالح صوفی أو شعره‏</w:t>
      </w:r>
      <w:bookmarkEnd w:id="5622"/>
    </w:p>
    <w:p>
      <w:pPr>
        <w:pStyle w:val="BookText"/>
      </w:pPr>
      <w:r>
        <w:rPr>
          <w:rFonts w:ascii="IRNazanin" w:hAnsi="IRNazanin" w:eastAsia="IRNazanin" w:cs="IRNazanin"/>
          <w:lang w:bidi="fa-IR"/>
          <w:color w:val="111111"/>
          <w:sz w:val="28"/>
          <w:szCs w:val="28"/>
          <w:rtl/>
        </w:rPr>
        <w:t xml:space="preserve">من شعراء عهد الشاه عباس الثانی و معاصر بقائی تفرشی. أورد شعره فی (دجا 217) نقلا عن لطائف الخیال للبقائی.</w:t>
      </w:r>
    </w:p>
    <w:p>
      <w:pPr>
        <w:pStyle w:val="Heading3"/>
      </w:pPr>
      <w:bookmarkStart w:id="5623" w:name="_Toc4319"/>
      <w:r>
        <w:t>3238- دیوان السید صالح القزوینی النجفی‏</w:t>
      </w:r>
      <w:bookmarkEnd w:id="5623"/>
    </w:p>
    <w:p>
      <w:pPr>
        <w:pStyle w:val="BookText"/>
      </w:pPr>
      <w:r>
        <w:rPr>
          <w:rFonts w:ascii="IRNazanin" w:hAnsi="IRNazanin" w:eastAsia="IRNazanin" w:cs="IRNazanin"/>
          <w:lang w:bidi="fa-IR"/>
          <w:color w:val="111111"/>
          <w:sz w:val="28"/>
          <w:szCs w:val="28"/>
          <w:rtl/>
        </w:rPr>
        <w:t xml:space="preserve">ناظم الدرر الغرویة المذکور فی (8: 128) جمع دیوانه هذا الشیخ إبراهیم صادق العاملی الذی توفی (1283) بخطه، و کتب‏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582" w:name="pg11704_122065"/>
    <w:bookmarkEnd w:id="582"/>
    <w:p>
      <w:pPr>
        <w:pStyle w:val="BookText"/>
      </w:pPr>
      <w:r>
        <w:rPr>
          <w:rFonts w:ascii="IRNazanin" w:hAnsi="IRNazanin" w:eastAsia="IRNazanin" w:cs="IRNazanin"/>
          <w:lang w:bidi="fa-IR"/>
          <w:color w:val="111111"/>
          <w:sz w:val="28"/>
          <w:szCs w:val="28"/>
          <w:rtl/>
        </w:rPr>
        <w:t xml:space="preserve">بعض آخر دیباجة لهذه النسخة و ذکر فیها ترجمه الناظم مفصلا. و قد اشتراه الأب انستاس و بعد موته نقل إلی مکتبة الآثار ببغداد مع ألف و خمسمائة و نیف من مخطوطات کتب انستاس. و هو تحت رقم (1220) من مخطوطات انستاس، و هو کبیر القطع، ضخم لعله تبلغ عشرة آلاف بیت علی ما خمنه من رآه. هذا و قد جمع دیوانه الشیخ محمد السماوی أیضا کما أنه جمع أیضا دیوان السید راضی بن السید صالح المتوفی فی حیاة والده (1281) کما مر فی (ص 347).</w:t>
      </w:r>
    </w:p>
    <w:p>
      <w:pPr>
        <w:pStyle w:val="Heading3"/>
      </w:pPr>
      <w:bookmarkStart w:id="5624" w:name="_Toc4320"/>
      <w:r>
        <w:t>دیوان صالح کابلی‏</w:t>
      </w:r>
      <w:bookmarkEnd w:id="5624"/>
    </w:p>
    <w:p>
      <w:pPr>
        <w:pStyle w:val="BookText"/>
      </w:pPr>
      <w:r>
        <w:rPr>
          <w:rFonts w:ascii="IRNazanin" w:hAnsi="IRNazanin" w:eastAsia="IRNazanin" w:cs="IRNazanin"/>
          <w:lang w:bidi="fa-IR"/>
          <w:color w:val="111111"/>
          <w:sz w:val="28"/>
          <w:szCs w:val="28"/>
          <w:rtl/>
        </w:rPr>
        <w:t xml:space="preserve">کما فی (حسینی- ص 185) مر بعنوان شکسته کابلی فی (ص 535).</w:t>
      </w:r>
    </w:p>
    <w:p>
      <w:pPr>
        <w:pStyle w:val="Heading3"/>
      </w:pPr>
      <w:bookmarkStart w:id="5625" w:name="_Toc4321"/>
      <w:r>
        <w:t>3239- دیوان صالح کاشی أو شعره‏</w:t>
      </w:r>
      <w:bookmarkEnd w:id="5625"/>
    </w:p>
    <w:p>
      <w:pPr>
        <w:pStyle w:val="BookText"/>
      </w:pPr>
      <w:r>
        <w:rPr>
          <w:rFonts w:ascii="IRNazanin" w:hAnsi="IRNazanin" w:eastAsia="IRNazanin" w:cs="IRNazanin"/>
          <w:lang w:bidi="fa-IR"/>
          <w:color w:val="111111"/>
          <w:sz w:val="28"/>
          <w:szCs w:val="28"/>
          <w:rtl/>
        </w:rPr>
        <w:t xml:space="preserve">سافر إلی الهند و مات بلاهور. أورد بعض شعره فی (گلشن- ص 243).</w:t>
      </w:r>
    </w:p>
    <w:p>
      <w:pPr>
        <w:pStyle w:val="Heading3"/>
      </w:pPr>
      <w:bookmarkStart w:id="5626" w:name="_Toc4322"/>
      <w:r>
        <w:t>3240- دیوان الشیخ صالح الکواز</w:t>
      </w:r>
      <w:bookmarkEnd w:id="5626"/>
    </w:p>
    <w:p>
      <w:pPr>
        <w:pStyle w:val="BookText"/>
      </w:pPr>
      <w:r>
        <w:rPr>
          <w:rFonts w:ascii="IRNazanin" w:hAnsi="IRNazanin" w:eastAsia="IRNazanin" w:cs="IRNazanin"/>
          <w:lang w:bidi="fa-IR"/>
          <w:color w:val="111111"/>
          <w:sz w:val="28"/>
          <w:szCs w:val="28"/>
          <w:rtl/>
        </w:rPr>
        <w:t xml:space="preserve">هو ابن حمزة الکواز آل نوح الشمری الحلی المتوفی (1291) و هو أصغر من أخیه حمادی نوح المتوفی (1279) و قد جمع دیوان أخیه أیضا. و رأیت کثیرا من مراثیه فیما دونه الشیخ حسن بن علی الحلی (1330).</w:t>
      </w:r>
    </w:p>
    <w:p>
      <w:pPr>
        <w:pStyle w:val="Heading3"/>
      </w:pPr>
      <w:bookmarkStart w:id="5627" w:name="_Toc4323"/>
      <w:r>
        <w:t>دیوان صالح لاهیجی‏</w:t>
      </w:r>
      <w:bookmarkEnd w:id="5627"/>
    </w:p>
    <w:p>
      <w:pPr>
        <w:pStyle w:val="BookText"/>
      </w:pPr>
      <w:r>
        <w:rPr>
          <w:rFonts w:ascii="IRNazanin" w:hAnsi="IRNazanin" w:eastAsia="IRNazanin" w:cs="IRNazanin"/>
          <w:lang w:bidi="fa-IR"/>
          <w:color w:val="111111"/>
          <w:sz w:val="28"/>
          <w:szCs w:val="28"/>
          <w:rtl/>
        </w:rPr>
        <w:t xml:space="preserve">کما فی شعراء گیلان- ص 102 مر بعنوان دافع لاهیجی.</w:t>
      </w:r>
    </w:p>
    <w:p>
      <w:pPr>
        <w:pStyle w:val="Heading3"/>
      </w:pPr>
      <w:bookmarkStart w:id="5628" w:name="_Toc4324"/>
      <w:r>
        <w:t>3241- دیوان الشیخ محمد صالح المازندرانی‏</w:t>
      </w:r>
      <w:bookmarkEnd w:id="5628"/>
    </w:p>
    <w:p>
      <w:pPr>
        <w:pStyle w:val="BookText"/>
      </w:pPr>
      <w:r>
        <w:rPr>
          <w:rFonts w:ascii="IRNazanin" w:hAnsi="IRNazanin" w:eastAsia="IRNazanin" w:cs="IRNazanin"/>
          <w:lang w:bidi="fa-IR"/>
          <w:color w:val="111111"/>
          <w:sz w:val="28"/>
          <w:szCs w:val="28"/>
          <w:rtl/>
        </w:rPr>
        <w:t xml:space="preserve">ابن المیرزا فضل الله بن المولی محمد حسن المازندرانی الحائری المولود بها (1297) و نزل مشهد خراسان و أخیرا سمنان و هو فارسی فی مدائح المعصومین فی (ص 550) کما ذکره فی فهرس تصانیفه.</w:t>
      </w:r>
    </w:p>
    <w:p>
      <w:pPr>
        <w:pStyle w:val="Heading3"/>
      </w:pPr>
      <w:bookmarkStart w:id="5629" w:name="_Toc4325"/>
      <w:r>
        <w:t>3242- دیوان الشیخ محمد صالح‏</w:t>
      </w:r>
      <w:bookmarkEnd w:id="5629"/>
    </w:p>
    <w:p>
      <w:pPr>
        <w:pStyle w:val="BookText"/>
      </w:pPr>
      <w:r>
        <w:rPr>
          <w:rFonts w:ascii="IRNazanin" w:hAnsi="IRNazanin" w:eastAsia="IRNazanin" w:cs="IRNazanin"/>
          <w:lang w:bidi="fa-IR"/>
          <w:color w:val="111111"/>
          <w:sz w:val="28"/>
          <w:szCs w:val="28"/>
          <w:rtl/>
        </w:rPr>
        <w:t xml:space="preserve">المذکور. فیه أشعاره بالعربیة و منها المیمیة البدیعیة و نونیة العجم و غیرهما من القصائد الطوال و مر البدیعیة فی (3: 75).</w:t>
      </w:r>
    </w:p>
    <w:p>
      <w:pPr>
        <w:pStyle w:val="Heading3"/>
      </w:pPr>
      <w:bookmarkStart w:id="5630" w:name="_Toc4326"/>
      <w:r>
        <w:t>دیوان صالح مشهدی أو شعره‏</w:t>
      </w:r>
      <w:bookmarkEnd w:id="5630"/>
    </w:p>
    <w:p>
      <w:pPr>
        <w:pStyle w:val="BookText"/>
      </w:pPr>
      <w:r>
        <w:rPr>
          <w:rFonts w:ascii="IRNazanin" w:hAnsi="IRNazanin" w:eastAsia="IRNazanin" w:cs="IRNazanin"/>
          <w:lang w:bidi="fa-IR"/>
          <w:color w:val="111111"/>
          <w:sz w:val="28"/>
          <w:szCs w:val="28"/>
          <w:rtl/>
        </w:rPr>
        <w:t xml:space="preserve">کما فی مطلع الشمس- 2: 436 یأتی بعنوان صالحی مشهدی.</w:t>
      </w:r>
    </w:p>
    <w:p>
      <w:pPr>
        <w:pStyle w:val="Heading3"/>
      </w:pPr>
      <w:bookmarkStart w:id="5631" w:name="_Toc4327"/>
      <w:r>
        <w:t>3243- دیوان صالح ملهم أو شعره‏</w:t>
      </w:r>
      <w:bookmarkEnd w:id="5631"/>
    </w:p>
    <w:p>
      <w:pPr>
        <w:pStyle w:val="BookText"/>
      </w:pPr>
      <w:r>
        <w:rPr>
          <w:rFonts w:ascii="IRNazanin" w:hAnsi="IRNazanin" w:eastAsia="IRNazanin" w:cs="IRNazanin"/>
          <w:lang w:bidi="fa-IR"/>
          <w:color w:val="111111"/>
          <w:sz w:val="28"/>
          <w:szCs w:val="28"/>
          <w:rtl/>
        </w:rPr>
        <w:t xml:space="preserve">ترجمه و أورد شعره فی (سرخوش- ص 109).</w:t>
      </w:r>
    </w:p>
    <w:p>
      <w:pPr>
        <w:pStyle w:val="Heading3"/>
      </w:pPr>
      <w:bookmarkStart w:id="5632" w:name="_Toc4328"/>
      <w:r>
        <w:t>3244- دیوان صالح منشی أو شعره‏</w:t>
      </w:r>
      <w:bookmarkEnd w:id="5632"/>
    </w:p>
    <w:p>
      <w:pPr>
        <w:pStyle w:val="BookText"/>
      </w:pPr>
      <w:r>
        <w:rPr>
          <w:rFonts w:ascii="IRNazanin" w:hAnsi="IRNazanin" w:eastAsia="IRNazanin" w:cs="IRNazanin"/>
          <w:lang w:bidi="fa-IR"/>
          <w:color w:val="111111"/>
          <w:sz w:val="28"/>
          <w:szCs w:val="28"/>
          <w:rtl/>
        </w:rPr>
        <w:t xml:space="preserve">هو ابن أخ إسکندر بیک مؤلف تاریخ عالم‏آرا ترجمه معاصره النصرآبادی فی (نر 4- ص 79) و قال کان مدة وزیر لاهیجان و عزل عنها و استأصل حتی توفی من غصته و فی (روشن- ص 379) أنه مهر فی خط النستعلیق.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583" w:name="pg11704_122066"/>
    <w:bookmarkEnd w:id="583"/>
    <w:p>
      <w:pPr>
        <w:pStyle w:val="Heading3"/>
      </w:pPr>
      <w:bookmarkStart w:id="5633" w:name="_Toc4329"/>
      <w:r>
        <w:t>3245- دیوان صالح نصرآبادی‏</w:t>
      </w:r>
      <w:bookmarkEnd w:id="5633"/>
    </w:p>
    <w:p>
      <w:pPr>
        <w:pStyle w:val="BookText"/>
      </w:pPr>
      <w:r>
        <w:rPr>
          <w:rFonts w:ascii="IRNazanin" w:hAnsi="IRNazanin" w:eastAsia="IRNazanin" w:cs="IRNazanin"/>
          <w:lang w:bidi="fa-IR"/>
          <w:color w:val="111111"/>
          <w:sz w:val="28"/>
          <w:szCs w:val="28"/>
          <w:rtl/>
        </w:rPr>
        <w:t xml:space="preserve">نزیل الهند و المتوفی بها فی أوائل سلطنة شاه‏جهان الذی جلس علی الملک بعد موت أبیه فی (1037). و هو والد المیرزا صادق مینا الذی مر أنه جد محمد طاهر النصرآبادی. ترجمه فی (نر 12- ص 452) و أورد بعض شعره. و کذا فی (روشن 379).</w:t>
      </w:r>
    </w:p>
    <w:p>
      <w:pPr>
        <w:pStyle w:val="Heading3"/>
      </w:pPr>
      <w:bookmarkStart w:id="5634" w:name="_Toc4330"/>
      <w:r>
        <w:t>دیوان صالح هروی‏</w:t>
      </w:r>
      <w:bookmarkEnd w:id="5634"/>
    </w:p>
    <w:p>
      <w:pPr>
        <w:pStyle w:val="BookText"/>
      </w:pPr>
      <w:r>
        <w:rPr>
          <w:rFonts w:ascii="IRNazanin" w:hAnsi="IRNazanin" w:eastAsia="IRNazanin" w:cs="IRNazanin"/>
          <w:lang w:bidi="fa-IR"/>
          <w:color w:val="111111"/>
          <w:sz w:val="28"/>
          <w:szCs w:val="28"/>
          <w:rtl/>
        </w:rPr>
        <w:t xml:space="preserve">مر بعنوان صالح جغتائی.</w:t>
      </w:r>
    </w:p>
    <w:p>
      <w:pPr>
        <w:pStyle w:val="Heading3"/>
      </w:pPr>
      <w:bookmarkStart w:id="5635" w:name="_Toc4331"/>
      <w:r>
        <w:t>دیوان صالحی خراسانی‏</w:t>
      </w:r>
      <w:bookmarkEnd w:id="5635"/>
    </w:p>
    <w:p>
      <w:pPr>
        <w:pStyle w:val="BookText"/>
      </w:pPr>
      <w:r>
        <w:rPr>
          <w:rFonts w:ascii="IRNazanin" w:hAnsi="IRNazanin" w:eastAsia="IRNazanin" w:cs="IRNazanin"/>
          <w:lang w:bidi="fa-IR"/>
          <w:color w:val="111111"/>
          <w:sz w:val="28"/>
          <w:szCs w:val="28"/>
          <w:rtl/>
        </w:rPr>
        <w:t xml:space="preserve">مر بعنوان صالح خراسانی.</w:t>
      </w:r>
    </w:p>
    <w:p>
      <w:pPr>
        <w:pStyle w:val="Heading3"/>
      </w:pPr>
      <w:bookmarkStart w:id="5636" w:name="_Toc4332"/>
      <w:r>
        <w:t>دیوان صالحی کتاب دار</w:t>
      </w:r>
      <w:bookmarkEnd w:id="5636"/>
    </w:p>
    <w:p>
      <w:pPr>
        <w:pStyle w:val="BookText"/>
      </w:pPr>
      <w:r>
        <w:rPr>
          <w:rFonts w:ascii="IRNazanin" w:hAnsi="IRNazanin" w:eastAsia="IRNazanin" w:cs="IRNazanin"/>
          <w:lang w:bidi="fa-IR"/>
          <w:color w:val="111111"/>
          <w:sz w:val="28"/>
          <w:szCs w:val="28"/>
          <w:rtl/>
        </w:rPr>
        <w:t xml:space="preserve">مر بعنوان صالح خراسانی.</w:t>
      </w:r>
    </w:p>
    <w:p>
      <w:pPr>
        <w:pStyle w:val="Heading3"/>
      </w:pPr>
      <w:bookmarkStart w:id="5637" w:name="_Toc4333"/>
      <w:r>
        <w:t>دیوان صالحی کرمانی‏</w:t>
      </w:r>
      <w:bookmarkEnd w:id="5637"/>
    </w:p>
    <w:p>
      <w:pPr>
        <w:pStyle w:val="BookText"/>
      </w:pPr>
      <w:r>
        <w:rPr>
          <w:rFonts w:ascii="IRNazanin" w:hAnsi="IRNazanin" w:eastAsia="IRNazanin" w:cs="IRNazanin"/>
          <w:lang w:bidi="fa-IR"/>
          <w:color w:val="111111"/>
          <w:sz w:val="28"/>
          <w:szCs w:val="28"/>
          <w:rtl/>
        </w:rPr>
        <w:t xml:space="preserve">یأتی بعنوان صالحی مشهدی.</w:t>
      </w:r>
    </w:p>
    <w:p>
      <w:pPr>
        <w:pStyle w:val="Heading3"/>
      </w:pPr>
      <w:bookmarkStart w:id="5638" w:name="_Toc4334"/>
      <w:r>
        <w:t>3246- دیوان صالحی مشهدی أو شعره‏</w:t>
      </w:r>
      <w:bookmarkEnd w:id="5638"/>
    </w:p>
    <w:p>
      <w:pPr>
        <w:pStyle w:val="BookText"/>
      </w:pPr>
      <w:r>
        <w:rPr>
          <w:rFonts w:ascii="IRNazanin" w:hAnsi="IRNazanin" w:eastAsia="IRNazanin" w:cs="IRNazanin"/>
          <w:lang w:bidi="fa-IR"/>
          <w:color w:val="111111"/>
          <w:sz w:val="28"/>
          <w:szCs w:val="28"/>
          <w:rtl/>
        </w:rPr>
        <w:t xml:space="preserve">و اسمه مولانا محمد میرک من أحفاد الخواجة عبد الله مروارید الکرمانی. کان فی دار الإنشاء للشاه، ترجمه و أورد شعره فی (خص 4 ص 48) و (تش ص 86) و جاء شعره فی گلستان مسرت- ص 277 و (پژمان- ص 263). و ذکره فی مطلع الشمس- 2: 436 بعنوان صالح مشهدی غلطا. و راجع صالحای مشهدی.</w:t>
      </w:r>
    </w:p>
    <w:p>
      <w:pPr>
        <w:pStyle w:val="Heading3"/>
      </w:pPr>
      <w:bookmarkStart w:id="5639" w:name="_Toc4335"/>
      <w:r>
        <w:t>3247- دیوان صالی أردستانی أو شعره‏</w:t>
      </w:r>
      <w:bookmarkEnd w:id="5639"/>
    </w:p>
    <w:p>
      <w:pPr>
        <w:pStyle w:val="BookText"/>
      </w:pPr>
      <w:r>
        <w:rPr>
          <w:rFonts w:ascii="IRNazanin" w:hAnsi="IRNazanin" w:eastAsia="IRNazanin" w:cs="IRNazanin"/>
          <w:lang w:bidi="fa-IR"/>
          <w:color w:val="111111"/>
          <w:sz w:val="28"/>
          <w:szCs w:val="28"/>
          <w:rtl/>
        </w:rPr>
        <w:t xml:space="preserve">من معاصری صاحب صبح گلشن. ترجمه و أورد شعره فی (گلشن- ص 244) و (پژمان- ص 860).</w:t>
      </w:r>
    </w:p>
    <w:p>
      <w:pPr>
        <w:pStyle w:val="Heading3"/>
      </w:pPr>
      <w:bookmarkStart w:id="5640" w:name="_Toc4336"/>
      <w:r>
        <w:t>3248- دیوان صامت أصفهانی‏</w:t>
      </w:r>
      <w:bookmarkEnd w:id="5640"/>
    </w:p>
    <w:p>
      <w:pPr>
        <w:pStyle w:val="BookText"/>
      </w:pPr>
      <w:r>
        <w:rPr>
          <w:rFonts w:ascii="IRNazanin" w:hAnsi="IRNazanin" w:eastAsia="IRNazanin" w:cs="IRNazanin"/>
          <w:lang w:bidi="fa-IR"/>
          <w:color w:val="111111"/>
          <w:sz w:val="28"/>
          <w:szCs w:val="28"/>
          <w:rtl/>
        </w:rPr>
        <w:t xml:space="preserve">و اسمه حاج محمد صادق ابن آقا مؤمن. سافر إلی الهند مدة خمسة عشر سنة و رجع إلی أصفهان ثم عاد إلی الهند. ترجمه و أورد شعره معاصره فی (نر 9- ص 347) و ترجم والده نقلا عن کتاب صالح دستغیب فی (نر 8- ص 210). و قال فی (سرخوش- ص 68) إنه تاجر جاء إلی الهند و له دیوان مختصر و قال الحزین فی تذکرته (ص 88) إن مجموع أشعاره (3000 بیت) و مات قبل خمسین سنة و فی (تغ ص 78) مات فی (1100) و جاء شعره فی گلستان مسرت- ص 73.</w:t>
      </w:r>
    </w:p>
    <w:p>
      <w:pPr>
        <w:pStyle w:val="Heading3"/>
      </w:pPr>
      <w:bookmarkStart w:id="5641" w:name="_Toc4337"/>
      <w:r>
        <w:t>3249- دیوان صامت بروجردی‏</w:t>
      </w:r>
      <w:bookmarkEnd w:id="5641"/>
    </w:p>
    <w:p>
      <w:pPr>
        <w:pStyle w:val="BookText"/>
      </w:pPr>
      <w:r>
        <w:rPr>
          <w:rFonts w:ascii="IRNazanin" w:hAnsi="IRNazanin" w:eastAsia="IRNazanin" w:cs="IRNazanin"/>
          <w:lang w:bidi="fa-IR"/>
          <w:color w:val="111111"/>
          <w:sz w:val="28"/>
          <w:szCs w:val="28"/>
          <w:rtl/>
        </w:rPr>
        <w:t xml:space="preserve">و اسمه محمد باقر. طبع دیوانه ست مرات و فیها الغزل و القطعات و غیرها. و طبع بطهران فی (354 ص) کلها مراثی فی (1308 ش) علی الحجر.</w:t>
      </w:r>
    </w:p>
    <w:p>
      <w:pPr>
        <w:pStyle w:val="Heading3"/>
      </w:pPr>
      <w:bookmarkStart w:id="5642" w:name="_Toc4338"/>
      <w:r>
        <w:t>3250- دیوان صانع بلگرامی أو شعره‏</w:t>
      </w:r>
      <w:bookmarkEnd w:id="5642"/>
    </w:p>
    <w:p>
      <w:pPr>
        <w:pStyle w:val="BookText"/>
      </w:pPr>
      <w:r>
        <w:rPr>
          <w:rFonts w:ascii="IRNazanin" w:hAnsi="IRNazanin" w:eastAsia="IRNazanin" w:cs="IRNazanin"/>
          <w:lang w:bidi="fa-IR"/>
          <w:color w:val="111111"/>
          <w:sz w:val="28"/>
          <w:szCs w:val="28"/>
          <w:rtl/>
        </w:rPr>
        <w:t xml:space="preserve">و هو نظام الدین أحمد، ولد (1139)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584" w:name="pg11704_122067"/>
    <w:bookmarkEnd w:id="584"/>
    <w:p>
      <w:pPr>
        <w:pStyle w:val="BookText"/>
      </w:pPr>
      <w:r>
        <w:rPr>
          <w:rFonts w:ascii="IRNazanin" w:hAnsi="IRNazanin" w:eastAsia="IRNazanin" w:cs="IRNazanin"/>
          <w:lang w:bidi="fa-IR"/>
          <w:color w:val="111111"/>
          <w:sz w:val="28"/>
          <w:szCs w:val="28"/>
          <w:rtl/>
        </w:rPr>
        <w:t xml:space="preserve">و تلمذ علی نوازش علی. ترجمه و أورد شعره فی سرو آزاد- ص 348 و جاء شعر صانع فی گلستان مسرت- ص 62.</w:t>
      </w:r>
    </w:p>
    <w:p>
      <w:pPr>
        <w:pStyle w:val="Heading3"/>
      </w:pPr>
      <w:bookmarkStart w:id="5643" w:name="_Toc4339"/>
      <w:r>
        <w:t>3251- دیوان صانع شاه‏جهان‏آبادی أو شعره‏</w:t>
      </w:r>
      <w:bookmarkEnd w:id="5643"/>
    </w:p>
    <w:p>
      <w:pPr>
        <w:pStyle w:val="BookText"/>
      </w:pPr>
      <w:r>
        <w:rPr>
          <w:rFonts w:ascii="IRNazanin" w:hAnsi="IRNazanin" w:eastAsia="IRNazanin" w:cs="IRNazanin"/>
          <w:lang w:bidi="fa-IR"/>
          <w:color w:val="111111"/>
          <w:sz w:val="28"/>
          <w:szCs w:val="28"/>
          <w:rtl/>
        </w:rPr>
        <w:t xml:space="preserve">و اسمه شاه نذر علی الصوفی. ذهب من دهلی إلی لکهنو و بنارس و مات (1180) ترجمه و أورد شعره فی (گلشن- ص 244).</w:t>
      </w:r>
    </w:p>
    <w:p>
      <w:pPr>
        <w:pStyle w:val="Heading3"/>
      </w:pPr>
      <w:bookmarkStart w:id="5644" w:name="_Toc4340"/>
      <w:r>
        <w:t>3252- دیوان صانعی أو شعره‏</w:t>
      </w:r>
      <w:bookmarkEnd w:id="5644"/>
    </w:p>
    <w:p>
      <w:pPr>
        <w:pStyle w:val="BookText"/>
      </w:pPr>
      <w:r>
        <w:rPr>
          <w:rFonts w:ascii="IRNazanin" w:hAnsi="IRNazanin" w:eastAsia="IRNazanin" w:cs="IRNazanin"/>
          <w:lang w:bidi="fa-IR"/>
          <w:color w:val="111111"/>
          <w:sz w:val="28"/>
          <w:szCs w:val="28"/>
          <w:rtl/>
        </w:rPr>
        <w:t xml:space="preserve">کان من شعراء الشاه طهماسب. أورد شعره فی (گلشن- ص 244). و جاء ذکره فی عبرت‏نامه لطغرای مشهدی کما فی فهرس مکتبة دانشگاه طهران (2: 202).</w:t>
      </w:r>
    </w:p>
    <w:p>
      <w:pPr>
        <w:pStyle w:val="Heading3"/>
      </w:pPr>
      <w:bookmarkStart w:id="5645" w:name="_Toc4341"/>
      <w:r>
        <w:t>3253- دیوان صانعی باخرزی أو شعره‏</w:t>
      </w:r>
      <w:bookmarkEnd w:id="5645"/>
    </w:p>
    <w:p>
      <w:pPr>
        <w:pStyle w:val="BookText"/>
      </w:pPr>
      <w:r>
        <w:rPr>
          <w:rFonts w:ascii="IRNazanin" w:hAnsi="IRNazanin" w:eastAsia="IRNazanin" w:cs="IRNazanin"/>
          <w:lang w:bidi="fa-IR"/>
          <w:color w:val="111111"/>
          <w:sz w:val="28"/>
          <w:szCs w:val="28"/>
          <w:rtl/>
        </w:rPr>
        <w:t xml:space="preserve">کان وزیرا و قتل بید الشاه و دفن بقریة له تسمی زره. له أشعار فی مدح مراده و شیخه الجامی. ترجمه و أورد شعره معاصر فی (مجن 2- ص 52 و 226). و (حسینی- ص 195).</w:t>
      </w:r>
    </w:p>
    <w:p>
      <w:pPr>
        <w:pStyle w:val="Heading3"/>
      </w:pPr>
      <w:bookmarkStart w:id="5646" w:name="_Toc4342"/>
      <w:r>
        <w:t>دیوان صائغ‏</w:t>
      </w:r>
      <w:bookmarkEnd w:id="5646"/>
    </w:p>
    <w:p>
      <w:pPr>
        <w:pStyle w:val="BookText"/>
      </w:pPr>
      <w:r>
        <w:rPr>
          <w:rFonts w:ascii="IRNazanin" w:hAnsi="IRNazanin" w:eastAsia="IRNazanin" w:cs="IRNazanin"/>
          <w:lang w:bidi="fa-IR"/>
          <w:color w:val="111111"/>
          <w:sz w:val="28"/>
          <w:szCs w:val="28"/>
          <w:rtl/>
        </w:rPr>
        <w:t xml:space="preserve">مر بعنوان الصائغ.</w:t>
      </w:r>
    </w:p>
    <w:p>
      <w:pPr>
        <w:pStyle w:val="Heading3"/>
      </w:pPr>
      <w:bookmarkStart w:id="5647" w:name="_Toc4343"/>
      <w:r>
        <w:t>دیوان صائن‏</w:t>
      </w:r>
      <w:bookmarkEnd w:id="5647"/>
    </w:p>
    <w:p>
      <w:pPr>
        <w:pStyle w:val="BookText"/>
      </w:pPr>
      <w:r>
        <w:rPr>
          <w:rFonts w:ascii="IRNazanin" w:hAnsi="IRNazanin" w:eastAsia="IRNazanin" w:cs="IRNazanin"/>
          <w:lang w:bidi="fa-IR"/>
          <w:color w:val="111111"/>
          <w:sz w:val="28"/>
          <w:szCs w:val="28"/>
          <w:rtl/>
        </w:rPr>
        <w:t xml:space="preserve">مر بعنوان الصائن.</w:t>
      </w:r>
    </w:p>
    <w:p>
      <w:pPr>
        <w:pStyle w:val="Heading3"/>
      </w:pPr>
      <w:bookmarkStart w:id="5648" w:name="_Toc4344"/>
      <w:r>
        <w:t>3254- دیوان الصبابة</w:t>
      </w:r>
      <w:bookmarkEnd w:id="5648"/>
    </w:p>
    <w:p>
      <w:pPr>
        <w:pStyle w:val="BookText"/>
      </w:pPr>
      <w:r>
        <w:rPr>
          <w:rFonts w:ascii="IRNazanin" w:hAnsi="IRNazanin" w:eastAsia="IRNazanin" w:cs="IRNazanin"/>
          <w:lang w:bidi="fa-IR"/>
          <w:color w:val="111111"/>
          <w:sz w:val="28"/>
          <w:szCs w:val="28"/>
          <w:rtl/>
        </w:rPr>
        <w:t xml:space="preserve">المذکور فی (ص 17) فیه نظم و نثر. توجد نسخه فی مکتبات الموصل کما فی فهرسها (ص 48 و 151 و 189) و طبع علی الحجر بمصر فی (1279) فی (259 ص) و علی الحروف فی (1291) و بهامشه تزیین الأسواق کما فی معجم المطبوعات.</w:t>
      </w:r>
    </w:p>
    <w:p>
      <w:pPr>
        <w:pStyle w:val="Heading3"/>
      </w:pPr>
      <w:bookmarkStart w:id="5649" w:name="_Toc4345"/>
      <w:r>
        <w:t>3255- دیوان صباحی کاشانی‏</w:t>
      </w:r>
      <w:bookmarkEnd w:id="5649"/>
    </w:p>
    <w:p>
      <w:pPr>
        <w:pStyle w:val="BookText"/>
      </w:pPr>
      <w:r>
        <w:rPr>
          <w:rFonts w:ascii="IRNazanin" w:hAnsi="IRNazanin" w:eastAsia="IRNazanin" w:cs="IRNazanin"/>
          <w:lang w:bidi="fa-IR"/>
          <w:color w:val="111111"/>
          <w:sz w:val="28"/>
          <w:szCs w:val="28"/>
          <w:rtl/>
        </w:rPr>
        <w:t xml:space="preserve">للحاجی سلیمان البیدگلی الکاشانی. ولد ببیدگل و نشا بکاشان و مهر فی الهندسة و الریاضی، تلمذ فی الأدب علی آذر فترجمه فی (تش ص 382- 394) و ترجمه أیضا تلمیذه الگروسی فی (انجمن 4). و هدایت فی (مع 2- 263) و قال مات (1206) و فی تحفه العالم أنه مات (1215) و الأصح (1207) حیث قال سحاب فی تاریخه:</w:t>
      </w:r>
    </w:p>
    <w:p>
      <w:pPr>
        <w:pStyle w:val="BookText"/>
      </w:pPr>
      <w:r>
        <w:rPr>
          <w:rFonts w:ascii="IRNazanin" w:hAnsi="IRNazanin" w:eastAsia="IRNazanin" w:cs="IRNazanin"/>
          <w:lang w:bidi="fa-IR"/>
          <w:color w:val="111111"/>
          <w:sz w:val="28"/>
          <w:szCs w:val="28"/>
          <w:rtl/>
        </w:rPr>
        <w:t xml:space="preserve">سحاب از بهر ضبط سال تاریخ وفات أو</w:t>
      </w:r>
    </w:p>
    <w:p>
      <w:pPr>
        <w:pStyle w:val="BookText"/>
      </w:pPr>
      <w:r>
        <w:rPr>
          <w:rFonts w:ascii="IRNazanin" w:hAnsi="IRNazanin" w:eastAsia="IRNazanin" w:cs="IRNazanin"/>
          <w:lang w:bidi="fa-IR"/>
          <w:color w:val="111111"/>
          <w:sz w:val="28"/>
          <w:szCs w:val="28"/>
          <w:rtl/>
        </w:rPr>
        <w:t xml:space="preserve">رقم زد آه کز ملک فصاحت شد سلیمانی‏</w:t>
      </w:r>
    </w:p>
    <w:p>
      <w:pPr>
        <w:pStyle w:val="BookText"/>
      </w:pPr>
      <w:r>
        <w:rPr>
          <w:rFonts w:ascii="IRNazanin" w:hAnsi="IRNazanin" w:eastAsia="IRNazanin" w:cs="IRNazanin"/>
          <w:lang w:bidi="fa-IR"/>
          <w:color w:val="111111"/>
          <w:sz w:val="28"/>
          <w:szCs w:val="28"/>
          <w:rtl/>
        </w:rPr>
        <w:t xml:space="preserve">توجد دیوانه عند (فخر الدین- رقم 110) و (الملک) و (دهخدا) و (المجلس) کما فی فهرسها (3: 335). تشتمل علی تواریخ منظومة و قصائد و غزلیات و مر فی (8: 270).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585" w:name="pg11704_122068"/>
    <w:bookmarkEnd w:id="585"/>
    <w:p>
      <w:pPr>
        <w:pStyle w:val="Heading3"/>
      </w:pPr>
      <w:bookmarkStart w:id="5650" w:name="_Toc4346"/>
      <w:r>
        <w:t>3256- دیوان صبای شیرازی أو شعره‏</w:t>
      </w:r>
      <w:bookmarkEnd w:id="5650"/>
    </w:p>
    <w:p>
      <w:pPr>
        <w:pStyle w:val="BookText"/>
      </w:pPr>
      <w:r>
        <w:rPr>
          <w:rFonts w:ascii="IRNazanin" w:hAnsi="IRNazanin" w:eastAsia="IRNazanin" w:cs="IRNazanin"/>
          <w:lang w:bidi="fa-IR"/>
          <w:color w:val="111111"/>
          <w:sz w:val="28"/>
          <w:szCs w:val="28"/>
          <w:rtl/>
        </w:rPr>
        <w:t xml:space="preserve">المیرزا نظام الدین بن المیرزا أبی القاسم شریف الحکماء. ترجمه فی آثار عجم ص 561 و أورد شعره و ذکر أن والده شریف الحکماء کان طبیبا حاذقا توفی (1309) و دفن علی باب الحافظیة.</w:t>
      </w:r>
    </w:p>
    <w:p>
      <w:pPr>
        <w:pStyle w:val="Heading3"/>
      </w:pPr>
      <w:bookmarkStart w:id="5651" w:name="_Toc4347"/>
      <w:r>
        <w:t>3257- دیوان صبای طهرانی أو شعره‏</w:t>
      </w:r>
      <w:bookmarkEnd w:id="5651"/>
    </w:p>
    <w:p>
      <w:pPr>
        <w:pStyle w:val="BookText"/>
      </w:pPr>
      <w:r>
        <w:rPr>
          <w:rFonts w:ascii="IRNazanin" w:hAnsi="IRNazanin" w:eastAsia="IRNazanin" w:cs="IRNazanin"/>
          <w:lang w:bidi="fa-IR"/>
          <w:color w:val="111111"/>
          <w:sz w:val="28"/>
          <w:szCs w:val="28"/>
          <w:rtl/>
        </w:rPr>
        <w:t xml:space="preserve">و هو غلام علی بن غلام رضا المعروف ندیم‏باشی من أحفاد ملک الشعراء صبای کاشانی. ولد بطهران فی (1278) ترجمه و أورد شعره فی تذکره علوی.</w:t>
      </w:r>
    </w:p>
    <w:p>
      <w:pPr>
        <w:pStyle w:val="Heading3"/>
      </w:pPr>
      <w:bookmarkStart w:id="5652" w:name="_Toc4348"/>
      <w:r>
        <w:t>3258- دیوان صبای طهرانی أو شعره‏</w:t>
      </w:r>
      <w:bookmarkEnd w:id="5652"/>
    </w:p>
    <w:p>
      <w:pPr>
        <w:pStyle w:val="BookText"/>
      </w:pPr>
      <w:r>
        <w:rPr>
          <w:rFonts w:ascii="IRNazanin" w:hAnsi="IRNazanin" w:eastAsia="IRNazanin" w:cs="IRNazanin"/>
          <w:lang w:bidi="fa-IR"/>
          <w:color w:val="111111"/>
          <w:sz w:val="28"/>
          <w:szCs w:val="28"/>
          <w:rtl/>
        </w:rPr>
        <w:t xml:space="preserve">و اسمه علی رضا. أیضا من أحفاد ملک الشعراء صبای کاشانی بطهران.</w:t>
      </w:r>
    </w:p>
    <w:p>
      <w:pPr>
        <w:pStyle w:val="Heading3"/>
      </w:pPr>
      <w:bookmarkStart w:id="5653" w:name="_Toc4349"/>
      <w:r>
        <w:t>3259- دیوان صبای کاشانی‏</w:t>
      </w:r>
      <w:bookmarkEnd w:id="5653"/>
    </w:p>
    <w:p>
      <w:pPr>
        <w:pStyle w:val="BookText"/>
      </w:pPr>
      <w:r>
        <w:rPr>
          <w:rFonts w:ascii="IRNazanin" w:hAnsi="IRNazanin" w:eastAsia="IRNazanin" w:cs="IRNazanin"/>
          <w:lang w:bidi="fa-IR"/>
          <w:color w:val="111111"/>
          <w:sz w:val="28"/>
          <w:szCs w:val="28"/>
          <w:rtl/>
        </w:rPr>
        <w:t xml:space="preserve">لفتح علی خان، ولد بکاشان و تلمذ علی صباحی الکاشانی المذکور و سکن برهة بشیراز یمدح لطف علی خان زند و بعد انقراض الزندیة مدح بابا خان قاجار حاکم شیراز، و لما مات محمد خان و جلس بابا خان هذا مکانه باسم فتح علی شاه جاء معه إلی طهران و تلقب منه ملک الشعراء و احتساب الممالک و باسمه نظم شهنشاه‏نامه و نصبه مدة حاکما لکاشان و قم ثم سکن طهران. و مات (1238) و دیوانه یشتمل علی خمسة عشر ألف بیت کما فی (مع 2- ص 267) و له غیر الدیوان خلاصة الأحکام منظومة فی (320 بیت) فی الصلاة علی فتاوی المحقق القمی المتوفی (1231) و عبرت‏نامه فی قبال تحفه العراقین للخاقانی فی (950 بیت) موجود فی (الرضویة) و خداوندنامه المذکور فی (7: 142) و گلشن صبا المطبوع بطهران فی (1308 ش) و (1313 ش) و فی مقدمته أحواله مفصلا بقلم بهار و لیلی و مجنون نظمه فی شبابه کما فی (انجمن 3) و هفت پیکر ذکر أیضا فیها و شکارستان مثنوی فی (240 بیتا) موجودة عند بهار بطهران. و ترجمه أیضا فی المدائح المعتمدیة لأنه مدح منوچهر خان گرجی و فی ریحانة الأدب و فهرس مکتبة جامعة طهران (2: 610). یوجد دیوانه فی (المجلس) کما فی فهرسها (3: 373) و عند (فخر الدین- رقم 67). کتب (1245). و هو والد زوجة محمد تقی خان سپهر و جد عباس قلی خان سپهر.</w:t>
      </w:r>
    </w:p>
    <w:p>
      <w:pPr>
        <w:pStyle w:val="Heading3"/>
      </w:pPr>
      <w:bookmarkStart w:id="5654" w:name="_Toc4350"/>
      <w:r>
        <w:t>3260- دیوان صبای هندی‏</w:t>
      </w:r>
      <w:bookmarkEnd w:id="5654"/>
    </w:p>
    <w:p>
      <w:pPr>
        <w:pStyle w:val="BookText"/>
      </w:pPr>
      <w:r>
        <w:rPr>
          <w:rFonts w:ascii="IRNazanin" w:hAnsi="IRNazanin" w:eastAsia="IRNazanin" w:cs="IRNazanin"/>
          <w:lang w:bidi="fa-IR"/>
          <w:color w:val="111111"/>
          <w:sz w:val="28"/>
          <w:szCs w:val="28"/>
          <w:rtl/>
        </w:rPr>
        <w:t xml:space="preserve">و هو محمد صابر الحسینی السهوانی تلمیذ نجف علی خان‏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586" w:name="pg11704_122069"/>
    <w:bookmarkEnd w:id="586"/>
    <w:p>
      <w:pPr>
        <w:pStyle w:val="BookText"/>
      </w:pPr>
      <w:r>
        <w:rPr>
          <w:rFonts w:ascii="IRNazanin" w:hAnsi="IRNazanin" w:eastAsia="IRNazanin" w:cs="IRNazanin"/>
          <w:lang w:bidi="fa-IR"/>
          <w:color w:val="111111"/>
          <w:sz w:val="28"/>
          <w:szCs w:val="28"/>
          <w:rtl/>
        </w:rPr>
        <w:t xml:space="preserve">شوکت خسروی فی قبال إسکندرنامه للنظامی. أورد شعره فی گلشن- ص 245).</w:t>
      </w:r>
    </w:p>
    <w:p>
      <w:pPr>
        <w:pStyle w:val="Heading3"/>
      </w:pPr>
      <w:bookmarkStart w:id="5655" w:name="_Toc4351"/>
      <w:r>
        <w:t>4261- دیوان صبحی أوبهی أو شعره‏</w:t>
      </w:r>
      <w:bookmarkEnd w:id="5655"/>
    </w:p>
    <w:p>
      <w:pPr>
        <w:pStyle w:val="BookText"/>
      </w:pPr>
      <w:r>
        <w:rPr>
          <w:rFonts w:ascii="IRNazanin" w:hAnsi="IRNazanin" w:eastAsia="IRNazanin" w:cs="IRNazanin"/>
          <w:lang w:bidi="fa-IR"/>
          <w:color w:val="111111"/>
          <w:sz w:val="28"/>
          <w:szCs w:val="28"/>
          <w:rtl/>
        </w:rPr>
        <w:t xml:space="preserve">ترجمه المیر علی شیر فی (مجن 3- ص 74 و 249) و قال إنه من چشمه گویان عرفته بواسطة محمد البدخشی. ثم أورد شعره.</w:t>
      </w:r>
    </w:p>
    <w:p>
      <w:pPr>
        <w:pStyle w:val="Heading3"/>
      </w:pPr>
      <w:bookmarkStart w:id="5656" w:name="_Toc4352"/>
      <w:r>
        <w:t>4262- دیوان صبحی تویسرکانی أو شعره‏</w:t>
      </w:r>
      <w:bookmarkEnd w:id="5656"/>
    </w:p>
    <w:p>
      <w:pPr>
        <w:pStyle w:val="BookText"/>
      </w:pPr>
      <w:r>
        <w:rPr>
          <w:rFonts w:ascii="IRNazanin" w:hAnsi="IRNazanin" w:eastAsia="IRNazanin" w:cs="IRNazanin"/>
          <w:lang w:bidi="fa-IR"/>
          <w:color w:val="111111"/>
          <w:sz w:val="28"/>
          <w:szCs w:val="28"/>
          <w:rtl/>
        </w:rPr>
        <w:t xml:space="preserve">و اسمه میرم بیک بن کمالا. هو تلمیذ آقا حسین الخوانساری. ترجمه و أورد شعره فی (نر 9- ص 323).</w:t>
      </w:r>
    </w:p>
    <w:p>
      <w:pPr>
        <w:pStyle w:val="Heading3"/>
      </w:pPr>
      <w:bookmarkStart w:id="5657" w:name="_Toc4353"/>
      <w:r>
        <w:t>4263- دیوان صبحی ساوجی أو شعره‏</w:t>
      </w:r>
      <w:bookmarkEnd w:id="5657"/>
    </w:p>
    <w:p>
      <w:pPr>
        <w:pStyle w:val="BookText"/>
      </w:pPr>
      <w:r>
        <w:rPr>
          <w:rFonts w:ascii="IRNazanin" w:hAnsi="IRNazanin" w:eastAsia="IRNazanin" w:cs="IRNazanin"/>
          <w:lang w:bidi="fa-IR"/>
          <w:color w:val="111111"/>
          <w:sz w:val="28"/>
          <w:szCs w:val="28"/>
          <w:rtl/>
        </w:rPr>
        <w:t xml:space="preserve">ترجمه و أورد شعره فی (خص 8- ص 281).</w:t>
      </w:r>
    </w:p>
    <w:p>
      <w:pPr>
        <w:pStyle w:val="Heading3"/>
      </w:pPr>
      <w:bookmarkStart w:id="5658" w:name="_Toc4354"/>
      <w:r>
        <w:t>دیوان صبحی سمرقندی‏</w:t>
      </w:r>
      <w:bookmarkEnd w:id="5658"/>
    </w:p>
    <w:p>
      <w:pPr>
        <w:pStyle w:val="BookText"/>
      </w:pPr>
      <w:r>
        <w:rPr>
          <w:rFonts w:ascii="IRNazanin" w:hAnsi="IRNazanin" w:eastAsia="IRNazanin" w:cs="IRNazanin"/>
          <w:lang w:bidi="fa-IR"/>
          <w:color w:val="111111"/>
          <w:sz w:val="28"/>
          <w:szCs w:val="28"/>
          <w:rtl/>
        </w:rPr>
        <w:t xml:space="preserve">راجع صبوحی سمرقندی و صبحی کشمیری.</w:t>
      </w:r>
    </w:p>
    <w:p>
      <w:pPr>
        <w:pStyle w:val="Heading3"/>
      </w:pPr>
      <w:bookmarkStart w:id="5659" w:name="_Toc4355"/>
      <w:r>
        <w:t>4264- دیوان صبحی کشمیری‏</w:t>
      </w:r>
      <w:bookmarkEnd w:id="5659"/>
    </w:p>
    <w:p>
      <w:pPr>
        <w:pStyle w:val="BookText"/>
      </w:pPr>
      <w:r>
        <w:rPr>
          <w:rFonts w:ascii="IRNazanin" w:hAnsi="IRNazanin" w:eastAsia="IRNazanin" w:cs="IRNazanin"/>
          <w:lang w:bidi="fa-IR"/>
          <w:color w:val="111111"/>
          <w:sz w:val="28"/>
          <w:szCs w:val="28"/>
          <w:rtl/>
        </w:rPr>
        <w:t xml:space="preserve">من شعراء سلطان شجاع أخو عالمگیر پادشاه (المتوفی 1118). ترجمه کذلک فی (خیال- ص 163) و زاد فی (گلشن- ص 247) أن له دیوان و مات فی أواخر المائة الحادی عشرة. و جاء شعر ملا صبحی فی گلستان مسرت مکررا. و سماه فی (حسینی 188) صبحی سمرقندی.</w:t>
      </w:r>
    </w:p>
    <w:p>
      <w:pPr>
        <w:pStyle w:val="Heading3"/>
      </w:pPr>
      <w:bookmarkStart w:id="5660" w:name="_Toc4356"/>
      <w:r>
        <w:t>4265- دیوان صبحی مازندرانی أو شعره‏</w:t>
      </w:r>
      <w:bookmarkEnd w:id="5660"/>
    </w:p>
    <w:p>
      <w:pPr>
        <w:pStyle w:val="BookText"/>
      </w:pPr>
      <w:r>
        <w:rPr>
          <w:rFonts w:ascii="IRNazanin" w:hAnsi="IRNazanin" w:eastAsia="IRNazanin" w:cs="IRNazanin"/>
          <w:lang w:bidi="fa-IR"/>
          <w:color w:val="111111"/>
          <w:sz w:val="28"/>
          <w:szCs w:val="28"/>
          <w:rtl/>
        </w:rPr>
        <w:t xml:space="preserve">کان من سادات مازندران و من منسوبی خلیفة سلطان. ترجمه و أورد شعره فی (نر 9- ص 419).</w:t>
      </w:r>
    </w:p>
    <w:p>
      <w:pPr>
        <w:pStyle w:val="Heading3"/>
      </w:pPr>
      <w:bookmarkStart w:id="5661" w:name="_Toc4357"/>
      <w:r>
        <w:t>4266- دیوان صبحی همدانی أو شعره‏</w:t>
      </w:r>
      <w:bookmarkEnd w:id="5661"/>
    </w:p>
    <w:p>
      <w:pPr>
        <w:pStyle w:val="BookText"/>
      </w:pPr>
      <w:r>
        <w:rPr>
          <w:rFonts w:ascii="IRNazanin" w:hAnsi="IRNazanin" w:eastAsia="IRNazanin" w:cs="IRNazanin"/>
          <w:lang w:bidi="fa-IR"/>
          <w:color w:val="111111"/>
          <w:sz w:val="28"/>
          <w:szCs w:val="28"/>
          <w:rtl/>
        </w:rPr>
        <w:t xml:space="preserve">سافر من وطنه إلی الهند و تقرب عند مهابت خان جهانگیر. ثم عند شاه‏جهان پادشاه. و قتل فی بعض الحروب. أورد شعره فی (گلشن- ص 247) و عنه أخذ فی القاموس الترکی ثم عنه فی الریحانة.</w:t>
      </w:r>
    </w:p>
    <w:p>
      <w:pPr>
        <w:pStyle w:val="Heading3"/>
      </w:pPr>
      <w:bookmarkStart w:id="5662" w:name="_Toc4358"/>
      <w:r>
        <w:t>دیوان صبحی هندی‏</w:t>
      </w:r>
      <w:bookmarkEnd w:id="5662"/>
    </w:p>
    <w:p>
      <w:pPr>
        <w:pStyle w:val="BookText"/>
      </w:pPr>
      <w:r>
        <w:rPr>
          <w:rFonts w:ascii="IRNazanin" w:hAnsi="IRNazanin" w:eastAsia="IRNazanin" w:cs="IRNazanin"/>
          <w:lang w:bidi="fa-IR"/>
          <w:color w:val="111111"/>
          <w:sz w:val="28"/>
          <w:szCs w:val="28"/>
          <w:rtl/>
        </w:rPr>
        <w:t xml:space="preserve">راجع صبحی کشمیری و صبحی همدانی.</w:t>
      </w:r>
    </w:p>
    <w:p>
      <w:pPr>
        <w:pStyle w:val="Heading3"/>
      </w:pPr>
      <w:bookmarkStart w:id="5663" w:name="_Toc4359"/>
      <w:r>
        <w:t>4267- دیوان صبری‏</w:t>
      </w:r>
      <w:bookmarkEnd w:id="5663"/>
    </w:p>
    <w:p>
      <w:pPr>
        <w:pStyle w:val="BookText"/>
      </w:pPr>
      <w:r>
        <w:rPr>
          <w:rFonts w:ascii="IRNazanin" w:hAnsi="IRNazanin" w:eastAsia="IRNazanin" w:cs="IRNazanin"/>
          <w:lang w:bidi="fa-IR"/>
          <w:color w:val="111111"/>
          <w:sz w:val="28"/>
          <w:szCs w:val="28"/>
          <w:rtl/>
        </w:rPr>
        <w:t xml:space="preserve">للشریف المعروف ب علی‏زاده موجود فی مکتبة عاشر أفندی بأستانبول کما فی فهرسها المطبوع.</w:t>
      </w:r>
    </w:p>
    <w:p>
      <w:pPr>
        <w:pStyle w:val="Heading3"/>
      </w:pPr>
      <w:bookmarkStart w:id="5664" w:name="_Toc4360"/>
      <w:r>
        <w:t>4268- دیوان صبری أصفهانی‏</w:t>
      </w:r>
      <w:bookmarkEnd w:id="5664"/>
    </w:p>
    <w:p>
      <w:pPr>
        <w:pStyle w:val="BookText"/>
      </w:pPr>
      <w:r>
        <w:rPr>
          <w:rFonts w:ascii="IRNazanin" w:hAnsi="IRNazanin" w:eastAsia="IRNazanin" w:cs="IRNazanin"/>
          <w:lang w:bidi="fa-IR"/>
          <w:color w:val="111111"/>
          <w:sz w:val="28"/>
          <w:szCs w:val="28"/>
          <w:rtl/>
        </w:rPr>
        <w:t xml:space="preserve">کان من شعراء الشاه طهماسب (930- 984) و یعرف ب روزبهانی و لعله لانتسابه إلی أولاد روزبهان الشیرازی الفارسی. کان یتخلص فارسی ثم بدله إلی صبری ترجمه و أورد شعره فی (تش- ص 179) و عالم‏آرای عباسی- ص 185. و عنه فی القاموس الترکی ثم عنه فی الریحانة و کذا فی روضة الصفویة و (خص 8- ص 154) و فی (تغ 79) أن له دیوانا. و قال فی‏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587" w:name="pg11704_122070"/>
    <w:bookmarkEnd w:id="587"/>
    <w:p>
      <w:pPr>
        <w:pStyle w:val="BookText"/>
      </w:pPr>
      <w:r>
        <w:rPr>
          <w:rFonts w:ascii="IRNazanin" w:hAnsi="IRNazanin" w:eastAsia="IRNazanin" w:cs="IRNazanin"/>
          <w:lang w:bidi="fa-IR"/>
          <w:color w:val="111111"/>
          <w:sz w:val="28"/>
          <w:szCs w:val="28"/>
          <w:rtl/>
        </w:rPr>
        <w:t xml:space="preserve">(روشن- ص 386) إنه من أقرباء ضمیری أصفهانی و فی ذیل کشف الظنون أن دیوانه فارسی فی أربعة آلاف بیت.</w:t>
      </w:r>
    </w:p>
    <w:p>
      <w:pPr>
        <w:pStyle w:val="Heading3"/>
      </w:pPr>
      <w:bookmarkStart w:id="5665" w:name="_Toc4361"/>
      <w:r>
        <w:t>4269- دیوان صبری بصری أو شعره‏</w:t>
      </w:r>
      <w:bookmarkEnd w:id="5665"/>
    </w:p>
    <w:p>
      <w:pPr>
        <w:pStyle w:val="BookText"/>
      </w:pPr>
      <w:r>
        <w:rPr>
          <w:rFonts w:ascii="IRNazanin" w:hAnsi="IRNazanin" w:eastAsia="IRNazanin" w:cs="IRNazanin"/>
          <w:lang w:bidi="fa-IR"/>
          <w:color w:val="111111"/>
          <w:sz w:val="28"/>
          <w:szCs w:val="28"/>
          <w:rtl/>
        </w:rPr>
        <w:t xml:space="preserve">و اسمه علی پاشا ابن أفراسیاب پاشا. حکم علی البصرة من قبل العثمانیین، و کان عالما بالعربیة و الفارسیة و الترکیة و ینظم الشعر و بعد موته جلس مکانه ابنه حسین پاشا. قال فی (نر 3- ص 68) إنهما کانا شیعیین و یتقیان عن القاضی المنصوب من قبل العثمانیین. و قد أظهر ابنه عقیدته فجهز علیه حاکم بغداد جیشا ففر حسین پاشا إلی الهند، ثم أورد شعر والده علی پاشا بالفارسیة متخلصا فیه صبری. و ترجمه فی (روشن- ص 386).</w:t>
      </w:r>
    </w:p>
    <w:p>
      <w:pPr>
        <w:pStyle w:val="Heading3"/>
      </w:pPr>
      <w:bookmarkStart w:id="5666" w:name="_Toc4362"/>
      <w:r>
        <w:t>دیوان صبری خوارزمی‏</w:t>
      </w:r>
      <w:bookmarkEnd w:id="5666"/>
    </w:p>
    <w:p>
      <w:pPr>
        <w:pStyle w:val="BookText"/>
      </w:pPr>
      <w:r>
        <w:rPr>
          <w:rFonts w:ascii="IRNazanin" w:hAnsi="IRNazanin" w:eastAsia="IRNazanin" w:cs="IRNazanin"/>
          <w:lang w:bidi="fa-IR"/>
          <w:color w:val="111111"/>
          <w:sz w:val="28"/>
          <w:szCs w:val="28"/>
          <w:rtl/>
        </w:rPr>
        <w:t xml:space="preserve">مر فی (ص 311) بعنوان خیری خوارزمی.</w:t>
      </w:r>
    </w:p>
    <w:p>
      <w:pPr>
        <w:pStyle w:val="Heading3"/>
      </w:pPr>
      <w:bookmarkStart w:id="5667" w:name="_Toc4363"/>
      <w:r>
        <w:t>دیوان صبری راهبی‏</w:t>
      </w:r>
      <w:bookmarkEnd w:id="5667"/>
    </w:p>
    <w:p>
      <w:pPr>
        <w:pStyle w:val="BookText"/>
      </w:pPr>
      <w:r>
        <w:rPr>
          <w:rFonts w:ascii="IRNazanin" w:hAnsi="IRNazanin" w:eastAsia="IRNazanin" w:cs="IRNazanin"/>
          <w:lang w:bidi="fa-IR"/>
          <w:color w:val="111111"/>
          <w:sz w:val="28"/>
          <w:szCs w:val="28"/>
          <w:rtl/>
        </w:rPr>
        <w:t xml:space="preserve">راجع صبری غضنفر.</w:t>
      </w:r>
    </w:p>
    <w:p>
      <w:pPr>
        <w:pStyle w:val="Heading3"/>
      </w:pPr>
      <w:bookmarkStart w:id="5668" w:name="_Toc4364"/>
      <w:r>
        <w:t>دیوان صبری روزبهانی‏</w:t>
      </w:r>
      <w:bookmarkEnd w:id="5668"/>
    </w:p>
    <w:p>
      <w:pPr>
        <w:pStyle w:val="BookText"/>
      </w:pPr>
      <w:r>
        <w:rPr>
          <w:rFonts w:ascii="IRNazanin" w:hAnsi="IRNazanin" w:eastAsia="IRNazanin" w:cs="IRNazanin"/>
          <w:lang w:bidi="fa-IR"/>
          <w:color w:val="111111"/>
          <w:sz w:val="28"/>
          <w:szCs w:val="28"/>
          <w:rtl/>
        </w:rPr>
        <w:t xml:space="preserve">راجع صبری أصفهانی.</w:t>
      </w:r>
    </w:p>
    <w:p>
      <w:pPr>
        <w:pStyle w:val="Heading3"/>
      </w:pPr>
      <w:bookmarkStart w:id="5669" w:name="_Toc4365"/>
      <w:r>
        <w:t>4270- دیوان صبری طهرانی أو شعره‏</w:t>
      </w:r>
      <w:bookmarkEnd w:id="5669"/>
    </w:p>
    <w:p>
      <w:pPr>
        <w:pStyle w:val="BookText"/>
      </w:pPr>
      <w:r>
        <w:rPr>
          <w:rFonts w:ascii="IRNazanin" w:hAnsi="IRNazanin" w:eastAsia="IRNazanin" w:cs="IRNazanin"/>
          <w:lang w:bidi="fa-IR"/>
          <w:color w:val="111111"/>
          <w:sz w:val="28"/>
          <w:szCs w:val="28"/>
          <w:rtl/>
        </w:rPr>
        <w:t xml:space="preserve">و اسمه شریف محمد. ترجمه و أورد شعره فی (تس 5- ص 138).</w:t>
      </w:r>
    </w:p>
    <w:p>
      <w:pPr>
        <w:pStyle w:val="Heading3"/>
      </w:pPr>
      <w:bookmarkStart w:id="5670" w:name="_Toc4366"/>
      <w:r>
        <w:t>4271- دیوان صبری عراقی أو شعره‏</w:t>
      </w:r>
      <w:bookmarkEnd w:id="5670"/>
    </w:p>
    <w:p>
      <w:pPr>
        <w:pStyle w:val="BookText"/>
      </w:pPr>
      <w:r>
        <w:rPr>
          <w:rFonts w:ascii="IRNazanin" w:hAnsi="IRNazanin" w:eastAsia="IRNazanin" w:cs="IRNazanin"/>
          <w:lang w:bidi="fa-IR"/>
          <w:color w:val="111111"/>
          <w:sz w:val="28"/>
          <w:szCs w:val="28"/>
          <w:rtl/>
        </w:rPr>
        <w:t xml:space="preserve">کان هو و والده قاضیین بها. ترجمه و أورد شعره فی (تس 5 ص 140).</w:t>
      </w:r>
    </w:p>
    <w:p>
      <w:pPr>
        <w:pStyle w:val="Heading3"/>
      </w:pPr>
      <w:bookmarkStart w:id="5671" w:name="_Toc4367"/>
      <w:r>
        <w:t>4272- دیوان صبری غضنفر أو شعره‏</w:t>
      </w:r>
      <w:bookmarkEnd w:id="5671"/>
    </w:p>
    <w:p>
      <w:pPr>
        <w:pStyle w:val="BookText"/>
      </w:pPr>
      <w:r>
        <w:rPr>
          <w:rFonts w:ascii="IRNazanin" w:hAnsi="IRNazanin" w:eastAsia="IRNazanin" w:cs="IRNazanin"/>
          <w:lang w:bidi="fa-IR"/>
          <w:color w:val="111111"/>
          <w:sz w:val="28"/>
          <w:szCs w:val="28"/>
          <w:rtl/>
        </w:rPr>
        <w:t xml:space="preserve">الهروی. و اسمه غضنفر. کان یتخلص أولا راهب فسافر إلی الهند و بدله إلی صبری و تقرب عند جهانگیر. تلمذ عنده تقی الدین الأوحدی. أورد شعره فی (گلشن- ص 247) و (حسینی ص 186) و عنهما فی القاموس الترکی ثم الریحانة.</w:t>
      </w:r>
    </w:p>
    <w:p>
      <w:pPr>
        <w:pStyle w:val="Heading3"/>
      </w:pPr>
      <w:bookmarkStart w:id="5672" w:name="_Toc4368"/>
      <w:r>
        <w:t>دیوان صبری هروی‏</w:t>
      </w:r>
      <w:bookmarkEnd w:id="5672"/>
    </w:p>
    <w:p>
      <w:pPr>
        <w:pStyle w:val="BookText"/>
      </w:pPr>
      <w:r>
        <w:rPr>
          <w:rFonts w:ascii="IRNazanin" w:hAnsi="IRNazanin" w:eastAsia="IRNazanin" w:cs="IRNazanin"/>
          <w:lang w:bidi="fa-IR"/>
          <w:color w:val="111111"/>
          <w:sz w:val="28"/>
          <w:szCs w:val="28"/>
          <w:rtl/>
        </w:rPr>
        <w:t xml:space="preserve">راجع صبری غضنفر.</w:t>
      </w:r>
    </w:p>
    <w:p>
      <w:pPr>
        <w:pStyle w:val="Heading3"/>
      </w:pPr>
      <w:bookmarkStart w:id="5673" w:name="_Toc4369"/>
      <w:r>
        <w:t>4273- دیوان صبوح أصفهانی أو شعره‏</w:t>
      </w:r>
      <w:bookmarkEnd w:id="5673"/>
    </w:p>
    <w:p>
      <w:pPr>
        <w:pStyle w:val="BookText"/>
      </w:pPr>
      <w:r>
        <w:rPr>
          <w:rFonts w:ascii="IRNazanin" w:hAnsi="IRNazanin" w:eastAsia="IRNazanin" w:cs="IRNazanin"/>
          <w:lang w:bidi="fa-IR"/>
          <w:color w:val="111111"/>
          <w:sz w:val="28"/>
          <w:szCs w:val="28"/>
          <w:rtl/>
        </w:rPr>
        <w:t xml:space="preserve">و اسمه المیرزا محمد علی. کان من أشراف أصفهان و کان ماهرا فی چهار تار، نوع من الموسیقی. ترجمه و أورد شعره فی (تش- ص 394). و عنه فی (روشن- ص 385).</w:t>
      </w:r>
    </w:p>
    <w:p>
      <w:pPr>
        <w:pStyle w:val="Heading3"/>
      </w:pPr>
      <w:bookmarkStart w:id="5674" w:name="_Toc4370"/>
      <w:r>
        <w:t>4274- دیوان صبوحی بدخشانی أو شعره‏</w:t>
      </w:r>
      <w:bookmarkEnd w:id="5674"/>
    </w:p>
    <w:p>
      <w:pPr>
        <w:pStyle w:val="BookText"/>
      </w:pPr>
      <w:r>
        <w:rPr>
          <w:rFonts w:ascii="IRNazanin" w:hAnsi="IRNazanin" w:eastAsia="IRNazanin" w:cs="IRNazanin"/>
          <w:lang w:bidi="fa-IR"/>
          <w:color w:val="111111"/>
          <w:sz w:val="28"/>
          <w:szCs w:val="28"/>
          <w:rtl/>
        </w:rPr>
        <w:t xml:space="preserve">و یعرف بالهروی و الجغتائی. ترجمه و أورد شعره فی (تش- ص 149). و قال فی (گلشن- ص 248) تعلم ببخارا و سافر إلی‏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588" w:name="pg11704_122071"/>
    <w:bookmarkEnd w:id="588"/>
    <w:p>
      <w:pPr>
        <w:pStyle w:val="BookText"/>
      </w:pPr>
      <w:r>
        <w:rPr>
          <w:rFonts w:ascii="IRNazanin" w:hAnsi="IRNazanin" w:eastAsia="IRNazanin" w:cs="IRNazanin"/>
          <w:lang w:bidi="fa-IR"/>
          <w:color w:val="111111"/>
          <w:sz w:val="28"/>
          <w:szCs w:val="28"/>
          <w:rtl/>
        </w:rPr>
        <w:t xml:space="preserve">الحج و نزل الهند و کان یشرب الخمر، و مات (973) فقیل فی تاریخه (صبوحی می‏خوار- 973) و عنه أخذ فی القاموس الترکی ثم ترجم ثانیا بالفارسیة فی ریحانة الأدب.</w:t>
      </w:r>
    </w:p>
    <w:p>
      <w:pPr>
        <w:pStyle w:val="Heading3"/>
      </w:pPr>
      <w:bookmarkStart w:id="5675" w:name="_Toc4371"/>
      <w:r>
        <w:t>4275- دیوان صبوحی بیرجندی‏</w:t>
      </w:r>
      <w:bookmarkEnd w:id="5675"/>
    </w:p>
    <w:p>
      <w:pPr>
        <w:pStyle w:val="BookText"/>
      </w:pPr>
      <w:r>
        <w:rPr>
          <w:rFonts w:ascii="IRNazanin" w:hAnsi="IRNazanin" w:eastAsia="IRNazanin" w:cs="IRNazanin"/>
          <w:lang w:bidi="fa-IR"/>
          <w:color w:val="111111"/>
          <w:sz w:val="28"/>
          <w:szCs w:val="28"/>
          <w:rtl/>
        </w:rPr>
        <w:t xml:space="preserve">مولانا علی أشرف، من ظرفاء الشعراء فی أواخر القرن الثانی عشر. و أکثر شعره مجون انتقادیة. ترجمه و أورد شعره فی بهارستان ص 286- 292 للشیخ محمد حسین آیتی البیرجندی و تاریخ بعض شعره (1195) و کان یدعی أنه من أحفاد الحکیم نزاری. و له منظومة نصاب بیرجندی یفسر فیها الکلمات من اللهجة البیرجندیة باللسان الفارسی. کانت نسخته عند الشیخ هادی البیرجندی. استنسخ عنها السید محمد (المحیط) بطهران و هو فی مکتبته الآن و نسخه أخری عند (دهخدا) بطهران.</w:t>
      </w:r>
    </w:p>
    <w:p>
      <w:pPr>
        <w:pStyle w:val="Heading3"/>
      </w:pPr>
      <w:bookmarkStart w:id="5676" w:name="_Toc4372"/>
      <w:r>
        <w:t>دیوان صبوحی جغتائی‏</w:t>
      </w:r>
      <w:bookmarkEnd w:id="5676"/>
    </w:p>
    <w:p>
      <w:pPr>
        <w:pStyle w:val="BookText"/>
      </w:pPr>
      <w:r>
        <w:rPr>
          <w:rFonts w:ascii="IRNazanin" w:hAnsi="IRNazanin" w:eastAsia="IRNazanin" w:cs="IRNazanin"/>
          <w:lang w:bidi="fa-IR"/>
          <w:color w:val="111111"/>
          <w:sz w:val="28"/>
          <w:szCs w:val="28"/>
          <w:rtl/>
        </w:rPr>
        <w:t xml:space="preserve">راجع صبوحی بدخشانی.</w:t>
      </w:r>
    </w:p>
    <w:p>
      <w:pPr>
        <w:pStyle w:val="Heading3"/>
      </w:pPr>
      <w:bookmarkStart w:id="5677" w:name="_Toc4373"/>
      <w:r>
        <w:t>4276- دیوان صبوحی خوانساری‏</w:t>
      </w:r>
      <w:bookmarkEnd w:id="5677"/>
    </w:p>
    <w:p>
      <w:pPr>
        <w:pStyle w:val="BookText"/>
      </w:pPr>
      <w:r>
        <w:rPr>
          <w:rFonts w:ascii="IRNazanin" w:hAnsi="IRNazanin" w:eastAsia="IRNazanin" w:cs="IRNazanin"/>
          <w:lang w:bidi="fa-IR"/>
          <w:color w:val="111111"/>
          <w:sz w:val="28"/>
          <w:szCs w:val="28"/>
          <w:rtl/>
        </w:rPr>
        <w:t xml:space="preserve">و اسمه حسین. ذهب إلی تبریز فعرفه أخوه إلی سپهسالار رستم خان، ثم ذهب مع ملا واصب إلی لاهیجان فتقربا عند المیرزا عبد الله وزیر لاهیجان. و کان ماهرا فی قراءة قصة حمزة</w:t>
      </w:r>
      <w:r>
        <w:rPr>
          <w:rStyle w:val="FootnoteReference"/>
        </w:rPr>
        <w:footnoteReference w:id="50"/>
      </w:r>
      <w:r>
        <w:rPr>
          <w:rFonts w:ascii="IRNazanin" w:hAnsi="IRNazanin" w:eastAsia="IRNazanin" w:cs="IRNazanin"/>
          <w:lang w:bidi="fa-IR"/>
          <w:color w:val="111111"/>
          <w:sz w:val="28"/>
          <w:szCs w:val="28"/>
          <w:rtl/>
        </w:rPr>
        <w:t xml:space="preserve">و الشاهنامة و ضرب چهار تار، نوع من الموسیقی، و مات (1078) و نظم سبعة مثنویات أورد بعضها التی علی زنة شاهنامه فی ترجمته فی (نر 9 ص 357) و أورد فی (نر 4 و 9 ص 78 و 227) مصاحبته مع سلیم طهرانی المذکور فی (ص 464) و واصب بلاهیجان عند عبد الله وزیرها. و ترجمه أیضا فی (تش- ص 208) و (گلشن- ص 248) و (روشن ص 386).</w:t>
      </w:r>
    </w:p>
    <w:p>
      <w:pPr>
        <w:pStyle w:val="Heading3"/>
      </w:pPr>
      <w:bookmarkStart w:id="5678" w:name="_Toc4374"/>
      <w:r>
        <w:t>4277- دیوان صبوحی سمرقندی أو شعره‏</w:t>
      </w:r>
      <w:bookmarkEnd w:id="5678"/>
    </w:p>
    <w:p>
      <w:pPr>
        <w:pStyle w:val="BookText"/>
      </w:pPr>
      <w:r>
        <w:rPr>
          <w:rFonts w:ascii="IRNazanin" w:hAnsi="IRNazanin" w:eastAsia="IRNazanin" w:cs="IRNazanin"/>
          <w:lang w:bidi="fa-IR"/>
          <w:color w:val="111111"/>
          <w:sz w:val="28"/>
          <w:szCs w:val="28"/>
          <w:rtl/>
        </w:rPr>
        <w:t xml:space="preserve">و اسمه ملا صبوحی و مات (937).</w:t>
      </w:r>
    </w:p>
    <w:p>
      <w:pPr>
        <w:pStyle w:val="BookText"/>
      </w:pPr>
      <w:r>
        <w:rPr>
          <w:rFonts w:ascii="IRNazanin" w:hAnsi="IRNazanin" w:eastAsia="IRNazanin" w:cs="IRNazanin"/>
          <w:lang w:bidi="fa-IR"/>
          <w:color w:val="111111"/>
          <w:sz w:val="28"/>
          <w:szCs w:val="28"/>
          <w:rtl/>
        </w:rPr>
        <w:t xml:space="preserve">و قال فی (روشن: 385) إن تخلصه صبحی.</w:t>
      </w:r>
    </w:p>
    <w:p>
      <w:pPr>
        <w:pStyle w:val="Heading3"/>
      </w:pPr>
      <w:bookmarkStart w:id="5679" w:name="_Toc4375"/>
      <w:r>
        <w:t>4278- دیوان صبوحی شیرازی أو شعره‏</w:t>
      </w:r>
      <w:bookmarkEnd w:id="5679"/>
    </w:p>
    <w:p>
      <w:pPr>
        <w:pStyle w:val="BookText"/>
      </w:pPr>
      <w:r>
        <w:rPr>
          <w:rFonts w:ascii="IRNazanin" w:hAnsi="IRNazanin" w:eastAsia="IRNazanin" w:cs="IRNazanin"/>
          <w:lang w:bidi="fa-IR"/>
          <w:color w:val="111111"/>
          <w:sz w:val="28"/>
          <w:szCs w:val="28"/>
          <w:rtl/>
        </w:rPr>
        <w:t xml:space="preserve">کان خبازا، أورد شعره و ترجمته فی (بهش 2 ص 388). .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589" w:name="pg11704_122072"/>
    <w:bookmarkEnd w:id="589"/>
    <w:p>
      <w:pPr>
        <w:pStyle w:val="Heading3"/>
      </w:pPr>
      <w:bookmarkStart w:id="5680" w:name="_Toc4376"/>
      <w:r>
        <w:t>4279- دیوان صبوحی شیرازی أو شعره‏</w:t>
      </w:r>
      <w:bookmarkEnd w:id="5680"/>
    </w:p>
    <w:p>
      <w:pPr>
        <w:pStyle w:val="BookText"/>
      </w:pPr>
      <w:r>
        <w:rPr>
          <w:rFonts w:ascii="IRNazanin" w:hAnsi="IRNazanin" w:eastAsia="IRNazanin" w:cs="IRNazanin"/>
          <w:lang w:bidi="fa-IR"/>
          <w:color w:val="111111"/>
          <w:sz w:val="28"/>
          <w:szCs w:val="28"/>
          <w:rtl/>
        </w:rPr>
        <w:t xml:space="preserve">أورد شعره فی (تس 5- ص 141) و قال کان یشتغل بنسج الحزام (کمربافی).</w:t>
      </w:r>
    </w:p>
    <w:p>
      <w:pPr>
        <w:pStyle w:val="Heading3"/>
      </w:pPr>
      <w:bookmarkStart w:id="5681" w:name="_Toc4377"/>
      <w:r>
        <w:t>4280- دیوان صبوحی قمی‏</w:t>
      </w:r>
      <w:bookmarkEnd w:id="5681"/>
    </w:p>
    <w:p>
      <w:pPr>
        <w:pStyle w:val="BookText"/>
      </w:pPr>
      <w:r>
        <w:rPr>
          <w:rFonts w:ascii="IRNazanin" w:hAnsi="IRNazanin" w:eastAsia="IRNazanin" w:cs="IRNazanin"/>
          <w:lang w:bidi="fa-IR"/>
          <w:color w:val="111111"/>
          <w:sz w:val="28"/>
          <w:szCs w:val="28"/>
          <w:rtl/>
        </w:rPr>
        <w:t xml:space="preserve">و هو الشاعر الأمی المعاصر المعروف باسمه شاطر عباس الخباز ابن کربلائی محمد علی. ولد بقم فی (1275) و لم یحصل العلم و الأدب و کلما ظهر له من الذوق فکان مما أودعه الله فی قلبه. و مات فی (1315) ببلدة قم. و له دیوان طبع مکررا، و قد وقع موقع القبول من عامة الناس، رأیته فی ثلاثة أجزاء صغار کلها فی (168 ص) طبعه الشهشهانی علی الحجر بطهران. و ذکر فی أدبیات معاصر- ص 99) و علما و شعرای گیلان- ص 151.</w:t>
      </w:r>
    </w:p>
    <w:p>
      <w:pPr>
        <w:pStyle w:val="Heading3"/>
      </w:pPr>
      <w:bookmarkStart w:id="5682" w:name="_Toc4378"/>
      <w:r>
        <w:t>4281- دیوان صبوحی کابلی أو شعره‏</w:t>
      </w:r>
      <w:bookmarkEnd w:id="5682"/>
    </w:p>
    <w:p>
      <w:pPr>
        <w:pStyle w:val="BookText"/>
      </w:pPr>
      <w:r>
        <w:rPr>
          <w:rFonts w:ascii="IRNazanin" w:hAnsi="IRNazanin" w:eastAsia="IRNazanin" w:cs="IRNazanin"/>
          <w:lang w:bidi="fa-IR"/>
          <w:color w:val="111111"/>
          <w:sz w:val="28"/>
          <w:szCs w:val="28"/>
          <w:rtl/>
        </w:rPr>
        <w:t xml:space="preserve">من شعراء أکبر شاه. أورد شعره فی طبقات أکبری (ج 2 ص 498).</w:t>
      </w:r>
    </w:p>
    <w:p>
      <w:pPr>
        <w:pStyle w:val="Heading3"/>
      </w:pPr>
      <w:bookmarkStart w:id="5683" w:name="_Toc4379"/>
      <w:r>
        <w:t>4282- دیوان صبوحی هروی أو شعره‏</w:t>
      </w:r>
      <w:bookmarkEnd w:id="5683"/>
    </w:p>
    <w:p>
      <w:pPr>
        <w:pStyle w:val="BookText"/>
      </w:pPr>
      <w:r>
        <w:rPr>
          <w:rFonts w:ascii="IRNazanin" w:hAnsi="IRNazanin" w:eastAsia="IRNazanin" w:cs="IRNazanin"/>
          <w:lang w:bidi="fa-IR"/>
          <w:color w:val="111111"/>
          <w:sz w:val="28"/>
          <w:szCs w:val="28"/>
          <w:rtl/>
        </w:rPr>
        <w:t xml:space="preserve">و اسمه المیر حیدر. کان ماهرا فی المعمی و کان من شعراء السلطان حسین بایقرا. أطری شعره و معماه فی (مجن 5- ص 109 و 282) و أظنه الذی ذکر فی (گلشن- ص 248).</w:t>
      </w:r>
    </w:p>
    <w:p>
      <w:pPr>
        <w:pStyle w:val="Heading3"/>
      </w:pPr>
      <w:bookmarkStart w:id="5684" w:name="_Toc4380"/>
      <w:r>
        <w:t>دیوان صبور بواناتی‏</w:t>
      </w:r>
      <w:bookmarkEnd w:id="5684"/>
    </w:p>
    <w:p>
      <w:pPr>
        <w:pStyle w:val="BookText"/>
      </w:pPr>
      <w:r>
        <w:rPr>
          <w:rFonts w:ascii="IRNazanin" w:hAnsi="IRNazanin" w:eastAsia="IRNazanin" w:cs="IRNazanin"/>
          <w:lang w:bidi="fa-IR"/>
          <w:color w:val="111111"/>
          <w:sz w:val="28"/>
          <w:szCs w:val="28"/>
          <w:rtl/>
        </w:rPr>
        <w:t xml:space="preserve">راجع صبور شیرازی.</w:t>
      </w:r>
    </w:p>
    <w:p>
      <w:pPr>
        <w:pStyle w:val="Heading3"/>
      </w:pPr>
      <w:bookmarkStart w:id="5685" w:name="_Toc4381"/>
      <w:r>
        <w:t>4283- دیوان صبور تبریزی‏</w:t>
      </w:r>
      <w:bookmarkEnd w:id="5685"/>
    </w:p>
    <w:p>
      <w:pPr>
        <w:pStyle w:val="BookText"/>
      </w:pPr>
      <w:r>
        <w:rPr>
          <w:rFonts w:ascii="IRNazanin" w:hAnsi="IRNazanin" w:eastAsia="IRNazanin" w:cs="IRNazanin"/>
          <w:lang w:bidi="fa-IR"/>
          <w:color w:val="111111"/>
          <w:sz w:val="28"/>
          <w:szCs w:val="28"/>
          <w:rtl/>
        </w:rPr>
        <w:t xml:space="preserve">اسمه السید المیرزا علی أکبر من السادة الموسویة بتبریز. ترجمه فی (دجا- ص 226) نقلا عن نگارستان دارا ثم قال رأیت مجموعة من شعره یقرب من ستة آلاف بیت.</w:t>
      </w:r>
    </w:p>
    <w:p>
      <w:pPr>
        <w:pStyle w:val="Heading3"/>
      </w:pPr>
      <w:bookmarkStart w:id="5686" w:name="_Toc4382"/>
      <w:r>
        <w:t>4284- دیوان صبور تبریزی‏</w:t>
      </w:r>
      <w:bookmarkEnd w:id="5686"/>
    </w:p>
    <w:p>
      <w:pPr>
        <w:pStyle w:val="BookText"/>
      </w:pPr>
      <w:r>
        <w:rPr>
          <w:rFonts w:ascii="IRNazanin" w:hAnsi="IRNazanin" w:eastAsia="IRNazanin" w:cs="IRNazanin"/>
          <w:lang w:bidi="fa-IR"/>
          <w:color w:val="111111"/>
          <w:sz w:val="28"/>
          <w:szCs w:val="28"/>
          <w:rtl/>
        </w:rPr>
        <w:t xml:space="preserve">المعاصر للحاج أبی الحسن راجی، و قد نظم قطعة مفصلة فی رثائه و اسمه المیرزا علی أکبر المتخلص بصبور. قال فی (دجا- ص 227) إنه غیر صبور المذکور، و إن اشترک معه فی الاسم و التخلص لکنه لیس من السادة.</w:t>
      </w:r>
    </w:p>
    <w:p>
      <w:pPr>
        <w:pStyle w:val="Heading3"/>
      </w:pPr>
      <w:bookmarkStart w:id="5687" w:name="_Toc4383"/>
      <w:r>
        <w:t>4285- دیوان صبور تبریزی‏</w:t>
      </w:r>
      <w:bookmarkEnd w:id="5687"/>
    </w:p>
    <w:p>
      <w:pPr>
        <w:pStyle w:val="BookText"/>
      </w:pPr>
      <w:r>
        <w:rPr>
          <w:rFonts w:ascii="IRNazanin" w:hAnsi="IRNazanin" w:eastAsia="IRNazanin" w:cs="IRNazanin"/>
          <w:lang w:bidi="fa-IR"/>
          <w:color w:val="111111"/>
          <w:sz w:val="28"/>
          <w:szCs w:val="28"/>
          <w:rtl/>
        </w:rPr>
        <w:t xml:space="preserve">أیضا اسمه محمد حسین التبریزی من شعراء القرن الثالث عشر فی تبریز. حکاه فی (دجا- ص 227) عن قاموس الأعلام الترکیة و مات (1269) و شعره ترکی کما فی الریحانة.</w:t>
      </w:r>
    </w:p>
    <w:p>
      <w:pPr>
        <w:pStyle w:val="Heading3"/>
      </w:pPr>
      <w:bookmarkStart w:id="5688" w:name="_Toc4384"/>
      <w:r>
        <w:t>دیوان- صبور ذهبی‏</w:t>
      </w:r>
      <w:bookmarkEnd w:id="5688"/>
    </w:p>
    <w:p>
      <w:pPr>
        <w:pStyle w:val="BookText"/>
      </w:pPr>
      <w:r>
        <w:rPr>
          <w:rFonts w:ascii="IRNazanin" w:hAnsi="IRNazanin" w:eastAsia="IRNazanin" w:cs="IRNazanin"/>
          <w:lang w:bidi="fa-IR"/>
          <w:color w:val="111111"/>
          <w:sz w:val="28"/>
          <w:szCs w:val="28"/>
          <w:rtl/>
        </w:rPr>
        <w:t xml:space="preserve">راجع صبور شیرازی.</w:t>
      </w:r>
    </w:p>
    <w:p>
      <w:pPr>
        <w:pStyle w:val="Heading3"/>
      </w:pPr>
      <w:bookmarkStart w:id="5689" w:name="_Toc4385"/>
      <w:r>
        <w:t>4286- دیوان صبور شیرازی بواناتی أو شعره‏</w:t>
      </w:r>
      <w:bookmarkEnd w:id="5689"/>
    </w:p>
    <w:p>
      <w:pPr>
        <w:pStyle w:val="BookText"/>
      </w:pPr>
      <w:r>
        <w:rPr>
          <w:rFonts w:ascii="IRNazanin" w:hAnsi="IRNazanin" w:eastAsia="IRNazanin" w:cs="IRNazanin"/>
          <w:lang w:bidi="fa-IR"/>
          <w:color w:val="111111"/>
          <w:sz w:val="28"/>
          <w:szCs w:val="28"/>
          <w:rtl/>
        </w:rPr>
        <w:t xml:space="preserve">من شعراء بوانات من شیراز و کان‏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590" w:name="pg11704_122073"/>
    <w:bookmarkEnd w:id="590"/>
    <w:p>
      <w:pPr>
        <w:pStyle w:val="BookText"/>
      </w:pPr>
      <w:r>
        <w:rPr>
          <w:rFonts w:ascii="IRNazanin" w:hAnsi="IRNazanin" w:eastAsia="IRNazanin" w:cs="IRNazanin"/>
          <w:lang w:bidi="fa-IR"/>
          <w:color w:val="111111"/>
          <w:sz w:val="28"/>
          <w:szCs w:val="28"/>
          <w:rtl/>
        </w:rPr>
        <w:t xml:space="preserve">حیا فی عهد فرصت فترجمه فی (عم- ص 490) فی الحاشیة، و قال اسمه المیرزا علی خان و کان من الصوفیة الذهبیة بشیراز، یتخلص صبورا و یلقب أنواری و شعره عرفانی.</w:t>
      </w:r>
    </w:p>
    <w:p>
      <w:pPr>
        <w:pStyle w:val="Heading3"/>
      </w:pPr>
      <w:bookmarkStart w:id="5690" w:name="_Toc4386"/>
      <w:r>
        <w:t>4287- دیوان صبور کاشانی‏</w:t>
      </w:r>
      <w:bookmarkEnd w:id="5690"/>
    </w:p>
    <w:p>
      <w:pPr>
        <w:pStyle w:val="BookText"/>
      </w:pPr>
      <w:r>
        <w:rPr>
          <w:rFonts w:ascii="IRNazanin" w:hAnsi="IRNazanin" w:eastAsia="IRNazanin" w:cs="IRNazanin"/>
          <w:lang w:bidi="fa-IR"/>
          <w:color w:val="111111"/>
          <w:sz w:val="28"/>
          <w:szCs w:val="28"/>
          <w:rtl/>
        </w:rPr>
        <w:t xml:space="preserve">اسمه المیرزا أحمد و هو ابن أخ فتح علی خان ملک الشعراء الکاشانی المتخلص بصبا. قتل فی محاربة الروس فی (1228) ترجمه فی (مع ج 2 ص 324) و ذکر أنه رأی دیوانه عند ولده المیرزا محمد و أورد قرب مائة و خمسین بیتا منه، و قال ملک الشعراء بهار الخراسانی فی مقدمه گلشن صبا: إنه کان ندیما لعباس میرزا بن فتح علی شاه و إنه من أجداد صبوری خراسانی ملک الشعراء (والد بهار). و ترجمه أیضا فی طرائق الحقائق- ج 3- ص 258. و (انجمن 3) و دیوان صبور کاشانی هذا موجود فی مکتبة (الملک) فی أربعة آلاف بیت.</w:t>
      </w:r>
    </w:p>
    <w:p>
      <w:pPr>
        <w:pStyle w:val="Heading3"/>
      </w:pPr>
      <w:bookmarkStart w:id="5691" w:name="_Toc4387"/>
      <w:r>
        <w:t>4288- دیوان صبوری أو شعره‏</w:t>
      </w:r>
      <w:bookmarkEnd w:id="5691"/>
    </w:p>
    <w:p>
      <w:pPr>
        <w:pStyle w:val="BookText"/>
      </w:pPr>
      <w:r>
        <w:rPr>
          <w:rFonts w:ascii="IRNazanin" w:hAnsi="IRNazanin" w:eastAsia="IRNazanin" w:cs="IRNazanin"/>
          <w:lang w:bidi="fa-IR"/>
          <w:color w:val="111111"/>
          <w:sz w:val="28"/>
          <w:szCs w:val="28"/>
          <w:rtl/>
        </w:rPr>
        <w:t xml:space="preserve">کان ماهرا فی الموسیقی و له فیها عدة رسائل.</w:t>
      </w:r>
    </w:p>
    <w:p>
      <w:pPr>
        <w:pStyle w:val="BookText"/>
      </w:pPr>
      <w:r>
        <w:rPr>
          <w:rFonts w:ascii="IRNazanin" w:hAnsi="IRNazanin" w:eastAsia="IRNazanin" w:cs="IRNazanin"/>
          <w:lang w:bidi="fa-IR"/>
          <w:color w:val="111111"/>
          <w:sz w:val="28"/>
          <w:szCs w:val="28"/>
          <w:rtl/>
        </w:rPr>
        <w:t xml:space="preserve">أورد شعره و أطرأه فی (گلشن- ص 249).</w:t>
      </w:r>
    </w:p>
    <w:p>
      <w:pPr>
        <w:pStyle w:val="Heading3"/>
      </w:pPr>
      <w:bookmarkStart w:id="5692" w:name="_Toc4388"/>
      <w:r>
        <w:t>4289- دیوان صبوری أصفهانی‏</w:t>
      </w:r>
      <w:bookmarkEnd w:id="5692"/>
    </w:p>
    <w:p>
      <w:pPr>
        <w:pStyle w:val="BookText"/>
      </w:pPr>
      <w:r>
        <w:rPr>
          <w:rFonts w:ascii="IRNazanin" w:hAnsi="IRNazanin" w:eastAsia="IRNazanin" w:cs="IRNazanin"/>
          <w:lang w:bidi="fa-IR"/>
          <w:color w:val="111111"/>
          <w:sz w:val="28"/>
          <w:szCs w:val="28"/>
          <w:rtl/>
        </w:rPr>
        <w:t xml:space="preserve">المیرزا نصر الله خان بن أبی طالب عادل الأصفهانی.</w:t>
      </w:r>
    </w:p>
    <w:p>
      <w:pPr>
        <w:pStyle w:val="BookText"/>
      </w:pPr>
      <w:r>
        <w:rPr>
          <w:rFonts w:ascii="IRNazanin" w:hAnsi="IRNazanin" w:eastAsia="IRNazanin" w:cs="IRNazanin"/>
          <w:lang w:bidi="fa-IR"/>
          <w:color w:val="111111"/>
          <w:sz w:val="28"/>
          <w:szCs w:val="28"/>
          <w:rtl/>
        </w:rPr>
        <w:t xml:space="preserve">ولد بأصفهان فی (5- ذ ق- 1279) و توفی (3 شعبان- 1353) طلب العلم ببلده و سافر إلی أنحاء إیران و لقب ملک الأدب و دیوانه یشتمل علی خمسین ألف بیت.</w:t>
      </w:r>
    </w:p>
    <w:p>
      <w:pPr>
        <w:pStyle w:val="BookText"/>
      </w:pPr>
      <w:r>
        <w:rPr>
          <w:rFonts w:ascii="IRNazanin" w:hAnsi="IRNazanin" w:eastAsia="IRNazanin" w:cs="IRNazanin"/>
          <w:lang w:bidi="fa-IR"/>
          <w:color w:val="111111"/>
          <w:sz w:val="28"/>
          <w:szCs w:val="28"/>
          <w:rtl/>
        </w:rPr>
        <w:t xml:space="preserve">ترجمه کذلک فی (شعرای معاصر أصفهان ص 302) و کذا فی نامه سخنوران لإیزد گشسب (ص 160).</w:t>
      </w:r>
    </w:p>
    <w:p>
      <w:pPr>
        <w:pStyle w:val="Heading3"/>
      </w:pPr>
      <w:bookmarkStart w:id="5693" w:name="_Toc4389"/>
      <w:r>
        <w:t>4290- دیوان صبوری تبریزی‏</w:t>
      </w:r>
      <w:bookmarkEnd w:id="5693"/>
    </w:p>
    <w:p>
      <w:pPr>
        <w:pStyle w:val="BookText"/>
      </w:pPr>
      <w:r>
        <w:rPr>
          <w:rFonts w:ascii="IRNazanin" w:hAnsi="IRNazanin" w:eastAsia="IRNazanin" w:cs="IRNazanin"/>
          <w:lang w:bidi="fa-IR"/>
          <w:color w:val="111111"/>
          <w:sz w:val="28"/>
          <w:szCs w:val="28"/>
          <w:rtl/>
        </w:rPr>
        <w:t xml:space="preserve">و اسمه الحسین بن علی. قال إسماعیل پاشا فی هدیة العارفین: قدم الروم و مات بها (1269) و له دیوان فارسی و ترکی. فهو غیر سمیه الآتی الذی هو من شعراء القرن العاشر و الحادی عشر.</w:t>
      </w:r>
    </w:p>
    <w:p>
      <w:pPr>
        <w:pStyle w:val="Heading3"/>
      </w:pPr>
      <w:bookmarkStart w:id="5694" w:name="_Toc4390"/>
      <w:r>
        <w:t>4291- دیوان صبوری تبریزی‏</w:t>
      </w:r>
      <w:bookmarkEnd w:id="5694"/>
    </w:p>
    <w:p>
      <w:pPr>
        <w:pStyle w:val="BookText"/>
      </w:pPr>
      <w:r>
        <w:rPr>
          <w:rFonts w:ascii="IRNazanin" w:hAnsi="IRNazanin" w:eastAsia="IRNazanin" w:cs="IRNazanin"/>
          <w:lang w:bidi="fa-IR"/>
          <w:color w:val="111111"/>
          <w:sz w:val="28"/>
          <w:szCs w:val="28"/>
          <w:rtl/>
        </w:rPr>
        <w:t xml:space="preserve">ترجمه فی (دجا- ص 227) عن خلاصة الأشعار بأن اسمه محمد حسین و أن أشعاره کثیرة و لا سیما فی وصف العشق و حکی عن هفت إقلیم أنه ابن قرأ بیک الصباغ و قد ضیع جواهر أشعاره و ذکر بعضا منها. و کذا فی (تش- ص 31) و (تغ- ص 79). راجع ما قبله.</w:t>
      </w:r>
    </w:p>
    <w:p>
      <w:pPr>
        <w:pStyle w:val="Heading3"/>
      </w:pPr>
      <w:bookmarkStart w:id="5695" w:name="_Toc4391"/>
      <w:r>
        <w:t>4292- دیوان صبوری تبریزی أو شعره‏</w:t>
      </w:r>
      <w:bookmarkEnd w:id="5695"/>
    </w:p>
    <w:p>
      <w:pPr>
        <w:pStyle w:val="BookText"/>
      </w:pPr>
      <w:r>
        <w:rPr>
          <w:rFonts w:ascii="IRNazanin" w:hAnsi="IRNazanin" w:eastAsia="IRNazanin" w:cs="IRNazanin"/>
          <w:lang w:bidi="fa-IR"/>
          <w:color w:val="111111"/>
          <w:sz w:val="28"/>
          <w:szCs w:val="28"/>
          <w:rtl/>
        </w:rPr>
        <w:t xml:space="preserve">و اسمه میر عباس المعلم من شعراء القرن الثالث عشر و شعره ترکی. حکاه فی (دجا- ص 228) عن حدیقة الشعراء.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591" w:name="pg11704_122074"/>
    <w:bookmarkEnd w:id="591"/>
    <w:p>
      <w:pPr>
        <w:pStyle w:val="Heading3"/>
      </w:pPr>
      <w:bookmarkStart w:id="5696" w:name="_Toc4392"/>
      <w:r>
        <w:t>4293- دیوان صبوری تربتی أو شعره‏</w:t>
      </w:r>
      <w:bookmarkEnd w:id="5696"/>
    </w:p>
    <w:p>
      <w:pPr>
        <w:pStyle w:val="BookText"/>
      </w:pPr>
      <w:r>
        <w:rPr>
          <w:rFonts w:ascii="IRNazanin" w:hAnsi="IRNazanin" w:eastAsia="IRNazanin" w:cs="IRNazanin"/>
          <w:lang w:bidi="fa-IR"/>
          <w:color w:val="111111"/>
          <w:sz w:val="28"/>
          <w:szCs w:val="28"/>
          <w:rtl/>
        </w:rPr>
        <w:t xml:space="preserve">و اسمه مولانا محمد. أورد شعره فی (گلشن- ص 249).</w:t>
      </w:r>
    </w:p>
    <w:p>
      <w:pPr>
        <w:pStyle w:val="Heading3"/>
      </w:pPr>
      <w:bookmarkStart w:id="5697" w:name="_Toc4393"/>
      <w:r>
        <w:t>4294- دیوان صبوری خراسانی‏</w:t>
      </w:r>
      <w:bookmarkEnd w:id="5697"/>
    </w:p>
    <w:p>
      <w:pPr>
        <w:pStyle w:val="BookText"/>
      </w:pPr>
      <w:r>
        <w:rPr>
          <w:rFonts w:ascii="IRNazanin" w:hAnsi="IRNazanin" w:eastAsia="IRNazanin" w:cs="IRNazanin"/>
          <w:lang w:bidi="fa-IR"/>
          <w:color w:val="111111"/>
          <w:sz w:val="28"/>
          <w:szCs w:val="28"/>
          <w:rtl/>
        </w:rPr>
        <w:t xml:space="preserve">المیرزا کاظم من أحفاد المیرزا أحمد صبور الکاشانی المذکور آنفا. جاء آباؤه من طهران إلی خراسان و کانوا یشتغلون بالنسیج، و ولد صبور بمشهد خراسان فی (1259) و نشا بها و لما ظهر طبعه و قریحته الشعریة لقبه ناصر الدین شاه ملک الشعراء للآستانة الرضویة. و توفی فی (1322) و کان له أربعة أولاد أکبرهم محمد تقی بهار خراسانی المذکور فی (ص 145) فلقب بلقب أبیه بأمر من مظفر الدین شاه، و مر له دوازده بند فی (8: 270).</w:t>
      </w:r>
    </w:p>
    <w:p>
      <w:pPr>
        <w:pStyle w:val="Heading3"/>
      </w:pPr>
      <w:bookmarkStart w:id="5698" w:name="_Toc4394"/>
      <w:r>
        <w:t>4295- دیوان صبوری خوانساری أو شعره‏</w:t>
      </w:r>
      <w:bookmarkEnd w:id="5698"/>
    </w:p>
    <w:p>
      <w:pPr>
        <w:pStyle w:val="BookText"/>
      </w:pPr>
      <w:r>
        <w:rPr>
          <w:rFonts w:ascii="IRNazanin" w:hAnsi="IRNazanin" w:eastAsia="IRNazanin" w:cs="IRNazanin"/>
          <w:lang w:bidi="fa-IR"/>
          <w:color w:val="111111"/>
          <w:sz w:val="28"/>
          <w:szCs w:val="28"/>
          <w:rtl/>
        </w:rPr>
        <w:t xml:space="preserve">و اسمه محمد هاشم کان یسافر إلی کرمان و یزد، أورد شعره النصرآبادی و أطرأه فی (نر 9- ص 381) و (تغ- ص 80) و (گلشن- ص 248).</w:t>
      </w:r>
    </w:p>
    <w:p>
      <w:pPr>
        <w:pStyle w:val="Heading3"/>
      </w:pPr>
      <w:bookmarkStart w:id="5699" w:name="_Toc4395"/>
      <w:r>
        <w:t>4296- دیوان صبوری رشتی‏</w:t>
      </w:r>
      <w:bookmarkEnd w:id="5699"/>
    </w:p>
    <w:p>
      <w:pPr>
        <w:pStyle w:val="BookText"/>
      </w:pPr>
      <w:r>
        <w:rPr>
          <w:rFonts w:ascii="IRNazanin" w:hAnsi="IRNazanin" w:eastAsia="IRNazanin" w:cs="IRNazanin"/>
          <w:lang w:bidi="fa-IR"/>
          <w:color w:val="111111"/>
          <w:sz w:val="28"/>
          <w:szCs w:val="28"/>
          <w:rtl/>
        </w:rPr>
        <w:t xml:space="preserve">و اسمه المیرزا باقر خان الحکیم بن السید محمد ولد (1265) برشت و سافر إلی لبنان و مصر و أقام بها أربع و عشرین سنة و رجع إلی وطنه و مات فی (1313) فحمل إلی وادی السلام بالنجف کان متضلعا فی الفلسفة القدیمة، ماهرا فی الطب و الموسیقی له غزلیات تتبع فیها سعدی و حافظ، جمعها هادی جلوه و طبعها بطهران فی (1335 ش) و ترجم فی مجلة یغما (العدد 2 السنة 4)</w:t>
      </w:r>
    </w:p>
    <w:p>
      <w:pPr>
        <w:pStyle w:val="Heading3"/>
      </w:pPr>
      <w:bookmarkStart w:id="5700" w:name="_Toc4396"/>
      <w:r>
        <w:t>دیوان صبوری گیلانی‏</w:t>
      </w:r>
      <w:bookmarkEnd w:id="5700"/>
    </w:p>
    <w:p>
      <w:pPr>
        <w:pStyle w:val="BookText"/>
      </w:pPr>
      <w:r>
        <w:rPr>
          <w:rFonts w:ascii="IRNazanin" w:hAnsi="IRNazanin" w:eastAsia="IRNazanin" w:cs="IRNazanin"/>
          <w:lang w:bidi="fa-IR"/>
          <w:color w:val="111111"/>
          <w:sz w:val="28"/>
          <w:szCs w:val="28"/>
          <w:rtl/>
        </w:rPr>
        <w:t xml:space="preserve">راجع صبوری رشتی‏</w:t>
      </w:r>
    </w:p>
    <w:p>
      <w:pPr>
        <w:pStyle w:val="Heading3"/>
      </w:pPr>
      <w:bookmarkStart w:id="5701" w:name="_Toc4397"/>
      <w:r>
        <w:t>4297- دیوان صبوری همدانی أو شعره‏</w:t>
      </w:r>
      <w:bookmarkEnd w:id="5701"/>
    </w:p>
    <w:p>
      <w:pPr>
        <w:pStyle w:val="BookText"/>
      </w:pPr>
      <w:r>
        <w:rPr>
          <w:rFonts w:ascii="IRNazanin" w:hAnsi="IRNazanin" w:eastAsia="IRNazanin" w:cs="IRNazanin"/>
          <w:lang w:bidi="fa-IR"/>
          <w:color w:val="111111"/>
          <w:sz w:val="28"/>
          <w:szCs w:val="28"/>
          <w:rtl/>
        </w:rPr>
        <w:t xml:space="preserve">و هو کمال الدین حسین سافر إلی الهند فی عهد أکبر شاه، و لازم خان زمان أورد شعره فی (گلشن- ص 249) و (تغ- ص 80)</w:t>
      </w:r>
    </w:p>
    <w:p>
      <w:pPr>
        <w:pStyle w:val="Heading3"/>
      </w:pPr>
      <w:bookmarkStart w:id="5702" w:name="_Toc4398"/>
      <w:r>
        <w:t>دیوان صبیحی سمرقندی‏</w:t>
      </w:r>
      <w:bookmarkEnd w:id="5702"/>
    </w:p>
    <w:p>
      <w:pPr>
        <w:pStyle w:val="BookText"/>
      </w:pPr>
      <w:r>
        <w:rPr>
          <w:rFonts w:ascii="IRNazanin" w:hAnsi="IRNazanin" w:eastAsia="IRNazanin" w:cs="IRNazanin"/>
          <w:lang w:bidi="fa-IR"/>
          <w:color w:val="111111"/>
          <w:sz w:val="28"/>
          <w:szCs w:val="28"/>
          <w:rtl/>
        </w:rPr>
        <w:t xml:space="preserve">قال (حسینی- 188) إنه کان من الزهاد و أظنه اشتبه بالصبحی الکشمیری أو صبوحی سمرقندی‏</w:t>
      </w:r>
    </w:p>
    <w:p>
      <w:pPr>
        <w:pStyle w:val="Heading3"/>
      </w:pPr>
      <w:bookmarkStart w:id="5703" w:name="_Toc4399"/>
      <w:r>
        <w:t>4298- دیوان صحاف‏</w:t>
      </w:r>
      <w:bookmarkEnd w:id="5703"/>
    </w:p>
    <w:p>
      <w:pPr>
        <w:pStyle w:val="BookText"/>
      </w:pPr>
      <w:r>
        <w:rPr>
          <w:rFonts w:ascii="IRNazanin" w:hAnsi="IRNazanin" w:eastAsia="IRNazanin" w:cs="IRNazanin"/>
          <w:lang w:bidi="fa-IR"/>
          <w:color w:val="111111"/>
          <w:sz w:val="28"/>
          <w:szCs w:val="28"/>
          <w:rtl/>
        </w:rPr>
        <w:t xml:space="preserve">فی المراثی فارسی لمحمد حسین الصحاف طبع فی تبریز (1331)</w:t>
      </w:r>
    </w:p>
    <w:p>
      <w:pPr>
        <w:pStyle w:val="Heading3"/>
      </w:pPr>
      <w:bookmarkStart w:id="5704" w:name="_Toc4400"/>
      <w:r>
        <w:t>4299- دیوان صحبت أصفهانی أو شعره‏</w:t>
      </w:r>
      <w:bookmarkEnd w:id="5704"/>
    </w:p>
    <w:p>
      <w:pPr>
        <w:pStyle w:val="BookText"/>
      </w:pPr>
      <w:r>
        <w:rPr>
          <w:rFonts w:ascii="IRNazanin" w:hAnsi="IRNazanin" w:eastAsia="IRNazanin" w:cs="IRNazanin"/>
          <w:lang w:bidi="fa-IR"/>
          <w:color w:val="111111"/>
          <w:sz w:val="28"/>
          <w:szCs w:val="28"/>
          <w:rtl/>
        </w:rPr>
        <w:t xml:space="preserve">کان شاعرا ماهرا و طبیبا حاذقا جاء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592" w:name="pg11704_122075"/>
    <w:bookmarkEnd w:id="592"/>
    <w:p>
      <w:pPr>
        <w:pStyle w:val="BookText"/>
      </w:pPr>
      <w:r>
        <w:rPr>
          <w:rFonts w:ascii="IRNazanin" w:hAnsi="IRNazanin" w:eastAsia="IRNazanin" w:cs="IRNazanin"/>
          <w:lang w:bidi="fa-IR"/>
          <w:color w:val="111111"/>
          <w:sz w:val="28"/>
          <w:szCs w:val="28"/>
          <w:rtl/>
        </w:rPr>
        <w:t xml:space="preserve">إلی الهند فی عهد عالمگیر و مات فی عهد محمد شاه کذا فی (روشن- ص 387)</w:t>
      </w:r>
    </w:p>
    <w:p>
      <w:pPr>
        <w:pStyle w:val="Heading3"/>
      </w:pPr>
      <w:bookmarkStart w:id="5705" w:name="_Toc4401"/>
      <w:r>
        <w:t>4300- دیوان صحبتی تفرشی‏</w:t>
      </w:r>
      <w:bookmarkEnd w:id="5705"/>
    </w:p>
    <w:p>
      <w:pPr>
        <w:pStyle w:val="BookText"/>
      </w:pPr>
      <w:r>
        <w:rPr>
          <w:rFonts w:ascii="IRNazanin" w:hAnsi="IRNazanin" w:eastAsia="IRNazanin" w:cs="IRNazanin"/>
          <w:lang w:bidi="fa-IR"/>
          <w:color w:val="111111"/>
          <w:sz w:val="28"/>
          <w:szCs w:val="28"/>
          <w:rtl/>
        </w:rPr>
        <w:t xml:space="preserve">الشاعر التفریشی له رثاء المولی عبد الله التستری و مادة تاریخه آه آه از مقتدای شیعیان ذکره النصرآبادی فی (نر 13- ص 484) و عالم‏آرا- ص 860 و هی تساوی (1016 أو 1018) علی خلاف المشهور فی (1021)</w:t>
      </w:r>
    </w:p>
    <w:p>
      <w:pPr>
        <w:pStyle w:val="Heading3"/>
      </w:pPr>
      <w:bookmarkStart w:id="5706" w:name="_Toc4402"/>
      <w:r>
        <w:t>4301- دیوان صحبت لاری‏</w:t>
      </w:r>
      <w:bookmarkEnd w:id="5706"/>
    </w:p>
    <w:p>
      <w:pPr>
        <w:pStyle w:val="BookText"/>
      </w:pPr>
      <w:r>
        <w:rPr>
          <w:rFonts w:ascii="IRNazanin" w:hAnsi="IRNazanin" w:eastAsia="IRNazanin" w:cs="IRNazanin"/>
          <w:lang w:bidi="fa-IR"/>
          <w:color w:val="111111"/>
          <w:sz w:val="28"/>
          <w:szCs w:val="28"/>
          <w:rtl/>
        </w:rPr>
        <w:t xml:space="preserve">اسمه تاج الدواوین و قد فاتنا ذکره فی حرف التاء و هو من نظم العالم فی لار المولی محمد باقر بن محمد علی بن عبد الصمد بن الشاه منصور اللاری المتوفی (1251) عن (89 سنة) من عمره و دفن فی مزار امام‏زاده میر علی ابن الحسین ترجمه الحاج علی أکبر نواب الشیرازی فی تذکره دلگشا و شمس التواریخ لإیزد گشسب، و قال فی لارستان کهن- ص 201 إنه قد خلط شعره مع شعر سمیه آخوند ملا محمد باقر لاری طبع فی بمبئی فی (1312) بمباشرة حفید الناظم و هو المیرزا علی أکبر بن أبی الفیض بن الناظم فیه الغزلیات و الرباعیات و المثنویات و فی آخره بعض مراثی الحسین علیه السلام  و طبع بشیراز علی الحروف فی (1317 ش) فی (180 ص) و قد تتبعت طاهرة قرة العین البابیة بنت الشیخ محمد تقی بعض، شعر صحبت هذا، فنسب البابیة بعض أشعاره إلی قرة العین هذه‏</w:t>
      </w:r>
    </w:p>
    <w:p>
      <w:pPr>
        <w:pStyle w:val="Heading3"/>
      </w:pPr>
      <w:bookmarkStart w:id="5707" w:name="_Toc4403"/>
      <w:r>
        <w:t>4302- دیوان صحرائی رازی‏</w:t>
      </w:r>
      <w:bookmarkEnd w:id="5707"/>
    </w:p>
    <w:p>
      <w:pPr>
        <w:pStyle w:val="BookText"/>
      </w:pPr>
      <w:r>
        <w:rPr>
          <w:rFonts w:ascii="IRNazanin" w:hAnsi="IRNazanin" w:eastAsia="IRNazanin" w:cs="IRNazanin"/>
          <w:lang w:bidi="fa-IR"/>
          <w:color w:val="111111"/>
          <w:sz w:val="28"/>
          <w:szCs w:val="28"/>
          <w:rtl/>
        </w:rPr>
        <w:t xml:space="preserve">الشاعر الفارسی ترجمه سام میرزا فی (تس 5- 163) و أورد مطلع غزله‏</w:t>
      </w:r>
    </w:p>
    <w:p>
      <w:pPr>
        <w:pStyle w:val="Heading3"/>
      </w:pPr>
      <w:bookmarkStart w:id="5708" w:name="_Toc4404"/>
      <w:r>
        <w:t>4303- دیوان مولانا صحیفی شیرازی‏</w:t>
      </w:r>
      <w:bookmarkEnd w:id="5708"/>
    </w:p>
    <w:p>
      <w:pPr>
        <w:pStyle w:val="BookText"/>
      </w:pPr>
      <w:r>
        <w:rPr>
          <w:rFonts w:ascii="IRNazanin" w:hAnsi="IRNazanin" w:eastAsia="IRNazanin" w:cs="IRNazanin"/>
          <w:lang w:bidi="fa-IR"/>
          <w:color w:val="111111"/>
          <w:sz w:val="28"/>
          <w:szCs w:val="28"/>
          <w:rtl/>
        </w:rPr>
        <w:t xml:space="preserve">الصحاف الکتبی والد أسیری المذکور فی (ص 75) ترجمه الصادقی فی (خص 8- ص 218) و ذکر أن له قصائد کثیرة بدیهیة فی أبناء الکبراء و شعره ترکی و فارسی، و أورد بعض ترکیة و أورد النصرآبادی فی (نر 9- ص 305) شعره و رباعیه الفارسی فی وصف روضة بعض الأئمة علیه السلام  و قال فی (میخانه- ص 244) إنه من أحفاد صوفی خلیل من أکابر طائفة ذو القدر، و کان ماهرا فی تنظیم المکتبات و مات (1022) و دفن فی سه‏تنان بجامع أصفهان و قال شفائی فی تاریخه:</w:t>
      </w:r>
    </w:p>
    <w:p>
      <w:pPr>
        <w:pStyle w:val="BookText"/>
      </w:pPr>
      <w:r>
        <w:rPr>
          <w:rFonts w:ascii="IRNazanin" w:hAnsi="IRNazanin" w:eastAsia="IRNazanin" w:cs="IRNazanin"/>
          <w:lang w:bidi="fa-IR"/>
          <w:color w:val="111111"/>
          <w:sz w:val="28"/>
          <w:szCs w:val="28"/>
          <w:rtl/>
        </w:rPr>
        <w:t xml:space="preserve">سال فوتش ز عقل جستم گفت:</w:t>
      </w:r>
    </w:p>
    <w:p>
      <w:pPr>
        <w:pStyle w:val="BookText"/>
      </w:pPr>
      <w:r>
        <w:rPr>
          <w:rFonts w:ascii="IRNazanin" w:hAnsi="IRNazanin" w:eastAsia="IRNazanin" w:cs="IRNazanin"/>
          <w:lang w:bidi="fa-IR"/>
          <w:color w:val="111111"/>
          <w:sz w:val="28"/>
          <w:szCs w:val="28"/>
          <w:rtl/>
        </w:rPr>
        <w:t xml:space="preserve">رفت ملا صحیفی از دنیا</w:t>
      </w:r>
    </w:p>
    <w:p>
      <w:pPr>
        <w:pStyle w:val="BookText"/>
      </w:pPr>
      <w:r>
        <w:rPr>
          <w:rFonts w:ascii="IRNazanin" w:hAnsi="IRNazanin" w:eastAsia="IRNazanin" w:cs="IRNazanin"/>
          <w:lang w:bidi="fa-IR"/>
          <w:color w:val="111111"/>
          <w:sz w:val="28"/>
          <w:szCs w:val="28"/>
          <w:rtl/>
        </w:rPr>
        <w:t xml:space="preserve">و قد رآه تقی کاشی فی أصفهان فی (987) و ذکره فی تذکرته و فی (هفت- ص 307)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593" w:name="pg11704_122076"/>
    <w:bookmarkEnd w:id="593"/>
    <w:p>
      <w:pPr>
        <w:pStyle w:val="BookText"/>
      </w:pPr>
      <w:r>
        <w:rPr>
          <w:rFonts w:ascii="IRNazanin" w:hAnsi="IRNazanin" w:eastAsia="IRNazanin" w:cs="IRNazanin"/>
          <w:lang w:bidi="fa-IR"/>
          <w:color w:val="111111"/>
          <w:sz w:val="28"/>
          <w:szCs w:val="28"/>
          <w:rtl/>
        </w:rPr>
        <w:t xml:space="preserve">ترجمه و قال کان خطاطا مذهبا صحافا کتبیا ماهرا و ترجمه أیضا فی (حسینی- ص 188) و (تغ- ص 80)</w:t>
      </w:r>
    </w:p>
    <w:p>
      <w:pPr>
        <w:pStyle w:val="Heading3"/>
      </w:pPr>
      <w:bookmarkStart w:id="5709" w:name="_Toc4405"/>
      <w:r>
        <w:t>4304- دیوان صداقت گنجاوی‏</w:t>
      </w:r>
      <w:bookmarkEnd w:id="5709"/>
    </w:p>
    <w:p>
      <w:pPr>
        <w:pStyle w:val="BookText"/>
      </w:pPr>
      <w:r>
        <w:rPr>
          <w:rFonts w:ascii="IRNazanin" w:hAnsi="IRNazanin" w:eastAsia="IRNazanin" w:cs="IRNazanin"/>
          <w:lang w:bidi="fa-IR"/>
          <w:color w:val="111111"/>
          <w:sz w:val="28"/>
          <w:szCs w:val="28"/>
          <w:rtl/>
        </w:rPr>
        <w:t xml:space="preserve">و اسمه محمد ابن أخ غنیمت مولانا محمد أکرم کان من شعراء پنجاب الهند و من مریدی عبد الرحمن نامی من السلسلة القادریة الصوفیة بالهند له ثواب المناقب مثنوی فی أحوال السلسلة المذکورة فی خمسة آلاف بیت مات (1148) أورد شعره فی (گلشن- ص 249) و عنه فی القاموس الترکی ثم الریحانة و کذا فی هدیة العارفین 2: 322)</w:t>
      </w:r>
    </w:p>
    <w:p>
      <w:pPr>
        <w:pStyle w:val="Heading3"/>
      </w:pPr>
      <w:bookmarkStart w:id="5710" w:name="_Toc4406"/>
      <w:r>
        <w:t>4305- دیوان صدرای أصفهانی أو شعره‏</w:t>
      </w:r>
      <w:bookmarkEnd w:id="5710"/>
    </w:p>
    <w:p>
      <w:pPr>
        <w:pStyle w:val="BookText"/>
      </w:pPr>
      <w:r>
        <w:rPr>
          <w:rFonts w:ascii="IRNazanin" w:hAnsi="IRNazanin" w:eastAsia="IRNazanin" w:cs="IRNazanin"/>
          <w:lang w:bidi="fa-IR"/>
          <w:color w:val="111111"/>
          <w:sz w:val="28"/>
          <w:szCs w:val="28"/>
          <w:rtl/>
        </w:rPr>
        <w:t xml:space="preserve">هو ابن المیر عبد الحسیب بن زین العابدین العاملی المذکور فی (4: 150) و حفید المیر الداماد من بنته قال النصرآبادی إنه شاب رقیق الطبع و أورد شعره فی (نر 5- ص 110) و (روشن: 389)</w:t>
      </w:r>
    </w:p>
    <w:p>
      <w:pPr>
        <w:pStyle w:val="Heading3"/>
      </w:pPr>
      <w:bookmarkStart w:id="5711" w:name="_Toc4407"/>
      <w:r>
        <w:t>4306- دیوان ملا صدرای شیرازی‏</w:t>
      </w:r>
      <w:bookmarkEnd w:id="5711"/>
    </w:p>
    <w:p>
      <w:pPr>
        <w:pStyle w:val="BookText"/>
      </w:pPr>
      <w:r>
        <w:rPr>
          <w:rFonts w:ascii="IRNazanin" w:hAnsi="IRNazanin" w:eastAsia="IRNazanin" w:cs="IRNazanin"/>
          <w:lang w:bidi="fa-IR"/>
          <w:color w:val="111111"/>
          <w:sz w:val="28"/>
          <w:szCs w:val="28"/>
          <w:rtl/>
        </w:rPr>
        <w:t xml:space="preserve">دون بعض شعره فی حیاته تلمیذه الفیض فی ضمن مجموعة کلها بخطه توجد فی کرمانشاه عند الحاج آقا ضیاء بن الحاج آقا مهدی عنوانه لأستادنا العارف صدر الدین محمد الشیرازی سلمه الله تعالی و أبقاه و من رباعیاته قوله:</w:t>
      </w:r>
    </w:p>
    <w:p>
      <w:pPr>
        <w:pStyle w:val="BookText"/>
      </w:pPr>
      <w:r>
        <w:rPr>
          <w:rFonts w:ascii="IRNazanin" w:hAnsi="IRNazanin" w:eastAsia="IRNazanin" w:cs="IRNazanin"/>
          <w:lang w:bidi="fa-IR"/>
          <w:color w:val="111111"/>
          <w:sz w:val="28"/>
          <w:szCs w:val="28"/>
          <w:rtl/>
        </w:rPr>
        <w:t xml:space="preserve">گویم سخنی ز حشر چون برق ز میغ‏</w:t>
      </w:r>
    </w:p>
    <w:p>
      <w:pPr>
        <w:pStyle w:val="BookText"/>
      </w:pPr>
      <w:r>
        <w:rPr>
          <w:rFonts w:ascii="IRNazanin" w:hAnsi="IRNazanin" w:eastAsia="IRNazanin" w:cs="IRNazanin"/>
          <w:lang w:bidi="fa-IR"/>
          <w:color w:val="111111"/>
          <w:sz w:val="28"/>
          <w:szCs w:val="28"/>
          <w:rtl/>
        </w:rPr>
        <w:t xml:space="preserve">بشنو که ندارم از تو این نکته دریغ‏</w:t>
      </w:r>
    </w:p>
    <w:p>
      <w:pPr>
        <w:pStyle w:val="BookText"/>
      </w:pPr>
      <w:r>
        <w:rPr>
          <w:rFonts w:ascii="IRNazanin" w:hAnsi="IRNazanin" w:eastAsia="IRNazanin" w:cs="IRNazanin"/>
          <w:lang w:bidi="fa-IR"/>
          <w:color w:val="111111"/>
          <w:sz w:val="28"/>
          <w:szCs w:val="28"/>
          <w:rtl/>
        </w:rPr>
        <w:t xml:space="preserve">این جان و تنت که هست شمشیر و غلاف‏</w:t>
      </w:r>
    </w:p>
    <w:p>
      <w:pPr>
        <w:pStyle w:val="BookText"/>
      </w:pPr>
      <w:r>
        <w:rPr>
          <w:rFonts w:ascii="IRNazanin" w:hAnsi="IRNazanin" w:eastAsia="IRNazanin" w:cs="IRNazanin"/>
          <w:lang w:bidi="fa-IR"/>
          <w:color w:val="111111"/>
          <w:sz w:val="28"/>
          <w:szCs w:val="28"/>
          <w:rtl/>
        </w:rPr>
        <w:t xml:space="preserve">آن روز بود غلافش از جوهر تیغ‏</w:t>
      </w:r>
    </w:p>
    <w:p>
      <w:pPr>
        <w:pStyle w:val="BookText"/>
      </w:pPr>
      <w:r>
        <w:rPr>
          <w:rFonts w:ascii="IRNazanin" w:hAnsi="IRNazanin" w:eastAsia="IRNazanin" w:cs="IRNazanin"/>
          <w:lang w:bidi="fa-IR"/>
          <w:color w:val="111111"/>
          <w:sz w:val="28"/>
          <w:szCs w:val="28"/>
          <w:rtl/>
        </w:rPr>
        <w:t xml:space="preserve">و أنشأ بعد ذهاب بصره‏</w:t>
      </w:r>
    </w:p>
    <w:p>
      <w:pPr>
        <w:pStyle w:val="BookText"/>
      </w:pPr>
      <w:r>
        <w:rPr>
          <w:rFonts w:ascii="IRNazanin" w:hAnsi="IRNazanin" w:eastAsia="IRNazanin" w:cs="IRNazanin"/>
          <w:lang w:bidi="fa-IR"/>
          <w:color w:val="111111"/>
          <w:sz w:val="28"/>
          <w:szCs w:val="28"/>
          <w:rtl/>
        </w:rPr>
        <w:t xml:space="preserve">جهان بین من، گر چه رفت از نهاد</w:t>
      </w:r>
    </w:p>
    <w:p>
      <w:pPr>
        <w:pStyle w:val="BookText"/>
      </w:pPr>
      <w:r>
        <w:rPr>
          <w:rFonts w:ascii="IRNazanin" w:hAnsi="IRNazanin" w:eastAsia="IRNazanin" w:cs="IRNazanin"/>
          <w:lang w:bidi="fa-IR"/>
          <w:color w:val="111111"/>
          <w:sz w:val="28"/>
          <w:szCs w:val="28"/>
          <w:rtl/>
        </w:rPr>
        <w:t xml:space="preserve">جهان‏آفرین بین من، کم مباد</w:t>
      </w:r>
    </w:p>
    <w:p>
      <w:pPr>
        <w:pStyle w:val="BookText"/>
      </w:pPr>
      <w:r>
        <w:rPr>
          <w:rFonts w:ascii="IRNazanin" w:hAnsi="IRNazanin" w:eastAsia="IRNazanin" w:cs="IRNazanin"/>
          <w:lang w:bidi="fa-IR"/>
          <w:color w:val="111111"/>
          <w:sz w:val="28"/>
          <w:szCs w:val="28"/>
          <w:rtl/>
        </w:rPr>
        <w:t xml:space="preserve">جهان بین اگر شد، جهانبان بجاست‏</w:t>
      </w:r>
    </w:p>
    <w:p>
      <w:pPr>
        <w:pStyle w:val="BookText"/>
      </w:pPr>
      <w:r>
        <w:rPr>
          <w:rFonts w:ascii="IRNazanin" w:hAnsi="IRNazanin" w:eastAsia="IRNazanin" w:cs="IRNazanin"/>
          <w:lang w:bidi="fa-IR"/>
          <w:color w:val="111111"/>
          <w:sz w:val="28"/>
          <w:szCs w:val="28"/>
          <w:rtl/>
        </w:rPr>
        <w:t xml:space="preserve">جهان را جهانبان، نه غیر از خداست‏</w:t>
      </w:r>
    </w:p>
    <w:p>
      <w:pPr>
        <w:pStyle w:val="BookText"/>
      </w:pPr>
      <w:r>
        <w:rPr>
          <w:rFonts w:ascii="IRNazanin" w:hAnsi="IRNazanin" w:eastAsia="IRNazanin" w:cs="IRNazanin"/>
          <w:lang w:bidi="fa-IR"/>
          <w:color w:val="111111"/>
          <w:sz w:val="28"/>
          <w:szCs w:val="28"/>
          <w:rtl/>
        </w:rPr>
        <w:t xml:space="preserve">و ترجم أحوال المولی صدرا فی الروضات (ص 331) و الکنی و الألقاب ص 372 و طبع ببغداد أخیرا بعنوان صدر الدین الشیرازی تحقیقا عن فلسفة هذا الحکیم الفارسی فی رسالة مستقلة</w:t>
      </w:r>
    </w:p>
    <w:p>
      <w:pPr>
        <w:pStyle w:val="Heading3"/>
      </w:pPr>
      <w:bookmarkStart w:id="5712" w:name="_Toc4408"/>
      <w:r>
        <w:t>4307- دیوان صدر أبهری أو شعره‏</w:t>
      </w:r>
      <w:bookmarkEnd w:id="5712"/>
    </w:p>
    <w:p>
      <w:pPr>
        <w:pStyle w:val="BookText"/>
      </w:pPr>
      <w:r>
        <w:rPr>
          <w:rFonts w:ascii="IRNazanin" w:hAnsi="IRNazanin" w:eastAsia="IRNazanin" w:cs="IRNazanin"/>
          <w:lang w:bidi="fa-IR"/>
          <w:color w:val="111111"/>
          <w:sz w:val="28"/>
          <w:szCs w:val="28"/>
          <w:rtl/>
        </w:rPr>
        <w:t xml:space="preserve">ترجمه و أورد شعره فی (مجتس 6- ص 158) و قال یشتغل بلاجوردشوئی‏</w:t>
      </w:r>
    </w:p>
    <w:p>
      <w:pPr>
        <w:pStyle w:val="Heading3"/>
      </w:pPr>
      <w:bookmarkStart w:id="5713" w:name="_Toc4409"/>
      <w:r>
        <w:t>دیوان صدر أعظم‏</w:t>
      </w:r>
      <w:bookmarkEnd w:id="5713"/>
    </w:p>
    <w:p>
      <w:pPr>
        <w:pStyle w:val="BookText"/>
      </w:pPr>
      <w:r>
        <w:rPr>
          <w:rFonts w:ascii="IRNazanin" w:hAnsi="IRNazanin" w:eastAsia="IRNazanin" w:cs="IRNazanin"/>
          <w:lang w:bidi="fa-IR"/>
          <w:color w:val="111111"/>
          <w:sz w:val="28"/>
          <w:szCs w:val="28"/>
          <w:rtl/>
        </w:rPr>
        <w:t xml:space="preserve">مر بعنوان دیوان أتابک‏</w:t>
      </w:r>
    </w:p>
    <w:p>
      <w:pPr>
        <w:pStyle w:val="Heading3"/>
      </w:pPr>
      <w:bookmarkStart w:id="5714" w:name="_Toc4410"/>
      <w:r>
        <w:t>دیوان صدر الأفاضل أفشار</w:t>
      </w:r>
      <w:bookmarkEnd w:id="5714"/>
    </w:p>
    <w:p>
      <w:pPr>
        <w:pStyle w:val="BookText"/>
      </w:pPr>
      <w:r>
        <w:rPr>
          <w:rFonts w:ascii="IRNazanin" w:hAnsi="IRNazanin" w:eastAsia="IRNazanin" w:cs="IRNazanin"/>
          <w:lang w:bidi="fa-IR"/>
          <w:color w:val="111111"/>
          <w:sz w:val="28"/>
          <w:szCs w:val="28"/>
          <w:rtl/>
        </w:rPr>
        <w:t xml:space="preserve">یأتی بتخلصه نظام کما فی منظومته مصاب‏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594" w:name="pg11704_122077"/>
    <w:bookmarkEnd w:id="594"/>
    <w:p>
      <w:pPr>
        <w:pStyle w:val="BookText"/>
      </w:pPr>
      <w:r>
        <w:rPr>
          <w:rFonts w:ascii="IRNazanin" w:hAnsi="IRNazanin" w:eastAsia="IRNazanin" w:cs="IRNazanin"/>
          <w:lang w:bidi="fa-IR"/>
          <w:color w:val="111111"/>
          <w:sz w:val="28"/>
          <w:szCs w:val="28"/>
          <w:rtl/>
        </w:rPr>
        <w:t xml:space="preserve">الموجود عند الدکتور سید علی شایگان أستاذ جامعة طهران و قد نظمه فی قبال نصاب و له مقویم فی قبال تقویم کما ذکر فی المآثر- ص 213 و قد خلطنا بینه و بین سمیه فی (ص 316)</w:t>
      </w:r>
    </w:p>
    <w:p>
      <w:pPr>
        <w:pStyle w:val="Heading3"/>
      </w:pPr>
      <w:bookmarkStart w:id="5715" w:name="_Toc4411"/>
      <w:r>
        <w:t>دیوان صدر الأفاضل شیرازی‏</w:t>
      </w:r>
      <w:bookmarkEnd w:id="5715"/>
    </w:p>
    <w:p>
      <w:pPr>
        <w:pStyle w:val="BookText"/>
      </w:pPr>
      <w:r>
        <w:rPr>
          <w:rFonts w:ascii="IRNazanin" w:hAnsi="IRNazanin" w:eastAsia="IRNazanin" w:cs="IRNazanin"/>
          <w:lang w:bidi="fa-IR"/>
          <w:color w:val="111111"/>
          <w:sz w:val="28"/>
          <w:szCs w:val="28"/>
          <w:rtl/>
        </w:rPr>
        <w:t xml:space="preserve">المیرزا لطف علی (1268- 1350) کان یتخلص أولا فانی و بعد (1294) تخلص دانش کما ذکرناه فی (ص 316)</w:t>
      </w:r>
      <w:r>
        <w:rPr>
          <w:rStyle w:val="FootnoteReference"/>
        </w:rPr>
        <w:footnoteReference w:id="51"/>
      </w:r>
      <w:r>
        <w:rPr>
          <w:rFonts w:ascii="IRNazanin" w:hAnsi="IRNazanin" w:eastAsia="IRNazanin" w:cs="IRNazanin"/>
          <w:lang w:bidi="fa-IR"/>
          <w:color w:val="111111"/>
          <w:sz w:val="28"/>
          <w:szCs w:val="28"/>
          <w:rtl/>
        </w:rPr>
        <w:t xml:space="preserve">و دیوانه یشتمل علی أکثر من عشرة آلاف بیت عند أحفاده” المیرزا لطف علی” المتسمین نصیری أمینی لأنهم ینسبون أنفسهم إلی الخواجة نصیر الدین الطوسی‏</w:t>
      </w:r>
    </w:p>
    <w:p>
      <w:pPr>
        <w:pStyle w:val="Heading3"/>
      </w:pPr>
      <w:bookmarkStart w:id="5716" w:name="_Toc4412"/>
      <w:r>
        <w:t>4308- دیوان صدر أنصاری أو شعره‏</w:t>
      </w:r>
      <w:bookmarkEnd w:id="5716"/>
    </w:p>
    <w:p>
      <w:pPr>
        <w:pStyle w:val="BookText"/>
      </w:pPr>
      <w:r>
        <w:rPr>
          <w:rFonts w:ascii="IRNazanin" w:hAnsi="IRNazanin" w:eastAsia="IRNazanin" w:cs="IRNazanin"/>
          <w:lang w:bidi="fa-IR"/>
          <w:color w:val="111111"/>
          <w:sz w:val="28"/>
          <w:szCs w:val="28"/>
          <w:rtl/>
        </w:rPr>
        <w:t xml:space="preserve">و هو المیر صدر الدین محمد من أعقاب جابر بن عبد الله الأنصاری جاء جده الأعلی من گرجستان إلی أصفهان بأمر من أمیر تیمور گورکان، و قتل جده سلیمان هناک و جاء والده إلی الهند عن طریق کابل و کشمیر ثم جاء صدر إلی لکهنو و بها مات فی (1180) أورد شعره فی (گلشن- ص 251)</w:t>
      </w:r>
    </w:p>
    <w:p>
      <w:pPr>
        <w:pStyle w:val="Heading3"/>
      </w:pPr>
      <w:bookmarkStart w:id="5717" w:name="_Toc4413"/>
      <w:r>
        <w:t>دیوان الصدر التستری‏</w:t>
      </w:r>
      <w:bookmarkEnd w:id="5717"/>
    </w:p>
    <w:p>
      <w:pPr>
        <w:pStyle w:val="BookText"/>
      </w:pPr>
      <w:r>
        <w:rPr>
          <w:rFonts w:ascii="IRNazanin" w:hAnsi="IRNazanin" w:eastAsia="IRNazanin" w:cs="IRNazanin"/>
          <w:lang w:bidi="fa-IR"/>
          <w:color w:val="111111"/>
          <w:sz w:val="28"/>
          <w:szCs w:val="28"/>
          <w:rtl/>
        </w:rPr>
        <w:t xml:space="preserve">یأتی بعنوان صدر شوشتری‏</w:t>
      </w:r>
    </w:p>
    <w:p>
      <w:pPr>
        <w:pStyle w:val="Heading3"/>
      </w:pPr>
      <w:bookmarkStart w:id="5718" w:name="_Toc4414"/>
      <w:r>
        <w:t>4309- دیوان صدرجهان پهانی أو شعره‏</w:t>
      </w:r>
      <w:bookmarkEnd w:id="5718"/>
    </w:p>
    <w:p>
      <w:pPr>
        <w:pStyle w:val="BookText"/>
      </w:pPr>
      <w:r>
        <w:rPr>
          <w:rFonts w:ascii="IRNazanin" w:hAnsi="IRNazanin" w:eastAsia="IRNazanin" w:cs="IRNazanin"/>
          <w:lang w:bidi="fa-IR"/>
          <w:color w:val="111111"/>
          <w:sz w:val="28"/>
          <w:szCs w:val="28"/>
          <w:rtl/>
        </w:rPr>
        <w:t xml:space="preserve">کان من أحفاد السید کمال الترمذی کما یقال، و هو من خیرآباد بالهند تقرب عند أکبر پادشاه فنصبه قاضی القضاة و فی (994) بعثه مع الحکیم همام الگیلانی سفیرا إلی بلاط عبد الله اورنگ، و بعد موت أکبر شاه تقرب عند جهانگیر پادشاه و مات فی (1027) و دفن فی پهانی من نواحی لکهنو کما فی سرو آزاد- ص 92 و قال إن ملا قاطعی کتب رسالة فی وقایع سفارة صدرجهان هذا مع الحکیم همام المذکور و أورد شعره فی (گلشن- ص 150)</w:t>
      </w:r>
    </w:p>
    <w:p>
      <w:pPr>
        <w:pStyle w:val="Heading3"/>
      </w:pPr>
      <w:bookmarkStart w:id="5719" w:name="_Toc4415"/>
      <w:r>
        <w:t>دیوان صدرجهان سمرقندی‏</w:t>
      </w:r>
      <w:bookmarkEnd w:id="5719"/>
    </w:p>
    <w:p>
      <w:pPr>
        <w:pStyle w:val="BookText"/>
      </w:pPr>
      <w:r>
        <w:rPr>
          <w:rFonts w:ascii="IRNazanin" w:hAnsi="IRNazanin" w:eastAsia="IRNazanin" w:cs="IRNazanin"/>
          <w:lang w:bidi="fa-IR"/>
          <w:color w:val="111111"/>
          <w:sz w:val="28"/>
          <w:szCs w:val="28"/>
          <w:rtl/>
        </w:rPr>
        <w:t xml:space="preserve">مر فی (ص 437) بعنوان سراج سمرقندی‏</w:t>
      </w:r>
    </w:p>
    <w:p>
      <w:pPr>
        <w:pStyle w:val="Heading3"/>
      </w:pPr>
      <w:bookmarkStart w:id="5720" w:name="_Toc4416"/>
      <w:r>
        <w:t>4310- دیوان صدر خیابانی أو شعره‏</w:t>
      </w:r>
      <w:bookmarkEnd w:id="5720"/>
    </w:p>
    <w:p>
      <w:pPr>
        <w:pStyle w:val="BookText"/>
      </w:pPr>
      <w:r>
        <w:rPr>
          <w:rFonts w:ascii="IRNazanin" w:hAnsi="IRNazanin" w:eastAsia="IRNazanin" w:cs="IRNazanin"/>
          <w:lang w:bidi="fa-IR"/>
          <w:color w:val="111111"/>
          <w:sz w:val="28"/>
          <w:szCs w:val="28"/>
          <w:rtl/>
        </w:rPr>
        <w:t xml:space="preserve">هو من شعراء تبریز و کان حافظا للقرآن ترجمه معاصره فی (تس 4- ص 82) و أورد شعره و عنه فی (دجا- ص 229)</w:t>
      </w:r>
    </w:p>
    <w:p>
      <w:pPr>
        <w:pStyle w:val="Heading3"/>
      </w:pPr>
      <w:bookmarkStart w:id="5721" w:name="_Toc4417"/>
      <w:r>
        <w:t>دیوان صدر دیلمی‏</w:t>
      </w:r>
      <w:bookmarkEnd w:id="5721"/>
    </w:p>
    <w:p>
      <w:pPr>
        <w:pStyle w:val="BookText"/>
      </w:pPr>
      <w:r>
        <w:rPr>
          <w:rFonts w:ascii="IRNazanin" w:hAnsi="IRNazanin" w:eastAsia="IRNazanin" w:cs="IRNazanin"/>
          <w:lang w:bidi="fa-IR"/>
          <w:color w:val="111111"/>
          <w:sz w:val="28"/>
          <w:szCs w:val="28"/>
          <w:rtl/>
        </w:rPr>
        <w:t xml:space="preserve">مر فی (ص 499) بعنوان شاه صدر ‏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595" w:name="pg11704_122078"/>
    <w:bookmarkEnd w:id="595"/>
    <w:p>
      <w:pPr>
        <w:pStyle w:val="Heading3"/>
      </w:pPr>
      <w:bookmarkStart w:id="5722" w:name="_Toc4418"/>
      <w:r>
        <w:t>4311- دیوان صدر الدین الأردبیلی أو شعره‏</w:t>
      </w:r>
      <w:bookmarkEnd w:id="5722"/>
    </w:p>
    <w:p>
      <w:pPr>
        <w:pStyle w:val="BookText"/>
      </w:pPr>
      <w:r>
        <w:rPr>
          <w:rFonts w:ascii="IRNazanin" w:hAnsi="IRNazanin" w:eastAsia="IRNazanin" w:cs="IRNazanin"/>
          <w:lang w:bidi="fa-IR"/>
          <w:color w:val="111111"/>
          <w:sz w:val="28"/>
          <w:szCs w:val="28"/>
          <w:rtl/>
        </w:rPr>
        <w:t xml:space="preserve">هو ابن الشیخ صفی الدین إسحاق الأردبیلی المنسوب إلیه الصفویة اسمه موسی ولد فی عید الفطر (704) قام مع أبیه إحدی و ثلاثین سنة و استقل بالإرشاد تسع و خمسین سنة و توفی (794) ترجمه فی (دجا- ص 228) و أورد غزلا من نظمه‏</w:t>
      </w:r>
    </w:p>
    <w:p>
      <w:pPr>
        <w:pStyle w:val="Heading3"/>
      </w:pPr>
      <w:bookmarkStart w:id="5723" w:name="_Toc4419"/>
      <w:r>
        <w:t>4312- دیوان صدر الدین أردکانی أو شعره‏</w:t>
      </w:r>
      <w:bookmarkEnd w:id="5723"/>
    </w:p>
    <w:p>
      <w:pPr>
        <w:pStyle w:val="BookText"/>
      </w:pPr>
      <w:r>
        <w:rPr>
          <w:rFonts w:ascii="IRNazanin" w:hAnsi="IRNazanin" w:eastAsia="IRNazanin" w:cs="IRNazanin"/>
          <w:lang w:bidi="fa-IR"/>
          <w:color w:val="111111"/>
          <w:sz w:val="28"/>
          <w:szCs w:val="28"/>
          <w:rtl/>
        </w:rPr>
        <w:t xml:space="preserve">و هو ابن المیرزا نصیر الدین بن المیر محمد صالح الطباطبائی الأردکانی نزیل یزد ترجمه فی آینه دانشوران صرح المیرزا محمد علی وامق أن ابنه المیر صدر الدین هذا کانت فاضلة أدیبة شاعرة تتخلص فی شعرها أسیری و کانت حاذقة فی الطب مع حسن الخط، و کانت والدة جده الأعلی (جد وامق) المیرزا سعید بن المیرزا محمد أمین الحسینی الیزدی قال و بقی من السید صدر الدین أشعار کثیرة بالعربیة و الفارسیة أقول: و للمیر صدر الدین هذا تصانیف کثیرة منها مرصع الحواشی الموجود عند أحفاده‏</w:t>
      </w:r>
    </w:p>
    <w:p>
      <w:pPr>
        <w:pStyle w:val="Heading3"/>
      </w:pPr>
      <w:bookmarkStart w:id="5724" w:name="_Toc4420"/>
      <w:r>
        <w:t>4313- دیوان صدر الدین تبریزی أو شعره‏</w:t>
      </w:r>
      <w:bookmarkEnd w:id="5724"/>
    </w:p>
    <w:p>
      <w:pPr>
        <w:pStyle w:val="BookText"/>
      </w:pPr>
      <w:r>
        <w:rPr>
          <w:rFonts w:ascii="IRNazanin" w:hAnsi="IRNazanin" w:eastAsia="IRNazanin" w:cs="IRNazanin"/>
          <w:lang w:bidi="fa-IR"/>
          <w:color w:val="111111"/>
          <w:sz w:val="28"/>
          <w:szCs w:val="28"/>
          <w:rtl/>
        </w:rPr>
        <w:t xml:space="preserve">هو ابن شفای تبریزی المذکور فی (ص 531) له فرهنگ عباسی ألفه فی (1225) فی اللغة الفارسیة سمی نفسه فی مقدمته بنائب الصدر تبریز ابن محمد رضا، محمد المدعو بصدر الدین التبریزی ترجمه فی نگارستان دارا و عنه فی (دجا- ص 228 و 370) و أورد شعره توجد فرهنگ عباسی فی (سپهسالار- رقم 6) کما فی فهرسها (2: 224)</w:t>
      </w:r>
    </w:p>
    <w:p>
      <w:pPr>
        <w:pStyle w:val="Heading3"/>
      </w:pPr>
      <w:bookmarkStart w:id="5725" w:name="_Toc4421"/>
      <w:r>
        <w:t>4314- دیوان صدر الدین الحسینی‏</w:t>
      </w:r>
      <w:bookmarkEnd w:id="5725"/>
    </w:p>
    <w:p>
      <w:pPr>
        <w:pStyle w:val="BookText"/>
      </w:pPr>
      <w:r>
        <w:rPr>
          <w:rFonts w:ascii="IRNazanin" w:hAnsi="IRNazanin" w:eastAsia="IRNazanin" w:cs="IRNazanin"/>
          <w:lang w:bidi="fa-IR"/>
          <w:color w:val="111111"/>
          <w:sz w:val="28"/>
          <w:szCs w:val="28"/>
          <w:rtl/>
        </w:rPr>
        <w:t xml:space="preserve">رأیت فی بعض الفهارس إنها موجودة بالمکتبة الأهلیة بپاریس.</w:t>
      </w:r>
    </w:p>
    <w:p>
      <w:pPr>
        <w:pStyle w:val="Heading3"/>
      </w:pPr>
      <w:bookmarkStart w:id="5726" w:name="_Toc4422"/>
      <w:r>
        <w:t>4315- دیوان صدر الدین دزفولی‏</w:t>
      </w:r>
      <w:bookmarkEnd w:id="5726"/>
    </w:p>
    <w:p>
      <w:pPr>
        <w:pStyle w:val="BookText"/>
      </w:pPr>
      <w:r>
        <w:rPr>
          <w:rFonts w:ascii="IRNazanin" w:hAnsi="IRNazanin" w:eastAsia="IRNazanin" w:cs="IRNazanin"/>
          <w:lang w:bidi="fa-IR"/>
          <w:color w:val="111111"/>
          <w:sz w:val="28"/>
          <w:szCs w:val="28"/>
          <w:rtl/>
        </w:rPr>
        <w:t xml:space="preserve">و هو السید العارف صدر الدین بن السید محمد باقر الموسوی الدزفولی. له مقدمه منثورة. أولها [شیرین‏تر سخنی که طوطی زبان از آیینه دل ...] و فیها القصائد و الغزل و غیرها و جعل لبعضها أسماء خاصة مثل أسرار الولایة و قوت القلوب و روح الأرواح و ماء الحیاة و کن فیکون و أنوار الملکوت و الملا الأعلی. و مر له فی (4: 145) ترجمه نهج البلاغة. و کلیات دیوانه موجودة عند (فخر الدین- رقم 59) کتبت فی (1273).</w:t>
      </w:r>
    </w:p>
    <w:p>
      <w:pPr>
        <w:pStyle w:val="Heading3"/>
      </w:pPr>
      <w:bookmarkStart w:id="5727" w:name="_Toc4423"/>
      <w:r>
        <w:t>4316- دیوان صدر الدین رواسی أو شعره‏</w:t>
      </w:r>
      <w:bookmarkEnd w:id="5727"/>
    </w:p>
    <w:p>
      <w:pPr>
        <w:pStyle w:val="BookText"/>
      </w:pPr>
      <w:r>
        <w:rPr>
          <w:rFonts w:ascii="IRNazanin" w:hAnsi="IRNazanin" w:eastAsia="IRNazanin" w:cs="IRNazanin"/>
          <w:lang w:bidi="fa-IR"/>
          <w:color w:val="111111"/>
          <w:sz w:val="28"/>
          <w:szCs w:val="28"/>
          <w:rtl/>
        </w:rPr>
        <w:t xml:space="preserve">من خلفاء الشیخ زین الدین. ترجمه‏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596" w:name="pg11704_122079"/>
    <w:bookmarkEnd w:id="596"/>
    <w:p>
      <w:pPr>
        <w:pStyle w:val="BookText"/>
      </w:pPr>
      <w:r>
        <w:rPr>
          <w:rFonts w:ascii="IRNazanin" w:hAnsi="IRNazanin" w:eastAsia="IRNazanin" w:cs="IRNazanin"/>
          <w:lang w:bidi="fa-IR"/>
          <w:color w:val="111111"/>
          <w:sz w:val="28"/>
          <w:szCs w:val="28"/>
          <w:rtl/>
        </w:rPr>
        <w:t xml:space="preserve">و أورد شعره فی (مجن 2- ص 28 و 202) و فی حبیب السیر (3: 3: 197) أنه مات (10 رمضان- 871).</w:t>
      </w:r>
    </w:p>
    <w:p>
      <w:pPr>
        <w:pStyle w:val="Heading3"/>
      </w:pPr>
      <w:bookmarkStart w:id="5728" w:name="_Toc4424"/>
      <w:r>
        <w:t>4317- دیوان السید صدر الدین العاملی‏</w:t>
      </w:r>
      <w:bookmarkEnd w:id="5728"/>
    </w:p>
    <w:p>
      <w:pPr>
        <w:pStyle w:val="BookText"/>
      </w:pPr>
      <w:r>
        <w:rPr>
          <w:rFonts w:ascii="IRNazanin" w:hAnsi="IRNazanin" w:eastAsia="IRNazanin" w:cs="IRNazanin"/>
          <w:lang w:bidi="fa-IR"/>
          <w:color w:val="111111"/>
          <w:sz w:val="28"/>
          <w:szCs w:val="28"/>
          <w:rtl/>
        </w:rPr>
        <w:t xml:space="preserve">هو ابن السید صالح بن محمد الموسوی نزیل أصفهان و المتوفی بالنجف (1- صفر- 1263) له الرضاعیة أرجوزة و شرحها.</w:t>
      </w:r>
    </w:p>
    <w:p>
      <w:pPr>
        <w:pStyle w:val="BookText"/>
      </w:pPr>
      <w:r>
        <w:rPr>
          <w:rFonts w:ascii="IRNazanin" w:hAnsi="IRNazanin" w:eastAsia="IRNazanin" w:cs="IRNazanin"/>
          <w:lang w:bidi="fa-IR"/>
          <w:color w:val="111111"/>
          <w:sz w:val="28"/>
          <w:szCs w:val="28"/>
          <w:rtl/>
        </w:rPr>
        <w:t xml:space="preserve">رأیت منها نسخا منها بخط الشیخ علی بن إبراهیم القمی بالنجف فی (1340).</w:t>
      </w:r>
    </w:p>
    <w:p>
      <w:pPr>
        <w:pStyle w:val="Heading3"/>
      </w:pPr>
      <w:bookmarkStart w:id="5729" w:name="_Toc4425"/>
      <w:r>
        <w:t>دیوان صدر الدین القونوی‏</w:t>
      </w:r>
      <w:bookmarkEnd w:id="5729"/>
    </w:p>
    <w:p>
      <w:pPr>
        <w:pStyle w:val="BookText"/>
      </w:pPr>
      <w:r>
        <w:rPr>
          <w:rFonts w:ascii="IRNazanin" w:hAnsi="IRNazanin" w:eastAsia="IRNazanin" w:cs="IRNazanin"/>
          <w:lang w:bidi="fa-IR"/>
          <w:color w:val="111111"/>
          <w:sz w:val="28"/>
          <w:szCs w:val="28"/>
          <w:rtl/>
        </w:rPr>
        <w:t xml:space="preserve">راجع صدر قونوی.</w:t>
      </w:r>
    </w:p>
    <w:p>
      <w:pPr>
        <w:pStyle w:val="Heading3"/>
      </w:pPr>
      <w:bookmarkStart w:id="5730" w:name="_Toc4426"/>
      <w:r>
        <w:t>4318- دیوان صدر الدین کاشانی أو شعره‏</w:t>
      </w:r>
      <w:bookmarkEnd w:id="5730"/>
    </w:p>
    <w:p>
      <w:pPr>
        <w:pStyle w:val="BookText"/>
      </w:pPr>
      <w:r>
        <w:rPr>
          <w:rFonts w:ascii="IRNazanin" w:hAnsi="IRNazanin" w:eastAsia="IRNazanin" w:cs="IRNazanin"/>
          <w:lang w:bidi="fa-IR"/>
          <w:color w:val="111111"/>
          <w:sz w:val="28"/>
          <w:szCs w:val="28"/>
          <w:rtl/>
        </w:rPr>
        <w:t xml:space="preserve">قال فی (روشن- ص 388) إنه کان شاعرا طبیبا جاء إلی الهند فی عهد جهانگیر و تلقب منه مسیح الزمان.</w:t>
      </w:r>
    </w:p>
    <w:p>
      <w:pPr>
        <w:pStyle w:val="Heading3"/>
      </w:pPr>
      <w:bookmarkStart w:id="5731" w:name="_Toc4427"/>
      <w:r>
        <w:t>4319- دیوان صدر الدین کرمانی أو شعره‏</w:t>
      </w:r>
      <w:bookmarkEnd w:id="5731"/>
    </w:p>
    <w:p>
      <w:pPr>
        <w:pStyle w:val="BookText"/>
      </w:pPr>
      <w:r>
        <w:rPr>
          <w:rFonts w:ascii="IRNazanin" w:hAnsi="IRNazanin" w:eastAsia="IRNazanin" w:cs="IRNazanin"/>
          <w:lang w:bidi="fa-IR"/>
          <w:color w:val="111111"/>
          <w:sz w:val="28"/>
          <w:szCs w:val="28"/>
          <w:rtl/>
        </w:rPr>
        <w:t xml:space="preserve">و اسمه محمد بن شاهمیر. کان وزیر کرمان أورد شعره فی (خص 6- ص 101).</w:t>
      </w:r>
    </w:p>
    <w:p>
      <w:pPr>
        <w:pStyle w:val="Heading3"/>
      </w:pPr>
      <w:bookmarkStart w:id="5732" w:name="_Toc4428"/>
      <w:r>
        <w:t>دیوان صدر الدین گیلانی‏</w:t>
      </w:r>
      <w:bookmarkEnd w:id="5732"/>
    </w:p>
    <w:p>
      <w:pPr>
        <w:pStyle w:val="BookText"/>
      </w:pPr>
      <w:r>
        <w:rPr>
          <w:rFonts w:ascii="IRNazanin" w:hAnsi="IRNazanin" w:eastAsia="IRNazanin" w:cs="IRNazanin"/>
          <w:lang w:bidi="fa-IR"/>
          <w:color w:val="111111"/>
          <w:sz w:val="28"/>
          <w:szCs w:val="28"/>
          <w:rtl/>
        </w:rPr>
        <w:t xml:space="preserve">مر مختصرا بتخلصه بینا فی (ص 155) ترجمه مفصلا فی تذکره حزین- ص 45 و قال أصله من رشت مرکز حکومة السلاطین الإسحاقیة. و حصل العلم بأصفهان و رجع إلی وطنه و صار شیخ الإسلام بها. رأیته فی (1139) بها و قد عمر ثمانین سنة. و کذا فی نجوم السماء- ص 222. و (روشن- ص 388).</w:t>
      </w:r>
    </w:p>
    <w:p>
      <w:pPr>
        <w:pStyle w:val="Heading3"/>
      </w:pPr>
      <w:bookmarkStart w:id="5733" w:name="_Toc4429"/>
      <w:r>
        <w:t>دیوان صدر الدین مجذوب‏</w:t>
      </w:r>
      <w:bookmarkEnd w:id="5733"/>
    </w:p>
    <w:p>
      <w:pPr>
        <w:pStyle w:val="BookText"/>
      </w:pPr>
      <w:r>
        <w:rPr>
          <w:rFonts w:ascii="IRNazanin" w:hAnsi="IRNazanin" w:eastAsia="IRNazanin" w:cs="IRNazanin"/>
          <w:lang w:bidi="fa-IR"/>
          <w:color w:val="111111"/>
          <w:sz w:val="28"/>
          <w:szCs w:val="28"/>
          <w:rtl/>
        </w:rPr>
        <w:t xml:space="preserve">أو حیدر مجذوب. یأتی فی المیم.</w:t>
      </w:r>
    </w:p>
    <w:p>
      <w:pPr>
        <w:pStyle w:val="Heading3"/>
      </w:pPr>
      <w:bookmarkStart w:id="5734" w:name="_Toc4430"/>
      <w:r>
        <w:t>4320- دیوان صدر الدین النیشابوری‏</w:t>
      </w:r>
      <w:bookmarkEnd w:id="5734"/>
    </w:p>
    <w:p>
      <w:pPr>
        <w:pStyle w:val="BookText"/>
      </w:pPr>
      <w:r>
        <w:rPr>
          <w:rFonts w:ascii="IRNazanin" w:hAnsi="IRNazanin" w:eastAsia="IRNazanin" w:cs="IRNazanin"/>
          <w:lang w:bidi="fa-IR"/>
          <w:color w:val="111111"/>
          <w:sz w:val="28"/>
          <w:szCs w:val="28"/>
          <w:rtl/>
        </w:rPr>
        <w:t xml:space="preserve">صاحب دیوان الاستیفاء بنیشابور، له تاریخ خوارزمشاهی أحسن من تاریخ العتبی و شعره بالعربیة. کذا ترجمه فی (اللباب- 6). و أورد شعره بالفارسیة و العربیة. و قال هو الآن مشغول بتألیف تاریخ سلطان سکندر. و ترجمه فی (تش- ص 138) و (مع 1 ص 312) و قال سنگلاخ فی امتحان الفضلاء- 1: 194 إنه رأی دیوانه. بخط بابا شاه حالی أصفهانی و فی (2: 7 منه) نسخه أخری بخط أبی تراب الخطاط الأصفهانی. و ترجمه أیضا فی (روشن- ص 388).</w:t>
      </w:r>
    </w:p>
    <w:p>
      <w:pPr>
        <w:pStyle w:val="Heading3"/>
      </w:pPr>
      <w:bookmarkStart w:id="5735" w:name="_Toc4431"/>
      <w:r>
        <w:t>4321- دیوان صدر دیوانه‏</w:t>
      </w:r>
      <w:bookmarkEnd w:id="5735"/>
    </w:p>
    <w:p>
      <w:pPr>
        <w:pStyle w:val="BookText"/>
      </w:pPr>
      <w:r>
        <w:rPr>
          <w:rFonts w:ascii="IRNazanin" w:hAnsi="IRNazanin" w:eastAsia="IRNazanin" w:cs="IRNazanin"/>
          <w:lang w:bidi="fa-IR"/>
          <w:color w:val="111111"/>
          <w:sz w:val="28"/>
          <w:szCs w:val="28"/>
          <w:rtl/>
        </w:rPr>
        <w:t xml:space="preserve">ترجمه فی (بهش 2- ص 386) و ذکر معمیاته التسعة و التسعین. لکل اسم من أسماء الله تعالی و إنه کان یتعشق للمیر السید الشریف الجرجانی‏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597" w:name="pg11704_122080"/>
    <w:bookmarkEnd w:id="597"/>
    <w:p>
      <w:pPr>
        <w:pStyle w:val="BookText"/>
      </w:pPr>
      <w:r>
        <w:rPr>
          <w:rFonts w:ascii="IRNazanin" w:hAnsi="IRNazanin" w:eastAsia="IRNazanin" w:cs="IRNazanin"/>
          <w:lang w:bidi="fa-IR"/>
          <w:color w:val="111111"/>
          <w:sz w:val="28"/>
          <w:szCs w:val="28"/>
          <w:rtl/>
        </w:rPr>
        <w:t xml:space="preserve">و ذکر شعره فیه. و إحدی معمیاته باسم العلیم. و نسخته موجودة فی (سپهسالار ...) و غیرها.</w:t>
      </w:r>
    </w:p>
    <w:p>
      <w:pPr>
        <w:pStyle w:val="Heading3"/>
      </w:pPr>
      <w:bookmarkStart w:id="5736" w:name="_Toc4432"/>
      <w:r>
        <w:t>4322- دیوان صدر الشعراء قاجار</w:t>
      </w:r>
      <w:bookmarkEnd w:id="5736"/>
    </w:p>
    <w:p>
      <w:pPr>
        <w:pStyle w:val="BookText"/>
      </w:pPr>
      <w:r>
        <w:rPr>
          <w:rFonts w:ascii="IRNazanin" w:hAnsi="IRNazanin" w:eastAsia="IRNazanin" w:cs="IRNazanin"/>
          <w:lang w:bidi="fa-IR"/>
          <w:color w:val="111111"/>
          <w:sz w:val="28"/>
          <w:szCs w:val="28"/>
          <w:rtl/>
        </w:rPr>
        <w:t xml:space="preserve">لغلام حسین میرزا ابن إیرج میرزا المتخلص إنصاف ابن فتح علی شاه، و هو والد إیرج میرزا المذکور فی (ص 114). و کان من شعراء مظفر الدین شاه، و له شکارنامه منظوم فکاهی کتبه بخطه و أهداه إلی مظفر الدین المذکور. قال الشیخ محمد أمین الخوئی إن النسخة عنده بطهران. و نسخه أخری فی (المجلس) سماه فیه نسب‏نامه کرد مازندری نظمه فی (1290) و أهداه إلی صاحب دیوان شیرازی المتوفی (1314) أخرج أحواله فی فهرس المجلس (3: 696) لابن یوسف عن المنظومة هذه و عن نامه فرهنگیان.</w:t>
      </w:r>
    </w:p>
    <w:p>
      <w:pPr>
        <w:pStyle w:val="Heading3"/>
      </w:pPr>
      <w:bookmarkStart w:id="5737" w:name="_Toc4433"/>
      <w:r>
        <w:t>4323- دیوان صدر شوشتری‏</w:t>
      </w:r>
      <w:bookmarkEnd w:id="5737"/>
    </w:p>
    <w:p>
      <w:pPr>
        <w:pStyle w:val="BookText"/>
      </w:pPr>
      <w:r>
        <w:rPr>
          <w:rFonts w:ascii="IRNazanin" w:hAnsi="IRNazanin" w:eastAsia="IRNazanin" w:cs="IRNazanin"/>
          <w:lang w:bidi="fa-IR"/>
          <w:color w:val="111111"/>
          <w:sz w:val="28"/>
          <w:szCs w:val="28"/>
          <w:rtl/>
        </w:rPr>
        <w:t xml:space="preserve">کما یتخلص أو صدر الذاکرین کما هو معروف به.</w:t>
      </w:r>
    </w:p>
    <w:p>
      <w:pPr>
        <w:pStyle w:val="BookText"/>
      </w:pPr>
      <w:r>
        <w:rPr>
          <w:rFonts w:ascii="IRNazanin" w:hAnsi="IRNazanin" w:eastAsia="IRNazanin" w:cs="IRNazanin"/>
          <w:lang w:bidi="fa-IR"/>
          <w:color w:val="111111"/>
          <w:sz w:val="28"/>
          <w:szCs w:val="28"/>
          <w:rtl/>
        </w:rPr>
        <w:t xml:space="preserve">و هو الشیخ محمد رضا بن المولی حسین التستری المعاصر المولود (1277) و أخوه المولی حسن بن الحسین له المراثی و تخلصه ملهم کما یأتی. و قد جمع دیوان الصدر الشیخ محسن بن الشیخ محمد بن المولی جعفر بن محمد باقر شرف الدین التستری. فیه القصائد و المراثی و المطائبات و الرباعیات. و النسخة عند أخیه الشیخ مهدی شرف الدین. أوله قصیدة فی مدح الحاج الشیخ محمد رضا الدزفولی فی تهنئة رجوعه عن زیارة مشهد خراسان. و کان الناظم حیا إلی (1369) الذی حدثنی فیه الشیخ مهدی المذکور.</w:t>
      </w:r>
    </w:p>
    <w:p>
      <w:pPr>
        <w:pStyle w:val="BookText"/>
      </w:pPr>
      <w:r>
        <w:rPr>
          <w:rFonts w:ascii="IRNazanin" w:hAnsi="IRNazanin" w:eastAsia="IRNazanin" w:cs="IRNazanin"/>
          <w:lang w:bidi="fa-IR"/>
          <w:color w:val="111111"/>
          <w:sz w:val="28"/>
          <w:szCs w:val="28"/>
          <w:rtl/>
        </w:rPr>
        <w:t xml:space="preserve">قال و أم صدر الذاکرین کانت بنت الشیخ محمد باقر شرف الدین المذکور.</w:t>
      </w:r>
    </w:p>
    <w:p>
      <w:pPr>
        <w:pStyle w:val="Heading3"/>
      </w:pPr>
      <w:bookmarkStart w:id="5738" w:name="_Toc4434"/>
      <w:r>
        <w:t>دیوان صدر طوسی‏</w:t>
      </w:r>
      <w:bookmarkEnd w:id="5738"/>
    </w:p>
    <w:p>
      <w:pPr>
        <w:pStyle w:val="BookText"/>
      </w:pPr>
      <w:r>
        <w:rPr>
          <w:rFonts w:ascii="IRNazanin" w:hAnsi="IRNazanin" w:eastAsia="IRNazanin" w:cs="IRNazanin"/>
          <w:lang w:bidi="fa-IR"/>
          <w:color w:val="111111"/>
          <w:sz w:val="28"/>
          <w:szCs w:val="28"/>
          <w:rtl/>
        </w:rPr>
        <w:t xml:space="preserve">و اسمه الشیخ صدر الدین. کذا فی امتحان الفضلاء- ج 1 ص 194 و هو صدر الدین النیشابوری المذکور.</w:t>
      </w:r>
    </w:p>
    <w:p>
      <w:pPr>
        <w:pStyle w:val="Heading3"/>
      </w:pPr>
      <w:bookmarkStart w:id="5739" w:name="_Toc4435"/>
      <w:r>
        <w:t>4324- دیوان صدر قزوینی أو شعره‏</w:t>
      </w:r>
      <w:bookmarkEnd w:id="5739"/>
    </w:p>
    <w:p>
      <w:pPr>
        <w:pStyle w:val="BookText"/>
      </w:pPr>
      <w:r>
        <w:rPr>
          <w:rFonts w:ascii="IRNazanin" w:hAnsi="IRNazanin" w:eastAsia="IRNazanin" w:cs="IRNazanin"/>
          <w:lang w:bidi="fa-IR"/>
          <w:color w:val="111111"/>
          <w:sz w:val="28"/>
          <w:szCs w:val="28"/>
          <w:rtl/>
        </w:rPr>
        <w:t xml:space="preserve">هو المیرزا محمد حسین بن المیرزا فضل الله القزوینی صدر الوظائف ثم المتولی‏باشی للآستانة الرضویة فی 1287 عند تألیف مجمع الفصحاء کما ترجمه فی (ج 2 ص 333) و أورد نیفا و عشرین بیتا من شعره.</w:t>
      </w:r>
    </w:p>
    <w:p>
      <w:pPr>
        <w:pStyle w:val="Heading3"/>
      </w:pPr>
      <w:bookmarkStart w:id="5740" w:name="_Toc4436"/>
      <w:r>
        <w:t>4325- دیوان صدر قونوی‏</w:t>
      </w:r>
      <w:bookmarkEnd w:id="5740"/>
    </w:p>
    <w:p>
      <w:pPr>
        <w:pStyle w:val="BookText"/>
      </w:pPr>
      <w:r>
        <w:rPr>
          <w:rFonts w:ascii="IRNazanin" w:hAnsi="IRNazanin" w:eastAsia="IRNazanin" w:cs="IRNazanin"/>
          <w:lang w:bidi="fa-IR"/>
          <w:color w:val="111111"/>
          <w:sz w:val="28"/>
          <w:szCs w:val="28"/>
          <w:rtl/>
        </w:rPr>
        <w:t xml:space="preserve">الشیخ صدر الدین محمد بن إسحاق و هو أستاذ المولوی الرومی. ترجمه فی النفحات- ص 504 و مجالس المؤمنین- ص 186 و (حسینی 184) و (روشن- ص 387) و أوردوا شعره.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598" w:name="pg11704_122081"/>
    <w:bookmarkEnd w:id="598"/>
    <w:p>
      <w:pPr>
        <w:pStyle w:val="Heading3"/>
      </w:pPr>
      <w:bookmarkStart w:id="5741" w:name="_Toc4437"/>
      <w:r>
        <w:t>4326- دیوان صدر کاتب أو شعره‏</w:t>
      </w:r>
      <w:bookmarkEnd w:id="5741"/>
    </w:p>
    <w:p>
      <w:pPr>
        <w:pStyle w:val="BookText"/>
      </w:pPr>
      <w:r>
        <w:rPr>
          <w:rFonts w:ascii="IRNazanin" w:hAnsi="IRNazanin" w:eastAsia="IRNazanin" w:cs="IRNazanin"/>
          <w:lang w:bidi="fa-IR"/>
          <w:color w:val="111111"/>
          <w:sz w:val="28"/>
          <w:szCs w:val="28"/>
          <w:rtl/>
        </w:rPr>
        <w:t xml:space="preserve">ترجمه و أورد شعره فی (مجن 2- ص 44 و 217) و قال مات بهراة.</w:t>
      </w:r>
    </w:p>
    <w:p>
      <w:pPr>
        <w:pStyle w:val="Heading3"/>
      </w:pPr>
      <w:bookmarkStart w:id="5742" w:name="_Toc4438"/>
      <w:r>
        <w:t>دیوان صدر کرمانی‏</w:t>
      </w:r>
      <w:bookmarkEnd w:id="5742"/>
    </w:p>
    <w:p>
      <w:pPr>
        <w:pStyle w:val="BookText"/>
      </w:pPr>
      <w:r>
        <w:rPr>
          <w:rFonts w:ascii="IRNazanin" w:hAnsi="IRNazanin" w:eastAsia="IRNazanin" w:cs="IRNazanin"/>
          <w:lang w:bidi="fa-IR"/>
          <w:color w:val="111111"/>
          <w:sz w:val="28"/>
          <w:szCs w:val="28"/>
          <w:rtl/>
        </w:rPr>
        <w:t xml:space="preserve">مر صدر الدین کرمانی.</w:t>
      </w:r>
    </w:p>
    <w:p>
      <w:pPr>
        <w:pStyle w:val="Heading3"/>
      </w:pPr>
      <w:bookmarkStart w:id="5743" w:name="_Toc4439"/>
      <w:r>
        <w:t>دیوان صدر گیلانی‏</w:t>
      </w:r>
      <w:bookmarkEnd w:id="5743"/>
    </w:p>
    <w:p>
      <w:pPr>
        <w:pStyle w:val="BookText"/>
      </w:pPr>
      <w:r>
        <w:rPr>
          <w:rFonts w:ascii="IRNazanin" w:hAnsi="IRNazanin" w:eastAsia="IRNazanin" w:cs="IRNazanin"/>
          <w:lang w:bidi="fa-IR"/>
          <w:color w:val="111111"/>
          <w:sz w:val="28"/>
          <w:szCs w:val="28"/>
          <w:rtl/>
        </w:rPr>
        <w:t xml:space="preserve">مر بعنوان شاه صدر دیلمی.</w:t>
      </w:r>
    </w:p>
    <w:p>
      <w:pPr>
        <w:pStyle w:val="Heading3"/>
      </w:pPr>
      <w:bookmarkStart w:id="5744" w:name="_Toc4440"/>
      <w:r>
        <w:t>دیوان صدر الممالک أردبیلی‏</w:t>
      </w:r>
      <w:bookmarkEnd w:id="5744"/>
    </w:p>
    <w:p>
      <w:pPr>
        <w:pStyle w:val="BookText"/>
      </w:pPr>
      <w:r>
        <w:rPr>
          <w:rFonts w:ascii="IRNazanin" w:hAnsi="IRNazanin" w:eastAsia="IRNazanin" w:cs="IRNazanin"/>
          <w:lang w:bidi="fa-IR"/>
          <w:color w:val="111111"/>
          <w:sz w:val="28"/>
          <w:szCs w:val="28"/>
          <w:rtl/>
        </w:rPr>
        <w:t xml:space="preserve">یأتی بتخلصه نصرت‏</w:t>
      </w:r>
    </w:p>
    <w:p>
      <w:pPr>
        <w:pStyle w:val="Heading3"/>
      </w:pPr>
      <w:bookmarkStart w:id="5745" w:name="_Toc4441"/>
      <w:r>
        <w:t>4327- دیوان صدر مشهدی أو شعره‏</w:t>
      </w:r>
      <w:bookmarkEnd w:id="5745"/>
    </w:p>
    <w:p>
      <w:pPr>
        <w:pStyle w:val="BookText"/>
      </w:pPr>
      <w:r>
        <w:rPr>
          <w:rFonts w:ascii="IRNazanin" w:hAnsi="IRNazanin" w:eastAsia="IRNazanin" w:cs="IRNazanin"/>
          <w:lang w:bidi="fa-IR"/>
          <w:color w:val="111111"/>
          <w:sz w:val="28"/>
          <w:szCs w:val="28"/>
          <w:rtl/>
        </w:rPr>
        <w:t xml:space="preserve">هو المیرزا صدر الدین ابن المیر علی أکبر من سادات مشهد، و أمه بنت المیر سید علی و ابن أخت الشیخ البهائی. تزوج بابنة الشیخ حسین بن عبد الصمد الذی هو ابن أخ البهائی. و هم من خدام الآستانة. و کان مدة محتسب هراة فعزل و نصب غیره، ثم نصب ابنه علی أفضل. ترجمه و أورد شعره فی (نر 5- ص 117) و عنه أخذ ظاهرا فی (مطلع الشمس- 2: 437) و (روشن- ص 388).</w:t>
      </w:r>
    </w:p>
    <w:p>
      <w:pPr>
        <w:pStyle w:val="Heading3"/>
      </w:pPr>
      <w:bookmarkStart w:id="5746" w:name="_Toc4442"/>
      <w:r>
        <w:t>دیوان صدر نیشابوری‏</w:t>
      </w:r>
      <w:bookmarkEnd w:id="5746"/>
    </w:p>
    <w:p>
      <w:pPr>
        <w:pStyle w:val="BookText"/>
      </w:pPr>
      <w:r>
        <w:rPr>
          <w:rFonts w:ascii="IRNazanin" w:hAnsi="IRNazanin" w:eastAsia="IRNazanin" w:cs="IRNazanin"/>
          <w:lang w:bidi="fa-IR"/>
          <w:color w:val="111111"/>
          <w:sz w:val="28"/>
          <w:szCs w:val="28"/>
          <w:rtl/>
        </w:rPr>
        <w:t xml:space="preserve">راجع صدر الدین النیشابوری.</w:t>
      </w:r>
    </w:p>
    <w:p>
      <w:pPr>
        <w:pStyle w:val="Heading3"/>
      </w:pPr>
      <w:bookmarkStart w:id="5747" w:name="_Toc4443"/>
      <w:r>
        <w:t>دیوان صدر هروی‏</w:t>
      </w:r>
      <w:bookmarkEnd w:id="5747"/>
    </w:p>
    <w:p>
      <w:pPr>
        <w:pStyle w:val="BookText"/>
      </w:pPr>
      <w:r>
        <w:rPr>
          <w:rFonts w:ascii="IRNazanin" w:hAnsi="IRNazanin" w:eastAsia="IRNazanin" w:cs="IRNazanin"/>
          <w:lang w:bidi="fa-IR"/>
          <w:color w:val="111111"/>
          <w:sz w:val="28"/>
          <w:szCs w:val="28"/>
          <w:rtl/>
        </w:rPr>
        <w:t xml:space="preserve">راجع صدر مشهدی.</w:t>
      </w:r>
    </w:p>
    <w:p>
      <w:pPr>
        <w:pStyle w:val="Heading3"/>
      </w:pPr>
      <w:bookmarkStart w:id="5748" w:name="_Toc4444"/>
      <w:r>
        <w:t>4328- دیوان صدر همدانی‏</w:t>
      </w:r>
      <w:bookmarkEnd w:id="5748"/>
    </w:p>
    <w:p>
      <w:pPr>
        <w:pStyle w:val="BookText"/>
      </w:pPr>
      <w:r>
        <w:rPr>
          <w:rFonts w:ascii="IRNazanin" w:hAnsi="IRNazanin" w:eastAsia="IRNazanin" w:cs="IRNazanin"/>
          <w:lang w:bidi="fa-IR"/>
          <w:color w:val="111111"/>
          <w:sz w:val="28"/>
          <w:szCs w:val="28"/>
          <w:rtl/>
        </w:rPr>
        <w:t xml:space="preserve">و اسمه علی أکبر صدر الإسلام المتوفی بالنجف (1325). طبع له مثنوی صدریة بطهران فی (208 ص) فی (1302 ش).</w:t>
      </w:r>
    </w:p>
    <w:p>
      <w:pPr>
        <w:pStyle w:val="Heading3"/>
      </w:pPr>
      <w:bookmarkStart w:id="5749" w:name="_Toc4445"/>
      <w:r>
        <w:t>4329- دیوان صدقی أسترآبادی‏</w:t>
      </w:r>
      <w:bookmarkEnd w:id="5749"/>
    </w:p>
    <w:p>
      <w:pPr>
        <w:pStyle w:val="BookText"/>
      </w:pPr>
      <w:r>
        <w:rPr>
          <w:rFonts w:ascii="IRNazanin" w:hAnsi="IRNazanin" w:eastAsia="IRNazanin" w:cs="IRNazanin"/>
          <w:lang w:bidi="fa-IR"/>
          <w:color w:val="111111"/>
          <w:sz w:val="28"/>
          <w:szCs w:val="28"/>
          <w:rtl/>
        </w:rPr>
        <w:t xml:space="preserve">الکاشانی المدفن فی (952) ترجمه سام میرزا فی (تس 2- ص 50) و (تش- 154) و ذکر أن اسمه سلطان محمد و هو من العلماء فی أکثر الفنون و أکثر شعره القصائد و أورد بعضها و بیتا من ساقی‏نامه له و ذکر أیضا فی (تغ- ص 80). و قال فی هدیة العارفین 2: 240 إن دیوانه فارسی. و له شرح مطالع الأنوار للأرموی. و نسخه ساقی‏نامه عند (فخر الدین).</w:t>
      </w:r>
    </w:p>
    <w:p>
      <w:pPr>
        <w:pStyle w:val="Heading3"/>
      </w:pPr>
      <w:bookmarkStart w:id="5750" w:name="_Toc4446"/>
      <w:r>
        <w:t>4330- دیوان صدقی أصفهانی أو شعره‏</w:t>
      </w:r>
      <w:bookmarkEnd w:id="5750"/>
    </w:p>
    <w:p>
      <w:pPr>
        <w:pStyle w:val="BookText"/>
      </w:pPr>
      <w:r>
        <w:rPr>
          <w:rFonts w:ascii="IRNazanin" w:hAnsi="IRNazanin" w:eastAsia="IRNazanin" w:cs="IRNazanin"/>
          <w:lang w:bidi="fa-IR"/>
          <w:color w:val="111111"/>
          <w:sz w:val="28"/>
          <w:szCs w:val="28"/>
          <w:rtl/>
        </w:rPr>
        <w:t xml:space="preserve">و اسمه المیرزا باقر نقاش‏باشی ولد (1283) بسمیرم و مات بأصفهان فی (1352) أورد ألفت غزله فی دانش‏نامه المطبوع (1342) و ترجمه فی شعرای معاصر أصفهان (ص 304).</w:t>
      </w:r>
    </w:p>
    <w:p>
      <w:pPr>
        <w:pStyle w:val="Heading3"/>
      </w:pPr>
      <w:bookmarkStart w:id="5751" w:name="_Toc4447"/>
      <w:r>
        <w:t>دیوان صدقی کاشانی‏</w:t>
      </w:r>
      <w:bookmarkEnd w:id="5751"/>
    </w:p>
    <w:p>
      <w:pPr>
        <w:pStyle w:val="BookText"/>
      </w:pPr>
      <w:r>
        <w:rPr>
          <w:rFonts w:ascii="IRNazanin" w:hAnsi="IRNazanin" w:eastAsia="IRNazanin" w:cs="IRNazanin"/>
          <w:lang w:bidi="fa-IR"/>
          <w:color w:val="111111"/>
          <w:sz w:val="28"/>
          <w:szCs w:val="28"/>
          <w:rtl/>
        </w:rPr>
        <w:t xml:space="preserve">راجع صدقی أسترآبادی.</w:t>
      </w:r>
    </w:p>
    <w:p>
      <w:pPr>
        <w:pStyle w:val="Heading3"/>
      </w:pPr>
      <w:bookmarkStart w:id="5752" w:name="_Toc4448"/>
      <w:r>
        <w:t>4331- دیوان صدقی کرمانی‏</w:t>
      </w:r>
      <w:bookmarkEnd w:id="5752"/>
    </w:p>
    <w:p>
      <w:pPr>
        <w:pStyle w:val="BookText"/>
      </w:pPr>
      <w:r>
        <w:rPr>
          <w:rFonts w:ascii="IRNazanin" w:hAnsi="IRNazanin" w:eastAsia="IRNazanin" w:cs="IRNazanin"/>
          <w:lang w:bidi="fa-IR"/>
          <w:color w:val="111111"/>
          <w:sz w:val="28"/>
          <w:szCs w:val="28"/>
          <w:rtl/>
        </w:rPr>
        <w:t xml:space="preserve">کان مرید مظفر علی شاه الکرمانی و اسمه میرزا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599" w:name="pg11704_122082"/>
    <w:bookmarkEnd w:id="599"/>
    <w:p>
      <w:pPr>
        <w:pStyle w:val="BookText"/>
      </w:pPr>
      <w:r>
        <w:rPr>
          <w:rFonts w:ascii="IRNazanin" w:hAnsi="IRNazanin" w:eastAsia="IRNazanin" w:cs="IRNazanin"/>
          <w:lang w:bidi="fa-IR"/>
          <w:color w:val="111111"/>
          <w:sz w:val="28"/>
          <w:szCs w:val="28"/>
          <w:rtl/>
        </w:rPr>
        <w:t xml:space="preserve">صادق فلقبه هو بصدق علی شاه. ترجمه و أورد شعره فی (ض- ص 465).</w:t>
      </w:r>
    </w:p>
    <w:p>
      <w:pPr>
        <w:pStyle w:val="Heading3"/>
      </w:pPr>
      <w:bookmarkStart w:id="5753" w:name="_Toc4449"/>
      <w:r>
        <w:t>4332- دیوان ملا صدقی هروی‏</w:t>
      </w:r>
      <w:bookmarkEnd w:id="5753"/>
    </w:p>
    <w:p>
      <w:pPr>
        <w:pStyle w:val="BookText"/>
      </w:pPr>
      <w:r>
        <w:rPr>
          <w:rFonts w:ascii="IRNazanin" w:hAnsi="IRNazanin" w:eastAsia="IRNazanin" w:cs="IRNazanin"/>
          <w:lang w:bidi="fa-IR"/>
          <w:color w:val="111111"/>
          <w:sz w:val="28"/>
          <w:szCs w:val="28"/>
          <w:rtl/>
        </w:rPr>
        <w:t xml:space="preserve">ترجمه فی (مجتس 6- ص 151) و أورد شعره و قال فی (روشن- ص 389) إن فی آفتاب عالم تاب بالفاء و فی نگارستان بالقاف. و کذا فی (حسینی- ص 186).</w:t>
      </w:r>
    </w:p>
    <w:p>
      <w:pPr>
        <w:pStyle w:val="Heading3"/>
      </w:pPr>
      <w:bookmarkStart w:id="5754" w:name="_Toc4450"/>
      <w:r>
        <w:t>4333- دیوان صراف أصفهانی أو شعره‏</w:t>
      </w:r>
      <w:bookmarkEnd w:id="5754"/>
    </w:p>
    <w:p>
      <w:pPr>
        <w:pStyle w:val="BookText"/>
      </w:pPr>
      <w:r>
        <w:rPr>
          <w:rFonts w:ascii="IRNazanin" w:hAnsi="IRNazanin" w:eastAsia="IRNazanin" w:cs="IRNazanin"/>
          <w:lang w:bidi="fa-IR"/>
          <w:color w:val="111111"/>
          <w:sz w:val="28"/>
          <w:szCs w:val="28"/>
          <w:rtl/>
        </w:rPr>
        <w:t xml:space="preserve">أورد شعره فی (گلشن: 389).</w:t>
      </w:r>
    </w:p>
    <w:p>
      <w:pPr>
        <w:pStyle w:val="Heading3"/>
      </w:pPr>
      <w:bookmarkStart w:id="5755" w:name="_Toc4451"/>
      <w:r>
        <w:t>4334- دیوان صراف تبریزی‏</w:t>
      </w:r>
      <w:bookmarkEnd w:id="5755"/>
    </w:p>
    <w:p>
      <w:pPr>
        <w:pStyle w:val="BookText"/>
      </w:pPr>
      <w:r>
        <w:rPr>
          <w:rFonts w:ascii="IRNazanin" w:hAnsi="IRNazanin" w:eastAsia="IRNazanin" w:cs="IRNazanin"/>
          <w:lang w:bidi="fa-IR"/>
          <w:color w:val="111111"/>
          <w:sz w:val="28"/>
          <w:szCs w:val="28"/>
          <w:rtl/>
        </w:rPr>
        <w:t xml:space="preserve">للحاج رضا الصراف التبریزی المتوفی (1325- مرد صراف سخن) طبع فی تبریز (1313) و بعده (1344) فی المراثی فارسی و ترکی ترجمه فی (دجا- ص 230) و آخر طبعه بتبریز فی (180 ص) مع مقدمه موسی تبریزی ابن جعفر ابن أخ الشاعر.</w:t>
      </w:r>
    </w:p>
    <w:p>
      <w:pPr>
        <w:pStyle w:val="Heading3"/>
      </w:pPr>
      <w:bookmarkStart w:id="5756" w:name="_Toc4452"/>
      <w:r>
        <w:t>4335- دیوان صرام أصفهانی‏</w:t>
      </w:r>
      <w:bookmarkEnd w:id="5756"/>
    </w:p>
    <w:p>
      <w:pPr>
        <w:pStyle w:val="BookText"/>
      </w:pPr>
      <w:r>
        <w:rPr>
          <w:rFonts w:ascii="IRNazanin" w:hAnsi="IRNazanin" w:eastAsia="IRNazanin" w:cs="IRNazanin"/>
          <w:lang w:bidi="fa-IR"/>
          <w:color w:val="111111"/>
          <w:sz w:val="28"/>
          <w:szCs w:val="28"/>
          <w:rtl/>
        </w:rPr>
        <w:t xml:space="preserve">و اسمه علی رضا بن أبی القاسم. ولد (1315) له مثنویات منها حجاب‏نامه کان من أعضاء انجمن شیدا و جاء شعره فی دانش‏نامه المطبوع (1342) و ترجمه فی شعرای أصفهان (ص 305).</w:t>
      </w:r>
    </w:p>
    <w:p>
      <w:pPr>
        <w:pStyle w:val="Heading3"/>
      </w:pPr>
      <w:bookmarkStart w:id="5757" w:name="_Toc4453"/>
      <w:r>
        <w:t>4336- دیوان صردر</w:t>
      </w:r>
      <w:bookmarkEnd w:id="5757"/>
    </w:p>
    <w:p>
      <w:pPr>
        <w:pStyle w:val="BookText"/>
      </w:pPr>
      <w:r>
        <w:rPr>
          <w:rFonts w:ascii="IRNazanin" w:hAnsi="IRNazanin" w:eastAsia="IRNazanin" w:cs="IRNazanin"/>
          <w:lang w:bidi="fa-IR"/>
          <w:color w:val="111111"/>
          <w:sz w:val="28"/>
          <w:szCs w:val="28"/>
          <w:rtl/>
        </w:rPr>
        <w:t xml:space="preserve">للرئیس أبی منصور علی بن الحسن بن علی بن الفضل الکاتب الشاعر المشهور المتوفی (صفر 465) بخراسان. ترجمه ابن خلکان (ج 1 ص 359) بخراسان. نسخه منه فی الخدیویة کما فی فهرسها، و نسخه أخری فی مکتبة (السماوی) فیه قوله.</w:t>
      </w:r>
    </w:p>
    <w:p>
      <w:pPr>
        <w:pStyle w:val="BookText"/>
      </w:pPr>
      <w:r>
        <w:rPr>
          <w:rFonts w:ascii="IRNazanin" w:hAnsi="IRNazanin" w:eastAsia="IRNazanin" w:cs="IRNazanin"/>
          <w:lang w:bidi="fa-IR"/>
          <w:color w:val="111111"/>
          <w:sz w:val="28"/>
          <w:szCs w:val="28"/>
          <w:rtl/>
        </w:rPr>
        <w:t xml:space="preserve">فیها بکائی و قل عناء البکاء</w:t>
      </w:r>
    </w:p>
    <w:p>
      <w:pPr>
        <w:pStyle w:val="BookText"/>
      </w:pPr>
      <w:r>
        <w:rPr>
          <w:rFonts w:ascii="IRNazanin" w:hAnsi="IRNazanin" w:eastAsia="IRNazanin" w:cs="IRNazanin"/>
          <w:lang w:bidi="fa-IR"/>
          <w:color w:val="111111"/>
          <w:sz w:val="28"/>
          <w:szCs w:val="28"/>
          <w:rtl/>
        </w:rPr>
        <w:t xml:space="preserve">علی رزء خامس أهل العباء</w:t>
      </w:r>
    </w:p>
    <w:p>
      <w:pPr>
        <w:pStyle w:val="Heading3"/>
      </w:pPr>
      <w:bookmarkStart w:id="5758" w:name="_Toc4454"/>
      <w:r>
        <w:t>4337- دیوان صرفی ژولیده موی أو شعره‏</w:t>
      </w:r>
      <w:bookmarkEnd w:id="5758"/>
    </w:p>
    <w:p>
      <w:pPr>
        <w:pStyle w:val="BookText"/>
      </w:pPr>
      <w:r>
        <w:rPr>
          <w:rFonts w:ascii="IRNazanin" w:hAnsi="IRNazanin" w:eastAsia="IRNazanin" w:cs="IRNazanin"/>
          <w:lang w:bidi="fa-IR"/>
          <w:color w:val="111111"/>
          <w:sz w:val="28"/>
          <w:szCs w:val="28"/>
          <w:rtl/>
        </w:rPr>
        <w:t xml:space="preserve">ترجمه صادقی کتاب دار فی (خص 8- ص 278) و أورد شعره.</w:t>
      </w:r>
    </w:p>
    <w:p>
      <w:pPr>
        <w:pStyle w:val="Heading3"/>
      </w:pPr>
      <w:bookmarkStart w:id="5759" w:name="_Toc4455"/>
      <w:r>
        <w:t>4338- دیوان صرفی ساوجی‏</w:t>
      </w:r>
      <w:bookmarkEnd w:id="5759"/>
    </w:p>
    <w:p>
      <w:pPr>
        <w:pStyle w:val="BookText"/>
      </w:pPr>
      <w:r>
        <w:rPr>
          <w:rFonts w:ascii="IRNazanin" w:hAnsi="IRNazanin" w:eastAsia="IRNazanin" w:cs="IRNazanin"/>
          <w:lang w:bidi="fa-IR"/>
          <w:color w:val="111111"/>
          <w:sz w:val="28"/>
          <w:szCs w:val="28"/>
          <w:rtl/>
        </w:rPr>
        <w:t xml:space="preserve">و اسمه صلاح الدین من أحفاد أفصح المتکلمین الخواجة سلمان الساوجی. ترجمه صادقی فی (خص 8 ص 222) و أورد جملة مما سمعه من شعره. و فی (تش- ص 221) أنه تلمیذ محتشم الشاعر الکاشانی المتوفی (996) و عنه أخذ فی القاموس الترکی ثم الریحانة. و جاء شعره فی گلستان مسرت و له لیلی و مجنون کما فی فهرس مکتبة جامعة طهران (2: 45).</w:t>
      </w:r>
    </w:p>
    <w:p>
      <w:pPr>
        <w:pStyle w:val="Heading3"/>
      </w:pPr>
      <w:bookmarkStart w:id="5760" w:name="_Toc4456"/>
      <w:r>
        <w:t>4339- دیوان صریع الغوانی‏</w:t>
      </w:r>
      <w:bookmarkEnd w:id="5760"/>
    </w:p>
    <w:p>
      <w:pPr>
        <w:pStyle w:val="BookText"/>
      </w:pPr>
      <w:r>
        <w:rPr>
          <w:rFonts w:ascii="IRNazanin" w:hAnsi="IRNazanin" w:eastAsia="IRNazanin" w:cs="IRNazanin"/>
          <w:lang w:bidi="fa-IR"/>
          <w:color w:val="111111"/>
          <w:sz w:val="28"/>
          <w:szCs w:val="28"/>
          <w:rtl/>
        </w:rPr>
        <w:t xml:space="preserve">اسمه مسلم بن الولید المتوفی بجرجان (208)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600" w:name="pg11704_122083"/>
    <w:bookmarkEnd w:id="600"/>
    <w:p>
      <w:pPr>
        <w:pStyle w:val="BookText"/>
      </w:pPr>
      <w:r>
        <w:rPr>
          <w:rFonts w:ascii="IRNazanin" w:hAnsi="IRNazanin" w:eastAsia="IRNazanin" w:cs="IRNazanin"/>
          <w:lang w:bidi="fa-IR"/>
          <w:color w:val="111111"/>
          <w:sz w:val="28"/>
          <w:szCs w:val="28"/>
          <w:rtl/>
        </w:rPr>
        <w:t xml:space="preserve">ذکر فی (جما- 11: 255) و تاریخ بغداد. طبع بلیدن (1875 م) و الهند (1303) و نسخه بخط السید محمد حسین کاظم القزوینی النجفی کتابتها (1315) عند الشیخ محمد رضا بن زین العابدین العاملی. مرتب علی الحروف. و الشاعر معاصر لأبی نواس الحسن بن هانی الذی توفی (199) و هو مقدم علی صریع الدلاء علی بن عبد الواحد البغدادی الشاعر المعروف بصریع الدلاء و المتوفی (412) کما نقله الزرکلی فی ص 680 عن وفیات الأعیان و فی ابن الندیم ص 228 بعد ذکر أبی نواس قال: مسلم بن الولید و أمره مشهور و شعره نحو مائتی ورقة علی الحروف عمله الصولی و رجل کان فی زماننا. أقول مراده من الورقة ما یحتوی علی صفحتین فی کل صفحة عشرون بیتا کما فسره بذلک فی ص 227. هذا و قد جاء ذکره فی معالم العلماء لابن شهرآشوب فی (ص 140) من طبعه طهران.</w:t>
      </w:r>
    </w:p>
    <w:p>
      <w:pPr>
        <w:pStyle w:val="Heading3"/>
      </w:pPr>
      <w:bookmarkStart w:id="5761" w:name="_Toc4457"/>
      <w:r>
        <w:t>4340- دیوان صعصعة بن صوحان أو شعره‏</w:t>
      </w:r>
      <w:bookmarkEnd w:id="5761"/>
    </w:p>
    <w:p>
      <w:pPr>
        <w:pStyle w:val="BookText"/>
      </w:pPr>
      <w:r>
        <w:rPr>
          <w:rFonts w:ascii="IRNazanin" w:hAnsi="IRNazanin" w:eastAsia="IRNazanin" w:cs="IRNazanin"/>
          <w:lang w:bidi="fa-IR"/>
          <w:color w:val="111111"/>
          <w:sz w:val="28"/>
          <w:szCs w:val="28"/>
          <w:rtl/>
        </w:rPr>
        <w:t xml:space="preserve">العبدی من ربیعة. عده ابن شهرآشوب فی المعالم: 138 من شعراء أهل البیت، و عده ابن الندیم (ص 181) من الخطباء و عده ابن عبد البر و ابن منده و أبو نعیم من الصحابة، و عده الشیخ فی رجاله و الکشی و البرقی و النجاشی من أصحاب علی علیه السلام ، و هو الراوی لعهد مالک الأشتر.</w:t>
      </w:r>
    </w:p>
    <w:p>
      <w:pPr>
        <w:pStyle w:val="Heading3"/>
      </w:pPr>
      <w:bookmarkStart w:id="5762" w:name="_Toc4458"/>
      <w:r>
        <w:t>4341- دیوان صعود گجراتی أو شعره‏</w:t>
      </w:r>
      <w:bookmarkEnd w:id="5762"/>
    </w:p>
    <w:p>
      <w:pPr>
        <w:pStyle w:val="BookText"/>
      </w:pPr>
      <w:r>
        <w:rPr>
          <w:rFonts w:ascii="IRNazanin" w:hAnsi="IRNazanin" w:eastAsia="IRNazanin" w:cs="IRNazanin"/>
          <w:lang w:bidi="fa-IR"/>
          <w:color w:val="111111"/>
          <w:sz w:val="28"/>
          <w:szCs w:val="28"/>
          <w:rtl/>
        </w:rPr>
        <w:t xml:space="preserve">کان یدعی أنه من أحفاد الإمام الصادق و أن آباءه جاءوا إلی الهند عن طریق إیران. ولد بأحمدآباد. أورد شعره فی (گلشن- ص 252).</w:t>
      </w:r>
    </w:p>
    <w:p>
      <w:pPr>
        <w:pStyle w:val="Heading3"/>
      </w:pPr>
      <w:bookmarkStart w:id="5763" w:name="_Toc4459"/>
      <w:r>
        <w:t>4342- الدیوان الصغیر</w:t>
      </w:r>
      <w:bookmarkEnd w:id="5763"/>
    </w:p>
    <w:p>
      <w:pPr>
        <w:pStyle w:val="BookText"/>
      </w:pPr>
      <w:r>
        <w:rPr>
          <w:rFonts w:ascii="IRNazanin" w:hAnsi="IRNazanin" w:eastAsia="IRNazanin" w:cs="IRNazanin"/>
          <w:lang w:bidi="fa-IR"/>
          <w:color w:val="111111"/>
          <w:sz w:val="28"/>
          <w:szCs w:val="28"/>
          <w:rtl/>
        </w:rPr>
        <w:t xml:space="preserve">لابن نباتة. مر فی (ص 30).</w:t>
      </w:r>
    </w:p>
    <w:p>
      <w:pPr>
        <w:pStyle w:val="Heading3"/>
      </w:pPr>
      <w:bookmarkStart w:id="5764" w:name="_Toc4460"/>
      <w:r>
        <w:t>4343- دیوان صغیر أصفهانی‏</w:t>
      </w:r>
      <w:bookmarkEnd w:id="5764"/>
    </w:p>
    <w:p>
      <w:pPr>
        <w:pStyle w:val="BookText"/>
      </w:pPr>
      <w:r>
        <w:rPr>
          <w:rFonts w:ascii="IRNazanin" w:hAnsi="IRNazanin" w:eastAsia="IRNazanin" w:cs="IRNazanin"/>
          <w:lang w:bidi="fa-IR"/>
          <w:color w:val="111111"/>
          <w:sz w:val="28"/>
          <w:szCs w:val="28"/>
          <w:rtl/>
        </w:rPr>
        <w:t xml:space="preserve">و اسمه محمد حسین بن أسد الله. ولد 13 رجب 1312 و اشتغل بالنسیج و نظم الشعر و عمره ثمان سنوات و انتخب عضوا فی انجمن شیدا و بعد وفاة شیدا صار مقدم الشعراء بأصفهان. له مصیبت‏نامه طبع مرتان فی (247 ص) و فضائل الأئمة طبع فی (1301) فی (160 ص) علی الحجر. و طبع دیوانه فی (1306) فی بأصفهان (260 ص) و یشتمل علی الغزل و القصائد و الترجیعات و المراثی مع مقدمه لحسن البدری، و خطبة الغدیر نظم للخطبة طبع فی (85 ص) بطهران مع مقدمه لجلال الدین الهمائی أستاذ جامعة طهران فی (1330 ش) و له غزل فی دانش‏نامه المطبوع (1342) لألفت. ترجمه فی سخنوران نامی معاصر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601" w:name="pg11704_122084"/>
    <w:bookmarkEnd w:id="601"/>
    <w:p>
      <w:pPr>
        <w:pStyle w:val="BookText"/>
      </w:pPr>
      <w:r>
        <w:rPr>
          <w:rFonts w:ascii="IRNazanin" w:hAnsi="IRNazanin" w:eastAsia="IRNazanin" w:cs="IRNazanin"/>
          <w:lang w:bidi="fa-IR"/>
          <w:color w:val="111111"/>
          <w:sz w:val="28"/>
          <w:szCs w:val="28"/>
          <w:rtl/>
        </w:rPr>
        <w:t xml:space="preserve">ص 187 و شعرای أصفهان (ص 306).</w:t>
      </w:r>
    </w:p>
    <w:p>
      <w:pPr>
        <w:pStyle w:val="Heading3"/>
      </w:pPr>
      <w:bookmarkStart w:id="5765" w:name="_Toc4461"/>
      <w:r>
        <w:t>4343- دیوان صغیری أو شعره‏</w:t>
      </w:r>
      <w:bookmarkEnd w:id="5765"/>
    </w:p>
    <w:p>
      <w:pPr>
        <w:pStyle w:val="BookText"/>
      </w:pPr>
      <w:r>
        <w:rPr>
          <w:rFonts w:ascii="IRNazanin" w:hAnsi="IRNazanin" w:eastAsia="IRNazanin" w:cs="IRNazanin"/>
          <w:lang w:bidi="fa-IR"/>
          <w:color w:val="111111"/>
          <w:sz w:val="28"/>
          <w:szCs w:val="28"/>
          <w:rtl/>
        </w:rPr>
        <w:t xml:space="preserve">و اسمه إبراهیم. أورد شعره النصرآبادی فی (نر 15- ص 520) و فی (تش: 226) أنه ابن ملک الدیلمی.</w:t>
      </w:r>
    </w:p>
    <w:p>
      <w:pPr>
        <w:pStyle w:val="Heading3"/>
      </w:pPr>
      <w:bookmarkStart w:id="5766" w:name="_Toc4462"/>
      <w:r>
        <w:t>4344- دیوان صفا آذربایجانی أو شعره‏</w:t>
      </w:r>
      <w:bookmarkEnd w:id="5766"/>
    </w:p>
    <w:p>
      <w:pPr>
        <w:pStyle w:val="BookText"/>
      </w:pPr>
      <w:r>
        <w:rPr>
          <w:rFonts w:ascii="IRNazanin" w:hAnsi="IRNazanin" w:eastAsia="IRNazanin" w:cs="IRNazanin"/>
          <w:lang w:bidi="fa-IR"/>
          <w:color w:val="111111"/>
          <w:sz w:val="28"/>
          <w:szCs w:val="28"/>
          <w:rtl/>
        </w:rPr>
        <w:t xml:space="preserve">و اسمه الحاج السید حسن من شعراء القرن الثالث عشر. ذکره فی (دجا- ص 230).</w:t>
      </w:r>
    </w:p>
    <w:p>
      <w:pPr>
        <w:pStyle w:val="Heading3"/>
      </w:pPr>
      <w:bookmarkStart w:id="5767" w:name="_Toc4463"/>
      <w:r>
        <w:t>4345- دیوان صفا أصفهانی‏</w:t>
      </w:r>
      <w:bookmarkEnd w:id="5767"/>
    </w:p>
    <w:p>
      <w:pPr>
        <w:pStyle w:val="BookText"/>
      </w:pPr>
      <w:r>
        <w:rPr>
          <w:rFonts w:ascii="IRNazanin" w:hAnsi="IRNazanin" w:eastAsia="IRNazanin" w:cs="IRNazanin"/>
          <w:lang w:bidi="fa-IR"/>
          <w:color w:val="111111"/>
          <w:sz w:val="28"/>
          <w:szCs w:val="28"/>
          <w:rtl/>
        </w:rPr>
        <w:t xml:space="preserve">اسمه المیرزا محمد علی و یعرف بمیرزا صفا من شعراء عصر ناصر الدین شاه. و له تقریظ فرهنگ خداپرستی طبع معه فی (1279) و توفی حدود (1310) رأیت نسخه منه بخط الحاج حسین آقا ملک التجار التبریزی فی مکتبته” الحاج حسین آقا” بطهران، کتبه لنفسه فی (1314 ش) فهو غیر اللواسانی و غیر صفائی أصفهانی.</w:t>
      </w:r>
    </w:p>
    <w:p>
      <w:pPr>
        <w:pStyle w:val="Heading3"/>
      </w:pPr>
      <w:bookmarkStart w:id="5768" w:name="_Toc4464"/>
      <w:r>
        <w:t>دیوان صفا أصفهانی‏</w:t>
      </w:r>
      <w:bookmarkEnd w:id="5768"/>
    </w:p>
    <w:p>
      <w:pPr>
        <w:pStyle w:val="BookText"/>
      </w:pPr>
      <w:r>
        <w:rPr>
          <w:rFonts w:ascii="IRNazanin" w:hAnsi="IRNazanin" w:eastAsia="IRNazanin" w:cs="IRNazanin"/>
          <w:lang w:bidi="fa-IR"/>
          <w:color w:val="111111"/>
          <w:sz w:val="28"/>
          <w:szCs w:val="28"/>
          <w:rtl/>
        </w:rPr>
        <w:t xml:space="preserve">راجع صفا زواره‏ئی.</w:t>
      </w:r>
    </w:p>
    <w:p>
      <w:pPr>
        <w:pStyle w:val="Heading3"/>
      </w:pPr>
      <w:bookmarkStart w:id="5769" w:name="_Toc4465"/>
      <w:r>
        <w:t>4346- دیوان صفا ایروانی‏</w:t>
      </w:r>
      <w:bookmarkEnd w:id="5769"/>
    </w:p>
    <w:p>
      <w:pPr>
        <w:pStyle w:val="BookText"/>
      </w:pPr>
      <w:r>
        <w:rPr>
          <w:rFonts w:ascii="IRNazanin" w:hAnsi="IRNazanin" w:eastAsia="IRNazanin" w:cs="IRNazanin"/>
          <w:lang w:bidi="fa-IR"/>
          <w:color w:val="111111"/>
          <w:sz w:val="28"/>
          <w:szCs w:val="28"/>
          <w:rtl/>
        </w:rPr>
        <w:t xml:space="preserve">المیرزا فضل علی بن عبد الکریم بن أبی القاسم ملاباشی بتبریز. ولد بتبریز (1278) و سافر إلی النجف و تلمذ علی الإیروانی و الشرابیانی و الأردکانی و المازندرانی و فی (1307) رجع إلی وطنه. و انتخب نائبا فی أول مجلس للأمة بطهران. و فی (1336) سافر إلی أروپا استعلاجا و مات ببرلن (1339) و هو صاحب حدائق العارفین المذکور فی (6: 289) و دیوانه یحتوی علی القصائد العربیة و الفارسیة. ترجمه مفصلا فی ریحانة الأدب نقلا عن مطرح الأنظار، و ذکر له خمسة عشر تصنیفا.</w:t>
      </w:r>
    </w:p>
    <w:p>
      <w:pPr>
        <w:pStyle w:val="Heading3"/>
      </w:pPr>
      <w:bookmarkStart w:id="5770" w:name="_Toc4466"/>
      <w:r>
        <w:t>4347- دیوان صفا تفرشی‏</w:t>
      </w:r>
      <w:bookmarkEnd w:id="5770"/>
    </w:p>
    <w:p>
      <w:pPr>
        <w:pStyle w:val="BookText"/>
      </w:pPr>
      <w:r>
        <w:rPr>
          <w:rFonts w:ascii="IRNazanin" w:hAnsi="IRNazanin" w:eastAsia="IRNazanin" w:cs="IRNazanin"/>
          <w:lang w:bidi="fa-IR"/>
          <w:color w:val="111111"/>
          <w:sz w:val="28"/>
          <w:szCs w:val="28"/>
          <w:rtl/>
        </w:rPr>
        <w:t xml:space="preserve">و اسمه المیرزا عبد الحمید نزیل طهران. کان أستاذا فی الشعر و ماهرا فی الخط. قال معاصره فی (مع 2: 327) أن دیوانه فی خمسة آلاف بیت و ترجمه أیضا فی (المآثر- 205) و (نامه سخنوران- ص 115).</w:t>
      </w:r>
    </w:p>
    <w:p>
      <w:pPr>
        <w:pStyle w:val="Heading3"/>
      </w:pPr>
      <w:bookmarkStart w:id="5771" w:name="_Toc4467"/>
      <w:r>
        <w:t>4348- دیوان صفا دشتکی أو شعره‏</w:t>
      </w:r>
      <w:bookmarkEnd w:id="5771"/>
    </w:p>
    <w:p>
      <w:pPr>
        <w:pStyle w:val="BookText"/>
      </w:pPr>
      <w:r>
        <w:rPr>
          <w:rFonts w:ascii="IRNazanin" w:hAnsi="IRNazanin" w:eastAsia="IRNazanin" w:cs="IRNazanin"/>
          <w:lang w:bidi="fa-IR"/>
          <w:color w:val="111111"/>
          <w:sz w:val="28"/>
          <w:szCs w:val="28"/>
          <w:rtl/>
        </w:rPr>
        <w:t xml:space="preserve">و هو المیرزا إبراهیم، من أولاد غیاث الدین منصور الفیلسوف الدشتکی. ترجمه معاصره البیگدلی فی (تش- 294) و قال مات فی أواخر العهد النادری (المقتول- 1161) و أورد شعره الذی تتبع فیه حسن واهب.</w:t>
      </w:r>
    </w:p>
    <w:p>
      <w:pPr>
        <w:pStyle w:val="BookText"/>
      </w:pPr>
      <w:r>
        <w:rPr>
          <w:rFonts w:ascii="IRNazanin" w:hAnsi="IRNazanin" w:eastAsia="IRNazanin" w:cs="IRNazanin"/>
          <w:lang w:bidi="fa-IR"/>
          <w:color w:val="111111"/>
          <w:sz w:val="28"/>
          <w:szCs w:val="28"/>
          <w:rtl/>
        </w:rPr>
        <w:t xml:space="preserve">و عنه أخذ فی القاموس الترکی مغلوطا و عنه فی الریحانة.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602" w:name="pg11704_122085"/>
    <w:bookmarkEnd w:id="602"/>
    <w:p>
      <w:pPr>
        <w:pStyle w:val="Heading3"/>
      </w:pPr>
      <w:bookmarkStart w:id="5772" w:name="_Toc4468"/>
      <w:r>
        <w:t>4349- دیوان صفا زواره‏ئی أو شعره‏</w:t>
      </w:r>
      <w:bookmarkEnd w:id="5772"/>
    </w:p>
    <w:p>
      <w:pPr>
        <w:pStyle w:val="BookText"/>
      </w:pPr>
      <w:r>
        <w:rPr>
          <w:rFonts w:ascii="IRNazanin" w:hAnsi="IRNazanin" w:eastAsia="IRNazanin" w:cs="IRNazanin"/>
          <w:lang w:bidi="fa-IR"/>
          <w:color w:val="111111"/>
          <w:sz w:val="28"/>
          <w:szCs w:val="28"/>
          <w:rtl/>
        </w:rPr>
        <w:t xml:space="preserve">و اسمه المیرزا عبد الواسع الطباطبائی الأصفهانی. ترجمه فی المدائح المعتمدیة المؤلف (1259) لأنه مدح منوچهر خان معتمد الدولة حاکم أصفهان.</w:t>
      </w:r>
    </w:p>
    <w:p>
      <w:pPr>
        <w:pStyle w:val="Heading3"/>
      </w:pPr>
      <w:bookmarkStart w:id="5773" w:name="_Toc4469"/>
      <w:r>
        <w:t>4350- دیوان صفا شیرازی أو شعره‏</w:t>
      </w:r>
      <w:bookmarkEnd w:id="5773"/>
    </w:p>
    <w:p>
      <w:pPr>
        <w:pStyle w:val="BookText"/>
      </w:pPr>
      <w:r>
        <w:rPr>
          <w:rFonts w:ascii="IRNazanin" w:hAnsi="IRNazanin" w:eastAsia="IRNazanin" w:cs="IRNazanin"/>
          <w:lang w:bidi="fa-IR"/>
          <w:color w:val="111111"/>
          <w:sz w:val="28"/>
          <w:szCs w:val="28"/>
          <w:rtl/>
        </w:rPr>
        <w:t xml:space="preserve">و اسمه المیرزا علی أکبر الصحاف. ترجمه و أورد شعره فی (عم: 561).</w:t>
      </w:r>
    </w:p>
    <w:p>
      <w:pPr>
        <w:pStyle w:val="Heading3"/>
      </w:pPr>
      <w:bookmarkStart w:id="5774" w:name="_Toc4470"/>
      <w:r>
        <w:t>4351- دیوان صفا شیرازی أو شعره‏</w:t>
      </w:r>
      <w:bookmarkEnd w:id="5774"/>
    </w:p>
    <w:p>
      <w:pPr>
        <w:pStyle w:val="BookText"/>
      </w:pPr>
      <w:r>
        <w:rPr>
          <w:rFonts w:ascii="IRNazanin" w:hAnsi="IRNazanin" w:eastAsia="IRNazanin" w:cs="IRNazanin"/>
          <w:lang w:bidi="fa-IR"/>
          <w:color w:val="111111"/>
          <w:sz w:val="28"/>
          <w:szCs w:val="28"/>
          <w:rtl/>
        </w:rPr>
        <w:t xml:space="preserve">) و هو میرزا إبراهیم المعروف بحاج آقا بن محمد حسین من بیت أولیاء سمیع بشیراز. کان خطاطا سافر إلی بمبئی و کتب النسخ المطبوعة من تاریخ وصاف و المعجم و غیرهما، و صار معلما بمدارس دکن حیدرآباد، و سافر إلی خراسان و مات (1301) و حمل إلی النجف. ترجمه و أورد شعره فی (عم: ص 561).</w:t>
      </w:r>
    </w:p>
    <w:p>
      <w:pPr>
        <w:pStyle w:val="Heading3"/>
      </w:pPr>
      <w:bookmarkStart w:id="5775" w:name="_Toc4471"/>
      <w:r>
        <w:t>4352- دیوان صفا شیرازی أو شعره‏</w:t>
      </w:r>
      <w:bookmarkEnd w:id="5775"/>
    </w:p>
    <w:p>
      <w:pPr>
        <w:pStyle w:val="BookText"/>
      </w:pPr>
      <w:r>
        <w:rPr>
          <w:rFonts w:ascii="IRNazanin" w:hAnsi="IRNazanin" w:eastAsia="IRNazanin" w:cs="IRNazanin"/>
          <w:lang w:bidi="fa-IR"/>
          <w:color w:val="111111"/>
          <w:sz w:val="28"/>
          <w:szCs w:val="28"/>
          <w:rtl/>
        </w:rPr>
        <w:t xml:space="preserve">و هو شیخ الإسلام ابن أبی القاسم البحرانی الأصل هاجر آباؤه إلی شیراز بعد هجوم الأعراب علیها، و کان منصب شیخوخة الإسلام فی بیتهم، و نصب صفا مقام أبیه و کان حیا فی (1313) عام تألیف آثار عجم فترجمه فی (عم: 510) و له ولد شاعر یتخلص وفا و اسمه محمد باقر.</w:t>
      </w:r>
    </w:p>
    <w:p>
      <w:pPr>
        <w:pStyle w:val="Heading3"/>
      </w:pPr>
      <w:bookmarkStart w:id="5776" w:name="_Toc4472"/>
      <w:r>
        <w:t>دیوان صفا شیرازی‏</w:t>
      </w:r>
      <w:bookmarkEnd w:id="5776"/>
    </w:p>
    <w:p>
      <w:pPr>
        <w:pStyle w:val="BookText"/>
      </w:pPr>
      <w:r>
        <w:rPr>
          <w:rFonts w:ascii="IRNazanin" w:hAnsi="IRNazanin" w:eastAsia="IRNazanin" w:cs="IRNazanin"/>
          <w:lang w:bidi="fa-IR"/>
          <w:color w:val="111111"/>
          <w:sz w:val="28"/>
          <w:szCs w:val="28"/>
          <w:rtl/>
        </w:rPr>
        <w:t xml:space="preserve">راجع صفا محلاتی.</w:t>
      </w:r>
    </w:p>
    <w:p>
      <w:pPr>
        <w:pStyle w:val="Heading3"/>
      </w:pPr>
      <w:bookmarkStart w:id="5777" w:name="_Toc4473"/>
      <w:r>
        <w:t>دیوان صفا طهرانی‏</w:t>
      </w:r>
      <w:bookmarkEnd w:id="5777"/>
    </w:p>
    <w:p>
      <w:pPr>
        <w:pStyle w:val="BookText"/>
      </w:pPr>
      <w:r>
        <w:rPr>
          <w:rFonts w:ascii="IRNazanin" w:hAnsi="IRNazanin" w:eastAsia="IRNazanin" w:cs="IRNazanin"/>
          <w:lang w:bidi="fa-IR"/>
          <w:color w:val="111111"/>
          <w:sz w:val="28"/>
          <w:szCs w:val="28"/>
          <w:rtl/>
        </w:rPr>
        <w:t xml:space="preserve">راجع صفا تفرشی.</w:t>
      </w:r>
    </w:p>
    <w:p>
      <w:pPr>
        <w:pStyle w:val="Heading3"/>
      </w:pPr>
      <w:bookmarkStart w:id="5778" w:name="_Toc4474"/>
      <w:r>
        <w:t>4353- دیوان صفا علی شاه‏</w:t>
      </w:r>
      <w:bookmarkEnd w:id="5778"/>
    </w:p>
    <w:p>
      <w:pPr>
        <w:pStyle w:val="BookText"/>
      </w:pPr>
      <w:r>
        <w:rPr>
          <w:rFonts w:ascii="IRNazanin" w:hAnsi="IRNazanin" w:eastAsia="IRNazanin" w:cs="IRNazanin"/>
          <w:lang w:bidi="fa-IR"/>
          <w:color w:val="111111"/>
          <w:sz w:val="28"/>
          <w:szCs w:val="28"/>
          <w:rtl/>
        </w:rPr>
        <w:t xml:space="preserve">و اسمه علی ظهیر الدولة من صوفیة طهران. طبع له رعنا و زیبا بطهران فی (1309 ش) فی (117 ص)، و مجمع الأطوار.</w:t>
      </w:r>
    </w:p>
    <w:p>
      <w:pPr>
        <w:pStyle w:val="Heading3"/>
      </w:pPr>
      <w:bookmarkStart w:id="5779" w:name="_Toc4475"/>
      <w:r>
        <w:t>4354- دیوان صفا قاینی‏</w:t>
      </w:r>
      <w:bookmarkEnd w:id="5779"/>
    </w:p>
    <w:p>
      <w:pPr>
        <w:pStyle w:val="BookText"/>
      </w:pPr>
      <w:r>
        <w:rPr>
          <w:rFonts w:ascii="IRNazanin" w:hAnsi="IRNazanin" w:eastAsia="IRNazanin" w:cs="IRNazanin"/>
          <w:lang w:bidi="fa-IR"/>
          <w:color w:val="111111"/>
          <w:sz w:val="28"/>
          <w:szCs w:val="28"/>
          <w:rtl/>
        </w:rPr>
        <w:t xml:space="preserve">و اسمه المیر علی رضا الحسینی القائنی الطبیب. کتب مجموعة من شعره بخطه الجید فی (1308) و أهداه إلی ظل السلطان ابن ناصر الدین شاه. فی (14 ورقة) کلها (130 بیتا) من الغزل. و النسخة المذهبة المجدولة عند (سلطان القرائی).</w:t>
      </w:r>
    </w:p>
    <w:p>
      <w:pPr>
        <w:pStyle w:val="Heading3"/>
      </w:pPr>
      <w:bookmarkStart w:id="5780" w:name="_Toc4476"/>
      <w:r>
        <w:t>4355- دیوان صفا قمی أو شعره‏</w:t>
      </w:r>
      <w:bookmarkEnd w:id="5780"/>
    </w:p>
    <w:p>
      <w:pPr>
        <w:pStyle w:val="BookText"/>
      </w:pPr>
      <w:r>
        <w:rPr>
          <w:rFonts w:ascii="IRNazanin" w:hAnsi="IRNazanin" w:eastAsia="IRNazanin" w:cs="IRNazanin"/>
          <w:lang w:bidi="fa-IR"/>
          <w:color w:val="111111"/>
          <w:sz w:val="28"/>
          <w:szCs w:val="28"/>
          <w:rtl/>
        </w:rPr>
        <w:t xml:space="preserve">و هو مهدی قلی بن علی قلی بن قرچغای خان.</w:t>
      </w:r>
    </w:p>
    <w:p>
      <w:pPr>
        <w:pStyle w:val="BookText"/>
      </w:pPr>
      <w:r>
        <w:rPr>
          <w:rFonts w:ascii="IRNazanin" w:hAnsi="IRNazanin" w:eastAsia="IRNazanin" w:cs="IRNazanin"/>
          <w:lang w:bidi="fa-IR"/>
          <w:color w:val="111111"/>
          <w:sz w:val="28"/>
          <w:szCs w:val="28"/>
          <w:rtl/>
        </w:rPr>
        <w:t xml:space="preserve">و هو البانی للمدرسة المعروفة باسمه مدرسة مهدی قلی الواقعة فی گذر عبد الله خان بقم کما ذکر فی (7: 154) فی (1123). و هو مؤلف سماء الأسماء فی اللغة، و قال‏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603" w:name="pg11704_122086"/>
    <w:bookmarkEnd w:id="603"/>
    <w:p>
      <w:pPr>
        <w:pStyle w:val="BookText"/>
      </w:pPr>
      <w:r>
        <w:rPr>
          <w:rFonts w:ascii="IRNazanin" w:hAnsi="IRNazanin" w:eastAsia="IRNazanin" w:cs="IRNazanin"/>
          <w:lang w:bidi="fa-IR"/>
          <w:color w:val="111111"/>
          <w:sz w:val="28"/>
          <w:szCs w:val="28"/>
          <w:rtl/>
        </w:rPr>
        <w:t xml:space="preserve">النصرآبادی فی (نر 2- ص 31) إن والده کان متولیا بقم. أقول و عمه منوچهر خان کان مجازا من المجلسی فی (1060) و مر لوالده إحیاء حکمت و الإیمان الکامل. و أورد شعره فی (گلشن 478).</w:t>
      </w:r>
    </w:p>
    <w:p>
      <w:pPr>
        <w:pStyle w:val="Heading3"/>
      </w:pPr>
      <w:bookmarkStart w:id="5781" w:name="_Toc4477"/>
      <w:r>
        <w:t>4356- دیوان صفا لواسانی‏</w:t>
      </w:r>
      <w:bookmarkEnd w:id="5781"/>
    </w:p>
    <w:p>
      <w:pPr>
        <w:pStyle w:val="BookText"/>
      </w:pPr>
      <w:r>
        <w:rPr>
          <w:rFonts w:ascii="IRNazanin" w:hAnsi="IRNazanin" w:eastAsia="IRNazanin" w:cs="IRNazanin"/>
          <w:lang w:bidi="fa-IR"/>
          <w:color w:val="111111"/>
          <w:sz w:val="28"/>
          <w:szCs w:val="28"/>
          <w:rtl/>
        </w:rPr>
        <w:t xml:space="preserve">و اسمه المیرزا علی محمد بن المیرزا حسن علی الخطاط نزیل طهران. ترجمه معاصره فی (مع ج 2 ص 333) قال هو أصغر من أخیه المیرزا جعفر الملقب بحکیم إلهی. و أورد ما یقرب من سبعین بیتا من شعره. و فی (المآثر- ص 199) أنه کان شیخا و مات (1299) عن (78 سنة) و دفن جنب الحر بن یزید الریاحی و عنه أخذ فی نمونه خطوط خوش- ص 107.</w:t>
      </w:r>
    </w:p>
    <w:p>
      <w:pPr>
        <w:pStyle w:val="Heading3"/>
      </w:pPr>
      <w:bookmarkStart w:id="5782" w:name="_Toc4478"/>
      <w:r>
        <w:t>4357- دیوان صفا محلاتی أو شعره‏</w:t>
      </w:r>
      <w:bookmarkEnd w:id="5782"/>
    </w:p>
    <w:p>
      <w:pPr>
        <w:pStyle w:val="BookText"/>
      </w:pPr>
      <w:r>
        <w:rPr>
          <w:rFonts w:ascii="IRNazanin" w:hAnsi="IRNazanin" w:eastAsia="IRNazanin" w:cs="IRNazanin"/>
          <w:lang w:bidi="fa-IR"/>
          <w:color w:val="111111"/>
          <w:sz w:val="28"/>
          <w:szCs w:val="28"/>
          <w:rtl/>
        </w:rPr>
        <w:t xml:space="preserve">و اسمه محمد رضا سلطان الکتاب بن حبیب الله خاقانی الشیرازی الأصل. طبع بخطه تذکره ناصری المطبوع فی (1301) فی أحوال ناصر الدین شاه، و طبع بخطه أیضا دیوان مجمر فی (1312) بطهران و فی آخره قصیدة له فی مدیح الحجة.</w:t>
      </w:r>
    </w:p>
    <w:p>
      <w:pPr>
        <w:pStyle w:val="Heading3"/>
      </w:pPr>
      <w:bookmarkStart w:id="5783" w:name="_Toc4479"/>
      <w:r>
        <w:t>4358- دیوان صفا نائینی‏</w:t>
      </w:r>
      <w:bookmarkEnd w:id="5783"/>
    </w:p>
    <w:p>
      <w:pPr>
        <w:pStyle w:val="BookText"/>
      </w:pPr>
      <w:r>
        <w:rPr>
          <w:rFonts w:ascii="IRNazanin" w:hAnsi="IRNazanin" w:eastAsia="IRNazanin" w:cs="IRNazanin"/>
          <w:lang w:bidi="fa-IR"/>
          <w:color w:val="111111"/>
          <w:sz w:val="28"/>
          <w:szCs w:val="28"/>
          <w:rtl/>
        </w:rPr>
        <w:t xml:space="preserve">و هو المولی محمد باقر بن المولی هدایت حسین، کان ینسب نفسه إلی جابر بن عبد الله الأنصاری. جاء آباؤه من شیراز إلی نائین، و له رسالة فی أصول الدین اسمه مفتاح الأفق و له دیوان کتب له دیباجة، ترجمه و أورد شعره النصرآبادی فی (نر 6- ص 197) و قال مات قبل سنة (أی حدود 1080).</w:t>
      </w:r>
    </w:p>
    <w:p>
      <w:pPr>
        <w:pStyle w:val="Heading3"/>
      </w:pPr>
      <w:bookmarkStart w:id="5784" w:name="_Toc4480"/>
      <w:r>
        <w:t>دیوان صفائی‏</w:t>
      </w:r>
      <w:bookmarkEnd w:id="5784"/>
    </w:p>
    <w:p>
      <w:pPr>
        <w:pStyle w:val="BookText"/>
      </w:pPr>
      <w:r>
        <w:rPr>
          <w:rFonts w:ascii="IRNazanin" w:hAnsi="IRNazanin" w:eastAsia="IRNazanin" w:cs="IRNazanin"/>
          <w:lang w:bidi="fa-IR"/>
          <w:color w:val="111111"/>
          <w:sz w:val="28"/>
          <w:szCs w:val="28"/>
          <w:rtl/>
        </w:rPr>
        <w:t xml:space="preserve">للمیرزا أحمد المتخلص بصفائی. فارسی فی المراثی فی أحد عشر بندا. طبع بطهران فی (1315) و نقل عنه فی نفائس اللباب و هو إما الجندقی و إما النراقی. و رأیت لصفائی مدائح للأمیر فی مجموعة عند السید محمد الجزائری فی النجف.</w:t>
      </w:r>
    </w:p>
    <w:p>
      <w:pPr>
        <w:pStyle w:val="Heading3"/>
      </w:pPr>
      <w:bookmarkStart w:id="5785" w:name="_Toc4481"/>
      <w:r>
        <w:t>4359- دیوان صفائی أسترآبادی أو شعره‏</w:t>
      </w:r>
      <w:bookmarkEnd w:id="5785"/>
    </w:p>
    <w:p>
      <w:pPr>
        <w:pStyle w:val="BookText"/>
      </w:pPr>
      <w:r>
        <w:rPr>
          <w:rFonts w:ascii="IRNazanin" w:hAnsi="IRNazanin" w:eastAsia="IRNazanin" w:cs="IRNazanin"/>
          <w:lang w:bidi="fa-IR"/>
          <w:color w:val="111111"/>
          <w:sz w:val="28"/>
          <w:szCs w:val="28"/>
          <w:rtl/>
        </w:rPr>
        <w:t xml:space="preserve">و یعرف ببابا صفائی. ترجمه و أورد شعره فی (تس 5- ص 176) و وصفه بقلندر.</w:t>
      </w:r>
    </w:p>
    <w:p>
      <w:pPr>
        <w:pStyle w:val="Heading3"/>
      </w:pPr>
      <w:bookmarkStart w:id="5786" w:name="_Toc4482"/>
      <w:r>
        <w:t>دیوان صفائی أصفهانی‏</w:t>
      </w:r>
      <w:bookmarkEnd w:id="5786"/>
    </w:p>
    <w:p>
      <w:pPr>
        <w:pStyle w:val="BookText"/>
      </w:pPr>
      <w:r>
        <w:rPr>
          <w:rFonts w:ascii="IRNazanin" w:hAnsi="IRNazanin" w:eastAsia="IRNazanin" w:cs="IRNazanin"/>
          <w:lang w:bidi="fa-IR"/>
          <w:color w:val="111111"/>
          <w:sz w:val="28"/>
          <w:szCs w:val="28"/>
          <w:rtl/>
        </w:rPr>
        <w:t xml:space="preserve">و اسمه حسین علی بن سلیمان البروجنی. راجع صفائی بروجنی.</w:t>
      </w:r>
    </w:p>
    <w:p>
      <w:pPr>
        <w:pStyle w:val="Heading3"/>
      </w:pPr>
      <w:bookmarkStart w:id="5787" w:name="_Toc4483"/>
      <w:r>
        <w:t>4360- دیوان صفائی أصفهانی‏</w:t>
      </w:r>
      <w:bookmarkEnd w:id="5787"/>
    </w:p>
    <w:p>
      <w:pPr>
        <w:pStyle w:val="BookText"/>
      </w:pPr>
      <w:r>
        <w:rPr>
          <w:rFonts w:ascii="IRNazanin" w:hAnsi="IRNazanin" w:eastAsia="IRNazanin" w:cs="IRNazanin"/>
          <w:lang w:bidi="fa-IR"/>
          <w:color w:val="111111"/>
          <w:sz w:val="28"/>
          <w:szCs w:val="28"/>
          <w:rtl/>
        </w:rPr>
        <w:t xml:space="preserve">و اسمه محمد علی المبارکی الواعظ بأصفهان‏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604" w:name="pg11704_122087"/>
    <w:bookmarkEnd w:id="604"/>
    <w:p>
      <w:pPr>
        <w:pStyle w:val="BookText"/>
      </w:pPr>
      <w:r>
        <w:rPr>
          <w:rFonts w:ascii="IRNazanin" w:hAnsi="IRNazanin" w:eastAsia="IRNazanin" w:cs="IRNazanin"/>
          <w:lang w:bidi="fa-IR"/>
          <w:color w:val="111111"/>
          <w:sz w:val="28"/>
          <w:szCs w:val="28"/>
          <w:rtl/>
        </w:rPr>
        <w:t xml:space="preserve">ولد بقریة مبارکة فی (17 ذی الحجة 1317) و مات (7 رجب 1361) له تاریخ أصفهان خمس مجلدات و أماکن أصفهان و دانشوران أصفهان ست مجلدات و کشف المهمات و أسرار الأحکام و اسرار حج و إسلام خالص و زندگانی رسول و جامع العلوم أربع مجلدات و جنة الأداء و سفرنامه غرب و سوانح و دیوان أشعار. ترجمه فی شعرای أصفهان (ص 313) و ترجم ابنه کمال الدین صفائی أیضا.</w:t>
      </w:r>
    </w:p>
    <w:p>
      <w:pPr>
        <w:pStyle w:val="Heading3"/>
      </w:pPr>
      <w:bookmarkStart w:id="5788" w:name="_Toc4484"/>
      <w:r>
        <w:t>4361- دیوان صفائی أصفهانی‏</w:t>
      </w:r>
      <w:bookmarkEnd w:id="5788"/>
    </w:p>
    <w:p>
      <w:pPr>
        <w:pStyle w:val="BookText"/>
      </w:pPr>
      <w:r>
        <w:rPr>
          <w:rFonts w:ascii="IRNazanin" w:hAnsi="IRNazanin" w:eastAsia="IRNazanin" w:cs="IRNazanin"/>
          <w:lang w:bidi="fa-IR"/>
          <w:color w:val="111111"/>
          <w:sz w:val="28"/>
          <w:szCs w:val="28"/>
          <w:rtl/>
        </w:rPr>
        <w:t xml:space="preserve">و اسمه ملا محمد بن سبز علی الأصفهانی. کان ماهرا فی الحساب و الموسیقی. مات بعد وفاة مجمر أردستانی فی (1225) و له نونیة تعرف أرزنیة أوله:</w:t>
      </w:r>
    </w:p>
    <w:p>
      <w:pPr>
        <w:pStyle w:val="BookText"/>
      </w:pPr>
      <w:r>
        <w:rPr>
          <w:rFonts w:ascii="IRNazanin" w:hAnsi="IRNazanin" w:eastAsia="IRNazanin" w:cs="IRNazanin"/>
          <w:lang w:bidi="fa-IR"/>
          <w:color w:val="111111"/>
          <w:sz w:val="28"/>
          <w:szCs w:val="28"/>
          <w:rtl/>
        </w:rPr>
        <w:t xml:space="preserve">ارزن ز خواجه‏ای طلبیدم سه چار من‏</w:t>
      </w:r>
    </w:p>
    <w:p>
      <w:pPr>
        <w:pStyle w:val="BookText"/>
      </w:pPr>
      <w:r>
        <w:rPr>
          <w:rFonts w:ascii="IRNazanin" w:hAnsi="IRNazanin" w:eastAsia="IRNazanin" w:cs="IRNazanin"/>
          <w:lang w:bidi="fa-IR"/>
          <w:color w:val="111111"/>
          <w:sz w:val="28"/>
          <w:szCs w:val="28"/>
          <w:rtl/>
        </w:rPr>
        <w:t xml:space="preserve">تا قوت گردد آن بمن و بر عیال من‏</w:t>
      </w:r>
    </w:p>
    <w:p>
      <w:pPr>
        <w:pStyle w:val="BookText"/>
      </w:pPr>
      <w:r>
        <w:rPr>
          <w:rFonts w:ascii="IRNazanin" w:hAnsi="IRNazanin" w:eastAsia="IRNazanin" w:cs="IRNazanin"/>
          <w:lang w:bidi="fa-IR"/>
          <w:color w:val="111111"/>
          <w:sz w:val="28"/>
          <w:szCs w:val="28"/>
          <w:rtl/>
        </w:rPr>
        <w:t xml:space="preserve">چین بر جبین فکند و بسبلت فزود باد</w:t>
      </w:r>
    </w:p>
    <w:p>
      <w:pPr>
        <w:pStyle w:val="BookText"/>
      </w:pPr>
      <w:r>
        <w:rPr>
          <w:rFonts w:ascii="IRNazanin" w:hAnsi="IRNazanin" w:eastAsia="IRNazanin" w:cs="IRNazanin"/>
          <w:lang w:bidi="fa-IR"/>
          <w:color w:val="111111"/>
          <w:sz w:val="28"/>
          <w:szCs w:val="28"/>
          <w:rtl/>
        </w:rPr>
        <w:t xml:space="preserve">بر هم نهاد چشم و فرو شد به خویشتن‏</w:t>
      </w:r>
    </w:p>
    <w:p>
      <w:pPr>
        <w:pStyle w:val="BookText"/>
      </w:pPr>
      <w:r>
        <w:rPr>
          <w:rFonts w:ascii="IRNazanin" w:hAnsi="IRNazanin" w:eastAsia="IRNazanin" w:cs="IRNazanin"/>
          <w:lang w:bidi="fa-IR"/>
          <w:color w:val="111111"/>
          <w:sz w:val="28"/>
          <w:szCs w:val="28"/>
          <w:rtl/>
        </w:rPr>
        <w:t xml:space="preserve">ترجمه و أورد شعره فی حدیقة الشعراء لدیوان بیگی و فی المدائح المعتمدیة و مجمع الفصحاء و مجلة یادگار (سنة 3 العدد 9) و (انجمن 4).</w:t>
      </w:r>
    </w:p>
    <w:p>
      <w:pPr>
        <w:pStyle w:val="Heading3"/>
      </w:pPr>
      <w:bookmarkStart w:id="5789" w:name="_Toc4485"/>
      <w:r>
        <w:t>4362- دیوان صفائی أندیجانی‏</w:t>
      </w:r>
      <w:bookmarkEnd w:id="5789"/>
    </w:p>
    <w:p>
      <w:pPr>
        <w:pStyle w:val="BookText"/>
      </w:pPr>
      <w:r>
        <w:rPr>
          <w:rFonts w:ascii="IRNazanin" w:hAnsi="IRNazanin" w:eastAsia="IRNazanin" w:cs="IRNazanin"/>
          <w:lang w:bidi="fa-IR"/>
          <w:color w:val="111111"/>
          <w:sz w:val="28"/>
          <w:szCs w:val="28"/>
          <w:rtl/>
        </w:rPr>
        <w:t xml:space="preserve">المتوفی بسمرقند. ترجمه فی (لط 2- ص 48) و أورد شعره فی (گلشن- 352) نسبه إلی خراسان. و لعله أستاذ بدیعی المذکور فی (ص 131).</w:t>
      </w:r>
    </w:p>
    <w:p>
      <w:pPr>
        <w:pStyle w:val="Heading3"/>
      </w:pPr>
      <w:bookmarkStart w:id="5790" w:name="_Toc4486"/>
      <w:r>
        <w:t>4363- دیوان صفائی بروجنی‏</w:t>
      </w:r>
      <w:bookmarkEnd w:id="5790"/>
    </w:p>
    <w:p>
      <w:pPr>
        <w:pStyle w:val="BookText"/>
      </w:pPr>
      <w:r>
        <w:rPr>
          <w:rFonts w:ascii="IRNazanin" w:hAnsi="IRNazanin" w:eastAsia="IRNazanin" w:cs="IRNazanin"/>
          <w:lang w:bidi="fa-IR"/>
          <w:color w:val="111111"/>
          <w:sz w:val="28"/>
          <w:szCs w:val="28"/>
          <w:rtl/>
        </w:rPr>
        <w:t xml:space="preserve">و هو حسین علی بن سلیمان. و بروجن من نواحی أصفهان. ولد بها (1296) و تلمذ علی والده. له دیوان فی ثلاثة آلاف بیت. ترجمه فی نامه سخنوران- ص 160 و شعرای أصفهان (ص 310).</w:t>
      </w:r>
    </w:p>
    <w:p>
      <w:pPr>
        <w:pStyle w:val="Heading3"/>
      </w:pPr>
      <w:bookmarkStart w:id="5791" w:name="_Toc4487"/>
      <w:r>
        <w:t>4364- دیوان صفائی تبریزی‏</w:t>
      </w:r>
      <w:bookmarkEnd w:id="5791"/>
    </w:p>
    <w:p>
      <w:pPr>
        <w:pStyle w:val="BookText"/>
      </w:pPr>
      <w:r>
        <w:rPr>
          <w:rFonts w:ascii="IRNazanin" w:hAnsi="IRNazanin" w:eastAsia="IRNazanin" w:cs="IRNazanin"/>
          <w:lang w:bidi="fa-IR"/>
          <w:color w:val="111111"/>
          <w:sz w:val="28"/>
          <w:szCs w:val="28"/>
          <w:rtl/>
        </w:rPr>
        <w:t xml:space="preserve">نزیل قزوین مع سائر المهاجرین من تبریز إلیها فی هجوم الروم (994) و بها توفی (1016) له شعر کثیر و دیوانه غیر مرتب. قال فی (میخانه. ص 568) کان فقیها عالما و ذکر أنه کان فی اللیل یکتب القرآن بخطه النسخ الجید و یبذله لمن لم یکن قادرا علی هدیته، و فی النهار کان مزینا للرجال‏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605" w:name="pg11704_122088"/>
    <w:bookmarkEnd w:id="605"/>
    <w:p>
      <w:pPr>
        <w:pStyle w:val="BookText"/>
      </w:pPr>
      <w:r>
        <w:rPr>
          <w:rFonts w:ascii="IRNazanin" w:hAnsi="IRNazanin" w:eastAsia="IRNazanin" w:cs="IRNazanin"/>
          <w:lang w:bidi="fa-IR"/>
          <w:color w:val="111111"/>
          <w:sz w:val="28"/>
          <w:szCs w:val="28"/>
          <w:rtl/>
        </w:rPr>
        <w:t xml:space="preserve">و حلاقا. و مات بقزوین فی (1016) و عنه نقل فی (دجا- ص 230) و (گلشن 252).</w:t>
      </w:r>
    </w:p>
    <w:p>
      <w:pPr>
        <w:pStyle w:val="Heading3"/>
      </w:pPr>
      <w:bookmarkStart w:id="5792" w:name="_Toc4488"/>
      <w:r>
        <w:t>4365- دیوان صفائی تبریزی أو شعره‏</w:t>
      </w:r>
      <w:bookmarkEnd w:id="5792"/>
    </w:p>
    <w:p>
      <w:pPr>
        <w:pStyle w:val="BookText"/>
      </w:pPr>
      <w:r>
        <w:rPr>
          <w:rFonts w:ascii="IRNazanin" w:hAnsi="IRNazanin" w:eastAsia="IRNazanin" w:cs="IRNazanin"/>
          <w:lang w:bidi="fa-IR"/>
          <w:color w:val="111111"/>
          <w:sz w:val="28"/>
          <w:szCs w:val="28"/>
          <w:rtl/>
        </w:rPr>
        <w:t xml:space="preserve">کان صحفیا، بیاع الکاغذ. ترجمه معاصره سام میرزا فی (تس 5- 171) و أورد شعره.</w:t>
      </w:r>
    </w:p>
    <w:p>
      <w:pPr>
        <w:pStyle w:val="Heading3"/>
      </w:pPr>
      <w:bookmarkStart w:id="5793" w:name="_Toc4489"/>
      <w:r>
        <w:t>4366- دیوان صفائی جندقی‏</w:t>
      </w:r>
      <w:bookmarkEnd w:id="5793"/>
    </w:p>
    <w:p>
      <w:pPr>
        <w:pStyle w:val="BookText"/>
      </w:pPr>
      <w:r>
        <w:rPr>
          <w:rFonts w:ascii="IRNazanin" w:hAnsi="IRNazanin" w:eastAsia="IRNazanin" w:cs="IRNazanin"/>
          <w:lang w:bidi="fa-IR"/>
          <w:color w:val="111111"/>
          <w:sz w:val="28"/>
          <w:szCs w:val="28"/>
          <w:rtl/>
        </w:rPr>
        <w:t xml:space="preserve">و هو أحمد بن یغما الشاعر الجندقی. له دیوان یخص مواد التاریخ التی نظمها.</w:t>
      </w:r>
    </w:p>
    <w:p>
      <w:pPr>
        <w:pStyle w:val="Heading3"/>
      </w:pPr>
      <w:bookmarkStart w:id="5794" w:name="_Toc4490"/>
      <w:r>
        <w:t>4367- دیوان صفائی خراسانی أو شعره‏</w:t>
      </w:r>
      <w:bookmarkEnd w:id="5794"/>
    </w:p>
    <w:p>
      <w:pPr>
        <w:pStyle w:val="BookText"/>
      </w:pPr>
      <w:r>
        <w:rPr>
          <w:rFonts w:ascii="IRNazanin" w:hAnsi="IRNazanin" w:eastAsia="IRNazanin" w:cs="IRNazanin"/>
          <w:lang w:bidi="fa-IR"/>
          <w:color w:val="111111"/>
          <w:sz w:val="28"/>
          <w:szCs w:val="28"/>
          <w:rtl/>
        </w:rPr>
        <w:t xml:space="preserve">کان سکاکا. ترجمه سام میرزا فی (تس 5- ص 158) و أورد مطلع غزله، و عنه أخذ ظاهرا فی (حسینی- ص 187).</w:t>
      </w:r>
    </w:p>
    <w:p>
      <w:pPr>
        <w:pStyle w:val="Heading3"/>
      </w:pPr>
      <w:bookmarkStart w:id="5795" w:name="_Toc4491"/>
      <w:r>
        <w:t>دیوان صفائی خراسانی‏</w:t>
      </w:r>
      <w:bookmarkEnd w:id="5795"/>
    </w:p>
    <w:p>
      <w:pPr>
        <w:pStyle w:val="BookText"/>
      </w:pPr>
      <w:r>
        <w:rPr>
          <w:rFonts w:ascii="IRNazanin" w:hAnsi="IRNazanin" w:eastAsia="IRNazanin" w:cs="IRNazanin"/>
          <w:lang w:bidi="fa-IR"/>
          <w:color w:val="111111"/>
          <w:sz w:val="28"/>
          <w:szCs w:val="28"/>
          <w:rtl/>
        </w:rPr>
        <w:t xml:space="preserve">راجع صفائی أندیجانی.</w:t>
      </w:r>
    </w:p>
    <w:p>
      <w:pPr>
        <w:pStyle w:val="Heading3"/>
      </w:pPr>
      <w:bookmarkStart w:id="5796" w:name="_Toc4492"/>
      <w:r>
        <w:t>دیوان صفائی قلندر</w:t>
      </w:r>
      <w:bookmarkEnd w:id="5796"/>
    </w:p>
    <w:p>
      <w:pPr>
        <w:pStyle w:val="BookText"/>
      </w:pPr>
      <w:r>
        <w:rPr>
          <w:rFonts w:ascii="IRNazanin" w:hAnsi="IRNazanin" w:eastAsia="IRNazanin" w:cs="IRNazanin"/>
          <w:lang w:bidi="fa-IR"/>
          <w:color w:val="111111"/>
          <w:sz w:val="28"/>
          <w:szCs w:val="28"/>
          <w:rtl/>
        </w:rPr>
        <w:t xml:space="preserve">راجع صفائی أسترآبادی.</w:t>
      </w:r>
    </w:p>
    <w:p>
      <w:pPr>
        <w:pStyle w:val="Heading3"/>
      </w:pPr>
      <w:bookmarkStart w:id="5797" w:name="_Toc4493"/>
      <w:r>
        <w:t>4368- دیوان صفائی قمی‏</w:t>
      </w:r>
      <w:bookmarkEnd w:id="5797"/>
    </w:p>
    <w:p>
      <w:pPr>
        <w:pStyle w:val="BookText"/>
      </w:pPr>
      <w:r>
        <w:rPr>
          <w:rFonts w:ascii="IRNazanin" w:hAnsi="IRNazanin" w:eastAsia="IRNazanin" w:cs="IRNazanin"/>
          <w:lang w:bidi="fa-IR"/>
          <w:color w:val="111111"/>
          <w:sz w:val="28"/>
          <w:szCs w:val="28"/>
          <w:rtl/>
        </w:rPr>
        <w:t xml:space="preserve">و اسمه شاطر غلام حسین بن نور محمد الخباز القمی.</w:t>
      </w:r>
    </w:p>
    <w:p>
      <w:pPr>
        <w:pStyle w:val="BookText"/>
      </w:pPr>
      <w:r>
        <w:rPr>
          <w:rFonts w:ascii="IRNazanin" w:hAnsi="IRNazanin" w:eastAsia="IRNazanin" w:cs="IRNazanin"/>
          <w:lang w:bidi="fa-IR"/>
          <w:color w:val="111111"/>
          <w:sz w:val="28"/>
          <w:szCs w:val="28"/>
          <w:rtl/>
        </w:rPr>
        <w:t xml:space="preserve">ولد بقم فی (1273) و جاء مع والده إلی طهران فی (1283) و طبع دیوانه الفارسی فی (1347) بطهران فی (56 ص) و ذکر فی أدبیات معاصر- ص 99.</w:t>
      </w:r>
    </w:p>
    <w:p>
      <w:pPr>
        <w:pStyle w:val="Heading3"/>
      </w:pPr>
      <w:bookmarkStart w:id="5798" w:name="_Toc4494"/>
      <w:r>
        <w:t>4369- دیوان صفائی قمی‏</w:t>
      </w:r>
      <w:bookmarkEnd w:id="5798"/>
    </w:p>
    <w:p>
      <w:pPr>
        <w:pStyle w:val="BookText"/>
      </w:pPr>
      <w:r>
        <w:rPr>
          <w:rFonts w:ascii="IRNazanin" w:hAnsi="IRNazanin" w:eastAsia="IRNazanin" w:cs="IRNazanin"/>
          <w:lang w:bidi="fa-IR"/>
          <w:color w:val="111111"/>
          <w:sz w:val="28"/>
          <w:szCs w:val="28"/>
          <w:rtl/>
        </w:rPr>
        <w:t xml:space="preserve">و هو محمد صفی صفائی بن شرف الدین وفائی. ذهب إلی الهند بعد وفاة والده، و سکن لکهنو و تقرب عند آصف الدولة و تزوج ابنة علی خان له دیوان کبیر. کذا فی (گلشن- ص 253) و فی هدیة العارفین (2: 353) أنه مات فی (1315) بلکهنو.</w:t>
      </w:r>
    </w:p>
    <w:p>
      <w:pPr>
        <w:pStyle w:val="Heading3"/>
      </w:pPr>
      <w:bookmarkStart w:id="5799" w:name="_Toc4495"/>
      <w:r>
        <w:t>4370- دیوان صفائی کرمانی أو شعره‏</w:t>
      </w:r>
      <w:bookmarkEnd w:id="5799"/>
    </w:p>
    <w:p>
      <w:pPr>
        <w:pStyle w:val="BookText"/>
      </w:pPr>
      <w:r>
        <w:rPr>
          <w:rFonts w:ascii="IRNazanin" w:hAnsi="IRNazanin" w:eastAsia="IRNazanin" w:cs="IRNazanin"/>
          <w:lang w:bidi="fa-IR"/>
          <w:color w:val="111111"/>
          <w:sz w:val="28"/>
          <w:szCs w:val="28"/>
          <w:rtl/>
        </w:rPr>
        <w:t xml:space="preserve">ترجمه و أورد شعره فی (مجتس 3- ص 154).</w:t>
      </w:r>
    </w:p>
    <w:p>
      <w:pPr>
        <w:pStyle w:val="Heading3"/>
      </w:pPr>
      <w:bookmarkStart w:id="5800" w:name="_Toc4496"/>
      <w:r>
        <w:t>4371- دیوان صفائی ملایری‏</w:t>
      </w:r>
      <w:bookmarkEnd w:id="5800"/>
    </w:p>
    <w:p>
      <w:pPr>
        <w:pStyle w:val="BookText"/>
      </w:pPr>
      <w:r>
        <w:rPr>
          <w:rFonts w:ascii="IRNazanin" w:hAnsi="IRNazanin" w:eastAsia="IRNazanin" w:cs="IRNazanin"/>
          <w:lang w:bidi="fa-IR"/>
          <w:color w:val="111111"/>
          <w:sz w:val="28"/>
          <w:szCs w:val="28"/>
          <w:rtl/>
        </w:rPr>
        <w:t xml:space="preserve">و اسمه إبراهیم. ولد بها فی (1233) و نشا بهمدان و نشر جریدة عسس بطهران. له حقیقت تصوف و مقایسه خیام و مترلینگ و طبع غزلیاته فی (1319 ش) بطهران فی (48 ص) صغیرة. ترجمه فی سخنوران نامی معاصر- ص 184 ج 2).</w:t>
      </w:r>
    </w:p>
    <w:p>
      <w:pPr>
        <w:pStyle w:val="Heading3"/>
      </w:pPr>
      <w:bookmarkStart w:id="5801" w:name="_Toc4497"/>
      <w:r>
        <w:t>4372- صفائی مروی أو شعره‏</w:t>
      </w:r>
      <w:bookmarkEnd w:id="5801"/>
    </w:p>
    <w:p>
      <w:pPr>
        <w:pStyle w:val="BookText"/>
      </w:pPr>
      <w:r>
        <w:rPr>
          <w:rFonts w:ascii="IRNazanin" w:hAnsi="IRNazanin" w:eastAsia="IRNazanin" w:cs="IRNazanin"/>
          <w:lang w:bidi="fa-IR"/>
          <w:color w:val="111111"/>
          <w:sz w:val="28"/>
          <w:szCs w:val="28"/>
          <w:rtl/>
        </w:rPr>
        <w:t xml:space="preserve">ترجمه فی (قز مج 3- ص 255) و فی (لط- 3 ص 79) سماه صفائی و ذکر أنه ظهر فی هذه الأزمنة و أورد شعره.</w:t>
      </w:r>
    </w:p>
    <w:p>
      <w:pPr>
        <w:pStyle w:val="Heading3"/>
      </w:pPr>
      <w:bookmarkStart w:id="5802" w:name="_Toc4498"/>
      <w:r>
        <w:t>4373- دیوان صفائی نراقی‏</w:t>
      </w:r>
      <w:bookmarkEnd w:id="5802"/>
    </w:p>
    <w:p>
      <w:pPr>
        <w:pStyle w:val="BookText"/>
      </w:pPr>
      <w:r>
        <w:rPr>
          <w:rFonts w:ascii="IRNazanin" w:hAnsi="IRNazanin" w:eastAsia="IRNazanin" w:cs="IRNazanin"/>
          <w:lang w:bidi="fa-IR"/>
          <w:color w:val="111111"/>
          <w:sz w:val="28"/>
          <w:szCs w:val="28"/>
          <w:rtl/>
        </w:rPr>
        <w:t xml:space="preserve">المولی أحمد بن المولی مهدی بن أبی ذر النراقی‏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606" w:name="pg11704_122089"/>
    <w:bookmarkEnd w:id="606"/>
    <w:p>
      <w:pPr>
        <w:pStyle w:val="BookText"/>
      </w:pPr>
      <w:r>
        <w:rPr>
          <w:rFonts w:ascii="IRNazanin" w:hAnsi="IRNazanin" w:eastAsia="IRNazanin" w:cs="IRNazanin"/>
          <w:lang w:bidi="fa-IR"/>
          <w:color w:val="111111"/>
          <w:sz w:val="28"/>
          <w:szCs w:val="28"/>
          <w:rtl/>
        </w:rPr>
        <w:t xml:space="preserve">ترجمه فی (ض- ص 463) و فی (مع- ج 2 ص 33) و ذکر أنه رأی دیوانه و نقل عنه قرب مائة بیت و هو غیر مثنویة الموسوم طائر قدسی و المعروف بطاقدیس، المطبوع و غیر مثنوی چهار صفر المذکور فی ریاض العارفین. و أورد شعره فی (پژمان- ص 302).</w:t>
      </w:r>
    </w:p>
    <w:p>
      <w:pPr>
        <w:pStyle w:val="Heading3"/>
      </w:pPr>
      <w:bookmarkStart w:id="5803" w:name="_Toc4499"/>
      <w:r>
        <w:t>4374- دیوان صفائی یزدی‏</w:t>
      </w:r>
      <w:bookmarkEnd w:id="5803"/>
    </w:p>
    <w:p>
      <w:pPr>
        <w:pStyle w:val="BookText"/>
      </w:pPr>
      <w:r>
        <w:rPr>
          <w:rFonts w:ascii="IRNazanin" w:hAnsi="IRNazanin" w:eastAsia="IRNazanin" w:cs="IRNazanin"/>
          <w:lang w:bidi="fa-IR"/>
          <w:color w:val="111111"/>
          <w:sz w:val="28"/>
          <w:szCs w:val="28"/>
          <w:rtl/>
        </w:rPr>
        <w:t xml:space="preserve">اسمه المیرزا محمد علی. و توفی (1234) ترجمه فی (مع 2- ص 316) و ذکر أنه رأی له ترکیب بند فی بعض السفائن مشتمل علی أربع قطعات.</w:t>
      </w:r>
    </w:p>
    <w:p>
      <w:pPr>
        <w:pStyle w:val="Heading3"/>
      </w:pPr>
      <w:bookmarkStart w:id="5804" w:name="_Toc4500"/>
      <w:r>
        <w:t>4375- دیوان صفاتی أو شعره‏</w:t>
      </w:r>
      <w:bookmarkEnd w:id="5804"/>
    </w:p>
    <w:p>
      <w:pPr>
        <w:pStyle w:val="BookText"/>
      </w:pPr>
      <w:r>
        <w:rPr>
          <w:rFonts w:ascii="IRNazanin" w:hAnsi="IRNazanin" w:eastAsia="IRNazanin" w:cs="IRNazanin"/>
          <w:lang w:bidi="fa-IR"/>
          <w:color w:val="111111"/>
          <w:sz w:val="28"/>
          <w:szCs w:val="28"/>
          <w:rtl/>
        </w:rPr>
        <w:t xml:space="preserve">من شعراء السلطان یعقوب خان بن حسن بیک خان المتوفی (896) ترجمه شاه محمد القزوینی فی (قز مج- ص 303) و قال إن له صفات حمیدة.</w:t>
      </w:r>
    </w:p>
    <w:p>
      <w:pPr>
        <w:pStyle w:val="BookText"/>
      </w:pPr>
      <w:r>
        <w:rPr>
          <w:rFonts w:ascii="IRNazanin" w:hAnsi="IRNazanin" w:eastAsia="IRNazanin" w:cs="IRNazanin"/>
          <w:lang w:bidi="fa-IR"/>
          <w:color w:val="111111"/>
          <w:sz w:val="28"/>
          <w:szCs w:val="28"/>
          <w:rtl/>
        </w:rPr>
        <w:t xml:space="preserve">توجد دیوانه المشتمل علی 360 بیتا فی مکتبة جامعة طهران کما فی فهرسها 2: 248.</w:t>
      </w:r>
    </w:p>
    <w:p>
      <w:pPr>
        <w:pStyle w:val="Heading3"/>
      </w:pPr>
      <w:bookmarkStart w:id="5805" w:name="_Toc4501"/>
      <w:r>
        <w:t>4376- دیوان صفدر بلگرامی‏</w:t>
      </w:r>
      <w:bookmarkEnd w:id="5805"/>
    </w:p>
    <w:p>
      <w:pPr>
        <w:pStyle w:val="BookText"/>
      </w:pPr>
      <w:r>
        <w:rPr>
          <w:rFonts w:ascii="IRNazanin" w:hAnsi="IRNazanin" w:eastAsia="IRNazanin" w:cs="IRNazanin"/>
          <w:lang w:bidi="fa-IR"/>
          <w:color w:val="111111"/>
          <w:sz w:val="28"/>
          <w:szCs w:val="28"/>
          <w:rtl/>
        </w:rPr>
        <w:t xml:space="preserve">و هو المیر صفدر حسین تلمیذ السید محمد ابن المیر عبد الجلیل البلگرامی، فی العلوم، و تلمیذ نظام الدین صانع فی الشعر. قیل مات بفرخ‏آباد. أورد شعره فی (گلشن- ص 253) و طبع دیوان صفدر فی نولکشور.</w:t>
      </w:r>
    </w:p>
    <w:p>
      <w:pPr>
        <w:pStyle w:val="Heading3"/>
      </w:pPr>
      <w:bookmarkStart w:id="5806" w:name="_Toc4502"/>
      <w:r>
        <w:t>4377- دیوان صفوت تبریزی‏</w:t>
      </w:r>
      <w:bookmarkEnd w:id="5806"/>
    </w:p>
    <w:p>
      <w:pPr>
        <w:pStyle w:val="BookText"/>
      </w:pPr>
      <w:r>
        <w:rPr>
          <w:rFonts w:ascii="IRNazanin" w:hAnsi="IRNazanin" w:eastAsia="IRNazanin" w:cs="IRNazanin"/>
          <w:lang w:bidi="fa-IR"/>
          <w:color w:val="111111"/>
          <w:sz w:val="28"/>
          <w:szCs w:val="28"/>
          <w:rtl/>
        </w:rPr>
        <w:t xml:space="preserve">المیرزا محمد علی بن محمد حسن المعاصر التبریزی الملقب بصفوة. ذکر فی آخر کتابه منابع الحکم المطبوع (1341)- و مر له دسته‏گل فی (8: 171).</w:t>
      </w:r>
    </w:p>
    <w:p>
      <w:pPr>
        <w:pStyle w:val="Heading3"/>
      </w:pPr>
      <w:bookmarkStart w:id="5807" w:name="_Toc4503"/>
      <w:r>
        <w:t>4378- دیوان صفوة الدین‏</w:t>
      </w:r>
      <w:bookmarkEnd w:id="5807"/>
    </w:p>
    <w:p>
      <w:pPr>
        <w:pStyle w:val="BookText"/>
      </w:pPr>
      <w:r>
        <w:rPr>
          <w:rFonts w:ascii="IRNazanin" w:hAnsi="IRNazanin" w:eastAsia="IRNazanin" w:cs="IRNazanin"/>
          <w:lang w:bidi="fa-IR"/>
          <w:color w:val="111111"/>
          <w:sz w:val="28"/>
          <w:szCs w:val="28"/>
          <w:rtl/>
        </w:rPr>
        <w:t xml:space="preserve">ملکه کرمان برهة من الزمان. کانت من النسوان الفاضلات الکاملات، و هی من بنات الملوک القراختائیة. قامت بالحکومة بعد أخیها السلطان جلال الدین سیورغتمش بن قطب الدین حجاج القراختائی. ترجمها فی (مع 1 ص 37) و أورد عدة من أشعارها.</w:t>
      </w:r>
    </w:p>
    <w:p>
      <w:pPr>
        <w:pStyle w:val="Heading3"/>
      </w:pPr>
      <w:bookmarkStart w:id="5808" w:name="_Toc4504"/>
      <w:r>
        <w:t>دیوان صفوی‏</w:t>
      </w:r>
      <w:bookmarkEnd w:id="5808"/>
    </w:p>
    <w:p>
      <w:pPr>
        <w:pStyle w:val="BookText"/>
      </w:pPr>
      <w:r>
        <w:rPr>
          <w:rFonts w:ascii="IRNazanin" w:hAnsi="IRNazanin" w:eastAsia="IRNazanin" w:cs="IRNazanin"/>
          <w:lang w:bidi="fa-IR"/>
          <w:color w:val="111111"/>
          <w:sz w:val="28"/>
          <w:szCs w:val="28"/>
          <w:rtl/>
        </w:rPr>
        <w:t xml:space="preserve">راجع بهرام صفوی، و صفی صفوی، و سامی صفوی، و جاهی صفوی أبو الفتح، و إبراهیم صفوی.</w:t>
      </w:r>
    </w:p>
    <w:p>
      <w:pPr>
        <w:pStyle w:val="Heading3"/>
      </w:pPr>
      <w:bookmarkStart w:id="5809" w:name="_Toc4505"/>
      <w:r>
        <w:t>دیوان صفیا</w:t>
      </w:r>
      <w:bookmarkEnd w:id="5809"/>
    </w:p>
    <w:p>
      <w:pPr>
        <w:pStyle w:val="BookText"/>
      </w:pPr>
      <w:r>
        <w:rPr>
          <w:rFonts w:ascii="IRNazanin" w:hAnsi="IRNazanin" w:eastAsia="IRNazanin" w:cs="IRNazanin"/>
          <w:lang w:bidi="fa-IR"/>
          <w:color w:val="111111"/>
          <w:sz w:val="28"/>
          <w:szCs w:val="28"/>
          <w:rtl/>
        </w:rPr>
        <w:t xml:space="preserve">راجع صفی أصفهانی.</w:t>
      </w:r>
    </w:p>
    <w:p>
      <w:pPr>
        <w:pStyle w:val="Heading3"/>
      </w:pPr>
      <w:bookmarkStart w:id="5810" w:name="_Toc4506"/>
      <w:r>
        <w:t>دیوان صفی أسترآبادی‏</w:t>
      </w:r>
      <w:bookmarkEnd w:id="5810"/>
    </w:p>
    <w:p>
      <w:pPr>
        <w:pStyle w:val="BookText"/>
      </w:pPr>
      <w:r>
        <w:rPr>
          <w:rFonts w:ascii="IRNazanin" w:hAnsi="IRNazanin" w:eastAsia="IRNazanin" w:cs="IRNazanin"/>
          <w:lang w:bidi="fa-IR"/>
          <w:color w:val="111111"/>
          <w:sz w:val="28"/>
          <w:szCs w:val="28"/>
          <w:rtl/>
        </w:rPr>
        <w:t xml:space="preserve">راجع صفی چرکس.</w:t>
      </w:r>
    </w:p>
    <w:p>
      <w:pPr>
        <w:pStyle w:val="Heading3"/>
      </w:pPr>
      <w:bookmarkStart w:id="5811" w:name="_Toc4507"/>
      <w:r>
        <w:t>4379- دیوان صفی أصفهانی‏</w:t>
      </w:r>
      <w:bookmarkEnd w:id="5811"/>
    </w:p>
    <w:p>
      <w:pPr>
        <w:pStyle w:val="BookText"/>
      </w:pPr>
      <w:r>
        <w:rPr>
          <w:rFonts w:ascii="IRNazanin" w:hAnsi="IRNazanin" w:eastAsia="IRNazanin" w:cs="IRNazanin"/>
          <w:lang w:bidi="fa-IR"/>
          <w:color w:val="111111"/>
          <w:sz w:val="28"/>
          <w:szCs w:val="28"/>
          <w:rtl/>
        </w:rPr>
        <w:t xml:space="preserve">و اسمه صفی الدین. ترجمه فی (میخانه- ص 548)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607" w:name="pg11704_122090"/>
    <w:bookmarkEnd w:id="607"/>
    <w:p>
      <w:pPr>
        <w:pStyle w:val="BookText"/>
      </w:pPr>
      <w:r>
        <w:rPr>
          <w:rFonts w:ascii="IRNazanin" w:hAnsi="IRNazanin" w:eastAsia="IRNazanin" w:cs="IRNazanin"/>
          <w:lang w:bidi="fa-IR"/>
          <w:color w:val="111111"/>
          <w:sz w:val="28"/>
          <w:szCs w:val="28"/>
          <w:rtl/>
        </w:rPr>
        <w:t xml:space="preserve">و نقل فی الحاشیة عن مخزن الغرائب أنه جاء إلی الهند فی عهد أکبر شاه و ترقی فی عهد جهانگیر، و قال فی میخانه إنه ذهب مع المیرزا جعفر آصف خان إلی کشمیر و رجع و لما وصل آکرة تقرب عند مهابت خان و نصبه فی صوبة کابل و لاقیته (القائل: عبد النبی فخر الزمانی) فی (1026) و کان عمره حدود الستین. و دیوانه فی ألفی بیت، و له مثنوی علی زنة خسرو و شیرین و آخر ساقی‏نامه غیر تام. و ترجمه فی هفت إقلیم بعنوان صفیا. و هو من أقرباء أنسی ساوجی المذکور فی (ص 107) و أورد شعره فی (گلشن ص 254) مرتین أحدهما بعنوان صفیا الماهر فی الرمل المذکور فی (نر 9- ص 305) و الثانی صفی المعاصر لصحیفی شیرازی.</w:t>
      </w:r>
    </w:p>
    <w:p>
      <w:pPr>
        <w:pStyle w:val="Heading3"/>
      </w:pPr>
      <w:bookmarkStart w:id="5812" w:name="_Toc4508"/>
      <w:r>
        <w:t>دیوان صفی أصفهانی‏</w:t>
      </w:r>
      <w:bookmarkEnd w:id="5812"/>
    </w:p>
    <w:p>
      <w:pPr>
        <w:pStyle w:val="BookText"/>
      </w:pPr>
      <w:r>
        <w:rPr>
          <w:rFonts w:ascii="IRNazanin" w:hAnsi="IRNazanin" w:eastAsia="IRNazanin" w:cs="IRNazanin"/>
          <w:lang w:bidi="fa-IR"/>
          <w:color w:val="111111"/>
          <w:sz w:val="28"/>
          <w:szCs w:val="28"/>
          <w:rtl/>
        </w:rPr>
        <w:t xml:space="preserve">راجع دیوان صفی علی شاه.</w:t>
      </w:r>
    </w:p>
    <w:p>
      <w:pPr>
        <w:pStyle w:val="Heading3"/>
      </w:pPr>
      <w:bookmarkStart w:id="5813" w:name="_Toc4509"/>
      <w:r>
        <w:t>4380- دیوان صفی أصفهانی‏</w:t>
      </w:r>
      <w:bookmarkEnd w:id="5813"/>
    </w:p>
    <w:p>
      <w:pPr>
        <w:pStyle w:val="BookText"/>
      </w:pPr>
      <w:r>
        <w:rPr>
          <w:rFonts w:ascii="IRNazanin" w:hAnsi="IRNazanin" w:eastAsia="IRNazanin" w:cs="IRNazanin"/>
          <w:lang w:bidi="fa-IR"/>
          <w:color w:val="111111"/>
          <w:sz w:val="28"/>
          <w:szCs w:val="28"/>
          <w:rtl/>
        </w:rPr>
        <w:t xml:space="preserve">و هو صفی قلی بیک بن ملک سلطان جارچی‏باشی ملازم الشاه عباس. أعماه الشاه لقتل ارتکبه. و کان ماهرا فی الموسیقی. و له مثنوی أورد بعضها فی (نر 2- ص 41).</w:t>
      </w:r>
    </w:p>
    <w:p>
      <w:pPr>
        <w:pStyle w:val="Heading3"/>
      </w:pPr>
      <w:bookmarkStart w:id="5814" w:name="_Toc4510"/>
      <w:r>
        <w:t>4381- دیوان صفی چرکس‏</w:t>
      </w:r>
      <w:bookmarkEnd w:id="5814"/>
    </w:p>
    <w:p>
      <w:pPr>
        <w:pStyle w:val="BookText"/>
      </w:pPr>
      <w:r>
        <w:rPr>
          <w:rFonts w:ascii="IRNazanin" w:hAnsi="IRNazanin" w:eastAsia="IRNazanin" w:cs="IRNazanin"/>
          <w:lang w:bidi="fa-IR"/>
          <w:color w:val="111111"/>
          <w:sz w:val="28"/>
          <w:szCs w:val="28"/>
          <w:rtl/>
        </w:rPr>
        <w:t xml:space="preserve">و اسمه صفی قلی بیک ابن قرأ خان من أعاظم چرکس کان والده بیگلر بیگی شیروان ثم نصب حاکما لأسترآباد، و أما ابنه هذا فکان عسکریا ثم اعتزل و لبس الصوف. أورد شعره و ترجمه کذلک فی (نر 2- ص 36) و عنه فی (خوش‏گو) توجد نسخه من دیوانه فی (المجلس) کما فی فهرسها (3: 663) و أخری عند الملک (برقم- 4586).</w:t>
      </w:r>
    </w:p>
    <w:p>
      <w:pPr>
        <w:pStyle w:val="Heading3"/>
      </w:pPr>
      <w:bookmarkStart w:id="5815" w:name="_Toc4511"/>
      <w:r>
        <w:t>دیوان صفی خراسانی‏</w:t>
      </w:r>
      <w:bookmarkEnd w:id="5815"/>
    </w:p>
    <w:p>
      <w:pPr>
        <w:pStyle w:val="BookText"/>
      </w:pPr>
      <w:r>
        <w:rPr>
          <w:rFonts w:ascii="IRNazanin" w:hAnsi="IRNazanin" w:eastAsia="IRNazanin" w:cs="IRNazanin"/>
          <w:lang w:bidi="fa-IR"/>
          <w:color w:val="111111"/>
          <w:sz w:val="28"/>
          <w:szCs w:val="28"/>
          <w:rtl/>
        </w:rPr>
        <w:t xml:space="preserve">راجع صفی سبزواری.</w:t>
      </w:r>
    </w:p>
    <w:p>
      <w:pPr>
        <w:pStyle w:val="Heading3"/>
      </w:pPr>
      <w:bookmarkStart w:id="5816" w:name="_Toc4512"/>
      <w:r>
        <w:t>4382- دیوان صفی الدین الأردبیلی أو شعره‏</w:t>
      </w:r>
      <w:bookmarkEnd w:id="5816"/>
    </w:p>
    <w:p>
      <w:pPr>
        <w:pStyle w:val="BookText"/>
      </w:pPr>
      <w:r>
        <w:rPr>
          <w:rFonts w:ascii="IRNazanin" w:hAnsi="IRNazanin" w:eastAsia="IRNazanin" w:cs="IRNazanin"/>
          <w:lang w:bidi="fa-IR"/>
          <w:color w:val="111111"/>
          <w:sz w:val="28"/>
          <w:szCs w:val="28"/>
          <w:rtl/>
        </w:rPr>
        <w:t xml:space="preserve">هو صفی الدین إسحاق الموسوی (735) ترجمه فی (مع 1 ص 313) و أورد شعره و مر ولده صدر الدین موسی جد السلاطین الصفویة و ترجمه مفصلا مع ذکر بعض نسبه فی (دجا- ص 231) و أورد بعض رباعیاته و ذکر أنه فی (700) صار خلیفة الشیخ زاهد الگیلانی. و ترجمه أیضا فی (قز مج 1- ص 183) و (تغ 81).</w:t>
      </w:r>
    </w:p>
    <w:p>
      <w:pPr>
        <w:pStyle w:val="Heading3"/>
      </w:pPr>
      <w:bookmarkStart w:id="5817" w:name="_Toc4513"/>
      <w:r>
        <w:t>4383- دیوان الخواجة صفی الدین البستی‏</w:t>
      </w:r>
      <w:bookmarkEnd w:id="5817"/>
    </w:p>
    <w:p>
      <w:pPr>
        <w:pStyle w:val="BookText"/>
      </w:pPr>
      <w:r>
        <w:rPr>
          <w:rFonts w:ascii="IRNazanin" w:hAnsi="IRNazanin" w:eastAsia="IRNazanin" w:cs="IRNazanin"/>
          <w:lang w:bidi="fa-IR"/>
          <w:color w:val="111111"/>
          <w:sz w:val="28"/>
          <w:szCs w:val="28"/>
          <w:rtl/>
        </w:rPr>
        <w:t xml:space="preserve">ترجمه فی (ج 1 ص 313) و أورد بعض قصائده و قرب خمسین بیتا آخر من أشعاره.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608" w:name="pg11704_122091"/>
    <w:bookmarkEnd w:id="608"/>
    <w:p>
      <w:pPr>
        <w:pStyle w:val="Heading3"/>
      </w:pPr>
      <w:bookmarkStart w:id="5818" w:name="_Toc4514"/>
      <w:r>
        <w:t>4384- دیوان صفی الدین الحائری‏</w:t>
      </w:r>
      <w:bookmarkEnd w:id="5818"/>
    </w:p>
    <w:p>
      <w:pPr>
        <w:pStyle w:val="BookText"/>
      </w:pPr>
      <w:r>
        <w:rPr>
          <w:rFonts w:ascii="IRNazanin" w:hAnsi="IRNazanin" w:eastAsia="IRNazanin" w:cs="IRNazanin"/>
          <w:lang w:bidi="fa-IR"/>
          <w:color w:val="111111"/>
          <w:sz w:val="28"/>
          <w:szCs w:val="28"/>
          <w:rtl/>
        </w:rPr>
        <w:t xml:space="preserve">و هو السید نصر الله بن الحسین بن علی الملقب بالمدرس الحائری. بعثه نادر شاه سفیرا إلی الروم فاستشهد هناک فی (1158) مر له آداب تلاوة القرآن و تخمیس قصیدة فرزدق فی (4: 11) و دیوانه موجود.</w:t>
      </w:r>
    </w:p>
    <w:p>
      <w:pPr>
        <w:pStyle w:val="Heading3"/>
      </w:pPr>
      <w:bookmarkStart w:id="5819" w:name="_Toc4515"/>
      <w:r>
        <w:t>4385- دیوان الشیخ صفی الدین الحلی‏</w:t>
      </w:r>
      <w:bookmarkEnd w:id="5819"/>
    </w:p>
    <w:p>
      <w:pPr>
        <w:pStyle w:val="BookText"/>
      </w:pPr>
      <w:r>
        <w:rPr>
          <w:rFonts w:ascii="IRNazanin" w:hAnsi="IRNazanin" w:eastAsia="IRNazanin" w:cs="IRNazanin"/>
          <w:lang w:bidi="fa-IR"/>
          <w:color w:val="111111"/>
          <w:sz w:val="28"/>
          <w:szCs w:val="28"/>
          <w:rtl/>
        </w:rPr>
        <w:t xml:space="preserve">هو الشیخ أبو المحاسن صفی الدین عبد العزیز بن محاسن بن سرایا الحلی الطائی السنبسی ناظم البدیعة المذکورة فی (ج 3 ص 76) و درر البحور المذکور فی (ج 8 ص 120) ولد فی یوم الجمعة (5- ع 2- 677) و توفی سنة خمسین و سبعمائة أو اثنتین و خمسین أو تسع و خمسین مرتب علی اثنی عشر بابا فی ثلاثین فصلا. أوله [الحمد لله الذی علم الإنسان البیان و من به علیه ...] و طبع مکررا منها فی بیروت فی (1892 م- 1307 ه) و فی دمشق (1300 ه) معه البدیعیة و المجون و الأرتقیات. و هذا دیوانه الکبیر. ترجمه فی (لس- ص 384) و ریحانة الأدب.</w:t>
      </w:r>
    </w:p>
    <w:p>
      <w:pPr>
        <w:pStyle w:val="Heading3"/>
      </w:pPr>
      <w:bookmarkStart w:id="5820" w:name="_Toc4516"/>
      <w:r>
        <w:t>4386- دیوان الشیخ صفی الدین الحلی‏</w:t>
      </w:r>
      <w:bookmarkEnd w:id="5820"/>
    </w:p>
    <w:p>
      <w:pPr>
        <w:pStyle w:val="BookText"/>
      </w:pPr>
      <w:r>
        <w:rPr>
          <w:rFonts w:ascii="IRNazanin" w:hAnsi="IRNazanin" w:eastAsia="IRNazanin" w:cs="IRNazanin"/>
          <w:lang w:bidi="fa-IR"/>
          <w:color w:val="111111"/>
          <w:sz w:val="28"/>
          <w:szCs w:val="28"/>
          <w:rtl/>
        </w:rPr>
        <w:t xml:space="preserve">و هو دیوانه الصغیر و هو غیر الأرتقیات ذکره جماعة بعد ذکر الأرتقیات و ذکر دیوانه الکبیر و هذا الدیوان الصغیر فی کشف الحجب و فهرس مکتبة الأزهر بمصر و غیرهما</w:t>
      </w:r>
    </w:p>
    <w:p>
      <w:pPr>
        <w:pStyle w:val="Heading3"/>
      </w:pPr>
      <w:bookmarkStart w:id="5821" w:name="_Toc4517"/>
      <w:r>
        <w:t>4387- دیوان صفی الدین یزدی أو شعره‏</w:t>
      </w:r>
      <w:bookmarkEnd w:id="5821"/>
    </w:p>
    <w:p>
      <w:pPr>
        <w:pStyle w:val="BookText"/>
      </w:pPr>
      <w:r>
        <w:rPr>
          <w:rFonts w:ascii="IRNazanin" w:hAnsi="IRNazanin" w:eastAsia="IRNazanin" w:cs="IRNazanin"/>
          <w:lang w:bidi="fa-IR"/>
          <w:color w:val="111111"/>
          <w:sz w:val="28"/>
          <w:szCs w:val="28"/>
          <w:rtl/>
        </w:rPr>
        <w:t xml:space="preserve">معاصر طغان شاه ابن المؤید السلجوقی ترجمه فی (مع 1 ص- 313) و أورد بعض شعره و ترجمه آیتی فی (تش یز- ص 302) و أورد بعض شعره غیر ما فی مجمع الفصحاء و ترجمه أیضا فی (تغ- ص 80) و (روشن- ص 390)</w:t>
      </w:r>
    </w:p>
    <w:p>
      <w:pPr>
        <w:pStyle w:val="Heading3"/>
      </w:pPr>
      <w:bookmarkStart w:id="5822" w:name="_Toc4518"/>
      <w:r>
        <w:t>4388- دیوان صفیر تبریزی أو شعره‏</w:t>
      </w:r>
      <w:bookmarkEnd w:id="5822"/>
    </w:p>
    <w:p>
      <w:pPr>
        <w:pStyle w:val="BookText"/>
      </w:pPr>
      <w:r>
        <w:rPr>
          <w:rFonts w:ascii="IRNazanin" w:hAnsi="IRNazanin" w:eastAsia="IRNazanin" w:cs="IRNazanin"/>
          <w:lang w:bidi="fa-IR"/>
          <w:color w:val="111111"/>
          <w:sz w:val="28"/>
          <w:szCs w:val="28"/>
          <w:rtl/>
        </w:rPr>
        <w:t xml:space="preserve">و اسمه الملا شمس الدین الملقب شمسا عده المیرزا صائب فی بیاضه من شعراء تبریز و النصرآبادی فی (نر 9- ص 365) و (تش- ص 233) و (روشن 392) من شعراء قم و قال کان ماهرا فی الصفیر (نوع من الموسیقی) و کالبهزاد فی التصویر و فی شمع انجمن صحف اسمه به شمشاد و ترجمه فی (دجا- ص 201) نقلا عن عرفات العاشقین‏</w:t>
      </w:r>
    </w:p>
    <w:p>
      <w:pPr>
        <w:pStyle w:val="Heading3"/>
      </w:pPr>
      <w:bookmarkStart w:id="5823" w:name="_Toc4519"/>
      <w:r>
        <w:t>4389- دیوان صفی رشتی أو شعره‏</w:t>
      </w:r>
      <w:bookmarkEnd w:id="5823"/>
    </w:p>
    <w:p>
      <w:pPr>
        <w:pStyle w:val="BookText"/>
      </w:pPr>
      <w:r>
        <w:rPr>
          <w:rFonts w:ascii="IRNazanin" w:hAnsi="IRNazanin" w:eastAsia="IRNazanin" w:cs="IRNazanin"/>
          <w:lang w:bidi="fa-IR"/>
          <w:color w:val="111111"/>
          <w:sz w:val="28"/>
          <w:szCs w:val="28"/>
          <w:rtl/>
        </w:rPr>
        <w:t xml:space="preserve">و هو المیر صفی بن المیر منصور شیخ الإسلام برشت أورد شعره فی (نر 6- ص 199)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609" w:name="pg11704_122092"/>
    <w:bookmarkEnd w:id="609"/>
    <w:p>
      <w:pPr>
        <w:pStyle w:val="Heading3"/>
      </w:pPr>
      <w:bookmarkStart w:id="5824" w:name="_Toc4520"/>
      <w:r>
        <w:t>دیوان صفیر قمی‏</w:t>
      </w:r>
      <w:bookmarkEnd w:id="5824"/>
    </w:p>
    <w:p>
      <w:pPr>
        <w:pStyle w:val="BookText"/>
      </w:pPr>
      <w:r>
        <w:rPr>
          <w:rFonts w:ascii="IRNazanin" w:hAnsi="IRNazanin" w:eastAsia="IRNazanin" w:cs="IRNazanin"/>
          <w:lang w:bidi="fa-IR"/>
          <w:color w:val="111111"/>
          <w:sz w:val="28"/>
          <w:szCs w:val="28"/>
          <w:rtl/>
        </w:rPr>
        <w:t xml:space="preserve">راجع صفیر تبریزی‏</w:t>
      </w:r>
    </w:p>
    <w:p>
      <w:pPr>
        <w:pStyle w:val="Heading3"/>
      </w:pPr>
      <w:bookmarkStart w:id="5825" w:name="_Toc4521"/>
      <w:r>
        <w:t>4390- دیوان صفیر لاهیجی أو شعره‏</w:t>
      </w:r>
      <w:bookmarkEnd w:id="5825"/>
    </w:p>
    <w:p>
      <w:pPr>
        <w:pStyle w:val="BookText"/>
      </w:pPr>
      <w:r>
        <w:rPr>
          <w:rFonts w:ascii="IRNazanin" w:hAnsi="IRNazanin" w:eastAsia="IRNazanin" w:cs="IRNazanin"/>
          <w:lang w:bidi="fa-IR"/>
          <w:color w:val="111111"/>
          <w:sz w:val="28"/>
          <w:szCs w:val="28"/>
          <w:rtl/>
        </w:rPr>
        <w:t xml:space="preserve">قال فی (روشن 392) کان رمالا یطلب العلم و فی شعره إلحاد و أورد بعضها</w:t>
      </w:r>
    </w:p>
    <w:p>
      <w:pPr>
        <w:pStyle w:val="Heading3"/>
      </w:pPr>
      <w:bookmarkStart w:id="5826" w:name="_Toc4522"/>
      <w:r>
        <w:t>4391- دیوان صفی سبزواری‏</w:t>
      </w:r>
      <w:bookmarkEnd w:id="5826"/>
    </w:p>
    <w:p>
      <w:pPr>
        <w:pStyle w:val="BookText"/>
      </w:pPr>
      <w:r>
        <w:rPr>
          <w:rFonts w:ascii="IRNazanin" w:hAnsi="IRNazanin" w:eastAsia="IRNazanin" w:cs="IRNazanin"/>
          <w:lang w:bidi="fa-IR"/>
          <w:color w:val="111111"/>
          <w:sz w:val="28"/>
          <w:szCs w:val="28"/>
          <w:rtl/>
        </w:rPr>
        <w:t xml:space="preserve">هو صفی الدین علی بن المولی حسین بن علی الواعظ الکاشفی البیهقی مؤلف حرز الأمان المذکور فی (ج 2 ص 392) ترجمه فی (مجن 4- ص 275 و 97) بعنوان مولانا حسین الواعظ و ذکر أنه سافر من هرات إلی سمرقند و أخذ الإجازة عن الخواجة عبید الله و رجع ثم أورد شعره و ترجمه فی (حسینی- 185) و (روشن 390) بعنوان صفی خراسانی و هو أخو فخر الدین‏</w:t>
      </w:r>
    </w:p>
    <w:p>
      <w:pPr>
        <w:pStyle w:val="Heading3"/>
      </w:pPr>
      <w:bookmarkStart w:id="5827" w:name="_Toc4523"/>
      <w:r>
        <w:t>4392- دیوان صفی صفوی أو شعره‏</w:t>
      </w:r>
      <w:bookmarkEnd w:id="5827"/>
    </w:p>
    <w:p>
      <w:pPr>
        <w:pStyle w:val="BookText"/>
      </w:pPr>
      <w:r>
        <w:rPr>
          <w:rFonts w:ascii="IRNazanin" w:hAnsi="IRNazanin" w:eastAsia="IRNazanin" w:cs="IRNazanin"/>
          <w:lang w:bidi="fa-IR"/>
          <w:color w:val="111111"/>
          <w:sz w:val="28"/>
          <w:szCs w:val="28"/>
          <w:rtl/>
        </w:rPr>
        <w:t xml:space="preserve">و اسمه سام میرزا و یعرف بشاه صفی بن صفی میرزا ابن الشاه عباس الأول ملک (1038- 1052) ترجمه و أورد شعره فی (دجا- ص 237) و هو غیر سام میرزا المذکور فی (ص 423) و قد جاء شعره فی گلستان مسرت (ص 136 و 265) و فی (روشن- ص 391) أرخ جلوسه (ظل حق- 1038)</w:t>
      </w:r>
    </w:p>
    <w:p>
      <w:pPr>
        <w:pStyle w:val="Heading3"/>
      </w:pPr>
      <w:bookmarkStart w:id="5828" w:name="_Toc4524"/>
      <w:r>
        <w:t>4393- دیوان صفی طبسی أو شعره‏</w:t>
      </w:r>
      <w:bookmarkEnd w:id="5828"/>
    </w:p>
    <w:p>
      <w:pPr>
        <w:pStyle w:val="BookText"/>
      </w:pPr>
      <w:r>
        <w:rPr>
          <w:rFonts w:ascii="IRNazanin" w:hAnsi="IRNazanin" w:eastAsia="IRNazanin" w:cs="IRNazanin"/>
          <w:lang w:bidi="fa-IR"/>
          <w:color w:val="111111"/>
          <w:sz w:val="28"/>
          <w:szCs w:val="28"/>
          <w:rtl/>
        </w:rPr>
        <w:t xml:space="preserve">قال فی (روشن- ص 390) إنه من القدماء و اسمه صفی الدین‏</w:t>
      </w:r>
    </w:p>
    <w:p>
      <w:pPr>
        <w:pStyle w:val="Heading3"/>
      </w:pPr>
      <w:bookmarkStart w:id="5829" w:name="_Toc4525"/>
      <w:r>
        <w:t>4394- دیوان صفی شیرازی أو شعره‏</w:t>
      </w:r>
      <w:bookmarkEnd w:id="5829"/>
    </w:p>
    <w:p>
      <w:pPr>
        <w:pStyle w:val="BookText"/>
      </w:pPr>
      <w:r>
        <w:rPr>
          <w:rFonts w:ascii="IRNazanin" w:hAnsi="IRNazanin" w:eastAsia="IRNazanin" w:cs="IRNazanin"/>
          <w:lang w:bidi="fa-IR"/>
          <w:color w:val="111111"/>
          <w:sz w:val="28"/>
          <w:szCs w:val="28"/>
          <w:rtl/>
        </w:rPr>
        <w:t xml:space="preserve">کان ماهرا فی العلوم الریاضیة، سافر إلی دکن و مات هناک فی (974) أورد شعره فی (گلشن: 254)</w:t>
      </w:r>
    </w:p>
    <w:p>
      <w:pPr>
        <w:pStyle w:val="Heading3"/>
      </w:pPr>
      <w:bookmarkStart w:id="5830" w:name="_Toc4526"/>
      <w:r>
        <w:t>4395- دیوان صفی علی شاه‏</w:t>
      </w:r>
      <w:bookmarkEnd w:id="5830"/>
    </w:p>
    <w:p>
      <w:pPr>
        <w:pStyle w:val="BookText"/>
      </w:pPr>
      <w:r>
        <w:rPr>
          <w:rFonts w:ascii="IRNazanin" w:hAnsi="IRNazanin" w:eastAsia="IRNazanin" w:cs="IRNazanin"/>
          <w:lang w:bidi="fa-IR"/>
          <w:color w:val="111111"/>
          <w:sz w:val="28"/>
          <w:szCs w:val="28"/>
          <w:rtl/>
        </w:rPr>
        <w:t xml:space="preserve">الحاج میرزا حسن بن محمد باقر الأصفهانی نزیل طهران العارف الشاه نعمةاللهی المتخلص صفی المولود 1251 و المتوفی 24 ذی القعدة (1316) طبع أولا (1297) و هی سنة تألیفه و أخری فی رجب 1347 فی ص 27 و یسمی عرفان الحق أو دیوان الحقائق أو بحر الحقائق و أخری مع رسائله و طبع فی طهران فی (1376) فی (386 ص) مع مقدمه فی أحواله للدکتور تقی تفضلی و طبع أیضا فی (1377) فی (192 ص) باهتمام کمالی و له کرسی‏نامه طبع فی (46 ص) ترجمه فی (المآثر ص 217) و ریحانة الأدب عن مقدمه تفسیره‏</w:t>
      </w:r>
    </w:p>
    <w:p>
      <w:pPr>
        <w:pStyle w:val="Heading3"/>
      </w:pPr>
      <w:bookmarkStart w:id="5831" w:name="_Toc4527"/>
      <w:r>
        <w:t>دیوان صفی قلی بیک‏</w:t>
      </w:r>
      <w:bookmarkEnd w:id="5831"/>
    </w:p>
    <w:p>
      <w:pPr>
        <w:pStyle w:val="BookText"/>
      </w:pPr>
      <w:r>
        <w:rPr>
          <w:rFonts w:ascii="IRNazanin" w:hAnsi="IRNazanin" w:eastAsia="IRNazanin" w:cs="IRNazanin"/>
          <w:lang w:bidi="fa-IR"/>
          <w:color w:val="111111"/>
          <w:sz w:val="28"/>
          <w:szCs w:val="28"/>
          <w:rtl/>
        </w:rPr>
        <w:t xml:space="preserve">راجع دیوان صفی چرکس و دیوان صفی یزدی‏</w:t>
      </w:r>
    </w:p>
    <w:p>
      <w:pPr>
        <w:pStyle w:val="Heading3"/>
      </w:pPr>
      <w:bookmarkStart w:id="5832" w:name="_Toc4528"/>
      <w:r>
        <w:t>4396- دیوان صفی قلی خان‏</w:t>
      </w:r>
      <w:bookmarkEnd w:id="5832"/>
    </w:p>
    <w:p>
      <w:pPr>
        <w:pStyle w:val="BookText"/>
      </w:pPr>
      <w:r>
        <w:rPr>
          <w:rFonts w:ascii="IRNazanin" w:hAnsi="IRNazanin" w:eastAsia="IRNazanin" w:cs="IRNazanin"/>
          <w:lang w:bidi="fa-IR"/>
          <w:color w:val="111111"/>
          <w:sz w:val="28"/>
          <w:szCs w:val="28"/>
          <w:rtl/>
        </w:rPr>
        <w:t xml:space="preserve">حاکم قندهار ابن ذو الفقار خان وصفه بالشجاعة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610" w:name="pg11704_122093"/>
    <w:bookmarkEnd w:id="610"/>
    <w:p>
      <w:pPr>
        <w:pStyle w:val="BookText"/>
      </w:pPr>
      <w:r>
        <w:rPr>
          <w:rFonts w:ascii="IRNazanin" w:hAnsi="IRNazanin" w:eastAsia="IRNazanin" w:cs="IRNazanin"/>
          <w:lang w:bidi="fa-IR"/>
          <w:color w:val="111111"/>
          <w:sz w:val="28"/>
          <w:szCs w:val="28"/>
          <w:rtl/>
        </w:rPr>
        <w:t xml:space="preserve">فی (نر 2- ص 29) و کذا فی (روشن- ص 391) و (تغ- ص 8)</w:t>
      </w:r>
    </w:p>
    <w:p>
      <w:pPr>
        <w:pStyle w:val="Heading3"/>
      </w:pPr>
      <w:bookmarkStart w:id="5833" w:name="_Toc4529"/>
      <w:r>
        <w:t>4397- دیوان صفی مخملباف أو شعره‏</w:t>
      </w:r>
      <w:bookmarkEnd w:id="5833"/>
    </w:p>
    <w:p>
      <w:pPr>
        <w:pStyle w:val="BookText"/>
      </w:pPr>
      <w:r>
        <w:rPr>
          <w:rFonts w:ascii="IRNazanin" w:hAnsi="IRNazanin" w:eastAsia="IRNazanin" w:cs="IRNazanin"/>
          <w:lang w:bidi="fa-IR"/>
          <w:color w:val="111111"/>
          <w:sz w:val="28"/>
          <w:szCs w:val="28"/>
          <w:rtl/>
        </w:rPr>
        <w:t xml:space="preserve">و اسمه محمد صفی بن محمد ظهیر مخملباف، شاعر ذو قریحة أورد شعره و أطرأه فی (نر 9- ص 299)</w:t>
      </w:r>
    </w:p>
    <w:p>
      <w:pPr>
        <w:pStyle w:val="Heading3"/>
      </w:pPr>
      <w:bookmarkStart w:id="5834" w:name="_Toc4530"/>
      <w:r>
        <w:t>4398- دیوان صفی نوربخشی أو شعره‏</w:t>
      </w:r>
      <w:bookmarkEnd w:id="5834"/>
    </w:p>
    <w:p>
      <w:pPr>
        <w:pStyle w:val="BookText"/>
      </w:pPr>
      <w:r>
        <w:rPr>
          <w:rFonts w:ascii="IRNazanin" w:hAnsi="IRNazanin" w:eastAsia="IRNazanin" w:cs="IRNazanin"/>
          <w:lang w:bidi="fa-IR"/>
          <w:color w:val="111111"/>
          <w:sz w:val="28"/>
          <w:szCs w:val="28"/>
          <w:rtl/>
        </w:rPr>
        <w:t xml:space="preserve">و هو ابن شاه قوام الدین نوربخش ترجمه و أورد شعره فی (تس 2- ص 24) و أما آیتی فقد عده من شعراء یزد و خلطه مع صابر یزدی فی (تش یز- ص 302) و قال إن أشعاره نسبت إلی صفی الدین الأردبیلی جد الصفویة و قال فی (حسینی- ص 185) إن والده هو السید محمد نوربخش المعروف و کذا فی (تغ 80)</w:t>
      </w:r>
    </w:p>
    <w:p>
      <w:pPr>
        <w:pStyle w:val="Heading3"/>
      </w:pPr>
      <w:bookmarkStart w:id="5835" w:name="_Toc4531"/>
      <w:r>
        <w:t>4399- دیوان صفی نیشابوری أو شعره‏</w:t>
      </w:r>
      <w:bookmarkEnd w:id="5835"/>
    </w:p>
    <w:p>
      <w:pPr>
        <w:pStyle w:val="BookText"/>
      </w:pPr>
      <w:r>
        <w:rPr>
          <w:rFonts w:ascii="IRNazanin" w:hAnsi="IRNazanin" w:eastAsia="IRNazanin" w:cs="IRNazanin"/>
          <w:lang w:bidi="fa-IR"/>
          <w:color w:val="111111"/>
          <w:sz w:val="28"/>
          <w:szCs w:val="28"/>
          <w:rtl/>
        </w:rPr>
        <w:t xml:space="preserve">و اسمه صفی الدین أورد شعره فی (تش- ص 138) و أظنه اشتبه بصنعی نیشابوری‏</w:t>
      </w:r>
    </w:p>
    <w:p>
      <w:pPr>
        <w:pStyle w:val="Heading3"/>
      </w:pPr>
      <w:bookmarkStart w:id="5836" w:name="_Toc4532"/>
      <w:r>
        <w:t>4400- دیوان صفی یزدی أو شعره‏</w:t>
      </w:r>
      <w:bookmarkEnd w:id="5836"/>
    </w:p>
    <w:p>
      <w:pPr>
        <w:pStyle w:val="BookText"/>
      </w:pPr>
      <w:r>
        <w:rPr>
          <w:rFonts w:ascii="IRNazanin" w:hAnsi="IRNazanin" w:eastAsia="IRNazanin" w:cs="IRNazanin"/>
          <w:lang w:bidi="fa-IR"/>
          <w:color w:val="111111"/>
          <w:sz w:val="28"/>
          <w:szCs w:val="28"/>
          <w:rtl/>
        </w:rPr>
        <w:t xml:space="preserve">من أولاد آخوند معز أو ملا مؤمن حسین أورد شعره فی (نر 9- ص 298)</w:t>
      </w:r>
    </w:p>
    <w:p>
      <w:pPr>
        <w:pStyle w:val="Heading3"/>
      </w:pPr>
      <w:bookmarkStart w:id="5837" w:name="_Toc4533"/>
      <w:r>
        <w:t>4401- دیوان صفی یزدی أو شعره‏</w:t>
      </w:r>
      <w:bookmarkEnd w:id="5837"/>
    </w:p>
    <w:p>
      <w:pPr>
        <w:pStyle w:val="BookText"/>
      </w:pPr>
      <w:r>
        <w:rPr>
          <w:rFonts w:ascii="IRNazanin" w:hAnsi="IRNazanin" w:eastAsia="IRNazanin" w:cs="IRNazanin"/>
          <w:lang w:bidi="fa-IR"/>
          <w:color w:val="111111"/>
          <w:sz w:val="28"/>
          <w:szCs w:val="28"/>
          <w:rtl/>
        </w:rPr>
        <w:t xml:space="preserve">و اسمه صفی قلی بیک ابن محمد علی بعث الشاه صفی والده إلی الهند حاجبا و بعد رجوعه نصبه وزیرا لأصفهان و بنی عدة رباطات و أما صفی قلی فقد نصبه العباس الثانی وزیرا لیزد و مات أخیرا کذا فی (نر 4- ص 72) المؤلف (1081) و عنه فی (تش یز- ص 302) و (روشن 391) قال و ترجمه مع والده فی تاریخ مفیدی لیزد</w:t>
      </w:r>
    </w:p>
    <w:p>
      <w:pPr>
        <w:pStyle w:val="Heading3"/>
      </w:pPr>
      <w:bookmarkStart w:id="5838" w:name="_Toc4534"/>
      <w:r>
        <w:t>دیوان صفی یزدی‏</w:t>
      </w:r>
      <w:bookmarkEnd w:id="5838"/>
    </w:p>
    <w:p>
      <w:pPr>
        <w:pStyle w:val="BookText"/>
      </w:pPr>
      <w:r>
        <w:rPr>
          <w:rFonts w:ascii="IRNazanin" w:hAnsi="IRNazanin" w:eastAsia="IRNazanin" w:cs="IRNazanin"/>
          <w:lang w:bidi="fa-IR"/>
          <w:color w:val="111111"/>
          <w:sz w:val="28"/>
          <w:szCs w:val="28"/>
          <w:rtl/>
        </w:rPr>
        <w:t xml:space="preserve">راجع دیوان صفی الدین یزدی و دیوان صفی نوربخشی‏</w:t>
      </w:r>
    </w:p>
    <w:p>
      <w:pPr>
        <w:pStyle w:val="Heading3"/>
      </w:pPr>
      <w:bookmarkStart w:id="5839" w:name="_Toc4535"/>
      <w:r>
        <w:t>4402- دیوان صلاح هندی‏</w:t>
      </w:r>
      <w:bookmarkEnd w:id="5839"/>
    </w:p>
    <w:p>
      <w:pPr>
        <w:pStyle w:val="BookText"/>
      </w:pPr>
      <w:r>
        <w:rPr>
          <w:rFonts w:ascii="IRNazanin" w:hAnsi="IRNazanin" w:eastAsia="IRNazanin" w:cs="IRNazanin"/>
          <w:lang w:bidi="fa-IR"/>
          <w:color w:val="111111"/>
          <w:sz w:val="28"/>
          <w:szCs w:val="28"/>
          <w:rtl/>
        </w:rPr>
        <w:t xml:space="preserve">و اسمه محمد هادی بن المیرزا علی مر له خلاصة المصائب فی (7: 233)</w:t>
      </w:r>
    </w:p>
    <w:p>
      <w:pPr>
        <w:pStyle w:val="Heading3"/>
      </w:pPr>
      <w:bookmarkStart w:id="5840" w:name="_Toc4536"/>
      <w:r>
        <w:t>4403- دیوان صلای أصفهانی أو شعره‏</w:t>
      </w:r>
      <w:bookmarkEnd w:id="5840"/>
    </w:p>
    <w:p>
      <w:pPr>
        <w:pStyle w:val="BookText"/>
      </w:pPr>
      <w:r>
        <w:rPr>
          <w:rFonts w:ascii="IRNazanin" w:hAnsi="IRNazanin" w:eastAsia="IRNazanin" w:cs="IRNazanin"/>
          <w:lang w:bidi="fa-IR"/>
          <w:color w:val="111111"/>
          <w:sz w:val="28"/>
          <w:szCs w:val="28"/>
          <w:rtl/>
        </w:rPr>
        <w:t xml:space="preserve">و هو المیر جلال الدین الحسینی معاصر الشاه عباس الأول الصفوی ترجمه فی (تغ 81)</w:t>
      </w:r>
    </w:p>
    <w:p>
      <w:pPr>
        <w:pStyle w:val="Heading3"/>
      </w:pPr>
      <w:bookmarkStart w:id="5841" w:name="_Toc4537"/>
      <w:r>
        <w:t>4404- دیوان صلای أسفراینی أو شعره‏</w:t>
      </w:r>
      <w:bookmarkEnd w:id="5841"/>
    </w:p>
    <w:p>
      <w:pPr>
        <w:pStyle w:val="BookText"/>
      </w:pPr>
      <w:r>
        <w:rPr>
          <w:rFonts w:ascii="IRNazanin" w:hAnsi="IRNazanin" w:eastAsia="IRNazanin" w:cs="IRNazanin"/>
          <w:lang w:bidi="fa-IR"/>
          <w:color w:val="111111"/>
          <w:sz w:val="28"/>
          <w:szCs w:val="28"/>
          <w:rtl/>
        </w:rPr>
        <w:t xml:space="preserve">اسمه حسن بیک الخراسانی أو الکاشانی ورد الهند فی عهد أکبر شاه أورد بعض أشعاره فی (روشن- 393)</w:t>
      </w:r>
    </w:p>
    <w:p>
      <w:pPr>
        <w:pStyle w:val="Heading3"/>
      </w:pPr>
      <w:bookmarkStart w:id="5842" w:name="_Toc4538"/>
      <w:r>
        <w:t>4405- دیوان صلحی أصفهانی أو شعره‏</w:t>
      </w:r>
      <w:bookmarkEnd w:id="5842"/>
    </w:p>
    <w:p>
      <w:pPr>
        <w:pStyle w:val="BookText"/>
      </w:pPr>
      <w:r>
        <w:rPr>
          <w:rFonts w:ascii="IRNazanin" w:hAnsi="IRNazanin" w:eastAsia="IRNazanin" w:cs="IRNazanin"/>
          <w:lang w:bidi="fa-IR"/>
          <w:color w:val="111111"/>
          <w:sz w:val="28"/>
          <w:szCs w:val="28"/>
          <w:rtl/>
        </w:rPr>
        <w:t xml:space="preserve">أورد شعره فی هجاء الأمیر أحمد جگر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611" w:name="pg11704_122094"/>
    <w:bookmarkEnd w:id="611"/>
    <w:p>
      <w:pPr>
        <w:pStyle w:val="BookText"/>
      </w:pPr>
      <w:r>
        <w:rPr>
          <w:rFonts w:ascii="IRNazanin" w:hAnsi="IRNazanin" w:eastAsia="IRNazanin" w:cs="IRNazanin"/>
          <w:lang w:bidi="fa-IR"/>
          <w:color w:val="111111"/>
          <w:sz w:val="28"/>
          <w:szCs w:val="28"/>
          <w:rtl/>
        </w:rPr>
        <w:t xml:space="preserve">بخون فی (روشن- 393) ثم أورد شعر صلحی یزدی المسمی محمد صالح، و صلحی مازندرانی، و صلحی خراسانی و لعلهم متحدون‏</w:t>
      </w:r>
    </w:p>
    <w:p>
      <w:pPr>
        <w:pStyle w:val="Heading3"/>
      </w:pPr>
      <w:bookmarkStart w:id="5843" w:name="_Toc4539"/>
      <w:r>
        <w:t>4406- دیوان صلواتی أصفهانی‏</w:t>
      </w:r>
      <w:bookmarkEnd w:id="5843"/>
    </w:p>
    <w:p>
      <w:pPr>
        <w:pStyle w:val="BookText"/>
      </w:pPr>
      <w:r>
        <w:rPr>
          <w:rFonts w:ascii="IRNazanin" w:hAnsi="IRNazanin" w:eastAsia="IRNazanin" w:cs="IRNazanin"/>
          <w:lang w:bidi="fa-IR"/>
          <w:color w:val="111111"/>
          <w:sz w:val="28"/>
          <w:szCs w:val="28"/>
          <w:rtl/>
        </w:rPr>
        <w:t xml:space="preserve">و اسمه الشیخ محمد لطیف و یعرف بالشیخ حیدر علی السدهی من وعاظ أصفهان ولد (1321) له نجم السهیل در نظم دعاء کمیل و دیوان فی المراثی أورد شعره فی شعرای أصفهان (ص 314)</w:t>
      </w:r>
    </w:p>
    <w:p>
      <w:pPr>
        <w:pStyle w:val="Heading3"/>
      </w:pPr>
      <w:bookmarkStart w:id="5844" w:name="_Toc4540"/>
      <w:r>
        <w:t>4407- دیوان صمد همدانی أو شعره‏</w:t>
      </w:r>
      <w:bookmarkEnd w:id="5844"/>
    </w:p>
    <w:p>
      <w:pPr>
        <w:pStyle w:val="BookText"/>
      </w:pPr>
      <w:r>
        <w:rPr>
          <w:rFonts w:ascii="IRNazanin" w:hAnsi="IRNazanin" w:eastAsia="IRNazanin" w:cs="IRNazanin"/>
          <w:lang w:bidi="fa-IR"/>
          <w:color w:val="111111"/>
          <w:sz w:val="28"/>
          <w:szCs w:val="28"/>
          <w:rtl/>
        </w:rPr>
        <w:t xml:space="preserve">هو المولی عبد الصمد الحائری الحکیم الفقیه اللغوی المتکلم العارف الشهید بید الوهابیة فی الحائر یوم الغدیر (1216) ترجمه فی (ض- ص 465) و ترجمه فی (الروضات ص 353) و له بحر المعارف المذکور فی (ج 3- ص 47)</w:t>
      </w:r>
    </w:p>
    <w:p>
      <w:pPr>
        <w:pStyle w:val="Heading3"/>
      </w:pPr>
      <w:bookmarkStart w:id="5845" w:name="_Toc4541"/>
      <w:r>
        <w:t>4408- دیوان صمد شیرازی أو شعره‏</w:t>
      </w:r>
      <w:bookmarkEnd w:id="5845"/>
    </w:p>
    <w:p>
      <w:pPr>
        <w:pStyle w:val="BookText"/>
      </w:pPr>
      <w:r>
        <w:rPr>
          <w:rFonts w:ascii="IRNazanin" w:hAnsi="IRNazanin" w:eastAsia="IRNazanin" w:cs="IRNazanin"/>
          <w:lang w:bidi="fa-IR"/>
          <w:color w:val="111111"/>
          <w:sz w:val="28"/>
          <w:szCs w:val="28"/>
          <w:rtl/>
        </w:rPr>
        <w:t xml:space="preserve">من أولاد الشیخ سعدی الشیرازی معاصر الشاه طهماسب اتهم بعدم التحفظ، فقطع بنفسه آله تناسله أورد شعره فی (نر 8- ص 211) و (گلشن: 254)</w:t>
      </w:r>
    </w:p>
    <w:p>
      <w:pPr>
        <w:pStyle w:val="Heading3"/>
      </w:pPr>
      <w:bookmarkStart w:id="5846" w:name="_Toc4542"/>
      <w:r>
        <w:t>دیوان صمصام یزدی أو شعره‏</w:t>
      </w:r>
      <w:bookmarkEnd w:id="5846"/>
    </w:p>
    <w:p>
      <w:pPr>
        <w:pStyle w:val="BookText"/>
      </w:pPr>
      <w:r>
        <w:rPr>
          <w:rFonts w:ascii="IRNazanin" w:hAnsi="IRNazanin" w:eastAsia="IRNazanin" w:cs="IRNazanin"/>
          <w:lang w:bidi="fa-IR"/>
          <w:color w:val="111111"/>
          <w:sz w:val="28"/>
          <w:szCs w:val="28"/>
          <w:rtl/>
        </w:rPr>
        <w:t xml:space="preserve">اسمه محمد علی بن الملا محمد المعروف بمجتهد الیزدی ترجمه آیتی فی (تش یز- ص 303) و أورد رباعیته‏</w:t>
      </w:r>
    </w:p>
    <w:p>
      <w:pPr>
        <w:pStyle w:val="Heading3"/>
      </w:pPr>
      <w:bookmarkStart w:id="5847" w:name="_Toc4543"/>
      <w:r>
        <w:t>4409- دیوان صمیمی بروجردی‏</w:t>
      </w:r>
      <w:bookmarkEnd w:id="5847"/>
    </w:p>
    <w:p>
      <w:pPr>
        <w:pStyle w:val="BookText"/>
      </w:pPr>
      <w:r>
        <w:rPr>
          <w:rFonts w:ascii="IRNazanin" w:hAnsi="IRNazanin" w:eastAsia="IRNazanin" w:cs="IRNazanin"/>
          <w:lang w:bidi="fa-IR"/>
          <w:color w:val="111111"/>
          <w:sz w:val="28"/>
          <w:szCs w:val="28"/>
          <w:rtl/>
        </w:rPr>
        <w:t xml:space="preserve">و هو الشیخ أسد الله ولد بلمس من قرأ ألیگودرز ببروجرد و تعلم بقم و بروجرد، و انتخب معلما لثانویه بروجرد و توفی شابا فی (1361) ببروجرد و دیوانه یشتمل علی ثلاثین ألف بیت عند أمه” الشیخ أسد الله” أخبرنا به السید جعفر الشهیدی البروجردی‏</w:t>
      </w:r>
    </w:p>
    <w:p>
      <w:pPr>
        <w:pStyle w:val="Heading3"/>
      </w:pPr>
      <w:bookmarkStart w:id="5848" w:name="_Toc4544"/>
      <w:r>
        <w:t>4410- دیوان صندلی‏</w:t>
      </w:r>
      <w:bookmarkEnd w:id="5848"/>
    </w:p>
    <w:p>
      <w:pPr>
        <w:pStyle w:val="BookText"/>
      </w:pPr>
      <w:r>
        <w:rPr>
          <w:rFonts w:ascii="IRNazanin" w:hAnsi="IRNazanin" w:eastAsia="IRNazanin" w:cs="IRNazanin"/>
          <w:lang w:bidi="fa-IR"/>
          <w:color w:val="111111"/>
          <w:sz w:val="28"/>
          <w:szCs w:val="28"/>
          <w:rtl/>
        </w:rPr>
        <w:t xml:space="preserve">و هو افتخار الحکماء مجد الدین أبو الشجری الصندلی کما وصفه فی (اللباب- 11) و نقل عن دیوانه و أطرأه، و عنه أخذ فی (مع- 1: 314)</w:t>
      </w:r>
    </w:p>
    <w:p>
      <w:pPr>
        <w:pStyle w:val="Heading3"/>
      </w:pPr>
      <w:bookmarkStart w:id="5849" w:name="_Toc4545"/>
      <w:r>
        <w:t>4411- دیوان صنعت شیرازی‏</w:t>
      </w:r>
      <w:bookmarkEnd w:id="5849"/>
    </w:p>
    <w:p>
      <w:pPr>
        <w:pStyle w:val="BookText"/>
      </w:pPr>
      <w:r>
        <w:rPr>
          <w:rFonts w:ascii="IRNazanin" w:hAnsi="IRNazanin" w:eastAsia="IRNazanin" w:cs="IRNazanin"/>
          <w:lang w:bidi="fa-IR"/>
          <w:color w:val="111111"/>
          <w:sz w:val="28"/>
          <w:szCs w:val="28"/>
          <w:rtl/>
        </w:rPr>
        <w:t xml:space="preserve">و اسمه المیرزا آقا ساعتچی توفی بشیراز و دفن بدار السلام بشیراز فی (1290) أورد شعره فی (آثار عجم- ص 561) و عنه فی ریحانة الأدب‏</w:t>
      </w:r>
    </w:p>
    <w:p>
      <w:pPr>
        <w:pStyle w:val="Heading3"/>
      </w:pPr>
      <w:bookmarkStart w:id="5850" w:name="_Toc4546"/>
      <w:r>
        <w:t>4412- دیوان صنعت فداغی‏</w:t>
      </w:r>
      <w:bookmarkEnd w:id="5850"/>
    </w:p>
    <w:p>
      <w:pPr>
        <w:pStyle w:val="BookText"/>
      </w:pPr>
      <w:r>
        <w:rPr>
          <w:rFonts w:ascii="IRNazanin" w:hAnsi="IRNazanin" w:eastAsia="IRNazanin" w:cs="IRNazanin"/>
          <w:lang w:bidi="fa-IR"/>
          <w:color w:val="111111"/>
          <w:sz w:val="28"/>
          <w:szCs w:val="28"/>
          <w:rtl/>
        </w:rPr>
        <w:t xml:space="preserve">هی بنت کدخدا بقریة فداغ من قرأ لار شاعرة اشتهر شعرها فی حیاتها کما فی لارستان کهن- ص 141 و 202 عن فارس‏نامه ناصری‏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612" w:name="pg11704_122095"/>
    <w:bookmarkEnd w:id="612"/>
    <w:p>
      <w:pPr>
        <w:pStyle w:val="Heading3"/>
      </w:pPr>
      <w:bookmarkStart w:id="5851" w:name="_Toc4547"/>
      <w:r>
        <w:t>4413- دیوان صنعی أو شعره‏</w:t>
      </w:r>
      <w:bookmarkEnd w:id="5851"/>
    </w:p>
    <w:p>
      <w:pPr>
        <w:pStyle w:val="BookText"/>
      </w:pPr>
      <w:r>
        <w:rPr>
          <w:rFonts w:ascii="IRNazanin" w:hAnsi="IRNazanin" w:eastAsia="IRNazanin" w:cs="IRNazanin"/>
          <w:lang w:bidi="fa-IR"/>
          <w:color w:val="111111"/>
          <w:sz w:val="28"/>
          <w:szCs w:val="28"/>
          <w:rtl/>
        </w:rPr>
        <w:t xml:space="preserve">کان یشتغل بنحت القوالب کما ذکره فی (خص- ص 293) و أورد شعره و فی مطلع الشمس: 2: 437 صنعی مشهدی و فی (روشن 395) خلطه ب صنعی نیشابور</w:t>
      </w:r>
    </w:p>
    <w:p>
      <w:pPr>
        <w:pStyle w:val="Heading3"/>
      </w:pPr>
      <w:bookmarkStart w:id="5852" w:name="_Toc4548"/>
      <w:r>
        <w:t>4414- دیوان صنع الله کاشانی أو شعره‏</w:t>
      </w:r>
      <w:bookmarkEnd w:id="5852"/>
    </w:p>
    <w:p>
      <w:pPr>
        <w:pStyle w:val="BookText"/>
      </w:pPr>
      <w:r>
        <w:rPr>
          <w:rFonts w:ascii="IRNazanin" w:hAnsi="IRNazanin" w:eastAsia="IRNazanin" w:cs="IRNazanin"/>
          <w:lang w:bidi="fa-IR"/>
          <w:color w:val="111111"/>
          <w:sz w:val="28"/>
          <w:szCs w:val="28"/>
          <w:rtl/>
        </w:rPr>
        <w:t xml:space="preserve">نزیل تبریز کان طبیبا ترجمه معاصره سام میرزا فی (تس 2- ص 54) و ذکر مطلع قصیدته فی فتح شروان فی (944) و من حسن صنعه فیها أن کل مصراع منها مطابق للتاریخ المذکور. و هو متأخر عن العارف المولی صنع الله الکوزه‏کنانی المرشد لخلق کثیر و المتوفی (931) و مادة تاریخه (پیر طریقت) کما فی (دجا- ص 237) و حبیب السیر 3: 114 و لعله الذی أورد النصرآبادی معماه فی (نر 15- ص 525) بعنوان صنع الله بافقی.</w:t>
      </w:r>
    </w:p>
    <w:p>
      <w:pPr>
        <w:pStyle w:val="Heading3"/>
      </w:pPr>
      <w:bookmarkStart w:id="5853" w:name="_Toc4549"/>
      <w:r>
        <w:t>4415- دیوان صنعی دزفولی‏</w:t>
      </w:r>
      <w:bookmarkEnd w:id="5853"/>
    </w:p>
    <w:p>
      <w:pPr>
        <w:pStyle w:val="BookText"/>
      </w:pPr>
      <w:r>
        <w:rPr>
          <w:rFonts w:ascii="IRNazanin" w:hAnsi="IRNazanin" w:eastAsia="IRNazanin" w:cs="IRNazanin"/>
          <w:lang w:bidi="fa-IR"/>
          <w:color w:val="111111"/>
          <w:sz w:val="28"/>
          <w:szCs w:val="28"/>
          <w:rtl/>
        </w:rPr>
        <w:t xml:space="preserve">و هو المیرزا حسن خان ابن محمد رشید خان تفنگدارباشی. ولد (1229 ش) و مات بطهران (1286 ش- 1324) طبع دیوانه فی طهران (1328 ش) باهتمام ابنه بدر الدین رشیدپور.</w:t>
      </w:r>
    </w:p>
    <w:p>
      <w:pPr>
        <w:pStyle w:val="Heading3"/>
      </w:pPr>
      <w:bookmarkStart w:id="5854" w:name="_Toc4550"/>
      <w:r>
        <w:t>4416- دیوان صنعی کشمیری أو شعره‏</w:t>
      </w:r>
      <w:bookmarkEnd w:id="5854"/>
    </w:p>
    <w:p>
      <w:pPr>
        <w:pStyle w:val="BookText"/>
      </w:pPr>
      <w:r>
        <w:rPr>
          <w:rFonts w:ascii="IRNazanin" w:hAnsi="IRNazanin" w:eastAsia="IRNazanin" w:cs="IRNazanin"/>
          <w:lang w:bidi="fa-IR"/>
          <w:color w:val="111111"/>
          <w:sz w:val="28"/>
          <w:szCs w:val="28"/>
          <w:rtl/>
        </w:rPr>
        <w:t xml:space="preserve">ذکر شعره فی (روشن 395).</w:t>
      </w:r>
    </w:p>
    <w:p>
      <w:pPr>
        <w:pStyle w:val="Heading3"/>
      </w:pPr>
      <w:bookmarkStart w:id="5855" w:name="_Toc4551"/>
      <w:r>
        <w:t>4417- دیوان صنعی کلیب ولی‏</w:t>
      </w:r>
      <w:bookmarkEnd w:id="5855"/>
    </w:p>
    <w:p>
      <w:pPr>
        <w:pStyle w:val="BookText"/>
      </w:pPr>
      <w:r>
        <w:rPr>
          <w:rFonts w:ascii="IRNazanin" w:hAnsi="IRNazanin" w:eastAsia="IRNazanin" w:cs="IRNazanin"/>
          <w:lang w:bidi="fa-IR"/>
          <w:color w:val="111111"/>
          <w:sz w:val="28"/>
          <w:szCs w:val="28"/>
          <w:rtl/>
        </w:rPr>
        <w:t xml:space="preserve">و اسمه محمد. و توفی 941 قال إسماعیل پاشا فی هدیة العارفین 2: 235 إن له مائة سعادت فی قصة الإمام حسین بن علی ع قال فی کشف الظنون إن دیوانه ترکی.</w:t>
      </w:r>
    </w:p>
    <w:p>
      <w:pPr>
        <w:pStyle w:val="Heading3"/>
      </w:pPr>
      <w:bookmarkStart w:id="5856" w:name="_Toc4552"/>
      <w:r>
        <w:t>دیوان صنعی مشهدی‏</w:t>
      </w:r>
      <w:bookmarkEnd w:id="5856"/>
    </w:p>
    <w:p>
      <w:pPr>
        <w:pStyle w:val="BookText"/>
      </w:pPr>
      <w:r>
        <w:rPr>
          <w:rFonts w:ascii="IRNazanin" w:hAnsi="IRNazanin" w:eastAsia="IRNazanin" w:cs="IRNazanin"/>
          <w:lang w:bidi="fa-IR"/>
          <w:color w:val="111111"/>
          <w:sz w:val="28"/>
          <w:szCs w:val="28"/>
          <w:rtl/>
        </w:rPr>
        <w:t xml:space="preserve">راجع صنعتی مشهدی و صنعتی نیشابوری.</w:t>
      </w:r>
    </w:p>
    <w:p>
      <w:pPr>
        <w:pStyle w:val="Heading3"/>
      </w:pPr>
      <w:bookmarkStart w:id="5857" w:name="_Toc4553"/>
      <w:r>
        <w:t>4418- دیوان صنعی نیشابوری‏</w:t>
      </w:r>
      <w:bookmarkEnd w:id="5857"/>
    </w:p>
    <w:p>
      <w:pPr>
        <w:pStyle w:val="BookText"/>
      </w:pPr>
      <w:r>
        <w:rPr>
          <w:rFonts w:ascii="IRNazanin" w:hAnsi="IRNazanin" w:eastAsia="IRNazanin" w:cs="IRNazanin"/>
          <w:lang w:bidi="fa-IR"/>
          <w:color w:val="111111"/>
          <w:sz w:val="28"/>
          <w:szCs w:val="28"/>
          <w:rtl/>
        </w:rPr>
        <w:t xml:space="preserve">من سادات نیشابور. ترجمه تلمیذه فی الصنائع الشعریة و القاری علیه أکثر رسائل الفن، صادقی الکتاب دار فی (خص 6- ص 74) و قال ما رأیته فی أکثر من ثلاث سنین یستریح علی فراش النوم مع بلوغه حدود التسعین و قد تعشق فی تبریز بولد عطار یمشی إلیه فی کل یوم میلا من غیر تعب. و توفی بتبریز و دفن بفناء مسجد جهان‏شاه. قال و لا یمکن الانتخاب من دیوانه لکون أکثر أشعاره من المطبوعات المنتخبات. ثم أورد عدة أبیات منه. و مات (976) کما فی (خص 86) و قال جرمی فی تاریخ وفاته:</w:t>
      </w:r>
    </w:p>
    <w:p>
      <w:pPr>
        <w:pStyle w:val="BookText"/>
      </w:pPr>
      <w:r>
        <w:rPr>
          <w:rFonts w:ascii="IRNazanin" w:hAnsi="IRNazanin" w:eastAsia="IRNazanin" w:cs="IRNazanin"/>
          <w:lang w:bidi="fa-IR"/>
          <w:color w:val="111111"/>
          <w:sz w:val="28"/>
          <w:szCs w:val="28"/>
          <w:rtl/>
        </w:rPr>
        <w:t xml:space="preserve">سال تاریخ وفاتش از دو طور</w:t>
      </w:r>
    </w:p>
    <w:p>
      <w:pPr>
        <w:pStyle w:val="BookText"/>
      </w:pPr>
      <w:r>
        <w:rPr>
          <w:rFonts w:ascii="IRNazanin" w:hAnsi="IRNazanin" w:eastAsia="IRNazanin" w:cs="IRNazanin"/>
          <w:lang w:bidi="fa-IR"/>
          <w:color w:val="111111"/>
          <w:sz w:val="28"/>
          <w:szCs w:val="28"/>
          <w:rtl/>
        </w:rPr>
        <w:t xml:space="preserve">یافتم از شوق شعر و سوز عشق‏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613" w:name="pg11704_122096"/>
    <w:bookmarkEnd w:id="613"/>
    <w:p>
      <w:pPr>
        <w:pStyle w:val="Heading3"/>
      </w:pPr>
      <w:bookmarkStart w:id="5858" w:name="_Toc4554"/>
      <w:r>
        <w:t>4419- دیوان الصنوبری‏</w:t>
      </w:r>
      <w:bookmarkEnd w:id="5858"/>
    </w:p>
    <w:p>
      <w:pPr>
        <w:pStyle w:val="BookText"/>
      </w:pPr>
      <w:r>
        <w:rPr>
          <w:rFonts w:ascii="IRNazanin" w:hAnsi="IRNazanin" w:eastAsia="IRNazanin" w:cs="IRNazanin"/>
          <w:lang w:bidi="fa-IR"/>
          <w:color w:val="111111"/>
          <w:sz w:val="28"/>
          <w:szCs w:val="28"/>
          <w:rtl/>
        </w:rPr>
        <w:t xml:space="preserve">هو أبو بکر أحمد بن محمد بن الحسن بن مراد الضبی الأنطاکی الحلبی الشاعر الشهیر بالصنوبری المتوفی (334) عده ابن شهرآشوب من شعراء أهل البیت، و قال ابن الندیم إن الصولی جمع دیوانه فی مائتی ورقة. و ترجمه فی نسمة السحر و أورد بعض شعره فی أهل البیت ع منه:</w:t>
      </w:r>
    </w:p>
    <w:p>
      <w:pPr>
        <w:pStyle w:val="BookText"/>
      </w:pPr>
      <w:r>
        <w:rPr>
          <w:rFonts w:ascii="IRNazanin" w:hAnsi="IRNazanin" w:eastAsia="IRNazanin" w:cs="IRNazanin"/>
          <w:lang w:bidi="fa-IR"/>
          <w:color w:val="111111"/>
          <w:sz w:val="28"/>
          <w:szCs w:val="28"/>
          <w:rtl/>
        </w:rPr>
        <w:t xml:space="preserve">حب النبی محمد و وصیه‏</w:t>
      </w:r>
    </w:p>
    <w:p>
      <w:pPr>
        <w:pStyle w:val="BookText"/>
      </w:pPr>
      <w:r>
        <w:rPr>
          <w:rFonts w:ascii="IRNazanin" w:hAnsi="IRNazanin" w:eastAsia="IRNazanin" w:cs="IRNazanin"/>
          <w:lang w:bidi="fa-IR"/>
          <w:color w:val="111111"/>
          <w:sz w:val="28"/>
          <w:szCs w:val="28"/>
          <w:rtl/>
        </w:rPr>
        <w:t xml:space="preserve">مع حب فاطمة و حب بنیها</w:t>
      </w:r>
    </w:p>
    <w:p>
      <w:pPr>
        <w:pStyle w:val="BookText"/>
      </w:pPr>
      <w:r>
        <w:rPr>
          <w:rFonts w:ascii="IRNazanin" w:hAnsi="IRNazanin" w:eastAsia="IRNazanin" w:cs="IRNazanin"/>
          <w:lang w:bidi="fa-IR"/>
          <w:color w:val="111111"/>
          <w:sz w:val="28"/>
          <w:szCs w:val="28"/>
          <w:rtl/>
        </w:rPr>
        <w:t xml:space="preserve">أهل الکساء الخمسة الغرر التی‏</w:t>
      </w:r>
    </w:p>
    <w:p>
      <w:pPr>
        <w:pStyle w:val="BookText"/>
      </w:pPr>
      <w:r>
        <w:rPr>
          <w:rFonts w:ascii="IRNazanin" w:hAnsi="IRNazanin" w:eastAsia="IRNazanin" w:cs="IRNazanin"/>
          <w:lang w:bidi="fa-IR"/>
          <w:color w:val="111111"/>
          <w:sz w:val="28"/>
          <w:szCs w:val="28"/>
          <w:rtl/>
        </w:rPr>
        <w:t xml:space="preserve">یبنی العلاء بعلاهم بأبیها</w:t>
      </w:r>
    </w:p>
    <w:p>
      <w:pPr>
        <w:pStyle w:val="BookText"/>
      </w:pPr>
      <w:r>
        <w:rPr>
          <w:rFonts w:ascii="IRNazanin" w:hAnsi="IRNazanin" w:eastAsia="IRNazanin" w:cs="IRNazanin"/>
          <w:lang w:bidi="fa-IR"/>
          <w:color w:val="111111"/>
          <w:sz w:val="28"/>
          <w:szCs w:val="28"/>
          <w:rtl/>
        </w:rPr>
        <w:t xml:space="preserve">إلی قوله:</w:t>
      </w:r>
    </w:p>
    <w:p>
      <w:pPr>
        <w:pStyle w:val="BookText"/>
      </w:pPr>
      <w:r>
        <w:rPr>
          <w:rFonts w:ascii="IRNazanin" w:hAnsi="IRNazanin" w:eastAsia="IRNazanin" w:cs="IRNazanin"/>
          <w:lang w:bidi="fa-IR"/>
          <w:color w:val="111111"/>
          <w:sz w:val="28"/>
          <w:szCs w:val="28"/>
          <w:rtl/>
        </w:rPr>
        <w:t xml:space="preserve">أرجو شفاعتهم فتلک شفاعة</w:t>
      </w:r>
    </w:p>
    <w:p>
      <w:pPr>
        <w:pStyle w:val="BookText"/>
      </w:pPr>
      <w:r>
        <w:rPr>
          <w:rFonts w:ascii="IRNazanin" w:hAnsi="IRNazanin" w:eastAsia="IRNazanin" w:cs="IRNazanin"/>
          <w:lang w:bidi="fa-IR"/>
          <w:color w:val="111111"/>
          <w:sz w:val="28"/>
          <w:szCs w:val="28"/>
          <w:rtl/>
        </w:rPr>
        <w:t xml:space="preserve">یلتذ برد رجائها راجیها</w:t>
      </w:r>
    </w:p>
    <w:p>
      <w:pPr>
        <w:pStyle w:val="BookText"/>
      </w:pPr>
      <w:r>
        <w:rPr>
          <w:rFonts w:ascii="IRNazanin" w:hAnsi="IRNazanin" w:eastAsia="IRNazanin" w:cs="IRNazanin"/>
          <w:lang w:bidi="fa-IR"/>
          <w:color w:val="111111"/>
          <w:sz w:val="28"/>
          <w:szCs w:val="28"/>
          <w:rtl/>
        </w:rPr>
        <w:t xml:space="preserve">و ترجمه المعاصر فی أعیان الشیعة- ج 9 ص 356- ص 381 و أورد قرب أربعمائة بیت من شعره. ثم إن الشیخ محمد بن الشیخ طاهر السماوی جمع شعره مستقلا فی مجلد و ضم إلی ما فی نسمة السحر و أعیان الشیعة ما وجدها متفرقا من شعر الصنوبری، و فرغ منه فی (1363) ثم الحق به ما وجده من شعره بعد التاریخ و یقرب الملحق من مائة و خمسین بیتا و أدرکه الأجل فی (1370) و هذه النسخة بخطه اشتراها الشیخ محمد علی یعقوب الخطیب المعاصر.</w:t>
      </w:r>
    </w:p>
    <w:p>
      <w:pPr>
        <w:pStyle w:val="Heading3"/>
      </w:pPr>
      <w:bookmarkStart w:id="5859" w:name="_Toc4555"/>
      <w:r>
        <w:t>4420- دیوان صوتی یزدی‏</w:t>
      </w:r>
      <w:bookmarkEnd w:id="5859"/>
    </w:p>
    <w:p>
      <w:pPr>
        <w:pStyle w:val="BookText"/>
      </w:pPr>
      <w:r>
        <w:rPr>
          <w:rFonts w:ascii="IRNazanin" w:hAnsi="IRNazanin" w:eastAsia="IRNazanin" w:cs="IRNazanin"/>
          <w:lang w:bidi="fa-IR"/>
          <w:color w:val="111111"/>
          <w:sz w:val="28"/>
          <w:szCs w:val="28"/>
          <w:rtl/>
        </w:rPr>
        <w:t xml:space="preserve">اسمه المیر سید علی من سادات یزد. ترجمه آیتی فی (تش یز- ص 303) و أطری مهارته فی الموسیقی و منادمته للملوک و إنه نادم الشاه سلیمان فی الأواخر إلی أن توفی (1080) و ذکر أنه بلغت رباعیاته إلی ثلاثمائة رباعیة، و عنه فی الریحانة ظاهرا. و لعله المذکور فی (نر 9- ص 426) بعنوان میر صوفی.</w:t>
      </w:r>
    </w:p>
    <w:p>
      <w:pPr>
        <w:pStyle w:val="BookText"/>
      </w:pPr>
      <w:r>
        <w:rPr>
          <w:rFonts w:ascii="IRNazanin" w:hAnsi="IRNazanin" w:eastAsia="IRNazanin" w:cs="IRNazanin"/>
          <w:lang w:bidi="fa-IR"/>
          <w:color w:val="111111"/>
          <w:sz w:val="28"/>
          <w:szCs w:val="28"/>
          <w:rtl/>
        </w:rPr>
        <w:t xml:space="preserve">راجع صورتی أصفهانی.</w:t>
      </w:r>
    </w:p>
    <w:p>
      <w:pPr>
        <w:pStyle w:val="Heading3"/>
      </w:pPr>
      <w:bookmarkStart w:id="5860" w:name="_Toc4556"/>
      <w:r>
        <w:t>4421- دیوان صورتگر</w:t>
      </w:r>
      <w:bookmarkEnd w:id="5860"/>
    </w:p>
    <w:p>
      <w:pPr>
        <w:pStyle w:val="BookText"/>
      </w:pPr>
      <w:r>
        <w:rPr>
          <w:rFonts w:ascii="IRNazanin" w:hAnsi="IRNazanin" w:eastAsia="IRNazanin" w:cs="IRNazanin"/>
          <w:lang w:bidi="fa-IR"/>
          <w:color w:val="111111"/>
          <w:sz w:val="28"/>
          <w:szCs w:val="28"/>
          <w:rtl/>
        </w:rPr>
        <w:t xml:space="preserve">و هو الدکتور لطف علی صورتگر الشیرازی أستاذ جامعة طهران و رئیس کلیة الآداب بشیراز. رأیت له شعرا کثیرا.</w:t>
      </w:r>
    </w:p>
    <w:p>
      <w:pPr>
        <w:pStyle w:val="Heading3"/>
      </w:pPr>
      <w:bookmarkStart w:id="5861" w:name="_Toc4557"/>
      <w:r>
        <w:t>4422- دیوان صورتی أصفهانی أو شعره‏</w:t>
      </w:r>
      <w:bookmarkEnd w:id="5861"/>
    </w:p>
    <w:p>
      <w:pPr>
        <w:pStyle w:val="BookText"/>
      </w:pPr>
      <w:r>
        <w:rPr>
          <w:rFonts w:ascii="IRNazanin" w:hAnsi="IRNazanin" w:eastAsia="IRNazanin" w:cs="IRNazanin"/>
          <w:lang w:bidi="fa-IR"/>
          <w:color w:val="111111"/>
          <w:sz w:val="28"/>
          <w:szCs w:val="28"/>
          <w:rtl/>
        </w:rPr>
        <w:t xml:space="preserve">اسمه علی (معرکه‏گیر) و کان یعرض صور الملائکة و یصور ما یجری یوم الحشر للناس فی میدان أصفهان. أورد شعره فی رثاء ابنه الرضا فی (روشن 395). راجع صوتی یزدی.</w:t>
      </w:r>
    </w:p>
    <w:p>
      <w:pPr>
        <w:pStyle w:val="Heading3"/>
      </w:pPr>
      <w:bookmarkStart w:id="5862" w:name="_Toc4558"/>
      <w:r>
        <w:t>4423- دیوان الصوری‏</w:t>
      </w:r>
      <w:bookmarkEnd w:id="5862"/>
    </w:p>
    <w:p>
      <w:pPr>
        <w:pStyle w:val="BookText"/>
      </w:pPr>
      <w:r>
        <w:rPr>
          <w:rFonts w:ascii="IRNazanin" w:hAnsi="IRNazanin" w:eastAsia="IRNazanin" w:cs="IRNazanin"/>
          <w:lang w:bidi="fa-IR"/>
          <w:color w:val="111111"/>
          <w:sz w:val="28"/>
          <w:szCs w:val="28"/>
          <w:rtl/>
        </w:rPr>
        <w:t xml:space="preserve">عبد المحسن. عده ابن شهرآشوب فی المعالم- ص 139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614" w:name="pg11704_122097"/>
    <w:bookmarkEnd w:id="614"/>
    <w:p>
      <w:pPr>
        <w:pStyle w:val="BookText"/>
      </w:pPr>
      <w:r>
        <w:rPr>
          <w:rFonts w:ascii="IRNazanin" w:hAnsi="IRNazanin" w:eastAsia="IRNazanin" w:cs="IRNazanin"/>
          <w:lang w:bidi="fa-IR"/>
          <w:color w:val="111111"/>
          <w:sz w:val="28"/>
          <w:szCs w:val="28"/>
          <w:rtl/>
        </w:rPr>
        <w:t xml:space="preserve">فی عداد أبو نواس و الأدیب المرزوقی من الشعراء المعاصرین للإمام الباقر ع. توجد دیوانه فی مکتبة (السماوی).</w:t>
      </w:r>
    </w:p>
    <w:p>
      <w:pPr>
        <w:pStyle w:val="Heading3"/>
      </w:pPr>
      <w:bookmarkStart w:id="5863" w:name="_Toc4559"/>
      <w:r>
        <w:t>4424- دیوان الصوفی‏</w:t>
      </w:r>
      <w:bookmarkEnd w:id="5863"/>
    </w:p>
    <w:p>
      <w:pPr>
        <w:pStyle w:val="BookText"/>
      </w:pPr>
      <w:r>
        <w:rPr>
          <w:rFonts w:ascii="IRNazanin" w:hAnsi="IRNazanin" w:eastAsia="IRNazanin" w:cs="IRNazanin"/>
          <w:lang w:bidi="fa-IR"/>
          <w:color w:val="111111"/>
          <w:sz w:val="28"/>
          <w:szCs w:val="28"/>
          <w:rtl/>
        </w:rPr>
        <w:t xml:space="preserve">أبو الحسن علی بن أبی الحسین عبد الرحمن الصوفی. له منظومة صور الکواکب المطبوعة 1373 بدکن کما مر فی (11: 204).</w:t>
      </w:r>
    </w:p>
    <w:p>
      <w:pPr>
        <w:pStyle w:val="Heading3"/>
      </w:pPr>
      <w:bookmarkStart w:id="5864" w:name="_Toc4560"/>
      <w:r>
        <w:t>4425- دیوان صوفی أو شعره‏</w:t>
      </w:r>
      <w:bookmarkEnd w:id="5864"/>
    </w:p>
    <w:p>
      <w:pPr>
        <w:pStyle w:val="BookText"/>
      </w:pPr>
      <w:r>
        <w:rPr>
          <w:rFonts w:ascii="IRNazanin" w:hAnsi="IRNazanin" w:eastAsia="IRNazanin" w:cs="IRNazanin"/>
          <w:lang w:bidi="fa-IR"/>
          <w:color w:val="111111"/>
          <w:sz w:val="28"/>
          <w:szCs w:val="28"/>
          <w:rtl/>
        </w:rPr>
        <w:t xml:space="preserve">ذکر فی (بهش 2 ص 391) أنه مال إلی الصوفیة و تلمذ علی الشیخ محمد اللاهیجی و أورد شعره.</w:t>
      </w:r>
    </w:p>
    <w:p>
      <w:pPr>
        <w:pStyle w:val="Heading3"/>
      </w:pPr>
      <w:bookmarkStart w:id="5865" w:name="_Toc4561"/>
      <w:r>
        <w:t>4426- دیوان صوفی أردستانی أو شعره‏</w:t>
      </w:r>
      <w:bookmarkEnd w:id="5865"/>
    </w:p>
    <w:p>
      <w:pPr>
        <w:pStyle w:val="BookText"/>
      </w:pPr>
      <w:r>
        <w:rPr>
          <w:rFonts w:ascii="IRNazanin" w:hAnsi="IRNazanin" w:eastAsia="IRNazanin" w:cs="IRNazanin"/>
          <w:lang w:bidi="fa-IR"/>
          <w:color w:val="111111"/>
          <w:sz w:val="28"/>
          <w:szCs w:val="28"/>
          <w:rtl/>
        </w:rPr>
        <w:t xml:space="preserve">ترجمه معاصره سام میرزا فی (تس 5- ص 131) و أورد شعره. و قال فی (روشن ص 398) إن اسمه محمد و هو من أقرباء جامی.</w:t>
      </w:r>
    </w:p>
    <w:p>
      <w:pPr>
        <w:pStyle w:val="Heading3"/>
      </w:pPr>
      <w:bookmarkStart w:id="5866" w:name="_Toc4562"/>
      <w:r>
        <w:t>4427- دیوان صوفی أسترآبادی أو شعره‏</w:t>
      </w:r>
      <w:bookmarkEnd w:id="5866"/>
    </w:p>
    <w:p>
      <w:pPr>
        <w:pStyle w:val="BookText"/>
      </w:pPr>
      <w:r>
        <w:rPr>
          <w:rFonts w:ascii="IRNazanin" w:hAnsi="IRNazanin" w:eastAsia="IRNazanin" w:cs="IRNazanin"/>
          <w:lang w:bidi="fa-IR"/>
          <w:color w:val="111111"/>
          <w:sz w:val="28"/>
          <w:szCs w:val="28"/>
          <w:rtl/>
        </w:rPr>
        <w:t xml:space="preserve">ترجمه و أورد شعره فی (مجن 3- ص 86 و 260).</w:t>
      </w:r>
    </w:p>
    <w:p>
      <w:pPr>
        <w:pStyle w:val="Heading3"/>
      </w:pPr>
      <w:bookmarkStart w:id="5867" w:name="_Toc4563"/>
      <w:r>
        <w:t>4428- دیوان صوفی أصفهانی أو شعره‏</w:t>
      </w:r>
      <w:bookmarkEnd w:id="5867"/>
    </w:p>
    <w:p>
      <w:pPr>
        <w:pStyle w:val="BookText"/>
      </w:pPr>
      <w:r>
        <w:rPr>
          <w:rFonts w:ascii="IRNazanin" w:hAnsi="IRNazanin" w:eastAsia="IRNazanin" w:cs="IRNazanin"/>
          <w:lang w:bidi="fa-IR"/>
          <w:color w:val="111111"/>
          <w:sz w:val="28"/>
          <w:szCs w:val="28"/>
          <w:rtl/>
        </w:rPr>
        <w:t xml:space="preserve">و هو المیرزا علاء الدین محمد بن قطب الأولیاء میر معز الدین محمد. أورد شعره مع الإطراء فی (نر 9- ص 351)</w:t>
      </w:r>
    </w:p>
    <w:p>
      <w:pPr>
        <w:pStyle w:val="Heading3"/>
      </w:pPr>
      <w:bookmarkStart w:id="5868" w:name="_Toc4564"/>
      <w:r>
        <w:t>4429- دیوان صوفی أصفهانی أو شعره‏</w:t>
      </w:r>
      <w:bookmarkEnd w:id="5868"/>
    </w:p>
    <w:p>
      <w:pPr>
        <w:pStyle w:val="BookText"/>
      </w:pPr>
      <w:r>
        <w:rPr>
          <w:rFonts w:ascii="IRNazanin" w:hAnsi="IRNazanin" w:eastAsia="IRNazanin" w:cs="IRNazanin"/>
          <w:lang w:bidi="fa-IR"/>
          <w:color w:val="111111"/>
          <w:sz w:val="28"/>
          <w:szCs w:val="28"/>
          <w:rtl/>
        </w:rPr>
        <w:t xml:space="preserve">و اسمه ملا محمد. أورد شعره فی (تش- ص 180) و قال إنه خال المولی الجامی.</w:t>
      </w:r>
    </w:p>
    <w:p>
      <w:pPr>
        <w:pStyle w:val="Heading3"/>
      </w:pPr>
      <w:bookmarkStart w:id="5869" w:name="_Toc4565"/>
      <w:r>
        <w:t>4430- دیوان صوفی تبریزی أو شعره‏</w:t>
      </w:r>
      <w:bookmarkEnd w:id="5869"/>
    </w:p>
    <w:p>
      <w:pPr>
        <w:pStyle w:val="BookText"/>
      </w:pPr>
      <w:r>
        <w:rPr>
          <w:rFonts w:ascii="IRNazanin" w:hAnsi="IRNazanin" w:eastAsia="IRNazanin" w:cs="IRNazanin"/>
          <w:lang w:bidi="fa-IR"/>
          <w:color w:val="111111"/>
          <w:sz w:val="28"/>
          <w:szCs w:val="28"/>
          <w:rtl/>
        </w:rPr>
        <w:t xml:space="preserve">و اسمه المیر محمد علی السنجانی. ترجمه و أورد شعره. فی (روشن- ص 398) و عنه فی (دجا- ص 237).</w:t>
      </w:r>
    </w:p>
    <w:p>
      <w:pPr>
        <w:pStyle w:val="Heading3"/>
      </w:pPr>
      <w:bookmarkStart w:id="5870" w:name="_Toc4566"/>
      <w:r>
        <w:t>4431- دیوان صوفی جغتائی أو شعره‏</w:t>
      </w:r>
      <w:bookmarkEnd w:id="5870"/>
    </w:p>
    <w:p>
      <w:pPr>
        <w:pStyle w:val="BookText"/>
      </w:pPr>
      <w:r>
        <w:rPr>
          <w:rFonts w:ascii="IRNazanin" w:hAnsi="IRNazanin" w:eastAsia="IRNazanin" w:cs="IRNazanin"/>
          <w:lang w:bidi="fa-IR"/>
          <w:color w:val="111111"/>
          <w:sz w:val="28"/>
          <w:szCs w:val="28"/>
          <w:rtl/>
        </w:rPr>
        <w:t xml:space="preserve">سافر مدة فی العالم. ترجمه و أورد شعره فی (تش- ص 16). و (پژمان 306).</w:t>
      </w:r>
    </w:p>
    <w:p>
      <w:pPr>
        <w:pStyle w:val="Heading3"/>
      </w:pPr>
      <w:bookmarkStart w:id="5871" w:name="_Toc4567"/>
      <w:r>
        <w:t>4432- دیوان صوفی‏زاده زوزنی‏</w:t>
      </w:r>
      <w:bookmarkEnd w:id="5871"/>
    </w:p>
    <w:p>
      <w:pPr>
        <w:pStyle w:val="BookText"/>
      </w:pPr>
      <w:r>
        <w:rPr>
          <w:rFonts w:ascii="IRNazanin" w:hAnsi="IRNazanin" w:eastAsia="IRNazanin" w:cs="IRNazanin"/>
          <w:lang w:bidi="fa-IR"/>
          <w:color w:val="111111"/>
          <w:sz w:val="28"/>
          <w:szCs w:val="28"/>
          <w:rtl/>
        </w:rPr>
        <w:t xml:space="preserve">قال سنگلاخ فی امتحان الفضلاء- 1: 114 إنه رأی دیوانه بخط محمد ابریشمی.</w:t>
      </w:r>
    </w:p>
    <w:p>
      <w:pPr>
        <w:pStyle w:val="Heading3"/>
      </w:pPr>
      <w:bookmarkStart w:id="5872" w:name="_Toc4568"/>
      <w:r>
        <w:t>4433- دیوان صوفی شیرازی أو شعره‏</w:t>
      </w:r>
      <w:bookmarkEnd w:id="5872"/>
    </w:p>
    <w:p>
      <w:pPr>
        <w:pStyle w:val="BookText"/>
      </w:pPr>
      <w:r>
        <w:rPr>
          <w:rFonts w:ascii="IRNazanin" w:hAnsi="IRNazanin" w:eastAsia="IRNazanin" w:cs="IRNazanin"/>
          <w:lang w:bidi="fa-IR"/>
          <w:color w:val="111111"/>
          <w:sz w:val="28"/>
          <w:szCs w:val="28"/>
          <w:rtl/>
        </w:rPr>
        <w:t xml:space="preserve">أصله من کرمان و مات بها و کان یسکن شیراز. و له رباعیات کثیرة أورد منها فی (نر 9- ص 312).</w:t>
      </w:r>
    </w:p>
    <w:p>
      <w:pPr>
        <w:pStyle w:val="Heading3"/>
      </w:pPr>
      <w:bookmarkStart w:id="5873" w:name="_Toc4569"/>
      <w:r>
        <w:t>4434- دیوان صوفی شیرازی أو شعره‏</w:t>
      </w:r>
      <w:bookmarkEnd w:id="5873"/>
    </w:p>
    <w:p>
      <w:pPr>
        <w:pStyle w:val="BookText"/>
      </w:pPr>
      <w:r>
        <w:rPr>
          <w:rFonts w:ascii="IRNazanin" w:hAnsi="IRNazanin" w:eastAsia="IRNazanin" w:cs="IRNazanin"/>
          <w:lang w:bidi="fa-IR"/>
          <w:color w:val="111111"/>
          <w:sz w:val="28"/>
          <w:szCs w:val="28"/>
          <w:rtl/>
        </w:rPr>
        <w:t xml:space="preserve">و یعرف بالحکیم صوفی. حاذق فی الطب تاجر. أورد شعره فی (نر 9- ص 134) و عنه فی (روشن ص 397).</w:t>
      </w:r>
    </w:p>
    <w:p>
      <w:pPr>
        <w:pStyle w:val="Heading3"/>
      </w:pPr>
      <w:bookmarkStart w:id="5874" w:name="_Toc4570"/>
      <w:r>
        <w:t>دیوان صوفی صفوی‏</w:t>
      </w:r>
      <w:bookmarkEnd w:id="5874"/>
    </w:p>
    <w:p>
      <w:pPr>
        <w:pStyle w:val="BookText"/>
      </w:pPr>
      <w:r>
        <w:rPr>
          <w:rFonts w:ascii="IRNazanin" w:hAnsi="IRNazanin" w:eastAsia="IRNazanin" w:cs="IRNazanin"/>
          <w:lang w:bidi="fa-IR"/>
          <w:color w:val="111111"/>
          <w:sz w:val="28"/>
          <w:szCs w:val="28"/>
          <w:rtl/>
        </w:rPr>
        <w:t xml:space="preserve">کما فی مجالس النفائس. و قد مر بتخلصه خطائی، الشاه‏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615" w:name="pg11704_122098"/>
    <w:bookmarkEnd w:id="615"/>
    <w:p>
      <w:pPr>
        <w:pStyle w:val="BookText"/>
      </w:pPr>
      <w:r>
        <w:rPr>
          <w:rFonts w:ascii="IRNazanin" w:hAnsi="IRNazanin" w:eastAsia="IRNazanin" w:cs="IRNazanin"/>
          <w:lang w:bidi="fa-IR"/>
          <w:color w:val="111111"/>
          <w:sz w:val="28"/>
          <w:szCs w:val="28"/>
          <w:rtl/>
        </w:rPr>
        <w:t xml:space="preserve">إسماعیل.</w:t>
      </w:r>
    </w:p>
    <w:p>
      <w:pPr>
        <w:pStyle w:val="Heading3"/>
      </w:pPr>
      <w:bookmarkStart w:id="5875" w:name="_Toc4571"/>
      <w:r>
        <w:t>4435- دیوان صوفی کاکوری أو شعره‏</w:t>
      </w:r>
      <w:bookmarkEnd w:id="5875"/>
    </w:p>
    <w:p>
      <w:pPr>
        <w:pStyle w:val="BookText"/>
      </w:pPr>
      <w:r>
        <w:rPr>
          <w:rFonts w:ascii="IRNazanin" w:hAnsi="IRNazanin" w:eastAsia="IRNazanin" w:cs="IRNazanin"/>
          <w:lang w:bidi="fa-IR"/>
          <w:color w:val="111111"/>
          <w:sz w:val="28"/>
          <w:szCs w:val="28"/>
          <w:rtl/>
        </w:rPr>
        <w:t xml:space="preserve">هو تلمیذ غلام أما شهید. أورد شعره فی (گلشن- ص 256).</w:t>
      </w:r>
    </w:p>
    <w:p>
      <w:pPr>
        <w:pStyle w:val="Heading3"/>
      </w:pPr>
      <w:bookmarkStart w:id="5876" w:name="_Toc4572"/>
      <w:r>
        <w:t>4436- دیوان صوفی کرمانی أو شعره‏</w:t>
      </w:r>
      <w:bookmarkEnd w:id="5876"/>
    </w:p>
    <w:p>
      <w:pPr>
        <w:pStyle w:val="BookText"/>
      </w:pPr>
      <w:r>
        <w:rPr>
          <w:rFonts w:ascii="IRNazanin" w:hAnsi="IRNazanin" w:eastAsia="IRNazanin" w:cs="IRNazanin"/>
          <w:lang w:bidi="fa-IR"/>
          <w:color w:val="111111"/>
          <w:sz w:val="28"/>
          <w:szCs w:val="28"/>
          <w:rtl/>
        </w:rPr>
        <w:t xml:space="preserve">أصله من شیراز. ولد بکرمان. أورد شعره فی (گلشن- ص 256).</w:t>
      </w:r>
    </w:p>
    <w:p>
      <w:pPr>
        <w:pStyle w:val="Heading3"/>
      </w:pPr>
      <w:bookmarkStart w:id="5877" w:name="_Toc4573"/>
      <w:r>
        <w:t>دیوان صوفی مازندرانی‏</w:t>
      </w:r>
      <w:bookmarkEnd w:id="5877"/>
    </w:p>
    <w:p>
      <w:pPr>
        <w:pStyle w:val="BookText"/>
      </w:pPr>
      <w:r>
        <w:rPr>
          <w:rFonts w:ascii="IRNazanin" w:hAnsi="IRNazanin" w:eastAsia="IRNazanin" w:cs="IRNazanin"/>
          <w:lang w:bidi="fa-IR"/>
          <w:color w:val="111111"/>
          <w:sz w:val="28"/>
          <w:szCs w:val="28"/>
          <w:rtl/>
        </w:rPr>
        <w:t xml:space="preserve">کما فی هدیة العارفین لإسماعیل پاشا 2: 27 یأتی بتخلصه محمد کما فی میخانه.</w:t>
      </w:r>
    </w:p>
    <w:p>
      <w:pPr>
        <w:pStyle w:val="Heading3"/>
      </w:pPr>
      <w:bookmarkStart w:id="5878" w:name="_Toc4574"/>
      <w:r>
        <w:t>دیوان صوفی هروی‏</w:t>
      </w:r>
      <w:bookmarkEnd w:id="5878"/>
    </w:p>
    <w:p>
      <w:pPr>
        <w:pStyle w:val="BookText"/>
      </w:pPr>
      <w:r>
        <w:rPr>
          <w:rFonts w:ascii="IRNazanin" w:hAnsi="IRNazanin" w:eastAsia="IRNazanin" w:cs="IRNazanin"/>
          <w:lang w:bidi="fa-IR"/>
          <w:color w:val="111111"/>
          <w:sz w:val="28"/>
          <w:szCs w:val="28"/>
          <w:rtl/>
        </w:rPr>
        <w:t xml:space="preserve">مر بعنوان پیر صوفی فی (ص 161).</w:t>
      </w:r>
    </w:p>
    <w:p>
      <w:pPr>
        <w:pStyle w:val="Heading3"/>
      </w:pPr>
      <w:bookmarkStart w:id="5879" w:name="_Toc4575"/>
      <w:r>
        <w:t>4437- دیوان صوفی همدانی أو شعره‏</w:t>
      </w:r>
      <w:bookmarkEnd w:id="5879"/>
    </w:p>
    <w:p>
      <w:pPr>
        <w:pStyle w:val="BookText"/>
      </w:pPr>
      <w:r>
        <w:rPr>
          <w:rFonts w:ascii="IRNazanin" w:hAnsi="IRNazanin" w:eastAsia="IRNazanin" w:cs="IRNazanin"/>
          <w:lang w:bidi="fa-IR"/>
          <w:color w:val="111111"/>
          <w:sz w:val="28"/>
          <w:szCs w:val="28"/>
          <w:rtl/>
        </w:rPr>
        <w:t xml:space="preserve">الساکن بأصفهان ذکر فی (نر 9 ص 313).</w:t>
      </w:r>
    </w:p>
    <w:p>
      <w:pPr>
        <w:pStyle w:val="Heading3"/>
      </w:pPr>
      <w:bookmarkStart w:id="5880" w:name="_Toc4576"/>
      <w:r>
        <w:t>4438- دیوان صوفی یزدی أو شعره‏</w:t>
      </w:r>
      <w:bookmarkEnd w:id="5880"/>
    </w:p>
    <w:p>
      <w:pPr>
        <w:pStyle w:val="BookText"/>
      </w:pPr>
      <w:r>
        <w:rPr>
          <w:rFonts w:ascii="IRNazanin" w:hAnsi="IRNazanin" w:eastAsia="IRNazanin" w:cs="IRNazanin"/>
          <w:lang w:bidi="fa-IR"/>
          <w:color w:val="111111"/>
          <w:sz w:val="28"/>
          <w:szCs w:val="28"/>
          <w:rtl/>
        </w:rPr>
        <w:t xml:space="preserve">أورد شعره فی (نر 9- ص 436).</w:t>
      </w:r>
    </w:p>
    <w:p>
      <w:pPr>
        <w:pStyle w:val="Heading3"/>
      </w:pPr>
      <w:bookmarkStart w:id="5881" w:name="_Toc4577"/>
      <w:r>
        <w:t>4439- دیوان صولت‏</w:t>
      </w:r>
      <w:bookmarkEnd w:id="5881"/>
    </w:p>
    <w:p>
      <w:pPr>
        <w:pStyle w:val="BookText"/>
      </w:pPr>
      <w:r>
        <w:rPr>
          <w:rFonts w:ascii="IRNazanin" w:hAnsi="IRNazanin" w:eastAsia="IRNazanin" w:cs="IRNazanin"/>
          <w:lang w:bidi="fa-IR"/>
          <w:color w:val="111111"/>
          <w:sz w:val="28"/>
          <w:szCs w:val="28"/>
          <w:rtl/>
        </w:rPr>
        <w:t xml:space="preserve">للسید محبوب بن علی شیر مکنت الدهلوی الهندی المتوفی 1286 فارسی ذکر فی ذیل کشف الظنون. و قال فی (گلشن ص 255) (و روشن 398) إن والده کان من رؤساء محسن‏پور بالهند و هو طبیب ماهر. و طبع دیوانه فی ألفی بیت.</w:t>
      </w:r>
    </w:p>
    <w:p>
      <w:pPr>
        <w:pStyle w:val="Heading3"/>
      </w:pPr>
      <w:bookmarkStart w:id="5882" w:name="_Toc4578"/>
      <w:r>
        <w:t>4440- دیوان الصولی‏</w:t>
      </w:r>
      <w:bookmarkEnd w:id="5882"/>
    </w:p>
    <w:p>
      <w:pPr>
        <w:pStyle w:val="BookText"/>
      </w:pPr>
      <w:r>
        <w:rPr>
          <w:rFonts w:ascii="IRNazanin" w:hAnsi="IRNazanin" w:eastAsia="IRNazanin" w:cs="IRNazanin"/>
          <w:lang w:bidi="fa-IR"/>
          <w:color w:val="111111"/>
          <w:sz w:val="28"/>
          <w:szCs w:val="28"/>
          <w:rtl/>
        </w:rPr>
        <w:t xml:space="preserve">أبو بکر إبراهیم بن عباس بن محمد بن صول‏تکین الصولی المتوفی بشعبان 242 فی سامراء. ترجمه فی معجم الأدباء و وفیات الأعیان و تاریخ بغداد. و عده فی معالم العلماء ص 141 من شعراء الشیعة. و دیوانه صغیر مطبوع. و هو عم الصولی الشطرنجی.</w:t>
      </w:r>
    </w:p>
    <w:p>
      <w:pPr>
        <w:pStyle w:val="Heading3"/>
      </w:pPr>
      <w:bookmarkStart w:id="5883" w:name="_Toc4579"/>
      <w:r>
        <w:t>4441- دیوان صهبا آشتیانی‏</w:t>
      </w:r>
      <w:bookmarkEnd w:id="5883"/>
    </w:p>
    <w:p>
      <w:pPr>
        <w:pStyle w:val="BookText"/>
      </w:pPr>
      <w:r>
        <w:rPr>
          <w:rFonts w:ascii="IRNazanin" w:hAnsi="IRNazanin" w:eastAsia="IRNazanin" w:cs="IRNazanin"/>
          <w:lang w:bidi="fa-IR"/>
          <w:color w:val="111111"/>
          <w:sz w:val="28"/>
          <w:szCs w:val="28"/>
          <w:rtl/>
        </w:rPr>
        <w:t xml:space="preserve">هو المیر مصطفی بن المیرزا حسن الآشتیانی و لقبه افتخار و تخلصه صهبا. قتل فی 1327 غیلة بمشهد عبد العظیم بالری. طبع له افتخار نامه حیدری بطهران 1310 کما مر فی 2. 256.</w:t>
      </w:r>
    </w:p>
    <w:p>
      <w:pPr>
        <w:pStyle w:val="Heading3"/>
      </w:pPr>
      <w:bookmarkStart w:id="5884" w:name="_Toc4580"/>
      <w:r>
        <w:t>4442- دیوان صهبا بروجنی‏</w:t>
      </w:r>
      <w:bookmarkEnd w:id="5884"/>
    </w:p>
    <w:p>
      <w:pPr>
        <w:pStyle w:val="BookText"/>
      </w:pPr>
      <w:r>
        <w:rPr>
          <w:rFonts w:ascii="IRNazanin" w:hAnsi="IRNazanin" w:eastAsia="IRNazanin" w:cs="IRNazanin"/>
          <w:lang w:bidi="fa-IR"/>
          <w:color w:val="111111"/>
          <w:sz w:val="28"/>
          <w:szCs w:val="28"/>
          <w:rtl/>
        </w:rPr>
        <w:t xml:space="preserve">و اسمه علی أکبر بن محمد جواد. ولد 1317 و دیوانه فی ثلاثة آلاف بیت. ترجمه ایزد گشسب فی نامه سخنوران ص 159 و کذا فی شعرای معاصر أصفهان ص 318.</w:t>
      </w:r>
    </w:p>
    <w:p>
      <w:pPr>
        <w:pStyle w:val="Heading3"/>
      </w:pPr>
      <w:bookmarkStart w:id="5885" w:name="_Toc4581"/>
      <w:r>
        <w:t>دیوان صهبا شیرازی‏</w:t>
      </w:r>
      <w:bookmarkEnd w:id="5885"/>
    </w:p>
    <w:p>
      <w:pPr>
        <w:pStyle w:val="BookText"/>
      </w:pPr>
      <w:r>
        <w:rPr>
          <w:rFonts w:ascii="IRNazanin" w:hAnsi="IRNazanin" w:eastAsia="IRNazanin" w:cs="IRNazanin"/>
          <w:lang w:bidi="fa-IR"/>
          <w:color w:val="111111"/>
          <w:sz w:val="28"/>
          <w:szCs w:val="28"/>
          <w:rtl/>
        </w:rPr>
        <w:t xml:space="preserve">راجع صهبا قمی.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616" w:name="pg11704_122099"/>
    <w:bookmarkEnd w:id="616"/>
    <w:p>
      <w:pPr>
        <w:pStyle w:val="Heading3"/>
      </w:pPr>
      <w:bookmarkStart w:id="5886" w:name="_Toc4582"/>
      <w:r>
        <w:t>4443- صهبا قمشهی‏</w:t>
      </w:r>
      <w:bookmarkEnd w:id="5886"/>
    </w:p>
    <w:p>
      <w:pPr>
        <w:pStyle w:val="BookText"/>
      </w:pPr>
      <w:r>
        <w:rPr>
          <w:rFonts w:ascii="IRNazanin" w:hAnsi="IRNazanin" w:eastAsia="IRNazanin" w:cs="IRNazanin"/>
          <w:lang w:bidi="fa-IR"/>
          <w:color w:val="111111"/>
          <w:sz w:val="28"/>
          <w:szCs w:val="28"/>
          <w:rtl/>
        </w:rPr>
        <w:t xml:space="preserve">الحکیم الإلهی الآقا محمد رضا القومشهی المتوفی بطهران یوم وفاه الحاج المولی علی الکنی 27 محرم 1306. ترجمه تلمیذه الحاج میرزا أبی الفضل الکلانتری علی ظهر رسالة أستاذه فی الفرق بین أسماء الذات و الصفات و قد استنسخها التلمیذ لنفسه و هی عند الحاج میرزا محمد الثقفی بطهران أطری أستاذه فی ظهر الرسالة. و فی آخرها مقدار نصف صفحة أوردها جلال الدین المحدث الأرومی فی مقدمه طبع دیوان التلمیذ. و فیه عدة من أشعاره.</w:t>
      </w:r>
    </w:p>
    <w:p>
      <w:pPr>
        <w:pStyle w:val="Heading3"/>
      </w:pPr>
      <w:bookmarkStart w:id="5887" w:name="_Toc4583"/>
      <w:r>
        <w:t>4444- دیوان صهبا قمی‏</w:t>
      </w:r>
      <w:bookmarkEnd w:id="5887"/>
    </w:p>
    <w:p>
      <w:pPr>
        <w:pStyle w:val="BookText"/>
      </w:pPr>
      <w:r>
        <w:rPr>
          <w:rFonts w:ascii="IRNazanin" w:hAnsi="IRNazanin" w:eastAsia="IRNazanin" w:cs="IRNazanin"/>
          <w:lang w:bidi="fa-IR"/>
          <w:color w:val="111111"/>
          <w:sz w:val="28"/>
          <w:szCs w:val="28"/>
          <w:rtl/>
        </w:rPr>
        <w:t xml:space="preserve">ترجمه فی (تش 395) و اسمه آقا تقی بن ید الله و قد جمع دیوان شعره فی ثلاثة آلاف بیت و أورد بعض غزلیاته و ذکر أنه أخذ تخلصه عن مشتاق الأصفهانی. و أصله من دماوند. ولد بقم ثم سکن أصفهان و مات بشیراز فی 1191 و قال صباحی فی تاریخه.</w:t>
      </w:r>
    </w:p>
    <w:p>
      <w:pPr>
        <w:pStyle w:val="BookText"/>
      </w:pPr>
      <w:r>
        <w:rPr>
          <w:rFonts w:ascii="IRNazanin" w:hAnsi="IRNazanin" w:eastAsia="IRNazanin" w:cs="IRNazanin"/>
          <w:lang w:bidi="fa-IR"/>
          <w:color w:val="111111"/>
          <w:sz w:val="28"/>
          <w:szCs w:val="28"/>
          <w:rtl/>
        </w:rPr>
        <w:t xml:space="preserve">کلک صباحیش زد نقش از برای تاریخ‏</w:t>
      </w:r>
    </w:p>
    <w:p>
      <w:pPr>
        <w:pStyle w:val="BookText"/>
      </w:pPr>
      <w:r>
        <w:rPr>
          <w:rFonts w:ascii="IRNazanin" w:hAnsi="IRNazanin" w:eastAsia="IRNazanin" w:cs="IRNazanin"/>
          <w:lang w:bidi="fa-IR"/>
          <w:color w:val="111111"/>
          <w:sz w:val="28"/>
          <w:szCs w:val="28"/>
          <w:rtl/>
        </w:rPr>
        <w:t xml:space="preserve">دائم بود ز کوثر لبریز جام صهبا</w:t>
      </w:r>
    </w:p>
    <w:p>
      <w:pPr>
        <w:pStyle w:val="BookText"/>
      </w:pPr>
      <w:r>
        <w:rPr>
          <w:rFonts w:ascii="IRNazanin" w:hAnsi="IRNazanin" w:eastAsia="IRNazanin" w:cs="IRNazanin"/>
          <w:lang w:bidi="fa-IR"/>
          <w:color w:val="111111"/>
          <w:sz w:val="28"/>
          <w:szCs w:val="28"/>
          <w:rtl/>
        </w:rPr>
        <w:t xml:space="preserve">و ترجمه أیضا فی (انجمن 4) و (مع 2: 330) و توجد نسخته فی (سپهسالار 401) مع دیوان هاتف.</w:t>
      </w:r>
    </w:p>
    <w:p>
      <w:pPr>
        <w:pStyle w:val="Heading3"/>
      </w:pPr>
      <w:bookmarkStart w:id="5888" w:name="_Toc4584"/>
      <w:r>
        <w:t>4445- دیوان صهبائی چشتی أو شعره‏</w:t>
      </w:r>
      <w:bookmarkEnd w:id="5888"/>
    </w:p>
    <w:p>
      <w:pPr>
        <w:pStyle w:val="BookText"/>
      </w:pPr>
      <w:r>
        <w:rPr>
          <w:rFonts w:ascii="IRNazanin" w:hAnsi="IRNazanin" w:eastAsia="IRNazanin" w:cs="IRNazanin"/>
          <w:lang w:bidi="fa-IR"/>
          <w:color w:val="111111"/>
          <w:sz w:val="28"/>
          <w:szCs w:val="28"/>
          <w:rtl/>
        </w:rPr>
        <w:t xml:space="preserve">و هو السید عبد الباقی من أحفاد قطب الدین مودود الچشتی. کان خطاطا ماهرا فی بلاط عالمگیر و شاه‏جهان. أورد شعره فی (گلشن- ص 257).</w:t>
      </w:r>
    </w:p>
    <w:p>
      <w:pPr>
        <w:pStyle w:val="Heading3"/>
      </w:pPr>
      <w:bookmarkStart w:id="5889" w:name="_Toc4585"/>
      <w:r>
        <w:t>4446- دیوان صهبائی دهلوی‏</w:t>
      </w:r>
      <w:bookmarkEnd w:id="5889"/>
    </w:p>
    <w:p>
      <w:pPr>
        <w:pStyle w:val="BookText"/>
      </w:pPr>
      <w:r>
        <w:rPr>
          <w:rFonts w:ascii="IRNazanin" w:hAnsi="IRNazanin" w:eastAsia="IRNazanin" w:cs="IRNazanin"/>
          <w:lang w:bidi="fa-IR"/>
          <w:color w:val="111111"/>
          <w:sz w:val="28"/>
          <w:szCs w:val="28"/>
          <w:rtl/>
        </w:rPr>
        <w:t xml:space="preserve">هو امام‏بخش الدهلوی. طبع دیوانه بنولکشور و گانپور 1925 م. علی الحجر.</w:t>
      </w:r>
    </w:p>
    <w:p>
      <w:pPr>
        <w:pStyle w:val="Heading3"/>
      </w:pPr>
      <w:bookmarkStart w:id="5890" w:name="_Toc4586"/>
      <w:r>
        <w:t>4447- دیوان صیاد مشهدی أو شعره‏</w:t>
      </w:r>
      <w:bookmarkEnd w:id="5890"/>
    </w:p>
    <w:p>
      <w:pPr>
        <w:pStyle w:val="BookText"/>
      </w:pPr>
      <w:r>
        <w:rPr>
          <w:rFonts w:ascii="IRNazanin" w:hAnsi="IRNazanin" w:eastAsia="IRNazanin" w:cs="IRNazanin"/>
          <w:lang w:bidi="fa-IR"/>
          <w:color w:val="111111"/>
          <w:sz w:val="28"/>
          <w:szCs w:val="28"/>
          <w:rtl/>
        </w:rPr>
        <w:t xml:space="preserve">أورد شعره فی مطلع الشمس 2: 437 و (روشن ص 400).</w:t>
      </w:r>
    </w:p>
    <w:p>
      <w:pPr>
        <w:pStyle w:val="Heading3"/>
      </w:pPr>
      <w:bookmarkStart w:id="5891" w:name="_Toc4587"/>
      <w:r>
        <w:t>دیوان صیدی شیرازی‏</w:t>
      </w:r>
      <w:bookmarkEnd w:id="5891"/>
    </w:p>
    <w:p>
      <w:pPr>
        <w:pStyle w:val="BookText"/>
      </w:pPr>
      <w:r>
        <w:rPr>
          <w:rFonts w:ascii="IRNazanin" w:hAnsi="IRNazanin" w:eastAsia="IRNazanin" w:cs="IRNazanin"/>
          <w:lang w:bidi="fa-IR"/>
          <w:color w:val="111111"/>
          <w:sz w:val="28"/>
          <w:szCs w:val="28"/>
          <w:rtl/>
        </w:rPr>
        <w:t xml:space="preserve">کان صیدی التخلص السابق لعرفی شیرازی کما فی میخانه ص 176 راجع دیوان عرفی شیرازی.</w:t>
      </w:r>
    </w:p>
    <w:p>
      <w:pPr>
        <w:pStyle w:val="Heading3"/>
      </w:pPr>
      <w:bookmarkStart w:id="5892" w:name="_Toc4588"/>
      <w:r>
        <w:t>4448- دیوان میر صیدی طهرانی‏</w:t>
      </w:r>
      <w:bookmarkEnd w:id="5892"/>
    </w:p>
    <w:p>
      <w:pPr>
        <w:pStyle w:val="BookText"/>
      </w:pPr>
      <w:r>
        <w:rPr>
          <w:rFonts w:ascii="IRNazanin" w:hAnsi="IRNazanin" w:eastAsia="IRNazanin" w:cs="IRNazanin"/>
          <w:lang w:bidi="fa-IR"/>
          <w:color w:val="111111"/>
          <w:sz w:val="28"/>
          <w:szCs w:val="28"/>
          <w:rtl/>
        </w:rPr>
        <w:t xml:space="preserve">ترجمه البلگرامی فی خزانة عامرة ص 293 و ذکر مسافرته من أصفهان إلی الهند و ملازمته السلطان محمد شاه‏جهان صاحب‏قران الثانی و مدحه بقصیدة نال منها بصلة ألف روپیه فی (1050) و حکی عن مجمع النفائس‏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617" w:name="pg11704_122100"/>
    <w:bookmarkEnd w:id="617"/>
    <w:p>
      <w:pPr>
        <w:pStyle w:val="BookText"/>
      </w:pPr>
      <w:r>
        <w:rPr>
          <w:rFonts w:ascii="IRNazanin" w:hAnsi="IRNazanin" w:eastAsia="IRNazanin" w:cs="IRNazanin"/>
          <w:lang w:bidi="fa-IR"/>
          <w:color w:val="111111"/>
          <w:sz w:val="28"/>
          <w:szCs w:val="28"/>
          <w:rtl/>
        </w:rPr>
        <w:t xml:space="preserve">لخان آرزو، و ما ناله من صلة خمسة آلاف روپیه من النوابة جهان‏آرا بیگم بنت شاه‏جهان و ذکر الصحیفة الحلویة لبعض غزلیاته و أورد مما انتخبه منها ما یقرب من أربعین مطلعا و کذا فی سرو آزاد- ص 111 و (نر 9- ص 358) و فی تغ 81 أنه مات 1100 و ذکر فی (سرخوش ص 65) و (حسینی ص 193) و (تش- ص 214) توجد نسخه فی مکتبة بنگاله کما فی فهرسها و مکتبة (الملک- 65) و عند دهخدا بطهران.</w:t>
      </w:r>
    </w:p>
    <w:p>
      <w:pPr>
        <w:pStyle w:val="Heading3"/>
      </w:pPr>
      <w:bookmarkStart w:id="5893" w:name="_Toc4589"/>
      <w:r>
        <w:t>4449- دیوان صیرفی ساوجی أو شعره‏</w:t>
      </w:r>
      <w:bookmarkEnd w:id="5893"/>
    </w:p>
    <w:p>
      <w:pPr>
        <w:pStyle w:val="BookText"/>
      </w:pPr>
      <w:r>
        <w:rPr>
          <w:rFonts w:ascii="IRNazanin" w:hAnsi="IRNazanin" w:eastAsia="IRNazanin" w:cs="IRNazanin"/>
          <w:lang w:bidi="fa-IR"/>
          <w:color w:val="111111"/>
          <w:sz w:val="28"/>
          <w:szCs w:val="28"/>
          <w:rtl/>
        </w:rPr>
        <w:t xml:space="preserve">و اسمه صلاح الدین. ترجمه فی (تغ 81) و قال کان تلمیذ ملا محتشم الکاشانی.</w:t>
      </w:r>
    </w:p>
    <w:p>
      <w:pPr>
        <w:pStyle w:val="Heading3"/>
      </w:pPr>
      <w:bookmarkStart w:id="5894" w:name="_Toc4590"/>
      <w:r>
        <w:t>4450- دیوان صیرفی کشمیری أو شعره‏</w:t>
      </w:r>
      <w:bookmarkEnd w:id="5894"/>
    </w:p>
    <w:p>
      <w:pPr>
        <w:pStyle w:val="BookText"/>
      </w:pPr>
      <w:r>
        <w:rPr>
          <w:rFonts w:ascii="IRNazanin" w:hAnsi="IRNazanin" w:eastAsia="IRNazanin" w:cs="IRNazanin"/>
          <w:lang w:bidi="fa-IR"/>
          <w:color w:val="111111"/>
          <w:sz w:val="28"/>
          <w:szCs w:val="28"/>
          <w:rtl/>
        </w:rPr>
        <w:t xml:space="preserve">و اسمه المیر علی معاصر الشیخ یعقوب الصرفی. أورد شعره فی (گلشن 258) و (حسینی 186)</w:t>
      </w:r>
    </w:p>
    <w:p>
      <w:pPr>
        <w:pStyle w:val="Heading3"/>
      </w:pPr>
      <w:bookmarkStart w:id="5895" w:name="_Toc4591"/>
      <w:r>
        <w:t>4451- دیوان صیرفی کور التبریزی‏</w:t>
      </w:r>
      <w:bookmarkEnd w:id="5895"/>
    </w:p>
    <w:p>
      <w:pPr>
        <w:pStyle w:val="BookText"/>
      </w:pPr>
      <w:r>
        <w:rPr>
          <w:rFonts w:ascii="IRNazanin" w:hAnsi="IRNazanin" w:eastAsia="IRNazanin" w:cs="IRNazanin"/>
          <w:lang w:bidi="fa-IR"/>
          <w:color w:val="111111"/>
          <w:sz w:val="28"/>
          <w:szCs w:val="28"/>
          <w:rtl/>
        </w:rPr>
        <w:t xml:space="preserve">کان صرافا فی میدان تبریز کما ترجمه معاصره سام میرزا فی (تس- ص 143) و أورد شعره. و عنه فی دانشمندان آذربایجان ص 240 قالا نقلا عن (خص ص 269) و خلاصة الأشعار و کان یری نفسه أشعر من خسرو و جامی و هو متأخر عن الخواجة عبد الله الصیرفی التبریزی الخطاط الشهیر المتوفی (742) و دفن بمقبرة چرنداب. ترجمه و ترجم معه جمعا من الخطاطین فی (دجا- ص 238) و قد أخذه عن تاریخ حشری تبریزی.</w:t>
      </w:r>
    </w:p>
    <w:p>
      <w:pPr>
        <w:pStyle w:val="Heading3"/>
      </w:pPr>
      <w:bookmarkStart w:id="5896" w:name="_Toc4592"/>
      <w:r>
        <w:t>4452- دیوان صیرفی همدانی‏</w:t>
      </w:r>
      <w:bookmarkEnd w:id="5896"/>
    </w:p>
    <w:p>
      <w:pPr>
        <w:pStyle w:val="BookText"/>
      </w:pPr>
      <w:r>
        <w:rPr>
          <w:rFonts w:ascii="IRNazanin" w:hAnsi="IRNazanin" w:eastAsia="IRNazanin" w:cs="IRNazanin"/>
          <w:lang w:bidi="fa-IR"/>
          <w:color w:val="111111"/>
          <w:sz w:val="28"/>
          <w:szCs w:val="28"/>
          <w:rtl/>
        </w:rPr>
        <w:t xml:space="preserve">ترجمه صادقی کتاب دار فی (خص ص 248) و (تش 256) و ذکر أنه تتبع دیوان أمیر شاهی و قصائد مولانا کاتبی و أورد بعض ما سمعه منه. و فی کشف الظنون دیوان صیرفی فارسی.</w:t>
      </w:r>
    </w:p>
    <w:p>
      <w:pPr>
        <w:pStyle w:val="Heading3"/>
      </w:pPr>
      <w:bookmarkStart w:id="5897" w:name="_Toc4593"/>
      <w:r>
        <w:t>4453- دیوان صیرفی الهندی‏</w:t>
      </w:r>
      <w:bookmarkEnd w:id="5897"/>
    </w:p>
    <w:p>
      <w:pPr>
        <w:pStyle w:val="BookText"/>
      </w:pPr>
      <w:r>
        <w:rPr>
          <w:rFonts w:ascii="IRNazanin" w:hAnsi="IRNazanin" w:eastAsia="IRNazanin" w:cs="IRNazanin"/>
          <w:lang w:bidi="fa-IR"/>
          <w:color w:val="111111"/>
          <w:sz w:val="28"/>
          <w:szCs w:val="28"/>
          <w:rtl/>
        </w:rPr>
        <w:t xml:space="preserve">ترجمه فی (مع 1 ص 314) قال إنه کان قاضیا و یمدح السلطان فیروز شاه و أورد له ثلاثة أبیات.</w:t>
      </w:r>
    </w:p>
    <w:p>
      <w:pPr>
        <w:pStyle w:val="Heading3"/>
      </w:pPr>
      <w:bookmarkStart w:id="5898" w:name="_Toc4594"/>
      <w:r>
        <w:t>4454- دیوان مولانا صیقلی بروجردی‏</w:t>
      </w:r>
      <w:bookmarkEnd w:id="5898"/>
    </w:p>
    <w:p>
      <w:pPr>
        <w:pStyle w:val="BookText"/>
      </w:pPr>
      <w:r>
        <w:rPr>
          <w:rFonts w:ascii="IRNazanin" w:hAnsi="IRNazanin" w:eastAsia="IRNazanin" w:cs="IRNazanin"/>
          <w:lang w:bidi="fa-IR"/>
          <w:color w:val="111111"/>
          <w:sz w:val="28"/>
          <w:szCs w:val="28"/>
          <w:rtl/>
        </w:rPr>
        <w:t xml:space="preserve">الشاعر السکاک. ترجمه الصادقی فی (خص- ص 267) و أورد أشعاره. و فی (تش 256) و فی (تغ- 81) ذکر مهاجاته مع صحیفی و شانی.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618" w:name="pg11704_122101"/>
    <w:bookmarkEnd w:id="618"/>
    <w:p>
      <w:pPr>
        <w:pStyle w:val="Heading3"/>
      </w:pPr>
      <w:bookmarkStart w:id="5899" w:name="_Toc4595"/>
      <w:r>
        <w:t>ض</w:t>
      </w:r>
      <w:bookmarkEnd w:id="5899"/>
    </w:p>
    <w:p>
      <w:pPr>
        <w:pStyle w:val="Heading3"/>
      </w:pPr>
      <w:bookmarkStart w:id="5900" w:name="_Toc4596"/>
      <w:r>
        <w:t>4455- دیوان ضابط خراسانی أو شعره‏</w:t>
      </w:r>
      <w:bookmarkEnd w:id="5900"/>
    </w:p>
    <w:p>
      <w:pPr>
        <w:pStyle w:val="BookText"/>
      </w:pPr>
      <w:r>
        <w:rPr>
          <w:rFonts w:ascii="IRNazanin" w:hAnsi="IRNazanin" w:eastAsia="IRNazanin" w:cs="IRNazanin"/>
          <w:lang w:bidi="fa-IR"/>
          <w:color w:val="111111"/>
          <w:sz w:val="28"/>
          <w:szCs w:val="28"/>
          <w:rtl/>
        </w:rPr>
        <w:t xml:space="preserve">ترجمه و أورد شعره المتخلص فیه ضابط فی (روشن- ص 401).</w:t>
      </w:r>
    </w:p>
    <w:p>
      <w:pPr>
        <w:pStyle w:val="Heading3"/>
      </w:pPr>
      <w:bookmarkStart w:id="5901" w:name="_Toc4597"/>
      <w:r>
        <w:t>4456- دیوان ضابط گیلانی أو شعره‏</w:t>
      </w:r>
      <w:bookmarkEnd w:id="5901"/>
    </w:p>
    <w:p>
      <w:pPr>
        <w:pStyle w:val="BookText"/>
      </w:pPr>
      <w:r>
        <w:rPr>
          <w:rFonts w:ascii="IRNazanin" w:hAnsi="IRNazanin" w:eastAsia="IRNazanin" w:cs="IRNazanin"/>
          <w:lang w:bidi="fa-IR"/>
          <w:color w:val="111111"/>
          <w:sz w:val="28"/>
          <w:szCs w:val="28"/>
          <w:rtl/>
        </w:rPr>
        <w:t xml:space="preserve">ترجمه الحزین فی تذکرته (ص 118) و قال اسمه محمد إبراهیم. و کذا فی (روشن- ص 401).</w:t>
      </w:r>
    </w:p>
    <w:p>
      <w:pPr>
        <w:pStyle w:val="Heading3"/>
      </w:pPr>
      <w:bookmarkStart w:id="5902" w:name="_Toc4598"/>
      <w:r>
        <w:t>4457- دیوان ضامن لکهنوی‏</w:t>
      </w:r>
      <w:bookmarkEnd w:id="5902"/>
    </w:p>
    <w:p>
      <w:pPr>
        <w:pStyle w:val="BookText"/>
      </w:pPr>
      <w:r>
        <w:rPr>
          <w:rFonts w:ascii="IRNazanin" w:hAnsi="IRNazanin" w:eastAsia="IRNazanin" w:cs="IRNazanin"/>
          <w:lang w:bidi="fa-IR"/>
          <w:color w:val="111111"/>
          <w:sz w:val="28"/>
          <w:szCs w:val="28"/>
          <w:rtl/>
        </w:rPr>
        <w:t xml:space="preserve">طبع بنولکشور، و هو المولوی غلام ضامن أخ غلام ثامن. کان عالما بالمعقول کما فی (روشن- ص 401).</w:t>
      </w:r>
    </w:p>
    <w:p>
      <w:pPr>
        <w:pStyle w:val="Heading3"/>
      </w:pPr>
      <w:bookmarkStart w:id="5903" w:name="_Toc4599"/>
      <w:r>
        <w:t>4458- دیوان السید ضامن‏</w:t>
      </w:r>
      <w:bookmarkEnd w:id="5903"/>
    </w:p>
    <w:p>
      <w:pPr>
        <w:pStyle w:val="BookText"/>
      </w:pPr>
      <w:r>
        <w:rPr>
          <w:rFonts w:ascii="IRNazanin" w:hAnsi="IRNazanin" w:eastAsia="IRNazanin" w:cs="IRNazanin"/>
          <w:lang w:bidi="fa-IR"/>
          <w:color w:val="111111"/>
          <w:sz w:val="28"/>
          <w:szCs w:val="28"/>
          <w:rtl/>
        </w:rPr>
        <w:t xml:space="preserve">ابن شدقم بن زین الدین علی بن بدر الدین حسن الحسینی الخمری الشدقمی المدنی صاحب تحفه الأزهار ذکر فیه تاریخ ولادة بعض ولده فی (1088) فی أصفهان فیظهر حیاته بها فی التاریخ.</w:t>
      </w:r>
    </w:p>
    <w:p>
      <w:pPr>
        <w:pStyle w:val="Heading3"/>
      </w:pPr>
      <w:bookmarkStart w:id="5904" w:name="_Toc4600"/>
      <w:r>
        <w:t>4459- دیوان الضبی أو شعره‏</w:t>
      </w:r>
      <w:bookmarkEnd w:id="5904"/>
    </w:p>
    <w:p>
      <w:pPr>
        <w:pStyle w:val="BookText"/>
      </w:pPr>
      <w:r>
        <w:rPr>
          <w:rFonts w:ascii="IRNazanin" w:hAnsi="IRNazanin" w:eastAsia="IRNazanin" w:cs="IRNazanin"/>
          <w:lang w:bidi="fa-IR"/>
          <w:color w:val="111111"/>
          <w:sz w:val="28"/>
          <w:szCs w:val="28"/>
          <w:rtl/>
        </w:rPr>
        <w:t xml:space="preserve">و هو محمد بن حبیب. عده فی معالم العلماء- ص 139 من أصحاب الأئمة الشعراء. و کذا فی (لس- ص 381).</w:t>
      </w:r>
    </w:p>
    <w:p>
      <w:pPr>
        <w:pStyle w:val="Heading3"/>
      </w:pPr>
      <w:bookmarkStart w:id="5905" w:name="_Toc4601"/>
      <w:r>
        <w:t>4460- دیوان الضبی أو شعره‏</w:t>
      </w:r>
      <w:bookmarkEnd w:id="5905"/>
    </w:p>
    <w:p>
      <w:pPr>
        <w:pStyle w:val="BookText"/>
      </w:pPr>
      <w:r>
        <w:rPr>
          <w:rFonts w:ascii="IRNazanin" w:hAnsi="IRNazanin" w:eastAsia="IRNazanin" w:cs="IRNazanin"/>
          <w:lang w:bidi="fa-IR"/>
          <w:color w:val="111111"/>
          <w:sz w:val="28"/>
          <w:szCs w:val="28"/>
          <w:rtl/>
        </w:rPr>
        <w:t xml:space="preserve">و هو أحمد بن إبراهیم الکافی الأوحد المتوفی 397. ترجمه فی الیتیمة و عده فی المعالم ص 136 من المجاهرین بمدح الأئمة.</w:t>
      </w:r>
    </w:p>
    <w:p>
      <w:pPr>
        <w:pStyle w:val="Heading3"/>
      </w:pPr>
      <w:bookmarkStart w:id="5906" w:name="_Toc4602"/>
      <w:r>
        <w:t>4461- دیوان الضحاک‏</w:t>
      </w:r>
      <w:bookmarkEnd w:id="5906"/>
    </w:p>
    <w:p>
      <w:pPr>
        <w:pStyle w:val="BookText"/>
      </w:pPr>
      <w:r>
        <w:rPr>
          <w:rFonts w:ascii="IRNazanin" w:hAnsi="IRNazanin" w:eastAsia="IRNazanin" w:cs="IRNazanin"/>
          <w:lang w:bidi="fa-IR"/>
          <w:color w:val="111111"/>
          <w:sz w:val="28"/>
          <w:szCs w:val="28"/>
          <w:rtl/>
        </w:rPr>
        <w:t xml:space="preserve">ابن قیس بن معاویة التمیمی الشهیر بالأحنف. اسمه أحمد ابن قیس. کان سیدا حلیما من التابعین و أصحاب أمیر المؤمنین ع. شهد صفین و النهروان.</w:t>
      </w:r>
    </w:p>
    <w:p>
      <w:pPr>
        <w:pStyle w:val="BookText"/>
      </w:pPr>
      <w:r>
        <w:rPr>
          <w:rFonts w:ascii="IRNazanin" w:hAnsi="IRNazanin" w:eastAsia="IRNazanin" w:cs="IRNazanin"/>
          <w:lang w:bidi="fa-IR"/>
          <w:color w:val="111111"/>
          <w:sz w:val="28"/>
          <w:szCs w:val="28"/>
          <w:rtl/>
        </w:rPr>
        <w:t xml:space="preserve">ترجمه کذلک فی الجزء الأول من نسمة السحر فیمن تشیع و شعر الموجود نسخته فی مکتبة کاشف الغطاء فی النجف.</w:t>
      </w:r>
    </w:p>
    <w:p>
      <w:pPr>
        <w:pStyle w:val="Heading3"/>
      </w:pPr>
      <w:bookmarkStart w:id="5907" w:name="_Toc4603"/>
      <w:r>
        <w:t>4462- دیوان ضعیفی نیشابوری أو شعرها</w:t>
      </w:r>
      <w:bookmarkEnd w:id="5907"/>
    </w:p>
    <w:p>
      <w:pPr>
        <w:pStyle w:val="BookText"/>
      </w:pPr>
      <w:r>
        <w:rPr>
          <w:rFonts w:ascii="IRNazanin" w:hAnsi="IRNazanin" w:eastAsia="IRNazanin" w:cs="IRNazanin"/>
          <w:lang w:bidi="fa-IR"/>
          <w:color w:val="111111"/>
          <w:sz w:val="28"/>
          <w:szCs w:val="28"/>
          <w:rtl/>
        </w:rPr>
        <w:t xml:space="preserve">سماها فی عرفات بی‏بی ضعیفی و قال کانت معاصره ل بی‏بی آرزو و سافرت فی آخر عمرها إلی مکة. و قال فی تذکره‏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619" w:name="pg11704_122102"/>
    <w:bookmarkEnd w:id="619"/>
    <w:p>
      <w:pPr>
        <w:pStyle w:val="BookText"/>
      </w:pPr>
      <w:r>
        <w:rPr>
          <w:rFonts w:ascii="IRNazanin" w:hAnsi="IRNazanin" w:eastAsia="IRNazanin" w:cs="IRNazanin"/>
          <w:lang w:bidi="fa-IR"/>
          <w:color w:val="111111"/>
          <w:sz w:val="28"/>
          <w:szCs w:val="28"/>
          <w:rtl/>
        </w:rPr>
        <w:t xml:space="preserve">الخواتین إنها کانت معاصره للحکیم آذری الأسفراینی المتوفی 866 و لکن فی (مجتس 6- ص 168) و (حسینی- ص 195) سماها ملا ضعیفی و کذا فی (گلشن- ص 258) و أورد شعرها فی از رابعة تا پروین- ص 161 لکشاورز صدر. و فی (روشن ص 402) أورد ذکر محمد قاسم ضعیفی ما وراء النهری.</w:t>
      </w:r>
    </w:p>
    <w:p>
      <w:pPr>
        <w:pStyle w:val="Heading3"/>
      </w:pPr>
      <w:bookmarkStart w:id="5908" w:name="_Toc4604"/>
      <w:r>
        <w:t>4463- دیوان ضمیر أو شعره‏</w:t>
      </w:r>
      <w:bookmarkEnd w:id="5908"/>
    </w:p>
    <w:p>
      <w:pPr>
        <w:pStyle w:val="BookText"/>
      </w:pPr>
      <w:r>
        <w:rPr>
          <w:rFonts w:ascii="IRNazanin" w:hAnsi="IRNazanin" w:eastAsia="IRNazanin" w:cs="IRNazanin"/>
          <w:lang w:bidi="fa-IR"/>
          <w:color w:val="111111"/>
          <w:sz w:val="28"/>
          <w:szCs w:val="28"/>
          <w:rtl/>
        </w:rPr>
        <w:t xml:space="preserve">الإیرانی أصلا الهندی مولدا. اسمه المیرزا روشن ضمیر معاصر السلطان شهاب الدین محمد شاه‏جهان الملقب بصاحبقران ثانی، و کان منصوبا من قبله فی (1066) بمناصب عدیدة فی بندر سورت و عزل عن بعضها فی حادی عشر شهر رمضان من</w:t>
      </w:r>
    </w:p>
    <w:p>
      <w:pPr>
        <w:pStyle w:val="BookText"/>
      </w:pPr>
      <w:r>
        <w:rPr>
          <w:rFonts w:ascii="IRNazanin" w:hAnsi="IRNazanin" w:eastAsia="IRNazanin" w:cs="IRNazanin"/>
          <w:lang w:bidi="fa-IR"/>
          <w:color w:val="111111"/>
          <w:sz w:val="28"/>
          <w:szCs w:val="28"/>
          <w:rtl/>
        </w:rPr>
        <w:t xml:space="preserve">تلک السنة و نصب لمنصب آخر بها إلی أن مات (1074) و نال من السلطان بصلات و جوائز کثیرة کما فصله فی خزانة عامرة ص 297.</w:t>
      </w:r>
    </w:p>
    <w:p>
      <w:pPr>
        <w:pStyle w:val="Heading3"/>
      </w:pPr>
      <w:bookmarkStart w:id="5909" w:name="_Toc4605"/>
      <w:r>
        <w:t>4464- دیوان ضمیر حلوائی أو شعره‏</w:t>
      </w:r>
      <w:bookmarkEnd w:id="5909"/>
    </w:p>
    <w:p>
      <w:pPr>
        <w:pStyle w:val="BookText"/>
      </w:pPr>
      <w:r>
        <w:rPr>
          <w:rFonts w:ascii="IRNazanin" w:hAnsi="IRNazanin" w:eastAsia="IRNazanin" w:cs="IRNazanin"/>
          <w:lang w:bidi="fa-IR"/>
          <w:color w:val="111111"/>
          <w:sz w:val="28"/>
          <w:szCs w:val="28"/>
          <w:rtl/>
        </w:rPr>
        <w:t xml:space="preserve">اسمه تقی حلوائی. أورد النصرآبادی بعض شعره فی (نر 9- ص 419) و ذکر وصف المیر حمیدی له بقوله:</w:t>
      </w:r>
    </w:p>
    <w:p>
      <w:pPr>
        <w:pStyle w:val="BookText"/>
      </w:pPr>
      <w:r>
        <w:rPr>
          <w:rFonts w:ascii="IRNazanin" w:hAnsi="IRNazanin" w:eastAsia="IRNazanin" w:cs="IRNazanin"/>
          <w:lang w:bidi="fa-IR"/>
          <w:color w:val="111111"/>
          <w:sz w:val="28"/>
          <w:szCs w:val="28"/>
          <w:rtl/>
        </w:rPr>
        <w:t xml:space="preserve">شعر تو آن روز که دیوان شود</w:t>
      </w:r>
    </w:p>
    <w:p>
      <w:pPr>
        <w:pStyle w:val="BookText"/>
      </w:pPr>
      <w:r>
        <w:rPr>
          <w:rFonts w:ascii="IRNazanin" w:hAnsi="IRNazanin" w:eastAsia="IRNazanin" w:cs="IRNazanin"/>
          <w:lang w:bidi="fa-IR"/>
          <w:color w:val="111111"/>
          <w:sz w:val="28"/>
          <w:szCs w:val="28"/>
          <w:rtl/>
        </w:rPr>
        <w:t xml:space="preserve">کاغذ حلوا چه فراوان شود</w:t>
      </w:r>
    </w:p>
    <w:p>
      <w:pPr>
        <w:pStyle w:val="BookText"/>
      </w:pPr>
      <w:r>
        <w:rPr>
          <w:rFonts w:ascii="IRNazanin" w:hAnsi="IRNazanin" w:eastAsia="IRNazanin" w:cs="IRNazanin"/>
          <w:lang w:bidi="fa-IR"/>
          <w:color w:val="111111"/>
          <w:sz w:val="28"/>
          <w:szCs w:val="28"/>
          <w:rtl/>
        </w:rPr>
        <w:t xml:space="preserve">و له مطائبات مع معاصره صیدی و قد سافر إلی الهند و رجع. أورد شعره فی (گلشن- ص 258).</w:t>
      </w:r>
    </w:p>
    <w:p>
      <w:pPr>
        <w:pStyle w:val="Heading3"/>
      </w:pPr>
      <w:bookmarkStart w:id="5910" w:name="_Toc4606"/>
      <w:r>
        <w:t>4465- دیوان ضمیری الأصفهانی‏</w:t>
      </w:r>
      <w:bookmarkEnd w:id="5910"/>
    </w:p>
    <w:p>
      <w:pPr>
        <w:pStyle w:val="BookText"/>
      </w:pPr>
      <w:r>
        <w:rPr>
          <w:rFonts w:ascii="IRNazanin" w:hAnsi="IRNazanin" w:eastAsia="IRNazanin" w:cs="IRNazanin"/>
          <w:lang w:bidi="fa-IR"/>
          <w:color w:val="111111"/>
          <w:sz w:val="28"/>
          <w:szCs w:val="28"/>
          <w:rtl/>
        </w:rPr>
        <w:t xml:space="preserve">. اسمه کمال الدین حسین من شعراء عصر الشاه طهماسب المتوفی (984) کان ماهرا فی النجوم و الرمل و لذا یتخلص بضمیری. ترجمه فی تحفه سامی المؤلف فی 957 (ص 124) و عالم‏آرا (ص 187 [129]) و ذکر أنه فی أوان شبابه، و أورد بعض شعره. و ترجمه صادقی فی مجمع الخواص المؤلف (1016) (ص 136) و ذکر أنه توفی و دفن بأصفهان، و له من الشعر مائة ألف بیت لیس فی بیت واحد منها مدح للملوک و ذلک لعلو همته. و ترجمه فی (مع- ج 1 ص 335) و ذکر له المثنویات الستة بأسامیها و الدواوین السبعة بأسامیها و أحد عشر دیوانا فی مقابل دواوین سعدی و حافظ و شرف‏جهان و کمال خجندی و غیرهم. و قال إنه لم یر فی الدنیا شاعر أکثر شعرا من ضمیری الأصفهانی و رأیت فی بعض المواضع أنه مات فی 28 شعبان 987 و فی (تغ 82) أنه مات 1000 و مر فی (7: 16) وفاته فی 973 و ذکرنا تفصیل حاله فی (7: 261) و قد جاء ترجمته فی (تش- ص 180) و الروضة الصفویة و کذا فی‏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620" w:name="pg11704_122103"/>
    <w:bookmarkEnd w:id="620"/>
    <w:p>
      <w:pPr>
        <w:pStyle w:val="BookText"/>
      </w:pPr>
      <w:r>
        <w:rPr>
          <w:rFonts w:ascii="IRNazanin" w:hAnsi="IRNazanin" w:eastAsia="IRNazanin" w:cs="IRNazanin"/>
          <w:lang w:bidi="fa-IR"/>
          <w:color w:val="111111"/>
          <w:sz w:val="28"/>
          <w:szCs w:val="28"/>
          <w:rtl/>
        </w:rPr>
        <w:t xml:space="preserve">هدیة العارفین 1: 319. و قد رأی المنتخب من خمسة دواوینه سنگلاخ و ذکرها فی امتحان الفضلاء 2: 320 و فرهنگ ضمیری من مدارک فرهنگ جهانگیری.</w:t>
      </w:r>
    </w:p>
    <w:p>
      <w:pPr>
        <w:pStyle w:val="Heading3"/>
      </w:pPr>
      <w:bookmarkStart w:id="5911" w:name="_Toc4607"/>
      <w:r>
        <w:t>4466- دیوان ضمیری بلگرامی‏</w:t>
      </w:r>
      <w:bookmarkEnd w:id="5911"/>
    </w:p>
    <w:p>
      <w:pPr>
        <w:pStyle w:val="BookText"/>
      </w:pPr>
      <w:r>
        <w:rPr>
          <w:rFonts w:ascii="IRNazanin" w:hAnsi="IRNazanin" w:eastAsia="IRNazanin" w:cs="IRNazanin"/>
          <w:lang w:bidi="fa-IR"/>
          <w:color w:val="111111"/>
          <w:sz w:val="28"/>
          <w:szCs w:val="28"/>
          <w:rtl/>
        </w:rPr>
        <w:t xml:space="preserve">و هو نظام الدین من شعراء بلگرام. کان یسکن ناحیة قاضی‏پوره، و مات أبوه و هو صغیر و رباه عمه الذی کان من ملازمی أکبر پادشاه.</w:t>
      </w:r>
    </w:p>
    <w:p>
      <w:pPr>
        <w:pStyle w:val="BookText"/>
      </w:pPr>
      <w:r>
        <w:rPr>
          <w:rFonts w:ascii="IRNazanin" w:hAnsi="IRNazanin" w:eastAsia="IRNazanin" w:cs="IRNazanin"/>
          <w:lang w:bidi="fa-IR"/>
          <w:color w:val="111111"/>
          <w:sz w:val="28"/>
          <w:szCs w:val="28"/>
          <w:rtl/>
        </w:rPr>
        <w:t xml:space="preserve">و مات بقریة سفیدون من توابع دهلی فی 1003 و قال مبارک خان فی تاریخه:</w:t>
      </w:r>
    </w:p>
    <w:p>
      <w:pPr>
        <w:pStyle w:val="BookText"/>
      </w:pPr>
      <w:r>
        <w:rPr>
          <w:rFonts w:ascii="IRNazanin" w:hAnsi="IRNazanin" w:eastAsia="IRNazanin" w:cs="IRNazanin"/>
          <w:lang w:bidi="fa-IR"/>
          <w:color w:val="111111"/>
          <w:sz w:val="28"/>
          <w:szCs w:val="28"/>
          <w:rtl/>
        </w:rPr>
        <w:t xml:space="preserve">کردم اندیشه بهر تاریخش‏</w:t>
      </w:r>
    </w:p>
    <w:p>
      <w:pPr>
        <w:pStyle w:val="BookText"/>
      </w:pPr>
      <w:r>
        <w:rPr>
          <w:rFonts w:ascii="IRNazanin" w:hAnsi="IRNazanin" w:eastAsia="IRNazanin" w:cs="IRNazanin"/>
          <w:lang w:bidi="fa-IR"/>
          <w:color w:val="111111"/>
          <w:sz w:val="28"/>
          <w:szCs w:val="28"/>
          <w:rtl/>
        </w:rPr>
        <w:t xml:space="preserve">خردم گفت: آه آه نظام‏</w:t>
      </w:r>
    </w:p>
    <w:p>
      <w:pPr>
        <w:pStyle w:val="BookText"/>
      </w:pPr>
      <w:r>
        <w:rPr>
          <w:rFonts w:ascii="IRNazanin" w:hAnsi="IRNazanin" w:eastAsia="IRNazanin" w:cs="IRNazanin"/>
          <w:lang w:bidi="fa-IR"/>
          <w:color w:val="111111"/>
          <w:sz w:val="28"/>
          <w:szCs w:val="28"/>
          <w:rtl/>
        </w:rPr>
        <w:t xml:space="preserve">و دیوانه مشتمل علی الغزل و الرباعی و الصنائع الشعریة فی خمسة عشر ألف بیت. رآه السید محمد أشرف درگاهی. کذا ترجمه فی سرو آزاد- ص 244- 247 و توجد دیوانه فی (بنگاله) کما فی فهرسها.</w:t>
      </w:r>
    </w:p>
    <w:p>
      <w:pPr>
        <w:pStyle w:val="Heading3"/>
      </w:pPr>
      <w:bookmarkStart w:id="5912" w:name="_Toc4608"/>
      <w:r>
        <w:t>4467- دیوان ضمیری قمی‏</w:t>
      </w:r>
      <w:bookmarkEnd w:id="5912"/>
    </w:p>
    <w:p>
      <w:pPr>
        <w:pStyle w:val="BookText"/>
      </w:pPr>
      <w:r>
        <w:rPr>
          <w:rFonts w:ascii="IRNazanin" w:hAnsi="IRNazanin" w:eastAsia="IRNazanin" w:cs="IRNazanin"/>
          <w:lang w:bidi="fa-IR"/>
          <w:color w:val="111111"/>
          <w:sz w:val="28"/>
          <w:szCs w:val="28"/>
          <w:rtl/>
        </w:rPr>
        <w:t xml:space="preserve">الهمدانی الاشتهار و بها توفی و دفن بإمام‏زاده إسماعیل.</w:t>
      </w:r>
    </w:p>
    <w:p>
      <w:pPr>
        <w:pStyle w:val="BookText"/>
      </w:pPr>
      <w:r>
        <w:rPr>
          <w:rFonts w:ascii="IRNazanin" w:hAnsi="IRNazanin" w:eastAsia="IRNazanin" w:cs="IRNazanin"/>
          <w:lang w:bidi="fa-IR"/>
          <w:color w:val="111111"/>
          <w:sz w:val="28"/>
          <w:szCs w:val="28"/>
          <w:rtl/>
        </w:rPr>
        <w:t xml:space="preserve">و هو ابن المولی حیرانی القمی. ترجمه فی (خص 8- ص 178) و ذکر أنه کان یحضر مجالس الشاه طهماسب لکنه منع من حضوره فکان منزویا فی همدان إلی أن توفی بها و ترجمه أیضا سام میرزا فی (تس 5- 124) و أوردا بعض شعره و فی (گلشن ص 258) أن له عدة مثنویات.</w:t>
      </w:r>
    </w:p>
    <w:p>
      <w:pPr>
        <w:pStyle w:val="Heading3"/>
      </w:pPr>
      <w:bookmarkStart w:id="5913" w:name="_Toc4609"/>
      <w:r>
        <w:t>دیوان ضمیری همدانی‏</w:t>
      </w:r>
      <w:bookmarkEnd w:id="5913"/>
    </w:p>
    <w:p>
      <w:pPr>
        <w:pStyle w:val="BookText"/>
      </w:pPr>
      <w:r>
        <w:rPr>
          <w:rFonts w:ascii="IRNazanin" w:hAnsi="IRNazanin" w:eastAsia="IRNazanin" w:cs="IRNazanin"/>
          <w:lang w:bidi="fa-IR"/>
          <w:color w:val="111111"/>
          <w:sz w:val="28"/>
          <w:szCs w:val="28"/>
          <w:rtl/>
        </w:rPr>
        <w:t xml:space="preserve">راجع ضمیری قمی.</w:t>
      </w:r>
    </w:p>
    <w:p>
      <w:pPr>
        <w:pStyle w:val="Heading3"/>
      </w:pPr>
      <w:bookmarkStart w:id="5914" w:name="_Toc4610"/>
      <w:r>
        <w:t>دیوان ضیاء</w:t>
      </w:r>
      <w:bookmarkEnd w:id="5914"/>
    </w:p>
    <w:p>
      <w:pPr>
        <w:pStyle w:val="BookText"/>
      </w:pPr>
      <w:r>
        <w:rPr>
          <w:rFonts w:ascii="IRNazanin" w:hAnsi="IRNazanin" w:eastAsia="IRNazanin" w:cs="IRNazanin"/>
          <w:lang w:bidi="fa-IR"/>
          <w:color w:val="111111"/>
          <w:sz w:val="28"/>
          <w:szCs w:val="28"/>
          <w:rtl/>
        </w:rPr>
        <w:t xml:space="preserve">قال فی (لط 3- ص 87) إنه تخلص آخر لفغانی فیأتی فی الفاء.</w:t>
      </w:r>
    </w:p>
    <w:p>
      <w:pPr>
        <w:pStyle w:val="Heading3"/>
      </w:pPr>
      <w:bookmarkStart w:id="5915" w:name="_Toc4611"/>
      <w:r>
        <w:t>4468- دیوان ضیاء</w:t>
      </w:r>
      <w:bookmarkEnd w:id="5915"/>
    </w:p>
    <w:p>
      <w:pPr>
        <w:pStyle w:val="BookText"/>
      </w:pPr>
      <w:r>
        <w:rPr>
          <w:rFonts w:ascii="IRNazanin" w:hAnsi="IRNazanin" w:eastAsia="IRNazanin" w:cs="IRNazanin"/>
          <w:lang w:bidi="fa-IR"/>
          <w:color w:val="111111"/>
          <w:sz w:val="28"/>
          <w:szCs w:val="28"/>
          <w:rtl/>
        </w:rPr>
        <w:t xml:space="preserve">فارسی مطبوع فی المدائح و المراثی کما یظهر من بعض الفهارس.</w:t>
      </w:r>
    </w:p>
    <w:p>
      <w:pPr>
        <w:pStyle w:val="Heading3"/>
      </w:pPr>
      <w:bookmarkStart w:id="5916" w:name="_Toc4612"/>
      <w:r>
        <w:t>4469- دیوان ضیاء</w:t>
      </w:r>
      <w:bookmarkEnd w:id="5916"/>
    </w:p>
    <w:p>
      <w:pPr>
        <w:pStyle w:val="BookText"/>
      </w:pPr>
      <w:r>
        <w:rPr>
          <w:rFonts w:ascii="IRNazanin" w:hAnsi="IRNazanin" w:eastAsia="IRNazanin" w:cs="IRNazanin"/>
          <w:lang w:bidi="fa-IR"/>
          <w:color w:val="111111"/>
          <w:sz w:val="28"/>
          <w:szCs w:val="28"/>
          <w:rtl/>
        </w:rPr>
        <w:t xml:space="preserve">رأیت بعضه فی ضمن مجموعة دونها المولی حسن علی المداح الذی کان حیا فی (1285) فی کتب السید محمد بن نعمة الله الموسوی من أحفاد المیر عبد الصمد التستری و هو القصیدة الطویلة فی نیف و مائة بیت فی مدح أمیر المؤمنین علیه السلام  و فی المجموعة دیوان ثریا أیضا أول القصیدة:</w:t>
      </w:r>
    </w:p>
    <w:p>
      <w:pPr>
        <w:pStyle w:val="BookText"/>
      </w:pPr>
      <w:r>
        <w:rPr>
          <w:rFonts w:ascii="IRNazanin" w:hAnsi="IRNazanin" w:eastAsia="IRNazanin" w:cs="IRNazanin"/>
          <w:lang w:bidi="fa-IR"/>
          <w:color w:val="111111"/>
          <w:sz w:val="28"/>
          <w:szCs w:val="28"/>
          <w:rtl/>
        </w:rPr>
        <w:t xml:space="preserve">باز جهان شد جوان چه طلعت خوبان‏</w:t>
      </w:r>
    </w:p>
    <w:p>
      <w:pPr>
        <w:pStyle w:val="BookText"/>
      </w:pPr>
      <w:r>
        <w:rPr>
          <w:rFonts w:ascii="IRNazanin" w:hAnsi="IRNazanin" w:eastAsia="IRNazanin" w:cs="IRNazanin"/>
          <w:lang w:bidi="fa-IR"/>
          <w:color w:val="111111"/>
          <w:sz w:val="28"/>
          <w:szCs w:val="28"/>
          <w:rtl/>
        </w:rPr>
        <w:t xml:space="preserve">شد چه رخ دلستان فضای گلستان‏</w:t>
      </w:r>
    </w:p>
    <w:p>
      <w:pPr>
        <w:pStyle w:val="BookText"/>
      </w:pPr>
      <w:r>
        <w:rPr>
          <w:rFonts w:ascii="IRNazanin" w:hAnsi="IRNazanin" w:eastAsia="IRNazanin" w:cs="IRNazanin"/>
          <w:lang w:bidi="fa-IR"/>
          <w:color w:val="111111"/>
          <w:sz w:val="28"/>
          <w:szCs w:val="28"/>
          <w:rtl/>
        </w:rPr>
        <w:t xml:space="preserve">إلی قوله:</w:t>
      </w:r>
    </w:p>
    <w:p>
      <w:pPr>
        <w:pStyle w:val="BookText"/>
      </w:pPr>
      <w:r>
        <w:rPr>
          <w:rFonts w:ascii="IRNazanin" w:hAnsi="IRNazanin" w:eastAsia="IRNazanin" w:cs="IRNazanin"/>
          <w:lang w:bidi="fa-IR"/>
          <w:color w:val="111111"/>
          <w:sz w:val="28"/>
          <w:szCs w:val="28"/>
          <w:rtl/>
        </w:rPr>
        <w:t xml:space="preserve">حیدر صفدر علی عالی أعلی‏</w:t>
      </w:r>
    </w:p>
    <w:p>
      <w:pPr>
        <w:pStyle w:val="BookText"/>
      </w:pPr>
      <w:r>
        <w:rPr>
          <w:rFonts w:ascii="IRNazanin" w:hAnsi="IRNazanin" w:eastAsia="IRNazanin" w:cs="IRNazanin"/>
          <w:lang w:bidi="fa-IR"/>
          <w:color w:val="111111"/>
          <w:sz w:val="28"/>
          <w:szCs w:val="28"/>
          <w:rtl/>
        </w:rPr>
        <w:t xml:space="preserve">صهر پیمبر ولی ایزد منان‏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621" w:name="pg11704_122104"/>
    <w:bookmarkEnd w:id="621"/>
    <w:p>
      <w:pPr>
        <w:pStyle w:val="BookText"/>
      </w:pPr>
      <w:r>
        <w:rPr>
          <w:rFonts w:ascii="IRNazanin" w:hAnsi="IRNazanin" w:eastAsia="IRNazanin" w:cs="IRNazanin"/>
          <w:lang w:bidi="fa-IR"/>
          <w:color w:val="111111"/>
          <w:sz w:val="28"/>
          <w:szCs w:val="28"/>
          <w:rtl/>
        </w:rPr>
        <w:t xml:space="preserve">و تخلص الشاعر:</w:t>
      </w:r>
    </w:p>
    <w:p>
      <w:pPr>
        <w:pStyle w:val="BookText"/>
      </w:pPr>
      <w:r>
        <w:rPr>
          <w:rFonts w:ascii="IRNazanin" w:hAnsi="IRNazanin" w:eastAsia="IRNazanin" w:cs="IRNazanin"/>
          <w:lang w:bidi="fa-IR"/>
          <w:color w:val="111111"/>
          <w:sz w:val="28"/>
          <w:szCs w:val="28"/>
          <w:rtl/>
        </w:rPr>
        <w:t xml:space="preserve">بس کن و بگذر ضیا ز مدح و مزن دم‏</w:t>
      </w:r>
    </w:p>
    <w:p>
      <w:pPr>
        <w:pStyle w:val="BookText"/>
      </w:pPr>
      <w:r>
        <w:rPr>
          <w:rFonts w:ascii="IRNazanin" w:hAnsi="IRNazanin" w:eastAsia="IRNazanin" w:cs="IRNazanin"/>
          <w:lang w:bidi="fa-IR"/>
          <w:color w:val="111111"/>
          <w:sz w:val="28"/>
          <w:szCs w:val="28"/>
          <w:rtl/>
        </w:rPr>
        <w:t xml:space="preserve">مدحت ذاتش بجد و جهد چه نتوان‏</w:t>
      </w:r>
    </w:p>
    <w:p>
      <w:pPr>
        <w:pStyle w:val="Heading3"/>
      </w:pPr>
      <w:bookmarkStart w:id="5917" w:name="_Toc4613"/>
      <w:r>
        <w:t>4470- دیوان ضیاء أصفهانی‏</w:t>
      </w:r>
      <w:bookmarkEnd w:id="5917"/>
    </w:p>
    <w:p>
      <w:pPr>
        <w:pStyle w:val="BookText"/>
      </w:pPr>
      <w:r>
        <w:rPr>
          <w:rFonts w:ascii="IRNazanin" w:hAnsi="IRNazanin" w:eastAsia="IRNazanin" w:cs="IRNazanin"/>
          <w:lang w:bidi="fa-IR"/>
          <w:color w:val="111111"/>
          <w:sz w:val="28"/>
          <w:szCs w:val="28"/>
          <w:rtl/>
        </w:rPr>
        <w:t xml:space="preserve">و اسمه محمد حسین الأصفهانی و هو من الشعراء المداحین لمعتمد الدولة منوچهر خان خواجه والی أصفهان و المتوفی بها (1263) و قد ترجمه و أورد مدیحة له المیرزا محمد علی بن أبی طالب المذهب المتخلص بهار الأصفهانی فی کتابه المدائح المعتمدیة الموجود نسخه منه فی مکتبة (المجلس) کما فی فهرسها (ص 684).</w:t>
      </w:r>
    </w:p>
    <w:p>
      <w:pPr>
        <w:pStyle w:val="Heading3"/>
      </w:pPr>
      <w:bookmarkStart w:id="5918" w:name="_Toc4614"/>
      <w:r>
        <w:t>4471- دیوان ضیاء أصفهانی أو شعره‏</w:t>
      </w:r>
      <w:bookmarkEnd w:id="5918"/>
    </w:p>
    <w:p>
      <w:pPr>
        <w:pStyle w:val="BookText"/>
      </w:pPr>
      <w:r>
        <w:rPr>
          <w:rFonts w:ascii="IRNazanin" w:hAnsi="IRNazanin" w:eastAsia="IRNazanin" w:cs="IRNazanin"/>
          <w:lang w:bidi="fa-IR"/>
          <w:color w:val="111111"/>
          <w:sz w:val="28"/>
          <w:szCs w:val="28"/>
          <w:rtl/>
        </w:rPr>
        <w:t xml:space="preserve">و هو ضیاء الدین محمد ابن عم المیرزا سلیمان الخاوری. أورد شعره فی (حسینی- ص 196) و (گلشن- ص 259) و فی (روشن 404) أوصل نسبه إلی جابر الأنصاری.</w:t>
      </w:r>
    </w:p>
    <w:p>
      <w:pPr>
        <w:pStyle w:val="Heading3"/>
      </w:pPr>
      <w:bookmarkStart w:id="5919" w:name="_Toc4615"/>
      <w:r>
        <w:t>4472- دیوان ضیاء أصفهانی‏</w:t>
      </w:r>
      <w:bookmarkEnd w:id="5919"/>
    </w:p>
    <w:p>
      <w:pPr>
        <w:pStyle w:val="BookText"/>
      </w:pPr>
      <w:r>
        <w:rPr>
          <w:rFonts w:ascii="IRNazanin" w:hAnsi="IRNazanin" w:eastAsia="IRNazanin" w:cs="IRNazanin"/>
          <w:lang w:bidi="fa-IR"/>
          <w:color w:val="111111"/>
          <w:sz w:val="28"/>
          <w:szCs w:val="28"/>
          <w:rtl/>
        </w:rPr>
        <w:t xml:space="preserve">و اسمه المیرزا نور الله الرویدشتی. کان بقریة کفران من البلوکات التسعة لأصفهان و من أکابرها فی عصر الشاه عباس الماضی المتوفی (1038) و من کتاب دیوانه. ترجمه فی الروضة الصفویة و (تش 181) و (مع- ج 2 ص 335) و أورد قرب خمسین بیتا من بعض قصائده. و نسخه دیوانه مع بعض أشعار محمد حسن الأصفهانی المتخلص زرگر و المتوفی (1270) توجد فی مکتبة (المجلس) و (الملک). و (روشن- 403).</w:t>
      </w:r>
    </w:p>
    <w:p>
      <w:pPr>
        <w:pStyle w:val="Heading3"/>
      </w:pPr>
      <w:bookmarkStart w:id="5920" w:name="_Toc4616"/>
      <w:r>
        <w:t>4473- دیوان ضیاء بلگرامی أو شعره‏</w:t>
      </w:r>
      <w:bookmarkEnd w:id="5920"/>
    </w:p>
    <w:p>
      <w:pPr>
        <w:pStyle w:val="BookText"/>
      </w:pPr>
      <w:r>
        <w:rPr>
          <w:rFonts w:ascii="IRNazanin" w:hAnsi="IRNazanin" w:eastAsia="IRNazanin" w:cs="IRNazanin"/>
          <w:lang w:bidi="fa-IR"/>
          <w:color w:val="111111"/>
          <w:sz w:val="28"/>
          <w:szCs w:val="28"/>
          <w:rtl/>
        </w:rPr>
        <w:t xml:space="preserve">و هو الحافظ ضیاء الدین کان مدرسا بمحلة میدان پوره فی بلگرام و مات 25 شعبان 1103 و قال آرزو فی تاریخه:</w:t>
      </w:r>
    </w:p>
    <w:p>
      <w:pPr>
        <w:pStyle w:val="BookText"/>
      </w:pPr>
      <w:r>
        <w:rPr>
          <w:rFonts w:ascii="IRNazanin" w:hAnsi="IRNazanin" w:eastAsia="IRNazanin" w:cs="IRNazanin"/>
          <w:lang w:bidi="fa-IR"/>
          <w:color w:val="111111"/>
          <w:sz w:val="28"/>
          <w:szCs w:val="28"/>
          <w:rtl/>
        </w:rPr>
        <w:t xml:space="preserve">خرد تاریخ أو درخواست از غیب‏</w:t>
      </w:r>
    </w:p>
    <w:p>
      <w:pPr>
        <w:pStyle w:val="BookText"/>
      </w:pPr>
      <w:r>
        <w:rPr>
          <w:rFonts w:ascii="IRNazanin" w:hAnsi="IRNazanin" w:eastAsia="IRNazanin" w:cs="IRNazanin"/>
          <w:lang w:bidi="fa-IR"/>
          <w:color w:val="111111"/>
          <w:sz w:val="28"/>
          <w:szCs w:val="28"/>
          <w:rtl/>
        </w:rPr>
        <w:t xml:space="preserve">ندا آمد: ضیاء منزل قدس‏</w:t>
      </w:r>
    </w:p>
    <w:p>
      <w:pPr>
        <w:pStyle w:val="BookText"/>
      </w:pPr>
      <w:r>
        <w:rPr>
          <w:rFonts w:ascii="IRNazanin" w:hAnsi="IRNazanin" w:eastAsia="IRNazanin" w:cs="IRNazanin"/>
          <w:lang w:bidi="fa-IR"/>
          <w:color w:val="111111"/>
          <w:sz w:val="28"/>
          <w:szCs w:val="28"/>
          <w:rtl/>
        </w:rPr>
        <w:t xml:space="preserve">کذا ترجمه فی سرو آزاد- ص 250 و أورد شعره.</w:t>
      </w:r>
    </w:p>
    <w:p>
      <w:pPr>
        <w:pStyle w:val="Heading3"/>
      </w:pPr>
      <w:bookmarkStart w:id="5921" w:name="_Toc4617"/>
      <w:r>
        <w:t>دیوان ضیاء تبریزی‏</w:t>
      </w:r>
      <w:bookmarkEnd w:id="5921"/>
    </w:p>
    <w:p>
      <w:pPr>
        <w:pStyle w:val="BookText"/>
      </w:pPr>
      <w:r>
        <w:rPr>
          <w:rFonts w:ascii="IRNazanin" w:hAnsi="IRNazanin" w:eastAsia="IRNazanin" w:cs="IRNazanin"/>
          <w:lang w:bidi="fa-IR"/>
          <w:color w:val="111111"/>
          <w:sz w:val="28"/>
          <w:szCs w:val="28"/>
          <w:rtl/>
        </w:rPr>
        <w:t xml:space="preserve">ترجمه فی (مجن 3- ص 64 و 237) و أورد له شعرا ذکره فی (حسینی 194 و تش 26) لضیائی أردوبادی الآتی.</w:t>
      </w:r>
    </w:p>
    <w:p>
      <w:pPr>
        <w:pStyle w:val="Heading3"/>
      </w:pPr>
      <w:bookmarkStart w:id="5922" w:name="_Toc4618"/>
      <w:r>
        <w:t>4474- دیوان ضیاء دهکردی أو شعره‏</w:t>
      </w:r>
      <w:bookmarkEnd w:id="5922"/>
    </w:p>
    <w:p>
      <w:pPr>
        <w:pStyle w:val="BookText"/>
      </w:pPr>
      <w:r>
        <w:rPr>
          <w:rFonts w:ascii="IRNazanin" w:hAnsi="IRNazanin" w:eastAsia="IRNazanin" w:cs="IRNazanin"/>
          <w:lang w:bidi="fa-IR"/>
          <w:color w:val="111111"/>
          <w:sz w:val="28"/>
          <w:szCs w:val="28"/>
          <w:rtl/>
        </w:rPr>
        <w:t xml:space="preserve">و اسمه یوسف بن شیخ علی خان الدهکردی ولد 1310 و توفی 1366 کان منشیا للخانات البختیاریة. أورد شعره فی شعرای معاصر أصفهان ص 322.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622" w:name="pg11704_122105"/>
    <w:bookmarkEnd w:id="622"/>
    <w:p>
      <w:pPr>
        <w:pStyle w:val="Heading3"/>
      </w:pPr>
      <w:bookmarkStart w:id="5923" w:name="_Toc4619"/>
      <w:r>
        <w:t>4475- دیوان ضیاء الدین‏</w:t>
      </w:r>
      <w:bookmarkEnd w:id="5923"/>
    </w:p>
    <w:p>
      <w:pPr>
        <w:pStyle w:val="BookText"/>
      </w:pPr>
      <w:r>
        <w:rPr>
          <w:rFonts w:ascii="IRNazanin" w:hAnsi="IRNazanin" w:eastAsia="IRNazanin" w:cs="IRNazanin"/>
          <w:lang w:bidi="fa-IR"/>
          <w:color w:val="111111"/>
          <w:sz w:val="28"/>
          <w:szCs w:val="28"/>
          <w:rtl/>
        </w:rPr>
        <w:t xml:space="preserve">من غیر نسبة من شعراء السلطان محمد بن تکش خوارزم شاه الملقب بسنجر. ترجمه فی (مع ج 1- ص 326) و أورد بعض قصیدته فی مدح السلطان المذکور.</w:t>
      </w:r>
    </w:p>
    <w:p>
      <w:pPr>
        <w:pStyle w:val="Heading3"/>
      </w:pPr>
      <w:bookmarkStart w:id="5924" w:name="_Toc4620"/>
      <w:r>
        <w:t>4476- دیوان ضیاء الدین أسترآبادی‏</w:t>
      </w:r>
      <w:bookmarkEnd w:id="5924"/>
    </w:p>
    <w:p>
      <w:pPr>
        <w:pStyle w:val="BookText"/>
      </w:pPr>
      <w:r>
        <w:rPr>
          <w:rFonts w:ascii="IRNazanin" w:hAnsi="IRNazanin" w:eastAsia="IRNazanin" w:cs="IRNazanin"/>
          <w:lang w:bidi="fa-IR"/>
          <w:color w:val="111111"/>
          <w:sz w:val="28"/>
          <w:szCs w:val="28"/>
          <w:rtl/>
        </w:rPr>
        <w:t xml:space="preserve">قال سنگلاخ فی (امتحان الفضلاء 1: 158) إنه رأی قصائده بخط جعفر هروی.</w:t>
      </w:r>
    </w:p>
    <w:p>
      <w:pPr>
        <w:pStyle w:val="Heading3"/>
      </w:pPr>
      <w:bookmarkStart w:id="5925" w:name="_Toc4621"/>
      <w:r>
        <w:t>دیوان ضیاء الدین بلخی‏</w:t>
      </w:r>
      <w:bookmarkEnd w:id="5925"/>
    </w:p>
    <w:p>
      <w:pPr>
        <w:pStyle w:val="BookText"/>
      </w:pPr>
      <w:r>
        <w:rPr>
          <w:rFonts w:ascii="IRNazanin" w:hAnsi="IRNazanin" w:eastAsia="IRNazanin" w:cs="IRNazanin"/>
          <w:lang w:bidi="fa-IR"/>
          <w:color w:val="111111"/>
          <w:sz w:val="28"/>
          <w:szCs w:val="28"/>
          <w:rtl/>
        </w:rPr>
        <w:t xml:space="preserve">الواعظ: ترجمه فی (مع- ج 1 ص 326) و ذکر ملاقاة المولی محمد العوفی له و نقل شعره. و لعله ضیاء الدین کابلی.</w:t>
      </w:r>
    </w:p>
    <w:p>
      <w:pPr>
        <w:pStyle w:val="Heading3"/>
      </w:pPr>
      <w:bookmarkStart w:id="5926" w:name="_Toc4622"/>
      <w:r>
        <w:t>4477- دیوان ضیاء الدین تبریزی أو شعره‏</w:t>
      </w:r>
      <w:bookmarkEnd w:id="5926"/>
    </w:p>
    <w:p>
      <w:pPr>
        <w:pStyle w:val="BookText"/>
      </w:pPr>
      <w:r>
        <w:rPr>
          <w:rFonts w:ascii="IRNazanin" w:hAnsi="IRNazanin" w:eastAsia="IRNazanin" w:cs="IRNazanin"/>
          <w:lang w:bidi="fa-IR"/>
          <w:color w:val="111111"/>
          <w:sz w:val="28"/>
          <w:szCs w:val="28"/>
          <w:rtl/>
        </w:rPr>
        <w:t xml:space="preserve">الچرندابی المدفون بها. ترجمه فی (دجا- ص 241) و أورد شعره نقلا عن تاریخ گزیده و کذا فی (بهش 1- ص 321) و (روشن 402).</w:t>
      </w:r>
    </w:p>
    <w:p>
      <w:pPr>
        <w:pStyle w:val="Heading3"/>
      </w:pPr>
      <w:bookmarkStart w:id="5927" w:name="_Toc4623"/>
      <w:r>
        <w:t>دیوان ضیاء الدین خجندی الشیرازی‏</w:t>
      </w:r>
      <w:bookmarkEnd w:id="5927"/>
    </w:p>
    <w:p>
      <w:pPr>
        <w:pStyle w:val="BookText"/>
      </w:pPr>
      <w:r>
        <w:rPr>
          <w:rFonts w:ascii="IRNazanin" w:hAnsi="IRNazanin" w:eastAsia="IRNazanin" w:cs="IRNazanin"/>
          <w:lang w:bidi="fa-IR"/>
          <w:color w:val="111111"/>
          <w:sz w:val="28"/>
          <w:szCs w:val="28"/>
          <w:rtl/>
        </w:rPr>
        <w:t xml:space="preserve">الأصل. ترجمه فی (مع- ج 1 ص 325) راجع ضیاء الدین فارسی.</w:t>
      </w:r>
    </w:p>
    <w:p>
      <w:pPr>
        <w:pStyle w:val="Heading3"/>
      </w:pPr>
      <w:bookmarkStart w:id="5928" w:name="_Toc4624"/>
      <w:r>
        <w:t>4478- دیوان ضیاء الدین سمنانی‏</w:t>
      </w:r>
      <w:bookmarkEnd w:id="5928"/>
    </w:p>
    <w:p>
      <w:pPr>
        <w:pStyle w:val="BookText"/>
      </w:pPr>
      <w:r>
        <w:rPr>
          <w:rFonts w:ascii="IRNazanin" w:hAnsi="IRNazanin" w:eastAsia="IRNazanin" w:cs="IRNazanin"/>
          <w:lang w:bidi="fa-IR"/>
          <w:color w:val="111111"/>
          <w:sz w:val="28"/>
          <w:szCs w:val="28"/>
          <w:rtl/>
        </w:rPr>
        <w:t xml:space="preserve">قال سنگلاخ فی امتحان الفضلاء- 2: 7 إنه رأی دیوانه بخط أبی تراب الأصفهانی.</w:t>
      </w:r>
    </w:p>
    <w:p>
      <w:pPr>
        <w:pStyle w:val="Heading3"/>
      </w:pPr>
      <w:bookmarkStart w:id="5929" w:name="_Toc4625"/>
      <w:r>
        <w:t>4479- دیوان ضیاء الدین کابلی أو شعره‏</w:t>
      </w:r>
      <w:bookmarkEnd w:id="5929"/>
    </w:p>
    <w:p>
      <w:pPr>
        <w:pStyle w:val="BookText"/>
      </w:pPr>
      <w:r>
        <w:rPr>
          <w:rFonts w:ascii="IRNazanin" w:hAnsi="IRNazanin" w:eastAsia="IRNazanin" w:cs="IRNazanin"/>
          <w:lang w:bidi="fa-IR"/>
          <w:color w:val="111111"/>
          <w:sz w:val="28"/>
          <w:szCs w:val="28"/>
          <w:rtl/>
        </w:rPr>
        <w:t xml:space="preserve">و اسمه الحکیم ضیاء الدین محمود الکابلی معاصر العوفی. ترجمه و أورد شعره فی (اللباب 11).</w:t>
      </w:r>
    </w:p>
    <w:p>
      <w:pPr>
        <w:pStyle w:val="Heading3"/>
      </w:pPr>
      <w:bookmarkStart w:id="5930" w:name="_Toc4626"/>
      <w:r>
        <w:t>دیوان ضیاء الدین کاشانی‏</w:t>
      </w:r>
      <w:bookmarkEnd w:id="5930"/>
    </w:p>
    <w:p>
      <w:pPr>
        <w:pStyle w:val="BookText"/>
      </w:pPr>
      <w:r>
        <w:rPr>
          <w:rFonts w:ascii="IRNazanin" w:hAnsi="IRNazanin" w:eastAsia="IRNazanin" w:cs="IRNazanin"/>
          <w:lang w:bidi="fa-IR"/>
          <w:color w:val="111111"/>
          <w:sz w:val="28"/>
          <w:szCs w:val="28"/>
          <w:rtl/>
        </w:rPr>
        <w:t xml:space="preserve">الطبیب مسیح الزمان أورد شعره بهذا العنوان فی (نر 3- ص 61) و فی نسخه اسمه صدر الدین فلعله هو صدر الدین الکاشانی المذکور فی (ص 603).</w:t>
      </w:r>
    </w:p>
    <w:p>
      <w:pPr>
        <w:pStyle w:val="Heading3"/>
      </w:pPr>
      <w:bookmarkStart w:id="5931" w:name="_Toc4627"/>
      <w:r>
        <w:t>دیوان ضیاء الدین کاشانی‏</w:t>
      </w:r>
      <w:bookmarkEnd w:id="5931"/>
    </w:p>
    <w:p>
      <w:pPr>
        <w:pStyle w:val="BookText"/>
      </w:pPr>
      <w:r>
        <w:rPr>
          <w:rFonts w:ascii="IRNazanin" w:hAnsi="IRNazanin" w:eastAsia="IRNazanin" w:cs="IRNazanin"/>
          <w:lang w:bidi="fa-IR"/>
          <w:color w:val="111111"/>
          <w:sz w:val="28"/>
          <w:szCs w:val="28"/>
          <w:rtl/>
        </w:rPr>
        <w:t xml:space="preserve">راجع ضیاء کاشانی.</w:t>
      </w:r>
    </w:p>
    <w:p>
      <w:pPr>
        <w:pStyle w:val="Heading3"/>
      </w:pPr>
      <w:bookmarkStart w:id="5932" w:name="_Toc4628"/>
      <w:r>
        <w:t>4480- دیوان ضیاء الدین فارسی‏</w:t>
      </w:r>
      <w:bookmarkEnd w:id="5932"/>
    </w:p>
    <w:p>
      <w:pPr>
        <w:pStyle w:val="BookText"/>
      </w:pPr>
      <w:r>
        <w:rPr>
          <w:rFonts w:ascii="IRNazanin" w:hAnsi="IRNazanin" w:eastAsia="IRNazanin" w:cs="IRNazanin"/>
          <w:lang w:bidi="fa-IR"/>
          <w:color w:val="111111"/>
          <w:sz w:val="28"/>
          <w:szCs w:val="28"/>
          <w:rtl/>
        </w:rPr>
        <w:t xml:space="preserve">أصله من فارس و سکن خراسان و مدح بیغو ملک السلجوقی. کذا فی (هفت ص 223) و قال فی (تش 330) إن أصله من خجند بخراسان و هو من أحفاد سلمان الفارسی و لذا قد یتخلص فارسی و له شرح علی المحصول للفخر الرازی و أورد له الأشعار التی نسبها إلیه أمین أحمد فی هفت إقلیم.</w:t>
      </w:r>
    </w:p>
    <w:p>
      <w:pPr>
        <w:pStyle w:val="BookText"/>
      </w:pPr>
      <w:r>
        <w:rPr>
          <w:rFonts w:ascii="IRNazanin" w:hAnsi="IRNazanin" w:eastAsia="IRNazanin" w:cs="IRNazanin"/>
          <w:lang w:bidi="fa-IR"/>
          <w:color w:val="111111"/>
          <w:sz w:val="28"/>
          <w:szCs w:val="28"/>
          <w:rtl/>
        </w:rPr>
        <w:t xml:space="preserve">و سماه فی الریحانة عن القاموس الترکی و (مع 1: 325) ضیاء الدین الخجندی الشیرازی‏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623" w:name="pg11704_122106"/>
    <w:bookmarkEnd w:id="623"/>
    <w:p>
      <w:pPr>
        <w:pStyle w:val="BookText"/>
      </w:pPr>
      <w:r>
        <w:rPr>
          <w:rFonts w:ascii="IRNazanin" w:hAnsi="IRNazanin" w:eastAsia="IRNazanin" w:cs="IRNazanin"/>
          <w:lang w:bidi="fa-IR"/>
          <w:color w:val="111111"/>
          <w:sz w:val="28"/>
          <w:szCs w:val="28"/>
          <w:rtl/>
        </w:rPr>
        <w:t xml:space="preserve">الأصل الهروی المدفن. و کان یتخلص فارسی أیضا و مات فی 610 و له مشاعرات مع رجل سماه شهاب (شمس الدین). و فی الترجمة خلط.</w:t>
      </w:r>
    </w:p>
    <w:p>
      <w:pPr>
        <w:pStyle w:val="Heading3"/>
      </w:pPr>
      <w:bookmarkStart w:id="5933" w:name="_Toc4629"/>
      <w:r>
        <w:t>4481- دیوان ضیاء الدین میرم أو شعره‏</w:t>
      </w:r>
      <w:bookmarkEnd w:id="5933"/>
    </w:p>
    <w:p>
      <w:pPr>
        <w:pStyle w:val="BookText"/>
      </w:pPr>
      <w:r>
        <w:rPr>
          <w:rFonts w:ascii="IRNazanin" w:hAnsi="IRNazanin" w:eastAsia="IRNazanin" w:cs="IRNazanin"/>
          <w:lang w:bidi="fa-IR"/>
          <w:color w:val="111111"/>
          <w:sz w:val="28"/>
          <w:szCs w:val="28"/>
          <w:rtl/>
        </w:rPr>
        <w:t xml:space="preserve">هو ابن الخواجة علاء الدین أخ أفضل الدین محمد الکرمانی. کان عالما بالاستیفاء و السیاق و ماهرا فی الشعر. أورد أشعاره فی حبیب السیر کما فی رجال حبیب السیر ص 217، 233 و منها ما تاریخه 927.</w:t>
      </w:r>
    </w:p>
    <w:p>
      <w:pPr>
        <w:pStyle w:val="Heading3"/>
      </w:pPr>
      <w:bookmarkStart w:id="5934" w:name="_Toc4630"/>
      <w:r>
        <w:t>4482- دیوان ضیاء الدین یوسف الیمانی‏</w:t>
      </w:r>
      <w:bookmarkEnd w:id="5934"/>
    </w:p>
    <w:p>
      <w:pPr>
        <w:pStyle w:val="BookText"/>
      </w:pPr>
      <w:r>
        <w:rPr>
          <w:rFonts w:ascii="IRNazanin" w:hAnsi="IRNazanin" w:eastAsia="IRNazanin" w:cs="IRNazanin"/>
          <w:lang w:bidi="fa-IR"/>
          <w:color w:val="111111"/>
          <w:sz w:val="28"/>
          <w:szCs w:val="28"/>
          <w:rtl/>
        </w:rPr>
        <w:t xml:space="preserve">و هو السید ضیاء الدین یوسف بن یحیی بن الحسین بن المؤید بالله محمد المولود و المتوفی بصنعاء (1078- 1121) و المؤلف لکتابه الجلیل نسمة السحر فیمن تشیع و شعر الموجود فی مجلدین بمکتبة کاشف الغطاء فی النجف. و قد جعلت له فهرسا سمیته نزهة البصر و المجلد الأول منه یشتمل علی 112 رجلا و الثانی علی 580 رجلا أوردتهم فی شعراء الذریعة. و ترجمته فی مصفی المقال ص 507- 508).</w:t>
      </w:r>
    </w:p>
    <w:p>
      <w:pPr>
        <w:pStyle w:val="Heading3"/>
      </w:pPr>
      <w:bookmarkStart w:id="5935" w:name="_Toc4631"/>
      <w:r>
        <w:t>4483- دیوان ضیاء زنوزی أو شعره‏</w:t>
      </w:r>
      <w:bookmarkEnd w:id="5935"/>
    </w:p>
    <w:p>
      <w:pPr>
        <w:pStyle w:val="BookText"/>
      </w:pPr>
      <w:r>
        <w:rPr>
          <w:rFonts w:ascii="IRNazanin" w:hAnsi="IRNazanin" w:eastAsia="IRNazanin" w:cs="IRNazanin"/>
          <w:lang w:bidi="fa-IR"/>
          <w:color w:val="111111"/>
          <w:sz w:val="28"/>
          <w:szCs w:val="28"/>
          <w:rtl/>
        </w:rPr>
        <w:t xml:space="preserve">من شعراء الترک فی القرن الثالث عشر بآذربایجان. و اسمه کربلائی آقا. ترجمه فی (دجا- ص 241) نقلا عن حدیقة الشعراء</w:t>
      </w:r>
    </w:p>
    <w:p>
      <w:pPr>
        <w:pStyle w:val="Heading3"/>
      </w:pPr>
      <w:bookmarkStart w:id="5936" w:name="_Toc4632"/>
      <w:r>
        <w:t>4484- دیوان ضیاء السلطنة أو شعرها</w:t>
      </w:r>
      <w:bookmarkEnd w:id="5936"/>
    </w:p>
    <w:p>
      <w:pPr>
        <w:pStyle w:val="BookText"/>
      </w:pPr>
      <w:r>
        <w:rPr>
          <w:rFonts w:ascii="IRNazanin" w:hAnsi="IRNazanin" w:eastAsia="IRNazanin" w:cs="IRNazanin"/>
          <w:lang w:bidi="fa-IR"/>
          <w:color w:val="111111"/>
          <w:sz w:val="28"/>
          <w:szCs w:val="28"/>
          <w:rtl/>
        </w:rPr>
        <w:t xml:space="preserve">و اسمها شاه بیگم بنت فتح علی شاه القاجار و أمها مریم کانت یهودیة تزوجها الشاه فأسلمت و ولدت ضیاء هذه. أورد شعرها فی از رابعة تا پروین- ص 163 نقلا عن تاریخ عضدی و سفینه فرخ و قد ألف محمود میرزا تذکره نقل مجلس بأمر من ضیاء السلطنة هذه.</w:t>
      </w:r>
    </w:p>
    <w:p>
      <w:pPr>
        <w:pStyle w:val="Heading3"/>
      </w:pPr>
      <w:bookmarkStart w:id="5937" w:name="_Toc4633"/>
      <w:r>
        <w:t>4485- دیوان ضیاء شیرازی‏</w:t>
      </w:r>
      <w:bookmarkEnd w:id="5937"/>
    </w:p>
    <w:p>
      <w:pPr>
        <w:pStyle w:val="BookText"/>
      </w:pPr>
      <w:r>
        <w:rPr>
          <w:rFonts w:ascii="IRNazanin" w:hAnsi="IRNazanin" w:eastAsia="IRNazanin" w:cs="IRNazanin"/>
          <w:lang w:bidi="fa-IR"/>
          <w:color w:val="111111"/>
          <w:sz w:val="28"/>
          <w:szCs w:val="28"/>
          <w:rtl/>
        </w:rPr>
        <w:t xml:space="preserve">و هو المیرزا قاسم بن محمد حسین همدم ابن میرزا علی فخر ابن میرزا رحیم بیدل الشیرازی المذکور فی (ص 153). أورد شعره فی (عم- ص 528) و الریحانة.</w:t>
      </w:r>
    </w:p>
    <w:p>
      <w:pPr>
        <w:pStyle w:val="Heading3"/>
      </w:pPr>
      <w:bookmarkStart w:id="5938" w:name="_Toc4634"/>
      <w:r>
        <w:t>4486- دیوان ضیاء صفوی أو شعره‏</w:t>
      </w:r>
      <w:bookmarkEnd w:id="5938"/>
    </w:p>
    <w:p>
      <w:pPr>
        <w:pStyle w:val="BookText"/>
      </w:pPr>
      <w:r>
        <w:rPr>
          <w:rFonts w:ascii="IRNazanin" w:hAnsi="IRNazanin" w:eastAsia="IRNazanin" w:cs="IRNazanin"/>
          <w:lang w:bidi="fa-IR"/>
          <w:color w:val="111111"/>
          <w:sz w:val="28"/>
          <w:szCs w:val="28"/>
          <w:rtl/>
        </w:rPr>
        <w:t xml:space="preserve">و هو صفدر علی خان ابن عسکر علی خان.</w:t>
      </w:r>
    </w:p>
    <w:p>
      <w:pPr>
        <w:pStyle w:val="BookText"/>
      </w:pPr>
      <w:r>
        <w:rPr>
          <w:rFonts w:ascii="IRNazanin" w:hAnsi="IRNazanin" w:eastAsia="IRNazanin" w:cs="IRNazanin"/>
          <w:lang w:bidi="fa-IR"/>
          <w:color w:val="111111"/>
          <w:sz w:val="28"/>
          <w:szCs w:val="28"/>
          <w:rtl/>
        </w:rPr>
        <w:t xml:space="preserve">کان ینتسب إلی السلطان حسین بن بهرام میرزا من أحفاد الصفویة. أورد شعره فی (گلشن- ص 259).</w:t>
      </w:r>
    </w:p>
    <w:p>
      <w:pPr>
        <w:pStyle w:val="Heading3"/>
      </w:pPr>
      <w:bookmarkStart w:id="5939" w:name="_Toc4635"/>
      <w:r>
        <w:t>4487- دیوان ضیاء طهرانی‏</w:t>
      </w:r>
      <w:bookmarkEnd w:id="5939"/>
    </w:p>
    <w:p>
      <w:pPr>
        <w:pStyle w:val="BookText"/>
      </w:pPr>
      <w:r>
        <w:rPr>
          <w:rFonts w:ascii="IRNazanin" w:hAnsi="IRNazanin" w:eastAsia="IRNazanin" w:cs="IRNazanin"/>
          <w:lang w:bidi="fa-IR"/>
          <w:color w:val="111111"/>
          <w:sz w:val="28"/>
          <w:szCs w:val="28"/>
          <w:rtl/>
        </w:rPr>
        <w:t xml:space="preserve">ترجمه معاصره النصرآبادی و أطری طبعه و أورد بعض شعره فی (نر 9- ص 297) و ذکر أنه لاقاه المولی صبوحی الخوانساری فی القرن الحادی عشر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624" w:name="pg11704_122107"/>
    <w:bookmarkEnd w:id="624"/>
    <w:p>
      <w:pPr>
        <w:pStyle w:val="BookText"/>
      </w:pPr>
      <w:r>
        <w:rPr>
          <w:rFonts w:ascii="IRNazanin" w:hAnsi="IRNazanin" w:eastAsia="IRNazanin" w:cs="IRNazanin"/>
          <w:lang w:bidi="fa-IR"/>
          <w:color w:val="111111"/>
          <w:sz w:val="28"/>
          <w:szCs w:val="28"/>
          <w:rtl/>
        </w:rPr>
        <w:t xml:space="preserve">و کذا فی (تغ- 82).</w:t>
      </w:r>
    </w:p>
    <w:p>
      <w:pPr>
        <w:pStyle w:val="Heading3"/>
      </w:pPr>
      <w:bookmarkStart w:id="5940" w:name="_Toc4636"/>
      <w:r>
        <w:t>4488- دیوان ضیاء قزوینی‏</w:t>
      </w:r>
      <w:bookmarkEnd w:id="5940"/>
    </w:p>
    <w:p>
      <w:pPr>
        <w:pStyle w:val="BookText"/>
      </w:pPr>
      <w:r>
        <w:rPr>
          <w:rFonts w:ascii="IRNazanin" w:hAnsi="IRNazanin" w:eastAsia="IRNazanin" w:cs="IRNazanin"/>
          <w:lang w:bidi="fa-IR"/>
          <w:color w:val="111111"/>
          <w:sz w:val="28"/>
          <w:szCs w:val="28"/>
          <w:rtl/>
        </w:rPr>
        <w:t xml:space="preserve">ضابطه نویس، نزیل هند أخیرا و المتوفی بها. ترجمه النصرآبادی فی عداد المستوفین فی (نر 4- ص 88) و أورد عدة من أشعاره ثم أورد بعض شعره فی (ص 480) و ترجمه فی (تش 227) و (گلشن- ص 259) و لعله المذکور فی عالم‏آرا ص 998 بعنوان محمد یوسفا.</w:t>
      </w:r>
    </w:p>
    <w:p>
      <w:pPr>
        <w:pStyle w:val="Heading3"/>
      </w:pPr>
      <w:bookmarkStart w:id="5941" w:name="_Toc4637"/>
      <w:r>
        <w:t>4489- دیوان ضیاء کاشانی‏</w:t>
      </w:r>
      <w:bookmarkEnd w:id="5941"/>
    </w:p>
    <w:p>
      <w:pPr>
        <w:pStyle w:val="BookText"/>
      </w:pPr>
      <w:r>
        <w:rPr>
          <w:rFonts w:ascii="IRNazanin" w:hAnsi="IRNazanin" w:eastAsia="IRNazanin" w:cs="IRNazanin"/>
          <w:lang w:bidi="fa-IR"/>
          <w:color w:val="111111"/>
          <w:sz w:val="28"/>
          <w:szCs w:val="28"/>
          <w:rtl/>
        </w:rPr>
        <w:t xml:space="preserve">اسمه ضیاء الدین محمد المعاصر للشاه عباس الماضی و یتخلص فی شعره بضیاء. و منه ما أنشأه فی تاریخ موت محمد خان اورنگ فی (1006) و لعله المولی محمد بن محمود تلمیذ المقدس الأردبیلی و شیخ إجازة السید حسین بن حیدر الکرکی فی (1005) و خال المحقق الفیض الکاشانی و هو مقدم علی ضیاء الدین محمد بن آخوند نور الآتی ظاهرا.</w:t>
      </w:r>
    </w:p>
    <w:p>
      <w:pPr>
        <w:pStyle w:val="Heading3"/>
      </w:pPr>
      <w:bookmarkStart w:id="5942" w:name="_Toc4638"/>
      <w:r>
        <w:t>4490- دیوان ضیاء کاشانی أو شعره‏</w:t>
      </w:r>
      <w:bookmarkEnd w:id="5942"/>
    </w:p>
    <w:p>
      <w:pPr>
        <w:pStyle w:val="BookText"/>
      </w:pPr>
      <w:r>
        <w:rPr>
          <w:rFonts w:ascii="IRNazanin" w:hAnsi="IRNazanin" w:eastAsia="IRNazanin" w:cs="IRNazanin"/>
          <w:lang w:bidi="fa-IR"/>
          <w:color w:val="111111"/>
          <w:sz w:val="28"/>
          <w:szCs w:val="28"/>
          <w:rtl/>
        </w:rPr>
        <w:t xml:space="preserve">و هو ضیاء الدین محمد بن العلامة الآخوند نور الرازی الکاشانی المتوفی 1024 کما ذکر فی (ض- ص- 166) و الریحانة نقلا عن القاموس الترکی. ترجمه و أورد شعره فی (نر 6- ص 161) و فی (حسینی- ص 195) سماه ضیائی و قال مات بأصفهان 1044. و لکن تخلصه فی شعره ضیاء. و ذکر أیضا فی (تش- 245).</w:t>
      </w:r>
    </w:p>
    <w:p>
      <w:pPr>
        <w:pStyle w:val="Heading3"/>
      </w:pPr>
      <w:bookmarkStart w:id="5943" w:name="_Toc4639"/>
      <w:r>
        <w:t>4491- دیوان ضیاء کرمانی أو شعره‏</w:t>
      </w:r>
      <w:bookmarkEnd w:id="5943"/>
    </w:p>
    <w:p>
      <w:pPr>
        <w:pStyle w:val="BookText"/>
      </w:pPr>
      <w:r>
        <w:rPr>
          <w:rFonts w:ascii="IRNazanin" w:hAnsi="IRNazanin" w:eastAsia="IRNazanin" w:cs="IRNazanin"/>
          <w:lang w:bidi="fa-IR"/>
          <w:color w:val="111111"/>
          <w:sz w:val="28"/>
          <w:szCs w:val="28"/>
          <w:rtl/>
        </w:rPr>
        <w:t xml:space="preserve">اسمه ضیاء الدین نصبه الشاه خدابنده وزیرا لأصفهان و قتل فی 988 بید یوسف خان أفشار ترجمه و أورد شعره فی (حسینی ص 194) و (روشن- 404)</w:t>
      </w:r>
    </w:p>
    <w:p>
      <w:pPr>
        <w:pStyle w:val="Heading3"/>
      </w:pPr>
      <w:bookmarkStart w:id="5944" w:name="_Toc4640"/>
      <w:r>
        <w:t>4492- دیوان ضیاء کرمانی‏</w:t>
      </w:r>
      <w:bookmarkEnd w:id="5944"/>
    </w:p>
    <w:p>
      <w:pPr>
        <w:pStyle w:val="BookText"/>
      </w:pPr>
      <w:r>
        <w:rPr>
          <w:rFonts w:ascii="IRNazanin" w:hAnsi="IRNazanin" w:eastAsia="IRNazanin" w:cs="IRNazanin"/>
          <w:lang w:bidi="fa-IR"/>
          <w:color w:val="111111"/>
          <w:sz w:val="28"/>
          <w:szCs w:val="28"/>
          <w:rtl/>
        </w:rPr>
        <w:t xml:space="preserve">و هو الحاج رضا قلی خان بن محمد قلی خان الکرمانی توجد دیوانه عند أحفاده” المؤلف”، و یشتمل علی سبعة آلاف بیت مدائح عربیة و فارسیة کما ذکره السید محمد الهاشمی الکرمانی بطهران‏</w:t>
      </w:r>
    </w:p>
    <w:p>
      <w:pPr>
        <w:pStyle w:val="Heading3"/>
      </w:pPr>
      <w:bookmarkStart w:id="5945" w:name="_Toc4641"/>
      <w:r>
        <w:t>دیوان ضیاء کفرانی‏</w:t>
      </w:r>
      <w:bookmarkEnd w:id="5945"/>
    </w:p>
    <w:p>
      <w:pPr>
        <w:pStyle w:val="BookText"/>
      </w:pPr>
      <w:r>
        <w:rPr>
          <w:rFonts w:ascii="IRNazanin" w:hAnsi="IRNazanin" w:eastAsia="IRNazanin" w:cs="IRNazanin"/>
          <w:lang w:bidi="fa-IR"/>
          <w:color w:val="111111"/>
          <w:sz w:val="28"/>
          <w:szCs w:val="28"/>
          <w:rtl/>
        </w:rPr>
        <w:t xml:space="preserve">راجع ضیاء أصفهانی‏</w:t>
      </w:r>
    </w:p>
    <w:p>
      <w:pPr>
        <w:pStyle w:val="Heading3"/>
      </w:pPr>
      <w:bookmarkStart w:id="5946" w:name="_Toc4642"/>
      <w:r>
        <w:t>دیوان ضیاء نخشبی‏</w:t>
      </w:r>
      <w:bookmarkEnd w:id="5946"/>
    </w:p>
    <w:p>
      <w:pPr>
        <w:pStyle w:val="BookText"/>
      </w:pPr>
      <w:r>
        <w:rPr>
          <w:rFonts w:ascii="IRNazanin" w:hAnsi="IRNazanin" w:eastAsia="IRNazanin" w:cs="IRNazanin"/>
          <w:lang w:bidi="fa-IR"/>
          <w:color w:val="111111"/>
          <w:sz w:val="28"/>
          <w:szCs w:val="28"/>
          <w:rtl/>
        </w:rPr>
        <w:t xml:space="preserve">راجع دیوان النخشبی‏</w:t>
      </w:r>
    </w:p>
    <w:p>
      <w:pPr>
        <w:pStyle w:val="Heading3"/>
      </w:pPr>
      <w:bookmarkStart w:id="5947" w:name="_Toc4643"/>
      <w:r>
        <w:t>دیوان ضیاء نیشابوری‏</w:t>
      </w:r>
      <w:bookmarkEnd w:id="5947"/>
    </w:p>
    <w:p>
      <w:pPr>
        <w:pStyle w:val="BookText"/>
      </w:pPr>
      <w:r>
        <w:rPr>
          <w:rFonts w:ascii="IRNazanin" w:hAnsi="IRNazanin" w:eastAsia="IRNazanin" w:cs="IRNazanin"/>
          <w:lang w:bidi="fa-IR"/>
          <w:color w:val="111111"/>
          <w:sz w:val="28"/>
          <w:szCs w:val="28"/>
          <w:rtl/>
        </w:rPr>
        <w:t xml:space="preserve">راجع ضیائی کمانگر</w:t>
      </w:r>
    </w:p>
    <w:p>
      <w:pPr>
        <w:pStyle w:val="Heading3"/>
      </w:pPr>
      <w:bookmarkStart w:id="5948" w:name="_Toc4644"/>
      <w:r>
        <w:t>4493- دیوان ضیاء نوراللهی أو شعره‏</w:t>
      </w:r>
      <w:bookmarkEnd w:id="5948"/>
    </w:p>
    <w:p>
      <w:pPr>
        <w:pStyle w:val="BookText"/>
      </w:pPr>
      <w:r>
        <w:rPr>
          <w:rFonts w:ascii="IRNazanin" w:hAnsi="IRNazanin" w:eastAsia="IRNazanin" w:cs="IRNazanin"/>
          <w:lang w:bidi="fa-IR"/>
          <w:color w:val="111111"/>
          <w:sz w:val="28"/>
          <w:szCs w:val="28"/>
          <w:rtl/>
        </w:rPr>
        <w:t xml:space="preserve">هو حفید میرزا أحمد کفرانی أورد شعره‏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625" w:name="pg11704_122108"/>
    <w:bookmarkEnd w:id="625"/>
    <w:p>
      <w:pPr>
        <w:pStyle w:val="BookText"/>
      </w:pPr>
      <w:r>
        <w:rPr>
          <w:rFonts w:ascii="IRNazanin" w:hAnsi="IRNazanin" w:eastAsia="IRNazanin" w:cs="IRNazanin"/>
          <w:lang w:bidi="fa-IR"/>
          <w:color w:val="111111"/>
          <w:sz w:val="28"/>
          <w:szCs w:val="28"/>
          <w:rtl/>
        </w:rPr>
        <w:t xml:space="preserve">فی عالم‏آرا- ص 716</w:t>
      </w:r>
    </w:p>
    <w:p>
      <w:pPr>
        <w:pStyle w:val="Heading3"/>
      </w:pPr>
      <w:bookmarkStart w:id="5949" w:name="_Toc4645"/>
      <w:r>
        <w:t>4494- دیوان ضیائی أصفهانی أو شعره‏</w:t>
      </w:r>
      <w:bookmarkEnd w:id="5949"/>
    </w:p>
    <w:p>
      <w:pPr>
        <w:pStyle w:val="BookText"/>
      </w:pPr>
      <w:r>
        <w:rPr>
          <w:rFonts w:ascii="IRNazanin" w:hAnsi="IRNazanin" w:eastAsia="IRNazanin" w:cs="IRNazanin"/>
          <w:lang w:bidi="fa-IR"/>
          <w:color w:val="111111"/>
          <w:sz w:val="28"/>
          <w:szCs w:val="28"/>
          <w:rtl/>
        </w:rPr>
        <w:t xml:space="preserve">و هو الحاج میر سید علی المعروف بآقا بزرگ بن محمد مهدی إمام الجماعة بقصبة ماربین بأصفهان ولد 1264 و توفی 10 صفر 1358 ذکره لنا المعلم الحبیب‏آبادی نقلا عن حفیده السید محمد باقر الصفوی ابن نور الله بن علی هذا</w:t>
      </w:r>
    </w:p>
    <w:p>
      <w:pPr>
        <w:pStyle w:val="Heading3"/>
      </w:pPr>
      <w:bookmarkStart w:id="5950" w:name="_Toc4646"/>
      <w:r>
        <w:t>4495- دیوان ضیائی أردوبادی‏</w:t>
      </w:r>
      <w:bookmarkEnd w:id="5950"/>
    </w:p>
    <w:p>
      <w:pPr>
        <w:pStyle w:val="BookText"/>
      </w:pPr>
      <w:r>
        <w:rPr>
          <w:rFonts w:ascii="IRNazanin" w:hAnsi="IRNazanin" w:eastAsia="IRNazanin" w:cs="IRNazanin"/>
          <w:lang w:bidi="fa-IR"/>
          <w:color w:val="111111"/>
          <w:sz w:val="28"/>
          <w:szCs w:val="28"/>
          <w:rtl/>
        </w:rPr>
        <w:t xml:space="preserve">من الشعراء المعاصرین للمیر علی شیر ترجمه کذلک سام میرزا فی (تس 5- ص 119) و قال: له قصائد أکثرها بطریق اللغز و ترجمه فی (تش- ص 26) و (حسینی ص 194) و (دجا- ص 241) و أورد من قصیدته الشطرنجیة فی مدح غریب میرزا</w:t>
      </w:r>
    </w:p>
    <w:p>
      <w:pPr>
        <w:pStyle w:val="BookText"/>
      </w:pPr>
      <w:r>
        <w:rPr>
          <w:rFonts w:ascii="IRNazanin" w:hAnsi="IRNazanin" w:eastAsia="IRNazanin" w:cs="IRNazanin"/>
          <w:lang w:bidi="fa-IR"/>
          <w:color w:val="111111"/>
          <w:sz w:val="28"/>
          <w:szCs w:val="28"/>
          <w:rtl/>
        </w:rPr>
        <w:t xml:space="preserve">المتوفی (902) و أرخ وفاته (927) نقلا عن عدة کتب و فی (مجن 3- ص 64 و 237) سماه ضیاء تبریزی و فی نگارستان سخن أردبیلی و فی رجال حبیب السیر (ص 251) سماه ضیاء</w:t>
      </w:r>
    </w:p>
    <w:p>
      <w:pPr>
        <w:pStyle w:val="Heading3"/>
      </w:pPr>
      <w:bookmarkStart w:id="5951" w:name="_Toc4647"/>
      <w:r>
        <w:t>4496- دیوان ضیائی بخارائی أو شعره‏</w:t>
      </w:r>
      <w:bookmarkEnd w:id="5951"/>
    </w:p>
    <w:p>
      <w:pPr>
        <w:pStyle w:val="BookText"/>
      </w:pPr>
      <w:r>
        <w:rPr>
          <w:rFonts w:ascii="IRNazanin" w:hAnsi="IRNazanin" w:eastAsia="IRNazanin" w:cs="IRNazanin"/>
          <w:lang w:bidi="fa-IR"/>
          <w:color w:val="111111"/>
          <w:sz w:val="28"/>
          <w:szCs w:val="28"/>
          <w:rtl/>
        </w:rPr>
        <w:t xml:space="preserve">ترجمه سام میرزا فی (تس 5- ص 165) و أورد شعره‏</w:t>
      </w:r>
    </w:p>
    <w:p>
      <w:pPr>
        <w:pStyle w:val="Heading3"/>
      </w:pPr>
      <w:bookmarkStart w:id="5952" w:name="_Toc4648"/>
      <w:r>
        <w:t>4497- دیوان ضیائی بیرجندی‏</w:t>
      </w:r>
      <w:bookmarkEnd w:id="5952"/>
    </w:p>
    <w:p>
      <w:pPr>
        <w:pStyle w:val="BookText"/>
      </w:pPr>
      <w:r>
        <w:rPr>
          <w:rFonts w:ascii="IRNazanin" w:hAnsi="IRNazanin" w:eastAsia="IRNazanin" w:cs="IRNazanin"/>
          <w:lang w:bidi="fa-IR"/>
          <w:color w:val="111111"/>
          <w:sz w:val="28"/>
          <w:szCs w:val="28"/>
          <w:rtl/>
        </w:rPr>
        <w:t xml:space="preserve">الشیخ محمد حسین بن الشیخ محمد باقر البیرجندی المعروف بآیتی المعاصر طبع بطهران فی 1378 فی مجلد کبیر و مر له فی (ص 249) دیوان الحسین الذی جمع فیه ما ینسب إلی الحسین ع و طبع له بهارستان در تاریخ قهستان فی 393 ص بطهران فی 1327 ش و مر دیوان أخیه الآیتی‏</w:t>
      </w:r>
    </w:p>
    <w:p>
      <w:pPr>
        <w:pStyle w:val="Heading3"/>
      </w:pPr>
      <w:bookmarkStart w:id="5953" w:name="_Toc4649"/>
      <w:r>
        <w:t>4498- دیوان ضیائی خبوشانی قوچانی‏</w:t>
      </w:r>
      <w:bookmarkEnd w:id="5953"/>
    </w:p>
    <w:p>
      <w:pPr>
        <w:pStyle w:val="BookText"/>
      </w:pPr>
      <w:r>
        <w:rPr>
          <w:rFonts w:ascii="IRNazanin" w:hAnsi="IRNazanin" w:eastAsia="IRNazanin" w:cs="IRNazanin"/>
          <w:lang w:bidi="fa-IR"/>
          <w:color w:val="111111"/>
          <w:sz w:val="28"/>
          <w:szCs w:val="28"/>
          <w:rtl/>
        </w:rPr>
        <w:t xml:space="preserve">لم یعلم اسم الناظم و تاریخ النظم کما یظهر من أواخره (1246) و کان له یومئذ ست و ستون سنة و تاریخ کتابة النسخة الموجودة فی مکتبة (المجلس) أیضا هذه السنة کما ذکره فی فهرسها (ج 3- ص 336) هاجر إلی شیراز و هو ابن خمس و عشرین سنة و بقی فیها خمس و ثلاثین سنة و تلمذ علی الحاج محمد حسن القزوینی نزیل شیراز و مؤلف ریاض الشهادة المتوفی 1240 و مدحه بقصائد و فی دیوانه أنواع الشعر من الغزل و المثنوی و الرباعیات و غیرها، یقرب من سبعة آلاف بیت‏</w:t>
      </w:r>
    </w:p>
    <w:p>
      <w:pPr>
        <w:pStyle w:val="Heading3"/>
      </w:pPr>
      <w:bookmarkStart w:id="5954" w:name="_Toc4650"/>
      <w:r>
        <w:t>4499- دیوان ضیائی دزفولی‏</w:t>
      </w:r>
      <w:bookmarkEnd w:id="5954"/>
    </w:p>
    <w:p>
      <w:pPr>
        <w:pStyle w:val="BookText"/>
      </w:pPr>
      <w:r>
        <w:rPr>
          <w:rFonts w:ascii="IRNazanin" w:hAnsi="IRNazanin" w:eastAsia="IRNazanin" w:cs="IRNazanin"/>
          <w:lang w:bidi="fa-IR"/>
          <w:color w:val="111111"/>
          <w:sz w:val="28"/>
          <w:szCs w:val="28"/>
          <w:rtl/>
        </w:rPr>
        <w:t xml:space="preserve">للحاج المولی رشید بن الحاج بابا الدزفولی المتوفی‏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626" w:name="pg11704_122109"/>
    <w:bookmarkEnd w:id="626"/>
    <w:p>
      <w:pPr>
        <w:pStyle w:val="BookText"/>
      </w:pPr>
      <w:r>
        <w:rPr>
          <w:rFonts w:ascii="IRNazanin" w:hAnsi="IRNazanin" w:eastAsia="IRNazanin" w:cs="IRNazanin"/>
          <w:lang w:bidi="fa-IR"/>
          <w:color w:val="111111"/>
          <w:sz w:val="28"/>
          <w:szCs w:val="28"/>
          <w:rtl/>
        </w:rPr>
        <w:t xml:space="preserve">1332 من تلامیذ الشیخ الأنصاری کان یعیش من الکسب و لا یتصرف فی الوجوه البریة و هو فی غایة الورع و دیوانه فارسی فی المدائح و المراثی مطبوع بطهران 1363 فی 122 ص‏</w:t>
      </w:r>
    </w:p>
    <w:p>
      <w:pPr>
        <w:pStyle w:val="Heading3"/>
      </w:pPr>
      <w:bookmarkStart w:id="5955" w:name="_Toc4651"/>
      <w:r>
        <w:t>4500- دیوان ضیائی دهلوی أو شعره‏</w:t>
      </w:r>
      <w:bookmarkEnd w:id="5955"/>
    </w:p>
    <w:p>
      <w:pPr>
        <w:pStyle w:val="BookText"/>
      </w:pPr>
      <w:r>
        <w:rPr>
          <w:rFonts w:ascii="IRNazanin" w:hAnsi="IRNazanin" w:eastAsia="IRNazanin" w:cs="IRNazanin"/>
          <w:lang w:bidi="fa-IR"/>
          <w:color w:val="111111"/>
          <w:sz w:val="28"/>
          <w:szCs w:val="28"/>
          <w:rtl/>
        </w:rPr>
        <w:t xml:space="preserve">و اسمه المیر ضیاء الدین ترجمه و أورد شعره فی (سرخوش- ص 69) و (حسینی- ص 196) و فی (روشن- 404) ضیاء دهلوی معاصر شاه‏جهان‏</w:t>
      </w:r>
    </w:p>
    <w:p>
      <w:pPr>
        <w:pStyle w:val="Heading3"/>
      </w:pPr>
      <w:bookmarkStart w:id="5956" w:name="_Toc4652"/>
      <w:r>
        <w:t>4501- دیوان ضیائی شیرازی‏</w:t>
      </w:r>
      <w:bookmarkEnd w:id="5956"/>
    </w:p>
    <w:p>
      <w:pPr>
        <w:pStyle w:val="BookText"/>
      </w:pPr>
      <w:r>
        <w:rPr>
          <w:rFonts w:ascii="IRNazanin" w:hAnsi="IRNazanin" w:eastAsia="IRNazanin" w:cs="IRNazanin"/>
          <w:lang w:bidi="fa-IR"/>
          <w:color w:val="111111"/>
          <w:sz w:val="28"/>
          <w:szCs w:val="28"/>
          <w:rtl/>
        </w:rPr>
        <w:t xml:space="preserve">عده فی (مع- ج 2 ص 337) من الشعراء المعاصرین له و قال إن اسمه ضیاء الدین محمد شفیع من سادات کازرون و علمائها و توطن بشیراز و ذکر بعض شعره‏</w:t>
      </w:r>
    </w:p>
    <w:p>
      <w:pPr>
        <w:pStyle w:val="Heading3"/>
      </w:pPr>
      <w:bookmarkStart w:id="5957" w:name="_Toc4653"/>
      <w:r>
        <w:t>4502- دیوان ضیائی شیرازی‏</w:t>
      </w:r>
      <w:bookmarkEnd w:id="5957"/>
    </w:p>
    <w:p>
      <w:pPr>
        <w:pStyle w:val="BookText"/>
      </w:pPr>
      <w:r>
        <w:rPr>
          <w:rFonts w:ascii="IRNazanin" w:hAnsi="IRNazanin" w:eastAsia="IRNazanin" w:cs="IRNazanin"/>
          <w:lang w:bidi="fa-IR"/>
          <w:color w:val="111111"/>
          <w:sz w:val="28"/>
          <w:szCs w:val="28"/>
          <w:rtl/>
        </w:rPr>
        <w:t xml:space="preserve">و اسمه المیرزا سید علی الحکیم الفقیه الطبیب ترجمه معاصره المیرزا فرصت فی آثار عجم- ص 561 و أورد شعره‏</w:t>
      </w:r>
    </w:p>
    <w:p>
      <w:pPr>
        <w:pStyle w:val="Heading3"/>
      </w:pPr>
      <w:bookmarkStart w:id="5958" w:name="_Toc4654"/>
      <w:r>
        <w:t>4503- دیوان ضیائی کاشانی أو شعره‏</w:t>
      </w:r>
      <w:bookmarkEnd w:id="5958"/>
    </w:p>
    <w:p>
      <w:pPr>
        <w:pStyle w:val="BookText"/>
      </w:pPr>
      <w:r>
        <w:rPr>
          <w:rFonts w:ascii="IRNazanin" w:hAnsi="IRNazanin" w:eastAsia="IRNazanin" w:cs="IRNazanin"/>
          <w:lang w:bidi="fa-IR"/>
          <w:color w:val="111111"/>
          <w:sz w:val="28"/>
          <w:szCs w:val="28"/>
          <w:rtl/>
        </w:rPr>
        <w:t xml:space="preserve">و هو السید محمد العلوی ابن السید إبراهیم تلمیذ المولی حبیب الله الکاشانی المترجم فی النقباء- 360 طبع بعض شعره فی آخر تسهیل المسالک فی 1374 فی رثاء أستاذه المذکور</w:t>
      </w:r>
    </w:p>
    <w:p>
      <w:pPr>
        <w:pStyle w:val="Heading3"/>
      </w:pPr>
      <w:bookmarkStart w:id="5959" w:name="_Toc4655"/>
      <w:r>
        <w:t>4504- دیوان ضیائی کمانگر أو شعره‏</w:t>
      </w:r>
      <w:bookmarkEnd w:id="5959"/>
    </w:p>
    <w:p>
      <w:pPr>
        <w:pStyle w:val="BookText"/>
      </w:pPr>
      <w:r>
        <w:rPr>
          <w:rFonts w:ascii="IRNazanin" w:hAnsi="IRNazanin" w:eastAsia="IRNazanin" w:cs="IRNazanin"/>
          <w:lang w:bidi="fa-IR"/>
          <w:color w:val="111111"/>
          <w:sz w:val="28"/>
          <w:szCs w:val="28"/>
          <w:rtl/>
        </w:rPr>
        <w:t xml:space="preserve">و هو المیر نظام الدین المعاصر للجامی ترجمه و أورد شعره فی (حسینی- ص 194) و فی (روشن- 405) سماه ضیاء نیشابوری کمانگر</w:t>
      </w:r>
    </w:p>
    <w:p>
      <w:pPr>
        <w:pStyle w:val="Heading3"/>
      </w:pPr>
      <w:bookmarkStart w:id="5960" w:name="_Toc4656"/>
      <w:r>
        <w:t>4505- دیوان ضیائی مرندی‏</w:t>
      </w:r>
      <w:bookmarkEnd w:id="5960"/>
    </w:p>
    <w:p>
      <w:pPr>
        <w:pStyle w:val="BookText"/>
      </w:pPr>
      <w:r>
        <w:rPr>
          <w:rFonts w:ascii="IRNazanin" w:hAnsi="IRNazanin" w:eastAsia="IRNazanin" w:cs="IRNazanin"/>
          <w:lang w:bidi="fa-IR"/>
          <w:color w:val="111111"/>
          <w:sz w:val="28"/>
          <w:szCs w:val="28"/>
          <w:rtl/>
        </w:rPr>
        <w:t xml:space="preserve">اسمه المیرزا جهانگیر خان (ناظم الملک) بن محب علی خان بن میرزا محمد تقی خوشنویس ترجمه فی (دجا- ص 242) و ذکر أنه ولد (1275) و توفی بقم و دفن بها فی (1352) طبع دیوانه بعد وفاته بطهران فی 1313 ش فی 263 ص باهتمام زوجته و له نظم وصایا أمیر المؤمنین ع بالفارسیة طبع فی إسلامبول فی (1331) و مر له حقیقت‏نامه فی (7: 50) المطبوع 1367 و له وصیت‏نامه المطبوع 1347 و ترجمه فی الریحانة مفصلا</w:t>
      </w:r>
    </w:p>
    <w:p>
      <w:pPr>
        <w:pStyle w:val="Heading3"/>
      </w:pPr>
      <w:bookmarkStart w:id="5961" w:name="_Toc4657"/>
      <w:r>
        <w:t>4506- دیوان ضیائی ملتانی أو شعره‏</w:t>
      </w:r>
      <w:bookmarkEnd w:id="5961"/>
    </w:p>
    <w:p>
      <w:pPr>
        <w:pStyle w:val="BookText"/>
      </w:pPr>
      <w:r>
        <w:rPr>
          <w:rFonts w:ascii="IRNazanin" w:hAnsi="IRNazanin" w:eastAsia="IRNazanin" w:cs="IRNazanin"/>
          <w:lang w:bidi="fa-IR"/>
          <w:color w:val="111111"/>
          <w:sz w:val="28"/>
          <w:szCs w:val="28"/>
          <w:rtl/>
        </w:rPr>
        <w:t xml:space="preserve">و اسمه محمد علی کان حیا بأکبرآباد إلی 1024 أورد شعره فی (گلشن- ص 260) و فی (روشن- 404) مولیانی بدل ملتانی‏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627" w:name="pg11704_122110"/>
    <w:bookmarkEnd w:id="627"/>
    <w:p>
      <w:pPr>
        <w:pStyle w:val="Heading3"/>
      </w:pPr>
      <w:bookmarkStart w:id="5962" w:name="_Toc4658"/>
      <w:r>
        <w:t>4507- دیوان ضیائی موشحی جونپوری‏</w:t>
      </w:r>
      <w:bookmarkEnd w:id="5962"/>
    </w:p>
    <w:p>
      <w:pPr>
        <w:pStyle w:val="BookText"/>
      </w:pPr>
      <w:r>
        <w:rPr>
          <w:rFonts w:ascii="IRNazanin" w:hAnsi="IRNazanin" w:eastAsia="IRNazanin" w:cs="IRNazanin"/>
          <w:lang w:bidi="fa-IR"/>
          <w:color w:val="111111"/>
          <w:sz w:val="28"/>
          <w:szCs w:val="28"/>
          <w:rtl/>
        </w:rPr>
        <w:t xml:space="preserve">من شعراء الهند فی القرن الحادی عشر ولد بجونپور و تربی به، و کان هو و والده و جده شعراء، و لازم هو شمس الدین جهانگیر قلی خان فی گجرات و پتنه و دیوانه فی أربعة آلاف بیت و له مثنوی ساقی‏نامه أورد شعره فی (میخانه 3- ص 573)</w:t>
      </w:r>
    </w:p>
    <w:p>
      <w:pPr>
        <w:pStyle w:val="Heading3"/>
      </w:pPr>
      <w:bookmarkStart w:id="5963" w:name="_Toc4659"/>
      <w:r>
        <w:t>4508- دیوان ضیائی یزدی أو شعره‏</w:t>
      </w:r>
      <w:bookmarkEnd w:id="5963"/>
    </w:p>
    <w:p>
      <w:pPr>
        <w:pStyle w:val="BookText"/>
      </w:pPr>
      <w:r>
        <w:rPr>
          <w:rFonts w:ascii="IRNazanin" w:hAnsi="IRNazanin" w:eastAsia="IRNazanin" w:cs="IRNazanin"/>
          <w:lang w:bidi="fa-IR"/>
          <w:color w:val="111111"/>
          <w:sz w:val="28"/>
          <w:szCs w:val="28"/>
          <w:rtl/>
        </w:rPr>
        <w:t xml:space="preserve">قال فی (تش یز- ص 304) إنه کان من أهل مروست قریة بیزد و أورد شعره‏</w:t>
      </w:r>
    </w:p>
    <w:p>
      <w:pPr>
        <w:pStyle w:val="Heading3"/>
      </w:pPr>
      <w:bookmarkStart w:id="5964" w:name="_Toc4660"/>
      <w:r>
        <w:t>4509- دیوان ضیغم مازندرانی أو شعره‏</w:t>
      </w:r>
      <w:bookmarkEnd w:id="5964"/>
    </w:p>
    <w:p>
      <w:pPr>
        <w:pStyle w:val="BookText"/>
      </w:pPr>
      <w:r>
        <w:rPr>
          <w:rFonts w:ascii="IRNazanin" w:hAnsi="IRNazanin" w:eastAsia="IRNazanin" w:cs="IRNazanin"/>
          <w:lang w:bidi="fa-IR"/>
          <w:color w:val="111111"/>
          <w:sz w:val="28"/>
          <w:szCs w:val="28"/>
          <w:rtl/>
        </w:rPr>
        <w:t xml:space="preserve">و اسمه علی نقی سافر إلی الهند زمان تألیف آفتاب عالمتاب فقال کان ماهرا فی نظم القصائد کذا فی (روشن- ص 405)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628" w:name="pg11704_122111"/>
    <w:bookmarkEnd w:id="628"/>
    <w:p>
      <w:pPr>
        <w:pStyle w:val="Heading3"/>
      </w:pPr>
      <w:bookmarkStart w:id="5965" w:name="_Toc4661"/>
      <w:r>
        <w:t>ط</w:t>
      </w:r>
      <w:bookmarkEnd w:id="5965"/>
    </w:p>
    <w:p>
      <w:pPr>
        <w:pStyle w:val="Heading3"/>
      </w:pPr>
      <w:bookmarkStart w:id="5966" w:name="_Toc4662"/>
      <w:r>
        <w:t>4510- دیوان طائر جرفادقانی گلپایگان‏</w:t>
      </w:r>
      <w:bookmarkEnd w:id="5966"/>
    </w:p>
    <w:p>
      <w:pPr>
        <w:pStyle w:val="BookText"/>
      </w:pPr>
      <w:r>
        <w:rPr>
          <w:rFonts w:ascii="IRNazanin" w:hAnsi="IRNazanin" w:eastAsia="IRNazanin" w:cs="IRNazanin"/>
          <w:lang w:bidi="fa-IR"/>
          <w:color w:val="111111"/>
          <w:sz w:val="28"/>
          <w:szCs w:val="28"/>
          <w:rtl/>
        </w:rPr>
        <w:t xml:space="preserve">اسمه السید محمد من أهل الذوق و العرفان و الشوق و الإیمان کما وصفه معاصره فی (مع- ج 2 ص 339) و ذکر أنه توفی فی سفر حج بیت الله و أورد قرب ثلاثین بیتا من شعره‏</w:t>
      </w:r>
    </w:p>
    <w:p>
      <w:pPr>
        <w:pStyle w:val="Heading3"/>
      </w:pPr>
      <w:bookmarkStart w:id="5967" w:name="_Toc4663"/>
      <w:r>
        <w:t>4511- دیوان طائر شیرازی‏</w:t>
      </w:r>
      <w:bookmarkEnd w:id="5967"/>
    </w:p>
    <w:p>
      <w:pPr>
        <w:pStyle w:val="BookText"/>
      </w:pPr>
      <w:r>
        <w:rPr>
          <w:rFonts w:ascii="IRNazanin" w:hAnsi="IRNazanin" w:eastAsia="IRNazanin" w:cs="IRNazanin"/>
          <w:lang w:bidi="fa-IR"/>
          <w:color w:val="111111"/>
          <w:sz w:val="28"/>
          <w:szCs w:val="28"/>
          <w:rtl/>
        </w:rPr>
        <w:t xml:space="preserve">میرزا نصر الله الصیاغ ترجمه أستاذه میرزا فرصت فی آثار عجم- ص 562 و أورد غزله مع تخلصه‏</w:t>
      </w:r>
    </w:p>
    <w:p>
      <w:pPr>
        <w:pStyle w:val="Heading3"/>
      </w:pPr>
      <w:bookmarkStart w:id="5968" w:name="_Toc4664"/>
      <w:r>
        <w:t>4512- دیوان طائر شیرازی‏</w:t>
      </w:r>
      <w:bookmarkEnd w:id="5968"/>
    </w:p>
    <w:p>
      <w:pPr>
        <w:pStyle w:val="BookText"/>
      </w:pPr>
      <w:r>
        <w:rPr>
          <w:rFonts w:ascii="IRNazanin" w:hAnsi="IRNazanin" w:eastAsia="IRNazanin" w:cs="IRNazanin"/>
          <w:lang w:bidi="fa-IR"/>
          <w:color w:val="111111"/>
          <w:sz w:val="28"/>
          <w:szCs w:val="28"/>
          <w:rtl/>
        </w:rPr>
        <w:t xml:space="preserve">المیرزا حسن خان بن عبد الرحیم خان و ابن أخ إبراهیم خان اعتماد الدولة ترجمه معاصره فی (مع- ج 2 ص 343) و ذکر أن دیوان غزلیاته خمسة آلاف بیت من غیر قصائده و کذا فی فارس‏نامه- 2: 149 نسخه منه فی مکتبة (المجلس) ذکر خصوصیاتها فی فهرسها فی (3- ص 339) و ذکر أنه ولد 1192 و توفی بالطاعون فی کرمانشاه (1247) نقلا عن عدة</w:t>
      </w:r>
    </w:p>
    <w:p>
      <w:pPr>
        <w:pStyle w:val="BookText"/>
      </w:pPr>
      <w:r>
        <w:rPr>
          <w:rFonts w:ascii="IRNazanin" w:hAnsi="IRNazanin" w:eastAsia="IRNazanin" w:cs="IRNazanin"/>
          <w:lang w:bidi="fa-IR"/>
          <w:color w:val="111111"/>
          <w:sz w:val="28"/>
          <w:szCs w:val="28"/>
          <w:rtl/>
        </w:rPr>
        <w:t xml:space="preserve">مواضع و أحصی قصائده و غزلیاته و رباعیاته علی هذا الترتیب إلی حدود خمسة آلاف و سبعمائة بیت و کتابة النسخة فی حیاة الشاعر</w:t>
      </w:r>
    </w:p>
    <w:p>
      <w:pPr>
        <w:pStyle w:val="Heading3"/>
      </w:pPr>
      <w:bookmarkStart w:id="5969" w:name="_Toc4665"/>
      <w:r>
        <w:t>4513- دیوان طائری أسترآبادی أو شعره‏</w:t>
      </w:r>
      <w:bookmarkEnd w:id="5969"/>
    </w:p>
    <w:p>
      <w:pPr>
        <w:pStyle w:val="BookText"/>
      </w:pPr>
      <w:r>
        <w:rPr>
          <w:rFonts w:ascii="IRNazanin" w:hAnsi="IRNazanin" w:eastAsia="IRNazanin" w:cs="IRNazanin"/>
          <w:lang w:bidi="fa-IR"/>
          <w:color w:val="111111"/>
          <w:sz w:val="28"/>
          <w:szCs w:val="28"/>
          <w:rtl/>
        </w:rPr>
        <w:t xml:space="preserve">أورد شعره فی (لط 3- ص 77) و فی (حسینی- ص 197) سماه طاهری أسترآبادی‏</w:t>
      </w:r>
    </w:p>
    <w:p>
      <w:pPr>
        <w:pStyle w:val="Heading3"/>
      </w:pPr>
      <w:bookmarkStart w:id="5970" w:name="_Toc4666"/>
      <w:r>
        <w:t>4514- دیوان طائری رازی أو شعره‏</w:t>
      </w:r>
      <w:bookmarkEnd w:id="5970"/>
    </w:p>
    <w:p>
      <w:pPr>
        <w:pStyle w:val="BookText"/>
      </w:pPr>
      <w:r>
        <w:rPr>
          <w:rFonts w:ascii="IRNazanin" w:hAnsi="IRNazanin" w:eastAsia="IRNazanin" w:cs="IRNazanin"/>
          <w:lang w:bidi="fa-IR"/>
          <w:color w:val="111111"/>
          <w:sz w:val="28"/>
          <w:szCs w:val="28"/>
          <w:rtl/>
        </w:rPr>
        <w:t xml:space="preserve">الطهرانی ابن مولانا أمیدی الطهرانی المذکور فی الألف ترجمه معاصره سام میرزا فی (تس 5- ص 141) و أورد مطلع غزله و کذا فی گلستان مسرت- ص 183</w:t>
      </w:r>
    </w:p>
    <w:p>
      <w:pPr>
        <w:pStyle w:val="Heading3"/>
      </w:pPr>
      <w:bookmarkStart w:id="5971" w:name="_Toc4667"/>
      <w:r>
        <w:t>4515- دیوان طائری مشهدی‏</w:t>
      </w:r>
      <w:bookmarkEnd w:id="5971"/>
    </w:p>
    <w:p>
      <w:pPr>
        <w:pStyle w:val="BookText"/>
      </w:pPr>
      <w:r>
        <w:rPr>
          <w:rFonts w:ascii="IRNazanin" w:hAnsi="IRNazanin" w:eastAsia="IRNazanin" w:cs="IRNazanin"/>
          <w:lang w:bidi="fa-IR"/>
          <w:color w:val="111111"/>
          <w:sz w:val="28"/>
          <w:szCs w:val="28"/>
          <w:rtl/>
        </w:rPr>
        <w:t xml:space="preserve">ترجمه سام میرزا فی (تس 5- ص 145) و ذکر أنه طالب العلم و صاحب الطبع الجمیل و ذکر مطلع غزله‏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629" w:name="pg11704_122112"/>
    <w:bookmarkEnd w:id="629"/>
    <w:p>
      <w:pPr>
        <w:pStyle w:val="Heading3"/>
      </w:pPr>
      <w:bookmarkStart w:id="5972" w:name="_Toc4668"/>
      <w:r>
        <w:t>4516- دیوان طائری هروی أو شعره‏</w:t>
      </w:r>
      <w:bookmarkEnd w:id="5972"/>
    </w:p>
    <w:p>
      <w:pPr>
        <w:pStyle w:val="BookText"/>
      </w:pPr>
      <w:r>
        <w:rPr>
          <w:rFonts w:ascii="IRNazanin" w:hAnsi="IRNazanin" w:eastAsia="IRNazanin" w:cs="IRNazanin"/>
          <w:lang w:bidi="fa-IR"/>
          <w:color w:val="111111"/>
          <w:sz w:val="28"/>
          <w:szCs w:val="28"/>
          <w:rtl/>
        </w:rPr>
        <w:t xml:space="preserve">أورد شعره فی (لط 3- ص 178) و (روشن 410) و فی (گلشن) سماه طاهری‏</w:t>
      </w:r>
    </w:p>
    <w:p>
      <w:pPr>
        <w:pStyle w:val="Heading3"/>
      </w:pPr>
      <w:bookmarkStart w:id="5973" w:name="_Toc4669"/>
      <w:r>
        <w:t>دیوان الطائی‏</w:t>
      </w:r>
      <w:bookmarkEnd w:id="5973"/>
    </w:p>
    <w:p>
      <w:pPr>
        <w:pStyle w:val="BookText"/>
      </w:pPr>
      <w:r>
        <w:rPr>
          <w:rFonts w:ascii="IRNazanin" w:hAnsi="IRNazanin" w:eastAsia="IRNazanin" w:cs="IRNazanin"/>
          <w:lang w:bidi="fa-IR"/>
          <w:color w:val="111111"/>
          <w:sz w:val="28"/>
          <w:szCs w:val="28"/>
          <w:rtl/>
        </w:rPr>
        <w:t xml:space="preserve">و هو أبو عبد الله جعفر بن عثمان مر بعنوان جعفر فی (ص 196)</w:t>
      </w:r>
    </w:p>
    <w:p>
      <w:pPr>
        <w:pStyle w:val="Heading3"/>
      </w:pPr>
      <w:bookmarkStart w:id="5974" w:name="_Toc4670"/>
      <w:r>
        <w:t>4517- دیوان طارمی أو شعره‏</w:t>
      </w:r>
      <w:bookmarkEnd w:id="5974"/>
    </w:p>
    <w:p>
      <w:pPr>
        <w:pStyle w:val="BookText"/>
      </w:pPr>
      <w:r>
        <w:rPr>
          <w:rFonts w:ascii="IRNazanin" w:hAnsi="IRNazanin" w:eastAsia="IRNazanin" w:cs="IRNazanin"/>
          <w:lang w:bidi="fa-IR"/>
          <w:color w:val="111111"/>
          <w:sz w:val="28"/>
          <w:szCs w:val="28"/>
          <w:rtl/>
        </w:rPr>
        <w:t xml:space="preserve">و اسمه میر دوست من قریة طارم سکن مشهد اثنی عشر سنة، ثم تقرب عند همایون پادشاه أورد شعره فی (گلشن- ص 260)</w:t>
      </w:r>
    </w:p>
    <w:p>
      <w:pPr>
        <w:pStyle w:val="Heading3"/>
      </w:pPr>
      <w:bookmarkStart w:id="5975" w:name="_Toc4671"/>
      <w:r>
        <w:t>4518- دیوان طاعتی رشتی‏</w:t>
      </w:r>
      <w:bookmarkEnd w:id="5975"/>
    </w:p>
    <w:p>
      <w:pPr>
        <w:pStyle w:val="BookText"/>
      </w:pPr>
      <w:r>
        <w:rPr>
          <w:rFonts w:ascii="IRNazanin" w:hAnsi="IRNazanin" w:eastAsia="IRNazanin" w:cs="IRNazanin"/>
          <w:lang w:bidi="fa-IR"/>
          <w:color w:val="111111"/>
          <w:sz w:val="28"/>
          <w:szCs w:val="28"/>
          <w:rtl/>
        </w:rPr>
        <w:t xml:space="preserve">لعبد علی بن إسماعیل الرشتی المولود 1336 المذکور فی (8: 38) له أشعار رقیقة کثیرة طبع فی الجرائد و فی تذکره شعرای معاصر (ج 2 ص 90) و کنگره نویسندگان ایران و قد جمع بعضها بنفسه و له تصحیح کتاب صحاح الفرس لهندو شاه‏</w:t>
      </w:r>
    </w:p>
    <w:p>
      <w:pPr>
        <w:pStyle w:val="Heading3"/>
      </w:pPr>
      <w:bookmarkStart w:id="5976" w:name="_Toc4672"/>
      <w:r>
        <w:t>4519- دیوان طاقی بخاری أو شعره‏</w:t>
      </w:r>
      <w:bookmarkEnd w:id="5976"/>
    </w:p>
    <w:p>
      <w:pPr>
        <w:pStyle w:val="BookText"/>
      </w:pPr>
      <w:r>
        <w:rPr>
          <w:rFonts w:ascii="IRNazanin" w:hAnsi="IRNazanin" w:eastAsia="IRNazanin" w:cs="IRNazanin"/>
          <w:lang w:bidi="fa-IR"/>
          <w:color w:val="111111"/>
          <w:sz w:val="28"/>
          <w:szCs w:val="28"/>
          <w:rtl/>
        </w:rPr>
        <w:t xml:space="preserve">الماهر فی التصویر و الکتابة و الزخرفة أورد شعره فی (روشن- ص 405)</w:t>
      </w:r>
    </w:p>
    <w:p>
      <w:pPr>
        <w:pStyle w:val="Heading3"/>
      </w:pPr>
      <w:bookmarkStart w:id="5977" w:name="_Toc4673"/>
      <w:r>
        <w:t>4520- دیوان طائف گلپایگانی‏</w:t>
      </w:r>
      <w:bookmarkEnd w:id="5977"/>
    </w:p>
    <w:p>
      <w:pPr>
        <w:pStyle w:val="BookText"/>
      </w:pPr>
      <w:r>
        <w:rPr>
          <w:rFonts w:ascii="IRNazanin" w:hAnsi="IRNazanin" w:eastAsia="IRNazanin" w:cs="IRNazanin"/>
          <w:lang w:bidi="fa-IR"/>
          <w:color w:val="111111"/>
          <w:sz w:val="28"/>
          <w:szCs w:val="28"/>
          <w:rtl/>
        </w:rPr>
        <w:t xml:space="preserve">المولی محمد علی بن الحاج محمد حسین الأصفهانی من أحفاد الشیخ کمال الدین حسین النجفی نزیل جرفادقان فی عصر الشاه إسماعیل الفاتح نزل المولی محمد علی أصفهان مشتغلا بتحصیل العلوم عند المحقق الآقا حسین الخوانساری أطرأه معاصره النصرآبادی فی (نر 9- ص 351) و أورد بعض مطالعه و رباعیاته، و کذا فی (گلشن- ص 262) و (تغ- ص 83)</w:t>
      </w:r>
    </w:p>
    <w:p>
      <w:pPr>
        <w:pStyle w:val="Heading3"/>
      </w:pPr>
      <w:bookmarkStart w:id="5978" w:name="_Toc4674"/>
      <w:r>
        <w:t>4521- دیوان طالب آملی‏</w:t>
      </w:r>
      <w:bookmarkEnd w:id="5978"/>
    </w:p>
    <w:p>
      <w:pPr>
        <w:pStyle w:val="BookText"/>
      </w:pPr>
      <w:r>
        <w:rPr>
          <w:rFonts w:ascii="IRNazanin" w:hAnsi="IRNazanin" w:eastAsia="IRNazanin" w:cs="IRNazanin"/>
          <w:lang w:bidi="fa-IR"/>
          <w:color w:val="111111"/>
          <w:sz w:val="28"/>
          <w:szCs w:val="28"/>
          <w:rtl/>
        </w:rPr>
        <w:t xml:space="preserve">و اسمه محمد طالب، ولد بآمل مازندران و نشا بها و نظم الشعر و سافر إلی کاشان و تزوج هناک ثم خرج إلی مرو و تقرب عند حاکمها ملکس خان [ظ: بکتش، الذی حکم مرو 1008- 1017] من قبل الشاه عباس و باسمه نظم خسرو و شیرین و طلب ترخیصه للعودة إلی وطنه، فرخصه لکنه بدل العودة إلی وطنه سافر إلی قندهار عند حاکمها من قبل جهانگیر شاه و هو المیرزا غازی ترخان و لما مات هذا فی (1020) سافر طالب إلی آگرة فتقرب عند جهانگیر شاه و فی (1028) لقبه بملک الشعراء کما فی (میخانه- ص 384) و عرض علیه المهر داریة فأبی منها و قال:</w:t>
      </w:r>
    </w:p>
    <w:p>
      <w:pPr>
        <w:pStyle w:val="BookText"/>
      </w:pPr>
      <w:r>
        <w:rPr>
          <w:rFonts w:ascii="IRNazanin" w:hAnsi="IRNazanin" w:eastAsia="IRNazanin" w:cs="IRNazanin"/>
          <w:lang w:bidi="fa-IR"/>
          <w:color w:val="111111"/>
          <w:sz w:val="28"/>
          <w:szCs w:val="28"/>
          <w:rtl/>
        </w:rPr>
        <w:t xml:space="preserve">چه مهر تو دارم چه حاجت به مهرت‏</w:t>
      </w:r>
    </w:p>
    <w:p>
      <w:pPr>
        <w:pStyle w:val="BookText"/>
      </w:pPr>
      <w:r>
        <w:rPr>
          <w:rFonts w:ascii="IRNazanin" w:hAnsi="IRNazanin" w:eastAsia="IRNazanin" w:cs="IRNazanin"/>
          <w:lang w:bidi="fa-IR"/>
          <w:color w:val="111111"/>
          <w:sz w:val="28"/>
          <w:szCs w:val="28"/>
          <w:rtl/>
        </w:rPr>
        <w:t xml:space="preserve">مرا مهر داری به از مهر داری‏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630" w:name="pg11704_122113"/>
    <w:bookmarkEnd w:id="630"/>
    <w:p>
      <w:pPr>
        <w:pStyle w:val="BookText"/>
      </w:pPr>
      <w:r>
        <w:rPr>
          <w:rFonts w:ascii="IRNazanin" w:hAnsi="IRNazanin" w:eastAsia="IRNazanin" w:cs="IRNazanin"/>
          <w:lang w:bidi="fa-IR"/>
          <w:color w:val="111111"/>
          <w:sz w:val="28"/>
          <w:szCs w:val="28"/>
          <w:rtl/>
        </w:rPr>
        <w:t xml:space="preserve">و کذا أمره السلطان بحلق لحیته فامتنع عنه و أنشأ قطعة فیها الحلف بحاجبی السلطان بأن قطع رأسه أهون علیه من حلق لحیته لو أجبر علیه آخرها:</w:t>
      </w:r>
    </w:p>
    <w:p>
      <w:pPr>
        <w:pStyle w:val="BookText"/>
      </w:pPr>
      <w:r>
        <w:rPr>
          <w:rFonts w:ascii="IRNazanin" w:hAnsi="IRNazanin" w:eastAsia="IRNazanin" w:cs="IRNazanin"/>
          <w:lang w:bidi="fa-IR"/>
          <w:color w:val="111111"/>
          <w:sz w:val="28"/>
          <w:szCs w:val="28"/>
          <w:rtl/>
        </w:rPr>
        <w:t xml:space="preserve">و گر نه بإیمان ابروی تو</w:t>
      </w:r>
    </w:p>
    <w:p>
      <w:pPr>
        <w:pStyle w:val="BookText"/>
      </w:pPr>
      <w:r>
        <w:rPr>
          <w:rFonts w:ascii="IRNazanin" w:hAnsi="IRNazanin" w:eastAsia="IRNazanin" w:cs="IRNazanin"/>
          <w:lang w:bidi="fa-IR"/>
          <w:color w:val="111111"/>
          <w:sz w:val="28"/>
          <w:szCs w:val="28"/>
          <w:rtl/>
        </w:rPr>
        <w:t xml:space="preserve">سر از صفحه تن تراشیدمی‏</w:t>
      </w:r>
    </w:p>
    <w:p>
      <w:pPr>
        <w:pStyle w:val="BookText"/>
      </w:pPr>
      <w:r>
        <w:rPr>
          <w:rFonts w:ascii="IRNazanin" w:hAnsi="IRNazanin" w:eastAsia="IRNazanin" w:cs="IRNazanin"/>
          <w:lang w:bidi="fa-IR"/>
          <w:color w:val="111111"/>
          <w:sz w:val="28"/>
          <w:szCs w:val="28"/>
          <w:rtl/>
        </w:rPr>
        <w:t xml:space="preserve">ترجمه البلگرامی فی خزانة عامرة- ص 300 فی أربع صفحات منه و أورد تمام قصیدته القلمیة و ذکر أن جملة من غزلیاته نسبت إلی غیره و توفی هو فی عین شبابه (1036 أو 1035)- [حشرش بعلی بن أبی طالب باد] و قال ریو فی فهرسته (ص 679) إنه تجنن فی آخر عمره و ترجمه النصرآبادی فی (نر 9- ص 223) و قال رأیت دیوانه مشتملا علی أربعة عشر ألف بیت و أورد نیفا و خمسین منه لکن النسخة الموجودة منه فی مکتبة (المجلس) المکتوبة (1042) تبلغ سبعة عشر ألف بیت قد ذکر خصوصیاتها ابن یوسف فی فهرسها (3 ص 340) و قال فی (سرو آزاد- ص 43) إن أخت طالب المسماة ستی النساء أیضا کانت فی بلاط جهانگیر و قال ریو إن سبب سفره إلی کاشان هو زوج خالته الحکیم نظام الدین علی بکاشان و هو والد الحکیم رکن الدین مسعود (حکیم رکنا) و أن سبب سفره إلی الهند هو سفر ابن خالته حکیم رکنا المذکور إلی الهند قبله و جاء ترجمه طالب فی (سرخوش- ص 69) و (حسینی 198) بعنوان طالب مازندرانی، و فی تاریخ أدبیات ایران لمستر براون (4: 167) و توجد نسخته عند (دهخدا) و (الملک- 175) و طبع کلیات طالب بالهند و إیران‏</w:t>
      </w:r>
    </w:p>
    <w:p>
      <w:pPr>
        <w:pStyle w:val="Heading3"/>
      </w:pPr>
      <w:bookmarkStart w:id="5979" w:name="_Toc4675"/>
      <w:r>
        <w:t>دیوان طالب أصفهانی‏</w:t>
      </w:r>
      <w:bookmarkEnd w:id="5979"/>
    </w:p>
    <w:p>
      <w:pPr>
        <w:pStyle w:val="BookText"/>
      </w:pPr>
      <w:r>
        <w:rPr>
          <w:rFonts w:ascii="IRNazanin" w:hAnsi="IRNazanin" w:eastAsia="IRNazanin" w:cs="IRNazanin"/>
          <w:lang w:bidi="fa-IR"/>
          <w:color w:val="111111"/>
          <w:sz w:val="28"/>
          <w:szCs w:val="28"/>
          <w:rtl/>
        </w:rPr>
        <w:t xml:space="preserve">یأتی بتخلصه نصیب‏</w:t>
      </w:r>
    </w:p>
    <w:p>
      <w:pPr>
        <w:pStyle w:val="Heading3"/>
      </w:pPr>
      <w:bookmarkStart w:id="5980" w:name="_Toc4676"/>
      <w:r>
        <w:t>4522- دیوان میرزا طالب أصفهانی التبریزی‏</w:t>
      </w:r>
      <w:bookmarkEnd w:id="5980"/>
    </w:p>
    <w:p>
      <w:pPr>
        <w:pStyle w:val="BookText"/>
      </w:pPr>
      <w:r>
        <w:rPr>
          <w:rFonts w:ascii="IRNazanin" w:hAnsi="IRNazanin" w:eastAsia="IRNazanin" w:cs="IRNazanin"/>
          <w:lang w:bidi="fa-IR"/>
          <w:color w:val="111111"/>
          <w:sz w:val="28"/>
          <w:szCs w:val="28"/>
          <w:rtl/>
        </w:rPr>
        <w:t xml:space="preserve">کان والده الحاج میرزا خان بیک من تجار تبریز و نزل عباس‏آباد أصفهان و کانت مائدته مهیأة لجمع من أهل الحال و أصحاب الکمال فی کل لیلة إلی أن توفی و</w:t>
      </w:r>
    </w:p>
    <w:p>
      <w:pPr>
        <w:pStyle w:val="BookText"/>
      </w:pPr>
      <w:r>
        <w:rPr>
          <w:rFonts w:ascii="IRNazanin" w:hAnsi="IRNazanin" w:eastAsia="IRNazanin" w:cs="IRNazanin"/>
          <w:lang w:bidi="fa-IR"/>
          <w:color w:val="111111"/>
          <w:sz w:val="28"/>
          <w:szCs w:val="28"/>
          <w:rtl/>
        </w:rPr>
        <w:t xml:space="preserve">بابه اقتدی عدی فی الکرم‏</w:t>
      </w:r>
    </w:p>
    <w:p>
      <w:pPr>
        <w:pStyle w:val="BookText"/>
      </w:pPr>
      <w:r>
        <w:rPr>
          <w:rFonts w:ascii="IRNazanin" w:hAnsi="IRNazanin" w:eastAsia="IRNazanin" w:cs="IRNazanin"/>
          <w:lang w:bidi="fa-IR"/>
          <w:color w:val="111111"/>
          <w:sz w:val="28"/>
          <w:szCs w:val="28"/>
          <w:rtl/>
        </w:rPr>
        <w:t xml:space="preserve">حتی نفذ المتروکات الکثیرة من أبیه و بقی فقیرا أطرأه النصرآبادی فی (نر 5- ص 125) و له ساقی‏نامه مثل ما لظهوری و أورد کثیرا من مثنویة فی الجواب عن تحفه العراقین و بعض غزله و رباعیاته و نقل عنه فی (دجا- ص 244)</w:t>
      </w:r>
    </w:p>
    <w:p>
      <w:pPr>
        <w:pStyle w:val="Heading3"/>
      </w:pPr>
      <w:bookmarkStart w:id="5981" w:name="_Toc4677"/>
      <w:r>
        <w:t>4523- دیوان طالب أصفهانی أو شعره‏</w:t>
      </w:r>
      <w:bookmarkEnd w:id="5981"/>
    </w:p>
    <w:p>
      <w:pPr>
        <w:pStyle w:val="BookText"/>
      </w:pPr>
      <w:r>
        <w:rPr>
          <w:rFonts w:ascii="IRNazanin" w:hAnsi="IRNazanin" w:eastAsia="IRNazanin" w:cs="IRNazanin"/>
          <w:lang w:bidi="fa-IR"/>
          <w:color w:val="111111"/>
          <w:sz w:val="28"/>
          <w:szCs w:val="28"/>
          <w:rtl/>
        </w:rPr>
        <w:t xml:space="preserve">أورد شعره فی طبقات أکبری (ص 518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631" w:name="pg11704_122114"/>
    <w:bookmarkEnd w:id="631"/>
    <w:p>
      <w:pPr>
        <w:pStyle w:val="Heading3"/>
      </w:pPr>
      <w:bookmarkStart w:id="5982" w:name="_Toc4678"/>
      <w:r>
        <w:t>4524- دیوان میرزا أبو طالب التبریزی أو شعره‏</w:t>
      </w:r>
      <w:bookmarkEnd w:id="5982"/>
    </w:p>
    <w:p>
      <w:pPr>
        <w:pStyle w:val="BookText"/>
      </w:pPr>
      <w:r>
        <w:rPr>
          <w:rFonts w:ascii="IRNazanin" w:hAnsi="IRNazanin" w:eastAsia="IRNazanin" w:cs="IRNazanin"/>
          <w:lang w:bidi="fa-IR"/>
          <w:color w:val="111111"/>
          <w:sz w:val="28"/>
          <w:szCs w:val="28"/>
          <w:rtl/>
        </w:rPr>
        <w:t xml:space="preserve">مؤلف خلاصة الأفکار و مسیر طالبی فی بلاد الإفرنجی المتوفی (1221) کما فی (دجا- ص 243) و لاقاه فی کلکتة مؤلف تحفه العالم کما فی (ص 291) و قد طبع له مسیر طالبی الذی هو رحلته إلی أروپا فی کلکتة</w:t>
      </w:r>
    </w:p>
    <w:p>
      <w:pPr>
        <w:pStyle w:val="Heading3"/>
      </w:pPr>
      <w:bookmarkStart w:id="5983" w:name="_Toc4679"/>
      <w:r>
        <w:t>4525- دیوان طالب جاجرمی‏</w:t>
      </w:r>
      <w:bookmarkEnd w:id="5983"/>
    </w:p>
    <w:p>
      <w:pPr>
        <w:pStyle w:val="BookText"/>
      </w:pPr>
      <w:r>
        <w:rPr>
          <w:rFonts w:ascii="IRNazanin" w:hAnsi="IRNazanin" w:eastAsia="IRNazanin" w:cs="IRNazanin"/>
          <w:lang w:bidi="fa-IR"/>
          <w:color w:val="111111"/>
          <w:sz w:val="28"/>
          <w:szCs w:val="28"/>
          <w:rtl/>
        </w:rPr>
        <w:t xml:space="preserve">قال فی (لت 6) کان تلمیذ الشیخ آذری و سکن شیراز ثلاثین سنة له منظومة گوی و چوگان و مات حدود 854 و دفن عند قبر حافظ و کذا فی شاهد صادق و لکن قد جاء شعره بخطه فی مشیخة کنز السالکین المذکور فی (8: 187) و تاریخه رجب 864 باسم طالب بسطامی شیرازی و جاء ذکره فی (تش 72) و (مجن 1- 19 و 193)</w:t>
      </w:r>
    </w:p>
    <w:p>
      <w:pPr>
        <w:pStyle w:val="Heading3"/>
      </w:pPr>
      <w:bookmarkStart w:id="5984" w:name="_Toc4680"/>
      <w:r>
        <w:t>4526- دیوان طالب تبریزی أو شعره‏</w:t>
      </w:r>
      <w:bookmarkEnd w:id="5984"/>
    </w:p>
    <w:p>
      <w:pPr>
        <w:pStyle w:val="BookText"/>
      </w:pPr>
      <w:r>
        <w:rPr>
          <w:rFonts w:ascii="IRNazanin" w:hAnsi="IRNazanin" w:eastAsia="IRNazanin" w:cs="IRNazanin"/>
          <w:lang w:bidi="fa-IR"/>
          <w:color w:val="111111"/>
          <w:sz w:val="28"/>
          <w:szCs w:val="28"/>
          <w:rtl/>
        </w:rPr>
        <w:t xml:space="preserve">و هو الحکیم أبو طالب الطبیب الحاذق التبریزی المقتول بها فی عصر الشاه عباس الماضی ترجمه النصرآبادی (نر 3- ص 68) و أورد بعض شعره الذی تخلصه فیه طالب و هو غیر المیرزا طالب التبریزی ساکن عباس‏آباد بأصفهان و ناظم ساقی‏نامه و أورد شعره فی (حسینی ص 197)</w:t>
      </w:r>
    </w:p>
    <w:p>
      <w:pPr>
        <w:pStyle w:val="Heading3"/>
      </w:pPr>
      <w:bookmarkStart w:id="5985" w:name="_Toc4681"/>
      <w:r>
        <w:t>4527- دیوان الشیخ طالب الحویزی‏</w:t>
      </w:r>
      <w:bookmarkEnd w:id="5985"/>
    </w:p>
    <w:p>
      <w:pPr>
        <w:pStyle w:val="BookText"/>
      </w:pPr>
      <w:r>
        <w:rPr>
          <w:rFonts w:ascii="IRNazanin" w:hAnsi="IRNazanin" w:eastAsia="IRNazanin" w:cs="IRNazanin"/>
          <w:lang w:bidi="fa-IR"/>
          <w:color w:val="111111"/>
          <w:sz w:val="28"/>
          <w:szCs w:val="28"/>
          <w:rtl/>
        </w:rPr>
        <w:t xml:space="preserve">هو ابن الشیخ أسد الله بن الشیخ جعفر الحلانی الحویزی المتوفی 1346 رأیته عند ولده الشیخ حسین فی النجف‏</w:t>
      </w:r>
    </w:p>
    <w:p>
      <w:pPr>
        <w:pStyle w:val="Heading3"/>
      </w:pPr>
      <w:bookmarkStart w:id="5986" w:name="_Toc4682"/>
      <w:r>
        <w:t>4528- دیوان طالب گرجی شیرازی أو شعره‏</w:t>
      </w:r>
      <w:bookmarkEnd w:id="5986"/>
    </w:p>
    <w:p>
      <w:pPr>
        <w:pStyle w:val="BookText"/>
      </w:pPr>
      <w:r>
        <w:rPr>
          <w:rFonts w:ascii="IRNazanin" w:hAnsi="IRNazanin" w:eastAsia="IRNazanin" w:cs="IRNazanin"/>
          <w:lang w:bidi="fa-IR"/>
          <w:color w:val="111111"/>
          <w:sz w:val="28"/>
          <w:szCs w:val="28"/>
          <w:rtl/>
        </w:rPr>
        <w:t xml:space="preserve">اسمه عبد الله خان بن أحمد خان الگرجی المملوک لحسین علی میرزا فرمان فرما بشیراز ترجمه فی آثار عجم ص 562 و أورد شعره و ذکر أنه توفی (1306) و دفن فی خارج باب الحافظیة</w:t>
      </w:r>
    </w:p>
    <w:p>
      <w:pPr>
        <w:pStyle w:val="Heading3"/>
      </w:pPr>
      <w:bookmarkStart w:id="5987" w:name="_Toc4683"/>
      <w:r>
        <w:t>4529- دیوان طالب گیلانی‏</w:t>
      </w:r>
      <w:bookmarkEnd w:id="5987"/>
    </w:p>
    <w:p>
      <w:pPr>
        <w:pStyle w:val="BookText"/>
      </w:pPr>
      <w:r>
        <w:rPr>
          <w:rFonts w:ascii="IRNazanin" w:hAnsi="IRNazanin" w:eastAsia="IRNazanin" w:cs="IRNazanin"/>
          <w:lang w:bidi="fa-IR"/>
          <w:color w:val="111111"/>
          <w:sz w:val="28"/>
          <w:szCs w:val="28"/>
          <w:rtl/>
        </w:rPr>
        <w:t xml:space="preserve">ترجمه الصادقی فی (خص 8- ص 283) و ذکر أنه أعلی رتبة من جمیع شعراء گیلان، و رتب دیوانه بنفسه ثم أورد بعضا منه و ترجمه سام میرزا فی (تس 2- ص 55) و ذکر أنه ألف رسالة فی الصنائع الشعریة و ذکر أیضا فی (تش- ص 162) و (گلشن 360) و (تغ- ص 82)</w:t>
      </w:r>
    </w:p>
    <w:p>
      <w:pPr>
        <w:pStyle w:val="Heading3"/>
      </w:pPr>
      <w:bookmarkStart w:id="5988" w:name="_Toc4684"/>
      <w:r>
        <w:t>4530- دیوان طالبی سمرقندی أو شعره‏</w:t>
      </w:r>
      <w:bookmarkEnd w:id="5988"/>
    </w:p>
    <w:p>
      <w:pPr>
        <w:pStyle w:val="BookText"/>
      </w:pPr>
      <w:r>
        <w:rPr>
          <w:rFonts w:ascii="IRNazanin" w:hAnsi="IRNazanin" w:eastAsia="IRNazanin" w:cs="IRNazanin"/>
          <w:lang w:bidi="fa-IR"/>
          <w:color w:val="111111"/>
          <w:sz w:val="28"/>
          <w:szCs w:val="28"/>
          <w:rtl/>
        </w:rPr>
        <w:t xml:space="preserve">أورد شعره فی (بهش 2- ص 390)</w:t>
      </w:r>
    </w:p>
    <w:p>
      <w:pPr>
        <w:pStyle w:val="Heading3"/>
      </w:pPr>
      <w:bookmarkStart w:id="5989" w:name="_Toc4685"/>
      <w:r>
        <w:t>4531- دیوان طالع دهلوی أو شعره‏</w:t>
      </w:r>
      <w:bookmarkEnd w:id="5989"/>
    </w:p>
    <w:p>
      <w:pPr>
        <w:pStyle w:val="BookText"/>
      </w:pPr>
      <w:r>
        <w:rPr>
          <w:rFonts w:ascii="IRNazanin" w:hAnsi="IRNazanin" w:eastAsia="IRNazanin" w:cs="IRNazanin"/>
          <w:lang w:bidi="fa-IR"/>
          <w:color w:val="111111"/>
          <w:sz w:val="28"/>
          <w:szCs w:val="28"/>
          <w:rtl/>
        </w:rPr>
        <w:t xml:space="preserve">أورد شعره فی (گلشن- ص 260) و فی (تغ- 82) سماه المیرزا نظام الدین أحمد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632" w:name="pg11704_122115"/>
    <w:bookmarkEnd w:id="632"/>
    <w:p>
      <w:pPr>
        <w:pStyle w:val="Heading3"/>
      </w:pPr>
      <w:bookmarkStart w:id="5990" w:name="_Toc4686"/>
      <w:r>
        <w:t>4532- دیوان طالع سبزواری أو شعره‏</w:t>
      </w:r>
      <w:bookmarkEnd w:id="5990"/>
    </w:p>
    <w:p>
      <w:pPr>
        <w:pStyle w:val="BookText"/>
      </w:pPr>
      <w:r>
        <w:rPr>
          <w:rFonts w:ascii="IRNazanin" w:hAnsi="IRNazanin" w:eastAsia="IRNazanin" w:cs="IRNazanin"/>
          <w:lang w:bidi="fa-IR"/>
          <w:color w:val="111111"/>
          <w:sz w:val="28"/>
          <w:szCs w:val="28"/>
          <w:rtl/>
        </w:rPr>
        <w:t xml:space="preserve">أورد شعره فی (گلشن- ص 261)</w:t>
      </w:r>
    </w:p>
    <w:p>
      <w:pPr>
        <w:pStyle w:val="Heading3"/>
      </w:pPr>
      <w:bookmarkStart w:id="5991" w:name="_Toc4687"/>
      <w:r>
        <w:t>4533- دیوان طالع شیرازی‏</w:t>
      </w:r>
      <w:bookmarkEnd w:id="5991"/>
    </w:p>
    <w:p>
      <w:pPr>
        <w:pStyle w:val="BookText"/>
      </w:pPr>
      <w:r>
        <w:rPr>
          <w:rFonts w:ascii="IRNazanin" w:hAnsi="IRNazanin" w:eastAsia="IRNazanin" w:cs="IRNazanin"/>
          <w:lang w:bidi="fa-IR"/>
          <w:color w:val="111111"/>
          <w:sz w:val="28"/>
          <w:szCs w:val="28"/>
          <w:rtl/>
        </w:rPr>
        <w:t xml:space="preserve">المیرزا محمد الطبیب المتوفی شابا (1303) و حمل إلی العراق ترجمه فی آثار عجم ص 562 و أورد غزله مع تخلصه‏</w:t>
      </w:r>
    </w:p>
    <w:p>
      <w:pPr>
        <w:pStyle w:val="Heading3"/>
      </w:pPr>
      <w:bookmarkStart w:id="5992" w:name="_Toc4688"/>
      <w:r>
        <w:t>4534- دیوان طالع گیلانی أو شعره‏</w:t>
      </w:r>
      <w:bookmarkEnd w:id="5992"/>
    </w:p>
    <w:p>
      <w:pPr>
        <w:pStyle w:val="BookText"/>
      </w:pPr>
      <w:r>
        <w:rPr>
          <w:rFonts w:ascii="IRNazanin" w:hAnsi="IRNazanin" w:eastAsia="IRNazanin" w:cs="IRNazanin"/>
          <w:lang w:bidi="fa-IR"/>
          <w:color w:val="111111"/>
          <w:sz w:val="28"/>
          <w:szCs w:val="28"/>
          <w:rtl/>
        </w:rPr>
        <w:t xml:space="preserve">و اسمه محمد محسن الساکن بأصفهان أورد شعره الحزین فی تذکرته (ص 110)</w:t>
      </w:r>
    </w:p>
    <w:p>
      <w:pPr>
        <w:pStyle w:val="Heading3"/>
      </w:pPr>
      <w:bookmarkStart w:id="5993" w:name="_Toc4689"/>
      <w:r>
        <w:t>4535- دیوان طالعی أو شعره‏</w:t>
      </w:r>
      <w:bookmarkEnd w:id="5993"/>
    </w:p>
    <w:p>
      <w:pPr>
        <w:pStyle w:val="BookText"/>
      </w:pPr>
      <w:r>
        <w:rPr>
          <w:rFonts w:ascii="IRNazanin" w:hAnsi="IRNazanin" w:eastAsia="IRNazanin" w:cs="IRNazanin"/>
          <w:lang w:bidi="fa-IR"/>
          <w:color w:val="111111"/>
          <w:sz w:val="28"/>
          <w:szCs w:val="28"/>
          <w:rtl/>
        </w:rPr>
        <w:t xml:space="preserve">معاصر السلطان محمد البایسنقری أورد شعره فی مدیح الرضا ع فی (مجن 1- ص 17 و 191)</w:t>
      </w:r>
    </w:p>
    <w:p>
      <w:pPr>
        <w:pStyle w:val="Heading3"/>
      </w:pPr>
      <w:bookmarkStart w:id="5994" w:name="_Toc4690"/>
      <w:r>
        <w:t>4536- دیوان طالعی یزدی أو شعره‏</w:t>
      </w:r>
      <w:bookmarkEnd w:id="5994"/>
    </w:p>
    <w:p>
      <w:pPr>
        <w:pStyle w:val="BookText"/>
      </w:pPr>
      <w:r>
        <w:rPr>
          <w:rFonts w:ascii="IRNazanin" w:hAnsi="IRNazanin" w:eastAsia="IRNazanin" w:cs="IRNazanin"/>
          <w:lang w:bidi="fa-IR"/>
          <w:color w:val="111111"/>
          <w:sz w:val="28"/>
          <w:szCs w:val="28"/>
          <w:rtl/>
        </w:rPr>
        <w:t xml:space="preserve">الخطاط الصحاف هاجر من وطنه إلی أکبرآباد أورد شعره فی (روشن- ص 407)</w:t>
      </w:r>
    </w:p>
    <w:p>
      <w:pPr>
        <w:pStyle w:val="Heading3"/>
      </w:pPr>
      <w:bookmarkStart w:id="5995" w:name="_Toc4691"/>
      <w:r>
        <w:t>دیوان الطالقانی‏</w:t>
      </w:r>
      <w:bookmarkEnd w:id="5995"/>
    </w:p>
    <w:p>
      <w:pPr>
        <w:pStyle w:val="BookText"/>
      </w:pPr>
      <w:r>
        <w:rPr>
          <w:rFonts w:ascii="IRNazanin" w:hAnsi="IRNazanin" w:eastAsia="IRNazanin" w:cs="IRNazanin"/>
          <w:lang w:bidi="fa-IR"/>
          <w:color w:val="111111"/>
          <w:sz w:val="28"/>
          <w:szCs w:val="28"/>
          <w:rtl/>
        </w:rPr>
        <w:t xml:space="preserve">مر بعنوان الصاحب الوزیر فی (ص 577)</w:t>
      </w:r>
    </w:p>
    <w:p>
      <w:pPr>
        <w:pStyle w:val="Heading3"/>
      </w:pPr>
      <w:bookmarkStart w:id="5996" w:name="_Toc4692"/>
      <w:r>
        <w:t>4537- دیوان الطالقانی‏</w:t>
      </w:r>
      <w:bookmarkEnd w:id="5996"/>
    </w:p>
    <w:p>
      <w:pPr>
        <w:pStyle w:val="BookText"/>
      </w:pPr>
      <w:r>
        <w:rPr>
          <w:rFonts w:ascii="IRNazanin" w:hAnsi="IRNazanin" w:eastAsia="IRNazanin" w:cs="IRNazanin"/>
          <w:lang w:bidi="fa-IR"/>
          <w:color w:val="111111"/>
          <w:sz w:val="28"/>
          <w:szCs w:val="28"/>
          <w:rtl/>
        </w:rPr>
        <w:t xml:space="preserve">للسید موسی بن جعفر الحسینی الطالقانی بن السید علی بن السید حسین بن السید حسن میر حکیم بن السید عبد الحسین النجفی المولود بها فی (1230) و المتوفی بالوباء (23 شعبان- 1298) اشتغل فی النجف حتی برع و نزل بالبدرة عند أملاکه و بها توفی و حمل إلی النجف ذکر فی أول دیوانه أن السید میرزا بن السید عبد الله الطالقانی المتوفی (1315) کان ابن</w:t>
      </w:r>
    </w:p>
    <w:p>
      <w:pPr>
        <w:pStyle w:val="BookText"/>
      </w:pPr>
      <w:r>
        <w:rPr>
          <w:rFonts w:ascii="IRNazanin" w:hAnsi="IRNazanin" w:eastAsia="IRNazanin" w:cs="IRNazanin"/>
          <w:lang w:bidi="fa-IR"/>
          <w:color w:val="111111"/>
          <w:sz w:val="28"/>
          <w:szCs w:val="28"/>
          <w:rtl/>
        </w:rPr>
        <w:t xml:space="preserve">خاله و دیوانه فی (4000) بیت نسخه منه بخطوط مختلفة بمکتبة کاشف الغطاء، و أخری بمکتبة الشیخ نعمة الطریحی کما یظهر من ترجمه الشیخ عبد المولی للطالقانی، التی نشرها فی مجلة العرفان ج 1 ص 271 من سنة (1346) و هو مرتب علی الحروف و نسخه خط الناظم کانت عند ولده السید محمد تقی و الیوم عند ابنه السید محمد تقی السید عبد الصاحب مقیم بدرة و قد طبع الدیوان السید محمد حسن بن السید عبد الرسول آل الطالقانی مع تعلیقات و مقدمه و تراجم لآل الطالقانی من أجداد الناشر و قد صحح النسخة و طبقها علی ثمانی نسخ إحداها بخط الناظم و ذیلها بثمانیة فهارس خرجت فی 476 ص فی النجف فی 1376</w:t>
      </w:r>
    </w:p>
    <w:p>
      <w:pPr>
        <w:pStyle w:val="Heading3"/>
      </w:pPr>
      <w:bookmarkStart w:id="5997" w:name="_Toc4693"/>
      <w:r>
        <w:t>4538- دیوان طاوس أو شعرها</w:t>
      </w:r>
      <w:bookmarkEnd w:id="5997"/>
    </w:p>
    <w:p>
      <w:pPr>
        <w:pStyle w:val="BookText"/>
      </w:pPr>
      <w:r>
        <w:rPr>
          <w:rFonts w:ascii="IRNazanin" w:hAnsi="IRNazanin" w:eastAsia="IRNazanin" w:cs="IRNazanin"/>
          <w:lang w:bidi="fa-IR"/>
          <w:color w:val="111111"/>
          <w:sz w:val="28"/>
          <w:szCs w:val="28"/>
          <w:rtl/>
        </w:rPr>
        <w:t xml:space="preserve">هی تاج الدولة زوجة فتح علی شاه تلمذت علی معتمد الدولة نشاط و باسمها بدل الشاه اسم تخت خورشید فجعله تخت طاوس ترجمها و أورد شعرها فی نقل مجلس و خیرات حسان و از رابعة تا پروین- ص 164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633" w:name="pg11704_122116"/>
    <w:bookmarkEnd w:id="633"/>
    <w:p>
      <w:pPr>
        <w:pStyle w:val="Heading3"/>
      </w:pPr>
      <w:bookmarkStart w:id="5998" w:name="_Toc4694"/>
      <w:r>
        <w:t>4539- دیوان الشیخ محمد طاها الکرمی‏</w:t>
      </w:r>
      <w:bookmarkEnd w:id="5998"/>
    </w:p>
    <w:p>
      <w:pPr>
        <w:pStyle w:val="BookText"/>
      </w:pPr>
      <w:r>
        <w:rPr>
          <w:rFonts w:ascii="IRNazanin" w:hAnsi="IRNazanin" w:eastAsia="IRNazanin" w:cs="IRNazanin"/>
          <w:lang w:bidi="fa-IR"/>
          <w:color w:val="111111"/>
          <w:sz w:val="28"/>
          <w:szCs w:val="28"/>
          <w:rtl/>
        </w:rPr>
        <w:t xml:space="preserve">المعاصر المولود (1317) هو ابن العالم الورع التقی الشیخ نصر الله بن الحسین بن نصر الله بن عباس بن محمد بن عبد الله بن کرم الله الحویزی توفی جده الشیخ عبد الله بن کرم الله بعد (1131) بقلیل کما ترجمه مفصلا و أطرأه السید عبد الله الجزائری فی أواخر إجازته الکبیرة، و کذا فصل الشیخ محمد الکرمی ترجمه والده الناظم للدیوان فی الحلقة الرابعة من الحیاة الروحیة (ص 151 ص 222) و أورد قرب ألف و خمسمائة بیت من دیوانه‏</w:t>
      </w:r>
    </w:p>
    <w:p>
      <w:pPr>
        <w:pStyle w:val="Heading3"/>
      </w:pPr>
      <w:bookmarkStart w:id="5999" w:name="_Toc4695"/>
      <w:r>
        <w:t>4540- دیوان الشیخ محمد طاها نجف التبریزی‏</w:t>
      </w:r>
      <w:bookmarkEnd w:id="5999"/>
    </w:p>
    <w:p>
      <w:pPr>
        <w:pStyle w:val="BookText"/>
      </w:pPr>
      <w:r>
        <w:rPr>
          <w:rFonts w:ascii="IRNazanin" w:hAnsi="IRNazanin" w:eastAsia="IRNazanin" w:cs="IRNazanin"/>
          <w:lang w:bidi="fa-IR"/>
          <w:color w:val="111111"/>
          <w:sz w:val="28"/>
          <w:szCs w:val="28"/>
          <w:rtl/>
        </w:rPr>
        <w:t xml:space="preserve">الأصل النجفی المولد و المنشا و المدفن ترجمه فی (دجا- ص 245) و ذکر نسبه من والده الشیخ مهدی بن الشیخ محمد رضا بن الحاج نجف التبریزی و ذکر ولادته فی (1241) و وفاته فی (1323) و ذکر من تصانیفه کتاب إحیاء الموات فی أحوال الرواة کما ذکرناه فی (ج 1 ص 307) و قلنا إنه عدل أخیرا عن هذا الاسم و سماه إتقان المقال کما هو المطبوع و لم یذکر شعره تنزیها له عن الشاعریة، لکنه کان قوی الشعر فی مدیح أهل البیت ع و لم یبرز له شعر الا فی مدحهم منها القصیدة العلویة فی مدح الأمیر ع و قد شرحها تلامیذه منهم السید مهدی البحرانی، سمی شرحه الدرة النضیدة فی شرح القصیدة کما فصلناه فی (ج 8 ص 114) و منهم تلمیذه الآخر السید زین العابدین بن الحجة الحاج السید جواد القمی سمی شرحه أخیرا البراهین الجلیة کما فصلناه فی الصفحة المذکورة و إن فاتنا ذکره فی (ج 3) و منها القصیدة الرضویة فی مدح ثامن الأئمة ع نظمها عند زیارة المشهد علی تفصیل ذکره لی الشیخ حسین بن الحاج الشیخ إبراهیم خادم مسجد السهلة و</w:t>
      </w:r>
    </w:p>
    <w:p>
      <w:pPr>
        <w:pStyle w:val="BookText"/>
      </w:pPr>
      <w:r>
        <w:rPr>
          <w:rFonts w:ascii="IRNazanin" w:hAnsi="IRNazanin" w:eastAsia="IRNazanin" w:cs="IRNazanin"/>
          <w:lang w:bidi="fa-IR"/>
          <w:color w:val="111111"/>
          <w:sz w:val="28"/>
          <w:szCs w:val="28"/>
          <w:rtl/>
        </w:rPr>
        <w:t xml:space="preserve">قد حکیت القضیة بتمامها للشیخ علی أکبر النهاوندی المتوفی بالمشهد (1369) و هو أدرجها فی کتابه المسک الأزفر ص 111</w:t>
      </w:r>
    </w:p>
    <w:p>
      <w:pPr>
        <w:pStyle w:val="Heading3"/>
      </w:pPr>
      <w:bookmarkStart w:id="6000" w:name="_Toc4696"/>
      <w:r>
        <w:t>4541- دیوان طاهر أو شعره‏</w:t>
      </w:r>
      <w:bookmarkEnd w:id="6000"/>
    </w:p>
    <w:p>
      <w:pPr>
        <w:pStyle w:val="BookText"/>
      </w:pPr>
      <w:r>
        <w:rPr>
          <w:rFonts w:ascii="IRNazanin" w:hAnsi="IRNazanin" w:eastAsia="IRNazanin" w:cs="IRNazanin"/>
          <w:lang w:bidi="fa-IR"/>
          <w:color w:val="111111"/>
          <w:sz w:val="28"/>
          <w:szCs w:val="28"/>
          <w:rtl/>
        </w:rPr>
        <w:t xml:space="preserve">و هو المیرزا محمد طاهر بن رضی، سبط الشاه عباس الصفوی الأول ترجمه فی (نر 1- ص 13) و أورد شعره‏</w:t>
      </w:r>
    </w:p>
    <w:p>
      <w:pPr>
        <w:pStyle w:val="Heading3"/>
      </w:pPr>
      <w:bookmarkStart w:id="6001" w:name="_Toc4697"/>
      <w:r>
        <w:t>4542- دیوان طاهر أبیوردی أو شعره‏</w:t>
      </w:r>
      <w:bookmarkEnd w:id="6001"/>
    </w:p>
    <w:p>
      <w:pPr>
        <w:pStyle w:val="BookText"/>
      </w:pPr>
      <w:r>
        <w:rPr>
          <w:rFonts w:ascii="IRNazanin" w:hAnsi="IRNazanin" w:eastAsia="IRNazanin" w:cs="IRNazanin"/>
          <w:lang w:bidi="fa-IR"/>
          <w:color w:val="111111"/>
          <w:sz w:val="28"/>
          <w:szCs w:val="28"/>
          <w:rtl/>
        </w:rPr>
        <w:t xml:space="preserve">کان معاصر السلطان بایسنقر أورد شعره فی (لت- 7) ذیل أحوال طاهر بخاری و فی (روشن- 408)</w:t>
      </w:r>
    </w:p>
    <w:p>
      <w:pPr>
        <w:pStyle w:val="Heading3"/>
      </w:pPr>
      <w:bookmarkStart w:id="6002" w:name="_Toc4698"/>
      <w:r>
        <w:t>4543- دیوان طاهر أردبیلی أو شعره‏</w:t>
      </w:r>
      <w:bookmarkEnd w:id="6002"/>
    </w:p>
    <w:p>
      <w:pPr>
        <w:pStyle w:val="BookText"/>
      </w:pPr>
      <w:r>
        <w:rPr>
          <w:rFonts w:ascii="IRNazanin" w:hAnsi="IRNazanin" w:eastAsia="IRNazanin" w:cs="IRNazanin"/>
          <w:lang w:bidi="fa-IR"/>
          <w:color w:val="111111"/>
          <w:sz w:val="28"/>
          <w:szCs w:val="28"/>
          <w:rtl/>
        </w:rPr>
        <w:t xml:space="preserve">و هو محمد کاظم ابن الآقا میرزا الصراف‏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634" w:name="pg11704_122117"/>
    <w:bookmarkEnd w:id="634"/>
    <w:p>
      <w:pPr>
        <w:pStyle w:val="BookText"/>
      </w:pPr>
      <w:r>
        <w:rPr>
          <w:rFonts w:ascii="IRNazanin" w:hAnsi="IRNazanin" w:eastAsia="IRNazanin" w:cs="IRNazanin"/>
          <w:lang w:bidi="fa-IR"/>
          <w:color w:val="111111"/>
          <w:sz w:val="28"/>
          <w:szCs w:val="28"/>
          <w:rtl/>
        </w:rPr>
        <w:t xml:space="preserve">کان ماهرا فی الهجاء و مات 1085 بأصفهان‏</w:t>
      </w:r>
    </w:p>
    <w:p>
      <w:pPr>
        <w:pStyle w:val="Heading3"/>
      </w:pPr>
      <w:bookmarkStart w:id="6003" w:name="_Toc4699"/>
      <w:r>
        <w:t>4544- دیوان طاهر أصفهانی أو شعره‏</w:t>
      </w:r>
      <w:bookmarkEnd w:id="6003"/>
    </w:p>
    <w:p>
      <w:pPr>
        <w:pStyle w:val="BookText"/>
      </w:pPr>
      <w:r>
        <w:rPr>
          <w:rFonts w:ascii="IRNazanin" w:hAnsi="IRNazanin" w:eastAsia="IRNazanin" w:cs="IRNazanin"/>
          <w:lang w:bidi="fa-IR"/>
          <w:color w:val="111111"/>
          <w:sz w:val="28"/>
          <w:szCs w:val="28"/>
          <w:rtl/>
        </w:rPr>
        <w:t xml:space="preserve">و هو المیرزا محمد طاهر، من کتاب الدیوان بالبلاط الصفوی سافر مع أخیه محمد علی إلی دکن فترقی أمرهما هناک فلقب الأول التفات خان و الثانی ملتفت خان و مات طاهر التفات خان فی 1129 أورد شعره فی سرو آزاد- ص 144</w:t>
      </w:r>
    </w:p>
    <w:p>
      <w:pPr>
        <w:pStyle w:val="Heading3"/>
      </w:pPr>
      <w:bookmarkStart w:id="6004" w:name="_Toc4700"/>
      <w:r>
        <w:t>4545- دیوان طاهر أصفهانی أو شعره‏</w:t>
      </w:r>
      <w:bookmarkEnd w:id="6004"/>
    </w:p>
    <w:p>
      <w:pPr>
        <w:pStyle w:val="BookText"/>
      </w:pPr>
      <w:r>
        <w:rPr>
          <w:rFonts w:ascii="IRNazanin" w:hAnsi="IRNazanin" w:eastAsia="IRNazanin" w:cs="IRNazanin"/>
          <w:lang w:bidi="fa-IR"/>
          <w:color w:val="111111"/>
          <w:sz w:val="28"/>
          <w:szCs w:val="28"/>
          <w:rtl/>
        </w:rPr>
        <w:t xml:space="preserve">و شغله شعرباف سکن بمحلة در کوشک بأصفهان ثم سافر إلی الهند و بها مات أورد شعره فی (نر 9- ص 423)</w:t>
      </w:r>
    </w:p>
    <w:p>
      <w:pPr>
        <w:pStyle w:val="Heading3"/>
      </w:pPr>
      <w:bookmarkStart w:id="6005" w:name="_Toc4701"/>
      <w:r>
        <w:t>دیوان طاهر أنجدانی‏</w:t>
      </w:r>
      <w:bookmarkEnd w:id="6005"/>
    </w:p>
    <w:p>
      <w:pPr>
        <w:pStyle w:val="BookText"/>
      </w:pPr>
      <w:r>
        <w:rPr>
          <w:rFonts w:ascii="IRNazanin" w:hAnsi="IRNazanin" w:eastAsia="IRNazanin" w:cs="IRNazanin"/>
          <w:lang w:bidi="fa-IR"/>
          <w:color w:val="111111"/>
          <w:sz w:val="28"/>
          <w:szCs w:val="28"/>
          <w:rtl/>
        </w:rPr>
        <w:t xml:space="preserve">ترجمه فی (تش- ص 233) و (تغ- ص 83) مر بعنوان شاه طاهر فی (ص 499) و (2: 406) و (6: 142)</w:t>
      </w:r>
    </w:p>
    <w:p>
      <w:pPr>
        <w:pStyle w:val="Heading3"/>
      </w:pPr>
      <w:bookmarkStart w:id="6006" w:name="_Toc4702"/>
      <w:r>
        <w:t>4546- دیوان طاهر بخاری أو شعره‏</w:t>
      </w:r>
      <w:bookmarkEnd w:id="6006"/>
    </w:p>
    <w:p>
      <w:pPr>
        <w:pStyle w:val="BookText"/>
      </w:pPr>
      <w:r>
        <w:rPr>
          <w:rFonts w:ascii="IRNazanin" w:hAnsi="IRNazanin" w:eastAsia="IRNazanin" w:cs="IRNazanin"/>
          <w:lang w:bidi="fa-IR"/>
          <w:color w:val="111111"/>
          <w:sz w:val="28"/>
          <w:szCs w:val="28"/>
          <w:rtl/>
        </w:rPr>
        <w:t xml:space="preserve">و اسمه شیخ‏زاده طاهر معاصر السلطان بابر أورد غزله فی (لت- 7) و بعده ذکر طاهر أبیوردی و عنه أخذ ظاهرا فی (خیال- ص 71)</w:t>
      </w:r>
    </w:p>
    <w:p>
      <w:pPr>
        <w:pStyle w:val="Heading3"/>
      </w:pPr>
      <w:bookmarkStart w:id="6007" w:name="_Toc4703"/>
      <w:r>
        <w:t>4547- دیوان طاهر تفرشی أو شعره‏</w:t>
      </w:r>
      <w:bookmarkEnd w:id="6007"/>
    </w:p>
    <w:p>
      <w:pPr>
        <w:pStyle w:val="BookText"/>
      </w:pPr>
      <w:r>
        <w:rPr>
          <w:rFonts w:ascii="IRNazanin" w:hAnsi="IRNazanin" w:eastAsia="IRNazanin" w:cs="IRNazanin"/>
          <w:lang w:bidi="fa-IR"/>
          <w:color w:val="111111"/>
          <w:sz w:val="28"/>
          <w:szCs w:val="28"/>
          <w:rtl/>
        </w:rPr>
        <w:t xml:space="preserve">جاء مع سفیر إیران إلی بلاط أکبر شاه بالهند أورد شعره فی (روشن- ص 408)</w:t>
      </w:r>
    </w:p>
    <w:p>
      <w:pPr>
        <w:pStyle w:val="Heading3"/>
      </w:pPr>
      <w:bookmarkStart w:id="6008" w:name="_Toc4704"/>
      <w:r>
        <w:t>4548- دیوان طاهر تویسرکانی أو شعره‏</w:t>
      </w:r>
      <w:bookmarkEnd w:id="6008"/>
    </w:p>
    <w:p>
      <w:pPr>
        <w:pStyle w:val="BookText"/>
      </w:pPr>
      <w:r>
        <w:rPr>
          <w:rFonts w:ascii="IRNazanin" w:hAnsi="IRNazanin" w:eastAsia="IRNazanin" w:cs="IRNazanin"/>
          <w:lang w:bidi="fa-IR"/>
          <w:color w:val="111111"/>
          <w:sz w:val="28"/>
          <w:szCs w:val="28"/>
          <w:rtl/>
        </w:rPr>
        <w:t xml:space="preserve">هو ابن المیرزا محمد الذی کان وقایع نویس للشاه عباس الأول ترجمه معاصره النصرآبادی فی (نر 4- ص 83)</w:t>
      </w:r>
    </w:p>
    <w:p>
      <w:pPr>
        <w:pStyle w:val="Heading3"/>
      </w:pPr>
      <w:bookmarkStart w:id="6009" w:name="_Toc4705"/>
      <w:r>
        <w:t>4549- دیوان طاهر الجرزی أو شعره‏</w:t>
      </w:r>
      <w:bookmarkEnd w:id="6009"/>
    </w:p>
    <w:p>
      <w:pPr>
        <w:pStyle w:val="BookText"/>
      </w:pPr>
      <w:r>
        <w:rPr>
          <w:rFonts w:ascii="IRNazanin" w:hAnsi="IRNazanin" w:eastAsia="IRNazanin" w:cs="IRNazanin"/>
          <w:lang w:bidi="fa-IR"/>
          <w:color w:val="111111"/>
          <w:sz w:val="28"/>
          <w:szCs w:val="28"/>
          <w:rtl/>
        </w:rPr>
        <w:t xml:space="preserve">هو شداد بن إبراهیم بن الحسن أبو النجیب من شعراء عضد الدولة الدیلمی، مدح الوزیر المهلبی و مات 401 ترجمه و أورد شعره فی (جما- ج 11 ص 270) و عده فی معالم العلماء ص 137 من شعراء أهل البیت‏</w:t>
      </w:r>
    </w:p>
    <w:p>
      <w:pPr>
        <w:pStyle w:val="Heading3"/>
      </w:pPr>
      <w:bookmarkStart w:id="6010" w:name="_Toc4706"/>
      <w:r>
        <w:t>4550- دیوان طاهر چغانی أو شعره‏</w:t>
      </w:r>
      <w:bookmarkEnd w:id="6010"/>
    </w:p>
    <w:p>
      <w:pPr>
        <w:pStyle w:val="BookText"/>
      </w:pPr>
      <w:r>
        <w:rPr>
          <w:rFonts w:ascii="IRNazanin" w:hAnsi="IRNazanin" w:eastAsia="IRNazanin" w:cs="IRNazanin"/>
          <w:lang w:bidi="fa-IR"/>
          <w:color w:val="111111"/>
          <w:sz w:val="28"/>
          <w:szCs w:val="28"/>
          <w:rtl/>
        </w:rPr>
        <w:t xml:space="preserve">هو أبو المظفر بن أبی الفضل ملک طخارستان ترجمه فی (مع 1- 37 و 327) و أورد شعره‏</w:t>
      </w:r>
    </w:p>
    <w:p>
      <w:pPr>
        <w:pStyle w:val="Heading3"/>
      </w:pPr>
      <w:bookmarkStart w:id="6011" w:name="_Toc4707"/>
      <w:r>
        <w:t>دیوان طاهر حسینی‏</w:t>
      </w:r>
      <w:bookmarkEnd w:id="6011"/>
    </w:p>
    <w:p>
      <w:pPr>
        <w:pStyle w:val="BookText"/>
      </w:pPr>
      <w:r>
        <w:rPr>
          <w:rFonts w:ascii="IRNazanin" w:hAnsi="IRNazanin" w:eastAsia="IRNazanin" w:cs="IRNazanin"/>
          <w:lang w:bidi="fa-IR"/>
          <w:color w:val="111111"/>
          <w:sz w:val="28"/>
          <w:szCs w:val="28"/>
          <w:rtl/>
        </w:rPr>
        <w:t xml:space="preserve">راجع طاهر طالقانی‏</w:t>
      </w:r>
    </w:p>
    <w:p>
      <w:pPr>
        <w:pStyle w:val="Heading3"/>
      </w:pPr>
      <w:bookmarkStart w:id="6012" w:name="_Toc4708"/>
      <w:r>
        <w:t>دیوان طاهر دکنی‏</w:t>
      </w:r>
      <w:bookmarkEnd w:id="6012"/>
    </w:p>
    <w:p>
      <w:pPr>
        <w:pStyle w:val="BookText"/>
      </w:pPr>
      <w:r>
        <w:rPr>
          <w:rFonts w:ascii="IRNazanin" w:hAnsi="IRNazanin" w:eastAsia="IRNazanin" w:cs="IRNazanin"/>
          <w:lang w:bidi="fa-IR"/>
          <w:color w:val="111111"/>
          <w:sz w:val="28"/>
          <w:szCs w:val="28"/>
          <w:rtl/>
        </w:rPr>
        <w:t xml:space="preserve">صاحب أنموذج العلوم المذکور فی (2: 406) و الحاشیة علی الشفاء (6: 142) مر بعنوان شاه طاهر، و طاهر أنجدانی‏</w:t>
      </w:r>
    </w:p>
    <w:p>
      <w:pPr>
        <w:pStyle w:val="Heading3"/>
      </w:pPr>
      <w:bookmarkStart w:id="6013" w:name="_Toc4709"/>
      <w:r>
        <w:t>دیوان طاهرزاده قفقازی‏</w:t>
      </w:r>
      <w:bookmarkEnd w:id="6013"/>
    </w:p>
    <w:p>
      <w:pPr>
        <w:pStyle w:val="BookText"/>
      </w:pPr>
      <w:r>
        <w:rPr>
          <w:rFonts w:ascii="IRNazanin" w:hAnsi="IRNazanin" w:eastAsia="IRNazanin" w:cs="IRNazanin"/>
          <w:lang w:bidi="fa-IR"/>
          <w:color w:val="111111"/>
          <w:sz w:val="28"/>
          <w:szCs w:val="28"/>
          <w:rtl/>
        </w:rPr>
        <w:t xml:space="preserve">ناظم هوپ‏هوپ‏نامه و غیرها من الاجتماعیات مر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635" w:name="pg11704_122118"/>
    <w:bookmarkEnd w:id="635"/>
    <w:p>
      <w:pPr>
        <w:pStyle w:val="BookText"/>
      </w:pPr>
      <w:r>
        <w:rPr>
          <w:rFonts w:ascii="IRNazanin" w:hAnsi="IRNazanin" w:eastAsia="IRNazanin" w:cs="IRNazanin"/>
          <w:lang w:bidi="fa-IR"/>
          <w:color w:val="111111"/>
          <w:sz w:val="28"/>
          <w:szCs w:val="28"/>
          <w:rtl/>
        </w:rPr>
        <w:t xml:space="preserve">فی (ص 573) بتخلصه صابر</w:t>
      </w:r>
    </w:p>
    <w:p>
      <w:pPr>
        <w:pStyle w:val="Heading3"/>
      </w:pPr>
      <w:bookmarkStart w:id="6014" w:name="_Toc4710"/>
      <w:r>
        <w:t>دیوان طاهر شاه‏جهانی‏</w:t>
      </w:r>
      <w:bookmarkEnd w:id="6014"/>
    </w:p>
    <w:p>
      <w:pPr>
        <w:pStyle w:val="BookText"/>
      </w:pPr>
      <w:r>
        <w:rPr>
          <w:rFonts w:ascii="IRNazanin" w:hAnsi="IRNazanin" w:eastAsia="IRNazanin" w:cs="IRNazanin"/>
          <w:lang w:bidi="fa-IR"/>
          <w:color w:val="111111"/>
          <w:sz w:val="28"/>
          <w:szCs w:val="28"/>
          <w:rtl/>
        </w:rPr>
        <w:t xml:space="preserve">مر بتخلصه آشنا</w:t>
      </w:r>
    </w:p>
    <w:p>
      <w:pPr>
        <w:pStyle w:val="Heading3"/>
      </w:pPr>
      <w:bookmarkStart w:id="6015" w:name="_Toc4711"/>
      <w:r>
        <w:t>4551- دیوان طاهر طالقانی أو شعره‏</w:t>
      </w:r>
      <w:bookmarkEnd w:id="6015"/>
    </w:p>
    <w:p>
      <w:pPr>
        <w:pStyle w:val="BookText"/>
      </w:pPr>
      <w:r>
        <w:rPr>
          <w:rFonts w:ascii="IRNazanin" w:hAnsi="IRNazanin" w:eastAsia="IRNazanin" w:cs="IRNazanin"/>
          <w:lang w:bidi="fa-IR"/>
          <w:color w:val="111111"/>
          <w:sz w:val="28"/>
          <w:szCs w:val="28"/>
          <w:rtl/>
        </w:rPr>
        <w:t xml:space="preserve">و اسمه محمد الحسینی جاء من طالقان إلی الهند و تقرب عند شاه‏جهان و لم یقبل خدمته و اشتغل بالتجارة أورد شعره فی (سرخوش- ص 70) و (گلشن- ص 261)</w:t>
      </w:r>
    </w:p>
    <w:p>
      <w:pPr>
        <w:pStyle w:val="Heading3"/>
      </w:pPr>
      <w:bookmarkStart w:id="6016" w:name="_Toc4712"/>
      <w:r>
        <w:t>دیوان طاهر عریان‏</w:t>
      </w:r>
      <w:bookmarkEnd w:id="6016"/>
    </w:p>
    <w:p>
      <w:pPr>
        <w:pStyle w:val="BookText"/>
      </w:pPr>
      <w:r>
        <w:rPr>
          <w:rFonts w:ascii="IRNazanin" w:hAnsi="IRNazanin" w:eastAsia="IRNazanin" w:cs="IRNazanin"/>
          <w:lang w:bidi="fa-IR"/>
          <w:color w:val="111111"/>
          <w:sz w:val="28"/>
          <w:szCs w:val="28"/>
          <w:rtl/>
        </w:rPr>
        <w:t xml:space="preserve">و هو بابا طاهر الهمدانی ابن فریدون کما یظهر من شعره قال فی (مع 1 ص 326) إنه کان حیا فی 410 و فی شاهد صادق أنه مات 410 مر فی ألباء فی (ص 117)</w:t>
      </w:r>
    </w:p>
    <w:p>
      <w:pPr>
        <w:pStyle w:val="Heading3"/>
      </w:pPr>
      <w:bookmarkStart w:id="6017" w:name="_Toc4713"/>
      <w:r>
        <w:t>4552- دیوان طاهر علوی أو شعره‏</w:t>
      </w:r>
      <w:bookmarkEnd w:id="6017"/>
    </w:p>
    <w:p>
      <w:pPr>
        <w:pStyle w:val="BookText"/>
      </w:pPr>
      <w:r>
        <w:rPr>
          <w:rFonts w:ascii="IRNazanin" w:hAnsi="IRNazanin" w:eastAsia="IRNazanin" w:cs="IRNazanin"/>
          <w:lang w:bidi="fa-IR"/>
          <w:color w:val="111111"/>
          <w:sz w:val="28"/>
          <w:szCs w:val="28"/>
          <w:rtl/>
        </w:rPr>
        <w:t xml:space="preserve">ترجمه معاصره النصرآبادی فی (نر 9- ص 374) و أورد شعره و کذا فی (روشن 409)</w:t>
      </w:r>
    </w:p>
    <w:p>
      <w:pPr>
        <w:pStyle w:val="Heading3"/>
      </w:pPr>
      <w:bookmarkStart w:id="6018" w:name="_Toc4714"/>
      <w:r>
        <w:t>دیوان طاهر فاریابی‏</w:t>
      </w:r>
      <w:bookmarkEnd w:id="6018"/>
    </w:p>
    <w:p>
      <w:pPr>
        <w:pStyle w:val="BookText"/>
      </w:pPr>
      <w:r>
        <w:rPr>
          <w:rFonts w:ascii="IRNazanin" w:hAnsi="IRNazanin" w:eastAsia="IRNazanin" w:cs="IRNazanin"/>
          <w:lang w:bidi="fa-IR"/>
          <w:color w:val="111111"/>
          <w:sz w:val="28"/>
          <w:szCs w:val="28"/>
          <w:rtl/>
        </w:rPr>
        <w:t xml:space="preserve">یأتی بتخلصه ظهیر فاریابی‏</w:t>
      </w:r>
    </w:p>
    <w:p>
      <w:pPr>
        <w:pStyle w:val="Heading3"/>
      </w:pPr>
      <w:bookmarkStart w:id="6019" w:name="_Toc4715"/>
      <w:r>
        <w:t>دیوان طاهر قزوینی‏</w:t>
      </w:r>
      <w:bookmarkEnd w:id="6019"/>
    </w:p>
    <w:p>
      <w:pPr>
        <w:pStyle w:val="BookText"/>
      </w:pPr>
      <w:r>
        <w:rPr>
          <w:rFonts w:ascii="IRNazanin" w:hAnsi="IRNazanin" w:eastAsia="IRNazanin" w:cs="IRNazanin"/>
          <w:lang w:bidi="fa-IR"/>
          <w:color w:val="111111"/>
          <w:sz w:val="28"/>
          <w:szCs w:val="28"/>
          <w:rtl/>
        </w:rPr>
        <w:t xml:space="preserve">یأتی فی الواو بتخلصه وحید</w:t>
      </w:r>
    </w:p>
    <w:p>
      <w:pPr>
        <w:pStyle w:val="Heading3"/>
      </w:pPr>
      <w:bookmarkStart w:id="6020" w:name="_Toc4716"/>
      <w:r>
        <w:t>4553- دیوان طاهر قمی أو شعره‏</w:t>
      </w:r>
      <w:bookmarkEnd w:id="6020"/>
    </w:p>
    <w:p>
      <w:pPr>
        <w:pStyle w:val="BookText"/>
      </w:pPr>
      <w:r>
        <w:rPr>
          <w:rFonts w:ascii="IRNazanin" w:hAnsi="IRNazanin" w:eastAsia="IRNazanin" w:cs="IRNazanin"/>
          <w:lang w:bidi="fa-IR"/>
          <w:color w:val="111111"/>
          <w:sz w:val="28"/>
          <w:szCs w:val="28"/>
          <w:rtl/>
        </w:rPr>
        <w:t xml:space="preserve">کان شیخ الإسلام بها ترجمه فی (نر 6- ص 164) و أورد شعره، و هو المعارض مع المجلسی کما ذکر فی (10: 207) و (6:</w:t>
      </w:r>
    </w:p>
    <w:p>
      <w:pPr>
        <w:pStyle w:val="BookText"/>
      </w:pPr>
      <w:r>
        <w:rPr>
          <w:rFonts w:ascii="Times New Roman" w:hAnsi="Times New Roman" w:eastAsia="Times New Roman" w:cs="Times New Roman"/>
          <w:lang w:val="en-US" w:bidi="en-US"/>
          <w:color w:val="111111"/>
          <w:sz w:val="28"/>
          <w:szCs w:val="28"/>
          <w:rtl/>
        </w:rPr>
        <w:t xml:space="preserve">386.</w:t>
      </w:r>
    </w:p>
    <w:p>
      <w:pPr>
        <w:pStyle w:val="Heading3"/>
      </w:pPr>
      <w:bookmarkStart w:id="6021" w:name="_Toc4717"/>
      <w:r>
        <w:t>دیوان طاهر کاشی‏</w:t>
      </w:r>
      <w:bookmarkEnd w:id="6021"/>
    </w:p>
    <w:p>
      <w:pPr>
        <w:pStyle w:val="BookText"/>
      </w:pPr>
      <w:r>
        <w:rPr>
          <w:rFonts w:ascii="IRNazanin" w:hAnsi="IRNazanin" w:eastAsia="IRNazanin" w:cs="IRNazanin"/>
          <w:lang w:bidi="fa-IR"/>
          <w:color w:val="111111"/>
          <w:sz w:val="28"/>
          <w:szCs w:val="28"/>
          <w:rtl/>
        </w:rPr>
        <w:t xml:space="preserve">یأتی فی النون بتخلصه النقاش‏</w:t>
      </w:r>
    </w:p>
    <w:p>
      <w:pPr>
        <w:pStyle w:val="Heading3"/>
      </w:pPr>
      <w:bookmarkStart w:id="6022" w:name="_Toc4718"/>
      <w:r>
        <w:t>4554- دیوان طاهر کشمیری أو شعره‏</w:t>
      </w:r>
      <w:bookmarkEnd w:id="6022"/>
    </w:p>
    <w:p>
      <w:pPr>
        <w:pStyle w:val="BookText"/>
      </w:pPr>
      <w:r>
        <w:rPr>
          <w:rFonts w:ascii="IRNazanin" w:hAnsi="IRNazanin" w:eastAsia="IRNazanin" w:cs="IRNazanin"/>
          <w:lang w:bidi="fa-IR"/>
          <w:color w:val="111111"/>
          <w:sz w:val="28"/>
          <w:szCs w:val="28"/>
          <w:rtl/>
        </w:rPr>
        <w:t xml:space="preserve">أورد النصرآبادی شعره فی (نر 11 ص 448) و هو معاصره‏</w:t>
      </w:r>
    </w:p>
    <w:p>
      <w:pPr>
        <w:pStyle w:val="Heading3"/>
      </w:pPr>
      <w:bookmarkStart w:id="6023" w:name="_Toc4719"/>
      <w:r>
        <w:t>4555- دیوان طاهر لکهنوی‏</w:t>
      </w:r>
      <w:bookmarkEnd w:id="6023"/>
    </w:p>
    <w:p>
      <w:pPr>
        <w:pStyle w:val="BookText"/>
      </w:pPr>
      <w:r>
        <w:rPr>
          <w:rFonts w:ascii="IRNazanin" w:hAnsi="IRNazanin" w:eastAsia="IRNazanin" w:cs="IRNazanin"/>
          <w:lang w:bidi="fa-IR"/>
          <w:color w:val="111111"/>
          <w:sz w:val="28"/>
          <w:szCs w:val="28"/>
          <w:rtl/>
        </w:rPr>
        <w:t xml:space="preserve">هو محمد طاهر ابن المیرزا أوج ابن المیرزا دبیر المذکور فی (ص 320) شاعر معاصر، و دیوانه فی المراثی مطبوع‏</w:t>
      </w:r>
    </w:p>
    <w:p>
      <w:pPr>
        <w:pStyle w:val="Heading3"/>
      </w:pPr>
      <w:bookmarkStart w:id="6024" w:name="_Toc4720"/>
      <w:r>
        <w:t>دیوان طاهر مجلس نویس‏</w:t>
      </w:r>
      <w:bookmarkEnd w:id="6024"/>
    </w:p>
    <w:p>
      <w:pPr>
        <w:pStyle w:val="BookText"/>
      </w:pPr>
      <w:r>
        <w:rPr>
          <w:rFonts w:ascii="IRNazanin" w:hAnsi="IRNazanin" w:eastAsia="IRNazanin" w:cs="IRNazanin"/>
          <w:lang w:bidi="fa-IR"/>
          <w:color w:val="111111"/>
          <w:sz w:val="28"/>
          <w:szCs w:val="28"/>
          <w:rtl/>
        </w:rPr>
        <w:t xml:space="preserve">یأتی بتخلصه وحید قزوینی‏</w:t>
      </w:r>
    </w:p>
    <w:p>
      <w:pPr>
        <w:pStyle w:val="Heading3"/>
      </w:pPr>
      <w:bookmarkStart w:id="6025" w:name="_Toc4721"/>
      <w:r>
        <w:t>4556- دیوان طاهر مشهدی أو شعره‏</w:t>
      </w:r>
      <w:bookmarkEnd w:id="6025"/>
    </w:p>
    <w:p>
      <w:pPr>
        <w:pStyle w:val="BookText"/>
      </w:pPr>
      <w:r>
        <w:rPr>
          <w:rFonts w:ascii="IRNazanin" w:hAnsi="IRNazanin" w:eastAsia="IRNazanin" w:cs="IRNazanin"/>
          <w:lang w:bidi="fa-IR"/>
          <w:color w:val="111111"/>
          <w:sz w:val="28"/>
          <w:szCs w:val="28"/>
          <w:rtl/>
        </w:rPr>
        <w:t xml:space="preserve">قال فی (تش- ص 86) کان عطارا و مات شابا و أورد شعره و کذا فی مطلع الشمس- 2: 437</w:t>
      </w:r>
    </w:p>
    <w:p>
      <w:pPr>
        <w:pStyle w:val="Heading3"/>
      </w:pPr>
      <w:bookmarkStart w:id="6026" w:name="_Toc4722"/>
      <w:r>
        <w:t>دیوان طاهر نائنی‏</w:t>
      </w:r>
      <w:bookmarkEnd w:id="6026"/>
    </w:p>
    <w:p>
      <w:pPr>
        <w:pStyle w:val="BookText"/>
      </w:pPr>
      <w:r>
        <w:rPr>
          <w:rFonts w:ascii="IRNazanin" w:hAnsi="IRNazanin" w:eastAsia="IRNazanin" w:cs="IRNazanin"/>
          <w:lang w:bidi="fa-IR"/>
          <w:color w:val="111111"/>
          <w:sz w:val="28"/>
          <w:szCs w:val="28"/>
          <w:rtl/>
        </w:rPr>
        <w:t xml:space="preserve">أورد شعره فی (تش- ص 183) و (حسینی- ص 196) راجع طاهری نائنی‏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636" w:name="pg11704_122119"/>
    <w:bookmarkEnd w:id="636"/>
    <w:p>
      <w:pPr>
        <w:pStyle w:val="Heading3"/>
      </w:pPr>
      <w:bookmarkStart w:id="6027" w:name="_Toc4723"/>
      <w:r>
        <w:t>4557- دیوان طاهر نصرآبادی‏</w:t>
      </w:r>
      <w:bookmarkEnd w:id="6027"/>
    </w:p>
    <w:p>
      <w:pPr>
        <w:pStyle w:val="BookText"/>
      </w:pPr>
      <w:r>
        <w:rPr>
          <w:rFonts w:ascii="IRNazanin" w:hAnsi="IRNazanin" w:eastAsia="IRNazanin" w:cs="IRNazanin"/>
          <w:lang w:bidi="fa-IR"/>
          <w:color w:val="111111"/>
          <w:sz w:val="28"/>
          <w:szCs w:val="28"/>
          <w:rtl/>
        </w:rPr>
        <w:t xml:space="preserve">و هو المیرزا محمد طاهر النصرآبادی حفید المیرزا صادق صادقی المذکور فی (ص 582) نشا بنصرآباد أصفهان و صرف شبابه فی الملاهی ثم تاب و سافر إلی مشهد خراسان و زار الرضا ع و حج بیت الله و رجع و سکن مسجد لنبان بأصفهان و قد مات والده و هو ابن سبعة عشر سنة فی 1044 فولادته 1027 هکذا ترجم نفسه و أقربائه فی (نر 12 ص 451- 468) و له مثنوی تتبع فیه مثنوی ذو البحرین لأهلی شیرازی و له غزلیات تخلصه فیها طاهر رأیته عند السید أبی الحسن الکتابی بأصفهان و له گلشن خیال نثرا و هی قصة غرامیة رأیتها أیضا هناک و له تذکره‏</w:t>
      </w:r>
      <w:r>
        <w:rPr>
          <w:rStyle w:val="FootnoteReference"/>
        </w:rPr>
        <w:footnoteReference w:id="52"/>
      </w:r>
      <w:r>
        <w:rPr>
          <w:rFonts w:ascii="IRNazanin" w:hAnsi="IRNazanin" w:eastAsia="IRNazanin" w:cs="IRNazanin"/>
          <w:lang w:bidi="fa-IR"/>
          <w:color w:val="111111"/>
          <w:sz w:val="28"/>
          <w:szCs w:val="28"/>
          <w:rtl/>
        </w:rPr>
        <w:t xml:space="preserve">جمع فیها الشعراء المعاصرین له ذکرناها فی (4: 36) و فیها تواریخ 1077 (فی ص 173) و 1085 (فی ص 326) و 1086 (فی ص 485) و 1088 (فی ص 442) و 1089 (فی ص 121) و لکنه فی (ص 5) قال إنه شرع بتألیفه فی 1083</w:t>
      </w:r>
    </w:p>
    <w:p>
      <w:pPr>
        <w:pStyle w:val="Heading3"/>
      </w:pPr>
      <w:bookmarkStart w:id="6028" w:name="_Toc4724"/>
      <w:r>
        <w:t>دیوان طاهر نقاش‏</w:t>
      </w:r>
      <w:bookmarkEnd w:id="6028"/>
    </w:p>
    <w:p>
      <w:pPr>
        <w:pStyle w:val="BookText"/>
      </w:pPr>
      <w:r>
        <w:rPr>
          <w:rFonts w:ascii="IRNazanin" w:hAnsi="IRNazanin" w:eastAsia="IRNazanin" w:cs="IRNazanin"/>
          <w:lang w:bidi="fa-IR"/>
          <w:color w:val="111111"/>
          <w:sz w:val="28"/>
          <w:szCs w:val="28"/>
          <w:rtl/>
        </w:rPr>
        <w:t xml:space="preserve">یأتی بتخلصه نقاش کاشی.</w:t>
      </w:r>
    </w:p>
    <w:p>
      <w:pPr>
        <w:pStyle w:val="Heading3"/>
      </w:pPr>
      <w:bookmarkStart w:id="6029" w:name="_Toc4725"/>
      <w:r>
        <w:t>دیوان طاهر همدانی‏</w:t>
      </w:r>
      <w:bookmarkEnd w:id="6029"/>
    </w:p>
    <w:p>
      <w:pPr>
        <w:pStyle w:val="BookText"/>
      </w:pPr>
      <w:r>
        <w:rPr>
          <w:rFonts w:ascii="IRNazanin" w:hAnsi="IRNazanin" w:eastAsia="IRNazanin" w:cs="IRNazanin"/>
          <w:lang w:bidi="fa-IR"/>
          <w:color w:val="111111"/>
          <w:sz w:val="28"/>
          <w:szCs w:val="28"/>
          <w:rtl/>
        </w:rPr>
        <w:t xml:space="preserve">مر بعنوان طاهر عریان.</w:t>
      </w:r>
    </w:p>
    <w:p>
      <w:pPr>
        <w:pStyle w:val="Heading3"/>
      </w:pPr>
      <w:bookmarkStart w:id="6030" w:name="_Toc4726"/>
      <w:r>
        <w:t>دیوان طاهری بخاری‏</w:t>
      </w:r>
      <w:bookmarkEnd w:id="6030"/>
    </w:p>
    <w:p>
      <w:pPr>
        <w:pStyle w:val="BookText"/>
      </w:pPr>
      <w:r>
        <w:rPr>
          <w:rFonts w:ascii="IRNazanin" w:hAnsi="IRNazanin" w:eastAsia="IRNazanin" w:cs="IRNazanin"/>
          <w:lang w:bidi="fa-IR"/>
          <w:color w:val="111111"/>
          <w:sz w:val="28"/>
          <w:szCs w:val="28"/>
          <w:rtl/>
        </w:rPr>
        <w:t xml:space="preserve">کما فی (حسینی- ص 199) مر بعنوان طاهر بخاری.</w:t>
      </w:r>
    </w:p>
    <w:p>
      <w:pPr>
        <w:pStyle w:val="Heading3"/>
      </w:pPr>
      <w:bookmarkStart w:id="6031" w:name="_Toc4727"/>
      <w:r>
        <w:t>4558- دیوان طاهری نائنی‏</w:t>
      </w:r>
      <w:bookmarkEnd w:id="6031"/>
    </w:p>
    <w:p>
      <w:pPr>
        <w:pStyle w:val="BookText"/>
      </w:pPr>
      <w:r>
        <w:rPr>
          <w:rFonts w:ascii="IRNazanin" w:hAnsi="IRNazanin" w:eastAsia="IRNazanin" w:cs="IRNazanin"/>
          <w:lang w:bidi="fa-IR"/>
          <w:color w:val="111111"/>
          <w:sz w:val="28"/>
          <w:szCs w:val="28"/>
          <w:rtl/>
        </w:rPr>
        <w:t xml:space="preserve">و هو ملا طاهری. أورد شعره فی (نر 9- ص 296) و (روشن- ص 410) و عنه فی تاریخ نائین للبلاغی (1: 114 و 4: 148) و قد تعشق أحد غلمان الشاه عباس فأحرق الشاه شفتیه. و قال فی (نر 4- ص 94) إن ابن أخته جلال النائنی المذکور فی (ص 200) قد سرق دیوان هذا الشاعر و جعله باسمه. و أما فی (تش ص 183) و (حسینی- ص 196) فقد سمیاه طاهر نائنی.</w:t>
      </w:r>
    </w:p>
    <w:p>
      <w:pPr>
        <w:pStyle w:val="Heading3"/>
      </w:pPr>
      <w:bookmarkStart w:id="6032" w:name="_Toc4728"/>
      <w:r>
        <w:t>دیوان طاهری هروی‏</w:t>
      </w:r>
      <w:bookmarkEnd w:id="6032"/>
    </w:p>
    <w:p>
      <w:pPr>
        <w:pStyle w:val="BookText"/>
      </w:pPr>
      <w:r>
        <w:rPr>
          <w:rFonts w:ascii="IRNazanin" w:hAnsi="IRNazanin" w:eastAsia="IRNazanin" w:cs="IRNazanin"/>
          <w:lang w:bidi="fa-IR"/>
          <w:color w:val="111111"/>
          <w:sz w:val="28"/>
          <w:szCs w:val="28"/>
          <w:rtl/>
        </w:rPr>
        <w:t xml:space="preserve">کما فی (لط 3- ص 79) راجع ظاهر هروی.</w:t>
      </w:r>
    </w:p>
    <w:p>
      <w:pPr>
        <w:pStyle w:val="Heading3"/>
      </w:pPr>
      <w:bookmarkStart w:id="6033" w:name="_Toc4729"/>
      <w:r>
        <w:t>4559- دیوان طاهری هروی أو شعره‏</w:t>
      </w:r>
      <w:bookmarkEnd w:id="6033"/>
    </w:p>
    <w:p>
      <w:pPr>
        <w:pStyle w:val="BookText"/>
      </w:pPr>
      <w:r>
        <w:rPr>
          <w:rFonts w:ascii="IRNazanin" w:hAnsi="IRNazanin" w:eastAsia="IRNazanin" w:cs="IRNazanin"/>
          <w:lang w:bidi="fa-IR"/>
          <w:color w:val="111111"/>
          <w:sz w:val="28"/>
          <w:szCs w:val="28"/>
          <w:rtl/>
        </w:rPr>
        <w:t xml:space="preserve">أورد شعره معاصره المیر علی شیر فی‏ ا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637" w:name="pg11704_122120"/>
    <w:bookmarkEnd w:id="637"/>
    <w:p>
      <w:pPr>
        <w:pStyle w:val="BookText"/>
      </w:pPr>
      <w:r>
        <w:rPr>
          <w:rFonts w:ascii="IRNazanin" w:hAnsi="IRNazanin" w:eastAsia="IRNazanin" w:cs="IRNazanin"/>
          <w:lang w:bidi="fa-IR"/>
          <w:color w:val="111111"/>
          <w:sz w:val="28"/>
          <w:szCs w:val="28"/>
          <w:rtl/>
        </w:rPr>
        <w:t xml:space="preserve">(مجن 3- ص 82 و 257) و فی بعض نسخه ظاهری بالمعجمة. و کذا فی (تش- ص 150) و (گلشن ص 262) و فی (حسینی- ص 197) أنه کان حذاء فصار کاتبا.</w:t>
      </w:r>
    </w:p>
    <w:p>
      <w:pPr>
        <w:pStyle w:val="Heading3"/>
      </w:pPr>
      <w:bookmarkStart w:id="6034" w:name="_Toc4730"/>
      <w:r>
        <w:t>4560- دیوان الطباطبائی‏</w:t>
      </w:r>
      <w:bookmarkEnd w:id="6034"/>
    </w:p>
    <w:p>
      <w:pPr>
        <w:pStyle w:val="BookText"/>
      </w:pPr>
      <w:r>
        <w:rPr>
          <w:rFonts w:ascii="IRNazanin" w:hAnsi="IRNazanin" w:eastAsia="IRNazanin" w:cs="IRNazanin"/>
          <w:lang w:bidi="fa-IR"/>
          <w:color w:val="111111"/>
          <w:sz w:val="28"/>
          <w:szCs w:val="28"/>
          <w:rtl/>
        </w:rPr>
        <w:t xml:space="preserve">فی أنواع الشعر و ضروبه لأشهر شعراء العراق السید إبراهیم بن الحسین بن رضا بن السید مهدی بحر العلوم الطباطبائی البروجردی النجفی (1320- 1248) طبع بإجازة ولدیه السید حسن و السید محمد فی مطبعة العرفان بصیدا فی (1332) فی 288 ص.</w:t>
      </w:r>
    </w:p>
    <w:p>
      <w:pPr>
        <w:pStyle w:val="Heading3"/>
      </w:pPr>
      <w:bookmarkStart w:id="6035" w:name="_Toc4731"/>
      <w:r>
        <w:t>4561- دیوان مولانا طبخی قزوینی‏</w:t>
      </w:r>
      <w:bookmarkEnd w:id="6035"/>
    </w:p>
    <w:p>
      <w:pPr>
        <w:pStyle w:val="BookText"/>
      </w:pPr>
      <w:r>
        <w:rPr>
          <w:rFonts w:ascii="IRNazanin" w:hAnsi="IRNazanin" w:eastAsia="IRNazanin" w:cs="IRNazanin"/>
          <w:lang w:bidi="fa-IR"/>
          <w:color w:val="111111"/>
          <w:sz w:val="28"/>
          <w:szCs w:val="28"/>
          <w:rtl/>
        </w:rPr>
        <w:t xml:space="preserve">الطباخ. ترجمه معاصره الصادقی فی (خص 8 ص 199) و أورد بعض شعره. و قال فی عالم‏آرا إنه تتبع دیوان میر همایون. و ذکر أیضا فی (تغ. ص 83).</w:t>
      </w:r>
    </w:p>
    <w:p>
      <w:pPr>
        <w:pStyle w:val="Heading3"/>
      </w:pPr>
      <w:bookmarkStart w:id="6036" w:name="_Toc4732"/>
      <w:r>
        <w:t>4562- دیوان طبری‏</w:t>
      </w:r>
      <w:bookmarkEnd w:id="6036"/>
    </w:p>
    <w:p>
      <w:pPr>
        <w:pStyle w:val="BookText"/>
      </w:pPr>
      <w:r>
        <w:rPr>
          <w:rFonts w:ascii="IRNazanin" w:hAnsi="IRNazanin" w:eastAsia="IRNazanin" w:cs="IRNazanin"/>
          <w:lang w:bidi="fa-IR"/>
          <w:color w:val="111111"/>
          <w:sz w:val="28"/>
          <w:szCs w:val="28"/>
          <w:rtl/>
        </w:rPr>
        <w:t xml:space="preserve">و هو الأصفهبد مرزبان بن رستم بن شروین پریم مؤلف مرزبان‏نامه قال ابن إسفندیار فی تاریخ طبرستان 1: 137 إن له دیوان باللهجة الطبریة یسمی نیکی‏نامه.</w:t>
      </w:r>
    </w:p>
    <w:p>
      <w:pPr>
        <w:pStyle w:val="Heading3"/>
      </w:pPr>
      <w:bookmarkStart w:id="6037" w:name="_Toc4733"/>
      <w:r>
        <w:t>4563- دیوان طبعی أشترخانی‏</w:t>
      </w:r>
      <w:bookmarkEnd w:id="6037"/>
    </w:p>
    <w:p>
      <w:pPr>
        <w:pStyle w:val="BookText"/>
      </w:pPr>
      <w:r>
        <w:rPr>
          <w:rFonts w:ascii="IRNazanin" w:hAnsi="IRNazanin" w:eastAsia="IRNazanin" w:cs="IRNazanin"/>
          <w:lang w:bidi="fa-IR"/>
          <w:color w:val="111111"/>
          <w:sz w:val="28"/>
          <w:szCs w:val="28"/>
          <w:rtl/>
        </w:rPr>
        <w:t xml:space="preserve">من محال أصفهان، اسمه عبد بن شیخ محمد علی.</w:t>
      </w:r>
    </w:p>
    <w:p>
      <w:pPr>
        <w:pStyle w:val="BookText"/>
      </w:pPr>
      <w:r>
        <w:rPr>
          <w:rFonts w:ascii="IRNazanin" w:hAnsi="IRNazanin" w:eastAsia="IRNazanin" w:cs="IRNazanin"/>
          <w:lang w:bidi="fa-IR"/>
          <w:color w:val="111111"/>
          <w:sz w:val="28"/>
          <w:szCs w:val="28"/>
          <w:rtl/>
        </w:rPr>
        <w:t xml:space="preserve">ترجمه معاصره النصرآبادی فی (نر 9- ص 420) و أطری طبعه و أورد بعض شعره، و کذا فی (گلشن- ص 262) و روضة الصفا.</w:t>
      </w:r>
    </w:p>
    <w:p>
      <w:pPr>
        <w:pStyle w:val="Heading3"/>
      </w:pPr>
      <w:bookmarkStart w:id="6038" w:name="_Toc4734"/>
      <w:r>
        <w:t>4564- دیوان طبعی أصفهانی أو شعره‏</w:t>
      </w:r>
      <w:bookmarkEnd w:id="6038"/>
    </w:p>
    <w:p>
      <w:pPr>
        <w:pStyle w:val="BookText"/>
      </w:pPr>
      <w:r>
        <w:rPr>
          <w:rFonts w:ascii="IRNazanin" w:hAnsi="IRNazanin" w:eastAsia="IRNazanin" w:cs="IRNazanin"/>
          <w:lang w:bidi="fa-IR"/>
          <w:color w:val="111111"/>
          <w:sz w:val="28"/>
          <w:szCs w:val="28"/>
          <w:rtl/>
        </w:rPr>
        <w:t xml:space="preserve">و هو الحکیم عنایة الله الخباز الأصفهانی الواقف علی أکثر العلوم کما وصفه سام میرزا فی (تس 2- ص 54) و أورد شعره. و لعله الذی ذکره روحی بغدادی فی شعره کما فی تاریخ العراق بین الاحتلالین- 4: 149 و قال فی (روشن- ص 411) إنه مات 944.</w:t>
      </w:r>
    </w:p>
    <w:p>
      <w:pPr>
        <w:pStyle w:val="Heading3"/>
      </w:pPr>
      <w:bookmarkStart w:id="6039" w:name="_Toc4735"/>
      <w:r>
        <w:t>4565- دیوان طبعی سیستانی‏</w:t>
      </w:r>
      <w:bookmarkEnd w:id="6039"/>
    </w:p>
    <w:p>
      <w:pPr>
        <w:pStyle w:val="BookText"/>
      </w:pPr>
      <w:r>
        <w:rPr>
          <w:rFonts w:ascii="IRNazanin" w:hAnsi="IRNazanin" w:eastAsia="IRNazanin" w:cs="IRNazanin"/>
          <w:lang w:bidi="fa-IR"/>
          <w:color w:val="111111"/>
          <w:sz w:val="28"/>
          <w:szCs w:val="28"/>
          <w:rtl/>
        </w:rPr>
        <w:t xml:space="preserve">ترجمه النصرآبادی فی (نر 9- ص 311) و أورد رباعیاته و شعره، و کذا فی (تش ص 81) و نسبه فی (گلشن- 262) إلی سمنان.</w:t>
      </w:r>
    </w:p>
    <w:p>
      <w:pPr>
        <w:pStyle w:val="BookText"/>
      </w:pPr>
      <w:r>
        <w:rPr>
          <w:rFonts w:ascii="IRNazanin" w:hAnsi="IRNazanin" w:eastAsia="IRNazanin" w:cs="IRNazanin"/>
          <w:lang w:bidi="fa-IR"/>
          <w:color w:val="111111"/>
          <w:sz w:val="28"/>
          <w:szCs w:val="28"/>
          <w:rtl/>
        </w:rPr>
        <w:t xml:space="preserve">و سماه فی (تغ- 83) کمال الدین حسین طبیعی.</w:t>
      </w:r>
    </w:p>
    <w:p>
      <w:pPr>
        <w:pStyle w:val="Heading3"/>
      </w:pPr>
      <w:bookmarkStart w:id="6040" w:name="_Toc4736"/>
      <w:r>
        <w:t>4566- دیوان طبعی قزوینی‏</w:t>
      </w:r>
      <w:bookmarkEnd w:id="6040"/>
    </w:p>
    <w:p>
      <w:pPr>
        <w:pStyle w:val="BookText"/>
      </w:pPr>
      <w:r>
        <w:rPr>
          <w:rFonts w:ascii="IRNazanin" w:hAnsi="IRNazanin" w:eastAsia="IRNazanin" w:cs="IRNazanin"/>
          <w:lang w:bidi="fa-IR"/>
          <w:color w:val="111111"/>
          <w:sz w:val="28"/>
          <w:szCs w:val="28"/>
          <w:rtl/>
        </w:rPr>
        <w:t xml:space="preserve">المصاحب للحکیم شفائی. ترجمه النصرآبادی فی (نر 9- ص 304) و أورد شعره، و کذا فی (تش- ص 227) و (روشن- 411).</w:t>
      </w:r>
    </w:p>
    <w:p>
      <w:pPr>
        <w:pStyle w:val="Heading3"/>
      </w:pPr>
      <w:bookmarkStart w:id="6041" w:name="_Toc4737"/>
      <w:r>
        <w:t>4567- دیوان طبیب أصفهانی‏</w:t>
      </w:r>
      <w:bookmarkEnd w:id="6041"/>
    </w:p>
    <w:p>
      <w:pPr>
        <w:pStyle w:val="BookText"/>
      </w:pPr>
      <w:r>
        <w:rPr>
          <w:rFonts w:ascii="IRNazanin" w:hAnsi="IRNazanin" w:eastAsia="IRNazanin" w:cs="IRNazanin"/>
          <w:lang w:bidi="fa-IR"/>
          <w:color w:val="111111"/>
          <w:sz w:val="28"/>
          <w:szCs w:val="28"/>
          <w:rtl/>
        </w:rPr>
        <w:t xml:space="preserve">المیرزا عبد الباقی بن المیرزا محمد رحیم من‏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638" w:name="pg11704_122121"/>
    <w:bookmarkEnd w:id="638"/>
    <w:p>
      <w:pPr>
        <w:pStyle w:val="BookText"/>
      </w:pPr>
      <w:r>
        <w:rPr>
          <w:rFonts w:ascii="IRNazanin" w:hAnsi="IRNazanin" w:eastAsia="IRNazanin" w:cs="IRNazanin"/>
          <w:lang w:bidi="fa-IR"/>
          <w:color w:val="111111"/>
          <w:sz w:val="28"/>
          <w:szCs w:val="28"/>
          <w:rtl/>
        </w:rPr>
        <w:t xml:space="preserve">السادة الموسویة فی أصفهان. کان أبوه طبیب الشاه سلیمان و هو طبیب نادر شاه. قال فی (روشن- 411) إنه ولد 1170 و لعله أراد 1107 فإنه توفی (1168) ترجمه فی (تش- 396) و (مع- ج 2 ص 340) و ذکر أن دیوانه عندی” صاحب مع” و یقرب من ثلاثة آلاف بیت. و أورد قرب خمسین بیتا منه. و نسخه منه توجد فی مکتبة المجلس کتابتها (1245) و ذکر خصوصیاتها ابن یوسف فی فهرس المکتبة (ج 3- ص 342) و نسخته عند أحفاده” المؤلف” المعروفین بکلانتری بأصفهان.</w:t>
      </w:r>
    </w:p>
    <w:p>
      <w:pPr>
        <w:pStyle w:val="Heading3"/>
      </w:pPr>
      <w:bookmarkStart w:id="6042" w:name="_Toc4738"/>
      <w:r>
        <w:t>4568- دیوان طیب أصفهانی‏</w:t>
      </w:r>
      <w:bookmarkEnd w:id="6042"/>
    </w:p>
    <w:p>
      <w:pPr>
        <w:pStyle w:val="BookText"/>
      </w:pPr>
      <w:r>
        <w:rPr>
          <w:rFonts w:ascii="IRNazanin" w:hAnsi="IRNazanin" w:eastAsia="IRNazanin" w:cs="IRNazanin"/>
          <w:lang w:bidi="fa-IR"/>
          <w:color w:val="111111"/>
          <w:sz w:val="28"/>
          <w:szCs w:val="28"/>
          <w:rtl/>
        </w:rPr>
        <w:t xml:space="preserve">اسمه المیرزا زین العابدین من السادات المعاصرین و من الأطباء الماهرین کما وصفه کذلک فی (مع- ج 2 ص 341) و أورد شعره، و کذا فی (انجمن 4).</w:t>
      </w:r>
    </w:p>
    <w:p>
      <w:pPr>
        <w:pStyle w:val="Heading3"/>
      </w:pPr>
      <w:bookmarkStart w:id="6043" w:name="_Toc4739"/>
      <w:r>
        <w:t>4569- دیوان طبیب شیرازی‏</w:t>
      </w:r>
      <w:bookmarkEnd w:id="6043"/>
    </w:p>
    <w:p>
      <w:pPr>
        <w:pStyle w:val="BookText"/>
      </w:pPr>
      <w:r>
        <w:rPr>
          <w:rFonts w:ascii="IRNazanin" w:hAnsi="IRNazanin" w:eastAsia="IRNazanin" w:cs="IRNazanin"/>
          <w:lang w:bidi="fa-IR"/>
          <w:color w:val="111111"/>
          <w:sz w:val="28"/>
          <w:szCs w:val="28"/>
          <w:rtl/>
        </w:rPr>
        <w:t xml:space="preserve">آقا عبد الله بن الحاج علی أصغر الجراح. ترجمه فی مجمع الفصحاء المؤلف (1288) و ذکر أنه کان صدیقه و جلیسه و أنیسه فی سنین، و توفی قبل تألیف المجمع بثلاثة سنین. و أورد شعره و ترجمه فی ریاض العارفین- ص 466 و فارس‏نامه ناصری- 2: 149 و ذکر أنه أخذ الإلهیات عن المولی أحمد الیزدی و الطب عن المیر السید رضی الطبیب الشهیر.</w:t>
      </w:r>
    </w:p>
    <w:p>
      <w:pPr>
        <w:pStyle w:val="Heading3"/>
      </w:pPr>
      <w:bookmarkStart w:id="6044" w:name="_Toc4740"/>
      <w:r>
        <w:t>4570- دیوان طبیب گنجه‏</w:t>
      </w:r>
      <w:bookmarkEnd w:id="6044"/>
    </w:p>
    <w:p>
      <w:pPr>
        <w:pStyle w:val="BookText"/>
      </w:pPr>
      <w:r>
        <w:rPr>
          <w:rFonts w:ascii="IRNazanin" w:hAnsi="IRNazanin" w:eastAsia="IRNazanin" w:cs="IRNazanin"/>
          <w:lang w:bidi="fa-IR"/>
          <w:color w:val="111111"/>
          <w:sz w:val="28"/>
          <w:szCs w:val="28"/>
          <w:rtl/>
        </w:rPr>
        <w:t xml:space="preserve">ترجمه کذلک فی (دجا- ص 245) و أورد قطعة له تخلصه فیها طبیب و نقلها عن مجموعة الأشعار للمیرزا أحمد الجفار.</w:t>
      </w:r>
    </w:p>
    <w:p>
      <w:pPr>
        <w:pStyle w:val="Heading3"/>
      </w:pPr>
      <w:bookmarkStart w:id="6045" w:name="_Toc4741"/>
      <w:r>
        <w:t>دیوان طبیعی سیستانی‏</w:t>
      </w:r>
      <w:bookmarkEnd w:id="6045"/>
    </w:p>
    <w:p>
      <w:pPr>
        <w:pStyle w:val="BookText"/>
      </w:pPr>
      <w:r>
        <w:rPr>
          <w:rFonts w:ascii="IRNazanin" w:hAnsi="IRNazanin" w:eastAsia="IRNazanin" w:cs="IRNazanin"/>
          <w:lang w:bidi="fa-IR"/>
          <w:color w:val="111111"/>
          <w:sz w:val="28"/>
          <w:szCs w:val="28"/>
          <w:rtl/>
        </w:rPr>
        <w:t xml:space="preserve">راجع طبعی سیستانی.</w:t>
      </w:r>
    </w:p>
    <w:p>
      <w:pPr>
        <w:pStyle w:val="Heading3"/>
      </w:pPr>
      <w:bookmarkStart w:id="6046" w:name="_Toc4742"/>
      <w:r>
        <w:t>4571- دیوان ملا طبیعی طبسی‏</w:t>
      </w:r>
      <w:bookmarkEnd w:id="6046"/>
    </w:p>
    <w:p>
      <w:pPr>
        <w:pStyle w:val="BookText"/>
      </w:pPr>
      <w:r>
        <w:rPr>
          <w:rFonts w:ascii="IRNazanin" w:hAnsi="IRNazanin" w:eastAsia="IRNazanin" w:cs="IRNazanin"/>
          <w:lang w:bidi="fa-IR"/>
          <w:color w:val="111111"/>
          <w:sz w:val="28"/>
          <w:szCs w:val="28"/>
          <w:rtl/>
        </w:rPr>
        <w:t xml:space="preserve">ترجمه النصرآبادی فی (نر 9- ص 223) و أورد رباعیته و شعره. و أطری مهارته فی الموسیقی.</w:t>
      </w:r>
    </w:p>
    <w:p>
      <w:pPr>
        <w:pStyle w:val="Heading3"/>
      </w:pPr>
      <w:bookmarkStart w:id="6047" w:name="_Toc4743"/>
      <w:r>
        <w:t>4572- دیوان الطحان‏</w:t>
      </w:r>
      <w:bookmarkEnd w:id="6047"/>
    </w:p>
    <w:p>
      <w:pPr>
        <w:pStyle w:val="BookText"/>
      </w:pPr>
      <w:r>
        <w:rPr>
          <w:rFonts w:ascii="IRNazanin" w:hAnsi="IRNazanin" w:eastAsia="IRNazanin" w:cs="IRNazanin"/>
          <w:lang w:bidi="fa-IR"/>
          <w:color w:val="111111"/>
          <w:sz w:val="28"/>
          <w:szCs w:val="28"/>
          <w:rtl/>
        </w:rPr>
        <w:t xml:space="preserve">بدر الدین حسن بن مخزوم. مر له البدیعة فی (3: 74).</w:t>
      </w:r>
    </w:p>
    <w:p>
      <w:pPr>
        <w:pStyle w:val="Heading3"/>
      </w:pPr>
      <w:bookmarkStart w:id="6048" w:name="_Toc4744"/>
      <w:r>
        <w:t>4573- دیوان الطحان‏</w:t>
      </w:r>
      <w:bookmarkEnd w:id="6048"/>
    </w:p>
    <w:p>
      <w:pPr>
        <w:pStyle w:val="BookText"/>
      </w:pPr>
      <w:r>
        <w:rPr>
          <w:rFonts w:ascii="IRNazanin" w:hAnsi="IRNazanin" w:eastAsia="IRNazanin" w:cs="IRNazanin"/>
          <w:lang w:bidi="fa-IR"/>
          <w:color w:val="111111"/>
          <w:sz w:val="28"/>
          <w:szCs w:val="28"/>
          <w:rtl/>
        </w:rPr>
        <w:t xml:space="preserve">هو الحسین بن الحسن بن علی البغدادی المعروف بابن الطحان.</w:t>
      </w:r>
    </w:p>
    <w:p>
      <w:pPr>
        <w:pStyle w:val="BookText"/>
      </w:pPr>
      <w:r>
        <w:rPr>
          <w:rFonts w:ascii="IRNazanin" w:hAnsi="IRNazanin" w:eastAsia="IRNazanin" w:cs="IRNazanin"/>
          <w:lang w:bidi="fa-IR"/>
          <w:color w:val="111111"/>
          <w:sz w:val="28"/>
          <w:szCs w:val="28"/>
          <w:rtl/>
        </w:rPr>
        <w:t xml:space="preserve">له رثاء السید عبد الکریم بن الحسن الأعرجی المتوفی (1308) أوردها السید جعفر الأعرجی فی کتابه نفحة بغداد فی نسب السادة الأعرجیة الأمجاد.</w:t>
      </w:r>
    </w:p>
    <w:p>
      <w:pPr>
        <w:pStyle w:val="Heading3"/>
      </w:pPr>
      <w:bookmarkStart w:id="6049" w:name="_Toc4745"/>
      <w:r>
        <w:t>4574- دیوان طراز یزدی‏</w:t>
      </w:r>
      <w:bookmarkEnd w:id="6049"/>
    </w:p>
    <w:p>
      <w:pPr>
        <w:pStyle w:val="BookText"/>
      </w:pPr>
      <w:r>
        <w:rPr>
          <w:rFonts w:ascii="IRNazanin" w:hAnsi="IRNazanin" w:eastAsia="IRNazanin" w:cs="IRNazanin"/>
          <w:lang w:bidi="fa-IR"/>
          <w:color w:val="111111"/>
          <w:sz w:val="28"/>
          <w:szCs w:val="28"/>
          <w:rtl/>
        </w:rPr>
        <w:t xml:space="preserve">ترجمه فی (مع- ج 2 ص 339) مختصرا مصرحا بعدم‏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639" w:name="pg11704_122122"/>
    <w:bookmarkEnd w:id="639"/>
    <w:p>
      <w:pPr>
        <w:pStyle w:val="BookText"/>
      </w:pPr>
      <w:r>
        <w:rPr>
          <w:rFonts w:ascii="IRNazanin" w:hAnsi="IRNazanin" w:eastAsia="IRNazanin" w:cs="IRNazanin"/>
          <w:lang w:bidi="fa-IR"/>
          <w:color w:val="111111"/>
          <w:sz w:val="28"/>
          <w:szCs w:val="28"/>
          <w:rtl/>
        </w:rPr>
        <w:t xml:space="preserve">لقائه. و ترجمه آیتی فی تاریخ یزد مفصلا فی (ص 305) و ذکر أن اسمه المیرزا عبد الوهاب ابن الحاج عبد الکریم التاجر، و توفی قبل الثلاثین من العمر فی (1221) و مع قلة عمره فاق أهل عصره فی صناعتی الشعر و الخط، و أورد نموذجا من شعره و قطعة من خطه التی وصلت إلی آیتی لمناسبات کانت بین أقرباء أمه مع طراز. و توجد نسخه دیوان طراز فی مکتبة المجلس ذکر خصوصیاتها فی فهرسها (ج 3: ص 344).</w:t>
      </w:r>
    </w:p>
    <w:p>
      <w:pPr>
        <w:pStyle w:val="Heading3"/>
      </w:pPr>
      <w:bookmarkStart w:id="6050" w:name="_Toc4746"/>
      <w:r>
        <w:t>4575- دیوان طراز یزدی‏</w:t>
      </w:r>
      <w:bookmarkEnd w:id="6050"/>
    </w:p>
    <w:p>
      <w:pPr>
        <w:pStyle w:val="BookText"/>
      </w:pPr>
      <w:r>
        <w:rPr>
          <w:rFonts w:ascii="IRNazanin" w:hAnsi="IRNazanin" w:eastAsia="IRNazanin" w:cs="IRNazanin"/>
          <w:lang w:bidi="fa-IR"/>
          <w:color w:val="111111"/>
          <w:sz w:val="28"/>
          <w:szCs w:val="28"/>
          <w:rtl/>
        </w:rPr>
        <w:t xml:space="preserve">من المتأخرین و قد توفی حدود (1318) کما فی بعض المجامیع. و من شعره.</w:t>
      </w:r>
    </w:p>
    <w:p>
      <w:pPr>
        <w:pStyle w:val="BookText"/>
      </w:pPr>
      <w:r>
        <w:rPr>
          <w:rFonts w:ascii="IRNazanin" w:hAnsi="IRNazanin" w:eastAsia="IRNazanin" w:cs="IRNazanin"/>
          <w:lang w:bidi="fa-IR"/>
          <w:color w:val="111111"/>
          <w:sz w:val="28"/>
          <w:szCs w:val="28"/>
          <w:rtl/>
        </w:rPr>
        <w:t xml:space="preserve">به کاشانه آگهان پا گذار</w:t>
      </w:r>
    </w:p>
    <w:p>
      <w:pPr>
        <w:pStyle w:val="BookText"/>
      </w:pPr>
      <w:r>
        <w:rPr>
          <w:rFonts w:ascii="IRNazanin" w:hAnsi="IRNazanin" w:eastAsia="IRNazanin" w:cs="IRNazanin"/>
          <w:lang w:bidi="fa-IR"/>
          <w:color w:val="111111"/>
          <w:sz w:val="28"/>
          <w:szCs w:val="28"/>
          <w:rtl/>
        </w:rPr>
        <w:t xml:space="preserve">جهان را بأهل جهان واگذار</w:t>
      </w:r>
    </w:p>
    <w:p>
      <w:pPr>
        <w:pStyle w:val="BookText"/>
      </w:pPr>
      <w:r>
        <w:rPr>
          <w:rFonts w:ascii="Amiri" w:hAnsi="Amiri" w:eastAsia="Amiri" w:cs="Amiri"/>
          <w:lang w:bidi="ar-SA"/>
          <w:color w:val="111111"/>
          <w:sz w:val="28"/>
          <w:szCs w:val="28"/>
          <w:rtl/>
        </w:rPr>
        <w:t xml:space="preserve">أراد قوله تعالی‏ قُلِ اللَّهُ ثُمَّ ذَرْهُمْ فِی خَوْضِهِمْ یَلْعَبُونَ‏.</w:t>
      </w:r>
    </w:p>
    <w:p>
      <w:pPr>
        <w:pStyle w:val="Heading3"/>
      </w:pPr>
      <w:bookmarkStart w:id="6051" w:name="_Toc4747"/>
      <w:r>
        <w:t>4576- دیوان طرب أصفهانی‏</w:t>
      </w:r>
      <w:bookmarkEnd w:id="6051"/>
    </w:p>
    <w:p>
      <w:pPr>
        <w:pStyle w:val="BookText"/>
      </w:pPr>
      <w:r>
        <w:rPr>
          <w:rFonts w:ascii="IRNazanin" w:hAnsi="IRNazanin" w:eastAsia="IRNazanin" w:cs="IRNazanin"/>
          <w:lang w:bidi="fa-IR"/>
          <w:color w:val="111111"/>
          <w:sz w:val="28"/>
          <w:szCs w:val="28"/>
          <w:rtl/>
        </w:rPr>
        <w:t xml:space="preserve">و هو المیرزا أبو القاسم محمد نصیر ابن همای شیرازی (1276- 1330) له حدود عشرة آلاف بیت، قصائد و غزلیات و ترجیعات و قطعات. طبع بعضها ابنه جلال الدین همائی المتخلص سنا فی 1327. و النسخة الکاملة منه عند ولده” المؤلف” المذکور کما ذکره لنا.</w:t>
      </w:r>
    </w:p>
    <w:p>
      <w:pPr>
        <w:pStyle w:val="Heading3"/>
      </w:pPr>
      <w:bookmarkStart w:id="6052" w:name="_Toc4748"/>
      <w:r>
        <w:t>4577- دیوان طرب أصفهانی‏</w:t>
      </w:r>
      <w:bookmarkEnd w:id="6052"/>
    </w:p>
    <w:p>
      <w:pPr>
        <w:pStyle w:val="BookText"/>
      </w:pPr>
      <w:r>
        <w:rPr>
          <w:rFonts w:ascii="IRNazanin" w:hAnsi="IRNazanin" w:eastAsia="IRNazanin" w:cs="IRNazanin"/>
          <w:lang w:bidi="fa-IR"/>
          <w:color w:val="111111"/>
          <w:sz w:val="28"/>
          <w:szCs w:val="28"/>
          <w:rtl/>
        </w:rPr>
        <w:t xml:space="preserve">النائنی الأصل المولود بأصفهان. اسمه المیرزا محمد جعفر بن المیرزا محمد حسین النائنی. ترجمه فی (مع- ج 2 ص 337) و (انجمن 3) و ذکر أنه اتصل بالسلطان فتح علی شاه فی (1223) بتوسط معتمد الدولة المیرزا عبد الوهاب نشاط و فی (1225) ورد طهران و ألف کتابا نظیر وصاف. و شعره الفارسی و العربی و الترکی مدرج فی دیوانه الموسوم بخزینة طرب المشتمل علی ثلاث حقق کما ذکرناه فی (ج 7 ص 157).</w:t>
      </w:r>
    </w:p>
    <w:p>
      <w:pPr>
        <w:pStyle w:val="Heading3"/>
      </w:pPr>
      <w:bookmarkStart w:id="6053" w:name="_Toc4749"/>
      <w:r>
        <w:t>4578- دیوان طرب شیرازی‏</w:t>
      </w:r>
      <w:bookmarkEnd w:id="6053"/>
    </w:p>
    <w:p>
      <w:pPr>
        <w:pStyle w:val="BookText"/>
      </w:pPr>
      <w:r>
        <w:rPr>
          <w:rFonts w:ascii="IRNazanin" w:hAnsi="IRNazanin" w:eastAsia="IRNazanin" w:cs="IRNazanin"/>
          <w:lang w:bidi="fa-IR"/>
          <w:color w:val="111111"/>
          <w:sz w:val="28"/>
          <w:szCs w:val="28"/>
          <w:rtl/>
        </w:rPr>
        <w:t xml:space="preserve">اسمه محمد رفیع خان بن ربیع خان. کان من عمال فارس. ترجمه مصاحبه بها فی (مع- ج 2 ص 244) و أورد بعض شعره. و کذا فی (انجمن 4).</w:t>
      </w:r>
    </w:p>
    <w:p>
      <w:pPr>
        <w:pStyle w:val="Heading3"/>
      </w:pPr>
      <w:bookmarkStart w:id="6054" w:name="_Toc4750"/>
      <w:r>
        <w:t>4579- دیوان طرب همدانی‏</w:t>
      </w:r>
      <w:bookmarkEnd w:id="6054"/>
    </w:p>
    <w:p>
      <w:pPr>
        <w:pStyle w:val="BookText"/>
      </w:pPr>
      <w:r>
        <w:rPr>
          <w:rFonts w:ascii="IRNazanin" w:hAnsi="IRNazanin" w:eastAsia="IRNazanin" w:cs="IRNazanin"/>
          <w:lang w:bidi="fa-IR"/>
          <w:color w:val="111111"/>
          <w:sz w:val="28"/>
          <w:szCs w:val="28"/>
          <w:rtl/>
        </w:rPr>
        <w:t xml:space="preserve">اسمه المیرزا یوسف شیخ الإسلام بهمدان فی عصر حکومة الشاه‏زاده دولت شاه بها. و توفی فی عصر السلطان محمد شاه القاجار کما ذکر فی (مع- ج 2- ص 344) و أورد شعره.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640" w:name="pg11704_122123"/>
    <w:bookmarkEnd w:id="640"/>
    <w:p>
      <w:pPr>
        <w:pStyle w:val="Heading3"/>
      </w:pPr>
      <w:bookmarkStart w:id="6055" w:name="_Toc4751"/>
      <w:r>
        <w:t>4580- دیوان طرزی أفشار</w:t>
      </w:r>
      <w:bookmarkEnd w:id="6055"/>
    </w:p>
    <w:p>
      <w:pPr>
        <w:pStyle w:val="BookText"/>
      </w:pPr>
      <w:r>
        <w:rPr>
          <w:rFonts w:ascii="IRNazanin" w:hAnsi="IRNazanin" w:eastAsia="IRNazanin" w:cs="IRNazanin"/>
          <w:lang w:bidi="fa-IR"/>
          <w:color w:val="111111"/>
          <w:sz w:val="28"/>
          <w:szCs w:val="28"/>
          <w:rtl/>
        </w:rPr>
        <w:t xml:space="preserve">من شعراء عصر الصفویة. له طرز خاص فی التکلم و الشعر باستعمال مصادر و صیغ جعلیة مخترعة، أورد عدة أبیات له الهدایة فی (مع- ج 2 ص 24) و ترجمه فی (دجا 86 و 245) و أورد قطعته التی أنشأها فی النجف فی یوم المولود المتفق مع النیروز فی (1060) و طبع دیوانه مرة فی بلدة رضائیة 1309 ش. فی 238 ص.</w:t>
      </w:r>
    </w:p>
    <w:p>
      <w:pPr>
        <w:pStyle w:val="BookText"/>
      </w:pPr>
      <w:r>
        <w:rPr>
          <w:rFonts w:ascii="IRNazanin" w:hAnsi="IRNazanin" w:eastAsia="IRNazanin" w:cs="IRNazanin"/>
          <w:lang w:bidi="fa-IR"/>
          <w:color w:val="111111"/>
          <w:sz w:val="28"/>
          <w:szCs w:val="28"/>
          <w:rtl/>
        </w:rPr>
        <w:t xml:space="preserve">و أخری بطهران فی 208 ص. بتصحیح تمدن. و ترجمه النصرآبادی فی (نر 9- ص 408) بعنوان المولی طرزی الطرشتی من أعمال ری و من إیل أفشار، و أورد بعض شعره کقوله:</w:t>
      </w:r>
    </w:p>
    <w:p>
      <w:pPr>
        <w:pStyle w:val="BookText"/>
      </w:pPr>
      <w:r>
        <w:rPr>
          <w:rFonts w:ascii="IRNazanin" w:hAnsi="IRNazanin" w:eastAsia="IRNazanin" w:cs="IRNazanin"/>
          <w:lang w:bidi="fa-IR"/>
          <w:color w:val="111111"/>
          <w:sz w:val="28"/>
          <w:szCs w:val="28"/>
          <w:rtl/>
        </w:rPr>
        <w:t xml:space="preserve">مدنیدیم پس از مکیدن‏</w:t>
      </w:r>
    </w:p>
    <w:p>
      <w:pPr>
        <w:pStyle w:val="BookText"/>
      </w:pPr>
      <w:r>
        <w:rPr>
          <w:rFonts w:ascii="IRNazanin" w:hAnsi="IRNazanin" w:eastAsia="IRNazanin" w:cs="IRNazanin"/>
          <w:lang w:bidi="fa-IR"/>
          <w:color w:val="111111"/>
          <w:sz w:val="28"/>
          <w:szCs w:val="28"/>
          <w:rtl/>
        </w:rPr>
        <w:t xml:space="preserve">نه به کس حیله و نه مکریدیم‏</w:t>
      </w:r>
    </w:p>
    <w:p>
      <w:pPr>
        <w:pStyle w:val="BookText"/>
      </w:pPr>
      <w:r>
        <w:rPr>
          <w:rFonts w:ascii="IRNazanin" w:hAnsi="IRNazanin" w:eastAsia="IRNazanin" w:cs="IRNazanin"/>
          <w:lang w:bidi="fa-IR"/>
          <w:color w:val="111111"/>
          <w:sz w:val="28"/>
          <w:szCs w:val="28"/>
          <w:rtl/>
        </w:rPr>
        <w:t xml:space="preserve">مرقد پاک نبی طوفیدیم‏</w:t>
      </w:r>
    </w:p>
    <w:p>
      <w:pPr>
        <w:pStyle w:val="BookText"/>
      </w:pPr>
      <w:r>
        <w:rPr>
          <w:rFonts w:ascii="IRNazanin" w:hAnsi="IRNazanin" w:eastAsia="IRNazanin" w:cs="IRNazanin"/>
          <w:lang w:bidi="fa-IR"/>
          <w:color w:val="111111"/>
          <w:sz w:val="28"/>
          <w:szCs w:val="28"/>
          <w:rtl/>
        </w:rPr>
        <w:t xml:space="preserve">عمر یدیم و أبا بکر یدیم‏</w:t>
      </w:r>
    </w:p>
    <w:p>
      <w:pPr>
        <w:pStyle w:val="BookText"/>
      </w:pPr>
      <w:r>
        <w:rPr>
          <w:rFonts w:ascii="IRNazanin" w:hAnsi="IRNazanin" w:eastAsia="IRNazanin" w:cs="IRNazanin"/>
          <w:lang w:bidi="fa-IR"/>
          <w:color w:val="111111"/>
          <w:sz w:val="28"/>
          <w:szCs w:val="28"/>
          <w:rtl/>
        </w:rPr>
        <w:t xml:space="preserve">و قال مات قبل هذا (1083).</w:t>
      </w:r>
    </w:p>
    <w:p>
      <w:pPr>
        <w:pStyle w:val="Heading3"/>
      </w:pPr>
      <w:bookmarkStart w:id="6056" w:name="_Toc4752"/>
      <w:r>
        <w:t>4581- دیوان طرزی دزفولی أو شعره‏</w:t>
      </w:r>
      <w:bookmarkEnd w:id="6056"/>
    </w:p>
    <w:p>
      <w:pPr>
        <w:pStyle w:val="BookText"/>
      </w:pPr>
      <w:r>
        <w:rPr>
          <w:rFonts w:ascii="IRNazanin" w:hAnsi="IRNazanin" w:eastAsia="IRNazanin" w:cs="IRNazanin"/>
          <w:lang w:bidi="fa-IR"/>
          <w:color w:val="111111"/>
          <w:sz w:val="28"/>
          <w:szCs w:val="28"/>
          <w:rtl/>
        </w:rPr>
        <w:t xml:space="preserve">جاء من وطنه إلی بغداد و سکن بها و ترجمه معاصره عهدی البغدادی فی گلشن شعراء فی القرن العاشر و عنه نقل فی العراق بین الاحتلالین- ج 4 ص 136</w:t>
      </w:r>
    </w:p>
    <w:p>
      <w:pPr>
        <w:pStyle w:val="Heading3"/>
      </w:pPr>
      <w:bookmarkStart w:id="6057" w:name="_Toc4753"/>
      <w:r>
        <w:t>دیوان طرزی رازی‏</w:t>
      </w:r>
      <w:bookmarkEnd w:id="6057"/>
    </w:p>
    <w:p>
      <w:pPr>
        <w:pStyle w:val="BookText"/>
      </w:pPr>
      <w:r>
        <w:rPr>
          <w:rFonts w:ascii="IRNazanin" w:hAnsi="IRNazanin" w:eastAsia="IRNazanin" w:cs="IRNazanin"/>
          <w:lang w:bidi="fa-IR"/>
          <w:color w:val="111111"/>
          <w:sz w:val="28"/>
          <w:szCs w:val="28"/>
          <w:rtl/>
        </w:rPr>
        <w:t xml:space="preserve">ذکر فی (دجا- ص 245) أنه غیر الأفشار و غیر الشبستری و لکن الظاهر أن الرازی هو الأفشار الطرشتی، الذی ذکره النصرآبادی فی (نر 9- 408)</w:t>
      </w:r>
    </w:p>
    <w:p>
      <w:pPr>
        <w:pStyle w:val="Heading3"/>
      </w:pPr>
      <w:bookmarkStart w:id="6058" w:name="_Toc4754"/>
      <w:r>
        <w:t>4582- دیوان طرزی شبستری‏</w:t>
      </w:r>
      <w:bookmarkEnd w:id="6058"/>
    </w:p>
    <w:p>
      <w:pPr>
        <w:pStyle w:val="BookText"/>
      </w:pPr>
      <w:r>
        <w:rPr>
          <w:rFonts w:ascii="IRNazanin" w:hAnsi="IRNazanin" w:eastAsia="IRNazanin" w:cs="IRNazanin"/>
          <w:lang w:bidi="fa-IR"/>
          <w:color w:val="111111"/>
          <w:sz w:val="28"/>
          <w:szCs w:val="28"/>
          <w:rtl/>
        </w:rPr>
        <w:t xml:space="preserve">ترجمه فی (دجا- ص 246) و نقل عن کعبة عرفان أنه من شعراء القرن العاشر و أورد شعره و علیه فهو مقدم علی الأفشار لأنه من الحادی عشر کما مر</w:t>
      </w:r>
    </w:p>
    <w:p>
      <w:pPr>
        <w:pStyle w:val="Heading3"/>
      </w:pPr>
      <w:bookmarkStart w:id="6059" w:name="_Toc4755"/>
      <w:r>
        <w:t>4583- دیوان طرزی شیرازی‏</w:t>
      </w:r>
      <w:bookmarkEnd w:id="6059"/>
    </w:p>
    <w:p>
      <w:pPr>
        <w:pStyle w:val="BookText"/>
      </w:pPr>
      <w:r>
        <w:rPr>
          <w:rFonts w:ascii="IRNazanin" w:hAnsi="IRNazanin" w:eastAsia="IRNazanin" w:cs="IRNazanin"/>
          <w:lang w:bidi="fa-IR"/>
          <w:color w:val="111111"/>
          <w:sz w:val="28"/>
          <w:szCs w:val="28"/>
          <w:rtl/>
        </w:rPr>
        <w:t xml:space="preserve">أیضا ذکر فی (دجا- ص 245) أنه غیر الأفشار و الشبستری و ترجمه فی (تش- ص 286) و (روشن- ص 413)</w:t>
      </w:r>
    </w:p>
    <w:p>
      <w:pPr>
        <w:pStyle w:val="Heading3"/>
      </w:pPr>
      <w:bookmarkStart w:id="6060" w:name="_Toc4756"/>
      <w:r>
        <w:t>دیوان طرزی طرشتی‏</w:t>
      </w:r>
      <w:bookmarkEnd w:id="6060"/>
    </w:p>
    <w:p>
      <w:pPr>
        <w:pStyle w:val="BookText"/>
      </w:pPr>
      <w:r>
        <w:rPr>
          <w:rFonts w:ascii="IRNazanin" w:hAnsi="IRNazanin" w:eastAsia="IRNazanin" w:cs="IRNazanin"/>
          <w:lang w:bidi="fa-IR"/>
          <w:color w:val="111111"/>
          <w:sz w:val="28"/>
          <w:szCs w:val="28"/>
          <w:rtl/>
        </w:rPr>
        <w:t xml:space="preserve">قال فی (روشن 412- 413) إن طرزی طرشتی غیر طرزی أفشار و هو غلط راجع طرزی أفشار</w:t>
      </w:r>
    </w:p>
    <w:p>
      <w:pPr>
        <w:pStyle w:val="Heading3"/>
      </w:pPr>
      <w:bookmarkStart w:id="6061" w:name="_Toc4757"/>
      <w:r>
        <w:t>4584- دیوان طرطری هندی‏</w:t>
      </w:r>
      <w:bookmarkEnd w:id="6061"/>
    </w:p>
    <w:p>
      <w:pPr>
        <w:pStyle w:val="BookText"/>
      </w:pPr>
      <w:r>
        <w:rPr>
          <w:rFonts w:ascii="IRNazanin" w:hAnsi="IRNazanin" w:eastAsia="IRNazanin" w:cs="IRNazanin"/>
          <w:lang w:bidi="fa-IR"/>
          <w:color w:val="111111"/>
          <w:sz w:val="28"/>
          <w:szCs w:val="28"/>
          <w:rtl/>
        </w:rPr>
        <w:t xml:space="preserve">حکی فی (مع- ج 1 ص 327) عن التقی الأوحدی أنه رأی مجموعة فیها ستة أو سبعة من القصائد الجیدة ثم أورد قرب عشرین بیتا منها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641" w:name="pg11704_122124"/>
    <w:bookmarkEnd w:id="641"/>
    <w:p>
      <w:pPr>
        <w:pStyle w:val="BookText"/>
      </w:pPr>
      <w:r>
        <w:rPr>
          <w:rFonts w:ascii="IRNazanin" w:hAnsi="IRNazanin" w:eastAsia="IRNazanin" w:cs="IRNazanin"/>
          <w:lang w:bidi="fa-IR"/>
          <w:color w:val="111111"/>
          <w:sz w:val="28"/>
          <w:szCs w:val="28"/>
          <w:rtl/>
        </w:rPr>
        <w:t xml:space="preserve">و کذا فی (روشن- ص 413)</w:t>
      </w:r>
    </w:p>
    <w:p>
      <w:pPr>
        <w:pStyle w:val="Heading3"/>
      </w:pPr>
      <w:bookmarkStart w:id="6062" w:name="_Toc4758"/>
      <w:r>
        <w:t>4585- دیوان طرفة المحلاتی‏</w:t>
      </w:r>
      <w:bookmarkEnd w:id="6062"/>
    </w:p>
    <w:p>
      <w:pPr>
        <w:pStyle w:val="BookText"/>
      </w:pPr>
      <w:r>
        <w:rPr>
          <w:rFonts w:ascii="IRNazanin" w:hAnsi="IRNazanin" w:eastAsia="IRNazanin" w:cs="IRNazanin"/>
          <w:lang w:bidi="fa-IR"/>
          <w:color w:val="111111"/>
          <w:sz w:val="28"/>
          <w:szCs w:val="28"/>
          <w:rtl/>
        </w:rPr>
        <w:t xml:space="preserve">اسمه المیرزا فرج الله و أصله و مولده شیراز، نزل فی صغره مع والده بمحلات من أطراف قم ترجمه فی (المآثر- ص 205- 206) و (مع- ج 2- ص 338) قال و نزل أخیرا إلی طهران و تقرب إلی ناصر الدین شاه بمدائحه له و بتوسط أدیب الملک و صار مأمورا من السلطان بجمع دیوان أشعاره، ثم ذکر بعض مدائحه و غزله فیظهر من کلامه أن جامع دیوان ناصر الدین شاه هو المیرزا فرج الله المحلاتی‏</w:t>
      </w:r>
    </w:p>
    <w:p>
      <w:pPr>
        <w:pStyle w:val="Heading3"/>
      </w:pPr>
      <w:bookmarkStart w:id="6063" w:name="_Toc4759"/>
      <w:r>
        <w:t>4586- دیوان الطریحی أو شعره‏</w:t>
      </w:r>
      <w:bookmarkEnd w:id="6063"/>
    </w:p>
    <w:p>
      <w:pPr>
        <w:pStyle w:val="BookText"/>
      </w:pPr>
      <w:r>
        <w:rPr>
          <w:rFonts w:ascii="IRNazanin" w:hAnsi="IRNazanin" w:eastAsia="IRNazanin" w:cs="IRNazanin"/>
          <w:lang w:bidi="fa-IR"/>
          <w:color w:val="111111"/>
          <w:sz w:val="28"/>
          <w:szCs w:val="28"/>
          <w:rtl/>
        </w:rPr>
        <w:t xml:space="preserve">و اسمه الشیخ سالم رأیت مراثیه فی مجموعة عند السید محمد حسن آل الطالقانی فی النجف‏</w:t>
      </w:r>
    </w:p>
    <w:p>
      <w:pPr>
        <w:pStyle w:val="Heading3"/>
      </w:pPr>
      <w:bookmarkStart w:id="6064" w:name="_Toc4760"/>
      <w:r>
        <w:t>4587- دیوان الطریحی‏</w:t>
      </w:r>
      <w:bookmarkEnd w:id="6064"/>
    </w:p>
    <w:p>
      <w:pPr>
        <w:pStyle w:val="BookText"/>
      </w:pPr>
      <w:r>
        <w:rPr>
          <w:rFonts w:ascii="IRNazanin" w:hAnsi="IRNazanin" w:eastAsia="IRNazanin" w:cs="IRNazanin"/>
          <w:lang w:bidi="fa-IR"/>
          <w:color w:val="111111"/>
          <w:sz w:val="28"/>
          <w:szCs w:val="28"/>
          <w:rtl/>
        </w:rPr>
        <w:t xml:space="preserve">و هو الشیخ فخر الدین له ثلاثة دواوین کبیر و وسیط و صغیر ذکر کلها فی فهرس تصانیفه‏</w:t>
      </w:r>
    </w:p>
    <w:p>
      <w:pPr>
        <w:pStyle w:val="Heading3"/>
      </w:pPr>
      <w:bookmarkStart w:id="6065" w:name="_Toc4761"/>
      <w:r>
        <w:t>4588- دیوان طریفی ساوجی أو شعره‏</w:t>
      </w:r>
      <w:bookmarkEnd w:id="6065"/>
    </w:p>
    <w:p>
      <w:pPr>
        <w:pStyle w:val="BookText"/>
      </w:pPr>
      <w:r>
        <w:rPr>
          <w:rFonts w:ascii="IRNazanin" w:hAnsi="IRNazanin" w:eastAsia="IRNazanin" w:cs="IRNazanin"/>
          <w:lang w:bidi="fa-IR"/>
          <w:color w:val="111111"/>
          <w:sz w:val="28"/>
          <w:szCs w:val="28"/>
          <w:rtl/>
        </w:rPr>
        <w:t xml:space="preserve">کان من تلامیذ حریفی المذکور فی (ص 234) ترجمه و أورد شعره فی (تش- ص 221) و (تغ- ص 83) و فی (طبق 2:</w:t>
      </w:r>
    </w:p>
    <w:p>
      <w:pPr>
        <w:pStyle w:val="BookText"/>
      </w:pPr>
      <w:r>
        <w:rPr>
          <w:rFonts w:ascii="Times New Roman" w:hAnsi="Times New Roman" w:eastAsia="Times New Roman" w:cs="Times New Roman"/>
          <w:lang w:val="en-US" w:bidi="en-US"/>
          <w:color w:val="111111"/>
          <w:sz w:val="28"/>
          <w:szCs w:val="28"/>
          <w:rtl/>
        </w:rPr>
        <w:t xml:space="preserve">497.</w:t>
      </w:r>
    </w:p>
    <w:p>
      <w:pPr>
        <w:pStyle w:val="BookText"/>
      </w:pPr>
      <w:r>
        <w:rPr>
          <w:rFonts w:ascii="IRNazanin" w:hAnsi="IRNazanin" w:eastAsia="IRNazanin" w:cs="IRNazanin"/>
          <w:lang w:bidi="fa-IR"/>
          <w:color w:val="111111"/>
          <w:sz w:val="28"/>
          <w:szCs w:val="28"/>
          <w:rtl/>
        </w:rPr>
        <w:t xml:space="preserve">سماه طریقی‏</w:t>
      </w:r>
    </w:p>
    <w:p>
      <w:pPr>
        <w:pStyle w:val="Heading3"/>
      </w:pPr>
      <w:bookmarkStart w:id="6066" w:name="_Toc4762"/>
      <w:r>
        <w:t>4589- دیوان طریقتی کرمانی‏</w:t>
      </w:r>
      <w:bookmarkEnd w:id="6066"/>
    </w:p>
    <w:p>
      <w:pPr>
        <w:pStyle w:val="BookText"/>
      </w:pPr>
      <w:r>
        <w:rPr>
          <w:rFonts w:ascii="IRNazanin" w:hAnsi="IRNazanin" w:eastAsia="IRNazanin" w:cs="IRNazanin"/>
          <w:lang w:bidi="fa-IR"/>
          <w:color w:val="111111"/>
          <w:sz w:val="28"/>
          <w:szCs w:val="28"/>
          <w:rtl/>
        </w:rPr>
        <w:t xml:space="preserve">و هو مظفر علی شاه محمد تقی بن محمد کاظم طبع له بحر الأسرار فی تفسیر سورة الفاتحة المذکور فی (3: 29) طبع فی کرمان فی 1329 فی 335 ص‏</w:t>
      </w:r>
    </w:p>
    <w:p>
      <w:pPr>
        <w:pStyle w:val="Heading3"/>
      </w:pPr>
      <w:bookmarkStart w:id="6067" w:name="_Toc4763"/>
      <w:r>
        <w:t>4590- دیوان طغرائی فریومدی‏</w:t>
      </w:r>
      <w:bookmarkEnd w:id="6067"/>
    </w:p>
    <w:p>
      <w:pPr>
        <w:pStyle w:val="BookText"/>
      </w:pPr>
      <w:r>
        <w:rPr>
          <w:rFonts w:ascii="IRNazanin" w:hAnsi="IRNazanin" w:eastAsia="IRNazanin" w:cs="IRNazanin"/>
          <w:lang w:bidi="fa-IR"/>
          <w:color w:val="111111"/>
          <w:sz w:val="28"/>
          <w:szCs w:val="28"/>
          <w:rtl/>
        </w:rPr>
        <w:t xml:space="preserve">الأمیر یمین الدین المتوفی 724 هو والد ابن یمین الشاعر المذکور فی (ص 34) ذکر فی (لس- ص 252) و ریحانة الأدب و غیرهما</w:t>
      </w:r>
    </w:p>
    <w:p>
      <w:pPr>
        <w:pStyle w:val="Heading3"/>
      </w:pPr>
      <w:bookmarkStart w:id="6068" w:name="_Toc4764"/>
      <w:r>
        <w:t>4591- دیوان طغرائی‏</w:t>
      </w:r>
      <w:bookmarkEnd w:id="6068"/>
    </w:p>
    <w:p>
      <w:pPr>
        <w:pStyle w:val="BookText"/>
      </w:pPr>
      <w:r>
        <w:rPr>
          <w:rFonts w:ascii="IRNazanin" w:hAnsi="IRNazanin" w:eastAsia="IRNazanin" w:cs="IRNazanin"/>
          <w:lang w:bidi="fa-IR"/>
          <w:color w:val="111111"/>
          <w:sz w:val="28"/>
          <w:szCs w:val="28"/>
          <w:rtl/>
        </w:rPr>
        <w:t xml:space="preserve">کبیر موسوم بالفرید طبع فی الجوائب (1300) لفخر الکتاب مؤید الدین أبی إسماعیل الحسین بن علی بن محمد بن عبد الصمد الطغرائی، صاحب لامیة العجم المشتملة علی الآداب و الحکم و الشهید ظلما فی (513) أو (515) أوله [قد انتهیت إلی ما اقترحه الشیخ الإمام‏] ترجمه فی (جما 10: 56) و أمل الآمل و الروضات و کشف الظنون و غیرها نسخه منه بمکتبة السید عیسی العطار کتبت لخزانة السید الفاضل المؤید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642" w:name="pg11704_122125"/>
    <w:bookmarkEnd w:id="642"/>
    <w:p>
      <w:pPr>
        <w:pStyle w:val="BookText"/>
      </w:pPr>
      <w:r>
        <w:rPr>
          <w:rFonts w:ascii="IRNazanin" w:hAnsi="IRNazanin" w:eastAsia="IRNazanin" w:cs="IRNazanin"/>
          <w:lang w:bidi="fa-IR"/>
          <w:color w:val="111111"/>
          <w:sz w:val="28"/>
          <w:szCs w:val="28"/>
          <w:rtl/>
        </w:rPr>
        <w:t xml:space="preserve">من عند الله السید محمد مؤمن فی (1059)</w:t>
      </w:r>
    </w:p>
    <w:p>
      <w:pPr>
        <w:pStyle w:val="Heading3"/>
      </w:pPr>
      <w:bookmarkStart w:id="6069" w:name="_Toc4765"/>
      <w:r>
        <w:t>4592- دیوان طغرای مشهدی‏</w:t>
      </w:r>
      <w:bookmarkEnd w:id="6069"/>
    </w:p>
    <w:p>
      <w:pPr>
        <w:pStyle w:val="BookText"/>
      </w:pPr>
      <w:r>
        <w:rPr>
          <w:rFonts w:ascii="IRNazanin" w:hAnsi="IRNazanin" w:eastAsia="IRNazanin" w:cs="IRNazanin"/>
          <w:lang w:bidi="fa-IR"/>
          <w:color w:val="111111"/>
          <w:sz w:val="28"/>
          <w:szCs w:val="28"/>
          <w:rtl/>
        </w:rPr>
        <w:t xml:space="preserve">و یعرف بملا طغرا و نسبه معاصره فی (نر 9- ص 230 و 339- 340) إلی تبریز و انتقد منشئاته الغریبة</w:t>
      </w:r>
      <w:r>
        <w:rPr>
          <w:rStyle w:val="FootnoteReference"/>
        </w:rPr>
        <w:footnoteReference w:id="53"/>
      </w:r>
      <w:r>
        <w:rPr>
          <w:rFonts w:ascii="IRNazanin" w:hAnsi="IRNazanin" w:eastAsia="IRNazanin" w:cs="IRNazanin"/>
          <w:lang w:bidi="fa-IR"/>
          <w:color w:val="111111"/>
          <w:sz w:val="28"/>
          <w:szCs w:val="28"/>
          <w:rtl/>
        </w:rPr>
        <w:t xml:space="preserve">و فی سرو آزاد ص 124 أطری منشئاته کثیرا و قال فی (تغ- ص 84) إنه سکن کشمیر و مات بها فی (1100) و کذا فی (سرخوش- ص 70) و (حسینی ص 197) و مطلع الشمس 2- 437 و فصل فهرس منشئاته فی فهرس مکتبة جامعة طهران (2: 195- 204) حیث توجد کلیاته هناک و نسخه أخری منه فی بریتیش موزیوم کما فی فهرس (ریو 2: 850)</w:t>
      </w:r>
    </w:p>
    <w:p>
      <w:pPr>
        <w:pStyle w:val="Heading3"/>
      </w:pPr>
      <w:bookmarkStart w:id="6070" w:name="_Toc4766"/>
      <w:r>
        <w:t>4593- دیوان طغرای مشهدی أو شعره‏</w:t>
      </w:r>
      <w:bookmarkEnd w:id="6070"/>
    </w:p>
    <w:p>
      <w:pPr>
        <w:pStyle w:val="BookText"/>
      </w:pPr>
      <w:r>
        <w:rPr>
          <w:rFonts w:ascii="IRNazanin" w:hAnsi="IRNazanin" w:eastAsia="IRNazanin" w:cs="IRNazanin"/>
          <w:lang w:bidi="fa-IR"/>
          <w:color w:val="111111"/>
          <w:sz w:val="28"/>
          <w:szCs w:val="28"/>
          <w:rtl/>
        </w:rPr>
        <w:t xml:space="preserve">اسمه محمد علی التبریزی الأصل هو من شعراء القرن الثالث عشر کما حکاه فی (دجا- ص 246) عن کتاب حدیقة الشعراء</w:t>
      </w:r>
    </w:p>
    <w:p>
      <w:pPr>
        <w:pStyle w:val="Heading3"/>
      </w:pPr>
      <w:bookmarkStart w:id="6071" w:name="_Toc4767"/>
      <w:r>
        <w:t>4594- دیوان طغرل السلجوقی أو شعره‏</w:t>
      </w:r>
      <w:bookmarkEnd w:id="6071"/>
    </w:p>
    <w:p>
      <w:pPr>
        <w:pStyle w:val="BookText"/>
      </w:pPr>
      <w:r>
        <w:rPr>
          <w:rFonts w:ascii="IRNazanin" w:hAnsi="IRNazanin" w:eastAsia="IRNazanin" w:cs="IRNazanin"/>
          <w:lang w:bidi="fa-IR"/>
          <w:color w:val="111111"/>
          <w:sz w:val="28"/>
          <w:szCs w:val="28"/>
          <w:rtl/>
        </w:rPr>
        <w:t xml:space="preserve">ابن سلطان أرسلان السلجوقی ترجمه فی (مع- ج 1 ص 37) و أورد شعره و کذا فی (تش 16)</w:t>
      </w:r>
    </w:p>
    <w:p>
      <w:pPr>
        <w:pStyle w:val="Heading3"/>
      </w:pPr>
      <w:bookmarkStart w:id="6072" w:name="_Toc4768"/>
      <w:r>
        <w:t>4595- دیوان طغرل قاجار</w:t>
      </w:r>
      <w:bookmarkEnd w:id="6072"/>
    </w:p>
    <w:p>
      <w:pPr>
        <w:pStyle w:val="BookText"/>
      </w:pPr>
      <w:r>
        <w:rPr>
          <w:rFonts w:ascii="IRNazanin" w:hAnsi="IRNazanin" w:eastAsia="IRNazanin" w:cs="IRNazanin"/>
          <w:lang w:bidi="fa-IR"/>
          <w:color w:val="111111"/>
          <w:sz w:val="28"/>
          <w:szCs w:val="28"/>
          <w:rtl/>
        </w:rPr>
        <w:t xml:space="preserve">اسمه محمد إبراهیم بن مهدی قلی خان کان ربیب السلطان فتح علی شاه و ابن عمه و لقبه ظهیر الدولة ترجمه فی (مع- ج 1 ص 38) و أورد بعض شعره و کذا فی (انجمن 2) و توفی 1193 بأسترآباد</w:t>
      </w:r>
    </w:p>
    <w:p>
      <w:pPr>
        <w:pStyle w:val="Heading3"/>
      </w:pPr>
      <w:bookmarkStart w:id="6073" w:name="_Toc4769"/>
      <w:r>
        <w:t>4596- دیوان طفیلی إبدال أو شعره‏</w:t>
      </w:r>
      <w:bookmarkEnd w:id="6073"/>
    </w:p>
    <w:p>
      <w:pPr>
        <w:pStyle w:val="BookText"/>
      </w:pPr>
      <w:r>
        <w:rPr>
          <w:rFonts w:ascii="IRNazanin" w:hAnsi="IRNazanin" w:eastAsia="IRNazanin" w:cs="IRNazanin"/>
          <w:lang w:bidi="fa-IR"/>
          <w:color w:val="111111"/>
          <w:sz w:val="28"/>
          <w:szCs w:val="28"/>
          <w:rtl/>
        </w:rPr>
        <w:t xml:space="preserve">ترجمه معاصره سام میرزا فی (تس 6 ص 186) مصرحا بحیاته حین تألیفه، و أورد قطعة من شعره بالترکیة</w:t>
      </w:r>
    </w:p>
    <w:p>
      <w:pPr>
        <w:pStyle w:val="Heading3"/>
      </w:pPr>
      <w:bookmarkStart w:id="6074" w:name="_Toc4770"/>
      <w:r>
        <w:t>4597- دیوان طفیلی بناء أو شعره‏</w:t>
      </w:r>
      <w:bookmarkEnd w:id="6074"/>
    </w:p>
    <w:p>
      <w:pPr>
        <w:pStyle w:val="BookText"/>
      </w:pPr>
      <w:r>
        <w:rPr>
          <w:rFonts w:ascii="IRNazanin" w:hAnsi="IRNazanin" w:eastAsia="IRNazanin" w:cs="IRNazanin"/>
          <w:lang w:bidi="fa-IR"/>
          <w:color w:val="111111"/>
          <w:sz w:val="28"/>
          <w:szCs w:val="28"/>
          <w:rtl/>
        </w:rPr>
        <w:t xml:space="preserve">کان مملوکا لجهان شاه پادشاه کما ترجمه سام میرزا فی (تس 5- ص 139) و أورد شعره‏</w:t>
      </w:r>
    </w:p>
    <w:p>
      <w:pPr>
        <w:pStyle w:val="Heading3"/>
      </w:pPr>
      <w:bookmarkStart w:id="6075" w:name="_Toc4771"/>
      <w:r>
        <w:t>4598- دیوان طفیلی حصاری أو شعره‏</w:t>
      </w:r>
      <w:bookmarkEnd w:id="6075"/>
    </w:p>
    <w:p>
      <w:pPr>
        <w:pStyle w:val="BookText"/>
      </w:pPr>
      <w:r>
        <w:rPr>
          <w:rFonts w:ascii="IRNazanin" w:hAnsi="IRNazanin" w:eastAsia="IRNazanin" w:cs="IRNazanin"/>
          <w:lang w:bidi="fa-IR"/>
          <w:color w:val="111111"/>
          <w:sz w:val="28"/>
          <w:szCs w:val="28"/>
          <w:rtl/>
        </w:rPr>
        <w:t xml:space="preserve">ترجمه فی (مجتس 5- ص 160) و أورد شعره و لعله المذکور فی (تغ 84) بعنوان طفیلی مشهدی‏</w:t>
      </w:r>
    </w:p>
    <w:p>
      <w:pPr>
        <w:pStyle w:val="Heading3"/>
      </w:pPr>
      <w:bookmarkStart w:id="6076" w:name="_Toc4772"/>
      <w:r>
        <w:t>4599- دیوان طفیلی لاهیجی‏</w:t>
      </w:r>
      <w:bookmarkEnd w:id="6076"/>
    </w:p>
    <w:p>
      <w:pPr>
        <w:pStyle w:val="BookText"/>
      </w:pPr>
      <w:r>
        <w:rPr>
          <w:rFonts w:ascii="IRNazanin" w:hAnsi="IRNazanin" w:eastAsia="IRNazanin" w:cs="IRNazanin"/>
          <w:lang w:bidi="fa-IR"/>
          <w:color w:val="111111"/>
          <w:sz w:val="28"/>
          <w:szCs w:val="28"/>
          <w:rtl/>
        </w:rPr>
        <w:t xml:space="preserve">ترجمه النصرآبادی فی (نر 2- ص 50) و ذکر أنه حکیم حاذق من أطباء الشاه رأی بعض منشئاته و أورد بعض شعره و ذکر أیضا فی‏ )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643" w:name="pg11704_122126"/>
    <w:bookmarkEnd w:id="643"/>
    <w:p>
      <w:pPr>
        <w:pStyle w:val="BookText"/>
      </w:pPr>
      <w:r>
        <w:rPr>
          <w:rFonts w:ascii="IRNazanin" w:hAnsi="IRNazanin" w:eastAsia="IRNazanin" w:cs="IRNazanin"/>
          <w:lang w:bidi="fa-IR"/>
          <w:color w:val="111111"/>
          <w:sz w:val="28"/>
          <w:szCs w:val="28"/>
          <w:rtl/>
        </w:rPr>
        <w:t xml:space="preserve">(تغ- 84)</w:t>
      </w:r>
    </w:p>
    <w:p>
      <w:pPr>
        <w:pStyle w:val="Heading3"/>
      </w:pPr>
      <w:bookmarkStart w:id="6077" w:name="_Toc4773"/>
      <w:r>
        <w:t>4600- دیوان طفیلی هروی‏</w:t>
      </w:r>
      <w:bookmarkEnd w:id="6077"/>
    </w:p>
    <w:p>
      <w:pPr>
        <w:pStyle w:val="BookText"/>
      </w:pPr>
      <w:r>
        <w:rPr>
          <w:rFonts w:ascii="IRNazanin" w:hAnsi="IRNazanin" w:eastAsia="IRNazanin" w:cs="IRNazanin"/>
          <w:lang w:bidi="fa-IR"/>
          <w:color w:val="111111"/>
          <w:sz w:val="28"/>
          <w:szCs w:val="28"/>
          <w:rtl/>
        </w:rPr>
        <w:t xml:space="preserve">اسمه أمیر حسن بن علی الجلائر له قصائد مطبوعة للطباع فی مدح السلطان حسین الغازی ترجمه فی (مجن 5- ص 282 و 108) و (تش- ص 17) و (تغ 84) و فی مطلع الشمس 2: 437 و هو من أولاد أمراء خراسان و أورد مطلع إحدی قصائده و ترجمه سام میرزا فی (تس 6- ص 183) بعنوان الأمیر حسین الطفیلی من شعراء السلطان حسین میرزا و أمرائه، و فی الأواخر هاجر إلی إیران و أنشأ قصائد فی مدح وزیر الشاه إسماعیل الصفوی و وقع بینه و بین أمیدی مهاجاة و توفی (925)</w:t>
      </w:r>
    </w:p>
    <w:p>
      <w:pPr>
        <w:pStyle w:val="Heading3"/>
      </w:pPr>
      <w:bookmarkStart w:id="6078" w:name="_Toc4774"/>
      <w:r>
        <w:t>4601- دیوان طلائع بن زریک‏</w:t>
      </w:r>
      <w:bookmarkEnd w:id="6078"/>
    </w:p>
    <w:p>
      <w:pPr>
        <w:pStyle w:val="BookText"/>
      </w:pPr>
      <w:r>
        <w:rPr>
          <w:rFonts w:ascii="IRNazanin" w:hAnsi="IRNazanin" w:eastAsia="IRNazanin" w:cs="IRNazanin"/>
          <w:lang w:bidi="fa-IR"/>
          <w:color w:val="111111"/>
          <w:sz w:val="28"/>
          <w:szCs w:val="28"/>
          <w:rtl/>
        </w:rPr>
        <w:t xml:space="preserve">فارس المسلمین و وزیر الخلفاء الفاطمیین بمصر الفائز بالله ثم العاضد کانت ولادته (495) و استشهد فی (19 رمضان 556) ترجمه فی نسمة السحر و فصل ترجمته ابن خلکان فی (ج 1 ص 238) و ذکر أنه وقف علی دیوانه فی مجلدین‏</w:t>
      </w:r>
    </w:p>
    <w:p>
      <w:pPr>
        <w:pStyle w:val="Heading3"/>
      </w:pPr>
      <w:bookmarkStart w:id="6079" w:name="_Toc4775"/>
      <w:r>
        <w:t>4602- دیوان طلعت أصفهانی‏</w:t>
      </w:r>
      <w:bookmarkEnd w:id="6079"/>
    </w:p>
    <w:p>
      <w:pPr>
        <w:pStyle w:val="BookText"/>
      </w:pPr>
      <w:r>
        <w:rPr>
          <w:rFonts w:ascii="IRNazanin" w:hAnsi="IRNazanin" w:eastAsia="IRNazanin" w:cs="IRNazanin"/>
          <w:lang w:bidi="fa-IR"/>
          <w:color w:val="111111"/>
          <w:sz w:val="28"/>
          <w:szCs w:val="28"/>
          <w:rtl/>
        </w:rPr>
        <w:t xml:space="preserve">اسمه آقا محمد التاجر الأصفهانی ترجمه فی (مع- ج 2 ص 344) و ذکر أن فنه إنشاء الغزلیات و أورد مطالع بعض غزلیاته، و کذا فی (انجمن 4)</w:t>
      </w:r>
    </w:p>
    <w:p>
      <w:pPr>
        <w:pStyle w:val="Heading3"/>
      </w:pPr>
      <w:bookmarkStart w:id="6080" w:name="_Toc4776"/>
      <w:r>
        <w:t>4603- دیوان طلعت تبریزی‏</w:t>
      </w:r>
      <w:bookmarkEnd w:id="6080"/>
    </w:p>
    <w:p>
      <w:pPr>
        <w:pStyle w:val="BookText"/>
      </w:pPr>
      <w:r>
        <w:rPr>
          <w:rFonts w:ascii="IRNazanin" w:hAnsi="IRNazanin" w:eastAsia="IRNazanin" w:cs="IRNazanin"/>
          <w:lang w:bidi="fa-IR"/>
          <w:color w:val="111111"/>
          <w:sz w:val="28"/>
          <w:szCs w:val="28"/>
          <w:rtl/>
        </w:rPr>
        <w:t xml:space="preserve">طبع له منظومة فی الانتقاد علی عارف‏نامه لإیرج میرزا بتبریز فی 1304 ش فی 128 ص‏</w:t>
      </w:r>
    </w:p>
    <w:p>
      <w:pPr>
        <w:pStyle w:val="Heading3"/>
      </w:pPr>
      <w:bookmarkStart w:id="6081" w:name="_Toc4777"/>
      <w:r>
        <w:t>4604- دیوان طلعت یزدی‏</w:t>
      </w:r>
      <w:bookmarkEnd w:id="6081"/>
    </w:p>
    <w:p>
      <w:pPr>
        <w:pStyle w:val="BookText"/>
      </w:pPr>
      <w:r>
        <w:rPr>
          <w:rFonts w:ascii="IRNazanin" w:hAnsi="IRNazanin" w:eastAsia="IRNazanin" w:cs="IRNazanin"/>
          <w:lang w:bidi="fa-IR"/>
          <w:color w:val="111111"/>
          <w:sz w:val="28"/>
          <w:szCs w:val="28"/>
          <w:rtl/>
        </w:rPr>
        <w:t xml:space="preserve">و اسمه محمد طبع بمبئی فی 1347 فی 64 ص علی الحجر</w:t>
      </w:r>
    </w:p>
    <w:p>
      <w:pPr>
        <w:pStyle w:val="Heading3"/>
      </w:pPr>
      <w:bookmarkStart w:id="6082" w:name="_Toc4778"/>
      <w:r>
        <w:t>4605- دیوان طلوعی أراکی‏</w:t>
      </w:r>
      <w:bookmarkEnd w:id="6082"/>
    </w:p>
    <w:p>
      <w:pPr>
        <w:pStyle w:val="BookText"/>
      </w:pPr>
      <w:r>
        <w:rPr>
          <w:rFonts w:ascii="IRNazanin" w:hAnsi="IRNazanin" w:eastAsia="IRNazanin" w:cs="IRNazanin"/>
          <w:lang w:bidi="fa-IR"/>
          <w:color w:val="111111"/>
          <w:sz w:val="28"/>
          <w:szCs w:val="28"/>
          <w:rtl/>
        </w:rPr>
        <w:t xml:space="preserve">و هو السید فخر الدین الهاشمی ابن السید جلال ولد بسلطان‏آباد فی 1320 و تلمذ علی الشیخ عبد الکریم الیزدی بقم و توفی فی 1369 له شعر کثیر یتخلص فیه طلوعی أورد بعضها فی سخنوران نامی معاصر- ص 190 ج 2</w:t>
      </w:r>
    </w:p>
    <w:p>
      <w:pPr>
        <w:pStyle w:val="Heading3"/>
      </w:pPr>
      <w:bookmarkStart w:id="6083" w:name="_Toc4779"/>
      <w:r>
        <w:t>4606- دیوان طلوعی تبریزی أو شعره‏</w:t>
      </w:r>
      <w:bookmarkEnd w:id="6083"/>
    </w:p>
    <w:p>
      <w:pPr>
        <w:pStyle w:val="BookText"/>
      </w:pPr>
      <w:r>
        <w:rPr>
          <w:rFonts w:ascii="IRNazanin" w:hAnsi="IRNazanin" w:eastAsia="IRNazanin" w:cs="IRNazanin"/>
          <w:lang w:bidi="fa-IR"/>
          <w:color w:val="111111"/>
          <w:sz w:val="28"/>
          <w:szCs w:val="28"/>
          <w:rtl/>
        </w:rPr>
        <w:t xml:space="preserve">و اسمه عبد الرسول من شعراء القرن الثالث عشر بآذربایجان ترجمه فی (دجا- ص 246) نقلا عن حدیقة الشعراء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644" w:name="pg11704_122127"/>
    <w:bookmarkEnd w:id="644"/>
    <w:p>
      <w:pPr>
        <w:pStyle w:val="Heading3"/>
      </w:pPr>
      <w:bookmarkStart w:id="6084" w:name="_Toc4780"/>
      <w:r>
        <w:t>4607- دیوان طلوعی گیلانی‏</w:t>
      </w:r>
      <w:bookmarkEnd w:id="6084"/>
    </w:p>
    <w:p>
      <w:pPr>
        <w:pStyle w:val="BookText"/>
      </w:pPr>
      <w:r>
        <w:rPr>
          <w:rFonts w:ascii="IRNazanin" w:hAnsi="IRNazanin" w:eastAsia="IRNazanin" w:cs="IRNazanin"/>
          <w:lang w:bidi="fa-IR"/>
          <w:color w:val="111111"/>
          <w:sz w:val="28"/>
          <w:szCs w:val="28"/>
          <w:rtl/>
        </w:rPr>
        <w:t xml:space="preserve">للشیخ علی أکبر الجیلانی طبع فی 219 ص‏</w:t>
      </w:r>
    </w:p>
    <w:p>
      <w:pPr>
        <w:pStyle w:val="Heading3"/>
      </w:pPr>
      <w:bookmarkStart w:id="6085" w:name="_Toc4781"/>
      <w:r>
        <w:t>4608- دیوان طوبی أصفهانی أو شعره‏</w:t>
      </w:r>
      <w:bookmarkEnd w:id="6085"/>
    </w:p>
    <w:p>
      <w:pPr>
        <w:pStyle w:val="BookText"/>
      </w:pPr>
      <w:r>
        <w:rPr>
          <w:rFonts w:ascii="IRNazanin" w:hAnsi="IRNazanin" w:eastAsia="IRNazanin" w:cs="IRNazanin"/>
          <w:lang w:bidi="fa-IR"/>
          <w:color w:val="111111"/>
          <w:sz w:val="28"/>
          <w:szCs w:val="28"/>
          <w:rtl/>
        </w:rPr>
        <w:t xml:space="preserve">و اسمه إبراهیم فیلسوف ریاضی مات بأصفهان 1174</w:t>
      </w:r>
    </w:p>
    <w:p>
      <w:pPr>
        <w:pStyle w:val="Heading3"/>
      </w:pPr>
      <w:bookmarkStart w:id="6086" w:name="_Toc4782"/>
      <w:r>
        <w:t>4609- دیوان طوبی دزفولی أو شعره‏</w:t>
      </w:r>
      <w:bookmarkEnd w:id="6086"/>
    </w:p>
    <w:p>
      <w:pPr>
        <w:pStyle w:val="BookText"/>
      </w:pPr>
      <w:r>
        <w:rPr>
          <w:rFonts w:ascii="IRNazanin" w:hAnsi="IRNazanin" w:eastAsia="IRNazanin" w:cs="IRNazanin"/>
          <w:lang w:bidi="fa-IR"/>
          <w:color w:val="111111"/>
          <w:sz w:val="28"/>
          <w:szCs w:val="28"/>
          <w:rtl/>
        </w:rPr>
        <w:t xml:space="preserve">ذکر فی مخزن الدرر ضمن شعراء دزفول‏</w:t>
      </w:r>
    </w:p>
    <w:p>
      <w:pPr>
        <w:pStyle w:val="Heading3"/>
      </w:pPr>
      <w:bookmarkStart w:id="6087" w:name="_Toc4783"/>
      <w:r>
        <w:t>4610- دیوان طوبی شهرستانی‏</w:t>
      </w:r>
      <w:bookmarkEnd w:id="6087"/>
    </w:p>
    <w:p>
      <w:pPr>
        <w:pStyle w:val="BookText"/>
      </w:pPr>
      <w:r>
        <w:rPr>
          <w:rFonts w:ascii="IRNazanin" w:hAnsi="IRNazanin" w:eastAsia="IRNazanin" w:cs="IRNazanin"/>
          <w:lang w:bidi="fa-IR"/>
          <w:color w:val="111111"/>
          <w:sz w:val="28"/>
          <w:szCs w:val="28"/>
          <w:rtl/>
        </w:rPr>
        <w:t xml:space="preserve">للسید الأدیب الشاعر المیرزا محمد حسن بن المیرزا محمد علی الشهرستانی الحائری فارسی کتبه أخوه المیرزا محمد حسین الذی توفی (1315) بمداد الطبع و طبع علیه‏</w:t>
      </w:r>
    </w:p>
    <w:p>
      <w:pPr>
        <w:pStyle w:val="Heading3"/>
      </w:pPr>
      <w:bookmarkStart w:id="6088" w:name="_Toc4784"/>
      <w:r>
        <w:t>4611- دیوان طوبی یزدی نائنی‏</w:t>
      </w:r>
      <w:bookmarkEnd w:id="6088"/>
    </w:p>
    <w:p>
      <w:pPr>
        <w:pStyle w:val="BookText"/>
      </w:pPr>
      <w:r>
        <w:rPr>
          <w:rFonts w:ascii="IRNazanin" w:hAnsi="IRNazanin" w:eastAsia="IRNazanin" w:cs="IRNazanin"/>
          <w:lang w:bidi="fa-IR"/>
          <w:color w:val="111111"/>
          <w:sz w:val="28"/>
          <w:szCs w:val="28"/>
          <w:rtl/>
        </w:rPr>
        <w:t xml:space="preserve">و هو شجاع السلطان المیرزا عبد الوهاب حاکم أبرقوه أورد شعره فی (تش یز- ص 308) و تاریخ نائین (4: 158)</w:t>
      </w:r>
    </w:p>
    <w:p>
      <w:pPr>
        <w:pStyle w:val="Heading3"/>
      </w:pPr>
      <w:bookmarkStart w:id="6089" w:name="_Toc4785"/>
      <w:r>
        <w:t>4612- دیوان الخواجة الطوسی‏</w:t>
      </w:r>
      <w:bookmarkEnd w:id="6089"/>
    </w:p>
    <w:p>
      <w:pPr>
        <w:pStyle w:val="BookText"/>
      </w:pPr>
      <w:r>
        <w:rPr>
          <w:rFonts w:ascii="IRNazanin" w:hAnsi="IRNazanin" w:eastAsia="IRNazanin" w:cs="IRNazanin"/>
          <w:lang w:bidi="fa-IR"/>
          <w:color w:val="111111"/>
          <w:sz w:val="28"/>
          <w:szCs w:val="28"/>
          <w:rtl/>
        </w:rPr>
        <w:t xml:space="preserve">نصیر الدین محمد بن محمد بن الحسن الطوسی المتوفی (672) دون المحقق الفیض الکاشانی جملة من أشعار الخواجة ضمن مجموعة کتبها بخطه فی حیاة المیر الداماد، منها اثنی عشر من رباعیاته و بعض قصائده أولها:</w:t>
      </w:r>
    </w:p>
    <w:p>
      <w:pPr>
        <w:pStyle w:val="BookText"/>
      </w:pPr>
      <w:r>
        <w:rPr>
          <w:rFonts w:ascii="IRNazanin" w:hAnsi="IRNazanin" w:eastAsia="IRNazanin" w:cs="IRNazanin"/>
          <w:lang w:bidi="fa-IR"/>
          <w:color w:val="111111"/>
          <w:sz w:val="28"/>
          <w:szCs w:val="28"/>
          <w:rtl/>
        </w:rPr>
        <w:t xml:space="preserve">هر که از شهر خودی و بی‏خودی آواره نیست‏</w:t>
      </w:r>
    </w:p>
    <w:p>
      <w:pPr>
        <w:pStyle w:val="BookText"/>
      </w:pPr>
      <w:r>
        <w:rPr>
          <w:rFonts w:ascii="IRNazanin" w:hAnsi="IRNazanin" w:eastAsia="IRNazanin" w:cs="IRNazanin"/>
          <w:lang w:bidi="fa-IR"/>
          <w:color w:val="111111"/>
          <w:sz w:val="28"/>
          <w:szCs w:val="28"/>
          <w:rtl/>
        </w:rPr>
        <w:t xml:space="preserve">در تماشاگاه وصلش زهرة نظاره نیست‏</w:t>
      </w:r>
    </w:p>
    <w:p>
      <w:pPr>
        <w:pStyle w:val="Heading3"/>
      </w:pPr>
      <w:bookmarkStart w:id="6090" w:name="_Toc4786"/>
      <w:r>
        <w:t>4613- دیوان طوسی‏</w:t>
      </w:r>
      <w:bookmarkEnd w:id="6090"/>
    </w:p>
    <w:p>
      <w:pPr>
        <w:pStyle w:val="BookText"/>
      </w:pPr>
      <w:r>
        <w:rPr>
          <w:rFonts w:ascii="IRNazanin" w:hAnsi="IRNazanin" w:eastAsia="IRNazanin" w:cs="IRNazanin"/>
          <w:lang w:bidi="fa-IR"/>
          <w:color w:val="111111"/>
          <w:sz w:val="28"/>
          <w:szCs w:val="28"/>
          <w:rtl/>
        </w:rPr>
        <w:t xml:space="preserve">ترجمه فی (مجن 1- ص 18 و 84 و 305 و 192) و ذکر أن فنه إنشاء الأمثال و الغزل و أورد مطلعین له، و قال: صاحب بهمدان دقیقی همدانی و قال دولت شاه: سکن مدة بشیراز و مات بها و کان ماهرا فی الأمثال العامیة و إنشاء الغزل، و کان عالی الهمة لا ینشأ القصائد فی المدیح کما قال:</w:t>
      </w:r>
    </w:p>
    <w:p>
      <w:pPr>
        <w:pStyle w:val="BookText"/>
      </w:pPr>
      <w:r>
        <w:rPr>
          <w:rFonts w:ascii="IRNazanin" w:hAnsi="IRNazanin" w:eastAsia="IRNazanin" w:cs="IRNazanin"/>
          <w:lang w:bidi="fa-IR"/>
          <w:color w:val="111111"/>
          <w:sz w:val="28"/>
          <w:szCs w:val="28"/>
          <w:rtl/>
        </w:rPr>
        <w:t xml:space="preserve">گر نگویم قصیدة باکی نیست‏</w:t>
      </w:r>
    </w:p>
    <w:p>
      <w:pPr>
        <w:pStyle w:val="BookText"/>
      </w:pPr>
      <w:r>
        <w:rPr>
          <w:rFonts w:ascii="IRNazanin" w:hAnsi="IRNazanin" w:eastAsia="IRNazanin" w:cs="IRNazanin"/>
          <w:lang w:bidi="fa-IR"/>
          <w:color w:val="111111"/>
          <w:sz w:val="28"/>
          <w:szCs w:val="28"/>
          <w:rtl/>
        </w:rPr>
        <w:t xml:space="preserve">من خوش‏آمد نمی‏توانم گفت‏</w:t>
      </w:r>
    </w:p>
    <w:p>
      <w:pPr>
        <w:pStyle w:val="BookText"/>
      </w:pPr>
      <w:r>
        <w:rPr>
          <w:rFonts w:ascii="IRNazanin" w:hAnsi="IRNazanin" w:eastAsia="IRNazanin" w:cs="IRNazanin"/>
          <w:lang w:bidi="fa-IR"/>
          <w:color w:val="111111"/>
          <w:sz w:val="28"/>
          <w:szCs w:val="28"/>
          <w:rtl/>
        </w:rPr>
        <w:t xml:space="preserve">کذا فی (دولت 7) و (حسینی- ص 199) و جاء شعره فی گلستان مسرت- ص 203</w:t>
      </w:r>
    </w:p>
    <w:p>
      <w:pPr>
        <w:pStyle w:val="Heading3"/>
      </w:pPr>
      <w:bookmarkStart w:id="6091" w:name="_Toc4787"/>
      <w:r>
        <w:t>دیوان طوسی‏</w:t>
      </w:r>
      <w:bookmarkEnd w:id="6091"/>
    </w:p>
    <w:p>
      <w:pPr>
        <w:pStyle w:val="BookText"/>
      </w:pPr>
      <w:r>
        <w:rPr>
          <w:rFonts w:ascii="IRNazanin" w:hAnsi="IRNazanin" w:eastAsia="IRNazanin" w:cs="IRNazanin"/>
          <w:lang w:bidi="fa-IR"/>
          <w:color w:val="111111"/>
          <w:sz w:val="28"/>
          <w:szCs w:val="28"/>
          <w:rtl/>
        </w:rPr>
        <w:t xml:space="preserve">راجع دیوان منصور طوسی لتخلصه به‏</w:t>
      </w:r>
    </w:p>
    <w:p>
      <w:pPr>
        <w:pStyle w:val="Heading3"/>
      </w:pPr>
      <w:bookmarkStart w:id="6092" w:name="_Toc4788"/>
      <w:r>
        <w:t>4614- دیوان طوطی اهری‏</w:t>
      </w:r>
      <w:bookmarkEnd w:id="6092"/>
    </w:p>
    <w:p>
      <w:pPr>
        <w:pStyle w:val="BookText"/>
      </w:pPr>
      <w:r>
        <w:rPr>
          <w:rFonts w:ascii="IRNazanin" w:hAnsi="IRNazanin" w:eastAsia="IRNazanin" w:cs="IRNazanin"/>
          <w:lang w:bidi="fa-IR"/>
          <w:color w:val="111111"/>
          <w:sz w:val="28"/>
          <w:szCs w:val="28"/>
          <w:rtl/>
        </w:rPr>
        <w:t xml:space="preserve">اسمه المولی حسن من شعراء القرن الرابع عشر ترجمه فی (دجا- ص 246) و قد طبع فی (1345) منظومته الموسومة سبیکة المعانی فی اللغة و أخری فی توقیعات التقویم کما فی فرهنگ نامه‏های عربی بفارسی- ص 267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645" w:name="pg11704_122128"/>
    <w:bookmarkEnd w:id="645"/>
    <w:p>
      <w:pPr>
        <w:pStyle w:val="Heading3"/>
      </w:pPr>
      <w:bookmarkStart w:id="6093" w:name="_Toc4789"/>
      <w:r>
        <w:t>4615- دیوان طوطی ترشیزی‏</w:t>
      </w:r>
      <w:bookmarkEnd w:id="6093"/>
    </w:p>
    <w:p>
      <w:pPr>
        <w:pStyle w:val="BookText"/>
      </w:pPr>
      <w:r>
        <w:rPr>
          <w:rFonts w:ascii="IRNazanin" w:hAnsi="IRNazanin" w:eastAsia="IRNazanin" w:cs="IRNazanin"/>
          <w:lang w:bidi="fa-IR"/>
          <w:color w:val="111111"/>
          <w:sz w:val="28"/>
          <w:szCs w:val="28"/>
          <w:rtl/>
        </w:rPr>
        <w:t xml:space="preserve">من ملازمی بابر میرزا مهر فی الطب و تتبع کاتبی فی الشعر، و عارض خاقانی فی القصائد ترجمه فی (دولت 7) و فی حبیب السیر جزء 3 جلد 3 و (مجن 2- ص 31 و 204) و مات بهرات فی سنة وفاة آذری (866) کما فی شاهد صادق و قال میر علی شیر فی تاریخه خروس و اعتذر بأن خسرو کان تاریخ وفاة آذری المذکور فی (ص 4) و هذا تاریخ المیر علی شیر:</w:t>
      </w:r>
    </w:p>
    <w:p>
      <w:pPr>
        <w:pStyle w:val="BookText"/>
      </w:pPr>
      <w:r>
        <w:rPr>
          <w:rFonts w:ascii="IRNazanin" w:hAnsi="IRNazanin" w:eastAsia="IRNazanin" w:cs="IRNazanin"/>
          <w:lang w:bidi="fa-IR"/>
          <w:color w:val="111111"/>
          <w:sz w:val="28"/>
          <w:szCs w:val="28"/>
          <w:rtl/>
        </w:rPr>
        <w:t xml:space="preserve">چو طوطی برفت این عجب طرفه بود</w:t>
      </w:r>
    </w:p>
    <w:p>
      <w:pPr>
        <w:pStyle w:val="BookText"/>
      </w:pPr>
      <w:r>
        <w:rPr>
          <w:rFonts w:ascii="IRNazanin" w:hAnsi="IRNazanin" w:eastAsia="IRNazanin" w:cs="IRNazanin"/>
          <w:lang w:bidi="fa-IR"/>
          <w:color w:val="111111"/>
          <w:sz w:val="28"/>
          <w:szCs w:val="28"/>
          <w:rtl/>
        </w:rPr>
        <w:t xml:space="preserve">که تاریخ شد فوت أو را خروس‏</w:t>
      </w:r>
    </w:p>
    <w:p>
      <w:pPr>
        <w:pStyle w:val="Heading3"/>
      </w:pPr>
      <w:bookmarkStart w:id="6094" w:name="_Toc4790"/>
      <w:r>
        <w:t>4616- دیوان طوطی سمرقندی‏</w:t>
      </w:r>
      <w:bookmarkEnd w:id="6094"/>
    </w:p>
    <w:p>
      <w:pPr>
        <w:pStyle w:val="BookText"/>
      </w:pPr>
      <w:r>
        <w:rPr>
          <w:rFonts w:ascii="IRNazanin" w:hAnsi="IRNazanin" w:eastAsia="IRNazanin" w:cs="IRNazanin"/>
          <w:lang w:bidi="fa-IR"/>
          <w:color w:val="111111"/>
          <w:sz w:val="28"/>
          <w:szCs w:val="28"/>
          <w:rtl/>
        </w:rPr>
        <w:t xml:space="preserve">ترجمه النصرآبادی فی (نر 15- ص 524) و أورد معماه باسم السلطان بابر و (گلشن- ص 263) و لعله الذی أورد شعره الذی فیه تشبیه بالساعة فی (قز مج 6- ص 308)</w:t>
      </w:r>
    </w:p>
    <w:p>
      <w:pPr>
        <w:pStyle w:val="Heading3"/>
      </w:pPr>
      <w:bookmarkStart w:id="6095" w:name="_Toc4791"/>
      <w:r>
        <w:t>4617- دیوان طوطی قراباغی‏</w:t>
      </w:r>
      <w:bookmarkEnd w:id="6095"/>
    </w:p>
    <w:p>
      <w:pPr>
        <w:pStyle w:val="BookText"/>
      </w:pPr>
      <w:r>
        <w:rPr>
          <w:rFonts w:ascii="IRNazanin" w:hAnsi="IRNazanin" w:eastAsia="IRNazanin" w:cs="IRNazanin"/>
          <w:lang w:bidi="fa-IR"/>
          <w:color w:val="111111"/>
          <w:sz w:val="28"/>
          <w:szCs w:val="28"/>
          <w:rtl/>
        </w:rPr>
        <w:t xml:space="preserve">اسمه أبو الفتح خان بن إبراهیم خان بن پناه خان جوان‏شیر والی قراباغ و المتوفی (1255) ترجمه فی (دجا- ص 247) و أورد شعره نقلا عن تذکره بهمن میرزا و ذکر فی (مع 2: 344)</w:t>
      </w:r>
    </w:p>
    <w:p>
      <w:pPr>
        <w:pStyle w:val="Heading3"/>
      </w:pPr>
      <w:bookmarkStart w:id="6096" w:name="_Toc4792"/>
      <w:r>
        <w:t>4618- دیوان طوطی قراباغی‏</w:t>
      </w:r>
      <w:bookmarkEnd w:id="6096"/>
    </w:p>
    <w:p>
      <w:pPr>
        <w:pStyle w:val="BookText"/>
      </w:pPr>
      <w:r>
        <w:rPr>
          <w:rFonts w:ascii="IRNazanin" w:hAnsi="IRNazanin" w:eastAsia="IRNazanin" w:cs="IRNazanin"/>
          <w:lang w:bidi="fa-IR"/>
          <w:color w:val="111111"/>
          <w:sz w:val="28"/>
          <w:szCs w:val="28"/>
          <w:rtl/>
        </w:rPr>
        <w:t xml:space="preserve">اسمه عبد الله ترجمه أیضا فی (دجا- ص 247) و قال هو من شعراء القرن الثالث عشر نقلا عن حدیقة الشعراء</w:t>
      </w:r>
    </w:p>
    <w:p>
      <w:pPr>
        <w:pStyle w:val="Heading3"/>
      </w:pPr>
      <w:bookmarkStart w:id="6097" w:name="_Toc4793"/>
      <w:r>
        <w:t>4619- دیوان طوطی همدانی‏</w:t>
      </w:r>
      <w:bookmarkEnd w:id="6097"/>
    </w:p>
    <w:p>
      <w:pPr>
        <w:pStyle w:val="BookText"/>
      </w:pPr>
      <w:r>
        <w:rPr>
          <w:rFonts w:ascii="IRNazanin" w:hAnsi="IRNazanin" w:eastAsia="IRNazanin" w:cs="IRNazanin"/>
          <w:lang w:bidi="fa-IR"/>
          <w:color w:val="111111"/>
          <w:sz w:val="28"/>
          <w:szCs w:val="28"/>
          <w:rtl/>
        </w:rPr>
        <w:t xml:space="preserve">و هو المیرزا أبو الحسن الخیاط المولود بهمدان 1329 و جاء إلی طهران فی 1349 له غیر دیوانه هذا شکرستان فی المدائح و المراثی و هشتاد قصیدة و گواهی‏نامه و شیطان‏نامه فی مناظرة إبلیس و طبع له مناجات‏نامه فی 1325 ش فی 28 ص بطهران‏</w:t>
      </w:r>
    </w:p>
    <w:p>
      <w:pPr>
        <w:pStyle w:val="Heading3"/>
      </w:pPr>
      <w:bookmarkStart w:id="6098" w:name="_Toc4794"/>
      <w:r>
        <w:t>دیوان طوغری‏</w:t>
      </w:r>
      <w:bookmarkEnd w:id="6098"/>
    </w:p>
    <w:p>
      <w:pPr>
        <w:pStyle w:val="BookText"/>
      </w:pPr>
      <w:r>
        <w:rPr>
          <w:rFonts w:ascii="IRNazanin" w:hAnsi="IRNazanin" w:eastAsia="IRNazanin" w:cs="IRNazanin"/>
          <w:lang w:bidi="fa-IR"/>
          <w:color w:val="111111"/>
          <w:sz w:val="28"/>
          <w:szCs w:val="28"/>
          <w:rtl/>
        </w:rPr>
        <w:t xml:space="preserve">راجع دیوان خالص یزدی رقم 1701</w:t>
      </w:r>
    </w:p>
    <w:p>
      <w:pPr>
        <w:pStyle w:val="Heading3"/>
      </w:pPr>
      <w:bookmarkStart w:id="6099" w:name="_Toc4795"/>
      <w:r>
        <w:t>4620- دیوان طوفان قاینی‏</w:t>
      </w:r>
      <w:bookmarkEnd w:id="6099"/>
    </w:p>
    <w:p>
      <w:pPr>
        <w:pStyle w:val="BookText"/>
      </w:pPr>
      <w:r>
        <w:rPr>
          <w:rFonts w:ascii="IRNazanin" w:hAnsi="IRNazanin" w:eastAsia="IRNazanin" w:cs="IRNazanin"/>
          <w:lang w:bidi="fa-IR"/>
          <w:color w:val="111111"/>
          <w:sz w:val="28"/>
          <w:szCs w:val="28"/>
          <w:rtl/>
        </w:rPr>
        <w:t xml:space="preserve">و اسمه آخوند ملا حسین ذاکر روضه‏خوان سکن مدة بطهران و مدح القائم مقام الفراهانی و رجع إلی قائن و أمر أمیر القائن محمد علی خان ابن آصف الدولة بقتله و لکنه نجا منه، و کان یشتغل بالوعظ و التعزیة و یتخلص طوفان کما فی تاریخ قهستان لآیتی القائنی (ص 297)</w:t>
      </w:r>
    </w:p>
    <w:p>
      <w:pPr>
        <w:pStyle w:val="Heading3"/>
      </w:pPr>
      <w:bookmarkStart w:id="6100" w:name="_Toc4796"/>
      <w:r>
        <w:t>4621- دیوان طوفان مازندرانی الهزارجریبی‏</w:t>
      </w:r>
      <w:bookmarkEnd w:id="6100"/>
    </w:p>
    <w:p>
      <w:pPr>
        <w:pStyle w:val="BookText"/>
      </w:pPr>
      <w:r>
        <w:rPr>
          <w:rFonts w:ascii="IRNazanin" w:hAnsi="IRNazanin" w:eastAsia="IRNazanin" w:cs="IRNazanin"/>
          <w:lang w:bidi="fa-IR"/>
          <w:color w:val="111111"/>
          <w:sz w:val="28"/>
          <w:szCs w:val="28"/>
          <w:rtl/>
        </w:rPr>
        <w:t xml:space="preserve">اسمه المیرزا طبیب کان برهة فی أصفهان و جاور النجف أخیرا و تاب عن الهجاء و بدله بمدیح أهل البیت و توفی‏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646" w:name="pg11704_122129"/>
    <w:bookmarkEnd w:id="646"/>
    <w:p>
      <w:pPr>
        <w:pStyle w:val="BookText"/>
      </w:pPr>
      <w:r>
        <w:rPr>
          <w:rFonts w:ascii="IRNazanin" w:hAnsi="IRNazanin" w:eastAsia="IRNazanin" w:cs="IRNazanin"/>
          <w:lang w:bidi="fa-IR"/>
          <w:color w:val="111111"/>
          <w:sz w:val="28"/>
          <w:szCs w:val="28"/>
          <w:rtl/>
        </w:rPr>
        <w:t xml:space="preserve">بالنجف (1190) و دیوانه سبعة آلاف بیت ذکر فی (مع- ج 2 ص 341) توجد نسختان منه عند (الملک) و نسخه فی سپهسالار تحتوی علی 3300 بیت من القصائد و الغزل و المثنوی و الرباعیات و شکر پاره و جنگ‏نامه و الهجویات، و له مقدمه کتبه أحد أصدقائه فی النجف 1175 و ذکر فی (تش- ص 397) و (انجمن 4)</w:t>
      </w:r>
    </w:p>
    <w:p>
      <w:pPr>
        <w:pStyle w:val="Heading3"/>
      </w:pPr>
      <w:bookmarkStart w:id="6101" w:name="_Toc4797"/>
      <w:r>
        <w:t>4622- دیوان طوفی تبریزی‏</w:t>
      </w:r>
      <w:bookmarkEnd w:id="6101"/>
    </w:p>
    <w:p>
      <w:pPr>
        <w:pStyle w:val="BookText"/>
      </w:pPr>
      <w:r>
        <w:rPr>
          <w:rFonts w:ascii="IRNazanin" w:hAnsi="IRNazanin" w:eastAsia="IRNazanin" w:cs="IRNazanin"/>
          <w:lang w:bidi="fa-IR"/>
          <w:color w:val="111111"/>
          <w:sz w:val="28"/>
          <w:szCs w:val="28"/>
          <w:rtl/>
        </w:rPr>
        <w:t xml:space="preserve">السراج الشاعر و أستاذ الشعراء مثل عجزی و صبوری و حکیم أبو طالب و غیرهم و له تذکره الشعراء ترجمه فی (دجا- ص 247) نقلا عن خلاصة الأشعار و عن صحف إبراهیم و ترجمه فی خص 8- ص 170 و أورد جملة من شعره و کذا فی (حسینی- ص 197) و گلستان مسرت- ص 230 و (تش- ص 31) و (تغ- ص 84)</w:t>
      </w:r>
    </w:p>
    <w:p>
      <w:pPr>
        <w:pStyle w:val="Heading3"/>
      </w:pPr>
      <w:bookmarkStart w:id="6102" w:name="_Toc4798"/>
      <w:r>
        <w:t>دیوان طهماسبی‏</w:t>
      </w:r>
      <w:bookmarkEnd w:id="6102"/>
    </w:p>
    <w:p>
      <w:pPr>
        <w:pStyle w:val="BookText"/>
      </w:pPr>
      <w:r>
        <w:rPr>
          <w:rFonts w:ascii="IRNazanin" w:hAnsi="IRNazanin" w:eastAsia="IRNazanin" w:cs="IRNazanin"/>
          <w:lang w:bidi="fa-IR"/>
          <w:color w:val="111111"/>
          <w:sz w:val="28"/>
          <w:szCs w:val="28"/>
          <w:rtl/>
        </w:rPr>
        <w:t xml:space="preserve">راجع حیدر طهماسبی‏</w:t>
      </w:r>
    </w:p>
    <w:p>
      <w:pPr>
        <w:pStyle w:val="Heading3"/>
      </w:pPr>
      <w:bookmarkStart w:id="6103" w:name="_Toc4799"/>
      <w:r>
        <w:t>دیوان طهماسب قلی خان الکردی القندهاری‏</w:t>
      </w:r>
      <w:bookmarkEnd w:id="6103"/>
    </w:p>
    <w:p>
      <w:pPr>
        <w:pStyle w:val="BookText"/>
      </w:pPr>
      <w:r>
        <w:rPr>
          <w:rFonts w:ascii="IRNazanin" w:hAnsi="IRNazanin" w:eastAsia="IRNazanin" w:cs="IRNazanin"/>
          <w:lang w:bidi="fa-IR"/>
          <w:color w:val="111111"/>
          <w:sz w:val="28"/>
          <w:szCs w:val="28"/>
          <w:rtl/>
        </w:rPr>
        <w:t xml:space="preserve">المتخلص وهمی یأتی فی الواو</w:t>
      </w:r>
    </w:p>
    <w:p>
      <w:pPr>
        <w:pStyle w:val="Heading3"/>
      </w:pPr>
      <w:bookmarkStart w:id="6104" w:name="_Toc4800"/>
      <w:r>
        <w:t>4623- دیوان طهور</w:t>
      </w:r>
      <w:bookmarkEnd w:id="6104"/>
    </w:p>
    <w:p>
      <w:pPr>
        <w:pStyle w:val="BookText"/>
      </w:pPr>
      <w:r>
        <w:rPr>
          <w:rFonts w:ascii="IRNazanin" w:hAnsi="IRNazanin" w:eastAsia="IRNazanin" w:cs="IRNazanin"/>
          <w:lang w:bidi="fa-IR"/>
          <w:color w:val="111111"/>
          <w:sz w:val="28"/>
          <w:szCs w:val="28"/>
          <w:rtl/>
        </w:rPr>
        <w:t xml:space="preserve">اسمه أبو القاسم بن محمد إسماعیل عماد الإسلام المولود بهمدان (1303) فیه قصیدة تبلغ ستمائة بیت من غیر نقطة</w:t>
      </w:r>
    </w:p>
    <w:p>
      <w:pPr>
        <w:pStyle w:val="Heading3"/>
      </w:pPr>
      <w:bookmarkStart w:id="6105" w:name="_Toc4801"/>
      <w:r>
        <w:t>4624- دیوان الطهوی المنیحی أو شعره‏</w:t>
      </w:r>
      <w:bookmarkEnd w:id="6105"/>
    </w:p>
    <w:p>
      <w:pPr>
        <w:pStyle w:val="BookText"/>
      </w:pPr>
      <w:r>
        <w:rPr>
          <w:rFonts w:ascii="IRNazanin" w:hAnsi="IRNazanin" w:eastAsia="IRNazanin" w:cs="IRNazanin"/>
          <w:lang w:bidi="fa-IR"/>
          <w:color w:val="111111"/>
          <w:sz w:val="28"/>
          <w:szCs w:val="28"/>
          <w:rtl/>
        </w:rPr>
        <w:t xml:space="preserve">وصفه ابن شهرآشوب فی معالم العلماء فی باب الشعراء و فصل المتقین منهم، بشاعر آل محمد</w:t>
      </w:r>
    </w:p>
    <w:p>
      <w:pPr>
        <w:pStyle w:val="Heading3"/>
      </w:pPr>
      <w:bookmarkStart w:id="6106" w:name="_Toc4802"/>
      <w:r>
        <w:t>4625- دیوان طیان کرمانی‏</w:t>
      </w:r>
      <w:bookmarkEnd w:id="6106"/>
    </w:p>
    <w:p>
      <w:pPr>
        <w:pStyle w:val="BookText"/>
      </w:pPr>
      <w:r>
        <w:rPr>
          <w:rFonts w:ascii="IRNazanin" w:hAnsi="IRNazanin" w:eastAsia="IRNazanin" w:cs="IRNazanin"/>
          <w:lang w:bidi="fa-IR"/>
          <w:color w:val="111111"/>
          <w:sz w:val="28"/>
          <w:szCs w:val="28"/>
          <w:rtl/>
        </w:rPr>
        <w:t xml:space="preserve">البمی الحکیم الأدیب الشاعر ترجمه فی (تش- ص 120) و (مع- ج 1- ص 328) و (گلشن- 263) و ذکر أن دیوانه قلیل النسخة و أورد منه قرب مائة بیت و لقبه الأنوری الشاعر ژاژخای کما فی تعلیقات لباب الألباب‏</w:t>
      </w:r>
    </w:p>
    <w:p>
      <w:pPr>
        <w:pStyle w:val="Heading3"/>
      </w:pPr>
      <w:bookmarkStart w:id="6107" w:name="_Toc4803"/>
      <w:r>
        <w:t>4626- دیوان طیری أصفهانی أو شعره‏</w:t>
      </w:r>
      <w:bookmarkEnd w:id="6107"/>
    </w:p>
    <w:p>
      <w:pPr>
        <w:pStyle w:val="BookText"/>
      </w:pPr>
      <w:r>
        <w:rPr>
          <w:rFonts w:ascii="IRNazanin" w:hAnsi="IRNazanin" w:eastAsia="IRNazanin" w:cs="IRNazanin"/>
          <w:lang w:bidi="fa-IR"/>
          <w:color w:val="111111"/>
          <w:sz w:val="28"/>
          <w:szCs w:val="28"/>
          <w:rtl/>
        </w:rPr>
        <w:t xml:space="preserve">و اسمه محمد ربیع زرکش قال فی (تش- ص 397) إنه کان ینظم مادة تاریخ لوفاته کل سنة الا سنة وقع وفاته فیها و هی 1159 حیث ألقی نفسه فی بئر مات فیه‏</w:t>
      </w:r>
    </w:p>
    <w:p>
      <w:pPr>
        <w:pStyle w:val="Heading3"/>
      </w:pPr>
      <w:bookmarkStart w:id="6108" w:name="_Toc4804"/>
      <w:r>
        <w:t>دیوان طیفور أنجدانی أو شعره‏</w:t>
      </w:r>
      <w:bookmarkEnd w:id="6108"/>
    </w:p>
    <w:p>
      <w:pPr>
        <w:pStyle w:val="BookText"/>
      </w:pPr>
      <w:r>
        <w:rPr>
          <w:rFonts w:ascii="IRNazanin" w:hAnsi="IRNazanin" w:eastAsia="IRNazanin" w:cs="IRNazanin"/>
          <w:lang w:bidi="fa-IR"/>
          <w:color w:val="111111"/>
          <w:sz w:val="28"/>
          <w:szCs w:val="28"/>
          <w:rtl/>
        </w:rPr>
        <w:t xml:space="preserve">کان یتخلص کسری فبدله إلی ملک راجع تخلصه‏</w:t>
      </w:r>
    </w:p>
    <w:p>
      <w:pPr>
        <w:pStyle w:val="Heading3"/>
      </w:pPr>
      <w:bookmarkStart w:id="6109" w:name="_Toc4805"/>
      <w:r>
        <w:t>دیوان طیفور بسطامی‏</w:t>
      </w:r>
      <w:bookmarkEnd w:id="6109"/>
    </w:p>
    <w:p>
      <w:pPr>
        <w:pStyle w:val="BookText"/>
      </w:pPr>
      <w:r>
        <w:rPr>
          <w:rFonts w:ascii="IRNazanin" w:hAnsi="IRNazanin" w:eastAsia="IRNazanin" w:cs="IRNazanin"/>
          <w:lang w:bidi="fa-IR"/>
          <w:color w:val="111111"/>
          <w:sz w:val="28"/>
          <w:szCs w:val="28"/>
          <w:rtl/>
        </w:rPr>
        <w:t xml:space="preserve">و هو بایزید المذکور فی ص 125 دخل شعره فی شعر أبی سعید أبی الخیر کما فی مقدمه دیوان أبی سعید لسعید النفیسی (ص 58) راجع بایزید بسطامی‏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647" w:name="pg11704_122130"/>
    <w:bookmarkEnd w:id="647"/>
    <w:p>
      <w:pPr>
        <w:pStyle w:val="Heading3"/>
      </w:pPr>
      <w:bookmarkStart w:id="6110" w:name="_Toc4806"/>
      <w:r>
        <w:t>ظ</w:t>
      </w:r>
      <w:bookmarkEnd w:id="6110"/>
    </w:p>
    <w:p>
      <w:pPr>
        <w:pStyle w:val="Heading3"/>
      </w:pPr>
      <w:bookmarkStart w:id="6111" w:name="_Toc4807"/>
      <w:r>
        <w:t>4627- دیوان ظافر الحداد</w:t>
      </w:r>
      <w:bookmarkEnd w:id="6111"/>
    </w:p>
    <w:p>
      <w:pPr>
        <w:pStyle w:val="BookText"/>
      </w:pPr>
      <w:r>
        <w:rPr>
          <w:rFonts w:ascii="IRNazanin" w:hAnsi="IRNazanin" w:eastAsia="IRNazanin" w:cs="IRNazanin"/>
          <w:lang w:bidi="fa-IR"/>
          <w:color w:val="111111"/>
          <w:sz w:val="28"/>
          <w:szCs w:val="28"/>
          <w:rtl/>
        </w:rPr>
        <w:t xml:space="preserve">هو أبو منصور ظافر بن القاسم بن منصور بن عبد الله بن خلف بن عبد الغنی الجذامی الإسکندری المولود بالإسکندریة (478) و المتوفی بمصر (529) صاحب الذالیة إحدی الأربعة التی لا تعارض. ترجمه فی نسمة السحر فیمن تشیع و شعر مفصلا و أورد جملة من بدیهیاته المؤرخ علی بن ظافر بن منصور فی کتابه بدائع البداءة کما فی ابن خلکان (ج 1- ص 242) و ذکر أنه غیر الفقیه الشافعی المعروف بابن الحداد، فإن اسمه محمد بن الحداد المصری الشافعی و أورد بعض الذالیة.</w:t>
      </w:r>
    </w:p>
    <w:p>
      <w:pPr>
        <w:pStyle w:val="BookText"/>
      </w:pPr>
      <w:r>
        <w:rPr>
          <w:rFonts w:ascii="IRNazanin" w:hAnsi="IRNazanin" w:eastAsia="IRNazanin" w:cs="IRNazanin"/>
          <w:lang w:bidi="fa-IR"/>
          <w:color w:val="111111"/>
          <w:sz w:val="28"/>
          <w:szCs w:val="28"/>
          <w:rtl/>
        </w:rPr>
        <w:t xml:space="preserve">و فی دیوانه فنون الشعر و قد رتبه علی حروف المعجم و استنسخ الشیخ محمد السماوی نسخه منه بخطه 1353 فی 115 ص. فی کل ص ستة و عشرون بیتا.</w:t>
      </w:r>
    </w:p>
    <w:p>
      <w:pPr>
        <w:pStyle w:val="Heading3"/>
      </w:pPr>
      <w:bookmarkStart w:id="6112" w:name="_Toc4808"/>
      <w:r>
        <w:t>دیوان ظالم‏</w:t>
      </w:r>
      <w:bookmarkEnd w:id="6112"/>
    </w:p>
    <w:p>
      <w:pPr>
        <w:pStyle w:val="BookText"/>
      </w:pPr>
      <w:r>
        <w:rPr>
          <w:rFonts w:ascii="IRNazanin" w:hAnsi="IRNazanin" w:eastAsia="IRNazanin" w:cs="IRNazanin"/>
          <w:lang w:bidi="fa-IR"/>
          <w:color w:val="111111"/>
          <w:sz w:val="28"/>
          <w:szCs w:val="28"/>
          <w:rtl/>
        </w:rPr>
        <w:t xml:space="preserve">ابن عمرو بن جندل بن سفیان بن کنانة. مر بعنوان أبو الأسود الدئلی.</w:t>
      </w:r>
    </w:p>
    <w:p>
      <w:pPr>
        <w:pStyle w:val="Heading3"/>
      </w:pPr>
      <w:bookmarkStart w:id="6113" w:name="_Toc4809"/>
      <w:r>
        <w:t>دیوان ظاهر أردبیلی‏</w:t>
      </w:r>
      <w:bookmarkEnd w:id="6113"/>
    </w:p>
    <w:p>
      <w:pPr>
        <w:pStyle w:val="BookText"/>
      </w:pPr>
      <w:r>
        <w:rPr>
          <w:rFonts w:ascii="IRNazanin" w:hAnsi="IRNazanin" w:eastAsia="IRNazanin" w:cs="IRNazanin"/>
          <w:lang w:bidi="fa-IR"/>
          <w:color w:val="111111"/>
          <w:sz w:val="28"/>
          <w:szCs w:val="28"/>
          <w:rtl/>
        </w:rPr>
        <w:t xml:space="preserve">اسمه محمد کاظم و شغله الصیاغة. ترجمه فی (دجا- ص 248) و أورد شعره نقلا عن تذکره (حسینی- ص 201) و أظنه متحدا مع طاهر بالمهملة.</w:t>
      </w:r>
    </w:p>
    <w:p>
      <w:pPr>
        <w:pStyle w:val="Heading3"/>
      </w:pPr>
      <w:bookmarkStart w:id="6114" w:name="_Toc4810"/>
      <w:r>
        <w:t>4628- دیوان ظاهر نائنی أو شعره‏</w:t>
      </w:r>
      <w:bookmarkEnd w:id="6114"/>
    </w:p>
    <w:p>
      <w:pPr>
        <w:pStyle w:val="BookText"/>
      </w:pPr>
      <w:r>
        <w:rPr>
          <w:rFonts w:ascii="IRNazanin" w:hAnsi="IRNazanin" w:eastAsia="IRNazanin" w:cs="IRNazanin"/>
          <w:lang w:bidi="fa-IR"/>
          <w:color w:val="111111"/>
          <w:sz w:val="28"/>
          <w:szCs w:val="28"/>
          <w:rtl/>
        </w:rPr>
        <w:t xml:space="preserve">ترجمه الآیتی فی (تش یز- ص 308) و أورد له بیتا واحدا.</w:t>
      </w:r>
    </w:p>
    <w:p>
      <w:pPr>
        <w:pStyle w:val="Heading3"/>
      </w:pPr>
      <w:bookmarkStart w:id="6115" w:name="_Toc4811"/>
      <w:r>
        <w:t>4629- دیوان ظاهر هروی أو شعره‏</w:t>
      </w:r>
      <w:bookmarkEnd w:id="6115"/>
    </w:p>
    <w:p>
      <w:pPr>
        <w:pStyle w:val="BookText"/>
      </w:pPr>
      <w:r>
        <w:rPr>
          <w:rFonts w:ascii="IRNazanin" w:hAnsi="IRNazanin" w:eastAsia="IRNazanin" w:cs="IRNazanin"/>
          <w:lang w:bidi="fa-IR"/>
          <w:color w:val="111111"/>
          <w:sz w:val="28"/>
          <w:szCs w:val="28"/>
          <w:rtl/>
        </w:rPr>
        <w:t xml:space="preserve">کان کفاشا فی صغره. ترجمه و أورد شعره فی (قز مج 3- ص 253) و لکن فی (لط 3- ص 79) سمی طاهری هروی. کما مر فی (ص 643).</w:t>
      </w:r>
    </w:p>
    <w:p>
      <w:pPr>
        <w:pStyle w:val="Heading3"/>
      </w:pPr>
      <w:bookmarkStart w:id="6116" w:name="_Toc4812"/>
      <w:r>
        <w:t>دیوان ظاهری هروی أو شعره‏</w:t>
      </w:r>
      <w:bookmarkEnd w:id="6116"/>
    </w:p>
    <w:p>
      <w:pPr>
        <w:pStyle w:val="BookText"/>
      </w:pPr>
      <w:r>
        <w:rPr>
          <w:rFonts w:ascii="IRNazanin" w:hAnsi="IRNazanin" w:eastAsia="IRNazanin" w:cs="IRNazanin"/>
          <w:lang w:bidi="fa-IR"/>
          <w:color w:val="111111"/>
          <w:sz w:val="28"/>
          <w:szCs w:val="28"/>
          <w:rtl/>
        </w:rPr>
        <w:t xml:space="preserve">کما فی (لط 3- ص 82) و لکن فی (قز مج 3- ص 257) سمی طاهری کما مر فی (ص 643).</w:t>
      </w:r>
    </w:p>
    <w:p>
      <w:pPr>
        <w:pStyle w:val="Heading3"/>
      </w:pPr>
      <w:bookmarkStart w:id="6117" w:name="_Toc4813"/>
      <w:r>
        <w:t>4630- دیوان ظریف أصفهانی أو شعره‏</w:t>
      </w:r>
      <w:bookmarkEnd w:id="6117"/>
    </w:p>
    <w:p>
      <w:pPr>
        <w:pStyle w:val="BookText"/>
      </w:pPr>
      <w:r>
        <w:rPr>
          <w:rFonts w:ascii="IRNazanin" w:hAnsi="IRNazanin" w:eastAsia="IRNazanin" w:cs="IRNazanin"/>
          <w:lang w:bidi="fa-IR"/>
          <w:color w:val="111111"/>
          <w:sz w:val="28"/>
          <w:szCs w:val="28"/>
          <w:rtl/>
        </w:rPr>
        <w:t xml:space="preserve">اسمه المیرزا محمد حسن من خواص‏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648" w:name="pg11704_122131"/>
    <w:bookmarkEnd w:id="648"/>
    <w:p>
      <w:pPr>
        <w:pStyle w:val="BookText"/>
      </w:pPr>
      <w:r>
        <w:rPr>
          <w:rFonts w:ascii="IRNazanin" w:hAnsi="IRNazanin" w:eastAsia="IRNazanin" w:cs="IRNazanin"/>
          <w:lang w:bidi="fa-IR"/>
          <w:color w:val="111111"/>
          <w:sz w:val="28"/>
          <w:szCs w:val="28"/>
          <w:rtl/>
        </w:rPr>
        <w:t xml:space="preserve">الحاج محمد حسین خان نظام الدولة الصدر الأعظم الأصفهانی الذی توفی (1239) ترجمه فی (مع- ج 2 ص 349) و (انجمن 4).</w:t>
      </w:r>
    </w:p>
    <w:p>
      <w:pPr>
        <w:pStyle w:val="Heading3"/>
      </w:pPr>
      <w:bookmarkStart w:id="6118" w:name="_Toc4814"/>
      <w:r>
        <w:t>4631- دیوان ظریف بغدادی أو شعره‏</w:t>
      </w:r>
      <w:bookmarkEnd w:id="6118"/>
    </w:p>
    <w:p>
      <w:pPr>
        <w:pStyle w:val="BookText"/>
      </w:pPr>
      <w:r>
        <w:rPr>
          <w:rFonts w:ascii="IRNazanin" w:hAnsi="IRNazanin" w:eastAsia="IRNazanin" w:cs="IRNazanin"/>
          <w:lang w:bidi="fa-IR"/>
          <w:color w:val="111111"/>
          <w:sz w:val="28"/>
          <w:szCs w:val="28"/>
          <w:rtl/>
        </w:rPr>
        <w:t xml:space="preserve">ینتسب إلی العالم المشهور المولی محمد الشیرازی. ترجمه عهدی بغدادی فی گلشن شعرا و عنه فی العراق بین الاحتلالین- 4: 136.</w:t>
      </w:r>
    </w:p>
    <w:p>
      <w:pPr>
        <w:pStyle w:val="Heading3"/>
      </w:pPr>
      <w:bookmarkStart w:id="6119" w:name="_Toc4815"/>
      <w:r>
        <w:t>4632- دیوان ظریفی تبریزی أو شعره‏</w:t>
      </w:r>
      <w:bookmarkEnd w:id="6119"/>
    </w:p>
    <w:p>
      <w:pPr>
        <w:pStyle w:val="BookText"/>
      </w:pPr>
      <w:r>
        <w:rPr>
          <w:rFonts w:ascii="IRNazanin" w:hAnsi="IRNazanin" w:eastAsia="IRNazanin" w:cs="IRNazanin"/>
          <w:lang w:bidi="fa-IR"/>
          <w:color w:val="111111"/>
          <w:sz w:val="28"/>
          <w:szCs w:val="28"/>
          <w:rtl/>
        </w:rPr>
        <w:t xml:space="preserve">بیاع المحقرات. ترجمه سام میرزا المعاصر له فی (تس 5- ص 170) و أورد شعره، و عنه فی (دجا- ص 249) و فی (روشن- ص 418) سماه ظرفی.</w:t>
      </w:r>
    </w:p>
    <w:p>
      <w:pPr>
        <w:pStyle w:val="Heading3"/>
      </w:pPr>
      <w:bookmarkStart w:id="6120" w:name="_Toc4816"/>
      <w:r>
        <w:t>4633- دیوان ظریفی تونی أو شعره‏</w:t>
      </w:r>
      <w:bookmarkEnd w:id="6120"/>
    </w:p>
    <w:p>
      <w:pPr>
        <w:pStyle w:val="BookText"/>
      </w:pPr>
      <w:r>
        <w:rPr>
          <w:rFonts w:ascii="IRNazanin" w:hAnsi="IRNazanin" w:eastAsia="IRNazanin" w:cs="IRNazanin"/>
          <w:lang w:bidi="fa-IR"/>
          <w:color w:val="111111"/>
          <w:sz w:val="28"/>
          <w:szCs w:val="28"/>
          <w:rtl/>
        </w:rPr>
        <w:t xml:space="preserve">من شعراء تون و طبس. أورد شعره فی (مجتس 6- ص 163).</w:t>
      </w:r>
    </w:p>
    <w:p>
      <w:pPr>
        <w:pStyle w:val="Heading3"/>
      </w:pPr>
      <w:bookmarkStart w:id="6121" w:name="_Toc4817"/>
      <w:r>
        <w:t>4634- دیوان ظریفی ساوجی أو شعره‏</w:t>
      </w:r>
      <w:bookmarkEnd w:id="6121"/>
    </w:p>
    <w:p>
      <w:pPr>
        <w:pStyle w:val="BookText"/>
      </w:pPr>
      <w:r>
        <w:rPr>
          <w:rFonts w:ascii="IRNazanin" w:hAnsi="IRNazanin" w:eastAsia="IRNazanin" w:cs="IRNazanin"/>
          <w:lang w:bidi="fa-IR"/>
          <w:color w:val="111111"/>
          <w:sz w:val="28"/>
          <w:szCs w:val="28"/>
          <w:rtl/>
        </w:rPr>
        <w:t xml:space="preserve">ترجمه الصادقی فی (خص 8- ص 309) و أورد شعره، و کذا فی (گلشن 263).</w:t>
      </w:r>
    </w:p>
    <w:p>
      <w:pPr>
        <w:pStyle w:val="Heading3"/>
      </w:pPr>
      <w:bookmarkStart w:id="6122" w:name="_Toc4818"/>
      <w:r>
        <w:t>4635- دیوان ظفر کرمانی أو شعره‏</w:t>
      </w:r>
      <w:bookmarkEnd w:id="6122"/>
    </w:p>
    <w:p>
      <w:pPr>
        <w:pStyle w:val="BookText"/>
      </w:pPr>
      <w:r>
        <w:rPr>
          <w:rFonts w:ascii="IRNazanin" w:hAnsi="IRNazanin" w:eastAsia="IRNazanin" w:cs="IRNazanin"/>
          <w:lang w:bidi="fa-IR"/>
          <w:color w:val="111111"/>
          <w:sz w:val="28"/>
          <w:szCs w:val="28"/>
          <w:rtl/>
        </w:rPr>
        <w:t xml:space="preserve">اسمه المیرزا کاظم بن العارف الشهیر المیرزا محمد تقی مظفر علی شاه الکرمانی. ترجمه صدیقه الهدایة فی (ض- ص 467) و فی (مع- ج 2 ص 345) و ذکر أنه طبیب معالج و من مشاهیر الشعراء و أورد قرب عشرین بیتا من شعره.</w:t>
      </w:r>
    </w:p>
    <w:p>
      <w:pPr>
        <w:pStyle w:val="Heading3"/>
      </w:pPr>
      <w:bookmarkStart w:id="6123" w:name="_Toc4819"/>
      <w:r>
        <w:t>4636- دیوان ظفر همدانی أو شعره‏</w:t>
      </w:r>
      <w:bookmarkEnd w:id="6123"/>
    </w:p>
    <w:p>
      <w:pPr>
        <w:pStyle w:val="BookText"/>
      </w:pPr>
      <w:r>
        <w:rPr>
          <w:rFonts w:ascii="IRNazanin" w:hAnsi="IRNazanin" w:eastAsia="IRNazanin" w:cs="IRNazanin"/>
          <w:lang w:bidi="fa-IR"/>
          <w:color w:val="111111"/>
          <w:sz w:val="28"/>
          <w:szCs w:val="28"/>
          <w:rtl/>
        </w:rPr>
        <w:t xml:space="preserve">و هو الکافی الآجل ظفر الهمدانی کما وصفه فی (لب- 10) فی شعراء همدان و العراق و أورد شعره الفارسی.</w:t>
      </w:r>
    </w:p>
    <w:p>
      <w:pPr>
        <w:pStyle w:val="Heading3"/>
      </w:pPr>
      <w:bookmarkStart w:id="6124" w:name="_Toc4820"/>
      <w:r>
        <w:t>دیوان ظفر هندی‏</w:t>
      </w:r>
      <w:bookmarkEnd w:id="6124"/>
    </w:p>
    <w:p>
      <w:pPr>
        <w:pStyle w:val="BookText"/>
      </w:pPr>
      <w:r>
        <w:rPr>
          <w:rFonts w:ascii="IRNazanin" w:hAnsi="IRNazanin" w:eastAsia="IRNazanin" w:cs="IRNazanin"/>
          <w:lang w:bidi="fa-IR"/>
          <w:color w:val="111111"/>
          <w:sz w:val="28"/>
          <w:szCs w:val="28"/>
          <w:rtl/>
        </w:rPr>
        <w:t xml:space="preserve">اسمه حسن الله بن الخواجة أبی الحسن نزیل الهند و مصاحب المیرزا صائب بها و تخلصه أحسن کما مر فی (ص 55) و قد طبع دیوان ظفر بنولکشور.</w:t>
      </w:r>
    </w:p>
    <w:p>
      <w:pPr>
        <w:pStyle w:val="Heading3"/>
      </w:pPr>
      <w:bookmarkStart w:id="6125" w:name="_Toc4821"/>
      <w:r>
        <w:t>4637- دیوان ظلی أو شعره‏</w:t>
      </w:r>
      <w:bookmarkEnd w:id="6125"/>
    </w:p>
    <w:p>
      <w:pPr>
        <w:pStyle w:val="BookText"/>
      </w:pPr>
      <w:r>
        <w:rPr>
          <w:rFonts w:ascii="Amiri" w:hAnsi="Amiri" w:eastAsia="Amiri" w:cs="Amiri"/>
          <w:lang w:bidi="ar-SA"/>
          <w:color w:val="111111"/>
          <w:sz w:val="28"/>
          <w:szCs w:val="28"/>
          <w:rtl/>
        </w:rPr>
        <w:t xml:space="preserve">هو من سادات مشهد خراسان نزل برهة بأصفهان.</w:t>
      </w:r>
    </w:p>
    <w:p>
      <w:pPr>
        <w:pStyle w:val="BookText"/>
      </w:pPr>
      <w:r>
        <w:rPr>
          <w:rFonts w:ascii="IRNazanin" w:hAnsi="IRNazanin" w:eastAsia="IRNazanin" w:cs="IRNazanin"/>
          <w:lang w:bidi="fa-IR"/>
          <w:color w:val="111111"/>
          <w:sz w:val="28"/>
          <w:szCs w:val="28"/>
          <w:rtl/>
        </w:rPr>
        <w:t xml:space="preserve">ترجمه معاصره النصرآبادی فی (نر 9- ص 427) و أورد بعض شعره.</w:t>
      </w:r>
    </w:p>
    <w:p>
      <w:pPr>
        <w:pStyle w:val="Heading3"/>
      </w:pPr>
      <w:bookmarkStart w:id="6126" w:name="_Toc4822"/>
      <w:r>
        <w:t>4638- دیوان ظهور الحسین‏</w:t>
      </w:r>
      <w:bookmarkEnd w:id="6126"/>
    </w:p>
    <w:p>
      <w:pPr>
        <w:pStyle w:val="BookText"/>
      </w:pPr>
      <w:r>
        <w:rPr>
          <w:rFonts w:ascii="IRNazanin" w:hAnsi="IRNazanin" w:eastAsia="IRNazanin" w:cs="IRNazanin"/>
          <w:lang w:bidi="fa-IR"/>
          <w:color w:val="111111"/>
          <w:sz w:val="28"/>
          <w:szCs w:val="28"/>
          <w:rtl/>
        </w:rPr>
        <w:t xml:space="preserve">للسید ظهور الحسین البارهوی نزیل لکهنو، ترجمه فی مجلة الرضوان فی أول السنة الخامسة (المحرم 1358) ذکر فیها أنه ولد فی میران‏پور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649" w:name="pg11704_122132"/>
    <w:bookmarkEnd w:id="649"/>
    <w:p>
      <w:pPr>
        <w:pStyle w:val="BookText"/>
      </w:pPr>
      <w:r>
        <w:rPr>
          <w:rFonts w:ascii="IRNazanin" w:hAnsi="IRNazanin" w:eastAsia="IRNazanin" w:cs="IRNazanin"/>
          <w:lang w:bidi="fa-IR"/>
          <w:color w:val="111111"/>
          <w:sz w:val="28"/>
          <w:szCs w:val="28"/>
          <w:rtl/>
        </w:rPr>
        <w:t xml:space="preserve">(1282) و سکن لکهنو (1302) و بها توفی أول ذی القعدة (1357) و من تصانیفه التقریر الحاسم المذکور فی (ج 4 ص 366) و الجامع الحامدی المذکور فی (ج 5 ص 48) و دیوانه مجموعة من قصائده العربیة التی نشر بعضها فی مجلة الرضوان و البقیة مخطوطة.</w:t>
      </w:r>
    </w:p>
    <w:p>
      <w:pPr>
        <w:pStyle w:val="Heading3"/>
      </w:pPr>
      <w:bookmarkStart w:id="6127" w:name="_Toc4823"/>
      <w:r>
        <w:t>دیوان ظهوری تبریزی‏</w:t>
      </w:r>
      <w:bookmarkEnd w:id="6127"/>
    </w:p>
    <w:p>
      <w:pPr>
        <w:pStyle w:val="BookText"/>
      </w:pPr>
      <w:r>
        <w:rPr>
          <w:rFonts w:ascii="IRNazanin" w:hAnsi="IRNazanin" w:eastAsia="IRNazanin" w:cs="IRNazanin"/>
          <w:lang w:bidi="fa-IR"/>
          <w:color w:val="111111"/>
          <w:sz w:val="28"/>
          <w:szCs w:val="28"/>
          <w:rtl/>
        </w:rPr>
        <w:t xml:space="preserve">ترجمه فی (دجا- ص 249) نقلا عن شمع انجمن و أورد شعره و لم یعین عصره. و ترجمه فی (خص 8- ص 259) معبرا عنه بحکیم ظهوری التبریزی، و عنه فی (تش- ص 31) و (سرخوش- ص 72) و (حسینی- ص 201) و أورد رباعیة ذکر بیته الثانی فی دانشمندان و أظنه تصحیف الترشیزی. و راجع ظهوری شیرازی.</w:t>
      </w:r>
    </w:p>
    <w:p>
      <w:pPr>
        <w:pStyle w:val="Heading3"/>
      </w:pPr>
      <w:bookmarkStart w:id="6128" w:name="_Toc4824"/>
      <w:r>
        <w:t>4639- دیوان ظهوری تبریزی‏</w:t>
      </w:r>
      <w:bookmarkEnd w:id="6128"/>
    </w:p>
    <w:p>
      <w:pPr>
        <w:pStyle w:val="BookText"/>
      </w:pPr>
      <w:r>
        <w:rPr>
          <w:rFonts w:ascii="IRNazanin" w:hAnsi="IRNazanin" w:eastAsia="IRNazanin" w:cs="IRNazanin"/>
          <w:lang w:bidi="fa-IR"/>
          <w:color w:val="111111"/>
          <w:sz w:val="28"/>
          <w:szCs w:val="28"/>
          <w:rtl/>
        </w:rPr>
        <w:t xml:space="preserve">ترجمه أیضا فی (دجا- ص 249) نقلا عن حدیقة الشعراء و ذکر أن اسمه الحاج علی العطار المتخلص بظهوری و هو من شعراء القرن الثالث عشر.</w:t>
      </w:r>
    </w:p>
    <w:p>
      <w:pPr>
        <w:pStyle w:val="Heading3"/>
      </w:pPr>
      <w:bookmarkStart w:id="6129" w:name="_Toc4825"/>
      <w:r>
        <w:t>4640- دیوان ظهوری ترشیزی‏</w:t>
      </w:r>
      <w:bookmarkEnd w:id="6129"/>
    </w:p>
    <w:p>
      <w:pPr>
        <w:pStyle w:val="BookText"/>
      </w:pPr>
      <w:r>
        <w:rPr>
          <w:rFonts w:ascii="IRNazanin" w:hAnsi="IRNazanin" w:eastAsia="IRNazanin" w:cs="IRNazanin"/>
          <w:lang w:bidi="fa-IR"/>
          <w:color w:val="111111"/>
          <w:sz w:val="28"/>
          <w:szCs w:val="28"/>
          <w:rtl/>
        </w:rPr>
        <w:t xml:space="preserve">و اسمه نور الدین محمد. و قال فی (خوش‏گو) ولد بخجند من نواحی ترشیز، و عده أصحاب التراجم ترشیز یا عدی (میخانه- ص 267) و مرآة العالم فإنهما عداه طهرانیا و قالا ولد بطهران، و لیس بصحیح. و عده فی هفت إقلیم تربتیا. سافر فی شبابه من وطنه إلی شیراز. و قال فی سرو آزاد- ص 34 إنه بقی مدة بیزد و شیراز، ثم سافر إلی دکن حیدرآباد، ثم سافر منها إلی الحج و رجع و دیوانه الموجود نسخه فی بانکی‏پور یقرب من خمسة عشر ألف بیت و کذا الموجود فی سپهسالار کما فی فهرسها (ج 2- ص 630) و شهرته فی الهند أکثر من وطنه فقد عده ناصر علی السرهندی أقوی من النظامی الگنجوی کما فی مرآة الخیال (ص 77) و نثره الفارسی الفنی أیضا مرغوب فیه عند الهنود و لیس بمعتبر عند الفرس.</w:t>
      </w:r>
    </w:p>
    <w:p>
      <w:pPr>
        <w:pStyle w:val="BookText"/>
      </w:pPr>
      <w:r>
        <w:rPr>
          <w:rFonts w:ascii="IRNazanin" w:hAnsi="IRNazanin" w:eastAsia="IRNazanin" w:cs="IRNazanin"/>
          <w:lang w:bidi="fa-IR"/>
          <w:color w:val="111111"/>
          <w:sz w:val="28"/>
          <w:szCs w:val="28"/>
          <w:rtl/>
        </w:rPr>
        <w:t xml:space="preserve">قال فی میخانه إنه لما نظم ملک قمی نورس‏نامه بأمر إبراهیم عادل شاه فی قبال مخزن الأسرار للنظامی، نظم ظهوری أیضا بأمر إبراهیم عادل شاه المذکور ألفی بیت فی قبال مخزن الأسرار المذکور و لکنهما لم یمکنهما الإتیان بمثله، ثم قال محشی میخانه فی الحاشیة إن نورس‏نامه موجود الیوم فی مکتبة دیوان الهند باسم منبع‏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650" w:name="pg11704_122133"/>
    <w:bookmarkEnd w:id="650"/>
    <w:p>
      <w:pPr>
        <w:pStyle w:val="BookText"/>
      </w:pPr>
      <w:r>
        <w:rPr>
          <w:rFonts w:ascii="IRNazanin" w:hAnsi="IRNazanin" w:eastAsia="IRNazanin" w:cs="IRNazanin"/>
          <w:lang w:bidi="fa-IR"/>
          <w:color w:val="111111"/>
          <w:sz w:val="28"/>
          <w:szCs w:val="28"/>
          <w:rtl/>
        </w:rPr>
        <w:t xml:space="preserve">الأنهار فی أقل من أربعة آلاف و خمسمائة بیت. و قال فی عالم‏آرای عباسی (ص [183] 132- 752) إن ملک قمی و ظهوری نظما معا کتاب نورس فی تسعة آلاف بیت.</w:t>
      </w:r>
    </w:p>
    <w:p>
      <w:pPr>
        <w:pStyle w:val="BookText"/>
      </w:pPr>
      <w:r>
        <w:rPr>
          <w:rFonts w:ascii="IRNazanin" w:hAnsi="IRNazanin" w:eastAsia="IRNazanin" w:cs="IRNazanin"/>
          <w:lang w:bidi="fa-IR"/>
          <w:color w:val="111111"/>
          <w:sz w:val="28"/>
          <w:szCs w:val="28"/>
          <w:rtl/>
        </w:rPr>
        <w:t xml:space="preserve">و قال ظهوری ترشیزی فی دیباجة نورس الموجود فی مکتبة (دانشگاه تهران رقم 890): إن من ألطاف الملک إبراهیم عادل شاه أنه ألف کتاب نورس خیال.</w:t>
      </w:r>
    </w:p>
    <w:p>
      <w:pPr>
        <w:pStyle w:val="BookText"/>
      </w:pPr>
      <w:r>
        <w:rPr>
          <w:rFonts w:ascii="IRNazanin" w:hAnsi="IRNazanin" w:eastAsia="IRNazanin" w:cs="IRNazanin"/>
          <w:lang w:bidi="fa-IR"/>
          <w:color w:val="111111"/>
          <w:sz w:val="28"/>
          <w:szCs w:val="28"/>
          <w:rtl/>
        </w:rPr>
        <w:t xml:space="preserve">راجع ما ذکر فی فهرس تلک المکتبة (ج 2 ص 283). و یوجد هناک أیضا ثلاث رسائل منثورة لظهوری، هی خوان خلیل و گلزار إبراهیم و أضاف فی (تغ- ص 85) پنج رقعة و مینا بإزار و سه نثر قال البدیوانی: قتل ظهوری مع أبی زوجته، ملک قمی فی ثورة وقع فی دکن فی (1024) و قال ناظم تبریزی مات ظهوری بسنة بعد وفاة ملک قمی. و قال فی میخانه مات (1024) عن أحد و ثمانین سنة من عمره. و ترجمه فی (خز- ص 313) و قال مات (1025) و قال فی (تش- ص 68) إن نثره عرف بالفصاحة فی الهند، و لکنی لا أحبه. و ترجم أیضا فی الروضة الصفویة و الصادقی کتاب دار نسبه تارة فی (خص 8- ص 207) إلی شیراز و تارة فی (ص 259 منه) نسبه إلی تبریز و لم یعرفه.</w:t>
      </w:r>
    </w:p>
    <w:p>
      <w:pPr>
        <w:pStyle w:val="BookText"/>
      </w:pPr>
      <w:r>
        <w:rPr>
          <w:rFonts w:ascii="IRNazanin" w:hAnsi="IRNazanin" w:eastAsia="IRNazanin" w:cs="IRNazanin"/>
          <w:lang w:bidi="fa-IR"/>
          <w:color w:val="111111"/>
          <w:sz w:val="28"/>
          <w:szCs w:val="28"/>
          <w:rtl/>
        </w:rPr>
        <w:t xml:space="preserve">و قد طبع له ساقی‏نامه فی الهند 1263 فی 224 ص. و طبع دیوانه بنولکشور.</w:t>
      </w:r>
    </w:p>
    <w:p>
      <w:pPr>
        <w:pStyle w:val="Heading3"/>
      </w:pPr>
      <w:bookmarkStart w:id="6130" w:name="_Toc4826"/>
      <w:r>
        <w:t>دیوان ظهوری شیرازی‏</w:t>
      </w:r>
      <w:bookmarkEnd w:id="6130"/>
    </w:p>
    <w:p>
      <w:pPr>
        <w:pStyle w:val="BookText"/>
      </w:pPr>
      <w:r>
        <w:rPr>
          <w:rFonts w:ascii="IRNazanin" w:hAnsi="IRNazanin" w:eastAsia="IRNazanin" w:cs="IRNazanin"/>
          <w:lang w:bidi="fa-IR"/>
          <w:color w:val="111111"/>
          <w:sz w:val="28"/>
          <w:szCs w:val="28"/>
          <w:rtl/>
        </w:rPr>
        <w:t xml:space="preserve">ترجمه الصادقی فی (خص 8- ص 207) و ذکر أنه کان من تلامیذ مولانا وحشی و لم یحصل لقائه للصادقی لکنه رأی أشعاره الکثیرة، و أورد نیفا و عشرة منها فی الصفحة المذکورة. و أظنه أراد الترشیزی فإنه سکن شیراز کما ذکرناه.</w:t>
      </w:r>
    </w:p>
    <w:p>
      <w:pPr>
        <w:pStyle w:val="BookText"/>
      </w:pPr>
      <w:r>
        <w:rPr>
          <w:rFonts w:ascii="IRNazanin" w:hAnsi="IRNazanin" w:eastAsia="IRNazanin" w:cs="IRNazanin"/>
          <w:lang w:bidi="fa-IR"/>
          <w:color w:val="111111"/>
          <w:sz w:val="28"/>
          <w:szCs w:val="28"/>
          <w:rtl/>
        </w:rPr>
        <w:t xml:space="preserve">و قد ذکره بعنوان التبریزی أیضا فی (ص 259 منه) کما مر. و عنه أخذ فی (تش- ص 286).</w:t>
      </w:r>
    </w:p>
    <w:p>
      <w:pPr>
        <w:pStyle w:val="Heading3"/>
      </w:pPr>
      <w:bookmarkStart w:id="6131" w:name="_Toc4827"/>
      <w:r>
        <w:t>4641- دیوان ظهیر أسترآبادی‏</w:t>
      </w:r>
      <w:bookmarkEnd w:id="6131"/>
    </w:p>
    <w:p>
      <w:pPr>
        <w:pStyle w:val="BookText"/>
      </w:pPr>
      <w:r>
        <w:rPr>
          <w:rFonts w:ascii="IRNazanin" w:hAnsi="IRNazanin" w:eastAsia="IRNazanin" w:cs="IRNazanin"/>
          <w:lang w:bidi="fa-IR"/>
          <w:color w:val="111111"/>
          <w:sz w:val="28"/>
          <w:szCs w:val="28"/>
          <w:rtl/>
        </w:rPr>
        <w:t xml:space="preserve">حکی النصرآبادی فی (نر 9- ص 414) عن تقریره أنه من سادات سماکة و أورد بعض شعره‏</w:t>
      </w:r>
    </w:p>
    <w:p>
      <w:pPr>
        <w:pStyle w:val="Heading3"/>
      </w:pPr>
      <w:bookmarkStart w:id="6132" w:name="_Toc4828"/>
      <w:r>
        <w:t>4642- دیوان ظهیر أصفهانی‏</w:t>
      </w:r>
      <w:bookmarkEnd w:id="6132"/>
    </w:p>
    <w:p>
      <w:pPr>
        <w:pStyle w:val="BookText"/>
      </w:pPr>
      <w:r>
        <w:rPr>
          <w:rFonts w:ascii="IRNazanin" w:hAnsi="IRNazanin" w:eastAsia="IRNazanin" w:cs="IRNazanin"/>
          <w:lang w:bidi="fa-IR"/>
          <w:color w:val="111111"/>
          <w:sz w:val="28"/>
          <w:szCs w:val="28"/>
          <w:rtl/>
        </w:rPr>
        <w:t xml:space="preserve">دخل شعره فی دیوان ظهیر الفاریابی فی طبعه أصفهان قال الوحید الدستگردی فی مقدمه دیوان خمسه نظامی (ص 173) إنه من شعراء العهد الصفوی و قال النفیسی فی تعلیقاته علی اللباب (ص 733) إن غزلیات الظهیر الشیرازی من شعراء القرن الحادی عشر طبع باسم الفاریابی فی کانپور بالهند 1295 و الظاهر أنه أراد الأصفهانی هذا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651" w:name="pg11704_122134"/>
    <w:bookmarkEnd w:id="651"/>
    <w:p>
      <w:pPr>
        <w:pStyle w:val="Heading3"/>
      </w:pPr>
      <w:bookmarkStart w:id="6133" w:name="_Toc4829"/>
      <w:r>
        <w:t>دیوان ظهیر أصفهانی‏</w:t>
      </w:r>
      <w:bookmarkEnd w:id="6133"/>
    </w:p>
    <w:p>
      <w:pPr>
        <w:pStyle w:val="BookText"/>
      </w:pPr>
      <w:r>
        <w:rPr>
          <w:rFonts w:ascii="IRNazanin" w:hAnsi="IRNazanin" w:eastAsia="IRNazanin" w:cs="IRNazanin"/>
          <w:lang w:bidi="fa-IR"/>
          <w:color w:val="111111"/>
          <w:sz w:val="28"/>
          <w:szCs w:val="28"/>
          <w:rtl/>
        </w:rPr>
        <w:t xml:space="preserve">راجع دیوان ظهیر شفروه‏</w:t>
      </w:r>
    </w:p>
    <w:p>
      <w:pPr>
        <w:pStyle w:val="Heading3"/>
      </w:pPr>
      <w:bookmarkStart w:id="6134" w:name="_Toc4830"/>
      <w:r>
        <w:t>4643- دیوان ظهیر تفرشی‏</w:t>
      </w:r>
      <w:bookmarkEnd w:id="6134"/>
    </w:p>
    <w:p>
      <w:pPr>
        <w:pStyle w:val="BookText"/>
      </w:pPr>
      <w:r>
        <w:rPr>
          <w:rFonts w:ascii="IRNazanin" w:hAnsi="IRNazanin" w:eastAsia="IRNazanin" w:cs="IRNazanin"/>
          <w:lang w:bidi="fa-IR"/>
          <w:color w:val="111111"/>
          <w:sz w:val="28"/>
          <w:szCs w:val="28"/>
          <w:rtl/>
        </w:rPr>
        <w:t xml:space="preserve">هو ابن المولی مراد بن علی خان التفریشی الذی توفی (1051) کما أرخه فی جامع الرواة و بقی هو إلی ما بعد (1111) تقریبا لأنه ترجمه الشیخ علی الحزین المولود (1103) و ذکر أنه کان یستفید من مجلس المولی ظهیرا عند اجتماعه مع والده الشیخ أبی طالب و استیناسه به، قال و له أشعار عالیة و ترجمه النصرآبادی فی (نر 6- ص 170) و أطری نظمه و نثره و خلقه و فضله، و أورد قرب عشرین بیتا من شعره و عنه فی (گلشن- ص 265) و (تغ- ص 85)</w:t>
      </w:r>
    </w:p>
    <w:p>
      <w:pPr>
        <w:pStyle w:val="Heading3"/>
      </w:pPr>
      <w:bookmarkStart w:id="6135" w:name="_Toc4831"/>
      <w:r>
        <w:t>دیوان ظهیر الدولة</w:t>
      </w:r>
      <w:bookmarkEnd w:id="6135"/>
    </w:p>
    <w:p>
      <w:pPr>
        <w:pStyle w:val="BookText"/>
      </w:pPr>
      <w:r>
        <w:rPr>
          <w:rFonts w:ascii="IRNazanin" w:hAnsi="IRNazanin" w:eastAsia="IRNazanin" w:cs="IRNazanin"/>
          <w:lang w:bidi="fa-IR"/>
          <w:color w:val="111111"/>
          <w:sz w:val="28"/>
          <w:szCs w:val="28"/>
          <w:rtl/>
        </w:rPr>
        <w:t xml:space="preserve">صفا علی شاه علی بن ظهیر الدولة محمد ناصر الکرمانشاهی طبع له مجمع الأطوار و واردات بکرمانشاهان فی 1307 ش فی 56 ص و مر بعنوان صفا علی شاه‏</w:t>
      </w:r>
    </w:p>
    <w:p>
      <w:pPr>
        <w:pStyle w:val="Heading3"/>
      </w:pPr>
      <w:bookmarkStart w:id="6136" w:name="_Toc4832"/>
      <w:r>
        <w:t>دیوان ظهیر الدین‏</w:t>
      </w:r>
      <w:bookmarkEnd w:id="6136"/>
    </w:p>
    <w:p>
      <w:pPr>
        <w:pStyle w:val="BookText"/>
      </w:pPr>
      <w:r>
        <w:rPr>
          <w:rFonts w:ascii="IRNazanin" w:hAnsi="IRNazanin" w:eastAsia="IRNazanin" w:cs="IRNazanin"/>
          <w:lang w:bidi="fa-IR"/>
          <w:color w:val="111111"/>
          <w:sz w:val="28"/>
          <w:szCs w:val="28"/>
          <w:rtl/>
        </w:rPr>
        <w:t xml:space="preserve">محمد بابر پادشاه ابن عمر شیخ ترجمه فی (مجتس 9- ص 174) و أورد شعره و هو فاتح دهلی و أول ملوک المغول هناک و توفی (937) مر فی (ص 118)</w:t>
      </w:r>
    </w:p>
    <w:p>
      <w:pPr>
        <w:pStyle w:val="Heading3"/>
      </w:pPr>
      <w:bookmarkStart w:id="6137" w:name="_Toc4833"/>
      <w:r>
        <w:t>4644- دیوان ظهیر الدین سرخسی‏</w:t>
      </w:r>
      <w:bookmarkEnd w:id="6137"/>
    </w:p>
    <w:p>
      <w:pPr>
        <w:pStyle w:val="BookText"/>
      </w:pPr>
      <w:r>
        <w:rPr>
          <w:rFonts w:ascii="IRNazanin" w:hAnsi="IRNazanin" w:eastAsia="IRNazanin" w:cs="IRNazanin"/>
          <w:lang w:bidi="fa-IR"/>
          <w:color w:val="111111"/>
          <w:sz w:val="28"/>
          <w:szCs w:val="28"/>
          <w:rtl/>
        </w:rPr>
        <w:t xml:space="preserve">اسمه السید ظهیر الدین یحیی سافر إلی هند و مدح السلطان تاج الدین تمران شاه ترجمه فی (لب 6) و عنه فی (مع- ج 1 ص 330) و ذکر ما دار بینه و بین السلطان من الشعر</w:t>
      </w:r>
    </w:p>
    <w:p>
      <w:pPr>
        <w:pStyle w:val="Heading3"/>
      </w:pPr>
      <w:bookmarkStart w:id="6138" w:name="_Toc4834"/>
      <w:r>
        <w:t>4645- دیوان ظهیر الدین سکزی‏</w:t>
      </w:r>
      <w:bookmarkEnd w:id="6138"/>
    </w:p>
    <w:p>
      <w:pPr>
        <w:pStyle w:val="BookText"/>
      </w:pPr>
      <w:r>
        <w:rPr>
          <w:rFonts w:ascii="IRNazanin" w:hAnsi="IRNazanin" w:eastAsia="IRNazanin" w:cs="IRNazanin"/>
          <w:lang w:bidi="fa-IR"/>
          <w:color w:val="111111"/>
          <w:sz w:val="28"/>
          <w:szCs w:val="28"/>
          <w:rtl/>
        </w:rPr>
        <w:t xml:space="preserve">الأمیر ظهیر الدین نصیر السیستانی من الأمراء الفضلاء بها ترجمه فی (مع- ج 1- ص 329) و أورد نیفا و عشرین بیتا من منتخبات شعره‏</w:t>
      </w:r>
    </w:p>
    <w:p>
      <w:pPr>
        <w:pStyle w:val="Heading3"/>
      </w:pPr>
      <w:bookmarkStart w:id="6139" w:name="_Toc4835"/>
      <w:r>
        <w:t>دیوان ظهیر سمرقندی‏</w:t>
      </w:r>
      <w:bookmarkEnd w:id="6139"/>
    </w:p>
    <w:p>
      <w:pPr>
        <w:pStyle w:val="BookText"/>
      </w:pPr>
      <w:r>
        <w:rPr>
          <w:rFonts w:ascii="IRNazanin" w:hAnsi="IRNazanin" w:eastAsia="IRNazanin" w:cs="IRNazanin"/>
          <w:lang w:bidi="fa-IR"/>
          <w:color w:val="111111"/>
          <w:sz w:val="28"/>
          <w:szCs w:val="28"/>
          <w:rtl/>
        </w:rPr>
        <w:t xml:space="preserve">راجع ظهیری سمرقندی‏</w:t>
      </w:r>
    </w:p>
    <w:p>
      <w:pPr>
        <w:pStyle w:val="Heading3"/>
      </w:pPr>
      <w:bookmarkStart w:id="6140" w:name="_Toc4836"/>
      <w:r>
        <w:t>4646- دیوان ظهیر شفروه‏</w:t>
      </w:r>
      <w:bookmarkEnd w:id="6140"/>
    </w:p>
    <w:p>
      <w:pPr>
        <w:pStyle w:val="BookText"/>
      </w:pPr>
      <w:r>
        <w:rPr>
          <w:rFonts w:ascii="IRNazanin" w:hAnsi="IRNazanin" w:eastAsia="IRNazanin" w:cs="IRNazanin"/>
          <w:lang w:bidi="fa-IR"/>
          <w:color w:val="111111"/>
          <w:sz w:val="28"/>
          <w:szCs w:val="28"/>
          <w:rtl/>
        </w:rPr>
        <w:t xml:space="preserve">و هو الأمیر ظهیر الدین عبد الله بن شفروه (شوروه) ابن عم شرف الدین شفروه ذکره فی (لب- ج 1- ص 273)</w:t>
      </w:r>
      <w:r>
        <w:rPr>
          <w:rStyle w:val="FootnoteReference"/>
        </w:rPr>
        <w:footnoteReference w:id="54"/>
      </w:r>
      <w:r>
        <w:rPr>
          <w:rFonts w:ascii="IRNazanin" w:hAnsi="IRNazanin" w:eastAsia="IRNazanin" w:cs="IRNazanin"/>
          <w:lang w:bidi="fa-IR"/>
          <w:color w:val="111111"/>
          <w:sz w:val="28"/>
          <w:szCs w:val="28"/>
          <w:rtl/>
        </w:rPr>
        <w:t xml:space="preserve">و قد ذکر فی فهرس دیوان الهند بلندن (العدد 934) وجود نسخه من هذا الدیوان هناک، لکن القزوینی فی تعلیقات لباب الألباب (ص 360) قال إن تلک النسخة هی دیوان رکن الدین بن رفیع الدین الکرمانی (المذکور فی ص 383) معاصر صاحب تاریخ گزیده ظاهرا و مر ‏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652" w:name="pg11704_122135"/>
    <w:bookmarkEnd w:id="652"/>
    <w:p>
      <w:pPr>
        <w:pStyle w:val="BookText"/>
      </w:pPr>
      <w:r>
        <w:rPr>
          <w:rFonts w:ascii="IRNazanin" w:hAnsi="IRNazanin" w:eastAsia="IRNazanin" w:cs="IRNazanin"/>
          <w:lang w:bidi="fa-IR"/>
          <w:color w:val="111111"/>
          <w:sz w:val="28"/>
          <w:szCs w:val="28"/>
          <w:rtl/>
        </w:rPr>
        <w:t xml:space="preserve">شرف الدین شفروه فی (ص 513) و فی ریحانة الأدب عن شمس الدین سامی فی القاموس الترکی أنه من شعراء الهند و قد أخذه السامی عن (گلشن- ص 264) و قال فی (تش- ص 183) إنه أخ شرف الدین شفروه و علی أی فهو أصفهانی و لیس هو الذی دخل شعره فی دیوان ظهیر الفاریابی عند الطبع ظاهرا و قد بحث سعید النفیسی عن کلمة شفروه فی تعلیقاته علی لباب الألباب فی الطبعة الثانیة (ص 643) و أورد مائتی بیت من شعره فی (ص 772- 783)</w:t>
      </w:r>
    </w:p>
    <w:p>
      <w:pPr>
        <w:pStyle w:val="Heading3"/>
      </w:pPr>
      <w:bookmarkStart w:id="6141" w:name="_Toc4837"/>
      <w:r>
        <w:t>دیوان ظهیر شیرازی‏</w:t>
      </w:r>
      <w:bookmarkEnd w:id="6141"/>
    </w:p>
    <w:p>
      <w:pPr>
        <w:pStyle w:val="BookText"/>
      </w:pPr>
      <w:r>
        <w:rPr>
          <w:rFonts w:ascii="IRNazanin" w:hAnsi="IRNazanin" w:eastAsia="IRNazanin" w:cs="IRNazanin"/>
          <w:lang w:bidi="fa-IR"/>
          <w:color w:val="111111"/>
          <w:sz w:val="28"/>
          <w:szCs w:val="28"/>
          <w:rtl/>
        </w:rPr>
        <w:t xml:space="preserve">من شعراء القرن الحادی عشر کما فی تعلیقات النفیسی علی اللباب (ص 733) قال و طبع غزلیاته باسم ظهیر الفاریابی بکانپور الهند فی 1295 و الظاهر أنه متحد مع ظهیر الأصفهانی‏</w:t>
      </w:r>
    </w:p>
    <w:p>
      <w:pPr>
        <w:pStyle w:val="Heading3"/>
      </w:pPr>
      <w:bookmarkStart w:id="6142" w:name="_Toc4838"/>
      <w:r>
        <w:t>4647- دیوان ظهیر فاریابی‏</w:t>
      </w:r>
      <w:bookmarkEnd w:id="6142"/>
    </w:p>
    <w:p>
      <w:pPr>
        <w:pStyle w:val="BookText"/>
      </w:pPr>
      <w:r>
        <w:rPr>
          <w:rFonts w:ascii="IRNazanin" w:hAnsi="IRNazanin" w:eastAsia="IRNazanin" w:cs="IRNazanin"/>
          <w:lang w:bidi="fa-IR"/>
          <w:color w:val="111111"/>
          <w:sz w:val="28"/>
          <w:szCs w:val="28"/>
          <w:rtl/>
        </w:rPr>
        <w:t xml:space="preserve">و هو ظهیر الدین أبو الفضل طاهر بن محمد الفاریابی من بلاد خراسان المتخلص ظهیر المتوفی (ع 1- 598) و المدفون بمقبرة الشعراء سرخاب بتبریز ترجمه المستوفی فی تاریخ گزیده و العوفی فی (لب- 11) و دولت شاه فی تذکرته و أمین أحمد الرازی فی هفت إقلیم و آذر فی آتشکده و (حسینی- ص 200) و هدایت فی (مع- ج 1 ص 330) و ذکر أن دیوانه تقریبا فی أربعة آلاف بیت و أورد قرب أربعمائة بیت منها و ترجمه مفصلا فی خزانة عامرة- ص 303- ص 313 و ترجمه ابن یوسف فی فهرس مکتبة سپهسالار (ج 1- ص 631) و ذکر خصوصیات أربع نسخ من الدیوان موجودات فی تلک المکتبة أقدمها ما کتب فی (895) و أتم تلک النسخ یحتوی علی ثلاثة آلاف و خمسمائة بیت من الفارسی و العربی، القطعة و الغزل و غیرها و ترجمه شاه محمد القزوینی فی ترجمه مجالس النفائس فی البهشت الثامن المهیأ لذکر القدماء فی ص 340 و أورد رباعیته التی مدح بها الأتابک أبی بکر بن محمد جهان پهلوان بن شمس الدین إیلدکز من أتابکة آذربایجان المتوفی (607)</w:t>
      </w:r>
    </w:p>
    <w:p>
      <w:pPr>
        <w:pStyle w:val="BookText"/>
      </w:pPr>
      <w:r>
        <w:rPr>
          <w:rFonts w:ascii="IRNazanin" w:hAnsi="IRNazanin" w:eastAsia="IRNazanin" w:cs="IRNazanin"/>
          <w:lang w:bidi="fa-IR"/>
          <w:color w:val="111111"/>
          <w:sz w:val="28"/>
          <w:szCs w:val="28"/>
          <w:rtl/>
        </w:rPr>
        <w:t xml:space="preserve">و المذکور فی طبقات سلاطین إسلام- ص 154 و إعطاء أتابک ألف دینار جائزة لمدیحه، و توهم مؤلف تاریخ صبح صادق أن الممدوح لظهیر الفاریابی هو الأتابک أبو بکر بن سعد بن زنگی بن مودود المتوفی (658) و کان والده سعد ممدوح الشیخ سعدی الذی توفی (694) و تخلص باسمه و بالجملة الفاریابی‏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653" w:name="pg11704_122136"/>
    <w:bookmarkEnd w:id="653"/>
    <w:p>
      <w:pPr>
        <w:pStyle w:val="BookText"/>
      </w:pPr>
      <w:r>
        <w:rPr>
          <w:rFonts w:ascii="IRNazanin" w:hAnsi="IRNazanin" w:eastAsia="IRNazanin" w:cs="IRNazanin"/>
          <w:lang w:bidi="fa-IR"/>
          <w:color w:val="111111"/>
          <w:sz w:val="28"/>
          <w:szCs w:val="28"/>
          <w:rtl/>
        </w:rPr>
        <w:t xml:space="preserve">مقدم علی السعدی بما یقرب من مائة سنة و قد تنبه لهذا الوهم فی خزانة عامرة ص 304 قال المستوفی فی تاریخ گزیده ص 821 إن الجامع لدیوان ظهیر هو شمس الدین کاشی المذکور فی (ص 541) و جاء فی مقدمه نسخه سپهسالار رقم 387 أن جامع الدیوان کان من الشعراء المعاصرین للفاریابی جاء من وطنه إلی آذربایجان لیزوره، و لما وصله کان قد مات الفاریابی، فجمع دیوانه و قدمه إلی مجد الدولة و الدین عماد الإسلام ملک الصدور نظام الملوک قاسم الأیادی هذا و قد وقع اختلاف فی ترجیح شعر الظهیر هذا أو الأنوری الأبیوردی، فاستفتی الشعراء مجد همگر کما فی تذکره دولت شاه، و أفتی همگر بأفضلیة شعر الأنوری کما ذکرناه فی (ص 541 س 16) ثم وقع خلاف فی ترجیح شعر عمادی علی الظهیر کما فی خلاصة الأشعار و قد طبع دیوان ظهیر بکانپور 1295 و لکهنو 1307 و لکهنو 1331 و الله‏آباد، ثم بأصفهان مختلطة بأشعار شمس طبسی المذکور فی (ص 543) و ظهیر أصفهانی المذکور آنفا، و ادعی المقدم للطبع أن الظهیر کان قد یتخلص شمس ثم فی سنة (1378) طبع مرتین أحدهما بمشهد خراسان بتصحیح تقی بینش یشتمل علی (4848 بیتا) و الثانیة بطهران بتصحیح هاشم رضی یشتمل علی إضافات أخر کلها فی (5840 بیتا)</w:t>
      </w:r>
    </w:p>
    <w:p>
      <w:pPr>
        <w:pStyle w:val="Heading3"/>
      </w:pPr>
      <w:bookmarkStart w:id="6143" w:name="_Toc4839"/>
      <w:r>
        <w:t>4648- دیوان ظهیر کرمانی أو شعره‏</w:t>
      </w:r>
      <w:bookmarkEnd w:id="6143"/>
    </w:p>
    <w:p>
      <w:pPr>
        <w:pStyle w:val="BookText"/>
      </w:pPr>
      <w:r>
        <w:rPr>
          <w:rFonts w:ascii="IRNazanin" w:hAnsi="IRNazanin" w:eastAsia="IRNazanin" w:cs="IRNazanin"/>
          <w:lang w:bidi="fa-IR"/>
          <w:color w:val="111111"/>
          <w:sz w:val="28"/>
          <w:szCs w:val="28"/>
          <w:rtl/>
        </w:rPr>
        <w:t xml:space="preserve">و هو ظهیر الدین حسن بن ناصر الدین یحیی الخطیب الکرمانی کتب أشعاره بخطه فی 926 فی مشیخة کنز السالکین المذکور فی (8: 187) و الموجود الآن فی مکتبة جامعة طهران و بیت الخطیب کانوا من مشاهیر کرمان ذکروا فی مزارات کرمان و منهم حسن خطیب القاری الکرمانی مؤلف مطالع الأسرار فی شرح مشارق الأنوار للبرسی فی 1090 و لعله مؤلف ملخص اللغات‏</w:t>
      </w:r>
    </w:p>
    <w:p>
      <w:pPr>
        <w:pStyle w:val="Heading3"/>
      </w:pPr>
      <w:bookmarkStart w:id="6144" w:name="_Toc4840"/>
      <w:r>
        <w:t>4649- دیوان ظهیر کرمانی‏</w:t>
      </w:r>
      <w:bookmarkEnd w:id="6144"/>
    </w:p>
    <w:p>
      <w:pPr>
        <w:pStyle w:val="BookText"/>
      </w:pPr>
      <w:r>
        <w:rPr>
          <w:rFonts w:ascii="IRNazanin" w:hAnsi="IRNazanin" w:eastAsia="IRNazanin" w:cs="IRNazanin"/>
          <w:lang w:bidi="fa-IR"/>
          <w:color w:val="111111"/>
          <w:sz w:val="28"/>
          <w:szCs w:val="28"/>
          <w:rtl/>
        </w:rPr>
        <w:t xml:space="preserve">نظم مجموعة البحرین فی 1162 کذا فی الریحانة نقلا عن القاموس الترکی‏</w:t>
      </w:r>
    </w:p>
    <w:p>
      <w:pPr>
        <w:pStyle w:val="Heading3"/>
      </w:pPr>
      <w:bookmarkStart w:id="6145" w:name="_Toc4841"/>
      <w:r>
        <w:t>4650- دیوان ظهیر لاهیجی‏</w:t>
      </w:r>
      <w:bookmarkEnd w:id="6145"/>
    </w:p>
    <w:p>
      <w:pPr>
        <w:pStyle w:val="BookText"/>
      </w:pPr>
      <w:r>
        <w:rPr>
          <w:rFonts w:ascii="IRNazanin" w:hAnsi="IRNazanin" w:eastAsia="IRNazanin" w:cs="IRNazanin"/>
          <w:lang w:bidi="fa-IR"/>
          <w:color w:val="111111"/>
          <w:sz w:val="28"/>
          <w:szCs w:val="28"/>
          <w:rtl/>
        </w:rPr>
        <w:t xml:space="preserve">ترجمه النصرآبادی فی (نر 9- ص 377) و ذکر أنه کان خبازا فترک شغله و اشتغل بالعلم فی لاهیجان و کان برهة فی شیروان و أورد بعض شعره و عنه أخذ فی (تاریخ علماء گیلان ص 102) و (روشن- ص 418)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654" w:name="pg11704_122137"/>
    <w:bookmarkEnd w:id="654"/>
    <w:p>
      <w:pPr>
        <w:pStyle w:val="Heading3"/>
      </w:pPr>
      <w:bookmarkStart w:id="6146" w:name="_Toc4842"/>
      <w:r>
        <w:t>4651- دیوان ظهیر مرعشی‏</w:t>
      </w:r>
      <w:bookmarkEnd w:id="6146"/>
    </w:p>
    <w:p>
      <w:pPr>
        <w:pStyle w:val="BookText"/>
      </w:pPr>
      <w:r>
        <w:rPr>
          <w:rFonts w:ascii="IRNazanin" w:hAnsi="IRNazanin" w:eastAsia="IRNazanin" w:cs="IRNazanin"/>
          <w:lang w:bidi="fa-IR"/>
          <w:color w:val="111111"/>
          <w:sz w:val="28"/>
          <w:szCs w:val="28"/>
          <w:rtl/>
        </w:rPr>
        <w:t xml:space="preserve">و هو السید میر ظهیر الدین ابن نصیر الدین ابن السلطان کمال الدین پادشاه طبرستان ولد 815 بآمل و توفی 892، و شرع بتألیف تاریخ طبرستان فی 881 ترجمه السید شهاب الدین التبریزی فی مقدمه الطبعة الثانیة 1373 لکتابه المذکور فی (ج 3 ص 263) و ذکر أنه یتخلص فی دیوانه ظهیر قال السید شهاب الدین إن له غیر الدیوان هذا و تاریخ طبرستان و تاریخ گیلان المطبوعات تاریخ جرجان و قد رأیت النقل عنه فی المشجرات‏</w:t>
      </w:r>
    </w:p>
    <w:p>
      <w:pPr>
        <w:pStyle w:val="Heading3"/>
      </w:pPr>
      <w:bookmarkStart w:id="6147" w:name="_Toc4843"/>
      <w:r>
        <w:t>4652- دیوان ظهیر نسوی أو شعره‏</w:t>
      </w:r>
      <w:bookmarkEnd w:id="6147"/>
    </w:p>
    <w:p>
      <w:pPr>
        <w:pStyle w:val="BookText"/>
      </w:pPr>
      <w:r>
        <w:rPr>
          <w:rFonts w:ascii="IRNazanin" w:hAnsi="IRNazanin" w:eastAsia="IRNazanin" w:cs="IRNazanin"/>
          <w:lang w:bidi="fa-IR"/>
          <w:color w:val="111111"/>
          <w:sz w:val="28"/>
          <w:szCs w:val="28"/>
          <w:rtl/>
        </w:rPr>
        <w:t xml:space="preserve">و هو ظهیر الدین ولی النسوی قال العوفی رأیته فی نسا بخراسان و أورد شعره فی (لب 7)</w:t>
      </w:r>
    </w:p>
    <w:p>
      <w:pPr>
        <w:pStyle w:val="Heading3"/>
      </w:pPr>
      <w:bookmarkStart w:id="6148" w:name="_Toc4844"/>
      <w:r>
        <w:t>4653- دیوان ظهیری سمرقندی أو شعره‏</w:t>
      </w:r>
      <w:bookmarkEnd w:id="6148"/>
    </w:p>
    <w:p>
      <w:pPr>
        <w:pStyle w:val="BookText"/>
      </w:pPr>
      <w:r>
        <w:rPr>
          <w:rFonts w:ascii="IRNazanin" w:hAnsi="IRNazanin" w:eastAsia="IRNazanin" w:cs="IRNazanin"/>
          <w:lang w:bidi="fa-IR"/>
          <w:color w:val="111111"/>
          <w:sz w:val="28"/>
          <w:szCs w:val="28"/>
          <w:rtl/>
        </w:rPr>
        <w:t xml:space="preserve">هو صدر الکتاب ظهیر الدین محمد بن علی بن محمد بن حسن السمرقندی الکاتب مؤلف أغراض السیاسة أو أعراض الرئاسة الموجود بمکتبة جامعة طهران و المتحف البریطانی کما فی فهرسیهما و له شرحه أیضا، و سندبادنامه و تحریره بالفارسیة الفنیة ترجمه فی (لب 6) و أورد شعره و کذا فی مقدمه سندبادنامه لأحمد آتش بطبعة إستانبول 1948 م و فهرس مکتبة جامعة طهران (3: 650) و قد أجاب عن رباعیة خیام برباعیة ذکر فی فرهنگ شعوری و فی تعلیقات چهار مقالة عروضی (ص 617) و سماه فی (تغ- 86) ظهیر سمرقندی‏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655" w:name="pg11704_122138"/>
    <w:bookmarkEnd w:id="655"/>
    <w:p>
      <w:pPr>
        <w:pStyle w:val="Heading3"/>
      </w:pPr>
      <w:bookmarkStart w:id="6149" w:name="_Toc4845"/>
      <w:r>
        <w:t>ع</w:t>
      </w:r>
      <w:bookmarkEnd w:id="6149"/>
    </w:p>
    <w:p>
      <w:pPr>
        <w:pStyle w:val="Heading3"/>
      </w:pPr>
      <w:bookmarkStart w:id="6150" w:name="_Toc4846"/>
      <w:r>
        <w:t>4654- دیوان عابد أصفهانی‏</w:t>
      </w:r>
      <w:bookmarkEnd w:id="6150"/>
    </w:p>
    <w:p>
      <w:pPr>
        <w:pStyle w:val="BookText"/>
      </w:pPr>
      <w:r>
        <w:rPr>
          <w:rFonts w:ascii="IRNazanin" w:hAnsi="IRNazanin" w:eastAsia="IRNazanin" w:cs="IRNazanin"/>
          <w:lang w:bidi="fa-IR"/>
          <w:color w:val="111111"/>
          <w:sz w:val="28"/>
          <w:szCs w:val="28"/>
          <w:rtl/>
        </w:rPr>
        <w:t xml:space="preserve">للمیرزا زین العابدین الأصفهانی مر له چهارده گنج المسمی روضة المؤمنین أیضا و ترجم فی (انجمن 4) و (گلشن- 265)</w:t>
      </w:r>
    </w:p>
    <w:p>
      <w:pPr>
        <w:pStyle w:val="Heading3"/>
      </w:pPr>
      <w:bookmarkStart w:id="6151" w:name="_Toc4847"/>
      <w:r>
        <w:t>4655- دیوان عابد بیرمی أو شعره‏</w:t>
      </w:r>
      <w:bookmarkEnd w:id="6151"/>
    </w:p>
    <w:p>
      <w:pPr>
        <w:pStyle w:val="BookText"/>
      </w:pPr>
      <w:r>
        <w:rPr>
          <w:rFonts w:ascii="IRNazanin" w:hAnsi="IRNazanin" w:eastAsia="IRNazanin" w:cs="IRNazanin"/>
          <w:lang w:bidi="fa-IR"/>
          <w:color w:val="111111"/>
          <w:sz w:val="28"/>
          <w:szCs w:val="28"/>
          <w:rtl/>
        </w:rPr>
        <w:t xml:space="preserve">هو لاری اسمه زین العابدین المعروف بشاه زنده له أشعار کثیرة عرفانیة کذا وصفه فی (مع- ج 1 ص 339) و أورد مطلع غزله بقافیة یللی‏</w:t>
      </w:r>
    </w:p>
    <w:p>
      <w:pPr>
        <w:pStyle w:val="Heading3"/>
      </w:pPr>
      <w:bookmarkStart w:id="6152" w:name="_Toc4848"/>
      <w:r>
        <w:t>دیوان عابد حسین‏</w:t>
      </w:r>
      <w:bookmarkEnd w:id="6152"/>
    </w:p>
    <w:p>
      <w:pPr>
        <w:pStyle w:val="BookText"/>
      </w:pPr>
      <w:r>
        <w:rPr>
          <w:rFonts w:ascii="IRNazanin" w:hAnsi="IRNazanin" w:eastAsia="IRNazanin" w:cs="IRNazanin"/>
          <w:lang w:bidi="fa-IR"/>
          <w:color w:val="111111"/>
          <w:sz w:val="28"/>
          <w:szCs w:val="28"/>
          <w:rtl/>
        </w:rPr>
        <w:t xml:space="preserve">یأتی بعنوان تخلصه قیس فی حرف القاف‏</w:t>
      </w:r>
    </w:p>
    <w:p>
      <w:pPr>
        <w:pStyle w:val="Heading3"/>
      </w:pPr>
      <w:bookmarkStart w:id="6153" w:name="_Toc4849"/>
      <w:r>
        <w:t>4656- دیوان عابد راقم أو شعره‏</w:t>
      </w:r>
      <w:bookmarkEnd w:id="6153"/>
    </w:p>
    <w:p>
      <w:pPr>
        <w:pStyle w:val="BookText"/>
      </w:pPr>
      <w:r>
        <w:rPr>
          <w:rFonts w:ascii="IRNazanin" w:hAnsi="IRNazanin" w:eastAsia="IRNazanin" w:cs="IRNazanin"/>
          <w:lang w:bidi="fa-IR"/>
          <w:color w:val="111111"/>
          <w:sz w:val="28"/>
          <w:szCs w:val="28"/>
          <w:rtl/>
        </w:rPr>
        <w:t xml:space="preserve">هو بخاری ترجمه معاصره النصرآبادی فی (نر 10- ص 439) و أورد شعره، و قال سافر إلی الهند</w:t>
      </w:r>
    </w:p>
    <w:p>
      <w:pPr>
        <w:pStyle w:val="Heading3"/>
      </w:pPr>
      <w:bookmarkStart w:id="6154" w:name="_Toc4850"/>
      <w:r>
        <w:t>دیوان عابد سمرقندی أو شعره‏</w:t>
      </w:r>
      <w:bookmarkEnd w:id="6154"/>
    </w:p>
    <w:p>
      <w:pPr>
        <w:pStyle w:val="BookText"/>
      </w:pPr>
      <w:r>
        <w:rPr>
          <w:rFonts w:ascii="IRNazanin" w:hAnsi="IRNazanin" w:eastAsia="IRNazanin" w:cs="IRNazanin"/>
          <w:lang w:bidi="fa-IR"/>
          <w:color w:val="111111"/>
          <w:sz w:val="28"/>
          <w:szCs w:val="28"/>
          <w:rtl/>
        </w:rPr>
        <w:t xml:space="preserve">و هو محمد بن المولی محمد الزاهد السمرقندی یأتی بتخلصه ممتاز الخطاط لسبعة أقلام ترجمه النصرآبادی فی (نر 10- ص 439) و أورد رباعیه‏</w:t>
      </w:r>
    </w:p>
    <w:p>
      <w:pPr>
        <w:pStyle w:val="Heading3"/>
      </w:pPr>
      <w:bookmarkStart w:id="6155" w:name="_Toc4851"/>
      <w:r>
        <w:t>4657- دیوان عاجز سرابی‏</w:t>
      </w:r>
      <w:bookmarkEnd w:id="6155"/>
    </w:p>
    <w:p>
      <w:pPr>
        <w:pStyle w:val="BookText"/>
      </w:pPr>
      <w:r>
        <w:rPr>
          <w:rFonts w:ascii="IRNazanin" w:hAnsi="IRNazanin" w:eastAsia="IRNazanin" w:cs="IRNazanin"/>
          <w:lang w:bidi="fa-IR"/>
          <w:color w:val="111111"/>
          <w:sz w:val="28"/>
          <w:szCs w:val="28"/>
          <w:rtl/>
        </w:rPr>
        <w:t xml:space="preserve">اسمه خلیفة محمد السرابی الگرمرودی عمر اثنتین و سبعین سنة و دفن بمقبرة الشعراء سرخاب، و شعره بالترکیة و دیوانه مطبوع کما ذکره فی (دجا- ص 141) نقلا عن نگارستان دارا</w:t>
      </w:r>
    </w:p>
    <w:p>
      <w:pPr>
        <w:pStyle w:val="Heading3"/>
      </w:pPr>
      <w:bookmarkStart w:id="6156" w:name="_Toc4852"/>
      <w:r>
        <w:t>4658- دیوان عاجز قاجار</w:t>
      </w:r>
      <w:bookmarkEnd w:id="6156"/>
    </w:p>
    <w:p>
      <w:pPr>
        <w:pStyle w:val="BookText"/>
      </w:pPr>
      <w:r>
        <w:rPr>
          <w:rFonts w:ascii="IRNazanin" w:hAnsi="IRNazanin" w:eastAsia="IRNazanin" w:cs="IRNazanin"/>
          <w:lang w:bidi="fa-IR"/>
          <w:color w:val="111111"/>
          <w:sz w:val="28"/>
          <w:szCs w:val="28"/>
          <w:rtl/>
        </w:rPr>
        <w:t xml:space="preserve">اسمه تیمور بن نجف قلی القاجاری الذی کتب نسخه قیامت‏نامه الموجودة فی (الرضویة) و فرغ من کتابتها (1312) و عبر عن نفسه بتیمور پاشای قاجار، و ألحق بآخر النسخة جملة من أشعار نفسه التی أنشأها فی مدح أمیر المؤمنین علیه السلام</w:t>
      </w:r>
    </w:p>
    <w:p>
      <w:pPr>
        <w:pStyle w:val="Heading3"/>
      </w:pPr>
      <w:bookmarkStart w:id="6157" w:name="_Toc4853"/>
      <w:r>
        <w:t>4659- دیوان عاجز مرندی أو شعره‏</w:t>
      </w:r>
      <w:bookmarkEnd w:id="6157"/>
    </w:p>
    <w:p>
      <w:pPr>
        <w:pStyle w:val="BookText"/>
      </w:pPr>
      <w:r>
        <w:rPr>
          <w:rFonts w:ascii="IRNazanin" w:hAnsi="IRNazanin" w:eastAsia="IRNazanin" w:cs="IRNazanin"/>
          <w:lang w:bidi="fa-IR"/>
          <w:color w:val="111111"/>
          <w:sz w:val="28"/>
          <w:szCs w:val="28"/>
          <w:rtl/>
        </w:rPr>
        <w:t xml:space="preserve">هو الشاعر المرندی الحاج میرزا یوسف‏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656" w:name="pg11704_122139"/>
    <w:bookmarkEnd w:id="656"/>
    <w:p>
      <w:pPr>
        <w:pStyle w:val="BookText"/>
      </w:pPr>
      <w:r>
        <w:rPr>
          <w:rFonts w:ascii="IRNazanin" w:hAnsi="IRNazanin" w:eastAsia="IRNazanin" w:cs="IRNazanin"/>
          <w:lang w:bidi="fa-IR"/>
          <w:color w:val="111111"/>
          <w:sz w:val="28"/>
          <w:szCs w:val="28"/>
          <w:rtl/>
        </w:rPr>
        <w:t xml:space="preserve">ذکره فی (دجا- ص 250) و قال إنه من الشعراء المذکورین و المترجمین فی حدیقة الشعراء</w:t>
      </w:r>
    </w:p>
    <w:p>
      <w:pPr>
        <w:pStyle w:val="Heading3"/>
      </w:pPr>
      <w:bookmarkStart w:id="6158" w:name="_Toc4854"/>
      <w:r>
        <w:t>4660- دیوان عاجز هندی‏</w:t>
      </w:r>
      <w:bookmarkEnd w:id="6158"/>
    </w:p>
    <w:p>
      <w:pPr>
        <w:pStyle w:val="BookText"/>
      </w:pPr>
      <w:r>
        <w:rPr>
          <w:rFonts w:ascii="IRNazanin" w:hAnsi="IRNazanin" w:eastAsia="IRNazanin" w:cs="IRNazanin"/>
          <w:lang w:bidi="fa-IR"/>
          <w:color w:val="111111"/>
          <w:sz w:val="28"/>
          <w:szCs w:val="28"/>
          <w:rtl/>
        </w:rPr>
        <w:t xml:space="preserve">للسید غلام دستگیر صاحب النقش‏بندی طبع ثانیا بعنوان لخلخه گلاب فی 1318 بحیدرآباد فی 344 ص، و هی غزلیات و قصائد و مقطعات‏</w:t>
      </w:r>
    </w:p>
    <w:p>
      <w:pPr>
        <w:pStyle w:val="Heading3"/>
      </w:pPr>
      <w:bookmarkStart w:id="6159" w:name="_Toc4855"/>
      <w:r>
        <w:t>4661- دیوان عادل خراسانی‏</w:t>
      </w:r>
      <w:bookmarkEnd w:id="6159"/>
    </w:p>
    <w:p>
      <w:pPr>
        <w:pStyle w:val="BookText"/>
      </w:pPr>
      <w:r>
        <w:rPr>
          <w:rFonts w:ascii="IRNazanin" w:hAnsi="IRNazanin" w:eastAsia="IRNazanin" w:cs="IRNazanin"/>
          <w:lang w:bidi="fa-IR"/>
          <w:color w:val="111111"/>
          <w:sz w:val="28"/>
          <w:szCs w:val="28"/>
          <w:rtl/>
        </w:rPr>
        <w:t xml:space="preserve">المذکور فی (4: 112، 141) و هو عادل بن علی بن عادل الحافظ المعلم کما وصف نفسه فی آخر نسخه من ترتیب ترجمان قرآن جرجانی موجودة فی مکتبة کلیة الطب بطهران، کما ذکر فی فرهنگ نامه‏های عربی بفارسی- ص 174 و ذکر هناک من آثار الشاعر هذا ترجمه صد کلمة أمیر ع بنظم المطبوع بطهران و تبریز و نظم اللآلی و شرح قصیدة البستی فرغ منه 903 و تفسیر للقرآن، و ترتیب ترجمان قرآن للشریف الجرجانی، رتبه علی الحروف ترجم الشاعر فی (گلشن- ص 256) و القاموس الترکی و فهرس سپهسالار (2: 69) و فی (حسینی- ص 210) سماه عادلی‏</w:t>
      </w:r>
    </w:p>
    <w:p>
      <w:pPr>
        <w:pStyle w:val="Heading3"/>
      </w:pPr>
      <w:bookmarkStart w:id="6160" w:name="_Toc4856"/>
      <w:r>
        <w:t>4662- دیوان عادل لاری أو شعره‏</w:t>
      </w:r>
      <w:bookmarkEnd w:id="6160"/>
    </w:p>
    <w:p>
      <w:pPr>
        <w:pStyle w:val="BookText"/>
      </w:pPr>
      <w:r>
        <w:rPr>
          <w:rFonts w:ascii="IRNazanin" w:hAnsi="IRNazanin" w:eastAsia="IRNazanin" w:cs="IRNazanin"/>
          <w:lang w:bidi="fa-IR"/>
          <w:color w:val="111111"/>
          <w:sz w:val="28"/>
          <w:szCs w:val="28"/>
          <w:rtl/>
        </w:rPr>
        <w:t xml:space="preserve">و اسمه شاه عادل من ملوک لار أبا عن جد إلی ألف سنة! کما فی (تس 1- ص 20) و قتل غیلة فی 950 أو 983 و جاء شعره فی هفت إقلیم أیضا</w:t>
      </w:r>
    </w:p>
    <w:p>
      <w:pPr>
        <w:pStyle w:val="Heading3"/>
      </w:pPr>
      <w:bookmarkStart w:id="6161" w:name="_Toc4857"/>
      <w:r>
        <w:t>دیوان عادل شاه دکنی‏</w:t>
      </w:r>
      <w:bookmarkEnd w:id="6161"/>
    </w:p>
    <w:p>
      <w:pPr>
        <w:pStyle w:val="BookText"/>
      </w:pPr>
      <w:r>
        <w:rPr>
          <w:rFonts w:ascii="IRNazanin" w:hAnsi="IRNazanin" w:eastAsia="IRNazanin" w:cs="IRNazanin"/>
          <w:lang w:bidi="fa-IR"/>
          <w:color w:val="111111"/>
          <w:sz w:val="28"/>
          <w:szCs w:val="28"/>
          <w:rtl/>
        </w:rPr>
        <w:t xml:space="preserve">یأتی باسمه یوسف عادل شاه فی حرف الیاء</w:t>
      </w:r>
    </w:p>
    <w:p>
      <w:pPr>
        <w:pStyle w:val="Heading3"/>
      </w:pPr>
      <w:bookmarkStart w:id="6162" w:name="_Toc4858"/>
      <w:r>
        <w:t>4663- دیوان عادل صفوی‏</w:t>
      </w:r>
      <w:bookmarkEnd w:id="6162"/>
    </w:p>
    <w:p>
      <w:pPr>
        <w:pStyle w:val="BookText"/>
      </w:pPr>
      <w:r>
        <w:rPr>
          <w:rFonts w:ascii="IRNazanin" w:hAnsi="IRNazanin" w:eastAsia="IRNazanin" w:cs="IRNazanin"/>
          <w:lang w:bidi="fa-IR"/>
          <w:color w:val="111111"/>
          <w:sz w:val="28"/>
          <w:szCs w:val="28"/>
          <w:rtl/>
        </w:rPr>
        <w:t xml:space="preserve">هو الشاه طهماسب بن الشاه إسماعیل الفاتح ملک قرب خمس و خمسین سنة و توفی (984) عن أربع و ستین سنة کما أرخه فی (مع- ج 1 ص 39) و أورد بعض شعره فی (تش- ص 17) و (تس- ص 5)</w:t>
      </w:r>
    </w:p>
    <w:p>
      <w:pPr>
        <w:pStyle w:val="Heading3"/>
      </w:pPr>
      <w:bookmarkStart w:id="6163" w:name="_Toc4859"/>
      <w:r>
        <w:t>4664- دیوان عادلی أو شعره‏</w:t>
      </w:r>
      <w:bookmarkEnd w:id="6163"/>
    </w:p>
    <w:p>
      <w:pPr>
        <w:pStyle w:val="BookText"/>
      </w:pPr>
      <w:r>
        <w:rPr>
          <w:rFonts w:ascii="IRNazanin" w:hAnsi="IRNazanin" w:eastAsia="IRNazanin" w:cs="IRNazanin"/>
          <w:lang w:bidi="fa-IR"/>
          <w:color w:val="111111"/>
          <w:sz w:val="28"/>
          <w:szCs w:val="28"/>
          <w:rtl/>
        </w:rPr>
        <w:t xml:space="preserve">هو الشاه إسماعیل الثانی بن الشاه طهماسب کما ذکره فی مجمع الفصحاء بعد ذکر أبیه العادل المذکور، و أورد شعره و فی (دجا- ص 250) عبر عنه بعادل و ذکر والده باسمه من دون تخلص، و کذا الصادقی فی (خص 1- ص 11) عبر عن والده باسمه الشاه طهماسب الحسینی من غیر تخلص، و لکن ذکر الشاه إسماعیل بتخلص عادلی کما فی مجمع الفصحاء و أوردا شعره‏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657" w:name="pg11704_122140"/>
    <w:bookmarkEnd w:id="657"/>
    <w:p>
      <w:pPr>
        <w:pStyle w:val="Heading3"/>
      </w:pPr>
      <w:bookmarkStart w:id="6164" w:name="_Toc4860"/>
      <w:r>
        <w:t>4665- دیوان العادلی النجفی‏</w:t>
      </w:r>
      <w:bookmarkEnd w:id="6164"/>
    </w:p>
    <w:p>
      <w:pPr>
        <w:pStyle w:val="BookText"/>
      </w:pPr>
      <w:r>
        <w:rPr>
          <w:rFonts w:ascii="IRNazanin" w:hAnsi="IRNazanin" w:eastAsia="IRNazanin" w:cs="IRNazanin"/>
          <w:lang w:bidi="fa-IR"/>
          <w:color w:val="111111"/>
          <w:sz w:val="28"/>
          <w:szCs w:val="28"/>
          <w:rtl/>
        </w:rPr>
        <w:t xml:space="preserve">للشیخ علی بن أحمد الفقیه العادلی العاملی النجفی المسکن المعاصر للسید نصر الله المدرس الحائری الذی توفی قبل (1168) أوله [الحمد لله علی ما ألهمنا معرفة نظم فرائد الألفاظ فی سلوک المعانی‏] ذکر فی أوائله أنه نظمه أوائل شبابه و أوان اغترابه إلی أصفهان و منها ما أنشأه فی أوان خروجه منها فی (1120) فی مدح النبی ص و هی قصیدة طویلة فی البسیط أنشأها بأمر السید حیدر بن نور الدین المکی العاملی بعد ما سمع السید حیدر المذکور ما أنشأه الشاعر الشامی فی البسیط، و مطلع قصیدة الشامی قوله: [</w:t>
      </w:r>
    </w:p>
    <w:p>
      <w:pPr>
        <w:pStyle w:val="BookText"/>
      </w:pPr>
      <w:r>
        <w:rPr>
          <w:rFonts w:ascii="IRNazanin" w:hAnsi="IRNazanin" w:eastAsia="IRNazanin" w:cs="IRNazanin"/>
          <w:lang w:bidi="fa-IR"/>
          <w:color w:val="111111"/>
          <w:sz w:val="28"/>
          <w:szCs w:val="28"/>
          <w:rtl/>
        </w:rPr>
        <w:t xml:space="preserve">من رکب البدر فی الرمح الردبینی‏</w:t>
      </w:r>
    </w:p>
    <w:p>
      <w:pPr>
        <w:pStyle w:val="BookText"/>
      </w:pPr>
      <w:r>
        <w:rPr>
          <w:rFonts w:ascii="IRNazanin" w:hAnsi="IRNazanin" w:eastAsia="IRNazanin" w:cs="IRNazanin"/>
          <w:lang w:bidi="fa-IR"/>
          <w:color w:val="111111"/>
          <w:sz w:val="28"/>
          <w:szCs w:val="28"/>
          <w:rtl/>
        </w:rPr>
        <w:t xml:space="preserve">] و مطلع قصیدة العادلی:</w:t>
      </w:r>
    </w:p>
    <w:p>
      <w:pPr>
        <w:pStyle w:val="BookText"/>
      </w:pPr>
      <w:r>
        <w:rPr>
          <w:rFonts w:ascii="IRNazanin" w:hAnsi="IRNazanin" w:eastAsia="IRNazanin" w:cs="IRNazanin"/>
          <w:lang w:bidi="fa-IR"/>
          <w:color w:val="111111"/>
          <w:sz w:val="28"/>
          <w:szCs w:val="28"/>
          <w:rtl/>
        </w:rPr>
        <w:t xml:space="preserve">بدت تهادی بثوب أرجوانی‏</w:t>
      </w:r>
    </w:p>
    <w:p>
      <w:pPr>
        <w:pStyle w:val="BookText"/>
      </w:pPr>
      <w:r>
        <w:rPr>
          <w:rFonts w:ascii="IRNazanin" w:hAnsi="IRNazanin" w:eastAsia="IRNazanin" w:cs="IRNazanin"/>
          <w:lang w:bidi="fa-IR"/>
          <w:color w:val="111111"/>
          <w:sz w:val="28"/>
          <w:szCs w:val="28"/>
          <w:rtl/>
        </w:rPr>
        <w:t xml:space="preserve">تفتر عن مبسم رطب یمانی‏</w:t>
      </w:r>
    </w:p>
    <w:p>
      <w:pPr>
        <w:pStyle w:val="BookText"/>
      </w:pPr>
      <w:r>
        <w:rPr>
          <w:rFonts w:ascii="IRNazanin" w:hAnsi="IRNazanin" w:eastAsia="IRNazanin" w:cs="IRNazanin"/>
          <w:lang w:bidi="fa-IR"/>
          <w:color w:val="111111"/>
          <w:sz w:val="28"/>
          <w:szCs w:val="28"/>
          <w:rtl/>
        </w:rPr>
        <w:t xml:space="preserve">ثم إنه بعد رجوعه إلی النجف أمره السید نصر الله الحائری أن یرتب دیوانه فرتبه علی مقدمه و أبواب و خاتمة فجعل مدح النبی فی المقدمة و الباب الأول فی مدح الأمیر ع ثم سائر الأبواب و النسخة فی مکتبة (السماوی)</w:t>
      </w:r>
    </w:p>
    <w:p>
      <w:pPr>
        <w:pStyle w:val="Heading3"/>
      </w:pPr>
      <w:bookmarkStart w:id="6165" w:name="_Toc4861"/>
      <w:r>
        <w:t>4666- دیوان عادلی هروی‏</w:t>
      </w:r>
      <w:bookmarkEnd w:id="6165"/>
    </w:p>
    <w:p>
      <w:pPr>
        <w:pStyle w:val="BookText"/>
      </w:pPr>
      <w:r>
        <w:rPr>
          <w:rFonts w:ascii="IRNazanin" w:hAnsi="IRNazanin" w:eastAsia="IRNazanin" w:cs="IRNazanin"/>
          <w:lang w:bidi="fa-IR"/>
          <w:color w:val="111111"/>
          <w:sz w:val="28"/>
          <w:szCs w:val="28"/>
          <w:rtl/>
        </w:rPr>
        <w:t xml:space="preserve">غزلیات فارسیة للسلطان بایسنقر میرزا ابن السلطان محمود میرزا ابن السلطان أبی سعید میرزا ابن محمد بن جلال الدین میران شاه بن الأمیر تیمور الگورکانی. کان سلطان ما وراء النهر من سنة وفاة أبیه السلطان محمود میرزا (900) إلی (907) ترجمه فی (لط 1 ص 174) مصرحا بأن دیوانه غزلیات و أورد مطلع غزل واحد فارسی. و قال إن خطه النستعلیق فی غایة الجودة یمدحه المولی سلطان علی الخطاط و ذکر تاریخ ملکه و موته فی طبقات سلاطین الإسلام ص 238 و هو متأخر بکثیر عن بایسنقر بن شاه‏رخ المتوفی (865) کما مر ذکره فی ص 125.</w:t>
      </w:r>
    </w:p>
    <w:p>
      <w:pPr>
        <w:pStyle w:val="Heading3"/>
      </w:pPr>
      <w:bookmarkStart w:id="6166" w:name="_Toc4862"/>
      <w:r>
        <w:t>4667- دیوان عارض الأصفهانی أو شعره‏</w:t>
      </w:r>
      <w:bookmarkEnd w:id="6166"/>
    </w:p>
    <w:p>
      <w:pPr>
        <w:pStyle w:val="BookText"/>
      </w:pPr>
      <w:r>
        <w:rPr>
          <w:rFonts w:ascii="IRNazanin" w:hAnsi="IRNazanin" w:eastAsia="IRNazanin" w:cs="IRNazanin"/>
          <w:lang w:bidi="fa-IR"/>
          <w:color w:val="111111"/>
          <w:sz w:val="28"/>
          <w:szCs w:val="28"/>
          <w:rtl/>
        </w:rPr>
        <w:t xml:space="preserve">اسمه آقا بابا الإسکاف. ترجمه معاصره فی (مع- ج 2 ص 345) و أورد بعض شعره. و کذا فی (انجمن 4).</w:t>
      </w:r>
    </w:p>
    <w:p>
      <w:pPr>
        <w:pStyle w:val="Heading3"/>
      </w:pPr>
      <w:bookmarkStart w:id="6167" w:name="_Toc4863"/>
      <w:r>
        <w:t>4668- دیوان عارضی قمی‏</w:t>
      </w:r>
      <w:bookmarkEnd w:id="6167"/>
    </w:p>
    <w:p>
      <w:pPr>
        <w:pStyle w:val="BookText"/>
      </w:pPr>
      <w:r>
        <w:rPr>
          <w:rFonts w:ascii="IRNazanin" w:hAnsi="IRNazanin" w:eastAsia="IRNazanin" w:cs="IRNazanin"/>
          <w:lang w:bidi="fa-IR"/>
          <w:color w:val="111111"/>
          <w:sz w:val="28"/>
          <w:szCs w:val="28"/>
          <w:rtl/>
        </w:rPr>
        <w:t xml:space="preserve">ترجمه معاصره الصادقی فی (خص 8- ص 309) و أورد شعره و کذا فی (تش- 234).</w:t>
      </w:r>
    </w:p>
    <w:p>
      <w:pPr>
        <w:pStyle w:val="Heading3"/>
      </w:pPr>
      <w:bookmarkStart w:id="6168" w:name="_Toc4864"/>
      <w:r>
        <w:t>4669- دیوان عارف‏</w:t>
      </w:r>
      <w:bookmarkEnd w:id="6168"/>
    </w:p>
    <w:p>
      <w:pPr>
        <w:pStyle w:val="BookText"/>
      </w:pPr>
      <w:r>
        <w:rPr>
          <w:rFonts w:ascii="IRNazanin" w:hAnsi="IRNazanin" w:eastAsia="IRNazanin" w:cs="IRNazanin"/>
          <w:lang w:bidi="fa-IR"/>
          <w:color w:val="111111"/>
          <w:sz w:val="28"/>
          <w:szCs w:val="28"/>
          <w:rtl/>
        </w:rPr>
        <w:t xml:space="preserve">اسمه بایزید. ترجمه معاصره النصرآبادی فی (نر 10- ص 522) و أورد بعض المعمیات عن دیوان البالغ سبعة آلاف بیت.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658" w:name="pg11704_122141"/>
    <w:bookmarkEnd w:id="658"/>
    <w:p>
      <w:pPr>
        <w:pStyle w:val="Heading3"/>
      </w:pPr>
      <w:bookmarkStart w:id="6169" w:name="_Toc4865"/>
      <w:r>
        <w:t>4670- دیوان عارف أردبیلی‏</w:t>
      </w:r>
      <w:bookmarkEnd w:id="6169"/>
    </w:p>
    <w:p>
      <w:pPr>
        <w:pStyle w:val="BookText"/>
      </w:pPr>
      <w:r>
        <w:rPr>
          <w:rFonts w:ascii="IRNazanin" w:hAnsi="IRNazanin" w:eastAsia="IRNazanin" w:cs="IRNazanin"/>
          <w:lang w:bidi="fa-IR"/>
          <w:color w:val="111111"/>
          <w:sz w:val="28"/>
          <w:szCs w:val="28"/>
          <w:rtl/>
        </w:rPr>
        <w:t xml:space="preserve">مثنوی سماه فرهادنامه توجد فی مکتبة أیاصوفیة رآه تربیت کما فی (دجا- ص 251) و نقل عنه و ذکر أن الناظم کان معاصرا للسلطان أویس الجلائر الذی توفی 777 و قال فی أوائله:</w:t>
      </w:r>
    </w:p>
    <w:p>
      <w:pPr>
        <w:pStyle w:val="BookText"/>
      </w:pPr>
      <w:r>
        <w:rPr>
          <w:rFonts w:ascii="IRNazanin" w:hAnsi="IRNazanin" w:eastAsia="IRNazanin" w:cs="IRNazanin"/>
          <w:lang w:bidi="fa-IR"/>
          <w:color w:val="111111"/>
          <w:sz w:val="28"/>
          <w:szCs w:val="28"/>
          <w:rtl/>
        </w:rPr>
        <w:t xml:space="preserve">در این گفتن چه جاری گشت خامه‏</w:t>
      </w:r>
    </w:p>
    <w:p>
      <w:pPr>
        <w:pStyle w:val="BookText"/>
      </w:pPr>
      <w:r>
        <w:rPr>
          <w:rFonts w:ascii="IRNazanin" w:hAnsi="IRNazanin" w:eastAsia="IRNazanin" w:cs="IRNazanin"/>
          <w:lang w:bidi="fa-IR"/>
          <w:color w:val="111111"/>
          <w:sz w:val="28"/>
          <w:szCs w:val="28"/>
          <w:rtl/>
        </w:rPr>
        <w:t xml:space="preserve">نهادم نام آن فرهادنامه‏</w:t>
      </w:r>
    </w:p>
    <w:p>
      <w:pPr>
        <w:pStyle w:val="Heading3"/>
      </w:pPr>
      <w:bookmarkStart w:id="6170" w:name="_Toc4866"/>
      <w:r>
        <w:t>4671- دیوان عارف الأسترآبادی أو شعره‏</w:t>
      </w:r>
      <w:bookmarkEnd w:id="6170"/>
    </w:p>
    <w:p>
      <w:pPr>
        <w:pStyle w:val="BookText"/>
      </w:pPr>
      <w:r>
        <w:rPr>
          <w:rFonts w:ascii="IRNazanin" w:hAnsi="IRNazanin" w:eastAsia="IRNazanin" w:cs="IRNazanin"/>
          <w:lang w:bidi="fa-IR"/>
          <w:color w:val="111111"/>
          <w:sz w:val="28"/>
          <w:szCs w:val="28"/>
          <w:rtl/>
        </w:rPr>
        <w:t xml:space="preserve">من مشاهیر الشعراء کما وصفه فی (مجتس 6- ص 151) و أورد شعره و عنه فی (گلشن- ص 266).</w:t>
      </w:r>
    </w:p>
    <w:p>
      <w:pPr>
        <w:pStyle w:val="Heading3"/>
      </w:pPr>
      <w:bookmarkStart w:id="6171" w:name="_Toc4867"/>
      <w:r>
        <w:t>4672- مولانا عارف الإصطهباناتی‏</w:t>
      </w:r>
      <w:bookmarkEnd w:id="6171"/>
    </w:p>
    <w:p>
      <w:pPr>
        <w:pStyle w:val="BookText"/>
      </w:pPr>
      <w:r>
        <w:rPr>
          <w:rFonts w:ascii="IRNazanin" w:hAnsi="IRNazanin" w:eastAsia="IRNazanin" w:cs="IRNazanin"/>
          <w:lang w:bidi="fa-IR"/>
          <w:color w:val="111111"/>
          <w:sz w:val="28"/>
          <w:szCs w:val="28"/>
          <w:rtl/>
        </w:rPr>
        <w:t xml:space="preserve">هو العالم المتبحر المولی شاه محمد بن محمد الإصطهباناتی المولد و الشیرازی المقام و المدفن کما صرح به تلمیذه الحاج المولی محمد مؤمن الجزائری المولود بشیراز 1074 عند ترجمته المفصلة فی کتابه طیف الخیال و قد نقل الترجمة بعین عبارتها المولوی محمد علی اللکهنوی فی نجوم السماء- ص 172 و قد أطرأه بمقدار ورقة و ذکر فی الأخیر من تواضعه و حسن خلقه، أنه کان یصف النعال و یقدمها لتلامیذه مع أنه شیخ کبیر جاوز التسعین، و کان یستعین به الناس و لا یستعین، و دعا له بطول البقاء. ثم نقل ترجمته عن تلمیذه الآخر الشیخ محمد علی الحزین المولود 1103 نقلا عن تذکرته (ص 19) و عن سوانحه بعین عباراتهما الفارسیة، أطرأه فیهما و ذکر فی أولهما أنه تجاوز عن العمر الطبیعی و أن تخلصه عارف و إنه قرأ علیه فی شیراز بعض کتب الحدیث و تمام کتاب حکمة العین مع حواشیه و صرح فی ثانیهما بأن عمره یقرب من مائة و ثلاثین سنة و إنه حضر وفاته بشیراز و أن له عدة رسائل فی الحدیث و الحکمة و التصوف، و له أشعار غراء و رباعیات عرفانیة إلی</w:t>
      </w:r>
    </w:p>
    <w:p>
      <w:pPr>
        <w:pStyle w:val="BookText"/>
      </w:pPr>
      <w:r>
        <w:rPr>
          <w:rFonts w:ascii="IRNazanin" w:hAnsi="IRNazanin" w:eastAsia="IRNazanin" w:cs="IRNazanin"/>
          <w:lang w:bidi="fa-IR"/>
          <w:color w:val="111111"/>
          <w:sz w:val="28"/>
          <w:szCs w:val="28"/>
          <w:rtl/>
        </w:rPr>
        <w:t xml:space="preserve">آخر ما فی نجوم السماء. أقول: و قد ترجمه أیضا تلمیذه الثالث و هو السید قطب الدین محمد الحسینی الذهبی الشیرازی المتوفی (18 شعبان 1173) و کانت ولادته قبل (1100) لأنه کان یخدم مرشده فی حال شبابه سنین فی أصفهان کما ذکره فی کتابه فصل الخطاب و مرشده هو الشیخ علی نقی الإصطهباناتی الذی توفی بأصفهان 1129 و عبر عنه السید القطب بالمولی شاه محمد الدارابی و أطرأه بالأوصاف العلمیة، فقال إنه کان أستاذ کل أفاضل دار العلم شیراز فی عصره، و ذکر أن کتابه معراج الکمال عنده بخطه رحمه الله. و لم یذکر أحد من تلامیذه تاریخ وفاته، لکن یظهر من حضور الحزین‏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659" w:name="pg11704_122142"/>
    <w:bookmarkEnd w:id="659"/>
    <w:p>
      <w:pPr>
        <w:pStyle w:val="BookText"/>
      </w:pPr>
      <w:r>
        <w:rPr>
          <w:rFonts w:ascii="IRNazanin" w:hAnsi="IRNazanin" w:eastAsia="IRNazanin" w:cs="IRNazanin"/>
          <w:lang w:bidi="fa-IR"/>
          <w:color w:val="111111"/>
          <w:sz w:val="28"/>
          <w:szCs w:val="28"/>
          <w:rtl/>
        </w:rPr>
        <w:t xml:space="preserve">المولود 1103 وفاته بشیراز مع أنه قرأ علیه حکمة العین و حواشیه، و لا محالة تکون قراءته قرب الثلاثین من عمره، أنه کانت وفاته حدود نیف و ثلاثین و مائة و ألف و قد کان الحزین فی إیران إلی 1143 و فیها سافر إلی الهند کما هو مذکور فی ترجمته.</w:t>
      </w:r>
    </w:p>
    <w:p>
      <w:pPr>
        <w:pStyle w:val="BookText"/>
      </w:pPr>
      <w:r>
        <w:rPr>
          <w:rFonts w:ascii="IRNazanin" w:hAnsi="IRNazanin" w:eastAsia="IRNazanin" w:cs="IRNazanin"/>
          <w:lang w:bidi="fa-IR"/>
          <w:color w:val="111111"/>
          <w:sz w:val="28"/>
          <w:szCs w:val="28"/>
          <w:rtl/>
        </w:rPr>
        <w:t xml:space="preserve">و بالجملة فالمولی شاه محمد العارف الإصطهباناتی مؤخر بقلیل عن المولی شاه محمد الدارابی أو الدارابجردی، مؤلف تذکره الشعراء المذکور فی ج 4 ص 38 المتخلص بشاه و المقتول فی بلاد الهند کما ذکره فی صبح گلشن و ترجمه النصرآبادی فی (نر 6- ص 186) کما نذکره بعنوان دیوان شاه محمد الدارابجردی فی حرف المیم. و ذکر له روضة العارفین أو ریاض العارفین فی (11: 330).</w:t>
      </w:r>
    </w:p>
    <w:p>
      <w:pPr>
        <w:pStyle w:val="Heading3"/>
      </w:pPr>
      <w:bookmarkStart w:id="6172" w:name="_Toc4868"/>
      <w:r>
        <w:t>4673- دیوان عارف أصفهانی أو شعره‏</w:t>
      </w:r>
      <w:bookmarkEnd w:id="6172"/>
    </w:p>
    <w:p>
      <w:pPr>
        <w:pStyle w:val="BookText"/>
      </w:pPr>
      <w:r>
        <w:rPr>
          <w:rFonts w:ascii="IRNazanin" w:hAnsi="IRNazanin" w:eastAsia="IRNazanin" w:cs="IRNazanin"/>
          <w:lang w:bidi="fa-IR"/>
          <w:color w:val="111111"/>
          <w:sz w:val="28"/>
          <w:szCs w:val="28"/>
          <w:rtl/>
        </w:rPr>
        <w:t xml:space="preserve">اسمه المیرزا إبراهیم أخ المیرزا آقاسی ساکن عباس‏آباد بأصفهان. سافر إلی الهند و منها إلی مکة و رجع إلی الهند و بها مات.</w:t>
      </w:r>
    </w:p>
    <w:p>
      <w:pPr>
        <w:pStyle w:val="BookText"/>
      </w:pPr>
      <w:r>
        <w:rPr>
          <w:rFonts w:ascii="IRNazanin" w:hAnsi="IRNazanin" w:eastAsia="IRNazanin" w:cs="IRNazanin"/>
          <w:lang w:bidi="fa-IR"/>
          <w:color w:val="111111"/>
          <w:sz w:val="28"/>
          <w:szCs w:val="28"/>
          <w:rtl/>
        </w:rPr>
        <w:t xml:space="preserve">أورد شعره فی (نر 9- ص 431) و (گلشن 268) و (تغ- ص 86).</w:t>
      </w:r>
    </w:p>
    <w:p>
      <w:pPr>
        <w:pStyle w:val="Heading3"/>
      </w:pPr>
      <w:bookmarkStart w:id="6173" w:name="_Toc4869"/>
      <w:r>
        <w:t>4674- دیوان عارف أصفهانی أو شعره‏</w:t>
      </w:r>
      <w:bookmarkEnd w:id="6173"/>
    </w:p>
    <w:p>
      <w:pPr>
        <w:pStyle w:val="BookText"/>
      </w:pPr>
      <w:r>
        <w:rPr>
          <w:rFonts w:ascii="IRNazanin" w:hAnsi="IRNazanin" w:eastAsia="IRNazanin" w:cs="IRNazanin"/>
          <w:lang w:bidi="fa-IR"/>
          <w:color w:val="111111"/>
          <w:sz w:val="28"/>
          <w:szCs w:val="28"/>
          <w:rtl/>
        </w:rPr>
        <w:t xml:space="preserve">و هو السید محمد علی آقا مجتهد ابن صدر الدین العاملی المتوفی 1274 صاحب إحیاء التقوی المذکور. کتب لنا الشیخ محمد علی المعلم الحبیب‏آبادی أشعاره نقلا عن سبطه أبی المجد الرضا النجفی الأصفهانی.</w:t>
      </w:r>
    </w:p>
    <w:p>
      <w:pPr>
        <w:pStyle w:val="Heading3"/>
      </w:pPr>
      <w:bookmarkStart w:id="6174" w:name="_Toc4870"/>
      <w:r>
        <w:t>4675- دیوان عارف أصفهانی أو شعره‏</w:t>
      </w:r>
      <w:bookmarkEnd w:id="6174"/>
    </w:p>
    <w:p>
      <w:pPr>
        <w:pStyle w:val="BookText"/>
      </w:pPr>
      <w:r>
        <w:rPr>
          <w:rFonts w:ascii="IRNazanin" w:hAnsi="IRNazanin" w:eastAsia="IRNazanin" w:cs="IRNazanin"/>
          <w:lang w:bidi="fa-IR"/>
          <w:color w:val="111111"/>
          <w:sz w:val="28"/>
          <w:szCs w:val="28"/>
          <w:rtl/>
        </w:rPr>
        <w:t xml:space="preserve">و اسمه آقا محمد تقی. ولد بشیراز و کان تاجرا بأصفهان و من مریدی الحاج زین العابدین الشیروانی (مست علی شاه) ترجمه فی طرائق الحقائق- ج 3- ص 131 و عنه فی مکارم الآثار- 1: 22 و (مع 2- 346) و (ض- ص 465).</w:t>
      </w:r>
    </w:p>
    <w:p>
      <w:pPr>
        <w:pStyle w:val="Heading3"/>
      </w:pPr>
      <w:bookmarkStart w:id="6175" w:name="_Toc4871"/>
      <w:r>
        <w:t>4676- دیوان عارف إیگی‏</w:t>
      </w:r>
      <w:bookmarkEnd w:id="6175"/>
    </w:p>
    <w:p>
      <w:pPr>
        <w:pStyle w:val="BookText"/>
      </w:pPr>
      <w:r>
        <w:rPr>
          <w:rFonts w:ascii="IRNazanin" w:hAnsi="IRNazanin" w:eastAsia="IRNazanin" w:cs="IRNazanin"/>
          <w:lang w:bidi="fa-IR"/>
          <w:color w:val="111111"/>
          <w:sz w:val="28"/>
          <w:szCs w:val="28"/>
          <w:rtl/>
        </w:rPr>
        <w:t xml:space="preserve">و هو سراج الدین حسن بن غیاث الدین علی، و یعرف بحکیم عارف. کان والده کلانترا بقصبة إیگ (ایجه) مرکز شبانکاره فولد عارف بها فی (976) و مات (1028) ببنگاله. و دیوان شعره متین علی السبک القدیم و خال عن الکلمات العربیة فی اثنی عشر ألف بیت، قال فی (میخانه- ص 421) عاشرته مدة فوصف لی یوما ما جری علیه فی عمره و قال: لی اثنی عشر ألف بیت و منها مثنوی اندرزنامه فی (2300 بیت) وصفت فیه وطنی شبانکاره و إیگ، و قد نظمت الشعر و إنی صغیر فشوقنی والدی و بعد موت والدی جلس مکانه أخی أثیر الدین حسن و منعنی‏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660" w:name="pg11704_122143"/>
    <w:bookmarkEnd w:id="660"/>
    <w:p>
      <w:pPr>
        <w:pStyle w:val="BookText"/>
      </w:pPr>
      <w:r>
        <w:rPr>
          <w:rFonts w:ascii="IRNazanin" w:hAnsi="IRNazanin" w:eastAsia="IRNazanin" w:cs="IRNazanin"/>
          <w:lang w:bidi="fa-IR"/>
          <w:color w:val="111111"/>
          <w:sz w:val="28"/>
          <w:szCs w:val="28"/>
          <w:rtl/>
        </w:rPr>
        <w:t xml:space="preserve">حقی، فخرجت و أنا ابن ثمان و عشرین إلی کرمان ثم یزد و سیستان و الهند عند سلطان سلیم ببلدة الله‏آباد، فتقربت إلیه و لکن حسد الحاسدین أوقعنی فی السجن سنتین ثم عفی عنی و أکرمنی خمس سنین، و لکنی لم أتمکن البقاء ففررت من الله‏آباد إلی آگرة فقربنی أکبر شاه و أقمت هناک خمس سنین، و لما مات أکبر شاه فی (1018) [کذا و الصحیح 1014] و جلس مکانه السلطان سلیم فررت إلی گلکنده (دکن) عند محمد قلی قطب شاه، ثم رجعت عن طریق هرمز إلی وطنی بایگ و أقمت هناک خمس سنین أخر، فلم أتمکن من البقاء عندهم فسافرت إلی العراق فخراسان فقندهار و رجعت إلی الهند و جئت إلی آگرة عند سلیم شاه المذکور فعفی عنی و أکرمنی فأخذت أسیح بلاد الهند فقل ما بلدة هندیة لم أره ثم رجعت عند الملک سلیم شاه (جهانگیر) و أخذت منه أرضا مساحته (500 بیگه) أقطاعا من صوبة بهار، و الیوم (1028) وصل سنین عمری إلی الاثنین و الخمسین. و فی حاشیة میخانه نقل عن مخزن الغرائب أنه من معاصری تقی أوحدی، و عن خوش‏گو أنه مات (1028) ببنگاله. و ترجم أیضا فی (هفت- 197) و فی (گلشن- ص 267) سماه عارف ریحی و هو مصحف إیجی و قال مات (1035) و عنه أخذ فی القاموس الترکی و سماه عارف إیرانی و عنه فی الریحانة.</w:t>
      </w:r>
    </w:p>
    <w:p>
      <w:pPr>
        <w:pStyle w:val="Heading3"/>
      </w:pPr>
      <w:bookmarkStart w:id="6176" w:name="_Toc4872"/>
      <w:r>
        <w:t>4677- دیوان عارف بلگرامی أو شعره‏</w:t>
      </w:r>
      <w:bookmarkEnd w:id="6176"/>
    </w:p>
    <w:p>
      <w:pPr>
        <w:pStyle w:val="BookText"/>
      </w:pPr>
      <w:r>
        <w:rPr>
          <w:rFonts w:ascii="IRNazanin" w:hAnsi="IRNazanin" w:eastAsia="IRNazanin" w:cs="IRNazanin"/>
          <w:lang w:bidi="fa-IR"/>
          <w:color w:val="111111"/>
          <w:sz w:val="28"/>
          <w:szCs w:val="28"/>
          <w:rtl/>
        </w:rPr>
        <w:t xml:space="preserve">و هو محمد عارف ابن محمد رکن الدین البلگرامی. ولد فی (9- ذی القعدة 1122) و ترجمه معاصره آزاد بلگرامی فی سرو آزاد- ص 247 و 296 و أورد شعره الفارسی ثم الهندی. قال فی (نر 14- ص 448) إنه رآه سالک قزوینی و أطری شعره.</w:t>
      </w:r>
    </w:p>
    <w:p>
      <w:pPr>
        <w:pStyle w:val="Heading3"/>
      </w:pPr>
      <w:bookmarkStart w:id="6177" w:name="_Toc4873"/>
      <w:r>
        <w:t>4678- دیوان عارف تبریزی‏</w:t>
      </w:r>
      <w:bookmarkEnd w:id="6177"/>
    </w:p>
    <w:p>
      <w:pPr>
        <w:pStyle w:val="BookText"/>
      </w:pPr>
      <w:r>
        <w:rPr>
          <w:rFonts w:ascii="IRNazanin" w:hAnsi="IRNazanin" w:eastAsia="IRNazanin" w:cs="IRNazanin"/>
          <w:lang w:bidi="fa-IR"/>
          <w:color w:val="111111"/>
          <w:sz w:val="28"/>
          <w:szCs w:val="28"/>
          <w:rtl/>
        </w:rPr>
        <w:t xml:space="preserve">الأصفهانی هو معاصر صائب التبریزی و کاتب بیاضه الکبیر فی (1088) و هو الموجود بمکتبة مدیر مجلة أرمغان و ینقل عنه تربیت کثیرا و قد ذکره فی (دجا- ص 252) و أورد شعره. و ترجمه النصرآبادی فی (نر 9- ص 392) بعنوان عارفا و عنه فی (گلشن- ص 266) و فهرس سپهسالار (2: 623).</w:t>
      </w:r>
    </w:p>
    <w:p>
      <w:pPr>
        <w:pStyle w:val="Heading3"/>
      </w:pPr>
      <w:bookmarkStart w:id="6178" w:name="_Toc4874"/>
      <w:r>
        <w:t>4679- دیوان عارف تبریزی‏</w:t>
      </w:r>
      <w:bookmarkEnd w:id="6178"/>
    </w:p>
    <w:p>
      <w:pPr>
        <w:pStyle w:val="BookText"/>
      </w:pPr>
      <w:r>
        <w:rPr>
          <w:rFonts w:ascii="IRNazanin" w:hAnsi="IRNazanin" w:eastAsia="IRNazanin" w:cs="IRNazanin"/>
          <w:lang w:bidi="fa-IR"/>
          <w:color w:val="111111"/>
          <w:sz w:val="28"/>
          <w:szCs w:val="28"/>
          <w:rtl/>
        </w:rPr>
        <w:t xml:space="preserve">و اسمه آقا حسین من أخیار تبریز و هاجر منها إلی قراباغ و بها توفی (1220) ذکره فی (دجا- ص 252) و أورد شعره.</w:t>
      </w:r>
    </w:p>
    <w:p>
      <w:pPr>
        <w:pStyle w:val="Heading3"/>
      </w:pPr>
      <w:bookmarkStart w:id="6179" w:name="_Toc4875"/>
      <w:r>
        <w:t>4680- دیوان عارف تبریزی‏</w:t>
      </w:r>
      <w:bookmarkEnd w:id="6179"/>
    </w:p>
    <w:p>
      <w:pPr>
        <w:pStyle w:val="BookText"/>
      </w:pPr>
      <w:r>
        <w:rPr>
          <w:rFonts w:ascii="IRNazanin" w:hAnsi="IRNazanin" w:eastAsia="IRNazanin" w:cs="IRNazanin"/>
          <w:lang w:bidi="fa-IR"/>
          <w:color w:val="111111"/>
          <w:sz w:val="28"/>
          <w:szCs w:val="28"/>
          <w:rtl/>
        </w:rPr>
        <w:t xml:space="preserve">و هو الحاج عبد الله سافر إلی بلاد الهند و کان یطارح‏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661" w:name="pg11704_122144"/>
    <w:bookmarkEnd w:id="661"/>
    <w:p>
      <w:pPr>
        <w:pStyle w:val="BookText"/>
      </w:pPr>
      <w:r>
        <w:rPr>
          <w:rFonts w:ascii="IRNazanin" w:hAnsi="IRNazanin" w:eastAsia="IRNazanin" w:cs="IRNazanin"/>
          <w:lang w:bidi="fa-IR"/>
          <w:color w:val="111111"/>
          <w:sz w:val="28"/>
          <w:szCs w:val="28"/>
          <w:rtl/>
        </w:rPr>
        <w:t xml:space="preserve">مع المیرزا محمد علی فروغ المتوفی 1210 و بعد برهة نزل إلی بنارس و بها توفی کما ذکره فی (دجا- ص 253) و أورد شعره.</w:t>
      </w:r>
    </w:p>
    <w:p>
      <w:pPr>
        <w:pStyle w:val="Heading3"/>
      </w:pPr>
      <w:bookmarkStart w:id="6180" w:name="_Toc4876"/>
      <w:r>
        <w:t>4681- دیوان عارف تبریزی‏</w:t>
      </w:r>
      <w:bookmarkEnd w:id="6180"/>
    </w:p>
    <w:p>
      <w:pPr>
        <w:pStyle w:val="BookText"/>
      </w:pPr>
      <w:r>
        <w:rPr>
          <w:rFonts w:ascii="IRNazanin" w:hAnsi="IRNazanin" w:eastAsia="IRNazanin" w:cs="IRNazanin"/>
          <w:lang w:bidi="fa-IR"/>
          <w:color w:val="111111"/>
          <w:sz w:val="28"/>
          <w:szCs w:val="28"/>
          <w:rtl/>
        </w:rPr>
        <w:t xml:space="preserve">و اسمه محمد علی. جاء مع نادر شاه إلی الهند و أمره بنظم شاهنامه و رجع معه إلی إیران. ثم فر منه إلی الهند و بها مات. کذا فی (تغ- ص 86).</w:t>
      </w:r>
    </w:p>
    <w:p>
      <w:pPr>
        <w:pStyle w:val="Heading3"/>
      </w:pPr>
      <w:bookmarkStart w:id="6181" w:name="_Toc4877"/>
      <w:r>
        <w:t>دیوان عارف تفرشی‏</w:t>
      </w:r>
      <w:bookmarkEnd w:id="6181"/>
    </w:p>
    <w:p>
      <w:pPr>
        <w:pStyle w:val="BookText"/>
      </w:pPr>
      <w:r>
        <w:rPr>
          <w:rFonts w:ascii="IRNazanin" w:hAnsi="IRNazanin" w:eastAsia="IRNazanin" w:cs="IRNazanin"/>
          <w:lang w:bidi="fa-IR"/>
          <w:color w:val="111111"/>
          <w:sz w:val="28"/>
          <w:szCs w:val="28"/>
          <w:rtl/>
        </w:rPr>
        <w:t xml:space="preserve">مر بعنوان دیوان بقائی تفرشی.</w:t>
      </w:r>
    </w:p>
    <w:p>
      <w:pPr>
        <w:pStyle w:val="Heading3"/>
      </w:pPr>
      <w:bookmarkStart w:id="6182" w:name="_Toc4878"/>
      <w:r>
        <w:t>4682- دیوان عارفچة نوحه‏گر</w:t>
      </w:r>
      <w:bookmarkEnd w:id="6182"/>
    </w:p>
    <w:p>
      <w:pPr>
        <w:pStyle w:val="BookText"/>
      </w:pPr>
      <w:r>
        <w:rPr>
          <w:rFonts w:ascii="IRNazanin" w:hAnsi="IRNazanin" w:eastAsia="IRNazanin" w:cs="IRNazanin"/>
          <w:lang w:bidi="fa-IR"/>
          <w:color w:val="111111"/>
          <w:sz w:val="28"/>
          <w:szCs w:val="28"/>
          <w:rtl/>
        </w:rPr>
        <w:t xml:space="preserve">و هو محمد علی بن محمد حسین بن إسماعیل الطبسی الخراسانی ساکن أصفهان المعاصر المولود حدود 1290. طبع له صد قصیدة و هدیة المعصومین و أفکار عارفچة کلها منظومات فی المدائح و المراثی، و قد ورث لقب عارفچة من أبیه. ترجمه فی (شعرای معاصر أصفهان- ص 326).</w:t>
      </w:r>
    </w:p>
    <w:p>
      <w:pPr>
        <w:pStyle w:val="Heading3"/>
      </w:pPr>
      <w:bookmarkStart w:id="6183" w:name="_Toc4879"/>
      <w:r>
        <w:t>4683- دیوان عارف دزفولی‏</w:t>
      </w:r>
      <w:bookmarkEnd w:id="6183"/>
    </w:p>
    <w:p>
      <w:pPr>
        <w:pStyle w:val="BookText"/>
      </w:pPr>
      <w:r>
        <w:rPr>
          <w:rFonts w:ascii="IRNazanin" w:hAnsi="IRNazanin" w:eastAsia="IRNazanin" w:cs="IRNazanin"/>
          <w:lang w:bidi="fa-IR"/>
          <w:color w:val="111111"/>
          <w:sz w:val="28"/>
          <w:szCs w:val="28"/>
          <w:rtl/>
        </w:rPr>
        <w:t xml:space="preserve">للمولی عبد الحسین بن محمد هادی بن بشیر الدزفولی المتخلص بعارف و المعروف ب مهر نویس (حکاک) المولود 1281 فارسی یزید علی ستة آلاف بیت فرغ من جمعه فی 17 رجب 1355 و النسخة بخط الناظم عنده” المؤلف” أوله:</w:t>
      </w:r>
    </w:p>
    <w:p>
      <w:pPr>
        <w:pStyle w:val="BookText"/>
      </w:pPr>
      <w:r>
        <w:rPr>
          <w:rFonts w:ascii="IRNazanin" w:hAnsi="IRNazanin" w:eastAsia="IRNazanin" w:cs="IRNazanin"/>
          <w:lang w:bidi="fa-IR"/>
          <w:color w:val="111111"/>
          <w:sz w:val="28"/>
          <w:szCs w:val="28"/>
          <w:rtl/>
        </w:rPr>
        <w:t xml:space="preserve">چه حد وصف و بیان است نطق طبع روان را</w:t>
      </w:r>
    </w:p>
    <w:p>
      <w:pPr>
        <w:pStyle w:val="BookText"/>
      </w:pPr>
      <w:r>
        <w:rPr>
          <w:rFonts w:ascii="IRNazanin" w:hAnsi="IRNazanin" w:eastAsia="IRNazanin" w:cs="IRNazanin"/>
          <w:lang w:bidi="fa-IR"/>
          <w:color w:val="111111"/>
          <w:sz w:val="28"/>
          <w:szCs w:val="28"/>
          <w:rtl/>
        </w:rPr>
        <w:t xml:space="preserve">که شکر و حمد نماید خدای کون و مکان را</w:t>
      </w:r>
    </w:p>
    <w:p>
      <w:pPr>
        <w:pStyle w:val="BookText"/>
      </w:pPr>
      <w:r>
        <w:rPr>
          <w:rFonts w:ascii="IRNazanin" w:hAnsi="IRNazanin" w:eastAsia="IRNazanin" w:cs="IRNazanin"/>
          <w:lang w:bidi="fa-IR"/>
          <w:color w:val="111111"/>
          <w:sz w:val="28"/>
          <w:szCs w:val="28"/>
          <w:rtl/>
        </w:rPr>
        <w:t xml:space="preserve">و قد ابتلی الناظم بالفلج أوائل 1373 و کان ملقی فی الفراش إلی ذی القعدة 1373 و له نگارستان مانی فرغ منه 1367 و گلشن بدائع فرغ منه 1367.</w:t>
      </w:r>
    </w:p>
    <w:p>
      <w:pPr>
        <w:pStyle w:val="Heading3"/>
      </w:pPr>
      <w:bookmarkStart w:id="6184" w:name="_Toc4880"/>
      <w:r>
        <w:t>4684- دیوان عارف شوشتری‏</w:t>
      </w:r>
      <w:bookmarkEnd w:id="6184"/>
    </w:p>
    <w:p>
      <w:pPr>
        <w:pStyle w:val="BookText"/>
      </w:pPr>
      <w:r>
        <w:rPr>
          <w:rFonts w:ascii="IRNazanin" w:hAnsi="IRNazanin" w:eastAsia="IRNazanin" w:cs="IRNazanin"/>
          <w:lang w:bidi="fa-IR"/>
          <w:color w:val="111111"/>
          <w:sz w:val="28"/>
          <w:szCs w:val="28"/>
          <w:rtl/>
        </w:rPr>
        <w:t xml:space="preserve">الحاج محمد طاهر صهر المولی محمد جعفر شرف الدین و توفی 1322 فیه المدائح و المراثی قصیدة و مخمسة فی أربعة أجزاء. أوله:</w:t>
      </w:r>
    </w:p>
    <w:p>
      <w:pPr>
        <w:pStyle w:val="BookText"/>
      </w:pPr>
      <w:r>
        <w:rPr>
          <w:rFonts w:ascii="IRNazanin" w:hAnsi="IRNazanin" w:eastAsia="IRNazanin" w:cs="IRNazanin"/>
          <w:lang w:bidi="fa-IR"/>
          <w:color w:val="111111"/>
          <w:sz w:val="28"/>
          <w:szCs w:val="28"/>
          <w:rtl/>
        </w:rPr>
        <w:t xml:space="preserve">ای که تو بودی و وجودی نبود</w:t>
      </w:r>
    </w:p>
    <w:p>
      <w:pPr>
        <w:pStyle w:val="BookText"/>
      </w:pPr>
      <w:r>
        <w:rPr>
          <w:rFonts w:ascii="IRNazanin" w:hAnsi="IRNazanin" w:eastAsia="IRNazanin" w:cs="IRNazanin"/>
          <w:lang w:bidi="fa-IR"/>
          <w:color w:val="111111"/>
          <w:sz w:val="28"/>
          <w:szCs w:val="28"/>
          <w:rtl/>
        </w:rPr>
        <w:t xml:space="preserve">آدم خاکی و سجودی نبود</w:t>
      </w:r>
    </w:p>
    <w:p>
      <w:pPr>
        <w:pStyle w:val="BookText"/>
      </w:pPr>
      <w:r>
        <w:rPr>
          <w:rFonts w:ascii="IRNazanin" w:hAnsi="IRNazanin" w:eastAsia="IRNazanin" w:cs="IRNazanin"/>
          <w:lang w:bidi="fa-IR"/>
          <w:color w:val="111111"/>
          <w:sz w:val="28"/>
          <w:szCs w:val="28"/>
          <w:rtl/>
        </w:rPr>
        <w:t xml:space="preserve">مزرعه عالم إیجاد را</w:t>
      </w:r>
    </w:p>
    <w:p>
      <w:pPr>
        <w:pStyle w:val="BookText"/>
      </w:pPr>
      <w:r>
        <w:rPr>
          <w:rFonts w:ascii="IRNazanin" w:hAnsi="IRNazanin" w:eastAsia="IRNazanin" w:cs="IRNazanin"/>
          <w:lang w:bidi="fa-IR"/>
          <w:color w:val="111111"/>
          <w:sz w:val="28"/>
          <w:szCs w:val="28"/>
          <w:rtl/>
        </w:rPr>
        <w:t xml:space="preserve">بی‏گل روی تو نمودی نبود</w:t>
      </w:r>
    </w:p>
    <w:p>
      <w:pPr>
        <w:pStyle w:val="BookText"/>
      </w:pPr>
      <w:r>
        <w:rPr>
          <w:rFonts w:ascii="IRNazanin" w:hAnsi="IRNazanin" w:eastAsia="IRNazanin" w:cs="IRNazanin"/>
          <w:lang w:bidi="fa-IR"/>
          <w:color w:val="111111"/>
          <w:sz w:val="28"/>
          <w:szCs w:val="28"/>
          <w:rtl/>
        </w:rPr>
        <w:t xml:space="preserve">و آخره:</w:t>
      </w:r>
    </w:p>
    <w:p>
      <w:pPr>
        <w:pStyle w:val="BookText"/>
      </w:pPr>
      <w:r>
        <w:rPr>
          <w:rFonts w:ascii="IRNazanin" w:hAnsi="IRNazanin" w:eastAsia="IRNazanin" w:cs="IRNazanin"/>
          <w:lang w:bidi="fa-IR"/>
          <w:color w:val="111111"/>
          <w:sz w:val="28"/>
          <w:szCs w:val="28"/>
          <w:rtl/>
        </w:rPr>
        <w:t xml:space="preserve">آه از آن دم کز حرم آمد برون‏</w:t>
      </w:r>
    </w:p>
    <w:p>
      <w:pPr>
        <w:pStyle w:val="BookText"/>
      </w:pPr>
      <w:r>
        <w:rPr>
          <w:rFonts w:ascii="IRNazanin" w:hAnsi="IRNazanin" w:eastAsia="IRNazanin" w:cs="IRNazanin"/>
          <w:lang w:bidi="fa-IR"/>
          <w:color w:val="111111"/>
          <w:sz w:val="28"/>
          <w:szCs w:val="28"/>
          <w:rtl/>
        </w:rPr>
        <w:t xml:space="preserve">با تن تب‏دار زین العابدین‏</w:t>
      </w:r>
    </w:p>
    <w:p>
      <w:pPr>
        <w:pStyle w:val="BookText"/>
      </w:pPr>
      <w:r>
        <w:rPr>
          <w:rFonts w:ascii="IRNazanin" w:hAnsi="IRNazanin" w:eastAsia="IRNazanin" w:cs="IRNazanin"/>
          <w:lang w:bidi="fa-IR"/>
          <w:color w:val="111111"/>
          <w:sz w:val="28"/>
          <w:szCs w:val="28"/>
          <w:rtl/>
        </w:rPr>
        <w:t xml:space="preserve">حدثنی به الشیخ مهدی شرف الدین التستری و قال نسخته عند الشیخ محمد علی بن‏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662" w:name="pg11704_122145"/>
    <w:bookmarkEnd w:id="662"/>
    <w:p>
      <w:pPr>
        <w:pStyle w:val="BookText"/>
      </w:pPr>
      <w:r>
        <w:rPr>
          <w:rFonts w:ascii="IRNazanin" w:hAnsi="IRNazanin" w:eastAsia="IRNazanin" w:cs="IRNazanin"/>
          <w:lang w:bidi="fa-IR"/>
          <w:color w:val="111111"/>
          <w:sz w:val="28"/>
          <w:szCs w:val="28"/>
          <w:rtl/>
        </w:rPr>
        <w:t xml:space="preserve">المولی أحمد المتخلص بساجد التستری. و یأتی والده حاج حاجی المتخلص بفائز.</w:t>
      </w:r>
    </w:p>
    <w:p>
      <w:pPr>
        <w:pStyle w:val="BookText"/>
      </w:pPr>
      <w:r>
        <w:rPr>
          <w:rFonts w:ascii="IRNazanin" w:hAnsi="IRNazanin" w:eastAsia="IRNazanin" w:cs="IRNazanin"/>
          <w:lang w:bidi="fa-IR"/>
          <w:color w:val="111111"/>
          <w:sz w:val="28"/>
          <w:szCs w:val="28"/>
          <w:rtl/>
        </w:rPr>
        <w:t xml:space="preserve">و ابنه محمد جواد.</w:t>
      </w:r>
    </w:p>
    <w:p>
      <w:pPr>
        <w:pStyle w:val="Heading3"/>
      </w:pPr>
      <w:bookmarkStart w:id="6185" w:name="_Toc4881"/>
      <w:r>
        <w:t>دیوان عارف شیرازی‏</w:t>
      </w:r>
      <w:bookmarkEnd w:id="6185"/>
    </w:p>
    <w:p>
      <w:pPr>
        <w:pStyle w:val="BookText"/>
      </w:pPr>
      <w:r>
        <w:rPr>
          <w:rFonts w:ascii="IRNazanin" w:hAnsi="IRNazanin" w:eastAsia="IRNazanin" w:cs="IRNazanin"/>
          <w:lang w:bidi="fa-IR"/>
          <w:color w:val="111111"/>
          <w:sz w:val="28"/>
          <w:szCs w:val="28"/>
          <w:rtl/>
        </w:rPr>
        <w:t xml:space="preserve">مر بعنوان عارف إصطهباناتی.</w:t>
      </w:r>
    </w:p>
    <w:p>
      <w:pPr>
        <w:pStyle w:val="Heading3"/>
      </w:pPr>
      <w:bookmarkStart w:id="6186" w:name="_Toc4882"/>
      <w:r>
        <w:t>دیوان عارف شیرازی‏</w:t>
      </w:r>
      <w:bookmarkEnd w:id="6186"/>
    </w:p>
    <w:p>
      <w:pPr>
        <w:pStyle w:val="BookText"/>
      </w:pPr>
      <w:r>
        <w:rPr>
          <w:rFonts w:ascii="IRNazanin" w:hAnsi="IRNazanin" w:eastAsia="IRNazanin" w:cs="IRNazanin"/>
          <w:lang w:bidi="fa-IR"/>
          <w:color w:val="111111"/>
          <w:sz w:val="28"/>
          <w:szCs w:val="28"/>
          <w:rtl/>
        </w:rPr>
        <w:t xml:space="preserve">مر بعنوان عارف أصفهانی محمد تقی.</w:t>
      </w:r>
    </w:p>
    <w:p>
      <w:pPr>
        <w:pStyle w:val="Heading3"/>
      </w:pPr>
      <w:bookmarkStart w:id="6187" w:name="_Toc4883"/>
      <w:r>
        <w:t>4685- دیوان عارف شیرازی أو شعره‏</w:t>
      </w:r>
      <w:bookmarkEnd w:id="6187"/>
    </w:p>
    <w:p>
      <w:pPr>
        <w:pStyle w:val="BookText"/>
      </w:pPr>
      <w:r>
        <w:rPr>
          <w:rFonts w:ascii="IRNazanin" w:hAnsi="IRNazanin" w:eastAsia="IRNazanin" w:cs="IRNazanin"/>
          <w:lang w:bidi="fa-IR"/>
          <w:color w:val="111111"/>
          <w:sz w:val="28"/>
          <w:szCs w:val="28"/>
          <w:rtl/>
        </w:rPr>
        <w:t xml:space="preserve">و هو المیرزا علی أکبر ابن أبی الحسن الشاعر الأدیب. سکن مدة کربلاء و سافر إلی الهند و مات بلکهنو 1261. ترجمه و أورد شعره فی (گلشن. ص 368) و الریحانة عن القاموس الترکی.</w:t>
      </w:r>
    </w:p>
    <w:p>
      <w:pPr>
        <w:pStyle w:val="Heading3"/>
      </w:pPr>
      <w:bookmarkStart w:id="6188" w:name="_Toc4884"/>
      <w:r>
        <w:t>4686- دیوان عارف شیرازی‏</w:t>
      </w:r>
      <w:bookmarkEnd w:id="6188"/>
    </w:p>
    <w:p>
      <w:pPr>
        <w:pStyle w:val="BookText"/>
      </w:pPr>
      <w:r>
        <w:rPr>
          <w:rFonts w:ascii="IRNazanin" w:hAnsi="IRNazanin" w:eastAsia="IRNazanin" w:cs="IRNazanin"/>
          <w:lang w:bidi="fa-IR"/>
          <w:color w:val="111111"/>
          <w:sz w:val="28"/>
          <w:szCs w:val="28"/>
          <w:rtl/>
        </w:rPr>
        <w:t xml:space="preserve">آقا نور محمد الکفاش الشیرازی. ترجمه معاصره المیرزا فرصت فی آثار عجم- ص 562 و أورد غزله، و ذکر فی الهامش أنه توفی و دفن بشیراز 1305.</w:t>
      </w:r>
    </w:p>
    <w:p>
      <w:pPr>
        <w:pStyle w:val="Heading3"/>
      </w:pPr>
      <w:bookmarkStart w:id="6189" w:name="_Toc4885"/>
      <w:r>
        <w:t>4687- دیوان عارف شیرازی‏</w:t>
      </w:r>
      <w:bookmarkEnd w:id="6189"/>
    </w:p>
    <w:p>
      <w:pPr>
        <w:pStyle w:val="BookText"/>
      </w:pPr>
      <w:r>
        <w:rPr>
          <w:rFonts w:ascii="IRNazanin" w:hAnsi="IRNazanin" w:eastAsia="IRNazanin" w:cs="IRNazanin"/>
          <w:lang w:bidi="fa-IR"/>
          <w:color w:val="111111"/>
          <w:sz w:val="28"/>
          <w:szCs w:val="28"/>
          <w:rtl/>
        </w:rPr>
        <w:t xml:space="preserve">معاصر النصرآبادی المولود حدود 1027 و النزیل عنده فی أوائل عصر الشاه صفی الذی جلس من 1038 إلی 1052 ترجمه فی (نر 9- ص 387) و أورد شعره: قال و کان یوم وروده إلی أصفهان فی زی الدراویش و ذهب منها و انقطع خبره. و قال فی (گلشن- ص 267) إنه ابن خال عرفی الشیرازی.</w:t>
      </w:r>
    </w:p>
    <w:p>
      <w:pPr>
        <w:pStyle w:val="Heading3"/>
      </w:pPr>
      <w:bookmarkStart w:id="6190" w:name="_Toc4886"/>
      <w:r>
        <w:t>4688- دیوان عارف طهرانی أو شعره‏</w:t>
      </w:r>
      <w:bookmarkEnd w:id="6190"/>
    </w:p>
    <w:p>
      <w:pPr>
        <w:pStyle w:val="BookText"/>
      </w:pPr>
      <w:r>
        <w:rPr>
          <w:rFonts w:ascii="IRNazanin" w:hAnsi="IRNazanin" w:eastAsia="IRNazanin" w:cs="IRNazanin"/>
          <w:lang w:bidi="fa-IR"/>
          <w:color w:val="111111"/>
          <w:sz w:val="28"/>
          <w:szCs w:val="28"/>
          <w:rtl/>
        </w:rPr>
        <w:t xml:space="preserve">و اسمه ملا محمد علی الطهرانی من شعراء عهد نادر و سافر إلی الهند. أورد شعره معاصره فی (تش- 398).</w:t>
      </w:r>
    </w:p>
    <w:p>
      <w:pPr>
        <w:pStyle w:val="Heading3"/>
      </w:pPr>
      <w:bookmarkStart w:id="6191" w:name="_Toc4887"/>
      <w:r>
        <w:t>4689- دیوان عارف فرکتی‏</w:t>
      </w:r>
      <w:bookmarkEnd w:id="6191"/>
    </w:p>
    <w:p>
      <w:pPr>
        <w:pStyle w:val="BookText"/>
      </w:pPr>
      <w:r>
        <w:rPr>
          <w:rFonts w:ascii="IRNazanin" w:hAnsi="IRNazanin" w:eastAsia="IRNazanin" w:cs="IRNazanin"/>
          <w:lang w:bidi="fa-IR"/>
          <w:color w:val="111111"/>
          <w:sz w:val="28"/>
          <w:szCs w:val="28"/>
          <w:rtl/>
        </w:rPr>
        <w:t xml:space="preserve">من نواحی سمرقند. ترجمه شاه محمد القزوینی و فخر الهروی. فی ترجمه مجالس النفائس و أورد شعره فی (مجن 6- ص 117 و 388).</w:t>
      </w:r>
    </w:p>
    <w:p>
      <w:pPr>
        <w:pStyle w:val="Heading3"/>
      </w:pPr>
      <w:bookmarkStart w:id="6192" w:name="_Toc4888"/>
      <w:r>
        <w:t>4690- دیوان عارف قزوینی‏</w:t>
      </w:r>
      <w:bookmarkEnd w:id="6192"/>
    </w:p>
    <w:p>
      <w:pPr>
        <w:pStyle w:val="BookText"/>
      </w:pPr>
      <w:r>
        <w:rPr>
          <w:rFonts w:ascii="IRNazanin" w:hAnsi="IRNazanin" w:eastAsia="IRNazanin" w:cs="IRNazanin"/>
          <w:lang w:bidi="fa-IR"/>
          <w:color w:val="111111"/>
          <w:sz w:val="28"/>
          <w:szCs w:val="28"/>
          <w:rtl/>
        </w:rPr>
        <w:t xml:space="preserve">و اسمه أبو القاسم بن ملا هادی وکیل. ولد حدود 1300 بقزوین و مات 1352 (2 بهمن 1312 ش) بهمدان و کتب أحواله بنفسه فی 29 رمضان 1341 و أرسله إلی سیف آزاد فطبعه فی مقدمه دیوانه ببرلن فی 1343 فی 272 ص 64 ص. و طبع متممه بطهران فی 112 ص، ثم أعاد طبعه بطهران فی 1377 مع إضافات فی (628 ص) و ترجمه فی نامه سخنوران. ص 122 للشیخ أسد الله إیزد گشسب.</w:t>
      </w:r>
    </w:p>
    <w:p>
      <w:pPr>
        <w:pStyle w:val="Heading3"/>
      </w:pPr>
      <w:bookmarkStart w:id="6193" w:name="_Toc4889"/>
      <w:r>
        <w:t>4691- دیوان عارف قمی‏</w:t>
      </w:r>
      <w:bookmarkEnd w:id="6193"/>
    </w:p>
    <w:p>
      <w:pPr>
        <w:pStyle w:val="BookText"/>
      </w:pPr>
      <w:r>
        <w:rPr>
          <w:rFonts w:ascii="IRNazanin" w:hAnsi="IRNazanin" w:eastAsia="IRNazanin" w:cs="IRNazanin"/>
          <w:lang w:bidi="fa-IR"/>
          <w:color w:val="111111"/>
          <w:sz w:val="28"/>
          <w:szCs w:val="28"/>
          <w:rtl/>
        </w:rPr>
        <w:t xml:space="preserve">و هو الشیخ علی ابن أبی طالب القمی النجفی المعاصر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663" w:name="pg11704_122146"/>
    <w:bookmarkEnd w:id="663"/>
    <w:p>
      <w:pPr>
        <w:pStyle w:val="BookText"/>
      </w:pPr>
      <w:r>
        <w:rPr>
          <w:rFonts w:ascii="IRNazanin" w:hAnsi="IRNazanin" w:eastAsia="IRNazanin" w:cs="IRNazanin"/>
          <w:lang w:bidi="fa-IR"/>
          <w:color w:val="111111"/>
          <w:sz w:val="28"/>
          <w:szCs w:val="28"/>
          <w:rtl/>
        </w:rPr>
        <w:t xml:space="preserve">المتوفی بگیلان بعد خروجه عن النجف لمعالجة ما ابتلی به من الأمراض المزمنة فی حدود خمس و عشرین بعد الثلاثمائة و الألف و قد وقف جمیع کتبه و تصانیفه وصیه المیرزا عبد الحسین بن السید جواد القمی و هی الیوم عند الشیخ محمد الجواد الجزائری فی النجف، و منها دیوانه العربی هذا. و له دیوان فارسی جمع فیه رباعیاته الفارسیة و لذا سماه طومار الرباعیات فی مجلدین أحدهما فی التوحید و العرفان و الثانی فی المناجاة و الأخلاق، و تخلصه فیه عارف کما أشرنا إلیه.</w:t>
      </w:r>
    </w:p>
    <w:p>
      <w:pPr>
        <w:pStyle w:val="Heading3"/>
      </w:pPr>
      <w:bookmarkStart w:id="6194" w:name="_Toc4890"/>
      <w:r>
        <w:t>4692- دیوان عارف کاشانی أو شعره‏</w:t>
      </w:r>
      <w:bookmarkEnd w:id="6194"/>
    </w:p>
    <w:p>
      <w:pPr>
        <w:pStyle w:val="BookText"/>
      </w:pPr>
      <w:r>
        <w:rPr>
          <w:rFonts w:ascii="IRNazanin" w:hAnsi="IRNazanin" w:eastAsia="IRNazanin" w:cs="IRNazanin"/>
          <w:lang w:bidi="fa-IR"/>
          <w:color w:val="111111"/>
          <w:sz w:val="28"/>
          <w:szCs w:val="28"/>
          <w:rtl/>
        </w:rPr>
        <w:t xml:space="preserve">و اسمه المیر عبد الحسین. ترجمه و أورد شعره معاصره النصرآبادی فی (نر 9- ص 368) و عنه فی (گلشن 269).</w:t>
      </w:r>
    </w:p>
    <w:p>
      <w:pPr>
        <w:pStyle w:val="Heading3"/>
      </w:pPr>
      <w:bookmarkStart w:id="6195" w:name="_Toc4891"/>
      <w:r>
        <w:t>4693- دیوان عارف کرمانی‏</w:t>
      </w:r>
      <w:bookmarkEnd w:id="6195"/>
    </w:p>
    <w:p>
      <w:pPr>
        <w:pStyle w:val="BookText"/>
      </w:pPr>
      <w:r>
        <w:rPr>
          <w:rFonts w:ascii="IRNazanin" w:hAnsi="IRNazanin" w:eastAsia="IRNazanin" w:cs="IRNazanin"/>
          <w:lang w:bidi="fa-IR"/>
          <w:color w:val="111111"/>
          <w:sz w:val="28"/>
          <w:szCs w:val="28"/>
          <w:rtl/>
        </w:rPr>
        <w:t xml:space="preserve">اسمه إسماعیل النقاش ترجمه معاصر النصرآبادی فی (نر 9- ص 382) و ذکر مطلع قصیدته فی مدح الأمیر ع و عنه فی (گلشن- ص 266).</w:t>
      </w:r>
    </w:p>
    <w:p>
      <w:pPr>
        <w:pStyle w:val="Heading3"/>
      </w:pPr>
      <w:bookmarkStart w:id="6196" w:name="_Toc4892"/>
      <w:r>
        <w:t>4694- دیوان عارف گیلانی‏</w:t>
      </w:r>
      <w:bookmarkEnd w:id="6196"/>
    </w:p>
    <w:p>
      <w:pPr>
        <w:pStyle w:val="BookText"/>
      </w:pPr>
      <w:r>
        <w:rPr>
          <w:rFonts w:ascii="IRNazanin" w:hAnsi="IRNazanin" w:eastAsia="IRNazanin" w:cs="IRNazanin"/>
          <w:lang w:bidi="fa-IR"/>
          <w:color w:val="111111"/>
          <w:sz w:val="28"/>
          <w:szCs w:val="28"/>
          <w:rtl/>
        </w:rPr>
        <w:t xml:space="preserve">معاصر النصرآبادی. ترجمه فی (نر 9- ص 429) و أورد شعره و عنه فی (گلشن- ص 267) و عنه فی علما و شعرای گیلان- ص 90.</w:t>
      </w:r>
    </w:p>
    <w:p>
      <w:pPr>
        <w:pStyle w:val="Heading3"/>
      </w:pPr>
      <w:bookmarkStart w:id="6197" w:name="_Toc4893"/>
      <w:r>
        <w:t>4695- دیوان عارف لاهوری‏</w:t>
      </w:r>
      <w:bookmarkEnd w:id="6197"/>
    </w:p>
    <w:p>
      <w:pPr>
        <w:pStyle w:val="BookText"/>
      </w:pPr>
      <w:r>
        <w:rPr>
          <w:rFonts w:ascii="IRNazanin" w:hAnsi="IRNazanin" w:eastAsia="IRNazanin" w:cs="IRNazanin"/>
          <w:lang w:bidi="fa-IR"/>
          <w:color w:val="111111"/>
          <w:sz w:val="28"/>
          <w:szCs w:val="28"/>
          <w:rtl/>
        </w:rPr>
        <w:t xml:space="preserve">کان مقربا عند همت خان. له غیر الدیوان مثنوی سماه مهر و ماه ترجمه و أورد شعره فی (سرخوش- ص 81). و گلستان مسرت ص 329. و (روشن- 422) و (تغ 86).</w:t>
      </w:r>
    </w:p>
    <w:p>
      <w:pPr>
        <w:pStyle w:val="Heading3"/>
      </w:pPr>
      <w:bookmarkStart w:id="6198" w:name="_Toc4894"/>
      <w:r>
        <w:t>4696- دیوان عارف مشهدی‏</w:t>
      </w:r>
      <w:bookmarkEnd w:id="6198"/>
    </w:p>
    <w:p>
      <w:pPr>
        <w:pStyle w:val="BookText"/>
      </w:pPr>
      <w:r>
        <w:rPr>
          <w:rFonts w:ascii="IRNazanin" w:hAnsi="IRNazanin" w:eastAsia="IRNazanin" w:cs="IRNazanin"/>
          <w:lang w:bidi="fa-IR"/>
          <w:color w:val="111111"/>
          <w:sz w:val="28"/>
          <w:szCs w:val="28"/>
          <w:rtl/>
        </w:rPr>
        <w:t xml:space="preserve">أیضا ترجمه معاصره النصرآبادی فی (نر 9- ص 429) و أورد شعره و عنه فی (گلشن- ص 267).</w:t>
      </w:r>
    </w:p>
    <w:p>
      <w:pPr>
        <w:pStyle w:val="Heading3"/>
      </w:pPr>
      <w:bookmarkStart w:id="6199" w:name="_Toc4895"/>
      <w:r>
        <w:t>4697- دیوان عارف هروی أو شعره‏</w:t>
      </w:r>
      <w:bookmarkEnd w:id="6199"/>
    </w:p>
    <w:p>
      <w:pPr>
        <w:pStyle w:val="BookText"/>
      </w:pPr>
      <w:r>
        <w:rPr>
          <w:rFonts w:ascii="IRNazanin" w:hAnsi="IRNazanin" w:eastAsia="IRNazanin" w:cs="IRNazanin"/>
          <w:lang w:bidi="fa-IR"/>
          <w:color w:val="111111"/>
          <w:sz w:val="28"/>
          <w:szCs w:val="28"/>
          <w:rtl/>
        </w:rPr>
        <w:t xml:space="preserve">کان خطاطا فی عصر السلطان حسین بایقرا. أورد شعره فی (روشن- ص 423) و فی نگارستان سخن أنه یزدی.</w:t>
      </w:r>
    </w:p>
    <w:p>
      <w:pPr>
        <w:pStyle w:val="Heading3"/>
      </w:pPr>
      <w:bookmarkStart w:id="6200" w:name="_Toc4896"/>
      <w:r>
        <w:t>دیوان عارف هندی‏</w:t>
      </w:r>
      <w:bookmarkEnd w:id="6200"/>
    </w:p>
    <w:p>
      <w:pPr>
        <w:pStyle w:val="BookText"/>
      </w:pPr>
      <w:r>
        <w:rPr>
          <w:rFonts w:ascii="IRNazanin" w:hAnsi="IRNazanin" w:eastAsia="IRNazanin" w:cs="IRNazanin"/>
          <w:lang w:bidi="fa-IR"/>
          <w:color w:val="111111"/>
          <w:sz w:val="28"/>
          <w:szCs w:val="28"/>
          <w:rtl/>
        </w:rPr>
        <w:t xml:space="preserve">أدرکه المولی سالک القزوینی و أنشد عنه شعره کما ذکر النصرآبادی فی (نر 11- ص 448) و هو غیر المولی محمد عارف المتخلص بالبقائی مؤلف کتاب تذکره الشعراء المسمی مجمع الفضلاء الذی هو من مآخذ خزانة عامرة، و حکی عنه مکررا منها فی (ص 462) و الظاهر أنه البلگرامی المذکور فی (ص 667).</w:t>
      </w:r>
    </w:p>
    <w:p>
      <w:pPr>
        <w:pStyle w:val="Heading3"/>
      </w:pPr>
      <w:bookmarkStart w:id="6201" w:name="_Toc4897"/>
      <w:r>
        <w:t>دیوان عارفی‏</w:t>
      </w:r>
      <w:bookmarkEnd w:id="6201"/>
    </w:p>
    <w:p>
      <w:pPr>
        <w:pStyle w:val="BookText"/>
      </w:pPr>
      <w:r>
        <w:rPr>
          <w:rFonts w:ascii="IRNazanin" w:hAnsi="IRNazanin" w:eastAsia="IRNazanin" w:cs="IRNazanin"/>
          <w:lang w:bidi="fa-IR"/>
          <w:color w:val="111111"/>
          <w:sz w:val="28"/>
          <w:szCs w:val="28"/>
          <w:rtl/>
        </w:rPr>
        <w:t xml:space="preserve">فارسی للسلطان مسعود میرزا ابن السلطان محمود الغازی المتوفی‏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664" w:name="pg11704_122147"/>
    <w:bookmarkEnd w:id="664"/>
    <w:p>
      <w:pPr>
        <w:pStyle w:val="BookText"/>
      </w:pPr>
      <w:r>
        <w:rPr>
          <w:rFonts w:ascii="IRNazanin" w:hAnsi="IRNazanin" w:eastAsia="IRNazanin" w:cs="IRNazanin"/>
          <w:lang w:bidi="fa-IR"/>
          <w:color w:val="111111"/>
          <w:sz w:val="28"/>
          <w:szCs w:val="28"/>
          <w:rtl/>
        </w:rPr>
        <w:t xml:space="preserve">(901) و فی دیوانه الترکی بتخلصه شاهی و یأتی بعنوان اسمه مسعود.</w:t>
      </w:r>
    </w:p>
    <w:p>
      <w:pPr>
        <w:pStyle w:val="Heading3"/>
      </w:pPr>
      <w:bookmarkStart w:id="6202" w:name="_Toc4898"/>
      <w:r>
        <w:t>4698- دیوان عارفی أفشار</w:t>
      </w:r>
      <w:bookmarkEnd w:id="6202"/>
    </w:p>
    <w:p>
      <w:pPr>
        <w:pStyle w:val="BookText"/>
      </w:pPr>
      <w:r>
        <w:rPr>
          <w:rFonts w:ascii="IRNazanin" w:hAnsi="IRNazanin" w:eastAsia="IRNazanin" w:cs="IRNazanin"/>
          <w:lang w:bidi="fa-IR"/>
          <w:color w:val="111111"/>
          <w:sz w:val="28"/>
          <w:szCs w:val="28"/>
          <w:rtl/>
        </w:rPr>
        <w:t xml:space="preserve">و هو الآقا محمد رحیم نائب الصدر الأفشار کان مرید المیر نصر الله صدر الأردبیلی. و توفی حدود 1285 ترجمه فی (المآثر- ص 222) قال دیوان غزله مشهور.</w:t>
      </w:r>
    </w:p>
    <w:p>
      <w:pPr>
        <w:pStyle w:val="Heading3"/>
      </w:pPr>
      <w:bookmarkStart w:id="6203" w:name="_Toc4899"/>
      <w:r>
        <w:t>4699- دیوان عارفی الرازی أو شعره‏</w:t>
      </w:r>
      <w:bookmarkEnd w:id="6203"/>
    </w:p>
    <w:p>
      <w:pPr>
        <w:pStyle w:val="BookText"/>
      </w:pPr>
      <w:r>
        <w:rPr>
          <w:rFonts w:ascii="IRNazanin" w:hAnsi="IRNazanin" w:eastAsia="IRNazanin" w:cs="IRNazanin"/>
          <w:lang w:bidi="fa-IR"/>
          <w:color w:val="111111"/>
          <w:sz w:val="28"/>
          <w:szCs w:val="28"/>
          <w:rtl/>
        </w:rPr>
        <w:t xml:space="preserve">کان من دهاقین الری کما ذکره معاصره سام میرزا فی (تس 5- ص 158) و أورد شعره.</w:t>
      </w:r>
    </w:p>
    <w:p>
      <w:pPr>
        <w:pStyle w:val="Heading3"/>
      </w:pPr>
      <w:bookmarkStart w:id="6204" w:name="_Toc4900"/>
      <w:r>
        <w:t>دیوان عارفی شیرازی‏</w:t>
      </w:r>
      <w:bookmarkEnd w:id="6204"/>
    </w:p>
    <w:p>
      <w:pPr>
        <w:pStyle w:val="BookText"/>
      </w:pPr>
      <w:r>
        <w:rPr>
          <w:rFonts w:ascii="IRNazanin" w:hAnsi="IRNazanin" w:eastAsia="IRNazanin" w:cs="IRNazanin"/>
          <w:lang w:bidi="fa-IR"/>
          <w:color w:val="111111"/>
          <w:sz w:val="28"/>
          <w:szCs w:val="28"/>
          <w:rtl/>
        </w:rPr>
        <w:t xml:space="preserve">راجع عارفی هروی.</w:t>
      </w:r>
    </w:p>
    <w:p>
      <w:pPr>
        <w:pStyle w:val="Heading3"/>
      </w:pPr>
      <w:bookmarkStart w:id="6205" w:name="_Toc4901"/>
      <w:r>
        <w:t>4700- دیوان عارفی قزوینی‏</w:t>
      </w:r>
      <w:bookmarkEnd w:id="6205"/>
    </w:p>
    <w:p>
      <w:pPr>
        <w:pStyle w:val="BookText"/>
      </w:pPr>
      <w:r>
        <w:rPr>
          <w:rFonts w:ascii="IRNazanin" w:hAnsi="IRNazanin" w:eastAsia="IRNazanin" w:cs="IRNazanin"/>
          <w:lang w:bidi="fa-IR"/>
          <w:color w:val="111111"/>
          <w:sz w:val="28"/>
          <w:szCs w:val="28"/>
          <w:rtl/>
        </w:rPr>
        <w:t xml:space="preserve">من طلاب العلوم. ترجمه سام میرزا فی (تس 5- ص 173) و أورد شعره.</w:t>
      </w:r>
    </w:p>
    <w:p>
      <w:pPr>
        <w:pStyle w:val="Heading3"/>
      </w:pPr>
      <w:bookmarkStart w:id="6206" w:name="_Toc4902"/>
      <w:r>
        <w:t>4701- دیوان عارفی هروی‏</w:t>
      </w:r>
      <w:bookmarkEnd w:id="6206"/>
    </w:p>
    <w:p>
      <w:pPr>
        <w:pStyle w:val="BookText"/>
      </w:pPr>
      <w:r>
        <w:rPr>
          <w:rFonts w:ascii="IRNazanin" w:hAnsi="IRNazanin" w:eastAsia="IRNazanin" w:cs="IRNazanin"/>
          <w:lang w:bidi="fa-IR"/>
          <w:color w:val="111111"/>
          <w:sz w:val="28"/>
          <w:szCs w:val="28"/>
          <w:rtl/>
        </w:rPr>
        <w:t xml:space="preserve">و هو المولی محمود بن محمد (791- 850) نظم مثنوی حال‏نامه أو گوی و چوگان بالفارسیة فی (500 بیت) فی سنة 842 فی أسبوعین و قد طبع باهتمام گرین سیلز بلندن فی 1931 م عن نسخه کتبت 952 موجودة بکمبریج ترجمه فی (مجن 1 ص 20 و 194) و (دولت- ص 302) و (تش- ص 286) و قال دفن بهرات و کان یعرف سلمان الثانی لأنه تتبع سلمان الساوجی و نسبه فی (روشن- ص 423) إلی شیراز، و ترجمه براون فی از سعدی تا جامی- ص 500 و عد فی هدیة العارفین- 2: 411 حال‏نامه غیر گوی و چوگان و توجد ثلاث نسخ من حال‏نامه فی المکتبة الشاهیة بطهران کتب أحدها فی (874) کما فی نمونه خطوط خوش- ص 124 و 130 و 135 و نسخه عند (الملک)</w:t>
      </w:r>
    </w:p>
    <w:p>
      <w:pPr>
        <w:pStyle w:val="Heading3"/>
      </w:pPr>
      <w:bookmarkStart w:id="6207" w:name="_Toc4903"/>
      <w:r>
        <w:t>4702- دیوان عاری بوشهری أو شعره‏</w:t>
      </w:r>
      <w:bookmarkEnd w:id="6207"/>
    </w:p>
    <w:p>
      <w:pPr>
        <w:pStyle w:val="BookText"/>
      </w:pPr>
      <w:r>
        <w:rPr>
          <w:rFonts w:ascii="IRNazanin" w:hAnsi="IRNazanin" w:eastAsia="IRNazanin" w:cs="IRNazanin"/>
          <w:lang w:bidi="fa-IR"/>
          <w:color w:val="111111"/>
          <w:sz w:val="28"/>
          <w:szCs w:val="28"/>
          <w:rtl/>
        </w:rPr>
        <w:t xml:space="preserve">و اسمه محمد علی خان بن معتمد السلطان أحمد خان المتخلص سرتیپ المذکور فی (ص 438) نقلا عن (عم- ص 372)</w:t>
      </w:r>
    </w:p>
    <w:p>
      <w:pPr>
        <w:pStyle w:val="Heading3"/>
      </w:pPr>
      <w:bookmarkStart w:id="6208" w:name="_Toc4904"/>
      <w:r>
        <w:t>4703- دیوان عاشق‏</w:t>
      </w:r>
      <w:bookmarkEnd w:id="6208"/>
    </w:p>
    <w:p>
      <w:pPr>
        <w:pStyle w:val="BookText"/>
      </w:pPr>
      <w:r>
        <w:rPr>
          <w:rFonts w:ascii="IRNazanin" w:hAnsi="IRNazanin" w:eastAsia="IRNazanin" w:cs="IRNazanin"/>
          <w:lang w:bidi="fa-IR"/>
          <w:color w:val="111111"/>
          <w:sz w:val="28"/>
          <w:szCs w:val="28"/>
          <w:rtl/>
        </w:rPr>
        <w:t xml:space="preserve">لم یعلم اسمه نسخه منه عند الشیخ مهدی شرف الدین التستری أوله:</w:t>
      </w:r>
    </w:p>
    <w:p>
      <w:pPr>
        <w:pStyle w:val="BookText"/>
      </w:pPr>
      <w:r>
        <w:rPr>
          <w:rFonts w:ascii="IRNazanin" w:hAnsi="IRNazanin" w:eastAsia="IRNazanin" w:cs="IRNazanin"/>
          <w:lang w:bidi="fa-IR"/>
          <w:color w:val="111111"/>
          <w:sz w:val="28"/>
          <w:szCs w:val="28"/>
          <w:rtl/>
        </w:rPr>
        <w:t xml:space="preserve">ز هی مثالی که چون مثالت‏</w:t>
      </w:r>
    </w:p>
    <w:p>
      <w:pPr>
        <w:pStyle w:val="BookText"/>
      </w:pPr>
      <w:r>
        <w:rPr>
          <w:rFonts w:ascii="IRNazanin" w:hAnsi="IRNazanin" w:eastAsia="IRNazanin" w:cs="IRNazanin"/>
          <w:lang w:bidi="fa-IR"/>
          <w:color w:val="111111"/>
          <w:sz w:val="28"/>
          <w:szCs w:val="28"/>
          <w:rtl/>
        </w:rPr>
        <w:t xml:space="preserve">نبسته نقشی زمانه زیبا</w:t>
      </w:r>
    </w:p>
    <w:p>
      <w:pPr>
        <w:pStyle w:val="BookText"/>
      </w:pPr>
      <w:r>
        <w:rPr>
          <w:rFonts w:ascii="IRNazanin" w:hAnsi="IRNazanin" w:eastAsia="IRNazanin" w:cs="IRNazanin"/>
          <w:lang w:bidi="fa-IR"/>
          <w:color w:val="111111"/>
          <w:sz w:val="28"/>
          <w:szCs w:val="28"/>
          <w:rtl/>
        </w:rPr>
        <w:t xml:space="preserve">به خنده شیرین، ببذله شکر</w:t>
      </w:r>
    </w:p>
    <w:p>
      <w:pPr>
        <w:pStyle w:val="BookText"/>
      </w:pPr>
      <w:r>
        <w:rPr>
          <w:rFonts w:ascii="IRNazanin" w:hAnsi="IRNazanin" w:eastAsia="IRNazanin" w:cs="IRNazanin"/>
          <w:lang w:bidi="fa-IR"/>
          <w:color w:val="111111"/>
          <w:sz w:val="28"/>
          <w:szCs w:val="28"/>
          <w:rtl/>
        </w:rPr>
        <w:t xml:space="preserve">بغمزه لیلة، بعشوه سلمی‏</w:t>
      </w:r>
    </w:p>
    <w:p>
      <w:pPr>
        <w:pStyle w:val="BookText"/>
      </w:pPr>
      <w:r>
        <w:rPr>
          <w:rFonts w:ascii="IRNazanin" w:hAnsi="IRNazanin" w:eastAsia="IRNazanin" w:cs="IRNazanin"/>
          <w:lang w:bidi="fa-IR"/>
          <w:color w:val="111111"/>
          <w:sz w:val="28"/>
          <w:szCs w:val="28"/>
          <w:rtl/>
        </w:rPr>
        <w:t xml:space="preserve">و قال فی تخلصه: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665" w:name="pg11704_122148"/>
    <w:bookmarkEnd w:id="665"/>
    <w:p>
      <w:pPr>
        <w:pStyle w:val="BookText"/>
      </w:pPr>
      <w:r>
        <w:rPr>
          <w:rFonts w:ascii="IRNazanin" w:hAnsi="IRNazanin" w:eastAsia="IRNazanin" w:cs="IRNazanin"/>
          <w:lang w:bidi="fa-IR"/>
          <w:color w:val="111111"/>
          <w:sz w:val="28"/>
          <w:szCs w:val="28"/>
          <w:rtl/>
        </w:rPr>
        <w:t xml:space="preserve">صلای عیس و، صفای محمل‏</w:t>
      </w:r>
    </w:p>
    <w:p>
      <w:pPr>
        <w:pStyle w:val="BookText"/>
      </w:pPr>
      <w:r>
        <w:rPr>
          <w:rFonts w:ascii="IRNazanin" w:hAnsi="IRNazanin" w:eastAsia="IRNazanin" w:cs="IRNazanin"/>
          <w:lang w:bidi="fa-IR"/>
          <w:color w:val="111111"/>
          <w:sz w:val="28"/>
          <w:szCs w:val="28"/>
          <w:rtl/>
        </w:rPr>
        <w:t xml:space="preserve">ستاده ساقی، نشسته بیدل‏</w:t>
      </w:r>
    </w:p>
    <w:p>
      <w:pPr>
        <w:pStyle w:val="BookText"/>
      </w:pPr>
      <w:r>
        <w:rPr>
          <w:rFonts w:ascii="IRNazanin" w:hAnsi="IRNazanin" w:eastAsia="IRNazanin" w:cs="IRNazanin"/>
          <w:lang w:bidi="fa-IR"/>
          <w:color w:val="111111"/>
          <w:sz w:val="28"/>
          <w:szCs w:val="28"/>
          <w:rtl/>
        </w:rPr>
        <w:t xml:space="preserve">به خنده آن مه، چنان‏که ساغر</w:t>
      </w:r>
    </w:p>
    <w:p>
      <w:pPr>
        <w:pStyle w:val="BookText"/>
      </w:pPr>
      <w:r>
        <w:rPr>
          <w:rFonts w:ascii="IRNazanin" w:hAnsi="IRNazanin" w:eastAsia="IRNazanin" w:cs="IRNazanin"/>
          <w:lang w:bidi="fa-IR"/>
          <w:color w:val="111111"/>
          <w:sz w:val="28"/>
          <w:szCs w:val="28"/>
          <w:rtl/>
        </w:rPr>
        <w:t xml:space="preserve">به گریه عاشق، چنان‏که مینا</w:t>
      </w:r>
    </w:p>
    <w:p>
      <w:pPr>
        <w:pStyle w:val="Heading3"/>
      </w:pPr>
      <w:bookmarkStart w:id="6209" w:name="_Toc4905"/>
      <w:r>
        <w:t>4704- دیوان عاشق الأصفهانی‏</w:t>
      </w:r>
      <w:bookmarkEnd w:id="6209"/>
    </w:p>
    <w:p>
      <w:pPr>
        <w:pStyle w:val="BookText"/>
      </w:pPr>
      <w:r>
        <w:rPr>
          <w:rFonts w:ascii="IRNazanin" w:hAnsi="IRNazanin" w:eastAsia="IRNazanin" w:cs="IRNazanin"/>
          <w:lang w:bidi="fa-IR"/>
          <w:color w:val="111111"/>
          <w:sz w:val="28"/>
          <w:szCs w:val="28"/>
          <w:rtl/>
        </w:rPr>
        <w:t xml:space="preserve">هو لآقا محمد الخیاط الأصفهانی المتوفی بها فی (1181) عن سبعین سنة و دیوان غزلیاته معروف و فیه مضامین غرامیة کثیرة و أطرأه السید عبد اللطیف فی تحفه العالم ص 144 و ذکر أنه أزید من عشرة آلاف بیت و أورد بعض مختارها، و کذا أورد بعضها فی آتشکده آذر و رأیت نسخه منه فی مکتبة (الخوانساری) فی النجف کلها غزلیات لطیفة أوله:</w:t>
      </w:r>
    </w:p>
    <w:p>
      <w:pPr>
        <w:pStyle w:val="BookText"/>
      </w:pPr>
      <w:r>
        <w:rPr>
          <w:rFonts w:ascii="IRNazanin" w:hAnsi="IRNazanin" w:eastAsia="IRNazanin" w:cs="IRNazanin"/>
          <w:lang w:bidi="fa-IR"/>
          <w:color w:val="111111"/>
          <w:sz w:val="28"/>
          <w:szCs w:val="28"/>
          <w:rtl/>
        </w:rPr>
        <w:t xml:space="preserve">غیر از جمال شاهد حق در میانه کیست‏</w:t>
      </w:r>
    </w:p>
    <w:p>
      <w:pPr>
        <w:pStyle w:val="BookText"/>
      </w:pPr>
      <w:r>
        <w:rPr>
          <w:rFonts w:ascii="IRNazanin" w:hAnsi="IRNazanin" w:eastAsia="IRNazanin" w:cs="IRNazanin"/>
          <w:lang w:bidi="fa-IR"/>
          <w:color w:val="111111"/>
          <w:sz w:val="28"/>
          <w:szCs w:val="28"/>
          <w:rtl/>
        </w:rPr>
        <w:t xml:space="preserve">جز شاهباز حسن در این آشیانه کیست‏</w:t>
      </w:r>
    </w:p>
    <w:p>
      <w:pPr>
        <w:pStyle w:val="BookText"/>
      </w:pPr>
      <w:r>
        <w:rPr>
          <w:rFonts w:ascii="IRNazanin" w:hAnsi="IRNazanin" w:eastAsia="IRNazanin" w:cs="IRNazanin"/>
          <w:lang w:bidi="fa-IR"/>
          <w:color w:val="111111"/>
          <w:sz w:val="28"/>
          <w:szCs w:val="28"/>
          <w:rtl/>
        </w:rPr>
        <w:t xml:space="preserve">إلی قوله فی التخلص:</w:t>
      </w:r>
    </w:p>
    <w:p>
      <w:pPr>
        <w:pStyle w:val="BookText"/>
      </w:pPr>
      <w:r>
        <w:rPr>
          <w:rFonts w:ascii="IRNazanin" w:hAnsi="IRNazanin" w:eastAsia="IRNazanin" w:cs="IRNazanin"/>
          <w:lang w:bidi="fa-IR"/>
          <w:color w:val="111111"/>
          <w:sz w:val="28"/>
          <w:szCs w:val="28"/>
          <w:rtl/>
        </w:rPr>
        <w:t xml:space="preserve">عاشق زبان مبند در این درگه سؤال‏</w:t>
      </w:r>
    </w:p>
    <w:p>
      <w:pPr>
        <w:pStyle w:val="BookText"/>
      </w:pPr>
      <w:r>
        <w:rPr>
          <w:rFonts w:ascii="IRNazanin" w:hAnsi="IRNazanin" w:eastAsia="IRNazanin" w:cs="IRNazanin"/>
          <w:lang w:bidi="fa-IR"/>
          <w:color w:val="111111"/>
          <w:sz w:val="28"/>
          <w:szCs w:val="28"/>
          <w:rtl/>
        </w:rPr>
        <w:t xml:space="preserve">شاید کند سؤال که بر آستانه کیست‏</w:t>
      </w:r>
    </w:p>
    <w:p>
      <w:pPr>
        <w:pStyle w:val="BookText"/>
      </w:pPr>
      <w:r>
        <w:rPr>
          <w:rFonts w:ascii="IRNazanin" w:hAnsi="IRNazanin" w:eastAsia="IRNazanin" w:cs="IRNazanin"/>
          <w:lang w:bidi="fa-IR"/>
          <w:color w:val="111111"/>
          <w:sz w:val="28"/>
          <w:szCs w:val="28"/>
          <w:rtl/>
        </w:rPr>
        <w:t xml:space="preserve">و توجد نسخه عند ألفت بأصفهان و (فخر الدین) و (الملک) فیها أشعار من (1160) إلی (1180) و (المجلس) کما فی فهرسها (3: 346 و 676) و ترجمه فی (تش- ص 398) و (مع- ج 2 ص 346) و (انجمن 4) و فی مقدمه طبع الدیوان فی (1318 ش) بطهران لحسین مکی و توفی (1181) و قال صباحی فی تاریخه:</w:t>
      </w:r>
    </w:p>
    <w:p>
      <w:pPr>
        <w:pStyle w:val="BookText"/>
      </w:pPr>
      <w:r>
        <w:rPr>
          <w:rFonts w:ascii="IRNazanin" w:hAnsi="IRNazanin" w:eastAsia="IRNazanin" w:cs="IRNazanin"/>
          <w:lang w:bidi="fa-IR"/>
          <w:color w:val="111111"/>
          <w:sz w:val="28"/>
          <w:szCs w:val="28"/>
          <w:rtl/>
        </w:rPr>
        <w:t xml:space="preserve">زد کلک صباحیش بتاریخ رقم‏</w:t>
      </w:r>
    </w:p>
    <w:p>
      <w:pPr>
        <w:pStyle w:val="BookText"/>
      </w:pPr>
      <w:r>
        <w:rPr>
          <w:rFonts w:ascii="IRNazanin" w:hAnsi="IRNazanin" w:eastAsia="IRNazanin" w:cs="IRNazanin"/>
          <w:lang w:bidi="fa-IR"/>
          <w:color w:val="111111"/>
          <w:sz w:val="28"/>
          <w:szCs w:val="28"/>
          <w:rtl/>
        </w:rPr>
        <w:t xml:space="preserve">پیوسته جنان بود مکان عاشق‏</w:t>
      </w:r>
    </w:p>
    <w:p>
      <w:pPr>
        <w:pStyle w:val="Heading3"/>
      </w:pPr>
      <w:bookmarkStart w:id="6210" w:name="_Toc4906"/>
      <w:r>
        <w:t>دیوان عاشق أکبرآبادی‏</w:t>
      </w:r>
      <w:bookmarkEnd w:id="6210"/>
    </w:p>
    <w:p>
      <w:pPr>
        <w:pStyle w:val="BookText"/>
      </w:pPr>
      <w:r>
        <w:rPr>
          <w:rFonts w:ascii="IRNazanin" w:hAnsi="IRNazanin" w:eastAsia="IRNazanin" w:cs="IRNazanin"/>
          <w:lang w:bidi="fa-IR"/>
          <w:color w:val="111111"/>
          <w:sz w:val="28"/>
          <w:szCs w:val="28"/>
          <w:rtl/>
        </w:rPr>
        <w:t xml:space="preserve">راجع عاشق هندی‏</w:t>
      </w:r>
    </w:p>
    <w:p>
      <w:pPr>
        <w:pStyle w:val="Heading3"/>
      </w:pPr>
      <w:bookmarkStart w:id="6211" w:name="_Toc4907"/>
      <w:r>
        <w:t>4705- دیوان عاشق سمرقندی أو شعره‏</w:t>
      </w:r>
      <w:bookmarkEnd w:id="6211"/>
    </w:p>
    <w:p>
      <w:pPr>
        <w:pStyle w:val="BookText"/>
      </w:pPr>
      <w:r>
        <w:rPr>
          <w:rFonts w:ascii="IRNazanin" w:hAnsi="IRNazanin" w:eastAsia="IRNazanin" w:cs="IRNazanin"/>
          <w:lang w:bidi="fa-IR"/>
          <w:color w:val="111111"/>
          <w:sz w:val="28"/>
          <w:szCs w:val="28"/>
          <w:rtl/>
        </w:rPr>
        <w:t xml:space="preserve">یکنی أبا الخیر الخوارزمی، من شعراء السلطان حسین بایقرا بهرات و مات فی 957 بما وراء النهر أورد شعره فی (گلشن- ص 270) و عنه فی القاموس الترکی ثم الریحانة</w:t>
      </w:r>
    </w:p>
    <w:p>
      <w:pPr>
        <w:pStyle w:val="Heading3"/>
      </w:pPr>
      <w:bookmarkStart w:id="6212" w:name="_Toc4908"/>
      <w:r>
        <w:t>4706- دیوان عاشق شیرازی أو شعره‏</w:t>
      </w:r>
      <w:bookmarkEnd w:id="6212"/>
    </w:p>
    <w:p>
      <w:pPr>
        <w:pStyle w:val="BookText"/>
      </w:pPr>
      <w:r>
        <w:rPr>
          <w:rFonts w:ascii="IRNazanin" w:hAnsi="IRNazanin" w:eastAsia="IRNazanin" w:cs="IRNazanin"/>
          <w:lang w:bidi="fa-IR"/>
          <w:color w:val="111111"/>
          <w:sz w:val="28"/>
          <w:szCs w:val="28"/>
          <w:rtl/>
        </w:rPr>
        <w:t xml:space="preserve">و اسمه إبراهیم خان من الزندیة بشیراز أورد شعره فی (عم- ص 563)</w:t>
      </w:r>
    </w:p>
    <w:p>
      <w:pPr>
        <w:pStyle w:val="Heading3"/>
      </w:pPr>
      <w:bookmarkStart w:id="6213" w:name="_Toc4909"/>
      <w:r>
        <w:t>دیوان عاشق لکهنوی‏</w:t>
      </w:r>
      <w:bookmarkEnd w:id="6213"/>
    </w:p>
    <w:p>
      <w:pPr>
        <w:pStyle w:val="BookText"/>
      </w:pPr>
      <w:r>
        <w:rPr>
          <w:rFonts w:ascii="IRNazanin" w:hAnsi="IRNazanin" w:eastAsia="IRNazanin" w:cs="IRNazanin"/>
          <w:lang w:bidi="fa-IR"/>
          <w:color w:val="111111"/>
          <w:sz w:val="28"/>
          <w:szCs w:val="28"/>
          <w:rtl/>
        </w:rPr>
        <w:t xml:space="preserve">مر بعنوان دیوان رهین لکهنوی‏</w:t>
      </w:r>
    </w:p>
    <w:p>
      <w:pPr>
        <w:pStyle w:val="Heading3"/>
      </w:pPr>
      <w:bookmarkStart w:id="6214" w:name="_Toc4910"/>
      <w:r>
        <w:t>دیوان عاشق همت‏</w:t>
      </w:r>
      <w:bookmarkEnd w:id="6214"/>
    </w:p>
    <w:p>
      <w:pPr>
        <w:pStyle w:val="BookText"/>
      </w:pPr>
      <w:r>
        <w:rPr>
          <w:rFonts w:ascii="IRNazanin" w:hAnsi="IRNazanin" w:eastAsia="IRNazanin" w:cs="IRNazanin"/>
          <w:lang w:bidi="fa-IR"/>
          <w:color w:val="111111"/>
          <w:sz w:val="28"/>
          <w:szCs w:val="28"/>
          <w:rtl/>
        </w:rPr>
        <w:t xml:space="preserve">راجع دیوان همت‏</w:t>
      </w:r>
    </w:p>
    <w:p>
      <w:pPr>
        <w:pStyle w:val="Heading3"/>
      </w:pPr>
      <w:bookmarkStart w:id="6215" w:name="_Toc4911"/>
      <w:r>
        <w:t>4707- دیوان عاشق هندی أو شعره‏</w:t>
      </w:r>
      <w:bookmarkEnd w:id="6215"/>
    </w:p>
    <w:p>
      <w:pPr>
        <w:pStyle w:val="BookText"/>
      </w:pPr>
      <w:r>
        <w:rPr>
          <w:rFonts w:ascii="IRNazanin" w:hAnsi="IRNazanin" w:eastAsia="IRNazanin" w:cs="IRNazanin"/>
          <w:lang w:bidi="fa-IR"/>
          <w:color w:val="111111"/>
          <w:sz w:val="28"/>
          <w:szCs w:val="28"/>
          <w:rtl/>
        </w:rPr>
        <w:t xml:space="preserve">و هو کرم الدین بن شکر الله بن عاقل خان‏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666" w:name="pg11704_122149"/>
    <w:bookmarkEnd w:id="666"/>
    <w:p>
      <w:pPr>
        <w:pStyle w:val="BookText"/>
      </w:pPr>
      <w:r>
        <w:rPr>
          <w:rFonts w:ascii="IRNazanin" w:hAnsi="IRNazanin" w:eastAsia="IRNazanin" w:cs="IRNazanin"/>
          <w:lang w:bidi="fa-IR"/>
          <w:color w:val="111111"/>
          <w:sz w:val="28"/>
          <w:szCs w:val="28"/>
          <w:rtl/>
        </w:rPr>
        <w:t xml:space="preserve">ترجمه و أورد شعره فی (سرخوش- ص 80) و (تغ- ص 86) و هدیة العارفین 1: 838 مات 1125</w:t>
      </w:r>
    </w:p>
    <w:p>
      <w:pPr>
        <w:pStyle w:val="Heading3"/>
      </w:pPr>
      <w:bookmarkStart w:id="6216" w:name="_Toc4912"/>
      <w:r>
        <w:t>4708- دیوان عاشق هندی‏</w:t>
      </w:r>
      <w:bookmarkEnd w:id="6216"/>
    </w:p>
    <w:p>
      <w:pPr>
        <w:pStyle w:val="BookText"/>
      </w:pPr>
      <w:r>
        <w:rPr>
          <w:rFonts w:ascii="IRNazanin" w:hAnsi="IRNazanin" w:eastAsia="IRNazanin" w:cs="IRNazanin"/>
          <w:lang w:bidi="fa-IR"/>
          <w:color w:val="111111"/>
          <w:sz w:val="28"/>
          <w:szCs w:val="28"/>
          <w:rtl/>
        </w:rPr>
        <w:t xml:space="preserve">و اسمه مهدی علی خان ابن علی مراد خان له دیوانان بالفارسیة و ثلاثة دواوین بالأردویة و منظومة فی غزوات الأمیر ع اسمه حمله حیدری مطبوع ترجمه فی (گلشن- ص 270) و عنه فی القاموس الترکی ثم الریحانة</w:t>
      </w:r>
    </w:p>
    <w:p>
      <w:pPr>
        <w:pStyle w:val="Heading3"/>
      </w:pPr>
      <w:bookmarkStart w:id="6217" w:name="_Toc4913"/>
      <w:r>
        <w:t>4709- دیوان عاشقی خراسانی‏</w:t>
      </w:r>
      <w:bookmarkEnd w:id="6217"/>
    </w:p>
    <w:p>
      <w:pPr>
        <w:pStyle w:val="BookText"/>
      </w:pPr>
      <w:r>
        <w:rPr>
          <w:rFonts w:ascii="IRNazanin" w:hAnsi="IRNazanin" w:eastAsia="IRNazanin" w:cs="IRNazanin"/>
          <w:lang w:bidi="fa-IR"/>
          <w:color w:val="111111"/>
          <w:sz w:val="28"/>
          <w:szCs w:val="28"/>
          <w:rtl/>
        </w:rPr>
        <w:t xml:space="preserve">سافر ماشیا الحج البیت الحرام و زیارة النبی ص و دون دیوان غزلیاته و قصائده الحسنة ذکره سام میرزا فی (تس 5- ص 139) و أورد بعض غزلیاته‏</w:t>
      </w:r>
    </w:p>
    <w:p>
      <w:pPr>
        <w:pStyle w:val="Heading3"/>
      </w:pPr>
      <w:bookmarkStart w:id="6218" w:name="_Toc4914"/>
      <w:r>
        <w:t>4710- دیوان أمیر عاشقی تربتی‏</w:t>
      </w:r>
      <w:bookmarkEnd w:id="6218"/>
    </w:p>
    <w:p>
      <w:pPr>
        <w:pStyle w:val="BookText"/>
      </w:pPr>
      <w:r>
        <w:rPr>
          <w:rFonts w:ascii="IRNazanin" w:hAnsi="IRNazanin" w:eastAsia="IRNazanin" w:cs="IRNazanin"/>
          <w:lang w:bidi="fa-IR"/>
          <w:color w:val="111111"/>
          <w:sz w:val="28"/>
          <w:szCs w:val="28"/>
          <w:rtl/>
        </w:rPr>
        <w:t xml:space="preserve">بلغ عمره التسعین و کان حریصا فی نظم الشعر حتی أنه کان ینظم الشعر فی تشییعه لجنازة أخیه و توفی 945 کما ترجمه سام میرزا فی (تس 2- ص 34) و أورد شعره و قال فی (روشن- 425) إن دیوانه فی خمسة عشر ألف بیت‏</w:t>
      </w:r>
    </w:p>
    <w:p>
      <w:pPr>
        <w:pStyle w:val="Heading3"/>
      </w:pPr>
      <w:bookmarkStart w:id="6219" w:name="_Toc4915"/>
      <w:r>
        <w:t>دیوان عاشقی سیستانی‏</w:t>
      </w:r>
      <w:bookmarkEnd w:id="6219"/>
    </w:p>
    <w:p>
      <w:pPr>
        <w:pStyle w:val="BookText"/>
      </w:pPr>
      <w:r>
        <w:rPr>
          <w:rFonts w:ascii="IRNazanin" w:hAnsi="IRNazanin" w:eastAsia="IRNazanin" w:cs="IRNazanin"/>
          <w:lang w:bidi="fa-IR"/>
          <w:color w:val="111111"/>
          <w:sz w:val="28"/>
          <w:szCs w:val="28"/>
          <w:rtl/>
        </w:rPr>
        <w:t xml:space="preserve">أورد شعره فی (تش- ص 81) و أطرأه و الظاهر أنه الخراسانی أو التربتی‏</w:t>
      </w:r>
    </w:p>
    <w:p>
      <w:pPr>
        <w:pStyle w:val="Heading3"/>
      </w:pPr>
      <w:bookmarkStart w:id="6220" w:name="_Toc4916"/>
      <w:r>
        <w:t>4711- دیوان عاشقی عظیم‏آبادی‏</w:t>
      </w:r>
      <w:bookmarkEnd w:id="6220"/>
    </w:p>
    <w:p>
      <w:pPr>
        <w:pStyle w:val="BookText"/>
      </w:pPr>
      <w:r>
        <w:rPr>
          <w:rFonts w:ascii="IRNazanin" w:hAnsi="IRNazanin" w:eastAsia="IRNazanin" w:cs="IRNazanin"/>
          <w:lang w:bidi="fa-IR"/>
          <w:color w:val="111111"/>
          <w:sz w:val="28"/>
          <w:szCs w:val="28"/>
          <w:rtl/>
        </w:rPr>
        <w:t xml:space="preserve">و هو حسین قلی ابن علی خان الهندی (1194- 1233) عمر أربعین سنة و له تذکره للشعراء اسمه نشتر عشق أورد شعره فی (گلشن- ص 271) و عنه فی هدیة العارفین 1: 229</w:t>
      </w:r>
    </w:p>
    <w:p>
      <w:pPr>
        <w:pStyle w:val="Heading3"/>
      </w:pPr>
      <w:bookmarkStart w:id="6221" w:name="_Toc4917"/>
      <w:r>
        <w:t>دیوان عاشقی هروی‏</w:t>
      </w:r>
      <w:bookmarkEnd w:id="6221"/>
    </w:p>
    <w:p>
      <w:pPr>
        <w:pStyle w:val="BookText"/>
      </w:pPr>
      <w:r>
        <w:rPr>
          <w:rFonts w:ascii="IRNazanin" w:hAnsi="IRNazanin" w:eastAsia="IRNazanin" w:cs="IRNazanin"/>
          <w:lang w:bidi="fa-IR"/>
          <w:color w:val="111111"/>
          <w:sz w:val="28"/>
          <w:szCs w:val="28"/>
          <w:rtl/>
        </w:rPr>
        <w:t xml:space="preserve">کما فی (لط 2- ص 41) راجع عشقی هروی کما هو الصحیح و المذکور فی (قز مج 2- ص 214)</w:t>
      </w:r>
    </w:p>
    <w:p>
      <w:pPr>
        <w:pStyle w:val="Heading3"/>
      </w:pPr>
      <w:bookmarkStart w:id="6222" w:name="_Toc4918"/>
      <w:r>
        <w:t>دیوان عاشقی هندی‏</w:t>
      </w:r>
      <w:bookmarkEnd w:id="6222"/>
    </w:p>
    <w:p>
      <w:pPr>
        <w:pStyle w:val="BookText"/>
      </w:pPr>
      <w:r>
        <w:rPr>
          <w:rFonts w:ascii="IRNazanin" w:hAnsi="IRNazanin" w:eastAsia="IRNazanin" w:cs="IRNazanin"/>
          <w:lang w:bidi="fa-IR"/>
          <w:color w:val="111111"/>
          <w:sz w:val="28"/>
          <w:szCs w:val="28"/>
          <w:rtl/>
        </w:rPr>
        <w:t xml:space="preserve">راجع عاشقی عظیم‏آبادی‏</w:t>
      </w:r>
    </w:p>
    <w:p>
      <w:pPr>
        <w:pStyle w:val="Heading3"/>
      </w:pPr>
      <w:bookmarkStart w:id="6223" w:name="_Toc4919"/>
      <w:r>
        <w:t>دیوان عاصمی هروی‏</w:t>
      </w:r>
      <w:bookmarkEnd w:id="6223"/>
    </w:p>
    <w:p>
      <w:pPr>
        <w:pStyle w:val="BookText"/>
      </w:pPr>
      <w:r>
        <w:rPr>
          <w:rFonts w:ascii="IRNazanin" w:hAnsi="IRNazanin" w:eastAsia="IRNazanin" w:cs="IRNazanin"/>
          <w:lang w:bidi="fa-IR"/>
          <w:color w:val="111111"/>
          <w:sz w:val="28"/>
          <w:szCs w:val="28"/>
          <w:rtl/>
        </w:rPr>
        <w:t xml:space="preserve">کما فی (لط 3- ص 78) و الظاهر أن الصحیح عاصی کما فی (قز مج 3- ص 254)</w:t>
      </w:r>
    </w:p>
    <w:p>
      <w:pPr>
        <w:pStyle w:val="Heading3"/>
      </w:pPr>
      <w:bookmarkStart w:id="6224" w:name="_Toc4920"/>
      <w:r>
        <w:t>4712- دیوان عاصی رشتی أصفهانی‏</w:t>
      </w:r>
      <w:bookmarkEnd w:id="6224"/>
    </w:p>
    <w:p>
      <w:pPr>
        <w:pStyle w:val="BookText"/>
      </w:pPr>
      <w:r>
        <w:rPr>
          <w:rFonts w:ascii="IRNazanin" w:hAnsi="IRNazanin" w:eastAsia="IRNazanin" w:cs="IRNazanin"/>
          <w:lang w:bidi="fa-IR"/>
          <w:color w:val="111111"/>
          <w:sz w:val="28"/>
          <w:szCs w:val="28"/>
          <w:rtl/>
        </w:rPr>
        <w:t xml:space="preserve">اسمه الشیخ محمد رفیع والده مؤلف جواهر الأصول المذکور فی ج 5 ص 263 و أخوه الشیخ محمد، تلمیذ صاحب الجواهر و دیوانه غزلیات أورد بعضها فی کتابه وسیلة النجاة الفارسی فی الجبر و التفویض فرغ‏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667" w:name="pg11704_122150"/>
    <w:bookmarkEnd w:id="667"/>
    <w:p>
      <w:pPr>
        <w:pStyle w:val="BookText"/>
      </w:pPr>
      <w:r>
        <w:rPr>
          <w:rFonts w:ascii="IRNazanin" w:hAnsi="IRNazanin" w:eastAsia="IRNazanin" w:cs="IRNazanin"/>
          <w:lang w:bidi="fa-IR"/>
          <w:color w:val="111111"/>
          <w:sz w:val="28"/>
          <w:szCs w:val="28"/>
          <w:rtl/>
        </w:rPr>
        <w:t xml:space="preserve">منه فی 1269 بقزوین بعد تألیفه لمائة و ستة عشر کتابا و رسالة و له مثنوی شش دفتر و شور و شیرین نظیر نان و حلوا و معراج الشهادة نظیر حمله حیدری‏</w:t>
      </w:r>
    </w:p>
    <w:p>
      <w:pPr>
        <w:pStyle w:val="Heading3"/>
      </w:pPr>
      <w:bookmarkStart w:id="6225" w:name="_Toc4921"/>
      <w:r>
        <w:t>4713- دیوان عاصی کشمیری‏</w:t>
      </w:r>
      <w:bookmarkEnd w:id="6225"/>
    </w:p>
    <w:p>
      <w:pPr>
        <w:pStyle w:val="BookText"/>
      </w:pPr>
      <w:r>
        <w:rPr>
          <w:rFonts w:ascii="IRNazanin" w:hAnsi="IRNazanin" w:eastAsia="IRNazanin" w:cs="IRNazanin"/>
          <w:lang w:bidi="fa-IR"/>
          <w:color w:val="111111"/>
          <w:sz w:val="28"/>
          <w:szCs w:val="28"/>
          <w:rtl/>
        </w:rPr>
        <w:t xml:space="preserve">یعقوب بن حسن (908- 1003) له غیر الدیوان لیلی و مجنون و غیرها کما فی هدیة العارفین (2: 547) و (گلشن- 273) راجعه‏</w:t>
      </w:r>
    </w:p>
    <w:p>
      <w:pPr>
        <w:pStyle w:val="Heading3"/>
      </w:pPr>
      <w:bookmarkStart w:id="6226" w:name="_Toc4922"/>
      <w:r>
        <w:t>4714- دیوان عاصی هروی أو شعره‏</w:t>
      </w:r>
      <w:bookmarkEnd w:id="6226"/>
    </w:p>
    <w:p>
      <w:pPr>
        <w:pStyle w:val="BookText"/>
      </w:pPr>
      <w:r>
        <w:rPr>
          <w:rFonts w:ascii="IRNazanin" w:hAnsi="IRNazanin" w:eastAsia="IRNazanin" w:cs="IRNazanin"/>
          <w:lang w:bidi="fa-IR"/>
          <w:color w:val="111111"/>
          <w:sz w:val="28"/>
          <w:szCs w:val="28"/>
          <w:rtl/>
        </w:rPr>
        <w:t xml:space="preserve">من أبناء التجار و المشتغلین بالعلم مع فراغة البال کما ترجمه شاه محمد القزوینی فی مجالس النفائس ص 254 و أورد شعره بعنوان مولانا عاصی و لکن فی لطائف‏نامه ص 78 بعنوان عاصمی و فی (گلشن- ص 273) عاصی مروزی‏</w:t>
      </w:r>
    </w:p>
    <w:p>
      <w:pPr>
        <w:pStyle w:val="Heading3"/>
      </w:pPr>
      <w:bookmarkStart w:id="6227" w:name="_Toc4923"/>
      <w:r>
        <w:t>4715- دیوان عاطف‏</w:t>
      </w:r>
      <w:bookmarkEnd w:id="6227"/>
    </w:p>
    <w:p>
      <w:pPr>
        <w:pStyle w:val="BookText"/>
      </w:pPr>
      <w:r>
        <w:rPr>
          <w:rFonts w:ascii="IRNazanin" w:hAnsi="IRNazanin" w:eastAsia="IRNazanin" w:cs="IRNazanin"/>
          <w:lang w:bidi="fa-IR"/>
          <w:color w:val="111111"/>
          <w:sz w:val="28"/>
          <w:szCs w:val="28"/>
          <w:rtl/>
        </w:rPr>
        <w:t xml:space="preserve">نسخه منه فی مکتبة عاشر أفندی فی إسلامبول قرب البستان الصغیر کما فی فهرسها راجعه‏</w:t>
      </w:r>
    </w:p>
    <w:p>
      <w:pPr>
        <w:pStyle w:val="Heading3"/>
      </w:pPr>
      <w:bookmarkStart w:id="6228" w:name="_Toc4924"/>
      <w:r>
        <w:t>4716- دیوان عاقل دهلوی‏</w:t>
      </w:r>
      <w:bookmarkEnd w:id="6228"/>
    </w:p>
    <w:p>
      <w:pPr>
        <w:pStyle w:val="BookText"/>
      </w:pPr>
      <w:r>
        <w:rPr>
          <w:rFonts w:ascii="IRNazanin" w:hAnsi="IRNazanin" w:eastAsia="IRNazanin" w:cs="IRNazanin"/>
          <w:lang w:bidi="fa-IR"/>
          <w:color w:val="111111"/>
          <w:sz w:val="28"/>
          <w:szCs w:val="28"/>
          <w:rtl/>
        </w:rPr>
        <w:t xml:space="preserve">اسمه هنرور خان الشاه‏جهان‏آبادی ترجمه مفصلا آزاد البلگرامی فی خزانة عامرة ص 347 و ذکر بعض تنقلاته، منها مصاحبته مع صدیقه النواب نظام الملک آصفجاه فی 1124 إلی اورنگ‏آباد التی صار آصفجاه و إلیها من قبل السلطان محمد فرخ سیر و بعد قلیل جعله فرخ سیر أمین الخزانة و سیرة إلی شاه جهان‏آباد و کان علی منصبه إلی أن توفی بها ثم أورد بیتا لعاقل و جده فی دیوانه الذی کان بخطه مع أنه نسب البیت قبل ذلک فی کتابه سرو آزاد إلی نصرة الشاعر حسب ما سمعه عن النواب صمصام الدولة شاه نواز خان، ثم ذکر البیت الموجود فی دیوان أبی طالب الکلیم و دیوان أرادت خان الواضح و قال إن ذلک من التوارد، ثم أورد قرب مائة و ثلاثین بیتا من دیوان عاقل و الظاهر أنه نقل الجمیع عن النسخة الأصلیة بخط عاقل‏</w:t>
      </w:r>
    </w:p>
    <w:p>
      <w:pPr>
        <w:pStyle w:val="Heading3"/>
      </w:pPr>
      <w:bookmarkStart w:id="6229" w:name="_Toc4925"/>
      <w:r>
        <w:t>4717- دیوان عاقل طالقانی‏</w:t>
      </w:r>
      <w:bookmarkEnd w:id="6229"/>
    </w:p>
    <w:p>
      <w:pPr>
        <w:pStyle w:val="BookText"/>
      </w:pPr>
      <w:r>
        <w:rPr>
          <w:rFonts w:ascii="IRNazanin" w:hAnsi="IRNazanin" w:eastAsia="IRNazanin" w:cs="IRNazanin"/>
          <w:lang w:bidi="fa-IR"/>
          <w:color w:val="111111"/>
          <w:sz w:val="28"/>
          <w:szCs w:val="28"/>
          <w:rtl/>
        </w:rPr>
        <w:t xml:space="preserve">اسمه محمد تقی کما ذکره معاصره النصرآبادی فی (نر 9- ص 292) قال کان یأخذه الوجد من استماع المعانی اللطیفة و ما رأیت فی الشعراء مثله و أورد مثنویة و بعض غزله قال و توفی فی عصر الشاه عباس الثانی‏</w:t>
      </w:r>
    </w:p>
    <w:p>
      <w:pPr>
        <w:pStyle w:val="Heading3"/>
      </w:pPr>
      <w:bookmarkStart w:id="6230" w:name="_Toc4926"/>
      <w:r>
        <w:t>4718- دیوان عاقل هندی‏</w:t>
      </w:r>
      <w:bookmarkEnd w:id="6230"/>
    </w:p>
    <w:p>
      <w:pPr>
        <w:pStyle w:val="BookText"/>
      </w:pPr>
      <w:r>
        <w:rPr>
          <w:rFonts w:ascii="IRNazanin" w:hAnsi="IRNazanin" w:eastAsia="IRNazanin" w:cs="IRNazanin"/>
          <w:lang w:bidi="fa-IR"/>
          <w:color w:val="111111"/>
          <w:sz w:val="28"/>
          <w:szCs w:val="28"/>
          <w:rtl/>
        </w:rPr>
        <w:t xml:space="preserve">و اسمه المیر عسکری عاقل خان الرازی البلخی‏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668" w:name="pg11704_122151"/>
    <w:bookmarkEnd w:id="668"/>
    <w:p>
      <w:pPr>
        <w:pStyle w:val="BookText"/>
      </w:pPr>
      <w:r>
        <w:rPr>
          <w:rFonts w:ascii="IRNazanin" w:hAnsi="IRNazanin" w:eastAsia="IRNazanin" w:cs="IRNazanin"/>
          <w:lang w:bidi="fa-IR"/>
          <w:color w:val="111111"/>
          <w:sz w:val="28"/>
          <w:szCs w:val="28"/>
          <w:rtl/>
        </w:rPr>
        <w:t xml:space="preserve">أصله من سادات خواف ترجم قصة پدمادت من السانسکریتیة بالفارسیة نظما، و له گل و بلبل و شمع و پروانه و مثنوی تتبع فیه المولوی الرومی ولد بالهند و مات بها فی 1108 و قال ناصر علی سرهندی فی تاریخه ناظم عادل بود و کان مقربا عند عالم‏گیر پادشاه ترجمه فی (خیال- ص 238) و (سرخوش- ص 40) و (گلشن- ص 274) و (تغ- ص 54) و قال هذا إن تخلصه رازی‏</w:t>
      </w:r>
    </w:p>
    <w:p>
      <w:pPr>
        <w:pStyle w:val="Heading3"/>
      </w:pPr>
      <w:bookmarkStart w:id="6231" w:name="_Toc4927"/>
      <w:r>
        <w:t>4719- دیوان عاقل هندی أو شعره‏</w:t>
      </w:r>
      <w:bookmarkEnd w:id="6231"/>
    </w:p>
    <w:p>
      <w:pPr>
        <w:pStyle w:val="BookText"/>
      </w:pPr>
      <w:r>
        <w:rPr>
          <w:rFonts w:ascii="IRNazanin" w:hAnsi="IRNazanin" w:eastAsia="IRNazanin" w:cs="IRNazanin"/>
          <w:lang w:bidi="fa-IR"/>
          <w:color w:val="111111"/>
          <w:sz w:val="28"/>
          <w:szCs w:val="28"/>
          <w:rtl/>
        </w:rPr>
        <w:t xml:space="preserve">و هو الخواجة محمد من أحفاد الشیخ أحمد ژنده پیل الجامی کان فی خدمة محمد أعظم و مات 1143 کما فی الریحانة نقلا عن القاموس الترکی‏</w:t>
      </w:r>
    </w:p>
    <w:p>
      <w:pPr>
        <w:pStyle w:val="Heading3"/>
      </w:pPr>
      <w:bookmarkStart w:id="6232" w:name="_Toc4928"/>
      <w:r>
        <w:t>دیوان عالم کابلی‏</w:t>
      </w:r>
      <w:bookmarkEnd w:id="6232"/>
    </w:p>
    <w:p>
      <w:pPr>
        <w:pStyle w:val="BookText"/>
      </w:pPr>
      <w:r>
        <w:rPr>
          <w:rFonts w:ascii="IRNazanin" w:hAnsi="IRNazanin" w:eastAsia="IRNazanin" w:cs="IRNazanin"/>
          <w:lang w:bidi="fa-IR"/>
          <w:color w:val="111111"/>
          <w:sz w:val="28"/>
          <w:szCs w:val="28"/>
          <w:rtl/>
        </w:rPr>
        <w:t xml:space="preserve">کان یتخلص أولا بهار ثم اتخذ ربیعی تخلصا هذا ما ذکره فی (روشن- ص 427) نقلا عن نگارستان و نشتر عشق و مر فی (ص 355) بعنوان ربیع کابلی‏</w:t>
      </w:r>
    </w:p>
    <w:p>
      <w:pPr>
        <w:pStyle w:val="Heading3"/>
      </w:pPr>
      <w:bookmarkStart w:id="6233" w:name="_Toc4929"/>
      <w:r>
        <w:t>4720- دیوان عالم هروی أو شعره‏</w:t>
      </w:r>
      <w:bookmarkEnd w:id="6233"/>
    </w:p>
    <w:p>
      <w:pPr>
        <w:pStyle w:val="BookText"/>
      </w:pPr>
      <w:r>
        <w:rPr>
          <w:rFonts w:ascii="IRNazanin" w:hAnsi="IRNazanin" w:eastAsia="IRNazanin" w:cs="IRNazanin"/>
          <w:lang w:bidi="fa-IR"/>
          <w:color w:val="111111"/>
          <w:sz w:val="28"/>
          <w:szCs w:val="28"/>
          <w:rtl/>
        </w:rPr>
        <w:t xml:space="preserve">کان مدرسا معاصرا للخواجة مجد الدین محمد الوزیر و قد مدحه بقصیدة ترجمه فی (مجن 3- ص 60 و 234) و أورد شعره‏</w:t>
      </w:r>
    </w:p>
    <w:p>
      <w:pPr>
        <w:pStyle w:val="Heading3"/>
      </w:pPr>
      <w:bookmarkStart w:id="6234" w:name="_Toc4930"/>
      <w:r>
        <w:t>4721- دیوان عاکفی سمرقندی‏</w:t>
      </w:r>
      <w:bookmarkEnd w:id="6234"/>
    </w:p>
    <w:p>
      <w:pPr>
        <w:pStyle w:val="BookText"/>
      </w:pPr>
      <w:r>
        <w:rPr>
          <w:rFonts w:ascii="IRNazanin" w:hAnsi="IRNazanin" w:eastAsia="IRNazanin" w:cs="IRNazanin"/>
          <w:lang w:bidi="fa-IR"/>
          <w:color w:val="111111"/>
          <w:sz w:val="28"/>
          <w:szCs w:val="28"/>
          <w:rtl/>
        </w:rPr>
        <w:t xml:space="preserve">ذکره معاصره سام میرزا فی (تس 5- ص 165) و أورد شعره‏</w:t>
      </w:r>
    </w:p>
    <w:p>
      <w:pPr>
        <w:pStyle w:val="Heading3"/>
      </w:pPr>
      <w:bookmarkStart w:id="6235" w:name="_Toc4931"/>
      <w:r>
        <w:t>4722- دیوان میرزا عالم بخارائی‏</w:t>
      </w:r>
      <w:bookmarkEnd w:id="6235"/>
    </w:p>
    <w:p>
      <w:pPr>
        <w:pStyle w:val="BookText"/>
      </w:pPr>
      <w:r>
        <w:rPr>
          <w:rFonts w:ascii="IRNazanin" w:hAnsi="IRNazanin" w:eastAsia="IRNazanin" w:cs="IRNazanin"/>
          <w:lang w:bidi="fa-IR"/>
          <w:color w:val="111111"/>
          <w:sz w:val="28"/>
          <w:szCs w:val="28"/>
          <w:rtl/>
        </w:rPr>
        <w:t xml:space="preserve">منشی عبد العزیز خان فی بخارا و بها توفی کما ذکره معاصره النصرآبادی فی (نر 10- ص 436) و أورد شعره و فی (حسینی 210) سماه عالمی‏</w:t>
      </w:r>
    </w:p>
    <w:p>
      <w:pPr>
        <w:pStyle w:val="Heading3"/>
      </w:pPr>
      <w:bookmarkStart w:id="6236" w:name="_Toc4932"/>
      <w:r>
        <w:t>دیوان عالم بیک‏</w:t>
      </w:r>
      <w:bookmarkEnd w:id="6236"/>
    </w:p>
    <w:p>
      <w:pPr>
        <w:pStyle w:val="BookText"/>
      </w:pPr>
      <w:r>
        <w:rPr>
          <w:rFonts w:ascii="IRNazanin" w:hAnsi="IRNazanin" w:eastAsia="IRNazanin" w:cs="IRNazanin"/>
          <w:lang w:bidi="fa-IR"/>
          <w:color w:val="111111"/>
          <w:sz w:val="28"/>
          <w:szCs w:val="28"/>
          <w:rtl/>
        </w:rPr>
        <w:t xml:space="preserve">المتخلص بسروری کما مر کان ملازم خان خانان ترجمه معاصره النصرآبادی فی (نر 3- ص 62) و أورد شعره‏</w:t>
      </w:r>
    </w:p>
    <w:p>
      <w:pPr>
        <w:pStyle w:val="Heading3"/>
      </w:pPr>
      <w:bookmarkStart w:id="6237" w:name="_Toc4933"/>
      <w:r>
        <w:t>4723- دیوان عالم تبریزی‏</w:t>
      </w:r>
      <w:bookmarkEnd w:id="6237"/>
    </w:p>
    <w:p>
      <w:pPr>
        <w:pStyle w:val="BookText"/>
      </w:pPr>
      <w:r>
        <w:rPr>
          <w:rFonts w:ascii="IRNazanin" w:hAnsi="IRNazanin" w:eastAsia="IRNazanin" w:cs="IRNazanin"/>
          <w:lang w:bidi="fa-IR"/>
          <w:color w:val="111111"/>
          <w:sz w:val="28"/>
          <w:szCs w:val="28"/>
          <w:rtl/>
        </w:rPr>
        <w:t xml:space="preserve">من تلامیذ المیرزا صائب التبریزی ترجمه تربیت فی (دجا- ص 253) و أورد شعره نقلا عن کلمات الشعراء و لکن فی (سرخوش- ص 81) جاء عامل و فی (روشن- ص 400) قال إنه قزوینی‏</w:t>
      </w:r>
    </w:p>
    <w:p>
      <w:pPr>
        <w:pStyle w:val="Heading3"/>
      </w:pPr>
      <w:bookmarkStart w:id="6238" w:name="_Toc4934"/>
      <w:r>
        <w:t>4724- دیوان السید عالم حسین الهندی‏</w:t>
      </w:r>
      <w:bookmarkEnd w:id="6238"/>
    </w:p>
    <w:p>
      <w:pPr>
        <w:pStyle w:val="BookText"/>
      </w:pPr>
      <w:r>
        <w:rPr>
          <w:rFonts w:ascii="IRNazanin" w:hAnsi="IRNazanin" w:eastAsia="IRNazanin" w:cs="IRNazanin"/>
          <w:lang w:bidi="fa-IR"/>
          <w:color w:val="111111"/>
          <w:sz w:val="28"/>
          <w:szCs w:val="28"/>
          <w:rtl/>
        </w:rPr>
        <w:t xml:space="preserve">المتوفی (18- ع 1- 1353) کان تلمیذ السید محمد باقر مؤلف إسداء الرغاب و له رسالة فی ترجمه أستاذه طبعت فی آخر إسداء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669" w:name="pg11704_122152"/>
    <w:bookmarkEnd w:id="669"/>
    <w:p>
      <w:pPr>
        <w:pStyle w:val="BookText"/>
      </w:pPr>
      <w:r>
        <w:rPr>
          <w:rFonts w:ascii="IRNazanin" w:hAnsi="IRNazanin" w:eastAsia="IRNazanin" w:cs="IRNazanin"/>
          <w:lang w:bidi="fa-IR"/>
          <w:color w:val="111111"/>
          <w:sz w:val="28"/>
          <w:szCs w:val="28"/>
          <w:rtl/>
        </w:rPr>
        <w:t xml:space="preserve">الرغاب و دیوانه مشتمل علی القصائد فی المراثی و المدائح عند ولده السید خادم حسین‏</w:t>
      </w:r>
    </w:p>
    <w:p>
      <w:pPr>
        <w:pStyle w:val="Heading3"/>
      </w:pPr>
      <w:bookmarkStart w:id="6239" w:name="_Toc4935"/>
      <w:r>
        <w:t>4725- دیوان عالمی الدارابجردی‏</w:t>
      </w:r>
      <w:bookmarkEnd w:id="6239"/>
    </w:p>
    <w:p>
      <w:pPr>
        <w:pStyle w:val="BookText"/>
      </w:pPr>
      <w:r>
        <w:rPr>
          <w:rFonts w:ascii="IRNazanin" w:hAnsi="IRNazanin" w:eastAsia="IRNazanin" w:cs="IRNazanin"/>
          <w:lang w:bidi="fa-IR"/>
          <w:color w:val="111111"/>
          <w:sz w:val="28"/>
          <w:szCs w:val="28"/>
          <w:rtl/>
        </w:rPr>
        <w:t xml:space="preserve">نزیل شیراز و المتوفی بها من العلماء المتکلمین ترجمه الصادقی فی (خص 8- ص 245) و أورد شعره و ترجمه میرزا فرصت مختصرا فی (عم- ص 103) و کذا فی (هفت 196) و (تش- 262) و قال فی (حسینی- ص 211) إنه معاصر الشاه طهماسب و فی (روشن 428) سماه میرزا سهراب‏</w:t>
      </w:r>
    </w:p>
    <w:p>
      <w:pPr>
        <w:pStyle w:val="Heading3"/>
      </w:pPr>
      <w:bookmarkStart w:id="6240" w:name="_Toc4936"/>
      <w:r>
        <w:t>4726- دیوان ملا عالی بخارائی‏</w:t>
      </w:r>
      <w:bookmarkEnd w:id="6240"/>
    </w:p>
    <w:p>
      <w:pPr>
        <w:pStyle w:val="BookText"/>
      </w:pPr>
      <w:r>
        <w:rPr>
          <w:rFonts w:ascii="IRNazanin" w:hAnsi="IRNazanin" w:eastAsia="IRNazanin" w:cs="IRNazanin"/>
          <w:lang w:bidi="fa-IR"/>
          <w:color w:val="111111"/>
          <w:sz w:val="28"/>
          <w:szCs w:val="28"/>
          <w:rtl/>
        </w:rPr>
        <w:t xml:space="preserve">اسمه ملا شاه محمد ترجمه معاصر النصرآبادی فی (نر 10- ص 433) و أورد بعض شعره و فی (گلشن- 274) عالی بدخشانی‏</w:t>
      </w:r>
    </w:p>
    <w:p>
      <w:pPr>
        <w:pStyle w:val="Heading3"/>
      </w:pPr>
      <w:bookmarkStart w:id="6241" w:name="_Toc4937"/>
      <w:r>
        <w:t>4727- دیوان عالی أصفهانی‏</w:t>
      </w:r>
      <w:bookmarkEnd w:id="6241"/>
    </w:p>
    <w:p>
      <w:pPr>
        <w:pStyle w:val="BookText"/>
      </w:pPr>
      <w:r>
        <w:rPr>
          <w:rFonts w:ascii="IRNazanin" w:hAnsi="IRNazanin" w:eastAsia="IRNazanin" w:cs="IRNazanin"/>
          <w:lang w:bidi="fa-IR"/>
          <w:color w:val="111111"/>
          <w:sz w:val="28"/>
          <w:szCs w:val="28"/>
          <w:rtl/>
        </w:rPr>
        <w:t xml:space="preserve">اسمه عبد الغفور ترجمه و أورد شعره فی المدائح المعتمدیة</w:t>
      </w:r>
    </w:p>
    <w:p>
      <w:pPr>
        <w:pStyle w:val="Heading3"/>
      </w:pPr>
      <w:bookmarkStart w:id="6242" w:name="_Toc4938"/>
      <w:r>
        <w:t>4728- دیوان عالی جرفادقانی‏</w:t>
      </w:r>
      <w:bookmarkEnd w:id="6242"/>
    </w:p>
    <w:p>
      <w:pPr>
        <w:pStyle w:val="BookText"/>
      </w:pPr>
      <w:r>
        <w:rPr>
          <w:rFonts w:ascii="IRNazanin" w:hAnsi="IRNazanin" w:eastAsia="IRNazanin" w:cs="IRNazanin"/>
          <w:lang w:bidi="fa-IR"/>
          <w:color w:val="111111"/>
          <w:sz w:val="28"/>
          <w:szCs w:val="28"/>
          <w:rtl/>
        </w:rPr>
        <w:t xml:space="preserve">نقل فی (روشن- 428) عن آفتاب عالمتاب أن دیوانه یشتمل علی الرباعیات‏</w:t>
      </w:r>
    </w:p>
    <w:p>
      <w:pPr>
        <w:pStyle w:val="Heading3"/>
      </w:pPr>
      <w:bookmarkStart w:id="6243" w:name="_Toc4939"/>
      <w:r>
        <w:t>4729- دیوان عالی شیرازی‏</w:t>
      </w:r>
      <w:bookmarkEnd w:id="6243"/>
    </w:p>
    <w:p>
      <w:pPr>
        <w:pStyle w:val="BookText"/>
      </w:pPr>
      <w:r>
        <w:rPr>
          <w:rFonts w:ascii="IRNazanin" w:hAnsi="IRNazanin" w:eastAsia="IRNazanin" w:cs="IRNazanin"/>
          <w:lang w:bidi="fa-IR"/>
          <w:color w:val="111111"/>
          <w:sz w:val="28"/>
          <w:szCs w:val="28"/>
          <w:rtl/>
        </w:rPr>
        <w:t xml:space="preserve">و اسمه المیرزا محمد حسین بن المیرزا محمد، السید الجلیل الذی کان کلانتر فارس ترجمه فی (مع- 2: 351) و أطرأه و قال إن غالب أشعاره الغزلیات أورد بعضها و بعض مدائحه للنبی ص و للحجة صاحب الزمان ع و قال توفی حدود 1236 و أورد قرب خمسین بیتا له و فی (انجمن 4) عالی أصفهانی و کذا فی (عم 446)</w:t>
      </w:r>
    </w:p>
    <w:p>
      <w:pPr>
        <w:pStyle w:val="Heading3"/>
      </w:pPr>
      <w:bookmarkStart w:id="6244" w:name="_Toc4940"/>
      <w:r>
        <w:t>4730- دیوان عالی شیرازی‏</w:t>
      </w:r>
      <w:bookmarkEnd w:id="6244"/>
    </w:p>
    <w:p>
      <w:pPr>
        <w:pStyle w:val="BookText"/>
      </w:pPr>
      <w:r>
        <w:rPr>
          <w:rFonts w:ascii="IRNazanin" w:hAnsi="IRNazanin" w:eastAsia="IRNazanin" w:cs="IRNazanin"/>
          <w:lang w:bidi="fa-IR"/>
          <w:color w:val="111111"/>
          <w:sz w:val="28"/>
          <w:szCs w:val="28"/>
          <w:rtl/>
        </w:rPr>
        <w:t xml:space="preserve">المیرزا محمد الشیرازی المتخلص بعالی و الملقب من السلطان اورنگ زیب عالم‏گیر فی 1104 بنعمت خان، ثم بعد وفاه اورنگ زیب فی 1118 غیر لقبه ولده الجالس علی سریره شاه عالم محمد بهادر شاه بن اورنگ زیب، فلقبه بدانشمند خان و أمره بنظم شاهنامه فی أحواله فشرع فی شاهنامه و ذکر فی أوله خمس رباعیات فی تاریخ وفاه اورنگ زیب یوما و شهرا و سنة و مدة سلطنته و مدة عمره ذکر الجمیع فی مفتاح التواریخ- 442 و ذکر أنه توفی نعمت خان عالی فی 1120 و ترجمه فی خزانة عامرة- 333 و ذکر مؤلفه أنه انتخب من دیوان نعمت خان عالی أشعار کثیرة فی بیاض ثم رأی أن ستة أبیات منها متفقة مع أشعار مذکورة فی تذکره خان آرزو، فترک الستة و أورد البقیة و هی تقرب من خمسین بیتا، و أورد بعض تواریخه‏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670" w:name="pg11704_122153"/>
    <w:bookmarkEnd w:id="670"/>
    <w:p>
      <w:pPr>
        <w:pStyle w:val="BookText"/>
      </w:pPr>
      <w:r>
        <w:rPr>
          <w:rFonts w:ascii="IRNazanin" w:hAnsi="IRNazanin" w:eastAsia="IRNazanin" w:cs="IRNazanin"/>
          <w:lang w:bidi="fa-IR"/>
          <w:color w:val="111111"/>
          <w:sz w:val="28"/>
          <w:szCs w:val="28"/>
          <w:rtl/>
        </w:rPr>
        <w:t xml:space="preserve">منها تاریخ فتح حیدرآباد للسلطان اورنگ زیب و هو المصراع الثانی من قوله:</w:t>
      </w:r>
    </w:p>
    <w:p>
      <w:pPr>
        <w:pStyle w:val="BookText"/>
      </w:pPr>
      <w:r>
        <w:rPr>
          <w:rFonts w:ascii="IRNazanin" w:hAnsi="IRNazanin" w:eastAsia="IRNazanin" w:cs="IRNazanin"/>
          <w:lang w:bidi="fa-IR"/>
          <w:color w:val="111111"/>
          <w:sz w:val="28"/>
          <w:szCs w:val="28"/>
          <w:rtl/>
        </w:rPr>
        <w:t xml:space="preserve">آمد بقلم حساب تاریخ‏</w:t>
      </w:r>
    </w:p>
    <w:p>
      <w:pPr>
        <w:pStyle w:val="BookText"/>
      </w:pPr>
      <w:r>
        <w:rPr>
          <w:rFonts w:ascii="IRNazanin" w:hAnsi="IRNazanin" w:eastAsia="IRNazanin" w:cs="IRNazanin"/>
          <w:lang w:bidi="fa-IR"/>
          <w:color w:val="111111"/>
          <w:sz w:val="28"/>
          <w:szCs w:val="28"/>
          <w:rtl/>
        </w:rPr>
        <w:t xml:space="preserve">شد فتح به جنگ حیدرآباد- 1098</w:t>
      </w:r>
    </w:p>
    <w:p>
      <w:pPr>
        <w:pStyle w:val="BookText"/>
      </w:pPr>
      <w:r>
        <w:rPr>
          <w:rFonts w:ascii="IRNazanin" w:hAnsi="IRNazanin" w:eastAsia="IRNazanin" w:cs="IRNazanin"/>
          <w:lang w:bidi="fa-IR"/>
          <w:color w:val="111111"/>
          <w:sz w:val="28"/>
          <w:szCs w:val="28"/>
          <w:rtl/>
        </w:rPr>
        <w:t xml:space="preserve">و منها قطعة هزلیة فی تزویج کامکار خان ابن خاله اورنگ زیب بابنة السید مظفر وزیر السلطان أبی الحسن و قطب شاه والی حیدرآباد و قد تزوج بها بعد فتح حیدرآباد و بما أن فیها اصطلاحات علمیة شرحها المؤلف مفصلا فی إحدی عشر صفحة أول الشرح:</w:t>
      </w:r>
    </w:p>
    <w:p>
      <w:pPr>
        <w:pStyle w:val="BookText"/>
      </w:pPr>
      <w:r>
        <w:rPr>
          <w:rFonts w:ascii="IRNazanin" w:hAnsi="IRNazanin" w:eastAsia="IRNazanin" w:cs="IRNazanin"/>
          <w:lang w:bidi="fa-IR"/>
          <w:color w:val="111111"/>
          <w:sz w:val="28"/>
          <w:szCs w:val="28"/>
          <w:rtl/>
        </w:rPr>
        <w:t xml:space="preserve">یا رب یا رب رهین احسانم کن‏</w:t>
      </w:r>
    </w:p>
    <w:p>
      <w:pPr>
        <w:pStyle w:val="BookText"/>
      </w:pPr>
      <w:r>
        <w:rPr>
          <w:rFonts w:ascii="IRNazanin" w:hAnsi="IRNazanin" w:eastAsia="IRNazanin" w:cs="IRNazanin"/>
          <w:lang w:bidi="fa-IR"/>
          <w:color w:val="111111"/>
          <w:sz w:val="28"/>
          <w:szCs w:val="28"/>
          <w:rtl/>
        </w:rPr>
        <w:t xml:space="preserve">مشمول عنایت فراوانم کن‏</w:t>
      </w:r>
    </w:p>
    <w:p>
      <w:pPr>
        <w:pStyle w:val="BookText"/>
      </w:pPr>
      <w:r>
        <w:rPr>
          <w:rFonts w:ascii="IRNazanin" w:hAnsi="IRNazanin" w:eastAsia="IRNazanin" w:cs="IRNazanin"/>
          <w:lang w:bidi="fa-IR"/>
          <w:color w:val="111111"/>
          <w:sz w:val="28"/>
          <w:szCs w:val="28"/>
          <w:rtl/>
        </w:rPr>
        <w:t xml:space="preserve">و له تفسیر نعمت عظمی و جنگ‏نامه و حسن و عشق و دو نامه محاصرة حیدرآباد و غیرها ترجمه فی (حسینی- 215) و سرو آزاد- 136 و (فارس‏نامه 2: 149) و (سرخوش- 79)</w:t>
      </w:r>
    </w:p>
    <w:p>
      <w:pPr>
        <w:pStyle w:val="Heading3"/>
      </w:pPr>
      <w:bookmarkStart w:id="6245" w:name="_Toc4941"/>
      <w:r>
        <w:t>4731- دیوان عالی کردستانی أو شعره‏</w:t>
      </w:r>
      <w:bookmarkEnd w:id="6245"/>
    </w:p>
    <w:p>
      <w:pPr>
        <w:pStyle w:val="BookText"/>
      </w:pPr>
      <w:r>
        <w:rPr>
          <w:rFonts w:ascii="IRNazanin" w:hAnsi="IRNazanin" w:eastAsia="IRNazanin" w:cs="IRNazanin"/>
          <w:lang w:bidi="fa-IR"/>
          <w:color w:val="111111"/>
          <w:sz w:val="28"/>
          <w:szCs w:val="28"/>
          <w:rtl/>
        </w:rPr>
        <w:t xml:space="preserve">و اسمه المیرزا محمد حسین ترجمه فی (مع 2: 351) و قال کان سیاحا و حج البیت ثم أورد شعره‏</w:t>
      </w:r>
    </w:p>
    <w:p>
      <w:pPr>
        <w:pStyle w:val="Heading3"/>
      </w:pPr>
      <w:bookmarkStart w:id="6246" w:name="_Toc4942"/>
      <w:r>
        <w:t>4732- دیوان عالی مشهدی‏</w:t>
      </w:r>
      <w:bookmarkEnd w:id="6246"/>
    </w:p>
    <w:p>
      <w:pPr>
        <w:pStyle w:val="BookText"/>
      </w:pPr>
      <w:r>
        <w:rPr>
          <w:rFonts w:ascii="IRNazanin" w:hAnsi="IRNazanin" w:eastAsia="IRNazanin" w:cs="IRNazanin"/>
          <w:lang w:bidi="fa-IR"/>
          <w:color w:val="111111"/>
          <w:sz w:val="28"/>
          <w:szCs w:val="28"/>
          <w:rtl/>
        </w:rPr>
        <w:t xml:space="preserve">و اسمه المیرزا مهدی قال الحزین فی تذکرته (ص 90) إنهم ستروا شعره الکثیر و ترجم أیضا فی (روشن- 430)</w:t>
      </w:r>
    </w:p>
    <w:p>
      <w:pPr>
        <w:pStyle w:val="Heading3"/>
      </w:pPr>
      <w:bookmarkStart w:id="6247" w:name="_Toc4943"/>
      <w:r>
        <w:t>4733- دیوان عامر بن عامر البصری‏</w:t>
      </w:r>
      <w:bookmarkEnd w:id="6247"/>
    </w:p>
    <w:p>
      <w:pPr>
        <w:pStyle w:val="BookText"/>
      </w:pPr>
      <w:r>
        <w:rPr>
          <w:rFonts w:ascii="IRNazanin" w:hAnsi="IRNazanin" w:eastAsia="IRNazanin" w:cs="IRNazanin"/>
          <w:lang w:bidi="fa-IR"/>
          <w:color w:val="111111"/>
          <w:sz w:val="28"/>
          <w:szCs w:val="28"/>
          <w:rtl/>
        </w:rPr>
        <w:t xml:space="preserve">قال فی الدرر الکامنة ج 2 ص 234 رأیت له تصنیفا فی التصوف ذکر أنه ألفه 731 أقول طبع له القصیدة التائیة ذات الأنوار فی دمشق فی 1367 مع تعلیق الشیخ عبد القادر المغربی علیه مرتبا علی اثنی عشر نورا و فی النور التاسع استنهاض الحجة ع بعد مدحه بقوله:</w:t>
      </w:r>
    </w:p>
    <w:p>
      <w:pPr>
        <w:pStyle w:val="BookText"/>
      </w:pPr>
      <w:r>
        <w:rPr>
          <w:rFonts w:ascii="IRNazanin" w:hAnsi="IRNazanin" w:eastAsia="IRNazanin" w:cs="IRNazanin"/>
          <w:lang w:bidi="fa-IR"/>
          <w:color w:val="111111"/>
          <w:sz w:val="28"/>
          <w:szCs w:val="28"/>
          <w:rtl/>
        </w:rPr>
        <w:t xml:space="preserve">إمام الهدی حتی متی أنت غائب‏</w:t>
      </w:r>
    </w:p>
    <w:p>
      <w:pPr>
        <w:pStyle w:val="BookText"/>
      </w:pPr>
      <w:r>
        <w:rPr>
          <w:rFonts w:ascii="IRNazanin" w:hAnsi="IRNazanin" w:eastAsia="IRNazanin" w:cs="IRNazanin"/>
          <w:lang w:bidi="fa-IR"/>
          <w:color w:val="111111"/>
          <w:sz w:val="28"/>
          <w:szCs w:val="28"/>
          <w:rtl/>
        </w:rPr>
        <w:t xml:space="preserve">فمن علینا یا أبانا بأوبة</w:t>
      </w:r>
    </w:p>
    <w:p>
      <w:pPr>
        <w:pStyle w:val="BookText"/>
      </w:pPr>
      <w:r>
        <w:rPr>
          <w:rFonts w:ascii="IRNazanin" w:hAnsi="IRNazanin" w:eastAsia="IRNazanin" w:cs="IRNazanin"/>
          <w:lang w:bidi="fa-IR"/>
          <w:color w:val="111111"/>
          <w:sz w:val="28"/>
          <w:szCs w:val="28"/>
          <w:rtl/>
        </w:rPr>
        <w:t xml:space="preserve">مللنا و طال الانتظار فجد لنا</w:t>
      </w:r>
    </w:p>
    <w:p>
      <w:pPr>
        <w:pStyle w:val="BookText"/>
      </w:pPr>
      <w:r>
        <w:rPr>
          <w:rFonts w:ascii="IRNazanin" w:hAnsi="IRNazanin" w:eastAsia="IRNazanin" w:cs="IRNazanin"/>
          <w:lang w:bidi="fa-IR"/>
          <w:color w:val="111111"/>
          <w:sz w:val="28"/>
          <w:szCs w:val="28"/>
          <w:rtl/>
        </w:rPr>
        <w:t xml:space="preserve">بربک یا قطب الوجود بلقیة</w:t>
      </w:r>
    </w:p>
    <w:p>
      <w:pPr>
        <w:pStyle w:val="BookText"/>
      </w:pPr>
      <w:r>
        <w:rPr>
          <w:rFonts w:ascii="IRNazanin" w:hAnsi="IRNazanin" w:eastAsia="IRNazanin" w:cs="IRNazanin"/>
          <w:lang w:bidi="fa-IR"/>
          <w:color w:val="111111"/>
          <w:sz w:val="28"/>
          <w:szCs w:val="28"/>
          <w:rtl/>
        </w:rPr>
        <w:t xml:space="preserve">فعجل لنا حتی نراک فلذة</w:t>
      </w:r>
    </w:p>
    <w:p>
      <w:pPr>
        <w:pStyle w:val="BookText"/>
      </w:pPr>
      <w:r>
        <w:rPr>
          <w:rFonts w:ascii="IRNazanin" w:hAnsi="IRNazanin" w:eastAsia="IRNazanin" w:cs="IRNazanin"/>
          <w:lang w:bidi="fa-IR"/>
          <w:color w:val="111111"/>
          <w:sz w:val="28"/>
          <w:szCs w:val="28"/>
          <w:rtl/>
        </w:rPr>
        <w:t xml:space="preserve">المحب لقی محبوبه بعد غیبة</w:t>
      </w:r>
    </w:p>
    <w:p>
      <w:pPr>
        <w:pStyle w:val="BookText"/>
      </w:pPr>
      <w:r>
        <w:rPr>
          <w:rFonts w:ascii="IRNazanin" w:hAnsi="IRNazanin" w:eastAsia="IRNazanin" w:cs="IRNazanin"/>
          <w:lang w:bidi="fa-IR"/>
          <w:color w:val="111111"/>
          <w:sz w:val="28"/>
          <w:szCs w:val="28"/>
          <w:rtl/>
        </w:rPr>
        <w:t xml:space="preserve">إلی تمام خمسمائة و نیف بیت نظمها بسیواس فی 731 (- ذال) فیها المطالب العرفانیة من معرفة الروح و النفس و خواصها و العقل و الهیولی و ذکر المعاد و القیامة و فیه الآداب و الأخلاق و غیرها رأیته أولا ضمن مجموعة بیاضیة عند الشیخ إبراهیم الکازرونی المتوفی بمدرسة القوام فی النجف حدود 1365</w:t>
      </w:r>
    </w:p>
    <w:p>
      <w:pPr>
        <w:pStyle w:val="Heading3"/>
      </w:pPr>
      <w:bookmarkStart w:id="6248" w:name="_Toc4944"/>
      <w:r>
        <w:t>4734- دیوان عامر ابن کثیر الحسنی‏</w:t>
      </w:r>
      <w:bookmarkEnd w:id="6248"/>
    </w:p>
    <w:p>
      <w:pPr>
        <w:pStyle w:val="BookText"/>
      </w:pPr>
      <w:r>
        <w:rPr>
          <w:rFonts w:ascii="IRNazanin" w:hAnsi="IRNazanin" w:eastAsia="IRNazanin" w:cs="IRNazanin"/>
          <w:lang w:bidi="fa-IR"/>
          <w:color w:val="111111"/>
          <w:sz w:val="28"/>
          <w:szCs w:val="28"/>
          <w:rtl/>
        </w:rPr>
        <w:t xml:space="preserve">ذکره فی کشف الظنون ج 1 ص 515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671" w:name="pg11704_122154"/>
    <w:bookmarkEnd w:id="671"/>
    <w:p>
      <w:pPr>
        <w:pStyle w:val="Heading3"/>
      </w:pPr>
      <w:bookmarkStart w:id="6249" w:name="_Toc4945"/>
      <w:r>
        <w:t>دیوان عامر ابن واثلة الصحابی‏</w:t>
      </w:r>
      <w:bookmarkEnd w:id="6249"/>
    </w:p>
    <w:p>
      <w:pPr>
        <w:pStyle w:val="BookText"/>
      </w:pPr>
      <w:r>
        <w:rPr>
          <w:rFonts w:ascii="IRNazanin" w:hAnsi="IRNazanin" w:eastAsia="IRNazanin" w:cs="IRNazanin"/>
          <w:lang w:bidi="fa-IR"/>
          <w:color w:val="111111"/>
          <w:sz w:val="28"/>
          <w:szCs w:val="28"/>
          <w:rtl/>
        </w:rPr>
        <w:t xml:space="preserve">المتوفی (100) آخر الصحابة موتا کما أرخه أبو الفرج و ترجمه فی نسمة السحر فیمن تشیع و شعر مر بعنوان أبی الطفیل‏</w:t>
      </w:r>
    </w:p>
    <w:p>
      <w:pPr>
        <w:pStyle w:val="Heading3"/>
      </w:pPr>
      <w:bookmarkStart w:id="6250" w:name="_Toc4946"/>
      <w:r>
        <w:t>4735- دیوان عامل بلخی‏</w:t>
      </w:r>
      <w:bookmarkEnd w:id="6250"/>
    </w:p>
    <w:p>
      <w:pPr>
        <w:pStyle w:val="BookText"/>
      </w:pPr>
      <w:r>
        <w:rPr>
          <w:rFonts w:ascii="IRNazanin" w:hAnsi="IRNazanin" w:eastAsia="IRNazanin" w:cs="IRNazanin"/>
          <w:lang w:bidi="fa-IR"/>
          <w:color w:val="111111"/>
          <w:sz w:val="28"/>
          <w:szCs w:val="28"/>
          <w:rtl/>
        </w:rPr>
        <w:t xml:space="preserve">خرج من زی والده من خدمة السلطان و دخل فی کسوة الفقر و جال فی البلاد و نزل شیراز أخیرا و بها توفی ترجمه معاصره النصرآبادی فی (نر 9 ص 410) و (گلشن 275) و أوردا شعره، و فی (سرخوش) و (روشن) سمیاه بالقزوینی‏</w:t>
      </w:r>
    </w:p>
    <w:p>
      <w:pPr>
        <w:pStyle w:val="Heading3"/>
      </w:pPr>
      <w:bookmarkStart w:id="6251" w:name="_Toc4947"/>
      <w:r>
        <w:t>4736- دیوان العاملی‏</w:t>
      </w:r>
      <w:bookmarkEnd w:id="6251"/>
    </w:p>
    <w:p>
      <w:pPr>
        <w:pStyle w:val="BookText"/>
      </w:pPr>
      <w:r>
        <w:rPr>
          <w:rFonts w:ascii="IRNazanin" w:hAnsi="IRNazanin" w:eastAsia="IRNazanin" w:cs="IRNazanin"/>
          <w:lang w:bidi="fa-IR"/>
          <w:color w:val="111111"/>
          <w:sz w:val="28"/>
          <w:szCs w:val="28"/>
          <w:rtl/>
        </w:rPr>
        <w:t xml:space="preserve">مر بعنوان الشیخ البهائی فی (ص 143) و قد جمع شعره العربی الشیخ حسین علی محفوظ فی جزء صغیر</w:t>
      </w:r>
    </w:p>
    <w:p>
      <w:pPr>
        <w:pStyle w:val="Heading3"/>
      </w:pPr>
      <w:bookmarkStart w:id="6252" w:name="_Toc4948"/>
      <w:r>
        <w:t>4737- دیوان عامی أصفهانی أو شعره‏</w:t>
      </w:r>
      <w:bookmarkEnd w:id="6252"/>
    </w:p>
    <w:p>
      <w:pPr>
        <w:pStyle w:val="BookText"/>
      </w:pPr>
      <w:r>
        <w:rPr>
          <w:rFonts w:ascii="IRNazanin" w:hAnsi="IRNazanin" w:eastAsia="IRNazanin" w:cs="IRNazanin"/>
          <w:lang w:bidi="fa-IR"/>
          <w:color w:val="111111"/>
          <w:sz w:val="28"/>
          <w:szCs w:val="28"/>
          <w:rtl/>
        </w:rPr>
        <w:t xml:space="preserve">کان بیاع الکرباس ترجمه و أورد شعره فی (مع 2: 346) و (انجمن 4)</w:t>
      </w:r>
    </w:p>
    <w:p>
      <w:pPr>
        <w:pStyle w:val="Heading3"/>
      </w:pPr>
      <w:bookmarkStart w:id="6253" w:name="_Toc4949"/>
      <w:r>
        <w:t>4738- دیوان عامی نهاوندی أو شعره‏</w:t>
      </w:r>
      <w:bookmarkEnd w:id="6253"/>
    </w:p>
    <w:p>
      <w:pPr>
        <w:pStyle w:val="BookText"/>
      </w:pPr>
      <w:r>
        <w:rPr>
          <w:rFonts w:ascii="IRNazanin" w:hAnsi="IRNazanin" w:eastAsia="IRNazanin" w:cs="IRNazanin"/>
          <w:lang w:bidi="fa-IR"/>
          <w:color w:val="111111"/>
          <w:sz w:val="28"/>
          <w:szCs w:val="28"/>
          <w:rtl/>
        </w:rPr>
        <w:t xml:space="preserve">سافر من أصفهان إلی الهند و بها توفی ترجمه و أورد شعره النصرآبادی فی (نر 9- ص 286)</w:t>
      </w:r>
    </w:p>
    <w:p>
      <w:pPr>
        <w:pStyle w:val="Heading3"/>
      </w:pPr>
      <w:bookmarkStart w:id="6254" w:name="_Toc4950"/>
      <w:r>
        <w:t>4739- دیوان عائشة مقریة</w:t>
      </w:r>
      <w:bookmarkEnd w:id="6254"/>
    </w:p>
    <w:p>
      <w:pPr>
        <w:pStyle w:val="BookText"/>
      </w:pPr>
      <w:r>
        <w:rPr>
          <w:rFonts w:ascii="IRNazanin" w:hAnsi="IRNazanin" w:eastAsia="IRNazanin" w:cs="IRNazanin"/>
          <w:lang w:bidi="fa-IR"/>
          <w:color w:val="111111"/>
          <w:sz w:val="28"/>
          <w:szCs w:val="28"/>
          <w:rtl/>
        </w:rPr>
        <w:t xml:space="preserve">عدها آذر فی (تش- 350) من شاعرات سمرقند و کذا المستوفی فی تاریخ گزیده ص 829 و کذا فی تذکره کاظم الموجود فی (المجلس) و (روشن 430) و (بهش 1 ص 340)</w:t>
      </w:r>
    </w:p>
    <w:p>
      <w:pPr>
        <w:pStyle w:val="Heading3"/>
      </w:pPr>
      <w:bookmarkStart w:id="6255" w:name="_Toc4951"/>
      <w:r>
        <w:t>دیوان عبائی‏</w:t>
      </w:r>
      <w:bookmarkEnd w:id="6255"/>
    </w:p>
    <w:p>
      <w:pPr>
        <w:pStyle w:val="BookText"/>
      </w:pPr>
      <w:r>
        <w:rPr>
          <w:rFonts w:ascii="IRNazanin" w:hAnsi="IRNazanin" w:eastAsia="IRNazanin" w:cs="IRNazanin"/>
          <w:lang w:bidi="fa-IR"/>
          <w:color w:val="111111"/>
          <w:sz w:val="28"/>
          <w:szCs w:val="28"/>
          <w:rtl/>
        </w:rPr>
        <w:t xml:space="preserve">ذکرناه فی دیوان حلمی شوشتری‏</w:t>
      </w:r>
    </w:p>
    <w:p>
      <w:pPr>
        <w:pStyle w:val="Heading3"/>
      </w:pPr>
      <w:bookmarkStart w:id="6256" w:name="_Toc4952"/>
      <w:r>
        <w:t>4740- دیوان السید الأمیر عباد الزنجانی‏</w:t>
      </w:r>
      <w:bookmarkEnd w:id="6256"/>
    </w:p>
    <w:p>
      <w:pPr>
        <w:pStyle w:val="BookText"/>
      </w:pPr>
      <w:r>
        <w:rPr>
          <w:rFonts w:ascii="IRNazanin" w:hAnsi="IRNazanin" w:eastAsia="IRNazanin" w:cs="IRNazanin"/>
          <w:lang w:bidi="fa-IR"/>
          <w:color w:val="111111"/>
          <w:sz w:val="28"/>
          <w:szCs w:val="28"/>
          <w:rtl/>
        </w:rPr>
        <w:t xml:space="preserve">حدثنی بعض علماء زنجان أنه کان من تلامیذ الشیخ الأنصاری، و له کتاب القضاء و الشهادات و توفی بعد وفاة السید الکوه‏کمری و فی حیاة الإیروانی و قال: له طبع سلس فی الشعر و غزلیاته ملمعة من العربیة و الفارسیة و الترکیة</w:t>
      </w:r>
    </w:p>
    <w:p>
      <w:pPr>
        <w:pStyle w:val="Heading3"/>
      </w:pPr>
      <w:bookmarkStart w:id="6257" w:name="_Toc4953"/>
      <w:r>
        <w:t>4741- دیوان الشیخ عباس آل کشف الغطاء</w:t>
      </w:r>
      <w:bookmarkEnd w:id="6257"/>
    </w:p>
    <w:p>
      <w:pPr>
        <w:pStyle w:val="BookText"/>
      </w:pPr>
      <w:r>
        <w:rPr>
          <w:rFonts w:ascii="IRNazanin" w:hAnsi="IRNazanin" w:eastAsia="IRNazanin" w:cs="IRNazanin"/>
          <w:lang w:bidi="fa-IR"/>
          <w:color w:val="111111"/>
          <w:sz w:val="28"/>
          <w:szCs w:val="28"/>
          <w:rtl/>
        </w:rPr>
        <w:t xml:space="preserve">ابن الشیخ حسن بن الشیخ جعفر (1263- 1323) له منظومة فی الحج و منظومة فی شرح الدرة نظما کأصله‏</w:t>
      </w:r>
    </w:p>
    <w:p>
      <w:pPr>
        <w:pStyle w:val="Heading3"/>
      </w:pPr>
      <w:bookmarkStart w:id="6258" w:name="_Toc4954"/>
      <w:r>
        <w:t>4742- دیوان الشیخ عباس الأعسم النجفی‏</w:t>
      </w:r>
      <w:bookmarkEnd w:id="6258"/>
    </w:p>
    <w:p>
      <w:pPr>
        <w:pStyle w:val="BookText"/>
      </w:pPr>
      <w:r>
        <w:rPr>
          <w:rFonts w:ascii="IRNazanin" w:hAnsi="IRNazanin" w:eastAsia="IRNazanin" w:cs="IRNazanin"/>
          <w:lang w:bidi="fa-IR"/>
          <w:color w:val="111111"/>
          <w:sz w:val="28"/>
          <w:szCs w:val="28"/>
          <w:rtl/>
        </w:rPr>
        <w:t xml:space="preserve">ابن الحاج عبد السادة بن الحاج عبد بن الحاج مرتضی بن الحاج قاسم بن إبراهیم بن موسی بن الحاج محمد، الذی هاجر من خلیص إحدی ضواحی المدینة إلی النجف، ولد فی النجف 1253 و أمه بنت الشیخ محسن‏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672" w:name="pg11704_122155"/>
    <w:bookmarkEnd w:id="672"/>
    <w:p>
      <w:pPr>
        <w:pStyle w:val="BookText"/>
      </w:pPr>
      <w:r>
        <w:rPr>
          <w:rFonts w:ascii="IRNazanin" w:hAnsi="IRNazanin" w:eastAsia="IRNazanin" w:cs="IRNazanin"/>
          <w:lang w:bidi="fa-IR"/>
          <w:color w:val="111111"/>
          <w:sz w:val="28"/>
          <w:szCs w:val="28"/>
          <w:rtl/>
        </w:rPr>
        <w:t xml:space="preserve">الأعسم صاحب کشف الظلام الذی توفی 1238 و تعلم علی خالیة الشیخ جعفر و الشیخ صادق ابنا الشیخ محسن، و علی سائر علماء عصره و فی 1290 هاجر إلی الحیرة مقیما بها إلی أن نفی منها مع بعض السادة من آل زوین برهة و رجع إلیها فی 1298 بعد موت شبلی پاشا الذی نفاه فأتاه عند ذلک نعی ولدیه المتوفیین بالنجف بالطاعون العام فی تلک السنة، فأنشأ قصیدة فی رثائهما و رجع إلی النجف 1307 إلی أن توفی بها 1314 و قام ابن أخته السید محمد سعید الحبوبی بوظائف فاتحته نسخه من دیوانه بمکتبة (السماوی) و أخری عند ولده” المؤلف” الشیخ محمد قاضی الجعفریة فی النجف المتوفی 1366 و نسخه خط الناظم عند ولده الآخر الشیخ عبد الحسین تقرب من ثلاثة آلاف بیت و قد رتبه بنفسه علی الحروف، و نسخه أخری عند الشیخ محمد رضا المظفر و یأتی دیوان الشیخ محمد علی الأعسم‏</w:t>
      </w:r>
    </w:p>
    <w:p>
      <w:pPr>
        <w:pStyle w:val="Heading3"/>
      </w:pPr>
      <w:bookmarkStart w:id="6259" w:name="_Toc4955"/>
      <w:r>
        <w:t>4743- دیوان الشیخ عباس البغدادی‏</w:t>
      </w:r>
      <w:bookmarkEnd w:id="6259"/>
    </w:p>
    <w:p>
      <w:pPr>
        <w:pStyle w:val="BookText"/>
      </w:pPr>
      <w:r>
        <w:rPr>
          <w:rFonts w:ascii="IRNazanin" w:hAnsi="IRNazanin" w:eastAsia="IRNazanin" w:cs="IRNazanin"/>
          <w:lang w:bidi="fa-IR"/>
          <w:color w:val="111111"/>
          <w:sz w:val="28"/>
          <w:szCs w:val="28"/>
          <w:rtl/>
        </w:rPr>
        <w:t xml:space="preserve">ابن الشیخ ملا علی البغدادی الفاضل الکامل من تلامیذ صاحب الجواهر توفی فی النجف 1276 حکی لنا الشیخ محمد علی بن الشیخ یعقوب الخطیب الشهیر بالیعقوبی أنه ظفر بنسخة من دیوان الشیخ عباس ملا علی فی 1330 فی بعض أعمال الحلة بقلم بعض العوام البغدادیین، قد جمعه فی 1309 و یبلغ ثلاثة آلاف بیت لکنه لم یکن مرتبا علی الحروف، فاستنسخ عنه الیعقوبی نسخه مرتبة مهذبة مصححة، و علق علیها حواشی من نفسه، لکنه نهبت منه تلک النسخة مع سائر ما نهب منه فی 1335</w:t>
      </w:r>
    </w:p>
    <w:p>
      <w:pPr>
        <w:pStyle w:val="Heading3"/>
      </w:pPr>
      <w:bookmarkStart w:id="6260" w:name="_Toc4956"/>
      <w:r>
        <w:t>4744- دیوان المفتی میر عباس التستری‏</w:t>
      </w:r>
      <w:bookmarkEnd w:id="6260"/>
    </w:p>
    <w:p>
      <w:pPr>
        <w:pStyle w:val="BookText"/>
      </w:pPr>
      <w:r>
        <w:rPr>
          <w:rFonts w:ascii="IRNazanin" w:hAnsi="IRNazanin" w:eastAsia="IRNazanin" w:cs="IRNazanin"/>
          <w:lang w:bidi="fa-IR"/>
          <w:color w:val="111111"/>
          <w:sz w:val="28"/>
          <w:szCs w:val="28"/>
          <w:rtl/>
        </w:rPr>
        <w:t xml:space="preserve">مر بعنوان دیوان السید فی ص 472 و له دواوین متعددة بأسماء خاصة منها رطب العرب المطبوع و مر رد دعوی و آب زلال و قد ترجم أحواله الشاعر المتخلص عزیز فی کتاب سماه التجلیات کما مر فی (3: 358) و یأتی ابنه وزیر</w:t>
      </w:r>
    </w:p>
    <w:p>
      <w:pPr>
        <w:pStyle w:val="Heading3"/>
      </w:pPr>
      <w:bookmarkStart w:id="6261" w:name="_Toc4957"/>
      <w:r>
        <w:t>4745- دیوان الشاه عباس الثانی‏</w:t>
      </w:r>
      <w:bookmarkEnd w:id="6261"/>
    </w:p>
    <w:p>
      <w:pPr>
        <w:pStyle w:val="BookText"/>
      </w:pPr>
      <w:r>
        <w:rPr>
          <w:rFonts w:ascii="IRNazanin" w:hAnsi="IRNazanin" w:eastAsia="IRNazanin" w:cs="IRNazanin"/>
          <w:lang w:bidi="fa-IR"/>
          <w:color w:val="111111"/>
          <w:sz w:val="28"/>
          <w:szCs w:val="28"/>
          <w:rtl/>
        </w:rPr>
        <w:t xml:space="preserve">هو ابن الشاه صفی الصفوی الحسینی، جلس علی سریر الملک 1052 إلی أن توفی 1078 ترجمه فی (مع: ج 1 ص 40) و أورد شعره و کذا فی (تش- 18) و (نر 1- ص 9) یوجد فی مکتبة شیخ الإسلام ولی الدین أفندی بأستانبول‏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673" w:name="pg11704_122156"/>
    <w:bookmarkEnd w:id="673"/>
    <w:p>
      <w:pPr>
        <w:pStyle w:val="Heading3"/>
      </w:pPr>
      <w:bookmarkStart w:id="6262" w:name="_Toc4958"/>
      <w:r>
        <w:t>4746- دیوان السید عباس الشبر النجفی‏</w:t>
      </w:r>
      <w:bookmarkEnd w:id="6262"/>
    </w:p>
    <w:p>
      <w:pPr>
        <w:pStyle w:val="BookText"/>
      </w:pPr>
      <w:r>
        <w:rPr>
          <w:rFonts w:ascii="IRNazanin" w:hAnsi="IRNazanin" w:eastAsia="IRNazanin" w:cs="IRNazanin"/>
          <w:lang w:bidi="fa-IR"/>
          <w:color w:val="111111"/>
          <w:sz w:val="28"/>
          <w:szCs w:val="28"/>
          <w:rtl/>
        </w:rPr>
        <w:t xml:space="preserve">نزیل البصرة و قاضیها فیه أرجوزة نقلها فی مجلة البیان العدد الخاص بالقصة فی ص 18 بعنوان وحی الغزلة، و له ترجمه فی عصور الأدب العربی للسید محمد کاظم الکفائی‏</w:t>
      </w:r>
    </w:p>
    <w:p>
      <w:pPr>
        <w:pStyle w:val="Heading3"/>
      </w:pPr>
      <w:bookmarkStart w:id="6263" w:name="_Toc4959"/>
      <w:r>
        <w:t>4747- دیوان الشاه عباس الصفوی الماضی‏</w:t>
      </w:r>
      <w:bookmarkEnd w:id="6263"/>
    </w:p>
    <w:p>
      <w:pPr>
        <w:pStyle w:val="BookText"/>
      </w:pPr>
      <w:r>
        <w:rPr>
          <w:rFonts w:ascii="IRNazanin" w:hAnsi="IRNazanin" w:eastAsia="IRNazanin" w:cs="IRNazanin"/>
          <w:lang w:bidi="fa-IR"/>
          <w:color w:val="111111"/>
          <w:sz w:val="28"/>
          <w:szCs w:val="28"/>
          <w:rtl/>
        </w:rPr>
        <w:t xml:space="preserve">ترجمه فی (نر 1- ص 8) و فی (تش- ص 17) و (مع ج 1- ص 39) و (دجا- 253) و أوردوا غزله ولد فی هرات 978 و جلس للملک 996 و توفی 1038 و مدة ملکه 42 سنة و قد کتب إسکندر بیک تاریخ عالم‏آرا فی وقایع تلک المدة و هو الذی جعل أصفهان دار السلطنة فی 1000 بعد مقتله الصوفیة بقزوین‏</w:t>
      </w:r>
    </w:p>
    <w:p>
      <w:pPr>
        <w:pStyle w:val="Heading3"/>
      </w:pPr>
      <w:bookmarkStart w:id="6264" w:name="_Toc4960"/>
      <w:r>
        <w:t>4748- دیوان الشیخ عباس العذاری الحلی،</w:t>
      </w:r>
      <w:bookmarkEnd w:id="6264"/>
    </w:p>
    <w:p>
      <w:pPr>
        <w:pStyle w:val="BookText"/>
      </w:pPr>
      <w:r>
        <w:rPr>
          <w:rFonts w:ascii="IRNazanin" w:hAnsi="IRNazanin" w:eastAsia="IRNazanin" w:cs="IRNazanin"/>
          <w:lang w:bidi="fa-IR"/>
          <w:color w:val="111111"/>
          <w:sz w:val="28"/>
          <w:szCs w:val="28"/>
          <w:rtl/>
        </w:rPr>
        <w:t xml:space="preserve">أخ الشیخ عبد الله العذاری الآتی و کانت بینهما مساجلات شعریة ذکره الخطیب الیعقوبی فی البابلیات ج 2 ص 184</w:t>
      </w:r>
    </w:p>
    <w:p>
      <w:pPr>
        <w:pStyle w:val="Heading3"/>
      </w:pPr>
      <w:bookmarkStart w:id="6265" w:name="_Toc4961"/>
      <w:r>
        <w:t>دیوان عباس فروغی‏</w:t>
      </w:r>
      <w:bookmarkEnd w:id="6265"/>
    </w:p>
    <w:p>
      <w:pPr>
        <w:pStyle w:val="BookText"/>
      </w:pPr>
      <w:r>
        <w:rPr>
          <w:rFonts w:ascii="IRNazanin" w:hAnsi="IRNazanin" w:eastAsia="IRNazanin" w:cs="IRNazanin"/>
          <w:lang w:bidi="fa-IR"/>
          <w:color w:val="111111"/>
          <w:sz w:val="28"/>
          <w:szCs w:val="28"/>
          <w:rtl/>
        </w:rPr>
        <w:t xml:space="preserve">یأتی بتخلصه فی الفاء</w:t>
      </w:r>
    </w:p>
    <w:p>
      <w:pPr>
        <w:pStyle w:val="Heading3"/>
      </w:pPr>
      <w:bookmarkStart w:id="6266" w:name="_Toc4962"/>
      <w:r>
        <w:t>4749- دیوان الشیخ عباس القرشی‏</w:t>
      </w:r>
      <w:bookmarkEnd w:id="6266"/>
    </w:p>
    <w:p>
      <w:pPr>
        <w:pStyle w:val="BookText"/>
      </w:pPr>
      <w:r>
        <w:rPr>
          <w:rFonts w:ascii="IRNazanin" w:hAnsi="IRNazanin" w:eastAsia="IRNazanin" w:cs="IRNazanin"/>
          <w:lang w:bidi="fa-IR"/>
          <w:color w:val="111111"/>
          <w:sz w:val="28"/>
          <w:szCs w:val="28"/>
          <w:rtl/>
        </w:rPr>
        <w:t xml:space="preserve">ابن الشیخ محمد علی بن الشیخ عبد علی القرشی النجفی ولد بها 1244 و توفی بحلب 1299 ترجمه فی العدل الإسلامی العدد الأول ص 26 من السنة الثانیة تفصیلا و یوجد دیوانه عند الشیخ حسن بن الشیخ محمد علی بن الحسن القرشی، کتبه بخطه و جعل فی مقدمته ترجمه الناظم و إنه رحل إلی حلب 1287 و بعد أربعین یوما سافر إلی إیران و اتصل بسفیر العثمانیین سنین و لما رجع السفیر إلی إستانبول أخذه معه إلیها، فکان فی إستانبول حتی أتاه نعی أخیه الشیخ موسی فی 1297 فرحل إلی إیران للفحص عن حال أخیه فلم یطلع علی شی‏ء منه فرحل ثانیا إلی حلب فی رمضان 1299 و مرض بها و توفی 22 ذی الحجة 1299 و استنسخ دیوانه هناک السید أحمد الوهبی الکتبی فی 1300 و ذکر تفاصیل ذلک الشیخ محمد تقی الفقیه العاملی فی هامش صحیفة من الحلقة الثانیة من کتابه جبل عامل فی التاریخ و نسخه أخری عند الشیخ محمد رضا شمس الدین فی النجف‏</w:t>
      </w:r>
    </w:p>
    <w:p>
      <w:pPr>
        <w:pStyle w:val="Heading3"/>
      </w:pPr>
      <w:bookmarkStart w:id="6267" w:name="_Toc4963"/>
      <w:r>
        <w:t>4750- دیوان عباس قلی خان أو شعره‏</w:t>
      </w:r>
      <w:bookmarkEnd w:id="6267"/>
    </w:p>
    <w:p>
      <w:pPr>
        <w:pStyle w:val="BookText"/>
      </w:pPr>
      <w:r>
        <w:rPr>
          <w:rFonts w:ascii="IRNazanin" w:hAnsi="IRNazanin" w:eastAsia="IRNazanin" w:cs="IRNazanin"/>
          <w:lang w:bidi="fa-IR"/>
          <w:color w:val="111111"/>
          <w:sz w:val="28"/>
          <w:szCs w:val="28"/>
          <w:rtl/>
        </w:rPr>
        <w:t xml:space="preserve">هو ابن حسن خان شاملو حکم هرات بعد والده أربع و ثلاثین سنة عن الشاه صفی ترجمه و أورد شعره فی (نر 2 و 15- ص 22 و 539) و (روشن 431)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674" w:name="pg11704_122157"/>
    <w:bookmarkEnd w:id="674"/>
    <w:p>
      <w:pPr>
        <w:pStyle w:val="Heading3"/>
      </w:pPr>
      <w:bookmarkStart w:id="6268" w:name="_Toc4964"/>
      <w:r>
        <w:t>4751- دیوان الشیخ عباس الکاظمی أو شعره‏</w:t>
      </w:r>
      <w:bookmarkEnd w:id="6268"/>
    </w:p>
    <w:p>
      <w:pPr>
        <w:pStyle w:val="BookText"/>
      </w:pPr>
      <w:r>
        <w:rPr>
          <w:rFonts w:ascii="IRNazanin" w:hAnsi="IRNazanin" w:eastAsia="IRNazanin" w:cs="IRNazanin"/>
          <w:lang w:bidi="fa-IR"/>
          <w:color w:val="111111"/>
          <w:sz w:val="28"/>
          <w:szCs w:val="28"/>
          <w:rtl/>
        </w:rPr>
        <w:t xml:space="preserve">و هو ابن الشیخ محمد آل أسعد الکاظمی الفاضل المجاهد مع سائر علماء العراق فی وقعة الشعیبة و توفی حدود 1345 ترجمه حسین بن علی بن جواد محفوظ فی شعراء الکاظمیة و ذکر بعض شعره‏</w:t>
      </w:r>
    </w:p>
    <w:p>
      <w:pPr>
        <w:pStyle w:val="Heading3"/>
      </w:pPr>
      <w:bookmarkStart w:id="6269" w:name="_Toc4965"/>
      <w:r>
        <w:t>دیوان عباس مروزی أو شعره‏</w:t>
      </w:r>
      <w:bookmarkEnd w:id="6269"/>
    </w:p>
    <w:p>
      <w:pPr>
        <w:pStyle w:val="BookText"/>
      </w:pPr>
      <w:r>
        <w:rPr>
          <w:rFonts w:ascii="IRNazanin" w:hAnsi="IRNazanin" w:eastAsia="IRNazanin" w:cs="IRNazanin"/>
          <w:lang w:bidi="fa-IR"/>
          <w:color w:val="111111"/>
          <w:sz w:val="28"/>
          <w:szCs w:val="28"/>
          <w:rtl/>
        </w:rPr>
        <w:t xml:space="preserve">مادح المأمون بالشعر الفارسی، و لم یسبقه أحد بالقصیدة الفارسیة کما فی (لب- 4) و کما ترجمه فی (خز- 317) و أورد بعض القصیدة و کذا فی (مع- ج 1 ص 336) و قال إنه توفی (200) و مر أبو العباس فی ص 44 و أظنهما متحدین‏</w:t>
      </w:r>
    </w:p>
    <w:p>
      <w:pPr>
        <w:pStyle w:val="Heading3"/>
      </w:pPr>
      <w:bookmarkStart w:id="6270" w:name="_Toc4966"/>
      <w:r>
        <w:t>4752- دیوان مولانا عباس ناسخ أو شعره‏</w:t>
      </w:r>
      <w:bookmarkEnd w:id="6270"/>
    </w:p>
    <w:p>
      <w:pPr>
        <w:pStyle w:val="BookText"/>
      </w:pPr>
      <w:r>
        <w:rPr>
          <w:rFonts w:ascii="IRNazanin" w:hAnsi="IRNazanin" w:eastAsia="IRNazanin" w:cs="IRNazanin"/>
          <w:lang w:bidi="fa-IR"/>
          <w:color w:val="111111"/>
          <w:sz w:val="28"/>
          <w:szCs w:val="28"/>
          <w:rtl/>
        </w:rPr>
        <w:t xml:space="preserve">ترجمه معاصره النصرآبادی فی (نر 15- ص 541) و أورد عدة من معمیاته‏</w:t>
      </w:r>
    </w:p>
    <w:p>
      <w:pPr>
        <w:pStyle w:val="Heading3"/>
      </w:pPr>
      <w:bookmarkStart w:id="6271" w:name="_Toc4967"/>
      <w:r>
        <w:t>دیوان میرزا عباس همدانی أو شعره‏</w:t>
      </w:r>
      <w:bookmarkEnd w:id="6271"/>
    </w:p>
    <w:p>
      <w:pPr>
        <w:pStyle w:val="BookText"/>
      </w:pPr>
      <w:r>
        <w:rPr>
          <w:rFonts w:ascii="IRNazanin" w:hAnsi="IRNazanin" w:eastAsia="IRNazanin" w:cs="IRNazanin"/>
          <w:lang w:bidi="fa-IR"/>
          <w:color w:val="111111"/>
          <w:sz w:val="28"/>
          <w:szCs w:val="28"/>
          <w:rtl/>
        </w:rPr>
        <w:t xml:space="preserve">الهمدانی الیمانی الهندی، ابن المیرزا أحمد الذی توفی فی بونة 1256 و هو المؤرخ الفاضل صاحب التصانیف، و الشاعر المتخلص فی شعره برفعت کما ذکر فی ص 377</w:t>
      </w:r>
    </w:p>
    <w:p>
      <w:pPr>
        <w:pStyle w:val="Heading3"/>
      </w:pPr>
      <w:bookmarkStart w:id="6272" w:name="_Toc4968"/>
      <w:r>
        <w:t>4753- دیوان الآخوند المولی عباس الیزدی أو شعره‏</w:t>
      </w:r>
      <w:bookmarkEnd w:id="6272"/>
    </w:p>
    <w:p>
      <w:pPr>
        <w:pStyle w:val="BookText"/>
      </w:pPr>
      <w:r>
        <w:rPr>
          <w:rFonts w:ascii="IRNazanin" w:hAnsi="IRNazanin" w:eastAsia="IRNazanin" w:cs="IRNazanin"/>
          <w:lang w:bidi="fa-IR"/>
          <w:color w:val="111111"/>
          <w:sz w:val="28"/>
          <w:szCs w:val="28"/>
          <w:rtl/>
        </w:rPr>
        <w:t xml:space="preserve">هو ابن محمد رضا بن أحمد الأبرندآبادی الیزدی الحائری المعروف بأخفش لتبرزه فی الأدبیات توفی 13 رمضان 1329 و دفن فی حجرة صحن العباس بکربلاء رأیت مخمسا من شعره بخطه و إمضائه موجود فی آخره أوله:</w:t>
      </w:r>
    </w:p>
    <w:p>
      <w:pPr>
        <w:pStyle w:val="BookText"/>
      </w:pPr>
      <w:r>
        <w:rPr>
          <w:rFonts w:ascii="IRNazanin" w:hAnsi="IRNazanin" w:eastAsia="IRNazanin" w:cs="IRNazanin"/>
          <w:lang w:bidi="fa-IR"/>
          <w:color w:val="111111"/>
          <w:sz w:val="28"/>
          <w:szCs w:val="28"/>
          <w:rtl/>
        </w:rPr>
        <w:t xml:space="preserve">یا علیا علت بک العلیاء</w:t>
      </w:r>
    </w:p>
    <w:p>
      <w:pPr>
        <w:pStyle w:val="BookText"/>
      </w:pPr>
      <w:r>
        <w:rPr>
          <w:rFonts w:ascii="IRNazanin" w:hAnsi="IRNazanin" w:eastAsia="IRNazanin" w:cs="IRNazanin"/>
          <w:lang w:bidi="fa-IR"/>
          <w:color w:val="111111"/>
          <w:sz w:val="28"/>
          <w:szCs w:val="28"/>
          <w:rtl/>
        </w:rPr>
        <w:t xml:space="preserve">و تناهی فی وصفک الإطراء</w:t>
      </w:r>
    </w:p>
    <w:p>
      <w:pPr>
        <w:pStyle w:val="BookText"/>
      </w:pPr>
      <w:r>
        <w:rPr>
          <w:rFonts w:ascii="IRNazanin" w:hAnsi="IRNazanin" w:eastAsia="IRNazanin" w:cs="IRNazanin"/>
          <w:lang w:bidi="fa-IR"/>
          <w:color w:val="111111"/>
          <w:sz w:val="28"/>
          <w:szCs w:val="28"/>
          <w:rtl/>
        </w:rPr>
        <w:t xml:space="preserve">کل شی‏ء سوی ولاک هباء</w:t>
      </w:r>
    </w:p>
    <w:p>
      <w:pPr>
        <w:pStyle w:val="BookText"/>
      </w:pPr>
      <w:r>
        <w:rPr>
          <w:rFonts w:ascii="IRNazanin" w:hAnsi="IRNazanin" w:eastAsia="IRNazanin" w:cs="IRNazanin"/>
          <w:lang w:bidi="fa-IR"/>
          <w:color w:val="111111"/>
          <w:sz w:val="28"/>
          <w:szCs w:val="28"/>
          <w:rtl/>
        </w:rPr>
        <w:t xml:space="preserve">کنت نورا تجلی به الظلماء</w:t>
      </w:r>
    </w:p>
    <w:p>
      <w:pPr>
        <w:pStyle w:val="BookText"/>
      </w:pPr>
      <w:r>
        <w:rPr>
          <w:rFonts w:ascii="IRNazanin" w:hAnsi="IRNazanin" w:eastAsia="IRNazanin" w:cs="IRNazanin"/>
          <w:lang w:bidi="fa-IR"/>
          <w:color w:val="111111"/>
          <w:sz w:val="28"/>
          <w:szCs w:val="28"/>
          <w:rtl/>
        </w:rPr>
        <w:t xml:space="preserve">حین لا آدم و لا حواء</w:t>
      </w:r>
    </w:p>
    <w:p>
      <w:pPr>
        <w:pStyle w:val="BookText"/>
      </w:pPr>
      <w:r>
        <w:rPr>
          <w:rFonts w:ascii="IRNazanin" w:hAnsi="IRNazanin" w:eastAsia="IRNazanin" w:cs="IRNazanin"/>
          <w:lang w:bidi="fa-IR"/>
          <w:color w:val="111111"/>
          <w:sz w:val="28"/>
          <w:szCs w:val="28"/>
          <w:rtl/>
        </w:rPr>
        <w:t xml:space="preserve">لمحرره عباس بن الرضا الیزدی‏</w:t>
      </w:r>
    </w:p>
    <w:p>
      <w:pPr>
        <w:pStyle w:val="Heading3"/>
      </w:pPr>
      <w:bookmarkStart w:id="6273" w:name="_Toc4969"/>
      <w:r>
        <w:t>4754- دیوان عباس بیک أو شعره‏</w:t>
      </w:r>
      <w:bookmarkEnd w:id="6273"/>
    </w:p>
    <w:p>
      <w:pPr>
        <w:pStyle w:val="BookText"/>
      </w:pPr>
      <w:r>
        <w:rPr>
          <w:rFonts w:ascii="IRNazanin" w:hAnsi="IRNazanin" w:eastAsia="IRNazanin" w:cs="IRNazanin"/>
          <w:lang w:bidi="fa-IR"/>
          <w:color w:val="111111"/>
          <w:sz w:val="28"/>
          <w:szCs w:val="28"/>
          <w:rtl/>
        </w:rPr>
        <w:t xml:space="preserve">هو ابن فرخ زاد الترکمان ترجمه صادقی فی (خص 5 ص 71) و أورد شعره‏</w:t>
      </w:r>
    </w:p>
    <w:p>
      <w:pPr>
        <w:pStyle w:val="Heading3"/>
      </w:pPr>
      <w:bookmarkStart w:id="6274" w:name="_Toc4970"/>
      <w:r>
        <w:t>4755- دیوان عباس قلی خان أو شعره‏</w:t>
      </w:r>
      <w:bookmarkEnd w:id="6274"/>
    </w:p>
    <w:p>
      <w:pPr>
        <w:pStyle w:val="BookText"/>
      </w:pPr>
      <w:r>
        <w:rPr>
          <w:rFonts w:ascii="IRNazanin" w:hAnsi="IRNazanin" w:eastAsia="IRNazanin" w:cs="IRNazanin"/>
          <w:lang w:bidi="fa-IR"/>
          <w:color w:val="111111"/>
          <w:sz w:val="28"/>
          <w:szCs w:val="28"/>
          <w:rtl/>
        </w:rPr>
        <w:t xml:space="preserve">ابن حسن خان بن حسین خان شاملو کان حاکم هرات ترجمه معاصره النصرآبادی فی (نر 2- ص 22) و أورد بعض أشعاره، ثم أورد فی (نر 15 ص 539) بعض معمیاته منها باسم مهدی و لوالده حسن خان دیوان یقرب‏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675" w:name="pg11704_122158"/>
    <w:bookmarkEnd w:id="675"/>
    <w:p>
      <w:pPr>
        <w:pStyle w:val="BookText"/>
      </w:pPr>
      <w:r>
        <w:rPr>
          <w:rFonts w:ascii="IRNazanin" w:hAnsi="IRNazanin" w:eastAsia="IRNazanin" w:cs="IRNazanin"/>
          <w:lang w:bidi="fa-IR"/>
          <w:color w:val="111111"/>
          <w:sz w:val="28"/>
          <w:szCs w:val="28"/>
          <w:rtl/>
        </w:rPr>
        <w:t xml:space="preserve">من ألف بیت کما مر</w:t>
      </w:r>
    </w:p>
    <w:p>
      <w:pPr>
        <w:pStyle w:val="Heading3"/>
      </w:pPr>
      <w:bookmarkStart w:id="6275" w:name="_Toc4971"/>
      <w:r>
        <w:t>4756- دیوان عبدان الأصفهانی أو شعره‏</w:t>
      </w:r>
      <w:bookmarkEnd w:id="6275"/>
    </w:p>
    <w:p>
      <w:pPr>
        <w:pStyle w:val="BookText"/>
      </w:pPr>
      <w:r>
        <w:rPr>
          <w:rFonts w:ascii="IRNazanin" w:hAnsi="IRNazanin" w:eastAsia="IRNazanin" w:cs="IRNazanin"/>
          <w:lang w:bidi="fa-IR"/>
          <w:color w:val="111111"/>
          <w:sz w:val="28"/>
          <w:szCs w:val="28"/>
          <w:rtl/>
        </w:rPr>
        <w:t xml:space="preserve">ترجمه ابن شهرآشوب فی معالم العلماء- 141 ضمن شعراء</w:t>
      </w:r>
    </w:p>
    <w:p>
      <w:pPr>
        <w:pStyle w:val="Heading3"/>
      </w:pPr>
      <w:bookmarkStart w:id="6276" w:name="_Toc4972"/>
      <w:r>
        <w:t>دیوان عبدای أصفهانی‏</w:t>
      </w:r>
      <w:bookmarkEnd w:id="6276"/>
    </w:p>
    <w:p>
      <w:pPr>
        <w:pStyle w:val="BookText"/>
      </w:pPr>
      <w:r>
        <w:rPr>
          <w:rFonts w:ascii="IRNazanin" w:hAnsi="IRNazanin" w:eastAsia="IRNazanin" w:cs="IRNazanin"/>
          <w:lang w:bidi="fa-IR"/>
          <w:color w:val="111111"/>
          <w:sz w:val="28"/>
          <w:szCs w:val="28"/>
          <w:rtl/>
        </w:rPr>
        <w:t xml:space="preserve">مر بعنوان طبعی أشترخانی فی ص 644</w:t>
      </w:r>
    </w:p>
    <w:p>
      <w:pPr>
        <w:pStyle w:val="Heading3"/>
      </w:pPr>
      <w:bookmarkStart w:id="6277" w:name="_Toc4973"/>
      <w:r>
        <w:t>دیوان عبد الباقی أصفهانی‏</w:t>
      </w:r>
      <w:bookmarkEnd w:id="6277"/>
    </w:p>
    <w:p>
      <w:pPr>
        <w:pStyle w:val="BookText"/>
      </w:pPr>
      <w:r>
        <w:rPr>
          <w:rFonts w:ascii="IRNazanin" w:hAnsi="IRNazanin" w:eastAsia="IRNazanin" w:cs="IRNazanin"/>
          <w:lang w:bidi="fa-IR"/>
          <w:color w:val="111111"/>
          <w:sz w:val="28"/>
          <w:szCs w:val="28"/>
          <w:rtl/>
        </w:rPr>
        <w:t xml:space="preserve">مر بعنوان طبیب أصفهانی فی ص 644</w:t>
      </w:r>
    </w:p>
    <w:p>
      <w:pPr>
        <w:pStyle w:val="Heading3"/>
      </w:pPr>
      <w:bookmarkStart w:id="6278" w:name="_Toc4974"/>
      <w:r>
        <w:t>4757- دیوان المولی عبد الأحد أو شعره‏</w:t>
      </w:r>
      <w:bookmarkEnd w:id="6278"/>
    </w:p>
    <w:p>
      <w:pPr>
        <w:pStyle w:val="BookText"/>
      </w:pPr>
      <w:r>
        <w:rPr>
          <w:rFonts w:ascii="IRNazanin" w:hAnsi="IRNazanin" w:eastAsia="IRNazanin" w:cs="IRNazanin"/>
          <w:lang w:bidi="fa-IR"/>
          <w:color w:val="111111"/>
          <w:sz w:val="28"/>
          <w:szCs w:val="28"/>
          <w:rtl/>
        </w:rPr>
        <w:t xml:space="preserve">و هو ابن برهان الدین بن علی السیرجانی مؤلف تفسیر سورة الروم فی عصر الشاه طهماسب‏</w:t>
      </w:r>
    </w:p>
    <w:p>
      <w:pPr>
        <w:pStyle w:val="Heading3"/>
      </w:pPr>
      <w:bookmarkStart w:id="6279" w:name="_Toc4975"/>
      <w:r>
        <w:t>دیوان المولی عبد الباقی‏</w:t>
      </w:r>
      <w:bookmarkEnd w:id="6279"/>
    </w:p>
    <w:p>
      <w:pPr>
        <w:pStyle w:val="BookText"/>
      </w:pPr>
      <w:r>
        <w:rPr>
          <w:rFonts w:ascii="IRNazanin" w:hAnsi="IRNazanin" w:eastAsia="IRNazanin" w:cs="IRNazanin"/>
          <w:lang w:bidi="fa-IR"/>
          <w:color w:val="111111"/>
          <w:sz w:val="28"/>
          <w:szCs w:val="28"/>
          <w:rtl/>
        </w:rPr>
        <w:t xml:space="preserve">الخطاط الصوفی المذکور فی (123 ص) التبریزی نزیل بغداد المتخلص بباقی و الملقب دانشمند و شارح نهج البلاغة المذکور فی فهرس سپهسالار (2: 131) و المتوفی بعد فوت الشاه عباس الماضی فی 1038 ترجمه فی (هفت) و أورد بعض شعره و</w:t>
      </w:r>
    </w:p>
    <w:p>
      <w:pPr>
        <w:pStyle w:val="BookText"/>
      </w:pPr>
      <w:r>
        <w:rPr>
          <w:rFonts w:ascii="IRNazanin" w:hAnsi="IRNazanin" w:eastAsia="IRNazanin" w:cs="IRNazanin"/>
          <w:lang w:bidi="fa-IR"/>
          <w:color w:val="111111"/>
          <w:sz w:val="28"/>
          <w:szCs w:val="28"/>
          <w:rtl/>
        </w:rPr>
        <w:t xml:space="preserve">ترجمه المیرزا عبد الله فی ریاض العلماء و ذکر مراسلته مع المیرزا إبراهیم الهمدانی و أورد صورة مکتوب المیرزا إبراهیم إلیه و رأیت قطعة من دیوانه ضمن مجموعة فی کتب الشیخ موسی الأردبیلی فی النجف‏</w:t>
      </w:r>
    </w:p>
    <w:p>
      <w:pPr>
        <w:pStyle w:val="Heading3"/>
      </w:pPr>
      <w:bookmarkStart w:id="6280" w:name="_Toc4976"/>
      <w:r>
        <w:t>4758- دیوان المیر عبد الباقی الیزدی‏</w:t>
      </w:r>
      <w:bookmarkEnd w:id="6280"/>
    </w:p>
    <w:p>
      <w:pPr>
        <w:pStyle w:val="BookText"/>
      </w:pPr>
      <w:r>
        <w:rPr>
          <w:rFonts w:ascii="IRNazanin" w:hAnsi="IRNazanin" w:eastAsia="IRNazanin" w:cs="IRNazanin"/>
          <w:lang w:bidi="fa-IR"/>
          <w:color w:val="111111"/>
          <w:sz w:val="28"/>
          <w:szCs w:val="28"/>
          <w:rtl/>
        </w:rPr>
        <w:t xml:space="preserve">من أحفاد الشاه نعمة الله الولی الکرمانی کان وکیل السلطنة للشاه إسماعیل و استشهد مع المیر السید محمد آل کمونة فی محاربة السلطان سلیم فی 921 ترجمه فی (مجتس 2- ص 137) و (بهش 2 ص 382) و أوردا شعره المشهور:</w:t>
      </w:r>
    </w:p>
    <w:p>
      <w:pPr>
        <w:pStyle w:val="BookText"/>
      </w:pPr>
      <w:r>
        <w:rPr>
          <w:rFonts w:ascii="IRNazanin" w:hAnsi="IRNazanin" w:eastAsia="IRNazanin" w:cs="IRNazanin"/>
          <w:lang w:bidi="fa-IR"/>
          <w:color w:val="111111"/>
          <w:sz w:val="28"/>
          <w:szCs w:val="28"/>
          <w:rtl/>
        </w:rPr>
        <w:t xml:space="preserve">تا پریشان نشود کار به سامان نشود</w:t>
      </w:r>
    </w:p>
    <w:p>
      <w:pPr>
        <w:pStyle w:val="BookText"/>
      </w:pPr>
      <w:r>
        <w:rPr>
          <w:rFonts w:ascii="IRNazanin" w:hAnsi="IRNazanin" w:eastAsia="IRNazanin" w:cs="IRNazanin"/>
          <w:lang w:bidi="fa-IR"/>
          <w:color w:val="111111"/>
          <w:sz w:val="28"/>
          <w:szCs w:val="28"/>
          <w:rtl/>
        </w:rPr>
        <w:t xml:space="preserve">شرط دور است که تا این نشود آن نشود</w:t>
      </w:r>
    </w:p>
    <w:p>
      <w:pPr>
        <w:pStyle w:val="BookText"/>
      </w:pPr>
      <w:r>
        <w:rPr>
          <w:rFonts w:ascii="IRNazanin" w:hAnsi="IRNazanin" w:eastAsia="IRNazanin" w:cs="IRNazanin"/>
          <w:lang w:bidi="fa-IR"/>
          <w:color w:val="111111"/>
          <w:sz w:val="28"/>
          <w:szCs w:val="28"/>
          <w:rtl/>
        </w:rPr>
        <w:t xml:space="preserve">و ترجمه فی الریاض بعنوان المیر عبد الباقی سبط الشاه نعمة الله الولی، و حکی عن تحفه السامی ترجمه مفصلة له، و إنه صار وکیل الدولة فی أوائل عصر الشاه إسماعیل و أن دیوانه غزلیات فارسیة، تخلصه فیها باقی و أرخ وفاته بالشهادة فی أوائل رجب 920 و لکن فی المطبوع من التحفة لیست فیه هذه الترجمة</w:t>
      </w:r>
    </w:p>
    <w:p>
      <w:pPr>
        <w:pStyle w:val="Heading3"/>
      </w:pPr>
      <w:bookmarkStart w:id="6281" w:name="_Toc4977"/>
      <w:r>
        <w:t>4759- دیوان المیر عبد الباقی أو شعره‏</w:t>
      </w:r>
      <w:bookmarkEnd w:id="6281"/>
    </w:p>
    <w:p>
      <w:pPr>
        <w:pStyle w:val="BookText"/>
      </w:pPr>
      <w:r>
        <w:rPr>
          <w:rFonts w:ascii="IRNazanin" w:hAnsi="IRNazanin" w:eastAsia="IRNazanin" w:cs="IRNazanin"/>
          <w:lang w:bidi="fa-IR"/>
          <w:color w:val="111111"/>
          <w:sz w:val="28"/>
          <w:szCs w:val="28"/>
          <w:rtl/>
        </w:rPr>
        <w:t xml:space="preserve">هو ابن فلامرز الدیلمی ترجمه سام میرزا فی (تس 3- ص 63) و أورد شعره ثم ترجم ولده مولا نفیس و أورد شعره أیضا</w:t>
      </w:r>
    </w:p>
    <w:p>
      <w:pPr>
        <w:pStyle w:val="Heading3"/>
      </w:pPr>
      <w:bookmarkStart w:id="6282" w:name="_Toc4978"/>
      <w:r>
        <w:t>4760- دیوان المولی عبد الجلیل‏</w:t>
      </w:r>
      <w:bookmarkEnd w:id="6282"/>
    </w:p>
    <w:p>
      <w:pPr>
        <w:pStyle w:val="BookText"/>
      </w:pPr>
      <w:r>
        <w:rPr>
          <w:rFonts w:ascii="IRNazanin" w:hAnsi="IRNazanin" w:eastAsia="IRNazanin" w:cs="IRNazanin"/>
          <w:lang w:bidi="fa-IR"/>
          <w:color w:val="111111"/>
          <w:sz w:val="28"/>
          <w:szCs w:val="28"/>
          <w:rtl/>
        </w:rPr>
        <w:t xml:space="preserve">ترجمه معاصره فی (مجتس 6- ص 155)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676" w:name="pg11704_122159"/>
    <w:bookmarkEnd w:id="676"/>
    <w:p>
      <w:pPr>
        <w:pStyle w:val="BookText"/>
      </w:pPr>
      <w:r>
        <w:rPr>
          <w:rFonts w:ascii="IRNazanin" w:hAnsi="IRNazanin" w:eastAsia="IRNazanin" w:cs="IRNazanin"/>
          <w:lang w:bidi="fa-IR"/>
          <w:color w:val="111111"/>
          <w:sz w:val="28"/>
          <w:szCs w:val="28"/>
          <w:rtl/>
        </w:rPr>
        <w:t xml:space="preserve">و ذکر أنه من أقرباء الشاعر المتخلص بآگهی و أورد شعره‏</w:t>
      </w:r>
    </w:p>
    <w:p>
      <w:pPr>
        <w:pStyle w:val="Heading3"/>
      </w:pPr>
      <w:bookmarkStart w:id="6283" w:name="_Toc4979"/>
      <w:r>
        <w:t>4761- دیوان المیر عبد الجلیل الحسینی الواسطی البلگرامی‏</w:t>
      </w:r>
      <w:bookmarkEnd w:id="6283"/>
    </w:p>
    <w:p>
      <w:pPr>
        <w:pStyle w:val="BookText"/>
      </w:pPr>
      <w:r>
        <w:rPr>
          <w:rFonts w:ascii="IRNazanin" w:hAnsi="IRNazanin" w:eastAsia="IRNazanin" w:cs="IRNazanin"/>
          <w:lang w:bidi="fa-IR"/>
          <w:color w:val="111111"/>
          <w:sz w:val="28"/>
          <w:szCs w:val="28"/>
          <w:rtl/>
        </w:rPr>
        <w:t xml:space="preserve">المولود 13 شوال 1071 و المتوفی لیلة السبت (23- ع 2- 1138) ترجمه فی (خز- 352) و سرو آزاد- 369 و (حسینی 224) و ذکر ملاقاته للسید علی خان المدنی و قوله إنی ما رأیت فی عمری جامعا لغرائب العلوم غیر المیر عبد الجلیل، و ذکر أن له الشعر العربی و الفارسی و الترکی و الهندی، و أورد بعضها و قال فی هدیة العارفین- 1: 501 إن له آداب المرسلین فی الإنشاء و المراسلات‏</w:t>
      </w:r>
    </w:p>
    <w:p>
      <w:pPr>
        <w:pStyle w:val="Heading3"/>
      </w:pPr>
      <w:bookmarkStart w:id="6284" w:name="_Toc4980"/>
      <w:r>
        <w:t>4762- دیوان عبد الجواد</w:t>
      </w:r>
      <w:bookmarkEnd w:id="6284"/>
    </w:p>
    <w:p>
      <w:pPr>
        <w:pStyle w:val="BookText"/>
      </w:pPr>
      <w:r>
        <w:rPr>
          <w:rFonts w:ascii="IRNazanin" w:hAnsi="IRNazanin" w:eastAsia="IRNazanin" w:cs="IRNazanin"/>
          <w:lang w:bidi="fa-IR"/>
          <w:color w:val="111111"/>
          <w:sz w:val="28"/>
          <w:szCs w:val="28"/>
          <w:rtl/>
        </w:rPr>
        <w:t xml:space="preserve">طبع کلیات عبد الجواد بإیران و لعله غیر أدیب نیشابوری المذکور فی ص 66</w:t>
      </w:r>
    </w:p>
    <w:p>
      <w:pPr>
        <w:pStyle w:val="Heading3"/>
      </w:pPr>
      <w:bookmarkStart w:id="6285" w:name="_Toc4981"/>
      <w:r>
        <w:t>4763- دیوان الشیخ عبد الحسین الأعسم‏</w:t>
      </w:r>
      <w:bookmarkEnd w:id="6285"/>
    </w:p>
    <w:p>
      <w:pPr>
        <w:pStyle w:val="BookText"/>
      </w:pPr>
      <w:r>
        <w:rPr>
          <w:rFonts w:ascii="IRNazanin" w:hAnsi="IRNazanin" w:eastAsia="IRNazanin" w:cs="IRNazanin"/>
          <w:lang w:bidi="fa-IR"/>
          <w:color w:val="111111"/>
          <w:sz w:val="28"/>
          <w:szCs w:val="28"/>
          <w:rtl/>
        </w:rPr>
        <w:t xml:space="preserve">هو ابن الشیخ محمد علی بن الشیخ حسین بن محمد الأعسم النجفی شارح أراجیز والده الذی توفی 1233 و توفی هو 1247 جمع أشعاره الشیخ محمد بن الشیخ طاهر السماوی المتوفی 1370 فی خمسین صفحة، یقرب من ألف و خمسمائة بیت، و ضمه مع شعر والده فی مجلد و اشتراه بعده الشیخ محمد علی الیعقوبی الخطیب و هذا المجلد غیر ما مر فی ص 82 من جمع السید الأرومی‏</w:t>
      </w:r>
    </w:p>
    <w:p>
      <w:pPr>
        <w:pStyle w:val="Heading3"/>
      </w:pPr>
      <w:bookmarkStart w:id="6286" w:name="_Toc4982"/>
      <w:r>
        <w:t>4764- دیوان الشیخ عبد الحسین الحویزی‏</w:t>
      </w:r>
      <w:bookmarkEnd w:id="6286"/>
    </w:p>
    <w:p>
      <w:pPr>
        <w:pStyle w:val="BookText"/>
      </w:pPr>
      <w:r>
        <w:rPr>
          <w:rFonts w:ascii="IRNazanin" w:hAnsi="IRNazanin" w:eastAsia="IRNazanin" w:cs="IRNazanin"/>
          <w:lang w:bidi="fa-IR"/>
          <w:color w:val="111111"/>
          <w:sz w:val="28"/>
          <w:szCs w:val="28"/>
          <w:rtl/>
        </w:rPr>
        <w:t xml:space="preserve">نقل عنه الخطیب الشیخ حسن حلو جملة من أشعاره فی مجامیعه‏</w:t>
      </w:r>
    </w:p>
    <w:p>
      <w:pPr>
        <w:pStyle w:val="Heading3"/>
      </w:pPr>
      <w:bookmarkStart w:id="6287" w:name="_Toc4983"/>
      <w:r>
        <w:t>4765- دیوان الشیخ عبد الحسین شکر</w:t>
      </w:r>
      <w:bookmarkEnd w:id="6287"/>
    </w:p>
    <w:p>
      <w:pPr>
        <w:pStyle w:val="BookText"/>
      </w:pPr>
      <w:r>
        <w:rPr>
          <w:rFonts w:ascii="IRNazanin" w:hAnsi="IRNazanin" w:eastAsia="IRNazanin" w:cs="IRNazanin"/>
          <w:lang w:bidi="fa-IR"/>
          <w:color w:val="111111"/>
          <w:sz w:val="28"/>
          <w:szCs w:val="28"/>
          <w:rtl/>
        </w:rPr>
        <w:t xml:space="preserve">هو ابن الشیخ أحمد بن الحسین بن محمد بن شکر بن محمود البرزچی الجباوی النجفی المتوفی بطهران 1285 کان والده الشیخ أحمد شکر من العلماء المصنفین و الشیخ عبد الحسین شاعر ماهر، ترجمه فی الطلیعة و ذکر مسافرته إلی طهران و مدیحه للسلطان و طبع له قصیدة فاخرة فی تقریظ فرهنگ خداپرستی المطبوع 1281 و خمسها السید محمد جعفر الحیدری النجفی و رأیت بعض شعره و مراثیه بخط الشیخ علی مؤلف أنوار البدرین فی ضمن مجموعة له عند ولده الشیخ حسین بن علی القدیحی و طبع الجزء الثانی من دیوانه فی المدیح مع تعلیق الشیخ محمد علی یعقوب فی النجف 1274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677" w:name="pg11704_122160"/>
    <w:bookmarkEnd w:id="677"/>
    <w:p>
      <w:pPr>
        <w:pStyle w:val="Heading3"/>
      </w:pPr>
      <w:bookmarkStart w:id="6288" w:name="_Toc4984"/>
      <w:r>
        <w:t>4766- دیوان الشیخ عبد الحسین الطریحی‏</w:t>
      </w:r>
      <w:bookmarkEnd w:id="6288"/>
    </w:p>
    <w:p>
      <w:pPr>
        <w:pStyle w:val="BookText"/>
      </w:pPr>
      <w:r>
        <w:rPr>
          <w:rFonts w:ascii="IRNazanin" w:hAnsi="IRNazanin" w:eastAsia="IRNazanin" w:cs="IRNazanin"/>
          <w:lang w:bidi="fa-IR"/>
          <w:color w:val="111111"/>
          <w:sz w:val="28"/>
          <w:szCs w:val="28"/>
          <w:rtl/>
        </w:rPr>
        <w:t xml:space="preserve">ابن الشیخ نعمة بن علاء الدین بن أمین النجفی المتوفی 1293 توجد فی مکتبة (بیت الطریحی)</w:t>
      </w:r>
    </w:p>
    <w:p>
      <w:pPr>
        <w:pStyle w:val="Heading3"/>
      </w:pPr>
      <w:bookmarkStart w:id="6289" w:name="_Toc4985"/>
      <w:r>
        <w:t>دیوان عبد الحسین کاشانی‏</w:t>
      </w:r>
      <w:bookmarkEnd w:id="6289"/>
    </w:p>
    <w:p>
      <w:pPr>
        <w:pStyle w:val="BookText"/>
      </w:pPr>
      <w:r>
        <w:rPr>
          <w:rFonts w:ascii="IRNazanin" w:hAnsi="IRNazanin" w:eastAsia="IRNazanin" w:cs="IRNazanin"/>
          <w:lang w:bidi="fa-IR"/>
          <w:color w:val="111111"/>
          <w:sz w:val="28"/>
          <w:szCs w:val="28"/>
          <w:rtl/>
        </w:rPr>
        <w:t xml:space="preserve">مر بعنوان عارف کاشانی‏</w:t>
      </w:r>
    </w:p>
    <w:p>
      <w:pPr>
        <w:pStyle w:val="Heading3"/>
      </w:pPr>
      <w:bookmarkStart w:id="6290" w:name="_Toc4986"/>
      <w:r>
        <w:t>4767- دیوان الشیخ عبد الحسین المحلاتی‏</w:t>
      </w:r>
      <w:bookmarkEnd w:id="6290"/>
    </w:p>
    <w:p>
      <w:pPr>
        <w:pStyle w:val="BookText"/>
      </w:pPr>
      <w:r>
        <w:rPr>
          <w:rFonts w:ascii="IRNazanin" w:hAnsi="IRNazanin" w:eastAsia="IRNazanin" w:cs="IRNazanin"/>
          <w:lang w:bidi="fa-IR"/>
          <w:color w:val="111111"/>
          <w:sz w:val="28"/>
          <w:szCs w:val="28"/>
          <w:rtl/>
        </w:rPr>
        <w:t xml:space="preserve">کان صهر الحاج آقا منیر الدین بأصفهان علی أخته و یقال إنه من أحفاد شفیعا الخطاط له مغتنم الدرر شبه کشکول، منظوم و منثور</w:t>
      </w:r>
    </w:p>
    <w:p>
      <w:pPr>
        <w:pStyle w:val="Heading3"/>
      </w:pPr>
      <w:bookmarkStart w:id="6291" w:name="_Toc4987"/>
      <w:r>
        <w:t>4768- دیوان الشیخ عبد الحسین محیی الدین‏</w:t>
      </w:r>
      <w:bookmarkEnd w:id="6291"/>
    </w:p>
    <w:p>
      <w:pPr>
        <w:pStyle w:val="BookText"/>
      </w:pPr>
      <w:r>
        <w:rPr>
          <w:rFonts w:ascii="IRNazanin" w:hAnsi="IRNazanin" w:eastAsia="IRNazanin" w:cs="IRNazanin"/>
          <w:lang w:bidi="fa-IR"/>
          <w:color w:val="111111"/>
          <w:sz w:val="28"/>
          <w:szCs w:val="28"/>
          <w:rtl/>
        </w:rPr>
        <w:t xml:space="preserve">هو ابن قاسم بن محمد بن أحمد بن علی بن الحسین بن محیی الدین الثانی من آل أبی جامع المتوفی بالنجف 1271 نسخه منه فی مکتبة (السماوی) بخطه و اشتراها بعده الشیخ محمد علی یعقوب الخطیب فی النجف‏</w:t>
      </w:r>
    </w:p>
    <w:p>
      <w:pPr>
        <w:pStyle w:val="Heading3"/>
      </w:pPr>
      <w:bookmarkStart w:id="6292" w:name="_Toc4988"/>
      <w:r>
        <w:t>4769- دیوان الشیخ عبد الحسین محیی الدین‏</w:t>
      </w:r>
      <w:bookmarkEnd w:id="6292"/>
    </w:p>
    <w:p>
      <w:pPr>
        <w:pStyle w:val="BookText"/>
      </w:pPr>
      <w:r>
        <w:rPr>
          <w:rFonts w:ascii="IRNazanin" w:hAnsi="IRNazanin" w:eastAsia="IRNazanin" w:cs="IRNazanin"/>
          <w:lang w:bidi="fa-IR"/>
          <w:color w:val="111111"/>
          <w:sz w:val="28"/>
          <w:szCs w:val="28"/>
          <w:rtl/>
        </w:rPr>
        <w:t xml:space="preserve">ابن الشیخ إبراهیم بن الشیخ صادق بن إبراهیم بن محیی المخزومی القرشی الخیامی العاملی المولود 1279 و المهاجر إلی العراق فی 1300 و المستفید من علمائها حتی کمل و برع و رجع إلی الخیام 1316 ثم نزل النبطیة إلی أن توفی بها و دفن فی حسینیته فی (12 حجة 1361) و له المنظومة الفقهیة و المنظومة الکلامیة و دیوان شعره عند ولده” المؤلف” القائم مقامه الشیخ محمد تقی و اسمه سقط المتاع و رأیت بعض مراثیه فی ما دونه الشیخ حسن بن علی الحلی فی 1330</w:t>
      </w:r>
    </w:p>
    <w:p>
      <w:pPr>
        <w:pStyle w:val="Heading3"/>
      </w:pPr>
      <w:bookmarkStart w:id="6293" w:name="_Toc4989"/>
      <w:r>
        <w:t>4770- دیوان عبد الحق أسترآبادی أو شعره‏</w:t>
      </w:r>
      <w:bookmarkEnd w:id="6293"/>
    </w:p>
    <w:p>
      <w:pPr>
        <w:pStyle w:val="BookText"/>
      </w:pPr>
      <w:r>
        <w:rPr>
          <w:rFonts w:ascii="IRNazanin" w:hAnsi="IRNazanin" w:eastAsia="IRNazanin" w:cs="IRNazanin"/>
          <w:lang w:bidi="fa-IR"/>
          <w:color w:val="111111"/>
          <w:sz w:val="28"/>
          <w:szCs w:val="28"/>
          <w:rtl/>
        </w:rPr>
        <w:t xml:space="preserve">ترجمه فی (مجن 2- 47 و ص 220) و أورد هجائه لقاضی خبوشان و ذکر فی الهامش أن فی بعض نسخ المجالس عبد الحی بدل عبد الحق و کذا فی (تش 152) و (حسینی 208)</w:t>
      </w:r>
    </w:p>
    <w:p>
      <w:pPr>
        <w:pStyle w:val="Heading3"/>
      </w:pPr>
      <w:bookmarkStart w:id="6294" w:name="_Toc4990"/>
      <w:r>
        <w:t>4771- دیوان میر عبد الحق القمی‏</w:t>
      </w:r>
      <w:bookmarkEnd w:id="6294"/>
    </w:p>
    <w:p>
      <w:pPr>
        <w:pStyle w:val="BookText"/>
      </w:pPr>
      <w:r>
        <w:rPr>
          <w:rFonts w:ascii="IRNazanin" w:hAnsi="IRNazanin" w:eastAsia="IRNazanin" w:cs="IRNazanin"/>
          <w:lang w:bidi="fa-IR"/>
          <w:color w:val="111111"/>
          <w:sz w:val="28"/>
          <w:szCs w:val="28"/>
          <w:rtl/>
        </w:rPr>
        <w:t xml:space="preserve">مصاحب المولی مشفقی القمی. ترجمه معاصره النصرآبادی و أورد بعض شعره فی (نر 5- ص 113) و عنه فی (گلشن- ص 275) و عنه فی تاریخ علمای گیلان ص 145.</w:t>
      </w:r>
    </w:p>
    <w:p>
      <w:pPr>
        <w:pStyle w:val="Heading3"/>
      </w:pPr>
      <w:bookmarkStart w:id="6295" w:name="_Toc4991"/>
      <w:r>
        <w:t>4772- دیوان عبد الحق ورنوسفادرانی‏</w:t>
      </w:r>
      <w:bookmarkEnd w:id="6295"/>
    </w:p>
    <w:p>
      <w:pPr>
        <w:pStyle w:val="BookText"/>
      </w:pPr>
      <w:r>
        <w:rPr>
          <w:rFonts w:ascii="IRNazanin" w:hAnsi="IRNazanin" w:eastAsia="IRNazanin" w:cs="IRNazanin"/>
          <w:lang w:bidi="fa-IR"/>
          <w:color w:val="111111"/>
          <w:sz w:val="28"/>
          <w:szCs w:val="28"/>
          <w:rtl/>
        </w:rPr>
        <w:t xml:space="preserve">قریة کبیرة من أعمال أصفهان. ترجمه النصرآبادی فی (نر 6 و 15- ص 205 و 528) و قال إنه توفی 1063 و أورد بعض شعره.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678" w:name="pg11704_122161"/>
    <w:bookmarkEnd w:id="678"/>
    <w:p>
      <w:pPr>
        <w:pStyle w:val="Heading3"/>
      </w:pPr>
      <w:bookmarkStart w:id="6296" w:name="_Toc4992"/>
      <w:r>
        <w:t>4773- دیوان عز الدین عبد الحمید</w:t>
      </w:r>
      <w:bookmarkEnd w:id="6296"/>
    </w:p>
    <w:p>
      <w:pPr>
        <w:pStyle w:val="BookText"/>
      </w:pPr>
      <w:r>
        <w:rPr>
          <w:rFonts w:ascii="IRNazanin" w:hAnsi="IRNazanin" w:eastAsia="IRNazanin" w:cs="IRNazanin"/>
          <w:lang w:bidi="fa-IR"/>
          <w:color w:val="111111"/>
          <w:sz w:val="28"/>
          <w:szCs w:val="28"/>
          <w:rtl/>
        </w:rPr>
        <w:t xml:space="preserve">هبة الله بن أبی الحدید المعتزلی المتشیع کما فی نسمة السحر المولود 586 و المتوفی 656 قبل انقراض بنی العباس بسبعة عشر یوما. ترجمه فی نسمة السحر و أورد شعره.</w:t>
      </w:r>
    </w:p>
    <w:p>
      <w:pPr>
        <w:pStyle w:val="Heading3"/>
      </w:pPr>
      <w:bookmarkStart w:id="6297" w:name="_Toc4993"/>
      <w:r>
        <w:t>4774- دیوان الشیخ عبد الحمزة</w:t>
      </w:r>
      <w:bookmarkEnd w:id="6297"/>
    </w:p>
    <w:p>
      <w:pPr>
        <w:pStyle w:val="BookText"/>
      </w:pPr>
      <w:r>
        <w:rPr>
          <w:rFonts w:ascii="IRNazanin" w:hAnsi="IRNazanin" w:eastAsia="IRNazanin" w:cs="IRNazanin"/>
          <w:lang w:bidi="fa-IR"/>
          <w:color w:val="111111"/>
          <w:sz w:val="28"/>
          <w:szCs w:val="28"/>
          <w:rtl/>
        </w:rPr>
        <w:t xml:space="preserve">ابن الأدیب الشیخ مهدی بن الشیخ أحمد بن الشیخ حسن القفطان النجفی المتوفی 1343 ذکره أخوه الشیخ محمد صالح نزیل مدینة الحی.</w:t>
      </w:r>
    </w:p>
    <w:p>
      <w:pPr>
        <w:pStyle w:val="Heading3"/>
      </w:pPr>
      <w:bookmarkStart w:id="6298" w:name="_Toc4994"/>
      <w:r>
        <w:t>دیوان عبد الحی‏</w:t>
      </w:r>
      <w:bookmarkEnd w:id="6298"/>
    </w:p>
    <w:p>
      <w:pPr>
        <w:pStyle w:val="BookText"/>
      </w:pPr>
      <w:r>
        <w:rPr>
          <w:rFonts w:ascii="IRNazanin" w:hAnsi="IRNazanin" w:eastAsia="IRNazanin" w:cs="IRNazanin"/>
          <w:lang w:bidi="fa-IR"/>
          <w:color w:val="111111"/>
          <w:sz w:val="28"/>
          <w:szCs w:val="28"/>
          <w:rtl/>
        </w:rPr>
        <w:t xml:space="preserve">راجع دیوان عبد الحق أسترآبادی.</w:t>
      </w:r>
    </w:p>
    <w:p>
      <w:pPr>
        <w:pStyle w:val="Heading3"/>
      </w:pPr>
      <w:bookmarkStart w:id="6299" w:name="_Toc4995"/>
      <w:r>
        <w:t>4775- دیوان عبد الخالق أو شعره‏</w:t>
      </w:r>
      <w:bookmarkEnd w:id="6299"/>
    </w:p>
    <w:p>
      <w:pPr>
        <w:pStyle w:val="BookText"/>
      </w:pPr>
      <w:r>
        <w:rPr>
          <w:rFonts w:ascii="IRNazanin" w:hAnsi="IRNazanin" w:eastAsia="IRNazanin" w:cs="IRNazanin"/>
          <w:lang w:bidi="fa-IR"/>
          <w:color w:val="111111"/>
          <w:sz w:val="28"/>
          <w:szCs w:val="28"/>
          <w:rtl/>
        </w:rPr>
        <w:t xml:space="preserve">الغجدوانی البخارائی من العرفاء. ترجمه فی (مع ج 1 ص 338) و أورد له رباعیین. و قال النفیسی فی مقدمه سخنان أبو سعید أبو الخیر (ص 56) إن رباعیاته دخل فی رباعیات أبی سعید المذکور.</w:t>
      </w:r>
    </w:p>
    <w:p>
      <w:pPr>
        <w:pStyle w:val="Heading3"/>
      </w:pPr>
      <w:bookmarkStart w:id="6300" w:name="_Toc4996"/>
      <w:r>
        <w:t>4776- دیوان عبد الرافع الهروی أو شعره‏</w:t>
      </w:r>
      <w:bookmarkEnd w:id="6300"/>
    </w:p>
    <w:p>
      <w:pPr>
        <w:pStyle w:val="BookText"/>
      </w:pPr>
      <w:r>
        <w:rPr>
          <w:rFonts w:ascii="IRNazanin" w:hAnsi="IRNazanin" w:eastAsia="IRNazanin" w:cs="IRNazanin"/>
          <w:lang w:bidi="fa-IR"/>
          <w:color w:val="111111"/>
          <w:sz w:val="28"/>
          <w:szCs w:val="28"/>
          <w:rtl/>
        </w:rPr>
        <w:t xml:space="preserve">مؤلف الرسالة الجلالیة فی شرح الأسماء الحسنی المذکور فی (ج 11- ص 164) و هو ضیاء الدین عبد الرافع بن أبی الفتح الفاضلی ترجمه فی (مع 1 ج 1 ص 336) و أورد نیفا و ثلاثین بیتا له.</w:t>
      </w:r>
    </w:p>
    <w:p>
      <w:pPr>
        <w:pStyle w:val="Heading3"/>
      </w:pPr>
      <w:bookmarkStart w:id="6301" w:name="_Toc4997"/>
      <w:r>
        <w:t>دیوان عبد الرءوف الأمین‏</w:t>
      </w:r>
      <w:bookmarkEnd w:id="6301"/>
    </w:p>
    <w:p>
      <w:pPr>
        <w:pStyle w:val="BookText"/>
      </w:pPr>
      <w:r>
        <w:rPr>
          <w:rFonts w:ascii="IRNazanin" w:hAnsi="IRNazanin" w:eastAsia="IRNazanin" w:cs="IRNazanin"/>
          <w:lang w:bidi="fa-IR"/>
          <w:color w:val="111111"/>
          <w:sz w:val="28"/>
          <w:szCs w:val="28"/>
          <w:rtl/>
        </w:rPr>
        <w:t xml:space="preserve">راجع دیوان فتی الجبل.</w:t>
      </w:r>
    </w:p>
    <w:p>
      <w:pPr>
        <w:pStyle w:val="Heading3"/>
      </w:pPr>
      <w:bookmarkStart w:id="6302" w:name="_Toc4998"/>
      <w:r>
        <w:t>4777- دیوان عبد الرءوف الجد حفصی‏</w:t>
      </w:r>
      <w:bookmarkEnd w:id="6302"/>
    </w:p>
    <w:p>
      <w:pPr>
        <w:pStyle w:val="BookText"/>
      </w:pPr>
      <w:r>
        <w:rPr>
          <w:rFonts w:ascii="IRNazanin" w:hAnsi="IRNazanin" w:eastAsia="IRNazanin" w:cs="IRNazanin"/>
          <w:lang w:bidi="fa-IR"/>
          <w:color w:val="111111"/>
          <w:sz w:val="28"/>
          <w:szCs w:val="28"/>
          <w:rtl/>
        </w:rPr>
        <w:t xml:space="preserve">و هو السید أبو جعفر بن الحسین بن محمد بن الحسن بن یحیی بن علی بن إسماعیل بن علی بن إسماعیل أخ الشریف المرتضی علم الهدی أبی القاسم علی بن الحسین بن موسی بن محمد بن موسی بن إبراهیم بن الإمام موسی ابن جعفر الکاظم ع. کذا سرد نسبه حفیده الآتی ذکره و المسمی باسمه الموسوی الحسینی البحرانی الجد حفصی المتوفی (1006) و قد رثاه ابن أخته و صهره علی بنته المسماة بملوک، السید ماجد بن هاشم بن علی بن مرتضی الصادقی الجد حفصی الذی توفی هو 1028 کما أرخه السید علی خان فی السلافة و کتب السید ماجد علی قبر جده الأمی السید عبد الرءوف أشعار ذکرها</w:t>
      </w:r>
    </w:p>
    <w:p>
      <w:pPr>
        <w:pStyle w:val="BookText"/>
      </w:pPr>
      <w:r>
        <w:rPr>
          <w:rFonts w:ascii="IRNazanin" w:hAnsi="IRNazanin" w:eastAsia="IRNazanin" w:cs="IRNazanin"/>
          <w:lang w:bidi="fa-IR"/>
          <w:color w:val="111111"/>
          <w:sz w:val="28"/>
          <w:szCs w:val="28"/>
          <w:rtl/>
        </w:rPr>
        <w:t xml:space="preserve">الشیخ یوسف البحرانی فی کشکوله و ذکر فیه أیضا جملة من أشعار دیوان السید عبد الرءوف هذا فی مدیح أصحاب الکساء المذکور فی (رقم 2869).</w:t>
      </w:r>
    </w:p>
    <w:p>
      <w:pPr>
        <w:pStyle w:val="Heading3"/>
      </w:pPr>
      <w:bookmarkStart w:id="6303" w:name="_Toc4999"/>
      <w:r>
        <w:t>4778- دیوان عبد الرءوف الجد حفصی‏</w:t>
      </w:r>
      <w:bookmarkEnd w:id="6303"/>
    </w:p>
    <w:p>
      <w:pPr>
        <w:pStyle w:val="BookText"/>
      </w:pPr>
      <w:r>
        <w:rPr>
          <w:rFonts w:ascii="IRNazanin" w:hAnsi="IRNazanin" w:eastAsia="IRNazanin" w:cs="IRNazanin"/>
          <w:lang w:bidi="fa-IR"/>
          <w:color w:val="111111"/>
          <w:sz w:val="28"/>
          <w:szCs w:val="28"/>
          <w:rtl/>
        </w:rPr>
        <w:t xml:space="preserve">السید جلال الدین أبی المعالی عبد الرءوف‏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679" w:name="pg11704_122162"/>
    <w:bookmarkEnd w:id="679"/>
    <w:p>
      <w:pPr>
        <w:pStyle w:val="BookText"/>
      </w:pPr>
      <w:r>
        <w:rPr>
          <w:rFonts w:ascii="IRNazanin" w:hAnsi="IRNazanin" w:eastAsia="IRNazanin" w:cs="IRNazanin"/>
          <w:lang w:bidi="fa-IR"/>
          <w:color w:val="111111"/>
          <w:sz w:val="28"/>
          <w:szCs w:val="28"/>
          <w:rtl/>
        </w:rPr>
        <w:t xml:space="preserve">بن الحسین بن أحمد بن السید أبی جعفر عبد الرءوف الموسوی الحسینی البحرانی الجد حفصی المذکور بقیة نسبه آنفا. و قد ترجمه الشیخ الحر فی الأمل و ذکر بعض ما کتبه إلیه من شعره و أطرأه إلی أن قال: [رأیته فی البحرین فرأیت منه العجب لکننی عرفت حینئذ فی البحرین بحر العلم و بحر الأدب ...] أقول قد جمع هذا الدیوان الشیخ أحمد بن محمد بن مبارک الساری البحرانی بعد وفاة الناظم بأمر ولده السید أحمد بن عبد الرءوف و ذکر فیه أن الناظم توفی 1113 و رتبه علی ثلاثة أبواب 1 المدیح 2 الرثاء 3 المتفرقات.</w:t>
      </w:r>
    </w:p>
    <w:p>
      <w:pPr>
        <w:pStyle w:val="BookText"/>
      </w:pPr>
      <w:r>
        <w:rPr>
          <w:rFonts w:ascii="IRNazanin" w:hAnsi="IRNazanin" w:eastAsia="IRNazanin" w:cs="IRNazanin"/>
          <w:lang w:bidi="fa-IR"/>
          <w:color w:val="111111"/>
          <w:sz w:val="28"/>
          <w:szCs w:val="28"/>
          <w:rtl/>
        </w:rPr>
        <w:t xml:space="preserve">و فرغ من جمعه فی 1118 و قد رأیته عند السید محمد علی (السبزواری بالکاظمیة) و فیه فوائد أدبیة و تاریخیة و کانت نسخه من هذا الدیوان عند السید شبر بن محمد بن ثنوان الموسوی الحویزی، نقل عنه فی رسالة عملها فی بیان نسب السید علی خان بن خلف الحویزی و ذکر أن فی ثلاثة مواضع من هذا الدیوان یصرح بسیادة السید علی خان و صحة نسبه.</w:t>
      </w:r>
    </w:p>
    <w:p>
      <w:pPr>
        <w:pStyle w:val="Heading3"/>
      </w:pPr>
      <w:bookmarkStart w:id="6304" w:name="_Toc5000"/>
      <w:r>
        <w:t>4779- دیوان السید عبد الرءوف أو شعره‏</w:t>
      </w:r>
      <w:bookmarkEnd w:id="6304"/>
    </w:p>
    <w:p>
      <w:pPr>
        <w:pStyle w:val="BookText"/>
      </w:pPr>
      <w:r>
        <w:rPr>
          <w:rFonts w:ascii="IRNazanin" w:hAnsi="IRNazanin" w:eastAsia="IRNazanin" w:cs="IRNazanin"/>
          <w:lang w:bidi="fa-IR"/>
          <w:color w:val="111111"/>
          <w:sz w:val="28"/>
          <w:szCs w:val="28"/>
          <w:rtl/>
        </w:rPr>
        <w:t xml:space="preserve">و هو السید ماجد بن السید هاشم بن علی بن مرتضی الجد حفصی البحرانی الذی توفی (1028) سمی باسم جده الأمی، فإن أمه المسماة ملوک علی ما ذکر الشیخ یوسف فی کشکوله، کانت بنت السید أبی جعفر عبد الرءوف السابق ذکره، و هو أیضا کان أدیبا شاعرا. و من شعره المناجاة التی أوردها له فی الروضات. ص 542 فی ذیل ترجمه والده السید ماجد البحرانی.</w:t>
      </w:r>
    </w:p>
    <w:p>
      <w:pPr>
        <w:pStyle w:val="Heading3"/>
      </w:pPr>
      <w:bookmarkStart w:id="6305" w:name="_Toc5001"/>
      <w:r>
        <w:t>دیوان المیرزا عبد الرحمن البخاری‏</w:t>
      </w:r>
      <w:bookmarkEnd w:id="6305"/>
    </w:p>
    <w:p>
      <w:pPr>
        <w:pStyle w:val="BookText"/>
      </w:pPr>
      <w:r>
        <w:rPr>
          <w:rFonts w:ascii="IRNazanin" w:hAnsi="IRNazanin" w:eastAsia="IRNazanin" w:cs="IRNazanin"/>
          <w:lang w:bidi="fa-IR"/>
          <w:color w:val="111111"/>
          <w:sz w:val="28"/>
          <w:szCs w:val="28"/>
          <w:rtl/>
        </w:rPr>
        <w:t xml:space="preserve">ابن القاضی بقا المتخلص منعم.</w:t>
      </w:r>
    </w:p>
    <w:p>
      <w:pPr>
        <w:pStyle w:val="BookText"/>
      </w:pPr>
      <w:r>
        <w:rPr>
          <w:rFonts w:ascii="IRNazanin" w:hAnsi="IRNazanin" w:eastAsia="IRNazanin" w:cs="IRNazanin"/>
          <w:lang w:bidi="fa-IR"/>
          <w:color w:val="111111"/>
          <w:sz w:val="28"/>
          <w:szCs w:val="28"/>
          <w:rtl/>
        </w:rPr>
        <w:t xml:space="preserve">یأتی فی المیم.</w:t>
      </w:r>
    </w:p>
    <w:p>
      <w:pPr>
        <w:pStyle w:val="Heading3"/>
      </w:pPr>
      <w:bookmarkStart w:id="6306" w:name="_Toc5002"/>
      <w:r>
        <w:t>دیوان المولی عبد الرحمن‏</w:t>
      </w:r>
      <w:bookmarkEnd w:id="6306"/>
    </w:p>
    <w:p>
      <w:pPr>
        <w:pStyle w:val="BookText"/>
      </w:pPr>
      <w:r>
        <w:rPr>
          <w:rFonts w:ascii="IRNazanin" w:hAnsi="IRNazanin" w:eastAsia="IRNazanin" w:cs="IRNazanin"/>
          <w:lang w:bidi="fa-IR"/>
          <w:color w:val="111111"/>
          <w:sz w:val="28"/>
          <w:szCs w:val="28"/>
          <w:rtl/>
        </w:rPr>
        <w:t xml:space="preserve">الجامی مر فی حرف الجیم بتخلصه.</w:t>
      </w:r>
    </w:p>
    <w:p>
      <w:pPr>
        <w:pStyle w:val="Heading3"/>
      </w:pPr>
      <w:bookmarkStart w:id="6307" w:name="_Toc5003"/>
      <w:r>
        <w:t>4780- دیوان المیر عبد الرحمن القمی‏</w:t>
      </w:r>
      <w:bookmarkEnd w:id="6307"/>
    </w:p>
    <w:p>
      <w:pPr>
        <w:pStyle w:val="BookText"/>
      </w:pPr>
      <w:r>
        <w:rPr>
          <w:rFonts w:ascii="IRNazanin" w:hAnsi="IRNazanin" w:eastAsia="IRNazanin" w:cs="IRNazanin"/>
          <w:lang w:bidi="fa-IR"/>
          <w:color w:val="111111"/>
          <w:sz w:val="28"/>
          <w:szCs w:val="28"/>
          <w:rtl/>
        </w:rPr>
        <w:t xml:space="preserve">ابن کمال الدین. کان من نجباء السادات بقم و متولی خاکفرج، و تلمیذ المیرزا حسن بن المولی عبد الرزاق اللاهیجی. ترجمه النصرآبادی فی (نر 9- ص 365) و أورد شعره.</w:t>
      </w:r>
    </w:p>
    <w:p>
      <w:pPr>
        <w:pStyle w:val="Heading3"/>
      </w:pPr>
      <w:bookmarkStart w:id="6308" w:name="_Toc5004"/>
      <w:r>
        <w:t>4781- دیوان الشیخ عبد الرحیم السلطان‏آبادی‏</w:t>
      </w:r>
      <w:bookmarkEnd w:id="6308"/>
    </w:p>
    <w:p>
      <w:pPr>
        <w:pStyle w:val="BookText"/>
      </w:pPr>
      <w:r>
        <w:rPr>
          <w:rFonts w:ascii="IRNazanin" w:hAnsi="IRNazanin" w:eastAsia="IRNazanin" w:cs="IRNazanin"/>
          <w:lang w:bidi="fa-IR"/>
          <w:color w:val="111111"/>
          <w:sz w:val="28"/>
          <w:szCs w:val="28"/>
          <w:rtl/>
        </w:rPr>
        <w:t xml:space="preserve">هو ابن الشیخ عبد الحسین بن محمد حسین صاحب الفصول (1294- 13 ذی القعدة 1367) له غیر هذا الدیوان منظومة فی الدرایة اسمه موجز المقال یأتی فی المیم. و مر رجاله فی (10: 125).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680" w:name="pg11704_122163"/>
    <w:bookmarkEnd w:id="680"/>
    <w:p>
      <w:pPr>
        <w:pStyle w:val="Heading3"/>
      </w:pPr>
      <w:bookmarkStart w:id="6309" w:name="_Toc5005"/>
      <w:r>
        <w:t>دیوان عبد الرحیم خان هندی‏</w:t>
      </w:r>
      <w:bookmarkEnd w:id="6309"/>
    </w:p>
    <w:p>
      <w:pPr>
        <w:pStyle w:val="BookText"/>
      </w:pPr>
      <w:r>
        <w:rPr>
          <w:rFonts w:ascii="IRNazanin" w:hAnsi="IRNazanin" w:eastAsia="IRNazanin" w:cs="IRNazanin"/>
          <w:lang w:bidi="fa-IR"/>
          <w:color w:val="111111"/>
          <w:sz w:val="28"/>
          <w:szCs w:val="28"/>
          <w:rtl/>
        </w:rPr>
        <w:t xml:space="preserve">مر بعنوان خان خانان فی ص 286.</w:t>
      </w:r>
    </w:p>
    <w:p>
      <w:pPr>
        <w:pStyle w:val="Heading3"/>
      </w:pPr>
      <w:bookmarkStart w:id="6310" w:name="_Toc5006"/>
      <w:r>
        <w:t>4782- دیوان المیرزا عبد الرحیم النهاوندی‏</w:t>
      </w:r>
      <w:bookmarkEnd w:id="6310"/>
    </w:p>
    <w:p>
      <w:pPr>
        <w:pStyle w:val="BookText"/>
      </w:pPr>
      <w:r>
        <w:rPr>
          <w:rFonts w:ascii="IRNazanin" w:hAnsi="IRNazanin" w:eastAsia="IRNazanin" w:cs="IRNazanin"/>
          <w:lang w:bidi="fa-IR"/>
          <w:color w:val="111111"/>
          <w:sz w:val="28"/>
          <w:szCs w:val="28"/>
          <w:rtl/>
        </w:rPr>
        <w:t xml:space="preserve">نزیل طهران. حدثنی ولده الحاج الشیخ محمد مؤلف تفسیر نفحات الرحمن أن والده کان ابن المیرزا نجف المستوفی ابن المیرزا محمد علی الشیرازی الذی صارحا کما فی نهاوند من قبل السلطان محمد شاه و بقی أحفاده بها و منهم والده هذا المولود فی نهاوند حدود 1237 و کان من العمر له سبع و ستون سنة حین توفی بطهران 1304 قال إنه هاجر إلی العراق فی أیام الشیخ الأنصاری. و تلمذ علیه حتی برع و صار من المدرسین فی حیاته و بعد وفاته. قال: و رجع إلی إیران فی عام ولادتی و هی 1291 فأقام سنة فی مشهد خراسان، ثم نزل إلی طهران و فوض إلیه تدریس مدرسة المروی و کان مدرسا بها إلی أن توفی یوم الثلثاء تاسع ربیع الثانی أو عاشره من السنة المذکورة. و بقی من تصانیفه الأصولیة مقدار من أصل البراءة و حاشیة القوانین و من الفقهیة کتاب العتق و کتاب الوقف و بعض أشعاره فی کراریس و یأتی دیوان ولده الشیخ محمد المذکور، فی حرف المیم و أکبر ولده الشیخ محمد حسن الذی تشرف بعد موت والده إلی سامراء و بعد سنین عاد إلی إیران و جاور مشهد خراسان إلی أن توفی حدود 1329 و له ولدین آخرین من زوجته الطهرانیة آقا ضیاء الدین و آقا عیسی.</w:t>
      </w:r>
    </w:p>
    <w:p>
      <w:pPr>
        <w:pStyle w:val="Heading3"/>
      </w:pPr>
      <w:bookmarkStart w:id="6311" w:name="_Toc5007"/>
      <w:r>
        <w:t>دیوان عبد الرزاق دنبلی‏</w:t>
      </w:r>
      <w:bookmarkEnd w:id="6311"/>
    </w:p>
    <w:p>
      <w:pPr>
        <w:pStyle w:val="BookText"/>
      </w:pPr>
      <w:r>
        <w:rPr>
          <w:rFonts w:ascii="IRNazanin" w:hAnsi="IRNazanin" w:eastAsia="IRNazanin" w:cs="IRNazanin"/>
          <w:lang w:bidi="fa-IR"/>
          <w:color w:val="111111"/>
          <w:sz w:val="28"/>
          <w:szCs w:val="28"/>
          <w:rtl/>
        </w:rPr>
        <w:t xml:space="preserve">راجع دیوان مفتون دنبلی.</w:t>
      </w:r>
    </w:p>
    <w:p>
      <w:pPr>
        <w:pStyle w:val="Heading3"/>
      </w:pPr>
      <w:bookmarkStart w:id="6312" w:name="_Toc5008"/>
      <w:r>
        <w:t>4783- دیوان عبد الرزاق سرخ قلب أو شعره‏</w:t>
      </w:r>
      <w:bookmarkEnd w:id="6312"/>
    </w:p>
    <w:p>
      <w:pPr>
        <w:pStyle w:val="BookText"/>
      </w:pPr>
      <w:r>
        <w:rPr>
          <w:rFonts w:ascii="IRNazanin" w:hAnsi="IRNazanin" w:eastAsia="IRNazanin" w:cs="IRNazanin"/>
          <w:lang w:bidi="fa-IR"/>
          <w:color w:val="111111"/>
          <w:sz w:val="28"/>
          <w:szCs w:val="28"/>
          <w:rtl/>
        </w:rPr>
        <w:t xml:space="preserve">ترجمه و أورد شعره فی (مجن 4- ص 104 و 278).</w:t>
      </w:r>
    </w:p>
    <w:p>
      <w:pPr>
        <w:pStyle w:val="Heading3"/>
      </w:pPr>
      <w:bookmarkStart w:id="6313" w:name="_Toc5009"/>
      <w:r>
        <w:t>دیوان المولی عبد الرزاق اللاهیجی‏</w:t>
      </w:r>
      <w:bookmarkEnd w:id="6313"/>
    </w:p>
    <w:p>
      <w:pPr>
        <w:pStyle w:val="BookText"/>
      </w:pPr>
      <w:r>
        <w:rPr>
          <w:rFonts w:ascii="IRNazanin" w:hAnsi="IRNazanin" w:eastAsia="IRNazanin" w:cs="IRNazanin"/>
          <w:lang w:bidi="fa-IR"/>
          <w:color w:val="111111"/>
          <w:sz w:val="28"/>
          <w:szCs w:val="28"/>
          <w:rtl/>
        </w:rPr>
        <w:t xml:space="preserve">ابن علی بن الحسین المتخلص بفیاض تلمیذ، المولی صدرا و عدیل المحدث الفیض. توفی 1051 یأتی بتخلصه فیاض.</w:t>
      </w:r>
    </w:p>
    <w:p>
      <w:pPr>
        <w:pStyle w:val="Heading3"/>
      </w:pPr>
      <w:bookmarkStart w:id="6314" w:name="_Toc5010"/>
      <w:r>
        <w:t>4784- دیوان المولی عبد الرزاق الهروی‏</w:t>
      </w:r>
      <w:bookmarkEnd w:id="6314"/>
    </w:p>
    <w:p>
      <w:pPr>
        <w:pStyle w:val="BookText"/>
      </w:pPr>
      <w:r>
        <w:rPr>
          <w:rFonts w:ascii="IRNazanin" w:hAnsi="IRNazanin" w:eastAsia="IRNazanin" w:cs="IRNazanin"/>
          <w:lang w:bidi="fa-IR"/>
          <w:color w:val="111111"/>
          <w:sz w:val="28"/>
          <w:szCs w:val="28"/>
          <w:rtl/>
        </w:rPr>
        <w:t xml:space="preserve">معاصر المولی عبد القهار و مصاحبه ترجمه فی (مجن 2- ص 30 و 203) و أورد شعره و ذکر أنه صاحب مطلع السعدین دفن فی قرب الإمام فخر، و فی الهامش عن بعض النسخ، عبد الغفار.</w:t>
      </w:r>
    </w:p>
    <w:p>
      <w:pPr>
        <w:pStyle w:val="Heading3"/>
      </w:pPr>
      <w:bookmarkStart w:id="6315" w:name="_Toc5011"/>
      <w:r>
        <w:t>4785- دیوان الشیخ عبد الرسول أو شعره‏</w:t>
      </w:r>
      <w:bookmarkEnd w:id="6315"/>
    </w:p>
    <w:p>
      <w:pPr>
        <w:pStyle w:val="BookText"/>
      </w:pPr>
      <w:r>
        <w:rPr>
          <w:rFonts w:ascii="IRNazanin" w:hAnsi="IRNazanin" w:eastAsia="IRNazanin" w:cs="IRNazanin"/>
          <w:lang w:bidi="fa-IR"/>
          <w:color w:val="111111"/>
          <w:sz w:val="28"/>
          <w:szCs w:val="28"/>
          <w:rtl/>
        </w:rPr>
        <w:t xml:space="preserve">الخادم للحضرة الغرویة، ابن محمد حسین الحمیری النجفی المترجم فی نشوة السلافة رأیت تقریظه المنظوم ل الذخر الرابع‏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681" w:name="pg11704_122164"/>
    <w:bookmarkEnd w:id="681"/>
    <w:p>
      <w:pPr>
        <w:pStyle w:val="BookText"/>
      </w:pPr>
      <w:r>
        <w:rPr>
          <w:rFonts w:ascii="IRNazanin" w:hAnsi="IRNazanin" w:eastAsia="IRNazanin" w:cs="IRNazanin"/>
          <w:lang w:bidi="fa-IR"/>
          <w:color w:val="111111"/>
          <w:sz w:val="28"/>
          <w:szCs w:val="28"/>
          <w:rtl/>
        </w:rPr>
        <w:t xml:space="preserve">فی شرح مفاتیح الشرائع للسید عبد الله الجزائری فی 1148:</w:t>
      </w:r>
    </w:p>
    <w:p>
      <w:pPr>
        <w:pStyle w:val="BookText"/>
      </w:pPr>
      <w:r>
        <w:rPr>
          <w:rFonts w:ascii="IRNazanin" w:hAnsi="IRNazanin" w:eastAsia="IRNazanin" w:cs="IRNazanin"/>
          <w:lang w:bidi="fa-IR"/>
          <w:color w:val="111111"/>
          <w:sz w:val="28"/>
          <w:szCs w:val="28"/>
          <w:rtl/>
        </w:rPr>
        <w:t xml:space="preserve">لقد راق ذا الشرح المصون عن الحظی‏</w:t>
      </w:r>
    </w:p>
    <w:p>
      <w:pPr>
        <w:pStyle w:val="BookText"/>
      </w:pPr>
      <w:r>
        <w:rPr>
          <w:rFonts w:ascii="IRNazanin" w:hAnsi="IRNazanin" w:eastAsia="IRNazanin" w:cs="IRNazanin"/>
          <w:lang w:bidi="fa-IR"/>
          <w:color w:val="111111"/>
          <w:sz w:val="28"/>
          <w:szCs w:val="28"/>
          <w:rtl/>
        </w:rPr>
        <w:t xml:space="preserve">لناظر أرباب البصائر و الذکر</w:t>
      </w:r>
    </w:p>
    <w:p>
      <w:pPr>
        <w:pStyle w:val="BookText"/>
      </w:pPr>
      <w:r>
        <w:rPr>
          <w:rFonts w:ascii="IRNazanin" w:hAnsi="IRNazanin" w:eastAsia="IRNazanin" w:cs="IRNazanin"/>
          <w:lang w:bidi="fa-IR"/>
          <w:color w:val="111111"/>
          <w:sz w:val="28"/>
          <w:szCs w:val="28"/>
          <w:rtl/>
        </w:rPr>
        <w:t xml:space="preserve">هو البحر الا أنه العذب ورده‏</w:t>
      </w:r>
    </w:p>
    <w:p>
      <w:pPr>
        <w:pStyle w:val="BookText"/>
      </w:pPr>
      <w:r>
        <w:rPr>
          <w:rFonts w:ascii="IRNazanin" w:hAnsi="IRNazanin" w:eastAsia="IRNazanin" w:cs="IRNazanin"/>
          <w:lang w:bidi="fa-IR"/>
          <w:color w:val="111111"/>
          <w:sz w:val="28"/>
          <w:szCs w:val="28"/>
          <w:rtl/>
        </w:rPr>
        <w:t xml:space="preserve">و ألفاظه تسمو علی الأنجم الزهر</w:t>
      </w:r>
    </w:p>
    <w:p>
      <w:pPr>
        <w:pStyle w:val="BookText"/>
      </w:pPr>
      <w:r>
        <w:rPr>
          <w:rFonts w:ascii="IRNazanin" w:hAnsi="IRNazanin" w:eastAsia="IRNazanin" w:cs="IRNazanin"/>
          <w:lang w:bidi="fa-IR"/>
          <w:color w:val="111111"/>
          <w:sz w:val="28"/>
          <w:szCs w:val="28"/>
          <w:rtl/>
        </w:rPr>
        <w:t xml:space="preserve">یبین فیه المشکلات أخو الندی‏</w:t>
      </w:r>
    </w:p>
    <w:p>
      <w:pPr>
        <w:pStyle w:val="BookText"/>
      </w:pPr>
      <w:r>
        <w:rPr>
          <w:rFonts w:ascii="IRNazanin" w:hAnsi="IRNazanin" w:eastAsia="IRNazanin" w:cs="IRNazanin"/>
          <w:lang w:bidi="fa-IR"/>
          <w:color w:val="111111"/>
          <w:sz w:val="28"/>
          <w:szCs w:val="28"/>
          <w:rtl/>
        </w:rPr>
        <w:t xml:space="preserve">سلیل رسول الله و السادة الغر</w:t>
      </w:r>
    </w:p>
    <w:p>
      <w:pPr>
        <w:pStyle w:val="BookText"/>
      </w:pPr>
      <w:r>
        <w:rPr>
          <w:rFonts w:ascii="IRNazanin" w:hAnsi="IRNazanin" w:eastAsia="IRNazanin" w:cs="IRNazanin"/>
          <w:lang w:bidi="fa-IR"/>
          <w:color w:val="111111"/>
          <w:sz w:val="28"/>
          <w:szCs w:val="28"/>
          <w:rtl/>
        </w:rPr>
        <w:t xml:space="preserve">فجاء کما شئناه سهلا بیانه‏</w:t>
      </w:r>
    </w:p>
    <w:p>
      <w:pPr>
        <w:pStyle w:val="BookText"/>
      </w:pPr>
      <w:r>
        <w:rPr>
          <w:rFonts w:ascii="IRNazanin" w:hAnsi="IRNazanin" w:eastAsia="IRNazanin" w:cs="IRNazanin"/>
          <w:lang w:bidi="fa-IR"/>
          <w:color w:val="111111"/>
          <w:sz w:val="28"/>
          <w:szCs w:val="28"/>
          <w:rtl/>
        </w:rPr>
        <w:t xml:space="preserve">و صار به المشروح متضح الأمر</w:t>
      </w:r>
    </w:p>
    <w:p>
      <w:pPr>
        <w:pStyle w:val="BookText"/>
      </w:pPr>
      <w:r>
        <w:rPr>
          <w:rFonts w:ascii="IRNazanin" w:hAnsi="IRNazanin" w:eastAsia="IRNazanin" w:cs="IRNazanin"/>
          <w:lang w:bidi="fa-IR"/>
          <w:color w:val="111111"/>
          <w:sz w:val="28"/>
          <w:szCs w:val="28"/>
          <w:rtl/>
        </w:rPr>
        <w:t xml:space="preserve">فلا زال من عند الإله مؤیدا</w:t>
      </w:r>
    </w:p>
    <w:p>
      <w:pPr>
        <w:pStyle w:val="BookText"/>
      </w:pPr>
      <w:r>
        <w:rPr>
          <w:rFonts w:ascii="IRNazanin" w:hAnsi="IRNazanin" w:eastAsia="IRNazanin" w:cs="IRNazanin"/>
          <w:lang w:bidi="fa-IR"/>
          <w:color w:val="111111"/>
          <w:sz w:val="28"/>
          <w:szCs w:val="28"/>
          <w:rtl/>
        </w:rPr>
        <w:t xml:space="preserve">و لا زال مذخورا لنا سالف الدهر</w:t>
      </w:r>
    </w:p>
    <w:p>
      <w:pPr>
        <w:pStyle w:val="BookText"/>
      </w:pPr>
      <w:r>
        <w:rPr>
          <w:rFonts w:ascii="IRNazanin" w:hAnsi="IRNazanin" w:eastAsia="IRNazanin" w:cs="IRNazanin"/>
          <w:lang w:bidi="fa-IR"/>
          <w:color w:val="111111"/>
          <w:sz w:val="28"/>
          <w:szCs w:val="28"/>
          <w:rtl/>
        </w:rPr>
        <w:t xml:space="preserve">و بقیة شعر هذا الشاعر فی نشوة السلافة و محل الإضافة فی تذییل سلافة العصر تألیف السید علی خان. و مؤلف النشوة هو الشیخ محمد علی بن الشیخ بشاره آل موحی النجفی.</w:t>
      </w:r>
    </w:p>
    <w:p>
      <w:pPr>
        <w:pStyle w:val="Heading3"/>
      </w:pPr>
      <w:bookmarkStart w:id="6316" w:name="_Toc5012"/>
      <w:r>
        <w:t>دیوان عبد الرسول شوشتری‏</w:t>
      </w:r>
      <w:bookmarkEnd w:id="6316"/>
    </w:p>
    <w:p>
      <w:pPr>
        <w:pStyle w:val="BookText"/>
      </w:pPr>
      <w:r>
        <w:rPr>
          <w:rFonts w:ascii="IRNazanin" w:hAnsi="IRNazanin" w:eastAsia="IRNazanin" w:cs="IRNazanin"/>
          <w:lang w:bidi="fa-IR"/>
          <w:color w:val="111111"/>
          <w:sz w:val="28"/>
          <w:szCs w:val="28"/>
          <w:rtl/>
        </w:rPr>
        <w:t xml:space="preserve">یأتی بتخلصه وفائی.</w:t>
      </w:r>
    </w:p>
    <w:p>
      <w:pPr>
        <w:pStyle w:val="Heading3"/>
      </w:pPr>
      <w:bookmarkStart w:id="6317" w:name="_Toc5013"/>
      <w:r>
        <w:t>4786- دیوان عبد الرشید هروی‏</w:t>
      </w:r>
      <w:bookmarkEnd w:id="6317"/>
    </w:p>
    <w:p>
      <w:pPr>
        <w:pStyle w:val="BookText"/>
      </w:pPr>
      <w:r>
        <w:rPr>
          <w:rFonts w:ascii="IRNazanin" w:hAnsi="IRNazanin" w:eastAsia="IRNazanin" w:cs="IRNazanin"/>
          <w:lang w:bidi="fa-IR"/>
          <w:color w:val="111111"/>
          <w:sz w:val="28"/>
          <w:szCs w:val="28"/>
          <w:rtl/>
        </w:rPr>
        <w:t xml:space="preserve">و هو الخطاط المتوفی 1204. قال صباحی فی تاریخه:</w:t>
      </w:r>
    </w:p>
    <w:p>
      <w:pPr>
        <w:pStyle w:val="BookText"/>
      </w:pPr>
      <w:r>
        <w:rPr>
          <w:rFonts w:ascii="IRNazanin" w:hAnsi="IRNazanin" w:eastAsia="IRNazanin" w:cs="IRNazanin"/>
          <w:lang w:bidi="fa-IR"/>
          <w:color w:val="111111"/>
          <w:sz w:val="28"/>
          <w:szCs w:val="28"/>
          <w:rtl/>
        </w:rPr>
        <w:t xml:space="preserve">کلک مشکین صباحی بهر تاریخش رقم‏</w:t>
      </w:r>
    </w:p>
    <w:p>
      <w:pPr>
        <w:pStyle w:val="BookText"/>
      </w:pPr>
      <w:r>
        <w:rPr>
          <w:rFonts w:ascii="IRNazanin" w:hAnsi="IRNazanin" w:eastAsia="IRNazanin" w:cs="IRNazanin"/>
          <w:lang w:bidi="fa-IR"/>
          <w:color w:val="111111"/>
          <w:sz w:val="28"/>
          <w:szCs w:val="28"/>
          <w:rtl/>
        </w:rPr>
        <w:t xml:space="preserve">زد ز جنت باد الهی کام جو عبد الرشید</w:t>
      </w:r>
    </w:p>
    <w:p>
      <w:pPr>
        <w:pStyle w:val="BookText"/>
      </w:pPr>
      <w:r>
        <w:rPr>
          <w:rFonts w:ascii="IRNazanin" w:hAnsi="IRNazanin" w:eastAsia="IRNazanin" w:cs="IRNazanin"/>
          <w:lang w:bidi="fa-IR"/>
          <w:color w:val="111111"/>
          <w:sz w:val="28"/>
          <w:szCs w:val="28"/>
          <w:rtl/>
        </w:rPr>
        <w:t xml:space="preserve">قال سنگلاخ فی امتحان الفضلاء ج 2 ص 89 رأیت مختصر دیوانه بخط محمد طاهر اعتماد الدولة.</w:t>
      </w:r>
    </w:p>
    <w:p>
      <w:pPr>
        <w:pStyle w:val="Heading3"/>
      </w:pPr>
      <w:bookmarkStart w:id="6318" w:name="_Toc5014"/>
      <w:r>
        <w:t>4787- دیوان الشیخ عبد الرضا الخطی‏</w:t>
      </w:r>
      <w:bookmarkEnd w:id="6318"/>
    </w:p>
    <w:p>
      <w:pPr>
        <w:pStyle w:val="BookText"/>
      </w:pPr>
      <w:r>
        <w:rPr>
          <w:rFonts w:ascii="IRNazanin" w:hAnsi="IRNazanin" w:eastAsia="IRNazanin" w:cs="IRNazanin"/>
          <w:lang w:bidi="fa-IR"/>
          <w:color w:val="111111"/>
          <w:sz w:val="28"/>
          <w:szCs w:val="28"/>
          <w:rtl/>
        </w:rPr>
        <w:t xml:space="preserve">رأیت له فی بعض المجامیع عدة قصائد فی رثاء الحسین و أهل بیته.</w:t>
      </w:r>
    </w:p>
    <w:p>
      <w:pPr>
        <w:pStyle w:val="Heading3"/>
      </w:pPr>
      <w:bookmarkStart w:id="6319" w:name="_Toc5015"/>
      <w:r>
        <w:t>4788- دیوان عبد الرضا خلیفة</w:t>
      </w:r>
      <w:bookmarkEnd w:id="6319"/>
    </w:p>
    <w:p>
      <w:pPr>
        <w:pStyle w:val="BookText"/>
      </w:pPr>
      <w:r>
        <w:rPr>
          <w:rFonts w:ascii="IRNazanin" w:hAnsi="IRNazanin" w:eastAsia="IRNazanin" w:cs="IRNazanin"/>
          <w:lang w:bidi="fa-IR"/>
          <w:color w:val="111111"/>
          <w:sz w:val="28"/>
          <w:szCs w:val="28"/>
          <w:rtl/>
        </w:rPr>
        <w:t xml:space="preserve">توجد نسخته فی مکتبة (السماوی).</w:t>
      </w:r>
    </w:p>
    <w:p>
      <w:pPr>
        <w:pStyle w:val="Heading3"/>
      </w:pPr>
      <w:bookmarkStart w:id="6320" w:name="_Toc5016"/>
      <w:r>
        <w:t>4789- دیوان الشیخ عبد الرضا المقری الکاظمی‏</w:t>
      </w:r>
      <w:bookmarkEnd w:id="6320"/>
    </w:p>
    <w:p>
      <w:pPr>
        <w:pStyle w:val="BookText"/>
      </w:pPr>
      <w:r>
        <w:rPr>
          <w:rFonts w:ascii="IRNazanin" w:hAnsi="IRNazanin" w:eastAsia="IRNazanin" w:cs="IRNazanin"/>
          <w:lang w:bidi="fa-IR"/>
          <w:color w:val="111111"/>
          <w:sz w:val="28"/>
          <w:szCs w:val="28"/>
          <w:rtl/>
        </w:rPr>
        <w:t xml:space="preserve">المتوفی بها 1120 یوجد بالکاظمیة فی مکتبة الشیخ محمد رضا بن محمد علی بن الشیخ عزیز الخالصی المعروف بشالچی موسی المولود 1302.</w:t>
      </w:r>
    </w:p>
    <w:p>
      <w:pPr>
        <w:pStyle w:val="Heading3"/>
      </w:pPr>
      <w:bookmarkStart w:id="6321" w:name="_Toc5017"/>
      <w:r>
        <w:t>دیوان عبد الرضا هندی‏</w:t>
      </w:r>
      <w:bookmarkEnd w:id="6321"/>
    </w:p>
    <w:p>
      <w:pPr>
        <w:pStyle w:val="BookText"/>
      </w:pPr>
      <w:r>
        <w:rPr>
          <w:rFonts w:ascii="IRNazanin" w:hAnsi="IRNazanin" w:eastAsia="IRNazanin" w:cs="IRNazanin"/>
          <w:lang w:bidi="fa-IR"/>
          <w:color w:val="111111"/>
          <w:sz w:val="28"/>
          <w:szCs w:val="28"/>
          <w:rtl/>
        </w:rPr>
        <w:t xml:space="preserve">راجع متین أصفهانی.</w:t>
      </w:r>
    </w:p>
    <w:p>
      <w:pPr>
        <w:pStyle w:val="Heading3"/>
      </w:pPr>
      <w:bookmarkStart w:id="6322" w:name="_Toc5018"/>
      <w:r>
        <w:t>دیوان عبد السلام السلمی‏</w:t>
      </w:r>
      <w:bookmarkEnd w:id="6322"/>
    </w:p>
    <w:p>
      <w:pPr>
        <w:pStyle w:val="BookText"/>
      </w:pPr>
      <w:r>
        <w:rPr>
          <w:rFonts w:ascii="IRNazanin" w:hAnsi="IRNazanin" w:eastAsia="IRNazanin" w:cs="IRNazanin"/>
          <w:lang w:bidi="fa-IR"/>
          <w:color w:val="111111"/>
          <w:sz w:val="28"/>
          <w:szCs w:val="28"/>
          <w:rtl/>
        </w:rPr>
        <w:t xml:space="preserve">مر بعنوان دیک الجن.</w:t>
      </w:r>
    </w:p>
    <w:p>
      <w:pPr>
        <w:pStyle w:val="Heading3"/>
      </w:pPr>
      <w:bookmarkStart w:id="6323" w:name="_Toc5019"/>
      <w:r>
        <w:t>4790- دیوان عبد الصمد با کثیر</w:t>
      </w:r>
      <w:bookmarkEnd w:id="6323"/>
    </w:p>
    <w:p>
      <w:pPr>
        <w:pStyle w:val="BookText"/>
      </w:pPr>
      <w:r>
        <w:rPr>
          <w:rFonts w:ascii="IRNazanin" w:hAnsi="IRNazanin" w:eastAsia="IRNazanin" w:cs="IRNazanin"/>
          <w:lang w:bidi="fa-IR"/>
          <w:color w:val="111111"/>
          <w:sz w:val="28"/>
          <w:szCs w:val="28"/>
          <w:rtl/>
        </w:rPr>
        <w:t xml:space="preserve">و هو ابن عبد الله الیمنی المتوفی بالشحر 1025.</w:t>
      </w:r>
    </w:p>
    <w:p>
      <w:pPr>
        <w:pStyle w:val="BookText"/>
      </w:pPr>
      <w:r>
        <w:rPr>
          <w:rFonts w:ascii="IRNazanin" w:hAnsi="IRNazanin" w:eastAsia="IRNazanin" w:cs="IRNazanin"/>
          <w:lang w:bidi="fa-IR"/>
          <w:color w:val="111111"/>
          <w:sz w:val="28"/>
          <w:szCs w:val="28"/>
          <w:rtl/>
        </w:rPr>
        <w:t xml:space="preserve">ترجمه و أورد شعره عن دیوانه فی السلافة. ص 461 و هدیة العارفین 1: 574.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bookmarkStart w:id="682" w:name="pg11704_122165"/>
    <w:bookmarkEnd w:id="682"/>
    <w:p>
      <w:pPr>
        <w:pStyle w:val="Heading2"/>
      </w:pPr>
      <w:bookmarkStart w:id="6324" w:name="_Toc5020"/>
      <w:r>
        <w:t>الجزء الثالث</w:t>
      </w:r>
      <w:bookmarkEnd w:id="6324"/>
    </w:p>
    <w:p>
      <w:pPr>
        <w:pStyle w:val="Heading3"/>
      </w:pPr>
      <w:bookmarkStart w:id="6325" w:name="_Toc5021"/>
      <w:r>
        <w:t>اشارة</w:t>
      </w:r>
      <w:bookmarkEnd w:id="6325"/>
    </w:p>
    <w:p>
      <w:pPr>
        <w:pStyle w:val="BookText"/>
      </w:pPr>
      <w:r>
        <w:rPr>
          <w:rFonts w:ascii="IRNazanin" w:hAnsi="IRNazanin" w:eastAsia="IRNazanin" w:cs="IRNazanin"/>
          <w:lang w:bidi="fa-IR"/>
          <w:color w:val="111111"/>
          <w:sz w:val="28"/>
          <w:szCs w:val="28"/>
          <w:rtl/>
        </w:rPr>
        <w:t xml:space="preserve">[بیان]</w:t>
      </w:r>
    </w:p>
    <w:p>
      <w:pPr>
        <w:pStyle w:val="BookText"/>
      </w:pPr>
      <w:r>
        <w:rPr>
          <w:rFonts w:ascii="IRNazanin" w:hAnsi="IRNazanin" w:eastAsia="IRNazanin" w:cs="IRNazanin"/>
          <w:lang w:bidi="fa-IR"/>
          <w:color w:val="111111"/>
          <w:sz w:val="28"/>
          <w:szCs w:val="28"/>
          <w:rtl/>
        </w:rPr>
        <w:t xml:space="preserve">بسم الله الرحمن الرحیم‏ الحمد لله رب العالمین، و الصلاة علی خیر خلقه محمد و آله الطاهرین. و بعد فهذا هو القسم الثالث من الجزء التاسع من الذریعة الخاص بالشعر و الشعراء، نقدمه إلی القراء الکرام، راجین منهم إصلاح الخطإ الذی لا یخلو منه إنسان.</w:t>
      </w:r>
    </w:p>
    <w:p>
      <w:pPr>
        <w:pStyle w:val="BookText"/>
      </w:pPr>
      <w:r>
        <w:rPr>
          <w:rFonts w:ascii="IRNazanin" w:hAnsi="IRNazanin" w:eastAsia="IRNazanin" w:cs="IRNazanin"/>
          <w:lang w:bidi="fa-IR"/>
          <w:color w:val="111111"/>
          <w:sz w:val="28"/>
          <w:szCs w:val="28"/>
          <w:rtl/>
        </w:rPr>
        <w:t xml:space="preserve">المؤلف‏</w:t>
      </w:r>
    </w:p>
    <w:p>
      <w:pPr>
        <w:pStyle w:val="Heading3"/>
      </w:pPr>
      <w:bookmarkStart w:id="6326" w:name="_Toc5022"/>
      <w:r>
        <w:t>4791- دیوان مولی عبد الصمد بدخشانی‏</w:t>
      </w:r>
      <w:bookmarkEnd w:id="6326"/>
    </w:p>
    <w:p>
      <w:pPr>
        <w:pStyle w:val="BookText"/>
      </w:pPr>
      <w:r>
        <w:rPr>
          <w:rFonts w:ascii="IRNazanin" w:hAnsi="IRNazanin" w:eastAsia="IRNazanin" w:cs="IRNazanin"/>
          <w:lang w:bidi="fa-IR"/>
          <w:color w:val="111111"/>
          <w:sz w:val="28"/>
          <w:szCs w:val="28"/>
          <w:rtl/>
        </w:rPr>
        <w:t xml:space="preserve">ناظم المثنویات و معاصر المیر علی شیر.</w:t>
      </w:r>
    </w:p>
    <w:p>
      <w:pPr>
        <w:pStyle w:val="BookText"/>
      </w:pPr>
      <w:r>
        <w:rPr>
          <w:rFonts w:ascii="IRNazanin" w:hAnsi="IRNazanin" w:eastAsia="IRNazanin" w:cs="IRNazanin"/>
          <w:lang w:bidi="fa-IR"/>
          <w:color w:val="111111"/>
          <w:sz w:val="28"/>
          <w:szCs w:val="28"/>
          <w:rtl/>
        </w:rPr>
        <w:t xml:space="preserve">ترجمه فی (مجن 2 ص 36 و 210) و أورد شعره.</w:t>
      </w:r>
    </w:p>
    <w:p>
      <w:pPr>
        <w:pStyle w:val="Heading3"/>
      </w:pPr>
      <w:bookmarkStart w:id="6327" w:name="_Toc5023"/>
      <w:r>
        <w:t>4792- دیوان المیر عبد الصمد</w:t>
      </w:r>
      <w:bookmarkEnd w:id="6327"/>
    </w:p>
    <w:p>
      <w:pPr>
        <w:pStyle w:val="BookText"/>
      </w:pPr>
      <w:r>
        <w:rPr>
          <w:rFonts w:ascii="IRNazanin" w:hAnsi="IRNazanin" w:eastAsia="IRNazanin" w:cs="IRNazanin"/>
          <w:lang w:bidi="fa-IR"/>
          <w:color w:val="111111"/>
          <w:sz w:val="28"/>
          <w:szCs w:val="28"/>
          <w:rtl/>
        </w:rPr>
        <w:t xml:space="preserve">من السادة الفقهاء القضاة فی ری من لدن جدهم القاضی سیف الدین. و کان هو قاضیا بها فی زمن تألیف سام میرزا کما ترجمه فی (تس 4 ص 40) و أورد شعره و ذکر ابنه القاضی مسعود و ابن أخیه الأمیر عین القضاة کما ذکر الأمیر جعفر المتخلص صادق و صرح بأنه من سادة قاضی سیف الدین.</w:t>
      </w:r>
    </w:p>
    <w:p>
      <w:pPr>
        <w:pStyle w:val="Heading3"/>
      </w:pPr>
      <w:bookmarkStart w:id="6328" w:name="_Toc5024"/>
      <w:r>
        <w:t>4793- دیوان عبد الصمد الخراسانی المشهدی‏</w:t>
      </w:r>
      <w:bookmarkEnd w:id="6328"/>
    </w:p>
    <w:p>
      <w:pPr>
        <w:pStyle w:val="BookText"/>
      </w:pPr>
      <w:r>
        <w:rPr>
          <w:rFonts w:ascii="IRNazanin" w:hAnsi="IRNazanin" w:eastAsia="IRNazanin" w:cs="IRNazanin"/>
          <w:lang w:bidi="fa-IR"/>
          <w:color w:val="111111"/>
          <w:sz w:val="28"/>
          <w:szCs w:val="28"/>
          <w:rtl/>
        </w:rPr>
        <w:t xml:space="preserve">الخطاط رنگرز، المخترع للألوان من السواد و غیره أیضا. کان معاصر المیر علی شیر. ترجمه فی (مجتس 6- ص 150) و أورد شعره.</w:t>
      </w:r>
    </w:p>
    <w:p>
      <w:pPr>
        <w:pStyle w:val="Heading3"/>
      </w:pPr>
      <w:bookmarkStart w:id="6329" w:name="_Toc5025"/>
      <w:r>
        <w:t>4794- دیوان الشیخ عبد الصمد أو شعره‏</w:t>
      </w:r>
      <w:bookmarkEnd w:id="6329"/>
    </w:p>
    <w:p>
      <w:pPr>
        <w:pStyle w:val="BookText"/>
      </w:pPr>
      <w:r>
        <w:rPr>
          <w:rFonts w:ascii="IRNazanin" w:hAnsi="IRNazanin" w:eastAsia="IRNazanin" w:cs="IRNazanin"/>
          <w:lang w:bidi="fa-IR"/>
          <w:color w:val="111111"/>
          <w:sz w:val="28"/>
          <w:szCs w:val="28"/>
          <w:rtl/>
        </w:rPr>
        <w:t xml:space="preserve">و هو الخامنئی مولدا التبریزی منشأ النجفی مقطنا، الأدیب الماهر و الفقیه الشاعر. له تقریظ فرهنگ خداپرستی لمحرم المطبوع 1281 بقصیدة هائیة فی عشرین بیتا فی غایة الفصاحة. (ترجم فی المآثر 220).</w:t>
      </w:r>
    </w:p>
    <w:p>
      <w:pPr>
        <w:pStyle w:val="Heading3"/>
      </w:pPr>
      <w:bookmarkStart w:id="6330" w:name="_Toc5026"/>
      <w:r>
        <w:t>دیوان عبد العالی‏</w:t>
      </w:r>
      <w:bookmarkEnd w:id="6330"/>
    </w:p>
    <w:p>
      <w:pPr>
        <w:pStyle w:val="BookText"/>
      </w:pPr>
      <w:r>
        <w:rPr>
          <w:rFonts w:ascii="IRNazanin" w:hAnsi="IRNazanin" w:eastAsia="IRNazanin" w:cs="IRNazanin"/>
          <w:lang w:bidi="fa-IR"/>
          <w:color w:val="111111"/>
          <w:sz w:val="28"/>
          <w:szCs w:val="28"/>
          <w:rtl/>
        </w:rPr>
        <w:t xml:space="preserve">ابن المیر محمد مؤمن الحسینی المستوفی الأصفهانی المتخلص نجات. یأتی فی النون.</w:t>
      </w:r>
    </w:p>
    <w:p>
      <w:pPr>
        <w:pStyle w:val="Heading3"/>
      </w:pPr>
      <w:bookmarkStart w:id="6331" w:name="_Toc5027"/>
      <w:r>
        <w:t>دیوان عبد العزیز بن مسعود</w:t>
      </w:r>
      <w:bookmarkEnd w:id="6331"/>
    </w:p>
    <w:p>
      <w:pPr>
        <w:pStyle w:val="BookText"/>
      </w:pPr>
      <w:r>
        <w:rPr>
          <w:rFonts w:ascii="IRNazanin" w:hAnsi="IRNazanin" w:eastAsia="IRNazanin" w:cs="IRNazanin"/>
          <w:lang w:bidi="fa-IR"/>
          <w:color w:val="111111"/>
          <w:sz w:val="28"/>
          <w:szCs w:val="28"/>
          <w:rtl/>
        </w:rPr>
        <w:t xml:space="preserve">راجع رفیع الدین لنبانی.</w:t>
      </w:r>
    </w:p>
    <w:p>
      <w:pPr>
        <w:pStyle w:val="Heading3"/>
      </w:pPr>
      <w:bookmarkStart w:id="6332" w:name="_Toc5028"/>
      <w:r>
        <w:t>4795- دیوان عبد العزیز الجواهری‏</w:t>
      </w:r>
      <w:bookmarkEnd w:id="6332"/>
    </w:p>
    <w:p>
      <w:pPr>
        <w:pStyle w:val="BookText"/>
      </w:pPr>
      <w:r>
        <w:rPr>
          <w:rFonts w:ascii="IRNazanin" w:hAnsi="IRNazanin" w:eastAsia="IRNazanin" w:cs="IRNazanin"/>
          <w:lang w:bidi="fa-IR"/>
          <w:color w:val="111111"/>
          <w:sz w:val="28"/>
          <w:szCs w:val="28"/>
          <w:rtl/>
        </w:rPr>
        <w:t xml:space="preserve">مؤلف آثار الشیعة و فهرس مکتبة المعارف بطهران. له نظم المثنوی لجلال الدین الرومی بالعربیة. طبع بطهران فی 843 ص. فی 1377.</w:t>
      </w:r>
    </w:p>
    <w:p>
      <w:pPr>
        <w:pStyle w:val="Heading3"/>
      </w:pPr>
      <w:bookmarkStart w:id="6333" w:name="_Toc5029"/>
      <w:r>
        <w:t>4796- دیوان عبد العزیز نقاش‏</w:t>
      </w:r>
      <w:bookmarkEnd w:id="6333"/>
    </w:p>
    <w:p>
      <w:pPr>
        <w:pStyle w:val="BookText"/>
      </w:pPr>
      <w:r>
        <w:rPr>
          <w:rFonts w:ascii="IRNazanin" w:hAnsi="IRNazanin" w:eastAsia="IRNazanin" w:cs="IRNazanin"/>
          <w:lang w:bidi="fa-IR"/>
          <w:color w:val="111111"/>
          <w:sz w:val="28"/>
          <w:szCs w:val="28"/>
          <w:rtl/>
        </w:rPr>
        <w:t xml:space="preserve">ترجمه معاصره الصادقی فی (خص 8- ص 104) و أورد شعره.</w:t>
      </w:r>
    </w:p>
    <w:p>
      <w:pPr>
        <w:pStyle w:val="Heading3"/>
      </w:pPr>
      <w:bookmarkStart w:id="6334" w:name="_Toc5030"/>
      <w:r>
        <w:t>4797- دیوان عبد العزیز خان‏</w:t>
      </w:r>
      <w:bookmarkEnd w:id="6334"/>
    </w:p>
    <w:p>
      <w:pPr>
        <w:pStyle w:val="BookText"/>
      </w:pPr>
      <w:r>
        <w:rPr>
          <w:rFonts w:ascii="IRNazanin" w:hAnsi="IRNazanin" w:eastAsia="IRNazanin" w:cs="IRNazanin"/>
          <w:lang w:bidi="fa-IR"/>
          <w:color w:val="111111"/>
          <w:sz w:val="28"/>
          <w:szCs w:val="28"/>
          <w:rtl/>
        </w:rPr>
        <w:t xml:space="preserve">ابن قدر محمد خان سلطان بخارا و معاصر الشاه عباس الثانی. ترجمه فی (مع- ج 1 ص 39) و ذکر شعره.</w:t>
      </w:r>
    </w:p>
    <w:p>
      <w:pPr>
        <w:pStyle w:val="Heading3"/>
      </w:pPr>
      <w:bookmarkStart w:id="6335" w:name="_Toc5031"/>
      <w:r>
        <w:t>دیوان الشیخ صفی الدین عبد العزیز</w:t>
      </w:r>
      <w:bookmarkEnd w:id="6335"/>
    </w:p>
    <w:p>
      <w:pPr>
        <w:pStyle w:val="BookText"/>
      </w:pPr>
      <w:r>
        <w:rPr>
          <w:rFonts w:ascii="IRNazanin" w:hAnsi="IRNazanin" w:eastAsia="IRNazanin" w:cs="IRNazanin"/>
          <w:lang w:bidi="fa-IR"/>
          <w:color w:val="111111"/>
          <w:sz w:val="28"/>
          <w:szCs w:val="28"/>
          <w:rtl/>
        </w:rPr>
        <w:t xml:space="preserve">ابن سرایا الحلی الطائی السنبسی المتوفی 752 ترجمه فی نسمة السحر و أورد شعره. و مر له البدیعیة. و ذکر فی ص 615.</w:t>
      </w:r>
    </w:p>
    <w:p>
      <w:pPr>
        <w:pStyle w:val="Heading3"/>
      </w:pPr>
      <w:bookmarkStart w:id="6336" w:name="_Toc5032"/>
      <w:r>
        <w:t>دیوان عبد العظیم أصفهانی‏</w:t>
      </w:r>
      <w:bookmarkEnd w:id="6336"/>
    </w:p>
    <w:p>
      <w:pPr>
        <w:pStyle w:val="BookText"/>
      </w:pPr>
      <w:r>
        <w:rPr>
          <w:rFonts w:ascii="IRNazanin" w:hAnsi="IRNazanin" w:eastAsia="IRNazanin" w:cs="IRNazanin"/>
          <w:lang w:bidi="fa-IR"/>
          <w:color w:val="111111"/>
          <w:sz w:val="28"/>
          <w:szCs w:val="28"/>
          <w:rtl/>
        </w:rPr>
        <w:t xml:space="preserve">المعروف بمیرزا عظیما کما فی هدیة العارفین- 1:</w:t>
      </w:r>
    </w:p>
    <w:p>
      <w:pPr>
        <w:pStyle w:val="BookText"/>
      </w:pPr>
      <w:r>
        <w:rPr>
          <w:rFonts w:ascii="Times New Roman" w:hAnsi="Times New Roman" w:eastAsia="Times New Roman" w:cs="Times New Roman"/>
          <w:lang w:val="en-US" w:bidi="en-US"/>
          <w:color w:val="111111"/>
          <w:sz w:val="28"/>
          <w:szCs w:val="28"/>
          <w:rtl/>
        </w:rPr>
        <w:t xml:space="preserve">586.</w:t>
      </w:r>
    </w:p>
    <w:p>
      <w:pPr>
        <w:pStyle w:val="BookText"/>
      </w:pPr>
      <w:r>
        <w:rPr>
          <w:rFonts w:ascii="IRNazanin" w:hAnsi="IRNazanin" w:eastAsia="IRNazanin" w:cs="IRNazanin"/>
          <w:lang w:bidi="fa-IR"/>
          <w:color w:val="111111"/>
          <w:sz w:val="28"/>
          <w:szCs w:val="28"/>
          <w:rtl/>
        </w:rPr>
        <w:t xml:space="preserve">مر بعنوان تخلصه إکسیر أصفهانی محمد عظیم. و یأتی عظیم نیشابوری.</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683" w:name="pg11704_122166"/>
    <w:bookmarkEnd w:id="683"/>
    <w:p>
      <w:pPr>
        <w:pStyle w:val="Heading3"/>
      </w:pPr>
      <w:bookmarkStart w:id="6337" w:name="_Toc5033"/>
      <w:r>
        <w:t>4798- دیوان عبد العلی تونی‏</w:t>
      </w:r>
      <w:bookmarkEnd w:id="6337"/>
    </w:p>
    <w:p>
      <w:pPr>
        <w:pStyle w:val="BookText"/>
      </w:pPr>
      <w:r>
        <w:rPr>
          <w:rFonts w:ascii="IRNazanin" w:hAnsi="IRNazanin" w:eastAsia="IRNazanin" w:cs="IRNazanin"/>
          <w:lang w:bidi="fa-IR"/>
          <w:color w:val="111111"/>
          <w:sz w:val="28"/>
          <w:szCs w:val="28"/>
          <w:rtl/>
        </w:rPr>
        <w:t xml:space="preserve">العالم التقی معاصر المیر غیاث الدین منصور ترجمه سام میرزا فی (تس 2 ص 54) و أورد شعره و فی (تش- ص 86) نسبه إلی خراسان‏</w:t>
      </w:r>
    </w:p>
    <w:p>
      <w:pPr>
        <w:pStyle w:val="Heading3"/>
      </w:pPr>
      <w:bookmarkStart w:id="6338" w:name="_Toc5034"/>
      <w:r>
        <w:t>4799- دیوان الشیخ عبد علی الحویزی‏</w:t>
      </w:r>
      <w:bookmarkEnd w:id="6338"/>
    </w:p>
    <w:p>
      <w:pPr>
        <w:pStyle w:val="BookText"/>
      </w:pPr>
      <w:r>
        <w:rPr>
          <w:rFonts w:ascii="IRNazanin" w:hAnsi="IRNazanin" w:eastAsia="IRNazanin" w:cs="IRNazanin"/>
          <w:lang w:bidi="fa-IR"/>
          <w:color w:val="111111"/>
          <w:sz w:val="28"/>
          <w:szCs w:val="28"/>
          <w:rtl/>
        </w:rPr>
        <w:t xml:space="preserve">ابن جمعة العروسی الحویزی نزیل شیراز مؤلف نور الثقلین فی التفسیر الذی فرغ من مجلده الرابع- نسخه مکتبة السید عیسی ببغداد- فی 1072 و قرأ علیه السید نعمة الله المحدث الجزائری بشیراز، کما فی الریاض. و فی الأمل أنه کان عالما فاضلا فقیها محدثا ثقة ورعا شاعرا أدیبا جامعا للعلوم، و له تفسیر نور الثقلین و شرح لامیة العجم. و ترجمه فی نجوم السماء ص 98 أیضا.</w:t>
      </w:r>
    </w:p>
    <w:p>
      <w:pPr>
        <w:pStyle w:val="Heading3"/>
      </w:pPr>
      <w:bookmarkStart w:id="6339" w:name="_Toc5035"/>
      <w:r>
        <w:t>4800- دیوان عبد العلی حویزی ترکی‏</w:t>
      </w:r>
      <w:bookmarkEnd w:id="6339"/>
    </w:p>
    <w:p>
      <w:pPr>
        <w:pStyle w:val="Heading3"/>
      </w:pPr>
      <w:bookmarkStart w:id="6340" w:name="_Toc5036"/>
      <w:r>
        <w:t>4801- دیوان عبد العلی الحویزی العربی‏</w:t>
      </w:r>
      <w:bookmarkEnd w:id="6340"/>
    </w:p>
    <w:p>
      <w:pPr>
        <w:pStyle w:val="Heading3"/>
      </w:pPr>
      <w:bookmarkStart w:id="6341" w:name="_Toc5037"/>
      <w:r>
        <w:t>4802- دیوان عبد العلی حویزی‏</w:t>
      </w:r>
      <w:bookmarkEnd w:id="6341"/>
    </w:p>
    <w:p>
      <w:pPr>
        <w:pStyle w:val="BookText"/>
      </w:pPr>
      <w:r>
        <w:rPr>
          <w:rFonts w:ascii="IRNazanin" w:hAnsi="IRNazanin" w:eastAsia="IRNazanin" w:cs="IRNazanin"/>
          <w:lang w:bidi="fa-IR"/>
          <w:color w:val="111111"/>
          <w:sz w:val="28"/>
          <w:szCs w:val="28"/>
          <w:rtl/>
        </w:rPr>
        <w:t xml:space="preserve">فارسی للشیخ عبد العلی بن ناصر بن رحمة الحویزی نزیل البصرة و المتوفی بها 1075 کما فی هدیة العارفین 1: 586 ترجم فی السلافة. ص 546 و نجوم السماء ص 98 و أمل الآمل. له رسائل فی الموسیقی و العروض و غیرها. و له منتخب من دیوانه سماه مجلی الأفاضل و فی السلافة حلی الأفاضل کما ذکرناه فی (7: 79). و له العقود الرفیعة ذکر فی فهرس جامعة طهران (2: 429) قال فی الأمل: فاضل عارف بالعربیة و العروض و غیرها شاعر أدیب منشی بلیغ و له دیوان شعر حسن، فیه مدح جماعة من أهل عصره و ذکر بعض تصانیفه إلی قوله و له ثلاث دواوین عربی و فارسی و ترکی، قرأ علی الشیخ البهائی، و مما ذکره من تصنیفه کلام الملوک ملوک الکلام و شرح شواهد المطول و هما مذکوران فی تصانیف الشیخ عبد علی بن ناصر بن رحمة الذی ترجمه کذلک صاحب السلافة و ترجمه فی الأمل أیضا بهذا العنوان ثالثا، نقلا لترجمته عن السلافة، ظانا أنه غیر من ترجمه قبله بعنوان عبد علی بن رحمة، و لذا صرح فی الریاض باتحادهما. و قد مر فی (6: 43 و 7: 79) إنه</w:t>
      </w:r>
    </w:p>
    <w:p>
      <w:pPr>
        <w:pStyle w:val="BookText"/>
      </w:pPr>
      <w:r>
        <w:rPr>
          <w:rFonts w:ascii="IRNazanin" w:hAnsi="IRNazanin" w:eastAsia="IRNazanin" w:cs="IRNazanin"/>
          <w:lang w:bidi="fa-IR"/>
          <w:color w:val="111111"/>
          <w:sz w:val="28"/>
          <w:szCs w:val="28"/>
          <w:rtl/>
        </w:rPr>
        <w:t xml:space="preserve">توفی 1053 نقلا عن فهرس مکتبة لیدن ج 6 ص 471 ثم کتب لنا السید محمد علی الروضاتی من أصفهان أن عنده مجموعة فیها ستة رسائل لابن رحمة هذا، کتبها ابن أخ المؤلف و هو ناصر بن سعید بن ناصر فی ج 1- 1063 و ذلک فی حیاة المؤلف، و هی: المشعشعة فی العروض و المعول فی شواهد المطول و مناهج الصواب فی علم الإعراب و مواهب الفیاض فی الجواهر و الأعراض‏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684" w:name="pg11704_122167"/>
    <w:bookmarkEnd w:id="684"/>
    <w:p>
      <w:pPr>
        <w:pStyle w:val="BookText"/>
      </w:pPr>
      <w:r>
        <w:rPr>
          <w:rFonts w:ascii="IRNazanin" w:hAnsi="IRNazanin" w:eastAsia="IRNazanin" w:cs="IRNazanin"/>
          <w:lang w:bidi="fa-IR"/>
          <w:color w:val="111111"/>
          <w:sz w:val="28"/>
          <w:szCs w:val="28"/>
          <w:rtl/>
        </w:rPr>
        <w:t xml:space="preserve">و معارج التحقیق فی التصوف و الکلمات التامة فی الأمور العامة و قد فرغ من المعول فی 1062 و قال فیه: [و من تصفح دیوان أشعارنا الفارسی وجد فیه من هذا المعنی ما یلیق به الاستحسان ...]. فظهر أنه کان حیا إلی 1063. و ذکر فی الروضات ص 358 و ریحانة الأدب. و هو مقدم علی عبد علی مؤلف نور الثقلین الذی کان نزیل شیراز و تلمیذ السید نعمة الله.</w:t>
      </w:r>
    </w:p>
    <w:p>
      <w:pPr>
        <w:pStyle w:val="Heading3"/>
      </w:pPr>
      <w:bookmarkStart w:id="6342" w:name="_Toc5038"/>
      <w:r>
        <w:t>4803- دیوان عبد علی مؤید</w:t>
      </w:r>
      <w:bookmarkEnd w:id="6342"/>
    </w:p>
    <w:p>
      <w:pPr>
        <w:pStyle w:val="BookText"/>
      </w:pPr>
      <w:r>
        <w:rPr>
          <w:rFonts w:ascii="IRNazanin" w:hAnsi="IRNazanin" w:eastAsia="IRNazanin" w:cs="IRNazanin"/>
          <w:lang w:bidi="fa-IR"/>
          <w:color w:val="111111"/>
          <w:sz w:val="28"/>
          <w:szCs w:val="28"/>
          <w:rtl/>
        </w:rPr>
        <w:t xml:space="preserve">هو ابن محمد باقر البیدگلی الکاشانی المعاصر الشاعر بالعربیة و الفارسیة. و دیوانه مطبوع.</w:t>
      </w:r>
    </w:p>
    <w:p>
      <w:pPr>
        <w:pStyle w:val="Heading3"/>
      </w:pPr>
      <w:bookmarkStart w:id="6343" w:name="_Toc5039"/>
      <w:r>
        <w:t>دیوان المولی عبد الغفار الهروی‏</w:t>
      </w:r>
      <w:bookmarkEnd w:id="6343"/>
    </w:p>
    <w:p>
      <w:pPr>
        <w:pStyle w:val="BookText"/>
      </w:pPr>
      <w:r>
        <w:rPr>
          <w:rFonts w:ascii="IRNazanin" w:hAnsi="IRNazanin" w:eastAsia="IRNazanin" w:cs="IRNazanin"/>
          <w:lang w:bidi="fa-IR"/>
          <w:color w:val="111111"/>
          <w:sz w:val="28"/>
          <w:szCs w:val="28"/>
          <w:rtl/>
        </w:rPr>
        <w:t xml:space="preserve">و الصحیح عبد الرزاق کما مر عن بعض النسخ من مجالس النفائس ص 203.</w:t>
      </w:r>
    </w:p>
    <w:p>
      <w:pPr>
        <w:pStyle w:val="Heading3"/>
      </w:pPr>
      <w:bookmarkStart w:id="6344" w:name="_Toc5040"/>
      <w:r>
        <w:t>4804- دیوان عبد الغفار تاشکندی‏</w:t>
      </w:r>
      <w:bookmarkEnd w:id="6344"/>
    </w:p>
    <w:p>
      <w:pPr>
        <w:pStyle w:val="BookText"/>
      </w:pPr>
      <w:r>
        <w:rPr>
          <w:rFonts w:ascii="IRNazanin" w:hAnsi="IRNazanin" w:eastAsia="IRNazanin" w:cs="IRNazanin"/>
          <w:lang w:bidi="fa-IR"/>
          <w:color w:val="111111"/>
          <w:sz w:val="28"/>
          <w:szCs w:val="28"/>
          <w:rtl/>
        </w:rPr>
        <w:t xml:space="preserve">ملازاده و طالب العلم. ترجمه فی (مجتس 4- ص 146) و أورد شعره.</w:t>
      </w:r>
    </w:p>
    <w:p>
      <w:pPr>
        <w:pStyle w:val="Heading3"/>
      </w:pPr>
      <w:bookmarkStart w:id="6345" w:name="_Toc5041"/>
      <w:r>
        <w:t>4805- دیوان عبد الغنی القطیفی‏</w:t>
      </w:r>
      <w:bookmarkEnd w:id="6345"/>
    </w:p>
    <w:p>
      <w:pPr>
        <w:pStyle w:val="BookText"/>
      </w:pPr>
      <w:r>
        <w:rPr>
          <w:rFonts w:ascii="IRNazanin" w:hAnsi="IRNazanin" w:eastAsia="IRNazanin" w:cs="IRNazanin"/>
          <w:lang w:bidi="fa-IR"/>
          <w:color w:val="111111"/>
          <w:sz w:val="28"/>
          <w:szCs w:val="28"/>
          <w:rtl/>
        </w:rPr>
        <w:t xml:space="preserve">السنان الشاعر الشاب المعاصر. طبعت قصیدته التأبینیة فی ذکری السید ماجد العوامی. ص 107 فی النجف.</w:t>
      </w:r>
    </w:p>
    <w:p>
      <w:pPr>
        <w:pStyle w:val="Heading3"/>
      </w:pPr>
      <w:bookmarkStart w:id="6346" w:name="_Toc5042"/>
      <w:r>
        <w:t>4806- دیوان عبد الغفور لاهیجانی‏</w:t>
      </w:r>
      <w:bookmarkEnd w:id="6346"/>
    </w:p>
    <w:p>
      <w:pPr>
        <w:pStyle w:val="BookText"/>
      </w:pPr>
      <w:r>
        <w:rPr>
          <w:rFonts w:ascii="IRNazanin" w:hAnsi="IRNazanin" w:eastAsia="IRNazanin" w:cs="IRNazanin"/>
          <w:lang w:bidi="fa-IR"/>
          <w:color w:val="111111"/>
          <w:sz w:val="28"/>
          <w:szCs w:val="28"/>
          <w:rtl/>
        </w:rPr>
        <w:t xml:space="preserve">ترجمه معاصره الصادقی فی (خص 8 ص 233) و تشکر من إحسانه إلیه و أورد بیتین من شعره.</w:t>
      </w:r>
    </w:p>
    <w:p>
      <w:pPr>
        <w:pStyle w:val="Heading3"/>
      </w:pPr>
      <w:bookmarkStart w:id="6347" w:name="_Toc5043"/>
      <w:r>
        <w:t>4807- دیوان عبد الغفور یزدی‏</w:t>
      </w:r>
      <w:bookmarkEnd w:id="6347"/>
    </w:p>
    <w:p>
      <w:pPr>
        <w:pStyle w:val="BookText"/>
      </w:pPr>
      <w:r>
        <w:rPr>
          <w:rFonts w:ascii="IRNazanin" w:hAnsi="IRNazanin" w:eastAsia="IRNazanin" w:cs="IRNazanin"/>
          <w:lang w:bidi="fa-IR"/>
          <w:color w:val="111111"/>
          <w:sz w:val="28"/>
          <w:szCs w:val="28"/>
          <w:rtl/>
        </w:rPr>
        <w:t xml:space="preserve">نزیل أصفهان. ترجمه معاصره النصرآبادی فی (نر 15- ص 537) و أورد بعض معمیاته.</w:t>
      </w:r>
    </w:p>
    <w:p>
      <w:pPr>
        <w:pStyle w:val="Heading3"/>
      </w:pPr>
      <w:bookmarkStart w:id="6348" w:name="_Toc5044"/>
      <w:r>
        <w:t>دیوان المیر عبد الغفور التفریشی‏</w:t>
      </w:r>
      <w:bookmarkEnd w:id="6348"/>
    </w:p>
    <w:p>
      <w:pPr>
        <w:pStyle w:val="BookText"/>
      </w:pPr>
      <w:r>
        <w:rPr>
          <w:rFonts w:ascii="IRNazanin" w:hAnsi="IRNazanin" w:eastAsia="IRNazanin" w:cs="IRNazanin"/>
          <w:lang w:bidi="fa-IR"/>
          <w:color w:val="111111"/>
          <w:sz w:val="28"/>
          <w:szCs w:val="28"/>
          <w:rtl/>
        </w:rPr>
        <w:t xml:space="preserve">المتخلص بغنی تلمیذ المیر أبی القاسم الکازرونی و مصاحب المولی محمد الصوفی فی عصر الشاه عباس الماضی. ترجمه النصرآبادی فی (نر 9- ص 264) و أورد شعره. و الحزین فی تذکرته (ص 89).</w:t>
      </w:r>
    </w:p>
    <w:p>
      <w:pPr>
        <w:pStyle w:val="Heading3"/>
      </w:pPr>
      <w:bookmarkStart w:id="6349" w:name="_Toc5045"/>
      <w:r>
        <w:t>4808- دیوان الشیخ عبد القادر البداونی‏</w:t>
      </w:r>
      <w:bookmarkEnd w:id="6349"/>
    </w:p>
    <w:p>
      <w:pPr>
        <w:pStyle w:val="BookText"/>
      </w:pPr>
      <w:r>
        <w:rPr>
          <w:rFonts w:ascii="IRNazanin" w:hAnsi="IRNazanin" w:eastAsia="IRNazanin" w:cs="IRNazanin"/>
          <w:lang w:bidi="fa-IR"/>
          <w:color w:val="111111"/>
          <w:sz w:val="28"/>
          <w:szCs w:val="28"/>
          <w:rtl/>
        </w:rPr>
        <w:t xml:space="preserve">تلمیذ الشیخ مبارک و مصاحب ولدیه الشیخ فیضی و الشیخ أبی الفضل أربعین سنة. و توفی (1004) ترجمه فی خزانة عامرة ص 323 و أورد شعره و هدیة العارفین 1: 599. و له منتخب التواریخ.</w:t>
      </w:r>
    </w:p>
    <w:p>
      <w:pPr>
        <w:pStyle w:val="Heading3"/>
      </w:pPr>
      <w:bookmarkStart w:id="6350" w:name="_Toc5046"/>
      <w:r>
        <w:t>4809- دیوان المیرزا عبد القادر التونی الأصفهانی‏</w:t>
      </w:r>
      <w:bookmarkEnd w:id="6350"/>
    </w:p>
    <w:p>
      <w:pPr>
        <w:pStyle w:val="BookText"/>
      </w:pPr>
      <w:r>
        <w:rPr>
          <w:rFonts w:ascii="IRNazanin" w:hAnsi="IRNazanin" w:eastAsia="IRNazanin" w:cs="IRNazanin"/>
          <w:lang w:bidi="fa-IR"/>
          <w:color w:val="111111"/>
          <w:sz w:val="28"/>
          <w:szCs w:val="28"/>
          <w:rtl/>
        </w:rPr>
        <w:t xml:space="preserve">نظم فتح‏نامه قندهار للشاه عباس الثانی. ترجمه النصرآبادی فی (نر 5- ص 104) و أورد قرب ستین بیتا منه‏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685" w:name="pg11704_122168"/>
    <w:bookmarkEnd w:id="685"/>
    <w:p>
      <w:pPr>
        <w:pStyle w:val="BookText"/>
      </w:pPr>
      <w:r>
        <w:rPr>
          <w:rFonts w:ascii="IRNazanin" w:hAnsi="IRNazanin" w:eastAsia="IRNazanin" w:cs="IRNazanin"/>
          <w:lang w:bidi="fa-IR"/>
          <w:color w:val="111111"/>
          <w:sz w:val="28"/>
          <w:szCs w:val="28"/>
          <w:rtl/>
        </w:rPr>
        <w:t xml:space="preserve">و عنه فی (تش- ص 68).</w:t>
      </w:r>
    </w:p>
    <w:p>
      <w:pPr>
        <w:pStyle w:val="Heading3"/>
      </w:pPr>
      <w:bookmarkStart w:id="6351" w:name="_Toc5047"/>
      <w:r>
        <w:t>4810- دیوان الشیخ عبد القاهر</w:t>
      </w:r>
      <w:bookmarkEnd w:id="6351"/>
    </w:p>
    <w:p>
      <w:pPr>
        <w:pStyle w:val="BookText"/>
      </w:pPr>
      <w:r>
        <w:rPr>
          <w:rFonts w:ascii="IRNazanin" w:hAnsi="IRNazanin" w:eastAsia="IRNazanin" w:cs="IRNazanin"/>
          <w:lang w:bidi="fa-IR"/>
          <w:color w:val="111111"/>
          <w:sz w:val="28"/>
          <w:szCs w:val="28"/>
          <w:rtl/>
        </w:rPr>
        <w:t xml:space="preserve">ابن الحاج عبد بن رجب بن المخلص العبادی أصلا الحویزی مسکنا. ترجمه فی الأمل ص 481 و أورد تصانیفه و منها دیوان شعره قال لقیته فی المشهد الرضوی.</w:t>
      </w:r>
    </w:p>
    <w:p>
      <w:pPr>
        <w:pStyle w:val="Heading3"/>
      </w:pPr>
      <w:bookmarkStart w:id="6352" w:name="_Toc5048"/>
      <w:r>
        <w:t>4811- دیوان عبد القادر نائنی أو شعره‏</w:t>
      </w:r>
      <w:bookmarkEnd w:id="6352"/>
    </w:p>
    <w:p>
      <w:pPr>
        <w:pStyle w:val="BookText"/>
      </w:pPr>
      <w:r>
        <w:rPr>
          <w:rFonts w:ascii="IRNazanin" w:hAnsi="IRNazanin" w:eastAsia="IRNazanin" w:cs="IRNazanin"/>
          <w:lang w:bidi="fa-IR"/>
          <w:color w:val="111111"/>
          <w:sz w:val="28"/>
          <w:szCs w:val="28"/>
          <w:rtl/>
        </w:rPr>
        <w:t xml:space="preserve">ترجمه و أورد شعره فی (لت 3).</w:t>
      </w:r>
    </w:p>
    <w:p>
      <w:pPr>
        <w:pStyle w:val="Heading3"/>
      </w:pPr>
      <w:bookmarkStart w:id="6353" w:name="_Toc5049"/>
      <w:r>
        <w:t>4812- دیوان عبد القادر هندی أو شعره‏</w:t>
      </w:r>
      <w:bookmarkEnd w:id="6353"/>
    </w:p>
    <w:p>
      <w:pPr>
        <w:pStyle w:val="BookText"/>
      </w:pPr>
      <w:r>
        <w:rPr>
          <w:rFonts w:ascii="IRNazanin" w:hAnsi="IRNazanin" w:eastAsia="IRNazanin" w:cs="IRNazanin"/>
          <w:lang w:bidi="fa-IR"/>
          <w:color w:val="111111"/>
          <w:sz w:val="28"/>
          <w:szCs w:val="28"/>
          <w:rtl/>
        </w:rPr>
        <w:t xml:space="preserve">ترجمه و أورد شعره معاصره اللودی فی (خیال- ص 305) و هو غیر بیدل دهلوی الهندی المذکور فی ص 152.</w:t>
      </w:r>
    </w:p>
    <w:p>
      <w:pPr>
        <w:pStyle w:val="Heading3"/>
      </w:pPr>
      <w:bookmarkStart w:id="6354" w:name="_Toc5050"/>
      <w:r>
        <w:t>4813- دیوان عبد القهار هروی أو شعره‏</w:t>
      </w:r>
      <w:bookmarkEnd w:id="6354"/>
    </w:p>
    <w:p>
      <w:pPr>
        <w:pStyle w:val="BookText"/>
      </w:pPr>
      <w:r>
        <w:rPr>
          <w:rFonts w:ascii="IRNazanin" w:hAnsi="IRNazanin" w:eastAsia="IRNazanin" w:cs="IRNazanin"/>
          <w:lang w:bidi="fa-IR"/>
          <w:color w:val="111111"/>
          <w:sz w:val="28"/>
          <w:szCs w:val="28"/>
          <w:rtl/>
        </w:rPr>
        <w:t xml:space="preserve">ترجمه فی (مجن 2 ص 30 و 203) و ذکر أنه خسر فی طلب الکیمیاء کثیرا و لم یجده إلی أن توفی و دفن فی خیابان بجوار الإمام فخر الرازی و ذکر مطلع تتبعه للأمیر خسرو.</w:t>
      </w:r>
    </w:p>
    <w:p>
      <w:pPr>
        <w:pStyle w:val="Heading3"/>
      </w:pPr>
      <w:bookmarkStart w:id="6355" w:name="_Toc5051"/>
      <w:r>
        <w:t>4814- دیوان عبد القهار هروی أو شعره‏</w:t>
      </w:r>
      <w:bookmarkEnd w:id="6355"/>
    </w:p>
    <w:p>
      <w:pPr>
        <w:pStyle w:val="BookText"/>
      </w:pPr>
      <w:r>
        <w:rPr>
          <w:rFonts w:ascii="IRNazanin" w:hAnsi="IRNazanin" w:eastAsia="IRNazanin" w:cs="IRNazanin"/>
          <w:lang w:bidi="fa-IR"/>
          <w:color w:val="111111"/>
          <w:sz w:val="28"/>
          <w:szCs w:val="28"/>
          <w:rtl/>
        </w:rPr>
        <w:t xml:space="preserve">هو ابن شیخ‏زاده محمد. ترجمه أیضا فی (مجن 5 ص 285 و ص 112) و ذکر إحدی معمیاته.</w:t>
      </w:r>
    </w:p>
    <w:p>
      <w:pPr>
        <w:pStyle w:val="Heading3"/>
      </w:pPr>
      <w:bookmarkStart w:id="6356" w:name="_Toc5052"/>
      <w:r>
        <w:t>4815- دیوان الشیخ عبد الکاظم‏</w:t>
      </w:r>
      <w:bookmarkEnd w:id="6356"/>
    </w:p>
    <w:p>
      <w:pPr>
        <w:pStyle w:val="BookText"/>
      </w:pPr>
      <w:r>
        <w:rPr>
          <w:rFonts w:ascii="IRNazanin" w:hAnsi="IRNazanin" w:eastAsia="IRNazanin" w:cs="IRNazanin"/>
          <w:lang w:bidi="fa-IR"/>
          <w:color w:val="111111"/>
          <w:sz w:val="28"/>
          <w:szCs w:val="28"/>
          <w:rtl/>
        </w:rPr>
        <w:t xml:space="preserve">ابن محمود بن سعید القبان المعاصر المولود 1037 نزیل الشنافیة و عالمها من 1346 حتی الیوم، و له تصانیف أخر کلها عنده بخط دیوانه من ألفین و مائة بیت کلها فی المدائح و المراثی لأهل البیت.</w:t>
      </w:r>
    </w:p>
    <w:p>
      <w:pPr>
        <w:pStyle w:val="Heading3"/>
      </w:pPr>
      <w:bookmarkStart w:id="6357" w:name="_Toc5053"/>
      <w:r>
        <w:t>دیوان عبد الکریم النیشابوری‏</w:t>
      </w:r>
      <w:bookmarkEnd w:id="6357"/>
    </w:p>
    <w:p>
      <w:pPr>
        <w:pStyle w:val="BookText"/>
      </w:pPr>
      <w:r>
        <w:rPr>
          <w:rFonts w:ascii="IRNazanin" w:hAnsi="IRNazanin" w:eastAsia="IRNazanin" w:cs="IRNazanin"/>
          <w:lang w:bidi="fa-IR"/>
          <w:color w:val="111111"/>
          <w:sz w:val="28"/>
          <w:szCs w:val="28"/>
          <w:rtl/>
        </w:rPr>
        <w:t xml:space="preserve">المتخلص بکاهی. ترجمه فی (لط- ص 166).</w:t>
      </w:r>
    </w:p>
    <w:p>
      <w:pPr>
        <w:pStyle w:val="BookText"/>
      </w:pPr>
      <w:r>
        <w:rPr>
          <w:rFonts w:ascii="IRNazanin" w:hAnsi="IRNazanin" w:eastAsia="IRNazanin" w:cs="IRNazanin"/>
          <w:lang w:bidi="fa-IR"/>
          <w:color w:val="111111"/>
          <w:sz w:val="28"/>
          <w:szCs w:val="28"/>
          <w:rtl/>
        </w:rPr>
        <w:t xml:space="preserve">و أورد</w:t>
      </w:r>
    </w:p>
    <w:p>
      <w:pPr>
        <w:pStyle w:val="Heading3"/>
      </w:pPr>
      <w:bookmarkStart w:id="6358" w:name="_Toc5054"/>
      <w:r>
        <w:t>4816- دیوان المیرزا عبد الکریم خان‏</w:t>
      </w:r>
      <w:bookmarkEnd w:id="6358"/>
    </w:p>
    <w:p>
      <w:pPr>
        <w:pStyle w:val="BookText"/>
      </w:pPr>
      <w:r>
        <w:rPr>
          <w:rFonts w:ascii="IRNazanin" w:hAnsi="IRNazanin" w:eastAsia="IRNazanin" w:cs="IRNazanin"/>
          <w:lang w:bidi="fa-IR"/>
          <w:color w:val="111111"/>
          <w:sz w:val="28"/>
          <w:szCs w:val="28"/>
          <w:rtl/>
        </w:rPr>
        <w:t xml:space="preserve">ابن المیر السید علی الثالث بن المیر إسحاق بن المیرزا محمد شاهمیر المرعشی التستری المتوفی (22 شعبان 1206) ذکره فی تحفه العالم و قال إنه صغیر یقرب من خمسمائة بیت و ذکر شعره و نقل بعضها.</w:t>
      </w:r>
    </w:p>
    <w:p>
      <w:pPr>
        <w:pStyle w:val="Heading3"/>
      </w:pPr>
      <w:bookmarkStart w:id="6359" w:name="_Toc5055"/>
      <w:r>
        <w:t>4817- دیوان عبد الکریم الخطاط</w:t>
      </w:r>
      <w:bookmarkEnd w:id="6359"/>
    </w:p>
    <w:p>
      <w:pPr>
        <w:pStyle w:val="BookText"/>
      </w:pPr>
      <w:r>
        <w:rPr>
          <w:rFonts w:ascii="IRNazanin" w:hAnsi="IRNazanin" w:eastAsia="IRNazanin" w:cs="IRNazanin"/>
          <w:lang w:bidi="fa-IR"/>
          <w:color w:val="111111"/>
          <w:sz w:val="28"/>
          <w:szCs w:val="28"/>
          <w:rtl/>
        </w:rPr>
        <w:t xml:space="preserve">أخ المولی أنیسی الخطاط. و کان یلقب بپادشاه.</w:t>
      </w:r>
    </w:p>
    <w:p>
      <w:pPr>
        <w:pStyle w:val="BookText"/>
      </w:pPr>
      <w:r>
        <w:rPr>
          <w:rFonts w:ascii="IRNazanin" w:hAnsi="IRNazanin" w:eastAsia="IRNazanin" w:cs="IRNazanin"/>
          <w:lang w:bidi="fa-IR"/>
          <w:color w:val="111111"/>
          <w:sz w:val="28"/>
          <w:szCs w:val="28"/>
          <w:rtl/>
        </w:rPr>
        <w:t xml:space="preserve">ترجمه سام میرزا فی (تس 4- ص 81) و (گلشن 276).</w:t>
      </w:r>
    </w:p>
    <w:p>
      <w:pPr>
        <w:pStyle w:val="Heading3"/>
      </w:pPr>
      <w:bookmarkStart w:id="6360" w:name="_Toc5056"/>
      <w:r>
        <w:t>4818- دیوان عبد الکریم آل شمس الدین‏</w:t>
      </w:r>
      <w:bookmarkEnd w:id="6360"/>
    </w:p>
    <w:p>
      <w:pPr>
        <w:pStyle w:val="BookText"/>
      </w:pPr>
      <w:r>
        <w:rPr>
          <w:rFonts w:ascii="IRNazanin" w:hAnsi="IRNazanin" w:eastAsia="IRNazanin" w:cs="IRNazanin"/>
          <w:lang w:bidi="fa-IR"/>
          <w:color w:val="111111"/>
          <w:sz w:val="28"/>
          <w:szCs w:val="28"/>
          <w:rtl/>
        </w:rPr>
        <w:t xml:space="preserve">هو ابن الشیخ عباس العاملی المولود 1330 فی ابرنجا من قری عاملة. جمعه فی النجف فی نحو ألفی بیت.</w:t>
      </w:r>
    </w:p>
    <w:p>
      <w:pPr>
        <w:pStyle w:val="Heading3"/>
      </w:pPr>
      <w:bookmarkStart w:id="6361" w:name="_Toc5057"/>
      <w:r>
        <w:t>4819- دیوان عبد الکریم الطحان‏</w:t>
      </w:r>
      <w:bookmarkEnd w:id="6361"/>
    </w:p>
    <w:p>
      <w:pPr>
        <w:pStyle w:val="BookText"/>
      </w:pPr>
      <w:r>
        <w:rPr>
          <w:rFonts w:ascii="IRNazanin" w:hAnsi="IRNazanin" w:eastAsia="IRNazanin" w:cs="IRNazanin"/>
          <w:lang w:bidi="fa-IR"/>
          <w:color w:val="111111"/>
          <w:sz w:val="28"/>
          <w:szCs w:val="28"/>
          <w:rtl/>
        </w:rPr>
        <w:t xml:space="preserve">هو ابن الحاج عبد الهادی الطحان البغدادی‏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bookmarkStart w:id="686" w:name="pg11704_122169"/>
    <w:bookmarkEnd w:id="686"/>
    <w:p>
      <w:pPr>
        <w:pStyle w:val="BookText"/>
      </w:pPr>
      <w:r>
        <w:rPr>
          <w:rFonts w:ascii="IRNazanin" w:hAnsi="IRNazanin" w:eastAsia="IRNazanin" w:cs="IRNazanin"/>
          <w:lang w:bidi="fa-IR"/>
          <w:color w:val="111111"/>
          <w:sz w:val="28"/>
          <w:szCs w:val="28"/>
          <w:rtl/>
        </w:rPr>
        <w:t xml:space="preserve">المعاصر المولود 1314 أدیب فاضل مشغول بالتجارة. لغته الأصلیة العربیة و لکنه یتکلم بالترکیة و الإفرنسیة أیضا. و له مجموعة أدبیة بخطه فیها ما یقرب من ألفی بیت من قصائده فی مدیح الأئمة و مراثی الحسین و مناقب المعصومین، و منها الغدیریة و بعض المقطعات و مدائح أخر، و فیها فوائد أخری تاریخیة و غیرها.</w:t>
      </w:r>
    </w:p>
    <w:p>
      <w:pPr>
        <w:pStyle w:val="Heading3"/>
      </w:pPr>
      <w:bookmarkStart w:id="6362" w:name="_Toc5058"/>
      <w:r>
        <w:t>دیوان عبد الکریم سمیرمی‏</w:t>
      </w:r>
      <w:bookmarkEnd w:id="6362"/>
    </w:p>
    <w:p>
      <w:pPr>
        <w:pStyle w:val="BookText"/>
      </w:pPr>
      <w:r>
        <w:rPr>
          <w:rFonts w:ascii="IRNazanin" w:hAnsi="IRNazanin" w:eastAsia="IRNazanin" w:cs="IRNazanin"/>
          <w:lang w:bidi="fa-IR"/>
          <w:color w:val="111111"/>
          <w:sz w:val="28"/>
          <w:szCs w:val="28"/>
          <w:rtl/>
        </w:rPr>
        <w:t xml:space="preserve">راجع سیما طالخانی‏</w:t>
      </w:r>
    </w:p>
    <w:p>
      <w:pPr>
        <w:pStyle w:val="Heading3"/>
      </w:pPr>
      <w:bookmarkStart w:id="6363" w:name="_Toc5059"/>
      <w:r>
        <w:t>دیوان عبد اللطیف بخاری أو شعره‏</w:t>
      </w:r>
      <w:bookmarkEnd w:id="6363"/>
    </w:p>
    <w:p>
      <w:pPr>
        <w:pStyle w:val="BookText"/>
      </w:pPr>
      <w:r>
        <w:rPr>
          <w:rFonts w:ascii="IRNazanin" w:hAnsi="IRNazanin" w:eastAsia="IRNazanin" w:cs="IRNazanin"/>
          <w:lang w:bidi="fa-IR"/>
          <w:color w:val="111111"/>
          <w:sz w:val="28"/>
          <w:szCs w:val="28"/>
          <w:rtl/>
        </w:rPr>
        <w:t xml:space="preserve">کان ملازم عبد العزیز خان یأتی بتخلصه کرام‏</w:t>
      </w:r>
    </w:p>
    <w:p>
      <w:pPr>
        <w:pStyle w:val="Heading3"/>
      </w:pPr>
      <w:bookmarkStart w:id="6364" w:name="_Toc5060"/>
      <w:r>
        <w:t>دیوان عبد اللطیف پنجابی‏</w:t>
      </w:r>
      <w:bookmarkEnd w:id="6364"/>
    </w:p>
    <w:p>
      <w:pPr>
        <w:pStyle w:val="BookText"/>
      </w:pPr>
      <w:r>
        <w:rPr>
          <w:rFonts w:ascii="IRNazanin" w:hAnsi="IRNazanin" w:eastAsia="IRNazanin" w:cs="IRNazanin"/>
          <w:lang w:bidi="fa-IR"/>
          <w:color w:val="111111"/>
          <w:sz w:val="28"/>
          <w:szCs w:val="28"/>
          <w:rtl/>
        </w:rPr>
        <w:t xml:space="preserve">راجع تنها پنجابی‏</w:t>
      </w:r>
    </w:p>
    <w:p>
      <w:pPr>
        <w:pStyle w:val="Heading3"/>
      </w:pPr>
      <w:bookmarkStart w:id="6365" w:name="_Toc5061"/>
      <w:r>
        <w:t>4820- دیوان عبد اللطیف میرزا أو شعره‏</w:t>
      </w:r>
      <w:bookmarkEnd w:id="6365"/>
    </w:p>
    <w:p>
      <w:pPr>
        <w:pStyle w:val="BookText"/>
      </w:pPr>
      <w:r>
        <w:rPr>
          <w:rFonts w:ascii="IRNazanin" w:hAnsi="IRNazanin" w:eastAsia="IRNazanin" w:cs="IRNazanin"/>
          <w:lang w:bidi="fa-IR"/>
          <w:color w:val="111111"/>
          <w:sz w:val="28"/>
          <w:szCs w:val="28"/>
          <w:rtl/>
        </w:rPr>
        <w:t xml:space="preserve">و هو ابن ألغ بیک ترجمه علی شیر و ذکر شعره و إنه قتل أباه للسلطنة و ذلک فی (مجن 7- ص 126 و 315)</w:t>
      </w:r>
    </w:p>
    <w:p>
      <w:pPr>
        <w:pStyle w:val="Heading3"/>
      </w:pPr>
      <w:bookmarkStart w:id="6366" w:name="_Toc5062"/>
      <w:r>
        <w:t>4821- دیوان عبد الله بن أبی سفیان أو شعره‏</w:t>
      </w:r>
      <w:bookmarkEnd w:id="6366"/>
    </w:p>
    <w:p>
      <w:pPr>
        <w:pStyle w:val="BookText"/>
      </w:pPr>
      <w:r>
        <w:rPr>
          <w:rFonts w:ascii="IRNazanin" w:hAnsi="IRNazanin" w:eastAsia="IRNazanin" w:cs="IRNazanin"/>
          <w:lang w:bidi="fa-IR"/>
          <w:color w:val="111111"/>
          <w:sz w:val="28"/>
          <w:szCs w:val="28"/>
          <w:rtl/>
        </w:rPr>
        <w:t xml:space="preserve">عد ابن شهرآشوب فی معالم العلماء- ص 138 من شعراء الصحابة، عبد الله بن أبی سفیان بن حرث بن عبد المطلب‏</w:t>
      </w:r>
    </w:p>
    <w:p>
      <w:pPr>
        <w:pStyle w:val="Heading3"/>
      </w:pPr>
      <w:bookmarkStart w:id="6367" w:name="_Toc5063"/>
      <w:r>
        <w:t>4822- دیوان عبد الله بن أیوب الحریبی أو شعره‏</w:t>
      </w:r>
      <w:bookmarkEnd w:id="6367"/>
    </w:p>
    <w:p>
      <w:pPr>
        <w:pStyle w:val="BookText"/>
      </w:pPr>
      <w:r>
        <w:rPr>
          <w:rFonts w:ascii="IRNazanin" w:hAnsi="IRNazanin" w:eastAsia="IRNazanin" w:cs="IRNazanin"/>
          <w:lang w:bidi="fa-IR"/>
          <w:color w:val="111111"/>
          <w:sz w:val="28"/>
          <w:szCs w:val="28"/>
          <w:rtl/>
        </w:rPr>
        <w:t xml:space="preserve">قال ابن شهرآشوب فی المعالم (ص 140) کان انقطاعه إلی الإمام الرضا ع و عده من الشعراء</w:t>
      </w:r>
    </w:p>
    <w:p>
      <w:pPr>
        <w:pStyle w:val="Heading3"/>
      </w:pPr>
      <w:bookmarkStart w:id="6368" w:name="_Toc5064"/>
      <w:r>
        <w:t>دیوان عبد الله بن أبی الشیص‏</w:t>
      </w:r>
      <w:bookmarkEnd w:id="6368"/>
    </w:p>
    <w:p>
      <w:pPr>
        <w:pStyle w:val="BookText"/>
      </w:pPr>
      <w:r>
        <w:rPr>
          <w:rFonts w:ascii="IRNazanin" w:hAnsi="IRNazanin" w:eastAsia="IRNazanin" w:cs="IRNazanin"/>
          <w:lang w:bidi="fa-IR"/>
          <w:color w:val="111111"/>
          <w:sz w:val="28"/>
          <w:szCs w:val="28"/>
          <w:rtl/>
        </w:rPr>
        <w:t xml:space="preserve">و هو محمد بن عبد الله بن رزین ابن عم دعبل الخزاعی ذکره ابن الندیم فی (ص 230) مر فی ص 17 و مر دیوان والده فی ص 41</w:t>
      </w:r>
    </w:p>
    <w:p>
      <w:pPr>
        <w:pStyle w:val="Heading3"/>
      </w:pPr>
      <w:bookmarkStart w:id="6369" w:name="_Toc5065"/>
      <w:r>
        <w:t>4823- دیوان عبد الله بن دانیة أو شعره‏</w:t>
      </w:r>
      <w:bookmarkEnd w:id="6369"/>
    </w:p>
    <w:p>
      <w:pPr>
        <w:pStyle w:val="BookText"/>
      </w:pPr>
      <w:r>
        <w:rPr>
          <w:rFonts w:ascii="IRNazanin" w:hAnsi="IRNazanin" w:eastAsia="IRNazanin" w:cs="IRNazanin"/>
          <w:lang w:bidi="fa-IR"/>
          <w:color w:val="111111"/>
          <w:sz w:val="28"/>
          <w:szCs w:val="28"/>
          <w:rtl/>
        </w:rPr>
        <w:t xml:space="preserve">عده ابن شهرآشوب فی معالمه ص 141 من الشعراء المتقین‏</w:t>
      </w:r>
    </w:p>
    <w:p>
      <w:pPr>
        <w:pStyle w:val="Heading3"/>
      </w:pPr>
      <w:bookmarkStart w:id="6370" w:name="_Toc5066"/>
      <w:r>
        <w:t>4824- دیوان عبد الله بن علی الحزانی أو شعره‏</w:t>
      </w:r>
      <w:bookmarkEnd w:id="6370"/>
    </w:p>
    <w:p>
      <w:pPr>
        <w:pStyle w:val="BookText"/>
      </w:pPr>
      <w:r>
        <w:rPr>
          <w:rFonts w:ascii="IRNazanin" w:hAnsi="IRNazanin" w:eastAsia="IRNazanin" w:cs="IRNazanin"/>
          <w:lang w:bidi="fa-IR"/>
          <w:color w:val="111111"/>
          <w:sz w:val="28"/>
          <w:szCs w:val="28"/>
          <w:rtl/>
        </w:rPr>
        <w:t xml:space="preserve">عده ابن شهرآشوب فی المعالم ص 140 من الشعراء المتقین‏</w:t>
      </w:r>
    </w:p>
    <w:p>
      <w:pPr>
        <w:pStyle w:val="Heading3"/>
      </w:pPr>
      <w:bookmarkStart w:id="6371" w:name="_Toc5067"/>
      <w:r>
        <w:t>4825- دیوان عبد الله بن غالب الأسدی‏</w:t>
      </w:r>
      <w:bookmarkEnd w:id="6371"/>
    </w:p>
    <w:p>
      <w:pPr>
        <w:pStyle w:val="BookText"/>
      </w:pPr>
      <w:r>
        <w:rPr>
          <w:rFonts w:ascii="IRNazanin" w:hAnsi="IRNazanin" w:eastAsia="IRNazanin" w:cs="IRNazanin"/>
          <w:lang w:bidi="fa-IR"/>
          <w:color w:val="111111"/>
          <w:sz w:val="28"/>
          <w:szCs w:val="28"/>
          <w:rtl/>
        </w:rPr>
        <w:t xml:space="preserve">عده فی مجالس المؤمنین ص 376 من شعراء الشیعة</w:t>
      </w:r>
    </w:p>
    <w:p>
      <w:pPr>
        <w:pStyle w:val="Heading3"/>
      </w:pPr>
      <w:bookmarkStart w:id="6372" w:name="_Toc5068"/>
      <w:r>
        <w:t>4826- دیوان عبد الله بن مبارک أو شعره‏</w:t>
      </w:r>
      <w:bookmarkEnd w:id="6372"/>
    </w:p>
    <w:p>
      <w:pPr>
        <w:pStyle w:val="BookText"/>
      </w:pPr>
      <w:r>
        <w:rPr>
          <w:rFonts w:ascii="IRNazanin" w:hAnsi="IRNazanin" w:eastAsia="IRNazanin" w:cs="IRNazanin"/>
          <w:lang w:bidi="fa-IR"/>
          <w:color w:val="111111"/>
          <w:sz w:val="28"/>
          <w:szCs w:val="28"/>
          <w:rtl/>
        </w:rPr>
        <w:t xml:space="preserve">عده ابن شهرآشوب فی المعالم (ص 141) من الشعراء المتقین‏</w:t>
      </w:r>
    </w:p>
    <w:p>
      <w:pPr>
        <w:pStyle w:val="Heading3"/>
      </w:pPr>
      <w:bookmarkStart w:id="6373" w:name="_Toc5069"/>
      <w:r>
        <w:t>4827- دیوان عبد الله بن معاویة أو شعره‏</w:t>
      </w:r>
      <w:bookmarkEnd w:id="6373"/>
    </w:p>
    <w:p>
      <w:pPr>
        <w:pStyle w:val="BookText"/>
      </w:pPr>
      <w:r>
        <w:rPr>
          <w:rFonts w:ascii="IRNazanin" w:hAnsi="IRNazanin" w:eastAsia="IRNazanin" w:cs="IRNazanin"/>
          <w:lang w:bidi="fa-IR"/>
          <w:color w:val="111111"/>
          <w:sz w:val="28"/>
          <w:szCs w:val="28"/>
          <w:rtl/>
        </w:rPr>
        <w:t xml:space="preserve">هو ابن معاویة بن عبد الله بن جعفر بن أبی طالب المقتول فی سجن أبی مسلم الخراسانی ترجمه فی نسمة السحر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bookmarkStart w:id="687" w:name="pg11704_122170"/>
    <w:bookmarkEnd w:id="687"/>
    <w:p>
      <w:pPr>
        <w:pStyle w:val="BookText"/>
      </w:pPr>
      <w:r>
        <w:rPr>
          <w:rFonts w:ascii="IRNazanin" w:hAnsi="IRNazanin" w:eastAsia="IRNazanin" w:cs="IRNazanin"/>
          <w:lang w:bidi="fa-IR"/>
          <w:color w:val="111111"/>
          <w:sz w:val="28"/>
          <w:szCs w:val="28"/>
          <w:rtl/>
        </w:rPr>
        <w:t xml:space="preserve">و أورد شعره‏</w:t>
      </w:r>
    </w:p>
    <w:p>
      <w:pPr>
        <w:pStyle w:val="Heading3"/>
      </w:pPr>
      <w:bookmarkStart w:id="6374" w:name="_Toc5070"/>
      <w:r>
        <w:t>دیوان عبد الله بن نور الدین الجزائری‏</w:t>
      </w:r>
      <w:bookmarkEnd w:id="6374"/>
    </w:p>
    <w:p>
      <w:pPr>
        <w:pStyle w:val="BookText"/>
      </w:pPr>
      <w:r>
        <w:rPr>
          <w:rFonts w:ascii="IRNazanin" w:hAnsi="IRNazanin" w:eastAsia="IRNazanin" w:cs="IRNazanin"/>
          <w:lang w:bidi="fa-IR"/>
          <w:color w:val="111111"/>
          <w:sz w:val="28"/>
          <w:szCs w:val="28"/>
          <w:rtl/>
        </w:rPr>
        <w:t xml:space="preserve">یأتی بتخلصه فقیر</w:t>
      </w:r>
    </w:p>
    <w:p>
      <w:pPr>
        <w:pStyle w:val="Heading3"/>
      </w:pPr>
      <w:bookmarkStart w:id="6375" w:name="_Toc5071"/>
      <w:r>
        <w:t>دیوان عبد الله بن هارون‏</w:t>
      </w:r>
      <w:bookmarkEnd w:id="6375"/>
    </w:p>
    <w:p>
      <w:pPr>
        <w:pStyle w:val="BookText"/>
      </w:pPr>
      <w:r>
        <w:rPr>
          <w:rFonts w:ascii="IRNazanin" w:hAnsi="IRNazanin" w:eastAsia="IRNazanin" w:cs="IRNazanin"/>
          <w:lang w:bidi="fa-IR"/>
          <w:color w:val="111111"/>
          <w:sz w:val="28"/>
          <w:szCs w:val="28"/>
          <w:rtl/>
        </w:rPr>
        <w:t xml:space="preserve">راجع المأمون‏</w:t>
      </w:r>
    </w:p>
    <w:p>
      <w:pPr>
        <w:pStyle w:val="Heading3"/>
      </w:pPr>
      <w:bookmarkStart w:id="6376" w:name="_Toc5072"/>
      <w:r>
        <w:t>4828- دیوان عبد الله بن همام أو شعره‏</w:t>
      </w:r>
      <w:bookmarkEnd w:id="6376"/>
    </w:p>
    <w:p>
      <w:pPr>
        <w:pStyle w:val="BookText"/>
      </w:pPr>
      <w:r>
        <w:rPr>
          <w:rFonts w:ascii="IRNazanin" w:hAnsi="IRNazanin" w:eastAsia="IRNazanin" w:cs="IRNazanin"/>
          <w:lang w:bidi="fa-IR"/>
          <w:color w:val="111111"/>
          <w:sz w:val="28"/>
          <w:szCs w:val="28"/>
          <w:rtl/>
        </w:rPr>
        <w:t xml:space="preserve">و هو ابن همام السلولی عده ابن شهرآشوب فی المعالم ص 141 من الشعراء المتقین‏</w:t>
      </w:r>
    </w:p>
    <w:p>
      <w:pPr>
        <w:pStyle w:val="Heading3"/>
      </w:pPr>
      <w:bookmarkStart w:id="6377" w:name="_Toc5073"/>
      <w:r>
        <w:t>دیوان عبد الله بن یحیی‏</w:t>
      </w:r>
      <w:bookmarkEnd w:id="6377"/>
    </w:p>
    <w:p>
      <w:pPr>
        <w:pStyle w:val="BookText"/>
      </w:pPr>
      <w:r>
        <w:rPr>
          <w:rFonts w:ascii="IRNazanin" w:hAnsi="IRNazanin" w:eastAsia="IRNazanin" w:cs="IRNazanin"/>
          <w:lang w:bidi="fa-IR"/>
          <w:color w:val="111111"/>
          <w:sz w:val="28"/>
          <w:szCs w:val="28"/>
          <w:rtl/>
        </w:rPr>
        <w:t xml:space="preserve">مر فی ص 226- بعنوان حالی أصفهانی‏</w:t>
      </w:r>
    </w:p>
    <w:p>
      <w:pPr>
        <w:pStyle w:val="Heading3"/>
      </w:pPr>
      <w:bookmarkStart w:id="6378" w:name="_Toc5074"/>
      <w:r>
        <w:t>4829- دیوان عبد الله أصفهانی أو شعره‏</w:t>
      </w:r>
      <w:bookmarkEnd w:id="6378"/>
    </w:p>
    <w:p>
      <w:pPr>
        <w:pStyle w:val="BookText"/>
      </w:pPr>
      <w:r>
        <w:rPr>
          <w:rFonts w:ascii="IRNazanin" w:hAnsi="IRNazanin" w:eastAsia="IRNazanin" w:cs="IRNazanin"/>
          <w:lang w:bidi="fa-IR"/>
          <w:color w:val="111111"/>
          <w:sz w:val="28"/>
          <w:szCs w:val="28"/>
          <w:rtl/>
        </w:rPr>
        <w:t xml:space="preserve">و هو المیرزا عبد الله بن الخواجة علی شاه بن شاه حسین الأصفهانی الذی کان وزیر الشاه إسماعیل، و هو والد شرف‏جهان حاکم شیروان فی 1083 کما قال النصرآبادی فی (نر 4- ص 77) و ذکر أنه کان وزیر لاهیجان ثم قزوین و بها مات‏</w:t>
      </w:r>
    </w:p>
    <w:p>
      <w:pPr>
        <w:pStyle w:val="Heading3"/>
      </w:pPr>
      <w:bookmarkStart w:id="6379" w:name="_Toc5075"/>
      <w:r>
        <w:t>4830- دیوان عبد الله أفشان أو شعره‏</w:t>
      </w:r>
      <w:bookmarkEnd w:id="6379"/>
    </w:p>
    <w:p>
      <w:pPr>
        <w:pStyle w:val="BookText"/>
      </w:pPr>
      <w:r>
        <w:rPr>
          <w:rFonts w:ascii="IRNazanin" w:hAnsi="IRNazanin" w:eastAsia="IRNazanin" w:cs="IRNazanin"/>
          <w:lang w:bidi="fa-IR"/>
          <w:color w:val="111111"/>
          <w:sz w:val="28"/>
          <w:szCs w:val="28"/>
          <w:rtl/>
        </w:rPr>
        <w:t xml:space="preserve">و هو عبد الله بن محمد صادق الفروشانی من قری أصفهان أورد شعره و قصیدته فی المدائح المعتمدیة</w:t>
      </w:r>
    </w:p>
    <w:p>
      <w:pPr>
        <w:pStyle w:val="Heading3"/>
      </w:pPr>
      <w:bookmarkStart w:id="6380" w:name="_Toc5076"/>
      <w:r>
        <w:t>دیوان عبد الله أنصاری‏</w:t>
      </w:r>
      <w:bookmarkEnd w:id="6380"/>
    </w:p>
    <w:p>
      <w:pPr>
        <w:pStyle w:val="BookText"/>
      </w:pPr>
      <w:r>
        <w:rPr>
          <w:rFonts w:ascii="IRNazanin" w:hAnsi="IRNazanin" w:eastAsia="IRNazanin" w:cs="IRNazanin"/>
          <w:lang w:bidi="fa-IR"/>
          <w:color w:val="111111"/>
          <w:sz w:val="28"/>
          <w:szCs w:val="28"/>
          <w:rtl/>
        </w:rPr>
        <w:t xml:space="preserve">مر بعنوان الخواجة فی ص 306 و قال سعید النفیسی فی مقدمه طبع سخنان أبو سعید أبو الخیر إن أشعارهما قد اختلطتا و فی گلستان مسرت- ص 383 أنه ولد (396 جان أنصار) و مات (489 أهل جنت):</w:t>
      </w:r>
    </w:p>
    <w:p>
      <w:pPr>
        <w:pStyle w:val="BookText"/>
      </w:pPr>
      <w:r>
        <w:rPr>
          <w:rFonts w:ascii="IRNazanin" w:hAnsi="IRNazanin" w:eastAsia="IRNazanin" w:cs="IRNazanin"/>
          <w:lang w:bidi="fa-IR"/>
          <w:color w:val="111111"/>
          <w:sz w:val="28"/>
          <w:szCs w:val="28"/>
          <w:rtl/>
        </w:rPr>
        <w:t xml:space="preserve">سال مولود و سال رحلت أو</w:t>
      </w:r>
    </w:p>
    <w:p>
      <w:pPr>
        <w:pStyle w:val="BookText"/>
      </w:pPr>
      <w:r>
        <w:rPr>
          <w:rFonts w:ascii="IRNazanin" w:hAnsi="IRNazanin" w:eastAsia="IRNazanin" w:cs="IRNazanin"/>
          <w:lang w:bidi="fa-IR"/>
          <w:color w:val="111111"/>
          <w:sz w:val="28"/>
          <w:szCs w:val="28"/>
          <w:rtl/>
        </w:rPr>
        <w:t xml:space="preserve">جان أنصار و أهل جنت گو</w:t>
      </w:r>
    </w:p>
    <w:p>
      <w:pPr>
        <w:pStyle w:val="BookText"/>
      </w:pPr>
      <w:r>
        <w:rPr>
          <w:rFonts w:ascii="IRNazanin" w:hAnsi="IRNazanin" w:eastAsia="IRNazanin" w:cs="IRNazanin"/>
          <w:lang w:bidi="fa-IR"/>
          <w:color w:val="111111"/>
          <w:sz w:val="28"/>
          <w:szCs w:val="28"/>
          <w:rtl/>
        </w:rPr>
        <w:t xml:space="preserve">و فی (گلشن- ص 44) أنه نظم ستة آلاف بیت بالعربیة و فی الفارسیة أکثر و طبع له إلهی‏نامه مع ثمان رسائل له فی 180 ص فی 1359 بطهران‏</w:t>
      </w:r>
    </w:p>
    <w:p>
      <w:pPr>
        <w:pStyle w:val="Heading3"/>
      </w:pPr>
      <w:bookmarkStart w:id="6381" w:name="_Toc5077"/>
      <w:r>
        <w:t>4831- دیوان السید عبد الله البحرانی أو شعره‏</w:t>
      </w:r>
      <w:bookmarkEnd w:id="6381"/>
    </w:p>
    <w:p>
      <w:pPr>
        <w:pStyle w:val="BookText"/>
      </w:pPr>
      <w:r>
        <w:rPr>
          <w:rFonts w:ascii="IRNazanin" w:hAnsi="IRNazanin" w:eastAsia="IRNazanin" w:cs="IRNazanin"/>
          <w:lang w:bidi="fa-IR"/>
          <w:color w:val="111111"/>
          <w:sz w:val="28"/>
          <w:szCs w:val="28"/>
          <w:rtl/>
        </w:rPr>
        <w:t xml:space="preserve">هو ابن السید حسین البحرانی ترجمه و أورد شعره فی مدح السید علی خان المدنی فی السلافة- ص 528</w:t>
      </w:r>
    </w:p>
    <w:p>
      <w:pPr>
        <w:pStyle w:val="Heading3"/>
      </w:pPr>
      <w:bookmarkStart w:id="6382" w:name="_Toc5078"/>
      <w:r>
        <w:t>4832- دیوان عبد الله بلیانی أو شعره‏</w:t>
      </w:r>
      <w:bookmarkEnd w:id="6382"/>
    </w:p>
    <w:p>
      <w:pPr>
        <w:pStyle w:val="BookText"/>
      </w:pPr>
      <w:r>
        <w:rPr>
          <w:rFonts w:ascii="IRNazanin" w:hAnsi="IRNazanin" w:eastAsia="IRNazanin" w:cs="IRNazanin"/>
          <w:lang w:bidi="fa-IR"/>
          <w:color w:val="111111"/>
          <w:sz w:val="28"/>
          <w:szCs w:val="28"/>
          <w:rtl/>
        </w:rPr>
        <w:t xml:space="preserve">و هو أوحد الدین أبو عبد الله عبد الله بن ضیاء الدین (إمام الدین) مسعود بن محمد بن علی بن أحمد بن عمر بن إسماعیل بن أبی علی الدقاق الصوفی المتوفی 686 المذکور فی النفحات- ص 243- 246 و إلیه ینتسب حفیده الأوحدی البلیانی المذکور فی ص 173 و المتوفی 1030 ترجمه و أورد شعره فی (مع 1- ص 338) و قال توفی 673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688" w:name="pg11704_122171"/>
    <w:bookmarkEnd w:id="688"/>
    <w:p>
      <w:pPr>
        <w:pStyle w:val="Heading3"/>
      </w:pPr>
      <w:bookmarkStart w:id="6383" w:name="_Toc5079"/>
      <w:r>
        <w:t>دیوان عبد الله بیانی‏</w:t>
      </w:r>
      <w:bookmarkEnd w:id="6383"/>
    </w:p>
    <w:p>
      <w:pPr>
        <w:pStyle w:val="BookText"/>
      </w:pPr>
      <w:r>
        <w:rPr>
          <w:rFonts w:ascii="IRNazanin" w:hAnsi="IRNazanin" w:eastAsia="IRNazanin" w:cs="IRNazanin"/>
          <w:lang w:bidi="fa-IR"/>
          <w:color w:val="111111"/>
          <w:sz w:val="28"/>
          <w:szCs w:val="28"/>
          <w:rtl/>
        </w:rPr>
        <w:t xml:space="preserve">مر فی ص 150</w:t>
      </w:r>
    </w:p>
    <w:p>
      <w:pPr>
        <w:pStyle w:val="Heading3"/>
      </w:pPr>
      <w:bookmarkStart w:id="6384" w:name="_Toc5080"/>
      <w:r>
        <w:t>4833- دیوان عبد الله ترخانی أو شعره‏</w:t>
      </w:r>
      <w:bookmarkEnd w:id="6384"/>
    </w:p>
    <w:p>
      <w:pPr>
        <w:pStyle w:val="BookText"/>
      </w:pPr>
      <w:r>
        <w:rPr>
          <w:rFonts w:ascii="IRNazanin" w:hAnsi="IRNazanin" w:eastAsia="IRNazanin" w:cs="IRNazanin"/>
          <w:lang w:bidi="fa-IR"/>
          <w:color w:val="111111"/>
          <w:sz w:val="28"/>
          <w:szCs w:val="28"/>
          <w:rtl/>
        </w:rPr>
        <w:t xml:space="preserve">و اسمه درویش عبد الله بن الشیخ لقمان (سلمان) أتکة ترجمه و أورد شعره فی (مجن 5 ص 112 و 285) مع اختلاف فی اسم والده‏</w:t>
      </w:r>
    </w:p>
    <w:p>
      <w:pPr>
        <w:pStyle w:val="Heading3"/>
      </w:pPr>
      <w:bookmarkStart w:id="6385" w:name="_Toc5081"/>
      <w:r>
        <w:t>4834- دیوان الحاج عبد الله‏</w:t>
      </w:r>
      <w:bookmarkEnd w:id="6385"/>
    </w:p>
    <w:p>
      <w:pPr>
        <w:pStyle w:val="BookText"/>
      </w:pPr>
      <w:r>
        <w:rPr>
          <w:rFonts w:ascii="IRNazanin" w:hAnsi="IRNazanin" w:eastAsia="IRNazanin" w:cs="IRNazanin"/>
          <w:lang w:bidi="fa-IR"/>
          <w:color w:val="111111"/>
          <w:sz w:val="28"/>
          <w:szCs w:val="28"/>
          <w:rtl/>
        </w:rPr>
        <w:t xml:space="preserve">الجد حفصی بن الحاج أحمد ذهبة البحرانی الجد حفصی نزیل مسقط ثم بندر لنگه قال فی أنوار البدرین إنه معاصر و دیوانه فی أربع مجلدات أقول: عندی قطعة منه بخط الشیخ أبی القاسم الکازرونی کتبها فی بندر لنجة و تخلصه عبد الله أو عبد الله بن أحمد</w:t>
      </w:r>
    </w:p>
    <w:p>
      <w:pPr>
        <w:pStyle w:val="Heading3"/>
      </w:pPr>
      <w:bookmarkStart w:id="6386" w:name="_Toc5082"/>
      <w:r>
        <w:t>دیوان عبد الله‏</w:t>
      </w:r>
      <w:bookmarkEnd w:id="6386"/>
    </w:p>
    <w:p>
      <w:pPr>
        <w:pStyle w:val="BookText"/>
      </w:pPr>
      <w:r>
        <w:rPr>
          <w:rFonts w:ascii="IRNazanin" w:hAnsi="IRNazanin" w:eastAsia="IRNazanin" w:cs="IRNazanin"/>
          <w:lang w:bidi="fa-IR"/>
          <w:color w:val="111111"/>
          <w:sz w:val="28"/>
          <w:szCs w:val="28"/>
          <w:rtl/>
        </w:rPr>
        <w:t xml:space="preserve">ابن سعد فی المراثی کما یأتی‏</w:t>
      </w:r>
    </w:p>
    <w:p>
      <w:pPr>
        <w:pStyle w:val="Heading3"/>
      </w:pPr>
      <w:bookmarkStart w:id="6387" w:name="_Toc5083"/>
      <w:r>
        <w:t>دیوان عبد الله الجزائری‏</w:t>
      </w:r>
      <w:bookmarkEnd w:id="6387"/>
    </w:p>
    <w:p>
      <w:pPr>
        <w:pStyle w:val="BookText"/>
      </w:pPr>
      <w:r>
        <w:rPr>
          <w:rFonts w:ascii="IRNazanin" w:hAnsi="IRNazanin" w:eastAsia="IRNazanin" w:cs="IRNazanin"/>
          <w:lang w:bidi="fa-IR"/>
          <w:color w:val="111111"/>
          <w:sz w:val="28"/>
          <w:szCs w:val="28"/>
          <w:rtl/>
        </w:rPr>
        <w:t xml:space="preserve">یأتی بتخلصه فقیر</w:t>
      </w:r>
    </w:p>
    <w:p>
      <w:pPr>
        <w:pStyle w:val="Heading3"/>
      </w:pPr>
      <w:bookmarkStart w:id="6388" w:name="_Toc5084"/>
      <w:r>
        <w:t>4835- دیوان عبد الله چشمه مالان أو شعره‏</w:t>
      </w:r>
      <w:bookmarkEnd w:id="6388"/>
    </w:p>
    <w:p>
      <w:pPr>
        <w:pStyle w:val="BookText"/>
      </w:pPr>
      <w:r>
        <w:rPr>
          <w:rFonts w:ascii="IRNazanin" w:hAnsi="IRNazanin" w:eastAsia="IRNazanin" w:cs="IRNazanin"/>
          <w:lang w:bidi="fa-IR"/>
          <w:color w:val="111111"/>
          <w:sz w:val="28"/>
          <w:szCs w:val="28"/>
          <w:rtl/>
        </w:rPr>
        <w:t xml:space="preserve">و اسمه بابا عبد الله کما مر فی ص 117 ترجمه و أورد شعره فی (مجتس 3 ص 144) و (حسینی- ص 207)</w:t>
      </w:r>
    </w:p>
    <w:p>
      <w:pPr>
        <w:pStyle w:val="Heading3"/>
      </w:pPr>
      <w:bookmarkStart w:id="6389" w:name="_Toc5085"/>
      <w:r>
        <w:t>4836- دیوان عبد الله چکنی أو شعره‏</w:t>
      </w:r>
      <w:bookmarkEnd w:id="6389"/>
    </w:p>
    <w:p>
      <w:pPr>
        <w:pStyle w:val="BookText"/>
      </w:pPr>
      <w:r>
        <w:rPr>
          <w:rFonts w:ascii="IRNazanin" w:hAnsi="IRNazanin" w:eastAsia="IRNazanin" w:cs="IRNazanin"/>
          <w:lang w:bidi="fa-IR"/>
          <w:color w:val="111111"/>
          <w:sz w:val="28"/>
          <w:szCs w:val="28"/>
          <w:rtl/>
        </w:rPr>
        <w:t xml:space="preserve">و اسمه عبد الله سلطان ترجمه و أورد شعره فی (نر 2- ص 33)</w:t>
      </w:r>
    </w:p>
    <w:p>
      <w:pPr>
        <w:pStyle w:val="Heading3"/>
      </w:pPr>
      <w:bookmarkStart w:id="6390" w:name="_Toc5086"/>
      <w:r>
        <w:t>4837- دیوان الشیخ عبد الله الحویزی أو شعره‏</w:t>
      </w:r>
      <w:bookmarkEnd w:id="6390"/>
    </w:p>
    <w:p>
      <w:pPr>
        <w:pStyle w:val="BookText"/>
      </w:pPr>
      <w:r>
        <w:rPr>
          <w:rFonts w:ascii="IRNazanin" w:hAnsi="IRNazanin" w:eastAsia="IRNazanin" w:cs="IRNazanin"/>
          <w:lang w:bidi="fa-IR"/>
          <w:color w:val="111111"/>
          <w:sz w:val="28"/>
          <w:szCs w:val="28"/>
          <w:rtl/>
        </w:rPr>
        <w:t xml:space="preserve">من شعراء القرن الثالث عشر رأیت فی کتب السید محمد خلیفة الموسوی الأحسائی نسخه من متملکات السید خلیفة و علیها ثلاثة أبیات فی تهنئة مالکها السید خلیفة من إنشاء هذا الشاعر الحویزی بخطه و إمضائه، تاریخه 1244</w:t>
      </w:r>
    </w:p>
    <w:p>
      <w:pPr>
        <w:pStyle w:val="Heading3"/>
      </w:pPr>
      <w:bookmarkStart w:id="6391" w:name="_Toc5087"/>
      <w:r>
        <w:t>4838- دیوان السید عبد الله الحیدری‏</w:t>
      </w:r>
      <w:bookmarkEnd w:id="6391"/>
    </w:p>
    <w:p>
      <w:pPr>
        <w:pStyle w:val="BookText"/>
      </w:pPr>
      <w:r>
        <w:rPr>
          <w:rFonts w:ascii="IRNazanin" w:hAnsi="IRNazanin" w:eastAsia="IRNazanin" w:cs="IRNazanin"/>
          <w:lang w:bidi="fa-IR"/>
          <w:color w:val="111111"/>
          <w:sz w:val="28"/>
          <w:szCs w:val="28"/>
          <w:rtl/>
        </w:rPr>
        <w:t xml:space="preserve">المولود بطهران 1298 ش ابن السید کاظم الحیدری الیزدی المولد، نزیل طهران یقرب من ألف بیت و هو سبط عمی المرحوم الحاج حبیب الله المحسنی البانی لطبع ثلاث مجلدات من الذریعة و قد أنشد فی بعض أشعاره من الغزل و المثنوی و القصیدة، لا یخلو من رقة و لطافة و یتخلص فی شعره باسمه عبد الله و زار کربلاء فی الأربعین من 1375</w:t>
      </w:r>
    </w:p>
    <w:p>
      <w:pPr>
        <w:pStyle w:val="Heading3"/>
      </w:pPr>
      <w:bookmarkStart w:id="6392" w:name="_Toc5088"/>
      <w:r>
        <w:t>دیوان عبد الله خبوشانی‏</w:t>
      </w:r>
      <w:bookmarkEnd w:id="6392"/>
    </w:p>
    <w:p>
      <w:pPr>
        <w:pStyle w:val="BookText"/>
      </w:pPr>
      <w:r>
        <w:rPr>
          <w:rFonts w:ascii="IRNazanin" w:hAnsi="IRNazanin" w:eastAsia="IRNazanin" w:cs="IRNazanin"/>
          <w:lang w:bidi="fa-IR"/>
          <w:color w:val="111111"/>
          <w:sz w:val="28"/>
          <w:szCs w:val="28"/>
          <w:rtl/>
        </w:rPr>
        <w:t xml:space="preserve">راجع هاتفی‏</w:t>
      </w:r>
    </w:p>
    <w:p>
      <w:pPr>
        <w:pStyle w:val="Heading3"/>
      </w:pPr>
      <w:bookmarkStart w:id="6393" w:name="_Toc5089"/>
      <w:r>
        <w:t>4839- دیوان الشیخ عبد الله الخفاجی أو شعره‏</w:t>
      </w:r>
      <w:bookmarkEnd w:id="6393"/>
    </w:p>
    <w:p>
      <w:pPr>
        <w:pStyle w:val="BookText"/>
      </w:pPr>
      <w:r>
        <w:rPr>
          <w:rFonts w:ascii="IRNazanin" w:hAnsi="IRNazanin" w:eastAsia="IRNazanin" w:cs="IRNazanin"/>
          <w:lang w:bidi="fa-IR"/>
          <w:color w:val="111111"/>
          <w:sz w:val="28"/>
          <w:szCs w:val="28"/>
          <w:rtl/>
        </w:rPr>
        <w:t xml:space="preserve">رأیت فی بعض المجامیع قصائد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bookmarkStart w:id="689" w:name="pg11704_122172"/>
    <w:bookmarkEnd w:id="689"/>
    <w:p>
      <w:pPr>
        <w:pStyle w:val="BookText"/>
      </w:pPr>
      <w:r>
        <w:rPr>
          <w:rFonts w:ascii="IRNazanin" w:hAnsi="IRNazanin" w:eastAsia="IRNazanin" w:cs="IRNazanin"/>
          <w:lang w:bidi="fa-IR"/>
          <w:color w:val="111111"/>
          <w:sz w:val="28"/>
          <w:szCs w:val="28"/>
          <w:rtl/>
        </w:rPr>
        <w:t xml:space="preserve">له فی مراثی الحسین ع‏</w:t>
      </w:r>
    </w:p>
    <w:p>
      <w:pPr>
        <w:pStyle w:val="Heading3"/>
      </w:pPr>
      <w:bookmarkStart w:id="6394" w:name="_Toc5090"/>
      <w:r>
        <w:t>4840- دیوان الشیخ عبد الله الختلانی‏</w:t>
      </w:r>
      <w:bookmarkEnd w:id="6394"/>
    </w:p>
    <w:p>
      <w:pPr>
        <w:pStyle w:val="BookText"/>
      </w:pPr>
      <w:r>
        <w:rPr>
          <w:rFonts w:ascii="IRNazanin" w:hAnsi="IRNazanin" w:eastAsia="IRNazanin" w:cs="IRNazanin"/>
          <w:lang w:bidi="fa-IR"/>
          <w:color w:val="111111"/>
          <w:sz w:val="28"/>
          <w:szCs w:val="28"/>
          <w:rtl/>
        </w:rPr>
        <w:t xml:space="preserve">من العرفاء له کشف الحجاب و شرح لغات فخر الدین العراقی ترجمه فی (مع ج 1 ص 339) و أورد شعره‏</w:t>
      </w:r>
    </w:p>
    <w:p>
      <w:pPr>
        <w:pStyle w:val="Heading3"/>
      </w:pPr>
      <w:bookmarkStart w:id="6395" w:name="_Toc5091"/>
      <w:r>
        <w:t>4841- دیوان عبد الله خویی أو شعره‏</w:t>
      </w:r>
      <w:bookmarkEnd w:id="6395"/>
    </w:p>
    <w:p>
      <w:pPr>
        <w:pStyle w:val="BookText"/>
      </w:pPr>
      <w:r>
        <w:rPr>
          <w:rFonts w:ascii="IRNazanin" w:hAnsi="IRNazanin" w:eastAsia="IRNazanin" w:cs="IRNazanin"/>
          <w:lang w:bidi="fa-IR"/>
          <w:color w:val="111111"/>
          <w:sz w:val="28"/>
          <w:szCs w:val="28"/>
          <w:rtl/>
        </w:rPr>
        <w:t xml:space="preserve">و هو القاضی عبد الله بن القاضی سعد الله الخوئی السلماسی و شعره بالفارسیة و الترکیة کما فی (دجا- ص 266) و کان مع الشاه محمد و الشاه‏زاده حمزة میرزا فی سفر خراسان، و عند الرجوع مات بسبزوار فی شوال 991 کما عن گلستان هنر</w:t>
      </w:r>
    </w:p>
    <w:p>
      <w:pPr>
        <w:pStyle w:val="Heading3"/>
      </w:pPr>
      <w:bookmarkStart w:id="6396" w:name="_Toc5092"/>
      <w:r>
        <w:t>دیوان عبد الله رازی‏</w:t>
      </w:r>
      <w:bookmarkEnd w:id="6396"/>
    </w:p>
    <w:p>
      <w:pPr>
        <w:pStyle w:val="BookText"/>
      </w:pPr>
      <w:r>
        <w:rPr>
          <w:rFonts w:ascii="IRNazanin" w:hAnsi="IRNazanin" w:eastAsia="IRNazanin" w:cs="IRNazanin"/>
          <w:lang w:bidi="fa-IR"/>
          <w:color w:val="111111"/>
          <w:sz w:val="28"/>
          <w:szCs w:val="28"/>
          <w:rtl/>
        </w:rPr>
        <w:t xml:space="preserve">هو ابن القاضی محمد الرازی یأتی بتخلصه قاضی‏</w:t>
      </w:r>
    </w:p>
    <w:p>
      <w:pPr>
        <w:pStyle w:val="Heading3"/>
      </w:pPr>
      <w:bookmarkStart w:id="6397" w:name="_Toc5093"/>
      <w:r>
        <w:t>4842- دیوان المنصور بالله عبد الله الزیدی أو شعره‏</w:t>
      </w:r>
      <w:bookmarkEnd w:id="6397"/>
    </w:p>
    <w:p>
      <w:pPr>
        <w:pStyle w:val="BookText"/>
      </w:pPr>
      <w:r>
        <w:rPr>
          <w:rFonts w:ascii="IRNazanin" w:hAnsi="IRNazanin" w:eastAsia="IRNazanin" w:cs="IRNazanin"/>
          <w:lang w:bidi="fa-IR"/>
          <w:color w:val="111111"/>
          <w:sz w:val="28"/>
          <w:szCs w:val="28"/>
          <w:rtl/>
        </w:rPr>
        <w:t xml:space="preserve">هو ابن حمزة بن سلیمان بن حمزة إمام الزیدیة المولود 551 و القائم 594 و المتوفی بکوکبان 614 ترجمه فی نسمة السحر فیمن تشیع و شعر</w:t>
      </w:r>
    </w:p>
    <w:p>
      <w:pPr>
        <w:pStyle w:val="Heading3"/>
      </w:pPr>
      <w:bookmarkStart w:id="6398" w:name="_Toc5094"/>
      <w:r>
        <w:t>4843- دیوان عبد الله سودایی أردکانی أو شعره‏</w:t>
      </w:r>
      <w:bookmarkEnd w:id="6398"/>
    </w:p>
    <w:p>
      <w:pPr>
        <w:pStyle w:val="BookText"/>
      </w:pPr>
      <w:r>
        <w:rPr>
          <w:rFonts w:ascii="IRNazanin" w:hAnsi="IRNazanin" w:eastAsia="IRNazanin" w:cs="IRNazanin"/>
          <w:lang w:bidi="fa-IR"/>
          <w:color w:val="111111"/>
          <w:sz w:val="28"/>
          <w:szCs w:val="28"/>
          <w:rtl/>
        </w:rPr>
        <w:t xml:space="preserve">و هو السید عبد الله الطباطبائی ابن عم حریف الشاعر و تلمیذ آذر البیگدلی و صباحی الکاشانی و کان مدرسا بتفت و أردکان بیزد ترجمه و أورد شعره فی تذکره میکده و فاتنا ذکره فی السین‏</w:t>
      </w:r>
    </w:p>
    <w:p>
      <w:pPr>
        <w:pStyle w:val="Heading3"/>
      </w:pPr>
      <w:bookmarkStart w:id="6399" w:name="_Toc5095"/>
      <w:r>
        <w:t>4844- دیوان السید عبد الله شبابه البحرانی أو شعره‏</w:t>
      </w:r>
      <w:bookmarkEnd w:id="6399"/>
    </w:p>
    <w:p>
      <w:pPr>
        <w:pStyle w:val="BookText"/>
      </w:pPr>
      <w:r>
        <w:rPr>
          <w:rFonts w:ascii="IRNazanin" w:hAnsi="IRNazanin" w:eastAsia="IRNazanin" w:cs="IRNazanin"/>
          <w:lang w:bidi="fa-IR"/>
          <w:color w:val="111111"/>
          <w:sz w:val="28"/>
          <w:szCs w:val="28"/>
          <w:rtl/>
        </w:rPr>
        <w:t xml:space="preserve">هو ابن السید محمد بن عبد الله الحسینی بن إبراهیم بن شبابه صار والده السید محمد شیخ الإسلام بأصفهان بعد رجوعه عن الهند عد الوالد و الولد فی السلافة- ص 505- 522 فیمن مدح والد صاحب السلافة، و أورد شعرهما و من شعر السید عبد الله قصیدته فی مدح المیرزا طاهر وقایع‏نگار</w:t>
      </w:r>
    </w:p>
    <w:p>
      <w:pPr>
        <w:pStyle w:val="Heading3"/>
      </w:pPr>
      <w:bookmarkStart w:id="6400" w:name="_Toc5096"/>
      <w:r>
        <w:t>4845- دیوان الشیخ عبد الله الشبستری‏</w:t>
      </w:r>
      <w:bookmarkEnd w:id="6400"/>
    </w:p>
    <w:p>
      <w:pPr>
        <w:pStyle w:val="BookText"/>
      </w:pPr>
      <w:r>
        <w:rPr>
          <w:rFonts w:ascii="IRNazanin" w:hAnsi="IRNazanin" w:eastAsia="IRNazanin" w:cs="IRNazanin"/>
          <w:lang w:bidi="fa-IR"/>
          <w:color w:val="111111"/>
          <w:sz w:val="28"/>
          <w:szCs w:val="28"/>
          <w:rtl/>
        </w:rPr>
        <w:t xml:space="preserve">من أحفاد ناظم گلشن راز ترجمه شاه محمد القزوینی فی (بهش 2 ص 366) و هشت بهشت و الشائق النعمانیة و (دجا- ص 266) فی حیاته 929 و أورد کثیرا من شعره فی مدح سلطان سلیم و له مثنوی شمع و پروانه‏</w:t>
      </w:r>
    </w:p>
    <w:p>
      <w:pPr>
        <w:pStyle w:val="Heading3"/>
      </w:pPr>
      <w:bookmarkStart w:id="6401" w:name="_Toc5097"/>
      <w:r>
        <w:t>4846- دیوان السید عبد الله الشهابی‏</w:t>
      </w:r>
      <w:bookmarkEnd w:id="6401"/>
    </w:p>
    <w:p>
      <w:pPr>
        <w:pStyle w:val="BookText"/>
      </w:pPr>
      <w:r>
        <w:rPr>
          <w:rFonts w:ascii="IRNazanin" w:hAnsi="IRNazanin" w:eastAsia="IRNazanin" w:cs="IRNazanin"/>
          <w:lang w:bidi="fa-IR"/>
          <w:color w:val="111111"/>
          <w:sz w:val="28"/>
          <w:szCs w:val="28"/>
          <w:rtl/>
        </w:rPr>
        <w:t xml:space="preserve">من سادات قزوین معاصر سام میرزا ترجمه فی (تس 5 ص 136) و أورد شعره‏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bookmarkStart w:id="690" w:name="pg11704_122173"/>
    <w:bookmarkEnd w:id="690"/>
    <w:p>
      <w:pPr>
        <w:pStyle w:val="Heading3"/>
      </w:pPr>
      <w:bookmarkStart w:id="6402" w:name="_Toc5098"/>
      <w:r>
        <w:t>دیوان المیرزا عبد الله الشهرستانی‏</w:t>
      </w:r>
      <w:bookmarkEnd w:id="6402"/>
    </w:p>
    <w:p>
      <w:pPr>
        <w:pStyle w:val="BookText"/>
      </w:pPr>
      <w:r>
        <w:rPr>
          <w:rFonts w:ascii="IRNazanin" w:hAnsi="IRNazanin" w:eastAsia="IRNazanin" w:cs="IRNazanin"/>
          <w:lang w:bidi="fa-IR"/>
          <w:color w:val="111111"/>
          <w:sz w:val="28"/>
          <w:szCs w:val="28"/>
          <w:rtl/>
        </w:rPr>
        <w:t xml:space="preserve">ابن المیرزا علاء الدین محمد سمل مع أبیه فی صغره و زیدت بصیرته فی الفنون ترجمه النصرآبادی فی (نر 1- ص 12) و أورد شعره و تخلصه عرفان کما یأتی‏</w:t>
      </w:r>
    </w:p>
    <w:p>
      <w:pPr>
        <w:pStyle w:val="Heading3"/>
      </w:pPr>
      <w:bookmarkStart w:id="6403" w:name="_Toc5099"/>
      <w:r>
        <w:t>4847- دیوان عبد الله شهرابی أو شعره‏</w:t>
      </w:r>
      <w:bookmarkEnd w:id="6403"/>
    </w:p>
    <w:p>
      <w:pPr>
        <w:pStyle w:val="BookText"/>
      </w:pPr>
      <w:r>
        <w:rPr>
          <w:rFonts w:ascii="IRNazanin" w:hAnsi="IRNazanin" w:eastAsia="IRNazanin" w:cs="IRNazanin"/>
          <w:lang w:bidi="fa-IR"/>
          <w:color w:val="111111"/>
          <w:sz w:val="28"/>
          <w:szCs w:val="28"/>
          <w:rtl/>
        </w:rPr>
        <w:t xml:space="preserve">و هو الملا عبد الله الشهرابی من قری أردستان بأصفهان فی عصر یغما الجندقی ذکر بعض أشعاره ولده الملا محمد حسین کما نقل المعلم الحبیب‏آبادی الأصفهانی‏</w:t>
      </w:r>
    </w:p>
    <w:p>
      <w:pPr>
        <w:pStyle w:val="Heading3"/>
      </w:pPr>
      <w:bookmarkStart w:id="6404" w:name="_Toc5100"/>
      <w:r>
        <w:t>4848- دیوان الشیخ عبد الله الشیرازی‏</w:t>
      </w:r>
      <w:bookmarkEnd w:id="6404"/>
    </w:p>
    <w:p>
      <w:pPr>
        <w:pStyle w:val="BookText"/>
      </w:pPr>
      <w:r>
        <w:rPr>
          <w:rFonts w:ascii="IRNazanin" w:hAnsi="IRNazanin" w:eastAsia="IRNazanin" w:cs="IRNazanin"/>
          <w:lang w:bidi="fa-IR"/>
          <w:color w:val="111111"/>
          <w:sz w:val="28"/>
          <w:szCs w:val="28"/>
          <w:rtl/>
        </w:rPr>
        <w:t xml:space="preserve">هو ابن الشیخ محمد الشیرازی المصری طبع بمصر کما فی بعض الفهارس‏</w:t>
      </w:r>
    </w:p>
    <w:p>
      <w:pPr>
        <w:pStyle w:val="Heading3"/>
      </w:pPr>
      <w:bookmarkStart w:id="6405" w:name="_Toc5101"/>
      <w:r>
        <w:t>دیوان عبد الله صدر</w:t>
      </w:r>
      <w:bookmarkEnd w:id="6405"/>
    </w:p>
    <w:p>
      <w:pPr>
        <w:pStyle w:val="BookText"/>
      </w:pPr>
      <w:r>
        <w:rPr>
          <w:rFonts w:ascii="IRNazanin" w:hAnsi="IRNazanin" w:eastAsia="IRNazanin" w:cs="IRNazanin"/>
          <w:lang w:bidi="fa-IR"/>
          <w:color w:val="111111"/>
          <w:sz w:val="28"/>
          <w:szCs w:val="28"/>
          <w:rtl/>
        </w:rPr>
        <w:t xml:space="preserve">مر بعنوان دیوان بیانی کرمانی فی (ص 150)</w:t>
      </w:r>
    </w:p>
    <w:p>
      <w:pPr>
        <w:pStyle w:val="Heading3"/>
      </w:pPr>
      <w:bookmarkStart w:id="6406" w:name="_Toc5102"/>
      <w:r>
        <w:t>4849- دیوان الشیخ عبد الله العذاری‏</w:t>
      </w:r>
      <w:bookmarkEnd w:id="6406"/>
    </w:p>
    <w:p>
      <w:pPr>
        <w:pStyle w:val="BookText"/>
      </w:pPr>
      <w:r>
        <w:rPr>
          <w:rFonts w:ascii="IRNazanin" w:hAnsi="IRNazanin" w:eastAsia="IRNazanin" w:cs="IRNazanin"/>
          <w:lang w:bidi="fa-IR"/>
          <w:color w:val="111111"/>
          <w:sz w:val="28"/>
          <w:szCs w:val="28"/>
          <w:rtl/>
        </w:rPr>
        <w:t xml:space="preserve">من شعراء الحلة الفیحاء ترجمه الخطیب الیعقوبی فی البابلیات ج 2 ص 182 و ذکر أنه ابن العالم الجلیل الشیخ علی بن الشیخ حسین بن عبد الله بن کاظم بن علی بن تریبان سکن جده الأعلی قریة السادة قرب الحلة و توفی والده العالم حدود 1281 و قام مقامه ولده هذا الذی تلمذ بعد والده علی أستاذه السید مهدی القزوینی الذی رثاه بقصیدة طویلة و توفی هو فی 1307 و مر أخوه الشیخ عباس العذاری و یأتی الشیخ محسن‏</w:t>
      </w:r>
    </w:p>
    <w:p>
      <w:pPr>
        <w:pStyle w:val="Heading3"/>
      </w:pPr>
      <w:bookmarkStart w:id="6407" w:name="_Toc5103"/>
      <w:r>
        <w:t>دیوان عبد الله عرفان‏</w:t>
      </w:r>
      <w:bookmarkEnd w:id="6407"/>
    </w:p>
    <w:p>
      <w:pPr>
        <w:pStyle w:val="BookText"/>
      </w:pPr>
      <w:r>
        <w:rPr>
          <w:rFonts w:ascii="IRNazanin" w:hAnsi="IRNazanin" w:eastAsia="IRNazanin" w:cs="IRNazanin"/>
          <w:lang w:bidi="fa-IR"/>
          <w:color w:val="111111"/>
          <w:sz w:val="28"/>
          <w:szCs w:val="28"/>
          <w:rtl/>
        </w:rPr>
        <w:t xml:space="preserve">راجع عرفان هندی و عرفان شهرستانی‏</w:t>
      </w:r>
    </w:p>
    <w:p>
      <w:pPr>
        <w:pStyle w:val="Heading3"/>
      </w:pPr>
      <w:bookmarkStart w:id="6408" w:name="_Toc5104"/>
      <w:r>
        <w:t>4850- دیوان عبد الله قزوینی أو شعره‏</w:t>
      </w:r>
      <w:bookmarkEnd w:id="6408"/>
    </w:p>
    <w:p>
      <w:pPr>
        <w:pStyle w:val="BookText"/>
      </w:pPr>
      <w:r>
        <w:rPr>
          <w:rFonts w:ascii="IRNazanin" w:hAnsi="IRNazanin" w:eastAsia="IRNazanin" w:cs="IRNazanin"/>
          <w:lang w:bidi="fa-IR"/>
          <w:color w:val="111111"/>
          <w:sz w:val="28"/>
          <w:szCs w:val="28"/>
          <w:rtl/>
        </w:rPr>
        <w:t xml:space="preserve">أورد شعره فی (مجتس 6- ص 163) و قال له ید فی الحکمة و سکن هرات أربعین عاما و راجع عبد الله شهابی أیضا</w:t>
      </w:r>
    </w:p>
    <w:p>
      <w:pPr>
        <w:pStyle w:val="Heading3"/>
      </w:pPr>
      <w:bookmarkStart w:id="6409" w:name="_Toc5105"/>
      <w:r>
        <w:t>4851- دیوان عبد الله الکاتب‏</w:t>
      </w:r>
      <w:bookmarkEnd w:id="6409"/>
    </w:p>
    <w:p>
      <w:pPr>
        <w:pStyle w:val="BookText"/>
      </w:pPr>
      <w:r>
        <w:rPr>
          <w:rFonts w:ascii="IRNazanin" w:hAnsi="IRNazanin" w:eastAsia="IRNazanin" w:cs="IRNazanin"/>
          <w:lang w:bidi="fa-IR"/>
          <w:color w:val="111111"/>
          <w:sz w:val="28"/>
          <w:szCs w:val="28"/>
          <w:rtl/>
        </w:rPr>
        <w:t xml:space="preserve">هو أبو محمد عبد الله بن محمد الکاتب الأصفهانی خازن الصاحب بن عباد، و من شعرائه المذکورین فی الیتیمة ترجمه فی نسمة السحر و أورد شعره‏</w:t>
      </w:r>
    </w:p>
    <w:p>
      <w:pPr>
        <w:pStyle w:val="Heading3"/>
      </w:pPr>
      <w:bookmarkStart w:id="6410" w:name="_Toc5106"/>
      <w:r>
        <w:t>4852- دیوان عبد الله کاشانی أو شعره‏</w:t>
      </w:r>
      <w:bookmarkEnd w:id="6410"/>
    </w:p>
    <w:p>
      <w:pPr>
        <w:pStyle w:val="BookText"/>
      </w:pPr>
      <w:r>
        <w:rPr>
          <w:rFonts w:ascii="IRNazanin" w:hAnsi="IRNazanin" w:eastAsia="IRNazanin" w:cs="IRNazanin"/>
          <w:lang w:bidi="fa-IR"/>
          <w:color w:val="111111"/>
          <w:sz w:val="28"/>
          <w:szCs w:val="28"/>
          <w:rtl/>
        </w:rPr>
        <w:t xml:space="preserve">هو الحکیم الکاشانی الأصل القمی المنشا ابن الحکیم إسماعیل المتخلص راغب ثم وحدت یأتی فی الواو</w:t>
      </w:r>
    </w:p>
    <w:p>
      <w:pPr>
        <w:pStyle w:val="Heading3"/>
      </w:pPr>
      <w:bookmarkStart w:id="6411" w:name="_Toc5107"/>
      <w:r>
        <w:t>دیوان عبد الله کربلائی‏</w:t>
      </w:r>
      <w:bookmarkEnd w:id="6411"/>
    </w:p>
    <w:p>
      <w:pPr>
        <w:pStyle w:val="BookText"/>
      </w:pPr>
      <w:r>
        <w:rPr>
          <w:rFonts w:ascii="IRNazanin" w:hAnsi="IRNazanin" w:eastAsia="IRNazanin" w:cs="IRNazanin"/>
          <w:lang w:bidi="fa-IR"/>
          <w:color w:val="111111"/>
          <w:sz w:val="28"/>
          <w:szCs w:val="28"/>
          <w:rtl/>
        </w:rPr>
        <w:t xml:space="preserve">مر بعنوان حالی أصفهانی فی ص 226</w:t>
      </w:r>
    </w:p>
    <w:p>
      <w:pPr>
        <w:pStyle w:val="Heading3"/>
      </w:pPr>
      <w:bookmarkStart w:id="6412" w:name="_Toc5108"/>
      <w:r>
        <w:t>دیوان عبد الله کرمانی‏</w:t>
      </w:r>
      <w:bookmarkEnd w:id="6412"/>
    </w:p>
    <w:p>
      <w:pPr>
        <w:pStyle w:val="BookText"/>
      </w:pPr>
      <w:r>
        <w:rPr>
          <w:rFonts w:ascii="IRNazanin" w:hAnsi="IRNazanin" w:eastAsia="IRNazanin" w:cs="IRNazanin"/>
          <w:lang w:bidi="fa-IR"/>
          <w:color w:val="111111"/>
          <w:sz w:val="28"/>
          <w:szCs w:val="28"/>
          <w:rtl/>
        </w:rPr>
        <w:t xml:space="preserve">مر بعنوان أمانی کرمانی فی ص 94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bookmarkStart w:id="691" w:name="pg11704_122174"/>
    <w:bookmarkEnd w:id="691"/>
    <w:p>
      <w:pPr>
        <w:pStyle w:val="Heading3"/>
      </w:pPr>
      <w:bookmarkStart w:id="6413" w:name="_Toc5109"/>
      <w:r>
        <w:t>دیوان عبد الله گرجی‏</w:t>
      </w:r>
      <w:bookmarkEnd w:id="6413"/>
    </w:p>
    <w:p>
      <w:pPr>
        <w:pStyle w:val="BookText"/>
      </w:pPr>
      <w:r>
        <w:rPr>
          <w:rFonts w:ascii="IRNazanin" w:hAnsi="IRNazanin" w:eastAsia="IRNazanin" w:cs="IRNazanin"/>
          <w:lang w:bidi="fa-IR"/>
          <w:color w:val="111111"/>
          <w:sz w:val="28"/>
          <w:szCs w:val="28"/>
          <w:rtl/>
        </w:rPr>
        <w:t xml:space="preserve">مر بعنوان سرگشته فی ص 440</w:t>
      </w:r>
    </w:p>
    <w:p>
      <w:pPr>
        <w:pStyle w:val="Heading3"/>
      </w:pPr>
      <w:bookmarkStart w:id="6414" w:name="_Toc5110"/>
      <w:r>
        <w:t>4853- دیوان عبد الله لاهیجی أو شعره‏</w:t>
      </w:r>
      <w:bookmarkEnd w:id="6414"/>
    </w:p>
    <w:p>
      <w:pPr>
        <w:pStyle w:val="BookText"/>
      </w:pPr>
      <w:r>
        <w:rPr>
          <w:rFonts w:ascii="IRNazanin" w:hAnsi="IRNazanin" w:eastAsia="IRNazanin" w:cs="IRNazanin"/>
          <w:lang w:bidi="fa-IR"/>
          <w:color w:val="111111"/>
          <w:sz w:val="28"/>
          <w:szCs w:val="28"/>
          <w:rtl/>
        </w:rPr>
        <w:t xml:space="preserve">هو القاضی‏زاده الگیلانی الحکیم تلمیذ الشیخ محمد اللاهیجی و خلیفته فی الإرشاد ترجمه و أورد شعره فی (بهش 2- ص 390)</w:t>
      </w:r>
    </w:p>
    <w:p>
      <w:pPr>
        <w:pStyle w:val="Heading3"/>
      </w:pPr>
      <w:bookmarkStart w:id="6415" w:name="_Toc5111"/>
      <w:r>
        <w:t>دیوان عبد الله مثنوی‏گوی‏</w:t>
      </w:r>
      <w:bookmarkEnd w:id="6415"/>
    </w:p>
    <w:p>
      <w:pPr>
        <w:pStyle w:val="BookText"/>
      </w:pPr>
      <w:r>
        <w:rPr>
          <w:rFonts w:ascii="IRNazanin" w:hAnsi="IRNazanin" w:eastAsia="IRNazanin" w:cs="IRNazanin"/>
          <w:lang w:bidi="fa-IR"/>
          <w:color w:val="111111"/>
          <w:sz w:val="28"/>
          <w:szCs w:val="28"/>
          <w:rtl/>
        </w:rPr>
        <w:t xml:space="preserve">هو عبد الله الهاتفی ابن أخت جامی، کما سماه بذلک فی بابرنامه راجع از سعدی تا جامی- ص 520 یأتی فی الهاء</w:t>
      </w:r>
    </w:p>
    <w:p>
      <w:pPr>
        <w:pStyle w:val="Heading3"/>
      </w:pPr>
      <w:bookmarkStart w:id="6416" w:name="_Toc5112"/>
      <w:r>
        <w:t>دیوان عبد الله مروارید</w:t>
      </w:r>
      <w:bookmarkEnd w:id="6416"/>
    </w:p>
    <w:p>
      <w:pPr>
        <w:pStyle w:val="BookText"/>
      </w:pPr>
      <w:r>
        <w:rPr>
          <w:rFonts w:ascii="IRNazanin" w:hAnsi="IRNazanin" w:eastAsia="IRNazanin" w:cs="IRNazanin"/>
          <w:lang w:bidi="fa-IR"/>
          <w:color w:val="111111"/>
          <w:sz w:val="28"/>
          <w:szCs w:val="28"/>
          <w:rtl/>
        </w:rPr>
        <w:t xml:space="preserve">مر بعنوان بیانی فی ص 150</w:t>
      </w:r>
    </w:p>
    <w:p>
      <w:pPr>
        <w:pStyle w:val="Heading3"/>
      </w:pPr>
      <w:bookmarkStart w:id="6417" w:name="_Toc5113"/>
      <w:r>
        <w:t>دیوان عبد الله مستوفی‏</w:t>
      </w:r>
      <w:bookmarkEnd w:id="6417"/>
    </w:p>
    <w:p>
      <w:pPr>
        <w:pStyle w:val="BookText"/>
      </w:pPr>
      <w:r>
        <w:rPr>
          <w:rFonts w:ascii="IRNazanin" w:hAnsi="IRNazanin" w:eastAsia="IRNazanin" w:cs="IRNazanin"/>
          <w:lang w:bidi="fa-IR"/>
          <w:color w:val="111111"/>
          <w:sz w:val="28"/>
          <w:szCs w:val="28"/>
          <w:rtl/>
        </w:rPr>
        <w:t xml:space="preserve">یأتی بتخلصه عشق‏</w:t>
      </w:r>
    </w:p>
    <w:p>
      <w:pPr>
        <w:pStyle w:val="Heading3"/>
      </w:pPr>
      <w:bookmarkStart w:id="6418" w:name="_Toc5114"/>
      <w:r>
        <w:t>4854- دیوان الشیخ عبد الله نعمة العاملی‏</w:t>
      </w:r>
      <w:bookmarkEnd w:id="6418"/>
    </w:p>
    <w:p>
      <w:pPr>
        <w:pStyle w:val="BookText"/>
      </w:pPr>
      <w:r>
        <w:rPr>
          <w:rFonts w:ascii="IRNazanin" w:hAnsi="IRNazanin" w:eastAsia="IRNazanin" w:cs="IRNazanin"/>
          <w:lang w:bidi="fa-IR"/>
          <w:color w:val="111111"/>
          <w:sz w:val="28"/>
          <w:szCs w:val="28"/>
          <w:rtl/>
        </w:rPr>
        <w:t xml:space="preserve">ابن الشیخ محمد علی نعمه رأیته بخطه فی النجف‏</w:t>
      </w:r>
    </w:p>
    <w:p>
      <w:pPr>
        <w:pStyle w:val="Heading3"/>
      </w:pPr>
      <w:bookmarkStart w:id="6419" w:name="_Toc5115"/>
      <w:r>
        <w:t>4855- دیوان میرزا عبد الله الیزدی أو شعره‏</w:t>
      </w:r>
      <w:bookmarkEnd w:id="6419"/>
    </w:p>
    <w:p>
      <w:pPr>
        <w:pStyle w:val="BookText"/>
      </w:pPr>
      <w:r>
        <w:rPr>
          <w:rFonts w:ascii="IRNazanin" w:hAnsi="IRNazanin" w:eastAsia="IRNazanin" w:cs="IRNazanin"/>
          <w:lang w:bidi="fa-IR"/>
          <w:color w:val="111111"/>
          <w:sz w:val="28"/>
          <w:szCs w:val="28"/>
          <w:rtl/>
        </w:rPr>
        <w:t xml:space="preserve">و هو ابن أجری یزدی و تلمیذ المولی رجب علی ترجمه النصرآبادی فی (نر 6- ص 190) و أورد بعض رباعیاته و قال ماهر فی الفنون‏</w:t>
      </w:r>
    </w:p>
    <w:p>
      <w:pPr>
        <w:pStyle w:val="Heading3"/>
      </w:pPr>
      <w:bookmarkStart w:id="6420" w:name="_Toc5116"/>
      <w:r>
        <w:t>4856- دیوان المیر عبد الله الیزدی أو شعره‏</w:t>
      </w:r>
      <w:bookmarkEnd w:id="6420"/>
    </w:p>
    <w:p>
      <w:pPr>
        <w:pStyle w:val="BookText"/>
      </w:pPr>
      <w:r>
        <w:rPr>
          <w:rFonts w:ascii="IRNazanin" w:hAnsi="IRNazanin" w:eastAsia="IRNazanin" w:cs="IRNazanin"/>
          <w:lang w:bidi="fa-IR"/>
          <w:color w:val="111111"/>
          <w:sz w:val="28"/>
          <w:szCs w:val="28"/>
          <w:rtl/>
        </w:rPr>
        <w:t xml:space="preserve">هو ابن المولی عرشی الیزدی نزیل هند ترجمه النصرآبادی فی (نر 9- ص 399) و ذکر شعره و ترجمه آیتی فی (تش یز- ص 310) و ذکر أنه کان یهدی رباعیاته من بلاد الهند التی نزل بها والده عرشی إلی بعض أقربائه و یأتی والده عرشی الیزدی و إنه غیر عرشی المترجم فی مجمع الخواص للصادقی‏</w:t>
      </w:r>
    </w:p>
    <w:p>
      <w:pPr>
        <w:pStyle w:val="Heading3"/>
      </w:pPr>
      <w:bookmarkStart w:id="6421" w:name="_Toc5117"/>
      <w:r>
        <w:t>4857- دیوان عبداللهی‏</w:t>
      </w:r>
      <w:bookmarkEnd w:id="6421"/>
    </w:p>
    <w:p>
      <w:pPr>
        <w:pStyle w:val="BookText"/>
      </w:pPr>
      <w:r>
        <w:rPr>
          <w:rFonts w:ascii="IRNazanin" w:hAnsi="IRNazanin" w:eastAsia="IRNazanin" w:cs="IRNazanin"/>
          <w:lang w:bidi="fa-IR"/>
          <w:color w:val="111111"/>
          <w:sz w:val="28"/>
          <w:szCs w:val="28"/>
          <w:rtl/>
        </w:rPr>
        <w:t xml:space="preserve">غزلیات فارسیة من نظم حسین عبداللهی المعاصر مؤلف راهنمای إصلاح فی مضرات حلق اللحیة المطبوع بأصفهان 1327 ش‏</w:t>
      </w:r>
    </w:p>
    <w:p>
      <w:pPr>
        <w:pStyle w:val="Heading3"/>
      </w:pPr>
      <w:bookmarkStart w:id="6422" w:name="_Toc5118"/>
      <w:r>
        <w:t>دیوان العبدلی‏</w:t>
      </w:r>
      <w:bookmarkEnd w:id="6422"/>
    </w:p>
    <w:p>
      <w:pPr>
        <w:pStyle w:val="BookText"/>
      </w:pPr>
      <w:r>
        <w:rPr>
          <w:rFonts w:ascii="IRNazanin" w:hAnsi="IRNazanin" w:eastAsia="IRNazanin" w:cs="IRNazanin"/>
          <w:lang w:bidi="fa-IR"/>
          <w:color w:val="111111"/>
          <w:sz w:val="28"/>
          <w:szCs w:val="28"/>
          <w:rtl/>
        </w:rPr>
        <w:t xml:space="preserve">مر فی ص 30 بعنوان ابن المقرب محمد بن علی و سماه فی هدیة العارفین 1: 706 علی بن مقرب و توفی 629 توجد نسخه فی مکتبات الموصل کما فهرسها ص 41 و 134 و 151 و طبع کما ذکرناه‏</w:t>
      </w:r>
    </w:p>
    <w:p>
      <w:pPr>
        <w:pStyle w:val="Heading3"/>
      </w:pPr>
      <w:bookmarkStart w:id="6423" w:name="_Toc5119"/>
      <w:r>
        <w:t>دیوان عبد المجید طالقانی‏</w:t>
      </w:r>
      <w:bookmarkEnd w:id="6423"/>
    </w:p>
    <w:p>
      <w:pPr>
        <w:pStyle w:val="BookText"/>
      </w:pPr>
      <w:r>
        <w:rPr>
          <w:rFonts w:ascii="IRNazanin" w:hAnsi="IRNazanin" w:eastAsia="IRNazanin" w:cs="IRNazanin"/>
          <w:lang w:bidi="fa-IR"/>
          <w:color w:val="111111"/>
          <w:sz w:val="28"/>
          <w:szCs w:val="28"/>
          <w:rtl/>
        </w:rPr>
        <w:t xml:space="preserve">کما فی (تش- ص 408) مر بعنوان خموش فی ص 304 و درویش مجید فی ص 324 و یأتی بعنوان مجید فی المیم‏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692" w:name="pg11704_122175"/>
    <w:bookmarkEnd w:id="692"/>
    <w:p>
      <w:pPr>
        <w:pStyle w:val="Heading3"/>
      </w:pPr>
      <w:bookmarkStart w:id="6424" w:name="_Toc5120"/>
      <w:r>
        <w:t>4858- دیوان عبد المجید قمی الأوجی،</w:t>
      </w:r>
      <w:bookmarkEnd w:id="6424"/>
    </w:p>
    <w:p>
      <w:pPr>
        <w:pStyle w:val="BookText"/>
      </w:pPr>
      <w:r>
        <w:rPr>
          <w:rFonts w:ascii="IRNazanin" w:hAnsi="IRNazanin" w:eastAsia="IRNazanin" w:cs="IRNazanin"/>
          <w:lang w:bidi="fa-IR"/>
          <w:color w:val="111111"/>
          <w:sz w:val="28"/>
          <w:szCs w:val="28"/>
          <w:rtl/>
        </w:rPr>
        <w:t xml:space="preserve">المتخلص سید و یعرف بسلیل الحسینی سافر إلی النجف و رجع إلی قم له منظومة اسمه حمله حسینی حدود الألفی بیت فارسی یوجد بخطه عند السید مجید بن محمد علی بن الناظم بطهران و یوجد بخطه کتابه حاشیة صحن أمین السلطان بقم کما ذکره فی آثار قم ص 65 و توفی عبد المجید فی 1314 و قال جدا الشاعر فی تاریخه:</w:t>
      </w:r>
    </w:p>
    <w:p>
      <w:pPr>
        <w:pStyle w:val="BookText"/>
      </w:pPr>
      <w:r>
        <w:rPr>
          <w:rFonts w:ascii="IRNazanin" w:hAnsi="IRNazanin" w:eastAsia="IRNazanin" w:cs="IRNazanin"/>
          <w:lang w:bidi="fa-IR"/>
          <w:color w:val="111111"/>
          <w:sz w:val="28"/>
          <w:szCs w:val="28"/>
          <w:rtl/>
        </w:rPr>
        <w:t xml:space="preserve">جدا پی تاریخ وفاتش به فغان گفت:</w:t>
      </w:r>
    </w:p>
    <w:p>
      <w:pPr>
        <w:pStyle w:val="BookText"/>
      </w:pPr>
      <w:r>
        <w:rPr>
          <w:rFonts w:ascii="IRNazanin" w:hAnsi="IRNazanin" w:eastAsia="IRNazanin" w:cs="IRNazanin"/>
          <w:lang w:bidi="fa-IR"/>
          <w:color w:val="111111"/>
          <w:sz w:val="28"/>
          <w:szCs w:val="28"/>
          <w:rtl/>
        </w:rPr>
        <w:t xml:space="preserve">طوطی شکر ریز جهان سوی جنان شد</w:t>
      </w:r>
    </w:p>
    <w:p>
      <w:pPr>
        <w:pStyle w:val="Heading3"/>
      </w:pPr>
      <w:bookmarkStart w:id="6425" w:name="_Toc5121"/>
      <w:r>
        <w:t>4859- دیوان عبد المحسن الصوری‏</w:t>
      </w:r>
      <w:bookmarkEnd w:id="6425"/>
    </w:p>
    <w:p>
      <w:pPr>
        <w:pStyle w:val="BookText"/>
      </w:pPr>
      <w:r>
        <w:rPr>
          <w:rFonts w:ascii="IRNazanin" w:hAnsi="IRNazanin" w:eastAsia="IRNazanin" w:cs="IRNazanin"/>
          <w:lang w:bidi="fa-IR"/>
          <w:color w:val="111111"/>
          <w:sz w:val="28"/>
          <w:szCs w:val="28"/>
          <w:rtl/>
        </w:rPr>
        <w:t xml:space="preserve">هو أبو محمد عبد المحسن بن محمد بن أحمد بن غالب بن غلبون الصبوری المتوفی یوم الأحد تاسع شوال 419 عن ثمانین من العمر ترجمه ابن خلکان (ج 1 ص 308) و قال إنه من محاسن أهل الشام و أحسن فی دیوانه کل الإحسان نسخه منه بخط الشیخ جواد الشبیبی استنسخها فی 28 ع 1- 1341 عن نسخه عتیقة کتبت فی حدود القرن السادس کانت بمکتبة السید عیسی (العطار ببغداد) أول قصائده فی مدح رئیس الرؤساء خطیر الملک أبی الحسین محمد بن عماد بن محمد من وزراء الدولة الفاطمیة لقبه بذلک الظاهر لإعزاز دین الله و کان علی الوزارة إلی أن قتل 412 و فیه قصیدة فی مدح علی بن الحسین المغربی والد أبی القاسم الوزیر المغربی و کان هو من وجوه الدولة الفاطمیة و اتصل بهم من 381 إلی عصر الحاکم 400 و استنسخه السماوی بخطه أیضا و فرغ منه 1368 و هذه النسخة اشتراها الشیخ محمد علی یعقوب الخطیب و ترجمه فی أمل الآمل مفصلا و عنه فی الریاض و عده ابن شهرآشوب من شعراء أهل البیت و أورد فی مناقبه جملة من أشعاره‏</w:t>
      </w:r>
    </w:p>
    <w:p>
      <w:pPr>
        <w:pStyle w:val="Heading3"/>
      </w:pPr>
      <w:bookmarkStart w:id="6426" w:name="_Toc5122"/>
      <w:r>
        <w:t>دیوان المولی عبد المحسن الکاشانی‏</w:t>
      </w:r>
      <w:bookmarkEnd w:id="6426"/>
    </w:p>
    <w:p>
      <w:pPr>
        <w:pStyle w:val="BookText"/>
      </w:pPr>
      <w:r>
        <w:rPr>
          <w:rFonts w:ascii="IRNazanin" w:hAnsi="IRNazanin" w:eastAsia="IRNazanin" w:cs="IRNazanin"/>
          <w:lang w:bidi="fa-IR"/>
          <w:color w:val="111111"/>
          <w:sz w:val="28"/>
          <w:szCs w:val="28"/>
          <w:rtl/>
        </w:rPr>
        <w:t xml:space="preserve">ابن أخت المولی ضیاء الدین الکاشانی الشهیر بآخوند نورا یقرب من عشرة آلاف بیت کذا ترجمه النصرآبادی فی (نر 6- ص 155) و صرح بأنه تلمیذ المولی صدرا الشیرازی و صهره علی بنته أقول هو المولی محسن المتخلص بالفیض الکاشانی یأتی فی الفاء</w:t>
      </w:r>
    </w:p>
    <w:p>
      <w:pPr>
        <w:pStyle w:val="Heading3"/>
      </w:pPr>
      <w:bookmarkStart w:id="6427" w:name="_Toc5123"/>
      <w:r>
        <w:t>4860- دیوان الشیخ عبد المحسن الکاظمی‏</w:t>
      </w:r>
      <w:bookmarkEnd w:id="6427"/>
    </w:p>
    <w:p>
      <w:pPr>
        <w:pStyle w:val="BookText"/>
      </w:pPr>
      <w:r>
        <w:rPr>
          <w:rFonts w:ascii="IRNazanin" w:hAnsi="IRNazanin" w:eastAsia="IRNazanin" w:cs="IRNazanin"/>
          <w:lang w:bidi="fa-IR"/>
          <w:color w:val="111111"/>
          <w:sz w:val="28"/>
          <w:szCs w:val="28"/>
          <w:rtl/>
        </w:rPr>
        <w:t xml:space="preserve">نزیل مصر و المتوفی بها حدود 1350 مطبوع‏</w:t>
      </w:r>
    </w:p>
    <w:p>
      <w:pPr>
        <w:pStyle w:val="Heading3"/>
      </w:pPr>
      <w:bookmarkStart w:id="6428" w:name="_Toc5124"/>
      <w:r>
        <w:t>4861- دیوان الشیخ عبد المحسن الهمدانی‏</w:t>
      </w:r>
      <w:bookmarkEnd w:id="6428"/>
    </w:p>
    <w:p>
      <w:pPr>
        <w:pStyle w:val="BookText"/>
      </w:pPr>
      <w:r>
        <w:rPr>
          <w:rFonts w:ascii="IRNazanin" w:hAnsi="IRNazanin" w:eastAsia="IRNazanin" w:cs="IRNazanin"/>
          <w:lang w:bidi="fa-IR"/>
          <w:color w:val="111111"/>
          <w:sz w:val="28"/>
          <w:szCs w:val="28"/>
          <w:rtl/>
        </w:rPr>
        <w:t xml:space="preserve">ابن محمد بن الحاج علی پوست‏فروش‏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693" w:name="pg11704_122176"/>
    <w:bookmarkEnd w:id="693"/>
    <w:p>
      <w:pPr>
        <w:pStyle w:val="BookText"/>
      </w:pPr>
      <w:r>
        <w:rPr>
          <w:rFonts w:ascii="IRNazanin" w:hAnsi="IRNazanin" w:eastAsia="IRNazanin" w:cs="IRNazanin"/>
          <w:lang w:bidi="fa-IR"/>
          <w:color w:val="111111"/>
          <w:sz w:val="28"/>
          <w:szCs w:val="28"/>
          <w:rtl/>
        </w:rPr>
        <w:t xml:space="preserve">الهمدانی الأصل الکاظمی له رثاء السید عبد الکریم بن الحسن الأعرجی المتوفی 1308 أورده السید جعفر الأعرجی فی نفحة بغداد فی نسب السادة الأعرجیة الأمجاد و مر أخوه الشاعر أیضا الشیخ حسین‏</w:t>
      </w:r>
    </w:p>
    <w:p>
      <w:pPr>
        <w:pStyle w:val="Heading3"/>
      </w:pPr>
      <w:bookmarkStart w:id="6429" w:name="_Toc5125"/>
      <w:r>
        <w:t>4862- دیوان السید عبد المطلب‏</w:t>
      </w:r>
      <w:bookmarkEnd w:id="6429"/>
    </w:p>
    <w:p>
      <w:pPr>
        <w:pStyle w:val="BookText"/>
      </w:pPr>
      <w:r>
        <w:rPr>
          <w:rFonts w:ascii="IRNazanin" w:hAnsi="IRNazanin" w:eastAsia="IRNazanin" w:cs="IRNazanin"/>
          <w:lang w:bidi="fa-IR"/>
          <w:color w:val="111111"/>
          <w:sz w:val="28"/>
          <w:szCs w:val="28"/>
          <w:rtl/>
        </w:rPr>
        <w:t xml:space="preserve">ابن السید داود بن سلیمان بن داود بن سلیمان الحلی هو ابن أخ السید حیدر الشاعر الشهیر الذی توفی 1304 تخرج علی عمه السید حیدر و سکن الحلة إلی أن هدمت داره 1335 فنزل إلی قریة من أعمال الحلة و بها توفی مع ابن عمه السید حسین بن حیدر فی یوم واحد (13- ع 1- 1339) و حملا معا إلی النجف و قد جمع دیوانه فی حیاته و بعض مراثیه موجودة ضمن مجموعة مع مراثی السید مهدی بن سلیمان الآتی عند السید محمد حسن الطالقانی فی النجف‏</w:t>
      </w:r>
    </w:p>
    <w:p>
      <w:pPr>
        <w:pStyle w:val="Heading3"/>
      </w:pPr>
      <w:bookmarkStart w:id="6430" w:name="_Toc5126"/>
      <w:r>
        <w:t>4863- دیوان عبد الملک البعلبکی أو شعره‏</w:t>
      </w:r>
      <w:bookmarkEnd w:id="6430"/>
    </w:p>
    <w:p>
      <w:pPr>
        <w:pStyle w:val="BookText"/>
      </w:pPr>
      <w:r>
        <w:rPr>
          <w:rFonts w:ascii="IRNazanin" w:hAnsi="IRNazanin" w:eastAsia="IRNazanin" w:cs="IRNazanin"/>
          <w:lang w:bidi="fa-IR"/>
          <w:color w:val="111111"/>
          <w:sz w:val="28"/>
          <w:szCs w:val="28"/>
          <w:rtl/>
        </w:rPr>
        <w:t xml:space="preserve">عده ابن شهرآشوب فی المعالم- ص 139 من شعراء أهل البیت‏</w:t>
      </w:r>
    </w:p>
    <w:p>
      <w:pPr>
        <w:pStyle w:val="Heading3"/>
      </w:pPr>
      <w:bookmarkStart w:id="6431" w:name="_Toc5127"/>
      <w:r>
        <w:t>دیوان عبد الملک سمرقندی‏</w:t>
      </w:r>
      <w:bookmarkEnd w:id="6431"/>
    </w:p>
    <w:p>
      <w:pPr>
        <w:pStyle w:val="BookText"/>
      </w:pPr>
      <w:r>
        <w:rPr>
          <w:rFonts w:ascii="IRNazanin" w:hAnsi="IRNazanin" w:eastAsia="IRNazanin" w:cs="IRNazanin"/>
          <w:lang w:bidi="fa-IR"/>
          <w:color w:val="111111"/>
          <w:sz w:val="28"/>
          <w:szCs w:val="28"/>
          <w:rtl/>
        </w:rPr>
        <w:t xml:space="preserve">یأتی بتخلصه عصامی کما فی (روشن- ص 458) و (دولت- 5)</w:t>
      </w:r>
    </w:p>
    <w:p>
      <w:pPr>
        <w:pStyle w:val="Heading3"/>
      </w:pPr>
      <w:bookmarkStart w:id="6432" w:name="_Toc5128"/>
      <w:r>
        <w:t>4864- دیوان عبد مناف قمی أو شعره‏</w:t>
      </w:r>
      <w:bookmarkEnd w:id="6432"/>
    </w:p>
    <w:p>
      <w:pPr>
        <w:pStyle w:val="BookText"/>
      </w:pPr>
      <w:r>
        <w:rPr>
          <w:rFonts w:ascii="IRNazanin" w:hAnsi="IRNazanin" w:eastAsia="IRNazanin" w:cs="IRNazanin"/>
          <w:lang w:bidi="fa-IR"/>
          <w:color w:val="111111"/>
          <w:sz w:val="28"/>
          <w:szCs w:val="28"/>
          <w:rtl/>
        </w:rPr>
        <w:t xml:space="preserve">و هو المیرزا عبد مناف من السادة بقم ترجمه و أورد شعره فی (نر 5- ص 112) و کذا فی (روشن- 440)</w:t>
      </w:r>
    </w:p>
    <w:p>
      <w:pPr>
        <w:pStyle w:val="Heading3"/>
      </w:pPr>
      <w:bookmarkStart w:id="6433" w:name="_Toc5129"/>
      <w:r>
        <w:t>4865 دیوان عبد المنعم الفرطوسی‏</w:t>
      </w:r>
      <w:bookmarkEnd w:id="6433"/>
    </w:p>
    <w:p>
      <w:pPr>
        <w:pStyle w:val="BookText"/>
      </w:pPr>
      <w:r>
        <w:rPr>
          <w:rFonts w:ascii="IRNazanin" w:hAnsi="IRNazanin" w:eastAsia="IRNazanin" w:cs="IRNazanin"/>
          <w:lang w:bidi="fa-IR"/>
          <w:color w:val="111111"/>
          <w:sz w:val="28"/>
          <w:szCs w:val="28"/>
          <w:rtl/>
        </w:rPr>
        <w:t xml:space="preserve">و هو ابن الشیخ حسین بن حسن المولود بالنجف 1333 یقرب من أربعة آلاف بیت فی مجلدین فی رثاء أهل البیت و العلماء طبع الأول فی 1378 فی النجف، و طبع قصیدته فی رثاء السید ماجد العوامی فی ذکری السید ماجد ص 105 و قصیدته فی رثاء الشیخ محمد رضا آل یاسین فی عدد البیان الخاص به فی 122 بیتا و له دیوان آخر فی الاجتماعیات أسماه معرض العواطف یأتی فی المیم‏</w:t>
      </w:r>
    </w:p>
    <w:p>
      <w:pPr>
        <w:pStyle w:val="Heading3"/>
      </w:pPr>
      <w:bookmarkStart w:id="6434" w:name="_Toc5130"/>
      <w:r>
        <w:t>دیوان عبد المؤمن هروی أو شعره‏</w:t>
      </w:r>
      <w:bookmarkEnd w:id="6434"/>
    </w:p>
    <w:p>
      <w:pPr>
        <w:pStyle w:val="BookText"/>
      </w:pPr>
      <w:r>
        <w:rPr>
          <w:rFonts w:ascii="IRNazanin" w:hAnsi="IRNazanin" w:eastAsia="IRNazanin" w:cs="IRNazanin"/>
          <w:lang w:bidi="fa-IR"/>
          <w:color w:val="111111"/>
          <w:sz w:val="28"/>
          <w:szCs w:val="28"/>
          <w:rtl/>
        </w:rPr>
        <w:t xml:space="preserve">کان متولیا لمزار الجامی و لذلک یتخلص مزاری کما ترجمه فی (لط- ص 145)</w:t>
      </w:r>
    </w:p>
    <w:p>
      <w:pPr>
        <w:pStyle w:val="Heading3"/>
      </w:pPr>
      <w:bookmarkStart w:id="6435" w:name="_Toc5131"/>
      <w:r>
        <w:t>4866 دیوان عبد المولی أصفهانی أو شعره‏</w:t>
      </w:r>
      <w:bookmarkEnd w:id="6435"/>
    </w:p>
    <w:p>
      <w:pPr>
        <w:pStyle w:val="BookText"/>
      </w:pPr>
      <w:r>
        <w:rPr>
          <w:rFonts w:ascii="IRNazanin" w:hAnsi="IRNazanin" w:eastAsia="IRNazanin" w:cs="IRNazanin"/>
          <w:lang w:bidi="fa-IR"/>
          <w:color w:val="111111"/>
          <w:sz w:val="28"/>
          <w:szCs w:val="28"/>
          <w:rtl/>
        </w:rPr>
        <w:t xml:space="preserve">ذهب فی فتنة الأفغان إلی سیجان عند أقربائه بها ترجمه و أورد شعره الحزین فی تذکرته ص 103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694" w:name="pg11704_122177"/>
    <w:bookmarkEnd w:id="694"/>
    <w:p>
      <w:pPr>
        <w:pStyle w:val="Heading3"/>
      </w:pPr>
      <w:bookmarkStart w:id="6436" w:name="_Toc5132"/>
      <w:r>
        <w:t>4867- دیوان عبد المهدی الأعرجی‏</w:t>
      </w:r>
      <w:bookmarkEnd w:id="6436"/>
    </w:p>
    <w:p>
      <w:pPr>
        <w:pStyle w:val="BookText"/>
      </w:pPr>
      <w:r>
        <w:rPr>
          <w:rFonts w:ascii="IRNazanin" w:hAnsi="IRNazanin" w:eastAsia="IRNazanin" w:cs="IRNazanin"/>
          <w:lang w:bidi="fa-IR"/>
          <w:color w:val="111111"/>
          <w:sz w:val="28"/>
          <w:szCs w:val="28"/>
          <w:rtl/>
        </w:rPr>
        <w:t xml:space="preserve">هو السید عبد المهدی بن راضی بن حسین بن محمد بن جعفر بن الشریف المرتضی المنتهی إلی أحمد بن عبید الله بن علی بن عبید الله الثانی بن علی الصالح بن عبید الله الأعرج بن الحسین الأصغر بن السجاد ولد فی النجف 1322 و تلمذ علی خاله الخطیب الشاعر الشیخ قاسم الملا محمد الحلی فصار خطیبا شاعرا مبرزا علی أقرانه محسودا عندهم، فسقوه ما یهجن الصوت و لم یقدروا علی منع شعره، إلی أن جاءه القضاء فاستحم فی شط الحلة و غرق فی الماء و أخرج جسده بعد یوم و لیلة و حمل إلی النجف فی رجب 1358 فجمع دیوانه شقیقة الخطیب السید حبیب الأعرجی فی 1359 و جعله مجلدا تزید صفحاته علی ثلاثمائة صفحة و له مجامیع أخر فی مراسلاته و تواریخه و فوائد، و أرجوزة فی تواریخ المعصومین أکبر من أرجوزة الشیخ الحر</w:t>
      </w:r>
    </w:p>
    <w:p>
      <w:pPr>
        <w:pStyle w:val="Heading3"/>
      </w:pPr>
      <w:bookmarkStart w:id="6437" w:name="_Toc5133"/>
      <w:r>
        <w:t>4868- دیوان الشیخ عبد المهدی مطر</w:t>
      </w:r>
      <w:bookmarkEnd w:id="6437"/>
    </w:p>
    <w:p>
      <w:pPr>
        <w:pStyle w:val="BookText"/>
      </w:pPr>
      <w:r>
        <w:rPr>
          <w:rFonts w:ascii="IRNazanin" w:hAnsi="IRNazanin" w:eastAsia="IRNazanin" w:cs="IRNazanin"/>
          <w:lang w:bidi="fa-IR"/>
          <w:color w:val="111111"/>
          <w:sz w:val="28"/>
          <w:szCs w:val="28"/>
          <w:rtl/>
        </w:rPr>
        <w:t xml:space="preserve">ابن الشیخ عبد الحسین بن الشیخ حسن مطر النجفی المولود بها فی یوم السبت 26 شوال 1318 یقرب من خمسة آلاف بیت بخطه أکثره فی مراثی أهل البیت فی یوم الطف و غیره‏</w:t>
      </w:r>
    </w:p>
    <w:p>
      <w:pPr>
        <w:pStyle w:val="Heading3"/>
      </w:pPr>
      <w:bookmarkStart w:id="6438" w:name="_Toc5134"/>
      <w:r>
        <w:t>4869- دیوان الشیخ عبد المهدی الحجار</w:t>
      </w:r>
      <w:bookmarkEnd w:id="6438"/>
    </w:p>
    <w:p>
      <w:pPr>
        <w:pStyle w:val="BookText"/>
      </w:pPr>
      <w:r>
        <w:rPr>
          <w:rFonts w:ascii="IRNazanin" w:hAnsi="IRNazanin" w:eastAsia="IRNazanin" w:cs="IRNazanin"/>
          <w:lang w:bidi="fa-IR"/>
          <w:color w:val="111111"/>
          <w:sz w:val="28"/>
          <w:szCs w:val="28"/>
          <w:rtl/>
        </w:rPr>
        <w:t xml:space="preserve">ابن الشیخ داود بن سلمان بن إسماعیل بن مقلد بن مهیوب بن شرف المنتهی إلی عمرو بن معدیکرب الزبیدی من مذحج المعروف بالشیخ مهدی الحجار النجفی المولود فی الحیرة 1315 و بعد تحصیلاته بعث وکیلا من قبل السید أبی الحسن الأصفهانی إلی معقل البصرة و کان عالمها إلی أن توفی بمستشفی البصرة فی السبت ثانی شعبان 1358 و حمل إلی النجف طبع له أرجوزة البلاغ المبین المذکور فی ج 3 ص 141 و طبع الجزء الأول من أرجوزته فوز الدارین فی نقض العهدین فی 1349 و کتب فی أواخر عمره نقض الوشیعة فی رد موسی جار الله منضما إلی رد النشاشیبی محمد إسعاف فی کتابه الإسلام الصحیح فی نیف و خمسین یوما، لأنه شرع فیه یوم النصف من رمضان و فرغ عنه فی ثامن ذی القعدة من 1357</w:t>
      </w:r>
    </w:p>
    <w:p>
      <w:pPr>
        <w:pStyle w:val="Heading3"/>
      </w:pPr>
      <w:bookmarkStart w:id="6439" w:name="_Toc5135"/>
      <w:r>
        <w:t>4870- دیوان الشیخ عبد النبی الخطی‏</w:t>
      </w:r>
      <w:bookmarkEnd w:id="6439"/>
    </w:p>
    <w:p>
      <w:pPr>
        <w:pStyle w:val="BookText"/>
      </w:pPr>
      <w:r>
        <w:rPr>
          <w:rFonts w:ascii="IRNazanin" w:hAnsi="IRNazanin" w:eastAsia="IRNazanin" w:cs="IRNazanin"/>
          <w:lang w:bidi="fa-IR"/>
          <w:color w:val="111111"/>
          <w:sz w:val="28"/>
          <w:szCs w:val="28"/>
          <w:rtl/>
        </w:rPr>
        <w:t xml:space="preserve">فی مراثی الحسین ع و هو ابن الحاج أحمد الخطی أورد بعض مراثیه الشیخ لطف الله الجد حفصی فی مجموعته التی کتبها لنفسه فی 1201 عند الشیخ محمد علی یعقوب‏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695" w:name="pg11704_122178"/>
    <w:bookmarkEnd w:id="695"/>
    <w:p>
      <w:pPr>
        <w:pStyle w:val="Heading3"/>
      </w:pPr>
      <w:bookmarkStart w:id="6440" w:name="_Toc5136"/>
      <w:r>
        <w:t>4871- دیوان الشیخ عبد الواحد آل مظفر</w:t>
      </w:r>
      <w:bookmarkEnd w:id="6440"/>
    </w:p>
    <w:p>
      <w:pPr>
        <w:pStyle w:val="BookText"/>
      </w:pPr>
      <w:r>
        <w:rPr>
          <w:rFonts w:ascii="IRNazanin" w:hAnsi="IRNazanin" w:eastAsia="IRNazanin" w:cs="IRNazanin"/>
          <w:lang w:bidi="fa-IR"/>
          <w:color w:val="111111"/>
          <w:sz w:val="28"/>
          <w:szCs w:val="28"/>
          <w:rtl/>
        </w:rPr>
        <w:t xml:space="preserve">هو ابن الشیخ أحمد النجفی المولود 1310 رأیته بخطه عنده” الشیخ عبد الواحد” بالنجف‏</w:t>
      </w:r>
    </w:p>
    <w:p>
      <w:pPr>
        <w:pStyle w:val="Heading3"/>
      </w:pPr>
      <w:bookmarkStart w:id="6441" w:name="_Toc5137"/>
      <w:r>
        <w:t>دیوان الحاج عبد الواسع أقدس‏</w:t>
      </w:r>
      <w:bookmarkEnd w:id="6441"/>
    </w:p>
    <w:p>
      <w:pPr>
        <w:pStyle w:val="BookText"/>
      </w:pPr>
      <w:r>
        <w:rPr>
          <w:rFonts w:ascii="IRNazanin" w:hAnsi="IRNazanin" w:eastAsia="IRNazanin" w:cs="IRNazanin"/>
          <w:lang w:bidi="fa-IR"/>
          <w:color w:val="111111"/>
          <w:sz w:val="28"/>
          <w:szCs w:val="28"/>
          <w:rtl/>
        </w:rPr>
        <w:t xml:space="preserve">ابن الحاج محمد خان قدسی نزیل الهند عند السلطان اورنگ زیب ترجمه النصرآبادی و مر فی ص 87</w:t>
      </w:r>
    </w:p>
    <w:p>
      <w:pPr>
        <w:pStyle w:val="Heading3"/>
      </w:pPr>
      <w:bookmarkStart w:id="6442" w:name="_Toc5138"/>
      <w:r>
        <w:t>4872- دیوان عبد الواسع التونی أو شعره‏</w:t>
      </w:r>
      <w:bookmarkEnd w:id="6442"/>
    </w:p>
    <w:p>
      <w:pPr>
        <w:pStyle w:val="BookText"/>
      </w:pPr>
      <w:r>
        <w:rPr>
          <w:rFonts w:ascii="IRNazanin" w:hAnsi="IRNazanin" w:eastAsia="IRNazanin" w:cs="IRNazanin"/>
          <w:lang w:bidi="fa-IR"/>
          <w:color w:val="111111"/>
          <w:sz w:val="28"/>
          <w:szCs w:val="28"/>
          <w:rtl/>
        </w:rPr>
        <w:t xml:space="preserve">هو مؤلف ترجمه الرسالة الذهبیة الرضویة باسم الشاه سلطان حسین الصفوی عند زیارته للمشهد الرضوی ذکر فی الترجمة بعض أشعاره فی مدح السلطان و الدعاء له، و ذکر أن تاریخ زیارته زیارات شاهی قبول الهی 1119</w:t>
      </w:r>
    </w:p>
    <w:p>
      <w:pPr>
        <w:pStyle w:val="Heading3"/>
      </w:pPr>
      <w:bookmarkStart w:id="6443" w:name="_Toc5139"/>
      <w:r>
        <w:t>4873- دیوان عبد الواسع جبلی‏</w:t>
      </w:r>
      <w:bookmarkEnd w:id="6443"/>
    </w:p>
    <w:p>
      <w:pPr>
        <w:pStyle w:val="BookText"/>
      </w:pPr>
      <w:r>
        <w:rPr>
          <w:rFonts w:ascii="IRNazanin" w:hAnsi="IRNazanin" w:eastAsia="IRNazanin" w:cs="IRNazanin"/>
          <w:lang w:bidi="fa-IR"/>
          <w:color w:val="111111"/>
          <w:sz w:val="28"/>
          <w:szCs w:val="28"/>
          <w:rtl/>
        </w:rPr>
        <w:t xml:space="preserve">و هو بدیع الزمان عبد الواسع بن عبد الجامع بن عمران بن ربیع المولود بغرجستان فی شمال غزنة و المتوفی 555 کما فی (مع 1:</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IRNazanin" w:hAnsi="IRNazanin" w:eastAsia="IRNazanin" w:cs="IRNazanin"/>
          <w:lang w:bidi="fa-IR"/>
          <w:color w:val="111111"/>
          <w:sz w:val="28"/>
          <w:szCs w:val="28"/>
          <w:rtl/>
        </w:rPr>
        <w:t xml:space="preserve">أو 575 کما فی شاهد صادق مدح بهرام شاه الغزنوی (512- 544) و سنجر السلجوقی (511- 552) له قصائد عربیة أیضا لکنها ضاعت و دیوانه الفارسی فی 7500 بیت توجد فی (المجلس) کما فی فهرسها 3: 349 و عند (فخر الدین) و (سپهسالار- 393) و مکتبة لالا إسماعیل بأستانبول و تصویره الفتوغرافی بجامعة طهران برقم 199 ترجمه المستوفی فی تاریخ گزیده ص 822 و (دولت 2) و (بهش 2- ص 342)</w:t>
      </w:r>
    </w:p>
    <w:p>
      <w:pPr>
        <w:pStyle w:val="Heading3"/>
      </w:pPr>
      <w:bookmarkStart w:id="6444" w:name="_Toc5140"/>
      <w:r>
        <w:t>4874- دیوان مولانا عبد الواسع‏</w:t>
      </w:r>
      <w:bookmarkEnd w:id="6444"/>
    </w:p>
    <w:p>
      <w:pPr>
        <w:pStyle w:val="BookText"/>
      </w:pPr>
      <w:r>
        <w:rPr>
          <w:rFonts w:ascii="IRNazanin" w:hAnsi="IRNazanin" w:eastAsia="IRNazanin" w:cs="IRNazanin"/>
          <w:lang w:bidi="fa-IR"/>
          <w:color w:val="111111"/>
          <w:sz w:val="28"/>
          <w:szCs w:val="28"/>
          <w:rtl/>
        </w:rPr>
        <w:t xml:space="preserve">المنشی الهروی له خمسمائة بیت فی هجاء الخواجة مجد الدین و لغیره أزید من ألف بیت، کما ذکر فی (مجن 4- ص 99 و 276) و أظنه صاحب الترسل الموجود بجامعة طهران کما فی فهرسها (2: 19 و 280)</w:t>
      </w:r>
    </w:p>
    <w:p>
      <w:pPr>
        <w:pStyle w:val="Heading3"/>
      </w:pPr>
      <w:bookmarkStart w:id="6445" w:name="_Toc5141"/>
      <w:r>
        <w:t>دیوان عبد الوهاب‏</w:t>
      </w:r>
      <w:bookmarkEnd w:id="6445"/>
    </w:p>
    <w:p>
      <w:pPr>
        <w:pStyle w:val="BookText"/>
      </w:pPr>
      <w:r>
        <w:rPr>
          <w:rFonts w:ascii="IRNazanin" w:hAnsi="IRNazanin" w:eastAsia="IRNazanin" w:cs="IRNazanin"/>
          <w:lang w:bidi="fa-IR"/>
          <w:color w:val="111111"/>
          <w:sz w:val="28"/>
          <w:szCs w:val="28"/>
          <w:rtl/>
        </w:rPr>
        <w:t xml:space="preserve">راجع دیوان نشاط و دیوان گلشن و دیوان طراز</w:t>
      </w:r>
    </w:p>
    <w:p>
      <w:pPr>
        <w:pStyle w:val="Heading3"/>
      </w:pPr>
      <w:bookmarkStart w:id="6446" w:name="_Toc5142"/>
      <w:r>
        <w:t>4875- دیوان مولانا عبد الوهاب الأسفراینی‏</w:t>
      </w:r>
      <w:bookmarkEnd w:id="6446"/>
    </w:p>
    <w:p>
      <w:pPr>
        <w:pStyle w:val="BookText"/>
      </w:pPr>
      <w:r>
        <w:rPr>
          <w:rFonts w:ascii="IRNazanin" w:hAnsi="IRNazanin" w:eastAsia="IRNazanin" w:cs="IRNazanin"/>
          <w:lang w:bidi="fa-IR"/>
          <w:color w:val="111111"/>
          <w:sz w:val="28"/>
          <w:szCs w:val="28"/>
          <w:rtl/>
        </w:rPr>
        <w:t xml:space="preserve">قاضی سبزوار و أسترآباد و المتوفی بأسترآباد له تتبع دریای أبرار للأمیر خسرو ترجمه فی (مجن 2- ص 42 و 214) و أورد مطلعه و لعله عبد الوهاب بن علی الأسترآبادی المذکور فی (2: 402) الموجود شرحه علی الفصول فی جامعة طهران کما فی فهرسها 3: 593</w:t>
      </w:r>
    </w:p>
    <w:p>
      <w:pPr>
        <w:pStyle w:val="Heading3"/>
      </w:pPr>
      <w:bookmarkStart w:id="6447" w:name="_Toc5143"/>
      <w:r>
        <w:t>4876- دیوان عبد الوهاب سمرقندی أو شعره‏</w:t>
      </w:r>
      <w:bookmarkEnd w:id="6447"/>
    </w:p>
    <w:p>
      <w:pPr>
        <w:pStyle w:val="BookText"/>
      </w:pPr>
      <w:r>
        <w:rPr>
          <w:rFonts w:ascii="IRNazanin" w:hAnsi="IRNazanin" w:eastAsia="IRNazanin" w:cs="IRNazanin"/>
          <w:lang w:bidi="fa-IR"/>
          <w:color w:val="111111"/>
          <w:sz w:val="28"/>
          <w:szCs w:val="28"/>
          <w:rtl/>
        </w:rPr>
        <w:t xml:space="preserve">له الید فی الشعر الفارسی و الترکی ترجمه فی (مجتس 8- ص 171) و أورد شعره‏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696" w:name="pg11704_122179"/>
    <w:bookmarkEnd w:id="696"/>
    <w:p>
      <w:pPr>
        <w:pStyle w:val="Heading3"/>
      </w:pPr>
      <w:bookmarkStart w:id="6448" w:name="_Toc5144"/>
      <w:r>
        <w:t>دیوان عبد الوهاب سهائی‏</w:t>
      </w:r>
      <w:bookmarkEnd w:id="6448"/>
    </w:p>
    <w:p>
      <w:pPr>
        <w:pStyle w:val="BookText"/>
      </w:pPr>
      <w:r>
        <w:rPr>
          <w:rFonts w:ascii="IRNazanin" w:hAnsi="IRNazanin" w:eastAsia="IRNazanin" w:cs="IRNazanin"/>
          <w:lang w:bidi="fa-IR"/>
          <w:color w:val="111111"/>
          <w:sz w:val="28"/>
          <w:szCs w:val="28"/>
          <w:rtl/>
        </w:rPr>
        <w:t xml:space="preserve">دونه بنفسه و مر بتخلصه ترجمه فی (مجن 5- ص 109 و 283) و یأتی واهبی‏</w:t>
      </w:r>
    </w:p>
    <w:p>
      <w:pPr>
        <w:pStyle w:val="Heading3"/>
      </w:pPr>
      <w:bookmarkStart w:id="6449" w:name="_Toc5145"/>
      <w:r>
        <w:t>4877- دیوان المیر عبد الوهاب الشیرازی‏</w:t>
      </w:r>
      <w:bookmarkEnd w:id="6449"/>
    </w:p>
    <w:p>
      <w:pPr>
        <w:pStyle w:val="BookText"/>
      </w:pPr>
      <w:r>
        <w:rPr>
          <w:rFonts w:ascii="IRNazanin" w:hAnsi="IRNazanin" w:eastAsia="IRNazanin" w:cs="IRNazanin"/>
          <w:lang w:bidi="fa-IR"/>
          <w:color w:val="111111"/>
          <w:sz w:val="28"/>
          <w:szCs w:val="28"/>
          <w:rtl/>
        </w:rPr>
        <w:t xml:space="preserve">من سادات الأنجو بشیراز ترجمه النصرآبادی فی (نر 9- ص 85) و أورد شعره، و کذا فی (روشن 441) و قال یعرف میر مجنون‏</w:t>
      </w:r>
    </w:p>
    <w:p>
      <w:pPr>
        <w:pStyle w:val="Heading3"/>
      </w:pPr>
      <w:bookmarkStart w:id="6450" w:name="_Toc5146"/>
      <w:r>
        <w:t>4878- دیوان القاضی عبد الوهاب‏</w:t>
      </w:r>
      <w:bookmarkEnd w:id="6450"/>
    </w:p>
    <w:p>
      <w:pPr>
        <w:pStyle w:val="BookText"/>
      </w:pPr>
      <w:r>
        <w:rPr>
          <w:rFonts w:ascii="IRNazanin" w:hAnsi="IRNazanin" w:eastAsia="IRNazanin" w:cs="IRNazanin"/>
          <w:lang w:bidi="fa-IR"/>
          <w:color w:val="111111"/>
          <w:sz w:val="28"/>
          <w:szCs w:val="28"/>
          <w:rtl/>
        </w:rPr>
        <w:t xml:space="preserve">قاضی المشهد و المدفون بها و لم یکن له نظیر فی الإنشاء ذکر بداهته فی المقلوب المستوی، مثل براید یا رب ذکره فی (مجن 2 ص 26 و 201)</w:t>
      </w:r>
    </w:p>
    <w:p>
      <w:pPr>
        <w:pStyle w:val="Heading3"/>
      </w:pPr>
      <w:bookmarkStart w:id="6451" w:name="_Toc5147"/>
      <w:r>
        <w:t>دیوان عبد الوهاب یزدی‏</w:t>
      </w:r>
      <w:bookmarkEnd w:id="6451"/>
    </w:p>
    <w:p>
      <w:pPr>
        <w:pStyle w:val="BookText"/>
      </w:pPr>
      <w:r>
        <w:rPr>
          <w:rFonts w:ascii="IRNazanin" w:hAnsi="IRNazanin" w:eastAsia="IRNazanin" w:cs="IRNazanin"/>
          <w:lang w:bidi="fa-IR"/>
          <w:color w:val="111111"/>
          <w:sz w:val="28"/>
          <w:szCs w:val="28"/>
          <w:rtl/>
        </w:rPr>
        <w:t xml:space="preserve">ابن محمد علی بن هاشم زرگر أصفهانی طبع له فرهنگ خداپرستی نظما فی 1281 و 1327 بطهران فی 307 ص یأتی بتخلصه محرم‏</w:t>
      </w:r>
    </w:p>
    <w:p>
      <w:pPr>
        <w:pStyle w:val="Heading3"/>
      </w:pPr>
      <w:bookmarkStart w:id="6452" w:name="_Toc5148"/>
      <w:r>
        <w:t>4879- دیوان السید عبد الهادی الشیرازی أو شعره‏</w:t>
      </w:r>
      <w:bookmarkEnd w:id="6452"/>
    </w:p>
    <w:p>
      <w:pPr>
        <w:pStyle w:val="BookText"/>
      </w:pPr>
      <w:r>
        <w:rPr>
          <w:rFonts w:ascii="IRNazanin" w:hAnsi="IRNazanin" w:eastAsia="IRNazanin" w:cs="IRNazanin"/>
          <w:lang w:bidi="fa-IR"/>
          <w:color w:val="111111"/>
          <w:sz w:val="28"/>
          <w:szCs w:val="28"/>
          <w:rtl/>
        </w:rPr>
        <w:t xml:space="preserve">و هو ابن المیرزا إسماعیل الحسینی الشیرازی النجفی المولود فی سنة وفاه أبیه و هی سنة 1305 و کان والده مع تفقهه فی الدین شاعرا ماهرا فی اللغتین الفارسیة و العربیة طبع بعض شعرهما</w:t>
      </w:r>
    </w:p>
    <w:p>
      <w:pPr>
        <w:pStyle w:val="Heading3"/>
      </w:pPr>
      <w:bookmarkStart w:id="6453" w:name="_Toc5149"/>
      <w:r>
        <w:t>4880- دیوان السید عبد الهادی العطار</w:t>
      </w:r>
      <w:bookmarkEnd w:id="6453"/>
    </w:p>
    <w:p>
      <w:pPr>
        <w:pStyle w:val="BookText"/>
      </w:pPr>
      <w:r>
        <w:rPr>
          <w:rFonts w:ascii="IRNazanin" w:hAnsi="IRNazanin" w:eastAsia="IRNazanin" w:cs="IRNazanin"/>
          <w:lang w:bidi="fa-IR"/>
          <w:color w:val="111111"/>
          <w:sz w:val="28"/>
          <w:szCs w:val="28"/>
          <w:rtl/>
        </w:rPr>
        <w:t xml:space="preserve">المعروف بالقطان ابن السید جواد بن السید مهدی بن السید هاشم بن محمد بن السید عطیة الموسوی المولود بالنجف 1325 هو ثلاثة أجزاء 1 المواهب الموسویة 2 الخواطر الموسویة 3 النفحات الموسویة و له الدرة الغراء فی سلسلة نسبه ذکر فی ج 8 ص 103 و تحتوی دواوینه الثلاثة علی ألف و مائتین بیت‏</w:t>
      </w:r>
    </w:p>
    <w:p>
      <w:pPr>
        <w:pStyle w:val="Heading3"/>
      </w:pPr>
      <w:bookmarkStart w:id="6454" w:name="_Toc5150"/>
      <w:r>
        <w:t>4881- دیوان الشیخ عبد الهادی الصنعانی‏</w:t>
      </w:r>
      <w:bookmarkEnd w:id="6454"/>
    </w:p>
    <w:p>
      <w:pPr>
        <w:pStyle w:val="BookText"/>
      </w:pPr>
      <w:r>
        <w:rPr>
          <w:rFonts w:ascii="IRNazanin" w:hAnsi="IRNazanin" w:eastAsia="IRNazanin" w:cs="IRNazanin"/>
          <w:lang w:bidi="fa-IR"/>
          <w:color w:val="111111"/>
          <w:sz w:val="28"/>
          <w:szCs w:val="28"/>
          <w:rtl/>
        </w:rPr>
        <w:t xml:space="preserve">ابن محمد السودی الزیدی، معاصر الإمام شرف الدین الذی مات 995 ترجمه فی نسمة السحر و أورد شعره‏</w:t>
      </w:r>
    </w:p>
    <w:p>
      <w:pPr>
        <w:pStyle w:val="Heading3"/>
      </w:pPr>
      <w:bookmarkStart w:id="6455" w:name="_Toc5151"/>
      <w:r>
        <w:t>دیوان عبد الهادی النحوی‏</w:t>
      </w:r>
      <w:bookmarkEnd w:id="6455"/>
    </w:p>
    <w:p>
      <w:pPr>
        <w:pStyle w:val="BookText"/>
      </w:pPr>
      <w:r>
        <w:rPr>
          <w:rFonts w:ascii="IRNazanin" w:hAnsi="IRNazanin" w:eastAsia="IRNazanin" w:cs="IRNazanin"/>
          <w:lang w:bidi="fa-IR"/>
          <w:color w:val="111111"/>
          <w:sz w:val="28"/>
          <w:szCs w:val="28"/>
          <w:rtl/>
        </w:rPr>
        <w:t xml:space="preserve">یأتی بعنوان هادی فی حرف الهاء کما هو مشهور به‏</w:t>
      </w:r>
    </w:p>
    <w:p>
      <w:pPr>
        <w:pStyle w:val="Heading3"/>
      </w:pPr>
      <w:bookmarkStart w:id="6456" w:name="_Toc5152"/>
      <w:r>
        <w:t>4882- دیوان العبدی أو شعره‏</w:t>
      </w:r>
      <w:bookmarkEnd w:id="6456"/>
    </w:p>
    <w:p>
      <w:pPr>
        <w:pStyle w:val="BookText"/>
      </w:pPr>
      <w:r>
        <w:rPr>
          <w:rFonts w:ascii="IRNazanin" w:hAnsi="IRNazanin" w:eastAsia="IRNazanin" w:cs="IRNazanin"/>
          <w:lang w:bidi="fa-IR"/>
          <w:color w:val="111111"/>
          <w:sz w:val="28"/>
          <w:szCs w:val="28"/>
          <w:rtl/>
        </w:rPr>
        <w:t xml:space="preserve">و هو أبو أسماء عده ابن شهرآشوب فی شعراء الشیعة فی المعالم- ص 139</w:t>
      </w:r>
    </w:p>
    <w:p>
      <w:pPr>
        <w:pStyle w:val="Heading3"/>
      </w:pPr>
      <w:bookmarkStart w:id="6457" w:name="_Toc5153"/>
      <w:r>
        <w:t>4883- دیوان العبدی أبی عبد الله أو شعره‏</w:t>
      </w:r>
      <w:bookmarkEnd w:id="6457"/>
    </w:p>
    <w:p>
      <w:pPr>
        <w:pStyle w:val="BookText"/>
      </w:pPr>
      <w:r>
        <w:rPr>
          <w:rFonts w:ascii="IRNazanin" w:hAnsi="IRNazanin" w:eastAsia="IRNazanin" w:cs="IRNazanin"/>
          <w:lang w:bidi="fa-IR"/>
          <w:color w:val="111111"/>
          <w:sz w:val="28"/>
          <w:szCs w:val="28"/>
          <w:rtl/>
        </w:rPr>
        <w:t xml:space="preserve">و هو سفیان بن مصعب الکوفی من أصحاب الصادق ذکره کذلک ابن شهرآشوب فی المعالم- ص 139 و أورد شعره فی المناقب و نقل عن الصادق ع إیصائه بتعلیم أشعار العبدی للأطفال‏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bookmarkStart w:id="697" w:name="pg11704_122180"/>
    <w:bookmarkEnd w:id="697"/>
    <w:p>
      <w:pPr>
        <w:pStyle w:val="Heading3"/>
      </w:pPr>
      <w:bookmarkStart w:id="6458" w:name="_Toc5154"/>
      <w:r>
        <w:t>دیوان العبدی‏</w:t>
      </w:r>
      <w:bookmarkEnd w:id="6458"/>
    </w:p>
    <w:p>
      <w:pPr>
        <w:pStyle w:val="BookText"/>
      </w:pPr>
      <w:r>
        <w:rPr>
          <w:rFonts w:ascii="IRNazanin" w:hAnsi="IRNazanin" w:eastAsia="IRNazanin" w:cs="IRNazanin"/>
          <w:lang w:bidi="fa-IR"/>
          <w:color w:val="111111"/>
          <w:sz w:val="28"/>
          <w:szCs w:val="28"/>
          <w:rtl/>
        </w:rPr>
        <w:t xml:space="preserve">راجع المطرق العبدی، و ابن حماد</w:t>
      </w:r>
    </w:p>
    <w:p>
      <w:pPr>
        <w:pStyle w:val="Heading3"/>
      </w:pPr>
      <w:bookmarkStart w:id="6459" w:name="_Toc5155"/>
      <w:r>
        <w:t>4884- دیوان عبدی أصفهانی‏</w:t>
      </w:r>
      <w:bookmarkEnd w:id="6459"/>
    </w:p>
    <w:p>
      <w:pPr>
        <w:pStyle w:val="BookText"/>
      </w:pPr>
      <w:r>
        <w:rPr>
          <w:rFonts w:ascii="IRNazanin" w:hAnsi="IRNazanin" w:eastAsia="IRNazanin" w:cs="IRNazanin"/>
          <w:lang w:bidi="fa-IR"/>
          <w:color w:val="111111"/>
          <w:sz w:val="28"/>
          <w:szCs w:val="28"/>
          <w:rtl/>
        </w:rPr>
        <w:t xml:space="preserve">هو المیرزا عبد الله بن المیر محمد علی طبعی قال فی (روشن- 442) إن له مثنوی باسم آدم و پری نظمه باسم الشاه طهماسب الصفوی‏</w:t>
      </w:r>
    </w:p>
    <w:p>
      <w:pPr>
        <w:pStyle w:val="Heading3"/>
      </w:pPr>
      <w:bookmarkStart w:id="6460" w:name="_Toc5156"/>
      <w:r>
        <w:t>4885- دیوان عبدی أصفهانی‏</w:t>
      </w:r>
      <w:bookmarkEnd w:id="6460"/>
    </w:p>
    <w:p>
      <w:pPr>
        <w:pStyle w:val="BookText"/>
      </w:pPr>
      <w:r>
        <w:rPr>
          <w:rFonts w:ascii="IRNazanin" w:hAnsi="IRNazanin" w:eastAsia="IRNazanin" w:cs="IRNazanin"/>
          <w:lang w:bidi="fa-IR"/>
          <w:color w:val="111111"/>
          <w:sz w:val="28"/>
          <w:szCs w:val="28"/>
          <w:rtl/>
        </w:rPr>
        <w:t xml:space="preserve">و هو المیر عبد الحسین الأصفهانی طبع دیوانه بأصفهان 1368 فی 104 ص باسم درر المصائب و مات 1372 عن خمس و سبعین سنة ترجمه فی شعراء أصفهان ص 330</w:t>
      </w:r>
    </w:p>
    <w:p>
      <w:pPr>
        <w:pStyle w:val="Heading3"/>
      </w:pPr>
      <w:bookmarkStart w:id="6461" w:name="_Toc5157"/>
      <w:r>
        <w:t>دیوان مولانا عبدی الجنابذی‏</w:t>
      </w:r>
      <w:bookmarkEnd w:id="6461"/>
    </w:p>
    <w:p>
      <w:pPr>
        <w:pStyle w:val="BookText"/>
      </w:pPr>
      <w:r>
        <w:rPr>
          <w:rFonts w:ascii="IRNazanin" w:hAnsi="IRNazanin" w:eastAsia="IRNazanin" w:cs="IRNazanin"/>
          <w:lang w:bidi="fa-IR"/>
          <w:color w:val="111111"/>
          <w:sz w:val="28"/>
          <w:szCs w:val="28"/>
          <w:rtl/>
        </w:rPr>
        <w:t xml:space="preserve">ترجمه فی (خص 8- ص 184) و أورد شعره راجع عبدی گنابادی‏</w:t>
      </w:r>
    </w:p>
    <w:p>
      <w:pPr>
        <w:pStyle w:val="Heading3"/>
      </w:pPr>
      <w:bookmarkStart w:id="6462" w:name="_Toc5158"/>
      <w:r>
        <w:t>4886- دیوان مولانا عبدی رازی أو شعره‏</w:t>
      </w:r>
      <w:bookmarkEnd w:id="6462"/>
    </w:p>
    <w:p>
      <w:pPr>
        <w:pStyle w:val="BookText"/>
      </w:pPr>
      <w:r>
        <w:rPr>
          <w:rFonts w:ascii="IRNazanin" w:hAnsi="IRNazanin" w:eastAsia="IRNazanin" w:cs="IRNazanin"/>
          <w:lang w:bidi="fa-IR"/>
          <w:color w:val="111111"/>
          <w:sz w:val="28"/>
          <w:szCs w:val="28"/>
          <w:rtl/>
        </w:rPr>
        <w:t xml:space="preserve">کان معاصر سام میرزا ترجمه فی (تس 5 ص 161) و أورد شعره و (طبق 2- ص 499)</w:t>
      </w:r>
    </w:p>
    <w:p>
      <w:pPr>
        <w:pStyle w:val="Heading3"/>
      </w:pPr>
      <w:bookmarkStart w:id="6463" w:name="_Toc5159"/>
      <w:r>
        <w:t>دیوان عبدی شیرازی‏</w:t>
      </w:r>
      <w:bookmarkEnd w:id="6463"/>
    </w:p>
    <w:p>
      <w:pPr>
        <w:pStyle w:val="BookText"/>
      </w:pPr>
      <w:r>
        <w:rPr>
          <w:rFonts w:ascii="IRNazanin" w:hAnsi="IRNazanin" w:eastAsia="IRNazanin" w:cs="IRNazanin"/>
          <w:lang w:bidi="fa-IR"/>
          <w:color w:val="111111"/>
          <w:sz w:val="28"/>
          <w:szCs w:val="28"/>
          <w:rtl/>
        </w:rPr>
        <w:t xml:space="preserve">اثنان، أحدهما یتخلص نویدی مفرده نویس یأتی فی النون و مر فی (7: 263) و الآخر یتخلص صابر و یلقب دنبة مر فی ص 573</w:t>
      </w:r>
    </w:p>
    <w:p>
      <w:pPr>
        <w:pStyle w:val="Heading3"/>
      </w:pPr>
      <w:bookmarkStart w:id="6464" w:name="_Toc5160"/>
      <w:r>
        <w:t>4887- دیوان عبدی شیروانی أو شعره‏</w:t>
      </w:r>
      <w:bookmarkEnd w:id="6464"/>
    </w:p>
    <w:p>
      <w:pPr>
        <w:pStyle w:val="BookText"/>
      </w:pPr>
      <w:r>
        <w:rPr>
          <w:rFonts w:ascii="IRNazanin" w:hAnsi="IRNazanin" w:eastAsia="IRNazanin" w:cs="IRNazanin"/>
          <w:lang w:bidi="fa-IR"/>
          <w:color w:val="111111"/>
          <w:sz w:val="28"/>
          <w:szCs w:val="28"/>
          <w:rtl/>
        </w:rPr>
        <w:t xml:space="preserve">تتبع أهلی شیرازی فی الغزل و کان ماهرا فی الشطرنج و مات 975 عن أربعین سنة کذا فی (دجا- ص 268)</w:t>
      </w:r>
    </w:p>
    <w:p>
      <w:pPr>
        <w:pStyle w:val="Heading3"/>
      </w:pPr>
      <w:bookmarkStart w:id="6465" w:name="_Toc5161"/>
      <w:r>
        <w:t>4888- دیوان عبدی گنابادی‏</w:t>
      </w:r>
      <w:bookmarkEnd w:id="6465"/>
    </w:p>
    <w:p>
      <w:pPr>
        <w:pStyle w:val="BookText"/>
      </w:pPr>
      <w:r>
        <w:rPr>
          <w:rFonts w:ascii="IRNazanin" w:hAnsi="IRNazanin" w:eastAsia="IRNazanin" w:cs="IRNazanin"/>
          <w:lang w:bidi="fa-IR"/>
          <w:color w:val="111111"/>
          <w:sz w:val="28"/>
          <w:szCs w:val="28"/>
          <w:rtl/>
        </w:rPr>
        <w:t xml:space="preserve">مصاحب جاهی صفوی له مثنوی گوهر شاهوار ترجمه و أورد شعره فی (خص 8- 184) و (گلشن- 277) و (تغ 87)</w:t>
      </w:r>
    </w:p>
    <w:p>
      <w:pPr>
        <w:pStyle w:val="Heading3"/>
      </w:pPr>
      <w:bookmarkStart w:id="6466" w:name="_Toc5162"/>
      <w:r>
        <w:t>دیوان عبدی قلندر النیشابوری‏</w:t>
      </w:r>
      <w:bookmarkEnd w:id="6466"/>
    </w:p>
    <w:p>
      <w:pPr>
        <w:pStyle w:val="BookText"/>
      </w:pPr>
      <w:r>
        <w:rPr>
          <w:rFonts w:ascii="IRNazanin" w:hAnsi="IRNazanin" w:eastAsia="IRNazanin" w:cs="IRNazanin"/>
          <w:lang w:bidi="fa-IR"/>
          <w:color w:val="111111"/>
          <w:sz w:val="28"/>
          <w:szCs w:val="28"/>
          <w:rtl/>
        </w:rPr>
        <w:t xml:space="preserve">راجع عبدی نیشابوری‏</w:t>
      </w:r>
    </w:p>
    <w:p>
      <w:pPr>
        <w:pStyle w:val="Heading3"/>
      </w:pPr>
      <w:bookmarkStart w:id="6467" w:name="_Toc5163"/>
      <w:r>
        <w:t>4889- دیوان عبدی گیلانی أو شعره‏</w:t>
      </w:r>
      <w:bookmarkEnd w:id="6467"/>
    </w:p>
    <w:p>
      <w:pPr>
        <w:pStyle w:val="BookText"/>
      </w:pPr>
      <w:r>
        <w:rPr>
          <w:rFonts w:ascii="IRNazanin" w:hAnsi="IRNazanin" w:eastAsia="IRNazanin" w:cs="IRNazanin"/>
          <w:lang w:bidi="fa-IR"/>
          <w:color w:val="111111"/>
          <w:sz w:val="28"/>
          <w:szCs w:val="28"/>
          <w:rtl/>
        </w:rPr>
        <w:t xml:space="preserve">ترجمه معاصره سام میرزا فی (تس 5- ص 149) و أورد شعره و کذا (گلشن- ص 277) و (علمای گیلان ص 85)</w:t>
      </w:r>
    </w:p>
    <w:p>
      <w:pPr>
        <w:pStyle w:val="Heading3"/>
      </w:pPr>
      <w:bookmarkStart w:id="6468" w:name="_Toc5164"/>
      <w:r>
        <w:t>4890- دیوان عبدی نیشابوری أو شعره‏</w:t>
      </w:r>
      <w:bookmarkEnd w:id="6468"/>
    </w:p>
    <w:p>
      <w:pPr>
        <w:pStyle w:val="BookText"/>
      </w:pPr>
      <w:r>
        <w:rPr>
          <w:rFonts w:ascii="IRNazanin" w:hAnsi="IRNazanin" w:eastAsia="IRNazanin" w:cs="IRNazanin"/>
          <w:lang w:bidi="fa-IR"/>
          <w:color w:val="111111"/>
          <w:sz w:val="28"/>
          <w:szCs w:val="28"/>
          <w:rtl/>
        </w:rPr>
        <w:t xml:space="preserve">و هو الخطاط بالتعلیق، و خال شاه محمود الخطاط، و أستاذه فی الخط قال فی (تس 4- 81) تلمذ فی الخط علی سلطان علی مشهدی و مات فی هذه السنین (سنة التألیف 957) و کذا فی روضة الصفا و قال سنگلاخ فی امتحان الفضلاء 1: 97 إنه تلمذ فی الخط علی ذی الکمالین محمد باقر والد المیر علی الهروی المتوفی 976 و کان حیا حین ترجمه فی (مجتس 5- ص 148)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bookmarkStart w:id="698" w:name="pg11704_122181"/>
    <w:bookmarkEnd w:id="698"/>
    <w:p>
      <w:pPr>
        <w:pStyle w:val="BookText"/>
      </w:pPr>
      <w:r>
        <w:rPr>
          <w:rFonts w:ascii="IRNazanin" w:hAnsi="IRNazanin" w:eastAsia="IRNazanin" w:cs="IRNazanin"/>
          <w:lang w:bidi="fa-IR"/>
          <w:color w:val="111111"/>
          <w:sz w:val="28"/>
          <w:szCs w:val="28"/>
          <w:rtl/>
        </w:rPr>
        <w:t xml:space="preserve">بعنوان عبدی قلندر</w:t>
      </w:r>
    </w:p>
    <w:p>
      <w:pPr>
        <w:pStyle w:val="Heading3"/>
      </w:pPr>
      <w:bookmarkStart w:id="6469" w:name="_Toc5165"/>
      <w:r>
        <w:t>4891- دیوان عبدی نیشابوری أو شعره‏</w:t>
      </w:r>
      <w:bookmarkEnd w:id="6469"/>
    </w:p>
    <w:p>
      <w:pPr>
        <w:pStyle w:val="BookText"/>
      </w:pPr>
      <w:r>
        <w:rPr>
          <w:rFonts w:ascii="IRNazanin" w:hAnsi="IRNazanin" w:eastAsia="IRNazanin" w:cs="IRNazanin"/>
          <w:lang w:bidi="fa-IR"/>
          <w:color w:val="111111"/>
          <w:sz w:val="28"/>
          <w:szCs w:val="28"/>
          <w:rtl/>
        </w:rPr>
        <w:t xml:space="preserve">مداح الأئمة ع أورد شعره فی (تس 5- ص 176)</w:t>
      </w:r>
    </w:p>
    <w:p>
      <w:pPr>
        <w:pStyle w:val="Heading3"/>
      </w:pPr>
      <w:bookmarkStart w:id="6470" w:name="_Toc5166"/>
      <w:r>
        <w:t>4892- دیوان عبدی یزدی‏</w:t>
      </w:r>
      <w:bookmarkEnd w:id="6470"/>
    </w:p>
    <w:p>
      <w:pPr>
        <w:pStyle w:val="BookText"/>
      </w:pPr>
      <w:r>
        <w:rPr>
          <w:rFonts w:ascii="IRNazanin" w:hAnsi="IRNazanin" w:eastAsia="IRNazanin" w:cs="IRNazanin"/>
          <w:lang w:bidi="fa-IR"/>
          <w:color w:val="111111"/>
          <w:sz w:val="28"/>
          <w:szCs w:val="28"/>
          <w:rtl/>
        </w:rPr>
        <w:t xml:space="preserve">و اسمه عبد علی ترجمه و أورد شعره فی (تش یز- ص 308) قال: و له مثنوی فی قبال مخزن الأسرار</w:t>
      </w:r>
    </w:p>
    <w:p>
      <w:pPr>
        <w:pStyle w:val="Heading3"/>
      </w:pPr>
      <w:bookmarkStart w:id="6471" w:name="_Toc5167"/>
      <w:r>
        <w:t>4893- دیوان عبرت قاجار</w:t>
      </w:r>
      <w:bookmarkEnd w:id="6471"/>
    </w:p>
    <w:p>
      <w:pPr>
        <w:pStyle w:val="BookText"/>
      </w:pPr>
      <w:r>
        <w:rPr>
          <w:rFonts w:ascii="IRNazanin" w:hAnsi="IRNazanin" w:eastAsia="IRNazanin" w:cs="IRNazanin"/>
          <w:lang w:bidi="fa-IR"/>
          <w:color w:val="111111"/>
          <w:sz w:val="28"/>
          <w:szCs w:val="28"/>
          <w:rtl/>
        </w:rPr>
        <w:t xml:space="preserve">هو عبد العلی بن معتمد الدولة فرهاد میرزا تلمذ علی المیرزا محمد علی القائنی و المیرزا محمد رضا القمشه‏إی کما فی (المآثر: 191) رأیت نسخه من شرح فصوص الحکم تألیف الجامی، و هبة المولی لطف الله أمین الإسلام بن فتح الله شیخ الإسلام لهذا الشاعر فی 22 ع 2- 1285 فکتب الشاعر علی ظهره قصة رؤیا رآه فی 10 ذی القعدة 1300 و عبر عن نفسه بخادم الفقراء النعمةاللهیة عبد علی‏</w:t>
      </w:r>
    </w:p>
    <w:p>
      <w:pPr>
        <w:pStyle w:val="Heading3"/>
      </w:pPr>
      <w:bookmarkStart w:id="6472" w:name="_Toc5168"/>
      <w:r>
        <w:t>4894- دیوان عبرت نائنی‏</w:t>
      </w:r>
      <w:bookmarkEnd w:id="6472"/>
    </w:p>
    <w:p>
      <w:pPr>
        <w:pStyle w:val="BookText"/>
      </w:pPr>
      <w:r>
        <w:rPr>
          <w:rFonts w:ascii="IRNazanin" w:hAnsi="IRNazanin" w:eastAsia="IRNazanin" w:cs="IRNazanin"/>
          <w:lang w:bidi="fa-IR"/>
          <w:color w:val="111111"/>
          <w:sz w:val="28"/>
          <w:szCs w:val="28"/>
          <w:rtl/>
        </w:rPr>
        <w:t xml:space="preserve">و هو المیرزا محمد علی المصاحبی الملقب عارف علی بن عبد الخالق بن حبیب الله بن علی أکبر بن یوسف بن حسن بن محمد جعفر بن نظام الدین حسینا المعروف بمصاحب النائنی ولد بأصفهان فی رمضان 1285 و خرج منها فی 1304 و رجع إلیها فی 1321 ثم تزوج فی نائین و خرج إلی طهران و کان بها إلی أن مات فی ذی الحجة 1361 و دفن فی امام‏زاده</w:t>
      </w:r>
    </w:p>
    <w:p>
      <w:pPr>
        <w:pStyle w:val="BookText"/>
      </w:pPr>
      <w:r>
        <w:rPr>
          <w:rFonts w:ascii="IRNazanin" w:hAnsi="IRNazanin" w:eastAsia="IRNazanin" w:cs="IRNazanin"/>
          <w:lang w:bidi="fa-IR"/>
          <w:color w:val="111111"/>
          <w:sz w:val="28"/>
          <w:szCs w:val="28"/>
          <w:rtl/>
        </w:rPr>
        <w:t xml:space="preserve">عبد الله. مهر فی الشعر و الخط و سلک طریق العرفان و التصوف. و طبع منتخب دیوانه بطهران فی 1313 ش. فی 93 ص.</w:t>
      </w:r>
    </w:p>
    <w:p>
      <w:pPr>
        <w:pStyle w:val="BookText"/>
      </w:pPr>
      <w:r>
        <w:rPr>
          <w:rFonts w:ascii="IRNazanin" w:hAnsi="IRNazanin" w:eastAsia="IRNazanin" w:cs="IRNazanin"/>
          <w:lang w:bidi="fa-IR"/>
          <w:color w:val="111111"/>
          <w:sz w:val="28"/>
          <w:szCs w:val="28"/>
          <w:rtl/>
        </w:rPr>
        <w:t xml:space="preserve">ترجمه ایزد گشسب فی نامه سخنوران. ص 160 و تاریخ نائین. ص 193، و شعرای معاصر أصفهان. ص 331. و له مدینة الأدب أو نامه فرهنگیان یشتمل علی تراجم 35 شاعرا مع أشعارهم. و هو الذی جمع دیوان السید علی ابن الحسین الأخوی الموجود فی (المجلس) کما فی فهرسها 3: 692. کما سیجی‏ء.</w:t>
      </w:r>
    </w:p>
    <w:p>
      <w:pPr>
        <w:pStyle w:val="Heading3"/>
      </w:pPr>
      <w:bookmarkStart w:id="6473" w:name="_Toc5169"/>
      <w:r>
        <w:t>4895- دیوان عبرت هندی أو شعره‏</w:t>
      </w:r>
      <w:bookmarkEnd w:id="6473"/>
    </w:p>
    <w:p>
      <w:pPr>
        <w:pStyle w:val="BookText"/>
      </w:pPr>
      <w:r>
        <w:rPr>
          <w:rFonts w:ascii="IRNazanin" w:hAnsi="IRNazanin" w:eastAsia="IRNazanin" w:cs="IRNazanin"/>
          <w:lang w:bidi="fa-IR"/>
          <w:color w:val="111111"/>
          <w:sz w:val="28"/>
          <w:szCs w:val="28"/>
          <w:rtl/>
        </w:rPr>
        <w:t xml:space="preserve">و اسمه أحمد. کان ماهرا فی الموسیقی، و تلمذ فی الشعر علی بیدل. و کان یتخلص مفتون ثم بدله إلی عبرت ترجمه و أورد شعره فی (خیال- ص 290- 291) و سماه فی (حسینی- ص 224) بمحمد علی عبرت.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bookmarkStart w:id="699" w:name="pg11704_122182"/>
    <w:bookmarkEnd w:id="699"/>
    <w:p>
      <w:pPr>
        <w:pStyle w:val="Heading3"/>
      </w:pPr>
      <w:bookmarkStart w:id="6474" w:name="_Toc5170"/>
      <w:r>
        <w:t>4896- دیوان عبقری أو شعره‏</w:t>
      </w:r>
      <w:bookmarkEnd w:id="6474"/>
    </w:p>
    <w:p>
      <w:pPr>
        <w:pStyle w:val="BookText"/>
      </w:pPr>
      <w:r>
        <w:rPr>
          <w:rFonts w:ascii="IRNazanin" w:hAnsi="IRNazanin" w:eastAsia="IRNazanin" w:cs="IRNazanin"/>
          <w:lang w:bidi="fa-IR"/>
          <w:color w:val="111111"/>
          <w:sz w:val="28"/>
          <w:szCs w:val="28"/>
          <w:rtl/>
        </w:rPr>
        <w:t xml:space="preserve">و هو الأمیر خیزی التبریزی من شعراء القرن الثالث عشر. حکی ترجمته عن حدیقة الشعراء فی (دجا- ص 269).</w:t>
      </w:r>
    </w:p>
    <w:p>
      <w:pPr>
        <w:pStyle w:val="Heading3"/>
      </w:pPr>
      <w:bookmarkStart w:id="6475" w:name="_Toc5171"/>
      <w:r>
        <w:t>4897- دیوان عبهری أو شعره‏</w:t>
      </w:r>
      <w:bookmarkEnd w:id="6475"/>
    </w:p>
    <w:p>
      <w:pPr>
        <w:pStyle w:val="BookText"/>
      </w:pPr>
      <w:r>
        <w:rPr>
          <w:rFonts w:ascii="IRNazanin" w:hAnsi="IRNazanin" w:eastAsia="IRNazanin" w:cs="IRNazanin"/>
          <w:lang w:bidi="fa-IR"/>
          <w:color w:val="111111"/>
          <w:sz w:val="28"/>
          <w:szCs w:val="28"/>
          <w:rtl/>
        </w:rPr>
        <w:t xml:space="preserve">و اسمه الحکیم عبد المجید الغزنوی معاصر الحکیم سنائی و أدیب صابر و غیرهما. ترجمه فی (مع- ج 1- ص 337) و أورد نیفا و عشرین من شعره. و کذا فی (گلستان مسرت- ص 252).</w:t>
      </w:r>
    </w:p>
    <w:p>
      <w:pPr>
        <w:pStyle w:val="Heading3"/>
      </w:pPr>
      <w:bookmarkStart w:id="6476" w:name="_Toc5172"/>
      <w:r>
        <w:t>4898- دیوان عبید زاکانی‏</w:t>
      </w:r>
      <w:bookmarkEnd w:id="6476"/>
    </w:p>
    <w:p>
      <w:pPr>
        <w:pStyle w:val="BookText"/>
      </w:pPr>
      <w:r>
        <w:rPr>
          <w:rFonts w:ascii="IRNazanin" w:hAnsi="IRNazanin" w:eastAsia="IRNazanin" w:cs="IRNazanin"/>
          <w:lang w:bidi="fa-IR"/>
          <w:color w:val="111111"/>
          <w:sz w:val="28"/>
          <w:szCs w:val="28"/>
          <w:rtl/>
        </w:rPr>
        <w:t xml:space="preserve">الشاعر المنشی الکاتب الظریف النقاد القزوینی. ترجمه فی ریاض العلماء، قال و شهرة ظرافته أخرجته من دیوان العلماء و هزلیاته بالفارسیة عندنا منه قطعة، و له دیوان شعر أیضا. انتهی کلام الریاض. و حکی فیه أیضا عن کتاب رجال المولی فرج الله الحویزی أن زاکان بالزای اسم قبیلة من العرب سکنوا فی قزوین و فی تاریخ گزیده للمستوفی (ص 845 و 846) أورد منشورا ینسبونه إلی النبی ص کتبه لأحد أجدادهم. أما هو فاسمه نظام الدین عبید الله الزاکانی. سافر من قزوین إلی شیراز و تمکن عند شاه أبو إسحاق إینجو و رجع إلی قزوین، و تولی القضاء بها و توفی 771 کما فی شاهد صادق أو (750) کما فی (تغ 88) و کان لا یرومه أعمال الأعیان و اضطهاد الأشراف للطبقة الدانیة، فأخذ فی الانتقاد عن أخلاقهم و کتب فیها رسائل کثیرة مثل أخلاق الأشراف ألفه 740 و دلگشا و صد پند ألفه 750 و تعریفات أو ده فصل فی اصطلاحات أهل</w:t>
      </w:r>
    </w:p>
    <w:p>
      <w:pPr>
        <w:pStyle w:val="BookText"/>
      </w:pPr>
      <w:r>
        <w:rPr>
          <w:rFonts w:ascii="IRNazanin" w:hAnsi="IRNazanin" w:eastAsia="IRNazanin" w:cs="IRNazanin"/>
          <w:lang w:bidi="fa-IR"/>
          <w:color w:val="111111"/>
          <w:sz w:val="28"/>
          <w:szCs w:val="28"/>
          <w:rtl/>
        </w:rPr>
        <w:t xml:space="preserve">زمانه، و ریش‏نامه و عشاق‏نامه و فال‏نامه و أشهر من الکل موش و گربه کما یأتی. و له مهاجاة مع سلمان ساوجی ثم تصالحا، و کذلک مع غیره. طبع کلیات هزله بأستانبول مع مقدمه لمیرزا حبیب الأصفهانی و فرته الإفرنسی. و طبع له سنگ تراش و عشاق‏نامه مع مقدمه النفیسی فی 1314 ش. فی 48 ص. صغیرة. و طبع کلیات دیوانه وحید الدستگردی مع مقدمه لإقبال الآشتیانی فی 1321 ش. فی 147 ص. ثم بتصحیح پرویز أتابکی فی 1337 ش.</w:t>
      </w:r>
    </w:p>
    <w:p>
      <w:pPr>
        <w:pStyle w:val="BookText"/>
      </w:pPr>
      <w:r>
        <w:rPr>
          <w:rFonts w:ascii="IRNazanin" w:hAnsi="IRNazanin" w:eastAsia="IRNazanin" w:cs="IRNazanin"/>
          <w:lang w:bidi="fa-IR"/>
          <w:color w:val="111111"/>
          <w:sz w:val="28"/>
          <w:szCs w:val="28"/>
          <w:rtl/>
        </w:rPr>
        <w:t xml:space="preserve">فی 383 ص. ترجمه فی خیال ص 54 و تش- ص 227 و (حسینی- ص 211) و (روشن 443) و (براون- 3: 263- 286) و تاریخ مغول لإقبال. ص 550.</w:t>
      </w:r>
    </w:p>
    <w:p>
      <w:pPr>
        <w:pStyle w:val="Heading3"/>
      </w:pPr>
      <w:bookmarkStart w:id="6477" w:name="_Toc5173"/>
      <w:r>
        <w:t>4899- دیوان قاضی القضاة عبید الله‏</w:t>
      </w:r>
      <w:bookmarkEnd w:id="6477"/>
    </w:p>
    <w:p>
      <w:pPr>
        <w:pStyle w:val="BookText"/>
      </w:pPr>
      <w:r>
        <w:rPr>
          <w:rFonts w:ascii="IRNazanin" w:hAnsi="IRNazanin" w:eastAsia="IRNazanin" w:cs="IRNazanin"/>
          <w:lang w:bidi="fa-IR"/>
          <w:color w:val="111111"/>
          <w:sz w:val="28"/>
          <w:szCs w:val="28"/>
          <w:rtl/>
        </w:rPr>
        <w:t xml:space="preserve">ابن أحمد بن معروف، قاضی بغداد المولود 306 و المتوفی 381 و کان مجردا فی الاعتزال، صلی علیه فی داره أبو أحمد الموسوی‏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bookmarkStart w:id="700" w:name="pg11704_122183"/>
    <w:bookmarkEnd w:id="700"/>
    <w:p>
      <w:pPr>
        <w:pStyle w:val="BookText"/>
      </w:pPr>
      <w:r>
        <w:rPr>
          <w:rFonts w:ascii="IRNazanin" w:hAnsi="IRNazanin" w:eastAsia="IRNazanin" w:cs="IRNazanin"/>
          <w:lang w:bidi="fa-IR"/>
          <w:color w:val="111111"/>
          <w:sz w:val="28"/>
          <w:szCs w:val="28"/>
          <w:rtl/>
        </w:rPr>
        <w:t xml:space="preserve">والد الشریفین المرتضی و الرضی، و کبر علیه خمس تکبیرات، ثم حمل إلی جامع المنصور و صلی علیه ابنه بأربع تکبیرات. ترجمه فی تاریخ بغداد ج 10 ص 365 و أورد شعره.</w:t>
      </w:r>
    </w:p>
    <w:p>
      <w:pPr>
        <w:pStyle w:val="BookText"/>
      </w:pPr>
      <w:r>
        <w:rPr>
          <w:rFonts w:ascii="IRNazanin" w:hAnsi="IRNazanin" w:eastAsia="IRNazanin" w:cs="IRNazanin"/>
          <w:lang w:bidi="fa-IR"/>
          <w:color w:val="111111"/>
          <w:sz w:val="28"/>
          <w:szCs w:val="28"/>
          <w:rtl/>
        </w:rPr>
        <w:t xml:space="preserve">و ترجمه فی نسمة السحر أیضا.</w:t>
      </w:r>
    </w:p>
    <w:p>
      <w:pPr>
        <w:pStyle w:val="Heading3"/>
      </w:pPr>
      <w:bookmarkStart w:id="6478" w:name="_Toc5174"/>
      <w:r>
        <w:t>دیوان أبی أحمد عبید الله‏</w:t>
      </w:r>
      <w:bookmarkEnd w:id="6478"/>
    </w:p>
    <w:p>
      <w:pPr>
        <w:pStyle w:val="BookText"/>
      </w:pPr>
      <w:r>
        <w:rPr>
          <w:rFonts w:ascii="IRNazanin" w:hAnsi="IRNazanin" w:eastAsia="IRNazanin" w:cs="IRNazanin"/>
          <w:lang w:bidi="fa-IR"/>
          <w:color w:val="111111"/>
          <w:sz w:val="28"/>
          <w:szCs w:val="28"/>
          <w:rtl/>
        </w:rPr>
        <w:t xml:space="preserve">ابن عبد الله بن أجل الملوک طاهر بن حسین بن مصعب بن ذریق بن ماهان الخزاعی البغدادی المولود 220 و المتوفی 300 ترجمه فی نسمة السحر و أورد شعره.</w:t>
      </w:r>
    </w:p>
    <w:p>
      <w:pPr>
        <w:pStyle w:val="Heading3"/>
      </w:pPr>
      <w:bookmarkStart w:id="6479" w:name="_Toc5175"/>
      <w:r>
        <w:t>4900- دیوان عتابی گلپایگانی أو شعره‏</w:t>
      </w:r>
      <w:bookmarkEnd w:id="6479"/>
    </w:p>
    <w:p>
      <w:pPr>
        <w:pStyle w:val="BookText"/>
      </w:pPr>
      <w:r>
        <w:rPr>
          <w:rFonts w:ascii="IRNazanin" w:hAnsi="IRNazanin" w:eastAsia="IRNazanin" w:cs="IRNazanin"/>
          <w:lang w:bidi="fa-IR"/>
          <w:color w:val="111111"/>
          <w:sz w:val="28"/>
          <w:szCs w:val="28"/>
          <w:rtl/>
        </w:rPr>
        <w:t xml:space="preserve">و هو المیر السید محمد، تلمیذ حضوری القمی. ذهب إلی الهند و تقرب عند عادل شاه، ثم سجنه سبعة سنین، ثم أفرج عنه و حج البیت. أورد شعره فی (هفت. ص 133) و (تش- ص 207).</w:t>
      </w:r>
    </w:p>
    <w:p>
      <w:pPr>
        <w:pStyle w:val="Heading3"/>
      </w:pPr>
      <w:bookmarkStart w:id="6480" w:name="_Toc5176"/>
      <w:r>
        <w:t>4901- دیوان عتیقی تبریزی أو شعره‏</w:t>
      </w:r>
      <w:bookmarkEnd w:id="6480"/>
    </w:p>
    <w:p>
      <w:pPr>
        <w:pStyle w:val="BookText"/>
      </w:pPr>
      <w:r>
        <w:rPr>
          <w:rFonts w:ascii="IRNazanin" w:hAnsi="IRNazanin" w:eastAsia="IRNazanin" w:cs="IRNazanin"/>
          <w:lang w:bidi="fa-IR"/>
          <w:color w:val="111111"/>
          <w:sz w:val="28"/>
          <w:szCs w:val="28"/>
          <w:rtl/>
        </w:rPr>
        <w:t xml:space="preserve">و هو قطب الدین التبریزی والد جلال الدین و معاصر الخواجة رشید الدین الهمدانی المتوفی 718 ترجمه فی (مع- ج 1 ص 338) و أورد شعره.</w:t>
      </w:r>
    </w:p>
    <w:p>
      <w:pPr>
        <w:pStyle w:val="Heading3"/>
      </w:pPr>
      <w:bookmarkStart w:id="6481" w:name="_Toc5177"/>
      <w:r>
        <w:t>4902- دیوان عتیقی سمرقندی‏</w:t>
      </w:r>
      <w:bookmarkEnd w:id="6481"/>
    </w:p>
    <w:p>
      <w:pPr>
        <w:pStyle w:val="BookText"/>
      </w:pPr>
      <w:r>
        <w:rPr>
          <w:rFonts w:ascii="IRNazanin" w:hAnsi="IRNazanin" w:eastAsia="IRNazanin" w:cs="IRNazanin"/>
          <w:lang w:bidi="fa-IR"/>
          <w:color w:val="111111"/>
          <w:sz w:val="28"/>
          <w:szCs w:val="28"/>
          <w:rtl/>
        </w:rPr>
        <w:t xml:space="preserve">و هو ملک الأفاضل جلال الدین بن قطب الدین التبریزی المتوفی 741 ترجمه فی (دجا- ص 269) و أورد بعض مثنویة نقلا عن عرفات العاشقین و روضات الجنان و غیرهما. و نقل تقریظه الفارسی لتفسیر الخواجة رشید الدین الوزیر الذی توفی 718 مطابق قوله (طاب ثراه) و هذا التفسیر قرظه مائتا فاضل فی عصره. و قال إن نسخه دیوانه الکبیر المؤرخة 744 رأیتها فی مکتبة الفاتح بأستانبول قبل خمس و عشرین سنة. و قال سنگلاخ فی امتحان الفضلاء (1: 256- 292) إنه رأی نسختین من قصائده أحدهما بخط خلیل قلندر هروی، و الثانی بخط إبراهیم بن المیر عماد. و ترجمه معاصره المستوفی فی تاریخ گزیده. ص 817 و فی (بهش 1- ص 329). و فی (تش- ص 335) قال إنه تلمیذ رشید الوطواط، و لیس بصحیح و لعله أراد الخواجة رشید الهمدانی کما ذکر.</w:t>
      </w:r>
    </w:p>
    <w:p>
      <w:pPr>
        <w:pStyle w:val="Heading3"/>
      </w:pPr>
      <w:bookmarkStart w:id="6482" w:name="_Toc5178"/>
      <w:r>
        <w:t>4903- دیوان عتیقی شروانی أو شعره‏</w:t>
      </w:r>
      <w:bookmarkEnd w:id="6482"/>
    </w:p>
    <w:p>
      <w:pPr>
        <w:pStyle w:val="BookText"/>
      </w:pPr>
      <w:r>
        <w:rPr>
          <w:rFonts w:ascii="IRNazanin" w:hAnsi="IRNazanin" w:eastAsia="IRNazanin" w:cs="IRNazanin"/>
          <w:lang w:bidi="fa-IR"/>
          <w:color w:val="111111"/>
          <w:sz w:val="28"/>
          <w:szCs w:val="28"/>
          <w:rtl/>
        </w:rPr>
        <w:t xml:space="preserve">ذو اللسانین المولود بشماخی، معاصر صادقی ترجمه فی (خص 8- ص 243) و أورد شعره الفارسی و الترکی.</w:t>
      </w:r>
    </w:p>
    <w:p>
      <w:pPr>
        <w:pStyle w:val="Heading3"/>
      </w:pPr>
      <w:bookmarkStart w:id="6483" w:name="_Toc5179"/>
      <w:r>
        <w:t>4904- دیوان عتیقی شروانی أو شعره‏</w:t>
      </w:r>
      <w:bookmarkEnd w:id="6483"/>
    </w:p>
    <w:p>
      <w:pPr>
        <w:pStyle w:val="BookText"/>
      </w:pPr>
      <w:r>
        <w:rPr>
          <w:rFonts w:ascii="IRNazanin" w:hAnsi="IRNazanin" w:eastAsia="IRNazanin" w:cs="IRNazanin"/>
          <w:lang w:bidi="fa-IR"/>
          <w:color w:val="111111"/>
          <w:sz w:val="28"/>
          <w:szCs w:val="28"/>
          <w:rtl/>
        </w:rPr>
        <w:t xml:space="preserve">من قلندریة البکتاشیة، نزیل بغداد فی‏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701" w:name="pg11704_122184"/>
    <w:bookmarkEnd w:id="701"/>
    <w:p>
      <w:pPr>
        <w:pStyle w:val="BookText"/>
      </w:pPr>
      <w:r>
        <w:rPr>
          <w:rFonts w:ascii="IRNazanin" w:hAnsi="IRNazanin" w:eastAsia="IRNazanin" w:cs="IRNazanin"/>
          <w:lang w:bidi="fa-IR"/>
          <w:color w:val="111111"/>
          <w:sz w:val="28"/>
          <w:szCs w:val="28"/>
          <w:rtl/>
        </w:rPr>
        <w:t xml:space="preserve">أیام محمد علی تربیت، کما ذکره فی (دجا- ص 271) و أورد بیتین له.</w:t>
      </w:r>
    </w:p>
    <w:p>
      <w:pPr>
        <w:pStyle w:val="Heading3"/>
      </w:pPr>
      <w:bookmarkStart w:id="6484" w:name="_Toc5180"/>
      <w:r>
        <w:t>4905- دیوان عجائب و غرائب‏</w:t>
      </w:r>
      <w:bookmarkEnd w:id="6484"/>
    </w:p>
    <w:p>
      <w:pPr>
        <w:pStyle w:val="BookText"/>
      </w:pPr>
      <w:r>
        <w:rPr>
          <w:rFonts w:ascii="IRNazanin" w:hAnsi="IRNazanin" w:eastAsia="IRNazanin" w:cs="IRNazanin"/>
          <w:lang w:bidi="fa-IR"/>
          <w:color w:val="111111"/>
          <w:sz w:val="28"/>
          <w:szCs w:val="28"/>
          <w:rtl/>
        </w:rPr>
        <w:t xml:space="preserve">لأمجد علی بالفارسیة و الأردویة. طبع باکرة (الهند) فی 1266 فی 148 ص.</w:t>
      </w:r>
    </w:p>
    <w:p>
      <w:pPr>
        <w:pStyle w:val="Heading3"/>
      </w:pPr>
      <w:bookmarkStart w:id="6485" w:name="_Toc5181"/>
      <w:r>
        <w:t>4906- دیوان عجزی‏</w:t>
      </w:r>
      <w:bookmarkEnd w:id="6485"/>
    </w:p>
    <w:p>
      <w:pPr>
        <w:pStyle w:val="BookText"/>
      </w:pPr>
      <w:r>
        <w:rPr>
          <w:rFonts w:ascii="IRNazanin" w:hAnsi="IRNazanin" w:eastAsia="IRNazanin" w:cs="IRNazanin"/>
          <w:lang w:bidi="fa-IR"/>
          <w:color w:val="111111"/>
          <w:sz w:val="28"/>
          <w:szCs w:val="28"/>
          <w:rtl/>
        </w:rPr>
        <w:t xml:space="preserve">اسمه حسن بیک التبریزی معاصر صادقی ترجمه فی (حض 8 ص 190) و أورد فی (تش- ص 31) بعض مطالع غزلیاته و رباعیاته و حکی فی (دجا ص 271). عن خلاصة الأشعار أن دیوان عجزی فی الجواب عن دیوان بابا فغانی و ترجمه فی (تغ 88) و فی عالم‏آرا- ص 516 [353] ذکر قصته مع الشاه عباس فی الإسطبل بقزوین.</w:t>
      </w:r>
    </w:p>
    <w:p>
      <w:pPr>
        <w:pStyle w:val="Heading3"/>
      </w:pPr>
      <w:bookmarkStart w:id="6486" w:name="_Toc5182"/>
      <w:r>
        <w:t>دیوان عجزی یزدی‏</w:t>
      </w:r>
      <w:bookmarkEnd w:id="6486"/>
    </w:p>
    <w:p>
      <w:pPr>
        <w:pStyle w:val="BookText"/>
      </w:pPr>
      <w:r>
        <w:rPr>
          <w:rFonts w:ascii="IRNazanin" w:hAnsi="IRNazanin" w:eastAsia="IRNazanin" w:cs="IRNazanin"/>
          <w:lang w:bidi="fa-IR"/>
          <w:color w:val="111111"/>
          <w:sz w:val="28"/>
          <w:szCs w:val="28"/>
          <w:rtl/>
        </w:rPr>
        <w:t xml:space="preserve">معاصر شاه أبو تراب القاضی نزل إلی أصفهان شاکیا عن عمال یزد و لم یعد، فسکن بها و اشتغل بالصیاغة، و ذکر رباعیة فی هجاء شاه أبو تراب. و ذکره فی (نر 9- ص 306) بعنوان ملا عصری و أورد الرباعیة مستزادا. فراجع عذری و عصری.</w:t>
      </w:r>
    </w:p>
    <w:p>
      <w:pPr>
        <w:pStyle w:val="Heading3"/>
      </w:pPr>
      <w:bookmarkStart w:id="6487" w:name="_Toc5183"/>
      <w:r>
        <w:t>4907- دیوان عجیب مازندرانی‏</w:t>
      </w:r>
      <w:bookmarkEnd w:id="6487"/>
    </w:p>
    <w:p>
      <w:pPr>
        <w:pStyle w:val="BookText"/>
      </w:pPr>
      <w:r>
        <w:rPr>
          <w:rFonts w:ascii="IRNazanin" w:hAnsi="IRNazanin" w:eastAsia="IRNazanin" w:cs="IRNazanin"/>
          <w:lang w:bidi="fa-IR"/>
          <w:color w:val="111111"/>
          <w:sz w:val="28"/>
          <w:szCs w:val="28"/>
          <w:rtl/>
        </w:rPr>
        <w:t xml:space="preserve">اسمه محمد خلیل. هاجر إلی طهران مع أبیه فی عصر محمد شاه قاجار و ترقی أمره و صار من شعراء السلطان ناصر الدین شاه ترجمه فی (مع- ج 2 ص 350) و أورد کثیرا من شعر دیوانه الذی جمعه بنفسه و فی المآثر- ص 206 أنه أخذ تخلصه بأمر من محمد شاه.</w:t>
      </w:r>
    </w:p>
    <w:p>
      <w:pPr>
        <w:pStyle w:val="Heading3"/>
      </w:pPr>
      <w:bookmarkStart w:id="6488" w:name="_Toc5184"/>
      <w:r>
        <w:t>4908- دیوان عجیبی جرجانی‏</w:t>
      </w:r>
      <w:bookmarkEnd w:id="6488"/>
    </w:p>
    <w:p>
      <w:pPr>
        <w:pStyle w:val="BookText"/>
      </w:pPr>
      <w:r>
        <w:rPr>
          <w:rFonts w:ascii="IRNazanin" w:hAnsi="IRNazanin" w:eastAsia="IRNazanin" w:cs="IRNazanin"/>
          <w:lang w:bidi="fa-IR"/>
          <w:color w:val="111111"/>
          <w:sz w:val="28"/>
          <w:szCs w:val="28"/>
          <w:rtl/>
        </w:rPr>
        <w:t xml:space="preserve">اسمه شمس الدین محمد، معاصر الحکیم سنائی ترجمه فی (تش- ص 154) و (لب 11) و (مع- ج 1 ص 337) و أوردوا شعره. و أورد النصرآبادی بعض شعره فی وصف التفاح فی (نر 14- ص 492) و رأی سنگلاخ دیوانه بخط ملا معروف کما فی امتحان الفضلاء- 1: 173 و ترجمه فی (تغ 88) و (روشن 445) و فی (نر 14 ص 492) سماه جوزجانی.</w:t>
      </w:r>
    </w:p>
    <w:p>
      <w:pPr>
        <w:pStyle w:val="Heading3"/>
      </w:pPr>
      <w:bookmarkStart w:id="6489" w:name="_Toc5185"/>
      <w:r>
        <w:t>4909- دیوان السید عدنان‏</w:t>
      </w:r>
      <w:bookmarkEnd w:id="6489"/>
    </w:p>
    <w:p>
      <w:pPr>
        <w:pStyle w:val="BookText"/>
      </w:pPr>
      <w:r>
        <w:rPr>
          <w:rFonts w:ascii="IRNazanin" w:hAnsi="IRNazanin" w:eastAsia="IRNazanin" w:cs="IRNazanin"/>
          <w:lang w:bidi="fa-IR"/>
          <w:color w:val="111111"/>
          <w:sz w:val="28"/>
          <w:szCs w:val="28"/>
          <w:rtl/>
        </w:rPr>
        <w:t xml:space="preserve">ابن السید شبر بن علی بن محمد بن علی بن أحمد بن هاشم بن علوی عتیق الحسین بن السید حسین الغریفی البحرانی. ولد بالبصرة 1283 و مات أبوه و هو صغیر فرباه خاله السید سلمان برعایة والدته، و هاجر من المحمرة (خرمشهر) إلی النجف و له أربعة عشر عاما، و بقی فی النجف یشتغل علی العلماء، عمه السید علی والد السید مهدی البحرانی و المیرزا حبیب الله و الشیخ محمد طاها و السید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bookmarkStart w:id="702" w:name="pg11704_122185"/>
    <w:bookmarkEnd w:id="702"/>
    <w:p>
      <w:pPr>
        <w:pStyle w:val="BookText"/>
      </w:pPr>
      <w:r>
        <w:rPr>
          <w:rFonts w:ascii="IRNazanin" w:hAnsi="IRNazanin" w:eastAsia="IRNazanin" w:cs="IRNazanin"/>
          <w:lang w:bidi="fa-IR"/>
          <w:color w:val="111111"/>
          <w:sz w:val="28"/>
          <w:szCs w:val="28"/>
          <w:rtl/>
        </w:rPr>
        <w:t xml:space="preserve">محمد سعید الحبوبی، و تلمذ علیه السید ناصر الأحسائی و الخطیب السید صالح الحلی.</w:t>
      </w:r>
    </w:p>
    <w:p>
      <w:pPr>
        <w:pStyle w:val="BookText"/>
      </w:pPr>
      <w:r>
        <w:rPr>
          <w:rFonts w:ascii="IRNazanin" w:hAnsi="IRNazanin" w:eastAsia="IRNazanin" w:cs="IRNazanin"/>
          <w:lang w:bidi="fa-IR"/>
          <w:color w:val="111111"/>
          <w:sz w:val="28"/>
          <w:szCs w:val="28"/>
          <w:rtl/>
        </w:rPr>
        <w:t xml:space="preserve">و أخصهم به الشیخ عیسی بن الشیخ ناصر الخاقانی القائم مقامه و وصیه و قیم أولاده الصغار، علی، حسن، محمد علی، شبیر. و له قبسة العجلان و حاشیة العروة و حاشیة القوانین و أرجوزة الحج و الأنساب المشجرة عند ولده السید حسن فی المحمرة.</w:t>
      </w:r>
    </w:p>
    <w:p>
      <w:pPr>
        <w:pStyle w:val="BookText"/>
      </w:pPr>
      <w:r>
        <w:rPr>
          <w:rFonts w:ascii="IRNazanin" w:hAnsi="IRNazanin" w:eastAsia="IRNazanin" w:cs="IRNazanin"/>
          <w:lang w:bidi="fa-IR"/>
          <w:color w:val="111111"/>
          <w:sz w:val="28"/>
          <w:szCs w:val="28"/>
          <w:rtl/>
        </w:rPr>
        <w:t xml:space="preserve">ترجمه الخاقانی فی دلیل الآثار المخطوطة قال و قد جمعت دیوانه من مختلف المجامیع المخطوطة تبلغ مائة و ستین صفحة، و فرغت من جمعه فی النجف 10 ذی القعدة 1361 و ترجمه تلمیذه و ابن عمه السید مهدی فی بعض إجازاته فذکر أنه ولد بالبصرة غرة ج 2 1283 و مات أبوه العالم المصنف بالبصرة 1288 قال إنه مرض بالاستسقاء بالبصرة فحمل إلی الکاظمیة مستشفیا و بها توفی (5 شعبان 1340) و حمل لیومه إلی النجف و دفن فی الحجرة علی یسار الداخل إلی الصحن الغروی من الباب السلطانی. و ذکر لنا حسین بن علی بن جواد محفوظ العاملی الکاظمی أنه أیضا جمع أشعاره فی مجلد کبیر و کتب فی أحواله النابغة البحرانی و مر له فی (2: 381) أنساب العرب.</w:t>
      </w:r>
    </w:p>
    <w:p>
      <w:pPr>
        <w:pStyle w:val="Heading3"/>
      </w:pPr>
      <w:bookmarkStart w:id="6490" w:name="_Toc5186"/>
      <w:r>
        <w:t>دیوان عذری‏</w:t>
      </w:r>
      <w:bookmarkEnd w:id="6490"/>
    </w:p>
    <w:p>
      <w:pPr>
        <w:pStyle w:val="BookText"/>
      </w:pPr>
      <w:r>
        <w:rPr>
          <w:rFonts w:ascii="IRNazanin" w:hAnsi="IRNazanin" w:eastAsia="IRNazanin" w:cs="IRNazanin"/>
          <w:lang w:bidi="fa-IR"/>
          <w:color w:val="111111"/>
          <w:sz w:val="28"/>
          <w:szCs w:val="28"/>
          <w:rtl/>
        </w:rPr>
        <w:t xml:space="preserve">کما سماه فی (تش- ص 31) و (روشن- ص 446) و عنه فی (دجا ص 272) أو عجزی کما فی (تش یز- ص 309) و الصحیح عصری کما فی (نر 9- ص 306).</w:t>
      </w:r>
    </w:p>
    <w:p>
      <w:pPr>
        <w:pStyle w:val="Heading3"/>
      </w:pPr>
      <w:bookmarkStart w:id="6491" w:name="_Toc5187"/>
      <w:r>
        <w:t>4910- دیوان عذری بیگدلی‏</w:t>
      </w:r>
      <w:bookmarkEnd w:id="6491"/>
    </w:p>
    <w:p>
      <w:pPr>
        <w:pStyle w:val="BookText"/>
      </w:pPr>
      <w:r>
        <w:rPr>
          <w:rFonts w:ascii="IRNazanin" w:hAnsi="IRNazanin" w:eastAsia="IRNazanin" w:cs="IRNazanin"/>
          <w:lang w:bidi="fa-IR"/>
          <w:color w:val="111111"/>
          <w:sz w:val="28"/>
          <w:szCs w:val="28"/>
          <w:rtl/>
        </w:rPr>
        <w:t xml:space="preserve">و اسمه إسحاق بیک أخ آذر البیگدلی المذکور فی (ص 10) له تذکره إسحاق بیک الموجود فی (سپهسالار) مکررا. و له تذکره أخری للشعراء رکب فیه غزلیات اشترک فیه شعراء متعددون. و مات بقم 1185 و قال صباحی فی تاریخه: [بادا در بهشت جاودان إسحاق بیک‏]. و ترجم فی (انجمن 4) و ریحانة الأدب و (مع 2: 345) و فهرس المجلس (3: 152).</w:t>
      </w:r>
    </w:p>
    <w:p>
      <w:pPr>
        <w:pStyle w:val="Heading3"/>
      </w:pPr>
      <w:bookmarkStart w:id="6492" w:name="_Toc5188"/>
      <w:r>
        <w:t>4911- دیوان عراقی همدانی‏</w:t>
      </w:r>
      <w:bookmarkEnd w:id="6492"/>
    </w:p>
    <w:p>
      <w:pPr>
        <w:pStyle w:val="BookText"/>
      </w:pPr>
      <w:r>
        <w:rPr>
          <w:rFonts w:ascii="IRNazanin" w:hAnsi="IRNazanin" w:eastAsia="IRNazanin" w:cs="IRNazanin"/>
          <w:lang w:bidi="fa-IR"/>
          <w:color w:val="111111"/>
          <w:sz w:val="28"/>
          <w:szCs w:val="28"/>
          <w:rtl/>
        </w:rPr>
        <w:t xml:space="preserve">هو فخر الدین إبراهیم بن شهریار و ابن أخت السهروردی. قال الجامی ولد بهمدان و حفظ القرآن فی صغره، و لما بلغ السبعة عشر سافر إلی الهند و تلمذ علی الشیخ بهاء الدین زکریا و تزوج ابنته فولدت له کبیر الدین.</w:t>
      </w:r>
    </w:p>
    <w:p>
      <w:pPr>
        <w:pStyle w:val="BookText"/>
      </w:pPr>
      <w:r>
        <w:rPr>
          <w:rFonts w:ascii="IRNazanin" w:hAnsi="IRNazanin" w:eastAsia="IRNazanin" w:cs="IRNazanin"/>
          <w:lang w:bidi="fa-IR"/>
          <w:color w:val="111111"/>
          <w:sz w:val="28"/>
          <w:szCs w:val="28"/>
          <w:rtl/>
        </w:rPr>
        <w:t xml:space="preserve">و جلس مکان بهاء الدین بعد موته، فطرده الملک ففر إلی مکة و جاء إلی قونیة و بها ألف اللمعات ثم ذهب إلی مصر و صار شیخ الشیوخ، و رجع إلی الشام فلحق به‏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bookmarkStart w:id="703" w:name="pg11704_122186"/>
    <w:bookmarkEnd w:id="703"/>
    <w:p>
      <w:pPr>
        <w:pStyle w:val="BookText"/>
      </w:pPr>
      <w:r>
        <w:rPr>
          <w:rFonts w:ascii="IRNazanin" w:hAnsi="IRNazanin" w:eastAsia="IRNazanin" w:cs="IRNazanin"/>
          <w:lang w:bidi="fa-IR"/>
          <w:color w:val="111111"/>
          <w:sz w:val="28"/>
          <w:szCs w:val="28"/>
          <w:rtl/>
        </w:rPr>
        <w:t xml:space="preserve">ولده کبیر الدین و لم یمض أکثر من ستة أشهر الا و مات بها فی ثامن ذی القعدة 688 و دفن بصالحیة دمشق. له غیر دیوان غزله، مثنوی عشاق‏نامه طبع 1357 ببمبئی فی عشرة فصول. أوله:</w:t>
      </w:r>
    </w:p>
    <w:p>
      <w:pPr>
        <w:pStyle w:val="BookText"/>
      </w:pPr>
      <w:r>
        <w:rPr>
          <w:rFonts w:ascii="IRNazanin" w:hAnsi="IRNazanin" w:eastAsia="IRNazanin" w:cs="IRNazanin"/>
          <w:lang w:bidi="fa-IR"/>
          <w:color w:val="111111"/>
          <w:sz w:val="28"/>
          <w:szCs w:val="28"/>
          <w:rtl/>
        </w:rPr>
        <w:t xml:space="preserve">هر که جان دارد و روان دارد</w:t>
      </w:r>
    </w:p>
    <w:p>
      <w:pPr>
        <w:pStyle w:val="BookText"/>
      </w:pPr>
      <w:r>
        <w:rPr>
          <w:rFonts w:ascii="IRNazanin" w:hAnsi="IRNazanin" w:eastAsia="IRNazanin" w:cs="IRNazanin"/>
          <w:lang w:bidi="fa-IR"/>
          <w:color w:val="111111"/>
          <w:sz w:val="28"/>
          <w:szCs w:val="28"/>
          <w:rtl/>
        </w:rPr>
        <w:t xml:space="preserve">واجب است آنکه درد جان دارد</w:t>
      </w:r>
    </w:p>
    <w:p>
      <w:pPr>
        <w:pStyle w:val="BookText"/>
      </w:pPr>
      <w:r>
        <w:rPr>
          <w:rFonts w:ascii="IRNazanin" w:hAnsi="IRNazanin" w:eastAsia="IRNazanin" w:cs="IRNazanin"/>
          <w:lang w:bidi="fa-IR"/>
          <w:color w:val="111111"/>
          <w:sz w:val="28"/>
          <w:szCs w:val="28"/>
          <w:rtl/>
        </w:rPr>
        <w:t xml:space="preserve">و طبع دیوانه بنولکشور 1909 م. فی 244 ص. و فیها ساقی‏نامه. و دخل رباعیاته فی سخنان أبو سعید أبو الخیر کما فی مقدمته ص 56. و توجد نسخه المخطوطة عند (الملک) و فی مکتبة جامعة طهران و غیرها. و ترجمه الجامی فی النفحات- ص 542 و (خیال- ص 71) و (تش- ص 256) و (حسینی- ص 203) و (میخانه ص 27- 49) و (براون- 3: 144) و ریحانة الأدب و گلستان مسرت- ص 386 و (مع 1: 339) و (تغ 88).</w:t>
      </w:r>
    </w:p>
    <w:p>
      <w:pPr>
        <w:pStyle w:val="Heading3"/>
      </w:pPr>
      <w:bookmarkStart w:id="6493" w:name="_Toc5189"/>
      <w:r>
        <w:t>دیوان عرب التبریزی‏</w:t>
      </w:r>
      <w:bookmarkEnd w:id="6493"/>
    </w:p>
    <w:p>
      <w:pPr>
        <w:pStyle w:val="BookText"/>
      </w:pPr>
      <w:r>
        <w:rPr>
          <w:rFonts w:ascii="IRNazanin" w:hAnsi="IRNazanin" w:eastAsia="IRNazanin" w:cs="IRNazanin"/>
          <w:lang w:bidi="fa-IR"/>
          <w:color w:val="111111"/>
          <w:sz w:val="28"/>
          <w:szCs w:val="28"/>
          <w:rtl/>
        </w:rPr>
        <w:t xml:space="preserve">التاجر نزیل عباس‏آباد أصفهان المتخلص ب ناصح ترجمه معاصره النصرآبادی فی (نر 5- ص 125) و أورد بعض شعره. یأتی فی النون.</w:t>
      </w:r>
    </w:p>
    <w:p>
      <w:pPr>
        <w:pStyle w:val="Heading3"/>
      </w:pPr>
      <w:bookmarkStart w:id="6494" w:name="_Toc5190"/>
      <w:r>
        <w:t>4912- دیوان عرب شیرازی أو شعره‏</w:t>
      </w:r>
      <w:bookmarkEnd w:id="6494"/>
    </w:p>
    <w:p>
      <w:pPr>
        <w:pStyle w:val="BookText"/>
      </w:pPr>
      <w:r>
        <w:rPr>
          <w:rFonts w:ascii="IRNazanin" w:hAnsi="IRNazanin" w:eastAsia="IRNazanin" w:cs="IRNazanin"/>
          <w:lang w:bidi="fa-IR"/>
          <w:color w:val="111111"/>
          <w:sz w:val="28"/>
          <w:szCs w:val="28"/>
          <w:rtl/>
        </w:rPr>
        <w:t xml:space="preserve">نزیل أصفهان و المتوفی أخیرا بالهند ترجمه معاصره النصرآبادی فی (نر 6- ص 203) و ذکر شعره، و عنه فی (گلشن. ص 278).</w:t>
      </w:r>
    </w:p>
    <w:p>
      <w:pPr>
        <w:pStyle w:val="Heading3"/>
      </w:pPr>
      <w:bookmarkStart w:id="6495" w:name="_Toc5191"/>
      <w:r>
        <w:t>4913- دیوان عرب آقا کرمانی‏</w:t>
      </w:r>
      <w:bookmarkEnd w:id="6495"/>
    </w:p>
    <w:p>
      <w:pPr>
        <w:pStyle w:val="BookText"/>
      </w:pPr>
      <w:r>
        <w:rPr>
          <w:rFonts w:ascii="IRNazanin" w:hAnsi="IRNazanin" w:eastAsia="IRNazanin" w:cs="IRNazanin"/>
          <w:lang w:bidi="fa-IR"/>
          <w:color w:val="111111"/>
          <w:sz w:val="28"/>
          <w:szCs w:val="28"/>
          <w:rtl/>
        </w:rPr>
        <w:t xml:space="preserve">ترجمه النصرآبادی فی (نر 5- ص 148) و ذکر أنه توفی قریبا و أورد ما نقل عنه من الشعر، و عنه فی (گلشن- ص 278).</w:t>
      </w:r>
    </w:p>
    <w:p>
      <w:pPr>
        <w:pStyle w:val="Heading3"/>
      </w:pPr>
      <w:bookmarkStart w:id="6496" w:name="_Toc5192"/>
      <w:r>
        <w:t>4914- دیوان عرشی أکبرآبادی‏</w:t>
      </w:r>
      <w:bookmarkEnd w:id="6496"/>
    </w:p>
    <w:p>
      <w:pPr>
        <w:pStyle w:val="BookText"/>
      </w:pPr>
      <w:r>
        <w:rPr>
          <w:rFonts w:ascii="IRNazanin" w:hAnsi="IRNazanin" w:eastAsia="IRNazanin" w:cs="IRNazanin"/>
          <w:lang w:bidi="fa-IR"/>
          <w:color w:val="111111"/>
          <w:sz w:val="28"/>
          <w:szCs w:val="28"/>
          <w:rtl/>
        </w:rPr>
        <w:t xml:space="preserve">و اسمه محمد مؤمن بن عبد الله الملقب مشکین رقم کان کوالده خطاطا. نصب معلما لسلیمان بن دارا شکوه بدهلی، و مات بها فی 1091 عن تسعین سنة. له دیوان موجود و منظومة. شاهد عرشی و مهر و وفا ترجمه فی (گلشن 229) و عنه فی القاموس الترکی و عنه فی الریحانة. و جاء تاریخ وفاته 1091 فی گلستان مسرت- ص 397:</w:t>
      </w:r>
    </w:p>
    <w:p>
      <w:pPr>
        <w:pStyle w:val="BookText"/>
      </w:pPr>
      <w:r>
        <w:rPr>
          <w:rFonts w:ascii="IRNazanin" w:hAnsi="IRNazanin" w:eastAsia="IRNazanin" w:cs="IRNazanin"/>
          <w:lang w:bidi="fa-IR"/>
          <w:color w:val="111111"/>
          <w:sz w:val="28"/>
          <w:szCs w:val="28"/>
          <w:rtl/>
        </w:rPr>
        <w:t xml:space="preserve">چو پرسند سال وصالش بجان‏</w:t>
      </w:r>
    </w:p>
    <w:p>
      <w:pPr>
        <w:pStyle w:val="BookText"/>
      </w:pPr>
      <w:r>
        <w:rPr>
          <w:rFonts w:ascii="IRNazanin" w:hAnsi="IRNazanin" w:eastAsia="IRNazanin" w:cs="IRNazanin"/>
          <w:lang w:bidi="fa-IR"/>
          <w:color w:val="111111"/>
          <w:sz w:val="28"/>
          <w:szCs w:val="28"/>
          <w:rtl/>
        </w:rPr>
        <w:t xml:space="preserve">بگو سید عرشیان میر مؤمن‏</w:t>
      </w:r>
    </w:p>
    <w:p>
      <w:pPr>
        <w:pStyle w:val="Heading3"/>
      </w:pPr>
      <w:bookmarkStart w:id="6497" w:name="_Toc5193"/>
      <w:r>
        <w:t>دیوان عرشی تکلو</w:t>
      </w:r>
      <w:bookmarkEnd w:id="6497"/>
    </w:p>
    <w:p>
      <w:pPr>
        <w:pStyle w:val="BookText"/>
      </w:pPr>
      <w:r>
        <w:rPr>
          <w:rFonts w:ascii="IRNazanin" w:hAnsi="IRNazanin" w:eastAsia="IRNazanin" w:cs="IRNazanin"/>
          <w:lang w:bidi="fa-IR"/>
          <w:color w:val="111111"/>
          <w:sz w:val="28"/>
          <w:szCs w:val="28"/>
          <w:rtl/>
        </w:rPr>
        <w:t xml:space="preserve">راجع عرشی تبریزی.</w:t>
      </w:r>
    </w:p>
    <w:p>
      <w:pPr>
        <w:pStyle w:val="Heading3"/>
      </w:pPr>
      <w:bookmarkStart w:id="6498" w:name="_Toc5194"/>
      <w:r>
        <w:t>4915- دیوان عرشی تبریزی‏</w:t>
      </w:r>
      <w:bookmarkEnd w:id="6498"/>
    </w:p>
    <w:p>
      <w:pPr>
        <w:pStyle w:val="BookText"/>
      </w:pPr>
      <w:r>
        <w:rPr>
          <w:rFonts w:ascii="IRNazanin" w:hAnsi="IRNazanin" w:eastAsia="IRNazanin" w:cs="IRNazanin"/>
          <w:lang w:bidi="fa-IR"/>
          <w:color w:val="111111"/>
          <w:sz w:val="28"/>
          <w:szCs w:val="28"/>
          <w:rtl/>
        </w:rPr>
        <w:t xml:space="preserve">اسمه طهماسب قلی بیک تکلو. قال الصادقی فی (خص 4 ص 61) إنه یسکن یزد. و فی (تش- ص 18) أنه کان یتخلص عهدی فبدله‏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bookmarkStart w:id="704" w:name="pg11704_122187"/>
    <w:bookmarkEnd w:id="704"/>
    <w:p>
      <w:pPr>
        <w:pStyle w:val="BookText"/>
      </w:pPr>
      <w:r>
        <w:rPr>
          <w:rFonts w:ascii="IRNazanin" w:hAnsi="IRNazanin" w:eastAsia="IRNazanin" w:cs="IRNazanin"/>
          <w:lang w:bidi="fa-IR"/>
          <w:color w:val="111111"/>
          <w:sz w:val="28"/>
          <w:szCs w:val="28"/>
          <w:rtl/>
        </w:rPr>
        <w:t xml:space="preserve">عرشی و أورد شعره. و قال النصرآبادی فی (نر 9- ص 266) إنه تبریزی. و دیوانه یقرب من عشرة، آلاف بیت، فیه قصائد فی مدح میر میران و أورد بعض أشعاره. راجع عرشی یزدی.</w:t>
      </w:r>
    </w:p>
    <w:p>
      <w:pPr>
        <w:pStyle w:val="Heading3"/>
      </w:pPr>
      <w:bookmarkStart w:id="6499" w:name="_Toc5195"/>
      <w:r>
        <w:t>دیوان عرشی یزدی‏</w:t>
      </w:r>
      <w:bookmarkEnd w:id="6499"/>
    </w:p>
    <w:p>
      <w:pPr>
        <w:pStyle w:val="BookText"/>
      </w:pPr>
      <w:r>
        <w:rPr>
          <w:rFonts w:ascii="IRNazanin" w:hAnsi="IRNazanin" w:eastAsia="IRNazanin" w:cs="IRNazanin"/>
          <w:lang w:bidi="fa-IR"/>
          <w:color w:val="111111"/>
          <w:sz w:val="28"/>
          <w:szCs w:val="28"/>
          <w:rtl/>
        </w:rPr>
        <w:t xml:space="preserve">ترجمه آیتی فی (تش- ص 309) و أورد له البیت المذکور فی (نر 9 ص 266) لعرشی تبریزی، و هو:</w:t>
      </w:r>
    </w:p>
    <w:p>
      <w:pPr>
        <w:pStyle w:val="BookText"/>
      </w:pPr>
      <w:r>
        <w:rPr>
          <w:rFonts w:ascii="IRNazanin" w:hAnsi="IRNazanin" w:eastAsia="IRNazanin" w:cs="IRNazanin"/>
          <w:lang w:bidi="fa-IR"/>
          <w:color w:val="111111"/>
          <w:sz w:val="28"/>
          <w:szCs w:val="28"/>
          <w:rtl/>
        </w:rPr>
        <w:t xml:space="preserve">تخم دیگر بکف آریم و بکاریم ز نو</w:t>
      </w:r>
    </w:p>
    <w:p>
      <w:pPr>
        <w:pStyle w:val="BookText"/>
      </w:pPr>
      <w:r>
        <w:rPr>
          <w:rFonts w:ascii="IRNazanin" w:hAnsi="IRNazanin" w:eastAsia="IRNazanin" w:cs="IRNazanin"/>
          <w:lang w:bidi="fa-IR"/>
          <w:color w:val="111111"/>
          <w:sz w:val="28"/>
          <w:szCs w:val="28"/>
          <w:rtl/>
        </w:rPr>
        <w:t xml:space="preserve">کانچه کشتیم ز خجلت نتوان کرد درو</w:t>
      </w:r>
    </w:p>
    <w:p>
      <w:pPr>
        <w:pStyle w:val="BookText"/>
      </w:pPr>
      <w:r>
        <w:rPr>
          <w:rFonts w:ascii="IRNazanin" w:hAnsi="IRNazanin" w:eastAsia="IRNazanin" w:cs="IRNazanin"/>
          <w:lang w:bidi="fa-IR"/>
          <w:color w:val="111111"/>
          <w:sz w:val="28"/>
          <w:szCs w:val="28"/>
          <w:rtl/>
        </w:rPr>
        <w:t xml:space="preserve">قال آیتی: و لما قرأ البیت علی میرزا عبد الله بن عرشی خرج عبد الله من لیلته مع رحلة إلی بلاد الهند و بها توفی، و ذلک من شده خجلة. و لعله الذی ذکره الصادقی. و عبد الله بن عرشی مر ذکره فی (ص 698) و ترجم فی (گلشن- ص 279) و (تغ 88) أیضا.</w:t>
      </w:r>
    </w:p>
    <w:p>
      <w:pPr>
        <w:pStyle w:val="Heading3"/>
      </w:pPr>
      <w:bookmarkStart w:id="6500" w:name="_Toc5196"/>
      <w:r>
        <w:t>4916- دیوان عرفان أصفهانی أو شعره‏</w:t>
      </w:r>
      <w:bookmarkEnd w:id="6500"/>
    </w:p>
    <w:p>
      <w:pPr>
        <w:pStyle w:val="BookText"/>
      </w:pPr>
      <w:r>
        <w:rPr>
          <w:rFonts w:ascii="IRNazanin" w:hAnsi="IRNazanin" w:eastAsia="IRNazanin" w:cs="IRNazanin"/>
          <w:lang w:bidi="fa-IR"/>
          <w:color w:val="111111"/>
          <w:sz w:val="28"/>
          <w:szCs w:val="28"/>
          <w:rtl/>
        </w:rPr>
        <w:t xml:space="preserve">و اسمه قدیرا. ترجمه و أورد شعره فی (گلشن- ص 280).</w:t>
      </w:r>
    </w:p>
    <w:p>
      <w:pPr>
        <w:pStyle w:val="Heading3"/>
      </w:pPr>
      <w:bookmarkStart w:id="6501" w:name="_Toc5197"/>
      <w:r>
        <w:t>4917- دیوان عرفان الشهرستانی‏</w:t>
      </w:r>
      <w:bookmarkEnd w:id="6501"/>
    </w:p>
    <w:p>
      <w:pPr>
        <w:pStyle w:val="BookText"/>
      </w:pPr>
      <w:r>
        <w:rPr>
          <w:rFonts w:ascii="IRNazanin" w:hAnsi="IRNazanin" w:eastAsia="IRNazanin" w:cs="IRNazanin"/>
          <w:lang w:bidi="fa-IR"/>
          <w:color w:val="111111"/>
          <w:sz w:val="28"/>
          <w:szCs w:val="28"/>
          <w:rtl/>
        </w:rPr>
        <w:t xml:space="preserve">اسمه المیرزا عبد الله بن المیرزا علاء الدین محمد الشهرستانی. کان والده ابن أخت الشاه عباس، أعماهما الشاه صفی. ترجمه فی (مع- ج 1 ص 40) و أورد شعره. و ترجمه النصرآبادی فی (نر 1- ص 13) بعنوان اسمه کما مر و کذا فی (روشن- 447).</w:t>
      </w:r>
    </w:p>
    <w:p>
      <w:pPr>
        <w:pStyle w:val="Heading3"/>
      </w:pPr>
      <w:bookmarkStart w:id="6502" w:name="_Toc5198"/>
      <w:r>
        <w:t>4918- دیوان میر عرفان الطهرانی‏</w:t>
      </w:r>
      <w:bookmarkEnd w:id="6502"/>
    </w:p>
    <w:p>
      <w:pPr>
        <w:pStyle w:val="BookText"/>
      </w:pPr>
      <w:r>
        <w:rPr>
          <w:rFonts w:ascii="IRNazanin" w:hAnsi="IRNazanin" w:eastAsia="IRNazanin" w:cs="IRNazanin"/>
          <w:lang w:bidi="fa-IR"/>
          <w:color w:val="111111"/>
          <w:sz w:val="28"/>
          <w:szCs w:val="28"/>
          <w:rtl/>
        </w:rPr>
        <w:t xml:space="preserve">احتمل النصرآبادی فی (نر 9- 409) أنه طهرانی، و قال إنه یبیع الکتب فی أصفهان و أورد بعض شعره فی (گلشن 280).</w:t>
      </w:r>
    </w:p>
    <w:p>
      <w:pPr>
        <w:pStyle w:val="Heading3"/>
      </w:pPr>
      <w:bookmarkStart w:id="6503" w:name="_Toc5199"/>
      <w:r>
        <w:t>4919- دیوان عرفان کالبی أو شعره‏</w:t>
      </w:r>
      <w:bookmarkEnd w:id="6503"/>
    </w:p>
    <w:p>
      <w:pPr>
        <w:pStyle w:val="BookText"/>
      </w:pPr>
      <w:r>
        <w:rPr>
          <w:rFonts w:ascii="IRNazanin" w:hAnsi="IRNazanin" w:eastAsia="IRNazanin" w:cs="IRNazanin"/>
          <w:lang w:bidi="fa-IR"/>
          <w:color w:val="111111"/>
          <w:sz w:val="28"/>
          <w:szCs w:val="28"/>
          <w:rtl/>
        </w:rPr>
        <w:t xml:space="preserve">و اسمه سلطان أبو سعید کان خلیفة الشاه فضل الله بن السید أحمد الکاشفی. توفی 1147. و قال آزاد البلگرامی فی تاریخه:</w:t>
      </w:r>
    </w:p>
    <w:p>
      <w:pPr>
        <w:pStyle w:val="BookText"/>
      </w:pPr>
      <w:r>
        <w:rPr>
          <w:rFonts w:ascii="IRNazanin" w:hAnsi="IRNazanin" w:eastAsia="IRNazanin" w:cs="IRNazanin"/>
          <w:lang w:bidi="fa-IR"/>
          <w:color w:val="111111"/>
          <w:sz w:val="28"/>
          <w:szCs w:val="28"/>
          <w:rtl/>
        </w:rPr>
        <w:t xml:space="preserve">دریاب که از آیة قرآن مجید</w:t>
      </w:r>
    </w:p>
    <w:p>
      <w:pPr>
        <w:pStyle w:val="BookText"/>
      </w:pPr>
      <w:r>
        <w:rPr>
          <w:rFonts w:ascii="Amiri" w:hAnsi="Amiri" w:eastAsia="Amiri" w:cs="Amiri"/>
          <w:lang w:bidi="ar-SA"/>
          <w:color w:val="111111"/>
          <w:sz w:val="28"/>
          <w:szCs w:val="28"/>
          <w:rtl/>
        </w:rPr>
        <w:t xml:space="preserve">تاریخ نوشتم‏ یَرِثُونَ</w:t>
      </w:r>
    </w:p>
    <w:p>
      <w:pPr>
        <w:pStyle w:val="BookText"/>
      </w:pPr>
      <w:r>
        <w:rPr>
          <w:rFonts w:ascii="Amiri" w:hAnsi="Amiri" w:eastAsia="Amiri" w:cs="Amiri"/>
          <w:lang w:bidi="ar-SA"/>
          <w:color w:val="111111"/>
          <w:sz w:val="28"/>
          <w:szCs w:val="28"/>
          <w:rtl/>
        </w:rPr>
        <w:t xml:space="preserve">الْفِرْدَوْسَ‏</w:t>
      </w:r>
    </w:p>
    <w:p>
      <w:pPr>
        <w:pStyle w:val="BookText"/>
      </w:pPr>
      <w:r>
        <w:rPr>
          <w:rFonts w:ascii="IRNazanin" w:hAnsi="IRNazanin" w:eastAsia="IRNazanin" w:cs="IRNazanin"/>
          <w:lang w:bidi="fa-IR"/>
          <w:color w:val="111111"/>
          <w:sz w:val="28"/>
          <w:szCs w:val="28"/>
          <w:rtl/>
        </w:rPr>
        <w:t xml:space="preserve">ترجمه و أورد شعره فی (گلشن- 280).</w:t>
      </w:r>
    </w:p>
    <w:p>
      <w:pPr>
        <w:pStyle w:val="Heading3"/>
      </w:pPr>
      <w:bookmarkStart w:id="6504" w:name="_Toc5200"/>
      <w:r>
        <w:t>4920- دیوان عرفان هندی أو شعره‏</w:t>
      </w:r>
      <w:bookmarkEnd w:id="6504"/>
    </w:p>
    <w:p>
      <w:pPr>
        <w:pStyle w:val="BookText"/>
      </w:pPr>
      <w:r>
        <w:rPr>
          <w:rFonts w:ascii="IRNazanin" w:hAnsi="IRNazanin" w:eastAsia="IRNazanin" w:cs="IRNazanin"/>
          <w:lang w:bidi="fa-IR"/>
          <w:color w:val="111111"/>
          <w:sz w:val="28"/>
          <w:szCs w:val="28"/>
          <w:rtl/>
        </w:rPr>
        <w:t xml:space="preserve">و هو ابن الخواجة مکی. ترجمه و أورد شعره فی (سرخوش- ص 81).</w:t>
      </w:r>
    </w:p>
    <w:p>
      <w:pPr>
        <w:pStyle w:val="Heading3"/>
      </w:pPr>
      <w:bookmarkStart w:id="6505" w:name="_Toc5201"/>
      <w:r>
        <w:t>4921- دیوان عرفان یزدی‏</w:t>
      </w:r>
      <w:bookmarkEnd w:id="6505"/>
    </w:p>
    <w:p>
      <w:pPr>
        <w:pStyle w:val="BookText"/>
      </w:pPr>
      <w:r>
        <w:rPr>
          <w:rFonts w:ascii="IRNazanin" w:hAnsi="IRNazanin" w:eastAsia="IRNazanin" w:cs="IRNazanin"/>
          <w:lang w:bidi="fa-IR"/>
          <w:color w:val="111111"/>
          <w:sz w:val="28"/>
          <w:szCs w:val="28"/>
          <w:rtl/>
        </w:rPr>
        <w:t xml:space="preserve">اسمه المولی مطیع من أکابر علماء یزد. و له المدائح موسوم المواهب السنیة فی المدائح العلیة. ترجمه آیتی فی (تش یز- ص 310)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705" w:name="pg11704_122188"/>
    <w:bookmarkEnd w:id="705"/>
    <w:p>
      <w:pPr>
        <w:pStyle w:val="BookText"/>
      </w:pPr>
      <w:r>
        <w:rPr>
          <w:rFonts w:ascii="IRNazanin" w:hAnsi="IRNazanin" w:eastAsia="IRNazanin" w:cs="IRNazanin"/>
          <w:lang w:bidi="fa-IR"/>
          <w:color w:val="111111"/>
          <w:sz w:val="28"/>
          <w:szCs w:val="28"/>
          <w:rtl/>
        </w:rPr>
        <w:t xml:space="preserve">و کذا فی تذکره شبستان المذکور فی 4: 35.</w:t>
      </w:r>
    </w:p>
    <w:p>
      <w:pPr>
        <w:pStyle w:val="Heading3"/>
      </w:pPr>
      <w:bookmarkStart w:id="6506" w:name="_Toc5202"/>
      <w:r>
        <w:t>4922- دیوان عرفی التبریزی‏</w:t>
      </w:r>
      <w:bookmarkEnd w:id="6506"/>
    </w:p>
    <w:p>
      <w:pPr>
        <w:pStyle w:val="BookText"/>
      </w:pPr>
      <w:r>
        <w:rPr>
          <w:rFonts w:ascii="IRNazanin" w:hAnsi="IRNazanin" w:eastAsia="IRNazanin" w:cs="IRNazanin"/>
          <w:lang w:bidi="fa-IR"/>
          <w:color w:val="111111"/>
          <w:sz w:val="28"/>
          <w:szCs w:val="28"/>
          <w:rtl/>
        </w:rPr>
        <w:t xml:space="preserve">ترجمه سام میرزا فی (تس 5- ص 167) و ذکر مثنویة گوی و چوگان و کذا فی (گلشن 281). و فی (دجا- ص 272) حکی عن سفینه خوش‏گو أن له مائة و ثلاثون قصیدة فی مدح الشاه عباس، و أخذ منه خمسین تومانا جائزة مثنوی گوی و چوگان.</w:t>
      </w:r>
    </w:p>
    <w:p>
      <w:pPr>
        <w:pStyle w:val="Heading3"/>
      </w:pPr>
      <w:bookmarkStart w:id="6507" w:name="_Toc5203"/>
      <w:r>
        <w:t>4923- دیوان عرفی شیرازی‏</w:t>
      </w:r>
      <w:bookmarkEnd w:id="6507"/>
    </w:p>
    <w:p>
      <w:pPr>
        <w:pStyle w:val="BookText"/>
      </w:pPr>
      <w:r>
        <w:rPr>
          <w:rFonts w:ascii="IRNazanin" w:hAnsi="IRNazanin" w:eastAsia="IRNazanin" w:cs="IRNazanin"/>
          <w:lang w:bidi="fa-IR"/>
          <w:color w:val="111111"/>
          <w:sz w:val="28"/>
          <w:szCs w:val="28"/>
          <w:rtl/>
        </w:rPr>
        <w:t xml:space="preserve">و هو جمال الدین محمد الحسینی بن الخواجة بلوی زین الدین بن جمال الدین سیدی المعروف ب چادرباف کما وصفه فی (میخانه- ص 176) عن قول خال عرفی و هو شمس الأنام الشیرازی، و قال: ولد بشیراز فی 963 و اشتغل فی دیوان الحکم و کان یعرف صیدی و نظم الشعر شابا، و تخلص عرفی ثم سافر إلی الهند</w:t>
      </w:r>
      <w:r>
        <w:rPr>
          <w:rStyle w:val="FootnoteReference"/>
        </w:rPr>
        <w:footnoteReference w:id="55"/>
      </w:r>
      <w:r>
        <w:rPr>
          <w:rFonts w:ascii="IRNazanin" w:hAnsi="IRNazanin" w:eastAsia="IRNazanin" w:cs="IRNazanin"/>
          <w:lang w:bidi="fa-IR"/>
          <w:color w:val="111111"/>
          <w:sz w:val="28"/>
          <w:szCs w:val="28"/>
          <w:rtl/>
        </w:rPr>
        <w:t xml:space="preserve">و تلمذ علی أبی الفتح الگیلانی و قربه أکبر شاه. و توفی 1002 کما فی (میخانه) أو 999 عن ست و ثلاثین سنة. و تاریخ وفاته فی خزانة عامرة تسع و تسعمائة فیه إسقاط لفظ تسعین فی الطبع. و حمل جثته میر صابر الأصفهانی إلی النجف فی 1027 کما فی (خز- ص 318) و قال إن أول مثنویة:</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موج نخست است ز بحر قدیم‏</w:t>
      </w:r>
    </w:p>
    <w:p>
      <w:pPr>
        <w:pStyle w:val="BookText"/>
      </w:pPr>
      <w:r>
        <w:rPr>
          <w:rFonts w:ascii="IRNazanin" w:hAnsi="IRNazanin" w:eastAsia="IRNazanin" w:cs="IRNazanin"/>
          <w:lang w:bidi="fa-IR"/>
          <w:color w:val="111111"/>
          <w:sz w:val="28"/>
          <w:szCs w:val="28"/>
          <w:rtl/>
        </w:rPr>
        <w:t xml:space="preserve">و قال لو یبدل لفظ موج بلفظ مد یکون أحسن. و نقل کلام میرزا خان شارح قصائد عرفی، و نقل أیضا کلام المولی منیر اللاهوری شارح قصائد العرفی. و ترجمه صادقی فی (خص 8 ص 150) و ذکر جوابه لمخزن الأسرار للنظامی. أقول هو المطبوع بطهران 1308 و فی مقدمه طبعه ترجمه الشاعر، و الشعراء الراثین له فی التاریخ المذکور.</w:t>
      </w:r>
    </w:p>
    <w:p>
      <w:pPr>
        <w:pStyle w:val="BookText"/>
      </w:pPr>
      <w:r>
        <w:rPr>
          <w:rFonts w:ascii="IRNazanin" w:hAnsi="IRNazanin" w:eastAsia="IRNazanin" w:cs="IRNazanin"/>
          <w:lang w:bidi="fa-IR"/>
          <w:color w:val="111111"/>
          <w:sz w:val="28"/>
          <w:szCs w:val="28"/>
          <w:rtl/>
        </w:rPr>
        <w:t xml:space="preserve">قال فی میخانه: و لا یعاب علی عرفی الا أنه جسور وقح، تعرض لمولانا نظامی گنجوی فاخترم شابا. ثم ذکر قصة موته و ما رآه فی منامه منه، ثم أورد فی میخانه قصیدته السینیة فی مدح علی علیه السلام  الذی تخلصه:</w:t>
      </w:r>
    </w:p>
    <w:p>
      <w:pPr>
        <w:pStyle w:val="BookText"/>
      </w:pPr>
      <w:r>
        <w:rPr>
          <w:rFonts w:ascii="IRNazanin" w:hAnsi="IRNazanin" w:eastAsia="IRNazanin" w:cs="IRNazanin"/>
          <w:lang w:bidi="fa-IR"/>
          <w:color w:val="111111"/>
          <w:sz w:val="28"/>
          <w:szCs w:val="28"/>
          <w:rtl/>
        </w:rPr>
        <w:t xml:space="preserve">عرفی بس است بیهده، بهر دعا برار</w:t>
      </w:r>
    </w:p>
    <w:p>
      <w:pPr>
        <w:pStyle w:val="BookText"/>
      </w:pPr>
      <w:r>
        <w:rPr>
          <w:rFonts w:ascii="IRNazanin" w:hAnsi="IRNazanin" w:eastAsia="IRNazanin" w:cs="IRNazanin"/>
          <w:lang w:bidi="fa-IR"/>
          <w:color w:val="111111"/>
          <w:sz w:val="28"/>
          <w:szCs w:val="28"/>
          <w:rtl/>
        </w:rPr>
        <w:t xml:space="preserve">نزد جلیل عز و جل دست التماس‏..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رأیت عین هذه القصیدة مع بعض قصائده فی مجموعة عند السید محمد الموسوی الجزائری کتابتها 1271. و قد جمع عرفی دیوانه بنفسه فی 996 و قال فی تاریخه:</w:t>
      </w:r>
    </w:p>
    <w:p>
      <w:pPr>
        <w:pStyle w:val="BookText"/>
      </w:pPr>
      <w:r>
        <w:rPr>
          <w:rFonts w:ascii="IRNazanin" w:hAnsi="IRNazanin" w:eastAsia="IRNazanin" w:cs="IRNazanin"/>
          <w:lang w:bidi="fa-IR"/>
          <w:color w:val="111111"/>
          <w:sz w:val="28"/>
          <w:szCs w:val="28"/>
          <w:rtl/>
        </w:rPr>
        <w:t xml:space="preserve">مجموعه طراز قدس تاریخش یافت‏</w:t>
      </w:r>
    </w:p>
    <w:p>
      <w:pPr>
        <w:pStyle w:val="BookText"/>
      </w:pPr>
      <w:r>
        <w:rPr>
          <w:rFonts w:ascii="IRNazanin" w:hAnsi="IRNazanin" w:eastAsia="IRNazanin" w:cs="IRNazanin"/>
          <w:lang w:bidi="fa-IR"/>
          <w:color w:val="111111"/>
          <w:sz w:val="28"/>
          <w:szCs w:val="28"/>
          <w:rtl/>
        </w:rPr>
        <w:t xml:space="preserve">أول دیوان عرفی شیرازی‏</w:t>
      </w:r>
    </w:p>
    <w:p>
      <w:pPr>
        <w:pStyle w:val="BookText"/>
      </w:pPr>
      <w:r>
        <w:rPr>
          <w:rFonts w:ascii="IRNazanin" w:hAnsi="IRNazanin" w:eastAsia="IRNazanin" w:cs="IRNazanin"/>
          <w:lang w:bidi="fa-IR"/>
          <w:color w:val="111111"/>
          <w:sz w:val="28"/>
          <w:szCs w:val="28"/>
          <w:rtl/>
        </w:rPr>
        <w:t xml:space="preserve">و فیها 27 قصیدة و 270 غزلا و 700 رباعیة. و عند موته أوصی إلی خان خانان بجمع بقیة أشعاره، ثم فی 1024 أمر خان خان بجمع دیوانه فجمعها محمد قاسم سراج أصفهانی فی سنة و نصف سنة فی أربعة عشر ألف بیت‏1 و قال فی تاریخه:</w:t>
      </w:r>
    </w:p>
    <w:p>
      <w:pPr>
        <w:pStyle w:val="BookText"/>
      </w:pPr>
      <w:r>
        <w:rPr>
          <w:rFonts w:ascii="IRNazanin" w:hAnsi="IRNazanin" w:eastAsia="IRNazanin" w:cs="IRNazanin"/>
          <w:lang w:bidi="fa-IR"/>
          <w:color w:val="111111"/>
          <w:sz w:val="28"/>
          <w:szCs w:val="28"/>
          <w:rtl/>
        </w:rPr>
        <w:t xml:space="preserve">از خرد خواستم چو تاریخش‏</w:t>
      </w:r>
    </w:p>
    <w:p>
      <w:pPr>
        <w:pStyle w:val="BookText"/>
      </w:pPr>
      <w:r>
        <w:rPr>
          <w:rFonts w:ascii="IRNazanin" w:hAnsi="IRNazanin" w:eastAsia="IRNazanin" w:cs="IRNazanin"/>
          <w:lang w:bidi="fa-IR"/>
          <w:color w:val="111111"/>
          <w:sz w:val="28"/>
          <w:szCs w:val="28"/>
          <w:rtl/>
        </w:rPr>
        <w:t xml:space="preserve">گفت ترتیب داده تا دانی‏</w:t>
      </w:r>
    </w:p>
    <w:p>
      <w:pPr>
        <w:pStyle w:val="BookText"/>
      </w:pPr>
      <w:r>
        <w:rPr>
          <w:rFonts w:ascii="IRNazanin" w:hAnsi="IRNazanin" w:eastAsia="IRNazanin" w:cs="IRNazanin"/>
          <w:lang w:bidi="fa-IR"/>
          <w:color w:val="111111"/>
          <w:sz w:val="28"/>
          <w:szCs w:val="28"/>
          <w:rtl/>
        </w:rPr>
        <w:t xml:space="preserve">و هذا الدیوان یشتمل علی مجمع الأبکار فی قبال مخزن الأسرار فی 1400 بیت و خسرو و شیرین فی 440 بیتا. و کتب عبد الباقی النهاوند صاحب مآثر رحیمی دیباجة لهذا الدیوان فی تاریخ جمعه فی 14 صفحة موجودة فی أول نسخه الدیوان فی (المجلس) کما فی فهرسها (3: 350). و توجد مجمع الأبکار فی (الرضویة) و (الملک) و دیوانه عند (الملک) و (فخر الدین) و (المجلس) و جامعة پنجاب و مکتبات إستانبول و الهند و غیرها. قال الچلبی و له قصیدة شینیة اسمه جواهر عمان فی 150 بیتا مثل جلاء روح للجامی و أنیس قلب لفضولی بغدادی، و کلها فی قبال شینیة الخاقانی. أقول: و له ترجمه الشوق و هی قصیدة رائیة موجودة فی مکتبة (الصدر) کما ذکرناه فی (4: 110) قال فیها:</w:t>
      </w:r>
    </w:p>
    <w:p>
      <w:pPr>
        <w:pStyle w:val="BookText"/>
      </w:pPr>
      <w:r>
        <w:rPr>
          <w:rFonts w:ascii="IRNazanin" w:hAnsi="IRNazanin" w:eastAsia="IRNazanin" w:cs="IRNazanin"/>
          <w:lang w:bidi="fa-IR"/>
          <w:color w:val="111111"/>
          <w:sz w:val="28"/>
          <w:szCs w:val="28"/>
          <w:rtl/>
        </w:rPr>
        <w:t xml:space="preserve">به کاوش مژه از گور تا نجف بروم‏</w:t>
      </w:r>
    </w:p>
    <w:p>
      <w:pPr>
        <w:pStyle w:val="BookText"/>
      </w:pPr>
      <w:r>
        <w:rPr>
          <w:rFonts w:ascii="IRNazanin" w:hAnsi="IRNazanin" w:eastAsia="IRNazanin" w:cs="IRNazanin"/>
          <w:lang w:bidi="fa-IR"/>
          <w:color w:val="111111"/>
          <w:sz w:val="28"/>
          <w:szCs w:val="28"/>
          <w:rtl/>
        </w:rPr>
        <w:t xml:space="preserve">اگر بهند بخاکم کنند یا بتتار</w:t>
      </w:r>
    </w:p>
    <w:p>
      <w:pPr>
        <w:pStyle w:val="BookText"/>
      </w:pPr>
      <w:r>
        <w:rPr>
          <w:rFonts w:ascii="IRNazanin" w:hAnsi="IRNazanin" w:eastAsia="IRNazanin" w:cs="IRNazanin"/>
          <w:lang w:bidi="fa-IR"/>
          <w:color w:val="111111"/>
          <w:sz w:val="28"/>
          <w:szCs w:val="28"/>
          <w:rtl/>
        </w:rPr>
        <w:t xml:space="preserve">ثم لما جی‏ء به إلی النجف قال رونقی فی تاریخ نقل جثمانه فی 1027:</w:t>
      </w:r>
    </w:p>
    <w:p>
      <w:pPr>
        <w:pStyle w:val="BookText"/>
      </w:pPr>
      <w:r>
        <w:rPr>
          <w:rFonts w:ascii="IRNazanin" w:hAnsi="IRNazanin" w:eastAsia="IRNazanin" w:cs="IRNazanin"/>
          <w:lang w:bidi="fa-IR"/>
          <w:color w:val="111111"/>
          <w:sz w:val="28"/>
          <w:szCs w:val="28"/>
          <w:rtl/>
        </w:rPr>
        <w:t xml:space="preserve">رقم زد از پی تاریخ رونقی کلکم‏</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به کاوش مژه از هند تا نجف آمد</w:t>
      </w:r>
    </w:p>
    <w:p>
      <w:pPr>
        <w:pStyle w:val="BookText"/>
      </w:pPr>
      <w:r>
        <w:rPr>
          <w:rFonts w:ascii="IRNazanin" w:hAnsi="IRNazanin" w:eastAsia="IRNazanin" w:cs="IRNazanin"/>
          <w:lang w:bidi="fa-IR"/>
          <w:color w:val="111111"/>
          <w:sz w:val="28"/>
          <w:szCs w:val="28"/>
          <w:rtl/>
        </w:rPr>
        <w:t xml:space="preserve">و له أیضا رسالة نفیسة توجد منه نسختان فی (سپهسالار 297 و 298). و طبع دیوان عرفی شیرازی فی کانپور 1880 فی 177 ص. و 1294 و فی بمبئی 1308 فی 321 ص. و کانپور 1333 فی 286 ص. و لکهنو 1930 فی 240 ص. و طبع مثنوی عرفی‏ 1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bookmarkStart w:id="706" w:name="pg11704_122190"/>
    <w:bookmarkEnd w:id="706"/>
    <w:p>
      <w:pPr>
        <w:pStyle w:val="BookText"/>
      </w:pPr>
      <w:r>
        <w:rPr>
          <w:rFonts w:ascii="IRNazanin" w:hAnsi="IRNazanin" w:eastAsia="IRNazanin" w:cs="IRNazanin"/>
          <w:lang w:bidi="fa-IR"/>
          <w:color w:val="111111"/>
          <w:sz w:val="28"/>
          <w:szCs w:val="28"/>
          <w:rtl/>
        </w:rPr>
        <w:t xml:space="preserve">فی بمبئی 1346 فی 120 ص. و ذکر ترجمه العرفی الشیرازی فی (نر 13- ص 479) و (سرخوش 73) و (خص 8- ص 150) و (هفت 287) و (میخانه 175) و (طبق 2- 489) و (خیال 81) و (خز 318) و (حسینی 212) و (تش- ص 286) و فارس‏نامه ناصری 2: 149 و (مع 2: 24- 25) و (تغ 89) و فهارس سپهسالار و المجلس و طرائق الحقائق 1: 139 و ریحانة الأدب. و فی هدیة العارفین ج 2 ص 59- سماه محمد و فی ج 2 ص 413 منه کرره بعنوان محمود. و دیوان عرفی هذا فی ترکیا و الهند أعرف منه فی إیران.</w:t>
      </w:r>
    </w:p>
    <w:p>
      <w:pPr>
        <w:pStyle w:val="Heading3"/>
      </w:pPr>
      <w:bookmarkStart w:id="6508" w:name="_Toc5204"/>
      <w:r>
        <w:t>دیوان عروضی سمرقندی‏</w:t>
      </w:r>
      <w:bookmarkEnd w:id="6508"/>
    </w:p>
    <w:p>
      <w:pPr>
        <w:pStyle w:val="BookText"/>
      </w:pPr>
      <w:r>
        <w:rPr>
          <w:rFonts w:ascii="IRNazanin" w:hAnsi="IRNazanin" w:eastAsia="IRNazanin" w:cs="IRNazanin"/>
          <w:lang w:bidi="fa-IR"/>
          <w:color w:val="111111"/>
          <w:sz w:val="28"/>
          <w:szCs w:val="28"/>
          <w:rtl/>
        </w:rPr>
        <w:t xml:space="preserve">راجع نظامی عروضی.</w:t>
      </w:r>
    </w:p>
    <w:p>
      <w:pPr>
        <w:pStyle w:val="Heading3"/>
      </w:pPr>
      <w:bookmarkStart w:id="6509" w:name="_Toc5205"/>
      <w:r>
        <w:t>4924- دیوان عریان‏</w:t>
      </w:r>
      <w:bookmarkEnd w:id="6509"/>
    </w:p>
    <w:p>
      <w:pPr>
        <w:pStyle w:val="BookText"/>
      </w:pPr>
      <w:r>
        <w:rPr>
          <w:rFonts w:ascii="IRNazanin" w:hAnsi="IRNazanin" w:eastAsia="IRNazanin" w:cs="IRNazanin"/>
          <w:lang w:bidi="fa-IR"/>
          <w:color w:val="111111"/>
          <w:sz w:val="28"/>
          <w:szCs w:val="28"/>
          <w:rtl/>
        </w:rPr>
        <w:t xml:space="preserve">من سادات تبریز. اسمه المیرزا أسد الله بیگ. ترجمه فی (تش- ص 256) و (دجا- ص 273) و (مسرت- ص 26) و أوردوا شعره. و ترجمه النصرآبادی بعنوان میرزا أسد فی (نر 5- ص 132) و ذکر أنه کان وزیر هزار جریب، ثم سافر إلی دکن و صار وصی الشیخ شمس الدین محمد الخاتونی، و بعد عوده إلی أصفهان ادعی علیه ورثة الخاتونی و أغرموه.</w:t>
      </w:r>
    </w:p>
    <w:p>
      <w:pPr>
        <w:pStyle w:val="Heading3"/>
      </w:pPr>
      <w:bookmarkStart w:id="6510" w:name="_Toc5206"/>
      <w:r>
        <w:t>4925- دیوان عزت‏</w:t>
      </w:r>
      <w:bookmarkEnd w:id="6510"/>
    </w:p>
    <w:p>
      <w:pPr>
        <w:pStyle w:val="BookText"/>
      </w:pPr>
      <w:r>
        <w:rPr>
          <w:rFonts w:ascii="IRNazanin" w:hAnsi="IRNazanin" w:eastAsia="IRNazanin" w:cs="IRNazanin"/>
          <w:lang w:bidi="fa-IR"/>
          <w:color w:val="111111"/>
          <w:sz w:val="28"/>
          <w:szCs w:val="28"/>
          <w:rtl/>
        </w:rPr>
        <w:t xml:space="preserve">للسید محمود خان الفسائی المتخلص بعزت فارسی مطبوع.</w:t>
      </w:r>
    </w:p>
    <w:p>
      <w:pPr>
        <w:pStyle w:val="Heading3"/>
      </w:pPr>
      <w:bookmarkStart w:id="6511" w:name="_Toc5207"/>
      <w:r>
        <w:t>4926- دیوان ملا عزت شیرازی‏</w:t>
      </w:r>
      <w:bookmarkEnd w:id="6511"/>
    </w:p>
    <w:p>
      <w:pPr>
        <w:pStyle w:val="BookText"/>
      </w:pPr>
      <w:r>
        <w:rPr>
          <w:rFonts w:ascii="IRNazanin" w:hAnsi="IRNazanin" w:eastAsia="IRNazanin" w:cs="IRNazanin"/>
          <w:lang w:bidi="fa-IR"/>
          <w:color w:val="111111"/>
          <w:sz w:val="28"/>
          <w:szCs w:val="28"/>
          <w:rtl/>
        </w:rPr>
        <w:t xml:space="preserve">من الطلاب بشیراز. ترجمه معاصر النصرآبادی فی (نر 6- ص 206) و أورد شعره.</w:t>
      </w:r>
    </w:p>
    <w:p>
      <w:pPr>
        <w:pStyle w:val="Heading3"/>
      </w:pPr>
      <w:bookmarkStart w:id="6512" w:name="_Toc5208"/>
      <w:r>
        <w:t>4927- دیوان عزت شیرازی‏</w:t>
      </w:r>
      <w:bookmarkEnd w:id="6512"/>
    </w:p>
    <w:p>
      <w:pPr>
        <w:pStyle w:val="BookText"/>
      </w:pPr>
      <w:r>
        <w:rPr>
          <w:rFonts w:ascii="IRNazanin" w:hAnsi="IRNazanin" w:eastAsia="IRNazanin" w:cs="IRNazanin"/>
          <w:lang w:bidi="fa-IR"/>
          <w:color w:val="111111"/>
          <w:sz w:val="28"/>
          <w:szCs w:val="28"/>
          <w:rtl/>
        </w:rPr>
        <w:t xml:space="preserve">مجاور الغری، و اسمه المیرزا باقر بن الحاج معزی العصار صاحب القصیدة فی مدح الأمیر ع. و قد قبلها فی الرؤیا کما نقل ممن رآه المیر السید شرف الدین علی الشولستانی. ترجمه فی (خز- ص 324) و أورد نیفا و سبعین مطلعا من غزلیاته. و ترجمه النصرآبادی فی (نر 5- ص 142) بعنوان خواجه باقر و قال کان تاجرا. و فی (سرخوش- 79) و (تغ 89) سماه باقر سوداگر.</w:t>
      </w:r>
    </w:p>
    <w:p>
      <w:pPr>
        <w:pStyle w:val="Heading3"/>
      </w:pPr>
      <w:bookmarkStart w:id="6513" w:name="_Toc5209"/>
      <w:r>
        <w:t>4928- دیوان عزت قاجار</w:t>
      </w:r>
      <w:bookmarkEnd w:id="6513"/>
    </w:p>
    <w:p>
      <w:pPr>
        <w:pStyle w:val="BookText"/>
      </w:pPr>
      <w:r>
        <w:rPr>
          <w:rFonts w:ascii="IRNazanin" w:hAnsi="IRNazanin" w:eastAsia="IRNazanin" w:cs="IRNazanin"/>
          <w:lang w:bidi="fa-IR"/>
          <w:color w:val="111111"/>
          <w:sz w:val="28"/>
          <w:szCs w:val="28"/>
          <w:rtl/>
        </w:rPr>
        <w:t xml:space="preserve">اسمه سلیمان خان بن محمد خان، خال محمد خان خواجه و لقبه فتح علی شاه باعتضاد الدولة، و توفی 1252. ترجمه فی (مع- ج 1 ص 40) و ذکر شعره و کذا فی (انجمن 2).</w:t>
      </w:r>
    </w:p>
    <w:p>
      <w:pPr>
        <w:pStyle w:val="Heading3"/>
      </w:pPr>
      <w:bookmarkStart w:id="6514" w:name="_Toc5210"/>
      <w:r>
        <w:t>4929- دیوان عزت هروی أو شعره‏</w:t>
      </w:r>
      <w:bookmarkEnd w:id="6514"/>
    </w:p>
    <w:p>
      <w:pPr>
        <w:pStyle w:val="BookText"/>
      </w:pPr>
      <w:r>
        <w:rPr>
          <w:rFonts w:ascii="IRNazanin" w:hAnsi="IRNazanin" w:eastAsia="IRNazanin" w:cs="IRNazanin"/>
          <w:lang w:bidi="fa-IR"/>
          <w:color w:val="111111"/>
          <w:sz w:val="28"/>
          <w:szCs w:val="28"/>
          <w:rtl/>
        </w:rPr>
        <w:t xml:space="preserve">و اسمه عبد العزیز جاء من هرات إلی‏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bookmarkStart w:id="707" w:name="pg11704_122191"/>
    <w:bookmarkEnd w:id="707"/>
    <w:p>
      <w:pPr>
        <w:pStyle w:val="BookText"/>
      </w:pPr>
      <w:r>
        <w:rPr>
          <w:rFonts w:ascii="IRNazanin" w:hAnsi="IRNazanin" w:eastAsia="IRNazanin" w:cs="IRNazanin"/>
          <w:lang w:bidi="fa-IR"/>
          <w:color w:val="111111"/>
          <w:sz w:val="28"/>
          <w:szCs w:val="28"/>
          <w:rtl/>
        </w:rPr>
        <w:t xml:space="preserve">أکبرآباد و تقرب عند عالمگیر ثم عزل و فر إلی لاهور و مات 1080 کما فی (حسینی- 221) و جاء شعره فی گلستان مسرت 142 و 477. و ترجمه فی (تغ 89) و (سرخوش 78) و فی نسخه منه عزیز.</w:t>
      </w:r>
    </w:p>
    <w:p>
      <w:pPr>
        <w:pStyle w:val="Heading3"/>
      </w:pPr>
      <w:bookmarkStart w:id="6515" w:name="_Toc5211"/>
      <w:r>
        <w:t>4930- دیوان عزتی شیرازی‏</w:t>
      </w:r>
      <w:bookmarkEnd w:id="6515"/>
    </w:p>
    <w:p>
      <w:pPr>
        <w:pStyle w:val="BookText"/>
      </w:pPr>
      <w:r>
        <w:rPr>
          <w:rFonts w:ascii="IRNazanin" w:hAnsi="IRNazanin" w:eastAsia="IRNazanin" w:cs="IRNazanin"/>
          <w:lang w:bidi="fa-IR"/>
          <w:color w:val="111111"/>
          <w:sz w:val="28"/>
          <w:szCs w:val="28"/>
          <w:rtl/>
        </w:rPr>
        <w:t xml:space="preserve">اسمه المیرزا جانی نزیل مشهد خراسان و المتوفی بها بعد أن کان منشیا لالله وردی خان حاکم لار ثم تاب. ترجمه النصرآبادی فی (نر 9- ص 256) و أورد أشعاره و کذا فی (تش- ص 390) و (گلشن: 281) و (روشن 448) و توجد منتخب دیوانه عند دهخدا کتبت 1081. و مر ابنه الحسین الشیرازی فی ص 252 و جامع الشیرازی بن الحسین فی ص 187.</w:t>
      </w:r>
    </w:p>
    <w:p>
      <w:pPr>
        <w:pStyle w:val="Heading3"/>
      </w:pPr>
      <w:bookmarkStart w:id="6516" w:name="_Toc5212"/>
      <w:r>
        <w:t>4931- دیوان عزتی فیروزآبادی أو شعره‏</w:t>
      </w:r>
      <w:bookmarkEnd w:id="6516"/>
    </w:p>
    <w:p>
      <w:pPr>
        <w:pStyle w:val="BookText"/>
      </w:pPr>
      <w:r>
        <w:rPr>
          <w:rFonts w:ascii="IRNazanin" w:hAnsi="IRNazanin" w:eastAsia="IRNazanin" w:cs="IRNazanin"/>
          <w:lang w:bidi="fa-IR"/>
          <w:color w:val="111111"/>
          <w:sz w:val="28"/>
          <w:szCs w:val="28"/>
          <w:rtl/>
        </w:rPr>
        <w:t xml:space="preserve">و اسمه المولی مؤمن. ترجمه النصرآبادی و أطرأه فی (نر 9- ص 278) و أورد بعض شعره و رباعیه.</w:t>
      </w:r>
    </w:p>
    <w:p>
      <w:pPr>
        <w:pStyle w:val="Heading3"/>
      </w:pPr>
      <w:bookmarkStart w:id="6517" w:name="_Toc5213"/>
      <w:r>
        <w:t>4932- دیوان عزتی قزوینی‏</w:t>
      </w:r>
      <w:bookmarkEnd w:id="6517"/>
    </w:p>
    <w:p>
      <w:pPr>
        <w:pStyle w:val="BookText"/>
      </w:pPr>
      <w:r>
        <w:rPr>
          <w:rFonts w:ascii="IRNazanin" w:hAnsi="IRNazanin" w:eastAsia="IRNazanin" w:cs="IRNazanin"/>
          <w:lang w:bidi="fa-IR"/>
          <w:color w:val="111111"/>
          <w:sz w:val="28"/>
          <w:szCs w:val="28"/>
          <w:rtl/>
        </w:rPr>
        <w:t xml:space="preserve">لعبد النبی فخر الزمانی بن خلف بیگ. ولد بقزوین 998 و نشا بها و مات والده 1001 و تخلص فی شعره عزتی و خرج منها إلی قندهار فی 1017 و هو ابن تسع عشر سنة. و فی 1018 وصل آکرة و تقرب عند نور الدین محمد جهانگیر شاه إلی سنة 1028 التی تمم فیها تذکرته المسماة میخانه‏</w:t>
      </w:r>
      <w:r>
        <w:rPr>
          <w:rStyle w:val="FootnoteReference"/>
        </w:rPr>
        <w:footnoteReference w:id="57"/>
      </w:r>
      <w:r>
        <w:rPr>
          <w:rFonts w:ascii="IRNazanin" w:hAnsi="IRNazanin" w:eastAsia="IRNazanin" w:cs="IRNazanin"/>
          <w:lang w:bidi="fa-IR"/>
          <w:color w:val="111111"/>
          <w:sz w:val="28"/>
          <w:szCs w:val="28"/>
          <w:rtl/>
        </w:rPr>
        <w:t xml:space="preserve">المطبوع بلاهور 1926 و ترجم نفسه فیها (ص 498) و فی هذه المدة ألف نوادر الحکایات و دستور الفصحاء و میخانه و دیوان یشتمل علی ألف و خمسمائة بیت، و تخلصه فی ساقی‏نامه نبی و توفی 1037.</w:t>
      </w:r>
    </w:p>
    <w:p>
      <w:pPr>
        <w:pStyle w:val="Heading3"/>
      </w:pPr>
      <w:bookmarkStart w:id="6518" w:name="_Toc5214"/>
      <w:r>
        <w:t>4933- دیوان عز الدین أصفهانی أو شعره‏</w:t>
      </w:r>
      <w:bookmarkEnd w:id="6518"/>
    </w:p>
    <w:p>
      <w:pPr>
        <w:pStyle w:val="BookText"/>
      </w:pPr>
      <w:r>
        <w:rPr>
          <w:rFonts w:ascii="IRNazanin" w:hAnsi="IRNazanin" w:eastAsia="IRNazanin" w:cs="IRNazanin"/>
          <w:lang w:bidi="fa-IR"/>
          <w:color w:val="111111"/>
          <w:sz w:val="28"/>
          <w:szCs w:val="28"/>
          <w:rtl/>
        </w:rPr>
        <w:t xml:space="preserve">کان مستوفی السلطان سنجر ثم تغیر علیه و سجنه فمات فی الحبس. ترجمه فی (مع- ج 1 ص 339) و أورد شعره فی الحبس.</w:t>
      </w:r>
    </w:p>
    <w:p>
      <w:pPr>
        <w:pStyle w:val="Heading3"/>
      </w:pPr>
      <w:bookmarkStart w:id="6519" w:name="_Toc5215"/>
      <w:r>
        <w:t>4934- دیوان عز الدین رازی أو شعره‏</w:t>
      </w:r>
      <w:bookmarkEnd w:id="6519"/>
    </w:p>
    <w:p>
      <w:pPr>
        <w:pStyle w:val="BookText"/>
      </w:pPr>
      <w:r>
        <w:rPr>
          <w:rFonts w:ascii="IRNazanin" w:hAnsi="IRNazanin" w:eastAsia="IRNazanin" w:cs="IRNazanin"/>
          <w:lang w:bidi="fa-IR"/>
          <w:color w:val="111111"/>
          <w:sz w:val="28"/>
          <w:szCs w:val="28"/>
          <w:rtl/>
        </w:rPr>
        <w:t xml:space="preserve">کان معلم الأطفال. ترجمه معاصره سام میرزا فی (تس 5- ص 177) و أورد شعره. .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bookmarkStart w:id="708" w:name="pg11704_122192"/>
    <w:bookmarkEnd w:id="708"/>
    <w:p>
      <w:pPr>
        <w:pStyle w:val="Heading3"/>
      </w:pPr>
      <w:bookmarkStart w:id="6520" w:name="_Toc5216"/>
      <w:r>
        <w:t>4935- دیوان عز الدین سلجوقی أو شعره‏</w:t>
      </w:r>
      <w:bookmarkEnd w:id="6520"/>
    </w:p>
    <w:p>
      <w:pPr>
        <w:pStyle w:val="BookText"/>
      </w:pPr>
      <w:r>
        <w:rPr>
          <w:rFonts w:ascii="IRNazanin" w:hAnsi="IRNazanin" w:eastAsia="IRNazanin" w:cs="IRNazanin"/>
          <w:lang w:bidi="fa-IR"/>
          <w:color w:val="111111"/>
          <w:sz w:val="28"/>
          <w:szCs w:val="28"/>
          <w:rtl/>
        </w:rPr>
        <w:t xml:space="preserve">و اسمه کیکاووس بن غیاث الدین کیخسرو أخ علاء الدین کیقباد. ترجمه فی (مع- ج 1 ص 39) و أورد شعره الذی أنشأه عند موته.</w:t>
      </w:r>
    </w:p>
    <w:p>
      <w:pPr>
        <w:pStyle w:val="Heading3"/>
      </w:pPr>
      <w:bookmarkStart w:id="6521" w:name="_Toc5217"/>
      <w:r>
        <w:t>4936- دیوان عز الدین شیروانی‏</w:t>
      </w:r>
      <w:bookmarkEnd w:id="6521"/>
    </w:p>
    <w:p>
      <w:pPr>
        <w:pStyle w:val="BookText"/>
      </w:pPr>
      <w:r>
        <w:rPr>
          <w:rFonts w:ascii="IRNazanin" w:hAnsi="IRNazanin" w:eastAsia="IRNazanin" w:cs="IRNazanin"/>
          <w:lang w:bidi="fa-IR"/>
          <w:color w:val="111111"/>
          <w:sz w:val="28"/>
          <w:szCs w:val="28"/>
          <w:rtl/>
        </w:rPr>
        <w:t xml:space="preserve">معاصر الخاقانی الشیروانی فی القرن السادس. ترجمه فی (مع- ج 1 ص 339) و أورد بعض قصیدته. و ترجمه فی (دجا- ص 273). و أورد غزله و کذا فی (تش- ص 50) و (روشن 449). قال سنگلاخ فی امتحان الفضلاء 1:</w:t>
      </w:r>
    </w:p>
    <w:p>
      <w:pPr>
        <w:pStyle w:val="BookText"/>
      </w:pPr>
      <w:r>
        <w:rPr>
          <w:rFonts w:ascii="IRNazanin" w:hAnsi="IRNazanin" w:eastAsia="IRNazanin" w:cs="IRNazanin"/>
          <w:lang w:bidi="fa-IR"/>
          <w:color w:val="111111"/>
          <w:sz w:val="28"/>
          <w:szCs w:val="28"/>
          <w:rtl/>
        </w:rPr>
        <w:t xml:space="preserve">152 إنه رأی منتخب دیوانه بخط أحمد غزال العین المشهدی.</w:t>
      </w:r>
    </w:p>
    <w:p>
      <w:pPr>
        <w:pStyle w:val="Heading3"/>
      </w:pPr>
      <w:bookmarkStart w:id="6522" w:name="_Toc5218"/>
      <w:r>
        <w:t>دیوان عز الدین العاملی‏</w:t>
      </w:r>
      <w:bookmarkEnd w:id="6522"/>
    </w:p>
    <w:p>
      <w:pPr>
        <w:pStyle w:val="BookText"/>
      </w:pPr>
      <w:r>
        <w:rPr>
          <w:rFonts w:ascii="IRNazanin" w:hAnsi="IRNazanin" w:eastAsia="IRNazanin" w:cs="IRNazanin"/>
          <w:lang w:bidi="fa-IR"/>
          <w:color w:val="111111"/>
          <w:sz w:val="28"/>
          <w:szCs w:val="28"/>
          <w:rtl/>
        </w:rPr>
        <w:t xml:space="preserve">و هو حسین بن عبد الصمد المذکور فی ص 249 له قصیدة رائیة فی مدح الأمیر ع شرحها بنفسه. رأیتها بخط الشیخ علی القمی المعاصر، استنسخها عن خط الحاج بابا القزوینی تلمیذ البهائی الذی استنسخها عن خط الناظم.</w:t>
      </w:r>
    </w:p>
    <w:p>
      <w:pPr>
        <w:pStyle w:val="Heading3"/>
      </w:pPr>
      <w:bookmarkStart w:id="6523" w:name="_Toc5219"/>
      <w:r>
        <w:t>4937- دیوان عز الدین العاملی‏</w:t>
      </w:r>
      <w:bookmarkEnd w:id="6523"/>
    </w:p>
    <w:p>
      <w:pPr>
        <w:pStyle w:val="BookText"/>
      </w:pPr>
      <w:r>
        <w:rPr>
          <w:rFonts w:ascii="IRNazanin" w:hAnsi="IRNazanin" w:eastAsia="IRNazanin" w:cs="IRNazanin"/>
          <w:lang w:bidi="fa-IR"/>
          <w:color w:val="111111"/>
          <w:sz w:val="28"/>
          <w:szCs w:val="28"/>
          <w:rtl/>
        </w:rPr>
        <w:t xml:space="preserve">الفقیه الکامل الأدیب الشهیر بالشیخ محمد علی عز الدین، الساکن فی خناویة من ضواحی صور، و المجاز من الحاج مولی علی الخلیلی الرازی النجفی. یوجد دیوانه عند الشیخ محمد رضا بن الشیخ زین العابدین آل شمس الدین. و یوجد بخط الناظم الجزء الأول من کفایة السبزواری، کتبه بخطه لنفسه و فرغ منه فی النجف یوم الجمعة ثامن رمضان 1263 و ذکر نسبه فی آخره هکذا:</w:t>
      </w:r>
    </w:p>
    <w:p>
      <w:pPr>
        <w:pStyle w:val="BookText"/>
      </w:pPr>
      <w:r>
        <w:rPr>
          <w:rFonts w:ascii="IRNazanin" w:hAnsi="IRNazanin" w:eastAsia="IRNazanin" w:cs="IRNazanin"/>
          <w:lang w:bidi="fa-IR"/>
          <w:color w:val="111111"/>
          <w:sz w:val="28"/>
          <w:szCs w:val="28"/>
          <w:rtl/>
        </w:rPr>
        <w:t xml:space="preserve">محمد بن علی بن محمد بن إسماعیل بن إبراهیم آل زین الدین العاملی.</w:t>
      </w:r>
    </w:p>
    <w:p>
      <w:pPr>
        <w:pStyle w:val="Heading3"/>
      </w:pPr>
      <w:bookmarkStart w:id="6524" w:name="_Toc5220"/>
      <w:r>
        <w:t>4938- دیوان عز الدین کاشانی أو شعره‏</w:t>
      </w:r>
      <w:bookmarkEnd w:id="6524"/>
    </w:p>
    <w:p>
      <w:pPr>
        <w:pStyle w:val="BookText"/>
      </w:pPr>
      <w:r>
        <w:rPr>
          <w:rFonts w:ascii="IRNazanin" w:hAnsi="IRNazanin" w:eastAsia="IRNazanin" w:cs="IRNazanin"/>
          <w:lang w:bidi="fa-IR"/>
          <w:color w:val="111111"/>
          <w:sz w:val="28"/>
          <w:szCs w:val="28"/>
          <w:rtl/>
        </w:rPr>
        <w:t xml:space="preserve">و اسمه عز الدین محمود. أطری شعره و فضله فی (تش- ص 245). و رأیت شعره فی مجموعة مخطوطة فی مکتبة بلدیة أصفهان برقم 3/ 224.</w:t>
      </w:r>
    </w:p>
    <w:p>
      <w:pPr>
        <w:pStyle w:val="Heading3"/>
      </w:pPr>
      <w:bookmarkStart w:id="6525" w:name="_Toc5221"/>
      <w:r>
        <w:t>4939- دیوان عز الدین گرجی أو شعره‏</w:t>
      </w:r>
      <w:bookmarkEnd w:id="6525"/>
    </w:p>
    <w:p>
      <w:pPr>
        <w:pStyle w:val="BookText"/>
      </w:pPr>
      <w:r>
        <w:rPr>
          <w:rFonts w:ascii="IRNazanin" w:hAnsi="IRNazanin" w:eastAsia="IRNazanin" w:cs="IRNazanin"/>
          <w:lang w:bidi="fa-IR"/>
          <w:color w:val="111111"/>
          <w:sz w:val="28"/>
          <w:szCs w:val="28"/>
          <w:rtl/>
        </w:rPr>
        <w:t xml:space="preserve">من شعراء القرن التاسع. أورد شعره فی جواب شعر سراج الدین قمری المذکور فی (ص 437) فی (بهش 1- ص 338) و کذا فی تاریخ گزیده. ص 822- 820.</w:t>
      </w:r>
    </w:p>
    <w:p>
      <w:pPr>
        <w:pStyle w:val="Heading3"/>
      </w:pPr>
      <w:bookmarkStart w:id="6526" w:name="_Toc5222"/>
      <w:r>
        <w:t>4940- دیوان عزلت سوراتی‏</w:t>
      </w:r>
      <w:bookmarkEnd w:id="6526"/>
    </w:p>
    <w:p>
      <w:pPr>
        <w:pStyle w:val="BookText"/>
      </w:pPr>
      <w:r>
        <w:rPr>
          <w:rFonts w:ascii="IRNazanin" w:hAnsi="IRNazanin" w:eastAsia="IRNazanin" w:cs="IRNazanin"/>
          <w:lang w:bidi="fa-IR"/>
          <w:color w:val="111111"/>
          <w:sz w:val="28"/>
          <w:szCs w:val="28"/>
          <w:rtl/>
        </w:rPr>
        <w:t xml:space="preserve">و هو المیر عبد الولی بن السید سعد الله السلونی.</w:t>
      </w:r>
    </w:p>
    <w:p>
      <w:pPr>
        <w:pStyle w:val="BookText"/>
      </w:pPr>
      <w:r>
        <w:rPr>
          <w:rFonts w:ascii="IRNazanin" w:hAnsi="IRNazanin" w:eastAsia="IRNazanin" w:cs="IRNazanin"/>
          <w:lang w:bidi="fa-IR"/>
          <w:color w:val="111111"/>
          <w:sz w:val="28"/>
          <w:szCs w:val="28"/>
          <w:rtl/>
        </w:rPr>
        <w:t xml:space="preserve">کان ماهرا فی الموسیقی الهندیة. ترجمه و أورد شعره عن دیوانه فی سرو- ص 236 و گلستان مسرت- ص 147، 479.</w:t>
      </w:r>
    </w:p>
    <w:p>
      <w:pPr>
        <w:pStyle w:val="Heading3"/>
      </w:pPr>
      <w:bookmarkStart w:id="6527" w:name="_Toc5223"/>
      <w:r>
        <w:t>4941- دیوان عزلت شاه‏جهان‏آبادی أو شعره‏</w:t>
      </w:r>
      <w:bookmarkEnd w:id="6527"/>
    </w:p>
    <w:p>
      <w:pPr>
        <w:pStyle w:val="BookText"/>
      </w:pPr>
      <w:r>
        <w:rPr>
          <w:rFonts w:ascii="IRNazanin" w:hAnsi="IRNazanin" w:eastAsia="IRNazanin" w:cs="IRNazanin"/>
          <w:lang w:bidi="fa-IR"/>
          <w:color w:val="111111"/>
          <w:sz w:val="28"/>
          <w:szCs w:val="28"/>
          <w:rtl/>
        </w:rPr>
        <w:t xml:space="preserve">و اسمه عبد العزیز تلمیذ محمد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bookmarkStart w:id="709" w:name="pg11704_122193"/>
    <w:bookmarkEnd w:id="709"/>
    <w:p>
      <w:pPr>
        <w:pStyle w:val="BookText"/>
      </w:pPr>
      <w:r>
        <w:rPr>
          <w:rFonts w:ascii="IRNazanin" w:hAnsi="IRNazanin" w:eastAsia="IRNazanin" w:cs="IRNazanin"/>
          <w:lang w:bidi="fa-IR"/>
          <w:color w:val="111111"/>
          <w:sz w:val="28"/>
          <w:szCs w:val="28"/>
          <w:rtl/>
        </w:rPr>
        <w:t xml:space="preserve">أفضل ثابت. ترجمه و أورد شعره فی (گلشن- 282).</w:t>
      </w:r>
    </w:p>
    <w:p>
      <w:pPr>
        <w:pStyle w:val="Heading3"/>
      </w:pPr>
      <w:bookmarkStart w:id="6528" w:name="_Toc5224"/>
      <w:r>
        <w:t>4942- دیوان عزلتی‏</w:t>
      </w:r>
      <w:bookmarkEnd w:id="6528"/>
    </w:p>
    <w:p>
      <w:pPr>
        <w:pStyle w:val="BookText"/>
      </w:pPr>
      <w:r>
        <w:rPr>
          <w:rFonts w:ascii="IRNazanin" w:hAnsi="IRNazanin" w:eastAsia="IRNazanin" w:cs="IRNazanin"/>
          <w:lang w:bidi="fa-IR"/>
          <w:color w:val="111111"/>
          <w:sz w:val="28"/>
          <w:szCs w:val="28"/>
          <w:rtl/>
        </w:rPr>
        <w:t xml:space="preserve">و اسمه المولی أدهم الخلخالی الواعظ المعروف. له ترجمه الباب الحادی عشر اسمه لوازم الدین و رسالة فارسیة اسمها مشرق التوحید الموجود فی (سپهسالار 5838) و فی آخرها بعض شعره مع تخلصه. ترجمه فی (دجا- ص 273).</w:t>
      </w:r>
    </w:p>
    <w:p>
      <w:pPr>
        <w:pStyle w:val="Heading3"/>
      </w:pPr>
      <w:bookmarkStart w:id="6529" w:name="_Toc5225"/>
      <w:r>
        <w:t>4943- دیوان عزلتی یزدی‏</w:t>
      </w:r>
      <w:bookmarkEnd w:id="6529"/>
    </w:p>
    <w:p>
      <w:pPr>
        <w:pStyle w:val="BookText"/>
      </w:pPr>
      <w:r>
        <w:rPr>
          <w:rFonts w:ascii="IRNazanin" w:hAnsi="IRNazanin" w:eastAsia="IRNazanin" w:cs="IRNazanin"/>
          <w:lang w:bidi="fa-IR"/>
          <w:color w:val="111111"/>
          <w:sz w:val="28"/>
          <w:szCs w:val="28"/>
          <w:rtl/>
        </w:rPr>
        <w:t xml:space="preserve">الخطاط. اسمه زین العابدین، توفی أواخر عهد الشاه صفی. ترجمه آیتی فی (تش یز- ص 311) قال و یستشهد بأشعاره علماء البدیع فی کتبهم و أورد بعضها. و یوجد دیوانه فی جنگ عند (فخر الدین) فی 2500 بیت برقم 65 من دواوینه.</w:t>
      </w:r>
    </w:p>
    <w:p>
      <w:pPr>
        <w:pStyle w:val="Heading3"/>
      </w:pPr>
      <w:bookmarkStart w:id="6530" w:name="_Toc5226"/>
      <w:r>
        <w:t>4944- دیوان عزمی تبریزی‏</w:t>
      </w:r>
      <w:bookmarkEnd w:id="6530"/>
    </w:p>
    <w:p>
      <w:pPr>
        <w:pStyle w:val="BookText"/>
      </w:pPr>
      <w:r>
        <w:rPr>
          <w:rFonts w:ascii="IRNazanin" w:hAnsi="IRNazanin" w:eastAsia="IRNazanin" w:cs="IRNazanin"/>
          <w:lang w:bidi="fa-IR"/>
          <w:color w:val="111111"/>
          <w:sz w:val="28"/>
          <w:szCs w:val="28"/>
          <w:rtl/>
        </w:rPr>
        <w:t xml:space="preserve">اسمه سلطان محمد. ترجمه فی (دجا- ص 274) نقلا عن خلاصة الأشعار و قال إن له قصائد کثیرة أکثرها فی مدح النبی و المعصومین و کان من التجار المثرین و توفی 1010 و له أربعون سنة.</w:t>
      </w:r>
    </w:p>
    <w:p>
      <w:pPr>
        <w:pStyle w:val="Heading3"/>
      </w:pPr>
      <w:bookmarkStart w:id="6531" w:name="_Toc5227"/>
      <w:r>
        <w:t>4945- دیوان عزمی لاهیجی أو شعره‏</w:t>
      </w:r>
      <w:bookmarkEnd w:id="6531"/>
    </w:p>
    <w:p>
      <w:pPr>
        <w:pStyle w:val="BookText"/>
      </w:pPr>
      <w:r>
        <w:rPr>
          <w:rFonts w:ascii="IRNazanin" w:hAnsi="IRNazanin" w:eastAsia="IRNazanin" w:cs="IRNazanin"/>
          <w:lang w:bidi="fa-IR"/>
          <w:color w:val="111111"/>
          <w:sz w:val="28"/>
          <w:szCs w:val="28"/>
          <w:rtl/>
        </w:rPr>
        <w:t xml:space="preserve">ترجمه و أورد شعره فی (گلشن- 282) و تاریخ علمای گیلان (ص 90).</w:t>
      </w:r>
    </w:p>
    <w:p>
      <w:pPr>
        <w:pStyle w:val="Heading3"/>
      </w:pPr>
      <w:bookmarkStart w:id="6532" w:name="_Toc5228"/>
      <w:r>
        <w:t>4946- دیوان عزمی فیروزآبادی‏</w:t>
      </w:r>
      <w:bookmarkEnd w:id="6532"/>
    </w:p>
    <w:p>
      <w:pPr>
        <w:pStyle w:val="BookText"/>
      </w:pPr>
      <w:r>
        <w:rPr>
          <w:rFonts w:ascii="IRNazanin" w:hAnsi="IRNazanin" w:eastAsia="IRNazanin" w:cs="IRNazanin"/>
          <w:lang w:bidi="fa-IR"/>
          <w:color w:val="111111"/>
          <w:sz w:val="28"/>
          <w:szCs w:val="28"/>
          <w:rtl/>
        </w:rPr>
        <w:t xml:space="preserve">الشاعر الشیرازی. اسمه محمد مؤمن قال فی (تش- ص 290) إن دیوانه فی ثلاثمائة بیت، و کذا فی (تغ 89).</w:t>
      </w:r>
    </w:p>
    <w:p>
      <w:pPr>
        <w:pStyle w:val="Heading3"/>
      </w:pPr>
      <w:bookmarkStart w:id="6533" w:name="_Toc5229"/>
      <w:r>
        <w:t>4947- دیوان عزمی مشهدی أو شعره‏</w:t>
      </w:r>
      <w:bookmarkEnd w:id="6533"/>
    </w:p>
    <w:p>
      <w:pPr>
        <w:pStyle w:val="BookText"/>
      </w:pPr>
      <w:r>
        <w:rPr>
          <w:rFonts w:ascii="IRNazanin" w:hAnsi="IRNazanin" w:eastAsia="IRNazanin" w:cs="IRNazanin"/>
          <w:lang w:bidi="fa-IR"/>
          <w:color w:val="111111"/>
          <w:sz w:val="28"/>
          <w:szCs w:val="28"/>
          <w:rtl/>
        </w:rPr>
        <w:t xml:space="preserve">من سادات مشهد کما فی (گلشن- 283) نقلا عن خلاصة الأشعار لتقی الدین الکاشانی. و کذا فی مطلع الشمس 2: 438.</w:t>
      </w:r>
    </w:p>
    <w:p>
      <w:pPr>
        <w:pStyle w:val="Heading3"/>
      </w:pPr>
      <w:bookmarkStart w:id="6534" w:name="_Toc5230"/>
      <w:r>
        <w:t>4948- دیوان عزمی یزدی أو شعره‏</w:t>
      </w:r>
      <w:bookmarkEnd w:id="6534"/>
    </w:p>
    <w:p>
      <w:pPr>
        <w:pStyle w:val="BookText"/>
      </w:pPr>
      <w:r>
        <w:rPr>
          <w:rFonts w:ascii="IRNazanin" w:hAnsi="IRNazanin" w:eastAsia="IRNazanin" w:cs="IRNazanin"/>
          <w:lang w:bidi="fa-IR"/>
          <w:color w:val="111111"/>
          <w:sz w:val="28"/>
          <w:szCs w:val="28"/>
          <w:rtl/>
        </w:rPr>
        <w:t xml:space="preserve">مصاحب الأمیر أدائی. ترجمه معاصره النصرآبادی فی (نر 9- ص 412) و أورد شعره و کذا فی (تغ 89).</w:t>
      </w:r>
    </w:p>
    <w:p>
      <w:pPr>
        <w:pStyle w:val="Heading3"/>
      </w:pPr>
      <w:bookmarkStart w:id="6535" w:name="_Toc5231"/>
      <w:r>
        <w:t>4949- دیوان عزیز أسترآبادی‏</w:t>
      </w:r>
      <w:bookmarkEnd w:id="6535"/>
    </w:p>
    <w:p>
      <w:pPr>
        <w:pStyle w:val="BookText"/>
      </w:pPr>
      <w:r>
        <w:rPr>
          <w:rFonts w:ascii="IRNazanin" w:hAnsi="IRNazanin" w:eastAsia="IRNazanin" w:cs="IRNazanin"/>
          <w:lang w:bidi="fa-IR"/>
          <w:color w:val="111111"/>
          <w:sz w:val="28"/>
          <w:szCs w:val="28"/>
          <w:rtl/>
        </w:rPr>
        <w:t xml:space="preserve">لعزیز بن أردشیر الأسترآبادی مؤلف بزم و رزم المطبوع بأستانبول فی 1928 م. فی 637 ص. سماه صاحب عجائب المقدور بعبد العزیز. أتی فی شبابه إلی بغداد و لما وردها تیمور فی 795 فر منها إلی النجف و قبض علیه هناک و جی‏ء به إلی میران شاه فعفی عنه فذهب إلی سیواس فی 796 و کتب هناک تاریخه باسم بزم و رزم للسلطان برهان الدین و بقی هناک إلی 800 و قال نظمی‏زاده مرتضی: إن له دیوانان فارسی و عربی. و سکن القاهرة و مات بها متردیا من سطح‏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bookmarkStart w:id="710" w:name="pg11704_122194"/>
    <w:bookmarkEnd w:id="710"/>
    <w:p>
      <w:pPr>
        <w:pStyle w:val="BookText"/>
      </w:pPr>
      <w:r>
        <w:rPr>
          <w:rFonts w:ascii="IRNazanin" w:hAnsi="IRNazanin" w:eastAsia="IRNazanin" w:cs="IRNazanin"/>
          <w:lang w:bidi="fa-IR"/>
          <w:color w:val="111111"/>
          <w:sz w:val="28"/>
          <w:szCs w:val="28"/>
          <w:rtl/>
        </w:rPr>
        <w:t xml:space="preserve">عال، میتة صاحب الصحاح. کذا فی العراق بین الاحتلالین- 2: 4- 7 لعباس العزاوی.</w:t>
      </w:r>
    </w:p>
    <w:p>
      <w:pPr>
        <w:pStyle w:val="Heading3"/>
      </w:pPr>
      <w:bookmarkStart w:id="6536" w:name="_Toc5232"/>
      <w:r>
        <w:t>4950- دیوان عزیز أسفراینی أو شعره‏</w:t>
      </w:r>
      <w:bookmarkEnd w:id="6536"/>
    </w:p>
    <w:p>
      <w:pPr>
        <w:pStyle w:val="BookText"/>
      </w:pPr>
      <w:r>
        <w:rPr>
          <w:rFonts w:ascii="IRNazanin" w:hAnsi="IRNazanin" w:eastAsia="IRNazanin" w:cs="IRNazanin"/>
          <w:lang w:bidi="fa-IR"/>
          <w:color w:val="111111"/>
          <w:sz w:val="28"/>
          <w:szCs w:val="28"/>
          <w:rtl/>
        </w:rPr>
        <w:t xml:space="preserve">و هو عزیز الدین الرافعی الخراسانی.</w:t>
      </w:r>
    </w:p>
    <w:p>
      <w:pPr>
        <w:pStyle w:val="BookText"/>
      </w:pPr>
      <w:r>
        <w:rPr>
          <w:rFonts w:ascii="IRNazanin" w:hAnsi="IRNazanin" w:eastAsia="IRNazanin" w:cs="IRNazanin"/>
          <w:lang w:bidi="fa-IR"/>
          <w:color w:val="111111"/>
          <w:sz w:val="28"/>
          <w:szCs w:val="28"/>
          <w:rtl/>
        </w:rPr>
        <w:t xml:space="preserve">أورد شعره فی (لب 6). و لعله متحد مع النسفی الآتی.</w:t>
      </w:r>
    </w:p>
    <w:p>
      <w:pPr>
        <w:pStyle w:val="Heading3"/>
      </w:pPr>
      <w:bookmarkStart w:id="6537" w:name="_Toc5233"/>
      <w:r>
        <w:t>4951- دیوان عزیز قزوینی أو شعره‏</w:t>
      </w:r>
      <w:bookmarkEnd w:id="6537"/>
    </w:p>
    <w:p>
      <w:pPr>
        <w:pStyle w:val="BookText"/>
      </w:pPr>
      <w:r>
        <w:rPr>
          <w:rFonts w:ascii="IRNazanin" w:hAnsi="IRNazanin" w:eastAsia="IRNazanin" w:cs="IRNazanin"/>
          <w:lang w:bidi="fa-IR"/>
          <w:color w:val="111111"/>
          <w:sz w:val="28"/>
          <w:szCs w:val="28"/>
          <w:rtl/>
        </w:rPr>
        <w:t xml:space="preserve">کان بیاعا بها. ترجمه سام میرزا فی (تس 5- ص 129) و أورد شعره.</w:t>
      </w:r>
    </w:p>
    <w:p>
      <w:pPr>
        <w:pStyle w:val="Heading3"/>
      </w:pPr>
      <w:bookmarkStart w:id="6538" w:name="_Toc5234"/>
      <w:r>
        <w:t>4952- دیوان عزیز جبلی أو شعره‏</w:t>
      </w:r>
      <w:bookmarkEnd w:id="6538"/>
    </w:p>
    <w:p>
      <w:pPr>
        <w:pStyle w:val="BookText"/>
      </w:pPr>
      <w:r>
        <w:rPr>
          <w:rFonts w:ascii="IRNazanin" w:hAnsi="IRNazanin" w:eastAsia="IRNazanin" w:cs="IRNazanin"/>
          <w:lang w:bidi="fa-IR"/>
          <w:color w:val="111111"/>
          <w:sz w:val="28"/>
          <w:szCs w:val="28"/>
          <w:rtl/>
        </w:rPr>
        <w:t xml:space="preserve">من المعتبرین فی قزوین. ذکره سام میرزا أیضا فی (تس 2- ص 53) و ذکر أنه مبرز فی أکثر الفنون من المعقول و المنقول، و ذکر مدحه لحاکم گیلان و شعره الآخر.</w:t>
      </w:r>
    </w:p>
    <w:p>
      <w:pPr>
        <w:pStyle w:val="Heading3"/>
      </w:pPr>
      <w:bookmarkStart w:id="6539" w:name="_Toc5235"/>
      <w:r>
        <w:t>4953- دیوان عزیز الدین النسفی‏</w:t>
      </w:r>
      <w:bookmarkEnd w:id="6539"/>
    </w:p>
    <w:p>
      <w:pPr>
        <w:pStyle w:val="BookText"/>
      </w:pPr>
      <w:r>
        <w:rPr>
          <w:rFonts w:ascii="IRNazanin" w:hAnsi="IRNazanin" w:eastAsia="IRNazanin" w:cs="IRNazanin"/>
          <w:lang w:bidi="fa-IR"/>
          <w:color w:val="111111"/>
          <w:sz w:val="28"/>
          <w:szCs w:val="28"/>
          <w:rtl/>
        </w:rPr>
        <w:t xml:space="preserve">من مردة سعد الدین الحموی. ترجمه فی (مع ج 1 ص 340) و ذکر شعره و بعض تصانیفه. و کذا فی مجالس العشاق- 115.</w:t>
      </w:r>
    </w:p>
    <w:p>
      <w:pPr>
        <w:pStyle w:val="BookText"/>
      </w:pPr>
      <w:r>
        <w:rPr>
          <w:rFonts w:ascii="IRNazanin" w:hAnsi="IRNazanin" w:eastAsia="IRNazanin" w:cs="IRNazanin"/>
          <w:lang w:bidi="fa-IR"/>
          <w:color w:val="111111"/>
          <w:sz w:val="28"/>
          <w:szCs w:val="28"/>
          <w:rtl/>
        </w:rPr>
        <w:t xml:space="preserve">و لعله متحد مع عزیز أسفراینی.</w:t>
      </w:r>
    </w:p>
    <w:p>
      <w:pPr>
        <w:pStyle w:val="Heading3"/>
      </w:pPr>
      <w:bookmarkStart w:id="6540" w:name="_Toc5236"/>
      <w:r>
        <w:t>4954- دیوان عزیز فرید أو شعره‏</w:t>
      </w:r>
      <w:bookmarkEnd w:id="6540"/>
    </w:p>
    <w:p>
      <w:pPr>
        <w:pStyle w:val="BookText"/>
      </w:pPr>
      <w:r>
        <w:rPr>
          <w:rFonts w:ascii="IRNazanin" w:hAnsi="IRNazanin" w:eastAsia="IRNazanin" w:cs="IRNazanin"/>
          <w:lang w:bidi="fa-IR"/>
          <w:color w:val="111111"/>
          <w:sz w:val="28"/>
          <w:szCs w:val="28"/>
          <w:rtl/>
        </w:rPr>
        <w:t xml:space="preserve">کان مشرف ممالک خراسان کما وصفه و أورد شعره فی (لب 6) و لقبه فخر الدین.</w:t>
      </w:r>
    </w:p>
    <w:p>
      <w:pPr>
        <w:pStyle w:val="Heading3"/>
      </w:pPr>
      <w:bookmarkStart w:id="6541" w:name="_Toc5237"/>
      <w:r>
        <w:t>دیوان عزیز قزوینی‏</w:t>
      </w:r>
      <w:bookmarkEnd w:id="6541"/>
    </w:p>
    <w:p>
      <w:pPr>
        <w:pStyle w:val="BookText"/>
      </w:pPr>
      <w:r>
        <w:rPr>
          <w:rFonts w:ascii="IRNazanin" w:hAnsi="IRNazanin" w:eastAsia="IRNazanin" w:cs="IRNazanin"/>
          <w:lang w:bidi="fa-IR"/>
          <w:color w:val="111111"/>
          <w:sz w:val="28"/>
          <w:szCs w:val="28"/>
          <w:rtl/>
        </w:rPr>
        <w:t xml:space="preserve">کما فی (روشن 252) راجع عزیزی.</w:t>
      </w:r>
    </w:p>
    <w:p>
      <w:pPr>
        <w:pStyle w:val="Heading3"/>
      </w:pPr>
      <w:bookmarkStart w:id="6542" w:name="_Toc5238"/>
      <w:r>
        <w:t>4955- دیوان عزیز قزوینی‏</w:t>
      </w:r>
      <w:bookmarkEnd w:id="6542"/>
    </w:p>
    <w:p>
      <w:pPr>
        <w:pStyle w:val="BookText"/>
      </w:pPr>
      <w:r>
        <w:rPr>
          <w:rFonts w:ascii="IRNazanin" w:hAnsi="IRNazanin" w:eastAsia="IRNazanin" w:cs="IRNazanin"/>
          <w:lang w:bidi="fa-IR"/>
          <w:color w:val="111111"/>
          <w:sz w:val="28"/>
          <w:szCs w:val="28"/>
          <w:rtl/>
        </w:rPr>
        <w:t xml:space="preserve">و هو درویش عزیز الله القزوینی معاصر السلطان یعقوب و الجامی. و دیوانه فی ثمانیة آلاف بیت کما فی (تغ: 52) و الظاهر أنه الذی رثا بابر شاه فی 861 کما فی (خیال: 70) کما ذکرناه فی ص 118.</w:t>
      </w:r>
    </w:p>
    <w:p>
      <w:pPr>
        <w:pStyle w:val="Heading3"/>
      </w:pPr>
      <w:bookmarkStart w:id="6543" w:name="_Toc5239"/>
      <w:r>
        <w:t>4956- دیوان عزیز کاشی‏</w:t>
      </w:r>
      <w:bookmarkEnd w:id="6543"/>
    </w:p>
    <w:p>
      <w:pPr>
        <w:pStyle w:val="BookText"/>
      </w:pPr>
      <w:r>
        <w:rPr>
          <w:rFonts w:ascii="IRNazanin" w:hAnsi="IRNazanin" w:eastAsia="IRNazanin" w:cs="IRNazanin"/>
          <w:lang w:bidi="fa-IR"/>
          <w:color w:val="111111"/>
          <w:sz w:val="28"/>
          <w:szCs w:val="28"/>
          <w:rtl/>
        </w:rPr>
        <w:t xml:space="preserve">و هو عزیز الدین محمود بن علی العارف الکاشانی النطنزی صاحب ترجمه العوارف و شرح التائیة و مثنوی عشق‏نامه و مثنوی عقل‏نامه کما فی (ض: ص 378) و (روشن 450) و هو تلمیذ نور الدین عبد الصمد بن علی الأصفهانی الکاشانی المتوفی 699 و معاصر عبد الرزاق الکاشانی.</w:t>
      </w:r>
    </w:p>
    <w:p>
      <w:pPr>
        <w:pStyle w:val="BookText"/>
      </w:pPr>
      <w:r>
        <w:rPr>
          <w:rFonts w:ascii="IRNazanin" w:hAnsi="IRNazanin" w:eastAsia="IRNazanin" w:cs="IRNazanin"/>
          <w:lang w:bidi="fa-IR"/>
          <w:color w:val="111111"/>
          <w:sz w:val="28"/>
          <w:szCs w:val="28"/>
          <w:rtl/>
        </w:rPr>
        <w:t xml:space="preserve">و توفی عزیز فی 735 و له مصباح الهدایة الذی طبعه جلال الهمائی بطهران فی 1363 مع مقدمه فی أحواله.</w:t>
      </w:r>
    </w:p>
    <w:p>
      <w:pPr>
        <w:pStyle w:val="Heading3"/>
      </w:pPr>
      <w:bookmarkStart w:id="6544" w:name="_Toc5240"/>
      <w:r>
        <w:t>4957- دیوان میر عزیز کمانچه أو شعره‏</w:t>
      </w:r>
      <w:bookmarkEnd w:id="6544"/>
    </w:p>
    <w:p>
      <w:pPr>
        <w:pStyle w:val="BookText"/>
      </w:pPr>
      <w:r>
        <w:rPr>
          <w:rFonts w:ascii="IRNazanin" w:hAnsi="IRNazanin" w:eastAsia="IRNazanin" w:cs="IRNazanin"/>
          <w:lang w:bidi="fa-IR"/>
          <w:color w:val="111111"/>
          <w:sz w:val="28"/>
          <w:szCs w:val="28"/>
          <w:rtl/>
        </w:rPr>
        <w:t xml:space="preserve">کان مصاحب صادقی کتاب دار، کما ترجمه فی (خص 8- ص 286) و ذکر أنه قتله قطاع الطریق و ذکر بعض شعره: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bookmarkStart w:id="711" w:name="pg11704_122195"/>
    <w:bookmarkEnd w:id="711"/>
    <w:p>
      <w:pPr>
        <w:pStyle w:val="BookText"/>
      </w:pPr>
      <w:r>
        <w:rPr>
          <w:rFonts w:ascii="IRNazanin" w:hAnsi="IRNazanin" w:eastAsia="IRNazanin" w:cs="IRNazanin"/>
          <w:lang w:bidi="fa-IR"/>
          <w:color w:val="111111"/>
          <w:sz w:val="28"/>
          <w:szCs w:val="28"/>
          <w:rtl/>
        </w:rPr>
        <w:t xml:space="preserve">غم عشق تو مهمان عزیز است‏</w:t>
      </w:r>
    </w:p>
    <w:p>
      <w:pPr>
        <w:pStyle w:val="BookText"/>
      </w:pPr>
      <w:r>
        <w:rPr>
          <w:rFonts w:ascii="IRNazanin" w:hAnsi="IRNazanin" w:eastAsia="IRNazanin" w:cs="IRNazanin"/>
          <w:lang w:bidi="fa-IR"/>
          <w:color w:val="111111"/>
          <w:sz w:val="28"/>
          <w:szCs w:val="28"/>
          <w:rtl/>
        </w:rPr>
        <w:t xml:space="preserve">بسی شیرین‏تر از جان عزیز است‏</w:t>
      </w:r>
    </w:p>
    <w:p>
      <w:pPr>
        <w:pStyle w:val="Heading3"/>
      </w:pPr>
      <w:bookmarkStart w:id="6545" w:name="_Toc5241"/>
      <w:r>
        <w:t>4958- دیوان عزیز کلکتة</w:t>
      </w:r>
      <w:bookmarkEnd w:id="6545"/>
    </w:p>
    <w:p>
      <w:pPr>
        <w:pStyle w:val="BookText"/>
      </w:pPr>
      <w:r>
        <w:rPr>
          <w:rFonts w:ascii="IRNazanin" w:hAnsi="IRNazanin" w:eastAsia="IRNazanin" w:cs="IRNazanin"/>
          <w:lang w:bidi="fa-IR"/>
          <w:color w:val="111111"/>
          <w:sz w:val="28"/>
          <w:szCs w:val="28"/>
          <w:rtl/>
        </w:rPr>
        <w:t xml:space="preserve">فی المدائح مطبوع بالأردویة و هو للمیرزا هادی مؤلف التجلیات و المتخلص بعزیز و ابن محمد علی مؤلف نجوم أسماء ترجمته فی مصفی المقال فی مصنفی علم الرجال ص 488.</w:t>
      </w:r>
    </w:p>
    <w:p>
      <w:pPr>
        <w:pStyle w:val="Heading3"/>
      </w:pPr>
      <w:bookmarkStart w:id="6546" w:name="_Toc5242"/>
      <w:r>
        <w:t>4959- دیوان عزیز اللاهیجی‏</w:t>
      </w:r>
      <w:bookmarkEnd w:id="6546"/>
    </w:p>
    <w:p>
      <w:pPr>
        <w:pStyle w:val="BookText"/>
      </w:pPr>
      <w:r>
        <w:rPr>
          <w:rFonts w:ascii="IRNazanin" w:hAnsi="IRNazanin" w:eastAsia="IRNazanin" w:cs="IRNazanin"/>
          <w:lang w:bidi="fa-IR"/>
          <w:color w:val="111111"/>
          <w:sz w:val="28"/>
          <w:szCs w:val="28"/>
          <w:rtl/>
        </w:rPr>
        <w:t xml:space="preserve">المیرزا یوسف الگیلانی، کان من شعراء السلطان فتح علی شاه، و بعد موته هاجر من طهران إلی شیراز ترجمه معاصره فی (مع- ج 2- ص 349) و ذکر شعره.</w:t>
      </w:r>
    </w:p>
    <w:p>
      <w:pPr>
        <w:pStyle w:val="Heading3"/>
      </w:pPr>
      <w:bookmarkStart w:id="6547" w:name="_Toc5243"/>
      <w:r>
        <w:t>دیوان عزیز هروی‏</w:t>
      </w:r>
      <w:bookmarkEnd w:id="6547"/>
    </w:p>
    <w:p>
      <w:pPr>
        <w:pStyle w:val="BookText"/>
      </w:pPr>
      <w:r>
        <w:rPr>
          <w:rFonts w:ascii="IRNazanin" w:hAnsi="IRNazanin" w:eastAsia="IRNazanin" w:cs="IRNazanin"/>
          <w:lang w:bidi="fa-IR"/>
          <w:color w:val="111111"/>
          <w:sz w:val="28"/>
          <w:szCs w:val="28"/>
          <w:rtl/>
        </w:rPr>
        <w:t xml:space="preserve">مر بعنوان عزت هروی.</w:t>
      </w:r>
    </w:p>
    <w:p>
      <w:pPr>
        <w:pStyle w:val="Heading3"/>
      </w:pPr>
      <w:bookmarkStart w:id="6548" w:name="_Toc5244"/>
      <w:r>
        <w:t>4960- دیوان عزیز هندی‏</w:t>
      </w:r>
      <w:bookmarkEnd w:id="6548"/>
    </w:p>
    <w:p>
      <w:pPr>
        <w:pStyle w:val="BookText"/>
      </w:pPr>
      <w:r>
        <w:rPr>
          <w:rFonts w:ascii="IRNazanin" w:hAnsi="IRNazanin" w:eastAsia="IRNazanin" w:cs="IRNazanin"/>
          <w:lang w:bidi="fa-IR"/>
          <w:color w:val="111111"/>
          <w:sz w:val="28"/>
          <w:szCs w:val="28"/>
          <w:rtl/>
        </w:rPr>
        <w:t xml:space="preserve">و هو الخواجة عزیز الدین. طبع له قیصرنامه مثنوی فارسی فی 64 ص بالهند.</w:t>
      </w:r>
    </w:p>
    <w:p>
      <w:pPr>
        <w:pStyle w:val="Heading3"/>
      </w:pPr>
      <w:bookmarkStart w:id="6549" w:name="_Toc5245"/>
      <w:r>
        <w:t>4961- دیوان عزیزی تبریزی أو شعره‏</w:t>
      </w:r>
      <w:bookmarkEnd w:id="6549"/>
    </w:p>
    <w:p>
      <w:pPr>
        <w:pStyle w:val="BookText"/>
      </w:pPr>
      <w:r>
        <w:rPr>
          <w:rFonts w:ascii="IRNazanin" w:hAnsi="IRNazanin" w:eastAsia="IRNazanin" w:cs="IRNazanin"/>
          <w:lang w:bidi="fa-IR"/>
          <w:color w:val="111111"/>
          <w:sz w:val="28"/>
          <w:szCs w:val="28"/>
          <w:rtl/>
        </w:rPr>
        <w:t xml:space="preserve">و قد یلقب بعزیزی صباغ. ترجمه و أورد شعره فی (دجا- 274) عن تذکره یوسف علی خان.</w:t>
      </w:r>
    </w:p>
    <w:p>
      <w:pPr>
        <w:pStyle w:val="Heading3"/>
      </w:pPr>
      <w:bookmarkStart w:id="6550" w:name="_Toc5246"/>
      <w:r>
        <w:t>4962- دیوان عزیزی خراسانی أو شعره‏</w:t>
      </w:r>
      <w:bookmarkEnd w:id="6550"/>
    </w:p>
    <w:p>
      <w:pPr>
        <w:pStyle w:val="BookText"/>
      </w:pPr>
      <w:r>
        <w:rPr>
          <w:rFonts w:ascii="IRNazanin" w:hAnsi="IRNazanin" w:eastAsia="IRNazanin" w:cs="IRNazanin"/>
          <w:lang w:bidi="fa-IR"/>
          <w:color w:val="111111"/>
          <w:sz w:val="28"/>
          <w:szCs w:val="28"/>
          <w:rtl/>
        </w:rPr>
        <w:t xml:space="preserve">و هو مجد الدین بن الرشید من کتاب خراسان و فضلائه. کان فی إسفزار فی خدمة علاء الملک. ترجمه و أورد قصائده فی (لب 6).</w:t>
      </w:r>
    </w:p>
    <w:p>
      <w:pPr>
        <w:pStyle w:val="Heading3"/>
      </w:pPr>
      <w:bookmarkStart w:id="6551" w:name="_Toc5247"/>
      <w:r>
        <w:t>4963- دیوان عزیزی قزوینی أو شعره‏</w:t>
      </w:r>
      <w:bookmarkEnd w:id="6551"/>
    </w:p>
    <w:p>
      <w:pPr>
        <w:pStyle w:val="BookText"/>
      </w:pPr>
      <w:r>
        <w:rPr>
          <w:rFonts w:ascii="IRNazanin" w:hAnsi="IRNazanin" w:eastAsia="IRNazanin" w:cs="IRNazanin"/>
          <w:lang w:bidi="fa-IR"/>
          <w:color w:val="111111"/>
          <w:sz w:val="28"/>
          <w:szCs w:val="28"/>
          <w:rtl/>
        </w:rPr>
        <w:t xml:space="preserve">کان نزیل تبریز و نائب القضاء بها. ترجمه فی (تس 5- ص 142) و (طبق 2: 517) و (تش- ص 227) و (گلشن- 284) و قال مات 969 و (حسینی- 211) و عنها فی القاموس الترکی ثم الریحانة.</w:t>
      </w:r>
    </w:p>
    <w:p>
      <w:pPr>
        <w:pStyle w:val="Heading3"/>
      </w:pPr>
      <w:bookmarkStart w:id="6552" w:name="_Toc5248"/>
      <w:r>
        <w:t>4964- دیوان عزیزی قزوینی السیفی‏</w:t>
      </w:r>
      <w:bookmarkEnd w:id="6552"/>
    </w:p>
    <w:p>
      <w:pPr>
        <w:pStyle w:val="BookText"/>
      </w:pPr>
      <w:r>
        <w:rPr>
          <w:rFonts w:ascii="IRNazanin" w:hAnsi="IRNazanin" w:eastAsia="IRNazanin" w:cs="IRNazanin"/>
          <w:lang w:bidi="fa-IR"/>
          <w:color w:val="111111"/>
          <w:sz w:val="28"/>
          <w:szCs w:val="28"/>
          <w:rtl/>
        </w:rPr>
        <w:t xml:space="preserve">. سافر من قزوین إلی الهند فی عهد أکبر شاه و ترقی أمره عنده و لکنه عزله و قتله تعذیبا. نقل عن دیوانه و مثنویاته فی (گلشن:</w:t>
      </w:r>
    </w:p>
    <w:p>
      <w:pPr>
        <w:pStyle w:val="BookText"/>
      </w:pPr>
      <w:r>
        <w:rPr>
          <w:rFonts w:ascii="IRNazanin" w:hAnsi="IRNazanin" w:eastAsia="IRNazanin" w:cs="IRNazanin"/>
          <w:lang w:bidi="fa-IR"/>
          <w:color w:val="111111"/>
          <w:sz w:val="28"/>
          <w:szCs w:val="28"/>
          <w:rtl/>
        </w:rPr>
        <w:t xml:space="preserve">284). و فی (روشن 452) أن تخلصه عزیز و اسمه عزیز الله القزوینی الأبهری مات 988 و له مثنوی آشوب گل و مل.</w:t>
      </w:r>
    </w:p>
    <w:p>
      <w:pPr>
        <w:pStyle w:val="Heading3"/>
      </w:pPr>
      <w:bookmarkStart w:id="6553" w:name="_Toc5249"/>
      <w:r>
        <w:t>دیوان عزیزی صباغ تبریزی أو شعره‏</w:t>
      </w:r>
      <w:bookmarkEnd w:id="6553"/>
    </w:p>
    <w:p>
      <w:pPr>
        <w:pStyle w:val="BookText"/>
      </w:pPr>
      <w:r>
        <w:rPr>
          <w:rFonts w:ascii="IRNazanin" w:hAnsi="IRNazanin" w:eastAsia="IRNazanin" w:cs="IRNazanin"/>
          <w:lang w:bidi="fa-IR"/>
          <w:color w:val="111111"/>
          <w:sz w:val="28"/>
          <w:szCs w:val="28"/>
          <w:rtl/>
        </w:rPr>
        <w:t xml:space="preserve">ترجمه فی (دجا- ص 274) و ذکر شعره نقلا عن تذکره یوسف علی خان. راجع عزیزی تبریزی.</w:t>
      </w:r>
    </w:p>
    <w:p>
      <w:pPr>
        <w:pStyle w:val="Heading3"/>
      </w:pPr>
      <w:bookmarkStart w:id="6554" w:name="_Toc5250"/>
      <w:r>
        <w:t>4965- دیوان عزیزی مستملی أو شعره‏</w:t>
      </w:r>
      <w:bookmarkEnd w:id="6554"/>
    </w:p>
    <w:p>
      <w:pPr>
        <w:pStyle w:val="BookText"/>
      </w:pPr>
      <w:r>
        <w:rPr>
          <w:rFonts w:ascii="IRNazanin" w:hAnsi="IRNazanin" w:eastAsia="IRNazanin" w:cs="IRNazanin"/>
          <w:lang w:bidi="fa-IR"/>
          <w:color w:val="111111"/>
          <w:sz w:val="28"/>
          <w:szCs w:val="28"/>
          <w:rtl/>
        </w:rPr>
        <w:t xml:space="preserve">هو من متقدمی الشعراء ترجمه فی (مع‏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bookmarkStart w:id="712" w:name="pg11704_122196"/>
    <w:bookmarkEnd w:id="712"/>
    <w:p>
      <w:pPr>
        <w:pStyle w:val="BookText"/>
      </w:pPr>
      <w:r>
        <w:rPr>
          <w:rFonts w:ascii="IRNazanin" w:hAnsi="IRNazanin" w:eastAsia="IRNazanin" w:cs="IRNazanin"/>
          <w:lang w:bidi="fa-IR"/>
          <w:color w:val="111111"/>
          <w:sz w:val="28"/>
          <w:szCs w:val="28"/>
          <w:rtl/>
        </w:rPr>
        <w:t xml:space="preserve">ج 1 ص 339) و أورد قصیدته المصنوعة بتشبیه الشفة و العین بالسکر و اللوز، التزم بذکر (لب و بادام و شکر و چشم) فی کل بیت منها.</w:t>
      </w:r>
    </w:p>
    <w:p>
      <w:pPr>
        <w:pStyle w:val="Heading3"/>
      </w:pPr>
      <w:bookmarkStart w:id="6555" w:name="_Toc5251"/>
      <w:r>
        <w:t>4966- دیوان عسجدی‏</w:t>
      </w:r>
      <w:bookmarkEnd w:id="6555"/>
    </w:p>
    <w:p>
      <w:pPr>
        <w:pStyle w:val="BookText"/>
      </w:pPr>
      <w:r>
        <w:rPr>
          <w:rFonts w:ascii="IRNazanin" w:hAnsi="IRNazanin" w:eastAsia="IRNazanin" w:cs="IRNazanin"/>
          <w:lang w:bidi="fa-IR"/>
          <w:color w:val="111111"/>
          <w:sz w:val="28"/>
          <w:szCs w:val="28"/>
          <w:rtl/>
        </w:rPr>
        <w:t xml:space="preserve">الحکیم أبو النصر عبد العزیز بن منصور معاصر العنصری و الفرخی و الفردوسی فی عصر السلطان محمود الغزنوی و المتوفی 433 کما فی شاهد صادق أو 432 کما فی (مع- ج 1 ص 340) و أورد قرب مائة بیت من شعره و حکی فی (بهش 1- ص 341) بدیهته فی المصاریع الثلاثة مع معاصریه و قد تمم رابعها الفردوسی. قالوا و له ثلاثة آلاف بیت لکن لم یبق منها غیر عدة. و قال سنگلاخ فی امتحان الفضلاء 2: 183 رأیت دیوانه بخط أبی البقاء رستم الخطاطین و فی (1: 133 منه) نسخه أخری بخط شفیعا و ترجم أیضا فی (تش 131) و (لب 9) و (لت- 1) و (خیال- 24) و طبع دیوانه بطهران بتصحیح طاهری شهاب فی 1334 ش. فی 38 ص.</w:t>
      </w:r>
    </w:p>
    <w:p>
      <w:pPr>
        <w:pStyle w:val="Heading3"/>
      </w:pPr>
      <w:bookmarkStart w:id="6556" w:name="_Toc5252"/>
      <w:r>
        <w:t>4967- دیوان عسکری بلگرامی أو شعره‏</w:t>
      </w:r>
      <w:bookmarkEnd w:id="6556"/>
    </w:p>
    <w:p>
      <w:pPr>
        <w:pStyle w:val="BookText"/>
      </w:pPr>
      <w:r>
        <w:rPr>
          <w:rFonts w:ascii="IRNazanin" w:hAnsi="IRNazanin" w:eastAsia="IRNazanin" w:cs="IRNazanin"/>
          <w:lang w:bidi="fa-IR"/>
          <w:color w:val="111111"/>
          <w:sz w:val="28"/>
          <w:szCs w:val="28"/>
          <w:rtl/>
        </w:rPr>
        <w:t xml:space="preserve">ترجمه و أورد شعره فی (گلشن- 285) و میخانه.</w:t>
      </w:r>
    </w:p>
    <w:p>
      <w:pPr>
        <w:pStyle w:val="Heading3"/>
      </w:pPr>
      <w:bookmarkStart w:id="6557" w:name="_Toc5253"/>
      <w:r>
        <w:t>دیوان عسکری خراسانی‏</w:t>
      </w:r>
      <w:bookmarkEnd w:id="6557"/>
    </w:p>
    <w:p>
      <w:pPr>
        <w:pStyle w:val="BookText"/>
      </w:pPr>
      <w:r>
        <w:rPr>
          <w:rFonts w:ascii="IRNazanin" w:hAnsi="IRNazanin" w:eastAsia="IRNazanin" w:cs="IRNazanin"/>
          <w:lang w:bidi="fa-IR"/>
          <w:color w:val="111111"/>
          <w:sz w:val="28"/>
          <w:szCs w:val="28"/>
          <w:rtl/>
        </w:rPr>
        <w:t xml:space="preserve">مر بعنوان شرر خراسانی.</w:t>
      </w:r>
    </w:p>
    <w:p>
      <w:pPr>
        <w:pStyle w:val="Heading3"/>
      </w:pPr>
      <w:bookmarkStart w:id="6558" w:name="_Toc5254"/>
      <w:r>
        <w:t>4968- دیوان عسکری کاشانی‏</w:t>
      </w:r>
      <w:bookmarkEnd w:id="6558"/>
    </w:p>
    <w:p>
      <w:pPr>
        <w:pStyle w:val="BookText"/>
      </w:pPr>
      <w:r>
        <w:rPr>
          <w:rFonts w:ascii="IRNazanin" w:hAnsi="IRNazanin" w:eastAsia="IRNazanin" w:cs="IRNazanin"/>
          <w:lang w:bidi="fa-IR"/>
          <w:color w:val="111111"/>
          <w:sz w:val="28"/>
          <w:szCs w:val="28"/>
          <w:rtl/>
        </w:rPr>
        <w:t xml:space="preserve">و هو المیر حسن بن المیر حسین من أولاد أکابر کاشان. نشا بها و سافر إلی الروم للتجارة و رجع فسافر من طریق هرمز إلی دکن و بقی ثمان سنین هناک و لم یلازم محمد قلی قطب شاه، ثم سافر إلی مکة فغرق سفینته و نجی هو و غلام له و رجع إلی سورات و گجرات ثم إلی آگرة ثم کشمیر و بقی هناک عند هاشم خان قاسم خان. و فی 1023 عزل هاشم خان و نصب مکانه صفدر خان، و بقی عسکری هناک سنتین آخرین عنده ثم جاء فی 1025 مع صفدر خان إلی لاهور ثم سافر إلی أجمیر. و له ثلاثة آلاف بیت شعر. کذا ترجمه و أورد له مثنوی ساقی‏نامه فی میخانه ص 477.</w:t>
      </w:r>
    </w:p>
    <w:p>
      <w:pPr>
        <w:pStyle w:val="Heading3"/>
      </w:pPr>
      <w:bookmarkStart w:id="6559" w:name="_Toc5255"/>
      <w:r>
        <w:t>4969- دیوان عسکری میرزا أو شعره‏</w:t>
      </w:r>
      <w:bookmarkEnd w:id="6559"/>
    </w:p>
    <w:p>
      <w:pPr>
        <w:pStyle w:val="BookText"/>
      </w:pPr>
      <w:r>
        <w:rPr>
          <w:rFonts w:ascii="IRNazanin" w:hAnsi="IRNazanin" w:eastAsia="IRNazanin" w:cs="IRNazanin"/>
          <w:lang w:bidi="fa-IR"/>
          <w:color w:val="111111"/>
          <w:sz w:val="28"/>
          <w:szCs w:val="28"/>
          <w:rtl/>
        </w:rPr>
        <w:t xml:space="preserve">من أحفاد بابر میرزا. ترجمه معاصره سام میرزا فی (تس 1- ص 17) و أورد شعره و قال فی (گلشن- 285) اسمه محمد بن محمد بابر شاه و هو أخ همایون پادشاه، حارب أخاه و انکسر فحبسه همایون و فر من السجن إلی مکة و بها مات فی 923.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bookmarkStart w:id="713" w:name="pg11704_122197"/>
    <w:bookmarkEnd w:id="713"/>
    <w:p>
      <w:pPr>
        <w:pStyle w:val="Heading3"/>
      </w:pPr>
      <w:bookmarkStart w:id="6560" w:name="_Toc5256"/>
      <w:r>
        <w:t>4970- دیوان عشرت بروجردی‏</w:t>
      </w:r>
      <w:bookmarkEnd w:id="6560"/>
    </w:p>
    <w:p>
      <w:pPr>
        <w:pStyle w:val="BookText"/>
      </w:pPr>
      <w:r>
        <w:rPr>
          <w:rFonts w:ascii="IRNazanin" w:hAnsi="IRNazanin" w:eastAsia="IRNazanin" w:cs="IRNazanin"/>
          <w:lang w:bidi="fa-IR"/>
          <w:color w:val="111111"/>
          <w:sz w:val="28"/>
          <w:szCs w:val="28"/>
          <w:rtl/>
        </w:rPr>
        <w:t xml:space="preserve">من شعراء القرن الثالث عشر ببروجرد. توجد نسخته المحتویة علی 300 صفحة بخط علی حسین الحاتمی ببروجرد، و هی قصائد و غزلیات و تواریخ و مطائبات. و لعله الفراهانی.</w:t>
      </w:r>
    </w:p>
    <w:p>
      <w:pPr>
        <w:pStyle w:val="Heading3"/>
      </w:pPr>
      <w:bookmarkStart w:id="6561" w:name="_Toc5257"/>
      <w:r>
        <w:t>4971- دیوان عشرت شیرازی أو شعره‏</w:t>
      </w:r>
      <w:bookmarkEnd w:id="6561"/>
    </w:p>
    <w:p>
      <w:pPr>
        <w:pStyle w:val="BookText"/>
      </w:pPr>
      <w:r>
        <w:rPr>
          <w:rFonts w:ascii="IRNazanin" w:hAnsi="IRNazanin" w:eastAsia="IRNazanin" w:cs="IRNazanin"/>
          <w:lang w:bidi="fa-IR"/>
          <w:color w:val="111111"/>
          <w:sz w:val="28"/>
          <w:szCs w:val="28"/>
          <w:rtl/>
        </w:rPr>
        <w:t xml:space="preserve">و هو المیرزا محمد شفیع الأخ الأصغر لحسین همت، و هما ابنا وقار بن وصال الشیرازی. ترجمه و أورد شعره فی (عم 363).</w:t>
      </w:r>
    </w:p>
    <w:p>
      <w:pPr>
        <w:pStyle w:val="BookText"/>
      </w:pPr>
      <w:r>
        <w:rPr>
          <w:rFonts w:ascii="IRNazanin" w:hAnsi="IRNazanin" w:eastAsia="IRNazanin" w:cs="IRNazanin"/>
          <w:lang w:bidi="fa-IR"/>
          <w:color w:val="111111"/>
          <w:sz w:val="28"/>
          <w:szCs w:val="28"/>
          <w:rtl/>
        </w:rPr>
        <w:t xml:space="preserve">و توفی 1358 کما فی ریحانة الأدب و أورد قصة ازدواجه فی حاشیة از سعدی تا جامی- ص 341.</w:t>
      </w:r>
    </w:p>
    <w:p>
      <w:pPr>
        <w:pStyle w:val="Heading3"/>
      </w:pPr>
      <w:bookmarkStart w:id="6562" w:name="_Toc5258"/>
      <w:r>
        <w:t>دیوان عشرت فراهانی بروجردی‏</w:t>
      </w:r>
      <w:bookmarkEnd w:id="6562"/>
    </w:p>
    <w:p>
      <w:pPr>
        <w:pStyle w:val="BookText"/>
      </w:pPr>
      <w:r>
        <w:rPr>
          <w:rFonts w:ascii="IRNazanin" w:hAnsi="IRNazanin" w:eastAsia="IRNazanin" w:cs="IRNazanin"/>
          <w:lang w:bidi="fa-IR"/>
          <w:color w:val="111111"/>
          <w:sz w:val="28"/>
          <w:szCs w:val="28"/>
          <w:rtl/>
        </w:rPr>
        <w:t xml:space="preserve">و هو السید مهدی ملک الکتاب الشاعر الخطاط ابن عم الوزیر قائم مقام الفراهانی. نشا ببروجرد و لحق ببلاط فتح علی شاه و لقب ملک الکتاب. قیل کان یکتب ألف بیت فی سبع ساعات. و مات 1260 کما فی خطوط خوش للدکتور بیانی نقلا عن سپهر الکاشانی. و کذا فی (انجمن 4) و (مع 2: 345).</w:t>
      </w:r>
    </w:p>
    <w:p>
      <w:pPr>
        <w:pStyle w:val="Heading3"/>
      </w:pPr>
      <w:bookmarkStart w:id="6563" w:name="_Toc5259"/>
      <w:r>
        <w:t>دیوان عشرت‏فروشانی‏</w:t>
      </w:r>
      <w:bookmarkEnd w:id="6563"/>
    </w:p>
    <w:p>
      <w:pPr>
        <w:pStyle w:val="BookText"/>
      </w:pPr>
      <w:r>
        <w:rPr>
          <w:rFonts w:ascii="IRNazanin" w:hAnsi="IRNazanin" w:eastAsia="IRNazanin" w:cs="IRNazanin"/>
          <w:lang w:bidi="fa-IR"/>
          <w:color w:val="111111"/>
          <w:sz w:val="28"/>
          <w:szCs w:val="28"/>
          <w:rtl/>
        </w:rPr>
        <w:t xml:space="preserve">کما فی (تغ 90) و الصحیح عشرتی کما یأتی.</w:t>
      </w:r>
    </w:p>
    <w:p>
      <w:pPr>
        <w:pStyle w:val="Heading3"/>
      </w:pPr>
      <w:bookmarkStart w:id="6564" w:name="_Toc5260"/>
      <w:r>
        <w:t>4972- دیوان عشرت کشمیری أو شعره‏</w:t>
      </w:r>
      <w:bookmarkEnd w:id="6564"/>
    </w:p>
    <w:p>
      <w:pPr>
        <w:pStyle w:val="BookText"/>
      </w:pPr>
      <w:r>
        <w:rPr>
          <w:rFonts w:ascii="IRNazanin" w:hAnsi="IRNazanin" w:eastAsia="IRNazanin" w:cs="IRNazanin"/>
          <w:lang w:bidi="fa-IR"/>
          <w:color w:val="111111"/>
          <w:sz w:val="28"/>
          <w:szCs w:val="28"/>
          <w:rtl/>
        </w:rPr>
        <w:t xml:space="preserve">لازم النواب نجم الدولة أمیر خان بهادر، ثم مؤتمن الدولة محمد إسحاق. ذکره فی (گلشن 285).</w:t>
      </w:r>
    </w:p>
    <w:p>
      <w:pPr>
        <w:pStyle w:val="Heading3"/>
      </w:pPr>
      <w:bookmarkStart w:id="6565" w:name="_Toc5261"/>
      <w:r>
        <w:t>4973- دیوان عشرتی أصفهانی أو شعره‏</w:t>
      </w:r>
      <w:bookmarkEnd w:id="6565"/>
    </w:p>
    <w:p>
      <w:pPr>
        <w:pStyle w:val="BookText"/>
      </w:pPr>
      <w:r>
        <w:rPr>
          <w:rFonts w:ascii="IRNazanin" w:hAnsi="IRNazanin" w:eastAsia="IRNazanin" w:cs="IRNazanin"/>
          <w:lang w:bidi="fa-IR"/>
          <w:color w:val="111111"/>
          <w:sz w:val="28"/>
          <w:szCs w:val="28"/>
          <w:rtl/>
        </w:rPr>
        <w:t xml:space="preserve">سافر إلی الهند و رجع إلی مشهد خراسان و قتل فی الطریق. ذکر فی (گلشن 286).</w:t>
      </w:r>
    </w:p>
    <w:p>
      <w:pPr>
        <w:pStyle w:val="Heading3"/>
      </w:pPr>
      <w:bookmarkStart w:id="6566" w:name="_Toc5262"/>
      <w:r>
        <w:t>4974- دیوان ملا عشرتی فروشانی‏</w:t>
      </w:r>
      <w:bookmarkEnd w:id="6566"/>
    </w:p>
    <w:p>
      <w:pPr>
        <w:pStyle w:val="BookText"/>
      </w:pPr>
      <w:r>
        <w:rPr>
          <w:rFonts w:ascii="IRNazanin" w:hAnsi="IRNazanin" w:eastAsia="IRNazanin" w:cs="IRNazanin"/>
          <w:lang w:bidi="fa-IR"/>
          <w:color w:val="111111"/>
          <w:sz w:val="28"/>
          <w:szCs w:val="28"/>
          <w:rtl/>
        </w:rPr>
        <w:t xml:space="preserve">من محلات ورنوسفادران. ترجمه النصرآبادی فی (نر 9- ص 338) و قال إن اسمه آقا علی بن الحاج عین علی الفروشانی الورنوسفادرانی الأصفهانی. کان تلمیذ المولی حسن علی بن المولی عبد الله التستری. سافر إلی الهند و رجع ثم سافر إلی مشهد الرضا و بها توفی. و أخوه قطب العارفین محمد إسماعیل و الآخر محمد إبراهیم الشاعر المتخلص فارغ یأتی. ترجم فی (تغ 90) و (روشن 455) و رأیت فی بعض الفهارس أن دیوان عشرتی مطبوع فارسی.</w:t>
      </w:r>
    </w:p>
    <w:p>
      <w:pPr>
        <w:pStyle w:val="Heading3"/>
      </w:pPr>
      <w:bookmarkStart w:id="6567" w:name="_Toc5263"/>
      <w:r>
        <w:t>4975- دیوان عشرتی قلندر أو شعره‏</w:t>
      </w:r>
      <w:bookmarkEnd w:id="6567"/>
    </w:p>
    <w:p>
      <w:pPr>
        <w:pStyle w:val="BookText"/>
      </w:pPr>
      <w:r>
        <w:rPr>
          <w:rFonts w:ascii="IRNazanin" w:hAnsi="IRNazanin" w:eastAsia="IRNazanin" w:cs="IRNazanin"/>
          <w:lang w:bidi="fa-IR"/>
          <w:color w:val="111111"/>
          <w:sz w:val="28"/>
          <w:szCs w:val="28"/>
          <w:rtl/>
        </w:rPr>
        <w:t xml:space="preserve">ترجمه معاصره فی (تس 5- ص 152).</w:t>
      </w:r>
    </w:p>
    <w:p>
      <w:pPr>
        <w:pStyle w:val="Heading3"/>
      </w:pPr>
      <w:bookmarkStart w:id="6568" w:name="_Toc5264"/>
      <w:r>
        <w:t>4976- دیوان عشرتی گیلانی أو شعره‏</w:t>
      </w:r>
      <w:bookmarkEnd w:id="6568"/>
    </w:p>
    <w:p>
      <w:pPr>
        <w:pStyle w:val="BookText"/>
      </w:pPr>
      <w:r>
        <w:rPr>
          <w:rFonts w:ascii="IRNazanin" w:hAnsi="IRNazanin" w:eastAsia="IRNazanin" w:cs="IRNazanin"/>
          <w:lang w:bidi="fa-IR"/>
          <w:color w:val="111111"/>
          <w:sz w:val="28"/>
          <w:szCs w:val="28"/>
          <w:rtl/>
        </w:rPr>
        <w:t xml:space="preserve">ترجمه معاصره النصرآبادی فی (نر 9- ص 204) و أورد شعره. و ترجمه أیضا فی (تش: 183).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bookmarkStart w:id="714" w:name="pg11704_122198"/>
    <w:bookmarkEnd w:id="714"/>
    <w:p>
      <w:pPr>
        <w:pStyle w:val="Heading3"/>
      </w:pPr>
      <w:bookmarkStart w:id="6569" w:name="_Toc5265"/>
      <w:r>
        <w:t>4977- دیوان عشرتی یزدی‏</w:t>
      </w:r>
      <w:bookmarkEnd w:id="6569"/>
    </w:p>
    <w:p>
      <w:pPr>
        <w:pStyle w:val="BookText"/>
      </w:pPr>
      <w:r>
        <w:rPr>
          <w:rFonts w:ascii="IRNazanin" w:hAnsi="IRNazanin" w:eastAsia="IRNazanin" w:cs="IRNazanin"/>
          <w:lang w:bidi="fa-IR"/>
          <w:color w:val="111111"/>
          <w:sz w:val="28"/>
          <w:szCs w:val="28"/>
          <w:rtl/>
        </w:rPr>
        <w:t xml:space="preserve">الخطاط بالنستعلیق من سادات نجباء یزد و من شعرائها فی العصر الصفوی. ترجمه و أورد شعره فی (تش 261) و (هفت 186) و (تش یز- 311) و فی (گلشن 286).</w:t>
      </w:r>
    </w:p>
    <w:p>
      <w:pPr>
        <w:pStyle w:val="Heading3"/>
      </w:pPr>
      <w:bookmarkStart w:id="6570" w:name="_Toc5266"/>
      <w:r>
        <w:t>4978- دیوان عشرتی هروی أو شعره‏</w:t>
      </w:r>
      <w:bookmarkEnd w:id="6570"/>
    </w:p>
    <w:p>
      <w:pPr>
        <w:pStyle w:val="BookText"/>
      </w:pPr>
      <w:r>
        <w:rPr>
          <w:rFonts w:ascii="IRNazanin" w:hAnsi="IRNazanin" w:eastAsia="IRNazanin" w:cs="IRNazanin"/>
          <w:lang w:bidi="fa-IR"/>
          <w:color w:val="111111"/>
          <w:sz w:val="28"/>
          <w:szCs w:val="28"/>
          <w:rtl/>
        </w:rPr>
        <w:t xml:space="preserve">و اسمه بابا جان أطری شعره فی (مجتس 6- ص 164) بعد أن ذکر عشرتی ابن حلبی طنبورچی الترکی.</w:t>
      </w:r>
    </w:p>
    <w:p>
      <w:pPr>
        <w:pStyle w:val="Heading3"/>
      </w:pPr>
      <w:bookmarkStart w:id="6571" w:name="_Toc5267"/>
      <w:r>
        <w:t>4979- دیوان عشق أصفهانی‏</w:t>
      </w:r>
      <w:bookmarkEnd w:id="6571"/>
    </w:p>
    <w:p>
      <w:pPr>
        <w:pStyle w:val="BookText"/>
      </w:pPr>
      <w:r>
        <w:rPr>
          <w:rFonts w:ascii="IRNazanin" w:hAnsi="IRNazanin" w:eastAsia="IRNazanin" w:cs="IRNazanin"/>
          <w:lang w:bidi="fa-IR"/>
          <w:color w:val="111111"/>
          <w:sz w:val="28"/>
          <w:szCs w:val="28"/>
          <w:rtl/>
        </w:rPr>
        <w:t xml:space="preserve">و اسمه عبد الله بن المیرزا محمد شفیع المستوفی من سادات أصفهان. کان معاصر الشاه عباس الثانی و مداحا له. توجد نسخه منه عند حسین کوهی کرمانی بطهران، کتب فی عصر المؤلف فی حدود (800 بیت) قصیدة و غزلیات، آخره فی تاریخ بناء بناه الشاه عباس فی 1064:</w:t>
      </w:r>
    </w:p>
    <w:p>
      <w:pPr>
        <w:pStyle w:val="BookText"/>
      </w:pPr>
      <w:r>
        <w:rPr>
          <w:rFonts w:ascii="IRNazanin" w:hAnsi="IRNazanin" w:eastAsia="IRNazanin" w:cs="IRNazanin"/>
          <w:lang w:bidi="fa-IR"/>
          <w:color w:val="111111"/>
          <w:sz w:val="28"/>
          <w:szCs w:val="28"/>
          <w:rtl/>
        </w:rPr>
        <w:t xml:space="preserve">سال تاریخش طلب کردم ز پیر عقل گفت‏</w:t>
      </w:r>
    </w:p>
    <w:p>
      <w:pPr>
        <w:pStyle w:val="BookText"/>
      </w:pPr>
      <w:r>
        <w:rPr>
          <w:rFonts w:ascii="IRNazanin" w:hAnsi="IRNazanin" w:eastAsia="IRNazanin" w:cs="IRNazanin"/>
          <w:lang w:bidi="fa-IR"/>
          <w:color w:val="111111"/>
          <w:sz w:val="28"/>
          <w:szCs w:val="28"/>
          <w:rtl/>
        </w:rPr>
        <w:t xml:space="preserve">با دعای عیش شه عباس این عالی بنا</w:t>
      </w:r>
    </w:p>
    <w:p>
      <w:pPr>
        <w:pStyle w:val="BookText"/>
      </w:pPr>
      <w:r>
        <w:rPr>
          <w:rFonts w:ascii="IRNazanin" w:hAnsi="IRNazanin" w:eastAsia="IRNazanin" w:cs="IRNazanin"/>
          <w:lang w:bidi="fa-IR"/>
          <w:color w:val="111111"/>
          <w:sz w:val="28"/>
          <w:szCs w:val="28"/>
          <w:rtl/>
        </w:rPr>
        <w:t xml:space="preserve">و قد تتبع أحد غزلیاته صائب. و نسخه أخری عند (الملک) ترجمه فی (نر 5- ص 98) و قال مات شابا قبل سنوات. و مر ولده داود أصفهانی فی (ص 318) و ترجم فی (ض- ص 330) و (تش- 165) ذیل ترجمه ابنه داود. و جاء شعره فی گلستان مسرت.</w:t>
      </w:r>
    </w:p>
    <w:p>
      <w:pPr>
        <w:pStyle w:val="BookText"/>
      </w:pPr>
      <w:r>
        <w:rPr>
          <w:rFonts w:ascii="IRNazanin" w:hAnsi="IRNazanin" w:eastAsia="IRNazanin" w:cs="IRNazanin"/>
          <w:lang w:bidi="fa-IR"/>
          <w:color w:val="111111"/>
          <w:sz w:val="28"/>
          <w:szCs w:val="28"/>
          <w:rtl/>
        </w:rPr>
        <w:t xml:space="preserve">ص 251 و (تغ 90). و فی (روشن 455- 456) جعل عشق تخلص ابنه داود أیضا.</w:t>
      </w:r>
    </w:p>
    <w:p>
      <w:pPr>
        <w:pStyle w:val="Heading3"/>
      </w:pPr>
      <w:bookmarkStart w:id="6572" w:name="_Toc5268"/>
      <w:r>
        <w:t>4980- دیوان عشق هندی‏</w:t>
      </w:r>
      <w:bookmarkEnd w:id="6572"/>
    </w:p>
    <w:p>
      <w:pPr>
        <w:pStyle w:val="BookText"/>
      </w:pPr>
      <w:r>
        <w:rPr>
          <w:rFonts w:ascii="IRNazanin" w:hAnsi="IRNazanin" w:eastAsia="IRNazanin" w:cs="IRNazanin"/>
          <w:lang w:bidi="fa-IR"/>
          <w:color w:val="111111"/>
          <w:sz w:val="28"/>
          <w:szCs w:val="28"/>
          <w:rtl/>
        </w:rPr>
        <w:t xml:space="preserve">مراثی و مدائح بالأردویة للسید حسین میرزا صاحب الهندی. مطبوع و جزؤه الثانی برهان غم کما مر.</w:t>
      </w:r>
    </w:p>
    <w:p>
      <w:pPr>
        <w:pStyle w:val="Heading3"/>
      </w:pPr>
      <w:bookmarkStart w:id="6573" w:name="_Toc5269"/>
      <w:r>
        <w:t>4981- دیوان عشقی‏</w:t>
      </w:r>
      <w:bookmarkEnd w:id="6573"/>
    </w:p>
    <w:p>
      <w:pPr>
        <w:pStyle w:val="BookText"/>
      </w:pPr>
      <w:r>
        <w:rPr>
          <w:rFonts w:ascii="IRNazanin" w:hAnsi="IRNazanin" w:eastAsia="IRNazanin" w:cs="IRNazanin"/>
          <w:lang w:bidi="fa-IR"/>
          <w:color w:val="111111"/>
          <w:sz w:val="28"/>
          <w:szCs w:val="28"/>
          <w:rtl/>
        </w:rPr>
        <w:t xml:space="preserve">طبع بهذا العنوان مع مقدمه ر سورن. فی بمبئی 1309 ش.</w:t>
      </w:r>
    </w:p>
    <w:p>
      <w:pPr>
        <w:pStyle w:val="BookText"/>
      </w:pPr>
      <w:r>
        <w:rPr>
          <w:rFonts w:ascii="IRNazanin" w:hAnsi="IRNazanin" w:eastAsia="IRNazanin" w:cs="IRNazanin"/>
          <w:lang w:bidi="fa-IR"/>
          <w:color w:val="111111"/>
          <w:sz w:val="28"/>
          <w:szCs w:val="28"/>
          <w:rtl/>
        </w:rPr>
        <w:t xml:space="preserve">1930 م. فی 232 ص.</w:t>
      </w:r>
    </w:p>
    <w:p>
      <w:pPr>
        <w:pStyle w:val="Heading3"/>
      </w:pPr>
      <w:bookmarkStart w:id="6574" w:name="_Toc5270"/>
      <w:r>
        <w:t>دیوان عشقی‏</w:t>
      </w:r>
      <w:bookmarkEnd w:id="6574"/>
    </w:p>
    <w:p>
      <w:pPr>
        <w:pStyle w:val="BookText"/>
      </w:pPr>
      <w:r>
        <w:rPr>
          <w:rFonts w:ascii="IRNazanin" w:hAnsi="IRNazanin" w:eastAsia="IRNazanin" w:cs="IRNazanin"/>
          <w:lang w:bidi="fa-IR"/>
          <w:color w:val="111111"/>
          <w:sz w:val="28"/>
          <w:szCs w:val="28"/>
          <w:rtl/>
        </w:rPr>
        <w:t xml:space="preserve">موجود بهذا العنوان فی مکتبة عثمان الثالث بأستانبول و لعله لأحد المذکورین.</w:t>
      </w:r>
    </w:p>
    <w:p>
      <w:pPr>
        <w:pStyle w:val="Heading3"/>
      </w:pPr>
      <w:bookmarkStart w:id="6575" w:name="_Toc5271"/>
      <w:r>
        <w:t>دیوان عشقی أسفراینی أو شعره‏</w:t>
      </w:r>
      <w:bookmarkEnd w:id="6575"/>
    </w:p>
    <w:p>
      <w:pPr>
        <w:pStyle w:val="BookText"/>
      </w:pPr>
      <w:r>
        <w:rPr>
          <w:rFonts w:ascii="IRNazanin" w:hAnsi="IRNazanin" w:eastAsia="IRNazanin" w:cs="IRNazanin"/>
          <w:lang w:bidi="fa-IR"/>
          <w:color w:val="111111"/>
          <w:sz w:val="28"/>
          <w:szCs w:val="28"/>
          <w:rtl/>
        </w:rPr>
        <w:t xml:space="preserve">أورد شعره فی (روشن- ص 456) و قال هو من تلامیذ آذری. و هو مصحف عفتی المذکور فی ص 731 ظاهرا.</w:t>
      </w:r>
    </w:p>
    <w:p>
      <w:pPr>
        <w:pStyle w:val="Heading3"/>
      </w:pPr>
      <w:bookmarkStart w:id="6576" w:name="_Toc5272"/>
      <w:r>
        <w:t>4982- دیوان عشقی بلگرامی‏</w:t>
      </w:r>
      <w:bookmarkEnd w:id="6576"/>
    </w:p>
    <w:p>
      <w:pPr>
        <w:pStyle w:val="BookText"/>
      </w:pPr>
      <w:r>
        <w:rPr>
          <w:rFonts w:ascii="IRNazanin" w:hAnsi="IRNazanin" w:eastAsia="IRNazanin" w:cs="IRNazanin"/>
          <w:lang w:bidi="fa-IR"/>
          <w:color w:val="111111"/>
          <w:sz w:val="28"/>
          <w:szCs w:val="28"/>
          <w:rtl/>
        </w:rPr>
        <w:t xml:space="preserve">و هو السید برکة الله بن أویس بن عبد الجلیل بن عبد الواحد. تلمذ علی عبد النبی بلگرامی و السید لطف الله، و مات 1142 و قال آزاد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bookmarkStart w:id="715" w:name="pg11704_122199"/>
    <w:bookmarkEnd w:id="715"/>
    <w:p>
      <w:pPr>
        <w:pStyle w:val="BookText"/>
      </w:pPr>
      <w:r>
        <w:rPr>
          <w:rFonts w:ascii="IRNazanin" w:hAnsi="IRNazanin" w:eastAsia="IRNazanin" w:cs="IRNazanin"/>
          <w:lang w:bidi="fa-IR"/>
          <w:color w:val="111111"/>
          <w:sz w:val="28"/>
          <w:szCs w:val="28"/>
          <w:rtl/>
        </w:rPr>
        <w:t xml:space="preserve">بلگرامی فی تاریخه:</w:t>
      </w:r>
    </w:p>
    <w:p>
      <w:pPr>
        <w:pStyle w:val="BookText"/>
      </w:pPr>
      <w:r>
        <w:rPr>
          <w:rFonts w:ascii="IRNazanin" w:hAnsi="IRNazanin" w:eastAsia="IRNazanin" w:cs="IRNazanin"/>
          <w:lang w:bidi="fa-IR"/>
          <w:color w:val="111111"/>
          <w:sz w:val="28"/>
          <w:szCs w:val="28"/>
          <w:rtl/>
        </w:rPr>
        <w:t xml:space="preserve">تاریخ وصال أو خرد کرد رقم:</w:t>
      </w:r>
    </w:p>
    <w:p>
      <w:pPr>
        <w:pStyle w:val="BookText"/>
      </w:pPr>
      <w:r>
        <w:rPr>
          <w:rFonts w:ascii="IRNazanin" w:hAnsi="IRNazanin" w:eastAsia="IRNazanin" w:cs="IRNazanin"/>
          <w:lang w:bidi="fa-IR"/>
          <w:color w:val="111111"/>
          <w:sz w:val="28"/>
          <w:szCs w:val="28"/>
          <w:rtl/>
        </w:rPr>
        <w:t xml:space="preserve">صاحب برکات و أصل منزل قدس‏</w:t>
      </w:r>
    </w:p>
    <w:p>
      <w:pPr>
        <w:pStyle w:val="BookText"/>
      </w:pPr>
      <w:r>
        <w:rPr>
          <w:rFonts w:ascii="IRNazanin" w:hAnsi="IRNazanin" w:eastAsia="IRNazanin" w:cs="IRNazanin"/>
          <w:lang w:bidi="fa-IR"/>
          <w:color w:val="111111"/>
          <w:sz w:val="28"/>
          <w:szCs w:val="28"/>
          <w:rtl/>
        </w:rPr>
        <w:t xml:space="preserve">له دیوان صغیر و مثنوی ریاض عشق. ترجمه کذلک فی سرو آزاد- ص 248- 250.</w:t>
      </w:r>
    </w:p>
    <w:p>
      <w:pPr>
        <w:pStyle w:val="Heading3"/>
      </w:pPr>
      <w:bookmarkStart w:id="6577" w:name="_Toc5273"/>
      <w:r>
        <w:t>4983- دیوان عشقی تبریزی‏</w:t>
      </w:r>
      <w:bookmarkEnd w:id="6577"/>
    </w:p>
    <w:p>
      <w:pPr>
        <w:pStyle w:val="BookText"/>
      </w:pPr>
      <w:r>
        <w:rPr>
          <w:rFonts w:ascii="IRNazanin" w:hAnsi="IRNazanin" w:eastAsia="IRNazanin" w:cs="IRNazanin"/>
          <w:lang w:bidi="fa-IR"/>
          <w:color w:val="111111"/>
          <w:sz w:val="28"/>
          <w:szCs w:val="28"/>
          <w:rtl/>
        </w:rPr>
        <w:t xml:space="preserve">له الید فی المعمی. ترجمه سام میرزا فی (تس 5- ص 142) و أورد شعره. و نقل عنه فی (دجا- ص 274).</w:t>
      </w:r>
    </w:p>
    <w:p>
      <w:pPr>
        <w:pStyle w:val="Heading3"/>
      </w:pPr>
      <w:bookmarkStart w:id="6578" w:name="_Toc5274"/>
      <w:r>
        <w:t>4984- دیوان عشقی درگزینی أو شعره‏</w:t>
      </w:r>
      <w:bookmarkEnd w:id="6578"/>
    </w:p>
    <w:p>
      <w:pPr>
        <w:pStyle w:val="BookText"/>
      </w:pPr>
      <w:r>
        <w:rPr>
          <w:rFonts w:ascii="IRNazanin" w:hAnsi="IRNazanin" w:eastAsia="IRNazanin" w:cs="IRNazanin"/>
          <w:lang w:bidi="fa-IR"/>
          <w:color w:val="111111"/>
          <w:sz w:val="28"/>
          <w:szCs w:val="28"/>
          <w:rtl/>
        </w:rPr>
        <w:t xml:space="preserve">کان معلم الأطفال. ترجمه معاصره سام میرزا و أورد شعره فی (تس 5- ص 150).</w:t>
      </w:r>
    </w:p>
    <w:p>
      <w:pPr>
        <w:pStyle w:val="Heading3"/>
      </w:pPr>
      <w:bookmarkStart w:id="6579" w:name="_Toc5275"/>
      <w:r>
        <w:t>4985- دیوان عشقی شیرازی أو شعره‏</w:t>
      </w:r>
      <w:bookmarkEnd w:id="6579"/>
    </w:p>
    <w:p>
      <w:pPr>
        <w:pStyle w:val="BookText"/>
      </w:pPr>
      <w:r>
        <w:rPr>
          <w:rFonts w:ascii="IRNazanin" w:hAnsi="IRNazanin" w:eastAsia="IRNazanin" w:cs="IRNazanin"/>
          <w:lang w:bidi="fa-IR"/>
          <w:color w:val="111111"/>
          <w:sz w:val="28"/>
          <w:szCs w:val="28"/>
          <w:rtl/>
        </w:rPr>
        <w:t xml:space="preserve">کان محب أهل العلم. ترجمه سام میرزا فی (تس 5- ص 146) و أورد شعره.</w:t>
      </w:r>
    </w:p>
    <w:p>
      <w:pPr>
        <w:pStyle w:val="Heading3"/>
      </w:pPr>
      <w:bookmarkStart w:id="6580" w:name="_Toc5276"/>
      <w:r>
        <w:t>4986- دیوان عشقی طهرانی أو شعره‏</w:t>
      </w:r>
      <w:bookmarkEnd w:id="6580"/>
    </w:p>
    <w:p>
      <w:pPr>
        <w:pStyle w:val="BookText"/>
      </w:pPr>
      <w:r>
        <w:rPr>
          <w:rFonts w:ascii="IRNazanin" w:hAnsi="IRNazanin" w:eastAsia="IRNazanin" w:cs="IRNazanin"/>
          <w:lang w:bidi="fa-IR"/>
          <w:color w:val="111111"/>
          <w:sz w:val="28"/>
          <w:szCs w:val="28"/>
          <w:rtl/>
        </w:rPr>
        <w:t xml:space="preserve">ترجمه سام میرزا فی (تس 5- ص 162) و أورد شعره.</w:t>
      </w:r>
    </w:p>
    <w:p>
      <w:pPr>
        <w:pStyle w:val="Heading3"/>
      </w:pPr>
      <w:bookmarkStart w:id="6581" w:name="_Toc5277"/>
      <w:r>
        <w:t>4987- دیوان عشقی عظیم‏آبادی أو شعره‏</w:t>
      </w:r>
      <w:bookmarkEnd w:id="6581"/>
    </w:p>
    <w:p>
      <w:pPr>
        <w:pStyle w:val="BookText"/>
      </w:pPr>
      <w:r>
        <w:rPr>
          <w:rFonts w:ascii="IRNazanin" w:hAnsi="IRNazanin" w:eastAsia="IRNazanin" w:cs="IRNazanin"/>
          <w:lang w:bidi="fa-IR"/>
          <w:color w:val="111111"/>
          <w:sz w:val="28"/>
          <w:szCs w:val="28"/>
          <w:rtl/>
        </w:rPr>
        <w:t xml:space="preserve">و اسمه محمد وجیه الدین نزل جهانگیر نگر. أورد شعره تلمیذه فی نشتر عشق و عنه فی (روشن 457). توجد نسخه مخطوطة بهذا العنوان فی مکتبة (بنگاله).</w:t>
      </w:r>
    </w:p>
    <w:p>
      <w:pPr>
        <w:pStyle w:val="Heading3"/>
      </w:pPr>
      <w:bookmarkStart w:id="6582" w:name="_Toc5278"/>
      <w:r>
        <w:t>4988- دیوان عشقی کاشانی أو شعره‏</w:t>
      </w:r>
      <w:bookmarkEnd w:id="6582"/>
    </w:p>
    <w:p>
      <w:pPr>
        <w:pStyle w:val="BookText"/>
      </w:pPr>
      <w:r>
        <w:rPr>
          <w:rFonts w:ascii="IRNazanin" w:hAnsi="IRNazanin" w:eastAsia="IRNazanin" w:cs="IRNazanin"/>
          <w:lang w:bidi="fa-IR"/>
          <w:color w:val="111111"/>
          <w:sz w:val="28"/>
          <w:szCs w:val="28"/>
          <w:rtl/>
        </w:rPr>
        <w:t xml:space="preserve">ترجمه و أورد شعره فی (تس 5- 156) و (تش 245) و فی (روشن- ص 456) سماه عزیز الدین محمود.</w:t>
      </w:r>
    </w:p>
    <w:p>
      <w:pPr>
        <w:pStyle w:val="Heading3"/>
      </w:pPr>
      <w:bookmarkStart w:id="6583" w:name="_Toc5279"/>
      <w:r>
        <w:t>4989- دیوان عشقی لکهنوی أو شعره‏</w:t>
      </w:r>
      <w:bookmarkEnd w:id="6583"/>
    </w:p>
    <w:p>
      <w:pPr>
        <w:pStyle w:val="BookText"/>
      </w:pPr>
      <w:r>
        <w:rPr>
          <w:rFonts w:ascii="IRNazanin" w:hAnsi="IRNazanin" w:eastAsia="IRNazanin" w:cs="IRNazanin"/>
          <w:lang w:bidi="fa-IR"/>
          <w:color w:val="111111"/>
          <w:sz w:val="28"/>
          <w:szCs w:val="28"/>
          <w:rtl/>
        </w:rPr>
        <w:t xml:space="preserve">من تلامیذ محمد حسین قتیل. أورد شعره فی (گلشن- ص 286).</w:t>
      </w:r>
    </w:p>
    <w:p>
      <w:pPr>
        <w:pStyle w:val="Heading3"/>
      </w:pPr>
      <w:bookmarkStart w:id="6584" w:name="_Toc5280"/>
      <w:r>
        <w:t>4990- دیوان عشقی هروی أو شعره‏</w:t>
      </w:r>
      <w:bookmarkEnd w:id="6584"/>
    </w:p>
    <w:p>
      <w:pPr>
        <w:pStyle w:val="BookText"/>
      </w:pPr>
      <w:r>
        <w:rPr>
          <w:rFonts w:ascii="IRNazanin" w:hAnsi="IRNazanin" w:eastAsia="IRNazanin" w:cs="IRNazanin"/>
          <w:lang w:bidi="fa-IR"/>
          <w:color w:val="111111"/>
          <w:sz w:val="28"/>
          <w:szCs w:val="28"/>
          <w:rtl/>
        </w:rPr>
        <w:t xml:space="preserve">ترجمه و أورد شعره فی (مجن 5- ص 110 و 283) و قال إنه من أحفاد جهان ملک. و کذا فی (روشن 457).</w:t>
      </w:r>
    </w:p>
    <w:p>
      <w:pPr>
        <w:pStyle w:val="Heading3"/>
      </w:pPr>
      <w:bookmarkStart w:id="6585" w:name="_Toc5281"/>
      <w:r>
        <w:t>4991- دیوان مولانا عشقی هروی‏</w:t>
      </w:r>
      <w:bookmarkEnd w:id="6585"/>
    </w:p>
    <w:p>
      <w:pPr>
        <w:pStyle w:val="BookText"/>
      </w:pPr>
      <w:r>
        <w:rPr>
          <w:rFonts w:ascii="IRNazanin" w:hAnsi="IRNazanin" w:eastAsia="IRNazanin" w:cs="IRNazanin"/>
          <w:lang w:bidi="fa-IR"/>
          <w:color w:val="111111"/>
          <w:sz w:val="28"/>
          <w:szCs w:val="28"/>
          <w:rtl/>
        </w:rPr>
        <w:t xml:space="preserve">ترجمه فی (قز مج 2- ص 214) و أورد شعره و کذا فی (حسینی: 209) و فی (لط 2- ص 41) عاشقی.</w:t>
      </w:r>
    </w:p>
    <w:p>
      <w:pPr>
        <w:pStyle w:val="Heading3"/>
      </w:pPr>
      <w:bookmarkStart w:id="6586" w:name="_Toc5282"/>
      <w:r>
        <w:t>4992- دیوان عشقی همدانی‏</w:t>
      </w:r>
      <w:bookmarkEnd w:id="6586"/>
    </w:p>
    <w:p>
      <w:pPr>
        <w:pStyle w:val="BookText"/>
      </w:pPr>
      <w:r>
        <w:rPr>
          <w:rFonts w:ascii="IRNazanin" w:hAnsi="IRNazanin" w:eastAsia="IRNazanin" w:cs="IRNazanin"/>
          <w:lang w:bidi="fa-IR"/>
          <w:color w:val="111111"/>
          <w:sz w:val="28"/>
          <w:szCs w:val="28"/>
          <w:rtl/>
        </w:rPr>
        <w:t xml:space="preserve">ترجمه معاصره سام میرزا فی (تس 5- ص 148) و أورد شعره. و رجل آخر بهذا الاسم و النسبة فی (تس 5- ص 144) و (روشن 457).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bookmarkStart w:id="716" w:name="pg11704_122200"/>
    <w:bookmarkEnd w:id="716"/>
    <w:p>
      <w:pPr>
        <w:pStyle w:val="Heading3"/>
      </w:pPr>
      <w:bookmarkStart w:id="6587" w:name="_Toc5283"/>
      <w:r>
        <w:t>4993- دیوان عشقی همدانی‏</w:t>
      </w:r>
      <w:bookmarkEnd w:id="6587"/>
    </w:p>
    <w:p>
      <w:pPr>
        <w:pStyle w:val="BookText"/>
      </w:pPr>
      <w:r>
        <w:rPr>
          <w:rFonts w:ascii="IRNazanin" w:hAnsi="IRNazanin" w:eastAsia="IRNazanin" w:cs="IRNazanin"/>
          <w:lang w:bidi="fa-IR"/>
          <w:color w:val="111111"/>
          <w:sz w:val="28"/>
          <w:szCs w:val="28"/>
          <w:rtl/>
        </w:rPr>
        <w:t xml:space="preserve">فارسی. للمیر محمد رضا المعروف بمیرزاده عشقی و هو ابن الحاج السید أبی القاسم الکردستانی المولود بهمدان فی 1312 و قتل فی 1342 و قد طبع دیوانه فی 1306 ش. ثم فی 1308 ش. ثم فی 1321 بتصحیح علی أکبر سلیمی فی 200 ص. ترجمه فی أدبیات معاصر. ص 71 و ذکر أنه نشر جریدة قرن بیستم فی 1342 و قتل غیلة فی تلک السنة. و أورد غزله و بعض شعره. و طبع له منظومات رستاخیز فی بمبئی 1924 م. و بشیراز 1302 ش. و کفن سیاه بمبئی و أیده آل بطهران فی 1306 ش. فی 40 ص. و کذا فی 1310 ش. و بعدها مکررا و سه تابلو فی 27 ص. بطهران. ترجمه فی نامه سخنوران- 124 لإیزد گشسب.</w:t>
      </w:r>
    </w:p>
    <w:p>
      <w:pPr>
        <w:pStyle w:val="Heading3"/>
      </w:pPr>
      <w:bookmarkStart w:id="6588" w:name="_Toc5284"/>
      <w:r>
        <w:t>4994- دیوان عصار تبریزی‏</w:t>
      </w:r>
      <w:bookmarkEnd w:id="6588"/>
    </w:p>
    <w:p>
      <w:pPr>
        <w:pStyle w:val="BookText"/>
      </w:pPr>
      <w:r>
        <w:rPr>
          <w:rFonts w:ascii="IRNazanin" w:hAnsi="IRNazanin" w:eastAsia="IRNazanin" w:cs="IRNazanin"/>
          <w:lang w:bidi="fa-IR"/>
          <w:color w:val="111111"/>
          <w:sz w:val="28"/>
          <w:szCs w:val="28"/>
          <w:rtl/>
        </w:rPr>
        <w:t xml:space="preserve">و هو شمس الدین محمد بن أحمد، معاصر السلطان أویس الإیلکانی، و الماهر فی الریاضیات و الفلکیات. له رسائل فی العروض و البدیع، و له وافی در تعداد قوافی نسخته عند (المحیط) و له مثنوی مهر و مشتری و هی قصة غرام مهر بن شاپور حاکم إسطخر مع مشتری بنت وزیره. و فی (تغ- 90) سماه مهر و ماه غلطا. نظمها فی عام 778 فی 5121 بیتا. و قد ترجم بالترکیة أیضا کما فی کشف الظنون. و توجد نسخه عند (الملک) و (المجلس) کما فی فهرسها (3: 691) و له دیوان یشتمل علی الغزل و القصائد و القطعات. ترجمه فی (تش- ص 31) و فی تاریخ مفصل ایران لإقبال (ص 553) أنه توفی 784 و فی (دجا- 275) نقلا عن سلسلة الأولیاء أنه توفی 792 و فی شاهد صادق أنه توفی 772 و هذا لیس بصحیح و فی (تغ 90) مات 779 و کذا فی (گلشن: 286).</w:t>
      </w:r>
    </w:p>
    <w:p>
      <w:pPr>
        <w:pStyle w:val="Heading3"/>
      </w:pPr>
      <w:bookmarkStart w:id="6589" w:name="_Toc5285"/>
      <w:r>
        <w:t>4995- دیوان عصار لواسانی طهرانی‏</w:t>
      </w:r>
      <w:bookmarkEnd w:id="6589"/>
    </w:p>
    <w:p>
      <w:pPr>
        <w:pStyle w:val="BookText"/>
      </w:pPr>
      <w:r>
        <w:rPr>
          <w:rFonts w:ascii="IRNazanin" w:hAnsi="IRNazanin" w:eastAsia="IRNazanin" w:cs="IRNazanin"/>
          <w:lang w:bidi="fa-IR"/>
          <w:color w:val="111111"/>
          <w:sz w:val="28"/>
          <w:szCs w:val="28"/>
          <w:rtl/>
        </w:rPr>
        <w:t xml:space="preserve">نزیل المشهد الرضوی. هو السید محمد بن محمود الحسینی المتوفی بها لیلة تاسوعاء المحرم 1356 و دفن فی الصحن الجدید عن نیف و تسعین من العمر و کان یتخلص أولا آشفته و فی الأخیر عصار کما ذکره فی أول ناسخ التفاسیر الفارسی له. و أما لسان الغیب و بیان الغیب فجمیعها طبعت باسم الحاج محمد کریم الصابونی الطهرانی و تخلص فیها ناظم کما یأتی. و لکن شرح العصار لگلشن راز الذی یتخلص فیه ناظم أیضا، موجود بخطه عند محمود جم بطهران فیظهر أن ناظم تخلص للعصار کما یأتی.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bookmarkStart w:id="717" w:name="pg11704_122201"/>
    <w:bookmarkEnd w:id="717"/>
    <w:p>
      <w:pPr>
        <w:pStyle w:val="Heading3"/>
      </w:pPr>
      <w:bookmarkStart w:id="6590" w:name="_Toc5286"/>
      <w:r>
        <w:t>4996- دیوان عصام دهلوی‏</w:t>
      </w:r>
      <w:bookmarkEnd w:id="6590"/>
    </w:p>
    <w:p>
      <w:pPr>
        <w:pStyle w:val="BookText"/>
      </w:pPr>
      <w:r>
        <w:rPr>
          <w:rFonts w:ascii="IRNazanin" w:hAnsi="IRNazanin" w:eastAsia="IRNazanin" w:cs="IRNazanin"/>
          <w:lang w:bidi="fa-IR"/>
          <w:color w:val="111111"/>
          <w:sz w:val="28"/>
          <w:szCs w:val="28"/>
          <w:rtl/>
        </w:rPr>
        <w:t xml:space="preserve">و اسمه عصام الدین. رأی سنگلاخ منتخب دیوانه بخط قاسم شادیشاد فذکره فی امتحان الفضلاء 1: 115.</w:t>
      </w:r>
    </w:p>
    <w:p>
      <w:pPr>
        <w:pStyle w:val="Heading3"/>
      </w:pPr>
      <w:bookmarkStart w:id="6591" w:name="_Toc5287"/>
      <w:r>
        <w:t>4997- دیوان العصامی الأسفراینی‏</w:t>
      </w:r>
      <w:bookmarkEnd w:id="6591"/>
    </w:p>
    <w:p>
      <w:pPr>
        <w:pStyle w:val="BookText"/>
      </w:pPr>
      <w:r>
        <w:rPr>
          <w:rFonts w:ascii="IRNazanin" w:hAnsi="IRNazanin" w:eastAsia="IRNazanin" w:cs="IRNazanin"/>
          <w:lang w:bidi="fa-IR"/>
          <w:color w:val="111111"/>
          <w:sz w:val="28"/>
          <w:szCs w:val="28"/>
          <w:rtl/>
        </w:rPr>
        <w:t xml:space="preserve">و هو عبد الملک بن جمال الدین بن صدر الدین بن عصام الدین العصامی الأسفراینی و یشتهر بملا عصام. ولد فی 978 و نزل المدینة و بها مات فی 1037 ترجمه و أورد شعره فی السلافة- ص 122 و قال کان إماما فی العربیة، و له ستون تألیفا فیها، و عد بعضها فی هدیة العارفین 1: 628 و منها الألغاز النحویة نظما.</w:t>
      </w:r>
    </w:p>
    <w:p>
      <w:pPr>
        <w:pStyle w:val="Heading3"/>
      </w:pPr>
      <w:bookmarkStart w:id="6592" w:name="_Toc5288"/>
      <w:r>
        <w:t>4998- دیوان العصامی الأسفراینی أو شعره‏</w:t>
      </w:r>
      <w:bookmarkEnd w:id="6592"/>
    </w:p>
    <w:p>
      <w:pPr>
        <w:pStyle w:val="BookText"/>
      </w:pPr>
      <w:r>
        <w:rPr>
          <w:rFonts w:ascii="IRNazanin" w:hAnsi="IRNazanin" w:eastAsia="IRNazanin" w:cs="IRNazanin"/>
          <w:lang w:bidi="fa-IR"/>
          <w:color w:val="111111"/>
          <w:sz w:val="28"/>
          <w:szCs w:val="28"/>
          <w:rtl/>
        </w:rPr>
        <w:t xml:space="preserve">و هو یحیی بن عبد الملک المذکور.</w:t>
      </w:r>
    </w:p>
    <w:p>
      <w:pPr>
        <w:pStyle w:val="BookText"/>
      </w:pPr>
      <w:r>
        <w:rPr>
          <w:rFonts w:ascii="IRNazanin" w:hAnsi="IRNazanin" w:eastAsia="IRNazanin" w:cs="IRNazanin"/>
          <w:lang w:bidi="fa-IR"/>
          <w:color w:val="111111"/>
          <w:sz w:val="28"/>
          <w:szCs w:val="28"/>
          <w:rtl/>
        </w:rPr>
        <w:t xml:space="preserve">ترجمه و أورد شعره مؤرخا ولادة صاحب السلافة فیها (ص 272- 275) و قال له أنموذج النجباء من معشارة الأدباء. ثم ذکر أخاه الحسین بن عبد الملک فی ص 276 و قال سکن الإخوان المدینة بعد موت والدهما فیها. و کذا فی هدیة العارفین ج 2 ص 533. و فیها ج 1 ص 628 ذکر ابن أخیه عبد الملک بن الحسین بن عبد الملک العصامی (1049- 1111) و ذکر له سمط النجوم العوالی فی التاریخ و قید الأوابد.</w:t>
      </w:r>
    </w:p>
    <w:p>
      <w:pPr>
        <w:pStyle w:val="Heading3"/>
      </w:pPr>
      <w:bookmarkStart w:id="6593" w:name="_Toc5289"/>
      <w:r>
        <w:t>4999- دیوان عصامی سمرقندی‏</w:t>
      </w:r>
      <w:bookmarkEnd w:id="6593"/>
    </w:p>
    <w:p>
      <w:pPr>
        <w:pStyle w:val="BookText"/>
      </w:pPr>
      <w:r>
        <w:rPr>
          <w:rFonts w:ascii="IRNazanin" w:hAnsi="IRNazanin" w:eastAsia="IRNazanin" w:cs="IRNazanin"/>
          <w:lang w:bidi="fa-IR"/>
          <w:color w:val="111111"/>
          <w:sz w:val="28"/>
          <w:szCs w:val="28"/>
          <w:rtl/>
        </w:rPr>
        <w:t xml:space="preserve">و اسمه عبد الملک کان شیخ الإسلام بسمرقند فی عهد تیمور. و هو أستاذ بساطی سمرقندی. أورد شعره المتخلص فیه عصامی فی (لت 5). و (روشن 458) و ترجم فی تذکره للشعراء موجودة فی (المجلس) کما فی فهرسها (3: 156). و طبع مثنوی فتوح السلاطین لعصامی فی تاریخ سلاطین الهند بالفارسیة فرغ من نظمه فی 751 بتصحیح یوشع بمدراس فی 780 ص. فی 1948 م.</w:t>
      </w:r>
    </w:p>
    <w:p>
      <w:pPr>
        <w:pStyle w:val="Heading3"/>
      </w:pPr>
      <w:bookmarkStart w:id="6594" w:name="_Toc5290"/>
      <w:r>
        <w:t>5000- دیوان عصری تبریزی أو شعره‏</w:t>
      </w:r>
      <w:bookmarkEnd w:id="6594"/>
    </w:p>
    <w:p>
      <w:pPr>
        <w:pStyle w:val="BookText"/>
      </w:pPr>
      <w:r>
        <w:rPr>
          <w:rFonts w:ascii="IRNazanin" w:hAnsi="IRNazanin" w:eastAsia="IRNazanin" w:cs="IRNazanin"/>
          <w:lang w:bidi="fa-IR"/>
          <w:color w:val="111111"/>
          <w:sz w:val="28"/>
          <w:szCs w:val="28"/>
          <w:rtl/>
        </w:rPr>
        <w:t xml:space="preserve">الیزدی المنشا نزیل أصفهان فی أیام شاه أبو تراب گلستانه. ترجمه النصرآبادی فی (نر 9- ص 306) و أورد جملة من أشعاره و عنه فی (دجا- ص 274) و ذکره آیتی فی (تش یز- ص 10) بعنوان عجزی کما مر آنفا، لکن رباعیه عصری مستزاد. قالوا: جاء من یزد إلی أصفهان شاکیا فلم یفز، فسکن بعباس‏آباد مع التبارزة الذین نزلوا إلیها من تبریز حینئذ. و فی (تش- ص 31) سماه عذری و فی (تغ- 90) ذکره باسم عصری و فی (تغ- 88) عجزی.</w:t>
      </w:r>
    </w:p>
    <w:p>
      <w:pPr>
        <w:pStyle w:val="Heading3"/>
      </w:pPr>
      <w:bookmarkStart w:id="6595" w:name="_Toc5291"/>
      <w:r>
        <w:t>دیوان العصفوری‏</w:t>
      </w:r>
      <w:bookmarkEnd w:id="6595"/>
    </w:p>
    <w:p>
      <w:pPr>
        <w:pStyle w:val="BookText"/>
      </w:pPr>
      <w:r>
        <w:rPr>
          <w:rFonts w:ascii="IRNazanin" w:hAnsi="IRNazanin" w:eastAsia="IRNazanin" w:cs="IRNazanin"/>
          <w:lang w:bidi="fa-IR"/>
          <w:color w:val="111111"/>
          <w:sz w:val="28"/>
          <w:szCs w:val="28"/>
          <w:rtl/>
        </w:rPr>
        <w:t xml:space="preserve">راجع دیوان الشیخ حسین العصفوری فی (ص 252).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718" w:name="pg11704_122202"/>
    <w:bookmarkEnd w:id="718"/>
    <w:p>
      <w:pPr>
        <w:pStyle w:val="Heading3"/>
      </w:pPr>
      <w:bookmarkStart w:id="6596" w:name="_Toc5292"/>
      <w:r>
        <w:t>دیوان العصفوری‏</w:t>
      </w:r>
      <w:bookmarkEnd w:id="6596"/>
    </w:p>
    <w:p>
      <w:pPr>
        <w:pStyle w:val="BookText"/>
      </w:pPr>
      <w:r>
        <w:rPr>
          <w:rFonts w:ascii="IRNazanin" w:hAnsi="IRNazanin" w:eastAsia="IRNazanin" w:cs="IRNazanin"/>
          <w:lang w:bidi="fa-IR"/>
          <w:color w:val="111111"/>
          <w:sz w:val="28"/>
          <w:szCs w:val="28"/>
          <w:rtl/>
        </w:rPr>
        <w:t xml:space="preserve">راجع دیوان محمد بن أحمد آل عصفور البحرانی کما ذکرناه فی (10: 54).</w:t>
      </w:r>
    </w:p>
    <w:p>
      <w:pPr>
        <w:pStyle w:val="Heading3"/>
      </w:pPr>
      <w:bookmarkStart w:id="6597" w:name="_Toc5293"/>
      <w:r>
        <w:t>5001- دیوان عصمت بخاری‏</w:t>
      </w:r>
      <w:bookmarkEnd w:id="6597"/>
    </w:p>
    <w:p>
      <w:pPr>
        <w:pStyle w:val="BookText"/>
      </w:pPr>
      <w:r>
        <w:rPr>
          <w:rFonts w:ascii="IRNazanin" w:hAnsi="IRNazanin" w:eastAsia="IRNazanin" w:cs="IRNazanin"/>
          <w:lang w:bidi="fa-IR"/>
          <w:color w:val="111111"/>
          <w:sz w:val="28"/>
          <w:szCs w:val="28"/>
          <w:rtl/>
        </w:rPr>
        <w:t xml:space="preserve">و هو الخواجة عصمت الله البخاری بن الخواجة مسعود المتوفی 829 کما فی شاهد صادق أو 840 کما جاء فی (تغ- 90) و فی شعر فی حبیب السیر و هو:</w:t>
      </w:r>
    </w:p>
    <w:p>
      <w:pPr>
        <w:pStyle w:val="BookText"/>
      </w:pPr>
      <w:r>
        <w:rPr>
          <w:rFonts w:ascii="IRNazanin" w:hAnsi="IRNazanin" w:eastAsia="IRNazanin" w:cs="IRNazanin"/>
          <w:lang w:bidi="fa-IR"/>
          <w:color w:val="111111"/>
          <w:sz w:val="28"/>
          <w:szCs w:val="28"/>
          <w:rtl/>
        </w:rPr>
        <w:t xml:space="preserve">تاریخ وفات خواجه عصمت‏</w:t>
      </w:r>
    </w:p>
    <w:p>
      <w:pPr>
        <w:pStyle w:val="BookText"/>
      </w:pPr>
      <w:r>
        <w:rPr>
          <w:rFonts w:ascii="IRNazanin" w:hAnsi="IRNazanin" w:eastAsia="IRNazanin" w:cs="IRNazanin"/>
          <w:lang w:bidi="fa-IR"/>
          <w:color w:val="111111"/>
          <w:sz w:val="28"/>
          <w:szCs w:val="28"/>
          <w:rtl/>
        </w:rPr>
        <w:t xml:space="preserve">هرکس که شنید گفت: تمت‏</w:t>
      </w:r>
    </w:p>
    <w:p>
      <w:pPr>
        <w:pStyle w:val="BookText"/>
      </w:pPr>
      <w:r>
        <w:rPr>
          <w:rFonts w:ascii="IRNazanin" w:hAnsi="IRNazanin" w:eastAsia="IRNazanin" w:cs="IRNazanin"/>
          <w:lang w:bidi="fa-IR"/>
          <w:color w:val="111111"/>
          <w:sz w:val="28"/>
          <w:szCs w:val="28"/>
          <w:rtl/>
        </w:rPr>
        <w:t xml:space="preserve">کان یتخلص أولا نصیری لأنه یمدح نصیر الدین سلطان خلیل و زوجته شاد ملک آغا. و لما سجن سلطان خلیل فی 811 و مات 814 و مثل بزوجته، تخلص باسمه عصمت و یظهر أنه کان من أقرباء الخواجة محمد پارسا المتوفی 822 و ابنه حافظ الدین أبو نصر پارسا المتوفی 865 و یمدحهما و یمدح الطریقة النقش‏بندیة. و ینهی فی بعض أشعاره نسبه و نسب پارسا إلی جعفر بن أبی طالب. و یمدح شاه‏رخ و ألغ بیگ و بایسنقر و غیرهم من التیموریین و دیوانه فی 7500 بیت موجود فی (المجلس) کما فی فهرسها (3: 354) و ترجمه فی (لت 6) و (مجن 1 ص 12 و 187) و (خیال 61) و (تش- ص 321) و رجال حبیب السیر- ص 75 و (روشن 458) و رأی سنگلاخ مقطعاته بخط سلطان محمد نورا، فذکره فی امتحان الفضلاء 1: 115. و فی (لط 1- ص 12) نقل عن دیوانه.</w:t>
      </w:r>
    </w:p>
    <w:p>
      <w:pPr>
        <w:pStyle w:val="Heading3"/>
      </w:pPr>
      <w:bookmarkStart w:id="6598" w:name="_Toc5294"/>
      <w:r>
        <w:t>5002- دیوان عصمتی سمرقندی أو شعرها</w:t>
      </w:r>
      <w:bookmarkEnd w:id="6598"/>
    </w:p>
    <w:p>
      <w:pPr>
        <w:pStyle w:val="BookText"/>
      </w:pPr>
      <w:r>
        <w:rPr>
          <w:rFonts w:ascii="IRNazanin" w:hAnsi="IRNazanin" w:eastAsia="IRNazanin" w:cs="IRNazanin"/>
          <w:lang w:bidi="fa-IR"/>
          <w:color w:val="111111"/>
          <w:sz w:val="28"/>
          <w:szCs w:val="28"/>
          <w:rtl/>
        </w:rPr>
        <w:t xml:space="preserve">هی بنت قاضی سمرقند. ترجمها و أورد شعرها فی (خیال 338) و (تش- ص 350) و خیرات حسان- 2: 184 و از رابعة تا پروین- ص 173 و کذا فی تذکره کاظم الموجود فی (المجلس) کما فی فهرسها (3: 161).</w:t>
      </w:r>
    </w:p>
    <w:p>
      <w:pPr>
        <w:pStyle w:val="Heading3"/>
      </w:pPr>
      <w:bookmarkStart w:id="6599" w:name="_Toc5295"/>
      <w:r>
        <w:t>دیوان عضائری‏</w:t>
      </w:r>
      <w:bookmarkEnd w:id="6599"/>
    </w:p>
    <w:p>
      <w:pPr>
        <w:pStyle w:val="BookText"/>
      </w:pPr>
      <w:r>
        <w:rPr>
          <w:rFonts w:ascii="IRNazanin" w:hAnsi="IRNazanin" w:eastAsia="IRNazanin" w:cs="IRNazanin"/>
          <w:lang w:bidi="fa-IR"/>
          <w:color w:val="111111"/>
          <w:sz w:val="28"/>
          <w:szCs w:val="28"/>
          <w:rtl/>
        </w:rPr>
        <w:t xml:space="preserve">بالعین المهملة کما حکاه فی (خز- ص 361) و اختار أنه بالغین المعجمة کما سیأتی.</w:t>
      </w:r>
    </w:p>
    <w:p>
      <w:pPr>
        <w:pStyle w:val="Heading3"/>
      </w:pPr>
      <w:bookmarkStart w:id="6600" w:name="_Toc5296"/>
      <w:r>
        <w:t>دیوان عضد</w:t>
      </w:r>
      <w:bookmarkEnd w:id="6600"/>
    </w:p>
    <w:p>
      <w:pPr>
        <w:pStyle w:val="BookText"/>
      </w:pPr>
      <w:r>
        <w:rPr>
          <w:rFonts w:ascii="IRNazanin" w:hAnsi="IRNazanin" w:eastAsia="IRNazanin" w:cs="IRNazanin"/>
          <w:lang w:bidi="fa-IR"/>
          <w:color w:val="111111"/>
          <w:sz w:val="28"/>
          <w:szCs w:val="28"/>
          <w:rtl/>
        </w:rPr>
        <w:t xml:space="preserve">مر بعنوان جلال عضد فی (ص 200) و فی (روشن- ص 459) أن الوالد أیضا شاعر و أورد شعره.</w:t>
      </w:r>
    </w:p>
    <w:p>
      <w:pPr>
        <w:pStyle w:val="Heading3"/>
      </w:pPr>
      <w:bookmarkStart w:id="6601" w:name="_Toc5297"/>
      <w:r>
        <w:t>5003- دیوان عطا</w:t>
      </w:r>
      <w:bookmarkEnd w:id="6601"/>
    </w:p>
    <w:p>
      <w:pPr>
        <w:pStyle w:val="BookText"/>
      </w:pPr>
      <w:r>
        <w:rPr>
          <w:rFonts w:ascii="IRNazanin" w:hAnsi="IRNazanin" w:eastAsia="IRNazanin" w:cs="IRNazanin"/>
          <w:lang w:bidi="fa-IR"/>
          <w:color w:val="111111"/>
          <w:sz w:val="28"/>
          <w:szCs w:val="28"/>
          <w:rtl/>
        </w:rPr>
        <w:t xml:space="preserve">للمولی عطاء الله من أهل المائة الثانیة بعد الألف، فقد رأیت‏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bookmarkStart w:id="719" w:name="pg11704_122203"/>
    <w:bookmarkEnd w:id="719"/>
    <w:p>
      <w:pPr>
        <w:pStyle w:val="BookText"/>
      </w:pPr>
      <w:r>
        <w:rPr>
          <w:rFonts w:ascii="IRNazanin" w:hAnsi="IRNazanin" w:eastAsia="IRNazanin" w:cs="IRNazanin"/>
          <w:lang w:bidi="fa-IR"/>
          <w:color w:val="111111"/>
          <w:sz w:val="28"/>
          <w:szCs w:val="28"/>
          <w:rtl/>
        </w:rPr>
        <w:t xml:space="preserve">بعض تملکاته للکتب العلمیة 1129 و رأیت قطعة من شعره فی بعض المجامیع التزم فیه بتکرار اللفظ المشترک فی قافیة کل بیت. أول القطعة:</w:t>
      </w:r>
    </w:p>
    <w:p>
      <w:pPr>
        <w:pStyle w:val="BookText"/>
      </w:pPr>
      <w:r>
        <w:rPr>
          <w:rFonts w:ascii="IRNazanin" w:hAnsi="IRNazanin" w:eastAsia="IRNazanin" w:cs="IRNazanin"/>
          <w:lang w:bidi="fa-IR"/>
          <w:color w:val="111111"/>
          <w:sz w:val="28"/>
          <w:szCs w:val="28"/>
          <w:rtl/>
        </w:rPr>
        <w:t xml:space="preserve">ای ذات ذو الجلال تو از ما سوی، سوا</w:t>
      </w:r>
    </w:p>
    <w:p>
      <w:pPr>
        <w:pStyle w:val="BookText"/>
      </w:pPr>
      <w:r>
        <w:rPr>
          <w:rFonts w:ascii="IRNazanin" w:hAnsi="IRNazanin" w:eastAsia="IRNazanin" w:cs="IRNazanin"/>
          <w:lang w:bidi="fa-IR"/>
          <w:color w:val="111111"/>
          <w:sz w:val="28"/>
          <w:szCs w:val="28"/>
          <w:rtl/>
        </w:rPr>
        <w:t xml:space="preserve">یابد ز خوان مکرمتت بینوا، نوا</w:t>
      </w:r>
    </w:p>
    <w:p>
      <w:pPr>
        <w:pStyle w:val="BookText"/>
      </w:pPr>
      <w:r>
        <w:rPr>
          <w:rFonts w:ascii="IRNazanin" w:hAnsi="IRNazanin" w:eastAsia="IRNazanin" w:cs="IRNazanin"/>
          <w:lang w:bidi="fa-IR"/>
          <w:color w:val="111111"/>
          <w:sz w:val="28"/>
          <w:szCs w:val="28"/>
          <w:rtl/>
        </w:rPr>
        <w:t xml:space="preserve">اشفاق تست شامل هر خاص و عام، عام‏</w:t>
      </w:r>
    </w:p>
    <w:p>
      <w:pPr>
        <w:pStyle w:val="BookText"/>
      </w:pPr>
      <w:r>
        <w:rPr>
          <w:rFonts w:ascii="IRNazanin" w:hAnsi="IRNazanin" w:eastAsia="IRNazanin" w:cs="IRNazanin"/>
          <w:lang w:bidi="fa-IR"/>
          <w:color w:val="111111"/>
          <w:sz w:val="28"/>
          <w:szCs w:val="28"/>
          <w:rtl/>
        </w:rPr>
        <w:t xml:space="preserve">تشریف تست در بر هر نارسا، رسا</w:t>
      </w:r>
    </w:p>
    <w:p>
      <w:pPr>
        <w:pStyle w:val="BookText"/>
      </w:pPr>
      <w:r>
        <w:rPr>
          <w:rFonts w:ascii="IRNazanin" w:hAnsi="IRNazanin" w:eastAsia="IRNazanin" w:cs="IRNazanin"/>
          <w:lang w:bidi="fa-IR"/>
          <w:color w:val="111111"/>
          <w:sz w:val="28"/>
          <w:szCs w:val="28"/>
          <w:rtl/>
        </w:rPr>
        <w:t xml:space="preserve">گم‏کردگان بادیه تیه غفلتیم‏</w:t>
      </w:r>
    </w:p>
    <w:p>
      <w:pPr>
        <w:pStyle w:val="BookText"/>
      </w:pPr>
      <w:r>
        <w:rPr>
          <w:rFonts w:ascii="IRNazanin" w:hAnsi="IRNazanin" w:eastAsia="IRNazanin" w:cs="IRNazanin"/>
          <w:lang w:bidi="fa-IR"/>
          <w:color w:val="111111"/>
          <w:sz w:val="28"/>
          <w:szCs w:val="28"/>
          <w:rtl/>
        </w:rPr>
        <w:t xml:space="preserve">راهی ز روی لطف تو ای رهنما، نما</w:t>
      </w:r>
    </w:p>
    <w:p>
      <w:pPr>
        <w:pStyle w:val="BookText"/>
      </w:pPr>
      <w:r>
        <w:rPr>
          <w:rFonts w:ascii="IRNazanin" w:hAnsi="IRNazanin" w:eastAsia="IRNazanin" w:cs="IRNazanin"/>
          <w:lang w:bidi="fa-IR"/>
          <w:color w:val="111111"/>
          <w:sz w:val="28"/>
          <w:szCs w:val="28"/>
          <w:rtl/>
        </w:rPr>
        <w:t xml:space="preserve">از کثرت گناه بود قامتم دو تا</w:t>
      </w:r>
    </w:p>
    <w:p>
      <w:pPr>
        <w:pStyle w:val="BookText"/>
      </w:pPr>
      <w:r>
        <w:rPr>
          <w:rFonts w:ascii="IRNazanin" w:hAnsi="IRNazanin" w:eastAsia="IRNazanin" w:cs="IRNazanin"/>
          <w:lang w:bidi="fa-IR"/>
          <w:color w:val="111111"/>
          <w:sz w:val="28"/>
          <w:szCs w:val="28"/>
          <w:rtl/>
        </w:rPr>
        <w:t xml:space="preserve">می‏جوید از خزانه غیبت عطا، عطا</w:t>
      </w:r>
    </w:p>
    <w:p>
      <w:pPr>
        <w:pStyle w:val="BookText"/>
      </w:pPr>
      <w:r>
        <w:rPr>
          <w:rFonts w:ascii="IRNazanin" w:hAnsi="IRNazanin" w:eastAsia="IRNazanin" w:cs="IRNazanin"/>
          <w:lang w:bidi="fa-IR"/>
          <w:color w:val="111111"/>
          <w:sz w:val="28"/>
          <w:szCs w:val="28"/>
          <w:rtl/>
        </w:rPr>
        <w:t xml:space="preserve">و الظاهر أنه المذکور فی (سرخوش- 80).</w:t>
      </w:r>
    </w:p>
    <w:p>
      <w:pPr>
        <w:pStyle w:val="Heading3"/>
      </w:pPr>
      <w:bookmarkStart w:id="6602" w:name="_Toc5298"/>
      <w:r>
        <w:t>5004- دیوان عطاء أمروهوی أو شعره‏</w:t>
      </w:r>
      <w:bookmarkEnd w:id="6602"/>
    </w:p>
    <w:p>
      <w:pPr>
        <w:pStyle w:val="BookText"/>
      </w:pPr>
      <w:r>
        <w:rPr>
          <w:rFonts w:ascii="IRNazanin" w:hAnsi="IRNazanin" w:eastAsia="IRNazanin" w:cs="IRNazanin"/>
          <w:lang w:bidi="fa-IR"/>
          <w:color w:val="111111"/>
          <w:sz w:val="28"/>
          <w:szCs w:val="28"/>
          <w:rtl/>
        </w:rPr>
        <w:t xml:space="preserve">أصله من مرادآباد من نواحی دهلی و تلمذ علی عبد القادر بیدل و مات 1136 أورد شعره فی (گلشن- ص 287).</w:t>
      </w:r>
    </w:p>
    <w:p>
      <w:pPr>
        <w:pStyle w:val="Heading3"/>
      </w:pPr>
      <w:bookmarkStart w:id="6603" w:name="_Toc5299"/>
      <w:r>
        <w:t>دیوان عطاء جونپوری‏</w:t>
      </w:r>
      <w:bookmarkEnd w:id="6603"/>
    </w:p>
    <w:p>
      <w:pPr>
        <w:pStyle w:val="BookText"/>
      </w:pPr>
      <w:r>
        <w:rPr>
          <w:rFonts w:ascii="IRNazanin" w:hAnsi="IRNazanin" w:eastAsia="IRNazanin" w:cs="IRNazanin"/>
          <w:lang w:bidi="fa-IR"/>
          <w:color w:val="111111"/>
          <w:sz w:val="28"/>
          <w:szCs w:val="28"/>
          <w:rtl/>
        </w:rPr>
        <w:t xml:space="preserve">کما فی (خوش‏گو) یأتی بتخلصه معنوی کما فی میخانه. و فی (روشن- 462) سماه عطائی.</w:t>
      </w:r>
    </w:p>
    <w:p>
      <w:pPr>
        <w:pStyle w:val="Heading3"/>
      </w:pPr>
      <w:bookmarkStart w:id="6604" w:name="_Toc5300"/>
      <w:r>
        <w:t>دیوان عطاء رازی‏</w:t>
      </w:r>
      <w:bookmarkEnd w:id="6604"/>
    </w:p>
    <w:p>
      <w:pPr>
        <w:pStyle w:val="BookText"/>
      </w:pPr>
      <w:r>
        <w:rPr>
          <w:rFonts w:ascii="IRNazanin" w:hAnsi="IRNazanin" w:eastAsia="IRNazanin" w:cs="IRNazanin"/>
          <w:lang w:bidi="fa-IR"/>
          <w:color w:val="111111"/>
          <w:sz w:val="28"/>
          <w:szCs w:val="28"/>
          <w:rtl/>
        </w:rPr>
        <w:t xml:space="preserve">راجع عطاء طهرانی.</w:t>
      </w:r>
    </w:p>
    <w:p>
      <w:pPr>
        <w:pStyle w:val="Heading3"/>
      </w:pPr>
      <w:bookmarkStart w:id="6605" w:name="_Toc5301"/>
      <w:r>
        <w:t>5005- دیوان عطاء رازی‏</w:t>
      </w:r>
      <w:bookmarkEnd w:id="6605"/>
    </w:p>
    <w:p>
      <w:pPr>
        <w:pStyle w:val="BookText"/>
      </w:pPr>
      <w:r>
        <w:rPr>
          <w:rFonts w:ascii="IRNazanin" w:hAnsi="IRNazanin" w:eastAsia="IRNazanin" w:cs="IRNazanin"/>
          <w:lang w:bidi="fa-IR"/>
          <w:color w:val="111111"/>
          <w:sz w:val="28"/>
          <w:szCs w:val="28"/>
          <w:rtl/>
        </w:rPr>
        <w:t xml:space="preserve">هو الخواجة العمید أبو العلاء عطاء بن یعقوب الکاتب المتوفی 471 ترجمه فی (لب 1: 72) و دمیة القصر و (مع- ج 1 ص 342) و أورد ما یقرب من مائة من شعره. و له دیوانان عربی و فارسی.</w:t>
      </w:r>
    </w:p>
    <w:p>
      <w:pPr>
        <w:pStyle w:val="Heading3"/>
      </w:pPr>
      <w:bookmarkStart w:id="6606" w:name="_Toc5302"/>
      <w:r>
        <w:t>5006- دیوان عطاء رشتی‏</w:t>
      </w:r>
      <w:bookmarkEnd w:id="6606"/>
    </w:p>
    <w:p>
      <w:pPr>
        <w:pStyle w:val="BookText"/>
      </w:pPr>
      <w:r>
        <w:rPr>
          <w:rFonts w:ascii="IRNazanin" w:hAnsi="IRNazanin" w:eastAsia="IRNazanin" w:cs="IRNazanin"/>
          <w:lang w:bidi="fa-IR"/>
          <w:color w:val="111111"/>
          <w:sz w:val="28"/>
          <w:szCs w:val="28"/>
          <w:rtl/>
        </w:rPr>
        <w:t xml:space="preserve">و هو حسین خان سمیعی ابن حسن خان أدیب السلطنة ولد برشت 1225 ش. و توفی 1333 ش. بطهران. جمع دیوانه بنفسه کما فی مقدمه کتبه ابنه لکتابه صرف و نحو فارسی و ترجمه فی نامه سخنوران- ص 118.</w:t>
      </w:r>
    </w:p>
    <w:p>
      <w:pPr>
        <w:pStyle w:val="Heading3"/>
      </w:pPr>
      <w:bookmarkStart w:id="6607" w:name="_Toc5303"/>
      <w:r>
        <w:t>دیوان عطاء سمرقندی‏</w:t>
      </w:r>
      <w:bookmarkEnd w:id="6607"/>
    </w:p>
    <w:p>
      <w:pPr>
        <w:pStyle w:val="BookText"/>
      </w:pPr>
      <w:r>
        <w:rPr>
          <w:rFonts w:ascii="IRNazanin" w:hAnsi="IRNazanin" w:eastAsia="IRNazanin" w:cs="IRNazanin"/>
          <w:lang w:bidi="fa-IR"/>
          <w:color w:val="111111"/>
          <w:sz w:val="28"/>
          <w:szCs w:val="28"/>
          <w:rtl/>
        </w:rPr>
        <w:t xml:space="preserve">المتخلص والهی یأتی.</w:t>
      </w:r>
    </w:p>
    <w:p>
      <w:pPr>
        <w:pStyle w:val="Heading3"/>
      </w:pPr>
      <w:bookmarkStart w:id="6608" w:name="_Toc5304"/>
      <w:r>
        <w:t>دیوان میر عطاء طهرانی‏</w:t>
      </w:r>
      <w:bookmarkEnd w:id="6608"/>
    </w:p>
    <w:p>
      <w:pPr>
        <w:pStyle w:val="BookText"/>
      </w:pPr>
      <w:r>
        <w:rPr>
          <w:rFonts w:ascii="IRNazanin" w:hAnsi="IRNazanin" w:eastAsia="IRNazanin" w:cs="IRNazanin"/>
          <w:lang w:bidi="fa-IR"/>
          <w:color w:val="111111"/>
          <w:sz w:val="28"/>
          <w:szCs w:val="28"/>
          <w:rtl/>
        </w:rPr>
        <w:t xml:space="preserve">ترجمه معاصره النصرآبادی فی (نر 9- ص 241) و أورد شعره و تخلصه منهی یأتی.</w:t>
      </w:r>
    </w:p>
    <w:p>
      <w:pPr>
        <w:pStyle w:val="Heading3"/>
      </w:pPr>
      <w:bookmarkStart w:id="6609" w:name="_Toc5305"/>
      <w:r>
        <w:t>5007- دیوان عطاء طهرانی أو شعره‏</w:t>
      </w:r>
      <w:bookmarkEnd w:id="6609"/>
    </w:p>
    <w:p>
      <w:pPr>
        <w:pStyle w:val="BookText"/>
      </w:pPr>
      <w:r>
        <w:rPr>
          <w:rFonts w:ascii="IRNazanin" w:hAnsi="IRNazanin" w:eastAsia="IRNazanin" w:cs="IRNazanin"/>
          <w:lang w:bidi="fa-IR"/>
          <w:color w:val="111111"/>
          <w:sz w:val="28"/>
          <w:szCs w:val="28"/>
          <w:rtl/>
        </w:rPr>
        <w:t xml:space="preserve">ترجمه معاصر فی (خص 4- 57) و أورد شعره فی تاریخ صلح الشاه طهماسب مع السلطان سلیم و مادته الصلح خیر 969 و قال إنه أخ القاضی محمد الرازی. و ترجم أیضا فی (تش- ص 214) و (تغ 91).</w:t>
      </w:r>
    </w:p>
    <w:p>
      <w:pPr>
        <w:pStyle w:val="Heading3"/>
      </w:pPr>
      <w:bookmarkStart w:id="6610" w:name="_Toc5306"/>
      <w:r>
        <w:t>5008- دیوان عطاء الله مشهدی أو شعره‏</w:t>
      </w:r>
      <w:bookmarkEnd w:id="6610"/>
    </w:p>
    <w:p>
      <w:pPr>
        <w:pStyle w:val="BookText"/>
      </w:pPr>
      <w:r>
        <w:rPr>
          <w:rFonts w:ascii="IRNazanin" w:hAnsi="IRNazanin" w:eastAsia="IRNazanin" w:cs="IRNazanin"/>
          <w:lang w:bidi="fa-IR"/>
          <w:color w:val="111111"/>
          <w:sz w:val="28"/>
          <w:szCs w:val="28"/>
          <w:rtl/>
        </w:rPr>
        <w:t xml:space="preserve">ترجمه فی بابرنامه کما فی از سعدی‏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bookmarkStart w:id="720" w:name="pg11704_122204"/>
    <w:bookmarkEnd w:id="720"/>
    <w:p>
      <w:pPr>
        <w:pStyle w:val="BookText"/>
      </w:pPr>
      <w:r>
        <w:rPr>
          <w:rFonts w:ascii="IRNazanin" w:hAnsi="IRNazanin" w:eastAsia="IRNazanin" w:cs="IRNazanin"/>
          <w:lang w:bidi="fa-IR"/>
          <w:color w:val="111111"/>
          <w:sz w:val="28"/>
          <w:szCs w:val="28"/>
          <w:rtl/>
        </w:rPr>
        <w:t xml:space="preserve">تا جامی- ص 519 و قال: ألف رسالة فی القافیة و أورد أشعاره کأمثلة لمسائله، و بدائع الصنائع فی علم الشعر. أقول و لعله هو عطاء الله بن محمود الحسینی صاحب تکمیل الصناعة المذکور فی (4: 419) و منتخب تکمیل الصناعة الموجود عند السید آقا التستری بالنجف و عند علی أصغر حکمت بطهران و (سپهسالار 7158).</w:t>
      </w:r>
    </w:p>
    <w:p>
      <w:pPr>
        <w:pStyle w:val="Heading3"/>
      </w:pPr>
      <w:bookmarkStart w:id="6611" w:name="_Toc5307"/>
      <w:r>
        <w:t>5009- دیوان عطاء ملک الجوینی أو شعره‏</w:t>
      </w:r>
      <w:bookmarkEnd w:id="6611"/>
    </w:p>
    <w:p>
      <w:pPr>
        <w:pStyle w:val="BookText"/>
      </w:pPr>
      <w:r>
        <w:rPr>
          <w:rFonts w:ascii="IRNazanin" w:hAnsi="IRNazanin" w:eastAsia="IRNazanin" w:cs="IRNazanin"/>
          <w:lang w:bidi="fa-IR"/>
          <w:color w:val="111111"/>
          <w:sz w:val="28"/>
          <w:szCs w:val="28"/>
          <w:rtl/>
        </w:rPr>
        <w:t xml:space="preserve">و هو علاء الدین عطاء الله بن بهاء الدین محمد مؤلف تاریخ جهان‏گشا و المتوفی 683 و هو الذی أجری الماء من الفرات إلی جنوب النجف. و هو أخ شمس الدین محمد الجوینی. ترجمه و أورد شعره فی (لس 227 و 350) و (تش- ص 73) و (مع 1: 344) و عنها فی القاموس الترکی ثم الریحانة.</w:t>
      </w:r>
    </w:p>
    <w:p>
      <w:pPr>
        <w:pStyle w:val="Heading3"/>
      </w:pPr>
      <w:bookmarkStart w:id="6612" w:name="_Toc5308"/>
      <w:r>
        <w:t>5010- دیوان عطاء نسفی‏</w:t>
      </w:r>
      <w:bookmarkEnd w:id="6612"/>
    </w:p>
    <w:p>
      <w:pPr>
        <w:pStyle w:val="BookText"/>
      </w:pPr>
      <w:r>
        <w:rPr>
          <w:rFonts w:ascii="IRNazanin" w:hAnsi="IRNazanin" w:eastAsia="IRNazanin" w:cs="IRNazanin"/>
          <w:lang w:bidi="fa-IR"/>
          <w:color w:val="111111"/>
          <w:sz w:val="28"/>
          <w:szCs w:val="28"/>
          <w:rtl/>
        </w:rPr>
        <w:t xml:space="preserve">و هو المیر عطاء الله النسفی. رأی سنگلاخ نسختان من دیوانه فذکره فی امتحان الفضلاء (1: 160 و 115) و أظنه أراد عطاء الله النیشابوری المذکور فی (مجن 4 ص 92 و 266) و قال کان ماهرا فی الصنائع الشعریة و المعمی، و له رسالة صنعت مقلوب مستوی فی الصنائع و أورد شعرا منه.</w:t>
      </w:r>
    </w:p>
    <w:p>
      <w:pPr>
        <w:pStyle w:val="Heading3"/>
      </w:pPr>
      <w:bookmarkStart w:id="6613" w:name="_Toc5309"/>
      <w:r>
        <w:t>دیوان عطاء نیشابوری‏</w:t>
      </w:r>
      <w:bookmarkEnd w:id="6613"/>
    </w:p>
    <w:p>
      <w:pPr>
        <w:pStyle w:val="BookText"/>
      </w:pPr>
      <w:r>
        <w:rPr>
          <w:rFonts w:ascii="IRNazanin" w:hAnsi="IRNazanin" w:eastAsia="IRNazanin" w:cs="IRNazanin"/>
          <w:lang w:bidi="fa-IR"/>
          <w:color w:val="111111"/>
          <w:sz w:val="28"/>
          <w:szCs w:val="28"/>
          <w:rtl/>
        </w:rPr>
        <w:t xml:space="preserve">راجع عطاء نسفی و عطاء هروی.</w:t>
      </w:r>
    </w:p>
    <w:p>
      <w:pPr>
        <w:pStyle w:val="Heading3"/>
      </w:pPr>
      <w:bookmarkStart w:id="6614" w:name="_Toc5310"/>
      <w:r>
        <w:t>5011- دیوان عطاء هروی‏</w:t>
      </w:r>
      <w:bookmarkEnd w:id="6614"/>
    </w:p>
    <w:p>
      <w:pPr>
        <w:pStyle w:val="BookText"/>
      </w:pPr>
      <w:r>
        <w:rPr>
          <w:rFonts w:ascii="IRNazanin" w:hAnsi="IRNazanin" w:eastAsia="IRNazanin" w:cs="IRNazanin"/>
          <w:lang w:bidi="fa-IR"/>
          <w:color w:val="111111"/>
          <w:sz w:val="28"/>
          <w:szCs w:val="28"/>
          <w:rtl/>
        </w:rPr>
        <w:t xml:space="preserve">و هو المولی عطاء الله بن حسام الواعظ. له منظومة مختارنامه فی وقایع مختار الثقفی و أخذه بثار الحسین ع. و لعله من أولاد ناظم خاورنامه المذکور فی (ص 19- 20) و طبع منثور هذا الکتاب باسم روضة المجاهدین.</w:t>
      </w:r>
    </w:p>
    <w:p>
      <w:pPr>
        <w:pStyle w:val="Heading3"/>
      </w:pPr>
      <w:bookmarkStart w:id="6615" w:name="_Toc5311"/>
      <w:r>
        <w:t>5012- دیوان عطاء هروی‏</w:t>
      </w:r>
      <w:bookmarkEnd w:id="6615"/>
    </w:p>
    <w:p>
      <w:pPr>
        <w:pStyle w:val="BookText"/>
      </w:pPr>
      <w:r>
        <w:rPr>
          <w:rFonts w:ascii="IRNazanin" w:hAnsi="IRNazanin" w:eastAsia="IRNazanin" w:cs="IRNazanin"/>
          <w:lang w:bidi="fa-IR"/>
          <w:color w:val="111111"/>
          <w:sz w:val="28"/>
          <w:szCs w:val="28"/>
          <w:rtl/>
        </w:rPr>
        <w:t xml:space="preserve">و هو الأمیر برهان الدین عطاء الله. ولد بنیشابور و نشا بهرات، و مات مجاورا لمشهد خراسان فی شوال 919 قال فی حبیب السیر له منظومة در عروض فی الصنائع الشعریة.</w:t>
      </w:r>
    </w:p>
    <w:p>
      <w:pPr>
        <w:pStyle w:val="Heading3"/>
      </w:pPr>
      <w:bookmarkStart w:id="6616" w:name="_Toc5312"/>
      <w:r>
        <w:t>دیوان عطائی تبریزی أو شعره‏</w:t>
      </w:r>
      <w:bookmarkEnd w:id="6616"/>
    </w:p>
    <w:p>
      <w:pPr>
        <w:pStyle w:val="BookText"/>
      </w:pPr>
      <w:r>
        <w:rPr>
          <w:rFonts w:ascii="IRNazanin" w:hAnsi="IRNazanin" w:eastAsia="IRNazanin" w:cs="IRNazanin"/>
          <w:lang w:bidi="fa-IR"/>
          <w:color w:val="111111"/>
          <w:sz w:val="28"/>
          <w:szCs w:val="28"/>
          <w:rtl/>
        </w:rPr>
        <w:t xml:space="preserve">ترجمه فی (دجا- ص 276) و أورد شعره نقلا عن گلستان مسرت و جاء شعره فیه (ص 89).</w:t>
      </w:r>
    </w:p>
    <w:p>
      <w:pPr>
        <w:pStyle w:val="Heading3"/>
      </w:pPr>
      <w:bookmarkStart w:id="6617" w:name="_Toc5313"/>
      <w:r>
        <w:t>5013- دیوان عطائی سبزواری‏</w:t>
      </w:r>
      <w:bookmarkEnd w:id="6617"/>
    </w:p>
    <w:p>
      <w:pPr>
        <w:pStyle w:val="BookText"/>
      </w:pPr>
      <w:r>
        <w:rPr>
          <w:rFonts w:ascii="IRNazanin" w:hAnsi="IRNazanin" w:eastAsia="IRNazanin" w:cs="IRNazanin"/>
          <w:lang w:bidi="fa-IR"/>
          <w:color w:val="111111"/>
          <w:sz w:val="28"/>
          <w:szCs w:val="28"/>
          <w:rtl/>
        </w:rPr>
        <w:t xml:space="preserve">الفقیه المنزوی عن الخلق. له ترجیع‏بند ذکره سام میرزا فی (تس 5- ص 164).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bookmarkStart w:id="721" w:name="pg11704_122205"/>
    <w:bookmarkEnd w:id="721"/>
    <w:p>
      <w:pPr>
        <w:pStyle w:val="Heading3"/>
      </w:pPr>
      <w:bookmarkStart w:id="6618" w:name="_Toc5314"/>
      <w:r>
        <w:t>5014- دیوان عطائی کاشی أو شعره‏</w:t>
      </w:r>
      <w:bookmarkEnd w:id="6618"/>
    </w:p>
    <w:p>
      <w:pPr>
        <w:pStyle w:val="BookText"/>
      </w:pPr>
      <w:r>
        <w:rPr>
          <w:rFonts w:ascii="IRNazanin" w:hAnsi="IRNazanin" w:eastAsia="IRNazanin" w:cs="IRNazanin"/>
          <w:lang w:bidi="fa-IR"/>
          <w:color w:val="111111"/>
          <w:sz w:val="28"/>
          <w:szCs w:val="28"/>
          <w:rtl/>
        </w:rPr>
        <w:t xml:space="preserve">و اسمه المیر عبد الصمد النقاش. و ینقل فی (روشن- 462) عن نگارستان سخن أنه طهرانی و أورد شعره و الظاهر أنه غیر عطاء طهرانی.</w:t>
      </w:r>
    </w:p>
    <w:p>
      <w:pPr>
        <w:pStyle w:val="Heading3"/>
      </w:pPr>
      <w:bookmarkStart w:id="6619" w:name="_Toc5315"/>
      <w:r>
        <w:t>5015- دیوان عطائی هندی‏</w:t>
      </w:r>
      <w:bookmarkEnd w:id="6619"/>
    </w:p>
    <w:p>
      <w:pPr>
        <w:pStyle w:val="BookText"/>
      </w:pPr>
      <w:r>
        <w:rPr>
          <w:rFonts w:ascii="IRNazanin" w:hAnsi="IRNazanin" w:eastAsia="IRNazanin" w:cs="IRNazanin"/>
          <w:lang w:bidi="fa-IR"/>
          <w:color w:val="111111"/>
          <w:sz w:val="28"/>
          <w:szCs w:val="28"/>
          <w:rtl/>
        </w:rPr>
        <w:t xml:space="preserve">و اسمه الشیخ شاه محمد سانده‏ئی الأودی. له منظومة عطائی‏نامه مرتب علی الحروف، مطبوع یقرأ فی المدارس بالهند کما فی (روشن- ص 461).</w:t>
      </w:r>
    </w:p>
    <w:p>
      <w:pPr>
        <w:pStyle w:val="Heading3"/>
      </w:pPr>
      <w:bookmarkStart w:id="6620" w:name="_Toc5316"/>
      <w:r>
        <w:t>دیوان العطار البغدادی‏</w:t>
      </w:r>
      <w:bookmarkEnd w:id="6620"/>
    </w:p>
    <w:p>
      <w:pPr>
        <w:pStyle w:val="BookText"/>
      </w:pPr>
      <w:r>
        <w:rPr>
          <w:rFonts w:ascii="IRNazanin" w:hAnsi="IRNazanin" w:eastAsia="IRNazanin" w:cs="IRNazanin"/>
          <w:lang w:bidi="fa-IR"/>
          <w:color w:val="111111"/>
          <w:sz w:val="28"/>
          <w:szCs w:val="28"/>
          <w:rtl/>
        </w:rPr>
        <w:t xml:space="preserve">و هو السید أحمد بن محمد بن علی الحسینی المتوفی 1215 مر له أرجوزة فی الرجال فی (1: 473) و مر دیوانه فی (ص 56).</w:t>
      </w:r>
    </w:p>
    <w:p>
      <w:pPr>
        <w:pStyle w:val="Heading3"/>
      </w:pPr>
      <w:bookmarkStart w:id="6621" w:name="_Toc5317"/>
      <w:r>
        <w:t>5016- دیوان عطار بلخی‏</w:t>
      </w:r>
      <w:bookmarkEnd w:id="6621"/>
    </w:p>
    <w:p>
      <w:pPr>
        <w:pStyle w:val="BookText"/>
      </w:pPr>
      <w:r>
        <w:rPr>
          <w:rFonts w:ascii="IRNazanin" w:hAnsi="IRNazanin" w:eastAsia="IRNazanin" w:cs="IRNazanin"/>
          <w:lang w:bidi="fa-IR"/>
          <w:color w:val="111111"/>
          <w:sz w:val="28"/>
          <w:szCs w:val="28"/>
          <w:rtl/>
        </w:rPr>
        <w:t xml:space="preserve">و اسمه نعیم. ترجمه و أورد شعره نقلا عن دیوانه فی (گلشن- ص 288).</w:t>
      </w:r>
    </w:p>
    <w:p>
      <w:pPr>
        <w:pStyle w:val="Heading3"/>
      </w:pPr>
      <w:bookmarkStart w:id="6622" w:name="_Toc5318"/>
      <w:r>
        <w:t>دیوان عطار شیرازی‏</w:t>
      </w:r>
      <w:bookmarkEnd w:id="6622"/>
    </w:p>
    <w:p>
      <w:pPr>
        <w:pStyle w:val="BookText"/>
      </w:pPr>
      <w:r>
        <w:rPr>
          <w:rFonts w:ascii="IRNazanin" w:hAnsi="IRNazanin" w:eastAsia="IRNazanin" w:cs="IRNazanin"/>
          <w:lang w:bidi="fa-IR"/>
          <w:color w:val="111111"/>
          <w:sz w:val="28"/>
          <w:szCs w:val="28"/>
          <w:rtl/>
        </w:rPr>
        <w:t xml:space="preserve">مر بعنوان روح عطار فی ص 387.</w:t>
      </w:r>
    </w:p>
    <w:p>
      <w:pPr>
        <w:pStyle w:val="Heading3"/>
      </w:pPr>
      <w:bookmarkStart w:id="6623" w:name="_Toc5319"/>
      <w:r>
        <w:t>5017- دیوان عطار شیرازی أو شعره‏</w:t>
      </w:r>
      <w:bookmarkEnd w:id="6623"/>
    </w:p>
    <w:p>
      <w:pPr>
        <w:pStyle w:val="BookText"/>
      </w:pPr>
      <w:r>
        <w:rPr>
          <w:rFonts w:ascii="IRNazanin" w:hAnsi="IRNazanin" w:eastAsia="IRNazanin" w:cs="IRNazanin"/>
          <w:lang w:bidi="fa-IR"/>
          <w:color w:val="111111"/>
          <w:sz w:val="28"/>
          <w:szCs w:val="28"/>
          <w:rtl/>
        </w:rPr>
        <w:t xml:space="preserve">و هو الشاه‏زاده محمد علی میرزا. ترجمه فرصت فی (عم- 563) و أورد شعره.</w:t>
      </w:r>
    </w:p>
    <w:p>
      <w:pPr>
        <w:pStyle w:val="Heading3"/>
      </w:pPr>
      <w:bookmarkStart w:id="6624" w:name="_Toc5320"/>
      <w:r>
        <w:t>5018- دیوان عطارد</w:t>
      </w:r>
      <w:bookmarkEnd w:id="6624"/>
    </w:p>
    <w:p>
      <w:pPr>
        <w:pStyle w:val="BookText"/>
      </w:pPr>
      <w:r>
        <w:rPr>
          <w:rFonts w:ascii="IRNazanin" w:hAnsi="IRNazanin" w:eastAsia="IRNazanin" w:cs="IRNazanin"/>
          <w:lang w:bidi="fa-IR"/>
          <w:color w:val="111111"/>
          <w:sz w:val="28"/>
          <w:szCs w:val="28"/>
          <w:rtl/>
        </w:rPr>
        <w:t xml:space="preserve">للخواجة شهاب الدین عطارد 650 1252 م. نسخه بخط محمد حسین بلغاری کتبت 1268 فی مکتبة تاشکند کما فی فهرسها (2: 65).</w:t>
      </w:r>
    </w:p>
    <w:p>
      <w:pPr>
        <w:pStyle w:val="Heading3"/>
      </w:pPr>
      <w:bookmarkStart w:id="6625" w:name="_Toc5321"/>
      <w:r>
        <w:t>5019- دیوان عطاردی خراسانی‏</w:t>
      </w:r>
      <w:bookmarkEnd w:id="6625"/>
    </w:p>
    <w:p>
      <w:pPr>
        <w:pStyle w:val="BookText"/>
      </w:pPr>
      <w:r>
        <w:rPr>
          <w:rFonts w:ascii="IRNazanin" w:hAnsi="IRNazanin" w:eastAsia="IRNazanin" w:cs="IRNazanin"/>
          <w:lang w:bidi="fa-IR"/>
          <w:color w:val="111111"/>
          <w:sz w:val="28"/>
          <w:szCs w:val="28"/>
          <w:rtl/>
        </w:rPr>
        <w:t xml:space="preserve">الأبیوردی و هو عبد الرحمن بن محمد من شعراء محمود الغزنوی. ترجمه فی (تغ: 91) و (مع 1: 242) و قد رأی سنگلاخ نسختین من دیوانه أحدهما بخط المیر محمد و الآخر بخط محمد طاهر اعتماد الدولة و ذکرهما فی امتحان الفضلاء 1: 122 و 2: 90.</w:t>
      </w:r>
    </w:p>
    <w:p>
      <w:pPr>
        <w:pStyle w:val="Heading3"/>
      </w:pPr>
      <w:bookmarkStart w:id="6626" w:name="_Toc5322"/>
      <w:r>
        <w:t>5020- دیوان عطار نیشابوری‏</w:t>
      </w:r>
      <w:bookmarkEnd w:id="6626"/>
    </w:p>
    <w:p>
      <w:pPr>
        <w:pStyle w:val="BookText"/>
      </w:pPr>
      <w:r>
        <w:rPr>
          <w:rFonts w:ascii="IRNazanin" w:hAnsi="IRNazanin" w:eastAsia="IRNazanin" w:cs="IRNazanin"/>
          <w:lang w:bidi="fa-IR"/>
          <w:color w:val="111111"/>
          <w:sz w:val="28"/>
          <w:szCs w:val="28"/>
          <w:rtl/>
        </w:rPr>
        <w:t xml:space="preserve">الشیخ فرید الدین أبو طالب محمد بن إبراهیم‏</w:t>
      </w:r>
      <w:r>
        <w:rPr>
          <w:rStyle w:val="FootnoteReference"/>
        </w:rPr>
        <w:footnoteReference w:id="58"/>
      </w:r>
      <w:r>
        <w:rPr>
          <w:rFonts w:ascii="IRNazanin" w:hAnsi="IRNazanin" w:eastAsia="IRNazanin" w:cs="IRNazanin"/>
          <w:lang w:bidi="fa-IR"/>
          <w:color w:val="111111"/>
          <w:sz w:val="28"/>
          <w:szCs w:val="28"/>
          <w:rtl/>
        </w:rPr>
        <w:t xml:space="preserve">الکوکنی النیشابوری المولود 512 علی قول و المقتول فی فتنة المغول 627 أو 659 کما فی شاهد صادق قیل و شعره أکثر من مائة ألف، و تصانیفه مائة و تسعین مجلدا و صرح بدیوانه فی تجلی عرفان</w:t>
      </w:r>
    </w:p>
    <w:p>
      <w:pPr>
        <w:pStyle w:val="BookText"/>
      </w:pPr>
      <w:r>
        <w:rPr>
          <w:rFonts w:ascii="IRNazanin" w:hAnsi="IRNazanin" w:eastAsia="IRNazanin" w:cs="IRNazanin"/>
          <w:lang w:bidi="fa-IR"/>
          <w:color w:val="111111"/>
          <w:sz w:val="28"/>
          <w:szCs w:val="28"/>
          <w:rtl/>
        </w:rPr>
        <w:t xml:space="preserve">فی قبال مثنویاته. أقول هو دیوان قصائده و غزلیاته و قد طبع مع مقدمه سعید النفیسی فی 1320 ش. و فیها 754 غزلا و مطلع إحدی قصائده: .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bookmarkStart w:id="722" w:name="pg11704_122206"/>
    <w:bookmarkEnd w:id="722"/>
    <w:p>
      <w:pPr>
        <w:pStyle w:val="BookText"/>
      </w:pPr>
      <w:r>
        <w:rPr>
          <w:rFonts w:ascii="IRNazanin" w:hAnsi="IRNazanin" w:eastAsia="IRNazanin" w:cs="IRNazanin"/>
          <w:lang w:bidi="fa-IR"/>
          <w:color w:val="111111"/>
          <w:sz w:val="28"/>
          <w:szCs w:val="28"/>
          <w:rtl/>
        </w:rPr>
        <w:t xml:space="preserve">ای روی در کشیده به بإزار آمده‏</w:t>
      </w:r>
    </w:p>
    <w:p>
      <w:pPr>
        <w:pStyle w:val="BookText"/>
      </w:pPr>
      <w:r>
        <w:rPr>
          <w:rFonts w:ascii="IRNazanin" w:hAnsi="IRNazanin" w:eastAsia="IRNazanin" w:cs="IRNazanin"/>
          <w:lang w:bidi="fa-IR"/>
          <w:color w:val="111111"/>
          <w:sz w:val="28"/>
          <w:szCs w:val="28"/>
          <w:rtl/>
        </w:rPr>
        <w:t xml:space="preserve">خلقی بدین طلسم گرفتار آمده‏</w:t>
      </w:r>
    </w:p>
    <w:p>
      <w:pPr>
        <w:pStyle w:val="BookText"/>
      </w:pPr>
      <w:r>
        <w:rPr>
          <w:rFonts w:ascii="IRNazanin" w:hAnsi="IRNazanin" w:eastAsia="IRNazanin" w:cs="IRNazanin"/>
          <w:lang w:bidi="fa-IR"/>
          <w:color w:val="111111"/>
          <w:sz w:val="28"/>
          <w:szCs w:val="28"/>
          <w:rtl/>
        </w:rPr>
        <w:t xml:space="preserve">و قد شرح هذه القصیدة المولی علی الجامی أستاذ المیر علی شیر کما ذکره فی مجالس النفائس ص 207 و طبع ذیل دیوانه المذکور. و طبع له مستقلا إلهی‏نامه فی 1306 ش. فی 418 ص. و 1315 ش. و بأستانبول 1940 م. و أسرارنامه فی 1356 بطهران بتصحیح حسن علی الأصفهانی. و إرشاد البیان فی 1355 بها أیضا و طبع منطق الطیر و مصیبت‏نامه و مفتاح الفتوح و اشترنامه و پندنامه و طیورنامه و خسرونامه و مختارنامه و بلبل‏نامه و بی‏سرنامه و جمجمه‏نامه و جواهر الذات و رموز العاشقین و شهبازنامه و کنز الحقائق و گل و خسرو و مهر و مشتری و هفت‏آباد و هیلاج‏نامه کل مستقلا و مکررا. و توجد نسخه من منظومة وصلت‏نامه له عند یحیی دهخدا أخ علی أکبر دهخدا بطهران. آخره:</w:t>
      </w:r>
    </w:p>
    <w:p>
      <w:pPr>
        <w:pStyle w:val="BookText"/>
      </w:pPr>
      <w:r>
        <w:rPr>
          <w:rFonts w:ascii="IRNazanin" w:hAnsi="IRNazanin" w:eastAsia="IRNazanin" w:cs="IRNazanin"/>
          <w:lang w:bidi="fa-IR"/>
          <w:color w:val="111111"/>
          <w:sz w:val="28"/>
          <w:szCs w:val="28"/>
          <w:rtl/>
        </w:rPr>
        <w:t xml:space="preserve">چون وصال آمد به وصلت این تمام‏</w:t>
      </w:r>
    </w:p>
    <w:p>
      <w:pPr>
        <w:pStyle w:val="BookText"/>
      </w:pPr>
      <w:r>
        <w:rPr>
          <w:rFonts w:ascii="IRNazanin" w:hAnsi="IRNazanin" w:eastAsia="IRNazanin" w:cs="IRNazanin"/>
          <w:lang w:bidi="fa-IR"/>
          <w:color w:val="111111"/>
          <w:sz w:val="28"/>
          <w:szCs w:val="28"/>
          <w:rtl/>
        </w:rPr>
        <w:t xml:space="preserve">ختم شد این بر محمد و السلام‏</w:t>
      </w:r>
    </w:p>
    <w:p>
      <w:pPr>
        <w:pStyle w:val="BookText"/>
      </w:pPr>
      <w:r>
        <w:rPr>
          <w:rFonts w:ascii="IRNazanin" w:hAnsi="IRNazanin" w:eastAsia="IRNazanin" w:cs="IRNazanin"/>
          <w:lang w:bidi="fa-IR"/>
          <w:color w:val="111111"/>
          <w:sz w:val="28"/>
          <w:szCs w:val="28"/>
          <w:rtl/>
        </w:rPr>
        <w:t xml:space="preserve">و له تذکره الأولیاء ترجم فیه 72 رجلا من الصوفیة فی المتن و 25 رجلا فی ذیله.</w:t>
      </w:r>
    </w:p>
    <w:p>
      <w:pPr>
        <w:pStyle w:val="BookText"/>
      </w:pPr>
      <w:r>
        <w:rPr>
          <w:rFonts w:ascii="IRNazanin" w:hAnsi="IRNazanin" w:eastAsia="IRNazanin" w:cs="IRNazanin"/>
          <w:lang w:bidi="fa-IR"/>
          <w:color w:val="111111"/>
          <w:sz w:val="28"/>
          <w:szCs w:val="28"/>
          <w:rtl/>
        </w:rPr>
        <w:t xml:space="preserve">طبع بلیدن 1901 م. و ترجمته بالعربیة موجودة بمکتبة جامعة طهران کما فی فهرسها (2: 538- 545) و ترجم أحوال العطار فی (النفحات- 520) و (لت 4) و هفت إقلیم و خلاصة الأشعار و (تغ: 90) و (لس- ص 198) و سفینة الأولیاء و القزوینی فی مقدمه طبع تذکرته بلیدن 1901 م و سبک‏شناسی و (المغول- ص 531) و (مع 1: 367) و (حسینی- ص 202) و (خیال- ص 41) و لسعید النفیسی کتاب مستقل فی أحواله مر فی (5: 108) و تاریخ گزیده- ص 822 و (تش- ص 138) و فهرس (المجلس) (3: 571) و فهرس مخطوطات تاشکند (2: 852 و 859) و ریحانة الأدب. و قیل فی تاریخ وفاته 626:</w:t>
      </w:r>
    </w:p>
    <w:p>
      <w:pPr>
        <w:pStyle w:val="BookText"/>
      </w:pPr>
      <w:r>
        <w:rPr>
          <w:rFonts w:ascii="IRNazanin" w:hAnsi="IRNazanin" w:eastAsia="IRNazanin" w:cs="IRNazanin"/>
          <w:lang w:bidi="fa-IR"/>
          <w:color w:val="111111"/>
          <w:sz w:val="28"/>
          <w:szCs w:val="28"/>
          <w:rtl/>
        </w:rPr>
        <w:t xml:space="preserve">سال ترحیل آن مه دوران‏</w:t>
      </w:r>
    </w:p>
    <w:p>
      <w:pPr>
        <w:pStyle w:val="BookText"/>
      </w:pPr>
      <w:r>
        <w:rPr>
          <w:rFonts w:ascii="IRNazanin" w:hAnsi="IRNazanin" w:eastAsia="IRNazanin" w:cs="IRNazanin"/>
          <w:lang w:bidi="fa-IR"/>
          <w:color w:val="111111"/>
          <w:sz w:val="28"/>
          <w:szCs w:val="28"/>
          <w:rtl/>
        </w:rPr>
        <w:t xml:space="preserve">قبله أهل جنت است بدان‏</w:t>
      </w:r>
    </w:p>
    <w:p>
      <w:pPr>
        <w:pStyle w:val="Heading3"/>
      </w:pPr>
      <w:bookmarkStart w:id="6627" w:name="_Toc5323"/>
      <w:r>
        <w:t>5021- دیوان عطار یزدی أو شعره‏</w:t>
      </w:r>
      <w:bookmarkEnd w:id="6627"/>
    </w:p>
    <w:p>
      <w:pPr>
        <w:pStyle w:val="BookText"/>
      </w:pPr>
      <w:r>
        <w:rPr>
          <w:rFonts w:ascii="IRNazanin" w:hAnsi="IRNazanin" w:eastAsia="IRNazanin" w:cs="IRNazanin"/>
          <w:lang w:bidi="fa-IR"/>
          <w:color w:val="111111"/>
          <w:sz w:val="28"/>
          <w:szCs w:val="28"/>
          <w:rtl/>
        </w:rPr>
        <w:t xml:space="preserve">و اسمه حسین بن أخت المضطر الیزدی.</w:t>
      </w:r>
    </w:p>
    <w:p>
      <w:pPr>
        <w:pStyle w:val="BookText"/>
      </w:pPr>
      <w:r>
        <w:rPr>
          <w:rFonts w:ascii="IRNazanin" w:hAnsi="IRNazanin" w:eastAsia="IRNazanin" w:cs="IRNazanin"/>
          <w:lang w:bidi="fa-IR"/>
          <w:color w:val="111111"/>
          <w:sz w:val="28"/>
          <w:szCs w:val="28"/>
          <w:rtl/>
        </w:rPr>
        <w:t xml:space="preserve">ترجمه و أورد شعره فی (تش یز- ص 331) و أورد شعره.</w:t>
      </w:r>
    </w:p>
    <w:p>
      <w:pPr>
        <w:pStyle w:val="Heading3"/>
      </w:pPr>
      <w:bookmarkStart w:id="6628" w:name="_Toc5324"/>
      <w:r>
        <w:t>5022- دیوان عظمت سمرقندی أو شعرها</w:t>
      </w:r>
      <w:bookmarkEnd w:id="6628"/>
    </w:p>
    <w:p>
      <w:pPr>
        <w:pStyle w:val="BookText"/>
      </w:pPr>
      <w:r>
        <w:rPr>
          <w:rFonts w:ascii="IRNazanin" w:hAnsi="IRNazanin" w:eastAsia="IRNazanin" w:cs="IRNazanin"/>
          <w:lang w:bidi="fa-IR"/>
          <w:color w:val="111111"/>
          <w:sz w:val="28"/>
          <w:szCs w:val="28"/>
          <w:rtl/>
        </w:rPr>
        <w:t xml:space="preserve">هی من شاعرات سمرقند. أورد شعرها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bookmarkStart w:id="723" w:name="pg11704_122207"/>
    <w:bookmarkEnd w:id="723"/>
    <w:p>
      <w:pPr>
        <w:pStyle w:val="BookText"/>
      </w:pPr>
      <w:r>
        <w:rPr>
          <w:rFonts w:ascii="IRNazanin" w:hAnsi="IRNazanin" w:eastAsia="IRNazanin" w:cs="IRNazanin"/>
          <w:lang w:bidi="fa-IR"/>
          <w:color w:val="111111"/>
          <w:sz w:val="28"/>
          <w:szCs w:val="28"/>
          <w:rtl/>
        </w:rPr>
        <w:t xml:space="preserve">فی (گلشن- ص 288).</w:t>
      </w:r>
    </w:p>
    <w:p>
      <w:pPr>
        <w:pStyle w:val="Heading3"/>
      </w:pPr>
      <w:bookmarkStart w:id="6629" w:name="_Toc5325"/>
      <w:r>
        <w:t>5023- دیوان عظیم أو شعره‏</w:t>
      </w:r>
      <w:bookmarkEnd w:id="6629"/>
    </w:p>
    <w:p>
      <w:pPr>
        <w:pStyle w:val="BookText"/>
      </w:pPr>
      <w:r>
        <w:rPr>
          <w:rFonts w:ascii="IRNazanin" w:hAnsi="IRNazanin" w:eastAsia="IRNazanin" w:cs="IRNazanin"/>
          <w:lang w:bidi="fa-IR"/>
          <w:color w:val="111111"/>
          <w:sz w:val="28"/>
          <w:szCs w:val="28"/>
          <w:rtl/>
        </w:rPr>
        <w:t xml:space="preserve">و اسمه المیر هدایة الله الشاه عبد العظیمی الرازی من ساداتها. ترجمه و أورد شعره فی (تس 2- ص 42).</w:t>
      </w:r>
    </w:p>
    <w:p>
      <w:pPr>
        <w:pStyle w:val="Heading3"/>
      </w:pPr>
      <w:bookmarkStart w:id="6630" w:name="_Toc5326"/>
      <w:r>
        <w:t>5024- دیوان عظیمای نیشابوری‏</w:t>
      </w:r>
      <w:bookmarkEnd w:id="6630"/>
    </w:p>
    <w:p>
      <w:pPr>
        <w:pStyle w:val="BookText"/>
      </w:pPr>
      <w:r>
        <w:rPr>
          <w:rFonts w:ascii="IRNazanin" w:hAnsi="IRNazanin" w:eastAsia="IRNazanin" w:cs="IRNazanin"/>
          <w:lang w:bidi="fa-IR"/>
          <w:color w:val="111111"/>
          <w:sz w:val="28"/>
          <w:szCs w:val="28"/>
          <w:rtl/>
        </w:rPr>
        <w:t xml:space="preserve">هو ابن المولی قیدی الذی هو ابن أخ المولی نظیری النیشابوری. له دیوان غزل و قصائد توجد (ببنگاله) کما فی فهرسها. و له مثنوی اسمه فوز عظیم و منظومة گفت و گفتمش و توفی 1111. ترجمه فی (نر 9- ص 316) و نقل فی (خز- 440) عن مرآة الصفا أن والده قیدی کان ابن نظیری لا ابن أخیه. ثم ذکروا موت قیدی حین سفر البحر و نظم عظیما لتاریخه: [قیدی گهر محیط رحمت 1074] و ترجمه أیضا فی (سرخوش- ص 78) و (تغ 91).</w:t>
      </w:r>
    </w:p>
    <w:p>
      <w:pPr>
        <w:pStyle w:val="Heading3"/>
      </w:pPr>
      <w:bookmarkStart w:id="6631" w:name="_Toc5327"/>
      <w:r>
        <w:t>5025- دیوان عظیم بلگرامی أو شعره‏</w:t>
      </w:r>
      <w:bookmarkEnd w:id="6631"/>
    </w:p>
    <w:p>
      <w:pPr>
        <w:pStyle w:val="BookText"/>
      </w:pPr>
      <w:r>
        <w:rPr>
          <w:rFonts w:ascii="IRNazanin" w:hAnsi="IRNazanin" w:eastAsia="IRNazanin" w:cs="IRNazanin"/>
          <w:lang w:bidi="fa-IR"/>
          <w:color w:val="111111"/>
          <w:sz w:val="28"/>
          <w:szCs w:val="28"/>
          <w:rtl/>
        </w:rPr>
        <w:t xml:space="preserve">و اسمه السید عظیم الدین بن السید نجات. ولد 8 ذی القعدة 1113. ترجمه و أورد شعره فی (سرو- ص 337).</w:t>
      </w:r>
    </w:p>
    <w:p>
      <w:pPr>
        <w:pStyle w:val="Heading3"/>
      </w:pPr>
      <w:bookmarkStart w:id="6632" w:name="_Toc5328"/>
      <w:r>
        <w:t>5026- دیوان عظیم خیرآبادی أو شعره‏</w:t>
      </w:r>
      <w:bookmarkEnd w:id="6632"/>
    </w:p>
    <w:p>
      <w:pPr>
        <w:pStyle w:val="BookText"/>
      </w:pPr>
      <w:r>
        <w:rPr>
          <w:rFonts w:ascii="IRNazanin" w:hAnsi="IRNazanin" w:eastAsia="IRNazanin" w:cs="IRNazanin"/>
          <w:lang w:bidi="fa-IR"/>
          <w:color w:val="111111"/>
          <w:sz w:val="28"/>
          <w:szCs w:val="28"/>
          <w:rtl/>
        </w:rPr>
        <w:t xml:space="preserve">و اسمه فضل عظیم بن فضل إمام و أخ فضل حق. أورد شعره فی (گلشن- ص 288).</w:t>
      </w:r>
    </w:p>
    <w:p>
      <w:pPr>
        <w:pStyle w:val="Heading3"/>
      </w:pPr>
      <w:bookmarkStart w:id="6633" w:name="_Toc5329"/>
      <w:r>
        <w:t>5027- دیوان عظیم شیروانی‏</w:t>
      </w:r>
      <w:bookmarkEnd w:id="6633"/>
    </w:p>
    <w:p>
      <w:pPr>
        <w:pStyle w:val="BookText"/>
      </w:pPr>
      <w:r>
        <w:rPr>
          <w:rFonts w:ascii="IRNazanin" w:hAnsi="IRNazanin" w:eastAsia="IRNazanin" w:cs="IRNazanin"/>
          <w:lang w:bidi="fa-IR"/>
          <w:color w:val="111111"/>
          <w:sz w:val="28"/>
          <w:szCs w:val="28"/>
          <w:rtl/>
        </w:rPr>
        <w:t xml:space="preserve">للحاج السید عظیم الشیروانی المتوفی 1308 طبع بتبریز علی الحجر فی 1313. و طبع له مثنوی فی 1315.</w:t>
      </w:r>
    </w:p>
    <w:p>
      <w:pPr>
        <w:pStyle w:val="Heading3"/>
      </w:pPr>
      <w:bookmarkStart w:id="6634" w:name="_Toc5330"/>
      <w:r>
        <w:t>5028- دیوان عفت شیرازی أو شعرها</w:t>
      </w:r>
      <w:bookmarkEnd w:id="6634"/>
    </w:p>
    <w:p>
      <w:pPr>
        <w:pStyle w:val="BookText"/>
      </w:pPr>
      <w:r>
        <w:rPr>
          <w:rFonts w:ascii="IRNazanin" w:hAnsi="IRNazanin" w:eastAsia="IRNazanin" w:cs="IRNazanin"/>
          <w:lang w:bidi="fa-IR"/>
          <w:color w:val="111111"/>
          <w:sz w:val="28"/>
          <w:szCs w:val="28"/>
          <w:rtl/>
        </w:rPr>
        <w:t xml:space="preserve">و هی سکینه بیگم بنت المیرزا عبد الله النسابة بن مؤمن شیخ الإسلام. ماتت فی ألف و مائتین و نیف و خمسین. ترجمها و أورد شعرها فی فصل محلة سردرک بشیراز من کتاب فارس‏نامه ناصری 1: 94 و 2: 149 و طرائق الحقائق 3: 105 و از رابعة تا پروین- ص 196. ولدت 1192 و مدحت فتح علی شاه. و اشترکت مع نشاط الأصفهانی فی إیجاد السبک الجدید للشعر الفارسی.</w:t>
      </w:r>
    </w:p>
    <w:p>
      <w:pPr>
        <w:pStyle w:val="Heading3"/>
      </w:pPr>
      <w:bookmarkStart w:id="6635" w:name="_Toc5331"/>
      <w:r>
        <w:t>5029- دیوان عفتی أسفراینی‏</w:t>
      </w:r>
      <w:bookmarkEnd w:id="6635"/>
    </w:p>
    <w:p>
      <w:pPr>
        <w:pStyle w:val="BookText"/>
      </w:pPr>
      <w:r>
        <w:rPr>
          <w:rFonts w:ascii="IRNazanin" w:hAnsi="IRNazanin" w:eastAsia="IRNazanin" w:cs="IRNazanin"/>
          <w:lang w:bidi="fa-IR"/>
          <w:color w:val="111111"/>
          <w:sz w:val="28"/>
          <w:szCs w:val="28"/>
          <w:rtl/>
        </w:rPr>
        <w:t xml:space="preserve">و اسمها عفت ترجمها و أورد شعرها فی (تش- ص 350) و خیرات حسان 2: 186 و ریحانة الأدب. و تذکره کاظم الموجود فی (المجلس) کما فی فهرسها 3: 161 و از رابعة تا پروین- ص 172 و قال فی (روشن- ص 463) إنها کانت مملوکة لآذری الشاعر. و کان لها دیوان فقدت. و جاء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bookmarkStart w:id="724" w:name="pg11704_122208"/>
    <w:bookmarkEnd w:id="724"/>
    <w:p>
      <w:pPr>
        <w:pStyle w:val="BookText"/>
      </w:pPr>
      <w:r>
        <w:rPr>
          <w:rFonts w:ascii="IRNazanin" w:hAnsi="IRNazanin" w:eastAsia="IRNazanin" w:cs="IRNazanin"/>
          <w:lang w:bidi="fa-IR"/>
          <w:color w:val="111111"/>
          <w:sz w:val="28"/>
          <w:szCs w:val="28"/>
          <w:rtl/>
        </w:rPr>
        <w:t xml:space="preserve">اسمها فی بعض الکتب عشقی أیضا.</w:t>
      </w:r>
    </w:p>
    <w:p>
      <w:pPr>
        <w:pStyle w:val="Heading3"/>
      </w:pPr>
      <w:bookmarkStart w:id="6636" w:name="_Toc5332"/>
      <w:r>
        <w:t>5030- دیوان عقاب شیرازی أو شعره‏</w:t>
      </w:r>
      <w:bookmarkEnd w:id="6636"/>
    </w:p>
    <w:p>
      <w:pPr>
        <w:pStyle w:val="BookText"/>
      </w:pPr>
      <w:r>
        <w:rPr>
          <w:rFonts w:ascii="IRNazanin" w:hAnsi="IRNazanin" w:eastAsia="IRNazanin" w:cs="IRNazanin"/>
          <w:lang w:bidi="fa-IR"/>
          <w:color w:val="111111"/>
          <w:sz w:val="28"/>
          <w:szCs w:val="28"/>
          <w:rtl/>
        </w:rPr>
        <w:t xml:space="preserve">هو السید المیرزا فضل بن المیرزا أبی القاسم المشرف الشیرازی تلمیذ المیرزا فرصت ترجمه فی (عم- ص 563) و أورد شعره.</w:t>
      </w:r>
    </w:p>
    <w:p>
      <w:pPr>
        <w:pStyle w:val="Heading3"/>
      </w:pPr>
      <w:bookmarkStart w:id="6637" w:name="_Toc5333"/>
      <w:r>
        <w:t>5031- دیوان عقدائی‏</w:t>
      </w:r>
      <w:bookmarkEnd w:id="6637"/>
    </w:p>
    <w:p>
      <w:pPr>
        <w:pStyle w:val="BookText"/>
      </w:pPr>
      <w:r>
        <w:rPr>
          <w:rFonts w:ascii="IRNazanin" w:hAnsi="IRNazanin" w:eastAsia="IRNazanin" w:cs="IRNazanin"/>
          <w:lang w:bidi="fa-IR"/>
          <w:color w:val="111111"/>
          <w:sz w:val="28"/>
          <w:szCs w:val="28"/>
          <w:rtl/>
        </w:rPr>
        <w:t xml:space="preserve">و هو المولی إسماعیل بن ملک الیزدی المتوفی 1230.</w:t>
      </w:r>
    </w:p>
    <w:p>
      <w:pPr>
        <w:pStyle w:val="BookText"/>
      </w:pPr>
      <w:r>
        <w:rPr>
          <w:rFonts w:ascii="IRNazanin" w:hAnsi="IRNazanin" w:eastAsia="IRNazanin" w:cs="IRNazanin"/>
          <w:lang w:bidi="fa-IR"/>
          <w:color w:val="111111"/>
          <w:sz w:val="28"/>
          <w:szCs w:val="28"/>
          <w:rtl/>
        </w:rPr>
        <w:t xml:space="preserve">ترجمه فی (تش یز- ص 391) و تاریخ نائین 4: 150. له منظومة فی المعانی و البیان و مر له الحسن و القبح و غیرها.</w:t>
      </w:r>
    </w:p>
    <w:p>
      <w:pPr>
        <w:pStyle w:val="Heading3"/>
      </w:pPr>
      <w:bookmarkStart w:id="6638" w:name="_Toc5334"/>
      <w:r>
        <w:t>5032- دیوان عقیبة الأسدی أو شعره‏</w:t>
      </w:r>
      <w:bookmarkEnd w:id="6638"/>
    </w:p>
    <w:p>
      <w:pPr>
        <w:pStyle w:val="BookText"/>
      </w:pPr>
      <w:r>
        <w:rPr>
          <w:rFonts w:ascii="IRNazanin" w:hAnsi="IRNazanin" w:eastAsia="IRNazanin" w:cs="IRNazanin"/>
          <w:lang w:bidi="fa-IR"/>
          <w:color w:val="111111"/>
          <w:sz w:val="28"/>
          <w:szCs w:val="28"/>
          <w:rtl/>
        </w:rPr>
        <w:t xml:space="preserve">عده ابن شهرآشوب فی المعالم- ص 141 من الشعراء المتقین.</w:t>
      </w:r>
    </w:p>
    <w:p>
      <w:pPr>
        <w:pStyle w:val="Heading3"/>
      </w:pPr>
      <w:bookmarkStart w:id="6639" w:name="_Toc5335"/>
      <w:r>
        <w:t>دیوان عقیل همدانی‏</w:t>
      </w:r>
      <w:bookmarkEnd w:id="6639"/>
    </w:p>
    <w:p>
      <w:pPr>
        <w:pStyle w:val="BookText"/>
      </w:pPr>
      <w:r>
        <w:rPr>
          <w:rFonts w:ascii="IRNazanin" w:hAnsi="IRNazanin" w:eastAsia="IRNazanin" w:cs="IRNazanin"/>
          <w:lang w:bidi="fa-IR"/>
          <w:color w:val="111111"/>
          <w:sz w:val="28"/>
          <w:szCs w:val="28"/>
          <w:rtl/>
        </w:rPr>
        <w:t xml:space="preserve">المتخلص کوثری یأتی فی الکاف.</w:t>
      </w:r>
    </w:p>
    <w:p>
      <w:pPr>
        <w:pStyle w:val="Heading3"/>
      </w:pPr>
      <w:bookmarkStart w:id="6640" w:name="_Toc5336"/>
      <w:r>
        <w:t>5033- دیوان العقیلی‏</w:t>
      </w:r>
      <w:bookmarkEnd w:id="6640"/>
    </w:p>
    <w:p>
      <w:pPr>
        <w:pStyle w:val="BookText"/>
      </w:pPr>
      <w:r>
        <w:rPr>
          <w:rFonts w:ascii="IRNazanin" w:hAnsi="IRNazanin" w:eastAsia="IRNazanin" w:cs="IRNazanin"/>
          <w:lang w:bidi="fa-IR"/>
          <w:color w:val="111111"/>
          <w:sz w:val="28"/>
          <w:szCs w:val="28"/>
          <w:rtl/>
        </w:rPr>
        <w:t xml:space="preserve">و هو علی بن الحسین بن حیدرة بن محمد بن عبد الله بن محمد العقیلی، أبو الحسن من ولد عقیل بن أبی طالب. توفی 673. ذکر دیوانه فی أسماء المؤلفین 1: 712 و لعله المذکور بعنوان الشریف العقیلی فی ص 522.</w:t>
      </w:r>
    </w:p>
    <w:p>
      <w:pPr>
        <w:pStyle w:val="Heading3"/>
      </w:pPr>
      <w:bookmarkStart w:id="6641" w:name="_Toc5337"/>
      <w:r>
        <w:t>5034 دیوان عقیلی شیرازی أو شعره‏</w:t>
      </w:r>
      <w:bookmarkEnd w:id="6641"/>
    </w:p>
    <w:p>
      <w:pPr>
        <w:pStyle w:val="BookText"/>
      </w:pPr>
      <w:r>
        <w:rPr>
          <w:rFonts w:ascii="IRNazanin" w:hAnsi="IRNazanin" w:eastAsia="IRNazanin" w:cs="IRNazanin"/>
          <w:lang w:bidi="fa-IR"/>
          <w:color w:val="111111"/>
          <w:sz w:val="28"/>
          <w:szCs w:val="28"/>
          <w:rtl/>
        </w:rPr>
        <w:t xml:space="preserve">من سادات دستغیب بشیراز. أورد شعره فی (روشن- ص 463).</w:t>
      </w:r>
    </w:p>
    <w:p>
      <w:pPr>
        <w:pStyle w:val="Heading3"/>
      </w:pPr>
      <w:bookmarkStart w:id="6642" w:name="_Toc5338"/>
      <w:r>
        <w:t>5035- دیوان عکاشة أو شعره‏</w:t>
      </w:r>
      <w:bookmarkEnd w:id="6642"/>
    </w:p>
    <w:p>
      <w:pPr>
        <w:pStyle w:val="BookText"/>
      </w:pPr>
      <w:r>
        <w:rPr>
          <w:rFonts w:ascii="IRNazanin" w:hAnsi="IRNazanin" w:eastAsia="IRNazanin" w:cs="IRNazanin"/>
          <w:lang w:bidi="fa-IR"/>
          <w:color w:val="111111"/>
          <w:sz w:val="28"/>
          <w:szCs w:val="28"/>
          <w:rtl/>
        </w:rPr>
        <w:t xml:space="preserve">و هو جلال الدین فریدون بن عکاشة. ترجمه فی راهنمای دانشوران- 2: 181 و جاء قصائده فی مجموعة من منشئاته الموجودة فی جامعة طهران کما فی فهرسها 2: 276- 281. و قبر عکاشة کان مزارا ببلخ فی القرن التاسع کما ذکر فی (لط 3- ص 79). و لعل القبر لعکاشة الصحابی.</w:t>
      </w:r>
    </w:p>
    <w:p>
      <w:pPr>
        <w:pStyle w:val="Heading3"/>
      </w:pPr>
      <w:bookmarkStart w:id="6643" w:name="_Toc5339"/>
      <w:r>
        <w:t>دیوان العکاشی‏</w:t>
      </w:r>
      <w:bookmarkEnd w:id="6643"/>
    </w:p>
    <w:p>
      <w:pPr>
        <w:pStyle w:val="BookText"/>
      </w:pPr>
      <w:r>
        <w:rPr>
          <w:rFonts w:ascii="IRNazanin" w:hAnsi="IRNazanin" w:eastAsia="IRNazanin" w:cs="IRNazanin"/>
          <w:lang w:bidi="fa-IR"/>
          <w:color w:val="111111"/>
          <w:sz w:val="28"/>
          <w:szCs w:val="28"/>
          <w:rtl/>
        </w:rPr>
        <w:t xml:space="preserve">کما فی (لت 7) ضمن أحوال شاهی سبزواری. مر بعنوان دیوان صدر الدین رواسی فی ص 602.</w:t>
      </w:r>
    </w:p>
    <w:p>
      <w:pPr>
        <w:pStyle w:val="Heading3"/>
      </w:pPr>
      <w:bookmarkStart w:id="6644" w:name="_Toc5340"/>
      <w:r>
        <w:t>5036- دیوان علاء بهبهانی‏</w:t>
      </w:r>
      <w:bookmarkEnd w:id="6644"/>
    </w:p>
    <w:p>
      <w:pPr>
        <w:pStyle w:val="BookText"/>
      </w:pPr>
      <w:r>
        <w:rPr>
          <w:rFonts w:ascii="IRNazanin" w:hAnsi="IRNazanin" w:eastAsia="IRNazanin" w:cs="IRNazanin"/>
          <w:lang w:bidi="fa-IR"/>
          <w:color w:val="111111"/>
          <w:sz w:val="28"/>
          <w:szCs w:val="28"/>
          <w:rtl/>
        </w:rPr>
        <w:t xml:space="preserve">و هو علاء الدین حسین بن أسد الله صاحب أحسن تقویم المذکور فی 11: 35 و دیوانه غزلیات فارسیة رأیته عنده” المؤلف” بکربلاء.</w:t>
      </w:r>
    </w:p>
    <w:p>
      <w:pPr>
        <w:pStyle w:val="Heading3"/>
      </w:pPr>
      <w:bookmarkStart w:id="6645" w:name="_Toc5341"/>
      <w:r>
        <w:t>دیوان علاء بیابانی‏</w:t>
      </w:r>
      <w:bookmarkEnd w:id="6645"/>
    </w:p>
    <w:p>
      <w:pPr>
        <w:pStyle w:val="BookText"/>
      </w:pPr>
      <w:r>
        <w:rPr>
          <w:rFonts w:ascii="IRNazanin" w:hAnsi="IRNazanin" w:eastAsia="IRNazanin" w:cs="IRNazanin"/>
          <w:lang w:bidi="fa-IR"/>
          <w:color w:val="111111"/>
          <w:sz w:val="28"/>
          <w:szCs w:val="28"/>
          <w:rtl/>
        </w:rPr>
        <w:t xml:space="preserve">راجع علاء سمنانی و دیوان علاء بیگ.</w:t>
      </w:r>
    </w:p>
    <w:p>
      <w:pPr>
        <w:pStyle w:val="Heading3"/>
      </w:pPr>
      <w:bookmarkStart w:id="6646" w:name="_Toc5342"/>
      <w:r>
        <w:t>دیوان علاء الدولة سمنانی‏</w:t>
      </w:r>
      <w:bookmarkEnd w:id="6646"/>
    </w:p>
    <w:p>
      <w:pPr>
        <w:pStyle w:val="BookText"/>
      </w:pPr>
      <w:r>
        <w:rPr>
          <w:rFonts w:ascii="IRNazanin" w:hAnsi="IRNazanin" w:eastAsia="IRNazanin" w:cs="IRNazanin"/>
          <w:lang w:bidi="fa-IR"/>
          <w:color w:val="111111"/>
          <w:sz w:val="28"/>
          <w:szCs w:val="28"/>
          <w:rtl/>
        </w:rPr>
        <w:t xml:space="preserve">راجع علاء سمنانی.</w:t>
      </w:r>
    </w:p>
    <w:p>
      <w:pPr>
        <w:pStyle w:val="Heading3"/>
      </w:pPr>
      <w:bookmarkStart w:id="6647" w:name="_Toc5343"/>
      <w:r>
        <w:t>5037- دیوان علاء الدولة شوشتری أو شعره‏</w:t>
      </w:r>
      <w:bookmarkEnd w:id="6647"/>
    </w:p>
    <w:p>
      <w:pPr>
        <w:pStyle w:val="BookText"/>
      </w:pPr>
      <w:r>
        <w:rPr>
          <w:rFonts w:ascii="IRNazanin" w:hAnsi="IRNazanin" w:eastAsia="IRNazanin" w:cs="IRNazanin"/>
          <w:lang w:bidi="fa-IR"/>
          <w:color w:val="111111"/>
          <w:sz w:val="28"/>
          <w:szCs w:val="28"/>
          <w:rtl/>
        </w:rPr>
        <w:t xml:space="preserve">هو أخ علاء الملک. أورد شعره فی‏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bookmarkStart w:id="725" w:name="pg11704_122209"/>
    <w:bookmarkEnd w:id="725"/>
    <w:p>
      <w:pPr>
        <w:pStyle w:val="BookText"/>
      </w:pPr>
      <w:r>
        <w:rPr>
          <w:rFonts w:ascii="IRNazanin" w:hAnsi="IRNazanin" w:eastAsia="IRNazanin" w:cs="IRNazanin"/>
          <w:lang w:bidi="fa-IR"/>
          <w:color w:val="111111"/>
          <w:sz w:val="28"/>
          <w:szCs w:val="28"/>
          <w:rtl/>
        </w:rPr>
        <w:t xml:space="preserve">(گلشن- ص 290).</w:t>
      </w:r>
    </w:p>
    <w:p>
      <w:pPr>
        <w:pStyle w:val="Heading3"/>
      </w:pPr>
      <w:bookmarkStart w:id="6648" w:name="_Toc5344"/>
      <w:r>
        <w:t>5038- دیوان علاء الدین الکندی أو شعره‏</w:t>
      </w:r>
      <w:bookmarkEnd w:id="6648"/>
    </w:p>
    <w:p>
      <w:pPr>
        <w:pStyle w:val="BookText"/>
      </w:pPr>
      <w:r>
        <w:rPr>
          <w:rFonts w:ascii="IRNazanin" w:hAnsi="IRNazanin" w:eastAsia="IRNazanin" w:cs="IRNazanin"/>
          <w:lang w:bidi="fa-IR"/>
          <w:color w:val="111111"/>
          <w:sz w:val="28"/>
          <w:szCs w:val="28"/>
          <w:rtl/>
        </w:rPr>
        <w:t xml:space="preserve">و هو علی بن مظفر صاحب التذکرة الکندیة المذکور فی 4: 45 ذکر فی الروضات و هدیة الأحباب و کشف الظنون.</w:t>
      </w:r>
    </w:p>
    <w:p>
      <w:pPr>
        <w:pStyle w:val="Heading3"/>
      </w:pPr>
      <w:bookmarkStart w:id="6649" w:name="_Toc5345"/>
      <w:r>
        <w:t>دیوان علاء الدین محمد الشهرستانی‏</w:t>
      </w:r>
      <w:bookmarkEnd w:id="6649"/>
    </w:p>
    <w:p>
      <w:pPr>
        <w:pStyle w:val="BookText"/>
      </w:pPr>
      <w:r>
        <w:rPr>
          <w:rFonts w:ascii="IRNazanin" w:hAnsi="IRNazanin" w:eastAsia="IRNazanin" w:cs="IRNazanin"/>
          <w:lang w:bidi="fa-IR"/>
          <w:color w:val="111111"/>
          <w:sz w:val="28"/>
          <w:szCs w:val="28"/>
          <w:rtl/>
        </w:rPr>
        <w:t xml:space="preserve">و هو ابن النواب المیرزا رفیع الدین محمد صدر الممالک الشهرستانی المتخلص بفائز و هو سبط الشاه عباس الماضی. یأتی فی الفاء.</w:t>
      </w:r>
    </w:p>
    <w:p>
      <w:pPr>
        <w:pStyle w:val="Heading3"/>
      </w:pPr>
      <w:bookmarkStart w:id="6650" w:name="_Toc5346"/>
      <w:r>
        <w:t>5039- دیوان علاء الدین محمد صوفی أو شعره‏</w:t>
      </w:r>
      <w:bookmarkEnd w:id="6650"/>
    </w:p>
    <w:p>
      <w:pPr>
        <w:pStyle w:val="BookText"/>
      </w:pPr>
      <w:r>
        <w:rPr>
          <w:rFonts w:ascii="IRNazanin" w:hAnsi="IRNazanin" w:eastAsia="IRNazanin" w:cs="IRNazanin"/>
          <w:lang w:bidi="fa-IR"/>
          <w:color w:val="111111"/>
          <w:sz w:val="28"/>
          <w:szCs w:val="28"/>
          <w:rtl/>
        </w:rPr>
        <w:t xml:space="preserve">هو ابن المیرزا معز الدین محمد قطب الأولیاء، کذا وصفه معاصره فی (نر 9- ص 361) و أورد بعض شعره. و لعله الذی أورد معماه فی (نر 15- ص 524). و هو غیر الصوفی المذکور فی ص 622.</w:t>
      </w:r>
    </w:p>
    <w:p>
      <w:pPr>
        <w:pStyle w:val="Heading3"/>
      </w:pPr>
      <w:bookmarkStart w:id="6651" w:name="_Toc5347"/>
      <w:r>
        <w:t>5040- دیوان علاء الدین غوری أو شعره‏</w:t>
      </w:r>
      <w:bookmarkEnd w:id="6651"/>
    </w:p>
    <w:p>
      <w:pPr>
        <w:pStyle w:val="BookText"/>
      </w:pPr>
      <w:r>
        <w:rPr>
          <w:rFonts w:ascii="IRNazanin" w:hAnsi="IRNazanin" w:eastAsia="IRNazanin" w:cs="IRNazanin"/>
          <w:lang w:bidi="fa-IR"/>
          <w:color w:val="111111"/>
          <w:sz w:val="28"/>
          <w:szCs w:val="28"/>
          <w:rtl/>
        </w:rPr>
        <w:t xml:space="preserve">و اسمه حسین بن حسین، من أولاد محمد سوری. ترجمه و أورد شعره فی (مع 1: 38).</w:t>
      </w:r>
    </w:p>
    <w:p>
      <w:pPr>
        <w:pStyle w:val="Heading3"/>
      </w:pPr>
      <w:bookmarkStart w:id="6652" w:name="_Toc5348"/>
      <w:r>
        <w:t>5041- دیوان علاء الدین هندی‏</w:t>
      </w:r>
      <w:bookmarkEnd w:id="6652"/>
    </w:p>
    <w:p>
      <w:pPr>
        <w:pStyle w:val="BookText"/>
      </w:pPr>
      <w:r>
        <w:rPr>
          <w:rFonts w:ascii="IRNazanin" w:hAnsi="IRNazanin" w:eastAsia="IRNazanin" w:cs="IRNazanin"/>
          <w:lang w:bidi="fa-IR"/>
          <w:color w:val="111111"/>
          <w:sz w:val="28"/>
          <w:szCs w:val="28"/>
          <w:rtl/>
        </w:rPr>
        <w:t xml:space="preserve">أورد فی (روشن- ص 464) له ترجیع‏بند تتبع فیه ترجیع بند للعراقی. و نقل عن آفتاب عالمتاب أن أصله من خراسان جاء إلی الهند و سکن الأود و قتل بید السراق فی 998 عن تسعین سنة. و کذا فی نتایج الأفکار- ص 467.</w:t>
      </w:r>
    </w:p>
    <w:p>
      <w:pPr>
        <w:pStyle w:val="Heading3"/>
      </w:pPr>
      <w:bookmarkStart w:id="6653" w:name="_Toc5349"/>
      <w:r>
        <w:t>5042- دیوان علاء سمنانی‏</w:t>
      </w:r>
      <w:bookmarkEnd w:id="6653"/>
    </w:p>
    <w:p>
      <w:pPr>
        <w:pStyle w:val="BookText"/>
      </w:pPr>
      <w:r>
        <w:rPr>
          <w:rFonts w:ascii="IRNazanin" w:hAnsi="IRNazanin" w:eastAsia="IRNazanin" w:cs="IRNazanin"/>
          <w:lang w:bidi="fa-IR"/>
          <w:color w:val="111111"/>
          <w:sz w:val="28"/>
          <w:szCs w:val="28"/>
          <w:rtl/>
        </w:rPr>
        <w:t xml:space="preserve">و هو أبو المکارم رکن الدین أحمد بن محمد بن أحمد بن محمد البیابانکی السمنانی العارف الصوفی (659- 736) جاء شعره بتخلص علائی و علاء فی الرسالة الکمالیة الذی ألفه المیر عبد الله البرزش‏آبادی فی 827 المطبوع بشیراز 1350. و جمع أشعاره النفیسی فی مقالة طبعت فی مجلة یغما الطهرانیة العدد 10 لسنة 1337 ش. و طبع آثار و أحوال علاء الدولة سمنانی لمظفر صدر القاضی بمحاکم طهران. و رأی سنگلاخ رباعیاته بخط عبد الرزاق ابن أخت المیر عماد فذکره فی امتحان الفضلاء 1: 319. و ترجمه فی (دولت 4) و حبیب السیر و قال کان عمره 77 سنة و شهرین و 14 یوما. و قلیل فی تاریخه:</w:t>
      </w:r>
    </w:p>
    <w:p>
      <w:pPr>
        <w:pStyle w:val="BookText"/>
      </w:pPr>
      <w:r>
        <w:rPr>
          <w:rFonts w:ascii="IRNazanin" w:hAnsi="IRNazanin" w:eastAsia="IRNazanin" w:cs="IRNazanin"/>
          <w:lang w:bidi="fa-IR"/>
          <w:color w:val="111111"/>
          <w:sz w:val="28"/>
          <w:szCs w:val="28"/>
          <w:rtl/>
        </w:rPr>
        <w:t xml:space="preserve">بیست و سوم مه رجب بود</w:t>
      </w:r>
    </w:p>
    <w:p>
      <w:pPr>
        <w:pStyle w:val="BookText"/>
      </w:pPr>
      <w:r>
        <w:rPr>
          <w:rFonts w:ascii="IRNazanin" w:hAnsi="IRNazanin" w:eastAsia="IRNazanin" w:cs="IRNazanin"/>
          <w:lang w:bidi="fa-IR"/>
          <w:color w:val="111111"/>
          <w:sz w:val="28"/>
          <w:szCs w:val="28"/>
          <w:rtl/>
        </w:rPr>
        <w:t xml:space="preserve">اندر شب جمعه مکرم‏</w:t>
      </w:r>
    </w:p>
    <w:p>
      <w:pPr>
        <w:pStyle w:val="BookText"/>
      </w:pPr>
      <w:r>
        <w:rPr>
          <w:rFonts w:ascii="IRNazanin" w:hAnsi="IRNazanin" w:eastAsia="IRNazanin" w:cs="IRNazanin"/>
          <w:lang w:bidi="fa-IR"/>
          <w:color w:val="111111"/>
          <w:sz w:val="28"/>
          <w:szCs w:val="28"/>
          <w:rtl/>
        </w:rPr>
        <w:t xml:space="preserve">از هجرت خاتم النبیین‏</w:t>
      </w:r>
    </w:p>
    <w:p>
      <w:pPr>
        <w:pStyle w:val="BookText"/>
      </w:pPr>
      <w:r>
        <w:rPr>
          <w:rFonts w:ascii="IRNazanin" w:hAnsi="IRNazanin" w:eastAsia="IRNazanin" w:cs="IRNazanin"/>
          <w:lang w:bidi="fa-IR"/>
          <w:color w:val="111111"/>
          <w:sz w:val="28"/>
          <w:szCs w:val="28"/>
          <w:rtl/>
        </w:rPr>
        <w:t xml:space="preserve">هفتصد بگذشت و سی و شش هم‏</w:t>
      </w:r>
    </w:p>
    <w:p>
      <w:pPr>
        <w:pStyle w:val="BookText"/>
      </w:pPr>
      <w:r>
        <w:rPr>
          <w:rFonts w:ascii="IRNazanin" w:hAnsi="IRNazanin" w:eastAsia="IRNazanin" w:cs="IRNazanin"/>
          <w:lang w:bidi="fa-IR"/>
          <w:color w:val="111111"/>
          <w:sz w:val="28"/>
          <w:szCs w:val="28"/>
          <w:rtl/>
        </w:rPr>
        <w:t xml:space="preserve">و خلفه فی الإرشاد نجم الدین محمد الموفق الأسفراینی. و ترجمه فی (تش- ص 80 و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bookmarkStart w:id="726" w:name="pg11704_122210"/>
    <w:bookmarkEnd w:id="726"/>
    <w:p>
      <w:pPr>
        <w:pStyle w:val="BookText"/>
      </w:pPr>
      <w:r>
        <w:rPr>
          <w:rFonts w:ascii="Times New Roman" w:hAnsi="Times New Roman" w:eastAsia="Times New Roman" w:cs="Times New Roman"/>
          <w:lang w:val="en-US" w:bidi="en-US"/>
          <w:color w:val="111111"/>
          <w:sz w:val="28"/>
          <w:szCs w:val="28"/>
          <w:rtl/>
        </w:rPr>
        <w:t xml:space="preserve">217)</w:t>
      </w:r>
      <w:r>
        <w:rPr>
          <w:rStyle w:val="FootnoteReference"/>
        </w:rPr>
        <w:footnoteReference w:id="59"/>
      </w:r>
      <w:r>
        <w:rPr>
          <w:rFonts w:ascii="IRNazanin" w:hAnsi="IRNazanin" w:eastAsia="IRNazanin" w:cs="IRNazanin"/>
          <w:lang w:bidi="fa-IR"/>
          <w:color w:val="111111"/>
          <w:sz w:val="28"/>
          <w:szCs w:val="28"/>
          <w:rtl/>
        </w:rPr>
        <w:t xml:space="preserve">و شاهد صادق و (تغ 60) و (گلشن- ص 290) و هدیة العارفین 1: 108 و نتایج الأفکار. ص 458 و عد مظفر صدر مؤلفاته 28 کتابا منثورا، منها: مطلع النقط و مجمع اللقط السر البال سلوة العاشقین رسالة فارسیة عرفانیة منازل المحاضر العروة لأهل الخلوة المفتاح المکاشفات حواشی فتوحات محیی الدین موضح مقاصد المخلصین آداب الخلوة الذکر الخفی المستجلب للأجر الوفی الصلاح بیان الإحسان مدارج المعارج قواعد العقائد إلی ثمانیة و عشرین کتابا. و رأیت له مشارع أبواب القدس ألفه 712 عند السید حسین الشهشهانی بطهران کتبت فی 915.</w:t>
      </w:r>
    </w:p>
    <w:p>
      <w:pPr>
        <w:pStyle w:val="Heading3"/>
      </w:pPr>
      <w:bookmarkStart w:id="6654" w:name="_Toc5350"/>
      <w:r>
        <w:t>5043- دیوان علاء شاشی أو شعره‏</w:t>
      </w:r>
      <w:bookmarkEnd w:id="6654"/>
    </w:p>
    <w:p>
      <w:pPr>
        <w:pStyle w:val="BookText"/>
      </w:pPr>
      <w:r>
        <w:rPr>
          <w:rFonts w:ascii="IRNazanin" w:hAnsi="IRNazanin" w:eastAsia="IRNazanin" w:cs="IRNazanin"/>
          <w:lang w:bidi="fa-IR"/>
          <w:color w:val="111111"/>
          <w:sz w:val="28"/>
          <w:szCs w:val="28"/>
          <w:rtl/>
        </w:rPr>
        <w:t xml:space="preserve">ترجمه و أورد شعره فی (مجن 2- ص 27 و 201) و أطری شعره و قال: إن أهل سمرقند یعدونه عدیل شرف الدین علی الیزدی فی فن المعمی و مات بسمرقند.</w:t>
      </w:r>
    </w:p>
    <w:p>
      <w:pPr>
        <w:pStyle w:val="Heading3"/>
      </w:pPr>
      <w:bookmarkStart w:id="6655" w:name="_Toc5351"/>
      <w:r>
        <w:t>5044- دیوان علاء مشکی أو شعره‏</w:t>
      </w:r>
      <w:bookmarkEnd w:id="6655"/>
    </w:p>
    <w:p>
      <w:pPr>
        <w:pStyle w:val="BookText"/>
      </w:pPr>
      <w:r>
        <w:rPr>
          <w:rFonts w:ascii="IRNazanin" w:hAnsi="IRNazanin" w:eastAsia="IRNazanin" w:cs="IRNazanin"/>
          <w:lang w:bidi="fa-IR"/>
          <w:color w:val="111111"/>
          <w:sz w:val="28"/>
          <w:szCs w:val="28"/>
          <w:rtl/>
        </w:rPr>
        <w:t xml:space="preserve">ترجمه و أورد شعره بعنوان علاء بیک مشکی بیاع المسک فی (تس 175) و نقد شعره.</w:t>
      </w:r>
    </w:p>
    <w:p>
      <w:pPr>
        <w:pStyle w:val="Heading3"/>
      </w:pPr>
      <w:bookmarkStart w:id="6656" w:name="_Toc5352"/>
      <w:r>
        <w:t>5045- دیوان علاء الملک سبزواری أو شعره‏</w:t>
      </w:r>
      <w:bookmarkEnd w:id="6656"/>
    </w:p>
    <w:p>
      <w:pPr>
        <w:pStyle w:val="BookText"/>
      </w:pPr>
      <w:r>
        <w:rPr>
          <w:rFonts w:ascii="IRNazanin" w:hAnsi="IRNazanin" w:eastAsia="IRNazanin" w:cs="IRNazanin"/>
          <w:lang w:bidi="fa-IR"/>
          <w:color w:val="111111"/>
          <w:sz w:val="28"/>
          <w:szCs w:val="28"/>
          <w:rtl/>
        </w:rPr>
        <w:t xml:space="preserve">قال فی (مجتس- ص 165) إنه کان خطاطا و أورد شعره.</w:t>
      </w:r>
    </w:p>
    <w:p>
      <w:pPr>
        <w:pStyle w:val="Heading3"/>
      </w:pPr>
      <w:bookmarkStart w:id="6657" w:name="_Toc5353"/>
      <w:r>
        <w:t>5046- دیوان علاء الملک شوشتری أو شعره‏</w:t>
      </w:r>
      <w:bookmarkEnd w:id="6657"/>
    </w:p>
    <w:p>
      <w:pPr>
        <w:pStyle w:val="BookText"/>
      </w:pPr>
      <w:r>
        <w:rPr>
          <w:rFonts w:ascii="IRNazanin" w:hAnsi="IRNazanin" w:eastAsia="IRNazanin" w:cs="IRNazanin"/>
          <w:lang w:bidi="fa-IR"/>
          <w:color w:val="111111"/>
          <w:sz w:val="28"/>
          <w:szCs w:val="28"/>
          <w:rtl/>
        </w:rPr>
        <w:t xml:space="preserve">کان معلما لمحمد شجاع بن شاه‏جهان. ترجمه و أورد شعره فی (گلشن- ص 290) و هو أخ علاء الدولة.</w:t>
      </w:r>
    </w:p>
    <w:p>
      <w:pPr>
        <w:pStyle w:val="Heading3"/>
      </w:pPr>
      <w:bookmarkStart w:id="6658" w:name="_Toc5354"/>
      <w:r>
        <w:t>5047- دیوان علاء الملک لاری أو شعره‏</w:t>
      </w:r>
      <w:bookmarkEnd w:id="6658"/>
    </w:p>
    <w:p>
      <w:pPr>
        <w:pStyle w:val="BookText"/>
      </w:pPr>
      <w:r>
        <w:rPr>
          <w:rFonts w:ascii="IRNazanin" w:hAnsi="IRNazanin" w:eastAsia="IRNazanin" w:cs="IRNazanin"/>
          <w:lang w:bidi="fa-IR"/>
          <w:color w:val="111111"/>
          <w:sz w:val="28"/>
          <w:szCs w:val="28"/>
          <w:rtl/>
        </w:rPr>
        <w:t xml:space="preserve">و هو إبراهیم خان الثانی معاصر الشاه عباس قتله الله‏وردی خان حاکم فارس. ترجمه و أورد شعره فی (مع 1: 41).</w:t>
      </w:r>
    </w:p>
    <w:p>
      <w:pPr>
        <w:pStyle w:val="Heading3"/>
      </w:pPr>
      <w:bookmarkStart w:id="6659" w:name="_Toc5355"/>
      <w:r>
        <w:t>5048- دیوان علائی آشتیانی أو شعره‏</w:t>
      </w:r>
      <w:bookmarkEnd w:id="6659"/>
    </w:p>
    <w:p>
      <w:pPr>
        <w:pStyle w:val="BookText"/>
      </w:pPr>
      <w:r>
        <w:rPr>
          <w:rFonts w:ascii="IRNazanin" w:hAnsi="IRNazanin" w:eastAsia="IRNazanin" w:cs="IRNazanin"/>
          <w:lang w:bidi="fa-IR"/>
          <w:color w:val="111111"/>
          <w:sz w:val="28"/>
          <w:szCs w:val="28"/>
          <w:rtl/>
        </w:rPr>
        <w:t xml:space="preserve">أطری فضله فی (تش 234) فی شعراء قم، و قال إن لعب گنجفه المتداول فی إیران و الهند و الروم هی من مخترعاته.</w:t>
      </w:r>
    </w:p>
    <w:p>
      <w:pPr>
        <w:pStyle w:val="BookText"/>
      </w:pPr>
      <w:r>
        <w:rPr>
          <w:rFonts w:ascii="IRNazanin" w:hAnsi="IRNazanin" w:eastAsia="IRNazanin" w:cs="IRNazanin"/>
          <w:lang w:bidi="fa-IR"/>
          <w:color w:val="111111"/>
          <w:sz w:val="28"/>
          <w:szCs w:val="28"/>
          <w:rtl/>
        </w:rPr>
        <w:t xml:space="preserve">و توجد دیوان غزلیات علائی مرتبا علی الحروف عند أحمد أفشار شیرازی ابن الشیخ إبراهیم الشماع بطهران. د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bookmarkStart w:id="727" w:name="pg11704_122211"/>
    <w:bookmarkEnd w:id="727"/>
    <w:p>
      <w:pPr>
        <w:pStyle w:val="Heading3"/>
      </w:pPr>
      <w:bookmarkStart w:id="6660" w:name="_Toc5356"/>
      <w:r>
        <w:t>دیوان علائی سمنانی‏</w:t>
      </w:r>
      <w:bookmarkEnd w:id="6660"/>
    </w:p>
    <w:p>
      <w:pPr>
        <w:pStyle w:val="BookText"/>
      </w:pPr>
      <w:r>
        <w:rPr>
          <w:rFonts w:ascii="IRNazanin" w:hAnsi="IRNazanin" w:eastAsia="IRNazanin" w:cs="IRNazanin"/>
          <w:lang w:bidi="fa-IR"/>
          <w:color w:val="111111"/>
          <w:sz w:val="28"/>
          <w:szCs w:val="28"/>
          <w:rtl/>
        </w:rPr>
        <w:t xml:space="preserve">راجع علاء سمنانی.</w:t>
      </w:r>
    </w:p>
    <w:p>
      <w:pPr>
        <w:pStyle w:val="Heading3"/>
      </w:pPr>
      <w:bookmarkStart w:id="6661" w:name="_Toc5357"/>
      <w:r>
        <w:t>دیوان علائی گنجفه‏ای‏</w:t>
      </w:r>
      <w:bookmarkEnd w:id="6661"/>
    </w:p>
    <w:p>
      <w:pPr>
        <w:pStyle w:val="BookText"/>
      </w:pPr>
      <w:r>
        <w:rPr>
          <w:rFonts w:ascii="IRNazanin" w:hAnsi="IRNazanin" w:eastAsia="IRNazanin" w:cs="IRNazanin"/>
          <w:lang w:bidi="fa-IR"/>
          <w:color w:val="111111"/>
          <w:sz w:val="28"/>
          <w:szCs w:val="28"/>
          <w:rtl/>
        </w:rPr>
        <w:t xml:space="preserve">راجع علائی آشتیانی.</w:t>
      </w:r>
    </w:p>
    <w:p>
      <w:pPr>
        <w:pStyle w:val="Heading3"/>
      </w:pPr>
      <w:bookmarkStart w:id="6662" w:name="_Toc5358"/>
      <w:r>
        <w:t>5049- دیوان علاجی جراح أو شعره‏</w:t>
      </w:r>
      <w:bookmarkEnd w:id="6662"/>
    </w:p>
    <w:p>
      <w:pPr>
        <w:pStyle w:val="BookText"/>
      </w:pPr>
      <w:r>
        <w:rPr>
          <w:rFonts w:ascii="IRNazanin" w:hAnsi="IRNazanin" w:eastAsia="IRNazanin" w:cs="IRNazanin"/>
          <w:lang w:bidi="fa-IR"/>
          <w:color w:val="111111"/>
          <w:sz w:val="28"/>
          <w:szCs w:val="28"/>
          <w:rtl/>
        </w:rPr>
        <w:t xml:space="preserve">کان جراحا فی عهد الشاه عباس الأول الصفوی. أورد شعره فی (گلشن- ص 289) و قال فی (روشن- ص 463) إنه من شعراء دهلی.</w:t>
      </w:r>
    </w:p>
    <w:p>
      <w:pPr>
        <w:pStyle w:val="Heading3"/>
      </w:pPr>
      <w:bookmarkStart w:id="6663" w:name="_Toc5359"/>
      <w:r>
        <w:t>5050- دیوان علم الهدی‏</w:t>
      </w:r>
      <w:bookmarkEnd w:id="6663"/>
    </w:p>
    <w:p>
      <w:pPr>
        <w:pStyle w:val="BookText"/>
      </w:pPr>
      <w:r>
        <w:rPr>
          <w:rFonts w:ascii="IRNazanin" w:hAnsi="IRNazanin" w:eastAsia="IRNazanin" w:cs="IRNazanin"/>
          <w:lang w:bidi="fa-IR"/>
          <w:color w:val="111111"/>
          <w:sz w:val="28"/>
          <w:szCs w:val="28"/>
          <w:rtl/>
        </w:rPr>
        <w:t xml:space="preserve">و هو الشریف المرتضی أبو القاسم علی بن الحسین بن موسی (355- 436). قال فی الأمل رأیت دیوانه فی أقل من عشرة آلاف بیت و علیها خط الناظم فاستنسخت عنها. و نقل عن دیوانه أیضا ابن خلکان. أقول: و دیوانه کبیر یقرب من عشرین ألف بیت مرتب علی سنی نظمه فی ست مجلدات. رأیت المجلد الأول و الثانی منه بخط جدید فی مکتبة السید محمد علی بحر العلوم المتوفی 1355 و هو ابن السید علی نقی الشهید بن محمد تقی بن محمد رضا بن السید بحر العلوم الطباطبائی النجفی. أول قصائده فی الافتخار بآبائه و ینتهی قصائده إلی ما إنشاؤه فی سنة ثلاث و أربعمائة. و نقل کاتب هذه النسخة فی آخرها صورة إجازة الشریف المرتضی المنقولة فی المنتسخ عنها عن النسخة الأصلیة التی کانت علیها إجازة السید بخطه‏</w:t>
      </w:r>
      <w:r>
        <w:rPr>
          <w:rStyle w:val="FootnoteReference"/>
        </w:rPr>
        <w:footnoteReference w:id="60"/>
      </w:r>
      <w:r>
        <w:rPr>
          <w:rFonts w:ascii="IRNazanin" w:hAnsi="IRNazanin" w:eastAsia="IRNazanin" w:cs="IRNazanin"/>
          <w:lang w:bidi="fa-IR"/>
          <w:color w:val="111111"/>
          <w:sz w:val="28"/>
          <w:szCs w:val="28"/>
          <w:rtl/>
        </w:rPr>
        <w:t xml:space="preserve">و قال فی تذکره النوادر إن النسخة التی علیها إجازة الشریف المرتضی بخطه موجودة .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bookmarkStart w:id="728" w:name="pg11704_122212"/>
    <w:bookmarkEnd w:id="728"/>
    <w:p>
      <w:pPr>
        <w:pStyle w:val="BookText"/>
      </w:pPr>
      <w:r>
        <w:rPr>
          <w:rFonts w:ascii="IRNazanin" w:hAnsi="IRNazanin" w:eastAsia="IRNazanin" w:cs="IRNazanin"/>
          <w:lang w:bidi="fa-IR"/>
          <w:color w:val="111111"/>
          <w:sz w:val="28"/>
          <w:szCs w:val="28"/>
          <w:rtl/>
        </w:rPr>
        <w:t xml:space="preserve">عند السید محمد علی داعی الإسلام فی حیدرآباد دکن. و رأیت المجلد الثالث و الرابع منه فی مکتبة (السماوی) لکن ما استفدت منه شیئا و لا أدری إلی من انتقل بعده.</w:t>
      </w:r>
    </w:p>
    <w:p>
      <w:pPr>
        <w:pStyle w:val="BookText"/>
      </w:pPr>
      <w:r>
        <w:rPr>
          <w:rFonts w:ascii="IRNazanin" w:hAnsi="IRNazanin" w:eastAsia="IRNazanin" w:cs="IRNazanin"/>
          <w:lang w:bidi="fa-IR"/>
          <w:color w:val="111111"/>
          <w:sz w:val="28"/>
          <w:szCs w:val="28"/>
          <w:rtl/>
        </w:rPr>
        <w:t xml:space="preserve">و المجلد الخامس و السادس رأیتهما فی مجلد کبیر کتب فی عصر الشریف و علی هامشه خطه، و قد کتب فی آخر النسخة ما لفظه [هذا آخر ما خرج من شعر الشریف الأجل المرتضی ذی المجدین- إلی قوله- أطال الله بقاه و کبت أعداه.] و کتب السید بخطه علی هامش الصفحة ما صورته و لفظه [قوبل و صحح و لله الحمد و المنة] و هذان المجلدان شاملان لما أنشأه فی عام ستة عشر و أربعمائة إلی ما أنشأه فی آخر شهر رمضان من سنة اثنتین و عشرین و أربعمائة. و هذه النسخة رأیتها فی طهران فی مکتبة الأدیب الحاج میرزا أبی الفضل الطهرانی المطبوع دیوانه أخیرا. و الیوم موجود عند ولده الحاج میرزا محمد الثقفی بطهران فی محلة پامنار و قد طبع أخیرا بمصر.</w:t>
      </w:r>
    </w:p>
    <w:p>
      <w:pPr>
        <w:pStyle w:val="Heading3"/>
      </w:pPr>
      <w:bookmarkStart w:id="6664" w:name="_Toc5360"/>
      <w:r>
        <w:t>5051- دیوان علمی خراسانی أو شعره‏</w:t>
      </w:r>
      <w:bookmarkEnd w:id="6664"/>
    </w:p>
    <w:p>
      <w:pPr>
        <w:pStyle w:val="BookText"/>
      </w:pPr>
      <w:r>
        <w:rPr>
          <w:rFonts w:ascii="IRNazanin" w:hAnsi="IRNazanin" w:eastAsia="IRNazanin" w:cs="IRNazanin"/>
          <w:lang w:bidi="fa-IR"/>
          <w:color w:val="111111"/>
          <w:sz w:val="28"/>
          <w:szCs w:val="28"/>
          <w:rtl/>
        </w:rPr>
        <w:t xml:space="preserve">ترجمه و أورد شعره فی (لط 6- ص 15) و (روشن- ص 466)</w:t>
      </w:r>
    </w:p>
    <w:p>
      <w:pPr>
        <w:pStyle w:val="Heading3"/>
      </w:pPr>
      <w:bookmarkStart w:id="6665" w:name="_Toc5361"/>
      <w:r>
        <w:t>5052- دیوان علمی قزوینی أو شعره‏</w:t>
      </w:r>
      <w:bookmarkEnd w:id="6665"/>
    </w:p>
    <w:p>
      <w:pPr>
        <w:pStyle w:val="BookText"/>
      </w:pPr>
      <w:r>
        <w:rPr>
          <w:rFonts w:ascii="IRNazanin" w:hAnsi="IRNazanin" w:eastAsia="IRNazanin" w:cs="IRNazanin"/>
          <w:lang w:bidi="fa-IR"/>
          <w:color w:val="111111"/>
          <w:sz w:val="28"/>
          <w:szCs w:val="28"/>
          <w:rtl/>
        </w:rPr>
        <w:t xml:space="preserve">و هو المیر ظهیر الدین إبراهیم من سادات قزوین خلف أولاده و زوجته بقزوین و سافر إلی العراق و تلمذ عند المولی أحمد الأردبیلی و أخذ تخلص علمی منه ثم رجع إلی قزوین فرأی ولده المیر ملکی و قد صار شاعرا فذا فکر راجعا مع ابنه إلی کربلاء ثم رجع إلی بغداد و رکب السفینة إلی البصرة و منها إلی بحرین و هرمز و کرمان ثم أصفهان فتقرب عند الشاه عباس الصفوی و سافر معه إلی مشهد ثم هرات، کذا ذکره و أورد شعره فی (میخانه- ص 457)</w:t>
      </w:r>
    </w:p>
    <w:p>
      <w:pPr>
        <w:pStyle w:val="Heading3"/>
      </w:pPr>
      <w:bookmarkStart w:id="6666" w:name="_Toc5362"/>
      <w:r>
        <w:t>5053- دیوان السید علوی‏</w:t>
      </w:r>
      <w:bookmarkEnd w:id="6666"/>
    </w:p>
    <w:p>
      <w:pPr>
        <w:pStyle w:val="BookText"/>
      </w:pPr>
      <w:r>
        <w:rPr>
          <w:rFonts w:ascii="IRNazanin" w:hAnsi="IRNazanin" w:eastAsia="IRNazanin" w:cs="IRNazanin"/>
          <w:lang w:bidi="fa-IR"/>
          <w:color w:val="111111"/>
          <w:sz w:val="28"/>
          <w:szCs w:val="28"/>
          <w:rtl/>
        </w:rPr>
        <w:t xml:space="preserve">هو ابن السید حسین بن السید سلیمان بن السید حسین بن السید عبد القاهر بن السید حسین التوبلی البحرانی المولود حدود 1280 و المتوفی نیف و أربعین بعد الثلاثمائة و الألف ذکر فی مقدمه طبع کتابه دلیل المتعبد و هو غیر الروضة العلویة له فی نظم وقایع الطف بلسان الحسکة المطبوع فی النجف‏</w:t>
      </w:r>
    </w:p>
    <w:p>
      <w:pPr>
        <w:pStyle w:val="Heading3"/>
      </w:pPr>
      <w:bookmarkStart w:id="6667" w:name="_Toc5363"/>
      <w:r>
        <w:t>5054- دیوان العلوی‏</w:t>
      </w:r>
      <w:bookmarkEnd w:id="6667"/>
    </w:p>
    <w:p>
      <w:pPr>
        <w:pStyle w:val="BookText"/>
      </w:pPr>
      <w:r>
        <w:rPr>
          <w:rFonts w:ascii="IRNazanin" w:hAnsi="IRNazanin" w:eastAsia="IRNazanin" w:cs="IRNazanin"/>
          <w:lang w:bidi="fa-IR"/>
          <w:color w:val="111111"/>
          <w:sz w:val="28"/>
          <w:szCs w:val="28"/>
          <w:rtl/>
        </w:rPr>
        <w:t xml:space="preserve">أو الروضة العلویة للشیخ إبراهیم البحرانی أبی الریاض صاحب جامع الریاض المذکور فی ج 5 ص 57 المشتمل علی أربع عشرة روضة بعدد المعصومین استخرج منه هذا الدیوان المشتمل علی ثمانیة و عشرین قصیدة بعدد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bookmarkStart w:id="729" w:name="pg11704_122213"/>
    <w:bookmarkEnd w:id="729"/>
    <w:p>
      <w:pPr>
        <w:pStyle w:val="BookText"/>
      </w:pPr>
      <w:r>
        <w:rPr>
          <w:rFonts w:ascii="IRNazanin" w:hAnsi="IRNazanin" w:eastAsia="IRNazanin" w:cs="IRNazanin"/>
          <w:lang w:bidi="fa-IR"/>
          <w:color w:val="111111"/>
          <w:sz w:val="28"/>
          <w:szCs w:val="28"/>
          <w:rtl/>
        </w:rPr>
        <w:t xml:space="preserve">حروف القافیة، کلها فی مناقب أمیر المؤمنین ع رأیت نسخه منه فی مکتبة سیدنا الحسن صدر الدین بالکاظمیة، مکتوب فی آخرها، أنه فرغ الناظم من مقابلتها بالأصل المستخرج منه فی یوم الجمعة السابعة عشر من جمادی الأولی سنة خمسین و مائة و ألف من الهجرة</w:t>
      </w:r>
    </w:p>
    <w:p>
      <w:pPr>
        <w:pStyle w:val="Heading3"/>
      </w:pPr>
      <w:bookmarkStart w:id="6668" w:name="_Toc5364"/>
      <w:r>
        <w:t>دیوان العلوی الحضرمی‏</w:t>
      </w:r>
      <w:bookmarkEnd w:id="6668"/>
    </w:p>
    <w:p>
      <w:pPr>
        <w:pStyle w:val="BookText"/>
      </w:pPr>
      <w:r>
        <w:rPr>
          <w:rFonts w:ascii="IRNazanin" w:hAnsi="IRNazanin" w:eastAsia="IRNazanin" w:cs="IRNazanin"/>
          <w:lang w:bidi="fa-IR"/>
          <w:color w:val="111111"/>
          <w:sz w:val="28"/>
          <w:szCs w:val="28"/>
          <w:rtl/>
        </w:rPr>
        <w:t xml:space="preserve">مر بعنوان أبی بکر فی ص 37 و ترجم فی مجلة المرشد</w:t>
      </w:r>
    </w:p>
    <w:p>
      <w:pPr>
        <w:pStyle w:val="Heading3"/>
      </w:pPr>
      <w:bookmarkStart w:id="6669" w:name="_Toc5365"/>
      <w:r>
        <w:t>5055- دیوان العلوی السبزواری‏</w:t>
      </w:r>
      <w:bookmarkEnd w:id="6669"/>
    </w:p>
    <w:p>
      <w:pPr>
        <w:pStyle w:val="BookText"/>
      </w:pPr>
      <w:r>
        <w:rPr>
          <w:rFonts w:ascii="IRNazanin" w:hAnsi="IRNazanin" w:eastAsia="IRNazanin" w:cs="IRNazanin"/>
          <w:lang w:bidi="fa-IR"/>
          <w:color w:val="111111"/>
          <w:sz w:val="28"/>
          <w:szCs w:val="28"/>
          <w:rtl/>
        </w:rPr>
        <w:t xml:space="preserve">للسید حسین بن محسن (1268- 1352) مر أرجوزته فی الفلسفة فی 1: 491</w:t>
      </w:r>
    </w:p>
    <w:p>
      <w:pPr>
        <w:pStyle w:val="Heading3"/>
      </w:pPr>
      <w:bookmarkStart w:id="6670" w:name="_Toc5366"/>
      <w:r>
        <w:t>5056- دیوان العلوی أو شعره‏</w:t>
      </w:r>
      <w:bookmarkEnd w:id="6670"/>
    </w:p>
    <w:p>
      <w:pPr>
        <w:pStyle w:val="BookText"/>
      </w:pPr>
      <w:r>
        <w:rPr>
          <w:rFonts w:ascii="IRNazanin" w:hAnsi="IRNazanin" w:eastAsia="IRNazanin" w:cs="IRNazanin"/>
          <w:lang w:bidi="fa-IR"/>
          <w:color w:val="111111"/>
          <w:sz w:val="28"/>
          <w:szCs w:val="28"/>
          <w:rtl/>
        </w:rPr>
        <w:t xml:space="preserve">ترجمه و أورد شعره السید علی خان فی السلافة- ص 527 و قال هو السید علوی بن إسماعیل البحرانی‏</w:t>
      </w:r>
    </w:p>
    <w:p>
      <w:pPr>
        <w:pStyle w:val="Heading3"/>
      </w:pPr>
      <w:bookmarkStart w:id="6671" w:name="_Toc5367"/>
      <w:r>
        <w:t>دیوان العلوی الحمانی‏</w:t>
      </w:r>
      <w:bookmarkEnd w:id="6671"/>
    </w:p>
    <w:p>
      <w:pPr>
        <w:pStyle w:val="BookText"/>
      </w:pPr>
      <w:r>
        <w:rPr>
          <w:rFonts w:ascii="IRNazanin" w:hAnsi="IRNazanin" w:eastAsia="IRNazanin" w:cs="IRNazanin"/>
          <w:lang w:bidi="fa-IR"/>
          <w:color w:val="111111"/>
          <w:sz w:val="28"/>
          <w:szCs w:val="28"/>
          <w:rtl/>
        </w:rPr>
        <w:t xml:space="preserve">علی بن محمد اختلط أشعاره بأشعار صاحب الزنج ترجمه فی (لس 11- ص 381) و مر بعنوان الحمانی‏</w:t>
      </w:r>
    </w:p>
    <w:p>
      <w:pPr>
        <w:pStyle w:val="Heading3"/>
      </w:pPr>
      <w:bookmarkStart w:id="6672" w:name="_Toc5368"/>
      <w:r>
        <w:t>دیوان العلوی الزینبی‏</w:t>
      </w:r>
      <w:bookmarkEnd w:id="6672"/>
    </w:p>
    <w:p>
      <w:pPr>
        <w:pStyle w:val="BookText"/>
      </w:pPr>
      <w:r>
        <w:rPr>
          <w:rFonts w:ascii="IRNazanin" w:hAnsi="IRNazanin" w:eastAsia="IRNazanin" w:cs="IRNazanin"/>
          <w:lang w:bidi="fa-IR"/>
          <w:color w:val="111111"/>
          <w:sz w:val="28"/>
          <w:szCs w:val="28"/>
          <w:rtl/>
        </w:rPr>
        <w:t xml:space="preserve">مر بعنوان الزینبی فی ص 408 و ذکر حاله النفیسی فی تعلیقاته علی لباب الألباب- ص 668</w:t>
      </w:r>
    </w:p>
    <w:p>
      <w:pPr>
        <w:pStyle w:val="Heading3"/>
      </w:pPr>
      <w:bookmarkStart w:id="6673" w:name="_Toc5369"/>
      <w:r>
        <w:t>5057- دیوان علوی کاشانی‏</w:t>
      </w:r>
      <w:bookmarkEnd w:id="6673"/>
    </w:p>
    <w:p>
      <w:pPr>
        <w:pStyle w:val="BookText"/>
      </w:pPr>
      <w:r>
        <w:rPr>
          <w:rFonts w:ascii="IRNazanin" w:hAnsi="IRNazanin" w:eastAsia="IRNazanin" w:cs="IRNazanin"/>
          <w:lang w:bidi="fa-IR"/>
          <w:color w:val="111111"/>
          <w:sz w:val="28"/>
          <w:szCs w:val="28"/>
          <w:rtl/>
        </w:rPr>
        <w:t xml:space="preserve">و هو المیر محمد طاهر من شعراء الشاه سلیمان الصفوی سکن أصفهان ثم سافر إلی کشمیر و مات بها فی 1136 له منظومة حداد و حلاج و دیوانه مدون مشحون بأنواع النظم أورد منها فی (گلشن 290) و عنها فی القاموس الترکی ثم الریحانة و هدیة العارفین 2: 317 و فی (نر 9- ص 374) سماه طاهر</w:t>
      </w:r>
    </w:p>
    <w:p>
      <w:pPr>
        <w:pStyle w:val="Heading3"/>
      </w:pPr>
      <w:bookmarkStart w:id="6674" w:name="_Toc5370"/>
      <w:r>
        <w:t>5058- دیوان علوی همدانی‏</w:t>
      </w:r>
      <w:bookmarkEnd w:id="6674"/>
    </w:p>
    <w:p>
      <w:pPr>
        <w:pStyle w:val="BookText"/>
      </w:pPr>
      <w:r>
        <w:rPr>
          <w:rFonts w:ascii="IRNazanin" w:hAnsi="IRNazanin" w:eastAsia="IRNazanin" w:cs="IRNazanin"/>
          <w:lang w:bidi="fa-IR"/>
          <w:color w:val="111111"/>
          <w:sz w:val="28"/>
          <w:szCs w:val="28"/>
          <w:rtl/>
        </w:rPr>
        <w:t xml:space="preserve">اسمه المیر أبی تراب الطبیب الهمدانی ترجمه صادقی کتاب دار فی (خص 6 ص 80) و ذکر أن المولی حیرتی الهروی مصاحب المیر أبی تراب عمد إلی دیوانه و ألقاه ورقة ورقة فی النهر الجاری الکبیر و لم یبق منه باقیة</w:t>
      </w:r>
    </w:p>
    <w:p>
      <w:pPr>
        <w:pStyle w:val="Heading3"/>
      </w:pPr>
      <w:bookmarkStart w:id="6675" w:name="_Toc5371"/>
      <w:r>
        <w:t>5059- دیوان علوی هندی أو شعره‏</w:t>
      </w:r>
      <w:bookmarkEnd w:id="6675"/>
    </w:p>
    <w:p>
      <w:pPr>
        <w:pStyle w:val="BookText"/>
      </w:pPr>
      <w:r>
        <w:rPr>
          <w:rFonts w:ascii="IRNazanin" w:hAnsi="IRNazanin" w:eastAsia="IRNazanin" w:cs="IRNazanin"/>
          <w:lang w:bidi="fa-IR"/>
          <w:color w:val="111111"/>
          <w:sz w:val="28"/>
          <w:szCs w:val="28"/>
          <w:rtl/>
        </w:rPr>
        <w:t xml:space="preserve">و هو الحکیم المیرزا محمد هاشم بن محمد هادی الشیرازی بن مظفر الدین حسین الخراسانی کان یعرف علوی خان و یلقب معتمد الملوک و تلمذ علی لطف الله الشیرازی جاء علوی خان من شیراز إلی الهند فی 1111 و هو ابن ثلاثین سنة و تقرب عند الملک و دعاه نادر شاه إلی إیران فلم یجب و مات فی 25 رجب 1162 و له فی الطب جمع الجوامع کذا ترجمه و أورد شعره فی (روشن-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bookmarkStart w:id="730" w:name="pg11704_122214"/>
    <w:bookmarkEnd w:id="730"/>
    <w:p>
      <w:pPr>
        <w:pStyle w:val="BookText"/>
      </w:pPr>
      <w:r>
        <w:rPr>
          <w:rFonts w:ascii="IRNazanin" w:hAnsi="IRNazanin" w:eastAsia="IRNazanin" w:cs="IRNazanin"/>
          <w:lang w:bidi="fa-IR"/>
          <w:color w:val="111111"/>
          <w:sz w:val="28"/>
          <w:szCs w:val="28"/>
          <w:rtl/>
        </w:rPr>
        <w:t xml:space="preserve">ص 466)</w:t>
      </w:r>
    </w:p>
    <w:p>
      <w:pPr>
        <w:pStyle w:val="Heading3"/>
      </w:pPr>
      <w:bookmarkStart w:id="6676" w:name="_Toc5372"/>
      <w:r>
        <w:t>دیوان علی‏آبادی‏</w:t>
      </w:r>
      <w:bookmarkEnd w:id="6676"/>
    </w:p>
    <w:p>
      <w:pPr>
        <w:pStyle w:val="BookText"/>
      </w:pPr>
      <w:r>
        <w:rPr>
          <w:rFonts w:ascii="IRNazanin" w:hAnsi="IRNazanin" w:eastAsia="IRNazanin" w:cs="IRNazanin"/>
          <w:lang w:bidi="fa-IR"/>
          <w:color w:val="111111"/>
          <w:sz w:val="28"/>
          <w:szCs w:val="28"/>
          <w:rtl/>
        </w:rPr>
        <w:t xml:space="preserve">راجع صاحب علی‏آبادی‏</w:t>
      </w:r>
    </w:p>
    <w:p>
      <w:pPr>
        <w:pStyle w:val="Heading3"/>
      </w:pPr>
      <w:bookmarkStart w:id="6677" w:name="_Toc5373"/>
      <w:r>
        <w:t>دیوان علی آتشی‏</w:t>
      </w:r>
      <w:bookmarkEnd w:id="6677"/>
    </w:p>
    <w:p>
      <w:pPr>
        <w:pStyle w:val="BookText"/>
      </w:pPr>
      <w:r>
        <w:rPr>
          <w:rFonts w:ascii="IRNazanin" w:hAnsi="IRNazanin" w:eastAsia="IRNazanin" w:cs="IRNazanin"/>
          <w:lang w:bidi="fa-IR"/>
          <w:color w:val="111111"/>
          <w:sz w:val="28"/>
          <w:szCs w:val="28"/>
          <w:rtl/>
        </w:rPr>
        <w:t xml:space="preserve">راجع علی آسی‏</w:t>
      </w:r>
    </w:p>
    <w:p>
      <w:pPr>
        <w:pStyle w:val="Heading3"/>
      </w:pPr>
      <w:bookmarkStart w:id="6678" w:name="_Toc5374"/>
      <w:r>
        <w:t>5060- دیوان علی آجر تراش أو شعره‏</w:t>
      </w:r>
      <w:bookmarkEnd w:id="6678"/>
    </w:p>
    <w:p>
      <w:pPr>
        <w:pStyle w:val="BookText"/>
      </w:pPr>
      <w:r>
        <w:rPr>
          <w:rFonts w:ascii="IRNazanin" w:hAnsi="IRNazanin" w:eastAsia="IRNazanin" w:cs="IRNazanin"/>
          <w:lang w:bidi="fa-IR"/>
          <w:color w:val="111111"/>
          <w:sz w:val="28"/>
          <w:szCs w:val="28"/>
          <w:rtl/>
        </w:rPr>
        <w:t xml:space="preserve">من شعراء أصفهان أورد شعره معاصره فی (نر 9- ص 431)</w:t>
      </w:r>
    </w:p>
    <w:p>
      <w:pPr>
        <w:pStyle w:val="Heading3"/>
      </w:pPr>
      <w:bookmarkStart w:id="6679" w:name="_Toc5375"/>
      <w:r>
        <w:t>دیوان علی آسی مشهدی‏</w:t>
      </w:r>
      <w:bookmarkEnd w:id="6679"/>
    </w:p>
    <w:p>
      <w:pPr>
        <w:pStyle w:val="BookText"/>
      </w:pPr>
      <w:r>
        <w:rPr>
          <w:rFonts w:ascii="IRNazanin" w:hAnsi="IRNazanin" w:eastAsia="IRNazanin" w:cs="IRNazanin"/>
          <w:lang w:bidi="fa-IR"/>
          <w:color w:val="111111"/>
          <w:sz w:val="28"/>
          <w:szCs w:val="28"/>
          <w:rtl/>
        </w:rPr>
        <w:t xml:space="preserve">و الصحیح آهی کما مر فی ص 13 و فی (7: 357) و له خیال و وصال کما فی (لط 1: 17) و فی نسخه علی آتشی‏</w:t>
      </w:r>
    </w:p>
    <w:p>
      <w:pPr>
        <w:pStyle w:val="Heading3"/>
      </w:pPr>
      <w:bookmarkStart w:id="6680" w:name="_Toc5376"/>
      <w:r>
        <w:t>5061- دیوان السید علی آل الطالقانی‏</w:t>
      </w:r>
      <w:bookmarkEnd w:id="6680"/>
    </w:p>
    <w:p>
      <w:pPr>
        <w:pStyle w:val="BookText"/>
      </w:pPr>
      <w:r>
        <w:rPr>
          <w:rFonts w:ascii="IRNazanin" w:hAnsi="IRNazanin" w:eastAsia="IRNazanin" w:cs="IRNazanin"/>
          <w:lang w:bidi="fa-IR"/>
          <w:color w:val="111111"/>
          <w:sz w:val="28"/>
          <w:szCs w:val="28"/>
          <w:rtl/>
        </w:rPr>
        <w:t xml:space="preserve">و هو ابن السید مهدی بن السید رضا بن السید أحمد بن السید حسین بن السید حسن الطالقانی الحسینی النجفی الشهیر بمیر حکیم المولود فی النجف لیلة الخمیس 17 ذی القعدة 1300 و المتلمذ علی والده و علی الشیخ محمد حرز و الشیخ محمد جواد الشبیبی، و دیوانه هذا فی 600 ص أودعه فی البصرة مع سائر کتبه التی کانت معه عند الشیخ أحمد العصفوری الأخباری حین سافر من النجف 1335 و منها إلی بندر لنجة و توفی فی لنجة 1337 فبیعت کتبه مع الدیوان کذا فی</w:t>
      </w:r>
    </w:p>
    <w:p>
      <w:pPr>
        <w:pStyle w:val="BookText"/>
      </w:pPr>
      <w:r>
        <w:rPr>
          <w:rFonts w:ascii="IRNazanin" w:hAnsi="IRNazanin" w:eastAsia="IRNazanin" w:cs="IRNazanin"/>
          <w:lang w:bidi="fa-IR"/>
          <w:color w:val="111111"/>
          <w:sz w:val="28"/>
          <w:szCs w:val="28"/>
          <w:rtl/>
        </w:rPr>
        <w:t xml:space="preserve">ترجمته من کتاب غایة الأمانی فی أحوال آل الطالقانی للسید محمد حسن بن السید عبد الرسول الطالقانی و قد مر دیوان عمه السید باقر بن السید رضا و یأتی دیوان والده السید مهدی و غیرهم من الطالقانیین النجفیین‏</w:t>
      </w:r>
    </w:p>
    <w:p>
      <w:pPr>
        <w:pStyle w:val="Heading3"/>
      </w:pPr>
      <w:bookmarkStart w:id="6681" w:name="_Toc5377"/>
      <w:r>
        <w:t>5062- دیوان السید محمد علی بن أبی الحسن‏</w:t>
      </w:r>
      <w:bookmarkEnd w:id="6681"/>
    </w:p>
    <w:p>
      <w:pPr>
        <w:pStyle w:val="BookText"/>
      </w:pPr>
      <w:r>
        <w:rPr>
          <w:rFonts w:ascii="IRNazanin" w:hAnsi="IRNazanin" w:eastAsia="IRNazanin" w:cs="IRNazanin"/>
          <w:lang w:bidi="fa-IR"/>
          <w:color w:val="111111"/>
          <w:sz w:val="28"/>
          <w:szCs w:val="28"/>
          <w:rtl/>
        </w:rPr>
        <w:t xml:space="preserve">ابن صالح بن محمد بن إبراهیم شرف الدین الموسوی العاملی ذکره حفید عمه سیدنا الحسن بن السید هادی بن السید صالح المذکور فی تکملة أمل الآمل و ذکر أنه ولد 1247 من بنت الشیخ أسد الله الدزفولی صاحب المقابیس و توفی 1290</w:t>
      </w:r>
    </w:p>
    <w:p>
      <w:pPr>
        <w:pStyle w:val="Heading3"/>
      </w:pPr>
      <w:bookmarkStart w:id="6682" w:name="_Toc5378"/>
      <w:r>
        <w:t>دیوان علی بن أبی طالب أمیر المؤمنین ع‏</w:t>
      </w:r>
      <w:bookmarkEnd w:id="6682"/>
    </w:p>
    <w:p>
      <w:pPr>
        <w:pStyle w:val="BookText"/>
      </w:pPr>
      <w:r>
        <w:rPr>
          <w:rFonts w:ascii="IRNazanin" w:hAnsi="IRNazanin" w:eastAsia="IRNazanin" w:cs="IRNazanin"/>
          <w:lang w:bidi="fa-IR"/>
          <w:color w:val="111111"/>
          <w:sz w:val="28"/>
          <w:szCs w:val="28"/>
          <w:rtl/>
        </w:rPr>
        <w:t xml:space="preserve">من جمع السید محسن الأمین مؤلف أعیان الشیعة المتوفی فی یوم الأحد ثالث رجب 1371 مر فی ص 102</w:t>
      </w:r>
    </w:p>
    <w:p>
      <w:pPr>
        <w:pStyle w:val="Heading3"/>
      </w:pPr>
      <w:bookmarkStart w:id="6683" w:name="_Toc5379"/>
      <w:r>
        <w:t>دیوان الشیخ علی بن أبی طالب الزاهدی‏</w:t>
      </w:r>
      <w:bookmarkEnd w:id="6683"/>
    </w:p>
    <w:p>
      <w:pPr>
        <w:pStyle w:val="BookText"/>
      </w:pPr>
      <w:r>
        <w:rPr>
          <w:rFonts w:ascii="IRNazanin" w:hAnsi="IRNazanin" w:eastAsia="IRNazanin" w:cs="IRNazanin"/>
          <w:lang w:bidi="fa-IR"/>
          <w:color w:val="111111"/>
          <w:sz w:val="28"/>
          <w:szCs w:val="28"/>
          <w:rtl/>
        </w:rPr>
        <w:t xml:space="preserve">المتخلص حزین مر بتخلصه المصرح به فی جمیع غزلیاته المرتبة علی الحروف رأیت نسخه ناقصة منه فی کتب الشیخ علی الکتبی الترک بکربلاء، تساوی غزلیات الحافظ الشیرازی، فی أوله قصیدة بمنزلة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bookmarkStart w:id="731" w:name="pg11704_122215"/>
    <w:bookmarkEnd w:id="731"/>
    <w:p>
      <w:pPr>
        <w:pStyle w:val="BookText"/>
      </w:pPr>
      <w:r>
        <w:rPr>
          <w:rFonts w:ascii="IRNazanin" w:hAnsi="IRNazanin" w:eastAsia="IRNazanin" w:cs="IRNazanin"/>
          <w:lang w:bidi="fa-IR"/>
          <w:color w:val="111111"/>
          <w:sz w:val="28"/>
          <w:szCs w:val="28"/>
          <w:rtl/>
        </w:rPr>
        <w:t xml:space="preserve">الخطبة للغزلیات أوله:</w:t>
      </w:r>
    </w:p>
    <w:p>
      <w:pPr>
        <w:pStyle w:val="BookText"/>
      </w:pPr>
      <w:r>
        <w:rPr>
          <w:rFonts w:ascii="IRNazanin" w:hAnsi="IRNazanin" w:eastAsia="IRNazanin" w:cs="IRNazanin"/>
          <w:lang w:bidi="fa-IR"/>
          <w:color w:val="111111"/>
          <w:sz w:val="28"/>
          <w:szCs w:val="28"/>
          <w:rtl/>
        </w:rPr>
        <w:t xml:space="preserve">ای دل افسرده خروشت کجاست‏</w:t>
      </w:r>
    </w:p>
    <w:p>
      <w:pPr>
        <w:pStyle w:val="BookText"/>
      </w:pPr>
      <w:r>
        <w:rPr>
          <w:rFonts w:ascii="IRNazanin" w:hAnsi="IRNazanin" w:eastAsia="IRNazanin" w:cs="IRNazanin"/>
          <w:lang w:bidi="fa-IR"/>
          <w:color w:val="111111"/>
          <w:sz w:val="28"/>
          <w:szCs w:val="28"/>
          <w:rtl/>
        </w:rPr>
        <w:t xml:space="preserve">خامشی از زمزمه جوشت کجاست‏</w:t>
      </w:r>
    </w:p>
    <w:p>
      <w:pPr>
        <w:pStyle w:val="BookText"/>
      </w:pPr>
      <w:r>
        <w:rPr>
          <w:rFonts w:ascii="IRNazanin" w:hAnsi="IRNazanin" w:eastAsia="IRNazanin" w:cs="IRNazanin"/>
          <w:lang w:bidi="fa-IR"/>
          <w:color w:val="111111"/>
          <w:sz w:val="28"/>
          <w:szCs w:val="28"/>
          <w:rtl/>
        </w:rPr>
        <w:t xml:space="preserve">ملک سخن زیر لوای تو بود</w:t>
      </w:r>
    </w:p>
    <w:p>
      <w:pPr>
        <w:pStyle w:val="BookText"/>
      </w:pPr>
      <w:r>
        <w:rPr>
          <w:rFonts w:ascii="IRNazanin" w:hAnsi="IRNazanin" w:eastAsia="IRNazanin" w:cs="IRNazanin"/>
          <w:lang w:bidi="fa-IR"/>
          <w:color w:val="111111"/>
          <w:sz w:val="28"/>
          <w:szCs w:val="28"/>
          <w:rtl/>
        </w:rPr>
        <w:t xml:space="preserve">رامش دلها ز نوای تو بود</w:t>
      </w:r>
    </w:p>
    <w:p>
      <w:pPr>
        <w:pStyle w:val="BookText"/>
      </w:pPr>
      <w:r>
        <w:rPr>
          <w:rFonts w:ascii="IRNazanin" w:hAnsi="IRNazanin" w:eastAsia="IRNazanin" w:cs="IRNazanin"/>
          <w:lang w:bidi="fa-IR"/>
          <w:color w:val="111111"/>
          <w:sz w:val="28"/>
          <w:szCs w:val="28"/>
          <w:rtl/>
        </w:rPr>
        <w:t xml:space="preserve">طنطنه پرده گشاییت کو</w:t>
      </w:r>
    </w:p>
    <w:p>
      <w:pPr>
        <w:pStyle w:val="BookText"/>
      </w:pPr>
      <w:r>
        <w:rPr>
          <w:rFonts w:ascii="IRNazanin" w:hAnsi="IRNazanin" w:eastAsia="IRNazanin" w:cs="IRNazanin"/>
          <w:lang w:bidi="fa-IR"/>
          <w:color w:val="111111"/>
          <w:sz w:val="28"/>
          <w:szCs w:val="28"/>
          <w:rtl/>
        </w:rPr>
        <w:t xml:space="preserve">دمدمه نغمه‏سراییت کو</w:t>
      </w:r>
    </w:p>
    <w:p>
      <w:pPr>
        <w:pStyle w:val="BookText"/>
      </w:pPr>
      <w:r>
        <w:rPr>
          <w:rFonts w:ascii="IRNazanin" w:hAnsi="IRNazanin" w:eastAsia="IRNazanin" w:cs="IRNazanin"/>
          <w:lang w:bidi="fa-IR"/>
          <w:color w:val="111111"/>
          <w:sz w:val="28"/>
          <w:szCs w:val="28"/>
          <w:rtl/>
        </w:rPr>
        <w:t xml:space="preserve">زمزمه سینه خراشت چه شد</w:t>
      </w:r>
    </w:p>
    <w:p>
      <w:pPr>
        <w:pStyle w:val="BookText"/>
      </w:pPr>
      <w:r>
        <w:rPr>
          <w:rFonts w:ascii="IRNazanin" w:hAnsi="IRNazanin" w:eastAsia="IRNazanin" w:cs="IRNazanin"/>
          <w:lang w:bidi="fa-IR"/>
          <w:color w:val="111111"/>
          <w:sz w:val="28"/>
          <w:szCs w:val="28"/>
          <w:rtl/>
        </w:rPr>
        <w:t xml:space="preserve">ناله الماس تراشت چه شد</w:t>
      </w:r>
    </w:p>
    <w:p>
      <w:pPr>
        <w:pStyle w:val="Heading3"/>
      </w:pPr>
      <w:bookmarkStart w:id="6684" w:name="_Toc5380"/>
      <w:r>
        <w:t>دیوان الشیخ علی بن أبی طالب القمی النجفی‏</w:t>
      </w:r>
      <w:bookmarkEnd w:id="6684"/>
    </w:p>
    <w:p>
      <w:pPr>
        <w:pStyle w:val="BookText"/>
      </w:pPr>
      <w:r>
        <w:rPr>
          <w:rFonts w:ascii="IRNazanin" w:hAnsi="IRNazanin" w:eastAsia="IRNazanin" w:cs="IRNazanin"/>
          <w:lang w:bidi="fa-IR"/>
          <w:color w:val="111111"/>
          <w:sz w:val="28"/>
          <w:szCs w:val="28"/>
          <w:rtl/>
        </w:rPr>
        <w:t xml:space="preserve">الموجود نسخته عند الشیخ محمد الجواد الجزائری فی النجف مر بتخلصه عارف قمی فی ص 669</w:t>
      </w:r>
    </w:p>
    <w:p>
      <w:pPr>
        <w:pStyle w:val="Heading3"/>
      </w:pPr>
      <w:bookmarkStart w:id="6685" w:name="_Toc5381"/>
      <w:r>
        <w:t>5063- دیوان المیرزا محمد علی بن المیرزا أبی القاسم الأردوبادی النجفی‏</w:t>
      </w:r>
      <w:bookmarkEnd w:id="6685"/>
    </w:p>
    <w:p>
      <w:pPr>
        <w:pStyle w:val="BookText"/>
      </w:pPr>
      <w:r>
        <w:rPr>
          <w:rFonts w:ascii="IRNazanin" w:hAnsi="IRNazanin" w:eastAsia="IRNazanin" w:cs="IRNazanin"/>
          <w:lang w:bidi="fa-IR"/>
          <w:color w:val="111111"/>
          <w:sz w:val="28"/>
          <w:szCs w:val="28"/>
          <w:rtl/>
        </w:rPr>
        <w:t xml:space="preserve">ولد فی تبریز 21 رجب- 1312 ذو الید الطولی فی الأدب، یقرب شعره من ستة آلاف بیت‏</w:t>
      </w:r>
    </w:p>
    <w:p>
      <w:pPr>
        <w:pStyle w:val="Heading3"/>
      </w:pPr>
      <w:bookmarkStart w:id="6686" w:name="_Toc5382"/>
      <w:r>
        <w:t>دیوان علی بن أحمد الأحسائی‏</w:t>
      </w:r>
      <w:bookmarkEnd w:id="6686"/>
    </w:p>
    <w:p>
      <w:pPr>
        <w:pStyle w:val="BookText"/>
      </w:pPr>
      <w:r>
        <w:rPr>
          <w:rFonts w:ascii="IRNazanin" w:hAnsi="IRNazanin" w:eastAsia="IRNazanin" w:cs="IRNazanin"/>
          <w:lang w:bidi="fa-IR"/>
          <w:color w:val="111111"/>
          <w:sz w:val="28"/>
          <w:szCs w:val="28"/>
          <w:rtl/>
        </w:rPr>
        <w:t xml:space="preserve">راجع علی نقی الأحسائی‏</w:t>
      </w:r>
    </w:p>
    <w:p>
      <w:pPr>
        <w:pStyle w:val="Heading3"/>
      </w:pPr>
      <w:bookmarkStart w:id="6687" w:name="_Toc5383"/>
      <w:r>
        <w:t>دیوان علی بن أحمد العاملی‏</w:t>
      </w:r>
      <w:bookmarkEnd w:id="6687"/>
    </w:p>
    <w:p>
      <w:pPr>
        <w:pStyle w:val="BookText"/>
      </w:pPr>
      <w:r>
        <w:rPr>
          <w:rFonts w:ascii="IRNazanin" w:hAnsi="IRNazanin" w:eastAsia="IRNazanin" w:cs="IRNazanin"/>
          <w:lang w:bidi="fa-IR"/>
          <w:color w:val="111111"/>
          <w:sz w:val="28"/>
          <w:szCs w:val="28"/>
          <w:rtl/>
        </w:rPr>
        <w:t xml:space="preserve">مر بعنوان دیوان العادلی فی ص 664</w:t>
      </w:r>
    </w:p>
    <w:p>
      <w:pPr>
        <w:pStyle w:val="Heading3"/>
      </w:pPr>
      <w:bookmarkStart w:id="6688" w:name="_Toc5384"/>
      <w:r>
        <w:t>دیوان علی بن أحمد الکاشانی‏</w:t>
      </w:r>
      <w:bookmarkEnd w:id="6688"/>
    </w:p>
    <w:p>
      <w:pPr>
        <w:pStyle w:val="BookText"/>
      </w:pPr>
      <w:r>
        <w:rPr>
          <w:rFonts w:ascii="IRNazanin" w:hAnsi="IRNazanin" w:eastAsia="IRNazanin" w:cs="IRNazanin"/>
          <w:lang w:bidi="fa-IR"/>
          <w:color w:val="111111"/>
          <w:sz w:val="28"/>
          <w:szCs w:val="28"/>
          <w:rtl/>
        </w:rPr>
        <w:t xml:space="preserve">راجع دیوان محتشم کاشانی‏</w:t>
      </w:r>
    </w:p>
    <w:p>
      <w:pPr>
        <w:pStyle w:val="Heading3"/>
      </w:pPr>
      <w:bookmarkStart w:id="6689" w:name="_Toc5385"/>
      <w:r>
        <w:t>دیوان الشیخ النبیه علی بن أحمد الفقیه‏</w:t>
      </w:r>
      <w:bookmarkEnd w:id="6689"/>
    </w:p>
    <w:p>
      <w:pPr>
        <w:pStyle w:val="BookText"/>
      </w:pPr>
      <w:r>
        <w:rPr>
          <w:rFonts w:ascii="IRNazanin" w:hAnsi="IRNazanin" w:eastAsia="IRNazanin" w:cs="IRNazanin"/>
          <w:lang w:bidi="fa-IR"/>
          <w:color w:val="111111"/>
          <w:sz w:val="28"/>
          <w:szCs w:val="28"/>
          <w:rtl/>
        </w:rPr>
        <w:t xml:space="preserve">کان معاصر السید نصر الله المدرس الشهید الحائری الفائزی، و قد قرظ السید نصر الله المذکور هذا الدیوان، و رأیت تقریظ السید نصر الله له فی دیوان السید نصر الله و الظاهر أنه هو علی بن أحمد العاملی المذکور آنفا</w:t>
      </w:r>
    </w:p>
    <w:p>
      <w:pPr>
        <w:pStyle w:val="Heading3"/>
      </w:pPr>
      <w:bookmarkStart w:id="6690" w:name="_Toc5386"/>
      <w:r>
        <w:t>دیوان علی بن أحمد المدنی‏</w:t>
      </w:r>
      <w:bookmarkEnd w:id="6690"/>
    </w:p>
    <w:p>
      <w:pPr>
        <w:pStyle w:val="BookText"/>
      </w:pPr>
      <w:r>
        <w:rPr>
          <w:rFonts w:ascii="IRNazanin" w:hAnsi="IRNazanin" w:eastAsia="IRNazanin" w:cs="IRNazanin"/>
          <w:lang w:bidi="fa-IR"/>
          <w:color w:val="111111"/>
          <w:sz w:val="28"/>
          <w:szCs w:val="28"/>
          <w:rtl/>
        </w:rPr>
        <w:t xml:space="preserve">راجع علی خان المدنی‏</w:t>
      </w:r>
    </w:p>
    <w:p>
      <w:pPr>
        <w:pStyle w:val="Heading3"/>
      </w:pPr>
      <w:bookmarkStart w:id="6691" w:name="_Toc5387"/>
      <w:r>
        <w:t>دیوان علی بن أحمد النوبختی‏</w:t>
      </w:r>
      <w:bookmarkEnd w:id="6691"/>
    </w:p>
    <w:p>
      <w:pPr>
        <w:pStyle w:val="BookText"/>
      </w:pPr>
      <w:r>
        <w:rPr>
          <w:rFonts w:ascii="IRNazanin" w:hAnsi="IRNazanin" w:eastAsia="IRNazanin" w:cs="IRNazanin"/>
          <w:lang w:bidi="fa-IR"/>
          <w:color w:val="111111"/>
          <w:sz w:val="28"/>
          <w:szCs w:val="28"/>
          <w:rtl/>
        </w:rPr>
        <w:t xml:space="preserve">اثنان صغیر و کبیر، ذکرهما ابن خلکان فی (1: 358) و مر فی ص 32 بعنوان ابن نوبخت‏</w:t>
      </w:r>
    </w:p>
    <w:p>
      <w:pPr>
        <w:pStyle w:val="Heading3"/>
      </w:pPr>
      <w:bookmarkStart w:id="6692" w:name="_Toc5388"/>
      <w:r>
        <w:t>دیوان علی بن إسحاق البغدادی‏</w:t>
      </w:r>
      <w:bookmarkEnd w:id="6692"/>
    </w:p>
    <w:p>
      <w:pPr>
        <w:pStyle w:val="BookText"/>
      </w:pPr>
      <w:r>
        <w:rPr>
          <w:rFonts w:ascii="IRNazanin" w:hAnsi="IRNazanin" w:eastAsia="IRNazanin" w:cs="IRNazanin"/>
          <w:lang w:bidi="fa-IR"/>
          <w:color w:val="111111"/>
          <w:sz w:val="28"/>
          <w:szCs w:val="28"/>
          <w:rtl/>
        </w:rPr>
        <w:t xml:space="preserve">راجع دیوان الزاهی البغدادی فی ص 399</w:t>
      </w:r>
    </w:p>
    <w:p>
      <w:pPr>
        <w:pStyle w:val="Heading3"/>
      </w:pPr>
      <w:bookmarkStart w:id="6693" w:name="_Toc5389"/>
      <w:r>
        <w:t>5064- دیوان علی بن إسماعیل الطباطبائی‏</w:t>
      </w:r>
      <w:bookmarkEnd w:id="6693"/>
    </w:p>
    <w:p>
      <w:pPr>
        <w:pStyle w:val="BookText"/>
      </w:pPr>
      <w:r>
        <w:rPr>
          <w:rFonts w:ascii="IRNazanin" w:hAnsi="IRNazanin" w:eastAsia="IRNazanin" w:cs="IRNazanin"/>
          <w:lang w:bidi="fa-IR"/>
          <w:color w:val="111111"/>
          <w:sz w:val="28"/>
          <w:szCs w:val="28"/>
          <w:rtl/>
        </w:rPr>
        <w:t xml:space="preserve">هو السید أبی الحسین بن المتوکل علی الله إسماعیل بن المنصور القاسم بن محمد، المنتهی إلی القاسم الرسی الطباطبائی توفی جده الإمام المنصور فی 1029 و توفی والده المتوکل إسماعیل فی 1087 و توفی السید علی بن إسماعیل 1096 و دفن فی قبة الکاظمی کما ذکره ضیاء الدین یوسف فی نسمة السحر فیمن تشیع و شعر و ذکر تصانیفه و منها الدیوان‏</w:t>
      </w:r>
    </w:p>
    <w:p>
      <w:pPr>
        <w:pStyle w:val="Heading3"/>
      </w:pPr>
      <w:bookmarkStart w:id="6694" w:name="_Toc5390"/>
      <w:r>
        <w:t>5065- دیوان علی بن إسماعیل السنجانی‏</w:t>
      </w:r>
      <w:bookmarkEnd w:id="6694"/>
    </w:p>
    <w:p>
      <w:pPr>
        <w:pStyle w:val="BookText"/>
      </w:pPr>
      <w:r>
        <w:rPr>
          <w:rFonts w:ascii="IRNazanin" w:hAnsi="IRNazanin" w:eastAsia="IRNazanin" w:cs="IRNazanin"/>
          <w:lang w:bidi="fa-IR"/>
          <w:color w:val="111111"/>
          <w:sz w:val="28"/>
          <w:szCs w:val="28"/>
          <w:rtl/>
        </w:rPr>
        <w:t xml:space="preserve">و هو السید أبی الفضائل علی بن السید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bookmarkStart w:id="732" w:name="pg11704_122216"/>
    <w:bookmarkEnd w:id="732"/>
    <w:p>
      <w:pPr>
        <w:pStyle w:val="BookText"/>
      </w:pPr>
      <w:r>
        <w:rPr>
          <w:rFonts w:ascii="IRNazanin" w:hAnsi="IRNazanin" w:eastAsia="IRNazanin" w:cs="IRNazanin"/>
          <w:lang w:bidi="fa-IR"/>
          <w:color w:val="111111"/>
          <w:sz w:val="28"/>
          <w:szCs w:val="28"/>
          <w:rtl/>
        </w:rPr>
        <w:t xml:space="preserve">إسماعیل بن زین العابدین الحسینی السنجانی المولد الغروی المسکن الملقب بالمحدث، مؤلف حملات اللیث فی الرد علی الأصولیین الذی کتبه بالتماس الحاج أحمد میرزا اللکهنوی بعد رجوعه عن زیارة سامراء فی 1295 و ذکر فیه بعض تصانیفه و منها دیوان شعره‏</w:t>
      </w:r>
    </w:p>
    <w:p>
      <w:pPr>
        <w:pStyle w:val="Heading3"/>
      </w:pPr>
      <w:bookmarkStart w:id="6695" w:name="_Toc5391"/>
      <w:r>
        <w:t>5066- دیوان محمد علی بن بشاره‏</w:t>
      </w:r>
      <w:bookmarkEnd w:id="6695"/>
    </w:p>
    <w:p>
      <w:pPr>
        <w:pStyle w:val="BookText"/>
      </w:pPr>
      <w:r>
        <w:rPr>
          <w:rFonts w:ascii="IRNazanin" w:hAnsi="IRNazanin" w:eastAsia="IRNazanin" w:cs="IRNazanin"/>
          <w:lang w:bidi="fa-IR"/>
          <w:color w:val="111111"/>
          <w:sz w:val="28"/>
          <w:szCs w:val="28"/>
          <w:rtl/>
        </w:rPr>
        <w:t xml:space="preserve">آل موحی النجفی معاصر السید نصر الله المدرس الحائری الشهید رأیت فی دیوان السید نصر الله تقریظه لهذا الدیوان و له تذکره الشعراء الموسوم نشوة السلافة و محل الإضافة فی جزءین فی تذییل سلافة العصر للسید علی خان المدنی و النسخة فی مکتبة (السماوی) کتابتها 1156</w:t>
      </w:r>
    </w:p>
    <w:p>
      <w:pPr>
        <w:pStyle w:val="Heading3"/>
      </w:pPr>
      <w:bookmarkStart w:id="6696" w:name="_Toc5392"/>
      <w:r>
        <w:t>5067- دیوان علی بن الشیخ جعفر کاشف الغطاء</w:t>
      </w:r>
      <w:bookmarkEnd w:id="6696"/>
    </w:p>
    <w:p>
      <w:pPr>
        <w:pStyle w:val="BookText"/>
      </w:pPr>
      <w:r>
        <w:rPr>
          <w:rFonts w:ascii="IRNazanin" w:hAnsi="IRNazanin" w:eastAsia="IRNazanin" w:cs="IRNazanin"/>
          <w:lang w:bidi="fa-IR"/>
          <w:color w:val="111111"/>
          <w:sz w:val="28"/>
          <w:szCs w:val="28"/>
          <w:rtl/>
        </w:rPr>
        <w:t xml:space="preserve">رأیت فی بعض المجامیع رثاءه فی ست و ستین بیتا أوله:</w:t>
      </w:r>
    </w:p>
    <w:p>
      <w:pPr>
        <w:pStyle w:val="BookText"/>
      </w:pPr>
      <w:r>
        <w:rPr>
          <w:rFonts w:ascii="IRNazanin" w:hAnsi="IRNazanin" w:eastAsia="IRNazanin" w:cs="IRNazanin"/>
          <w:lang w:bidi="fa-IR"/>
          <w:color w:val="111111"/>
          <w:sz w:val="28"/>
          <w:szCs w:val="28"/>
          <w:rtl/>
        </w:rPr>
        <w:t xml:space="preserve">دموع لیس تنقع من أوام‏</w:t>
      </w:r>
    </w:p>
    <w:p>
      <w:pPr>
        <w:pStyle w:val="BookText"/>
      </w:pPr>
      <w:r>
        <w:rPr>
          <w:rFonts w:ascii="IRNazanin" w:hAnsi="IRNazanin" w:eastAsia="IRNazanin" w:cs="IRNazanin"/>
          <w:lang w:bidi="fa-IR"/>
          <w:color w:val="111111"/>
          <w:sz w:val="28"/>
          <w:szCs w:val="28"/>
          <w:rtl/>
        </w:rPr>
        <w:t xml:space="preserve">و إن سحت کماء المزن عام‏</w:t>
      </w:r>
    </w:p>
    <w:p>
      <w:pPr>
        <w:pStyle w:val="Heading3"/>
      </w:pPr>
      <w:bookmarkStart w:id="6697" w:name="_Toc5393"/>
      <w:r>
        <w:t>5068- دیوان علی بن حبیب الخطی‏</w:t>
      </w:r>
      <w:bookmarkEnd w:id="6697"/>
    </w:p>
    <w:p>
      <w:pPr>
        <w:pStyle w:val="BookText"/>
      </w:pPr>
      <w:r>
        <w:rPr>
          <w:rFonts w:ascii="IRNazanin" w:hAnsi="IRNazanin" w:eastAsia="IRNazanin" w:cs="IRNazanin"/>
          <w:lang w:bidi="fa-IR"/>
          <w:color w:val="111111"/>
          <w:sz w:val="28"/>
          <w:szCs w:val="28"/>
          <w:rtl/>
        </w:rPr>
        <w:t xml:space="preserve">أورد بعض مراثیه الشیخ لطف الله الجد حفصی فی مجموعته المکتوبة 1201</w:t>
      </w:r>
    </w:p>
    <w:p>
      <w:pPr>
        <w:pStyle w:val="Heading3"/>
      </w:pPr>
      <w:bookmarkStart w:id="6698" w:name="_Toc5394"/>
      <w:r>
        <w:t>5069- دیوان علی بن جعفر الخرقانی‏</w:t>
      </w:r>
      <w:bookmarkEnd w:id="6698"/>
    </w:p>
    <w:p>
      <w:pPr>
        <w:pStyle w:val="BookText"/>
      </w:pPr>
      <w:r>
        <w:rPr>
          <w:rFonts w:ascii="IRNazanin" w:hAnsi="IRNazanin" w:eastAsia="IRNazanin" w:cs="IRNazanin"/>
          <w:lang w:bidi="fa-IR"/>
          <w:color w:val="111111"/>
          <w:sz w:val="28"/>
          <w:szCs w:val="28"/>
          <w:rtl/>
        </w:rPr>
        <w:t xml:space="preserve">ذکر فی نتایج الأفکار ص 19 و مر فی ص 39- 40</w:t>
      </w:r>
    </w:p>
    <w:p>
      <w:pPr>
        <w:pStyle w:val="Heading3"/>
      </w:pPr>
      <w:bookmarkStart w:id="6699" w:name="_Toc5395"/>
      <w:r>
        <w:t>دیوان علی الحسن الآرانی الکاشانی‏</w:t>
      </w:r>
      <w:bookmarkEnd w:id="6699"/>
    </w:p>
    <w:p>
      <w:pPr>
        <w:pStyle w:val="BookText"/>
      </w:pPr>
      <w:r>
        <w:rPr>
          <w:rFonts w:ascii="IRNazanin" w:hAnsi="IRNazanin" w:eastAsia="IRNazanin" w:cs="IRNazanin"/>
          <w:lang w:bidi="fa-IR"/>
          <w:color w:val="111111"/>
          <w:sz w:val="28"/>
          <w:szCs w:val="28"/>
          <w:rtl/>
        </w:rPr>
        <w:t xml:space="preserve">له منظومة فی أصول الفقه سماه فی المقدمة البهجة المرضیة یشتمل علی 521 بیتا أوله:</w:t>
      </w:r>
    </w:p>
    <w:p>
      <w:pPr>
        <w:pStyle w:val="BookText"/>
      </w:pPr>
      <w:r>
        <w:rPr>
          <w:rFonts w:ascii="IRNazanin" w:hAnsi="IRNazanin" w:eastAsia="IRNazanin" w:cs="IRNazanin"/>
          <w:lang w:bidi="fa-IR"/>
          <w:color w:val="111111"/>
          <w:sz w:val="28"/>
          <w:szCs w:val="28"/>
          <w:rtl/>
        </w:rPr>
        <w:t xml:space="preserve">یقول راجی الرب ذی الإحسان‏</w:t>
      </w:r>
    </w:p>
    <w:p>
      <w:pPr>
        <w:pStyle w:val="BookText"/>
      </w:pPr>
      <w:r>
        <w:rPr>
          <w:rFonts w:ascii="IRNazanin" w:hAnsi="IRNazanin" w:eastAsia="IRNazanin" w:cs="IRNazanin"/>
          <w:lang w:bidi="fa-IR"/>
          <w:color w:val="111111"/>
          <w:sz w:val="28"/>
          <w:szCs w:val="28"/>
          <w:rtl/>
        </w:rPr>
        <w:t xml:space="preserve">علی بن الحسن الآرانی‏</w:t>
      </w:r>
    </w:p>
    <w:p>
      <w:pPr>
        <w:pStyle w:val="BookText"/>
      </w:pPr>
      <w:r>
        <w:rPr>
          <w:rFonts w:ascii="IRNazanin" w:hAnsi="IRNazanin" w:eastAsia="IRNazanin" w:cs="IRNazanin"/>
          <w:lang w:bidi="fa-IR"/>
          <w:color w:val="111111"/>
          <w:sz w:val="28"/>
          <w:szCs w:val="28"/>
          <w:rtl/>
        </w:rPr>
        <w:t xml:space="preserve">توجد نسخه منه عند السید محمد علی الروضاتی بأصفهان، و آخر النسخة:</w:t>
      </w:r>
    </w:p>
    <w:p>
      <w:pPr>
        <w:pStyle w:val="BookText"/>
      </w:pPr>
      <w:r>
        <w:rPr>
          <w:rFonts w:ascii="IRNazanin" w:hAnsi="IRNazanin" w:eastAsia="IRNazanin" w:cs="IRNazanin"/>
          <w:lang w:bidi="fa-IR"/>
          <w:color w:val="111111"/>
          <w:sz w:val="28"/>
          <w:szCs w:val="28"/>
          <w:rtl/>
        </w:rPr>
        <w:t xml:space="preserve">ذا الحکم معلوم من الشرع و لا</w:t>
      </w:r>
    </w:p>
    <w:p>
      <w:pPr>
        <w:pStyle w:val="BookText"/>
      </w:pPr>
      <w:r>
        <w:rPr>
          <w:rFonts w:ascii="IRNazanin" w:hAnsi="IRNazanin" w:eastAsia="IRNazanin" w:cs="IRNazanin"/>
          <w:lang w:bidi="fa-IR"/>
          <w:color w:val="111111"/>
          <w:sz w:val="28"/>
          <w:szCs w:val="28"/>
          <w:rtl/>
        </w:rPr>
        <w:t xml:space="preserve">یخفی علی الحاوی به مفصلا</w:t>
      </w:r>
    </w:p>
    <w:p>
      <w:pPr>
        <w:pStyle w:val="Heading3"/>
      </w:pPr>
      <w:bookmarkStart w:id="6700" w:name="_Toc5396"/>
      <w:r>
        <w:t>5070- دیوان علی بن الحسن الأطروش أو شعره‏</w:t>
      </w:r>
      <w:bookmarkEnd w:id="6700"/>
    </w:p>
    <w:p>
      <w:pPr>
        <w:pStyle w:val="BookText"/>
      </w:pPr>
      <w:r>
        <w:rPr>
          <w:rFonts w:ascii="IRNazanin" w:hAnsi="IRNazanin" w:eastAsia="IRNazanin" w:cs="IRNazanin"/>
          <w:lang w:bidi="fa-IR"/>
          <w:color w:val="111111"/>
          <w:sz w:val="28"/>
          <w:szCs w:val="28"/>
          <w:rtl/>
        </w:rPr>
        <w:t xml:space="preserve">و هو الشریف أبو الحسن علی بن الناصر لدین الله أبی محمد الحسن الأطروش بن علی بن الحسن بن علی بن عمر الأشرف بن الإمام السجاد ترجمه فی نسمة السحر فیمن تشیع و شعر و أورد رثاءه لمحمد بن زید الداعی الصغیر المتوفی بعد 303 و قال إنه من شعراء الیتیمة ترجمه الثعالبی و غیره‏</w:t>
      </w:r>
    </w:p>
    <w:p>
      <w:pPr>
        <w:pStyle w:val="Heading3"/>
      </w:pPr>
      <w:bookmarkStart w:id="6701" w:name="_Toc5397"/>
      <w:r>
        <w:t>5071- دیوان علی بن الحسن الشدقمی‏</w:t>
      </w:r>
      <w:bookmarkEnd w:id="6701"/>
    </w:p>
    <w:p>
      <w:pPr>
        <w:pStyle w:val="BookText"/>
      </w:pPr>
      <w:r>
        <w:rPr>
          <w:rFonts w:ascii="IRNazanin" w:hAnsi="IRNazanin" w:eastAsia="IRNazanin" w:cs="IRNazanin"/>
          <w:lang w:bidi="fa-IR"/>
          <w:color w:val="111111"/>
          <w:sz w:val="28"/>
          <w:szCs w:val="28"/>
          <w:rtl/>
        </w:rPr>
        <w:t xml:space="preserve">و هو السید زین الدین علی بن بدر الدین‏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bookmarkStart w:id="733" w:name="pg11704_122217"/>
    <w:bookmarkEnd w:id="733"/>
    <w:p>
      <w:pPr>
        <w:pStyle w:val="BookText"/>
      </w:pPr>
      <w:r>
        <w:rPr>
          <w:rFonts w:ascii="IRNazanin" w:hAnsi="IRNazanin" w:eastAsia="IRNazanin" w:cs="IRNazanin"/>
          <w:lang w:bidi="fa-IR"/>
          <w:color w:val="111111"/>
          <w:sz w:val="28"/>
          <w:szCs w:val="28"/>
          <w:rtl/>
        </w:rPr>
        <w:t xml:space="preserve">الحسن بن علی النقیب بن الحسن الشهید بن علی بن شدقم بن ضامن بن محمد الحمزی الحسنی المدنی المولود 950 (فضله له) و المتوفی بالمدینة 1033 ترجمه حفیده السید ضامن بن شدقم بن زین الدین علی المذکور فی کتابه تحفه الأزهار و قال إنه کان عالما فاضلا کاملا فقیها محدثا قرأ علی والده بدر الدین حسن صاحب الجواهر النظامیة الذی ألفه 992 و قرأ علی السید محمد بن جویبر بن محمد الثماری الحسینی و قرأ علی الشیخ عبد الله بن حسن بن سلیمان المدنی المعروف بالسلیمانی، و قرأ علی الشیخ محمد بن أحمد بن خاتون العاملی، و قرأ علی المیرزا محمد بن إبراهیم الأسترآبادی مؤلف الکتب الثلاثة فی الرجال، و قرأ علی الشیخ محمد بن الشیخ حسن صاحب المعالم و ینقل فی التحفة کثیرا عن جده علی، و الظاهر أن نقله عن کتابه و قد یصرح باسم کتابه و یقول قال جدی علی فی زهرة المقول و ینقل بعض القصائد له عن دیوانه منها القصیدة الکوثریة و القصیدة التهلیلیة أقول و کتابه زهرة المقول فی نسب ثانی فرعی الرسول أی السادة الحسینیة موجود بخطه عند الحسین بن علی محفوظ، کتبه فی (1- ع 2- 1013) و انما کتبه تتمیما لکتاب والده بدر الدین حسن الموسوم المستطابة فی نسب سادات طابة و رد فیه من انتقد أباه و ألحق بآخر زهرة المقول کتابا آخر أسماه نخبة الزهرة الثمینة فی نسب أشراف المدینة و فرغ منه (8 رجب 1014)</w:t>
      </w:r>
    </w:p>
    <w:p>
      <w:pPr>
        <w:pStyle w:val="Heading3"/>
      </w:pPr>
      <w:bookmarkStart w:id="6702" w:name="_Toc5398"/>
      <w:r>
        <w:t>دیوان علی بن حسن زفره‏ای‏</w:t>
      </w:r>
      <w:bookmarkEnd w:id="6702"/>
    </w:p>
    <w:p>
      <w:pPr>
        <w:pStyle w:val="BookText"/>
      </w:pPr>
      <w:r>
        <w:rPr>
          <w:rFonts w:ascii="IRNazanin" w:hAnsi="IRNazanin" w:eastAsia="IRNazanin" w:cs="IRNazanin"/>
          <w:lang w:bidi="fa-IR"/>
          <w:color w:val="111111"/>
          <w:sz w:val="28"/>
          <w:szCs w:val="28"/>
          <w:rtl/>
        </w:rPr>
        <w:t xml:space="preserve">المتخلص رجاء کما مر فی ص 355 قال فی شعرای معاصر أصفهان ص 207 إن له أیضا دبستان شعرا فی العروض و رکاز الدعوات و عمان الحساب نظم لخلاصة الحساب البهائیة، و گلستان أدباء و مختصر النجوم‏</w:t>
      </w:r>
    </w:p>
    <w:p>
      <w:pPr>
        <w:pStyle w:val="Heading3"/>
      </w:pPr>
      <w:bookmarkStart w:id="6703" w:name="_Toc5399"/>
      <w:r>
        <w:t>5072- دیوان علی بن الحسین الأخوی‏</w:t>
      </w:r>
      <w:bookmarkEnd w:id="6703"/>
    </w:p>
    <w:p>
      <w:pPr>
        <w:pStyle w:val="BookText"/>
      </w:pPr>
      <w:r>
        <w:rPr>
          <w:rFonts w:ascii="IRNazanin" w:hAnsi="IRNazanin" w:eastAsia="IRNazanin" w:cs="IRNazanin"/>
          <w:lang w:bidi="fa-IR"/>
          <w:color w:val="111111"/>
          <w:sz w:val="28"/>
          <w:szCs w:val="28"/>
          <w:rtl/>
        </w:rPr>
        <w:t xml:space="preserve">و هو الحاج المیر السید علی بن السید حسین بن إبراهیم بن حسن الشهیر بالأخوی التقوی لأنه ینهی نسبه إلی موسی المبرقع بن الإمام الجواد محمد التقی توفی 1335 و مادة تاریخه (شد علی پاک بخلد برین) جمع دیوانه المیرزا محمد علی عبرت و کتبه بخطه النسخ الجید فی أربع مجلدات حکاه لی السید عماد الدین أحمد بن الحاج السید باقر بن أحمد بن محمد بن السید حسن‏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bookmarkStart w:id="734" w:name="pg11704_122218"/>
    <w:bookmarkEnd w:id="734"/>
    <w:p>
      <w:pPr>
        <w:pStyle w:val="BookText"/>
      </w:pPr>
      <w:r>
        <w:rPr>
          <w:rFonts w:ascii="IRNazanin" w:hAnsi="IRNazanin" w:eastAsia="IRNazanin" w:cs="IRNazanin"/>
          <w:lang w:bidi="fa-IR"/>
          <w:color w:val="111111"/>
          <w:sz w:val="28"/>
          <w:szCs w:val="28"/>
          <w:rtl/>
        </w:rPr>
        <w:t xml:space="preserve">الأخوی المذکور و نسبهم مذکور فی آخر فروع الکافی المطبوع بطهران 1315 و فی مناهل الضرب فی أنساب العرب للأعرجی‏</w:t>
      </w:r>
    </w:p>
    <w:p>
      <w:pPr>
        <w:pStyle w:val="Heading3"/>
      </w:pPr>
      <w:bookmarkStart w:id="6704" w:name="_Toc5400"/>
      <w:r>
        <w:t>5073- دیوان علی بن الحسین الأصفهانی أو شعره‏</w:t>
      </w:r>
      <w:bookmarkEnd w:id="6704"/>
    </w:p>
    <w:p>
      <w:pPr>
        <w:pStyle w:val="BookText"/>
      </w:pPr>
      <w:r>
        <w:rPr>
          <w:rFonts w:ascii="IRNazanin" w:hAnsi="IRNazanin" w:eastAsia="IRNazanin" w:cs="IRNazanin"/>
          <w:lang w:bidi="fa-IR"/>
          <w:color w:val="111111"/>
          <w:sz w:val="28"/>
          <w:szCs w:val="28"/>
          <w:rtl/>
        </w:rPr>
        <w:t xml:space="preserve">و هو أبو الفرج علی بن الحسین بن محمد بن أحمد الأموی الأصفهانی البغدادی الکاتب الزیدی صاحب الأغانی و مقاتل الطالبیین (284- 356) ترجمه فی نسمة السحر فیمن تشیع و شعر و أورد شعره‏</w:t>
      </w:r>
    </w:p>
    <w:p>
      <w:pPr>
        <w:pStyle w:val="Heading3"/>
      </w:pPr>
      <w:bookmarkStart w:id="6705" w:name="_Toc5401"/>
      <w:r>
        <w:t>دیوان علی بن الحسین الأعسم النجفی‏</w:t>
      </w:r>
      <w:bookmarkEnd w:id="6705"/>
    </w:p>
    <w:p>
      <w:pPr>
        <w:pStyle w:val="BookText"/>
      </w:pPr>
      <w:r>
        <w:rPr>
          <w:rFonts w:ascii="IRNazanin" w:hAnsi="IRNazanin" w:eastAsia="IRNazanin" w:cs="IRNazanin"/>
          <w:lang w:bidi="fa-IR"/>
          <w:color w:val="111111"/>
          <w:sz w:val="28"/>
          <w:szCs w:val="28"/>
          <w:rtl/>
        </w:rPr>
        <w:t xml:space="preserve">المذکور فی ص 82 جمعها الشیخ محمد السماوی المتوفی 1370 فی ألف بیت و ضمه مع دیوان ولده الشیخ عبد الحسین فی مجلد، اشتراه بعد وفاته الخطیب محمد علی الیعقوبی فی النجف‏</w:t>
      </w:r>
    </w:p>
    <w:p>
      <w:pPr>
        <w:pStyle w:val="Heading3"/>
      </w:pPr>
      <w:bookmarkStart w:id="6706" w:name="_Toc5402"/>
      <w:r>
        <w:t>5074- دیوان علی بن الحسین الجامعی أو شعره‏</w:t>
      </w:r>
      <w:bookmarkEnd w:id="6706"/>
    </w:p>
    <w:p>
      <w:pPr>
        <w:pStyle w:val="BookText"/>
      </w:pPr>
      <w:r>
        <w:rPr>
          <w:rFonts w:ascii="IRNazanin" w:hAnsi="IRNazanin" w:eastAsia="IRNazanin" w:cs="IRNazanin"/>
          <w:lang w:bidi="fa-IR"/>
          <w:color w:val="111111"/>
          <w:sz w:val="28"/>
          <w:szCs w:val="28"/>
          <w:rtl/>
        </w:rPr>
        <w:t xml:space="preserve">هو ابن محیی الدین عبد اللطیف مر له فی 3: 464 تحفه المبتدئ نظما و له تبصرة المبتدئ فی الهیئة و أرجوزة النحو مر فی 1: 503</w:t>
      </w:r>
    </w:p>
    <w:p>
      <w:pPr>
        <w:pStyle w:val="Heading3"/>
      </w:pPr>
      <w:bookmarkStart w:id="6707" w:name="_Toc5403"/>
      <w:r>
        <w:t>دیوان علی بن الحسین الجزائری‏</w:t>
      </w:r>
      <w:bookmarkEnd w:id="6707"/>
    </w:p>
    <w:p>
      <w:pPr>
        <w:pStyle w:val="BookText"/>
      </w:pPr>
      <w:r>
        <w:rPr>
          <w:rFonts w:ascii="IRNazanin" w:hAnsi="IRNazanin" w:eastAsia="IRNazanin" w:cs="IRNazanin"/>
          <w:lang w:bidi="fa-IR"/>
          <w:color w:val="111111"/>
          <w:sz w:val="28"/>
          <w:szCs w:val="28"/>
          <w:rtl/>
        </w:rPr>
        <w:t xml:space="preserve">المتخلص ناله یأتی فی النون‏</w:t>
      </w:r>
    </w:p>
    <w:p>
      <w:pPr>
        <w:pStyle w:val="Heading3"/>
      </w:pPr>
      <w:bookmarkStart w:id="6708" w:name="_Toc5404"/>
      <w:r>
        <w:t>دیوان علی بن الحسین الشهیفنی‏</w:t>
      </w:r>
      <w:bookmarkEnd w:id="6708"/>
    </w:p>
    <w:p>
      <w:pPr>
        <w:pStyle w:val="BookText"/>
      </w:pPr>
      <w:r>
        <w:rPr>
          <w:rFonts w:ascii="IRNazanin" w:hAnsi="IRNazanin" w:eastAsia="IRNazanin" w:cs="IRNazanin"/>
          <w:lang w:bidi="fa-IR"/>
          <w:color w:val="111111"/>
          <w:sz w:val="28"/>
          <w:szCs w:val="28"/>
          <w:rtl/>
        </w:rPr>
        <w:t xml:space="preserve">مر فی ص 562 و ترجمه فی (لس- ص 382) أیضا</w:t>
      </w:r>
    </w:p>
    <w:p>
      <w:pPr>
        <w:pStyle w:val="Heading3"/>
      </w:pPr>
      <w:bookmarkStart w:id="6709" w:name="_Toc5405"/>
      <w:r>
        <w:t>دیوان علی بن الحسین الشیرازی‏</w:t>
      </w:r>
      <w:bookmarkEnd w:id="6709"/>
    </w:p>
    <w:p>
      <w:pPr>
        <w:pStyle w:val="BookText"/>
      </w:pPr>
      <w:r>
        <w:rPr>
          <w:rFonts w:ascii="IRNazanin" w:hAnsi="IRNazanin" w:eastAsia="IRNazanin" w:cs="IRNazanin"/>
          <w:lang w:bidi="fa-IR"/>
          <w:color w:val="111111"/>
          <w:sz w:val="28"/>
          <w:szCs w:val="28"/>
          <w:rtl/>
        </w:rPr>
        <w:t xml:space="preserve">مر فی ص 187 بعنوان جامع شیرازی‏</w:t>
      </w:r>
    </w:p>
    <w:p>
      <w:pPr>
        <w:pStyle w:val="Heading3"/>
      </w:pPr>
      <w:bookmarkStart w:id="6710" w:name="_Toc5406"/>
      <w:r>
        <w:t>5075- دیوان علی بن الحسین الصنعانی أو شعره‏</w:t>
      </w:r>
      <w:bookmarkEnd w:id="6710"/>
    </w:p>
    <w:p>
      <w:pPr>
        <w:pStyle w:val="BookText"/>
      </w:pPr>
      <w:r>
        <w:rPr>
          <w:rFonts w:ascii="IRNazanin" w:hAnsi="IRNazanin" w:eastAsia="IRNazanin" w:cs="IRNazanin"/>
          <w:lang w:bidi="fa-IR"/>
          <w:color w:val="111111"/>
          <w:sz w:val="28"/>
          <w:szCs w:val="28"/>
          <w:rtl/>
        </w:rPr>
        <w:t xml:space="preserve">و هو السید جمال الدین علی بن الحسین بن محمد بن صلاح بن بدر الدین الحسنی الصنعانی المؤیدی المتوفی 1131 ترجمه فی نسمة السحر و أورد شعره و ذکر أنه والد السید زید المؤیدی‏</w:t>
      </w:r>
    </w:p>
    <w:p>
      <w:pPr>
        <w:pStyle w:val="Heading3"/>
      </w:pPr>
      <w:bookmarkStart w:id="6711" w:name="_Toc5407"/>
      <w:r>
        <w:t>دیوان علی بن الحسین الموسوی‏</w:t>
      </w:r>
      <w:bookmarkEnd w:id="6711"/>
    </w:p>
    <w:p>
      <w:pPr>
        <w:pStyle w:val="BookText"/>
      </w:pPr>
      <w:r>
        <w:rPr>
          <w:rFonts w:ascii="IRNazanin" w:hAnsi="IRNazanin" w:eastAsia="IRNazanin" w:cs="IRNazanin"/>
          <w:lang w:bidi="fa-IR"/>
          <w:color w:val="111111"/>
          <w:sz w:val="28"/>
          <w:szCs w:val="28"/>
          <w:rtl/>
        </w:rPr>
        <w:t xml:space="preserve">مر بعنوان دیوان علم الهدی‏</w:t>
      </w:r>
    </w:p>
    <w:p>
      <w:pPr>
        <w:pStyle w:val="Heading3"/>
      </w:pPr>
      <w:bookmarkStart w:id="6712" w:name="_Toc5408"/>
      <w:r>
        <w:t>5076- دیوان علی بن الحسین النیشابوری أو شعره‏</w:t>
      </w:r>
      <w:bookmarkEnd w:id="6712"/>
    </w:p>
    <w:p>
      <w:pPr>
        <w:pStyle w:val="BookText"/>
      </w:pPr>
      <w:r>
        <w:rPr>
          <w:rFonts w:ascii="IRNazanin" w:hAnsi="IRNazanin" w:eastAsia="IRNazanin" w:cs="IRNazanin"/>
          <w:lang w:bidi="fa-IR"/>
          <w:color w:val="111111"/>
          <w:sz w:val="28"/>
          <w:szCs w:val="28"/>
          <w:rtl/>
        </w:rPr>
        <w:t xml:space="preserve">و هو السید الشریف أبو البرکات علی بن الحسین بن جعفر بن محمد المنتهی إلی محمد الدیباج بن الإمام الصادق ترجمه ضیاء الدین فی نسمة السحر فیمن تشیع و شعر و قال إنه حسینی نیشابوری و قد عده العتبی فی تاریخه من فضلاء دولة محمود بن سبکتکین الذی توفی 421</w:t>
      </w:r>
    </w:p>
    <w:p>
      <w:pPr>
        <w:pStyle w:val="Heading3"/>
      </w:pPr>
      <w:bookmarkStart w:id="6713" w:name="_Toc5409"/>
      <w:r>
        <w:t>دیوان علی بن حماد البغدادی‏</w:t>
      </w:r>
      <w:bookmarkEnd w:id="6713"/>
    </w:p>
    <w:p>
      <w:pPr>
        <w:pStyle w:val="BookText"/>
      </w:pPr>
      <w:r>
        <w:rPr>
          <w:rFonts w:ascii="IRNazanin" w:hAnsi="IRNazanin" w:eastAsia="IRNazanin" w:cs="IRNazanin"/>
          <w:lang w:bidi="fa-IR"/>
          <w:color w:val="111111"/>
          <w:sz w:val="28"/>
          <w:szCs w:val="28"/>
          <w:rtl/>
        </w:rPr>
        <w:t xml:space="preserve">مر بعنوان دیوان ابن حماد فی ص 20 و ترجمه‏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bookmarkStart w:id="735" w:name="pg11704_122219"/>
    <w:bookmarkEnd w:id="735"/>
    <w:p>
      <w:pPr>
        <w:pStyle w:val="BookText"/>
      </w:pPr>
      <w:r>
        <w:rPr>
          <w:rFonts w:ascii="IRNazanin" w:hAnsi="IRNazanin" w:eastAsia="IRNazanin" w:cs="IRNazanin"/>
          <w:lang w:bidi="fa-IR"/>
          <w:color w:val="111111"/>
          <w:sz w:val="28"/>
          <w:szCs w:val="28"/>
          <w:rtl/>
        </w:rPr>
        <w:t xml:space="preserve">فی (لس- ص 377)</w:t>
      </w:r>
    </w:p>
    <w:p>
      <w:pPr>
        <w:pStyle w:val="Heading3"/>
      </w:pPr>
      <w:bookmarkStart w:id="6714" w:name="_Toc5410"/>
      <w:r>
        <w:t>دیوان علی بن خلف المشعشعی‏</w:t>
      </w:r>
      <w:bookmarkEnd w:id="6714"/>
    </w:p>
    <w:p>
      <w:pPr>
        <w:pStyle w:val="BookText"/>
      </w:pPr>
      <w:r>
        <w:rPr>
          <w:rFonts w:ascii="IRNazanin" w:hAnsi="IRNazanin" w:eastAsia="IRNazanin" w:cs="IRNazanin"/>
          <w:lang w:bidi="fa-IR"/>
          <w:color w:val="111111"/>
          <w:sz w:val="28"/>
          <w:szCs w:val="28"/>
          <w:rtl/>
        </w:rPr>
        <w:t xml:space="preserve">الکبیر راجع علی خان المشعشعی‏</w:t>
      </w:r>
    </w:p>
    <w:p>
      <w:pPr>
        <w:pStyle w:val="Heading3"/>
      </w:pPr>
      <w:bookmarkStart w:id="6715" w:name="_Toc5411"/>
      <w:r>
        <w:t>دیوان علی بن سلیمان‏</w:t>
      </w:r>
      <w:bookmarkEnd w:id="6715"/>
    </w:p>
    <w:p>
      <w:pPr>
        <w:pStyle w:val="BookText"/>
      </w:pPr>
      <w:r>
        <w:rPr>
          <w:rFonts w:ascii="IRNazanin" w:hAnsi="IRNazanin" w:eastAsia="IRNazanin" w:cs="IRNazanin"/>
          <w:lang w:bidi="fa-IR"/>
          <w:color w:val="111111"/>
          <w:sz w:val="28"/>
          <w:szCs w:val="28"/>
          <w:rtl/>
        </w:rPr>
        <w:t xml:space="preserve">راجع علی القطیفی‏</w:t>
      </w:r>
    </w:p>
    <w:p>
      <w:pPr>
        <w:pStyle w:val="Heading3"/>
      </w:pPr>
      <w:bookmarkStart w:id="6716" w:name="_Toc5412"/>
      <w:r>
        <w:t>5077- دیوان علی بن صالح أو شعره‏</w:t>
      </w:r>
      <w:bookmarkEnd w:id="6716"/>
    </w:p>
    <w:p>
      <w:pPr>
        <w:pStyle w:val="BookText"/>
      </w:pPr>
      <w:r>
        <w:rPr>
          <w:rFonts w:ascii="IRNazanin" w:hAnsi="IRNazanin" w:eastAsia="IRNazanin" w:cs="IRNazanin"/>
          <w:lang w:bidi="fa-IR"/>
          <w:color w:val="111111"/>
          <w:sz w:val="28"/>
          <w:szCs w:val="28"/>
          <w:rtl/>
        </w:rPr>
        <w:t xml:space="preserve">و هو القاضی جمال الدین أبو محمد علی بن صالح بن محمد بن علی بن أبی الرجال، معاصر ضیاء الدین یوسف مؤلف نسمة السحر فیمن تشیع و شعر ترجمه فیه و ذکر أنه صنعانی زیدی ینتمی إلی عمر بن الخطاب، و إنه أخ أحمد بن صالح مؤلف مطلع البدور و أورد بعض شعره‏</w:t>
      </w:r>
    </w:p>
    <w:p>
      <w:pPr>
        <w:pStyle w:val="Heading3"/>
      </w:pPr>
      <w:bookmarkStart w:id="6717" w:name="_Toc5413"/>
      <w:r>
        <w:t>5078- دیوان السید محمد علی بن السید صدر الدین الموسوی العاملی الأصفهانی‏</w:t>
      </w:r>
      <w:bookmarkEnd w:id="6717"/>
    </w:p>
    <w:p>
      <w:pPr>
        <w:pStyle w:val="BookText"/>
      </w:pPr>
      <w:r>
        <w:rPr>
          <w:rFonts w:ascii="IRNazanin" w:hAnsi="IRNazanin" w:eastAsia="IRNazanin" w:cs="IRNazanin"/>
          <w:lang w:bidi="fa-IR"/>
          <w:color w:val="111111"/>
          <w:sz w:val="28"/>
          <w:szCs w:val="28"/>
          <w:rtl/>
        </w:rPr>
        <w:t xml:space="preserve">المتوفی بها 1274 فارسی لطیف ذکره السید عبد الحسین شرف الدین فی بغیة الطالبین‏</w:t>
      </w:r>
    </w:p>
    <w:p>
      <w:pPr>
        <w:pStyle w:val="Heading3"/>
      </w:pPr>
      <w:bookmarkStart w:id="6718" w:name="_Toc5414"/>
      <w:r>
        <w:t>5079- دیوان علی بن صلاح الدین أو شعره‏</w:t>
      </w:r>
      <w:bookmarkEnd w:id="6718"/>
    </w:p>
    <w:p>
      <w:pPr>
        <w:pStyle w:val="BookText"/>
      </w:pPr>
      <w:r>
        <w:rPr>
          <w:rFonts w:ascii="IRNazanin" w:hAnsi="IRNazanin" w:eastAsia="IRNazanin" w:cs="IRNazanin"/>
          <w:lang w:bidi="fa-IR"/>
          <w:color w:val="111111"/>
          <w:sz w:val="28"/>
          <w:szCs w:val="28"/>
          <w:rtl/>
        </w:rPr>
        <w:t xml:space="preserve">و هو الملک الأفضل نور الدین أبو الحسن علی بن السلطان صلاح الدین یوسف بن أیوب (566- 622) ترجمه ابن خلکان و ذکر أنه أکبر ولد أبیه و ولی عهده و أورد شعره الذی أرسله إلی الناصر فی غصب حقه و جواب الناصر بکونه ناصره علی الغاصبین‏</w:t>
      </w:r>
    </w:p>
    <w:p>
      <w:pPr>
        <w:pStyle w:val="Heading3"/>
      </w:pPr>
      <w:bookmarkStart w:id="6719" w:name="_Toc5415"/>
      <w:r>
        <w:t>دیوان علی بن عباس بن جرجیس‏</w:t>
      </w:r>
      <w:bookmarkEnd w:id="6719"/>
    </w:p>
    <w:p>
      <w:pPr>
        <w:pStyle w:val="BookText"/>
      </w:pPr>
      <w:r>
        <w:rPr>
          <w:rFonts w:ascii="IRNazanin" w:hAnsi="IRNazanin" w:eastAsia="IRNazanin" w:cs="IRNazanin"/>
          <w:lang w:bidi="fa-IR"/>
          <w:color w:val="111111"/>
          <w:sz w:val="28"/>
          <w:szCs w:val="28"/>
          <w:rtl/>
        </w:rPr>
        <w:t xml:space="preserve">مر فی ص 24 بعنوان دیوان ابن الرومی‏</w:t>
      </w:r>
    </w:p>
    <w:p>
      <w:pPr>
        <w:pStyle w:val="Heading3"/>
      </w:pPr>
      <w:bookmarkStart w:id="6720" w:name="_Toc5416"/>
      <w:r>
        <w:t>دیوان علی بن عباس کازرونی‏</w:t>
      </w:r>
      <w:bookmarkEnd w:id="6720"/>
    </w:p>
    <w:p>
      <w:pPr>
        <w:pStyle w:val="BookText"/>
      </w:pPr>
      <w:r>
        <w:rPr>
          <w:rFonts w:ascii="IRNazanin" w:hAnsi="IRNazanin" w:eastAsia="IRNazanin" w:cs="IRNazanin"/>
          <w:lang w:bidi="fa-IR"/>
          <w:color w:val="111111"/>
          <w:sz w:val="28"/>
          <w:szCs w:val="28"/>
          <w:rtl/>
        </w:rPr>
        <w:t xml:space="preserve">و هو السید علی المعروف بالحاج مجتهد ابن عباس بن الحسین الشیرازی جاء إلی النجف و تلمذ علی الآخوند الخراسانی و مات بشیراز فی 18 رجب 1343 ترجمه فی فارس‏نامه ناصری و له فوائد مشروطیت و تقریرات أصول و دیوانه مشتمل علی الشعر العربی و الفارسی طبع بشیراز فی 1336 ش فی 90 ص منها 30 ص مقدمه فی أحواله و خاتمة فی خطبة النثریة و تخلصه فیها رحمت کما مر فی ص 356 و لیس رفعت کما فی فهرس مشار</w:t>
      </w:r>
    </w:p>
    <w:p>
      <w:pPr>
        <w:pStyle w:val="Heading3"/>
      </w:pPr>
      <w:bookmarkStart w:id="6721" w:name="_Toc5417"/>
      <w:r>
        <w:t>5080- دیوان السید محمد علی بن عباس اللکهنوی‏</w:t>
      </w:r>
      <w:bookmarkEnd w:id="6721"/>
    </w:p>
    <w:p>
      <w:pPr>
        <w:pStyle w:val="BookText"/>
      </w:pPr>
      <w:r>
        <w:rPr>
          <w:rFonts w:ascii="IRNazanin" w:hAnsi="IRNazanin" w:eastAsia="IRNazanin" w:cs="IRNazanin"/>
          <w:lang w:bidi="fa-IR"/>
          <w:color w:val="111111"/>
          <w:sz w:val="28"/>
          <w:szCs w:val="28"/>
          <w:rtl/>
        </w:rPr>
        <w:t xml:space="preserve">التستری اللکهنوی المولود 1298 عربی کبیر طبع بعضه و هو تخمیس القصیدة العلویة لوالده المفتی الذی توفی 1306 و نشر بعض قصائده فی مجلة الرضوان و مر والده عزیز و یأتی أخوه وزیر لکهنوی‏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bookmarkStart w:id="736" w:name="pg11704_122220"/>
    <w:bookmarkEnd w:id="736"/>
    <w:p>
      <w:pPr>
        <w:pStyle w:val="Heading3"/>
      </w:pPr>
      <w:bookmarkStart w:id="6722" w:name="_Toc5418"/>
      <w:r>
        <w:t>دیوان علی بن عباس النوبختی‏</w:t>
      </w:r>
      <w:bookmarkEnd w:id="6722"/>
    </w:p>
    <w:p>
      <w:pPr>
        <w:pStyle w:val="BookText"/>
      </w:pPr>
      <w:r>
        <w:rPr>
          <w:rFonts w:ascii="IRNazanin" w:hAnsi="IRNazanin" w:eastAsia="IRNazanin" w:cs="IRNazanin"/>
          <w:lang w:bidi="fa-IR"/>
          <w:color w:val="111111"/>
          <w:sz w:val="28"/>
          <w:szCs w:val="28"/>
          <w:rtl/>
        </w:rPr>
        <w:t xml:space="preserve">مر فی ص 32 بعنوان ابن نوبخت‏</w:t>
      </w:r>
    </w:p>
    <w:p>
      <w:pPr>
        <w:pStyle w:val="Heading3"/>
      </w:pPr>
      <w:bookmarkStart w:id="6723" w:name="_Toc5419"/>
      <w:r>
        <w:t>دیوان علی بن عبد الرحمن‏</w:t>
      </w:r>
      <w:bookmarkEnd w:id="6723"/>
    </w:p>
    <w:p>
      <w:pPr>
        <w:pStyle w:val="BookText"/>
      </w:pPr>
      <w:r>
        <w:rPr>
          <w:rFonts w:ascii="IRNazanin" w:hAnsi="IRNazanin" w:eastAsia="IRNazanin" w:cs="IRNazanin"/>
          <w:lang w:bidi="fa-IR"/>
          <w:color w:val="111111"/>
          <w:sz w:val="28"/>
          <w:szCs w:val="28"/>
          <w:rtl/>
        </w:rPr>
        <w:t xml:space="preserve">و هو أبو الحسن علی بن أبی سعید عبد الرحمن بن أحمد بن یونس بن عبد الأعلی الصدفی المصری المنجم المشهور صاحب الزیج الحاکمی المعروف بزیج ابن یونس فی أربع مجلدات، قد کتبه بأمر العزیز بالله بن المعز الفاطمی و والده صاحب تاریخ مصر المعروف بتاریخ ابن یونس و قد ترجمهما ابن خلکان، و أما ابنه أبو الحسن علی ترجمه فی نسمة السحر فیمن تشیع و شعر و أورد شعره و صرح ابن خلکان بأن له شعر کثیر و توفی بکرة الاثنین لثلاث خلون من شوال 399</w:t>
      </w:r>
    </w:p>
    <w:p>
      <w:pPr>
        <w:pStyle w:val="Heading3"/>
      </w:pPr>
      <w:bookmarkStart w:id="6724" w:name="_Toc5420"/>
      <w:r>
        <w:t>5081- دیوان علی بن عبد الله الحمدانی أو شعره‏</w:t>
      </w:r>
      <w:bookmarkEnd w:id="6724"/>
    </w:p>
    <w:p>
      <w:pPr>
        <w:pStyle w:val="BookText"/>
      </w:pPr>
      <w:r>
        <w:rPr>
          <w:rFonts w:ascii="IRNazanin" w:hAnsi="IRNazanin" w:eastAsia="IRNazanin" w:cs="IRNazanin"/>
          <w:lang w:bidi="fa-IR"/>
          <w:color w:val="111111"/>
          <w:sz w:val="28"/>
          <w:szCs w:val="28"/>
          <w:rtl/>
        </w:rPr>
        <w:t xml:space="preserve">و هو سیف الدولة أبو الحسن علی بن عبد الله بن أحمد بن حمدان بن حارث بن نعمان بن راشد بن المثنی بن رافع بن الحارث بن عطیف بن محرثة بن حارثة بن مالک بن عبید بن عدی بن أسامة بن مالک بن بکر بن حبیب بن عمر بن غنم بن تغلب التغلبی ملک حلب و الثغور و دمشق و حمص المولود 303 و المتوفی 347 ترجمه مع نسبه کذلک فی نسمة السحر فیمن تشیع و شعر و قال إنه اختار کل من أبی محمد عبد الله بن محمد بن فیاض و أبی الحسن علی بن المحمد السمسمانی عشرة آلاف من مدائح الشعراء له‏</w:t>
      </w:r>
    </w:p>
    <w:p>
      <w:pPr>
        <w:pStyle w:val="Heading3"/>
      </w:pPr>
      <w:bookmarkStart w:id="6725" w:name="_Toc5421"/>
      <w:r>
        <w:t>5082- دیوان علی بن عبد الله الطیار</w:t>
      </w:r>
      <w:bookmarkEnd w:id="6725"/>
    </w:p>
    <w:p>
      <w:pPr>
        <w:pStyle w:val="BookText"/>
      </w:pPr>
      <w:r>
        <w:rPr>
          <w:rFonts w:ascii="IRNazanin" w:hAnsi="IRNazanin" w:eastAsia="IRNazanin" w:cs="IRNazanin"/>
          <w:lang w:bidi="fa-IR"/>
          <w:color w:val="111111"/>
          <w:sz w:val="28"/>
          <w:szCs w:val="28"/>
          <w:rtl/>
        </w:rPr>
        <w:t xml:space="preserve">و هو أبو الحسن علی بن عبد الله بن جعفر بن إبراهیم بن محمد بن علی بن عبد الله بن جعفر الطیار الجعفری الحجازی ترجمه کذلک فی نسمة السحر و حکی عن مقاتل الطالبیین لأبی الفرج أنه حبسه المتوکل مع الطالبیین، و أورد جملة من أشعاره‏</w:t>
      </w:r>
    </w:p>
    <w:p>
      <w:pPr>
        <w:pStyle w:val="Heading3"/>
      </w:pPr>
      <w:bookmarkStart w:id="6726" w:name="_Toc5422"/>
      <w:r>
        <w:t>5083- دیوان علی بن عبد الله الکندی‏</w:t>
      </w:r>
      <w:bookmarkEnd w:id="6726"/>
    </w:p>
    <w:p>
      <w:pPr>
        <w:pStyle w:val="BookText"/>
      </w:pPr>
      <w:r>
        <w:rPr>
          <w:rFonts w:ascii="IRNazanin" w:hAnsi="IRNazanin" w:eastAsia="IRNazanin" w:cs="IRNazanin"/>
          <w:lang w:bidi="fa-IR"/>
          <w:color w:val="111111"/>
          <w:sz w:val="28"/>
          <w:szCs w:val="28"/>
          <w:rtl/>
        </w:rPr>
        <w:t xml:space="preserve">و هو علاء الدین أبو المظفر علی بن عبد الله الکندی الدمشقی المشهور بالوداعی الشاعر المشهور (640- 716) ترجمه فی نسمة السحر فیمن تشیع و شعر و حکی ترجمته عن تذکره الحفاظ للذهبی‏</w:t>
      </w:r>
    </w:p>
    <w:p>
      <w:pPr>
        <w:pStyle w:val="Heading3"/>
      </w:pPr>
      <w:bookmarkStart w:id="6727" w:name="_Toc5423"/>
      <w:r>
        <w:t>5084- دیوان علی بن عبد الله القزوینی‏</w:t>
      </w:r>
      <w:bookmarkEnd w:id="6727"/>
    </w:p>
    <w:p>
      <w:pPr>
        <w:pStyle w:val="BookText"/>
      </w:pPr>
      <w:r>
        <w:rPr>
          <w:rFonts w:ascii="IRNazanin" w:hAnsi="IRNazanin" w:eastAsia="IRNazanin" w:cs="IRNazanin"/>
          <w:lang w:bidi="fa-IR"/>
          <w:color w:val="111111"/>
          <w:sz w:val="28"/>
          <w:szCs w:val="28"/>
          <w:rtl/>
        </w:rPr>
        <w:t xml:space="preserve">و هو السید تاج الدین أبو تراب علی بن عبد الله بن علی بن عبد الله بن أحمد القزوینی، ترجمه الشیخ منتجب الدین فی الفهرست و قال إن شعره عشرة آلاف بیت فی مدیح آل الرسول ص و فنون شتی‏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bookmarkStart w:id="737" w:name="pg11704_122221"/>
    <w:bookmarkEnd w:id="737"/>
    <w:p>
      <w:pPr>
        <w:pStyle w:val="Heading3"/>
      </w:pPr>
      <w:bookmarkStart w:id="6728" w:name="_Toc5424"/>
      <w:r>
        <w:t>5085- دیوان علی بن عبد الله الناشی‏</w:t>
      </w:r>
      <w:bookmarkEnd w:id="6728"/>
    </w:p>
    <w:p>
      <w:pPr>
        <w:pStyle w:val="BookText"/>
      </w:pPr>
      <w:r>
        <w:rPr>
          <w:rFonts w:ascii="IRNazanin" w:hAnsi="IRNazanin" w:eastAsia="IRNazanin" w:cs="IRNazanin"/>
          <w:lang w:bidi="fa-IR"/>
          <w:color w:val="111111"/>
          <w:sz w:val="28"/>
          <w:szCs w:val="28"/>
          <w:rtl/>
        </w:rPr>
        <w:t xml:space="preserve">و هو أبو الحسین علی بن عبد الله بن وصیف الحلاء الناشی المتکلم الأدیب الشاعر المولود ببغداد 271 و المتوفی بها 366 ترجمه النجاشی و ذکر کتابه فی الإمامة و قال ابن خلکان إن له فی أهل البیت قصائد کثیرة و قال الصفدی فی الوافی بالوفیات إن للناشی شعر مدون و إن أشعاره لا تحصی کثرة فی مدح أهل البیت حتی عرف بهم‏</w:t>
      </w:r>
    </w:p>
    <w:p>
      <w:pPr>
        <w:pStyle w:val="Heading3"/>
      </w:pPr>
      <w:bookmarkStart w:id="6729" w:name="_Toc5425"/>
      <w:r>
        <w:t>5086- دیوان علی بن عثمان الإربلی‏</w:t>
      </w:r>
      <w:bookmarkEnd w:id="6729"/>
    </w:p>
    <w:p>
      <w:pPr>
        <w:pStyle w:val="BookText"/>
      </w:pPr>
      <w:r>
        <w:rPr>
          <w:rFonts w:ascii="IRNazanin" w:hAnsi="IRNazanin" w:eastAsia="IRNazanin" w:cs="IRNazanin"/>
          <w:lang w:bidi="fa-IR"/>
          <w:color w:val="111111"/>
          <w:sz w:val="28"/>
          <w:szCs w:val="28"/>
          <w:rtl/>
        </w:rPr>
        <w:t xml:space="preserve">ابن علی بن سلیمان الصوفی المتوفی 670 مر له البدیعیة فی 3: 77</w:t>
      </w:r>
    </w:p>
    <w:p>
      <w:pPr>
        <w:pStyle w:val="Heading3"/>
      </w:pPr>
      <w:bookmarkStart w:id="6730" w:name="_Toc5426"/>
      <w:r>
        <w:t>5087- دیوان السید علی بن عدنان البحرانی‏</w:t>
      </w:r>
      <w:bookmarkEnd w:id="6730"/>
    </w:p>
    <w:p>
      <w:pPr>
        <w:pStyle w:val="BookText"/>
      </w:pPr>
      <w:r>
        <w:rPr>
          <w:rFonts w:ascii="IRNazanin" w:hAnsi="IRNazanin" w:eastAsia="IRNazanin" w:cs="IRNazanin"/>
          <w:lang w:bidi="fa-IR"/>
          <w:color w:val="111111"/>
          <w:sz w:val="28"/>
          <w:szCs w:val="28"/>
          <w:rtl/>
        </w:rPr>
        <w:t xml:space="preserve">نزیل البصرة أخیرا و المتوفی هو بعد 1355 جمع دیوانه أخوه السید محمد علی بن عدنان بعد وفاه السید علی و فیه قرب ألف بیت، منها قصیدة فی رثاء الشیخ محسن بن الشیخ شریف الجواهری الذی توفی فی التاریخ المذکور و النسخة بخط جامع الدیوان عند الشیخ محمد حسن بن الشیخ محسن المذکور و مر دیوان والده السید عدنان الذی توفی 1340 فی ص 708- 709</w:t>
      </w:r>
    </w:p>
    <w:p>
      <w:pPr>
        <w:pStyle w:val="Heading3"/>
      </w:pPr>
      <w:bookmarkStart w:id="6731" w:name="_Toc5427"/>
      <w:r>
        <w:t>5088- دیوان الشیخ علی بن علی رضا الخوئی‏</w:t>
      </w:r>
      <w:bookmarkEnd w:id="6731"/>
    </w:p>
    <w:p>
      <w:pPr>
        <w:pStyle w:val="BookText"/>
      </w:pPr>
      <w:r>
        <w:rPr>
          <w:rFonts w:ascii="IRNazanin" w:hAnsi="IRNazanin" w:eastAsia="IRNazanin" w:cs="IRNazanin"/>
          <w:lang w:bidi="fa-IR"/>
          <w:color w:val="111111"/>
          <w:sz w:val="28"/>
          <w:szCs w:val="28"/>
          <w:rtl/>
        </w:rPr>
        <w:t xml:space="preserve">المولود 1292 و المتوفی 1350 فیه مثنوی فی سوانحه و مراثی سید الشهداء و قصائد أخر عربیة و فارسیة جمعه بنفسه فی 16 شوال 1331 قال الأردوبادی فی الحدیقة المبهجة إنی رأیته بخط الناظم الجامع له.</w:t>
      </w:r>
    </w:p>
    <w:p>
      <w:pPr>
        <w:pStyle w:val="Heading3"/>
      </w:pPr>
      <w:bookmarkStart w:id="6732" w:name="_Toc5428"/>
      <w:r>
        <w:t>دیوان الوزیر أبی الحسن علی بن عیسی بن أبی الفتح الإربلی‏</w:t>
      </w:r>
      <w:bookmarkEnd w:id="6732"/>
    </w:p>
    <w:p>
      <w:pPr>
        <w:pStyle w:val="BookText"/>
      </w:pPr>
      <w:r>
        <w:rPr>
          <w:rFonts w:ascii="IRNazanin" w:hAnsi="IRNazanin" w:eastAsia="IRNazanin" w:cs="IRNazanin"/>
          <w:lang w:bidi="fa-IR"/>
          <w:color w:val="111111"/>
          <w:sz w:val="28"/>
          <w:szCs w:val="28"/>
          <w:rtl/>
        </w:rPr>
        <w:t xml:space="preserve">مؤلف کشف الغمة الذی فرغ منه فی 687 مر فی ص 67.</w:t>
      </w:r>
    </w:p>
    <w:p>
      <w:pPr>
        <w:pStyle w:val="Heading3"/>
      </w:pPr>
      <w:bookmarkStart w:id="6733" w:name="_Toc5429"/>
      <w:r>
        <w:t>5089- دیوان السید علی بن ماجد الجد حفصی‏</w:t>
      </w:r>
      <w:bookmarkEnd w:id="6733"/>
    </w:p>
    <w:p>
      <w:pPr>
        <w:pStyle w:val="BookText"/>
      </w:pPr>
      <w:r>
        <w:rPr>
          <w:rFonts w:ascii="IRNazanin" w:hAnsi="IRNazanin" w:eastAsia="IRNazanin" w:cs="IRNazanin"/>
          <w:lang w:bidi="fa-IR"/>
          <w:color w:val="111111"/>
          <w:sz w:val="28"/>
          <w:szCs w:val="28"/>
          <w:rtl/>
        </w:rPr>
        <w:t xml:space="preserve">المتوفی والده 1208 الموجود مراثیه فی مجموعة دونها الشیخ لطف الله بن علی الجد حفصی فی 1201 عند الشیخ محمد علی یعقوب الخطیب فی النجف.</w:t>
      </w:r>
    </w:p>
    <w:p>
      <w:pPr>
        <w:pStyle w:val="Heading3"/>
      </w:pPr>
      <w:bookmarkStart w:id="6734" w:name="_Toc5430"/>
      <w:r>
        <w:t>دیوان القاضی أبی القاسم علی بن أبی علی المحسن‏</w:t>
      </w:r>
      <w:bookmarkEnd w:id="6734"/>
    </w:p>
    <w:p>
      <w:pPr>
        <w:pStyle w:val="BookText"/>
      </w:pPr>
      <w:r>
        <w:rPr>
          <w:rFonts w:ascii="IRNazanin" w:hAnsi="IRNazanin" w:eastAsia="IRNazanin" w:cs="IRNazanin"/>
          <w:lang w:bidi="fa-IR"/>
          <w:color w:val="111111"/>
          <w:sz w:val="28"/>
          <w:szCs w:val="28"/>
          <w:rtl/>
        </w:rPr>
        <w:t xml:space="preserve">ابن أبی القاسم علی الکبیر بن محمد بن أبی الفهم التنوخی المولود فی النصف من شعبان 365 أو 370 و توفی 447 ترجمه فی معجم الأدباء ج 14 ص 110- 141 و ذکر تمام نسبه إلی قضاعة و صرح بکونه شاعرا ابن خلکان عند ترجمته أیضا فی ذیل ترجمه أبیه المحسن قال‏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bookmarkStart w:id="738" w:name="pg11704_122222"/>
    <w:bookmarkEnd w:id="738"/>
    <w:p>
      <w:pPr>
        <w:pStyle w:val="BookText"/>
      </w:pPr>
      <w:r>
        <w:rPr>
          <w:rFonts w:ascii="IRNazanin" w:hAnsi="IRNazanin" w:eastAsia="IRNazanin" w:cs="IRNazanin"/>
          <w:lang w:bidi="fa-IR"/>
          <w:color w:val="111111"/>
          <w:sz w:val="28"/>
          <w:szCs w:val="28"/>
          <w:rtl/>
        </w:rPr>
        <w:t xml:space="preserve">[أما ولده أبو القاسم علی بن المحسن التنوخی فکان أدیبا فاضلا له شعر لم أقف منه علی شی‏ء- إلی قوله- و کان یروی الشعر الکثیر، و هم أهل بیت کلهم فضلاء أدباء ظرفاء و لکن ذکر أنه ولد 365 بغیر تردید و فی معجم الأدباء ذکر أنه رزق فی قرب موته ولدا سماه أبا الحسن محمد بن علی فربی یتیما و صار قاضیا، إلی أن توفی 494 و انقرض بیته. و مر فی 178 بعنوان التنوخی الحفید.</w:t>
      </w:r>
    </w:p>
    <w:p>
      <w:pPr>
        <w:pStyle w:val="Heading3"/>
      </w:pPr>
      <w:bookmarkStart w:id="6735" w:name="_Toc5431"/>
      <w:r>
        <w:t>دیوان القاضی أبی القاسم علی بن محمد بن أبی الفهم‏</w:t>
      </w:r>
      <w:bookmarkEnd w:id="6735"/>
    </w:p>
    <w:p>
      <w:pPr>
        <w:pStyle w:val="BookText"/>
      </w:pPr>
      <w:r>
        <w:rPr>
          <w:rFonts w:ascii="IRNazanin" w:hAnsi="IRNazanin" w:eastAsia="IRNazanin" w:cs="IRNazanin"/>
          <w:lang w:bidi="fa-IR"/>
          <w:color w:val="111111"/>
          <w:sz w:val="28"/>
          <w:szCs w:val="28"/>
          <w:rtl/>
        </w:rPr>
        <w:t xml:space="preserve">داود بن إبراهیم التنوخی جد أبی القاسم المذکور قبل، ترجمه فی معجم الأدباء ج 14 ص 162- 191 و ذکر أنه ولد بأنطاکیه 278 و ذکر فی ترجمه ولده أبی علی محسن بن علی بن محمد أن دیوانه أکبر من دیوان أبیه، و حکی عن القاضی أحمد بن سعد الدین بن الحسین المسوری الیمانی الشهاری المتوفی 1079 أن التشیع کان دینه و دین أبیه و جده و الظاهر أن مراد المسوری هو أبو القاسم علی الحفید و أباه المحسن بن علی و جده علی بن محمد هذا الذی توفی بالبصرة 342. و قد مر فی ص 178 بعنوان التنوخی الکبیر.</w:t>
      </w:r>
    </w:p>
    <w:p>
      <w:pPr>
        <w:pStyle w:val="Heading3"/>
      </w:pPr>
      <w:bookmarkStart w:id="6736" w:name="_Toc5432"/>
      <w:r>
        <w:t>دیوان علی بن محمد بن نصر بن منصور</w:t>
      </w:r>
      <w:bookmarkEnd w:id="6736"/>
    </w:p>
    <w:p>
      <w:pPr>
        <w:pStyle w:val="BookText"/>
      </w:pPr>
      <w:r>
        <w:rPr>
          <w:rFonts w:ascii="IRNazanin" w:hAnsi="IRNazanin" w:eastAsia="IRNazanin" w:cs="IRNazanin"/>
          <w:lang w:bidi="fa-IR"/>
          <w:color w:val="111111"/>
          <w:sz w:val="28"/>
          <w:szCs w:val="28"/>
          <w:rtl/>
        </w:rPr>
        <w:t xml:space="preserve">هو أبو الحسن بن بسام کما مر فی ص 18 و سماه فی (لس- ص 368) علی بن أحمد. قال ابن الندیم فی ص 214 له أخبار عمر بن أبی ربیعة و کتاب الزنجیین و دیوان الرسائل و مناقضات الشعراء و أخبار الأحوص و هو غیر علی بن نصر التمیمی المذکور فی معالم العلماء ص 140.</w:t>
      </w:r>
    </w:p>
    <w:p>
      <w:pPr>
        <w:pStyle w:val="Heading3"/>
      </w:pPr>
      <w:bookmarkStart w:id="6737" w:name="_Toc5433"/>
      <w:r>
        <w:t>5090- دیوان علی بن محمد البرقی أو شعره‏</w:t>
      </w:r>
      <w:bookmarkEnd w:id="6737"/>
    </w:p>
    <w:p>
      <w:pPr>
        <w:pStyle w:val="BookText"/>
      </w:pPr>
      <w:r>
        <w:rPr>
          <w:rFonts w:ascii="IRNazanin" w:hAnsi="IRNazanin" w:eastAsia="IRNazanin" w:cs="IRNazanin"/>
          <w:lang w:bidi="fa-IR"/>
          <w:color w:val="111111"/>
          <w:sz w:val="28"/>
          <w:szCs w:val="28"/>
          <w:rtl/>
        </w:rPr>
        <w:t xml:space="preserve">کما فی معالم العلماء. ص 135 و سماه فی الغدیر أبا محمد عبد الله بن عمار البرقی من شعراء أهل البیت، و هو ناظم القصیدة النونیة التی مطلعها:</w:t>
      </w:r>
    </w:p>
    <w:p>
      <w:pPr>
        <w:pStyle w:val="BookText"/>
      </w:pPr>
      <w:r>
        <w:rPr>
          <w:rFonts w:ascii="IRNazanin" w:hAnsi="IRNazanin" w:eastAsia="IRNazanin" w:cs="IRNazanin"/>
          <w:lang w:bidi="fa-IR"/>
          <w:color w:val="111111"/>
          <w:sz w:val="28"/>
          <w:szCs w:val="28"/>
          <w:rtl/>
        </w:rPr>
        <w:t xml:space="preserve">لیس الوقوف علی الأطلال من شأنی‏</w:t>
      </w:r>
    </w:p>
    <w:p>
      <w:pPr>
        <w:pStyle w:val="BookText"/>
      </w:pPr>
      <w:r>
        <w:rPr>
          <w:rFonts w:ascii="IRNazanin" w:hAnsi="IRNazanin" w:eastAsia="IRNazanin" w:cs="IRNazanin"/>
          <w:lang w:bidi="fa-IR"/>
          <w:color w:val="111111"/>
          <w:sz w:val="28"/>
          <w:szCs w:val="28"/>
          <w:rtl/>
        </w:rPr>
        <w:t xml:space="preserve">و فیها قوله خطابا لخلفاء بنی العباس:</w:t>
      </w:r>
    </w:p>
    <w:p>
      <w:pPr>
        <w:pStyle w:val="BookText"/>
      </w:pPr>
      <w:r>
        <w:rPr>
          <w:rFonts w:ascii="IRNazanin" w:hAnsi="IRNazanin" w:eastAsia="IRNazanin" w:cs="IRNazanin"/>
          <w:lang w:bidi="fa-IR"/>
          <w:color w:val="111111"/>
          <w:sz w:val="28"/>
          <w:szCs w:val="28"/>
          <w:rtl/>
        </w:rPr>
        <w:t xml:space="preserve">فقلدوها لأهل البیت إنهم‏</w:t>
      </w:r>
    </w:p>
    <w:p>
      <w:pPr>
        <w:pStyle w:val="BookText"/>
      </w:pPr>
      <w:r>
        <w:rPr>
          <w:rFonts w:ascii="IRNazanin" w:hAnsi="IRNazanin" w:eastAsia="IRNazanin" w:cs="IRNazanin"/>
          <w:lang w:bidi="fa-IR"/>
          <w:color w:val="111111"/>
          <w:sz w:val="28"/>
          <w:szCs w:val="28"/>
          <w:rtl/>
        </w:rPr>
        <w:t xml:space="preserve">صنو النبی و أنتم غیر صنوان‏</w:t>
      </w:r>
    </w:p>
    <w:p>
      <w:pPr>
        <w:pStyle w:val="BookText"/>
      </w:pPr>
      <w:r>
        <w:rPr>
          <w:rFonts w:ascii="IRNazanin" w:hAnsi="IRNazanin" w:eastAsia="IRNazanin" w:cs="IRNazanin"/>
          <w:lang w:bidi="fa-IR"/>
          <w:color w:val="111111"/>
          <w:sz w:val="28"/>
          <w:szCs w:val="28"/>
          <w:rtl/>
        </w:rPr>
        <w:t xml:space="preserve">قد قرأها الواشون به علی المتوکل العباسی فطار غضبا و أمر بقطع لسان الشاعر و إحراق دیوانه فلم یطل الا أیاما و توفی لذلک فی 245 کذا ذکر فی الغدیر ج 4 ص 124 و لکن فی آخر معالم العلماء لابن شهرآشوب عند ذکره للشعراء المجاهرین‏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bookmarkStart w:id="739" w:name="pg11704_122223"/>
    <w:bookmarkEnd w:id="739"/>
    <w:p>
      <w:pPr>
        <w:pStyle w:val="BookText"/>
      </w:pPr>
      <w:r>
        <w:rPr>
          <w:rFonts w:ascii="IRNazanin" w:hAnsi="IRNazanin" w:eastAsia="IRNazanin" w:cs="IRNazanin"/>
          <w:lang w:bidi="fa-IR"/>
          <w:color w:val="111111"/>
          <w:sz w:val="28"/>
          <w:szCs w:val="28"/>
          <w:rtl/>
        </w:rPr>
        <w:t xml:space="preserve">فی مدح أهل البیت مثل السید الحمیری و العونی و غیرهما قال ما لفظه [علی بن محمد بن عمار البرقی خرقوا دیوانه و قطعوا لسانه‏].</w:t>
      </w:r>
    </w:p>
    <w:p>
      <w:pPr>
        <w:pStyle w:val="Heading3"/>
      </w:pPr>
      <w:bookmarkStart w:id="6738" w:name="_Toc5434"/>
      <w:r>
        <w:t>دیوان علی بن محمد البستی‏</w:t>
      </w:r>
      <w:bookmarkEnd w:id="6738"/>
    </w:p>
    <w:p>
      <w:pPr>
        <w:pStyle w:val="BookText"/>
      </w:pPr>
      <w:r>
        <w:rPr>
          <w:rFonts w:ascii="IRNazanin" w:hAnsi="IRNazanin" w:eastAsia="IRNazanin" w:cs="IRNazanin"/>
          <w:lang w:bidi="fa-IR"/>
          <w:color w:val="111111"/>
          <w:sz w:val="28"/>
          <w:szCs w:val="28"/>
          <w:rtl/>
        </w:rPr>
        <w:t xml:space="preserve">مر بعنوان أبی الفتح فی ص 46.</w:t>
      </w:r>
    </w:p>
    <w:p>
      <w:pPr>
        <w:pStyle w:val="Heading3"/>
      </w:pPr>
      <w:bookmarkStart w:id="6739" w:name="_Toc5435"/>
      <w:r>
        <w:t>5091- دیوان علی بن محمد البیاضی‏</w:t>
      </w:r>
      <w:bookmarkEnd w:id="6739"/>
    </w:p>
    <w:p>
      <w:pPr>
        <w:pStyle w:val="BookText"/>
      </w:pPr>
      <w:r>
        <w:rPr>
          <w:rFonts w:ascii="IRNazanin" w:hAnsi="IRNazanin" w:eastAsia="IRNazanin" w:cs="IRNazanin"/>
          <w:lang w:bidi="fa-IR"/>
          <w:color w:val="111111"/>
          <w:sz w:val="28"/>
          <w:szCs w:val="28"/>
          <w:rtl/>
        </w:rPr>
        <w:t xml:space="preserve">النباطی المتوفی 877 مر له ذخیرة الإیمان فی 10: 14.</w:t>
      </w:r>
    </w:p>
    <w:p>
      <w:pPr>
        <w:pStyle w:val="Heading3"/>
      </w:pPr>
      <w:bookmarkStart w:id="6740" w:name="_Toc5436"/>
      <w:r>
        <w:t>دیوان علی بن محمد التهامی‏</w:t>
      </w:r>
      <w:bookmarkEnd w:id="6740"/>
    </w:p>
    <w:p>
      <w:pPr>
        <w:pStyle w:val="BookText"/>
      </w:pPr>
      <w:r>
        <w:rPr>
          <w:rFonts w:ascii="IRNazanin" w:hAnsi="IRNazanin" w:eastAsia="IRNazanin" w:cs="IRNazanin"/>
          <w:lang w:bidi="fa-IR"/>
          <w:color w:val="111111"/>
          <w:sz w:val="28"/>
          <w:szCs w:val="28"/>
          <w:rtl/>
        </w:rPr>
        <w:t xml:space="preserve">مر بعنوان أبی الحسن التهامی فی ص 39.</w:t>
      </w:r>
    </w:p>
    <w:p>
      <w:pPr>
        <w:pStyle w:val="Heading3"/>
      </w:pPr>
      <w:bookmarkStart w:id="6741" w:name="_Toc5437"/>
      <w:r>
        <w:t>5092- دیوان علی بن محمد الحریری أو شعره‏</w:t>
      </w:r>
      <w:bookmarkEnd w:id="6741"/>
    </w:p>
    <w:p>
      <w:pPr>
        <w:pStyle w:val="BookText"/>
      </w:pPr>
      <w:r>
        <w:rPr>
          <w:rFonts w:ascii="IRNazanin" w:hAnsi="IRNazanin" w:eastAsia="IRNazanin" w:cs="IRNazanin"/>
          <w:lang w:bidi="fa-IR"/>
          <w:color w:val="111111"/>
          <w:sz w:val="28"/>
          <w:szCs w:val="28"/>
          <w:rtl/>
        </w:rPr>
        <w:t xml:space="preserve">الشاعر المذکور فی دمیة القصر للباخرزی. بلغ فی الغلو مبلغا کما فی نسمة السحر عن الباخرزی.</w:t>
      </w:r>
    </w:p>
    <w:p>
      <w:pPr>
        <w:pStyle w:val="Heading3"/>
      </w:pPr>
      <w:bookmarkStart w:id="6742" w:name="_Toc5438"/>
      <w:r>
        <w:t>دیوان علی بن محمد الحمانی‏</w:t>
      </w:r>
      <w:bookmarkEnd w:id="6742"/>
    </w:p>
    <w:p>
      <w:pPr>
        <w:pStyle w:val="BookText"/>
      </w:pPr>
      <w:r>
        <w:rPr>
          <w:rFonts w:ascii="IRNazanin" w:hAnsi="IRNazanin" w:eastAsia="IRNazanin" w:cs="IRNazanin"/>
          <w:lang w:bidi="fa-IR"/>
          <w:color w:val="111111"/>
          <w:sz w:val="28"/>
          <w:szCs w:val="28"/>
          <w:rtl/>
        </w:rPr>
        <w:t xml:space="preserve">مر بعنوان الحمانی فی ص 266 قال فی ذیل کشف الظنون إنه مات 245.</w:t>
      </w:r>
    </w:p>
    <w:p>
      <w:pPr>
        <w:pStyle w:val="Heading3"/>
      </w:pPr>
      <w:bookmarkStart w:id="6743" w:name="_Toc5439"/>
      <w:r>
        <w:t>5093- دیوان علی محمد الصنعانی أو شعره‏</w:t>
      </w:r>
      <w:bookmarkEnd w:id="6743"/>
    </w:p>
    <w:p>
      <w:pPr>
        <w:pStyle w:val="BookText"/>
      </w:pPr>
      <w:r>
        <w:rPr>
          <w:rFonts w:ascii="IRNazanin" w:hAnsi="IRNazanin" w:eastAsia="IRNazanin" w:cs="IRNazanin"/>
          <w:lang w:bidi="fa-IR"/>
          <w:color w:val="111111"/>
          <w:sz w:val="28"/>
          <w:szCs w:val="28"/>
          <w:rtl/>
        </w:rPr>
        <w:t xml:space="preserve">و هو القاضی جمال الدین علی بن محمد بن أحمد العنسی الصنعانی الزیدی المعاصر لصاحب نسمة السحر ترجمه فیه و ذکر شعره.</w:t>
      </w:r>
    </w:p>
    <w:p>
      <w:pPr>
        <w:pStyle w:val="Heading3"/>
      </w:pPr>
      <w:bookmarkStart w:id="6744" w:name="_Toc5440"/>
      <w:r>
        <w:t>دیوان المیرزا محمد علی الأردوبادی‏</w:t>
      </w:r>
      <w:bookmarkEnd w:id="6744"/>
    </w:p>
    <w:p>
      <w:pPr>
        <w:pStyle w:val="BookText"/>
      </w:pPr>
      <w:r>
        <w:rPr>
          <w:rFonts w:ascii="IRNazanin" w:hAnsi="IRNazanin" w:eastAsia="IRNazanin" w:cs="IRNazanin"/>
          <w:lang w:bidi="fa-IR"/>
          <w:color w:val="111111"/>
          <w:sz w:val="28"/>
          <w:szCs w:val="28"/>
          <w:rtl/>
        </w:rPr>
        <w:t xml:space="preserve">راجع المیرزا محمد علی بن أبی القاسم فی ص 739.</w:t>
      </w:r>
    </w:p>
    <w:p>
      <w:pPr>
        <w:pStyle w:val="Heading3"/>
      </w:pPr>
      <w:bookmarkStart w:id="6745" w:name="_Toc5441"/>
      <w:r>
        <w:t>دیوان الأمیر الکبیر علی بن مقرب البحرانی‏</w:t>
      </w:r>
      <w:bookmarkEnd w:id="6745"/>
    </w:p>
    <w:p>
      <w:pPr>
        <w:pStyle w:val="BookText"/>
      </w:pPr>
      <w:r>
        <w:rPr>
          <w:rFonts w:ascii="IRNazanin" w:hAnsi="IRNazanin" w:eastAsia="IRNazanin" w:cs="IRNazanin"/>
          <w:lang w:bidi="fa-IR"/>
          <w:color w:val="111111"/>
          <w:sz w:val="28"/>
          <w:szCs w:val="28"/>
          <w:rtl/>
        </w:rPr>
        <w:t xml:space="preserve">مر فی ص 30 و ص 698 أنه طبع 1310 بعنوان الأمیر جمال الدین أبی عبد الله علی بن مقرب بن منصور بن مقرب العیونی الأحسائی و طبع فی أوله ترجمه أحواله و قصصه فی البحرین إلی وروده للموصل فی 618 ترجمه فی أمل الآمل کذلک و قال عالم جلیل القدر شاعر أدیب له دیوان کبیر، تاریخ بعض قصائده 651 و کذا نقل عنه صاحب الریاض. أقول هذا الدیوان شرحه بعض الأصحاب المقارب لعصر الناظم، نسخه منه بخط محمد بن علی الحساوی تاریخ کتابتها 963 کانت فی مکتبة المدرسة (الفاضلیة) و بعد خرابها انتقلت إلی (الرضویة) أوله [الحمد لله المتفرد باستحقاق وجوب الوجود لذاته ...] و عبر فی الشرح عن الناظم بمحمد بن علی بن مقرب بن منصور الإبراهیمی المتوفی 629 و عدد الشارح فی آخر النسخة أمراء القرامطة من 289 إلی 633 فیظهر انتهاء عصر الشارح إلی هذا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bookmarkStart w:id="740" w:name="pg11704_122224"/>
    <w:bookmarkEnd w:id="740"/>
    <w:p>
      <w:pPr>
        <w:pStyle w:val="BookText"/>
      </w:pPr>
      <w:r>
        <w:rPr>
          <w:rFonts w:ascii="IRNazanin" w:hAnsi="IRNazanin" w:eastAsia="IRNazanin" w:cs="IRNazanin"/>
          <w:lang w:bidi="fa-IR"/>
          <w:color w:val="111111"/>
          <w:sz w:val="28"/>
          <w:szCs w:val="28"/>
          <w:rtl/>
        </w:rPr>
        <w:t xml:space="preserve">التاریخ و کون وفاة الناظم 629 ینافی ما ذکر فی الأمل من تاریخ بعض قصائده 651 و قد جمع الشیخ محمد بن الشیخ طاهر السماوی النجفی المتوفی 1370 من شعر علی بن مقرب فی المراثی من المواضع المتفرقة ما یقرب من أربعمائة بیت، لم توجد فی دیوانه المطبوع. کتبها بخطه فی مجموعة من الدواوین اشتراها بعد موته الشیخ محمد علی الیعقوبی الخطیب فی النجف.</w:t>
      </w:r>
    </w:p>
    <w:p>
      <w:pPr>
        <w:pStyle w:val="Heading3"/>
      </w:pPr>
      <w:bookmarkStart w:id="6746" w:name="_Toc5442"/>
      <w:r>
        <w:t>5094- دیوان علی بن ناصر بن زیدان العاملی المعرکی‏</w:t>
      </w:r>
      <w:bookmarkEnd w:id="6746"/>
    </w:p>
    <w:p>
      <w:pPr>
        <w:pStyle w:val="BookText"/>
      </w:pPr>
      <w:r>
        <w:rPr>
          <w:rFonts w:ascii="IRNazanin" w:hAnsi="IRNazanin" w:eastAsia="IRNazanin" w:cs="IRNazanin"/>
          <w:lang w:bidi="fa-IR"/>
          <w:color w:val="111111"/>
          <w:sz w:val="28"/>
          <w:szCs w:val="28"/>
          <w:rtl/>
        </w:rPr>
        <w:t xml:space="preserve">المتوفی 1289 ذکر فی أعیان الشیعة- ج 1 ص 405 فی طبقات شعرائهم.</w:t>
      </w:r>
    </w:p>
    <w:p>
      <w:pPr>
        <w:pStyle w:val="Heading3"/>
      </w:pPr>
      <w:bookmarkStart w:id="6747" w:name="_Toc5443"/>
      <w:r>
        <w:t>5095- دیوان علی بن نصر التمیمی أو شعره‏</w:t>
      </w:r>
      <w:bookmarkEnd w:id="6747"/>
    </w:p>
    <w:p>
      <w:pPr>
        <w:pStyle w:val="BookText"/>
      </w:pPr>
      <w:r>
        <w:rPr>
          <w:rFonts w:ascii="IRNazanin" w:hAnsi="IRNazanin" w:eastAsia="IRNazanin" w:cs="IRNazanin"/>
          <w:lang w:bidi="fa-IR"/>
          <w:color w:val="111111"/>
          <w:sz w:val="28"/>
          <w:szCs w:val="28"/>
          <w:rtl/>
        </w:rPr>
        <w:t xml:space="preserve">ذکره ابن شهرآشوب فی المعالم ص 140.</w:t>
      </w:r>
    </w:p>
    <w:p>
      <w:pPr>
        <w:pStyle w:val="Heading3"/>
      </w:pPr>
      <w:bookmarkStart w:id="6748" w:name="_Toc5444"/>
      <w:r>
        <w:t>5096- دیوان علی بن النعمان المغربی‏</w:t>
      </w:r>
      <w:bookmarkEnd w:id="6748"/>
    </w:p>
    <w:p>
      <w:pPr>
        <w:pStyle w:val="BookText"/>
      </w:pPr>
      <w:r>
        <w:rPr>
          <w:rFonts w:ascii="IRNazanin" w:hAnsi="IRNazanin" w:eastAsia="IRNazanin" w:cs="IRNazanin"/>
          <w:lang w:bidi="fa-IR"/>
          <w:color w:val="111111"/>
          <w:sz w:val="28"/>
          <w:szCs w:val="28"/>
          <w:rtl/>
        </w:rPr>
        <w:t xml:space="preserve">و هو القاضی أبو الحسن علی بن القاضی أبی حنیفة نعمان بن محمد بن منصور المغربی المصری. کان والده مؤلف دعائم الإسلام قاضی مصر من قبل المعز الفاطمی إلی أن توفی 363 فأقیم مقامه ولده أبو الحسن علی إلی أن توفی 364 فأقیم مقامه أخوه محمد بن النعمان إلی أن توفی هو أیضا 389 ثم قام للقضاء الحسین بن أبی الحسن علی. و بالجملة کان القضاء یدور فی بیت النعمان إلی 401 فأخرجه الحاکم من بیته. و ترجم أبو الحسن علی هذا فی نسمة السحر و أورد شعره.</w:t>
      </w:r>
    </w:p>
    <w:p>
      <w:pPr>
        <w:pStyle w:val="Heading3"/>
      </w:pPr>
      <w:bookmarkStart w:id="6749" w:name="_Toc5445"/>
      <w:r>
        <w:t>5097- دیوان الشیخ محمد علی بن الشیخ یعقوب‏</w:t>
      </w:r>
      <w:bookmarkEnd w:id="6749"/>
    </w:p>
    <w:p>
      <w:pPr>
        <w:pStyle w:val="BookText"/>
      </w:pPr>
      <w:r>
        <w:rPr>
          <w:rFonts w:ascii="IRNazanin" w:hAnsi="IRNazanin" w:eastAsia="IRNazanin" w:cs="IRNazanin"/>
          <w:lang w:bidi="fa-IR"/>
          <w:color w:val="111111"/>
          <w:sz w:val="28"/>
          <w:szCs w:val="28"/>
          <w:rtl/>
        </w:rPr>
        <w:t xml:space="preserve">ابن الحاج جعفر بن الحسین الخطیب الشهیر فی النجف النجفی المولود بها 1313 کبیر مجموع بخطه فیه رثاؤه للشیخ محمد جواد البلاغی. و له البابلیات أو تراجم أدباء الحلة طبع منه جزءان و ستطبع الباقی. و طبع بعض قصائده بعنوان الذخائر فی 1369 بتصحیح ولده الشیخ موسی.</w:t>
      </w:r>
    </w:p>
    <w:p>
      <w:pPr>
        <w:pStyle w:val="Heading3"/>
      </w:pPr>
      <w:bookmarkStart w:id="6750" w:name="_Toc5446"/>
      <w:r>
        <w:t>دیوان علی بن یوسف‏</w:t>
      </w:r>
      <w:bookmarkEnd w:id="6750"/>
    </w:p>
    <w:p>
      <w:pPr>
        <w:pStyle w:val="BookText"/>
      </w:pPr>
      <w:r>
        <w:rPr>
          <w:rFonts w:ascii="IRNazanin" w:hAnsi="IRNazanin" w:eastAsia="IRNazanin" w:cs="IRNazanin"/>
          <w:lang w:bidi="fa-IR"/>
          <w:color w:val="111111"/>
          <w:sz w:val="28"/>
          <w:szCs w:val="28"/>
          <w:rtl/>
        </w:rPr>
        <w:t xml:space="preserve">مر بعنوان علی بن صلاح الدین یوسف فی ص 743.</w:t>
      </w:r>
    </w:p>
    <w:p>
      <w:pPr>
        <w:pStyle w:val="Heading3"/>
      </w:pPr>
      <w:bookmarkStart w:id="6751" w:name="_Toc5447"/>
      <w:r>
        <w:t>دیوان الشیخ علی الأبیوردی‏</w:t>
      </w:r>
      <w:bookmarkEnd w:id="6751"/>
    </w:p>
    <w:p>
      <w:pPr>
        <w:pStyle w:val="BookText"/>
      </w:pPr>
      <w:r>
        <w:rPr>
          <w:rFonts w:ascii="IRNazanin" w:hAnsi="IRNazanin" w:eastAsia="IRNazanin" w:cs="IRNazanin"/>
          <w:lang w:bidi="fa-IR"/>
          <w:color w:val="111111"/>
          <w:sz w:val="28"/>
          <w:szCs w:val="28"/>
          <w:rtl/>
        </w:rPr>
        <w:t xml:space="preserve">نزیل شیراز. تتبع قصیدة الخاقانی فی وصف ایوان کسری و فی وصف تخت جمشید الموجود تلاله فی شیراز. و طبعت القصیدة المتجاوزة عن ثلاثین بیتا فی کتاب تذکره المؤمنین المطبوع 1372. ولد الناظم‏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bookmarkStart w:id="741" w:name="pg11704_122225"/>
    <w:bookmarkEnd w:id="741"/>
    <w:p>
      <w:pPr>
        <w:pStyle w:val="BookText"/>
      </w:pPr>
      <w:r>
        <w:rPr>
          <w:rFonts w:ascii="IRNazanin" w:hAnsi="IRNazanin" w:eastAsia="IRNazanin" w:cs="IRNazanin"/>
          <w:lang w:bidi="fa-IR"/>
          <w:color w:val="111111"/>
          <w:sz w:val="28"/>
          <w:szCs w:val="28"/>
          <w:rtl/>
        </w:rPr>
        <w:t xml:space="preserve">بقریة لاله‏گون فی 1282 و سافر إلی سامراء و تلمذ علی تلامیذ المیرزا حسن الشیرازی و توفی فی رجب 1357 بشیراز، و طبع له کنز النصائح أو گنج سعادت نظما فی 110 ص. بشیراز فی 1325 ش.</w:t>
      </w:r>
    </w:p>
    <w:p>
      <w:pPr>
        <w:pStyle w:val="Heading3"/>
      </w:pPr>
      <w:bookmarkStart w:id="6752" w:name="_Toc5448"/>
      <w:r>
        <w:t>5098- دیوان محمد علی أدیب طهرانی أو شعره‏</w:t>
      </w:r>
      <w:bookmarkEnd w:id="6752"/>
    </w:p>
    <w:p>
      <w:pPr>
        <w:pStyle w:val="BookText"/>
      </w:pPr>
      <w:r>
        <w:rPr>
          <w:rFonts w:ascii="IRNazanin" w:hAnsi="IRNazanin" w:eastAsia="IRNazanin" w:cs="IRNazanin"/>
          <w:lang w:bidi="fa-IR"/>
          <w:color w:val="111111"/>
          <w:sz w:val="28"/>
          <w:szCs w:val="28"/>
          <w:rtl/>
        </w:rPr>
        <w:t xml:space="preserve">ترجمه و أورد شعره فی المدائح المعتمدیة.</w:t>
      </w:r>
    </w:p>
    <w:p>
      <w:pPr>
        <w:pStyle w:val="Heading3"/>
      </w:pPr>
      <w:bookmarkStart w:id="6753" w:name="_Toc5449"/>
      <w:r>
        <w:t>5099- دیوان علی أسترآبادی أو شعره‏</w:t>
      </w:r>
      <w:bookmarkEnd w:id="6753"/>
    </w:p>
    <w:p>
      <w:pPr>
        <w:pStyle w:val="BookText"/>
      </w:pPr>
      <w:r>
        <w:rPr>
          <w:rFonts w:ascii="IRNazanin" w:hAnsi="IRNazanin" w:eastAsia="IRNazanin" w:cs="IRNazanin"/>
          <w:lang w:bidi="fa-IR"/>
          <w:color w:val="111111"/>
          <w:sz w:val="28"/>
          <w:szCs w:val="28"/>
          <w:rtl/>
        </w:rPr>
        <w:t xml:space="preserve">و هو الطالب للعلم و الناظم للشعر ترجمه معاصره سام میرزا (تس 5 ص 176) و أورد شعره‏</w:t>
      </w:r>
    </w:p>
    <w:p>
      <w:pPr>
        <w:pStyle w:val="Heading3"/>
      </w:pPr>
      <w:bookmarkStart w:id="6754" w:name="_Toc5450"/>
      <w:r>
        <w:t>دیوان علی أسترآبادی‏</w:t>
      </w:r>
      <w:bookmarkEnd w:id="6754"/>
    </w:p>
    <w:p>
      <w:pPr>
        <w:pStyle w:val="BookText"/>
      </w:pPr>
      <w:r>
        <w:rPr>
          <w:rFonts w:ascii="IRNazanin" w:hAnsi="IRNazanin" w:eastAsia="IRNazanin" w:cs="IRNazanin"/>
          <w:lang w:bidi="fa-IR"/>
          <w:color w:val="111111"/>
          <w:sz w:val="28"/>
          <w:szCs w:val="28"/>
          <w:rtl/>
        </w:rPr>
        <w:t xml:space="preserve">راجع علی در دزد</w:t>
      </w:r>
    </w:p>
    <w:p>
      <w:pPr>
        <w:pStyle w:val="Heading3"/>
      </w:pPr>
      <w:bookmarkStart w:id="6755" w:name="_Toc5451"/>
      <w:r>
        <w:t>5100- دیوان علی أصغر أشجاری‏</w:t>
      </w:r>
      <w:bookmarkEnd w:id="6755"/>
    </w:p>
    <w:p>
      <w:pPr>
        <w:pStyle w:val="BookText"/>
      </w:pPr>
      <w:r>
        <w:rPr>
          <w:rFonts w:ascii="IRNazanin" w:hAnsi="IRNazanin" w:eastAsia="IRNazanin" w:cs="IRNazanin"/>
          <w:lang w:bidi="fa-IR"/>
          <w:color w:val="111111"/>
          <w:sz w:val="28"/>
          <w:szCs w:val="28"/>
          <w:rtl/>
        </w:rPr>
        <w:t xml:space="preserve">له مجموعة أشعار تحت عنوان گمشده طبعت بطهران 1376</w:t>
      </w:r>
    </w:p>
    <w:p>
      <w:pPr>
        <w:pStyle w:val="Heading3"/>
      </w:pPr>
      <w:bookmarkStart w:id="6756" w:name="_Toc5452"/>
      <w:r>
        <w:t>5101- دیوان علی أصغر حکمت شیرازی‏</w:t>
      </w:r>
      <w:bookmarkEnd w:id="6756"/>
    </w:p>
    <w:p>
      <w:pPr>
        <w:pStyle w:val="BookText"/>
      </w:pPr>
      <w:r>
        <w:rPr>
          <w:rFonts w:ascii="IRNazanin" w:hAnsi="IRNazanin" w:eastAsia="IRNazanin" w:cs="IRNazanin"/>
          <w:lang w:bidi="fa-IR"/>
          <w:color w:val="111111"/>
          <w:sz w:val="28"/>
          <w:szCs w:val="28"/>
          <w:rtl/>
        </w:rPr>
        <w:t xml:space="preserve">وزیر معارف إیران سابقا و الناشر لتفسیر کشف الأسرار و المترجم للجزء الثالث من تاریخ أدبیات ایران للمستر براون و مؤلف رومئو ژولیت مقایسه با لیلی و مجنون و جامی و غیرهما طبع من منظوماته شاد باش فی 7 ص فی 1326 ش و فرعون یکتاپرست فی 10 ص فی 1338 ش و تفسیر سورة روم فی 1338 ش فی 12 ص‏</w:t>
      </w:r>
    </w:p>
    <w:p>
      <w:pPr>
        <w:pStyle w:val="Heading3"/>
      </w:pPr>
      <w:bookmarkStart w:id="6757" w:name="_Toc5453"/>
      <w:r>
        <w:t>دیوان علی أصغر شمشیرگر</w:t>
      </w:r>
      <w:bookmarkEnd w:id="6757"/>
    </w:p>
    <w:p>
      <w:pPr>
        <w:pStyle w:val="BookText"/>
      </w:pPr>
      <w:r>
        <w:rPr>
          <w:rFonts w:ascii="IRNazanin" w:hAnsi="IRNazanin" w:eastAsia="IRNazanin" w:cs="IRNazanin"/>
          <w:lang w:bidi="fa-IR"/>
          <w:color w:val="111111"/>
          <w:sz w:val="28"/>
          <w:szCs w:val="28"/>
          <w:rtl/>
        </w:rPr>
        <w:t xml:space="preserve">الحاج علی أصغر الشیرازی طبع مثنویة فی ثلاث دفاتر فی 29- 1333 ش فی 176، 191، 176 ص بطهران و مر بعنوان دیوان سیاف فی ص 481</w:t>
      </w:r>
    </w:p>
    <w:p>
      <w:pPr>
        <w:pStyle w:val="Heading3"/>
      </w:pPr>
      <w:bookmarkStart w:id="6758" w:name="_Toc5454"/>
      <w:r>
        <w:t>5102- دیوان علی أصغر شیرازی أو شعره‏</w:t>
      </w:r>
      <w:bookmarkEnd w:id="6758"/>
    </w:p>
    <w:p>
      <w:pPr>
        <w:pStyle w:val="BookText"/>
      </w:pPr>
      <w:r>
        <w:rPr>
          <w:rFonts w:ascii="IRNazanin" w:hAnsi="IRNazanin" w:eastAsia="IRNazanin" w:cs="IRNazanin"/>
          <w:lang w:bidi="fa-IR"/>
          <w:color w:val="111111"/>
          <w:sz w:val="28"/>
          <w:szCs w:val="28"/>
          <w:rtl/>
        </w:rPr>
        <w:t xml:space="preserve">و هو المیر علی أصغر الحکیم الریاضی ترجمه و أورد شعره فی (هفت 299)</w:t>
      </w:r>
    </w:p>
    <w:p>
      <w:pPr>
        <w:pStyle w:val="Heading3"/>
      </w:pPr>
      <w:bookmarkStart w:id="6759" w:name="_Toc5455"/>
      <w:r>
        <w:t>5103- دیوان علی أصغر شیرازی أو شعره‏</w:t>
      </w:r>
      <w:bookmarkEnd w:id="6759"/>
    </w:p>
    <w:p>
      <w:pPr>
        <w:pStyle w:val="BookText"/>
      </w:pPr>
      <w:r>
        <w:rPr>
          <w:rFonts w:ascii="IRNazanin" w:hAnsi="IRNazanin" w:eastAsia="IRNazanin" w:cs="IRNazanin"/>
          <w:lang w:bidi="fa-IR"/>
          <w:color w:val="111111"/>
          <w:sz w:val="28"/>
          <w:szCs w:val="28"/>
          <w:rtl/>
        </w:rPr>
        <w:t xml:space="preserve">أصله من قهپایه و سکن شیراز، و فی عهد وزارة محمد قلی تصدی لعمل نواحی شیراز و عزله صدرجهان ترجمه و أورد غزله و ذمه لمیرزا إبراهیم ابن المولی صدرا الشیرازی فی (نر 9 و 15 ص 386 و 544)</w:t>
      </w:r>
    </w:p>
    <w:p>
      <w:pPr>
        <w:pStyle w:val="Heading3"/>
      </w:pPr>
      <w:bookmarkStart w:id="6760" w:name="_Toc5456"/>
      <w:r>
        <w:t>دیوان علی أصغر قهپایه‏</w:t>
      </w:r>
      <w:bookmarkEnd w:id="6760"/>
    </w:p>
    <w:p>
      <w:pPr>
        <w:pStyle w:val="BookText"/>
      </w:pPr>
      <w:r>
        <w:rPr>
          <w:rFonts w:ascii="IRNazanin" w:hAnsi="IRNazanin" w:eastAsia="IRNazanin" w:cs="IRNazanin"/>
          <w:lang w:bidi="fa-IR"/>
          <w:color w:val="111111"/>
          <w:sz w:val="28"/>
          <w:szCs w:val="28"/>
          <w:rtl/>
        </w:rPr>
        <w:t xml:space="preserve">راجع علی أصغر شیرازی‏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bookmarkStart w:id="742" w:name="pg11704_122226"/>
    <w:bookmarkEnd w:id="742"/>
    <w:p>
      <w:pPr>
        <w:pStyle w:val="Heading3"/>
      </w:pPr>
      <w:bookmarkStart w:id="6761" w:name="_Toc5457"/>
      <w:r>
        <w:t>5104- دیوان علی أصغر نهاوندی‏</w:t>
      </w:r>
      <w:bookmarkEnd w:id="6761"/>
    </w:p>
    <w:p>
      <w:pPr>
        <w:pStyle w:val="BookText"/>
      </w:pPr>
      <w:r>
        <w:rPr>
          <w:rFonts w:ascii="IRNazanin" w:hAnsi="IRNazanin" w:eastAsia="IRNazanin" w:cs="IRNazanin"/>
          <w:lang w:bidi="fa-IR"/>
          <w:color w:val="111111"/>
          <w:sz w:val="28"/>
          <w:szCs w:val="28"/>
          <w:rtl/>
        </w:rPr>
        <w:t xml:space="preserve">و تخلصه أصغر کان من شعراء القرن الثالث عشر و بعض شعره مؤرخ 1287 توجد دیوانه فی (المجلس) کما فی فهرسها 3: 358 و فیها أشعار باللهجة النهاوندیة</w:t>
      </w:r>
    </w:p>
    <w:p>
      <w:pPr>
        <w:pStyle w:val="Heading3"/>
      </w:pPr>
      <w:bookmarkStart w:id="6762" w:name="_Toc5458"/>
      <w:r>
        <w:t>دیوان علی أصفهانی‏</w:t>
      </w:r>
      <w:bookmarkEnd w:id="6762"/>
    </w:p>
    <w:p>
      <w:pPr>
        <w:pStyle w:val="BookText"/>
      </w:pPr>
      <w:r>
        <w:rPr>
          <w:rFonts w:ascii="IRNazanin" w:hAnsi="IRNazanin" w:eastAsia="IRNazanin" w:cs="IRNazanin"/>
          <w:lang w:bidi="fa-IR"/>
          <w:color w:val="111111"/>
          <w:sz w:val="28"/>
          <w:szCs w:val="28"/>
          <w:rtl/>
        </w:rPr>
        <w:t xml:space="preserve">راجع علی آجر تراش، و علی نقاش، و علی مهابادی، و علی نجف‏آبادی، و دیوان دیوانه أصفهانی، و مشتاق‏</w:t>
      </w:r>
    </w:p>
    <w:p>
      <w:pPr>
        <w:pStyle w:val="Heading3"/>
      </w:pPr>
      <w:bookmarkStart w:id="6763" w:name="_Toc5459"/>
      <w:r>
        <w:t>5105- دیوان علی أصفهانی‏</w:t>
      </w:r>
      <w:bookmarkEnd w:id="6763"/>
    </w:p>
    <w:p>
      <w:pPr>
        <w:pStyle w:val="BookText"/>
      </w:pPr>
      <w:r>
        <w:rPr>
          <w:rFonts w:ascii="IRNazanin" w:hAnsi="IRNazanin" w:eastAsia="IRNazanin" w:cs="IRNazanin"/>
          <w:lang w:bidi="fa-IR"/>
          <w:color w:val="111111"/>
          <w:sz w:val="28"/>
          <w:szCs w:val="28"/>
          <w:rtl/>
        </w:rPr>
        <w:t xml:space="preserve">یوجد بمکتبة السلطان عبد الحمید خان الأول فی إستانبول کما فی فهرسها و لا أظنه أحد المذکورین‏</w:t>
      </w:r>
    </w:p>
    <w:p>
      <w:pPr>
        <w:pStyle w:val="Heading3"/>
      </w:pPr>
      <w:bookmarkStart w:id="6764" w:name="_Toc5460"/>
      <w:r>
        <w:t>دیوان الشیخ علی الأعسم‏</w:t>
      </w:r>
      <w:bookmarkEnd w:id="6764"/>
    </w:p>
    <w:p>
      <w:pPr>
        <w:pStyle w:val="BookText"/>
      </w:pPr>
      <w:r>
        <w:rPr>
          <w:rFonts w:ascii="IRNazanin" w:hAnsi="IRNazanin" w:eastAsia="IRNazanin" w:cs="IRNazanin"/>
          <w:lang w:bidi="fa-IR"/>
          <w:color w:val="111111"/>
          <w:sz w:val="28"/>
          <w:szCs w:val="28"/>
          <w:rtl/>
        </w:rPr>
        <w:t xml:space="preserve">راجع علی بن الحسین الأعسم‏</w:t>
      </w:r>
    </w:p>
    <w:p>
      <w:pPr>
        <w:pStyle w:val="Heading3"/>
      </w:pPr>
      <w:bookmarkStart w:id="6765" w:name="_Toc5461"/>
      <w:r>
        <w:t>دیوان علی أکبر</w:t>
      </w:r>
      <w:bookmarkEnd w:id="6765"/>
    </w:p>
    <w:p>
      <w:pPr>
        <w:pStyle w:val="BookText"/>
      </w:pPr>
      <w:r>
        <w:rPr>
          <w:rFonts w:ascii="IRNazanin" w:hAnsi="IRNazanin" w:eastAsia="IRNazanin" w:cs="IRNazanin"/>
          <w:lang w:bidi="fa-IR"/>
          <w:color w:val="111111"/>
          <w:sz w:val="28"/>
          <w:szCs w:val="28"/>
          <w:rtl/>
        </w:rPr>
        <w:t xml:space="preserve">راجع دیوان أکبر فی ص 88</w:t>
      </w:r>
    </w:p>
    <w:p>
      <w:pPr>
        <w:pStyle w:val="Heading3"/>
      </w:pPr>
      <w:bookmarkStart w:id="6766" w:name="_Toc5462"/>
      <w:r>
        <w:t>دیوان علی أکبر بروجردی‏</w:t>
      </w:r>
      <w:bookmarkEnd w:id="6766"/>
    </w:p>
    <w:p>
      <w:pPr>
        <w:pStyle w:val="BookText"/>
      </w:pPr>
      <w:r>
        <w:rPr>
          <w:rFonts w:ascii="IRNazanin" w:hAnsi="IRNazanin" w:eastAsia="IRNazanin" w:cs="IRNazanin"/>
          <w:lang w:bidi="fa-IR"/>
          <w:color w:val="111111"/>
          <w:sz w:val="28"/>
          <w:szCs w:val="28"/>
          <w:rtl/>
        </w:rPr>
        <w:t xml:space="preserve">مر بعنوان سجادی بروجردی فی ص 431</w:t>
      </w:r>
    </w:p>
    <w:p>
      <w:pPr>
        <w:pStyle w:val="Heading3"/>
      </w:pPr>
      <w:bookmarkStart w:id="6767" w:name="_Toc5463"/>
      <w:r>
        <w:t>5106- دیوان علی أکبر خوش‏دل‏</w:t>
      </w:r>
      <w:bookmarkEnd w:id="6767"/>
    </w:p>
    <w:p>
      <w:pPr>
        <w:pStyle w:val="BookText"/>
      </w:pPr>
      <w:r>
        <w:rPr>
          <w:rFonts w:ascii="IRNazanin" w:hAnsi="IRNazanin" w:eastAsia="IRNazanin" w:cs="IRNazanin"/>
          <w:lang w:bidi="fa-IR"/>
          <w:color w:val="111111"/>
          <w:sz w:val="28"/>
          <w:szCs w:val="28"/>
          <w:rtl/>
        </w:rPr>
        <w:t xml:space="preserve">لخوشدل النعمةاللهی الطهرانی طبع دیوانه بطهران فی 1356 فی 51 ص و فی مشهد 1372 فی 72 ص و طبع له عمدة الأسرار بطهران 1340 فی 40 ص مع تصویر الناظم و لقب نفسه فیه نور علی شاه ثانی‏</w:t>
      </w:r>
    </w:p>
    <w:p>
      <w:pPr>
        <w:pStyle w:val="Heading3"/>
      </w:pPr>
      <w:bookmarkStart w:id="6768" w:name="_Toc5464"/>
      <w:r>
        <w:t>5107- دیوان علی أکبر سعیدی سیرجانی‏</w:t>
      </w:r>
      <w:bookmarkEnd w:id="6768"/>
    </w:p>
    <w:p>
      <w:pPr>
        <w:pStyle w:val="BookText"/>
      </w:pPr>
      <w:r>
        <w:rPr>
          <w:rFonts w:ascii="IRNazanin" w:hAnsi="IRNazanin" w:eastAsia="IRNazanin" w:cs="IRNazanin"/>
          <w:lang w:bidi="fa-IR"/>
          <w:color w:val="111111"/>
          <w:sz w:val="28"/>
          <w:szCs w:val="28"/>
          <w:rtl/>
        </w:rPr>
        <w:t xml:space="preserve">طبع له سوز و ساز فی 1372 بطهران فی 119 ص‏</w:t>
      </w:r>
    </w:p>
    <w:p>
      <w:pPr>
        <w:pStyle w:val="Heading3"/>
      </w:pPr>
      <w:bookmarkStart w:id="6769" w:name="_Toc5465"/>
      <w:r>
        <w:t>دیوان علی أکبر شیرازی‏</w:t>
      </w:r>
      <w:bookmarkEnd w:id="6769"/>
    </w:p>
    <w:p>
      <w:pPr>
        <w:pStyle w:val="BookText"/>
      </w:pPr>
      <w:r>
        <w:rPr>
          <w:rFonts w:ascii="IRNazanin" w:hAnsi="IRNazanin" w:eastAsia="IRNazanin" w:cs="IRNazanin"/>
          <w:lang w:bidi="fa-IR"/>
          <w:color w:val="111111"/>
          <w:sz w:val="28"/>
          <w:szCs w:val="28"/>
          <w:rtl/>
        </w:rPr>
        <w:t xml:space="preserve">راجع دیوان بسمل و ندیم شیرازی‏</w:t>
      </w:r>
    </w:p>
    <w:p>
      <w:pPr>
        <w:pStyle w:val="Heading3"/>
      </w:pPr>
      <w:bookmarkStart w:id="6770" w:name="_Toc5466"/>
      <w:r>
        <w:t>5108- دیوان علی أکبر فردوسی‏</w:t>
      </w:r>
      <w:bookmarkEnd w:id="6770"/>
    </w:p>
    <w:p>
      <w:pPr>
        <w:pStyle w:val="BookText"/>
      </w:pPr>
      <w:r>
        <w:rPr>
          <w:rFonts w:ascii="IRNazanin" w:hAnsi="IRNazanin" w:eastAsia="IRNazanin" w:cs="IRNazanin"/>
          <w:lang w:bidi="fa-IR"/>
          <w:color w:val="111111"/>
          <w:sz w:val="28"/>
          <w:szCs w:val="28"/>
          <w:rtl/>
        </w:rPr>
        <w:t xml:space="preserve">لدبیر نظام علی أکبر فردوسی طبع له عروسی تاج ماه فی 1353 بطهران فی 38 ص‏</w:t>
      </w:r>
    </w:p>
    <w:p>
      <w:pPr>
        <w:pStyle w:val="Heading3"/>
      </w:pPr>
      <w:bookmarkStart w:id="6771" w:name="_Toc5467"/>
      <w:r>
        <w:t>دیوان علی أکبر معمار الأصفهانی‏</w:t>
      </w:r>
      <w:bookmarkEnd w:id="6771"/>
    </w:p>
    <w:p>
      <w:pPr>
        <w:pStyle w:val="BookText"/>
      </w:pPr>
      <w:r>
        <w:rPr>
          <w:rFonts w:ascii="IRNazanin" w:hAnsi="IRNazanin" w:eastAsia="IRNazanin" w:cs="IRNazanin"/>
          <w:lang w:bidi="fa-IR"/>
          <w:color w:val="111111"/>
          <w:sz w:val="28"/>
          <w:szCs w:val="28"/>
          <w:rtl/>
        </w:rPr>
        <w:t xml:space="preserve">معاصر النصرآبادی ترجمه فی (نر 1- ص 138) و أورد رباعیه و مر فی ص 88 بعنوان دیوان أکبر أصفهانی‏</w:t>
      </w:r>
    </w:p>
    <w:p>
      <w:pPr>
        <w:pStyle w:val="Heading3"/>
      </w:pPr>
      <w:bookmarkStart w:id="6772" w:name="_Toc5468"/>
      <w:r>
        <w:t>5109- دیوان علی أکبر مشهدی أو شعره‏</w:t>
      </w:r>
      <w:bookmarkEnd w:id="6772"/>
    </w:p>
    <w:p>
      <w:pPr>
        <w:pStyle w:val="BookText"/>
      </w:pPr>
      <w:r>
        <w:rPr>
          <w:rFonts w:ascii="IRNazanin" w:hAnsi="IRNazanin" w:eastAsia="IRNazanin" w:cs="IRNazanin"/>
          <w:lang w:bidi="fa-IR"/>
          <w:color w:val="111111"/>
          <w:sz w:val="28"/>
          <w:szCs w:val="28"/>
          <w:rtl/>
        </w:rPr>
        <w:t xml:space="preserve">هو ابن المیر هادی المشهدی السخی الشجاع مصاحب صادقی کتاب دار ترجمه فی (خص 4- ص 50) و ذکر أن الأشخاص الذین لهم رواتب منه فی کل سنة یزیدون علی المائة و أورد بعض قصیدته فی ذم أبناء الدنیا</w:t>
      </w:r>
    </w:p>
    <w:p>
      <w:pPr>
        <w:pStyle w:val="Heading3"/>
      </w:pPr>
      <w:bookmarkStart w:id="6773" w:name="_Toc5469"/>
      <w:r>
        <w:t>دیوان علی أکبر وجهی‏</w:t>
      </w:r>
      <w:bookmarkEnd w:id="6773"/>
    </w:p>
    <w:p>
      <w:pPr>
        <w:pStyle w:val="BookText"/>
      </w:pPr>
      <w:r>
        <w:rPr>
          <w:rFonts w:ascii="IRNazanin" w:hAnsi="IRNazanin" w:eastAsia="IRNazanin" w:cs="IRNazanin"/>
          <w:lang w:bidi="fa-IR"/>
          <w:color w:val="111111"/>
          <w:sz w:val="28"/>
          <w:szCs w:val="28"/>
          <w:rtl/>
        </w:rPr>
        <w:t xml:space="preserve">ترجمه معاصره النصرآبادی و أورد بعض شعره یأتی بتخلصه وجهی فی الواو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bookmarkStart w:id="743" w:name="pg11704_122227"/>
    <w:bookmarkEnd w:id="743"/>
    <w:p>
      <w:pPr>
        <w:pStyle w:val="Heading3"/>
      </w:pPr>
      <w:bookmarkStart w:id="6774" w:name="_Toc5470"/>
      <w:r>
        <w:t>5110- دیوان علی أکبر همدانی‏</w:t>
      </w:r>
      <w:bookmarkEnd w:id="6774"/>
    </w:p>
    <w:p>
      <w:pPr>
        <w:pStyle w:val="BookText"/>
      </w:pPr>
      <w:r>
        <w:rPr>
          <w:rFonts w:ascii="IRNazanin" w:hAnsi="IRNazanin" w:eastAsia="IRNazanin" w:cs="IRNazanin"/>
          <w:lang w:bidi="fa-IR"/>
          <w:color w:val="111111"/>
          <w:sz w:val="28"/>
          <w:szCs w:val="28"/>
          <w:rtl/>
        </w:rPr>
        <w:t xml:space="preserve">و هو الحاج المیرزا علی أکبر بن شیر محمد صدر الإسلام دبیر الهمدانی طبع من منظوماته مثنوی صدریة بطهران فی 1340 فی 208 ص‏</w:t>
      </w:r>
    </w:p>
    <w:p>
      <w:pPr>
        <w:pStyle w:val="Heading3"/>
      </w:pPr>
      <w:bookmarkStart w:id="6775" w:name="_Toc5471"/>
      <w:r>
        <w:t>دیوان أبی الحسن علی الباخرزی‏</w:t>
      </w:r>
      <w:bookmarkEnd w:id="6775"/>
    </w:p>
    <w:p>
      <w:pPr>
        <w:pStyle w:val="BookText"/>
      </w:pPr>
      <w:r>
        <w:rPr>
          <w:rFonts w:ascii="IRNazanin" w:hAnsi="IRNazanin" w:eastAsia="IRNazanin" w:cs="IRNazanin"/>
          <w:lang w:bidi="fa-IR"/>
          <w:color w:val="111111"/>
          <w:sz w:val="28"/>
          <w:szCs w:val="28"/>
          <w:rtl/>
        </w:rPr>
        <w:t xml:space="preserve">مؤلف دمیة القصر ترجمه فی (مع ج 1 ص 343) و صرح بدیوانه العربی و الفارسی‏</w:t>
      </w:r>
    </w:p>
    <w:p>
      <w:pPr>
        <w:pStyle w:val="Heading3"/>
      </w:pPr>
      <w:bookmarkStart w:id="6776" w:name="_Toc5472"/>
      <w:r>
        <w:t>5111- دیوان ملا علی بخاری أو شعره‏</w:t>
      </w:r>
      <w:bookmarkEnd w:id="6776"/>
    </w:p>
    <w:p>
      <w:pPr>
        <w:pStyle w:val="BookText"/>
      </w:pPr>
      <w:r>
        <w:rPr>
          <w:rFonts w:ascii="IRNazanin" w:hAnsi="IRNazanin" w:eastAsia="IRNazanin" w:cs="IRNazanin"/>
          <w:lang w:bidi="fa-IR"/>
          <w:color w:val="111111"/>
          <w:sz w:val="28"/>
          <w:szCs w:val="28"/>
          <w:rtl/>
        </w:rPr>
        <w:t xml:space="preserve">ترجمه و أورد شعره فی (مجتس 6 ص 159</w:t>
      </w:r>
    </w:p>
    <w:p>
      <w:pPr>
        <w:pStyle w:val="Heading3"/>
      </w:pPr>
      <w:bookmarkStart w:id="6777" w:name="_Toc5473"/>
      <w:r>
        <w:t>5112- دیوان الخواجة علی بادام‏یاری أو شعره‏</w:t>
      </w:r>
      <w:bookmarkEnd w:id="6777"/>
    </w:p>
    <w:p>
      <w:pPr>
        <w:pStyle w:val="BookText"/>
      </w:pPr>
      <w:r>
        <w:rPr>
          <w:rFonts w:ascii="IRNazanin" w:hAnsi="IRNazanin" w:eastAsia="IRNazanin" w:cs="IRNazanin"/>
          <w:lang w:bidi="fa-IR"/>
          <w:color w:val="111111"/>
          <w:sz w:val="28"/>
          <w:szCs w:val="28"/>
          <w:rtl/>
        </w:rPr>
        <w:t xml:space="preserve">قریة من نواحی دهخوارقان ترجمه فی (دجا- ص 100) و ذکر بعض شعره و ذکر أنه توفی فی عصر غازان فی 699 ستمائة و تسع و تسعین‏</w:t>
      </w:r>
    </w:p>
    <w:p>
      <w:pPr>
        <w:pStyle w:val="Heading3"/>
      </w:pPr>
      <w:bookmarkStart w:id="6778" w:name="_Toc5474"/>
      <w:r>
        <w:t>5113- دیوان میر سید علی برقعی‏</w:t>
      </w:r>
      <w:bookmarkEnd w:id="6778"/>
    </w:p>
    <w:p>
      <w:pPr>
        <w:pStyle w:val="BookText"/>
      </w:pPr>
      <w:r>
        <w:rPr>
          <w:rFonts w:ascii="IRNazanin" w:hAnsi="IRNazanin" w:eastAsia="IRNazanin" w:cs="IRNazanin"/>
          <w:lang w:bidi="fa-IR"/>
          <w:color w:val="111111"/>
          <w:sz w:val="28"/>
          <w:szCs w:val="28"/>
          <w:rtl/>
        </w:rPr>
        <w:t xml:space="preserve">و هو السید علی بن عبد الله الرضوی البرقعی القمی طبع له بطهران إلهی‏نامه فی 1366 فی 15 ص و مثالی‏نامه أیضا بها فی 1363 فی 24 ص‏</w:t>
      </w:r>
    </w:p>
    <w:p>
      <w:pPr>
        <w:pStyle w:val="Heading3"/>
      </w:pPr>
      <w:bookmarkStart w:id="6779" w:name="_Toc5475"/>
      <w:r>
        <w:t>دیوان علی بیگ‏</w:t>
      </w:r>
      <w:bookmarkEnd w:id="6779"/>
    </w:p>
    <w:p>
      <w:pPr>
        <w:pStyle w:val="BookText"/>
      </w:pPr>
      <w:r>
        <w:rPr>
          <w:rFonts w:ascii="IRNazanin" w:hAnsi="IRNazanin" w:eastAsia="IRNazanin" w:cs="IRNazanin"/>
          <w:lang w:bidi="fa-IR"/>
          <w:color w:val="111111"/>
          <w:sz w:val="28"/>
          <w:szCs w:val="28"/>
          <w:rtl/>
        </w:rPr>
        <w:t xml:space="preserve">مر بعنوان حشمتی فی ص 256</w:t>
      </w:r>
    </w:p>
    <w:p>
      <w:pPr>
        <w:pStyle w:val="Heading3"/>
      </w:pPr>
      <w:bookmarkStart w:id="6780" w:name="_Toc5476"/>
      <w:r>
        <w:t>5114- دیوان علی پاشا</w:t>
      </w:r>
      <w:bookmarkEnd w:id="6780"/>
    </w:p>
    <w:p>
      <w:pPr>
        <w:pStyle w:val="BookText"/>
      </w:pPr>
      <w:r>
        <w:rPr>
          <w:rFonts w:ascii="IRNazanin" w:hAnsi="IRNazanin" w:eastAsia="IRNazanin" w:cs="IRNazanin"/>
          <w:lang w:bidi="fa-IR"/>
          <w:color w:val="111111"/>
          <w:sz w:val="28"/>
          <w:szCs w:val="28"/>
          <w:rtl/>
        </w:rPr>
        <w:t xml:space="preserve">هو ابن أفراسیاب پاشا کان والی البصرة بعد أبیه من قبل ملک الروم العثمانی، و کان عارفا بالفارسیة و العربیة و الترکیة و من خلص الشیعة و کذا ولده القائم مقام أبیه بعده و هو حسین پاشا والی البصرة و لکنه لبعض الأسباب هاجر إلی بلاد الهند أخیرا و بها توفی ترجمه النصرآبادی فی (نر 3- ص 67) و أورد بعض شعره‏</w:t>
      </w:r>
    </w:p>
    <w:p>
      <w:pPr>
        <w:pStyle w:val="Heading3"/>
      </w:pPr>
      <w:bookmarkStart w:id="6781" w:name="_Toc5477"/>
      <w:r>
        <w:t>5115- دیوان علی‏پرست کابلی السیاح أو شعره‏</w:t>
      </w:r>
      <w:bookmarkEnd w:id="6781"/>
    </w:p>
    <w:p>
      <w:pPr>
        <w:pStyle w:val="BookText"/>
      </w:pPr>
      <w:r>
        <w:rPr>
          <w:rFonts w:ascii="IRNazanin" w:hAnsi="IRNazanin" w:eastAsia="IRNazanin" w:cs="IRNazanin"/>
          <w:lang w:bidi="fa-IR"/>
          <w:color w:val="111111"/>
          <w:sz w:val="28"/>
          <w:szCs w:val="28"/>
          <w:rtl/>
        </w:rPr>
        <w:t xml:space="preserve">ترجمه معاصره فی (مع- ج 2 ص 346) و أورد ما سمعه منه من شعره‏</w:t>
      </w:r>
    </w:p>
    <w:p>
      <w:pPr>
        <w:pStyle w:val="Heading3"/>
      </w:pPr>
      <w:bookmarkStart w:id="6782" w:name="_Toc5478"/>
      <w:r>
        <w:t>5116- دیوان علی پیام‏</w:t>
      </w:r>
      <w:bookmarkEnd w:id="6782"/>
    </w:p>
    <w:p>
      <w:pPr>
        <w:pStyle w:val="BookText"/>
      </w:pPr>
      <w:r>
        <w:rPr>
          <w:rFonts w:ascii="IRNazanin" w:hAnsi="IRNazanin" w:eastAsia="IRNazanin" w:cs="IRNazanin"/>
          <w:lang w:bidi="fa-IR"/>
          <w:color w:val="111111"/>
          <w:sz w:val="28"/>
          <w:szCs w:val="28"/>
          <w:rtl/>
        </w:rPr>
        <w:t xml:space="preserve">و هو شرف الدین علی الأکبرآبادی الهندی المتخلص پیام و المتوفی حدود 1150 و دیوانه فی حدود السبعة آلاف بیت کما فی نتایج الأفکار- ص 121</w:t>
      </w:r>
    </w:p>
    <w:p>
      <w:pPr>
        <w:pStyle w:val="Heading3"/>
      </w:pPr>
      <w:bookmarkStart w:id="6783" w:name="_Toc5479"/>
      <w:r>
        <w:t>دیوان علی تبریزی‏</w:t>
      </w:r>
      <w:bookmarkEnd w:id="6783"/>
    </w:p>
    <w:p>
      <w:pPr>
        <w:pStyle w:val="BookText"/>
      </w:pPr>
      <w:r>
        <w:rPr>
          <w:rFonts w:ascii="IRNazanin" w:hAnsi="IRNazanin" w:eastAsia="IRNazanin" w:cs="IRNazanin"/>
          <w:lang w:bidi="fa-IR"/>
          <w:color w:val="111111"/>
          <w:sz w:val="28"/>
          <w:szCs w:val="28"/>
          <w:rtl/>
        </w:rPr>
        <w:t xml:space="preserve">راجع دیوان علی جواهر رقم‏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bookmarkStart w:id="744" w:name="pg11704_122228"/>
    <w:bookmarkEnd w:id="744"/>
    <w:p>
      <w:pPr>
        <w:pStyle w:val="Heading3"/>
      </w:pPr>
      <w:bookmarkStart w:id="6784" w:name="_Toc5480"/>
      <w:r>
        <w:t>5117- دیوان علی تبریزی أو شعره‏</w:t>
      </w:r>
      <w:bookmarkEnd w:id="6784"/>
    </w:p>
    <w:p>
      <w:pPr>
        <w:pStyle w:val="BookText"/>
      </w:pPr>
      <w:r>
        <w:rPr>
          <w:rFonts w:ascii="IRNazanin" w:hAnsi="IRNazanin" w:eastAsia="IRNazanin" w:cs="IRNazanin"/>
          <w:lang w:bidi="fa-IR"/>
          <w:color w:val="111111"/>
          <w:sz w:val="28"/>
          <w:szCs w:val="28"/>
          <w:rtl/>
        </w:rPr>
        <w:t xml:space="preserve">و هو ظهیر الدین المیر علی الحسینی التبریزی الخطاط الشاعر الملقب قدوة الکتاب و واضع لأن وضع الخط المعروف بالنستعلیق ینسب إلیه و فی آیین أکبری- ص 75 طبعه لکهنو 1893 م قال: رأیت خط النستعلیق قبل میر علی هذا و توفی 850 کما فی شاهد صادق و لیس 885 کما فی امتحان الفضلاء ترجمه مفصلا الدکتور مهدی بیانی فی مجلة پیام نوین 1: 6 لسنة 1337 ش نقلا عن مداد الخط لمیر علی الهروی و تاریخ رشیدی و گلستان هنر و مرآة العالم و مناقب هنروران و حالات هنروران و (دجا- ص 378) و امتحان الفضلاء ج 1 و أورد شعره بتخلص علی عن ظهر نسخه من کلیات سعدی کتابتها فی 840:</w:t>
      </w:r>
    </w:p>
    <w:p>
      <w:pPr>
        <w:pStyle w:val="BookText"/>
      </w:pPr>
      <w:r>
        <w:rPr>
          <w:rFonts w:ascii="IRNazanin" w:hAnsi="IRNazanin" w:eastAsia="IRNazanin" w:cs="IRNazanin"/>
          <w:lang w:bidi="fa-IR"/>
          <w:color w:val="111111"/>
          <w:sz w:val="28"/>
          <w:szCs w:val="28"/>
          <w:rtl/>
        </w:rPr>
        <w:t xml:space="preserve">بحال زار علی رحمتی نمای و بخوان‏</w:t>
      </w:r>
    </w:p>
    <w:p>
      <w:pPr>
        <w:pStyle w:val="BookText"/>
      </w:pPr>
      <w:r>
        <w:rPr>
          <w:rFonts w:ascii="IRNazanin" w:hAnsi="IRNazanin" w:eastAsia="IRNazanin" w:cs="IRNazanin"/>
          <w:lang w:bidi="fa-IR"/>
          <w:color w:val="111111"/>
          <w:sz w:val="28"/>
          <w:szCs w:val="28"/>
          <w:rtl/>
        </w:rPr>
        <w:t xml:space="preserve">حدیث بی‏زری از رنگ و روی همچو زریر</w:t>
      </w:r>
    </w:p>
    <w:p>
      <w:pPr>
        <w:pStyle w:val="BookText"/>
      </w:pPr>
      <w:r>
        <w:rPr>
          <w:rFonts w:ascii="IRNazanin" w:hAnsi="IRNazanin" w:eastAsia="IRNazanin" w:cs="IRNazanin"/>
          <w:lang w:bidi="fa-IR"/>
          <w:color w:val="111111"/>
          <w:sz w:val="28"/>
          <w:szCs w:val="28"/>
          <w:rtl/>
        </w:rPr>
        <w:t xml:space="preserve">اگر چه شعر من از جنس قیمتی است چو خط</w:t>
      </w:r>
    </w:p>
    <w:p>
      <w:pPr>
        <w:pStyle w:val="BookText"/>
      </w:pPr>
      <w:r>
        <w:rPr>
          <w:rFonts w:ascii="IRNazanin" w:hAnsi="IRNazanin" w:eastAsia="IRNazanin" w:cs="IRNazanin"/>
          <w:lang w:bidi="fa-IR"/>
          <w:color w:val="111111"/>
          <w:sz w:val="28"/>
          <w:szCs w:val="28"/>
          <w:rtl/>
        </w:rPr>
        <w:t xml:space="preserve">ولی چه حاصل أزین دو متاع بی‏تسعیر</w:t>
      </w:r>
    </w:p>
    <w:p>
      <w:pPr>
        <w:pStyle w:val="BookText"/>
      </w:pPr>
      <w:r>
        <w:rPr>
          <w:rFonts w:ascii="IRNazanin" w:hAnsi="IRNazanin" w:eastAsia="IRNazanin" w:cs="IRNazanin"/>
          <w:lang w:bidi="fa-IR"/>
          <w:color w:val="111111"/>
          <w:sz w:val="28"/>
          <w:szCs w:val="28"/>
          <w:rtl/>
        </w:rPr>
        <w:t xml:space="preserve">و قال سلطان علی مشهدی فی صراط السطور المذکور فی ص 458 فی حقه:</w:t>
      </w:r>
    </w:p>
    <w:p>
      <w:pPr>
        <w:pStyle w:val="BookText"/>
      </w:pPr>
      <w:r>
        <w:rPr>
          <w:rFonts w:ascii="IRNazanin" w:hAnsi="IRNazanin" w:eastAsia="IRNazanin" w:cs="IRNazanin"/>
          <w:lang w:bidi="fa-IR"/>
          <w:color w:val="111111"/>
          <w:sz w:val="28"/>
          <w:szCs w:val="28"/>
          <w:rtl/>
        </w:rPr>
        <w:t xml:space="preserve">نسخ تعلیق اگر خفی و جلی است‏</w:t>
      </w:r>
    </w:p>
    <w:p>
      <w:pPr>
        <w:pStyle w:val="BookText"/>
      </w:pPr>
      <w:r>
        <w:rPr>
          <w:rFonts w:ascii="IRNazanin" w:hAnsi="IRNazanin" w:eastAsia="IRNazanin" w:cs="IRNazanin"/>
          <w:lang w:bidi="fa-IR"/>
          <w:color w:val="111111"/>
          <w:sz w:val="28"/>
          <w:szCs w:val="28"/>
          <w:rtl/>
        </w:rPr>
        <w:t xml:space="preserve">واضع أصلی خواجه میر علی است‏</w:t>
      </w:r>
    </w:p>
    <w:p>
      <w:pPr>
        <w:pStyle w:val="BookText"/>
      </w:pPr>
      <w:r>
        <w:rPr>
          <w:rFonts w:ascii="IRNazanin" w:hAnsi="IRNazanin" w:eastAsia="IRNazanin" w:cs="IRNazanin"/>
          <w:lang w:bidi="fa-IR"/>
          <w:color w:val="111111"/>
          <w:sz w:val="28"/>
          <w:szCs w:val="28"/>
          <w:rtl/>
        </w:rPr>
        <w:t xml:space="preserve">بد معاصر بمجمع الأفضال‏</w:t>
      </w:r>
    </w:p>
    <w:p>
      <w:pPr>
        <w:pStyle w:val="BookText"/>
      </w:pPr>
      <w:r>
        <w:rPr>
          <w:rFonts w:ascii="IRNazanin" w:hAnsi="IRNazanin" w:eastAsia="IRNazanin" w:cs="IRNazanin"/>
          <w:lang w:bidi="fa-IR"/>
          <w:color w:val="111111"/>
          <w:sz w:val="28"/>
          <w:szCs w:val="28"/>
          <w:rtl/>
        </w:rPr>
        <w:t xml:space="preserve">شیخ شیرین مقال شیخ کمال‏</w:t>
      </w:r>
    </w:p>
    <w:p>
      <w:pPr>
        <w:pStyle w:val="BookText"/>
      </w:pPr>
      <w:r>
        <w:rPr>
          <w:rFonts w:ascii="IRNazanin" w:hAnsi="IRNazanin" w:eastAsia="IRNazanin" w:cs="IRNazanin"/>
          <w:lang w:bidi="fa-IR"/>
          <w:color w:val="111111"/>
          <w:sz w:val="28"/>
          <w:szCs w:val="28"/>
          <w:rtl/>
        </w:rPr>
        <w:t xml:space="preserve">أی کمال الدین الخجندی المتوفی 830، و أیضا:</w:t>
      </w:r>
    </w:p>
    <w:p>
      <w:pPr>
        <w:pStyle w:val="BookText"/>
      </w:pPr>
      <w:r>
        <w:rPr>
          <w:rFonts w:ascii="IRNazanin" w:hAnsi="IRNazanin" w:eastAsia="IRNazanin" w:cs="IRNazanin"/>
          <w:lang w:bidi="fa-IR"/>
          <w:color w:val="111111"/>
          <w:sz w:val="28"/>
          <w:szCs w:val="28"/>
          <w:rtl/>
        </w:rPr>
        <w:t xml:space="preserve">خط پاکش چو شعرا و موزون‏</w:t>
      </w:r>
    </w:p>
    <w:p>
      <w:pPr>
        <w:pStyle w:val="BookText"/>
      </w:pPr>
      <w:r>
        <w:rPr>
          <w:rFonts w:ascii="IRNazanin" w:hAnsi="IRNazanin" w:eastAsia="IRNazanin" w:cs="IRNazanin"/>
          <w:lang w:bidi="fa-IR"/>
          <w:color w:val="111111"/>
          <w:sz w:val="28"/>
          <w:szCs w:val="28"/>
          <w:rtl/>
        </w:rPr>
        <w:t xml:space="preserve">هست تعریف أو ز حد بیرون‏</w:t>
      </w:r>
    </w:p>
    <w:p>
      <w:pPr>
        <w:pStyle w:val="BookText"/>
      </w:pPr>
      <w:r>
        <w:rPr>
          <w:rFonts w:ascii="IRNazanin" w:hAnsi="IRNazanin" w:eastAsia="IRNazanin" w:cs="IRNazanin"/>
          <w:lang w:bidi="fa-IR"/>
          <w:color w:val="111111"/>
          <w:sz w:val="28"/>
          <w:szCs w:val="28"/>
          <w:rtl/>
        </w:rPr>
        <w:t xml:space="preserve">و فی ریحانة الأدب و پیدایش خط و خطاطان عداه من کتاب المائة السابعة غلطا</w:t>
      </w:r>
    </w:p>
    <w:p>
      <w:pPr>
        <w:pStyle w:val="Heading3"/>
      </w:pPr>
      <w:bookmarkStart w:id="6785" w:name="_Toc5481"/>
      <w:r>
        <w:t>دیوان علی تربتی‏</w:t>
      </w:r>
      <w:bookmarkEnd w:id="6785"/>
    </w:p>
    <w:p>
      <w:pPr>
        <w:pStyle w:val="BookText"/>
      </w:pPr>
      <w:r>
        <w:rPr>
          <w:rFonts w:ascii="IRNazanin" w:hAnsi="IRNazanin" w:eastAsia="IRNazanin" w:cs="IRNazanin"/>
          <w:lang w:bidi="fa-IR"/>
          <w:color w:val="111111"/>
          <w:sz w:val="28"/>
          <w:szCs w:val="28"/>
          <w:rtl/>
        </w:rPr>
        <w:t xml:space="preserve">یأتی بتخلصه فیضی‏</w:t>
      </w:r>
    </w:p>
    <w:p>
      <w:pPr>
        <w:pStyle w:val="Heading3"/>
      </w:pPr>
      <w:bookmarkStart w:id="6786" w:name="_Toc5482"/>
      <w:r>
        <w:t>5118- دیوان ملا علی ترشیزی أو شعره‏</w:t>
      </w:r>
      <w:bookmarkEnd w:id="6786"/>
    </w:p>
    <w:p>
      <w:pPr>
        <w:pStyle w:val="BookText"/>
      </w:pPr>
      <w:r>
        <w:rPr>
          <w:rFonts w:ascii="IRNazanin" w:hAnsi="IRNazanin" w:eastAsia="IRNazanin" w:cs="IRNazanin"/>
          <w:lang w:bidi="fa-IR"/>
          <w:color w:val="111111"/>
          <w:sz w:val="28"/>
          <w:szCs w:val="28"/>
          <w:rtl/>
        </w:rPr>
        <w:t xml:space="preserve">ترجمه و أورد شعره فی المعمی فی (لط 4 ص 98) و راجع علی شهاب و شهاب ترشیزی فی ص 553</w:t>
      </w:r>
    </w:p>
    <w:p>
      <w:pPr>
        <w:pStyle w:val="Heading3"/>
      </w:pPr>
      <w:bookmarkStart w:id="6787" w:name="_Toc5483"/>
      <w:r>
        <w:t>5119- دیوان الشیخ علی الجاسم‏</w:t>
      </w:r>
      <w:bookmarkEnd w:id="6787"/>
    </w:p>
    <w:p>
      <w:pPr>
        <w:pStyle w:val="BookText"/>
      </w:pPr>
      <w:r>
        <w:rPr>
          <w:rFonts w:ascii="IRNazanin" w:hAnsi="IRNazanin" w:eastAsia="IRNazanin" w:cs="IRNazanin"/>
          <w:lang w:bidi="fa-IR"/>
          <w:color w:val="111111"/>
          <w:sz w:val="28"/>
          <w:szCs w:val="28"/>
          <w:rtl/>
        </w:rPr>
        <w:t xml:space="preserve">و هو الشیخ علی بن قاسم الحلی الأسدی (1250- 1332) ترجمه و أورد شعره الشیخ علی الخاقانی فی شعراء الحلة- ج 4 ص 127 و قد جمع دیوانه ابن أخته الشیخ أحمد الحائری فی قرب ألفی بیت و له تقریظ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bookmarkStart w:id="745" w:name="pg11704_122229"/>
    <w:bookmarkEnd w:id="745"/>
    <w:p>
      <w:pPr>
        <w:pStyle w:val="BookText"/>
      </w:pPr>
      <w:r>
        <w:rPr>
          <w:rFonts w:ascii="IRNazanin" w:hAnsi="IRNazanin" w:eastAsia="IRNazanin" w:cs="IRNazanin"/>
          <w:lang w:bidi="fa-IR"/>
          <w:color w:val="111111"/>
          <w:sz w:val="28"/>
          <w:szCs w:val="28"/>
          <w:rtl/>
        </w:rPr>
        <w:t xml:space="preserve">فرهنگ خداپرستی المطبوع 1277 بعنوان الشیخ علی الحلی‏</w:t>
      </w:r>
    </w:p>
    <w:p>
      <w:pPr>
        <w:pStyle w:val="Heading3"/>
      </w:pPr>
      <w:bookmarkStart w:id="6788" w:name="_Toc5484"/>
      <w:r>
        <w:t>دیوان الشیخ علی الجامعی‏</w:t>
      </w:r>
      <w:bookmarkEnd w:id="6788"/>
    </w:p>
    <w:p>
      <w:pPr>
        <w:pStyle w:val="BookText"/>
      </w:pPr>
      <w:r>
        <w:rPr>
          <w:rFonts w:ascii="IRNazanin" w:hAnsi="IRNazanin" w:eastAsia="IRNazanin" w:cs="IRNazanin"/>
          <w:lang w:bidi="fa-IR"/>
          <w:color w:val="111111"/>
          <w:sz w:val="28"/>
          <w:szCs w:val="28"/>
          <w:rtl/>
        </w:rPr>
        <w:t xml:space="preserve">راجع علی بن الحسین الجامعی‏</w:t>
      </w:r>
    </w:p>
    <w:p>
      <w:pPr>
        <w:pStyle w:val="Heading3"/>
      </w:pPr>
      <w:bookmarkStart w:id="6789" w:name="_Toc5485"/>
      <w:r>
        <w:t>دیوان علی جامی‏</w:t>
      </w:r>
      <w:bookmarkEnd w:id="6789"/>
    </w:p>
    <w:p>
      <w:pPr>
        <w:pStyle w:val="BookText"/>
      </w:pPr>
      <w:r>
        <w:rPr>
          <w:rFonts w:ascii="IRNazanin" w:hAnsi="IRNazanin" w:eastAsia="IRNazanin" w:cs="IRNazanin"/>
          <w:lang w:bidi="fa-IR"/>
          <w:color w:val="111111"/>
          <w:sz w:val="28"/>
          <w:szCs w:val="28"/>
          <w:rtl/>
        </w:rPr>
        <w:t xml:space="preserve">مر بعنوان حافظ جامی فی ص 221 و ترجمه فی مطلع الشمس 2: 444 و لعله والد سروی المذکور فی ص 444</w:t>
      </w:r>
    </w:p>
    <w:p>
      <w:pPr>
        <w:pStyle w:val="Heading3"/>
      </w:pPr>
      <w:bookmarkStart w:id="6790" w:name="_Toc5486"/>
      <w:r>
        <w:t>دیوان علی حبش‏</w:t>
      </w:r>
      <w:bookmarkEnd w:id="6790"/>
    </w:p>
    <w:p>
      <w:pPr>
        <w:pStyle w:val="BookText"/>
      </w:pPr>
      <w:r>
        <w:rPr>
          <w:rFonts w:ascii="IRNazanin" w:hAnsi="IRNazanin" w:eastAsia="IRNazanin" w:cs="IRNazanin"/>
          <w:lang w:bidi="fa-IR"/>
          <w:color w:val="111111"/>
          <w:sz w:val="28"/>
          <w:szCs w:val="28"/>
          <w:rtl/>
        </w:rPr>
        <w:t xml:space="preserve">مر بعنوان جاوید مازندرانی‏</w:t>
      </w:r>
    </w:p>
    <w:p>
      <w:pPr>
        <w:pStyle w:val="Heading3"/>
      </w:pPr>
      <w:bookmarkStart w:id="6791" w:name="_Toc5487"/>
      <w:r>
        <w:t>5120- دیوان علی جواهر رقم أو شعره‏</w:t>
      </w:r>
      <w:bookmarkEnd w:id="6791"/>
    </w:p>
    <w:p>
      <w:pPr>
        <w:pStyle w:val="BookText"/>
      </w:pPr>
      <w:r>
        <w:rPr>
          <w:rFonts w:ascii="IRNazanin" w:hAnsi="IRNazanin" w:eastAsia="IRNazanin" w:cs="IRNazanin"/>
          <w:lang w:bidi="fa-IR"/>
          <w:color w:val="111111"/>
          <w:sz w:val="28"/>
          <w:szCs w:val="28"/>
          <w:rtl/>
        </w:rPr>
        <w:t xml:space="preserve">و هو المیر السید علی خان الخطاط ابن المیرزا مقیم بن المیر شاهمیر التبریزی الذی هاجر مع اهله إلی عباس‏آباد أصفهان کان هو و والده المیرزا مقیم من الخطاطین و هاجر مع والده إلی بلاد الهند فتوفی بها والده و تقرب هو إلی اورنگ زیب عالمگیر فجعله خازن کتبه و لقبه جواهر رقم ترجمه معاصره النصرآبادی فی (نر 7- ص 208) و أورد شعره و کذا فی (گلشن- ص 213) و (سرخوش- ص 49) و راجع سید کشمیری فی ص 483 و قال فی نمونه خطوط خوش- ص 151 إنه جن علیه و مات بدهلی 1094 و له ترجمه مفصلة فی امتحان الفضلاء 2: 341- 357</w:t>
      </w:r>
    </w:p>
    <w:p>
      <w:pPr>
        <w:pStyle w:val="Heading3"/>
      </w:pPr>
      <w:bookmarkStart w:id="6792" w:name="_Toc5488"/>
      <w:r>
        <w:t>دیوان الشیخ علی الحزین‏</w:t>
      </w:r>
      <w:bookmarkEnd w:id="6792"/>
    </w:p>
    <w:p>
      <w:pPr>
        <w:pStyle w:val="BookText"/>
      </w:pPr>
      <w:r>
        <w:rPr>
          <w:rFonts w:ascii="IRNazanin" w:hAnsi="IRNazanin" w:eastAsia="IRNazanin" w:cs="IRNazanin"/>
          <w:lang w:bidi="fa-IR"/>
          <w:color w:val="111111"/>
          <w:sz w:val="28"/>
          <w:szCs w:val="28"/>
          <w:rtl/>
        </w:rPr>
        <w:t xml:space="preserve">المذکور فی ص 235 و طبع له تذکره العاشقین بلکهنو فی 1293</w:t>
      </w:r>
    </w:p>
    <w:p>
      <w:pPr>
        <w:pStyle w:val="Heading3"/>
      </w:pPr>
      <w:bookmarkStart w:id="6793" w:name="_Toc5489"/>
      <w:r>
        <w:t>5121- دیوان علی حسینی أو شعره‏</w:t>
      </w:r>
      <w:bookmarkEnd w:id="6793"/>
    </w:p>
    <w:p>
      <w:pPr>
        <w:pStyle w:val="BookText"/>
      </w:pPr>
      <w:r>
        <w:rPr>
          <w:rFonts w:ascii="IRNazanin" w:hAnsi="IRNazanin" w:eastAsia="IRNazanin" w:cs="IRNazanin"/>
          <w:lang w:bidi="fa-IR"/>
          <w:color w:val="111111"/>
          <w:sz w:val="28"/>
          <w:szCs w:val="28"/>
          <w:rtl/>
        </w:rPr>
        <w:t xml:space="preserve">أورد شعره سنگلاخ فی تذکرته و قال اعتماد السلطنة فی (المآثر- ص 222) إنه مات فی 1286 عن ثمانین سنة من العمر، و أطری شعره‏</w:t>
      </w:r>
    </w:p>
    <w:p>
      <w:pPr>
        <w:pStyle w:val="Heading3"/>
      </w:pPr>
      <w:bookmarkStart w:id="6794" w:name="_Toc5490"/>
      <w:r>
        <w:t>دیوان الشیخ علی الحلی‏</w:t>
      </w:r>
      <w:bookmarkEnd w:id="6794"/>
    </w:p>
    <w:p>
      <w:pPr>
        <w:pStyle w:val="BookText"/>
      </w:pPr>
      <w:r>
        <w:rPr>
          <w:rFonts w:ascii="IRNazanin" w:hAnsi="IRNazanin" w:eastAsia="IRNazanin" w:cs="IRNazanin"/>
          <w:lang w:bidi="fa-IR"/>
          <w:color w:val="111111"/>
          <w:sz w:val="28"/>
          <w:szCs w:val="28"/>
          <w:rtl/>
        </w:rPr>
        <w:t xml:space="preserve">راجع علی الجاسم‏</w:t>
      </w:r>
    </w:p>
    <w:p>
      <w:pPr>
        <w:pStyle w:val="Heading3"/>
      </w:pPr>
      <w:bookmarkStart w:id="6795" w:name="_Toc5491"/>
      <w:r>
        <w:t>دیوان علی خاموش‏</w:t>
      </w:r>
      <w:bookmarkEnd w:id="6795"/>
    </w:p>
    <w:p>
      <w:pPr>
        <w:pStyle w:val="BookText"/>
      </w:pPr>
      <w:r>
        <w:rPr>
          <w:rFonts w:ascii="IRNazanin" w:hAnsi="IRNazanin" w:eastAsia="IRNazanin" w:cs="IRNazanin"/>
          <w:lang w:bidi="fa-IR"/>
          <w:color w:val="111111"/>
          <w:sz w:val="28"/>
          <w:szCs w:val="28"/>
          <w:rtl/>
        </w:rPr>
        <w:t xml:space="preserve">راجع دیوان خاموش و له دیوان یشتمل علی مائة و عشرین رباعیة باللهجة اللریة الدارجة فی لرستان و له دیوان غزل و مختارنامه نظما</w:t>
      </w:r>
    </w:p>
    <w:p>
      <w:pPr>
        <w:pStyle w:val="Heading3"/>
      </w:pPr>
      <w:bookmarkStart w:id="6796" w:name="_Toc5492"/>
      <w:r>
        <w:t>5122- دیوان علی خان ترکمان أو شعره‏</w:t>
      </w:r>
      <w:bookmarkEnd w:id="6796"/>
    </w:p>
    <w:p>
      <w:pPr>
        <w:pStyle w:val="BookText"/>
      </w:pPr>
      <w:r>
        <w:rPr>
          <w:rFonts w:ascii="IRNazanin" w:hAnsi="IRNazanin" w:eastAsia="IRNazanin" w:cs="IRNazanin"/>
          <w:lang w:bidi="fa-IR"/>
          <w:color w:val="111111"/>
          <w:sz w:val="28"/>
          <w:szCs w:val="28"/>
          <w:rtl/>
        </w:rPr>
        <w:t xml:space="preserve">هو من أقارب السلطان یعقوب خان الترکمان الذی توفی 896 ترجمه الحکیم شاه محمد القزوینی فی (قز مج 6- ص 302) و أورد شعره‏</w:t>
      </w:r>
    </w:p>
    <w:p>
      <w:pPr>
        <w:pStyle w:val="Heading3"/>
      </w:pPr>
      <w:bookmarkStart w:id="6797" w:name="_Toc5493"/>
      <w:r>
        <w:t>5123- دیوان علی خان گلپایگانی أو شعره‏</w:t>
      </w:r>
      <w:bookmarkEnd w:id="6797"/>
    </w:p>
    <w:p>
      <w:pPr>
        <w:pStyle w:val="BookText"/>
      </w:pPr>
      <w:r>
        <w:rPr>
          <w:rFonts w:ascii="IRNazanin" w:hAnsi="IRNazanin" w:eastAsia="IRNazanin" w:cs="IRNazanin"/>
          <w:lang w:bidi="fa-IR"/>
          <w:color w:val="111111"/>
          <w:sz w:val="28"/>
          <w:szCs w:val="28"/>
          <w:rtl/>
        </w:rPr>
        <w:t xml:space="preserve">هو ابن المیرزا ذو الفقار و ابن عمه‏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bookmarkStart w:id="746" w:name="pg11704_122230"/>
    <w:bookmarkEnd w:id="746"/>
    <w:p>
      <w:pPr>
        <w:pStyle w:val="BookText"/>
      </w:pPr>
      <w:r>
        <w:rPr>
          <w:rFonts w:ascii="IRNazanin" w:hAnsi="IRNazanin" w:eastAsia="IRNazanin" w:cs="IRNazanin"/>
          <w:lang w:bidi="fa-IR"/>
          <w:color w:val="111111"/>
          <w:sz w:val="28"/>
          <w:szCs w:val="28"/>
          <w:rtl/>
        </w:rPr>
        <w:t xml:space="preserve">آقا حسین الخوانساری و تلمیذه صار شیخ الإسلام بجرفادقان بعد رجوعه من أصفهان إلی أن مات بها أورد شعره النصرآبادی فی (نر 6- ص 185) قال و لکونه رجلا صالحا یرید الاستقالة من هذا المنصب و الظاهر أنه کان لخلاف له مع الداروغة الذی کانوا سموه آدم خوار لکثرة ظلمه للناس و ترجمه فی تذکره حزین- ص 32 و (روشن 473)</w:t>
      </w:r>
    </w:p>
    <w:p>
      <w:pPr>
        <w:pStyle w:val="Heading3"/>
      </w:pPr>
      <w:bookmarkStart w:id="6798" w:name="_Toc5494"/>
      <w:r>
        <w:t>5124- دیوان السید علی خان المدنی‏</w:t>
      </w:r>
      <w:bookmarkEnd w:id="6798"/>
    </w:p>
    <w:p>
      <w:pPr>
        <w:pStyle w:val="BookText"/>
      </w:pPr>
      <w:r>
        <w:rPr>
          <w:rFonts w:ascii="IRNazanin" w:hAnsi="IRNazanin" w:eastAsia="IRNazanin" w:cs="IRNazanin"/>
          <w:lang w:bidi="fa-IR"/>
          <w:color w:val="111111"/>
          <w:sz w:val="28"/>
          <w:szCs w:val="28"/>
          <w:rtl/>
        </w:rPr>
        <w:t xml:space="preserve">و هو علی بن نظام الدین أحمد بن المیر محمد معصوم الحسینی الدشتکی الشیرازی الشهیر بالمدنی لولادته بالمدینة فی 1052 و جاور مکة و سکن الهند سنین و نال المراتب عند ملوکها و عاد أخیرا إلی أصفهان و شیراز و بها توفی حدود 1120 و له تصانیف کثیرة، منها سلافة العصر و الدرجات الرفیعة و شرح الصحیفة و شرح الصمدیة و غیر ذلک و قد أورد الشیخ علی الحزین جملة من أشعار دیوان السید علی خان فی تذکرته و یوجد دیوانه بخط السید عدنان بن شبر فی مکتبة ولده شبر بن عدنان تاریخ کتابته 22- ج 2- 1337 و نسخه بمکتبة (السماوی) و أخری بمکتبة (کاشف الغطاء) فی 181 ص کل ص 22 سطر و بعض دیوانه ضمن مجموعة کشکولیة دونها هو و کثیر منها بخطه فی مکتبة (الخلانی) ببغداد، فیها کثیر من دیوان السید علی خان جملة منها بخطه النسخ الجید مکتوب علی بعضها هذا اللفظ: [لکاتبه علی صدر الدین‏] و علی بعضها: [لکاتبه علی الصدر المدنی‏] و فیه أشعار لأخیه السید محمد یحیی بن السید نظام الدین أحمد، منها قوله:</w:t>
      </w:r>
    </w:p>
    <w:p>
      <w:pPr>
        <w:pStyle w:val="BookText"/>
      </w:pPr>
      <w:r>
        <w:rPr>
          <w:rFonts w:ascii="IRNazanin" w:hAnsi="IRNazanin" w:eastAsia="IRNazanin" w:cs="IRNazanin"/>
          <w:lang w:bidi="fa-IR"/>
          <w:color w:val="111111"/>
          <w:sz w:val="28"/>
          <w:szCs w:val="28"/>
          <w:rtl/>
        </w:rPr>
        <w:t xml:space="preserve">یا راحلین و قلبی راحل معهم‏</w:t>
      </w:r>
    </w:p>
    <w:p>
      <w:pPr>
        <w:pStyle w:val="BookText"/>
      </w:pPr>
      <w:r>
        <w:rPr>
          <w:rFonts w:ascii="IRNazanin" w:hAnsi="IRNazanin" w:eastAsia="IRNazanin" w:cs="IRNazanin"/>
          <w:lang w:bidi="fa-IR"/>
          <w:color w:val="111111"/>
          <w:sz w:val="28"/>
          <w:szCs w:val="28"/>
          <w:rtl/>
        </w:rPr>
        <w:t xml:space="preserve">مهلا فلو لا کم و الله ما رحلا</w:t>
      </w:r>
    </w:p>
    <w:p>
      <w:pPr>
        <w:pStyle w:val="BookText"/>
      </w:pPr>
      <w:r>
        <w:rPr>
          <w:rFonts w:ascii="IRNazanin" w:hAnsi="IRNazanin" w:eastAsia="IRNazanin" w:cs="IRNazanin"/>
          <w:lang w:bidi="fa-IR"/>
          <w:color w:val="111111"/>
          <w:sz w:val="28"/>
          <w:szCs w:val="28"/>
          <w:rtl/>
        </w:rPr>
        <w:t xml:space="preserve">و رأیت نسخه دیوانه التامة فی موقوفة آل السید عیسی ببغداد فیها فوائد کثیرة منها مراجعاته مع أخیه السید محمد یحیی فی 1078 و مراجعاته مع السید حسین بن علی بن شدقم فی 1081 و فی 1092 و مراجعاته مع السید عماد بن برکات الحسینی و مع شیخه محمد بن علی الشامی و مع صدیقه الحکیم أبی الحسین الشیرازی و مع الشیخ الأدیب جمال الدین محمد بن عبد الله النجفی، و فیه أیضا جوابه للسید علی بن محمد الکربلائی فی 1094 و جوابه للسید حسین بن شرف الدین النجفی فی 1096 و نسخه أخری من دیوان السید علی خان المدنی فی مکتبة المدرسة الإسلامیة فی الموصل کما فی فهرس مخطوطاتها فی ص 41، و نسخه أخری فی مکتبة الشیخ علی کاشف الغطاء، و نسخه فی‏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bookmarkStart w:id="747" w:name="pg11704_122231"/>
    <w:bookmarkEnd w:id="747"/>
    <w:p>
      <w:pPr>
        <w:pStyle w:val="BookText"/>
      </w:pPr>
      <w:r>
        <w:rPr>
          <w:rFonts w:ascii="IRNazanin" w:hAnsi="IRNazanin" w:eastAsia="IRNazanin" w:cs="IRNazanin"/>
          <w:lang w:bidi="fa-IR"/>
          <w:color w:val="111111"/>
          <w:sz w:val="28"/>
          <w:szCs w:val="28"/>
          <w:rtl/>
        </w:rPr>
        <w:t xml:space="preserve">مکتبة الشیخ محمد علی الیعقوبی ذکر فی أولها اسم السید علی خان و بدء بالبدیعیة له ثم بغیرها من شعره، و أخری عند (الملک) و أخری بمکتبة الآثار ببغداد عرفها گورگیس عواد فی فهرسه (2: 19) و ذکرنا له البدیعیة فی 3: 76 و ترجمه فی الروضات و مستدرک الوسائل و الحزین فی تذکرته ص 10 و ریحانة الأدب (1: 358) و نسمة السحر فیمن تشیع و شعر و قال لاقاه بمکة فی 1114 و أرسل إلیه بالقصیدة الطائیة و فی (سرو- ص 286) سماه سید علی معصوم‏</w:t>
      </w:r>
    </w:p>
    <w:p>
      <w:pPr>
        <w:pStyle w:val="Heading3"/>
      </w:pPr>
      <w:bookmarkStart w:id="6799" w:name="_Toc5495"/>
      <w:r>
        <w:t>5125- دیوان السید علی خان المشعشعی‏</w:t>
      </w:r>
      <w:bookmarkEnd w:id="6799"/>
    </w:p>
    <w:p>
      <w:pPr>
        <w:pStyle w:val="BookText"/>
      </w:pPr>
      <w:r>
        <w:rPr>
          <w:rFonts w:ascii="IRNazanin" w:hAnsi="IRNazanin" w:eastAsia="IRNazanin" w:cs="IRNazanin"/>
          <w:lang w:bidi="fa-IR"/>
          <w:color w:val="111111"/>
          <w:sz w:val="28"/>
          <w:szCs w:val="28"/>
          <w:rtl/>
        </w:rPr>
        <w:t xml:space="preserve">و هو علی بن خلف المشعشعی الکبیر ابن مطلب بن حیدر، والی الحویزة المتوفی 1088. کان بینه و بین السید حسین خلیفة سلطان مکاتبات، و لما تقلد خلیفة سلطان الوزارة بأصفهان مدحه المشعشعی، کذا فی سلافة العصر- ص 545 و له دیوانان عربی و فارسی، مر العربی باسمه الخاص خیر جلیس فی 7: 281 و نسخه أخری منه فی مکتبة (السماوی) و أخری فی المتحف العراقی کما فی فهرسها لگورگیس عواد المخطوطات الأدبیة- ص 19 و الفارسی عند صادق وحدت بطهران. قال السید شبر بن محمد بن ثنوان الحویزی فی رسالته المؤلفة فی نسب السید علی خان الوالی ما لفظه [إنا لما اجتمعنا فی زیارة رجب فی 1154 مع العالم اللبیب العارف الأدیب الحاوی من الکمالات کل نفیس، شیخنا المکرم الشیخ خمیس الخلف‏آبادی، ذکر أن الدیوان الفارسی للسید علی خان بن خلف غیر دیوانه العربی‏] و قال الشیخ الحر فی أمل الآمل بعد ترجمه السید علی خان و عد تصانیفه، ما لفظه [و دیوان شعر جید، و شعر بالفارسیة] و کأنه أراد من الشعر الفارسی ما ذکره الشیخ خمیس. و قد مدح الشیخ عبد القاهر بن الحاج عبد العبادی دیوان السید علی خان بن خلف کما ذکره الشیخ الحر فی الأمل فی ترجمه العبادی المذکور.</w:t>
      </w:r>
    </w:p>
    <w:p>
      <w:pPr>
        <w:pStyle w:val="Heading3"/>
      </w:pPr>
      <w:bookmarkStart w:id="6800" w:name="_Toc5496"/>
      <w:r>
        <w:t>5126- دیوان ملا علی خراس هروی أو شعره‏</w:t>
      </w:r>
      <w:bookmarkEnd w:id="6800"/>
    </w:p>
    <w:p>
      <w:pPr>
        <w:pStyle w:val="BookText"/>
      </w:pPr>
      <w:r>
        <w:rPr>
          <w:rFonts w:ascii="IRNazanin" w:hAnsi="IRNazanin" w:eastAsia="IRNazanin" w:cs="IRNazanin"/>
          <w:lang w:bidi="fa-IR"/>
          <w:color w:val="111111"/>
          <w:sz w:val="28"/>
          <w:szCs w:val="28"/>
          <w:rtl/>
        </w:rPr>
        <w:t xml:space="preserve">ترجمه و أورد شعره فی (تس- ص 69).</w:t>
      </w:r>
    </w:p>
    <w:p>
      <w:pPr>
        <w:pStyle w:val="Heading3"/>
      </w:pPr>
      <w:bookmarkStart w:id="6801" w:name="_Toc5497"/>
      <w:r>
        <w:t>دیوان علی خراسانی‏</w:t>
      </w:r>
      <w:bookmarkEnd w:id="6801"/>
    </w:p>
    <w:p>
      <w:pPr>
        <w:pStyle w:val="BookText"/>
      </w:pPr>
      <w:r>
        <w:rPr>
          <w:rFonts w:ascii="IRNazanin" w:hAnsi="IRNazanin" w:eastAsia="IRNazanin" w:cs="IRNazanin"/>
          <w:lang w:bidi="fa-IR"/>
          <w:color w:val="111111"/>
          <w:sz w:val="28"/>
          <w:szCs w:val="28"/>
          <w:rtl/>
        </w:rPr>
        <w:t xml:space="preserve">راجع علی درجزینی.</w:t>
      </w:r>
    </w:p>
    <w:p>
      <w:pPr>
        <w:pStyle w:val="Heading3"/>
      </w:pPr>
      <w:bookmarkStart w:id="6802" w:name="_Toc5498"/>
      <w:r>
        <w:t>5127- دیوان خواجه علی خراسانی أو شعره‏</w:t>
      </w:r>
      <w:bookmarkEnd w:id="6802"/>
    </w:p>
    <w:p>
      <w:pPr>
        <w:pStyle w:val="BookText"/>
      </w:pPr>
      <w:r>
        <w:rPr>
          <w:rFonts w:ascii="IRNazanin" w:hAnsi="IRNazanin" w:eastAsia="IRNazanin" w:cs="IRNazanin"/>
          <w:lang w:bidi="fa-IR"/>
          <w:color w:val="111111"/>
          <w:sz w:val="28"/>
          <w:szCs w:val="28"/>
          <w:rtl/>
        </w:rPr>
        <w:t xml:space="preserve">هو ابن أخ الحاج محمد جان القدسی المقدس المفسر المحدث. ترجمه معاصره فی (نر 6- ص 166). و أورد شعره‏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bookmarkStart w:id="748" w:name="pg11704_122232"/>
    <w:bookmarkEnd w:id="748"/>
    <w:p>
      <w:pPr>
        <w:pStyle w:val="BookText"/>
      </w:pPr>
      <w:r>
        <w:rPr>
          <w:rFonts w:ascii="IRNazanin" w:hAnsi="IRNazanin" w:eastAsia="IRNazanin" w:cs="IRNazanin"/>
          <w:lang w:bidi="fa-IR"/>
          <w:color w:val="111111"/>
          <w:sz w:val="28"/>
          <w:szCs w:val="28"/>
          <w:rtl/>
        </w:rPr>
        <w:t xml:space="preserve">فی گلستان مسرت- ص 458 و مطلع الشمس 2: 430.</w:t>
      </w:r>
    </w:p>
    <w:p>
      <w:pPr>
        <w:pStyle w:val="Heading3"/>
      </w:pPr>
      <w:bookmarkStart w:id="6803" w:name="_Toc5499"/>
      <w:r>
        <w:t>5128- دیوان حاج ملا علی خراسانی أو شعره‏</w:t>
      </w:r>
      <w:bookmarkEnd w:id="6803"/>
    </w:p>
    <w:p>
      <w:pPr>
        <w:pStyle w:val="BookText"/>
      </w:pPr>
      <w:r>
        <w:rPr>
          <w:rFonts w:ascii="IRNazanin" w:hAnsi="IRNazanin" w:eastAsia="IRNazanin" w:cs="IRNazanin"/>
          <w:lang w:bidi="fa-IR"/>
          <w:color w:val="111111"/>
          <w:sz w:val="28"/>
          <w:szCs w:val="28"/>
          <w:rtl/>
        </w:rPr>
        <w:t xml:space="preserve">هو من مشاهیر الکتاب و الخطاطین بها. ترجمه و أورد شعره فی (مجتس 5- ص 149).</w:t>
      </w:r>
    </w:p>
    <w:p>
      <w:pPr>
        <w:pStyle w:val="Heading3"/>
      </w:pPr>
      <w:bookmarkStart w:id="6804" w:name="_Toc5500"/>
      <w:r>
        <w:t>دیوان علی خطاط</w:t>
      </w:r>
      <w:bookmarkEnd w:id="6804"/>
    </w:p>
    <w:p>
      <w:pPr>
        <w:pStyle w:val="BookText"/>
      </w:pPr>
      <w:r>
        <w:rPr>
          <w:rFonts w:ascii="IRNazanin" w:hAnsi="IRNazanin" w:eastAsia="IRNazanin" w:cs="IRNazanin"/>
          <w:lang w:bidi="fa-IR"/>
          <w:color w:val="111111"/>
          <w:sz w:val="28"/>
          <w:szCs w:val="28"/>
          <w:rtl/>
        </w:rPr>
        <w:t xml:space="preserve">راجع علی هروی و علی تبریزی، و علی خراسانی و سلطان علی مشهدی، و سلطان علی قاینی.</w:t>
      </w:r>
    </w:p>
    <w:p>
      <w:pPr>
        <w:pStyle w:val="Heading3"/>
      </w:pPr>
      <w:bookmarkStart w:id="6805" w:name="_Toc5501"/>
      <w:r>
        <w:t>5129- دیوان میرزا علی خلج أو شعره‏</w:t>
      </w:r>
      <w:bookmarkEnd w:id="6805"/>
    </w:p>
    <w:p>
      <w:pPr>
        <w:pStyle w:val="BookText"/>
      </w:pPr>
      <w:r>
        <w:rPr>
          <w:rFonts w:ascii="IRNazanin" w:hAnsi="IRNazanin" w:eastAsia="IRNazanin" w:cs="IRNazanin"/>
          <w:lang w:bidi="fa-IR"/>
          <w:color w:val="111111"/>
          <w:sz w:val="28"/>
          <w:szCs w:val="28"/>
          <w:rtl/>
        </w:rPr>
        <w:t xml:space="preserve">کان ملازم فریدون جعفر. ترجمه أورد شعره فی (مجتس 6- ص 166).</w:t>
      </w:r>
    </w:p>
    <w:p>
      <w:pPr>
        <w:pStyle w:val="Heading3"/>
      </w:pPr>
      <w:bookmarkStart w:id="6806" w:name="_Toc5502"/>
      <w:r>
        <w:t>5130- دیوان محمد علی خیر الدین‏</w:t>
      </w:r>
      <w:bookmarkEnd w:id="6806"/>
    </w:p>
    <w:p>
      <w:pPr>
        <w:pStyle w:val="BookText"/>
      </w:pPr>
      <w:r>
        <w:rPr>
          <w:rFonts w:ascii="IRNazanin" w:hAnsi="IRNazanin" w:eastAsia="IRNazanin" w:cs="IRNazanin"/>
          <w:lang w:bidi="fa-IR"/>
          <w:color w:val="111111"/>
          <w:sz w:val="28"/>
          <w:szCs w:val="28"/>
          <w:rtl/>
        </w:rPr>
        <w:t xml:space="preserve">و هو السید محمد علی بن الحسین خیر الدین بن نوازش علی الهندی. ذکر فی 8: 291 باسمه دیم النیسان و یأتی مثنویة نامه دانش.</w:t>
      </w:r>
    </w:p>
    <w:p>
      <w:pPr>
        <w:pStyle w:val="Heading3"/>
      </w:pPr>
      <w:bookmarkStart w:id="6807" w:name="_Toc5503"/>
      <w:r>
        <w:t>5131- دیوان علی درجزینی أو شعره‏</w:t>
      </w:r>
      <w:bookmarkEnd w:id="6807"/>
    </w:p>
    <w:p>
      <w:pPr>
        <w:pStyle w:val="BookText"/>
      </w:pPr>
      <w:r>
        <w:rPr>
          <w:rFonts w:ascii="IRNazanin" w:hAnsi="IRNazanin" w:eastAsia="IRNazanin" w:cs="IRNazanin"/>
          <w:lang w:bidi="fa-IR"/>
          <w:color w:val="111111"/>
          <w:sz w:val="28"/>
          <w:szCs w:val="28"/>
          <w:rtl/>
        </w:rPr>
        <w:t xml:space="preserve">و هو المیرزا معین الدین الخراسانی أصلا ترجمه المستوفی و أورد شعره معاصره فی (نر 4- ص 76) کان وزیر صفی قلی حاکم بغداد</w:t>
      </w:r>
    </w:p>
    <w:p>
      <w:pPr>
        <w:pStyle w:val="Heading3"/>
      </w:pPr>
      <w:bookmarkStart w:id="6808" w:name="_Toc5504"/>
      <w:r>
        <w:t>5132- دیوان علی دردزد أسترآبادی‏</w:t>
      </w:r>
      <w:bookmarkEnd w:id="6808"/>
    </w:p>
    <w:p>
      <w:pPr>
        <w:pStyle w:val="BookText"/>
      </w:pPr>
      <w:r>
        <w:rPr>
          <w:rFonts w:ascii="IRNazanin" w:hAnsi="IRNazanin" w:eastAsia="IRNazanin" w:cs="IRNazanin"/>
          <w:lang w:bidi="fa-IR"/>
          <w:color w:val="111111"/>
          <w:sz w:val="28"/>
          <w:szCs w:val="28"/>
          <w:rtl/>
        </w:rPr>
        <w:t xml:space="preserve">أطری شعره و رثاءه لزوجته فی (لت 6) و قال إن دیوانه معروف بآمل و ساری مازندران. و کذا فی (لط 1: 20).</w:t>
      </w:r>
    </w:p>
    <w:p>
      <w:pPr>
        <w:pStyle w:val="Heading3"/>
      </w:pPr>
      <w:bookmarkStart w:id="6809" w:name="_Toc5505"/>
      <w:r>
        <w:t>دیوان علی دوست أو شعره‏</w:t>
      </w:r>
      <w:bookmarkEnd w:id="6809"/>
    </w:p>
    <w:p>
      <w:pPr>
        <w:pStyle w:val="BookText"/>
      </w:pPr>
      <w:r>
        <w:rPr>
          <w:rFonts w:ascii="IRNazanin" w:hAnsi="IRNazanin" w:eastAsia="IRNazanin" w:cs="IRNazanin"/>
          <w:lang w:bidi="fa-IR"/>
          <w:color w:val="111111"/>
          <w:sz w:val="28"/>
          <w:szCs w:val="28"/>
          <w:rtl/>
        </w:rPr>
        <w:t xml:space="preserve">هو حفید میرزا علیکة و تخلصه رفیقی‏</w:t>
      </w:r>
      <w:r>
        <w:rPr>
          <w:rStyle w:val="FootnoteReference"/>
        </w:rPr>
        <w:footnoteReference w:id="61"/>
      </w:r>
      <w:r>
        <w:rPr>
          <w:rFonts w:ascii="IRNazanin" w:hAnsi="IRNazanin" w:eastAsia="IRNazanin" w:cs="IRNazanin"/>
          <w:lang w:bidi="fa-IR"/>
          <w:color w:val="111111"/>
          <w:sz w:val="28"/>
          <w:szCs w:val="28"/>
          <w:rtl/>
        </w:rPr>
        <w:t xml:space="preserve">ترجمه و أورد شعره فی (مجن 5- ص 111 و 383) و فی (حسینی- ص 123) عده من معاصری الجامی.</w:t>
      </w:r>
    </w:p>
    <w:p>
      <w:pPr>
        <w:pStyle w:val="Heading3"/>
      </w:pPr>
      <w:bookmarkStart w:id="6810" w:name="_Toc5506"/>
      <w:r>
        <w:t>5133- دیوان علی رامتینی أو شعره‏</w:t>
      </w:r>
      <w:bookmarkEnd w:id="6810"/>
    </w:p>
    <w:p>
      <w:pPr>
        <w:pStyle w:val="BookText"/>
      </w:pPr>
      <w:r>
        <w:rPr>
          <w:rFonts w:ascii="IRNazanin" w:hAnsi="IRNazanin" w:eastAsia="IRNazanin" w:cs="IRNazanin"/>
          <w:lang w:bidi="fa-IR"/>
          <w:color w:val="111111"/>
          <w:sz w:val="28"/>
          <w:szCs w:val="28"/>
          <w:rtl/>
        </w:rPr>
        <w:t xml:space="preserve">هو من رامتین من مضافات بخارا و نزل خوارزم و بها توفی. ترجمه و أورد شعره فی (مع 1- 338) و قال زرت قبره مع قبور سائر المشایخ بها.</w:t>
      </w:r>
    </w:p>
    <w:p>
      <w:pPr>
        <w:pStyle w:val="Heading3"/>
      </w:pPr>
      <w:bookmarkStart w:id="6811" w:name="_Toc5507"/>
      <w:r>
        <w:t>دیوان علی رشتی أو شعره‏</w:t>
      </w:r>
      <w:bookmarkEnd w:id="6811"/>
    </w:p>
    <w:p>
      <w:pPr>
        <w:pStyle w:val="BookText"/>
      </w:pPr>
      <w:r>
        <w:rPr>
          <w:rFonts w:ascii="IRNazanin" w:hAnsi="IRNazanin" w:eastAsia="IRNazanin" w:cs="IRNazanin"/>
          <w:lang w:bidi="fa-IR"/>
          <w:color w:val="111111"/>
          <w:sz w:val="28"/>
          <w:szCs w:val="28"/>
          <w:rtl/>
        </w:rPr>
        <w:t xml:space="preserve">هو خطاط ذکره فی المدائح المعتمدیة و قال جاء فی شبابه إلی أصفهان و مهر فی النستعلیق و مدح منوچهر خان.</w:t>
      </w:r>
    </w:p>
    <w:p>
      <w:pPr>
        <w:pStyle w:val="Heading3"/>
      </w:pPr>
      <w:bookmarkStart w:id="6812" w:name="_Toc5508"/>
      <w:r>
        <w:t>5134- دیوان علی رضا آگاه‏</w:t>
      </w:r>
      <w:bookmarkEnd w:id="6812"/>
    </w:p>
    <w:p>
      <w:pPr>
        <w:pStyle w:val="BookText"/>
      </w:pPr>
      <w:r>
        <w:rPr>
          <w:rFonts w:ascii="IRNazanin" w:hAnsi="IRNazanin" w:eastAsia="IRNazanin" w:cs="IRNazanin"/>
          <w:lang w:bidi="fa-IR"/>
          <w:color w:val="111111"/>
          <w:sz w:val="28"/>
          <w:szCs w:val="28"/>
          <w:rtl/>
        </w:rPr>
        <w:t xml:space="preserve">اسمه علی رضا ابن میر عبد الواحد ذوقی. و یتخلص‏ .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bookmarkStart w:id="749" w:name="pg11704_122233"/>
    <w:bookmarkEnd w:id="749"/>
    <w:p>
      <w:pPr>
        <w:pStyle w:val="BookText"/>
      </w:pPr>
      <w:r>
        <w:rPr>
          <w:rFonts w:ascii="IRNazanin" w:hAnsi="IRNazanin" w:eastAsia="IRNazanin" w:cs="IRNazanin"/>
          <w:lang w:bidi="fa-IR"/>
          <w:color w:val="111111"/>
          <w:sz w:val="28"/>
          <w:szCs w:val="28"/>
          <w:rtl/>
        </w:rPr>
        <w:t xml:space="preserve">آگاه و مات 1189 ترجمه و أورد شعره فی (سرو- ص 346) و نتایج الأفکار ص 84 و گلستان مسرت. ص 530.</w:t>
      </w:r>
    </w:p>
    <w:p>
      <w:pPr>
        <w:pStyle w:val="Heading3"/>
      </w:pPr>
      <w:bookmarkStart w:id="6813" w:name="_Toc5509"/>
      <w:r>
        <w:t>5135- دیوان علی رضا أصفهانی أو شعره‏</w:t>
      </w:r>
      <w:bookmarkEnd w:id="6813"/>
    </w:p>
    <w:p>
      <w:pPr>
        <w:pStyle w:val="BookText"/>
      </w:pPr>
      <w:r>
        <w:rPr>
          <w:rFonts w:ascii="IRNazanin" w:hAnsi="IRNazanin" w:eastAsia="IRNazanin" w:cs="IRNazanin"/>
          <w:lang w:bidi="fa-IR"/>
          <w:color w:val="111111"/>
          <w:sz w:val="28"/>
          <w:szCs w:val="28"/>
          <w:rtl/>
        </w:rPr>
        <w:t xml:space="preserve">هو ابن رئیس حسین الرویدشتی من محال أصفهان ترجمه معاصره النصرآبادی فی (نر 9- ص 427) و أورد شعره.</w:t>
      </w:r>
    </w:p>
    <w:p>
      <w:pPr>
        <w:pStyle w:val="Heading3"/>
      </w:pPr>
      <w:bookmarkStart w:id="6814" w:name="_Toc5510"/>
      <w:r>
        <w:t>5136- دیوان علی رضا بیک أصفهانی أو شعره‏</w:t>
      </w:r>
      <w:bookmarkEnd w:id="6814"/>
    </w:p>
    <w:p>
      <w:pPr>
        <w:pStyle w:val="BookText"/>
      </w:pPr>
      <w:r>
        <w:rPr>
          <w:rFonts w:ascii="IRNazanin" w:hAnsi="IRNazanin" w:eastAsia="IRNazanin" w:cs="IRNazanin"/>
          <w:lang w:bidi="fa-IR"/>
          <w:color w:val="111111"/>
          <w:sz w:val="28"/>
          <w:szCs w:val="28"/>
          <w:rtl/>
        </w:rPr>
        <w:t xml:space="preserve">کان من تلامیذ المولی محمد باقر السبزواری، و کان حیا فی سنة تألیف النصرآبادی کما فی ترجمته فی (نر 6- ص 189) کان مستوفیا بإیروان ثم شیروان و أخیرا اعتزل و نزل أصفهان و أورد بعض رباعیاته.</w:t>
      </w:r>
    </w:p>
    <w:p>
      <w:pPr>
        <w:pStyle w:val="Heading3"/>
      </w:pPr>
      <w:bookmarkStart w:id="6815" w:name="_Toc5511"/>
      <w:r>
        <w:t>دیوان علی رضا پرتو لنجانی‏</w:t>
      </w:r>
      <w:bookmarkEnd w:id="6815"/>
    </w:p>
    <w:p>
      <w:pPr>
        <w:pStyle w:val="BookText"/>
      </w:pPr>
      <w:r>
        <w:rPr>
          <w:rFonts w:ascii="IRNazanin" w:hAnsi="IRNazanin" w:eastAsia="IRNazanin" w:cs="IRNazanin"/>
          <w:lang w:bidi="fa-IR"/>
          <w:color w:val="111111"/>
          <w:sz w:val="28"/>
          <w:szCs w:val="28"/>
          <w:rtl/>
        </w:rPr>
        <w:t xml:space="preserve">المذکور فی ص 157 مرتین. اسمه آقا جان و توفی 1304 و جمع دیوانه تلمیذه ثمر. و طبع دیوانه مع مقدمه لحسین فروغی علی الحجر بطهران فی 1305.</w:t>
      </w:r>
    </w:p>
    <w:p>
      <w:pPr>
        <w:pStyle w:val="Heading3"/>
      </w:pPr>
      <w:bookmarkStart w:id="6816" w:name="_Toc5512"/>
      <w:r>
        <w:t>دیوان علی رضا تبریزی‏</w:t>
      </w:r>
      <w:bookmarkEnd w:id="6816"/>
    </w:p>
    <w:p>
      <w:pPr>
        <w:pStyle w:val="BookText"/>
      </w:pPr>
      <w:r>
        <w:rPr>
          <w:rFonts w:ascii="IRNazanin" w:hAnsi="IRNazanin" w:eastAsia="IRNazanin" w:cs="IRNazanin"/>
          <w:lang w:bidi="fa-IR"/>
          <w:color w:val="111111"/>
          <w:sz w:val="28"/>
          <w:szCs w:val="28"/>
          <w:rtl/>
        </w:rPr>
        <w:t xml:space="preserve">راجع علی رضا عباسی.</w:t>
      </w:r>
    </w:p>
    <w:p>
      <w:pPr>
        <w:pStyle w:val="Heading3"/>
      </w:pPr>
      <w:bookmarkStart w:id="6817" w:name="_Toc5513"/>
      <w:r>
        <w:t>دیوان علی رضا تجلی شیرازی‏</w:t>
      </w:r>
      <w:bookmarkEnd w:id="6817"/>
    </w:p>
    <w:p>
      <w:pPr>
        <w:pStyle w:val="BookText"/>
      </w:pPr>
      <w:r>
        <w:rPr>
          <w:rFonts w:ascii="IRNazanin" w:hAnsi="IRNazanin" w:eastAsia="IRNazanin" w:cs="IRNazanin"/>
          <w:lang w:bidi="fa-IR"/>
          <w:color w:val="111111"/>
          <w:sz w:val="28"/>
          <w:szCs w:val="28"/>
          <w:rtl/>
        </w:rPr>
        <w:t xml:space="preserve">مر فی ص 167.</w:t>
      </w:r>
    </w:p>
    <w:p>
      <w:pPr>
        <w:pStyle w:val="Heading3"/>
      </w:pPr>
      <w:bookmarkStart w:id="6818" w:name="_Toc5514"/>
      <w:r>
        <w:t>5137- دیوان میر علی رضا تویسرکانی أو شعره‏</w:t>
      </w:r>
      <w:bookmarkEnd w:id="6818"/>
    </w:p>
    <w:p>
      <w:pPr>
        <w:pStyle w:val="BookText"/>
      </w:pPr>
      <w:r>
        <w:rPr>
          <w:rFonts w:ascii="IRNazanin" w:hAnsi="IRNazanin" w:eastAsia="IRNazanin" w:cs="IRNazanin"/>
          <w:lang w:bidi="fa-IR"/>
          <w:color w:val="111111"/>
          <w:sz w:val="28"/>
          <w:szCs w:val="28"/>
          <w:rtl/>
        </w:rPr>
        <w:t xml:space="preserve">ترجمه و أورد شعره معاصر النصرآبادی فی (نر 6- ص 190) و قال سافر إلی الهند و رجع إلی أصفهان.</w:t>
      </w:r>
    </w:p>
    <w:p>
      <w:pPr>
        <w:pStyle w:val="Heading3"/>
      </w:pPr>
      <w:bookmarkStart w:id="6819" w:name="_Toc5515"/>
      <w:r>
        <w:t>5138- دیوان علی رضا شولستانی أو شعره‏</w:t>
      </w:r>
      <w:bookmarkEnd w:id="6819"/>
    </w:p>
    <w:p>
      <w:pPr>
        <w:pStyle w:val="BookText"/>
      </w:pPr>
      <w:r>
        <w:rPr>
          <w:rFonts w:ascii="IRNazanin" w:hAnsi="IRNazanin" w:eastAsia="IRNazanin" w:cs="IRNazanin"/>
          <w:lang w:bidi="fa-IR"/>
          <w:color w:val="111111"/>
          <w:sz w:val="28"/>
          <w:szCs w:val="28"/>
          <w:rtl/>
        </w:rPr>
        <w:t xml:space="preserve">کان نزیل الهند. ترجمه و أورد شعره معاصره النصرآبادی فی (نر 9- ص 400).</w:t>
      </w:r>
    </w:p>
    <w:p>
      <w:pPr>
        <w:pStyle w:val="Heading3"/>
      </w:pPr>
      <w:bookmarkStart w:id="6820" w:name="_Toc5516"/>
      <w:r>
        <w:t>5139- دیوان علی رضا عباسی أو شعره‏</w:t>
      </w:r>
      <w:bookmarkEnd w:id="6820"/>
    </w:p>
    <w:p>
      <w:pPr>
        <w:pStyle w:val="BookText"/>
      </w:pPr>
      <w:r>
        <w:rPr>
          <w:rFonts w:ascii="IRNazanin" w:hAnsi="IRNazanin" w:eastAsia="IRNazanin" w:cs="IRNazanin"/>
          <w:lang w:bidi="fa-IR"/>
          <w:color w:val="111111"/>
          <w:sz w:val="28"/>
          <w:szCs w:val="28"/>
          <w:rtl/>
        </w:rPr>
        <w:t xml:space="preserve">و هو الخطاط التبریزی الشاعر. ترجمه و أورد شعره فی گلستان هنر و عنه فی (دجا- ص 280) بعنوان علی رضا تبریزی و قال تلمذ علی علی بیگ التبریزی فی الخط و بعد خراب تبریز بید الروم هاجر إلی قزوین و کتب کتیبة المسجد الجامع بها ثم سافر مع فرهاد خان إلی مازندران و خراسان، و لما عرفه الشاه دعاه و بقی فی البلاط اثنی عشر سنة حتی الیوم. و قال معاصره النصرآبادی فی (نر 7- ص 207) إن کتیبة باب مسجد الشیخ لطف الله و کتیبة الصفة بالمسجد الجامع بأصفهان بخطه، و أن اسمه یطابق جملة خوشنویس عهد و لکن عبد الباقی أفضل منه. أقول و مقصوده باقی تبریزی المذکور فی ص 123 و کان علی رضا یعارض میر عماد القزوینی المذکور فی ص 767 فی الخط. و مر ابنه بدیع الزمان بدیعا فی ص 129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bookmarkStart w:id="750" w:name="pg11704_122234"/>
    <w:bookmarkEnd w:id="750"/>
    <w:p>
      <w:pPr>
        <w:pStyle w:val="BookText"/>
      </w:pPr>
      <w:r>
        <w:rPr>
          <w:rFonts w:ascii="IRNazanin" w:hAnsi="IRNazanin" w:eastAsia="IRNazanin" w:cs="IRNazanin"/>
          <w:lang w:bidi="fa-IR"/>
          <w:color w:val="111111"/>
          <w:sz w:val="28"/>
          <w:szCs w:val="28"/>
          <w:rtl/>
        </w:rPr>
        <w:t xml:space="preserve">و ترجم أیضا فی امتحان الفضلاء ج 1- ص 229- 248 و پیدایش خط و خطاطان.</w:t>
      </w:r>
    </w:p>
    <w:p>
      <w:pPr>
        <w:pStyle w:val="BookText"/>
      </w:pPr>
      <w:r>
        <w:rPr>
          <w:rFonts w:ascii="IRNazanin" w:hAnsi="IRNazanin" w:eastAsia="IRNazanin" w:cs="IRNazanin"/>
          <w:lang w:bidi="fa-IR"/>
          <w:color w:val="111111"/>
          <w:sz w:val="28"/>
          <w:szCs w:val="28"/>
          <w:rtl/>
        </w:rPr>
        <w:t xml:space="preserve">ص 140 و هو غیر رضا عباسی المصور النقاش المتوفی فی شوال 1044 و غیر رضا نقاش الکاشی ابن علی أصغر الذی ذکر صهره مصور فی (نر 9- ص 414) کما فصل ذلک کله الدکتور بهرامی فی مجلة یادگار العدد 10 السنة الثانیة 1324 ش.</w:t>
      </w:r>
    </w:p>
    <w:p>
      <w:pPr>
        <w:pStyle w:val="BookText"/>
      </w:pPr>
      <w:r>
        <w:rPr>
          <w:rFonts w:ascii="IRNazanin" w:hAnsi="IRNazanin" w:eastAsia="IRNazanin" w:cs="IRNazanin"/>
          <w:lang w:bidi="fa-IR"/>
          <w:color w:val="111111"/>
          <w:sz w:val="28"/>
          <w:szCs w:val="28"/>
          <w:rtl/>
        </w:rPr>
        <w:t xml:space="preserve">ص 37- 56.</w:t>
      </w:r>
    </w:p>
    <w:p>
      <w:pPr>
        <w:pStyle w:val="Heading3"/>
      </w:pPr>
      <w:bookmarkStart w:id="6821" w:name="_Toc5517"/>
      <w:r>
        <w:t>5140- دیوان علی رضا کرمانی أو شعره‏</w:t>
      </w:r>
      <w:bookmarkEnd w:id="6821"/>
    </w:p>
    <w:p>
      <w:pPr>
        <w:pStyle w:val="BookText"/>
      </w:pPr>
      <w:r>
        <w:rPr>
          <w:rFonts w:ascii="IRNazanin" w:hAnsi="IRNazanin" w:eastAsia="IRNazanin" w:cs="IRNazanin"/>
          <w:lang w:bidi="fa-IR"/>
          <w:color w:val="111111"/>
          <w:sz w:val="28"/>
          <w:szCs w:val="28"/>
          <w:rtl/>
        </w:rPr>
        <w:t xml:space="preserve">و هو المولی علی رضا المعروف بعلی کرمانی، ساکن قلعة عسکر من بلوک کرمان ترجمه و أورد شعره معاصره فی (ض- ص 469) و قال إنه مرید رونق علی شاه‏</w:t>
      </w:r>
    </w:p>
    <w:p>
      <w:pPr>
        <w:pStyle w:val="Heading3"/>
      </w:pPr>
      <w:bookmarkStart w:id="6822" w:name="_Toc5518"/>
      <w:r>
        <w:t>5141- دیوان علی رضوی‏زاده‏</w:t>
      </w:r>
      <w:bookmarkEnd w:id="6822"/>
    </w:p>
    <w:p>
      <w:pPr>
        <w:pStyle w:val="BookText"/>
      </w:pPr>
      <w:r>
        <w:rPr>
          <w:rFonts w:ascii="IRNazanin" w:hAnsi="IRNazanin" w:eastAsia="IRNazanin" w:cs="IRNazanin"/>
          <w:lang w:bidi="fa-IR"/>
          <w:color w:val="111111"/>
          <w:sz w:val="28"/>
          <w:szCs w:val="28"/>
          <w:rtl/>
        </w:rPr>
        <w:t xml:space="preserve">رأیت له منظومة باسم نصاب واژه‏های نو طبعت بطهران 1318 ش جمع فیها اللغات الموضوعة الجدیدة الفارسیة</w:t>
      </w:r>
    </w:p>
    <w:p>
      <w:pPr>
        <w:pStyle w:val="Heading3"/>
      </w:pPr>
      <w:bookmarkStart w:id="6823" w:name="_Toc5519"/>
      <w:r>
        <w:t>5142- دیوان الشیخ علی الزینی‏</w:t>
      </w:r>
      <w:bookmarkEnd w:id="6823"/>
    </w:p>
    <w:p>
      <w:pPr>
        <w:pStyle w:val="BookText"/>
      </w:pPr>
      <w:r>
        <w:rPr>
          <w:rFonts w:ascii="IRNazanin" w:hAnsi="IRNazanin" w:eastAsia="IRNazanin" w:cs="IRNazanin"/>
          <w:lang w:bidi="fa-IR"/>
          <w:color w:val="111111"/>
          <w:sz w:val="28"/>
          <w:szCs w:val="28"/>
          <w:rtl/>
        </w:rPr>
        <w:t xml:space="preserve">و هو ابن الشیخ محمد حسین النجفی المتوفی 1215 ترجمه فی تکملة الأمل و له تقریظ تخمیس البردة للشیخ محمد رضا النحوی المذکور فی ج 4: ص 8</w:t>
      </w:r>
    </w:p>
    <w:p>
      <w:pPr>
        <w:pStyle w:val="Heading3"/>
      </w:pPr>
      <w:bookmarkStart w:id="6824" w:name="_Toc5520"/>
      <w:r>
        <w:t>5143- دیوان سید علی سبزواری أو شعره‏</w:t>
      </w:r>
      <w:bookmarkEnd w:id="6824"/>
    </w:p>
    <w:p>
      <w:pPr>
        <w:pStyle w:val="BookText"/>
      </w:pPr>
      <w:r>
        <w:rPr>
          <w:rFonts w:ascii="IRNazanin" w:hAnsi="IRNazanin" w:eastAsia="IRNazanin" w:cs="IRNazanin"/>
          <w:lang w:bidi="fa-IR"/>
          <w:color w:val="111111"/>
          <w:sz w:val="28"/>
          <w:szCs w:val="28"/>
          <w:rtl/>
        </w:rPr>
        <w:t xml:space="preserve">هو حفید المیر شمس الدین نقیب الأشراف بسبزوار ترجمه و أورد شعره معاصره النصرآبادی فی (نر 5- ص 97)</w:t>
      </w:r>
    </w:p>
    <w:p>
      <w:pPr>
        <w:pStyle w:val="Heading3"/>
      </w:pPr>
      <w:bookmarkStart w:id="6825" w:name="_Toc5521"/>
      <w:r>
        <w:t>دیوان علی سمرقندی‏</w:t>
      </w:r>
      <w:bookmarkEnd w:id="6825"/>
    </w:p>
    <w:p>
      <w:pPr>
        <w:pStyle w:val="BookText"/>
      </w:pPr>
      <w:r>
        <w:rPr>
          <w:rFonts w:ascii="IRNazanin" w:hAnsi="IRNazanin" w:eastAsia="IRNazanin" w:cs="IRNazanin"/>
          <w:lang w:bidi="fa-IR"/>
          <w:color w:val="111111"/>
          <w:sz w:val="28"/>
          <w:szCs w:val="28"/>
          <w:rtl/>
        </w:rPr>
        <w:t xml:space="preserve">راجع دیوان علی شطرنجی‏</w:t>
      </w:r>
    </w:p>
    <w:p>
      <w:pPr>
        <w:pStyle w:val="Heading3"/>
      </w:pPr>
      <w:bookmarkStart w:id="6826" w:name="_Toc5522"/>
      <w:r>
        <w:t>دیوان علی سمند</w:t>
      </w:r>
      <w:bookmarkEnd w:id="6826"/>
    </w:p>
    <w:p>
      <w:pPr>
        <w:pStyle w:val="BookText"/>
      </w:pPr>
      <w:r>
        <w:rPr>
          <w:rFonts w:ascii="IRNazanin" w:hAnsi="IRNazanin" w:eastAsia="IRNazanin" w:cs="IRNazanin"/>
          <w:lang w:bidi="fa-IR"/>
          <w:color w:val="111111"/>
          <w:sz w:val="28"/>
          <w:szCs w:val="28"/>
          <w:rtl/>
        </w:rPr>
        <w:t xml:space="preserve">مر فی ص 470 بعنوان سمند گیلانی‏</w:t>
      </w:r>
    </w:p>
    <w:p>
      <w:pPr>
        <w:pStyle w:val="Heading3"/>
      </w:pPr>
      <w:bookmarkStart w:id="6827" w:name="_Toc5523"/>
      <w:r>
        <w:t>5144- دیوان علی سهرندی‏</w:t>
      </w:r>
      <w:bookmarkEnd w:id="6827"/>
    </w:p>
    <w:p>
      <w:pPr>
        <w:pStyle w:val="BookText"/>
      </w:pPr>
      <w:r>
        <w:rPr>
          <w:rFonts w:ascii="IRNazanin" w:hAnsi="IRNazanin" w:eastAsia="IRNazanin" w:cs="IRNazanin"/>
          <w:lang w:bidi="fa-IR"/>
          <w:color w:val="111111"/>
          <w:sz w:val="28"/>
          <w:szCs w:val="28"/>
          <w:rtl/>
        </w:rPr>
        <w:t xml:space="preserve">و سماه فی (سرخوش- ص 74- 77) میان ناصر علی و قال إنه مفخر الهند و یحق أن یلقب ملک الشعراء ولد بسهرند (سرهند) و تلمذ علی الشیخ محمد معصوم و تخلص علی و تقرب عند سیف خان حاکم الله‏آباد، و بعد وفاته سافر إلی بیجاپور و تقرب عند ذو الفقار ثم جاء إلی شاه جهان‏آباد و مات بها فی 20 رمضان 1108 عن ستین سنة تقریبا و دفن حوالی قبر نظام الدین الدهلوی ترجمه و أورد شعره فی سرو- ص 129 و (تش- ص 349) و (خز- ص 328) و (نتایج- ص 475) قال دلاوری فی مقدمه تذکره سرخوش المسمی کلمات الشعراء- ص 9 إن سرخوش هو الذی جمع دیوان ناصر علی سرهندی و قال سرخوش إن‏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bookmarkStart w:id="751" w:name="pg11704_122235"/>
    <w:bookmarkEnd w:id="751"/>
    <w:p>
      <w:pPr>
        <w:pStyle w:val="BookText"/>
      </w:pPr>
      <w:r>
        <w:rPr>
          <w:rFonts w:ascii="IRNazanin" w:hAnsi="IRNazanin" w:eastAsia="IRNazanin" w:cs="IRNazanin"/>
          <w:lang w:bidi="fa-IR"/>
          <w:color w:val="111111"/>
          <w:sz w:val="28"/>
          <w:szCs w:val="28"/>
          <w:rtl/>
        </w:rPr>
        <w:t xml:space="preserve">اتهامه بسرقة أشعار ملا ندیم غیر صحیح و طبع دیوانه فی بمبئی 1312 و لکهنو 1846 م و 1892 م فی 112 ص و کانپور 1872 م و جاء بعض مکتوبات ناصر علی فی (خیال- ص 242، 247، 291) و یأتی دیوان ولده باسم علی عظیم‏</w:t>
      </w:r>
    </w:p>
    <w:p>
      <w:pPr>
        <w:pStyle w:val="Heading3"/>
      </w:pPr>
      <w:bookmarkStart w:id="6828" w:name="_Toc5524"/>
      <w:r>
        <w:t>5145- دیوان خواجه علی سیاه‏پوش‏</w:t>
      </w:r>
      <w:bookmarkEnd w:id="6828"/>
    </w:p>
    <w:p>
      <w:pPr>
        <w:pStyle w:val="BookText"/>
      </w:pPr>
      <w:r>
        <w:rPr>
          <w:rFonts w:ascii="IRNazanin" w:hAnsi="IRNazanin" w:eastAsia="IRNazanin" w:cs="IRNazanin"/>
          <w:lang w:bidi="fa-IR"/>
          <w:color w:val="111111"/>
          <w:sz w:val="28"/>
          <w:szCs w:val="28"/>
          <w:rtl/>
        </w:rPr>
        <w:t xml:space="preserve">هو سلطان علی ابن الشیخ صدر الدین موسی سیاه‏پوش الصوفی جلس بعد والده للإرشاد مدة 38 عاما و مات ببیت المقدس فی الثلاثاء 18 رجب 830 و قبره هناک یعرف بسید علی عجم و دیوانه معروف ترجمه کذلک و أورد شعره بتخلص علی فی (دجا- ص 279) عن سلسلة النسب صفویة و عنه فی ریحانة الأدب فی حرف السین و آل سیاه‏پوش معروفون حتی الیوم بآذربایجان و هو غیر السید علی الهمدانی الصوفی المذکور فی 1: 377 المتوفی 776</w:t>
      </w:r>
    </w:p>
    <w:p>
      <w:pPr>
        <w:pStyle w:val="Heading3"/>
      </w:pPr>
      <w:bookmarkStart w:id="6829" w:name="_Toc5525"/>
      <w:r>
        <w:t>دیوان علی شاملو</w:t>
      </w:r>
      <w:bookmarkEnd w:id="6829"/>
    </w:p>
    <w:p>
      <w:pPr>
        <w:pStyle w:val="BookText"/>
      </w:pPr>
      <w:r>
        <w:rPr>
          <w:rFonts w:ascii="IRNazanin" w:hAnsi="IRNazanin" w:eastAsia="IRNazanin" w:cs="IRNazanin"/>
          <w:lang w:bidi="fa-IR"/>
          <w:color w:val="111111"/>
          <w:sz w:val="28"/>
          <w:szCs w:val="28"/>
          <w:rtl/>
        </w:rPr>
        <w:t xml:space="preserve">مر بعنوان رهی شاملو فی ص 395</w:t>
      </w:r>
    </w:p>
    <w:p>
      <w:pPr>
        <w:pStyle w:val="Heading3"/>
      </w:pPr>
      <w:bookmarkStart w:id="6830" w:name="_Toc5526"/>
      <w:r>
        <w:t>دیوان علی شاه دکنی‏</w:t>
      </w:r>
      <w:bookmarkEnd w:id="6830"/>
    </w:p>
    <w:p>
      <w:pPr>
        <w:pStyle w:val="BookText"/>
      </w:pPr>
      <w:r>
        <w:rPr>
          <w:rFonts w:ascii="IRNazanin" w:hAnsi="IRNazanin" w:eastAsia="IRNazanin" w:cs="IRNazanin"/>
          <w:lang w:bidi="fa-IR"/>
          <w:color w:val="111111"/>
          <w:sz w:val="28"/>
          <w:szCs w:val="28"/>
          <w:rtl/>
        </w:rPr>
        <w:t xml:space="preserve">هو رضا علی شاه و ذکر فی ص 366</w:t>
      </w:r>
    </w:p>
    <w:p>
      <w:pPr>
        <w:pStyle w:val="Heading3"/>
      </w:pPr>
      <w:bookmarkStart w:id="6831" w:name="_Toc5527"/>
      <w:r>
        <w:t>5146- دیوان السید علی شاه الشاه عبد العظیمی أو شعره‏</w:t>
      </w:r>
      <w:bookmarkEnd w:id="6831"/>
    </w:p>
    <w:p>
      <w:pPr>
        <w:pStyle w:val="BookText"/>
      </w:pPr>
      <w:r>
        <w:rPr>
          <w:rFonts w:ascii="IRNazanin" w:hAnsi="IRNazanin" w:eastAsia="IRNazanin" w:cs="IRNazanin"/>
          <w:lang w:bidi="fa-IR"/>
          <w:color w:val="111111"/>
          <w:sz w:val="28"/>
          <w:szCs w:val="28"/>
          <w:rtl/>
        </w:rPr>
        <w:t xml:space="preserve">و هو أخ المیر هدایة الله المذکور بعنوان عظیم أورد شعره معاصره فی (تس- 42)</w:t>
      </w:r>
    </w:p>
    <w:p>
      <w:pPr>
        <w:pStyle w:val="Heading3"/>
      </w:pPr>
      <w:bookmarkStart w:id="6832" w:name="_Toc5528"/>
      <w:r>
        <w:t>دیوان علی الشطرنجی‏</w:t>
      </w:r>
      <w:bookmarkEnd w:id="6832"/>
    </w:p>
    <w:p>
      <w:pPr>
        <w:pStyle w:val="BookText"/>
      </w:pPr>
      <w:r>
        <w:rPr>
          <w:rFonts w:ascii="IRNazanin" w:hAnsi="IRNazanin" w:eastAsia="IRNazanin" w:cs="IRNazanin"/>
          <w:lang w:bidi="fa-IR"/>
          <w:color w:val="111111"/>
          <w:sz w:val="28"/>
          <w:szCs w:val="28"/>
          <w:rtl/>
        </w:rPr>
        <w:t xml:space="preserve">السمرقندی و یعرف بدهقان علی شطرنجی کان معاصرا للامعی الجرجانی و مصاحبا لسوزنی ترجمه و أورد شعره فی (مع- ج 1 ص 344) و (روشن- ص 470) و هو متحد ظاهرا مع الشطرنجی السمرقندی المذکور فی ص 526</w:t>
      </w:r>
    </w:p>
    <w:p>
      <w:pPr>
        <w:pStyle w:val="Heading3"/>
      </w:pPr>
      <w:bookmarkStart w:id="6833" w:name="_Toc5529"/>
      <w:r>
        <w:t>دیوان ملا علی شغال‏</w:t>
      </w:r>
      <w:bookmarkEnd w:id="6833"/>
    </w:p>
    <w:p>
      <w:pPr>
        <w:pStyle w:val="BookText"/>
      </w:pPr>
      <w:r>
        <w:rPr>
          <w:rFonts w:ascii="IRNazanin" w:hAnsi="IRNazanin" w:eastAsia="IRNazanin" w:cs="IRNazanin"/>
          <w:lang w:bidi="fa-IR"/>
          <w:color w:val="111111"/>
          <w:sz w:val="28"/>
          <w:szCs w:val="28"/>
          <w:rtl/>
        </w:rPr>
        <w:t xml:space="preserve">راجع دیوان شغال‏</w:t>
      </w:r>
    </w:p>
    <w:p>
      <w:pPr>
        <w:pStyle w:val="Heading3"/>
      </w:pPr>
      <w:bookmarkStart w:id="6834" w:name="_Toc5530"/>
      <w:r>
        <w:t>دیوان علی شماع‏</w:t>
      </w:r>
      <w:bookmarkEnd w:id="6834"/>
    </w:p>
    <w:p>
      <w:pPr>
        <w:pStyle w:val="BookText"/>
      </w:pPr>
      <w:r>
        <w:rPr>
          <w:rFonts w:ascii="IRNazanin" w:hAnsi="IRNazanin" w:eastAsia="IRNazanin" w:cs="IRNazanin"/>
          <w:lang w:bidi="fa-IR"/>
          <w:color w:val="111111"/>
          <w:sz w:val="28"/>
          <w:szCs w:val="28"/>
          <w:rtl/>
        </w:rPr>
        <w:t xml:space="preserve">مر فی ص 323 بعنوان درویش علی‏</w:t>
      </w:r>
    </w:p>
    <w:p>
      <w:pPr>
        <w:pStyle w:val="Heading3"/>
      </w:pPr>
      <w:bookmarkStart w:id="6835" w:name="_Toc5531"/>
      <w:r>
        <w:t>5147- دیوان ملا محمد علی شوشتری أو شعره‏</w:t>
      </w:r>
      <w:bookmarkEnd w:id="6835"/>
    </w:p>
    <w:p>
      <w:pPr>
        <w:pStyle w:val="BookText"/>
      </w:pPr>
      <w:r>
        <w:rPr>
          <w:rFonts w:ascii="IRNazanin" w:hAnsi="IRNazanin" w:eastAsia="IRNazanin" w:cs="IRNazanin"/>
          <w:lang w:bidi="fa-IR"/>
          <w:color w:val="111111"/>
          <w:sz w:val="28"/>
          <w:szCs w:val="28"/>
          <w:rtl/>
        </w:rPr>
        <w:t xml:space="preserve">سکن مدرسة جده بأصفهان و تلمذ علی الآقا حسین الخوانساری ترجمه معاصره فی (نر 6- ص 185)</w:t>
      </w:r>
    </w:p>
    <w:p>
      <w:pPr>
        <w:pStyle w:val="Heading3"/>
      </w:pPr>
      <w:bookmarkStart w:id="6836" w:name="_Toc5532"/>
      <w:r>
        <w:t>دیوان علی شهاب‏</w:t>
      </w:r>
      <w:bookmarkEnd w:id="6836"/>
    </w:p>
    <w:p>
      <w:pPr>
        <w:pStyle w:val="BookText"/>
      </w:pPr>
      <w:r>
        <w:rPr>
          <w:rFonts w:ascii="IRNazanin" w:hAnsi="IRNazanin" w:eastAsia="IRNazanin" w:cs="IRNazanin"/>
          <w:lang w:bidi="fa-IR"/>
          <w:color w:val="111111"/>
          <w:sz w:val="28"/>
          <w:szCs w:val="28"/>
          <w:rtl/>
        </w:rPr>
        <w:t xml:space="preserve">راجع دیوان شهاب ترشیزی فی ص 552</w:t>
      </w:r>
    </w:p>
    <w:p>
      <w:pPr>
        <w:pStyle w:val="Heading3"/>
      </w:pPr>
      <w:bookmarkStart w:id="6837" w:name="_Toc5533"/>
      <w:r>
        <w:t>دیوان السید محمد علی الشهرستانی‏</w:t>
      </w:r>
      <w:bookmarkEnd w:id="6837"/>
    </w:p>
    <w:p>
      <w:pPr>
        <w:pStyle w:val="BookText"/>
      </w:pPr>
      <w:r>
        <w:rPr>
          <w:rFonts w:ascii="IRNazanin" w:hAnsi="IRNazanin" w:eastAsia="IRNazanin" w:cs="IRNazanin"/>
          <w:lang w:bidi="fa-IR"/>
          <w:color w:val="111111"/>
          <w:sz w:val="28"/>
          <w:szCs w:val="28"/>
          <w:rtl/>
        </w:rPr>
        <w:t xml:space="preserve">راجع دیوان هبة الدین الشهرستانی‏</w:t>
      </w:r>
    </w:p>
    <w:p>
      <w:pPr>
        <w:pStyle w:val="Heading3"/>
      </w:pPr>
      <w:bookmarkStart w:id="6838" w:name="_Toc5534"/>
      <w:r>
        <w:t>5148- دیوان علی شهریاری قمی أو شعره‏</w:t>
      </w:r>
      <w:bookmarkEnd w:id="6838"/>
    </w:p>
    <w:p>
      <w:pPr>
        <w:pStyle w:val="BookText"/>
      </w:pPr>
      <w:r>
        <w:rPr>
          <w:rFonts w:ascii="IRNazanin" w:hAnsi="IRNazanin" w:eastAsia="IRNazanin" w:cs="IRNazanin"/>
          <w:lang w:bidi="fa-IR"/>
          <w:color w:val="111111"/>
          <w:sz w:val="28"/>
          <w:szCs w:val="28"/>
          <w:rtl/>
        </w:rPr>
        <w:t xml:space="preserve">کان معاصر الحکیم رکنا ترجمه و أورد شعره معاصره النصرآبادی فی (نر 9- ص 367)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bookmarkStart w:id="752" w:name="pg11704_122236"/>
    <w:bookmarkEnd w:id="752"/>
    <w:p>
      <w:pPr>
        <w:pStyle w:val="Heading3"/>
      </w:pPr>
      <w:bookmarkStart w:id="6839" w:name="_Toc5535"/>
      <w:r>
        <w:t>5149- دیوان الشیخ علی شیخ العراقین‏</w:t>
      </w:r>
      <w:bookmarkEnd w:id="6839"/>
    </w:p>
    <w:p>
      <w:pPr>
        <w:pStyle w:val="BookText"/>
      </w:pPr>
      <w:r>
        <w:rPr>
          <w:rFonts w:ascii="IRNazanin" w:hAnsi="IRNazanin" w:eastAsia="IRNazanin" w:cs="IRNazanin"/>
          <w:lang w:bidi="fa-IR"/>
          <w:color w:val="111111"/>
          <w:sz w:val="28"/>
          <w:szCs w:val="28"/>
          <w:rtl/>
        </w:rPr>
        <w:t xml:space="preserve">هو الشیخ علی بن الشیخ عبد الحسین طبع مراثیه بعنوان معراج المحبة مع گنجینه اسرار لعمان سامانی، علی الحجر فی 142 ص بطهران 1315 و أخری فی 180 ص‏</w:t>
      </w:r>
    </w:p>
    <w:p>
      <w:pPr>
        <w:pStyle w:val="Heading3"/>
      </w:pPr>
      <w:bookmarkStart w:id="6840" w:name="_Toc5536"/>
      <w:r>
        <w:t>دیوان علی شیر نوائی‏</w:t>
      </w:r>
      <w:bookmarkEnd w:id="6840"/>
    </w:p>
    <w:p>
      <w:pPr>
        <w:pStyle w:val="BookText"/>
      </w:pPr>
      <w:r>
        <w:rPr>
          <w:rFonts w:ascii="IRNazanin" w:hAnsi="IRNazanin" w:eastAsia="IRNazanin" w:cs="IRNazanin"/>
          <w:lang w:bidi="fa-IR"/>
          <w:color w:val="111111"/>
          <w:sz w:val="28"/>
          <w:szCs w:val="28"/>
          <w:rtl/>
        </w:rPr>
        <w:t xml:space="preserve">راجع دیوان فانی بالفارسیة و دیوان نوائی بالترکیة</w:t>
      </w:r>
    </w:p>
    <w:p>
      <w:pPr>
        <w:pStyle w:val="Heading3"/>
      </w:pPr>
      <w:bookmarkStart w:id="6841" w:name="_Toc5537"/>
      <w:r>
        <w:t>5150- دیوان الملا علی الشیرازی أو شعره‏</w:t>
      </w:r>
      <w:bookmarkEnd w:id="6841"/>
    </w:p>
    <w:p>
      <w:pPr>
        <w:pStyle w:val="BookText"/>
      </w:pPr>
      <w:r>
        <w:rPr>
          <w:rFonts w:ascii="IRNazanin" w:hAnsi="IRNazanin" w:eastAsia="IRNazanin" w:cs="IRNazanin"/>
          <w:lang w:bidi="fa-IR"/>
          <w:color w:val="111111"/>
          <w:sz w:val="28"/>
          <w:szCs w:val="28"/>
          <w:rtl/>
        </w:rPr>
        <w:t xml:space="preserve">و هو علی بن قاسم بن نعمة الله بن ظهیر الدین الشیرازی المولود بمکة و المتوفی بالهند 1051 ترجمه و ترجم ابنه شهاب الدین أحمد بن الملا علی و أورد کثیرا من شعرهما فی السلافة- ص 172 و 182- 187</w:t>
      </w:r>
    </w:p>
    <w:p>
      <w:pPr>
        <w:pStyle w:val="Heading3"/>
      </w:pPr>
      <w:bookmarkStart w:id="6842" w:name="_Toc5538"/>
      <w:r>
        <w:t>دیوان علی شیرازی‏</w:t>
      </w:r>
      <w:bookmarkEnd w:id="6842"/>
    </w:p>
    <w:p>
      <w:pPr>
        <w:pStyle w:val="BookText"/>
      </w:pPr>
      <w:r>
        <w:rPr>
          <w:rFonts w:ascii="IRNazanin" w:hAnsi="IRNazanin" w:eastAsia="IRNazanin" w:cs="IRNazanin"/>
          <w:lang w:bidi="fa-IR"/>
          <w:color w:val="111111"/>
          <w:sz w:val="28"/>
          <w:szCs w:val="28"/>
          <w:rtl/>
        </w:rPr>
        <w:t xml:space="preserve">راجع جامع شیرازی فی ص 187 و هو ابن الحسین الشیرازی المذکور فی ص 252 ابن عزتی المذکور فی ص 760</w:t>
      </w:r>
    </w:p>
    <w:p>
      <w:pPr>
        <w:pStyle w:val="Heading3"/>
      </w:pPr>
      <w:bookmarkStart w:id="6843" w:name="_Toc5539"/>
      <w:r>
        <w:t>5151- دیوان محمد علی الشیرازی‏</w:t>
      </w:r>
      <w:bookmarkEnd w:id="6843"/>
    </w:p>
    <w:p>
      <w:pPr>
        <w:pStyle w:val="BookText"/>
      </w:pPr>
      <w:r>
        <w:rPr>
          <w:rFonts w:ascii="IRNazanin" w:hAnsi="IRNazanin" w:eastAsia="IRNazanin" w:cs="IRNazanin"/>
          <w:lang w:bidi="fa-IR"/>
          <w:color w:val="111111"/>
          <w:sz w:val="28"/>
          <w:szCs w:val="28"/>
          <w:rtl/>
        </w:rPr>
        <w:t xml:space="preserve">الفقیه الأدیب سافر إلی کرمان فی أواسط المائة الثالث عشرة له معیار اللغة ألفه بکرمان بأمر الحاج کریم خان، و طبع بإیران، و مات بعد 1300 بکرمان و دیوانه فی حدود الألف بیت بالعربیة موجود بخطه عند السید محمد الهاشمی بطهران‏</w:t>
      </w:r>
    </w:p>
    <w:p>
      <w:pPr>
        <w:pStyle w:val="Heading3"/>
      </w:pPr>
      <w:bookmarkStart w:id="6844" w:name="_Toc5540"/>
      <w:r>
        <w:t>دیوان علی صوتی‏</w:t>
      </w:r>
      <w:bookmarkEnd w:id="6844"/>
    </w:p>
    <w:p>
      <w:pPr>
        <w:pStyle w:val="BookText"/>
      </w:pPr>
      <w:r>
        <w:rPr>
          <w:rFonts w:ascii="IRNazanin" w:hAnsi="IRNazanin" w:eastAsia="IRNazanin" w:cs="IRNazanin"/>
          <w:lang w:bidi="fa-IR"/>
          <w:color w:val="111111"/>
          <w:sz w:val="28"/>
          <w:szCs w:val="28"/>
          <w:rtl/>
        </w:rPr>
        <w:t xml:space="preserve">راجع دیوان صوتی یزدی فی ص 620</w:t>
      </w:r>
    </w:p>
    <w:p>
      <w:pPr>
        <w:pStyle w:val="Heading3"/>
      </w:pPr>
      <w:bookmarkStart w:id="6845" w:name="_Toc5541"/>
      <w:r>
        <w:t>5152- دیوان السید علی العاملی أو شعره‏</w:t>
      </w:r>
      <w:bookmarkEnd w:id="6845"/>
    </w:p>
    <w:p>
      <w:pPr>
        <w:pStyle w:val="BookText"/>
      </w:pPr>
      <w:r>
        <w:rPr>
          <w:rFonts w:ascii="IRNazanin" w:hAnsi="IRNazanin" w:eastAsia="IRNazanin" w:cs="IRNazanin"/>
          <w:lang w:bidi="fa-IR"/>
          <w:color w:val="111111"/>
          <w:sz w:val="28"/>
          <w:szCs w:val="28"/>
          <w:rtl/>
        </w:rPr>
        <w:t xml:space="preserve">هو ابن السید مساعد الذی نزل عباس‏آباد أصفهان و بها توفی ترجمه النصرآبادی و أورد ملمعاته فی (نر 9- ص 398)</w:t>
      </w:r>
    </w:p>
    <w:p>
      <w:pPr>
        <w:pStyle w:val="Heading3"/>
      </w:pPr>
      <w:bookmarkStart w:id="6846" w:name="_Toc5542"/>
      <w:r>
        <w:t>5153- دیوان المولی علی العلیاری‏</w:t>
      </w:r>
      <w:bookmarkEnd w:id="6846"/>
    </w:p>
    <w:p>
      <w:pPr>
        <w:pStyle w:val="BookText"/>
      </w:pPr>
      <w:r>
        <w:rPr>
          <w:rFonts w:ascii="IRNazanin" w:hAnsi="IRNazanin" w:eastAsia="IRNazanin" w:cs="IRNazanin"/>
          <w:lang w:bidi="fa-IR"/>
          <w:color w:val="111111"/>
          <w:sz w:val="28"/>
          <w:szCs w:val="28"/>
          <w:rtl/>
        </w:rPr>
        <w:t xml:space="preserve">ابن المولی عبد الله بن محمد بن جعفر بن محب الله العلیاری التبریزی مؤلف بهجة الآمال فی الرجال، و له تتمیم منظومة زبدة المقال فی الرجال و شرحه کما مر فی ج 3 ص 160 و ج 10 ص 136</w:t>
      </w:r>
    </w:p>
    <w:p>
      <w:pPr>
        <w:pStyle w:val="Heading3"/>
      </w:pPr>
      <w:bookmarkStart w:id="6847" w:name="_Toc5543"/>
      <w:r>
        <w:t>5154- دیوان علی عظیم سهرندی أو شعره‏</w:t>
      </w:r>
      <w:bookmarkEnd w:id="6847"/>
    </w:p>
    <w:p>
      <w:pPr>
        <w:pStyle w:val="BookText"/>
      </w:pPr>
      <w:r>
        <w:rPr>
          <w:rFonts w:ascii="IRNazanin" w:hAnsi="IRNazanin" w:eastAsia="IRNazanin" w:cs="IRNazanin"/>
          <w:lang w:bidi="fa-IR"/>
          <w:color w:val="111111"/>
          <w:sz w:val="28"/>
          <w:szCs w:val="28"/>
          <w:rtl/>
        </w:rPr>
        <w:t xml:space="preserve">و هو الشیخ علی بن ناصر علی السهرندی (السرهندی) من شعراء محمد شاه الهندی، و مات فی أواسط القرن الثانی عشر ترجمه و أورد شعره فی (نتایج- ص 495)</w:t>
      </w:r>
    </w:p>
    <w:p>
      <w:pPr>
        <w:pStyle w:val="Heading3"/>
      </w:pPr>
      <w:bookmarkStart w:id="6848" w:name="_Toc5544"/>
      <w:r>
        <w:t>دیوان علی فرنگی‏</w:t>
      </w:r>
      <w:bookmarkEnd w:id="6848"/>
    </w:p>
    <w:p>
      <w:pPr>
        <w:pStyle w:val="BookText"/>
      </w:pPr>
      <w:r>
        <w:rPr>
          <w:rFonts w:ascii="IRNazanin" w:hAnsi="IRNazanin" w:eastAsia="IRNazanin" w:cs="IRNazanin"/>
          <w:lang w:bidi="fa-IR"/>
          <w:color w:val="111111"/>
          <w:sz w:val="28"/>
          <w:szCs w:val="28"/>
          <w:rtl/>
        </w:rPr>
        <w:t xml:space="preserve">راجع علی نقاش‏</w:t>
      </w:r>
    </w:p>
    <w:p>
      <w:pPr>
        <w:pStyle w:val="Heading3"/>
      </w:pPr>
      <w:bookmarkStart w:id="6849" w:name="_Toc5545"/>
      <w:r>
        <w:t>دیوان علی فیضی‏</w:t>
      </w:r>
      <w:bookmarkEnd w:id="6849"/>
    </w:p>
    <w:p>
      <w:pPr>
        <w:pStyle w:val="BookText"/>
      </w:pPr>
      <w:r>
        <w:rPr>
          <w:rFonts w:ascii="IRNazanin" w:hAnsi="IRNazanin" w:eastAsia="IRNazanin" w:cs="IRNazanin"/>
          <w:lang w:bidi="fa-IR"/>
          <w:color w:val="111111"/>
          <w:sz w:val="28"/>
          <w:szCs w:val="28"/>
          <w:rtl/>
        </w:rPr>
        <w:t xml:space="preserve">یأتی فی الفاء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bookmarkStart w:id="753" w:name="pg11704_122237"/>
    <w:bookmarkEnd w:id="753"/>
    <w:p>
      <w:pPr>
        <w:pStyle w:val="Heading3"/>
      </w:pPr>
      <w:bookmarkStart w:id="6850" w:name="_Toc5546"/>
      <w:r>
        <w:t>دیوان علی قاینی‏</w:t>
      </w:r>
      <w:bookmarkEnd w:id="6850"/>
    </w:p>
    <w:p>
      <w:pPr>
        <w:pStyle w:val="BookText"/>
      </w:pPr>
      <w:r>
        <w:rPr>
          <w:rFonts w:ascii="IRNazanin" w:hAnsi="IRNazanin" w:eastAsia="IRNazanin" w:cs="IRNazanin"/>
          <w:lang w:bidi="fa-IR"/>
          <w:color w:val="111111"/>
          <w:sz w:val="28"/>
          <w:szCs w:val="28"/>
          <w:rtl/>
        </w:rPr>
        <w:t xml:space="preserve">راجع دیوان سلطان علی قاینی فی ص 458</w:t>
      </w:r>
    </w:p>
    <w:p>
      <w:pPr>
        <w:pStyle w:val="Heading3"/>
      </w:pPr>
      <w:bookmarkStart w:id="6851" w:name="_Toc5547"/>
      <w:r>
        <w:t>5155- دیوان السید علی القائنی أو شعره‏</w:t>
      </w:r>
      <w:bookmarkEnd w:id="6851"/>
    </w:p>
    <w:p>
      <w:pPr>
        <w:pStyle w:val="BookText"/>
      </w:pPr>
      <w:r>
        <w:rPr>
          <w:rFonts w:ascii="IRNazanin" w:hAnsi="IRNazanin" w:eastAsia="IRNazanin" w:cs="IRNazanin"/>
          <w:lang w:bidi="fa-IR"/>
          <w:color w:val="111111"/>
          <w:sz w:val="28"/>
          <w:szCs w:val="28"/>
          <w:rtl/>
        </w:rPr>
        <w:t xml:space="preserve">هو ابن السید عابد کان واعظا خطیبا بخراسان و هرات، خطب باسم الأئمة فی هرات بأمر السلطان حسین بایقرا فی 903 فهجم علیه العوام و مات بنیشابور ترجمه و أورد قصیدته فی بهارستان فی تاریخ قهستان ص 220- 226 عن مجالس المؤمنین و تاریخ ابن حسام و قال کان له ذهنا وقادا یحفظ القصائد بسماع واحد</w:t>
      </w:r>
    </w:p>
    <w:p>
      <w:pPr>
        <w:pStyle w:val="Heading3"/>
      </w:pPr>
      <w:bookmarkStart w:id="6852" w:name="_Toc5548"/>
      <w:r>
        <w:t>5156- دیوان الشیخ علی القطیفی‏</w:t>
      </w:r>
      <w:bookmarkEnd w:id="6852"/>
    </w:p>
    <w:p>
      <w:pPr>
        <w:pStyle w:val="BookText"/>
      </w:pPr>
      <w:r>
        <w:rPr>
          <w:rFonts w:ascii="IRNazanin" w:hAnsi="IRNazanin" w:eastAsia="IRNazanin" w:cs="IRNazanin"/>
          <w:lang w:bidi="fa-IR"/>
          <w:color w:val="111111"/>
          <w:sz w:val="28"/>
          <w:szCs w:val="28"/>
          <w:rtl/>
        </w:rPr>
        <w:t xml:space="preserve">و هو علی بن سلیمان بن أحمد آل عبد الجبار القطیفی فی أربعة آلاف بیت من المدائح و المراثی ذکره لنا ابن أخته الشیخ محمد صالح بن أحمد آل طعان الستری‏</w:t>
      </w:r>
    </w:p>
    <w:p>
      <w:pPr>
        <w:pStyle w:val="Heading3"/>
      </w:pPr>
      <w:bookmarkStart w:id="6853" w:name="_Toc5549"/>
      <w:r>
        <w:t>5157- دیوان علی قلی خان أو شعره‏</w:t>
      </w:r>
      <w:bookmarkEnd w:id="6853"/>
    </w:p>
    <w:p>
      <w:pPr>
        <w:pStyle w:val="BookText"/>
      </w:pPr>
      <w:r>
        <w:rPr>
          <w:rFonts w:ascii="IRNazanin" w:hAnsi="IRNazanin" w:eastAsia="IRNazanin" w:cs="IRNazanin"/>
          <w:lang w:bidi="fa-IR"/>
          <w:color w:val="111111"/>
          <w:sz w:val="28"/>
          <w:szCs w:val="28"/>
          <w:rtl/>
        </w:rPr>
        <w:t xml:space="preserve">أورد شعره فی (مسرت- ص 79) و لعله مؤلف إحیاء حکمت و والد صفای قمی المذکور فی ص 609 أو أعظم شاملو المذکور فی ص 82 أو أحد الآتیین بعد هذا</w:t>
      </w:r>
    </w:p>
    <w:p>
      <w:pPr>
        <w:pStyle w:val="Heading3"/>
      </w:pPr>
      <w:bookmarkStart w:id="6854" w:name="_Toc5550"/>
      <w:r>
        <w:t>5158- دیوان علی قلی خان أو شعره‏</w:t>
      </w:r>
      <w:bookmarkEnd w:id="6854"/>
    </w:p>
    <w:p>
      <w:pPr>
        <w:pStyle w:val="BookText"/>
      </w:pPr>
      <w:r>
        <w:rPr>
          <w:rFonts w:ascii="IRNazanin" w:hAnsi="IRNazanin" w:eastAsia="IRNazanin" w:cs="IRNazanin"/>
          <w:lang w:bidi="fa-IR"/>
          <w:color w:val="111111"/>
          <w:sz w:val="28"/>
          <w:szCs w:val="28"/>
          <w:rtl/>
        </w:rPr>
        <w:t xml:space="preserve">و هو ابن شاهوردی خان والی لر کوچک و نزیل مشهد خراسان منفیا إلی أن توفی بها ترجمه النصرآبادی فی (نر- 2 ص 32) (روشن- 471) و أورد شعره‏</w:t>
      </w:r>
    </w:p>
    <w:p>
      <w:pPr>
        <w:pStyle w:val="Heading3"/>
      </w:pPr>
      <w:bookmarkStart w:id="6855" w:name="_Toc5551"/>
      <w:r>
        <w:t>دیوان ملا علی قلی خلخالی واقف‏</w:t>
      </w:r>
      <w:bookmarkEnd w:id="6855"/>
    </w:p>
    <w:p>
      <w:pPr>
        <w:pStyle w:val="BookText"/>
      </w:pPr>
      <w:r>
        <w:rPr>
          <w:rFonts w:ascii="IRNazanin" w:hAnsi="IRNazanin" w:eastAsia="IRNazanin" w:cs="IRNazanin"/>
          <w:lang w:bidi="fa-IR"/>
          <w:color w:val="111111"/>
          <w:sz w:val="28"/>
          <w:szCs w:val="28"/>
          <w:rtl/>
        </w:rPr>
        <w:t xml:space="preserve">ابن أخت المولی واقف الخلخالی ترجمه النصرآبادی فی (نر 6- ص 173) و أورد شعره یأتی فی الواو</w:t>
      </w:r>
    </w:p>
    <w:p>
      <w:pPr>
        <w:pStyle w:val="Heading3"/>
      </w:pPr>
      <w:bookmarkStart w:id="6856" w:name="_Toc5552"/>
      <w:r>
        <w:t>دیوان علی قلی دامغانی‏</w:t>
      </w:r>
      <w:bookmarkEnd w:id="6856"/>
    </w:p>
    <w:p>
      <w:pPr>
        <w:pStyle w:val="BookText"/>
      </w:pPr>
      <w:r>
        <w:rPr>
          <w:rFonts w:ascii="IRNazanin" w:hAnsi="IRNazanin" w:eastAsia="IRNazanin" w:cs="IRNazanin"/>
          <w:lang w:bidi="fa-IR"/>
          <w:color w:val="111111"/>
          <w:sz w:val="28"/>
          <w:szCs w:val="28"/>
          <w:rtl/>
        </w:rPr>
        <w:t xml:space="preserve">المتخلص ماهر ترجمه النصرآبادی فی (نر 5- ص 141) و أورد شعره یأتی فی المیم‏</w:t>
      </w:r>
    </w:p>
    <w:p>
      <w:pPr>
        <w:pStyle w:val="Heading3"/>
      </w:pPr>
      <w:bookmarkStart w:id="6857" w:name="_Toc5553"/>
      <w:r>
        <w:t>دیوان علی قلی داغستانی‏</w:t>
      </w:r>
      <w:bookmarkEnd w:id="6857"/>
    </w:p>
    <w:p>
      <w:pPr>
        <w:pStyle w:val="BookText"/>
      </w:pPr>
      <w:r>
        <w:rPr>
          <w:rFonts w:ascii="IRNazanin" w:hAnsi="IRNazanin" w:eastAsia="IRNazanin" w:cs="IRNazanin"/>
          <w:lang w:bidi="fa-IR"/>
          <w:color w:val="111111"/>
          <w:sz w:val="28"/>
          <w:szCs w:val="28"/>
          <w:rtl/>
        </w:rPr>
        <w:t xml:space="preserve">راجع واله داغستانی‏</w:t>
      </w:r>
    </w:p>
    <w:p>
      <w:pPr>
        <w:pStyle w:val="Heading3"/>
      </w:pPr>
      <w:bookmarkStart w:id="6858" w:name="_Toc5554"/>
      <w:r>
        <w:t>دیوان علی قمی‏</w:t>
      </w:r>
      <w:bookmarkEnd w:id="6858"/>
    </w:p>
    <w:p>
      <w:pPr>
        <w:pStyle w:val="BookText"/>
      </w:pPr>
      <w:r>
        <w:rPr>
          <w:rFonts w:ascii="IRNazanin" w:hAnsi="IRNazanin" w:eastAsia="IRNazanin" w:cs="IRNazanin"/>
          <w:lang w:bidi="fa-IR"/>
          <w:color w:val="111111"/>
          <w:sz w:val="28"/>
          <w:szCs w:val="28"/>
          <w:rtl/>
        </w:rPr>
        <w:t xml:space="preserve">أورد شعره فی (سرخوش- ص 81) و لعله أراد ابن أخ المولی عبد الرزاق اللاهیجی الآتی فی الفاء بتخلصه فائز أو تلمیذ عبد الرزاق المتخلص واحد الآتی فی الواو</w:t>
      </w:r>
    </w:p>
    <w:p>
      <w:pPr>
        <w:pStyle w:val="Heading3"/>
      </w:pPr>
      <w:bookmarkStart w:id="6859" w:name="_Toc5555"/>
      <w:r>
        <w:t>5159- دیوان علی قمی أو شعره‏</w:t>
      </w:r>
      <w:bookmarkEnd w:id="6859"/>
    </w:p>
    <w:p>
      <w:pPr>
        <w:pStyle w:val="BookText"/>
      </w:pPr>
      <w:r>
        <w:rPr>
          <w:rFonts w:ascii="IRNazanin" w:hAnsi="IRNazanin" w:eastAsia="IRNazanin" w:cs="IRNazanin"/>
          <w:lang w:bidi="fa-IR"/>
          <w:color w:val="111111"/>
          <w:sz w:val="28"/>
          <w:szCs w:val="28"/>
          <w:rtl/>
        </w:rPr>
        <w:t xml:space="preserve">و اسمه محمد علی ابن أخ آقا رضی وزیر قم و ابن عم محمد رضا قمی المذکور فی ص 367 قال فی (نر 5- ص 113) إنه ماهر فی‏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bookmarkStart w:id="754" w:name="pg11704_122238"/>
    <w:bookmarkEnd w:id="754"/>
    <w:p>
      <w:pPr>
        <w:pStyle w:val="BookText"/>
      </w:pPr>
      <w:r>
        <w:rPr>
          <w:rFonts w:ascii="IRNazanin" w:hAnsi="IRNazanin" w:eastAsia="IRNazanin" w:cs="IRNazanin"/>
          <w:lang w:bidi="fa-IR"/>
          <w:color w:val="111111"/>
          <w:sz w:val="28"/>
          <w:szCs w:val="28"/>
          <w:rtl/>
        </w:rPr>
        <w:t xml:space="preserve">الفنون و متبحر فی العلوم الرسمیة و أورد شعره‏</w:t>
      </w:r>
    </w:p>
    <w:p>
      <w:pPr>
        <w:pStyle w:val="Heading3"/>
      </w:pPr>
      <w:bookmarkStart w:id="6860" w:name="_Toc5556"/>
      <w:r>
        <w:t>دیوان علی کاتب‏</w:t>
      </w:r>
      <w:bookmarkEnd w:id="6860"/>
    </w:p>
    <w:p>
      <w:pPr>
        <w:pStyle w:val="BookText"/>
      </w:pPr>
      <w:r>
        <w:rPr>
          <w:rFonts w:ascii="IRNazanin" w:hAnsi="IRNazanin" w:eastAsia="IRNazanin" w:cs="IRNazanin"/>
          <w:lang w:bidi="fa-IR"/>
          <w:color w:val="111111"/>
          <w:sz w:val="28"/>
          <w:szCs w:val="28"/>
          <w:rtl/>
        </w:rPr>
        <w:t xml:space="preserve">راجع سلطان علی مشهدی، و علی هروی، و سلطان علی قاینی و علی تبریزی‏</w:t>
      </w:r>
    </w:p>
    <w:p>
      <w:pPr>
        <w:pStyle w:val="Heading3"/>
      </w:pPr>
      <w:bookmarkStart w:id="6861" w:name="_Toc5557"/>
      <w:r>
        <w:t>دیوان السید علی الکازرونی‏</w:t>
      </w:r>
      <w:bookmarkEnd w:id="6861"/>
    </w:p>
    <w:p>
      <w:pPr>
        <w:pStyle w:val="BookText"/>
      </w:pPr>
      <w:r>
        <w:rPr>
          <w:rFonts w:ascii="IRNazanin" w:hAnsi="IRNazanin" w:eastAsia="IRNazanin" w:cs="IRNazanin"/>
          <w:lang w:bidi="fa-IR"/>
          <w:color w:val="111111"/>
          <w:sz w:val="28"/>
          <w:szCs w:val="28"/>
          <w:rtl/>
        </w:rPr>
        <w:t xml:space="preserve">راجع علی بن عباس‏</w:t>
      </w:r>
    </w:p>
    <w:p>
      <w:pPr>
        <w:pStyle w:val="Heading3"/>
      </w:pPr>
      <w:bookmarkStart w:id="6862" w:name="_Toc5558"/>
      <w:r>
        <w:t>دیوان الشیخ علی کاشف الغطاء</w:t>
      </w:r>
      <w:bookmarkEnd w:id="6862"/>
    </w:p>
    <w:p>
      <w:pPr>
        <w:pStyle w:val="BookText"/>
      </w:pPr>
      <w:r>
        <w:rPr>
          <w:rFonts w:ascii="IRNazanin" w:hAnsi="IRNazanin" w:eastAsia="IRNazanin" w:cs="IRNazanin"/>
          <w:lang w:bidi="fa-IR"/>
          <w:color w:val="111111"/>
          <w:sz w:val="28"/>
          <w:szCs w:val="28"/>
          <w:rtl/>
        </w:rPr>
        <w:t xml:space="preserve">مر بعنوان علی بن جعفر</w:t>
      </w:r>
    </w:p>
    <w:p>
      <w:pPr>
        <w:pStyle w:val="Heading3"/>
      </w:pPr>
      <w:bookmarkStart w:id="6863" w:name="_Toc5559"/>
      <w:r>
        <w:t>5160- دیوان ملا میر علی کاشی أو شعره‏</w:t>
      </w:r>
      <w:bookmarkEnd w:id="6863"/>
    </w:p>
    <w:p>
      <w:pPr>
        <w:pStyle w:val="BookText"/>
      </w:pPr>
      <w:r>
        <w:rPr>
          <w:rFonts w:ascii="IRNazanin" w:hAnsi="IRNazanin" w:eastAsia="IRNazanin" w:cs="IRNazanin"/>
          <w:lang w:bidi="fa-IR"/>
          <w:color w:val="111111"/>
          <w:sz w:val="28"/>
          <w:szCs w:val="28"/>
          <w:rtl/>
        </w:rPr>
        <w:t xml:space="preserve">المعاصر للشاه عباس الأول قال النصرآبادی فی (نر 13- ص 484) لما قتل الشاه ابنه حقی میرزا ذمه الشاعر و أنشد مؤرخا:</w:t>
      </w:r>
    </w:p>
    <w:p>
      <w:pPr>
        <w:pStyle w:val="BookText"/>
      </w:pPr>
      <w:r>
        <w:rPr>
          <w:rFonts w:ascii="IRNazanin" w:hAnsi="IRNazanin" w:eastAsia="IRNazanin" w:cs="IRNazanin"/>
          <w:lang w:bidi="fa-IR"/>
          <w:color w:val="111111"/>
          <w:sz w:val="28"/>
          <w:szCs w:val="28"/>
          <w:rtl/>
        </w:rPr>
        <w:t xml:space="preserve">هر که فرزند جگر گوشه خود را بکشد</w:t>
      </w:r>
    </w:p>
    <w:p>
      <w:pPr>
        <w:pStyle w:val="BookText"/>
      </w:pPr>
      <w:r>
        <w:rPr>
          <w:rFonts w:ascii="IRNazanin" w:hAnsi="IRNazanin" w:eastAsia="IRNazanin" w:cs="IRNazanin"/>
          <w:lang w:bidi="fa-IR"/>
          <w:color w:val="111111"/>
          <w:sz w:val="28"/>
          <w:szCs w:val="28"/>
          <w:rtl/>
        </w:rPr>
        <w:t xml:space="preserve">(ثانی حارث 1022) بی‏رحم بود تاریخش‏</w:t>
      </w:r>
    </w:p>
    <w:p>
      <w:pPr>
        <w:pStyle w:val="Heading3"/>
      </w:pPr>
      <w:bookmarkStart w:id="6864" w:name="_Toc5560"/>
      <w:r>
        <w:t>دیوان ملا علی کاشی‏</w:t>
      </w:r>
      <w:bookmarkEnd w:id="6864"/>
    </w:p>
    <w:p>
      <w:pPr>
        <w:pStyle w:val="BookText"/>
      </w:pPr>
      <w:r>
        <w:rPr>
          <w:rFonts w:ascii="IRNazanin" w:hAnsi="IRNazanin" w:eastAsia="IRNazanin" w:cs="IRNazanin"/>
          <w:lang w:bidi="fa-IR"/>
          <w:color w:val="111111"/>
          <w:sz w:val="28"/>
          <w:szCs w:val="28"/>
          <w:rtl/>
        </w:rPr>
        <w:t xml:space="preserve">مر بعنوان حالی کاشانی فی ص 227</w:t>
      </w:r>
    </w:p>
    <w:p>
      <w:pPr>
        <w:pStyle w:val="Heading3"/>
      </w:pPr>
      <w:bookmarkStart w:id="6865" w:name="_Toc5561"/>
      <w:r>
        <w:t>دیوان علی کرمانی‏</w:t>
      </w:r>
      <w:bookmarkEnd w:id="6865"/>
    </w:p>
    <w:p>
      <w:pPr>
        <w:pStyle w:val="BookText"/>
      </w:pPr>
      <w:r>
        <w:rPr>
          <w:rFonts w:ascii="IRNazanin" w:hAnsi="IRNazanin" w:eastAsia="IRNazanin" w:cs="IRNazanin"/>
          <w:lang w:bidi="fa-IR"/>
          <w:color w:val="111111"/>
          <w:sz w:val="28"/>
          <w:szCs w:val="28"/>
          <w:rtl/>
        </w:rPr>
        <w:t xml:space="preserve">راجع علی رضا کرمانی‏</w:t>
      </w:r>
    </w:p>
    <w:p>
      <w:pPr>
        <w:pStyle w:val="Heading3"/>
      </w:pPr>
      <w:bookmarkStart w:id="6866" w:name="_Toc5562"/>
      <w:r>
        <w:t>5161- دیوان السید علی کمونة أو شعره‏</w:t>
      </w:r>
      <w:bookmarkEnd w:id="6866"/>
    </w:p>
    <w:p>
      <w:pPr>
        <w:pStyle w:val="BookText"/>
      </w:pPr>
      <w:r>
        <w:rPr>
          <w:rFonts w:ascii="IRNazanin" w:hAnsi="IRNazanin" w:eastAsia="IRNazanin" w:cs="IRNazanin"/>
          <w:lang w:bidi="fa-IR"/>
          <w:color w:val="111111"/>
          <w:sz w:val="28"/>
          <w:szCs w:val="28"/>
          <w:rtl/>
        </w:rPr>
        <w:t xml:space="preserve">هو ابن أخ السید محمد الثانی وصفه فی (تس 2- ص 45) أنه شاب شجاع من خدام الشاه طهماسب و أورد شعره‏</w:t>
      </w:r>
    </w:p>
    <w:p>
      <w:pPr>
        <w:pStyle w:val="Heading3"/>
      </w:pPr>
      <w:bookmarkStart w:id="6867" w:name="_Toc5563"/>
      <w:r>
        <w:t>دیوان محمد علی کمونة</w:t>
      </w:r>
      <w:bookmarkEnd w:id="6867"/>
    </w:p>
    <w:p>
      <w:pPr>
        <w:pStyle w:val="BookText"/>
      </w:pPr>
      <w:r>
        <w:rPr>
          <w:rFonts w:ascii="IRNazanin" w:hAnsi="IRNazanin" w:eastAsia="IRNazanin" w:cs="IRNazanin"/>
          <w:lang w:bidi="fa-IR"/>
          <w:color w:val="111111"/>
          <w:sz w:val="28"/>
          <w:szCs w:val="28"/>
          <w:rtl/>
        </w:rPr>
        <w:t xml:space="preserve">راجع دیوان ابن کمونة فی ص 28 و یأتی فی الکاف دیوان کمونة</w:t>
      </w:r>
    </w:p>
    <w:p>
      <w:pPr>
        <w:pStyle w:val="Heading3"/>
      </w:pPr>
      <w:bookmarkStart w:id="6868" w:name="_Toc5564"/>
      <w:r>
        <w:t>5162- دیوان علی لغری أو شعره‏</w:t>
      </w:r>
      <w:bookmarkEnd w:id="6868"/>
    </w:p>
    <w:p>
      <w:pPr>
        <w:pStyle w:val="BookText"/>
      </w:pPr>
      <w:r>
        <w:rPr>
          <w:rFonts w:ascii="IRNazanin" w:hAnsi="IRNazanin" w:eastAsia="IRNazanin" w:cs="IRNazanin"/>
          <w:lang w:bidi="fa-IR"/>
          <w:color w:val="111111"/>
          <w:sz w:val="28"/>
          <w:szCs w:val="28"/>
          <w:rtl/>
        </w:rPr>
        <w:t xml:space="preserve">و اسمه علی محمد خان لغری المتوفی 1250 من شعراء بلوچستان و مکران له أنیس السالکین کما فی حاشیة روضات الجنات فی تاریخ هرات- ص 538</w:t>
      </w:r>
    </w:p>
    <w:p>
      <w:pPr>
        <w:pStyle w:val="Heading3"/>
      </w:pPr>
      <w:bookmarkStart w:id="6869" w:name="_Toc5565"/>
      <w:r>
        <w:t>دیوان محمد علی ماهر</w:t>
      </w:r>
      <w:bookmarkEnd w:id="6869"/>
    </w:p>
    <w:p>
      <w:pPr>
        <w:pStyle w:val="BookText"/>
      </w:pPr>
      <w:r>
        <w:rPr>
          <w:rFonts w:ascii="IRNazanin" w:hAnsi="IRNazanin" w:eastAsia="IRNazanin" w:cs="IRNazanin"/>
          <w:lang w:bidi="fa-IR"/>
          <w:color w:val="111111"/>
          <w:sz w:val="28"/>
          <w:szCs w:val="28"/>
          <w:rtl/>
        </w:rPr>
        <w:t xml:space="preserve">یأتی فی المیم‏</w:t>
      </w:r>
    </w:p>
    <w:p>
      <w:pPr>
        <w:pStyle w:val="Heading3"/>
      </w:pPr>
      <w:bookmarkStart w:id="6870" w:name="_Toc5566"/>
      <w:r>
        <w:t>5163- دیوان علیم بهاری أو شعره‏</w:t>
      </w:r>
      <w:bookmarkEnd w:id="6870"/>
    </w:p>
    <w:p>
      <w:pPr>
        <w:pStyle w:val="BookText"/>
      </w:pPr>
      <w:r>
        <w:rPr>
          <w:rFonts w:ascii="IRNazanin" w:hAnsi="IRNazanin" w:eastAsia="IRNazanin" w:cs="IRNazanin"/>
          <w:lang w:bidi="fa-IR"/>
          <w:color w:val="111111"/>
          <w:sz w:val="28"/>
          <w:szCs w:val="28"/>
          <w:rtl/>
        </w:rPr>
        <w:t xml:space="preserve">أورد شعره فی (نر 10- ص 443) قال و اسمه ملا بقا</w:t>
      </w:r>
    </w:p>
    <w:p>
      <w:pPr>
        <w:pStyle w:val="Heading3"/>
      </w:pPr>
      <w:bookmarkStart w:id="6871" w:name="_Toc5567"/>
      <w:r>
        <w:t>5164- دیوان علی متکلم رازی‏</w:t>
      </w:r>
      <w:bookmarkEnd w:id="6871"/>
    </w:p>
    <w:p>
      <w:pPr>
        <w:pStyle w:val="BookText"/>
      </w:pPr>
      <w:r>
        <w:rPr>
          <w:rFonts w:ascii="IRNazanin" w:hAnsi="IRNazanin" w:eastAsia="IRNazanin" w:cs="IRNazanin"/>
          <w:lang w:bidi="fa-IR"/>
          <w:color w:val="111111"/>
          <w:sz w:val="28"/>
          <w:szCs w:val="28"/>
          <w:rtl/>
        </w:rPr>
        <w:t xml:space="preserve">ذکره عبد الجلیل الرازی فی کتاب نقض مثالب النواصب- ص 239 و 252 و 628</w:t>
      </w:r>
    </w:p>
    <w:p>
      <w:pPr>
        <w:pStyle w:val="Heading3"/>
      </w:pPr>
      <w:bookmarkStart w:id="6872" w:name="_Toc5568"/>
      <w:r>
        <w:t>5165- دیوان علی محمد احتشام أولیائی‏</w:t>
      </w:r>
      <w:bookmarkEnd w:id="6872"/>
    </w:p>
    <w:p>
      <w:pPr>
        <w:pStyle w:val="BookText"/>
      </w:pPr>
      <w:r>
        <w:rPr>
          <w:rFonts w:ascii="IRNazanin" w:hAnsi="IRNazanin" w:eastAsia="IRNazanin" w:cs="IRNazanin"/>
          <w:lang w:bidi="fa-IR"/>
          <w:color w:val="111111"/>
          <w:sz w:val="28"/>
          <w:szCs w:val="28"/>
          <w:rtl/>
        </w:rPr>
        <w:t xml:space="preserve">طبع له منظومة وحدت ملی بالفارسیة فی 1352 فی 92 ص‏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bookmarkStart w:id="755" w:name="pg11704_122239"/>
    <w:bookmarkEnd w:id="755"/>
    <w:p>
      <w:pPr>
        <w:pStyle w:val="Heading3"/>
      </w:pPr>
      <w:bookmarkStart w:id="6873" w:name="_Toc5569"/>
      <w:r>
        <w:t>5166- دیوان علی محمد أویسی‏</w:t>
      </w:r>
      <w:bookmarkEnd w:id="6873"/>
    </w:p>
    <w:p>
      <w:pPr>
        <w:pStyle w:val="BookText"/>
      </w:pPr>
      <w:r>
        <w:rPr>
          <w:rFonts w:ascii="IRNazanin" w:hAnsi="IRNazanin" w:eastAsia="IRNazanin" w:cs="IRNazanin"/>
          <w:lang w:bidi="fa-IR"/>
          <w:color w:val="111111"/>
          <w:sz w:val="28"/>
          <w:szCs w:val="28"/>
          <w:rtl/>
        </w:rPr>
        <w:t xml:space="preserve">طبع له منظومة فارسیة باسم سرگذشت پرویز بأستانبول 1330 ش فی 48 ص‏</w:t>
      </w:r>
    </w:p>
    <w:p>
      <w:pPr>
        <w:pStyle w:val="Heading3"/>
      </w:pPr>
      <w:bookmarkStart w:id="6874" w:name="_Toc5570"/>
      <w:r>
        <w:t>دیوان علی محمد أدیب بیضائی‏</w:t>
      </w:r>
      <w:bookmarkEnd w:id="6874"/>
    </w:p>
    <w:p>
      <w:pPr>
        <w:pStyle w:val="BookText"/>
      </w:pPr>
      <w:r>
        <w:rPr>
          <w:rFonts w:ascii="IRNazanin" w:hAnsi="IRNazanin" w:eastAsia="IRNazanin" w:cs="IRNazanin"/>
          <w:lang w:bidi="fa-IR"/>
          <w:color w:val="111111"/>
          <w:sz w:val="28"/>
          <w:szCs w:val="28"/>
          <w:rtl/>
        </w:rPr>
        <w:t xml:space="preserve">مر فی ص 154</w:t>
      </w:r>
    </w:p>
    <w:p>
      <w:pPr>
        <w:pStyle w:val="Heading3"/>
      </w:pPr>
      <w:bookmarkStart w:id="6875" w:name="_Toc5571"/>
      <w:r>
        <w:t>دیوان السید علی المشعشعی‏</w:t>
      </w:r>
      <w:bookmarkEnd w:id="6875"/>
    </w:p>
    <w:p>
      <w:pPr>
        <w:pStyle w:val="BookText"/>
      </w:pPr>
      <w:r>
        <w:rPr>
          <w:rFonts w:ascii="IRNazanin" w:hAnsi="IRNazanin" w:eastAsia="IRNazanin" w:cs="IRNazanin"/>
          <w:lang w:bidi="fa-IR"/>
          <w:color w:val="111111"/>
          <w:sz w:val="28"/>
          <w:szCs w:val="28"/>
          <w:rtl/>
        </w:rPr>
        <w:t xml:space="preserve">راجع دیوان السید علی خان المشعشعی‏</w:t>
      </w:r>
    </w:p>
    <w:p>
      <w:pPr>
        <w:pStyle w:val="Heading3"/>
      </w:pPr>
      <w:bookmarkStart w:id="6876" w:name="_Toc5572"/>
      <w:r>
        <w:t>دیوان علی مشهدی‏</w:t>
      </w:r>
      <w:bookmarkEnd w:id="6876"/>
    </w:p>
    <w:p>
      <w:pPr>
        <w:pStyle w:val="BookText"/>
      </w:pPr>
      <w:r>
        <w:rPr>
          <w:rFonts w:ascii="IRNazanin" w:hAnsi="IRNazanin" w:eastAsia="IRNazanin" w:cs="IRNazanin"/>
          <w:lang w:bidi="fa-IR"/>
          <w:color w:val="111111"/>
          <w:sz w:val="28"/>
          <w:szCs w:val="28"/>
          <w:rtl/>
        </w:rPr>
        <w:t xml:space="preserve">راجع سلطان علی مشهدی، و علی خراسانی‏</w:t>
      </w:r>
    </w:p>
    <w:p>
      <w:pPr>
        <w:pStyle w:val="Heading3"/>
      </w:pPr>
      <w:bookmarkStart w:id="6877" w:name="_Toc5573"/>
      <w:r>
        <w:t>دیوان سید علی معصوم مدنی‏</w:t>
      </w:r>
      <w:bookmarkEnd w:id="6877"/>
    </w:p>
    <w:p>
      <w:pPr>
        <w:pStyle w:val="BookText"/>
      </w:pPr>
      <w:r>
        <w:rPr>
          <w:rFonts w:ascii="IRNazanin" w:hAnsi="IRNazanin" w:eastAsia="IRNazanin" w:cs="IRNazanin"/>
          <w:lang w:bidi="fa-IR"/>
          <w:color w:val="111111"/>
          <w:sz w:val="28"/>
          <w:szCs w:val="28"/>
          <w:rtl/>
        </w:rPr>
        <w:t xml:space="preserve">کما فی (سرو- ص 286) مر بعنوان السید علی خان المدنی‏</w:t>
      </w:r>
    </w:p>
    <w:p>
      <w:pPr>
        <w:pStyle w:val="Heading3"/>
      </w:pPr>
      <w:bookmarkStart w:id="6878" w:name="_Toc5574"/>
      <w:r>
        <w:t>5167- دیوان حاج محمد علی مهابادی أو شعره‏</w:t>
      </w:r>
      <w:bookmarkEnd w:id="6878"/>
    </w:p>
    <w:p>
      <w:pPr>
        <w:pStyle w:val="BookText"/>
      </w:pPr>
      <w:r>
        <w:rPr>
          <w:rFonts w:ascii="IRNazanin" w:hAnsi="IRNazanin" w:eastAsia="IRNazanin" w:cs="IRNazanin"/>
          <w:lang w:bidi="fa-IR"/>
          <w:color w:val="111111"/>
          <w:sz w:val="28"/>
          <w:szCs w:val="28"/>
          <w:rtl/>
        </w:rPr>
        <w:t xml:space="preserve">و مهاباد من محال أصفهان کان جماعا لأشعار المولوی الرومی، فجمع من غزلیاته ثمانین ألف بیت، و کان عنده النسخ الصحیحة من المثنوی و سافر إلی الهند و رجع إلی أصفهان و مات بمشهد خراسان ترجمه و أورد شعره فی (نر 5- ص 138)</w:t>
      </w:r>
    </w:p>
    <w:p>
      <w:pPr>
        <w:pStyle w:val="Heading3"/>
      </w:pPr>
      <w:bookmarkStart w:id="6879" w:name="_Toc5575"/>
      <w:r>
        <w:t>دیوان مشهدی علی نانوا</w:t>
      </w:r>
      <w:bookmarkEnd w:id="6879"/>
    </w:p>
    <w:p>
      <w:pPr>
        <w:pStyle w:val="BookText"/>
      </w:pPr>
      <w:r>
        <w:rPr>
          <w:rFonts w:ascii="IRNazanin" w:hAnsi="IRNazanin" w:eastAsia="IRNazanin" w:cs="IRNazanin"/>
          <w:lang w:bidi="fa-IR"/>
          <w:color w:val="111111"/>
          <w:sz w:val="28"/>
          <w:szCs w:val="28"/>
          <w:rtl/>
        </w:rPr>
        <w:t xml:space="preserve">راجع دیوان دیوانه أصفهانی فی ص 335 و ترجمه فی شعرای معاصر أصفهان ص 198</w:t>
      </w:r>
    </w:p>
    <w:p>
      <w:pPr>
        <w:pStyle w:val="Heading3"/>
      </w:pPr>
      <w:bookmarkStart w:id="6880" w:name="_Toc5576"/>
      <w:r>
        <w:t>5168- دیوان آقا علی نجف‏آبادی أو شعره‏</w:t>
      </w:r>
      <w:bookmarkEnd w:id="6880"/>
    </w:p>
    <w:p>
      <w:pPr>
        <w:pStyle w:val="BookText"/>
      </w:pPr>
      <w:r>
        <w:rPr>
          <w:rFonts w:ascii="IRNazanin" w:hAnsi="IRNazanin" w:eastAsia="IRNazanin" w:cs="IRNazanin"/>
          <w:lang w:bidi="fa-IR"/>
          <w:color w:val="111111"/>
          <w:sz w:val="28"/>
          <w:szCs w:val="28"/>
          <w:rtl/>
        </w:rPr>
        <w:t xml:space="preserve">ترجمه و أورد شعره معاصره النصرآبادی فی (نر 5 ص 135) و نجف‏آباد من قری أصفهان بناها الشاه عباس و وقفها لمصارف تصرف فی النجف بالعراق‏</w:t>
      </w:r>
    </w:p>
    <w:p>
      <w:pPr>
        <w:pStyle w:val="Heading3"/>
      </w:pPr>
      <w:bookmarkStart w:id="6881" w:name="_Toc5577"/>
      <w:r>
        <w:t>5169- دیوان علی نقاش أو شعره‏</w:t>
      </w:r>
      <w:bookmarkEnd w:id="6881"/>
    </w:p>
    <w:p>
      <w:pPr>
        <w:pStyle w:val="BookText"/>
      </w:pPr>
      <w:r>
        <w:rPr>
          <w:rFonts w:ascii="IRNazanin" w:hAnsi="IRNazanin" w:eastAsia="IRNazanin" w:cs="IRNazanin"/>
          <w:lang w:bidi="fa-IR"/>
          <w:color w:val="111111"/>
          <w:sz w:val="28"/>
          <w:szCs w:val="28"/>
          <w:rtl/>
        </w:rPr>
        <w:t xml:space="preserve">و هو محمد علی بیگ بن إبدال بیک بن علی قلی فرنگ کان جده نقاشا إفرنجیا أسلم، و نشا هو بأصفهان و صار نقاش‏باشی لطهماسب الثانی و نادر شاه و مات بمازندران فی 1167 کذا ترجمه و أورد شعره معاصره فی (تش ص 406)</w:t>
      </w:r>
    </w:p>
    <w:p>
      <w:pPr>
        <w:pStyle w:val="Heading3"/>
      </w:pPr>
      <w:bookmarkStart w:id="6882" w:name="_Toc5578"/>
      <w:r>
        <w:t>5170- دیوان الشیخ علی نقی الأحسائی‏</w:t>
      </w:r>
      <w:bookmarkEnd w:id="6882"/>
    </w:p>
    <w:p>
      <w:pPr>
        <w:pStyle w:val="BookText"/>
      </w:pPr>
      <w:r>
        <w:rPr>
          <w:rFonts w:ascii="IRNazanin" w:hAnsi="IRNazanin" w:eastAsia="IRNazanin" w:cs="IRNazanin"/>
          <w:lang w:bidi="fa-IR"/>
          <w:color w:val="111111"/>
          <w:sz w:val="28"/>
          <w:szCs w:val="28"/>
          <w:rtl/>
        </w:rPr>
        <w:t xml:space="preserve">و هو ابن الشیخ أحمد بن زین الدین الأحسائی، المجاز من والده فی 1236 کما ذکر فی 1: 141 طبع دیوانه هذا بطهران مع مقدمه فی أحواله للشیخ کاظم الطریحی فی 103 ص و نقل عن الدیوان فی لباب الألقاب رثاءه لوالده الأحسائی و فاتنا ذکر دیوان والده فإن له مراث متعددة أیضا</w:t>
      </w:r>
    </w:p>
    <w:p>
      <w:pPr>
        <w:pStyle w:val="Heading3"/>
      </w:pPr>
      <w:bookmarkStart w:id="6883" w:name="_Toc5579"/>
      <w:r>
        <w:t>دیوان علی نقی إنصاف‏</w:t>
      </w:r>
      <w:bookmarkEnd w:id="6883"/>
    </w:p>
    <w:p>
      <w:pPr>
        <w:pStyle w:val="BookText"/>
      </w:pPr>
      <w:r>
        <w:rPr>
          <w:rFonts w:ascii="IRNazanin" w:hAnsi="IRNazanin" w:eastAsia="IRNazanin" w:cs="IRNazanin"/>
          <w:lang w:bidi="fa-IR"/>
          <w:color w:val="111111"/>
          <w:sz w:val="28"/>
          <w:szCs w:val="28"/>
          <w:rtl/>
        </w:rPr>
        <w:t xml:space="preserve">کما فی (نتایج- ص 85) و فی (گلشن) سماه نقی خان کما مر فی ص 108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bookmarkStart w:id="756" w:name="pg11704_122240"/>
    <w:bookmarkEnd w:id="756"/>
    <w:p>
      <w:pPr>
        <w:pStyle w:val="Heading3"/>
      </w:pPr>
      <w:bookmarkStart w:id="6884" w:name="_Toc5580"/>
      <w:r>
        <w:t>5171- دیوان علی نقی إیجاد أو شعره‏</w:t>
      </w:r>
      <w:bookmarkEnd w:id="6884"/>
    </w:p>
    <w:p>
      <w:pPr>
        <w:pStyle w:val="BookText"/>
      </w:pPr>
      <w:r>
        <w:rPr>
          <w:rFonts w:ascii="IRNazanin" w:hAnsi="IRNazanin" w:eastAsia="IRNazanin" w:cs="IRNazanin"/>
          <w:lang w:bidi="fa-IR"/>
          <w:color w:val="111111"/>
          <w:sz w:val="28"/>
          <w:szCs w:val="28"/>
          <w:rtl/>
        </w:rPr>
        <w:t xml:space="preserve">هو ابن أحمد علی خان أصلهم من همدان و ولد إیجاد ببرهان‏پور و تخلص فی شعره إیجاد و مات 1189 ترجمه و أورد شعره فی (نتایج- ص 84)</w:t>
      </w:r>
    </w:p>
    <w:p>
      <w:pPr>
        <w:pStyle w:val="Heading3"/>
      </w:pPr>
      <w:bookmarkStart w:id="6885" w:name="_Toc5581"/>
      <w:r>
        <w:t>دیوان علی نقی قمی‏</w:t>
      </w:r>
      <w:bookmarkEnd w:id="6885"/>
    </w:p>
    <w:p>
      <w:pPr>
        <w:pStyle w:val="BookText"/>
      </w:pPr>
      <w:r>
        <w:rPr>
          <w:rFonts w:ascii="IRNazanin" w:hAnsi="IRNazanin" w:eastAsia="IRNazanin" w:cs="IRNazanin"/>
          <w:lang w:bidi="fa-IR"/>
          <w:color w:val="111111"/>
          <w:sz w:val="28"/>
          <w:szCs w:val="28"/>
          <w:rtl/>
        </w:rPr>
        <w:t xml:space="preserve">یأتی بتخلصه قسمت‏</w:t>
      </w:r>
    </w:p>
    <w:p>
      <w:pPr>
        <w:pStyle w:val="Heading3"/>
      </w:pPr>
      <w:bookmarkStart w:id="6886" w:name="_Toc5582"/>
      <w:r>
        <w:t>دیوان علی نقی کمره‏ای‏</w:t>
      </w:r>
      <w:bookmarkEnd w:id="6886"/>
    </w:p>
    <w:p>
      <w:pPr>
        <w:pStyle w:val="BookText"/>
      </w:pPr>
      <w:r>
        <w:rPr>
          <w:rFonts w:ascii="IRNazanin" w:hAnsi="IRNazanin" w:eastAsia="IRNazanin" w:cs="IRNazanin"/>
          <w:lang w:bidi="fa-IR"/>
          <w:color w:val="111111"/>
          <w:sz w:val="28"/>
          <w:szCs w:val="28"/>
          <w:rtl/>
        </w:rPr>
        <w:t xml:space="preserve">یأتی بتخلصه نقی کمره‏ای فی النون‏</w:t>
      </w:r>
    </w:p>
    <w:p>
      <w:pPr>
        <w:pStyle w:val="Heading3"/>
      </w:pPr>
      <w:bookmarkStart w:id="6887" w:name="_Toc5583"/>
      <w:r>
        <w:t>5172- دیوان علی نقی گنابادی‏</w:t>
      </w:r>
      <w:bookmarkEnd w:id="6887"/>
    </w:p>
    <w:p>
      <w:pPr>
        <w:pStyle w:val="BookText"/>
      </w:pPr>
      <w:r>
        <w:rPr>
          <w:rFonts w:ascii="IRNazanin" w:hAnsi="IRNazanin" w:eastAsia="IRNazanin" w:cs="IRNazanin"/>
          <w:lang w:bidi="fa-IR"/>
          <w:color w:val="111111"/>
          <w:sz w:val="28"/>
          <w:szCs w:val="28"/>
          <w:rtl/>
        </w:rPr>
        <w:t xml:space="preserve">له صراط الجنة فی الکلام فرغ من نظمه 1216 و طبع فی 1300 و له شرحه باسم سبل المعرفة</w:t>
      </w:r>
    </w:p>
    <w:p>
      <w:pPr>
        <w:pStyle w:val="Heading3"/>
      </w:pPr>
      <w:bookmarkStart w:id="6888" w:name="_Toc5584"/>
      <w:r>
        <w:t>5173- دیوان السید علی نقی اللکهنوی‏</w:t>
      </w:r>
      <w:bookmarkEnd w:id="6888"/>
    </w:p>
    <w:p>
      <w:pPr>
        <w:pStyle w:val="BookText"/>
      </w:pPr>
      <w:r>
        <w:rPr>
          <w:rFonts w:ascii="IRNazanin" w:hAnsi="IRNazanin" w:eastAsia="IRNazanin" w:cs="IRNazanin"/>
          <w:lang w:bidi="fa-IR"/>
          <w:color w:val="111111"/>
          <w:sz w:val="28"/>
          <w:szCs w:val="28"/>
          <w:rtl/>
        </w:rPr>
        <w:t xml:space="preserve">هو ابن السید أبی الحسن بن إبراهیم بن السید محمد تقی بن حسین بن السید دلدار علی النقوی اللکهنوی المعاصر المولود 26 رجب 1323 و من شعره دیوان البقیعیات‏</w:t>
      </w:r>
    </w:p>
    <w:p>
      <w:pPr>
        <w:pStyle w:val="Heading3"/>
      </w:pPr>
      <w:bookmarkStart w:id="6889" w:name="_Toc5585"/>
      <w:r>
        <w:t>دیوان المولی علی نقی المازندرانی‏</w:t>
      </w:r>
      <w:bookmarkEnd w:id="6889"/>
    </w:p>
    <w:p>
      <w:pPr>
        <w:pStyle w:val="BookText"/>
      </w:pPr>
      <w:r>
        <w:rPr>
          <w:rFonts w:ascii="IRNazanin" w:hAnsi="IRNazanin" w:eastAsia="IRNazanin" w:cs="IRNazanin"/>
          <w:lang w:bidi="fa-IR"/>
          <w:color w:val="111111"/>
          <w:sz w:val="28"/>
          <w:szCs w:val="28"/>
          <w:rtl/>
        </w:rPr>
        <w:t xml:space="preserve">ابن المولی محمد صالح و أخ الآقا محمد سعید، و تخلصه سابق کما مر فی ص 414 سافر بعد أخیه إلی الهند و نظم بأمر سلطانها شاهنامه و توفی بها</w:t>
      </w:r>
    </w:p>
    <w:p>
      <w:pPr>
        <w:pStyle w:val="Heading3"/>
      </w:pPr>
      <w:bookmarkStart w:id="6890" w:name="_Toc5586"/>
      <w:r>
        <w:t>دیوان السید علی الواعظ</w:t>
      </w:r>
      <w:bookmarkEnd w:id="6890"/>
    </w:p>
    <w:p>
      <w:pPr>
        <w:pStyle w:val="BookText"/>
      </w:pPr>
      <w:r>
        <w:rPr>
          <w:rFonts w:ascii="IRNazanin" w:hAnsi="IRNazanin" w:eastAsia="IRNazanin" w:cs="IRNazanin"/>
          <w:lang w:bidi="fa-IR"/>
          <w:color w:val="111111"/>
          <w:sz w:val="28"/>
          <w:szCs w:val="28"/>
          <w:rtl/>
        </w:rPr>
        <w:t xml:space="preserve">راجع علی القائنی.</w:t>
      </w:r>
    </w:p>
    <w:p>
      <w:pPr>
        <w:pStyle w:val="Heading3"/>
      </w:pPr>
      <w:bookmarkStart w:id="6891" w:name="_Toc5587"/>
      <w:r>
        <w:t>5174- دیوان سید علی هاشمی أو شعره‏</w:t>
      </w:r>
      <w:bookmarkEnd w:id="6891"/>
    </w:p>
    <w:p>
      <w:pPr>
        <w:pStyle w:val="BookText"/>
      </w:pPr>
      <w:r>
        <w:rPr>
          <w:rFonts w:ascii="IRNazanin" w:hAnsi="IRNazanin" w:eastAsia="IRNazanin" w:cs="IRNazanin"/>
          <w:lang w:bidi="fa-IR"/>
          <w:color w:val="111111"/>
          <w:sz w:val="28"/>
          <w:szCs w:val="28"/>
          <w:rtl/>
        </w:rPr>
        <w:t xml:space="preserve">ترجمه و أورد شعره فی (مجن 1- ص 14 و 189).</w:t>
      </w:r>
    </w:p>
    <w:p>
      <w:pPr>
        <w:pStyle w:val="Heading3"/>
      </w:pPr>
      <w:bookmarkStart w:id="6892" w:name="_Toc5588"/>
      <w:r>
        <w:t>5175- دیوان میر علی هروی‏</w:t>
      </w:r>
      <w:bookmarkEnd w:id="6892"/>
    </w:p>
    <w:p>
      <w:pPr>
        <w:pStyle w:val="BookText"/>
      </w:pPr>
      <w:r>
        <w:rPr>
          <w:rFonts w:ascii="IRNazanin" w:hAnsi="IRNazanin" w:eastAsia="IRNazanin" w:cs="IRNazanin"/>
          <w:lang w:bidi="fa-IR"/>
          <w:color w:val="111111"/>
          <w:sz w:val="28"/>
          <w:szCs w:val="28"/>
          <w:rtl/>
        </w:rPr>
        <w:t xml:space="preserve">من الخطاطین. له أشعار بالترکیة و الفارسیة و هو تلمیذ سلطان علی مشهدی المذکور فی ص 458 مات 925 کما فی شاهد صادق أو 924 کما فی (گلشن- ص 481). و له رسالة فارسیة فی الخط اسمه مداد الخطوط طبع فی آخر امتحان الفضلاء 2: 372- 381. و فی (مجتس 5- ص 148) أورد معماه باسم مهدی. و فی (نر 15- ص 525) أورد المعمی بعینه، و قال: و بعضهم یرجح خطه علی خط أستاذه سلطان علی المشهدی، و نقل قصة إسارته بید الأزبکیة و نقله إلی بخارا، و قوله فی قصیدة:</w:t>
      </w:r>
    </w:p>
    <w:p>
      <w:pPr>
        <w:pStyle w:val="BookText"/>
      </w:pPr>
      <w:r>
        <w:rPr>
          <w:rFonts w:ascii="IRNazanin" w:hAnsi="IRNazanin" w:eastAsia="IRNazanin" w:cs="IRNazanin"/>
          <w:lang w:bidi="fa-IR"/>
          <w:color w:val="111111"/>
          <w:sz w:val="28"/>
          <w:szCs w:val="28"/>
          <w:rtl/>
        </w:rPr>
        <w:t xml:space="preserve">طالب من همه شاهان جهانند و مرا</w:t>
      </w:r>
    </w:p>
    <w:p>
      <w:pPr>
        <w:pStyle w:val="BookText"/>
      </w:pPr>
      <w:r>
        <w:rPr>
          <w:rFonts w:ascii="IRNazanin" w:hAnsi="IRNazanin" w:eastAsia="IRNazanin" w:cs="IRNazanin"/>
          <w:lang w:bidi="fa-IR"/>
          <w:color w:val="111111"/>
          <w:sz w:val="28"/>
          <w:szCs w:val="28"/>
          <w:rtl/>
        </w:rPr>
        <w:t xml:space="preserve">در بخارا جگر از بهر معیشت خون شد</w:t>
      </w:r>
    </w:p>
    <w:p>
      <w:pPr>
        <w:pStyle w:val="BookText"/>
      </w:pPr>
      <w:r>
        <w:rPr>
          <w:rFonts w:ascii="IRNazanin" w:hAnsi="IRNazanin" w:eastAsia="IRNazanin" w:cs="IRNazanin"/>
          <w:lang w:bidi="fa-IR"/>
          <w:color w:val="111111"/>
          <w:sz w:val="28"/>
          <w:szCs w:val="28"/>
          <w:rtl/>
        </w:rPr>
        <w:t xml:space="preserve">و ذکر القصة و الشعر بعینه فی (خص 6- ص 89). و قال فی امتحان الفضلاء- 1:</w:t>
      </w:r>
    </w:p>
    <w:p>
      <w:pPr>
        <w:pStyle w:val="BookText"/>
      </w:pPr>
      <w:r>
        <w:rPr>
          <w:rFonts w:ascii="IRNazanin" w:hAnsi="IRNazanin" w:eastAsia="IRNazanin" w:cs="IRNazanin"/>
          <w:lang w:bidi="fa-IR"/>
          <w:color w:val="111111"/>
          <w:sz w:val="28"/>
          <w:szCs w:val="28"/>
          <w:rtl/>
        </w:rPr>
        <w:t xml:space="preserve">59 إن الذی أخذه إلی بخارا هو ناصر الدین عبید الله. و قال مات بها فی 976 و دفن فی‏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bookmarkStart w:id="757" w:name="pg11704_122241"/>
    <w:bookmarkEnd w:id="757"/>
    <w:p>
      <w:pPr>
        <w:pStyle w:val="BookText"/>
      </w:pPr>
      <w:r>
        <w:rPr>
          <w:rFonts w:ascii="IRNazanin" w:hAnsi="IRNazanin" w:eastAsia="IRNazanin" w:cs="IRNazanin"/>
          <w:lang w:bidi="fa-IR"/>
          <w:color w:val="111111"/>
          <w:sz w:val="28"/>
          <w:szCs w:val="28"/>
          <w:rtl/>
        </w:rPr>
        <w:t xml:space="preserve">مزار سیف الدین الباخرزی. و لیس التاریخ بصحیح.</w:t>
      </w:r>
    </w:p>
    <w:p>
      <w:pPr>
        <w:pStyle w:val="Heading3"/>
      </w:pPr>
      <w:bookmarkStart w:id="6893" w:name="_Toc5589"/>
      <w:r>
        <w:t>5176- دیوان میر علی هروی أو شعره‏</w:t>
      </w:r>
      <w:bookmarkEnd w:id="6893"/>
    </w:p>
    <w:p>
      <w:pPr>
        <w:pStyle w:val="BookText"/>
      </w:pPr>
      <w:r>
        <w:rPr>
          <w:rFonts w:ascii="IRNazanin" w:hAnsi="IRNazanin" w:eastAsia="IRNazanin" w:cs="IRNazanin"/>
          <w:lang w:bidi="fa-IR"/>
          <w:color w:val="111111"/>
          <w:sz w:val="28"/>
          <w:szCs w:val="28"/>
          <w:rtl/>
        </w:rPr>
        <w:t xml:space="preserve">کان یسکن بمدرسة عبد الرحمن الجامی بهرات و یستفید من الجامی. ترجمه و أورد شعره فی (مجن 3- ص 88 و 262). و هو غیر سلطان علی الهروی المذکور فی ص 459.</w:t>
      </w:r>
    </w:p>
    <w:p>
      <w:pPr>
        <w:pStyle w:val="Heading3"/>
      </w:pPr>
      <w:bookmarkStart w:id="6894" w:name="_Toc5590"/>
      <w:r>
        <w:t>5177- دیوان سید علی همدانی أو شعره‏</w:t>
      </w:r>
      <w:bookmarkEnd w:id="6894"/>
    </w:p>
    <w:p>
      <w:pPr>
        <w:pStyle w:val="BookText"/>
      </w:pPr>
      <w:r>
        <w:rPr>
          <w:rFonts w:ascii="IRNazanin" w:hAnsi="IRNazanin" w:eastAsia="IRNazanin" w:cs="IRNazanin"/>
          <w:lang w:bidi="fa-IR"/>
          <w:color w:val="111111"/>
          <w:sz w:val="28"/>
          <w:szCs w:val="28"/>
          <w:rtl/>
        </w:rPr>
        <w:t xml:space="preserve">هو ابن شهاب العارف الشهیر السیاح فی الربع المسکون ثلاث مرات و توفی 776 کما فی شاهد صادق و ترجمه فی (مع ج 1 ص 340) و أورد شعره و فی (النفحات- ص 399) و (عشاق- ص 134) و (لس 6- ص 212) و مر رسالة فی إثبات تشیعه فی (ج 11: ص 9) للقاضی التستری، و جاء تاریخ وفاته فی (مسرت- ص 388):</w:t>
      </w:r>
    </w:p>
    <w:p>
      <w:pPr>
        <w:pStyle w:val="BookText"/>
      </w:pPr>
      <w:r>
        <w:rPr>
          <w:rFonts w:ascii="IRNazanin" w:hAnsi="IRNazanin" w:eastAsia="IRNazanin" w:cs="IRNazanin"/>
          <w:lang w:bidi="fa-IR"/>
          <w:color w:val="111111"/>
          <w:sz w:val="28"/>
          <w:szCs w:val="28"/>
          <w:rtl/>
        </w:rPr>
        <w:t xml:space="preserve">شد رقم سال نقل آن والا</w:t>
      </w:r>
    </w:p>
    <w:p>
      <w:pPr>
        <w:pStyle w:val="BookText"/>
      </w:pPr>
      <w:r>
        <w:rPr>
          <w:rFonts w:ascii="IRNazanin" w:hAnsi="IRNazanin" w:eastAsia="IRNazanin" w:cs="IRNazanin"/>
          <w:lang w:bidi="fa-IR"/>
          <w:color w:val="111111"/>
          <w:sz w:val="28"/>
          <w:szCs w:val="28"/>
          <w:rtl/>
        </w:rPr>
        <w:t xml:space="preserve">قطب عالی‏جنت أعلی‏</w:t>
      </w:r>
    </w:p>
    <w:p>
      <w:pPr>
        <w:pStyle w:val="BookText"/>
      </w:pPr>
      <w:r>
        <w:rPr>
          <w:rFonts w:ascii="IRNazanin" w:hAnsi="IRNazanin" w:eastAsia="IRNazanin" w:cs="IRNazanin"/>
          <w:lang w:bidi="fa-IR"/>
          <w:color w:val="111111"/>
          <w:sz w:val="28"/>
          <w:szCs w:val="28"/>
          <w:rtl/>
        </w:rPr>
        <w:t xml:space="preserve">و هو مقدم علی الخواجة علی سیاه‏پوش المذکور فی ص 759. و مر له الرسالة القدسیة فی أسرار النقطة و الأسرار القلبیة و أخلاق محرم و غیرها.</w:t>
      </w:r>
    </w:p>
    <w:p>
      <w:pPr>
        <w:pStyle w:val="Heading3"/>
      </w:pPr>
      <w:bookmarkStart w:id="6895" w:name="_Toc5591"/>
      <w:r>
        <w:t>5178- دیوان علی‏یار بیگ أو شعره‏</w:t>
      </w:r>
      <w:bookmarkEnd w:id="6895"/>
    </w:p>
    <w:p>
      <w:pPr>
        <w:pStyle w:val="BookText"/>
      </w:pPr>
      <w:r>
        <w:rPr>
          <w:rFonts w:ascii="IRNazanin" w:hAnsi="IRNazanin" w:eastAsia="IRNazanin" w:cs="IRNazanin"/>
          <w:lang w:bidi="fa-IR"/>
          <w:color w:val="111111"/>
          <w:sz w:val="28"/>
          <w:szCs w:val="28"/>
          <w:rtl/>
        </w:rPr>
        <w:t xml:space="preserve">و هو ابن شادی خان الذی أوتی به بعد فتح قندهار فنزل گیلان و بها مات. و أبنائه أجلاء منهم علی‏یار بیگ هذا، ترجمه و أورد شعره فی (نر 3- ص 66).</w:t>
      </w:r>
    </w:p>
    <w:p>
      <w:pPr>
        <w:pStyle w:val="Heading3"/>
      </w:pPr>
      <w:bookmarkStart w:id="6896" w:name="_Toc5592"/>
      <w:r>
        <w:t>5179- دیوان علی یزدی‏</w:t>
      </w:r>
      <w:bookmarkEnd w:id="6896"/>
    </w:p>
    <w:p>
      <w:pPr>
        <w:pStyle w:val="BookText"/>
      </w:pPr>
      <w:r>
        <w:rPr>
          <w:rFonts w:ascii="IRNazanin" w:hAnsi="IRNazanin" w:eastAsia="IRNazanin" w:cs="IRNazanin"/>
          <w:lang w:bidi="fa-IR"/>
          <w:color w:val="111111"/>
          <w:sz w:val="28"/>
          <w:szCs w:val="28"/>
          <w:rtl/>
        </w:rPr>
        <w:t xml:space="preserve">اسمه حسن علی و تخلصه علی ترجمه آیتی فی (تش یز- ص 312) قال إنه ساح فی البلاد و رجع بعد التسعین من عمره إلی یزد و بها توفی عن حدود المائة سنة، و جمع من شعره قرب ألف و خمسمائة و ضاعت البقیة.</w:t>
      </w:r>
    </w:p>
    <w:p>
      <w:pPr>
        <w:pStyle w:val="BookText"/>
      </w:pPr>
      <w:r>
        <w:rPr>
          <w:rFonts w:ascii="IRNazanin" w:hAnsi="IRNazanin" w:eastAsia="IRNazanin" w:cs="IRNazanin"/>
          <w:lang w:bidi="fa-IR"/>
          <w:color w:val="111111"/>
          <w:sz w:val="28"/>
          <w:szCs w:val="28"/>
          <w:rtl/>
        </w:rPr>
        <w:t xml:space="preserve">و من الموجود مدیحه لأستاده المتخلص مؤمن الآتی ذکره.</w:t>
      </w:r>
    </w:p>
    <w:p>
      <w:pPr>
        <w:pStyle w:val="Heading3"/>
      </w:pPr>
      <w:bookmarkStart w:id="6897" w:name="_Toc5593"/>
      <w:r>
        <w:t>دیوان علی یزدی‏</w:t>
      </w:r>
      <w:bookmarkEnd w:id="6897"/>
    </w:p>
    <w:p>
      <w:pPr>
        <w:pStyle w:val="BookText"/>
      </w:pPr>
      <w:r>
        <w:rPr>
          <w:rFonts w:ascii="IRNazanin" w:hAnsi="IRNazanin" w:eastAsia="IRNazanin" w:cs="IRNazanin"/>
          <w:lang w:bidi="fa-IR"/>
          <w:color w:val="111111"/>
          <w:sz w:val="28"/>
          <w:szCs w:val="28"/>
          <w:rtl/>
        </w:rPr>
        <w:t xml:space="preserve">راجع دیوان شرف یزدی فی. ص 517.</w:t>
      </w:r>
    </w:p>
    <w:p>
      <w:pPr>
        <w:pStyle w:val="Heading3"/>
      </w:pPr>
      <w:bookmarkStart w:id="6898" w:name="_Toc5594"/>
      <w:r>
        <w:t>دیوان عماد أصفهانی‏</w:t>
      </w:r>
      <w:bookmarkEnd w:id="6898"/>
    </w:p>
    <w:p>
      <w:pPr>
        <w:pStyle w:val="BookText"/>
      </w:pPr>
      <w:r>
        <w:rPr>
          <w:rFonts w:ascii="IRNazanin" w:hAnsi="IRNazanin" w:eastAsia="IRNazanin" w:cs="IRNazanin"/>
          <w:lang w:bidi="fa-IR"/>
          <w:color w:val="111111"/>
          <w:sz w:val="28"/>
          <w:szCs w:val="28"/>
          <w:rtl/>
        </w:rPr>
        <w:t xml:space="preserve">مر بتخلصه أرفع فی. ص 68.</w:t>
      </w:r>
    </w:p>
    <w:p>
      <w:pPr>
        <w:pStyle w:val="Heading3"/>
      </w:pPr>
      <w:bookmarkStart w:id="6899" w:name="_Toc5595"/>
      <w:r>
        <w:t>5180- دیوان عماد بخاری أو شعره‏</w:t>
      </w:r>
      <w:bookmarkEnd w:id="6899"/>
    </w:p>
    <w:p>
      <w:pPr>
        <w:pStyle w:val="BookText"/>
      </w:pPr>
      <w:r>
        <w:rPr>
          <w:rFonts w:ascii="IRNazanin" w:hAnsi="IRNazanin" w:eastAsia="IRNazanin" w:cs="IRNazanin"/>
          <w:lang w:bidi="fa-IR"/>
          <w:color w:val="111111"/>
          <w:sz w:val="28"/>
          <w:szCs w:val="28"/>
          <w:rtl/>
        </w:rPr>
        <w:t xml:space="preserve">و هو عماد الدین إسماعیل معاصر أبی سعید خان بسلطانیة. قال فی تاریخ گزیده- ص 824 و شعره أحسن من شعر بدر.</w:t>
      </w:r>
    </w:p>
    <w:p>
      <w:pPr>
        <w:pStyle w:val="Heading3"/>
      </w:pPr>
      <w:bookmarkStart w:id="6900" w:name="_Toc5596"/>
      <w:r>
        <w:t>5181- دیوان عماد تربتی‏</w:t>
      </w:r>
      <w:bookmarkEnd w:id="6900"/>
    </w:p>
    <w:p>
      <w:pPr>
        <w:pStyle w:val="BookText"/>
      </w:pPr>
      <w:r>
        <w:rPr>
          <w:rFonts w:ascii="IRNazanin" w:hAnsi="IRNazanin" w:eastAsia="IRNazanin" w:cs="IRNazanin"/>
          <w:lang w:bidi="fa-IR"/>
          <w:color w:val="111111"/>
          <w:sz w:val="28"/>
          <w:szCs w:val="28"/>
          <w:rtl/>
        </w:rPr>
        <w:t xml:space="preserve">و هو ابن محمد تقی معین دفتر من خدام الروضة الرضویة. ولد بمشهد 1299 ش. و سکن طهران. طبع له چند غزل عماد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bookmarkStart w:id="758" w:name="pg11704_122242"/>
    <w:bookmarkEnd w:id="758"/>
    <w:p>
      <w:pPr>
        <w:pStyle w:val="BookText"/>
      </w:pPr>
      <w:r>
        <w:rPr>
          <w:rFonts w:ascii="IRNazanin" w:hAnsi="IRNazanin" w:eastAsia="IRNazanin" w:cs="IRNazanin"/>
          <w:lang w:bidi="fa-IR"/>
          <w:color w:val="111111"/>
          <w:sz w:val="28"/>
          <w:szCs w:val="28"/>
          <w:rtl/>
        </w:rPr>
        <w:t xml:space="preserve">و یک شب در بهشت کما فی تذکره علوی ص 16.</w:t>
      </w:r>
    </w:p>
    <w:p>
      <w:pPr>
        <w:pStyle w:val="Heading3"/>
      </w:pPr>
      <w:bookmarkStart w:id="6901" w:name="_Toc5597"/>
      <w:r>
        <w:t>دیوان عماد حسینی‏</w:t>
      </w:r>
      <w:bookmarkEnd w:id="6901"/>
    </w:p>
    <w:p>
      <w:pPr>
        <w:pStyle w:val="BookText"/>
      </w:pPr>
      <w:r>
        <w:rPr>
          <w:rFonts w:ascii="IRNazanin" w:hAnsi="IRNazanin" w:eastAsia="IRNazanin" w:cs="IRNazanin"/>
          <w:lang w:bidi="fa-IR"/>
          <w:color w:val="111111"/>
          <w:sz w:val="28"/>
          <w:szCs w:val="28"/>
          <w:rtl/>
        </w:rPr>
        <w:t xml:space="preserve">راجع عماد قزوینی.</w:t>
      </w:r>
    </w:p>
    <w:p>
      <w:pPr>
        <w:pStyle w:val="Heading3"/>
      </w:pPr>
      <w:bookmarkStart w:id="6902" w:name="_Toc5598"/>
      <w:r>
        <w:t>دیوان عماد خجندی‏</w:t>
      </w:r>
      <w:bookmarkEnd w:id="6902"/>
    </w:p>
    <w:p>
      <w:pPr>
        <w:pStyle w:val="BookText"/>
      </w:pPr>
      <w:r>
        <w:rPr>
          <w:rFonts w:ascii="IRNazanin" w:hAnsi="IRNazanin" w:eastAsia="IRNazanin" w:cs="IRNazanin"/>
          <w:lang w:bidi="fa-IR"/>
          <w:color w:val="111111"/>
          <w:sz w:val="28"/>
          <w:szCs w:val="28"/>
          <w:rtl/>
        </w:rPr>
        <w:t xml:space="preserve">راجع عماد زوزنی.</w:t>
      </w:r>
    </w:p>
    <w:p>
      <w:pPr>
        <w:pStyle w:val="Heading3"/>
      </w:pPr>
      <w:bookmarkStart w:id="6903" w:name="_Toc5599"/>
      <w:r>
        <w:t>دیوان عماد خراسانی‏</w:t>
      </w:r>
      <w:bookmarkEnd w:id="6903"/>
    </w:p>
    <w:p>
      <w:pPr>
        <w:pStyle w:val="BookText"/>
      </w:pPr>
      <w:r>
        <w:rPr>
          <w:rFonts w:ascii="IRNazanin" w:hAnsi="IRNazanin" w:eastAsia="IRNazanin" w:cs="IRNazanin"/>
          <w:lang w:bidi="fa-IR"/>
          <w:color w:val="111111"/>
          <w:sz w:val="28"/>
          <w:szCs w:val="28"/>
          <w:rtl/>
        </w:rPr>
        <w:t xml:space="preserve">راجع عماد تربتی.</w:t>
      </w:r>
    </w:p>
    <w:p>
      <w:pPr>
        <w:pStyle w:val="Heading3"/>
      </w:pPr>
      <w:bookmarkStart w:id="6904" w:name="_Toc5600"/>
      <w:r>
        <w:t>دیوان میر عماد الخطاط</w:t>
      </w:r>
      <w:bookmarkEnd w:id="6904"/>
    </w:p>
    <w:p>
      <w:pPr>
        <w:pStyle w:val="BookText"/>
      </w:pPr>
      <w:r>
        <w:rPr>
          <w:rFonts w:ascii="IRNazanin" w:hAnsi="IRNazanin" w:eastAsia="IRNazanin" w:cs="IRNazanin"/>
          <w:lang w:bidi="fa-IR"/>
          <w:color w:val="111111"/>
          <w:sz w:val="28"/>
          <w:szCs w:val="28"/>
          <w:rtl/>
        </w:rPr>
        <w:t xml:space="preserve">راجع عماد قزوینی.</w:t>
      </w:r>
    </w:p>
    <w:p>
      <w:pPr>
        <w:pStyle w:val="Heading3"/>
      </w:pPr>
      <w:bookmarkStart w:id="6905" w:name="_Toc5601"/>
      <w:r>
        <w:t>5182- دیوان عماد الدین غزنوی‏</w:t>
      </w:r>
      <w:bookmarkEnd w:id="6905"/>
    </w:p>
    <w:p>
      <w:pPr>
        <w:pStyle w:val="BookText"/>
      </w:pPr>
      <w:r>
        <w:rPr>
          <w:rFonts w:ascii="IRNazanin" w:hAnsi="IRNazanin" w:eastAsia="IRNazanin" w:cs="IRNazanin"/>
          <w:lang w:bidi="fa-IR"/>
          <w:color w:val="111111"/>
          <w:sz w:val="28"/>
          <w:szCs w:val="28"/>
          <w:rtl/>
        </w:rPr>
        <w:t xml:space="preserve">أورد شعره فی (تش- ص 113) و نقل عن بعض کونه ابن مختاری غزنوی. و کذا فی (مسرت- ص 531). و الظاهر اتحاده مع عمادی غزنوی.</w:t>
      </w:r>
    </w:p>
    <w:p>
      <w:pPr>
        <w:pStyle w:val="Heading3"/>
      </w:pPr>
      <w:bookmarkStart w:id="6906" w:name="_Toc5602"/>
      <w:r>
        <w:t>دیوان عماد الدین الحروفی‏</w:t>
      </w:r>
      <w:bookmarkEnd w:id="6906"/>
    </w:p>
    <w:p>
      <w:pPr>
        <w:pStyle w:val="BookText"/>
      </w:pPr>
      <w:r>
        <w:rPr>
          <w:rFonts w:ascii="IRNazanin" w:hAnsi="IRNazanin" w:eastAsia="IRNazanin" w:cs="IRNazanin"/>
          <w:lang w:bidi="fa-IR"/>
          <w:color w:val="111111"/>
          <w:sz w:val="28"/>
          <w:szCs w:val="28"/>
          <w:rtl/>
        </w:rPr>
        <w:t xml:space="preserve">راجع نسیمی شیرازی.</w:t>
      </w:r>
    </w:p>
    <w:p>
      <w:pPr>
        <w:pStyle w:val="Heading3"/>
      </w:pPr>
      <w:bookmarkStart w:id="6907" w:name="_Toc5603"/>
      <w:r>
        <w:t>دیوان عماد شیرازی‏</w:t>
      </w:r>
      <w:bookmarkEnd w:id="6907"/>
    </w:p>
    <w:p>
      <w:pPr>
        <w:pStyle w:val="BookText"/>
      </w:pPr>
      <w:r>
        <w:rPr>
          <w:rFonts w:ascii="IRNazanin" w:hAnsi="IRNazanin" w:eastAsia="IRNazanin" w:cs="IRNazanin"/>
          <w:lang w:bidi="fa-IR"/>
          <w:color w:val="111111"/>
          <w:sz w:val="28"/>
          <w:szCs w:val="28"/>
          <w:rtl/>
        </w:rPr>
        <w:t xml:space="preserve">راجع نسیمی شیرازی.</w:t>
      </w:r>
    </w:p>
    <w:p>
      <w:pPr>
        <w:pStyle w:val="Heading3"/>
      </w:pPr>
      <w:bookmarkStart w:id="6908" w:name="_Toc5604"/>
      <w:r>
        <w:t>دیوان عماد شیرازی‏</w:t>
      </w:r>
      <w:bookmarkEnd w:id="6908"/>
    </w:p>
    <w:p>
      <w:pPr>
        <w:pStyle w:val="BookText"/>
      </w:pPr>
      <w:r>
        <w:rPr>
          <w:rFonts w:ascii="IRNazanin" w:hAnsi="IRNazanin" w:eastAsia="IRNazanin" w:cs="IRNazanin"/>
          <w:lang w:bidi="fa-IR"/>
          <w:color w:val="111111"/>
          <w:sz w:val="28"/>
          <w:szCs w:val="28"/>
          <w:rtl/>
        </w:rPr>
        <w:t xml:space="preserve">المتوفی 1373 مر فی. ص 226 بتخلصه حالی الأردبیلی.</w:t>
      </w:r>
    </w:p>
    <w:p>
      <w:pPr>
        <w:pStyle w:val="BookText"/>
      </w:pPr>
      <w:r>
        <w:rPr>
          <w:rFonts w:ascii="IRNazanin" w:hAnsi="IRNazanin" w:eastAsia="IRNazanin" w:cs="IRNazanin"/>
          <w:lang w:bidi="fa-IR"/>
          <w:color w:val="111111"/>
          <w:sz w:val="28"/>
          <w:szCs w:val="28"/>
          <w:rtl/>
        </w:rPr>
        <w:t xml:space="preserve">و طبع دیوانه فی مجلدین، الأول فی 144 ص. و معه إفاضة روحیة للسید قطب الدین و الثانی فی 222 ص. و طبع بعضه أیضا فی 1371 فی 64 ص. بطهران.</w:t>
      </w:r>
    </w:p>
    <w:p>
      <w:pPr>
        <w:pStyle w:val="Heading3"/>
      </w:pPr>
      <w:bookmarkStart w:id="6909" w:name="_Toc5605"/>
      <w:r>
        <w:t>5183- دیوان عماد شیرازی أو شعره‏</w:t>
      </w:r>
      <w:bookmarkEnd w:id="6909"/>
    </w:p>
    <w:p>
      <w:pPr>
        <w:pStyle w:val="BookText"/>
      </w:pPr>
      <w:r>
        <w:rPr>
          <w:rFonts w:ascii="IRNazanin" w:hAnsi="IRNazanin" w:eastAsia="IRNazanin" w:cs="IRNazanin"/>
          <w:lang w:bidi="fa-IR"/>
          <w:color w:val="111111"/>
          <w:sz w:val="28"/>
          <w:szCs w:val="28"/>
          <w:rtl/>
        </w:rPr>
        <w:t xml:space="preserve">و هو السید میر عماد الدین. نزل خراسان و مدح السلطان حیدر بن الشاه إسماعیل. کذا فی (روشن- 475) عن نگارستان دارا.</w:t>
      </w:r>
    </w:p>
    <w:p>
      <w:pPr>
        <w:pStyle w:val="Heading3"/>
      </w:pPr>
      <w:bookmarkStart w:id="6910" w:name="_Toc5606"/>
      <w:r>
        <w:t>5184- دیوان عماد زوزنی أو شعره‏</w:t>
      </w:r>
      <w:bookmarkEnd w:id="6910"/>
    </w:p>
    <w:p>
      <w:pPr>
        <w:pStyle w:val="BookText"/>
      </w:pPr>
      <w:r>
        <w:rPr>
          <w:rFonts w:ascii="IRNazanin" w:hAnsi="IRNazanin" w:eastAsia="IRNazanin" w:cs="IRNazanin"/>
          <w:lang w:bidi="fa-IR"/>
          <w:color w:val="111111"/>
          <w:sz w:val="28"/>
          <w:szCs w:val="28"/>
          <w:rtl/>
        </w:rPr>
        <w:t xml:space="preserve">و هو المشهور بملک عماد الخوافی الزوزنی معاصر حجة الإسلام الغزالی و مریده و تلمیذ السید حسن الغزنوی. ترجمه و أورد شعره فی (لت 1- ص 42) و (تش- 77) عن نفحات الأنس و (مع 1- ص 352) و توجد فی مکتبة (تاشکند) دیوان عماد الدین الخجندی کتبت فی 1268، کما فی فهرسها ج 2 ص 52. و ترجم فی سفینة الشعراء و عنه فی الریحانة و (روشن 474).</w:t>
      </w:r>
    </w:p>
    <w:p>
      <w:pPr>
        <w:pStyle w:val="Heading3"/>
      </w:pPr>
      <w:bookmarkStart w:id="6911" w:name="_Toc5607"/>
      <w:r>
        <w:t>5185- دیوان عماد فقیه‏</w:t>
      </w:r>
      <w:bookmarkEnd w:id="6911"/>
    </w:p>
    <w:p>
      <w:pPr>
        <w:pStyle w:val="BookText"/>
      </w:pPr>
      <w:r>
        <w:rPr>
          <w:rFonts w:ascii="IRNazanin" w:hAnsi="IRNazanin" w:eastAsia="IRNazanin" w:cs="IRNazanin"/>
          <w:lang w:bidi="fa-IR"/>
          <w:color w:val="111111"/>
          <w:sz w:val="28"/>
          <w:szCs w:val="28"/>
          <w:rtl/>
        </w:rPr>
        <w:t xml:space="preserve">و هو الخواجة عماد الدین علی الکرمانی العارف معاصر الحافظ الشیرازی. مات بکرمان فی 772 أو 773 کما فی شاهد صادق و دفن بخانقاه له هناک. له غیر الدیوان مثنویات محبت‏نامه بیدلان نظمه فی 772 و محنت‏نامه و مونس الأبرار نظمه فی 766. و توجد نسخه من دیوانه کتبت فی 763 فی حیاته فی (سپهسالار 182) و أخری کتبت 981 أیضا فی (سپهسالار-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bookmarkStart w:id="759" w:name="pg11704_122243"/>
    <w:bookmarkEnd w:id="759"/>
    <w:p>
      <w:pPr>
        <w:pStyle w:val="BookText"/>
      </w:pPr>
      <w:r>
        <w:rPr>
          <w:rFonts w:ascii="IRNazanin" w:hAnsi="IRNazanin" w:eastAsia="IRNazanin" w:cs="IRNazanin"/>
          <w:lang w:bidi="fa-IR"/>
          <w:color w:val="111111"/>
          <w:sz w:val="28"/>
          <w:szCs w:val="28"/>
          <w:rtl/>
        </w:rPr>
        <w:t xml:space="preserve">181). کما فی فهرسها 2: 643 و أخری فی (المجلس) کما فی فهرسها 3: 360 و رأی سنگلاخ نسخه منه بخط عبد الرزاق ابن أخت المیر عماد الکاتب و ذکره فی امتحان الفضلاء ج 1 ص 319 و نسخ فتوغرافیة فی مکتبة (جامعة طهران).</w:t>
      </w:r>
    </w:p>
    <w:p>
      <w:pPr>
        <w:pStyle w:val="BookText"/>
      </w:pPr>
      <w:r>
        <w:rPr>
          <w:rFonts w:ascii="IRNazanin" w:hAnsi="IRNazanin" w:eastAsia="IRNazanin" w:cs="IRNazanin"/>
          <w:lang w:bidi="fa-IR"/>
          <w:color w:val="111111"/>
          <w:sz w:val="28"/>
          <w:szCs w:val="28"/>
          <w:rtl/>
        </w:rPr>
        <w:t xml:space="preserve">ترجمه فی (تش- ص 120) و حبیب السیر و رجال حبیب السیر ص 83 و (نتایج ص 465) و (حسینی- ص 207) و (لت) و عباس إقبال فی تاریخ مفصل ایران.</w:t>
      </w:r>
    </w:p>
    <w:p>
      <w:pPr>
        <w:pStyle w:val="BookText"/>
      </w:pPr>
      <w:r>
        <w:rPr>
          <w:rFonts w:ascii="IRNazanin" w:hAnsi="IRNazanin" w:eastAsia="IRNazanin" w:cs="IRNazanin"/>
          <w:lang w:bidi="fa-IR"/>
          <w:color w:val="111111"/>
          <w:sz w:val="28"/>
          <w:szCs w:val="28"/>
          <w:rtl/>
        </w:rPr>
        <w:t xml:space="preserve">ص 552 و للدکتور ناظرزاده الکرمانی زندگی عماد فقیه مستقلا.</w:t>
      </w:r>
    </w:p>
    <w:p>
      <w:pPr>
        <w:pStyle w:val="Heading3"/>
      </w:pPr>
      <w:bookmarkStart w:id="6912" w:name="_Toc5608"/>
      <w:r>
        <w:t>5186- دیوان میر عماد قزوینی أو شعره‏</w:t>
      </w:r>
      <w:bookmarkEnd w:id="6912"/>
    </w:p>
    <w:p>
      <w:pPr>
        <w:pStyle w:val="BookText"/>
      </w:pPr>
      <w:r>
        <w:rPr>
          <w:rFonts w:ascii="IRNazanin" w:hAnsi="IRNazanin" w:eastAsia="IRNazanin" w:cs="IRNazanin"/>
          <w:lang w:bidi="fa-IR"/>
          <w:color w:val="111111"/>
          <w:sz w:val="28"/>
          <w:szCs w:val="28"/>
          <w:rtl/>
        </w:rPr>
        <w:t xml:space="preserve">و هو عماد الملک الخطاط الفنان فی النستعلیق (961- 1024) قال النصرآبادی فی (نر 7 ص 207): و قد یرجحون خطه علی خط المیر علی التبریزی، فإنه وصل حد الإعجاز. و قد اتهمه الشاه عباس بالتسنن و أمر مقصود بیک فقتله حین ذهابه إلی الحمام لیلا. و قال سنگلاخ فی امتحان الفضلاء ج 1 ص 279 إنه قطعة فی الطریق إربا إربا، فحمل جنازته تلمیذه المیرزا أبو تراب الخطاط الأصفهانی و دفنه بباب طوقچی و نقل عن میرزا صالح ابن المیرزا أبی تراب، أنهم منعوه عن عمارة قبره و طردوا أولاده و أصحابه، و ذلک فی سلخ رجب 1024 و قال فی (روشن 474) إنهم لجئوا إلی بلاد الروم. و کان ابنه المیرزا إبراهیم أیضا خطاطا ماهرا، و کذا گوهرشاد بنت المیر عماد، و کذا بنو أخته المیر رشید و المیر عبد الرزاق و المیر یحیی، و صهره المیر محمد علی زوج گوهرشاد، و حفیده محمد أمین کلهم خطاطون، ذکروا فی امتحان الفضلاء المذکور.</w:t>
      </w:r>
    </w:p>
    <w:p>
      <w:pPr>
        <w:pStyle w:val="BookText"/>
      </w:pPr>
      <w:r>
        <w:rPr>
          <w:rFonts w:ascii="IRNazanin" w:hAnsi="IRNazanin" w:eastAsia="IRNazanin" w:cs="IRNazanin"/>
          <w:lang w:bidi="fa-IR"/>
          <w:color w:val="111111"/>
          <w:sz w:val="28"/>
          <w:szCs w:val="28"/>
          <w:rtl/>
        </w:rPr>
        <w:t xml:space="preserve">و له آداب المشق المذکور فی 1: 29 طبع فی آخر امتحان الفضلاء ج 2 ص 381- 397. و ترجمه الدکتور مهدی بیانی فی نشریة دوستداران کتاب فی 1331 ش. فی 18 ص. و فی (حسینی- ص 213) ذکر قصة یشعر عن شجاعته و عدم إطاعته للشاه. و فی عالم‏آرا- ص 631895 و روضة الصفویة. و ذکر سنگلاخ فی امتحان الفضلاء- 1: 432 أن أرکان الخط أربعة: 1- بایسنقر فی الثلث 2- عماد هذا فی النستعلیق 3- أحمد نیریزی فی النسخ 4- درویش مجید المذکور فی ص 698 فی الشکستة. و مر معارضه فی الخط علی رضا عباسی فی ص 757.</w:t>
      </w:r>
    </w:p>
    <w:p>
      <w:pPr>
        <w:pStyle w:val="Heading3"/>
      </w:pPr>
      <w:bookmarkStart w:id="6913" w:name="_Toc5609"/>
      <w:r>
        <w:t>5187- دیوان عماد کاتب‏</w:t>
      </w:r>
      <w:bookmarkEnd w:id="6913"/>
    </w:p>
    <w:p>
      <w:pPr>
        <w:pStyle w:val="BookText"/>
      </w:pPr>
      <w:r>
        <w:rPr>
          <w:rFonts w:ascii="IRNazanin" w:hAnsi="IRNazanin" w:eastAsia="IRNazanin" w:cs="IRNazanin"/>
          <w:lang w:bidi="fa-IR"/>
          <w:color w:val="111111"/>
          <w:sz w:val="28"/>
          <w:szCs w:val="28"/>
          <w:rtl/>
        </w:rPr>
        <w:t xml:space="preserve">من الخطاطین الأساتذة و دیوان شعره معروف. کذا ترجمه و أورد شعره فی (بهش 2- ص 394). و راجع عماد قزوینی.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bookmarkStart w:id="760" w:name="pg11704_122244"/>
    <w:bookmarkEnd w:id="760"/>
    <w:p>
      <w:pPr>
        <w:pStyle w:val="Heading3"/>
      </w:pPr>
      <w:bookmarkStart w:id="6914" w:name="_Toc5610"/>
      <w:r>
        <w:t>دیوان عماد کرمانی‏</w:t>
      </w:r>
      <w:bookmarkEnd w:id="6914"/>
    </w:p>
    <w:p>
      <w:pPr>
        <w:pStyle w:val="BookText"/>
      </w:pPr>
      <w:r>
        <w:rPr>
          <w:rFonts w:ascii="IRNazanin" w:hAnsi="IRNazanin" w:eastAsia="IRNazanin" w:cs="IRNazanin"/>
          <w:lang w:bidi="fa-IR"/>
          <w:color w:val="111111"/>
          <w:sz w:val="28"/>
          <w:szCs w:val="28"/>
          <w:rtl/>
        </w:rPr>
        <w:t xml:space="preserve">راجع عماد فقیه.</w:t>
      </w:r>
    </w:p>
    <w:p>
      <w:pPr>
        <w:pStyle w:val="Heading3"/>
      </w:pPr>
      <w:bookmarkStart w:id="6915" w:name="_Toc5611"/>
      <w:r>
        <w:t>دیوان عماد لاری‏</w:t>
      </w:r>
      <w:bookmarkEnd w:id="6915"/>
    </w:p>
    <w:p>
      <w:pPr>
        <w:pStyle w:val="BookText"/>
      </w:pPr>
      <w:r>
        <w:rPr>
          <w:rFonts w:ascii="IRNazanin" w:hAnsi="IRNazanin" w:eastAsia="IRNazanin" w:cs="IRNazanin"/>
          <w:lang w:bidi="fa-IR"/>
          <w:color w:val="111111"/>
          <w:sz w:val="28"/>
          <w:szCs w:val="28"/>
          <w:rtl/>
        </w:rPr>
        <w:t xml:space="preserve">له غزلیات، و مثنوی لیلی و مجنون کما فی (مجن 6 ص 121 و 312).</w:t>
      </w:r>
    </w:p>
    <w:p>
      <w:pPr>
        <w:pStyle w:val="Heading3"/>
      </w:pPr>
      <w:bookmarkStart w:id="6916" w:name="_Toc5612"/>
      <w:r>
        <w:t>5188- دیوان عمادلر</w:t>
      </w:r>
      <w:bookmarkEnd w:id="6916"/>
    </w:p>
    <w:p>
      <w:pPr>
        <w:pStyle w:val="BookText"/>
      </w:pPr>
      <w:r>
        <w:rPr>
          <w:rFonts w:ascii="IRNazanin" w:hAnsi="IRNazanin" w:eastAsia="IRNazanin" w:cs="IRNazanin"/>
          <w:lang w:bidi="fa-IR"/>
          <w:color w:val="111111"/>
          <w:sz w:val="28"/>
          <w:szCs w:val="28"/>
          <w:rtl/>
        </w:rPr>
        <w:t xml:space="preserve">کما تخلص به فی شعره. و اسمه عماد الله فضلوئی الماهر فی الشطرنج. کان ملازم الخواجة شمس الدین محمد صاحب الدیوان و ابقا خان. ترجمه فی (بهش 1 ص 343) و أورد شعره، و کذا فی تاریخ گزیده- ص 822 و (روشن- ص 474).</w:t>
      </w:r>
    </w:p>
    <w:p>
      <w:pPr>
        <w:pStyle w:val="Heading3"/>
      </w:pPr>
      <w:bookmarkStart w:id="6917" w:name="_Toc5613"/>
      <w:r>
        <w:t>5189- دیوان عماد لشکر</w:t>
      </w:r>
      <w:bookmarkEnd w:id="6917"/>
    </w:p>
    <w:p>
      <w:pPr>
        <w:pStyle w:val="BookText"/>
      </w:pPr>
      <w:r>
        <w:rPr>
          <w:rFonts w:ascii="IRNazanin" w:hAnsi="IRNazanin" w:eastAsia="IRNazanin" w:cs="IRNazanin"/>
          <w:lang w:bidi="fa-IR"/>
          <w:color w:val="111111"/>
          <w:sz w:val="28"/>
          <w:szCs w:val="28"/>
          <w:rtl/>
        </w:rPr>
        <w:t xml:space="preserve">لسرمدی آشتیانی، أدیب خلوت، علی بن إسماعیل.</w:t>
      </w:r>
    </w:p>
    <w:p>
      <w:pPr>
        <w:pStyle w:val="BookText"/>
      </w:pPr>
      <w:r>
        <w:rPr>
          <w:rFonts w:ascii="IRNazanin" w:hAnsi="IRNazanin" w:eastAsia="IRNazanin" w:cs="IRNazanin"/>
          <w:lang w:bidi="fa-IR"/>
          <w:color w:val="111111"/>
          <w:sz w:val="28"/>
          <w:szCs w:val="28"/>
          <w:rtl/>
        </w:rPr>
        <w:t xml:space="preserve">طبع له تبریک‏نامه و چهارده بند و وطنیات کلها منظومات.</w:t>
      </w:r>
    </w:p>
    <w:p>
      <w:pPr>
        <w:pStyle w:val="Heading3"/>
      </w:pPr>
      <w:bookmarkStart w:id="6918" w:name="_Toc5614"/>
      <w:r>
        <w:t>دیوان عماد مشهدی‏</w:t>
      </w:r>
      <w:bookmarkEnd w:id="6918"/>
    </w:p>
    <w:p>
      <w:pPr>
        <w:pStyle w:val="BookText"/>
      </w:pPr>
      <w:r>
        <w:rPr>
          <w:rFonts w:ascii="IRNazanin" w:hAnsi="IRNazanin" w:eastAsia="IRNazanin" w:cs="IRNazanin"/>
          <w:lang w:bidi="fa-IR"/>
          <w:color w:val="111111"/>
          <w:sz w:val="28"/>
          <w:szCs w:val="28"/>
          <w:rtl/>
        </w:rPr>
        <w:t xml:space="preserve">المسلم عند شعراء المشهد. ترجمه فی (مجن 2- ص 35 و ص 209) و ذکر شعره. قال و مخلصه موسوی و له جواب الشیخ کمال الخجندی.</w:t>
      </w:r>
    </w:p>
    <w:p>
      <w:pPr>
        <w:pStyle w:val="Heading3"/>
      </w:pPr>
      <w:bookmarkStart w:id="6919" w:name="_Toc5615"/>
      <w:r>
        <w:t>دیوان سید عماد یزدی أو شعره‏</w:t>
      </w:r>
      <w:bookmarkEnd w:id="6919"/>
    </w:p>
    <w:p>
      <w:pPr>
        <w:pStyle w:val="BookText"/>
      </w:pPr>
      <w:r>
        <w:rPr>
          <w:rFonts w:ascii="IRNazanin" w:hAnsi="IRNazanin" w:eastAsia="IRNazanin" w:cs="IRNazanin"/>
          <w:lang w:bidi="fa-IR"/>
          <w:color w:val="111111"/>
          <w:sz w:val="28"/>
          <w:szCs w:val="28"/>
          <w:rtl/>
        </w:rPr>
        <w:t xml:space="preserve">کان نزیل خراسان. ترجمه فی (مجن 6- ص 122 و 312) و أورد شعره بعنوان السید عماد الدین العراقی الیزدی المولد نزیل هرات.</w:t>
      </w:r>
    </w:p>
    <w:p>
      <w:pPr>
        <w:pStyle w:val="Heading3"/>
      </w:pPr>
      <w:bookmarkStart w:id="6920" w:name="_Toc5616"/>
      <w:r>
        <w:t>5190- دیوان عمادی شهریاری‏</w:t>
      </w:r>
      <w:bookmarkEnd w:id="6920"/>
    </w:p>
    <w:p>
      <w:pPr>
        <w:pStyle w:val="BookText"/>
      </w:pPr>
      <w:r>
        <w:rPr>
          <w:rFonts w:ascii="IRNazanin" w:hAnsi="IRNazanin" w:eastAsia="IRNazanin" w:cs="IRNazanin"/>
          <w:lang w:bidi="fa-IR"/>
          <w:color w:val="111111"/>
          <w:sz w:val="28"/>
          <w:szCs w:val="28"/>
          <w:rtl/>
        </w:rPr>
        <w:t xml:space="preserve">و هو عماد الدین الغزنوی أصلا، من شعراء القرن السادس و قیل إنه ابن عثمان المختاری الغزنوی الشاعر المتوفی 534. قال فی خلاصة الأشعار إنه نشا بشهریار من قری الری و اشتهر به، و سکن مازندران و مدح حاکمها، و سافر إلی بلخ و اتصل بالسنائی الغزنوی و ثم رجع إلی وطنه ری و لازم طغرل و بعد قتل طغرل انزوی عن الناس. و ذکر قصته مع عبادی الواعظ المتوفی 547 فی راحة الصدور ص 209 و قال فی الخلاصة إنه کان یلقب ملک الشعراء و کانوا یرجحون شعره علی شعر الظهیر الفاریابی و فیه خلاف. و مدح صابر و قوامی رازی و سراج الدین قمری و حسن غزنوی. ترجمه فی (اللباب 10) و النفیسی فی تعلیقاته علی اللباب ص 722- 728) و القزوینی فی بیست مقالة ج 2 ص 343- 354 قال فی مع 1 ص 350): إن دیوانه فی خمسمائة بیت، و لکن قال النفیسی إنه فی 2500 بیت و توفی 573 کما فی شاهد صادق و (تش 214) أو 593 کما فی خلاصة الأشعار أو 587 کما فی القاموس الترکی و عنه فی الریحانة. و نقل فی سخن و سخنوران عن تقی الدین بیک أنه غیر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bookmarkStart w:id="761" w:name="pg11704_122245"/>
    <w:bookmarkEnd w:id="761"/>
    <w:p>
      <w:pPr>
        <w:pStyle w:val="BookText"/>
      </w:pPr>
      <w:r>
        <w:rPr>
          <w:rFonts w:ascii="IRNazanin" w:hAnsi="IRNazanin" w:eastAsia="IRNazanin" w:cs="IRNazanin"/>
          <w:lang w:bidi="fa-IR"/>
          <w:color w:val="111111"/>
          <w:sz w:val="28"/>
          <w:szCs w:val="28"/>
          <w:rtl/>
        </w:rPr>
        <w:t xml:space="preserve">عماد الدین الغزنوی المذکور فی اللباب. و قال الدکتور صفا فی تاریخ أدبیات ایران 2: 743: الظاهر أن العوفی فی اللباب اشتبه فی تسمیة الشاعر عماد الدین و نسبته إلی غزنین فإنه شهریاری و قد أخذ تخلصه من ممدوحه عماد الدولة فرامرز الباوندی.</w:t>
      </w:r>
    </w:p>
    <w:p>
      <w:pPr>
        <w:pStyle w:val="Heading3"/>
      </w:pPr>
      <w:bookmarkStart w:id="6921" w:name="_Toc5617"/>
      <w:r>
        <w:t>5195- دیوان عمارة مروزی‏</w:t>
      </w:r>
      <w:bookmarkEnd w:id="6921"/>
    </w:p>
    <w:p>
      <w:pPr>
        <w:pStyle w:val="BookText"/>
      </w:pPr>
      <w:r>
        <w:rPr>
          <w:rFonts w:ascii="IRNazanin" w:hAnsi="IRNazanin" w:eastAsia="IRNazanin" w:cs="IRNazanin"/>
          <w:lang w:bidi="fa-IR"/>
          <w:color w:val="111111"/>
          <w:sz w:val="28"/>
          <w:szCs w:val="28"/>
          <w:rtl/>
        </w:rPr>
        <w:t xml:space="preserve">هو أبو منصور ابن أحمد من قدماء الشعراء فی عهد السامانیة و توفی 360 کما أرخه فی (مع: ج 1 ص 350) و أورد بعض شعره، منها ما سمعه الشیخ أبو سعید أبو الخیر فقام مع مریدیه لزیارة قبر عمارة لعمارة قلوبهم. ترجمه فی (بهش 1- ص 235) و (اللباب: 8) و (روشن: 476).</w:t>
      </w:r>
    </w:p>
    <w:p>
      <w:pPr>
        <w:pStyle w:val="Heading3"/>
      </w:pPr>
      <w:bookmarkStart w:id="6922" w:name="_Toc5618"/>
      <w:r>
        <w:t>5196- دیوان عمارة الیمانی المصری أو شعره‏</w:t>
      </w:r>
      <w:bookmarkEnd w:id="6922"/>
    </w:p>
    <w:p>
      <w:pPr>
        <w:pStyle w:val="BookText"/>
      </w:pPr>
      <w:r>
        <w:rPr>
          <w:rFonts w:ascii="IRNazanin" w:hAnsi="IRNazanin" w:eastAsia="IRNazanin" w:cs="IRNazanin"/>
          <w:lang w:bidi="fa-IR"/>
          <w:color w:val="111111"/>
          <w:sz w:val="28"/>
          <w:szCs w:val="28"/>
          <w:rtl/>
        </w:rPr>
        <w:t xml:space="preserve">هو نجم الدین أبو محمد عمارة بن الحسن بن علی بن زیدان بن أحمد الحکمی الیمانی نزیل مصر و المقتول بها بأمر صلاح الأیوبی لأجل التشیع فی 569 کما ذکر فی نسمة السحر فیمن تشیع و شعر و ذکر له القصیدة اللامیة فی رثاء أهل القصر.</w:t>
      </w:r>
    </w:p>
    <w:p>
      <w:pPr>
        <w:pStyle w:val="Heading3"/>
      </w:pPr>
      <w:bookmarkStart w:id="6923" w:name="_Toc5619"/>
      <w:r>
        <w:t>5197- دیوان عمان سامانی‏</w:t>
      </w:r>
      <w:bookmarkEnd w:id="6923"/>
    </w:p>
    <w:p>
      <w:pPr>
        <w:pStyle w:val="BookText"/>
      </w:pPr>
      <w:r>
        <w:rPr>
          <w:rFonts w:ascii="IRNazanin" w:hAnsi="IRNazanin" w:eastAsia="IRNazanin" w:cs="IRNazanin"/>
          <w:lang w:bidi="fa-IR"/>
          <w:color w:val="111111"/>
          <w:sz w:val="28"/>
          <w:szCs w:val="28"/>
          <w:rtl/>
        </w:rPr>
        <w:t xml:space="preserve">هو تاج الشعراء المیرزا نور الله بن المیرزا عبد الله المتخلص جیحون ابن المیرزا عبد الوهاب المتخلص قطرة الچهارمحالی الأصفهانی.</w:t>
      </w:r>
    </w:p>
    <w:p>
      <w:pPr>
        <w:pStyle w:val="BookText"/>
      </w:pPr>
      <w:r>
        <w:rPr>
          <w:rFonts w:ascii="IRNazanin" w:hAnsi="IRNazanin" w:eastAsia="IRNazanin" w:cs="IRNazanin"/>
          <w:lang w:bidi="fa-IR"/>
          <w:color w:val="111111"/>
          <w:sz w:val="28"/>
          <w:szCs w:val="28"/>
          <w:rtl/>
        </w:rPr>
        <w:t xml:space="preserve">ترجم قطرة و ابنه دریا المذکور فی ص 325 فی (مع 2: 421 و 129) و فاتنا ذکر والده المیرزا عبد الله جیحون و یأتی ذکر ولده محیط و أخیه قلزم. ولد عمان 1264 و توفی لیلة الثلاثاء 12 شوال 1322 و دفن بوادی السلام بالنجف، کما نقل لی ذلک المعلم الحبیب‏آبادی عن ابنه المحیط. و طبع دیوانه باسم گنجینه اسرار فی الهند و إیران مع معراج المحبة و مستقلا. ذکر طبعاتها فی فهرس مشار مفصلا.</w:t>
      </w:r>
    </w:p>
    <w:p>
      <w:pPr>
        <w:pStyle w:val="Heading3"/>
      </w:pPr>
      <w:bookmarkStart w:id="6924" w:name="_Toc5620"/>
      <w:r>
        <w:t>5198- دیوان عمان سمرقندی أو شعره‏</w:t>
      </w:r>
      <w:bookmarkEnd w:id="6924"/>
    </w:p>
    <w:p>
      <w:pPr>
        <w:pStyle w:val="BookText"/>
      </w:pPr>
      <w:r>
        <w:rPr>
          <w:rFonts w:ascii="IRNazanin" w:hAnsi="IRNazanin" w:eastAsia="IRNazanin" w:cs="IRNazanin"/>
          <w:lang w:bidi="fa-IR"/>
          <w:color w:val="111111"/>
          <w:sz w:val="28"/>
          <w:szCs w:val="28"/>
          <w:rtl/>
        </w:rPr>
        <w:t xml:space="preserve">کان یمدح عبد العزیز خان کما فی (روشن ص 476).</w:t>
      </w:r>
    </w:p>
    <w:p>
      <w:pPr>
        <w:pStyle w:val="Heading3"/>
      </w:pPr>
      <w:bookmarkStart w:id="6925" w:name="_Toc5621"/>
      <w:r>
        <w:t>5199- دیوان عمدة تبریزی أو شعره‏</w:t>
      </w:r>
      <w:bookmarkEnd w:id="6925"/>
    </w:p>
    <w:p>
      <w:pPr>
        <w:pStyle w:val="BookText"/>
      </w:pPr>
      <w:r>
        <w:rPr>
          <w:rFonts w:ascii="IRNazanin" w:hAnsi="IRNazanin" w:eastAsia="IRNazanin" w:cs="IRNazanin"/>
          <w:lang w:bidi="fa-IR"/>
          <w:color w:val="111111"/>
          <w:sz w:val="28"/>
          <w:szCs w:val="28"/>
          <w:rtl/>
        </w:rPr>
        <w:t xml:space="preserve">من متقدمی الشعراء. نقل فی (دجا- ص 281) عن مونس الأحرار لبدر الجاجرمی غزلا له بقافیة الألف و ردیف نمی‏کند دوست.</w:t>
      </w:r>
    </w:p>
    <w:p>
      <w:pPr>
        <w:pStyle w:val="Heading3"/>
      </w:pPr>
      <w:bookmarkStart w:id="6926" w:name="_Toc5622"/>
      <w:r>
        <w:t>دیوان عمر خیام‏</w:t>
      </w:r>
      <w:bookmarkEnd w:id="6926"/>
    </w:p>
    <w:p>
      <w:pPr>
        <w:pStyle w:val="BookText"/>
      </w:pPr>
      <w:r>
        <w:rPr>
          <w:rFonts w:ascii="IRNazanin" w:hAnsi="IRNazanin" w:eastAsia="IRNazanin" w:cs="IRNazanin"/>
          <w:lang w:bidi="fa-IR"/>
          <w:color w:val="111111"/>
          <w:sz w:val="28"/>
          <w:szCs w:val="28"/>
          <w:rtl/>
        </w:rPr>
        <w:t xml:space="preserve">مر فی ص 310 بعنوان خیام. و مر من أولاده شاهپور نیشابوری‏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bookmarkStart w:id="762" w:name="pg11704_122246"/>
    <w:bookmarkEnd w:id="762"/>
    <w:p>
      <w:pPr>
        <w:pStyle w:val="BookText"/>
      </w:pPr>
      <w:r>
        <w:rPr>
          <w:rFonts w:ascii="IRNazanin" w:hAnsi="IRNazanin" w:eastAsia="IRNazanin" w:cs="IRNazanin"/>
          <w:lang w:bidi="fa-IR"/>
          <w:color w:val="111111"/>
          <w:sz w:val="28"/>
          <w:szCs w:val="28"/>
          <w:rtl/>
        </w:rPr>
        <w:t xml:space="preserve">فی ص 496.</w:t>
      </w:r>
    </w:p>
    <w:p>
      <w:pPr>
        <w:pStyle w:val="Heading3"/>
      </w:pPr>
      <w:bookmarkStart w:id="6927" w:name="_Toc5623"/>
      <w:r>
        <w:t>5200- دیوان عمعق بخاری‏</w:t>
      </w:r>
      <w:bookmarkEnd w:id="6927"/>
    </w:p>
    <w:p>
      <w:pPr>
        <w:pStyle w:val="BookText"/>
      </w:pPr>
      <w:r>
        <w:rPr>
          <w:rFonts w:ascii="IRNazanin" w:hAnsi="IRNazanin" w:eastAsia="IRNazanin" w:cs="IRNazanin"/>
          <w:lang w:bidi="fa-IR"/>
          <w:color w:val="111111"/>
          <w:sz w:val="28"/>
          <w:szCs w:val="28"/>
          <w:rtl/>
        </w:rPr>
        <w:t xml:space="preserve">هو شهاب الدین عمعق البخاری من شعراء بلاط الخانیة و الملقب أمیر الشعراء و المتوفی 551 کما فی شاهد صادق 1 و 542 کما فی (مع 1: 345) و دیوانه سبعة آلاف بیت، و لکن ما طبع فی تبریز 1307 ش. فی 44 ص.</w:t>
      </w:r>
    </w:p>
    <w:p>
      <w:pPr>
        <w:pStyle w:val="BookText"/>
      </w:pPr>
      <w:r>
        <w:rPr>
          <w:rFonts w:ascii="IRNazanin" w:hAnsi="IRNazanin" w:eastAsia="IRNazanin" w:cs="IRNazanin"/>
          <w:lang w:bidi="fa-IR"/>
          <w:color w:val="111111"/>
          <w:sz w:val="28"/>
          <w:szCs w:val="28"/>
          <w:rtl/>
        </w:rPr>
        <w:t xml:space="preserve">فکثیر منه منسوب إلیه. ترجمه أبو الفضل البیهقی فی التاریخ المسعودی بتصحیح النفیسی. ص 1301- 1323. و فی تعلیقات النفیسی علی (اللباب ص 686) و الدکتور ذبیح الله صفا فی مقالات مجلة مهر الطهرانیة و ترجمه فی (لت 1) و (اللباب 10) و (تش- 322) و (روشن 476). و له مثنوی یوسف و زلیخا ذو بحرین.</w:t>
      </w:r>
    </w:p>
    <w:p>
      <w:pPr>
        <w:pStyle w:val="Heading3"/>
      </w:pPr>
      <w:bookmarkStart w:id="6928" w:name="_Toc5624"/>
      <w:r>
        <w:t>5201- دیوان عموی أصفهانی‏</w:t>
      </w:r>
      <w:bookmarkEnd w:id="6928"/>
    </w:p>
    <w:p>
      <w:pPr>
        <w:pStyle w:val="BookText"/>
      </w:pPr>
      <w:r>
        <w:rPr>
          <w:rFonts w:ascii="IRNazanin" w:hAnsi="IRNazanin" w:eastAsia="IRNazanin" w:cs="IRNazanin"/>
          <w:lang w:bidi="fa-IR"/>
          <w:color w:val="111111"/>
          <w:sz w:val="28"/>
          <w:szCs w:val="28"/>
          <w:rtl/>
        </w:rPr>
        <w:t xml:space="preserve">لمحمود بن عبد الصمد بن محمود فرهنگ. کان جده محمود من کتاب جریدة فرهنگ فی عصر ظل السلطان. و ولد عمو فی 1285 ش.</w:t>
      </w:r>
    </w:p>
    <w:p>
      <w:pPr>
        <w:pStyle w:val="BookText"/>
      </w:pPr>
      <w:r>
        <w:rPr>
          <w:rFonts w:ascii="IRNazanin" w:hAnsi="IRNazanin" w:eastAsia="IRNazanin" w:cs="IRNazanin"/>
          <w:lang w:bidi="fa-IR"/>
          <w:color w:val="111111"/>
          <w:sz w:val="28"/>
          <w:szCs w:val="28"/>
          <w:rtl/>
        </w:rPr>
        <w:t xml:space="preserve">و تعلم بأصفهان و طهران و سکن خوزستان و دون دیوانه هذا هناک ترجمه کذلک و أورد شعره فی (شعرای أصفهان. ص 335).</w:t>
      </w:r>
    </w:p>
    <w:p>
      <w:pPr>
        <w:pStyle w:val="Heading3"/>
      </w:pPr>
      <w:bookmarkStart w:id="6929" w:name="_Toc5625"/>
      <w:r>
        <w:t>دیوان عمید حسینی‏</w:t>
      </w:r>
      <w:bookmarkEnd w:id="6929"/>
    </w:p>
    <w:p>
      <w:pPr>
        <w:pStyle w:val="BookText"/>
      </w:pPr>
      <w:r>
        <w:rPr>
          <w:rFonts w:ascii="IRNazanin" w:hAnsi="IRNazanin" w:eastAsia="IRNazanin" w:cs="IRNazanin"/>
          <w:lang w:bidi="fa-IR"/>
          <w:color w:val="111111"/>
          <w:sz w:val="28"/>
          <w:szCs w:val="28"/>
          <w:rtl/>
        </w:rPr>
        <w:t xml:space="preserve">هو تخلص آخر ل نیر تبریزی محمد تقی حجة الإسلام صاحب آتشکده تخلص به مستعارا فی در خوشاب.</w:t>
      </w:r>
    </w:p>
    <w:p>
      <w:pPr>
        <w:pStyle w:val="Heading3"/>
      </w:pPr>
      <w:bookmarkStart w:id="6930" w:name="_Toc5626"/>
      <w:r>
        <w:t>دیوان عمید دیلمی‏</w:t>
      </w:r>
      <w:bookmarkEnd w:id="6930"/>
    </w:p>
    <w:p>
      <w:pPr>
        <w:pStyle w:val="BookText"/>
      </w:pPr>
      <w:r>
        <w:rPr>
          <w:rFonts w:ascii="IRNazanin" w:hAnsi="IRNazanin" w:eastAsia="IRNazanin" w:cs="IRNazanin"/>
          <w:lang w:bidi="fa-IR"/>
          <w:color w:val="111111"/>
          <w:sz w:val="28"/>
          <w:szCs w:val="28"/>
          <w:rtl/>
        </w:rPr>
        <w:t xml:space="preserve">راجع عمید لویکی.</w:t>
      </w:r>
    </w:p>
    <w:p>
      <w:pPr>
        <w:pStyle w:val="Heading3"/>
      </w:pPr>
      <w:bookmarkStart w:id="6931" w:name="_Toc5627"/>
      <w:r>
        <w:t>5202- دیوان عمید الدین أسعد الأفزری‏</w:t>
      </w:r>
      <w:bookmarkEnd w:id="6931"/>
    </w:p>
    <w:p>
      <w:pPr>
        <w:pStyle w:val="BookText"/>
      </w:pPr>
      <w:r>
        <w:rPr>
          <w:rFonts w:ascii="IRNazanin" w:hAnsi="IRNazanin" w:eastAsia="IRNazanin" w:cs="IRNazanin"/>
          <w:lang w:bidi="fa-IR"/>
          <w:color w:val="111111"/>
          <w:sz w:val="28"/>
          <w:szCs w:val="28"/>
          <w:rtl/>
        </w:rPr>
        <w:t xml:space="preserve">الخنجی اللاری أبو نصر وزیر أتابک سعد بن زنگی. مات هو و ابنه تاج الدین محمد فی قلعة إشکنوان فی 624 و فیها نظم القصیدة الأشکنوانیة التی أولها:</w:t>
      </w:r>
    </w:p>
    <w:p>
      <w:pPr>
        <w:pStyle w:val="BookText"/>
      </w:pPr>
      <w:r>
        <w:rPr>
          <w:rFonts w:ascii="IRNazanin" w:hAnsi="IRNazanin" w:eastAsia="IRNazanin" w:cs="IRNazanin"/>
          <w:lang w:bidi="fa-IR"/>
          <w:color w:val="111111"/>
          <w:sz w:val="28"/>
          <w:szCs w:val="28"/>
          <w:rtl/>
        </w:rPr>
        <w:t xml:space="preserve">من یبلغن حمامات ببطحاء</w:t>
      </w:r>
    </w:p>
    <w:p>
      <w:pPr>
        <w:pStyle w:val="BookText"/>
      </w:pPr>
      <w:r>
        <w:rPr>
          <w:rFonts w:ascii="IRNazanin" w:hAnsi="IRNazanin" w:eastAsia="IRNazanin" w:cs="IRNazanin"/>
          <w:lang w:bidi="fa-IR"/>
          <w:color w:val="111111"/>
          <w:sz w:val="28"/>
          <w:szCs w:val="28"/>
          <w:rtl/>
        </w:rPr>
        <w:t xml:space="preserve">ممتعات بسلسال و خضراء</w:t>
      </w:r>
    </w:p>
    <w:p>
      <w:pPr>
        <w:pStyle w:val="BookText"/>
      </w:pPr>
      <w:r>
        <w:rPr>
          <w:rFonts w:ascii="IRNazanin" w:hAnsi="IRNazanin" w:eastAsia="IRNazanin" w:cs="IRNazanin"/>
          <w:lang w:bidi="fa-IR"/>
          <w:color w:val="111111"/>
          <w:sz w:val="28"/>
          <w:szCs w:val="28"/>
          <w:rtl/>
        </w:rPr>
        <w:t xml:space="preserve">و لها شروح معروفة. توجد نسختان منها فی (سپهسالار 6829 و 3294). ترجمه فی فارس‏نامه و دستور الوزراء- ص 238 و لکن سمی القلعة إسکیوان و أورد شعره الفارسی.</w:t>
      </w:r>
    </w:p>
    <w:p>
      <w:pPr>
        <w:pStyle w:val="Heading3"/>
      </w:pPr>
      <w:bookmarkStart w:id="6932" w:name="_Toc5628"/>
      <w:r>
        <w:t>5203- دیوان عمید لویکی‏</w:t>
      </w:r>
      <w:bookmarkEnd w:id="6932"/>
    </w:p>
    <w:p>
      <w:pPr>
        <w:pStyle w:val="BookText"/>
      </w:pPr>
      <w:r>
        <w:rPr>
          <w:rFonts w:ascii="IRNazanin" w:hAnsi="IRNazanin" w:eastAsia="IRNazanin" w:cs="IRNazanin"/>
          <w:lang w:bidi="fa-IR"/>
          <w:color w:val="111111"/>
          <w:sz w:val="28"/>
          <w:szCs w:val="28"/>
          <w:rtl/>
        </w:rPr>
        <w:t xml:space="preserve">هو فخر الملک عمید الدین الدیلمی ذهب إلی الهند و مدح السلطان محمد الیمینی، و مات 709 کما فی (تغ: 93) و له بنگ و باده فی المناظرة بینهما نظما. أوله: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bookmarkStart w:id="763" w:name="pg11704_122247"/>
    <w:bookmarkEnd w:id="763"/>
    <w:p>
      <w:pPr>
        <w:pStyle w:val="BookText"/>
      </w:pPr>
      <w:r>
        <w:rPr>
          <w:rFonts w:ascii="IRNazanin" w:hAnsi="IRNazanin" w:eastAsia="IRNazanin" w:cs="IRNazanin"/>
          <w:lang w:bidi="fa-IR"/>
          <w:color w:val="111111"/>
          <w:sz w:val="28"/>
          <w:szCs w:val="28"/>
          <w:rtl/>
        </w:rPr>
        <w:t xml:space="preserve">دی در میان باده صافی مزاج و بنگ‏</w:t>
      </w:r>
    </w:p>
    <w:p>
      <w:pPr>
        <w:pStyle w:val="BookText"/>
      </w:pPr>
      <w:r>
        <w:rPr>
          <w:rFonts w:ascii="IRNazanin" w:hAnsi="IRNazanin" w:eastAsia="IRNazanin" w:cs="IRNazanin"/>
          <w:lang w:bidi="fa-IR"/>
          <w:color w:val="111111"/>
          <w:sz w:val="28"/>
          <w:szCs w:val="28"/>
          <w:rtl/>
        </w:rPr>
        <w:t xml:space="preserve">در مصعد دماغ من افتاد تیره جنگ‏</w:t>
      </w:r>
    </w:p>
    <w:p>
      <w:pPr>
        <w:pStyle w:val="BookText"/>
      </w:pPr>
      <w:r>
        <w:rPr>
          <w:rFonts w:ascii="IRNazanin" w:hAnsi="IRNazanin" w:eastAsia="IRNazanin" w:cs="IRNazanin"/>
          <w:lang w:bidi="fa-IR"/>
          <w:color w:val="111111"/>
          <w:sz w:val="28"/>
          <w:szCs w:val="28"/>
          <w:rtl/>
        </w:rPr>
        <w:t xml:space="preserve">و قد تبعه فی ذلک فضولی بغدادی بالترکیة. ترجمه فی (مع 1: ص 353) و تاریخ علمای گیلان- ص 78 و قال فی (روشن- 477) إن لویک (لومک) من بلاد إیران.</w:t>
      </w:r>
    </w:p>
    <w:p>
      <w:pPr>
        <w:pStyle w:val="BookText"/>
      </w:pPr>
      <w:r>
        <w:rPr>
          <w:rFonts w:ascii="IRNazanin" w:hAnsi="IRNazanin" w:eastAsia="IRNazanin" w:cs="IRNazanin"/>
          <w:lang w:bidi="fa-IR"/>
          <w:color w:val="111111"/>
          <w:sz w:val="28"/>
          <w:szCs w:val="28"/>
          <w:rtl/>
        </w:rPr>
        <w:t xml:space="preserve">أقول: و لعله نسبة إلی لویه فی رودبار بگیلان.</w:t>
      </w:r>
    </w:p>
    <w:p>
      <w:pPr>
        <w:pStyle w:val="Heading3"/>
      </w:pPr>
      <w:bookmarkStart w:id="6933" w:name="_Toc5629"/>
      <w:r>
        <w:t>5204- دیوان عنایت أصفهانی‏</w:t>
      </w:r>
      <w:bookmarkEnd w:id="6933"/>
    </w:p>
    <w:p>
      <w:pPr>
        <w:pStyle w:val="BookText"/>
      </w:pPr>
      <w:r>
        <w:rPr>
          <w:rFonts w:ascii="IRNazanin" w:hAnsi="IRNazanin" w:eastAsia="IRNazanin" w:cs="IRNazanin"/>
          <w:lang w:bidi="fa-IR"/>
          <w:color w:val="111111"/>
          <w:sz w:val="28"/>
          <w:szCs w:val="28"/>
          <w:rtl/>
        </w:rPr>
        <w:t xml:space="preserve">و هو المیر عنایة الله بن المیر محمد إبراهیم القاضی من کتاب دفتر السلطان. ترجمه و أورد شعره معاصره فی (تش- 406).</w:t>
      </w:r>
    </w:p>
    <w:p>
      <w:pPr>
        <w:pStyle w:val="Heading3"/>
      </w:pPr>
      <w:bookmarkStart w:id="6934" w:name="_Toc5630"/>
      <w:r>
        <w:t>دیوان عنایت أصفهانی‏</w:t>
      </w:r>
      <w:bookmarkEnd w:id="6934"/>
    </w:p>
    <w:p>
      <w:pPr>
        <w:pStyle w:val="BookText"/>
      </w:pPr>
      <w:r>
        <w:rPr>
          <w:rFonts w:ascii="IRNazanin" w:hAnsi="IRNazanin" w:eastAsia="IRNazanin" w:cs="IRNazanin"/>
          <w:lang w:bidi="fa-IR"/>
          <w:color w:val="111111"/>
          <w:sz w:val="28"/>
          <w:szCs w:val="28"/>
          <w:rtl/>
        </w:rPr>
        <w:t xml:space="preserve">راجع دیوان عنایت خوزانی.</w:t>
      </w:r>
    </w:p>
    <w:p>
      <w:pPr>
        <w:pStyle w:val="Heading3"/>
      </w:pPr>
      <w:bookmarkStart w:id="6935" w:name="_Toc5631"/>
      <w:r>
        <w:t>5205- دیوان عنایت تبریزی أو شعره‏</w:t>
      </w:r>
      <w:bookmarkEnd w:id="6935"/>
    </w:p>
    <w:p>
      <w:pPr>
        <w:pStyle w:val="BookText"/>
      </w:pPr>
      <w:r>
        <w:rPr>
          <w:rFonts w:ascii="IRNazanin" w:hAnsi="IRNazanin" w:eastAsia="IRNazanin" w:cs="IRNazanin"/>
          <w:lang w:bidi="fa-IR"/>
          <w:color w:val="111111"/>
          <w:sz w:val="28"/>
          <w:szCs w:val="28"/>
          <w:rtl/>
        </w:rPr>
        <w:t xml:space="preserve">و هو أخ المیرزا صالح شیخ الإسلام بها.</w:t>
      </w:r>
    </w:p>
    <w:p>
      <w:pPr>
        <w:pStyle w:val="BookText"/>
      </w:pPr>
      <w:r>
        <w:rPr>
          <w:rFonts w:ascii="IRNazanin" w:hAnsi="IRNazanin" w:eastAsia="IRNazanin" w:cs="IRNazanin"/>
          <w:lang w:bidi="fa-IR"/>
          <w:color w:val="111111"/>
          <w:sz w:val="28"/>
          <w:szCs w:val="28"/>
          <w:rtl/>
        </w:rPr>
        <w:t xml:space="preserve">ترجم و أورد شعره فی (نر 5- ص 104) و (دجا- ص 281).</w:t>
      </w:r>
    </w:p>
    <w:p>
      <w:pPr>
        <w:pStyle w:val="Heading3"/>
      </w:pPr>
      <w:bookmarkStart w:id="6936" w:name="_Toc5632"/>
      <w:r>
        <w:t>5206- دیوان عنایت خوزانی‏</w:t>
      </w:r>
      <w:bookmarkEnd w:id="6936"/>
    </w:p>
    <w:p>
      <w:pPr>
        <w:pStyle w:val="BookText"/>
      </w:pPr>
      <w:r>
        <w:rPr>
          <w:rFonts w:ascii="IRNazanin" w:hAnsi="IRNazanin" w:eastAsia="IRNazanin" w:cs="IRNazanin"/>
          <w:lang w:bidi="fa-IR"/>
          <w:color w:val="111111"/>
          <w:sz w:val="28"/>
          <w:szCs w:val="28"/>
          <w:rtl/>
        </w:rPr>
        <w:t xml:space="preserve">هو ابن المیرزا مؤمن- و خوزان ناحیة عظیمة بأصفهان- سافر والده إلی الهند و ولد عنایت هناک و رجع و اشتغل فی موقوفات چهارده معصوم. ترجمه و أورد شعره معاصره فی (نر 5- ص 111).</w:t>
      </w:r>
    </w:p>
    <w:p>
      <w:pPr>
        <w:pStyle w:val="Heading3"/>
      </w:pPr>
      <w:bookmarkStart w:id="6937" w:name="_Toc5633"/>
      <w:r>
        <w:t>دیوان عنایت دیلمی‏</w:t>
      </w:r>
      <w:bookmarkEnd w:id="6937"/>
    </w:p>
    <w:p>
      <w:pPr>
        <w:pStyle w:val="BookText"/>
      </w:pPr>
      <w:r>
        <w:rPr>
          <w:rFonts w:ascii="IRNazanin" w:hAnsi="IRNazanin" w:eastAsia="IRNazanin" w:cs="IRNazanin"/>
          <w:lang w:bidi="fa-IR"/>
          <w:color w:val="111111"/>
          <w:sz w:val="28"/>
          <w:szCs w:val="28"/>
          <w:rtl/>
        </w:rPr>
        <w:t xml:space="preserve">راجع عنایة الله.</w:t>
      </w:r>
    </w:p>
    <w:p>
      <w:pPr>
        <w:pStyle w:val="Heading3"/>
      </w:pPr>
      <w:bookmarkStart w:id="6938" w:name="_Toc5634"/>
      <w:r>
        <w:t>5207- دیوان عنایت رازی أو شعره‏</w:t>
      </w:r>
      <w:bookmarkEnd w:id="6938"/>
    </w:p>
    <w:p>
      <w:pPr>
        <w:pStyle w:val="BookText"/>
      </w:pPr>
      <w:r>
        <w:rPr>
          <w:rFonts w:ascii="IRNazanin" w:hAnsi="IRNazanin" w:eastAsia="IRNazanin" w:cs="IRNazanin"/>
          <w:lang w:bidi="fa-IR"/>
          <w:color w:val="111111"/>
          <w:sz w:val="28"/>
          <w:szCs w:val="28"/>
          <w:rtl/>
        </w:rPr>
        <w:t xml:space="preserve">ترجمه و أورد شعره معاصره فی (تس 5- ص 177).</w:t>
      </w:r>
    </w:p>
    <w:p>
      <w:pPr>
        <w:pStyle w:val="Heading3"/>
      </w:pPr>
      <w:bookmarkStart w:id="6939" w:name="_Toc5635"/>
      <w:r>
        <w:t>5208- دیوان عنایت شیرازی أو شعره‏</w:t>
      </w:r>
      <w:bookmarkEnd w:id="6939"/>
    </w:p>
    <w:p>
      <w:pPr>
        <w:pStyle w:val="BookText"/>
      </w:pPr>
      <w:r>
        <w:rPr>
          <w:rFonts w:ascii="IRNazanin" w:hAnsi="IRNazanin" w:eastAsia="IRNazanin" w:cs="IRNazanin"/>
          <w:lang w:bidi="fa-IR"/>
          <w:color w:val="111111"/>
          <w:sz w:val="28"/>
          <w:szCs w:val="28"/>
          <w:rtl/>
        </w:rPr>
        <w:t xml:space="preserve">و هو المیر عنایة الله بن المیرزا حسن، من سادات دستغیب بشیراز. ترجم و أورد شعره فی (عم- 563).</w:t>
      </w:r>
    </w:p>
    <w:p>
      <w:pPr>
        <w:pStyle w:val="Heading3"/>
      </w:pPr>
      <w:bookmarkStart w:id="6940" w:name="_Toc5636"/>
      <w:r>
        <w:t>دیوان عنایت قزوینی‏</w:t>
      </w:r>
      <w:bookmarkEnd w:id="6940"/>
    </w:p>
    <w:p>
      <w:pPr>
        <w:pStyle w:val="BookText"/>
      </w:pPr>
      <w:r>
        <w:rPr>
          <w:rFonts w:ascii="IRNazanin" w:hAnsi="IRNazanin" w:eastAsia="IRNazanin" w:cs="IRNazanin"/>
          <w:lang w:bidi="fa-IR"/>
          <w:color w:val="111111"/>
          <w:sz w:val="28"/>
          <w:szCs w:val="28"/>
          <w:rtl/>
        </w:rPr>
        <w:t xml:space="preserve">راجع عنایة الله دیلمی.</w:t>
      </w:r>
    </w:p>
    <w:p>
      <w:pPr>
        <w:pStyle w:val="Heading3"/>
      </w:pPr>
      <w:bookmarkStart w:id="6941" w:name="_Toc5637"/>
      <w:r>
        <w:t>5209- دیوان عنایت کتاب دار</w:t>
      </w:r>
      <w:bookmarkEnd w:id="6941"/>
    </w:p>
    <w:p>
      <w:pPr>
        <w:pStyle w:val="BookText"/>
      </w:pPr>
      <w:r>
        <w:rPr>
          <w:rFonts w:ascii="IRNazanin" w:hAnsi="IRNazanin" w:eastAsia="IRNazanin" w:cs="IRNazanin"/>
          <w:lang w:bidi="fa-IR"/>
          <w:color w:val="111111"/>
          <w:sz w:val="28"/>
          <w:szCs w:val="28"/>
          <w:rtl/>
        </w:rPr>
        <w:t xml:space="preserve">کان یشتغل فی المکتبة الشاهیة بالکتابة، ثم صار کتاب دار بها. ورد شعره فی (هفت- ص 302).</w:t>
      </w:r>
    </w:p>
    <w:p>
      <w:pPr>
        <w:pStyle w:val="Heading3"/>
      </w:pPr>
      <w:bookmarkStart w:id="6942" w:name="_Toc5638"/>
      <w:r>
        <w:t>5210- دیوان عنایت لاهیجی أو شعره‏</w:t>
      </w:r>
      <w:bookmarkEnd w:id="6942"/>
    </w:p>
    <w:p>
      <w:pPr>
        <w:pStyle w:val="BookText"/>
      </w:pPr>
      <w:r>
        <w:rPr>
          <w:rFonts w:ascii="IRNazanin" w:hAnsi="IRNazanin" w:eastAsia="IRNazanin" w:cs="IRNazanin"/>
          <w:lang w:bidi="fa-IR"/>
          <w:color w:val="111111"/>
          <w:sz w:val="28"/>
          <w:szCs w:val="28"/>
          <w:rtl/>
        </w:rPr>
        <w:t xml:space="preserve">کان شغله بهله دوز أورد شعره فی (خص 8- ص 239).</w:t>
      </w:r>
    </w:p>
    <w:p>
      <w:pPr>
        <w:pStyle w:val="Heading3"/>
      </w:pPr>
      <w:bookmarkStart w:id="6943" w:name="_Toc5639"/>
      <w:r>
        <w:t>دیوان عنایة الله‏</w:t>
      </w:r>
      <w:bookmarkEnd w:id="6943"/>
    </w:p>
    <w:p>
      <w:pPr>
        <w:pStyle w:val="BookText"/>
      </w:pPr>
      <w:r>
        <w:rPr>
          <w:rFonts w:ascii="IRNazanin" w:hAnsi="IRNazanin" w:eastAsia="IRNazanin" w:cs="IRNazanin"/>
          <w:lang w:bidi="fa-IR"/>
          <w:color w:val="111111"/>
          <w:sz w:val="28"/>
          <w:szCs w:val="28"/>
          <w:rtl/>
        </w:rPr>
        <w:t xml:space="preserve">راجع تخلصه فکری.</w:t>
      </w:r>
    </w:p>
    <w:p>
      <w:pPr>
        <w:pStyle w:val="Heading3"/>
      </w:pPr>
      <w:bookmarkStart w:id="6944" w:name="_Toc5640"/>
      <w:r>
        <w:t>5211- دیوان شاه عنایة الله دیلمی أو شعره‏</w:t>
      </w:r>
      <w:bookmarkEnd w:id="6944"/>
    </w:p>
    <w:p>
      <w:pPr>
        <w:pStyle w:val="BookText"/>
      </w:pPr>
      <w:r>
        <w:rPr>
          <w:rFonts w:ascii="IRNazanin" w:hAnsi="IRNazanin" w:eastAsia="IRNazanin" w:cs="IRNazanin"/>
          <w:lang w:bidi="fa-IR"/>
          <w:color w:val="111111"/>
          <w:sz w:val="28"/>
          <w:szCs w:val="28"/>
          <w:rtl/>
        </w:rPr>
        <w:t xml:space="preserve">هو والد الشاه صدر القزوینی المذکور فی ص 499. ترجم و أورد شعره فی (تس 3- ص 58) و وصفه فی (قز مج 6- ص 303)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bookmarkStart w:id="764" w:name="pg11704_122248"/>
    <w:bookmarkEnd w:id="764"/>
    <w:p>
      <w:pPr>
        <w:pStyle w:val="BookText"/>
      </w:pPr>
      <w:r>
        <w:rPr>
          <w:rFonts w:ascii="IRNazanin" w:hAnsi="IRNazanin" w:eastAsia="IRNazanin" w:cs="IRNazanin"/>
          <w:lang w:bidi="fa-IR"/>
          <w:color w:val="111111"/>
          <w:sz w:val="28"/>
          <w:szCs w:val="28"/>
          <w:rtl/>
        </w:rPr>
        <w:t xml:space="preserve">بالظلم فی وزارته.</w:t>
      </w:r>
    </w:p>
    <w:p>
      <w:pPr>
        <w:pStyle w:val="Heading3"/>
      </w:pPr>
      <w:bookmarkStart w:id="6945" w:name="_Toc5641"/>
      <w:r>
        <w:t>5212- دیوان شاه عنایة الله دیلمی أو شعره‏</w:t>
      </w:r>
      <w:bookmarkEnd w:id="6945"/>
    </w:p>
    <w:p>
      <w:pPr>
        <w:pStyle w:val="BookText"/>
      </w:pPr>
      <w:r>
        <w:rPr>
          <w:rFonts w:ascii="IRNazanin" w:hAnsi="IRNazanin" w:eastAsia="IRNazanin" w:cs="IRNazanin"/>
          <w:lang w:bidi="fa-IR"/>
          <w:color w:val="111111"/>
          <w:sz w:val="28"/>
          <w:szCs w:val="28"/>
          <w:rtl/>
        </w:rPr>
        <w:t xml:space="preserve">هو ابن الشاه صدر القزوینی المذکور آنفا و فی ص 499. ترجم و أورد شعره فی (تس 3- ص 62).</w:t>
      </w:r>
    </w:p>
    <w:p>
      <w:pPr>
        <w:pStyle w:val="Heading3"/>
      </w:pPr>
      <w:bookmarkStart w:id="6946" w:name="_Toc5642"/>
      <w:r>
        <w:t>5213- دیوان عنایت لاهوری أو شعره‏</w:t>
      </w:r>
      <w:bookmarkEnd w:id="6946"/>
    </w:p>
    <w:p>
      <w:pPr>
        <w:pStyle w:val="BookText"/>
      </w:pPr>
      <w:r>
        <w:rPr>
          <w:rFonts w:ascii="IRNazanin" w:hAnsi="IRNazanin" w:eastAsia="IRNazanin" w:cs="IRNazanin"/>
          <w:lang w:bidi="fa-IR"/>
          <w:color w:val="111111"/>
          <w:sz w:val="28"/>
          <w:szCs w:val="28"/>
          <w:rtl/>
        </w:rPr>
        <w:t xml:space="preserve">و هو محمد حفیظ بن الله‏یار بن عبد العزیز عزت. کان خطاطا ماهرا. أورد شعره فی (حسینی- ص 226).</w:t>
      </w:r>
    </w:p>
    <w:p>
      <w:pPr>
        <w:pStyle w:val="Heading3"/>
      </w:pPr>
      <w:bookmarkStart w:id="6947" w:name="_Toc5643"/>
      <w:r>
        <w:t>دیوان عنایت هندی‏</w:t>
      </w:r>
      <w:bookmarkEnd w:id="6947"/>
    </w:p>
    <w:p>
      <w:pPr>
        <w:pStyle w:val="BookText"/>
      </w:pPr>
      <w:r>
        <w:rPr>
          <w:rFonts w:ascii="IRNazanin" w:hAnsi="IRNazanin" w:eastAsia="IRNazanin" w:cs="IRNazanin"/>
          <w:lang w:bidi="fa-IR"/>
          <w:color w:val="111111"/>
          <w:sz w:val="28"/>
          <w:szCs w:val="28"/>
          <w:rtl/>
        </w:rPr>
        <w:t xml:space="preserve">لعلی دانشمند المتوفی 1120 له منظومة حسن و عشق بالفارسیة. کذا فی ذیل کشف الظنون- 1: 406 و ذکرناه فی 7: 17 و لا أظنه غیر عالی شیرازی الملقب دانشمند خان و نعمت خان الذی ذکرناه فی ص 676.</w:t>
      </w:r>
    </w:p>
    <w:p>
      <w:pPr>
        <w:pStyle w:val="Heading3"/>
      </w:pPr>
      <w:bookmarkStart w:id="6948" w:name="_Toc5644"/>
      <w:r>
        <w:t>5214- دیوان عنایتی کرمانی أو شعره‏</w:t>
      </w:r>
      <w:bookmarkEnd w:id="6948"/>
    </w:p>
    <w:p>
      <w:pPr>
        <w:pStyle w:val="BookText"/>
      </w:pPr>
      <w:r>
        <w:rPr>
          <w:rFonts w:ascii="IRNazanin" w:hAnsi="IRNazanin" w:eastAsia="IRNazanin" w:cs="IRNazanin"/>
          <w:lang w:bidi="fa-IR"/>
          <w:color w:val="111111"/>
          <w:sz w:val="28"/>
          <w:szCs w:val="28"/>
          <w:rtl/>
        </w:rPr>
        <w:t xml:space="preserve">و هو السید محمد الکرمانی. نظم تاریخا لجلوس الشاه سلیم بن أکبر شاه فی 1014 کما فی (نر 13- ص 479).</w:t>
      </w:r>
    </w:p>
    <w:p>
      <w:pPr>
        <w:pStyle w:val="Heading3"/>
      </w:pPr>
      <w:bookmarkStart w:id="6949" w:name="_Toc5645"/>
      <w:r>
        <w:t>5215- دیوان عنبر شیرازی‏</w:t>
      </w:r>
      <w:bookmarkEnd w:id="6949"/>
    </w:p>
    <w:p>
      <w:pPr>
        <w:pStyle w:val="BookText"/>
      </w:pPr>
      <w:r>
        <w:rPr>
          <w:rFonts w:ascii="IRNazanin" w:hAnsi="IRNazanin" w:eastAsia="IRNazanin" w:cs="IRNazanin"/>
          <w:lang w:bidi="fa-IR"/>
          <w:color w:val="111111"/>
          <w:sz w:val="28"/>
          <w:szCs w:val="28"/>
          <w:rtl/>
        </w:rPr>
        <w:t xml:space="preserve">لمیرزا عنبر. طبع له منظومة فی قبال قصیدة الخاقانی الشیروانی‏</w:t>
      </w:r>
    </w:p>
    <w:p>
      <w:pPr>
        <w:pStyle w:val="BookText"/>
      </w:pPr>
      <w:r>
        <w:rPr>
          <w:rFonts w:ascii="IRNazanin" w:hAnsi="IRNazanin" w:eastAsia="IRNazanin" w:cs="IRNazanin"/>
          <w:lang w:bidi="fa-IR"/>
          <w:color w:val="111111"/>
          <w:sz w:val="28"/>
          <w:szCs w:val="28"/>
          <w:rtl/>
        </w:rPr>
        <w:t xml:space="preserve">هان ای دل عبرت‏بین ...</w:t>
      </w:r>
    </w:p>
    <w:p>
      <w:pPr>
        <w:pStyle w:val="BookText"/>
      </w:pPr>
      <w:r>
        <w:rPr>
          <w:rFonts w:ascii="IRNazanin" w:hAnsi="IRNazanin" w:eastAsia="IRNazanin" w:cs="IRNazanin"/>
          <w:lang w:bidi="fa-IR"/>
          <w:color w:val="111111"/>
          <w:sz w:val="28"/>
          <w:szCs w:val="28"/>
          <w:rtl/>
        </w:rPr>
        <w:t xml:space="preserve">فی 20 ص.</w:t>
      </w:r>
    </w:p>
    <w:p>
      <w:pPr>
        <w:pStyle w:val="Heading3"/>
      </w:pPr>
      <w:bookmarkStart w:id="6950" w:name="_Toc5646"/>
      <w:r>
        <w:t>5216- دیوان عندلیب تبریزی أو شعره‏</w:t>
      </w:r>
      <w:bookmarkEnd w:id="6950"/>
    </w:p>
    <w:p>
      <w:pPr>
        <w:pStyle w:val="BookText"/>
      </w:pPr>
      <w:r>
        <w:rPr>
          <w:rFonts w:ascii="IRNazanin" w:hAnsi="IRNazanin" w:eastAsia="IRNazanin" w:cs="IRNazanin"/>
          <w:lang w:bidi="fa-IR"/>
          <w:color w:val="111111"/>
          <w:sz w:val="28"/>
          <w:szCs w:val="28"/>
          <w:rtl/>
        </w:rPr>
        <w:t xml:space="preserve">کان شاعرا قصاصا. ترجمه و أورد شعره تربیت فی (دجا- ص 282) نقلا عن مجمع الخواص لکتابدار، و لکن النسخة المطبوعة خالیة عن هذه الترجمة.</w:t>
      </w:r>
    </w:p>
    <w:p>
      <w:pPr>
        <w:pStyle w:val="Heading3"/>
      </w:pPr>
      <w:bookmarkStart w:id="6951" w:name="_Toc5647"/>
      <w:r>
        <w:t>5217- دیوان عندلیب دارابجردی أو شعره‏</w:t>
      </w:r>
      <w:bookmarkEnd w:id="6951"/>
    </w:p>
    <w:p>
      <w:pPr>
        <w:pStyle w:val="BookText"/>
      </w:pPr>
      <w:r>
        <w:rPr>
          <w:rFonts w:ascii="IRNazanin" w:hAnsi="IRNazanin" w:eastAsia="IRNazanin" w:cs="IRNazanin"/>
          <w:lang w:bidi="fa-IR"/>
          <w:color w:val="111111"/>
          <w:sz w:val="28"/>
          <w:szCs w:val="28"/>
          <w:rtl/>
        </w:rPr>
        <w:t xml:space="preserve">و هو الحاج المولی صادق ترجمه معاصره فی (عم- ص 103).</w:t>
      </w:r>
    </w:p>
    <w:p>
      <w:pPr>
        <w:pStyle w:val="Heading3"/>
      </w:pPr>
      <w:bookmarkStart w:id="6952" w:name="_Toc5648"/>
      <w:r>
        <w:t>دیوان عندلیب شیرازی‏</w:t>
      </w:r>
      <w:bookmarkEnd w:id="6952"/>
    </w:p>
    <w:p>
      <w:pPr>
        <w:pStyle w:val="BookText"/>
      </w:pPr>
      <w:r>
        <w:rPr>
          <w:rFonts w:ascii="IRNazanin" w:hAnsi="IRNazanin" w:eastAsia="IRNazanin" w:cs="IRNazanin"/>
          <w:lang w:bidi="fa-IR"/>
          <w:color w:val="111111"/>
          <w:sz w:val="28"/>
          <w:szCs w:val="28"/>
          <w:rtl/>
        </w:rPr>
        <w:t xml:space="preserve">راجع عندلیب دارابجردی.</w:t>
      </w:r>
    </w:p>
    <w:p>
      <w:pPr>
        <w:pStyle w:val="Heading3"/>
      </w:pPr>
      <w:bookmarkStart w:id="6953" w:name="_Toc5649"/>
      <w:r>
        <w:t>5218- دیوان عندلیب کاشانی أو شعره‏</w:t>
      </w:r>
      <w:bookmarkEnd w:id="6953"/>
    </w:p>
    <w:p>
      <w:pPr>
        <w:pStyle w:val="BookText"/>
      </w:pPr>
      <w:r>
        <w:rPr>
          <w:rFonts w:ascii="IRNazanin" w:hAnsi="IRNazanin" w:eastAsia="IRNazanin" w:cs="IRNazanin"/>
          <w:lang w:bidi="fa-IR"/>
          <w:color w:val="111111"/>
          <w:sz w:val="28"/>
          <w:szCs w:val="28"/>
          <w:rtl/>
        </w:rPr>
        <w:t xml:space="preserve">و هو الحافظ محمد تقی الماهر فی الموسیقی و الشعر. ترجم و أورد شعره فی (نر 9- ص 406).</w:t>
      </w:r>
    </w:p>
    <w:p>
      <w:pPr>
        <w:pStyle w:val="Heading3"/>
      </w:pPr>
      <w:bookmarkStart w:id="6954" w:name="_Toc5650"/>
      <w:r>
        <w:t>5219- دیوان عندلیب کاشانی‏</w:t>
      </w:r>
      <w:bookmarkEnd w:id="6954"/>
    </w:p>
    <w:p>
      <w:pPr>
        <w:pStyle w:val="BookText"/>
      </w:pPr>
      <w:r>
        <w:rPr>
          <w:rFonts w:ascii="IRNazanin" w:hAnsi="IRNazanin" w:eastAsia="IRNazanin" w:cs="IRNazanin"/>
          <w:lang w:bidi="fa-IR"/>
          <w:color w:val="111111"/>
          <w:sz w:val="28"/>
          <w:szCs w:val="28"/>
          <w:rtl/>
        </w:rPr>
        <w:t xml:space="preserve">للسید المیر محمد تقی الحسینی. کان یتخلص أولا بلبل فأمره المیرزا بهار الشیروانی المذکور فی ص 146 أن یتخذ عندلیب تخلصا. طبع دیوانه بکلکتة 1309 و 1908 م. و إستانبول 1313 و لکهنو 1343 و الله‏آباد 1926 م.</w:t>
      </w:r>
    </w:p>
    <w:p>
      <w:pPr>
        <w:pStyle w:val="Heading3"/>
      </w:pPr>
      <w:bookmarkStart w:id="6955" w:name="_Toc5651"/>
      <w:r>
        <w:t>5220- دیوان عندلیب کاشانی‏</w:t>
      </w:r>
      <w:bookmarkEnd w:id="6955"/>
    </w:p>
    <w:p>
      <w:pPr>
        <w:pStyle w:val="BookText"/>
      </w:pPr>
      <w:r>
        <w:rPr>
          <w:rFonts w:ascii="IRNazanin" w:hAnsi="IRNazanin" w:eastAsia="IRNazanin" w:cs="IRNazanin"/>
          <w:lang w:bidi="fa-IR"/>
          <w:color w:val="111111"/>
          <w:sz w:val="28"/>
          <w:szCs w:val="28"/>
          <w:rtl/>
        </w:rPr>
        <w:t xml:space="preserve">لمحمد حسین خان بن فتح علی خان صبا الکاشانی تلقب ملک الشعراء بعد والده و قد ذکر والده المذکور فی ص 592 اسم ولده هذا فی أول‏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bookmarkStart w:id="765" w:name="pg11704_122249"/>
    <w:bookmarkEnd w:id="765"/>
    <w:p>
      <w:pPr>
        <w:pStyle w:val="BookText"/>
      </w:pPr>
      <w:r>
        <w:rPr>
          <w:rFonts w:ascii="IRNazanin" w:hAnsi="IRNazanin" w:eastAsia="IRNazanin" w:cs="IRNazanin"/>
          <w:lang w:bidi="fa-IR"/>
          <w:color w:val="111111"/>
          <w:sz w:val="28"/>
          <w:szCs w:val="28"/>
          <w:rtl/>
        </w:rPr>
        <w:t xml:space="preserve">شهنشاه‏نامه فقال:</w:t>
      </w:r>
    </w:p>
    <w:p>
      <w:pPr>
        <w:pStyle w:val="BookText"/>
      </w:pPr>
      <w:r>
        <w:rPr>
          <w:rFonts w:ascii="IRNazanin" w:hAnsi="IRNazanin" w:eastAsia="IRNazanin" w:cs="IRNazanin"/>
          <w:lang w:bidi="fa-IR"/>
          <w:color w:val="111111"/>
          <w:sz w:val="28"/>
          <w:szCs w:val="28"/>
          <w:rtl/>
        </w:rPr>
        <w:t xml:space="preserve">حسین ای گران‏مایه فرزند من‏</w:t>
      </w:r>
    </w:p>
    <w:p>
      <w:pPr>
        <w:pStyle w:val="BookText"/>
      </w:pPr>
      <w:r>
        <w:rPr>
          <w:rFonts w:ascii="IRNazanin" w:hAnsi="IRNazanin" w:eastAsia="IRNazanin" w:cs="IRNazanin"/>
          <w:lang w:bidi="fa-IR"/>
          <w:color w:val="111111"/>
          <w:sz w:val="28"/>
          <w:szCs w:val="28"/>
          <w:rtl/>
        </w:rPr>
        <w:t xml:space="preserve">چو آویز در گوش کن پند من‏</w:t>
      </w:r>
    </w:p>
    <w:p>
      <w:pPr>
        <w:pStyle w:val="BookText"/>
      </w:pPr>
      <w:r>
        <w:rPr>
          <w:rFonts w:ascii="IRNazanin" w:hAnsi="IRNazanin" w:eastAsia="IRNazanin" w:cs="IRNazanin"/>
          <w:lang w:bidi="fa-IR"/>
          <w:color w:val="111111"/>
          <w:sz w:val="28"/>
          <w:szCs w:val="28"/>
          <w:rtl/>
        </w:rPr>
        <w:t xml:space="preserve">ترجمه فی (مع 2: 352) و أورد ما یقرب من تسعمائة بیت من شعره. و هو والد محمود خان ملک الشعراء. و یأتی أخوه محمد قاسم فروغ و ذکرهم جمیعا فی (المآثر- ص 195).</w:t>
      </w:r>
    </w:p>
    <w:p>
      <w:pPr>
        <w:pStyle w:val="Heading3"/>
      </w:pPr>
      <w:bookmarkStart w:id="6956" w:name="_Toc5652"/>
      <w:r>
        <w:t>5221- دیوان عندلیب کاشانی‏</w:t>
      </w:r>
      <w:bookmarkEnd w:id="6956"/>
    </w:p>
    <w:p>
      <w:pPr>
        <w:pStyle w:val="BookText"/>
      </w:pPr>
      <w:r>
        <w:rPr>
          <w:rFonts w:ascii="IRNazanin" w:hAnsi="IRNazanin" w:eastAsia="IRNazanin" w:cs="IRNazanin"/>
          <w:lang w:bidi="fa-IR"/>
          <w:color w:val="111111"/>
          <w:sz w:val="28"/>
          <w:szCs w:val="28"/>
          <w:rtl/>
        </w:rPr>
        <w:t xml:space="preserve">لمحمود خان کما ذکره عبرت فی نامه فرهنگیان الموجود نسخته فی (المجلس) کما فی فهرسها 3: 692.</w:t>
      </w:r>
    </w:p>
    <w:p>
      <w:pPr>
        <w:pStyle w:val="Heading3"/>
      </w:pPr>
      <w:bookmarkStart w:id="6957" w:name="_Toc5653"/>
      <w:r>
        <w:t>5222- دیوان عنصری‏</w:t>
      </w:r>
      <w:bookmarkEnd w:id="6957"/>
    </w:p>
    <w:p>
      <w:pPr>
        <w:pStyle w:val="BookText"/>
      </w:pPr>
      <w:r>
        <w:rPr>
          <w:rFonts w:ascii="IRNazanin" w:hAnsi="IRNazanin" w:eastAsia="IRNazanin" w:cs="IRNazanin"/>
          <w:lang w:bidi="fa-IR"/>
          <w:color w:val="111111"/>
          <w:sz w:val="28"/>
          <w:szCs w:val="28"/>
          <w:rtl/>
        </w:rPr>
        <w:t xml:space="preserve">هو أبو القاسم حسن بن أحمد البلخی. مات أبواه فی صغره و اشتغل بالتجارة فأفلس بعد أن وقع بید السراق و قطاع الطریق فأخذ یمارس الأدب و أعانه قریحته علی ذلک فترقی أمره و لقب ملک الشعراء و تأمر علی أربعمائة شاعر فی بلاط محمود الغزنوی ثم فی بلاط ابنه مسعود. و نظم ثلاثین ألف بیت لم یبق منه الیوم سوی زهاء الخمسة آلاف فی دیوانه و مثنویات وامق و عذراء کما فی (بهش 1- ص 341)1).</w:t>
      </w:r>
    </w:p>
    <w:p>
      <w:pPr>
        <w:pStyle w:val="BookText"/>
      </w:pPr>
      <w:r>
        <w:rPr>
          <w:rFonts w:ascii="IRNazanin" w:hAnsi="IRNazanin" w:eastAsia="IRNazanin" w:cs="IRNazanin"/>
          <w:lang w:bidi="fa-IR"/>
          <w:color w:val="111111"/>
          <w:sz w:val="28"/>
          <w:szCs w:val="28"/>
          <w:rtl/>
        </w:rPr>
        <w:t xml:space="preserve">و شاد بهر و عین الحیاة و خنگ‏بت و سرخ بت المذکور فی 7: 366 أو سرخ بت و خنگ‏بت و خسرو و شیرین کما استظهر الأخیر فی فهرسی (المجلس 3: 365 و سپهسالار 2: 645) و قال فی (لت </w:t>
      </w:r>
      <w:r>
        <w:rPr>
          <w:rStyle w:val="FootnoteReference"/>
        </w:rPr>
        <w:footnoteReference w:id="62"/>
      </w:r>
      <w:r>
        <w:rPr>
          <w:rFonts w:ascii="IRNazanin" w:hAnsi="IRNazanin" w:eastAsia="IRNazanin" w:cs="IRNazanin"/>
          <w:lang w:bidi="fa-IR"/>
          <w:color w:val="111111"/>
          <w:sz w:val="28"/>
          <w:szCs w:val="28"/>
          <w:rtl/>
        </w:rPr>
        <w:t xml:space="preserve">) ولد ببلخ و مات 431 و کذا فی شاهد صادق و تاریخ گزیده. ص 821 و (تش 304) و (نتایج- ص 459) و (لب 9) و هفت إقلیم و (مع 1: 355) و (خز: 317) توجد نسخ الدیوان فی (سپهسالار) و (المجلس) و (الملک) و (فخر الدین النصیری) و غیرها کثیرا.</w:t>
      </w:r>
    </w:p>
    <w:p>
      <w:pPr>
        <w:pStyle w:val="BookText"/>
      </w:pPr>
      <w:r>
        <w:rPr>
          <w:rFonts w:ascii="IRNazanin" w:hAnsi="IRNazanin" w:eastAsia="IRNazanin" w:cs="IRNazanin"/>
          <w:lang w:bidi="fa-IR"/>
          <w:color w:val="111111"/>
          <w:sz w:val="28"/>
          <w:szCs w:val="28"/>
          <w:rtl/>
        </w:rPr>
        <w:t xml:space="preserve">و طبع دیوانه فی نولکشور علی الحجر فی 140 ص. فی 1922 م. و طبعه السید أبو القاسم الخوانساری بطهران 1298 و طبع بمبئی 1321 و مع مقدمه لیحیی قریب بطهران فی 176 ص.</w:t>
      </w:r>
    </w:p>
    <w:p>
      <w:pPr>
        <w:pStyle w:val="Heading3"/>
      </w:pPr>
      <w:bookmarkStart w:id="6958" w:name="_Toc5654"/>
      <w:r>
        <w:t>5223- دیوان عنقای أصفهانی أو شعره‏</w:t>
      </w:r>
      <w:bookmarkEnd w:id="6958"/>
    </w:p>
    <w:p>
      <w:pPr>
        <w:pStyle w:val="BookText"/>
      </w:pPr>
      <w:r>
        <w:rPr>
          <w:rFonts w:ascii="IRNazanin" w:hAnsi="IRNazanin" w:eastAsia="IRNazanin" w:cs="IRNazanin"/>
          <w:lang w:bidi="fa-IR"/>
          <w:color w:val="111111"/>
          <w:sz w:val="28"/>
          <w:szCs w:val="28"/>
          <w:rtl/>
        </w:rPr>
        <w:t xml:space="preserve">و اسمه محمد جواد. ولد بأصفهان و توطن طهران فی عصر محمد شاه قاجار (1250- 1264). ترجمه و أورد شعره فی (مع 2: 350) و قال فی (المآثر- ص 206) إنه کان ماهرا فی النستعلیق و کان معجبا بخطه.</w:t>
      </w:r>
    </w:p>
    <w:p>
      <w:pPr>
        <w:pStyle w:val="Heading3"/>
      </w:pPr>
      <w:bookmarkStart w:id="6959" w:name="_Toc5655"/>
      <w:r>
        <w:t>5224- دیوان عنقای شیرازی‏</w:t>
      </w:r>
      <w:bookmarkEnd w:id="6959"/>
    </w:p>
    <w:p>
      <w:pPr>
        <w:pStyle w:val="BookText"/>
      </w:pPr>
      <w:r>
        <w:rPr>
          <w:rFonts w:ascii="IRNazanin" w:hAnsi="IRNazanin" w:eastAsia="IRNazanin" w:cs="IRNazanin"/>
          <w:lang w:bidi="fa-IR"/>
          <w:color w:val="111111"/>
          <w:sz w:val="28"/>
          <w:szCs w:val="28"/>
          <w:rtl/>
        </w:rPr>
        <w:t xml:space="preserve">و هو المیرزا محمد حسین ملک الشعراء أرشد 6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bookmarkStart w:id="766" w:name="pg11704_122250"/>
    <w:bookmarkEnd w:id="766"/>
    <w:p>
      <w:pPr>
        <w:pStyle w:val="BookText"/>
      </w:pPr>
      <w:r>
        <w:rPr>
          <w:rFonts w:ascii="IRNazanin" w:hAnsi="IRNazanin" w:eastAsia="IRNazanin" w:cs="IRNazanin"/>
          <w:lang w:bidi="fa-IR"/>
          <w:color w:val="111111"/>
          <w:sz w:val="28"/>
          <w:szCs w:val="28"/>
          <w:rtl/>
        </w:rPr>
        <w:t xml:space="preserve">أولاد هما الشیرازی الأصفهانی (1260- 1308) مات بأصفهان و دفن بتکیة میر فی تخت فولاد و دیوانه فی حدود الثلاثة آلاف بیت عند جلال الدین همائی سنا المذکور فی ص 472 و مر أخوه طرب فی ص 646.</w:t>
      </w:r>
    </w:p>
    <w:p>
      <w:pPr>
        <w:pStyle w:val="Heading3"/>
      </w:pPr>
      <w:bookmarkStart w:id="6960" w:name="_Toc5656"/>
      <w:r>
        <w:t>5225- دیوان عنقای طالقانی‏</w:t>
      </w:r>
      <w:bookmarkEnd w:id="6960"/>
    </w:p>
    <w:p>
      <w:pPr>
        <w:pStyle w:val="BookText"/>
      </w:pPr>
      <w:r>
        <w:rPr>
          <w:rFonts w:ascii="IRNazanin" w:hAnsi="IRNazanin" w:eastAsia="IRNazanin" w:cs="IRNazanin"/>
          <w:lang w:bidi="fa-IR"/>
          <w:color w:val="111111"/>
          <w:sz w:val="28"/>
          <w:szCs w:val="28"/>
          <w:rtl/>
        </w:rPr>
        <w:t xml:space="preserve">لجلال الدین أبی الفضل علی الطالقانی (1266- 1333) من مشایخ السلسلة العلویة الرضویة المعروفیة. مات بطهران و دفن عند قبر ابن بابویه بالری له عقائد حقة و إثبات نبوت و ولایت و مثنوی أنوار قلوب السالکین و دیوان حقایق المناقب و مثنوی إشارات حسینیة و رسالة آیینه جهانبانی و دیوان غزلیات ذوقیة ذکر الجمیع ابنه محمد فی کتابه التجلیات و ترجمه فی طرائق الحقائق ج 3 ص 275. و طبع منتخب دیوانه علی الحجر بطهران فی 1332 ش.</w:t>
      </w:r>
    </w:p>
    <w:p>
      <w:pPr>
        <w:pStyle w:val="BookText"/>
      </w:pPr>
      <w:r>
        <w:rPr>
          <w:rFonts w:ascii="IRNazanin" w:hAnsi="IRNazanin" w:eastAsia="IRNazanin" w:cs="IRNazanin"/>
          <w:lang w:bidi="fa-IR"/>
          <w:color w:val="111111"/>
          <w:sz w:val="28"/>
          <w:szCs w:val="28"/>
          <w:rtl/>
        </w:rPr>
        <w:t xml:space="preserve">و طبع له تقریظ علی شمس المناقب لسروش الأصفهانی فی 1300 مع مقدمه حسن قلی کرمانشاهی سلطانی.</w:t>
      </w:r>
    </w:p>
    <w:p>
      <w:pPr>
        <w:pStyle w:val="Heading3"/>
      </w:pPr>
      <w:bookmarkStart w:id="6961" w:name="_Toc5657"/>
      <w:r>
        <w:t>5226- دیوان عنقای طالقانی أو شعره‏</w:t>
      </w:r>
      <w:bookmarkEnd w:id="6961"/>
    </w:p>
    <w:p>
      <w:pPr>
        <w:pStyle w:val="BookText"/>
      </w:pPr>
      <w:r>
        <w:rPr>
          <w:rFonts w:ascii="IRNazanin" w:hAnsi="IRNazanin" w:eastAsia="IRNazanin" w:cs="IRNazanin"/>
          <w:lang w:bidi="fa-IR"/>
          <w:color w:val="111111"/>
          <w:sz w:val="28"/>
          <w:szCs w:val="28"/>
          <w:rtl/>
        </w:rPr>
        <w:t xml:space="preserve">و هو محمد بن جلال الدین عنقا المذکور آنفا ولد 1306 بطهران ترجمه عبرت نائنی المذکور فی ص 705 فی کتابه نامه فرهنگیان فی 25 صفحة. و ترجم نفسه فی کتابه التجلیات و له حیاة بعد از مرگ‏</w:t>
      </w:r>
    </w:p>
    <w:p>
      <w:pPr>
        <w:pStyle w:val="Heading3"/>
      </w:pPr>
      <w:bookmarkStart w:id="6962" w:name="_Toc5658"/>
      <w:r>
        <w:t>5227- دیوان عنقای طهرانی‏</w:t>
      </w:r>
      <w:bookmarkEnd w:id="6962"/>
    </w:p>
    <w:p>
      <w:pPr>
        <w:pStyle w:val="BookText"/>
      </w:pPr>
      <w:r>
        <w:rPr>
          <w:rFonts w:ascii="IRNazanin" w:hAnsi="IRNazanin" w:eastAsia="IRNazanin" w:cs="IRNazanin"/>
          <w:lang w:bidi="fa-IR"/>
          <w:color w:val="111111"/>
          <w:sz w:val="28"/>
          <w:szCs w:val="28"/>
          <w:rtl/>
        </w:rPr>
        <w:t xml:space="preserve">لصادق عنقا بن محمد بن جلال الدین أبی الفضل علی العنقاء الطالقانی المذکور آنفا. ولد 1335 بطهران و تلمذ علی والده و له تذکره سیر خرقة چهل پیر و مثنوی جنته و دیوان غزل و پدیده‏های فکر و دانشمندان ذرة بینی و طبع له کوکب أدب فی 35 ص بطهران فی 1354.</w:t>
      </w:r>
    </w:p>
    <w:p>
      <w:pPr>
        <w:pStyle w:val="Heading3"/>
      </w:pPr>
      <w:bookmarkStart w:id="6963" w:name="_Toc5659"/>
      <w:r>
        <w:t>5228- دیوان عنقای قاجار أو شعره‏</w:t>
      </w:r>
      <w:bookmarkEnd w:id="6963"/>
    </w:p>
    <w:p>
      <w:pPr>
        <w:pStyle w:val="BookText"/>
      </w:pPr>
      <w:r>
        <w:rPr>
          <w:rFonts w:ascii="IRNazanin" w:hAnsi="IRNazanin" w:eastAsia="IRNazanin" w:cs="IRNazanin"/>
          <w:lang w:bidi="fa-IR"/>
          <w:color w:val="111111"/>
          <w:sz w:val="28"/>
          <w:szCs w:val="28"/>
          <w:rtl/>
        </w:rPr>
        <w:t xml:space="preserve">و هو المیرزا محمد رحیم خان بن محمد خان قاجار حاکم سبزوار. ترجمه و أورد شعره فی (مع 2: 349).</w:t>
      </w:r>
    </w:p>
    <w:p>
      <w:pPr>
        <w:pStyle w:val="Heading3"/>
      </w:pPr>
      <w:bookmarkStart w:id="6964" w:name="_Toc5660"/>
      <w:r>
        <w:t>5229- دیوان عنوان تبریزی‏</w:t>
      </w:r>
      <w:bookmarkEnd w:id="6964"/>
    </w:p>
    <w:p>
      <w:pPr>
        <w:pStyle w:val="BookText"/>
      </w:pPr>
      <w:r>
        <w:rPr>
          <w:rFonts w:ascii="IRNazanin" w:hAnsi="IRNazanin" w:eastAsia="IRNazanin" w:cs="IRNazanin"/>
          <w:lang w:bidi="fa-IR"/>
          <w:color w:val="111111"/>
          <w:sz w:val="28"/>
          <w:szCs w:val="28"/>
          <w:rtl/>
        </w:rPr>
        <w:t xml:space="preserve">و هو المیرزا محمد رضا چلبی بن الحاج صالح چلبی.</w:t>
      </w:r>
    </w:p>
    <w:p>
      <w:pPr>
        <w:pStyle w:val="BookText"/>
      </w:pPr>
      <w:r>
        <w:rPr>
          <w:rFonts w:ascii="IRNazanin" w:hAnsi="IRNazanin" w:eastAsia="IRNazanin" w:cs="IRNazanin"/>
          <w:lang w:bidi="fa-IR"/>
          <w:color w:val="111111"/>
          <w:sz w:val="28"/>
          <w:szCs w:val="28"/>
          <w:rtl/>
        </w:rPr>
        <w:t xml:space="preserve">ولد بالقسطنطنیة و مات فی العقد الثلاثین من عمره فی قندهار و نقل إلی المشهد و دفن فی دار السعادة و دیوانه فی خمسة آلاف بیت. ترجمه کذلک فی (دجا- ص 107) عن قصص الخاقان و تذکره بیاض صائب و کذا فی ریحانة الأدب و (تش- ص 32) و (مسرت ص 216) و (حسینی- ص 210) و فی (تغ 94) و (دجا- ض 108) نقلا ترجمته عن‏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bookmarkStart w:id="767" w:name="pg11704_122251"/>
    <w:bookmarkEnd w:id="767"/>
    <w:p>
      <w:pPr>
        <w:pStyle w:val="BookText"/>
      </w:pPr>
      <w:r>
        <w:rPr>
          <w:rFonts w:ascii="IRNazanin" w:hAnsi="IRNazanin" w:eastAsia="IRNazanin" w:cs="IRNazanin"/>
          <w:lang w:bidi="fa-IR"/>
          <w:color w:val="111111"/>
          <w:sz w:val="28"/>
          <w:szCs w:val="28"/>
          <w:rtl/>
        </w:rPr>
        <w:t xml:space="preserve">النصرآبادی، و لکن لا یوجد ذلک فی المطبوع من تذکرته.</w:t>
      </w:r>
    </w:p>
    <w:p>
      <w:pPr>
        <w:pStyle w:val="Heading3"/>
      </w:pPr>
      <w:bookmarkStart w:id="6965" w:name="_Toc5661"/>
      <w:r>
        <w:t>5230- دیوان العواد البغدادی‏</w:t>
      </w:r>
      <w:bookmarkEnd w:id="6965"/>
    </w:p>
    <w:p>
      <w:pPr>
        <w:pStyle w:val="BookText"/>
      </w:pPr>
      <w:r>
        <w:rPr>
          <w:rFonts w:ascii="IRNazanin" w:hAnsi="IRNazanin" w:eastAsia="IRNazanin" w:cs="IRNazanin"/>
          <w:lang w:bidi="fa-IR"/>
          <w:color w:val="111111"/>
          <w:sz w:val="28"/>
          <w:szCs w:val="28"/>
          <w:rtl/>
        </w:rPr>
        <w:t xml:space="preserve">لمحمد جواد بن عبد الرضا العواد البغدادی فیه جملة تواریخ إلی 1142 و فیه جواباته للسید نصر الله المدرس الحائری رأیت نسخه منه فی مکتبة آل السید عیسی (العطار ببغداد) أوله: [الحمد لذی الجلال‏].</w:t>
      </w:r>
    </w:p>
    <w:p>
      <w:pPr>
        <w:pStyle w:val="Heading3"/>
      </w:pPr>
      <w:bookmarkStart w:id="6966" w:name="_Toc5662"/>
      <w:r>
        <w:t>5231- دیوان عوام کردستانی أو شعره‏</w:t>
      </w:r>
      <w:bookmarkEnd w:id="6966"/>
    </w:p>
    <w:p>
      <w:pPr>
        <w:pStyle w:val="BookText"/>
      </w:pPr>
      <w:r>
        <w:rPr>
          <w:rFonts w:ascii="IRNazanin" w:hAnsi="IRNazanin" w:eastAsia="IRNazanin" w:cs="IRNazanin"/>
          <w:lang w:bidi="fa-IR"/>
          <w:color w:val="111111"/>
          <w:sz w:val="28"/>
          <w:szCs w:val="28"/>
          <w:rtl/>
        </w:rPr>
        <w:t xml:space="preserve">و اسمه المیرزا عبد الله بن المیرزا أحمد السنندجی الوزیر الوالی المقتول فی فتنة سنندج 1235 ترجمه فی (مع- ج 2 ص 351) و ریحانة الأدب.</w:t>
      </w:r>
    </w:p>
    <w:p>
      <w:pPr>
        <w:pStyle w:val="Heading3"/>
      </w:pPr>
      <w:bookmarkStart w:id="6967" w:name="_Toc5663"/>
      <w:r>
        <w:t>5232- دیوان عوض خان لاری أو شعره‏</w:t>
      </w:r>
      <w:bookmarkEnd w:id="6967"/>
    </w:p>
    <w:p>
      <w:pPr>
        <w:pStyle w:val="BookText"/>
      </w:pPr>
      <w:r>
        <w:rPr>
          <w:rFonts w:ascii="IRNazanin" w:hAnsi="IRNazanin" w:eastAsia="IRNazanin" w:cs="IRNazanin"/>
          <w:lang w:bidi="fa-IR"/>
          <w:color w:val="111111"/>
          <w:sz w:val="28"/>
          <w:szCs w:val="28"/>
          <w:rtl/>
        </w:rPr>
        <w:t xml:space="preserve">کان حاکما بلار ترجمه و أطری شعره الحزین فی تذکرته ص 86 و عنه فی لارستان کهن. ص 198 و (روشن 486).</w:t>
      </w:r>
    </w:p>
    <w:p>
      <w:pPr>
        <w:pStyle w:val="Heading3"/>
      </w:pPr>
      <w:bookmarkStart w:id="6968" w:name="_Toc5664"/>
      <w:r>
        <w:t>5233- دیوان عوض غازی أو شعره‏</w:t>
      </w:r>
      <w:bookmarkEnd w:id="6968"/>
    </w:p>
    <w:p>
      <w:pPr>
        <w:pStyle w:val="BookText"/>
      </w:pPr>
      <w:r>
        <w:rPr>
          <w:rFonts w:ascii="IRNazanin" w:hAnsi="IRNazanin" w:eastAsia="IRNazanin" w:cs="IRNazanin"/>
          <w:lang w:bidi="fa-IR"/>
          <w:color w:val="111111"/>
          <w:sz w:val="28"/>
          <w:szCs w:val="28"/>
          <w:rtl/>
        </w:rPr>
        <w:t xml:space="preserve">هو تخلص عبد الله خان أوزبک أعظم ملوک الأوزبکیة ترجمه الصادقی فی (خص ص 16) و أورد شعره الترکی و الفارسی راجعه.</w:t>
      </w:r>
    </w:p>
    <w:p>
      <w:pPr>
        <w:pStyle w:val="Heading3"/>
      </w:pPr>
      <w:bookmarkStart w:id="6969" w:name="_Toc5665"/>
      <w:r>
        <w:t>5234- دیوان عوف بن محلم‏</w:t>
      </w:r>
      <w:bookmarkEnd w:id="6969"/>
    </w:p>
    <w:p>
      <w:pPr>
        <w:pStyle w:val="BookText"/>
      </w:pPr>
      <w:r>
        <w:rPr>
          <w:rFonts w:ascii="IRNazanin" w:hAnsi="IRNazanin" w:eastAsia="IRNazanin" w:cs="IRNazanin"/>
          <w:lang w:bidi="fa-IR"/>
          <w:color w:val="111111"/>
          <w:sz w:val="28"/>
          <w:szCs w:val="28"/>
          <w:rtl/>
        </w:rPr>
        <w:t xml:space="preserve">ثلاثون ورقة کما ذکره ابن الندیم ص 233 و فی ص 227 ذکر أن المراد الورقة السلیمانیة التی فی کل صفحة منها عشرون سطرا.</w:t>
      </w:r>
    </w:p>
    <w:p>
      <w:pPr>
        <w:pStyle w:val="Heading3"/>
      </w:pPr>
      <w:bookmarkStart w:id="6970" w:name="_Toc5666"/>
      <w:r>
        <w:t>5235- دیوان العوفی‏</w:t>
      </w:r>
      <w:bookmarkEnd w:id="6970"/>
    </w:p>
    <w:p>
      <w:pPr>
        <w:pStyle w:val="BookText"/>
      </w:pPr>
      <w:r>
        <w:rPr>
          <w:rFonts w:ascii="IRNazanin" w:hAnsi="IRNazanin" w:eastAsia="IRNazanin" w:cs="IRNazanin"/>
          <w:lang w:bidi="fa-IR"/>
          <w:color w:val="111111"/>
          <w:sz w:val="28"/>
          <w:szCs w:val="28"/>
          <w:rtl/>
        </w:rPr>
        <w:t xml:space="preserve">و هو نور الدین محمد بن محمد بن یحیی البخاری فی القرن السابع صاحب لباب الألباب و جوامع الحکایات و منظومة مدائح السلطان علی زنة حدیقة الحقیقة للسنائی. أورد بعضها فی القسم الأول من جوامع الحکایات کما فی فهرس مکتبة جامعة طهران 2: 25.</w:t>
      </w:r>
    </w:p>
    <w:p>
      <w:pPr>
        <w:pStyle w:val="Heading3"/>
      </w:pPr>
      <w:bookmarkStart w:id="6971" w:name="_Toc5667"/>
      <w:r>
        <w:t>5236- دیوان العونی‏</w:t>
      </w:r>
      <w:bookmarkEnd w:id="6971"/>
    </w:p>
    <w:p>
      <w:pPr>
        <w:pStyle w:val="BookText"/>
      </w:pPr>
      <w:r>
        <w:rPr>
          <w:rFonts w:ascii="IRNazanin" w:hAnsi="IRNazanin" w:eastAsia="IRNazanin" w:cs="IRNazanin"/>
          <w:lang w:bidi="fa-IR"/>
          <w:color w:val="111111"/>
          <w:sz w:val="28"/>
          <w:szCs w:val="28"/>
          <w:rtl/>
        </w:rPr>
        <w:t xml:space="preserve">هو أبو محمد طلحة بن عبد الله بن أبی عون الغسانی المعروف بالعونی ترجمه ابن شهرآشوب فی آخر معالم العلماء ص 135 فی طبقة الشعراء المجاهرین فی مدیح أهل البیت، و جعله عدیل السید الحمیری و قال إن العونی قد نظم أکثر المناقب و یتهمونه بالغلو و إکثاره لنظم المناقب صار منشأ هذه التهمة مع نزاهة ساحته عنه و قد أورد ابن شهرآشوب فی کتابه المناقب کثیرا من شعره و استخرجه السماوی منه مع بعض متفرقات أخر من شعره جمعها و رتبها فی دیوان یربو علی ثلاثمائة و خمسین بیتا، و منها قصیدته المخمسة الموسومة بالمذهبة. و عنه أخذ فی الغدیر 4: 120 ظاهرا.</w:t>
      </w:r>
    </w:p>
    <w:p>
      <w:pPr>
        <w:pStyle w:val="BookText"/>
      </w:pPr>
      <w:r>
        <w:rPr>
          <w:rFonts w:ascii="IRNazanin" w:hAnsi="IRNazanin" w:eastAsia="IRNazanin" w:cs="IRNazanin"/>
          <w:lang w:bidi="fa-IR"/>
          <w:color w:val="111111"/>
          <w:sz w:val="28"/>
          <w:szCs w:val="28"/>
          <w:rtl/>
        </w:rPr>
        <w:t xml:space="preserve">و التوصیف بالغسانی وقع فی مناقب ابن شهرآشوب عند ذکره لما نظمه العونی فی شأن‏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bookmarkStart w:id="768" w:name="pg11704_122252"/>
    <w:bookmarkEnd w:id="768"/>
    <w:p>
      <w:pPr>
        <w:pStyle w:val="BookText"/>
      </w:pPr>
      <w:r>
        <w:rPr>
          <w:rFonts w:ascii="IRNazanin" w:hAnsi="IRNazanin" w:eastAsia="IRNazanin" w:cs="IRNazanin"/>
          <w:lang w:bidi="fa-IR"/>
          <w:color w:val="111111"/>
          <w:sz w:val="28"/>
          <w:szCs w:val="28"/>
          <w:rtl/>
        </w:rPr>
        <w:t xml:space="preserve">مسجد براثا، و لکن فی معالم العلماء ص 135 و کذا نسخته المخطوطة القدیمة بدل الغسانی، العتاب و کما یحتمل تصحیف أحدهما یحتمل صحة کلا الوصفین و علی أی فالغسانی هذا غیر الغسانی الذی ذکره ابن الندیم فی ص 233 بقوله [الغسانی أبو محمد مقل ...] لأن العوفی هذا مکثر کما عرفت، فلا یعد من المقلین.</w:t>
      </w:r>
    </w:p>
    <w:p>
      <w:pPr>
        <w:pStyle w:val="Heading3"/>
      </w:pPr>
      <w:bookmarkStart w:id="6972" w:name="_Toc5668"/>
      <w:r>
        <w:t>5237- دیوان العویس‏</w:t>
      </w:r>
      <w:bookmarkEnd w:id="6972"/>
    </w:p>
    <w:p>
      <w:pPr>
        <w:pStyle w:val="BookText"/>
      </w:pPr>
      <w:r>
        <w:rPr>
          <w:rFonts w:ascii="IRNazanin" w:hAnsi="IRNazanin" w:eastAsia="IRNazanin" w:cs="IRNazanin"/>
          <w:lang w:bidi="fa-IR"/>
          <w:color w:val="111111"/>
          <w:sz w:val="28"/>
          <w:szCs w:val="28"/>
          <w:rtl/>
        </w:rPr>
        <w:t xml:space="preserve">لشرف الدین عیسی بن الحجاج المتوفی 780 له البدیعیة کما فی کشف الظنون.</w:t>
      </w:r>
    </w:p>
    <w:p>
      <w:pPr>
        <w:pStyle w:val="Heading3"/>
      </w:pPr>
      <w:bookmarkStart w:id="6973" w:name="_Toc5669"/>
      <w:r>
        <w:t>5238- دیوان عهدی باکوئی أو شعره‏</w:t>
      </w:r>
      <w:bookmarkEnd w:id="6973"/>
    </w:p>
    <w:p>
      <w:pPr>
        <w:pStyle w:val="BookText"/>
      </w:pPr>
      <w:r>
        <w:rPr>
          <w:rFonts w:ascii="IRNazanin" w:hAnsi="IRNazanin" w:eastAsia="IRNazanin" w:cs="IRNazanin"/>
          <w:lang w:bidi="fa-IR"/>
          <w:color w:val="111111"/>
          <w:sz w:val="28"/>
          <w:szCs w:val="28"/>
          <w:rtl/>
        </w:rPr>
        <w:t xml:space="preserve">کان الخطاط هاجر إلی گیلان و تقرب إلی أحمد خان و مات 965 ترجمه و أورد شعره فی (دجا- ص 282) نقلا عن تذکره نتایج الأفکار و فی نتایج- ص 466 و جاء فی (دجا- گلشن- ص 295) ناکویی.</w:t>
      </w:r>
    </w:p>
    <w:p>
      <w:pPr>
        <w:pStyle w:val="Heading3"/>
      </w:pPr>
      <w:bookmarkStart w:id="6974" w:name="_Toc5670"/>
      <w:r>
        <w:t>5239- دیوان عهدی بغدادی‏</w:t>
      </w:r>
      <w:bookmarkEnd w:id="6974"/>
    </w:p>
    <w:p>
      <w:pPr>
        <w:pStyle w:val="BookText"/>
      </w:pPr>
      <w:r>
        <w:rPr>
          <w:rFonts w:ascii="IRNazanin" w:hAnsi="IRNazanin" w:eastAsia="IRNazanin" w:cs="IRNazanin"/>
          <w:lang w:bidi="fa-IR"/>
          <w:color w:val="111111"/>
          <w:sz w:val="28"/>
          <w:szCs w:val="28"/>
          <w:rtl/>
        </w:rPr>
        <w:t xml:space="preserve">و هو ابن شمسی المذکور فی ص 545 و هو ابن عبد الملک البغدادی مصاحب الصادقی سنین ترجمه فی (خص ص 251) و ذکر أنه تمم دیوانه و أورد بعض شعره. له تذکره للشعراء بالترکیة اسمه گلشن شعراء و منظومة فارسیة اسمه منظر الأبرار کما فی (هدیة العارفین 1: 48) و له ولد شاعر اسمه مرادی کما فی العراق بین الاحتلالین: ج 4 ص 111. و توجد بخط عهدی نسخه من قانون أدب لحبیش التفلیسی فی (سپهسالار- 11) کما فی فهرسها 2: 249.</w:t>
      </w:r>
    </w:p>
    <w:p>
      <w:pPr>
        <w:pStyle w:val="Heading3"/>
      </w:pPr>
      <w:bookmarkStart w:id="6975" w:name="_Toc5671"/>
      <w:r>
        <w:t>5240- دیوان عهدی تبریزی‏</w:t>
      </w:r>
      <w:bookmarkEnd w:id="6975"/>
    </w:p>
    <w:p>
      <w:pPr>
        <w:pStyle w:val="BookText"/>
      </w:pPr>
      <w:r>
        <w:rPr>
          <w:rFonts w:ascii="IRNazanin" w:hAnsi="IRNazanin" w:eastAsia="IRNazanin" w:cs="IRNazanin"/>
          <w:lang w:bidi="fa-IR"/>
          <w:color w:val="111111"/>
          <w:sz w:val="28"/>
          <w:szCs w:val="28"/>
          <w:rtl/>
        </w:rPr>
        <w:t xml:space="preserve">حکی فی (دجا- ص 282) ترجمه الشاعر و شعره عن معاصره مؤلف مذکر الأحباب و ذکر أن له قصیدة فی مدح السلطان سعید مصراع أول کل بیت تاریخ تولده و المصراع الثانی تاریخ جلوسه.</w:t>
      </w:r>
    </w:p>
    <w:p>
      <w:pPr>
        <w:pStyle w:val="Heading3"/>
      </w:pPr>
      <w:bookmarkStart w:id="6976" w:name="_Toc5672"/>
      <w:r>
        <w:t>دیوان عهدی ترشیزی‏</w:t>
      </w:r>
      <w:bookmarkEnd w:id="6976"/>
    </w:p>
    <w:p>
      <w:pPr>
        <w:pStyle w:val="BookText"/>
      </w:pPr>
      <w:r>
        <w:rPr>
          <w:rFonts w:ascii="IRNazanin" w:hAnsi="IRNazanin" w:eastAsia="IRNazanin" w:cs="IRNazanin"/>
          <w:lang w:bidi="fa-IR"/>
          <w:color w:val="111111"/>
          <w:sz w:val="28"/>
          <w:szCs w:val="28"/>
          <w:rtl/>
        </w:rPr>
        <w:t xml:space="preserve">راجع دیوان عرشی تبریزی.</w:t>
      </w:r>
    </w:p>
    <w:p>
      <w:pPr>
        <w:pStyle w:val="Heading3"/>
      </w:pPr>
      <w:bookmarkStart w:id="6977" w:name="_Toc5673"/>
      <w:r>
        <w:t>دیوان عهدی تبریزی الگنابادی‏</w:t>
      </w:r>
      <w:bookmarkEnd w:id="6977"/>
    </w:p>
    <w:p>
      <w:pPr>
        <w:pStyle w:val="BookText"/>
      </w:pPr>
      <w:r>
        <w:rPr>
          <w:rFonts w:ascii="IRNazanin" w:hAnsi="IRNazanin" w:eastAsia="IRNazanin" w:cs="IRNazanin"/>
          <w:lang w:bidi="fa-IR"/>
          <w:color w:val="111111"/>
          <w:sz w:val="28"/>
          <w:szCs w:val="28"/>
          <w:rtl/>
        </w:rPr>
        <w:t xml:space="preserve">. ترجمه و أورد شعره فی (تش- ص 71) و (روشن 486) و قال له مثنوی فی قبال مخزن الأسرار اسمه گوهر شهسوار مر بعنوان عبدی فی ص 704.</w:t>
      </w:r>
    </w:p>
    <w:p>
      <w:pPr>
        <w:pStyle w:val="Heading3"/>
      </w:pPr>
      <w:bookmarkStart w:id="6978" w:name="_Toc5674"/>
      <w:r>
        <w:t>5241- دیوان عهدی خراسانی‏</w:t>
      </w:r>
      <w:bookmarkEnd w:id="6978"/>
    </w:p>
    <w:p>
      <w:pPr>
        <w:pStyle w:val="BookText"/>
      </w:pPr>
      <w:r>
        <w:rPr>
          <w:rFonts w:ascii="IRNazanin" w:hAnsi="IRNazanin" w:eastAsia="IRNazanin" w:cs="IRNazanin"/>
          <w:lang w:bidi="fa-IR"/>
          <w:color w:val="111111"/>
          <w:sz w:val="28"/>
          <w:szCs w:val="28"/>
          <w:rtl/>
        </w:rPr>
        <w:t xml:space="preserve">قال فی (تغ- ص 94) کان مصاحبا للقاضی نور الله التستری و له دیوان و فی (روشن 487) أن اسمه القاضی عبد الرزاق و تخلصه عبدی بالباء عن نگارستان سخن و نشتر عشق.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bookmarkStart w:id="769" w:name="pg11704_122253"/>
    <w:bookmarkEnd w:id="769"/>
    <w:p>
      <w:pPr>
        <w:pStyle w:val="Heading3"/>
      </w:pPr>
      <w:bookmarkStart w:id="6979" w:name="_Toc5675"/>
      <w:r>
        <w:t>5242- دیوان عهدی ساوجی أو شعره‏</w:t>
      </w:r>
      <w:bookmarkEnd w:id="6979"/>
    </w:p>
    <w:p>
      <w:pPr>
        <w:pStyle w:val="BookText"/>
      </w:pPr>
      <w:r>
        <w:rPr>
          <w:rFonts w:ascii="IRNazanin" w:hAnsi="IRNazanin" w:eastAsia="IRNazanin" w:cs="IRNazanin"/>
          <w:lang w:bidi="fa-IR"/>
          <w:color w:val="111111"/>
          <w:sz w:val="28"/>
          <w:szCs w:val="28"/>
          <w:rtl/>
        </w:rPr>
        <w:t xml:space="preserve">ترجمه معاصره الصادقی فی (خص- ص 265) و أورد شعره، و هو من شعراء شاه طهماسب و ترجم فی (تش- ص 221) و (حسینی- ص 211) و نقل فی (گلشن- ص 295) عن بعض، اتحاده مع عرشی، و لیس بصحیح. راجع عرشی تبریزی.</w:t>
      </w:r>
    </w:p>
    <w:p>
      <w:pPr>
        <w:pStyle w:val="Heading3"/>
      </w:pPr>
      <w:bookmarkStart w:id="6980" w:name="_Toc5676"/>
      <w:r>
        <w:t>5243- دیوان عهدی قزوینی‏</w:t>
      </w:r>
      <w:bookmarkEnd w:id="6980"/>
    </w:p>
    <w:p>
      <w:pPr>
        <w:pStyle w:val="BookText"/>
      </w:pPr>
      <w:r>
        <w:rPr>
          <w:rFonts w:ascii="IRNazanin" w:hAnsi="IRNazanin" w:eastAsia="IRNazanin" w:cs="IRNazanin"/>
          <w:lang w:bidi="fa-IR"/>
          <w:color w:val="111111"/>
          <w:sz w:val="28"/>
          <w:szCs w:val="28"/>
          <w:rtl/>
        </w:rPr>
        <w:t xml:space="preserve">اسمه المیر مراد. ترجمه معاصره سام میرزا فی (تس- ص 154) و أورد شعره. و قال فی (گلشن- ص 295) إنه حکیم معاصر للشاه عباس و دیوانه معروف. و عنه أخذ فی ذیل کشف الظنون ظاهرا.</w:t>
      </w:r>
    </w:p>
    <w:p>
      <w:pPr>
        <w:pStyle w:val="Heading3"/>
      </w:pPr>
      <w:bookmarkStart w:id="6981" w:name="_Toc5677"/>
      <w:r>
        <w:t>دیوان عهدی گنابادی‏</w:t>
      </w:r>
      <w:bookmarkEnd w:id="6981"/>
    </w:p>
    <w:p>
      <w:pPr>
        <w:pStyle w:val="BookText"/>
      </w:pPr>
      <w:r>
        <w:rPr>
          <w:rFonts w:ascii="IRNazanin" w:hAnsi="IRNazanin" w:eastAsia="IRNazanin" w:cs="IRNazanin"/>
          <w:lang w:bidi="fa-IR"/>
          <w:color w:val="111111"/>
          <w:sz w:val="28"/>
          <w:szCs w:val="28"/>
          <w:rtl/>
        </w:rPr>
        <w:t xml:space="preserve">راجع عهدی ترشیزی.</w:t>
      </w:r>
    </w:p>
    <w:p>
      <w:pPr>
        <w:pStyle w:val="Heading3"/>
      </w:pPr>
      <w:bookmarkStart w:id="6982" w:name="_Toc5678"/>
      <w:r>
        <w:t>5244- دیوان عهدی کوکب‏آبادی أو شعره‏</w:t>
      </w:r>
      <w:bookmarkEnd w:id="6982"/>
    </w:p>
    <w:p>
      <w:pPr>
        <w:pStyle w:val="BookText"/>
      </w:pPr>
      <w:r>
        <w:rPr>
          <w:rFonts w:ascii="IRNazanin" w:hAnsi="IRNazanin" w:eastAsia="IRNazanin" w:cs="IRNazanin"/>
          <w:lang w:bidi="fa-IR"/>
          <w:color w:val="111111"/>
          <w:sz w:val="28"/>
          <w:szCs w:val="28"/>
          <w:rtl/>
        </w:rPr>
        <w:t xml:space="preserve">کان معاصر جاهی صفوی المیرزا إبراهیم. و له قصائد. ترجمه و أورد شعره فی (گلشن- ص 295).</w:t>
      </w:r>
    </w:p>
    <w:p>
      <w:pPr>
        <w:pStyle w:val="Heading3"/>
      </w:pPr>
      <w:bookmarkStart w:id="6983" w:name="_Toc5679"/>
      <w:r>
        <w:t>5245- دیوان- عیاضی سرخی‏</w:t>
      </w:r>
      <w:bookmarkEnd w:id="6983"/>
    </w:p>
    <w:p>
      <w:pPr>
        <w:pStyle w:val="BookText"/>
      </w:pPr>
      <w:r>
        <w:rPr>
          <w:rFonts w:ascii="IRNazanin" w:hAnsi="IRNazanin" w:eastAsia="IRNazanin" w:cs="IRNazanin"/>
          <w:lang w:bidi="fa-IR"/>
          <w:color w:val="111111"/>
          <w:sz w:val="28"/>
          <w:szCs w:val="28"/>
          <w:rtl/>
        </w:rPr>
        <w:t xml:space="preserve">الحکیم الشاعر معاصر المعزی و النظامی العروضی و اسمه عبد الرحیم ترجمه فی (مع: ج 1 ص 354) و ذکر رثاءه للباخرزی و رثاءه لأستاده الشیخ أبی علی سینا. و کذا فی (اللباب 6).</w:t>
      </w:r>
    </w:p>
    <w:p>
      <w:pPr>
        <w:pStyle w:val="Heading3"/>
      </w:pPr>
      <w:bookmarkStart w:id="6984" w:name="_Toc5680"/>
      <w:r>
        <w:t>دیوان عیانی أسترآبادی أو شعره‏</w:t>
      </w:r>
      <w:bookmarkEnd w:id="6984"/>
    </w:p>
    <w:p>
      <w:pPr>
        <w:pStyle w:val="BookText"/>
      </w:pPr>
      <w:r>
        <w:rPr>
          <w:rFonts w:ascii="IRNazanin" w:hAnsi="IRNazanin" w:eastAsia="IRNazanin" w:cs="IRNazanin"/>
          <w:lang w:bidi="fa-IR"/>
          <w:color w:val="111111"/>
          <w:sz w:val="28"/>
          <w:szCs w:val="28"/>
          <w:rtl/>
        </w:rPr>
        <w:t xml:space="preserve">ترجمه و أطری شعره فی (مجن 3- ص 87 و 261) و عنه فی (روشن 488).</w:t>
      </w:r>
    </w:p>
    <w:p>
      <w:pPr>
        <w:pStyle w:val="Heading3"/>
      </w:pPr>
      <w:bookmarkStart w:id="6985" w:name="_Toc5681"/>
      <w:r>
        <w:t>دیوان عیانی تکلو</w:t>
      </w:r>
      <w:bookmarkEnd w:id="6985"/>
    </w:p>
    <w:p>
      <w:pPr>
        <w:pStyle w:val="BookText"/>
      </w:pPr>
      <w:r>
        <w:rPr>
          <w:rFonts w:ascii="IRNazanin" w:hAnsi="IRNazanin" w:eastAsia="IRNazanin" w:cs="IRNazanin"/>
          <w:lang w:bidi="fa-IR"/>
          <w:color w:val="111111"/>
          <w:sz w:val="28"/>
          <w:szCs w:val="28"/>
          <w:rtl/>
        </w:rPr>
        <w:t xml:space="preserve">راجع عیانی هروی.</w:t>
      </w:r>
    </w:p>
    <w:p>
      <w:pPr>
        <w:pStyle w:val="Heading3"/>
      </w:pPr>
      <w:bookmarkStart w:id="6986" w:name="_Toc5682"/>
      <w:r>
        <w:t>5246- دیوان عیانی جهرمی أو شعره‏</w:t>
      </w:r>
      <w:bookmarkEnd w:id="6986"/>
    </w:p>
    <w:p>
      <w:pPr>
        <w:pStyle w:val="BookText"/>
      </w:pPr>
      <w:r>
        <w:rPr>
          <w:rFonts w:ascii="IRNazanin" w:hAnsi="IRNazanin" w:eastAsia="IRNazanin" w:cs="IRNazanin"/>
          <w:lang w:bidi="fa-IR"/>
          <w:color w:val="111111"/>
          <w:sz w:val="28"/>
          <w:szCs w:val="28"/>
          <w:rtl/>
        </w:rPr>
        <w:t xml:space="preserve">و اسمه أحمد خان. ترجمه الهدایة فی (ض- ص 468) و أورد شعره و کذا فی (عم: 107).</w:t>
      </w:r>
    </w:p>
    <w:p>
      <w:pPr>
        <w:pStyle w:val="Heading3"/>
      </w:pPr>
      <w:bookmarkStart w:id="6987" w:name="_Toc5683"/>
      <w:r>
        <w:t>5247- دیوان عیانی خفری‏</w:t>
      </w:r>
      <w:bookmarkEnd w:id="6987"/>
    </w:p>
    <w:p>
      <w:pPr>
        <w:pStyle w:val="BookText"/>
      </w:pPr>
      <w:r>
        <w:rPr>
          <w:rFonts w:ascii="IRNazanin" w:hAnsi="IRNazanin" w:eastAsia="IRNazanin" w:cs="IRNazanin"/>
          <w:lang w:bidi="fa-IR"/>
          <w:color w:val="111111"/>
          <w:sz w:val="28"/>
          <w:szCs w:val="28"/>
          <w:rtl/>
        </w:rPr>
        <w:t xml:space="preserve">و هو محمد بن محمود الشیرازی المتخلص عیانی، الملقب دهدار. صاحب خلاصه الترجمان الذی ألفه 1013 و جامع الفوائد ألفه بعد الرجوع من الهند، و جواهر الأسرار الذی أخذه عن ذخائر الأسماء للسید حسین الأخلاطی و منظومة اسمه سجنجل و المدفون فی الحافظیة بشیراز ترجمه فی (خص- 231) و (تش 152) و (عم- ص 464) و توجد شعره بخط فی گنجینه گران‏مایه- ص 273- 276 الموجود بجامعة طهران. و هو من الحروفیة ظاهرا و له الراد علی النقطویة کما فی عرفات العاشقین و له قصیدة فی مائة بیت.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bookmarkStart w:id="770" w:name="pg11704_122254"/>
    <w:bookmarkEnd w:id="770"/>
    <w:p>
      <w:pPr>
        <w:pStyle w:val="Heading3"/>
      </w:pPr>
      <w:bookmarkStart w:id="6988" w:name="_Toc5684"/>
      <w:r>
        <w:t>5248- دیوان عیانی شیرازی أو شعره‏</w:t>
      </w:r>
      <w:bookmarkEnd w:id="6988"/>
    </w:p>
    <w:p>
      <w:pPr>
        <w:pStyle w:val="BookText"/>
      </w:pPr>
      <w:r>
        <w:rPr>
          <w:rFonts w:ascii="IRNazanin" w:hAnsi="IRNazanin" w:eastAsia="IRNazanin" w:cs="IRNazanin"/>
          <w:lang w:bidi="fa-IR"/>
          <w:color w:val="111111"/>
          <w:sz w:val="28"/>
          <w:szCs w:val="28"/>
          <w:rtl/>
        </w:rPr>
        <w:t xml:space="preserve">کان نزیل بلاد الروم. ترجمه معاصره فی (بهش 2- ص 392) و أورد شعره و قال کان فرءا و یسکن الروم.</w:t>
      </w:r>
    </w:p>
    <w:p>
      <w:pPr>
        <w:pStyle w:val="Heading3"/>
      </w:pPr>
      <w:bookmarkStart w:id="6989" w:name="_Toc5685"/>
      <w:r>
        <w:t>دیوان عیانی شیرازی‏</w:t>
      </w:r>
      <w:bookmarkEnd w:id="6989"/>
    </w:p>
    <w:p>
      <w:pPr>
        <w:pStyle w:val="BookText"/>
      </w:pPr>
      <w:r>
        <w:rPr>
          <w:rFonts w:ascii="IRNazanin" w:hAnsi="IRNazanin" w:eastAsia="IRNazanin" w:cs="IRNazanin"/>
          <w:lang w:bidi="fa-IR"/>
          <w:color w:val="111111"/>
          <w:sz w:val="28"/>
          <w:szCs w:val="28"/>
          <w:rtl/>
        </w:rPr>
        <w:t xml:space="preserve">راجع عیانی خفری.</w:t>
      </w:r>
    </w:p>
    <w:p>
      <w:pPr>
        <w:pStyle w:val="Heading3"/>
      </w:pPr>
      <w:bookmarkStart w:id="6990" w:name="_Toc5686"/>
      <w:r>
        <w:t>5249- دیوان عیانی هروی‏</w:t>
      </w:r>
      <w:bookmarkEnd w:id="6990"/>
    </w:p>
    <w:p>
      <w:pPr>
        <w:pStyle w:val="BookText"/>
      </w:pPr>
      <w:r>
        <w:rPr>
          <w:rFonts w:ascii="IRNazanin" w:hAnsi="IRNazanin" w:eastAsia="IRNazanin" w:cs="IRNazanin"/>
          <w:lang w:bidi="fa-IR"/>
          <w:color w:val="111111"/>
          <w:sz w:val="28"/>
          <w:szCs w:val="28"/>
          <w:rtl/>
        </w:rPr>
        <w:t xml:space="preserve">ترجمه معاصره الصادقی کتاب دار فی (خص- ص 231) و نقل عنه ما سمعه من شعره فی الجواب عن الخمسة النظامیة. قال کنت أظنه رازیا حتی قال لی إنه هروی، و هو من جماعة حیدر چرخی و من إیل تکلو.</w:t>
      </w:r>
    </w:p>
    <w:p>
      <w:pPr>
        <w:pStyle w:val="Heading3"/>
      </w:pPr>
      <w:bookmarkStart w:id="6991" w:name="_Toc5687"/>
      <w:r>
        <w:t>5250- دیوان عیدی بیک خلیفة أو شعره‏</w:t>
      </w:r>
      <w:bookmarkEnd w:id="6991"/>
    </w:p>
    <w:p>
      <w:pPr>
        <w:pStyle w:val="BookText"/>
      </w:pPr>
      <w:r>
        <w:rPr>
          <w:rFonts w:ascii="IRNazanin" w:hAnsi="IRNazanin" w:eastAsia="IRNazanin" w:cs="IRNazanin"/>
          <w:lang w:bidi="fa-IR"/>
          <w:color w:val="111111"/>
          <w:sz w:val="28"/>
          <w:szCs w:val="28"/>
          <w:rtl/>
        </w:rPr>
        <w:t xml:space="preserve">و هو مؤلف کتاب تکملة الاخبار الذی وصف نفسه فی مقدمته بقوله [العبد الفقیر الحقیر ... علی الملقب زین العابدین عفی الله عنه و عن أبیه عبد المؤمن بن صدر الدین ...] کان فی دیوان الشاه طهماسب و اعتزل فی 973 و سکن أردبیل و هناک ألف کتابه المذکور باسم پری خان خانم بنت الشاه طهماسب فی تاریخ ملوک الطوائف بإیران، و نسخته عند (الملک) کما فی مقدمه شهریاران گم نام.</w:t>
      </w:r>
    </w:p>
    <w:p>
      <w:pPr>
        <w:pStyle w:val="Heading3"/>
      </w:pPr>
      <w:bookmarkStart w:id="6992" w:name="_Toc5688"/>
      <w:r>
        <w:t>5251- دیوان عیسی أصفهانی‏</w:t>
      </w:r>
      <w:bookmarkEnd w:id="6992"/>
    </w:p>
    <w:p>
      <w:pPr>
        <w:pStyle w:val="BookText"/>
      </w:pPr>
      <w:r>
        <w:rPr>
          <w:rFonts w:ascii="IRNazanin" w:hAnsi="IRNazanin" w:eastAsia="IRNazanin" w:cs="IRNazanin"/>
          <w:lang w:bidi="fa-IR"/>
          <w:color w:val="111111"/>
          <w:sz w:val="28"/>
          <w:szCs w:val="28"/>
          <w:rtl/>
        </w:rPr>
        <w:t xml:space="preserve">و هو السید عیسی بن محمد علی العاملی الأصفهانی نزیل همدان. کان ابن أخ السید صدر الدین العاملی المتوفی 1263. ذکرنا مثنویة الموسوم الزهرة السنیة فی الزای.</w:t>
      </w:r>
    </w:p>
    <w:p>
      <w:pPr>
        <w:pStyle w:val="Heading3"/>
      </w:pPr>
      <w:bookmarkStart w:id="6993" w:name="_Toc5689"/>
      <w:r>
        <w:t>5252- دیوان السید عیسی الأعرجی‏</w:t>
      </w:r>
      <w:bookmarkEnd w:id="6993"/>
    </w:p>
    <w:p>
      <w:pPr>
        <w:pStyle w:val="BookText"/>
      </w:pPr>
      <w:r>
        <w:rPr>
          <w:rFonts w:ascii="IRNazanin" w:hAnsi="IRNazanin" w:eastAsia="IRNazanin" w:cs="IRNazanin"/>
          <w:lang w:bidi="fa-IR"/>
          <w:color w:val="111111"/>
          <w:sz w:val="28"/>
          <w:szCs w:val="28"/>
          <w:rtl/>
        </w:rPr>
        <w:t xml:space="preserve">ابن السید جعفر بن محمد بن حسن بن المقدس الأعرجی السید محسن صاحب المحصول البغداد الکاظمی. له رثاء السید عبد الکریم بن الحسن الأعرجی المتوفی (1308) أوردها السید جعفر الأعرجی فی کتابه نفحة بغداد فی نسب الأعرجیین الأمجاد و له أیضا تقریظ مناهل الضرب کما هو مکتوب علی النسخة.</w:t>
      </w:r>
    </w:p>
    <w:p>
      <w:pPr>
        <w:pStyle w:val="Heading3"/>
      </w:pPr>
      <w:bookmarkStart w:id="6994" w:name="_Toc5690"/>
      <w:r>
        <w:t>5253- دیوان عیسی بیک تبریزی أو شعره‏</w:t>
      </w:r>
      <w:bookmarkEnd w:id="6994"/>
    </w:p>
    <w:p>
      <w:pPr>
        <w:pStyle w:val="BookText"/>
      </w:pPr>
      <w:r>
        <w:rPr>
          <w:rFonts w:ascii="IRNazanin" w:hAnsi="IRNazanin" w:eastAsia="IRNazanin" w:cs="IRNazanin"/>
          <w:lang w:bidi="fa-IR"/>
          <w:color w:val="111111"/>
          <w:sz w:val="28"/>
          <w:szCs w:val="28"/>
          <w:rtl/>
        </w:rPr>
        <w:t xml:space="preserve">هو ابن طالب خان حاکم تبریز. ترجمه فی (دجا- ص 282) نقلا عن لطائف الخیال و أورد شعره.</w:t>
      </w:r>
    </w:p>
    <w:p>
      <w:pPr>
        <w:pStyle w:val="Heading3"/>
      </w:pPr>
      <w:bookmarkStart w:id="6995" w:name="_Toc5691"/>
      <w:r>
        <w:t>5254- دیوان عیسی ساوجی‏</w:t>
      </w:r>
      <w:bookmarkEnd w:id="6995"/>
    </w:p>
    <w:p>
      <w:pPr>
        <w:pStyle w:val="BookText"/>
      </w:pPr>
      <w:r>
        <w:rPr>
          <w:rFonts w:ascii="IRNazanin" w:hAnsi="IRNazanin" w:eastAsia="IRNazanin" w:cs="IRNazanin"/>
          <w:lang w:bidi="fa-IR"/>
          <w:color w:val="111111"/>
          <w:sz w:val="28"/>
          <w:szCs w:val="28"/>
          <w:rtl/>
        </w:rPr>
        <w:t xml:space="preserve">و هو القاضی عیسی ابن الخواجة شکر الله. کان والده مستوفیا لحسن بیک، و معلما للسلطان یعقوب. و لما جلس هذا علی سریر الملک، قلد القاضی الصدارة و کان ینظم کل یوم عشر غزلات. و بعد وفاة السلطان یعقوب عزله الصوفی خلیل و صلبه فی شهور 896. ففر الشعراء من تبریز. قال المیر علی شیر فی (مجن 6- ص 118 و 293) إنه کان متکبرا ورد علیه القزوینی فی ترجمته و ذکر مظالم المیر علی شیر
</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bookmarkStart w:id="771" w:name="pg11704_122255"/>
    <w:bookmarkEnd w:id="771"/>
    <w:p>
      <w:pPr>
        <w:pStyle w:val="BookText"/>
      </w:pPr>
      <w:r>
        <w:rPr>
          <w:rFonts w:ascii="IRNazanin" w:hAnsi="IRNazanin" w:eastAsia="IRNazanin" w:cs="IRNazanin"/>
          <w:lang w:bidi="fa-IR"/>
          <w:color w:val="111111"/>
          <w:sz w:val="28"/>
          <w:szCs w:val="28"/>
          <w:rtl/>
        </w:rPr>
        <w:t xml:space="preserve">للناس. و سماه سام میرزا فی (تس 4- ص 72) بقاضی میرک. و قال کان یسکن قزوین و ذکر تاریخ قتله کما مر، و ذکر ابن عمه الشیخ نجم أیضا. و قال سنگلاخ فی امتحان الفضلاء 2: 141 إنه رأی قصائد القاضی مسیح الدین عیسی بخط عبد الجبار صدر الصدور. و توجد شعره بخطه فی گنجینه گران‏مایه. و سماه فی (تغ- ص 94) بالقاضی مسیح الدین الساوجی و قال إن تخلصه عیشی.</w:t>
      </w:r>
    </w:p>
    <w:p>
      <w:pPr>
        <w:pStyle w:val="Heading3"/>
      </w:pPr>
      <w:bookmarkStart w:id="6996" w:name="_Toc5692"/>
      <w:r>
        <w:t>5255- دیوان عیسی شیرازی أو شعره‏</w:t>
      </w:r>
      <w:bookmarkEnd w:id="6996"/>
    </w:p>
    <w:p>
      <w:pPr>
        <w:pStyle w:val="BookText"/>
      </w:pPr>
      <w:r>
        <w:rPr>
          <w:rFonts w:ascii="IRNazanin" w:hAnsi="IRNazanin" w:eastAsia="IRNazanin" w:cs="IRNazanin"/>
          <w:lang w:bidi="fa-IR"/>
          <w:color w:val="111111"/>
          <w:sz w:val="28"/>
          <w:szCs w:val="28"/>
          <w:rtl/>
        </w:rPr>
        <w:t xml:space="preserve">و اسمه میرزا مسیح من الکسبة ترجمه النصرآبادی فی (نر- ص 386) و أورد شعره.</w:t>
      </w:r>
    </w:p>
    <w:p>
      <w:pPr>
        <w:pStyle w:val="Heading3"/>
      </w:pPr>
      <w:bookmarkStart w:id="6997" w:name="_Toc5693"/>
      <w:r>
        <w:t>5256- دیوان عیسی یزدی أو شعره‏</w:t>
      </w:r>
      <w:bookmarkEnd w:id="6997"/>
    </w:p>
    <w:p>
      <w:pPr>
        <w:pStyle w:val="BookText"/>
      </w:pPr>
      <w:r>
        <w:rPr>
          <w:rFonts w:ascii="IRNazanin" w:hAnsi="IRNazanin" w:eastAsia="IRNazanin" w:cs="IRNazanin"/>
          <w:lang w:bidi="fa-IR"/>
          <w:color w:val="111111"/>
          <w:sz w:val="28"/>
          <w:szCs w:val="28"/>
          <w:rtl/>
        </w:rPr>
        <w:t xml:space="preserve">ذکره معاصره النصرآبادی فی (نر- ص 285) و أورد شعره و قال توفی بالهند و عنه أخذ فی (گلشن- ص 296) و (مسرت- ص 229) و (تغ- ص 94).</w:t>
      </w:r>
    </w:p>
    <w:p>
      <w:pPr>
        <w:pStyle w:val="Heading3"/>
      </w:pPr>
      <w:bookmarkStart w:id="6998" w:name="_Toc5694"/>
      <w:r>
        <w:t>5257- دیوان السید عیسی الیمانی‏</w:t>
      </w:r>
      <w:bookmarkEnd w:id="6998"/>
    </w:p>
    <w:p>
      <w:pPr>
        <w:pStyle w:val="BookText"/>
      </w:pPr>
      <w:r>
        <w:rPr>
          <w:rFonts w:ascii="IRNazanin" w:hAnsi="IRNazanin" w:eastAsia="IRNazanin" w:cs="IRNazanin"/>
          <w:lang w:bidi="fa-IR"/>
          <w:color w:val="111111"/>
          <w:sz w:val="28"/>
          <w:szCs w:val="28"/>
          <w:rtl/>
        </w:rPr>
        <w:t xml:space="preserve">بن لطف الله بن المطهر بن الإمام شرف الدین الحسنی الیمانی المنجم الأدیب. ترجمه ضیاء الدین فی نسمة السحر و أورد شعره.</w:t>
      </w:r>
    </w:p>
    <w:p>
      <w:pPr>
        <w:pStyle w:val="Heading3"/>
      </w:pPr>
      <w:bookmarkStart w:id="6999" w:name="_Toc5695"/>
      <w:r>
        <w:t>دیوان عیشی‏</w:t>
      </w:r>
      <w:bookmarkEnd w:id="6999"/>
    </w:p>
    <w:p>
      <w:pPr>
        <w:pStyle w:val="BookText"/>
      </w:pPr>
      <w:r>
        <w:rPr>
          <w:rFonts w:ascii="IRNazanin" w:hAnsi="IRNazanin" w:eastAsia="IRNazanin" w:cs="IRNazanin"/>
          <w:lang w:bidi="fa-IR"/>
          <w:color w:val="111111"/>
          <w:sz w:val="28"/>
          <w:szCs w:val="28"/>
          <w:rtl/>
        </w:rPr>
        <w:t xml:space="preserve">ذکرناه فی دیوان حلمی شوشتری و لعله الهروی أو غیره من الآتیین.</w:t>
      </w:r>
    </w:p>
    <w:p>
      <w:pPr>
        <w:pStyle w:val="Heading3"/>
      </w:pPr>
      <w:bookmarkStart w:id="7000" w:name="_Toc5696"/>
      <w:r>
        <w:t>5258- دیوان عیشی أردبیلی أو شعره‏</w:t>
      </w:r>
      <w:bookmarkEnd w:id="7000"/>
    </w:p>
    <w:p>
      <w:pPr>
        <w:pStyle w:val="BookText"/>
      </w:pPr>
      <w:r>
        <w:rPr>
          <w:rFonts w:ascii="IRNazanin" w:hAnsi="IRNazanin" w:eastAsia="IRNazanin" w:cs="IRNazanin"/>
          <w:lang w:bidi="fa-IR"/>
          <w:color w:val="111111"/>
          <w:sz w:val="28"/>
          <w:szCs w:val="28"/>
          <w:rtl/>
        </w:rPr>
        <w:t xml:space="preserve">ترجمه فی (دجا- ص 283) و أورد شعره نقلا عن جنگ کتابته 1135.</w:t>
      </w:r>
    </w:p>
    <w:p>
      <w:pPr>
        <w:pStyle w:val="Heading3"/>
      </w:pPr>
      <w:bookmarkStart w:id="7001" w:name="_Toc5697"/>
      <w:r>
        <w:t>5259- دیوان عیشی أصفهانی أو شعره‏</w:t>
      </w:r>
      <w:bookmarkEnd w:id="7001"/>
    </w:p>
    <w:p>
      <w:pPr>
        <w:pStyle w:val="BookText"/>
      </w:pPr>
      <w:r>
        <w:rPr>
          <w:rFonts w:ascii="IRNazanin" w:hAnsi="IRNazanin" w:eastAsia="IRNazanin" w:cs="IRNazanin"/>
          <w:lang w:bidi="fa-IR"/>
          <w:color w:val="111111"/>
          <w:sz w:val="28"/>
          <w:szCs w:val="28"/>
          <w:rtl/>
        </w:rPr>
        <w:t xml:space="preserve">و هو المیرزا محمد رضا. ذکر فی نجوم السماء ص 300 أنه نظم تاریخ وفاة السید مهدی حفید السید نعمة الله الجزائری.</w:t>
      </w:r>
    </w:p>
    <w:p>
      <w:pPr>
        <w:pStyle w:val="BookText"/>
      </w:pPr>
      <w:r>
        <w:rPr>
          <w:rFonts w:ascii="IRNazanin" w:hAnsi="IRNazanin" w:eastAsia="IRNazanin" w:cs="IRNazanin"/>
          <w:lang w:bidi="fa-IR"/>
          <w:color w:val="111111"/>
          <w:sz w:val="28"/>
          <w:szCs w:val="28"/>
          <w:rtl/>
        </w:rPr>
        <w:t xml:space="preserve">فی 1206</w:t>
      </w:r>
    </w:p>
    <w:p>
      <w:pPr>
        <w:pStyle w:val="Heading3"/>
      </w:pPr>
      <w:bookmarkStart w:id="7002" w:name="_Toc5698"/>
      <w:r>
        <w:t>5260- دیوان عیشی حصاری‏</w:t>
      </w:r>
      <w:bookmarkEnd w:id="7002"/>
    </w:p>
    <w:p>
      <w:pPr>
        <w:pStyle w:val="BookText"/>
      </w:pPr>
      <w:r>
        <w:rPr>
          <w:rFonts w:ascii="IRNazanin" w:hAnsi="IRNazanin" w:eastAsia="IRNazanin" w:cs="IRNazanin"/>
          <w:lang w:bidi="fa-IR"/>
          <w:color w:val="111111"/>
          <w:sz w:val="28"/>
          <w:szCs w:val="28"/>
          <w:rtl/>
        </w:rPr>
        <w:t xml:space="preserve">کان یتخلص أولا محنتی سافر إلی دهلی و تقرب عند محمد أکبر کما فی (گلشن 296).</w:t>
      </w:r>
    </w:p>
    <w:p>
      <w:pPr>
        <w:pStyle w:val="Heading3"/>
      </w:pPr>
      <w:bookmarkStart w:id="7003" w:name="_Toc5699"/>
      <w:r>
        <w:t>5261- دیوان عیشی شیرازی‏</w:t>
      </w:r>
      <w:bookmarkEnd w:id="7003"/>
    </w:p>
    <w:p>
      <w:pPr>
        <w:pStyle w:val="BookText"/>
      </w:pPr>
      <w:r>
        <w:rPr>
          <w:rFonts w:ascii="IRNazanin" w:hAnsi="IRNazanin" w:eastAsia="IRNazanin" w:cs="IRNazanin"/>
          <w:lang w:bidi="fa-IR"/>
          <w:color w:val="111111"/>
          <w:sz w:val="28"/>
          <w:szCs w:val="28"/>
          <w:rtl/>
        </w:rPr>
        <w:t xml:space="preserve">اسمه المیرزا علی محمد تلمیذ المیرزا نصرت. ترجمه فی الشعراء، و (عم- ص 564) و أورد شعره.</w:t>
      </w:r>
    </w:p>
    <w:p>
      <w:pPr>
        <w:pStyle w:val="Heading3"/>
      </w:pPr>
      <w:bookmarkStart w:id="7004" w:name="_Toc5700"/>
      <w:r>
        <w:t>دیوان عیشی ساوجی‏</w:t>
      </w:r>
      <w:bookmarkEnd w:id="7004"/>
    </w:p>
    <w:p>
      <w:pPr>
        <w:pStyle w:val="BookText"/>
      </w:pPr>
      <w:r>
        <w:rPr>
          <w:rFonts w:ascii="IRNazanin" w:hAnsi="IRNazanin" w:eastAsia="IRNazanin" w:cs="IRNazanin"/>
          <w:lang w:bidi="fa-IR"/>
          <w:color w:val="111111"/>
          <w:sz w:val="28"/>
          <w:szCs w:val="28"/>
          <w:rtl/>
        </w:rPr>
        <w:t xml:space="preserve">کما فی (تغ ص 94) و الصحیح عیسی کما مر.</w:t>
      </w:r>
    </w:p>
    <w:p>
      <w:pPr>
        <w:pStyle w:val="Heading3"/>
      </w:pPr>
      <w:bookmarkStart w:id="7005" w:name="_Toc5701"/>
      <w:r>
        <w:t>5262- دیوان عیشی شیرازی‏</w:t>
      </w:r>
      <w:bookmarkEnd w:id="7005"/>
    </w:p>
    <w:p>
      <w:pPr>
        <w:pStyle w:val="BookText"/>
      </w:pPr>
      <w:r>
        <w:rPr>
          <w:rFonts w:ascii="IRNazanin" w:hAnsi="IRNazanin" w:eastAsia="IRNazanin" w:cs="IRNazanin"/>
          <w:lang w:bidi="fa-IR"/>
          <w:color w:val="111111"/>
          <w:sz w:val="28"/>
          <w:szCs w:val="28"/>
          <w:rtl/>
        </w:rPr>
        <w:t xml:space="preserve">المعروف بکل عیشی لأنه کان أقرع کما ذکره فی (بهش 2 ص 403). و أورد بعض هزلیاته و کذا فی (روشن 488).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bookmarkStart w:id="772" w:name="pg11704_122256"/>
    <w:bookmarkEnd w:id="772"/>
    <w:p>
      <w:pPr>
        <w:pStyle w:val="Heading3"/>
      </w:pPr>
      <w:bookmarkStart w:id="7006" w:name="_Toc5702"/>
      <w:r>
        <w:t>5263- دیوان عیشی لکهنوی أو شعره‏</w:t>
      </w:r>
      <w:bookmarkEnd w:id="7006"/>
    </w:p>
    <w:p>
      <w:pPr>
        <w:pStyle w:val="BookText"/>
      </w:pPr>
      <w:r>
        <w:rPr>
          <w:rFonts w:ascii="IRNazanin" w:hAnsi="IRNazanin" w:eastAsia="IRNazanin" w:cs="IRNazanin"/>
          <w:lang w:bidi="fa-IR"/>
          <w:color w:val="111111"/>
          <w:sz w:val="28"/>
          <w:szCs w:val="28"/>
          <w:rtl/>
        </w:rPr>
        <w:t xml:space="preserve">هو طالب علی خان بن علی‏بخش، تلمیذ محمد حسن قتیل. مات هو و زوجته فی 1240. أورد شعره فی (گلشن- ص 296) و (مسرت- ص 359).</w:t>
      </w:r>
    </w:p>
    <w:p>
      <w:pPr>
        <w:pStyle w:val="Heading3"/>
      </w:pPr>
      <w:bookmarkStart w:id="7007" w:name="_Toc5703"/>
      <w:r>
        <w:t>5264- دیوان عیشی هروی‏</w:t>
      </w:r>
      <w:bookmarkEnd w:id="7007"/>
    </w:p>
    <w:p>
      <w:pPr>
        <w:pStyle w:val="BookText"/>
      </w:pPr>
      <w:r>
        <w:rPr>
          <w:rFonts w:ascii="IRNazanin" w:hAnsi="IRNazanin" w:eastAsia="IRNazanin" w:cs="IRNazanin"/>
          <w:lang w:bidi="fa-IR"/>
          <w:color w:val="111111"/>
          <w:sz w:val="28"/>
          <w:szCs w:val="28"/>
          <w:rtl/>
        </w:rPr>
        <w:t xml:space="preserve">و هو الحافظ علی بن نور الغوری الهروی المتخلص عیشی. له قصیدة مصنوعة فی مدیح السلطان حسین میرزا بایقرا، و قد کتب لها مقدمه منثورة قال فیها إن المخترع للقصائد المصنوعة هو السید ذو الفقار الشیروانی کما ذکرناه فی ص 339- 340. أوله: [ترصیع جواهر محامدی که مطلع ...</w:t>
      </w:r>
    </w:p>
    <w:p>
      <w:pPr>
        <w:pStyle w:val="BookText"/>
      </w:pPr>
      <w:r>
        <w:rPr>
          <w:rFonts w:ascii="IRNazanin" w:hAnsi="IRNazanin" w:eastAsia="IRNazanin" w:cs="IRNazanin"/>
          <w:lang w:bidi="fa-IR"/>
          <w:color w:val="111111"/>
          <w:sz w:val="28"/>
          <w:szCs w:val="28"/>
          <w:rtl/>
        </w:rPr>
        <w:t xml:space="preserve">حریم حرمت کوی تو جنت أبرار</w:t>
      </w:r>
    </w:p>
    <w:p>
      <w:pPr>
        <w:pStyle w:val="BookText"/>
      </w:pPr>
      <w:r>
        <w:rPr>
          <w:rFonts w:ascii="IRNazanin" w:hAnsi="IRNazanin" w:eastAsia="IRNazanin" w:cs="IRNazanin"/>
          <w:lang w:bidi="fa-IR"/>
          <w:color w:val="111111"/>
          <w:sz w:val="28"/>
          <w:szCs w:val="28"/>
          <w:rtl/>
        </w:rPr>
        <w:t xml:space="preserve">شمیم نکهت موی تو راحت أحرار ...</w:t>
      </w:r>
    </w:p>
    <w:p>
      <w:pPr>
        <w:pStyle w:val="BookText"/>
      </w:pPr>
      <w:r>
        <w:rPr>
          <w:rFonts w:ascii="IRNazanin" w:hAnsi="IRNazanin" w:eastAsia="IRNazanin" w:cs="IRNazanin"/>
          <w:lang w:bidi="fa-IR"/>
          <w:color w:val="111111"/>
          <w:sz w:val="28"/>
          <w:szCs w:val="28"/>
          <w:rtl/>
        </w:rPr>
        <w:t xml:space="preserve">] و قال فی تاریخه فی 908:</w:t>
      </w:r>
    </w:p>
    <w:p>
      <w:pPr>
        <w:pStyle w:val="BookText"/>
      </w:pPr>
      <w:r>
        <w:rPr>
          <w:rFonts w:ascii="IRNazanin" w:hAnsi="IRNazanin" w:eastAsia="IRNazanin" w:cs="IRNazanin"/>
          <w:lang w:bidi="fa-IR"/>
          <w:color w:val="111111"/>
          <w:sz w:val="28"/>
          <w:szCs w:val="28"/>
          <w:rtl/>
        </w:rPr>
        <w:t xml:space="preserve">تاریخ سال و مدت نظمش چو عقل جست‏</w:t>
      </w:r>
    </w:p>
    <w:p>
      <w:pPr>
        <w:pStyle w:val="BookText"/>
      </w:pPr>
      <w:r>
        <w:rPr>
          <w:rFonts w:ascii="IRNazanin" w:hAnsi="IRNazanin" w:eastAsia="IRNazanin" w:cs="IRNazanin"/>
          <w:lang w:bidi="fa-IR"/>
          <w:color w:val="111111"/>
          <w:sz w:val="28"/>
          <w:szCs w:val="28"/>
          <w:rtl/>
        </w:rPr>
        <w:t xml:space="preserve">گفتم جواب أو که بیک سال شد تمام‏</w:t>
      </w:r>
    </w:p>
    <w:p>
      <w:pPr>
        <w:pStyle w:val="BookText"/>
      </w:pPr>
      <w:r>
        <w:rPr>
          <w:rFonts w:ascii="IRNazanin" w:hAnsi="IRNazanin" w:eastAsia="IRNazanin" w:cs="IRNazanin"/>
          <w:lang w:bidi="fa-IR"/>
          <w:color w:val="111111"/>
          <w:sz w:val="28"/>
          <w:szCs w:val="28"/>
          <w:rtl/>
        </w:rPr>
        <w:t xml:space="preserve">و له قصیدة مصنوعة أخری فی مدیح الشاه إسماعیل حین ورد خراسان. أوله: [نظم لئالی قصائد حمد و سپاس و عقد جواهر ...</w:t>
      </w:r>
    </w:p>
    <w:p>
      <w:pPr>
        <w:pStyle w:val="BookText"/>
      </w:pPr>
      <w:r>
        <w:rPr>
          <w:rFonts w:ascii="IRNazanin" w:hAnsi="IRNazanin" w:eastAsia="IRNazanin" w:cs="IRNazanin"/>
          <w:lang w:bidi="fa-IR"/>
          <w:color w:val="111111"/>
          <w:sz w:val="28"/>
          <w:szCs w:val="28"/>
          <w:rtl/>
        </w:rPr>
        <w:t xml:space="preserve">شراب شربت ذوقت شفاست ای دلدار</w:t>
      </w:r>
    </w:p>
    <w:p>
      <w:pPr>
        <w:pStyle w:val="BookText"/>
      </w:pPr>
      <w:r>
        <w:rPr>
          <w:rFonts w:ascii="IRNazanin" w:hAnsi="IRNazanin" w:eastAsia="IRNazanin" w:cs="IRNazanin"/>
          <w:lang w:bidi="fa-IR"/>
          <w:color w:val="111111"/>
          <w:sz w:val="28"/>
          <w:szCs w:val="28"/>
          <w:rtl/>
        </w:rPr>
        <w:t xml:space="preserve">عذاب محنت شوقت بلاست بی‏مقدار</w:t>
      </w:r>
    </w:p>
    <w:p>
      <w:pPr>
        <w:pStyle w:val="BookText"/>
      </w:pPr>
      <w:r>
        <w:rPr>
          <w:rFonts w:ascii="IRNazanin" w:hAnsi="IRNazanin" w:eastAsia="IRNazanin" w:cs="IRNazanin"/>
          <w:lang w:bidi="fa-IR"/>
          <w:color w:val="111111"/>
          <w:sz w:val="28"/>
          <w:szCs w:val="28"/>
          <w:rtl/>
        </w:rPr>
        <w:t xml:space="preserve">و له أخری سماه ممتاز البدائع. توجد نسختها مع قصائد أخر له فی (المجلس) کما فی فهرسها 3: 531 و نقل ترجمته عن (تس 4 ص 69) و قد ذکرناه فی (ص 224).</w:t>
      </w:r>
    </w:p>
    <w:p>
      <w:pPr>
        <w:pStyle w:val="Heading3"/>
      </w:pPr>
      <w:bookmarkStart w:id="7008" w:name="_Toc5704"/>
      <w:r>
        <w:t>5265- دیوان العیناثی‏</w:t>
      </w:r>
      <w:bookmarkEnd w:id="7008"/>
    </w:p>
    <w:p>
      <w:pPr>
        <w:pStyle w:val="BookText"/>
      </w:pPr>
      <w:r>
        <w:rPr>
          <w:rFonts w:ascii="IRNazanin" w:hAnsi="IRNazanin" w:eastAsia="IRNazanin" w:cs="IRNazanin"/>
          <w:lang w:bidi="fa-IR"/>
          <w:color w:val="111111"/>
          <w:sz w:val="28"/>
          <w:szCs w:val="28"/>
          <w:rtl/>
        </w:rPr>
        <w:t xml:space="preserve">السید صدر الدین بن محمد أمین فضل الله العاملی المتوفی 1360 توجد عند بعض ولده” السید صدر الدین” فی النجف.</w:t>
      </w:r>
    </w:p>
    <w:p>
      <w:pPr>
        <w:pStyle w:val="Heading3"/>
      </w:pPr>
      <w:bookmarkStart w:id="7009" w:name="_Toc5705"/>
      <w:r>
        <w:t>5266- دیوان العیناثی‏</w:t>
      </w:r>
      <w:bookmarkEnd w:id="7009"/>
    </w:p>
    <w:p>
      <w:pPr>
        <w:pStyle w:val="BookText"/>
      </w:pPr>
      <w:r>
        <w:rPr>
          <w:rFonts w:ascii="IRNazanin" w:hAnsi="IRNazanin" w:eastAsia="IRNazanin" w:cs="IRNazanin"/>
          <w:lang w:bidi="fa-IR"/>
          <w:color w:val="111111"/>
          <w:sz w:val="28"/>
          <w:szCs w:val="28"/>
          <w:rtl/>
        </w:rPr>
        <w:t xml:space="preserve">السید محمد حیدر الحسینی العاملی المتوفی 1369. طبع له المنتخبات المختارات.</w:t>
      </w:r>
    </w:p>
    <w:p>
      <w:pPr>
        <w:pStyle w:val="Heading3"/>
      </w:pPr>
      <w:bookmarkStart w:id="7010" w:name="_Toc5706"/>
      <w:r>
        <w:t>5267- دیوان عین الزمان‏</w:t>
      </w:r>
      <w:bookmarkEnd w:id="7010"/>
    </w:p>
    <w:p>
      <w:pPr>
        <w:pStyle w:val="BookText"/>
      </w:pPr>
      <w:r>
        <w:rPr>
          <w:rFonts w:ascii="IRNazanin" w:hAnsi="IRNazanin" w:eastAsia="IRNazanin" w:cs="IRNazanin"/>
          <w:lang w:bidi="fa-IR"/>
          <w:color w:val="111111"/>
          <w:sz w:val="28"/>
          <w:szCs w:val="28"/>
          <w:rtl/>
        </w:rPr>
        <w:t xml:space="preserve">هو مهذب الدین أبو الحسین أحمد بن منیر بن أحمد بن مفلح الرفاء الطرابلسی الشامی المتوفی بحلب 543 و المدفون بجبل جوشن. ترجمه القاضی فی (لس- 456) و له الرائیة المشهورة به التتریة المذکور تخمیسها فی:</w:t>
      </w:r>
    </w:p>
    <w:p>
      <w:pPr>
        <w:pStyle w:val="BookText"/>
      </w:pPr>
      <w:r>
        <w:rPr>
          <w:rFonts w:ascii="IRNazanin" w:hAnsi="IRNazanin" w:eastAsia="IRNazanin" w:cs="IRNazanin"/>
          <w:lang w:bidi="fa-IR"/>
          <w:color w:val="111111"/>
          <w:sz w:val="28"/>
          <w:szCs w:val="28"/>
          <w:rtl/>
        </w:rPr>
        <w:t xml:space="preserve">9- 10 و هو غیر السری الرفاء.</w:t>
      </w:r>
    </w:p>
    <w:p>
      <w:pPr>
        <w:pStyle w:val="Heading3"/>
      </w:pPr>
      <w:bookmarkStart w:id="7011" w:name="_Toc5707"/>
      <w:r>
        <w:t>5268- دیوان عین علی جرفادقانی أو شعره‏</w:t>
      </w:r>
      <w:bookmarkEnd w:id="7011"/>
    </w:p>
    <w:p>
      <w:pPr>
        <w:pStyle w:val="BookText"/>
      </w:pPr>
      <w:r>
        <w:rPr>
          <w:rFonts w:ascii="IRNazanin" w:hAnsi="IRNazanin" w:eastAsia="IRNazanin" w:cs="IRNazanin"/>
          <w:lang w:bidi="fa-IR"/>
          <w:color w:val="111111"/>
          <w:sz w:val="28"/>
          <w:szCs w:val="28"/>
          <w:rtl/>
        </w:rPr>
        <w:t xml:space="preserve">و هو المیر عین علی الحسینی،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bookmarkStart w:id="773" w:name="pg11704_122257"/>
    <w:bookmarkEnd w:id="773"/>
    <w:p>
      <w:pPr>
        <w:pStyle w:val="BookText"/>
      </w:pPr>
      <w:r>
        <w:rPr>
          <w:rFonts w:ascii="IRNazanin" w:hAnsi="IRNazanin" w:eastAsia="IRNazanin" w:cs="IRNazanin"/>
          <w:lang w:bidi="fa-IR"/>
          <w:color w:val="111111"/>
          <w:sz w:val="28"/>
          <w:szCs w:val="28"/>
          <w:rtl/>
        </w:rPr>
        <w:t xml:space="preserve">کان مکثرا من الرباعیات التی أورد جملة منها فی (نر 9- ص 254).</w:t>
      </w:r>
    </w:p>
    <w:p>
      <w:pPr>
        <w:pStyle w:val="Heading3"/>
      </w:pPr>
      <w:bookmarkStart w:id="7012" w:name="_Toc5708"/>
      <w:r>
        <w:t>5269- دیوان عین القضاة الرازی‏</w:t>
      </w:r>
      <w:bookmarkEnd w:id="7012"/>
    </w:p>
    <w:p>
      <w:pPr>
        <w:pStyle w:val="BookText"/>
      </w:pPr>
      <w:r>
        <w:rPr>
          <w:rFonts w:ascii="IRNazanin" w:hAnsi="IRNazanin" w:eastAsia="IRNazanin" w:cs="IRNazanin"/>
          <w:lang w:bidi="fa-IR"/>
          <w:color w:val="111111"/>
          <w:sz w:val="28"/>
          <w:szCs w:val="28"/>
          <w:rtl/>
        </w:rPr>
        <w:t xml:space="preserve">و هو الأمیر عین القضاة ابن أخ القاضی مسعود بن المیر عبد الصمد القاضی بری بعد جده القاضی سیف الدین. ترجمه سام میرزا فی (تس 2- ص 40) و أورد شعره.</w:t>
      </w:r>
    </w:p>
    <w:p>
      <w:pPr>
        <w:pStyle w:val="Heading3"/>
      </w:pPr>
      <w:bookmarkStart w:id="7013" w:name="_Toc5709"/>
      <w:r>
        <w:t>5270- دیوان عین القضاة همدانی‏</w:t>
      </w:r>
      <w:bookmarkEnd w:id="7013"/>
    </w:p>
    <w:p>
      <w:pPr>
        <w:pStyle w:val="BookText"/>
      </w:pPr>
      <w:r>
        <w:rPr>
          <w:rFonts w:ascii="IRNazanin" w:hAnsi="IRNazanin" w:eastAsia="IRNazanin" w:cs="IRNazanin"/>
          <w:lang w:bidi="fa-IR"/>
          <w:color w:val="111111"/>
          <w:sz w:val="28"/>
          <w:szCs w:val="28"/>
          <w:rtl/>
        </w:rPr>
        <w:t xml:space="preserve">هو أبو الفضل عبد الله بن محمد بن علی بن الحسن المیانجی الهمدانی السهروردی الصوفی من أصحاب محمد بن حمویه. توفی مصلوبا بهمدان فی الأربعاء 7 ج 2- 525. له التمهیدات المشحون برباعیاته و زبدة الحقائق و شکوی الغریب عن الأوطان و مدار العیوب فی التصوف و یوجد من مکاتیب عین القضاة فی مکتبة جامعة طهران ثلاث نسخ مصورة. ترجمه فی (النفحات ص 371) و (عشاق- ص 68) و (حسینی- ص 206) و هدیة العارفین 1: 455 و (تغ- ص 94) و (نتایج- ص 453) و (دجا- ص 283) و (مع 1: 340) و ریحانة الأدب. و قد خلط شعره مع شعر أبی سعید أبی الخیر کما فی مقدمه النفیسی علی سخنان أبو سعید- ص 59 و لا یتخلط علیک الرجل مع عین القضاة صاحب السبعیات فی القرن العاشر.</w:t>
      </w:r>
    </w:p>
    <w:p>
      <w:pPr>
        <w:pStyle w:val="Heading3"/>
      </w:pPr>
      <w:bookmarkStart w:id="7014" w:name="_Toc5710"/>
      <w:r>
        <w:t>5271- دیوان عینی‏</w:t>
      </w:r>
      <w:bookmarkEnd w:id="7014"/>
    </w:p>
    <w:p>
      <w:pPr>
        <w:pStyle w:val="BookText"/>
      </w:pPr>
      <w:r>
        <w:rPr>
          <w:rFonts w:ascii="IRNazanin" w:hAnsi="IRNazanin" w:eastAsia="IRNazanin" w:cs="IRNazanin"/>
          <w:lang w:bidi="fa-IR"/>
          <w:color w:val="111111"/>
          <w:sz w:val="28"/>
          <w:szCs w:val="28"/>
          <w:rtl/>
        </w:rPr>
        <w:t xml:space="preserve">للسید صدر الدین بن السید مراد رئیس المجمع العلمی التاجیکی بتاجیکستان (1256- 1333 ش) ألف نمونه أدبیات تاجیک طبع أولا بالحروف العربیة فی سمرقند 1925 م. ثم أعید طبعه علی الحروف اللاتینیة فی بلدة دوشنبه فی 1940 م. و له شیخ الرئیس و رودکی و بوستان سعدی. و له منظومات یادگار و خونده و آدینه و غلامان و یتیم و مرگ ربا خوار و بخارا.</w:t>
      </w:r>
    </w:p>
    <w:p>
      <w:pPr>
        <w:pStyle w:val="Heading3"/>
      </w:pPr>
      <w:bookmarkStart w:id="7015" w:name="_Toc5711"/>
      <w:r>
        <w:t>5272- دیوان عینی فراهانی أو شعره‏</w:t>
      </w:r>
      <w:bookmarkEnd w:id="7015"/>
    </w:p>
    <w:p>
      <w:pPr>
        <w:pStyle w:val="BookText"/>
      </w:pPr>
      <w:r>
        <w:rPr>
          <w:rFonts w:ascii="IRNazanin" w:hAnsi="IRNazanin" w:eastAsia="IRNazanin" w:cs="IRNazanin"/>
          <w:lang w:bidi="fa-IR"/>
          <w:color w:val="111111"/>
          <w:sz w:val="28"/>
          <w:szCs w:val="28"/>
          <w:rtl/>
        </w:rPr>
        <w:t xml:space="preserve">هو عبد القیوم الفراهانی. نزل الهند و تقرب عند جهانگیر ثم قاسم خان حاکم بنگاله. أورد شعره فی (گلشن- ص 298).</w:t>
      </w:r>
    </w:p>
    <w:p>
      <w:pPr>
        <w:pStyle w:val="Heading3"/>
      </w:pPr>
      <w:bookmarkStart w:id="7016" w:name="_Toc5712"/>
      <w:r>
        <w:t>5273- دیوان عیوقی‏</w:t>
      </w:r>
      <w:bookmarkEnd w:id="7016"/>
    </w:p>
    <w:p>
      <w:pPr>
        <w:pStyle w:val="BookText"/>
      </w:pPr>
      <w:r>
        <w:rPr>
          <w:rFonts w:ascii="IRNazanin" w:hAnsi="IRNazanin" w:eastAsia="IRNazanin" w:cs="IRNazanin"/>
          <w:lang w:bidi="fa-IR"/>
          <w:color w:val="111111"/>
          <w:sz w:val="28"/>
          <w:szCs w:val="28"/>
          <w:rtl/>
        </w:rPr>
        <w:t xml:space="preserve">أورد شعره الأسدی فی فرهنگ أسدی طوسی و بقی من آثاره ورقة و گل‏شاه المنظوم ببحر التقارب باسم السلطان محمود الغزنوی. توجد نسخته فی موزة سرای طوپقاپو کما ذکره أحمد آتش فی مجلة دانشکده أدبیات‏
</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تهران العدد 4 للسنة الأولی و هو مثنوی غرامی فارسی مأخوذ عن القصص العربیة. قال أحمد آتش فی مقالته إن القصة مأخوذة عن قصة عروة بن الحزام العذری من شعراء الصدر الأول للإسلام. و یوجد فی قسم الأسمار من فهرس ابن الندیم کتاب عروة و عفراء و قد طبع فی تاشکند فی 1324 کتاب بالترکیة باسم حکایة عجیبة از گل‏شاه و ورقة و قد ترجم القصة باللغات الأروبیة أیضا. أوله:</w:t>
      </w:r>
    </w:p>
    <w:p>
      <w:pPr>
        <w:pStyle w:val="BookText"/>
      </w:pPr>
      <w:r>
        <w:rPr>
          <w:rFonts w:ascii="IRNazanin" w:hAnsi="IRNazanin" w:eastAsia="IRNazanin" w:cs="IRNazanin"/>
          <w:lang w:bidi="fa-IR"/>
          <w:color w:val="111111"/>
          <w:sz w:val="28"/>
          <w:szCs w:val="28"/>
          <w:rtl/>
        </w:rPr>
        <w:t xml:space="preserve">به نام خداوند بالا و پست‏</w:t>
      </w:r>
    </w:p>
    <w:p>
      <w:pPr>
        <w:pStyle w:val="BookText"/>
      </w:pPr>
      <w:r>
        <w:rPr>
          <w:rFonts w:ascii="IRNazanin" w:hAnsi="IRNazanin" w:eastAsia="IRNazanin" w:cs="IRNazanin"/>
          <w:lang w:bidi="fa-IR"/>
          <w:color w:val="111111"/>
          <w:sz w:val="28"/>
          <w:szCs w:val="28"/>
          <w:rtl/>
        </w:rPr>
        <w:t xml:space="preserve">که از هستی‏اش هست شد هر چه هست‏</w:t>
      </w:r>
    </w:p>
    <w:p>
      <w:pPr>
        <w:pStyle w:val="BookText"/>
      </w:pPr>
      <w:r>
        <w:rPr>
          <w:rFonts w:ascii="IRNazanin" w:hAnsi="IRNazanin" w:eastAsia="IRNazanin" w:cs="IRNazanin"/>
          <w:lang w:bidi="fa-IR"/>
          <w:color w:val="111111"/>
          <w:sz w:val="28"/>
          <w:szCs w:val="28"/>
          <w:rtl/>
        </w:rPr>
        <w:t xml:space="preserve">آخره:</w:t>
      </w:r>
    </w:p>
    <w:p>
      <w:pPr>
        <w:pStyle w:val="BookText"/>
      </w:pPr>
      <w:r>
        <w:rPr>
          <w:rFonts w:ascii="IRNazanin" w:hAnsi="IRNazanin" w:eastAsia="IRNazanin" w:cs="IRNazanin"/>
          <w:lang w:bidi="fa-IR"/>
          <w:color w:val="111111"/>
          <w:sz w:val="28"/>
          <w:szCs w:val="28"/>
          <w:rtl/>
        </w:rPr>
        <w:t xml:space="preserve">چنین بود این قصه پرعجب‏</w:t>
      </w:r>
    </w:p>
    <w:p>
      <w:pPr>
        <w:pStyle w:val="BookText"/>
      </w:pPr>
      <w:r>
        <w:rPr>
          <w:rFonts w:ascii="IRNazanin" w:hAnsi="IRNazanin" w:eastAsia="IRNazanin" w:cs="IRNazanin"/>
          <w:lang w:bidi="fa-IR"/>
          <w:color w:val="111111"/>
          <w:sz w:val="28"/>
          <w:szCs w:val="28"/>
          <w:rtl/>
        </w:rPr>
        <w:t xml:space="preserve">ز اخبار تازی و کتب عرب‏</w:t>
      </w:r>
    </w:p>
    <w:p>
      <w:pPr>
        <w:pStyle w:val="BookText"/>
      </w:pPr>
      <w:r>
        <w:rPr>
          <w:rFonts w:ascii="IRNazanin" w:hAnsi="IRNazanin" w:eastAsia="IRNazanin" w:cs="IRNazanin"/>
          <w:lang w:bidi="fa-IR"/>
          <w:color w:val="111111"/>
          <w:sz w:val="28"/>
          <w:szCs w:val="28"/>
          <w:rtl/>
        </w:rPr>
        <w:t xml:space="preserve">ز عیوقی و امتان خاص و عام‏</w:t>
      </w:r>
    </w:p>
    <w:p>
      <w:pPr>
        <w:pStyle w:val="BookText"/>
      </w:pPr>
      <w:r>
        <w:rPr>
          <w:rFonts w:ascii="IRNazanin" w:hAnsi="IRNazanin" w:eastAsia="IRNazanin" w:cs="IRNazanin"/>
          <w:lang w:bidi="fa-IR"/>
          <w:color w:val="111111"/>
          <w:sz w:val="28"/>
          <w:szCs w:val="28"/>
          <w:rtl/>
        </w:rPr>
        <w:t xml:space="preserve">ثنا بر محمد علیه السلام‏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bookmarkStart w:id="774" w:name="pg11704_122259"/>
    <w:bookmarkEnd w:id="774"/>
    <w:p>
      <w:pPr>
        <w:pStyle w:val="Heading3"/>
      </w:pPr>
      <w:bookmarkStart w:id="7017" w:name="_Toc5713"/>
      <w:r>
        <w:t>غ‏</w:t>
      </w:r>
      <w:bookmarkEnd w:id="7017"/>
    </w:p>
    <w:p>
      <w:pPr>
        <w:pStyle w:val="Heading3"/>
      </w:pPr>
      <w:bookmarkStart w:id="7018" w:name="_Toc5714"/>
      <w:r>
        <w:t>5274- دیوان غارت زند</w:t>
      </w:r>
      <w:bookmarkEnd w:id="7018"/>
    </w:p>
    <w:p>
      <w:pPr>
        <w:pStyle w:val="BookText"/>
      </w:pPr>
      <w:r>
        <w:rPr>
          <w:rFonts w:ascii="IRNazanin" w:hAnsi="IRNazanin" w:eastAsia="IRNazanin" w:cs="IRNazanin"/>
          <w:lang w:bidi="fa-IR"/>
          <w:color w:val="111111"/>
          <w:sz w:val="28"/>
          <w:szCs w:val="28"/>
          <w:rtl/>
        </w:rPr>
        <w:t xml:space="preserve">للشاعر الأدیب إمام قلی خان زند. ترجمه معاصره فی (المآثر ص 222) و قال إنه قد جمع شعره و دونه المیرزا السید حسین التفریشی الذی کان من طرف أمه من أقرباء هذا الشاعر الماهر.</w:t>
      </w:r>
    </w:p>
    <w:p>
      <w:pPr>
        <w:pStyle w:val="Heading3"/>
      </w:pPr>
      <w:bookmarkStart w:id="7019" w:name="_Toc5715"/>
      <w:r>
        <w:t>دیوان میرزا غازی تبتی‏</w:t>
      </w:r>
      <w:bookmarkEnd w:id="7019"/>
    </w:p>
    <w:p>
      <w:pPr>
        <w:pStyle w:val="BookText"/>
      </w:pPr>
      <w:r>
        <w:rPr>
          <w:rFonts w:ascii="IRNazanin" w:hAnsi="IRNazanin" w:eastAsia="IRNazanin" w:cs="IRNazanin"/>
          <w:lang w:bidi="fa-IR"/>
          <w:color w:val="111111"/>
          <w:sz w:val="28"/>
          <w:szCs w:val="28"/>
          <w:rtl/>
        </w:rPr>
        <w:t xml:space="preserve">من أمراء تبت و والی قندهار. ترجمه معاصره النصرآبادی فی (نر 3- ص 60) و أورد شعره و رباعیه و ذکر أن تخلصه قاری.</w:t>
      </w:r>
    </w:p>
    <w:p>
      <w:pPr>
        <w:pStyle w:val="Heading3"/>
      </w:pPr>
      <w:bookmarkStart w:id="7020" w:name="_Toc5716"/>
      <w:r>
        <w:t>5275- دیوان غازی قلندر سمنانی أو شعره‏</w:t>
      </w:r>
      <w:bookmarkEnd w:id="7020"/>
    </w:p>
    <w:p>
      <w:pPr>
        <w:pStyle w:val="BookText"/>
      </w:pPr>
      <w:r>
        <w:rPr>
          <w:rFonts w:ascii="IRNazanin" w:hAnsi="IRNazanin" w:eastAsia="IRNazanin" w:cs="IRNazanin"/>
          <w:lang w:bidi="fa-IR"/>
          <w:color w:val="111111"/>
          <w:sz w:val="28"/>
          <w:szCs w:val="28"/>
          <w:rtl/>
        </w:rPr>
        <w:t xml:space="preserve">ترجمه فی (خص- ص 194) و أورد شعره و عده من رباعیاته و تخلصه فیها غازی.</w:t>
      </w:r>
    </w:p>
    <w:p>
      <w:pPr>
        <w:pStyle w:val="Heading3"/>
      </w:pPr>
      <w:bookmarkStart w:id="7021" w:name="_Toc5717"/>
      <w:r>
        <w:t>5276- دیوان غازی کرای خان أو شعره‏</w:t>
      </w:r>
      <w:bookmarkEnd w:id="7021"/>
    </w:p>
    <w:p>
      <w:pPr>
        <w:pStyle w:val="BookText"/>
      </w:pPr>
      <w:r>
        <w:rPr>
          <w:rFonts w:ascii="IRNazanin" w:hAnsi="IRNazanin" w:eastAsia="IRNazanin" w:cs="IRNazanin"/>
          <w:lang w:bidi="fa-IR"/>
          <w:color w:val="111111"/>
          <w:sz w:val="28"/>
          <w:szCs w:val="28"/>
          <w:rtl/>
        </w:rPr>
        <w:t xml:space="preserve">ترجمه فی عداد الملوک فی (خص- ص 19) و أورد شعره، و ترجمه مفصلا فی (مع- ج 1 ص 41) و ذکر أنه ابن دولت کرای خان بن إسلام کرای خان التاتاری من أحفاد منکلی کرای المنتهی إلی چنگیز. هو و آباؤه ملوک قرم (کریمة) و دار ملکهم باغچه سرای أخذ أسیرا فی حربه مع جنود الصفویة فحبس فی قلعة قهقهة سبع سنین.</w:t>
      </w:r>
    </w:p>
    <w:p>
      <w:pPr>
        <w:pStyle w:val="Heading3"/>
      </w:pPr>
      <w:bookmarkStart w:id="7022" w:name="_Toc5718"/>
      <w:r>
        <w:t>5277- دیوان غازی مازندرانی‏</w:t>
      </w:r>
      <w:bookmarkEnd w:id="7022"/>
    </w:p>
    <w:p>
      <w:pPr>
        <w:pStyle w:val="BookText"/>
      </w:pPr>
      <w:r>
        <w:rPr>
          <w:rFonts w:ascii="IRNazanin" w:hAnsi="IRNazanin" w:eastAsia="IRNazanin" w:cs="IRNazanin"/>
          <w:lang w:bidi="fa-IR"/>
          <w:color w:val="111111"/>
          <w:sz w:val="28"/>
          <w:szCs w:val="28"/>
          <w:rtl/>
        </w:rPr>
        <w:t xml:space="preserve">محمد قاسم خان بن میرزا حسن و ابن أخت المیرزا مهدی خان شحنة المازندرانی و توفی 1271 ترجمه فی (مع: ج 2 ص 367) و أورد نیفا و ثلاثین من أشعاره أکثرها قصائد فی مدیح السلطان محمد شاه القاجار و عنه أخذ فی الریحانة.</w:t>
      </w:r>
    </w:p>
    <w:p>
      <w:pPr>
        <w:pStyle w:val="Heading3"/>
      </w:pPr>
      <w:bookmarkStart w:id="7023" w:name="_Toc5719"/>
      <w:r>
        <w:t>5278- دیوان غافل‏</w:t>
      </w:r>
      <w:bookmarkEnd w:id="7023"/>
    </w:p>
    <w:p>
      <w:pPr>
        <w:pStyle w:val="BookText"/>
      </w:pPr>
      <w:r>
        <w:rPr>
          <w:rFonts w:ascii="IRNazanin" w:hAnsi="IRNazanin" w:eastAsia="IRNazanin" w:cs="IRNazanin"/>
          <w:lang w:bidi="fa-IR"/>
          <w:color w:val="111111"/>
          <w:sz w:val="28"/>
          <w:szCs w:val="28"/>
          <w:rtl/>
        </w:rPr>
        <w:t xml:space="preserve">المیرزا غلام رضا. له عتاب الغافلین نظما توجد عند (الملک)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bookmarkStart w:id="775" w:name="pg11704_122260"/>
    <w:bookmarkEnd w:id="775"/>
    <w:p>
      <w:pPr>
        <w:pStyle w:val="Heading3"/>
      </w:pPr>
      <w:bookmarkStart w:id="7024" w:name="_Toc5720"/>
      <w:r>
        <w:t>5279- دیوان غافل سیستانی‏</w:t>
      </w:r>
      <w:bookmarkEnd w:id="7024"/>
    </w:p>
    <w:p>
      <w:pPr>
        <w:pStyle w:val="BookText"/>
      </w:pPr>
      <w:r>
        <w:rPr>
          <w:rFonts w:ascii="IRNazanin" w:hAnsi="IRNazanin" w:eastAsia="IRNazanin" w:cs="IRNazanin"/>
          <w:lang w:bidi="fa-IR"/>
          <w:color w:val="111111"/>
          <w:sz w:val="28"/>
          <w:szCs w:val="28"/>
          <w:rtl/>
        </w:rPr>
        <w:t xml:space="preserve">اسمه ملک حمزة بن ملک جلال الدین المنتهی إلی جمشید. کان آباؤه ملوک سیستان. ترجمه النصرآبادی فی (نر ص 36 و 483) أطرأه و أورد عدة من رباعیاته و ذکر أنه توفی سنة تخاقوئیل السابقة علی تألیف التذکرة یعنی قبل 1083 و طبع دیوان غافل بنولکشور و لعله لهذا الرجل. و مر ابن عمه شجاع فی ص 507. و سماه فی (گلشن ص 298) بملک خسرو.</w:t>
      </w:r>
    </w:p>
    <w:p>
      <w:pPr>
        <w:pStyle w:val="Heading3"/>
      </w:pPr>
      <w:bookmarkStart w:id="7025" w:name="_Toc5721"/>
      <w:r>
        <w:t>5280- دیوان غافل طالقانی أو شعره‏</w:t>
      </w:r>
      <w:bookmarkEnd w:id="7025"/>
    </w:p>
    <w:p>
      <w:pPr>
        <w:pStyle w:val="BookText"/>
      </w:pPr>
      <w:r>
        <w:rPr>
          <w:rFonts w:ascii="IRNazanin" w:hAnsi="IRNazanin" w:eastAsia="IRNazanin" w:cs="IRNazanin"/>
          <w:lang w:bidi="fa-IR"/>
          <w:color w:val="111111"/>
          <w:sz w:val="28"/>
          <w:szCs w:val="28"/>
          <w:rtl/>
        </w:rPr>
        <w:t xml:space="preserve">و اسمه محمد تقی من شعراء الشاه عباس الثانی أورد شعره فی (گلشن- ص 298).</w:t>
      </w:r>
    </w:p>
    <w:p>
      <w:pPr>
        <w:pStyle w:val="Heading3"/>
      </w:pPr>
      <w:bookmarkStart w:id="7026" w:name="_Toc5722"/>
      <w:r>
        <w:t>5281- دیوان غافل مازندرانی‏</w:t>
      </w:r>
      <w:bookmarkEnd w:id="7026"/>
    </w:p>
    <w:p>
      <w:pPr>
        <w:pStyle w:val="BookText"/>
      </w:pPr>
      <w:r>
        <w:rPr>
          <w:rFonts w:ascii="IRNazanin" w:hAnsi="IRNazanin" w:eastAsia="IRNazanin" w:cs="IRNazanin"/>
          <w:lang w:bidi="fa-IR"/>
          <w:color w:val="111111"/>
          <w:sz w:val="28"/>
          <w:szCs w:val="28"/>
          <w:rtl/>
        </w:rPr>
        <w:t xml:space="preserve">و اسمه محمد إسماعیل الخطاط بالنسخ و النستعلیق و الثلث و الرقاع و الریحان و غیره. کان یکتب مثل خطوط الخطاطین القدماء فیظهر کأنه عتیق، و قد أکمل قرآنا ناقصا کان بخط یاقوت فلم یظهر ذلک للملک أکبر شاه فلقبه روشن رقم. أورد شعره فی (سرخوش- ص 72).</w:t>
      </w:r>
    </w:p>
    <w:p>
      <w:pPr>
        <w:pStyle w:val="Heading3"/>
      </w:pPr>
      <w:bookmarkStart w:id="7027" w:name="_Toc5723"/>
      <w:r>
        <w:t>5282- دیوان غافل مازندرانی‏</w:t>
      </w:r>
      <w:bookmarkEnd w:id="7027"/>
    </w:p>
    <w:p>
      <w:pPr>
        <w:pStyle w:val="BookText"/>
      </w:pPr>
      <w:r>
        <w:rPr>
          <w:rFonts w:ascii="IRNazanin" w:hAnsi="IRNazanin" w:eastAsia="IRNazanin" w:cs="IRNazanin"/>
          <w:lang w:bidi="fa-IR"/>
          <w:color w:val="111111"/>
          <w:sz w:val="28"/>
          <w:szCs w:val="28"/>
          <w:rtl/>
        </w:rPr>
        <w:t xml:space="preserve">المیرزا آقا جان أصله من مازندران، سکن طهران و طبع له هناک کسائیة فی 1302 علی الحجر فی 95 ص.</w:t>
      </w:r>
    </w:p>
    <w:p>
      <w:pPr>
        <w:pStyle w:val="Heading3"/>
      </w:pPr>
      <w:bookmarkStart w:id="7028" w:name="_Toc5724"/>
      <w:r>
        <w:t>5283- دیوان غافل مازندرانی‏</w:t>
      </w:r>
      <w:bookmarkEnd w:id="7028"/>
    </w:p>
    <w:p>
      <w:pPr>
        <w:pStyle w:val="BookText"/>
      </w:pPr>
      <w:r>
        <w:rPr>
          <w:rFonts w:ascii="IRNazanin" w:hAnsi="IRNazanin" w:eastAsia="IRNazanin" w:cs="IRNazanin"/>
          <w:lang w:bidi="fa-IR"/>
          <w:color w:val="111111"/>
          <w:sz w:val="28"/>
          <w:szCs w:val="28"/>
          <w:rtl/>
        </w:rPr>
        <w:t xml:space="preserve">لصادق طبرستانی طبع 1337 ش. فی 206 ص.</w:t>
      </w:r>
    </w:p>
    <w:p>
      <w:pPr>
        <w:pStyle w:val="BookText"/>
      </w:pPr>
      <w:r>
        <w:rPr>
          <w:rFonts w:ascii="IRNazanin" w:hAnsi="IRNazanin" w:eastAsia="IRNazanin" w:cs="IRNazanin"/>
          <w:lang w:bidi="fa-IR"/>
          <w:color w:val="111111"/>
          <w:sz w:val="28"/>
          <w:szCs w:val="28"/>
          <w:rtl/>
        </w:rPr>
        <w:t xml:space="preserve">بطهران.</w:t>
      </w:r>
    </w:p>
    <w:p>
      <w:pPr>
        <w:pStyle w:val="Heading3"/>
      </w:pPr>
      <w:bookmarkStart w:id="7029" w:name="_Toc5725"/>
      <w:r>
        <w:t>5284- دیوان غالب آذربایجانی‏</w:t>
      </w:r>
      <w:bookmarkEnd w:id="7029"/>
    </w:p>
    <w:p>
      <w:pPr>
        <w:pStyle w:val="BookText"/>
      </w:pPr>
      <w:r>
        <w:rPr>
          <w:rFonts w:ascii="IRNazanin" w:hAnsi="IRNazanin" w:eastAsia="IRNazanin" w:cs="IRNazanin"/>
          <w:lang w:bidi="fa-IR"/>
          <w:color w:val="111111"/>
          <w:sz w:val="28"/>
          <w:szCs w:val="28"/>
          <w:rtl/>
        </w:rPr>
        <w:t xml:space="preserve">اسمه أسد الله خان ترجمه فی (دجا- ص 285) نقلا عن معاصر الشاعر المیرزا رضا قلی خان هدایت فی کتابه ریاض العارفین- 469 و أورد بعض مثنویة و غزله.</w:t>
      </w:r>
    </w:p>
    <w:p>
      <w:pPr>
        <w:pStyle w:val="Heading3"/>
      </w:pPr>
      <w:bookmarkStart w:id="7030" w:name="_Toc5726"/>
      <w:r>
        <w:t>5285- دیوان غالب خوزستانی أو شعره‏</w:t>
      </w:r>
      <w:bookmarkEnd w:id="7030"/>
    </w:p>
    <w:p>
      <w:pPr>
        <w:pStyle w:val="BookText"/>
      </w:pPr>
      <w:r>
        <w:rPr>
          <w:rFonts w:ascii="IRNazanin" w:hAnsi="IRNazanin" w:eastAsia="IRNazanin" w:cs="IRNazanin"/>
          <w:lang w:bidi="fa-IR"/>
          <w:color w:val="111111"/>
          <w:sz w:val="28"/>
          <w:szCs w:val="28"/>
          <w:rtl/>
        </w:rPr>
        <w:t xml:space="preserve">هو عبد الله بن أبی حفص منجی بن عبد الله یقظان الإیدجی الخوزی معاصر محیی الدین العربی و معاشرة ترجمه الهدایة فی (مع 1: 372) و ذکر من تصانیفه العالیة طراز الذهب. و أورد بعض رباعیاته الفارسیة. أقول توفی ابن العربی فی 638.</w:t>
      </w:r>
    </w:p>
    <w:p>
      <w:pPr>
        <w:pStyle w:val="Heading3"/>
      </w:pPr>
      <w:bookmarkStart w:id="7031" w:name="_Toc5727"/>
      <w:r>
        <w:t>5286- دیوان غالب دهلوی‏</w:t>
      </w:r>
      <w:bookmarkEnd w:id="7031"/>
    </w:p>
    <w:p>
      <w:pPr>
        <w:pStyle w:val="BookText"/>
      </w:pPr>
      <w:r>
        <w:rPr>
          <w:rFonts w:ascii="IRNazanin" w:hAnsi="IRNazanin" w:eastAsia="IRNazanin" w:cs="IRNazanin"/>
          <w:lang w:bidi="fa-IR"/>
          <w:color w:val="111111"/>
          <w:sz w:val="28"/>
          <w:szCs w:val="28"/>
          <w:rtl/>
        </w:rPr>
        <w:t xml:space="preserve">و اسمه أسد الله بن میرزا عبد الله بیگ من أولاد الترکمان.</w:t>
      </w:r>
    </w:p>
    <w:p>
      <w:pPr>
        <w:pStyle w:val="BookText"/>
      </w:pPr>
      <w:r>
        <w:rPr>
          <w:rFonts w:ascii="IRNazanin" w:hAnsi="IRNazanin" w:eastAsia="IRNazanin" w:cs="IRNazanin"/>
          <w:lang w:bidi="fa-IR"/>
          <w:color w:val="111111"/>
          <w:sz w:val="28"/>
          <w:szCs w:val="28"/>
          <w:rtl/>
        </w:rPr>
        <w:t xml:space="preserve">ولد باکرة (أکبرآباد) فی 1112 و توفی بشاه جهان‏آباد فی 9 ذی القعدة 1163 و له عود هندی و أردوی معلی و هما مکاتیبه لأصدقائه، و تیغ تیز و قاطع برهان‏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bookmarkStart w:id="776" w:name="pg11704_122261"/>
    <w:bookmarkEnd w:id="776"/>
    <w:p>
      <w:pPr>
        <w:pStyle w:val="BookText"/>
      </w:pPr>
      <w:r>
        <w:rPr>
          <w:rFonts w:ascii="IRNazanin" w:hAnsi="IRNazanin" w:eastAsia="IRNazanin" w:cs="IRNazanin"/>
          <w:lang w:bidi="fa-IR"/>
          <w:color w:val="111111"/>
          <w:sz w:val="28"/>
          <w:szCs w:val="28"/>
          <w:rtl/>
        </w:rPr>
        <w:t xml:space="preserve">و نامه غالب و هی مناظرات و پنج آهنگ و هی منشئاته الفارسیة، و کلیات نظم فارسی و کلیات نثر فارسی و دیوان أردو و مهر نیمروز و دستنبو و الأخیران فی التواریخ و سبدچین منتخب من أشعاره الفارسیة. ترجمه فی (سرو- ص 220) و مقالات الشعراء- ص 458 و أخاه المیر منعم فی (ص 781 منه). طبع دواوینه فی الهند مکررا.</w:t>
      </w:r>
    </w:p>
    <w:p>
      <w:pPr>
        <w:pStyle w:val="Heading3"/>
      </w:pPr>
      <w:bookmarkStart w:id="7032" w:name="_Toc5728"/>
      <w:r>
        <w:t>5287- دیوان غالب طهرانی أو شعره‏</w:t>
      </w:r>
      <w:bookmarkEnd w:id="7032"/>
    </w:p>
    <w:p>
      <w:pPr>
        <w:pStyle w:val="BookText"/>
      </w:pPr>
      <w:r>
        <w:rPr>
          <w:rFonts w:ascii="IRNazanin" w:hAnsi="IRNazanin" w:eastAsia="IRNazanin" w:cs="IRNazanin"/>
          <w:lang w:bidi="fa-IR"/>
          <w:color w:val="111111"/>
          <w:sz w:val="28"/>
          <w:szCs w:val="28"/>
          <w:rtl/>
        </w:rPr>
        <w:t xml:space="preserve">رأیت النقل عنه فی بعض المجامیع. أقول:</w:t>
      </w:r>
    </w:p>
    <w:p>
      <w:pPr>
        <w:pStyle w:val="BookText"/>
      </w:pPr>
      <w:r>
        <w:rPr>
          <w:rFonts w:ascii="IRNazanin" w:hAnsi="IRNazanin" w:eastAsia="IRNazanin" w:cs="IRNazanin"/>
          <w:lang w:bidi="fa-IR"/>
          <w:color w:val="111111"/>
          <w:sz w:val="28"/>
          <w:szCs w:val="28"/>
          <w:rtl/>
        </w:rPr>
        <w:t xml:space="preserve">هو المسمی بأسد الله خان الآذربایجانی الذی کان نزیل طهران.</w:t>
      </w:r>
    </w:p>
    <w:p>
      <w:pPr>
        <w:pStyle w:val="Heading3"/>
      </w:pPr>
      <w:bookmarkStart w:id="7033" w:name="_Toc5729"/>
      <w:r>
        <w:t>5288- دیوان غالب الناهی‏</w:t>
      </w:r>
      <w:bookmarkEnd w:id="7033"/>
    </w:p>
    <w:p>
      <w:pPr>
        <w:pStyle w:val="BookText"/>
      </w:pPr>
      <w:r>
        <w:rPr>
          <w:rFonts w:ascii="IRNazanin" w:hAnsi="IRNazanin" w:eastAsia="IRNazanin" w:cs="IRNazanin"/>
          <w:lang w:bidi="fa-IR"/>
          <w:color w:val="111111"/>
          <w:sz w:val="28"/>
          <w:szCs w:val="28"/>
          <w:rtl/>
        </w:rPr>
        <w:t xml:space="preserve">الأدیب البصری الشاب المعاصر اسمه زفرات و آهات و نفثات کما یأتی فی حرف الزای (ص 40).</w:t>
      </w:r>
    </w:p>
    <w:p>
      <w:pPr>
        <w:pStyle w:val="Heading3"/>
      </w:pPr>
      <w:bookmarkStart w:id="7034" w:name="_Toc5730"/>
      <w:r>
        <w:t>5289- دیوان- غالب یزدی‏</w:t>
      </w:r>
      <w:bookmarkEnd w:id="7034"/>
    </w:p>
    <w:p>
      <w:pPr>
        <w:pStyle w:val="BookText"/>
      </w:pPr>
      <w:r>
        <w:rPr>
          <w:rFonts w:ascii="IRNazanin" w:hAnsi="IRNazanin" w:eastAsia="IRNazanin" w:cs="IRNazanin"/>
          <w:lang w:bidi="fa-IR"/>
          <w:color w:val="111111"/>
          <w:sz w:val="28"/>
          <w:szCs w:val="28"/>
          <w:rtl/>
        </w:rPr>
        <w:t xml:space="preserve">قال آیتی فی (تش یز: ص 312) إن اسمه ذکر فی أغلب التذاکر، لکن شعره غیر مشهور. ثم ذکر رباعیة له.</w:t>
      </w:r>
    </w:p>
    <w:p>
      <w:pPr>
        <w:pStyle w:val="Heading3"/>
      </w:pPr>
      <w:bookmarkStart w:id="7035" w:name="_Toc5731"/>
      <w:r>
        <w:t>5290- دیوان غبار أصفهانی أو شعره‏</w:t>
      </w:r>
      <w:bookmarkEnd w:id="7035"/>
    </w:p>
    <w:p>
      <w:pPr>
        <w:pStyle w:val="BookText"/>
      </w:pPr>
      <w:r>
        <w:rPr>
          <w:rFonts w:ascii="IRNazanin" w:hAnsi="IRNazanin" w:eastAsia="IRNazanin" w:cs="IRNazanin"/>
          <w:lang w:bidi="fa-IR"/>
          <w:color w:val="111111"/>
          <w:sz w:val="28"/>
          <w:szCs w:val="28"/>
          <w:rtl/>
        </w:rPr>
        <w:t xml:space="preserve">و اسمه المیرزا أبو تراب ابن التفات خان. کان وقایع‏نگار لگجرات فی عهد عالمگیر. ترجمه و أورد شعره فی (سرو- ص 145) و (گلشن- ص 298).</w:t>
      </w:r>
    </w:p>
    <w:p>
      <w:pPr>
        <w:pStyle w:val="Heading3"/>
      </w:pPr>
      <w:bookmarkStart w:id="7036" w:name="_Toc5732"/>
      <w:r>
        <w:t>5291- دیوان غبار همدانی‏</w:t>
      </w:r>
      <w:bookmarkEnd w:id="7036"/>
    </w:p>
    <w:p>
      <w:pPr>
        <w:pStyle w:val="BookText"/>
      </w:pPr>
      <w:r>
        <w:rPr>
          <w:rFonts w:ascii="IRNazanin" w:hAnsi="IRNazanin" w:eastAsia="IRNazanin" w:cs="IRNazanin"/>
          <w:lang w:bidi="fa-IR"/>
          <w:color w:val="111111"/>
          <w:sz w:val="28"/>
          <w:szCs w:val="28"/>
          <w:rtl/>
        </w:rPr>
        <w:t xml:space="preserve">للأدیب الشاعر آقا حسین بن رضا بن السید صادق الگلپایگانی، إمام الجمعة بهمدان بن آقا هاشم بن آقا مهدی بن إبراهیم الرضوی الذی سافر من قم إلی همدان و بقی أولاده هناک فولد حسین غبار بهمدان فی 1270 و مات بها 1322 طبع دیوانه فی (62 ص) ضمن دانش‏نامه لمحمد باقر ألفت بأصفهان فی 1342 و مستقلا فی 1325 فی 110 ص.</w:t>
      </w:r>
    </w:p>
    <w:p>
      <w:pPr>
        <w:pStyle w:val="Heading3"/>
      </w:pPr>
      <w:bookmarkStart w:id="7037" w:name="_Toc5733"/>
      <w:r>
        <w:t>5292- دیوان غبار رازی‏</w:t>
      </w:r>
      <w:bookmarkEnd w:id="7037"/>
    </w:p>
    <w:p>
      <w:pPr>
        <w:pStyle w:val="BookText"/>
      </w:pPr>
      <w:r>
        <w:rPr>
          <w:rFonts w:ascii="IRNazanin" w:hAnsi="IRNazanin" w:eastAsia="IRNazanin" w:cs="IRNazanin"/>
          <w:lang w:bidi="fa-IR"/>
          <w:color w:val="111111"/>
          <w:sz w:val="28"/>
          <w:szCs w:val="28"/>
          <w:rtl/>
        </w:rPr>
        <w:t xml:space="preserve">للمیرزا نبی البصیر العطار المتوفی بمشهد خراسان 1272 ترجمه فی (مع: ج 2 ص 368) و أورد قرب مائة و خمسین بیتا من غزلیاته و قصائده. و ترجمه أیضا فی (المآثر- ص 206).</w:t>
      </w:r>
    </w:p>
    <w:p>
      <w:pPr>
        <w:pStyle w:val="Heading3"/>
      </w:pPr>
      <w:bookmarkStart w:id="7038" w:name="_Toc5734"/>
      <w:r>
        <w:t>5293- دیوان غباری أردستانی أو شعره‏</w:t>
      </w:r>
      <w:bookmarkEnd w:id="7038"/>
    </w:p>
    <w:p>
      <w:pPr>
        <w:pStyle w:val="BookText"/>
      </w:pPr>
      <w:r>
        <w:rPr>
          <w:rFonts w:ascii="IRNazanin" w:hAnsi="IRNazanin" w:eastAsia="IRNazanin" w:cs="IRNazanin"/>
          <w:lang w:bidi="fa-IR"/>
          <w:color w:val="111111"/>
          <w:sz w:val="28"/>
          <w:szCs w:val="28"/>
          <w:rtl/>
        </w:rPr>
        <w:t xml:space="preserve">و اسمه قاسم بیک. ترجمه و أورد شعره فی (حسینی ص 228) و (گلشن- ص 299).</w:t>
      </w:r>
    </w:p>
    <w:p>
      <w:pPr>
        <w:pStyle w:val="Heading3"/>
      </w:pPr>
      <w:bookmarkStart w:id="7039" w:name="_Toc5735"/>
      <w:r>
        <w:t>5294- دیوان غباری الأسفراینی أو شعره‏</w:t>
      </w:r>
      <w:bookmarkEnd w:id="7039"/>
    </w:p>
    <w:p>
      <w:pPr>
        <w:pStyle w:val="BookText"/>
      </w:pPr>
      <w:r>
        <w:rPr>
          <w:rFonts w:ascii="IRNazanin" w:hAnsi="IRNazanin" w:eastAsia="IRNazanin" w:cs="IRNazanin"/>
          <w:lang w:bidi="fa-IR"/>
          <w:color w:val="111111"/>
          <w:sz w:val="28"/>
          <w:szCs w:val="28"/>
          <w:rtl/>
        </w:rPr>
        <w:t xml:space="preserve">کان نزیل أسترآباد. ترجمه فی (مجن 3 ص 253 و 77) و أورد شعره.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bookmarkStart w:id="777" w:name="pg11704_122262"/>
    <w:bookmarkEnd w:id="777"/>
    <w:p>
      <w:pPr>
        <w:pStyle w:val="Heading3"/>
      </w:pPr>
      <w:bookmarkStart w:id="7040" w:name="_Toc5736"/>
      <w:r>
        <w:t>5295- دیوان غباری گیلانی أو شعره‏</w:t>
      </w:r>
      <w:bookmarkEnd w:id="7040"/>
    </w:p>
    <w:p>
      <w:pPr>
        <w:pStyle w:val="BookText"/>
      </w:pPr>
      <w:r>
        <w:rPr>
          <w:rFonts w:ascii="IRNazanin" w:hAnsi="IRNazanin" w:eastAsia="IRNazanin" w:cs="IRNazanin"/>
          <w:lang w:bidi="fa-IR"/>
          <w:color w:val="111111"/>
          <w:sz w:val="28"/>
          <w:szCs w:val="28"/>
          <w:rtl/>
        </w:rPr>
        <w:t xml:space="preserve">ترجمه الصادقی فی (خص 8- ص 310) و أورد شعره.</w:t>
      </w:r>
    </w:p>
    <w:p>
      <w:pPr>
        <w:pStyle w:val="Heading3"/>
      </w:pPr>
      <w:bookmarkStart w:id="7041" w:name="_Toc5737"/>
      <w:r>
        <w:t>5296- دیوان غباری هروی أو شعره‏</w:t>
      </w:r>
      <w:bookmarkEnd w:id="7041"/>
    </w:p>
    <w:p>
      <w:pPr>
        <w:pStyle w:val="BookText"/>
      </w:pPr>
      <w:r>
        <w:rPr>
          <w:rFonts w:ascii="IRNazanin" w:hAnsi="IRNazanin" w:eastAsia="IRNazanin" w:cs="IRNazanin"/>
          <w:lang w:bidi="fa-IR"/>
          <w:color w:val="111111"/>
          <w:sz w:val="28"/>
          <w:szCs w:val="28"/>
          <w:rtl/>
        </w:rPr>
        <w:t xml:space="preserve">و اسمه محمد أمین. ترجمه الصادقی فی (خص 8 ص 263) و أورد شعره.</w:t>
      </w:r>
    </w:p>
    <w:p>
      <w:pPr>
        <w:pStyle w:val="Heading3"/>
      </w:pPr>
      <w:bookmarkStart w:id="7042" w:name="_Toc5738"/>
      <w:r>
        <w:t>5297- دیوان غباری یزدی أو شعره‏</w:t>
      </w:r>
      <w:bookmarkEnd w:id="7042"/>
    </w:p>
    <w:p>
      <w:pPr>
        <w:pStyle w:val="BookText"/>
      </w:pPr>
      <w:r>
        <w:rPr>
          <w:rFonts w:ascii="IRNazanin" w:hAnsi="IRNazanin" w:eastAsia="IRNazanin" w:cs="IRNazanin"/>
          <w:lang w:bidi="fa-IR"/>
          <w:color w:val="111111"/>
          <w:sz w:val="28"/>
          <w:szCs w:val="28"/>
          <w:rtl/>
        </w:rPr>
        <w:t xml:space="preserve">أیضا ترجمه الصادقی فی (خص 8- ص 297) و أورد شعره.</w:t>
      </w:r>
    </w:p>
    <w:p>
      <w:pPr>
        <w:pStyle w:val="Heading3"/>
      </w:pPr>
      <w:bookmarkStart w:id="7043" w:name="_Toc5739"/>
      <w:r>
        <w:t>5298- دیوان الغراوی‏</w:t>
      </w:r>
      <w:bookmarkEnd w:id="7043"/>
    </w:p>
    <w:p>
      <w:pPr>
        <w:pStyle w:val="BookText"/>
      </w:pPr>
      <w:r>
        <w:rPr>
          <w:rFonts w:ascii="IRNazanin" w:hAnsi="IRNazanin" w:eastAsia="IRNazanin" w:cs="IRNazanin"/>
          <w:lang w:bidi="fa-IR"/>
          <w:color w:val="111111"/>
          <w:sz w:val="28"/>
          <w:szCs w:val="28"/>
          <w:rtl/>
        </w:rPr>
        <w:t xml:space="preserve">و هو محمد رضا. له زهرة العوالم فی نظم المعالم.</w:t>
      </w:r>
    </w:p>
    <w:p>
      <w:pPr>
        <w:pStyle w:val="Heading3"/>
      </w:pPr>
      <w:bookmarkStart w:id="7044" w:name="_Toc5740"/>
      <w:r>
        <w:t>5299- دیوان غرای شیرازی‏</w:t>
      </w:r>
      <w:bookmarkEnd w:id="7044"/>
    </w:p>
    <w:p>
      <w:pPr>
        <w:pStyle w:val="BookText"/>
      </w:pPr>
      <w:r>
        <w:rPr>
          <w:rFonts w:ascii="IRNazanin" w:hAnsi="IRNazanin" w:eastAsia="IRNazanin" w:cs="IRNazanin"/>
          <w:lang w:bidi="fa-IR"/>
          <w:color w:val="111111"/>
          <w:sz w:val="28"/>
          <w:szCs w:val="28"/>
          <w:rtl/>
        </w:rPr>
        <w:t xml:space="preserve">للسید أسد الله. کان هجاء هزالا منقدا فکاهیا، مات 1290. طبع دیوانه بمبئی فی 96 ص. علی الحجر بقطع صغیر، و لکن ناصر الدین شاه منع انتشاره فی إیران، و انتشر تدریجا. قال فی (عم- ص 562) إنه دفن فی وادی السلام بشیراز و کان قد أخبر بوفاته قبل موته. کذا فی الریحانة.</w:t>
      </w:r>
    </w:p>
    <w:p>
      <w:pPr>
        <w:pStyle w:val="Heading3"/>
      </w:pPr>
      <w:bookmarkStart w:id="7045" w:name="_Toc5741"/>
      <w:r>
        <w:t>5300- دیوان غروری شیرازی‏</w:t>
      </w:r>
      <w:bookmarkEnd w:id="7045"/>
    </w:p>
    <w:p>
      <w:pPr>
        <w:pStyle w:val="BookText"/>
      </w:pPr>
      <w:r>
        <w:rPr>
          <w:rFonts w:ascii="IRNazanin" w:hAnsi="IRNazanin" w:eastAsia="IRNazanin" w:cs="IRNazanin"/>
          <w:lang w:bidi="fa-IR"/>
          <w:color w:val="111111"/>
          <w:sz w:val="28"/>
          <w:szCs w:val="28"/>
          <w:rtl/>
        </w:rPr>
        <w:t xml:space="preserve">نزیل أصفهان و المتوفی بها فی حدود 1051 یعنی قریب وفاه الشاه صفی، کما أرخه بها و ترجمه المستفید من حضرته محمد طاهر النصرآبادی فی (نر 9- ص 290) و أورد بعض مثنویة علی بحر تحفه العراقین و بعض غزله و رباعیاته و ترجمه فی (خز- ص 365) نقلا عن النصرآبادی، لکن المنقول عنه لیس موجودا فیما طبع من تذکره النصرآبادی و لعله کان فی المخطوط منه.</w:t>
      </w:r>
    </w:p>
    <w:p>
      <w:pPr>
        <w:pStyle w:val="Heading3"/>
      </w:pPr>
      <w:bookmarkStart w:id="7046" w:name="_Toc5742"/>
      <w:r>
        <w:t>5301- دیوان غروری کاشانی‏</w:t>
      </w:r>
      <w:bookmarkEnd w:id="7046"/>
    </w:p>
    <w:p>
      <w:pPr>
        <w:pStyle w:val="BookText"/>
      </w:pPr>
      <w:r>
        <w:rPr>
          <w:rFonts w:ascii="IRNazanin" w:hAnsi="IRNazanin" w:eastAsia="IRNazanin" w:cs="IRNazanin"/>
          <w:lang w:bidi="fa-IR"/>
          <w:color w:val="111111"/>
          <w:sz w:val="28"/>
          <w:szCs w:val="28"/>
          <w:rtl/>
        </w:rPr>
        <w:t xml:space="preserve">ولد بکاشان و سافر فی شبابه إلی شیراز و لارستان و مدح حاکم لار قبل تسلط الشاه عباس علیه، و ذلک بقصیدة من قصائد أنوری الحکیم الشاعر، ادعی أنه نظمه، فشاع قصته فهاجر إلی الهند، کذا فی میخانه- ص 450 و له مثنوی ساقی‏نامه و ترجمه فی (تش- ص 235) و (نر 9 و 13- ص 291 و 477) و (حسینی ص 228). و قال محشی میخانه، إن صاحب مخزن الغرائب أتی برجلین شاعرین باسم غروری کاشانی و لعل أحدهما غروری شیرازی المذکور فی (خز- ص 365)</w:t>
      </w:r>
    </w:p>
    <w:p>
      <w:pPr>
        <w:pStyle w:val="Heading3"/>
      </w:pPr>
      <w:bookmarkStart w:id="7047" w:name="_Toc5743"/>
      <w:r>
        <w:t>5302- دیوان الغری‏</w:t>
      </w:r>
      <w:bookmarkEnd w:id="7047"/>
    </w:p>
    <w:p>
      <w:pPr>
        <w:pStyle w:val="BookText"/>
      </w:pPr>
      <w:r>
        <w:rPr>
          <w:rFonts w:ascii="IRNazanin" w:hAnsi="IRNazanin" w:eastAsia="IRNazanin" w:cs="IRNazanin"/>
          <w:lang w:bidi="fa-IR"/>
          <w:color w:val="111111"/>
          <w:sz w:val="28"/>
          <w:szCs w:val="28"/>
          <w:rtl/>
        </w:rPr>
        <w:t xml:space="preserve">فی مدائح المعصومین و المناجاة و الدعاء بظهور الحجة و استنهاضه فیه تمام المائتین من القصائد العربیة العامیة من نظم المیرزا محمد مهدی بن المیرزا أسد الله الصائغ الأصفهانی نزیل النجف و عمر فیها قرب تسعین سنة و اختل عقله‏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bookmarkStart w:id="778" w:name="pg11704_122263"/>
    <w:bookmarkEnd w:id="778"/>
    <w:p>
      <w:pPr>
        <w:pStyle w:val="BookText"/>
      </w:pPr>
      <w:r>
        <w:rPr>
          <w:rFonts w:ascii="IRNazanin" w:hAnsi="IRNazanin" w:eastAsia="IRNazanin" w:cs="IRNazanin"/>
          <w:lang w:bidi="fa-IR"/>
          <w:color w:val="111111"/>
          <w:sz w:val="28"/>
          <w:szCs w:val="28"/>
          <w:rtl/>
        </w:rPr>
        <w:t xml:space="preserve">أخیرا فأحرق نفسه بالنفط فی وادی السلام فی (28- ع 1- 1365) و رأیت النسخة عنده” میرزا محمد مهدی” بخطه، و انتقلت بالإرث إلی بنته زوجة الشیخ حسین القاری السامرائی. و أما دیوانه الفارسی فیقرب من سبعة آلاف بیت أیضا و هما بخط الناظم کانا عند صهره علی ابنته الشیخ حسین القاری المذکور ابن الأستاد حسن الیزدی السامرائی المتوفی بها أوائل ذی القعدة 1371 و کان تخلصه فی شعره الفارسی منظور.</w:t>
      </w:r>
    </w:p>
    <w:p>
      <w:pPr>
        <w:pStyle w:val="Heading3"/>
      </w:pPr>
      <w:bookmarkStart w:id="7048" w:name="_Toc5744"/>
      <w:r>
        <w:t>5303- دیوان غریب دنبلی‏</w:t>
      </w:r>
      <w:bookmarkEnd w:id="7048"/>
    </w:p>
    <w:p>
      <w:pPr>
        <w:pStyle w:val="BookText"/>
      </w:pPr>
      <w:r>
        <w:rPr>
          <w:rFonts w:ascii="IRNazanin" w:hAnsi="IRNazanin" w:eastAsia="IRNazanin" w:cs="IRNazanin"/>
          <w:lang w:bidi="fa-IR"/>
          <w:color w:val="111111"/>
          <w:sz w:val="28"/>
          <w:szCs w:val="28"/>
          <w:rtl/>
        </w:rPr>
        <w:t xml:space="preserve">من شعراء القرن الثالث عشر اسمه علی بن محمد بن عبد الرزاق الدنبلی نقل غزلا عن دیوانه فی (دجا- ص 285) قال إنه کان من تلامیذ دار الفنون بطهران و بعث مع أمیر نظام إلی پاریس لتکمیل علومه و بعد التکمیل عاد إلی طهران و اشتغل بالعملیات و ألف ترجمه جنگ روس و فرانسه عن الإفرنسیة بالفارسیة قال و عندی نسخه منه. أقول: و قد فاتنا أن نذکره بعنوان الترجمة أو بعنوان جنگ روس و فرانسه فی محلها.</w:t>
      </w:r>
    </w:p>
    <w:p>
      <w:pPr>
        <w:pStyle w:val="Heading3"/>
      </w:pPr>
      <w:bookmarkStart w:id="7049" w:name="_Toc5745"/>
      <w:r>
        <w:t>دیوان غریب عظیم‏آبادی‏</w:t>
      </w:r>
      <w:bookmarkEnd w:id="7049"/>
    </w:p>
    <w:p>
      <w:pPr>
        <w:pStyle w:val="BookText"/>
      </w:pPr>
      <w:r>
        <w:rPr>
          <w:rFonts w:ascii="IRNazanin" w:hAnsi="IRNazanin" w:eastAsia="IRNazanin" w:cs="IRNazanin"/>
          <w:lang w:bidi="fa-IR"/>
          <w:color w:val="111111"/>
          <w:sz w:val="28"/>
          <w:szCs w:val="28"/>
          <w:rtl/>
        </w:rPr>
        <w:t xml:space="preserve">مر بعنوان دیوان ألفت عظیم‏آبادی.</w:t>
      </w:r>
    </w:p>
    <w:p>
      <w:pPr>
        <w:pStyle w:val="Heading3"/>
      </w:pPr>
      <w:bookmarkStart w:id="7050" w:name="_Toc5746"/>
      <w:r>
        <w:t>5304- دیوان غریبی أسترآبادی‏</w:t>
      </w:r>
      <w:bookmarkEnd w:id="7050"/>
    </w:p>
    <w:p>
      <w:pPr>
        <w:pStyle w:val="BookText"/>
      </w:pPr>
      <w:r>
        <w:rPr>
          <w:rFonts w:ascii="IRNazanin" w:hAnsi="IRNazanin" w:eastAsia="IRNazanin" w:cs="IRNazanin"/>
          <w:lang w:bidi="fa-IR"/>
          <w:color w:val="111111"/>
          <w:sz w:val="28"/>
          <w:szCs w:val="28"/>
          <w:rtl/>
        </w:rPr>
        <w:t xml:space="preserve">معاصر سام میرزا ترجمه فی (تس- ص 169) و أورد مطلع غزله.</w:t>
      </w:r>
    </w:p>
    <w:p>
      <w:pPr>
        <w:pStyle w:val="Heading3"/>
      </w:pPr>
      <w:bookmarkStart w:id="7051" w:name="_Toc5747"/>
      <w:r>
        <w:t>5305- دیوان غریبی خراسانی‏</w:t>
      </w:r>
      <w:bookmarkEnd w:id="7051"/>
    </w:p>
    <w:p>
      <w:pPr>
        <w:pStyle w:val="BookText"/>
      </w:pPr>
      <w:r>
        <w:rPr>
          <w:rFonts w:ascii="IRNazanin" w:hAnsi="IRNazanin" w:eastAsia="IRNazanin" w:cs="IRNazanin"/>
          <w:lang w:bidi="fa-IR"/>
          <w:color w:val="111111"/>
          <w:sz w:val="28"/>
          <w:szCs w:val="28"/>
          <w:rtl/>
        </w:rPr>
        <w:t xml:space="preserve">الشاعر الإسماعیلی. نشا بخراسان و سافر إلی الهند و تقرب عند همایون پادشاه. ترجمه و أورد شعره فی (گلشن- ص 299) توجد دیوانه بطهران عند السید محمد تقی المدرس الرضوی، و فیها أشعار نظمها فی 960 و فیها قصائد خاطب بها بلاد قهستان و تلهف لها و بعضها نظمها فی غوریان.</w:t>
      </w:r>
    </w:p>
    <w:p>
      <w:pPr>
        <w:pStyle w:val="Heading3"/>
      </w:pPr>
      <w:bookmarkStart w:id="7052" w:name="_Toc5748"/>
      <w:r>
        <w:t>5306- دیوان غریبی کابلی أو شعره‏</w:t>
      </w:r>
      <w:bookmarkEnd w:id="7052"/>
    </w:p>
    <w:p>
      <w:pPr>
        <w:pStyle w:val="BookText"/>
      </w:pPr>
      <w:r>
        <w:rPr>
          <w:rFonts w:ascii="IRNazanin" w:hAnsi="IRNazanin" w:eastAsia="IRNazanin" w:cs="IRNazanin"/>
          <w:lang w:bidi="fa-IR"/>
          <w:color w:val="111111"/>
          <w:sz w:val="28"/>
          <w:szCs w:val="28"/>
          <w:rtl/>
        </w:rPr>
        <w:t xml:space="preserve">و اسمه المیر محمد علی الماهر فی الموسیقی الخطاط و هو أخ المیر سعید الکابلی المذکور فی ص 452 الذی هو خال الأمیر علی شیر کما فی ترجمته، ترجمه فی مجالس النفائس بعد ترجمه أخیه و أورد شعره الفارسی و الترکی فی (مجن 2 ص 53 و ص 227).</w:t>
      </w:r>
    </w:p>
    <w:p>
      <w:pPr>
        <w:pStyle w:val="Heading3"/>
      </w:pPr>
      <w:bookmarkStart w:id="7053" w:name="_Toc5749"/>
      <w:r>
        <w:t>5307- دیوان غریب کاشی أو شعره‏</w:t>
      </w:r>
      <w:bookmarkEnd w:id="7053"/>
    </w:p>
    <w:p>
      <w:pPr>
        <w:pStyle w:val="BookText"/>
      </w:pPr>
      <w:r>
        <w:rPr>
          <w:rFonts w:ascii="IRNazanin" w:hAnsi="IRNazanin" w:eastAsia="IRNazanin" w:cs="IRNazanin"/>
          <w:lang w:bidi="fa-IR"/>
          <w:color w:val="111111"/>
          <w:sz w:val="28"/>
          <w:szCs w:val="28"/>
          <w:rtl/>
        </w:rPr>
        <w:t xml:space="preserve">ترجمه الصادقی فی (خص- ص 227) و قال إنه کان ملک الشعراء للسلطان خان أحمد پادشاه و أورد شعره الذی تتبع فیه شعر المولی لسانی.</w:t>
      </w:r>
    </w:p>
    <w:p>
      <w:pPr>
        <w:pStyle w:val="Heading3"/>
      </w:pPr>
      <w:bookmarkStart w:id="7054" w:name="_Toc5750"/>
      <w:r>
        <w:t>5308- دیوان غریبی هروی أو شعره‏</w:t>
      </w:r>
      <w:bookmarkEnd w:id="7054"/>
    </w:p>
    <w:p>
      <w:pPr>
        <w:pStyle w:val="BookText"/>
      </w:pPr>
      <w:r>
        <w:rPr>
          <w:rFonts w:ascii="IRNazanin" w:hAnsi="IRNazanin" w:eastAsia="IRNazanin" w:cs="IRNazanin"/>
          <w:lang w:bidi="fa-IR"/>
          <w:color w:val="111111"/>
          <w:sz w:val="28"/>
          <w:szCs w:val="28"/>
          <w:rtl/>
        </w:rPr>
        <w:t xml:space="preserve">و اسمه السید محمد الهروی. و کان الغریبی‏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bookmarkStart w:id="779" w:name="pg11704_122264"/>
    <w:bookmarkEnd w:id="779"/>
    <w:p>
      <w:pPr>
        <w:pStyle w:val="BookText"/>
      </w:pPr>
      <w:r>
        <w:rPr>
          <w:rFonts w:ascii="IRNazanin" w:hAnsi="IRNazanin" w:eastAsia="IRNazanin" w:cs="IRNazanin"/>
          <w:lang w:bidi="fa-IR"/>
          <w:color w:val="111111"/>
          <w:sz w:val="28"/>
          <w:szCs w:val="28"/>
          <w:rtl/>
        </w:rPr>
        <w:t xml:space="preserve">تخلصه فی الأوائل و بعد اتصاله بالسلطان حسین میرزا بایقرا جعل تخلصه مجلسی رعایة لتخلص شاعره شاه غریب میرزا الآتی بعد هذا.</w:t>
      </w:r>
    </w:p>
    <w:p>
      <w:pPr>
        <w:pStyle w:val="Heading3"/>
      </w:pPr>
      <w:bookmarkStart w:id="7055" w:name="_Toc5751"/>
      <w:r>
        <w:t>5309- دیوان غریبی هروی‏</w:t>
      </w:r>
      <w:bookmarkEnd w:id="7055"/>
    </w:p>
    <w:p>
      <w:pPr>
        <w:pStyle w:val="BookText"/>
      </w:pPr>
      <w:r>
        <w:rPr>
          <w:rFonts w:ascii="IRNazanin" w:hAnsi="IRNazanin" w:eastAsia="IRNazanin" w:cs="IRNazanin"/>
          <w:lang w:bidi="fa-IR"/>
          <w:color w:val="111111"/>
          <w:sz w:val="28"/>
          <w:szCs w:val="28"/>
          <w:rtl/>
        </w:rPr>
        <w:t xml:space="preserve">و اسمه شاه غریب میرزا من أولاد السلطان حسین میرزا بایقرا المتوفی 911، و توفی غریبی شابا. ترجمه سام میرزا فی (تس- ص 14) و فخری الهروی فی (لط- ص 28 و مجتس 6 ص 151) و نقل عن دیوانه المدون و کذا فی (گلشن- ص 299) و (حسینی 167) و قد أجبر السلطان حسین بایقرا السید محمد الهروی الشاعر المتخلص أولا غریبی بأن یغیر تخلصه إلی مجلسی رعایة لتخلص شاه غریب میرزا هذا</w:t>
      </w:r>
    </w:p>
    <w:p>
      <w:pPr>
        <w:pStyle w:val="Heading3"/>
      </w:pPr>
      <w:bookmarkStart w:id="7056" w:name="_Toc5752"/>
      <w:r>
        <w:t>5310- دیوان غریق زنجانی‏</w:t>
      </w:r>
      <w:bookmarkEnd w:id="7056"/>
    </w:p>
    <w:p>
      <w:pPr>
        <w:pStyle w:val="BookText"/>
      </w:pPr>
      <w:r>
        <w:rPr>
          <w:rFonts w:ascii="IRNazanin" w:hAnsi="IRNazanin" w:eastAsia="IRNazanin" w:cs="IRNazanin"/>
          <w:lang w:bidi="fa-IR"/>
          <w:color w:val="111111"/>
          <w:sz w:val="28"/>
          <w:szCs w:val="28"/>
          <w:rtl/>
        </w:rPr>
        <w:t xml:space="preserve">فارسی و ترکی فی المصائب. لحسن غریق طبعه بطهران مؤسسة زعفری فی 1333 ش. فی 166 ص.</w:t>
      </w:r>
    </w:p>
    <w:p>
      <w:pPr>
        <w:pStyle w:val="Heading3"/>
      </w:pPr>
      <w:bookmarkStart w:id="7057" w:name="_Toc5753"/>
      <w:r>
        <w:t>5311- دیوان غزالی ابریشمی أو شعره‏</w:t>
      </w:r>
      <w:bookmarkEnd w:id="7057"/>
    </w:p>
    <w:p>
      <w:pPr>
        <w:pStyle w:val="BookText"/>
      </w:pPr>
      <w:r>
        <w:rPr>
          <w:rFonts w:ascii="IRNazanin" w:hAnsi="IRNazanin" w:eastAsia="IRNazanin" w:cs="IRNazanin"/>
          <w:lang w:bidi="fa-IR"/>
          <w:color w:val="111111"/>
          <w:sz w:val="28"/>
          <w:szCs w:val="28"/>
          <w:rtl/>
        </w:rPr>
        <w:t xml:space="preserve">و هو الشاعر الفارسی بیاع الإبریسم و الملقب عند الشعراء بمیمون (القرد) لقبح منظره. ترجمه سام میرزا فی (تس ص 139) و أورد شعره و ترجمه فی (دجا ص 286) بعنوان التبریزی ناقلا له عن تحفه سامی مع أنه لیس فی المطبوع من التحفة قید التبریزی، نعم غزالی التبریزی النحاس ترجمه الصادقی و أورد له شعرا یوافق مصراعه الثانی لشعر الإبریسمی کما یأتی.</w:t>
      </w:r>
    </w:p>
    <w:p>
      <w:pPr>
        <w:pStyle w:val="Heading3"/>
      </w:pPr>
      <w:bookmarkStart w:id="7058" w:name="_Toc5754"/>
      <w:r>
        <w:t>5312- دیوان غزالی أبهری أو شعره‏</w:t>
      </w:r>
      <w:bookmarkEnd w:id="7058"/>
    </w:p>
    <w:p>
      <w:pPr>
        <w:pStyle w:val="BookText"/>
      </w:pPr>
      <w:r>
        <w:rPr>
          <w:rFonts w:ascii="IRNazanin" w:hAnsi="IRNazanin" w:eastAsia="IRNazanin" w:cs="IRNazanin"/>
          <w:lang w:bidi="fa-IR"/>
          <w:color w:val="111111"/>
          <w:sz w:val="28"/>
          <w:szCs w:val="28"/>
          <w:rtl/>
        </w:rPr>
        <w:t xml:space="preserve">کان طباخا. ترجمه سام میرزا أیضا فی (تس ص 143) و أورد مطلع غزله.</w:t>
      </w:r>
    </w:p>
    <w:p>
      <w:pPr>
        <w:pStyle w:val="Heading3"/>
      </w:pPr>
      <w:bookmarkStart w:id="7059" w:name="_Toc5755"/>
      <w:r>
        <w:t>5313- دیوان غزالی تبریزی أو شعره‏</w:t>
      </w:r>
      <w:bookmarkEnd w:id="7059"/>
    </w:p>
    <w:p>
      <w:pPr>
        <w:pStyle w:val="BookText"/>
      </w:pPr>
      <w:r>
        <w:rPr>
          <w:rFonts w:ascii="IRNazanin" w:hAnsi="IRNazanin" w:eastAsia="IRNazanin" w:cs="IRNazanin"/>
          <w:lang w:bidi="fa-IR"/>
          <w:color w:val="111111"/>
          <w:sz w:val="28"/>
          <w:szCs w:val="28"/>
          <w:rtl/>
        </w:rPr>
        <w:t xml:space="preserve">ترجمه معاصره الصادقی فی (خص- ص 258) قال و یصرف أوقاته فی النحاس و مطلع غزله:</w:t>
      </w:r>
    </w:p>
    <w:p>
      <w:pPr>
        <w:pStyle w:val="BookText"/>
      </w:pPr>
      <w:r>
        <w:rPr>
          <w:rFonts w:ascii="IRNazanin" w:hAnsi="IRNazanin" w:eastAsia="IRNazanin" w:cs="IRNazanin"/>
          <w:lang w:bidi="fa-IR"/>
          <w:color w:val="111111"/>
          <w:sz w:val="28"/>
          <w:szCs w:val="28"/>
          <w:rtl/>
        </w:rPr>
        <w:t xml:space="preserve">سیل اشکم همچه طفلان می‏کند میل کنار</w:t>
      </w:r>
    </w:p>
    <w:p>
      <w:pPr>
        <w:pStyle w:val="BookText"/>
      </w:pPr>
      <w:r>
        <w:rPr>
          <w:rFonts w:ascii="IRNazanin" w:hAnsi="IRNazanin" w:eastAsia="IRNazanin" w:cs="IRNazanin"/>
          <w:lang w:bidi="fa-IR"/>
          <w:color w:val="111111"/>
          <w:sz w:val="28"/>
          <w:szCs w:val="28"/>
          <w:rtl/>
        </w:rPr>
        <w:t xml:space="preserve">بر کنارم تا نمی‏آید نمی‏گیرد قرار</w:t>
      </w:r>
    </w:p>
    <w:p>
      <w:pPr>
        <w:pStyle w:val="BookText"/>
      </w:pPr>
      <w:r>
        <w:rPr>
          <w:rFonts w:ascii="IRNazanin" w:hAnsi="IRNazanin" w:eastAsia="IRNazanin" w:cs="IRNazanin"/>
          <w:lang w:bidi="fa-IR"/>
          <w:color w:val="111111"/>
          <w:sz w:val="28"/>
          <w:szCs w:val="28"/>
          <w:rtl/>
        </w:rPr>
        <w:t xml:space="preserve">طبق المصراع الثانی للأبریشمی و المصراع الأول له هکذا [</w:t>
      </w:r>
    </w:p>
    <w:p>
      <w:pPr>
        <w:pStyle w:val="BookText"/>
      </w:pPr>
      <w:r>
        <w:rPr>
          <w:rFonts w:ascii="IRNazanin" w:hAnsi="IRNazanin" w:eastAsia="IRNazanin" w:cs="IRNazanin"/>
          <w:lang w:bidi="fa-IR"/>
          <w:color w:val="111111"/>
          <w:sz w:val="28"/>
          <w:szCs w:val="28"/>
          <w:rtl/>
        </w:rPr>
        <w:t xml:space="preserve">طفل أشک از بی‏قراری می‏کند میل کنار</w:t>
      </w:r>
    </w:p>
    <w:p>
      <w:pPr>
        <w:pStyle w:val="Heading3"/>
      </w:pPr>
      <w:bookmarkStart w:id="7060" w:name="_Toc5756"/>
      <w:r>
        <w:t>. دیوان غزالی چنبک‏</w:t>
      </w:r>
      <w:bookmarkEnd w:id="7060"/>
    </w:p>
    <w:p>
      <w:pPr>
        <w:pStyle w:val="BookText"/>
      </w:pPr>
      <w:r>
        <w:rPr>
          <w:rFonts w:ascii="IRNazanin" w:hAnsi="IRNazanin" w:eastAsia="IRNazanin" w:cs="IRNazanin"/>
          <w:lang w:bidi="fa-IR"/>
          <w:color w:val="111111"/>
          <w:sz w:val="28"/>
          <w:szCs w:val="28"/>
          <w:rtl/>
        </w:rPr>
        <w:t xml:space="preserve">أصله من المشهد و لاشتراک تخلصه مع المولی غزالی المشهدی قیدوه بچنبک کما ترجمه فی (خص- 282) و أورد غزله الذی استحسنه الشعراء المعاصرون له. و یأتی بعنوان غزالی الهروی کما فی تحفه سامی.</w:t>
      </w:r>
    </w:p>
    <w:p>
      <w:pPr>
        <w:pStyle w:val="Heading3"/>
      </w:pPr>
      <w:bookmarkStart w:id="7061" w:name="_Toc5757"/>
      <w:r>
        <w:t>5314- دیوان غزالی طوسی أو شعره‏</w:t>
      </w:r>
      <w:bookmarkEnd w:id="7061"/>
    </w:p>
    <w:p>
      <w:pPr>
        <w:pStyle w:val="BookText"/>
      </w:pPr>
      <w:r>
        <w:rPr>
          <w:rFonts w:ascii="IRNazanin" w:hAnsi="IRNazanin" w:eastAsia="IRNazanin" w:cs="IRNazanin"/>
          <w:lang w:bidi="fa-IR"/>
          <w:color w:val="111111"/>
          <w:sz w:val="28"/>
          <w:szCs w:val="28"/>
          <w:rtl/>
        </w:rPr>
        <w:t xml:space="preserve">و هو مجد الدین أحمد بن محمد بن محمد
</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bookmarkStart w:id="780" w:name="pg11704_122265"/>
    <w:bookmarkEnd w:id="780"/>
    <w:p>
      <w:pPr>
        <w:pStyle w:val="BookText"/>
      </w:pPr>
      <w:r>
        <w:rPr>
          <w:rFonts w:ascii="IRNazanin" w:hAnsi="IRNazanin" w:eastAsia="IRNazanin" w:cs="IRNazanin"/>
          <w:lang w:bidi="fa-IR"/>
          <w:color w:val="111111"/>
          <w:sz w:val="28"/>
          <w:szCs w:val="28"/>
          <w:rtl/>
        </w:rPr>
        <w:t xml:space="preserve">أخ حجة الإسلام الغزالی. و توفی 517 بقزوین نسب إلیه رباعیات فارسیة، و اختلط بعض شعره فی أشعار أبی سعید أبی الخیر کما ذکر فی مقدمه سخنان أبو سعید- ص 58.</w:t>
      </w:r>
    </w:p>
    <w:p>
      <w:pPr>
        <w:pStyle w:val="BookText"/>
      </w:pPr>
      <w:r>
        <w:rPr>
          <w:rFonts w:ascii="IRNazanin" w:hAnsi="IRNazanin" w:eastAsia="IRNazanin" w:cs="IRNazanin"/>
          <w:lang w:bidi="fa-IR"/>
          <w:color w:val="111111"/>
          <w:sz w:val="28"/>
          <w:szCs w:val="28"/>
          <w:rtl/>
        </w:rPr>
        <w:t xml:space="preserve">و فی (حسینی 305) نسب الشعر إلی أخیه حجة الإسلام محمد الغزالی المتوفی 505،</w:t>
      </w:r>
    </w:p>
    <w:p>
      <w:pPr>
        <w:pStyle w:val="Heading3"/>
      </w:pPr>
      <w:bookmarkStart w:id="7062" w:name="_Toc5758"/>
      <w:r>
        <w:t>5315- دیوان غزالی مشهدی‏</w:t>
      </w:r>
      <w:bookmarkEnd w:id="7062"/>
    </w:p>
    <w:p>
      <w:pPr>
        <w:pStyle w:val="BookText"/>
      </w:pPr>
      <w:r>
        <w:rPr>
          <w:rFonts w:ascii="IRNazanin" w:hAnsi="IRNazanin" w:eastAsia="IRNazanin" w:cs="IRNazanin"/>
          <w:lang w:bidi="fa-IR"/>
          <w:color w:val="111111"/>
          <w:sz w:val="28"/>
          <w:szCs w:val="28"/>
          <w:rtl/>
        </w:rPr>
        <w:t xml:space="preserve">من شعراء الشاه طهماسب الصفوی و بعد هجائه لنوری الدندانی هاجر إلی دکن و أوصل إلیه علی قلی خان الملقب بخان زمان من أمراء أکبر شاه ألف روپیه لمصرف سفره و لما اتصل به أکرمه کثیرا. و نظم هو فی مدحه نقش بدیع فی ألف بیت صلة کل بیت دینار ذهب و بعد وفاه خان زمان صار ملک الشعراء لأکبر شاه و توفی بکجرات 980 فرثاه مؤرخا بالفارسیة الشیخ فیضی. ذکر جمیع ذلک فی (خز- ص 363) و ترجمه فی (مع- ج 2 ص 25) و ذکر له رشحات الحیاة و نقش بدیع و ترجمه الصادقی فی (خص 138) و نقل أن له ستة عشر کتابا حمل منها إلی العراق نقش بدیع و أورد أیضا بعض رباعیاته و أشعاره. و ترجمه فی مطلع الشمس 2: 439 و (نتایج- ص 510) و الریحانة و (حسینی ص 227) و (تش ص 86) و (طبق 2: 484) و أورد النصرآبادی فی (نر 13- ص 482) نظم فیضی لتاریخ وفاته:</w:t>
      </w:r>
    </w:p>
    <w:p>
      <w:pPr>
        <w:pStyle w:val="BookText"/>
      </w:pPr>
      <w:r>
        <w:rPr>
          <w:rFonts w:ascii="IRNazanin" w:hAnsi="IRNazanin" w:eastAsia="IRNazanin" w:cs="IRNazanin"/>
          <w:lang w:bidi="fa-IR"/>
          <w:color w:val="111111"/>
          <w:sz w:val="28"/>
          <w:szCs w:val="28"/>
          <w:rtl/>
        </w:rPr>
        <w:t xml:space="preserve">عقل تاریخ وفاتش بدو طور</w:t>
      </w:r>
    </w:p>
    <w:p>
      <w:pPr>
        <w:pStyle w:val="BookText"/>
      </w:pPr>
      <w:r>
        <w:rPr>
          <w:rFonts w:ascii="Amiri" w:hAnsi="Amiri" w:eastAsia="Amiri" w:cs="Amiri"/>
          <w:lang w:bidi="ar-SA"/>
          <w:color w:val="111111"/>
          <w:sz w:val="28"/>
          <w:szCs w:val="28"/>
          <w:rtl/>
        </w:rPr>
        <w:t xml:space="preserve">سنة نهصد و هشتاد نوشت‏</w:t>
      </w:r>
    </w:p>
    <w:p>
      <w:pPr>
        <w:pStyle w:val="BookText"/>
      </w:pPr>
      <w:r>
        <w:rPr>
          <w:rFonts w:ascii="IRNazanin" w:hAnsi="IRNazanin" w:eastAsia="IRNazanin" w:cs="IRNazanin"/>
          <w:lang w:bidi="fa-IR"/>
          <w:color w:val="111111"/>
          <w:sz w:val="28"/>
          <w:szCs w:val="28"/>
          <w:rtl/>
        </w:rPr>
        <w:t xml:space="preserve">و عنه فی (مسرت- ص 403). توجد نسخه من دیوانه فی (بنگاله).</w:t>
      </w:r>
    </w:p>
    <w:p>
      <w:pPr>
        <w:pStyle w:val="Heading3"/>
      </w:pPr>
      <w:bookmarkStart w:id="7063" w:name="_Toc5759"/>
      <w:r>
        <w:t>5316- دیوان غزالی هروی أو شعره‏</w:t>
      </w:r>
      <w:bookmarkEnd w:id="7063"/>
    </w:p>
    <w:p>
      <w:pPr>
        <w:pStyle w:val="BookText"/>
      </w:pPr>
      <w:r>
        <w:rPr>
          <w:rFonts w:ascii="IRNazanin" w:hAnsi="IRNazanin" w:eastAsia="IRNazanin" w:cs="IRNazanin"/>
          <w:lang w:bidi="fa-IR"/>
          <w:color w:val="111111"/>
          <w:sz w:val="28"/>
          <w:szCs w:val="28"/>
          <w:rtl/>
        </w:rPr>
        <w:t xml:space="preserve">و هو المشهور بچنبک. ترجمه سام میرزا کذلک فی (تس- ص 173) و أورد مطلع غزله و مر ذکره عن (خص- 182) و (حسینی ص 327) و (نتایج- ص 512)، و قال فی (تش- ص 150) إنه تلمیذ حیدر کلوچه المذکور فی ص 270.</w:t>
      </w:r>
    </w:p>
    <w:p>
      <w:pPr>
        <w:pStyle w:val="Heading3"/>
      </w:pPr>
      <w:bookmarkStart w:id="7064" w:name="_Toc5760"/>
      <w:r>
        <w:t>دیوان غزنوی‏</w:t>
      </w:r>
      <w:bookmarkEnd w:id="7064"/>
    </w:p>
    <w:p>
      <w:pPr>
        <w:pStyle w:val="BookText"/>
      </w:pPr>
      <w:r>
        <w:rPr>
          <w:rFonts w:ascii="IRNazanin" w:hAnsi="IRNazanin" w:eastAsia="IRNazanin" w:cs="IRNazanin"/>
          <w:lang w:bidi="fa-IR"/>
          <w:color w:val="111111"/>
          <w:sz w:val="28"/>
          <w:szCs w:val="28"/>
          <w:rtl/>
        </w:rPr>
        <w:t xml:space="preserve">راجع حسن غزنوی.</w:t>
      </w:r>
    </w:p>
    <w:p>
      <w:pPr>
        <w:pStyle w:val="Heading3"/>
      </w:pPr>
      <w:bookmarkStart w:id="7065" w:name="_Toc5761"/>
      <w:r>
        <w:t>5317- دیوان غزنوی أو شعره‏</w:t>
      </w:r>
      <w:bookmarkEnd w:id="7065"/>
    </w:p>
    <w:p>
      <w:pPr>
        <w:pStyle w:val="BookText"/>
      </w:pPr>
      <w:r>
        <w:rPr>
          <w:rFonts w:ascii="IRNazanin" w:hAnsi="IRNazanin" w:eastAsia="IRNazanin" w:cs="IRNazanin"/>
          <w:lang w:bidi="fa-IR"/>
          <w:color w:val="111111"/>
          <w:sz w:val="28"/>
          <w:szCs w:val="28"/>
          <w:rtl/>
        </w:rPr>
        <w:t xml:space="preserve">و اسمه عبد الرحمن بن سیف الدین. له رسالة فارسیة فی الموسیقی و فیه أشعار کثیرة. طبعت فی ضمن مجموعة شمس المناقب الذی هو دیوان سروش أصفهانی 1300 بطهران.</w:t>
      </w:r>
    </w:p>
    <w:p>
      <w:pPr>
        <w:pStyle w:val="Heading3"/>
      </w:pPr>
      <w:bookmarkStart w:id="7066" w:name="_Toc5762"/>
      <w:r>
        <w:t>دیوان الغسانی‏</w:t>
      </w:r>
      <w:bookmarkEnd w:id="7066"/>
    </w:p>
    <w:p>
      <w:pPr>
        <w:pStyle w:val="BookText"/>
      </w:pPr>
      <w:r>
        <w:rPr>
          <w:rStyle w:val="FootnoteReference"/>
        </w:rPr>
        <w:footnoteReference w:id="63"/>
      </w:r>
      <w:r>
        <w:rPr>
          <w:rFonts w:ascii="IRNazanin" w:hAnsi="IRNazanin" w:eastAsia="IRNazanin" w:cs="IRNazanin"/>
          <w:lang w:bidi="fa-IR"/>
          <w:color w:val="111111"/>
          <w:sz w:val="28"/>
          <w:szCs w:val="28"/>
          <w:rtl/>
        </w:rPr>
        <w:t xml:space="preserve">لأبی محمد طلحة بن عبد الله بن أبی عون الغسانی الشهیر بالعونی‏ .
</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bookmarkStart w:id="781" w:name="pg11704_122266"/>
    <w:bookmarkEnd w:id="781"/>
    <w:p>
      <w:pPr>
        <w:pStyle w:val="BookText"/>
      </w:pPr>
      <w:r>
        <w:rPr>
          <w:rFonts w:ascii="IRNazanin" w:hAnsi="IRNazanin" w:eastAsia="IRNazanin" w:cs="IRNazanin"/>
          <w:lang w:bidi="fa-IR"/>
          <w:color w:val="111111"/>
          <w:sz w:val="28"/>
          <w:szCs w:val="28"/>
          <w:rtl/>
        </w:rPr>
        <w:t xml:space="preserve">ذکرناه بأشهر ألقابه فی العین المهملة.</w:t>
      </w:r>
    </w:p>
    <w:p>
      <w:pPr>
        <w:pStyle w:val="Heading3"/>
      </w:pPr>
      <w:bookmarkStart w:id="7067" w:name="_Toc5763"/>
      <w:r>
        <w:t>5318- دیوان الغسانی‏</w:t>
      </w:r>
      <w:bookmarkEnd w:id="7067"/>
    </w:p>
    <w:p>
      <w:pPr>
        <w:pStyle w:val="BookText"/>
      </w:pPr>
      <w:r>
        <w:rPr>
          <w:rFonts w:ascii="IRNazanin" w:hAnsi="IRNazanin" w:eastAsia="IRNazanin" w:cs="IRNazanin"/>
          <w:lang w:bidi="fa-IR"/>
          <w:color w:val="111111"/>
          <w:sz w:val="28"/>
          <w:szCs w:val="28"/>
          <w:rtl/>
        </w:rPr>
        <w:t xml:space="preserve">لأبی الحسین أحمد بن علی بن إبراهیم بن الزبیر الغسانی الأسوانی المولد المصری الملقب بالرشید المتوفی 562 هو و آباؤه قضاة مصر فی الدولة الفاطمیة.</w:t>
      </w:r>
    </w:p>
    <w:p>
      <w:pPr>
        <w:pStyle w:val="BookText"/>
      </w:pPr>
      <w:r>
        <w:rPr>
          <w:rFonts w:ascii="IRNazanin" w:hAnsi="IRNazanin" w:eastAsia="IRNazanin" w:cs="IRNazanin"/>
          <w:lang w:bidi="fa-IR"/>
          <w:color w:val="111111"/>
          <w:sz w:val="28"/>
          <w:szCs w:val="28"/>
          <w:rtl/>
        </w:rPr>
        <w:t xml:space="preserve">ترجمه فی نسمة السحر عن ابن خلکان. و له ترجمه مفصلة فی معجم الأدباء ج 4 ص 51 و ذکر هناک أن دیوان شعره نحو مائة ورقة و مر کتابه جنان الجنان مع تفصیل أحواله فی ج 5 ص 153.</w:t>
      </w:r>
    </w:p>
    <w:p>
      <w:pPr>
        <w:pStyle w:val="Heading3"/>
      </w:pPr>
      <w:bookmarkStart w:id="7068" w:name="_Toc5764"/>
      <w:r>
        <w:t>5319- دیوان الغسانی‏</w:t>
      </w:r>
      <w:bookmarkEnd w:id="7068"/>
    </w:p>
    <w:p>
      <w:pPr>
        <w:pStyle w:val="BookText"/>
      </w:pPr>
      <w:r>
        <w:rPr>
          <w:rFonts w:ascii="IRNazanin" w:hAnsi="IRNazanin" w:eastAsia="IRNazanin" w:cs="IRNazanin"/>
          <w:lang w:bidi="fa-IR"/>
          <w:color w:val="111111"/>
          <w:sz w:val="28"/>
          <w:szCs w:val="28"/>
          <w:rtl/>
        </w:rPr>
        <w:t xml:space="preserve">لأبی الفرج محمد بن أحمد الغسانی الدمشقی المعروف بالواواء المتوفی حدود 385 کما أرخه الزرگلی فی ص 847 و قال القمی فی الکنی و الألقاب ج 3 ص 233 إنه من شعراء سیف الدولة الحمدانی و دیوانه معروف و توفی 390 و کذا أرخه فی معجم المطبوعات العربیة ص 1909 و ذکر أنه طبع مع الترجمة الروسیة فی لیدن 1913 م.</w:t>
      </w:r>
    </w:p>
    <w:p>
      <w:pPr>
        <w:pStyle w:val="Heading3"/>
      </w:pPr>
      <w:bookmarkStart w:id="7069" w:name="_Toc5765"/>
      <w:r>
        <w:t>5320- دیوان غضائری الرازی‏</w:t>
      </w:r>
      <w:bookmarkEnd w:id="7069"/>
    </w:p>
    <w:p>
      <w:pPr>
        <w:pStyle w:val="BookText"/>
      </w:pPr>
      <w:r>
        <w:rPr>
          <w:rFonts w:ascii="IRNazanin" w:hAnsi="IRNazanin" w:eastAsia="IRNazanin" w:cs="IRNazanin"/>
          <w:lang w:bidi="fa-IR"/>
          <w:color w:val="111111"/>
          <w:sz w:val="28"/>
          <w:szCs w:val="28"/>
          <w:rtl/>
        </w:rPr>
        <w:t xml:space="preserve">و هو أبو یزید محمد من مداحی بهاء الدولة الدیلمی و توفی 426 کما فی شاهد صادق أو 436 کما فی (مع- ج 1 ص 368) و ترجمه فی خزانة عامرة بعنوان غضائری و نقل القول بأنه بالعین المهملة و کان معاصرا و مناظرا مع الأمیر عنصری الذی کان خصیصا بالسلطان محمود و لذا أقدم علی إتلاف دیوان الغضائری علی الرءوس فغسل نسخته بالماء و لم یتعرض علیه أحد خوفا من السلطان. و قد جمع دیوانه أخیرا محمد دبیر سیاقی و طبعه بطهران مع مقدمه فی أحواله ضمن مجموعه گنج باز یافته و أما سنگلاخ فقال فی (امتحان الفضلاء 1: 133) إنه رأی دیوانه بخط شفیعا. و ترجمه فی (لت 14) و (تش ص 215) و ریحانة الأدب.</w:t>
      </w:r>
    </w:p>
    <w:p>
      <w:pPr>
        <w:pStyle w:val="Heading3"/>
      </w:pPr>
      <w:bookmarkStart w:id="7070" w:name="_Toc5766"/>
      <w:r>
        <w:t>5321- دیوان غضنفر کله جاری‏</w:t>
      </w:r>
      <w:bookmarkEnd w:id="7070"/>
    </w:p>
    <w:p>
      <w:pPr>
        <w:pStyle w:val="BookText"/>
      </w:pPr>
      <w:r>
        <w:rPr>
          <w:rFonts w:ascii="IRNazanin" w:hAnsi="IRNazanin" w:eastAsia="IRNazanin" w:cs="IRNazanin"/>
          <w:lang w:bidi="fa-IR"/>
          <w:color w:val="111111"/>
          <w:sz w:val="28"/>
          <w:szCs w:val="28"/>
          <w:rtl/>
        </w:rPr>
        <w:t xml:space="preserve">ترجمه فی (خص- ص 206) بعنوان غضنفری.</w:t>
      </w:r>
    </w:p>
    <w:p>
      <w:pPr>
        <w:pStyle w:val="BookText"/>
      </w:pPr>
      <w:r>
        <w:rPr>
          <w:rFonts w:ascii="IRNazanin" w:hAnsi="IRNazanin" w:eastAsia="IRNazanin" w:cs="IRNazanin"/>
          <w:lang w:bidi="fa-IR"/>
          <w:color w:val="111111"/>
          <w:sz w:val="28"/>
          <w:szCs w:val="28"/>
          <w:rtl/>
        </w:rPr>
        <w:t xml:space="preserve">و ذکر أن کله جار من قصبات کاشان و أطری الشاعر و أورد شعره. و ترجمه آیتی فی (تش یز- ص 313) و عده من شعرائها بعنوان غضنفر کلجاری و أورد هجائه لمعاصره و معارضه الشاعر المتخلص بوحشی و کلاهما من شعراء میر میران. و فی (گلشن- ص 299) سماه غضنفر گلخاری و قال کان مدرسا مع ذهاب بصره. و ترجمه فی (حسینی. ص 228) أیضا، و الظاهر اتحاده و مع غضنفر قمی ناظم پیر و جوان المذکور فی 3: 200.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bookmarkStart w:id="782" w:name="pg11704_122267"/>
    <w:bookmarkEnd w:id="782"/>
    <w:p>
      <w:pPr>
        <w:pStyle w:val="Heading3"/>
      </w:pPr>
      <w:bookmarkStart w:id="7071" w:name="_Toc5767"/>
      <w:r>
        <w:t>دیوان غضنفر قمی‏</w:t>
      </w:r>
      <w:bookmarkEnd w:id="7071"/>
    </w:p>
    <w:p>
      <w:pPr>
        <w:pStyle w:val="BookText"/>
      </w:pPr>
      <w:r>
        <w:rPr>
          <w:rFonts w:ascii="IRNazanin" w:hAnsi="IRNazanin" w:eastAsia="IRNazanin" w:cs="IRNazanin"/>
          <w:lang w:bidi="fa-IR"/>
          <w:color w:val="111111"/>
          <w:sz w:val="28"/>
          <w:szCs w:val="28"/>
          <w:rtl/>
        </w:rPr>
        <w:t xml:space="preserve">راجع غضنفر گلجاری.</w:t>
      </w:r>
    </w:p>
    <w:p>
      <w:pPr>
        <w:pStyle w:val="Heading3"/>
      </w:pPr>
      <w:bookmarkStart w:id="7072" w:name="_Toc5768"/>
      <w:r>
        <w:t>دیوان غضنفری‏</w:t>
      </w:r>
      <w:bookmarkEnd w:id="7072"/>
    </w:p>
    <w:p>
      <w:pPr>
        <w:pStyle w:val="BookText"/>
      </w:pPr>
      <w:r>
        <w:rPr>
          <w:rFonts w:ascii="IRNazanin" w:hAnsi="IRNazanin" w:eastAsia="IRNazanin" w:cs="IRNazanin"/>
          <w:lang w:bidi="fa-IR"/>
          <w:color w:val="111111"/>
          <w:sz w:val="28"/>
          <w:szCs w:val="28"/>
          <w:rtl/>
        </w:rPr>
        <w:t xml:space="preserve">راجع غضنفر گلجاری.</w:t>
      </w:r>
    </w:p>
    <w:p>
      <w:pPr>
        <w:pStyle w:val="Heading3"/>
      </w:pPr>
      <w:bookmarkStart w:id="7073" w:name="_Toc5769"/>
      <w:r>
        <w:t>دیوان غفاری‏</w:t>
      </w:r>
      <w:bookmarkEnd w:id="7073"/>
    </w:p>
    <w:p>
      <w:pPr>
        <w:pStyle w:val="BookText"/>
      </w:pPr>
      <w:r>
        <w:rPr>
          <w:rFonts w:ascii="IRNazanin" w:hAnsi="IRNazanin" w:eastAsia="IRNazanin" w:cs="IRNazanin"/>
          <w:lang w:bidi="fa-IR"/>
          <w:color w:val="111111"/>
          <w:sz w:val="28"/>
          <w:szCs w:val="28"/>
          <w:rtl/>
        </w:rPr>
        <w:t xml:space="preserve">القاضی محمد یأتی بتخلصه وصالی.</w:t>
      </w:r>
    </w:p>
    <w:p>
      <w:pPr>
        <w:pStyle w:val="Heading3"/>
      </w:pPr>
      <w:bookmarkStart w:id="7074" w:name="_Toc5770"/>
      <w:r>
        <w:t>5322- دیوان غفوری رازی أو شعره‏</w:t>
      </w:r>
      <w:bookmarkEnd w:id="7074"/>
    </w:p>
    <w:p>
      <w:pPr>
        <w:pStyle w:val="BookText"/>
      </w:pPr>
      <w:r>
        <w:rPr>
          <w:rFonts w:ascii="IRNazanin" w:hAnsi="IRNazanin" w:eastAsia="IRNazanin" w:cs="IRNazanin"/>
          <w:lang w:bidi="fa-IR"/>
          <w:color w:val="111111"/>
          <w:sz w:val="28"/>
          <w:szCs w:val="28"/>
          <w:rtl/>
        </w:rPr>
        <w:t xml:space="preserve">ترجمه معاصره سام میرزا فی (تس- ص 162) و أورد شعره.</w:t>
      </w:r>
    </w:p>
    <w:p>
      <w:pPr>
        <w:pStyle w:val="Heading3"/>
      </w:pPr>
      <w:bookmarkStart w:id="7075" w:name="_Toc5771"/>
      <w:r>
        <w:t>5323- دیوان غلام حسین‏</w:t>
      </w:r>
      <w:bookmarkEnd w:id="7075"/>
    </w:p>
    <w:p>
      <w:pPr>
        <w:pStyle w:val="BookText"/>
      </w:pPr>
      <w:r>
        <w:rPr>
          <w:rFonts w:ascii="IRNazanin" w:hAnsi="IRNazanin" w:eastAsia="IRNazanin" w:cs="IRNazanin"/>
          <w:lang w:bidi="fa-IR"/>
          <w:color w:val="111111"/>
          <w:sz w:val="28"/>
          <w:szCs w:val="28"/>
          <w:rtl/>
        </w:rPr>
        <w:t xml:space="preserve">ابن غلام رضا. طبع له فائدة الحیاة و مائدة الممات نظما بالفارسیة فی 232 ص. فی طهران 1340.</w:t>
      </w:r>
    </w:p>
    <w:p>
      <w:pPr>
        <w:pStyle w:val="Heading3"/>
      </w:pPr>
      <w:bookmarkStart w:id="7076" w:name="_Toc5772"/>
      <w:r>
        <w:t>5324- دیوان غلام رضا ذاکر</w:t>
      </w:r>
      <w:bookmarkEnd w:id="7076"/>
    </w:p>
    <w:p>
      <w:pPr>
        <w:pStyle w:val="BookText"/>
      </w:pPr>
      <w:r>
        <w:rPr>
          <w:rFonts w:ascii="IRNazanin" w:hAnsi="IRNazanin" w:eastAsia="IRNazanin" w:cs="IRNazanin"/>
          <w:lang w:bidi="fa-IR"/>
          <w:color w:val="111111"/>
          <w:sz w:val="28"/>
          <w:szCs w:val="28"/>
          <w:rtl/>
        </w:rPr>
        <w:t xml:space="preserve">ابن محمد حسین ذاکر القمی. طبع له ریاض حسینی نظما بالفارسیة فی 1349 فی 100 ص. بطهران و بعدها مکررا.</w:t>
      </w:r>
    </w:p>
    <w:p>
      <w:pPr>
        <w:pStyle w:val="Heading3"/>
      </w:pPr>
      <w:bookmarkStart w:id="7077" w:name="_Toc5773"/>
      <w:r>
        <w:t>دیوان غلام رضا روحانی‏</w:t>
      </w:r>
      <w:bookmarkEnd w:id="7077"/>
    </w:p>
    <w:p>
      <w:pPr>
        <w:pStyle w:val="BookText"/>
      </w:pPr>
      <w:r>
        <w:rPr>
          <w:rFonts w:ascii="IRNazanin" w:hAnsi="IRNazanin" w:eastAsia="IRNazanin" w:cs="IRNazanin"/>
          <w:lang w:bidi="fa-IR"/>
          <w:color w:val="111111"/>
          <w:sz w:val="28"/>
          <w:szCs w:val="28"/>
          <w:rtl/>
        </w:rPr>
        <w:t xml:space="preserve">مر فی ص 385 و طبع له فکاهیات معاصر فی 1313 ش. فی 92 ص.</w:t>
      </w:r>
    </w:p>
    <w:p>
      <w:pPr>
        <w:pStyle w:val="Heading3"/>
      </w:pPr>
      <w:bookmarkStart w:id="7078" w:name="_Toc5774"/>
      <w:r>
        <w:t>دیوان غلام علی بلگرامی‏</w:t>
      </w:r>
      <w:bookmarkEnd w:id="7078"/>
    </w:p>
    <w:p>
      <w:pPr>
        <w:pStyle w:val="BookText"/>
      </w:pPr>
      <w:r>
        <w:rPr>
          <w:rFonts w:ascii="IRNazanin" w:hAnsi="IRNazanin" w:eastAsia="IRNazanin" w:cs="IRNazanin"/>
          <w:lang w:bidi="fa-IR"/>
          <w:color w:val="111111"/>
          <w:sz w:val="28"/>
          <w:szCs w:val="28"/>
          <w:rtl/>
        </w:rPr>
        <w:t xml:space="preserve">راجع آزاد فی ص 5.</w:t>
      </w:r>
    </w:p>
    <w:p>
      <w:pPr>
        <w:pStyle w:val="Heading3"/>
      </w:pPr>
      <w:bookmarkStart w:id="7079" w:name="_Toc5775"/>
      <w:r>
        <w:t>دیوان الشیخ غلام علی‏</w:t>
      </w:r>
      <w:bookmarkEnd w:id="7079"/>
    </w:p>
    <w:p>
      <w:pPr>
        <w:pStyle w:val="BookText"/>
      </w:pPr>
      <w:r>
        <w:rPr>
          <w:rFonts w:ascii="IRNazanin" w:hAnsi="IRNazanin" w:eastAsia="IRNazanin" w:cs="IRNazanin"/>
          <w:lang w:bidi="fa-IR"/>
          <w:color w:val="111111"/>
          <w:sz w:val="28"/>
          <w:szCs w:val="28"/>
          <w:rtl/>
        </w:rPr>
        <w:t xml:space="preserve">المتخلص حکیم. مر فی ص 262</w:t>
      </w:r>
    </w:p>
    <w:p>
      <w:pPr>
        <w:pStyle w:val="Heading3"/>
      </w:pPr>
      <w:bookmarkStart w:id="7080" w:name="_Toc5776"/>
      <w:r>
        <w:t>5325- دیوان غلام غوث صمدانی‏</w:t>
      </w:r>
      <w:bookmarkEnd w:id="7080"/>
    </w:p>
    <w:p>
      <w:pPr>
        <w:pStyle w:val="BookText"/>
      </w:pPr>
      <w:r>
        <w:rPr>
          <w:rFonts w:ascii="IRNazanin" w:hAnsi="IRNazanin" w:eastAsia="IRNazanin" w:cs="IRNazanin"/>
          <w:lang w:bidi="fa-IR"/>
          <w:color w:val="111111"/>
          <w:sz w:val="28"/>
          <w:szCs w:val="28"/>
          <w:rtl/>
        </w:rPr>
        <w:t xml:space="preserve">طبع له مثنوی بالفارسیة فی الهند 1953 م فی 265 ص. مع مقدمه إنگلیزیة.</w:t>
      </w:r>
    </w:p>
    <w:p>
      <w:pPr>
        <w:pStyle w:val="Heading3"/>
      </w:pPr>
      <w:bookmarkStart w:id="7081" w:name="_Toc5777"/>
      <w:r>
        <w:t>5326- دیوان غلام محبوب سبحانی‏</w:t>
      </w:r>
      <w:bookmarkEnd w:id="7081"/>
    </w:p>
    <w:p>
      <w:pPr>
        <w:pStyle w:val="BookText"/>
      </w:pPr>
      <w:r>
        <w:rPr>
          <w:rFonts w:ascii="IRNazanin" w:hAnsi="IRNazanin" w:eastAsia="IRNazanin" w:cs="IRNazanin"/>
          <w:lang w:bidi="fa-IR"/>
          <w:color w:val="111111"/>
          <w:sz w:val="28"/>
          <w:szCs w:val="28"/>
          <w:rtl/>
        </w:rPr>
        <w:t xml:space="preserve">الشاعر الهندی المتخلص سبحانی فاتنا ذکره و طبع دیوانه بالفارسیة فی 137 ص. بلاهور فی 1320.</w:t>
      </w:r>
    </w:p>
    <w:p>
      <w:pPr>
        <w:pStyle w:val="Heading3"/>
      </w:pPr>
      <w:bookmarkStart w:id="7082" w:name="_Toc5778"/>
      <w:r>
        <w:t>5327- دیوان غلام مصطفی بلگرامی‏</w:t>
      </w:r>
      <w:bookmarkEnd w:id="7082"/>
    </w:p>
    <w:p>
      <w:pPr>
        <w:pStyle w:val="BookText"/>
      </w:pPr>
      <w:r>
        <w:rPr>
          <w:rFonts w:ascii="IRNazanin" w:hAnsi="IRNazanin" w:eastAsia="IRNazanin" w:cs="IRNazanin"/>
          <w:lang w:bidi="fa-IR"/>
          <w:color w:val="111111"/>
          <w:sz w:val="28"/>
          <w:szCs w:val="28"/>
          <w:rtl/>
        </w:rPr>
        <w:t xml:space="preserve">ترجمه و أورد شعره فی (سرو- ص 74 و 328).</w:t>
      </w:r>
    </w:p>
    <w:p>
      <w:pPr>
        <w:pStyle w:val="Heading3"/>
      </w:pPr>
      <w:bookmarkStart w:id="7083" w:name="_Toc5779"/>
      <w:r>
        <w:t>5328- دیوان غلام نبی أو شعره‏</w:t>
      </w:r>
      <w:bookmarkEnd w:id="7083"/>
    </w:p>
    <w:p>
      <w:pPr>
        <w:pStyle w:val="BookText"/>
      </w:pPr>
      <w:r>
        <w:rPr>
          <w:rFonts w:ascii="IRNazanin" w:hAnsi="IRNazanin" w:eastAsia="IRNazanin" w:cs="IRNazanin"/>
          <w:lang w:bidi="fa-IR"/>
          <w:color w:val="111111"/>
          <w:sz w:val="28"/>
          <w:szCs w:val="28"/>
          <w:rtl/>
        </w:rPr>
        <w:t xml:space="preserve">من شعراء الهند بالفارسیة. ترجمه و أورد شعره الفارسی و الأردو فی (سرو- ص 314- 371) و (حسینی- ص 232).</w:t>
      </w:r>
    </w:p>
    <w:p>
      <w:pPr>
        <w:pStyle w:val="Heading3"/>
      </w:pPr>
      <w:bookmarkStart w:id="7084" w:name="_Toc5780"/>
      <w:r>
        <w:t>5329- دیوان غلامی أو شعره‏</w:t>
      </w:r>
      <w:bookmarkEnd w:id="7084"/>
    </w:p>
    <w:p>
      <w:pPr>
        <w:pStyle w:val="BookText"/>
      </w:pPr>
      <w:r>
        <w:rPr>
          <w:rFonts w:ascii="IRNazanin" w:hAnsi="IRNazanin" w:eastAsia="IRNazanin" w:cs="IRNazanin"/>
          <w:lang w:bidi="fa-IR"/>
          <w:color w:val="111111"/>
          <w:sz w:val="28"/>
          <w:szCs w:val="28"/>
          <w:rtl/>
        </w:rPr>
        <w:t xml:space="preserve">ترجمه و أورد شعره فی (گلشن ص 300) و قال إن اسمه سعید. و لا أظنه المذکور فی فهرس مخطوطات الموصل. ص 268.</w:t>
      </w:r>
    </w:p>
    <w:p>
      <w:pPr>
        <w:pStyle w:val="Heading3"/>
      </w:pPr>
      <w:bookmarkStart w:id="7085" w:name="_Toc5781"/>
      <w:r>
        <w:t>5330- دیوان ملا غماز أو شعره‏</w:t>
      </w:r>
      <w:bookmarkEnd w:id="7085"/>
    </w:p>
    <w:p>
      <w:pPr>
        <w:pStyle w:val="BookText"/>
      </w:pPr>
      <w:r>
        <w:rPr>
          <w:rFonts w:ascii="IRNazanin" w:hAnsi="IRNazanin" w:eastAsia="IRNazanin" w:cs="IRNazanin"/>
          <w:lang w:bidi="fa-IR"/>
          <w:color w:val="111111"/>
          <w:sz w:val="28"/>
          <w:szCs w:val="28"/>
          <w:rtl/>
        </w:rPr>
        <w:t xml:space="preserve">کان من شعراء عبد العزیز خان بسمرقند. ترجمه النصرآبادی فی (نر 10- ص 441) و أورد شعره، و کذا فی (حسینی- ص 228).
</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bookmarkStart w:id="783" w:name="pg11704_122268"/>
    <w:bookmarkEnd w:id="783"/>
    <w:p>
      <w:pPr>
        <w:pStyle w:val="Heading3"/>
      </w:pPr>
      <w:bookmarkStart w:id="7086" w:name="_Toc5782"/>
      <w:r>
        <w:t>5331- دیوان غمام همدانی‏</w:t>
      </w:r>
      <w:bookmarkEnd w:id="7086"/>
    </w:p>
    <w:p>
      <w:pPr>
        <w:pStyle w:val="BookText"/>
      </w:pPr>
      <w:r>
        <w:rPr>
          <w:rFonts w:ascii="IRNazanin" w:hAnsi="IRNazanin" w:eastAsia="IRNazanin" w:cs="IRNazanin"/>
          <w:lang w:bidi="fa-IR"/>
          <w:color w:val="111111"/>
          <w:sz w:val="28"/>
          <w:szCs w:val="28"/>
          <w:rtl/>
        </w:rPr>
        <w:t xml:space="preserve">و اسمه المیرزا محمد الشهیر یوسف‏زاده ابن یوسف الحسینی ولد فی النجف فی رجب 1292 ترجمه مفصلا فی تاریخ جرائد و مجلات ایران فی (ج 1 ص 266) و دیوانه غزلیات طبع بأصفهان فی 42- 1346 فی مجلدین مع مقدمه لنثری و ترجمه ایزد گشسب فی سخنوران- ص 125.</w:t>
      </w:r>
    </w:p>
    <w:p>
      <w:pPr>
        <w:pStyle w:val="Heading3"/>
      </w:pPr>
      <w:bookmarkStart w:id="7087" w:name="_Toc5783"/>
      <w:r>
        <w:t>5332- دیوان غمدل دیلمقانی أو شعره‏</w:t>
      </w:r>
      <w:bookmarkEnd w:id="7087"/>
    </w:p>
    <w:p>
      <w:pPr>
        <w:pStyle w:val="BookText"/>
      </w:pPr>
      <w:r>
        <w:rPr>
          <w:rFonts w:ascii="IRNazanin" w:hAnsi="IRNazanin" w:eastAsia="IRNazanin" w:cs="IRNazanin"/>
          <w:lang w:bidi="fa-IR"/>
          <w:color w:val="111111"/>
          <w:sz w:val="28"/>
          <w:szCs w:val="28"/>
          <w:rtl/>
        </w:rPr>
        <w:t xml:space="preserve">کان من شعراء القرن الثالث عشر کما فی (دجا- ص 286) نقلا عن حدیقة الشعراء.</w:t>
      </w:r>
    </w:p>
    <w:p>
      <w:pPr>
        <w:pStyle w:val="Heading3"/>
      </w:pPr>
      <w:bookmarkStart w:id="7088" w:name="_Toc5784"/>
      <w:r>
        <w:t>5333- دیوان غمگین‏</w:t>
      </w:r>
      <w:bookmarkEnd w:id="7088"/>
    </w:p>
    <w:p>
      <w:pPr>
        <w:pStyle w:val="BookText"/>
      </w:pPr>
      <w:r>
        <w:rPr>
          <w:rFonts w:ascii="IRNazanin" w:hAnsi="IRNazanin" w:eastAsia="IRNazanin" w:cs="IRNazanin"/>
          <w:lang w:bidi="fa-IR"/>
          <w:color w:val="111111"/>
          <w:sz w:val="28"/>
          <w:szCs w:val="28"/>
          <w:rtl/>
        </w:rPr>
        <w:t xml:space="preserve">و هو الحاج محمد کاظم ترجمه و أورد غزله ألفت فی دانش‏نامه و المهدوی فی شعرای معاصر أصفهان- ص 338 و ایزد گشسب فی سخنوران- ص 160.</w:t>
      </w:r>
    </w:p>
    <w:p>
      <w:pPr>
        <w:pStyle w:val="Heading3"/>
      </w:pPr>
      <w:bookmarkStart w:id="7089" w:name="_Toc5785"/>
      <w:r>
        <w:t>5334- دیوان غمناک‏</w:t>
      </w:r>
      <w:bookmarkEnd w:id="7089"/>
    </w:p>
    <w:p>
      <w:pPr>
        <w:pStyle w:val="BookText"/>
      </w:pPr>
      <w:r>
        <w:rPr>
          <w:rFonts w:ascii="IRNazanin" w:hAnsi="IRNazanin" w:eastAsia="IRNazanin" w:cs="IRNazanin"/>
          <w:lang w:bidi="fa-IR"/>
          <w:color w:val="111111"/>
          <w:sz w:val="28"/>
          <w:szCs w:val="28"/>
          <w:rtl/>
        </w:rPr>
        <w:t xml:space="preserve">للحاج محمد تقی فرش‏فروش الفرهادی التبریزی المتخلص فی شعره بغمناک له لئالی غم و گنجینه مصائب المطبوع 1350.</w:t>
      </w:r>
    </w:p>
    <w:p>
      <w:pPr>
        <w:pStyle w:val="Heading3"/>
      </w:pPr>
      <w:bookmarkStart w:id="7090" w:name="_Toc5786"/>
      <w:r>
        <w:t>5335- دیوان غنائی أو شعره‏</w:t>
      </w:r>
      <w:bookmarkEnd w:id="7090"/>
    </w:p>
    <w:p>
      <w:pPr>
        <w:pStyle w:val="BookText"/>
      </w:pPr>
      <w:r>
        <w:rPr>
          <w:rFonts w:ascii="IRNazanin" w:hAnsi="IRNazanin" w:eastAsia="IRNazanin" w:cs="IRNazanin"/>
          <w:lang w:bidi="fa-IR"/>
          <w:color w:val="111111"/>
          <w:sz w:val="28"/>
          <w:szCs w:val="28"/>
          <w:rtl/>
        </w:rPr>
        <w:t xml:space="preserve">و هو عبد الوهاب بن محمد الحسینی الحسنی المعموری الهندی. له شرح دیوان الخاقانی ألفه فی 1018 و له فیه أشعار. توجد نسخته فی جامعة طهران. کما فی فهرسها 2: 129- 135.</w:t>
      </w:r>
    </w:p>
    <w:p>
      <w:pPr>
        <w:pStyle w:val="Heading3"/>
      </w:pPr>
      <w:bookmarkStart w:id="7091" w:name="_Toc5787"/>
      <w:r>
        <w:t>5336- دیوان غنی أصفهانی‏</w:t>
      </w:r>
      <w:bookmarkEnd w:id="7091"/>
    </w:p>
    <w:p>
      <w:pPr>
        <w:pStyle w:val="BookText"/>
      </w:pPr>
      <w:r>
        <w:rPr>
          <w:rFonts w:ascii="IRNazanin" w:hAnsi="IRNazanin" w:eastAsia="IRNazanin" w:cs="IRNazanin"/>
          <w:lang w:bidi="fa-IR"/>
          <w:color w:val="111111"/>
          <w:sz w:val="28"/>
          <w:szCs w:val="28"/>
          <w:rtl/>
        </w:rPr>
        <w:t xml:space="preserve">و هو السید عبد الغنی. کان من أعضاء انجمن دانشکده بأصفهان. ترجمه ألفت فی دانش‏نامه و أورد غزله و کذا فی شعرای أصفهان ص 339</w:t>
      </w:r>
    </w:p>
    <w:p>
      <w:pPr>
        <w:pStyle w:val="Heading3"/>
      </w:pPr>
      <w:bookmarkStart w:id="7092" w:name="_Toc5788"/>
      <w:r>
        <w:t>5337- دیوان غنی تبریزی أو شعره‏</w:t>
      </w:r>
      <w:bookmarkEnd w:id="7092"/>
    </w:p>
    <w:p>
      <w:pPr>
        <w:pStyle w:val="BookText"/>
      </w:pPr>
      <w:r>
        <w:rPr>
          <w:rFonts w:ascii="IRNazanin" w:hAnsi="IRNazanin" w:eastAsia="IRNazanin" w:cs="IRNazanin"/>
          <w:lang w:bidi="fa-IR"/>
          <w:color w:val="111111"/>
          <w:sz w:val="28"/>
          <w:szCs w:val="28"/>
          <w:rtl/>
        </w:rPr>
        <w:t xml:space="preserve">ترجمه فی (دجا- ص 287) و أورد شعره نقلا عن جنک مخطوط.</w:t>
      </w:r>
    </w:p>
    <w:p>
      <w:pPr>
        <w:pStyle w:val="Heading3"/>
      </w:pPr>
      <w:bookmarkStart w:id="7093" w:name="_Toc5789"/>
      <w:r>
        <w:t>5338- دیوان غنی تفرشی أو شعره‏</w:t>
      </w:r>
      <w:bookmarkEnd w:id="7093"/>
    </w:p>
    <w:p>
      <w:pPr>
        <w:pStyle w:val="BookText"/>
      </w:pPr>
      <w:r>
        <w:rPr>
          <w:rFonts w:ascii="IRNazanin" w:hAnsi="IRNazanin" w:eastAsia="IRNazanin" w:cs="IRNazanin"/>
          <w:lang w:bidi="fa-IR"/>
          <w:color w:val="111111"/>
          <w:sz w:val="28"/>
          <w:szCs w:val="28"/>
          <w:rtl/>
        </w:rPr>
        <w:t xml:space="preserve">و هو السید عبد الغنی أخ السید محمد صادق.</w:t>
      </w:r>
    </w:p>
    <w:p>
      <w:pPr>
        <w:pStyle w:val="BookText"/>
      </w:pPr>
      <w:r>
        <w:rPr>
          <w:rFonts w:ascii="IRNazanin" w:hAnsi="IRNazanin" w:eastAsia="IRNazanin" w:cs="IRNazanin"/>
          <w:lang w:bidi="fa-IR"/>
          <w:color w:val="111111"/>
          <w:sz w:val="28"/>
          <w:szCs w:val="28"/>
          <w:rtl/>
        </w:rPr>
        <w:t xml:space="preserve">أورد شعره فی (تش 407) و (نر 9- ص 264) کان تلمیذ میر أبی القاسم و معاصر ملا محمد صوفی. و مر بعنوان عبد الغفور التفرشی.</w:t>
      </w:r>
    </w:p>
    <w:p>
      <w:pPr>
        <w:pStyle w:val="Heading3"/>
      </w:pPr>
      <w:bookmarkStart w:id="7094" w:name="_Toc5790"/>
      <w:r>
        <w:t>5339- دیوان غنی‏زاده سلماسی‏</w:t>
      </w:r>
      <w:bookmarkEnd w:id="7094"/>
    </w:p>
    <w:p>
      <w:pPr>
        <w:pStyle w:val="BookText"/>
      </w:pPr>
      <w:r>
        <w:rPr>
          <w:rFonts w:ascii="IRNazanin" w:hAnsi="IRNazanin" w:eastAsia="IRNazanin" w:cs="IRNazanin"/>
          <w:lang w:bidi="fa-IR"/>
          <w:color w:val="111111"/>
          <w:sz w:val="28"/>
          <w:szCs w:val="28"/>
          <w:rtl/>
        </w:rPr>
        <w:t xml:space="preserve">لمحمود غنی‏زاده المولود بسلماس فی 1296 و هاجر إلی إستانبول فی 1330 ثم إلی برلین و کتب فی مجلة کاوه و رجع إلی إیران و نشر جریدة سهند و مات 1353 له تاریخ آذربایجان و ایرانیان مستعرب ترجمه فی سخنوران نامی معاصر: 2 ص 195 طبع له آثار منظوم محمود غنی‏زاده فی 75 ص.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bookmarkStart w:id="784" w:name="pg11704_122269"/>
    <w:bookmarkEnd w:id="784"/>
    <w:p>
      <w:pPr>
        <w:pStyle w:val="Heading3"/>
      </w:pPr>
      <w:bookmarkStart w:id="7095" w:name="_Toc5791"/>
      <w:r>
        <w:t>5340- دیوان غنی کشمیری‏</w:t>
      </w:r>
      <w:bookmarkEnd w:id="7095"/>
    </w:p>
    <w:p>
      <w:pPr>
        <w:pStyle w:val="BookText"/>
      </w:pPr>
      <w:r>
        <w:rPr>
          <w:rFonts w:ascii="IRNazanin" w:hAnsi="IRNazanin" w:eastAsia="IRNazanin" w:cs="IRNazanin"/>
          <w:lang w:bidi="fa-IR"/>
          <w:color w:val="111111"/>
          <w:sz w:val="28"/>
          <w:szCs w:val="28"/>
          <w:rtl/>
        </w:rPr>
        <w:t xml:space="preserve">و اسمه محمد طاهر. جمعه تلمیذه المولی مسلم. و هو فارسی مختصر ترجمه النصرآبادی فی (نر 11- ص 445) و أورد جملة من أشعاره و کذا فی (سرخوش- ص 83) و (سرو- ص 103) و (حسینی- ص 228) و (تش- ص 350). و رأیت فی بعض المجامیع رباعیة فی تاریخ وفاته بما لفظه [وفات غنی کشمیری- 1079].</w:t>
      </w:r>
    </w:p>
    <w:p>
      <w:pPr>
        <w:pStyle w:val="BookText"/>
      </w:pPr>
      <w:r>
        <w:rPr>
          <w:rFonts w:ascii="IRNazanin" w:hAnsi="IRNazanin" w:eastAsia="IRNazanin" w:cs="IRNazanin"/>
          <w:lang w:bidi="fa-IR"/>
          <w:color w:val="111111"/>
          <w:sz w:val="28"/>
          <w:szCs w:val="28"/>
          <w:rtl/>
        </w:rPr>
        <w:t xml:space="preserve">از فوت غنی گشتند که و مه غمگین‏</w:t>
      </w:r>
    </w:p>
    <w:p>
      <w:pPr>
        <w:pStyle w:val="BookText"/>
      </w:pPr>
      <w:r>
        <w:rPr>
          <w:rFonts w:ascii="IRNazanin" w:hAnsi="IRNazanin" w:eastAsia="IRNazanin" w:cs="IRNazanin"/>
          <w:lang w:bidi="fa-IR"/>
          <w:color w:val="111111"/>
          <w:sz w:val="28"/>
          <w:szCs w:val="28"/>
          <w:rtl/>
        </w:rPr>
        <w:t xml:space="preserve">هرکس شده در ماتم أو خاک‏نشین‏</w:t>
      </w:r>
    </w:p>
    <w:p>
      <w:pPr>
        <w:pStyle w:val="BookText"/>
      </w:pPr>
      <w:r>
        <w:rPr>
          <w:rFonts w:ascii="IRNazanin" w:hAnsi="IRNazanin" w:eastAsia="IRNazanin" w:cs="IRNazanin"/>
          <w:lang w:bidi="fa-IR"/>
          <w:color w:val="111111"/>
          <w:sz w:val="28"/>
          <w:szCs w:val="28"/>
          <w:rtl/>
        </w:rPr>
        <w:t xml:space="preserve">تاریخ وفاتش ار بپرسند بگوی‏</w:t>
      </w:r>
    </w:p>
    <w:p>
      <w:pPr>
        <w:pStyle w:val="BookText"/>
      </w:pPr>
      <w:r>
        <w:rPr>
          <w:rFonts w:ascii="IRNazanin" w:hAnsi="IRNazanin" w:eastAsia="IRNazanin" w:cs="IRNazanin"/>
          <w:lang w:bidi="fa-IR"/>
          <w:color w:val="111111"/>
          <w:sz w:val="28"/>
          <w:szCs w:val="28"/>
          <w:rtl/>
        </w:rPr>
        <w:t xml:space="preserve">(پنهان شده گنج هنری زیر زمین‏</w:t>
      </w:r>
    </w:p>
    <w:p>
      <w:pPr>
        <w:pStyle w:val="BookText"/>
      </w:pPr>
      <w:r>
        <w:rPr>
          <w:rFonts w:ascii="IRNazanin" w:hAnsi="IRNazanin" w:eastAsia="IRNazanin" w:cs="IRNazanin"/>
          <w:lang w:bidi="fa-IR"/>
          <w:color w:val="111111"/>
          <w:sz w:val="28"/>
          <w:szCs w:val="28"/>
          <w:rtl/>
        </w:rPr>
        <w:t xml:space="preserve">) رأیت نسخه منه عند السید جعفر الشیرازی الرانگونی نزیل سامراء أخیرا، و فی آخره رباعیة التاریخ لوفاته لکنها مغلوطة. و طبع دیوان غنی فی لکهنو 1845 م و 1869 م و نولکشور و 1261.</w:t>
      </w:r>
    </w:p>
    <w:p>
      <w:pPr>
        <w:pStyle w:val="Heading3"/>
      </w:pPr>
      <w:bookmarkStart w:id="7096" w:name="_Toc5792"/>
      <w:r>
        <w:t>5341- دیوان غنی لاهیجی أو شعره‏</w:t>
      </w:r>
      <w:bookmarkEnd w:id="7096"/>
    </w:p>
    <w:p>
      <w:pPr>
        <w:pStyle w:val="BookText"/>
      </w:pPr>
      <w:r>
        <w:rPr>
          <w:rFonts w:ascii="IRNazanin" w:hAnsi="IRNazanin" w:eastAsia="IRNazanin" w:cs="IRNazanin"/>
          <w:lang w:bidi="fa-IR"/>
          <w:color w:val="111111"/>
          <w:sz w:val="28"/>
          <w:szCs w:val="28"/>
          <w:rtl/>
        </w:rPr>
        <w:t xml:space="preserve">کان صفارا ترجمه الصادقی فی (خص 8- ص 238) و أورد شعره و ذکر أنه ملازم السلطان خان أحمد پادشاه.</w:t>
      </w:r>
    </w:p>
    <w:p>
      <w:pPr>
        <w:pStyle w:val="Heading3"/>
      </w:pPr>
      <w:bookmarkStart w:id="7097" w:name="_Toc5793"/>
      <w:r>
        <w:t>5342- دیوان غنیمت پنجابی‏</w:t>
      </w:r>
      <w:bookmarkEnd w:id="7097"/>
    </w:p>
    <w:p>
      <w:pPr>
        <w:pStyle w:val="BookText"/>
      </w:pPr>
      <w:r>
        <w:rPr>
          <w:rFonts w:ascii="IRNazanin" w:hAnsi="IRNazanin" w:eastAsia="IRNazanin" w:cs="IRNazanin"/>
          <w:lang w:bidi="fa-IR"/>
          <w:color w:val="111111"/>
          <w:sz w:val="28"/>
          <w:szCs w:val="28"/>
          <w:rtl/>
        </w:rPr>
        <w:t xml:space="preserve">و هو محمد أکرم الملتانی الهندی المتوفی 1100 عم محمد صداقت. ترجمه و أورد شعره فی (سرخوش- ص 82) و (حسینی- ص 230) طبع له نیرنگ عشق أو مثنوی غنیمت بالهند مکررا فی 92 ص.</w:t>
      </w:r>
    </w:p>
    <w:p>
      <w:pPr>
        <w:pStyle w:val="Heading3"/>
      </w:pPr>
      <w:bookmarkStart w:id="7098" w:name="_Toc5794"/>
      <w:r>
        <w:t>5343- دیوان غنی یزدی أو شعره‏</w:t>
      </w:r>
      <w:bookmarkEnd w:id="7098"/>
    </w:p>
    <w:p>
      <w:pPr>
        <w:pStyle w:val="BookText"/>
      </w:pPr>
      <w:r>
        <w:rPr>
          <w:rFonts w:ascii="IRNazanin" w:hAnsi="IRNazanin" w:eastAsia="IRNazanin" w:cs="IRNazanin"/>
          <w:lang w:bidi="fa-IR"/>
          <w:color w:val="111111"/>
          <w:sz w:val="28"/>
          <w:szCs w:val="28"/>
          <w:rtl/>
        </w:rPr>
        <w:t xml:space="preserve">و هو السید میرزا محمد غنی من السادة العریضیة فی یزد. ترجمه آیتی فی (تش یز- ص 313) و ذکر أنه مستوفی منشی شاعر ماهر ثم أورد شعره.</w:t>
      </w:r>
    </w:p>
    <w:p>
      <w:pPr>
        <w:pStyle w:val="Heading3"/>
      </w:pPr>
      <w:bookmarkStart w:id="7099" w:name="_Toc5795"/>
      <w:r>
        <w:t>5344- دیوان غواصی یزدی‏</w:t>
      </w:r>
      <w:bookmarkEnd w:id="7099"/>
    </w:p>
    <w:p>
      <w:pPr>
        <w:pStyle w:val="BookText"/>
      </w:pPr>
      <w:r>
        <w:rPr>
          <w:rFonts w:ascii="IRNazanin" w:hAnsi="IRNazanin" w:eastAsia="IRNazanin" w:cs="IRNazanin"/>
          <w:lang w:bidi="fa-IR"/>
          <w:color w:val="111111"/>
          <w:sz w:val="28"/>
          <w:szCs w:val="28"/>
          <w:rtl/>
        </w:rPr>
        <w:t xml:space="preserve">ترجمه سام میرزا فی (تس 5- ص 174) و قال إنه خراسانی ذکر أنه فی کل یوم ینظم خمسمائة بیت و لو قدر علی شراء القرطاس للکتابة نظم أزید من ذلک و لم یعجز عن نظم الزائد علیها، و قد جاوز عمره التسعین. و له نظم روضة الشعراء و قصص الأنبیاء و تاریخ طبری و کلیلة و دمنة و ساقی‏نامه و ذخیرة خوارزمشاهی و أورد بعض أبیات الأخیر نموذجا و قال إنه لکونه مداحا لأهل البیت لا یؤاخذ بشی‏ء من شعره و عده آیتی فی (تش یز- ص 313) من شعراء یزد و حکی القول بأنه نظم تسعمائة ألف بیت، و منها نظم روضة الشهداء و ترجمه فی (تش- ص 161) و (نتایج- ص 509).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bookmarkStart w:id="785" w:name="pg11704_122270"/>
    <w:bookmarkEnd w:id="785"/>
    <w:p>
      <w:pPr>
        <w:pStyle w:val="Heading3"/>
      </w:pPr>
      <w:bookmarkStart w:id="7100" w:name="_Toc5796"/>
      <w:r>
        <w:t>5345- دیوان غوث أعظم‏</w:t>
      </w:r>
      <w:bookmarkEnd w:id="7100"/>
    </w:p>
    <w:p>
      <w:pPr>
        <w:pStyle w:val="BookText"/>
      </w:pPr>
      <w:r>
        <w:rPr>
          <w:rFonts w:ascii="IRNazanin" w:hAnsi="IRNazanin" w:eastAsia="IRNazanin" w:cs="IRNazanin"/>
          <w:lang w:bidi="fa-IR"/>
          <w:color w:val="111111"/>
          <w:sz w:val="28"/>
          <w:szCs w:val="28"/>
          <w:rtl/>
        </w:rPr>
        <w:t xml:space="preserve">لعبد القادر الجیلانی. یأتی بتخلصه یحیی.</w:t>
      </w:r>
    </w:p>
    <w:p>
      <w:pPr>
        <w:pStyle w:val="Heading3"/>
      </w:pPr>
      <w:bookmarkStart w:id="7101" w:name="_Toc5797"/>
      <w:r>
        <w:t>5346- دیوان غوغای خلعتبری‏</w:t>
      </w:r>
      <w:bookmarkEnd w:id="7101"/>
    </w:p>
    <w:p>
      <w:pPr>
        <w:pStyle w:val="BookText"/>
      </w:pPr>
      <w:r>
        <w:rPr>
          <w:rFonts w:ascii="IRNazanin" w:hAnsi="IRNazanin" w:eastAsia="IRNazanin" w:cs="IRNazanin"/>
          <w:lang w:bidi="fa-IR"/>
          <w:color w:val="111111"/>
          <w:sz w:val="28"/>
          <w:szCs w:val="28"/>
          <w:rtl/>
        </w:rPr>
        <w:t xml:space="preserve">لعادل‏نژاد خلعتبری. طبع بطهران 1374 باسم غروب فی 96 ص.</w:t>
      </w:r>
    </w:p>
    <w:p>
      <w:pPr>
        <w:pStyle w:val="Heading3"/>
      </w:pPr>
      <w:bookmarkStart w:id="7102" w:name="_Toc5798"/>
      <w:r>
        <w:t>5347- دیوان غوغا مازندرانی‏</w:t>
      </w:r>
      <w:bookmarkEnd w:id="7102"/>
    </w:p>
    <w:p>
      <w:pPr>
        <w:pStyle w:val="BookText"/>
      </w:pPr>
      <w:r>
        <w:rPr>
          <w:rFonts w:ascii="IRNazanin" w:hAnsi="IRNazanin" w:eastAsia="IRNazanin" w:cs="IRNazanin"/>
          <w:lang w:bidi="fa-IR"/>
          <w:color w:val="111111"/>
          <w:sz w:val="28"/>
          <w:szCs w:val="28"/>
          <w:rtl/>
        </w:rPr>
        <w:t xml:space="preserve">ترجمه و أورد شعره فی المدائح المعتمدیة.</w:t>
      </w:r>
    </w:p>
    <w:p>
      <w:pPr>
        <w:pStyle w:val="Heading3"/>
      </w:pPr>
      <w:bookmarkStart w:id="7103" w:name="_Toc5799"/>
      <w:r>
        <w:t>5348- دیوان غیاث ابرقوهی أو شعره‏</w:t>
      </w:r>
      <w:bookmarkEnd w:id="7103"/>
    </w:p>
    <w:p>
      <w:pPr>
        <w:pStyle w:val="BookText"/>
      </w:pPr>
      <w:r>
        <w:rPr>
          <w:rFonts w:ascii="IRNazanin" w:hAnsi="IRNazanin" w:eastAsia="IRNazanin" w:cs="IRNazanin"/>
          <w:lang w:bidi="fa-IR"/>
          <w:color w:val="111111"/>
          <w:sz w:val="28"/>
          <w:szCs w:val="28"/>
          <w:rtl/>
        </w:rPr>
        <w:t xml:space="preserve">ترجمه آیتی فی (تش یز- ص 315) و عده من شعراء یزد معترفا بأنه لم یجد ترجمته و انما أورد شعره. أقول ترجمه النصرآبادی فی (نر 9- ص 302) بعنوان میر غیاثا بن المیرزا هادی الذی هو أخ المیر برهان الأبرقوهی هو و والده و عمه البرهان کلهم من الشعراء و من سادات أبرقوه المترجمین فی تذکره النصرآبادی مع أشعارهم و أورد من شعر غیاثا ما ذکره له آیتی.</w:t>
      </w:r>
    </w:p>
    <w:p>
      <w:pPr>
        <w:pStyle w:val="Heading3"/>
      </w:pPr>
      <w:bookmarkStart w:id="7104" w:name="_Toc5800"/>
      <w:r>
        <w:t>5349- دیوان غیاث الأسترآبادی أو شعره‏</w:t>
      </w:r>
      <w:bookmarkEnd w:id="7104"/>
    </w:p>
    <w:p>
      <w:pPr>
        <w:pStyle w:val="BookText"/>
      </w:pPr>
      <w:r>
        <w:rPr>
          <w:rFonts w:ascii="IRNazanin" w:hAnsi="IRNazanin" w:eastAsia="IRNazanin" w:cs="IRNazanin"/>
          <w:lang w:bidi="fa-IR"/>
          <w:color w:val="111111"/>
          <w:sz w:val="28"/>
          <w:szCs w:val="28"/>
          <w:rtl/>
        </w:rPr>
        <w:t xml:space="preserve">کان رحالة لکن أکثر بقائه بأسترآباد ترجمه مصاحبه فیها و معاصره الصادقی فی (خص- ص 250) و أورد بعض أشعاره منها ما مضمونه للمولی شریف التبریزی و فی (نتایج- ص 102) خلطه مع غیاث الدین محمد بزمی المذکور.</w:t>
      </w:r>
    </w:p>
    <w:p>
      <w:pPr>
        <w:pStyle w:val="BookText"/>
      </w:pPr>
      <w:r>
        <w:rPr>
          <w:rFonts w:ascii="IRNazanin" w:hAnsi="IRNazanin" w:eastAsia="IRNazanin" w:cs="IRNazanin"/>
          <w:lang w:bidi="fa-IR"/>
          <w:color w:val="111111"/>
          <w:sz w:val="28"/>
          <w:szCs w:val="28"/>
          <w:rtl/>
        </w:rPr>
        <w:t xml:space="preserve">فی ص 134.</w:t>
      </w:r>
    </w:p>
    <w:p>
      <w:pPr>
        <w:pStyle w:val="Heading3"/>
      </w:pPr>
      <w:bookmarkStart w:id="7105" w:name="_Toc5801"/>
      <w:r>
        <w:t>دیوان غیاث أصفهانی‏</w:t>
      </w:r>
      <w:bookmarkEnd w:id="7105"/>
    </w:p>
    <w:p>
      <w:pPr>
        <w:pStyle w:val="BookText"/>
      </w:pPr>
      <w:r>
        <w:rPr>
          <w:rFonts w:ascii="IRNazanin" w:hAnsi="IRNazanin" w:eastAsia="IRNazanin" w:cs="IRNazanin"/>
          <w:lang w:bidi="fa-IR"/>
          <w:color w:val="111111"/>
          <w:sz w:val="28"/>
          <w:szCs w:val="28"/>
          <w:rtl/>
        </w:rPr>
        <w:t xml:space="preserve">راجع دیوان منصف و دیوان خیال.</w:t>
      </w:r>
    </w:p>
    <w:p>
      <w:pPr>
        <w:pStyle w:val="Heading3"/>
      </w:pPr>
      <w:bookmarkStart w:id="7106" w:name="_Toc5802"/>
      <w:r>
        <w:t>5350- دیوان المیر غیاث الدین أو شعره‏</w:t>
      </w:r>
      <w:bookmarkEnd w:id="7106"/>
    </w:p>
    <w:p>
      <w:pPr>
        <w:pStyle w:val="BookText"/>
      </w:pPr>
      <w:r>
        <w:rPr>
          <w:rFonts w:ascii="IRNazanin" w:hAnsi="IRNazanin" w:eastAsia="IRNazanin" w:cs="IRNazanin"/>
          <w:lang w:bidi="fa-IR"/>
          <w:color w:val="111111"/>
          <w:sz w:val="28"/>
          <w:szCs w:val="28"/>
          <w:rtl/>
        </w:rPr>
        <w:t xml:space="preserve">هو من سادات بلکه و نقباء مشهد خراسان و یقال له سید شرقه. ترجمه فی (مجن 4- ص 96 و 272) و أورد شعره.</w:t>
      </w:r>
    </w:p>
    <w:p>
      <w:pPr>
        <w:pStyle w:val="Heading3"/>
      </w:pPr>
      <w:bookmarkStart w:id="7107" w:name="_Toc5803"/>
      <w:r>
        <w:t>5351- دیوان غیاث الدین صباغ‏</w:t>
      </w:r>
      <w:bookmarkEnd w:id="7107"/>
    </w:p>
    <w:p>
      <w:pPr>
        <w:pStyle w:val="BookText"/>
      </w:pPr>
      <w:r>
        <w:rPr>
          <w:rFonts w:ascii="IRNazanin" w:hAnsi="IRNazanin" w:eastAsia="IRNazanin" w:cs="IRNazanin"/>
          <w:lang w:bidi="fa-IR"/>
          <w:color w:val="111111"/>
          <w:sz w:val="28"/>
          <w:szCs w:val="28"/>
          <w:rtl/>
        </w:rPr>
        <w:t xml:space="preserve">ترجمه فی (بهش 2- 383) و أورد رباعیه.</w:t>
      </w:r>
    </w:p>
    <w:p>
      <w:pPr>
        <w:pStyle w:val="Heading3"/>
      </w:pPr>
      <w:bookmarkStart w:id="7108" w:name="_Toc5804"/>
      <w:r>
        <w:t>5352- دیوان غیاث الدین طبیب‏</w:t>
      </w:r>
      <w:bookmarkEnd w:id="7108"/>
    </w:p>
    <w:p>
      <w:pPr>
        <w:pStyle w:val="BookText"/>
      </w:pPr>
      <w:r>
        <w:rPr>
          <w:rFonts w:ascii="IRNazanin" w:hAnsi="IRNazanin" w:eastAsia="IRNazanin" w:cs="IRNazanin"/>
          <w:lang w:bidi="fa-IR"/>
          <w:color w:val="111111"/>
          <w:sz w:val="28"/>
          <w:szCs w:val="28"/>
          <w:rtl/>
        </w:rPr>
        <w:t xml:space="preserve">ترجمه فی (قز مج 4- ص 277) و أطری حذاقته فی الطب و قوة طبعه فی النظم و ذکر أنه تتبع الخمسة للنظامی و فی (لط 4- ص 192) ترجمه بعنوان غیاث الدین علی و ذکر أنه تتبع مخزن الأسرار للشیخ النظامی و أن له رسائل فی الطب و فی بعض النسخ منه، اسمه غیاث الدین محمد.</w:t>
      </w:r>
    </w:p>
    <w:p>
      <w:pPr>
        <w:pStyle w:val="Heading3"/>
      </w:pPr>
      <w:bookmarkStart w:id="7109" w:name="_Toc5805"/>
      <w:r>
        <w:t>5353- دیوان غیاث الدین علی أو شعره‏</w:t>
      </w:r>
      <w:bookmarkEnd w:id="7109"/>
    </w:p>
    <w:p>
      <w:pPr>
        <w:pStyle w:val="BookText"/>
      </w:pPr>
      <w:r>
        <w:rPr>
          <w:rFonts w:ascii="IRNazanin" w:hAnsi="IRNazanin" w:eastAsia="IRNazanin" w:cs="IRNazanin"/>
          <w:lang w:bidi="fa-IR"/>
          <w:color w:val="111111"/>
          <w:sz w:val="28"/>
          <w:szCs w:val="28"/>
          <w:rtl/>
        </w:rPr>
        <w:t xml:space="preserve">قال فی (مجتس 6- ص 152) إنه من قدماء الشعراء و إنه نظم جواب بوستان و أورد مطلعه.</w:t>
      </w:r>
    </w:p>
    <w:p>
      <w:pPr>
        <w:pStyle w:val="Heading3"/>
      </w:pPr>
      <w:bookmarkStart w:id="7110" w:name="_Toc5806"/>
      <w:r>
        <w:t>5354- دیوان غیاث الدین علی أو شعره‏</w:t>
      </w:r>
      <w:bookmarkEnd w:id="7110"/>
    </w:p>
    <w:p>
      <w:pPr>
        <w:pStyle w:val="BookText"/>
      </w:pPr>
      <w:r>
        <w:rPr>
          <w:rFonts w:ascii="IRNazanin" w:hAnsi="IRNazanin" w:eastAsia="IRNazanin" w:cs="IRNazanin"/>
          <w:lang w:bidi="fa-IR"/>
          <w:color w:val="111111"/>
          <w:sz w:val="28"/>
          <w:szCs w:val="28"/>
          <w:rtl/>
        </w:rPr>
        <w:t xml:space="preserve">أیضا ترجمه فی (مجتس 6 ص 152) قبل غیاث الدین المذکور و أورد رباعیه.
</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bookmarkStart w:id="786" w:name="pg11704_122271"/>
    <w:bookmarkEnd w:id="786"/>
    <w:p>
      <w:pPr>
        <w:pStyle w:val="Heading3"/>
      </w:pPr>
      <w:bookmarkStart w:id="7111" w:name="_Toc5807"/>
      <w:r>
        <w:t>5355- دیوان غیاث الدین محمد أو شعره‏</w:t>
      </w:r>
      <w:bookmarkEnd w:id="7111"/>
    </w:p>
    <w:p>
      <w:pPr>
        <w:pStyle w:val="BookText"/>
      </w:pPr>
      <w:r>
        <w:rPr>
          <w:rFonts w:ascii="IRNazanin" w:hAnsi="IRNazanin" w:eastAsia="IRNazanin" w:cs="IRNazanin"/>
          <w:lang w:bidi="fa-IR"/>
          <w:color w:val="111111"/>
          <w:sz w:val="28"/>
          <w:szCs w:val="28"/>
          <w:rtl/>
        </w:rPr>
        <w:t xml:space="preserve">کان یتخلص بصنعی الهروی المولد ترجمه فی (مجتس 3- ص 145) و أورد معماه باسم علی.</w:t>
      </w:r>
    </w:p>
    <w:p>
      <w:pPr>
        <w:pStyle w:val="Heading3"/>
      </w:pPr>
      <w:bookmarkStart w:id="7112" w:name="_Toc5808"/>
      <w:r>
        <w:t>5356- دیوان غیاث الدین کجج‏</w:t>
      </w:r>
      <w:bookmarkEnd w:id="7112"/>
    </w:p>
    <w:p>
      <w:pPr>
        <w:pStyle w:val="BookText"/>
      </w:pPr>
      <w:r>
        <w:rPr>
          <w:rFonts w:ascii="IRNazanin" w:hAnsi="IRNazanin" w:eastAsia="IRNazanin" w:cs="IRNazanin"/>
          <w:lang w:bidi="fa-IR"/>
          <w:color w:val="111111"/>
          <w:sz w:val="28"/>
          <w:szCs w:val="28"/>
          <w:rtl/>
        </w:rPr>
        <w:t xml:space="preserve">و هو الخواجة الشیخ محمد المتخلص بکجج المتوفی 778 کان من شعراء سلطان أویس و سلطان حسین. أورد ترجمته فی (دجا- ص 289) عن تذکره دولت شاه و زبدة الأفکار و صحف إبراهیم و قال آیتی رأیت دیوانه قرب عشرة آلاف بیت فی مکتبة راشد أفندی بأستانبول تاریخ کتابته 787 و ذکر أن کججان قریة علی فرسخین من تبریز.</w:t>
      </w:r>
    </w:p>
    <w:p>
      <w:pPr>
        <w:pStyle w:val="Heading3"/>
      </w:pPr>
      <w:bookmarkStart w:id="7113" w:name="_Toc5809"/>
      <w:r>
        <w:t>5357- دیوان غیاث الدین محمد الکججی‏</w:t>
      </w:r>
      <w:bookmarkEnd w:id="7113"/>
    </w:p>
    <w:p>
      <w:pPr>
        <w:pStyle w:val="BookText"/>
      </w:pPr>
      <w:r>
        <w:rPr>
          <w:rFonts w:ascii="IRNazanin" w:hAnsi="IRNazanin" w:eastAsia="IRNazanin" w:cs="IRNazanin"/>
          <w:lang w:bidi="fa-IR"/>
          <w:color w:val="111111"/>
          <w:sz w:val="28"/>
          <w:szCs w:val="28"/>
          <w:rtl/>
        </w:rPr>
        <w:t xml:space="preserve">أخ جلال الدین أمیر بیگ مهرداد و من أحفاد غیاث الدین المذکور. ترجمه معاصر سام میرزا فی (تس 3- ص 57) و أورد شعره و ترجمه فی (دجا- ص 287) نقلا عن سام میرزا و عن صبح گلشن.</w:t>
      </w:r>
    </w:p>
    <w:p>
      <w:pPr>
        <w:pStyle w:val="Heading3"/>
      </w:pPr>
      <w:bookmarkStart w:id="7114" w:name="_Toc5810"/>
      <w:r>
        <w:t>دیوان غیاث الدین محمد نیشابوری‏</w:t>
      </w:r>
      <w:bookmarkEnd w:id="7114"/>
    </w:p>
    <w:p>
      <w:pPr>
        <w:pStyle w:val="BookText"/>
      </w:pPr>
      <w:r>
        <w:rPr>
          <w:rFonts w:ascii="IRNazanin" w:hAnsi="IRNazanin" w:eastAsia="IRNazanin" w:cs="IRNazanin"/>
          <w:lang w:bidi="fa-IR"/>
          <w:color w:val="111111"/>
          <w:sz w:val="28"/>
          <w:szCs w:val="28"/>
          <w:rtl/>
        </w:rPr>
        <w:t xml:space="preserve">القاضی بمشهد خراسان ترجمه سام میرزا فی (تس 4- ص 76) و أطری تقواه و یده الطولی فی الشعر حتی أنه کان یجاوب کل شعر یطلع علیه، و کان یتخلص بسامی کما مر فی ص 424.</w:t>
      </w:r>
    </w:p>
    <w:p>
      <w:pPr>
        <w:pStyle w:val="Heading3"/>
      </w:pPr>
      <w:bookmarkStart w:id="7115" w:name="_Toc5811"/>
      <w:r>
        <w:t>دیوان غیاث الدین محمد نیشابوری‏</w:t>
      </w:r>
      <w:bookmarkEnd w:id="7115"/>
    </w:p>
    <w:p>
      <w:pPr>
        <w:pStyle w:val="BookText"/>
      </w:pPr>
      <w:r>
        <w:rPr>
          <w:rFonts w:ascii="IRNazanin" w:hAnsi="IRNazanin" w:eastAsia="IRNazanin" w:cs="IRNazanin"/>
          <w:lang w:bidi="fa-IR"/>
          <w:color w:val="111111"/>
          <w:sz w:val="28"/>
          <w:szCs w:val="28"/>
          <w:rtl/>
        </w:rPr>
        <w:t xml:space="preserve">المتخلص حریمی ترجمه و أورد شعره فی (مجتس 6- ص 150) و لعله المذکور قبله و المتخلص سامی، کما مر فی ص 424.</w:t>
      </w:r>
    </w:p>
    <w:p>
      <w:pPr>
        <w:pStyle w:val="Heading3"/>
      </w:pPr>
      <w:bookmarkStart w:id="7116" w:name="_Toc5812"/>
      <w:r>
        <w:t>دیوان غیاث زرباف‏</w:t>
      </w:r>
      <w:bookmarkEnd w:id="7116"/>
    </w:p>
    <w:p>
      <w:pPr>
        <w:pStyle w:val="BookText"/>
      </w:pPr>
      <w:r>
        <w:rPr>
          <w:rFonts w:ascii="IRNazanin" w:hAnsi="IRNazanin" w:eastAsia="IRNazanin" w:cs="IRNazanin"/>
          <w:lang w:bidi="fa-IR"/>
          <w:color w:val="111111"/>
          <w:sz w:val="28"/>
          <w:szCs w:val="28"/>
          <w:rtl/>
        </w:rPr>
        <w:t xml:space="preserve">راجع غیاث نقشبند.</w:t>
      </w:r>
    </w:p>
    <w:p>
      <w:pPr>
        <w:pStyle w:val="Heading3"/>
      </w:pPr>
      <w:bookmarkStart w:id="7117" w:name="_Toc5813"/>
      <w:r>
        <w:t>5358- دیوان غیاث شیرازی أو شعره‏</w:t>
      </w:r>
      <w:bookmarkEnd w:id="7117"/>
    </w:p>
    <w:p>
      <w:pPr>
        <w:pStyle w:val="BookText"/>
      </w:pPr>
      <w:r>
        <w:rPr>
          <w:rFonts w:ascii="IRNazanin" w:hAnsi="IRNazanin" w:eastAsia="IRNazanin" w:cs="IRNazanin"/>
          <w:lang w:bidi="fa-IR"/>
          <w:color w:val="111111"/>
          <w:sz w:val="28"/>
          <w:szCs w:val="28"/>
          <w:rtl/>
        </w:rPr>
        <w:t xml:space="preserve">ترجمه و أورد شعره بتخلص غیاث فی (لت 6) و صرح بتشیعه.</w:t>
      </w:r>
    </w:p>
    <w:p>
      <w:pPr>
        <w:pStyle w:val="Heading3"/>
      </w:pPr>
      <w:bookmarkStart w:id="7118" w:name="_Toc5814"/>
      <w:r>
        <w:t>دیوان غیاث شیرازی‏</w:t>
      </w:r>
      <w:bookmarkEnd w:id="7118"/>
    </w:p>
    <w:p>
      <w:pPr>
        <w:pStyle w:val="BookText"/>
      </w:pPr>
      <w:r>
        <w:rPr>
          <w:rFonts w:ascii="IRNazanin" w:hAnsi="IRNazanin" w:eastAsia="IRNazanin" w:cs="IRNazanin"/>
          <w:lang w:bidi="fa-IR"/>
          <w:color w:val="111111"/>
          <w:sz w:val="28"/>
          <w:szCs w:val="28"/>
          <w:rtl/>
        </w:rPr>
        <w:t xml:space="preserve">راجع حلوائی شیرازی فی ص 265 و ترجم فی فارس‏نامه- 2: 149.</w:t>
      </w:r>
    </w:p>
    <w:p>
      <w:pPr>
        <w:pStyle w:val="Heading3"/>
      </w:pPr>
      <w:bookmarkStart w:id="7119" w:name="_Toc5815"/>
      <w:r>
        <w:t>5359- دیوان غیاث شیرازی أو شعره‏</w:t>
      </w:r>
      <w:bookmarkEnd w:id="7119"/>
    </w:p>
    <w:p>
      <w:pPr>
        <w:pStyle w:val="BookText"/>
      </w:pPr>
      <w:r>
        <w:rPr>
          <w:rFonts w:ascii="IRNazanin" w:hAnsi="IRNazanin" w:eastAsia="IRNazanin" w:cs="IRNazanin"/>
          <w:lang w:bidi="fa-IR"/>
          <w:color w:val="111111"/>
          <w:sz w:val="28"/>
          <w:szCs w:val="28"/>
          <w:rtl/>
        </w:rPr>
        <w:t xml:space="preserve">و هو المیر غیاث الدین منصور بن المیر صدر الدین الدشتکی الفیلسوف الشیرازی. ترجمه و أورد شعره فی (تش- ص 290).</w:t>
      </w:r>
    </w:p>
    <w:p>
      <w:pPr>
        <w:pStyle w:val="Heading3"/>
      </w:pPr>
      <w:bookmarkStart w:id="7120" w:name="_Toc5816"/>
      <w:r>
        <w:t>5360- دیوان غیاث شیرازی أو شعره‏</w:t>
      </w:r>
      <w:bookmarkEnd w:id="7120"/>
    </w:p>
    <w:p>
      <w:pPr>
        <w:pStyle w:val="BookText"/>
      </w:pPr>
      <w:r>
        <w:rPr>
          <w:rFonts w:ascii="IRNazanin" w:hAnsi="IRNazanin" w:eastAsia="IRNazanin" w:cs="IRNazanin"/>
          <w:lang w:bidi="fa-IR"/>
          <w:color w:val="111111"/>
          <w:sz w:val="28"/>
          <w:szCs w:val="28"/>
          <w:rtl/>
        </w:rPr>
        <w:t xml:space="preserve">هو حفید المیر غیاث الدین الدشتکی المذکور آنفا و ابن أخت محمد زمان المشهدی. ترجمه فی (نر 5- ص 99) و قال: وقع فی غرام مرأة تسمی ماندگار و سافر إلی الهند، ثم أورد شعره فی حق رقیبه المیر هادی.
</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bookmarkStart w:id="787" w:name="pg11704_122272"/>
    <w:bookmarkEnd w:id="787"/>
    <w:p>
      <w:pPr>
        <w:pStyle w:val="Heading3"/>
      </w:pPr>
      <w:bookmarkStart w:id="7121" w:name="_Toc5817"/>
      <w:r>
        <w:t>دیوان غیاث کاشانی‏</w:t>
      </w:r>
      <w:bookmarkEnd w:id="7121"/>
    </w:p>
    <w:p>
      <w:pPr>
        <w:pStyle w:val="BookText"/>
      </w:pPr>
      <w:r>
        <w:rPr>
          <w:rFonts w:ascii="IRNazanin" w:hAnsi="IRNazanin" w:eastAsia="IRNazanin" w:cs="IRNazanin"/>
          <w:lang w:bidi="fa-IR"/>
          <w:color w:val="111111"/>
          <w:sz w:val="28"/>
          <w:szCs w:val="28"/>
          <w:rtl/>
        </w:rPr>
        <w:t xml:space="preserve">کما فی (تس 5- ص 157) راجع دیوان فصیحی و دیوان غیاث نجومی.</w:t>
      </w:r>
    </w:p>
    <w:p>
      <w:pPr>
        <w:pStyle w:val="Heading3"/>
      </w:pPr>
      <w:bookmarkStart w:id="7122" w:name="_Toc5818"/>
      <w:r>
        <w:t>دیوان غیاث قافیة</w:t>
      </w:r>
      <w:bookmarkEnd w:id="7122"/>
    </w:p>
    <w:p>
      <w:pPr>
        <w:pStyle w:val="BookText"/>
      </w:pPr>
      <w:r>
        <w:rPr>
          <w:rFonts w:ascii="IRNazanin" w:hAnsi="IRNazanin" w:eastAsia="IRNazanin" w:cs="IRNazanin"/>
          <w:lang w:bidi="fa-IR"/>
          <w:color w:val="111111"/>
          <w:sz w:val="28"/>
          <w:szCs w:val="28"/>
          <w:rtl/>
        </w:rPr>
        <w:t xml:space="preserve">راجع غیاث هروی.</w:t>
      </w:r>
    </w:p>
    <w:p>
      <w:pPr>
        <w:pStyle w:val="Heading3"/>
      </w:pPr>
      <w:bookmarkStart w:id="7123" w:name="_Toc5819"/>
      <w:r>
        <w:t>5361- دیوان غیاث قاینی‏</w:t>
      </w:r>
      <w:bookmarkEnd w:id="7123"/>
    </w:p>
    <w:p>
      <w:pPr>
        <w:pStyle w:val="BookText"/>
      </w:pPr>
      <w:r>
        <w:rPr>
          <w:rFonts w:ascii="IRNazanin" w:hAnsi="IRNazanin" w:eastAsia="IRNazanin" w:cs="IRNazanin"/>
          <w:lang w:bidi="fa-IR"/>
          <w:color w:val="111111"/>
          <w:sz w:val="28"/>
          <w:szCs w:val="28"/>
          <w:rtl/>
        </w:rPr>
        <w:t xml:space="preserve">و اسمه غیاث الدین رأی سنگلاخ رباعیاته بخط محمد خندان، فذکره فی امتحان الفضلاء- 1: 115.</w:t>
      </w:r>
    </w:p>
    <w:p>
      <w:pPr>
        <w:pStyle w:val="Heading3"/>
      </w:pPr>
      <w:bookmarkStart w:id="7124" w:name="_Toc5820"/>
      <w:r>
        <w:t>5362- دیوان خواجه غیاث نقشبند الیزدی‏</w:t>
      </w:r>
      <w:bookmarkEnd w:id="7124"/>
    </w:p>
    <w:p>
      <w:pPr>
        <w:pStyle w:val="BookText"/>
      </w:pPr>
      <w:r>
        <w:rPr>
          <w:rFonts w:ascii="IRNazanin" w:hAnsi="IRNazanin" w:eastAsia="IRNazanin" w:cs="IRNazanin"/>
          <w:lang w:bidi="fa-IR"/>
          <w:color w:val="111111"/>
          <w:sz w:val="28"/>
          <w:szCs w:val="28"/>
          <w:rtl/>
        </w:rPr>
        <w:t xml:space="preserve">النساج نزیل أصفهان الکامل فی هذه الصناعة فی عصر الشاه عباس الماضی. ترجمه النصرآبادی فی (نر 2- ص 49) و (تش- ص 261) و أوردا بعض شعره. و ترجمه آیتی أیضا فی (تش یز- ص 314) و أورد رباعیته التی أنشأها قبل نزوله بأصفهان. و ترجمه الصادقی فی (خص 8- ص 187) و أطرأه و ذکر أنه کان جاره و جلیسه فی یزد و إنه کان ینظم مائة بیت مسلسلا بالبدیهة و لا یفهم السامع أنه بدیهة و ذکر عبادته و تهجده باللیل و بعض أشعاره. و فی (نتایج- ص 511) سماه غیاث زرباف.</w:t>
      </w:r>
    </w:p>
    <w:p>
      <w:pPr>
        <w:pStyle w:val="Heading3"/>
      </w:pPr>
      <w:bookmarkStart w:id="7125" w:name="_Toc5821"/>
      <w:r>
        <w:t>5363- دیوان غیاث نجومی أو شعره‏</w:t>
      </w:r>
      <w:bookmarkEnd w:id="7125"/>
    </w:p>
    <w:p>
      <w:pPr>
        <w:pStyle w:val="BookText"/>
      </w:pPr>
      <w:r>
        <w:rPr>
          <w:rFonts w:ascii="IRNazanin" w:hAnsi="IRNazanin" w:eastAsia="IRNazanin" w:cs="IRNazanin"/>
          <w:lang w:bidi="fa-IR"/>
          <w:color w:val="111111"/>
          <w:sz w:val="28"/>
          <w:szCs w:val="28"/>
          <w:rtl/>
        </w:rPr>
        <w:t xml:space="preserve">هو من آران من قری کاشان. ترجمه فی (نر 9- ص 308) و أورد شعره فی هجاء قاضی آران.</w:t>
      </w:r>
    </w:p>
    <w:p>
      <w:pPr>
        <w:pStyle w:val="Heading3"/>
      </w:pPr>
      <w:bookmarkStart w:id="7126" w:name="_Toc5822"/>
      <w:r>
        <w:t>5364- دیوان غیاث هروی أو شعره‏</w:t>
      </w:r>
      <w:bookmarkEnd w:id="7126"/>
    </w:p>
    <w:p>
      <w:pPr>
        <w:pStyle w:val="BookText"/>
      </w:pPr>
      <w:r>
        <w:rPr>
          <w:rFonts w:ascii="IRNazanin" w:hAnsi="IRNazanin" w:eastAsia="IRNazanin" w:cs="IRNazanin"/>
          <w:lang w:bidi="fa-IR"/>
          <w:color w:val="111111"/>
          <w:sz w:val="28"/>
          <w:szCs w:val="28"/>
          <w:rtl/>
        </w:rPr>
        <w:t xml:space="preserve">ترجمه فی (تس 5- ص 161) بعنوان غیاث قافیة و أورد مدیحه فی حق الخواجة حبیب الله الساوجی.</w:t>
      </w:r>
    </w:p>
    <w:p>
      <w:pPr>
        <w:pStyle w:val="Heading3"/>
      </w:pPr>
      <w:bookmarkStart w:id="7127" w:name="_Toc5823"/>
      <w:r>
        <w:t>دیوان غیاث یزدی‏</w:t>
      </w:r>
      <w:bookmarkEnd w:id="7127"/>
    </w:p>
    <w:p>
      <w:pPr>
        <w:pStyle w:val="BookText"/>
      </w:pPr>
      <w:r>
        <w:rPr>
          <w:rFonts w:ascii="IRNazanin" w:hAnsi="IRNazanin" w:eastAsia="IRNazanin" w:cs="IRNazanin"/>
          <w:lang w:bidi="fa-IR"/>
          <w:color w:val="111111"/>
          <w:sz w:val="28"/>
          <w:szCs w:val="28"/>
          <w:rtl/>
        </w:rPr>
        <w:t xml:space="preserve">راجع دیوان غیاث نقشبند.</w:t>
      </w:r>
    </w:p>
    <w:p>
      <w:pPr>
        <w:pStyle w:val="Heading3"/>
      </w:pPr>
      <w:bookmarkStart w:id="7128" w:name="_Toc5824"/>
      <w:r>
        <w:t>5365- دیوان غیاثی‏</w:t>
      </w:r>
      <w:bookmarkEnd w:id="7128"/>
    </w:p>
    <w:p>
      <w:pPr>
        <w:pStyle w:val="BookText"/>
      </w:pPr>
      <w:r>
        <w:rPr>
          <w:rFonts w:ascii="IRNazanin" w:hAnsi="IRNazanin" w:eastAsia="IRNazanin" w:cs="IRNazanin"/>
          <w:lang w:bidi="fa-IR"/>
          <w:color w:val="111111"/>
          <w:sz w:val="28"/>
          <w:szCs w:val="28"/>
          <w:rtl/>
        </w:rPr>
        <w:t xml:space="preserve">طبع بلاهور فی 1924 م و 1933 م. فی 160 ص.</w:t>
      </w:r>
    </w:p>
    <w:p>
      <w:pPr>
        <w:pStyle w:val="Heading3"/>
      </w:pPr>
      <w:bookmarkStart w:id="7129" w:name="_Toc5825"/>
      <w:r>
        <w:t>5366- دیوان غیاثی تونی أو شعره‏</w:t>
      </w:r>
      <w:bookmarkEnd w:id="7129"/>
    </w:p>
    <w:p>
      <w:pPr>
        <w:pStyle w:val="BookText"/>
      </w:pPr>
      <w:r>
        <w:rPr>
          <w:rFonts w:ascii="IRNazanin" w:hAnsi="IRNazanin" w:eastAsia="IRNazanin" w:cs="IRNazanin"/>
          <w:lang w:bidi="fa-IR"/>
          <w:color w:val="111111"/>
          <w:sz w:val="28"/>
          <w:szCs w:val="28"/>
          <w:rtl/>
        </w:rPr>
        <w:t xml:space="preserve">کان معلم الأطفال. ترجمه سام میرزا فی (تس 5- ص 111) و أورد شعره.</w:t>
      </w:r>
    </w:p>
    <w:p>
      <w:pPr>
        <w:pStyle w:val="Heading3"/>
      </w:pPr>
      <w:bookmarkStart w:id="7130" w:name="_Toc5826"/>
      <w:r>
        <w:t>5367- دیوان غیاثی یزدی أو شعره‏</w:t>
      </w:r>
      <w:bookmarkEnd w:id="7130"/>
    </w:p>
    <w:p>
      <w:pPr>
        <w:pStyle w:val="BookText"/>
      </w:pPr>
      <w:r>
        <w:rPr>
          <w:rFonts w:ascii="IRNazanin" w:hAnsi="IRNazanin" w:eastAsia="IRNazanin" w:cs="IRNazanin"/>
          <w:lang w:bidi="fa-IR"/>
          <w:color w:val="111111"/>
          <w:sz w:val="28"/>
          <w:szCs w:val="28"/>
          <w:rtl/>
        </w:rPr>
        <w:t xml:space="preserve">ترجمه آیتی فی (تش یز- ص 315) و ذکر أن اسمه شاه عبد العلی و أورد له الرباعیة المنقورة فی المرمر المنصوب علی قبر مراده الشاه‏ولی مع تاریخه [معتقد شاه ولی 965] فیظهر وفاه الشاعر المذکور بعد التاریخ و ذکر آیتی أنه المکتشف لهذا القبر و لهذا الأثر من هذا الشاعر.</w:t>
      </w:r>
    </w:p>
    <w:p>
      <w:pPr>
        <w:pStyle w:val="Heading3"/>
      </w:pPr>
      <w:bookmarkStart w:id="7131" w:name="_Toc5827"/>
      <w:r>
        <w:t>5368- دیوان غیبی‏</w:t>
      </w:r>
      <w:bookmarkEnd w:id="7131"/>
    </w:p>
    <w:p>
      <w:pPr>
        <w:pStyle w:val="BookText"/>
      </w:pPr>
      <w:r>
        <w:rPr>
          <w:rFonts w:ascii="IRNazanin" w:hAnsi="IRNazanin" w:eastAsia="IRNazanin" w:cs="IRNazanin"/>
          <w:lang w:bidi="fa-IR"/>
          <w:color w:val="111111"/>
          <w:sz w:val="28"/>
          <w:szCs w:val="28"/>
          <w:rtl/>
        </w:rPr>
        <w:t xml:space="preserve">ذکرناه فی حلمی التستری.</w:t>
      </w:r>
    </w:p>
    <w:p>
      <w:pPr>
        <w:pStyle w:val="Heading3"/>
      </w:pPr>
      <w:bookmarkStart w:id="7132" w:name="_Toc5828"/>
      <w:r>
        <w:t>5369- دیوان غیبی شیرازی أو شعره‏</w:t>
      </w:r>
      <w:bookmarkEnd w:id="7132"/>
    </w:p>
    <w:p>
      <w:pPr>
        <w:pStyle w:val="BookText"/>
      </w:pPr>
      <w:r>
        <w:rPr>
          <w:rFonts w:ascii="IRNazanin" w:hAnsi="IRNazanin" w:eastAsia="IRNazanin" w:cs="IRNazanin"/>
          <w:lang w:bidi="fa-IR"/>
          <w:color w:val="111111"/>
          <w:sz w:val="28"/>
          <w:szCs w:val="28"/>
          <w:rtl/>
        </w:rPr>
        <w:t xml:space="preserve">ترجمه معاصره سام میرزا فی (تس 5- ص 170)
</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bookmarkStart w:id="788" w:name="pg11704_122273"/>
    <w:bookmarkEnd w:id="788"/>
    <w:p>
      <w:pPr>
        <w:pStyle w:val="BookText"/>
      </w:pPr>
      <w:r>
        <w:rPr>
          <w:rFonts w:ascii="IRNazanin" w:hAnsi="IRNazanin" w:eastAsia="IRNazanin" w:cs="IRNazanin"/>
          <w:lang w:bidi="fa-IR"/>
          <w:color w:val="111111"/>
          <w:sz w:val="28"/>
          <w:szCs w:val="28"/>
          <w:rtl/>
        </w:rPr>
        <w:t xml:space="preserve">و ذکر أنه قلیل النظیر فی سرعة الکتابة و أورد شعره.</w:t>
      </w:r>
    </w:p>
    <w:p>
      <w:pPr>
        <w:pStyle w:val="Heading3"/>
      </w:pPr>
      <w:bookmarkStart w:id="7133" w:name="_Toc5829"/>
      <w:r>
        <w:t>5370- دیوان غیرت أصفهانی أو شعره‏</w:t>
      </w:r>
      <w:bookmarkEnd w:id="7133"/>
    </w:p>
    <w:p>
      <w:pPr>
        <w:pStyle w:val="BookText"/>
      </w:pPr>
      <w:r>
        <w:rPr>
          <w:rFonts w:ascii="IRNazanin" w:hAnsi="IRNazanin" w:eastAsia="IRNazanin" w:cs="IRNazanin"/>
          <w:lang w:bidi="fa-IR"/>
          <w:color w:val="111111"/>
          <w:sz w:val="28"/>
          <w:szCs w:val="28"/>
          <w:rtl/>
        </w:rPr>
        <w:t xml:space="preserve">و اسمه المیرزا جعفر کان من السادة الموسویة بها و توفی 1215 ترجمه فی (مع- ج 2- ص 368) و (تش- ص 407) و ریحانة الأدب و (انجمن 4).</w:t>
      </w:r>
    </w:p>
    <w:p>
      <w:pPr>
        <w:pStyle w:val="Heading3"/>
      </w:pPr>
      <w:bookmarkStart w:id="7134" w:name="_Toc5830"/>
      <w:r>
        <w:t>5371- دیوان غیرت کرمانشاهی‏</w:t>
      </w:r>
      <w:bookmarkEnd w:id="7134"/>
    </w:p>
    <w:p>
      <w:pPr>
        <w:pStyle w:val="BookText"/>
      </w:pPr>
      <w:r>
        <w:rPr>
          <w:rFonts w:ascii="IRNazanin" w:hAnsi="IRNazanin" w:eastAsia="IRNazanin" w:cs="IRNazanin"/>
          <w:lang w:bidi="fa-IR"/>
          <w:color w:val="111111"/>
          <w:sz w:val="28"/>
          <w:szCs w:val="28"/>
          <w:rtl/>
        </w:rPr>
        <w:t xml:space="preserve">و هو السید عبد الکریم بن عباس المتوفی 1375 طبع له دل‏نامه منظومة فارسیة.</w:t>
      </w:r>
    </w:p>
    <w:p>
      <w:pPr>
        <w:pStyle w:val="Heading3"/>
      </w:pPr>
      <w:bookmarkStart w:id="7135" w:name="_Toc5831"/>
      <w:r>
        <w:t>5372- دیوان غیرت کشمیری أو شعره‏</w:t>
      </w:r>
      <w:bookmarkEnd w:id="7135"/>
    </w:p>
    <w:p>
      <w:pPr>
        <w:pStyle w:val="BookText"/>
      </w:pPr>
      <w:r>
        <w:rPr>
          <w:rFonts w:ascii="IRNazanin" w:hAnsi="IRNazanin" w:eastAsia="IRNazanin" w:cs="IRNazanin"/>
          <w:lang w:bidi="fa-IR"/>
          <w:color w:val="111111"/>
          <w:sz w:val="28"/>
          <w:szCs w:val="28"/>
          <w:rtl/>
        </w:rPr>
        <w:t xml:space="preserve">و هو الخواجة عبد اللطیف بن أبی الفتح خان جنون و تلمیذ ثابت ترجمه و أورد شعره فی (گلشن- ص 301).</w:t>
      </w:r>
    </w:p>
    <w:p>
      <w:pPr>
        <w:pStyle w:val="Heading3"/>
      </w:pPr>
      <w:bookmarkStart w:id="7136" w:name="_Toc5832"/>
      <w:r>
        <w:t>5373- دیوان غیرت همدانی‏</w:t>
      </w:r>
      <w:bookmarkEnd w:id="7136"/>
    </w:p>
    <w:p>
      <w:pPr>
        <w:pStyle w:val="BookText"/>
      </w:pPr>
      <w:r>
        <w:rPr>
          <w:rFonts w:ascii="IRNazanin" w:hAnsi="IRNazanin" w:eastAsia="IRNazanin" w:cs="IRNazanin"/>
          <w:lang w:bidi="fa-IR"/>
          <w:color w:val="111111"/>
          <w:sz w:val="28"/>
          <w:szCs w:val="28"/>
          <w:rtl/>
        </w:rPr>
        <w:t xml:space="preserve">ترجمه معاصره النصرآبادی فی (نر 9- ص 322) و أورد جملة من أشعاره.</w:t>
      </w:r>
    </w:p>
    <w:p>
      <w:pPr>
        <w:pStyle w:val="Heading3"/>
      </w:pPr>
      <w:bookmarkStart w:id="7137" w:name="_Toc5833"/>
      <w:r>
        <w:t>5374- دیوان غیرتی سمنانی أو شعره‏</w:t>
      </w:r>
      <w:bookmarkEnd w:id="7137"/>
    </w:p>
    <w:p>
      <w:pPr>
        <w:pStyle w:val="BookText"/>
      </w:pPr>
      <w:r>
        <w:rPr>
          <w:rFonts w:ascii="IRNazanin" w:hAnsi="IRNazanin" w:eastAsia="IRNazanin" w:cs="IRNazanin"/>
          <w:lang w:bidi="fa-IR"/>
          <w:color w:val="111111"/>
          <w:sz w:val="28"/>
          <w:szCs w:val="28"/>
          <w:rtl/>
        </w:rPr>
        <w:t xml:space="preserve">کان بیاع الکرباس. ترجمه معاصره سام میرزا فی (تس 5- ص 147) و أورد شعره.</w:t>
      </w:r>
    </w:p>
    <w:p>
      <w:pPr>
        <w:pStyle w:val="Heading3"/>
      </w:pPr>
      <w:bookmarkStart w:id="7138" w:name="_Toc5834"/>
      <w:r>
        <w:t>5375- دیوان مولانا غیرتی شیرازی أو شعره‏</w:t>
      </w:r>
      <w:bookmarkEnd w:id="7138"/>
    </w:p>
    <w:p>
      <w:pPr>
        <w:pStyle w:val="BookText"/>
      </w:pPr>
      <w:r>
        <w:rPr>
          <w:rFonts w:ascii="IRNazanin" w:hAnsi="IRNazanin" w:eastAsia="IRNazanin" w:cs="IRNazanin"/>
          <w:lang w:bidi="fa-IR"/>
          <w:color w:val="111111"/>
          <w:sz w:val="28"/>
          <w:szCs w:val="28"/>
          <w:rtl/>
        </w:rPr>
        <w:t xml:space="preserve">کان من أکابرها المعروفین. ترجمه الصادقی فی (خص 8- ص 219) و أورد بعض أشعاره قال و له طبع حسن فی أقسام الشعر. و کذا فی فارس‏نامه ناصری 2: 149 و (طبق 2: 505) و (تش- 291) و (هفت 303).</w:t>
      </w:r>
    </w:p>
    <w:p>
      <w:pPr>
        <w:pStyle w:val="Heading3"/>
      </w:pPr>
      <w:bookmarkStart w:id="7139" w:name="_Toc5835"/>
      <w:r>
        <w:t>5376- دیوان غیرتی کشمیری أو شعره‏</w:t>
      </w:r>
      <w:bookmarkEnd w:id="7139"/>
    </w:p>
    <w:p>
      <w:pPr>
        <w:pStyle w:val="BookText"/>
      </w:pPr>
      <w:r>
        <w:rPr>
          <w:rFonts w:ascii="IRNazanin" w:hAnsi="IRNazanin" w:eastAsia="IRNazanin" w:cs="IRNazanin"/>
          <w:lang w:bidi="fa-IR"/>
          <w:color w:val="111111"/>
          <w:sz w:val="28"/>
          <w:szCs w:val="28"/>
          <w:rtl/>
        </w:rPr>
        <w:t xml:space="preserve">و اسمه محمد عاقل خان کان شاعر محمد شاه فی دهلی. أورد شعره فی (گلشن- ص 301).</w:t>
      </w:r>
    </w:p>
    <w:p>
      <w:pPr>
        <w:pStyle w:val="Heading3"/>
      </w:pPr>
      <w:bookmarkStart w:id="7140" w:name="_Toc5836"/>
      <w:r>
        <w:t>5377- دیوان غیوری أو شعره‏</w:t>
      </w:r>
      <w:bookmarkEnd w:id="7140"/>
    </w:p>
    <w:p>
      <w:pPr>
        <w:pStyle w:val="BookText"/>
      </w:pPr>
      <w:r>
        <w:rPr>
          <w:rFonts w:ascii="IRNazanin" w:hAnsi="IRNazanin" w:eastAsia="IRNazanin" w:cs="IRNazanin"/>
          <w:lang w:bidi="fa-IR"/>
          <w:color w:val="111111"/>
          <w:sz w:val="28"/>
          <w:szCs w:val="28"/>
          <w:rtl/>
        </w:rPr>
        <w:t xml:space="preserve">و اسمه شاهوردی. أطرأه معاصره الصادقی فی (خص 3- ص 32) و أورد شعره.</w:t>
      </w:r>
    </w:p>
    <w:p>
      <w:pPr>
        <w:pStyle w:val="Heading3"/>
      </w:pPr>
      <w:bookmarkStart w:id="7141" w:name="_Toc5837"/>
      <w:r>
        <w:t>5378- دیوان غیور کرمانی‏</w:t>
      </w:r>
      <w:bookmarkEnd w:id="7141"/>
    </w:p>
    <w:p>
      <w:pPr>
        <w:pStyle w:val="BookText"/>
      </w:pPr>
      <w:r>
        <w:rPr>
          <w:rFonts w:ascii="IRNazanin" w:hAnsi="IRNazanin" w:eastAsia="IRNazanin" w:cs="IRNazanin"/>
          <w:lang w:bidi="fa-IR"/>
          <w:color w:val="111111"/>
          <w:sz w:val="28"/>
          <w:szCs w:val="28"/>
          <w:rtl/>
        </w:rPr>
        <w:t xml:space="preserve">و هو المیرزا حسن، من أعیان کرمان. نصب مدة بوزارة گرجستان ثم رجع إلی أصفهان له مثنوی علم سیاق کذا ترجمه الحزین فی تذکرته (ص 28) و أورد شعره. و فی نمونه خطوط خوش- ص 286 أنه خطاط معاصر شفیعا و تلمیذه و ترجمه واله فی ریاض الشعراء.
</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bookmarkStart w:id="789" w:name="pg11704_122274"/>
    <w:bookmarkEnd w:id="789"/>
    <w:p>
      <w:pPr>
        <w:pStyle w:val="Heading3"/>
      </w:pPr>
      <w:bookmarkStart w:id="7142" w:name="_Toc5838"/>
      <w:r>
        <w:t>ف‏</w:t>
      </w:r>
      <w:bookmarkEnd w:id="7142"/>
    </w:p>
    <w:p>
      <w:pPr>
        <w:pStyle w:val="Heading3"/>
      </w:pPr>
      <w:bookmarkStart w:id="7143" w:name="_Toc5839"/>
      <w:r>
        <w:t>دیوان فائبی دهلوی‏</w:t>
      </w:r>
      <w:bookmarkEnd w:id="7143"/>
    </w:p>
    <w:p>
      <w:pPr>
        <w:pStyle w:val="BookText"/>
      </w:pPr>
      <w:r>
        <w:rPr>
          <w:rFonts w:ascii="IRNazanin" w:hAnsi="IRNazanin" w:eastAsia="IRNazanin" w:cs="IRNazanin"/>
          <w:lang w:bidi="fa-IR"/>
          <w:color w:val="111111"/>
          <w:sz w:val="28"/>
          <w:szCs w:val="28"/>
          <w:rtl/>
        </w:rPr>
        <w:t xml:space="preserve">المیر شمس الدین من أولاد الشاه محمد خیالی المدفون فی مقبرة قطب الدین محمد بختیار الکاکی. له غیر الدیوان مثنوی حسن و عشق ترجمه و أورد من مثنویة فی (حسینی- ص 254- 256) و الظاهر أنه تصحیف فقیر.</w:t>
      </w:r>
    </w:p>
    <w:p>
      <w:pPr>
        <w:pStyle w:val="Heading3"/>
      </w:pPr>
      <w:bookmarkStart w:id="7144" w:name="_Toc5840"/>
      <w:r>
        <w:t>5379- دیوان فائح قزوینی أو شعره‏</w:t>
      </w:r>
      <w:bookmarkEnd w:id="7144"/>
    </w:p>
    <w:p>
      <w:pPr>
        <w:pStyle w:val="BookText"/>
      </w:pPr>
      <w:r>
        <w:rPr>
          <w:rFonts w:ascii="IRNazanin" w:hAnsi="IRNazanin" w:eastAsia="IRNazanin" w:cs="IRNazanin"/>
          <w:lang w:bidi="fa-IR"/>
          <w:color w:val="111111"/>
          <w:sz w:val="28"/>
          <w:szCs w:val="28"/>
          <w:rtl/>
        </w:rPr>
        <w:t xml:space="preserve">و هو السید عبد الله بن قوام الدین سیفی قزوینی المذکور فی ص 487 له التحیة العبهریة منظومة فی الصلوات و التحیات و هو ثامن السبعة تحیات الطیبات المذکور فی 3: 487- 488.</w:t>
      </w:r>
    </w:p>
    <w:p>
      <w:pPr>
        <w:pStyle w:val="Heading3"/>
      </w:pPr>
      <w:bookmarkStart w:id="7145" w:name="_Toc5841"/>
      <w:r>
        <w:t>دیوان فائز</w:t>
      </w:r>
      <w:bookmarkEnd w:id="7145"/>
    </w:p>
    <w:p>
      <w:pPr>
        <w:pStyle w:val="BookText"/>
      </w:pPr>
      <w:r>
        <w:rPr>
          <w:rFonts w:ascii="IRNazanin" w:hAnsi="IRNazanin" w:eastAsia="IRNazanin" w:cs="IRNazanin"/>
          <w:lang w:bidi="fa-IR"/>
          <w:color w:val="111111"/>
          <w:sz w:val="28"/>
          <w:szCs w:val="28"/>
          <w:rtl/>
        </w:rPr>
        <w:t xml:space="preserve">راجع دیوان فائز کما یتلفظون به.</w:t>
      </w:r>
    </w:p>
    <w:p>
      <w:pPr>
        <w:pStyle w:val="Heading3"/>
      </w:pPr>
      <w:bookmarkStart w:id="7146" w:name="_Toc5842"/>
      <w:r>
        <w:t>دیوان فائض‏</w:t>
      </w:r>
      <w:bookmarkEnd w:id="7146"/>
    </w:p>
    <w:p>
      <w:pPr>
        <w:pStyle w:val="BookText"/>
      </w:pPr>
      <w:r>
        <w:rPr>
          <w:rFonts w:ascii="IRNazanin" w:hAnsi="IRNazanin" w:eastAsia="IRNazanin" w:cs="IRNazanin"/>
          <w:lang w:bidi="fa-IR"/>
          <w:color w:val="111111"/>
          <w:sz w:val="28"/>
          <w:szCs w:val="28"/>
          <w:rtl/>
        </w:rPr>
        <w:t xml:space="preserve">راجع دیوان فائض.</w:t>
      </w:r>
    </w:p>
    <w:p>
      <w:pPr>
        <w:pStyle w:val="Heading3"/>
      </w:pPr>
      <w:bookmarkStart w:id="7147" w:name="_Toc5843"/>
      <w:r>
        <w:t>دیوان فائق‏</w:t>
      </w:r>
      <w:bookmarkEnd w:id="7147"/>
    </w:p>
    <w:p>
      <w:pPr>
        <w:pStyle w:val="BookText"/>
      </w:pPr>
      <w:r>
        <w:rPr>
          <w:rFonts w:ascii="IRNazanin" w:hAnsi="IRNazanin" w:eastAsia="IRNazanin" w:cs="IRNazanin"/>
          <w:lang w:bidi="fa-IR"/>
          <w:color w:val="111111"/>
          <w:sz w:val="28"/>
          <w:szCs w:val="28"/>
          <w:rtl/>
        </w:rPr>
        <w:t xml:space="preserve">راجع دیوان فائق.</w:t>
      </w:r>
    </w:p>
    <w:p>
      <w:pPr>
        <w:pStyle w:val="Heading3"/>
      </w:pPr>
      <w:bookmarkStart w:id="7148" w:name="_Toc5844"/>
      <w:r>
        <w:t>دیوان فائقی‏</w:t>
      </w:r>
      <w:bookmarkEnd w:id="7148"/>
    </w:p>
    <w:p>
      <w:pPr>
        <w:pStyle w:val="BookText"/>
      </w:pPr>
      <w:r>
        <w:rPr>
          <w:rFonts w:ascii="IRNazanin" w:hAnsi="IRNazanin" w:eastAsia="IRNazanin" w:cs="IRNazanin"/>
          <w:lang w:bidi="fa-IR"/>
          <w:color w:val="111111"/>
          <w:sz w:val="28"/>
          <w:szCs w:val="28"/>
          <w:rtl/>
        </w:rPr>
        <w:t xml:space="preserve">راجع دیوان فائقی.</w:t>
      </w:r>
    </w:p>
    <w:p>
      <w:pPr>
        <w:pStyle w:val="Heading3"/>
      </w:pPr>
      <w:bookmarkStart w:id="7149" w:name="_Toc5845"/>
      <w:r>
        <w:t>5380- دیوان فاتح جرفادقانی‏</w:t>
      </w:r>
      <w:bookmarkEnd w:id="7149"/>
    </w:p>
    <w:p>
      <w:pPr>
        <w:pStyle w:val="BookText"/>
      </w:pPr>
      <w:r>
        <w:rPr>
          <w:rFonts w:ascii="IRNazanin" w:hAnsi="IRNazanin" w:eastAsia="IRNazanin" w:cs="IRNazanin"/>
          <w:lang w:bidi="fa-IR"/>
          <w:color w:val="111111"/>
          <w:sz w:val="28"/>
          <w:szCs w:val="28"/>
          <w:rtl/>
        </w:rPr>
        <w:t xml:space="preserve">و اسمه برخوردار بیک بن آقا ولایت وزیر جرفادقان. ترجمه النصرآبادی و قال رأیت دیوانه الذی یقرب من ثلاثة آلاف بیت.</w:t>
      </w:r>
    </w:p>
    <w:p>
      <w:pPr>
        <w:pStyle w:val="BookText"/>
      </w:pPr>
      <w:r>
        <w:rPr>
          <w:rFonts w:ascii="IRNazanin" w:hAnsi="IRNazanin" w:eastAsia="IRNazanin" w:cs="IRNazanin"/>
          <w:lang w:bidi="fa-IR"/>
          <w:color w:val="111111"/>
          <w:sz w:val="28"/>
          <w:szCs w:val="28"/>
          <w:rtl/>
        </w:rPr>
        <w:t xml:space="preserve">و توفی قبل تألیف النصرآبادی الذی کان 1083.</w:t>
      </w:r>
    </w:p>
    <w:p>
      <w:pPr>
        <w:pStyle w:val="Heading3"/>
      </w:pPr>
      <w:bookmarkStart w:id="7150" w:name="_Toc5846"/>
      <w:r>
        <w:t>5381- دیوان فاتح گیلانی أو شعره‏</w:t>
      </w:r>
      <w:bookmarkEnd w:id="7150"/>
    </w:p>
    <w:p>
      <w:pPr>
        <w:pStyle w:val="BookText"/>
      </w:pPr>
      <w:r>
        <w:rPr>
          <w:rFonts w:ascii="IRNazanin" w:hAnsi="IRNazanin" w:eastAsia="IRNazanin" w:cs="IRNazanin"/>
          <w:lang w:bidi="fa-IR"/>
          <w:color w:val="111111"/>
          <w:sz w:val="28"/>
          <w:szCs w:val="28"/>
          <w:rtl/>
        </w:rPr>
        <w:t xml:space="preserve">و هو المیر رضی جاء إلی أصفهان ثم ذهب إلی گجرات و قتله السراق هناک. ترجمه و أورد شعره الحزین فی تذکرته (ص 111) و لعله الذی نظم مادة تاریخ وفاه الآقا جمال الخوانساری کما فی نجوم السماء- ص 193</w:t>
      </w:r>
    </w:p>
    <w:p>
      <w:pPr>
        <w:pStyle w:val="Heading3"/>
      </w:pPr>
      <w:bookmarkStart w:id="7151" w:name="_Toc5847"/>
      <w:r>
        <w:t>5382- دیوان فاتحی أصفهانی‏</w:t>
      </w:r>
      <w:bookmarkEnd w:id="7151"/>
    </w:p>
    <w:p>
      <w:pPr>
        <w:pStyle w:val="BookText"/>
      </w:pPr>
      <w:r>
        <w:rPr>
          <w:rFonts w:ascii="IRNazanin" w:hAnsi="IRNazanin" w:eastAsia="IRNazanin" w:cs="IRNazanin"/>
          <w:lang w:bidi="fa-IR"/>
          <w:color w:val="111111"/>
          <w:sz w:val="28"/>
          <w:szCs w:val="28"/>
          <w:rtl/>
        </w:rPr>
        <w:t xml:space="preserve">و هو المیر علی رضا الملقب بمحمد شفیعی و المتخلص فاتحی ابن الشیخ محمد حسین المعروف به گل و بلبل. ولد 1289 ش له حقیقت گویی فی مجلدین طبع الأول فی 1333 ش فی 1200 بیت و تعلیمات دینی و ضیاء الابصار در حالات أئمة أطهار و تذکره المراثی کلها منظومات. ترجمه و أورد شعره فی (شعرای أصفهان- ص 342).
</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bookmarkStart w:id="790" w:name="pg11704_122275"/>
    <w:bookmarkEnd w:id="790"/>
    <w:p>
      <w:pPr>
        <w:pStyle w:val="Heading3"/>
      </w:pPr>
      <w:bookmarkStart w:id="7152" w:name="_Toc5848"/>
      <w:r>
        <w:t>5383- دیوان فاخر بهبهانی‏</w:t>
      </w:r>
      <w:bookmarkEnd w:id="7152"/>
    </w:p>
    <w:p>
      <w:pPr>
        <w:pStyle w:val="BookText"/>
      </w:pPr>
      <w:r>
        <w:rPr>
          <w:rFonts w:ascii="IRNazanin" w:hAnsi="IRNazanin" w:eastAsia="IRNazanin" w:cs="IRNazanin"/>
          <w:lang w:bidi="fa-IR"/>
          <w:color w:val="111111"/>
          <w:sz w:val="28"/>
          <w:szCs w:val="28"/>
          <w:rtl/>
        </w:rPr>
        <w:t xml:space="preserve">نزیل أصفهان و بها توفی و کان ملکا فی لباس البشر.</w:t>
      </w:r>
    </w:p>
    <w:p>
      <w:pPr>
        <w:pStyle w:val="BookText"/>
      </w:pPr>
      <w:r>
        <w:rPr>
          <w:rFonts w:ascii="IRNazanin" w:hAnsi="IRNazanin" w:eastAsia="IRNazanin" w:cs="IRNazanin"/>
          <w:lang w:bidi="fa-IR"/>
          <w:color w:val="111111"/>
          <w:sz w:val="28"/>
          <w:szCs w:val="28"/>
          <w:rtl/>
        </w:rPr>
        <w:t xml:space="preserve">ترجمه معاصره النصرآبادی فی (نر 9- ص 361) و أورد شعره و کذا فی (تش- ص 262).</w:t>
      </w:r>
    </w:p>
    <w:p>
      <w:pPr>
        <w:pStyle w:val="Heading3"/>
      </w:pPr>
      <w:bookmarkStart w:id="7153" w:name="_Toc5849"/>
      <w:r>
        <w:t>5384- دیوان فاخر تبریزی‏</w:t>
      </w:r>
      <w:bookmarkEnd w:id="7153"/>
    </w:p>
    <w:p>
      <w:pPr>
        <w:pStyle w:val="BookText"/>
      </w:pPr>
      <w:r>
        <w:rPr>
          <w:rFonts w:ascii="IRNazanin" w:hAnsi="IRNazanin" w:eastAsia="IRNazanin" w:cs="IRNazanin"/>
          <w:lang w:bidi="fa-IR"/>
          <w:color w:val="111111"/>
          <w:sz w:val="28"/>
          <w:szCs w:val="28"/>
          <w:rtl/>
        </w:rPr>
        <w:t xml:space="preserve">و اسمه أحمد آقا من شعراء القرن الثالث عشر. ترجمه فی (دجا- ص 290) نقلا عن حدیقة الشعراء.</w:t>
      </w:r>
    </w:p>
    <w:p>
      <w:pPr>
        <w:pStyle w:val="Heading3"/>
      </w:pPr>
      <w:bookmarkStart w:id="7154" w:name="_Toc5850"/>
      <w:r>
        <w:t>دیوان فاخر رازی‏</w:t>
      </w:r>
      <w:bookmarkEnd w:id="7154"/>
    </w:p>
    <w:p>
      <w:pPr>
        <w:pStyle w:val="BookText"/>
      </w:pPr>
      <w:r>
        <w:rPr>
          <w:rFonts w:ascii="IRNazanin" w:hAnsi="IRNazanin" w:eastAsia="IRNazanin" w:cs="IRNazanin"/>
          <w:lang w:bidi="fa-IR"/>
          <w:color w:val="111111"/>
          <w:sz w:val="28"/>
          <w:szCs w:val="28"/>
          <w:rtl/>
        </w:rPr>
        <w:t xml:space="preserve">مر باسمه أبو المفاخر فی (ص 50) ترجمه فی (مع- ج 1 ص 276) و أورد ما وصله من شعره.</w:t>
      </w:r>
    </w:p>
    <w:p>
      <w:pPr>
        <w:pStyle w:val="Heading3"/>
      </w:pPr>
      <w:bookmarkStart w:id="7155" w:name="_Toc5851"/>
      <w:r>
        <w:t>5385- دیوان فاذشاه أو شعره‏</w:t>
      </w:r>
      <w:bookmarkEnd w:id="7155"/>
    </w:p>
    <w:p>
      <w:pPr>
        <w:pStyle w:val="BookText"/>
      </w:pPr>
      <w:r>
        <w:rPr>
          <w:rFonts w:ascii="IRNazanin" w:hAnsi="IRNazanin" w:eastAsia="IRNazanin" w:cs="IRNazanin"/>
          <w:lang w:bidi="fa-IR"/>
          <w:color w:val="111111"/>
          <w:sz w:val="28"/>
          <w:szCs w:val="28"/>
          <w:rtl/>
        </w:rPr>
        <w:t xml:space="preserve">و هو أبو الحسین فاذشاه الناصر العلوی. عده ابن شهرآشوب فی شعراء أهل البیت المجاهرین فی (المعالم- ص 137).</w:t>
      </w:r>
    </w:p>
    <w:p>
      <w:pPr>
        <w:pStyle w:val="Heading3"/>
      </w:pPr>
      <w:bookmarkStart w:id="7156" w:name="_Toc5852"/>
      <w:r>
        <w:t>5386- دیوان فارسانی أصفهانی‏</w:t>
      </w:r>
      <w:bookmarkEnd w:id="7156"/>
    </w:p>
    <w:p>
      <w:pPr>
        <w:pStyle w:val="BookText"/>
      </w:pPr>
      <w:r>
        <w:rPr>
          <w:rFonts w:ascii="IRNazanin" w:hAnsi="IRNazanin" w:eastAsia="IRNazanin" w:cs="IRNazanin"/>
          <w:lang w:bidi="fa-IR"/>
          <w:color w:val="111111"/>
          <w:sz w:val="28"/>
          <w:szCs w:val="28"/>
          <w:rtl/>
        </w:rPr>
        <w:t xml:space="preserve">للسید کمال الدین مرتضویان فارسانی. طبع رباعیاته بأصفهان. و ترجمه فی (شعرای أصفهان- ص 344). قال ولد 1291 ش. و عد له 31 مؤلفا نظما و نثرا.</w:t>
      </w:r>
    </w:p>
    <w:p>
      <w:pPr>
        <w:pStyle w:val="Heading3"/>
      </w:pPr>
      <w:bookmarkStart w:id="7157" w:name="_Toc5853"/>
      <w:r>
        <w:t>5387- دیوان فارس بروجردی‏</w:t>
      </w:r>
      <w:bookmarkEnd w:id="7157"/>
    </w:p>
    <w:p>
      <w:pPr>
        <w:pStyle w:val="BookText"/>
      </w:pPr>
      <w:r>
        <w:rPr>
          <w:rFonts w:ascii="IRNazanin" w:hAnsi="IRNazanin" w:eastAsia="IRNazanin" w:cs="IRNazanin"/>
          <w:lang w:bidi="fa-IR"/>
          <w:color w:val="111111"/>
          <w:sz w:val="28"/>
          <w:szCs w:val="28"/>
          <w:rtl/>
        </w:rPr>
        <w:t xml:space="preserve">للحاج ملا إسماعیل الفارسی ترجمه فی (المآثر- ص 219) و له أشعار انتقادیة هزلیة. توجد نسخته عند (فخر الدین) و توجد نسخه منه غیر مرتبة عند ورثته” حاج ملا إسماعیل الفارسی” ببروجرد</w:t>
      </w:r>
    </w:p>
    <w:p>
      <w:pPr>
        <w:pStyle w:val="Heading3"/>
      </w:pPr>
      <w:bookmarkStart w:id="7158" w:name="_Toc5854"/>
      <w:r>
        <w:t>5388- دیوان فارس بن عدنان أو شعره‏</w:t>
      </w:r>
      <w:bookmarkEnd w:id="7158"/>
    </w:p>
    <w:p>
      <w:pPr>
        <w:pStyle w:val="BookText"/>
      </w:pPr>
      <w:r>
        <w:rPr>
          <w:rFonts w:ascii="IRNazanin" w:hAnsi="IRNazanin" w:eastAsia="IRNazanin" w:cs="IRNazanin"/>
          <w:lang w:bidi="fa-IR"/>
          <w:color w:val="111111"/>
          <w:sz w:val="28"/>
          <w:szCs w:val="28"/>
          <w:rtl/>
        </w:rPr>
        <w:t xml:space="preserve">و کنیته أبو الشول، عده ابن شهرآشوب فی (المعالم- ص 137) من شعراء أهل البیت المجاهرین.</w:t>
      </w:r>
    </w:p>
    <w:p>
      <w:pPr>
        <w:pStyle w:val="Heading3"/>
      </w:pPr>
      <w:bookmarkStart w:id="7159" w:name="_Toc5855"/>
      <w:r>
        <w:t>دیوان فارسی‏</w:t>
      </w:r>
      <w:bookmarkEnd w:id="7159"/>
    </w:p>
    <w:p>
      <w:pPr>
        <w:pStyle w:val="BookText"/>
      </w:pPr>
      <w:r>
        <w:rPr>
          <w:rFonts w:ascii="IRNazanin" w:hAnsi="IRNazanin" w:eastAsia="IRNazanin" w:cs="IRNazanin"/>
          <w:lang w:bidi="fa-IR"/>
          <w:color w:val="111111"/>
          <w:sz w:val="28"/>
          <w:szCs w:val="28"/>
          <w:rtl/>
        </w:rPr>
        <w:t xml:space="preserve">راجع مجد الدین فارسی و ضیاء الدین فارسی فی ص 629 و صبری أصفهانی فی ص 593.</w:t>
      </w:r>
    </w:p>
    <w:p>
      <w:pPr>
        <w:pStyle w:val="Heading3"/>
      </w:pPr>
      <w:bookmarkStart w:id="7160" w:name="_Toc5856"/>
      <w:r>
        <w:t>5389- دیوان فارغ تبریزی أو شعره‏</w:t>
      </w:r>
      <w:bookmarkEnd w:id="7160"/>
    </w:p>
    <w:p>
      <w:pPr>
        <w:pStyle w:val="BookText"/>
      </w:pPr>
      <w:r>
        <w:rPr>
          <w:rFonts w:ascii="IRNazanin" w:hAnsi="IRNazanin" w:eastAsia="IRNazanin" w:cs="IRNazanin"/>
          <w:lang w:bidi="fa-IR"/>
          <w:color w:val="111111"/>
          <w:sz w:val="28"/>
          <w:szCs w:val="28"/>
          <w:rtl/>
        </w:rPr>
        <w:t xml:space="preserve">من شعراء القرن الثالث عشر. ترجمه فی (دجا- 290) نقلا عن حدیقة الشعراء.</w:t>
      </w:r>
    </w:p>
    <w:p>
      <w:pPr>
        <w:pStyle w:val="Heading3"/>
      </w:pPr>
      <w:bookmarkStart w:id="7161" w:name="_Toc5857"/>
      <w:r>
        <w:t>دیوان فارغ تبریزی‏</w:t>
      </w:r>
      <w:bookmarkEnd w:id="7161"/>
    </w:p>
    <w:p>
      <w:pPr>
        <w:pStyle w:val="BookText"/>
      </w:pPr>
      <w:r>
        <w:rPr>
          <w:rFonts w:ascii="IRNazanin" w:hAnsi="IRNazanin" w:eastAsia="IRNazanin" w:cs="IRNazanin"/>
          <w:lang w:bidi="fa-IR"/>
          <w:color w:val="111111"/>
          <w:sz w:val="28"/>
          <w:szCs w:val="28"/>
          <w:rtl/>
        </w:rPr>
        <w:t xml:space="preserve">راجع دیوان شیدای تبریزی فی ص 567 و (دجا- ص 105) و (خص 8- ص 235) و (حسینی- ص 242).</w:t>
      </w:r>
    </w:p>
    <w:p>
      <w:pPr>
        <w:pStyle w:val="Heading3"/>
      </w:pPr>
      <w:bookmarkStart w:id="7162" w:name="_Toc5858"/>
      <w:r>
        <w:t>5390- دیوان فارغ سبزواری أو شعره‏</w:t>
      </w:r>
      <w:bookmarkEnd w:id="7162"/>
    </w:p>
    <w:p>
      <w:pPr>
        <w:pStyle w:val="BookText"/>
      </w:pPr>
      <w:r>
        <w:rPr>
          <w:rFonts w:ascii="IRNazanin" w:hAnsi="IRNazanin" w:eastAsia="IRNazanin" w:cs="IRNazanin"/>
          <w:lang w:bidi="fa-IR"/>
          <w:color w:val="111111"/>
          <w:sz w:val="28"/>
          <w:szCs w:val="28"/>
          <w:rtl/>
        </w:rPr>
        <w:t xml:space="preserve">ترجمه و أورد شعره فی (گلشن- ص 302).</w:t>
      </w:r>
    </w:p>
    <w:p>
      <w:pPr>
        <w:pStyle w:val="Heading3"/>
      </w:pPr>
      <w:bookmarkStart w:id="7163" w:name="_Toc5859"/>
      <w:r>
        <w:t>5391- دیوان فارغ گیلانی‏</w:t>
      </w:r>
      <w:bookmarkEnd w:id="7163"/>
    </w:p>
    <w:p>
      <w:pPr>
        <w:pStyle w:val="BookText"/>
      </w:pPr>
      <w:r>
        <w:rPr>
          <w:rFonts w:ascii="IRNazanin" w:hAnsi="IRNazanin" w:eastAsia="IRNazanin" w:cs="IRNazanin"/>
          <w:lang w:bidi="fa-IR"/>
          <w:color w:val="111111"/>
          <w:sz w:val="28"/>
          <w:szCs w:val="28"/>
          <w:rtl/>
        </w:rPr>
        <w:t xml:space="preserve">الشاعر الفارسی. فی مدائح أمیر المؤمنین و معجزاته‏
</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bookmarkStart w:id="791" w:name="pg11704_122276"/>
    <w:bookmarkEnd w:id="791"/>
    <w:p>
      <w:pPr>
        <w:pStyle w:val="BookText"/>
      </w:pPr>
      <w:r>
        <w:rPr>
          <w:rFonts w:ascii="IRNazanin" w:hAnsi="IRNazanin" w:eastAsia="IRNazanin" w:cs="IRNazanin"/>
          <w:lang w:bidi="fa-IR"/>
          <w:color w:val="111111"/>
          <w:sz w:val="28"/>
          <w:szCs w:val="28"/>
          <w:rtl/>
        </w:rPr>
        <w:t xml:space="preserve">و منها قصة مرة بن قیس الشامی الذی قده نصفین بالإصبعین و فی آخر القصة قوله:</w:t>
      </w:r>
    </w:p>
    <w:p>
      <w:pPr>
        <w:pStyle w:val="BookText"/>
      </w:pPr>
      <w:r>
        <w:rPr>
          <w:rFonts w:ascii="IRNazanin" w:hAnsi="IRNazanin" w:eastAsia="IRNazanin" w:cs="IRNazanin"/>
          <w:lang w:bidi="fa-IR"/>
          <w:color w:val="111111"/>
          <w:sz w:val="28"/>
          <w:szCs w:val="28"/>
          <w:rtl/>
        </w:rPr>
        <w:t xml:space="preserve">یا علی یا مفتح الأبواب‏</w:t>
      </w:r>
    </w:p>
    <w:p>
      <w:pPr>
        <w:pStyle w:val="BookText"/>
      </w:pPr>
      <w:r>
        <w:rPr>
          <w:rFonts w:ascii="IRNazanin" w:hAnsi="IRNazanin" w:eastAsia="IRNazanin" w:cs="IRNazanin"/>
          <w:lang w:bidi="fa-IR"/>
          <w:color w:val="111111"/>
          <w:sz w:val="28"/>
          <w:szCs w:val="28"/>
          <w:rtl/>
        </w:rPr>
        <w:t xml:space="preserve">فارغ بخت بستة را دریاب‏</w:t>
      </w:r>
    </w:p>
    <w:p>
      <w:pPr>
        <w:pStyle w:val="BookText"/>
      </w:pPr>
      <w:r>
        <w:rPr>
          <w:rFonts w:ascii="IRNazanin" w:hAnsi="IRNazanin" w:eastAsia="IRNazanin" w:cs="IRNazanin"/>
          <w:lang w:bidi="fa-IR"/>
          <w:color w:val="111111"/>
          <w:sz w:val="28"/>
          <w:szCs w:val="28"/>
          <w:rtl/>
        </w:rPr>
        <w:t xml:space="preserve">و فیه قوله:</w:t>
      </w:r>
    </w:p>
    <w:p>
      <w:pPr>
        <w:pStyle w:val="BookText"/>
      </w:pPr>
      <w:r>
        <w:rPr>
          <w:rFonts w:ascii="IRNazanin" w:hAnsi="IRNazanin" w:eastAsia="IRNazanin" w:cs="IRNazanin"/>
          <w:lang w:bidi="fa-IR"/>
          <w:color w:val="111111"/>
          <w:sz w:val="28"/>
          <w:szCs w:val="28"/>
          <w:rtl/>
        </w:rPr>
        <w:t xml:space="preserve">در دلم آرزوی گیلانست‏</w:t>
      </w:r>
    </w:p>
    <w:p>
      <w:pPr>
        <w:pStyle w:val="BookText"/>
      </w:pPr>
      <w:r>
        <w:rPr>
          <w:rFonts w:ascii="IRNazanin" w:hAnsi="IRNazanin" w:eastAsia="IRNazanin" w:cs="IRNazanin"/>
          <w:lang w:bidi="fa-IR"/>
          <w:color w:val="111111"/>
          <w:sz w:val="28"/>
          <w:szCs w:val="28"/>
          <w:rtl/>
        </w:rPr>
        <w:t xml:space="preserve">زانکه حب وطن ز ایمانست‏</w:t>
      </w:r>
    </w:p>
    <w:p>
      <w:pPr>
        <w:pStyle w:val="BookText"/>
      </w:pPr>
      <w:r>
        <w:rPr>
          <w:rFonts w:ascii="IRNazanin" w:hAnsi="IRNazanin" w:eastAsia="IRNazanin" w:cs="IRNazanin"/>
          <w:lang w:bidi="fa-IR"/>
          <w:color w:val="111111"/>
          <w:sz w:val="28"/>
          <w:szCs w:val="28"/>
          <w:rtl/>
        </w:rPr>
        <w:t xml:space="preserve">تمنی فیه الرجوع إلی وطنه گیلان بعد عشر سنین من اغترابه عنها فی بلاد إیران. و ذکر فی بعض شعره اسم ابن أخیه عبد الرزاق بن إبراهیم. رأیت نسخته المکتوبة قبل 1248 لأنه کتب علیها فی هذا التاریخ بعض التذکارات. و نسخه عند (فخر الدین النصیری) بطهران و طبع دیوانه فی 1331 ش فی 154 ص بخراسان بعنوان فارغ‏نامه.</w:t>
      </w:r>
    </w:p>
    <w:p>
      <w:pPr>
        <w:pStyle w:val="Heading3"/>
      </w:pPr>
      <w:bookmarkStart w:id="7164" w:name="_Toc5860"/>
      <w:r>
        <w:t>5392- دیوان فارغ مرادآبادی أو شعره‏</w:t>
      </w:r>
      <w:bookmarkEnd w:id="7164"/>
    </w:p>
    <w:p>
      <w:pPr>
        <w:pStyle w:val="BookText"/>
      </w:pPr>
      <w:r>
        <w:rPr>
          <w:rFonts w:ascii="IRNazanin" w:hAnsi="IRNazanin" w:eastAsia="IRNazanin" w:cs="IRNazanin"/>
          <w:lang w:bidi="fa-IR"/>
          <w:color w:val="111111"/>
          <w:sz w:val="28"/>
          <w:szCs w:val="28"/>
          <w:rtl/>
        </w:rPr>
        <w:t xml:space="preserve">و اسمه فدا حسین الهندی. أورد شعره فی (گلشن- ص 303).</w:t>
      </w:r>
    </w:p>
    <w:p>
      <w:pPr>
        <w:pStyle w:val="Heading3"/>
      </w:pPr>
      <w:bookmarkStart w:id="7165" w:name="_Toc5861"/>
      <w:r>
        <w:t>5393- دیوان فارغ ورنوسفادرانی أو شعره‏</w:t>
      </w:r>
      <w:bookmarkEnd w:id="7165"/>
    </w:p>
    <w:p>
      <w:pPr>
        <w:pStyle w:val="BookText"/>
      </w:pPr>
      <w:r>
        <w:rPr>
          <w:rFonts w:ascii="IRNazanin" w:hAnsi="IRNazanin" w:eastAsia="IRNazanin" w:cs="IRNazanin"/>
          <w:lang w:bidi="fa-IR"/>
          <w:color w:val="111111"/>
          <w:sz w:val="28"/>
          <w:szCs w:val="28"/>
          <w:rtl/>
        </w:rPr>
        <w:t xml:space="preserve">و اسمه محمد إبراهیم بن الحاج عین علی الفروشانی من محلات ورنوسفادران من قری أصفهان. ترجمه معاصره النصرآبادی و ذکر أنه سافر إلی الهند کأخیه المولی عشرتی، لکنه لم یرجع بل توفی بلاهور و جهزته ستی خانم أخت طالبا الآملی معززا مکرما، ثم و أورد بعض شعره.</w:t>
      </w:r>
    </w:p>
    <w:p>
      <w:pPr>
        <w:pStyle w:val="Heading3"/>
      </w:pPr>
      <w:bookmarkStart w:id="7166" w:name="_Toc5862"/>
      <w:r>
        <w:t>5394- دیوان فارغ قمی‏</w:t>
      </w:r>
      <w:bookmarkEnd w:id="7166"/>
    </w:p>
    <w:p>
      <w:pPr>
        <w:pStyle w:val="BookText"/>
      </w:pPr>
      <w:r>
        <w:rPr>
          <w:rFonts w:ascii="IRNazanin" w:hAnsi="IRNazanin" w:eastAsia="IRNazanin" w:cs="IRNazanin"/>
          <w:lang w:bidi="fa-IR"/>
          <w:color w:val="111111"/>
          <w:sz w:val="28"/>
          <w:szCs w:val="28"/>
          <w:rtl/>
        </w:rPr>
        <w:t xml:space="preserve">قال فی (گلشن- ص 159) إن فرخ سیر ملک الهند أمر فخر الدین دانا الکشمیری المذکور فی 315 و فارغای قمی، فنظما شاهنامه فرخ سیر.</w:t>
      </w:r>
    </w:p>
    <w:p>
      <w:pPr>
        <w:pStyle w:val="Heading3"/>
      </w:pPr>
      <w:bookmarkStart w:id="7167" w:name="_Toc5863"/>
      <w:r>
        <w:t>5395- دیوان فارغی أسترآبادی أو شعره‏</w:t>
      </w:r>
      <w:bookmarkEnd w:id="7167"/>
    </w:p>
    <w:p>
      <w:pPr>
        <w:pStyle w:val="BookText"/>
      </w:pPr>
      <w:r>
        <w:rPr>
          <w:rFonts w:ascii="IRNazanin" w:hAnsi="IRNazanin" w:eastAsia="IRNazanin" w:cs="IRNazanin"/>
          <w:lang w:bidi="fa-IR"/>
          <w:color w:val="111111"/>
          <w:sz w:val="28"/>
          <w:szCs w:val="28"/>
          <w:rtl/>
        </w:rPr>
        <w:t xml:space="preserve">ترجمه النصرآبادی فی (نر 9- ص 293) و أطری طبعه و أورد بعض شعره و کذا فی (تش- ص 153).</w:t>
      </w:r>
    </w:p>
    <w:p>
      <w:pPr>
        <w:pStyle w:val="Heading3"/>
      </w:pPr>
      <w:bookmarkStart w:id="7168" w:name="_Toc5864"/>
      <w:r>
        <w:t>5396- دیوان فارغی تبریزی‏</w:t>
      </w:r>
      <w:bookmarkEnd w:id="7168"/>
    </w:p>
    <w:p>
      <w:pPr>
        <w:pStyle w:val="BookText"/>
      </w:pPr>
      <w:r>
        <w:rPr>
          <w:rFonts w:ascii="IRNazanin" w:hAnsi="IRNazanin" w:eastAsia="IRNazanin" w:cs="IRNazanin"/>
          <w:lang w:bidi="fa-IR"/>
          <w:color w:val="111111"/>
          <w:sz w:val="28"/>
          <w:szCs w:val="28"/>
          <w:rtl/>
        </w:rPr>
        <w:t xml:space="preserve">ترجمه محمد علی تربیت فی (دجا- ص 290) و قال إنه صغیر و عندی” محمد علی تربیت” نسخته و أورد مطلع غزله و ذکر أنه من شعراء القرن الثالث عشر</w:t>
      </w:r>
    </w:p>
    <w:p>
      <w:pPr>
        <w:pStyle w:val="Heading3"/>
      </w:pPr>
      <w:bookmarkStart w:id="7169" w:name="_Toc5865"/>
      <w:r>
        <w:t>5397- دیوان فارغی هندی أو شعره‏</w:t>
      </w:r>
      <w:bookmarkEnd w:id="7169"/>
    </w:p>
    <w:p>
      <w:pPr>
        <w:pStyle w:val="BookText"/>
      </w:pPr>
      <w:r>
        <w:rPr>
          <w:rFonts w:ascii="IRNazanin" w:hAnsi="IRNazanin" w:eastAsia="IRNazanin" w:cs="IRNazanin"/>
          <w:lang w:bidi="fa-IR"/>
          <w:color w:val="111111"/>
          <w:sz w:val="28"/>
          <w:szCs w:val="28"/>
          <w:rtl/>
        </w:rPr>
        <w:t xml:space="preserve">و اسمه محمد صالح. کان والده کتاب دار لأکبر شاه. أورد شعره فی (طبق 3- 509)</w:t>
      </w:r>
    </w:p>
    <w:p>
      <w:pPr>
        <w:pStyle w:val="Heading3"/>
      </w:pPr>
      <w:bookmarkStart w:id="7170" w:name="_Toc5866"/>
      <w:r>
        <w:t>5398- دیوان مولانا فارغی هروی أو شعره‏</w:t>
      </w:r>
      <w:bookmarkEnd w:id="7170"/>
    </w:p>
    <w:p>
      <w:pPr>
        <w:pStyle w:val="BookText"/>
      </w:pPr>
      <w:r>
        <w:rPr>
          <w:rFonts w:ascii="IRNazanin" w:hAnsi="IRNazanin" w:eastAsia="IRNazanin" w:cs="IRNazanin"/>
          <w:lang w:bidi="fa-IR"/>
          <w:color w:val="111111"/>
          <w:sz w:val="28"/>
          <w:szCs w:val="28"/>
          <w:rtl/>
        </w:rPr>
        <w:t xml:space="preserve">کان ساکن خانقاه جدید، کما ترجمه فی (لط 3- ص 69) و أورد شعره.
</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bookmarkStart w:id="792" w:name="pg11704_122277"/>
    <w:bookmarkEnd w:id="792"/>
    <w:p>
      <w:pPr>
        <w:pStyle w:val="Heading3"/>
      </w:pPr>
      <w:bookmarkStart w:id="7171" w:name="_Toc5867"/>
      <w:r>
        <w:t>5399- دیوان فارغی شیرازی أو شعره‏</w:t>
      </w:r>
      <w:bookmarkEnd w:id="7171"/>
    </w:p>
    <w:p>
      <w:pPr>
        <w:pStyle w:val="BookText"/>
      </w:pPr>
      <w:r>
        <w:rPr>
          <w:rFonts w:ascii="IRNazanin" w:hAnsi="IRNazanin" w:eastAsia="IRNazanin" w:cs="IRNazanin"/>
          <w:lang w:bidi="fa-IR"/>
          <w:color w:val="111111"/>
          <w:sz w:val="28"/>
          <w:szCs w:val="28"/>
          <w:rtl/>
        </w:rPr>
        <w:t xml:space="preserve">هو ابن أخ الشیخ فتح الله الشیرازی و والد المیر مرتضی المنجم. سافر إلی الهند و رجع إلی وطنه، ثم هاجر ثانیا إلیها و تقرب عند أکبر پادشاه. و کان قد یتخلص فائقی أیضا. ترجمه و أورد شعره فی (گلشن- ص 306) و فارس‏نامه ناصری- 2: 149.</w:t>
      </w:r>
    </w:p>
    <w:p>
      <w:pPr>
        <w:pStyle w:val="Heading3"/>
      </w:pPr>
      <w:bookmarkStart w:id="7172" w:name="_Toc5868"/>
      <w:r>
        <w:t>5400- دیوان فارغی هروی أو شعره‏</w:t>
      </w:r>
      <w:bookmarkEnd w:id="7172"/>
    </w:p>
    <w:p>
      <w:pPr>
        <w:pStyle w:val="BookText"/>
      </w:pPr>
      <w:r>
        <w:rPr>
          <w:rFonts w:ascii="IRNazanin" w:hAnsi="IRNazanin" w:eastAsia="IRNazanin" w:cs="IRNazanin"/>
          <w:lang w:bidi="fa-IR"/>
          <w:color w:val="111111"/>
          <w:sz w:val="28"/>
          <w:szCs w:val="28"/>
          <w:rtl/>
        </w:rPr>
        <w:t xml:space="preserve">هو الشیخ أبو الوجد ابن الشیخ وجیه الدین، و عم الشیخ زین الدین الخوافی. سافرا إلی الهند و تقربا عند همایون پادشاه و مات فارغی باکرة فی 940. ترجمه و أورد شعره فی (گلشن- ص 305)</w:t>
      </w:r>
    </w:p>
    <w:p>
      <w:pPr>
        <w:pStyle w:val="Heading3"/>
      </w:pPr>
      <w:bookmarkStart w:id="7173" w:name="_Toc5869"/>
      <w:r>
        <w:t>5401- دیوان فاروقی أو شعره‏</w:t>
      </w:r>
      <w:bookmarkEnd w:id="7173"/>
    </w:p>
    <w:p>
      <w:pPr>
        <w:pStyle w:val="BookText"/>
      </w:pPr>
      <w:r>
        <w:rPr>
          <w:rFonts w:ascii="IRNazanin" w:hAnsi="IRNazanin" w:eastAsia="IRNazanin" w:cs="IRNazanin"/>
          <w:lang w:bidi="fa-IR"/>
          <w:color w:val="111111"/>
          <w:sz w:val="28"/>
          <w:szCs w:val="28"/>
          <w:rtl/>
        </w:rPr>
        <w:t xml:space="preserve">و اسمه إبراهیم قوام مؤلف شرف‏نامه منیری فی لغة الفرس. و قد أورد فیه أشعار کثیرة لنفسه استشهادا. ألفه باسم شرف الدین أحمد المنیری من مشایخ الهند و متصوفتها المتوفی 782 عن عمر ناهز المائة و العشرین سنة.</w:t>
      </w:r>
    </w:p>
    <w:p>
      <w:pPr>
        <w:pStyle w:val="Heading3"/>
      </w:pPr>
      <w:bookmarkStart w:id="7174" w:name="_Toc5870"/>
      <w:r>
        <w:t>دیوان فاروقی‏</w:t>
      </w:r>
      <w:bookmarkEnd w:id="7174"/>
    </w:p>
    <w:p>
      <w:pPr>
        <w:pStyle w:val="BookText"/>
      </w:pPr>
      <w:r>
        <w:rPr>
          <w:rFonts w:ascii="IRNazanin" w:hAnsi="IRNazanin" w:eastAsia="IRNazanin" w:cs="IRNazanin"/>
          <w:lang w:bidi="fa-IR"/>
          <w:color w:val="111111"/>
          <w:sz w:val="28"/>
          <w:szCs w:val="28"/>
          <w:rtl/>
        </w:rPr>
        <w:t xml:space="preserve">راجع دیوان وطواط رشید الدین.</w:t>
      </w:r>
    </w:p>
    <w:p>
      <w:pPr>
        <w:pStyle w:val="Heading3"/>
      </w:pPr>
      <w:bookmarkStart w:id="7175" w:name="_Toc5871"/>
      <w:r>
        <w:t>دیوان فارابی‏</w:t>
      </w:r>
      <w:bookmarkEnd w:id="7175"/>
    </w:p>
    <w:p>
      <w:pPr>
        <w:pStyle w:val="BookText"/>
      </w:pPr>
      <w:r>
        <w:rPr>
          <w:rFonts w:ascii="IRNazanin" w:hAnsi="IRNazanin" w:eastAsia="IRNazanin" w:cs="IRNazanin"/>
          <w:lang w:bidi="fa-IR"/>
          <w:color w:val="111111"/>
          <w:sz w:val="28"/>
          <w:szCs w:val="28"/>
          <w:rtl/>
        </w:rPr>
        <w:t xml:space="preserve">مر بعنوان ظهیر فاریابی فی ص 659.</w:t>
      </w:r>
    </w:p>
    <w:p>
      <w:pPr>
        <w:pStyle w:val="Heading3"/>
      </w:pPr>
      <w:bookmarkStart w:id="7176" w:name="_Toc5872"/>
      <w:r>
        <w:t>5402- دیوان فاضل خوزانی‏</w:t>
      </w:r>
      <w:bookmarkEnd w:id="7176"/>
    </w:p>
    <w:p>
      <w:pPr>
        <w:pStyle w:val="BookText"/>
      </w:pPr>
      <w:r>
        <w:rPr>
          <w:rFonts w:ascii="IRNazanin" w:hAnsi="IRNazanin" w:eastAsia="IRNazanin" w:cs="IRNazanin"/>
          <w:lang w:bidi="fa-IR"/>
          <w:color w:val="111111"/>
          <w:sz w:val="28"/>
          <w:szCs w:val="28"/>
          <w:rtl/>
        </w:rPr>
        <w:t xml:space="preserve">و اسمه المولی زین العابدین أخ الملا عباس من أعاظم قراء أصفهان ترجمه النصرآبادی فی (نر 9- ص 418) و أورد شعره.</w:t>
      </w:r>
    </w:p>
    <w:p>
      <w:pPr>
        <w:pStyle w:val="Heading3"/>
      </w:pPr>
      <w:bookmarkStart w:id="7177" w:name="_Toc5873"/>
      <w:r>
        <w:t>5403- دیوان فاضل طبسی‏</w:t>
      </w:r>
      <w:bookmarkEnd w:id="7177"/>
    </w:p>
    <w:p>
      <w:pPr>
        <w:pStyle w:val="BookText"/>
      </w:pPr>
      <w:r>
        <w:rPr>
          <w:rFonts w:ascii="IRNazanin" w:hAnsi="IRNazanin" w:eastAsia="IRNazanin" w:cs="IRNazanin"/>
          <w:lang w:bidi="fa-IR"/>
          <w:color w:val="111111"/>
          <w:sz w:val="28"/>
          <w:szCs w:val="28"/>
          <w:rtl/>
        </w:rPr>
        <w:t xml:space="preserve">کان حافظا للقرآن ترجمه معاصره سام میرزا فی (تس 5- ص 159) و أورد شعره.</w:t>
      </w:r>
    </w:p>
    <w:p>
      <w:pPr>
        <w:pStyle w:val="Heading3"/>
      </w:pPr>
      <w:bookmarkStart w:id="7178" w:name="_Toc5874"/>
      <w:r>
        <w:t>5404- دیوان فاضل عراقی‏</w:t>
      </w:r>
      <w:bookmarkEnd w:id="7178"/>
    </w:p>
    <w:p>
      <w:pPr>
        <w:pStyle w:val="BookText"/>
      </w:pPr>
      <w:r>
        <w:rPr>
          <w:rFonts w:ascii="IRNazanin" w:hAnsi="IRNazanin" w:eastAsia="IRNazanin" w:cs="IRNazanin"/>
          <w:lang w:bidi="fa-IR"/>
          <w:color w:val="111111"/>
          <w:sz w:val="28"/>
          <w:szCs w:val="28"/>
          <w:rtl/>
        </w:rPr>
        <w:t xml:space="preserve">و اسمه محمد حسین بن علی مراد الأنصاری. طبع دیوانه فی المراثی بعنوان مشکاة الرزیة بطهران فی 1324 فی 444 ص. علی الحجر ثم فی 1328.</w:t>
      </w:r>
    </w:p>
    <w:p>
      <w:pPr>
        <w:pStyle w:val="Heading3"/>
      </w:pPr>
      <w:bookmarkStart w:id="7179" w:name="_Toc5875"/>
      <w:r>
        <w:t>5405- دیوان فاضل کاشانی‏</w:t>
      </w:r>
      <w:bookmarkEnd w:id="7179"/>
    </w:p>
    <w:p>
      <w:pPr>
        <w:pStyle w:val="BookText"/>
      </w:pPr>
      <w:r>
        <w:rPr>
          <w:rFonts w:ascii="IRNazanin" w:hAnsi="IRNazanin" w:eastAsia="IRNazanin" w:cs="IRNazanin"/>
          <w:lang w:bidi="fa-IR"/>
          <w:color w:val="111111"/>
          <w:sz w:val="28"/>
          <w:szCs w:val="28"/>
          <w:rtl/>
        </w:rPr>
        <w:t xml:space="preserve">و اسمه المولی فاضل حفید المولی شانی. ترجمه فی (نر 9- 374) و قال له أکثر من مائة ألف بیت من الشعر. و کذا فی (گلشن- ص 306).</w:t>
      </w:r>
    </w:p>
    <w:p>
      <w:pPr>
        <w:pStyle w:val="Heading3"/>
      </w:pPr>
      <w:bookmarkStart w:id="7180" w:name="_Toc5876"/>
      <w:r>
        <w:t>دیوان فاضل گروسی‏</w:t>
      </w:r>
      <w:bookmarkEnd w:id="7180"/>
    </w:p>
    <w:p>
      <w:pPr>
        <w:pStyle w:val="BookText"/>
      </w:pPr>
      <w:r>
        <w:rPr>
          <w:rFonts w:ascii="IRNazanin" w:hAnsi="IRNazanin" w:eastAsia="IRNazanin" w:cs="IRNazanin"/>
          <w:lang w:bidi="fa-IR"/>
          <w:color w:val="111111"/>
          <w:sz w:val="28"/>
          <w:szCs w:val="28"/>
          <w:rtl/>
        </w:rPr>
        <w:t xml:space="preserve">مر بتخلصه راوی.</w:t>
      </w:r>
    </w:p>
    <w:p>
      <w:pPr>
        <w:pStyle w:val="Heading3"/>
      </w:pPr>
      <w:bookmarkStart w:id="7181" w:name="_Toc5877"/>
      <w:r>
        <w:t>5406- دیوان فاضل مازندرانی أو شعره‏</w:t>
      </w:r>
      <w:bookmarkEnd w:id="7181"/>
    </w:p>
    <w:p>
      <w:pPr>
        <w:pStyle w:val="BookText"/>
      </w:pPr>
      <w:r>
        <w:rPr>
          <w:rFonts w:ascii="IRNazanin" w:hAnsi="IRNazanin" w:eastAsia="IRNazanin" w:cs="IRNazanin"/>
          <w:lang w:bidi="fa-IR"/>
          <w:color w:val="111111"/>
          <w:sz w:val="28"/>
          <w:szCs w:val="28"/>
          <w:rtl/>
        </w:rPr>
        <w:t xml:space="preserve">و اسمه المیرزا محمد بن محمد باقر فائض‏
</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bookmarkStart w:id="793" w:name="pg11704_122278"/>
    <w:bookmarkEnd w:id="793"/>
    <w:p>
      <w:pPr>
        <w:pStyle w:val="BookText"/>
      </w:pPr>
      <w:r>
        <w:rPr>
          <w:rFonts w:ascii="IRNazanin" w:hAnsi="IRNazanin" w:eastAsia="IRNazanin" w:cs="IRNazanin"/>
          <w:lang w:bidi="fa-IR"/>
          <w:color w:val="111111"/>
          <w:sz w:val="28"/>
          <w:szCs w:val="28"/>
          <w:rtl/>
        </w:rPr>
        <w:t xml:space="preserve">سافر مع علی قلی خان واله إلی الهند و مات بدهلی أورد شعره فی (گلشن- ص 307).</w:t>
      </w:r>
    </w:p>
    <w:p>
      <w:pPr>
        <w:pStyle w:val="Heading3"/>
      </w:pPr>
      <w:bookmarkStart w:id="7182" w:name="_Toc5878"/>
      <w:r>
        <w:t>5407- دیوان فاضل نوری‏</w:t>
      </w:r>
      <w:bookmarkEnd w:id="7182"/>
    </w:p>
    <w:p>
      <w:pPr>
        <w:pStyle w:val="BookText"/>
      </w:pPr>
      <w:r>
        <w:rPr>
          <w:rFonts w:ascii="IRNazanin" w:hAnsi="IRNazanin" w:eastAsia="IRNazanin" w:cs="IRNazanin"/>
          <w:lang w:bidi="fa-IR"/>
          <w:color w:val="111111"/>
          <w:sz w:val="28"/>
          <w:szCs w:val="28"/>
          <w:rtl/>
        </w:rPr>
        <w:t xml:space="preserve">للحاج میرزا بهاء الدین بن الحاج میرزا جواد بن الحاج المولی محمد علی النوری نزیل أصفهان و المتوفی بها 1252 و توفی ولده الحاج میرزا جواد تلمیذ الشهشهانی و صهر الحاج الکلباسی فی 1323 و توفی ولده صاحب الدیوان فی 1343 و قد جمع دیوانه ابنه نصیر الدین النوری المعروف بخواجوئی و هیأه للطبع ذکر جمیع ذلک فی ریحانة الأدب- ج 4 ص 248.</w:t>
      </w:r>
    </w:p>
    <w:p>
      <w:pPr>
        <w:pStyle w:val="Heading3"/>
      </w:pPr>
      <w:bookmarkStart w:id="7183" w:name="_Toc5879"/>
      <w:r>
        <w:t>5408- دیوان فاضلی‏</w:t>
      </w:r>
      <w:bookmarkEnd w:id="7183"/>
    </w:p>
    <w:p>
      <w:pPr>
        <w:pStyle w:val="BookText"/>
      </w:pPr>
      <w:r>
        <w:rPr>
          <w:rFonts w:ascii="IRNazanin" w:hAnsi="IRNazanin" w:eastAsia="IRNazanin" w:cs="IRNazanin"/>
          <w:lang w:bidi="fa-IR"/>
          <w:color w:val="111111"/>
          <w:sz w:val="28"/>
          <w:szCs w:val="28"/>
          <w:rtl/>
        </w:rPr>
        <w:t xml:space="preserve">لعطاء الله فاضلی. طبع له محرق الأکباد فی المصائب و المراثی بعنوان کلیات هفت جلدی محرق الأکباد فی 222 ص. بطهران.</w:t>
      </w:r>
    </w:p>
    <w:p>
      <w:pPr>
        <w:pStyle w:val="Heading3"/>
      </w:pPr>
      <w:bookmarkStart w:id="7184" w:name="_Toc5880"/>
      <w:r>
        <w:t>5409- دیوان فاطمة سلطان إمامی‏</w:t>
      </w:r>
      <w:bookmarkEnd w:id="7184"/>
    </w:p>
    <w:p>
      <w:pPr>
        <w:pStyle w:val="BookText"/>
      </w:pPr>
      <w:r>
        <w:rPr>
          <w:rFonts w:ascii="IRNazanin" w:hAnsi="IRNazanin" w:eastAsia="IRNazanin" w:cs="IRNazanin"/>
          <w:lang w:bidi="fa-IR"/>
          <w:color w:val="111111"/>
          <w:sz w:val="28"/>
          <w:szCs w:val="28"/>
          <w:rtl/>
        </w:rPr>
        <w:t xml:space="preserve">بنت شکر الله میرزا دارا. شاعرة أبهریة. طبع لها منظومة هدیة فاطمیة بقم فی 111 ص.</w:t>
      </w:r>
    </w:p>
    <w:p>
      <w:pPr>
        <w:pStyle w:val="Heading3"/>
      </w:pPr>
      <w:bookmarkStart w:id="7185" w:name="_Toc5881"/>
      <w:r>
        <w:t>5410- دیوان فاطمة خراسانیة أو شعرها</w:t>
      </w:r>
      <w:bookmarkEnd w:id="7185"/>
    </w:p>
    <w:p>
      <w:pPr>
        <w:pStyle w:val="BookText"/>
      </w:pPr>
      <w:r>
        <w:rPr>
          <w:rFonts w:ascii="IRNazanin" w:hAnsi="IRNazanin" w:eastAsia="IRNazanin" w:cs="IRNazanin"/>
          <w:lang w:bidi="fa-IR"/>
          <w:color w:val="111111"/>
          <w:sz w:val="28"/>
          <w:szCs w:val="28"/>
          <w:rtl/>
        </w:rPr>
        <w:t xml:space="preserve">ترجمها و أورد شعرها فی (حسینی- ص 252).</w:t>
      </w:r>
    </w:p>
    <w:p>
      <w:pPr>
        <w:pStyle w:val="Heading3"/>
      </w:pPr>
      <w:bookmarkStart w:id="7186" w:name="_Toc5882"/>
      <w:r>
        <w:t>5411- دیوان فاطمة سلطان أو شعرها</w:t>
      </w:r>
      <w:bookmarkEnd w:id="7186"/>
    </w:p>
    <w:p>
      <w:pPr>
        <w:pStyle w:val="BookText"/>
      </w:pPr>
      <w:r>
        <w:rPr>
          <w:rFonts w:ascii="IRNazanin" w:hAnsi="IRNazanin" w:eastAsia="IRNazanin" w:cs="IRNazanin"/>
          <w:lang w:bidi="fa-IR"/>
          <w:color w:val="111111"/>
          <w:sz w:val="28"/>
          <w:szCs w:val="28"/>
          <w:rtl/>
        </w:rPr>
        <w:t xml:space="preserve">هی بنت الحاج میرزا حسین و حفیده قائم مقام الفراهانی. ولدت فی 6 رجب 1282. ذکرها فی از رابعة تا پروین- ص 175 و أورد قصیدتها فی تقریظ خیرات حسان.</w:t>
      </w:r>
    </w:p>
    <w:p>
      <w:pPr>
        <w:pStyle w:val="Heading3"/>
      </w:pPr>
      <w:bookmarkStart w:id="7187" w:name="_Toc5883"/>
      <w:r>
        <w:t>5412- دیوان فانی أصفهانی‏</w:t>
      </w:r>
      <w:bookmarkEnd w:id="7187"/>
    </w:p>
    <w:p>
      <w:pPr>
        <w:pStyle w:val="BookText"/>
      </w:pPr>
      <w:r>
        <w:rPr>
          <w:rFonts w:ascii="IRNazanin" w:hAnsi="IRNazanin" w:eastAsia="IRNazanin" w:cs="IRNazanin"/>
          <w:lang w:bidi="fa-IR"/>
          <w:color w:val="111111"/>
          <w:sz w:val="28"/>
          <w:szCs w:val="28"/>
          <w:rtl/>
        </w:rPr>
        <w:t xml:space="preserve">السید رضا بن المیر فاضل السید الموسوی الهندی نزیل أصفهان و المتوفی بها 1222 و ابنه السید رضا کان معاصر مؤلف مجمع الفصحاء و ترجمه فی (ج 2 ص 384 منه) و قال لم یتفق لی ملاقاته و لکنی رتبت دیوانه و کتبت له دیباجة.</w:t>
      </w:r>
    </w:p>
    <w:p>
      <w:pPr>
        <w:pStyle w:val="BookText"/>
      </w:pPr>
      <w:r>
        <w:rPr>
          <w:rFonts w:ascii="IRNazanin" w:hAnsi="IRNazanin" w:eastAsia="IRNazanin" w:cs="IRNazanin"/>
          <w:lang w:bidi="fa-IR"/>
          <w:color w:val="111111"/>
          <w:sz w:val="28"/>
          <w:szCs w:val="28"/>
          <w:rtl/>
        </w:rPr>
        <w:t xml:space="preserve">ثم أورد بعض شعره من غزله و مثنویة.</w:t>
      </w:r>
    </w:p>
    <w:p>
      <w:pPr>
        <w:pStyle w:val="Heading3"/>
      </w:pPr>
      <w:bookmarkStart w:id="7188" w:name="_Toc5884"/>
      <w:r>
        <w:t>5413- دیوان فانی اهری‏</w:t>
      </w:r>
      <w:bookmarkEnd w:id="7188"/>
    </w:p>
    <w:p>
      <w:pPr>
        <w:pStyle w:val="BookText"/>
      </w:pPr>
      <w:r>
        <w:rPr>
          <w:rFonts w:ascii="IRNazanin" w:hAnsi="IRNazanin" w:eastAsia="IRNazanin" w:cs="IRNazanin"/>
          <w:lang w:bidi="fa-IR"/>
          <w:color w:val="111111"/>
          <w:sz w:val="28"/>
          <w:szCs w:val="28"/>
          <w:rtl/>
        </w:rPr>
        <w:t xml:space="preserve">أکثره فی مراثی الحسین ع. و اسم الناظم المیرزا محمود و کان فی 1304 ابن سبعین سنة. ترجمه فی (دجا- ص 290) و أورد شعره فی تاریخ تعمیر مسجد الشیخ عماد فی 1277.</w:t>
      </w:r>
    </w:p>
    <w:p>
      <w:pPr>
        <w:pStyle w:val="Heading3"/>
      </w:pPr>
      <w:bookmarkStart w:id="7189" w:name="_Toc5885"/>
      <w:r>
        <w:t>5414- دیوان فانی پروانه‏چی أو شعره‏</w:t>
      </w:r>
      <w:bookmarkEnd w:id="7189"/>
    </w:p>
    <w:p>
      <w:pPr>
        <w:pStyle w:val="BookText"/>
      </w:pPr>
      <w:r>
        <w:rPr>
          <w:rFonts w:ascii="IRNazanin" w:hAnsi="IRNazanin" w:eastAsia="IRNazanin" w:cs="IRNazanin"/>
          <w:lang w:bidi="fa-IR"/>
          <w:color w:val="111111"/>
          <w:sz w:val="28"/>
          <w:szCs w:val="28"/>
          <w:rtl/>
        </w:rPr>
        <w:t xml:space="preserve">هو ابن درویش أحمد. ترجمه و أورد شعره فی (مجن 6- ص 116 و 288).</w:t>
      </w:r>
    </w:p>
    <w:p>
      <w:pPr>
        <w:pStyle w:val="Heading3"/>
      </w:pPr>
      <w:bookmarkStart w:id="7190" w:name="_Toc5886"/>
      <w:r>
        <w:t>5415- دیوان فانی تبریزی‏</w:t>
      </w:r>
      <w:bookmarkEnd w:id="7190"/>
    </w:p>
    <w:p>
      <w:pPr>
        <w:pStyle w:val="BookText"/>
      </w:pPr>
      <w:r>
        <w:rPr>
          <w:rFonts w:ascii="IRNazanin" w:hAnsi="IRNazanin" w:eastAsia="IRNazanin" w:cs="IRNazanin"/>
          <w:lang w:bidi="fa-IR"/>
          <w:color w:val="111111"/>
          <w:sz w:val="28"/>
          <w:szCs w:val="28"/>
          <w:rtl/>
        </w:rPr>
        <w:t xml:space="preserve">و هو المیرزا باقر المتوفی 1350 طبع له گنج پهلوی فی 32 ص. و گل و بلبل فی 32 ص بتبریز فی 1309 ش.
</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bookmarkStart w:id="794" w:name="pg11704_122279"/>
    <w:bookmarkEnd w:id="794"/>
    <w:p>
      <w:pPr>
        <w:pStyle w:val="Heading3"/>
      </w:pPr>
      <w:bookmarkStart w:id="7191" w:name="_Toc5887"/>
      <w:r>
        <w:t>5416- دیوان فانی تبریزی‏</w:t>
      </w:r>
      <w:bookmarkEnd w:id="7191"/>
    </w:p>
    <w:p>
      <w:pPr>
        <w:pStyle w:val="BookText"/>
      </w:pPr>
      <w:r>
        <w:rPr>
          <w:rFonts w:ascii="IRNazanin" w:hAnsi="IRNazanin" w:eastAsia="IRNazanin" w:cs="IRNazanin"/>
          <w:lang w:bidi="fa-IR"/>
          <w:color w:val="111111"/>
          <w:sz w:val="28"/>
          <w:szCs w:val="28"/>
          <w:rtl/>
        </w:rPr>
        <w:t xml:space="preserve">من ذوی الحشمة فی تبریز فی عصر سام میرزا ترجمه فی (تس- ص 137) و أورد شعره، و لعله المذکور فی (بهش 6- ص 306).</w:t>
      </w:r>
    </w:p>
    <w:p>
      <w:pPr>
        <w:pStyle w:val="Heading3"/>
      </w:pPr>
      <w:bookmarkStart w:id="7192" w:name="_Toc5888"/>
      <w:r>
        <w:t>5417- دیوان فانی تبریزی‏</w:t>
      </w:r>
      <w:bookmarkEnd w:id="7192"/>
    </w:p>
    <w:p>
      <w:pPr>
        <w:pStyle w:val="BookText"/>
      </w:pPr>
      <w:r>
        <w:rPr>
          <w:rFonts w:ascii="IRNazanin" w:hAnsi="IRNazanin" w:eastAsia="IRNazanin" w:cs="IRNazanin"/>
          <w:lang w:bidi="fa-IR"/>
          <w:color w:val="111111"/>
          <w:sz w:val="28"/>
          <w:szCs w:val="28"/>
          <w:rtl/>
        </w:rPr>
        <w:t xml:space="preserve">و اسمه میرزا صادق ولد 1255 کما ذکره فی (دجا- ص 291) و قال إن دیوانه مرکب من الفارسیة و الترکیة و له کتاب الخمسة الأدبیة المطبوع و قد فاتنا ذکره فی حرف الخاء.</w:t>
      </w:r>
    </w:p>
    <w:p>
      <w:pPr>
        <w:pStyle w:val="Heading3"/>
      </w:pPr>
      <w:bookmarkStart w:id="7193" w:name="_Toc5889"/>
      <w:r>
        <w:t>5418- دیوان فانی جرجانی أو شعره‏</w:t>
      </w:r>
      <w:bookmarkEnd w:id="7193"/>
    </w:p>
    <w:p>
      <w:pPr>
        <w:pStyle w:val="BookText"/>
      </w:pPr>
      <w:r>
        <w:rPr>
          <w:rFonts w:ascii="IRNazanin" w:hAnsi="IRNazanin" w:eastAsia="IRNazanin" w:cs="IRNazanin"/>
          <w:lang w:bidi="fa-IR"/>
          <w:color w:val="111111"/>
          <w:sz w:val="28"/>
          <w:szCs w:val="28"/>
          <w:rtl/>
        </w:rPr>
        <w:t xml:space="preserve">و هو الخواجة محمد خضر شاه. کان من متمولی جرجان کما ترجمه معاصره سام میرزا فی (تس- ص 178) و أورد شعره و الظاهر أنه غیر خضر شاه ناظم زید و زینب المذکور فی ص 296.</w:t>
      </w:r>
    </w:p>
    <w:p>
      <w:pPr>
        <w:pStyle w:val="Heading3"/>
      </w:pPr>
      <w:bookmarkStart w:id="7194" w:name="_Toc5890"/>
      <w:r>
        <w:t>دیوان فانی خوافی‏</w:t>
      </w:r>
      <w:bookmarkEnd w:id="7194"/>
    </w:p>
    <w:p>
      <w:pPr>
        <w:pStyle w:val="BookText"/>
      </w:pPr>
      <w:r>
        <w:rPr>
          <w:rFonts w:ascii="IRNazanin" w:hAnsi="IRNazanin" w:eastAsia="IRNazanin" w:cs="IRNazanin"/>
          <w:lang w:bidi="fa-IR"/>
          <w:color w:val="111111"/>
          <w:sz w:val="28"/>
          <w:szCs w:val="28"/>
          <w:rtl/>
        </w:rPr>
        <w:t xml:space="preserve">راجع زین الدین خوافی فی ص 409.</w:t>
      </w:r>
    </w:p>
    <w:p>
      <w:pPr>
        <w:pStyle w:val="Heading3"/>
      </w:pPr>
      <w:bookmarkStart w:id="7195" w:name="_Toc5891"/>
      <w:r>
        <w:t>5419- دیوان فانی رازی‏</w:t>
      </w:r>
      <w:bookmarkEnd w:id="7195"/>
    </w:p>
    <w:p>
      <w:pPr>
        <w:pStyle w:val="BookText"/>
      </w:pPr>
      <w:r>
        <w:rPr>
          <w:rFonts w:ascii="IRNazanin" w:hAnsi="IRNazanin" w:eastAsia="IRNazanin" w:cs="IRNazanin"/>
          <w:lang w:bidi="fa-IR"/>
          <w:color w:val="111111"/>
          <w:sz w:val="28"/>
          <w:szCs w:val="28"/>
          <w:rtl/>
        </w:rPr>
        <w:t xml:space="preserve">راجع فانی کشمیری.</w:t>
      </w:r>
    </w:p>
    <w:p>
      <w:pPr>
        <w:pStyle w:val="Heading3"/>
      </w:pPr>
      <w:bookmarkStart w:id="7196" w:name="_Toc5892"/>
      <w:r>
        <w:t>5420- دیوان فانی زنوزی‏</w:t>
      </w:r>
      <w:bookmarkEnd w:id="7196"/>
    </w:p>
    <w:p>
      <w:pPr>
        <w:pStyle w:val="BookText"/>
      </w:pPr>
      <w:r>
        <w:rPr>
          <w:rFonts w:ascii="IRNazanin" w:hAnsi="IRNazanin" w:eastAsia="IRNazanin" w:cs="IRNazanin"/>
          <w:lang w:bidi="fa-IR"/>
          <w:color w:val="111111"/>
          <w:sz w:val="28"/>
          <w:szCs w:val="28"/>
          <w:rtl/>
        </w:rPr>
        <w:t xml:space="preserve">السید المیرزا حسن بن المیرزا عبد الرسول الحسنی الحسینی المولود 1172 فرغ من کتابه بحر العلوم المرتب علی سبعة أبحر فی 1209 کما مر فی (ج 3 ص 42) و فرغ من ریاض الجنة المرتب علی ثمانیة روضات فی 1216 ترجمه فی (دجا- ص</w:t>
      </w:r>
    </w:p>
    <w:p>
      <w:pPr>
        <w:pStyle w:val="BookText"/>
      </w:pPr>
      <w:r>
        <w:rPr>
          <w:rFonts w:ascii="Times New Roman" w:hAnsi="Times New Roman" w:eastAsia="Times New Roman" w:cs="Times New Roman"/>
          <w:lang w:val="en-US" w:bidi="en-US"/>
          <w:color w:val="111111"/>
          <w:sz w:val="28"/>
          <w:szCs w:val="28"/>
          <w:rtl/>
        </w:rPr>
        <w:t xml:space="preserve">292.</w:t>
      </w:r>
    </w:p>
    <w:p>
      <w:pPr>
        <w:pStyle w:val="BookText"/>
      </w:pPr>
      <w:r>
        <w:rPr>
          <w:rFonts w:ascii="IRNazanin" w:hAnsi="IRNazanin" w:eastAsia="IRNazanin" w:cs="IRNazanin"/>
          <w:lang w:bidi="fa-IR"/>
          <w:color w:val="111111"/>
          <w:sz w:val="28"/>
          <w:szCs w:val="28"/>
          <w:rtl/>
        </w:rPr>
        <w:t xml:space="preserve">و أورد بعض شعره العربی و قطعة فارسیة و ذکر أن کتابیه کل منهما دائرة معارف لذلک العصر. و یأتی ولده المیرزا عبد الرسول المتخلص بفنا.</w:t>
      </w:r>
    </w:p>
    <w:p>
      <w:pPr>
        <w:pStyle w:val="Heading3"/>
      </w:pPr>
      <w:bookmarkStart w:id="7197" w:name="_Toc5893"/>
      <w:r>
        <w:t>5421- دیوان فانی شیرانی أو شعره‏</w:t>
      </w:r>
      <w:bookmarkEnd w:id="7197"/>
    </w:p>
    <w:p>
      <w:pPr>
        <w:pStyle w:val="BookText"/>
      </w:pPr>
      <w:r>
        <w:rPr>
          <w:rFonts w:ascii="IRNazanin" w:hAnsi="IRNazanin" w:eastAsia="IRNazanin" w:cs="IRNazanin"/>
          <w:lang w:bidi="fa-IR"/>
          <w:color w:val="111111"/>
          <w:sz w:val="28"/>
          <w:szCs w:val="28"/>
          <w:rtl/>
        </w:rPr>
        <w:t xml:space="preserve">و هو الخواجة أحمد الدهدار الصوفی تلمیذ شاه فتح الله الشیرازی و مات 1016 عن 69 سنة. ترجمه و أورد شعره فی (گلشن- ص 307)</w:t>
      </w:r>
    </w:p>
    <w:p>
      <w:pPr>
        <w:pStyle w:val="Heading3"/>
      </w:pPr>
      <w:bookmarkStart w:id="7198" w:name="_Toc5894"/>
      <w:r>
        <w:t>5422- دیوان فانی کشمیری‏</w:t>
      </w:r>
      <w:bookmarkEnd w:id="7198"/>
    </w:p>
    <w:p>
      <w:pPr>
        <w:pStyle w:val="BookText"/>
      </w:pPr>
      <w:r>
        <w:rPr>
          <w:rFonts w:ascii="IRNazanin" w:hAnsi="IRNazanin" w:eastAsia="IRNazanin" w:cs="IRNazanin"/>
          <w:lang w:bidi="fa-IR"/>
          <w:color w:val="111111"/>
          <w:sz w:val="28"/>
          <w:szCs w:val="28"/>
          <w:rtl/>
        </w:rPr>
        <w:t xml:space="preserve">مشتمل علی الغزل و الرباعی و غیرها. توجد نسخته المحفوظة بمکتبة جامعة پنجاب. و اسمه محمد محسن بن حسن بن محمد. تلمذ علی عمه الشیخ یعقوب صرفی المتوفی 1003 فی طفولیته بکشمیر. و سافر فی شبابه إلی بلخ و مدح نذر محمد خان، و لما سمع بحریة العقائد عند دارا شکوه فی الهند، ذهب إلیه و مدح شاه‏جهان و دارا شکوه فنصبه صدرا لکشمیر، و فی 1056 عزله بعد فتح بلخ و فرار نذر محمد منها. و فی 1067 نظم مثنوی مصدر الآثار فی قبال مخزن الأسرار ترجمه حسن مؤلف تاریخ حسن و أعظم فی واقعات کشمیر و لودی فی‏
</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bookmarkStart w:id="795" w:name="pg11704_122280"/>
    <w:bookmarkEnd w:id="795"/>
    <w:p>
      <w:pPr>
        <w:pStyle w:val="BookText"/>
      </w:pPr>
      <w:r>
        <w:rPr>
          <w:rFonts w:ascii="IRNazanin" w:hAnsi="IRNazanin" w:eastAsia="IRNazanin" w:cs="IRNazanin"/>
          <w:lang w:bidi="fa-IR"/>
          <w:color w:val="111111"/>
          <w:sz w:val="28"/>
          <w:szCs w:val="28"/>
          <w:rtl/>
        </w:rPr>
        <w:t xml:space="preserve">خیال- ص 166 و (نر 13- ص 477) و (نتایج- ص 541) و (گلشن- ص 308) و مات فانی فی [1082 رفت فانی بعالم باقی‏] و قد نسب إلیه السیر ویلیام جون المستشرق، تألیف دبستان مذاهب المذکور فی (8: 47) و فی (گلشن- ص 373) أورد ذکره بعنوان محسن فانی الرازی قال و له شیرین و خسرو.</w:t>
      </w:r>
    </w:p>
    <w:p>
      <w:pPr>
        <w:pStyle w:val="Heading3"/>
      </w:pPr>
      <w:bookmarkStart w:id="7199" w:name="_Toc5895"/>
      <w:r>
        <w:t>5423- دیوان فانی‏کور أو شعره‏</w:t>
      </w:r>
      <w:bookmarkEnd w:id="7199"/>
    </w:p>
    <w:p>
      <w:pPr>
        <w:pStyle w:val="BookText"/>
      </w:pPr>
      <w:r>
        <w:rPr>
          <w:rFonts w:ascii="IRNazanin" w:hAnsi="IRNazanin" w:eastAsia="IRNazanin" w:cs="IRNazanin"/>
          <w:lang w:bidi="fa-IR"/>
          <w:color w:val="111111"/>
          <w:sz w:val="28"/>
          <w:szCs w:val="28"/>
          <w:rtl/>
        </w:rPr>
        <w:t xml:space="preserve">و هو البخارائی المعمائی. ترجمه فی (مجتس 6- ص 160) و أورد شعره.</w:t>
      </w:r>
    </w:p>
    <w:p>
      <w:pPr>
        <w:pStyle w:val="Heading3"/>
      </w:pPr>
      <w:bookmarkStart w:id="7200" w:name="_Toc5896"/>
      <w:r>
        <w:t>5424- دیوان فانی هروی‏</w:t>
      </w:r>
      <w:bookmarkEnd w:id="7200"/>
    </w:p>
    <w:p>
      <w:pPr>
        <w:pStyle w:val="BookText"/>
      </w:pPr>
      <w:r>
        <w:rPr>
          <w:rFonts w:ascii="IRNazanin" w:hAnsi="IRNazanin" w:eastAsia="IRNazanin" w:cs="IRNazanin"/>
          <w:lang w:bidi="fa-IR"/>
          <w:color w:val="111111"/>
          <w:sz w:val="28"/>
          <w:szCs w:val="28"/>
          <w:rtl/>
        </w:rPr>
        <w:t xml:space="preserve">و هو الوزیر نظام الدین میر علی شیر الجغتائی الهروی (844- 906) له أربعة دواوین ترکیة یتخلص فیها نوائی و هی 1 غرائب الصغر 2 نوادر الشباب 3 بدائع الوسط 4 فوائد الکبر و دیوان فارسی فی ستة آلاف بیت یتخلص فیها فانی و له خمسه نوائی کما ذکرناه فی (ج 7 ص 264) و ترجمه منطق الطیر بالترکیة یتخلص فیها فانی أیضا. ترجمه فی مجالس العشاق و (تس 6- ص 179) (خیال- ص 72) و فی مقدمه الطبع لترجمة کتابه الترکی مجالس النفائس المذکور فی (ص 262) و</w:t>
      </w:r>
    </w:p>
    <w:p>
      <w:pPr>
        <w:pStyle w:val="BookText"/>
      </w:pPr>
      <w:r>
        <w:rPr>
          <w:rFonts w:ascii="IRNazanin" w:hAnsi="IRNazanin" w:eastAsia="IRNazanin" w:cs="IRNazanin"/>
          <w:lang w:bidi="fa-IR"/>
          <w:color w:val="111111"/>
          <w:sz w:val="28"/>
          <w:szCs w:val="28"/>
          <w:rtl/>
        </w:rPr>
        <w:t xml:space="preserve">ذکره النصرآبادی فی (نر 15- ص 500) و توجد دیوانه الفارسی بمکتبة (المجلس) کما فی فهرسها (3: 367- 368) و قد نظم مولانا صاحب الذی کان مصاحب الوزیر و مؤانسه فی رثائه قصیدة کل بیت منها یستخرج تاریخ ولادته من المصراع الأول و تاریخ وفاته من المصراع الثانی و هی مذکورة فی ترجمه القزوینی فی (قز مج 3- ص 244) و قال فی مدیحه قوله:</w:t>
      </w:r>
    </w:p>
    <w:p>
      <w:pPr>
        <w:pStyle w:val="BookText"/>
      </w:pPr>
      <w:r>
        <w:rPr>
          <w:rFonts w:ascii="IRNazanin" w:hAnsi="IRNazanin" w:eastAsia="IRNazanin" w:cs="IRNazanin"/>
          <w:lang w:bidi="fa-IR"/>
          <w:color w:val="111111"/>
          <w:sz w:val="28"/>
          <w:szCs w:val="28"/>
          <w:rtl/>
        </w:rPr>
        <w:t xml:space="preserve">آنکه أو را جسم و جان بهر نبی بود و علی‏</w:t>
      </w:r>
    </w:p>
    <w:p>
      <w:pPr>
        <w:pStyle w:val="BookText"/>
      </w:pPr>
      <w:r>
        <w:rPr>
          <w:rFonts w:ascii="IRNazanin" w:hAnsi="IRNazanin" w:eastAsia="IRNazanin" w:cs="IRNazanin"/>
          <w:lang w:bidi="fa-IR"/>
          <w:color w:val="111111"/>
          <w:sz w:val="28"/>
          <w:szCs w:val="28"/>
          <w:rtl/>
        </w:rPr>
        <w:t xml:space="preserve">مائة دین زبده ایمان علی شیر ولی‏</w:t>
      </w:r>
    </w:p>
    <w:p>
      <w:pPr>
        <w:pStyle w:val="BookText"/>
      </w:pPr>
      <w:r>
        <w:rPr>
          <w:rFonts w:ascii="IRNazanin" w:hAnsi="IRNazanin" w:eastAsia="IRNazanin" w:cs="IRNazanin"/>
          <w:lang w:bidi="fa-IR"/>
          <w:color w:val="111111"/>
          <w:sz w:val="28"/>
          <w:szCs w:val="28"/>
          <w:rtl/>
        </w:rPr>
        <w:t xml:space="preserve">و کان والده الأمیر کیچکنه- أو کنجینه کما فی (تس 6- ص 179)- ملازما للسلطان أبی سعید میرزا التیموری سلطان ما وراء النهرین (855- 872) و اشتغل علی شیر بتحصیل العلوم فی مشهد خراسان کما صرح به سام میرزا. و ترجمه فی مجمع الفصحاء ج 1 ص 41 و قال دیوان غزلیاته مشهور.</w:t>
      </w:r>
    </w:p>
    <w:p>
      <w:pPr>
        <w:pStyle w:val="Heading3"/>
      </w:pPr>
      <w:bookmarkStart w:id="7201" w:name="_Toc5897"/>
      <w:r>
        <w:t>5425- دیوان فانی یزدی‏</w:t>
      </w:r>
      <w:bookmarkEnd w:id="7201"/>
    </w:p>
    <w:p>
      <w:pPr>
        <w:pStyle w:val="BookText"/>
      </w:pPr>
      <w:r>
        <w:rPr>
          <w:rFonts w:ascii="IRNazanin" w:hAnsi="IRNazanin" w:eastAsia="IRNazanin" w:cs="IRNazanin"/>
          <w:lang w:bidi="fa-IR"/>
          <w:color w:val="111111"/>
          <w:sz w:val="28"/>
          <w:szCs w:val="28"/>
          <w:rtl/>
        </w:rPr>
        <w:t xml:space="preserve">السید حسن بن إسماعیل بن مرتضی الحسینی الیزدی نزیل أصفهان الواعظ الشاعر المولود 1281 و المتوفی (17- ع 1- 1338) طبع له إکسیر الاخبار المذکور فی ج 2 ص 277 ترجمه عمادزاده فی رجال أصفهان ص 47.
</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bookmarkStart w:id="796" w:name="pg11704_122281"/>
    <w:bookmarkEnd w:id="796"/>
    <w:p>
      <w:pPr>
        <w:pStyle w:val="Heading3"/>
      </w:pPr>
      <w:bookmarkStart w:id="7202" w:name="_Toc5898"/>
      <w:r>
        <w:t>5426- دیوان فائز تبریزی أو شعره‏</w:t>
      </w:r>
      <w:bookmarkEnd w:id="7202"/>
    </w:p>
    <w:p>
      <w:pPr>
        <w:pStyle w:val="BookText"/>
      </w:pPr>
      <w:r>
        <w:rPr>
          <w:rFonts w:ascii="IRNazanin" w:hAnsi="IRNazanin" w:eastAsia="IRNazanin" w:cs="IRNazanin"/>
          <w:lang w:bidi="fa-IR"/>
          <w:color w:val="111111"/>
          <w:sz w:val="28"/>
          <w:szCs w:val="28"/>
          <w:rtl/>
        </w:rPr>
        <w:t xml:space="preserve">کان نزیل قم. ذکره فی (دجا- ص 293) نقلا عن لطائف الخیال لنصرت. قال اسمه المولی علی من شعراء تبریز.</w:t>
      </w:r>
    </w:p>
    <w:p>
      <w:pPr>
        <w:pStyle w:val="Heading3"/>
      </w:pPr>
      <w:bookmarkStart w:id="7203" w:name="_Toc5899"/>
      <w:r>
        <w:t>5427- دیوان فائز دشتی‏</w:t>
      </w:r>
      <w:bookmarkEnd w:id="7203"/>
    </w:p>
    <w:p>
      <w:pPr>
        <w:pStyle w:val="BookText"/>
      </w:pPr>
      <w:r>
        <w:rPr>
          <w:rFonts w:ascii="IRNazanin" w:hAnsi="IRNazanin" w:eastAsia="IRNazanin" w:cs="IRNazanin"/>
          <w:lang w:bidi="fa-IR"/>
          <w:color w:val="111111"/>
          <w:sz w:val="28"/>
          <w:szCs w:val="28"/>
          <w:rtl/>
        </w:rPr>
        <w:t xml:space="preserve">المذکور فی (8: 271) فارسی مطبوع بعنوان دو بیتیها.</w:t>
      </w:r>
    </w:p>
    <w:p>
      <w:pPr>
        <w:pStyle w:val="Heading3"/>
      </w:pPr>
      <w:bookmarkStart w:id="7204" w:name="_Toc5900"/>
      <w:r>
        <w:t>5428- دیوان فائز شوشتری‏</w:t>
      </w:r>
      <w:bookmarkEnd w:id="7204"/>
    </w:p>
    <w:p>
      <w:pPr>
        <w:pStyle w:val="BookText"/>
      </w:pPr>
      <w:r>
        <w:rPr>
          <w:rFonts w:ascii="IRNazanin" w:hAnsi="IRNazanin" w:eastAsia="IRNazanin" w:cs="IRNazanin"/>
          <w:lang w:bidi="fa-IR"/>
          <w:color w:val="111111"/>
          <w:sz w:val="28"/>
          <w:szCs w:val="28"/>
          <w:rtl/>
        </w:rPr>
        <w:t xml:space="preserve">اسمه حاج حاجی فی مدائح المعصومین و المراثی لأبی عبد الله. فی نیف و خمسة آلاف بیت. ترجمه شباب الشوشتری فی دیوانه و ذکر أنه توفی 1277 و رثاه بقصیدة و مادة تاریخه [و للفائز فوز عظیم‏] یوجد فی تستر و له ولد اسمه المولی محمد طاهر المتخلص عارف مر دیوانه.</w:t>
      </w:r>
    </w:p>
    <w:p>
      <w:pPr>
        <w:pStyle w:val="Heading3"/>
      </w:pPr>
      <w:bookmarkStart w:id="7205" w:name="_Toc5901"/>
      <w:r>
        <w:t>5429- دیوان فائز شهرستانی أو شعره‏</w:t>
      </w:r>
      <w:bookmarkEnd w:id="7205"/>
    </w:p>
    <w:p>
      <w:pPr>
        <w:pStyle w:val="BookText"/>
      </w:pPr>
      <w:r>
        <w:rPr>
          <w:rFonts w:ascii="IRNazanin" w:hAnsi="IRNazanin" w:eastAsia="IRNazanin" w:cs="IRNazanin"/>
          <w:lang w:bidi="fa-IR"/>
          <w:color w:val="111111"/>
          <w:sz w:val="28"/>
          <w:szCs w:val="28"/>
          <w:rtl/>
        </w:rPr>
        <w:t xml:space="preserve">و هو المیرزا علاء الدین بن المیرزا رفیع صدر الممالک کان اسمه محمد صادق فلقبه جده لأمه الشاه عباس بعلاء الدین، و أخذ تخلصه فائز من صائب الشاعر الأصفهانی التبریزی و مهر فی العلوم و النجوم و قد أعمی بصره الشاه صفی. ترجمه کذلک و أورد شعره فی (نر 1- ص 12) و (روشن- ص 465) و (گلشن- ص 309).</w:t>
      </w:r>
    </w:p>
    <w:p>
      <w:pPr>
        <w:pStyle w:val="Heading3"/>
      </w:pPr>
      <w:bookmarkStart w:id="7206" w:name="_Toc5902"/>
      <w:r>
        <w:t>5430- دیوان فائز قمی‏</w:t>
      </w:r>
      <w:bookmarkEnd w:id="7206"/>
    </w:p>
    <w:p>
      <w:pPr>
        <w:pStyle w:val="BookText"/>
      </w:pPr>
      <w:r>
        <w:rPr>
          <w:rFonts w:ascii="IRNazanin" w:hAnsi="IRNazanin" w:eastAsia="IRNazanin" w:cs="IRNazanin"/>
          <w:lang w:bidi="fa-IR"/>
          <w:color w:val="111111"/>
          <w:sz w:val="28"/>
          <w:szCs w:val="28"/>
          <w:rtl/>
        </w:rPr>
        <w:t xml:space="preserve">و اسمه الشیخ علی ابن أخ الملا عبد الرزاق القمی. ترجمه و أورد شعره فی (نر 6- ص 184).</w:t>
      </w:r>
    </w:p>
    <w:p>
      <w:pPr>
        <w:pStyle w:val="Heading3"/>
      </w:pPr>
      <w:bookmarkStart w:id="7207" w:name="_Toc5903"/>
      <w:r>
        <w:t>5431- دیوان فائز یزدی‏</w:t>
      </w:r>
      <w:bookmarkEnd w:id="7207"/>
    </w:p>
    <w:p>
      <w:pPr>
        <w:pStyle w:val="BookText"/>
      </w:pPr>
      <w:r>
        <w:rPr>
          <w:rFonts w:ascii="IRNazanin" w:hAnsi="IRNazanin" w:eastAsia="IRNazanin" w:cs="IRNazanin"/>
          <w:lang w:bidi="fa-IR"/>
          <w:color w:val="111111"/>
          <w:sz w:val="28"/>
          <w:szCs w:val="28"/>
          <w:rtl/>
        </w:rPr>
        <w:t xml:space="preserve">و اسمه شاه محمد، معاصر الشاه سلیمان الصفوی، و کان یکتب بأنواع سبعة من الخطوط. ترجمه آیتی فی (تش یز- ص 315) و أورد شعره.</w:t>
      </w:r>
    </w:p>
    <w:p>
      <w:pPr>
        <w:pStyle w:val="Heading3"/>
      </w:pPr>
      <w:bookmarkStart w:id="7208" w:name="_Toc5904"/>
      <w:r>
        <w:t>5432- دیوان فائض أو شعره‏</w:t>
      </w:r>
      <w:bookmarkEnd w:id="7208"/>
    </w:p>
    <w:p>
      <w:pPr>
        <w:pStyle w:val="BookText"/>
      </w:pPr>
      <w:r>
        <w:rPr>
          <w:rFonts w:ascii="IRNazanin" w:hAnsi="IRNazanin" w:eastAsia="IRNazanin" w:cs="IRNazanin"/>
          <w:lang w:bidi="fa-IR"/>
          <w:color w:val="111111"/>
          <w:sz w:val="28"/>
          <w:szCs w:val="28"/>
          <w:rtl/>
        </w:rPr>
        <w:t xml:space="preserve">کان من شعراء القرن الثالث عشر فی آذربایجان کما فی (دجا- ص 293) نقلا عن حدیقة الشعراء.</w:t>
      </w:r>
    </w:p>
    <w:p>
      <w:pPr>
        <w:pStyle w:val="Heading3"/>
      </w:pPr>
      <w:bookmarkStart w:id="7209" w:name="_Toc5905"/>
      <w:r>
        <w:t>5433- دیوان فائض أبهری أو شعره‏</w:t>
      </w:r>
      <w:bookmarkEnd w:id="7209"/>
    </w:p>
    <w:p>
      <w:pPr>
        <w:pStyle w:val="BookText"/>
      </w:pPr>
      <w:r>
        <w:rPr>
          <w:rFonts w:ascii="IRNazanin" w:hAnsi="IRNazanin" w:eastAsia="IRNazanin" w:cs="IRNazanin"/>
          <w:lang w:bidi="fa-IR"/>
          <w:color w:val="111111"/>
          <w:sz w:val="28"/>
          <w:szCs w:val="28"/>
          <w:rtl/>
        </w:rPr>
        <w:t xml:space="preserve">اسمه المولی محمد نصیر من تلامیذ المیرزا صائب و المصاحبین للشیخ علی الحزین و توفی بأصفهان فی فتنة الأفغان 1134 کذا ترجمه فی (خز- ص 368) و تذکره حزین- ص 104 و (نتایج- ص 545) و ذکروا قصیدته فی مدیح الشاه سلطان حسین و مثنویة فی تعریف البسملة و بعض أشعاره. و ترجمه النصرآبادی فی (نر 9- ص 337) بعنوان فائضا و لم یذکر اسمه. قال و اسم أبیه أستاذ قاسم الأبهری و کذا فی (حسینی- ص 254).</w:t>
      </w:r>
    </w:p>
    <w:p>
      <w:pPr>
        <w:pStyle w:val="Heading3"/>
      </w:pPr>
      <w:bookmarkStart w:id="7210" w:name="_Toc5906"/>
      <w:r>
        <w:t>5434- دیوان فائض أردبیلی أو شعره‏</w:t>
      </w:r>
      <w:bookmarkEnd w:id="7210"/>
    </w:p>
    <w:p>
      <w:pPr>
        <w:pStyle w:val="BookText"/>
      </w:pPr>
      <w:r>
        <w:rPr>
          <w:rFonts w:ascii="IRNazanin" w:hAnsi="IRNazanin" w:eastAsia="IRNazanin" w:cs="IRNazanin"/>
          <w:lang w:bidi="fa-IR"/>
          <w:color w:val="111111"/>
          <w:sz w:val="28"/>
          <w:szCs w:val="28"/>
          <w:rtl/>
        </w:rPr>
        <w:t xml:space="preserve">و اسمه المولی حیدر علی بن مسیح الله‏
</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bookmarkStart w:id="797" w:name="pg11704_122282"/>
    <w:bookmarkEnd w:id="797"/>
    <w:p>
      <w:pPr>
        <w:pStyle w:val="BookText"/>
      </w:pPr>
      <w:r>
        <w:rPr>
          <w:rFonts w:ascii="IRNazanin" w:hAnsi="IRNazanin" w:eastAsia="IRNazanin" w:cs="IRNazanin"/>
          <w:lang w:bidi="fa-IR"/>
          <w:color w:val="111111"/>
          <w:sz w:val="28"/>
          <w:szCs w:val="28"/>
          <w:rtl/>
        </w:rPr>
        <w:t xml:space="preserve">الأردبیلی ترجمه فی (دجا- ص 293) و ذکر أنه توفی 1081 فقال ابنه فیه:</w:t>
      </w:r>
    </w:p>
    <w:p>
      <w:pPr>
        <w:pStyle w:val="BookText"/>
      </w:pPr>
      <w:r>
        <w:rPr>
          <w:rFonts w:ascii="IRNazanin" w:hAnsi="IRNazanin" w:eastAsia="IRNazanin" w:cs="IRNazanin"/>
          <w:lang w:bidi="fa-IR"/>
          <w:color w:val="111111"/>
          <w:sz w:val="28"/>
          <w:szCs w:val="28"/>
          <w:rtl/>
        </w:rPr>
        <w:t xml:space="preserve">تاریخ وفات فایضای مرحوم‏</w:t>
      </w:r>
    </w:p>
    <w:p>
      <w:pPr>
        <w:pStyle w:val="BookText"/>
      </w:pPr>
      <w:r>
        <w:rPr>
          <w:rFonts w:ascii="IRNazanin" w:hAnsi="IRNazanin" w:eastAsia="IRNazanin" w:cs="IRNazanin"/>
          <w:lang w:bidi="fa-IR"/>
          <w:color w:val="111111"/>
          <w:sz w:val="28"/>
          <w:szCs w:val="28"/>
          <w:rtl/>
        </w:rPr>
        <w:t xml:space="preserve">کردند رقم که (شد برحمت واصل)</w:t>
      </w:r>
    </w:p>
    <w:p>
      <w:pPr>
        <w:pStyle w:val="BookText"/>
      </w:pPr>
      <w:r>
        <w:rPr>
          <w:rFonts w:ascii="IRNazanin" w:hAnsi="IRNazanin" w:eastAsia="IRNazanin" w:cs="IRNazanin"/>
          <w:lang w:bidi="fa-IR"/>
          <w:color w:val="111111"/>
          <w:sz w:val="28"/>
          <w:szCs w:val="28"/>
          <w:rtl/>
        </w:rPr>
        <w:t xml:space="preserve">و أورد بعض أشعاره نقلا عن سفینه خوش‏گو و ترجمه النصرآبادی فی (نر 6- ص 190 و 13 ص 483) و أورد أیضا بعض أشعاره الآخر، و قال إن تخلصه فائض.</w:t>
      </w:r>
    </w:p>
    <w:p>
      <w:pPr>
        <w:pStyle w:val="Heading3"/>
      </w:pPr>
      <w:bookmarkStart w:id="7211" w:name="_Toc5907"/>
      <w:r>
        <w:t>5435- دیوان فائض أصفهانی أو شعره‏</w:t>
      </w:r>
      <w:bookmarkEnd w:id="7211"/>
    </w:p>
    <w:p>
      <w:pPr>
        <w:pStyle w:val="BookText"/>
      </w:pPr>
      <w:r>
        <w:rPr>
          <w:rFonts w:ascii="IRNazanin" w:hAnsi="IRNazanin" w:eastAsia="IRNazanin" w:cs="IRNazanin"/>
          <w:lang w:bidi="fa-IR"/>
          <w:color w:val="111111"/>
          <w:sz w:val="28"/>
          <w:szCs w:val="28"/>
          <w:rtl/>
        </w:rPr>
        <w:t xml:space="preserve">و اسمه المیرزا عباس. عده باقر ألفت من أعضاء انجمن دانشکده بأصفهان و أورد غزله فی دانش‏نامه المطبوع 1342 و فی شعرای معاصر أصفهانی- ص 340.</w:t>
      </w:r>
    </w:p>
    <w:p>
      <w:pPr>
        <w:pStyle w:val="Heading3"/>
      </w:pPr>
      <w:bookmarkStart w:id="7212" w:name="_Toc5908"/>
      <w:r>
        <w:t>5436- دیوان فائض خوانساری أو شعره‏</w:t>
      </w:r>
      <w:bookmarkEnd w:id="7212"/>
    </w:p>
    <w:p>
      <w:pPr>
        <w:pStyle w:val="BookText"/>
      </w:pPr>
      <w:r>
        <w:rPr>
          <w:rFonts w:ascii="IRNazanin" w:hAnsi="IRNazanin" w:eastAsia="IRNazanin" w:cs="IRNazanin"/>
          <w:lang w:bidi="fa-IR"/>
          <w:color w:val="111111"/>
          <w:sz w:val="28"/>
          <w:szCs w:val="28"/>
          <w:rtl/>
        </w:rPr>
        <w:t xml:space="preserve">أورد شعره فی (گلشن- ص 310).</w:t>
      </w:r>
    </w:p>
    <w:p>
      <w:pPr>
        <w:pStyle w:val="Heading3"/>
      </w:pPr>
      <w:bookmarkStart w:id="7213" w:name="_Toc5909"/>
      <w:r>
        <w:t>5437- دیوان فائض مازندرانی أو شعره‏</w:t>
      </w:r>
      <w:bookmarkEnd w:id="7213"/>
    </w:p>
    <w:p>
      <w:pPr>
        <w:pStyle w:val="BookText"/>
      </w:pPr>
      <w:r>
        <w:rPr>
          <w:rFonts w:ascii="IRNazanin" w:hAnsi="IRNazanin" w:eastAsia="IRNazanin" w:cs="IRNazanin"/>
          <w:lang w:bidi="fa-IR"/>
          <w:color w:val="111111"/>
          <w:sz w:val="28"/>
          <w:szCs w:val="28"/>
          <w:rtl/>
        </w:rPr>
        <w:t xml:space="preserve">و اسمه الملا محمد باقر. ترجمه و أورد شعره فی (گلشن- ص 309) و قال ولد ببارفروش. و کان معاصر الحزین و لم یخرج من وطنه و مات 1118 و تتبع دیوان صائب.</w:t>
      </w:r>
    </w:p>
    <w:p>
      <w:pPr>
        <w:pStyle w:val="Heading3"/>
      </w:pPr>
      <w:bookmarkStart w:id="7214" w:name="_Toc5910"/>
      <w:r>
        <w:t>5438- دیوان فائض نائینی‏</w:t>
      </w:r>
      <w:bookmarkEnd w:id="7214"/>
    </w:p>
    <w:p>
      <w:pPr>
        <w:pStyle w:val="BookText"/>
      </w:pPr>
      <w:r>
        <w:rPr>
          <w:rFonts w:ascii="IRNazanin" w:hAnsi="IRNazanin" w:eastAsia="IRNazanin" w:cs="IRNazanin"/>
          <w:lang w:bidi="fa-IR"/>
          <w:color w:val="111111"/>
          <w:sz w:val="28"/>
          <w:szCs w:val="28"/>
          <w:rtl/>
        </w:rPr>
        <w:t xml:space="preserve">للمیرزا محمد بن محمد هادی النائنی تلمیذ السید حجة الإسلام الأصفهانی المجاز منه و له کتاب فی الرجال ذکر فی ج 10 ص 148 و قد کتب أستاذه إجازة له بخطه علی ظهر کتابه الرجال الموجود عند (السید شهاب الدین) کما کتبه إلینا، و ذکر أنه فرغ من تألیفه 1265 و أن النسخة بخطه المتوسط و إنه شاعر تخلصه فائض أقول: و ظنی أنه الآقا محمد النائنی والد الآغا علی رضا النائنی الذی ینقل عنه شیخنا بعض الحکایات فی دار السلام و غیره مع الإطراء و التجلیل.</w:t>
      </w:r>
    </w:p>
    <w:p>
      <w:pPr>
        <w:pStyle w:val="Heading3"/>
      </w:pPr>
      <w:bookmarkStart w:id="7215" w:name="_Toc5911"/>
      <w:r>
        <w:t>5439- دیوان فائض نهاوندی أو شعره‏</w:t>
      </w:r>
      <w:bookmarkEnd w:id="7215"/>
    </w:p>
    <w:p>
      <w:pPr>
        <w:pStyle w:val="BookText"/>
      </w:pPr>
      <w:r>
        <w:rPr>
          <w:rFonts w:ascii="IRNazanin" w:hAnsi="IRNazanin" w:eastAsia="IRNazanin" w:cs="IRNazanin"/>
          <w:lang w:bidi="fa-IR"/>
          <w:color w:val="111111"/>
          <w:sz w:val="28"/>
          <w:szCs w:val="28"/>
          <w:rtl/>
        </w:rPr>
        <w:t xml:space="preserve">ترجمه و أورد شعره فی (گلشن- ص 310)</w:t>
      </w:r>
    </w:p>
    <w:p>
      <w:pPr>
        <w:pStyle w:val="Heading3"/>
      </w:pPr>
      <w:bookmarkStart w:id="7216" w:name="_Toc5912"/>
      <w:r>
        <w:t>دیوان فائض هندی أو شعره‏</w:t>
      </w:r>
      <w:bookmarkEnd w:id="7216"/>
    </w:p>
    <w:p>
      <w:pPr>
        <w:pStyle w:val="BookText"/>
      </w:pPr>
      <w:r>
        <w:rPr>
          <w:rFonts w:ascii="IRNazanin" w:hAnsi="IRNazanin" w:eastAsia="IRNazanin" w:cs="IRNazanin"/>
          <w:lang w:bidi="fa-IR"/>
          <w:color w:val="111111"/>
          <w:sz w:val="28"/>
          <w:szCs w:val="28"/>
          <w:rtl/>
        </w:rPr>
        <w:t xml:space="preserve">و هو المیر شرف الدین الحسینی. ترجمه و أورد شعره فی (حسینی- ص 254).</w:t>
      </w:r>
    </w:p>
    <w:p>
      <w:pPr>
        <w:pStyle w:val="Heading3"/>
      </w:pPr>
      <w:bookmarkStart w:id="7217" w:name="_Toc5913"/>
      <w:r>
        <w:t>5440- دیوان فائق أردبیلی‏</w:t>
      </w:r>
      <w:bookmarkEnd w:id="7217"/>
    </w:p>
    <w:p>
      <w:pPr>
        <w:pStyle w:val="BookText"/>
      </w:pPr>
      <w:r>
        <w:rPr>
          <w:rFonts w:ascii="IRNazanin" w:hAnsi="IRNazanin" w:eastAsia="IRNazanin" w:cs="IRNazanin"/>
          <w:lang w:bidi="fa-IR"/>
          <w:color w:val="111111"/>
          <w:sz w:val="28"/>
          <w:szCs w:val="28"/>
          <w:rtl/>
        </w:rPr>
        <w:t xml:space="preserve">ترجمه فی (دجا- ص 293) و حکی عن حدیقة الشعراء أنه من شعراء القرن الثالث عشر.</w:t>
      </w:r>
    </w:p>
    <w:p>
      <w:pPr>
        <w:pStyle w:val="Heading3"/>
      </w:pPr>
      <w:bookmarkStart w:id="7218" w:name="_Toc5914"/>
      <w:r>
        <w:t>5441- دیوان فائق أصفهانی‏</w:t>
      </w:r>
      <w:bookmarkEnd w:id="7218"/>
    </w:p>
    <w:p>
      <w:pPr>
        <w:pStyle w:val="BookText"/>
      </w:pPr>
      <w:r>
        <w:rPr>
          <w:rFonts w:ascii="IRNazanin" w:hAnsi="IRNazanin" w:eastAsia="IRNazanin" w:cs="IRNazanin"/>
          <w:lang w:bidi="fa-IR"/>
          <w:color w:val="111111"/>
          <w:sz w:val="28"/>
          <w:szCs w:val="28"/>
          <w:rtl/>
        </w:rPr>
        <w:t xml:space="preserve">و اسمه آقا أمینا بن آقا شاه ولی الأصفهانی. ترجمه معاصره النصرآبادی فی (نر 9- ص 349) و أطرأه بترک شغل والده من خدمة الدولة و قنوعه بخیاطة الفراء. و أورد 14 بیتا من شعره و کذا فی (گلشن- ص 310) و (سرخوش- ص 88)
</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bookmarkStart w:id="798" w:name="pg11704_122283"/>
    <w:bookmarkEnd w:id="798"/>
    <w:p>
      <w:pPr>
        <w:pStyle w:val="Heading3"/>
      </w:pPr>
      <w:bookmarkStart w:id="7219" w:name="_Toc5915"/>
      <w:r>
        <w:t>5442- دیوان فائق لکهنوی‏</w:t>
      </w:r>
      <w:bookmarkEnd w:id="7219"/>
    </w:p>
    <w:p>
      <w:pPr>
        <w:pStyle w:val="BookText"/>
      </w:pPr>
      <w:r>
        <w:rPr>
          <w:rFonts w:ascii="IRNazanin" w:hAnsi="IRNazanin" w:eastAsia="IRNazanin" w:cs="IRNazanin"/>
          <w:lang w:bidi="fa-IR"/>
          <w:color w:val="111111"/>
          <w:sz w:val="28"/>
          <w:szCs w:val="28"/>
          <w:rtl/>
        </w:rPr>
        <w:t xml:space="preserve">و هو المولوی غلام محمد بن المولوی غلام حسین من أحفاد الشیخ کبیر الدین الترمذی. له مخزن الفوائد و إنشاء فائق و بهار معنی و شکار معنی و روضة الشهداء و دیوان و مات فی 29 رجب 1241 و هو أول من روج تدریس الکتب الفارسیة فی لکهنو. ترجمه و أورد شعره فی (گلشن- ص 310)</w:t>
      </w:r>
    </w:p>
    <w:p>
      <w:pPr>
        <w:pStyle w:val="Heading3"/>
      </w:pPr>
      <w:bookmarkStart w:id="7220" w:name="_Toc5916"/>
      <w:r>
        <w:t>5443- دیوان فائقی تبریزی أو شعره‏</w:t>
      </w:r>
      <w:bookmarkEnd w:id="7220"/>
    </w:p>
    <w:p>
      <w:pPr>
        <w:pStyle w:val="BookText"/>
      </w:pPr>
      <w:r>
        <w:rPr>
          <w:rFonts w:ascii="IRNazanin" w:hAnsi="IRNazanin" w:eastAsia="IRNazanin" w:cs="IRNazanin"/>
          <w:lang w:bidi="fa-IR"/>
          <w:color w:val="111111"/>
          <w:sz w:val="28"/>
          <w:szCs w:val="28"/>
          <w:rtl/>
        </w:rPr>
        <w:t xml:space="preserve">ترجمه و أورد شعره فی (دجا- ص 294) نقلا عن تحفه سامی لکنه لم یوجد فی المطبوع من التحفة.</w:t>
      </w:r>
    </w:p>
    <w:p>
      <w:pPr>
        <w:pStyle w:val="Heading3"/>
      </w:pPr>
      <w:bookmarkStart w:id="7221" w:name="_Toc5917"/>
      <w:r>
        <w:t>دیوان فائقی شیرازی‏</w:t>
      </w:r>
      <w:bookmarkEnd w:id="7221"/>
    </w:p>
    <w:p>
      <w:pPr>
        <w:pStyle w:val="BookText"/>
      </w:pPr>
      <w:r>
        <w:rPr>
          <w:rFonts w:ascii="IRNazanin" w:hAnsi="IRNazanin" w:eastAsia="IRNazanin" w:cs="IRNazanin"/>
          <w:lang w:bidi="fa-IR"/>
          <w:color w:val="111111"/>
          <w:sz w:val="28"/>
          <w:szCs w:val="28"/>
          <w:rtl/>
        </w:rPr>
        <w:t xml:space="preserve">مر بعنوان فارغی شیرازی.</w:t>
      </w:r>
    </w:p>
    <w:p>
      <w:pPr>
        <w:pStyle w:val="Heading3"/>
      </w:pPr>
      <w:bookmarkStart w:id="7222" w:name="_Toc5918"/>
      <w:r>
        <w:t>دیوان فتاح مراغی‏</w:t>
      </w:r>
      <w:bookmarkEnd w:id="7222"/>
    </w:p>
    <w:p>
      <w:pPr>
        <w:pStyle w:val="BookText"/>
      </w:pPr>
      <w:r>
        <w:rPr>
          <w:rFonts w:ascii="IRNazanin" w:hAnsi="IRNazanin" w:eastAsia="IRNazanin" w:cs="IRNazanin"/>
          <w:lang w:bidi="fa-IR"/>
          <w:color w:val="111111"/>
          <w:sz w:val="28"/>
          <w:szCs w:val="28"/>
          <w:rtl/>
        </w:rPr>
        <w:t xml:space="preserve">مر بعنوان إشراق مراغی و توفی 1275.</w:t>
      </w:r>
    </w:p>
    <w:p>
      <w:pPr>
        <w:pStyle w:val="Heading3"/>
      </w:pPr>
      <w:bookmarkStart w:id="7223" w:name="_Toc5919"/>
      <w:r>
        <w:t>5444- دیوان فتاحی نیشابوری‏</w:t>
      </w:r>
      <w:bookmarkEnd w:id="7223"/>
    </w:p>
    <w:p>
      <w:pPr>
        <w:pStyle w:val="BookText"/>
      </w:pPr>
      <w:r>
        <w:rPr>
          <w:rFonts w:ascii="IRNazanin" w:hAnsi="IRNazanin" w:eastAsia="IRNazanin" w:cs="IRNazanin"/>
          <w:lang w:bidi="fa-IR"/>
          <w:color w:val="111111"/>
          <w:sz w:val="28"/>
          <w:szCs w:val="28"/>
          <w:rtl/>
        </w:rPr>
        <w:t xml:space="preserve">و هو المولی یحیی سیبک الخراسانی‏</w:t>
      </w:r>
      <w:r>
        <w:rPr>
          <w:rStyle w:val="FootnoteReference"/>
        </w:rPr>
        <w:footnoteReference w:id="64"/>
      </w:r>
      <w:r>
        <w:rPr>
          <w:rFonts w:ascii="IRNazanin" w:hAnsi="IRNazanin" w:eastAsia="IRNazanin" w:cs="IRNazanin"/>
          <w:lang w:bidi="fa-IR"/>
          <w:color w:val="111111"/>
          <w:sz w:val="28"/>
          <w:szCs w:val="28"/>
          <w:rtl/>
        </w:rPr>
        <w:t xml:space="preserve">العالم الشاعر له شبستان خیال نظما فارسیا یتخلص فیه فتاحی و تفاحی و قد یتخلص أسرار و له شبستان نکات و گلستان لغات نثرا فی ثمانیة أبواب. توجد فی (سپهسالار- 6832). و مر له أیضا دستور عشاق المطبوع ترجمه فی (لت ...) و (مجن 1 ص- 13 و 188) و الریحانة.</w:t>
      </w:r>
    </w:p>
    <w:p>
      <w:pPr>
        <w:pStyle w:val="Heading3"/>
      </w:pPr>
      <w:bookmarkStart w:id="7224" w:name="_Toc5920"/>
      <w:r>
        <w:t>5445- دیوان فتح أصفهانی أو شعره‏</w:t>
      </w:r>
      <w:bookmarkEnd w:id="7224"/>
    </w:p>
    <w:p>
      <w:pPr>
        <w:pStyle w:val="BookText"/>
      </w:pPr>
      <w:r>
        <w:rPr>
          <w:rFonts w:ascii="IRNazanin" w:hAnsi="IRNazanin" w:eastAsia="IRNazanin" w:cs="IRNazanin"/>
          <w:lang w:bidi="fa-IR"/>
          <w:color w:val="111111"/>
          <w:sz w:val="28"/>
          <w:szCs w:val="28"/>
          <w:rtl/>
        </w:rPr>
        <w:t xml:space="preserve">هو ابن کاظم بیک الأصفهانی. ترجمه النصرآبادی فی (نر 5- ص 148) و أورد شعره، و کذا فی (گلشن- 312).</w:t>
      </w:r>
    </w:p>
    <w:p>
      <w:pPr>
        <w:pStyle w:val="Heading3"/>
      </w:pPr>
      <w:bookmarkStart w:id="7225" w:name="_Toc5921"/>
      <w:r>
        <w:t>5446- دیوان الآقا فتح علی الزنجانی الفقیه‏</w:t>
      </w:r>
      <w:bookmarkEnd w:id="7225"/>
    </w:p>
    <w:p>
      <w:pPr>
        <w:pStyle w:val="BookText"/>
      </w:pPr>
      <w:r>
        <w:rPr>
          <w:rFonts w:ascii="IRNazanin" w:hAnsi="IRNazanin" w:eastAsia="IRNazanin" w:cs="IRNazanin"/>
          <w:lang w:bidi="fa-IR"/>
          <w:color w:val="111111"/>
          <w:sz w:val="28"/>
          <w:szCs w:val="28"/>
          <w:rtl/>
        </w:rPr>
        <w:t xml:space="preserve">المتوفی بالنجف 1338 و هو ابن أخت المولی قربان علی المدفون بالکاظمیة. و دیوانه فارسی و له تصانیف آخر.</w:t>
      </w:r>
    </w:p>
    <w:p>
      <w:pPr>
        <w:pStyle w:val="Heading3"/>
      </w:pPr>
      <w:bookmarkStart w:id="7226" w:name="_Toc5922"/>
      <w:r>
        <w:t>دیوان فتح علی شاه‏</w:t>
      </w:r>
      <w:bookmarkEnd w:id="7226"/>
    </w:p>
    <w:p>
      <w:pPr>
        <w:pStyle w:val="BookText"/>
      </w:pPr>
      <w:r>
        <w:rPr>
          <w:rFonts w:ascii="IRNazanin" w:hAnsi="IRNazanin" w:eastAsia="IRNazanin" w:cs="IRNazanin"/>
          <w:lang w:bidi="fa-IR"/>
          <w:color w:val="111111"/>
          <w:sz w:val="28"/>
          <w:szCs w:val="28"/>
          <w:rtl/>
        </w:rPr>
        <w:t xml:space="preserve">مر بعنوان دیوان الخاقان و قد جمع دیوانه غلام حسین جواهری و طبع فی 1337 ش فی 136 ص. بطهران،</w:t>
      </w:r>
    </w:p>
    <w:p>
      <w:pPr>
        <w:pStyle w:val="Heading3"/>
      </w:pPr>
      <w:bookmarkStart w:id="7227" w:name="_Toc5923"/>
      <w:r>
        <w:t>5447- دیوان الشیخ فتح الله‏</w:t>
      </w:r>
      <w:bookmarkEnd w:id="7227"/>
    </w:p>
    <w:p>
      <w:pPr>
        <w:pStyle w:val="BookText"/>
      </w:pPr>
      <w:r>
        <w:rPr>
          <w:rFonts w:ascii="IRNazanin" w:hAnsi="IRNazanin" w:eastAsia="IRNazanin" w:cs="IRNazanin"/>
          <w:lang w:bidi="fa-IR"/>
          <w:color w:val="111111"/>
          <w:sz w:val="28"/>
          <w:szCs w:val="28"/>
          <w:rtl/>
        </w:rPr>
        <w:t xml:space="preserve">بن مظفر الدین علی و سبط المحقق الدوانی توفی بالطاعون فی 920 ترجمه فی (بهش 2- ص 389) و ذکر شعره.</w:t>
      </w:r>
    </w:p>
    <w:p>
      <w:pPr>
        <w:pStyle w:val="Heading3"/>
      </w:pPr>
      <w:bookmarkStart w:id="7228" w:name="_Toc5924"/>
      <w:r>
        <w:t>5448- دیوان المولی فتح الله‏</w:t>
      </w:r>
      <w:bookmarkEnd w:id="7228"/>
    </w:p>
    <w:p>
      <w:pPr>
        <w:pStyle w:val="BookText"/>
      </w:pPr>
      <w:r>
        <w:rPr>
          <w:rFonts w:ascii="IRNazanin" w:hAnsi="IRNazanin" w:eastAsia="IRNazanin" w:cs="IRNazanin"/>
          <w:lang w:bidi="fa-IR"/>
          <w:color w:val="111111"/>
          <w:sz w:val="28"/>
          <w:szCs w:val="28"/>
          <w:rtl/>
        </w:rPr>
        <w:t xml:space="preserve">الخطاط الکاتب للشاه إسماعیل الصفوی. ترجمه فی (بهش 2- ص 393) و أورد شعره. .
</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bookmarkStart w:id="799" w:name="pg11704_122284"/>
    <w:bookmarkEnd w:id="799"/>
    <w:p>
      <w:pPr>
        <w:pStyle w:val="Heading3"/>
      </w:pPr>
      <w:bookmarkStart w:id="7229" w:name="_Toc5925"/>
      <w:r>
        <w:t>5449- دیوان فتح قزوینی أو شعره‏</w:t>
      </w:r>
      <w:bookmarkEnd w:id="7229"/>
    </w:p>
    <w:p>
      <w:pPr>
        <w:pStyle w:val="BookText"/>
      </w:pPr>
      <w:r>
        <w:rPr>
          <w:rFonts w:ascii="IRNazanin" w:hAnsi="IRNazanin" w:eastAsia="IRNazanin" w:cs="IRNazanin"/>
          <w:lang w:bidi="fa-IR"/>
          <w:color w:val="111111"/>
          <w:sz w:val="28"/>
          <w:szCs w:val="28"/>
          <w:rtl/>
        </w:rPr>
        <w:t xml:space="preserve">و اسمه فخر الدین فتح الله أخ المستوفی القزوینی صاحب تاریخ گزیده ترجمه فیه. ص 828 و قال له غزلیات.</w:t>
      </w:r>
    </w:p>
    <w:p>
      <w:pPr>
        <w:pStyle w:val="Heading3"/>
      </w:pPr>
      <w:bookmarkStart w:id="7230" w:name="_Toc5926"/>
      <w:r>
        <w:t>5450- دیوان فتحی أردستانی‏</w:t>
      </w:r>
      <w:bookmarkEnd w:id="7230"/>
    </w:p>
    <w:p>
      <w:pPr>
        <w:pStyle w:val="BookText"/>
      </w:pPr>
      <w:r>
        <w:rPr>
          <w:rFonts w:ascii="IRNazanin" w:hAnsi="IRNazanin" w:eastAsia="IRNazanin" w:cs="IRNazanin"/>
          <w:lang w:bidi="fa-IR"/>
          <w:color w:val="111111"/>
          <w:sz w:val="28"/>
          <w:szCs w:val="28"/>
          <w:rtl/>
        </w:rPr>
        <w:t xml:space="preserve">ترجمه النصرآبادی فی (نر 9 ص 276) و أورد شعره و کذا فی (سرو- ص 49).</w:t>
      </w:r>
    </w:p>
    <w:p>
      <w:pPr>
        <w:pStyle w:val="Heading3"/>
      </w:pPr>
      <w:bookmarkStart w:id="7231" w:name="_Toc5927"/>
      <w:r>
        <w:t>5451- دیوان فتحی أندجانی‏</w:t>
      </w:r>
      <w:bookmarkEnd w:id="7231"/>
    </w:p>
    <w:p>
      <w:pPr>
        <w:pStyle w:val="BookText"/>
      </w:pPr>
      <w:r>
        <w:rPr>
          <w:rFonts w:ascii="IRNazanin" w:hAnsi="IRNazanin" w:eastAsia="IRNazanin" w:cs="IRNazanin"/>
          <w:lang w:bidi="fa-IR"/>
          <w:color w:val="111111"/>
          <w:sz w:val="28"/>
          <w:szCs w:val="28"/>
          <w:rtl/>
        </w:rPr>
        <w:t xml:space="preserve">ترجمه فی (مجتس 6- ص 158) و هو من ملازمی بابر شاه.</w:t>
      </w:r>
    </w:p>
    <w:p>
      <w:pPr>
        <w:pStyle w:val="Heading3"/>
      </w:pPr>
      <w:bookmarkStart w:id="7232" w:name="_Toc5928"/>
      <w:r>
        <w:t>5452- دیوان فتحی تبریزی‏</w:t>
      </w:r>
      <w:bookmarkEnd w:id="7232"/>
    </w:p>
    <w:p>
      <w:pPr>
        <w:pStyle w:val="BookText"/>
      </w:pPr>
      <w:r>
        <w:rPr>
          <w:rFonts w:ascii="IRNazanin" w:hAnsi="IRNazanin" w:eastAsia="IRNazanin" w:cs="IRNazanin"/>
          <w:lang w:bidi="fa-IR"/>
          <w:color w:val="111111"/>
          <w:sz w:val="28"/>
          <w:szCs w:val="28"/>
          <w:rtl/>
        </w:rPr>
        <w:t xml:space="preserve">بیاع المسک بها. ترجمه سام میرزا فی (تس 5- ص 148) و أورد شعره.</w:t>
      </w:r>
    </w:p>
    <w:p>
      <w:pPr>
        <w:pStyle w:val="Heading3"/>
      </w:pPr>
      <w:bookmarkStart w:id="7233" w:name="_Toc5929"/>
      <w:r>
        <w:t>5453- دیوان فتحی ترمذی أو شعره‏</w:t>
      </w:r>
      <w:bookmarkEnd w:id="7233"/>
    </w:p>
    <w:p>
      <w:pPr>
        <w:pStyle w:val="BookText"/>
      </w:pPr>
      <w:r>
        <w:rPr>
          <w:rFonts w:ascii="IRNazanin" w:hAnsi="IRNazanin" w:eastAsia="IRNazanin" w:cs="IRNazanin"/>
          <w:lang w:bidi="fa-IR"/>
          <w:color w:val="111111"/>
          <w:sz w:val="28"/>
          <w:szCs w:val="28"/>
          <w:rtl/>
        </w:rPr>
        <w:t xml:space="preserve">اسمه الحکیم علی بن محمد. کان معاصر سنائی و مختاری و معاشرهما. ترجمه فی (مع- ج 1 ص 372) و أورد شعره.</w:t>
      </w:r>
    </w:p>
    <w:p>
      <w:pPr>
        <w:pStyle w:val="Heading3"/>
      </w:pPr>
      <w:bookmarkStart w:id="7234" w:name="_Toc5930"/>
      <w:r>
        <w:t>5454- دیوان فتحی‏</w:t>
      </w:r>
      <w:bookmarkEnd w:id="7234"/>
    </w:p>
    <w:p>
      <w:pPr>
        <w:pStyle w:val="BookText"/>
      </w:pPr>
      <w:r>
        <w:rPr>
          <w:rFonts w:ascii="IRNazanin" w:hAnsi="IRNazanin" w:eastAsia="IRNazanin" w:cs="IRNazanin"/>
          <w:lang w:bidi="fa-IR"/>
          <w:color w:val="111111"/>
          <w:sz w:val="28"/>
          <w:szCs w:val="28"/>
          <w:rtl/>
        </w:rPr>
        <w:t xml:space="preserve">من شعراء السلطان یعقوب الذی توفی 896 ترجمه فی (بهش 6- 312) و أورد شعره.</w:t>
      </w:r>
    </w:p>
    <w:p>
      <w:pPr>
        <w:pStyle w:val="Heading3"/>
      </w:pPr>
      <w:bookmarkStart w:id="7235" w:name="_Toc5931"/>
      <w:r>
        <w:t>5455- دیوان فتحی شیروانی‏</w:t>
      </w:r>
      <w:bookmarkEnd w:id="7235"/>
    </w:p>
    <w:p>
      <w:pPr>
        <w:pStyle w:val="BookText"/>
      </w:pPr>
      <w:r>
        <w:rPr>
          <w:rFonts w:ascii="IRNazanin" w:hAnsi="IRNazanin" w:eastAsia="IRNazanin" w:cs="IRNazanin"/>
          <w:lang w:bidi="fa-IR"/>
          <w:color w:val="111111"/>
          <w:sz w:val="28"/>
          <w:szCs w:val="28"/>
          <w:rtl/>
        </w:rPr>
        <w:t xml:space="preserve">ترجمه فی (دجا- ص 293) و أورد شعره.</w:t>
      </w:r>
    </w:p>
    <w:p>
      <w:pPr>
        <w:pStyle w:val="Heading3"/>
      </w:pPr>
      <w:bookmarkStart w:id="7236" w:name="_Toc5932"/>
      <w:r>
        <w:t>5456- دیوان فتحی قزوینی‏</w:t>
      </w:r>
      <w:bookmarkEnd w:id="7236"/>
    </w:p>
    <w:p>
      <w:pPr>
        <w:pStyle w:val="BookText"/>
      </w:pPr>
      <w:r>
        <w:rPr>
          <w:rFonts w:ascii="IRNazanin" w:hAnsi="IRNazanin" w:eastAsia="IRNazanin" w:cs="IRNazanin"/>
          <w:lang w:bidi="fa-IR"/>
          <w:color w:val="111111"/>
          <w:sz w:val="28"/>
          <w:szCs w:val="28"/>
          <w:rtl/>
        </w:rPr>
        <w:t xml:space="preserve">ترجمه معاصره سام میرزا فی (تس 7- ص 194) و أورد مطلع غزله.</w:t>
      </w:r>
    </w:p>
    <w:p>
      <w:pPr>
        <w:pStyle w:val="Heading3"/>
      </w:pPr>
      <w:bookmarkStart w:id="7237" w:name="_Toc5933"/>
      <w:r>
        <w:t>5457- دیوان فتحی‏کور أو شعره‏</w:t>
      </w:r>
      <w:bookmarkEnd w:id="7237"/>
    </w:p>
    <w:p>
      <w:pPr>
        <w:pStyle w:val="BookText"/>
      </w:pPr>
      <w:r>
        <w:rPr>
          <w:rFonts w:ascii="IRNazanin" w:hAnsi="IRNazanin" w:eastAsia="IRNazanin" w:cs="IRNazanin"/>
          <w:lang w:bidi="fa-IR"/>
          <w:color w:val="111111"/>
          <w:sz w:val="28"/>
          <w:szCs w:val="28"/>
          <w:rtl/>
        </w:rPr>
        <w:t xml:space="preserve">کان من أهل قزوین أیضا ترجمه سام میرزا فی (تس 5- ص 154) و ذکر أنه کان مؤذیا و مات شابا، و أورد مطلع غزله.</w:t>
      </w:r>
    </w:p>
    <w:p>
      <w:pPr>
        <w:pStyle w:val="Heading3"/>
      </w:pPr>
      <w:bookmarkStart w:id="7238" w:name="_Toc5934"/>
      <w:r>
        <w:t>5458- دیوان فتوت أو شعره‏</w:t>
      </w:r>
      <w:bookmarkEnd w:id="7238"/>
    </w:p>
    <w:p>
      <w:pPr>
        <w:pStyle w:val="BookText"/>
      </w:pPr>
      <w:r>
        <w:rPr>
          <w:rFonts w:ascii="IRNazanin" w:hAnsi="IRNazanin" w:eastAsia="IRNazanin" w:cs="IRNazanin"/>
          <w:lang w:bidi="fa-IR"/>
          <w:color w:val="111111"/>
          <w:sz w:val="28"/>
          <w:szCs w:val="28"/>
          <w:rtl/>
        </w:rPr>
        <w:t xml:space="preserve">و هو أبو تراب. أورد شعره فی (گلشن- ص 312).</w:t>
      </w:r>
    </w:p>
    <w:p>
      <w:pPr>
        <w:pStyle w:val="Heading3"/>
      </w:pPr>
      <w:bookmarkStart w:id="7239" w:name="_Toc5935"/>
      <w:r>
        <w:t>5459- دیوان فتوحی أو شعره‏</w:t>
      </w:r>
      <w:bookmarkEnd w:id="7239"/>
    </w:p>
    <w:p>
      <w:pPr>
        <w:pStyle w:val="BookText"/>
      </w:pPr>
      <w:r>
        <w:rPr>
          <w:rFonts w:ascii="IRNazanin" w:hAnsi="IRNazanin" w:eastAsia="IRNazanin" w:cs="IRNazanin"/>
          <w:lang w:bidi="fa-IR"/>
          <w:color w:val="111111"/>
          <w:sz w:val="28"/>
          <w:szCs w:val="28"/>
          <w:rtl/>
        </w:rPr>
        <w:t xml:space="preserve">و هو روح الله المنشی المتخلص فتوحی من نواحی فارسی و لار توجد غزلیاته و معمیاته و مثنویاته ضمن مجموعة منشئاته المحتویة علی مراسلات و منشورات و فرامین و پروانه‏جات، فیها تواریخ 961 و 960 و غیرها عند السید حسین الشهشهانی بطهران و نسخه أخری بمکتبة جامعة طهران کما فی فهرسها (ج 10- رقم 4213).</w:t>
      </w:r>
    </w:p>
    <w:p>
      <w:pPr>
        <w:pStyle w:val="Heading3"/>
      </w:pPr>
      <w:bookmarkStart w:id="7240" w:name="_Toc5936"/>
      <w:r>
        <w:t>5460- دیوان فتوحی زواره‏ئی‏</w:t>
      </w:r>
      <w:bookmarkEnd w:id="7240"/>
    </w:p>
    <w:p>
      <w:pPr>
        <w:pStyle w:val="BookText"/>
      </w:pPr>
      <w:r>
        <w:rPr>
          <w:rFonts w:ascii="IRNazanin" w:hAnsi="IRNazanin" w:eastAsia="IRNazanin" w:cs="IRNazanin"/>
          <w:lang w:bidi="fa-IR"/>
          <w:color w:val="111111"/>
          <w:sz w:val="28"/>
          <w:szCs w:val="28"/>
          <w:rtl/>
        </w:rPr>
        <w:t xml:space="preserve">هو السید علی أکبر بن السید محمد علی من أحفاد المیرزا رفیعا النائنی المتوفی 1082 و المدفون بتخت فولاد بأصفهان. ولد بزوارة 1323 و تعلم بأصفهان و هاجر إلی طهران فی 1340 و سکن عبد العظیم بالری‏
</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bookmarkStart w:id="800" w:name="pg11704_122285"/>
    <w:bookmarkEnd w:id="800"/>
    <w:p>
      <w:pPr>
        <w:pStyle w:val="BookText"/>
      </w:pPr>
      <w:r>
        <w:rPr>
          <w:rFonts w:ascii="IRNazanin" w:hAnsi="IRNazanin" w:eastAsia="IRNazanin" w:cs="IRNazanin"/>
          <w:lang w:bidi="fa-IR"/>
          <w:color w:val="111111"/>
          <w:sz w:val="28"/>
          <w:szCs w:val="28"/>
          <w:rtl/>
        </w:rPr>
        <w:t xml:space="preserve">و دیوانه بخطه فی خمسة آلاف بیت. و ترجم فی (شعرای أصفهان- ص 447) و کتب لنا أحواله بخطه أیضا.</w:t>
      </w:r>
    </w:p>
    <w:p>
      <w:pPr>
        <w:pStyle w:val="Heading3"/>
      </w:pPr>
      <w:bookmarkStart w:id="7241" w:name="_Toc5937"/>
      <w:r>
        <w:t>5461- دیوان فتوحی مروزی أو شعره‏</w:t>
      </w:r>
      <w:bookmarkEnd w:id="7241"/>
    </w:p>
    <w:p>
      <w:pPr>
        <w:pStyle w:val="BookText"/>
      </w:pPr>
      <w:r>
        <w:rPr>
          <w:rFonts w:ascii="IRNazanin" w:hAnsi="IRNazanin" w:eastAsia="IRNazanin" w:cs="IRNazanin"/>
          <w:lang w:bidi="fa-IR"/>
          <w:color w:val="111111"/>
          <w:sz w:val="28"/>
          <w:szCs w:val="28"/>
          <w:rtl/>
        </w:rPr>
        <w:t xml:space="preserve">و اسمه أثیر الدین. ولد بمرو، و هو معاصر صابری و مصاحبه و مناقض أنوری و معارضه کما ذکره فی (مع- ج 1 ص 372) و أورد جملة من أشعاره المدخولة فی دیوان الأنوری و ترجم فی مجلة یادگار السنة الثانیة العدد 9 ص 71 لسنة 1325 ش. و ریحانة الأدب.</w:t>
      </w:r>
    </w:p>
    <w:p>
      <w:pPr>
        <w:pStyle w:val="Heading3"/>
      </w:pPr>
      <w:bookmarkStart w:id="7242" w:name="_Toc5938"/>
      <w:r>
        <w:t>5462- دیوان فتوی عاملی أو شعره‏</w:t>
      </w:r>
      <w:bookmarkEnd w:id="7242"/>
    </w:p>
    <w:p>
      <w:pPr>
        <w:pStyle w:val="BookText"/>
      </w:pPr>
      <w:r>
        <w:rPr>
          <w:rFonts w:ascii="IRNazanin" w:hAnsi="IRNazanin" w:eastAsia="IRNazanin" w:cs="IRNazanin"/>
          <w:lang w:bidi="fa-IR"/>
          <w:color w:val="111111"/>
          <w:sz w:val="28"/>
          <w:szCs w:val="28"/>
          <w:rtl/>
        </w:rPr>
        <w:t xml:space="preserve">و هو المیرزا نوری ابن أخ الشیخ بهاء الدین محمد العاملی. کان شیخ الإسلام بهرات و بها توفی. أطری شعره النصرآبادی فی (نر 6- ص 194).</w:t>
      </w:r>
    </w:p>
    <w:p>
      <w:pPr>
        <w:pStyle w:val="Heading3"/>
      </w:pPr>
      <w:bookmarkStart w:id="7243" w:name="_Toc5939"/>
      <w:r>
        <w:t>5463- دیوان فتی الجبل‏</w:t>
      </w:r>
      <w:bookmarkEnd w:id="7243"/>
    </w:p>
    <w:p>
      <w:pPr>
        <w:pStyle w:val="BookText"/>
      </w:pPr>
      <w:r>
        <w:rPr>
          <w:rFonts w:ascii="IRNazanin" w:hAnsi="IRNazanin" w:eastAsia="IRNazanin" w:cs="IRNazanin"/>
          <w:lang w:bidi="fa-IR"/>
          <w:color w:val="111111"/>
          <w:sz w:val="28"/>
          <w:szCs w:val="28"/>
          <w:rtl/>
        </w:rPr>
        <w:t xml:space="preserve">و هو السید عبد الرءوف بن محمود الأمین العاملی الشقراوی المولود 1318 طبع منه العواطف الثائرة فی الحماسة و السیاسة فی 1347 بمجلة العرفان بصیدا.</w:t>
      </w:r>
    </w:p>
    <w:p>
      <w:pPr>
        <w:pStyle w:val="Heading3"/>
      </w:pPr>
      <w:bookmarkStart w:id="7244" w:name="_Toc5940"/>
      <w:r>
        <w:t>5464- دیوان الفحام‏</w:t>
      </w:r>
      <w:bookmarkEnd w:id="7244"/>
    </w:p>
    <w:p>
      <w:pPr>
        <w:pStyle w:val="BookText"/>
      </w:pPr>
      <w:r>
        <w:rPr>
          <w:rFonts w:ascii="IRNazanin" w:hAnsi="IRNazanin" w:eastAsia="IRNazanin" w:cs="IRNazanin"/>
          <w:lang w:bidi="fa-IR"/>
          <w:color w:val="111111"/>
          <w:sz w:val="28"/>
          <w:szCs w:val="28"/>
          <w:rtl/>
        </w:rPr>
        <w:t xml:space="preserve">السید محمد صادق بن علی بن الحسن بن هاشم الحسینی الأعرجی النجفی المتوفی بها 1204 نسخه منه بخط السید أحمد بن حبیب بن زوین النجفی تاریخ کتابتها 1232 مع الرحلة الخراسانیة للسید أحمد الکاتب عند الشیخ محمد علی الیعقوبی الخطیب المعاصر فی النجف و أول الدیوان [الحمد لله الذی ودع أسرار الفصاحة ألسنة العرب- إلی قوله- هذا ما سمحت به القریحة الجامدة ...] و رتبه علی ثلاثة أبواب، المدائح و المراثی و التواریخ و غیرها. الباب الأول فی القریض. الثانی فی الرکبانی الدارجة بأریاف الفرات. الثالث فی الموالیات.</w:t>
      </w:r>
    </w:p>
    <w:p>
      <w:pPr>
        <w:pStyle w:val="Heading3"/>
      </w:pPr>
      <w:bookmarkStart w:id="7245" w:name="_Toc5941"/>
      <w:r>
        <w:t>5465- دیوان السید فخار أو شعره‏</w:t>
      </w:r>
      <w:bookmarkEnd w:id="7245"/>
    </w:p>
    <w:p>
      <w:pPr>
        <w:pStyle w:val="BookText"/>
      </w:pPr>
      <w:r>
        <w:rPr>
          <w:rFonts w:ascii="IRNazanin" w:hAnsi="IRNazanin" w:eastAsia="IRNazanin" w:cs="IRNazanin"/>
          <w:lang w:bidi="fa-IR"/>
          <w:color w:val="111111"/>
          <w:sz w:val="28"/>
          <w:szCs w:val="28"/>
          <w:rtl/>
        </w:rPr>
        <w:t xml:space="preserve">و هو معد بن فخار الموسوی. نقله الشیخ شمس الدین محمد الجبعی عن خط الشهید محمد بن مکی، کما فی مجلد إجازات البحار- ص 15.</w:t>
      </w:r>
    </w:p>
    <w:p>
      <w:pPr>
        <w:pStyle w:val="Heading3"/>
      </w:pPr>
      <w:bookmarkStart w:id="7246" w:name="_Toc5942"/>
      <w:r>
        <w:t>5466- دیوان مولانا فخر أو شعره‏</w:t>
      </w:r>
      <w:bookmarkEnd w:id="7246"/>
    </w:p>
    <w:p>
      <w:pPr>
        <w:pStyle w:val="BookText"/>
      </w:pPr>
      <w:r>
        <w:rPr>
          <w:rFonts w:ascii="IRNazanin" w:hAnsi="IRNazanin" w:eastAsia="IRNazanin" w:cs="IRNazanin"/>
          <w:lang w:bidi="fa-IR"/>
          <w:color w:val="111111"/>
          <w:sz w:val="28"/>
          <w:szCs w:val="28"/>
          <w:rtl/>
        </w:rPr>
        <w:t xml:space="preserve">ترجمه بهذا العنوان فی (بهش 8- ص 401) و ذکر أنه شاب لطیف طریف و أورد شعره.</w:t>
      </w:r>
    </w:p>
    <w:p>
      <w:pPr>
        <w:pStyle w:val="Heading3"/>
      </w:pPr>
      <w:bookmarkStart w:id="7247" w:name="_Toc5943"/>
      <w:r>
        <w:t>5467- دیوان فخر بناکتی أو شعره‏</w:t>
      </w:r>
      <w:bookmarkEnd w:id="7247"/>
    </w:p>
    <w:p>
      <w:pPr>
        <w:pStyle w:val="BookText"/>
      </w:pPr>
      <w:r>
        <w:rPr>
          <w:rFonts w:ascii="IRNazanin" w:hAnsi="IRNazanin" w:eastAsia="IRNazanin" w:cs="IRNazanin"/>
          <w:lang w:bidi="fa-IR"/>
          <w:color w:val="111111"/>
          <w:sz w:val="28"/>
          <w:szCs w:val="28"/>
          <w:rtl/>
        </w:rPr>
        <w:t xml:space="preserve">و هو فخر الدین داود بن أبی الفضل محمد
</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bookmarkStart w:id="801" w:name="pg11704_122286"/>
    <w:bookmarkEnd w:id="801"/>
    <w:p>
      <w:pPr>
        <w:pStyle w:val="BookText"/>
      </w:pPr>
      <w:r>
        <w:rPr>
          <w:rFonts w:ascii="IRNazanin" w:hAnsi="IRNazanin" w:eastAsia="IRNazanin" w:cs="IRNazanin"/>
          <w:lang w:bidi="fa-IR"/>
          <w:color w:val="111111"/>
          <w:sz w:val="28"/>
          <w:szCs w:val="28"/>
          <w:rtl/>
        </w:rPr>
        <w:t xml:space="preserve">البناکتی (الفناکتی) من بلاد ما وراء النهر. کان ملک الشعراء لغازان خان. قال فی شاهد صادق إنه توفی 735 و له روضة أولی الألباب فی تواریخ الأکابر و الأنساب ألفه 717 و توجد فی المتحف البریطانی کما فی فهرس ریو- ص 79 و ترجمه المستر براون فی تاریخه ج 3 ص 122 و (دولت- 4).</w:t>
      </w:r>
    </w:p>
    <w:p>
      <w:pPr>
        <w:pStyle w:val="Heading3"/>
      </w:pPr>
      <w:bookmarkStart w:id="7248" w:name="_Toc5944"/>
      <w:r>
        <w:t>5468- دیوان فخر خلخالی أو شعره‏</w:t>
      </w:r>
      <w:bookmarkEnd w:id="7248"/>
    </w:p>
    <w:p>
      <w:pPr>
        <w:pStyle w:val="BookText"/>
      </w:pPr>
      <w:r>
        <w:rPr>
          <w:rFonts w:ascii="IRNazanin" w:hAnsi="IRNazanin" w:eastAsia="IRNazanin" w:cs="IRNazanin"/>
          <w:lang w:bidi="fa-IR"/>
          <w:color w:val="111111"/>
          <w:sz w:val="28"/>
          <w:szCs w:val="28"/>
          <w:rtl/>
        </w:rPr>
        <w:t xml:space="preserve">کان من أبناء المشایخ بها. ترجمه فی (بهش 8- ص 391) و أورد شعره.</w:t>
      </w:r>
    </w:p>
    <w:p>
      <w:pPr>
        <w:pStyle w:val="Heading3"/>
      </w:pPr>
      <w:bookmarkStart w:id="7249" w:name="_Toc5945"/>
      <w:r>
        <w:t>5469- دیوان فخر الدولة جیلانی‏</w:t>
      </w:r>
      <w:bookmarkEnd w:id="7249"/>
    </w:p>
    <w:p>
      <w:pPr>
        <w:pStyle w:val="BookText"/>
      </w:pPr>
      <w:r>
        <w:rPr>
          <w:rFonts w:ascii="IRNazanin" w:hAnsi="IRNazanin" w:eastAsia="IRNazanin" w:cs="IRNazanin"/>
          <w:lang w:bidi="fa-IR"/>
          <w:color w:val="111111"/>
          <w:sz w:val="28"/>
          <w:szCs w:val="28"/>
          <w:rtl/>
        </w:rPr>
        <w:t xml:space="preserve">و هو المیر عمید الدین. قال سنگلاخ فی (امتحان 1: 173) إنه رأی دیوانه بخط ملا معروف. و ترجمه فی (تش- ص 162).</w:t>
      </w:r>
    </w:p>
    <w:p>
      <w:pPr>
        <w:pStyle w:val="Heading3"/>
      </w:pPr>
      <w:bookmarkStart w:id="7250" w:name="_Toc5946"/>
      <w:r>
        <w:t>5470- دیوان فخر الدین‏</w:t>
      </w:r>
      <w:bookmarkEnd w:id="7250"/>
    </w:p>
    <w:p>
      <w:pPr>
        <w:pStyle w:val="BookText"/>
      </w:pPr>
      <w:r>
        <w:rPr>
          <w:rFonts w:ascii="IRNazanin" w:hAnsi="IRNazanin" w:eastAsia="IRNazanin" w:cs="IRNazanin"/>
          <w:lang w:bidi="fa-IR"/>
          <w:color w:val="111111"/>
          <w:sz w:val="28"/>
          <w:szCs w:val="28"/>
          <w:rtl/>
        </w:rPr>
        <w:t xml:space="preserve">ترجمه کذلک معاصره فی (قرمج 3- ص 254) و أورد شعره.</w:t>
      </w:r>
    </w:p>
    <w:p>
      <w:pPr>
        <w:pStyle w:val="Heading3"/>
      </w:pPr>
      <w:bookmarkStart w:id="7251" w:name="_Toc5947"/>
      <w:r>
        <w:t>5471- دیوان فخر الدین بروجردی‏</w:t>
      </w:r>
      <w:bookmarkEnd w:id="7251"/>
    </w:p>
    <w:p>
      <w:pPr>
        <w:pStyle w:val="BookText"/>
      </w:pPr>
      <w:r>
        <w:rPr>
          <w:rFonts w:ascii="IRNazanin" w:hAnsi="IRNazanin" w:eastAsia="IRNazanin" w:cs="IRNazanin"/>
          <w:lang w:bidi="fa-IR"/>
          <w:color w:val="111111"/>
          <w:sz w:val="28"/>
          <w:szCs w:val="28"/>
          <w:rtl/>
        </w:rPr>
        <w:t xml:space="preserve">من المتأخرین. توجد عند وراثه” فخر الدین بروجردی” ببروجرد.</w:t>
      </w:r>
    </w:p>
    <w:p>
      <w:pPr>
        <w:pStyle w:val="Heading3"/>
      </w:pPr>
      <w:bookmarkStart w:id="7252" w:name="_Toc5948"/>
      <w:r>
        <w:t>دیوان فخر الدین‏</w:t>
      </w:r>
      <w:bookmarkEnd w:id="7252"/>
    </w:p>
    <w:p>
      <w:pPr>
        <w:pStyle w:val="BookText"/>
      </w:pPr>
      <w:r>
        <w:rPr>
          <w:rFonts w:ascii="IRNazanin" w:hAnsi="IRNazanin" w:eastAsia="IRNazanin" w:cs="IRNazanin"/>
          <w:lang w:bidi="fa-IR"/>
          <w:color w:val="111111"/>
          <w:sz w:val="28"/>
          <w:szCs w:val="28"/>
          <w:rtl/>
        </w:rPr>
        <w:t xml:space="preserve">ابن المتوج البحرانی فی المدائح و المراثی. مر بعنوان ابن المتوج.</w:t>
      </w:r>
    </w:p>
    <w:p>
      <w:pPr>
        <w:pStyle w:val="Heading3"/>
      </w:pPr>
      <w:bookmarkStart w:id="7253" w:name="_Toc5949"/>
      <w:r>
        <w:t>5472- دیوان فخر الدین خوارزمی‏</w:t>
      </w:r>
      <w:bookmarkEnd w:id="7253"/>
    </w:p>
    <w:p>
      <w:pPr>
        <w:pStyle w:val="BookText"/>
      </w:pPr>
      <w:r>
        <w:rPr>
          <w:rFonts w:ascii="IRNazanin" w:hAnsi="IRNazanin" w:eastAsia="IRNazanin" w:cs="IRNazanin"/>
          <w:lang w:bidi="fa-IR"/>
          <w:color w:val="111111"/>
          <w:sz w:val="28"/>
          <w:szCs w:val="28"/>
          <w:rtl/>
        </w:rPr>
        <w:t xml:space="preserve">هو الوزیر مبارک شاه بن الحسین. کان وزیر السلطان غیاث الدین بن سام الغوری الذی مات 519 و کان ملجأ أرباب الحاجات و سلسلة آبائه من مشاهیر الشیعة بخوارزم. و له شعر کثیر و أورد بعضه فی مجمع الفصحاء ج 1 ص 374.</w:t>
      </w:r>
    </w:p>
    <w:p>
      <w:pPr>
        <w:pStyle w:val="Heading3"/>
      </w:pPr>
      <w:bookmarkStart w:id="7254" w:name="_Toc5950"/>
      <w:r>
        <w:t>5473- دیوان فخر الدین دهراجی‏</w:t>
      </w:r>
      <w:bookmarkEnd w:id="7254"/>
    </w:p>
    <w:p>
      <w:pPr>
        <w:pStyle w:val="BookText"/>
      </w:pPr>
      <w:r>
        <w:rPr>
          <w:rFonts w:ascii="IRNazanin" w:hAnsi="IRNazanin" w:eastAsia="IRNazanin" w:cs="IRNazanin"/>
          <w:lang w:bidi="fa-IR"/>
          <w:color w:val="111111"/>
          <w:sz w:val="28"/>
          <w:szCs w:val="28"/>
          <w:rtl/>
        </w:rPr>
        <w:t xml:space="preserve">و هو القاضی الفاضل الذی یضرب به المثل فی خراسان ترجمه فی (مع- ج 1 ص 374) و أورد شعره.</w:t>
      </w:r>
    </w:p>
    <w:p>
      <w:pPr>
        <w:pStyle w:val="Heading3"/>
      </w:pPr>
      <w:bookmarkStart w:id="7255" w:name="_Toc5951"/>
      <w:r>
        <w:t>5474- دیوان فخر الدین دهلوی‏</w:t>
      </w:r>
      <w:bookmarkEnd w:id="7255"/>
    </w:p>
    <w:p>
      <w:pPr>
        <w:pStyle w:val="BookText"/>
      </w:pPr>
      <w:r>
        <w:rPr>
          <w:rFonts w:ascii="IRNazanin" w:hAnsi="IRNazanin" w:eastAsia="IRNazanin" w:cs="IRNazanin"/>
          <w:lang w:bidi="fa-IR"/>
          <w:color w:val="111111"/>
          <w:sz w:val="28"/>
          <w:szCs w:val="28"/>
          <w:rtl/>
        </w:rPr>
        <w:t xml:space="preserve">مرشد شاه نظام أولیاء. ترجمه فی (مع ج 1 ص 374) و أورد شعره.</w:t>
      </w:r>
    </w:p>
    <w:p>
      <w:pPr>
        <w:pStyle w:val="Heading3"/>
      </w:pPr>
      <w:bookmarkStart w:id="7256" w:name="_Toc5952"/>
      <w:r>
        <w:t>5475- دیوان فخر الدین الرازی‏</w:t>
      </w:r>
      <w:bookmarkEnd w:id="7256"/>
    </w:p>
    <w:p>
      <w:pPr>
        <w:pStyle w:val="BookText"/>
      </w:pPr>
      <w:r>
        <w:rPr>
          <w:rFonts w:ascii="IRNazanin" w:hAnsi="IRNazanin" w:eastAsia="IRNazanin" w:cs="IRNazanin"/>
          <w:lang w:bidi="fa-IR"/>
          <w:color w:val="111111"/>
          <w:sz w:val="28"/>
          <w:szCs w:val="28"/>
          <w:rtl/>
        </w:rPr>
        <w:t xml:space="preserve">محمد بن الحسن ولد فی 544 و مات 606 کذا ترجمه فی (تش- ص 216) و فی (مع- ج 1 ص 374) و أورد شعره و بعض رباعیاته و منها:</w:t>
      </w:r>
    </w:p>
    <w:p>
      <w:pPr>
        <w:pStyle w:val="BookText"/>
      </w:pPr>
      <w:r>
        <w:rPr>
          <w:rFonts w:ascii="IRNazanin" w:hAnsi="IRNazanin" w:eastAsia="IRNazanin" w:cs="IRNazanin"/>
          <w:lang w:bidi="fa-IR"/>
          <w:color w:val="111111"/>
          <w:sz w:val="28"/>
          <w:szCs w:val="28"/>
          <w:rtl/>
        </w:rPr>
        <w:t xml:space="preserve">هفتاد و دو سال فکر کردم شب و روز</w:t>
      </w:r>
    </w:p>
    <w:p>
      <w:pPr>
        <w:pStyle w:val="BookText"/>
      </w:pPr>
      <w:r>
        <w:rPr>
          <w:rFonts w:ascii="IRNazanin" w:hAnsi="IRNazanin" w:eastAsia="IRNazanin" w:cs="IRNazanin"/>
          <w:lang w:bidi="fa-IR"/>
          <w:color w:val="111111"/>
          <w:sz w:val="28"/>
          <w:szCs w:val="28"/>
          <w:rtl/>
        </w:rPr>
        <w:t xml:space="preserve">معلومم شد که هیچ معلوم نشد</w:t>
      </w:r>
    </w:p>
    <w:p>
      <w:pPr>
        <w:pStyle w:val="BookText"/>
      </w:pPr>
      <w:r>
        <w:rPr>
          <w:rFonts w:ascii="IRNazanin" w:hAnsi="IRNazanin" w:eastAsia="IRNazanin" w:cs="IRNazanin"/>
          <w:lang w:bidi="fa-IR"/>
          <w:color w:val="111111"/>
          <w:sz w:val="28"/>
          <w:szCs w:val="28"/>
          <w:rtl/>
        </w:rPr>
        <w:t xml:space="preserve">أقول و هذا یخالف التاریخین فلا حظهما. و لعله [پنجاه و دو سال‏] بإسقاط أیام صباه. و هو منسوب إلی الجد فإنه محمد بن ضیاء الدین عمر بن الحسین بن حسن بن علی التیمی الرازی المولد
</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bookmarkStart w:id="802" w:name="pg11704_122287"/>
    <w:bookmarkEnd w:id="802"/>
    <w:p>
      <w:pPr>
        <w:pStyle w:val="BookText"/>
      </w:pPr>
      <w:r>
        <w:rPr>
          <w:rFonts w:ascii="IRNazanin" w:hAnsi="IRNazanin" w:eastAsia="IRNazanin" w:cs="IRNazanin"/>
          <w:lang w:bidi="fa-IR"/>
          <w:color w:val="111111"/>
          <w:sz w:val="28"/>
          <w:szCs w:val="28"/>
          <w:rtl/>
        </w:rPr>
        <w:t xml:space="preserve">و المتوفی بهراة. کان واعظا باللسانین و شاعرا بهما. و لکثرة شبهاته و تشکیکاته فی الأمور قیل له إمام المشککین و ترجمه فی (بهش 1- ص 322) و ذکر إخراجه للمولی الرومی عن بلخ و ذم المولوی له فی شعره لذلک. هذا و قد اختلط بعض</w:t>
      </w:r>
    </w:p>
    <w:p>
      <w:pPr>
        <w:pStyle w:val="BookText"/>
      </w:pPr>
      <w:r>
        <w:rPr>
          <w:rFonts w:ascii="IRNazanin" w:hAnsi="IRNazanin" w:eastAsia="IRNazanin" w:cs="IRNazanin"/>
          <w:lang w:bidi="fa-IR"/>
          <w:color w:val="111111"/>
          <w:sz w:val="28"/>
          <w:szCs w:val="28"/>
          <w:rtl/>
        </w:rPr>
        <w:t xml:space="preserve">رباعیاته مع رباعیات أبی سعید أبی الخیر کما فی مقدمه طبع رباعیات أبی سعید فی ص 58 و قد رأی سنگلاخ عدة أوراق من شعره بخط جعفر الهروی الخطاط فذکره فی (امتحان- 1: 158).</w:t>
      </w:r>
    </w:p>
    <w:p>
      <w:pPr>
        <w:pStyle w:val="Heading3"/>
      </w:pPr>
      <w:bookmarkStart w:id="7257" w:name="_Toc5953"/>
      <w:r>
        <w:t>5476- دیوان فخر الدین قلانسی أو شعره‏</w:t>
      </w:r>
      <w:bookmarkEnd w:id="7257"/>
    </w:p>
    <w:p>
      <w:pPr>
        <w:pStyle w:val="BookText"/>
      </w:pPr>
      <w:r>
        <w:rPr>
          <w:rFonts w:ascii="IRNazanin" w:hAnsi="IRNazanin" w:eastAsia="IRNazanin" w:cs="IRNazanin"/>
          <w:lang w:bidi="fa-IR"/>
          <w:color w:val="111111"/>
          <w:sz w:val="28"/>
          <w:szCs w:val="28"/>
          <w:rtl/>
        </w:rPr>
        <w:t xml:space="preserve">کان من الحکماء الفضلاء و صاحب التصانیف. أورد فی (مع- ج 1- ص 377) بعض شعره نقلا عن تذکره عرفات العاشقین.</w:t>
      </w:r>
    </w:p>
    <w:p>
      <w:pPr>
        <w:pStyle w:val="Heading3"/>
      </w:pPr>
      <w:bookmarkStart w:id="7258" w:name="_Toc5954"/>
      <w:r>
        <w:t>5477- دیوان فخر الدین مروزی أو شعره‏</w:t>
      </w:r>
      <w:bookmarkEnd w:id="7258"/>
    </w:p>
    <w:p>
      <w:pPr>
        <w:pStyle w:val="BookText"/>
      </w:pPr>
      <w:r>
        <w:rPr>
          <w:rFonts w:ascii="IRNazanin" w:hAnsi="IRNazanin" w:eastAsia="IRNazanin" w:cs="IRNazanin"/>
          <w:lang w:bidi="fa-IR"/>
          <w:color w:val="111111"/>
          <w:sz w:val="28"/>
          <w:szCs w:val="28"/>
          <w:rtl/>
        </w:rPr>
        <w:t xml:space="preserve">و اسمه خالد بن ربیع المکی معاصر الحکیم أنوری و صدیقه و مراسله. ترجمه فی (مع- ج 1- ص 376) و ذکر أن تخلصه خالد و أورد بعض شعره.</w:t>
      </w:r>
    </w:p>
    <w:p>
      <w:pPr>
        <w:pStyle w:val="Heading3"/>
      </w:pPr>
      <w:bookmarkStart w:id="7259" w:name="_Toc5955"/>
      <w:r>
        <w:t>5478- دیوان فخر الدین مسعود</w:t>
      </w:r>
      <w:bookmarkEnd w:id="7259"/>
    </w:p>
    <w:p>
      <w:pPr>
        <w:pStyle w:val="BookText"/>
      </w:pPr>
      <w:r>
        <w:rPr>
          <w:rFonts w:ascii="IRNazanin" w:hAnsi="IRNazanin" w:eastAsia="IRNazanin" w:cs="IRNazanin"/>
          <w:lang w:bidi="fa-IR"/>
          <w:color w:val="111111"/>
          <w:sz w:val="28"/>
          <w:szCs w:val="28"/>
          <w:rtl/>
        </w:rPr>
        <w:t xml:space="preserve">ابن بهمن. رآه سنگلاخ بخط محمد رضا صدر الکتاب فذکره فی امتحان الفضلاء- ج 2 ص 333. و ترجمه فی (تش- ص 18).</w:t>
      </w:r>
    </w:p>
    <w:p>
      <w:pPr>
        <w:pStyle w:val="Heading3"/>
      </w:pPr>
      <w:bookmarkStart w:id="7260" w:name="_Toc5956"/>
      <w:r>
        <w:t>5479- دیوان فخر الدین هروی‏</w:t>
      </w:r>
      <w:bookmarkEnd w:id="7260"/>
    </w:p>
    <w:p>
      <w:pPr>
        <w:pStyle w:val="BookText"/>
      </w:pPr>
      <w:r>
        <w:rPr>
          <w:rFonts w:ascii="IRNazanin" w:hAnsi="IRNazanin" w:eastAsia="IRNazanin" w:cs="IRNazanin"/>
          <w:lang w:bidi="fa-IR"/>
          <w:color w:val="111111"/>
          <w:sz w:val="28"/>
          <w:szCs w:val="28"/>
          <w:rtl/>
        </w:rPr>
        <w:t xml:space="preserve">قال فی (تش ص 150) إنه من شعراء السلطان سنجر و قال سنگلاخ فی (امتحان 2: 7) إنه رأی دیوانه بخط أبی تراب الأصفهانی.</w:t>
      </w:r>
    </w:p>
    <w:p>
      <w:pPr>
        <w:pStyle w:val="Heading3"/>
      </w:pPr>
      <w:bookmarkStart w:id="7261" w:name="_Toc5957"/>
      <w:r>
        <w:t>5480- دیوان فخر الذاکرین‏</w:t>
      </w:r>
      <w:bookmarkEnd w:id="7261"/>
    </w:p>
    <w:p>
      <w:pPr>
        <w:pStyle w:val="BookText"/>
      </w:pPr>
      <w:r>
        <w:rPr>
          <w:rFonts w:ascii="IRNazanin" w:hAnsi="IRNazanin" w:eastAsia="IRNazanin" w:cs="IRNazanin"/>
          <w:lang w:bidi="fa-IR"/>
          <w:color w:val="111111"/>
          <w:sz w:val="28"/>
          <w:szCs w:val="28"/>
          <w:rtl/>
        </w:rPr>
        <w:t xml:space="preserve">توجد له فخر البکاء نظما فی (الرضویة).</w:t>
      </w:r>
    </w:p>
    <w:p>
      <w:pPr>
        <w:pStyle w:val="Heading3"/>
      </w:pPr>
      <w:bookmarkStart w:id="7262" w:name="_Toc5958"/>
      <w:r>
        <w:t>دیوان فخر رازی‏</w:t>
      </w:r>
      <w:bookmarkEnd w:id="7262"/>
    </w:p>
    <w:p>
      <w:pPr>
        <w:pStyle w:val="BookText"/>
      </w:pPr>
      <w:r>
        <w:rPr>
          <w:rFonts w:ascii="IRNazanin" w:hAnsi="IRNazanin" w:eastAsia="IRNazanin" w:cs="IRNazanin"/>
          <w:lang w:bidi="fa-IR"/>
          <w:color w:val="111111"/>
          <w:sz w:val="28"/>
          <w:szCs w:val="28"/>
          <w:rtl/>
        </w:rPr>
        <w:t xml:space="preserve">راجع دیوان فخر الدین رازی.</w:t>
      </w:r>
    </w:p>
    <w:p>
      <w:pPr>
        <w:pStyle w:val="Heading3"/>
      </w:pPr>
      <w:bookmarkStart w:id="7263" w:name="_Toc5959"/>
      <w:r>
        <w:t>دیوان فخر الزمانی قزوینی‏</w:t>
      </w:r>
      <w:bookmarkEnd w:id="7263"/>
    </w:p>
    <w:p>
      <w:pPr>
        <w:pStyle w:val="BookText"/>
      </w:pPr>
      <w:r>
        <w:rPr>
          <w:rFonts w:ascii="IRNazanin" w:hAnsi="IRNazanin" w:eastAsia="IRNazanin" w:cs="IRNazanin"/>
          <w:lang w:bidi="fa-IR"/>
          <w:color w:val="111111"/>
          <w:sz w:val="28"/>
          <w:szCs w:val="28"/>
          <w:rtl/>
        </w:rPr>
        <w:t xml:space="preserve">مر بعنوان دیوان عزتی و توجد. له طراز الاخبار فی مکتبة (جامعة طهران- 3295) فی تطور الشعر الفارسی. و له نوادر الحکایات.</w:t>
      </w:r>
    </w:p>
    <w:p>
      <w:pPr>
        <w:pStyle w:val="Heading3"/>
      </w:pPr>
      <w:bookmarkStart w:id="7264" w:name="_Toc5960"/>
      <w:r>
        <w:t>5481- دیوان فخر الزمان قزوینی أو شعره‏</w:t>
      </w:r>
      <w:bookmarkEnd w:id="7264"/>
    </w:p>
    <w:p>
      <w:pPr>
        <w:pStyle w:val="BookText"/>
      </w:pPr>
      <w:r>
        <w:rPr>
          <w:rFonts w:ascii="IRNazanin" w:hAnsi="IRNazanin" w:eastAsia="IRNazanin" w:cs="IRNazanin"/>
          <w:lang w:bidi="fa-IR"/>
          <w:color w:val="111111"/>
          <w:sz w:val="28"/>
          <w:szCs w:val="28"/>
          <w:rtl/>
        </w:rPr>
        <w:t xml:space="preserve">کان قاضی قزوین فی عهد الشاه طهماسب الصفوی و کان ینهی نسبه إلی الخواجة عبد الله الأنصاری و هو الجد الأمی لعزتی صاحب تذکره میخانه ترجمه و أورد شعره بعد الإطراء فی میخانه 2- ص 499.</w:t>
      </w:r>
    </w:p>
    <w:p>
      <w:pPr>
        <w:pStyle w:val="Heading3"/>
      </w:pPr>
      <w:bookmarkStart w:id="7265" w:name="_Toc5961"/>
      <w:r>
        <w:t>5482- دیوان فخر شیرازی أو شعره‏</w:t>
      </w:r>
      <w:bookmarkEnd w:id="7265"/>
    </w:p>
    <w:p>
      <w:pPr>
        <w:pStyle w:val="BookText"/>
      </w:pPr>
      <w:r>
        <w:rPr>
          <w:rFonts w:ascii="IRNazanin" w:hAnsi="IRNazanin" w:eastAsia="IRNazanin" w:cs="IRNazanin"/>
          <w:lang w:bidi="fa-IR"/>
          <w:color w:val="111111"/>
          <w:sz w:val="28"/>
          <w:szCs w:val="28"/>
          <w:rtl/>
        </w:rPr>
        <w:t xml:space="preserve">و اسمه الحاج میرزا علی بن الحاج رحیم ولد بشیراز 1230 و هاجر إلی مشهد خراسان. ترجمه و أورد شعره فی (فارس‏نامه ناصری 2: 115- 114 و 149) و قال فی (عم- 527) إنه توفی 1306 و هو والد محمد حسین‏
</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bookmarkStart w:id="803" w:name="pg11704_122288"/>
    <w:bookmarkEnd w:id="803"/>
    <w:p>
      <w:pPr>
        <w:pStyle w:val="BookText"/>
      </w:pPr>
      <w:r>
        <w:rPr>
          <w:rFonts w:ascii="IRNazanin" w:hAnsi="IRNazanin" w:eastAsia="IRNazanin" w:cs="IRNazanin"/>
          <w:lang w:bidi="fa-IR"/>
          <w:color w:val="111111"/>
          <w:sz w:val="28"/>
          <w:szCs w:val="28"/>
          <w:rtl/>
        </w:rPr>
        <w:t xml:space="preserve">همدم و الحاج میرزا حسن المتخلص حسن و هذا هو والد ضیاء شیرازی المذکور فی ص 630.</w:t>
      </w:r>
    </w:p>
    <w:p>
      <w:pPr>
        <w:pStyle w:val="Heading3"/>
      </w:pPr>
      <w:bookmarkStart w:id="7266" w:name="_Toc5962"/>
      <w:r>
        <w:t>دیوان فخر عراقی‏</w:t>
      </w:r>
      <w:bookmarkEnd w:id="7266"/>
    </w:p>
    <w:p>
      <w:pPr>
        <w:pStyle w:val="BookText"/>
      </w:pPr>
      <w:r>
        <w:rPr>
          <w:rFonts w:ascii="IRNazanin" w:hAnsi="IRNazanin" w:eastAsia="IRNazanin" w:cs="IRNazanin"/>
          <w:lang w:bidi="fa-IR"/>
          <w:color w:val="111111"/>
          <w:sz w:val="28"/>
          <w:szCs w:val="28"/>
          <w:rtl/>
        </w:rPr>
        <w:t xml:space="preserve">مر بعنوان دیوان عراقی فی ص 709 و ترجمه إقبال فی تاریخ مفصل ایران- ص 538 و (دولت- 4) و مجالس العشاق- ص 119.</w:t>
      </w:r>
    </w:p>
    <w:p>
      <w:pPr>
        <w:pStyle w:val="Heading3"/>
      </w:pPr>
      <w:bookmarkStart w:id="7267" w:name="_Toc5963"/>
      <w:r>
        <w:t>5483- دیوان فخر قزوینی أو شعره‏</w:t>
      </w:r>
      <w:bookmarkEnd w:id="7267"/>
    </w:p>
    <w:p>
      <w:pPr>
        <w:pStyle w:val="BookText"/>
      </w:pPr>
      <w:r>
        <w:rPr>
          <w:rFonts w:ascii="IRNazanin" w:hAnsi="IRNazanin" w:eastAsia="IRNazanin" w:cs="IRNazanin"/>
          <w:lang w:bidi="fa-IR"/>
          <w:color w:val="111111"/>
          <w:sz w:val="28"/>
          <w:szCs w:val="28"/>
          <w:rtl/>
        </w:rPr>
        <w:t xml:space="preserve">ترجمه معاصره سام میرزا. فی (تس 5 ص 169) و أورد شعره.</w:t>
      </w:r>
    </w:p>
    <w:p>
      <w:pPr>
        <w:pStyle w:val="Heading3"/>
      </w:pPr>
      <w:bookmarkStart w:id="7268" w:name="_Toc5964"/>
      <w:r>
        <w:t>5484- دیوان فخر الواعظین کاشانی‏</w:t>
      </w:r>
      <w:bookmarkEnd w:id="7268"/>
    </w:p>
    <w:p>
      <w:pPr>
        <w:pStyle w:val="BookText"/>
      </w:pPr>
      <w:r>
        <w:rPr>
          <w:rFonts w:ascii="IRNazanin" w:hAnsi="IRNazanin" w:eastAsia="IRNazanin" w:cs="IRNazanin"/>
          <w:lang w:bidi="fa-IR"/>
          <w:color w:val="111111"/>
          <w:sz w:val="28"/>
          <w:szCs w:val="28"/>
          <w:rtl/>
        </w:rPr>
        <w:t xml:space="preserve">و هو السید أحمد الواعظ المتخلص خاوری و المعروف بفخر الواعظین الکاشانی کان من أعضاء لجنة سریة أسست لمعارضة استقراض أتابک من الروس التزاریة فی 1317 و معه زمیله السید حسن حبل المتین و الشیخ یحیی الکاشانی و الشیخ عبد العلی البیدگلی. فنفی إلی کاشان و بعد الدستور طبع کتابه محمود فی 1329 و نشر جریدة میزان الفکاهیة الانتقادیة فی 1329 أیضا فی طهران و فی 1337 نشر جریدة ثریا بکاشان و نظم مثنوی زشت و زیبا فی 1500 بیت الموجود نسخته</w:t>
      </w:r>
    </w:p>
    <w:p>
      <w:pPr>
        <w:pStyle w:val="BookText"/>
      </w:pPr>
      <w:r>
        <w:rPr>
          <w:rFonts w:ascii="IRNazanin" w:hAnsi="IRNazanin" w:eastAsia="IRNazanin" w:cs="IRNazanin"/>
          <w:lang w:bidi="fa-IR"/>
          <w:color w:val="111111"/>
          <w:sz w:val="28"/>
          <w:szCs w:val="28"/>
          <w:rtl/>
        </w:rPr>
        <w:t xml:space="preserve">المکتوبة 1331 عند حسن نراقی الکاشانی بطهران کما ذکره فی مقالته فی مجلة یغما لسنة 13 فی ذی الحجة 1379 ص 147 و ذکره براون فی تاریخ انقلاب ایران و صدر الهاشمی فی تاریخ جرائد.</w:t>
      </w:r>
    </w:p>
    <w:p>
      <w:pPr>
        <w:pStyle w:val="Heading3"/>
      </w:pPr>
      <w:bookmarkStart w:id="7269" w:name="_Toc5965"/>
      <w:r>
        <w:t>دیوان فخری أصفهانی‏</w:t>
      </w:r>
      <w:bookmarkEnd w:id="7269"/>
    </w:p>
    <w:p>
      <w:pPr>
        <w:pStyle w:val="BookText"/>
      </w:pPr>
      <w:r>
        <w:rPr>
          <w:rFonts w:ascii="IRNazanin" w:hAnsi="IRNazanin" w:eastAsia="IRNazanin" w:cs="IRNazanin"/>
          <w:lang w:bidi="fa-IR"/>
          <w:color w:val="111111"/>
          <w:sz w:val="28"/>
          <w:szCs w:val="28"/>
          <w:rtl/>
        </w:rPr>
        <w:t xml:space="preserve">أورد شعره فی (گلشن- ص 313) و لعله فخری گرگانی.</w:t>
      </w:r>
    </w:p>
    <w:p>
      <w:pPr>
        <w:pStyle w:val="Heading3"/>
      </w:pPr>
      <w:bookmarkStart w:id="7270" w:name="_Toc5966"/>
      <w:r>
        <w:t>5485- دیوان فخری ایروانی أو شعره‏</w:t>
      </w:r>
      <w:bookmarkEnd w:id="7270"/>
    </w:p>
    <w:p>
      <w:pPr>
        <w:pStyle w:val="BookText"/>
      </w:pPr>
      <w:r>
        <w:rPr>
          <w:rFonts w:ascii="IRNazanin" w:hAnsi="IRNazanin" w:eastAsia="IRNazanin" w:cs="IRNazanin"/>
          <w:lang w:bidi="fa-IR"/>
          <w:color w:val="111111"/>
          <w:sz w:val="28"/>
          <w:szCs w:val="28"/>
          <w:rtl/>
        </w:rPr>
        <w:t xml:space="preserve">و اسمه عباس الملقب بالحاج میرزا آقاسی بن مسلم الإیروانی، معلم محمد شاه القاجار و وزیره فی مدة سلطنته. و جاور العراق أخیرا و بها توفی 1265 ترجمه فی (دجا- ص 294) و أورد شعره فی (مع- ج 1 ص 388) و أورد شعره فی (پژمان 89 و 443).</w:t>
      </w:r>
    </w:p>
    <w:p>
      <w:pPr>
        <w:pStyle w:val="Heading3"/>
      </w:pPr>
      <w:bookmarkStart w:id="7271" w:name="_Toc5967"/>
      <w:r>
        <w:t>5486- دیوان فخری بنارسی أو شعره‏</w:t>
      </w:r>
      <w:bookmarkEnd w:id="7271"/>
    </w:p>
    <w:p>
      <w:pPr>
        <w:pStyle w:val="BookText"/>
      </w:pPr>
      <w:r>
        <w:rPr>
          <w:rFonts w:ascii="IRNazanin" w:hAnsi="IRNazanin" w:eastAsia="IRNazanin" w:cs="IRNazanin"/>
          <w:lang w:bidi="fa-IR"/>
          <w:color w:val="111111"/>
          <w:sz w:val="28"/>
          <w:szCs w:val="28"/>
          <w:rtl/>
        </w:rPr>
        <w:t xml:space="preserve">و هو الشاعر الهندی. أورد شعره فی (گلشن- ص 312).</w:t>
      </w:r>
    </w:p>
    <w:p>
      <w:pPr>
        <w:pStyle w:val="Heading3"/>
      </w:pPr>
      <w:bookmarkStart w:id="7272" w:name="_Toc5968"/>
      <w:r>
        <w:t>5487- دیوان فخری سبزواری‏</w:t>
      </w:r>
      <w:bookmarkEnd w:id="7272"/>
    </w:p>
    <w:p>
      <w:pPr>
        <w:pStyle w:val="BookText"/>
      </w:pPr>
      <w:r>
        <w:rPr>
          <w:rFonts w:ascii="IRNazanin" w:hAnsi="IRNazanin" w:eastAsia="IRNazanin" w:cs="IRNazanin"/>
          <w:lang w:bidi="fa-IR"/>
          <w:color w:val="111111"/>
          <w:sz w:val="28"/>
          <w:szCs w:val="28"/>
          <w:rtl/>
        </w:rPr>
        <w:t xml:space="preserve">و اسمه فخر الدین علی المعروف بالصفی ابن المولی کمال الدین حسین بن علی الشهیر بالکاشفی الذی توفی 910 ترجمه سام میرزا المولود 923 فی کتاب التحفة الذی ألفه 957 فی تراجم شعراء عصره و ذکر أنه توفی‏
</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bookmarkStart w:id="804" w:name="pg11704_122289"/>
    <w:bookmarkEnd w:id="804"/>
    <w:p>
      <w:pPr>
        <w:pStyle w:val="BookText"/>
      </w:pPr>
      <w:r>
        <w:rPr>
          <w:rFonts w:ascii="IRNazanin" w:hAnsi="IRNazanin" w:eastAsia="IRNazanin" w:cs="IRNazanin"/>
          <w:lang w:bidi="fa-IR"/>
          <w:color w:val="111111"/>
          <w:sz w:val="28"/>
          <w:szCs w:val="28"/>
          <w:rtl/>
        </w:rPr>
        <w:t xml:space="preserve">فخر الدین هذا سنة تسع و تسعمائة و لا محالة سقطت مرتبة العشرات بینهما و الا لزم کون وفاته قبل زمان ولادة سام میرزا و لهذا لیس الساقط لفظ العشرة أیضا، بل الساقط إما العشرون أو الثلاثون أو الأربعون، و لا یکون الساقط الخمسین للزوم کون الوفاة بعد التألیف فظهر أنه توفی إما فی 929 أو 939 أو 949 و ذکر أیضا أن له منظومة محمود و ایاز و قال فی (گلشن- ص 313) إنه کان یعظ بمسجد هرات.</w:t>
      </w:r>
    </w:p>
    <w:p>
      <w:pPr>
        <w:pStyle w:val="Heading3"/>
      </w:pPr>
      <w:bookmarkStart w:id="7273" w:name="_Toc5969"/>
      <w:r>
        <w:t>5488- دیوان فخری قاجار</w:t>
      </w:r>
      <w:bookmarkEnd w:id="7273"/>
    </w:p>
    <w:p>
      <w:pPr>
        <w:pStyle w:val="BookText"/>
      </w:pPr>
      <w:r>
        <w:rPr>
          <w:rFonts w:ascii="IRNazanin" w:hAnsi="IRNazanin" w:eastAsia="IRNazanin" w:cs="IRNazanin"/>
          <w:lang w:bidi="fa-IR"/>
          <w:color w:val="111111"/>
          <w:sz w:val="28"/>
          <w:szCs w:val="28"/>
          <w:rtl/>
        </w:rPr>
        <w:t xml:space="preserve">و اسمه علی قلی میرزا اعتضاد السلطنة بن فتح علی شاه المولود حدود 1237 کما ترجمه فی (مع- ج 1 ص 41) و أورد قرب مائتی بیت من قصائده و مثنویاته. و ترجمه فی (المآثر- ص 193) و ذکر أن له تصانیف و إنه توفی لیلة عاشوراء 1298 و کان له مکتبة انتقلت إلی (سپهسالار).</w:t>
      </w:r>
    </w:p>
    <w:p>
      <w:pPr>
        <w:pStyle w:val="Heading3"/>
      </w:pPr>
      <w:bookmarkStart w:id="7274" w:name="_Toc5970"/>
      <w:r>
        <w:t>5489- دیوان فخری گرگانی‏</w:t>
      </w:r>
      <w:bookmarkEnd w:id="7274"/>
    </w:p>
    <w:p>
      <w:pPr>
        <w:pStyle w:val="BookText"/>
      </w:pPr>
      <w:r>
        <w:rPr>
          <w:rFonts w:ascii="IRNazanin" w:hAnsi="IRNazanin" w:eastAsia="IRNazanin" w:cs="IRNazanin"/>
          <w:lang w:bidi="fa-IR"/>
          <w:color w:val="111111"/>
          <w:sz w:val="28"/>
          <w:szCs w:val="28"/>
          <w:rtl/>
        </w:rPr>
        <w:t xml:space="preserve">و اسمه فخر الدین أسعد الجرجانی. ولد بگرگان و سافر إلی أصفهان مع طغرل بیگ. و هناک شرع فی 446 بنظم مثنوی ویس و رامین المترجمة من البهلویة بالفارسیة</w:t>
      </w:r>
      <w:r>
        <w:rPr>
          <w:rStyle w:val="FootnoteReference"/>
        </w:rPr>
        <w:footnoteReference w:id="65"/>
      </w:r>
      <w:r>
        <w:rPr>
          <w:rFonts w:ascii="IRNazanin" w:hAnsi="IRNazanin" w:eastAsia="IRNazanin" w:cs="IRNazanin"/>
          <w:lang w:bidi="fa-IR"/>
          <w:color w:val="111111"/>
          <w:sz w:val="28"/>
          <w:szCs w:val="28"/>
          <w:rtl/>
        </w:rPr>
        <w:t xml:space="preserve">بأمر من أبی الفتح مظفر بن محمد حاکم أصفهان من طرف طغرل، و ذلک لأن رجال الحکم کانوا یتکلمون بالفارسیة الدریة و لا یعلمون البهلویة التی کانت لغة عامة الناس فی جنوب إیران و هی قصة غرامیة بین ویس بنت ملک مرو و زوجة ویرو و بین رامین ابن أخیه و فی المنظومة مصطلحات أدبیة و نجومیة و فلسفیة و غیرها یظهر وقوف الناظم علی علوم زمانه. و قد استظهر صادق هدایت تشیعه، و یمدح فیها السلطان طغرل بیک و الخواجة عماد الدین عمید الملک منصور الکندری، و مظفر بن محمد النیشابوری، و لم یذکر تخلصه فی المنظومة و انما لقبه بالفخری شمس الدین قیس الرازی فی المعجم فی معاییر أشعار العجم و عنه أخذ أصحاب التراجم و التذاکر مثل (تش- ص 155) و (مع 1: 375) و قد رأی سنگلاخ نسختین من دیوانه و ذکرها فی امتحان الفضلاء- ج 1 ص 122 و ج 2 ص 89 و قد عده فی شاهد صادق من المتوفین‏ .
</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bookmarkStart w:id="805" w:name="pg11704_122290"/>
    <w:bookmarkEnd w:id="805"/>
    <w:p>
      <w:pPr>
        <w:pStyle w:val="BookText"/>
      </w:pPr>
      <w:r>
        <w:rPr>
          <w:rFonts w:ascii="IRNazanin" w:hAnsi="IRNazanin" w:eastAsia="IRNazanin" w:cs="IRNazanin"/>
          <w:lang w:bidi="fa-IR"/>
          <w:color w:val="111111"/>
          <w:sz w:val="28"/>
          <w:szCs w:val="28"/>
          <w:rtl/>
        </w:rPr>
        <w:t xml:space="preserve">سنة 442 و هو غلط. و قد طبع ویس و رامین فی کلکتة بتصحیح الکاپیتان صاحب و طبع ثانیا بطهران بتصحیح مجتبی مینوی فی 1354 و ثالثا بها مع مقدمه و تعلیقات مفصلة لمحمد جعفر محجوب، و معها ترجمه مصطفی مقربی لمقالة مینورسکی، و ترجمه مقالة إستاگلبرگ حول المنظومة هذه کلها فی 105+ 502 ص.</w:t>
      </w:r>
    </w:p>
    <w:p>
      <w:pPr>
        <w:pStyle w:val="Heading3"/>
      </w:pPr>
      <w:bookmarkStart w:id="7275" w:name="_Toc5971"/>
      <w:r>
        <w:t>5490- دیوان فخری هروی‏</w:t>
      </w:r>
      <w:bookmarkEnd w:id="7275"/>
    </w:p>
    <w:p>
      <w:pPr>
        <w:pStyle w:val="BookText"/>
      </w:pPr>
      <w:r>
        <w:rPr>
          <w:rFonts w:ascii="IRNazanin" w:hAnsi="IRNazanin" w:eastAsia="IRNazanin" w:cs="IRNazanin"/>
          <w:lang w:bidi="fa-IR"/>
          <w:color w:val="111111"/>
          <w:sz w:val="28"/>
          <w:szCs w:val="28"/>
          <w:rtl/>
        </w:rPr>
        <w:t xml:space="preserve">مؤلف لطائف‏نامه اسمه سلطان محمد بن أمیری و له دیوان غزلیات سماه بوستان خیال و آخر سماه تحفه الحبیب لأنه جمعه باسم الخواجة حبیب الله وزیر خراسان ترجمه فی مقدمه طبع مجالس النفائس (ص کح إلی ص ل) قال سنگلاخ إنه رأی</w:t>
      </w:r>
    </w:p>
    <w:p>
      <w:pPr>
        <w:pStyle w:val="BookText"/>
      </w:pPr>
      <w:r>
        <w:rPr>
          <w:rFonts w:ascii="IRNazanin" w:hAnsi="IRNazanin" w:eastAsia="IRNazanin" w:cs="IRNazanin"/>
          <w:lang w:bidi="fa-IR"/>
          <w:color w:val="111111"/>
          <w:sz w:val="28"/>
          <w:szCs w:val="28"/>
          <w:rtl/>
        </w:rPr>
        <w:t xml:space="preserve">نسخه من منتخب دیوان فخری هروی بخط محمد ابریشمی، و نسخه من دیوان فخر الدین هروی بخط أبی تراب الأصفهانی و ذکرهما فی امتحان الفضلاء ج 1 ص 114 و ج 2 ص 7. و راجع ص 262 الحاشیة.</w:t>
      </w:r>
    </w:p>
    <w:p>
      <w:pPr>
        <w:pStyle w:val="Heading3"/>
      </w:pPr>
      <w:bookmarkStart w:id="7276" w:name="_Toc5972"/>
      <w:r>
        <w:t>5491- دیوان فدای أردستانی أو شعره‏</w:t>
      </w:r>
      <w:bookmarkEnd w:id="7276"/>
    </w:p>
    <w:p>
      <w:pPr>
        <w:pStyle w:val="BookText"/>
      </w:pPr>
      <w:r>
        <w:rPr>
          <w:rFonts w:ascii="IRNazanin" w:hAnsi="IRNazanin" w:eastAsia="IRNazanin" w:cs="IRNazanin"/>
          <w:lang w:bidi="fa-IR"/>
          <w:color w:val="111111"/>
          <w:sz w:val="28"/>
          <w:szCs w:val="28"/>
          <w:rtl/>
        </w:rPr>
        <w:t xml:space="preserve">و هو المیرزا سعید الأصفهانی المسکن من أجلة السادة الحسینیة بأصفهان و من أحفاد حکیم الملک البانی لمدرسة نیما ورد فی أصفهان. کان مقربا عند السلطان محمد شاه القاجار. ترجمه فی (مع 2- ص 382) و أورد نیفا و عشرین بیتا من شعره. و کذا فی المدائح المعتمدیة.</w:t>
      </w:r>
    </w:p>
    <w:p>
      <w:pPr>
        <w:pStyle w:val="Heading3"/>
      </w:pPr>
      <w:bookmarkStart w:id="7277" w:name="_Toc5973"/>
      <w:r>
        <w:t>5492- دیوان فدای أصفهانی أو شعره‏</w:t>
      </w:r>
      <w:bookmarkEnd w:id="7277"/>
    </w:p>
    <w:p>
      <w:pPr>
        <w:pStyle w:val="BookText"/>
      </w:pPr>
      <w:r>
        <w:rPr>
          <w:rFonts w:ascii="IRNazanin" w:hAnsi="IRNazanin" w:eastAsia="IRNazanin" w:cs="IRNazanin"/>
          <w:lang w:bidi="fa-IR"/>
          <w:color w:val="111111"/>
          <w:sz w:val="28"/>
          <w:szCs w:val="28"/>
          <w:rtl/>
        </w:rPr>
        <w:t xml:space="preserve">ترجمه و أورد شعره فی المدائح المعتمدیة</w:t>
      </w:r>
    </w:p>
    <w:p>
      <w:pPr>
        <w:pStyle w:val="Heading3"/>
      </w:pPr>
      <w:bookmarkStart w:id="7278" w:name="_Toc5974"/>
      <w:r>
        <w:t>دیوان فدای أصفهانی‏</w:t>
      </w:r>
      <w:bookmarkEnd w:id="7278"/>
    </w:p>
    <w:p>
      <w:pPr>
        <w:pStyle w:val="BookText"/>
      </w:pPr>
      <w:r>
        <w:rPr>
          <w:rFonts w:ascii="IRNazanin" w:hAnsi="IRNazanin" w:eastAsia="IRNazanin" w:cs="IRNazanin"/>
          <w:lang w:bidi="fa-IR"/>
          <w:color w:val="111111"/>
          <w:sz w:val="28"/>
          <w:szCs w:val="28"/>
          <w:rtl/>
        </w:rPr>
        <w:t xml:space="preserve">راجع فدائی أصفهانی.</w:t>
      </w:r>
    </w:p>
    <w:p>
      <w:pPr>
        <w:pStyle w:val="Heading3"/>
      </w:pPr>
      <w:bookmarkStart w:id="7279" w:name="_Toc5975"/>
      <w:r>
        <w:t>5493- دیوان فدائی أردکانی أو شعره‏</w:t>
      </w:r>
      <w:bookmarkEnd w:id="7279"/>
    </w:p>
    <w:p>
      <w:pPr>
        <w:pStyle w:val="BookText"/>
      </w:pPr>
      <w:r>
        <w:rPr>
          <w:rFonts w:ascii="IRNazanin" w:hAnsi="IRNazanin" w:eastAsia="IRNazanin" w:cs="IRNazanin"/>
          <w:lang w:bidi="fa-IR"/>
          <w:color w:val="111111"/>
          <w:sz w:val="28"/>
          <w:szCs w:val="28"/>
          <w:rtl/>
        </w:rPr>
        <w:t xml:space="preserve">و اسمه محمد. ترجمه آیتی فی (تش یز- 316) و قال سافر إلی الهند فی 1085 و رجع ملیا و أورد شعره.</w:t>
      </w:r>
    </w:p>
    <w:p>
      <w:pPr>
        <w:pStyle w:val="Heading3"/>
      </w:pPr>
      <w:bookmarkStart w:id="7280" w:name="_Toc5976"/>
      <w:r>
        <w:t>5494- دیوان فدائی أسترآبادی أو شعره‏</w:t>
      </w:r>
      <w:bookmarkEnd w:id="7280"/>
    </w:p>
    <w:p>
      <w:pPr>
        <w:pStyle w:val="BookText"/>
      </w:pPr>
      <w:r>
        <w:rPr>
          <w:rFonts w:ascii="IRNazanin" w:hAnsi="IRNazanin" w:eastAsia="IRNazanin" w:cs="IRNazanin"/>
          <w:lang w:bidi="fa-IR"/>
          <w:color w:val="111111"/>
          <w:sz w:val="28"/>
          <w:szCs w:val="28"/>
          <w:rtl/>
        </w:rPr>
        <w:t xml:space="preserve">. و هو المیر عماد الدین محمد من سادات أسترآباد. ترجمه و أورد شعره فی (تش- ص 152) و فی (قز مج 3- ص 261) قال سافر إلی الحجاز مع والده و رجعا. و فی (لط 3- ص 87) نسبه إلی تبریز.</w:t>
      </w:r>
    </w:p>
    <w:p>
      <w:pPr>
        <w:pStyle w:val="Heading3"/>
      </w:pPr>
      <w:bookmarkStart w:id="7281" w:name="_Toc5977"/>
      <w:r>
        <w:t>دیوان فدائی أصفهانی‏</w:t>
      </w:r>
      <w:bookmarkEnd w:id="7281"/>
    </w:p>
    <w:p>
      <w:pPr>
        <w:pStyle w:val="BookText"/>
      </w:pPr>
      <w:r>
        <w:rPr>
          <w:rFonts w:ascii="IRNazanin" w:hAnsi="IRNazanin" w:eastAsia="IRNazanin" w:cs="IRNazanin"/>
          <w:lang w:bidi="fa-IR"/>
          <w:color w:val="111111"/>
          <w:sz w:val="28"/>
          <w:szCs w:val="28"/>
          <w:rtl/>
        </w:rPr>
        <w:t xml:space="preserve">هو التخلص السابق لمنیر الأصفهانی فلیراجع إلیه.</w:t>
      </w:r>
    </w:p>
    <w:p>
      <w:pPr>
        <w:pStyle w:val="Heading3"/>
      </w:pPr>
      <w:bookmarkStart w:id="7282" w:name="_Toc5978"/>
      <w:r>
        <w:t>5495- دیوان فدائی ایروانی أو شعره‏</w:t>
      </w:r>
      <w:bookmarkEnd w:id="7282"/>
    </w:p>
    <w:p>
      <w:pPr>
        <w:pStyle w:val="BookText"/>
      </w:pPr>
      <w:r>
        <w:rPr>
          <w:rFonts w:ascii="IRNazanin" w:hAnsi="IRNazanin" w:eastAsia="IRNazanin" w:cs="IRNazanin"/>
          <w:lang w:bidi="fa-IR"/>
          <w:color w:val="111111"/>
          <w:sz w:val="28"/>
          <w:szCs w:val="28"/>
          <w:rtl/>
        </w:rPr>
        <w:t xml:space="preserve">أورد مدیحه لناصر الدین شاه فی مجموعة الشیخ هلال الخوئی ابن إسماعیل المعاصر الموجود عند الشیخ محمد علی الیعقوبی فی النجف.
</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bookmarkStart w:id="806" w:name="pg11704_122291"/>
    <w:bookmarkEnd w:id="806"/>
    <w:p>
      <w:pPr>
        <w:pStyle w:val="Heading3"/>
      </w:pPr>
      <w:bookmarkStart w:id="7283" w:name="_Toc5979"/>
      <w:r>
        <w:t>5496- دیوان فدائی بیرجندی‏</w:t>
      </w:r>
      <w:bookmarkEnd w:id="7283"/>
    </w:p>
    <w:p>
      <w:pPr>
        <w:pStyle w:val="BookText"/>
      </w:pPr>
      <w:r>
        <w:rPr>
          <w:rFonts w:ascii="IRNazanin" w:hAnsi="IRNazanin" w:eastAsia="IRNazanin" w:cs="IRNazanin"/>
          <w:lang w:bidi="fa-IR"/>
          <w:color w:val="111111"/>
          <w:sz w:val="28"/>
          <w:szCs w:val="28"/>
          <w:rtl/>
        </w:rPr>
        <w:t xml:space="preserve">و هو المیرزا محمد حسین ساکن بیرجند و منشی دار الحکومة بها و دیوانه فی ألفی بیت و مات بالغور فی 1340. ترجمه و أورد شعره الآیتی فی (تاریخ قائن- ص 232).</w:t>
      </w:r>
    </w:p>
    <w:p>
      <w:pPr>
        <w:pStyle w:val="Heading3"/>
      </w:pPr>
      <w:bookmarkStart w:id="7284" w:name="_Toc5980"/>
      <w:r>
        <w:t>5497- دیوان فدائی تبریزی‏</w:t>
      </w:r>
      <w:bookmarkEnd w:id="7284"/>
    </w:p>
    <w:p>
      <w:pPr>
        <w:pStyle w:val="BookText"/>
      </w:pPr>
      <w:r>
        <w:rPr>
          <w:rFonts w:ascii="IRNazanin" w:hAnsi="IRNazanin" w:eastAsia="IRNazanin" w:cs="IRNazanin"/>
          <w:lang w:bidi="fa-IR"/>
          <w:color w:val="111111"/>
          <w:sz w:val="28"/>
          <w:szCs w:val="28"/>
          <w:rtl/>
        </w:rPr>
        <w:t xml:space="preserve">من أولاد الأکابر و له أشعار حسنة. ترجمه معاصره سام میرزا فی (تس 5- ص 169) و أورد بعض شعره.</w:t>
      </w:r>
    </w:p>
    <w:p>
      <w:pPr>
        <w:pStyle w:val="Heading3"/>
      </w:pPr>
      <w:bookmarkStart w:id="7285" w:name="_Toc5981"/>
      <w:r>
        <w:t>دیوان فدائی تبریزی‏</w:t>
      </w:r>
      <w:bookmarkEnd w:id="7285"/>
    </w:p>
    <w:p>
      <w:pPr>
        <w:pStyle w:val="BookText"/>
      </w:pPr>
      <w:r>
        <w:rPr>
          <w:rFonts w:ascii="IRNazanin" w:hAnsi="IRNazanin" w:eastAsia="IRNazanin" w:cs="IRNazanin"/>
          <w:lang w:bidi="fa-IR"/>
          <w:color w:val="111111"/>
          <w:sz w:val="28"/>
          <w:szCs w:val="28"/>
          <w:rtl/>
        </w:rPr>
        <w:t xml:space="preserve">من السادة الصحیحی النسب بها. ترجمه فی (مجن 3- ص 87 و 261) راجع دیوان فدائی أسترآباد.</w:t>
      </w:r>
    </w:p>
    <w:p>
      <w:pPr>
        <w:pStyle w:val="Heading3"/>
      </w:pPr>
      <w:bookmarkStart w:id="7286" w:name="_Toc5982"/>
      <w:r>
        <w:t>5498- دیوان فدائی طهرانی أو شعره‏</w:t>
      </w:r>
      <w:bookmarkEnd w:id="7286"/>
    </w:p>
    <w:p>
      <w:pPr>
        <w:pStyle w:val="BookText"/>
      </w:pPr>
      <w:r>
        <w:rPr>
          <w:rFonts w:ascii="IRNazanin" w:hAnsi="IRNazanin" w:eastAsia="IRNazanin" w:cs="IRNazanin"/>
          <w:lang w:bidi="fa-IR"/>
          <w:color w:val="111111"/>
          <w:sz w:val="28"/>
          <w:szCs w:val="28"/>
          <w:rtl/>
        </w:rPr>
        <w:t xml:space="preserve">و اسمه محمود بیگ من إیل تکلو. لبس لباس الفقر و هاجر و سکن أصفهان عند أغورلو خان. أورد شعره النصرآبادی فی (نر 9- ص 405) و قال مات فی هذه السنة و عنه أخذ فی (گلشن- ص 312) و (تغ- ص 100)</w:t>
      </w:r>
    </w:p>
    <w:p>
      <w:pPr>
        <w:pStyle w:val="Heading3"/>
      </w:pPr>
      <w:bookmarkStart w:id="7287" w:name="_Toc5983"/>
      <w:r>
        <w:t>دیوان فدائی شیرازی‏</w:t>
      </w:r>
      <w:bookmarkEnd w:id="7287"/>
    </w:p>
    <w:p>
      <w:pPr>
        <w:pStyle w:val="BookText"/>
      </w:pPr>
      <w:r>
        <w:rPr>
          <w:rFonts w:ascii="IRNazanin" w:hAnsi="IRNazanin" w:eastAsia="IRNazanin" w:cs="IRNazanin"/>
          <w:lang w:bidi="fa-IR"/>
          <w:color w:val="111111"/>
          <w:sz w:val="28"/>
          <w:szCs w:val="28"/>
          <w:rtl/>
        </w:rPr>
        <w:t xml:space="preserve">کما فی (تغ- ص 100) راجع فدائی لاهیجی.</w:t>
      </w:r>
    </w:p>
    <w:p>
      <w:pPr>
        <w:pStyle w:val="Heading3"/>
      </w:pPr>
      <w:bookmarkStart w:id="7288" w:name="_Toc5984"/>
      <w:r>
        <w:t>5499- دیوان فدائی کرمانی أو شعره‏</w:t>
      </w:r>
      <w:bookmarkEnd w:id="7288"/>
    </w:p>
    <w:p>
      <w:pPr>
        <w:pStyle w:val="BookText"/>
      </w:pPr>
      <w:r>
        <w:rPr>
          <w:rFonts w:ascii="IRNazanin" w:hAnsi="IRNazanin" w:eastAsia="IRNazanin" w:cs="IRNazanin"/>
          <w:lang w:bidi="fa-IR"/>
          <w:color w:val="111111"/>
          <w:sz w:val="28"/>
          <w:szCs w:val="28"/>
          <w:rtl/>
        </w:rPr>
        <w:t xml:space="preserve">کان ماهرا فی النظم و النثر و کان یسکن یزد. ترجمه آذر فی (تش- ص 407) فی معاصریه و آیتی فی (تش یز- ص 376).</w:t>
      </w:r>
    </w:p>
    <w:p>
      <w:pPr>
        <w:pStyle w:val="Heading3"/>
      </w:pPr>
      <w:bookmarkStart w:id="7289" w:name="_Toc5985"/>
      <w:r>
        <w:t>5500- دیوان فدائی لاهیجی أو شعره‏</w:t>
      </w:r>
      <w:bookmarkEnd w:id="7289"/>
    </w:p>
    <w:p>
      <w:pPr>
        <w:pStyle w:val="BookText"/>
      </w:pPr>
      <w:r>
        <w:rPr>
          <w:rFonts w:ascii="IRNazanin" w:hAnsi="IRNazanin" w:eastAsia="IRNazanin" w:cs="IRNazanin"/>
          <w:lang w:bidi="fa-IR"/>
          <w:color w:val="111111"/>
          <w:sz w:val="28"/>
          <w:szCs w:val="28"/>
          <w:rtl/>
        </w:rPr>
        <w:t xml:space="preserve">و هو الشیخ أحمد بن شمس الدین محمد اللاهیجی النوربخشی. ولد بشیراز و نشا بها. و أرسله الشاه إسماعیل سفیرا إلی السلطان محمد الشیبانی، و له مباحثات و مناظرات مع رجاله و بعد الرجوع أکرمه الشاه، و تاب فی آخر عمره عن المناهی</w:t>
      </w:r>
    </w:p>
    <w:p>
      <w:pPr>
        <w:pStyle w:val="BookText"/>
      </w:pPr>
      <w:r>
        <w:rPr>
          <w:rFonts w:ascii="IRNazanin" w:hAnsi="IRNazanin" w:eastAsia="IRNazanin" w:cs="IRNazanin"/>
          <w:lang w:bidi="fa-IR"/>
          <w:color w:val="111111"/>
          <w:sz w:val="28"/>
          <w:szCs w:val="28"/>
          <w:rtl/>
        </w:rPr>
        <w:t xml:space="preserve">و سکن شیراز. ترجمه فی (تس 4- 67) و (تش- ص 163) و (تغ- ص 100) بعنوان فدائی أنه مات 677 و فی (بهش 2- ص 383) بعنوان شیخ‏زاده و لعله المذکور فی (مجتس 6- ص 164) کما ذکرناه فی ص 563.</w:t>
      </w:r>
    </w:p>
    <w:p>
      <w:pPr>
        <w:pStyle w:val="Heading3"/>
      </w:pPr>
      <w:bookmarkStart w:id="7290" w:name="_Toc5986"/>
      <w:r>
        <w:t>5501- دیوان فدائی مشهدی أو شعره‏</w:t>
      </w:r>
      <w:bookmarkEnd w:id="7290"/>
    </w:p>
    <w:p>
      <w:pPr>
        <w:pStyle w:val="BookText"/>
      </w:pPr>
      <w:r>
        <w:rPr>
          <w:rFonts w:ascii="IRNazanin" w:hAnsi="IRNazanin" w:eastAsia="IRNazanin" w:cs="IRNazanin"/>
          <w:lang w:bidi="fa-IR"/>
          <w:color w:val="111111"/>
          <w:sz w:val="28"/>
          <w:szCs w:val="28"/>
          <w:rtl/>
        </w:rPr>
        <w:t xml:space="preserve">و اسمه المیرزا علی. ترجمه و أورد شعره فی مطلع الشمس- ج 2 ص 439.</w:t>
      </w:r>
    </w:p>
    <w:p>
      <w:pPr>
        <w:pStyle w:val="Heading3"/>
      </w:pPr>
      <w:bookmarkStart w:id="7291" w:name="_Toc5987"/>
      <w:r>
        <w:t>5502- دیوان فدائی نیشابوری أو شعره‏</w:t>
      </w:r>
      <w:bookmarkEnd w:id="7291"/>
    </w:p>
    <w:p>
      <w:pPr>
        <w:pStyle w:val="BookText"/>
      </w:pPr>
      <w:r>
        <w:rPr>
          <w:rFonts w:ascii="IRNazanin" w:hAnsi="IRNazanin" w:eastAsia="IRNazanin" w:cs="IRNazanin"/>
          <w:lang w:bidi="fa-IR"/>
          <w:color w:val="111111"/>
          <w:sz w:val="28"/>
          <w:szCs w:val="28"/>
          <w:rtl/>
        </w:rPr>
        <w:t xml:space="preserve">قال فی (نتایج- ص 718) إنه کان یسکن یزد، ثم أورد شعره.</w:t>
      </w:r>
    </w:p>
    <w:p>
      <w:pPr>
        <w:pStyle w:val="Heading3"/>
      </w:pPr>
      <w:bookmarkStart w:id="7292" w:name="_Toc5988"/>
      <w:r>
        <w:t>5503- دیوان فدائی هندی‏</w:t>
      </w:r>
      <w:bookmarkEnd w:id="7292"/>
    </w:p>
    <w:p>
      <w:pPr>
        <w:pStyle w:val="BookText"/>
      </w:pPr>
      <w:r>
        <w:rPr>
          <w:rFonts w:ascii="IRNazanin" w:hAnsi="IRNazanin" w:eastAsia="IRNazanin" w:cs="IRNazanin"/>
          <w:lang w:bidi="fa-IR"/>
          <w:color w:val="111111"/>
          <w:sz w:val="28"/>
          <w:szCs w:val="28"/>
          <w:rtl/>
        </w:rPr>
        <w:t xml:space="preserve">لنصر الله خان. فی مجلدین، الأول غزلیاته و الثانی قصائده. طبع بمبئی فی 1892 م 1310 فی 336+ 400 ص.
</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bookmarkStart w:id="807" w:name="pg11704_122292"/>
    <w:bookmarkEnd w:id="807"/>
    <w:p>
      <w:pPr>
        <w:pStyle w:val="Heading3"/>
      </w:pPr>
      <w:bookmarkStart w:id="7293" w:name="_Toc5989"/>
      <w:r>
        <w:t>5504- دیوان فدائی یزدی‏</w:t>
      </w:r>
      <w:bookmarkEnd w:id="7293"/>
    </w:p>
    <w:p>
      <w:pPr>
        <w:pStyle w:val="BookText"/>
      </w:pPr>
      <w:r>
        <w:rPr>
          <w:rFonts w:ascii="IRNazanin" w:hAnsi="IRNazanin" w:eastAsia="IRNazanin" w:cs="IRNazanin"/>
          <w:lang w:bidi="fa-IR"/>
          <w:color w:val="111111"/>
          <w:sz w:val="28"/>
          <w:szCs w:val="28"/>
          <w:rtl/>
        </w:rPr>
        <w:t xml:space="preserve">و اسمه السید یحیی بن المیرزا محمد علی وامق بن السید محمد باقر الطباطبائی من طرف الأم الیزدی المتوفی 1355 کتب بخطه تذکره میکده من تألیف والده و قد أرسله أبوه إلیه قبل موته بشهرین، فتم استنساخه بخط السید یحیی فی 1262 و النسخة موجودة نقل عنها السید ریحان الله فی آینه دانشوران- ص 47 قال و ترجم وامق نفسه فی میکده و توفی السید یحیی الفدائی بالوباء 1282.</w:t>
      </w:r>
    </w:p>
    <w:p>
      <w:pPr>
        <w:pStyle w:val="Heading3"/>
      </w:pPr>
      <w:bookmarkStart w:id="7294" w:name="_Toc5990"/>
      <w:r>
        <w:t>دیوان فدوی تبریزی‏</w:t>
      </w:r>
      <w:bookmarkEnd w:id="7294"/>
    </w:p>
    <w:p>
      <w:pPr>
        <w:pStyle w:val="BookText"/>
      </w:pPr>
      <w:r>
        <w:rPr>
          <w:rFonts w:ascii="IRNazanin" w:hAnsi="IRNazanin" w:eastAsia="IRNazanin" w:cs="IRNazanin"/>
          <w:lang w:bidi="fa-IR"/>
          <w:color w:val="111111"/>
          <w:sz w:val="28"/>
          <w:szCs w:val="28"/>
          <w:rtl/>
        </w:rPr>
        <w:t xml:space="preserve">راجع فدوی زنوزی‏</w:t>
      </w:r>
    </w:p>
    <w:p>
      <w:pPr>
        <w:pStyle w:val="Heading3"/>
      </w:pPr>
      <w:bookmarkStart w:id="7295" w:name="_Toc5991"/>
      <w:r>
        <w:t>5505- دیوان فدوی خراسانی أو شعره‏</w:t>
      </w:r>
      <w:bookmarkEnd w:id="7295"/>
    </w:p>
    <w:p>
      <w:pPr>
        <w:pStyle w:val="BookText"/>
      </w:pPr>
      <w:r>
        <w:rPr>
          <w:rFonts w:ascii="IRNazanin" w:hAnsi="IRNazanin" w:eastAsia="IRNazanin" w:cs="IRNazanin"/>
          <w:lang w:bidi="fa-IR"/>
          <w:color w:val="111111"/>
          <w:sz w:val="28"/>
          <w:szCs w:val="28"/>
          <w:rtl/>
        </w:rPr>
        <w:t xml:space="preserve">و هو محمد حسین ترجمه و أورد شعره فی (گلشن- ص 314).</w:t>
      </w:r>
    </w:p>
    <w:p>
      <w:pPr>
        <w:pStyle w:val="Heading3"/>
      </w:pPr>
      <w:bookmarkStart w:id="7296" w:name="_Toc5992"/>
      <w:r>
        <w:t>5506- دیوان فدوی زنوزی الخوئی‏</w:t>
      </w:r>
      <w:bookmarkEnd w:id="7296"/>
    </w:p>
    <w:p>
      <w:pPr>
        <w:pStyle w:val="BookText"/>
      </w:pPr>
      <w:r>
        <w:rPr>
          <w:rFonts w:ascii="IRNazanin" w:hAnsi="IRNazanin" w:eastAsia="IRNazanin" w:cs="IRNazanin"/>
          <w:lang w:bidi="fa-IR"/>
          <w:color w:val="111111"/>
          <w:sz w:val="28"/>
          <w:szCs w:val="28"/>
          <w:rtl/>
        </w:rPr>
        <w:t xml:space="preserve">قال فی (دجا- ص 295) إن اسمه المولی مهر علی العالم الفاضل الشاعر بالفارسیة و العربیة و الترکیة و المتوفی أواخر عصر السلطان محمد شاه القاجار و له قصیدة فی مدح الأمیر نظمها قبل 1258 فإنه یوجد نسخه منها بخط المیرزا شفیع الخطاط التبریزی فی هذا التاریخ فی مکتبة سپهسالار و طبعت القصیدة ضمن بعض کتب الأدب و أورد مطلع القصیدة:</w:t>
      </w:r>
    </w:p>
    <w:p>
      <w:pPr>
        <w:pStyle w:val="BookText"/>
      </w:pPr>
      <w:r>
        <w:rPr>
          <w:rFonts w:ascii="IRNazanin" w:hAnsi="IRNazanin" w:eastAsia="IRNazanin" w:cs="IRNazanin"/>
          <w:lang w:bidi="fa-IR"/>
          <w:color w:val="111111"/>
          <w:sz w:val="28"/>
          <w:szCs w:val="28"/>
          <w:rtl/>
        </w:rPr>
        <w:t xml:space="preserve">ها علی بشر کیف بشر</w:t>
      </w:r>
    </w:p>
    <w:p>
      <w:pPr>
        <w:pStyle w:val="BookText"/>
      </w:pPr>
      <w:r>
        <w:rPr>
          <w:rFonts w:ascii="IRNazanin" w:hAnsi="IRNazanin" w:eastAsia="IRNazanin" w:cs="IRNazanin"/>
          <w:lang w:bidi="fa-IR"/>
          <w:color w:val="111111"/>
          <w:sz w:val="28"/>
          <w:szCs w:val="28"/>
          <w:rtl/>
        </w:rPr>
        <w:t xml:space="preserve">ربه فیه تجلی و ظهر</w:t>
      </w:r>
    </w:p>
    <w:p>
      <w:pPr>
        <w:pStyle w:val="BookText"/>
      </w:pPr>
      <w:r>
        <w:rPr>
          <w:rFonts w:ascii="IRNazanin" w:hAnsi="IRNazanin" w:eastAsia="IRNazanin" w:cs="IRNazanin"/>
          <w:lang w:bidi="fa-IR"/>
          <w:color w:val="111111"/>
          <w:sz w:val="28"/>
          <w:szCs w:val="28"/>
          <w:rtl/>
        </w:rPr>
        <w:t xml:space="preserve">و کان معلم نادر میرزا بن بدیع الزمان بن محمد علی دولت شاه مؤلف تاریخ تبریز و مات عن ثمانین سنة. و ترجمه فی ریحانة الأدب و مجلة یادگار- العدد 5 ص 7.</w:t>
      </w:r>
    </w:p>
    <w:p>
      <w:pPr>
        <w:pStyle w:val="Heading3"/>
      </w:pPr>
      <w:bookmarkStart w:id="7297" w:name="_Toc5993"/>
      <w:r>
        <w:t>5507- دیوان فرات یزدی‏</w:t>
      </w:r>
      <w:bookmarkEnd w:id="7297"/>
    </w:p>
    <w:p>
      <w:pPr>
        <w:pStyle w:val="BookText"/>
      </w:pPr>
      <w:r>
        <w:rPr>
          <w:rFonts w:ascii="IRNazanin" w:hAnsi="IRNazanin" w:eastAsia="IRNazanin" w:cs="IRNazanin"/>
          <w:lang w:bidi="fa-IR"/>
          <w:color w:val="111111"/>
          <w:sz w:val="28"/>
          <w:szCs w:val="28"/>
          <w:rtl/>
        </w:rPr>
        <w:t xml:space="preserve">اسمه عباس بن محمد کاظم. یسکن بطهران و هو ابن أخت المضطر الیزدی. ترجمه آیتی فی (تش یز- ص 331) و أورد شعره. ولد 1273 ش.</w:t>
      </w:r>
    </w:p>
    <w:p>
      <w:pPr>
        <w:pStyle w:val="BookText"/>
      </w:pPr>
      <w:r>
        <w:rPr>
          <w:rFonts w:ascii="IRNazanin" w:hAnsi="IRNazanin" w:eastAsia="IRNazanin" w:cs="IRNazanin"/>
          <w:lang w:bidi="fa-IR"/>
          <w:color w:val="111111"/>
          <w:sz w:val="28"/>
          <w:szCs w:val="28"/>
          <w:rtl/>
        </w:rPr>
        <w:t xml:space="preserve">و نشا بأصفهان و طبع دیوانه بطهران فی 1323 ش فی 216 ص. ترجمه فی کنگره نویسندگان- ص 81. و کان من أعضاء انجمن دانشکده کما فی دانش‏نامه لألفت.</w:t>
      </w:r>
    </w:p>
    <w:p>
      <w:pPr>
        <w:pStyle w:val="Heading3"/>
      </w:pPr>
      <w:bookmarkStart w:id="7298" w:name="_Toc5994"/>
      <w:r>
        <w:t>5508- دیوان فراتی تبریزی‏</w:t>
      </w:r>
      <w:bookmarkEnd w:id="7298"/>
    </w:p>
    <w:p>
      <w:pPr>
        <w:pStyle w:val="BookText"/>
      </w:pPr>
      <w:r>
        <w:rPr>
          <w:rFonts w:ascii="IRNazanin" w:hAnsi="IRNazanin" w:eastAsia="IRNazanin" w:cs="IRNazanin"/>
          <w:lang w:bidi="fa-IR"/>
          <w:color w:val="111111"/>
          <w:sz w:val="28"/>
          <w:szCs w:val="28"/>
          <w:rtl/>
        </w:rPr>
        <w:t xml:space="preserve">اسمه حافظ چرگر (المغنی) ترجمه فی (دجا- ص 103) و أورد شعره. و فی (تس 4- ص 84) سماه چرکین تبریزی.</w:t>
      </w:r>
    </w:p>
    <w:p>
      <w:pPr>
        <w:pStyle w:val="Heading3"/>
      </w:pPr>
      <w:bookmarkStart w:id="7299" w:name="_Toc5995"/>
      <w:r>
        <w:t>5509- دیوان ملا فراقی جوینی أو شعره‏</w:t>
      </w:r>
      <w:bookmarkEnd w:id="7299"/>
    </w:p>
    <w:p>
      <w:pPr>
        <w:pStyle w:val="BookText"/>
      </w:pPr>
      <w:r>
        <w:rPr>
          <w:rFonts w:ascii="IRNazanin" w:hAnsi="IRNazanin" w:eastAsia="IRNazanin" w:cs="IRNazanin"/>
          <w:lang w:bidi="fa-IR"/>
          <w:color w:val="111111"/>
          <w:sz w:val="28"/>
          <w:szCs w:val="28"/>
          <w:rtl/>
        </w:rPr>
        <w:t xml:space="preserve">ترجمه فی (مجتس 6- ص 168) و أورد شعره.</w:t>
      </w:r>
    </w:p>
    <w:p>
      <w:pPr>
        <w:pStyle w:val="Heading3"/>
      </w:pPr>
      <w:bookmarkStart w:id="7300" w:name="_Toc5996"/>
      <w:r>
        <w:t>5510- دیوان فراقی سمرقندی أو شعره‏</w:t>
      </w:r>
      <w:bookmarkEnd w:id="7300"/>
    </w:p>
    <w:p>
      <w:pPr>
        <w:pStyle w:val="BookText"/>
      </w:pPr>
      <w:r>
        <w:rPr>
          <w:rFonts w:ascii="IRNazanin" w:hAnsi="IRNazanin" w:eastAsia="IRNazanin" w:cs="IRNazanin"/>
          <w:lang w:bidi="fa-IR"/>
          <w:color w:val="111111"/>
          <w:sz w:val="28"/>
          <w:szCs w:val="28"/>
          <w:rtl/>
        </w:rPr>
        <w:t xml:space="preserve">و هو الخواجة القاضی أبو البرکة قاضی‏
</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bookmarkStart w:id="808" w:name="pg11704_122293"/>
    <w:bookmarkEnd w:id="808"/>
    <w:p>
      <w:pPr>
        <w:pStyle w:val="BookText"/>
      </w:pPr>
      <w:r>
        <w:rPr>
          <w:rFonts w:ascii="IRNazanin" w:hAnsi="IRNazanin" w:eastAsia="IRNazanin" w:cs="IRNazanin"/>
          <w:lang w:bidi="fa-IR"/>
          <w:color w:val="111111"/>
          <w:sz w:val="28"/>
          <w:szCs w:val="28"/>
          <w:rtl/>
        </w:rPr>
        <w:t xml:space="preserve">سمرقند أورد شعره فی (بهش 2- ص 380) بعد ترجمه ولده الخواجة أیوب بن أبی البرکة و کذا فی (نتایج- ص 540) و (گلشن- ص 314).</w:t>
      </w:r>
    </w:p>
    <w:p>
      <w:pPr>
        <w:pStyle w:val="Heading3"/>
      </w:pPr>
      <w:bookmarkStart w:id="7301" w:name="_Toc5997"/>
      <w:r>
        <w:t>5511- دیوان فراقی طالقانی أو شعره‏</w:t>
      </w:r>
      <w:bookmarkEnd w:id="7301"/>
    </w:p>
    <w:p>
      <w:pPr>
        <w:pStyle w:val="BookText"/>
      </w:pPr>
      <w:r>
        <w:rPr>
          <w:rFonts w:ascii="IRNazanin" w:hAnsi="IRNazanin" w:eastAsia="IRNazanin" w:cs="IRNazanin"/>
          <w:lang w:bidi="fa-IR"/>
          <w:color w:val="111111"/>
          <w:sz w:val="28"/>
          <w:szCs w:val="28"/>
          <w:rtl/>
        </w:rPr>
        <w:t xml:space="preserve">ترجمه الصادقی فی (خص 8- ص 311) و قال إنه حافظ للقرآن و له صوت حسن. و ذکر بعض شعره الأخلاقی.</w:t>
      </w:r>
    </w:p>
    <w:p>
      <w:pPr>
        <w:pStyle w:val="Heading3"/>
      </w:pPr>
      <w:bookmarkStart w:id="7302" w:name="_Toc5998"/>
      <w:r>
        <w:t>دیوان فراهانی‏</w:t>
      </w:r>
      <w:bookmarkEnd w:id="7302"/>
    </w:p>
    <w:p>
      <w:pPr>
        <w:pStyle w:val="BookText"/>
      </w:pPr>
      <w:r>
        <w:rPr>
          <w:rFonts w:ascii="IRNazanin" w:hAnsi="IRNazanin" w:eastAsia="IRNazanin" w:cs="IRNazanin"/>
          <w:lang w:bidi="fa-IR"/>
          <w:color w:val="111111"/>
          <w:sz w:val="28"/>
          <w:szCs w:val="28"/>
          <w:rtl/>
        </w:rPr>
        <w:t xml:space="preserve">راجع أبا الحسن الفراهانی فی ص 40 و جاء شعره فی مسرت- ص 498.</w:t>
      </w:r>
    </w:p>
    <w:p>
      <w:pPr>
        <w:pStyle w:val="Heading3"/>
      </w:pPr>
      <w:bookmarkStart w:id="7303" w:name="_Toc5999"/>
      <w:r>
        <w:t>دیوان فراهانی‏</w:t>
      </w:r>
      <w:bookmarkEnd w:id="7303"/>
    </w:p>
    <w:p>
      <w:pPr>
        <w:pStyle w:val="BookText"/>
      </w:pPr>
      <w:r>
        <w:rPr>
          <w:rFonts w:ascii="IRNazanin" w:hAnsi="IRNazanin" w:eastAsia="IRNazanin" w:cs="IRNazanin"/>
          <w:lang w:bidi="fa-IR"/>
          <w:color w:val="111111"/>
          <w:sz w:val="28"/>
          <w:szCs w:val="28"/>
          <w:rtl/>
        </w:rPr>
        <w:t xml:space="preserve">مر بعنوان أدیب الممالک فراهانی.</w:t>
      </w:r>
    </w:p>
    <w:p>
      <w:pPr>
        <w:pStyle w:val="Heading3"/>
      </w:pPr>
      <w:bookmarkStart w:id="7304" w:name="_Toc6000"/>
      <w:r>
        <w:t>دیوان فراهی‏</w:t>
      </w:r>
      <w:bookmarkEnd w:id="7304"/>
    </w:p>
    <w:p>
      <w:pPr>
        <w:pStyle w:val="BookText"/>
      </w:pPr>
      <w:r>
        <w:rPr>
          <w:rFonts w:ascii="IRNazanin" w:hAnsi="IRNazanin" w:eastAsia="IRNazanin" w:cs="IRNazanin"/>
          <w:lang w:bidi="fa-IR"/>
          <w:color w:val="111111"/>
          <w:sz w:val="28"/>
          <w:szCs w:val="28"/>
          <w:rtl/>
        </w:rPr>
        <w:t xml:space="preserve">للمولی برخوردار بن محمود الترکمانی الشاعر المتخلص ممتاز الفراهی من شعراء أواخر القرن الحادی عشر. یأتی بتخلصه. و أکثر من إیراد شعره فی کتابه محبوب القلوب.</w:t>
      </w:r>
    </w:p>
    <w:p>
      <w:pPr>
        <w:pStyle w:val="Heading3"/>
      </w:pPr>
      <w:bookmarkStart w:id="7305" w:name="_Toc6001"/>
      <w:r>
        <w:t>5512- دیوان فراهی‏</w:t>
      </w:r>
      <w:bookmarkEnd w:id="7305"/>
    </w:p>
    <w:p>
      <w:pPr>
        <w:pStyle w:val="BookText"/>
      </w:pPr>
      <w:r>
        <w:rPr>
          <w:rFonts w:ascii="IRNazanin" w:hAnsi="IRNazanin" w:eastAsia="IRNazanin" w:cs="IRNazanin"/>
          <w:lang w:bidi="fa-IR"/>
          <w:color w:val="111111"/>
          <w:sz w:val="28"/>
          <w:szCs w:val="28"/>
          <w:rtl/>
        </w:rPr>
        <w:t xml:space="preserve">هو أبو نصر بدر الدین مسعود (أو محمود أو محمد) بن أبی بکر بن الحسین بن جعفر السنجری الفراهی الأدیبی السیستانی المتوفی 640 کما فی کشف الظنون و قبره بقریة رج من نواحی فره. له نظم الجامع الصغیر لمحمد بن الحسن الشیبانی (135- 189) نظمها فی 617 و سماه لمعة البدر و قد شرح المنظومة هذه محمد بن عبد الرحمن الخجندی و سماه ضوء اللمعة و له أیضا نصاب الصبیان منظومة فی اللغة العربیة بالفارسیة فی مائتی بیت فسر فیها 1222 کلمة عربیة و هو أقدم منظومة فی هذا الموضوع. و له شروح تزید علی العشرین و قد تبعه فی نظم مثله أکثر من خمسین شاعرا کما فصل فی فرهنگ نامه‏های عربی بفارسی- ص 84- 121.</w:t>
      </w:r>
    </w:p>
    <w:p>
      <w:pPr>
        <w:pStyle w:val="Heading3"/>
      </w:pPr>
      <w:bookmarkStart w:id="7306" w:name="_Toc6002"/>
      <w:r>
        <w:t>5513- دیوان الشیخ فرج آل عمران القطیفی‏</w:t>
      </w:r>
      <w:bookmarkEnd w:id="7306"/>
    </w:p>
    <w:p>
      <w:pPr>
        <w:pStyle w:val="BookText"/>
      </w:pPr>
      <w:r>
        <w:rPr>
          <w:rFonts w:ascii="IRNazanin" w:hAnsi="IRNazanin" w:eastAsia="IRNazanin" w:cs="IRNazanin"/>
          <w:lang w:bidi="fa-IR"/>
          <w:color w:val="111111"/>
          <w:sz w:val="28"/>
          <w:szCs w:val="28"/>
          <w:rtl/>
        </w:rPr>
        <w:t xml:space="preserve">هو الشیخ فرج بن الحسن بن أحمد بن الحسین بن الشیخ محمد علی بن الشیخ محمد بن الشیخ عبد الله بن فرج بن عبد الله بن عمران المولود (2 شوال 1321) فیه الأراجیز الکثیرة منها الجوهرة فی أصول الدین. و منهج السلامة فی بعض الواجبات و المستحبات و الکبائر و تحفه الأبرار و مفتاح الفرج و الدرة الیتیمة. و له قصائد طبع منها تأبینیة السید ماجد.</w:t>
      </w:r>
    </w:p>
    <w:p>
      <w:pPr>
        <w:pStyle w:val="BookText"/>
      </w:pPr>
      <w:r>
        <w:rPr>
          <w:rFonts w:ascii="IRNazanin" w:hAnsi="IRNazanin" w:eastAsia="IRNazanin" w:cs="IRNazanin"/>
          <w:lang w:bidi="fa-IR"/>
          <w:color w:val="111111"/>
          <w:sz w:val="28"/>
          <w:szCs w:val="28"/>
          <w:rtl/>
        </w:rPr>
        <w:t xml:space="preserve">و طبعت أخیرا أرجوزته فی أصول الفقه الموسومة مرشد العقول فی النجف‏
</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bookmarkStart w:id="809" w:name="pg11704_122294"/>
    <w:bookmarkEnd w:id="809"/>
    <w:p>
      <w:pPr>
        <w:pStyle w:val="BookText"/>
      </w:pPr>
      <w:r>
        <w:rPr>
          <w:rFonts w:ascii="IRNazanin" w:hAnsi="IRNazanin" w:eastAsia="IRNazanin" w:cs="IRNazanin"/>
          <w:lang w:bidi="fa-IR"/>
          <w:color w:val="111111"/>
          <w:sz w:val="28"/>
          <w:szCs w:val="28"/>
          <w:rtl/>
        </w:rPr>
        <w:t xml:space="preserve">فی 1369 فی 49 ص.</w:t>
      </w:r>
    </w:p>
    <w:p>
      <w:pPr>
        <w:pStyle w:val="Heading3"/>
      </w:pPr>
      <w:bookmarkStart w:id="7307" w:name="_Toc6003"/>
      <w:r>
        <w:t>5514- دیوان فرج البحرانی‏</w:t>
      </w:r>
      <w:bookmarkEnd w:id="7307"/>
    </w:p>
    <w:p>
      <w:pPr>
        <w:pStyle w:val="BookText"/>
      </w:pPr>
      <w:r>
        <w:rPr>
          <w:rFonts w:ascii="IRNazanin" w:hAnsi="IRNazanin" w:eastAsia="IRNazanin" w:cs="IRNazanin"/>
          <w:lang w:bidi="fa-IR"/>
          <w:color w:val="111111"/>
          <w:sz w:val="28"/>
          <w:szCs w:val="28"/>
          <w:rtl/>
        </w:rPr>
        <w:t xml:space="preserve">لأبی الفتح بن المبارک البحرانی رأیت نسخته عند السید مجید بن محمود الحکیم فی النجف، فیها مدائح الأمیر ع. و تخلصه فیها فرج‏</w:t>
      </w:r>
    </w:p>
    <w:p>
      <w:pPr>
        <w:pStyle w:val="Heading3"/>
      </w:pPr>
      <w:bookmarkStart w:id="7308" w:name="_Toc6004"/>
      <w:r>
        <w:t>5515- دیوان الشیخ فرج الله‏</w:t>
      </w:r>
      <w:bookmarkEnd w:id="7308"/>
    </w:p>
    <w:p>
      <w:pPr>
        <w:pStyle w:val="BookText"/>
      </w:pPr>
      <w:r>
        <w:rPr>
          <w:rFonts w:ascii="IRNazanin" w:hAnsi="IRNazanin" w:eastAsia="IRNazanin" w:cs="IRNazanin"/>
          <w:lang w:bidi="fa-IR"/>
          <w:color w:val="111111"/>
          <w:sz w:val="28"/>
          <w:szCs w:val="28"/>
          <w:rtl/>
        </w:rPr>
        <w:t xml:space="preserve">بن محمد بن درویش الحویزی الدارابجردی المعاصر للشیخ الحر. ترجمه فی الأمل و ذکر أن دیوانه کبیر و قال فی (السلافة- ص 192) رأیته و کان فوق السبعین و ترجمه فی (سرو- ص 49) و نجوم السماء- ص 147 و الریحانة.</w:t>
      </w:r>
    </w:p>
    <w:p>
      <w:pPr>
        <w:pStyle w:val="BookText"/>
      </w:pPr>
      <w:r>
        <w:rPr>
          <w:rFonts w:ascii="IRNazanin" w:hAnsi="IRNazanin" w:eastAsia="IRNazanin" w:cs="IRNazanin"/>
          <w:lang w:bidi="fa-IR"/>
          <w:color w:val="111111"/>
          <w:sz w:val="28"/>
          <w:szCs w:val="28"/>
          <w:rtl/>
        </w:rPr>
        <w:t xml:space="preserve">و گلشن- ص 314. و نتایج- ص 542. و قال فی تش- ص 263 إنه ذهب إلی حیدرآباد دکن ثم أورد شعره. و نقل عن دیوانه فی (نر 9- ص 334) و نسبه إلی تستر و فی (تغ ص 100) أنه مات 1100.</w:t>
      </w:r>
    </w:p>
    <w:p>
      <w:pPr>
        <w:pStyle w:val="Heading3"/>
      </w:pPr>
      <w:bookmarkStart w:id="7309" w:name="_Toc6005"/>
      <w:r>
        <w:t>دیوان فرج الله طرفة</w:t>
      </w:r>
      <w:bookmarkEnd w:id="7309"/>
    </w:p>
    <w:p>
      <w:pPr>
        <w:pStyle w:val="BookText"/>
      </w:pPr>
      <w:r>
        <w:rPr>
          <w:rFonts w:ascii="IRNazanin" w:hAnsi="IRNazanin" w:eastAsia="IRNazanin" w:cs="IRNazanin"/>
          <w:lang w:bidi="fa-IR"/>
          <w:color w:val="111111"/>
          <w:sz w:val="28"/>
          <w:szCs w:val="28"/>
          <w:rtl/>
        </w:rPr>
        <w:t xml:space="preserve">مر بعنوان طرفة فی ص 648 و قد طبع دیوانه بطهران فی المطبعة الإسلامیة.</w:t>
      </w:r>
    </w:p>
    <w:p>
      <w:pPr>
        <w:pStyle w:val="Heading3"/>
      </w:pPr>
      <w:bookmarkStart w:id="7310" w:name="_Toc6006"/>
      <w:r>
        <w:t>5516- دیوان فرح لاهوری أو شعره‏</w:t>
      </w:r>
      <w:bookmarkEnd w:id="7310"/>
    </w:p>
    <w:p>
      <w:pPr>
        <w:pStyle w:val="BookText"/>
      </w:pPr>
      <w:r>
        <w:rPr>
          <w:rFonts w:ascii="IRNazanin" w:hAnsi="IRNazanin" w:eastAsia="IRNazanin" w:cs="IRNazanin"/>
          <w:lang w:bidi="fa-IR"/>
          <w:color w:val="111111"/>
          <w:sz w:val="28"/>
          <w:szCs w:val="28"/>
          <w:rtl/>
        </w:rPr>
        <w:t xml:space="preserve">أورد شعره فی (گلشن- ص 314).</w:t>
      </w:r>
    </w:p>
    <w:p>
      <w:pPr>
        <w:pStyle w:val="Heading3"/>
      </w:pPr>
      <w:bookmarkStart w:id="7311" w:name="_Toc6007"/>
      <w:r>
        <w:t>5517- دیوان فرخ تبریزی‏</w:t>
      </w:r>
      <w:bookmarkEnd w:id="7311"/>
    </w:p>
    <w:p>
      <w:pPr>
        <w:pStyle w:val="BookText"/>
      </w:pPr>
      <w:r>
        <w:rPr>
          <w:rFonts w:ascii="IRNazanin" w:hAnsi="IRNazanin" w:eastAsia="IRNazanin" w:cs="IRNazanin"/>
          <w:lang w:bidi="fa-IR"/>
          <w:color w:val="111111"/>
          <w:sz w:val="28"/>
          <w:szCs w:val="28"/>
          <w:rtl/>
        </w:rPr>
        <w:t xml:space="preserve">اسمه میرزا علی بابا معاصر المیرزا حسن الزنوزی مؤلف ریاض الجنة ترجمه فیه و أورد بعض شعره، و نقله (دجا- ص 295) و لعله صاحب جمشید و خورشید المذکور فی ج 5 ص 133.</w:t>
      </w:r>
    </w:p>
    <w:p>
      <w:pPr>
        <w:pStyle w:val="Heading3"/>
      </w:pPr>
      <w:bookmarkStart w:id="7312" w:name="_Toc6008"/>
      <w:r>
        <w:t>5518- دیوان فرخاری أو شعره‏</w:t>
      </w:r>
      <w:bookmarkEnd w:id="7312"/>
    </w:p>
    <w:p>
      <w:pPr>
        <w:pStyle w:val="BookText"/>
      </w:pPr>
      <w:r>
        <w:rPr>
          <w:rFonts w:ascii="IRNazanin" w:hAnsi="IRNazanin" w:eastAsia="IRNazanin" w:cs="IRNazanin"/>
          <w:lang w:bidi="fa-IR"/>
          <w:color w:val="111111"/>
          <w:sz w:val="28"/>
          <w:szCs w:val="28"/>
          <w:rtl/>
        </w:rPr>
        <w:t xml:space="preserve">من شعراء فرغانة أورد شعره فی (لت- 1) و (تش- ص 344).</w:t>
      </w:r>
    </w:p>
    <w:p>
      <w:pPr>
        <w:pStyle w:val="Heading3"/>
      </w:pPr>
      <w:bookmarkStart w:id="7313" w:name="_Toc6009"/>
      <w:r>
        <w:t>5519- دیوان فرخ حسین لاهوری‏</w:t>
      </w:r>
      <w:bookmarkEnd w:id="7313"/>
    </w:p>
    <w:p>
      <w:pPr>
        <w:pStyle w:val="BookText"/>
      </w:pPr>
      <w:r>
        <w:rPr>
          <w:rFonts w:ascii="IRNazanin" w:hAnsi="IRNazanin" w:eastAsia="IRNazanin" w:cs="IRNazanin"/>
          <w:lang w:bidi="fa-IR"/>
          <w:color w:val="111111"/>
          <w:sz w:val="28"/>
          <w:szCs w:val="28"/>
          <w:rtl/>
        </w:rPr>
        <w:t xml:space="preserve">أطری دیوانه و مدائحه لفرخ سیر فی (حسینی- ص 254).</w:t>
      </w:r>
    </w:p>
    <w:p>
      <w:pPr>
        <w:pStyle w:val="Heading3"/>
      </w:pPr>
      <w:bookmarkStart w:id="7314" w:name="_Toc6010"/>
      <w:r>
        <w:t>5520- دیوان فرخ زاد</w:t>
      </w:r>
      <w:bookmarkEnd w:id="7314"/>
    </w:p>
    <w:p>
      <w:pPr>
        <w:pStyle w:val="BookText"/>
      </w:pPr>
      <w:r>
        <w:rPr>
          <w:rFonts w:ascii="IRNazanin" w:hAnsi="IRNazanin" w:eastAsia="IRNazanin" w:cs="IRNazanin"/>
          <w:lang w:bidi="fa-IR"/>
          <w:color w:val="111111"/>
          <w:sz w:val="28"/>
          <w:szCs w:val="28"/>
          <w:rtl/>
        </w:rPr>
        <w:t xml:space="preserve">و اسمها فروغ فرخ زاد من الشاعرات المعاصرات. طبع لها منظومات مستقلة بعناوین عصیان فی 134 ص. فی 1377 و زیباترین اشعار جمعها السید هادی الحائری و طبعها فی 96 ص. فی 1373 و أسیر طبع ثانیا فی 1374 فی 168 ص. و طبع أحوالها فی مجلة أمید ایران العدد 53.</w:t>
      </w:r>
    </w:p>
    <w:p>
      <w:pPr>
        <w:pStyle w:val="Heading3"/>
      </w:pPr>
      <w:bookmarkStart w:id="7315" w:name="_Toc6011"/>
      <w:r>
        <w:t>5521- دیوان فرخ زند أو شعره‏</w:t>
      </w:r>
      <w:bookmarkEnd w:id="7315"/>
    </w:p>
    <w:p>
      <w:pPr>
        <w:pStyle w:val="BookText"/>
      </w:pPr>
      <w:r>
        <w:rPr>
          <w:rFonts w:ascii="IRNazanin" w:hAnsi="IRNazanin" w:eastAsia="IRNazanin" w:cs="IRNazanin"/>
          <w:lang w:bidi="fa-IR"/>
          <w:color w:val="111111"/>
          <w:sz w:val="28"/>
          <w:szCs w:val="28"/>
          <w:rtl/>
        </w:rPr>
        <w:t xml:space="preserve">ترجمه فی (مع- ج 2 ص 382) و ذکر أن اسمه محمد حسن خان بن علی مراد خان زند. و ذکر بعض أقاربه و جملة من أشعاره قرب‏
</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bookmarkStart w:id="810" w:name="pg11704_122295"/>
    <w:bookmarkEnd w:id="810"/>
    <w:p>
      <w:pPr>
        <w:pStyle w:val="BookText"/>
      </w:pPr>
      <w:r>
        <w:rPr>
          <w:rFonts w:ascii="IRNazanin" w:hAnsi="IRNazanin" w:eastAsia="IRNazanin" w:cs="IRNazanin"/>
          <w:lang w:bidi="fa-IR"/>
          <w:color w:val="111111"/>
          <w:sz w:val="28"/>
          <w:szCs w:val="28"/>
          <w:rtl/>
        </w:rPr>
        <w:t xml:space="preserve">عشرین بیتا، و قال إنه استشهد فی 1337 و ذکر أیضا فی الریحانة.</w:t>
      </w:r>
    </w:p>
    <w:p>
      <w:pPr>
        <w:pStyle w:val="Heading3"/>
      </w:pPr>
      <w:bookmarkStart w:id="7316" w:name="_Toc6012"/>
      <w:r>
        <w:t>5522- دیوان فرخ قاجار</w:t>
      </w:r>
      <w:bookmarkEnd w:id="7316"/>
    </w:p>
    <w:p>
      <w:pPr>
        <w:pStyle w:val="BookText"/>
      </w:pPr>
      <w:r>
        <w:rPr>
          <w:rFonts w:ascii="IRNazanin" w:hAnsi="IRNazanin" w:eastAsia="IRNazanin" w:cs="IRNazanin"/>
          <w:lang w:bidi="fa-IR"/>
          <w:color w:val="111111"/>
          <w:sz w:val="28"/>
          <w:szCs w:val="28"/>
          <w:rtl/>
        </w:rPr>
        <w:t xml:space="preserve">و هو فریدون میرزا بن الشاه‏زاده نائب السلطنة عباس میرزا بن السلطان فتح علی شاه القاجار ترجمه فی (مع- ج 1- ص 44) و ذکر خدماته و مناصبه و أورد قرب مائة بیت من قصائده، و قال إنه کان ینظم المثنویات، و عنه أخذ فی تذکره علوی- ص 18 و (انجمن 3).</w:t>
      </w:r>
    </w:p>
    <w:p>
      <w:pPr>
        <w:pStyle w:val="Heading3"/>
      </w:pPr>
      <w:bookmarkStart w:id="7317" w:name="_Toc6013"/>
      <w:r>
        <w:t>5523- دیوان فرخنده ساوجی‏</w:t>
      </w:r>
      <w:bookmarkEnd w:id="7317"/>
    </w:p>
    <w:p>
      <w:pPr>
        <w:pStyle w:val="BookText"/>
      </w:pPr>
      <w:r>
        <w:rPr>
          <w:rFonts w:ascii="IRNazanin" w:hAnsi="IRNazanin" w:eastAsia="IRNazanin" w:cs="IRNazanin"/>
          <w:lang w:bidi="fa-IR"/>
          <w:color w:val="111111"/>
          <w:sz w:val="28"/>
          <w:szCs w:val="28"/>
          <w:rtl/>
        </w:rPr>
        <w:t xml:space="preserve">للسیدة فرخنده الساوجیة بنت محمد کاظم خان و زوجة سیف لشکر الخلج الساوجی، ولدت فی قریة عبد الله‏آباد بساوة و عمیت بصرها أخیرا. طبع دیوانها فی 1347 فی 96 ص مع مقدمه لأفخم السادات سلطانی خریجه دار المعلمات بطهران فی أحوال الشاعرة. و قد ذکرناها فی ص 425 مع زیادة کلمة هندی غلطا فلیصحح. و جاء ترجمتها فی از رابعة تا پروین- ص 179- 183 و ذکر لها ساقی‏نامه. و گل و بلبل و غدیریة.</w:t>
      </w:r>
    </w:p>
    <w:p>
      <w:pPr>
        <w:pStyle w:val="Heading3"/>
      </w:pPr>
      <w:bookmarkStart w:id="7318" w:name="_Toc6014"/>
      <w:r>
        <w:t>5524- دیوان مولانا فرخی الإسطنبولی‏</w:t>
      </w:r>
      <w:bookmarkEnd w:id="7318"/>
    </w:p>
    <w:p>
      <w:pPr>
        <w:pStyle w:val="BookText"/>
      </w:pPr>
      <w:r>
        <w:rPr>
          <w:rFonts w:ascii="IRNazanin" w:hAnsi="IRNazanin" w:eastAsia="IRNazanin" w:cs="IRNazanin"/>
          <w:lang w:bidi="fa-IR"/>
          <w:color w:val="111111"/>
          <w:sz w:val="28"/>
          <w:szCs w:val="28"/>
          <w:rtl/>
        </w:rPr>
        <w:t xml:space="preserve">النزول. مدح السلطان سلیمان خان بن السلطان سلیم بن بایزید الذی جلس بعد موت أبیه فی 926 إلی أن توفی 974 بقصیدة فی جمیع مصاریعها تاریخ، فالمصراع الأول من کل بیت تاریخ لجلوسه و المصراع الثانی تاریخ لفتح بلغراد. أورد ترجمته و شعره فی (بهش 2- ص 404).</w:t>
      </w:r>
    </w:p>
    <w:p>
      <w:pPr>
        <w:pStyle w:val="Heading3"/>
      </w:pPr>
      <w:bookmarkStart w:id="7319" w:name="_Toc6015"/>
      <w:r>
        <w:t>دیوان فرخی أصفهانی‏</w:t>
      </w:r>
      <w:bookmarkEnd w:id="7319"/>
    </w:p>
    <w:p>
      <w:pPr>
        <w:pStyle w:val="BookText"/>
      </w:pPr>
      <w:r>
        <w:rPr>
          <w:rFonts w:ascii="IRNazanin" w:hAnsi="IRNazanin" w:eastAsia="IRNazanin" w:cs="IRNazanin"/>
          <w:lang w:bidi="fa-IR"/>
          <w:color w:val="111111"/>
          <w:sz w:val="28"/>
          <w:szCs w:val="28"/>
          <w:rtl/>
        </w:rPr>
        <w:t xml:space="preserve">راجع فروغ أصفهانی.</w:t>
      </w:r>
    </w:p>
    <w:p>
      <w:pPr>
        <w:pStyle w:val="Heading3"/>
      </w:pPr>
      <w:bookmarkStart w:id="7320" w:name="_Toc6016"/>
      <w:r>
        <w:t>5525- دیوان فرخی سیستانی‏</w:t>
      </w:r>
      <w:bookmarkEnd w:id="7320"/>
    </w:p>
    <w:p>
      <w:pPr>
        <w:pStyle w:val="BookText"/>
      </w:pPr>
      <w:r>
        <w:rPr>
          <w:rFonts w:ascii="IRNazanin" w:hAnsi="IRNazanin" w:eastAsia="IRNazanin" w:cs="IRNazanin"/>
          <w:lang w:bidi="fa-IR"/>
          <w:color w:val="111111"/>
          <w:sz w:val="28"/>
          <w:szCs w:val="28"/>
          <w:rtl/>
        </w:rPr>
        <w:t xml:space="preserve">و هو الحکیم أبو الحسن علی بن جولوغ (قلوع) السنجری المتوفی 429 کما فی شاهد صادق و (مع 1- ص 439) و قال عبد الرسولی إنه مات 470 و هو غلط. کان فلاحا ترک الزراعة لفقره و مدح أبا المظفر الچغانی ثم تقرب عند السلطان محمود الغزنوی. و قال الوطواط فی مقدمه حدائق السحر إن فرخی هو مؤلف ترجمان البلاغة المذکور فی (4: 72) و هو غلط</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بتصحیح و تقدمه أحمد آتش.</w:t>
      </w:r>
    </w:p>
    <w:p>
      <w:pPr>
        <w:pStyle w:val="BookText"/>
      </w:pPr>
      <w:r>
        <w:rPr>
          <w:rFonts w:ascii="IRNazanin" w:hAnsi="IRNazanin" w:eastAsia="IRNazanin" w:cs="IRNazanin"/>
          <w:lang w:bidi="fa-IR"/>
          <w:color w:val="111111"/>
          <w:sz w:val="28"/>
          <w:szCs w:val="28"/>
          <w:rtl/>
        </w:rPr>
        <w:t xml:space="preserve">طبع له زبده نخبة دیوان بطهران فی 1301 و دیوانه فی 1302 و بتصحیح و مقدمه عبد الرسولی بطهران فی 1311 ش فی 9564 بیت فی 448 ص. و بلاهور بلا تاریخ و فی بمبئی 1942 م. و اشعار .</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bookmarkStart w:id="811" w:name="pg11704_122296"/>
    <w:bookmarkEnd w:id="811"/>
    <w:p>
      <w:pPr>
        <w:pStyle w:val="BookText"/>
      </w:pPr>
      <w:r>
        <w:rPr>
          <w:rFonts w:ascii="IRNazanin" w:hAnsi="IRNazanin" w:eastAsia="IRNazanin" w:cs="IRNazanin"/>
          <w:lang w:bidi="fa-IR"/>
          <w:color w:val="111111"/>
          <w:sz w:val="28"/>
          <w:szCs w:val="28"/>
          <w:rtl/>
        </w:rPr>
        <w:t xml:space="preserve">گزیده فرخی بطهران 1319 ش و بتصحیح محمد دبیر سیاقی بطهران 1338 ش.</w:t>
      </w:r>
    </w:p>
    <w:p>
      <w:pPr>
        <w:pStyle w:val="BookText"/>
      </w:pPr>
      <w:r>
        <w:rPr>
          <w:rFonts w:ascii="IRNazanin" w:hAnsi="IRNazanin" w:eastAsia="IRNazanin" w:cs="IRNazanin"/>
          <w:lang w:bidi="fa-IR"/>
          <w:color w:val="111111"/>
          <w:sz w:val="28"/>
          <w:szCs w:val="28"/>
          <w:rtl/>
        </w:rPr>
        <w:t xml:space="preserve">و ترجم أحواله فی (تش- ص 81) و (لت- 1) و قالوا إن دیوانه یزید علی اثنی عشر ألف بیت و أوردوا منها فی ذیل ترجمته ما یقرب من ألف بیت منها فی مدح حاکم بلخ و فیه قوله:</w:t>
      </w:r>
    </w:p>
    <w:p>
      <w:pPr>
        <w:pStyle w:val="BookText"/>
      </w:pPr>
      <w:r>
        <w:rPr>
          <w:rFonts w:ascii="IRNazanin" w:hAnsi="IRNazanin" w:eastAsia="IRNazanin" w:cs="IRNazanin"/>
          <w:lang w:bidi="fa-IR"/>
          <w:color w:val="111111"/>
          <w:sz w:val="28"/>
          <w:szCs w:val="28"/>
          <w:rtl/>
        </w:rPr>
        <w:t xml:space="preserve">أفسر زرین فرستد آفتاب از بهر تو</w:t>
      </w:r>
    </w:p>
    <w:p>
      <w:pPr>
        <w:pStyle w:val="BookText"/>
      </w:pPr>
      <w:r>
        <w:rPr>
          <w:rFonts w:ascii="IRNazanin" w:hAnsi="IRNazanin" w:eastAsia="IRNazanin" w:cs="IRNazanin"/>
          <w:lang w:bidi="fa-IR"/>
          <w:color w:val="111111"/>
          <w:sz w:val="28"/>
          <w:szCs w:val="28"/>
          <w:rtl/>
        </w:rPr>
        <w:t xml:space="preserve">آن چنان کز آسمان ایزد علی را ذو الفقار</w:t>
      </w:r>
    </w:p>
    <w:p>
      <w:pPr>
        <w:pStyle w:val="BookText"/>
      </w:pPr>
      <w:r>
        <w:rPr>
          <w:rFonts w:ascii="IRNazanin" w:hAnsi="IRNazanin" w:eastAsia="IRNazanin" w:cs="IRNazanin"/>
          <w:lang w:bidi="fa-IR"/>
          <w:color w:val="111111"/>
          <w:sz w:val="28"/>
          <w:szCs w:val="28"/>
          <w:rtl/>
        </w:rPr>
        <w:t xml:space="preserve">و ترجمه فی (خز- ص 367) و ذکر أن صلته من هذه القصیدة اثنان و أربعون رأسا من جیاد الخیل، و أورد من القصیدة بیتین أحدهما ما ذکرناه.</w:t>
      </w:r>
    </w:p>
    <w:p>
      <w:pPr>
        <w:pStyle w:val="Heading3"/>
      </w:pPr>
      <w:bookmarkStart w:id="7321" w:name="_Toc6017"/>
      <w:r>
        <w:t>5526- دیوان مولانا فرخی شروانی‏</w:t>
      </w:r>
      <w:bookmarkEnd w:id="7321"/>
    </w:p>
    <w:p>
      <w:pPr>
        <w:pStyle w:val="BookText"/>
      </w:pPr>
      <w:r>
        <w:rPr>
          <w:rFonts w:ascii="IRNazanin" w:hAnsi="IRNazanin" w:eastAsia="IRNazanin" w:cs="IRNazanin"/>
          <w:lang w:bidi="fa-IR"/>
          <w:color w:val="111111"/>
          <w:sz w:val="28"/>
          <w:szCs w:val="28"/>
          <w:rtl/>
        </w:rPr>
        <w:t xml:space="preserve">کان مداح السلطان منوچهر بن قابوس بن وشمگیر بن زیار الذی توفی 420 و له أشعار حسنة کما ذکره فی تاریخ گزیده و نقل عنه فی (دجا- ص 296) و ترجمه فی (بهش 1- ص 345) بعد ترجمه الفردوسی.</w:t>
      </w:r>
    </w:p>
    <w:p>
      <w:pPr>
        <w:pStyle w:val="Heading3"/>
      </w:pPr>
      <w:bookmarkStart w:id="7322" w:name="_Toc6018"/>
      <w:r>
        <w:t>5527- دیوان فرخی یزدی‏</w:t>
      </w:r>
      <w:bookmarkEnd w:id="7322"/>
    </w:p>
    <w:p>
      <w:pPr>
        <w:pStyle w:val="BookText"/>
      </w:pPr>
      <w:r>
        <w:rPr>
          <w:rFonts w:ascii="IRNazanin" w:hAnsi="IRNazanin" w:eastAsia="IRNazanin" w:cs="IRNazanin"/>
          <w:lang w:bidi="fa-IR"/>
          <w:color w:val="111111"/>
          <w:sz w:val="28"/>
          <w:szCs w:val="28"/>
          <w:rtl/>
        </w:rPr>
        <w:t xml:space="preserve">و اسمه المیرزا أبو الحسن و لقبه تاج الشعراء و یقال له المیرزا فرخ طبع دیوانه بطهران.</w:t>
      </w:r>
    </w:p>
    <w:p>
      <w:pPr>
        <w:pStyle w:val="Heading3"/>
      </w:pPr>
      <w:bookmarkStart w:id="7323" w:name="_Toc6019"/>
      <w:r>
        <w:t>5528- دیوان فرخی یزدی‏</w:t>
      </w:r>
      <w:bookmarkEnd w:id="7323"/>
    </w:p>
    <w:p>
      <w:pPr>
        <w:pStyle w:val="BookText"/>
      </w:pPr>
      <w:r>
        <w:rPr>
          <w:rFonts w:ascii="IRNazanin" w:hAnsi="IRNazanin" w:eastAsia="IRNazanin" w:cs="IRNazanin"/>
          <w:lang w:bidi="fa-IR"/>
          <w:color w:val="111111"/>
          <w:sz w:val="28"/>
          <w:szCs w:val="28"/>
          <w:rtl/>
        </w:rPr>
        <w:t xml:space="preserve">و هو محمد بن إبراهیم الیزدی من شعراء الحریة و الدستور بإیران و کان من أعضاء الحزب الدیمقراطی. ولد فی 1300 کما فی (تش یز- ص 316) أو فی 1306 کما فی مقدمه دیوانه طبعه 1360. و أمر ضیغم الدولة القشقائی حاکم یزد فخیط فمه و لکنه نجی من الموت و قتل فی سجن قصر قاجار فی 1358 بطهران.</w:t>
      </w:r>
    </w:p>
    <w:p>
      <w:pPr>
        <w:pStyle w:val="BookText"/>
      </w:pPr>
      <w:r>
        <w:rPr>
          <w:rFonts w:ascii="IRNazanin" w:hAnsi="IRNazanin" w:eastAsia="IRNazanin" w:cs="IRNazanin"/>
          <w:lang w:bidi="fa-IR"/>
          <w:color w:val="111111"/>
          <w:sz w:val="28"/>
          <w:szCs w:val="28"/>
          <w:rtl/>
        </w:rPr>
        <w:t xml:space="preserve">طبع دیوانه فی 59 ص. فی 1360 مع مقدمه کتبها ر ج ن. أخذه من إحسان الله طبری و طبعه حسین مکی فی 138 ص. فی 1333 ش.</w:t>
      </w:r>
    </w:p>
    <w:p>
      <w:pPr>
        <w:pStyle w:val="Heading3"/>
      </w:pPr>
      <w:bookmarkStart w:id="7324" w:name="_Toc6020"/>
      <w:r>
        <w:t>5529- دیوان فرد بلگرامی أو شعره‏</w:t>
      </w:r>
      <w:bookmarkEnd w:id="7324"/>
    </w:p>
    <w:p>
      <w:pPr>
        <w:pStyle w:val="BookText"/>
      </w:pPr>
      <w:r>
        <w:rPr>
          <w:rFonts w:ascii="IRNazanin" w:hAnsi="IRNazanin" w:eastAsia="IRNazanin" w:cs="IRNazanin"/>
          <w:lang w:bidi="fa-IR"/>
          <w:color w:val="111111"/>
          <w:sz w:val="28"/>
          <w:szCs w:val="28"/>
          <w:rtl/>
        </w:rPr>
        <w:t xml:space="preserve">و هو السید أسد الله ابن أخ السید غلام مصطفی و سبط السید لطف الله. ولد فی 1114 و توفی 1149 ترجمه فی (سرو- ص 336) و (نتایج- ص 546) و (مسرت- ص 221) و (حسینی- ص 254).</w:t>
      </w:r>
    </w:p>
    <w:p>
      <w:pPr>
        <w:pStyle w:val="Heading3"/>
      </w:pPr>
      <w:bookmarkStart w:id="7325" w:name="_Toc6021"/>
      <w:r>
        <w:t>5530- دیوان فردوسی شیرازی‏</w:t>
      </w:r>
      <w:bookmarkEnd w:id="7325"/>
    </w:p>
    <w:p>
      <w:pPr>
        <w:pStyle w:val="BookText"/>
      </w:pPr>
      <w:r>
        <w:rPr>
          <w:rFonts w:ascii="IRNazanin" w:hAnsi="IRNazanin" w:eastAsia="IRNazanin" w:cs="IRNazanin"/>
          <w:lang w:bidi="fa-IR"/>
          <w:color w:val="111111"/>
          <w:sz w:val="28"/>
          <w:szCs w:val="28"/>
          <w:rtl/>
        </w:rPr>
        <w:t xml:space="preserve">هو السید أبو الحسن متولی بعض البقاع بشیراز صاحبه بها برهة مؤلف مجمع الفصحاء و ترجمه فی (مع 2- 382) و قال إنه توفی شابا و أورد بعض شعره و کذا فی (فارس‏نامه 2: 149) و طرائق الحقائق- 3: 148 و (انجمن 4).
</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bookmarkStart w:id="812" w:name="pg11704_122297"/>
    <w:bookmarkEnd w:id="812"/>
    <w:p>
      <w:pPr>
        <w:pStyle w:val="Heading3"/>
      </w:pPr>
      <w:bookmarkStart w:id="7326" w:name="_Toc6022"/>
      <w:r>
        <w:t>5531- دیوان فردوسی طوسی‏</w:t>
      </w:r>
      <w:bookmarkEnd w:id="7326"/>
    </w:p>
    <w:p>
      <w:pPr>
        <w:pStyle w:val="BookText"/>
      </w:pPr>
      <w:r>
        <w:rPr>
          <w:rFonts w:ascii="IRNazanin" w:hAnsi="IRNazanin" w:eastAsia="IRNazanin" w:cs="IRNazanin"/>
          <w:lang w:bidi="fa-IR"/>
          <w:color w:val="111111"/>
          <w:sz w:val="28"/>
          <w:szCs w:val="28"/>
          <w:rtl/>
        </w:rPr>
        <w:t xml:space="preserve">هو أبو القاسم حسن بن إسحاق بن شرف شاه بن منصور.</w:t>
      </w:r>
    </w:p>
    <w:p>
      <w:pPr>
        <w:pStyle w:val="BookText"/>
      </w:pPr>
      <w:r>
        <w:rPr>
          <w:rFonts w:ascii="IRNazanin" w:hAnsi="IRNazanin" w:eastAsia="IRNazanin" w:cs="IRNazanin"/>
          <w:lang w:bidi="fa-IR"/>
          <w:color w:val="111111"/>
          <w:sz w:val="28"/>
          <w:szCs w:val="28"/>
          <w:rtl/>
        </w:rPr>
        <w:t xml:space="preserve">ترجمه فی (مع 1- 382) و ذکر نظمه للشاهنامه و موته قبل وصول صلته فی 461 و أورد ما یقرب من ألفی بیت من شعره الغیر المدرج فی الشاهنامة أولها قوله:</w:t>
      </w:r>
    </w:p>
    <w:p>
      <w:pPr>
        <w:pStyle w:val="BookText"/>
      </w:pPr>
      <w:r>
        <w:rPr>
          <w:rFonts w:ascii="IRNazanin" w:hAnsi="IRNazanin" w:eastAsia="IRNazanin" w:cs="IRNazanin"/>
          <w:lang w:bidi="fa-IR"/>
          <w:color w:val="111111"/>
          <w:sz w:val="28"/>
          <w:szCs w:val="28"/>
          <w:rtl/>
        </w:rPr>
        <w:t xml:space="preserve">شهی که چون بدو انگشت در ز خیبر کند</w:t>
      </w:r>
    </w:p>
    <w:p>
      <w:pPr>
        <w:pStyle w:val="BookText"/>
      </w:pPr>
      <w:r>
        <w:rPr>
          <w:rFonts w:ascii="IRNazanin" w:hAnsi="IRNazanin" w:eastAsia="IRNazanin" w:cs="IRNazanin"/>
          <w:lang w:bidi="fa-IR"/>
          <w:color w:val="111111"/>
          <w:sz w:val="28"/>
          <w:szCs w:val="28"/>
          <w:rtl/>
        </w:rPr>
        <w:t xml:space="preserve">برآمد از پی إسلام صد هزار انگشت‏</w:t>
      </w:r>
    </w:p>
    <w:p>
      <w:pPr>
        <w:pStyle w:val="BookText"/>
      </w:pPr>
      <w:r>
        <w:rPr>
          <w:rFonts w:ascii="IRNazanin" w:hAnsi="IRNazanin" w:eastAsia="IRNazanin" w:cs="IRNazanin"/>
          <w:lang w:bidi="fa-IR"/>
          <w:color w:val="111111"/>
          <w:sz w:val="28"/>
          <w:szCs w:val="28"/>
          <w:rtl/>
        </w:rPr>
        <w:t xml:space="preserve">علی عالی أعلی که دست قدرت أو</w:t>
      </w:r>
    </w:p>
    <w:p>
      <w:pPr>
        <w:pStyle w:val="BookText"/>
      </w:pPr>
      <w:r>
        <w:rPr>
          <w:rFonts w:ascii="IRNazanin" w:hAnsi="IRNazanin" w:eastAsia="IRNazanin" w:cs="IRNazanin"/>
          <w:lang w:bidi="fa-IR"/>
          <w:color w:val="111111"/>
          <w:sz w:val="28"/>
          <w:szCs w:val="28"/>
          <w:rtl/>
        </w:rPr>
        <w:t xml:space="preserve">هزار ره زده در چشم روزگار انگشت‏</w:t>
      </w:r>
    </w:p>
    <w:p>
      <w:pPr>
        <w:pStyle w:val="BookText"/>
      </w:pPr>
      <w:r>
        <w:rPr>
          <w:rFonts w:ascii="IRNazanin" w:hAnsi="IRNazanin" w:eastAsia="IRNazanin" w:cs="IRNazanin"/>
          <w:lang w:bidi="fa-IR"/>
          <w:color w:val="111111"/>
          <w:sz w:val="28"/>
          <w:szCs w:val="28"/>
          <w:rtl/>
        </w:rPr>
        <w:t xml:space="preserve">و ترجمه القزوینی فی (بهش 1- ص 343) و قال هو سلطان الشعراء و شاهنامه شاهد سلطنته و ذکر قصة خلف السلطان محمود و عده و هجاء الفردوسی له علی التفصیل المذکور فی التواریخ. و ترجمه فی خزانة عامرة و ذکر أنه توفی علی روایة سنة إحدی عشر و أربعمائة و علی روایة أخری سنة ست عشر و أربعمائة و أظن أن هذا کان مذکورا فی مجمع الفصحاء لکن قدمت العشرة علی الستة فی الطبع فصارت 461 و ترجم فی (لت- 1) و (لس- ص 387) و (خیال- ص 25) و (تش- ص 86) و (حسینی- ص 244) و قد ذکرنا فی (7: 261) انتساب الخمسة و یوسف و زلیخا إلیه و ذکرنا بطلانه و الناظم له هو شمسی عراقی کما سنذکره فی دیوان قاضی أنوی و استظهر العروضی فی الحکایة 9 المقالة 2 من چهار مقالة تشیع الفردوسی و تبعه نلدکه فی حماسه ملی ایران ص 66 من ترجمه بزرگ علوی طبعه طهران. و للشاهنامه أربع مقدمات قدیمة و متوسطتان و جدیدة فالقدیمة هی ما یعرف بمقدمة شاهنامه أبو منصوری لأنها کانت مقدمه لشاهنامه ألفت سنة 346 باسم أبی منصور عبد الرزاق حاکم طوس المقتول 351 و ذکرها أبو ریحان البیرونی فی الآثار الباقیة ص 37 و 116 کما حققها محمد القزوینی فی بیست مقالة- ج 2 ص 5- 90. أولها [سپاس و آفرین خدای را که این جهان و آن جهان را آفرید و ما بندگان را پاداش ...] و الثانیة کتبت فی القرن السابع. و الثالثة کتبت فی القرن الثامن و هی مأخوذة من الأولی مصحفا. و الرابعة الجدیدة التی أمر بتحریرها بایسنقر بن شاه‏رخ بن تیمور فی 829 بعد تصحیح نسخه من الشاهنامة أولها [افتتاح سخن آن به که کنند أهل کمال ...</w:t>
      </w:r>
    </w:p>
    <w:p>
      <w:pPr>
        <w:pStyle w:val="BookText"/>
      </w:pPr>
      <w:r>
        <w:rPr>
          <w:rFonts w:ascii="IRNazanin" w:hAnsi="IRNazanin" w:eastAsia="IRNazanin" w:cs="IRNazanin"/>
          <w:lang w:bidi="fa-IR"/>
          <w:color w:val="111111"/>
          <w:sz w:val="28"/>
          <w:szCs w:val="28"/>
          <w:rtl/>
        </w:rPr>
        <w:t xml:space="preserve">مالک الملکی که در تدبیر ملک و ملکوت. اما بعد در این أیام که تاریخ هجرت به 829 رسیده ...] و ترجم الشاهنامة بالعربیة نثرا البنداری قوام الدین فتح بن علی بن محمد الأصفهانی فی (620- 624) ثم عباس اقدام الخلیلی صاحب جریدة اقدام الطهرانیة
</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بالعربیة نظما. و ترجم باللغات الأروبیة کثیرا، جمع فهرسها فی ذیل ترجمه موهل بالإفرنسیة و فی ذیل مقالة نولدکه الألمانی. و ذکر بعضها سعید النفیسی فی مجلة مهر- السنة الثانیة- ص 471 و قال إنه ترجم الشاهنامة هاکمان باللاتینیة فی 1801 م. و النبورگ بالإفرنسیة، و جیمس آتکین سن بالإنگلیزیة فی 1814 م و إستفان وستن الإنگلیزی فی 1815 م و گورس بالآلمانیة فی 1820 م. و توله رابرستن بالإنگلیزیة فی 1831 م و ولرس الألمانی باللاتینیة فی 1833 م. و فردریش أوکرت بالآلمانیة فی 1837 م. و ژول موهل بالإفرنسیة فی 1838 م و هالیستن باللاتینیة فی 1839 م و ویس فن أستار کنفلس بالآلمانیة فی 1840 م و فن شاک بالآلمانیة فی 1851 م. و هلن زیمرن بالإنگلیزیة فی 1882 م.</w:t>
      </w:r>
    </w:p>
    <w:p>
      <w:pPr>
        <w:pStyle w:val="BookText"/>
      </w:pPr>
      <w:r>
        <w:rPr>
          <w:rFonts w:ascii="IRNazanin" w:hAnsi="IRNazanin" w:eastAsia="IRNazanin" w:cs="IRNazanin"/>
          <w:lang w:bidi="fa-IR"/>
          <w:color w:val="111111"/>
          <w:sz w:val="28"/>
          <w:szCs w:val="28"/>
          <w:rtl/>
        </w:rPr>
        <w:t xml:space="preserve">و پتزی بالإیطالیة فی 1888 م. و ساکالف بالروسیة فی 1905 م و آرتور ژرژ وارنر مع أدمون وارنر بالإنگلیزیة فی 1905 م و ویلموت بکستون بالإنگلیزیة فی 1907 م.</w:t>
      </w:r>
    </w:p>
    <w:p>
      <w:pPr>
        <w:pStyle w:val="BookText"/>
      </w:pPr>
      <w:r>
        <w:rPr>
          <w:rFonts w:ascii="IRNazanin" w:hAnsi="IRNazanin" w:eastAsia="IRNazanin" w:cs="IRNazanin"/>
          <w:lang w:bidi="fa-IR"/>
          <w:color w:val="111111"/>
          <w:sz w:val="28"/>
          <w:szCs w:val="28"/>
          <w:rtl/>
        </w:rPr>
        <w:t xml:space="preserve">و ألکساندر راجرز بالإنگلیزیة فی 1907 م. و ویلیام استیگاند بالإنگلیزیة فی 1907 م.</w:t>
      </w:r>
    </w:p>
    <w:p>
      <w:pPr>
        <w:pStyle w:val="BookText"/>
      </w:pPr>
      <w:r>
        <w:rPr>
          <w:rFonts w:ascii="IRNazanin" w:hAnsi="IRNazanin" w:eastAsia="IRNazanin" w:cs="IRNazanin"/>
          <w:lang w:bidi="fa-IR"/>
          <w:color w:val="111111"/>
          <w:sz w:val="28"/>
          <w:szCs w:val="28"/>
          <w:rtl/>
        </w:rPr>
        <w:t xml:space="preserve">و والاس گاندی بالإنگلیزیة فی 1912 م. و اسیگمان بالآلمانیة فی 1919 م. و ژرژ لچنیسکی بالآلمانیة فی 1920 م. و ورنریانسن بالآلمانیة فی 1922 م. و رادوانتال بالمجریة و آرتور کریستن سن بالدنمرکیة فی 1931 م. و أکل أریک هرملین بالسوئدیة فی 1931 م و ژوزف أربلی بالروسیة فی 1934 م. هذا و قد لخص الشاهنامة مسعود سعد سلمان الشاعر فی القرن الخامس. ثم لخصه فی عصرنا محمد علی فروغی و طبعه فی 1313 ش.</w:t>
      </w:r>
    </w:p>
    <w:p>
      <w:pPr>
        <w:pStyle w:val="BookText"/>
      </w:pPr>
      <w:r>
        <w:rPr>
          <w:rFonts w:ascii="IRNazanin" w:hAnsi="IRNazanin" w:eastAsia="IRNazanin" w:cs="IRNazanin"/>
          <w:lang w:bidi="fa-IR"/>
          <w:color w:val="111111"/>
          <w:sz w:val="28"/>
          <w:szCs w:val="28"/>
          <w:rtl/>
        </w:rPr>
        <w:t xml:space="preserve">و لحسن معرفت خلاصة شاهنامه طبع فی 257 ص. و قد طبع الشاهنامة بتصحیح عباس إقبال فی 3250 ص. فی 1313 ش. و بتصحیح مکتبة خاور فی 2560 ص. و قدم أدیب الممالک الفراهانی المذکور فی ص 66 للشاهنامه مقدمه طبعت فی 1333 و علق علیه اگوستوس ولرس فی أستراسبرگ فی 1877 م و کذا المستر ما کان فی کلکتة 1829 م.</w:t>
      </w:r>
    </w:p>
    <w:p>
      <w:pPr>
        <w:pStyle w:val="BookText"/>
      </w:pPr>
      <w:r>
        <w:rPr>
          <w:rFonts w:ascii="IRNazanin" w:hAnsi="IRNazanin" w:eastAsia="IRNazanin" w:cs="IRNazanin"/>
          <w:lang w:bidi="fa-IR"/>
          <w:color w:val="111111"/>
          <w:sz w:val="28"/>
          <w:szCs w:val="28"/>
          <w:rtl/>
        </w:rPr>
        <w:t xml:space="preserve">و عباس إقبال بطهران 1353 و دبیر سیاقی بها 1376. و یطبع الآن الشاهنامة بنظر الدکتور مهدی بیانی. و لهارمست سپهبد فردوسی و للدکتور مهدی حمیدی الشیرازی شاهکارهای فردوسی. طبع فی 700 ص. و ذکرنا فی ج 12 ص 141 سپاس‏نامه فردوسی.</w:t>
      </w:r>
    </w:p>
    <w:p>
      <w:pPr>
        <w:pStyle w:val="BookText"/>
      </w:pPr>
      <w:r>
        <w:rPr>
          <w:rFonts w:ascii="IRNazanin" w:hAnsi="IRNazanin" w:eastAsia="IRNazanin" w:cs="IRNazanin"/>
          <w:lang w:bidi="fa-IR"/>
          <w:color w:val="111111"/>
          <w:sz w:val="28"/>
          <w:szCs w:val="28"/>
          <w:rtl/>
        </w:rPr>
        <w:t xml:space="preserve">و خصص مجلة مهر عددان من سنتها الثانیة بالمهرجان الألفی للفردوسی و سماه فردوسی‏نامه هذا و قد أقام الحکومة الإیرانیة مهرجانا بمناسبة مرور ألف عام من مولد الشاعر الحماسی فردوسی‏
</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bookmarkStart w:id="813" w:name="pg11704_122299"/>
    <w:bookmarkEnd w:id="813"/>
    <w:p>
      <w:pPr>
        <w:pStyle w:val="BookText"/>
      </w:pPr>
      <w:r>
        <w:rPr>
          <w:rFonts w:ascii="IRNazanin" w:hAnsi="IRNazanin" w:eastAsia="IRNazanin" w:cs="IRNazanin"/>
          <w:lang w:bidi="fa-IR"/>
          <w:color w:val="111111"/>
          <w:sz w:val="28"/>
          <w:szCs w:val="28"/>
          <w:rtl/>
        </w:rPr>
        <w:t xml:space="preserve">فی 1313 ش. اشترک فی المهرجان العلماء و الکتاب من أکثر الشعوب الشرقیة و الغربیة.</w:t>
      </w:r>
    </w:p>
    <w:p>
      <w:pPr>
        <w:pStyle w:val="BookText"/>
      </w:pPr>
      <w:r>
        <w:rPr>
          <w:rFonts w:ascii="IRNazanin" w:hAnsi="IRNazanin" w:eastAsia="IRNazanin" w:cs="IRNazanin"/>
          <w:lang w:bidi="fa-IR"/>
          <w:color w:val="111111"/>
          <w:sz w:val="28"/>
          <w:szCs w:val="28"/>
          <w:rtl/>
        </w:rPr>
        <w:t xml:space="preserve">و بهذه المناسبة طبع وزارة المعارف الإیرانیة کتابا باسم هزاره فردوسی فیها مقالات مفیدة.</w:t>
      </w:r>
    </w:p>
    <w:p>
      <w:pPr>
        <w:pStyle w:val="Heading3"/>
      </w:pPr>
      <w:bookmarkStart w:id="7327" w:name="_Toc6023"/>
      <w:r>
        <w:t>دیوان فردوسی‏</w:t>
      </w:r>
      <w:bookmarkEnd w:id="7327"/>
    </w:p>
    <w:p>
      <w:pPr>
        <w:pStyle w:val="BookText"/>
      </w:pPr>
      <w:r>
        <w:rPr>
          <w:rFonts w:ascii="IRNazanin" w:hAnsi="IRNazanin" w:eastAsia="IRNazanin" w:cs="IRNazanin"/>
          <w:lang w:bidi="fa-IR"/>
          <w:color w:val="111111"/>
          <w:sz w:val="28"/>
          <w:szCs w:val="28"/>
          <w:rtl/>
        </w:rPr>
        <w:t xml:space="preserve">مر بعنوان علی أکبر فردوسی فی ص 750.</w:t>
      </w:r>
    </w:p>
    <w:p>
      <w:pPr>
        <w:pStyle w:val="Heading3"/>
      </w:pPr>
      <w:bookmarkStart w:id="7328" w:name="_Toc6024"/>
      <w:r>
        <w:t>5532- دیوان فردی أردبیلی أو شعره‏</w:t>
      </w:r>
      <w:bookmarkEnd w:id="7328"/>
    </w:p>
    <w:p>
      <w:pPr>
        <w:pStyle w:val="BookText"/>
      </w:pPr>
      <w:r>
        <w:rPr>
          <w:rFonts w:ascii="IRNazanin" w:hAnsi="IRNazanin" w:eastAsia="IRNazanin" w:cs="IRNazanin"/>
          <w:lang w:bidi="fa-IR"/>
          <w:color w:val="111111"/>
          <w:sz w:val="28"/>
          <w:szCs w:val="28"/>
          <w:rtl/>
        </w:rPr>
        <w:t xml:space="preserve">هاجر إلی شیراز لتحصیل العلوم فی 989 عابرا من کاشان ترجمه فی (دجا- ص 296) و أورد بعض شعره نقلا عن کتاب خلاصة الأشعار.</w:t>
      </w:r>
    </w:p>
    <w:p>
      <w:pPr>
        <w:pStyle w:val="Heading3"/>
      </w:pPr>
      <w:bookmarkStart w:id="7329" w:name="_Toc6025"/>
      <w:r>
        <w:t>5533- دیوان فردی تبریزی أو شعره‏</w:t>
      </w:r>
      <w:bookmarkEnd w:id="7329"/>
    </w:p>
    <w:p>
      <w:pPr>
        <w:pStyle w:val="BookText"/>
      </w:pPr>
      <w:r>
        <w:rPr>
          <w:rFonts w:ascii="IRNazanin" w:hAnsi="IRNazanin" w:eastAsia="IRNazanin" w:cs="IRNazanin"/>
          <w:lang w:bidi="fa-IR"/>
          <w:color w:val="111111"/>
          <w:sz w:val="28"/>
          <w:szCs w:val="28"/>
          <w:rtl/>
        </w:rPr>
        <w:t xml:space="preserve">ترجمه معاصره سام میرزا و أورد شعره فی (تس 5- ص 142) و ذکر أنه العلاق بندی و أخیرا صار مجذوبا تارکا للعلائق حتی اللباس،</w:t>
      </w:r>
    </w:p>
    <w:p>
      <w:pPr>
        <w:pStyle w:val="Heading3"/>
      </w:pPr>
      <w:bookmarkStart w:id="7330" w:name="_Toc6026"/>
      <w:r>
        <w:t>5534- دیوان فردی تربتی‏</w:t>
      </w:r>
      <w:bookmarkEnd w:id="7330"/>
    </w:p>
    <w:p>
      <w:pPr>
        <w:pStyle w:val="BookText"/>
      </w:pPr>
      <w:r>
        <w:rPr>
          <w:rFonts w:ascii="IRNazanin" w:hAnsi="IRNazanin" w:eastAsia="IRNazanin" w:cs="IRNazanin"/>
          <w:lang w:bidi="fa-IR"/>
          <w:color w:val="111111"/>
          <w:sz w:val="28"/>
          <w:szCs w:val="28"/>
          <w:rtl/>
        </w:rPr>
        <w:t xml:space="preserve">کان معاصر الشاه عباس الأول، و تتبع دیوان حافظ و مخزن الأسرار للنظامی. کذا فی (گلشن- ص 315).</w:t>
      </w:r>
    </w:p>
    <w:p>
      <w:pPr>
        <w:pStyle w:val="Heading3"/>
      </w:pPr>
      <w:bookmarkStart w:id="7331" w:name="_Toc6027"/>
      <w:r>
        <w:t>5535- دیوان فردی زند أو شعره‏</w:t>
      </w:r>
      <w:bookmarkEnd w:id="7331"/>
    </w:p>
    <w:p>
      <w:pPr>
        <w:pStyle w:val="BookText"/>
      </w:pPr>
      <w:r>
        <w:rPr>
          <w:rFonts w:ascii="IRNazanin" w:hAnsi="IRNazanin" w:eastAsia="IRNazanin" w:cs="IRNazanin"/>
          <w:lang w:bidi="fa-IR"/>
          <w:color w:val="111111"/>
          <w:sz w:val="28"/>
          <w:szCs w:val="28"/>
          <w:rtl/>
        </w:rPr>
        <w:t xml:space="preserve">اسمه صفر بیک السیاح القلندر الشیرازی. ترجمه معاصره فی (مع- ج 2- ص 382) و أورد بعض شعره و کذا فی (انجمن- 4).</w:t>
      </w:r>
    </w:p>
    <w:p>
      <w:pPr>
        <w:pStyle w:val="Heading3"/>
      </w:pPr>
      <w:bookmarkStart w:id="7332" w:name="_Toc6028"/>
      <w:r>
        <w:t>5536- دیوان فردی شیرازی‏</w:t>
      </w:r>
      <w:bookmarkEnd w:id="7332"/>
    </w:p>
    <w:p>
      <w:pPr>
        <w:pStyle w:val="BookText"/>
      </w:pPr>
      <w:r>
        <w:rPr>
          <w:rFonts w:ascii="IRNazanin" w:hAnsi="IRNazanin" w:eastAsia="IRNazanin" w:cs="IRNazanin"/>
          <w:lang w:bidi="fa-IR"/>
          <w:color w:val="111111"/>
          <w:sz w:val="28"/>
          <w:szCs w:val="28"/>
          <w:rtl/>
        </w:rPr>
        <w:t xml:space="preserve">ترجمه معاصره سام میرزا فی (تس 5- ص 153) و أورد شعره و هو غیر الأردبیلی المهاجر إلی شیراز فی 989 لأن سام میرزا ألف التحفة فی 957 و توفی 983 و هاجر الأردبیلی بعد هذا التاریخ بستة سنین.</w:t>
      </w:r>
    </w:p>
    <w:p>
      <w:pPr>
        <w:pStyle w:val="Heading3"/>
      </w:pPr>
      <w:bookmarkStart w:id="7333" w:name="_Toc6029"/>
      <w:r>
        <w:t>5537- دیوان فرزاد</w:t>
      </w:r>
      <w:bookmarkEnd w:id="7333"/>
    </w:p>
    <w:p>
      <w:pPr>
        <w:pStyle w:val="BookText"/>
      </w:pPr>
      <w:r>
        <w:rPr>
          <w:rFonts w:ascii="IRNazanin" w:hAnsi="IRNazanin" w:eastAsia="IRNazanin" w:cs="IRNazanin"/>
          <w:lang w:bidi="fa-IR"/>
          <w:color w:val="111111"/>
          <w:sz w:val="28"/>
          <w:szCs w:val="28"/>
          <w:rtl/>
        </w:rPr>
        <w:t xml:space="preserve">لمسعود بن حبیب الله. طبع باسم کوه تنهایی بطهران.</w:t>
      </w:r>
    </w:p>
    <w:p>
      <w:pPr>
        <w:pStyle w:val="Heading3"/>
      </w:pPr>
      <w:bookmarkStart w:id="7334" w:name="_Toc6030"/>
      <w:r>
        <w:t>5538- دیوان فرزدق یمنی أو شعره‏</w:t>
      </w:r>
      <w:bookmarkEnd w:id="7334"/>
    </w:p>
    <w:p>
      <w:pPr>
        <w:pStyle w:val="BookText"/>
      </w:pPr>
      <w:r>
        <w:rPr>
          <w:rFonts w:ascii="IRNazanin" w:hAnsi="IRNazanin" w:eastAsia="IRNazanin" w:cs="IRNazanin"/>
          <w:lang w:bidi="fa-IR"/>
          <w:color w:val="111111"/>
          <w:sz w:val="28"/>
          <w:szCs w:val="28"/>
          <w:rtl/>
        </w:rPr>
        <w:t xml:space="preserve">کان معاصرا للحکیم الخاقانی. ترجمه فی (مع 1: 380) نقلا عن تذکره تقی الدین الأوحدی و أورد قصیدته النونیة و تخلصه فی قوله:</w:t>
      </w:r>
    </w:p>
    <w:p>
      <w:pPr>
        <w:pStyle w:val="BookText"/>
      </w:pPr>
      <w:r>
        <w:rPr>
          <w:rFonts w:ascii="IRNazanin" w:hAnsi="IRNazanin" w:eastAsia="IRNazanin" w:cs="IRNazanin"/>
          <w:lang w:bidi="fa-IR"/>
          <w:color w:val="111111"/>
          <w:sz w:val="28"/>
          <w:szCs w:val="28"/>
          <w:rtl/>
        </w:rPr>
        <w:t xml:space="preserve">غباری هست اگر باقی أدب کن بنده خود را</w:t>
      </w:r>
    </w:p>
    <w:p>
      <w:pPr>
        <w:pStyle w:val="BookText"/>
      </w:pPr>
      <w:r>
        <w:rPr>
          <w:rFonts w:ascii="IRNazanin" w:hAnsi="IRNazanin" w:eastAsia="IRNazanin" w:cs="IRNazanin"/>
          <w:lang w:bidi="fa-IR"/>
          <w:color w:val="111111"/>
          <w:sz w:val="28"/>
          <w:szCs w:val="28"/>
          <w:rtl/>
        </w:rPr>
        <w:t xml:space="preserve">ز تو تیغ از فرزدق سر، ز تو حکم از فرزدق جان‏</w:t>
      </w:r>
    </w:p>
    <w:p>
      <w:pPr>
        <w:pStyle w:val="Heading3"/>
      </w:pPr>
      <w:bookmarkStart w:id="7335" w:name="_Toc6031"/>
      <w:r>
        <w:t>5539- دیوان الفرزدق‏</w:t>
      </w:r>
      <w:bookmarkEnd w:id="7335"/>
    </w:p>
    <w:p>
      <w:pPr>
        <w:pStyle w:val="BookText"/>
      </w:pPr>
      <w:r>
        <w:rPr>
          <w:rFonts w:ascii="IRNazanin" w:hAnsi="IRNazanin" w:eastAsia="IRNazanin" w:cs="IRNazanin"/>
          <w:lang w:bidi="fa-IR"/>
          <w:color w:val="111111"/>
          <w:sz w:val="28"/>
          <w:szCs w:val="28"/>
          <w:rtl/>
        </w:rPr>
        <w:t xml:space="preserve">هو أبو فراس همام بن غالب بن صعصعة الدارمی التمیمی المولود سنة 38 و المتوفی بالبصرة سنة عشر و مائة و مات بعده بأربعین یوما مصاحبه و مهاجیه جریر بن عطیة بن حذیفة الخطفی أملاه أبو عبد الله محمد بن زیاد المعروف بابن الأعرابی و المتوفی 231 علی محمد بن حبیب البغدادی الذی توفی 245 و طبع علی الحروف فی پاریس فی مجلدین سنة 1870 م- 1875 م. و طبع بالوهبیة فی القاهرة 1293
</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bookmarkStart w:id="814" w:name="pg11704_122300"/>
    <w:bookmarkEnd w:id="814"/>
    <w:p>
      <w:pPr>
        <w:pStyle w:val="BookText"/>
      </w:pPr>
      <w:r>
        <w:rPr>
          <w:rFonts w:ascii="IRNazanin" w:hAnsi="IRNazanin" w:eastAsia="IRNazanin" w:cs="IRNazanin"/>
          <w:lang w:bidi="fa-IR"/>
          <w:color w:val="111111"/>
          <w:sz w:val="28"/>
          <w:szCs w:val="28"/>
          <w:rtl/>
        </w:rPr>
        <w:t xml:space="preserve">و ذکر بعض خصوصیاته فی معجم المطبوعات. ص 1444 و نسخه مخطوطة منه مشتملة علی ما یقرب من أربعمائة بیت عند السید جلال المحدث الأرومی نزیل طهران. و عده ابن شهرآشوب فی (المعالم- ص 139) من أصحاب الأئمة.</w:t>
      </w:r>
    </w:p>
    <w:p>
      <w:pPr>
        <w:pStyle w:val="Heading3"/>
      </w:pPr>
      <w:bookmarkStart w:id="7336" w:name="_Toc6032"/>
      <w:r>
        <w:t>5540- دیوان فرساد یزدی أو شعره‏</w:t>
      </w:r>
      <w:bookmarkEnd w:id="7336"/>
    </w:p>
    <w:p>
      <w:pPr>
        <w:pStyle w:val="BookText"/>
      </w:pPr>
      <w:r>
        <w:rPr>
          <w:rFonts w:ascii="IRNazanin" w:hAnsi="IRNazanin" w:eastAsia="IRNazanin" w:cs="IRNazanin"/>
          <w:lang w:bidi="fa-IR"/>
          <w:color w:val="111111"/>
          <w:sz w:val="28"/>
          <w:szCs w:val="28"/>
          <w:rtl/>
        </w:rPr>
        <w:t xml:space="preserve">کان رئیس انجمن أدبی بها. و اسمه محمود بن الشیخ علی أصغر مجد العلماء. أطرأه آیتی فی (تش یز- ص 317) و أورد بعض شعره.</w:t>
      </w:r>
    </w:p>
    <w:p>
      <w:pPr>
        <w:pStyle w:val="Heading3"/>
      </w:pPr>
      <w:bookmarkStart w:id="7337" w:name="_Toc6033"/>
      <w:r>
        <w:t>5541- دیوان فرشته أسترآبادی أو شعره‏</w:t>
      </w:r>
      <w:bookmarkEnd w:id="7337"/>
    </w:p>
    <w:p>
      <w:pPr>
        <w:pStyle w:val="BookText"/>
      </w:pPr>
      <w:r>
        <w:rPr>
          <w:rFonts w:ascii="IRNazanin" w:hAnsi="IRNazanin" w:eastAsia="IRNazanin" w:cs="IRNazanin"/>
          <w:lang w:bidi="fa-IR"/>
          <w:color w:val="111111"/>
          <w:sz w:val="28"/>
          <w:szCs w:val="28"/>
          <w:rtl/>
        </w:rPr>
        <w:t xml:space="preserve">و هو محمد قاسم هندو شاه ترجمه فی (تغ- ص 100) و عده من شعراء عهد إبراهیم عادل شاه فی دکن.</w:t>
      </w:r>
    </w:p>
    <w:p>
      <w:pPr>
        <w:pStyle w:val="Heading3"/>
      </w:pPr>
      <w:bookmarkStart w:id="7338" w:name="_Toc6034"/>
      <w:r>
        <w:t>5542- دیوان فرصت أو شعره‏</w:t>
      </w:r>
      <w:bookmarkEnd w:id="7338"/>
    </w:p>
    <w:p>
      <w:pPr>
        <w:pStyle w:val="BookText"/>
      </w:pPr>
      <w:r>
        <w:rPr>
          <w:rFonts w:ascii="IRNazanin" w:hAnsi="IRNazanin" w:eastAsia="IRNazanin" w:cs="IRNazanin"/>
          <w:lang w:bidi="fa-IR"/>
          <w:color w:val="111111"/>
          <w:sz w:val="28"/>
          <w:szCs w:val="28"/>
          <w:rtl/>
        </w:rPr>
        <w:t xml:space="preserve">و اسمه محمد بیک من أمراء الدولة الصفویة. قال النصرآبادی فی (نر 2- ص 48) إنه مات قبل تألیفه بأربع سنوات ثم أطری شعره و شجاعته فی الحرب و کذا فی (تش- ص 18).</w:t>
      </w:r>
    </w:p>
    <w:p>
      <w:pPr>
        <w:pStyle w:val="Heading3"/>
      </w:pPr>
      <w:bookmarkStart w:id="7339" w:name="_Toc6035"/>
      <w:r>
        <w:t>5543- دیوان فرصت سبزواری أو شعره‏</w:t>
      </w:r>
      <w:bookmarkEnd w:id="7339"/>
    </w:p>
    <w:p>
      <w:pPr>
        <w:pStyle w:val="BookText"/>
      </w:pPr>
      <w:r>
        <w:rPr>
          <w:rFonts w:ascii="IRNazanin" w:hAnsi="IRNazanin" w:eastAsia="IRNazanin" w:cs="IRNazanin"/>
          <w:lang w:bidi="fa-IR"/>
          <w:color w:val="111111"/>
          <w:sz w:val="28"/>
          <w:szCs w:val="28"/>
          <w:rtl/>
        </w:rPr>
        <w:t xml:space="preserve">و اسمه المیرزا رجب علی بن المیرزا رخصت الشاعر السبزواری کتب بخطه دیوان الحکیم السبزواری المتخلص أسرار و فرغ من الکتابة 1287 و النسخة عند السید محمد حسن بن السید مهدی بن إبراهیم السبزواری‏</w:t>
      </w:r>
    </w:p>
    <w:p>
      <w:pPr>
        <w:pStyle w:val="Heading3"/>
      </w:pPr>
      <w:bookmarkStart w:id="7340" w:name="_Toc6036"/>
      <w:r>
        <w:t>5544- دیوان فرصت شیرازی‏</w:t>
      </w:r>
      <w:bookmarkEnd w:id="7340"/>
    </w:p>
    <w:p>
      <w:pPr>
        <w:pStyle w:val="BookText"/>
      </w:pPr>
      <w:r>
        <w:rPr>
          <w:rFonts w:ascii="IRNazanin" w:hAnsi="IRNazanin" w:eastAsia="IRNazanin" w:cs="IRNazanin"/>
          <w:lang w:bidi="fa-IR"/>
          <w:color w:val="111111"/>
          <w:sz w:val="28"/>
          <w:szCs w:val="28"/>
          <w:rtl/>
        </w:rPr>
        <w:t xml:space="preserve">للمیرزا محمد نصیر بن جعفر بهجت الحسینی مؤلف آثار عجم المذکور فی (ج 1 ص 8) و قد توفی، فی عاشر صفر 1339 و ترجمته المفصلة فی مجلة أرمغان ج 2 العدد 8 و 9 ص 42 و دیوانه فارسی طبع فی بمبئی فی 554 ص فی 1334 و سماه بستان و ذکر إبراهیم ساکت فی مقدمته سائر تصانیفه و ذکر فی آثار عجم فهرس بعض ما فیه من أشعاره و طبع له مثنوی غدیریة بطهران 1325 فی 15 ص علی الحجر مع مقدمه ذکاء الملک فروغی محمد حسین و مر له أشکال المیزان فی ج 2 ص 112 و مر والده بهجت فی ص 147 و ترجمه ایزد گشسب فی نامه سخنوران- ص 126 و ریحانة الأدب و سخنوران نامی معاصر- 2: 204</w:t>
      </w:r>
    </w:p>
    <w:p>
      <w:pPr>
        <w:pStyle w:val="Heading3"/>
      </w:pPr>
      <w:bookmarkStart w:id="7341" w:name="_Toc6037"/>
      <w:r>
        <w:t>دیوان فرقتی أنجدانی‏</w:t>
      </w:r>
      <w:bookmarkEnd w:id="7341"/>
    </w:p>
    <w:p>
      <w:pPr>
        <w:pStyle w:val="BookText"/>
      </w:pPr>
      <w:r>
        <w:rPr>
          <w:rFonts w:ascii="IRNazanin" w:hAnsi="IRNazanin" w:eastAsia="IRNazanin" w:cs="IRNazanin"/>
          <w:lang w:bidi="fa-IR"/>
          <w:color w:val="111111"/>
          <w:sz w:val="28"/>
          <w:szCs w:val="28"/>
          <w:rtl/>
        </w:rPr>
        <w:t xml:space="preserve">راجع فرقتی کاشانی‏</w:t>
      </w:r>
    </w:p>
    <w:p>
      <w:pPr>
        <w:pStyle w:val="Heading3"/>
      </w:pPr>
      <w:bookmarkStart w:id="7342" w:name="_Toc6038"/>
      <w:r>
        <w:t>دیوان فرقتی جوشقانی‏</w:t>
      </w:r>
      <w:bookmarkEnd w:id="7342"/>
    </w:p>
    <w:p>
      <w:pPr>
        <w:pStyle w:val="BookText"/>
      </w:pPr>
      <w:r>
        <w:rPr>
          <w:rFonts w:ascii="IRNazanin" w:hAnsi="IRNazanin" w:eastAsia="IRNazanin" w:cs="IRNazanin"/>
          <w:lang w:bidi="fa-IR"/>
          <w:color w:val="111111"/>
          <w:sz w:val="28"/>
          <w:szCs w:val="28"/>
          <w:rtl/>
        </w:rPr>
        <w:t xml:space="preserve">راجع فرقتی کاشانی‏</w:t>
      </w:r>
    </w:p>
    <w:p>
      <w:pPr>
        <w:pStyle w:val="Heading3"/>
      </w:pPr>
      <w:bookmarkStart w:id="7343" w:name="_Toc6039"/>
      <w:r>
        <w:t>5545- دیوان فرقتی کاشانی‏</w:t>
      </w:r>
      <w:bookmarkEnd w:id="7343"/>
    </w:p>
    <w:p>
      <w:pPr>
        <w:pStyle w:val="BookText"/>
      </w:pPr>
      <w:r>
        <w:rPr>
          <w:rFonts w:ascii="IRNazanin" w:hAnsi="IRNazanin" w:eastAsia="IRNazanin" w:cs="IRNazanin"/>
          <w:lang w:bidi="fa-IR"/>
          <w:color w:val="111111"/>
          <w:sz w:val="28"/>
          <w:szCs w:val="28"/>
          <w:rtl/>
        </w:rPr>
        <w:t xml:space="preserve">و هو المیرزا أبو تراب بیگ بن الخواجة میرزا علی‏
</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bookmarkStart w:id="815" w:name="pg11704_122301"/>
    <w:bookmarkEnd w:id="815"/>
    <w:p>
      <w:pPr>
        <w:pStyle w:val="BookText"/>
      </w:pPr>
      <w:r>
        <w:rPr>
          <w:rFonts w:ascii="IRNazanin" w:hAnsi="IRNazanin" w:eastAsia="IRNazanin" w:cs="IRNazanin"/>
          <w:lang w:bidi="fa-IR"/>
          <w:color w:val="111111"/>
          <w:sz w:val="28"/>
          <w:szCs w:val="28"/>
          <w:rtl/>
        </w:rPr>
        <w:t xml:space="preserve">الأنجدانی أو الجوشقانی الکاشانی قال فی میخانه- ص 322 ولد والده بانجدان- انگدان- بین قم و کاشان، و صار وزیر ولی جان بن محمد ترکمان موصلو حاکم کاشان من قبل السلطان محمد الصفوی (985- 995)، و ولد فرقتی بقزوین، و قال غیره من أصحاب التذاکر إن مولده جوشقان أو أنجدان و مات والده بکاشان و هو شاب، فسافر إلی خراسان و صاحب بها فصیحی ثم رجع قال فی میخانه سمعت بلاهور أنه مات 1026 بأصفهان و فی (تغ- ص 101) 1027 ترجمه فی سرو- ص 37 و فهرس ریو و (خص 8- ص 225) و (نتایج- ص 537) و (تش- 234) و (گلشن- ص 10) و ریحانة الأدب و حواشی میخانه عن مخزن الغرائب و منتخب الأشعار و غیره و أورد له ترجیع‏بند ساقی‏نامه و فی (سرو- ص 37) أنه أخذ تخلصه من صادقی کتاب دار و فی (تغ- ص 101) أنه کان یتخلص أولا کامی و دیوانه فی ألف بیت‏</w:t>
      </w:r>
    </w:p>
    <w:p>
      <w:pPr>
        <w:pStyle w:val="Heading3"/>
      </w:pPr>
      <w:bookmarkStart w:id="7344" w:name="_Toc6040"/>
      <w:r>
        <w:t>5546- دیوان فرقدی خراسانی أو شعره‏</w:t>
      </w:r>
      <w:bookmarkEnd w:id="7344"/>
    </w:p>
    <w:p>
      <w:pPr>
        <w:pStyle w:val="BookText"/>
      </w:pPr>
      <w:r>
        <w:rPr>
          <w:rFonts w:ascii="IRNazanin" w:hAnsi="IRNazanin" w:eastAsia="IRNazanin" w:cs="IRNazanin"/>
          <w:lang w:bidi="fa-IR"/>
          <w:color w:val="111111"/>
          <w:sz w:val="28"/>
          <w:szCs w:val="28"/>
          <w:rtl/>
        </w:rPr>
        <w:t xml:space="preserve">من شعراء آل سلجوق و اسمه الحکیم محمد بن عمر کما ذکر فی (ج 1 ص 380) و أورد قرب خمسین بیتا من شعره و ذکره فی نقض مثالب الروافض- ص 252</w:t>
      </w:r>
    </w:p>
    <w:p>
      <w:pPr>
        <w:pStyle w:val="Heading3"/>
      </w:pPr>
      <w:bookmarkStart w:id="7345" w:name="_Toc6041"/>
      <w:r>
        <w:t>5547- دیوان فرقی هروی أو شعره‏</w:t>
      </w:r>
      <w:bookmarkEnd w:id="7345"/>
    </w:p>
    <w:p>
      <w:pPr>
        <w:pStyle w:val="BookText"/>
      </w:pPr>
      <w:r>
        <w:rPr>
          <w:rFonts w:ascii="IRNazanin" w:hAnsi="IRNazanin" w:eastAsia="IRNazanin" w:cs="IRNazanin"/>
          <w:lang w:bidi="fa-IR"/>
          <w:color w:val="111111"/>
          <w:sz w:val="28"/>
          <w:szCs w:val="28"/>
          <w:rtl/>
        </w:rPr>
        <w:t xml:space="preserve">قال الصادقی فی (خص 8- ص 294) إن له محسنات کثیرة و أورد بعض شعره و عنه فی (سرخوش- ص 88) و (گلشن- ص 315)</w:t>
      </w:r>
    </w:p>
    <w:p>
      <w:pPr>
        <w:pStyle w:val="Heading3"/>
      </w:pPr>
      <w:bookmarkStart w:id="7346" w:name="_Toc6042"/>
      <w:r>
        <w:t>5548- دیوان فروتن کرمانی‏</w:t>
      </w:r>
      <w:bookmarkEnd w:id="7346"/>
    </w:p>
    <w:p>
      <w:pPr>
        <w:pStyle w:val="BookText"/>
      </w:pPr>
      <w:r>
        <w:rPr>
          <w:rFonts w:ascii="IRNazanin" w:hAnsi="IRNazanin" w:eastAsia="IRNazanin" w:cs="IRNazanin"/>
          <w:lang w:bidi="fa-IR"/>
          <w:color w:val="111111"/>
          <w:sz w:val="28"/>
          <w:szCs w:val="28"/>
          <w:rtl/>
        </w:rPr>
        <w:t xml:space="preserve">و اسمه عباس ولد بکرمان 1343 و هاجر إلی طهران و له فلاسفه بزرگ یونان و تجزیة أفغانستان و گیتار فی 100 ص‏</w:t>
      </w:r>
    </w:p>
    <w:p>
      <w:pPr>
        <w:pStyle w:val="Heading3"/>
      </w:pPr>
      <w:bookmarkStart w:id="7347" w:name="_Toc6043"/>
      <w:r>
        <w:t>5549- دیوان فروغ أصفهانی أو شعره‏</w:t>
      </w:r>
      <w:bookmarkEnd w:id="7347"/>
    </w:p>
    <w:p>
      <w:pPr>
        <w:pStyle w:val="BookText"/>
      </w:pPr>
      <w:r>
        <w:rPr>
          <w:rFonts w:ascii="IRNazanin" w:hAnsi="IRNazanin" w:eastAsia="IRNazanin" w:cs="IRNazanin"/>
          <w:lang w:bidi="fa-IR"/>
          <w:color w:val="111111"/>
          <w:sz w:val="28"/>
          <w:szCs w:val="28"/>
          <w:rtl/>
        </w:rPr>
        <w:t xml:space="preserve">و اسمه المیرزا محمد علی کانت بینه و بین فروغ التبریزی مطارحات شعریة ذکره فی (دجا- ص 296) و لم یذکر مأخذ کلامه و جاء شعره فی (مسرت- ص 315) و فی (تغ- ص 101) أنه ولد 1100</w:t>
      </w:r>
    </w:p>
    <w:p>
      <w:pPr>
        <w:pStyle w:val="Heading3"/>
      </w:pPr>
      <w:bookmarkStart w:id="7348" w:name="_Toc6044"/>
      <w:r>
        <w:t>5550- دیوان فروغ أصفهانی‏</w:t>
      </w:r>
      <w:bookmarkEnd w:id="7348"/>
    </w:p>
    <w:p>
      <w:pPr>
        <w:pStyle w:val="BookText"/>
      </w:pPr>
      <w:r>
        <w:rPr>
          <w:rFonts w:ascii="IRNazanin" w:hAnsi="IRNazanin" w:eastAsia="IRNazanin" w:cs="IRNazanin"/>
          <w:lang w:bidi="fa-IR"/>
          <w:color w:val="111111"/>
          <w:sz w:val="28"/>
          <w:szCs w:val="28"/>
          <w:rtl/>
        </w:rPr>
        <w:t xml:space="preserve">و اسمه المیرزا مهدی فروغ الدین الأصفهانی بن المیرزا محمد باقر المتخلص بهجت المذکور فی ص 146- 147 ولد بتبریز 1223 و کان ملازم فریدون میرزا ابن نائب السلطنة المتخلص فرخ و لذلک کان یعرف فروغ فرخی کما فی (مع 2- 396) و (المآثر- ص 206) و المدائح المعتمدیة و مر له تذکره الشباب و له تقصارة النحور و تقصارة الصدور و منظومة فرخ کلام‏
</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bookmarkStart w:id="816" w:name="pg11704_122302"/>
    <w:bookmarkEnd w:id="816"/>
    <w:p>
      <w:pPr>
        <w:pStyle w:val="BookText"/>
      </w:pPr>
      <w:r>
        <w:rPr>
          <w:rFonts w:ascii="IRNazanin" w:hAnsi="IRNazanin" w:eastAsia="IRNazanin" w:cs="IRNazanin"/>
          <w:lang w:bidi="fa-IR"/>
          <w:color w:val="111111"/>
          <w:sz w:val="28"/>
          <w:szCs w:val="28"/>
          <w:rtl/>
        </w:rPr>
        <w:t xml:space="preserve">فی 1100 بیت، نظمه باسم فریدون میرزا توجد نسخته عند (الملک- 127) و له فروغستان ألفه 1258 فی ثلاث دفاتر و له صحائف العالم أو ریاض الصفا فی مشاهیر الرجال و النساء الذی قد یسمیه مرآة الحق توجد نسخه منه فی (جامعة طهران 128) کما فی فهرسها 2: 584 و فی نسخه محمد وجدانی بطهران سماه صحائف العلوم و توجد دیوان فروغ هذا عند وجدانی المذکور فی ثلاثة آلاف بیت‏</w:t>
      </w:r>
    </w:p>
    <w:p>
      <w:pPr>
        <w:pStyle w:val="Heading3"/>
      </w:pPr>
      <w:bookmarkStart w:id="7349" w:name="_Toc6045"/>
      <w:r>
        <w:t>5551- دیوان فروغ أصفهانی أو شعره‏</w:t>
      </w:r>
      <w:bookmarkEnd w:id="7349"/>
    </w:p>
    <w:p>
      <w:pPr>
        <w:pStyle w:val="BookText"/>
      </w:pPr>
      <w:r>
        <w:rPr>
          <w:rFonts w:ascii="IRNazanin" w:hAnsi="IRNazanin" w:eastAsia="IRNazanin" w:cs="IRNazanin"/>
          <w:lang w:bidi="fa-IR"/>
          <w:color w:val="111111"/>
          <w:sz w:val="28"/>
          <w:szCs w:val="28"/>
          <w:rtl/>
        </w:rPr>
        <w:t xml:space="preserve">و هو المیرزا محمد المنجم من أقرباء المیر محمد حسین المنجم‏باشی لفتح علی شاه مهر فی الخط النستعلیق و ذهب إلی أصفهان و مدح منوچهر خان فذکره فی المدائح المعتمدیة</w:t>
      </w:r>
    </w:p>
    <w:p>
      <w:pPr>
        <w:pStyle w:val="Heading3"/>
      </w:pPr>
      <w:bookmarkStart w:id="7350" w:name="_Toc6046"/>
      <w:r>
        <w:t>5552- دیوان فروغ أصفهانی أو شعره‏</w:t>
      </w:r>
      <w:bookmarkEnd w:id="7350"/>
    </w:p>
    <w:p>
      <w:pPr>
        <w:pStyle w:val="BookText"/>
      </w:pPr>
      <w:r>
        <w:rPr>
          <w:rFonts w:ascii="IRNazanin" w:hAnsi="IRNazanin" w:eastAsia="IRNazanin" w:cs="IRNazanin"/>
          <w:lang w:bidi="fa-IR"/>
          <w:color w:val="111111"/>
          <w:sz w:val="28"/>
          <w:szCs w:val="28"/>
          <w:rtl/>
        </w:rPr>
        <w:t xml:space="preserve">و اسمه جلال برجیس ابن أبی طالب برجیس المعلم بثانویات أصفهان ترجمه و أورد شعره فی (شعرای معاصر أصفهان- ص 355)</w:t>
      </w:r>
    </w:p>
    <w:p>
      <w:pPr>
        <w:pStyle w:val="Heading3"/>
      </w:pPr>
      <w:bookmarkStart w:id="7351" w:name="_Toc6047"/>
      <w:r>
        <w:t>5553- دیوان فروغ بیرجندی أو شعره‏</w:t>
      </w:r>
      <w:bookmarkEnd w:id="7351"/>
    </w:p>
    <w:p>
      <w:pPr>
        <w:pStyle w:val="BookText"/>
      </w:pPr>
      <w:r>
        <w:rPr>
          <w:rFonts w:ascii="IRNazanin" w:hAnsi="IRNazanin" w:eastAsia="IRNazanin" w:cs="IRNazanin"/>
          <w:lang w:bidi="fa-IR"/>
          <w:color w:val="111111"/>
          <w:sz w:val="28"/>
          <w:szCs w:val="28"/>
          <w:rtl/>
        </w:rPr>
        <w:t xml:space="preserve">و اسمه الحاج محمد حسین الواعظ الخطاط هاجر إلی أصفهان و رجع إلی وطنه بیرجند أورد شعره و ترجمه آیتی فی (بهارستان- ص 314)</w:t>
      </w:r>
    </w:p>
    <w:p>
      <w:pPr>
        <w:pStyle w:val="Heading3"/>
      </w:pPr>
      <w:bookmarkStart w:id="7352" w:name="_Toc6048"/>
      <w:r>
        <w:t>5554- دیوان فروغ تبریزی‏</w:t>
      </w:r>
      <w:bookmarkEnd w:id="7352"/>
    </w:p>
    <w:p>
      <w:pPr>
        <w:pStyle w:val="BookText"/>
      </w:pPr>
      <w:r>
        <w:rPr>
          <w:rFonts w:ascii="IRNazanin" w:hAnsi="IRNazanin" w:eastAsia="IRNazanin" w:cs="IRNazanin"/>
          <w:lang w:bidi="fa-IR"/>
          <w:color w:val="111111"/>
          <w:sz w:val="28"/>
          <w:szCs w:val="28"/>
          <w:rtl/>
        </w:rPr>
        <w:t xml:space="preserve">و اسمه الحاج عبد الله سافر إلی الهند و توفی ببنارس 1210 و کانت بینه و بین فروغ الأصفهانی مطارحات شعریة کما ذکره تربیت فی (دجا- ص 296)</w:t>
      </w:r>
    </w:p>
    <w:p>
      <w:pPr>
        <w:pStyle w:val="Heading3"/>
      </w:pPr>
      <w:bookmarkStart w:id="7353" w:name="_Toc6049"/>
      <w:r>
        <w:t>5555- دیوان فروغ کاشانی‏</w:t>
      </w:r>
      <w:bookmarkEnd w:id="7353"/>
    </w:p>
    <w:p>
      <w:pPr>
        <w:pStyle w:val="BookText"/>
      </w:pPr>
      <w:r>
        <w:rPr>
          <w:rFonts w:ascii="IRNazanin" w:hAnsi="IRNazanin" w:eastAsia="IRNazanin" w:cs="IRNazanin"/>
          <w:lang w:bidi="fa-IR"/>
          <w:color w:val="111111"/>
          <w:sz w:val="28"/>
          <w:szCs w:val="28"/>
          <w:rtl/>
        </w:rPr>
        <w:t xml:space="preserve">هو محمد قاسم خان کما فی (المآثر- ص 195) و یقال له أبو القاسم خان بن ملک الشعراء فتح علی خان صبا کما ترجمه فی (مع- ج 2 ص 370) و أورد ما یقرب من تسعمائة بیت من أشعاره و مر أخوه محمد حسین خان عندلیب و توفی حدود 1291 یعنی بعد جلوس ناصر الدین بسبع و عشرین سنة کما أرخه فی المآثر</w:t>
      </w:r>
    </w:p>
    <w:p>
      <w:pPr>
        <w:pStyle w:val="Heading3"/>
      </w:pPr>
      <w:bookmarkStart w:id="7354" w:name="_Toc6050"/>
      <w:r>
        <w:t>دیوان فروغ فرخ زاد</w:t>
      </w:r>
      <w:bookmarkEnd w:id="7354"/>
    </w:p>
    <w:p>
      <w:pPr>
        <w:pStyle w:val="BookText"/>
      </w:pPr>
      <w:r>
        <w:rPr>
          <w:rFonts w:ascii="IRNazanin" w:hAnsi="IRNazanin" w:eastAsia="IRNazanin" w:cs="IRNazanin"/>
          <w:lang w:bidi="fa-IR"/>
          <w:color w:val="111111"/>
          <w:sz w:val="28"/>
          <w:szCs w:val="28"/>
          <w:rtl/>
        </w:rPr>
        <w:t xml:space="preserve">راجع دیوان فرخ زاد</w:t>
      </w:r>
    </w:p>
    <w:p>
      <w:pPr>
        <w:pStyle w:val="Heading3"/>
      </w:pPr>
      <w:bookmarkStart w:id="7355" w:name="_Toc6051"/>
      <w:r>
        <w:t>5556- دیوان فروغ نائنی أو شعره‏</w:t>
      </w:r>
      <w:bookmarkEnd w:id="7355"/>
    </w:p>
    <w:p>
      <w:pPr>
        <w:pStyle w:val="BookText"/>
      </w:pPr>
      <w:r>
        <w:rPr>
          <w:rFonts w:ascii="IRNazanin" w:hAnsi="IRNazanin" w:eastAsia="IRNazanin" w:cs="IRNazanin"/>
          <w:lang w:bidi="fa-IR"/>
          <w:color w:val="111111"/>
          <w:sz w:val="28"/>
          <w:szCs w:val="28"/>
          <w:rtl/>
        </w:rPr>
        <w:t xml:space="preserve">و هو المیرزا محمد المنشی المولود 1174 و المتوفی فی العشر السابع من القرن الثالث عشر توجد أشعاره فی مجموعة منشئاته الموجودة فی (سپهسالار 2769) کما ذکرناه فی (ج 12 ص 193)
</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bookmarkStart w:id="817" w:name="pg11704_122303"/>
    <w:bookmarkEnd w:id="817"/>
    <w:p>
      <w:pPr>
        <w:pStyle w:val="Heading3"/>
      </w:pPr>
      <w:bookmarkStart w:id="7356" w:name="_Toc6052"/>
      <w:r>
        <w:t>5557- دیوان فروغی أسترآبادی أو شعره‏</w:t>
      </w:r>
      <w:bookmarkEnd w:id="7356"/>
    </w:p>
    <w:p>
      <w:pPr>
        <w:pStyle w:val="BookText"/>
      </w:pPr>
      <w:r>
        <w:rPr>
          <w:rFonts w:ascii="IRNazanin" w:hAnsi="IRNazanin" w:eastAsia="IRNazanin" w:cs="IRNazanin"/>
          <w:lang w:bidi="fa-IR"/>
          <w:color w:val="111111"/>
          <w:sz w:val="28"/>
          <w:szCs w:val="28"/>
          <w:rtl/>
        </w:rPr>
        <w:t xml:space="preserve">نشاء بخراسان و تقرب عند الشاه طهماسب الصفوی ترجمه و أورد شعره فی (تش- ص 152)</w:t>
      </w:r>
    </w:p>
    <w:p>
      <w:pPr>
        <w:pStyle w:val="Heading3"/>
      </w:pPr>
      <w:bookmarkStart w:id="7357" w:name="_Toc6053"/>
      <w:r>
        <w:t>5558- دیوان فروغی أصفهانی‏</w:t>
      </w:r>
      <w:bookmarkEnd w:id="7357"/>
    </w:p>
    <w:p>
      <w:pPr>
        <w:pStyle w:val="BookText"/>
      </w:pPr>
      <w:r>
        <w:rPr>
          <w:rFonts w:ascii="IRNazanin" w:hAnsi="IRNazanin" w:eastAsia="IRNazanin" w:cs="IRNazanin"/>
          <w:lang w:bidi="fa-IR"/>
          <w:color w:val="111111"/>
          <w:sz w:val="28"/>
          <w:szCs w:val="28"/>
          <w:rtl/>
        </w:rPr>
        <w:t xml:space="preserve">و هو المیرزا محمد حسین (1255- 1325) و الملقب فی 1311 بذکاء الملک ابن محمد مهدی أرباب طبع دیوانه بطهران 1306 و 1325 فی 552 ص و له تاریخ إیران المطبوع 1319 و ریحانة الأفکار و کلبة هندی و أصدر جریدة تربیت فی 1314 إلی 1325 الذی توفی بها و جاء تاریخ وفاته فی بدیع التواریخ:</w:t>
      </w:r>
    </w:p>
    <w:p>
      <w:pPr>
        <w:pStyle w:val="BookText"/>
      </w:pPr>
      <w:r>
        <w:rPr>
          <w:rFonts w:ascii="IRNazanin" w:hAnsi="IRNazanin" w:eastAsia="IRNazanin" w:cs="IRNazanin"/>
          <w:lang w:bidi="fa-IR"/>
          <w:color w:val="111111"/>
          <w:sz w:val="28"/>
          <w:szCs w:val="28"/>
          <w:rtl/>
        </w:rPr>
        <w:t xml:space="preserve">بسال فوت أو نعمت چنین گفت‏</w:t>
      </w:r>
    </w:p>
    <w:p>
      <w:pPr>
        <w:pStyle w:val="BookText"/>
      </w:pPr>
      <w:r>
        <w:rPr>
          <w:rFonts w:ascii="IRNazanin" w:hAnsi="IRNazanin" w:eastAsia="IRNazanin" w:cs="IRNazanin"/>
          <w:lang w:bidi="fa-IR"/>
          <w:color w:val="111111"/>
          <w:sz w:val="28"/>
          <w:szCs w:val="28"/>
          <w:rtl/>
        </w:rPr>
        <w:t xml:space="preserve">ذکاء الملک را مسکن جنان باد</w:t>
      </w:r>
    </w:p>
    <w:p>
      <w:pPr>
        <w:pStyle w:val="BookText"/>
      </w:pPr>
      <w:r>
        <w:rPr>
          <w:rFonts w:ascii="IRNazanin" w:hAnsi="IRNazanin" w:eastAsia="IRNazanin" w:cs="IRNazanin"/>
          <w:lang w:bidi="fa-IR"/>
          <w:color w:val="111111"/>
          <w:sz w:val="28"/>
          <w:szCs w:val="28"/>
          <w:rtl/>
        </w:rPr>
        <w:t xml:space="preserve">و طبع له ترجمه عشق و عفت فی 1324 و ترجم أحواله فی (المآثر- ص 189) و تاریخ جرائد ایران 2: 116- 124 عن جریدة صور إسرافیل و یأتی ابنه فروغی طهرانی‏</w:t>
      </w:r>
    </w:p>
    <w:p>
      <w:pPr>
        <w:pStyle w:val="Heading3"/>
      </w:pPr>
      <w:bookmarkStart w:id="7358" w:name="_Toc6054"/>
      <w:r>
        <w:t>5559- دیوان فروغی أصفهانی‏</w:t>
      </w:r>
      <w:bookmarkEnd w:id="7358"/>
    </w:p>
    <w:p>
      <w:pPr>
        <w:pStyle w:val="BookText"/>
      </w:pPr>
      <w:r>
        <w:rPr>
          <w:rFonts w:ascii="IRNazanin" w:hAnsi="IRNazanin" w:eastAsia="IRNazanin" w:cs="IRNazanin"/>
          <w:lang w:bidi="fa-IR"/>
          <w:color w:val="111111"/>
          <w:sz w:val="28"/>
          <w:szCs w:val="28"/>
          <w:rtl/>
        </w:rPr>
        <w:t xml:space="preserve">اسمه المیرزا محمد کان ماهرا فی المجسطی و سافر إلی أفغانستان و اتصل بسلطانها تیمور شاه الذی ولی الملک 1187 إلی موته 1207 و لقب منه بملک الشعراء ترجمه فی (مع: ج 2 ص 383) و أورد بعض شعره‏</w:t>
      </w:r>
    </w:p>
    <w:p>
      <w:pPr>
        <w:pStyle w:val="Heading3"/>
      </w:pPr>
      <w:bookmarkStart w:id="7359" w:name="_Toc6055"/>
      <w:r>
        <w:t>5560- دیوان فروغی بسطامی‏</w:t>
      </w:r>
      <w:bookmarkEnd w:id="7359"/>
    </w:p>
    <w:p>
      <w:pPr>
        <w:pStyle w:val="BookText"/>
      </w:pPr>
      <w:r>
        <w:rPr>
          <w:rFonts w:ascii="IRNazanin" w:hAnsi="IRNazanin" w:eastAsia="IRNazanin" w:cs="IRNazanin"/>
          <w:lang w:bidi="fa-IR"/>
          <w:color w:val="111111"/>
          <w:sz w:val="28"/>
          <w:szCs w:val="28"/>
          <w:rtl/>
        </w:rPr>
        <w:t xml:space="preserve">هو المیرزا عباس بن آقا موسی المولود فی العراق 1213 کما ذکره فی (مع: ج 2 ص 394) و أورد نیفا و مائة بیت من شعره و قال فی المآثر و الآثار- ص 206 إن کثیرا من غزلیاته مطبوع و توفی بطهران 1268 أو 1274 و الأول مطابق لما أرخ وفاته المیرزا محرم فی قوله [</w:t>
      </w:r>
    </w:p>
    <w:p>
      <w:pPr>
        <w:pStyle w:val="BookText"/>
      </w:pPr>
      <w:r>
        <w:rPr>
          <w:rFonts w:ascii="IRNazanin" w:hAnsi="IRNazanin" w:eastAsia="IRNazanin" w:cs="IRNazanin"/>
          <w:lang w:bidi="fa-IR"/>
          <w:color w:val="111111"/>
          <w:sz w:val="28"/>
          <w:szCs w:val="28"/>
          <w:rtl/>
        </w:rPr>
        <w:t xml:space="preserve">بی فروغی هست خورشید سخن اندر حجاب‏</w:t>
      </w:r>
    </w:p>
    <w:p>
      <w:pPr>
        <w:pStyle w:val="BookText"/>
      </w:pPr>
      <w:r>
        <w:rPr>
          <w:rFonts w:ascii="IRNazanin" w:hAnsi="IRNazanin" w:eastAsia="IRNazanin" w:cs="IRNazanin"/>
          <w:lang w:bidi="fa-IR"/>
          <w:color w:val="111111"/>
          <w:sz w:val="28"/>
          <w:szCs w:val="28"/>
          <w:rtl/>
        </w:rPr>
        <w:t xml:space="preserve">] و التعمیة إخراج عدد فروغی و هو 1296 عن عدد هست إلی آخر المصراع و هو 2564 و لکن مهاجاته مع مشتری طوسی قبل موته بأیام کان بعد 1270 کما فی فهرس (المجلس) 3: 417 و قد طبع مع دیوان قائنی فی 1302 فی 244 ص بخط کلهر و ثانیا فی 1377</w:t>
      </w:r>
    </w:p>
    <w:p>
      <w:pPr>
        <w:pStyle w:val="Heading3"/>
      </w:pPr>
      <w:bookmarkStart w:id="7360" w:name="_Toc6056"/>
      <w:r>
        <w:t>5561- دیوان فروغی خراسانی‏</w:t>
      </w:r>
      <w:bookmarkEnd w:id="7360"/>
    </w:p>
    <w:p>
      <w:pPr>
        <w:pStyle w:val="BookText"/>
      </w:pPr>
      <w:r>
        <w:rPr>
          <w:rFonts w:ascii="IRNazanin" w:hAnsi="IRNazanin" w:eastAsia="IRNazanin" w:cs="IRNazanin"/>
          <w:lang w:bidi="fa-IR"/>
          <w:color w:val="111111"/>
          <w:sz w:val="28"/>
          <w:szCs w:val="28"/>
          <w:rtl/>
        </w:rPr>
        <w:t xml:space="preserve">توجد نسخته فی 390 ص کتبت فی 1249 عند (فخر الدین) فی 4000 بیت مدح فیها فتح علی شاه و شجاع السلطنة و نجف قلی خان‏</w:t>
      </w:r>
    </w:p>
    <w:p>
      <w:pPr>
        <w:pStyle w:val="Heading3"/>
      </w:pPr>
      <w:bookmarkStart w:id="7361" w:name="_Toc6057"/>
      <w:r>
        <w:t>5562- دیوان فروغی شیرازی أو شعره‏</w:t>
      </w:r>
      <w:bookmarkEnd w:id="7361"/>
    </w:p>
    <w:p>
      <w:pPr>
        <w:pStyle w:val="BookText"/>
      </w:pPr>
      <w:r>
        <w:rPr>
          <w:rFonts w:ascii="IRNazanin" w:hAnsi="IRNazanin" w:eastAsia="IRNazanin" w:cs="IRNazanin"/>
          <w:lang w:bidi="fa-IR"/>
          <w:color w:val="111111"/>
          <w:sz w:val="28"/>
          <w:szCs w:val="28"/>
          <w:rtl/>
        </w:rPr>
        <w:t xml:space="preserve">ترجمه معاصره سام میرزا فی (تس-
</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bookmarkStart w:id="818" w:name="pg11704_122304"/>
    <w:bookmarkEnd w:id="818"/>
    <w:p>
      <w:pPr>
        <w:pStyle w:val="BookText"/>
      </w:pPr>
      <w:r>
        <w:rPr>
          <w:rFonts w:ascii="IRNazanin" w:hAnsi="IRNazanin" w:eastAsia="IRNazanin" w:cs="IRNazanin"/>
          <w:lang w:bidi="fa-IR"/>
          <w:color w:val="111111"/>
          <w:sz w:val="28"/>
          <w:szCs w:val="28"/>
          <w:rtl/>
        </w:rPr>
        <w:t xml:space="preserve">ص 165) و أورد شعره‏</w:t>
      </w:r>
    </w:p>
    <w:p>
      <w:pPr>
        <w:pStyle w:val="Heading3"/>
      </w:pPr>
      <w:bookmarkStart w:id="7362" w:name="_Toc6058"/>
      <w:r>
        <w:t>5563- دیوان فروغی طهرانی‏</w:t>
      </w:r>
      <w:bookmarkEnd w:id="7362"/>
    </w:p>
    <w:p>
      <w:pPr>
        <w:pStyle w:val="BookText"/>
      </w:pPr>
      <w:r>
        <w:rPr>
          <w:rFonts w:ascii="IRNazanin" w:hAnsi="IRNazanin" w:eastAsia="IRNazanin" w:cs="IRNazanin"/>
          <w:lang w:bidi="fa-IR"/>
          <w:color w:val="111111"/>
          <w:sz w:val="28"/>
          <w:szCs w:val="28"/>
          <w:rtl/>
        </w:rPr>
        <w:t xml:space="preserve">و اسمه أبو الحسن بن محمد حسین ذکاء الملک فروغی الأصفهانی ولد بطهران 1301 و نشر مجلة فروغ تربیت فی 1343 و طبع له مثنوی شیدوش و ناهید فی 1341 فی 125 ص و سرمایه سعادت یا قلم و آزادی فی 125 ص فی 1327 و</w:t>
      </w:r>
    </w:p>
    <w:p>
      <w:pPr>
        <w:pStyle w:val="BookText"/>
      </w:pPr>
      <w:r>
        <w:rPr>
          <w:rFonts w:ascii="IRNazanin" w:hAnsi="IRNazanin" w:eastAsia="IRNazanin" w:cs="IRNazanin"/>
          <w:lang w:bidi="fa-IR"/>
          <w:color w:val="111111"/>
          <w:sz w:val="28"/>
          <w:szCs w:val="28"/>
          <w:rtl/>
        </w:rPr>
        <w:t xml:space="preserve">أوراق مشوش و مثنوی چارمینو فی 190 ص و قد أخذ تخلصه من والده محمد حسین و شارک أخاه محمد علی فروغی فی تألیف تاریخ شعرا المطبوع 1335 فی 353 ص ترجمه فی (سخنوران نامی معاصر- ج 2- ص 217 و (شعرای معاصر أصفهان- 357) و تاریخ جرائد ایران 4: 69</w:t>
      </w:r>
    </w:p>
    <w:p>
      <w:pPr>
        <w:pStyle w:val="Heading3"/>
      </w:pPr>
      <w:bookmarkStart w:id="7363" w:name="_Toc6059"/>
      <w:r>
        <w:t>5564- دیوان فروغی قزوینی أو شعره‏</w:t>
      </w:r>
      <w:bookmarkEnd w:id="7363"/>
    </w:p>
    <w:p>
      <w:pPr>
        <w:pStyle w:val="BookText"/>
      </w:pPr>
      <w:r>
        <w:rPr>
          <w:rFonts w:ascii="IRNazanin" w:hAnsi="IRNazanin" w:eastAsia="IRNazanin" w:cs="IRNazanin"/>
          <w:lang w:bidi="fa-IR"/>
          <w:color w:val="111111"/>
          <w:sz w:val="28"/>
          <w:szCs w:val="28"/>
          <w:rtl/>
        </w:rPr>
        <w:t xml:space="preserve">ترجمه معاصره الصادقی فی (خص 8- 284) و أورد جملة من شعره و کذا فی (همیشه بهار) و (تش- ص 227) و (گلشن- ص 315) و المستر براون فی (4: 88).</w:t>
      </w:r>
    </w:p>
    <w:p>
      <w:pPr>
        <w:pStyle w:val="Heading3"/>
      </w:pPr>
      <w:bookmarkStart w:id="7364" w:name="_Toc6060"/>
      <w:r>
        <w:t>5565- دیوان فروغی کشمیری‏</w:t>
      </w:r>
      <w:bookmarkEnd w:id="7364"/>
    </w:p>
    <w:p>
      <w:pPr>
        <w:pStyle w:val="BookText"/>
      </w:pPr>
      <w:r>
        <w:rPr>
          <w:rFonts w:ascii="IRNazanin" w:hAnsi="IRNazanin" w:eastAsia="IRNazanin" w:cs="IRNazanin"/>
          <w:lang w:bidi="fa-IR"/>
          <w:color w:val="111111"/>
          <w:sz w:val="28"/>
          <w:szCs w:val="28"/>
          <w:rtl/>
        </w:rPr>
        <w:t xml:space="preserve">و اسمه ملا حسن. ترجمه فی (خز- ص 367) و ذکر اتصاله بشاه‏جهان الثانی فی 1061 و إنه قدم إلیه بعض مثنویاته فوصله بألف روپیه و کانت الجوائز تصله إلی أن توفی 1077 و أورد عدة أشعار من کل واحد من مثنویین له.</w:t>
      </w:r>
    </w:p>
    <w:p>
      <w:pPr>
        <w:pStyle w:val="BookText"/>
      </w:pPr>
      <w:r>
        <w:rPr>
          <w:rFonts w:ascii="IRNazanin" w:hAnsi="IRNazanin" w:eastAsia="IRNazanin" w:cs="IRNazanin"/>
          <w:lang w:bidi="fa-IR"/>
          <w:color w:val="111111"/>
          <w:sz w:val="28"/>
          <w:szCs w:val="28"/>
          <w:rtl/>
        </w:rPr>
        <w:t xml:space="preserve">و کذا فی (حسینی- ص 253) و (گلشن- ص 315) و (تغ- ص 101).</w:t>
      </w:r>
    </w:p>
    <w:p>
      <w:pPr>
        <w:pStyle w:val="Heading3"/>
      </w:pPr>
      <w:bookmarkStart w:id="7365" w:name="_Toc6061"/>
      <w:r>
        <w:t>5566- دیوان فروغی لنجانی‏</w:t>
      </w:r>
      <w:bookmarkEnd w:id="7365"/>
    </w:p>
    <w:p>
      <w:pPr>
        <w:pStyle w:val="BookText"/>
      </w:pPr>
      <w:r>
        <w:rPr>
          <w:rFonts w:ascii="IRNazanin" w:hAnsi="IRNazanin" w:eastAsia="IRNazanin" w:cs="IRNazanin"/>
          <w:lang w:bidi="fa-IR"/>
          <w:color w:val="111111"/>
          <w:sz w:val="28"/>
          <w:szCs w:val="28"/>
          <w:rtl/>
        </w:rPr>
        <w:t xml:space="preserve">و اسمه محمد حسن ولد بمبارکة من قرأ لنجان بأصفهان فی 1340 ترجمه و أورد شعره فی شعرای معاصر أصفهان- ص 422.</w:t>
      </w:r>
    </w:p>
    <w:p>
      <w:pPr>
        <w:pStyle w:val="Heading3"/>
      </w:pPr>
      <w:bookmarkStart w:id="7366" w:name="_Toc6062"/>
      <w:r>
        <w:t>5567- دیوان فروغی نیشابوری أو شعره‏</w:t>
      </w:r>
      <w:bookmarkEnd w:id="7366"/>
    </w:p>
    <w:p>
      <w:pPr>
        <w:pStyle w:val="BookText"/>
      </w:pPr>
      <w:r>
        <w:rPr>
          <w:rFonts w:ascii="IRNazanin" w:hAnsi="IRNazanin" w:eastAsia="IRNazanin" w:cs="IRNazanin"/>
          <w:lang w:bidi="fa-IR"/>
          <w:color w:val="111111"/>
          <w:sz w:val="28"/>
          <w:szCs w:val="28"/>
          <w:rtl/>
        </w:rPr>
        <w:t xml:space="preserve">أورد شعره فی (مجتس 6- ص 165)</w:t>
      </w:r>
    </w:p>
    <w:p>
      <w:pPr>
        <w:pStyle w:val="Heading3"/>
      </w:pPr>
      <w:bookmarkStart w:id="7367" w:name="_Toc6063"/>
      <w:r>
        <w:t>5568- دیوان فروغی همدانی أو شعره‏</w:t>
      </w:r>
      <w:bookmarkEnd w:id="7367"/>
    </w:p>
    <w:p>
      <w:pPr>
        <w:pStyle w:val="BookText"/>
      </w:pPr>
      <w:r>
        <w:rPr>
          <w:rFonts w:ascii="IRNazanin" w:hAnsi="IRNazanin" w:eastAsia="IRNazanin" w:cs="IRNazanin"/>
          <w:lang w:bidi="fa-IR"/>
          <w:color w:val="111111"/>
          <w:sz w:val="28"/>
          <w:szCs w:val="28"/>
          <w:rtl/>
        </w:rPr>
        <w:t xml:space="preserve">کان عطارا. ترجمه و أورد شعره فی (حسینی- ص 241) و (همیشه بهار).</w:t>
      </w:r>
    </w:p>
    <w:p>
      <w:pPr>
        <w:pStyle w:val="Heading3"/>
      </w:pPr>
      <w:bookmarkStart w:id="7368" w:name="_Toc6064"/>
      <w:r>
        <w:t>5569- دیوان فرهاد اشتری‏</w:t>
      </w:r>
      <w:bookmarkEnd w:id="7368"/>
    </w:p>
    <w:p>
      <w:pPr>
        <w:pStyle w:val="BookText"/>
      </w:pPr>
      <w:r>
        <w:rPr>
          <w:rFonts w:ascii="IRNazanin" w:hAnsi="IRNazanin" w:eastAsia="IRNazanin" w:cs="IRNazanin"/>
          <w:lang w:bidi="fa-IR"/>
          <w:color w:val="111111"/>
          <w:sz w:val="28"/>
          <w:szCs w:val="28"/>
          <w:rtl/>
        </w:rPr>
        <w:t xml:space="preserve">و اسمه علی بن أحمد المعاصر بطهران. طبع له بها منظومة ستاره سحری فی 1363 فی 40 ص.</w:t>
      </w:r>
    </w:p>
    <w:p>
      <w:pPr>
        <w:pStyle w:val="Heading3"/>
      </w:pPr>
      <w:bookmarkStart w:id="7369" w:name="_Toc6065"/>
      <w:r>
        <w:t>5570- دیوان فرهاد میرزا</w:t>
      </w:r>
      <w:bookmarkEnd w:id="7369"/>
    </w:p>
    <w:p>
      <w:pPr>
        <w:pStyle w:val="BookText"/>
      </w:pPr>
      <w:r>
        <w:rPr>
          <w:rFonts w:ascii="IRNazanin" w:hAnsi="IRNazanin" w:eastAsia="IRNazanin" w:cs="IRNazanin"/>
          <w:lang w:bidi="fa-IR"/>
          <w:color w:val="111111"/>
          <w:sz w:val="28"/>
          <w:szCs w:val="28"/>
          <w:rtl/>
        </w:rPr>
        <w:t xml:space="preserve">معتمد الدولة بن نائب السلطنة عباس میرزا ابن السلطان فتح علی شاه القاجار. ترجمه فی (مع- ج 1 ص 46) و أورد نیفا و ثلاثمائة بیت منه قصیدة و غزلا و رباعیة و قطعة. ولد حدود 1230 و توفی 1305 و حمل إلی الکاظمیة
</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bookmarkStart w:id="819" w:name="pg11704_122305"/>
    <w:bookmarkEnd w:id="819"/>
    <w:p>
      <w:pPr>
        <w:pStyle w:val="BookText"/>
      </w:pPr>
      <w:r>
        <w:rPr>
          <w:rFonts w:ascii="IRNazanin" w:hAnsi="IRNazanin" w:eastAsia="IRNazanin" w:cs="IRNazanin"/>
          <w:lang w:bidi="fa-IR"/>
          <w:color w:val="111111"/>
          <w:sz w:val="28"/>
          <w:szCs w:val="28"/>
          <w:rtl/>
        </w:rPr>
        <w:t xml:space="preserve">و دفن بمقبرته التی هیأها لنفسه عند تعمیره للصحن، و یعرف بالفرهادیة. أورد شعره فی تذکره علوی- ص 18.</w:t>
      </w:r>
    </w:p>
    <w:p>
      <w:pPr>
        <w:pStyle w:val="Heading3"/>
      </w:pPr>
      <w:bookmarkStart w:id="7370" w:name="_Toc6066"/>
      <w:r>
        <w:t>5571- دیوان فرهادی ما وراء النهری‏</w:t>
      </w:r>
      <w:bookmarkEnd w:id="7370"/>
    </w:p>
    <w:p>
      <w:pPr>
        <w:pStyle w:val="BookText"/>
      </w:pPr>
      <w:r>
        <w:rPr>
          <w:rFonts w:ascii="IRNazanin" w:hAnsi="IRNazanin" w:eastAsia="IRNazanin" w:cs="IRNazanin"/>
          <w:lang w:bidi="fa-IR"/>
          <w:color w:val="111111"/>
          <w:sz w:val="28"/>
          <w:szCs w:val="28"/>
          <w:rtl/>
        </w:rPr>
        <w:t xml:space="preserve">من شعراء عبید خان و ملازمیه. ترجمه فی (مجتس 6- ص 158) و أورد شعره.</w:t>
      </w:r>
    </w:p>
    <w:p>
      <w:pPr>
        <w:pStyle w:val="Heading3"/>
      </w:pPr>
      <w:bookmarkStart w:id="7371" w:name="_Toc6067"/>
      <w:r>
        <w:t>دیوان فرهنگ أصفهانی‏</w:t>
      </w:r>
      <w:bookmarkEnd w:id="7371"/>
    </w:p>
    <w:p>
      <w:pPr>
        <w:pStyle w:val="BookText"/>
      </w:pPr>
      <w:r>
        <w:rPr>
          <w:rFonts w:ascii="IRNazanin" w:hAnsi="IRNazanin" w:eastAsia="IRNazanin" w:cs="IRNazanin"/>
          <w:lang w:bidi="fa-IR"/>
          <w:color w:val="111111"/>
          <w:sz w:val="28"/>
          <w:szCs w:val="28"/>
          <w:rtl/>
        </w:rPr>
        <w:t xml:space="preserve">و اسمه محمد علی المذهب للمصاحف و صاحب طرب الأحباب ترجمه معاصره فی (مع- ج 2 ص 399) و أورد قرب عشرین بیتا من شعره و مر بعنوان بهار أصفهانی فی ص 144.</w:t>
      </w:r>
    </w:p>
    <w:p>
      <w:pPr>
        <w:pStyle w:val="Heading3"/>
      </w:pPr>
      <w:bookmarkStart w:id="7372" w:name="_Toc6068"/>
      <w:r>
        <w:t>5572- دیوان فرهنگ شیرازی‏</w:t>
      </w:r>
      <w:bookmarkEnd w:id="7372"/>
    </w:p>
    <w:p>
      <w:pPr>
        <w:pStyle w:val="BookText"/>
      </w:pPr>
      <w:r>
        <w:rPr>
          <w:rFonts w:ascii="IRNazanin" w:hAnsi="IRNazanin" w:eastAsia="IRNazanin" w:cs="IRNazanin"/>
          <w:lang w:bidi="fa-IR"/>
          <w:color w:val="111111"/>
          <w:sz w:val="28"/>
          <w:szCs w:val="28"/>
          <w:rtl/>
        </w:rPr>
        <w:t xml:space="preserve">و هو المیرزا أبو القاسم بن المیرزا کوچک المتخلص بوصال. ترجمه و أورد تصویره فی گلشن وصال- ص 400 و ذکر أنه ولد 1242 و توفی 1309 و اقتدی بأبیه فی مشقه للخطوط السبعة و تحسینها و أورد نموذج خطوطه و کثیرا من شعره و ترجمه فی (المآثر- ص 206) و (عم 354) و فارس‏نامه- 2: 150 و نمونه خطوط خوش و جاء تاریخه فی بدیع التواریخ‏</w:t>
      </w:r>
    </w:p>
    <w:p>
      <w:pPr>
        <w:pStyle w:val="BookText"/>
      </w:pPr>
      <w:r>
        <w:rPr>
          <w:rFonts w:ascii="IRNazanin" w:hAnsi="IRNazanin" w:eastAsia="IRNazanin" w:cs="IRNazanin"/>
          <w:lang w:bidi="fa-IR"/>
          <w:color w:val="111111"/>
          <w:sz w:val="28"/>
          <w:szCs w:val="28"/>
          <w:rtl/>
        </w:rPr>
        <w:t xml:space="preserve">کلک نعمت بهر تاریخ وفاتش زد رقم‏</w:t>
      </w:r>
    </w:p>
    <w:p>
      <w:pPr>
        <w:pStyle w:val="BookText"/>
      </w:pPr>
      <w:r>
        <w:rPr>
          <w:rFonts w:ascii="IRNazanin" w:hAnsi="IRNazanin" w:eastAsia="IRNazanin" w:cs="IRNazanin"/>
          <w:lang w:bidi="fa-IR"/>
          <w:color w:val="111111"/>
          <w:sz w:val="28"/>
          <w:szCs w:val="28"/>
          <w:rtl/>
        </w:rPr>
        <w:t xml:space="preserve">شافع فرهنگ راد ای دل أبو القاسم بود</w:t>
      </w:r>
    </w:p>
    <w:p>
      <w:pPr>
        <w:pStyle w:val="Heading3"/>
      </w:pPr>
      <w:bookmarkStart w:id="7373" w:name="_Toc6069"/>
      <w:r>
        <w:t>5573- دیوان فرهی‏</w:t>
      </w:r>
      <w:bookmarkEnd w:id="7373"/>
    </w:p>
    <w:p>
      <w:pPr>
        <w:pStyle w:val="BookText"/>
      </w:pPr>
      <w:r>
        <w:rPr>
          <w:rFonts w:ascii="IRNazanin" w:hAnsi="IRNazanin" w:eastAsia="IRNazanin" w:cs="IRNazanin"/>
          <w:lang w:bidi="fa-IR"/>
          <w:color w:val="111111"/>
          <w:sz w:val="28"/>
          <w:szCs w:val="28"/>
          <w:rtl/>
        </w:rPr>
        <w:t xml:space="preserve">ترجمه النصرآبادی فی (نر 9- ص 378) بعنوان ملا فرهی الرشتی و أورد قطعة له یظهر منها أن تخلصه فریبی و هی:</w:t>
      </w:r>
    </w:p>
    <w:p>
      <w:pPr>
        <w:pStyle w:val="BookText"/>
      </w:pPr>
      <w:r>
        <w:rPr>
          <w:rFonts w:ascii="IRNazanin" w:hAnsi="IRNazanin" w:eastAsia="IRNazanin" w:cs="IRNazanin"/>
          <w:lang w:bidi="fa-IR"/>
          <w:color w:val="111111"/>
          <w:sz w:val="28"/>
          <w:szCs w:val="28"/>
          <w:rtl/>
        </w:rPr>
        <w:t xml:space="preserve">همین بس است گلم را میان لاله رخان‏</w:t>
      </w:r>
    </w:p>
    <w:p>
      <w:pPr>
        <w:pStyle w:val="BookText"/>
      </w:pPr>
      <w:r>
        <w:rPr>
          <w:rFonts w:ascii="IRNazanin" w:hAnsi="IRNazanin" w:eastAsia="IRNazanin" w:cs="IRNazanin"/>
          <w:lang w:bidi="fa-IR"/>
          <w:color w:val="111111"/>
          <w:sz w:val="28"/>
          <w:szCs w:val="28"/>
          <w:rtl/>
        </w:rPr>
        <w:t xml:space="preserve">که بلبلی چو فریبی خوش‏نوا دارد</w:t>
      </w:r>
    </w:p>
    <w:p>
      <w:pPr>
        <w:pStyle w:val="BookText"/>
      </w:pPr>
      <w:r>
        <w:rPr>
          <w:rFonts w:ascii="IRNazanin" w:hAnsi="IRNazanin" w:eastAsia="IRNazanin" w:cs="IRNazanin"/>
          <w:lang w:bidi="fa-IR"/>
          <w:color w:val="111111"/>
          <w:sz w:val="28"/>
          <w:szCs w:val="28"/>
          <w:rtl/>
        </w:rPr>
        <w:t xml:space="preserve">فالمظنون أن فرهی من غلط النسخة.</w:t>
      </w:r>
    </w:p>
    <w:p>
      <w:pPr>
        <w:pStyle w:val="Heading3"/>
      </w:pPr>
      <w:bookmarkStart w:id="7374" w:name="_Toc6070"/>
      <w:r>
        <w:t>5574- دیوان فریاد عظیم‏آبادی‏</w:t>
      </w:r>
      <w:bookmarkEnd w:id="7374"/>
    </w:p>
    <w:p>
      <w:pPr>
        <w:pStyle w:val="BookText"/>
      </w:pPr>
      <w:r>
        <w:rPr>
          <w:rFonts w:ascii="IRNazanin" w:hAnsi="IRNazanin" w:eastAsia="IRNazanin" w:cs="IRNazanin"/>
          <w:lang w:bidi="fa-IR"/>
          <w:color w:val="111111"/>
          <w:sz w:val="28"/>
          <w:szCs w:val="28"/>
          <w:rtl/>
        </w:rPr>
        <w:t xml:space="preserve">و هو السید شاه ألفت حسین الموسوی. له دبستان أخلاق ألفه لواجد علی شاه خاتم السلاطین بالهند أورد شعره فی (گلشن- ص 316).</w:t>
      </w:r>
    </w:p>
    <w:p>
      <w:pPr>
        <w:pStyle w:val="Heading3"/>
      </w:pPr>
      <w:bookmarkStart w:id="7375" w:name="_Toc6071"/>
      <w:r>
        <w:t>5575- دیوان فریب أصفهانی‏</w:t>
      </w:r>
      <w:bookmarkEnd w:id="7375"/>
    </w:p>
    <w:p>
      <w:pPr>
        <w:pStyle w:val="BookText"/>
      </w:pPr>
      <w:r>
        <w:rPr>
          <w:rFonts w:ascii="IRNazanin" w:hAnsi="IRNazanin" w:eastAsia="IRNazanin" w:cs="IRNazanin"/>
          <w:lang w:bidi="fa-IR"/>
          <w:color w:val="111111"/>
          <w:sz w:val="28"/>
          <w:szCs w:val="28"/>
          <w:rtl/>
        </w:rPr>
        <w:t xml:space="preserve">المیرزا عبد الغفار الطبیب بن المیرزا فتح علی خوشنویس. ترجمه معاصره فی (مع- ج 2 ص 390) و أطری طبعه و رسالته فی الوباء و منظومته تشریح منظوم مع حسن خطه حتی أنه کان تخلصه أولا خطاط ثم تخلص فریب و أورد قرب ثلاثمائة بیت من شعره.</w:t>
      </w:r>
    </w:p>
    <w:p>
      <w:pPr>
        <w:pStyle w:val="Heading3"/>
      </w:pPr>
      <w:bookmarkStart w:id="7376" w:name="_Toc6072"/>
      <w:r>
        <w:t>5576- دیوان فریب کرمانی أو شعره‏</w:t>
      </w:r>
      <w:bookmarkEnd w:id="7376"/>
    </w:p>
    <w:p>
      <w:pPr>
        <w:pStyle w:val="BookText"/>
      </w:pPr>
      <w:r>
        <w:rPr>
          <w:rFonts w:ascii="IRNazanin" w:hAnsi="IRNazanin" w:eastAsia="IRNazanin" w:cs="IRNazanin"/>
          <w:lang w:bidi="fa-IR"/>
          <w:color w:val="111111"/>
          <w:sz w:val="28"/>
          <w:szCs w:val="28"/>
          <w:rtl/>
        </w:rPr>
        <w:t xml:space="preserve">کان من شعراء الشاه عباس. ترجمه و أورد شعره‏
</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bookmarkStart w:id="820" w:name="pg11704_122306"/>
    <w:bookmarkEnd w:id="820"/>
    <w:p>
      <w:pPr>
        <w:pStyle w:val="BookText"/>
      </w:pPr>
      <w:r>
        <w:rPr>
          <w:rFonts w:ascii="IRNazanin" w:hAnsi="IRNazanin" w:eastAsia="IRNazanin" w:cs="IRNazanin"/>
          <w:lang w:bidi="fa-IR"/>
          <w:color w:val="111111"/>
          <w:sz w:val="28"/>
          <w:szCs w:val="28"/>
          <w:rtl/>
        </w:rPr>
        <w:t xml:space="preserve">فی (گلشن- ص 316).</w:t>
      </w:r>
    </w:p>
    <w:p>
      <w:pPr>
        <w:pStyle w:val="Heading3"/>
      </w:pPr>
      <w:bookmarkStart w:id="7377" w:name="_Toc6073"/>
      <w:r>
        <w:t>5577- دیوان فریبی أصفهانی‏</w:t>
      </w:r>
      <w:bookmarkEnd w:id="7377"/>
    </w:p>
    <w:p>
      <w:pPr>
        <w:pStyle w:val="BookText"/>
      </w:pPr>
      <w:r>
        <w:rPr>
          <w:rFonts w:ascii="IRNazanin" w:hAnsi="IRNazanin" w:eastAsia="IRNazanin" w:cs="IRNazanin"/>
          <w:lang w:bidi="fa-IR"/>
          <w:color w:val="111111"/>
          <w:sz w:val="28"/>
          <w:szCs w:val="28"/>
          <w:rtl/>
        </w:rPr>
        <w:t xml:space="preserve">و هو المیرزا حبیب الله بن المیرزا رجب الطهرانی ولد بأصفهان و نشا و مات بها و أرخ وفاته معاصره بیگدلی بقوله [شد بجنة المأوی میرزا حبیب الله‏] ترجمه و أورد شعره فی (تش- ص 407).</w:t>
      </w:r>
    </w:p>
    <w:p>
      <w:pPr>
        <w:pStyle w:val="Heading3"/>
      </w:pPr>
      <w:bookmarkStart w:id="7378" w:name="_Toc6074"/>
      <w:r>
        <w:t>دیوان فریبی أصفهانی‏</w:t>
      </w:r>
      <w:bookmarkEnd w:id="7378"/>
    </w:p>
    <w:p>
      <w:pPr>
        <w:pStyle w:val="BookText"/>
      </w:pPr>
      <w:r>
        <w:rPr>
          <w:rFonts w:ascii="IRNazanin" w:hAnsi="IRNazanin" w:eastAsia="IRNazanin" w:cs="IRNazanin"/>
          <w:lang w:bidi="fa-IR"/>
          <w:color w:val="111111"/>
          <w:sz w:val="28"/>
          <w:szCs w:val="28"/>
          <w:rtl/>
        </w:rPr>
        <w:t xml:space="preserve">و اسمه آقا زمان زرکش ترجمه فی (نر 9- ص 332) راجع دیوان زرکش فی ص 401.</w:t>
      </w:r>
    </w:p>
    <w:p>
      <w:pPr>
        <w:pStyle w:val="Heading3"/>
      </w:pPr>
      <w:bookmarkStart w:id="7379" w:name="_Toc6075"/>
      <w:r>
        <w:t>دیوان فریبی رازی‏</w:t>
      </w:r>
      <w:bookmarkEnd w:id="7379"/>
    </w:p>
    <w:p>
      <w:pPr>
        <w:pStyle w:val="BookText"/>
      </w:pPr>
      <w:r>
        <w:rPr>
          <w:rFonts w:ascii="IRNazanin" w:hAnsi="IRNazanin" w:eastAsia="IRNazanin" w:cs="IRNazanin"/>
          <w:lang w:bidi="fa-IR"/>
          <w:color w:val="111111"/>
          <w:sz w:val="28"/>
          <w:szCs w:val="28"/>
          <w:rtl/>
        </w:rPr>
        <w:t xml:space="preserve">مر بعنوان شاپور رازی فی ص 490.</w:t>
      </w:r>
    </w:p>
    <w:p>
      <w:pPr>
        <w:pStyle w:val="Heading3"/>
      </w:pPr>
      <w:bookmarkStart w:id="7380" w:name="_Toc6076"/>
      <w:r>
        <w:t>دیوان فریبی رشتی‏</w:t>
      </w:r>
      <w:bookmarkEnd w:id="7380"/>
    </w:p>
    <w:p>
      <w:pPr>
        <w:pStyle w:val="BookText"/>
      </w:pPr>
      <w:r>
        <w:rPr>
          <w:rFonts w:ascii="IRNazanin" w:hAnsi="IRNazanin" w:eastAsia="IRNazanin" w:cs="IRNazanin"/>
          <w:lang w:bidi="fa-IR"/>
          <w:color w:val="111111"/>
          <w:sz w:val="28"/>
          <w:szCs w:val="28"/>
          <w:rtl/>
        </w:rPr>
        <w:t xml:space="preserve">کما یظهر من شعره المذکور فی تذکره النصرآبادی ص 378 تحت عنوان ملا فرهی الرشتی کما مر فی ص 829.</w:t>
      </w:r>
    </w:p>
    <w:p>
      <w:pPr>
        <w:pStyle w:val="Heading3"/>
      </w:pPr>
      <w:bookmarkStart w:id="7381" w:name="_Toc6077"/>
      <w:r>
        <w:t>5578- دیوان فریبی سمنانی‏</w:t>
      </w:r>
      <w:bookmarkEnd w:id="7381"/>
    </w:p>
    <w:p>
      <w:pPr>
        <w:pStyle w:val="BookText"/>
      </w:pPr>
      <w:r>
        <w:rPr>
          <w:rFonts w:ascii="IRNazanin" w:hAnsi="IRNazanin" w:eastAsia="IRNazanin" w:cs="IRNazanin"/>
          <w:lang w:bidi="fa-IR"/>
          <w:color w:val="111111"/>
          <w:sz w:val="28"/>
          <w:szCs w:val="28"/>
          <w:rtl/>
        </w:rPr>
        <w:t xml:space="preserve">أو شعره من أقرباء قاضی سمنان. ترجمه معاصره الصادقی فی (خص 6- ص 93) و أورد شعره.</w:t>
      </w:r>
    </w:p>
    <w:p>
      <w:pPr>
        <w:pStyle w:val="Heading3"/>
      </w:pPr>
      <w:bookmarkStart w:id="7382" w:name="_Toc6078"/>
      <w:r>
        <w:t>دیوان فریبی طهرانی‏</w:t>
      </w:r>
      <w:bookmarkEnd w:id="7382"/>
    </w:p>
    <w:p>
      <w:pPr>
        <w:pStyle w:val="BookText"/>
      </w:pPr>
      <w:r>
        <w:rPr>
          <w:rFonts w:ascii="IRNazanin" w:hAnsi="IRNazanin" w:eastAsia="IRNazanin" w:cs="IRNazanin"/>
          <w:lang w:bidi="fa-IR"/>
          <w:color w:val="111111"/>
          <w:sz w:val="28"/>
          <w:szCs w:val="28"/>
          <w:rtl/>
        </w:rPr>
        <w:t xml:space="preserve">من المنسوبین إلی أمیدی الطهرانی. ذکره الصادقی فی (خص 8- ص 201) و أورد نیفا و عشرین بیتا من أشعاره و کذا فی (همیشه بهار) و الظاهر أنه شاپور رازی المذکور فی ص 490.</w:t>
      </w:r>
    </w:p>
    <w:p>
      <w:pPr>
        <w:pStyle w:val="Heading3"/>
      </w:pPr>
      <w:bookmarkStart w:id="7383" w:name="_Toc6079"/>
      <w:r>
        <w:t>5579- دیوان فریبی کشمیری أو شعره‏</w:t>
      </w:r>
      <w:bookmarkEnd w:id="7383"/>
    </w:p>
    <w:p>
      <w:pPr>
        <w:pStyle w:val="BookText"/>
      </w:pPr>
      <w:r>
        <w:rPr>
          <w:rFonts w:ascii="IRNazanin" w:hAnsi="IRNazanin" w:eastAsia="IRNazanin" w:cs="IRNazanin"/>
          <w:lang w:bidi="fa-IR"/>
          <w:color w:val="111111"/>
          <w:sz w:val="28"/>
          <w:szCs w:val="28"/>
          <w:rtl/>
        </w:rPr>
        <w:t xml:space="preserve">و اسمه المیر عبد الله الملقب مژه لأنه کان یغمز بطرفه عند المکالمة کثیرا لا عن قصد، ترجمه فی (میخانه- ص 571) و أورد شعره و قال شعره کثیر و لم یجمعه إلی الآن. ولد بکشمیر و لم یتحمل مشقة الأسفار.</w:t>
      </w:r>
    </w:p>
    <w:p>
      <w:pPr>
        <w:pStyle w:val="Heading3"/>
      </w:pPr>
      <w:bookmarkStart w:id="7384" w:name="_Toc6080"/>
      <w:r>
        <w:t>دیوان فرید أحوال‏</w:t>
      </w:r>
      <w:bookmarkEnd w:id="7384"/>
    </w:p>
    <w:p>
      <w:pPr>
        <w:pStyle w:val="BookText"/>
      </w:pPr>
      <w:r>
        <w:rPr>
          <w:rFonts w:ascii="IRNazanin" w:hAnsi="IRNazanin" w:eastAsia="IRNazanin" w:cs="IRNazanin"/>
          <w:lang w:bidi="fa-IR"/>
          <w:color w:val="111111"/>
          <w:sz w:val="28"/>
          <w:szCs w:val="28"/>
          <w:rtl/>
        </w:rPr>
        <w:t xml:space="preserve">راجع فرید أصفهانی و دیوان أحول فی ص 60.</w:t>
      </w:r>
    </w:p>
    <w:p>
      <w:pPr>
        <w:pStyle w:val="Heading3"/>
      </w:pPr>
      <w:bookmarkStart w:id="7385" w:name="_Toc6081"/>
      <w:r>
        <w:t>5580- دیوان فرید أصفهانی‏</w:t>
      </w:r>
      <w:bookmarkEnd w:id="7385"/>
    </w:p>
    <w:p>
      <w:pPr>
        <w:pStyle w:val="BookText"/>
      </w:pPr>
      <w:r>
        <w:rPr>
          <w:rFonts w:ascii="IRNazanin" w:hAnsi="IRNazanin" w:eastAsia="IRNazanin" w:cs="IRNazanin"/>
          <w:lang w:bidi="fa-IR"/>
          <w:color w:val="111111"/>
          <w:sz w:val="28"/>
          <w:szCs w:val="28"/>
          <w:rtl/>
        </w:rPr>
        <w:t xml:space="preserve">و اسمه المعروف به هو فرید الدین الأحول معاصر شیخ سعدی و مداح سعد بن زنگی. ترجمه فی (مع- ج 1 ص 377) و (لت 3) و (تش- ص 183) و (تغ- ص 101) و قال إن دیوانه فی ألفی بیت و أورد منه قرب مائتی بیت و فی مجلة دانش العدد 4 أنه مطبوع من نشریات مکتبة مهر و توجد دیوان الأحول فی (الرضویة) کما مر، فی ص 60 و توجد نسخه أخری منه عند (الملک 5307) کتبت فی القرن الحادی عشر.</w:t>
      </w:r>
    </w:p>
    <w:p>
      <w:pPr>
        <w:pStyle w:val="Heading3"/>
      </w:pPr>
      <w:bookmarkStart w:id="7386" w:name="_Toc6082"/>
      <w:r>
        <w:t>5581- دیوان فرید چالشتری‏</w:t>
      </w:r>
      <w:bookmarkEnd w:id="7386"/>
    </w:p>
    <w:p>
      <w:pPr>
        <w:pStyle w:val="BookText"/>
      </w:pPr>
      <w:r>
        <w:rPr>
          <w:rFonts w:ascii="IRNazanin" w:hAnsi="IRNazanin" w:eastAsia="IRNazanin" w:cs="IRNazanin"/>
          <w:lang w:bidi="fa-IR"/>
          <w:color w:val="111111"/>
          <w:sz w:val="28"/>
          <w:szCs w:val="28"/>
          <w:rtl/>
        </w:rPr>
        <w:t xml:space="preserve">و اسمه محمد دهبان الأصفهانی ابن غلام علی ولد 1288 ش. و مات 1317 ش. طبع قسم من دیوانه فی 1352 فی 62 ص. ترجمه فی (شعرای‏
</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bookmarkStart w:id="821" w:name="pg11704_122307"/>
    <w:bookmarkEnd w:id="821"/>
    <w:p>
      <w:pPr>
        <w:pStyle w:val="BookText"/>
      </w:pPr>
      <w:r>
        <w:rPr>
          <w:rFonts w:ascii="IRNazanin" w:hAnsi="IRNazanin" w:eastAsia="IRNazanin" w:cs="IRNazanin"/>
          <w:lang w:bidi="fa-IR"/>
          <w:color w:val="111111"/>
          <w:sz w:val="28"/>
          <w:szCs w:val="28"/>
          <w:rtl/>
        </w:rPr>
        <w:t xml:space="preserve">معاصر أصفهان- ص 354) و (أدبیات معاصر- ص 99).</w:t>
      </w:r>
    </w:p>
    <w:p>
      <w:pPr>
        <w:pStyle w:val="Heading3"/>
      </w:pPr>
      <w:bookmarkStart w:id="7387" w:name="_Toc6083"/>
      <w:r>
        <w:t>5582- دیوان فرید خراسانی‏</w:t>
      </w:r>
      <w:bookmarkEnd w:id="7387"/>
    </w:p>
    <w:p>
      <w:pPr>
        <w:pStyle w:val="BookText"/>
      </w:pPr>
      <w:r>
        <w:rPr>
          <w:rFonts w:ascii="IRNazanin" w:hAnsi="IRNazanin" w:eastAsia="IRNazanin" w:cs="IRNazanin"/>
          <w:lang w:bidi="fa-IR"/>
          <w:color w:val="111111"/>
          <w:sz w:val="28"/>
          <w:szCs w:val="28"/>
          <w:rtl/>
        </w:rPr>
        <w:t xml:space="preserve">و اسمه فرید الدین کان من کتاب السلطان سنجر ترجمه فی (مع- ج 1 ص 377) و ذکر أن من مصنوعاته الشعریة نظم ترکیب بند التزم فی مصاریع کل بند بشی‏ء، فالتزم فی البند الأول بذکر الید و الرجل فی کل مصراع، و فی البند الثانی التزم بذکر اللیل و النهار فی مصاریعه، و فی الثالث الروح و القلب، و فی الرابع الشمس و الفی‏ء و غیر ذلک، کذا فی (حسینی 351) و (لت 2) و (تغ- ص 101).</w:t>
      </w:r>
    </w:p>
    <w:p>
      <w:pPr>
        <w:pStyle w:val="Heading3"/>
      </w:pPr>
      <w:bookmarkStart w:id="7388" w:name="_Toc6084"/>
      <w:r>
        <w:t>دیوان فرید الدین النیشابوری‏</w:t>
      </w:r>
      <w:bookmarkEnd w:id="7388"/>
    </w:p>
    <w:p>
      <w:pPr>
        <w:pStyle w:val="BookText"/>
      </w:pPr>
      <w:r>
        <w:rPr>
          <w:rFonts w:ascii="IRNazanin" w:hAnsi="IRNazanin" w:eastAsia="IRNazanin" w:cs="IRNazanin"/>
          <w:lang w:bidi="fa-IR"/>
          <w:color w:val="111111"/>
          <w:sz w:val="28"/>
          <w:szCs w:val="28"/>
          <w:rtl/>
        </w:rPr>
        <w:t xml:space="preserve">مر بعنوان العطار.</w:t>
      </w:r>
    </w:p>
    <w:p>
      <w:pPr>
        <w:pStyle w:val="Heading3"/>
      </w:pPr>
      <w:bookmarkStart w:id="7389" w:name="_Toc6085"/>
      <w:r>
        <w:t>5583- دیوان فرید دهلوی‏</w:t>
      </w:r>
      <w:bookmarkEnd w:id="7389"/>
    </w:p>
    <w:p>
      <w:pPr>
        <w:pStyle w:val="BookText"/>
      </w:pPr>
      <w:r>
        <w:rPr>
          <w:rFonts w:ascii="IRNazanin" w:hAnsi="IRNazanin" w:eastAsia="IRNazanin" w:cs="IRNazanin"/>
          <w:lang w:bidi="fa-IR"/>
          <w:color w:val="111111"/>
          <w:sz w:val="28"/>
          <w:szCs w:val="28"/>
          <w:rtl/>
        </w:rPr>
        <w:t xml:space="preserve">و هو فرید الدین مسعود الملقب گنج شکر ابن جمال الدین سلیمان. من مشایخ الصوفیة بالهند جاء والده إلی کابل فولد له هناک عز الدین محمد و فرید الدین مسعود و نجیب الدین متوکل، ثم هاجروا إلی دهلی و تلمذ علی قطب الدین محمد الکاکی و مات 664 ترجمه و أورد شعره فی (حسینی- ص 233- 241) و (مع 1: 374).</w:t>
      </w:r>
    </w:p>
    <w:p>
      <w:pPr>
        <w:pStyle w:val="Heading3"/>
      </w:pPr>
      <w:bookmarkStart w:id="7390" w:name="_Toc6086"/>
      <w:r>
        <w:t>5584- دیوان فرید فارسی أو شعره‏</w:t>
      </w:r>
      <w:bookmarkEnd w:id="7390"/>
    </w:p>
    <w:p>
      <w:pPr>
        <w:pStyle w:val="BookText"/>
      </w:pPr>
      <w:r>
        <w:rPr>
          <w:rFonts w:ascii="IRNazanin" w:hAnsi="IRNazanin" w:eastAsia="IRNazanin" w:cs="IRNazanin"/>
          <w:lang w:bidi="fa-IR"/>
          <w:color w:val="111111"/>
          <w:sz w:val="28"/>
          <w:szCs w:val="28"/>
          <w:rtl/>
        </w:rPr>
        <w:t xml:space="preserve">ترجمه و أطری شعره فی (هفت 247).</w:t>
      </w:r>
    </w:p>
    <w:p>
      <w:pPr>
        <w:pStyle w:val="Heading3"/>
      </w:pPr>
      <w:bookmarkStart w:id="7391" w:name="_Toc6087"/>
      <w:r>
        <w:t>دیوان فریدون ترک‏</w:t>
      </w:r>
      <w:bookmarkEnd w:id="7391"/>
    </w:p>
    <w:p>
      <w:pPr>
        <w:pStyle w:val="BookText"/>
      </w:pPr>
      <w:r>
        <w:rPr>
          <w:rFonts w:ascii="IRNazanin" w:hAnsi="IRNazanin" w:eastAsia="IRNazanin" w:cs="IRNazanin"/>
          <w:lang w:bidi="fa-IR"/>
          <w:color w:val="111111"/>
          <w:sz w:val="28"/>
          <w:szCs w:val="28"/>
          <w:rtl/>
        </w:rPr>
        <w:t xml:space="preserve">مر فی السین بتخلصه سابق ترک فی ص 415.</w:t>
      </w:r>
    </w:p>
    <w:p>
      <w:pPr>
        <w:pStyle w:val="Heading3"/>
      </w:pPr>
      <w:bookmarkStart w:id="7392" w:name="_Toc6088"/>
      <w:r>
        <w:t>5585- دیوان فریدون شیرازی أو شعره‏</w:t>
      </w:r>
      <w:bookmarkEnd w:id="7392"/>
    </w:p>
    <w:p>
      <w:pPr>
        <w:pStyle w:val="BookText"/>
      </w:pPr>
      <w:r>
        <w:rPr>
          <w:rFonts w:ascii="IRNazanin" w:hAnsi="IRNazanin" w:eastAsia="IRNazanin" w:cs="IRNazanin"/>
          <w:lang w:bidi="fa-IR"/>
          <w:color w:val="111111"/>
          <w:sz w:val="28"/>
          <w:szCs w:val="28"/>
          <w:rtl/>
        </w:rPr>
        <w:t xml:space="preserve">کان اشتغاله بشیراز سنین ثم هاجر منها إلی أصفهان و نزل بشمس‏آباد و تلمذ علی المولی رجب علی الحکیم و توفی و دفن فی جوار الحکیم بمقبرة بابا رکن الدین. ترجمه النصرآبادی فی (نر 6- ص 198) و أورد بعض أشعاره.</w:t>
      </w:r>
    </w:p>
    <w:p>
      <w:pPr>
        <w:pStyle w:val="Heading3"/>
      </w:pPr>
      <w:bookmarkStart w:id="7393" w:name="_Toc6089"/>
      <w:r>
        <w:t>5586- دیوان فریدون حسین میرزا أو شعره‏</w:t>
      </w:r>
      <w:bookmarkEnd w:id="7393"/>
    </w:p>
    <w:p>
      <w:pPr>
        <w:pStyle w:val="BookText"/>
      </w:pPr>
      <w:r>
        <w:rPr>
          <w:rFonts w:ascii="IRNazanin" w:hAnsi="IRNazanin" w:eastAsia="IRNazanin" w:cs="IRNazanin"/>
          <w:lang w:bidi="fa-IR"/>
          <w:color w:val="111111"/>
          <w:sz w:val="28"/>
          <w:szCs w:val="28"/>
          <w:rtl/>
        </w:rPr>
        <w:t xml:space="preserve">هو ابن السلطان حسین بایقرا حسینی گورکانی المذکور فی ص 255 ورث الفضائل عن أبیه کسائر إخوته بل فاق فی ذلک علیهم کما فی (لط- ص 128) و ترجمه أیضا سام میرزا و ذکر مجملا من تواریخه و إنه قتل 925 و ذکر بعض شعره و کذا فی (همیشه بهار) و (حسینی- ص 243) و قالوا کان معشوق أهلی خراسانی المذکور فی ص 112.</w:t>
      </w:r>
    </w:p>
    <w:p>
      <w:pPr>
        <w:pStyle w:val="Heading3"/>
      </w:pPr>
      <w:bookmarkStart w:id="7394" w:name="_Toc6090"/>
      <w:r>
        <w:t>5587- دیوان الفزار أو شعره‏</w:t>
      </w:r>
      <w:bookmarkEnd w:id="7394"/>
    </w:p>
    <w:p>
      <w:pPr>
        <w:pStyle w:val="BookText"/>
      </w:pPr>
      <w:r>
        <w:rPr>
          <w:rFonts w:ascii="IRNazanin" w:hAnsi="IRNazanin" w:eastAsia="IRNazanin" w:cs="IRNazanin"/>
          <w:lang w:bidi="fa-IR"/>
          <w:color w:val="111111"/>
          <w:sz w:val="28"/>
          <w:szCs w:val="28"/>
          <w:rtl/>
        </w:rPr>
        <w:t xml:space="preserve">عده ابن شهرآشوب فی (المعالم- ص 137) من المجاهرین فی مدیح أهل البیت و فزار من بیوت العرب.
</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bookmarkStart w:id="822" w:name="pg11704_122308"/>
    <w:bookmarkEnd w:id="822"/>
    <w:p>
      <w:pPr>
        <w:pStyle w:val="Heading3"/>
      </w:pPr>
      <w:bookmarkStart w:id="7395" w:name="_Toc6091"/>
      <w:r>
        <w:t>5588- دیوان فزونی أسترآبادی‏</w:t>
      </w:r>
      <w:bookmarkEnd w:id="7395"/>
    </w:p>
    <w:p>
      <w:pPr>
        <w:pStyle w:val="BookText"/>
      </w:pPr>
      <w:r>
        <w:rPr>
          <w:rFonts w:ascii="IRNazanin" w:hAnsi="IRNazanin" w:eastAsia="IRNazanin" w:cs="IRNazanin"/>
          <w:lang w:bidi="fa-IR"/>
          <w:color w:val="111111"/>
          <w:sz w:val="28"/>
          <w:szCs w:val="28"/>
          <w:rtl/>
        </w:rPr>
        <w:t xml:space="preserve">و هو هاشم بیگ بن جلال النقاش کما سماه فی میخانه 2- ص 444 و (گلشن- 317) و لیس محمود کما سمیناه فی (مستدرکات ج 7- ص 296) و هو صاحب کتاب بحیرة الذی ذکرناه فی (ج 3- ص 50 و 241)</w:t>
      </w:r>
      <w:r>
        <w:rPr>
          <w:rStyle w:val="FootnoteReference"/>
        </w:rPr>
        <w:footnoteReference w:id="67"/>
      </w:r>
      <w:r>
        <w:rPr>
          <w:rFonts w:ascii="IRNazanin" w:hAnsi="IRNazanin" w:eastAsia="IRNazanin" w:cs="IRNazanin"/>
          <w:lang w:bidi="fa-IR"/>
          <w:color w:val="111111"/>
          <w:sz w:val="28"/>
          <w:szCs w:val="28"/>
          <w:rtl/>
        </w:rPr>
        <w:t xml:space="preserve">قال فی میخانه ولد فزونی بأسترآباد و تربی بها و سافر فی شبابه إلی الهند للتجارة و سکن کشمیر و تقرب عند حاکمها ملک صفدر خان الذی حکم کشمیر من 1022 إلی أواخر 1024 و أوائل 1025 فانعزل و جاء إلی الهند و جاء معه فزونی فسافر فزونی إلی دکن و قد نظم ساقی‏نامه باسم الشاه عباس الصفوی من دون أن یراه کذا فی میخانه.</w:t>
      </w:r>
    </w:p>
    <w:p>
      <w:pPr>
        <w:pStyle w:val="BookText"/>
      </w:pPr>
      <w:r>
        <w:rPr>
          <w:rFonts w:ascii="IRNazanin" w:hAnsi="IRNazanin" w:eastAsia="IRNazanin" w:cs="IRNazanin"/>
          <w:lang w:bidi="fa-IR"/>
          <w:color w:val="111111"/>
          <w:sz w:val="28"/>
          <w:szCs w:val="28"/>
          <w:rtl/>
        </w:rPr>
        <w:t xml:space="preserve">أقول: و ذکر له صاحب الریاض اللجین الطبریة فی التاریخ و یوجد فی المتحف البریطانی فتوحات عادلشاهی لمؤلف اسمه فزونی أسترآبادی کان حیا فی 1054 کذا فی حاشیة میخانه. و قال فی (گلشن- ص 317) إن اسمه محمد و کان خطاطا ماهرا فی الشطرنج. سافر إلی الهند فی 1017 و رجع إلی أصفهان و تجنن و مات بها.</w:t>
      </w:r>
    </w:p>
    <w:p>
      <w:pPr>
        <w:pStyle w:val="BookText"/>
      </w:pPr>
      <w:r>
        <w:rPr>
          <w:rFonts w:ascii="IRNazanin" w:hAnsi="IRNazanin" w:eastAsia="IRNazanin" w:cs="IRNazanin"/>
          <w:lang w:bidi="fa-IR"/>
          <w:color w:val="111111"/>
          <w:sz w:val="28"/>
          <w:szCs w:val="28"/>
          <w:rtl/>
        </w:rPr>
        <w:t xml:space="preserve">و فی (روشن- ص 528) سماه محمود و قال هو معاصر لفزونی السبزواری الأصفهانی المسکن أیضا. و استظهر فی الریحانة اتحادهم جمیعا مع فزونی سمنانی الآتی.</w:t>
      </w:r>
    </w:p>
    <w:p>
      <w:pPr>
        <w:pStyle w:val="Heading3"/>
      </w:pPr>
      <w:bookmarkStart w:id="7396" w:name="_Toc6092"/>
      <w:r>
        <w:t>دیوان فزونی سبزواری‏</w:t>
      </w:r>
      <w:bookmarkEnd w:id="7396"/>
    </w:p>
    <w:p>
      <w:pPr>
        <w:pStyle w:val="BookText"/>
      </w:pPr>
      <w:r>
        <w:rPr>
          <w:rFonts w:ascii="IRNazanin" w:hAnsi="IRNazanin" w:eastAsia="IRNazanin" w:cs="IRNazanin"/>
          <w:lang w:bidi="fa-IR"/>
          <w:color w:val="111111"/>
          <w:sz w:val="28"/>
          <w:szCs w:val="28"/>
          <w:rtl/>
        </w:rPr>
        <w:t xml:space="preserve">راجع فزونی أسترآبادی.</w:t>
      </w:r>
    </w:p>
    <w:p>
      <w:pPr>
        <w:pStyle w:val="Heading3"/>
      </w:pPr>
      <w:bookmarkStart w:id="7397" w:name="_Toc6093"/>
      <w:r>
        <w:t>5589- دیوان فزونی سمنانی‏</w:t>
      </w:r>
      <w:bookmarkEnd w:id="7397"/>
    </w:p>
    <w:p>
      <w:pPr>
        <w:pStyle w:val="BookText"/>
      </w:pPr>
      <w:r>
        <w:rPr>
          <w:rFonts w:ascii="IRNazanin" w:hAnsi="IRNazanin" w:eastAsia="IRNazanin" w:cs="IRNazanin"/>
          <w:lang w:bidi="fa-IR"/>
          <w:color w:val="111111"/>
          <w:sz w:val="28"/>
          <w:szCs w:val="28"/>
          <w:rtl/>
        </w:rPr>
        <w:t xml:space="preserve">کان من سادات سمنان. ترجمه و أورد شعره النصرآبادی فی (نر 9- 263) و (گلشن- ص 318). و راجع فزونی أسترآبادی.</w:t>
      </w:r>
    </w:p>
    <w:p>
      <w:pPr>
        <w:pStyle w:val="Heading3"/>
      </w:pPr>
      <w:bookmarkStart w:id="7398" w:name="_Toc6094"/>
      <w:r>
        <w:t>5590- دیوان فسونی أو شعره‏</w:t>
      </w:r>
      <w:bookmarkEnd w:id="7398"/>
    </w:p>
    <w:p>
      <w:pPr>
        <w:pStyle w:val="BookText"/>
      </w:pPr>
      <w:r>
        <w:rPr>
          <w:rFonts w:ascii="IRNazanin" w:hAnsi="IRNazanin" w:eastAsia="IRNazanin" w:cs="IRNazanin"/>
          <w:lang w:bidi="fa-IR"/>
          <w:color w:val="111111"/>
          <w:sz w:val="28"/>
          <w:szCs w:val="28"/>
          <w:rtl/>
        </w:rPr>
        <w:t xml:space="preserve">أورد شعره و أطرأه فی (خص 8- ص 290)</w:t>
      </w:r>
    </w:p>
    <w:p>
      <w:pPr>
        <w:pStyle w:val="Heading3"/>
      </w:pPr>
      <w:bookmarkStart w:id="7399" w:name="_Toc6095"/>
      <w:r>
        <w:t>5591- دیوان فسونی تبریزی‏</w:t>
      </w:r>
      <w:bookmarkEnd w:id="7399"/>
    </w:p>
    <w:p>
      <w:pPr>
        <w:pStyle w:val="BookText"/>
      </w:pPr>
      <w:r>
        <w:rPr>
          <w:rFonts w:ascii="IRNazanin" w:hAnsi="IRNazanin" w:eastAsia="IRNazanin" w:cs="IRNazanin"/>
          <w:lang w:bidi="fa-IR"/>
          <w:color w:val="111111"/>
          <w:sz w:val="28"/>
          <w:szCs w:val="28"/>
          <w:rtl/>
        </w:rPr>
        <w:t xml:space="preserve">و اسمه محمود بیک بن عبد الله ترجمه فی (خص 8- ص 203) و (تش- ص 32) و أورد من شعره أبیاتا منها قوله:</w:t>
      </w:r>
    </w:p>
    <w:p>
      <w:pPr>
        <w:pStyle w:val="BookText"/>
      </w:pPr>
      <w:r>
        <w:rPr>
          <w:rFonts w:ascii="IRNazanin" w:hAnsi="IRNazanin" w:eastAsia="IRNazanin" w:cs="IRNazanin"/>
          <w:lang w:bidi="fa-IR"/>
          <w:color w:val="111111"/>
          <w:sz w:val="28"/>
          <w:szCs w:val="28"/>
          <w:rtl/>
        </w:rPr>
        <w:t xml:space="preserve">خواب راحت شد از آن دیده که دیدن دانست‏</w:t>
      </w:r>
    </w:p>
    <w:p>
      <w:pPr>
        <w:pStyle w:val="BookText"/>
      </w:pPr>
      <w:r>
        <w:rPr>
          <w:rFonts w:ascii="IRNazanin" w:hAnsi="IRNazanin" w:eastAsia="IRNazanin" w:cs="IRNazanin"/>
          <w:lang w:bidi="fa-IR"/>
          <w:color w:val="111111"/>
          <w:sz w:val="28"/>
          <w:szCs w:val="28"/>
          <w:rtl/>
        </w:rPr>
        <w:t xml:space="preserve">رفت آسایش از آن دل که طپیدن دانست‏</w:t>
      </w:r>
    </w:p>
    <w:p>
      <w:pPr>
        <w:pStyle w:val="BookText"/>
      </w:pPr>
      <w:r>
        <w:rPr>
          <w:rFonts w:ascii="IRNazanin" w:hAnsi="IRNazanin" w:eastAsia="IRNazanin" w:cs="IRNazanin"/>
          <w:lang w:bidi="fa-IR"/>
          <w:color w:val="111111"/>
          <w:sz w:val="28"/>
          <w:szCs w:val="28"/>
          <w:rtl/>
        </w:rPr>
        <w:t xml:space="preserve">و ترجمه فی (دجا- ص 297) بعنوان محمود بیک بن عبد الله فسونی من صلحاء تبریز .
</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bookmarkStart w:id="823" w:name="pg11704_122309"/>
    <w:bookmarkEnd w:id="823"/>
    <w:p>
      <w:pPr>
        <w:pStyle w:val="BookText"/>
      </w:pPr>
      <w:r>
        <w:rPr>
          <w:rFonts w:ascii="IRNazanin" w:hAnsi="IRNazanin" w:eastAsia="IRNazanin" w:cs="IRNazanin"/>
          <w:lang w:bidi="fa-IR"/>
          <w:color w:val="111111"/>
          <w:sz w:val="28"/>
          <w:szCs w:val="28"/>
          <w:rtl/>
        </w:rPr>
        <w:t xml:space="preserve">و شعرائها و أطرأه نقلا عن خلاصة الأشعار ثم نقلا أیضا عن سفینه خوش‏گو و أورد له أشعار منها ما مر، و لم یذکر اسمه بل قال هو زوج أخت چلبی بیک العلامة و هاجر إلی بلاد الهند فی عهد أکبر شاه و اتصل بخان خانان إلی أن توفی بالله‏آباد 1027 و ذکر أن بدء اشتهاره من 998 و أن له رسالة فی الحساب و کتاب لغة فارسیة اسمه مفتاح المعانی و دیوان شعر و ذکره النفیسی أیضا فی فهرست فرهنگهای فارسی رقم 182 فی مقدمه برهان قاطع. و ترجمه فی (حسینی- ص 254) أیضا.</w:t>
      </w:r>
    </w:p>
    <w:p>
      <w:pPr>
        <w:pStyle w:val="Heading3"/>
      </w:pPr>
      <w:bookmarkStart w:id="7400" w:name="_Toc6096"/>
      <w:r>
        <w:t>5592- دیوان فسونی یزدی‏</w:t>
      </w:r>
      <w:bookmarkEnd w:id="7400"/>
    </w:p>
    <w:p>
      <w:pPr>
        <w:pStyle w:val="BookText"/>
      </w:pPr>
      <w:r>
        <w:rPr>
          <w:rFonts w:ascii="IRNazanin" w:hAnsi="IRNazanin" w:eastAsia="IRNazanin" w:cs="IRNazanin"/>
          <w:lang w:bidi="fa-IR"/>
          <w:color w:val="111111"/>
          <w:sz w:val="28"/>
          <w:szCs w:val="28"/>
          <w:rtl/>
        </w:rPr>
        <w:t xml:space="preserve">و اسمه إمام قلی بیک من إیل أستاجلو. ترجمه الصادقی فی (خص 7- ص 114) و أورد بعض أشعاره، منها قوله:</w:t>
      </w:r>
    </w:p>
    <w:p>
      <w:pPr>
        <w:pStyle w:val="BookText"/>
      </w:pPr>
      <w:r>
        <w:rPr>
          <w:rFonts w:ascii="IRNazanin" w:hAnsi="IRNazanin" w:eastAsia="IRNazanin" w:cs="IRNazanin"/>
          <w:lang w:bidi="fa-IR"/>
          <w:color w:val="111111"/>
          <w:sz w:val="28"/>
          <w:szCs w:val="28"/>
          <w:rtl/>
        </w:rPr>
        <w:t xml:space="preserve">کم التفاتی یوسف غرور محبوبی است‏</w:t>
      </w:r>
    </w:p>
    <w:p>
      <w:pPr>
        <w:pStyle w:val="BookText"/>
      </w:pPr>
      <w:r>
        <w:rPr>
          <w:rFonts w:ascii="IRNazanin" w:hAnsi="IRNazanin" w:eastAsia="IRNazanin" w:cs="IRNazanin"/>
          <w:lang w:bidi="fa-IR"/>
          <w:color w:val="111111"/>
          <w:sz w:val="28"/>
          <w:szCs w:val="28"/>
          <w:rtl/>
        </w:rPr>
        <w:t xml:space="preserve">و گر نه در پی محرومی زلیخا نیست‏</w:t>
      </w: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به هجرت زنده‏ام می‏بایدم کشت‏</w:t>
      </w:r>
    </w:p>
    <w:p>
      <w:pPr>
        <w:pStyle w:val="BookText"/>
      </w:pPr>
      <w:r>
        <w:rPr>
          <w:rFonts w:ascii="IRNazanin" w:hAnsi="IRNazanin" w:eastAsia="IRNazanin" w:cs="IRNazanin"/>
          <w:lang w:bidi="fa-IR"/>
          <w:color w:val="111111"/>
          <w:sz w:val="28"/>
          <w:szCs w:val="28"/>
          <w:rtl/>
        </w:rPr>
        <w:t xml:space="preserve">که در عشق این گنه بخشیدنی نیست‏</w:t>
      </w:r>
    </w:p>
    <w:p>
      <w:pPr>
        <w:pStyle w:val="BookText"/>
      </w:pPr>
      <w:r>
        <w:rPr>
          <w:rFonts w:ascii="IRNazanin" w:hAnsi="IRNazanin" w:eastAsia="IRNazanin" w:cs="IRNazanin"/>
          <w:lang w:bidi="fa-IR"/>
          <w:color w:val="111111"/>
          <w:sz w:val="28"/>
          <w:szCs w:val="28"/>
          <w:rtl/>
        </w:rPr>
        <w:t xml:space="preserve">و ترجمه آیتی فی (تش یز- ص 318) بعنوان فسونی الیزدی و لم یذکر اسمه بل ذکر أنه هاجر إلی تبریز برهة، و کان مشغولا بالدفتر داریة فسافر إلی الهند و اتصل بأکابرها إلی أن قضی بها أکثر عمره و توفی بها. و کان له دیوان بقی هناک، و قد ظفرنا ببعض أشعاره. ثم ذکر أشعارا و منها البیتان المذکوران.</w:t>
      </w:r>
    </w:p>
    <w:p>
      <w:pPr>
        <w:pStyle w:val="Heading3"/>
      </w:pPr>
      <w:bookmarkStart w:id="7401" w:name="_Toc6097"/>
      <w:r>
        <w:t>5593- دیوان فصاحت هندی‏</w:t>
      </w:r>
      <w:bookmarkEnd w:id="7401"/>
    </w:p>
    <w:p>
      <w:pPr>
        <w:pStyle w:val="BookText"/>
      </w:pPr>
      <w:r>
        <w:rPr>
          <w:rFonts w:ascii="IRNazanin" w:hAnsi="IRNazanin" w:eastAsia="IRNazanin" w:cs="IRNazanin"/>
          <w:lang w:bidi="fa-IR"/>
          <w:color w:val="111111"/>
          <w:sz w:val="28"/>
          <w:szCs w:val="28"/>
          <w:rtl/>
        </w:rPr>
        <w:t xml:space="preserve">للسید عباس حسن المعاصر الهندی المتخلص بفصاحت مطبوع بالهند.</w:t>
      </w:r>
    </w:p>
    <w:p>
      <w:pPr>
        <w:pStyle w:val="Heading3"/>
      </w:pPr>
      <w:bookmarkStart w:id="7402" w:name="_Toc6098"/>
      <w:r>
        <w:t>5594- دیوان فصیح أصفهانی‏</w:t>
      </w:r>
      <w:bookmarkEnd w:id="7402"/>
    </w:p>
    <w:p>
      <w:pPr>
        <w:pStyle w:val="BookText"/>
      </w:pPr>
      <w:r>
        <w:rPr>
          <w:rFonts w:ascii="IRNazanin" w:hAnsi="IRNazanin" w:eastAsia="IRNazanin" w:cs="IRNazanin"/>
          <w:lang w:bidi="fa-IR"/>
          <w:color w:val="111111"/>
          <w:sz w:val="28"/>
          <w:szCs w:val="28"/>
          <w:rtl/>
        </w:rPr>
        <w:t xml:space="preserve">هو أکبر من أخیه المیرزا طاهر واقعه نویس. ترجمه معاصره النصرآبادی فی (نر 4- ص 81) و ذکر أنه نظم بأمر السلطان غزوات أمیر المؤمنین فی کمال البلاغة، و نقل بعض مثنویة و رباعیاته،</w:t>
      </w:r>
    </w:p>
    <w:p>
      <w:pPr>
        <w:pStyle w:val="Heading3"/>
      </w:pPr>
      <w:bookmarkStart w:id="7403" w:name="_Toc6099"/>
      <w:r>
        <w:t>5595- دیوان فصیح أصفهانی‏</w:t>
      </w:r>
      <w:bookmarkEnd w:id="7403"/>
    </w:p>
    <w:p>
      <w:pPr>
        <w:pStyle w:val="BookText"/>
      </w:pPr>
      <w:r>
        <w:rPr>
          <w:rFonts w:ascii="IRNazanin" w:hAnsi="IRNazanin" w:eastAsia="IRNazanin" w:cs="IRNazanin"/>
          <w:lang w:bidi="fa-IR"/>
          <w:color w:val="111111"/>
          <w:sz w:val="28"/>
          <w:szCs w:val="28"/>
          <w:rtl/>
        </w:rPr>
        <w:t xml:space="preserve">و اسمه محمد حسین میرزا خاقانی‏نژاد بن محمد ولی میرزا کوچک بن ولی میرزا بن فتح علی شاه ولد بأصفهان فی ذی الحجة 1333 و توفی 30 ع 2- 1363 کان یکتب فی جرائد أصفهان و شیراز ثم طهران. ترجمه و أورد شعره فی (شعرای أصفهان- ص 362) و کتبه لنا المعلم الحبیب‏آبادی أیضا.</w:t>
      </w:r>
    </w:p>
    <w:p>
      <w:pPr>
        <w:pStyle w:val="Heading3"/>
      </w:pPr>
      <w:bookmarkStart w:id="7404" w:name="_Toc6100"/>
      <w:r>
        <w:t>دیوان فصیح دشت بیاضی‏</w:t>
      </w:r>
      <w:bookmarkEnd w:id="7404"/>
    </w:p>
    <w:p>
      <w:pPr>
        <w:pStyle w:val="BookText"/>
      </w:pPr>
      <w:r>
        <w:rPr>
          <w:rFonts w:ascii="IRNazanin" w:hAnsi="IRNazanin" w:eastAsia="IRNazanin" w:cs="IRNazanin"/>
          <w:lang w:bidi="fa-IR"/>
          <w:color w:val="111111"/>
          <w:sz w:val="28"/>
          <w:szCs w:val="28"/>
          <w:rtl/>
        </w:rPr>
        <w:t xml:space="preserve">محمد بن محمد بن علی. راجع فصیح هروی.
</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bookmarkStart w:id="824" w:name="pg11704_122310"/>
    <w:bookmarkEnd w:id="824"/>
    <w:p>
      <w:pPr>
        <w:pStyle w:val="Heading3"/>
      </w:pPr>
      <w:bookmarkStart w:id="7405" w:name="_Toc6101"/>
      <w:r>
        <w:t>دیوان فصیح الزمان فسوی‏</w:t>
      </w:r>
      <w:bookmarkEnd w:id="7405"/>
    </w:p>
    <w:p>
      <w:pPr>
        <w:pStyle w:val="BookText"/>
      </w:pPr>
      <w:r>
        <w:rPr>
          <w:rFonts w:ascii="IRNazanin" w:hAnsi="IRNazanin" w:eastAsia="IRNazanin" w:cs="IRNazanin"/>
          <w:lang w:bidi="fa-IR"/>
          <w:color w:val="111111"/>
          <w:sz w:val="28"/>
          <w:szCs w:val="28"/>
          <w:rtl/>
        </w:rPr>
        <w:t xml:space="preserve">مر بعنوان رضوانی فسوی فی ص 370.</w:t>
      </w:r>
    </w:p>
    <w:p>
      <w:pPr>
        <w:pStyle w:val="Heading3"/>
      </w:pPr>
      <w:bookmarkStart w:id="7406" w:name="_Toc6102"/>
      <w:r>
        <w:t>5596- دیوان فصیح لکهنوی‏</w:t>
      </w:r>
      <w:bookmarkEnd w:id="7406"/>
    </w:p>
    <w:p>
      <w:pPr>
        <w:pStyle w:val="BookText"/>
      </w:pPr>
      <w:r>
        <w:rPr>
          <w:rFonts w:ascii="IRNazanin" w:hAnsi="IRNazanin" w:eastAsia="IRNazanin" w:cs="IRNazanin"/>
          <w:lang w:bidi="fa-IR"/>
          <w:color w:val="111111"/>
          <w:sz w:val="28"/>
          <w:szCs w:val="28"/>
          <w:rtl/>
        </w:rPr>
        <w:t xml:space="preserve">لمیرزا جعفر علی اللکهنوی المجاور لمکة و المتوفی قبل 1295 طبع له نان‏ونمک و نخل ماتم بالأردویة نظما.</w:t>
      </w:r>
    </w:p>
    <w:p>
      <w:pPr>
        <w:pStyle w:val="Heading3"/>
      </w:pPr>
      <w:bookmarkStart w:id="7407" w:name="_Toc6103"/>
      <w:r>
        <w:t>دیوان فصیح الملک شیرازی‏</w:t>
      </w:r>
      <w:bookmarkEnd w:id="7407"/>
    </w:p>
    <w:p>
      <w:pPr>
        <w:pStyle w:val="BookText"/>
      </w:pPr>
      <w:r>
        <w:rPr>
          <w:rFonts w:ascii="IRNazanin" w:hAnsi="IRNazanin" w:eastAsia="IRNazanin" w:cs="IRNazanin"/>
          <w:lang w:bidi="fa-IR"/>
          <w:color w:val="111111"/>
          <w:sz w:val="28"/>
          <w:szCs w:val="28"/>
          <w:rtl/>
        </w:rPr>
        <w:t xml:space="preserve">مر بعنوان شوریده شیرازی فی ص 547.</w:t>
      </w:r>
    </w:p>
    <w:p>
      <w:pPr>
        <w:pStyle w:val="Heading3"/>
      </w:pPr>
      <w:bookmarkStart w:id="7408" w:name="_Toc6104"/>
      <w:r>
        <w:t>5597- دیوان فصیح هروی‏</w:t>
      </w:r>
      <w:bookmarkEnd w:id="7408"/>
    </w:p>
    <w:p>
      <w:pPr>
        <w:pStyle w:val="BookText"/>
      </w:pPr>
      <w:r>
        <w:rPr>
          <w:rFonts w:ascii="IRNazanin" w:hAnsi="IRNazanin" w:eastAsia="IRNazanin" w:cs="IRNazanin"/>
          <w:lang w:bidi="fa-IR"/>
          <w:color w:val="111111"/>
          <w:sz w:val="28"/>
          <w:szCs w:val="28"/>
          <w:rtl/>
        </w:rPr>
        <w:t xml:space="preserve">ترجمه و أورد شعره فی (مجن 3- ص 32 و 205) و قال تتبع قصائد سلمان الساوجی المصنوعة، و نظم جواب مخزن الأسرار و لکن جاء اسمه فی (ص 32 منه) فصیحی بدل فصیح و هو صاحب بدائع الصنائع فی البدیع الموجود فی مکتبة مجلس الشیوخ بطهران رقم 7562. و الظاهر أنه غیر فصیح الخوافی الذی ذکر وفاته شاهد صادق فی 925.</w:t>
      </w:r>
    </w:p>
    <w:p>
      <w:pPr>
        <w:pStyle w:val="Heading3"/>
      </w:pPr>
      <w:bookmarkStart w:id="7409" w:name="_Toc6105"/>
      <w:r>
        <w:t>5598- دیوان فصیح هروی أو شعره‏</w:t>
      </w:r>
      <w:bookmarkEnd w:id="7409"/>
    </w:p>
    <w:p>
      <w:pPr>
        <w:pStyle w:val="BookText"/>
      </w:pPr>
      <w:r>
        <w:rPr>
          <w:rFonts w:ascii="IRNazanin" w:hAnsi="IRNazanin" w:eastAsia="IRNazanin" w:cs="IRNazanin"/>
          <w:lang w:bidi="fa-IR"/>
          <w:color w:val="111111"/>
          <w:sz w:val="28"/>
          <w:szCs w:val="28"/>
          <w:rtl/>
        </w:rPr>
        <w:t xml:space="preserve">ترجمه و أورد شعره فی (مجن 4- ص 106 و 281). و اسمه فصیح الدین و لعله والد محمد کریم دشت بیاضی شارح النصاب المطبوع کما فی فرهنگ نامه‏های عربی بفارسی- ص 203 و قال فی شاهد صادق مات فصیح هروی فی 925.</w:t>
      </w:r>
    </w:p>
    <w:p>
      <w:pPr>
        <w:pStyle w:val="Heading3"/>
      </w:pPr>
      <w:bookmarkStart w:id="7410" w:name="_Toc6106"/>
      <w:r>
        <w:t>5599- دیوان الفصیحی الأسترآبادی أو شعره‏</w:t>
      </w:r>
      <w:bookmarkEnd w:id="7410"/>
    </w:p>
    <w:p>
      <w:pPr>
        <w:pStyle w:val="BookText"/>
      </w:pPr>
      <w:r>
        <w:rPr>
          <w:rFonts w:ascii="IRNazanin" w:hAnsi="IRNazanin" w:eastAsia="IRNazanin" w:cs="IRNazanin"/>
          <w:lang w:bidi="fa-IR"/>
          <w:color w:val="111111"/>
          <w:sz w:val="28"/>
          <w:szCs w:val="28"/>
          <w:rtl/>
        </w:rPr>
        <w:t xml:space="preserve">و هو علی بن محمد بن علی المعروف بابن أبی زید و أبی الحسن من مدرسی النظامیة ببغداد و المتوفی 516 ترجمه فی (لس- ص 116) و ابن خلکان و معجم الأدباء و غیرهم. و له الرد علی ابن سکرة فی تحریم المتعة نظما.</w:t>
      </w:r>
    </w:p>
    <w:p>
      <w:pPr>
        <w:pStyle w:val="Heading3"/>
      </w:pPr>
      <w:bookmarkStart w:id="7411" w:name="_Toc6107"/>
      <w:r>
        <w:t>5600- دیوان فصیحی تبریزی‏</w:t>
      </w:r>
      <w:bookmarkEnd w:id="7411"/>
    </w:p>
    <w:p>
      <w:pPr>
        <w:pStyle w:val="BookText"/>
      </w:pPr>
      <w:r>
        <w:rPr>
          <w:rFonts w:ascii="IRNazanin" w:hAnsi="IRNazanin" w:eastAsia="IRNazanin" w:cs="IRNazanin"/>
          <w:lang w:bidi="fa-IR"/>
          <w:color w:val="111111"/>
          <w:sz w:val="28"/>
          <w:szCs w:val="28"/>
          <w:rtl/>
        </w:rPr>
        <w:t xml:space="preserve">ترجمه و أورد شعره فی (خص 8- ص 172) و (نتایج- ص 539) و (تش- ص 32) و (تس- ص 142) و فی (دجا- ص 298) نقلا عن صحف إبراهیم أنه من شعراء الشاه طهماسب و أن دیوانه فی ألفی بیت و إنه توفی 956.</w:t>
      </w:r>
    </w:p>
    <w:p>
      <w:pPr>
        <w:pStyle w:val="Heading3"/>
      </w:pPr>
      <w:bookmarkStart w:id="7412" w:name="_Toc6108"/>
      <w:r>
        <w:t>5601- دیوان فصیحی جرجانی‏</w:t>
      </w:r>
      <w:bookmarkEnd w:id="7412"/>
    </w:p>
    <w:p>
      <w:pPr>
        <w:pStyle w:val="BookText"/>
      </w:pPr>
      <w:r>
        <w:rPr>
          <w:rFonts w:ascii="IRNazanin" w:hAnsi="IRNazanin" w:eastAsia="IRNazanin" w:cs="IRNazanin"/>
          <w:lang w:bidi="fa-IR"/>
          <w:color w:val="111111"/>
          <w:sz w:val="28"/>
          <w:szCs w:val="28"/>
          <w:rtl/>
        </w:rPr>
        <w:t xml:space="preserve">ترجمه فی (لت- 1) و (مع 1- ص 381) نقلا عن تذکره هفت إقلیم و إنه کان من شعراء عنصر المعالی کیکاووس بن إسکندر بن قابوس، و أن له مثنوی وامق و عذراء و قال دولت شاه فی (لت- 1) إنه رأی نسخه منه ناقصة.</w:t>
      </w:r>
    </w:p>
    <w:p>
      <w:pPr>
        <w:pStyle w:val="Heading3"/>
      </w:pPr>
      <w:bookmarkStart w:id="7413" w:name="_Toc6109"/>
      <w:r>
        <w:t>5602- دیوان فصیحی خراسانی‏</w:t>
      </w:r>
      <w:bookmarkEnd w:id="7413"/>
    </w:p>
    <w:p>
      <w:pPr>
        <w:pStyle w:val="BookText"/>
      </w:pPr>
      <w:r>
        <w:rPr>
          <w:rFonts w:ascii="IRNazanin" w:hAnsi="IRNazanin" w:eastAsia="IRNazanin" w:cs="IRNazanin"/>
          <w:lang w:bidi="fa-IR"/>
          <w:color w:val="111111"/>
          <w:sz w:val="28"/>
          <w:szCs w:val="28"/>
          <w:rtl/>
        </w:rPr>
        <w:t xml:space="preserve">لقبه فی میخانه- ص 389- 396) ملک الشعراء خراسان و فصیحی أنصاری، و قال: ولد جده المولی میر جان فی أسفرغابد (و لعله أسفرائین)
</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bookmarkStart w:id="825" w:name="pg11704_122311"/>
    <w:bookmarkEnd w:id="825"/>
    <w:p>
      <w:pPr>
        <w:pStyle w:val="BookText"/>
      </w:pPr>
      <w:r>
        <w:rPr>
          <w:rFonts w:ascii="IRNazanin" w:hAnsi="IRNazanin" w:eastAsia="IRNazanin" w:cs="IRNazanin"/>
          <w:lang w:bidi="fa-IR"/>
          <w:color w:val="111111"/>
          <w:sz w:val="28"/>
          <w:szCs w:val="28"/>
          <w:rtl/>
        </w:rPr>
        <w:t xml:space="preserve">من نواحی جام، و صار أحد علمائها. و لما غلب عبید الله خان أزبک (حاکم ما وراء النهر فی 940- 946) علی خراسان أخذ معه میر جان إلی بخارا، و هناک ألف روضة الأصحاب فی سیرة النبی ص. و بها ولد له أبو المکارم والد فصیحی و ترقی ثم ولد ابنه فصیحی هذا.</w:t>
      </w:r>
    </w:p>
    <w:p>
      <w:pPr>
        <w:pStyle w:val="BookText"/>
      </w:pPr>
      <w:r>
        <w:rPr>
          <w:rFonts w:ascii="IRNazanin" w:hAnsi="IRNazanin" w:eastAsia="IRNazanin" w:cs="IRNazanin"/>
          <w:lang w:bidi="fa-IR"/>
          <w:color w:val="111111"/>
          <w:sz w:val="28"/>
          <w:szCs w:val="28"/>
          <w:rtl/>
        </w:rPr>
        <w:t xml:space="preserve">ثم إن خان أزبک أرسل أبا المکارم واعظا لهراة فجاء معه ابنه فصیحی إلی هرات و هو ابن عشر سنین، و ترقی أمره، و لما فتح الشاه عباس هرات أخذ معه فصیحی إلی قزوین لکنه لم یبق کثیرا و رجع إلی هرات. و فی سنة 1022 فر من هرات مع عدة إلی الهند، و لکن جیش حسین خان شاملو الحاکم الصفوی أخذه و حبسه فی هرات و حلق لحیته، و لکن الشاه عباس فی 1027 أخذه إلی أصفهان و أکرمه و فی (عالم‏آرا- ص 696) أن ذلک کان فی 1031 و عن فهرس بانکی‏پور أنه مات فی 1049 و قال تلمیذه درویش واله فی تاریخه: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بگو فصیحی آزاده سوی جنت شد</w:t>
      </w:r>
    </w:p>
    <w:p>
      <w:pPr>
        <w:pStyle w:val="BookText"/>
      </w:pPr>
      <w:r>
        <w:rPr>
          <w:rFonts w:ascii="IRNazanin" w:hAnsi="IRNazanin" w:eastAsia="IRNazanin" w:cs="IRNazanin"/>
          <w:lang w:bidi="fa-IR"/>
          <w:color w:val="111111"/>
          <w:sz w:val="28"/>
          <w:szCs w:val="28"/>
          <w:rtl/>
        </w:rPr>
        <w:t xml:space="preserve">]. و دیوانه فی ستة آلاف بیت کما فی (نر 9- ص 248) أو أربعة آلاف و خمسمائة کما فی میخانه، و هی موجودة فی مکتبة (بانکی‏پور) و قال النصرآبادی إنه کان مقربا عند حسن شاملو، و قال فی میخانه- ص 181 فی أحوال عرفی:</w:t>
      </w:r>
    </w:p>
    <w:p>
      <w:pPr>
        <w:pStyle w:val="BookText"/>
      </w:pPr>
      <w:r>
        <w:rPr>
          <w:rFonts w:ascii="IRNazanin" w:hAnsi="IRNazanin" w:eastAsia="IRNazanin" w:cs="IRNazanin"/>
          <w:lang w:bidi="fa-IR"/>
          <w:color w:val="111111"/>
          <w:sz w:val="28"/>
          <w:szCs w:val="28"/>
          <w:rtl/>
        </w:rPr>
        <w:t xml:space="preserve">إن فی سنة 1027 أرسل فصیحی هذا شخصا من هرات إلی الهند لیأتی بعظام عرفی الرمیمة. و ترجمه فی (نتایج- ص 539) و (حسینی- ص 251) و (سرو- ص 50) و جاء شعره فی (مسرت- ص 218) و (تش- ص 150) و (سرخوش- ص 85).</w:t>
      </w:r>
    </w:p>
    <w:p>
      <w:pPr>
        <w:pStyle w:val="Heading3"/>
      </w:pPr>
      <w:bookmarkStart w:id="7414" w:name="_Toc6110"/>
      <w:r>
        <w:t>دیوان فصیحی هروی‏</w:t>
      </w:r>
      <w:bookmarkEnd w:id="7414"/>
    </w:p>
    <w:p>
      <w:pPr>
        <w:pStyle w:val="BookText"/>
      </w:pPr>
      <w:r>
        <w:rPr>
          <w:rFonts w:ascii="IRNazanin" w:hAnsi="IRNazanin" w:eastAsia="IRNazanin" w:cs="IRNazanin"/>
          <w:lang w:bidi="fa-IR"/>
          <w:color w:val="111111"/>
          <w:sz w:val="28"/>
          <w:szCs w:val="28"/>
          <w:rtl/>
        </w:rPr>
        <w:t xml:space="preserve">راجع فصیح هروی و توجد نسخه منه فی (بنگاله) و أخری عند (فخر الدین).</w:t>
      </w:r>
    </w:p>
    <w:p>
      <w:pPr>
        <w:pStyle w:val="Heading3"/>
      </w:pPr>
      <w:bookmarkStart w:id="7415" w:name="_Toc6111"/>
      <w:r>
        <w:t>5603- دیوان فصیحی یزدی أو شعره‏</w:t>
      </w:r>
      <w:bookmarkEnd w:id="7415"/>
    </w:p>
    <w:p>
      <w:pPr>
        <w:pStyle w:val="BookText"/>
      </w:pPr>
      <w:r>
        <w:rPr>
          <w:rFonts w:ascii="IRNazanin" w:hAnsi="IRNazanin" w:eastAsia="IRNazanin" w:cs="IRNazanin"/>
          <w:lang w:bidi="fa-IR"/>
          <w:color w:val="111111"/>
          <w:sz w:val="28"/>
          <w:szCs w:val="28"/>
          <w:rtl/>
        </w:rPr>
        <w:t xml:space="preserve">ترجمه و أورد شعره فی (خص 8- ص 263).</w:t>
      </w:r>
    </w:p>
    <w:p>
      <w:pPr>
        <w:pStyle w:val="Heading3"/>
      </w:pPr>
      <w:bookmarkStart w:id="7416" w:name="_Toc6112"/>
      <w:r>
        <w:t>5604- دیوان فضائی همدانی أو شعره‏</w:t>
      </w:r>
      <w:bookmarkEnd w:id="7416"/>
    </w:p>
    <w:p>
      <w:pPr>
        <w:pStyle w:val="BookText"/>
      </w:pPr>
      <w:r>
        <w:rPr>
          <w:rFonts w:ascii="IRNazanin" w:hAnsi="IRNazanin" w:eastAsia="IRNazanin" w:cs="IRNazanin"/>
          <w:lang w:bidi="fa-IR"/>
          <w:color w:val="111111"/>
          <w:sz w:val="28"/>
          <w:szCs w:val="28"/>
          <w:rtl/>
        </w:rPr>
        <w:t xml:space="preserve">کان أستاذ صادقی کتاب دار. ترجمه فی (خص 8- ص 263).</w:t>
      </w:r>
    </w:p>
    <w:p>
      <w:pPr>
        <w:pStyle w:val="Heading3"/>
      </w:pPr>
      <w:bookmarkStart w:id="7417" w:name="_Toc6113"/>
      <w:r>
        <w:t>5604- دیوان فضائی همدانی أو شعره‏</w:t>
      </w:r>
      <w:bookmarkEnd w:id="7417"/>
    </w:p>
    <w:p>
      <w:pPr>
        <w:pStyle w:val="BookText"/>
      </w:pPr>
      <w:r>
        <w:rPr>
          <w:rFonts w:ascii="IRNazanin" w:hAnsi="IRNazanin" w:eastAsia="IRNazanin" w:cs="IRNazanin"/>
          <w:lang w:bidi="fa-IR"/>
          <w:color w:val="111111"/>
          <w:sz w:val="28"/>
          <w:szCs w:val="28"/>
          <w:rtl/>
        </w:rPr>
        <w:t xml:space="preserve">کان أستاذ صادقی کتاب دار. ترجمه فی (خص 8- ص 247) و أورد بعض شعره.</w:t>
      </w:r>
    </w:p>
    <w:p>
      <w:pPr>
        <w:pStyle w:val="Heading3"/>
      </w:pPr>
      <w:bookmarkStart w:id="7418" w:name="_Toc6114"/>
      <w:r>
        <w:t>5605- دیوان فضل بن عباس أو شعره‏</w:t>
      </w:r>
      <w:bookmarkEnd w:id="7418"/>
    </w:p>
    <w:p>
      <w:pPr>
        <w:pStyle w:val="BookText"/>
      </w:pPr>
      <w:r>
        <w:rPr>
          <w:rFonts w:ascii="IRNazanin" w:hAnsi="IRNazanin" w:eastAsia="IRNazanin" w:cs="IRNazanin"/>
          <w:lang w:bidi="fa-IR"/>
          <w:color w:val="111111"/>
          <w:sz w:val="28"/>
          <w:szCs w:val="28"/>
          <w:rtl/>
        </w:rPr>
        <w:t xml:space="preserve">و هو المعروف بالشیخ أبی العباس الزنجی البخاری معاصر رودکی فی عصر آل سامان، کما ترجمه فی (مع- ج 1 ص 381) و أورد شعره.</w:t>
      </w:r>
    </w:p>
    <w:p>
      <w:pPr>
        <w:pStyle w:val="Heading3"/>
      </w:pPr>
      <w:bookmarkStart w:id="7419" w:name="_Toc6115"/>
      <w:r>
        <w:t>5606- دیوان فضل بن عباس أو شعره‏</w:t>
      </w:r>
      <w:bookmarkEnd w:id="7419"/>
    </w:p>
    <w:p>
      <w:pPr>
        <w:pStyle w:val="BookText"/>
      </w:pPr>
      <w:r>
        <w:rPr>
          <w:rFonts w:ascii="IRNazanin" w:hAnsi="IRNazanin" w:eastAsia="IRNazanin" w:cs="IRNazanin"/>
          <w:lang w:bidi="fa-IR"/>
          <w:color w:val="111111"/>
          <w:sz w:val="28"/>
          <w:szCs w:val="28"/>
          <w:rtl/>
        </w:rPr>
        <w:t xml:space="preserve">عده ابن شهرآشوب فی (المعالم- ص 138)
</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bookmarkStart w:id="826" w:name="pg11704_122312"/>
    <w:bookmarkEnd w:id="826"/>
    <w:p>
      <w:pPr>
        <w:pStyle w:val="BookText"/>
      </w:pPr>
      <w:r>
        <w:rPr>
          <w:rFonts w:ascii="IRNazanin" w:hAnsi="IRNazanin" w:eastAsia="IRNazanin" w:cs="IRNazanin"/>
          <w:lang w:bidi="fa-IR"/>
          <w:color w:val="111111"/>
          <w:sz w:val="28"/>
          <w:szCs w:val="28"/>
          <w:rtl/>
        </w:rPr>
        <w:t xml:space="preserve">ممن مدح أهل البیت.</w:t>
      </w:r>
    </w:p>
    <w:p>
      <w:pPr>
        <w:pStyle w:val="Heading3"/>
      </w:pPr>
      <w:bookmarkStart w:id="7420" w:name="_Toc6116"/>
      <w:r>
        <w:t>5607- دیوان فضل بن عتبة أو شعره‏</w:t>
      </w:r>
      <w:bookmarkEnd w:id="7420"/>
    </w:p>
    <w:p>
      <w:pPr>
        <w:pStyle w:val="BookText"/>
      </w:pPr>
      <w:r>
        <w:rPr>
          <w:rFonts w:ascii="IRNazanin" w:hAnsi="IRNazanin" w:eastAsia="IRNazanin" w:cs="IRNazanin"/>
          <w:lang w:bidi="fa-IR"/>
          <w:color w:val="111111"/>
          <w:sz w:val="28"/>
          <w:szCs w:val="28"/>
          <w:rtl/>
        </w:rPr>
        <w:t xml:space="preserve">عده أیضا ابن شهرآشوب فی (المعالم- 138) ممن مدح أهل البیت.</w:t>
      </w:r>
    </w:p>
    <w:p>
      <w:pPr>
        <w:pStyle w:val="Heading3"/>
      </w:pPr>
      <w:bookmarkStart w:id="7421" w:name="_Toc6117"/>
      <w:r>
        <w:t>5608- دیوان فضل خلخالی أو شعره‏</w:t>
      </w:r>
      <w:bookmarkEnd w:id="7421"/>
    </w:p>
    <w:p>
      <w:pPr>
        <w:pStyle w:val="BookText"/>
      </w:pPr>
      <w:r>
        <w:rPr>
          <w:rFonts w:ascii="IRNazanin" w:hAnsi="IRNazanin" w:eastAsia="IRNazanin" w:cs="IRNazanin"/>
          <w:lang w:bidi="fa-IR"/>
          <w:color w:val="111111"/>
          <w:sz w:val="28"/>
          <w:szCs w:val="28"/>
          <w:rtl/>
        </w:rPr>
        <w:t xml:space="preserve">من أحفاد بایزید الخلخالی. توفی 954 و دفن فی قزوین بمقبرة جده. ترجمه فی (دجا- ص 298) نقلا عن صحف إبراهیم و أورد شعره.</w:t>
      </w:r>
    </w:p>
    <w:p>
      <w:pPr>
        <w:pStyle w:val="Heading3"/>
      </w:pPr>
      <w:bookmarkStart w:id="7422" w:name="_Toc6118"/>
      <w:r>
        <w:t>5609- دیوان میرزا فضل علی تبریزی‏</w:t>
      </w:r>
      <w:bookmarkEnd w:id="7422"/>
    </w:p>
    <w:p>
      <w:pPr>
        <w:pStyle w:val="BookText"/>
      </w:pPr>
      <w:r>
        <w:rPr>
          <w:rFonts w:ascii="IRNazanin" w:hAnsi="IRNazanin" w:eastAsia="IRNazanin" w:cs="IRNazanin"/>
          <w:lang w:bidi="fa-IR"/>
          <w:color w:val="111111"/>
          <w:sz w:val="28"/>
          <w:szCs w:val="28"/>
          <w:rtl/>
        </w:rPr>
        <w:t xml:space="preserve">هو ابن المیرزا عبد الکریم بن المیرزا أبی القاسم بن المیرزا محمد الإیروانی التبریزی المولد (1278- 1337) مؤلف حدائق العارفین المذکور فی ج 6 ص 286 و ریاض الأزهار شبه الکشکول و سفرنامه أروپا و شرح العینیة الخمریة و دیوانه عربی و فارسی ذکره فی (دجا- ص 298).</w:t>
      </w:r>
    </w:p>
    <w:p>
      <w:pPr>
        <w:pStyle w:val="Heading3"/>
      </w:pPr>
      <w:bookmarkStart w:id="7423" w:name="_Toc6119"/>
      <w:r>
        <w:t>دیوان فضل علی گرجی‏</w:t>
      </w:r>
      <w:bookmarkEnd w:id="7423"/>
    </w:p>
    <w:p>
      <w:pPr>
        <w:pStyle w:val="BookText"/>
      </w:pPr>
      <w:r>
        <w:rPr>
          <w:rFonts w:ascii="IRNazanin" w:hAnsi="IRNazanin" w:eastAsia="IRNazanin" w:cs="IRNazanin"/>
          <w:lang w:bidi="fa-IR"/>
          <w:color w:val="111111"/>
          <w:sz w:val="28"/>
          <w:szCs w:val="28"/>
          <w:rtl/>
        </w:rPr>
        <w:t xml:space="preserve">حفید أصلان بیک الگرجی من خاصة غلمان الشاه عباس و المتخلص ممتاز ترجمه النصرآبادی فی (نر 2- ص 45) و أورد جملة من أشعاره.</w:t>
      </w:r>
    </w:p>
    <w:p>
      <w:pPr>
        <w:pStyle w:val="Heading3"/>
      </w:pPr>
      <w:bookmarkStart w:id="7424" w:name="_Toc6120"/>
      <w:r>
        <w:t>5610- دیوان فضل علی الإیرانی‏</w:t>
      </w:r>
      <w:bookmarkEnd w:id="7424"/>
    </w:p>
    <w:p>
      <w:pPr>
        <w:pStyle w:val="BookText"/>
      </w:pPr>
      <w:r>
        <w:rPr>
          <w:rFonts w:ascii="IRNazanin" w:hAnsi="IRNazanin" w:eastAsia="IRNazanin" w:cs="IRNazanin"/>
          <w:lang w:bidi="fa-IR"/>
          <w:color w:val="111111"/>
          <w:sz w:val="28"/>
          <w:szCs w:val="28"/>
          <w:rtl/>
        </w:rPr>
        <w:t xml:space="preserve">نزیل لاهور بالهند فی عصر محمد فرخ سیر شاه.</w:t>
      </w:r>
    </w:p>
    <w:p>
      <w:pPr>
        <w:pStyle w:val="BookText"/>
      </w:pPr>
      <w:r>
        <w:rPr>
          <w:rFonts w:ascii="IRNazanin" w:hAnsi="IRNazanin" w:eastAsia="IRNazanin" w:cs="IRNazanin"/>
          <w:lang w:bidi="fa-IR"/>
          <w:color w:val="111111"/>
          <w:sz w:val="28"/>
          <w:szCs w:val="28"/>
          <w:rtl/>
        </w:rPr>
        <w:t xml:space="preserve">ترجمه فی (خز- ص 373). و أورد شعره فی تاریخ قدوم النواب آصفجاه.</w:t>
      </w:r>
    </w:p>
    <w:p>
      <w:pPr>
        <w:pStyle w:val="Heading3"/>
      </w:pPr>
      <w:bookmarkStart w:id="7425" w:name="_Toc6121"/>
      <w:r>
        <w:t>دیوان فضل الله بن داود</w:t>
      </w:r>
      <w:bookmarkEnd w:id="7425"/>
    </w:p>
    <w:p>
      <w:pPr>
        <w:pStyle w:val="BookText"/>
      </w:pPr>
      <w:r>
        <w:rPr>
          <w:rFonts w:ascii="IRNazanin" w:hAnsi="IRNazanin" w:eastAsia="IRNazanin" w:cs="IRNazanin"/>
          <w:lang w:bidi="fa-IR"/>
          <w:color w:val="111111"/>
          <w:sz w:val="28"/>
          <w:szCs w:val="28"/>
          <w:rtl/>
        </w:rPr>
        <w:t xml:space="preserve">راجع دیوان فضل الله سودخری.</w:t>
      </w:r>
    </w:p>
    <w:p>
      <w:pPr>
        <w:pStyle w:val="Heading3"/>
      </w:pPr>
      <w:bookmarkStart w:id="7426" w:name="_Toc6122"/>
      <w:r>
        <w:t>دیوان فضل الله ابن أبی الخیر</w:t>
      </w:r>
      <w:bookmarkEnd w:id="7426"/>
    </w:p>
    <w:p>
      <w:pPr>
        <w:pStyle w:val="BookText"/>
      </w:pPr>
      <w:r>
        <w:rPr>
          <w:rFonts w:ascii="IRNazanin" w:hAnsi="IRNazanin" w:eastAsia="IRNazanin" w:cs="IRNazanin"/>
          <w:lang w:bidi="fa-IR"/>
          <w:color w:val="111111"/>
          <w:sz w:val="28"/>
          <w:szCs w:val="28"/>
          <w:rtl/>
        </w:rPr>
        <w:t xml:space="preserve">مر بعنوان أبی سعید أبی الخیر فی ص 41.</w:t>
      </w:r>
    </w:p>
    <w:p>
      <w:pPr>
        <w:pStyle w:val="Heading3"/>
      </w:pPr>
      <w:bookmarkStart w:id="7427" w:name="_Toc6123"/>
      <w:r>
        <w:t>دیوان فضل الله أبو اللیثی‏</w:t>
      </w:r>
      <w:bookmarkEnd w:id="7427"/>
    </w:p>
    <w:p>
      <w:pPr>
        <w:pStyle w:val="BookText"/>
      </w:pPr>
      <w:r>
        <w:rPr>
          <w:rFonts w:ascii="IRNazanin" w:hAnsi="IRNazanin" w:eastAsia="IRNazanin" w:cs="IRNazanin"/>
          <w:lang w:bidi="fa-IR"/>
          <w:color w:val="111111"/>
          <w:sz w:val="28"/>
          <w:szCs w:val="28"/>
          <w:rtl/>
        </w:rPr>
        <w:t xml:space="preserve">راجع دیوان خواجه خواند سمرقندی فی ص 307 و ترجمه فی (نتایج- ص 20) و ذکر طبعاتها فی فهرس مشار ج 1 ص 797. و قال فی (امتحان- 1: 6) إنه رأی نسخه منه بخط میر علی الهروی.</w:t>
      </w:r>
    </w:p>
    <w:p>
      <w:pPr>
        <w:pStyle w:val="Heading3"/>
      </w:pPr>
      <w:bookmarkStart w:id="7428" w:name="_Toc6124"/>
      <w:r>
        <w:t>5611- دیوان فضل الله جمالی أو شعره‏</w:t>
      </w:r>
      <w:bookmarkEnd w:id="7428"/>
    </w:p>
    <w:p>
      <w:pPr>
        <w:pStyle w:val="BookText"/>
      </w:pPr>
      <w:r>
        <w:rPr>
          <w:rFonts w:ascii="IRNazanin" w:hAnsi="IRNazanin" w:eastAsia="IRNazanin" w:cs="IRNazanin"/>
          <w:lang w:bidi="fa-IR"/>
          <w:color w:val="111111"/>
          <w:sz w:val="28"/>
          <w:szCs w:val="28"/>
          <w:rtl/>
        </w:rPr>
        <w:t xml:space="preserve">من عرفاء دهلی و تلمیذ سماء الدین الچشتی و عبد الرحمن الجامی. و سافر إلی خراسان و مکة و أدرک الدوانی و الجامی و رجع و مات فی 942 و دفن بمزار قطب الدین. ترجمه و أورد شعره فی (نتایج- ص 153).</w:t>
      </w:r>
    </w:p>
    <w:p>
      <w:pPr>
        <w:pStyle w:val="Heading3"/>
      </w:pPr>
      <w:bookmarkStart w:id="7429" w:name="_Toc6125"/>
      <w:r>
        <w:t>5612- دیوان فضل الله حروفی‏</w:t>
      </w:r>
      <w:bookmarkEnd w:id="7429"/>
    </w:p>
    <w:p>
      <w:pPr>
        <w:pStyle w:val="BookText"/>
      </w:pPr>
      <w:r>
        <w:rPr>
          <w:rFonts w:ascii="IRNazanin" w:hAnsi="IRNazanin" w:eastAsia="IRNazanin" w:cs="IRNazanin"/>
          <w:lang w:bidi="fa-IR"/>
          <w:color w:val="111111"/>
          <w:sz w:val="28"/>
          <w:szCs w:val="28"/>
          <w:rtl/>
        </w:rPr>
        <w:t xml:space="preserve">راجع دیوان نعیمی أسترآبادی.</w:t>
      </w:r>
    </w:p>
    <w:p>
      <w:pPr>
        <w:pStyle w:val="Heading3"/>
      </w:pPr>
      <w:bookmarkStart w:id="7430" w:name="_Toc6126"/>
      <w:r>
        <w:t>دیوان فضل الله الراوندی‏</w:t>
      </w:r>
      <w:bookmarkEnd w:id="7430"/>
    </w:p>
    <w:p>
      <w:pPr>
        <w:pStyle w:val="BookText"/>
      </w:pPr>
      <w:r>
        <w:rPr>
          <w:rFonts w:ascii="IRNazanin" w:hAnsi="IRNazanin" w:eastAsia="IRNazanin" w:cs="IRNazanin"/>
          <w:lang w:bidi="fa-IR"/>
          <w:color w:val="111111"/>
          <w:sz w:val="28"/>
          <w:szCs w:val="28"/>
          <w:rtl/>
        </w:rPr>
        <w:t xml:space="preserve">راجع الراوندی فی ص 352 و ج 7 ص 89.</w:t>
      </w:r>
    </w:p>
    <w:p>
      <w:pPr>
        <w:pStyle w:val="Heading3"/>
      </w:pPr>
      <w:bookmarkStart w:id="7431" w:name="_Toc6127"/>
      <w:r>
        <w:t>5613- دیوان فضل الله شیرازی أو شعره‏</w:t>
      </w:r>
      <w:bookmarkEnd w:id="7431"/>
    </w:p>
    <w:p>
      <w:pPr>
        <w:pStyle w:val="BookText"/>
      </w:pPr>
      <w:r>
        <w:rPr>
          <w:rFonts w:ascii="IRNazanin" w:hAnsi="IRNazanin" w:eastAsia="IRNazanin" w:cs="IRNazanin"/>
          <w:lang w:bidi="fa-IR"/>
          <w:color w:val="111111"/>
          <w:sz w:val="28"/>
          <w:szCs w:val="28"/>
          <w:rtl/>
        </w:rPr>
        <w:t xml:space="preserve">جاء من وطنه إلی أسترآباد و سکن بها
</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bookmarkStart w:id="827" w:name="pg11704_122313"/>
    <w:bookmarkEnd w:id="827"/>
    <w:p>
      <w:pPr>
        <w:pStyle w:val="BookText"/>
      </w:pPr>
      <w:r>
        <w:rPr>
          <w:rFonts w:ascii="IRNazanin" w:hAnsi="IRNazanin" w:eastAsia="IRNazanin" w:cs="IRNazanin"/>
          <w:lang w:bidi="fa-IR"/>
          <w:color w:val="111111"/>
          <w:sz w:val="28"/>
          <w:szCs w:val="28"/>
          <w:rtl/>
        </w:rPr>
        <w:t xml:space="preserve">تاجرا، و کان ماهرا فی النرد و الشطرنج الکبیر و الصغیر حضورا و غیابا. کذا وصفه و أورد شعره فی (مجن 6- ص 121 و 299).</w:t>
      </w:r>
    </w:p>
    <w:p>
      <w:pPr>
        <w:pStyle w:val="Heading3"/>
      </w:pPr>
      <w:bookmarkStart w:id="7432" w:name="_Toc6128"/>
      <w:r>
        <w:t>5614- دیوان فضل الله سودخری‏</w:t>
      </w:r>
      <w:bookmarkEnd w:id="7432"/>
    </w:p>
    <w:p>
      <w:pPr>
        <w:pStyle w:val="BookText"/>
      </w:pPr>
      <w:r>
        <w:rPr>
          <w:rFonts w:ascii="IRNazanin" w:hAnsi="IRNazanin" w:eastAsia="IRNazanin" w:cs="IRNazanin"/>
          <w:lang w:bidi="fa-IR"/>
          <w:color w:val="111111"/>
          <w:sz w:val="28"/>
          <w:szCs w:val="28"/>
          <w:rtl/>
        </w:rPr>
        <w:t xml:space="preserve">لبدائع‏نگار فضل الله بن الملا داود ملاباشی السودخروی الخراسانی المتوفی 1343 طبع له منظومات تاریخ‏نامه بمشهد 1231.</w:t>
      </w:r>
    </w:p>
    <w:p>
      <w:pPr>
        <w:pStyle w:val="BookText"/>
      </w:pPr>
      <w:r>
        <w:rPr>
          <w:rFonts w:ascii="IRNazanin" w:hAnsi="IRNazanin" w:eastAsia="IRNazanin" w:cs="IRNazanin"/>
          <w:lang w:bidi="fa-IR"/>
          <w:color w:val="111111"/>
          <w:sz w:val="28"/>
          <w:szCs w:val="28"/>
          <w:rtl/>
        </w:rPr>
        <w:t xml:space="preserve">و ترجمه حدیث کساء بها فی 1322 و همایون‏نامه بطهران 1326.</w:t>
      </w:r>
    </w:p>
    <w:p>
      <w:pPr>
        <w:pStyle w:val="Heading3"/>
      </w:pPr>
      <w:bookmarkStart w:id="7433" w:name="_Toc6129"/>
      <w:r>
        <w:t>دیوان فضل الله کرمانی‏</w:t>
      </w:r>
      <w:bookmarkEnd w:id="7433"/>
    </w:p>
    <w:p>
      <w:pPr>
        <w:pStyle w:val="BookText"/>
      </w:pPr>
      <w:r>
        <w:rPr>
          <w:rFonts w:ascii="IRNazanin" w:hAnsi="IRNazanin" w:eastAsia="IRNazanin" w:cs="IRNazanin"/>
          <w:lang w:bidi="fa-IR"/>
          <w:color w:val="111111"/>
          <w:sz w:val="28"/>
          <w:szCs w:val="28"/>
          <w:rtl/>
        </w:rPr>
        <w:t xml:space="preserve">کما فی (لط 6- ص 219) راجع دیوان أفضل الدین کرمانی و اسمه أفضل الدین محمود بن ضیاء الدین أحمد الوزیر کما فی (لت- الخاتمة) و (قز مج 6- ص 296).</w:t>
      </w:r>
    </w:p>
    <w:p>
      <w:pPr>
        <w:pStyle w:val="Heading3"/>
      </w:pPr>
      <w:bookmarkStart w:id="7434" w:name="_Toc6130"/>
      <w:r>
        <w:t>5615- دیوان فضل الله گرگانی‏</w:t>
      </w:r>
      <w:bookmarkEnd w:id="7434"/>
    </w:p>
    <w:p>
      <w:pPr>
        <w:pStyle w:val="BookText"/>
      </w:pPr>
      <w:r>
        <w:rPr>
          <w:rFonts w:ascii="IRNazanin" w:hAnsi="IRNazanin" w:eastAsia="IRNazanin" w:cs="IRNazanin"/>
          <w:lang w:bidi="fa-IR"/>
          <w:color w:val="111111"/>
          <w:sz w:val="28"/>
          <w:szCs w:val="28"/>
          <w:rtl/>
        </w:rPr>
        <w:t xml:space="preserve">طبع له أمواج یک روح متلاطم نظما بطهران 1363. فی 131 ص.</w:t>
      </w:r>
    </w:p>
    <w:p>
      <w:pPr>
        <w:pStyle w:val="Heading3"/>
      </w:pPr>
      <w:bookmarkStart w:id="7435" w:name="_Toc6131"/>
      <w:r>
        <w:t>دیوان فضل الله همدانی‏</w:t>
      </w:r>
      <w:bookmarkEnd w:id="7435"/>
    </w:p>
    <w:p>
      <w:pPr>
        <w:pStyle w:val="BookText"/>
      </w:pPr>
      <w:r>
        <w:rPr>
          <w:rFonts w:ascii="IRNazanin" w:hAnsi="IRNazanin" w:eastAsia="IRNazanin" w:cs="IRNazanin"/>
          <w:lang w:bidi="fa-IR"/>
          <w:color w:val="111111"/>
          <w:sz w:val="28"/>
          <w:szCs w:val="28"/>
          <w:rtl/>
        </w:rPr>
        <w:t xml:space="preserve">راجع رشیدی همدانی فی ص 362.</w:t>
      </w:r>
    </w:p>
    <w:p>
      <w:pPr>
        <w:pStyle w:val="Heading3"/>
      </w:pPr>
      <w:bookmarkStart w:id="7436" w:name="_Toc6132"/>
      <w:r>
        <w:t>5616- دیوان فضلی بغدادی‏</w:t>
      </w:r>
      <w:bookmarkEnd w:id="7436"/>
    </w:p>
    <w:p>
      <w:pPr>
        <w:pStyle w:val="BookText"/>
      </w:pPr>
      <w:r>
        <w:rPr>
          <w:rFonts w:ascii="IRNazanin" w:hAnsi="IRNazanin" w:eastAsia="IRNazanin" w:cs="IRNazanin"/>
          <w:lang w:bidi="fa-IR"/>
          <w:color w:val="111111"/>
          <w:sz w:val="28"/>
          <w:szCs w:val="28"/>
          <w:rtl/>
        </w:rPr>
        <w:t xml:space="preserve">هو ابن محمد بن سلیمان الفضولی البغدادی المذکور فی الصفحة الآتیة. ترجمه فی (دجا- ص 399) و أورد شعره الترکی الذی أنشأه فی 988 و جاء ذکره فی العراق بین الاحتلالین 4: 137 و 103 نقلا عن گلشن شعراء لعهدی بغدادی.</w:t>
      </w:r>
    </w:p>
    <w:p>
      <w:pPr>
        <w:pStyle w:val="Heading3"/>
      </w:pPr>
      <w:bookmarkStart w:id="7437" w:name="_Toc6133"/>
      <w:r>
        <w:t>5617- دیوان فضلی جرفادقانی أو شعره‏</w:t>
      </w:r>
      <w:bookmarkEnd w:id="7437"/>
    </w:p>
    <w:p>
      <w:pPr>
        <w:pStyle w:val="BookText"/>
      </w:pPr>
      <w:r>
        <w:rPr>
          <w:rFonts w:ascii="IRNazanin" w:hAnsi="IRNazanin" w:eastAsia="IRNazanin" w:cs="IRNazanin"/>
          <w:lang w:bidi="fa-IR"/>
          <w:color w:val="111111"/>
          <w:sz w:val="28"/>
          <w:szCs w:val="28"/>
          <w:rtl/>
        </w:rPr>
        <w:t xml:space="preserve">تلمیذ الحکیم شفائی. ترجمه معاصره النصرآبادی فی (نر 9- ص 263) و أورد من شعره قرب عشرین بیتا و کذا فی (حسینی- ص 252) و (گلشن- ص 318).</w:t>
      </w:r>
    </w:p>
    <w:p>
      <w:pPr>
        <w:pStyle w:val="Heading3"/>
      </w:pPr>
      <w:bookmarkStart w:id="7438" w:name="_Toc6134"/>
      <w:r>
        <w:t>5618- دیوان فضلی شبستری‏</w:t>
      </w:r>
      <w:bookmarkEnd w:id="7438"/>
    </w:p>
    <w:p>
      <w:pPr>
        <w:pStyle w:val="BookText"/>
      </w:pPr>
      <w:r>
        <w:rPr>
          <w:rFonts w:ascii="IRNazanin" w:hAnsi="IRNazanin" w:eastAsia="IRNazanin" w:cs="IRNazanin"/>
          <w:lang w:bidi="fa-IR"/>
          <w:color w:val="111111"/>
          <w:sz w:val="28"/>
          <w:szCs w:val="28"/>
          <w:rtl/>
        </w:rPr>
        <w:t xml:space="preserve">له منظومة صحف الثقات نظمه باسم شیخ شاه شروان شاه فی 927 ذکره فی (دجا- ص 299).</w:t>
      </w:r>
    </w:p>
    <w:p>
      <w:pPr>
        <w:pStyle w:val="Heading3"/>
      </w:pPr>
      <w:bookmarkStart w:id="7439" w:name="_Toc6135"/>
      <w:r>
        <w:t>5619- دیوان فضلی قزوینی‏</w:t>
      </w:r>
      <w:bookmarkEnd w:id="7439"/>
    </w:p>
    <w:p>
      <w:pPr>
        <w:pStyle w:val="BookText"/>
      </w:pPr>
      <w:r>
        <w:rPr>
          <w:rFonts w:ascii="IRNazanin" w:hAnsi="IRNazanin" w:eastAsia="IRNazanin" w:cs="IRNazanin"/>
          <w:lang w:bidi="fa-IR"/>
          <w:color w:val="111111"/>
          <w:sz w:val="28"/>
          <w:szCs w:val="28"/>
          <w:rtl/>
        </w:rPr>
        <w:t xml:space="preserve">من الأدباء و أولاد العلماء بها. جمع بین حسن الخط و حسن الخلق کما ترجمه معاصره سام میرزا فی (تس 4- ص 78) و أورد شعره.</w:t>
      </w:r>
    </w:p>
    <w:p>
      <w:pPr>
        <w:pStyle w:val="Heading3"/>
      </w:pPr>
      <w:bookmarkStart w:id="7440" w:name="_Toc6136"/>
      <w:r>
        <w:t>5620- دیوان فضلی هروی أو شعره‏</w:t>
      </w:r>
      <w:bookmarkEnd w:id="7440"/>
    </w:p>
    <w:p>
      <w:pPr>
        <w:pStyle w:val="BookText"/>
      </w:pPr>
      <w:r>
        <w:rPr>
          <w:rFonts w:ascii="IRNazanin" w:hAnsi="IRNazanin" w:eastAsia="IRNazanin" w:cs="IRNazanin"/>
          <w:lang w:bidi="fa-IR"/>
          <w:color w:val="111111"/>
          <w:sz w:val="28"/>
          <w:szCs w:val="28"/>
          <w:rtl/>
        </w:rPr>
        <w:t xml:space="preserve">النقاش الماهر. کان معاصرا و معارضا لمولانا گل‏چین بمدینة هرات فی عصر المیرزا حسین بایقرا. ترجمه و أورد شعره فی (حسینی- ص 250) و (مجن 3- ص 82 و 256) و لکن جاء اسمه فی هذا الأخیر فیضی بدل فضلی.
</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bookmarkStart w:id="828" w:name="pg11704_122314"/>
    <w:bookmarkEnd w:id="828"/>
    <w:p>
      <w:pPr>
        <w:pStyle w:val="Heading3"/>
      </w:pPr>
      <w:bookmarkStart w:id="7441" w:name="_Toc6137"/>
      <w:r>
        <w:t>5621- دیوان فضولی بغدادی‏</w:t>
      </w:r>
      <w:bookmarkEnd w:id="7441"/>
    </w:p>
    <w:p>
      <w:pPr>
        <w:pStyle w:val="BookText"/>
      </w:pPr>
      <w:r>
        <w:rPr>
          <w:rFonts w:ascii="IRNazanin" w:hAnsi="IRNazanin" w:eastAsia="IRNazanin" w:cs="IRNazanin"/>
          <w:lang w:bidi="fa-IR"/>
          <w:color w:val="111111"/>
          <w:sz w:val="28"/>
          <w:szCs w:val="28"/>
          <w:rtl/>
        </w:rPr>
        <w:t xml:space="preserve">و اسمه محمد بن سلیمان من قبیلة بیات. ولد بکربلاء حدود 1498 م‏</w:t>
      </w:r>
      <w:r>
        <w:rPr>
          <w:rStyle w:val="FootnoteReference"/>
        </w:rPr>
        <w:footnoteReference w:id="68"/>
      </w:r>
      <w:r>
        <w:rPr>
          <w:rFonts w:ascii="IRNazanin" w:hAnsi="IRNazanin" w:eastAsia="IRNazanin" w:cs="IRNazanin"/>
          <w:lang w:bidi="fa-IR"/>
          <w:color w:val="111111"/>
          <w:sz w:val="28"/>
          <w:szCs w:val="28"/>
          <w:rtl/>
        </w:rPr>
        <w:t xml:space="preserve">نشا ببغداد و نسب إلیها. و یلقبه الأتراک رئیس الشعراء و هو عندهم عدیل سنان پاشا. و عند الفرس له مکانة عظیمة و له شعر عربی أیضا. و له بلاغة فی اللغات الثلاث. قال فی (تس 5- ص 136) لم یخرج من بغداد شاعر أحسن منه. و قال فی (خص 7- ص 103) إنه ذهب مع إبراهیم خان إلی بغداد و لما فر هذا من السلطان سلیمان خواندگار سکن فضولی الحلة و اکتسب العلم هناک، و له ثلاثون ألف بیت من الشعر رأیته بخطه.</w:t>
      </w:r>
    </w:p>
    <w:p>
      <w:pPr>
        <w:pStyle w:val="BookText"/>
      </w:pPr>
      <w:r>
        <w:rPr>
          <w:rFonts w:ascii="IRNazanin" w:hAnsi="IRNazanin" w:eastAsia="IRNazanin" w:cs="IRNazanin"/>
          <w:lang w:bidi="fa-IR"/>
          <w:color w:val="111111"/>
          <w:sz w:val="28"/>
          <w:szCs w:val="28"/>
          <w:rtl/>
        </w:rPr>
        <w:t xml:space="preserve">و قال فی (نر 15- ص 519) إنه اثنی عشری المذهب و أورد معمیاته و کذا فی (هفت- ص- 122) قال المستر براون فی (ج 4- ص 185) إنه مات 970 1561 م نقلا عن المستر گیب.</w:t>
      </w:r>
    </w:p>
    <w:p>
      <w:pPr>
        <w:pStyle w:val="BookText"/>
      </w:pPr>
      <w:r>
        <w:rPr>
          <w:rFonts w:ascii="IRNazanin" w:hAnsi="IRNazanin" w:eastAsia="IRNazanin" w:cs="IRNazanin"/>
          <w:lang w:bidi="fa-IR"/>
          <w:color w:val="111111"/>
          <w:sz w:val="28"/>
          <w:szCs w:val="28"/>
          <w:rtl/>
        </w:rPr>
        <w:t xml:space="preserve">و قال العزاوی فی العراق بین الاحتلالین- ج 4 ص 98 إنه یتبع الحروفیة و الغلاة و لغته الآذریة و نقل عن گلشن شعراء وفاته فی 963 بالطاعون. و لکن جاء تاریخ وفاته علی ظهر دیوانه المطبوع 975 عن خمس و ستین سنة من عمره. و ترجم أیضا فی (دجا- ص 300) و الکاکائیة فی التاریخ و ألف کل من سلیمان نظیف و هاشم ناهید و کوپرلی فؤاد و الدکتور عبد القادر فراخان فی أحوال فضولی رسائل ترکیة مستقلة طبعت الأخیرة بأستانبول مع تصاویر فی 1949 م. و أما آثاره بالترکیة: فدیوانه الترکی طبع ببولاق و علی هامشه بحر طویل لنباتی القراچه‏داغی. و طبع بتبریز مع مقدمه فی 1266. و بنگ و باده مثنوی توجد فی (سپهسالار) کما فی فهرسها (ج 3 ص 259) و ترجمه چهل حدیث جامی و أما بالفارسیة: فدیوانه الموجود عند (دهخدا) و (المکتبة المرادیة) کتبت فی 959 و مکتبة خالص أفندی و مکتبة عباس العزاوی ببغداد و مثنوی رند و زاهد المطبوع بطهران 1270 بعنوان بحث رند و زاهد و إستانبول 1940 م و أنقرة فی 1956 م مع مقدمه لکمال أدیب کورکچی‏اوغلو فی 80 ص و عشق و روح المطبوع بإیران 1303 و صحت و مرض نثرا توجد عند عبد العلی طاعتی الرشتی بطهران، و طبع ترجمتها بالترکیة کما فی تاریخ العراق للعزاوی 4: 101 و أنیس القلب قصیدة شینیة فی 133 بیتا فی قبال شینیة الخاقانی و خسرو الدهلوی و الجامی و عرفی. کذا فی کشف الظنون و روح و بدن قصة فارسیة عرفانیة یشبه حی بن یقظان توجد فی‏ .
</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bookmarkStart w:id="829" w:name="pg11704_122315"/>
    <w:bookmarkEnd w:id="829"/>
    <w:p>
      <w:pPr>
        <w:pStyle w:val="BookText"/>
      </w:pPr>
      <w:r>
        <w:rPr>
          <w:rFonts w:ascii="IRNazanin" w:hAnsi="IRNazanin" w:eastAsia="IRNazanin" w:cs="IRNazanin"/>
          <w:lang w:bidi="fa-IR"/>
          <w:color w:val="111111"/>
          <w:sz w:val="28"/>
          <w:szCs w:val="28"/>
          <w:rtl/>
        </w:rPr>
        <w:t xml:space="preserve">(سپهسالار- 534). و أما بالعربیة، فدیوانه المشتمل علی الغزل و القصائد توجد بمکتبة لننغراد تحتوی علی 465 بیتا و هو متأثر فیها أیضا بنسیمی الحروفی. و نقل العزاوی عن نمونه أدبیات أن فضولی کردی و له شکایت‏نامه کتب بها إلی نشانچی محمد پاشا أبدع فیها و تلاعب بالبیان و مطلع الاعتقاد فی علم الکلام بالعربیة، ذکر فی کشف الظنون، و طبعه أکادمیة العلوم آذربایجانیة بباکو فی 1958 م. مع مقدمه لحمید الأرسلی فی 114 ص. و الباب الخامس من الرکن الرابع منه فی الإمامة. و فی ذیلها 90 ص. من قصائده العربیة.</w:t>
      </w:r>
    </w:p>
    <w:p>
      <w:pPr>
        <w:pStyle w:val="Heading3"/>
      </w:pPr>
      <w:bookmarkStart w:id="7442" w:name="_Toc6138"/>
      <w:r>
        <w:t>5622- دیوان فطرت بروجردی أو شعره‏</w:t>
      </w:r>
      <w:bookmarkEnd w:id="7442"/>
    </w:p>
    <w:p>
      <w:pPr>
        <w:pStyle w:val="BookText"/>
      </w:pPr>
      <w:r>
        <w:rPr>
          <w:rFonts w:ascii="IRNazanin" w:hAnsi="IRNazanin" w:eastAsia="IRNazanin" w:cs="IRNazanin"/>
          <w:lang w:bidi="fa-IR"/>
          <w:color w:val="111111"/>
          <w:sz w:val="28"/>
          <w:szCs w:val="28"/>
          <w:rtl/>
        </w:rPr>
        <w:t xml:space="preserve">و اسمه محمد أمین بیگ أخذ العلم بأصفهان و سافر إلی الهند و رجع. ترجمه و أورد شعره فی (مع 2: 382) و قال یکثر من القصائد.</w:t>
      </w:r>
    </w:p>
    <w:p>
      <w:pPr>
        <w:pStyle w:val="Heading3"/>
      </w:pPr>
      <w:bookmarkStart w:id="7443" w:name="_Toc6139"/>
      <w:r>
        <w:t>5623- دیوان فطرت مشهدی‏</w:t>
      </w:r>
      <w:bookmarkEnd w:id="7443"/>
    </w:p>
    <w:p>
      <w:pPr>
        <w:pStyle w:val="BookText"/>
      </w:pPr>
      <w:r>
        <w:rPr>
          <w:rFonts w:ascii="IRNazanin" w:hAnsi="IRNazanin" w:eastAsia="IRNazanin" w:cs="IRNazanin"/>
          <w:lang w:bidi="fa-IR"/>
          <w:color w:val="111111"/>
          <w:sz w:val="28"/>
          <w:szCs w:val="28"/>
          <w:rtl/>
        </w:rPr>
        <w:t xml:space="preserve">للمیرزا معز الدین محمد بن المیرزا فخرا و سبط المیر محمد زمان المشهدی. کان آباؤه من السادة الموسویة بقم هاجر هو من مشهد خراسان إلی أصفهان و تعلم سنتین بمدرسة جده و قال الحزین فی تذکرته (ص 59) إنه جاء إلی الهند فی عهد اورنگ زیب فلقبه بموسوی خان و بدل تخلصه إلی موسوی و کان شایقا للرجوع إلی وطنه فلم یتمکن و مات هناک و أورد شعره. و قال فی (تش- ص 92) إن أشعاره لم تشتهر فی إیران. و جاء شعره فی (مسرت- ص 538) و (حسینی- ص 253) و (مطلع- 2: 439) و مفتاح التواریخ 2: 429. و توجد دیوان معین الدین فطرت فی مکتبة (بنگاله).</w:t>
      </w:r>
    </w:p>
    <w:p>
      <w:pPr>
        <w:pStyle w:val="Heading3"/>
      </w:pPr>
      <w:bookmarkStart w:id="7444" w:name="_Toc6140"/>
      <w:r>
        <w:t>5624- دیوان فطرت نوائی أو شعره‏</w:t>
      </w:r>
      <w:bookmarkEnd w:id="7444"/>
    </w:p>
    <w:p>
      <w:pPr>
        <w:pStyle w:val="BookText"/>
      </w:pPr>
      <w:r>
        <w:rPr>
          <w:rFonts w:ascii="IRNazanin" w:hAnsi="IRNazanin" w:eastAsia="IRNazanin" w:cs="IRNazanin"/>
          <w:lang w:bidi="fa-IR"/>
          <w:color w:val="111111"/>
          <w:sz w:val="28"/>
          <w:szCs w:val="28"/>
          <w:rtl/>
        </w:rPr>
        <w:t xml:space="preserve">و اسمه چراغ علی من قریة نوا بمازندران ترجمه فی (مع 2: 394) و قال رآه فی صغره و أورد شعره، و کذا فی (انجمن- 4)</w:t>
      </w:r>
    </w:p>
    <w:p>
      <w:pPr>
        <w:pStyle w:val="Heading3"/>
      </w:pPr>
      <w:bookmarkStart w:id="7445" w:name="_Toc6141"/>
      <w:r>
        <w:t>5625- دیوان فطری کشمیری‏</w:t>
      </w:r>
      <w:bookmarkEnd w:id="7445"/>
    </w:p>
    <w:p>
      <w:pPr>
        <w:pStyle w:val="BookText"/>
      </w:pPr>
      <w:r>
        <w:rPr>
          <w:rFonts w:ascii="IRNazanin" w:hAnsi="IRNazanin" w:eastAsia="IRNazanin" w:cs="IRNazanin"/>
          <w:lang w:bidi="fa-IR"/>
          <w:color w:val="111111"/>
          <w:sz w:val="28"/>
          <w:szCs w:val="28"/>
          <w:rtl/>
        </w:rPr>
        <w:t xml:space="preserve">ترجمه و أورد شعره فی (خز- ص 367) و ذکر مدیحه لأکبر شاه وصلته له‏</w:t>
      </w:r>
    </w:p>
    <w:p>
      <w:pPr>
        <w:pStyle w:val="Heading3"/>
      </w:pPr>
      <w:bookmarkStart w:id="7446" w:name="_Toc6142"/>
      <w:r>
        <w:t>5626- دیوان فغانی شاه‏جهان‏آبادی أو شعره‏</w:t>
      </w:r>
      <w:bookmarkEnd w:id="7446"/>
    </w:p>
    <w:p>
      <w:pPr>
        <w:pStyle w:val="BookText"/>
      </w:pPr>
      <w:r>
        <w:rPr>
          <w:rFonts w:ascii="IRNazanin" w:hAnsi="IRNazanin" w:eastAsia="IRNazanin" w:cs="IRNazanin"/>
          <w:lang w:bidi="fa-IR"/>
          <w:color w:val="111111"/>
          <w:sz w:val="28"/>
          <w:szCs w:val="28"/>
          <w:rtl/>
        </w:rPr>
        <w:t xml:space="preserve">و اسمه ظریف الملک أشرف علی خان بن محمد شاه سافر إلی عظیم‏آباد فی 1170 أورد شعره فی (گلشن- ص 318)
</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bookmarkStart w:id="830" w:name="pg11704_122316"/>
    <w:bookmarkEnd w:id="830"/>
    <w:p>
      <w:pPr>
        <w:pStyle w:val="Heading3"/>
      </w:pPr>
      <w:bookmarkStart w:id="7447" w:name="_Toc6143"/>
      <w:r>
        <w:t>5627- دیوان فغانی شیرازی‏</w:t>
      </w:r>
      <w:bookmarkEnd w:id="7447"/>
    </w:p>
    <w:p>
      <w:pPr>
        <w:pStyle w:val="BookText"/>
      </w:pPr>
      <w:r>
        <w:rPr>
          <w:rFonts w:ascii="IRNazanin" w:hAnsi="IRNazanin" w:eastAsia="IRNazanin" w:cs="IRNazanin"/>
          <w:lang w:bidi="fa-IR"/>
          <w:color w:val="111111"/>
          <w:sz w:val="28"/>
          <w:szCs w:val="28"/>
          <w:rtl/>
        </w:rPr>
        <w:t xml:space="preserve">کان بشیراز یعمل السکاکین فتخلص سکاکی ثم هاجر إلی تبریز و ترقی أمره فی بلاط السلطان یعقوب (884- 896) فتخلص فغانی و نصبه الملک بمقام بابای شاعران و لقبه بابا فغانی و کان دائم الخمر و بعد موت السلطان هاجر إلی هرات، و مدح حاکم أبیورد ثم السلطان بایقرا، و فی الأخیر تاب و مدح الرضا ع و مات فی 925 کما فی شاهد صادق و ترجم فی (لس- ص 256 أو 539) و (تس 5- ص 102) و (هفت- ص 264) و (تش- ص 291) و (حسینی- ص 242) و (خیال- ص 74) و روضة الصفا و (مجن- ص 161 و 307) و ریحانة الأدب عن سفینة الشعراء و (فارس‏نامه 2:</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و قد رأی سنگلاخ دیوانه بخط قاسم شادی شاه و ذکره فی (امتحان- 1: 115) و نوجد دیوانه عند (الملک) و (فخر الدین- 104) و (دهخدا) و جامعة طهران کما فی فهرسها (2: 61) و (سپهسالار) و طبع دیوانه بلاهور فی 281</w:t>
      </w:r>
    </w:p>
    <w:p>
      <w:pPr>
        <w:pStyle w:val="BookText"/>
      </w:pPr>
      <w:r>
        <w:rPr>
          <w:rFonts w:ascii="IRNazanin" w:hAnsi="IRNazanin" w:eastAsia="IRNazanin" w:cs="IRNazanin"/>
          <w:lang w:bidi="fa-IR"/>
          <w:color w:val="111111"/>
          <w:sz w:val="28"/>
          <w:szCs w:val="28"/>
          <w:rtl/>
        </w:rPr>
        <w:t xml:space="preserve">ص و پاریس فی 1903 م فی 144+ 21 ص و بطهران بتصحیح أحمد سهیلی خوانساری فی 1316 ش فی 244 ص و قد أجاب دیوانه آرزو المذکور فی (ص 5)</w:t>
      </w:r>
    </w:p>
    <w:p>
      <w:pPr>
        <w:pStyle w:val="Heading3"/>
      </w:pPr>
      <w:bookmarkStart w:id="7448" w:name="_Toc6144"/>
      <w:r>
        <w:t>5628- دیوان فغانی کابلی أو شعره‏</w:t>
      </w:r>
      <w:bookmarkEnd w:id="7448"/>
    </w:p>
    <w:p>
      <w:pPr>
        <w:pStyle w:val="BookText"/>
      </w:pPr>
      <w:r>
        <w:rPr>
          <w:rFonts w:ascii="IRNazanin" w:hAnsi="IRNazanin" w:eastAsia="IRNazanin" w:cs="IRNazanin"/>
          <w:lang w:bidi="fa-IR"/>
          <w:color w:val="111111"/>
          <w:sz w:val="28"/>
          <w:szCs w:val="28"/>
          <w:rtl/>
        </w:rPr>
        <w:t xml:space="preserve">هو ابن میر سعید گوینده و کان المیر سعید الکابلی خال الأمیر علی شیر کما فی (لط 2- ص 53) و ترجم الفغانی و أورد شعره فی (مجن 3- ص 80 و 255)</w:t>
      </w:r>
    </w:p>
    <w:p>
      <w:pPr>
        <w:pStyle w:val="Heading3"/>
      </w:pPr>
      <w:bookmarkStart w:id="7449" w:name="_Toc6145"/>
      <w:r>
        <w:t>دیوان فغانی کرمانی‏</w:t>
      </w:r>
      <w:bookmarkEnd w:id="7449"/>
    </w:p>
    <w:p>
      <w:pPr>
        <w:pStyle w:val="BookText"/>
      </w:pPr>
      <w:r>
        <w:rPr>
          <w:rFonts w:ascii="IRNazanin" w:hAnsi="IRNazanin" w:eastAsia="IRNazanin" w:cs="IRNazanin"/>
          <w:lang w:bidi="fa-IR"/>
          <w:color w:val="111111"/>
          <w:sz w:val="28"/>
          <w:szCs w:val="28"/>
          <w:rtl/>
        </w:rPr>
        <w:t xml:space="preserve">قال سنگلاخ فی (امتحان 1- 115) إنه رأی دیوانه بخط قاسم شادیشاد و أظنه اشتبه بالشیرازی‏</w:t>
      </w:r>
    </w:p>
    <w:p>
      <w:pPr>
        <w:pStyle w:val="Heading3"/>
      </w:pPr>
      <w:bookmarkStart w:id="7450" w:name="_Toc6146"/>
      <w:r>
        <w:t>5629- دیوان فغانی کشمیری أو شعره‏</w:t>
      </w:r>
      <w:bookmarkEnd w:id="7450"/>
    </w:p>
    <w:p>
      <w:pPr>
        <w:pStyle w:val="BookText"/>
      </w:pPr>
      <w:r>
        <w:rPr>
          <w:rFonts w:ascii="IRNazanin" w:hAnsi="IRNazanin" w:eastAsia="IRNazanin" w:cs="IRNazanin"/>
          <w:lang w:bidi="fa-IR"/>
          <w:color w:val="111111"/>
          <w:sz w:val="28"/>
          <w:szCs w:val="28"/>
          <w:rtl/>
        </w:rPr>
        <w:t xml:space="preserve">ترجمه معاصره النصرآبادی فی (نر 11- ص 448) و قال إنه سافر إلی الهند، و لعله رجع ثم ذکر شعره‏</w:t>
      </w:r>
    </w:p>
    <w:p>
      <w:pPr>
        <w:pStyle w:val="Heading3"/>
      </w:pPr>
      <w:bookmarkStart w:id="7451" w:name="_Toc6147"/>
      <w:r>
        <w:t>دیوان فغانی میرم‏</w:t>
      </w:r>
      <w:bookmarkEnd w:id="7451"/>
    </w:p>
    <w:p>
      <w:pPr>
        <w:pStyle w:val="BookText"/>
      </w:pPr>
      <w:r>
        <w:rPr>
          <w:rFonts w:ascii="IRNazanin" w:hAnsi="IRNazanin" w:eastAsia="IRNazanin" w:cs="IRNazanin"/>
          <w:lang w:bidi="fa-IR"/>
          <w:color w:val="111111"/>
          <w:sz w:val="28"/>
          <w:szCs w:val="28"/>
          <w:rtl/>
        </w:rPr>
        <w:t xml:space="preserve">ترجمه و أورد شعره فی (مجن 3- ص 86 و 261) و زاد فی (لط 3- ص 87) أنه کان یتخلص أولا فغانی ثم بدله إلی ضیاء کما ذکرناه فی ص 630 بعنوان ضیاء الدین میرم‏</w:t>
      </w:r>
    </w:p>
    <w:p>
      <w:pPr>
        <w:pStyle w:val="Heading3"/>
      </w:pPr>
      <w:bookmarkStart w:id="7452" w:name="_Toc6148"/>
      <w:r>
        <w:t>5630- دیوان فغفور گیلانی‏</w:t>
      </w:r>
      <w:bookmarkEnd w:id="7452"/>
    </w:p>
    <w:p>
      <w:pPr>
        <w:pStyle w:val="BookText"/>
      </w:pPr>
      <w:r>
        <w:rPr>
          <w:rFonts w:ascii="IRNazanin" w:hAnsi="IRNazanin" w:eastAsia="IRNazanin" w:cs="IRNazanin"/>
          <w:lang w:bidi="fa-IR"/>
          <w:color w:val="111111"/>
          <w:sz w:val="28"/>
          <w:szCs w:val="28"/>
          <w:rtl/>
        </w:rPr>
        <w:t xml:space="preserve">و اسمه السید محمد حسین بن أحمد اللاهیجی کان والده مقربا عند خان أحمد پادشاه گیلان و ولد فغفور بلاهجان و تخلص فی شعره أولا رسمی ثم بدله إلی فغفور سافر إلی آذربایجان و گرجستان و مهر فی العربیة
</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bookmarkStart w:id="831" w:name="pg11704_122317"/>
    <w:bookmarkEnd w:id="831"/>
    <w:p>
      <w:pPr>
        <w:pStyle w:val="BookText"/>
      </w:pPr>
      <w:r>
        <w:rPr>
          <w:rFonts w:ascii="IRNazanin" w:hAnsi="IRNazanin" w:eastAsia="IRNazanin" w:cs="IRNazanin"/>
          <w:lang w:bidi="fa-IR"/>
          <w:color w:val="111111"/>
          <w:sz w:val="28"/>
          <w:szCs w:val="28"/>
          <w:rtl/>
        </w:rPr>
        <w:t xml:space="preserve">و الشطرنج و الریاضیات و الموسیقی و الخط النستعلیق و سافر إلی آذربایجان و گرجستان ثم رجع و ناظر الحکیم شفائی الأصفهانی و تقرب عند الشاه عباس، فقصد الهند فی 1012 عن طریق قندهار و بقی بها مدة عند أمیرها غازی ترخان المتخلص و قاری و صاحب مرشد بروجردی و أسد قصه‏خوان و لاختلاف حصل بینه و بینهما فر إلی لاهور فاعتذر إلیه غازی و طلب منه الرجوع إلی قندهار فلم یقبل و ذهب إلی آگرة و بقی مدة عند الحکیم علی الگیلانی المتوفی 1018 ثم</w:t>
      </w:r>
    </w:p>
    <w:p>
      <w:pPr>
        <w:pStyle w:val="BookText"/>
      </w:pPr>
      <w:r>
        <w:rPr>
          <w:rFonts w:ascii="IRNazanin" w:hAnsi="IRNazanin" w:eastAsia="IRNazanin" w:cs="IRNazanin"/>
          <w:lang w:bidi="fa-IR"/>
          <w:color w:val="111111"/>
          <w:sz w:val="28"/>
          <w:szCs w:val="28"/>
          <w:rtl/>
        </w:rPr>
        <w:t xml:space="preserve">ذهب إلی برهان‏پور و تقرب عند الشاه‏زاده پرویز بن سلیم فی 1025 و جاء معه إلی الله‏آباد و مات بها بعد سنتین فی 1029 و قال صالح التبریزی فی تاریخه:</w:t>
      </w:r>
    </w:p>
    <w:p>
      <w:pPr>
        <w:pStyle w:val="BookText"/>
      </w:pPr>
      <w:r>
        <w:rPr>
          <w:rFonts w:ascii="IRNazanin" w:hAnsi="IRNazanin" w:eastAsia="IRNazanin" w:cs="IRNazanin"/>
          <w:lang w:bidi="fa-IR"/>
          <w:color w:val="111111"/>
          <w:sz w:val="28"/>
          <w:szCs w:val="28"/>
          <w:rtl/>
        </w:rPr>
        <w:t xml:space="preserve">چون بهشتی بود شد تاریخ أو</w:t>
      </w:r>
    </w:p>
    <w:p>
      <w:pPr>
        <w:pStyle w:val="BookText"/>
      </w:pPr>
      <w:r>
        <w:rPr>
          <w:rFonts w:ascii="IRNazanin" w:hAnsi="IRNazanin" w:eastAsia="IRNazanin" w:cs="IRNazanin"/>
          <w:lang w:bidi="fa-IR"/>
          <w:color w:val="111111"/>
          <w:sz w:val="28"/>
          <w:szCs w:val="28"/>
          <w:rtl/>
        </w:rPr>
        <w:t xml:space="preserve">هم‏نوا با عندلیبان بهشت‏</w:t>
      </w:r>
    </w:p>
    <w:p>
      <w:pPr>
        <w:pStyle w:val="BookText"/>
      </w:pPr>
      <w:r>
        <w:rPr>
          <w:rFonts w:ascii="IRNazanin" w:hAnsi="IRNazanin" w:eastAsia="IRNazanin" w:cs="IRNazanin"/>
          <w:lang w:bidi="fa-IR"/>
          <w:color w:val="111111"/>
          <w:sz w:val="28"/>
          <w:szCs w:val="28"/>
          <w:rtl/>
        </w:rPr>
        <w:t xml:space="preserve">و فی سرو- ص 38 و نشتر عشق أنه مات 1028 و فی (نر 9- ص 243) و (خوش‏گو) مات 1030 و فی (تش- ص 163) أنه لما سافر إلی الهند بدل تخلصه إلی فغفور حذرا عن الالتباس برسمی الیزدی و لهذا عد فی مرآة الخیال (ص 77) و خلاصة الأفکار المؤلف 1206 یزدیا و هو اشتباه منهما و قال إسپرنگر: إن فغفور کان تلمیذ عمه تاج الدین الحسینی فی الطب و کان عمه هذا تلمیذ صدر الشریعة الگیلانی الذی ترجم فی هفت إقلیم و قال فی حواشی میخانه (ص 66) نقلا عن مخزن الغرائب إن سبب تخلصه فغفور أن الشاه‏زاده پرویز لما رأی مهارته فی چینی نوازی- و هو نوع من الموسیقی- لقبه به و قد عد من تصانیفه رسالة نافع در حساب أصابع و دیوانه یشتمل علی أربعة آلاف بیت کما فی (نر 9- ص 244) و نسخه مکتبة موتی محل بالهند فی (150 ص) کل صفحة فی (23 س) کما فی فهرس إسپرنگر ص 392 و ترجمه أیضا فی (سرخوش- ص 88) و (حسینی- ص 252)</w:t>
      </w:r>
    </w:p>
    <w:p>
      <w:pPr>
        <w:pStyle w:val="Heading3"/>
      </w:pPr>
      <w:bookmarkStart w:id="7453" w:name="_Toc6149"/>
      <w:r>
        <w:t>دیوان فغفور لاهیجی‏</w:t>
      </w:r>
      <w:bookmarkEnd w:id="7453"/>
    </w:p>
    <w:p>
      <w:pPr>
        <w:pStyle w:val="BookText"/>
      </w:pPr>
      <w:r>
        <w:rPr>
          <w:rFonts w:ascii="IRNazanin" w:hAnsi="IRNazanin" w:eastAsia="IRNazanin" w:cs="IRNazanin"/>
          <w:lang w:bidi="fa-IR"/>
          <w:color w:val="111111"/>
          <w:sz w:val="28"/>
          <w:szCs w:val="28"/>
          <w:rtl/>
        </w:rPr>
        <w:t xml:space="preserve">راجع فغفور گیلانی‏</w:t>
      </w:r>
    </w:p>
    <w:p>
      <w:pPr>
        <w:pStyle w:val="Heading3"/>
      </w:pPr>
      <w:bookmarkStart w:id="7454" w:name="_Toc6150"/>
      <w:r>
        <w:t>دیوان فغفور یزدی‏</w:t>
      </w:r>
      <w:bookmarkEnd w:id="7454"/>
    </w:p>
    <w:p>
      <w:pPr>
        <w:pStyle w:val="BookText"/>
      </w:pPr>
      <w:r>
        <w:rPr>
          <w:rFonts w:ascii="IRNazanin" w:hAnsi="IRNazanin" w:eastAsia="IRNazanin" w:cs="IRNazanin"/>
          <w:lang w:bidi="fa-IR"/>
          <w:color w:val="111111"/>
          <w:sz w:val="28"/>
          <w:szCs w:val="28"/>
          <w:rtl/>
        </w:rPr>
        <w:t xml:space="preserve">کما فی (خیال- ص 77) و خلاصة الأفکار المؤلف 1206 و (تش یز- ص 318) عن تذکره هندیة و الظاهر أنه هو فغفور گیلانی المذکور</w:t>
      </w:r>
    </w:p>
    <w:p>
      <w:pPr>
        <w:pStyle w:val="Heading3"/>
      </w:pPr>
      <w:bookmarkStart w:id="7455" w:name="_Toc6151"/>
      <w:r>
        <w:t>5631- دیوان فقیر</w:t>
      </w:r>
      <w:bookmarkEnd w:id="7455"/>
    </w:p>
    <w:p>
      <w:pPr>
        <w:pStyle w:val="BookText"/>
      </w:pPr>
      <w:r>
        <w:rPr>
          <w:rFonts w:ascii="IRNazanin" w:hAnsi="IRNazanin" w:eastAsia="IRNazanin" w:cs="IRNazanin"/>
          <w:lang w:bidi="fa-IR"/>
          <w:color w:val="111111"/>
          <w:sz w:val="28"/>
          <w:szCs w:val="28"/>
          <w:rtl/>
        </w:rPr>
        <w:t xml:space="preserve">محمد حسن له حمله حیدری و سراج الصدور و گیتی‏نما کما ذکرناه فی ج 12 ص 157- 158
</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bookmarkStart w:id="832" w:name="pg11704_122318"/>
    <w:bookmarkEnd w:id="832"/>
    <w:p>
      <w:pPr>
        <w:pStyle w:val="Heading3"/>
      </w:pPr>
      <w:bookmarkStart w:id="7456" w:name="_Toc6152"/>
      <w:r>
        <w:t>5632- دیوان فقیر إصطهباناتی‏</w:t>
      </w:r>
      <w:bookmarkEnd w:id="7456"/>
    </w:p>
    <w:p>
      <w:pPr>
        <w:pStyle w:val="BookText"/>
      </w:pPr>
      <w:r>
        <w:rPr>
          <w:rFonts w:ascii="IRNazanin" w:hAnsi="IRNazanin" w:eastAsia="IRNazanin" w:cs="IRNazanin"/>
          <w:lang w:bidi="fa-IR"/>
          <w:color w:val="111111"/>
          <w:sz w:val="28"/>
          <w:szCs w:val="28"/>
          <w:rtl/>
        </w:rPr>
        <w:t xml:space="preserve">لمعین الشریعة المیرزا علی بن الحاج محمد باقر الواعظ الإصطهباناتی الشیرازی المتوفی 1310 طبع له غزلیات گنج فقیر فی 1340 فی بمبئی فی 297 ص و خانقاه فقیر فی شیراز 1347 فی 256 ص و هو علی زنة بوستان لسعدی و خرابات فقیر فی 1342 ثم 1347 فی أربعة أبواب و خاتمة</w:t>
      </w:r>
    </w:p>
    <w:p>
      <w:pPr>
        <w:pStyle w:val="Heading3"/>
      </w:pPr>
      <w:bookmarkStart w:id="7457" w:name="_Toc6153"/>
      <w:r>
        <w:t>دیوان فقیر الله الله‏آبادی‏</w:t>
      </w:r>
      <w:bookmarkEnd w:id="7457"/>
    </w:p>
    <w:p>
      <w:pPr>
        <w:pStyle w:val="BookText"/>
      </w:pPr>
      <w:r>
        <w:rPr>
          <w:rFonts w:ascii="IRNazanin" w:hAnsi="IRNazanin" w:eastAsia="IRNazanin" w:cs="IRNazanin"/>
          <w:lang w:bidi="fa-IR"/>
          <w:color w:val="111111"/>
          <w:sz w:val="28"/>
          <w:szCs w:val="28"/>
          <w:rtl/>
        </w:rPr>
        <w:t xml:space="preserve">کما فی (نتایج- ص 59) مر بتخلصه آفرین الله‏آبادی فی ص 10.</w:t>
      </w:r>
    </w:p>
    <w:p>
      <w:pPr>
        <w:pStyle w:val="Heading3"/>
      </w:pPr>
      <w:bookmarkStart w:id="7458" w:name="_Toc6154"/>
      <w:r>
        <w:t>5633- دیوان فقیر بسطامی‏</w:t>
      </w:r>
      <w:bookmarkEnd w:id="7458"/>
    </w:p>
    <w:p>
      <w:pPr>
        <w:pStyle w:val="BookText"/>
      </w:pPr>
      <w:r>
        <w:rPr>
          <w:rFonts w:ascii="IRNazanin" w:hAnsi="IRNazanin" w:eastAsia="IRNazanin" w:cs="IRNazanin"/>
          <w:lang w:bidi="fa-IR"/>
          <w:color w:val="111111"/>
          <w:sz w:val="28"/>
          <w:szCs w:val="28"/>
          <w:rtl/>
        </w:rPr>
        <w:t xml:space="preserve">و هو المولی صفر علی بن علی أکبر المیقانی من قری بسطام المعاصر المتوفی مناهز التسعین فی 1354 کما حدثنی به ابن أخته السید جعفر البسطامی المیقانی نزیل طهران له کتاب ضیاء العیون الفارسی فی المقتل و فیه کثیر من شعره. و النسخة بخطه فرغ من تألیفه فی الثلثاء رابع ذی القعدة 1308 رأیته عند ابن أخته المذکور.</w:t>
      </w:r>
    </w:p>
    <w:p>
      <w:pPr>
        <w:pStyle w:val="Heading3"/>
      </w:pPr>
      <w:bookmarkStart w:id="7459" w:name="_Toc6155"/>
      <w:r>
        <w:t>5634- دیوان فقیر بلگرامی‏</w:t>
      </w:r>
      <w:bookmarkEnd w:id="7459"/>
    </w:p>
    <w:p>
      <w:pPr>
        <w:pStyle w:val="BookText"/>
      </w:pPr>
      <w:r>
        <w:rPr>
          <w:rFonts w:ascii="IRNazanin" w:hAnsi="IRNazanin" w:eastAsia="IRNazanin" w:cs="IRNazanin"/>
          <w:lang w:bidi="fa-IR"/>
          <w:color w:val="111111"/>
          <w:sz w:val="28"/>
          <w:szCs w:val="28"/>
          <w:rtl/>
        </w:rPr>
        <w:t xml:space="preserve">و اسمه المیر نوازش علی بن المیر عظمت الله بی‏خبر ابن لطف الله البلگرامی. ترجمه و أورد شعره فی (سرو- ص 325) و قال مات 18 شعبان 1167 و قال فی تاریخه:</w:t>
      </w:r>
    </w:p>
    <w:p>
      <w:pPr>
        <w:pStyle w:val="BookText"/>
      </w:pPr>
      <w:r>
        <w:rPr>
          <w:rFonts w:ascii="IRNazanin" w:hAnsi="IRNazanin" w:eastAsia="IRNazanin" w:cs="IRNazanin"/>
          <w:lang w:bidi="fa-IR"/>
          <w:color w:val="111111"/>
          <w:sz w:val="28"/>
          <w:szCs w:val="28"/>
          <w:rtl/>
        </w:rPr>
        <w:t xml:space="preserve">دل واطپید و ناله تاریخ واکشید</w:t>
      </w:r>
    </w:p>
    <w:p>
      <w:pPr>
        <w:pStyle w:val="BookText"/>
      </w:pPr>
      <w:r>
        <w:rPr>
          <w:rFonts w:ascii="IRNazanin" w:hAnsi="IRNazanin" w:eastAsia="IRNazanin" w:cs="IRNazanin"/>
          <w:lang w:bidi="fa-IR"/>
          <w:color w:val="111111"/>
          <w:sz w:val="28"/>
          <w:szCs w:val="28"/>
          <w:rtl/>
        </w:rPr>
        <w:t xml:space="preserve">پیر یگانه میر نوازش علی نماند</w:t>
      </w:r>
    </w:p>
    <w:p>
      <w:pPr>
        <w:pStyle w:val="BookText"/>
      </w:pPr>
      <w:r>
        <w:rPr>
          <w:rFonts w:ascii="IRNazanin" w:hAnsi="IRNazanin" w:eastAsia="IRNazanin" w:cs="IRNazanin"/>
          <w:lang w:bidi="fa-IR"/>
          <w:color w:val="111111"/>
          <w:sz w:val="28"/>
          <w:szCs w:val="28"/>
          <w:rtl/>
        </w:rPr>
        <w:t xml:space="preserve">و کذا فی (خز- ص 373) و (نتایج- ص 546).</w:t>
      </w:r>
    </w:p>
    <w:p>
      <w:pPr>
        <w:pStyle w:val="Heading3"/>
      </w:pPr>
      <w:bookmarkStart w:id="7460" w:name="_Toc6156"/>
      <w:r>
        <w:t>5635- دیوان فقیر جزائری‏</w:t>
      </w:r>
      <w:bookmarkEnd w:id="7460"/>
    </w:p>
    <w:p>
      <w:pPr>
        <w:pStyle w:val="BookText"/>
      </w:pPr>
      <w:r>
        <w:rPr>
          <w:rFonts w:ascii="IRNazanin" w:hAnsi="IRNazanin" w:eastAsia="IRNazanin" w:cs="IRNazanin"/>
          <w:lang w:bidi="fa-IR"/>
          <w:color w:val="111111"/>
          <w:sz w:val="28"/>
          <w:szCs w:val="28"/>
          <w:rtl/>
        </w:rPr>
        <w:t xml:space="preserve">و هو السید عبد الله بن نور الدین بن السید نعمة الله الجزائری المحدث، ولد بتستر 7 شعبان 1114 و مات 1173. له مؤلفات کثیرة منها الذخر الرائع المذکور فی ج 10 ص 8 و تذکره شوشتر المطبوع بکلکتة 1924 م.</w:t>
      </w:r>
    </w:p>
    <w:p>
      <w:pPr>
        <w:pStyle w:val="BookText"/>
      </w:pPr>
      <w:r>
        <w:rPr>
          <w:rFonts w:ascii="IRNazanin" w:hAnsi="IRNazanin" w:eastAsia="IRNazanin" w:cs="IRNazanin"/>
          <w:lang w:bidi="fa-IR"/>
          <w:color w:val="111111"/>
          <w:sz w:val="28"/>
          <w:szCs w:val="28"/>
          <w:rtl/>
        </w:rPr>
        <w:t xml:space="preserve">فی 193 ص بتصحیح ملابخش و هدایت حسین. و له ذیل سلافة العصر کما ذکرنا فی 12: 212 قال فی نجوم السماء- ص 251 إن دیوانه فی أکثر من 500 بیت. و کذا فی (تعا- ص 69) و قال قواس فی تاریخ وفاته:</w:t>
      </w:r>
    </w:p>
    <w:p>
      <w:pPr>
        <w:pStyle w:val="BookText"/>
      </w:pPr>
      <w:r>
        <w:rPr>
          <w:rFonts w:ascii="IRNazanin" w:hAnsi="IRNazanin" w:eastAsia="IRNazanin" w:cs="IRNazanin"/>
          <w:lang w:bidi="fa-IR"/>
          <w:color w:val="111111"/>
          <w:sz w:val="28"/>
          <w:szCs w:val="28"/>
          <w:rtl/>
        </w:rPr>
        <w:t xml:space="preserve">در باغ نعیم جای أو شد قواس‏</w:t>
      </w:r>
    </w:p>
    <w:p>
      <w:pPr>
        <w:pStyle w:val="BookText"/>
      </w:pPr>
      <w:r>
        <w:rPr>
          <w:rFonts w:ascii="IRNazanin" w:hAnsi="IRNazanin" w:eastAsia="IRNazanin" w:cs="IRNazanin"/>
          <w:lang w:bidi="fa-IR"/>
          <w:color w:val="111111"/>
          <w:sz w:val="28"/>
          <w:szCs w:val="28"/>
          <w:rtl/>
        </w:rPr>
        <w:t xml:space="preserve">تاریخ وفاتش طلب از باغ نعیم‏</w:t>
      </w:r>
    </w:p>
    <w:p>
      <w:pPr>
        <w:pStyle w:val="Heading3"/>
      </w:pPr>
      <w:bookmarkStart w:id="7461" w:name="_Toc6157"/>
      <w:r>
        <w:t>5636- دیوان فقیر دهلوی‏</w:t>
      </w:r>
      <w:bookmarkEnd w:id="7461"/>
    </w:p>
    <w:p>
      <w:pPr>
        <w:pStyle w:val="BookText"/>
      </w:pPr>
      <w:r>
        <w:rPr>
          <w:rFonts w:ascii="IRNazanin" w:hAnsi="IRNazanin" w:eastAsia="IRNazanin" w:cs="IRNazanin"/>
          <w:lang w:bidi="fa-IR"/>
          <w:color w:val="111111"/>
          <w:sz w:val="28"/>
          <w:szCs w:val="28"/>
          <w:rtl/>
        </w:rPr>
        <w:t xml:space="preserve">و هو شمس الدین الشاه‏جهان‏آبادی العباسی. ولد بها فی 1115 و آباؤه من أولاد العباس عم النبی و فی 1141 لبس کسوة الفقر و جاء إلی‏
</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bookmarkStart w:id="833" w:name="pg11704_122319"/>
    <w:bookmarkEnd w:id="833"/>
    <w:p>
      <w:pPr>
        <w:pStyle w:val="BookText"/>
      </w:pPr>
      <w:r>
        <w:rPr>
          <w:rFonts w:ascii="IRNazanin" w:hAnsi="IRNazanin" w:eastAsia="IRNazanin" w:cs="IRNazanin"/>
          <w:lang w:bidi="fa-IR"/>
          <w:color w:val="111111"/>
          <w:sz w:val="28"/>
          <w:szCs w:val="28"/>
          <w:rtl/>
        </w:rPr>
        <w:t xml:space="preserve">دکن و تقرب عند واله داغستانی و سافر لزیارة الأماکن المقدسة و فی الرجوع رکب السفینة من البصرة فی طریق الهند، فغرق السفینة و معها فقیر فی 1183 ترجمه فی (نتایج- ص 547) و عنه فی (نجوم- 293) و (تش- ص 388) و (خز- ص 375) و مر له داستان واله فی 8: 40 و دیوانه فی سبعة آلاف بیت و له رسائل فی فنون الأدب. و توجد دیوانه فی (بنگاله).</w:t>
      </w:r>
    </w:p>
    <w:p>
      <w:pPr>
        <w:pStyle w:val="Heading3"/>
      </w:pPr>
      <w:bookmarkStart w:id="7462" w:name="_Toc6158"/>
      <w:r>
        <w:t>دیوان فقیر شیرازی‏</w:t>
      </w:r>
      <w:bookmarkEnd w:id="7462"/>
    </w:p>
    <w:p>
      <w:pPr>
        <w:pStyle w:val="BookText"/>
      </w:pPr>
      <w:r>
        <w:rPr>
          <w:rFonts w:ascii="IRNazanin" w:hAnsi="IRNazanin" w:eastAsia="IRNazanin" w:cs="IRNazanin"/>
          <w:lang w:bidi="fa-IR"/>
          <w:color w:val="111111"/>
          <w:sz w:val="28"/>
          <w:szCs w:val="28"/>
          <w:rtl/>
        </w:rPr>
        <w:t xml:space="preserve">راجع دیوان فقیر إصطهباناتی.</w:t>
      </w:r>
    </w:p>
    <w:p>
      <w:pPr>
        <w:pStyle w:val="Heading3"/>
      </w:pPr>
      <w:bookmarkStart w:id="7463" w:name="_Toc6159"/>
      <w:r>
        <w:t>5637- دیوان فقیر لاهوری أو شعره‏</w:t>
      </w:r>
      <w:bookmarkEnd w:id="7463"/>
    </w:p>
    <w:p>
      <w:pPr>
        <w:pStyle w:val="BookText"/>
      </w:pPr>
      <w:r>
        <w:rPr>
          <w:rFonts w:ascii="IRNazanin" w:hAnsi="IRNazanin" w:eastAsia="IRNazanin" w:cs="IRNazanin"/>
          <w:lang w:bidi="fa-IR"/>
          <w:color w:val="111111"/>
          <w:sz w:val="28"/>
          <w:szCs w:val="28"/>
          <w:rtl/>
        </w:rPr>
        <w:t xml:space="preserve">أورد شعره فی (گلشن- ص 482).</w:t>
      </w:r>
    </w:p>
    <w:p>
      <w:pPr>
        <w:pStyle w:val="Heading3"/>
      </w:pPr>
      <w:bookmarkStart w:id="7464" w:name="_Toc6160"/>
      <w:r>
        <w:t>5638- دیوان فقیری‏</w:t>
      </w:r>
      <w:bookmarkEnd w:id="7464"/>
    </w:p>
    <w:p>
      <w:pPr>
        <w:pStyle w:val="BookText"/>
      </w:pPr>
      <w:r>
        <w:rPr>
          <w:rFonts w:ascii="IRNazanin" w:hAnsi="IRNazanin" w:eastAsia="IRNazanin" w:cs="IRNazanin"/>
          <w:lang w:bidi="fa-IR"/>
          <w:color w:val="111111"/>
          <w:sz w:val="28"/>
          <w:szCs w:val="28"/>
          <w:rtl/>
        </w:rPr>
        <w:t xml:space="preserve">قال فی (مجتس 6- ص 166) إن دیوانه کامل و أورد شعره. و لعله التبریزی.</w:t>
      </w:r>
    </w:p>
    <w:p>
      <w:pPr>
        <w:pStyle w:val="Heading3"/>
      </w:pPr>
      <w:bookmarkStart w:id="7465" w:name="_Toc6161"/>
      <w:r>
        <w:t>دیوان فقیری تبریزی‏</w:t>
      </w:r>
      <w:bookmarkEnd w:id="7465"/>
    </w:p>
    <w:p>
      <w:pPr>
        <w:pStyle w:val="BookText"/>
      </w:pPr>
      <w:r>
        <w:rPr>
          <w:rFonts w:ascii="IRNazanin" w:hAnsi="IRNazanin" w:eastAsia="IRNazanin" w:cs="IRNazanin"/>
          <w:lang w:bidi="fa-IR"/>
          <w:color w:val="111111"/>
          <w:sz w:val="28"/>
          <w:szCs w:val="28"/>
          <w:rtl/>
        </w:rPr>
        <w:t xml:space="preserve">أورد شعره فی (گلشن- ص 319) و (دجا- ص 300) و الظاهر أنه تصحیف حقیری. أو أنه هو الذی ذکر قبل.</w:t>
      </w:r>
    </w:p>
    <w:p>
      <w:pPr>
        <w:pStyle w:val="Heading3"/>
      </w:pPr>
      <w:bookmarkStart w:id="7466" w:name="_Toc6162"/>
      <w:r>
        <w:t>5639- دیوان فقیری همدانی أو شعره‏</w:t>
      </w:r>
      <w:bookmarkEnd w:id="7466"/>
    </w:p>
    <w:p>
      <w:pPr>
        <w:pStyle w:val="BookText"/>
      </w:pPr>
      <w:r>
        <w:rPr>
          <w:rFonts w:ascii="IRNazanin" w:hAnsi="IRNazanin" w:eastAsia="IRNazanin" w:cs="IRNazanin"/>
          <w:lang w:bidi="fa-IR"/>
          <w:color w:val="111111"/>
          <w:sz w:val="28"/>
          <w:szCs w:val="28"/>
          <w:rtl/>
        </w:rPr>
        <w:t xml:space="preserve">ترجمه فی (تس 5- ص 148) و أورد شعره الذی یعرف منه کیفیة صنعة الساعات فی القرن العاشر و هو:</w:t>
      </w:r>
    </w:p>
    <w:p>
      <w:pPr>
        <w:pStyle w:val="BookText"/>
      </w:pPr>
      <w:r>
        <w:rPr>
          <w:rFonts w:ascii="IRNazanin" w:hAnsi="IRNazanin" w:eastAsia="IRNazanin" w:cs="IRNazanin"/>
          <w:lang w:bidi="fa-IR"/>
          <w:color w:val="111111"/>
          <w:sz w:val="28"/>
          <w:szCs w:val="28"/>
          <w:rtl/>
        </w:rPr>
        <w:t xml:space="preserve">خاک پایت، گه در این چشم است ما را، گه در آن‏</w:t>
      </w:r>
    </w:p>
    <w:p>
      <w:pPr>
        <w:pStyle w:val="BookText"/>
      </w:pPr>
      <w:r>
        <w:rPr>
          <w:rFonts w:ascii="IRNazanin" w:hAnsi="IRNazanin" w:eastAsia="IRNazanin" w:cs="IRNazanin"/>
          <w:lang w:bidi="fa-IR"/>
          <w:color w:val="111111"/>
          <w:sz w:val="28"/>
          <w:szCs w:val="28"/>
          <w:rtl/>
        </w:rPr>
        <w:t xml:space="preserve">بر مثال شیشه‏های ساعت و ریگ روان‏</w:t>
      </w:r>
    </w:p>
    <w:p>
      <w:pPr>
        <w:pStyle w:val="Heading3"/>
      </w:pPr>
      <w:bookmarkStart w:id="7467" w:name="_Toc6163"/>
      <w:r>
        <w:t>5640- دیوان فقیه أو شعره‏</w:t>
      </w:r>
      <w:bookmarkEnd w:id="7467"/>
    </w:p>
    <w:p>
      <w:pPr>
        <w:pStyle w:val="BookText"/>
      </w:pPr>
      <w:r>
        <w:rPr>
          <w:rFonts w:ascii="IRNazanin" w:hAnsi="IRNazanin" w:eastAsia="IRNazanin" w:cs="IRNazanin"/>
          <w:lang w:bidi="fa-IR"/>
          <w:color w:val="111111"/>
          <w:sz w:val="28"/>
          <w:szCs w:val="28"/>
          <w:rtl/>
        </w:rPr>
        <w:t xml:space="preserve">ترجمه فی (تس 4- ص 99) و قال کان یکتب مؤلفات الجامی و یذب عنه. و أورد شعره الذی رد فیه علی عصام الدین إبراهیم الأسفراینی المعروف دولت خواجه المتوفی 943 فی شرحه الذی رد فیه علی الفوائد الضیائیة للجامی کما فی کشف الظنون‏</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شرحی که رقم ز دست دولت خواجه‏</w:t>
      </w:r>
    </w:p>
    <w:p>
      <w:pPr>
        <w:pStyle w:val="BookText"/>
      </w:pPr>
      <w:r>
        <w:rPr>
          <w:rFonts w:ascii="IRNazanin" w:hAnsi="IRNazanin" w:eastAsia="IRNazanin" w:cs="IRNazanin"/>
          <w:lang w:bidi="fa-IR"/>
          <w:color w:val="111111"/>
          <w:sz w:val="28"/>
          <w:szCs w:val="28"/>
          <w:rtl/>
        </w:rPr>
        <w:t xml:space="preserve">ذمش نتوان به مهمل دیباجة</w:t>
      </w:r>
    </w:p>
    <w:p>
      <w:pPr>
        <w:pStyle w:val="BookText"/>
      </w:pPr>
      <w:r>
        <w:rPr>
          <w:rFonts w:ascii="IRNazanin" w:hAnsi="IRNazanin" w:eastAsia="IRNazanin" w:cs="IRNazanin"/>
          <w:lang w:bidi="fa-IR"/>
          <w:color w:val="111111"/>
          <w:sz w:val="28"/>
          <w:szCs w:val="28"/>
          <w:rtl/>
        </w:rPr>
        <w:t xml:space="preserve">شرحی است که احتیاج تامست بدو</w:t>
      </w:r>
    </w:p>
    <w:p>
      <w:pPr>
        <w:pStyle w:val="BookText"/>
      </w:pPr>
      <w:r>
        <w:rPr>
          <w:rFonts w:ascii="IRNazanin" w:hAnsi="IRNazanin" w:eastAsia="IRNazanin" w:cs="IRNazanin"/>
          <w:lang w:bidi="fa-IR"/>
          <w:color w:val="111111"/>
          <w:sz w:val="28"/>
          <w:szCs w:val="28"/>
          <w:rtl/>
        </w:rPr>
        <w:t xml:space="preserve">ملایان را عند قضاء الحاجة</w:t>
      </w:r>
    </w:p>
    <w:p>
      <w:pPr>
        <w:pStyle w:val="Heading3"/>
      </w:pPr>
      <w:bookmarkStart w:id="7468" w:name="_Toc6164"/>
      <w:r>
        <w:t>5641- دیوان فقیه أصفهانی‏</w:t>
      </w:r>
      <w:bookmarkEnd w:id="7468"/>
    </w:p>
    <w:p>
      <w:pPr>
        <w:pStyle w:val="BookText"/>
      </w:pPr>
      <w:r>
        <w:rPr>
          <w:rFonts w:ascii="IRNazanin" w:hAnsi="IRNazanin" w:eastAsia="IRNazanin" w:cs="IRNazanin"/>
          <w:lang w:bidi="fa-IR"/>
          <w:color w:val="111111"/>
          <w:sz w:val="28"/>
          <w:szCs w:val="28"/>
          <w:rtl/>
        </w:rPr>
        <w:t xml:space="preserve">و هو المیر محمد باقر المعروف بفقیه إیمانی ابن حسین علی الطهرانی المعروف بملا علی ساکن طهران. له منظومة عربیة سماها الخصائص‏ جة
</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bookmarkStart w:id="834" w:name="pg11704_122320"/>
    <w:bookmarkEnd w:id="834"/>
    <w:p>
      <w:pPr>
        <w:pStyle w:val="BookText"/>
      </w:pPr>
      <w:r>
        <w:rPr>
          <w:rFonts w:ascii="IRNazanin" w:hAnsi="IRNazanin" w:eastAsia="IRNazanin" w:cs="IRNazanin"/>
          <w:lang w:bidi="fa-IR"/>
          <w:color w:val="111111"/>
          <w:sz w:val="28"/>
          <w:szCs w:val="28"/>
          <w:rtl/>
        </w:rPr>
        <w:t xml:space="preserve">المهدیة و دیوان أشعاره الفارسیة و رسائل فی تفسیر آیات من القرآن و غیر ذلک. و توفی لیلة الجمعة 20 ذی القعدة 1370 عن ثمانین سنة و دفن بتخت فولاد بأصفهان. أورد شعره بتخلص فقیه و ترجمه فی (شعرای أصفهان- ص 367) و کتب لنا</w:t>
      </w:r>
    </w:p>
    <w:p>
      <w:pPr>
        <w:pStyle w:val="BookText"/>
      </w:pPr>
      <w:r>
        <w:rPr>
          <w:rFonts w:ascii="IRNazanin" w:hAnsi="IRNazanin" w:eastAsia="IRNazanin" w:cs="IRNazanin"/>
          <w:lang w:bidi="fa-IR"/>
          <w:color w:val="111111"/>
          <w:sz w:val="28"/>
          <w:szCs w:val="28"/>
          <w:rtl/>
        </w:rPr>
        <w:t xml:space="preserve">المعلم الحبیب‏آبادی فهرس خمسین کتابا من تألیفاته نقلا عن ابنه محمد مهدی إمام الجماعة بمسجد امام‏زاده إسماعیل هناک. و طبع بعض شعره فی حواشی وظیفة الأنام لمحمد تقی الیزدآبادی.</w:t>
      </w:r>
    </w:p>
    <w:p>
      <w:pPr>
        <w:pStyle w:val="Heading3"/>
      </w:pPr>
      <w:bookmarkStart w:id="7469" w:name="_Toc6165"/>
      <w:r>
        <w:t>5642- دیوان فقیهی مروزی أو شعره‏</w:t>
      </w:r>
      <w:bookmarkEnd w:id="7469"/>
    </w:p>
    <w:p>
      <w:pPr>
        <w:pStyle w:val="BookText"/>
      </w:pPr>
      <w:r>
        <w:rPr>
          <w:rFonts w:ascii="IRNazanin" w:hAnsi="IRNazanin" w:eastAsia="IRNazanin" w:cs="IRNazanin"/>
          <w:lang w:bidi="fa-IR"/>
          <w:color w:val="111111"/>
          <w:sz w:val="28"/>
          <w:szCs w:val="28"/>
          <w:rtl/>
        </w:rPr>
        <w:t xml:space="preserve">کان من أفاضل خراسان ترجمه فی (مع- ج 1 ص 381) و أورد شعره.</w:t>
      </w:r>
    </w:p>
    <w:p>
      <w:pPr>
        <w:pStyle w:val="Heading3"/>
      </w:pPr>
      <w:bookmarkStart w:id="7470" w:name="_Toc6166"/>
      <w:r>
        <w:t>5643- دیوان فگار شیرازی أو شعره‏</w:t>
      </w:r>
      <w:bookmarkEnd w:id="7470"/>
    </w:p>
    <w:p>
      <w:pPr>
        <w:pStyle w:val="BookText"/>
      </w:pPr>
      <w:r>
        <w:rPr>
          <w:rFonts w:ascii="IRNazanin" w:hAnsi="IRNazanin" w:eastAsia="IRNazanin" w:cs="IRNazanin"/>
          <w:lang w:bidi="fa-IR"/>
          <w:color w:val="111111"/>
          <w:sz w:val="28"/>
          <w:szCs w:val="28"/>
          <w:rtl/>
        </w:rPr>
        <w:t xml:space="preserve">و هو لطف علی الشیرازی. ترجمه فی طرائق الحقائق- ج 3 ص 157 و فارس‏نامه 2: 150.</w:t>
      </w:r>
    </w:p>
    <w:p>
      <w:pPr>
        <w:pStyle w:val="Heading3"/>
      </w:pPr>
      <w:bookmarkStart w:id="7471" w:name="_Toc6167"/>
      <w:r>
        <w:t>5644- دیوان فگاری سبزواری‏</w:t>
      </w:r>
      <w:bookmarkEnd w:id="7471"/>
    </w:p>
    <w:p>
      <w:pPr>
        <w:pStyle w:val="BookText"/>
      </w:pPr>
      <w:r>
        <w:rPr>
          <w:rFonts w:ascii="IRNazanin" w:hAnsi="IRNazanin" w:eastAsia="IRNazanin" w:cs="IRNazanin"/>
          <w:lang w:bidi="fa-IR"/>
          <w:color w:val="111111"/>
          <w:sz w:val="28"/>
          <w:szCs w:val="28"/>
          <w:rtl/>
        </w:rPr>
        <w:t xml:space="preserve">و هو القاضی أحمد ترجمه معاصره الصادقی فی (خص 8- 174) و أطری فضله و عقله و أورد نیفا و عشرین بیتا من شعره و الظاهر أنه الذی رأی سنگلاخ دیوانه بخط عبد الرزاق ابن أخت المیر عماد و ذکره فی (امتحان- 1: 319) و ذکر فی (تش- ص 79) أنه سبزواری سکن قزوین.</w:t>
      </w:r>
    </w:p>
    <w:p>
      <w:pPr>
        <w:pStyle w:val="Heading3"/>
      </w:pPr>
      <w:bookmarkStart w:id="7472" w:name="_Toc6168"/>
      <w:r>
        <w:t>5645- دیوان فگاری أو شعره‏</w:t>
      </w:r>
      <w:bookmarkEnd w:id="7472"/>
    </w:p>
    <w:p>
      <w:pPr>
        <w:pStyle w:val="BookText"/>
      </w:pPr>
      <w:r>
        <w:rPr>
          <w:rFonts w:ascii="IRNazanin" w:hAnsi="IRNazanin" w:eastAsia="IRNazanin" w:cs="IRNazanin"/>
          <w:lang w:bidi="fa-IR"/>
          <w:color w:val="111111"/>
          <w:sz w:val="28"/>
          <w:szCs w:val="28"/>
          <w:rtl/>
        </w:rPr>
        <w:t xml:space="preserve">و اسمه مراد خان بن تمر خان ترجمه معاصره الصادقی فی (خص 3- ص 30) و ذکر أنه زیدت بصیرته بذهاب بصره، و أورد بعض شعره الفارسی و الترکی.</w:t>
      </w:r>
    </w:p>
    <w:p>
      <w:pPr>
        <w:pStyle w:val="Heading3"/>
      </w:pPr>
      <w:bookmarkStart w:id="7473" w:name="_Toc6169"/>
      <w:r>
        <w:t>5646- دیوان فگاری سمرقندی أو شعره‏</w:t>
      </w:r>
      <w:bookmarkEnd w:id="7473"/>
    </w:p>
    <w:p>
      <w:pPr>
        <w:pStyle w:val="BookText"/>
      </w:pPr>
      <w:r>
        <w:rPr>
          <w:rFonts w:ascii="IRNazanin" w:hAnsi="IRNazanin" w:eastAsia="IRNazanin" w:cs="IRNazanin"/>
          <w:lang w:bidi="fa-IR"/>
          <w:color w:val="111111"/>
          <w:sz w:val="28"/>
          <w:szCs w:val="28"/>
          <w:rtl/>
        </w:rPr>
        <w:t xml:space="preserve">ترجمه و أورد شعره فی (گلشن- ص 319) و قال کان معاصر عبد الله أزبک.</w:t>
      </w:r>
    </w:p>
    <w:p>
      <w:pPr>
        <w:pStyle w:val="Heading3"/>
      </w:pPr>
      <w:bookmarkStart w:id="7474" w:name="_Toc6170"/>
      <w:r>
        <w:t>5647- دیوان فکرت‏</w:t>
      </w:r>
      <w:bookmarkEnd w:id="7474"/>
    </w:p>
    <w:p>
      <w:pPr>
        <w:pStyle w:val="BookText"/>
      </w:pPr>
      <w:r>
        <w:rPr>
          <w:rFonts w:ascii="IRNazanin" w:hAnsi="IRNazanin" w:eastAsia="IRNazanin" w:cs="IRNazanin"/>
          <w:lang w:bidi="fa-IR"/>
          <w:color w:val="111111"/>
          <w:sz w:val="28"/>
          <w:szCs w:val="28"/>
          <w:rtl/>
        </w:rPr>
        <w:t xml:space="preserve">لمحمد شفیع بن بهاء الدین محمد. فیها قصائد تاریخ بعضها 1166 و غزلیات تتبع فیها غزلیات حافظ الشیرازی. جمع الدیوان بنفسه و جعل لها مقدمه ذکر فیها سفره إلی شیراز فی ربیع الثانی 1187. توجد نسخته فی 72 ورقة عند (فخر الدین).</w:t>
      </w:r>
    </w:p>
    <w:p>
      <w:pPr>
        <w:pStyle w:val="Heading3"/>
      </w:pPr>
      <w:bookmarkStart w:id="7475" w:name="_Toc6171"/>
      <w:r>
        <w:t>5648- دیوان فکرت هندی‏</w:t>
      </w:r>
      <w:bookmarkEnd w:id="7475"/>
    </w:p>
    <w:p>
      <w:pPr>
        <w:pStyle w:val="BookText"/>
      </w:pPr>
      <w:r>
        <w:rPr>
          <w:rFonts w:ascii="IRNazanin" w:hAnsi="IRNazanin" w:eastAsia="IRNazanin" w:cs="IRNazanin"/>
          <w:lang w:bidi="fa-IR"/>
          <w:color w:val="111111"/>
          <w:sz w:val="28"/>
          <w:szCs w:val="28"/>
          <w:rtl/>
        </w:rPr>
        <w:t xml:space="preserve">و اسمه غیاث الدین منصور من أشراف معاصری سرخوش. ترجمه و أورد شعره فی (سرخوش- ص 87) و (مسرت 116).</w:t>
      </w:r>
    </w:p>
    <w:p>
      <w:pPr>
        <w:pStyle w:val="Heading3"/>
      </w:pPr>
      <w:bookmarkStart w:id="7476" w:name="_Toc6172"/>
      <w:r>
        <w:t>5649- دیوان فکرت لاریجانی‏</w:t>
      </w:r>
      <w:bookmarkEnd w:id="7476"/>
    </w:p>
    <w:p>
      <w:pPr>
        <w:pStyle w:val="BookText"/>
      </w:pPr>
      <w:r>
        <w:rPr>
          <w:rFonts w:ascii="IRNazanin" w:hAnsi="IRNazanin" w:eastAsia="IRNazanin" w:cs="IRNazanin"/>
          <w:lang w:bidi="fa-IR"/>
          <w:color w:val="111111"/>
          <w:sz w:val="28"/>
          <w:szCs w:val="28"/>
          <w:rtl/>
        </w:rPr>
        <w:t xml:space="preserve">للسید نعمة الله. الذی صار شیخ الإسلام بها من قبل السلطان فتح علی شاه القاجار. ترجمه فی (مع: ج 2 ص 382) و أورد بعض غزلیاته، و کذا
</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bookmarkStart w:id="835" w:name="pg11704_122321"/>
    <w:bookmarkEnd w:id="835"/>
    <w:p>
      <w:pPr>
        <w:pStyle w:val="BookText"/>
      </w:pPr>
      <w:r>
        <w:rPr>
          <w:rFonts w:ascii="IRNazanin" w:hAnsi="IRNazanin" w:eastAsia="IRNazanin" w:cs="IRNazanin"/>
          <w:lang w:bidi="fa-IR"/>
          <w:color w:val="111111"/>
          <w:sz w:val="28"/>
          <w:szCs w:val="28"/>
          <w:rtl/>
        </w:rPr>
        <w:t xml:space="preserve">فی (انجمن 3).</w:t>
      </w:r>
    </w:p>
    <w:p>
      <w:pPr>
        <w:pStyle w:val="Heading3"/>
      </w:pPr>
      <w:bookmarkStart w:id="7477" w:name="_Toc6173"/>
      <w:r>
        <w:t>5650- دیوان فکری أردوبادی أو شعره‏</w:t>
      </w:r>
      <w:bookmarkEnd w:id="7477"/>
    </w:p>
    <w:p>
      <w:pPr>
        <w:pStyle w:val="BookText"/>
      </w:pPr>
      <w:r>
        <w:rPr>
          <w:rFonts w:ascii="IRNazanin" w:hAnsi="IRNazanin" w:eastAsia="IRNazanin" w:cs="IRNazanin"/>
          <w:lang w:bidi="fa-IR"/>
          <w:color w:val="111111"/>
          <w:sz w:val="28"/>
          <w:szCs w:val="28"/>
          <w:rtl/>
        </w:rPr>
        <w:t xml:space="preserve">ترجمه معاصره الصادقی فی (خص 8- ص 175) و أورد بعض شعره. و ترجمه فی (دجا- ص 301) نقلا عن هفت إقلیم و أورد شعرا واحدا مما ذکره الصادقی.</w:t>
      </w:r>
    </w:p>
    <w:p>
      <w:pPr>
        <w:pStyle w:val="Heading3"/>
      </w:pPr>
      <w:bookmarkStart w:id="7478" w:name="_Toc6174"/>
      <w:r>
        <w:t>5651- دیوان فکری أسترآبادی أو شعره‏</w:t>
      </w:r>
      <w:bookmarkEnd w:id="7478"/>
    </w:p>
    <w:p>
      <w:pPr>
        <w:pStyle w:val="BookText"/>
      </w:pPr>
      <w:r>
        <w:rPr>
          <w:rFonts w:ascii="IRNazanin" w:hAnsi="IRNazanin" w:eastAsia="IRNazanin" w:cs="IRNazanin"/>
          <w:lang w:bidi="fa-IR"/>
          <w:color w:val="111111"/>
          <w:sz w:val="28"/>
          <w:szCs w:val="28"/>
          <w:rtl/>
        </w:rPr>
        <w:t xml:space="preserve">کان صحافا کما وصفه سام میرزا فی (تس 5- ص 169) و أورد شعره.</w:t>
      </w:r>
    </w:p>
    <w:p>
      <w:pPr>
        <w:pStyle w:val="Heading3"/>
      </w:pPr>
      <w:bookmarkStart w:id="7479" w:name="_Toc6175"/>
      <w:r>
        <w:t>5652- دیوان فکری أصفهانی أو شعره‏</w:t>
      </w:r>
      <w:bookmarkEnd w:id="7479"/>
    </w:p>
    <w:p>
      <w:pPr>
        <w:pStyle w:val="BookText"/>
      </w:pPr>
      <w:r>
        <w:rPr>
          <w:rFonts w:ascii="IRNazanin" w:hAnsi="IRNazanin" w:eastAsia="IRNazanin" w:cs="IRNazanin"/>
          <w:lang w:bidi="fa-IR"/>
          <w:color w:val="111111"/>
          <w:sz w:val="28"/>
          <w:szCs w:val="28"/>
          <w:rtl/>
        </w:rPr>
        <w:t xml:space="preserve">و اسمه محمد رضا. هجاه الحکیم شفائی کما ذکره النصرآبادی فی (نر 9- ص 269) و أورد نیفا و عشرة من شعره و کذا فی (تش- ص 185) و قال فی (همیشه بهار) کان عالما بالسیاق.</w:t>
      </w:r>
    </w:p>
    <w:p>
      <w:pPr>
        <w:pStyle w:val="Heading3"/>
      </w:pPr>
      <w:bookmarkStart w:id="7480" w:name="_Toc6176"/>
      <w:r>
        <w:t>دیوان فکری دماوندی الرازی‏</w:t>
      </w:r>
      <w:bookmarkEnd w:id="7480"/>
    </w:p>
    <w:p>
      <w:pPr>
        <w:pStyle w:val="BookText"/>
      </w:pPr>
      <w:r>
        <w:rPr>
          <w:rFonts w:ascii="IRNazanin" w:hAnsi="IRNazanin" w:eastAsia="IRNazanin" w:cs="IRNazanin"/>
          <w:lang w:bidi="fa-IR"/>
          <w:color w:val="111111"/>
          <w:sz w:val="28"/>
          <w:szCs w:val="28"/>
          <w:rtl/>
        </w:rPr>
        <w:t xml:space="preserve">. ترجمه و أورد شعره فی (تش- ص 215). و لعله فکری الرازی النوربخشی.</w:t>
      </w:r>
    </w:p>
    <w:p>
      <w:pPr>
        <w:pStyle w:val="Heading3"/>
      </w:pPr>
      <w:bookmarkStart w:id="7481" w:name="_Toc6177"/>
      <w:r>
        <w:t>دیوان فکری رازی‏</w:t>
      </w:r>
      <w:bookmarkEnd w:id="7481"/>
    </w:p>
    <w:p>
      <w:pPr>
        <w:pStyle w:val="BookText"/>
      </w:pPr>
      <w:r>
        <w:rPr>
          <w:rFonts w:ascii="IRNazanin" w:hAnsi="IRNazanin" w:eastAsia="IRNazanin" w:cs="IRNazanin"/>
          <w:lang w:bidi="fa-IR"/>
          <w:color w:val="111111"/>
          <w:sz w:val="28"/>
          <w:szCs w:val="28"/>
          <w:rtl/>
        </w:rPr>
        <w:t xml:space="preserve">راجع دیوان فکری نوربخشی و فکری دماوندی.</w:t>
      </w:r>
    </w:p>
    <w:p>
      <w:pPr>
        <w:pStyle w:val="Heading3"/>
      </w:pPr>
      <w:bookmarkStart w:id="7482" w:name="_Toc6178"/>
      <w:r>
        <w:t>5653- دیوان فکری طالقانی أو شعره‏</w:t>
      </w:r>
      <w:bookmarkEnd w:id="7482"/>
    </w:p>
    <w:p>
      <w:pPr>
        <w:pStyle w:val="BookText"/>
      </w:pPr>
      <w:r>
        <w:rPr>
          <w:rFonts w:ascii="IRNazanin" w:hAnsi="IRNazanin" w:eastAsia="IRNazanin" w:cs="IRNazanin"/>
          <w:lang w:bidi="fa-IR"/>
          <w:color w:val="111111"/>
          <w:sz w:val="28"/>
          <w:szCs w:val="28"/>
          <w:rtl/>
        </w:rPr>
        <w:t xml:space="preserve">و اسمه ملا یحیی. ترجمه و أورد شعره فی (نر 6- ص 195) و قال یسکن بمدرسة النواب و کذا فی (گلشن- 319).</w:t>
      </w:r>
    </w:p>
    <w:p>
      <w:pPr>
        <w:pStyle w:val="Heading3"/>
      </w:pPr>
      <w:bookmarkStart w:id="7483" w:name="_Toc6179"/>
      <w:r>
        <w:t>5654- دیوان فکری کربلائی أو شعره‏</w:t>
      </w:r>
      <w:bookmarkEnd w:id="7483"/>
    </w:p>
    <w:p>
      <w:pPr>
        <w:pStyle w:val="BookText"/>
      </w:pPr>
      <w:r>
        <w:rPr>
          <w:rFonts w:ascii="IRNazanin" w:hAnsi="IRNazanin" w:eastAsia="IRNazanin" w:cs="IRNazanin"/>
          <w:lang w:bidi="fa-IR"/>
          <w:color w:val="111111"/>
          <w:sz w:val="28"/>
          <w:szCs w:val="28"/>
          <w:rtl/>
        </w:rPr>
        <w:t xml:space="preserve">و هو المیر علی أخو قدسی الکربلائی. أورد شعره فی (گلشن- ص 319).</w:t>
      </w:r>
    </w:p>
    <w:p>
      <w:pPr>
        <w:pStyle w:val="Heading3"/>
      </w:pPr>
      <w:bookmarkStart w:id="7484" w:name="_Toc6180"/>
      <w:r>
        <w:t>5655- دیوان فکری مشهدی‏</w:t>
      </w:r>
      <w:bookmarkEnd w:id="7484"/>
    </w:p>
    <w:p>
      <w:pPr>
        <w:pStyle w:val="BookText"/>
      </w:pPr>
      <w:r>
        <w:rPr>
          <w:rFonts w:ascii="IRNazanin" w:hAnsi="IRNazanin" w:eastAsia="IRNazanin" w:cs="IRNazanin"/>
          <w:lang w:bidi="fa-IR"/>
          <w:color w:val="111111"/>
          <w:sz w:val="28"/>
          <w:szCs w:val="28"/>
          <w:rtl/>
        </w:rPr>
        <w:t xml:space="preserve">و هو السید محمد المعروف جامه‏باف من سادات مشهد خراسان و کان أکثر أشعاره الرباعیات فاشتهر بالمیر رباعی، و هو غیر رباعی المشهدی المذکور فی ص 354. سافر إلی الهند و مات 973 کما فی (تش- ص 94) و عنه فی القاموس الترکی ثم الریحانة. و قال فی (طبق 2- ص 494) إنه تقرب عند أکبر شاه بالهند. و أورد شعره فی (مسرت- ص 316) و توجد شعره فی جنگ عند (فخر الدین).</w:t>
      </w:r>
    </w:p>
    <w:p>
      <w:pPr>
        <w:pStyle w:val="Heading3"/>
      </w:pPr>
      <w:bookmarkStart w:id="7485" w:name="_Toc6181"/>
      <w:r>
        <w:t>دیوان فکری نوربخشی الرازی‏</w:t>
      </w:r>
      <w:bookmarkEnd w:id="7485"/>
    </w:p>
    <w:p>
      <w:pPr>
        <w:pStyle w:val="BookText"/>
      </w:pPr>
      <w:r>
        <w:rPr>
          <w:rFonts w:ascii="IRNazanin" w:hAnsi="IRNazanin" w:eastAsia="IRNazanin" w:cs="IRNazanin"/>
          <w:lang w:bidi="fa-IR"/>
          <w:color w:val="111111"/>
          <w:sz w:val="28"/>
          <w:szCs w:val="28"/>
          <w:rtl/>
        </w:rPr>
        <w:t xml:space="preserve">. سافر إلی دکن حیدرآباد، و استفاد من الشاه طاهر الدکنی و رجع إلی ری و کان یتخلص أولا سیری فبدله إلی فکری کما مر فی (ص 484) و لعله فکری رازی الدماوندی المذکور فی (تش- ص 215).
</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bookmarkStart w:id="836" w:name="pg11704_122322"/>
    <w:bookmarkEnd w:id="836"/>
    <w:p>
      <w:pPr>
        <w:pStyle w:val="Heading3"/>
      </w:pPr>
      <w:bookmarkStart w:id="7486" w:name="_Toc6182"/>
      <w:r>
        <w:t>5656- دیوان فلسفی‏</w:t>
      </w:r>
      <w:bookmarkEnd w:id="7486"/>
    </w:p>
    <w:p>
      <w:pPr>
        <w:pStyle w:val="BookText"/>
      </w:pPr>
      <w:r>
        <w:rPr>
          <w:rFonts w:ascii="IRNazanin" w:hAnsi="IRNazanin" w:eastAsia="IRNazanin" w:cs="IRNazanin"/>
          <w:lang w:bidi="fa-IR"/>
          <w:color w:val="111111"/>
          <w:sz w:val="28"/>
          <w:szCs w:val="28"/>
          <w:rtl/>
        </w:rPr>
        <w:t xml:space="preserve">و اسمه نصر الله أستاذ جامعة طهران. طبع له بیچارگان نظما فی 1305 ش. و هو ترجمه لإحدی قطعات ویکتور هوگو الإفرنسی. و ترجم الفلسفی فی نامه سخنوران- ص 129 لإیزد گشسب.</w:t>
      </w:r>
    </w:p>
    <w:p>
      <w:pPr>
        <w:pStyle w:val="Heading3"/>
      </w:pPr>
      <w:bookmarkStart w:id="7487" w:name="_Toc6183"/>
      <w:r>
        <w:t>5657- دیوان فلک کاکوروی أو شعره‏</w:t>
      </w:r>
      <w:bookmarkEnd w:id="7487"/>
    </w:p>
    <w:p>
      <w:pPr>
        <w:pStyle w:val="BookText"/>
      </w:pPr>
      <w:r>
        <w:rPr>
          <w:rFonts w:ascii="IRNazanin" w:hAnsi="IRNazanin" w:eastAsia="IRNazanin" w:cs="IRNazanin"/>
          <w:lang w:bidi="fa-IR"/>
          <w:color w:val="111111"/>
          <w:sz w:val="28"/>
          <w:szCs w:val="28"/>
          <w:rtl/>
        </w:rPr>
        <w:t xml:space="preserve">و هو الشیخ فرید علی اللکهنوی تلمیذ ممتاز العلماء و محیی الدین المتخلص ذوق أورد شعره فی (گلشن- ص 320).</w:t>
      </w:r>
    </w:p>
    <w:p>
      <w:pPr>
        <w:pStyle w:val="Heading3"/>
      </w:pPr>
      <w:bookmarkStart w:id="7488" w:name="_Toc6184"/>
      <w:r>
        <w:t>5658- دیوان فلکی شیروانی‏</w:t>
      </w:r>
      <w:bookmarkEnd w:id="7488"/>
    </w:p>
    <w:p>
      <w:pPr>
        <w:pStyle w:val="BookText"/>
      </w:pPr>
      <w:r>
        <w:rPr>
          <w:rFonts w:ascii="IRNazanin" w:hAnsi="IRNazanin" w:eastAsia="IRNazanin" w:cs="IRNazanin"/>
          <w:lang w:bidi="fa-IR"/>
          <w:color w:val="111111"/>
          <w:sz w:val="28"/>
          <w:szCs w:val="28"/>
          <w:rtl/>
        </w:rPr>
        <w:t xml:space="preserve">و اسمه نجم الدین محمد، أو جلال الدین محمد مؤمن. نشا بقصبة شماخی من نواحی شیروان و استفاد هو و الخاقانی من أبی العلاء الگنجوی. و صار ملک الشعراء لملوک شیروان کفخر الدین منوچهر الثانی ابن فریدون الأول (514- 544) و کان ماهرا فی النجوم و الفلک و لذا تخلص به. و مهر أیضا فی الصنائع الشعریة و دیوانه فی سبعة آلاف بیت و فیها قوله:</w:t>
      </w:r>
    </w:p>
    <w:p>
      <w:pPr>
        <w:pStyle w:val="BookText"/>
      </w:pPr>
      <w:r>
        <w:rPr>
          <w:rFonts w:ascii="IRNazanin" w:hAnsi="IRNazanin" w:eastAsia="IRNazanin" w:cs="IRNazanin"/>
          <w:lang w:bidi="fa-IR"/>
          <w:color w:val="111111"/>
          <w:sz w:val="28"/>
          <w:szCs w:val="28"/>
          <w:rtl/>
        </w:rPr>
        <w:t xml:space="preserve">باب چشم أسیران أهل بیت پیمبر</w:t>
      </w:r>
    </w:p>
    <w:p>
      <w:pPr>
        <w:pStyle w:val="BookText"/>
      </w:pPr>
      <w:r>
        <w:rPr>
          <w:rFonts w:ascii="IRNazanin" w:hAnsi="IRNazanin" w:eastAsia="IRNazanin" w:cs="IRNazanin"/>
          <w:lang w:bidi="fa-IR"/>
          <w:color w:val="111111"/>
          <w:sz w:val="28"/>
          <w:szCs w:val="28"/>
          <w:rtl/>
        </w:rPr>
        <w:t xml:space="preserve">به خون پاک شهیدان عشر ماه محرم‏</w:t>
      </w:r>
    </w:p>
    <w:p>
      <w:pPr>
        <w:pStyle w:val="BookText"/>
      </w:pPr>
      <w:r>
        <w:rPr>
          <w:rFonts w:ascii="IRNazanin" w:hAnsi="IRNazanin" w:eastAsia="IRNazanin" w:cs="IRNazanin"/>
          <w:lang w:bidi="fa-IR"/>
          <w:color w:val="111111"/>
          <w:sz w:val="28"/>
          <w:szCs w:val="28"/>
          <w:rtl/>
        </w:rPr>
        <w:t xml:space="preserve">و مات 577 کما فی شاهد صادق و ترجم فی تاریخ گزیده- ص 824 و (دولت- 2) و (تش- ص 50) و (مع 1- ص 381) و (دجا- ص 301) عن خلاصة الأشعار و الریحانة عن القاموس الترکی و سفینه أشعار الموجود فی المجلس کما فی فهرسها (3: 15) و (عم- ص 528) و قد جمع هادی حسن أشعاره فی مجلدین و طبعها المؤسسة الآسیائیة فی لندن 1929 م. فی 83 ص.</w:t>
      </w:r>
    </w:p>
    <w:p>
      <w:pPr>
        <w:pStyle w:val="Heading3"/>
      </w:pPr>
      <w:bookmarkStart w:id="7489" w:name="_Toc6185"/>
      <w:r>
        <w:t>5659- دیوان فلک یزدی أو شعره‏</w:t>
      </w:r>
      <w:bookmarkEnd w:id="7489"/>
    </w:p>
    <w:p>
      <w:pPr>
        <w:pStyle w:val="BookText"/>
      </w:pPr>
      <w:r>
        <w:rPr>
          <w:rFonts w:ascii="IRNazanin" w:hAnsi="IRNazanin" w:eastAsia="IRNazanin" w:cs="IRNazanin"/>
          <w:lang w:bidi="fa-IR"/>
          <w:color w:val="111111"/>
          <w:sz w:val="28"/>
          <w:szCs w:val="28"/>
          <w:rtl/>
        </w:rPr>
        <w:t xml:space="preserve">و اسمه محمد رضا بن محمد جواد. ذکر نسبه و أورد شعره و شعر أبیه فی (تش یز- ص 317).</w:t>
      </w:r>
    </w:p>
    <w:p>
      <w:pPr>
        <w:pStyle w:val="Heading3"/>
      </w:pPr>
      <w:bookmarkStart w:id="7490" w:name="_Toc6186"/>
      <w:r>
        <w:t>5660- دیوان فنای أصفهانی‏</w:t>
      </w:r>
      <w:bookmarkEnd w:id="7490"/>
    </w:p>
    <w:p>
      <w:pPr>
        <w:pStyle w:val="BookText"/>
      </w:pPr>
      <w:r>
        <w:rPr>
          <w:rFonts w:ascii="IRNazanin" w:hAnsi="IRNazanin" w:eastAsia="IRNazanin" w:cs="IRNazanin"/>
          <w:lang w:bidi="fa-IR"/>
          <w:color w:val="111111"/>
          <w:sz w:val="28"/>
          <w:szCs w:val="28"/>
          <w:rtl/>
        </w:rPr>
        <w:t xml:space="preserve">و هو الملا علی الشاعر الخطاط بالنسخ الجید ولد 1275 و مات فی شعبان 1350. کان یسکن مسجد سرخی سفره‏چی جمع دیوانه بنفسه و ترجمه و أورد شعره فی شعرای أصفهان- ص 368 و قال ألفت فی دانش‏نامه أنه کان من أعضاء انجمن دانشکده. و هو غیر فنای لنجانی.</w:t>
      </w:r>
    </w:p>
    <w:p>
      <w:pPr>
        <w:pStyle w:val="Heading3"/>
      </w:pPr>
      <w:bookmarkStart w:id="7491" w:name="_Toc6187"/>
      <w:r>
        <w:t>5661- دیوان فنای زرگر أو شعره‏</w:t>
      </w:r>
      <w:bookmarkEnd w:id="7491"/>
    </w:p>
    <w:p>
      <w:pPr>
        <w:pStyle w:val="BookText"/>
      </w:pPr>
      <w:r>
        <w:rPr>
          <w:rFonts w:ascii="IRNazanin" w:hAnsi="IRNazanin" w:eastAsia="IRNazanin" w:cs="IRNazanin"/>
          <w:lang w:bidi="fa-IR"/>
          <w:color w:val="111111"/>
          <w:sz w:val="28"/>
          <w:szCs w:val="28"/>
          <w:rtl/>
        </w:rPr>
        <w:t xml:space="preserve">و اسمه ملا خورد. ترجمه و أورد شعره ضمن شعراء أکبر شاه بالهند فی (طبق- 2: 516).</w:t>
      </w:r>
    </w:p>
    <w:p>
      <w:pPr>
        <w:pStyle w:val="Heading3"/>
      </w:pPr>
      <w:bookmarkStart w:id="7492" w:name="_Toc6188"/>
      <w:r>
        <w:t>5662- دیوان فنای زنوزی‏</w:t>
      </w:r>
      <w:bookmarkEnd w:id="7492"/>
    </w:p>
    <w:p>
      <w:pPr>
        <w:pStyle w:val="BookText"/>
      </w:pPr>
      <w:r>
        <w:rPr>
          <w:rFonts w:ascii="IRNazanin" w:hAnsi="IRNazanin" w:eastAsia="IRNazanin" w:cs="IRNazanin"/>
          <w:lang w:bidi="fa-IR"/>
          <w:color w:val="111111"/>
          <w:sz w:val="28"/>
          <w:szCs w:val="28"/>
          <w:rtl/>
        </w:rPr>
        <w:t xml:space="preserve">و اسمه المیرزا عبد الرسول بن محسن بن زین العابدین‏
</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bookmarkStart w:id="837" w:name="pg11704_122323"/>
    <w:bookmarkEnd w:id="837"/>
    <w:p>
      <w:pPr>
        <w:pStyle w:val="BookText"/>
      </w:pPr>
      <w:r>
        <w:rPr>
          <w:rFonts w:ascii="IRNazanin" w:hAnsi="IRNazanin" w:eastAsia="IRNazanin" w:cs="IRNazanin"/>
          <w:lang w:bidi="fa-IR"/>
          <w:color w:val="111111"/>
          <w:sz w:val="28"/>
          <w:szCs w:val="28"/>
          <w:rtl/>
        </w:rPr>
        <w:t xml:space="preserve">الزنوزی، و هو والد حسن الزنوزی فانی المذکور فی ص 803 و فی 11: 322 و 3: 42 ترجمه فی الریحانة بعنوان زنوزی و. توجد نسخه من دیوانه فی المراثی فی مکتبة جامعة طهران کما فی فهرسها 2: 63 و عند (فخر الدین 93) و (الملک 4914) و عند الخیابانی کما ذکره فی وقایع الأیام له. و توجد بعض شعره فی صفحات 50- 57 من مجموعة فی (سپهسالار- 7532) و له دیوان غزل بالترکیة.</w:t>
      </w:r>
    </w:p>
    <w:p>
      <w:pPr>
        <w:pStyle w:val="Heading3"/>
      </w:pPr>
      <w:bookmarkStart w:id="7493" w:name="_Toc6189"/>
      <w:r>
        <w:t>5663- دیوان فنای کشمیری أو شعره‏</w:t>
      </w:r>
      <w:bookmarkEnd w:id="7493"/>
    </w:p>
    <w:p>
      <w:pPr>
        <w:pStyle w:val="BookText"/>
      </w:pPr>
      <w:r>
        <w:rPr>
          <w:rFonts w:ascii="IRNazanin" w:hAnsi="IRNazanin" w:eastAsia="IRNazanin" w:cs="IRNazanin"/>
          <w:lang w:bidi="fa-IR"/>
          <w:color w:val="111111"/>
          <w:sz w:val="28"/>
          <w:szCs w:val="28"/>
          <w:rtl/>
        </w:rPr>
        <w:t xml:space="preserve">و اسمه حیدر علی بن الحاج علی المدرس فی کشمیر فی عصر النصرآبادی ذکره فی (نر 11- 446) و أورد شعره و تخلصه.</w:t>
      </w:r>
    </w:p>
    <w:p>
      <w:pPr>
        <w:pStyle w:val="Heading3"/>
      </w:pPr>
      <w:bookmarkStart w:id="7494" w:name="_Toc6190"/>
      <w:r>
        <w:t>5664- دیوان فنای لنجانی أو شعره‏</w:t>
      </w:r>
      <w:bookmarkEnd w:id="7494"/>
    </w:p>
    <w:p>
      <w:pPr>
        <w:pStyle w:val="BookText"/>
      </w:pPr>
      <w:r>
        <w:rPr>
          <w:rFonts w:ascii="IRNazanin" w:hAnsi="IRNazanin" w:eastAsia="IRNazanin" w:cs="IRNazanin"/>
          <w:lang w:bidi="fa-IR"/>
          <w:color w:val="111111"/>
          <w:sz w:val="28"/>
          <w:szCs w:val="28"/>
          <w:rtl/>
        </w:rPr>
        <w:t xml:space="preserve">و اسمه ملا علی. ترجمه و أورد شعره فی المدائح المعتمدیة.</w:t>
      </w:r>
    </w:p>
    <w:p>
      <w:pPr>
        <w:pStyle w:val="Heading3"/>
      </w:pPr>
      <w:bookmarkStart w:id="7495" w:name="_Toc6191"/>
      <w:r>
        <w:t>5665- دیوان فنای هندی أو شعرها</w:t>
      </w:r>
      <w:bookmarkEnd w:id="7495"/>
    </w:p>
    <w:p>
      <w:pPr>
        <w:pStyle w:val="BookText"/>
      </w:pPr>
      <w:r>
        <w:rPr>
          <w:rFonts w:ascii="IRNazanin" w:hAnsi="IRNazanin" w:eastAsia="IRNazanin" w:cs="IRNazanin"/>
          <w:lang w:bidi="fa-IR"/>
          <w:color w:val="111111"/>
          <w:sz w:val="28"/>
          <w:szCs w:val="28"/>
          <w:rtl/>
        </w:rPr>
        <w:t xml:space="preserve">کانت زوجة جهانگیر پادشاه. أورد شعرها فی تذکره الخواتین- ص 155 و از رابعة تا پروین- ص 183.</w:t>
      </w:r>
    </w:p>
    <w:p>
      <w:pPr>
        <w:pStyle w:val="Heading3"/>
      </w:pPr>
      <w:bookmarkStart w:id="7496" w:name="_Toc6192"/>
      <w:r>
        <w:t>5666- دیوان فنای هندی أو شعره‏</w:t>
      </w:r>
      <w:bookmarkEnd w:id="7496"/>
    </w:p>
    <w:p>
      <w:pPr>
        <w:pStyle w:val="BookText"/>
      </w:pPr>
      <w:r>
        <w:rPr>
          <w:rFonts w:ascii="IRNazanin" w:hAnsi="IRNazanin" w:eastAsia="IRNazanin" w:cs="IRNazanin"/>
          <w:lang w:bidi="fa-IR"/>
          <w:color w:val="111111"/>
          <w:sz w:val="28"/>
          <w:szCs w:val="28"/>
          <w:rtl/>
        </w:rPr>
        <w:t xml:space="preserve">و اسمه المیرزا عبد الله معاصر عالمگیر و تلمیذ محمد زمان راسخ. أورد شعره فی (گلشن- ص 320).</w:t>
      </w:r>
    </w:p>
    <w:p>
      <w:pPr>
        <w:pStyle w:val="Heading3"/>
      </w:pPr>
      <w:bookmarkStart w:id="7497" w:name="_Toc6193"/>
      <w:r>
        <w:t>دیوان فنائی‏</w:t>
      </w:r>
      <w:bookmarkEnd w:id="7497"/>
    </w:p>
    <w:p>
      <w:pPr>
        <w:pStyle w:val="BookText"/>
      </w:pPr>
      <w:r>
        <w:rPr>
          <w:rFonts w:ascii="IRNazanin" w:hAnsi="IRNazanin" w:eastAsia="IRNazanin" w:cs="IRNazanin"/>
          <w:lang w:bidi="fa-IR"/>
          <w:color w:val="111111"/>
          <w:sz w:val="28"/>
          <w:szCs w:val="28"/>
          <w:rtl/>
        </w:rPr>
        <w:t xml:space="preserve">من شعراء السلطان یعقوب کما فی (قز مج 6- ص 308) راجع فنائی شیرازی.</w:t>
      </w:r>
    </w:p>
    <w:p>
      <w:pPr>
        <w:pStyle w:val="Heading3"/>
      </w:pPr>
      <w:bookmarkStart w:id="7498" w:name="_Toc6194"/>
      <w:r>
        <w:t>5667- دیوان فنائی أسترآبادی أو شعره‏</w:t>
      </w:r>
      <w:bookmarkEnd w:id="7498"/>
    </w:p>
    <w:p>
      <w:pPr>
        <w:pStyle w:val="BookText"/>
      </w:pPr>
      <w:r>
        <w:rPr>
          <w:rFonts w:ascii="IRNazanin" w:hAnsi="IRNazanin" w:eastAsia="IRNazanin" w:cs="IRNazanin"/>
          <w:lang w:bidi="fa-IR"/>
          <w:color w:val="111111"/>
          <w:sz w:val="28"/>
          <w:szCs w:val="28"/>
          <w:rtl/>
        </w:rPr>
        <w:t xml:space="preserve">و اسمه ملا رمضان الصحاف. ترجمه و أورد شعره فی (تس 5- ص 178).</w:t>
      </w:r>
    </w:p>
    <w:p>
      <w:pPr>
        <w:pStyle w:val="Heading3"/>
      </w:pPr>
      <w:bookmarkStart w:id="7499" w:name="_Toc6195"/>
      <w:r>
        <w:t>5668- دیوان فنائی أسود أو شعره‏</w:t>
      </w:r>
      <w:bookmarkEnd w:id="7499"/>
    </w:p>
    <w:p>
      <w:pPr>
        <w:pStyle w:val="BookText"/>
      </w:pPr>
      <w:r>
        <w:rPr>
          <w:rFonts w:ascii="IRNazanin" w:hAnsi="IRNazanin" w:eastAsia="IRNazanin" w:cs="IRNazanin"/>
          <w:lang w:bidi="fa-IR"/>
          <w:color w:val="111111"/>
          <w:sz w:val="28"/>
          <w:szCs w:val="28"/>
          <w:rtl/>
        </w:rPr>
        <w:t xml:space="preserve">و اسمه المیرزا أسود بن المیر غیاث الدین عزیز الرضوی. ترجمه و أورد شعره فی (تس 2- ص 28).</w:t>
      </w:r>
    </w:p>
    <w:p>
      <w:pPr>
        <w:pStyle w:val="Heading3"/>
      </w:pPr>
      <w:bookmarkStart w:id="7500" w:name="_Toc6196"/>
      <w:r>
        <w:t>5669- دیوان فنائی أصفهانی أو شعره‏</w:t>
      </w:r>
      <w:bookmarkEnd w:id="7500"/>
    </w:p>
    <w:p>
      <w:pPr>
        <w:pStyle w:val="BookText"/>
      </w:pPr>
      <w:r>
        <w:rPr>
          <w:rFonts w:ascii="IRNazanin" w:hAnsi="IRNazanin" w:eastAsia="IRNazanin" w:cs="IRNazanin"/>
          <w:lang w:bidi="fa-IR"/>
          <w:color w:val="111111"/>
          <w:sz w:val="28"/>
          <w:szCs w:val="28"/>
          <w:rtl/>
        </w:rPr>
        <w:t xml:space="preserve">و هو المیرزا أحمد المهدوی. ولد بچهار محال أصفهان فی 1316 و تعلم بأصفهان و رجع إلی قریته. ترجمه و أورد شعره فی (شعرای معاصر أصفهان- ص 369).</w:t>
      </w:r>
    </w:p>
    <w:p>
      <w:pPr>
        <w:pStyle w:val="Heading3"/>
      </w:pPr>
      <w:bookmarkStart w:id="7501" w:name="_Toc6197"/>
      <w:r>
        <w:t>5670- دیوان فنائی أصفهانی‏</w:t>
      </w:r>
      <w:bookmarkEnd w:id="7501"/>
    </w:p>
    <w:p>
      <w:pPr>
        <w:pStyle w:val="BookText"/>
      </w:pPr>
      <w:r>
        <w:rPr>
          <w:rFonts w:ascii="IRNazanin" w:hAnsi="IRNazanin" w:eastAsia="IRNazanin" w:cs="IRNazanin"/>
          <w:lang w:bidi="fa-IR"/>
          <w:color w:val="111111"/>
          <w:sz w:val="28"/>
          <w:szCs w:val="28"/>
          <w:rtl/>
        </w:rPr>
        <w:t xml:space="preserve">و هو السید محمد الرضوی بن زین العابدین الخوانساری. ولد بالنجف 1293 و تلمذ فی النجف علی السید الیزدی و الآخوند الخراسانی ثم ذهب إلی أصفهان و سکن بها حتی الیوم. أورد شعره فی شعرای معاصر أصفهان- ص 370 و ذکر له تسعة عشر تألیفا.
</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bookmarkStart w:id="838" w:name="pg11704_122324"/>
    <w:bookmarkEnd w:id="838"/>
    <w:p>
      <w:pPr>
        <w:pStyle w:val="Heading3"/>
      </w:pPr>
      <w:bookmarkStart w:id="7502" w:name="_Toc6198"/>
      <w:r>
        <w:t>5671- دیوان فنائی أصفهانی أو شعره‏</w:t>
      </w:r>
      <w:bookmarkEnd w:id="7502"/>
    </w:p>
    <w:p>
      <w:pPr>
        <w:pStyle w:val="BookText"/>
      </w:pPr>
      <w:r>
        <w:rPr>
          <w:rFonts w:ascii="IRNazanin" w:hAnsi="IRNazanin" w:eastAsia="IRNazanin" w:cs="IRNazanin"/>
          <w:lang w:bidi="fa-IR"/>
          <w:color w:val="111111"/>
          <w:sz w:val="28"/>
          <w:szCs w:val="28"/>
          <w:rtl/>
        </w:rPr>
        <w:t xml:space="preserve">ترجمه معاصره فی (تس 5- ص 152) و قال کان عالما بالسیاق. و کذا فی (همیشه بهار).</w:t>
      </w:r>
    </w:p>
    <w:p>
      <w:pPr>
        <w:pStyle w:val="Heading3"/>
      </w:pPr>
      <w:bookmarkStart w:id="7503" w:name="_Toc6199"/>
      <w:r>
        <w:t>5672- دیوان فنائی جغتائی‏</w:t>
      </w:r>
      <w:bookmarkEnd w:id="7503"/>
    </w:p>
    <w:p>
      <w:pPr>
        <w:pStyle w:val="BookText"/>
      </w:pPr>
      <w:r>
        <w:rPr>
          <w:rFonts w:ascii="IRNazanin" w:hAnsi="IRNazanin" w:eastAsia="IRNazanin" w:cs="IRNazanin"/>
          <w:lang w:bidi="fa-IR"/>
          <w:color w:val="111111"/>
          <w:sz w:val="28"/>
          <w:szCs w:val="28"/>
          <w:rtl/>
        </w:rPr>
        <w:t xml:space="preserve">المیر علی شیر النوائی (844- 906) المتخلص فی شعره الترکی نوائی قال فی (تس 6- ص 180) إن له دیوان فارسی فی ستة آلاف بیت یتخلص فیها فنائی و کذا فی (نر- 13- 470) و مر فی ص 804 بعنوان فانی هروی و ألف صدر الدین عینی رسالة فی أحواله.</w:t>
      </w:r>
    </w:p>
    <w:p>
      <w:pPr>
        <w:pStyle w:val="Heading3"/>
      </w:pPr>
      <w:bookmarkStart w:id="7504" w:name="_Toc6200"/>
      <w:r>
        <w:t>5673- دیوان فنائی خلخالی أو شعره‏</w:t>
      </w:r>
      <w:bookmarkEnd w:id="7504"/>
    </w:p>
    <w:p>
      <w:pPr>
        <w:pStyle w:val="BookText"/>
      </w:pPr>
      <w:r>
        <w:rPr>
          <w:rFonts w:ascii="IRNazanin" w:hAnsi="IRNazanin" w:eastAsia="IRNazanin" w:cs="IRNazanin"/>
          <w:lang w:bidi="fa-IR"/>
          <w:color w:val="111111"/>
          <w:sz w:val="28"/>
          <w:szCs w:val="28"/>
          <w:rtl/>
        </w:rPr>
        <w:t xml:space="preserve">و اسمه الشیخ أحمد کان من أحفاد بایزید و تلمذ علی غیاث الدین منصور الدشتکی بشیراز و حج البیت و سکن قزوین مدرسا بها و توفی 985 ترجمه و أورد شعره فی (تش- ص 35) و (دجا- ص 302).</w:t>
      </w:r>
    </w:p>
    <w:p>
      <w:pPr>
        <w:pStyle w:val="Heading3"/>
      </w:pPr>
      <w:bookmarkStart w:id="7505" w:name="_Toc6201"/>
      <w:r>
        <w:t>دیوان فنائی رضوی‏</w:t>
      </w:r>
      <w:bookmarkEnd w:id="7505"/>
    </w:p>
    <w:p>
      <w:pPr>
        <w:pStyle w:val="BookText"/>
      </w:pPr>
      <w:r>
        <w:rPr>
          <w:rFonts w:ascii="IRNazanin" w:hAnsi="IRNazanin" w:eastAsia="IRNazanin" w:cs="IRNazanin"/>
          <w:lang w:bidi="fa-IR"/>
          <w:color w:val="111111"/>
          <w:sz w:val="28"/>
          <w:szCs w:val="28"/>
          <w:rtl/>
        </w:rPr>
        <w:t xml:space="preserve">راجع فنائی أصفهانی. و فنائی أسود.</w:t>
      </w:r>
    </w:p>
    <w:p>
      <w:pPr>
        <w:pStyle w:val="Heading3"/>
      </w:pPr>
      <w:bookmarkStart w:id="7506" w:name="_Toc6202"/>
      <w:r>
        <w:t>5674- دیوان فنائی سبزواری أو شعره‏</w:t>
      </w:r>
      <w:bookmarkEnd w:id="7506"/>
    </w:p>
    <w:p>
      <w:pPr>
        <w:pStyle w:val="BookText"/>
      </w:pPr>
      <w:r>
        <w:rPr>
          <w:rFonts w:ascii="IRNazanin" w:hAnsi="IRNazanin" w:eastAsia="IRNazanin" w:cs="IRNazanin"/>
          <w:lang w:bidi="fa-IR"/>
          <w:color w:val="111111"/>
          <w:sz w:val="28"/>
          <w:szCs w:val="28"/>
          <w:rtl/>
        </w:rPr>
        <w:t xml:space="preserve">کان من أکابرها و سکن قزوین. ترجمه و أورد شعره فی (تش- ص 79).</w:t>
      </w:r>
    </w:p>
    <w:p>
      <w:pPr>
        <w:pStyle w:val="Heading3"/>
      </w:pPr>
      <w:bookmarkStart w:id="7507" w:name="_Toc6203"/>
      <w:r>
        <w:t>5675- دیوان فنائی شاه بیگی أو شعره‏</w:t>
      </w:r>
      <w:bookmarkEnd w:id="7507"/>
    </w:p>
    <w:p>
      <w:pPr>
        <w:pStyle w:val="BookText"/>
      </w:pPr>
      <w:r>
        <w:rPr>
          <w:rFonts w:ascii="IRNazanin" w:hAnsi="IRNazanin" w:eastAsia="IRNazanin" w:cs="IRNazanin"/>
          <w:lang w:bidi="fa-IR"/>
          <w:color w:val="111111"/>
          <w:sz w:val="28"/>
          <w:szCs w:val="28"/>
          <w:rtl/>
        </w:rPr>
        <w:t xml:space="preserve">کان من عمال دیوان الشاه طهماسب الصفوی الأول ترجمه و أورد شعره فی (گلشن- ص 321).</w:t>
      </w:r>
    </w:p>
    <w:p>
      <w:pPr>
        <w:pStyle w:val="Heading3"/>
      </w:pPr>
      <w:bookmarkStart w:id="7508" w:name="_Toc6204"/>
      <w:r>
        <w:t>دیوان فنائی شیرازی‏</w:t>
      </w:r>
      <w:bookmarkEnd w:id="7508"/>
    </w:p>
    <w:p>
      <w:pPr>
        <w:pStyle w:val="BookText"/>
      </w:pPr>
      <w:r>
        <w:rPr>
          <w:rFonts w:ascii="IRNazanin" w:hAnsi="IRNazanin" w:eastAsia="IRNazanin" w:cs="IRNazanin"/>
          <w:lang w:bidi="fa-IR"/>
          <w:color w:val="111111"/>
          <w:sz w:val="28"/>
          <w:szCs w:val="28"/>
          <w:rtl/>
        </w:rPr>
        <w:t xml:space="preserve">أو بابا فنائی کما جاء فی الریحانة عن سفینة الشعراء و کذا فی (قز مج 6- ص 308) و هو فغانی المذکور فی ص 840 و راجع فنائی خلخالی أیضا.</w:t>
      </w:r>
    </w:p>
    <w:p>
      <w:pPr>
        <w:pStyle w:val="Heading3"/>
      </w:pPr>
      <w:bookmarkStart w:id="7509" w:name="_Toc6205"/>
      <w:r>
        <w:t>5676- دیوان فنائی کاشانی‏</w:t>
      </w:r>
      <w:bookmarkEnd w:id="7509"/>
    </w:p>
    <w:p>
      <w:pPr>
        <w:pStyle w:val="BookText"/>
      </w:pPr>
      <w:r>
        <w:rPr>
          <w:rFonts w:ascii="IRNazanin" w:hAnsi="IRNazanin" w:eastAsia="IRNazanin" w:cs="IRNazanin"/>
          <w:lang w:bidi="fa-IR"/>
          <w:color w:val="111111"/>
          <w:sz w:val="28"/>
          <w:szCs w:val="28"/>
          <w:rtl/>
        </w:rPr>
        <w:t xml:space="preserve">و هو السید محمد الاعتمادی. طبع له نظما آثار الحقائق و رباعیات فنائی المذکور فی 10: 69 منضما إلی دیوان المیر الداماد.</w:t>
      </w:r>
    </w:p>
    <w:p>
      <w:pPr>
        <w:pStyle w:val="Heading3"/>
      </w:pPr>
      <w:bookmarkStart w:id="7510" w:name="_Toc6206"/>
      <w:r>
        <w:t>5677- دیوان فنائی کشمیری أو شعره‏</w:t>
      </w:r>
      <w:bookmarkEnd w:id="7510"/>
    </w:p>
    <w:p>
      <w:pPr>
        <w:pStyle w:val="BookText"/>
      </w:pPr>
      <w:r>
        <w:rPr>
          <w:rFonts w:ascii="IRNazanin" w:hAnsi="IRNazanin" w:eastAsia="IRNazanin" w:cs="IRNazanin"/>
          <w:lang w:bidi="fa-IR"/>
          <w:color w:val="111111"/>
          <w:sz w:val="28"/>
          <w:szCs w:val="28"/>
          <w:rtl/>
        </w:rPr>
        <w:t xml:space="preserve">ترجمه و أورد شعره فی (گلشن- ص 321).</w:t>
      </w:r>
    </w:p>
    <w:p>
      <w:pPr>
        <w:pStyle w:val="Heading3"/>
      </w:pPr>
      <w:bookmarkStart w:id="7511" w:name="_Toc6207"/>
      <w:r>
        <w:t>5678- دیوان فنائی گازرگاهی أو شعره‏</w:t>
      </w:r>
      <w:bookmarkEnd w:id="7511"/>
    </w:p>
    <w:p>
      <w:pPr>
        <w:pStyle w:val="BookText"/>
      </w:pPr>
      <w:r>
        <w:rPr>
          <w:rFonts w:ascii="IRNazanin" w:hAnsi="IRNazanin" w:eastAsia="IRNazanin" w:cs="IRNazanin"/>
          <w:lang w:bidi="fa-IR"/>
          <w:color w:val="111111"/>
          <w:sz w:val="28"/>
          <w:szCs w:val="28"/>
          <w:rtl/>
        </w:rPr>
        <w:t xml:space="preserve">و هو کمال الدین حسین بن شهاب الدین الگازرگاهی الهروی المولود 874 و هو مؤلف مجالس العشاق فی 908 المطبوع فی نولکشور فی خمس و سبعین مجلسا ألفه باسم السلطان حسین بایقرا المذکور فی ص 255. و توجد نسخه مخطوطة منه فی مکتبة (جامعة طهران- 3320) تشتمل علی 77 مجلسا کما فی فهرسها و المجلسان الأخیران فی أحوال کمال الدین حسین الفنائی الگازرگاهی. (المؤلف واقعا لهذا الکتاب) و السلطان حسین میرزا حسینی (المدعی‏
</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bookmarkStart w:id="839" w:name="pg11704_122325"/>
    <w:bookmarkEnd w:id="839"/>
    <w:p>
      <w:pPr>
        <w:pStyle w:val="BookText"/>
      </w:pPr>
      <w:r>
        <w:rPr>
          <w:rFonts w:ascii="IRNazanin" w:hAnsi="IRNazanin" w:eastAsia="IRNazanin" w:cs="IRNazanin"/>
          <w:lang w:bidi="fa-IR"/>
          <w:color w:val="111111"/>
          <w:sz w:val="28"/>
          <w:szCs w:val="28"/>
          <w:rtl/>
        </w:rPr>
        <w:t xml:space="preserve">لتألیف الکتاب هذا) و فی الکتاب أشعاره کثیر للمؤلف.</w:t>
      </w:r>
    </w:p>
    <w:p>
      <w:pPr>
        <w:pStyle w:val="Heading3"/>
      </w:pPr>
      <w:bookmarkStart w:id="7512" w:name="_Toc6208"/>
      <w:r>
        <w:t>5679- دیوان فنائی مشهدی‏</w:t>
      </w:r>
      <w:bookmarkEnd w:id="7512"/>
    </w:p>
    <w:p>
      <w:pPr>
        <w:pStyle w:val="BookText"/>
      </w:pPr>
      <w:r>
        <w:rPr>
          <w:rFonts w:ascii="IRNazanin" w:hAnsi="IRNazanin" w:eastAsia="IRNazanin" w:cs="IRNazanin"/>
          <w:lang w:bidi="fa-IR"/>
          <w:color w:val="111111"/>
          <w:sz w:val="28"/>
          <w:szCs w:val="28"/>
          <w:rtl/>
        </w:rPr>
        <w:t xml:space="preserve">و هو الملا علی أصغر العلاف. من نقباء مشهد. سافر إلی الهند فی عهد أکبر شاه و رجع و مات بوطنه. قال فی (تش- ص 93) قیل إنه کان یتخلص سابقا مشهدی ثم بدله إلی فنائی ترجمه و أورد شعره فی (مطلع- 2:</w:t>
      </w:r>
    </w:p>
    <w:p>
      <w:pPr>
        <w:pStyle w:val="BookText"/>
      </w:pPr>
      <w:r>
        <w:rPr>
          <w:rFonts w:ascii="Times New Roman" w:hAnsi="Times New Roman" w:eastAsia="Times New Roman" w:cs="Times New Roman"/>
          <w:lang w:val="en-US" w:bidi="en-US"/>
          <w:color w:val="111111"/>
          <w:sz w:val="28"/>
          <w:szCs w:val="28"/>
          <w:rtl/>
        </w:rPr>
        <w:t xml:space="preserve">439.</w:t>
      </w:r>
    </w:p>
    <w:p>
      <w:pPr>
        <w:pStyle w:val="BookText"/>
      </w:pPr>
      <w:r>
        <w:rPr>
          <w:rFonts w:ascii="IRNazanin" w:hAnsi="IRNazanin" w:eastAsia="IRNazanin" w:cs="IRNazanin"/>
          <w:lang w:bidi="fa-IR"/>
          <w:color w:val="111111"/>
          <w:sz w:val="28"/>
          <w:szCs w:val="28"/>
          <w:rtl/>
        </w:rPr>
        <w:t xml:space="preserve">و (گلشن- ص 321).</w:t>
      </w:r>
    </w:p>
    <w:p>
      <w:pPr>
        <w:pStyle w:val="Heading3"/>
      </w:pPr>
      <w:bookmarkStart w:id="7513" w:name="_Toc6209"/>
      <w:r>
        <w:t>دیوان فنائی نوائی‏</w:t>
      </w:r>
      <w:bookmarkEnd w:id="7513"/>
    </w:p>
    <w:p>
      <w:pPr>
        <w:pStyle w:val="BookText"/>
      </w:pPr>
      <w:r>
        <w:rPr>
          <w:rFonts w:ascii="IRNazanin" w:hAnsi="IRNazanin" w:eastAsia="IRNazanin" w:cs="IRNazanin"/>
          <w:lang w:bidi="fa-IR"/>
          <w:color w:val="111111"/>
          <w:sz w:val="28"/>
          <w:szCs w:val="28"/>
          <w:rtl/>
        </w:rPr>
        <w:t xml:space="preserve">راجع دیوان فنائی جغتائی. کما فی (نر- 470).</w:t>
      </w:r>
    </w:p>
    <w:p>
      <w:pPr>
        <w:pStyle w:val="Heading3"/>
      </w:pPr>
      <w:bookmarkStart w:id="7514" w:name="_Toc6210"/>
      <w:r>
        <w:t>دیوان فنائی نیشابوری‏</w:t>
      </w:r>
      <w:bookmarkEnd w:id="7514"/>
    </w:p>
    <w:p>
      <w:pPr>
        <w:pStyle w:val="BookText"/>
      </w:pPr>
      <w:r>
        <w:rPr>
          <w:rFonts w:ascii="IRNazanin" w:hAnsi="IRNazanin" w:eastAsia="IRNazanin" w:cs="IRNazanin"/>
          <w:lang w:bidi="fa-IR"/>
          <w:color w:val="111111"/>
          <w:sz w:val="28"/>
          <w:szCs w:val="28"/>
          <w:rtl/>
        </w:rPr>
        <w:t xml:space="preserve">محمد بن یحیی، سیبک النیشابوری المتخلص أسراری و خماری و تفاحی و فتاحی کما مر فی ص 807 و قال فی (لت 6) إنه نظم ده‏نامه و ألف رسالتی أسراری و خماری و تخلصه فتاحی و مات 851 و فی (گلشن- ص 321) و ذکرنا له شبستان نکات فی 13: 24.</w:t>
      </w:r>
    </w:p>
    <w:p>
      <w:pPr>
        <w:pStyle w:val="Heading3"/>
      </w:pPr>
      <w:bookmarkStart w:id="7515" w:name="_Toc6211"/>
      <w:r>
        <w:t>دیوان فنائی هروی‏</w:t>
      </w:r>
      <w:bookmarkEnd w:id="7515"/>
    </w:p>
    <w:p>
      <w:pPr>
        <w:pStyle w:val="BookText"/>
      </w:pPr>
      <w:r>
        <w:rPr>
          <w:rFonts w:ascii="IRNazanin" w:hAnsi="IRNazanin" w:eastAsia="IRNazanin" w:cs="IRNazanin"/>
          <w:lang w:bidi="fa-IR"/>
          <w:color w:val="111111"/>
          <w:sz w:val="28"/>
          <w:szCs w:val="28"/>
          <w:rtl/>
        </w:rPr>
        <w:t xml:space="preserve">المیر علی شیر الجغتائی. راجع فنائی جغتائی.</w:t>
      </w:r>
    </w:p>
    <w:p>
      <w:pPr>
        <w:pStyle w:val="Heading3"/>
      </w:pPr>
      <w:bookmarkStart w:id="7516" w:name="_Toc6212"/>
      <w:r>
        <w:t>5680- دیوان فنائی یزدی أو شعره‏</w:t>
      </w:r>
      <w:bookmarkEnd w:id="7516"/>
    </w:p>
    <w:p>
      <w:pPr>
        <w:pStyle w:val="BookText"/>
      </w:pPr>
      <w:r>
        <w:rPr>
          <w:rFonts w:ascii="IRNazanin" w:hAnsi="IRNazanin" w:eastAsia="IRNazanin" w:cs="IRNazanin"/>
          <w:lang w:bidi="fa-IR"/>
          <w:color w:val="111111"/>
          <w:sz w:val="28"/>
          <w:szCs w:val="28"/>
          <w:rtl/>
        </w:rPr>
        <w:t xml:space="preserve">و هو کمال الدین حسین معاصر الشاه سلطان حسین. ترجمه و أورد شعره فی (گلشن- ص 322).</w:t>
      </w:r>
    </w:p>
    <w:p>
      <w:pPr>
        <w:pStyle w:val="Heading3"/>
      </w:pPr>
      <w:bookmarkStart w:id="7517" w:name="_Toc6213"/>
      <w:r>
        <w:t>5681- دیوان فنجگردی‏</w:t>
      </w:r>
      <w:bookmarkEnd w:id="7517"/>
    </w:p>
    <w:p>
      <w:pPr>
        <w:pStyle w:val="BookText"/>
      </w:pPr>
      <w:r>
        <w:rPr>
          <w:rFonts w:ascii="IRNazanin" w:hAnsi="IRNazanin" w:eastAsia="IRNazanin" w:cs="IRNazanin"/>
          <w:lang w:bidi="fa-IR"/>
          <w:color w:val="111111"/>
          <w:sz w:val="28"/>
          <w:szCs w:val="28"/>
          <w:rtl/>
        </w:rPr>
        <w:t xml:space="preserve">و هو علی بن أحمد بن محمد النیشابوری. ینسب إلی فنجگرد من قرأ نیشابور و یکنی بأبی الحسن و یلقب بشیخ الأفاضل. کان معاصرا للزمخشری و باسمه ألف المیدانی کتابه السامی فی الأسامی و هو الذی جمع الأشعار المنسوبة إلی علی ع. فی کتاب سماه تاج الأشعار أو سلوة الشیعة کما ذکر فی دیوان أمیر المؤمنین فی ص 101 و ج 3: 205 و 12: 223 و الموجودة فی (سپهسالار) و مات 503 أو 513 کما ذکره فی معجم الأدباء و أورد شعره.</w:t>
      </w:r>
    </w:p>
    <w:p>
      <w:pPr>
        <w:pStyle w:val="Heading3"/>
      </w:pPr>
      <w:bookmarkStart w:id="7518" w:name="_Toc6214"/>
      <w:r>
        <w:t>5682- دیوان فندرسکی‏</w:t>
      </w:r>
      <w:bookmarkEnd w:id="7518"/>
    </w:p>
    <w:p>
      <w:pPr>
        <w:pStyle w:val="BookText"/>
      </w:pPr>
      <w:r>
        <w:rPr>
          <w:rFonts w:ascii="IRNazanin" w:hAnsi="IRNazanin" w:eastAsia="IRNazanin" w:cs="IRNazanin"/>
          <w:lang w:bidi="fa-IR"/>
          <w:color w:val="111111"/>
          <w:sz w:val="28"/>
          <w:szCs w:val="28"/>
          <w:rtl/>
        </w:rPr>
        <w:t xml:space="preserve">و هو أبو القاسم المعروف بمیر الفندرسکی ابن المیرزا بزرگ (بیگ) ابن المیر صدر الدین الموسوی المتوفی 1050</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تا شد ز جهان خسرو فوج دانش‏</w:t>
      </w:r>
    </w:p>
    <w:p>
      <w:pPr>
        <w:pStyle w:val="BookText"/>
      </w:pPr>
      <w:r>
        <w:rPr>
          <w:rFonts w:ascii="IRNazanin" w:hAnsi="IRNazanin" w:eastAsia="IRNazanin" w:cs="IRNazanin"/>
          <w:lang w:bidi="fa-IR"/>
          <w:color w:val="111111"/>
          <w:sz w:val="28"/>
          <w:szCs w:val="28"/>
          <w:rtl/>
        </w:rPr>
        <w:t xml:space="preserve">شد بحر جهان تهی ز موج دانش‏</w:t>
      </w:r>
    </w:p>
    <w:p>
      <w:pPr>
        <w:pStyle w:val="BookText"/>
      </w:pPr>
      <w:r>
        <w:rPr>
          <w:rFonts w:ascii="IRNazanin" w:hAnsi="IRNazanin" w:eastAsia="IRNazanin" w:cs="IRNazanin"/>
          <w:lang w:bidi="fa-IR"/>
          <w:color w:val="111111"/>
          <w:sz w:val="28"/>
          <w:szCs w:val="28"/>
          <w:rtl/>
        </w:rPr>
        <w:t xml:space="preserve">تاریخ وفاتش ز خرد جستم گفت‏</w:t>
      </w:r>
    </w:p>
    <w:p>
      <w:pPr>
        <w:pStyle w:val="BookText"/>
      </w:pPr>
      <w:r>
        <w:rPr>
          <w:rFonts w:ascii="IRNazanin" w:hAnsi="IRNazanin" w:eastAsia="IRNazanin" w:cs="IRNazanin"/>
          <w:lang w:bidi="fa-IR"/>
          <w:color w:val="111111"/>
          <w:sz w:val="28"/>
          <w:szCs w:val="28"/>
          <w:rtl/>
        </w:rPr>
        <w:t xml:space="preserve">صد حیف ز آفتاب أوج دانش‏</w:t>
      </w:r>
    </w:p>
    <w:p>
      <w:pPr>
        <w:pStyle w:val="BookText"/>
      </w:pPr>
      <w:r>
        <w:rPr>
          <w:rFonts w:ascii="IRNazanin" w:hAnsi="IRNazanin" w:eastAsia="IRNazanin" w:cs="IRNazanin"/>
          <w:lang w:bidi="fa-IR"/>
          <w:color w:val="111111"/>
          <w:sz w:val="28"/>
          <w:szCs w:val="28"/>
          <w:rtl/>
        </w:rPr>
        <w:t xml:space="preserve">عن ثمانین سنة و المدفون‏ ش‏</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bookmarkStart w:id="840" w:name="pg11704_122326"/>
    <w:bookmarkEnd w:id="840"/>
    <w:p>
      <w:pPr>
        <w:pStyle w:val="BookText"/>
      </w:pPr>
      <w:r>
        <w:rPr>
          <w:rFonts w:ascii="IRNazanin" w:hAnsi="IRNazanin" w:eastAsia="IRNazanin" w:cs="IRNazanin"/>
          <w:lang w:bidi="fa-IR"/>
          <w:color w:val="111111"/>
          <w:sz w:val="28"/>
          <w:szCs w:val="28"/>
          <w:rtl/>
        </w:rPr>
        <w:t xml:space="preserve">بتکیة میر بتخت فولاد بأصفهان. و کان تصویره فی صفحة مع الشیخ البهائی هناک. کان حکیما دافع عن العرفان حتی بعد أن أدبر البلاط الصفوی علی الصوفیة و طردهم.</w:t>
      </w:r>
    </w:p>
    <w:p>
      <w:pPr>
        <w:pStyle w:val="BookText"/>
      </w:pPr>
      <w:r>
        <w:rPr>
          <w:rFonts w:ascii="IRNazanin" w:hAnsi="IRNazanin" w:eastAsia="IRNazanin" w:cs="IRNazanin"/>
          <w:lang w:bidi="fa-IR"/>
          <w:color w:val="111111"/>
          <w:sz w:val="28"/>
          <w:szCs w:val="28"/>
          <w:rtl/>
        </w:rPr>
        <w:t xml:space="preserve">و نکبهم فسافر إلی الهند مدة و رجع إلی أصفهان و له معارضات مع الشاه عباس فی ذلک و لاشتهار علمه و قدرة بیته ما کان یتعرض له الشاه. له من التألیفات تاریخ صفویة و تحقیق المزلة و الصناعیة فی موضوعات العلوم و شرح مهابهارات (جوک) الهندیة و مقولة الحرکة و کشف اللغات للغات جوک، توجد بمکتبة جامعة طهران کما فی فهرسها 3: 248 و 478 و 429 و 295 و له القصیدة الیائیة المعروفة ذات الشروح الکثیرة منها شرح عباس شریف الدارابی، طبع مع أحواله فی 1377 فی 183 ص. و شرح السید صالح بن محمد الخلخالی المتوفی 1346 طبع فی 1362 فی 47 ص.</w:t>
      </w:r>
    </w:p>
    <w:p>
      <w:pPr>
        <w:pStyle w:val="Heading3"/>
      </w:pPr>
      <w:bookmarkStart w:id="7519" w:name="_Toc6215"/>
      <w:r>
        <w:t>دیوان فندرسکی‏</w:t>
      </w:r>
      <w:bookmarkEnd w:id="7519"/>
    </w:p>
    <w:p>
      <w:pPr>
        <w:pStyle w:val="BookText"/>
      </w:pPr>
      <w:r>
        <w:rPr>
          <w:rFonts w:ascii="IRNazanin" w:hAnsi="IRNazanin" w:eastAsia="IRNazanin" w:cs="IRNazanin"/>
          <w:lang w:bidi="fa-IR"/>
          <w:color w:val="111111"/>
          <w:sz w:val="28"/>
          <w:szCs w:val="28"/>
          <w:rtl/>
        </w:rPr>
        <w:t xml:space="preserve">حفید المیر الفندرسکی المذکور. مر بعنوان دیوان أبی طالب الفندرسکی فی ص 42.</w:t>
      </w:r>
    </w:p>
    <w:p>
      <w:pPr>
        <w:pStyle w:val="Heading3"/>
      </w:pPr>
      <w:bookmarkStart w:id="7520" w:name="_Toc6216"/>
      <w:r>
        <w:t>5683- دیوان فؤاد کرمانی‏</w:t>
      </w:r>
      <w:bookmarkEnd w:id="7520"/>
    </w:p>
    <w:p>
      <w:pPr>
        <w:pStyle w:val="BookText"/>
      </w:pPr>
      <w:r>
        <w:rPr>
          <w:rFonts w:ascii="IRNazanin" w:hAnsi="IRNazanin" w:eastAsia="IRNazanin" w:cs="IRNazanin"/>
          <w:lang w:bidi="fa-IR"/>
          <w:color w:val="111111"/>
          <w:sz w:val="28"/>
          <w:szCs w:val="28"/>
          <w:rtl/>
        </w:rPr>
        <w:t xml:space="preserve">و اسمه فتح الله القدسی. ولد بکرمان حدود 1270 و توفی حدود 1340 و دفن بجبل سید حسینی علی ثلاثة کیلومترات من کرمان. له شمع جمع موجود فی الخزانة (الرضویة) و طبع مجموعة آثاره لثالث مرة بطهران فی 1373 فی 316 ص. مع مقدمه فی أحواله و تصویره لحسین عمادزاده.</w:t>
      </w:r>
    </w:p>
    <w:p>
      <w:pPr>
        <w:pStyle w:val="Heading3"/>
      </w:pPr>
      <w:bookmarkStart w:id="7521" w:name="_Toc6217"/>
      <w:r>
        <w:t>5684- دیوان الفواز</w:t>
      </w:r>
      <w:bookmarkEnd w:id="7521"/>
    </w:p>
    <w:p>
      <w:pPr>
        <w:pStyle w:val="BookText"/>
      </w:pPr>
      <w:r>
        <w:rPr>
          <w:rFonts w:ascii="IRNazanin" w:hAnsi="IRNazanin" w:eastAsia="IRNazanin" w:cs="IRNazanin"/>
          <w:lang w:bidi="fa-IR"/>
          <w:color w:val="111111"/>
          <w:sz w:val="28"/>
          <w:szCs w:val="28"/>
          <w:rtl/>
        </w:rPr>
        <w:t xml:space="preserve">و اسمها زینب فواز بنت علی آل فواز العاملیة الولادة و المتوفاة بمصر 1327 کما ذکرناه فی 7: 75. و ترجمها فی نابغات القرن العشرین و ریحانة الأدب‏</w:t>
      </w:r>
    </w:p>
    <w:p>
      <w:pPr>
        <w:pStyle w:val="Heading3"/>
      </w:pPr>
      <w:bookmarkStart w:id="7522" w:name="_Toc6218"/>
      <w:r>
        <w:t>5685- دیوان فوجی نیشابوری‏</w:t>
      </w:r>
      <w:bookmarkEnd w:id="7522"/>
    </w:p>
    <w:p>
      <w:pPr>
        <w:pStyle w:val="BookText"/>
      </w:pPr>
      <w:r>
        <w:rPr>
          <w:rFonts w:ascii="IRNazanin" w:hAnsi="IRNazanin" w:eastAsia="IRNazanin" w:cs="IRNazanin"/>
          <w:lang w:bidi="fa-IR"/>
          <w:color w:val="111111"/>
          <w:sz w:val="28"/>
          <w:szCs w:val="28"/>
          <w:rtl/>
        </w:rPr>
        <w:t xml:space="preserve">و اسمه ملا مقیما و هو الابن الأوسط لملا قیدی ابن أخ نظیری النیشابوری. قال النصرآبادی فی (نر 9- ص 316) إنه سافر إلی الهند و رجع إلی أصفهان و بعد قلیل ذهب إلی نیشابور و مات بها. و قال فی (خیال- ص 169) إن أصله من شیراز جاء إلی الهند و تقرب عند خان زمان و کان علی رأس أفواجه فتخلص فوجی، ثم رجع إلی وطنه لزیارة الحرمین و مات بوطنه. و عده فی (سرخوش- ص 89) من شعراء بنگاله. و فی (تش- ص 140) عده من شعراء نیشابور و کذا (حسینی- ص 252) و (گلشن- ص 322) و (مسرت- ص 494) و توجد له ساقی‏نامه فی المتحف البریطانی‏
</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bookmarkStart w:id="841" w:name="pg11704_122327"/>
    <w:bookmarkEnd w:id="841"/>
    <w:p>
      <w:pPr>
        <w:pStyle w:val="Heading3"/>
      </w:pPr>
      <w:bookmarkStart w:id="7523" w:name="_Toc6219"/>
      <w:r>
        <w:t>5686- دیوان فوزی‏</w:t>
      </w:r>
      <w:bookmarkEnd w:id="7523"/>
    </w:p>
    <w:p>
      <w:pPr>
        <w:pStyle w:val="BookText"/>
      </w:pPr>
      <w:r>
        <w:rPr>
          <w:rFonts w:ascii="IRNazanin" w:hAnsi="IRNazanin" w:eastAsia="IRNazanin" w:cs="IRNazanin"/>
          <w:lang w:bidi="fa-IR"/>
          <w:color w:val="111111"/>
          <w:sz w:val="28"/>
          <w:szCs w:val="28"/>
          <w:rtl/>
        </w:rPr>
        <w:t xml:space="preserve">رأیت له بلبلستان نظما و نثرا، جمعه علی وتیرة گلستان و بوستان للسعدی و بهارستان للجامی و نگارستان لکمال پاشا و سنبلستان للشیخ شجاع. و رتبه علی ستة خلدات، کل واحد فی ثمانیة آئینات و النسخة بخط مصطفی بن صالح الناتلی فی مکاتب یوگسلاویا و تصویره بالمکتبة المرکزیة بجامعة طهران.</w:t>
      </w:r>
    </w:p>
    <w:p>
      <w:pPr>
        <w:pStyle w:val="Heading3"/>
      </w:pPr>
      <w:bookmarkStart w:id="7524" w:name="_Toc6220"/>
      <w:r>
        <w:t>5687- دیوان فوقی یزدی‏</w:t>
      </w:r>
      <w:bookmarkEnd w:id="7524"/>
    </w:p>
    <w:p>
      <w:pPr>
        <w:pStyle w:val="BookText"/>
      </w:pPr>
      <w:r>
        <w:rPr>
          <w:rFonts w:ascii="IRNazanin" w:hAnsi="IRNazanin" w:eastAsia="IRNazanin" w:cs="IRNazanin"/>
          <w:lang w:bidi="fa-IR"/>
          <w:color w:val="111111"/>
          <w:sz w:val="28"/>
          <w:szCs w:val="28"/>
          <w:rtl/>
        </w:rPr>
        <w:t xml:space="preserve">و اسمه الملا فوق الدین أحمد العالم فی المعقول و المنقول و الأدیب الماهر فی فنون الشعر، النقاد الهزلی فی القرن الحادی عشر و ثالث الهزلیین الحکیم سوزنی و عبید الزاکانی المذکورین فی ص 476 و 706 و ادعی أنه قد فاق علیهما. و یذکر فی دیوانه سراجای نقاش و طرزی أفشار المذکوران فی محلهما و کذا ظفر خان المتوفی 1073 ذکر الآیتی أنه سافر إلی الهند و مات ببندر سورات کذا فی (تش یز- ص 319) نقلا عن التذاکر و لکنا لم نر أحواله غیر ما ذکر فی فهرس المجلس 3: 375 و توجد هناک کلیاته المشتمل علی فرهاد و شیرین و ساقی‏نامه و القصائد و الترجیعات و مناجات‏نامه و غزلیات کلها فی 3900 بیت. و توجد له أتوزگنج أی ثلاثون دفینة نظما بالفارسیة ضمن کلیاته فی مکتبة کلیة الحقوق کما فی فهرسها ص 81 و عند (الملک 4999 و 5104) و جامعة طهران و عند خنجی بطهران. و مر له الخمسة فی 7: 262.</w:t>
      </w:r>
    </w:p>
    <w:p>
      <w:pPr>
        <w:pStyle w:val="Heading3"/>
      </w:pPr>
      <w:bookmarkStart w:id="7525" w:name="_Toc6221"/>
      <w:r>
        <w:t>5688- دیوان فتونی أصفهانی أو شعره‏</w:t>
      </w:r>
      <w:bookmarkEnd w:id="7525"/>
    </w:p>
    <w:p>
      <w:pPr>
        <w:pStyle w:val="BookText"/>
      </w:pPr>
      <w:r>
        <w:rPr>
          <w:rFonts w:ascii="IRNazanin" w:hAnsi="IRNazanin" w:eastAsia="IRNazanin" w:cs="IRNazanin"/>
          <w:lang w:bidi="fa-IR"/>
          <w:color w:val="111111"/>
          <w:sz w:val="28"/>
          <w:szCs w:val="28"/>
          <w:rtl/>
        </w:rPr>
        <w:t xml:space="preserve">و هو الصحاف. ترجمه معاصره سام میرزا فی (تس 5- ص 140) و أورد شعره.</w:t>
      </w:r>
    </w:p>
    <w:p>
      <w:pPr>
        <w:pStyle w:val="Heading3"/>
      </w:pPr>
      <w:bookmarkStart w:id="7526" w:name="_Toc6222"/>
      <w:r>
        <w:t>5689- دیوان فهمی رازی‏</w:t>
      </w:r>
      <w:bookmarkEnd w:id="7526"/>
    </w:p>
    <w:p>
      <w:pPr>
        <w:pStyle w:val="BookText"/>
      </w:pPr>
      <w:r>
        <w:rPr>
          <w:rFonts w:ascii="IRNazanin" w:hAnsi="IRNazanin" w:eastAsia="IRNazanin" w:cs="IRNazanin"/>
          <w:lang w:bidi="fa-IR"/>
          <w:color w:val="111111"/>
          <w:sz w:val="28"/>
          <w:szCs w:val="28"/>
          <w:rtl/>
        </w:rPr>
        <w:t xml:space="preserve">و هو ملا محمد الطهرانی ترجمه بعنوان فهیمی طهرانی فی (طبق 2- ص 507) و أورد شعره توجد نسخه من قسمت‏نامه له فی ص 155- 156 من مجموعة رقم 3280 فی المکتبة المرکزیة بجامعة طهران کما فی فهرسها. و أورد فی (همیشه بهار) شاعرا باسم فهمی طرشتی. و طرشت من محال طهران.</w:t>
      </w:r>
    </w:p>
    <w:p>
      <w:pPr>
        <w:pStyle w:val="Heading3"/>
      </w:pPr>
      <w:bookmarkStart w:id="7527" w:name="_Toc6223"/>
      <w:r>
        <w:t>5690- دیوان فهمی صفوی أو شعره‏</w:t>
      </w:r>
      <w:bookmarkEnd w:id="7527"/>
    </w:p>
    <w:p>
      <w:pPr>
        <w:pStyle w:val="BookText"/>
      </w:pPr>
      <w:r>
        <w:rPr>
          <w:rFonts w:ascii="IRNazanin" w:hAnsi="IRNazanin" w:eastAsia="IRNazanin" w:cs="IRNazanin"/>
          <w:lang w:bidi="fa-IR"/>
          <w:color w:val="111111"/>
          <w:sz w:val="28"/>
          <w:szCs w:val="28"/>
          <w:rtl/>
        </w:rPr>
        <w:t xml:space="preserve">و هو الشاه خدابنده الثانی (985- 995) السلطان محمد المکفوف ابن الشاه طهماسب جلس بعد أخیه الشاه إسماعیل الثانی و کان یقیم بأموره ولده حمزة میرزا، و بعد موت حمزة میرزا عزله ابنه الآخر الشاه عباس الماضی إلی أن توفی معزولا فی 1003 ترجمه الصادقی فی (خص 1- ص 9) و أورد من شعره قطعة
</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bookmarkStart w:id="842" w:name="pg11704_122328"/>
    <w:bookmarkEnd w:id="842"/>
    <w:p>
      <w:pPr>
        <w:pStyle w:val="BookText"/>
      </w:pPr>
      <w:r>
        <w:rPr>
          <w:rFonts w:ascii="IRNazanin" w:hAnsi="IRNazanin" w:eastAsia="IRNazanin" w:cs="IRNazanin"/>
          <w:lang w:bidi="fa-IR"/>
          <w:color w:val="111111"/>
          <w:sz w:val="28"/>
          <w:szCs w:val="28"/>
          <w:rtl/>
        </w:rPr>
        <w:t xml:space="preserve">و رباعیة، و کذا، فی روضة الصفویة.</w:t>
      </w:r>
    </w:p>
    <w:p>
      <w:pPr>
        <w:pStyle w:val="Heading3"/>
      </w:pPr>
      <w:bookmarkStart w:id="7528" w:name="_Toc6224"/>
      <w:r>
        <w:t>دیوان فهمی طرشتی‏</w:t>
      </w:r>
      <w:bookmarkEnd w:id="7528"/>
    </w:p>
    <w:p>
      <w:pPr>
        <w:pStyle w:val="BookText"/>
      </w:pPr>
      <w:r>
        <w:rPr>
          <w:rFonts w:ascii="IRNazanin" w:hAnsi="IRNazanin" w:eastAsia="IRNazanin" w:cs="IRNazanin"/>
          <w:lang w:bidi="fa-IR"/>
          <w:color w:val="111111"/>
          <w:sz w:val="28"/>
          <w:szCs w:val="28"/>
          <w:rtl/>
        </w:rPr>
        <w:t xml:space="preserve">راجع فهمی رازی.</w:t>
      </w:r>
    </w:p>
    <w:p>
      <w:pPr>
        <w:pStyle w:val="Heading3"/>
      </w:pPr>
      <w:bookmarkStart w:id="7529" w:name="_Toc6225"/>
      <w:r>
        <w:t>دیوان فهمی طهرانی‏</w:t>
      </w:r>
      <w:bookmarkEnd w:id="7529"/>
    </w:p>
    <w:p>
      <w:pPr>
        <w:pStyle w:val="BookText"/>
      </w:pPr>
      <w:r>
        <w:rPr>
          <w:rFonts w:ascii="IRNazanin" w:hAnsi="IRNazanin" w:eastAsia="IRNazanin" w:cs="IRNazanin"/>
          <w:lang w:bidi="fa-IR"/>
          <w:color w:val="111111"/>
          <w:sz w:val="28"/>
          <w:szCs w:val="28"/>
          <w:rtl/>
        </w:rPr>
        <w:t xml:space="preserve">راجع فهمی رازی.</w:t>
      </w:r>
    </w:p>
    <w:p>
      <w:pPr>
        <w:pStyle w:val="Heading3"/>
      </w:pPr>
      <w:bookmarkStart w:id="7530" w:name="_Toc6226"/>
      <w:r>
        <w:t>5691- دیوان فهمی قزوینی أو شعره‏</w:t>
      </w:r>
      <w:bookmarkEnd w:id="7530"/>
    </w:p>
    <w:p>
      <w:pPr>
        <w:pStyle w:val="BookText"/>
      </w:pPr>
      <w:r>
        <w:rPr>
          <w:rFonts w:ascii="IRNazanin" w:hAnsi="IRNazanin" w:eastAsia="IRNazanin" w:cs="IRNazanin"/>
          <w:lang w:bidi="fa-IR"/>
          <w:color w:val="111111"/>
          <w:sz w:val="28"/>
          <w:szCs w:val="28"/>
          <w:rtl/>
        </w:rPr>
        <w:t xml:space="preserve">ترجمه معاصره سام میرزا فی (تس 5- ص 173) بعد ترجمه أخیه عارفی القزوینی و أورد شعرهما. و فی (گلشن- ص 322) قال اسمه شاه قاسم بن عزیز الدین سامی من طائفة جبلیة و مات 999.</w:t>
      </w:r>
    </w:p>
    <w:p>
      <w:pPr>
        <w:pStyle w:val="Heading3"/>
      </w:pPr>
      <w:bookmarkStart w:id="7531" w:name="_Toc6227"/>
      <w:r>
        <w:t>5692- دیوان فهمی کاشانی‏</w:t>
      </w:r>
      <w:bookmarkEnd w:id="7531"/>
    </w:p>
    <w:p>
      <w:pPr>
        <w:pStyle w:val="BookText"/>
      </w:pPr>
      <w:r>
        <w:rPr>
          <w:rFonts w:ascii="IRNazanin" w:hAnsi="IRNazanin" w:eastAsia="IRNazanin" w:cs="IRNazanin"/>
          <w:lang w:bidi="fa-IR"/>
          <w:color w:val="111111"/>
          <w:sz w:val="28"/>
          <w:szCs w:val="28"/>
          <w:rtl/>
        </w:rPr>
        <w:t xml:space="preserve">کان أدیبا عارفا بأنواع الشعر. ترجمه و أورد شعره الصادقی فی (خص 8- ص 200) و (همیشه بهار) و (تش- ص 245) نقلا عن دیوانه و قال فی خلاصة الأشعار کان ینحرف إلی المذهب النقطوی. و فی حقه قال حسرتی الکاشانی:</w:t>
      </w:r>
    </w:p>
    <w:p>
      <w:pPr>
        <w:pStyle w:val="BookText"/>
      </w:pPr>
      <w:r>
        <w:rPr>
          <w:rFonts w:ascii="IRNazanin" w:hAnsi="IRNazanin" w:eastAsia="IRNazanin" w:cs="IRNazanin"/>
          <w:lang w:bidi="fa-IR"/>
          <w:color w:val="111111"/>
          <w:sz w:val="28"/>
          <w:szCs w:val="28"/>
          <w:rtl/>
        </w:rPr>
        <w:t xml:space="preserve">فهمی آن دیگدان آتش کفر</w:t>
      </w:r>
    </w:p>
    <w:p>
      <w:pPr>
        <w:pStyle w:val="BookText"/>
      </w:pPr>
      <w:r>
        <w:rPr>
          <w:rFonts w:ascii="IRNazanin" w:hAnsi="IRNazanin" w:eastAsia="IRNazanin" w:cs="IRNazanin"/>
          <w:lang w:bidi="fa-IR"/>
          <w:color w:val="111111"/>
          <w:sz w:val="28"/>
          <w:szCs w:val="28"/>
          <w:rtl/>
        </w:rPr>
        <w:t xml:space="preserve">که در أو آتش وبال افتد</w:t>
      </w:r>
    </w:p>
    <w:p>
      <w:pPr>
        <w:pStyle w:val="BookText"/>
      </w:pPr>
      <w:r>
        <w:rPr>
          <w:rFonts w:ascii="IRNazanin" w:hAnsi="IRNazanin" w:eastAsia="IRNazanin" w:cs="IRNazanin"/>
          <w:lang w:bidi="fa-IR"/>
          <w:color w:val="111111"/>
          <w:sz w:val="28"/>
          <w:szCs w:val="28"/>
          <w:rtl/>
        </w:rPr>
        <w:t xml:space="preserve">گرم هم صحبتی است با حاتم‏</w:t>
      </w:r>
    </w:p>
    <w:p>
      <w:pPr>
        <w:pStyle w:val="BookText"/>
      </w:pPr>
      <w:r>
        <w:rPr>
          <w:rFonts w:ascii="IRNazanin" w:hAnsi="IRNazanin" w:eastAsia="IRNazanin" w:cs="IRNazanin"/>
          <w:lang w:bidi="fa-IR"/>
          <w:color w:val="111111"/>
          <w:sz w:val="28"/>
          <w:szCs w:val="28"/>
          <w:rtl/>
        </w:rPr>
        <w:t xml:space="preserve">همچو آتش که در زغال افتد</w:t>
      </w:r>
    </w:p>
    <w:p>
      <w:pPr>
        <w:pStyle w:val="Heading3"/>
      </w:pPr>
      <w:bookmarkStart w:id="7532" w:name="_Toc6228"/>
      <w:r>
        <w:t>5693- دیوان فهمی کرمانی أو شعره‏</w:t>
      </w:r>
      <w:bookmarkEnd w:id="7532"/>
    </w:p>
    <w:p>
      <w:pPr>
        <w:pStyle w:val="BookText"/>
      </w:pPr>
      <w:r>
        <w:rPr>
          <w:rFonts w:ascii="IRNazanin" w:hAnsi="IRNazanin" w:eastAsia="IRNazanin" w:cs="IRNazanin"/>
          <w:lang w:bidi="fa-IR"/>
          <w:color w:val="111111"/>
          <w:sz w:val="28"/>
          <w:szCs w:val="28"/>
          <w:rtl/>
        </w:rPr>
        <w:t xml:space="preserve">و اسمه شمس الدین محمد کان من قریة خبیص بکرمان و کان صدرا للسلطان محمد الصفوی. ترجمه و أورد شعره فی (تش- ص 121).</w:t>
      </w:r>
    </w:p>
    <w:p>
      <w:pPr>
        <w:pStyle w:val="Heading3"/>
      </w:pPr>
      <w:bookmarkStart w:id="7533" w:name="_Toc6229"/>
      <w:r>
        <w:t>5694- دیوان فهمی هرمزی أو شعره‏</w:t>
      </w:r>
      <w:bookmarkEnd w:id="7533"/>
    </w:p>
    <w:p>
      <w:pPr>
        <w:pStyle w:val="BookText"/>
      </w:pPr>
      <w:r>
        <w:rPr>
          <w:rFonts w:ascii="IRNazanin" w:hAnsi="IRNazanin" w:eastAsia="IRNazanin" w:cs="IRNazanin"/>
          <w:lang w:bidi="fa-IR"/>
          <w:color w:val="111111"/>
          <w:sz w:val="28"/>
          <w:szCs w:val="28"/>
          <w:rtl/>
        </w:rPr>
        <w:t xml:space="preserve">هو من شعراء جزیرة هرمز فی الخلیج الفارسی.</w:t>
      </w:r>
    </w:p>
    <w:p>
      <w:pPr>
        <w:pStyle w:val="BookText"/>
      </w:pPr>
      <w:r>
        <w:rPr>
          <w:rFonts w:ascii="IRNazanin" w:hAnsi="IRNazanin" w:eastAsia="IRNazanin" w:cs="IRNazanin"/>
          <w:lang w:bidi="fa-IR"/>
          <w:color w:val="111111"/>
          <w:sz w:val="28"/>
          <w:szCs w:val="28"/>
          <w:rtl/>
        </w:rPr>
        <w:t xml:space="preserve">ترجمه و أورد شعره الفارسی فی (هفت- ص 55).</w:t>
      </w:r>
    </w:p>
    <w:p>
      <w:pPr>
        <w:pStyle w:val="Heading3"/>
      </w:pPr>
      <w:bookmarkStart w:id="7534" w:name="_Toc6230"/>
      <w:r>
        <w:t>5695- دیوان فهمی یزدی أو شعره‏</w:t>
      </w:r>
      <w:bookmarkEnd w:id="7534"/>
    </w:p>
    <w:p>
      <w:pPr>
        <w:pStyle w:val="BookText"/>
      </w:pPr>
      <w:r>
        <w:rPr>
          <w:rFonts w:ascii="IRNazanin" w:hAnsi="IRNazanin" w:eastAsia="IRNazanin" w:cs="IRNazanin"/>
          <w:lang w:bidi="fa-IR"/>
          <w:color w:val="111111"/>
          <w:sz w:val="28"/>
          <w:szCs w:val="28"/>
          <w:rtl/>
        </w:rPr>
        <w:t xml:space="preserve">و اسمه بدر الدین کما ذکره آیتی فی (تش یز- ص 319) و أورد شعره.</w:t>
      </w:r>
    </w:p>
    <w:p>
      <w:pPr>
        <w:pStyle w:val="Heading3"/>
      </w:pPr>
      <w:bookmarkStart w:id="7535" w:name="_Toc6231"/>
      <w:r>
        <w:t>دیوان فیاض دکنی‏</w:t>
      </w:r>
      <w:bookmarkEnd w:id="7535"/>
    </w:p>
    <w:p>
      <w:pPr>
        <w:pStyle w:val="BookText"/>
      </w:pPr>
      <w:r>
        <w:rPr>
          <w:rFonts w:ascii="IRNazanin" w:hAnsi="IRNazanin" w:eastAsia="IRNazanin" w:cs="IRNazanin"/>
          <w:lang w:bidi="fa-IR"/>
          <w:color w:val="111111"/>
          <w:sz w:val="28"/>
          <w:szCs w:val="28"/>
          <w:rtl/>
        </w:rPr>
        <w:t xml:space="preserve">هو التخلص الثانی لفیض الدکنی راجع دیوان فیضی.</w:t>
      </w:r>
    </w:p>
    <w:p>
      <w:pPr>
        <w:pStyle w:val="Heading3"/>
      </w:pPr>
      <w:bookmarkStart w:id="7536" w:name="_Toc6232"/>
      <w:r>
        <w:t>5696- دیوان فیاض لاهیجی‏</w:t>
      </w:r>
      <w:bookmarkEnd w:id="7536"/>
    </w:p>
    <w:p>
      <w:pPr>
        <w:pStyle w:val="BookText"/>
      </w:pPr>
      <w:r>
        <w:rPr>
          <w:rFonts w:ascii="IRNazanin" w:hAnsi="IRNazanin" w:eastAsia="IRNazanin" w:cs="IRNazanin"/>
          <w:lang w:bidi="fa-IR"/>
          <w:color w:val="111111"/>
          <w:sz w:val="28"/>
          <w:szCs w:val="28"/>
          <w:rtl/>
        </w:rPr>
        <w:t xml:space="preserve">و هو الملا عبد الرزاق بن علی بن الحسین الجیلانی القمی المتوفی 1051. کان هو و المولی محسن الفیض الکاشانی صهرین علی بنتی المولی صدرا الشیرازی المتوفی 1050 و تلمذا علیه و أخذا تخلصهما منه و کان فیاض مدرسا بقم. له شوارق الإلهام و شرح هیاکل النور و گوهر مراد ترجمه فی (سرخوش- ص 87) و (مع 2- ص 27) و (سرو- ص 114) و (نتایج- ص 538) و (تش- ص 163). قالوا و دیوانه فی خمسة آلاف بیت یحتوی علی القصائد و المقطعات و ساقی‏نامه و غزلیات و مدائح‏
</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bookmarkStart w:id="843" w:name="pg11704_122329"/>
    <w:bookmarkEnd w:id="843"/>
    <w:p>
      <w:pPr>
        <w:pStyle w:val="BookText"/>
      </w:pPr>
      <w:r>
        <w:rPr>
          <w:rFonts w:ascii="IRNazanin" w:hAnsi="IRNazanin" w:eastAsia="IRNazanin" w:cs="IRNazanin"/>
          <w:lang w:bidi="fa-IR"/>
          <w:color w:val="111111"/>
          <w:sz w:val="28"/>
          <w:szCs w:val="28"/>
          <w:rtl/>
        </w:rPr>
        <w:t xml:space="preserve">أستاذیه المولی صدرا و المیر الداماد و الشاه صفی. و فی (نر 6- ص 156) أن دیوانه فی ألفی بیت. و مر ابنه حسن صاحب شمع الیقین فی ص 245.</w:t>
      </w:r>
    </w:p>
    <w:p>
      <w:pPr>
        <w:pStyle w:val="Heading3"/>
      </w:pPr>
      <w:bookmarkStart w:id="7537" w:name="_Toc6233"/>
      <w:r>
        <w:t>5697- دیوان فیروز شاه بهمنی أو شعره‏</w:t>
      </w:r>
      <w:bookmarkEnd w:id="7537"/>
    </w:p>
    <w:p>
      <w:pPr>
        <w:pStyle w:val="BookText"/>
      </w:pPr>
      <w:r>
        <w:rPr>
          <w:rFonts w:ascii="IRNazanin" w:hAnsi="IRNazanin" w:eastAsia="IRNazanin" w:cs="IRNazanin"/>
          <w:lang w:bidi="fa-IR"/>
          <w:color w:val="111111"/>
          <w:sz w:val="28"/>
          <w:szCs w:val="28"/>
          <w:rtl/>
        </w:rPr>
        <w:t xml:space="preserve">هو من ملوک سند و توفی 825 ترجمه فی (مع- ج 1 ص 41) و أورد شعره و کذا فی (حسینی- ص 243).</w:t>
      </w:r>
    </w:p>
    <w:p>
      <w:pPr>
        <w:pStyle w:val="Heading3"/>
      </w:pPr>
      <w:bookmarkStart w:id="7538" w:name="_Toc6234"/>
      <w:r>
        <w:t>5698- دیوان فیروز مشرقی أو شعره‏</w:t>
      </w:r>
      <w:bookmarkEnd w:id="7538"/>
    </w:p>
    <w:p>
      <w:pPr>
        <w:pStyle w:val="BookText"/>
      </w:pPr>
      <w:r>
        <w:rPr>
          <w:rFonts w:ascii="IRNazanin" w:hAnsi="IRNazanin" w:eastAsia="IRNazanin" w:cs="IRNazanin"/>
          <w:lang w:bidi="fa-IR"/>
          <w:color w:val="111111"/>
          <w:sz w:val="28"/>
          <w:szCs w:val="28"/>
          <w:rtl/>
        </w:rPr>
        <w:t xml:space="preserve">من قدماء الحکماء الشعراء، و معاصر عمرو بن لیث من آل صفار و توفی 283 کما ترجمه فی (مع ج 1 ص 381) و أورد شعره.</w:t>
      </w:r>
    </w:p>
    <w:p>
      <w:pPr>
        <w:pStyle w:val="Heading3"/>
      </w:pPr>
      <w:bookmarkStart w:id="7539" w:name="_Toc6235"/>
      <w:r>
        <w:t>5699- دیوان فیروزکوهی‏</w:t>
      </w:r>
      <w:bookmarkEnd w:id="7539"/>
    </w:p>
    <w:p>
      <w:pPr>
        <w:pStyle w:val="BookText"/>
      </w:pPr>
      <w:r>
        <w:rPr>
          <w:rFonts w:ascii="IRNazanin" w:hAnsi="IRNazanin" w:eastAsia="IRNazanin" w:cs="IRNazanin"/>
          <w:lang w:bidi="fa-IR"/>
          <w:color w:val="111111"/>
          <w:sz w:val="28"/>
          <w:szCs w:val="28"/>
          <w:rtl/>
        </w:rPr>
        <w:t xml:space="preserve">السید کریم بن مصطفی منتظم الدولة. طبع له منظومة عفاف‏نامه بطهران فی 1363 فی 27 ص. فی الحجاب.</w:t>
      </w:r>
    </w:p>
    <w:p>
      <w:pPr>
        <w:pStyle w:val="Heading3"/>
      </w:pPr>
      <w:bookmarkStart w:id="7540" w:name="_Toc6236"/>
      <w:r>
        <w:t>5700- دیوان فیضی‏</w:t>
      </w:r>
      <w:bookmarkEnd w:id="7540"/>
    </w:p>
    <w:p>
      <w:pPr>
        <w:pStyle w:val="BookText"/>
      </w:pPr>
      <w:r>
        <w:rPr>
          <w:rFonts w:ascii="IRNazanin" w:hAnsi="IRNazanin" w:eastAsia="IRNazanin" w:cs="IRNazanin"/>
          <w:lang w:bidi="fa-IR"/>
          <w:color w:val="111111"/>
          <w:sz w:val="28"/>
          <w:szCs w:val="28"/>
          <w:rtl/>
        </w:rPr>
        <w:t xml:space="preserve">و اسمه علی أکبر. توجد نسخه منه عند (الملک- 5534).</w:t>
      </w:r>
    </w:p>
    <w:p>
      <w:pPr>
        <w:pStyle w:val="Heading3"/>
      </w:pPr>
      <w:bookmarkStart w:id="7541" w:name="_Toc6237"/>
      <w:r>
        <w:t>5701- دیوان فیض شاه‏جهان‏آبادی‏</w:t>
      </w:r>
      <w:bookmarkEnd w:id="7541"/>
    </w:p>
    <w:p>
      <w:pPr>
        <w:pStyle w:val="BookText"/>
      </w:pPr>
      <w:r>
        <w:rPr>
          <w:rFonts w:ascii="IRNazanin" w:hAnsi="IRNazanin" w:eastAsia="IRNazanin" w:cs="IRNazanin"/>
          <w:lang w:bidi="fa-IR"/>
          <w:color w:val="111111"/>
          <w:sz w:val="28"/>
          <w:szCs w:val="28"/>
          <w:rtl/>
        </w:rPr>
        <w:t xml:space="preserve">و اسمه إبراهیم. کان ماهرا فی الموسیقی و الخط النستعلیق و مات 1124. ترجمه و أورد شعره فی (نتایج- ص 544) و (حسینی- ص 253) و (مسرت- ص 494) و (سرخوش- ص 86).</w:t>
      </w:r>
    </w:p>
    <w:p>
      <w:pPr>
        <w:pStyle w:val="Heading3"/>
      </w:pPr>
      <w:bookmarkStart w:id="7542" w:name="_Toc6238"/>
      <w:r>
        <w:t>5702- دیوان فیض علی مشهدی‏</w:t>
      </w:r>
      <w:bookmarkEnd w:id="7542"/>
    </w:p>
    <w:p>
      <w:pPr>
        <w:pStyle w:val="BookText"/>
      </w:pPr>
      <w:r>
        <w:rPr>
          <w:rFonts w:ascii="IRNazanin" w:hAnsi="IRNazanin" w:eastAsia="IRNazanin" w:cs="IRNazanin"/>
          <w:lang w:bidi="fa-IR"/>
          <w:color w:val="111111"/>
          <w:sz w:val="28"/>
          <w:szCs w:val="28"/>
          <w:rtl/>
        </w:rPr>
        <w:t xml:space="preserve">من ساداتها الموسویین کان یتخلص فیض علی و حکیم قال فی (خیال- ص 258) کان ینظم بالفارسیة و العربیة. و نقل عن دیوانه غزلین أحدهما خال عن الحروف المعجمة.</w:t>
      </w:r>
    </w:p>
    <w:p>
      <w:pPr>
        <w:pStyle w:val="Heading3"/>
      </w:pPr>
      <w:bookmarkStart w:id="7543" w:name="_Toc6239"/>
      <w:r>
        <w:t>5703- دیوان فیض علی شاه طبسی‏</w:t>
      </w:r>
      <w:bookmarkEnd w:id="7543"/>
    </w:p>
    <w:p>
      <w:pPr>
        <w:pStyle w:val="BookText"/>
      </w:pPr>
      <w:r>
        <w:rPr>
          <w:rFonts w:ascii="IRNazanin" w:hAnsi="IRNazanin" w:eastAsia="IRNazanin" w:cs="IRNazanin"/>
          <w:lang w:bidi="fa-IR"/>
          <w:color w:val="111111"/>
          <w:sz w:val="28"/>
          <w:szCs w:val="28"/>
          <w:rtl/>
        </w:rPr>
        <w:t xml:space="preserve">لعبد الحسین فیض علی شاه من العرفاء. مات فی 1199 بأصفهان.</w:t>
      </w:r>
    </w:p>
    <w:p>
      <w:pPr>
        <w:pStyle w:val="Heading3"/>
      </w:pPr>
      <w:bookmarkStart w:id="7544" w:name="_Toc6240"/>
      <w:r>
        <w:t>5704- دیوان فیض کاشانی‏</w:t>
      </w:r>
      <w:bookmarkEnd w:id="7544"/>
    </w:p>
    <w:p>
      <w:pPr>
        <w:pStyle w:val="BookText"/>
      </w:pPr>
      <w:r>
        <w:rPr>
          <w:rFonts w:ascii="IRNazanin" w:hAnsi="IRNazanin" w:eastAsia="IRNazanin" w:cs="IRNazanin"/>
          <w:lang w:bidi="fa-IR"/>
          <w:color w:val="111111"/>
          <w:sz w:val="28"/>
          <w:szCs w:val="28"/>
          <w:rtl/>
        </w:rPr>
        <w:t xml:space="preserve">و هو المولی محمد المحسن بن شاه مرتضی بن محمود (1007- 1091) مؤلف الصافی و الوافی و أکثر من مائة کتاب آخر. و قد ألف فهرسا لتصانیفه أولا فی 1069 ثم ثانیا و ثالثا جمع فهرسها فی 1090 و کان لوالده مکتبة عظیمة. و أولاده فی کاشان و طهران بیت علم إلی الیوم، و کان صهر المولی صدرا و أخذ تخلصه منه کما ذکرناه فی الصفحة السابقة و نظم الشعر و له لب لباب مثنوی موجود عند (الملک) و أورد شعره أصحاب التذاکر مثل (نتایج- ص 541) و (تش- ص 245) و (حسینی 322) و (همیشه بهار) و طبع الشهشهانی دیوانه بطهران فی 198 ص. ثم فی 1377 فی 216 ص. نسخه منه عند السید حسین الشهشهانی بطهران. و له مقدمه مبسوطة. أولها
</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bookmarkStart w:id="844" w:name="pg11704_122330"/>
    <w:bookmarkEnd w:id="844"/>
    <w:p>
      <w:pPr>
        <w:pStyle w:val="BookText"/>
      </w:pPr>
      <w:r>
        <w:rPr>
          <w:rFonts w:ascii="IRNazanin" w:hAnsi="IRNazanin" w:eastAsia="IRNazanin" w:cs="IRNazanin"/>
          <w:lang w:bidi="fa-IR"/>
          <w:color w:val="111111"/>
          <w:sz w:val="28"/>
          <w:szCs w:val="28"/>
          <w:rtl/>
        </w:rPr>
        <w:t xml:space="preserve">[یا محسن قد أتاک المسی‏ء. فیض إحسان بی‏پایان ... چنین گوید مؤلف این کلمات ...</w:t>
      </w:r>
    </w:p>
    <w:p>
      <w:pPr>
        <w:pStyle w:val="BookText"/>
      </w:pPr>
      <w:r>
        <w:rPr>
          <w:rFonts w:ascii="IRNazanin" w:hAnsi="IRNazanin" w:eastAsia="IRNazanin" w:cs="IRNazanin"/>
          <w:lang w:bidi="fa-IR"/>
          <w:color w:val="111111"/>
          <w:sz w:val="28"/>
          <w:szCs w:val="28"/>
          <w:rtl/>
        </w:rPr>
        <w:t xml:space="preserve">محسن بن مرتضی الملقب بفیض. ..] مرتب علی حروف القوا فی الغزل فی 436 صفحة، کتبت النسخة فی شوال 1215 بخط محمد بن إبراهیم البروجردی. و أخری عند (الملک 7396).</w:t>
      </w:r>
    </w:p>
    <w:p>
      <w:pPr>
        <w:pStyle w:val="Heading3"/>
      </w:pPr>
      <w:bookmarkStart w:id="7545" w:name="_Toc6241"/>
      <w:r>
        <w:t>5705- دیوان فیض الله بغدادی‏</w:t>
      </w:r>
      <w:bookmarkEnd w:id="7545"/>
    </w:p>
    <w:p>
      <w:pPr>
        <w:pStyle w:val="BookText"/>
      </w:pPr>
      <w:r>
        <w:rPr>
          <w:rFonts w:ascii="IRNazanin" w:hAnsi="IRNazanin" w:eastAsia="IRNazanin" w:cs="IRNazanin"/>
          <w:lang w:bidi="fa-IR"/>
          <w:color w:val="111111"/>
          <w:sz w:val="28"/>
          <w:szCs w:val="28"/>
          <w:rtl/>
        </w:rPr>
        <w:t xml:space="preserve">للقاضی فیض الله البغدادی المتخلص فی شعره بحاجبی کما ترجمه فی (تس 2- ص 49) و فصل أحواله فذکر أنه اشتغل أولا فی العراق و بعد سنین سافر إلی إیران فنزل کاشان و أقام بها سنین عند المولی شمس الدین محمد الخفری ثم نزل بشیراز و حضر بها عند المولی عبد الصمد، ثم ذهب إلی تبریز و فوض إلیه تدریس مدرسة المظفریة و أخیرا صار قاضی العسکر من قبل الشاه طهماسب، و أورد قطعة من شعره، أقول و من الآثار الموجودة لهذا العالم الأدیب الشاعر الرسالة الصیدیة التی کتبها باسم الشاه طهماسب و مدحه بقطعة من شعره فی دیباجته. رأیت نسخه الرسالة فی موقوفة مدرسة (البروجردی فی النجف) کما ذکر فی 11: 207.</w:t>
      </w:r>
    </w:p>
    <w:p>
      <w:pPr>
        <w:pStyle w:val="Heading3"/>
      </w:pPr>
      <w:bookmarkStart w:id="7546" w:name="_Toc6242"/>
      <w:r>
        <w:t>5706- دیوان فیض الله شوشتری أو شعره‏</w:t>
      </w:r>
      <w:bookmarkEnd w:id="7546"/>
    </w:p>
    <w:p>
      <w:pPr>
        <w:pStyle w:val="BookText"/>
      </w:pPr>
      <w:r>
        <w:rPr>
          <w:rFonts w:ascii="IRNazanin" w:hAnsi="IRNazanin" w:eastAsia="IRNazanin" w:cs="IRNazanin"/>
          <w:lang w:bidi="fa-IR"/>
          <w:color w:val="111111"/>
          <w:sz w:val="28"/>
          <w:szCs w:val="28"/>
          <w:rtl/>
        </w:rPr>
        <w:t xml:space="preserve">کان ماهرا فی النجوم و الریاضیات کما ترجمه و أورد شعره و معماه معاصره فی (نر 15- ص 535).</w:t>
      </w:r>
    </w:p>
    <w:p>
      <w:pPr>
        <w:pStyle w:val="Heading3"/>
      </w:pPr>
      <w:bookmarkStart w:id="7547" w:name="_Toc6243"/>
      <w:r>
        <w:t>5707- دیوان فیض لرستانی أو شعره‏</w:t>
      </w:r>
      <w:bookmarkEnd w:id="7547"/>
    </w:p>
    <w:p>
      <w:pPr>
        <w:pStyle w:val="BookText"/>
      </w:pPr>
      <w:r>
        <w:rPr>
          <w:rFonts w:ascii="IRNazanin" w:hAnsi="IRNazanin" w:eastAsia="IRNazanin" w:cs="IRNazanin"/>
          <w:lang w:bidi="fa-IR"/>
          <w:color w:val="111111"/>
          <w:sz w:val="28"/>
          <w:szCs w:val="28"/>
          <w:rtl/>
        </w:rPr>
        <w:t xml:space="preserve">و اسمه المیرزا أحمد. ترجمه و أورد مدیحه لمنوچهر خان فی المدائح المعتمدیة.</w:t>
      </w:r>
    </w:p>
    <w:p>
      <w:pPr>
        <w:pStyle w:val="Heading3"/>
      </w:pPr>
      <w:bookmarkStart w:id="7548" w:name="_Toc6244"/>
      <w:r>
        <w:t>5708- دیوان فیضی أصفهانی‏</w:t>
      </w:r>
      <w:bookmarkEnd w:id="7548"/>
    </w:p>
    <w:p>
      <w:pPr>
        <w:pStyle w:val="BookText"/>
      </w:pPr>
      <w:r>
        <w:rPr>
          <w:rFonts w:ascii="IRNazanin" w:hAnsi="IRNazanin" w:eastAsia="IRNazanin" w:cs="IRNazanin"/>
          <w:lang w:bidi="fa-IR"/>
          <w:color w:val="111111"/>
          <w:sz w:val="28"/>
          <w:szCs w:val="28"/>
          <w:rtl/>
        </w:rPr>
        <w:t xml:space="preserve">المیر معز الدین محمد من السادات النقباء و العلماء الفقهاء بأصفهان حج البیت و زار المشاهد، ثم نال صدارة الشاه سبع سنین ثم جاور مشهد خراسان و توفی بالبصرة فی 952 ترجمه سام میرزا فی (تس 2- ص 22) و أورد غزله و الرباعیة التی کتبها إلیه بخطه.</w:t>
      </w:r>
    </w:p>
    <w:p>
      <w:pPr>
        <w:pStyle w:val="Heading3"/>
      </w:pPr>
      <w:bookmarkStart w:id="7549" w:name="_Toc6245"/>
      <w:r>
        <w:t>5709- دیوان فیضی تبریزی‏</w:t>
      </w:r>
      <w:bookmarkEnd w:id="7549"/>
    </w:p>
    <w:p>
      <w:pPr>
        <w:pStyle w:val="BookText"/>
      </w:pPr>
      <w:r>
        <w:rPr>
          <w:rFonts w:ascii="IRNazanin" w:hAnsi="IRNazanin" w:eastAsia="IRNazanin" w:cs="IRNazanin"/>
          <w:lang w:bidi="fa-IR"/>
          <w:color w:val="111111"/>
          <w:sz w:val="28"/>
          <w:szCs w:val="28"/>
          <w:rtl/>
        </w:rPr>
        <w:t xml:space="preserve">الآقا بابا المذکور فی 5: 212 مر له چهارده بند</w:t>
      </w:r>
    </w:p>
    <w:p>
      <w:pPr>
        <w:pStyle w:val="Heading3"/>
      </w:pPr>
      <w:bookmarkStart w:id="7550" w:name="_Toc6246"/>
      <w:r>
        <w:t>5710- دیوان فیضی تربتی‏</w:t>
      </w:r>
      <w:bookmarkEnd w:id="7550"/>
    </w:p>
    <w:p>
      <w:pPr>
        <w:pStyle w:val="BookText"/>
      </w:pPr>
      <w:r>
        <w:rPr>
          <w:rFonts w:ascii="IRNazanin" w:hAnsi="IRNazanin" w:eastAsia="IRNazanin" w:cs="IRNazanin"/>
          <w:lang w:bidi="fa-IR"/>
          <w:color w:val="111111"/>
          <w:sz w:val="28"/>
          <w:szCs w:val="28"/>
          <w:rtl/>
        </w:rPr>
        <w:t xml:space="preserve">من تربت حیدریه بخراسان. و اسمه علی فیضی قال فی (تس 5- ص 118) إن دیوانه فی خمسة آلاف بیت. و فی (مجتس 6- ص 145) عده من العلماء الشعراء. و کذا فی (حسینی- ص 250) و فی (گلشن- ص 324) قال جاء إلی الهند و مدح أکبر شاه.
</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bookmarkStart w:id="845" w:name="pg11704_122331"/>
    <w:bookmarkEnd w:id="845"/>
    <w:p>
      <w:pPr>
        <w:pStyle w:val="Heading3"/>
      </w:pPr>
      <w:bookmarkStart w:id="7551" w:name="_Toc6247"/>
      <w:r>
        <w:t>دیوان فیضی دکنی‏</w:t>
      </w:r>
      <w:bookmarkEnd w:id="7551"/>
    </w:p>
    <w:p>
      <w:pPr>
        <w:pStyle w:val="BookText"/>
      </w:pPr>
      <w:r>
        <w:rPr>
          <w:rFonts w:ascii="IRNazanin" w:hAnsi="IRNazanin" w:eastAsia="IRNazanin" w:cs="IRNazanin"/>
          <w:lang w:bidi="fa-IR"/>
          <w:color w:val="111111"/>
          <w:sz w:val="28"/>
          <w:szCs w:val="28"/>
          <w:rtl/>
        </w:rPr>
        <w:t xml:space="preserve">للشیخ أبی الفیض بن مبارک. راجع فیضی هندی.</w:t>
      </w:r>
    </w:p>
    <w:p>
      <w:pPr>
        <w:pStyle w:val="Heading3"/>
      </w:pPr>
      <w:bookmarkStart w:id="7552" w:name="_Toc6248"/>
      <w:r>
        <w:t>5711- دیوان فیضی شیروانی‏</w:t>
      </w:r>
      <w:bookmarkEnd w:id="7552"/>
    </w:p>
    <w:p>
      <w:pPr>
        <w:pStyle w:val="BookText"/>
      </w:pPr>
      <w:r>
        <w:rPr>
          <w:rFonts w:ascii="IRNazanin" w:hAnsi="IRNazanin" w:eastAsia="IRNazanin" w:cs="IRNazanin"/>
          <w:lang w:bidi="fa-IR"/>
          <w:color w:val="111111"/>
          <w:sz w:val="28"/>
          <w:szCs w:val="28"/>
          <w:rtl/>
        </w:rPr>
        <w:t xml:space="preserve">و اسمه السید حسن الواعظ ترجمه فی (دجا- ص 302) و أورد شعره نقلا عن تذکره روز روشن. و ترجمه معاصره سام میرزا فی (تس 2- ص 42) بعنوان السید حسین الواعظ الشروانی و أطری خطه و إنشاءه و أورد شعرا آخر له غیر ما فی روز روشن و لعلهما اثنان.</w:t>
      </w:r>
    </w:p>
    <w:p>
      <w:pPr>
        <w:pStyle w:val="Heading3"/>
      </w:pPr>
      <w:bookmarkStart w:id="7553" w:name="_Toc6249"/>
      <w:r>
        <w:t>دیوان فیضی عصار</w:t>
      </w:r>
      <w:bookmarkEnd w:id="7553"/>
    </w:p>
    <w:p>
      <w:pPr>
        <w:pStyle w:val="BookText"/>
      </w:pPr>
      <w:r>
        <w:rPr>
          <w:rFonts w:ascii="IRNazanin" w:hAnsi="IRNazanin" w:eastAsia="IRNazanin" w:cs="IRNazanin"/>
          <w:lang w:bidi="fa-IR"/>
          <w:color w:val="111111"/>
          <w:sz w:val="28"/>
          <w:szCs w:val="28"/>
          <w:rtl/>
        </w:rPr>
        <w:t xml:space="preserve">راجع فیضی یزدی.</w:t>
      </w:r>
    </w:p>
    <w:p>
      <w:pPr>
        <w:pStyle w:val="Heading3"/>
      </w:pPr>
      <w:bookmarkStart w:id="7554" w:name="_Toc6250"/>
      <w:r>
        <w:t>5712- دیوان ملا فیضی کاردگر أو شعره‏</w:t>
      </w:r>
      <w:bookmarkEnd w:id="7554"/>
    </w:p>
    <w:p>
      <w:pPr>
        <w:pStyle w:val="BookText"/>
      </w:pPr>
      <w:r>
        <w:rPr>
          <w:rFonts w:ascii="IRNazanin" w:hAnsi="IRNazanin" w:eastAsia="IRNazanin" w:cs="IRNazanin"/>
          <w:lang w:bidi="fa-IR"/>
          <w:color w:val="111111"/>
          <w:sz w:val="28"/>
          <w:szCs w:val="28"/>
          <w:rtl/>
        </w:rPr>
        <w:t xml:space="preserve">هو ابن الأستاد محمد لعبت باز .. ترجمه فی (مجتس 6- ص 154).</w:t>
      </w:r>
    </w:p>
    <w:p>
      <w:pPr>
        <w:pStyle w:val="Heading3"/>
      </w:pPr>
      <w:bookmarkStart w:id="7555" w:name="_Toc6251"/>
      <w:r>
        <w:t>5713- دیوان فیضی هروی النقاش‏</w:t>
      </w:r>
      <w:bookmarkEnd w:id="7555"/>
    </w:p>
    <w:p>
      <w:pPr>
        <w:pStyle w:val="BookText"/>
      </w:pPr>
      <w:r>
        <w:rPr>
          <w:rFonts w:ascii="IRNazanin" w:hAnsi="IRNazanin" w:eastAsia="IRNazanin" w:cs="IRNazanin"/>
          <w:lang w:bidi="fa-IR"/>
          <w:color w:val="111111"/>
          <w:sz w:val="28"/>
          <w:szCs w:val="28"/>
          <w:rtl/>
        </w:rPr>
        <w:t xml:space="preserve">ترجمه شاه محمد القزوینی فی (قز مج 3- ص 256) و أورد شعره.</w:t>
      </w:r>
    </w:p>
    <w:p>
      <w:pPr>
        <w:pStyle w:val="Heading3"/>
      </w:pPr>
      <w:bookmarkStart w:id="7556" w:name="_Toc6252"/>
      <w:r>
        <w:t>5714- دیوان فیضی هندی‏</w:t>
      </w:r>
      <w:bookmarkEnd w:id="7556"/>
    </w:p>
    <w:p>
      <w:pPr>
        <w:pStyle w:val="BookText"/>
      </w:pPr>
      <w:r>
        <w:rPr>
          <w:rFonts w:ascii="IRNazanin" w:hAnsi="IRNazanin" w:eastAsia="IRNazanin" w:cs="IRNazanin"/>
          <w:lang w:bidi="fa-IR"/>
          <w:color w:val="111111"/>
          <w:sz w:val="28"/>
          <w:szCs w:val="28"/>
          <w:rtl/>
        </w:rPr>
        <w:t xml:space="preserve">و اسمه الشیخ أبو الفیض بن مبارک بن خضر الیمانی الأصل ملک الشعراء لجلال الدین أکبر شاه. ولد باکرة فی 954 و مات عن خمس و أربعین و خمسین سنة من عمره مسموما فی لاهور 1004 کان یتخلص أولا فیضی ثم بدله فیاضی کما قال فی ذلک:</w:t>
      </w:r>
    </w:p>
    <w:p>
      <w:pPr>
        <w:pStyle w:val="BookText"/>
      </w:pPr>
      <w:r>
        <w:rPr>
          <w:rFonts w:ascii="IRNazanin" w:hAnsi="IRNazanin" w:eastAsia="IRNazanin" w:cs="IRNazanin"/>
          <w:lang w:bidi="fa-IR"/>
          <w:color w:val="111111"/>
          <w:sz w:val="28"/>
          <w:szCs w:val="28"/>
          <w:rtl/>
        </w:rPr>
        <w:t xml:space="preserve">زین پیش که سکه‏ام سخن بود</w:t>
      </w:r>
    </w:p>
    <w:p>
      <w:pPr>
        <w:pStyle w:val="BookText"/>
      </w:pPr>
      <w:r>
        <w:rPr>
          <w:rFonts w:ascii="IRNazanin" w:hAnsi="IRNazanin" w:eastAsia="IRNazanin" w:cs="IRNazanin"/>
          <w:lang w:bidi="fa-IR"/>
          <w:color w:val="111111"/>
          <w:sz w:val="28"/>
          <w:szCs w:val="28"/>
          <w:rtl/>
        </w:rPr>
        <w:t xml:space="preserve">فیضی رقم نگین من بود</w:t>
      </w:r>
    </w:p>
    <w:p>
      <w:pPr>
        <w:pStyle w:val="BookText"/>
      </w:pPr>
      <w:r>
        <w:rPr>
          <w:rFonts w:ascii="IRNazanin" w:hAnsi="IRNazanin" w:eastAsia="IRNazanin" w:cs="IRNazanin"/>
          <w:lang w:bidi="fa-IR"/>
          <w:color w:val="111111"/>
          <w:sz w:val="28"/>
          <w:szCs w:val="28"/>
          <w:rtl/>
        </w:rPr>
        <w:t xml:space="preserve">اکنون که شدم بعشق مرتاض‏</w:t>
      </w:r>
    </w:p>
    <w:p>
      <w:pPr>
        <w:pStyle w:val="BookText"/>
      </w:pPr>
      <w:r>
        <w:rPr>
          <w:rFonts w:ascii="IRNazanin" w:hAnsi="IRNazanin" w:eastAsia="IRNazanin" w:cs="IRNazanin"/>
          <w:lang w:bidi="fa-IR"/>
          <w:color w:val="111111"/>
          <w:sz w:val="28"/>
          <w:szCs w:val="28"/>
          <w:rtl/>
        </w:rPr>
        <w:t xml:space="preserve">فیاضیم از محیط فیاض‏</w:t>
      </w:r>
    </w:p>
    <w:p>
      <w:pPr>
        <w:pStyle w:val="BookText"/>
      </w:pPr>
      <w:r>
        <w:rPr>
          <w:rFonts w:ascii="IRNazanin" w:hAnsi="IRNazanin" w:eastAsia="IRNazanin" w:cs="IRNazanin"/>
          <w:lang w:bidi="fa-IR"/>
          <w:color w:val="111111"/>
          <w:sz w:val="28"/>
          <w:szCs w:val="28"/>
          <w:rtl/>
        </w:rPr>
        <w:t xml:space="preserve">و دیوانه فارسی رتبه بنفسه و جعل له دیباجة فی أحوال نفسه، بعثه إلی إیران لیشتهر بها.</w:t>
      </w:r>
    </w:p>
    <w:p>
      <w:pPr>
        <w:pStyle w:val="BookText"/>
      </w:pPr>
      <w:r>
        <w:rPr>
          <w:rFonts w:ascii="IRNazanin" w:hAnsi="IRNazanin" w:eastAsia="IRNazanin" w:cs="IRNazanin"/>
          <w:lang w:bidi="fa-IR"/>
          <w:color w:val="111111"/>
          <w:sz w:val="28"/>
          <w:szCs w:val="28"/>
          <w:rtl/>
        </w:rPr>
        <w:t xml:space="preserve">ترجمه فی (طبق 2- 486) و (نر 13- ص 482) و (خص 4- ص 52) و (سرو- ص 15) مفصلا و (میخانه ص 194- 200) و (سبک‏شناسی 3: 258، 290) و (حسینی- ص 249) و المستر براون فی 4: 161 و (تش- ص 345) و (همیشه بهار) و (خیال- 79) و قال فی (مع 2- 262) أن أخاه أبا الفضل علامی جمع أشعاره و رتب دیوانه فی 1006 له غیر الدیوان، خمسة مثنویات مرکز أدوار و سلیمان و بلقیس و نل و دمن و هفت کشور و أکبرنامه و لکنها غیر تام کما ذکرناها فی ج 7 ص 262 و له سواطع الإلهام أو تفسیر بی‏نقطه و موارد الکلم و هو الذی روج التشیع و حریة العقائد فی الهند بوسیلة أکبر شاه، و هو الذی أجاب عن اعتراضات عبد الله خان الأوزبکی التی اعترض فیها علی أکبر شاه و عقائده‏
</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bookmarkStart w:id="846" w:name="pg11704_122332"/>
    <w:bookmarkEnd w:id="846"/>
    <w:p>
      <w:pPr>
        <w:pStyle w:val="BookText"/>
      </w:pPr>
      <w:r>
        <w:rPr>
          <w:rFonts w:ascii="IRNazanin" w:hAnsi="IRNazanin" w:eastAsia="IRNazanin" w:cs="IRNazanin"/>
          <w:lang w:bidi="fa-IR"/>
          <w:color w:val="111111"/>
          <w:sz w:val="28"/>
          <w:szCs w:val="28"/>
          <w:rtl/>
        </w:rPr>
        <w:t xml:space="preserve">و توجد الجواب فی منشئاته. و کان له مکتبة عظیمة و هو أخ أبی الفضل المتخلص علامی المؤرخ صاحب آیین أکبری و تفسیر آیة الکرسی و غیرها و کلیات فیضی موجودة فی (الآصفیة) کتبت فی 1034 کما فی فهرسها. و قد رأی نسخه منه سنگلاخ بخط خلیل قلندر الهروی فذکره فی (امتحان 1- 256) و نسخه أخری فی (بنگاله) و أخری عند (الملک)</w:t>
      </w:r>
    </w:p>
    <w:p>
      <w:pPr>
        <w:pStyle w:val="Heading3"/>
      </w:pPr>
      <w:bookmarkStart w:id="7557" w:name="_Toc6253"/>
      <w:r>
        <w:t>5715- دیوان فیضی یزدی أو شعره‏</w:t>
      </w:r>
      <w:bookmarkEnd w:id="7557"/>
    </w:p>
    <w:p>
      <w:pPr>
        <w:pStyle w:val="BookText"/>
      </w:pPr>
      <w:r>
        <w:rPr>
          <w:rFonts w:ascii="IRNazanin" w:hAnsi="IRNazanin" w:eastAsia="IRNazanin" w:cs="IRNazanin"/>
          <w:lang w:bidi="fa-IR"/>
          <w:color w:val="111111"/>
          <w:sz w:val="28"/>
          <w:szCs w:val="28"/>
          <w:rtl/>
        </w:rPr>
        <w:t xml:space="preserve">کان عصارا ترجمه معاصره سام میرزا فی (تس 5- ص 120) و أورد مطلعین له.</w:t>
      </w:r>
    </w:p>
    <w:p>
      <w:pPr>
        <w:pStyle w:val="Heading3"/>
      </w:pPr>
      <w:bookmarkStart w:id="7558" w:name="_Toc6254"/>
      <w:r>
        <w:t>5716- دیوان فیضی یزدی‏</w:t>
      </w:r>
      <w:bookmarkEnd w:id="7558"/>
    </w:p>
    <w:p>
      <w:pPr>
        <w:pStyle w:val="BookText"/>
      </w:pPr>
      <w:r>
        <w:rPr>
          <w:rFonts w:ascii="IRNazanin" w:hAnsi="IRNazanin" w:eastAsia="IRNazanin" w:cs="IRNazanin"/>
          <w:lang w:bidi="fa-IR"/>
          <w:color w:val="111111"/>
          <w:sz w:val="28"/>
          <w:szCs w:val="28"/>
          <w:rtl/>
        </w:rPr>
        <w:t xml:space="preserve">ترجمه الآیتی فی (تش یز- ص 320) و قال فی وصفه درویش شعار فیضی قصار. ثم نسب إلیه الأبیات فی مادة تاریخ وفاه غزالی المشهدی (سنة نهصد و هشتاد) مطابق (980) و لفظه:</w:t>
      </w:r>
    </w:p>
    <w:p>
      <w:pPr>
        <w:pStyle w:val="BookText"/>
      </w:pPr>
      <w:r>
        <w:rPr>
          <w:rFonts w:ascii="IRNazanin" w:hAnsi="IRNazanin" w:eastAsia="IRNazanin" w:cs="IRNazanin"/>
          <w:lang w:bidi="fa-IR"/>
          <w:color w:val="111111"/>
          <w:sz w:val="28"/>
          <w:szCs w:val="28"/>
          <w:rtl/>
        </w:rPr>
        <w:t xml:space="preserve">عقل تاریخ وفاتش بدو طور</w:t>
      </w:r>
    </w:p>
    <w:p>
      <w:pPr>
        <w:pStyle w:val="BookText"/>
      </w:pPr>
      <w:r>
        <w:rPr>
          <w:rFonts w:ascii="Amiri" w:hAnsi="Amiri" w:eastAsia="Amiri" w:cs="Amiri"/>
          <w:lang w:bidi="ar-SA"/>
          <w:color w:val="111111"/>
          <w:sz w:val="28"/>
          <w:szCs w:val="28"/>
          <w:rtl/>
        </w:rPr>
        <w:t xml:space="preserve">(سنة نهصد و هشتاد) نوشت‏</w:t>
      </w:r>
    </w:p>
    <w:p>
      <w:pPr>
        <w:pStyle w:val="BookText"/>
      </w:pPr>
      <w:r>
        <w:rPr>
          <w:rFonts w:ascii="IRNazanin" w:hAnsi="IRNazanin" w:eastAsia="IRNazanin" w:cs="IRNazanin"/>
          <w:lang w:bidi="fa-IR"/>
          <w:color w:val="111111"/>
          <w:sz w:val="28"/>
          <w:szCs w:val="28"/>
          <w:rtl/>
        </w:rPr>
        <w:t xml:space="preserve">و هذه الأبیات و التاریخ نسبها النصرآبادی فی (نر 13- ص 481) إلی الشیخ فیضی بن الشیخ مبارک الذی مر بعنوان فیضی هندی الدکنی، و معها أبیات أخر فی تاریخ الخانقاه الذی بناه أکبر شاه بقوله:</w:t>
      </w:r>
    </w:p>
    <w:p>
      <w:pPr>
        <w:pStyle w:val="BookText"/>
      </w:pPr>
      <w:r>
        <w:rPr>
          <w:rFonts w:ascii="IRNazanin" w:hAnsi="IRNazanin" w:eastAsia="IRNazanin" w:cs="IRNazanin"/>
          <w:lang w:bidi="fa-IR"/>
          <w:color w:val="111111"/>
          <w:sz w:val="28"/>
          <w:szCs w:val="28"/>
          <w:rtl/>
        </w:rPr>
        <w:t xml:space="preserve">آن خانقهی که سوده بر چرخ سرش‏</w:t>
      </w:r>
    </w:p>
    <w:p>
      <w:pPr>
        <w:pStyle w:val="BookText"/>
      </w:pPr>
      <w:r>
        <w:rPr>
          <w:rFonts w:ascii="IRNazanin" w:hAnsi="IRNazanin" w:eastAsia="IRNazanin" w:cs="IRNazanin"/>
          <w:lang w:bidi="fa-IR"/>
          <w:color w:val="111111"/>
          <w:sz w:val="28"/>
          <w:szCs w:val="28"/>
          <w:rtl/>
        </w:rPr>
        <w:t xml:space="preserve">فرمود بنا پادشه بحر و برش‏</w:t>
      </w:r>
    </w:p>
    <w:p>
      <w:pPr>
        <w:pStyle w:val="BookText"/>
      </w:pPr>
      <w:r>
        <w:rPr>
          <w:rFonts w:ascii="IRNazanin" w:hAnsi="IRNazanin" w:eastAsia="IRNazanin" w:cs="IRNazanin"/>
          <w:lang w:bidi="fa-IR"/>
          <w:color w:val="111111"/>
          <w:sz w:val="28"/>
          <w:szCs w:val="28"/>
          <w:rtl/>
        </w:rPr>
        <w:t xml:space="preserve">تاریخ بنا است (خانقاه أکبر)</w:t>
      </w:r>
    </w:p>
    <w:p>
      <w:pPr>
        <w:pStyle w:val="BookText"/>
      </w:pPr>
      <w:r>
        <w:rPr>
          <w:rFonts w:ascii="IRNazanin" w:hAnsi="IRNazanin" w:eastAsia="IRNazanin" w:cs="IRNazanin"/>
          <w:lang w:bidi="fa-IR"/>
          <w:color w:val="111111"/>
          <w:sz w:val="28"/>
          <w:szCs w:val="28"/>
          <w:rtl/>
        </w:rPr>
        <w:t xml:space="preserve">(دروازه خانقاه) تاریخ درش‏</w:t>
      </w:r>
    </w:p>
    <w:p>
      <w:pPr>
        <w:pStyle w:val="BookText"/>
      </w:pPr>
      <w:r>
        <w:rPr>
          <w:rFonts w:ascii="IRNazanin" w:hAnsi="IRNazanin" w:eastAsia="IRNazanin" w:cs="IRNazanin"/>
          <w:lang w:bidi="fa-IR"/>
          <w:color w:val="111111"/>
          <w:sz w:val="28"/>
          <w:szCs w:val="28"/>
          <w:rtl/>
        </w:rPr>
        <w:t xml:space="preserve">و الظاهر أن التاریخین کلاهما للشیخ فیضی الدکنی الهندی کما ذکره النصرآبادی لقرب عصره إلیه. و لعل الیزدی الذی ترجمه آیتی هو بعینه العصار الذی ترجمه سام میرزا و العصار و القصار قد صحف أحدهما بالآخر.</w:t>
      </w:r>
    </w:p>
    <w:p>
      <w:pPr>
        <w:pStyle w:val="Heading3"/>
      </w:pPr>
      <w:bookmarkStart w:id="7559" w:name="_Toc6255"/>
      <w:r>
        <w:t>دیوان فیلسوف الشعراء</w:t>
      </w:r>
      <w:bookmarkEnd w:id="7559"/>
    </w:p>
    <w:p>
      <w:pPr>
        <w:pStyle w:val="BookText"/>
      </w:pPr>
      <w:r>
        <w:rPr>
          <w:rFonts w:ascii="IRNazanin" w:hAnsi="IRNazanin" w:eastAsia="IRNazanin" w:cs="IRNazanin"/>
          <w:lang w:bidi="fa-IR"/>
          <w:color w:val="111111"/>
          <w:sz w:val="28"/>
          <w:szCs w:val="28"/>
          <w:rtl/>
        </w:rPr>
        <w:t xml:space="preserve">هو لقب أبی العلاء المعری المذکور فی ص 45 کما طبع علی منتخبات اللزومیات فی إسکندریة 1319.
</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bookmarkStart w:id="847" w:name="pg11704_122333"/>
    <w:bookmarkEnd w:id="847"/>
    <w:p>
      <w:pPr>
        <w:pStyle w:val="Heading3"/>
      </w:pPr>
      <w:bookmarkStart w:id="7560" w:name="_Toc6256"/>
      <w:r>
        <w:t>ق‏</w:t>
      </w:r>
      <w:bookmarkEnd w:id="7560"/>
    </w:p>
    <w:p>
      <w:pPr>
        <w:pStyle w:val="Heading3"/>
      </w:pPr>
      <w:bookmarkStart w:id="7561" w:name="_Toc6257"/>
      <w:r>
        <w:t>5717- دیوان قاآنی شیرازی‏</w:t>
      </w:r>
      <w:bookmarkEnd w:id="7561"/>
    </w:p>
    <w:p>
      <w:pPr>
        <w:pStyle w:val="BookText"/>
      </w:pPr>
      <w:r>
        <w:rPr>
          <w:rFonts w:ascii="IRNazanin" w:hAnsi="IRNazanin" w:eastAsia="IRNazanin" w:cs="IRNazanin"/>
          <w:lang w:bidi="fa-IR"/>
          <w:color w:val="111111"/>
          <w:sz w:val="28"/>
          <w:szCs w:val="28"/>
          <w:rtl/>
        </w:rPr>
        <w:t xml:space="preserve">و هو حبیب الله بن محمد علی گلشن من إیل زنگنه بکرمانشاه ولد بشیراز فی 1222 و مات والده و هو ابن سبع سنین و سافر إلی مشهد خراسان و تعلم هناک و جاء إلی طهران فلقبه فتح علی شاه بلقب مجتهد الشعراء و لقبه محمد شاه حسان عجم و فی هدیة العارفین 1: 262 سحبان العجم. و کان ماهرا فی الأدب و الریاضیات و الکلام و الفلسفة و المنطق و تعلم اللغة الإفرنسیة. و مر له پریشان و مات 1272 کما فی (المآثر- ص 206) و (عم- ص 43) أو 1273 کما فی طرائق الحقائق 3: 149 أو 1270 کما فی (مع 2: 402) و قال پرتو أصفهانی فی رثائه:</w:t>
      </w:r>
    </w:p>
    <w:p>
      <w:pPr>
        <w:pStyle w:val="BookText"/>
      </w:pPr>
      <w:r>
        <w:rPr>
          <w:rFonts w:ascii="IRNazanin" w:hAnsi="IRNazanin" w:eastAsia="IRNazanin" w:cs="IRNazanin"/>
          <w:lang w:bidi="fa-IR"/>
          <w:color w:val="111111"/>
          <w:sz w:val="28"/>
          <w:szCs w:val="28"/>
          <w:rtl/>
        </w:rPr>
        <w:t xml:space="preserve">چون أجل آمدش بساقی دهر</w:t>
      </w:r>
    </w:p>
    <w:p>
      <w:pPr>
        <w:pStyle w:val="BookText"/>
      </w:pPr>
      <w:r>
        <w:rPr>
          <w:rFonts w:ascii="IRNazanin" w:hAnsi="IRNazanin" w:eastAsia="IRNazanin" w:cs="IRNazanin"/>
          <w:lang w:bidi="fa-IR"/>
          <w:color w:val="111111"/>
          <w:sz w:val="28"/>
          <w:szCs w:val="28"/>
          <w:rtl/>
        </w:rPr>
        <w:t xml:space="preserve">پی تاریخ گفت ساغر ده‏</w:t>
      </w:r>
    </w:p>
    <w:p>
      <w:pPr>
        <w:pStyle w:val="BookText"/>
      </w:pPr>
      <w:r>
        <w:rPr>
          <w:rFonts w:ascii="IRNazanin" w:hAnsi="IRNazanin" w:eastAsia="IRNazanin" w:cs="IRNazanin"/>
          <w:lang w:bidi="fa-IR"/>
          <w:color w:val="111111"/>
          <w:sz w:val="28"/>
          <w:szCs w:val="28"/>
          <w:rtl/>
        </w:rPr>
        <w:t xml:space="preserve">و قبره بقریة عبد العظیم بالری عند قبر المفسر أبی الفتوح الرازی. و ترجمه فی (فارس‏نامه 2: 150) أیضا. طبع دیوانه فی طهران مع پریشان فی 1270 و مع دیوان فروغی و أشعار جلال الدین میرزا بن فتح علی شاه فی 1302 و 1274- 1277. ثم فی 1298 ببمبئی 1322 و بعدها مکررا و بتبریز 1273 بخط جرعة المذکور فی ص 193 و بعدها مکررا. جمعها هو بنفسه فیما یقرب من سبعة عشر ألف بیت. و مر أحواله لحسن بلگرامی فی 7: 61 المطبوع فی مجلة أرمغان أیضا للسنة التاسعة ص 43 و ترجم أحواله الإقبال الآشتیانی فی مجلة یغما 2: 452 و إشراق خاوری فی مجلة أرمغان السنة الثامنة ص 576 و علی نقی بهروزی فی رسالة مستقلة نشرها کانون دانش پارس و مجلة یادگار ج 3 العدد 3 و مجلة یغما 2: 541 و علی دشتی فی مجلة آینده 1: 513 و یحیی دولت‏آبادی فی مجلة آینده 1: 409 و روحانی فی مجلة أرمغان 17: 713 و أحمد سهیلی خوانساری فی مجلة یغما 2: 249 و حیدر علی کمالی فی مجلة آینده 1: 525 و محیط الطباطبائی‏
</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bookmarkStart w:id="848" w:name="pg11704_122334"/>
    <w:bookmarkEnd w:id="848"/>
    <w:p>
      <w:pPr>
        <w:pStyle w:val="BookText"/>
      </w:pPr>
      <w:r>
        <w:rPr>
          <w:rFonts w:ascii="IRNazanin" w:hAnsi="IRNazanin" w:eastAsia="IRNazanin" w:cs="IRNazanin"/>
          <w:lang w:bidi="fa-IR"/>
          <w:color w:val="111111"/>
          <w:sz w:val="28"/>
          <w:szCs w:val="28"/>
          <w:rtl/>
        </w:rPr>
        <w:t xml:space="preserve">فی أرمغان 18: 57 و وحید الدستگردی فی أرمغان 8: 285 و إقبال یغمائی فی أرمغان 25: 266 و حبیب یغمائی فی مجلة یغما 7: 161 کما ذکر فی فهرست مقالات فارسی.</w:t>
      </w:r>
    </w:p>
    <w:p>
      <w:pPr>
        <w:pStyle w:val="Heading3"/>
      </w:pPr>
      <w:bookmarkStart w:id="7562" w:name="_Toc6258"/>
      <w:r>
        <w:t>5718- دیوان قائلی سبزواری أو شعره‏</w:t>
      </w:r>
      <w:bookmarkEnd w:id="7562"/>
    </w:p>
    <w:p>
      <w:pPr>
        <w:pStyle w:val="BookText"/>
      </w:pPr>
      <w:r>
        <w:rPr>
          <w:rFonts w:ascii="IRNazanin" w:hAnsi="IRNazanin" w:eastAsia="IRNazanin" w:cs="IRNazanin"/>
          <w:lang w:bidi="fa-IR"/>
          <w:color w:val="111111"/>
          <w:sz w:val="28"/>
          <w:szCs w:val="28"/>
          <w:rtl/>
        </w:rPr>
        <w:t xml:space="preserve">کان نزیل قزوین فی زمن تألیف سام میرزا لتذکرته 957 کما ترجمه فی (تس 5- ص 135) و أورد مطلع غزله.</w:t>
      </w:r>
    </w:p>
    <w:p>
      <w:pPr>
        <w:pStyle w:val="Heading3"/>
      </w:pPr>
      <w:bookmarkStart w:id="7563" w:name="_Toc6259"/>
      <w:r>
        <w:t>دیوان قائم مقام‏</w:t>
      </w:r>
      <w:bookmarkEnd w:id="7563"/>
    </w:p>
    <w:p>
      <w:pPr>
        <w:pStyle w:val="BookText"/>
      </w:pPr>
      <w:r>
        <w:rPr>
          <w:rFonts w:ascii="IRNazanin" w:hAnsi="IRNazanin" w:eastAsia="IRNazanin" w:cs="IRNazanin"/>
          <w:lang w:bidi="fa-IR"/>
          <w:color w:val="111111"/>
          <w:sz w:val="28"/>
          <w:szCs w:val="28"/>
          <w:rtl/>
        </w:rPr>
        <w:t xml:space="preserve">مر بعنوان دیوان ثنائی فراهانی لسید الوزراء المیرزا أبی القاسم بن المیرزا عیسی المدعو بمیرزا بزرگ الحسینی الفراهانی (1193- 1251) و قد طبع بمباشرة الوحید الدستگردی و جعله ضمیمة السنة العاشرة من مجلة أرمغان فی 1344 و ألحق بآخره</w:t>
      </w:r>
    </w:p>
    <w:p>
      <w:pPr>
        <w:pStyle w:val="BookText"/>
      </w:pPr>
      <w:r>
        <w:rPr>
          <w:rFonts w:ascii="IRNazanin" w:hAnsi="IRNazanin" w:eastAsia="IRNazanin" w:cs="IRNazanin"/>
          <w:lang w:bidi="fa-IR"/>
          <w:color w:val="111111"/>
          <w:sz w:val="28"/>
          <w:szCs w:val="28"/>
          <w:rtl/>
        </w:rPr>
        <w:t xml:space="preserve">جلایرنامه و فی مقدمته ترجمه الناظم مفصلا بقلم حفیده المیرزا عبد الوهاب الحسینی و أورد فی (مع: 2 ص 87) قرب مائتین و خمسین بیتا من شعره.</w:t>
      </w:r>
    </w:p>
    <w:p>
      <w:pPr>
        <w:pStyle w:val="BookText"/>
      </w:pPr>
      <w:r>
        <w:rPr>
          <w:rFonts w:ascii="IRNazanin" w:hAnsi="IRNazanin" w:eastAsia="IRNazanin" w:cs="IRNazanin"/>
          <w:lang w:bidi="fa-IR"/>
          <w:color w:val="111111"/>
          <w:sz w:val="28"/>
          <w:szCs w:val="28"/>
          <w:rtl/>
        </w:rPr>
        <w:t xml:space="preserve">و طبع منشئاته بطهران بتصحیح جهانگیر قائم مقامی فی 412 ص فی 1337 ش. و مر فی ص 49 و 185.</w:t>
      </w:r>
    </w:p>
    <w:p>
      <w:pPr>
        <w:pStyle w:val="Heading3"/>
      </w:pPr>
      <w:bookmarkStart w:id="7564" w:name="_Toc6260"/>
      <w:r>
        <w:t>5719- دیوان قائم مقام فراهانی‏</w:t>
      </w:r>
      <w:bookmarkEnd w:id="7564"/>
    </w:p>
    <w:p>
      <w:pPr>
        <w:pStyle w:val="BookText"/>
      </w:pPr>
      <w:r>
        <w:rPr>
          <w:rFonts w:ascii="IRNazanin" w:hAnsi="IRNazanin" w:eastAsia="IRNazanin" w:cs="IRNazanin"/>
          <w:lang w:bidi="fa-IR"/>
          <w:color w:val="111111"/>
          <w:sz w:val="28"/>
          <w:szCs w:val="28"/>
          <w:rtl/>
        </w:rPr>
        <w:t xml:space="preserve">و هو سید الوزراء المیرزا عیسی المدعو بمیرزا بزرگ بن المیرزا محمد حسن بن عیسی الحسینی الفراهانی المتوفی 1237 أو 1238 هو والد ثنائی المذکور آنفا. ترجمه فی (مع: 2 ص 425) و أورد أربعة عشر بیتا من شعره. و مر له فی (ج 1 ص 296) أحکام الجهاد و فی (ج 5- ص 297) الجهادیة و ذکر شرح أحواله مفصلا فی مقدمه دیوان ولده ثنائی و جاء ذکره فی ریحانة الأدب.</w:t>
      </w:r>
    </w:p>
    <w:p>
      <w:pPr>
        <w:pStyle w:val="Heading3"/>
      </w:pPr>
      <w:bookmarkStart w:id="7565" w:name="_Toc6261"/>
      <w:r>
        <w:t>دیوان قائم‏مقامی‏</w:t>
      </w:r>
      <w:bookmarkEnd w:id="7565"/>
    </w:p>
    <w:p>
      <w:pPr>
        <w:pStyle w:val="BookText"/>
      </w:pPr>
      <w:r>
        <w:rPr>
          <w:rFonts w:ascii="IRNazanin" w:hAnsi="IRNazanin" w:eastAsia="IRNazanin" w:cs="IRNazanin"/>
          <w:lang w:bidi="fa-IR"/>
          <w:color w:val="111111"/>
          <w:sz w:val="28"/>
          <w:szCs w:val="28"/>
          <w:rtl/>
        </w:rPr>
        <w:t xml:space="preserve">مر بعنوان أدیب الممالک فی ص 66. و طبع له خان ملک ساسانی (حسین ملک الکتاب گلبن) منتخب أشعاره باسم آگهی‏نامه فی برلین فی 1301 ش فی 32 ص.</w:t>
      </w:r>
    </w:p>
    <w:p>
      <w:pPr>
        <w:pStyle w:val="Heading3"/>
      </w:pPr>
      <w:bookmarkStart w:id="7566" w:name="_Toc6262"/>
      <w:r>
        <w:t>5720- دیوان قائمی‏</w:t>
      </w:r>
      <w:bookmarkEnd w:id="7566"/>
    </w:p>
    <w:p>
      <w:pPr>
        <w:pStyle w:val="BookText"/>
      </w:pPr>
      <w:r>
        <w:rPr>
          <w:rFonts w:ascii="IRNazanin" w:hAnsi="IRNazanin" w:eastAsia="IRNazanin" w:cs="IRNazanin"/>
          <w:lang w:bidi="fa-IR"/>
          <w:color w:val="111111"/>
          <w:sz w:val="28"/>
          <w:szCs w:val="28"/>
          <w:rtl/>
        </w:rPr>
        <w:t xml:space="preserve">موجود فی مکتبة لعله لی بأستانبول، و کذا فی مکتبة السلطان عثمان الثالث کما فی فهرسیهما و لعله الآتی.</w:t>
      </w:r>
    </w:p>
    <w:p>
      <w:pPr>
        <w:pStyle w:val="Heading3"/>
      </w:pPr>
      <w:bookmarkStart w:id="7567" w:name="_Toc6263"/>
      <w:r>
        <w:t>5721- دیوان قائمی قمی أو شعره‏</w:t>
      </w:r>
      <w:bookmarkEnd w:id="7567"/>
    </w:p>
    <w:p>
      <w:pPr>
        <w:pStyle w:val="BookText"/>
      </w:pPr>
      <w:r>
        <w:rPr>
          <w:rFonts w:ascii="IRNazanin" w:hAnsi="IRNazanin" w:eastAsia="IRNazanin" w:cs="IRNazanin"/>
          <w:lang w:bidi="fa-IR"/>
          <w:color w:val="111111"/>
          <w:sz w:val="28"/>
          <w:szCs w:val="28"/>
          <w:rtl/>
        </w:rPr>
        <w:t xml:space="preserve">عد فی کتاب النقض ص 239 و 628 من شعراء الشیعة.</w:t>
      </w:r>
    </w:p>
    <w:p>
      <w:pPr>
        <w:pStyle w:val="Heading3"/>
      </w:pPr>
      <w:bookmarkStart w:id="7568" w:name="_Toc6264"/>
      <w:r>
        <w:t>5722- دیوان قابل ایروانی أو شعره‏</w:t>
      </w:r>
      <w:bookmarkEnd w:id="7568"/>
    </w:p>
    <w:p>
      <w:pPr>
        <w:pStyle w:val="BookText"/>
      </w:pPr>
      <w:r>
        <w:rPr>
          <w:rFonts w:ascii="IRNazanin" w:hAnsi="IRNazanin" w:eastAsia="IRNazanin" w:cs="IRNazanin"/>
          <w:lang w:bidi="fa-IR"/>
          <w:color w:val="111111"/>
          <w:sz w:val="28"/>
          <w:szCs w:val="28"/>
          <w:rtl/>
        </w:rPr>
        <w:t xml:space="preserve">ترجمه معاصره فی (مع: ج 2: ص 424) و ذکر أن اسمه حسن علی خان بن محمد خان القاجار الإیروانی من ملازمی الشاه‏زاده‏
</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bookmarkStart w:id="849" w:name="pg11704_122335"/>
    <w:bookmarkEnd w:id="849"/>
    <w:p>
      <w:pPr>
        <w:pStyle w:val="BookText"/>
      </w:pPr>
      <w:r>
        <w:rPr>
          <w:rFonts w:ascii="IRNazanin" w:hAnsi="IRNazanin" w:eastAsia="IRNazanin" w:cs="IRNazanin"/>
          <w:lang w:bidi="fa-IR"/>
          <w:color w:val="111111"/>
          <w:sz w:val="28"/>
          <w:szCs w:val="28"/>
          <w:rtl/>
        </w:rPr>
        <w:t xml:space="preserve">محمود میرزا بن فتح علی شاه و نقل بعض شعره عن سفینة المحمود.</w:t>
      </w:r>
    </w:p>
    <w:p>
      <w:pPr>
        <w:pStyle w:val="Heading3"/>
      </w:pPr>
      <w:bookmarkStart w:id="7569" w:name="_Toc6265"/>
      <w:r>
        <w:t>5723- دیوان قابل بلگرامی‏</w:t>
      </w:r>
      <w:bookmarkEnd w:id="7569"/>
    </w:p>
    <w:p>
      <w:pPr>
        <w:pStyle w:val="BookText"/>
      </w:pPr>
      <w:r>
        <w:rPr>
          <w:rFonts w:ascii="IRNazanin" w:hAnsi="IRNazanin" w:eastAsia="IRNazanin" w:cs="IRNazanin"/>
          <w:lang w:bidi="fa-IR"/>
          <w:color w:val="111111"/>
          <w:sz w:val="28"/>
          <w:szCs w:val="28"/>
          <w:rtl/>
        </w:rPr>
        <w:t xml:space="preserve">السید عبد الله. أورد شعره فی (سرو- ص 340) مفصلا و (نتایج- ص 571) و قال مات 1132 و کان خطاطا.</w:t>
      </w:r>
    </w:p>
    <w:p>
      <w:pPr>
        <w:pStyle w:val="Heading3"/>
      </w:pPr>
      <w:bookmarkStart w:id="7570" w:name="_Toc6266"/>
      <w:r>
        <w:t>5724- دیوان قابل شیرازی أو شعره‏</w:t>
      </w:r>
      <w:bookmarkEnd w:id="7570"/>
    </w:p>
    <w:p>
      <w:pPr>
        <w:pStyle w:val="BookText"/>
      </w:pPr>
      <w:r>
        <w:rPr>
          <w:rFonts w:ascii="IRNazanin" w:hAnsi="IRNazanin" w:eastAsia="IRNazanin" w:cs="IRNazanin"/>
          <w:lang w:bidi="fa-IR"/>
          <w:color w:val="111111"/>
          <w:sz w:val="28"/>
          <w:szCs w:val="28"/>
          <w:rtl/>
        </w:rPr>
        <w:t xml:space="preserve">ترجمه و أورد شعره فی (عم- ص 506).</w:t>
      </w:r>
    </w:p>
    <w:p>
      <w:pPr>
        <w:pStyle w:val="Heading3"/>
      </w:pPr>
      <w:bookmarkStart w:id="7571" w:name="_Toc6267"/>
      <w:r>
        <w:t>5725- دیوان قابل کشمیری أو شعره‏</w:t>
      </w:r>
      <w:bookmarkEnd w:id="7571"/>
    </w:p>
    <w:p>
      <w:pPr>
        <w:pStyle w:val="BookText"/>
      </w:pPr>
      <w:r>
        <w:rPr>
          <w:rFonts w:ascii="IRNazanin" w:hAnsi="IRNazanin" w:eastAsia="IRNazanin" w:cs="IRNazanin"/>
          <w:lang w:bidi="fa-IR"/>
          <w:color w:val="111111"/>
          <w:sz w:val="28"/>
          <w:szCs w:val="28"/>
          <w:rtl/>
        </w:rPr>
        <w:t xml:space="preserve">و اسمه محمد پناه تلمذ علی بیدل و مات 1170 أورد شعره فی (نتایج- ص 572) و (حسینی- ص 272).</w:t>
      </w:r>
    </w:p>
    <w:p>
      <w:pPr>
        <w:pStyle w:val="Heading3"/>
      </w:pPr>
      <w:bookmarkStart w:id="7572" w:name="_Toc6268"/>
      <w:r>
        <w:t>5726- دیوان قابل هندی أو شعره‏</w:t>
      </w:r>
      <w:bookmarkEnd w:id="7572"/>
    </w:p>
    <w:p>
      <w:pPr>
        <w:pStyle w:val="BookText"/>
      </w:pPr>
      <w:r>
        <w:rPr>
          <w:rFonts w:ascii="IRNazanin" w:hAnsi="IRNazanin" w:eastAsia="IRNazanin" w:cs="IRNazanin"/>
          <w:lang w:bidi="fa-IR"/>
          <w:color w:val="111111"/>
          <w:sz w:val="28"/>
          <w:szCs w:val="28"/>
          <w:rtl/>
        </w:rPr>
        <w:t xml:space="preserve">کان تلمیذ عبد القادر بیدل. و کان یتخلص أولا صنعت ثم بدله إلی قابل. و مات 1140 أورد شعره فی (گلشن- ص 225). و لعله متحد مع ما قبله.</w:t>
      </w:r>
    </w:p>
    <w:p>
      <w:pPr>
        <w:pStyle w:val="Heading3"/>
      </w:pPr>
      <w:bookmarkStart w:id="7573" w:name="_Toc6269"/>
      <w:r>
        <w:t>5727- دیوان قابلی أو شعره‏</w:t>
      </w:r>
      <w:bookmarkEnd w:id="7573"/>
    </w:p>
    <w:p>
      <w:pPr>
        <w:pStyle w:val="BookText"/>
      </w:pPr>
      <w:r>
        <w:rPr>
          <w:rFonts w:ascii="IRNazanin" w:hAnsi="IRNazanin" w:eastAsia="IRNazanin" w:cs="IRNazanin"/>
          <w:lang w:bidi="fa-IR"/>
          <w:color w:val="111111"/>
          <w:sz w:val="28"/>
          <w:szCs w:val="28"/>
          <w:rtl/>
        </w:rPr>
        <w:t xml:space="preserve">و هو ترشیزی کما فی (لط 3- ص 66) و أورد الشاه محمد القزوینی فی (قز مج 3- ص 240) الشیرازی بدل الترشیزی و ذکر فی الموضعین شعره الغیر الموزون.</w:t>
      </w:r>
    </w:p>
    <w:p>
      <w:pPr>
        <w:pStyle w:val="Heading3"/>
      </w:pPr>
      <w:bookmarkStart w:id="7574" w:name="_Toc6270"/>
      <w:r>
        <w:t>5728- دیوان قابوس‏</w:t>
      </w:r>
      <w:bookmarkEnd w:id="7574"/>
    </w:p>
    <w:p>
      <w:pPr>
        <w:pStyle w:val="BookText"/>
      </w:pPr>
      <w:r>
        <w:rPr>
          <w:rFonts w:ascii="IRNazanin" w:hAnsi="IRNazanin" w:eastAsia="IRNazanin" w:cs="IRNazanin"/>
          <w:lang w:bidi="fa-IR"/>
          <w:color w:val="111111"/>
          <w:sz w:val="28"/>
          <w:szCs w:val="28"/>
          <w:rtl/>
        </w:rPr>
        <w:t xml:space="preserve">هو شمس المعالی السلطان قابوس بن وشمگیر الدیلمی من آل زیار. ترجمه فی (تش- ص 19) و (مع: ج 1 ص 52 و ص 479) قال و له شعر کثیر بالعربیة و الفارسیة و أورد فی الموضعین بعض الفارسی منها و ذکر أن مدة ملکه کانت عشرون سنة و قتل 403 کما فی شاهد صادق و جلس مقامه ولده فلک المعالی منوچهر، ممدوح أبی النجم أحمد المنوجهری الدامغانی الذی تخلص باسم ممدوحه.</w:t>
      </w:r>
    </w:p>
    <w:p>
      <w:pPr>
        <w:pStyle w:val="BookText"/>
      </w:pPr>
      <w:r>
        <w:rPr>
          <w:rFonts w:ascii="IRNazanin" w:hAnsi="IRNazanin" w:eastAsia="IRNazanin" w:cs="IRNazanin"/>
          <w:lang w:bidi="fa-IR"/>
          <w:color w:val="111111"/>
          <w:sz w:val="28"/>
          <w:szCs w:val="28"/>
          <w:rtl/>
        </w:rPr>
        <w:t xml:space="preserve">طبع دیوانه العربی مختصرا بمصر. و باسمه ألف حفیده کاووس بن إسکندر بن منوچهر الآتی کتابه قابوس‏نامه فی الأخلاق و تدبیر سیاسة المدن، المطبوع مکررا منها بطهران مع توزوک جهانگیری فی 1285 فی 228 ص. و کتب عباس بن محمد علی إقبال الآشتیانی رسالة فی أحواله سماها قابوس وشمگیر زیاری طبعت ببرلن فی 1342 فی 28+ 160 ص. و ترجم أحواله علی قویم فی مجلة أرمغان السنة 26: فی الصفحة 46.</w:t>
      </w:r>
    </w:p>
    <w:p>
      <w:pPr>
        <w:pStyle w:val="Heading3"/>
      </w:pPr>
      <w:bookmarkStart w:id="7575" w:name="_Toc6271"/>
      <w:r>
        <w:t>5729- دیوان قادر تونی‏</w:t>
      </w:r>
      <w:bookmarkEnd w:id="7575"/>
    </w:p>
    <w:p>
      <w:pPr>
        <w:pStyle w:val="BookText"/>
      </w:pPr>
      <w:r>
        <w:rPr>
          <w:rFonts w:ascii="IRNazanin" w:hAnsi="IRNazanin" w:eastAsia="IRNazanin" w:cs="IRNazanin"/>
          <w:lang w:bidi="fa-IR"/>
          <w:color w:val="111111"/>
          <w:sz w:val="28"/>
          <w:szCs w:val="28"/>
          <w:rtl/>
        </w:rPr>
        <w:t xml:space="preserve">و اسمه المیرزا عبد القادر. کان ماهرا فی المثنوی. و نظم مثنویا فی حرب قندهار و إیران أورد بعضه فی (گلشن- ص 325).
</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bookmarkStart w:id="850" w:name="pg11704_122336"/>
    <w:bookmarkEnd w:id="850"/>
    <w:p>
      <w:pPr>
        <w:pStyle w:val="Heading3"/>
      </w:pPr>
      <w:bookmarkStart w:id="7576" w:name="_Toc6272"/>
      <w:r>
        <w:t>5730- دیوان قادر مشهدی‏</w:t>
      </w:r>
      <w:bookmarkEnd w:id="7576"/>
    </w:p>
    <w:p>
      <w:pPr>
        <w:pStyle w:val="BookText"/>
      </w:pPr>
      <w:r>
        <w:rPr>
          <w:rFonts w:ascii="IRNazanin" w:hAnsi="IRNazanin" w:eastAsia="IRNazanin" w:cs="IRNazanin"/>
          <w:lang w:bidi="fa-IR"/>
          <w:color w:val="111111"/>
          <w:sz w:val="28"/>
          <w:szCs w:val="28"/>
          <w:rtl/>
        </w:rPr>
        <w:t xml:space="preserve">و اسمه وزیر خان بن محمد طاهر خان من أولاد صاحب دیوان چنگیز. کان مقربا عند عالم‏گیر ثم فرخ سیر ثم انزوی فی أکبرآباد و مات 1135 أورد شعره فی (گلشن- ص 325) و (مطلع- 2: 440) و لعله المذکور فی (سرخوش- ص 90).</w:t>
      </w:r>
    </w:p>
    <w:p>
      <w:pPr>
        <w:pStyle w:val="Heading3"/>
      </w:pPr>
      <w:bookmarkStart w:id="7577" w:name="_Toc6273"/>
      <w:r>
        <w:t>5731- دیوان قادری‏</w:t>
      </w:r>
      <w:bookmarkEnd w:id="7577"/>
    </w:p>
    <w:p>
      <w:pPr>
        <w:pStyle w:val="BookText"/>
      </w:pPr>
      <w:r>
        <w:rPr>
          <w:rFonts w:ascii="IRNazanin" w:hAnsi="IRNazanin" w:eastAsia="IRNazanin" w:cs="IRNazanin"/>
          <w:lang w:bidi="fa-IR"/>
          <w:color w:val="111111"/>
          <w:sz w:val="28"/>
          <w:szCs w:val="28"/>
          <w:rtl/>
        </w:rPr>
        <w:t xml:space="preserve">لدارا شکوه محمد بن شاه‏جهان بن جهانگیر بن أکبر بن همایون بن ظهیر الدین محمد بابر (رأس السلسلة الگورکانیة فی الهند) ابن عمر شیخ بن أبی سعید بن محمد بن میران شاه ابن الأمیر تیمور الگورکانی. ولد بإجمیر 1024 و قتل بید أخیه اورنگ زیب بعد أن غلب علیه فی 1069 بتهمة الزندقة. و تلمذ علی معین الدین الچشتی و ملا شاه من السلسلة القادریة و دخل فی الفرقة القادریة فی 1049 و تخلص قادری. و کان حر الفکر کجده أکبر شاه. و له مذاکرات مع بابا لآل و غیره من حکماء الهنود. و له غیر الدیوان مؤلفات فی التصوف الإسلامی و التصوف الهندی. فألف سفینة الأولیاء طبع بکانپور و سکینه الأولیاء مطبوع و رسالة حق‏نما و حسنات العارفین طبع بلاهور کلها فی التصوف الإسلامی، و مجمع البحرین مطبوع و سر الأسرار أو سر أکبر فی التصوف الهندی. و ینسب إلیه کتب أخر ذکرها السید محمد رضا جلالی نائنی فی مقدمه رسالتی حق‏نما و مجمع البحرین المطبوعان بطهران فی 1375 و دیوانه یسمی إکسیر أعظم کما فی خزینة الأصفیاء و موجود فی الهند عند بهادر سینک، و أخری عند خان بهادر ظفر حسن، و نسخه فی (بنگاله) یشتمل علی 133 غزلا و 28 رباعیة و کلها عرفانیة. و طبع له مثنوی غریب‏نامه فی مجموعة أرمغان عثمان‏شاهی فی ص 391- 400 فی الهند فی 1328. و ترجم دارا شکوه فی (سرخوش- ص 89) و (نتایج- ص 566) و (حسینی ص- 266) و (تش- ص- 350) و مقالات الشعراء- ص 500 و (مع 1: 465) و ریحانة الأدب و مجلة أریانتال.</w:t>
      </w:r>
    </w:p>
    <w:p>
      <w:pPr>
        <w:pStyle w:val="Heading3"/>
      </w:pPr>
      <w:bookmarkStart w:id="7578" w:name="_Toc6274"/>
      <w:r>
        <w:t>5732- دیوان قادر خراسانی‏</w:t>
      </w:r>
      <w:bookmarkEnd w:id="7578"/>
    </w:p>
    <w:p>
      <w:pPr>
        <w:pStyle w:val="BookText"/>
      </w:pPr>
      <w:r>
        <w:rPr>
          <w:rFonts w:ascii="IRNazanin" w:hAnsi="IRNazanin" w:eastAsia="IRNazanin" w:cs="IRNazanin"/>
          <w:lang w:bidi="fa-IR"/>
          <w:color w:val="111111"/>
          <w:sz w:val="28"/>
          <w:szCs w:val="28"/>
          <w:rtl/>
        </w:rPr>
        <w:t xml:space="preserve">و هو السید أبو القاسم المشهدی ساکن شیراز. کان من قراء عهد الشاه عباس (1052- 1078) له نظم اللآلی فی التجوید نظمه فی 1061 فی 89 بیتا. طبع مکررا. و کان حیا إلی 1083 کما ذکرناه فی 3: 364 و ذکر فی الریحانة. و هو غیر ما ذکره فی (گلشن- 327) بعنوان قاسم بیضاوی.
</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bookmarkStart w:id="851" w:name="pg11704_122337"/>
    <w:bookmarkEnd w:id="851"/>
    <w:p>
      <w:pPr>
        <w:pStyle w:val="Heading3"/>
      </w:pPr>
      <w:bookmarkStart w:id="7579" w:name="_Toc6275"/>
      <w:r>
        <w:t>5733- دیوان قاری تبتی‏</w:t>
      </w:r>
      <w:bookmarkEnd w:id="7579"/>
    </w:p>
    <w:p>
      <w:pPr>
        <w:pStyle w:val="BookText"/>
      </w:pPr>
      <w:r>
        <w:rPr>
          <w:rFonts w:ascii="IRNazanin" w:hAnsi="IRNazanin" w:eastAsia="IRNazanin" w:cs="IRNazanin"/>
          <w:lang w:bidi="fa-IR"/>
          <w:color w:val="111111"/>
          <w:sz w:val="28"/>
          <w:szCs w:val="28"/>
          <w:rtl/>
        </w:rPr>
        <w:t xml:space="preserve">و اسمه غازی و تخلصه قاری کما مر فی ص 783 عن (نر 3- ص 60).</w:t>
      </w:r>
    </w:p>
    <w:p>
      <w:pPr>
        <w:pStyle w:val="Heading3"/>
      </w:pPr>
      <w:bookmarkStart w:id="7580" w:name="_Toc6276"/>
      <w:r>
        <w:t>5734- دیوان قاری هندی‏</w:t>
      </w:r>
      <w:bookmarkEnd w:id="7580"/>
    </w:p>
    <w:p>
      <w:pPr>
        <w:pStyle w:val="BookText"/>
      </w:pPr>
      <w:r>
        <w:rPr>
          <w:rFonts w:ascii="IRNazanin" w:hAnsi="IRNazanin" w:eastAsia="IRNazanin" w:cs="IRNazanin"/>
          <w:lang w:bidi="fa-IR"/>
          <w:color w:val="111111"/>
          <w:sz w:val="28"/>
          <w:szCs w:val="28"/>
          <w:rtl/>
        </w:rPr>
        <w:t xml:space="preserve">طبع بلاهور فی 468 ص. فی 1923 م. مع مقدمه فی أحوال الشاعر لعبد الحکیم خان.</w:t>
      </w:r>
    </w:p>
    <w:p>
      <w:pPr>
        <w:pStyle w:val="Heading3"/>
      </w:pPr>
      <w:bookmarkStart w:id="7581" w:name="_Toc6277"/>
      <w:r>
        <w:t>دیوان قاری یزدی‏</w:t>
      </w:r>
      <w:bookmarkEnd w:id="7581"/>
    </w:p>
    <w:p>
      <w:pPr>
        <w:pStyle w:val="BookText"/>
      </w:pPr>
      <w:r>
        <w:rPr>
          <w:rFonts w:ascii="IRNazanin" w:hAnsi="IRNazanin" w:eastAsia="IRNazanin" w:cs="IRNazanin"/>
          <w:lang w:bidi="fa-IR"/>
          <w:color w:val="111111"/>
          <w:sz w:val="28"/>
          <w:szCs w:val="28"/>
          <w:rtl/>
        </w:rPr>
        <w:t xml:space="preserve">و اسمه محمود صاحب دیوان ألبسه المذکور فی ص 89 و قال براون فی 4: 160 أنه مات 993 و هو غلط لما ذکرناه هناک.</w:t>
      </w:r>
    </w:p>
    <w:p>
      <w:pPr>
        <w:pStyle w:val="Heading3"/>
      </w:pPr>
      <w:bookmarkStart w:id="7582" w:name="_Toc6278"/>
      <w:r>
        <w:t>دیوان قاسم‏</w:t>
      </w:r>
      <w:bookmarkEnd w:id="7582"/>
    </w:p>
    <w:p>
      <w:pPr>
        <w:pStyle w:val="BookText"/>
      </w:pPr>
      <w:r>
        <w:rPr>
          <w:rFonts w:ascii="IRNazanin" w:hAnsi="IRNazanin" w:eastAsia="IRNazanin" w:cs="IRNazanin"/>
          <w:lang w:bidi="fa-IR"/>
          <w:color w:val="111111"/>
          <w:sz w:val="28"/>
          <w:szCs w:val="28"/>
          <w:rtl/>
        </w:rPr>
        <w:t xml:space="preserve">فارسی یوجد فی مکتبة راجه فیض‏آباد کما فی فهرسها المخطوط. و طبع دیوان قاسم بلکهنو فی 81 ص. فی 1294- 1877 م. و لعله أحد الآتیین بعد هذا.</w:t>
      </w:r>
    </w:p>
    <w:p>
      <w:pPr>
        <w:pStyle w:val="Heading3"/>
      </w:pPr>
      <w:bookmarkStart w:id="7583" w:name="_Toc6279"/>
      <w:r>
        <w:t>5735- دیوان قاسم أردبیلی‏</w:t>
      </w:r>
      <w:bookmarkEnd w:id="7583"/>
    </w:p>
    <w:p>
      <w:pPr>
        <w:pStyle w:val="BookText"/>
      </w:pPr>
      <w:r>
        <w:rPr>
          <w:rFonts w:ascii="IRNazanin" w:hAnsi="IRNazanin" w:eastAsia="IRNazanin" w:cs="IRNazanin"/>
          <w:lang w:bidi="fa-IR"/>
          <w:color w:val="111111"/>
          <w:sz w:val="28"/>
          <w:szCs w:val="28"/>
          <w:rtl/>
        </w:rPr>
        <w:t xml:space="preserve">هو ابن فائض أردبیلی المذکور فی ص 805. توجد أشعاره فی جنگ کتابته 1081 فی مکتبة دهخدا بطهران.</w:t>
      </w:r>
    </w:p>
    <w:p>
      <w:pPr>
        <w:pStyle w:val="Heading3"/>
      </w:pPr>
      <w:bookmarkStart w:id="7584" w:name="_Toc6280"/>
      <w:r>
        <w:t>دیوان قاسم أردستانی‏</w:t>
      </w:r>
      <w:bookmarkEnd w:id="7584"/>
    </w:p>
    <w:p>
      <w:pPr>
        <w:pStyle w:val="BookText"/>
      </w:pPr>
      <w:r>
        <w:rPr>
          <w:rFonts w:ascii="IRNazanin" w:hAnsi="IRNazanin" w:eastAsia="IRNazanin" w:cs="IRNazanin"/>
          <w:lang w:bidi="fa-IR"/>
          <w:color w:val="111111"/>
          <w:sz w:val="28"/>
          <w:szCs w:val="28"/>
          <w:rtl/>
        </w:rPr>
        <w:t xml:space="preserve">کما فی (تش- 185) و (مسرت- ص 114) راجع دیوان قاسمی أردستانی، و قاسم قمی.</w:t>
      </w:r>
    </w:p>
    <w:p>
      <w:pPr>
        <w:pStyle w:val="Heading3"/>
      </w:pPr>
      <w:bookmarkStart w:id="7585" w:name="_Toc6281"/>
      <w:r>
        <w:t>5736- دیوان قاسم أنوار</w:t>
      </w:r>
      <w:bookmarkEnd w:id="7585"/>
    </w:p>
    <w:p>
      <w:pPr>
        <w:pStyle w:val="BookText"/>
      </w:pPr>
      <w:r>
        <w:rPr>
          <w:rFonts w:ascii="IRNazanin" w:hAnsi="IRNazanin" w:eastAsia="IRNazanin" w:cs="IRNazanin"/>
          <w:lang w:bidi="fa-IR"/>
          <w:color w:val="111111"/>
          <w:sz w:val="28"/>
          <w:szCs w:val="28"/>
          <w:rtl/>
        </w:rPr>
        <w:t xml:space="preserve">هو معین الدین علی بن نصیر بن هارون أبی القاسم الحسینی التبریزی المعروف بقاسمی کما ذکر فی المقدمة المنثورة لمثنویة أنیس العارفین.</w:t>
      </w:r>
    </w:p>
    <w:p>
      <w:pPr>
        <w:pStyle w:val="BookText"/>
      </w:pPr>
      <w:r>
        <w:rPr>
          <w:rFonts w:ascii="IRNazanin" w:hAnsi="IRNazanin" w:eastAsia="IRNazanin" w:cs="IRNazanin"/>
          <w:lang w:bidi="fa-IR"/>
          <w:color w:val="111111"/>
          <w:sz w:val="28"/>
          <w:szCs w:val="28"/>
          <w:rtl/>
        </w:rPr>
        <w:t xml:space="preserve">کان یتخلص أنوار و قاسم. ولد بسراب تبریز، فی 757 و تلمذ علی الشیخ صدر الدین الأردبیلی ابن الشیخ صفی جد الصفویة فلقبه بقاسم الأنوار. و ساح بلاد قزوین و گیلان و مازندران و گرگان و سمرقند و کرمان. و صاحب الشاه نعمة الله بماهان. و کان عارفا بالتصوف و یمیل إلی الحروفیة. و سکن هرات مدرسا واعظا إلی أن اغتیل شاه‏رخ فی 830 بید أحمدلر الحروفی، فأمر شاه‏رخ بانسداد المدارس و تخریب الخانقاهات و نفی العلماء و منهم قاسم الأنوار هذا، فنفاه إلی سمرقند، و بعد رجوعه سکن خرجرد جام و توفی هناک 837. له أنیس العاشقین کما مر أو أنیس العارفین کما فی (دجا ص- 304) و مقامات العارفین الموسوم تذکره الأولیاء و ترجم فی سلسلة النسب صفویة و نفحات الأنس و (مجن 1 ص 6 و 183) و (خیال- 63) و (حسینی: 265) و (تش- ص 28) و (عشاق- ص 158) و (لس- ص 264) و (نتایج: 557) و (مع 2: 27) و هدیة العارفین 1، 731 و ریحانة الأدب، و دیوانه عرفانی توجد فی (سپهسالار- 202) و ثلاث نسخ‏
</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bookmarkStart w:id="852" w:name="pg11704_122338"/>
    <w:bookmarkEnd w:id="852"/>
    <w:p>
      <w:pPr>
        <w:pStyle w:val="BookText"/>
      </w:pPr>
      <w:r>
        <w:rPr>
          <w:rFonts w:ascii="IRNazanin" w:hAnsi="IRNazanin" w:eastAsia="IRNazanin" w:cs="IRNazanin"/>
          <w:lang w:bidi="fa-IR"/>
          <w:color w:val="111111"/>
          <w:sz w:val="28"/>
          <w:szCs w:val="28"/>
          <w:rtl/>
        </w:rPr>
        <w:t xml:space="preserve">عند (الملک) فی ستة آلاف بیت و عند (فخر الدین) و طبع بطهران مع مقدمه لسعید النفیسی فی 1377 فی 112+ 419 ص.</w:t>
      </w:r>
    </w:p>
    <w:p>
      <w:pPr>
        <w:pStyle w:val="Heading3"/>
      </w:pPr>
      <w:bookmarkStart w:id="7586" w:name="_Toc6282"/>
      <w:r>
        <w:t>دیوان قاسم بدلا</w:t>
      </w:r>
      <w:bookmarkEnd w:id="7586"/>
    </w:p>
    <w:p>
      <w:pPr>
        <w:pStyle w:val="BookText"/>
      </w:pPr>
      <w:r>
        <w:rPr>
          <w:rFonts w:ascii="IRNazanin" w:hAnsi="IRNazanin" w:eastAsia="IRNazanin" w:cs="IRNazanin"/>
          <w:lang w:bidi="fa-IR"/>
          <w:color w:val="111111"/>
          <w:sz w:val="28"/>
          <w:szCs w:val="28"/>
          <w:rtl/>
        </w:rPr>
        <w:t xml:space="preserve">راجع دیوان واقفی.</w:t>
      </w:r>
    </w:p>
    <w:p>
      <w:pPr>
        <w:pStyle w:val="Heading3"/>
      </w:pPr>
      <w:bookmarkStart w:id="7587" w:name="_Toc6283"/>
      <w:r>
        <w:t>5737- دیوان قاسم بروجردی أو شعره‏</w:t>
      </w:r>
      <w:bookmarkEnd w:id="7587"/>
    </w:p>
    <w:p>
      <w:pPr>
        <w:pStyle w:val="BookText"/>
      </w:pPr>
      <w:r>
        <w:rPr>
          <w:rFonts w:ascii="IRNazanin" w:hAnsi="IRNazanin" w:eastAsia="IRNazanin" w:cs="IRNazanin"/>
          <w:lang w:bidi="fa-IR"/>
          <w:color w:val="111111"/>
          <w:sz w:val="28"/>
          <w:szCs w:val="28"/>
          <w:rtl/>
        </w:rPr>
        <w:t xml:space="preserve">و هو السید قاسم البروجردی الشاعر. أطری فضله و أورد شعره، الحزین فی تذکرته (ص- 42).</w:t>
      </w:r>
    </w:p>
    <w:p>
      <w:pPr>
        <w:pStyle w:val="Heading3"/>
      </w:pPr>
      <w:bookmarkStart w:id="7588" w:name="_Toc6284"/>
      <w:r>
        <w:t>5738- دیوان قاسم بیضاوی‏</w:t>
      </w:r>
      <w:bookmarkEnd w:id="7588"/>
    </w:p>
    <w:p>
      <w:pPr>
        <w:pStyle w:val="BookText"/>
      </w:pPr>
      <w:r>
        <w:rPr>
          <w:rFonts w:ascii="IRNazanin" w:hAnsi="IRNazanin" w:eastAsia="IRNazanin" w:cs="IRNazanin"/>
          <w:lang w:bidi="fa-IR"/>
          <w:color w:val="111111"/>
          <w:sz w:val="28"/>
          <w:szCs w:val="28"/>
          <w:rtl/>
        </w:rPr>
        <w:t xml:space="preserve">هو أبو القاسم بن السید علی الموسوی الشیرازی جاء إلی أصفهان و تلمذ علی المولی طاهر الشیرازی. أورد شعره فی (نر 6- ص 162) و (گلشن: 327).</w:t>
      </w:r>
    </w:p>
    <w:p>
      <w:pPr>
        <w:pStyle w:val="Heading3"/>
      </w:pPr>
      <w:bookmarkStart w:id="7589" w:name="_Toc6285"/>
      <w:r>
        <w:t>5739- دیوان قاسم بیگ أو شعره‏</w:t>
      </w:r>
      <w:bookmarkEnd w:id="7589"/>
    </w:p>
    <w:p>
      <w:pPr>
        <w:pStyle w:val="BookText"/>
      </w:pPr>
      <w:r>
        <w:rPr>
          <w:rFonts w:ascii="IRNazanin" w:hAnsi="IRNazanin" w:eastAsia="IRNazanin" w:cs="IRNazanin"/>
          <w:lang w:bidi="fa-IR"/>
          <w:color w:val="111111"/>
          <w:sz w:val="28"/>
          <w:szCs w:val="28"/>
          <w:rtl/>
        </w:rPr>
        <w:t xml:space="preserve">ترجمه و أورد شعره معاصره فی (نر 2: 35).</w:t>
      </w:r>
    </w:p>
    <w:p>
      <w:pPr>
        <w:pStyle w:val="BookText"/>
      </w:pPr>
      <w:r>
        <w:rPr>
          <w:rFonts w:ascii="IRNazanin" w:hAnsi="IRNazanin" w:eastAsia="IRNazanin" w:cs="IRNazanin"/>
          <w:lang w:bidi="fa-IR"/>
          <w:color w:val="111111"/>
          <w:sz w:val="28"/>
          <w:szCs w:val="28"/>
          <w:rtl/>
        </w:rPr>
        <w:t xml:space="preserve">و هو غیر دیوان حالتی المذکور فی ص 226 و المترجم فی (نتایج- ص 183).</w:t>
      </w:r>
    </w:p>
    <w:p>
      <w:pPr>
        <w:pStyle w:val="Heading3"/>
      </w:pPr>
      <w:bookmarkStart w:id="7590" w:name="_Toc6286"/>
      <w:r>
        <w:t>دیوان قاسم تبریزی‏</w:t>
      </w:r>
      <w:bookmarkEnd w:id="7590"/>
    </w:p>
    <w:p>
      <w:pPr>
        <w:pStyle w:val="BookText"/>
      </w:pPr>
      <w:r>
        <w:rPr>
          <w:rFonts w:ascii="IRNazanin" w:hAnsi="IRNazanin" w:eastAsia="IRNazanin" w:cs="IRNazanin"/>
          <w:lang w:bidi="fa-IR"/>
          <w:color w:val="111111"/>
          <w:sz w:val="28"/>
          <w:szCs w:val="28"/>
          <w:rtl/>
        </w:rPr>
        <w:t xml:space="preserve">راجع دیوان قاسم أنوار، و قاسم خازن، و زاهد أصفهانی.</w:t>
      </w:r>
    </w:p>
    <w:p>
      <w:pPr>
        <w:pStyle w:val="Heading3"/>
      </w:pPr>
      <w:bookmarkStart w:id="7591" w:name="_Toc6287"/>
      <w:r>
        <w:t>5740- دیوان قاسم جنابذی أو شعره‏</w:t>
      </w:r>
      <w:bookmarkEnd w:id="7591"/>
    </w:p>
    <w:p>
      <w:pPr>
        <w:pStyle w:val="BookText"/>
      </w:pPr>
      <w:r>
        <w:rPr>
          <w:rFonts w:ascii="IRNazanin" w:hAnsi="IRNazanin" w:eastAsia="IRNazanin" w:cs="IRNazanin"/>
          <w:lang w:bidi="fa-IR"/>
          <w:color w:val="111111"/>
          <w:sz w:val="28"/>
          <w:szCs w:val="28"/>
          <w:rtl/>
        </w:rPr>
        <w:t xml:space="preserve">هو ابن الأمیر سید الجنابذی له مثنوی بهاریة کما ذکره فی (مجتس 2- ص 139).</w:t>
      </w:r>
    </w:p>
    <w:p>
      <w:pPr>
        <w:pStyle w:val="Heading3"/>
      </w:pPr>
      <w:bookmarkStart w:id="7592" w:name="_Toc6288"/>
      <w:r>
        <w:t>5741- دیوان قاسم جوینی‏</w:t>
      </w:r>
      <w:bookmarkEnd w:id="7592"/>
    </w:p>
    <w:p>
      <w:pPr>
        <w:pStyle w:val="BookText"/>
      </w:pPr>
      <w:r>
        <w:rPr>
          <w:rFonts w:ascii="IRNazanin" w:hAnsi="IRNazanin" w:eastAsia="IRNazanin" w:cs="IRNazanin"/>
          <w:lang w:bidi="fa-IR"/>
          <w:color w:val="111111"/>
          <w:sz w:val="28"/>
          <w:szCs w:val="28"/>
          <w:rtl/>
        </w:rPr>
        <w:t xml:space="preserve">أو قاسم خان داماد الهندی ابن مراد. قال فی (نر 3- ص 63) إنه صهر جهانگیر پادشاه و قال رأیت عدة أوراق من دیوانه. و أورد فی (خیال:</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ترجمه أحواله و شعره و کذا فی (حسینی: 270) و قال فی (سرخوش: 93) إنه کان عدیل جهانگیر پادشاه. و قال فی (سرو- ص 48) إنه مات فی 1042 و إن زوجته منیجة کانت أخت نورجهان بیگم زوجة جهانگیر و کذا فی (نتایج- ص 560).</w:t>
      </w:r>
    </w:p>
    <w:p>
      <w:pPr>
        <w:pStyle w:val="Heading3"/>
      </w:pPr>
      <w:bookmarkStart w:id="7593" w:name="_Toc6289"/>
      <w:r>
        <w:t>5742- دیوان الشیخ قاسم الحلی‏</w:t>
      </w:r>
      <w:bookmarkEnd w:id="7593"/>
    </w:p>
    <w:p>
      <w:pPr>
        <w:pStyle w:val="BookText"/>
      </w:pPr>
      <w:r>
        <w:rPr>
          <w:rFonts w:ascii="IRNazanin" w:hAnsi="IRNazanin" w:eastAsia="IRNazanin" w:cs="IRNazanin"/>
          <w:lang w:bidi="fa-IR"/>
          <w:color w:val="111111"/>
          <w:sz w:val="28"/>
          <w:szCs w:val="28"/>
          <w:rtl/>
        </w:rPr>
        <w:t xml:space="preserve">هو ابن الشیخ محمد الملا ابن حمزة التستری المولود بالحلة 1290 له عدة دواوین موجود بمکتبته بالحلة. و مر دیوان والده ابن الملا فی ص 30.</w:t>
      </w:r>
    </w:p>
    <w:p>
      <w:pPr>
        <w:pStyle w:val="Heading3"/>
      </w:pPr>
      <w:bookmarkStart w:id="7594" w:name="_Toc6290"/>
      <w:r>
        <w:t>5743- دیوان قاسم چلبی أو شعره‏</w:t>
      </w:r>
      <w:bookmarkEnd w:id="7594"/>
    </w:p>
    <w:p>
      <w:pPr>
        <w:pStyle w:val="BookText"/>
      </w:pPr>
      <w:r>
        <w:rPr>
          <w:rFonts w:ascii="IRNazanin" w:hAnsi="IRNazanin" w:eastAsia="IRNazanin" w:cs="IRNazanin"/>
          <w:lang w:bidi="fa-IR"/>
          <w:color w:val="111111"/>
          <w:sz w:val="28"/>
          <w:szCs w:val="28"/>
          <w:rtl/>
        </w:rPr>
        <w:t xml:space="preserve">و اسمه محمد قاسم أخ الحسین چلبی التبریزی نزیل عباس‏آباد أصفهان. ترجمه و أورد شعره فی (نر 5- ص 119) و قال سافر إلی الهند للتجارة و مات بها.</w:t>
      </w:r>
    </w:p>
    <w:p>
      <w:pPr>
        <w:pStyle w:val="Heading3"/>
      </w:pPr>
      <w:bookmarkStart w:id="7595" w:name="_Toc6291"/>
      <w:r>
        <w:t>5744- دیوان قاسم خازن أو شعره‏</w:t>
      </w:r>
      <w:bookmarkEnd w:id="7595"/>
    </w:p>
    <w:p>
      <w:pPr>
        <w:pStyle w:val="BookText"/>
      </w:pPr>
      <w:r>
        <w:rPr>
          <w:rFonts w:ascii="IRNazanin" w:hAnsi="IRNazanin" w:eastAsia="IRNazanin" w:cs="IRNazanin"/>
          <w:lang w:bidi="fa-IR"/>
          <w:color w:val="111111"/>
          <w:sz w:val="28"/>
          <w:szCs w:val="28"/>
          <w:rtl/>
        </w:rPr>
        <w:t xml:space="preserve">أورد شعره فی (سرخوش- ص- 38) و هو
</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bookmarkStart w:id="853" w:name="pg11704_122339"/>
    <w:bookmarkEnd w:id="853"/>
    <w:p>
      <w:pPr>
        <w:pStyle w:val="BookText"/>
      </w:pPr>
      <w:r>
        <w:rPr>
          <w:rFonts w:ascii="IRNazanin" w:hAnsi="IRNazanin" w:eastAsia="IRNazanin" w:cs="IRNazanin"/>
          <w:lang w:bidi="fa-IR"/>
          <w:color w:val="111111"/>
          <w:sz w:val="28"/>
          <w:szCs w:val="28"/>
          <w:rtl/>
        </w:rPr>
        <w:t xml:space="preserve">قاسم خان ابن شریف خان التبریزی، الذی کان جده خازنا للشاه طهماسب. ترجمه معاصره النصرآبادی فی (نر 5- ص 121) قال و سافر إلی الهند</w:t>
      </w:r>
    </w:p>
    <w:p>
      <w:pPr>
        <w:pStyle w:val="Heading3"/>
      </w:pPr>
      <w:bookmarkStart w:id="7596" w:name="_Toc6292"/>
      <w:r>
        <w:t>دیوان قاسم داماد</w:t>
      </w:r>
      <w:bookmarkEnd w:id="7596"/>
    </w:p>
    <w:p>
      <w:pPr>
        <w:pStyle w:val="BookText"/>
      </w:pPr>
      <w:r>
        <w:rPr>
          <w:rFonts w:ascii="IRNazanin" w:hAnsi="IRNazanin" w:eastAsia="IRNazanin" w:cs="IRNazanin"/>
          <w:lang w:bidi="fa-IR"/>
          <w:color w:val="111111"/>
          <w:sz w:val="28"/>
          <w:szCs w:val="28"/>
          <w:rtl/>
        </w:rPr>
        <w:t xml:space="preserve">راجع قاسم جوینی.</w:t>
      </w:r>
    </w:p>
    <w:p>
      <w:pPr>
        <w:pStyle w:val="Heading3"/>
      </w:pPr>
      <w:bookmarkStart w:id="7597" w:name="_Toc6293"/>
      <w:r>
        <w:t>دیوان قاسم دیوانه المشهدی‏</w:t>
      </w:r>
      <w:bookmarkEnd w:id="7597"/>
    </w:p>
    <w:p>
      <w:pPr>
        <w:pStyle w:val="BookText"/>
      </w:pPr>
      <w:r>
        <w:rPr>
          <w:rFonts w:ascii="IRNazanin" w:hAnsi="IRNazanin" w:eastAsia="IRNazanin" w:cs="IRNazanin"/>
          <w:lang w:bidi="fa-IR"/>
          <w:color w:val="111111"/>
          <w:sz w:val="28"/>
          <w:szCs w:val="28"/>
          <w:rtl/>
        </w:rPr>
        <w:t xml:space="preserve">المذکور فی ص 335. ترجمه و أورد شعره فی (نر 9- ص 333) و (سرو- ص 122) و (مطلع الشمس 2: 440 و (نتایج- ص 564) و توجد أشعاره فی (مسرت- ص 62) و فی جنگ بمکتبة دهخدا بطهران. بتخلص قاسم، و نسخه منه فی مکتبة (بنگاله).</w:t>
      </w:r>
    </w:p>
    <w:p>
      <w:pPr>
        <w:pStyle w:val="Heading3"/>
      </w:pPr>
      <w:bookmarkStart w:id="7598" w:name="_Toc6294"/>
      <w:r>
        <w:t>5745- دیوان قاسم رازی أو شعره‏</w:t>
      </w:r>
      <w:bookmarkEnd w:id="7598"/>
    </w:p>
    <w:p>
      <w:pPr>
        <w:pStyle w:val="BookText"/>
      </w:pPr>
      <w:r>
        <w:rPr>
          <w:rFonts w:ascii="IRNazanin" w:hAnsi="IRNazanin" w:eastAsia="IRNazanin" w:cs="IRNazanin"/>
          <w:lang w:bidi="fa-IR"/>
          <w:color w:val="111111"/>
          <w:sz w:val="28"/>
          <w:szCs w:val="28"/>
          <w:rtl/>
        </w:rPr>
        <w:t xml:space="preserve">سافر من الری إلی الهند فی عهد أکبر شاه و رجع إلی وطنه. أورد شعره فی (گلشن- ص 327). و لعله قاسم طهرانی ابن خطیب طهران المذکور فی (تس 5- ص 178).</w:t>
      </w:r>
    </w:p>
    <w:p>
      <w:pPr>
        <w:pStyle w:val="Heading3"/>
      </w:pPr>
      <w:bookmarkStart w:id="7599" w:name="_Toc6295"/>
      <w:r>
        <w:t>5746- دیوان قاسم طوسی أو أرسلان مشهدی‏</w:t>
      </w:r>
      <w:bookmarkEnd w:id="7599"/>
    </w:p>
    <w:p>
      <w:pPr>
        <w:pStyle w:val="BookText"/>
      </w:pPr>
      <w:r>
        <w:rPr>
          <w:rFonts w:ascii="IRNazanin" w:hAnsi="IRNazanin" w:eastAsia="IRNazanin" w:cs="IRNazanin"/>
          <w:lang w:bidi="fa-IR"/>
          <w:color w:val="111111"/>
          <w:sz w:val="28"/>
          <w:szCs w:val="28"/>
          <w:rtl/>
        </w:rPr>
        <w:t xml:space="preserve">. کان من أحفاد أرسلان جاری من أمراء السلطان محمود سبکتکین. نشا بما وراء النهر و سافر إلی الهند و أکرمه أکبر شاه و کان خطاطا فی النستعلیق فلقب میر علی ثانی و کان ماهرا فی استخراج التواریخ المنظومة و له جواب شهرانگیز لسانی توجد دیوانه فی ألف بیت فی (المجلس) کما فی فهرسها 3: 216. و ترجمه (خوش‏گو) و (مطلع 2: 443) و (طبق 2: 492).</w:t>
      </w:r>
    </w:p>
    <w:p>
      <w:pPr>
        <w:pStyle w:val="Heading3"/>
      </w:pPr>
      <w:bookmarkStart w:id="7600" w:name="_Toc6296"/>
      <w:r>
        <w:t>دیوان قاسم طهرانی‏</w:t>
      </w:r>
      <w:bookmarkEnd w:id="7600"/>
    </w:p>
    <w:p>
      <w:pPr>
        <w:pStyle w:val="BookText"/>
      </w:pPr>
      <w:r>
        <w:rPr>
          <w:rFonts w:ascii="IRNazanin" w:hAnsi="IRNazanin" w:eastAsia="IRNazanin" w:cs="IRNazanin"/>
          <w:lang w:bidi="fa-IR"/>
          <w:color w:val="111111"/>
          <w:sz w:val="28"/>
          <w:szCs w:val="28"/>
          <w:rtl/>
        </w:rPr>
        <w:t xml:space="preserve">کان والده خطیب طهران ترجمه معاصره سام میرزا فی (تس 5- ص 178) و الظاهر أنه هو قاسم رازی.</w:t>
      </w:r>
    </w:p>
    <w:p>
      <w:pPr>
        <w:pStyle w:val="Heading3"/>
      </w:pPr>
      <w:bookmarkStart w:id="7601" w:name="_Toc6297"/>
      <w:r>
        <w:t>5747- دیوان قاسم عاصم أو شعره‏</w:t>
      </w:r>
      <w:bookmarkEnd w:id="7601"/>
    </w:p>
    <w:p>
      <w:pPr>
        <w:pStyle w:val="BookText"/>
      </w:pPr>
      <w:r>
        <w:rPr>
          <w:rFonts w:ascii="IRNazanin" w:hAnsi="IRNazanin" w:eastAsia="IRNazanin" w:cs="IRNazanin"/>
          <w:lang w:bidi="fa-IR"/>
          <w:color w:val="111111"/>
          <w:sz w:val="28"/>
          <w:szCs w:val="28"/>
          <w:rtl/>
        </w:rPr>
        <w:t xml:space="preserve">ترجمه فی (مجتس 6- ص 165) و أورد شعره‏</w:t>
      </w:r>
    </w:p>
    <w:p>
      <w:pPr>
        <w:pStyle w:val="Heading3"/>
      </w:pPr>
      <w:bookmarkStart w:id="7602" w:name="_Toc6298"/>
      <w:r>
        <w:t>5748- دیوان قاسم عبد العظیمی أو شعره‏</w:t>
      </w:r>
      <w:bookmarkEnd w:id="7602"/>
    </w:p>
    <w:p>
      <w:pPr>
        <w:pStyle w:val="BookText"/>
      </w:pPr>
      <w:r>
        <w:rPr>
          <w:rFonts w:ascii="IRNazanin" w:hAnsi="IRNazanin" w:eastAsia="IRNazanin" w:cs="IRNazanin"/>
          <w:lang w:bidi="fa-IR"/>
          <w:color w:val="111111"/>
          <w:sz w:val="28"/>
          <w:szCs w:val="28"/>
          <w:rtl/>
        </w:rPr>
        <w:t xml:space="preserve">هو ابن الأمیر عنایة الله المتولی لحضرة الإمام‏زادة عبد العظیم ترجمه معاصره سام میرزا فی (تس 2- ص 42) و أورد شعره و ذکر قبله أخاه الأمیر شاه میر، و أورد شعره أیضا. و ذکر قبلهما والدهما الأمیر عنایة الله المتولی مع شعره.</w:t>
      </w:r>
    </w:p>
    <w:p>
      <w:pPr>
        <w:pStyle w:val="BookText"/>
      </w:pPr>
      <w:r>
        <w:rPr>
          <w:rFonts w:ascii="IRNazanin" w:hAnsi="IRNazanin" w:eastAsia="IRNazanin" w:cs="IRNazanin"/>
          <w:lang w:bidi="fa-IR"/>
          <w:color w:val="111111"/>
          <w:sz w:val="28"/>
          <w:szCs w:val="28"/>
          <w:rtl/>
        </w:rPr>
        <w:t xml:space="preserve">و کذا ذکر جدهما یعنی والد الأمیر عنایة الله و هو الأمیر نور الله، و أخوه الأمیر سید، و ذکر شعرهما أیضا، فهؤلاء کلهم شعراء أدباء فی عصر سام میرزا. و من سادات الری بعبد العظیم فی عصره، الأمیر هدایة الله و أخوه السید علی شاه، ذکرهما أیضا فی الصفحة المذکورة.</w:t>
      </w:r>
    </w:p>
    <w:p>
      <w:pPr>
        <w:pStyle w:val="Heading3"/>
      </w:pPr>
      <w:bookmarkStart w:id="7603" w:name="_Toc6299"/>
      <w:r>
        <w:t>دیوان قاسم علی خراسانی‏</w:t>
      </w:r>
      <w:bookmarkEnd w:id="7603"/>
    </w:p>
    <w:p>
      <w:pPr>
        <w:pStyle w:val="BookText"/>
      </w:pPr>
      <w:r>
        <w:rPr>
          <w:rFonts w:ascii="IRNazanin" w:hAnsi="IRNazanin" w:eastAsia="IRNazanin" w:cs="IRNazanin"/>
          <w:lang w:bidi="fa-IR"/>
          <w:color w:val="111111"/>
          <w:sz w:val="28"/>
          <w:szCs w:val="28"/>
          <w:rtl/>
        </w:rPr>
        <w:t xml:space="preserve">راجع قاسم قصه‏خوان.
</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bookmarkStart w:id="854" w:name="pg11704_122340"/>
    <w:bookmarkEnd w:id="854"/>
    <w:p>
      <w:pPr>
        <w:pStyle w:val="Heading3"/>
      </w:pPr>
      <w:bookmarkStart w:id="7604" w:name="_Toc6300"/>
      <w:r>
        <w:t>5749- دیوان قاسم غمزة أو شعره‏</w:t>
      </w:r>
      <w:bookmarkEnd w:id="7604"/>
    </w:p>
    <w:p>
      <w:pPr>
        <w:pStyle w:val="BookText"/>
      </w:pPr>
      <w:r>
        <w:rPr>
          <w:rFonts w:ascii="IRNazanin" w:hAnsi="IRNazanin" w:eastAsia="IRNazanin" w:cs="IRNazanin"/>
          <w:lang w:bidi="fa-IR"/>
          <w:color w:val="111111"/>
          <w:sz w:val="28"/>
          <w:szCs w:val="28"/>
          <w:rtl/>
        </w:rPr>
        <w:t xml:space="preserve">کان من الظرفاء فی بخارا ترجمه و أورد شعره فی (مجتس 6- ص 169).</w:t>
      </w:r>
    </w:p>
    <w:p>
      <w:pPr>
        <w:pStyle w:val="Heading3"/>
      </w:pPr>
      <w:bookmarkStart w:id="7605" w:name="_Toc6301"/>
      <w:r>
        <w:t>5750- دیوان قاسم قصه‏خوان أو شعره‏</w:t>
      </w:r>
      <w:bookmarkEnd w:id="7605"/>
    </w:p>
    <w:p>
      <w:pPr>
        <w:pStyle w:val="BookText"/>
      </w:pPr>
      <w:r>
        <w:rPr>
          <w:rFonts w:ascii="IRNazanin" w:hAnsi="IRNazanin" w:eastAsia="IRNazanin" w:cs="IRNazanin"/>
          <w:lang w:bidi="fa-IR"/>
          <w:color w:val="111111"/>
          <w:sz w:val="28"/>
          <w:szCs w:val="28"/>
          <w:rtl/>
        </w:rPr>
        <w:t xml:space="preserve">هو قاسم علی المشهدی ترجمه و أورد شعره فی (تس 4- ص 84) و (تش- ص 93) بعنوان قاسم علی.</w:t>
      </w:r>
    </w:p>
    <w:p>
      <w:pPr>
        <w:pStyle w:val="Heading3"/>
      </w:pPr>
      <w:bookmarkStart w:id="7606" w:name="_Toc6302"/>
      <w:r>
        <w:t>5751- دیوان قاسم قمی أو شعره‏</w:t>
      </w:r>
      <w:bookmarkEnd w:id="7606"/>
    </w:p>
    <w:p>
      <w:pPr>
        <w:pStyle w:val="BookText"/>
      </w:pPr>
      <w:r>
        <w:rPr>
          <w:rFonts w:ascii="IRNazanin" w:hAnsi="IRNazanin" w:eastAsia="IRNazanin" w:cs="IRNazanin"/>
          <w:lang w:bidi="fa-IR"/>
          <w:color w:val="111111"/>
          <w:sz w:val="28"/>
          <w:szCs w:val="28"/>
          <w:rtl/>
        </w:rPr>
        <w:t xml:space="preserve">ترجمه و أورد شعره فی (نر 9- ص 282)- و قال یحتمل أنه القاسم الأردستانی. و ترجمه أیضا فی همیشه بهار و هو غیر قاسمی أردستانی الآتی.</w:t>
      </w:r>
    </w:p>
    <w:p>
      <w:pPr>
        <w:pStyle w:val="Heading3"/>
      </w:pPr>
      <w:bookmarkStart w:id="7607" w:name="_Toc6303"/>
      <w:r>
        <w:t>5752- دیوان قاسم کاشانی أو شعره‏</w:t>
      </w:r>
      <w:bookmarkEnd w:id="7607"/>
    </w:p>
    <w:p>
      <w:pPr>
        <w:pStyle w:val="BookText"/>
      </w:pPr>
      <w:r>
        <w:rPr>
          <w:rFonts w:ascii="IRNazanin" w:hAnsi="IRNazanin" w:eastAsia="IRNazanin" w:cs="IRNazanin"/>
          <w:lang w:bidi="fa-IR"/>
          <w:color w:val="111111"/>
          <w:sz w:val="28"/>
          <w:szCs w:val="28"/>
          <w:rtl/>
        </w:rPr>
        <w:t xml:space="preserve">أورد شعره فی (گلشن- ص 327) و قال إنه حفید أهلی الشیرازی. و کذا فی (مسرت: 147) و همیشه بهار.</w:t>
      </w:r>
    </w:p>
    <w:p>
      <w:pPr>
        <w:pStyle w:val="Heading3"/>
      </w:pPr>
      <w:bookmarkStart w:id="7608" w:name="_Toc6304"/>
      <w:r>
        <w:t>دیوان قاسم کاهی أو شعره‏</w:t>
      </w:r>
      <w:bookmarkEnd w:id="7608"/>
    </w:p>
    <w:p>
      <w:pPr>
        <w:pStyle w:val="BookText"/>
      </w:pPr>
      <w:r>
        <w:rPr>
          <w:rFonts w:ascii="IRNazanin" w:hAnsi="IRNazanin" w:eastAsia="IRNazanin" w:cs="IRNazanin"/>
          <w:lang w:bidi="fa-IR"/>
          <w:color w:val="111111"/>
          <w:sz w:val="28"/>
          <w:szCs w:val="28"/>
          <w:rtl/>
        </w:rPr>
        <w:t xml:space="preserve">ترجمه النصرآبادی فی (نر 15- ص 520) و أورد معماه باسم إمام. و ذکر له فی ص 469 أیضا تاریخ موت همایون پادشاه فی 962 عند وقوعه عن سطح داره فی مصراع (</w:t>
      </w:r>
    </w:p>
    <w:p>
      <w:pPr>
        <w:pStyle w:val="BookText"/>
      </w:pPr>
      <w:r>
        <w:rPr>
          <w:rFonts w:ascii="IRNazanin" w:hAnsi="IRNazanin" w:eastAsia="IRNazanin" w:cs="IRNazanin"/>
          <w:lang w:bidi="fa-IR"/>
          <w:color w:val="111111"/>
          <w:sz w:val="28"/>
          <w:szCs w:val="28"/>
          <w:rtl/>
        </w:rPr>
        <w:t xml:space="preserve">همایون پادشاه از بام افتاد</w:t>
      </w:r>
    </w:p>
    <w:p>
      <w:pPr>
        <w:pStyle w:val="BookText"/>
      </w:pPr>
      <w:r>
        <w:rPr>
          <w:rFonts w:ascii="IRNazanin" w:hAnsi="IRNazanin" w:eastAsia="IRNazanin" w:cs="IRNazanin"/>
          <w:lang w:bidi="fa-IR"/>
          <w:color w:val="111111"/>
          <w:sz w:val="28"/>
          <w:szCs w:val="28"/>
          <w:rtl/>
        </w:rPr>
        <w:t xml:space="preserve">). راجع دیوان کاهی.</w:t>
      </w:r>
    </w:p>
    <w:p>
      <w:pPr>
        <w:pStyle w:val="Heading3"/>
      </w:pPr>
      <w:bookmarkStart w:id="7609" w:name="_Toc6305"/>
      <w:r>
        <w:t>5753- دیوان قاسم گوالیاری أو شعره‏</w:t>
      </w:r>
      <w:bookmarkEnd w:id="7609"/>
    </w:p>
    <w:p>
      <w:pPr>
        <w:pStyle w:val="BookText"/>
      </w:pPr>
      <w:r>
        <w:rPr>
          <w:rFonts w:ascii="IRNazanin" w:hAnsi="IRNazanin" w:eastAsia="IRNazanin" w:cs="IRNazanin"/>
          <w:lang w:bidi="fa-IR"/>
          <w:color w:val="111111"/>
          <w:sz w:val="28"/>
          <w:szCs w:val="28"/>
          <w:rtl/>
        </w:rPr>
        <w:t xml:space="preserve">و اسمه قاسم علی من أولاد السید محمد غوث و أمه بنت محمد عطاء مرصع رقم کان یسکن فرخ‏آباد. أورد شعره فی (گلشن- 327).</w:t>
      </w:r>
    </w:p>
    <w:p>
      <w:pPr>
        <w:pStyle w:val="Heading3"/>
      </w:pPr>
      <w:bookmarkStart w:id="7610" w:name="_Toc6306"/>
      <w:r>
        <w:t>دیوان قاسم لاهیجی‏</w:t>
      </w:r>
      <w:bookmarkEnd w:id="7610"/>
    </w:p>
    <w:p>
      <w:pPr>
        <w:pStyle w:val="BookText"/>
      </w:pPr>
      <w:r>
        <w:rPr>
          <w:rFonts w:ascii="IRNazanin" w:hAnsi="IRNazanin" w:eastAsia="IRNazanin" w:cs="IRNazanin"/>
          <w:lang w:bidi="fa-IR"/>
          <w:color w:val="111111"/>
          <w:sz w:val="28"/>
          <w:szCs w:val="28"/>
          <w:rtl/>
        </w:rPr>
        <w:t xml:space="preserve">المتخلص بصابر. مر فی ص 573.</w:t>
      </w:r>
    </w:p>
    <w:p>
      <w:pPr>
        <w:pStyle w:val="Heading3"/>
      </w:pPr>
      <w:bookmarkStart w:id="7611" w:name="_Toc6307"/>
      <w:r>
        <w:t>دیوان قاسم گنابادی‏</w:t>
      </w:r>
      <w:bookmarkEnd w:id="7611"/>
    </w:p>
    <w:p>
      <w:pPr>
        <w:pStyle w:val="BookText"/>
      </w:pPr>
      <w:r>
        <w:rPr>
          <w:rFonts w:ascii="IRNazanin" w:hAnsi="IRNazanin" w:eastAsia="IRNazanin" w:cs="IRNazanin"/>
          <w:lang w:bidi="fa-IR"/>
          <w:color w:val="111111"/>
          <w:sz w:val="28"/>
          <w:szCs w:val="28"/>
          <w:rtl/>
        </w:rPr>
        <w:t xml:space="preserve">راجع دیوان قاسم جنابذی و قاسمی گنابادی.</w:t>
      </w:r>
    </w:p>
    <w:p>
      <w:pPr>
        <w:pStyle w:val="Heading3"/>
      </w:pPr>
      <w:bookmarkStart w:id="7612" w:name="_Toc6308"/>
      <w:r>
        <w:t>5754- دیوان الشیخ قاسم محیی الدین‏</w:t>
      </w:r>
      <w:bookmarkEnd w:id="7612"/>
    </w:p>
    <w:p>
      <w:pPr>
        <w:pStyle w:val="BookText"/>
      </w:pPr>
      <w:r>
        <w:rPr>
          <w:rFonts w:ascii="IRNazanin" w:hAnsi="IRNazanin" w:eastAsia="IRNazanin" w:cs="IRNazanin"/>
          <w:lang w:bidi="fa-IR"/>
          <w:color w:val="111111"/>
          <w:sz w:val="28"/>
          <w:szCs w:val="28"/>
          <w:rtl/>
        </w:rPr>
        <w:t xml:space="preserve">صاحب الشعر المقبول المطبوع 1342 و العلویات العشر مما طبع و غیرهما مما لم یطبع مثل معارف همدان و غیره من منظوماته ولد 1314 و توفی 1379 و هو ابن الشیخ حسن بن الشیخ موسی بن الشیخ شریف بن الشیخ محمد بن الشیخ یوسف بن الشیخ جعفر المتوفی حدود 1150 ابن الشیخ علی بن الشیخ حسین بن الشیخ محیی الدین الثانی الذی هو أخ الشیخ علی مؤلف التفسیر الوجیز المطبوع مع مقدمه أخیرا.</w:t>
      </w:r>
    </w:p>
    <w:p>
      <w:pPr>
        <w:pStyle w:val="Heading3"/>
      </w:pPr>
      <w:bookmarkStart w:id="7613" w:name="_Toc6309"/>
      <w:r>
        <w:t>5755- دیوان قاسم مرموز أو شعره‏</w:t>
      </w:r>
      <w:bookmarkEnd w:id="7613"/>
    </w:p>
    <w:p>
      <w:pPr>
        <w:pStyle w:val="BookText"/>
      </w:pPr>
      <w:r>
        <w:rPr>
          <w:rFonts w:ascii="IRNazanin" w:hAnsi="IRNazanin" w:eastAsia="IRNazanin" w:cs="IRNazanin"/>
          <w:lang w:bidi="fa-IR"/>
          <w:color w:val="111111"/>
          <w:sz w:val="28"/>
          <w:szCs w:val="28"/>
          <w:rtl/>
        </w:rPr>
        <w:t xml:space="preserve">ترجمه معاصره سام میرزا فی (تس 7- ص 188) و أورد له غزلا، استحسن منه بیتا واحدا، و هو قوله:</w:t>
      </w:r>
    </w:p>
    <w:p>
      <w:pPr>
        <w:pStyle w:val="BookText"/>
      </w:pPr>
      <w:r>
        <w:rPr>
          <w:rFonts w:ascii="IRNazanin" w:hAnsi="IRNazanin" w:eastAsia="IRNazanin" w:cs="IRNazanin"/>
          <w:lang w:bidi="fa-IR"/>
          <w:color w:val="111111"/>
          <w:sz w:val="28"/>
          <w:szCs w:val="28"/>
          <w:rtl/>
        </w:rPr>
        <w:t xml:space="preserve">فردا نکنم آرزوی سایه طوبی‏</w:t>
      </w:r>
    </w:p>
    <w:p>
      <w:pPr>
        <w:pStyle w:val="BookText"/>
      </w:pPr>
      <w:r>
        <w:rPr>
          <w:rFonts w:ascii="IRNazanin" w:hAnsi="IRNazanin" w:eastAsia="IRNazanin" w:cs="IRNazanin"/>
          <w:lang w:bidi="fa-IR"/>
          <w:color w:val="111111"/>
          <w:sz w:val="28"/>
          <w:szCs w:val="28"/>
          <w:rtl/>
        </w:rPr>
        <w:t xml:space="preserve">گر سایه قد تو فتد بر سرم امروز
</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bookmarkStart w:id="855" w:name="pg11704_122341"/>
    <w:bookmarkEnd w:id="855"/>
    <w:p>
      <w:pPr>
        <w:pStyle w:val="Heading3"/>
      </w:pPr>
      <w:bookmarkStart w:id="7614" w:name="_Toc6310"/>
      <w:r>
        <w:t>دیوان قاسم مشهدی‏</w:t>
      </w:r>
      <w:bookmarkEnd w:id="7614"/>
    </w:p>
    <w:p>
      <w:pPr>
        <w:pStyle w:val="BookText"/>
      </w:pPr>
      <w:r>
        <w:rPr>
          <w:rFonts w:ascii="IRNazanin" w:hAnsi="IRNazanin" w:eastAsia="IRNazanin" w:cs="IRNazanin"/>
          <w:lang w:bidi="fa-IR"/>
          <w:color w:val="111111"/>
          <w:sz w:val="28"/>
          <w:szCs w:val="28"/>
          <w:rtl/>
        </w:rPr>
        <w:t xml:space="preserve">راجع قاسم طوسی و قاسم دیوانه و قاسم قصه‏خوان.</w:t>
      </w:r>
    </w:p>
    <w:p>
      <w:pPr>
        <w:pStyle w:val="Heading3"/>
      </w:pPr>
      <w:bookmarkStart w:id="7615" w:name="_Toc6311"/>
      <w:r>
        <w:t>5756- دیوان قاسم نجفی أو شعره‏</w:t>
      </w:r>
      <w:bookmarkEnd w:id="7615"/>
    </w:p>
    <w:p>
      <w:pPr>
        <w:pStyle w:val="BookText"/>
      </w:pPr>
      <w:r>
        <w:rPr>
          <w:rFonts w:ascii="IRNazanin" w:hAnsi="IRNazanin" w:eastAsia="IRNazanin" w:cs="IRNazanin"/>
          <w:lang w:bidi="fa-IR"/>
          <w:color w:val="111111"/>
          <w:sz w:val="28"/>
          <w:szCs w:val="28"/>
          <w:rtl/>
        </w:rPr>
        <w:t xml:space="preserve">هو ابن المیر قاسم النجفی بأسترآباد. ترجمه معاصر فی (تس 2- ص 44) و أورد شعره. و قال کان من سیاه‏پوشان و قتل شهاب زرگر.</w:t>
      </w:r>
    </w:p>
    <w:p>
      <w:pPr>
        <w:pStyle w:val="Heading3"/>
      </w:pPr>
      <w:bookmarkStart w:id="7616" w:name="_Toc6312"/>
      <w:r>
        <w:t>5757- دیوان قاسم ولدی أو شعره‏</w:t>
      </w:r>
      <w:bookmarkEnd w:id="7616"/>
    </w:p>
    <w:p>
      <w:pPr>
        <w:pStyle w:val="BookText"/>
      </w:pPr>
      <w:r>
        <w:rPr>
          <w:rFonts w:ascii="IRNazanin" w:hAnsi="IRNazanin" w:eastAsia="IRNazanin" w:cs="IRNazanin"/>
          <w:lang w:bidi="fa-IR"/>
          <w:color w:val="111111"/>
          <w:sz w:val="28"/>
          <w:szCs w:val="28"/>
          <w:rtl/>
        </w:rPr>
        <w:t xml:space="preserve">کان من أمراء السلطان حسین میرزا بایقرا. ترجمه فی (مجتس 8- ص 171) و أورد شعره. و کذا فی همیشه بهار.</w:t>
      </w:r>
    </w:p>
    <w:p>
      <w:pPr>
        <w:pStyle w:val="Heading3"/>
      </w:pPr>
      <w:bookmarkStart w:id="7617" w:name="_Toc6313"/>
      <w:r>
        <w:t>5758- دیوان قاسم هروی أو شعره‏</w:t>
      </w:r>
      <w:bookmarkEnd w:id="7617"/>
    </w:p>
    <w:p>
      <w:pPr>
        <w:pStyle w:val="BookText"/>
      </w:pPr>
      <w:r>
        <w:rPr>
          <w:rFonts w:ascii="IRNazanin" w:hAnsi="IRNazanin" w:eastAsia="IRNazanin" w:cs="IRNazanin"/>
          <w:lang w:bidi="fa-IR"/>
          <w:color w:val="111111"/>
          <w:sz w:val="28"/>
          <w:szCs w:val="28"/>
          <w:rtl/>
        </w:rPr>
        <w:t xml:space="preserve">هو ابن الخواجة میرکی. ترجمه و أورد شعره فی (مجتس 7- ص 170).</w:t>
      </w:r>
    </w:p>
    <w:p>
      <w:pPr>
        <w:pStyle w:val="Heading3"/>
      </w:pPr>
      <w:bookmarkStart w:id="7618" w:name="_Toc6314"/>
      <w:r>
        <w:t>5759- دیوان قاسمی أردستانی‏</w:t>
      </w:r>
      <w:bookmarkEnd w:id="7618"/>
    </w:p>
    <w:p>
      <w:pPr>
        <w:pStyle w:val="BookText"/>
      </w:pPr>
      <w:r>
        <w:rPr>
          <w:rFonts w:ascii="IRNazanin" w:hAnsi="IRNazanin" w:eastAsia="IRNazanin" w:cs="IRNazanin"/>
          <w:lang w:bidi="fa-IR"/>
          <w:color w:val="111111"/>
          <w:sz w:val="28"/>
          <w:szCs w:val="28"/>
          <w:rtl/>
        </w:rPr>
        <w:t xml:space="preserve">ترجمه و أورد شعره فی (تش- ص 185) و (مسرت- ص 114) و قال فی (حسینی- ص 269) إنه مات 984 بأصفهان و فی (نر 9- ص 282) سماه قاسم أردستانی و فی (روشن- ص 546) أن له مثنوی أنیس العارفین. و راجع قاسم قمی.</w:t>
      </w:r>
    </w:p>
    <w:p>
      <w:pPr>
        <w:pStyle w:val="Heading3"/>
      </w:pPr>
      <w:bookmarkStart w:id="7619" w:name="_Toc6315"/>
      <w:r>
        <w:t>5760- دیوان قاسمی أصفهانی أو شعره‏</w:t>
      </w:r>
      <w:bookmarkEnd w:id="7619"/>
    </w:p>
    <w:p>
      <w:pPr>
        <w:pStyle w:val="BookText"/>
      </w:pPr>
      <w:r>
        <w:rPr>
          <w:rFonts w:ascii="IRNazanin" w:hAnsi="IRNazanin" w:eastAsia="IRNazanin" w:cs="IRNazanin"/>
          <w:lang w:bidi="fa-IR"/>
          <w:color w:val="111111"/>
          <w:sz w:val="28"/>
          <w:szCs w:val="28"/>
          <w:rtl/>
        </w:rPr>
        <w:t xml:space="preserve">و یعرف بدرویش قاسمی. ترجمه و أورد شعره فی (مجتس 6- ص 153).</w:t>
      </w:r>
    </w:p>
    <w:p>
      <w:pPr>
        <w:pStyle w:val="Heading3"/>
      </w:pPr>
      <w:bookmarkStart w:id="7620" w:name="_Toc6316"/>
      <w:r>
        <w:t>5761- دیوان قاسمی تونی‏</w:t>
      </w:r>
      <w:bookmarkEnd w:id="7620"/>
    </w:p>
    <w:p>
      <w:pPr>
        <w:pStyle w:val="BookText"/>
      </w:pPr>
      <w:r>
        <w:rPr>
          <w:rFonts w:ascii="IRNazanin" w:hAnsi="IRNazanin" w:eastAsia="IRNazanin" w:cs="IRNazanin"/>
          <w:lang w:bidi="fa-IR"/>
          <w:color w:val="111111"/>
          <w:sz w:val="28"/>
          <w:szCs w:val="28"/>
          <w:rtl/>
        </w:rPr>
        <w:t xml:space="preserve">الشاعر الصوفی. ترجمه فی (لت 7) و قال اسمه درویش قاسم. و أورد غزله بتخلص قاسمی، و عنه أخذ فی (روشن- ص 547).</w:t>
      </w:r>
    </w:p>
    <w:p>
      <w:pPr>
        <w:pStyle w:val="Heading3"/>
      </w:pPr>
      <w:bookmarkStart w:id="7621" w:name="_Toc6317"/>
      <w:r>
        <w:t>5762- دیوان قاسمی خوافی أو شعره‏</w:t>
      </w:r>
      <w:bookmarkEnd w:id="7621"/>
    </w:p>
    <w:p>
      <w:pPr>
        <w:pStyle w:val="BookText"/>
      </w:pPr>
      <w:r>
        <w:rPr>
          <w:rFonts w:ascii="IRNazanin" w:hAnsi="IRNazanin" w:eastAsia="IRNazanin" w:cs="IRNazanin"/>
          <w:lang w:bidi="fa-IR"/>
          <w:color w:val="111111"/>
          <w:sz w:val="28"/>
          <w:szCs w:val="28"/>
          <w:rtl/>
        </w:rPr>
        <w:t xml:space="preserve">و اسمه مجد الدین. له روضة الخلد ألفه فی قبال گلستان. ترجمه و أورد شعره فی (تش- ص 78). و قال فی (گلشن- ص 328) إنه کان بهرات ثم ذهب إلی سیستان و مات بفراة. و أورد له هجای ولی دشت بیاضی.</w:t>
      </w:r>
    </w:p>
    <w:p>
      <w:pPr>
        <w:pStyle w:val="Heading3"/>
      </w:pPr>
      <w:bookmarkStart w:id="7622" w:name="_Toc6318"/>
      <w:r>
        <w:t>دیوان قاسمی جنابذی‏</w:t>
      </w:r>
      <w:bookmarkEnd w:id="7622"/>
    </w:p>
    <w:p>
      <w:pPr>
        <w:pStyle w:val="BookText"/>
      </w:pPr>
      <w:r>
        <w:rPr>
          <w:rFonts w:ascii="IRNazanin" w:hAnsi="IRNazanin" w:eastAsia="IRNazanin" w:cs="IRNazanin"/>
          <w:lang w:bidi="fa-IR"/>
          <w:color w:val="111111"/>
          <w:sz w:val="28"/>
          <w:szCs w:val="28"/>
          <w:rtl/>
        </w:rPr>
        <w:t xml:space="preserve">راجع دیوان قاسمی گنابادی.</w:t>
      </w:r>
    </w:p>
    <w:p>
      <w:pPr>
        <w:pStyle w:val="Heading3"/>
      </w:pPr>
      <w:bookmarkStart w:id="7623" w:name="_Toc6319"/>
      <w:r>
        <w:t>5763- دیوان قاسمی صیرفی أو شعره‏</w:t>
      </w:r>
      <w:bookmarkEnd w:id="7623"/>
    </w:p>
    <w:p>
      <w:pPr>
        <w:pStyle w:val="BookText"/>
      </w:pPr>
      <w:r>
        <w:rPr>
          <w:rFonts w:ascii="IRNazanin" w:hAnsi="IRNazanin" w:eastAsia="IRNazanin" w:cs="IRNazanin"/>
          <w:lang w:bidi="fa-IR"/>
          <w:color w:val="111111"/>
          <w:sz w:val="28"/>
          <w:szCs w:val="28"/>
          <w:rtl/>
        </w:rPr>
        <w:t xml:space="preserve">کان والده صرافا بقم فتخلص هذا بالصیرفی و کان صاحب الحکیم الشفائی. أورد شعره فی (نر 9- ص 282).</w:t>
      </w:r>
    </w:p>
    <w:p>
      <w:pPr>
        <w:pStyle w:val="Heading3"/>
      </w:pPr>
      <w:bookmarkStart w:id="7624" w:name="_Toc6320"/>
      <w:r>
        <w:t>5764- دیوان قاسمی کازرونی‏</w:t>
      </w:r>
      <w:bookmarkEnd w:id="7624"/>
    </w:p>
    <w:p>
      <w:pPr>
        <w:pStyle w:val="BookText"/>
      </w:pPr>
      <w:r>
        <w:rPr>
          <w:rFonts w:ascii="IRNazanin" w:hAnsi="IRNazanin" w:eastAsia="IRNazanin" w:cs="IRNazanin"/>
          <w:lang w:bidi="fa-IR"/>
          <w:color w:val="111111"/>
          <w:sz w:val="28"/>
          <w:szCs w:val="28"/>
          <w:rtl/>
        </w:rPr>
        <w:t xml:space="preserve">و اسمه أبو القاسم الشیرازی. من أولاد أبی حامد من تلامیذ المیرزا جان الباغنوی. ترجمه فی (تش- ص 298) و فی (حسینی- ص 268) نقل عن دیوان شعره. و کذا فی (پژمان- ص 483 و 775).</w:t>
      </w:r>
    </w:p>
    <w:p>
      <w:pPr>
        <w:pStyle w:val="Heading3"/>
      </w:pPr>
      <w:bookmarkStart w:id="7625" w:name="_Toc6321"/>
      <w:r>
        <w:t>5765- دیوان قاسمی کاشی أو شعره‏</w:t>
      </w:r>
      <w:bookmarkEnd w:id="7625"/>
    </w:p>
    <w:p>
      <w:pPr>
        <w:pStyle w:val="BookText"/>
      </w:pPr>
      <w:r>
        <w:rPr>
          <w:rFonts w:ascii="IRNazanin" w:hAnsi="IRNazanin" w:eastAsia="IRNazanin" w:cs="IRNazanin"/>
          <w:lang w:bidi="fa-IR"/>
          <w:color w:val="111111"/>
          <w:sz w:val="28"/>
          <w:szCs w:val="28"/>
          <w:rtl/>
        </w:rPr>
        <w:t xml:space="preserve">ترجمه و أورد شعره فی (روشن- ص 548) و همیشه بهار.
</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bookmarkStart w:id="856" w:name="pg11704_122342"/>
    <w:bookmarkEnd w:id="856"/>
    <w:p>
      <w:pPr>
        <w:pStyle w:val="Heading3"/>
      </w:pPr>
      <w:bookmarkStart w:id="7626" w:name="_Toc6322"/>
      <w:r>
        <w:t>دیوان قاسمی کرمانی‏</w:t>
      </w:r>
      <w:bookmarkEnd w:id="7626"/>
    </w:p>
    <w:p>
      <w:pPr>
        <w:pStyle w:val="BookText"/>
      </w:pPr>
      <w:r>
        <w:rPr>
          <w:rFonts w:ascii="IRNazanin" w:hAnsi="IRNazanin" w:eastAsia="IRNazanin" w:cs="IRNazanin"/>
          <w:lang w:bidi="fa-IR"/>
          <w:color w:val="111111"/>
          <w:sz w:val="28"/>
          <w:szCs w:val="28"/>
          <w:rtl/>
        </w:rPr>
        <w:t xml:space="preserve">للحکیم الأدیب قاسم القاسمی بن زین العابدین السیستانی المتوفی 1348 طبع له آتش‏زنه منظومة فی 49 ص. و مر فی ص 65 بعنوان أدیب.</w:t>
      </w:r>
    </w:p>
    <w:p>
      <w:pPr>
        <w:pStyle w:val="Heading3"/>
      </w:pPr>
      <w:bookmarkStart w:id="7627" w:name="_Toc6323"/>
      <w:r>
        <w:t>5766- دیوان قاسمی گنابادی‏</w:t>
      </w:r>
      <w:bookmarkEnd w:id="7627"/>
    </w:p>
    <w:p>
      <w:pPr>
        <w:pStyle w:val="BookText"/>
      </w:pPr>
      <w:r>
        <w:rPr>
          <w:rFonts w:ascii="IRNazanin" w:hAnsi="IRNazanin" w:eastAsia="IRNazanin" w:cs="IRNazanin"/>
          <w:lang w:bidi="fa-IR"/>
          <w:color w:val="111111"/>
          <w:sz w:val="28"/>
          <w:szCs w:val="28"/>
          <w:rtl/>
        </w:rPr>
        <w:t xml:space="preserve">و هو المیر محمد قاسم المتخلص قاسمی من أولاد المیر سید الجنابذی و أخ المیر أبی الفتح. کان فی عصر الشاه طهماسب الصفوی (930- 984) له شاهنامه فی دفترین و شاه‏رخ شاه‏رخ‏نامه فی خمسة آلاف بیت و لیلی و مجنون فی 2540 بیت و خسرو و شیرین فی ثلاثة آلاف بیت و زبدة الأشعار علی زنة مخزن الأسرار فی أربعة آلاف بیت و کارنامه أو گوی و</w:t>
      </w:r>
    </w:p>
    <w:p>
      <w:pPr>
        <w:pStyle w:val="BookText"/>
      </w:pPr>
      <w:r>
        <w:rPr>
          <w:rFonts w:ascii="IRNazanin" w:hAnsi="IRNazanin" w:eastAsia="IRNazanin" w:cs="IRNazanin"/>
          <w:lang w:bidi="fa-IR"/>
          <w:color w:val="111111"/>
          <w:sz w:val="28"/>
          <w:szCs w:val="28"/>
          <w:rtl/>
        </w:rPr>
        <w:t xml:space="preserve">چوگان و مر له الخمسة فی 7: 262. ترجمه فی (مجتس 2- ص 139). و (تس 2- ص 26) و (خص 8- ص 140) و (حسینی- ص 270) و (تش- ص 71) و (مسرت- ص 206) و (گلشن- ص 326) و (روشن- ص 544) أما شاهنامه فی فتوحات الشاه إسماعیل فهو فی دفترین، الأول فی أربعة آلاف بیت، نظمها فی 940 و طبع 1287 و قال فیه:</w:t>
      </w:r>
    </w:p>
    <w:p>
      <w:pPr>
        <w:pStyle w:val="BookText"/>
      </w:pPr>
      <w:r>
        <w:rPr>
          <w:rFonts w:ascii="IRNazanin" w:hAnsi="IRNazanin" w:eastAsia="IRNazanin" w:cs="IRNazanin"/>
          <w:lang w:bidi="fa-IR"/>
          <w:color w:val="111111"/>
          <w:sz w:val="28"/>
          <w:szCs w:val="28"/>
          <w:rtl/>
        </w:rPr>
        <w:t xml:space="preserve">بود عقد این گوهر آب دار</w:t>
      </w:r>
    </w:p>
    <w:p>
      <w:pPr>
        <w:pStyle w:val="BookText"/>
      </w:pPr>
      <w:r>
        <w:rPr>
          <w:rFonts w:ascii="IRNazanin" w:hAnsi="IRNazanin" w:eastAsia="IRNazanin" w:cs="IRNazanin"/>
          <w:lang w:bidi="fa-IR"/>
          <w:color w:val="111111"/>
          <w:sz w:val="28"/>
          <w:szCs w:val="28"/>
          <w:rtl/>
        </w:rPr>
        <w:t xml:space="preserve">ز روی عدد چار باره هزار</w:t>
      </w:r>
    </w:p>
    <w:p>
      <w:pPr>
        <w:pStyle w:val="BookText"/>
      </w:pPr>
      <w:r>
        <w:rPr>
          <w:rFonts w:ascii="IRNazanin" w:hAnsi="IRNazanin" w:eastAsia="IRNazanin" w:cs="IRNazanin"/>
          <w:lang w:bidi="fa-IR"/>
          <w:color w:val="111111"/>
          <w:sz w:val="28"/>
          <w:szCs w:val="28"/>
          <w:rtl/>
        </w:rPr>
        <w:t xml:space="preserve">بلطف از سر نظم اگر بگذری‏</w:t>
      </w:r>
    </w:p>
    <w:p>
      <w:pPr>
        <w:pStyle w:val="BookText"/>
      </w:pPr>
      <w:r>
        <w:rPr>
          <w:rFonts w:ascii="IRNazanin" w:hAnsi="IRNazanin" w:eastAsia="IRNazanin" w:cs="IRNazanin"/>
          <w:lang w:bidi="fa-IR"/>
          <w:color w:val="111111"/>
          <w:sz w:val="28"/>
          <w:szCs w:val="28"/>
          <w:rtl/>
        </w:rPr>
        <w:t xml:space="preserve">روان پی بتاریخ آن آوری‏</w:t>
      </w:r>
    </w:p>
    <w:p>
      <w:pPr>
        <w:pStyle w:val="BookText"/>
      </w:pPr>
      <w:r>
        <w:rPr>
          <w:rFonts w:ascii="IRNazanin" w:hAnsi="IRNazanin" w:eastAsia="IRNazanin" w:cs="IRNazanin"/>
          <w:lang w:bidi="fa-IR"/>
          <w:color w:val="111111"/>
          <w:sz w:val="28"/>
          <w:szCs w:val="28"/>
          <w:rtl/>
        </w:rPr>
        <w:t xml:space="preserve">(990- 94050). و الدفتر الثانی فی خمسة آلاف بیت نظمه فی 950 و توجد فی المتحف البریطانی کما فی فهرس (ریو- ص 660) و مکتبة (الملک) و (المجلس کما فی فهرسها 3: 479 و قال فیه:</w:t>
      </w:r>
    </w:p>
    <w:p>
      <w:pPr>
        <w:pStyle w:val="BookText"/>
      </w:pPr>
      <w:r>
        <w:rPr>
          <w:rFonts w:ascii="IRNazanin" w:hAnsi="IRNazanin" w:eastAsia="IRNazanin" w:cs="IRNazanin"/>
          <w:lang w:bidi="fa-IR"/>
          <w:color w:val="111111"/>
          <w:sz w:val="28"/>
          <w:szCs w:val="28"/>
          <w:rtl/>
        </w:rPr>
        <w:t xml:space="preserve">گهرها که آورده‏ام در شمار</w:t>
      </w:r>
    </w:p>
    <w:p>
      <w:pPr>
        <w:pStyle w:val="BookText"/>
      </w:pPr>
      <w:r>
        <w:rPr>
          <w:rFonts w:ascii="IRNazanin" w:hAnsi="IRNazanin" w:eastAsia="IRNazanin" w:cs="IRNazanin"/>
          <w:lang w:bidi="fa-IR"/>
          <w:color w:val="111111"/>
          <w:sz w:val="28"/>
          <w:szCs w:val="28"/>
          <w:rtl/>
        </w:rPr>
        <w:t xml:space="preserve">شمارش بود پنج باره هزار</w:t>
      </w:r>
    </w:p>
    <w:p>
      <w:pPr>
        <w:pStyle w:val="BookText"/>
      </w:pPr>
      <w:r>
        <w:rPr>
          <w:rFonts w:ascii="IRNazanin" w:hAnsi="IRNazanin" w:eastAsia="IRNazanin" w:cs="IRNazanin"/>
          <w:lang w:bidi="fa-IR"/>
          <w:color w:val="111111"/>
          <w:sz w:val="28"/>
          <w:szCs w:val="28"/>
          <w:rtl/>
        </w:rPr>
        <w:t xml:space="preserve">بود در سوادم ز نیک اختری‏</w:t>
      </w:r>
    </w:p>
    <w:p>
      <w:pPr>
        <w:pStyle w:val="BookText"/>
      </w:pPr>
      <w:r>
        <w:rPr>
          <w:rFonts w:ascii="IRNazanin" w:hAnsi="IRNazanin" w:eastAsia="IRNazanin" w:cs="IRNazanin"/>
          <w:lang w:bidi="fa-IR"/>
          <w:color w:val="111111"/>
          <w:sz w:val="28"/>
          <w:szCs w:val="28"/>
          <w:rtl/>
        </w:rPr>
        <w:t xml:space="preserve">طلب سال تاریخش از مشتری‏</w:t>
      </w:r>
    </w:p>
    <w:p>
      <w:pPr>
        <w:pStyle w:val="BookText"/>
      </w:pPr>
      <w:r>
        <w:rPr>
          <w:rFonts w:ascii="IRNazanin" w:hAnsi="IRNazanin" w:eastAsia="IRNazanin" w:cs="IRNazanin"/>
          <w:lang w:bidi="fa-IR"/>
          <w:color w:val="111111"/>
          <w:sz w:val="28"/>
          <w:szCs w:val="28"/>
          <w:rtl/>
        </w:rPr>
        <w:t xml:space="preserve">و أما کارنامه أو نگارنامه أو گوی و چوگان فهو علی زنة لیلی و مجنون فی ألف و خمسمائة بیت، نظمه فی 947 قال فیه:</w:t>
      </w:r>
    </w:p>
    <w:p>
      <w:pPr>
        <w:pStyle w:val="BookText"/>
      </w:pPr>
      <w:r>
        <w:rPr>
          <w:rFonts w:ascii="IRNazanin" w:hAnsi="IRNazanin" w:eastAsia="IRNazanin" w:cs="IRNazanin"/>
          <w:lang w:bidi="fa-IR"/>
          <w:color w:val="111111"/>
          <w:sz w:val="28"/>
          <w:szCs w:val="28"/>
          <w:rtl/>
        </w:rPr>
        <w:t xml:space="preserve">این نامه که از زبان خامه‏</w:t>
      </w:r>
    </w:p>
    <w:p>
      <w:pPr>
        <w:pStyle w:val="BookText"/>
      </w:pPr>
      <w:r>
        <w:rPr>
          <w:rFonts w:ascii="IRNazanin" w:hAnsi="IRNazanin" w:eastAsia="IRNazanin" w:cs="IRNazanin"/>
          <w:lang w:bidi="fa-IR"/>
          <w:color w:val="111111"/>
          <w:sz w:val="28"/>
          <w:szCs w:val="28"/>
          <w:rtl/>
        </w:rPr>
        <w:t xml:space="preserve">کردم لقبش نگارنامه [أو بکارنامه‏]</w:t>
      </w:r>
    </w:p>
    <w:p>
      <w:pPr>
        <w:pStyle w:val="BookText"/>
      </w:pPr>
      <w:r>
        <w:rPr>
          <w:rFonts w:ascii="IRNazanin" w:hAnsi="IRNazanin" w:eastAsia="IRNazanin" w:cs="IRNazanin"/>
          <w:lang w:bidi="fa-IR"/>
          <w:color w:val="111111"/>
          <w:sz w:val="28"/>
          <w:szCs w:val="28"/>
          <w:rtl/>
        </w:rPr>
        <w:t xml:space="preserve">چون ماه دو هفته‏اش در أیام‏</w:t>
      </w:r>
    </w:p>
    <w:p>
      <w:pPr>
        <w:pStyle w:val="BookText"/>
      </w:pPr>
      <w:r>
        <w:rPr>
          <w:rFonts w:ascii="IRNazanin" w:hAnsi="IRNazanin" w:eastAsia="IRNazanin" w:cs="IRNazanin"/>
          <w:lang w:bidi="fa-IR"/>
          <w:color w:val="111111"/>
          <w:sz w:val="28"/>
          <w:szCs w:val="28"/>
          <w:rtl/>
        </w:rPr>
        <w:t xml:space="preserve">در عرض سه هفته دادم إتمام‏</w:t>
      </w:r>
    </w:p>
    <w:p>
      <w:pPr>
        <w:pStyle w:val="BookText"/>
      </w:pPr>
      <w:r>
        <w:rPr>
          <w:rFonts w:ascii="IRNazanin" w:hAnsi="IRNazanin" w:eastAsia="IRNazanin" w:cs="IRNazanin"/>
          <w:lang w:bidi="fa-IR"/>
          <w:color w:val="111111"/>
          <w:sz w:val="28"/>
          <w:szCs w:val="28"/>
          <w:rtl/>
        </w:rPr>
        <w:t xml:space="preserve">این عقد گهر که شد سر آمد</w:t>
      </w:r>
    </w:p>
    <w:p>
      <w:pPr>
        <w:pStyle w:val="BookText"/>
      </w:pPr>
      <w:r>
        <w:rPr>
          <w:rFonts w:ascii="IRNazanin" w:hAnsi="IRNazanin" w:eastAsia="IRNazanin" w:cs="IRNazanin"/>
          <w:lang w:bidi="fa-IR"/>
          <w:color w:val="111111"/>
          <w:sz w:val="28"/>
          <w:szCs w:val="28"/>
          <w:rtl/>
        </w:rPr>
        <w:t xml:space="preserve">باشد عددش هزار و پانصد</w:t>
      </w:r>
    </w:p>
    <w:p>
      <w:pPr>
        <w:pStyle w:val="BookText"/>
      </w:pPr>
      <w:r>
        <w:rPr>
          <w:rFonts w:ascii="IRNazanin" w:hAnsi="IRNazanin" w:eastAsia="IRNazanin" w:cs="IRNazanin"/>
          <w:lang w:bidi="fa-IR"/>
          <w:color w:val="111111"/>
          <w:sz w:val="28"/>
          <w:szCs w:val="28"/>
          <w:rtl/>
        </w:rPr>
        <w:t xml:space="preserve">تاریخ تمام این معانی‏</w:t>
      </w:r>
    </w:p>
    <w:p>
      <w:pPr>
        <w:pStyle w:val="BookText"/>
      </w:pPr>
      <w:r>
        <w:rPr>
          <w:rFonts w:ascii="IRNazanin" w:hAnsi="IRNazanin" w:eastAsia="IRNazanin" w:cs="IRNazanin"/>
          <w:lang w:bidi="fa-IR"/>
          <w:color w:val="111111"/>
          <w:sz w:val="28"/>
          <w:szCs w:val="28"/>
          <w:rtl/>
        </w:rPr>
        <w:t xml:space="preserve">ظل أبدی است تا بدانی‏</w:t>
      </w:r>
    </w:p>
    <w:p>
      <w:pPr>
        <w:pStyle w:val="BookText"/>
      </w:pPr>
      <w:r>
        <w:rPr>
          <w:rFonts w:ascii="IRNazanin" w:hAnsi="IRNazanin" w:eastAsia="IRNazanin" w:cs="IRNazanin"/>
          <w:lang w:bidi="fa-IR"/>
          <w:color w:val="111111"/>
          <w:sz w:val="28"/>
          <w:szCs w:val="28"/>
          <w:rtl/>
        </w:rPr>
        <w:t xml:space="preserve">و له خسرو و شیرین الذی نظمه بأمر سام میرزا فی ثلاثة آلاف بیت فی 950. قال فیه:
</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bookmarkStart w:id="857" w:name="pg11704_122343"/>
    <w:bookmarkEnd w:id="857"/>
    <w:p>
      <w:pPr>
        <w:pStyle w:val="BookText"/>
      </w:pPr>
      <w:r>
        <w:rPr>
          <w:rFonts w:ascii="IRNazanin" w:hAnsi="IRNazanin" w:eastAsia="IRNazanin" w:cs="IRNazanin"/>
          <w:lang w:bidi="fa-IR"/>
          <w:color w:val="111111"/>
          <w:sz w:val="28"/>
          <w:szCs w:val="28"/>
          <w:rtl/>
        </w:rPr>
        <w:t xml:space="preserve">گهرهایم که زاد از بحر توفیق‏</w:t>
      </w:r>
    </w:p>
    <w:p>
      <w:pPr>
        <w:pStyle w:val="BookText"/>
      </w:pPr>
      <w:r>
        <w:rPr>
          <w:rFonts w:ascii="IRNazanin" w:hAnsi="IRNazanin" w:eastAsia="IRNazanin" w:cs="IRNazanin"/>
          <w:lang w:bidi="fa-IR"/>
          <w:color w:val="111111"/>
          <w:sz w:val="28"/>
          <w:szCs w:val="28"/>
          <w:rtl/>
        </w:rPr>
        <w:t xml:space="preserve">سه بار آمد هزار از روی تحقیق‏</w:t>
      </w:r>
    </w:p>
    <w:p>
      <w:pPr>
        <w:pStyle w:val="BookText"/>
      </w:pPr>
      <w:r>
        <w:rPr>
          <w:rFonts w:ascii="IRNazanin" w:hAnsi="IRNazanin" w:eastAsia="IRNazanin" w:cs="IRNazanin"/>
          <w:lang w:bidi="fa-IR"/>
          <w:color w:val="111111"/>
          <w:sz w:val="28"/>
          <w:szCs w:val="28"/>
          <w:rtl/>
        </w:rPr>
        <w:t xml:space="preserve">ز غیب آمد حدیثی بر زبانها</w:t>
      </w:r>
    </w:p>
    <w:p>
      <w:pPr>
        <w:pStyle w:val="BookText"/>
      </w:pPr>
      <w:r>
        <w:rPr>
          <w:rFonts w:ascii="IRNazanin" w:hAnsi="IRNazanin" w:eastAsia="IRNazanin" w:cs="IRNazanin"/>
          <w:lang w:bidi="fa-IR"/>
          <w:color w:val="111111"/>
          <w:sz w:val="28"/>
          <w:szCs w:val="28"/>
          <w:rtl/>
        </w:rPr>
        <w:t xml:space="preserve">که شد تاریخ سالش فیض جانها</w:t>
      </w:r>
    </w:p>
    <w:p>
      <w:pPr>
        <w:pStyle w:val="BookText"/>
      </w:pPr>
      <w:r>
        <w:rPr>
          <w:rFonts w:ascii="IRNazanin" w:hAnsi="IRNazanin" w:eastAsia="IRNazanin" w:cs="IRNazanin"/>
          <w:lang w:bidi="fa-IR"/>
          <w:color w:val="111111"/>
          <w:sz w:val="28"/>
          <w:szCs w:val="28"/>
          <w:rtl/>
        </w:rPr>
        <w:t xml:space="preserve">و له ساقینامتان أحدهما باسم الشاه طهماسب و الثانی باسم الخواجة حبیب الله الوزیر.</w:t>
      </w:r>
    </w:p>
    <w:p>
      <w:pPr>
        <w:pStyle w:val="Heading3"/>
      </w:pPr>
      <w:bookmarkStart w:id="7628" w:name="_Toc6324"/>
      <w:r>
        <w:t>5767- دیوان قاسمی مهنه‏ای أو شعره‏</w:t>
      </w:r>
      <w:bookmarkEnd w:id="7628"/>
    </w:p>
    <w:p>
      <w:pPr>
        <w:pStyle w:val="BookText"/>
      </w:pPr>
      <w:r>
        <w:rPr>
          <w:rFonts w:ascii="IRNazanin" w:hAnsi="IRNazanin" w:eastAsia="IRNazanin" w:cs="IRNazanin"/>
          <w:lang w:bidi="fa-IR"/>
          <w:color w:val="111111"/>
          <w:sz w:val="28"/>
          <w:szCs w:val="28"/>
          <w:rtl/>
        </w:rPr>
        <w:t xml:space="preserve">و هو الخواجة أبو القاسم أخ الخواجة أبی الفضل المهنه‏ای. ترجمه و أورد شعره فی (مجتس 3- ص 145).</w:t>
      </w:r>
    </w:p>
    <w:p>
      <w:pPr>
        <w:pStyle w:val="Heading3"/>
      </w:pPr>
      <w:bookmarkStart w:id="7629" w:name="_Toc6325"/>
      <w:r>
        <w:t>5768- دیوان قاصد بخاری أو شعره‏</w:t>
      </w:r>
      <w:bookmarkEnd w:id="7629"/>
    </w:p>
    <w:p>
      <w:pPr>
        <w:pStyle w:val="BookText"/>
      </w:pPr>
      <w:r>
        <w:rPr>
          <w:rFonts w:ascii="IRNazanin" w:hAnsi="IRNazanin" w:eastAsia="IRNazanin" w:cs="IRNazanin"/>
          <w:lang w:bidi="fa-IR"/>
          <w:color w:val="111111"/>
          <w:sz w:val="28"/>
          <w:szCs w:val="28"/>
          <w:rtl/>
        </w:rPr>
        <w:t xml:space="preserve">کان من ملازمی خان بخارا. ترجمه و أورد شعره فی (نر 10- ص 437) و سماه فی (روشن- 43) أسد الدین.</w:t>
      </w:r>
    </w:p>
    <w:p>
      <w:pPr>
        <w:pStyle w:val="Heading3"/>
      </w:pPr>
      <w:bookmarkStart w:id="7630" w:name="_Toc6326"/>
      <w:r>
        <w:t>5769- دیوان قاصر قاینی‏</w:t>
      </w:r>
      <w:bookmarkEnd w:id="7630"/>
    </w:p>
    <w:p>
      <w:pPr>
        <w:pStyle w:val="BookText"/>
      </w:pPr>
      <w:r>
        <w:rPr>
          <w:rFonts w:ascii="IRNazanin" w:hAnsi="IRNazanin" w:eastAsia="IRNazanin" w:cs="IRNazanin"/>
          <w:lang w:bidi="fa-IR"/>
          <w:color w:val="111111"/>
          <w:sz w:val="28"/>
          <w:szCs w:val="28"/>
          <w:rtl/>
        </w:rPr>
        <w:t xml:space="preserve">و هو المیرزا محمد علی الواعظ الکرمانی. ترجمه الآیتی القائنی فی بهارستان- ص 333 و قال رأیت منظوماته بخط أخیه ملک الواعظین أحمد.</w:t>
      </w:r>
    </w:p>
    <w:p>
      <w:pPr>
        <w:pStyle w:val="Heading3"/>
      </w:pPr>
      <w:bookmarkStart w:id="7631" w:name="_Toc6327"/>
      <w:r>
        <w:t>دیوان قاصری رازی‏</w:t>
      </w:r>
      <w:bookmarkEnd w:id="7631"/>
    </w:p>
    <w:p>
      <w:pPr>
        <w:pStyle w:val="BookText"/>
      </w:pPr>
      <w:r>
        <w:rPr>
          <w:rFonts w:ascii="IRNazanin" w:hAnsi="IRNazanin" w:eastAsia="IRNazanin" w:cs="IRNazanin"/>
          <w:lang w:bidi="fa-IR"/>
          <w:color w:val="111111"/>
          <w:sz w:val="28"/>
          <w:szCs w:val="28"/>
          <w:rtl/>
        </w:rPr>
        <w:t xml:space="preserve">کما ذکره فی (تش- ص 215). و هو أبو المفاخر الرازی المذکور فی ص 50.</w:t>
      </w:r>
    </w:p>
    <w:p>
      <w:pPr>
        <w:pStyle w:val="Heading3"/>
      </w:pPr>
      <w:bookmarkStart w:id="7632" w:name="_Toc6328"/>
      <w:r>
        <w:t>دیوان قاضی آرانی‏</w:t>
      </w:r>
      <w:bookmarkEnd w:id="7632"/>
    </w:p>
    <w:p>
      <w:pPr>
        <w:pStyle w:val="BookText"/>
      </w:pPr>
      <w:r>
        <w:rPr>
          <w:rFonts w:ascii="IRNazanin" w:hAnsi="IRNazanin" w:eastAsia="IRNazanin" w:cs="IRNazanin"/>
          <w:lang w:bidi="fa-IR"/>
          <w:color w:val="111111"/>
          <w:sz w:val="28"/>
          <w:szCs w:val="28"/>
          <w:rtl/>
        </w:rPr>
        <w:t xml:space="preserve">راجع دیوان قاضی داوری.</w:t>
      </w:r>
    </w:p>
    <w:p>
      <w:pPr>
        <w:pStyle w:val="Heading3"/>
      </w:pPr>
      <w:bookmarkStart w:id="7633" w:name="_Toc6329"/>
      <w:r>
        <w:t>5770- دیوان قاضی أحمد أو شعره‏</w:t>
      </w:r>
      <w:bookmarkEnd w:id="7633"/>
    </w:p>
    <w:p>
      <w:pPr>
        <w:pStyle w:val="BookText"/>
      </w:pPr>
      <w:r>
        <w:rPr>
          <w:rFonts w:ascii="IRNazanin" w:hAnsi="IRNazanin" w:eastAsia="IRNazanin" w:cs="IRNazanin"/>
          <w:lang w:bidi="fa-IR"/>
          <w:color w:val="111111"/>
          <w:sz w:val="28"/>
          <w:szCs w:val="28"/>
          <w:rtl/>
        </w:rPr>
        <w:t xml:space="preserve">و هو ابن القاضی محمد کان والده قاضیا بالری سنین و توفی 932 کما ذکره سام میرزا فی (تس 4- ص 74) و ذکر أن القاضی أحمد من مصاحبیه و هو مشهور بحدة الذهن و حسن السلیقة بین أقرانه ثم أورد شعره‏</w:t>
      </w:r>
    </w:p>
    <w:p>
      <w:pPr>
        <w:pStyle w:val="Heading3"/>
      </w:pPr>
      <w:bookmarkStart w:id="7634" w:name="_Toc6330"/>
      <w:r>
        <w:t>دیوان القاضی اختیار</w:t>
      </w:r>
      <w:bookmarkEnd w:id="7634"/>
    </w:p>
    <w:p>
      <w:pPr>
        <w:pStyle w:val="BookText"/>
      </w:pPr>
      <w:r>
        <w:rPr>
          <w:rFonts w:ascii="IRNazanin" w:hAnsi="IRNazanin" w:eastAsia="IRNazanin" w:cs="IRNazanin"/>
          <w:lang w:bidi="fa-IR"/>
          <w:color w:val="111111"/>
          <w:sz w:val="28"/>
          <w:szCs w:val="28"/>
          <w:rtl/>
        </w:rPr>
        <w:t xml:space="preserve">مر فی ص 62 و اسمه حسن التربتی الهروی. و راجع لغت‏نامه دهخدا فی حرف الحاء.</w:t>
      </w:r>
    </w:p>
    <w:p>
      <w:pPr>
        <w:pStyle w:val="Heading3"/>
      </w:pPr>
      <w:bookmarkStart w:id="7635" w:name="_Toc6331"/>
      <w:r>
        <w:t>5771- دیوان قاضی أنوی‏</w:t>
      </w:r>
      <w:bookmarkEnd w:id="7635"/>
    </w:p>
    <w:p>
      <w:pPr>
        <w:pStyle w:val="BookText"/>
      </w:pPr>
      <w:r>
        <w:rPr>
          <w:rFonts w:ascii="IRNazanin" w:hAnsi="IRNazanin" w:eastAsia="IRNazanin" w:cs="IRNazanin"/>
          <w:lang w:bidi="fa-IR"/>
          <w:color w:val="111111"/>
          <w:sz w:val="28"/>
          <w:szCs w:val="28"/>
          <w:rtl/>
        </w:rPr>
        <w:t xml:space="preserve">و هو برهان الدین أبو نصر ابن مسعود (أو مسعود بن مظفر) الأنوی من بلاد گرجستان. له أنبیانامه باسم أنیس القلوب نظما فارسیا. قال فی أوله ولدت بانی حدود 538 و فی 556 أسرت مع أهلی و أخذنی الکفار إلی بلاد الروم و بعد الرجوع لقیت فی تبریز الحکیم محمود و أمرنی بنظم أنبیانامه فی قبال شاهنامه و سمیته أنیس القلوب و کان عمری إذ ذاک أربع و عشرین سنة و هی سنة 562 فشرع من أحوال آدم‏</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و دیگر شنیدم که اندر عراق‏</w:t>
      </w:r>
    </w:p>
    <w:p>
      <w:pPr>
        <w:pStyle w:val="BookText"/>
      </w:pPr>
      <w:r>
        <w:rPr>
          <w:rFonts w:ascii="IRNazanin" w:hAnsi="IRNazanin" w:eastAsia="IRNazanin" w:cs="IRNazanin"/>
          <w:lang w:bidi="fa-IR"/>
          <w:color w:val="111111"/>
          <w:sz w:val="28"/>
          <w:szCs w:val="28"/>
          <w:rtl/>
        </w:rPr>
        <w:t xml:space="preserve">یکی مرد بودست با اتفاق‏</w:t>
      </w:r>
    </w:p>
    <w:p>
      <w:pPr>
        <w:pStyle w:val="BookText"/>
      </w:pPr>
      <w:r>
        <w:rPr>
          <w:rFonts w:ascii="IRNazanin" w:hAnsi="IRNazanin" w:eastAsia="IRNazanin" w:cs="IRNazanin"/>
          <w:lang w:bidi="fa-IR"/>
          <w:color w:val="111111"/>
          <w:sz w:val="28"/>
          <w:szCs w:val="28"/>
          <w:rtl/>
        </w:rPr>
        <w:t xml:space="preserve">یکی شاعر خوب شمسی لقب‏</w:t>
      </w:r>
    </w:p>
    <w:p>
      <w:pPr>
        <w:pStyle w:val="BookText"/>
      </w:pPr>
      <w:r>
        <w:rPr>
          <w:rFonts w:ascii="IRNazanin" w:hAnsi="IRNazanin" w:eastAsia="IRNazanin" w:cs="IRNazanin"/>
          <w:lang w:bidi="fa-IR"/>
          <w:color w:val="111111"/>
          <w:sz w:val="28"/>
          <w:szCs w:val="28"/>
          <w:rtl/>
        </w:rPr>
        <w:t xml:space="preserve">بسی رنج برده بعلم و أدب‏</w:t>
      </w:r>
    </w:p>
    <w:p>
      <w:pPr>
        <w:pStyle w:val="BookText"/>
      </w:pPr>
      <w:r>
        <w:rPr>
          <w:rFonts w:ascii="IRNazanin" w:hAnsi="IRNazanin" w:eastAsia="IRNazanin" w:cs="IRNazanin"/>
          <w:lang w:bidi="fa-IR"/>
          <w:color w:val="111111"/>
          <w:sz w:val="28"/>
          <w:szCs w:val="28"/>
          <w:rtl/>
        </w:rPr>
        <w:t xml:space="preserve">مرین قصة یوسف نیک نام‏</w:t>
      </w:r>
    </w:p>
    <w:p>
      <w:pPr>
        <w:pStyle w:val="BookText"/>
      </w:pPr>
      <w:r>
        <w:rPr>
          <w:rFonts w:ascii="IRNazanin" w:hAnsi="IRNazanin" w:eastAsia="IRNazanin" w:cs="IRNazanin"/>
          <w:lang w:bidi="fa-IR"/>
          <w:color w:val="111111"/>
          <w:sz w:val="28"/>
          <w:szCs w:val="28"/>
          <w:rtl/>
        </w:rPr>
        <w:t xml:space="preserve">بنظم أو بگفته است یکسر تمام‏</w:t>
      </w:r>
    </w:p>
    <w:p>
      <w:pPr>
        <w:pStyle w:val="BookText"/>
      </w:pPr>
      <w:r>
        <w:rPr>
          <w:rFonts w:ascii="IRNazanin" w:hAnsi="IRNazanin" w:eastAsia="IRNazanin" w:cs="IRNazanin"/>
          <w:lang w:bidi="fa-IR"/>
          <w:color w:val="111111"/>
          <w:sz w:val="28"/>
          <w:szCs w:val="28"/>
          <w:rtl/>
        </w:rPr>
        <w:t xml:space="preserve">و لعله المذکور فی ص 545 و منظومته هی یوسف و زلیخا المنسوبة إلی الفردوسی‏</w:t>
      </w:r>
    </w:p>
    <w:p>
      <w:pPr>
        <w:pStyle w:val="BookText"/>
      </w:pPr>
      <w:r>
        <w:rPr>
          <w:rFonts w:ascii="IRNazanin" w:hAnsi="IRNazanin" w:eastAsia="IRNazanin" w:cs="IRNazanin"/>
          <w:lang w:bidi="fa-IR"/>
          <w:color w:val="111111"/>
          <w:sz w:val="28"/>
          <w:szCs w:val="28"/>
          <w:rtl/>
        </w:rPr>
        <w:t xml:space="preserve">و مدح عز الدین کیکاووس فی أوله و تممه فی سبعة دفاتر، و قد نظمه‏ ‏</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bookmarkStart w:id="858" w:name="pg11704_122344"/>
    <w:bookmarkEnd w:id="858"/>
    <w:p>
      <w:pPr>
        <w:pStyle w:val="BookText"/>
      </w:pPr>
      <w:r>
        <w:rPr>
          <w:rFonts w:ascii="IRNazanin" w:hAnsi="IRNazanin" w:eastAsia="IRNazanin" w:cs="IRNazanin"/>
          <w:lang w:bidi="fa-IR"/>
          <w:color w:val="111111"/>
          <w:sz w:val="28"/>
          <w:szCs w:val="28"/>
          <w:rtl/>
        </w:rPr>
        <w:t xml:space="preserve">فی 608 کما حققه مجتبی مینوی فی مقالته فی مجلة دانشکده أدبیات تهران المجلد الثامن العدد الثالث ص 15- 19 قال و جاء اسمه فی سند موقوفة مؤرخة 615 القاضی الإمام شرف الإسلام ... أبو نصر مسعود بن مظفر الأنوی الحاکم بکورة ملطیة.</w:t>
      </w:r>
    </w:p>
    <w:p>
      <w:pPr>
        <w:pStyle w:val="Heading3"/>
      </w:pPr>
      <w:bookmarkStart w:id="7636" w:name="_Toc6332"/>
      <w:r>
        <w:t>دیوان قاضی أویس أو شعره‏</w:t>
      </w:r>
      <w:bookmarkEnd w:id="7636"/>
    </w:p>
    <w:p>
      <w:pPr>
        <w:pStyle w:val="BookText"/>
      </w:pPr>
      <w:r>
        <w:rPr>
          <w:rFonts w:ascii="IRNazanin" w:hAnsi="IRNazanin" w:eastAsia="IRNazanin" w:cs="IRNazanin"/>
          <w:lang w:bidi="fa-IR"/>
          <w:color w:val="111111"/>
          <w:sz w:val="28"/>
          <w:szCs w:val="28"/>
          <w:rtl/>
        </w:rPr>
        <w:t xml:space="preserve">و هو ابن محمد اللطیفی الأردبیلی المعروف بقاضی شیخ کبیر. کان قاضی أردبیل ماضی الحکم بها مدة خمسین سنة. ترجمه فی (بهش 2- ص 392) و ذکر أنه قرین أویس القرنی فی الزهد و التقوی و أورد صدر بعض قصائده کما مر فی ص 112، و یأتی ولده القاضی‏زاده ظهیر الدین کبیر الأردبیلی الشهید للتشیع فی 930.</w:t>
      </w:r>
    </w:p>
    <w:p>
      <w:pPr>
        <w:pStyle w:val="Heading3"/>
      </w:pPr>
      <w:bookmarkStart w:id="7637" w:name="_Toc6333"/>
      <w:r>
        <w:t>دیوان قاضی بروجردی‏</w:t>
      </w:r>
      <w:bookmarkEnd w:id="7637"/>
    </w:p>
    <w:p>
      <w:pPr>
        <w:pStyle w:val="BookText"/>
      </w:pPr>
      <w:r>
        <w:rPr>
          <w:rFonts w:ascii="IRNazanin" w:hAnsi="IRNazanin" w:eastAsia="IRNazanin" w:cs="IRNazanin"/>
          <w:lang w:bidi="fa-IR"/>
          <w:color w:val="111111"/>
          <w:sz w:val="28"/>
          <w:szCs w:val="28"/>
          <w:rtl/>
        </w:rPr>
        <w:t xml:space="preserve">راجع قاضی رضوی.</w:t>
      </w:r>
    </w:p>
    <w:p>
      <w:pPr>
        <w:pStyle w:val="Heading3"/>
      </w:pPr>
      <w:bookmarkStart w:id="7638" w:name="_Toc6334"/>
      <w:r>
        <w:t>دیوان القاضی التنوخی الکبیر</w:t>
      </w:r>
      <w:bookmarkEnd w:id="7638"/>
    </w:p>
    <w:p>
      <w:pPr>
        <w:pStyle w:val="Heading3"/>
      </w:pPr>
      <w:bookmarkStart w:id="7639" w:name="_Toc6335"/>
      <w:r>
        <w:t>دیوان القاضی التنوخی الصغیر</w:t>
      </w:r>
      <w:bookmarkEnd w:id="7639"/>
    </w:p>
    <w:p>
      <w:pPr>
        <w:pStyle w:val="Heading3"/>
      </w:pPr>
      <w:bookmarkStart w:id="7640" w:name="_Toc6336"/>
      <w:r>
        <w:t>دیوان القاضی التنوخی الحفید</w:t>
      </w:r>
      <w:bookmarkEnd w:id="7640"/>
    </w:p>
    <w:p>
      <w:pPr>
        <w:pStyle w:val="BookText"/>
      </w:pPr>
      <w:r>
        <w:rPr>
          <w:rFonts w:ascii="IRNazanin" w:hAnsi="IRNazanin" w:eastAsia="IRNazanin" w:cs="IRNazanin"/>
          <w:lang w:bidi="fa-IR"/>
          <w:color w:val="111111"/>
          <w:sz w:val="28"/>
          <w:szCs w:val="28"/>
          <w:rtl/>
        </w:rPr>
        <w:t xml:space="preserve">مر جمیعها بعنوان دیوان التنوخی فی ص 178.</w:t>
      </w:r>
    </w:p>
    <w:p>
      <w:pPr>
        <w:pStyle w:val="Heading3"/>
      </w:pPr>
      <w:bookmarkStart w:id="7641" w:name="_Toc6337"/>
      <w:r>
        <w:t>دیوان قاضی بخارائی أو شعره‏</w:t>
      </w:r>
      <w:bookmarkEnd w:id="7641"/>
    </w:p>
    <w:p>
      <w:pPr>
        <w:pStyle w:val="BookText"/>
      </w:pPr>
      <w:r>
        <w:rPr>
          <w:rFonts w:ascii="IRNazanin" w:hAnsi="IRNazanin" w:eastAsia="IRNazanin" w:cs="IRNazanin"/>
          <w:lang w:bidi="fa-IR"/>
          <w:color w:val="111111"/>
          <w:sz w:val="28"/>
          <w:szCs w:val="28"/>
          <w:rtl/>
        </w:rPr>
        <w:t xml:space="preserve">کان مدرسا بمدرسة عبد العزیز ببخارا ترجمه و أورد شعره فی (نر 10- ص 439).</w:t>
      </w:r>
    </w:p>
    <w:p>
      <w:pPr>
        <w:pStyle w:val="Heading3"/>
      </w:pPr>
      <w:bookmarkStart w:id="7642" w:name="_Toc6338"/>
      <w:r>
        <w:t>5772- دیوان قاضی حسن همدانی أو شعره‏</w:t>
      </w:r>
      <w:bookmarkEnd w:id="7642"/>
    </w:p>
    <w:p>
      <w:pPr>
        <w:pStyle w:val="BookText"/>
      </w:pPr>
      <w:r>
        <w:rPr>
          <w:rFonts w:ascii="IRNazanin" w:hAnsi="IRNazanin" w:eastAsia="IRNazanin" w:cs="IRNazanin"/>
          <w:lang w:bidi="fa-IR"/>
          <w:color w:val="111111"/>
          <w:sz w:val="28"/>
          <w:szCs w:val="28"/>
          <w:rtl/>
        </w:rPr>
        <w:t xml:space="preserve">کان من قریة توی. ترجمه الصادقی فی (خص 8- ص 272) و أورد له رباعیة.</w:t>
      </w:r>
    </w:p>
    <w:p>
      <w:pPr>
        <w:pStyle w:val="Heading3"/>
      </w:pPr>
      <w:bookmarkStart w:id="7643" w:name="_Toc6339"/>
      <w:r>
        <w:t>دیوان قاضی خوانساری‏</w:t>
      </w:r>
      <w:bookmarkEnd w:id="7643"/>
    </w:p>
    <w:p>
      <w:pPr>
        <w:pStyle w:val="BookText"/>
      </w:pPr>
      <w:r>
        <w:rPr>
          <w:rFonts w:ascii="IRNazanin" w:hAnsi="IRNazanin" w:eastAsia="IRNazanin" w:cs="IRNazanin"/>
          <w:lang w:bidi="fa-IR"/>
          <w:color w:val="111111"/>
          <w:sz w:val="28"/>
          <w:szCs w:val="28"/>
          <w:rtl/>
        </w:rPr>
        <w:t xml:space="preserve">راجع دیوان أمین خوانساری و حسین خوانساری.</w:t>
      </w:r>
    </w:p>
    <w:p>
      <w:pPr>
        <w:pStyle w:val="Heading3"/>
      </w:pPr>
      <w:bookmarkStart w:id="7644" w:name="_Toc6340"/>
      <w:r>
        <w:t>دیوان قاضی داوری أو شعره‏</w:t>
      </w:r>
      <w:bookmarkEnd w:id="7644"/>
    </w:p>
    <w:p>
      <w:pPr>
        <w:pStyle w:val="BookText"/>
      </w:pPr>
      <w:r>
        <w:rPr>
          <w:rFonts w:ascii="IRNazanin" w:hAnsi="IRNazanin" w:eastAsia="IRNazanin" w:cs="IRNazanin"/>
          <w:lang w:bidi="fa-IR"/>
          <w:color w:val="111111"/>
          <w:sz w:val="28"/>
          <w:szCs w:val="28"/>
          <w:rtl/>
        </w:rPr>
        <w:t xml:space="preserve">و هو من آران من قری کاشان. کان قاضیها مدة ذکره النصرآبادی فی (نر 9- ص 308) و أورد بعض شعره، منها قوله و نعم ما قال:</w:t>
      </w:r>
    </w:p>
    <w:p>
      <w:pPr>
        <w:pStyle w:val="BookText"/>
      </w:pPr>
      <w:r>
        <w:rPr>
          <w:rFonts w:ascii="IRNazanin" w:hAnsi="IRNazanin" w:eastAsia="IRNazanin" w:cs="IRNazanin"/>
          <w:lang w:bidi="fa-IR"/>
          <w:color w:val="111111"/>
          <w:sz w:val="28"/>
          <w:szCs w:val="28"/>
          <w:rtl/>
        </w:rPr>
        <w:t xml:space="preserve">ز ابنای زمانه داوری مهر مجوی‏</w:t>
      </w:r>
    </w:p>
    <w:p>
      <w:pPr>
        <w:pStyle w:val="BookText"/>
      </w:pPr>
      <w:r>
        <w:rPr>
          <w:rFonts w:ascii="IRNazanin" w:hAnsi="IRNazanin" w:eastAsia="IRNazanin" w:cs="IRNazanin"/>
          <w:lang w:bidi="fa-IR"/>
          <w:color w:val="111111"/>
          <w:sz w:val="28"/>
          <w:szCs w:val="28"/>
          <w:rtl/>
        </w:rPr>
        <w:t xml:space="preserve">پرورده روز و شب نباشد یک رنگ‏</w:t>
      </w:r>
    </w:p>
    <w:p>
      <w:pPr>
        <w:pStyle w:val="BookText"/>
      </w:pPr>
      <w:r>
        <w:rPr>
          <w:rFonts w:ascii="IRNazanin" w:hAnsi="IRNazanin" w:eastAsia="IRNazanin" w:cs="IRNazanin"/>
          <w:lang w:bidi="fa-IR"/>
          <w:color w:val="111111"/>
          <w:sz w:val="28"/>
          <w:szCs w:val="28"/>
          <w:rtl/>
        </w:rPr>
        <w:t xml:space="preserve">و ذکر النصرآبادی أیضا فی ترجمه السید المیر حیدر الهاشمی فی (نر 13- ص 475)
</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bookmarkStart w:id="859" w:name="pg11704_122345"/>
    <w:bookmarkEnd w:id="859"/>
    <w:p>
      <w:pPr>
        <w:pStyle w:val="BookText"/>
      </w:pPr>
      <w:r>
        <w:rPr>
          <w:rFonts w:ascii="IRNazanin" w:hAnsi="IRNazanin" w:eastAsia="IRNazanin" w:cs="IRNazanin"/>
          <w:lang w:bidi="fa-IR"/>
          <w:color w:val="111111"/>
          <w:sz w:val="28"/>
          <w:szCs w:val="28"/>
          <w:rtl/>
        </w:rPr>
        <w:t xml:space="preserve">هجاء القاضی الآرانی للمیر حیدر و أمر الشاه عباس الماضی له بقراءة الهجاء بمحضره و موت المیر بعد ذلک بقلیل. و مر فی ص 319.</w:t>
      </w:r>
    </w:p>
    <w:p>
      <w:pPr>
        <w:pStyle w:val="Heading3"/>
      </w:pPr>
      <w:bookmarkStart w:id="7645" w:name="_Toc6341"/>
      <w:r>
        <w:t>5773- دیوان قاضی رازی أو شعره‏</w:t>
      </w:r>
      <w:bookmarkEnd w:id="7645"/>
    </w:p>
    <w:p>
      <w:pPr>
        <w:pStyle w:val="BookText"/>
      </w:pPr>
      <w:r>
        <w:rPr>
          <w:rFonts w:ascii="IRNazanin" w:hAnsi="IRNazanin" w:eastAsia="IRNazanin" w:cs="IRNazanin"/>
          <w:lang w:bidi="fa-IR"/>
          <w:color w:val="111111"/>
          <w:sz w:val="28"/>
          <w:szCs w:val="28"/>
          <w:rtl/>
        </w:rPr>
        <w:t xml:space="preserve">و اسمه عبد الله بن القاضی محمد، معاصر الشاه طهماسب ترجمه فی (خص 4- ص 51) و (گلشن- ص 328).</w:t>
      </w:r>
    </w:p>
    <w:p>
      <w:pPr>
        <w:pStyle w:val="Heading3"/>
      </w:pPr>
      <w:bookmarkStart w:id="7646" w:name="_Toc6342"/>
      <w:r>
        <w:t>دیوان قاضی رازی‏</w:t>
      </w:r>
      <w:bookmarkEnd w:id="7646"/>
    </w:p>
    <w:p>
      <w:pPr>
        <w:pStyle w:val="BookText"/>
      </w:pPr>
      <w:r>
        <w:rPr>
          <w:rFonts w:ascii="IRNazanin" w:hAnsi="IRNazanin" w:eastAsia="IRNazanin" w:cs="IRNazanin"/>
          <w:lang w:bidi="fa-IR"/>
          <w:color w:val="111111"/>
          <w:sz w:val="28"/>
          <w:szCs w:val="28"/>
          <w:rtl/>
        </w:rPr>
        <w:t xml:space="preserve">راجع دیوان قاضی أحمد.</w:t>
      </w:r>
    </w:p>
    <w:p>
      <w:pPr>
        <w:pStyle w:val="Heading3"/>
      </w:pPr>
      <w:bookmarkStart w:id="7647" w:name="_Toc6343"/>
      <w:r>
        <w:t>دیوان قاضی بافقی الیزدی‏</w:t>
      </w:r>
      <w:bookmarkEnd w:id="7647"/>
    </w:p>
    <w:p>
      <w:pPr>
        <w:pStyle w:val="BookText"/>
      </w:pPr>
      <w:r>
        <w:rPr>
          <w:rFonts w:ascii="IRNazanin" w:hAnsi="IRNazanin" w:eastAsia="IRNazanin" w:cs="IRNazanin"/>
          <w:lang w:bidi="fa-IR"/>
          <w:color w:val="111111"/>
          <w:sz w:val="28"/>
          <w:szCs w:val="28"/>
          <w:rtl/>
        </w:rPr>
        <w:t xml:space="preserve">المتخلص رشدی هو ابن ملا یعقوب و أخ ملا أفضل الهمتی کان مستوفیا لموقوفات یزد، و بعد موته قام مقامه أخوه الهمتی ذکرهما معاصرهما النصرآبادی فی (نر 9- ص 307) و أورد شعرهما و ذکرناه مختصرا فی ص 359.</w:t>
      </w:r>
    </w:p>
    <w:p>
      <w:pPr>
        <w:pStyle w:val="Heading3"/>
      </w:pPr>
      <w:bookmarkStart w:id="7648" w:name="_Toc6344"/>
      <w:r>
        <w:t>5774- دیوان قاضی رضوی أو شعره‏</w:t>
      </w:r>
      <w:bookmarkEnd w:id="7648"/>
    </w:p>
    <w:p>
      <w:pPr>
        <w:pStyle w:val="BookText"/>
      </w:pPr>
      <w:r>
        <w:rPr>
          <w:rFonts w:ascii="IRNazanin" w:hAnsi="IRNazanin" w:eastAsia="IRNazanin" w:cs="IRNazanin"/>
          <w:lang w:bidi="fa-IR"/>
          <w:color w:val="111111"/>
          <w:sz w:val="28"/>
          <w:szCs w:val="28"/>
          <w:rtl/>
        </w:rPr>
        <w:t xml:space="preserve">و هو المیر محمد رضا بن المیر عبد الحی القاضی ببروجرد. ترجمه و أورد شعره بتخلص قاضی فی (نر 5- ص 116).</w:t>
      </w:r>
    </w:p>
    <w:p>
      <w:pPr>
        <w:pStyle w:val="Heading3"/>
      </w:pPr>
      <w:bookmarkStart w:id="7649" w:name="_Toc6345"/>
      <w:r>
        <w:t>5775- دیوان قاضی روح الله‏</w:t>
      </w:r>
      <w:bookmarkEnd w:id="7649"/>
    </w:p>
    <w:p>
      <w:pPr>
        <w:pStyle w:val="BookText"/>
      </w:pPr>
      <w:r>
        <w:rPr>
          <w:rFonts w:ascii="IRNazanin" w:hAnsi="IRNazanin" w:eastAsia="IRNazanin" w:cs="IRNazanin"/>
          <w:lang w:bidi="fa-IR"/>
          <w:color w:val="111111"/>
          <w:sz w:val="28"/>
          <w:szCs w:val="28"/>
          <w:rtl/>
        </w:rPr>
        <w:t xml:space="preserve">أخ القاضی جهان، من السادة السیفیة بقزوین. نسبة إلی جدهم السید سیف الدین. کانوا قضاة قزوین أبا عن جد و توفی هو فی 948 کما ترجمه سام میرزا فی (تس 2- ص 29) قال و شعره کثیر نقتصر منه بذکر مطلع واحد. و راجع روح الله.</w:t>
      </w:r>
    </w:p>
    <w:p>
      <w:pPr>
        <w:pStyle w:val="Heading3"/>
      </w:pPr>
      <w:bookmarkStart w:id="7650" w:name="_Toc6346"/>
      <w:r>
        <w:t>5776- دیوان قاضی‏زاده‏</w:t>
      </w:r>
      <w:bookmarkEnd w:id="7650"/>
    </w:p>
    <w:p>
      <w:pPr>
        <w:pStyle w:val="BookText"/>
      </w:pPr>
      <w:r>
        <w:rPr>
          <w:rFonts w:ascii="IRNazanin" w:hAnsi="IRNazanin" w:eastAsia="IRNazanin" w:cs="IRNazanin"/>
          <w:lang w:bidi="fa-IR"/>
          <w:color w:val="111111"/>
          <w:sz w:val="28"/>
          <w:szCs w:val="28"/>
          <w:rtl/>
        </w:rPr>
        <w:t xml:space="preserve">ترجمه فی (مجن 3- ص 84 و 258) و قال إنه شاب حسن الطبع و ماهر فی نظم المثنوی و أورد بعضه. و ذکر الحکیم شاه محمد فی (قز مج 3- ص 258) أن له مثنوی جواب أمیر خسرو و فی (لط 3: 84) سماه قاضی زاوة.</w:t>
      </w:r>
    </w:p>
    <w:p>
      <w:pPr>
        <w:pStyle w:val="Heading3"/>
      </w:pPr>
      <w:bookmarkStart w:id="7651" w:name="_Toc6347"/>
      <w:r>
        <w:t>5777- دیوان قاضی زاد أردبیلی‏</w:t>
      </w:r>
      <w:bookmarkEnd w:id="7651"/>
    </w:p>
    <w:p>
      <w:pPr>
        <w:pStyle w:val="BookText"/>
      </w:pPr>
      <w:r>
        <w:rPr>
          <w:rFonts w:ascii="IRNazanin" w:hAnsi="IRNazanin" w:eastAsia="IRNazanin" w:cs="IRNazanin"/>
          <w:lang w:bidi="fa-IR"/>
          <w:color w:val="111111"/>
          <w:sz w:val="28"/>
          <w:szCs w:val="28"/>
          <w:rtl/>
        </w:rPr>
        <w:t xml:space="preserve">هو الشیخ ظهیر الدین کبیر بن أویس بن محمد کما ذکر نسبه فی (دجا- ص 239) و ترجمه شاه محمد القزوینی فی (بهش 2- ص 396) بعنوان قاضی شیخ کبیر و ذکر أن شعره کثیر و ذکر قلیله الدال علی الکثیر. و ذکر فی الشذرات ج 8 ص</w:t>
      </w:r>
    </w:p>
    <w:p>
      <w:pPr>
        <w:pStyle w:val="BookText"/>
      </w:pPr>
      <w:r>
        <w:rPr>
          <w:rFonts w:ascii="IRNazanin" w:hAnsi="IRNazanin" w:eastAsia="IRNazanin" w:cs="IRNazanin"/>
          <w:lang w:bidi="fa-IR"/>
          <w:color w:val="111111"/>
          <w:sz w:val="28"/>
          <w:szCs w:val="28"/>
          <w:rtl/>
        </w:rPr>
        <w:t xml:space="preserve">173 أن السلطان سلیم أخذه معه إلی بلاد الروم عند رجوعه عن تبریز، و نال عنده مقاما و رتب له کل یوم ثمانین درهما فألف تاریخ سلطان سلیم و ترجمه وفیات الأعیان لابن خلکان بالفارسیة. ثم حکی عن الشقائق النعمانیة- ص 507 إطرائه بمعرفة العلوم و لا سیما الإنشاء و الشعر و بحسن الخط و غیره. ثم حکی عن العلانی أنه استمال إلی الرفض و عقائد الإمامیة أوان کونه بمصر مع أحمد پادشاه فقبض علیه فقتل و علق رأسه علی باب زویلة بالقاهرة فی الخمیس عشرین ربیع الثانی 930 و ترجمه فی (دجا- ص 249)
</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bookmarkStart w:id="860" w:name="pg11704_122346"/>
    <w:bookmarkEnd w:id="860"/>
    <w:p>
      <w:pPr>
        <w:pStyle w:val="BookText"/>
      </w:pPr>
      <w:r>
        <w:rPr>
          <w:rFonts w:ascii="IRNazanin" w:hAnsi="IRNazanin" w:eastAsia="IRNazanin" w:cs="IRNazanin"/>
          <w:lang w:bidi="fa-IR"/>
          <w:color w:val="111111"/>
          <w:sz w:val="28"/>
          <w:szCs w:val="28"/>
          <w:rtl/>
        </w:rPr>
        <w:t xml:space="preserve">و مر والده المعروف بقاضی شیخ کبیر بعنوان القاضی أویس بن محمد اللطیفی. و لعل کبیر تخلصهما و یأتی ولده شمس الدین محمد بن القاضی شیخ کبیر المعروف بقاضی.</w:t>
      </w:r>
    </w:p>
    <w:p>
      <w:pPr>
        <w:pStyle w:val="Heading3"/>
      </w:pPr>
      <w:bookmarkStart w:id="7652" w:name="_Toc6348"/>
      <w:r>
        <w:t>5778- دیوان قاضی‏زاده أصفهانی أو شعره‏</w:t>
      </w:r>
      <w:bookmarkEnd w:id="7652"/>
    </w:p>
    <w:p>
      <w:pPr>
        <w:pStyle w:val="BookText"/>
      </w:pPr>
      <w:r>
        <w:rPr>
          <w:rFonts w:ascii="IRNazanin" w:hAnsi="IRNazanin" w:eastAsia="IRNazanin" w:cs="IRNazanin"/>
          <w:lang w:bidi="fa-IR"/>
          <w:color w:val="111111"/>
          <w:sz w:val="28"/>
          <w:szCs w:val="28"/>
          <w:rtl/>
        </w:rPr>
        <w:t xml:space="preserve">و هو المیرزا باقر العباس‏آبادی الأصفهانی المولود و المتوفی بها. هو من تلامیذ المولی محمد باقر الخراسانی و المیر قوام. ترجمه و أورد شعره الحزین فی تذکرته (ص 38).</w:t>
      </w:r>
    </w:p>
    <w:p>
      <w:pPr>
        <w:pStyle w:val="Heading3"/>
      </w:pPr>
      <w:bookmarkStart w:id="7653" w:name="_Toc6349"/>
      <w:r>
        <w:t>5779- دیوان قاضی‏زاده رومی أو شعره‏</w:t>
      </w:r>
      <w:bookmarkEnd w:id="7653"/>
    </w:p>
    <w:p>
      <w:pPr>
        <w:pStyle w:val="BookText"/>
      </w:pPr>
      <w:r>
        <w:rPr>
          <w:rFonts w:ascii="IRNazanin" w:hAnsi="IRNazanin" w:eastAsia="IRNazanin" w:cs="IRNazanin"/>
          <w:lang w:bidi="fa-IR"/>
          <w:color w:val="111111"/>
          <w:sz w:val="28"/>
          <w:szCs w:val="28"/>
          <w:rtl/>
        </w:rPr>
        <w:t xml:space="preserve">له کتاب السراج المنیر فی الإمامة ألفه باسم الشاه عباس الصفوی و تاریخ کتابة النسخة فی 1092 و النسخة عند السید شهاب الدین التبریزی نزیل قم کما کتبه إلینا. أوله شعر له:</w:t>
      </w:r>
    </w:p>
    <w:p>
      <w:pPr>
        <w:pStyle w:val="BookText"/>
      </w:pPr>
      <w:r>
        <w:rPr>
          <w:rFonts w:ascii="IRNazanin" w:hAnsi="IRNazanin" w:eastAsia="IRNazanin" w:cs="IRNazanin"/>
          <w:lang w:bidi="fa-IR"/>
          <w:color w:val="111111"/>
          <w:sz w:val="28"/>
          <w:szCs w:val="28"/>
          <w:rtl/>
        </w:rPr>
        <w:t xml:space="preserve">کس نامه اسرار جلی ننویسد</w:t>
      </w:r>
    </w:p>
    <w:p>
      <w:pPr>
        <w:pStyle w:val="BookText"/>
      </w:pPr>
      <w:r>
        <w:rPr>
          <w:rFonts w:ascii="IRNazanin" w:hAnsi="IRNazanin" w:eastAsia="IRNazanin" w:cs="IRNazanin"/>
          <w:lang w:bidi="fa-IR"/>
          <w:color w:val="111111"/>
          <w:sz w:val="28"/>
          <w:szCs w:val="28"/>
          <w:rtl/>
        </w:rPr>
        <w:t xml:space="preserve">تا ناد علی سینجلی ننویسد</w:t>
      </w:r>
    </w:p>
    <w:p>
      <w:pPr>
        <w:pStyle w:val="Heading3"/>
      </w:pPr>
      <w:bookmarkStart w:id="7654" w:name="_Toc6350"/>
      <w:r>
        <w:t>5780- دیوان قاضی‏زاده کرهرودی‏</w:t>
      </w:r>
      <w:bookmarkEnd w:id="7654"/>
    </w:p>
    <w:p>
      <w:pPr>
        <w:pStyle w:val="BookText"/>
      </w:pPr>
      <w:r>
        <w:rPr>
          <w:rStyle w:val="FootnoteReference"/>
        </w:rPr>
        <w:footnoteReference w:id="72"/>
      </w:r>
      <w:r>
        <w:rPr>
          <w:rFonts w:ascii="IRNazanin" w:hAnsi="IRNazanin" w:eastAsia="IRNazanin" w:cs="IRNazanin"/>
          <w:lang w:bidi="fa-IR"/>
          <w:color w:val="111111"/>
          <w:sz w:val="28"/>
          <w:szCs w:val="28"/>
          <w:rtl/>
        </w:rPr>
        <w:t xml:space="preserve">و یقال له القاضی الکرهرودی أو القاضی علائی الکرهرودی کما فی (تس 5- ص 107) لأنه علاء الدین عبد الخالق المعروف بقاضی‏زاده الکرهرودی، و ترجمه صاحب الریاض بعنوان عبد الخالق و قال فاضل عالم محقق متکلم شاعر منشی صوفی من علماء عصر السلطان الشاه عباس الماضی و من جملة تلامذة الشیخ البهائی. و له رسالة فی الإمامة فارسیة ذکر فیها مناظرته مع القاضی‏زاده الماوراءالنهری. قال و هو متأخر عن القاضی‏زاده الکرهرودی الذی نقل الباغنوی کلامه فی حاشیة شرح حکمة العین أقول رسالته فی الإمامة هی التحفة الشاهیة کما مر فی ج 3 ص 443 و ترجمه سام میرزا فی (تس 5- ص 107) بعنوان قاضی علائی و قال إنه توفی، و ذکر بعض شعره فی المناقب و کذا فی همیشه بهار.</w:t>
      </w:r>
    </w:p>
    <w:p>
      <w:pPr>
        <w:pStyle w:val="Heading3"/>
      </w:pPr>
      <w:bookmarkStart w:id="7655" w:name="_Toc6351"/>
      <w:r>
        <w:t>5781- دیوان قاضی‏زاده مشهدی أو شعره‏</w:t>
      </w:r>
      <w:bookmarkEnd w:id="7655"/>
    </w:p>
    <w:p>
      <w:pPr>
        <w:pStyle w:val="BookText"/>
      </w:pPr>
      <w:r>
        <w:rPr>
          <w:rFonts w:ascii="IRNazanin" w:hAnsi="IRNazanin" w:eastAsia="IRNazanin" w:cs="IRNazanin"/>
          <w:lang w:bidi="fa-IR"/>
          <w:color w:val="111111"/>
          <w:sz w:val="28"/>
          <w:szCs w:val="28"/>
          <w:rtl/>
        </w:rPr>
        <w:t xml:space="preserve">و هو المولی داود ملاباشی ابن الحاج قاضی المشهدی. ترجم فی مطلع الشمس و مر له البدیعیة فی 3: 75.</w:t>
      </w:r>
    </w:p>
    <w:p>
      <w:pPr>
        <w:pStyle w:val="Heading3"/>
      </w:pPr>
      <w:bookmarkStart w:id="7656" w:name="_Toc6352"/>
      <w:r>
        <w:t>دیوان قاضی‏زاده‏</w:t>
      </w:r>
      <w:bookmarkEnd w:id="7656"/>
    </w:p>
    <w:p>
      <w:pPr>
        <w:pStyle w:val="BookText"/>
      </w:pPr>
      <w:r>
        <w:rPr>
          <w:rFonts w:ascii="IRNazanin" w:hAnsi="IRNazanin" w:eastAsia="IRNazanin" w:cs="IRNazanin"/>
          <w:lang w:bidi="fa-IR"/>
          <w:color w:val="111111"/>
          <w:sz w:val="28"/>
          <w:szCs w:val="28"/>
          <w:rtl/>
        </w:rPr>
        <w:t xml:space="preserve">کما فی (لط 3- ص 74) مر بعنوان قاضی‏زاده.</w:t>
      </w:r>
    </w:p>
    <w:p>
      <w:pPr>
        <w:pStyle w:val="Heading3"/>
      </w:pPr>
      <w:bookmarkStart w:id="7657" w:name="_Toc6353"/>
      <w:r>
        <w:t>دیوان قاضی سلام الله کاشی‏</w:t>
      </w:r>
      <w:bookmarkEnd w:id="7657"/>
    </w:p>
    <w:p>
      <w:pPr>
        <w:pStyle w:val="BookText"/>
      </w:pPr>
      <w:r>
        <w:rPr>
          <w:rFonts w:ascii="IRNazanin" w:hAnsi="IRNazanin" w:eastAsia="IRNazanin" w:cs="IRNazanin"/>
          <w:lang w:bidi="fa-IR"/>
          <w:color w:val="111111"/>
          <w:sz w:val="28"/>
          <w:szCs w:val="28"/>
          <w:rtl/>
        </w:rPr>
        <w:t xml:space="preserve">ترجمه سام میرزا فی (تس 4- ص 76) و أطری حسن طبعه و تقواه و أرخ وفاته فی 911 و أورد مطلع غزله. و مر فی ص 455. .
</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bookmarkStart w:id="861" w:name="pg11704_122347"/>
    <w:bookmarkEnd w:id="861"/>
    <w:p>
      <w:pPr>
        <w:pStyle w:val="Heading3"/>
      </w:pPr>
      <w:bookmarkStart w:id="7658" w:name="_Toc6354"/>
      <w:r>
        <w:t>دیوان قاضی سنجانی‏</w:t>
      </w:r>
      <w:bookmarkEnd w:id="7658"/>
    </w:p>
    <w:p>
      <w:pPr>
        <w:pStyle w:val="BookText"/>
      </w:pPr>
      <w:r>
        <w:rPr>
          <w:rFonts w:ascii="IRNazanin" w:hAnsi="IRNazanin" w:eastAsia="IRNazanin" w:cs="IRNazanin"/>
          <w:lang w:bidi="fa-IR"/>
          <w:color w:val="111111"/>
          <w:sz w:val="28"/>
          <w:szCs w:val="28"/>
          <w:rtl/>
        </w:rPr>
        <w:t xml:space="preserve">المتوفی 941 ترجمه سام میرزا. و مر فی ص 472.</w:t>
      </w:r>
    </w:p>
    <w:p>
      <w:pPr>
        <w:pStyle w:val="Heading3"/>
      </w:pPr>
      <w:bookmarkStart w:id="7659" w:name="_Toc6355"/>
      <w:r>
        <w:t>دیوان قاضی شرف‏جهان القزوینی‏</w:t>
      </w:r>
      <w:bookmarkEnd w:id="7659"/>
    </w:p>
    <w:p>
      <w:pPr>
        <w:pStyle w:val="BookText"/>
      </w:pPr>
      <w:r>
        <w:rPr>
          <w:rFonts w:ascii="IRNazanin" w:hAnsi="IRNazanin" w:eastAsia="IRNazanin" w:cs="IRNazanin"/>
          <w:lang w:bidi="fa-IR"/>
          <w:color w:val="111111"/>
          <w:sz w:val="28"/>
          <w:szCs w:val="28"/>
          <w:rtl/>
        </w:rPr>
        <w:t xml:space="preserve">. یوجد فی مکتبة (المجلس) کما نقل عن فهرسها و مر فی ص 515.</w:t>
      </w:r>
    </w:p>
    <w:p>
      <w:pPr>
        <w:pStyle w:val="Heading3"/>
      </w:pPr>
      <w:bookmarkStart w:id="7660" w:name="_Toc6356"/>
      <w:r>
        <w:t>قاضی شمس الدین معلم الگیلانی‏</w:t>
      </w:r>
      <w:bookmarkEnd w:id="7660"/>
    </w:p>
    <w:p>
      <w:pPr>
        <w:pStyle w:val="BookText"/>
      </w:pPr>
      <w:r>
        <w:rPr>
          <w:rFonts w:ascii="IRNazanin" w:hAnsi="IRNazanin" w:eastAsia="IRNazanin" w:cs="IRNazanin"/>
          <w:lang w:bidi="fa-IR"/>
          <w:color w:val="111111"/>
          <w:sz w:val="28"/>
          <w:szCs w:val="28"/>
          <w:rtl/>
        </w:rPr>
        <w:t xml:space="preserve">مر فی ص 542.</w:t>
      </w:r>
    </w:p>
    <w:p>
      <w:pPr>
        <w:pStyle w:val="Heading3"/>
      </w:pPr>
      <w:bookmarkStart w:id="7661" w:name="_Toc6357"/>
      <w:r>
        <w:t>5782- دیوان قاضی شوشتری أو شعره‏</w:t>
      </w:r>
      <w:bookmarkEnd w:id="7661"/>
    </w:p>
    <w:p>
      <w:pPr>
        <w:pStyle w:val="BookText"/>
      </w:pPr>
      <w:r>
        <w:rPr>
          <w:rFonts w:ascii="IRNazanin" w:hAnsi="IRNazanin" w:eastAsia="IRNazanin" w:cs="IRNazanin"/>
          <w:lang w:bidi="fa-IR"/>
          <w:color w:val="111111"/>
          <w:sz w:val="28"/>
          <w:szCs w:val="28"/>
          <w:rtl/>
        </w:rPr>
        <w:t xml:space="preserve">و اسمه محمد معصوم و هو کآبائه کان من قضاة تستر کما ترجمه و أورد شعره فی (نر 6- ص 196) و (گلشن- ص 328).</w:t>
      </w:r>
    </w:p>
    <w:p>
      <w:pPr>
        <w:pStyle w:val="Heading3"/>
      </w:pPr>
      <w:bookmarkStart w:id="7662" w:name="_Toc6358"/>
      <w:r>
        <w:t>دیوان قاضی شهاب الدین الجمندی‏</w:t>
      </w:r>
      <w:bookmarkEnd w:id="7662"/>
    </w:p>
    <w:p>
      <w:pPr>
        <w:pStyle w:val="BookText"/>
      </w:pPr>
      <w:r>
        <w:rPr>
          <w:rFonts w:ascii="IRNazanin" w:hAnsi="IRNazanin" w:eastAsia="IRNazanin" w:cs="IRNazanin"/>
          <w:lang w:bidi="fa-IR"/>
          <w:color w:val="111111"/>
          <w:sz w:val="28"/>
          <w:szCs w:val="28"/>
          <w:rtl/>
        </w:rPr>
        <w:t xml:space="preserve">. مر بعنوان شهاب مرندی فی ص 556.</w:t>
      </w:r>
    </w:p>
    <w:p>
      <w:pPr>
        <w:pStyle w:val="Heading3"/>
      </w:pPr>
      <w:bookmarkStart w:id="7663" w:name="_Toc6359"/>
      <w:r>
        <w:t>5783- دیوان قاضی صفی الدین أو شعره‏</w:t>
      </w:r>
      <w:bookmarkEnd w:id="7663"/>
    </w:p>
    <w:p>
      <w:pPr>
        <w:pStyle w:val="BookText"/>
      </w:pPr>
      <w:r>
        <w:rPr>
          <w:rFonts w:ascii="IRNazanin" w:hAnsi="IRNazanin" w:eastAsia="IRNazanin" w:cs="IRNazanin"/>
          <w:lang w:bidi="fa-IR"/>
          <w:color w:val="111111"/>
          <w:sz w:val="28"/>
          <w:szCs w:val="28"/>
          <w:rtl/>
        </w:rPr>
        <w:t xml:space="preserve">کان سبط القاضی عیسی الماضی و ابن ابن أخیه. أطرأه سام میرزا فی (تس 4- ص 73) و أورد شعره.</w:t>
      </w:r>
    </w:p>
    <w:p>
      <w:pPr>
        <w:pStyle w:val="Heading3"/>
      </w:pPr>
      <w:bookmarkStart w:id="7664" w:name="_Toc6360"/>
      <w:r>
        <w:t>5784- دیوان قاضی عبد الخالق کرهرودی أو شعره‏</w:t>
      </w:r>
      <w:bookmarkEnd w:id="7664"/>
    </w:p>
    <w:p>
      <w:pPr>
        <w:pStyle w:val="BookText"/>
      </w:pPr>
      <w:r>
        <w:rPr>
          <w:rFonts w:ascii="IRNazanin" w:hAnsi="IRNazanin" w:eastAsia="IRNazanin" w:cs="IRNazanin"/>
          <w:lang w:bidi="fa-IR"/>
          <w:color w:val="111111"/>
          <w:sz w:val="28"/>
          <w:szCs w:val="28"/>
          <w:rtl/>
        </w:rPr>
        <w:t xml:space="preserve">ترجمه معاصره سام میرزا فی (تس 2- ص 53) و أورد شعره و ذکر أنه قاضی قم و هو غیر القاضی علائی المتردد بین أصفهان و تبریز و المتوفی بأصفهان 936 و ذکره سام میرزا أیضا فی (تس 5- ص 107) بعنوان قاضی علائی و ذکرناه بعنوان قاضی‏زاده الکرهرودی.</w:t>
      </w:r>
    </w:p>
    <w:p>
      <w:pPr>
        <w:pStyle w:val="Heading3"/>
      </w:pPr>
      <w:bookmarkStart w:id="7665" w:name="_Toc6361"/>
      <w:r>
        <w:t>5785- دیوان قاضی عثمان قزوینی‏</w:t>
      </w:r>
      <w:bookmarkEnd w:id="7665"/>
    </w:p>
    <w:p>
      <w:pPr>
        <w:pStyle w:val="BookText"/>
      </w:pPr>
      <w:r>
        <w:rPr>
          <w:rFonts w:ascii="IRNazanin" w:hAnsi="IRNazanin" w:eastAsia="IRNazanin" w:cs="IRNazanin"/>
          <w:lang w:bidi="fa-IR"/>
          <w:color w:val="111111"/>
          <w:sz w:val="28"/>
          <w:szCs w:val="28"/>
          <w:rtl/>
        </w:rPr>
        <w:t xml:space="preserve">له رضی‏نامه و خمسة آلاف بیت کما فی تاریخ گزیده- ص 822.</w:t>
      </w:r>
    </w:p>
    <w:p>
      <w:pPr>
        <w:pStyle w:val="Heading3"/>
      </w:pPr>
      <w:bookmarkStart w:id="7666" w:name="_Toc6362"/>
      <w:r>
        <w:t>دیوان قاضی عبد الله گیلانی اللاهیجانی‏</w:t>
      </w:r>
      <w:bookmarkEnd w:id="7666"/>
    </w:p>
    <w:p>
      <w:pPr>
        <w:pStyle w:val="BookText"/>
      </w:pPr>
      <w:r>
        <w:rPr>
          <w:rFonts w:ascii="IRNazanin" w:hAnsi="IRNazanin" w:eastAsia="IRNazanin" w:cs="IRNazanin"/>
          <w:lang w:bidi="fa-IR"/>
          <w:color w:val="111111"/>
          <w:sz w:val="28"/>
          <w:szCs w:val="28"/>
          <w:rtl/>
        </w:rPr>
        <w:t xml:space="preserve">. ترجمه الشاه محمد القزوینی فی (بهش 2- ص 390) و أورد شعره، و کذا فی (حسینی- ص 269). و مر فی ص 698.</w:t>
      </w:r>
    </w:p>
    <w:p>
      <w:pPr>
        <w:pStyle w:val="Heading3"/>
      </w:pPr>
      <w:bookmarkStart w:id="7667" w:name="_Toc6363"/>
      <w:r>
        <w:t>دیوان قاضی عبد الوهاب المشهدی‏</w:t>
      </w:r>
      <w:bookmarkEnd w:id="7667"/>
    </w:p>
    <w:p>
      <w:pPr>
        <w:pStyle w:val="BookText"/>
      </w:pPr>
      <w:r>
        <w:rPr>
          <w:rFonts w:ascii="IRNazanin" w:hAnsi="IRNazanin" w:eastAsia="IRNazanin" w:cs="IRNazanin"/>
          <w:lang w:bidi="fa-IR"/>
          <w:color w:val="111111"/>
          <w:sz w:val="28"/>
          <w:szCs w:val="28"/>
          <w:rtl/>
        </w:rPr>
        <w:t xml:space="preserve">قاضی المشهد سنین. مر فی ص 703.</w:t>
      </w:r>
    </w:p>
    <w:p>
      <w:pPr>
        <w:pStyle w:val="Heading3"/>
      </w:pPr>
      <w:bookmarkStart w:id="7668" w:name="_Toc6364"/>
      <w:r>
        <w:t>5786- دیوان قاضی عطاء الله رازی‏</w:t>
      </w:r>
      <w:bookmarkEnd w:id="7668"/>
    </w:p>
    <w:p>
      <w:pPr>
        <w:pStyle w:val="BookText"/>
      </w:pPr>
      <w:r>
        <w:rPr>
          <w:rFonts w:ascii="IRNazanin" w:hAnsi="IRNazanin" w:eastAsia="IRNazanin" w:cs="IRNazanin"/>
          <w:lang w:bidi="fa-IR"/>
          <w:color w:val="111111"/>
          <w:sz w:val="28"/>
          <w:szCs w:val="28"/>
          <w:rtl/>
        </w:rPr>
        <w:t xml:space="preserve">أخ القاضی محمد الرازی معاصر شاه طهماسب. مر فی ص 727 بعنوان عطاء طهرانی ترجمه سام میرزا فی (تس 2- ص 32) و ذکر أنه و أخاه من سادات ورامین و ری و أورد شعرا آخر له. و کذا فی همیشه بهار.</w:t>
      </w:r>
    </w:p>
    <w:p>
      <w:pPr>
        <w:pStyle w:val="Heading3"/>
      </w:pPr>
      <w:bookmarkStart w:id="7669" w:name="_Toc6365"/>
      <w:r>
        <w:t>دیوان قاضی قزوینی‏</w:t>
      </w:r>
      <w:bookmarkEnd w:id="7669"/>
    </w:p>
    <w:p>
      <w:pPr>
        <w:pStyle w:val="BookText"/>
      </w:pPr>
      <w:r>
        <w:rPr>
          <w:rFonts w:ascii="IRNazanin" w:hAnsi="IRNazanin" w:eastAsia="IRNazanin" w:cs="IRNazanin"/>
          <w:lang w:bidi="fa-IR"/>
          <w:color w:val="111111"/>
          <w:sz w:val="28"/>
          <w:szCs w:val="28"/>
          <w:rtl/>
        </w:rPr>
        <w:t xml:space="preserve">کما فی (گلشن- ص 328) راجع قاضی میرک و قاضی روح.</w:t>
      </w:r>
    </w:p>
    <w:p>
      <w:pPr>
        <w:pStyle w:val="Heading3"/>
      </w:pPr>
      <w:bookmarkStart w:id="7670" w:name="_Toc6366"/>
      <w:r>
        <w:t>دیوان قاضی قهپائی‏</w:t>
      </w:r>
      <w:bookmarkEnd w:id="7670"/>
    </w:p>
    <w:p>
      <w:pPr>
        <w:pStyle w:val="BookText"/>
      </w:pPr>
      <w:r>
        <w:rPr>
          <w:rFonts w:ascii="IRNazanin" w:hAnsi="IRNazanin" w:eastAsia="IRNazanin" w:cs="IRNazanin"/>
          <w:lang w:bidi="fa-IR"/>
          <w:color w:val="111111"/>
          <w:sz w:val="28"/>
          <w:szCs w:val="28"/>
          <w:rtl/>
        </w:rPr>
        <w:t xml:space="preserve">کما فی (نتایج- ص 68) مر بعنوان أسد کاشی فی ص 71.</w:t>
      </w:r>
    </w:p>
    <w:p>
      <w:pPr>
        <w:pStyle w:val="Heading3"/>
      </w:pPr>
      <w:bookmarkStart w:id="7671" w:name="_Toc6367"/>
      <w:r>
        <w:t>دیوان قاضی قندهاری‏</w:t>
      </w:r>
      <w:bookmarkEnd w:id="7671"/>
    </w:p>
    <w:p>
      <w:pPr>
        <w:pStyle w:val="BookText"/>
      </w:pPr>
      <w:r>
        <w:rPr>
          <w:rFonts w:ascii="IRNazanin" w:hAnsi="IRNazanin" w:eastAsia="IRNazanin" w:cs="IRNazanin"/>
          <w:lang w:bidi="fa-IR"/>
          <w:color w:val="111111"/>
          <w:sz w:val="28"/>
          <w:szCs w:val="28"/>
          <w:rtl/>
        </w:rPr>
        <w:t xml:space="preserve">مر بعنوان أبی البرکة فی ص 36.</w:t>
      </w:r>
    </w:p>
    <w:p>
      <w:pPr>
        <w:pStyle w:val="Heading3"/>
      </w:pPr>
      <w:bookmarkStart w:id="7672" w:name="_Toc6368"/>
      <w:r>
        <w:t>دیوان قاضی لاغر سیستانی‏</w:t>
      </w:r>
      <w:bookmarkEnd w:id="7672"/>
    </w:p>
    <w:p>
      <w:pPr>
        <w:pStyle w:val="BookText"/>
      </w:pPr>
      <w:r>
        <w:rPr>
          <w:rFonts w:ascii="IRNazanin" w:hAnsi="IRNazanin" w:eastAsia="IRNazanin" w:cs="IRNazanin"/>
          <w:lang w:bidi="fa-IR"/>
          <w:color w:val="111111"/>
          <w:sz w:val="28"/>
          <w:szCs w:val="28"/>
          <w:rtl/>
        </w:rPr>
        <w:t xml:space="preserve">راجع دیوان لاغر.
</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bookmarkStart w:id="862" w:name="pg11704_122348"/>
    <w:bookmarkEnd w:id="862"/>
    <w:p>
      <w:pPr>
        <w:pStyle w:val="Heading3"/>
      </w:pPr>
      <w:bookmarkStart w:id="7673" w:name="_Toc6369"/>
      <w:r>
        <w:t>5787- دیوان القاضی محمد</w:t>
      </w:r>
      <w:bookmarkEnd w:id="7673"/>
    </w:p>
    <w:p>
      <w:pPr>
        <w:pStyle w:val="BookText"/>
      </w:pPr>
      <w:r>
        <w:rPr>
          <w:rFonts w:ascii="IRNazanin" w:hAnsi="IRNazanin" w:eastAsia="IRNazanin" w:cs="IRNazanin"/>
          <w:lang w:bidi="fa-IR"/>
          <w:color w:val="111111"/>
          <w:sz w:val="28"/>
          <w:szCs w:val="28"/>
          <w:rtl/>
        </w:rPr>
        <w:t xml:space="preserve">ابن القاضی نعمان المصری المتوفی 389 ابن مؤلف دعائم الإسلام المذکور فی ج 8 ص 197 توجد قطعة من هذا الدیوان، و قد أجاب بها عن عبد الله بن الحسن الجعفری الشاعر السمرقندی، کما ذکر فی مقدمه طبع کتاب الهمة للقاضی نعمان فی ص 15.</w:t>
      </w:r>
    </w:p>
    <w:p>
      <w:pPr>
        <w:pStyle w:val="Heading3"/>
      </w:pPr>
      <w:bookmarkStart w:id="7674" w:name="_Toc6370"/>
      <w:r>
        <w:t>5788- دیوان قاضی محمد ورامین أو شعره‏</w:t>
      </w:r>
      <w:bookmarkEnd w:id="7674"/>
    </w:p>
    <w:p>
      <w:pPr>
        <w:pStyle w:val="BookText"/>
      </w:pPr>
      <w:r>
        <w:rPr>
          <w:rFonts w:ascii="IRNazanin" w:hAnsi="IRNazanin" w:eastAsia="IRNazanin" w:cs="IRNazanin"/>
          <w:lang w:bidi="fa-IR"/>
          <w:color w:val="111111"/>
          <w:sz w:val="28"/>
          <w:szCs w:val="28"/>
          <w:rtl/>
        </w:rPr>
        <w:t xml:space="preserve">هو من سادت البلد و ابن القاضی شکر الله الرازی الذی کان قاضی ورامین فی سنین، و ابنه القاضی محمد صار کلانتر ری. ترجمه سام میرزا فی (تس 2- ص 32) و أورد شعره و ذکر بعده أخاه القاضی عطاء الله کما مر.</w:t>
      </w:r>
    </w:p>
    <w:p>
      <w:pPr>
        <w:pStyle w:val="Heading3"/>
      </w:pPr>
      <w:bookmarkStart w:id="7675" w:name="_Toc6371"/>
      <w:r>
        <w:t>دیوان قاضی محمد</w:t>
      </w:r>
      <w:bookmarkEnd w:id="7675"/>
    </w:p>
    <w:p>
      <w:pPr>
        <w:pStyle w:val="BookText"/>
      </w:pPr>
      <w:r>
        <w:rPr>
          <w:rFonts w:ascii="IRNazanin" w:hAnsi="IRNazanin" w:eastAsia="IRNazanin" w:cs="IRNazanin"/>
          <w:lang w:bidi="fa-IR"/>
          <w:color w:val="111111"/>
          <w:sz w:val="28"/>
          <w:szCs w:val="28"/>
          <w:rtl/>
        </w:rPr>
        <w:t xml:space="preserve">ابن خالة القاضی عیسی. یأتی بتخلصه وصالی.</w:t>
      </w:r>
    </w:p>
    <w:p>
      <w:pPr>
        <w:pStyle w:val="Heading3"/>
      </w:pPr>
      <w:bookmarkStart w:id="7676" w:name="_Toc6372"/>
      <w:r>
        <w:t>5789- دیوان قاضی محمود أو شعره‏</w:t>
      </w:r>
      <w:bookmarkEnd w:id="7676"/>
    </w:p>
    <w:p>
      <w:pPr>
        <w:pStyle w:val="BookText"/>
      </w:pPr>
      <w:r>
        <w:rPr>
          <w:rFonts w:ascii="IRNazanin" w:hAnsi="IRNazanin" w:eastAsia="IRNazanin" w:cs="IRNazanin"/>
          <w:lang w:bidi="fa-IR"/>
          <w:color w:val="111111"/>
          <w:sz w:val="28"/>
          <w:szCs w:val="28"/>
          <w:rtl/>
        </w:rPr>
        <w:t xml:space="preserve">هو ابن القاضی روح الله المذکور آنفا. کان من المجدین فی تحصیل العلوم. ترجمه معاصره سام میرزا فی (تس 2- ص 30) و أورد مطلع غزله.</w:t>
      </w:r>
    </w:p>
    <w:p>
      <w:pPr>
        <w:pStyle w:val="Heading3"/>
      </w:pPr>
      <w:bookmarkStart w:id="7677" w:name="_Toc6373"/>
      <w:r>
        <w:t>دیوان قاضی محیی‏</w:t>
      </w:r>
      <w:bookmarkEnd w:id="7677"/>
    </w:p>
    <w:p>
      <w:pPr>
        <w:pStyle w:val="BookText"/>
      </w:pPr>
      <w:r>
        <w:rPr>
          <w:rFonts w:ascii="IRNazanin" w:hAnsi="IRNazanin" w:eastAsia="IRNazanin" w:cs="IRNazanin"/>
          <w:lang w:bidi="fa-IR"/>
          <w:color w:val="111111"/>
          <w:sz w:val="28"/>
          <w:szCs w:val="28"/>
          <w:rtl/>
        </w:rPr>
        <w:t xml:space="preserve">راجع دیوان قطب محیی.</w:t>
      </w:r>
    </w:p>
    <w:p>
      <w:pPr>
        <w:pStyle w:val="Heading3"/>
      </w:pPr>
      <w:bookmarkStart w:id="7678" w:name="_Toc6374"/>
      <w:r>
        <w:t>5790- دیوان قاضی مسافر أو شعره‏</w:t>
      </w:r>
      <w:bookmarkEnd w:id="7678"/>
    </w:p>
    <w:p>
      <w:pPr>
        <w:pStyle w:val="BookText"/>
      </w:pPr>
      <w:r>
        <w:rPr>
          <w:rFonts w:ascii="IRNazanin" w:hAnsi="IRNazanin" w:eastAsia="IRNazanin" w:cs="IRNazanin"/>
          <w:lang w:bidi="fa-IR"/>
          <w:color w:val="111111"/>
          <w:sz w:val="28"/>
          <w:szCs w:val="28"/>
          <w:rtl/>
        </w:rPr>
        <w:t xml:space="preserve">ترجمه النصرآبادی فی (نر 13- ص 472) و ذکر استخراجه لتاریخ جلوس الشاه إسماعیل الثانی السنی، قوله (مذهب ناحق) فلما علم به السلطان غضب علیه شدیدا، فلما حضر عنده قال انما استخرجت التاریخ علی لسانک [مذهبنا حق‏] فعفی عنه. و أورد فی (روشن- ص 470) القصة المیر یحیی والد کامی قزوینی الآتی.</w:t>
      </w:r>
    </w:p>
    <w:p>
      <w:pPr>
        <w:pStyle w:val="Heading3"/>
      </w:pPr>
      <w:bookmarkStart w:id="7679" w:name="_Toc6375"/>
      <w:r>
        <w:t>5791- دیوان قاضی مسعود أو شعره‏</w:t>
      </w:r>
      <w:bookmarkEnd w:id="7679"/>
    </w:p>
    <w:p>
      <w:pPr>
        <w:pStyle w:val="BookText"/>
      </w:pPr>
      <w:r>
        <w:rPr>
          <w:rFonts w:ascii="IRNazanin" w:hAnsi="IRNazanin" w:eastAsia="IRNazanin" w:cs="IRNazanin"/>
          <w:lang w:bidi="fa-IR"/>
          <w:color w:val="111111"/>
          <w:sz w:val="28"/>
          <w:szCs w:val="28"/>
          <w:rtl/>
        </w:rPr>
        <w:t xml:space="preserve">هو ابن القاضی میر عبد الصمد الرازی من أحفاد القاضی سیف الدین، من الفقهاء و القضاة فی ری. ترجمه معاصره و أورد شعره فی (تس 2- ص 40).</w:t>
      </w:r>
    </w:p>
    <w:p>
      <w:pPr>
        <w:pStyle w:val="Heading3"/>
      </w:pPr>
      <w:bookmarkStart w:id="7680" w:name="_Toc6376"/>
      <w:r>
        <w:t>دیوان قاضی میبدی‏</w:t>
      </w:r>
      <w:bookmarkEnd w:id="7680"/>
    </w:p>
    <w:p>
      <w:pPr>
        <w:pStyle w:val="BookText"/>
      </w:pPr>
      <w:r>
        <w:rPr>
          <w:rFonts w:ascii="IRNazanin" w:hAnsi="IRNazanin" w:eastAsia="IRNazanin" w:cs="IRNazanin"/>
          <w:lang w:bidi="fa-IR"/>
          <w:color w:val="111111"/>
          <w:sz w:val="28"/>
          <w:szCs w:val="28"/>
          <w:rtl/>
        </w:rPr>
        <w:t xml:space="preserve">یأتی بتخلصه منطقی.</w:t>
      </w:r>
    </w:p>
    <w:p>
      <w:pPr>
        <w:pStyle w:val="Heading3"/>
      </w:pPr>
      <w:bookmarkStart w:id="7681" w:name="_Toc6377"/>
      <w:r>
        <w:t>5792- دیوان قاضی میرک أو شعره‏</w:t>
      </w:r>
      <w:bookmarkEnd w:id="7681"/>
    </w:p>
    <w:p>
      <w:pPr>
        <w:pStyle w:val="BookText"/>
      </w:pPr>
      <w:r>
        <w:rPr>
          <w:rFonts w:ascii="IRNazanin" w:hAnsi="IRNazanin" w:eastAsia="IRNazanin" w:cs="IRNazanin"/>
          <w:lang w:bidi="fa-IR"/>
          <w:color w:val="111111"/>
          <w:sz w:val="28"/>
          <w:szCs w:val="28"/>
          <w:rtl/>
        </w:rPr>
        <w:t xml:space="preserve">کان قاضیا فی قزوین فی عصر سام میرزا. ترجمه فی (تس 4- ص 79) و أورد شعره و کذا فی (گلشن- ص 328) بعنوان قاضی قزوینی،</w:t>
      </w:r>
    </w:p>
    <w:p>
      <w:pPr>
        <w:pStyle w:val="Heading3"/>
      </w:pPr>
      <w:bookmarkStart w:id="7682" w:name="_Toc6378"/>
      <w:r>
        <w:t>5793- دیوان قاضی میرک أو شعره‏</w:t>
      </w:r>
      <w:bookmarkEnd w:id="7682"/>
    </w:p>
    <w:p>
      <w:pPr>
        <w:pStyle w:val="BookText"/>
      </w:pPr>
      <w:r>
        <w:rPr>
          <w:rFonts w:ascii="IRNazanin" w:hAnsi="IRNazanin" w:eastAsia="IRNazanin" w:cs="IRNazanin"/>
          <w:lang w:bidi="fa-IR"/>
          <w:color w:val="111111"/>
          <w:sz w:val="28"/>
          <w:szCs w:val="28"/>
          <w:rtl/>
        </w:rPr>
        <w:t xml:space="preserve">هو ابن الخواجة شکر الله المستوفی لحسن بیک، و کان میرک معلم السلطان یعقوب قبل جلوسه و لما جلس للملک صار صدر المملکة فی غایة الاحترام. و بعد وفاة السلطان یعقوب فی 896 و تسلط صوفی خلیل، قتل القاضی میرک فی تلک السنة کما ذکره سام میرزا فی (تس 4- ص 72) و أورد شعره.
</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bookmarkStart w:id="863" w:name="pg11704_122349"/>
    <w:bookmarkEnd w:id="863"/>
    <w:p>
      <w:pPr>
        <w:pStyle w:val="Heading3"/>
      </w:pPr>
      <w:bookmarkStart w:id="7683" w:name="_Toc6379"/>
      <w:r>
        <w:t>5794- دیوان قاضی نعمت جنابذی أو شعره‏</w:t>
      </w:r>
      <w:bookmarkEnd w:id="7683"/>
    </w:p>
    <w:p>
      <w:pPr>
        <w:pStyle w:val="BookText"/>
      </w:pPr>
      <w:r>
        <w:rPr>
          <w:rFonts w:ascii="IRNazanin" w:hAnsi="IRNazanin" w:eastAsia="IRNazanin" w:cs="IRNazanin"/>
          <w:lang w:bidi="fa-IR"/>
          <w:color w:val="111111"/>
          <w:sz w:val="28"/>
          <w:szCs w:val="28"/>
          <w:rtl/>
        </w:rPr>
        <w:t xml:space="preserve">ترجمه سام میرزا فی (تس 5- ص 169) و أطری علمه و مهارته فی السیاق و أورد شعره.</w:t>
      </w:r>
    </w:p>
    <w:p>
      <w:pPr>
        <w:pStyle w:val="Heading3"/>
      </w:pPr>
      <w:bookmarkStart w:id="7684" w:name="_Toc6380"/>
      <w:r>
        <w:t>5795- دیوان قاضی نور الله أو شعره‏</w:t>
      </w:r>
      <w:bookmarkEnd w:id="7684"/>
    </w:p>
    <w:p>
      <w:pPr>
        <w:pStyle w:val="BookText"/>
      </w:pPr>
      <w:r>
        <w:rPr>
          <w:rFonts w:ascii="IRNazanin" w:hAnsi="IRNazanin" w:eastAsia="IRNazanin" w:cs="IRNazanin"/>
          <w:lang w:bidi="fa-IR"/>
          <w:color w:val="111111"/>
          <w:sz w:val="28"/>
          <w:szCs w:val="28"/>
          <w:rtl/>
        </w:rPr>
        <w:t xml:space="preserve">و هو عم القاضی صفی الدین المذکور آنفا.</w:t>
      </w:r>
    </w:p>
    <w:p>
      <w:pPr>
        <w:pStyle w:val="BookText"/>
      </w:pPr>
      <w:r>
        <w:rPr>
          <w:rFonts w:ascii="IRNazanin" w:hAnsi="IRNazanin" w:eastAsia="IRNazanin" w:cs="IRNazanin"/>
          <w:lang w:bidi="fa-IR"/>
          <w:color w:val="111111"/>
          <w:sz w:val="28"/>
          <w:szCs w:val="28"/>
          <w:rtl/>
        </w:rPr>
        <w:t xml:space="preserve">ترجمه معاصره سام میرزا فی (تس 4- ص 73) و أورد شعره.</w:t>
      </w:r>
    </w:p>
    <w:p>
      <w:pPr>
        <w:pStyle w:val="Heading3"/>
      </w:pPr>
      <w:bookmarkStart w:id="7685" w:name="_Toc6381"/>
      <w:r>
        <w:t>5796- دیوان قاضی نوری أصفهانی‏</w:t>
      </w:r>
      <w:bookmarkEnd w:id="7685"/>
    </w:p>
    <w:p>
      <w:pPr>
        <w:pStyle w:val="BookText"/>
      </w:pPr>
      <w:r>
        <w:rPr>
          <w:rFonts w:ascii="IRNazanin" w:hAnsi="IRNazanin" w:eastAsia="IRNazanin" w:cs="IRNazanin"/>
          <w:lang w:bidi="fa-IR"/>
          <w:color w:val="111111"/>
          <w:sz w:val="28"/>
          <w:szCs w:val="28"/>
          <w:rtl/>
        </w:rPr>
        <w:t xml:space="preserve">ترجمه الصادقی فی (خص 8- ص 153) و أورد شعره و کذا فی (سرخوش- ص 119) و (مسرت- ص 317) و همیشه بهار. و فی کشف الظنون سماه دیوان قاضی نور، القاضی فی عهد الشاه إسماعیل.</w:t>
      </w:r>
    </w:p>
    <w:p>
      <w:pPr>
        <w:pStyle w:val="Heading3"/>
      </w:pPr>
      <w:bookmarkStart w:id="7686" w:name="_Toc6382"/>
      <w:r>
        <w:t>5797- دیوان قاضی نهاوندی أو شعره‏</w:t>
      </w:r>
      <w:bookmarkEnd w:id="7686"/>
    </w:p>
    <w:p>
      <w:pPr>
        <w:pStyle w:val="BookText"/>
      </w:pPr>
      <w:r>
        <w:rPr>
          <w:rFonts w:ascii="IRNazanin" w:hAnsi="IRNazanin" w:eastAsia="IRNazanin" w:cs="IRNazanin"/>
          <w:lang w:bidi="fa-IR"/>
          <w:color w:val="111111"/>
          <w:sz w:val="28"/>
          <w:szCs w:val="28"/>
          <w:rtl/>
        </w:rPr>
        <w:t xml:space="preserve">ترجمه معاصره النصرآبادی فی (نر 9:</w:t>
      </w:r>
    </w:p>
    <w:p>
      <w:pPr>
        <w:pStyle w:val="BookText"/>
      </w:pPr>
      <w:r>
        <w:rPr>
          <w:rFonts w:ascii="IRNazanin" w:hAnsi="IRNazanin" w:eastAsia="IRNazanin" w:cs="IRNazanin"/>
          <w:lang w:bidi="fa-IR"/>
          <w:color w:val="111111"/>
          <w:sz w:val="28"/>
          <w:szCs w:val="28"/>
          <w:rtl/>
        </w:rPr>
        <w:t xml:space="preserve">ص 324) و أورد شعره.</w:t>
      </w:r>
    </w:p>
    <w:p>
      <w:pPr>
        <w:pStyle w:val="Heading3"/>
      </w:pPr>
      <w:bookmarkStart w:id="7687" w:name="_Toc6383"/>
      <w:r>
        <w:t>5798- دیوان قاضی هجیم طبرستانی‏</w:t>
      </w:r>
      <w:bookmarkEnd w:id="7687"/>
    </w:p>
    <w:p>
      <w:pPr>
        <w:pStyle w:val="BookText"/>
      </w:pPr>
      <w:r>
        <w:rPr>
          <w:rFonts w:ascii="IRNazanin" w:hAnsi="IRNazanin" w:eastAsia="IRNazanin" w:cs="IRNazanin"/>
          <w:lang w:bidi="fa-IR"/>
          <w:color w:val="111111"/>
          <w:sz w:val="28"/>
          <w:szCs w:val="28"/>
          <w:rtl/>
        </w:rPr>
        <w:t xml:space="preserve">ترجمه ابن إسفندیار فی تاریخ طبرستان ص 131 و قال إنه الزاهد العالم المدفون فی تربة شمس آل الرسول، و أورد قصیدته الطویلة قرب ثمانین بیتا بالفارسیة و العربیة و الطبریة.</w:t>
      </w:r>
    </w:p>
    <w:p>
      <w:pPr>
        <w:pStyle w:val="Heading3"/>
      </w:pPr>
      <w:bookmarkStart w:id="7688" w:name="_Toc6384"/>
      <w:r>
        <w:t>5799- دیوان قاضی یحیی لاهیجانی أو شعره‏</w:t>
      </w:r>
      <w:bookmarkEnd w:id="7688"/>
    </w:p>
    <w:p>
      <w:pPr>
        <w:pStyle w:val="BookText"/>
      </w:pPr>
      <w:r>
        <w:rPr>
          <w:rFonts w:ascii="IRNazanin" w:hAnsi="IRNazanin" w:eastAsia="IRNazanin" w:cs="IRNazanin"/>
          <w:lang w:bidi="fa-IR"/>
          <w:color w:val="111111"/>
          <w:sz w:val="28"/>
          <w:szCs w:val="28"/>
          <w:rtl/>
        </w:rPr>
        <w:t xml:space="preserve">ترجمه سام میرزا فی (تس 4- ص 77) و أورد شعره. و فی (نر 9- ص 242) أنه سافر إلی الهند و رجع و سکن کاشان.</w:t>
      </w:r>
    </w:p>
    <w:p>
      <w:pPr>
        <w:pStyle w:val="Heading3"/>
      </w:pPr>
      <w:bookmarkStart w:id="7689" w:name="_Toc6385"/>
      <w:r>
        <w:t>5800- دیوان قاطعی أو شعره‏</w:t>
      </w:r>
      <w:bookmarkEnd w:id="7689"/>
    </w:p>
    <w:p>
      <w:pPr>
        <w:pStyle w:val="BookText"/>
      </w:pPr>
      <w:r>
        <w:rPr>
          <w:rFonts w:ascii="IRNazanin" w:hAnsi="IRNazanin" w:eastAsia="IRNazanin" w:cs="IRNazanin"/>
          <w:lang w:bidi="fa-IR"/>
          <w:color w:val="111111"/>
          <w:sz w:val="28"/>
          <w:szCs w:val="28"/>
          <w:rtl/>
        </w:rPr>
        <w:t xml:space="preserve">مر له تذکره شعراء فی 4: 37 و له سفارت صدرجهان و حکیم همام فی سفارتهما من الهند إلی إیران و أزبکستان. کما فی (سرو- ص 93) و (گلشن- ص 150) و أوردا شعره.</w:t>
      </w:r>
    </w:p>
    <w:p>
      <w:pPr>
        <w:pStyle w:val="Heading3"/>
      </w:pPr>
      <w:bookmarkStart w:id="7690" w:name="_Toc6386"/>
      <w:r>
        <w:t>دیوان قافلان بدخشی‏</w:t>
      </w:r>
      <w:bookmarkEnd w:id="7690"/>
    </w:p>
    <w:p>
      <w:pPr>
        <w:pStyle w:val="BookText"/>
      </w:pPr>
      <w:r>
        <w:rPr>
          <w:rFonts w:ascii="IRNazanin" w:hAnsi="IRNazanin" w:eastAsia="IRNazanin" w:cs="IRNazanin"/>
          <w:lang w:bidi="fa-IR"/>
          <w:color w:val="111111"/>
          <w:sz w:val="28"/>
          <w:szCs w:val="28"/>
          <w:rtl/>
        </w:rPr>
        <w:t xml:space="preserve">راجع قپلان.</w:t>
      </w:r>
    </w:p>
    <w:p>
      <w:pPr>
        <w:pStyle w:val="Heading3"/>
      </w:pPr>
      <w:bookmarkStart w:id="7691" w:name="_Toc6387"/>
      <w:r>
        <w:t>5801- دیوان قامتی گیلانی‏</w:t>
      </w:r>
      <w:bookmarkEnd w:id="7691"/>
    </w:p>
    <w:p>
      <w:pPr>
        <w:pStyle w:val="BookText"/>
      </w:pPr>
      <w:r>
        <w:rPr>
          <w:rFonts w:ascii="IRNazanin" w:hAnsi="IRNazanin" w:eastAsia="IRNazanin" w:cs="IRNazanin"/>
          <w:lang w:bidi="fa-IR"/>
          <w:color w:val="111111"/>
          <w:sz w:val="28"/>
          <w:szCs w:val="28"/>
          <w:rtl/>
        </w:rPr>
        <w:t xml:space="preserve">ترجمه الصادقی فی (خص 8- ص 237) و ذکر أنه لم یر فی البلاد أحدا أطول منه، ثم أورد شعره. و کذا فی (تش- ص 163). و (روشن- ص 549).</w:t>
      </w:r>
    </w:p>
    <w:p>
      <w:pPr>
        <w:pStyle w:val="Heading3"/>
      </w:pPr>
      <w:bookmarkStart w:id="7692" w:name="_Toc6388"/>
      <w:r>
        <w:t>5802- دیوان قانع أصفهانی‏</w:t>
      </w:r>
      <w:bookmarkEnd w:id="7692"/>
    </w:p>
    <w:p>
      <w:pPr>
        <w:pStyle w:val="BookText"/>
      </w:pPr>
      <w:r>
        <w:rPr>
          <w:rFonts w:ascii="IRNazanin" w:hAnsi="IRNazanin" w:eastAsia="IRNazanin" w:cs="IRNazanin"/>
          <w:lang w:bidi="fa-IR"/>
          <w:color w:val="111111"/>
          <w:sz w:val="28"/>
          <w:szCs w:val="28"/>
          <w:rtl/>
        </w:rPr>
        <w:t xml:space="preserve">و هو المیرزا محمد حسین بن حیدر علی الأسفهی الأصفهانی المولود 1319 و سمی دیوانه سوانح قانع کما ذکرناه فی 12: 255 و له شجرة طوبی و ره‏آورد المطبوع فی 40 ص. بأصفهان 1360 ترجمه فی شعرای معاصر أصفهان- ص 372.</w:t>
      </w:r>
    </w:p>
    <w:p>
      <w:pPr>
        <w:pStyle w:val="Heading3"/>
      </w:pPr>
      <w:bookmarkStart w:id="7693" w:name="_Toc6389"/>
      <w:r>
        <w:t>5803- دیوان قانع جرفادقانی أو شعره‏</w:t>
      </w:r>
      <w:bookmarkEnd w:id="7693"/>
    </w:p>
    <w:p>
      <w:pPr>
        <w:pStyle w:val="BookText"/>
      </w:pPr>
      <w:r>
        <w:rPr>
          <w:rFonts w:ascii="IRNazanin" w:hAnsi="IRNazanin" w:eastAsia="IRNazanin" w:cs="IRNazanin"/>
          <w:lang w:bidi="fa-IR"/>
          <w:color w:val="111111"/>
          <w:sz w:val="28"/>
          <w:szCs w:val="28"/>
          <w:rtl/>
        </w:rPr>
        <w:t xml:space="preserve">و اسمه محمد، و کان نساجا جالس الأدباء
</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bookmarkStart w:id="864" w:name="pg11704_122350"/>
    <w:bookmarkEnd w:id="864"/>
    <w:p>
      <w:pPr>
        <w:pStyle w:val="BookText"/>
      </w:pPr>
      <w:r>
        <w:rPr>
          <w:rFonts w:ascii="IRNazanin" w:hAnsi="IRNazanin" w:eastAsia="IRNazanin" w:cs="IRNazanin"/>
          <w:lang w:bidi="fa-IR"/>
          <w:color w:val="111111"/>
          <w:sz w:val="28"/>
          <w:szCs w:val="28"/>
          <w:rtl/>
        </w:rPr>
        <w:t xml:space="preserve">و له غزلیات و قصائد ذکره فی (مع 2: 425) و أورد شعره.</w:t>
      </w:r>
    </w:p>
    <w:p>
      <w:pPr>
        <w:pStyle w:val="Heading3"/>
      </w:pPr>
      <w:bookmarkStart w:id="7694" w:name="_Toc6390"/>
      <w:r>
        <w:t>5804- دیوان قانع شوشتری‏</w:t>
      </w:r>
      <w:bookmarkEnd w:id="7694"/>
    </w:p>
    <w:p>
      <w:pPr>
        <w:pStyle w:val="BookText"/>
      </w:pPr>
      <w:r>
        <w:rPr>
          <w:rFonts w:ascii="IRNazanin" w:hAnsi="IRNazanin" w:eastAsia="IRNazanin" w:cs="IRNazanin"/>
          <w:lang w:bidi="fa-IR"/>
          <w:color w:val="111111"/>
          <w:sz w:val="28"/>
          <w:szCs w:val="28"/>
          <w:rtl/>
        </w:rPr>
        <w:t xml:space="preserve">مر له آش و قلیة نظما فی 11: 5.</w:t>
      </w:r>
    </w:p>
    <w:p>
      <w:pPr>
        <w:pStyle w:val="Heading3"/>
      </w:pPr>
      <w:bookmarkStart w:id="7695" w:name="_Toc6391"/>
      <w:r>
        <w:t>5805- دیوان قانع الشیرازی‏</w:t>
      </w:r>
      <w:bookmarkEnd w:id="7695"/>
    </w:p>
    <w:p>
      <w:pPr>
        <w:pStyle w:val="BookText"/>
      </w:pPr>
      <w:r>
        <w:rPr>
          <w:rFonts w:ascii="IRNazanin" w:hAnsi="IRNazanin" w:eastAsia="IRNazanin" w:cs="IRNazanin"/>
          <w:lang w:bidi="fa-IR"/>
          <w:color w:val="111111"/>
          <w:sz w:val="28"/>
          <w:szCs w:val="28"/>
          <w:rtl/>
        </w:rPr>
        <w:t xml:space="preserve">و هو الشیخ محمد علی البحرانی و ابن أخت المیرزا محمد علی الشاعر الشهیر المتخلص بگلشن. ترجمه صدیقه رضا قلی المتخلص بهدایت فی (مع- ج 2 ص 425) و کذا فی ریاض العارفین و أورد شعره فیهما.</w:t>
      </w:r>
    </w:p>
    <w:p>
      <w:pPr>
        <w:pStyle w:val="Heading3"/>
      </w:pPr>
      <w:bookmarkStart w:id="7696" w:name="_Toc6392"/>
      <w:r>
        <w:t>5806- دیوان قانع کاشانی أو شعره‏</w:t>
      </w:r>
      <w:bookmarkEnd w:id="7696"/>
    </w:p>
    <w:p>
      <w:pPr>
        <w:pStyle w:val="BookText"/>
      </w:pPr>
      <w:r>
        <w:rPr>
          <w:rFonts w:ascii="IRNazanin" w:hAnsi="IRNazanin" w:eastAsia="IRNazanin" w:cs="IRNazanin"/>
          <w:lang w:bidi="fa-IR"/>
          <w:color w:val="111111"/>
          <w:sz w:val="28"/>
          <w:szCs w:val="28"/>
          <w:rtl/>
        </w:rPr>
        <w:t xml:space="preserve">و اسمه مسیب بن محبت (أو محمد) جاء إلی أصفهان و لاقی النصرآبادی. فترجمه و أورد شعره فی (نر 9- ص 369) و همیشه بهار و (گلشن- ص 329).</w:t>
      </w:r>
    </w:p>
    <w:p>
      <w:pPr>
        <w:pStyle w:val="Heading3"/>
      </w:pPr>
      <w:bookmarkStart w:id="7697" w:name="_Toc6393"/>
      <w:r>
        <w:t>5807- دیوان قانع لکهنوی‏</w:t>
      </w:r>
      <w:bookmarkEnd w:id="7697"/>
    </w:p>
    <w:p>
      <w:pPr>
        <w:pStyle w:val="BookText"/>
      </w:pPr>
      <w:r>
        <w:rPr>
          <w:rFonts w:ascii="IRNazanin" w:hAnsi="IRNazanin" w:eastAsia="IRNazanin" w:cs="IRNazanin"/>
          <w:lang w:bidi="fa-IR"/>
          <w:color w:val="111111"/>
          <w:sz w:val="28"/>
          <w:szCs w:val="28"/>
          <w:rtl/>
        </w:rPr>
        <w:t xml:space="preserve">المیر فدا حسین معلم الشاه‏زاده محمد بابر ابن واجد علی شاه آخر ملوک الهند (1233- 1293) بکلکتة، أورد شعره من دیوانه فی (گلشن- ص 329) و مات الشاعر فی 1249 کما فی ذیل کشف الظنون.</w:t>
      </w:r>
    </w:p>
    <w:p>
      <w:pPr>
        <w:pStyle w:val="Heading3"/>
      </w:pPr>
      <w:bookmarkStart w:id="7698" w:name="_Toc6394"/>
      <w:r>
        <w:t>5808- دیوان قانعی بخارائی‏</w:t>
      </w:r>
      <w:bookmarkEnd w:id="7698"/>
    </w:p>
    <w:p>
      <w:pPr>
        <w:pStyle w:val="BookText"/>
      </w:pPr>
      <w:r>
        <w:rPr>
          <w:rFonts w:ascii="IRNazanin" w:hAnsi="IRNazanin" w:eastAsia="IRNazanin" w:cs="IRNazanin"/>
          <w:lang w:bidi="fa-IR"/>
          <w:color w:val="111111"/>
          <w:sz w:val="28"/>
          <w:szCs w:val="28"/>
          <w:rtl/>
        </w:rPr>
        <w:t xml:space="preserve">ترجمه النصرآبادی المعاصر له فی (نر 10- ص 441) و أورد شعره.</w:t>
      </w:r>
    </w:p>
    <w:p>
      <w:pPr>
        <w:pStyle w:val="Heading3"/>
      </w:pPr>
      <w:bookmarkStart w:id="7699" w:name="_Toc6395"/>
      <w:r>
        <w:t>5809- دیوان قانعی طوسی‏</w:t>
      </w:r>
      <w:bookmarkEnd w:id="7699"/>
    </w:p>
    <w:p>
      <w:pPr>
        <w:pStyle w:val="BookText"/>
      </w:pPr>
      <w:r>
        <w:rPr>
          <w:rFonts w:ascii="IRNazanin" w:hAnsi="IRNazanin" w:eastAsia="IRNazanin" w:cs="IRNazanin"/>
          <w:lang w:bidi="fa-IR"/>
          <w:color w:val="111111"/>
          <w:sz w:val="28"/>
          <w:szCs w:val="28"/>
          <w:rtl/>
        </w:rPr>
        <w:t xml:space="preserve">بهاء الدین أحمد. له نظم کلیلة و دمنة نظمه بأمر عز الدین کیکاووس من سلاجقة آسیا الصغری ذکر فی (مغول- ص 536) و سبک‏شناسی 2: 252. و توجد نسخته عند (الملک).</w:t>
      </w:r>
    </w:p>
    <w:p>
      <w:pPr>
        <w:pStyle w:val="Heading3"/>
      </w:pPr>
      <w:bookmarkStart w:id="7700" w:name="_Toc6396"/>
      <w:r>
        <w:t>5810- دیوان قانعی قزوینی أو شعره‏</w:t>
      </w:r>
      <w:bookmarkEnd w:id="7700"/>
    </w:p>
    <w:p>
      <w:pPr>
        <w:pStyle w:val="BookText"/>
      </w:pPr>
      <w:r>
        <w:rPr>
          <w:rFonts w:ascii="IRNazanin" w:hAnsi="IRNazanin" w:eastAsia="IRNazanin" w:cs="IRNazanin"/>
          <w:lang w:bidi="fa-IR"/>
          <w:color w:val="111111"/>
          <w:sz w:val="28"/>
          <w:szCs w:val="28"/>
          <w:rtl/>
        </w:rPr>
        <w:t xml:space="preserve">ترجمه سام میرزا فی (تس 5- ص 149) و ذکر أنه حکاک قد ینظم الشعر و ذکر شعره و کذا فی (روشن- ص 550).</w:t>
      </w:r>
    </w:p>
    <w:p>
      <w:pPr>
        <w:pStyle w:val="Heading3"/>
      </w:pPr>
      <w:bookmarkStart w:id="7701" w:name="_Toc6397"/>
      <w:r>
        <w:t>5811- دیوان قانعی کاشانی أو شعره‏</w:t>
      </w:r>
      <w:bookmarkEnd w:id="7701"/>
    </w:p>
    <w:p>
      <w:pPr>
        <w:pStyle w:val="BookText"/>
      </w:pPr>
      <w:r>
        <w:rPr>
          <w:rFonts w:ascii="IRNazanin" w:hAnsi="IRNazanin" w:eastAsia="IRNazanin" w:cs="IRNazanin"/>
          <w:lang w:bidi="fa-IR"/>
          <w:color w:val="111111"/>
          <w:sz w:val="28"/>
          <w:szCs w:val="28"/>
          <w:rtl/>
        </w:rPr>
        <w:t xml:space="preserve">کان نزیل أصفهان و اسمه المیر السید علی.</w:t>
      </w:r>
    </w:p>
    <w:p>
      <w:pPr>
        <w:pStyle w:val="BookText"/>
      </w:pPr>
      <w:r>
        <w:rPr>
          <w:rFonts w:ascii="IRNazanin" w:hAnsi="IRNazanin" w:eastAsia="IRNazanin" w:cs="IRNazanin"/>
          <w:lang w:bidi="fa-IR"/>
          <w:color w:val="111111"/>
          <w:sz w:val="28"/>
          <w:szCs w:val="28"/>
          <w:rtl/>
        </w:rPr>
        <w:t xml:space="preserve">ترجمه النصرآبادی فی (نر 9- ص 404) و أورد عدة من أشعاره، و کذا فی همیشه بهار و (گلشن- ص 329).</w:t>
      </w:r>
    </w:p>
    <w:p>
      <w:pPr>
        <w:pStyle w:val="Heading3"/>
      </w:pPr>
      <w:bookmarkStart w:id="7702" w:name="_Toc6398"/>
      <w:r>
        <w:t>5812- دیوان قانعی مشهدی أو شعره‏</w:t>
      </w:r>
      <w:bookmarkEnd w:id="7702"/>
    </w:p>
    <w:p>
      <w:pPr>
        <w:pStyle w:val="BookText"/>
      </w:pPr>
      <w:r>
        <w:rPr>
          <w:rFonts w:ascii="IRNazanin" w:hAnsi="IRNazanin" w:eastAsia="IRNazanin" w:cs="IRNazanin"/>
          <w:lang w:bidi="fa-IR"/>
          <w:color w:val="111111"/>
          <w:sz w:val="28"/>
          <w:szCs w:val="28"/>
          <w:rtl/>
        </w:rPr>
        <w:t xml:space="preserve">کان نزیل أسترآباد و توفی بها. ترجمه سام میرزا فی (تس 5- ص 172) و أورد شعره، و لعله المذکور فی (سرخوش- ص 94) و (حسینی- ص 267).</w:t>
      </w:r>
    </w:p>
    <w:p>
      <w:pPr>
        <w:pStyle w:val="Heading3"/>
      </w:pPr>
      <w:bookmarkStart w:id="7703" w:name="_Toc6399"/>
      <w:r>
        <w:t>دیوان قانونی‏</w:t>
      </w:r>
      <w:bookmarkEnd w:id="7703"/>
    </w:p>
    <w:p>
      <w:pPr>
        <w:pStyle w:val="BookText"/>
      </w:pPr>
      <w:r>
        <w:rPr>
          <w:rFonts w:ascii="IRNazanin" w:hAnsi="IRNazanin" w:eastAsia="IRNazanin" w:cs="IRNazanin"/>
          <w:lang w:bidi="fa-IR"/>
          <w:color w:val="111111"/>
          <w:sz w:val="28"/>
          <w:szCs w:val="28"/>
          <w:rtl/>
        </w:rPr>
        <w:t xml:space="preserve">کما فی (حسینی- ص 267) مر بعنوان دیوان إبراهیم القانونی فی ص 16.
</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bookmarkStart w:id="865" w:name="pg11704_122351"/>
    <w:bookmarkEnd w:id="865"/>
    <w:p>
      <w:pPr>
        <w:pStyle w:val="Heading3"/>
      </w:pPr>
      <w:bookmarkStart w:id="7704" w:name="_Toc6400"/>
      <w:r>
        <w:t>دیوان قاینی‏</w:t>
      </w:r>
      <w:bookmarkEnd w:id="7704"/>
    </w:p>
    <w:p>
      <w:pPr>
        <w:pStyle w:val="BookText"/>
      </w:pPr>
      <w:r>
        <w:rPr>
          <w:rFonts w:ascii="IRNazanin" w:hAnsi="IRNazanin" w:eastAsia="IRNazanin" w:cs="IRNazanin"/>
          <w:lang w:bidi="fa-IR"/>
          <w:color w:val="111111"/>
          <w:sz w:val="28"/>
          <w:szCs w:val="28"/>
          <w:rtl/>
        </w:rPr>
        <w:t xml:space="preserve">راجع دیوان کوشککی قاینی.</w:t>
      </w:r>
    </w:p>
    <w:p>
      <w:pPr>
        <w:pStyle w:val="Heading3"/>
      </w:pPr>
      <w:bookmarkStart w:id="7705" w:name="_Toc6401"/>
      <w:r>
        <w:t>5813- دیوان قبائیان‏</w:t>
      </w:r>
      <w:bookmarkEnd w:id="7705"/>
    </w:p>
    <w:p>
      <w:pPr>
        <w:pStyle w:val="BookText"/>
      </w:pPr>
      <w:r>
        <w:rPr>
          <w:rFonts w:ascii="IRNazanin" w:hAnsi="IRNazanin" w:eastAsia="IRNazanin" w:cs="IRNazanin"/>
          <w:lang w:bidi="fa-IR"/>
          <w:color w:val="111111"/>
          <w:sz w:val="28"/>
          <w:szCs w:val="28"/>
          <w:rtl/>
        </w:rPr>
        <w:t xml:space="preserve">أحد الإخوان الخمس أبناء السلطان بیغری بن طغان ملک قبای من ترکستان ترجمه فی (مع- ج 1 ص 53) و أورد أشعاره.</w:t>
      </w:r>
    </w:p>
    <w:p>
      <w:pPr>
        <w:pStyle w:val="Heading3"/>
      </w:pPr>
      <w:bookmarkStart w:id="7706" w:name="_Toc6402"/>
      <w:r>
        <w:t>5814- دیوان حکیم قبلی‏</w:t>
      </w:r>
      <w:bookmarkEnd w:id="7706"/>
    </w:p>
    <w:p>
      <w:pPr>
        <w:pStyle w:val="BookText"/>
      </w:pPr>
      <w:r>
        <w:rPr>
          <w:rFonts w:ascii="IRNazanin" w:hAnsi="IRNazanin" w:eastAsia="IRNazanin" w:cs="IRNazanin"/>
          <w:lang w:bidi="fa-IR"/>
          <w:color w:val="111111"/>
          <w:sz w:val="28"/>
          <w:szCs w:val="28"/>
          <w:rtl/>
        </w:rPr>
        <w:t xml:space="preserve">و هو المیرزا محمد بن عبد الصبور الخوئی التبریزی طبیب الحضور للسلطان محمد شاه و السلطان ناصر الدین شاه، وجد ناصر الحکماء الذی توفی 1305 و مؤلف التشریح المذکور فی ج 4 ص 184 و خلاصه عباسی المذکور فی ج 7 ص 229 و دیوانه رباعیات فارسیة کل رباعیة ترجمه لبیت من أبیات القصیدة المشهورة لکعب بن زهیر التی أولها [</w:t>
      </w:r>
    </w:p>
    <w:p>
      <w:pPr>
        <w:pStyle w:val="BookText"/>
      </w:pPr>
      <w:r>
        <w:rPr>
          <w:rFonts w:ascii="IRNazanin" w:hAnsi="IRNazanin" w:eastAsia="IRNazanin" w:cs="IRNazanin"/>
          <w:lang w:bidi="fa-IR"/>
          <w:color w:val="111111"/>
          <w:sz w:val="28"/>
          <w:szCs w:val="28"/>
          <w:rtl/>
        </w:rPr>
        <w:t xml:space="preserve">بانت سعاد</w:t>
      </w:r>
    </w:p>
    <w:p>
      <w:pPr>
        <w:pStyle w:val="BookText"/>
      </w:pPr>
      <w:r>
        <w:rPr>
          <w:rFonts w:ascii="IRNazanin" w:hAnsi="IRNazanin" w:eastAsia="IRNazanin" w:cs="IRNazanin"/>
          <w:lang w:bidi="fa-IR"/>
          <w:color w:val="111111"/>
          <w:sz w:val="28"/>
          <w:szCs w:val="28"/>
          <w:rtl/>
        </w:rPr>
        <w:t xml:space="preserve">]. أورد أولها فی (دجا- ص 122).</w:t>
      </w:r>
    </w:p>
    <w:p>
      <w:pPr>
        <w:pStyle w:val="Heading3"/>
      </w:pPr>
      <w:bookmarkStart w:id="7707" w:name="_Toc6403"/>
      <w:r>
        <w:t>5815- دیوان قبولی أو شعره‏</w:t>
      </w:r>
      <w:bookmarkEnd w:id="7707"/>
    </w:p>
    <w:p>
      <w:pPr>
        <w:pStyle w:val="BookText"/>
      </w:pPr>
      <w:r>
        <w:rPr>
          <w:rFonts w:ascii="IRNazanin" w:hAnsi="IRNazanin" w:eastAsia="IRNazanin" w:cs="IRNazanin"/>
          <w:lang w:bidi="fa-IR"/>
          <w:color w:val="111111"/>
          <w:sz w:val="28"/>
          <w:szCs w:val="28"/>
          <w:rtl/>
        </w:rPr>
        <w:t xml:space="preserve">أورد شعره القزوینی فی (قز مج 6- ص 307) و عده من شعراء السلطان یعقوب.</w:t>
      </w:r>
    </w:p>
    <w:p>
      <w:pPr>
        <w:pStyle w:val="Heading3"/>
      </w:pPr>
      <w:bookmarkStart w:id="7708" w:name="_Toc6404"/>
      <w:r>
        <w:t>5816- دیوان قبولی ترشیزی أو شعره‏</w:t>
      </w:r>
      <w:bookmarkEnd w:id="7708"/>
    </w:p>
    <w:p>
      <w:pPr>
        <w:pStyle w:val="BookText"/>
      </w:pPr>
      <w:r>
        <w:rPr>
          <w:rFonts w:ascii="IRNazanin" w:hAnsi="IRNazanin" w:eastAsia="IRNazanin" w:cs="IRNazanin"/>
          <w:lang w:bidi="fa-IR"/>
          <w:color w:val="111111"/>
          <w:sz w:val="28"/>
          <w:szCs w:val="28"/>
          <w:rtl/>
        </w:rPr>
        <w:t xml:space="preserve">ترجمه و أطری شعره فی (لط 3- ص 64) و فی (قز مج 3- ص 237) جاء اسمه مقیمی.</w:t>
      </w:r>
    </w:p>
    <w:p>
      <w:pPr>
        <w:pStyle w:val="Heading3"/>
      </w:pPr>
      <w:bookmarkStart w:id="7709" w:name="_Toc6405"/>
      <w:r>
        <w:t>5817- دیوان قبولی رستمداری‏</w:t>
      </w:r>
      <w:bookmarkEnd w:id="7709"/>
    </w:p>
    <w:p>
      <w:pPr>
        <w:pStyle w:val="BookText"/>
      </w:pPr>
      <w:r>
        <w:rPr>
          <w:rFonts w:ascii="IRNazanin" w:hAnsi="IRNazanin" w:eastAsia="IRNazanin" w:cs="IRNazanin"/>
          <w:lang w:bidi="fa-IR"/>
          <w:color w:val="111111"/>
          <w:sz w:val="28"/>
          <w:szCs w:val="28"/>
          <w:rtl/>
        </w:rPr>
        <w:t xml:space="preserve">قال فی (بهش 2- ص 400) إنه من ملوک رستمدار و له شعر کثیر.</w:t>
      </w:r>
    </w:p>
    <w:p>
      <w:pPr>
        <w:pStyle w:val="Heading3"/>
      </w:pPr>
      <w:bookmarkStart w:id="7710" w:name="_Toc6406"/>
      <w:r>
        <w:t>5818- دیوان قبولی کشمیری‏</w:t>
      </w:r>
      <w:bookmarkEnd w:id="7710"/>
    </w:p>
    <w:p>
      <w:pPr>
        <w:pStyle w:val="BookText"/>
      </w:pPr>
      <w:r>
        <w:rPr>
          <w:rFonts w:ascii="IRNazanin" w:hAnsi="IRNazanin" w:eastAsia="IRNazanin" w:cs="IRNazanin"/>
          <w:lang w:bidi="fa-IR"/>
          <w:color w:val="111111"/>
          <w:sz w:val="28"/>
          <w:szCs w:val="28"/>
          <w:rtl/>
        </w:rPr>
        <w:t xml:space="preserve">و هو عبد الغنی من أقرباء ملا شاه البدخشی و تلمیذ المیرزا داراب جویا أورد شعره فی (حسینی- ص 272) و فی (سرو- ص 197) أنه مات 1139.</w:t>
      </w:r>
    </w:p>
    <w:p>
      <w:pPr>
        <w:pStyle w:val="Heading3"/>
      </w:pPr>
      <w:bookmarkStart w:id="7711" w:name="_Toc6407"/>
      <w:r>
        <w:t>5819- دیوان قبولی قندری‏</w:t>
      </w:r>
      <w:bookmarkEnd w:id="7711"/>
    </w:p>
    <w:p>
      <w:pPr>
        <w:pStyle w:val="BookText"/>
      </w:pPr>
      <w:r>
        <w:rPr>
          <w:rFonts w:ascii="IRNazanin" w:hAnsi="IRNazanin" w:eastAsia="IRNazanin" w:cs="IRNazanin"/>
          <w:lang w:bidi="fa-IR"/>
          <w:color w:val="111111"/>
          <w:sz w:val="28"/>
          <w:szCs w:val="28"/>
          <w:rtl/>
        </w:rPr>
        <w:t xml:space="preserve">ترجمه و أورد شعره فی (مجن 3 ص 72 و 242) و فی ص 242 منه جاء قندوزی و قد رأی سنگلاخ دیوانه بخط جعفر هروی فذکره فی (امتحان 1: 160) و ترجم فی (حسینی- ص 267) و قال إسماعیل پاشا إنه مات قبل المیر علی شیر.</w:t>
      </w:r>
    </w:p>
    <w:p>
      <w:pPr>
        <w:pStyle w:val="Heading3"/>
      </w:pPr>
      <w:bookmarkStart w:id="7712" w:name="_Toc6408"/>
      <w:r>
        <w:t>5820- دیوان قبولی هروی‏</w:t>
      </w:r>
      <w:bookmarkEnd w:id="7712"/>
    </w:p>
    <w:p>
      <w:pPr>
        <w:pStyle w:val="BookText"/>
      </w:pPr>
      <w:r>
        <w:rPr>
          <w:rFonts w:ascii="IRNazanin" w:hAnsi="IRNazanin" w:eastAsia="IRNazanin" w:cs="IRNazanin"/>
          <w:lang w:bidi="fa-IR"/>
          <w:color w:val="111111"/>
          <w:sz w:val="28"/>
          <w:szCs w:val="28"/>
          <w:rtl/>
        </w:rPr>
        <w:t xml:space="preserve">أوصی دیوانه للمیر علی شیر کما ترجمه فی (مجن 2 ص 216 و 43) و أورد شعرا فیه تخلصه:</w:t>
      </w:r>
    </w:p>
    <w:p>
      <w:pPr>
        <w:pStyle w:val="BookText"/>
      </w:pPr>
      <w:r>
        <w:rPr>
          <w:rFonts w:ascii="IRNazanin" w:hAnsi="IRNazanin" w:eastAsia="IRNazanin" w:cs="IRNazanin"/>
          <w:lang w:bidi="fa-IR"/>
          <w:color w:val="111111"/>
          <w:sz w:val="28"/>
          <w:szCs w:val="28"/>
          <w:rtl/>
        </w:rPr>
        <w:t xml:space="preserve">اگر قبول تو یابم قبولیم ورنه‏</w:t>
      </w:r>
    </w:p>
    <w:p>
      <w:pPr>
        <w:pStyle w:val="BookText"/>
      </w:pPr>
      <w:r>
        <w:rPr>
          <w:rFonts w:ascii="IRNazanin" w:hAnsi="IRNazanin" w:eastAsia="IRNazanin" w:cs="IRNazanin"/>
          <w:lang w:bidi="fa-IR"/>
          <w:color w:val="111111"/>
          <w:sz w:val="28"/>
          <w:szCs w:val="28"/>
          <w:rtl/>
        </w:rPr>
        <w:t xml:space="preserve">بهر دو کون چه من ناقبول نتوان یافت‏</w:t>
      </w:r>
    </w:p>
    <w:p>
      <w:pPr>
        <w:pStyle w:val="Heading3"/>
      </w:pPr>
      <w:bookmarkStart w:id="7713" w:name="_Toc6409"/>
      <w:r>
        <w:t>5821- دیوان قبولی یزدی أو شعره‏</w:t>
      </w:r>
      <w:bookmarkEnd w:id="7713"/>
    </w:p>
    <w:p>
      <w:pPr>
        <w:pStyle w:val="BookText"/>
      </w:pPr>
      <w:r>
        <w:rPr>
          <w:rFonts w:ascii="IRNazanin" w:hAnsi="IRNazanin" w:eastAsia="IRNazanin" w:cs="IRNazanin"/>
          <w:lang w:bidi="fa-IR"/>
          <w:color w:val="111111"/>
          <w:sz w:val="28"/>
          <w:szCs w:val="28"/>
          <w:rtl/>
        </w:rPr>
        <w:t xml:space="preserve">ترجمه معاصره سام میرزا فی (تس 5- ص 151) و أورد شعره، و کذا فی (روشن- ص 552).
</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bookmarkStart w:id="866" w:name="pg11704_122352"/>
    <w:bookmarkEnd w:id="866"/>
    <w:p>
      <w:pPr>
        <w:pStyle w:val="Heading3"/>
      </w:pPr>
      <w:bookmarkStart w:id="7714" w:name="_Toc6410"/>
      <w:r>
        <w:t>5822- دیوان قپلان سپاهی‏</w:t>
      </w:r>
      <w:bookmarkEnd w:id="7714"/>
    </w:p>
    <w:p>
      <w:pPr>
        <w:pStyle w:val="BookText"/>
      </w:pPr>
      <w:r>
        <w:rPr>
          <w:rFonts w:ascii="IRNazanin" w:hAnsi="IRNazanin" w:eastAsia="IRNazanin" w:cs="IRNazanin"/>
          <w:lang w:bidi="fa-IR"/>
          <w:color w:val="111111"/>
          <w:sz w:val="28"/>
          <w:szCs w:val="28"/>
          <w:rtl/>
        </w:rPr>
        <w:t xml:space="preserve">و اسمه الأمیر قپلان بیگ أو قافلان بیگ البدخشی.</w:t>
      </w:r>
    </w:p>
    <w:p>
      <w:pPr>
        <w:pStyle w:val="BookText"/>
      </w:pPr>
      <w:r>
        <w:rPr>
          <w:rFonts w:ascii="IRNazanin" w:hAnsi="IRNazanin" w:eastAsia="IRNazanin" w:cs="IRNazanin"/>
          <w:lang w:bidi="fa-IR"/>
          <w:color w:val="111111"/>
          <w:sz w:val="28"/>
          <w:szCs w:val="28"/>
          <w:rtl/>
        </w:rPr>
        <w:t xml:space="preserve">جاء سفیرا من إیران إلی الهند و صاحب صائب. ترجمه (خوش‏گو) و (تش- ص 19) و فی (سرخوش- ص 46) و توجد دیوانه فی (بنگاله) ناقصة کما ذکر فی فهرسها و قال فی (روشن- ص 551) إنه کان قورچی شاه إیران فبعثه إلی الهند. و فی (نر 2- ص 49) سماه قیلان بیگ و قال إنه من إیل چاوشلو، و کان خال المیرزا عبد الله والد المیرزا سعید وزیر کاشان سافر إلی الهند و مات بها.</w:t>
      </w:r>
    </w:p>
    <w:p>
      <w:pPr>
        <w:pStyle w:val="Heading3"/>
      </w:pPr>
      <w:bookmarkStart w:id="7715" w:name="_Toc6411"/>
      <w:r>
        <w:t>دیوان قتالی‏</w:t>
      </w:r>
      <w:bookmarkEnd w:id="7715"/>
    </w:p>
    <w:p>
      <w:pPr>
        <w:pStyle w:val="BookText"/>
      </w:pPr>
      <w:r>
        <w:rPr>
          <w:rFonts w:ascii="IRNazanin" w:hAnsi="IRNazanin" w:eastAsia="IRNazanin" w:cs="IRNazanin"/>
          <w:lang w:bidi="fa-IR"/>
          <w:color w:val="111111"/>
          <w:sz w:val="28"/>
          <w:szCs w:val="28"/>
          <w:rtl/>
        </w:rPr>
        <w:t xml:space="preserve">ترجمه و أورد شعره فی (تش- ص 311) و هدیة العارفین 2: 407 و مر بعنوان پوریای ولی فی ص 159.</w:t>
      </w:r>
    </w:p>
    <w:p>
      <w:pPr>
        <w:pStyle w:val="Heading3"/>
      </w:pPr>
      <w:bookmarkStart w:id="7716" w:name="_Toc6412"/>
      <w:r>
        <w:t>5823- دیوان قتالی مشهدی أو شعره‏</w:t>
      </w:r>
      <w:bookmarkEnd w:id="7716"/>
    </w:p>
    <w:p>
      <w:pPr>
        <w:pStyle w:val="BookText"/>
      </w:pPr>
      <w:r>
        <w:rPr>
          <w:rFonts w:ascii="IRNazanin" w:hAnsi="IRNazanin" w:eastAsia="IRNazanin" w:cs="IRNazanin"/>
          <w:lang w:bidi="fa-IR"/>
          <w:color w:val="111111"/>
          <w:sz w:val="28"/>
          <w:szCs w:val="28"/>
          <w:rtl/>
        </w:rPr>
        <w:t xml:space="preserve">ترجمه و أورد شعره فی (تش- ص 93) و مطلع الشمس 2: 440.</w:t>
      </w:r>
    </w:p>
    <w:p>
      <w:pPr>
        <w:pStyle w:val="Heading3"/>
      </w:pPr>
      <w:bookmarkStart w:id="7717" w:name="_Toc6413"/>
      <w:r>
        <w:t>5824- دیوان قتلی بخارائی أو شعره‏</w:t>
      </w:r>
      <w:bookmarkEnd w:id="7717"/>
    </w:p>
    <w:p>
      <w:pPr>
        <w:pStyle w:val="BookText"/>
      </w:pPr>
      <w:r>
        <w:rPr>
          <w:rFonts w:ascii="IRNazanin" w:hAnsi="IRNazanin" w:eastAsia="IRNazanin" w:cs="IRNazanin"/>
          <w:lang w:bidi="fa-IR"/>
          <w:color w:val="111111"/>
          <w:sz w:val="28"/>
          <w:szCs w:val="28"/>
          <w:rtl/>
        </w:rPr>
        <w:t xml:space="preserve">کان من مشاهیر شعراء بخارا و کان متقربا عند عبد العزیز خان أوزبک. أورد شعره فی (گلشن- ص 330).</w:t>
      </w:r>
    </w:p>
    <w:p>
      <w:pPr>
        <w:pStyle w:val="Heading3"/>
      </w:pPr>
      <w:bookmarkStart w:id="7718" w:name="_Toc6414"/>
      <w:r>
        <w:t>5825- دیوان قتیل لاهوری‏</w:t>
      </w:r>
      <w:bookmarkEnd w:id="7718"/>
    </w:p>
    <w:p>
      <w:pPr>
        <w:pStyle w:val="BookText"/>
      </w:pPr>
      <w:r>
        <w:rPr>
          <w:rFonts w:ascii="IRNazanin" w:hAnsi="IRNazanin" w:eastAsia="IRNazanin" w:cs="IRNazanin"/>
          <w:lang w:bidi="fa-IR"/>
          <w:color w:val="111111"/>
          <w:sz w:val="28"/>
          <w:szCs w:val="28"/>
          <w:rtl/>
        </w:rPr>
        <w:t xml:space="preserve">و هو المیرزا محمد حسین بن درگاهی مل من هنود کایتة نزل مع أبیه فیض‏آباد، و أسلم هو و عمره ثمانیة عشر سنة علی ید المیرزا محمد باقر الشهید، و اعتنق التشیع و تخلص قتیل ثم نزل لکهنو و توفی 1240 و هو أستاذ أسیر لکهنوی المذکور فی ص 75 و دیوانه مطبوع. و طبع له چهار شربت بلکهنو فی 112 ص. باسم أشربه محمدیة و شجرة الأمانی و نهر الفصاحة فی قواعد اللغة الفارسیة و سماه فی (نتایج- ص 573) محمد حسن. و ترجمه فی (مسرت- ص 176) و الریحانة نقلا عن القاموس الترکی.</w:t>
      </w:r>
    </w:p>
    <w:p>
      <w:pPr>
        <w:pStyle w:val="Heading3"/>
      </w:pPr>
      <w:bookmarkStart w:id="7719" w:name="_Toc6415"/>
      <w:r>
        <w:t>5826- دیوان قتیل جرفادقانی أو شعره‏</w:t>
      </w:r>
      <w:bookmarkEnd w:id="7719"/>
    </w:p>
    <w:p>
      <w:pPr>
        <w:pStyle w:val="BookText"/>
      </w:pPr>
      <w:r>
        <w:rPr>
          <w:rFonts w:ascii="IRNazanin" w:hAnsi="IRNazanin" w:eastAsia="IRNazanin" w:cs="IRNazanin"/>
          <w:lang w:bidi="fa-IR"/>
          <w:color w:val="111111"/>
          <w:sz w:val="28"/>
          <w:szCs w:val="28"/>
          <w:rtl/>
        </w:rPr>
        <w:t xml:space="preserve">و اسمه السید مرتضی ترجمه معاصره فی (مع- ج 2 ص 425) و أورد بعض شعره.</w:t>
      </w:r>
    </w:p>
    <w:p>
      <w:pPr>
        <w:pStyle w:val="Heading3"/>
      </w:pPr>
      <w:bookmarkStart w:id="7720" w:name="_Toc6416"/>
      <w:r>
        <w:t>دیوان قدرت أصفهانی‏</w:t>
      </w:r>
      <w:bookmarkEnd w:id="7720"/>
    </w:p>
    <w:p>
      <w:pPr>
        <w:pStyle w:val="BookText"/>
      </w:pPr>
      <w:r>
        <w:rPr>
          <w:rFonts w:ascii="IRNazanin" w:hAnsi="IRNazanin" w:eastAsia="IRNazanin" w:cs="IRNazanin"/>
          <w:lang w:bidi="fa-IR"/>
          <w:color w:val="111111"/>
          <w:sz w:val="28"/>
          <w:szCs w:val="28"/>
          <w:rtl/>
        </w:rPr>
        <w:t xml:space="preserve">راجع قدرتی أصفهانی.</w:t>
      </w:r>
    </w:p>
    <w:p>
      <w:pPr>
        <w:pStyle w:val="Heading3"/>
      </w:pPr>
      <w:bookmarkStart w:id="7721" w:name="_Toc6417"/>
      <w:r>
        <w:t>5827- دیوان قدرت دهلوی‏</w:t>
      </w:r>
      <w:bookmarkEnd w:id="7721"/>
    </w:p>
    <w:p>
      <w:pPr>
        <w:pStyle w:val="BookText"/>
      </w:pPr>
      <w:r>
        <w:rPr>
          <w:rFonts w:ascii="IRNazanin" w:hAnsi="IRNazanin" w:eastAsia="IRNazanin" w:cs="IRNazanin"/>
          <w:lang w:bidi="fa-IR"/>
          <w:color w:val="111111"/>
          <w:sz w:val="28"/>
          <w:szCs w:val="28"/>
          <w:rtl/>
        </w:rPr>
        <w:t xml:space="preserve">کان من شعراء دهلی و مات 1205 قال فی الریحانة نقلا عن القاموس الترکی إن دیوانه فی عشرین ألف بیت. و له منظومة نتایج الأفکار (کذا).</w:t>
      </w:r>
    </w:p>
    <w:p>
      <w:pPr>
        <w:pStyle w:val="Heading3"/>
      </w:pPr>
      <w:bookmarkStart w:id="7722" w:name="_Toc6418"/>
      <w:r>
        <w:t>5828- دیوان قدرت قمی‏</w:t>
      </w:r>
      <w:bookmarkEnd w:id="7722"/>
    </w:p>
    <w:p>
      <w:pPr>
        <w:pStyle w:val="BookText"/>
      </w:pPr>
      <w:r>
        <w:rPr>
          <w:rFonts w:ascii="IRNazanin" w:hAnsi="IRNazanin" w:eastAsia="IRNazanin" w:cs="IRNazanin"/>
          <w:lang w:bidi="fa-IR"/>
          <w:color w:val="111111"/>
          <w:sz w:val="28"/>
          <w:szCs w:val="28"/>
          <w:rtl/>
        </w:rPr>
        <w:t xml:space="preserve">قصائد و غزلیات و رباعیات. للسید علی بن عزیز الله بن‏
</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bookmarkStart w:id="867" w:name="pg11704_122353"/>
    <w:bookmarkEnd w:id="867"/>
    <w:p>
      <w:pPr>
        <w:pStyle w:val="BookText"/>
      </w:pPr>
      <w:r>
        <w:rPr>
          <w:rFonts w:ascii="IRNazanin" w:hAnsi="IRNazanin" w:eastAsia="IRNazanin" w:cs="IRNazanin"/>
          <w:lang w:bidi="fa-IR"/>
          <w:color w:val="111111"/>
          <w:sz w:val="28"/>
          <w:szCs w:val="28"/>
          <w:rtl/>
        </w:rPr>
        <w:t xml:space="preserve">حسن بن المیر أبی الفتح الرضوی القمی (1271- 1316) یوجد عند أخیه السید مهدی الرضوی نزیل طهران و هاجر أخوه الحاج آقا حسن بن السید عزیز الله من قم إلی طهران قرب 1313 و نزل مدرسة قنبر علی خان و هو قریب السن معی، و حصلت بینی و بینه صداقة و اشتغل هو هناک علی علمائها سنین، ثم هاجر إلی النجف و کان هناک یحضر بحث شیخنا الخراسانی و غیره، و کتب شرح مزج علی الکفایة و طبع النصف الأول منه فی 1343 و توفی 1352.</w:t>
      </w:r>
    </w:p>
    <w:p>
      <w:pPr>
        <w:pStyle w:val="Heading3"/>
      </w:pPr>
      <w:bookmarkStart w:id="7723" w:name="_Toc6419"/>
      <w:r>
        <w:t>5829- دیوان قدرت کوپاموی‏</w:t>
      </w:r>
      <w:bookmarkEnd w:id="7723"/>
    </w:p>
    <w:p>
      <w:pPr>
        <w:pStyle w:val="BookText"/>
      </w:pPr>
      <w:r>
        <w:rPr>
          <w:rFonts w:ascii="IRNazanin" w:hAnsi="IRNazanin" w:eastAsia="IRNazanin" w:cs="IRNazanin"/>
          <w:lang w:bidi="fa-IR"/>
          <w:color w:val="111111"/>
          <w:sz w:val="28"/>
          <w:szCs w:val="28"/>
          <w:rtl/>
        </w:rPr>
        <w:t xml:space="preserve">و هو محمد قدرت الله المولود بکوپامو من نواحی لکهنو فی 1199 و کان ینهی نسبه إلی القاسم بن محمد بن أبی بکر. و تلمذ علی خوش‏دل و خشنود و ألف نتایج الأفکار</w:t>
      </w:r>
      <w:r>
        <w:rPr>
          <w:rStyle w:val="FootnoteReference"/>
        </w:rPr>
        <w:footnoteReference w:id="73"/>
      </w:r>
      <w:r>
        <w:rPr>
          <w:rFonts w:ascii="IRNazanin" w:hAnsi="IRNazanin" w:eastAsia="IRNazanin" w:cs="IRNazanin"/>
          <w:lang w:bidi="fa-IR"/>
          <w:color w:val="111111"/>
          <w:sz w:val="28"/>
          <w:szCs w:val="28"/>
          <w:rtl/>
        </w:rPr>
        <w:t xml:space="preserve">فی 1256 و ترجم نفسه فی المقدمة و فی ص 579 منه. کان فی خدمة حاکم یهوپال و باسمه ألف کتابه. و ترجمه فی الریحانة نقلا عن القاموس الترکی و ذکر له غیر الدیوان هذا منظومات أزهار قدرت و أکوان قدرت و تماشای قدرت و کیمیای قدرت و گلزار قدرت و مجرای قدرت و رسائل حکایات قدرت و دفعات قدرت و عجائب قدرت قال و مات 1280.</w:t>
      </w:r>
    </w:p>
    <w:p>
      <w:pPr>
        <w:pStyle w:val="Heading3"/>
      </w:pPr>
      <w:bookmarkStart w:id="7724" w:name="_Toc6420"/>
      <w:r>
        <w:t>5830- دیوان ملا قدرتی أصفهانی‏</w:t>
      </w:r>
      <w:bookmarkEnd w:id="7724"/>
    </w:p>
    <w:p>
      <w:pPr>
        <w:pStyle w:val="BookText"/>
      </w:pPr>
      <w:r>
        <w:rPr>
          <w:rFonts w:ascii="IRNazanin" w:hAnsi="IRNazanin" w:eastAsia="IRNazanin" w:cs="IRNazanin"/>
          <w:lang w:bidi="fa-IR"/>
          <w:color w:val="111111"/>
          <w:sz w:val="28"/>
          <w:szCs w:val="28"/>
          <w:rtl/>
        </w:rPr>
        <w:t xml:space="preserve">سافر إلی الهند و رجع و توفی بأصفهان حدود تألیف تذکره النصرآبادی کما ذکره فی (نر 9- ص 421) و أورد مثنویة فی شده البرد و انکسار النقد المسکوک بأصفهان فی 1062 مطابق قوله فی تاریخه (درم چون دو گردید زر رو نمود) و فی (روشن- 552) سماه یزدیا و سماه فی همیشه بهار قدرت.</w:t>
      </w:r>
    </w:p>
    <w:p>
      <w:pPr>
        <w:pStyle w:val="Heading3"/>
      </w:pPr>
      <w:bookmarkStart w:id="7725" w:name="_Toc6421"/>
      <w:r>
        <w:t>5831- دیوان قدری شیرازی أو شعره‏</w:t>
      </w:r>
      <w:bookmarkEnd w:id="7725"/>
    </w:p>
    <w:p>
      <w:pPr>
        <w:pStyle w:val="BookText"/>
      </w:pPr>
      <w:r>
        <w:rPr>
          <w:rFonts w:ascii="IRNazanin" w:hAnsi="IRNazanin" w:eastAsia="IRNazanin" w:cs="IRNazanin"/>
          <w:lang w:bidi="fa-IR"/>
          <w:color w:val="111111"/>
          <w:sz w:val="28"/>
          <w:szCs w:val="28"/>
          <w:rtl/>
        </w:rPr>
        <w:t xml:space="preserve">جاء من وطنه إلی الهند أورد شعره فی (هفت- ص 306) و (طبق 2- ص 504) و (گلشن- ص 330) و (روشن- ص 552). ).
</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bookmarkStart w:id="868" w:name="pg11704_122354"/>
    <w:bookmarkEnd w:id="868"/>
    <w:p>
      <w:pPr>
        <w:pStyle w:val="Heading3"/>
      </w:pPr>
      <w:bookmarkStart w:id="7726" w:name="_Toc6422"/>
      <w:r>
        <w:t>دیوان القدسیات‏</w:t>
      </w:r>
      <w:bookmarkEnd w:id="7726"/>
    </w:p>
    <w:p>
      <w:pPr>
        <w:pStyle w:val="BookText"/>
      </w:pPr>
      <w:r>
        <w:rPr>
          <w:rFonts w:ascii="IRNazanin" w:hAnsi="IRNazanin" w:eastAsia="IRNazanin" w:cs="IRNazanin"/>
          <w:lang w:bidi="fa-IR"/>
          <w:color w:val="111111"/>
          <w:sz w:val="28"/>
          <w:szCs w:val="28"/>
          <w:rtl/>
        </w:rPr>
        <w:t xml:space="preserve">اسم لأحد دواوین داعی الشیرازی المذکور فی ص 314 طبعها جمیعا محمد دبیر سیاقی.</w:t>
      </w:r>
    </w:p>
    <w:p>
      <w:pPr>
        <w:pStyle w:val="Heading3"/>
      </w:pPr>
      <w:bookmarkStart w:id="7727" w:name="_Toc6423"/>
      <w:r>
        <w:t>5832- دیوان قدسی أصفهانی‏</w:t>
      </w:r>
      <w:bookmarkEnd w:id="7727"/>
    </w:p>
    <w:p>
      <w:pPr>
        <w:pStyle w:val="BookText"/>
      </w:pPr>
      <w:r>
        <w:rPr>
          <w:rFonts w:ascii="IRNazanin" w:hAnsi="IRNazanin" w:eastAsia="IRNazanin" w:cs="IRNazanin"/>
          <w:lang w:bidi="fa-IR"/>
          <w:color w:val="111111"/>
          <w:sz w:val="28"/>
          <w:szCs w:val="28"/>
          <w:rtl/>
        </w:rPr>
        <w:t xml:space="preserve">و هو المیرزا عبد الحسین بن محمد علی بن محمد کریم الأصفهانی الخطاط الشاعر. ولد فی رمضان 1287 و نشا بها. طبع له تحفه الفاطمیة فی 1328 و أسس المدرسة الجدیدة القدسیة بأصفهان فی 1326 و مات فی صفر 1366 و دفن بتخت فولاد. ترجمه و أورد شعره و شعر ولده جمال الدین قدسی و حفیده منوچهر قدسی فی شعرای معاصر أصفهان- ص 272- 277. و عده ألفت فی دانش‏نامه من أعضاء انجمن دانشکده.</w:t>
      </w:r>
    </w:p>
    <w:p>
      <w:pPr>
        <w:pStyle w:val="Heading3"/>
      </w:pPr>
      <w:bookmarkStart w:id="7728" w:name="_Toc6424"/>
      <w:r>
        <w:t>5833- دیوان قدسی الباکوئی‏</w:t>
      </w:r>
      <w:bookmarkEnd w:id="7728"/>
    </w:p>
    <w:p>
      <w:pPr>
        <w:pStyle w:val="BookText"/>
      </w:pPr>
      <w:r>
        <w:rPr>
          <w:rFonts w:ascii="IRNazanin" w:hAnsi="IRNazanin" w:eastAsia="IRNazanin" w:cs="IRNazanin"/>
          <w:lang w:bidi="fa-IR"/>
          <w:color w:val="111111"/>
          <w:sz w:val="28"/>
          <w:szCs w:val="28"/>
          <w:rtl/>
        </w:rPr>
        <w:t xml:space="preserve">اسمه عباس قلی آقا بن المیرزا محمد خان الثانی ولد فی باکو 1208 و خرج من إیران فی 1252 و توفی بوادی فاطمة و دفن هناک. کما ترجمه فی (دجا- ص 306) و أورد تصانیفه العشرة نقلا عن کتابه گلستان إرم فی تاریخ داغستان المؤلفة 1257 الموجودة بالمکتبة (الملیة) بطهران برقم 518 و نقل بعض شعره المذکور فی دیوانه المشتمل علی الفارسی و العربی و الترکی. و مر له ریاض القدس فی 11: 335.</w:t>
      </w:r>
    </w:p>
    <w:p>
      <w:pPr>
        <w:pStyle w:val="Heading3"/>
      </w:pPr>
      <w:bookmarkStart w:id="7729" w:name="_Toc6425"/>
      <w:r>
        <w:t>5834- دیوان قدسی تفریشی‏</w:t>
      </w:r>
      <w:bookmarkEnd w:id="7729"/>
    </w:p>
    <w:p>
      <w:pPr>
        <w:pStyle w:val="BookText"/>
      </w:pPr>
      <w:r>
        <w:rPr>
          <w:rFonts w:ascii="IRNazanin" w:hAnsi="IRNazanin" w:eastAsia="IRNazanin" w:cs="IRNazanin"/>
          <w:lang w:bidi="fa-IR"/>
          <w:color w:val="111111"/>
          <w:sz w:val="28"/>
          <w:szCs w:val="28"/>
          <w:rtl/>
        </w:rPr>
        <w:t xml:space="preserve">من سادات تفریش ترجمه معاصره الصادقی فی (خص 6- ص 100) و أورد بعض شعره و کذا فی (روشن- ص 553) و همیشه بهار.</w:t>
      </w:r>
    </w:p>
    <w:p>
      <w:pPr>
        <w:pStyle w:val="Heading3"/>
      </w:pPr>
      <w:bookmarkStart w:id="7730" w:name="_Toc6426"/>
      <w:r>
        <w:t>5835- دیوان قدسی خراشادی أو شعره‏</w:t>
      </w:r>
      <w:bookmarkEnd w:id="7730"/>
    </w:p>
    <w:p>
      <w:pPr>
        <w:pStyle w:val="BookText"/>
      </w:pPr>
      <w:r>
        <w:rPr>
          <w:rFonts w:ascii="IRNazanin" w:hAnsi="IRNazanin" w:eastAsia="IRNazanin" w:cs="IRNazanin"/>
          <w:lang w:bidi="fa-IR"/>
          <w:color w:val="111111"/>
          <w:sz w:val="28"/>
          <w:szCs w:val="28"/>
          <w:rtl/>
        </w:rPr>
        <w:t xml:space="preserve">و هو الشیخ محمد إبراهیم. رجع من مشهد خراسان و سکن وطنه قریة خراشاد بقائن إلی أن توفی 1354 ترجمه و أورد شعره الآیتی القائنی فی بهارستان- ص 342.</w:t>
      </w:r>
    </w:p>
    <w:p>
      <w:pPr>
        <w:pStyle w:val="Heading3"/>
      </w:pPr>
      <w:bookmarkStart w:id="7731" w:name="_Toc6427"/>
      <w:r>
        <w:t>5836- دیوان قدسی دشتی أو شعره‏</w:t>
      </w:r>
      <w:bookmarkEnd w:id="7731"/>
    </w:p>
    <w:p>
      <w:pPr>
        <w:pStyle w:val="BookText"/>
      </w:pPr>
      <w:r>
        <w:rPr>
          <w:rFonts w:ascii="IRNazanin" w:hAnsi="IRNazanin" w:eastAsia="IRNazanin" w:cs="IRNazanin"/>
          <w:lang w:bidi="fa-IR"/>
          <w:color w:val="111111"/>
          <w:sz w:val="28"/>
          <w:szCs w:val="28"/>
          <w:rtl/>
        </w:rPr>
        <w:t xml:space="preserve">و اسمه میرزا زمان. ترجمه فی (المآثر- ص 216).</w:t>
      </w:r>
    </w:p>
    <w:p>
      <w:pPr>
        <w:pStyle w:val="Heading3"/>
      </w:pPr>
      <w:bookmarkStart w:id="7732" w:name="_Toc6428"/>
      <w:r>
        <w:t>5837- دیوان قدسی قهفرخی أو شعره‏</w:t>
      </w:r>
      <w:bookmarkEnd w:id="7732"/>
    </w:p>
    <w:p>
      <w:pPr>
        <w:pStyle w:val="BookText"/>
      </w:pPr>
      <w:r>
        <w:rPr>
          <w:rFonts w:ascii="IRNazanin" w:hAnsi="IRNazanin" w:eastAsia="IRNazanin" w:cs="IRNazanin"/>
          <w:lang w:bidi="fa-IR"/>
          <w:color w:val="111111"/>
          <w:sz w:val="28"/>
          <w:szCs w:val="28"/>
          <w:rtl/>
        </w:rPr>
        <w:t xml:space="preserve">و اسمه حسین علی من شعراء چهار محال و هو معلم بها. ترجمه و أورد شعره فی شعرای معاصر أصفهان- ص 384.</w:t>
      </w:r>
    </w:p>
    <w:p>
      <w:pPr>
        <w:pStyle w:val="Heading3"/>
      </w:pPr>
      <w:bookmarkStart w:id="7733" w:name="_Toc6429"/>
      <w:r>
        <w:t>5838- دیوان قدسی کربلائی أو شعره‏</w:t>
      </w:r>
      <w:bookmarkEnd w:id="7733"/>
    </w:p>
    <w:p>
      <w:pPr>
        <w:pStyle w:val="BookText"/>
      </w:pPr>
      <w:r>
        <w:rPr>
          <w:rFonts w:ascii="IRNazanin" w:hAnsi="IRNazanin" w:eastAsia="IRNazanin" w:cs="IRNazanin"/>
          <w:lang w:bidi="fa-IR"/>
          <w:color w:val="111111"/>
          <w:sz w:val="28"/>
          <w:szCs w:val="28"/>
          <w:rtl/>
        </w:rPr>
        <w:t xml:space="preserve">و اسمه المیر حسین. سکن والده بسبزوار فولد بها و سافر إلی هرات و تقرب عند محمد خان الحاکم بها. أورد شعره فی (گلشن- ص 330) و توجد شعره فی گنجینه گران‏مایه الموجود بمکتبة جامعة طهران برقم 2144.
</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bookmarkStart w:id="869" w:name="pg11704_122355"/>
    <w:bookmarkEnd w:id="869"/>
    <w:p>
      <w:pPr>
        <w:pStyle w:val="Heading3"/>
      </w:pPr>
      <w:bookmarkStart w:id="7734" w:name="_Toc6430"/>
      <w:r>
        <w:t>5839- دیوان قدسی گنجوی‏</w:t>
      </w:r>
      <w:bookmarkEnd w:id="7734"/>
    </w:p>
    <w:p>
      <w:pPr>
        <w:pStyle w:val="BookText"/>
      </w:pPr>
      <w:r>
        <w:rPr>
          <w:rFonts w:ascii="IRNazanin" w:hAnsi="IRNazanin" w:eastAsia="IRNazanin" w:cs="IRNazanin"/>
          <w:lang w:bidi="fa-IR"/>
          <w:color w:val="111111"/>
          <w:sz w:val="28"/>
          <w:szCs w:val="28"/>
          <w:rtl/>
        </w:rPr>
        <w:t xml:space="preserve">و اسمه الشیخ إبراهیم ولد 1231 و توفی 1282 و دیوانه فارسی و ترکی کما ذکره فی (دجا- ص 306).</w:t>
      </w:r>
    </w:p>
    <w:p>
      <w:pPr>
        <w:pStyle w:val="Heading3"/>
      </w:pPr>
      <w:bookmarkStart w:id="7735" w:name="_Toc6431"/>
      <w:r>
        <w:t>5840- دیوان قدسی مشهدی‏</w:t>
      </w:r>
      <w:bookmarkEnd w:id="7735"/>
    </w:p>
    <w:p>
      <w:pPr>
        <w:pStyle w:val="BookText"/>
      </w:pPr>
      <w:r>
        <w:rPr>
          <w:rFonts w:ascii="IRNazanin" w:hAnsi="IRNazanin" w:eastAsia="IRNazanin" w:cs="IRNazanin"/>
          <w:lang w:bidi="fa-IR"/>
          <w:color w:val="111111"/>
          <w:sz w:val="28"/>
          <w:szCs w:val="28"/>
          <w:rtl/>
        </w:rPr>
        <w:t xml:space="preserve">و اسمه الحاج محمد جان هاجر إلی بلاد الهند و بها توفی 1056 و حملت جثته إلی مشهد خراسان کما فی ترجمته. و یوجد دیوانه عند البیات بطهران و (فخر الدین النصیری) و نسختان منه فی مکتبة (المجلس) فصل خصوصیاتهما ابن یوسف فی فهرسها (3: 379) أقول و ترجمه آزاد البلگرامی فی (خز- ص 377) و ذکر بعض ما حصل له من الجوائز و الصلاة فی شاه جهان‏آباد، و ذکر وفاته فی لاهور بمرض الإسهال 1056 و أورد کثیرا من شعره. و قال فی (خیال- ص 85) إنه فی شبابه حج البیت و منها سافر إلی الهند. و فی میخانه أنه سافر من مشهد إلی الهند و منها إلی الحجاز ثم رجع إلی وطنه مشهد و صار بقالا. و قال تقی الأوحدی صار نقیب البقالین و کان یجالس الحکام و قیل صار خزانة دار الآستانة الرضویة. ثم سافر فی (2- 1041) إلی الهند و تقرب عند شاه‏جهان بواسطة عبد الله خان فیروز جنگ. و نقل فی حواشی میخانه ص 540 عن مخزن الغرائب أنه نظم ظفرنامه شاه‏جهانی و مات قبل إتمامه، فأتمه بعد وفاته تلمیذه أبو طالب کلیم. و ترجم قدسی أیضا فی سرو- ص 61 و فهرس بانکی‏پور- 3: 77 و هفت آسمان- ص 144 و فهرس بادلیان- 686 و فهرس ریو- 685 و نشتر عشق و مرآت آفتاب نما و (سرخوش- ص 90) و مبتلا و (تش- ص 93) و فی (نر 9- ص 225) مفصلا و ذکر له مثنوی وصف کشمیر و آخر فی غزوات الملک و أطری قدرته فی نظم القصائد. و ترجم أیضا فی الریحانة عن القاموس الترکی و (نتایج- ص 562) و (براون 4: 167) و (مطلع 2: 440) و مجلة دانش الطهرانیة العدد 6 السنة الثالثة و مجلة فرهنگ خراسان السنة الثانیة، العدد الثانی و الثالث.</w:t>
      </w:r>
    </w:p>
    <w:p>
      <w:pPr>
        <w:pStyle w:val="Heading3"/>
      </w:pPr>
      <w:bookmarkStart w:id="7736" w:name="_Toc6432"/>
      <w:r>
        <w:t>5841- دیوان قدسی مشهدی‏</w:t>
      </w:r>
      <w:bookmarkEnd w:id="7736"/>
    </w:p>
    <w:p>
      <w:pPr>
        <w:pStyle w:val="BookText"/>
      </w:pPr>
      <w:r>
        <w:rPr>
          <w:rFonts w:ascii="IRNazanin" w:hAnsi="IRNazanin" w:eastAsia="IRNazanin" w:cs="IRNazanin"/>
          <w:lang w:bidi="fa-IR"/>
          <w:color w:val="111111"/>
          <w:sz w:val="28"/>
          <w:szCs w:val="28"/>
          <w:rtl/>
        </w:rPr>
        <w:t xml:space="preserve">المعاصر و اسمه غلام رضا بن مهدی بن المیرزا حسین من أحفاد الحاج محمد جان المذکور و هو مجموع من مدائحه عنده. و یوجد عنده” غلام رضا بن مهدی بن المیرزا حسین” فی النجف دیوان جده الأعلی القدسی المذکور.</w:t>
      </w:r>
    </w:p>
    <w:p>
      <w:pPr>
        <w:pStyle w:val="Heading3"/>
      </w:pPr>
      <w:bookmarkStart w:id="7737" w:name="_Toc6433"/>
      <w:r>
        <w:t>5842- دیوان قدسی هروی‏</w:t>
      </w:r>
      <w:bookmarkEnd w:id="7737"/>
    </w:p>
    <w:p>
      <w:pPr>
        <w:pStyle w:val="BookText"/>
      </w:pPr>
      <w:r>
        <w:rPr>
          <w:rFonts w:ascii="IRNazanin" w:hAnsi="IRNazanin" w:eastAsia="IRNazanin" w:cs="IRNazanin"/>
          <w:lang w:bidi="fa-IR"/>
          <w:color w:val="111111"/>
          <w:sz w:val="28"/>
          <w:szCs w:val="28"/>
          <w:rtl/>
        </w:rPr>
        <w:t xml:space="preserve">ترجمه فی (لط 1- ص 15) و ذکر ابتلاءه بمرض اللغوة و أورد شعره المناسب معه و کذا ذکره القزوینی فی (قز مج 1- ص 190) و هو غیر ما ذکر
</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bookmarkStart w:id="870" w:name="pg11704_122356"/>
    <w:bookmarkEnd w:id="870"/>
    <w:p>
      <w:pPr>
        <w:pStyle w:val="BookText"/>
      </w:pPr>
      <w:r>
        <w:rPr>
          <w:rFonts w:ascii="IRNazanin" w:hAnsi="IRNazanin" w:eastAsia="IRNazanin" w:cs="IRNazanin"/>
          <w:lang w:bidi="fa-IR"/>
          <w:color w:val="111111"/>
          <w:sz w:val="28"/>
          <w:szCs w:val="28"/>
          <w:rtl/>
        </w:rPr>
        <w:t xml:space="preserve">بعنوان القدیمی فی نسخه منه. و ترجمه أیضا فی (گلشن- ص 330) و (حسینی- ص 267)</w:t>
      </w:r>
    </w:p>
    <w:p>
      <w:pPr>
        <w:pStyle w:val="Heading3"/>
      </w:pPr>
      <w:bookmarkStart w:id="7738" w:name="_Toc6434"/>
      <w:r>
        <w:t>5843- دیوان قدسی یزدی‏</w:t>
      </w:r>
      <w:bookmarkEnd w:id="7738"/>
    </w:p>
    <w:p>
      <w:pPr>
        <w:pStyle w:val="BookText"/>
      </w:pPr>
      <w:r>
        <w:rPr>
          <w:rFonts w:ascii="IRNazanin" w:hAnsi="IRNazanin" w:eastAsia="IRNazanin" w:cs="IRNazanin"/>
          <w:lang w:bidi="fa-IR"/>
          <w:color w:val="111111"/>
          <w:sz w:val="28"/>
          <w:szCs w:val="28"/>
          <w:rtl/>
        </w:rPr>
        <w:t xml:space="preserve">و اسمه السید محمد ترجمه الآیتی الیزدی عند ذکر شعراء یزد فی (تش یز- ص 320) و قال إنه توفی 1356 و فی دیوانه المدیح و الهجاء و أورد قطعة له فی النیروز.</w:t>
      </w:r>
    </w:p>
    <w:p>
      <w:pPr>
        <w:pStyle w:val="Heading3"/>
      </w:pPr>
      <w:bookmarkStart w:id="7739" w:name="_Toc6435"/>
      <w:r>
        <w:t>5844- دیوان قدیمی نقاش الگیلانی‏</w:t>
      </w:r>
      <w:bookmarkEnd w:id="7739"/>
    </w:p>
    <w:p>
      <w:pPr>
        <w:pStyle w:val="BookText"/>
      </w:pPr>
      <w:r>
        <w:rPr>
          <w:rFonts w:ascii="IRNazanin" w:hAnsi="IRNazanin" w:eastAsia="IRNazanin" w:cs="IRNazanin"/>
          <w:lang w:bidi="fa-IR"/>
          <w:color w:val="111111"/>
          <w:sz w:val="28"/>
          <w:szCs w:val="28"/>
          <w:rtl/>
        </w:rPr>
        <w:t xml:space="preserve">. ترجمه معاصره سام میرزا فی (تس 5- ص 139) و أورد شعره و کذا فی (گلشن- ص 331) و (حسینی- ص 268).</w:t>
      </w:r>
    </w:p>
    <w:p>
      <w:pPr>
        <w:pStyle w:val="Heading3"/>
      </w:pPr>
      <w:bookmarkStart w:id="7740" w:name="_Toc6436"/>
      <w:r>
        <w:t>5845- دیوان قدیمی طبال‏</w:t>
      </w:r>
      <w:bookmarkEnd w:id="7740"/>
    </w:p>
    <w:p>
      <w:pPr>
        <w:pStyle w:val="BookText"/>
      </w:pPr>
      <w:r>
        <w:rPr>
          <w:rFonts w:ascii="IRNazanin" w:hAnsi="IRNazanin" w:eastAsia="IRNazanin" w:cs="IRNazanin"/>
          <w:lang w:bidi="fa-IR"/>
          <w:color w:val="111111"/>
          <w:sz w:val="28"/>
          <w:szCs w:val="28"/>
          <w:rtl/>
        </w:rPr>
        <w:t xml:space="preserve">ترجمه فی (مجن 1- ص 21 و 185) و أورد شعره و ذکر فی الهامش أن فی نسخه الأصل الترکی القدسی بدل قدیمی کما أشرنا إلیه. و ترجم فی (حسینی- ص 268).</w:t>
      </w:r>
    </w:p>
    <w:p>
      <w:pPr>
        <w:pStyle w:val="Heading3"/>
      </w:pPr>
      <w:bookmarkStart w:id="7741" w:name="_Toc6437"/>
      <w:r>
        <w:t>5846- دیوان قراری گیلانی‏</w:t>
      </w:r>
      <w:bookmarkEnd w:id="7741"/>
    </w:p>
    <w:p>
      <w:pPr>
        <w:pStyle w:val="BookText"/>
      </w:pPr>
      <w:r>
        <w:rPr>
          <w:rFonts w:ascii="IRNazanin" w:hAnsi="IRNazanin" w:eastAsia="IRNazanin" w:cs="IRNazanin"/>
          <w:lang w:bidi="fa-IR"/>
          <w:color w:val="111111"/>
          <w:sz w:val="28"/>
          <w:szCs w:val="28"/>
          <w:rtl/>
        </w:rPr>
        <w:t xml:space="preserve">و هو نور الدین محمد بن عبد الرزاق. کان وزیر خان أحمد ملک گیلان، و کان بیده تدبیر أموره و فر إلی قزوین کما ذکره الصادقی فی (خص 4- ص 46) و أورد شعره و فی (طبق 2- ص 505) أنه أخ الحکیم أبی الفتح الگیلانی المذکور فی ص 46 و له دیوان مدون. و ترجم فی (تش- 163).</w:t>
      </w:r>
    </w:p>
    <w:p>
      <w:pPr>
        <w:pStyle w:val="Heading3"/>
      </w:pPr>
      <w:bookmarkStart w:id="7742" w:name="_Toc6438"/>
      <w:r>
        <w:t>5847- دیوان قرابولاغی‏</w:t>
      </w:r>
      <w:bookmarkEnd w:id="7742"/>
    </w:p>
    <w:p>
      <w:pPr>
        <w:pStyle w:val="BookText"/>
      </w:pPr>
      <w:r>
        <w:rPr>
          <w:rFonts w:ascii="IRNazanin" w:hAnsi="IRNazanin" w:eastAsia="IRNazanin" w:cs="IRNazanin"/>
          <w:lang w:bidi="fa-IR"/>
          <w:color w:val="111111"/>
          <w:sz w:val="28"/>
          <w:szCs w:val="28"/>
          <w:rtl/>
        </w:rPr>
        <w:t xml:space="preserve">و هو محمد باقر الخلخالی طبع له فی 1329 ثعلبیة نظما.</w:t>
      </w:r>
    </w:p>
    <w:p>
      <w:pPr>
        <w:pStyle w:val="Heading3"/>
      </w:pPr>
      <w:bookmarkStart w:id="7743" w:name="_Toc6439"/>
      <w:r>
        <w:t>5848- دیوان قراضة شیرازی‏</w:t>
      </w:r>
      <w:bookmarkEnd w:id="7743"/>
    </w:p>
    <w:p>
      <w:pPr>
        <w:pStyle w:val="BookText"/>
      </w:pPr>
      <w:r>
        <w:rPr>
          <w:rFonts w:ascii="IRNazanin" w:hAnsi="IRNazanin" w:eastAsia="IRNazanin" w:cs="IRNazanin"/>
          <w:lang w:bidi="fa-IR"/>
          <w:color w:val="111111"/>
          <w:sz w:val="28"/>
          <w:szCs w:val="28"/>
          <w:rtl/>
        </w:rPr>
        <w:t xml:space="preserve">و اسمه السید محمد هاجر إلی هرات ثم إلی سمرقند.</w:t>
      </w:r>
    </w:p>
    <w:p>
      <w:pPr>
        <w:pStyle w:val="BookText"/>
      </w:pPr>
      <w:r>
        <w:rPr>
          <w:rFonts w:ascii="IRNazanin" w:hAnsi="IRNazanin" w:eastAsia="IRNazanin" w:cs="IRNazanin"/>
          <w:lang w:bidi="fa-IR"/>
          <w:color w:val="111111"/>
          <w:sz w:val="28"/>
          <w:szCs w:val="28"/>
          <w:rtl/>
        </w:rPr>
        <w:t xml:space="preserve">ترجمه الأمیر علی شیر فی (مجن 3- ص 63 و 236) و أورد شعره.</w:t>
      </w:r>
    </w:p>
    <w:p>
      <w:pPr>
        <w:pStyle w:val="Heading3"/>
      </w:pPr>
      <w:bookmarkStart w:id="7744" w:name="_Toc6440"/>
      <w:r>
        <w:t>5849- دیوان قراضی قزوینی‏</w:t>
      </w:r>
      <w:bookmarkEnd w:id="7744"/>
    </w:p>
    <w:p>
      <w:pPr>
        <w:pStyle w:val="BookText"/>
      </w:pPr>
      <w:r>
        <w:rPr>
          <w:rFonts w:ascii="IRNazanin" w:hAnsi="IRNazanin" w:eastAsia="IRNazanin" w:cs="IRNazanin"/>
          <w:lang w:bidi="fa-IR"/>
          <w:color w:val="111111"/>
          <w:sz w:val="28"/>
          <w:szCs w:val="28"/>
          <w:rtl/>
        </w:rPr>
        <w:t xml:space="preserve">له أشعار فی المناقب. ترجمه معاصره سام میرزا فی (تس 5- ص 168).</w:t>
      </w:r>
    </w:p>
    <w:p>
      <w:pPr>
        <w:pStyle w:val="Heading3"/>
      </w:pPr>
      <w:bookmarkStart w:id="7745" w:name="_Toc6441"/>
      <w:r>
        <w:t>5850- دیوان قرانی مشهدی أو شعره‏</w:t>
      </w:r>
      <w:bookmarkEnd w:id="7745"/>
    </w:p>
    <w:p>
      <w:pPr>
        <w:pStyle w:val="BookText"/>
      </w:pPr>
      <w:r>
        <w:rPr>
          <w:rFonts w:ascii="IRNazanin" w:hAnsi="IRNazanin" w:eastAsia="IRNazanin" w:cs="IRNazanin"/>
          <w:lang w:bidi="fa-IR"/>
          <w:color w:val="111111"/>
          <w:sz w:val="28"/>
          <w:szCs w:val="28"/>
          <w:rtl/>
        </w:rPr>
        <w:t xml:space="preserve">أورد شعره فی (مطلع 2: 441) و (روشن- ص 553).</w:t>
      </w:r>
    </w:p>
    <w:p>
      <w:pPr>
        <w:pStyle w:val="Heading3"/>
      </w:pPr>
      <w:bookmarkStart w:id="7746" w:name="_Toc6442"/>
      <w:r>
        <w:t>5851- دیوان قربی‏</w:t>
      </w:r>
      <w:bookmarkEnd w:id="7746"/>
    </w:p>
    <w:p>
      <w:pPr>
        <w:pStyle w:val="BookText"/>
      </w:pPr>
      <w:r>
        <w:rPr>
          <w:rFonts w:ascii="IRNazanin" w:hAnsi="IRNazanin" w:eastAsia="IRNazanin" w:cs="IRNazanin"/>
          <w:lang w:bidi="fa-IR"/>
          <w:color w:val="111111"/>
          <w:sz w:val="28"/>
          <w:szCs w:val="28"/>
          <w:rtl/>
        </w:rPr>
        <w:t xml:space="preserve">ترجمه صادقی فی عداد السادات فی (خص 6- ص 84) و ذکر أنه لم یعلم مسکنه و عشق فی أبرقوه شابا اسمه مقصود، و أورد معماه باسم معشوقه.</w:t>
      </w:r>
    </w:p>
    <w:p>
      <w:pPr>
        <w:pStyle w:val="Heading3"/>
      </w:pPr>
      <w:bookmarkStart w:id="7747" w:name="_Toc6443"/>
      <w:r>
        <w:t>5852- دیوان قربی دماوندی أو شعره‏</w:t>
      </w:r>
      <w:bookmarkEnd w:id="7747"/>
    </w:p>
    <w:p>
      <w:pPr>
        <w:pStyle w:val="BookText"/>
      </w:pPr>
      <w:r>
        <w:rPr>
          <w:rFonts w:ascii="IRNazanin" w:hAnsi="IRNazanin" w:eastAsia="IRNazanin" w:cs="IRNazanin"/>
          <w:lang w:bidi="fa-IR"/>
          <w:color w:val="111111"/>
          <w:sz w:val="28"/>
          <w:szCs w:val="28"/>
          <w:rtl/>
        </w:rPr>
        <w:t xml:space="preserve">أورد شعره فی (تش- ص 416) فی (روشن- ص 555) أنه تعلم فی بغداد و سافر إلی الهند.</w:t>
      </w:r>
    </w:p>
    <w:p>
      <w:pPr>
        <w:pStyle w:val="Heading3"/>
      </w:pPr>
      <w:bookmarkStart w:id="7748" w:name="_Toc6444"/>
      <w:r>
        <w:t>دیوان قربی شیرازی أو شعره‏</w:t>
      </w:r>
      <w:bookmarkEnd w:id="7748"/>
    </w:p>
    <w:p>
      <w:pPr>
        <w:pStyle w:val="BookText"/>
      </w:pPr>
      <w:r>
        <w:rPr>
          <w:rFonts w:ascii="IRNazanin" w:hAnsi="IRNazanin" w:eastAsia="IRNazanin" w:cs="IRNazanin"/>
          <w:lang w:bidi="fa-IR"/>
          <w:color w:val="111111"/>
          <w:sz w:val="28"/>
          <w:szCs w:val="28"/>
          <w:rtl/>
        </w:rPr>
        <w:t xml:space="preserve">کان یعرف بملا فتاح المکی المدنی. سافر إلی الهند
</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bookmarkStart w:id="871" w:name="pg11704_122357"/>
    <w:bookmarkEnd w:id="871"/>
    <w:p>
      <w:pPr>
        <w:pStyle w:val="BookText"/>
      </w:pPr>
      <w:r>
        <w:rPr>
          <w:rFonts w:ascii="IRNazanin" w:hAnsi="IRNazanin" w:eastAsia="IRNazanin" w:cs="IRNazanin"/>
          <w:lang w:bidi="fa-IR"/>
          <w:color w:val="111111"/>
          <w:sz w:val="28"/>
          <w:szCs w:val="28"/>
          <w:rtl/>
        </w:rPr>
        <w:t xml:space="preserve">فی شبابه و تقرب عند أکبر شاه و حج البیت و رجع و مات 1045 عن سبعین سنة من عمره کما أورد شعره فی (گلشن- ص 331).</w:t>
      </w:r>
    </w:p>
    <w:p>
      <w:pPr>
        <w:pStyle w:val="Heading3"/>
      </w:pPr>
      <w:bookmarkStart w:id="7749" w:name="_Toc6445"/>
      <w:r>
        <w:t>5853- دیوان قربی لاهیجانی أو شعره‏</w:t>
      </w:r>
      <w:bookmarkEnd w:id="7749"/>
    </w:p>
    <w:p>
      <w:pPr>
        <w:pStyle w:val="BookText"/>
      </w:pPr>
      <w:r>
        <w:rPr>
          <w:rFonts w:ascii="IRNazanin" w:hAnsi="IRNazanin" w:eastAsia="IRNazanin" w:cs="IRNazanin"/>
          <w:lang w:bidi="fa-IR"/>
          <w:color w:val="111111"/>
          <w:sz w:val="28"/>
          <w:szCs w:val="28"/>
          <w:rtl/>
        </w:rPr>
        <w:t xml:space="preserve">کان خطاطا بأقسام الخطوط. ترجمه معاصره الصادقی فی (خص 6- ص 92) و أورد عدة من أبیاته و عنه فی (علمای گیلان- ص 73).</w:t>
      </w:r>
    </w:p>
    <w:p>
      <w:pPr>
        <w:pStyle w:val="Heading3"/>
      </w:pPr>
      <w:bookmarkStart w:id="7750" w:name="_Toc6446"/>
      <w:r>
        <w:t>5854- دیوان قرداش تبریزی‏</w:t>
      </w:r>
      <w:bookmarkEnd w:id="7750"/>
    </w:p>
    <w:p>
      <w:pPr>
        <w:pStyle w:val="BookText"/>
      </w:pPr>
      <w:r>
        <w:rPr>
          <w:rFonts w:ascii="IRNazanin" w:hAnsi="IRNazanin" w:eastAsia="IRNazanin" w:cs="IRNazanin"/>
          <w:lang w:bidi="fa-IR"/>
          <w:color w:val="111111"/>
          <w:sz w:val="28"/>
          <w:szCs w:val="28"/>
          <w:rtl/>
        </w:rPr>
        <w:t xml:space="preserve">ترجمه فی (دجا- ص 307) و وصف صباحته و طلاقته و أورد شعره نقلا عن تحفه سامی، لکنه لم یوجد فی المطبوع.</w:t>
      </w:r>
    </w:p>
    <w:p>
      <w:pPr>
        <w:pStyle w:val="Heading3"/>
      </w:pPr>
      <w:bookmarkStart w:id="7751" w:name="_Toc6447"/>
      <w:r>
        <w:t>دیوان قرشی‏</w:t>
      </w:r>
      <w:bookmarkEnd w:id="7751"/>
    </w:p>
    <w:p>
      <w:pPr>
        <w:pStyle w:val="BookText"/>
      </w:pPr>
      <w:r>
        <w:rPr>
          <w:rFonts w:ascii="IRNazanin" w:hAnsi="IRNazanin" w:eastAsia="IRNazanin" w:cs="IRNazanin"/>
          <w:lang w:bidi="fa-IR"/>
          <w:color w:val="111111"/>
          <w:sz w:val="28"/>
          <w:szCs w:val="28"/>
          <w:rtl/>
        </w:rPr>
        <w:t xml:space="preserve">راجع سعید قرشی فی ص 451.</w:t>
      </w:r>
    </w:p>
    <w:p>
      <w:pPr>
        <w:pStyle w:val="Heading3"/>
      </w:pPr>
      <w:bookmarkStart w:id="7752" w:name="_Toc6448"/>
      <w:r>
        <w:t>دیوان قرشی صحاف السمرقندی‏</w:t>
      </w:r>
      <w:bookmarkEnd w:id="7752"/>
    </w:p>
    <w:p>
      <w:pPr>
        <w:pStyle w:val="BookText"/>
      </w:pPr>
      <w:r>
        <w:rPr>
          <w:rFonts w:ascii="IRNazanin" w:hAnsi="IRNazanin" w:eastAsia="IRNazanin" w:cs="IRNazanin"/>
          <w:lang w:bidi="fa-IR"/>
          <w:color w:val="111111"/>
          <w:sz w:val="28"/>
          <w:szCs w:val="28"/>
          <w:rtl/>
        </w:rPr>
        <w:t xml:space="preserve">. ترجمه فی (مجن 2: ص 220 و 47) و فی الهامش میر ویس بدل قرشی، و مر بتخلصه خطائی فی ص 298.</w:t>
      </w:r>
    </w:p>
    <w:p>
      <w:pPr>
        <w:pStyle w:val="Heading3"/>
      </w:pPr>
      <w:bookmarkStart w:id="7753" w:name="_Toc6449"/>
      <w:r>
        <w:t>5855- دیوان قرشی دیارجندی أو شعره‏</w:t>
      </w:r>
      <w:bookmarkEnd w:id="7753"/>
    </w:p>
    <w:p>
      <w:pPr>
        <w:pStyle w:val="BookText"/>
      </w:pPr>
      <w:r>
        <w:rPr>
          <w:rFonts w:ascii="IRNazanin" w:hAnsi="IRNazanin" w:eastAsia="IRNazanin" w:cs="IRNazanin"/>
          <w:lang w:bidi="fa-IR"/>
          <w:color w:val="111111"/>
          <w:sz w:val="28"/>
          <w:szCs w:val="28"/>
          <w:rtl/>
        </w:rPr>
        <w:t xml:space="preserve">ترجمه معاصره سام میرزا فی (تس 4- ص 77) و أورد شعره.</w:t>
      </w:r>
    </w:p>
    <w:p>
      <w:pPr>
        <w:pStyle w:val="Heading3"/>
      </w:pPr>
      <w:bookmarkStart w:id="7754" w:name="_Toc6450"/>
      <w:r>
        <w:t>5856- دیوان قریب گرگانی‏</w:t>
      </w:r>
      <w:bookmarkEnd w:id="7754"/>
    </w:p>
    <w:p>
      <w:pPr>
        <w:pStyle w:val="BookText"/>
      </w:pPr>
      <w:r>
        <w:rPr>
          <w:rFonts w:ascii="IRNazanin" w:hAnsi="IRNazanin" w:eastAsia="IRNazanin" w:cs="IRNazanin"/>
          <w:lang w:bidi="fa-IR"/>
          <w:color w:val="111111"/>
          <w:sz w:val="28"/>
          <w:szCs w:val="28"/>
          <w:rtl/>
        </w:rPr>
        <w:t xml:space="preserve">للمیرزا محمد حسین شمس العلماء المعروف بجناب مؤلف أبدع البدائع المطبوع فی سنة تألیفه و المذکور فی ج 1 ص 64 و له منظومة فی أصول الفقه ذکرها مع سائر تصانیفه فی آخر کتابه مقصد الطالب الذی طبع فی 1311 و هو أخ شیخنا المدرس المیرزا محمد تقی الگرگانی.</w:t>
      </w:r>
    </w:p>
    <w:p>
      <w:pPr>
        <w:pStyle w:val="Heading3"/>
      </w:pPr>
      <w:bookmarkStart w:id="7755" w:name="_Toc6451"/>
      <w:r>
        <w:t>5857- دیوان قریب گرگانی‏</w:t>
      </w:r>
      <w:bookmarkEnd w:id="7755"/>
    </w:p>
    <w:p>
      <w:pPr>
        <w:pStyle w:val="BookText"/>
      </w:pPr>
      <w:r>
        <w:rPr>
          <w:rFonts w:ascii="IRNazanin" w:hAnsi="IRNazanin" w:eastAsia="IRNazanin" w:cs="IRNazanin"/>
          <w:lang w:bidi="fa-IR"/>
          <w:color w:val="111111"/>
          <w:sz w:val="28"/>
          <w:szCs w:val="28"/>
          <w:rtl/>
        </w:rPr>
        <w:t xml:space="preserve">المیرزا عبد العظیم بن المیرزا علی أکبر الگرگانی أستاذ جامعة طهران. کبیر عربی و فارسی و یوجد کثیر من شعره فی تصانیفه بدایة الأدب و فرائد الأدب و دستور زبان و غیر ذلک.</w:t>
      </w:r>
    </w:p>
    <w:p>
      <w:pPr>
        <w:pStyle w:val="Heading3"/>
      </w:pPr>
      <w:bookmarkStart w:id="7756" w:name="_Toc6452"/>
      <w:r>
        <w:t>دیوان قزداری‏</w:t>
      </w:r>
      <w:bookmarkEnd w:id="7756"/>
    </w:p>
    <w:p>
      <w:pPr>
        <w:pStyle w:val="BookText"/>
      </w:pPr>
      <w:r>
        <w:rPr>
          <w:rFonts w:ascii="IRNazanin" w:hAnsi="IRNazanin" w:eastAsia="IRNazanin" w:cs="IRNazanin"/>
          <w:lang w:bidi="fa-IR"/>
          <w:color w:val="111111"/>
          <w:sz w:val="28"/>
          <w:szCs w:val="28"/>
          <w:rtl/>
        </w:rPr>
        <w:t xml:space="preserve">راجع دیوان رابعة بنت کعب فی ص 344.</w:t>
      </w:r>
    </w:p>
    <w:p>
      <w:pPr>
        <w:pStyle w:val="Heading3"/>
      </w:pPr>
      <w:bookmarkStart w:id="7757" w:name="_Toc6453"/>
      <w:r>
        <w:t>دیوان قزلباش خان‏</w:t>
      </w:r>
      <w:bookmarkEnd w:id="7757"/>
    </w:p>
    <w:p>
      <w:pPr>
        <w:pStyle w:val="BookText"/>
      </w:pPr>
      <w:r>
        <w:rPr>
          <w:rFonts w:ascii="IRNazanin" w:hAnsi="IRNazanin" w:eastAsia="IRNazanin" w:cs="IRNazanin"/>
          <w:lang w:bidi="fa-IR"/>
          <w:color w:val="111111"/>
          <w:sz w:val="28"/>
          <w:szCs w:val="28"/>
          <w:rtl/>
        </w:rPr>
        <w:t xml:space="preserve">مر بعنوان أمید همدانی فی ص 97.</w:t>
      </w:r>
    </w:p>
    <w:p>
      <w:pPr>
        <w:pStyle w:val="Heading3"/>
      </w:pPr>
      <w:bookmarkStart w:id="7758" w:name="_Toc6454"/>
      <w:r>
        <w:t>دیوان قزوینی‏</w:t>
      </w:r>
      <w:bookmarkEnd w:id="7758"/>
    </w:p>
    <w:p>
      <w:pPr>
        <w:pStyle w:val="BookText"/>
      </w:pPr>
      <w:r>
        <w:rPr>
          <w:rFonts w:ascii="IRNazanin" w:hAnsi="IRNazanin" w:eastAsia="IRNazanin" w:cs="IRNazanin"/>
          <w:lang w:bidi="fa-IR"/>
          <w:color w:val="111111"/>
          <w:sz w:val="28"/>
          <w:szCs w:val="28"/>
          <w:rtl/>
        </w:rPr>
        <w:t xml:space="preserve">مر بعنوان صالح القزوینی فی ص 588 و أدهم القزوینی فی ص 64.</w:t>
      </w:r>
    </w:p>
    <w:p>
      <w:pPr>
        <w:pStyle w:val="Heading3"/>
      </w:pPr>
      <w:bookmarkStart w:id="7759" w:name="_Toc6455"/>
      <w:r>
        <w:t>5858- دیوان قسمت قمی‏</w:t>
      </w:r>
      <w:bookmarkEnd w:id="7759"/>
    </w:p>
    <w:p>
      <w:pPr>
        <w:pStyle w:val="BookText"/>
      </w:pPr>
      <w:r>
        <w:rPr>
          <w:rFonts w:ascii="IRNazanin" w:hAnsi="IRNazanin" w:eastAsia="IRNazanin" w:cs="IRNazanin"/>
          <w:lang w:bidi="fa-IR"/>
          <w:color w:val="111111"/>
          <w:sz w:val="28"/>
          <w:szCs w:val="28"/>
          <w:rtl/>
        </w:rPr>
        <w:t xml:space="preserve">و اسمه المولی علی نقی. ترجمه النصرآبادی فی (نر 9- ص 368) و أورد جملة من أشعاره و کذا فی همیشه بهار و (علمای گیلان- ص 141) و (حسینی- ص 269).</w:t>
      </w:r>
    </w:p>
    <w:p>
      <w:pPr>
        <w:pStyle w:val="Heading3"/>
      </w:pPr>
      <w:bookmarkStart w:id="7760" w:name="_Toc6456"/>
      <w:r>
        <w:t>5859- دیوان قسمت مشهدی‏</w:t>
      </w:r>
      <w:bookmarkEnd w:id="7760"/>
    </w:p>
    <w:p>
      <w:pPr>
        <w:pStyle w:val="BookText"/>
      </w:pPr>
      <w:r>
        <w:rPr>
          <w:rFonts w:ascii="IRNazanin" w:hAnsi="IRNazanin" w:eastAsia="IRNazanin" w:cs="IRNazanin"/>
          <w:lang w:bidi="fa-IR"/>
          <w:color w:val="111111"/>
          <w:sz w:val="28"/>
          <w:szCs w:val="28"/>
          <w:rtl/>
        </w:rPr>
        <w:t xml:space="preserve">و اسمه محمد قاسم توفی قرب تألیف النصرآبادی لکتابه‏
</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bookmarkStart w:id="872" w:name="pg11704_122358"/>
    <w:bookmarkEnd w:id="872"/>
    <w:p>
      <w:pPr>
        <w:pStyle w:val="BookText"/>
      </w:pPr>
      <w:r>
        <w:rPr>
          <w:rFonts w:ascii="IRNazanin" w:hAnsi="IRNazanin" w:eastAsia="IRNazanin" w:cs="IRNazanin"/>
          <w:lang w:bidi="fa-IR"/>
          <w:color w:val="111111"/>
          <w:sz w:val="28"/>
          <w:szCs w:val="28"/>
          <w:rtl/>
        </w:rPr>
        <w:t xml:space="preserve">کما ترجمه فی (نر 9- ص 313) و ترجم فی (مطلع 2: 441).</w:t>
      </w:r>
    </w:p>
    <w:p>
      <w:pPr>
        <w:pStyle w:val="Heading3"/>
      </w:pPr>
      <w:bookmarkStart w:id="7761" w:name="_Toc6457"/>
      <w:r>
        <w:t>5860- دیوان قسمتی أسترآبادی‏</w:t>
      </w:r>
      <w:bookmarkEnd w:id="7761"/>
    </w:p>
    <w:p>
      <w:pPr>
        <w:pStyle w:val="BookText"/>
      </w:pPr>
      <w:r>
        <w:rPr>
          <w:rFonts w:ascii="IRNazanin" w:hAnsi="IRNazanin" w:eastAsia="IRNazanin" w:cs="IRNazanin"/>
          <w:lang w:bidi="fa-IR"/>
          <w:color w:val="111111"/>
          <w:sz w:val="28"/>
          <w:szCs w:val="28"/>
          <w:rtl/>
        </w:rPr>
        <w:t xml:space="preserve">ترجمه معاصره الصادقی فی (خص 8- ص 229) و ذکر أنه کان ملازم المیرزا بیک الفندرسکی ابن المیر ضیاء الدین و أورد شعره. أقول الظاهر أن المیرزا بیک المذکور هو والد المیر أبی القاسم الفندرسکی المشهور.</w:t>
      </w:r>
    </w:p>
    <w:p>
      <w:pPr>
        <w:pStyle w:val="Heading3"/>
      </w:pPr>
      <w:bookmarkStart w:id="7762" w:name="_Toc6458"/>
      <w:r>
        <w:t>5861- دیوان قسمی أفشار أو شعره‏</w:t>
      </w:r>
      <w:bookmarkEnd w:id="7762"/>
    </w:p>
    <w:p>
      <w:pPr>
        <w:pStyle w:val="BookText"/>
      </w:pPr>
      <w:r>
        <w:rPr>
          <w:rFonts w:ascii="IRNazanin" w:hAnsi="IRNazanin" w:eastAsia="IRNazanin" w:cs="IRNazanin"/>
          <w:lang w:bidi="fa-IR"/>
          <w:color w:val="111111"/>
          <w:sz w:val="28"/>
          <w:szCs w:val="28"/>
          <w:rtl/>
        </w:rPr>
        <w:t xml:space="preserve">و اسمه قاسم بیک الکرمانی من أحفاد عباس سلطان الأفشار ترجمه الصادقی فی (خص 6- ص 74) و أورد قرب عشرین بیتا من شعره و کذا فی (نتایج- ص 564) و کان معاشرا مع وحشی البافقی. و عده آیتی القائنی فی بهارستان- ص 267 بیرجندیا و عده الآیتی آواره الیزدی فی (تش یز- ص 320) یزدیا و قال قتله معشوقه فی 989.</w:t>
      </w:r>
    </w:p>
    <w:p>
      <w:pPr>
        <w:pStyle w:val="Heading3"/>
      </w:pPr>
      <w:bookmarkStart w:id="7763" w:name="_Toc6459"/>
      <w:r>
        <w:t>5862- دیوان قصاب أصفهانی‏</w:t>
      </w:r>
      <w:bookmarkEnd w:id="7763"/>
    </w:p>
    <w:p>
      <w:pPr>
        <w:pStyle w:val="BookText"/>
      </w:pPr>
      <w:r>
        <w:rPr>
          <w:rFonts w:ascii="IRNazanin" w:hAnsi="IRNazanin" w:eastAsia="IRNazanin" w:cs="IRNazanin"/>
          <w:lang w:bidi="fa-IR"/>
          <w:color w:val="111111"/>
          <w:sz w:val="28"/>
          <w:szCs w:val="28"/>
          <w:rtl/>
        </w:rPr>
        <w:t xml:space="preserve">و اسمه أمیر بیگ. ترجمه محمد مظفر حسین فی تذکره (روشن- ص 557) و أورد شعره و ذکره ابن یوسف فی فهرس المجلس (3: 382) و (مسرت- ص 9).</w:t>
      </w:r>
    </w:p>
    <w:p>
      <w:pPr>
        <w:pStyle w:val="Heading3"/>
      </w:pPr>
      <w:bookmarkStart w:id="7764" w:name="_Toc6460"/>
      <w:r>
        <w:t>5863- دیوان قصاب کاشانی‏</w:t>
      </w:r>
      <w:bookmarkEnd w:id="7764"/>
    </w:p>
    <w:p>
      <w:pPr>
        <w:pStyle w:val="BookText"/>
      </w:pPr>
      <w:r>
        <w:rPr>
          <w:rFonts w:ascii="IRNazanin" w:hAnsi="IRNazanin" w:eastAsia="IRNazanin" w:cs="IRNazanin"/>
          <w:lang w:bidi="fa-IR"/>
          <w:color w:val="111111"/>
          <w:sz w:val="28"/>
          <w:szCs w:val="28"/>
          <w:rtl/>
        </w:rPr>
        <w:t xml:space="preserve">الموجود منه فی ضمن مجموعة الدواوین رقم 1185 فی مکتبة المجلس فی حدود 800 بیتا من غزلیاته ردیف الألف إلی بعض الدال. أوله:</w:t>
      </w:r>
    </w:p>
    <w:p>
      <w:pPr>
        <w:pStyle w:val="BookText"/>
      </w:pPr>
      <w:r>
        <w:rPr>
          <w:rFonts w:ascii="IRNazanin" w:hAnsi="IRNazanin" w:eastAsia="IRNazanin" w:cs="IRNazanin"/>
          <w:lang w:bidi="fa-IR"/>
          <w:color w:val="111111"/>
          <w:sz w:val="28"/>
          <w:szCs w:val="28"/>
          <w:rtl/>
        </w:rPr>
        <w:t xml:space="preserve">الهی بهر حمدت قوتی بخشا زبانم را</w:t>
      </w:r>
    </w:p>
    <w:p>
      <w:pPr>
        <w:pStyle w:val="BookText"/>
      </w:pPr>
      <w:r>
        <w:rPr>
          <w:rFonts w:ascii="IRNazanin" w:hAnsi="IRNazanin" w:eastAsia="IRNazanin" w:cs="IRNazanin"/>
          <w:lang w:bidi="fa-IR"/>
          <w:color w:val="111111"/>
          <w:sz w:val="28"/>
          <w:szCs w:val="28"/>
          <w:rtl/>
        </w:rPr>
        <w:t xml:space="preserve">ز آب این گهر لبریز کن درج دهانم را</w:t>
      </w:r>
    </w:p>
    <w:p>
      <w:pPr>
        <w:pStyle w:val="BookText"/>
      </w:pPr>
      <w:r>
        <w:rPr>
          <w:rFonts w:ascii="IRNazanin" w:hAnsi="IRNazanin" w:eastAsia="IRNazanin" w:cs="IRNazanin"/>
          <w:lang w:bidi="fa-IR"/>
          <w:color w:val="111111"/>
          <w:sz w:val="28"/>
          <w:szCs w:val="28"/>
          <w:rtl/>
        </w:rPr>
        <w:t xml:space="preserve">کتبه درویش مولی محبت فی أواخر القرن الحادی عشر، کما فصله ابن یوسف فی فهرس المکتبة (3: 663) و یوجد دیوانه فی 1500 بیت فی مکتبة أحمد شاه بدهلی، دخل المکتبة فی 1176 کما فی (گلشن- ص 331) قال: و کتب علی ظهر الدیوان أن القصاب بمعنی حائک القصب. لکن یظهر من شعره أنه کان جزارا. و ترجمه فی مجلة أرمغان 18: 220 نقلا عن تذکره کاشانه دانش.</w:t>
      </w:r>
    </w:p>
    <w:p>
      <w:pPr>
        <w:pStyle w:val="Heading3"/>
      </w:pPr>
      <w:bookmarkStart w:id="7765" w:name="_Toc6461"/>
      <w:r>
        <w:t>5864- دیوان قصاب مازندرانی‏</w:t>
      </w:r>
      <w:bookmarkEnd w:id="7765"/>
    </w:p>
    <w:p>
      <w:pPr>
        <w:pStyle w:val="BookText"/>
      </w:pPr>
      <w:r>
        <w:rPr>
          <w:rFonts w:ascii="IRNazanin" w:hAnsi="IRNazanin" w:eastAsia="IRNazanin" w:cs="IRNazanin"/>
          <w:lang w:bidi="fa-IR"/>
          <w:color w:val="111111"/>
          <w:sz w:val="28"/>
          <w:szCs w:val="28"/>
          <w:rtl/>
        </w:rPr>
        <w:t xml:space="preserve">یوجد فی مکتبة المجلس فی حدود 3550 بیتا فیه القصائد و الغزلیات و الترجیعات و المقطعات و الرباعیات. فصل خصوصیاتها ابن یوسف فی فهرس المکتبة (3: 382). و تاریخ بعض أشعاره 1251.</w:t>
      </w:r>
    </w:p>
    <w:p>
      <w:pPr>
        <w:pStyle w:val="Heading3"/>
      </w:pPr>
      <w:bookmarkStart w:id="7766" w:name="_Toc6462"/>
      <w:r>
        <w:t>5865- دیوان قصاب یزدی‏</w:t>
      </w:r>
      <w:bookmarkEnd w:id="7766"/>
    </w:p>
    <w:p>
      <w:pPr>
        <w:pStyle w:val="BookText"/>
      </w:pPr>
      <w:r>
        <w:rPr>
          <w:rFonts w:ascii="IRNazanin" w:hAnsi="IRNazanin" w:eastAsia="IRNazanin" w:cs="IRNazanin"/>
          <w:lang w:bidi="fa-IR"/>
          <w:color w:val="111111"/>
          <w:sz w:val="28"/>
          <w:szCs w:val="28"/>
          <w:rtl/>
        </w:rPr>
        <w:t xml:space="preserve">ترجمه آیتی الیزدی فی (تش یز- ص 321) نقلا عن بعض التذاکر الهندیة و أورد شعره و ذکر فی الهامش أن جبل القصابین فی یزد معروف.
</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bookmarkStart w:id="873" w:name="pg11704_122359"/>
    <w:bookmarkEnd w:id="873"/>
    <w:p>
      <w:pPr>
        <w:pStyle w:val="Heading3"/>
      </w:pPr>
      <w:bookmarkStart w:id="7767" w:name="_Toc6463"/>
      <w:r>
        <w:t>5866- دیوان قضائی یزدی‏</w:t>
      </w:r>
      <w:bookmarkEnd w:id="7767"/>
    </w:p>
    <w:p>
      <w:pPr>
        <w:pStyle w:val="BookText"/>
      </w:pPr>
      <w:r>
        <w:rPr>
          <w:rFonts w:ascii="IRNazanin" w:hAnsi="IRNazanin" w:eastAsia="IRNazanin" w:cs="IRNazanin"/>
          <w:lang w:bidi="fa-IR"/>
          <w:color w:val="111111"/>
          <w:sz w:val="28"/>
          <w:szCs w:val="28"/>
          <w:rtl/>
        </w:rPr>
        <w:t xml:space="preserve">للمیرزا عبد الرحیم الیزدی المتخلص به. ذکر الآیتی الیزدی فی (تش یز- ص 322) أن عنده” آیتی الیزدی” نسخه عصر الناظم و علیها تصحیحاته بخطه، و کتبت و قرأت بمحضره. قال و کان هو مداح عبد الرضا خان من سلسلة الخوانین فی یزد و خطأ مؤلف مجمع الفصحاء فی تسمیته بمحمد صادق فی (مع 2- ص 425) و فی همیشه بهار سماه قضائی همدانی.</w:t>
      </w:r>
    </w:p>
    <w:p>
      <w:pPr>
        <w:pStyle w:val="Heading3"/>
      </w:pPr>
      <w:bookmarkStart w:id="7768" w:name="_Toc6464"/>
      <w:r>
        <w:t>دیوان قطب الدین أوشی‏</w:t>
      </w:r>
      <w:bookmarkEnd w:id="7768"/>
    </w:p>
    <w:p>
      <w:pPr>
        <w:pStyle w:val="BookText"/>
      </w:pPr>
      <w:r>
        <w:rPr>
          <w:rFonts w:ascii="IRNazanin" w:hAnsi="IRNazanin" w:eastAsia="IRNazanin" w:cs="IRNazanin"/>
          <w:lang w:bidi="fa-IR"/>
          <w:color w:val="111111"/>
          <w:sz w:val="28"/>
          <w:szCs w:val="28"/>
          <w:rtl/>
        </w:rPr>
        <w:t xml:space="preserve">راجع قطب الدین کاکی.</w:t>
      </w:r>
    </w:p>
    <w:p>
      <w:pPr>
        <w:pStyle w:val="Heading3"/>
      </w:pPr>
      <w:bookmarkStart w:id="7769" w:name="_Toc6465"/>
      <w:r>
        <w:t>5867- دیوان قطب الدین أحمد</w:t>
      </w:r>
      <w:bookmarkEnd w:id="7769"/>
    </w:p>
    <w:p>
      <w:pPr>
        <w:pStyle w:val="BookText"/>
      </w:pPr>
      <w:r>
        <w:rPr>
          <w:rFonts w:ascii="IRNazanin" w:hAnsi="IRNazanin" w:eastAsia="IRNazanin" w:cs="IRNazanin"/>
          <w:lang w:bidi="fa-IR"/>
          <w:color w:val="111111"/>
          <w:sz w:val="28"/>
          <w:szCs w:val="28"/>
          <w:rtl/>
        </w:rPr>
        <w:t xml:space="preserve">من أحفاد زنده پیل أحمد جام. ترجمه شاه محمد القزوینی فی (قز مج 4- ص 280) و أورد مطلع غزله و ترجمه فی (لط 4- ص 105) بعنوان خواجه قطب الدین محمد و طبع دیوان جمال الدین قطب أحمد فی مجلدین فی 232 ص فی 1889 م‏</w:t>
      </w:r>
    </w:p>
    <w:p>
      <w:pPr>
        <w:pStyle w:val="Heading3"/>
      </w:pPr>
      <w:bookmarkStart w:id="7770" w:name="_Toc6466"/>
      <w:r>
        <w:t>دیوان مولانا قطب الدین أقصائی الأندجانی‏</w:t>
      </w:r>
      <w:bookmarkEnd w:id="7770"/>
    </w:p>
    <w:p>
      <w:pPr>
        <w:pStyle w:val="BookText"/>
      </w:pPr>
      <w:r>
        <w:rPr>
          <w:rFonts w:ascii="IRNazanin" w:hAnsi="IRNazanin" w:eastAsia="IRNazanin" w:cs="IRNazanin"/>
          <w:lang w:bidi="fa-IR"/>
          <w:color w:val="111111"/>
          <w:sz w:val="28"/>
          <w:szCs w:val="28"/>
          <w:rtl/>
        </w:rPr>
        <w:t xml:space="preserve">. ترجمه فی (مجتس 6- ص 155) و أورد مطلع غزله.</w:t>
      </w:r>
    </w:p>
    <w:p>
      <w:pPr>
        <w:pStyle w:val="Heading3"/>
      </w:pPr>
      <w:bookmarkStart w:id="7771" w:name="_Toc6467"/>
      <w:r>
        <w:t>دیوان قطب الدین تونی‏</w:t>
      </w:r>
      <w:bookmarkEnd w:id="7771"/>
    </w:p>
    <w:p>
      <w:pPr>
        <w:pStyle w:val="BookText"/>
      </w:pPr>
      <w:r>
        <w:rPr>
          <w:rFonts w:ascii="IRNazanin" w:hAnsi="IRNazanin" w:eastAsia="IRNazanin" w:cs="IRNazanin"/>
          <w:lang w:bidi="fa-IR"/>
          <w:color w:val="111111"/>
          <w:sz w:val="28"/>
          <w:szCs w:val="28"/>
          <w:rtl/>
        </w:rPr>
        <w:t xml:space="preserve">راجع قطب الدین حیدر.</w:t>
      </w:r>
    </w:p>
    <w:p>
      <w:pPr>
        <w:pStyle w:val="Heading3"/>
      </w:pPr>
      <w:bookmarkStart w:id="7772" w:name="_Toc6468"/>
      <w:r>
        <w:t>5868- دیوان قطب الدین حیدر التونی الموسوی،</w:t>
      </w:r>
      <w:bookmarkEnd w:id="7772"/>
    </w:p>
    <w:p>
      <w:pPr>
        <w:pStyle w:val="BookText"/>
      </w:pPr>
      <w:r>
        <w:rPr>
          <w:rFonts w:ascii="IRNazanin" w:hAnsi="IRNazanin" w:eastAsia="IRNazanin" w:cs="IRNazanin"/>
          <w:lang w:bidi="fa-IR"/>
          <w:color w:val="111111"/>
          <w:sz w:val="28"/>
          <w:szCs w:val="28"/>
          <w:rtl/>
        </w:rPr>
        <w:t xml:space="preserve">کان من العرفاء و إلیه ینسب الفرقة الحیدریة من الصوفیة. و کان معاصر عطار النیشابوری، و باسمه ألف حیدری‏نامه ولد بتون من خراسان و مات 618 ترجمه فی الروضات و آثار عجم- ص 73. و یوجد دیوانه فی (سپهسالار- 248).</w:t>
      </w:r>
    </w:p>
    <w:p>
      <w:pPr>
        <w:pStyle w:val="Heading3"/>
      </w:pPr>
      <w:bookmarkStart w:id="7773" w:name="_Toc6469"/>
      <w:r>
        <w:t>5869- دیوان قطب الدین عتیقی‏</w:t>
      </w:r>
      <w:bookmarkEnd w:id="7773"/>
    </w:p>
    <w:p>
      <w:pPr>
        <w:pStyle w:val="BookText"/>
      </w:pPr>
      <w:r>
        <w:rPr>
          <w:rFonts w:ascii="IRNazanin" w:hAnsi="IRNazanin" w:eastAsia="IRNazanin" w:cs="IRNazanin"/>
          <w:lang w:bidi="fa-IR"/>
          <w:color w:val="111111"/>
          <w:sz w:val="28"/>
          <w:szCs w:val="28"/>
          <w:rtl/>
        </w:rPr>
        <w:t xml:space="preserve">والد جلال الدین العتیقی. له أشعار حسنة حکاه فی (دجا- ص 307) و تاریخ گزیده- ص 824 و (روشن- ص 559).</w:t>
      </w:r>
    </w:p>
    <w:p>
      <w:pPr>
        <w:pStyle w:val="Heading3"/>
      </w:pPr>
      <w:bookmarkStart w:id="7774" w:name="_Toc6470"/>
      <w:r>
        <w:t>5870- دیوان قطب الدین کاکی‏</w:t>
      </w:r>
      <w:bookmarkEnd w:id="7774"/>
    </w:p>
    <w:p>
      <w:pPr>
        <w:pStyle w:val="BookText"/>
      </w:pPr>
      <w:r>
        <w:rPr>
          <w:rFonts w:ascii="IRNazanin" w:hAnsi="IRNazanin" w:eastAsia="IRNazanin" w:cs="IRNazanin"/>
          <w:lang w:bidi="fa-IR"/>
          <w:color w:val="111111"/>
          <w:sz w:val="28"/>
          <w:szCs w:val="28"/>
          <w:rtl/>
        </w:rPr>
        <w:t xml:space="preserve">و هو محمد بختیار بن کمال الدین الأوشی الهندی من العرفاء، و تلمیذ معین الدین الچشتی. توفی بنواحی دهلی فی ربیع الأول 633 و قیل فی تاریخه:</w:t>
      </w:r>
    </w:p>
    <w:p>
      <w:pPr>
        <w:pStyle w:val="BookText"/>
      </w:pPr>
      <w:r>
        <w:rPr>
          <w:rFonts w:ascii="IRNazanin" w:hAnsi="IRNazanin" w:eastAsia="IRNazanin" w:cs="IRNazanin"/>
          <w:lang w:bidi="fa-IR"/>
          <w:color w:val="111111"/>
          <w:sz w:val="28"/>
          <w:szCs w:val="28"/>
          <w:rtl/>
        </w:rPr>
        <w:t xml:space="preserve">عقل تاریخ نقل آن محمود</w:t>
      </w:r>
    </w:p>
    <w:p>
      <w:pPr>
        <w:pStyle w:val="BookText"/>
      </w:pPr>
      <w:r>
        <w:rPr>
          <w:rFonts w:ascii="IRNazanin" w:hAnsi="IRNazanin" w:eastAsia="IRNazanin" w:cs="IRNazanin"/>
          <w:lang w:bidi="fa-IR"/>
          <w:color w:val="111111"/>
          <w:sz w:val="28"/>
          <w:szCs w:val="28"/>
          <w:rtl/>
        </w:rPr>
        <w:t xml:space="preserve">آب جنت بقطب دین فرمود</w:t>
      </w:r>
    </w:p>
    <w:p>
      <w:pPr>
        <w:pStyle w:val="BookText"/>
      </w:pPr>
      <w:r>
        <w:rPr>
          <w:rFonts w:ascii="IRNazanin" w:hAnsi="IRNazanin" w:eastAsia="IRNazanin" w:cs="IRNazanin"/>
          <w:lang w:bidi="fa-IR"/>
          <w:color w:val="111111"/>
          <w:sz w:val="28"/>
          <w:szCs w:val="28"/>
          <w:rtl/>
        </w:rPr>
        <w:t xml:space="preserve">کما فی (مسرت- ص 386) و ترجمه مفصلا فی (حسینی- ص 256- 265) و (نتایج- ص 553) و طبع دیوانه الفارسی فی کانپور 1904 م فی 226 ص. ثم فی 1915 م و فی نولکشور أیضا.
</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bookmarkStart w:id="874" w:name="pg11704_122360"/>
    <w:bookmarkEnd w:id="874"/>
    <w:p>
      <w:pPr>
        <w:pStyle w:val="Heading3"/>
      </w:pPr>
      <w:bookmarkStart w:id="7775" w:name="_Toc6471"/>
      <w:r>
        <w:t>5871- دیوان السلطان قطب الدین محمد أو شعره‏</w:t>
      </w:r>
      <w:bookmarkEnd w:id="7775"/>
    </w:p>
    <w:p>
      <w:pPr>
        <w:pStyle w:val="BookText"/>
      </w:pPr>
      <w:r>
        <w:rPr>
          <w:rFonts w:ascii="IRNazanin" w:hAnsi="IRNazanin" w:eastAsia="IRNazanin" w:cs="IRNazanin"/>
          <w:lang w:bidi="fa-IR"/>
          <w:color w:val="111111"/>
          <w:sz w:val="28"/>
          <w:szCs w:val="28"/>
          <w:rtl/>
        </w:rPr>
        <w:t xml:space="preserve">خوارزم شاه ابن السلطان تکش خان المتوفی 592 و کانت مدة ملکه إحدی و عشرین سنة. ترجمه فی مجمع الفصحاء ج 1 ص 52 و أورد شعره.</w:t>
      </w:r>
    </w:p>
    <w:p>
      <w:pPr>
        <w:pStyle w:val="Heading3"/>
      </w:pPr>
      <w:bookmarkStart w:id="7776" w:name="_Toc6472"/>
      <w:r>
        <w:t>5872- دیوان قطب ذهبی‏</w:t>
      </w:r>
      <w:bookmarkEnd w:id="7776"/>
    </w:p>
    <w:p>
      <w:pPr>
        <w:pStyle w:val="BookText"/>
      </w:pPr>
      <w:r>
        <w:rPr>
          <w:rFonts w:ascii="IRNazanin" w:hAnsi="IRNazanin" w:eastAsia="IRNazanin" w:cs="IRNazanin"/>
          <w:lang w:bidi="fa-IR"/>
          <w:color w:val="111111"/>
          <w:sz w:val="28"/>
          <w:szCs w:val="28"/>
          <w:rtl/>
        </w:rPr>
        <w:t xml:space="preserve">هو قطب الدین محمد الحسینی النیریزی الشیرازی المتوفی 1173 ترجمه فی (ض- ص 482) و أورد قصیدته العشقیة. و له حکمة العارفین أو فصل الخطاب و أرجوزة الصرف و أرجوزة النحو و أرجوزة الفقه.</w:t>
      </w:r>
    </w:p>
    <w:p>
      <w:pPr>
        <w:pStyle w:val="Heading3"/>
      </w:pPr>
      <w:bookmarkStart w:id="7777" w:name="_Toc6473"/>
      <w:r>
        <w:t>5873- دیوان قطب شیرازی أو شعره‏</w:t>
      </w:r>
      <w:bookmarkEnd w:id="7777"/>
    </w:p>
    <w:p>
      <w:pPr>
        <w:pStyle w:val="BookText"/>
      </w:pPr>
      <w:r>
        <w:rPr>
          <w:rFonts w:ascii="IRNazanin" w:hAnsi="IRNazanin" w:eastAsia="IRNazanin" w:cs="IRNazanin"/>
          <w:lang w:bidi="fa-IR"/>
          <w:color w:val="111111"/>
          <w:sz w:val="28"/>
          <w:szCs w:val="28"/>
          <w:rtl/>
        </w:rPr>
        <w:t xml:space="preserve">ترجمه النصرآبادی فی (نر 14- ص 496) و (روشن- ص 559) بعنوان ملا قطب العلامة الشیرازی و أورد رباعیة لغزه أقول: هو قطب الدین محمود بن مسعود بن المصلح الشیرازی (634- 710) و له أشعار آخر أورد بعضها السید محمد المشکاة فی ترجمه القطب المفصلة فی مقدمه طبع کتابه درة التاج فی نیف و أربعین صفحة، و إقبال فی مجلة أرمغان 13: 659. و قال فی (هفت- ص 249) إنه أول من شرح مفتاح العلوم. و توجد فی (سپهسالار- 2991) و له مصاحبات مع سعدی الشیرازی.</w:t>
      </w:r>
    </w:p>
    <w:p>
      <w:pPr>
        <w:pStyle w:val="Heading3"/>
      </w:pPr>
      <w:bookmarkStart w:id="7778" w:name="_Toc6474"/>
      <w:r>
        <w:t>دیوان قطب مائل الدهلوی‏</w:t>
      </w:r>
      <w:bookmarkEnd w:id="7778"/>
    </w:p>
    <w:p>
      <w:pPr>
        <w:pStyle w:val="BookText"/>
      </w:pPr>
      <w:r>
        <w:rPr>
          <w:rFonts w:ascii="IRNazanin" w:hAnsi="IRNazanin" w:eastAsia="IRNazanin" w:cs="IRNazanin"/>
          <w:lang w:bidi="fa-IR"/>
          <w:color w:val="111111"/>
          <w:sz w:val="28"/>
          <w:szCs w:val="28"/>
          <w:rtl/>
        </w:rPr>
        <w:t xml:space="preserve">. اسمه ساقی‏نامه ترجمه النصرآبادی فی (نر 11- ص 447) و أورد بعضه و بعض غزلیاته أیضا و ذکر أن تخلصه مائل کما یأتی فی المیم.</w:t>
      </w:r>
    </w:p>
    <w:p>
      <w:pPr>
        <w:pStyle w:val="Heading3"/>
      </w:pPr>
      <w:bookmarkStart w:id="7779" w:name="_Toc6475"/>
      <w:r>
        <w:t>5874- دیوان قطب محیی‏</w:t>
      </w:r>
      <w:bookmarkEnd w:id="7779"/>
    </w:p>
    <w:p>
      <w:pPr>
        <w:pStyle w:val="BookText"/>
      </w:pPr>
      <w:r>
        <w:rPr>
          <w:rFonts w:ascii="IRNazanin" w:hAnsi="IRNazanin" w:eastAsia="IRNazanin" w:cs="IRNazanin"/>
          <w:lang w:bidi="fa-IR"/>
          <w:color w:val="111111"/>
          <w:sz w:val="28"/>
          <w:szCs w:val="28"/>
          <w:rtl/>
        </w:rPr>
        <w:t xml:space="preserve">و اسمه قطب الدین عبد الله بن محیی الدین بن محمود الأنصاری الخزرجی السعدی الشیرازی الکوشکناری الصوفی، أستاذ الدوانی. له مکاتیب فارسیة ألفه فی 899 باسم أبواب الخیر و تخمین الأعمار کما مر فی 4: 14 و نقل فی (هفت- ص 250) عن دیوانه الفارسی. و طبع رسالة قاضی قطب الدین محیی مع پندنامه عطار و پندنامه سعدی مکررا فی بمبئی و لکهنو و ترجمه فی (روشن- ص 560).</w:t>
      </w:r>
    </w:p>
    <w:p>
      <w:pPr>
        <w:pStyle w:val="Heading3"/>
      </w:pPr>
      <w:bookmarkStart w:id="7780" w:name="_Toc6476"/>
      <w:r>
        <w:t>5875- دیوان قطبی أصفهانی‏</w:t>
      </w:r>
      <w:bookmarkEnd w:id="7780"/>
    </w:p>
    <w:p>
      <w:pPr>
        <w:pStyle w:val="BookText"/>
      </w:pPr>
      <w:r>
        <w:rPr>
          <w:rFonts w:ascii="IRNazanin" w:hAnsi="IRNazanin" w:eastAsia="IRNazanin" w:cs="IRNazanin"/>
          <w:lang w:bidi="fa-IR"/>
          <w:color w:val="111111"/>
          <w:sz w:val="28"/>
          <w:szCs w:val="28"/>
          <w:rtl/>
        </w:rPr>
        <w:t xml:space="preserve">و اسمه محمد بن عبد الغفار القارنه‏ای الأصفهانی المعاصر.</w:t>
      </w:r>
    </w:p>
    <w:p>
      <w:pPr>
        <w:pStyle w:val="BookText"/>
      </w:pPr>
      <w:r>
        <w:rPr>
          <w:rFonts w:ascii="IRNazanin" w:hAnsi="IRNazanin" w:eastAsia="IRNazanin" w:cs="IRNazanin"/>
          <w:lang w:bidi="fa-IR"/>
          <w:color w:val="111111"/>
          <w:sz w:val="28"/>
          <w:szCs w:val="28"/>
          <w:rtl/>
        </w:rPr>
        <w:t xml:space="preserve">ترجمه و أورد شعره عن دواوینه الأربعة فی شعرای معاصر أصفهان- ص 379 و له غنچه شباب و بوستان سبز ورق.</w:t>
      </w:r>
    </w:p>
    <w:p>
      <w:pPr>
        <w:pStyle w:val="Heading3"/>
      </w:pPr>
      <w:bookmarkStart w:id="7781" w:name="_Toc6477"/>
      <w:r>
        <w:t>5876- دیوان قطبی تونی أو شعره‏</w:t>
      </w:r>
      <w:bookmarkEnd w:id="7781"/>
    </w:p>
    <w:p>
      <w:pPr>
        <w:pStyle w:val="BookText"/>
      </w:pPr>
      <w:r>
        <w:rPr>
          <w:rFonts w:ascii="IRNazanin" w:hAnsi="IRNazanin" w:eastAsia="IRNazanin" w:cs="IRNazanin"/>
          <w:lang w:bidi="fa-IR"/>
          <w:color w:val="111111"/>
          <w:sz w:val="28"/>
          <w:szCs w:val="28"/>
          <w:rtl/>
        </w:rPr>
        <w:t xml:space="preserve">و هو ابن غیاثی التونی المذکور. ترجمه سام میرزا فی (تس 5- ص 161) و أورد مطلع جوابه عن غزل والده. و مر قطب الدین تونی.</w:t>
      </w:r>
    </w:p>
    <w:p>
      <w:pPr>
        <w:pStyle w:val="Heading3"/>
      </w:pPr>
      <w:bookmarkStart w:id="7782" w:name="_Toc6478"/>
      <w:r>
        <w:t>5877- دیوان قطبی جنابذی أو شعره‏</w:t>
      </w:r>
      <w:bookmarkEnd w:id="7782"/>
    </w:p>
    <w:p>
      <w:pPr>
        <w:pStyle w:val="BookText"/>
      </w:pPr>
      <w:r>
        <w:rPr>
          <w:rFonts w:ascii="IRNazanin" w:hAnsi="IRNazanin" w:eastAsia="IRNazanin" w:cs="IRNazanin"/>
          <w:lang w:bidi="fa-IR"/>
          <w:color w:val="111111"/>
          <w:sz w:val="28"/>
          <w:szCs w:val="28"/>
          <w:rtl/>
        </w:rPr>
        <w:t xml:space="preserve">ترجمه سام میرزا أیضا فی (تس 5- ص 161)
</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bookmarkStart w:id="875" w:name="pg11704_122361"/>
    <w:bookmarkEnd w:id="875"/>
    <w:p>
      <w:pPr>
        <w:pStyle w:val="BookText"/>
      </w:pPr>
      <w:r>
        <w:rPr>
          <w:rFonts w:ascii="IRNazanin" w:hAnsi="IRNazanin" w:eastAsia="IRNazanin" w:cs="IRNazanin"/>
          <w:lang w:bidi="fa-IR"/>
          <w:color w:val="111111"/>
          <w:sz w:val="28"/>
          <w:szCs w:val="28"/>
          <w:rtl/>
        </w:rPr>
        <w:t xml:space="preserve">و أورد مطلع غزله، و کذا فی (تش- ص 71) و (روشن- 560).</w:t>
      </w:r>
    </w:p>
    <w:p>
      <w:pPr>
        <w:pStyle w:val="Heading3"/>
      </w:pPr>
      <w:bookmarkStart w:id="7783" w:name="_Toc6479"/>
      <w:r>
        <w:t>5878- دیوان قطبی أو شعره‏</w:t>
      </w:r>
      <w:bookmarkEnd w:id="7783"/>
    </w:p>
    <w:p>
      <w:pPr>
        <w:pStyle w:val="BookText"/>
      </w:pPr>
      <w:r>
        <w:rPr>
          <w:rFonts w:ascii="IRNazanin" w:hAnsi="IRNazanin" w:eastAsia="IRNazanin" w:cs="IRNazanin"/>
          <w:lang w:bidi="fa-IR"/>
          <w:color w:val="111111"/>
          <w:sz w:val="28"/>
          <w:szCs w:val="28"/>
          <w:rtl/>
        </w:rPr>
        <w:t xml:space="preserve">کان ملازم السلطان مسعود میرزا. ذکره فی (مجن 1- ص 22- 196) و أورد مطلع غزله الترکی.</w:t>
      </w:r>
    </w:p>
    <w:p>
      <w:pPr>
        <w:pStyle w:val="Heading3"/>
      </w:pPr>
      <w:bookmarkStart w:id="7784" w:name="_Toc6480"/>
      <w:r>
        <w:t>5879- دیوان قطران تبریزی‏</w:t>
      </w:r>
      <w:bookmarkEnd w:id="7784"/>
    </w:p>
    <w:p>
      <w:pPr>
        <w:pStyle w:val="BookText"/>
      </w:pPr>
      <w:r>
        <w:rPr>
          <w:rFonts w:ascii="IRNazanin" w:hAnsi="IRNazanin" w:eastAsia="IRNazanin" w:cs="IRNazanin"/>
          <w:lang w:bidi="fa-IR"/>
          <w:color w:val="111111"/>
          <w:sz w:val="28"/>
          <w:szCs w:val="28"/>
          <w:rtl/>
        </w:rPr>
        <w:t xml:space="preserve">و هو الحکیم أبو منصور الأمیر شرف الزمان قطران ابن منصور الجیلی الدیلمی التبریزی‏1 ولد فی شادی‏آباد من قری مهران‏رود من توابع تبریز و سافر إلی گنجه مرتین و رجع و توفی 465 مطابق هست فی قول المؤرخ له [هست تاریخ فوت قطران هست‏] و رآه الحکیم ناصر خسرو العلوی فی 438 بتبریز و ذکره فی سفرنامه و قال ینظم الشعر و لکنه لا یعلم الفارسیة</w:t>
      </w:r>
      <w:r>
        <w:rPr>
          <w:rStyle w:val="FootnoteReference"/>
        </w:rPr>
        <w:footnoteReference w:id="74"/>
      </w:r>
      <w:r>
        <w:rPr>
          <w:rFonts w:ascii="IRNazanin" w:hAnsi="IRNazanin" w:eastAsia="IRNazanin" w:cs="IRNazanin"/>
          <w:lang w:bidi="fa-IR"/>
          <w:color w:val="111111"/>
          <w:sz w:val="28"/>
          <w:szCs w:val="28"/>
          <w:rtl/>
        </w:rPr>
        <w:t xml:space="preserve">جیدا. و قد رأی سنگلاخ دیوانه بخط مالک الدیلمی فذکره فی (امتحان- 1: 202). و یوجد دیوانه فی (سپهسالار-</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IRNazanin" w:hAnsi="IRNazanin" w:eastAsia="IRNazanin" w:cs="IRNazanin"/>
          <w:lang w:bidi="fa-IR"/>
          <w:color w:val="111111"/>
          <w:sz w:val="28"/>
          <w:szCs w:val="28"/>
          <w:rtl/>
        </w:rPr>
        <w:t xml:space="preserve">و نسختان عند (سلطان القرائی) أحدهما کتبت فی 529 لعلها بخط الأنوری الأبیوردی. و أخری فی (المجلس) کما فی فهرسها (3- 384) و ترجم قطران سعید النفیسی فی أحوال و أشعار رودکی 2: 658- 788 و الدکتور مهدی بیانی فی مجلة یغما السنة الثالثة العدد الحادی عشر و أحمد الکسروی فی چهل مقالة و مقدمه طبع دیوان قطران للنخجوانی. و ترجم فی (لت 1) و (لب 10) و (مع 1: 466) و (تش- ص 32) و (دجا- ص 307) و کان لقطران رسالة فی لغة الفرس ذکرها الأسدی فی مقدمه کتابه و کذا ذکر فی مقدمه فرهنگ جهانگیری و ذکره فی کشف الظنون بعنوان تفاسیر فی لغة الفرس. طبع الدیوان بتبریز مع مقدمه محمد النخجوانی، طبعها علی ثمانیة نسخ کانت للأمیر خیزی و مکتبة تربیت و (التقوی) و (حسین النخجوانی) و النفیسی و (محمد النخجوانی) و اثنان لسلطان القرائی. .</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bookmarkStart w:id="876" w:name="pg11704_122362"/>
    <w:bookmarkEnd w:id="876"/>
    <w:p>
      <w:pPr>
        <w:pStyle w:val="Heading3"/>
      </w:pPr>
      <w:bookmarkStart w:id="7785" w:name="_Toc6481"/>
      <w:r>
        <w:t>دیوان قطران ترمذی أو شعره‏</w:t>
      </w:r>
      <w:bookmarkEnd w:id="7785"/>
    </w:p>
    <w:p>
      <w:pPr>
        <w:pStyle w:val="BookText"/>
      </w:pPr>
      <w:r>
        <w:rPr>
          <w:rFonts w:ascii="IRNazanin" w:hAnsi="IRNazanin" w:eastAsia="IRNazanin" w:cs="IRNazanin"/>
          <w:lang w:bidi="fa-IR"/>
          <w:color w:val="111111"/>
          <w:sz w:val="28"/>
          <w:szCs w:val="28"/>
          <w:rtl/>
        </w:rPr>
        <w:t xml:space="preserve">کما فی (گلشن- 334) و الظاهر أنه أخذه عن (لت 1) و الصحیح قطران تبریزی کما مر.</w:t>
      </w:r>
    </w:p>
    <w:p>
      <w:pPr>
        <w:pStyle w:val="Heading3"/>
      </w:pPr>
      <w:bookmarkStart w:id="7786" w:name="_Toc6482"/>
      <w:r>
        <w:t>5880- دیوان قطرة أصفهانی‏</w:t>
      </w:r>
      <w:bookmarkEnd w:id="7786"/>
    </w:p>
    <w:p>
      <w:pPr>
        <w:pStyle w:val="BookText"/>
      </w:pPr>
      <w:r>
        <w:rPr>
          <w:rFonts w:ascii="IRNazanin" w:hAnsi="IRNazanin" w:eastAsia="IRNazanin" w:cs="IRNazanin"/>
          <w:lang w:bidi="fa-IR"/>
          <w:color w:val="111111"/>
          <w:sz w:val="28"/>
          <w:szCs w:val="28"/>
          <w:rtl/>
        </w:rPr>
        <w:t xml:space="preserve">و هو المیرزا عبد الوهاب الچهارمحالی الأصفهانی من شعراء عصر السلطان فتح علی شاه و کان حیا فی زمن تألیف مجمع الفصحاء کما یظهر من ترجمته فی (مع 2: ص 422) و حکی أن دیوانه قرب عشرین ألف بیت. و له فتح‏نامه فی فتوحات المختار. و صرح بأنه لم یلاقیه حتی الیوم و لم یر دیوانه و انما نقل شعره عن انجمن خاقان و سفینه محمود قرب مائة و خمسین بیتا و مر ولده دریای چهار محالی فی ص 325 و فاتنا ابنه الآخر جیحون و مر ابنه عمان سامانی فی ص 769 و مر أیضا منهم سیار فی ص 480.</w:t>
      </w:r>
    </w:p>
    <w:p>
      <w:pPr>
        <w:pStyle w:val="Heading3"/>
      </w:pPr>
      <w:bookmarkStart w:id="7787" w:name="_Toc6483"/>
      <w:r>
        <w:t>5881- دیوان قطرة طهرانی‏</w:t>
      </w:r>
      <w:bookmarkEnd w:id="7787"/>
    </w:p>
    <w:p>
      <w:pPr>
        <w:pStyle w:val="BookText"/>
      </w:pPr>
      <w:r>
        <w:rPr>
          <w:rFonts w:ascii="IRNazanin" w:hAnsi="IRNazanin" w:eastAsia="IRNazanin" w:cs="IRNazanin"/>
          <w:lang w:bidi="fa-IR"/>
          <w:color w:val="111111"/>
          <w:sz w:val="28"/>
          <w:szCs w:val="28"/>
          <w:rtl/>
        </w:rPr>
        <w:t xml:space="preserve">و هو المیرزا أبو القاسم علی مدد بن أکبر الکنی الطهرانی المعاصر الخباز بطهران. طبع دیوانه فی المراثی فی 188 ص بمکتبة المصطفوی فی 1334 ش.</w:t>
      </w:r>
    </w:p>
    <w:p>
      <w:pPr>
        <w:pStyle w:val="Heading3"/>
      </w:pPr>
      <w:bookmarkStart w:id="7788" w:name="_Toc6484"/>
      <w:r>
        <w:t>5882- دیوان القطیفی‏</w:t>
      </w:r>
      <w:bookmarkEnd w:id="7788"/>
    </w:p>
    <w:p>
      <w:pPr>
        <w:pStyle w:val="BookText"/>
      </w:pPr>
      <w:r>
        <w:rPr>
          <w:rFonts w:ascii="IRNazanin" w:hAnsi="IRNazanin" w:eastAsia="IRNazanin" w:cs="IRNazanin"/>
          <w:lang w:bidi="fa-IR"/>
          <w:color w:val="111111"/>
          <w:sz w:val="28"/>
          <w:szCs w:val="28"/>
          <w:rtl/>
        </w:rPr>
        <w:t xml:space="preserve">للشیخ أحمد بن صالح بن طعان بن ناصر الستری البحرانی (1251- 1315) صاحب التحفة الأحمدیة طبع دیوانه الکبیر.</w:t>
      </w:r>
    </w:p>
    <w:p>
      <w:pPr>
        <w:pStyle w:val="Heading3"/>
      </w:pPr>
      <w:bookmarkStart w:id="7789" w:name="_Toc6485"/>
      <w:r>
        <w:t>دیوان القفطان‏</w:t>
      </w:r>
      <w:bookmarkEnd w:id="7789"/>
    </w:p>
    <w:p>
      <w:pPr>
        <w:pStyle w:val="BookText"/>
      </w:pPr>
      <w:r>
        <w:rPr>
          <w:rFonts w:ascii="IRNazanin" w:hAnsi="IRNazanin" w:eastAsia="IRNazanin" w:cs="IRNazanin"/>
          <w:lang w:bidi="fa-IR"/>
          <w:color w:val="111111"/>
          <w:sz w:val="28"/>
          <w:szCs w:val="28"/>
          <w:rtl/>
        </w:rPr>
        <w:t xml:space="preserve">راجع دیوان عبد الحمزة.</w:t>
      </w:r>
    </w:p>
    <w:p>
      <w:pPr>
        <w:pStyle w:val="Heading3"/>
      </w:pPr>
      <w:bookmarkStart w:id="7790" w:name="_Toc6486"/>
      <w:r>
        <w:t>5883- دیوان القفطان‏</w:t>
      </w:r>
      <w:bookmarkEnd w:id="7790"/>
    </w:p>
    <w:p>
      <w:pPr>
        <w:pStyle w:val="BookText"/>
      </w:pPr>
      <w:r>
        <w:rPr>
          <w:rFonts w:ascii="IRNazanin" w:hAnsi="IRNazanin" w:eastAsia="IRNazanin" w:cs="IRNazanin"/>
          <w:lang w:bidi="fa-IR"/>
          <w:color w:val="111111"/>
          <w:sz w:val="28"/>
          <w:szCs w:val="28"/>
          <w:rtl/>
        </w:rPr>
        <w:t xml:space="preserve">و هو الشیخ حسن بن علی النجفی المتوفی 1275 ترجمه فی المجموع الرائق و جمع السماوی دیوانه فی 26 ص. یقرب من 600 بیت، ضمه مع عدة دواوین فی مجلد، اشتراه بعده محمد علی الیعقوبی فی النجف. و ترجمه الخاقانی فی شعراء الغری.</w:t>
      </w:r>
    </w:p>
    <w:p>
      <w:pPr>
        <w:pStyle w:val="Heading3"/>
      </w:pPr>
      <w:bookmarkStart w:id="7791" w:name="_Toc6487"/>
      <w:r>
        <w:t>5884- دیوان قلاشی أو شعره‏</w:t>
      </w:r>
      <w:bookmarkEnd w:id="7791"/>
    </w:p>
    <w:p>
      <w:pPr>
        <w:pStyle w:val="BookText"/>
      </w:pPr>
      <w:r>
        <w:rPr>
          <w:rFonts w:ascii="IRNazanin" w:hAnsi="IRNazanin" w:eastAsia="IRNazanin" w:cs="IRNazanin"/>
          <w:lang w:bidi="fa-IR"/>
          <w:color w:val="111111"/>
          <w:sz w:val="28"/>
          <w:szCs w:val="28"/>
          <w:rtl/>
        </w:rPr>
        <w:t xml:space="preserve">ترجمه و أورد شعره فی (مجن 3- ص 83 و 258) و أورد مطلع غزله.</w:t>
      </w:r>
    </w:p>
    <w:p>
      <w:pPr>
        <w:pStyle w:val="Heading3"/>
      </w:pPr>
      <w:bookmarkStart w:id="7792" w:name="_Toc6488"/>
      <w:r>
        <w:t>5885- دیوان قلزم أصفهانی‏</w:t>
      </w:r>
      <w:bookmarkEnd w:id="7792"/>
    </w:p>
    <w:p>
      <w:pPr>
        <w:pStyle w:val="BookText"/>
      </w:pPr>
      <w:r>
        <w:rPr>
          <w:rFonts w:ascii="IRNazanin" w:hAnsi="IRNazanin" w:eastAsia="IRNazanin" w:cs="IRNazanin"/>
          <w:lang w:bidi="fa-IR"/>
          <w:color w:val="111111"/>
          <w:sz w:val="28"/>
          <w:szCs w:val="28"/>
          <w:rtl/>
        </w:rPr>
        <w:t xml:space="preserve">و هو الشیخ محمد حسن بن محمد (1260- 1326 ش) ولد و توفی بقریة وردیجان بأصفهان، و دیوانه فی ثلاثة آلاف بیت. ذکر فی شعرای معاصر أصفهان- ص 380- 381 و ذکر ابنه شفاء الله المتخلص بقلزم أیضا.</w:t>
      </w:r>
    </w:p>
    <w:p>
      <w:pPr>
        <w:pStyle w:val="Heading3"/>
      </w:pPr>
      <w:bookmarkStart w:id="7793" w:name="_Toc6489"/>
      <w:r>
        <w:t>5886- دیوان قلزم سامانی أو شعره‏</w:t>
      </w:r>
      <w:bookmarkEnd w:id="7793"/>
    </w:p>
    <w:p>
      <w:pPr>
        <w:pStyle w:val="BookText"/>
      </w:pPr>
      <w:r>
        <w:rPr>
          <w:rFonts w:ascii="IRNazanin" w:hAnsi="IRNazanin" w:eastAsia="IRNazanin" w:cs="IRNazanin"/>
          <w:lang w:bidi="fa-IR"/>
          <w:color w:val="111111"/>
          <w:sz w:val="28"/>
          <w:szCs w:val="28"/>
          <w:rtl/>
        </w:rPr>
        <w:t xml:space="preserve">هو أخ عمان سامانی المذکور فی ص 769
</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bookmarkStart w:id="877" w:name="pg11704_122363"/>
    <w:bookmarkEnd w:id="877"/>
    <w:p>
      <w:pPr>
        <w:pStyle w:val="BookText"/>
      </w:pPr>
      <w:r>
        <w:rPr>
          <w:rFonts w:ascii="IRNazanin" w:hAnsi="IRNazanin" w:eastAsia="IRNazanin" w:cs="IRNazanin"/>
          <w:lang w:bidi="fa-IR"/>
          <w:color w:val="111111"/>
          <w:sz w:val="28"/>
          <w:szCs w:val="28"/>
          <w:rtl/>
        </w:rPr>
        <w:t xml:space="preserve">ذکر شعره لنا المعلم الحبیب‏آبادی.</w:t>
      </w:r>
    </w:p>
    <w:p>
      <w:pPr>
        <w:pStyle w:val="Heading3"/>
      </w:pPr>
      <w:bookmarkStart w:id="7794" w:name="_Toc6490"/>
      <w:r>
        <w:t>5887- دیوان قلزم یزدی‏</w:t>
      </w:r>
      <w:bookmarkEnd w:id="7794"/>
    </w:p>
    <w:p>
      <w:pPr>
        <w:pStyle w:val="BookText"/>
      </w:pPr>
      <w:r>
        <w:rPr>
          <w:rFonts w:ascii="IRNazanin" w:hAnsi="IRNazanin" w:eastAsia="IRNazanin" w:cs="IRNazanin"/>
          <w:lang w:bidi="fa-IR"/>
          <w:color w:val="111111"/>
          <w:sz w:val="28"/>
          <w:szCs w:val="28"/>
          <w:rtl/>
        </w:rPr>
        <w:t xml:space="preserve">و اسمه السید مهدی بن الحاج السید یحیی المقدس. ولد 1270 ش و سافر إلی أروپا مدة و رجع فی 1310 ش. طبع له منظومة حماسیة باسم هفتاد موج ببرلن فی 1309 ش فی 50 ص ترجمه ایزد گشسب فی نامه سخنوران و البرقعی فی سخنوران نامی معاصر و (تش یز- ص 323) و تذکره شعرای معاصر و أدبیات معاصر- ص 99.</w:t>
      </w:r>
    </w:p>
    <w:p>
      <w:pPr>
        <w:pStyle w:val="Heading3"/>
      </w:pPr>
      <w:bookmarkStart w:id="7795" w:name="_Toc6491"/>
      <w:r>
        <w:t>5888- دیوان قل محمد شبرغانی أو شعره‏</w:t>
      </w:r>
      <w:bookmarkEnd w:id="7795"/>
    </w:p>
    <w:p>
      <w:pPr>
        <w:pStyle w:val="BookText"/>
      </w:pPr>
      <w:r>
        <w:rPr>
          <w:rFonts w:ascii="IRNazanin" w:hAnsi="IRNazanin" w:eastAsia="IRNazanin" w:cs="IRNazanin"/>
          <w:lang w:bidi="fa-IR"/>
          <w:color w:val="111111"/>
          <w:sz w:val="28"/>
          <w:szCs w:val="28"/>
          <w:rtl/>
        </w:rPr>
        <w:t xml:space="preserve">کان أستاذا فی أنواع آلات اللهو ترجمه المیر علی شیر فی (مجن 4- ص 103 و 279) و أورد معماه الحاکی عن حاله مستظهرا لحسن عمله بإدخال السرور فی قلب المؤمن و هو باسم نور:</w:t>
      </w:r>
    </w:p>
    <w:p>
      <w:pPr>
        <w:pStyle w:val="BookText"/>
      </w:pPr>
      <w:r>
        <w:rPr>
          <w:rFonts w:ascii="IRNazanin" w:hAnsi="IRNazanin" w:eastAsia="IRNazanin" w:cs="IRNazanin"/>
          <w:lang w:bidi="fa-IR"/>
          <w:color w:val="111111"/>
          <w:sz w:val="28"/>
          <w:szCs w:val="28"/>
          <w:rtl/>
        </w:rPr>
        <w:t xml:space="preserve">خوش آن مطرب که ساز خوش نوازد</w:t>
      </w:r>
    </w:p>
    <w:p>
      <w:pPr>
        <w:pStyle w:val="BookText"/>
      </w:pPr>
      <w:r>
        <w:rPr>
          <w:rFonts w:ascii="IRNazanin" w:hAnsi="IRNazanin" w:eastAsia="IRNazanin" w:cs="IRNazanin"/>
          <w:lang w:bidi="fa-IR"/>
          <w:color w:val="111111"/>
          <w:sz w:val="28"/>
          <w:szCs w:val="28"/>
          <w:rtl/>
        </w:rPr>
        <w:t xml:space="preserve">یکی را از نوا خوشحال سازد</w:t>
      </w:r>
    </w:p>
    <w:p>
      <w:pPr>
        <w:pStyle w:val="BookText"/>
      </w:pPr>
      <w:r>
        <w:rPr>
          <w:rFonts w:ascii="IRNazanin" w:hAnsi="IRNazanin" w:eastAsia="IRNazanin" w:cs="IRNazanin"/>
          <w:lang w:bidi="fa-IR"/>
          <w:color w:val="111111"/>
          <w:sz w:val="28"/>
          <w:szCs w:val="28"/>
          <w:rtl/>
        </w:rPr>
        <w:t xml:space="preserve">قال و کان ماهرا فی النجوم و الخط و التصویر</w:t>
      </w:r>
    </w:p>
    <w:p>
      <w:pPr>
        <w:pStyle w:val="Heading3"/>
      </w:pPr>
      <w:bookmarkStart w:id="7796" w:name="_Toc6492"/>
      <w:r>
        <w:t>5889- دیوان قلندر أو شعره‏</w:t>
      </w:r>
      <w:bookmarkEnd w:id="7796"/>
    </w:p>
    <w:p>
      <w:pPr>
        <w:pStyle w:val="BookText"/>
      </w:pPr>
      <w:r>
        <w:rPr>
          <w:rFonts w:ascii="IRNazanin" w:hAnsi="IRNazanin" w:eastAsia="IRNazanin" w:cs="IRNazanin"/>
          <w:lang w:bidi="fa-IR"/>
          <w:color w:val="111111"/>
          <w:sz w:val="28"/>
          <w:szCs w:val="28"/>
          <w:rtl/>
        </w:rPr>
        <w:t xml:space="preserve">ترجمه فی (لط 3- ص 78) و ذکر أنه سیاح فاضل و أورد شعره‏</w:t>
      </w:r>
    </w:p>
    <w:p>
      <w:pPr>
        <w:pStyle w:val="Heading3"/>
      </w:pPr>
      <w:bookmarkStart w:id="7797" w:name="_Toc6493"/>
      <w:r>
        <w:t>دیوان قلندر أصفهانی‏</w:t>
      </w:r>
      <w:bookmarkEnd w:id="7797"/>
    </w:p>
    <w:p>
      <w:pPr>
        <w:pStyle w:val="BookText"/>
      </w:pPr>
      <w:r>
        <w:rPr>
          <w:rFonts w:ascii="IRNazanin" w:hAnsi="IRNazanin" w:eastAsia="IRNazanin" w:cs="IRNazanin"/>
          <w:lang w:bidi="fa-IR"/>
          <w:color w:val="111111"/>
          <w:sz w:val="28"/>
          <w:szCs w:val="28"/>
          <w:rtl/>
        </w:rPr>
        <w:t xml:space="preserve">و هو الغازی قلندر المذکور فی ص 783 ترجمه فی (تش- ص 183) و فی (روشن- ص 560) سماه آقا لطیف و قال فی (امتحان- 2: 151) إنه رأی دیوان قاضی قلندر بخط جمشید بیک الخطاط</w:t>
      </w:r>
    </w:p>
    <w:p>
      <w:pPr>
        <w:pStyle w:val="Heading3"/>
      </w:pPr>
      <w:bookmarkStart w:id="7798" w:name="_Toc6494"/>
      <w:r>
        <w:t>5890- دیوان قلندر خراسانی أو شعره‏</w:t>
      </w:r>
      <w:bookmarkEnd w:id="7798"/>
    </w:p>
    <w:p>
      <w:pPr>
        <w:pStyle w:val="BookText"/>
      </w:pPr>
      <w:r>
        <w:rPr>
          <w:rFonts w:ascii="IRNazanin" w:hAnsi="IRNazanin" w:eastAsia="IRNazanin" w:cs="IRNazanin"/>
          <w:lang w:bidi="fa-IR"/>
          <w:color w:val="111111"/>
          <w:sz w:val="28"/>
          <w:szCs w:val="28"/>
          <w:rtl/>
        </w:rPr>
        <w:t xml:space="preserve">و اسمه محمد أورد شعره فی (گلشن- ص 381)</w:t>
      </w:r>
    </w:p>
    <w:p>
      <w:pPr>
        <w:pStyle w:val="Heading3"/>
      </w:pPr>
      <w:bookmarkStart w:id="7799" w:name="_Toc6495"/>
      <w:r>
        <w:t>5891- دیوان قلندر سمرقندی أو شعره‏</w:t>
      </w:r>
      <w:bookmarkEnd w:id="7799"/>
    </w:p>
    <w:p>
      <w:pPr>
        <w:pStyle w:val="BookText"/>
      </w:pPr>
      <w:r>
        <w:rPr>
          <w:rFonts w:ascii="IRNazanin" w:hAnsi="IRNazanin" w:eastAsia="IRNazanin" w:cs="IRNazanin"/>
          <w:lang w:bidi="fa-IR"/>
          <w:color w:val="111111"/>
          <w:sz w:val="28"/>
          <w:szCs w:val="28"/>
          <w:rtl/>
        </w:rPr>
        <w:t xml:space="preserve">ترجمه فی (مجن 2- ص 41 و 214) و أورد شعره الترکی، لکن تخلصه فی الأول جاء حریمی و فی الثانی جریمی بالمعجمة</w:t>
      </w:r>
    </w:p>
    <w:p>
      <w:pPr>
        <w:pStyle w:val="Heading3"/>
      </w:pPr>
      <w:bookmarkStart w:id="7800" w:name="_Toc6496"/>
      <w:r>
        <w:t>دیوان قلندر شیرازی‏</w:t>
      </w:r>
      <w:bookmarkEnd w:id="7800"/>
    </w:p>
    <w:p>
      <w:pPr>
        <w:pStyle w:val="BookText"/>
      </w:pPr>
      <w:r>
        <w:rPr>
          <w:rFonts w:ascii="IRNazanin" w:hAnsi="IRNazanin" w:eastAsia="IRNazanin" w:cs="IRNazanin"/>
          <w:lang w:bidi="fa-IR"/>
          <w:color w:val="111111"/>
          <w:sz w:val="28"/>
          <w:szCs w:val="28"/>
          <w:rtl/>
        </w:rPr>
        <w:t xml:space="preserve">مر فی ص 510 بعنوان شرر شیرازی‏</w:t>
      </w:r>
    </w:p>
    <w:p>
      <w:pPr>
        <w:pStyle w:val="Heading3"/>
      </w:pPr>
      <w:bookmarkStart w:id="7801" w:name="_Toc6497"/>
      <w:r>
        <w:t>دیوان قلندر عراقی‏</w:t>
      </w:r>
      <w:bookmarkEnd w:id="7801"/>
    </w:p>
    <w:p>
      <w:pPr>
        <w:pStyle w:val="BookText"/>
      </w:pPr>
      <w:r>
        <w:rPr>
          <w:rFonts w:ascii="IRNazanin" w:hAnsi="IRNazanin" w:eastAsia="IRNazanin" w:cs="IRNazanin"/>
          <w:lang w:bidi="fa-IR"/>
          <w:color w:val="111111"/>
          <w:sz w:val="28"/>
          <w:szCs w:val="28"/>
          <w:rtl/>
        </w:rPr>
        <w:t xml:space="preserve">المذکور فی ص 516 بعنوان شرف قلندر ترجمه فی (نتایج- ص 358) طبع له مثنوی شاه بو علی قلندر بلکهنو فی 1315 مع گنجینه عرفان فی 49 ص و طبع دیوانه بلاهور فی 1915 م فی 96 ص مع الترجمة باللغة الپنجابیة
</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bookmarkStart w:id="878" w:name="pg11704_122364"/>
    <w:bookmarkEnd w:id="878"/>
    <w:p>
      <w:pPr>
        <w:pStyle w:val="Heading3"/>
      </w:pPr>
      <w:bookmarkStart w:id="7802" w:name="_Toc6498"/>
      <w:r>
        <w:t>5892- دیوان قلندر کرمانی أو شعره‏</w:t>
      </w:r>
      <w:bookmarkEnd w:id="7802"/>
    </w:p>
    <w:p>
      <w:pPr>
        <w:pStyle w:val="BookText"/>
      </w:pPr>
      <w:r>
        <w:rPr>
          <w:rFonts w:ascii="IRNazanin" w:hAnsi="IRNazanin" w:eastAsia="IRNazanin" w:cs="IRNazanin"/>
          <w:lang w:bidi="fa-IR"/>
          <w:color w:val="111111"/>
          <w:sz w:val="28"/>
          <w:szCs w:val="28"/>
          <w:rtl/>
        </w:rPr>
        <w:t xml:space="preserve">و اسمه أبو الوفاء الشاه نعمةاللهی ترجمه و أورد شعره فی (خص 8- ص 301)</w:t>
      </w:r>
    </w:p>
    <w:p>
      <w:pPr>
        <w:pStyle w:val="Heading3"/>
      </w:pPr>
      <w:bookmarkStart w:id="7803" w:name="_Toc6499"/>
      <w:r>
        <w:t>5893- دیوان قلی بخاری أو شعره‏</w:t>
      </w:r>
      <w:bookmarkEnd w:id="7803"/>
    </w:p>
    <w:p>
      <w:pPr>
        <w:pStyle w:val="BookText"/>
      </w:pPr>
      <w:r>
        <w:rPr>
          <w:rFonts w:ascii="IRNazanin" w:hAnsi="IRNazanin" w:eastAsia="IRNazanin" w:cs="IRNazanin"/>
          <w:lang w:bidi="fa-IR"/>
          <w:color w:val="111111"/>
          <w:sz w:val="28"/>
          <w:szCs w:val="28"/>
          <w:rtl/>
        </w:rPr>
        <w:t xml:space="preserve">کان ندیم عبد العزیز خان ترجمه معاصره النصرآبادی فی (نر 10- ص 437) و أورد شعره و رباعیه‏</w:t>
      </w:r>
    </w:p>
    <w:p>
      <w:pPr>
        <w:pStyle w:val="Heading3"/>
      </w:pPr>
      <w:bookmarkStart w:id="7804" w:name="_Toc6500"/>
      <w:r>
        <w:t>5894- دیوان قلیج أرسلان أو شعره‏</w:t>
      </w:r>
      <w:bookmarkEnd w:id="7804"/>
    </w:p>
    <w:p>
      <w:pPr>
        <w:pStyle w:val="BookText"/>
      </w:pPr>
      <w:r>
        <w:rPr>
          <w:rFonts w:ascii="IRNazanin" w:hAnsi="IRNazanin" w:eastAsia="IRNazanin" w:cs="IRNazanin"/>
          <w:lang w:bidi="fa-IR"/>
          <w:color w:val="111111"/>
          <w:sz w:val="28"/>
          <w:szCs w:val="28"/>
          <w:rtl/>
        </w:rPr>
        <w:t xml:space="preserve">ترجمه النصرآبادی فی (نر 14- ص 492) و أورد شعره المعمی و المرموز</w:t>
      </w:r>
    </w:p>
    <w:p>
      <w:pPr>
        <w:pStyle w:val="Heading3"/>
      </w:pPr>
      <w:bookmarkStart w:id="7805" w:name="_Toc6501"/>
      <w:r>
        <w:t>5895- دیوان قلیج بیک بغدادی أو شعره‏</w:t>
      </w:r>
      <w:bookmarkEnd w:id="7805"/>
    </w:p>
    <w:p>
      <w:pPr>
        <w:pStyle w:val="BookText"/>
      </w:pPr>
      <w:r>
        <w:rPr>
          <w:rFonts w:ascii="IRNazanin" w:hAnsi="IRNazanin" w:eastAsia="IRNazanin" w:cs="IRNazanin"/>
          <w:lang w:bidi="fa-IR"/>
          <w:color w:val="111111"/>
          <w:sz w:val="28"/>
          <w:szCs w:val="28"/>
          <w:rtl/>
        </w:rPr>
        <w:t xml:space="preserve">سکن بغداد ترجمه الصادقی فی (خص 7- ص 127) و أورد شعره الترکی الإستانبولی‏</w:t>
      </w:r>
    </w:p>
    <w:p>
      <w:pPr>
        <w:pStyle w:val="Heading3"/>
      </w:pPr>
      <w:bookmarkStart w:id="7806" w:name="_Toc6502"/>
      <w:r>
        <w:t>5896- دیوان قمر الدین أو شعره‏</w:t>
      </w:r>
      <w:bookmarkEnd w:id="7806"/>
    </w:p>
    <w:p>
      <w:pPr>
        <w:pStyle w:val="BookText"/>
      </w:pPr>
      <w:r>
        <w:rPr>
          <w:rFonts w:ascii="IRNazanin" w:hAnsi="IRNazanin" w:eastAsia="IRNazanin" w:cs="IRNazanin"/>
          <w:lang w:bidi="fa-IR"/>
          <w:color w:val="111111"/>
          <w:sz w:val="28"/>
          <w:szCs w:val="28"/>
          <w:rtl/>
        </w:rPr>
        <w:t xml:space="preserve">و هو ابن السید حبیب الله الأورنگ‏آبادی بن عنایة الله بن محمد حفید السید ظهیر الدین الخجندی ترجمه البلگرامی فی (خز- ص 380) و ذکر أنه ولد 1123 و ذکر تواریخه و تواریخ والده و جده و تنقلاته منها حجة فی 1174 و رجوعه فی 1175 و أورد بعض شعره و جاء شعره فی (مسرت- ص 79)</w:t>
      </w:r>
    </w:p>
    <w:p>
      <w:pPr>
        <w:pStyle w:val="Heading3"/>
      </w:pPr>
      <w:bookmarkStart w:id="7807" w:name="_Toc6503"/>
      <w:r>
        <w:t>5897- دیوان قمر السلطنة أو شعرها</w:t>
      </w:r>
      <w:bookmarkEnd w:id="7807"/>
    </w:p>
    <w:p>
      <w:pPr>
        <w:pStyle w:val="BookText"/>
      </w:pPr>
      <w:r>
        <w:rPr>
          <w:rFonts w:ascii="IRNazanin" w:hAnsi="IRNazanin" w:eastAsia="IRNazanin" w:cs="IRNazanin"/>
          <w:lang w:bidi="fa-IR"/>
          <w:color w:val="111111"/>
          <w:sz w:val="28"/>
          <w:szCs w:val="28"/>
          <w:rtl/>
        </w:rPr>
        <w:t xml:space="preserve">و هی بنت فتح علی شاه و زوجة میرزا حسین خان سپهسالار مؤسس المدرسة و المکتبة المعروفة باسمه بطهران قال فی خیرات حسان إنها کانت صغیرة حین مات والدها فتح علی شاه، و لها أشعار حسنة و موقوفات عظیمة، و کذا فی از رابعة تا پروین- ص 186</w:t>
      </w:r>
    </w:p>
    <w:p>
      <w:pPr>
        <w:pStyle w:val="Heading3"/>
      </w:pPr>
      <w:bookmarkStart w:id="7808" w:name="_Toc6504"/>
      <w:r>
        <w:t>5898- دیوان قمر کاکوروی أو شعره‏</w:t>
      </w:r>
      <w:bookmarkEnd w:id="7808"/>
    </w:p>
    <w:p>
      <w:pPr>
        <w:pStyle w:val="BookText"/>
      </w:pPr>
      <w:r>
        <w:rPr>
          <w:rFonts w:ascii="IRNazanin" w:hAnsi="IRNazanin" w:eastAsia="IRNazanin" w:cs="IRNazanin"/>
          <w:lang w:bidi="fa-IR"/>
          <w:color w:val="111111"/>
          <w:sz w:val="28"/>
          <w:szCs w:val="28"/>
          <w:rtl/>
        </w:rPr>
        <w:t xml:space="preserve">و هو المنشی حسن یاور ابن إکرام الله الهندی کان ماهرا فی العروض و القافیة، و تلمذ علی الشیخ فرید فلک أورد شعره فی (گلشن- ص 334)</w:t>
      </w:r>
    </w:p>
    <w:p>
      <w:pPr>
        <w:pStyle w:val="Heading3"/>
      </w:pPr>
      <w:bookmarkStart w:id="7809" w:name="_Toc6505"/>
      <w:r>
        <w:t>5899- دیوان قمری‏</w:t>
      </w:r>
      <w:bookmarkEnd w:id="7809"/>
    </w:p>
    <w:p>
      <w:pPr>
        <w:pStyle w:val="BookText"/>
      </w:pPr>
      <w:r>
        <w:rPr>
          <w:rFonts w:ascii="IRNazanin" w:hAnsi="IRNazanin" w:eastAsia="IRNazanin" w:cs="IRNazanin"/>
          <w:lang w:bidi="fa-IR"/>
          <w:color w:val="111111"/>
          <w:sz w:val="28"/>
          <w:szCs w:val="28"/>
          <w:rtl/>
        </w:rPr>
        <w:t xml:space="preserve">فارسی مطبوع بإیران‏</w:t>
      </w:r>
    </w:p>
    <w:p>
      <w:pPr>
        <w:pStyle w:val="Heading3"/>
      </w:pPr>
      <w:bookmarkStart w:id="7810" w:name="_Toc6506"/>
      <w:r>
        <w:t>5900- دیوان قمری آملی‏</w:t>
      </w:r>
      <w:bookmarkEnd w:id="7810"/>
    </w:p>
    <w:p>
      <w:pPr>
        <w:pStyle w:val="BookText"/>
      </w:pPr>
      <w:r>
        <w:rPr>
          <w:rFonts w:ascii="IRNazanin" w:hAnsi="IRNazanin" w:eastAsia="IRNazanin" w:cs="IRNazanin"/>
          <w:lang w:bidi="fa-IR"/>
          <w:color w:val="111111"/>
          <w:sz w:val="28"/>
          <w:szCs w:val="28"/>
          <w:rtl/>
        </w:rPr>
        <w:t xml:space="preserve">و اسمه سراج الدین، و قیل إنه خوارزمی و کان معاصر کمال إسماعیل المتوفی 635 ترجمه فی (مع- ج 1 ص 477) و أورد قرب خمسین بیتا من أشعاره المنقولة فی التذکرات و هو غیر من ذکرناه بعنوان سراج قمری فی ص 437 الذی ذکره عز الدین الفریومدی فی کارنامه أوقاف و قال:</w:t>
      </w:r>
    </w:p>
    <w:p>
      <w:pPr>
        <w:pStyle w:val="BookText"/>
      </w:pPr>
      <w:r>
        <w:rPr>
          <w:rFonts w:ascii="IRNazanin" w:hAnsi="IRNazanin" w:eastAsia="IRNazanin" w:cs="IRNazanin"/>
          <w:lang w:bidi="fa-IR"/>
          <w:color w:val="111111"/>
          <w:sz w:val="28"/>
          <w:szCs w:val="28"/>
          <w:rtl/>
        </w:rPr>
        <w:t xml:space="preserve">بر سر شاخ یاسمین قمری‏</w:t>
      </w:r>
    </w:p>
    <w:p>
      <w:pPr>
        <w:pStyle w:val="BookText"/>
      </w:pPr>
      <w:r>
        <w:rPr>
          <w:rFonts w:ascii="IRNazanin" w:hAnsi="IRNazanin" w:eastAsia="IRNazanin" w:cs="IRNazanin"/>
          <w:lang w:bidi="fa-IR"/>
          <w:color w:val="111111"/>
          <w:sz w:val="28"/>
          <w:szCs w:val="28"/>
          <w:rtl/>
        </w:rPr>
        <w:t xml:space="preserve">خواند شعر سراج دین قمری‏
</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bookmarkStart w:id="879" w:name="pg11704_122365"/>
    <w:bookmarkEnd w:id="879"/>
    <w:p>
      <w:pPr>
        <w:pStyle w:val="Heading3"/>
      </w:pPr>
      <w:bookmarkStart w:id="7811" w:name="_Toc6507"/>
      <w:r>
        <w:t>دیوان قمری جرجانی‏</w:t>
      </w:r>
      <w:bookmarkEnd w:id="7811"/>
    </w:p>
    <w:p>
      <w:pPr>
        <w:pStyle w:val="BookText"/>
      </w:pPr>
      <w:r>
        <w:rPr>
          <w:rFonts w:ascii="IRNazanin" w:hAnsi="IRNazanin" w:eastAsia="IRNazanin" w:cs="IRNazanin"/>
          <w:lang w:bidi="fa-IR"/>
          <w:color w:val="111111"/>
          <w:sz w:val="28"/>
          <w:szCs w:val="28"/>
          <w:rtl/>
        </w:rPr>
        <w:t xml:space="preserve">راجع قمری مازندرانی‏</w:t>
      </w:r>
    </w:p>
    <w:p>
      <w:pPr>
        <w:pStyle w:val="Heading3"/>
      </w:pPr>
      <w:bookmarkStart w:id="7812" w:name="_Toc6508"/>
      <w:r>
        <w:t>5901- دیوان قمری خراسانی أو شعره‏</w:t>
      </w:r>
      <w:bookmarkEnd w:id="7812"/>
    </w:p>
    <w:p>
      <w:pPr>
        <w:pStyle w:val="BookText"/>
      </w:pPr>
      <w:r>
        <w:rPr>
          <w:rFonts w:ascii="IRNazanin" w:hAnsi="IRNazanin" w:eastAsia="IRNazanin" w:cs="IRNazanin"/>
          <w:lang w:bidi="fa-IR"/>
          <w:color w:val="111111"/>
          <w:sz w:val="28"/>
          <w:szCs w:val="28"/>
          <w:rtl/>
        </w:rPr>
        <w:t xml:space="preserve">و اسمه پهلوان بیک کان من شجعان خراسان ترجمه الصادقی فی (خص 3- ص 36) و أورد بعض شعره‏</w:t>
      </w:r>
    </w:p>
    <w:p>
      <w:pPr>
        <w:pStyle w:val="Heading3"/>
      </w:pPr>
      <w:bookmarkStart w:id="7813" w:name="_Toc6509"/>
      <w:r>
        <w:t>5902- دیوان قمری دربندی‏</w:t>
      </w:r>
      <w:bookmarkEnd w:id="7813"/>
    </w:p>
    <w:p>
      <w:pPr>
        <w:pStyle w:val="BookText"/>
      </w:pPr>
      <w:r>
        <w:rPr>
          <w:rFonts w:ascii="IRNazanin" w:hAnsi="IRNazanin" w:eastAsia="IRNazanin" w:cs="IRNazanin"/>
          <w:lang w:bidi="fa-IR"/>
          <w:color w:val="111111"/>
          <w:sz w:val="28"/>
          <w:szCs w:val="28"/>
          <w:rtl/>
        </w:rPr>
        <w:t xml:space="preserve">و اسمه المیرزا محمد تقی له نظم کنز المصائب المطبوع بالترکیة مکررا ترجمه فی (دجا- ص 309) و ریحانة الأدب‏</w:t>
      </w:r>
    </w:p>
    <w:p>
      <w:pPr>
        <w:pStyle w:val="Heading3"/>
      </w:pPr>
      <w:bookmarkStart w:id="7814" w:name="_Toc6510"/>
      <w:r>
        <w:t>5903- دیوان قمری مازندرانی أو شعره‏</w:t>
      </w:r>
      <w:bookmarkEnd w:id="7814"/>
    </w:p>
    <w:p>
      <w:pPr>
        <w:pStyle w:val="BookText"/>
      </w:pPr>
      <w:r>
        <w:rPr>
          <w:rFonts w:ascii="IRNazanin" w:hAnsi="IRNazanin" w:eastAsia="IRNazanin" w:cs="IRNazanin"/>
          <w:lang w:bidi="fa-IR"/>
          <w:color w:val="111111"/>
          <w:sz w:val="28"/>
          <w:szCs w:val="28"/>
          <w:rtl/>
        </w:rPr>
        <w:t xml:space="preserve">ذکر بیتین من شعره فی قابوس‏نامه و عدة أبیات فی ترجمان البلاغة و ترجمه العوفی فی (لب 8) و هدایت فی (مع 1: 477) بعد ذکره لقمری الآملی المذکور و هو أبو القاسم زیار بن محمد الجرجانی کان یمدح الأمیر قابوس بن وشمگیر (366- 403) ترجمه و أورد 32 بیتا من أشعاره طاهری شهاب فی مقالة طبعت فی مجلة أرمغان العدد الثانی المجلد الثلاثین لسنة 1340 ش و إقبال فی حواشی حدائق السحر- ص 109 و النفیسی فی حاشیة قابوس‏نامه و فی (روشن- ص 562)</w:t>
      </w:r>
    </w:p>
    <w:p>
      <w:pPr>
        <w:pStyle w:val="Heading3"/>
      </w:pPr>
      <w:bookmarkStart w:id="7815" w:name="_Toc6511"/>
      <w:r>
        <w:t>دیوان قمی‏</w:t>
      </w:r>
      <w:bookmarkEnd w:id="7815"/>
    </w:p>
    <w:p>
      <w:pPr>
        <w:pStyle w:val="BookText"/>
      </w:pPr>
      <w:r>
        <w:rPr>
          <w:rFonts w:ascii="IRNazanin" w:hAnsi="IRNazanin" w:eastAsia="IRNazanin" w:cs="IRNazanin"/>
          <w:lang w:bidi="fa-IR"/>
          <w:color w:val="111111"/>
          <w:sz w:val="28"/>
          <w:szCs w:val="28"/>
          <w:rtl/>
        </w:rPr>
        <w:t xml:space="preserve">و هو المیرزا أبو القاسم مر باسمه فی ص 48 و له منظومة المعانی و البیان‏</w:t>
      </w:r>
    </w:p>
    <w:p>
      <w:pPr>
        <w:pStyle w:val="Heading3"/>
      </w:pPr>
      <w:bookmarkStart w:id="7816" w:name="_Toc6512"/>
      <w:r>
        <w:t>5904- دیوان قمی أفشار أو شعره‏</w:t>
      </w:r>
      <w:bookmarkEnd w:id="7816"/>
    </w:p>
    <w:p>
      <w:pPr>
        <w:pStyle w:val="BookText"/>
      </w:pPr>
      <w:r>
        <w:rPr>
          <w:rFonts w:ascii="IRNazanin" w:hAnsi="IRNazanin" w:eastAsia="IRNazanin" w:cs="IRNazanin"/>
          <w:lang w:bidi="fa-IR"/>
          <w:color w:val="111111"/>
          <w:sz w:val="28"/>
          <w:szCs w:val="28"/>
          <w:rtl/>
        </w:rPr>
        <w:t xml:space="preserve">و اسمه قاسم بیگ، من أمراء إیل الأفشار ترجمه فی (تش- ص 19) و (روشن- ص 562) و قالا قتله معشوقه المسمی سنجانی و أوردا شعره المتخلص فیه قمی‏</w:t>
      </w:r>
    </w:p>
    <w:p>
      <w:pPr>
        <w:pStyle w:val="Heading3"/>
      </w:pPr>
      <w:bookmarkStart w:id="7817" w:name="_Toc6513"/>
      <w:r>
        <w:t>5905- دیوان قنبری رازی أو شعره‏</w:t>
      </w:r>
      <w:bookmarkEnd w:id="7817"/>
    </w:p>
    <w:p>
      <w:pPr>
        <w:pStyle w:val="BookText"/>
      </w:pPr>
      <w:r>
        <w:rPr>
          <w:rFonts w:ascii="IRNazanin" w:hAnsi="IRNazanin" w:eastAsia="IRNazanin" w:cs="IRNazanin"/>
          <w:lang w:bidi="fa-IR"/>
          <w:color w:val="111111"/>
          <w:sz w:val="28"/>
          <w:szCs w:val="28"/>
          <w:rtl/>
        </w:rPr>
        <w:t xml:space="preserve">ترجمه معاصره سام میرزا فی (تس 5- ص 178) و أورد شعره‏</w:t>
      </w:r>
    </w:p>
    <w:p>
      <w:pPr>
        <w:pStyle w:val="Heading3"/>
      </w:pPr>
      <w:bookmarkStart w:id="7818" w:name="_Toc6514"/>
      <w:r>
        <w:t>5906- دیوان قنبری نیشابوری أو شعره‏</w:t>
      </w:r>
      <w:bookmarkEnd w:id="7818"/>
    </w:p>
    <w:p>
      <w:pPr>
        <w:pStyle w:val="BookText"/>
      </w:pPr>
      <w:r>
        <w:rPr>
          <w:rFonts w:ascii="IRNazanin" w:hAnsi="IRNazanin" w:eastAsia="IRNazanin" w:cs="IRNazanin"/>
          <w:lang w:bidi="fa-IR"/>
          <w:color w:val="111111"/>
          <w:sz w:val="28"/>
          <w:szCs w:val="28"/>
          <w:rtl/>
        </w:rPr>
        <w:t xml:space="preserve">ترجمه و أورد مطلع غزله فی مدح بابر میرزا فی (مجن 2- ص 39 و 213) و فی نسخه جاء اسمه قبری و قال فی (لت 7) إنه کان عامیا و مع ذلک کان ذو قریحة حادة و سکن أخیرا بمشهد خراسان و توفی بنیشابور و دفن بها و کذا فی (مطلع 2: 441) و (روشن- ص 563)</w:t>
      </w:r>
    </w:p>
    <w:p>
      <w:pPr>
        <w:pStyle w:val="Heading3"/>
      </w:pPr>
      <w:bookmarkStart w:id="7819" w:name="_Toc6515"/>
      <w:r>
        <w:t>دیوان قواس تبریزی‏</w:t>
      </w:r>
      <w:bookmarkEnd w:id="7819"/>
    </w:p>
    <w:p>
      <w:pPr>
        <w:pStyle w:val="BookText"/>
      </w:pPr>
      <w:r>
        <w:rPr>
          <w:rFonts w:ascii="IRNazanin" w:hAnsi="IRNazanin" w:eastAsia="IRNazanin" w:cs="IRNazanin"/>
          <w:lang w:bidi="fa-IR"/>
          <w:color w:val="111111"/>
          <w:sz w:val="28"/>
          <w:szCs w:val="28"/>
          <w:rtl/>
        </w:rPr>
        <w:t xml:space="preserve">راجع شمس الدین قواس‏</w:t>
      </w:r>
    </w:p>
    <w:p>
      <w:pPr>
        <w:pStyle w:val="Heading3"/>
      </w:pPr>
      <w:bookmarkStart w:id="7820" w:name="_Toc6516"/>
      <w:r>
        <w:t>5907- دیوان قواس شوشتری أو شعره‏</w:t>
      </w:r>
      <w:bookmarkEnd w:id="7820"/>
    </w:p>
    <w:p>
      <w:pPr>
        <w:pStyle w:val="BookText"/>
      </w:pPr>
      <w:r>
        <w:rPr>
          <w:rFonts w:ascii="IRNazanin" w:hAnsi="IRNazanin" w:eastAsia="IRNazanin" w:cs="IRNazanin"/>
          <w:lang w:bidi="fa-IR"/>
          <w:color w:val="111111"/>
          <w:sz w:val="28"/>
          <w:szCs w:val="28"/>
          <w:rtl/>
        </w:rPr>
        <w:t xml:space="preserve">و اسمه الملا هادی ترجمه و أورد شعره فی تذکره شوشتر مکررا
</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bookmarkStart w:id="880" w:name="pg11704_122366"/>
    <w:bookmarkEnd w:id="880"/>
    <w:p>
      <w:pPr>
        <w:pStyle w:val="Heading3"/>
      </w:pPr>
      <w:bookmarkStart w:id="7821" w:name="_Toc6517"/>
      <w:r>
        <w:t>5908- دیوان قوام أصفهانی أو شعره‏</w:t>
      </w:r>
      <w:bookmarkEnd w:id="7821"/>
    </w:p>
    <w:p>
      <w:pPr>
        <w:pStyle w:val="BookText"/>
      </w:pPr>
      <w:r>
        <w:rPr>
          <w:rFonts w:ascii="IRNazanin" w:hAnsi="IRNazanin" w:eastAsia="IRNazanin" w:cs="IRNazanin"/>
          <w:lang w:bidi="fa-IR"/>
          <w:color w:val="111111"/>
          <w:sz w:val="28"/>
          <w:szCs w:val="28"/>
          <w:rtl/>
        </w:rPr>
        <w:t xml:space="preserve">و هو السید المیر شاه قوام الدین کان صدرا فی عصر الشاه إسماعیل و مات فی العشر الخامس بعد التسعمائة کما فی (تش- ص 185) و (نتایج- ص 559) و رجال حبیب السیر- ص 248 و لعله قوامی شیرازی‏</w:t>
      </w:r>
    </w:p>
    <w:p>
      <w:pPr>
        <w:pStyle w:val="Heading3"/>
      </w:pPr>
      <w:bookmarkStart w:id="7822" w:name="_Toc6518"/>
      <w:r>
        <w:t>5909- دیوان قوام طبسی‏</w:t>
      </w:r>
      <w:bookmarkEnd w:id="7822"/>
    </w:p>
    <w:p>
      <w:pPr>
        <w:pStyle w:val="BookText"/>
      </w:pPr>
      <w:r>
        <w:rPr>
          <w:rFonts w:ascii="IRNazanin" w:hAnsi="IRNazanin" w:eastAsia="IRNazanin" w:cs="IRNazanin"/>
          <w:lang w:bidi="fa-IR"/>
          <w:color w:val="111111"/>
          <w:sz w:val="28"/>
          <w:szCs w:val="28"/>
          <w:rtl/>
        </w:rPr>
        <w:t xml:space="preserve">و اسمه قوام الدین رأی سنگلاخ دیوان قصائده بخط جمشید خوشنویس فذکره فی (امتحان- 2: 152)</w:t>
      </w:r>
    </w:p>
    <w:p>
      <w:pPr>
        <w:pStyle w:val="Heading3"/>
      </w:pPr>
      <w:bookmarkStart w:id="7823" w:name="_Toc6519"/>
      <w:r>
        <w:t>دیوان قوام قزوینی‏</w:t>
      </w:r>
      <w:bookmarkEnd w:id="7823"/>
    </w:p>
    <w:p>
      <w:pPr>
        <w:pStyle w:val="BookText"/>
      </w:pPr>
      <w:r>
        <w:rPr>
          <w:rFonts w:ascii="IRNazanin" w:hAnsi="IRNazanin" w:eastAsia="IRNazanin" w:cs="IRNazanin"/>
          <w:lang w:bidi="fa-IR"/>
          <w:color w:val="111111"/>
          <w:sz w:val="28"/>
          <w:szCs w:val="28"/>
          <w:rtl/>
        </w:rPr>
        <w:t xml:space="preserve">السید قوام الدین محمد یوسف، کما فی تذکره حزین- ص 27 و (روشن- 563). مر بعنوان سیفی فی ص 487.</w:t>
      </w:r>
    </w:p>
    <w:p>
      <w:pPr>
        <w:pStyle w:val="Heading3"/>
      </w:pPr>
      <w:bookmarkStart w:id="7824" w:name="_Toc6520"/>
      <w:r>
        <w:t>5910- دیوان قوام لاریجانی أو شعره‏</w:t>
      </w:r>
      <w:bookmarkEnd w:id="7824"/>
    </w:p>
    <w:p>
      <w:pPr>
        <w:pStyle w:val="BookText"/>
      </w:pPr>
      <w:r>
        <w:rPr>
          <w:rFonts w:ascii="IRNazanin" w:hAnsi="IRNazanin" w:eastAsia="IRNazanin" w:cs="IRNazanin"/>
          <w:lang w:bidi="fa-IR"/>
          <w:color w:val="111111"/>
          <w:sz w:val="28"/>
          <w:szCs w:val="28"/>
          <w:rtl/>
        </w:rPr>
        <w:t xml:space="preserve">و هو الآقا قوام الدین یوزباشی تفنگچیان مصاحب قرچغای خان. قتل فی حرب گرجستان فی عصر الشاه عباس الأول. ترجمه فی (نر 2- ص 52) و أورد شعره.</w:t>
      </w:r>
    </w:p>
    <w:p>
      <w:pPr>
        <w:pStyle w:val="Heading3"/>
      </w:pPr>
      <w:bookmarkStart w:id="7825" w:name="_Toc6521"/>
      <w:r>
        <w:t>5911- دیوان قوام هروی أو شعره‏</w:t>
      </w:r>
      <w:bookmarkEnd w:id="7825"/>
    </w:p>
    <w:p>
      <w:pPr>
        <w:pStyle w:val="BookText"/>
      </w:pPr>
      <w:r>
        <w:rPr>
          <w:rFonts w:ascii="IRNazanin" w:hAnsi="IRNazanin" w:eastAsia="IRNazanin" w:cs="IRNazanin"/>
          <w:lang w:bidi="fa-IR"/>
          <w:color w:val="111111"/>
          <w:sz w:val="28"/>
          <w:szCs w:val="28"/>
          <w:rtl/>
        </w:rPr>
        <w:t xml:space="preserve">و هو الخواجة قوام الدین من شعراء السلطان حسین بایقرا. و نظم تاریخ وفاته فی 911 ترجمه و أورد شعره فی (نر 13- ص 469).</w:t>
      </w:r>
    </w:p>
    <w:p>
      <w:pPr>
        <w:pStyle w:val="Heading3"/>
      </w:pPr>
      <w:bookmarkStart w:id="7826" w:name="_Toc6522"/>
      <w:r>
        <w:t>دیوان قوامی أصفهانی‏</w:t>
      </w:r>
      <w:bookmarkEnd w:id="7826"/>
    </w:p>
    <w:p>
      <w:pPr>
        <w:pStyle w:val="BookText"/>
      </w:pPr>
      <w:r>
        <w:rPr>
          <w:rFonts w:ascii="IRNazanin" w:hAnsi="IRNazanin" w:eastAsia="IRNazanin" w:cs="IRNazanin"/>
          <w:lang w:bidi="fa-IR"/>
          <w:color w:val="111111"/>
          <w:sz w:val="28"/>
          <w:szCs w:val="28"/>
          <w:rtl/>
        </w:rPr>
        <w:t xml:space="preserve">و هو السید قوام الدین و مات فی العشر الخامس بعد المائة و الألف کما فی (گلشن- ص 334) و أظنه السیفی القزوینی المذکور فی ص 487 أو محمد یوسف قوام القزوینی الأصفهانی المذکور آنفا.</w:t>
      </w:r>
    </w:p>
    <w:p>
      <w:pPr>
        <w:pStyle w:val="Heading3"/>
      </w:pPr>
      <w:bookmarkStart w:id="7827" w:name="_Toc6523"/>
      <w:r>
        <w:t>دیوان قوامی خباز</w:t>
      </w:r>
      <w:bookmarkEnd w:id="7827"/>
    </w:p>
    <w:p>
      <w:pPr>
        <w:pStyle w:val="BookText"/>
      </w:pPr>
      <w:r>
        <w:rPr>
          <w:rFonts w:ascii="IRNazanin" w:hAnsi="IRNazanin" w:eastAsia="IRNazanin" w:cs="IRNazanin"/>
          <w:lang w:bidi="fa-IR"/>
          <w:color w:val="111111"/>
          <w:sz w:val="28"/>
          <w:szCs w:val="28"/>
          <w:rtl/>
        </w:rPr>
        <w:t xml:space="preserve">راجع قوامی رازی.</w:t>
      </w:r>
    </w:p>
    <w:p>
      <w:pPr>
        <w:pStyle w:val="Heading3"/>
      </w:pPr>
      <w:bookmarkStart w:id="7828" w:name="_Toc6524"/>
      <w:r>
        <w:t>5912- دیوان قوامی خوافی أو شعره‏</w:t>
      </w:r>
      <w:bookmarkEnd w:id="7828"/>
    </w:p>
    <w:p>
      <w:pPr>
        <w:pStyle w:val="BookText"/>
      </w:pPr>
      <w:r>
        <w:rPr>
          <w:rFonts w:ascii="IRNazanin" w:hAnsi="IRNazanin" w:eastAsia="IRNazanin" w:cs="IRNazanin"/>
          <w:lang w:bidi="fa-IR"/>
          <w:color w:val="111111"/>
          <w:sz w:val="28"/>
          <w:szCs w:val="28"/>
          <w:rtl/>
        </w:rPr>
        <w:t xml:space="preserve">کان معاصرا للعوفی فذکره فی (لب- 11) و أورد شعره، و کذا فی (روشن- ص 563). فی مقدمه طبع دیوان قوامی رازی.</w:t>
      </w:r>
    </w:p>
    <w:p>
      <w:pPr>
        <w:pStyle w:val="Heading3"/>
      </w:pPr>
      <w:bookmarkStart w:id="7829" w:name="_Toc6525"/>
      <w:r>
        <w:t>5913- دیوان قوامی رازی‏</w:t>
      </w:r>
      <w:bookmarkEnd w:id="7829"/>
    </w:p>
    <w:p>
      <w:pPr>
        <w:pStyle w:val="BookText"/>
      </w:pPr>
      <w:r>
        <w:rPr>
          <w:rFonts w:ascii="IRNazanin" w:hAnsi="IRNazanin" w:eastAsia="IRNazanin" w:cs="IRNazanin"/>
          <w:lang w:bidi="fa-IR"/>
          <w:color w:val="111111"/>
          <w:sz w:val="28"/>
          <w:szCs w:val="28"/>
          <w:rtl/>
        </w:rPr>
        <w:t xml:space="preserve">و هو بدر الدین الملقب أشرف الشعراء کان یمدح شرف الدین أبا الفضل محمد بن علی بن مرتضی رئیس الری و نقیبها و قوام الدین الطغرائی الدرگزینی أبا القاسم ناصر الدین علی</w:t>
      </w:r>
      <w:r>
        <w:rPr>
          <w:rStyle w:val="FootnoteReference"/>
        </w:rPr>
        <w:footnoteReference w:id="75"/>
      </w:r>
      <w:r>
        <w:rPr>
          <w:rFonts w:ascii="IRNazanin" w:hAnsi="IRNazanin" w:eastAsia="IRNazanin" w:cs="IRNazanin"/>
          <w:lang w:bidi="fa-IR"/>
          <w:color w:val="111111"/>
          <w:sz w:val="28"/>
          <w:szCs w:val="28"/>
          <w:rtl/>
        </w:rPr>
        <w:t xml:space="preserve">وزیر سنجر فی (526- 527). و کان شغله مناقب خوان‏</w:t>
      </w:r>
      <w:r>
        <w:rPr>
          <w:rStyle w:val="FootnoteReference"/>
        </w:rPr>
        <w:footnoteReference w:id="76"/>
      </w:r>
      <w:r>
        <w:rPr>
          <w:rFonts w:ascii="IRNazanin" w:hAnsi="IRNazanin" w:eastAsia="IRNazanin" w:cs="IRNazanin"/>
          <w:lang w:bidi="fa-IR"/>
          <w:color w:val="111111"/>
          <w:sz w:val="28"/>
          <w:szCs w:val="28"/>
          <w:rtl/>
        </w:rPr>
        <w:t xml:space="preserve">فی النصف الأول من القرن السادس. بعد أن کان فی أوائل أمره‏
</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bookmarkStart w:id="881" w:name="pg11704_122367"/>
    <w:bookmarkEnd w:id="881"/>
    <w:p>
      <w:pPr>
        <w:pStyle w:val="BookText"/>
      </w:pPr>
      <w:r>
        <w:rPr>
          <w:rFonts w:ascii="IRNazanin" w:hAnsi="IRNazanin" w:eastAsia="IRNazanin" w:cs="IRNazanin"/>
          <w:lang w:bidi="fa-IR"/>
          <w:color w:val="111111"/>
          <w:sz w:val="28"/>
          <w:szCs w:val="28"/>
          <w:rtl/>
        </w:rPr>
        <w:t xml:space="preserve">خبازا کما یصرح فی بعض أشعاره. و طبع دیوانه السید جلال الدین المحدث الأرومی بطهران عن نسخه بریتیش موزیوم فی 1374 و هی ناقصة تشتمل علی 3348 بیتا فی 176 ص. مع خاتمة فی 80 ص. مع ترجمه الشاعر فی مقدمته فی 26 ص. و ترجم الشاعر هذا فی (لب- 10) و (لس- ص 400) و هفت إقلیم و همیشه بهار و (مع 1: 476) و (روشن- ص 563) و الإقبال فی مجلة یادگار السنة الثانیة العدد الأول و توجد أشعاره. فی کتاب النقض و فی مجموعة بالمکتبة (الملیة) بطهران کما فی مقال للدکتور بیانی فی نشریة کتابخانه مرکزی- العدد 1- ص 16. و قد رأی سنگلاخ دیوانه بخط المیر محمد فذکره فی (امتحان 1-: 122).</w:t>
      </w:r>
    </w:p>
    <w:p>
      <w:pPr>
        <w:pStyle w:val="Heading3"/>
      </w:pPr>
      <w:bookmarkStart w:id="7830" w:name="_Toc6526"/>
      <w:r>
        <w:t>5914- دیوان قوامی فریومذی أو شعره‏</w:t>
      </w:r>
      <w:bookmarkEnd w:id="7830"/>
    </w:p>
    <w:p>
      <w:pPr>
        <w:pStyle w:val="BookText"/>
      </w:pPr>
      <w:r>
        <w:rPr>
          <w:rFonts w:ascii="IRNazanin" w:hAnsi="IRNazanin" w:eastAsia="IRNazanin" w:cs="IRNazanin"/>
          <w:lang w:bidi="fa-IR"/>
          <w:color w:val="111111"/>
          <w:sz w:val="28"/>
          <w:szCs w:val="28"/>
          <w:rtl/>
        </w:rPr>
        <w:t xml:space="preserve">کان یمدح قوام الدین أبا القاسم ناصر بن علی الدرگزینی وزیر سنجر السلجوقی و أخذ تخلصه منه ترجمه فی (لب- 11).</w:t>
      </w:r>
    </w:p>
    <w:p>
      <w:pPr>
        <w:pStyle w:val="Heading3"/>
      </w:pPr>
      <w:bookmarkStart w:id="7831" w:name="_Toc6527"/>
      <w:r>
        <w:t>5915- دیوان قوامی شیرازی أو شعره‏</w:t>
      </w:r>
      <w:bookmarkEnd w:id="7831"/>
    </w:p>
    <w:p>
      <w:pPr>
        <w:pStyle w:val="BookText"/>
      </w:pPr>
      <w:r>
        <w:rPr>
          <w:rFonts w:ascii="IRNazanin" w:hAnsi="IRNazanin" w:eastAsia="IRNazanin" w:cs="IRNazanin"/>
          <w:lang w:bidi="fa-IR"/>
          <w:color w:val="111111"/>
          <w:sz w:val="28"/>
          <w:szCs w:val="28"/>
          <w:rtl/>
        </w:rPr>
        <w:t xml:space="preserve">و هو المیر قوام الدین الشیرازی. ترجمه و أورد شعره فی (گلشن- ص 335) نقلا عن معاصره الأوحدی تقی الدین. و قال فی ریاض العلماء إنه کان تلمیذ المیر غیاث الدین منصور الدشتکی، و له رسالة فارسیة فی صنعت صکوک و قباله‏جات و تاریخ قضاة فارس نقل قسما منها فی الریاض فی نسخه جامعة طهران المرقم 993 بصفحة 493. و لعله قوام أصفهانی.</w:t>
      </w:r>
    </w:p>
    <w:p>
      <w:pPr>
        <w:pStyle w:val="Heading3"/>
      </w:pPr>
      <w:bookmarkStart w:id="7832" w:name="_Toc6528"/>
      <w:r>
        <w:t>دیوان قوامی شیروانی‏</w:t>
      </w:r>
      <w:bookmarkEnd w:id="7832"/>
    </w:p>
    <w:p>
      <w:pPr>
        <w:pStyle w:val="BookText"/>
      </w:pPr>
      <w:r>
        <w:rPr>
          <w:rFonts w:ascii="IRNazanin" w:hAnsi="IRNazanin" w:eastAsia="IRNazanin" w:cs="IRNazanin"/>
          <w:lang w:bidi="fa-IR"/>
          <w:color w:val="111111"/>
          <w:sz w:val="28"/>
          <w:szCs w:val="28"/>
          <w:rtl/>
        </w:rPr>
        <w:t xml:space="preserve">کما فی ریاض العلماء أیضا. مر بعنوان دیوان ذو الفقار.</w:t>
      </w:r>
    </w:p>
    <w:p>
      <w:pPr>
        <w:pStyle w:val="Heading3"/>
      </w:pPr>
      <w:bookmarkStart w:id="7833" w:name="_Toc6529"/>
      <w:r>
        <w:t>دیوان قوامی غزنوی‏</w:t>
      </w:r>
      <w:bookmarkEnd w:id="7833"/>
    </w:p>
    <w:p>
      <w:pPr>
        <w:pStyle w:val="BookText"/>
      </w:pPr>
      <w:r>
        <w:rPr>
          <w:rFonts w:ascii="IRNazanin" w:hAnsi="IRNazanin" w:eastAsia="IRNazanin" w:cs="IRNazanin"/>
          <w:lang w:bidi="fa-IR"/>
          <w:color w:val="111111"/>
          <w:sz w:val="28"/>
          <w:szCs w:val="28"/>
          <w:rtl/>
        </w:rPr>
        <w:t xml:space="preserve">راجع قوامی گنجوی.</w:t>
      </w:r>
    </w:p>
    <w:p>
      <w:pPr>
        <w:pStyle w:val="Heading3"/>
      </w:pPr>
      <w:bookmarkStart w:id="7834" w:name="_Toc6530"/>
      <w:r>
        <w:t>5916- دیوان قوامی گنجوی‏</w:t>
      </w:r>
      <w:bookmarkEnd w:id="7834"/>
    </w:p>
    <w:p>
      <w:pPr>
        <w:pStyle w:val="BookText"/>
      </w:pPr>
      <w:r>
        <w:rPr>
          <w:rFonts w:ascii="IRNazanin" w:hAnsi="IRNazanin" w:eastAsia="IRNazanin" w:cs="IRNazanin"/>
          <w:lang w:bidi="fa-IR"/>
          <w:color w:val="111111"/>
          <w:sz w:val="28"/>
          <w:szCs w:val="28"/>
          <w:rtl/>
        </w:rPr>
        <w:t xml:space="preserve">و اسمه قوام الدین أحمد المطرزی، کما ذکر فی (دجا- ص 309) و قال إن دیوانه یقرب من سبعة آلاف بیت و هو الذی نظم القصیدة الرائیة المصنوعة الموسومة صنائع الأسحار فی بدائع الأشعار فی مائة بیت. طبع ضمن خرابات و طبع ذیل دیوان سروش أصفهانی شمس المناقب بطهران 1300 باسم قوامی غزنوی و قد شرحها بدائع‏نگار، و سمی شرحه بدائع الأشعار فی شرح صنائع الأسحار کما ذکرناه فی ج 3 ص 62. و قال فی کشف الظنون إنه شرحها محمود بن عمر الزنجانی النیشابوری باسم الوزیر غیاث الدین. و له شرح آخر لعماد الباغنوی، توجد فی مکتبة
</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bookmarkStart w:id="882" w:name="pg11704_122368"/>
    <w:bookmarkEnd w:id="882"/>
    <w:p>
      <w:pPr>
        <w:pStyle w:val="BookText"/>
      </w:pPr>
      <w:r>
        <w:rPr>
          <w:rFonts w:ascii="IRNazanin" w:hAnsi="IRNazanin" w:eastAsia="IRNazanin" w:cs="IRNazanin"/>
          <w:lang w:bidi="fa-IR"/>
          <w:color w:val="111111"/>
          <w:sz w:val="28"/>
          <w:szCs w:val="28"/>
          <w:rtl/>
        </w:rPr>
        <w:t xml:space="preserve">المجمع العلمی لأزبکستان کتابتها 1029 کما فی فهرسها ج 2 ص 55.</w:t>
      </w:r>
    </w:p>
    <w:p>
      <w:pPr>
        <w:pStyle w:val="Heading3"/>
      </w:pPr>
      <w:bookmarkStart w:id="7835" w:name="_Toc6531"/>
      <w:r>
        <w:t>دیوان قوامی مطرزی‏</w:t>
      </w:r>
      <w:bookmarkEnd w:id="7835"/>
    </w:p>
    <w:p>
      <w:pPr>
        <w:pStyle w:val="BookText"/>
      </w:pPr>
      <w:r>
        <w:rPr>
          <w:rFonts w:ascii="IRNazanin" w:hAnsi="IRNazanin" w:eastAsia="IRNazanin" w:cs="IRNazanin"/>
          <w:lang w:bidi="fa-IR"/>
          <w:color w:val="111111"/>
          <w:sz w:val="28"/>
          <w:szCs w:val="28"/>
          <w:rtl/>
        </w:rPr>
        <w:t xml:space="preserve">مر بعنوان قوامی گنجوی.</w:t>
      </w:r>
    </w:p>
    <w:p>
      <w:pPr>
        <w:pStyle w:val="Heading3"/>
      </w:pPr>
      <w:bookmarkStart w:id="7836" w:name="_Toc6532"/>
      <w:r>
        <w:t>5917- دیوان قوامی یزدی‏</w:t>
      </w:r>
      <w:bookmarkEnd w:id="7836"/>
    </w:p>
    <w:p>
      <w:pPr>
        <w:pStyle w:val="BookText"/>
      </w:pPr>
      <w:r>
        <w:rPr>
          <w:rFonts w:ascii="IRNazanin" w:hAnsi="IRNazanin" w:eastAsia="IRNazanin" w:cs="IRNazanin"/>
          <w:lang w:bidi="fa-IR"/>
          <w:color w:val="111111"/>
          <w:sz w:val="28"/>
          <w:szCs w:val="28"/>
          <w:rtl/>
        </w:rPr>
        <w:t xml:space="preserve">و اسمه السید علی بن الحسین المدرسی الیزدی. کان یلقب قوام الشعراء فی عصر ناصر الدین شاه و مظفر الدین و محمد علی و أحمد شاه قاجار، و توفی 1358 و دیوانه مرتب علی الحروف فی سبعة أجزاء. طبع فی مجلد واحد فی 996 ص. فی</w:t>
      </w:r>
    </w:p>
    <w:p>
      <w:pPr>
        <w:pStyle w:val="BookText"/>
      </w:pPr>
      <w:r>
        <w:rPr>
          <w:rFonts w:ascii="IRNazanin" w:hAnsi="IRNazanin" w:eastAsia="IRNazanin" w:cs="IRNazanin"/>
          <w:lang w:bidi="fa-IR"/>
          <w:color w:val="111111"/>
          <w:sz w:val="28"/>
          <w:szCs w:val="28"/>
          <w:rtl/>
        </w:rPr>
        <w:t xml:space="preserve">1367 باهتمام أخیه السید علی أکبر القوامی و مقدمه عبد الحسین الآیتی الیزدی و السید محمد القدسی. و ترجم أحواله فی (تش یز- ص 324).</w:t>
      </w:r>
    </w:p>
    <w:p>
      <w:pPr>
        <w:pStyle w:val="Heading3"/>
      </w:pPr>
      <w:bookmarkStart w:id="7837" w:name="_Toc6533"/>
      <w:r>
        <w:t>5918- دیوان قوسی أسفراینی أو شعره‏</w:t>
      </w:r>
      <w:bookmarkEnd w:id="7837"/>
    </w:p>
    <w:p>
      <w:pPr>
        <w:pStyle w:val="BookText"/>
      </w:pPr>
      <w:r>
        <w:rPr>
          <w:rFonts w:ascii="IRNazanin" w:hAnsi="IRNazanin" w:eastAsia="IRNazanin" w:cs="IRNazanin"/>
          <w:lang w:bidi="fa-IR"/>
          <w:color w:val="111111"/>
          <w:sz w:val="28"/>
          <w:szCs w:val="28"/>
          <w:rtl/>
        </w:rPr>
        <w:t xml:space="preserve">ترجمه و أورد شعره فی (مجن 3- ص 73 و 248).</w:t>
      </w:r>
    </w:p>
    <w:p>
      <w:pPr>
        <w:pStyle w:val="Heading3"/>
      </w:pPr>
      <w:bookmarkStart w:id="7838" w:name="_Toc6534"/>
      <w:r>
        <w:t>5919- دیوان قوسی تبریزی‏</w:t>
      </w:r>
      <w:bookmarkEnd w:id="7838"/>
    </w:p>
    <w:p>
      <w:pPr>
        <w:pStyle w:val="BookText"/>
      </w:pPr>
      <w:r>
        <w:rPr>
          <w:rFonts w:ascii="IRNazanin" w:hAnsi="IRNazanin" w:eastAsia="IRNazanin" w:cs="IRNazanin"/>
          <w:lang w:bidi="fa-IR"/>
          <w:color w:val="111111"/>
          <w:sz w:val="28"/>
          <w:szCs w:val="28"/>
          <w:rtl/>
        </w:rPr>
        <w:t xml:space="preserve">نزیل أصفهان و تلمیذ المحقق الآقا حسین الخوانساری الذی توفی 1908 ترجمه معاصره النصرآبادی فی (نر 9- ص 280) و أورد شعره و یظهر منه أن تخلصه بقوسی لتقوس ظهره. و ترجمه فی (دجا- ص 310) و قال دیوانه فی ستة آلاف بیت نصفه فارسی و نصفه ترکی و ترجمه فی (حسینی- ص 269) و (روشن- ص 564).</w:t>
      </w:r>
    </w:p>
    <w:p>
      <w:pPr>
        <w:pStyle w:val="Heading3"/>
      </w:pPr>
      <w:bookmarkStart w:id="7839" w:name="_Toc6535"/>
      <w:r>
        <w:t>5920- دیوان قوسی تبریزی أو شعره‏</w:t>
      </w:r>
      <w:bookmarkEnd w:id="7839"/>
    </w:p>
    <w:p>
      <w:pPr>
        <w:pStyle w:val="BookText"/>
      </w:pPr>
      <w:r>
        <w:rPr>
          <w:rFonts w:ascii="IRNazanin" w:hAnsi="IRNazanin" w:eastAsia="IRNazanin" w:cs="IRNazanin"/>
          <w:lang w:bidi="fa-IR"/>
          <w:color w:val="111111"/>
          <w:sz w:val="28"/>
          <w:szCs w:val="28"/>
          <w:rtl/>
        </w:rPr>
        <w:t xml:space="preserve">ترجمه معاصره فی التحفة السامیة المؤلف 957 و ذکر أنه کان عامیا و تخلصه کاشف عن کسبه و شغله. و أورد شعره فظهر أن بین هذا العامی و بین تلمیذ المحقق الخوانساری أزید من مائة سنة، لکن فی (دجا- ص 310) خلط بین ترجمتیهما و جعلهما واحدا. و فی (تش- ص 94) أنه خراسانی.</w:t>
      </w:r>
    </w:p>
    <w:p>
      <w:pPr>
        <w:pStyle w:val="Heading3"/>
      </w:pPr>
      <w:bookmarkStart w:id="7840" w:name="_Toc6536"/>
      <w:r>
        <w:t>5921- دیوان قوسی تبریزی‏</w:t>
      </w:r>
      <w:bookmarkEnd w:id="7840"/>
    </w:p>
    <w:p>
      <w:pPr>
        <w:pStyle w:val="BookText"/>
      </w:pPr>
      <w:r>
        <w:rPr>
          <w:rFonts w:ascii="IRNazanin" w:hAnsi="IRNazanin" w:eastAsia="IRNazanin" w:cs="IRNazanin"/>
          <w:lang w:bidi="fa-IR"/>
          <w:color w:val="111111"/>
          <w:sz w:val="28"/>
          <w:szCs w:val="28"/>
          <w:rtl/>
        </w:rPr>
        <w:t xml:space="preserve">و اسمه إسماعیل بن علی خان القوسی. ترجمه و والده فی (دجا- ص 311) عن روضات الجنان فی مزارات تبریز تألیف درویش حسین الحافظ الکربلائی القزوینی الذی اجتمع مع الشیخ البهائی فی دمشق فی 965 و المذکور فی خاتمة المستدرک- ص 419 و صححه و هیأه للطبع أخیرا المیرزا جعفر سلطان القرائی.</w:t>
      </w:r>
    </w:p>
    <w:p>
      <w:pPr>
        <w:pStyle w:val="BookText"/>
      </w:pPr>
      <w:r>
        <w:rPr>
          <w:rFonts w:ascii="IRNazanin" w:hAnsi="IRNazanin" w:eastAsia="IRNazanin" w:cs="IRNazanin"/>
          <w:lang w:bidi="fa-IR"/>
          <w:color w:val="111111"/>
          <w:sz w:val="28"/>
          <w:szCs w:val="28"/>
          <w:rtl/>
        </w:rPr>
        <w:t xml:space="preserve">و یوجد مجلده الثانی فی (الرضویة) کما ذکرناه فی 11: 279، 280.</w:t>
      </w:r>
    </w:p>
    <w:p>
      <w:pPr>
        <w:pStyle w:val="Heading3"/>
      </w:pPr>
      <w:bookmarkStart w:id="7841" w:name="_Toc6537"/>
      <w:r>
        <w:t>5922- دیوان قوسی شوشتری‏</w:t>
      </w:r>
      <w:bookmarkEnd w:id="7841"/>
    </w:p>
    <w:p>
      <w:pPr>
        <w:pStyle w:val="BookText"/>
      </w:pPr>
      <w:r>
        <w:rPr>
          <w:rFonts w:ascii="IRNazanin" w:hAnsi="IRNazanin" w:eastAsia="IRNazanin" w:cs="IRNazanin"/>
          <w:lang w:bidi="fa-IR"/>
          <w:color w:val="111111"/>
          <w:sz w:val="28"/>
          <w:szCs w:val="28"/>
          <w:rtl/>
        </w:rPr>
        <w:t xml:space="preserve">له دیباجة دیوان الخاقانی. ترجمه النصرآبادی فی (نر 9- ص 280) و أورد بعض غزله. أقول: و لعله الذی طبع مدیحه للقاضی نور الله فی مقدمه الصوارم المهرقة و ترجم فی محفل فردوس لعلاء الملک ابن القاضی نور الله الشوشتری.
</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bookmarkStart w:id="883" w:name="pg11704_122369"/>
    <w:bookmarkEnd w:id="883"/>
    <w:p>
      <w:pPr>
        <w:pStyle w:val="Heading3"/>
      </w:pPr>
      <w:bookmarkStart w:id="7842" w:name="_Toc6538"/>
      <w:r>
        <w:t>5923- دیوان قوسی هروی أشعره‏</w:t>
      </w:r>
      <w:bookmarkEnd w:id="7842"/>
    </w:p>
    <w:p>
      <w:pPr>
        <w:pStyle w:val="BookText"/>
      </w:pPr>
      <w:r>
        <w:rPr>
          <w:rFonts w:ascii="IRNazanin" w:hAnsi="IRNazanin" w:eastAsia="IRNazanin" w:cs="IRNazanin"/>
          <w:lang w:bidi="fa-IR"/>
          <w:color w:val="111111"/>
          <w:sz w:val="28"/>
          <w:szCs w:val="28"/>
          <w:rtl/>
        </w:rPr>
        <w:t xml:space="preserve">ترجمه و أورد شعره فی (مجتس 6- ص 167).</w:t>
      </w:r>
    </w:p>
    <w:p>
      <w:pPr>
        <w:pStyle w:val="BookText"/>
      </w:pPr>
      <w:r>
        <w:rPr>
          <w:rFonts w:ascii="IRNazanin" w:hAnsi="IRNazanin" w:eastAsia="IRNazanin" w:cs="IRNazanin"/>
          <w:lang w:bidi="fa-IR"/>
          <w:color w:val="111111"/>
          <w:sz w:val="28"/>
          <w:szCs w:val="28"/>
          <w:rtl/>
        </w:rPr>
        <w:t xml:space="preserve">و فی (روشن- ص 464) سماه قوسی طوسی.</w:t>
      </w:r>
    </w:p>
    <w:p>
      <w:pPr>
        <w:pStyle w:val="Heading3"/>
      </w:pPr>
      <w:bookmarkStart w:id="7843" w:name="_Toc6539"/>
      <w:r>
        <w:t>5924- دیوان قهرمان‏</w:t>
      </w:r>
      <w:bookmarkEnd w:id="7843"/>
    </w:p>
    <w:p>
      <w:pPr>
        <w:pStyle w:val="BookText"/>
      </w:pPr>
      <w:r>
        <w:rPr>
          <w:rFonts w:ascii="IRNazanin" w:hAnsi="IRNazanin" w:eastAsia="IRNazanin" w:cs="IRNazanin"/>
          <w:lang w:bidi="fa-IR"/>
          <w:color w:val="111111"/>
          <w:sz w:val="28"/>
          <w:szCs w:val="28"/>
          <w:rtl/>
        </w:rPr>
        <w:t xml:space="preserve">للمیرزا قهرمان الکرمانشاهی المتوفی حدود 1337 توجد نسخه خط الناظم ظاهرا فی مکتبة المیرزا عبد الرزاق المحدث الحائری فی همدان کما کتبه إلینا.</w:t>
      </w:r>
    </w:p>
    <w:p>
      <w:pPr>
        <w:pStyle w:val="Heading3"/>
      </w:pPr>
      <w:bookmarkStart w:id="7844" w:name="_Toc6540"/>
      <w:r>
        <w:t>5925- دیوان قهرمان‏</w:t>
      </w:r>
      <w:bookmarkEnd w:id="7844"/>
    </w:p>
    <w:p>
      <w:pPr>
        <w:pStyle w:val="BookText"/>
      </w:pPr>
      <w:r>
        <w:rPr>
          <w:rFonts w:ascii="IRNazanin" w:hAnsi="IRNazanin" w:eastAsia="IRNazanin" w:cs="IRNazanin"/>
          <w:lang w:bidi="fa-IR"/>
          <w:color w:val="111111"/>
          <w:sz w:val="28"/>
          <w:szCs w:val="28"/>
          <w:rtl/>
        </w:rPr>
        <w:t xml:space="preserve">لیزدان‏بخش قهرمان الفیض‏آبادی ابن محمد تقی بن محمد بن قهرمان میرزا ابن حسن علی میرزا شجاع السلطنة. المتخلص شکسته ابن فتح علی شاه. ولد 1295 ش فی فیض‏آباد محولات بخراسان، و سکن طهران له منظومات کثیرة فی المجلات و الجرائد بمشهد و طهران أکثرها اجتماعیة سیاسیة ممنوعة النشر.</w:t>
      </w:r>
    </w:p>
    <w:p>
      <w:pPr>
        <w:pStyle w:val="Heading3"/>
      </w:pPr>
      <w:bookmarkStart w:id="7845" w:name="_Toc6541"/>
      <w:r>
        <w:t>5926- دیوان قیدی شیرازی أو شعره‏</w:t>
      </w:r>
      <w:bookmarkEnd w:id="7845"/>
    </w:p>
    <w:p>
      <w:pPr>
        <w:pStyle w:val="BookText"/>
      </w:pPr>
      <w:r>
        <w:rPr>
          <w:rFonts w:ascii="IRNazanin" w:hAnsi="IRNazanin" w:eastAsia="IRNazanin" w:cs="IRNazanin"/>
          <w:lang w:bidi="fa-IR"/>
          <w:color w:val="111111"/>
          <w:sz w:val="28"/>
          <w:szCs w:val="28"/>
          <w:rtl/>
        </w:rPr>
        <w:t xml:space="preserve">ترجمه معاصره الصادقی فی (خص 8- ص 282) و أورد شعره. و قال النصرآبادی فی (نر 9- ص 262) إنه کان تلمیذ ملا غیرتی و أورد أیضا بعض ما ذکره الصادقی مع زیادات، و کان قد سافر فی عهد الشاه طهماسب بن إسماعیل إلی الهند فأکرمه أکبر شاه ثم طرده و مات بفتح‏پور فی 990 کما فی (نتایج- ص 560) و (هفت- ص 300) و (طبق 2: 491) و (تش- ص 291) و (حسینی- ص 269).</w:t>
      </w:r>
    </w:p>
    <w:p>
      <w:pPr>
        <w:pStyle w:val="Heading3"/>
      </w:pPr>
      <w:bookmarkStart w:id="7846" w:name="_Toc6542"/>
      <w:r>
        <w:t>5927- دیوان قیدی کرمانی أو شعره‏</w:t>
      </w:r>
      <w:bookmarkEnd w:id="7846"/>
    </w:p>
    <w:p>
      <w:pPr>
        <w:pStyle w:val="BookText"/>
      </w:pPr>
      <w:r>
        <w:rPr>
          <w:rFonts w:ascii="IRNazanin" w:hAnsi="IRNazanin" w:eastAsia="IRNazanin" w:cs="IRNazanin"/>
          <w:lang w:bidi="fa-IR"/>
          <w:color w:val="111111"/>
          <w:sz w:val="28"/>
          <w:szCs w:val="28"/>
          <w:rtl/>
        </w:rPr>
        <w:t xml:space="preserve">ترجمه النصرآبادی فی (نر 9- ص 262) و ذکر أنه کان مشتغلا فی مدرسة المولی عبد الله بأصفهان و أورد بعض مطالع غزلیاته و رباعیاته.</w:t>
      </w:r>
    </w:p>
    <w:p>
      <w:pPr>
        <w:pStyle w:val="BookText"/>
      </w:pPr>
      <w:r>
        <w:rPr>
          <w:rFonts w:ascii="IRNazanin" w:hAnsi="IRNazanin" w:eastAsia="IRNazanin" w:cs="IRNazanin"/>
          <w:lang w:bidi="fa-IR"/>
          <w:color w:val="111111"/>
          <w:sz w:val="28"/>
          <w:szCs w:val="28"/>
          <w:rtl/>
        </w:rPr>
        <w:t xml:space="preserve">و کذا فی (روشن- ص 564).</w:t>
      </w:r>
    </w:p>
    <w:p>
      <w:pPr>
        <w:pStyle w:val="Heading3"/>
      </w:pPr>
      <w:bookmarkStart w:id="7847" w:name="_Toc6543"/>
      <w:r>
        <w:t>5928- دیوان قیدی نیشابوری‏</w:t>
      </w:r>
      <w:bookmarkEnd w:id="7847"/>
    </w:p>
    <w:p>
      <w:pPr>
        <w:pStyle w:val="BookText"/>
      </w:pPr>
      <w:r>
        <w:rPr>
          <w:rFonts w:ascii="IRNazanin" w:hAnsi="IRNazanin" w:eastAsia="IRNazanin" w:cs="IRNazanin"/>
          <w:lang w:bidi="fa-IR"/>
          <w:color w:val="111111"/>
          <w:sz w:val="28"/>
          <w:szCs w:val="28"/>
          <w:rtl/>
        </w:rPr>
        <w:t xml:space="preserve">هو ابن نظیری نیشابوری. حکی فی (خز- ص 436) عن مرآة الصفا أنه جاء مع أبیه إلی الهند و رجع إلی نیشابور بعده ثم عاد ثانیا و مات فی البحر، فأخرج ابنه عظیما تاریخه بقوله [قیدی گهری محیط رحمت 1074] أورد ذکره النصرآبادی فی (نر 9- ص 316) عند ذکر ابنه عظیما المذکور فی ص 731.</w:t>
      </w:r>
    </w:p>
    <w:p>
      <w:pPr>
        <w:pStyle w:val="Heading3"/>
      </w:pPr>
      <w:bookmarkStart w:id="7848" w:name="_Toc6544"/>
      <w:r>
        <w:t>5929- دیوان قیس أو شعره‏</w:t>
      </w:r>
      <w:bookmarkEnd w:id="7848"/>
    </w:p>
    <w:p>
      <w:pPr>
        <w:pStyle w:val="BookText"/>
      </w:pPr>
      <w:r>
        <w:rPr>
          <w:rFonts w:ascii="IRNazanin" w:hAnsi="IRNazanin" w:eastAsia="IRNazanin" w:cs="IRNazanin"/>
          <w:lang w:bidi="fa-IR"/>
          <w:color w:val="111111"/>
          <w:sz w:val="28"/>
          <w:szCs w:val="28"/>
          <w:rtl/>
        </w:rPr>
        <w:t xml:space="preserve">و هو المولوی السید عابد حسین من تلامیذ المفتی میر عباس التستری اللکهنوی کما ذکر فی التجلیات و ذکر مکاتبتهما فی إصلاح بعض أشعاره.</w:t>
      </w:r>
    </w:p>
    <w:p>
      <w:pPr>
        <w:pStyle w:val="Heading3"/>
      </w:pPr>
      <w:bookmarkStart w:id="7849" w:name="_Toc6545"/>
      <w:r>
        <w:t>5930- دیوان قیصر شاملو أو شعره‏</w:t>
      </w:r>
      <w:bookmarkEnd w:id="7849"/>
    </w:p>
    <w:p>
      <w:pPr>
        <w:pStyle w:val="BookText"/>
      </w:pPr>
      <w:r>
        <w:rPr>
          <w:rFonts w:ascii="IRNazanin" w:hAnsi="IRNazanin" w:eastAsia="IRNazanin" w:cs="IRNazanin"/>
          <w:lang w:bidi="fa-IR"/>
          <w:color w:val="111111"/>
          <w:sz w:val="28"/>
          <w:szCs w:val="28"/>
          <w:rtl/>
        </w:rPr>
        <w:t xml:space="preserve">هو من إیل شاملو و یعرف بالهروی‏
</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bookmarkStart w:id="884" w:name="pg11704_122370"/>
    <w:bookmarkEnd w:id="884"/>
    <w:p>
      <w:pPr>
        <w:pStyle w:val="BookText"/>
      </w:pPr>
      <w:r>
        <w:rPr>
          <w:rFonts w:ascii="IRNazanin" w:hAnsi="IRNazanin" w:eastAsia="IRNazanin" w:cs="IRNazanin"/>
          <w:lang w:bidi="fa-IR"/>
          <w:color w:val="111111"/>
          <w:sz w:val="28"/>
          <w:szCs w:val="28"/>
          <w:rtl/>
        </w:rPr>
        <w:t xml:space="preserve">لملازمته لحسین خان فی هراة و کان معارضا مع ملا شکوهی کما ذکره النصرآبادی فی (نر 9- ص 302) و أورد شعره و رباعیه هناک، و کذا فی (مسرت- ص 465) و (روشن- ص 565).</w:t>
      </w:r>
    </w:p>
    <w:p>
      <w:pPr>
        <w:pStyle w:val="Heading3"/>
      </w:pPr>
      <w:bookmarkStart w:id="7850" w:name="_Toc6546"/>
      <w:r>
        <w:t>5931- دیوان قیصری شیرازی أو شعره‏</w:t>
      </w:r>
      <w:bookmarkEnd w:id="7850"/>
    </w:p>
    <w:p>
      <w:pPr>
        <w:pStyle w:val="BookText"/>
      </w:pPr>
      <w:r>
        <w:rPr>
          <w:rFonts w:ascii="IRNazanin" w:hAnsi="IRNazanin" w:eastAsia="IRNazanin" w:cs="IRNazanin"/>
          <w:lang w:bidi="fa-IR"/>
          <w:color w:val="111111"/>
          <w:sz w:val="28"/>
          <w:szCs w:val="28"/>
          <w:rtl/>
        </w:rPr>
        <w:t xml:space="preserve">و اسمه قیصری بیگ الشیرازی أو الهمدانی. ترجمه و أورد شعره فی (گلشن- ص 335) و قال سافر إلی الهند فی عهد شاه‏جهان و مات 1022 بها. و فی (مسرت- ص 60) سماه قیصری قمی.</w:t>
      </w:r>
    </w:p>
    <w:p>
      <w:pPr>
        <w:pStyle w:val="Heading3"/>
      </w:pPr>
      <w:bookmarkStart w:id="7851" w:name="_Toc6547"/>
      <w:r>
        <w:t>5932- دیوان القیم الحلی‏</w:t>
      </w:r>
      <w:bookmarkEnd w:id="7851"/>
    </w:p>
    <w:p>
      <w:pPr>
        <w:pStyle w:val="BookText"/>
      </w:pPr>
      <w:r>
        <w:rPr>
          <w:rFonts w:ascii="IRNazanin" w:hAnsi="IRNazanin" w:eastAsia="IRNazanin" w:cs="IRNazanin"/>
          <w:lang w:bidi="fa-IR"/>
          <w:color w:val="111111"/>
          <w:sz w:val="28"/>
          <w:szCs w:val="28"/>
          <w:rtl/>
        </w:rPr>
        <w:t xml:space="preserve">و هو الشیخ الحاج حسن بن الملا محمد القیم الحلی البغدادی فیه رثاء السید المیرزا جعفر القزوینی الحلی المتوفی فی حیاة أبیه فی 1298 و القیم ولد 1276 و توفی 1317 أو 1318 و جمع دیوانه ولده عبد الکریم لکنه احترق فی وقعة الترک بالحلة فی 1335 کما صرح به فی ترجمته فی أعیان الشیعة و غیره. و جمع أخیرا بعض متفرقاته علی الخاقانی کما ذکره لنا. و توجد قصائده عند السید محمد حسن آل الطالقانی بالنجف. و ترجم والده محمد القیم الشیخ محمد علی الیعقوبی فی البابلیات- 2: 105 و قال هو محمد بن یوسف بن إبراهیم بن إسماعیل بن سلمان سادن مقام المهدی بالحلة و توفی 1293 و کان الولد أشعر من أبیه. و توجد أیضا مراثیه مع مراثی قاسم بن محمد القیم الحلی ضمن مجموعة دونها الشیخ حسن بن علی الحلی فی 1330 و قد أخذ الشعر عن الشیخ حمادی بن سلمان نوح المتوفی 1329.
</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bookmarkStart w:id="885" w:name="pg11704_122371"/>
    <w:bookmarkEnd w:id="885"/>
    <w:p>
      <w:pPr>
        <w:pStyle w:val="Heading3"/>
      </w:pPr>
      <w:bookmarkStart w:id="7852" w:name="_Toc6548"/>
      <w:r>
        <w:t>ک‏</w:t>
      </w:r>
      <w:bookmarkEnd w:id="7852"/>
    </w:p>
    <w:p>
      <w:pPr>
        <w:pStyle w:val="Heading3"/>
      </w:pPr>
      <w:bookmarkStart w:id="7853" w:name="_Toc6549"/>
      <w:r>
        <w:t>دیوان کابلی‏</w:t>
      </w:r>
      <w:bookmarkEnd w:id="7853"/>
    </w:p>
    <w:p>
      <w:pPr>
        <w:pStyle w:val="BookText"/>
      </w:pPr>
      <w:r>
        <w:rPr>
          <w:rFonts w:ascii="IRNazanin" w:hAnsi="IRNazanin" w:eastAsia="IRNazanin" w:cs="IRNazanin"/>
          <w:lang w:bidi="fa-IR"/>
          <w:color w:val="111111"/>
          <w:sz w:val="28"/>
          <w:szCs w:val="28"/>
          <w:rtl/>
        </w:rPr>
        <w:t xml:space="preserve">راجع شکسته کابلی و بلالی.</w:t>
      </w:r>
    </w:p>
    <w:p>
      <w:pPr>
        <w:pStyle w:val="Heading3"/>
      </w:pPr>
      <w:bookmarkStart w:id="7854" w:name="_Toc6550"/>
      <w:r>
        <w:t>دیوان کاتب‏</w:t>
      </w:r>
      <w:bookmarkEnd w:id="7854"/>
    </w:p>
    <w:p>
      <w:pPr>
        <w:pStyle w:val="BookText"/>
      </w:pPr>
      <w:r>
        <w:rPr>
          <w:rFonts w:ascii="IRNazanin" w:hAnsi="IRNazanin" w:eastAsia="IRNazanin" w:cs="IRNazanin"/>
          <w:lang w:bidi="fa-IR"/>
          <w:color w:val="111111"/>
          <w:sz w:val="28"/>
          <w:szCs w:val="28"/>
          <w:rtl/>
        </w:rPr>
        <w:t xml:space="preserve">راجع دیوان طغرائی و وصال.</w:t>
      </w:r>
    </w:p>
    <w:p>
      <w:pPr>
        <w:pStyle w:val="Heading3"/>
      </w:pPr>
      <w:bookmarkStart w:id="7855" w:name="_Toc6551"/>
      <w:r>
        <w:t>5933- دیوان کاتب‏</w:t>
      </w:r>
      <w:bookmarkEnd w:id="7855"/>
    </w:p>
    <w:p>
      <w:pPr>
        <w:pStyle w:val="BookText"/>
      </w:pPr>
      <w:r>
        <w:rPr>
          <w:rFonts w:ascii="IRNazanin" w:hAnsi="IRNazanin" w:eastAsia="IRNazanin" w:cs="IRNazanin"/>
          <w:lang w:bidi="fa-IR"/>
          <w:color w:val="111111"/>
          <w:sz w:val="28"/>
          <w:szCs w:val="28"/>
          <w:rtl/>
        </w:rPr>
        <w:t xml:space="preserve">و هو الشیخ أبو طاهر الکاتب قال سنگلاخ فی (امتحان 1: 214) إنه رأی دیوانه بخط محمد حسین رزة الأسفراینی.</w:t>
      </w:r>
    </w:p>
    <w:p>
      <w:pPr>
        <w:pStyle w:val="Heading3"/>
      </w:pPr>
      <w:bookmarkStart w:id="7856" w:name="_Toc6552"/>
      <w:r>
        <w:t>5934- دیوان کاتب خراسانی أو شعره‏</w:t>
      </w:r>
      <w:bookmarkEnd w:id="7856"/>
    </w:p>
    <w:p>
      <w:pPr>
        <w:pStyle w:val="BookText"/>
      </w:pPr>
      <w:r>
        <w:rPr>
          <w:rFonts w:ascii="IRNazanin" w:hAnsi="IRNazanin" w:eastAsia="IRNazanin" w:cs="IRNazanin"/>
          <w:lang w:bidi="fa-IR"/>
          <w:color w:val="111111"/>
          <w:sz w:val="28"/>
          <w:szCs w:val="28"/>
          <w:rtl/>
        </w:rPr>
        <w:t xml:space="preserve">اسمه محمد بن عثمان، معاصر العنصری البلخی و تلمیذ أبی الفرج السکزی. ترجمه فی (مع: ج 1 ص 485) و أورد مطلع قصیدته و بعض غزلیاته.</w:t>
      </w:r>
    </w:p>
    <w:p>
      <w:pPr>
        <w:pStyle w:val="Heading3"/>
      </w:pPr>
      <w:bookmarkStart w:id="7857" w:name="_Toc6553"/>
      <w:r>
        <w:t>5935- دیوان الشیخ کاتب الطریحی‏</w:t>
      </w:r>
      <w:bookmarkEnd w:id="7857"/>
    </w:p>
    <w:p>
      <w:pPr>
        <w:pStyle w:val="BookText"/>
      </w:pPr>
      <w:r>
        <w:rPr>
          <w:rFonts w:ascii="IRNazanin" w:hAnsi="IRNazanin" w:eastAsia="IRNazanin" w:cs="IRNazanin"/>
          <w:lang w:bidi="fa-IR"/>
          <w:color w:val="111111"/>
          <w:sz w:val="28"/>
          <w:szCs w:val="28"/>
          <w:rtl/>
        </w:rPr>
        <w:t xml:space="preserve">و هو الشیخ کاتب بن الشیخ راضی بن الشیخ علی بن الشیخ محمد المنتهی نسبه إلی الشیخ فخر الدین الطریحی مؤلف مجمع البحرین النجفی التاجر فی شریعة الکوفة. ذکره الشیخ علی کاشف الغطاء فی الحصون المنیعة و قد جمع دیوانه البالغ إلی ستمائة بیت فی المدائح و المراثی لأهل البیت و غیرهما. و هیأه للطبع ولده الفاضل محمد کاظم الطریحی‏</w:t>
      </w:r>
      <w:r>
        <w:rPr>
          <w:rStyle w:val="FootnoteReference"/>
        </w:rPr>
        <w:footnoteReference w:id="77"/>
      </w:r>
      <w:r>
        <w:rPr>
          <w:rFonts w:ascii="IRNazanin" w:hAnsi="IRNazanin" w:eastAsia="IRNazanin" w:cs="IRNazanin"/>
          <w:lang w:bidi="fa-IR"/>
          <w:color w:val="111111"/>
          <w:sz w:val="28"/>
          <w:szCs w:val="28"/>
          <w:rtl/>
        </w:rPr>
        <w:t xml:space="preserve">ولد الناظم حدود 1303 و تلمذ علی الشیخ أحمد کاشف الغطاء و شیخنا الخراسانی.</w:t>
      </w:r>
    </w:p>
    <w:p>
      <w:pPr>
        <w:pStyle w:val="Heading3"/>
      </w:pPr>
      <w:bookmarkStart w:id="7858" w:name="_Toc6554"/>
      <w:r>
        <w:t>5936- دیوان کاتب هروی‏</w:t>
      </w:r>
      <w:bookmarkEnd w:id="7858"/>
    </w:p>
    <w:p>
      <w:pPr>
        <w:pStyle w:val="BookText"/>
      </w:pPr>
      <w:r>
        <w:rPr>
          <w:rFonts w:ascii="IRNazanin" w:hAnsi="IRNazanin" w:eastAsia="IRNazanin" w:cs="IRNazanin"/>
          <w:lang w:bidi="fa-IR"/>
          <w:color w:val="111111"/>
          <w:sz w:val="28"/>
          <w:szCs w:val="28"/>
          <w:rtl/>
        </w:rPr>
        <w:t xml:space="preserve">و هو مولانا یوسف شاه المتوفی بهراة أخذ تخلصه من صنعته کما ترجمه المیر علی شیر فی (مجن 2- ص 37 و 210) و أورد مطلع غزله.</w:t>
      </w:r>
    </w:p>
    <w:p>
      <w:pPr>
        <w:pStyle w:val="BookText"/>
      </w:pPr>
      <w:r>
        <w:rPr>
          <w:rFonts w:ascii="IRNazanin" w:hAnsi="IRNazanin" w:eastAsia="IRNazanin" w:cs="IRNazanin"/>
          <w:lang w:bidi="fa-IR"/>
          <w:color w:val="111111"/>
          <w:sz w:val="28"/>
          <w:szCs w:val="28"/>
          <w:rtl/>
        </w:rPr>
        <w:t xml:space="preserve">و فی (تش- ص 150) سماه کاتبی.</w:t>
      </w:r>
    </w:p>
    <w:p>
      <w:pPr>
        <w:pStyle w:val="Heading3"/>
      </w:pPr>
      <w:bookmarkStart w:id="7859" w:name="_Toc6555"/>
      <w:r>
        <w:t>5937- دیوان کاتب هروی‏</w:t>
      </w:r>
      <w:bookmarkEnd w:id="7859"/>
    </w:p>
    <w:p>
      <w:pPr>
        <w:pStyle w:val="BookText"/>
      </w:pPr>
      <w:r>
        <w:rPr>
          <w:rFonts w:ascii="IRNazanin" w:hAnsi="IRNazanin" w:eastAsia="IRNazanin" w:cs="IRNazanin"/>
          <w:lang w:bidi="fa-IR"/>
          <w:color w:val="111111"/>
          <w:sz w:val="28"/>
          <w:szCs w:val="28"/>
          <w:rtl/>
        </w:rPr>
        <w:t xml:space="preserve">راجع میر علی الهروی فی ص 764.
</w:t>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bookmarkStart w:id="886" w:name="pg11704_122372"/>
    <w:bookmarkEnd w:id="886"/>
    <w:p>
      <w:pPr>
        <w:pStyle w:val="Heading3"/>
      </w:pPr>
      <w:bookmarkStart w:id="7860" w:name="_Toc6556"/>
      <w:r>
        <w:t>5938- دیوان کاتب یزدی أو شعره‏</w:t>
      </w:r>
      <w:bookmarkEnd w:id="7860"/>
    </w:p>
    <w:p>
      <w:pPr>
        <w:pStyle w:val="BookText"/>
      </w:pPr>
      <w:r>
        <w:rPr>
          <w:rFonts w:ascii="IRNazanin" w:hAnsi="IRNazanin" w:eastAsia="IRNazanin" w:cs="IRNazanin"/>
          <w:lang w:bidi="fa-IR"/>
          <w:color w:val="111111"/>
          <w:sz w:val="28"/>
          <w:szCs w:val="28"/>
          <w:rtl/>
        </w:rPr>
        <w:t xml:space="preserve">نقل فی (گلشن- ص 335) عن نگارستان سخن أنه ولد 930 و مات 1000 و قال إنه قد یتخلص کاتبی أیضا. و أورد شعره فی (تش- ص 261) أیضا.</w:t>
      </w:r>
    </w:p>
    <w:p>
      <w:pPr>
        <w:pStyle w:val="Heading3"/>
      </w:pPr>
      <w:bookmarkStart w:id="7861" w:name="_Toc6557"/>
      <w:r>
        <w:t>دیوان کاتب یزدی‏</w:t>
      </w:r>
      <w:bookmarkEnd w:id="7861"/>
    </w:p>
    <w:p>
      <w:pPr>
        <w:pStyle w:val="BookText"/>
      </w:pPr>
      <w:r>
        <w:rPr>
          <w:rFonts w:ascii="IRNazanin" w:hAnsi="IRNazanin" w:eastAsia="IRNazanin" w:cs="IRNazanin"/>
          <w:lang w:bidi="fa-IR"/>
          <w:color w:val="111111"/>
          <w:sz w:val="28"/>
          <w:szCs w:val="28"/>
          <w:rtl/>
        </w:rPr>
        <w:t xml:space="preserve">راجع پهلوان کاتب فی ص 160 و قال فی شاهد صادق مات پهلوان کاتبی فی 839 و الظاهر أنه أراد الترشیزی.</w:t>
      </w:r>
    </w:p>
    <w:p>
      <w:pPr>
        <w:pStyle w:val="Heading3"/>
      </w:pPr>
      <w:bookmarkStart w:id="7862" w:name="_Toc6558"/>
      <w:r>
        <w:t>دیوان کاتبی أصفهانی‏</w:t>
      </w:r>
      <w:bookmarkEnd w:id="7862"/>
    </w:p>
    <w:p>
      <w:pPr>
        <w:pStyle w:val="BookText"/>
      </w:pPr>
      <w:r>
        <w:rPr>
          <w:rFonts w:ascii="IRNazanin" w:hAnsi="IRNazanin" w:eastAsia="IRNazanin" w:cs="IRNazanin"/>
          <w:lang w:bidi="fa-IR"/>
          <w:color w:val="111111"/>
          <w:sz w:val="28"/>
          <w:szCs w:val="28"/>
          <w:rtl/>
        </w:rPr>
        <w:t xml:space="preserve">هو غیر محمد الکاتبی التبریزی الآتی کما فی نگارستان سخن.</w:t>
      </w:r>
    </w:p>
    <w:p>
      <w:pPr>
        <w:pStyle w:val="Heading3"/>
      </w:pPr>
      <w:bookmarkStart w:id="7863" w:name="_Toc6559"/>
      <w:r>
        <w:t>دیوان کاتبی بدخشی‏</w:t>
      </w:r>
      <w:bookmarkEnd w:id="7863"/>
    </w:p>
    <w:p>
      <w:pPr>
        <w:pStyle w:val="BookText"/>
      </w:pPr>
      <w:r>
        <w:rPr>
          <w:rFonts w:ascii="IRNazanin" w:hAnsi="IRNazanin" w:eastAsia="IRNazanin" w:cs="IRNazanin"/>
          <w:lang w:bidi="fa-IR"/>
          <w:color w:val="111111"/>
          <w:sz w:val="28"/>
          <w:szCs w:val="28"/>
          <w:rtl/>
        </w:rPr>
        <w:t xml:space="preserve">کما فی (روشن- ص 566) راجع کاهی بدخشی کما فی (حسینی- ص 281).</w:t>
      </w:r>
    </w:p>
    <w:p>
      <w:pPr>
        <w:pStyle w:val="Heading3"/>
      </w:pPr>
      <w:bookmarkStart w:id="7864" w:name="_Toc6560"/>
      <w:r>
        <w:t>5939- دیوان کاتبی تبریزی‏</w:t>
      </w:r>
      <w:bookmarkEnd w:id="7864"/>
    </w:p>
    <w:p>
      <w:pPr>
        <w:pStyle w:val="BookText"/>
      </w:pPr>
      <w:r>
        <w:rPr>
          <w:rFonts w:ascii="IRNazanin" w:hAnsi="IRNazanin" w:eastAsia="IRNazanin" w:cs="IRNazanin"/>
          <w:lang w:bidi="fa-IR"/>
          <w:color w:val="111111"/>
          <w:sz w:val="28"/>
          <w:szCs w:val="28"/>
          <w:rtl/>
        </w:rPr>
        <w:t xml:space="preserve">ترجمه فی (دجا- ص 311) بعنوان محمد الکاتبی التبریزی حاکیا عن نگارستان سخن مصرحا بأنه غیر کاتبی الأصفهانی و أورد شعره.</w:t>
      </w:r>
    </w:p>
    <w:p>
      <w:pPr>
        <w:pStyle w:val="Heading3"/>
      </w:pPr>
      <w:bookmarkStart w:id="7865" w:name="_Toc6561"/>
      <w:r>
        <w:t>5940- دیوان کاتبی ترشیزی‏</w:t>
      </w:r>
      <w:bookmarkEnd w:id="7865"/>
    </w:p>
    <w:p>
      <w:pPr>
        <w:pStyle w:val="BookText"/>
      </w:pPr>
      <w:r>
        <w:rPr>
          <w:rFonts w:ascii="IRNazanin" w:hAnsi="IRNazanin" w:eastAsia="IRNazanin" w:cs="IRNazanin"/>
          <w:lang w:bidi="fa-IR"/>
          <w:color w:val="111111"/>
          <w:sz w:val="28"/>
          <w:szCs w:val="28"/>
          <w:rtl/>
        </w:rPr>
        <w:t xml:space="preserve">و هو محمد بن عبد الله ولد فی طرق من نواحی ترشیز و نشا بنیشابور و رحل إلی هرات و نزل أسترآباد و مات بها فی 839. ترجمه فی (خز- ص 385) بعنوان کاتبی النیشابوری، و قال حصل عندی” صاحب خز” دیوانه غیر مرتب، و کذا فی (مجن 1: ص 10 و 186) و از سعدی تا جامی و (خیال- ص 65) و (مع 2: 28) و (حسینی- 281) و (نتایج- ص 596) و (لس- 416) و (تش- ص 70)- و قال فی (لت- 6) إنه تعلم الخط من سیمی نیشابوری‏</w:t>
      </w:r>
      <w:r>
        <w:rPr>
          <w:rStyle w:val="FootnoteReference"/>
        </w:rPr>
        <w:footnoteReference w:id="78"/>
      </w:r>
      <w:r>
        <w:rPr>
          <w:rFonts w:ascii="IRNazanin" w:hAnsi="IRNazanin" w:eastAsia="IRNazanin" w:cs="IRNazanin"/>
          <w:lang w:bidi="fa-IR"/>
          <w:color w:val="111111"/>
          <w:sz w:val="28"/>
          <w:szCs w:val="28"/>
          <w:rtl/>
        </w:rPr>
        <w:t xml:space="preserve">المذکور فی ص 488 و مهر فیها و لذا تخلص بالکاتبی، ثم نزل هرات ثم شیروان ثم تبریز ثم أصفهان، و تلمذ علی صائن الدین ترکة ثم أسترآباد و مات بالوباء هناک و دفن بمقبرة نه گوران. و له غیر الدیوان مثنویات گلشن أبرار و ناظر و منظور أو ناصر و منصور و ده باب و سی‏نامه أو محب و محبوب و دلربا موجودات بالمکتبة (الملیة) بطهران کما فی نشریة کتابخانه مرکزی دانشگاه- العدد الأول- ص 13 لسنة 1380 و مر له خمسة فی 7: 262 الموجودة عند (سلطان القرائی) و (الملک) و توجد دیوانه عند (دهخدا) مع دیوان فغانی و نسخه عند
</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bookmarkStart w:id="887" w:name="pg11704_122373"/>
    <w:bookmarkEnd w:id="887"/>
    <w:p>
      <w:pPr>
        <w:pStyle w:val="BookText"/>
      </w:pPr>
      <w:r>
        <w:rPr>
          <w:rFonts w:ascii="IRNazanin" w:hAnsi="IRNazanin" w:eastAsia="IRNazanin" w:cs="IRNazanin"/>
          <w:lang w:bidi="fa-IR"/>
          <w:color w:val="111111"/>
          <w:sz w:val="28"/>
          <w:szCs w:val="28"/>
          <w:rtl/>
        </w:rPr>
        <w:t xml:space="preserve">(فخر الدین) کتابتها 850 و نسخه رآها سنگلاخ بخط محمد سبزواری فذکرها فی (امتحان- 1: 157) و نسخه فی (سپهسالار- 279). و له قصیدة شتر حجر و ترجم محمد علی تربیت، الکاتبی هذا فی مجلة آینده 2: 583.</w:t>
      </w:r>
    </w:p>
    <w:p>
      <w:pPr>
        <w:pStyle w:val="Heading3"/>
      </w:pPr>
      <w:bookmarkStart w:id="7866" w:name="_Toc6562"/>
      <w:r>
        <w:t>5941- دیوان کاتبی مشهدی أو شعره‏</w:t>
      </w:r>
      <w:bookmarkEnd w:id="7866"/>
    </w:p>
    <w:p>
      <w:pPr>
        <w:pStyle w:val="BookText"/>
      </w:pPr>
      <w:r>
        <w:rPr>
          <w:rFonts w:ascii="IRNazanin" w:hAnsi="IRNazanin" w:eastAsia="IRNazanin" w:cs="IRNazanin"/>
          <w:lang w:bidi="fa-IR"/>
          <w:color w:val="111111"/>
          <w:sz w:val="28"/>
          <w:szCs w:val="28"/>
          <w:rtl/>
        </w:rPr>
        <w:t xml:space="preserve">ترجمه و أورد شعره فی (حسینی- ص 281)</w:t>
      </w:r>
    </w:p>
    <w:p>
      <w:pPr>
        <w:pStyle w:val="Heading3"/>
      </w:pPr>
      <w:bookmarkStart w:id="7867" w:name="_Toc6563"/>
      <w:r>
        <w:t>دیوان کاتبی نیشابوری‏</w:t>
      </w:r>
      <w:bookmarkEnd w:id="7867"/>
    </w:p>
    <w:p>
      <w:pPr>
        <w:pStyle w:val="BookText"/>
      </w:pPr>
      <w:r>
        <w:rPr>
          <w:rFonts w:ascii="IRNazanin" w:hAnsi="IRNazanin" w:eastAsia="IRNazanin" w:cs="IRNazanin"/>
          <w:lang w:bidi="fa-IR"/>
          <w:color w:val="111111"/>
          <w:sz w:val="28"/>
          <w:szCs w:val="28"/>
          <w:rtl/>
        </w:rPr>
        <w:t xml:space="preserve">و اسمه محمد باقر. أورد شعره فی (گلشن- ص 336) و قال کان یمدح الأئمة الاثنی عشر. و أظنه أراد کاتبی ترشیزی.</w:t>
      </w:r>
    </w:p>
    <w:p>
      <w:pPr>
        <w:pStyle w:val="Heading3"/>
      </w:pPr>
      <w:bookmarkStart w:id="7868" w:name="_Toc6564"/>
      <w:r>
        <w:t>دیوان کاتبی هروی‏</w:t>
      </w:r>
      <w:bookmarkEnd w:id="7868"/>
    </w:p>
    <w:p>
      <w:pPr>
        <w:pStyle w:val="BookText"/>
      </w:pPr>
      <w:r>
        <w:rPr>
          <w:rFonts w:ascii="IRNazanin" w:hAnsi="IRNazanin" w:eastAsia="IRNazanin" w:cs="IRNazanin"/>
          <w:lang w:bidi="fa-IR"/>
          <w:color w:val="111111"/>
          <w:sz w:val="28"/>
          <w:szCs w:val="28"/>
          <w:rtl/>
        </w:rPr>
        <w:t xml:space="preserve">و اسمه یوسف شاه کما فی (تش- ص 150) مر بعنوان کاتب هروی.</w:t>
      </w:r>
    </w:p>
    <w:p>
      <w:pPr>
        <w:pStyle w:val="Heading3"/>
      </w:pPr>
      <w:bookmarkStart w:id="7869" w:name="_Toc6565"/>
      <w:r>
        <w:t>دیوان کاتبی یزدی‏</w:t>
      </w:r>
      <w:bookmarkEnd w:id="7869"/>
    </w:p>
    <w:p>
      <w:pPr>
        <w:pStyle w:val="BookText"/>
      </w:pPr>
      <w:r>
        <w:rPr>
          <w:rFonts w:ascii="IRNazanin" w:hAnsi="IRNazanin" w:eastAsia="IRNazanin" w:cs="IRNazanin"/>
          <w:lang w:bidi="fa-IR"/>
          <w:color w:val="111111"/>
          <w:sz w:val="28"/>
          <w:szCs w:val="28"/>
          <w:rtl/>
        </w:rPr>
        <w:t xml:space="preserve">مر بعنوان کاتب یزدی.</w:t>
      </w:r>
    </w:p>
    <w:p>
      <w:pPr>
        <w:pStyle w:val="Heading3"/>
      </w:pPr>
      <w:bookmarkStart w:id="7870" w:name="_Toc6566"/>
      <w:r>
        <w:t>5942- دیوان کاتبی یزدی أو شعره‏</w:t>
      </w:r>
      <w:bookmarkEnd w:id="7870"/>
    </w:p>
    <w:p>
      <w:pPr>
        <w:pStyle w:val="BookText"/>
      </w:pPr>
      <w:r>
        <w:rPr>
          <w:rFonts w:ascii="IRNazanin" w:hAnsi="IRNazanin" w:eastAsia="IRNazanin" w:cs="IRNazanin"/>
          <w:lang w:bidi="fa-IR"/>
          <w:color w:val="111111"/>
          <w:sz w:val="28"/>
          <w:szCs w:val="28"/>
          <w:rtl/>
        </w:rPr>
        <w:t xml:space="preserve">ترجمه و أورد شعره فی (حسینی- ص 283) و (تش یز- ص 325).</w:t>
      </w:r>
    </w:p>
    <w:p>
      <w:pPr>
        <w:pStyle w:val="Heading3"/>
      </w:pPr>
      <w:bookmarkStart w:id="7871" w:name="_Toc6567"/>
      <w:r>
        <w:t>5943- دیوان کاسبی‏</w:t>
      </w:r>
      <w:bookmarkEnd w:id="7871"/>
    </w:p>
    <w:p>
      <w:pPr>
        <w:pStyle w:val="BookText"/>
      </w:pPr>
      <w:r>
        <w:rPr>
          <w:rFonts w:ascii="IRNazanin" w:hAnsi="IRNazanin" w:eastAsia="IRNazanin" w:cs="IRNazanin"/>
          <w:lang w:bidi="fa-IR"/>
          <w:color w:val="111111"/>
          <w:sz w:val="28"/>
          <w:szCs w:val="28"/>
          <w:rtl/>
        </w:rPr>
        <w:t xml:space="preserve">للمولی محب علی التستری معاصر و أخشنو خان حاکم تستر إلی 1078 فیه قصائد فی مدیحه و مدیح علی پاشا و حسین پاشا. ذکره السید عبد الله التستری فی تذکرته ص 51 و 111 و غیرهما.</w:t>
      </w:r>
    </w:p>
    <w:p>
      <w:pPr>
        <w:pStyle w:val="Heading3"/>
      </w:pPr>
      <w:bookmarkStart w:id="7872" w:name="_Toc6568"/>
      <w:r>
        <w:t>5944- دیوان کاشانی‏</w:t>
      </w:r>
      <w:bookmarkEnd w:id="7872"/>
    </w:p>
    <w:p>
      <w:pPr>
        <w:pStyle w:val="BookText"/>
      </w:pPr>
      <w:r>
        <w:rPr>
          <w:rFonts w:ascii="IRNazanin" w:hAnsi="IRNazanin" w:eastAsia="IRNazanin" w:cs="IRNazanin"/>
          <w:lang w:bidi="fa-IR"/>
          <w:color w:val="111111"/>
          <w:sz w:val="28"/>
          <w:szCs w:val="28"/>
          <w:rtl/>
        </w:rPr>
        <w:t xml:space="preserve">و هو المیرزا حبیب الله الساوجی الکاشانی المتوفی بکاشان طبع له منظومة نصیحت‏نامه بطهران فی 43 ص. فی 1350.</w:t>
      </w:r>
    </w:p>
    <w:p>
      <w:pPr>
        <w:pStyle w:val="Heading3"/>
      </w:pPr>
      <w:bookmarkStart w:id="7873" w:name="_Toc6569"/>
      <w:r>
        <w:t>5945- دیوان کاشف أصفهانی‏</w:t>
      </w:r>
      <w:bookmarkEnd w:id="7873"/>
    </w:p>
    <w:p>
      <w:pPr>
        <w:pStyle w:val="BookText"/>
      </w:pPr>
      <w:r>
        <w:rPr>
          <w:rFonts w:ascii="IRNazanin" w:hAnsi="IRNazanin" w:eastAsia="IRNazanin" w:cs="IRNazanin"/>
          <w:lang w:bidi="fa-IR"/>
          <w:color w:val="111111"/>
          <w:sz w:val="28"/>
          <w:szCs w:val="28"/>
          <w:rtl/>
        </w:rPr>
        <w:t xml:space="preserve">و اسمه آقا إسماعیل بن حیدر علی بن محمد علی. کان والده و جده معماری الشاه عباس الماضی. ترجمه النصرآبادی فی (نر 9- ص 360) و أورد بعض مثنویة و مطلع غزله. و کذا فی (حسینی- ص 281) و (گلشن- ص 336).</w:t>
      </w:r>
    </w:p>
    <w:p>
      <w:pPr>
        <w:pStyle w:val="Heading3"/>
      </w:pPr>
      <w:bookmarkStart w:id="7874" w:name="_Toc6570"/>
      <w:r>
        <w:t>دیوان کاشف درشتی‏</w:t>
      </w:r>
      <w:bookmarkEnd w:id="7874"/>
    </w:p>
    <w:p>
      <w:pPr>
        <w:pStyle w:val="BookText"/>
      </w:pPr>
      <w:r>
        <w:rPr>
          <w:rFonts w:ascii="IRNazanin" w:hAnsi="IRNazanin" w:eastAsia="IRNazanin" w:cs="IRNazanin"/>
          <w:lang w:bidi="fa-IR"/>
          <w:color w:val="111111"/>
          <w:sz w:val="28"/>
          <w:szCs w:val="28"/>
          <w:rtl/>
        </w:rPr>
        <w:t xml:space="preserve">راجع کاشف شیرازی.</w:t>
      </w:r>
    </w:p>
    <w:p>
      <w:pPr>
        <w:pStyle w:val="Heading3"/>
      </w:pPr>
      <w:bookmarkStart w:id="7875" w:name="_Toc6571"/>
      <w:r>
        <w:t>5946- دیوان کاشف دزفولی‏</w:t>
      </w:r>
      <w:bookmarkEnd w:id="7875"/>
    </w:p>
    <w:p>
      <w:pPr>
        <w:pStyle w:val="BookText"/>
      </w:pPr>
      <w:r>
        <w:rPr>
          <w:rFonts w:ascii="IRNazanin" w:hAnsi="IRNazanin" w:eastAsia="IRNazanin" w:cs="IRNazanin"/>
          <w:lang w:bidi="fa-IR"/>
          <w:color w:val="111111"/>
          <w:sz w:val="28"/>
          <w:szCs w:val="28"/>
          <w:rtl/>
        </w:rPr>
        <w:t xml:space="preserve">للسید صدر الدین محمد باقر بن مهدی بن شفیع بن مرتضی بن حبیب الله. و کان ینهی نسبه إلی الإمام موسی بن جعفر. ولد فی 18 صفر 1174 بدزفول. و کان مریدا للمیر ملا محمد البیدآبادی بأصفهان و مجازا منه و سافر إلی العراق و طهران و رجع، و کان معززا عند فتح علی شاه و مات فی 15 شعبان 1258 (آشیان خلد برین) و حمل إلی کربلاء و دفن عند السید کاظم الرشتی. له عدة
</w:t>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bookmarkStart w:id="888" w:name="pg11704_122374"/>
    <w:bookmarkEnd w:id="888"/>
    <w:p>
      <w:pPr>
        <w:pStyle w:val="BookText"/>
      </w:pPr>
      <w:r>
        <w:rPr>
          <w:rFonts w:ascii="IRNazanin" w:hAnsi="IRNazanin" w:eastAsia="IRNazanin" w:cs="IRNazanin"/>
          <w:lang w:bidi="fa-IR"/>
          <w:color w:val="111111"/>
          <w:sz w:val="28"/>
          <w:szCs w:val="28"/>
          <w:rtl/>
        </w:rPr>
        <w:t xml:space="preserve">دواوین تشتمل علی مائة ألف بیت. طبع له مصباح العارفین الفارسی العرفانی فی أهواز فی 1332 ش. و فی مقدمته ترجمته عن مجلة أرمغان العدد 8 لسنة 1305 ش. بقلم ظهیرزاده الدزفولی. و توجد نسخته عند (فخر الدین) و عند الحاج السید محمد بدزفول.</w:t>
      </w:r>
    </w:p>
    <w:p>
      <w:pPr>
        <w:pStyle w:val="BookText"/>
      </w:pPr>
      <w:r>
        <w:rPr>
          <w:rFonts w:ascii="IRNazanin" w:hAnsi="IRNazanin" w:eastAsia="IRNazanin" w:cs="IRNazanin"/>
          <w:lang w:bidi="fa-IR"/>
          <w:color w:val="111111"/>
          <w:sz w:val="28"/>
          <w:szCs w:val="28"/>
          <w:rtl/>
        </w:rPr>
        <w:t xml:space="preserve">و ترجم أحواله أخوه السید محمد المتخلص عارف دزفولی و عد تصانیفه البالغ إلی الخمس و الخمسین. و له دیوان سماه واردات غیبیة و رسالة ریاض المتعبدین و روضة الأبرار و روضة السالکین و رشحات قدسیة و زبدة المعارف کلها عند السید عیسی الصافی بدزفول. و زاد العارفین و سرور العارفین و معراج المؤمنین‏</w:t>
      </w:r>
    </w:p>
    <w:p>
      <w:pPr>
        <w:pStyle w:val="Heading3"/>
      </w:pPr>
      <w:bookmarkStart w:id="7876" w:name="_Toc6572"/>
      <w:r>
        <w:t>5947- دیوان کاشف شیرازی‏</w:t>
      </w:r>
      <w:bookmarkEnd w:id="7876"/>
    </w:p>
    <w:p>
      <w:pPr>
        <w:pStyle w:val="BookText"/>
      </w:pPr>
      <w:r>
        <w:rPr>
          <w:rFonts w:ascii="IRNazanin" w:hAnsi="IRNazanin" w:eastAsia="IRNazanin" w:cs="IRNazanin"/>
          <w:lang w:bidi="fa-IR"/>
          <w:color w:val="111111"/>
          <w:sz w:val="28"/>
          <w:szCs w:val="28"/>
          <w:rtl/>
        </w:rPr>
        <w:t xml:space="preserve">هو تخلص المولی القاضی شریف الدین محمد و یقال له شریفا کما عبر به النصرآبادی فی (نر 9- ص 251) و هو ابن شمس الدین محمد الشیرازی أصلا. و یقال له شمسا کما فیه أیضا. و أخوه الأکبر منه محمد إسماعیل المتخلص بمنصف الطهرانی. لأنه کان أکثر إقامته بطهران. و ثالث الأخوین المولی مقیما و هو لم یخرج من طهران إلی أن توفی بها، و کلهم شعراء فضلاء. أما الکاشف الأصغر من المنصف فقد ذکر ترجمه حاله فی الخاتمة من کتابه خزان و بهار و قال ولدت بکربلاء و هاجر والدی منها إلی أصفهان فی 1006 و کان لی یومئذ خمس سنین، سافرت معه إلی مشهد خراسان 1010 و بعد ثمانیة أشهر رجعنا إلی أصفهان إلی 1029 و کنت قرأت علی الوالد الأدب و المنطق و الکلام حتی توفی الوالد بالری فی 1035 و ولیت خمس عشر سنة القضاء من قبل السلطان و عد من نظمه. 1 لیلی و مجنون 2 عباس‏نامه 3 هفت پیکر 4 القصائد و الغزلیات و غیرها. و عد من منثوراته و تصانیفه 1 السراج المنیر 2 الدرة المکنونة 3 حواس الباطن 4 منشئات متفرقة 5 خزان و بهار انتهی ملخص ما فی خاتمته.</w:t>
      </w:r>
    </w:p>
    <w:p>
      <w:pPr>
        <w:pStyle w:val="BookText"/>
      </w:pPr>
      <w:r>
        <w:rPr>
          <w:rFonts w:ascii="IRNazanin" w:hAnsi="IRNazanin" w:eastAsia="IRNazanin" w:cs="IRNazanin"/>
          <w:lang w:bidi="fa-IR"/>
          <w:color w:val="111111"/>
          <w:sz w:val="28"/>
          <w:szCs w:val="28"/>
          <w:rtl/>
        </w:rPr>
        <w:t xml:space="preserve">و النصرآبادی صرح فی (نر 9- ص 251) بأنه کان قاضی طرشت (درشت) من القری العظیمة بالری و یأتی أخوه منصف و الآخر مقیما فی محلهما و الموجود من تصانیفه خزان و بهار المذکور فی ج 7 ص 151 و السراج المنیر المطبوع. و ترجم فی (گلشن- ص 331)</w:t>
      </w:r>
    </w:p>
    <w:p>
      <w:pPr>
        <w:pStyle w:val="Heading3"/>
      </w:pPr>
      <w:bookmarkStart w:id="7877" w:name="_Toc6573"/>
      <w:r>
        <w:t>دیوان کاشف الغطاء</w:t>
      </w:r>
      <w:bookmarkEnd w:id="7877"/>
    </w:p>
    <w:p>
      <w:pPr>
        <w:pStyle w:val="BookText"/>
      </w:pPr>
      <w:r>
        <w:rPr>
          <w:rFonts w:ascii="IRNazanin" w:hAnsi="IRNazanin" w:eastAsia="IRNazanin" w:cs="IRNazanin"/>
          <w:lang w:bidi="fa-IR"/>
          <w:color w:val="111111"/>
          <w:sz w:val="28"/>
          <w:szCs w:val="28"/>
          <w:rtl/>
        </w:rPr>
        <w:t xml:space="preserve">مر بعنوان الشیخ علی بن جعفر.</w:t>
      </w:r>
    </w:p>
    <w:p>
      <w:pPr>
        <w:pStyle w:val="Heading3"/>
      </w:pPr>
      <w:bookmarkStart w:id="7878" w:name="_Toc6574"/>
      <w:r>
        <w:t>5948- دیوان کاشف قراباغی أو شعره‏</w:t>
      </w:r>
      <w:bookmarkEnd w:id="7878"/>
    </w:p>
    <w:p>
      <w:pPr>
        <w:pStyle w:val="BookText"/>
      </w:pPr>
      <w:r>
        <w:rPr>
          <w:rFonts w:ascii="IRNazanin" w:hAnsi="IRNazanin" w:eastAsia="IRNazanin" w:cs="IRNazanin"/>
          <w:lang w:bidi="fa-IR"/>
          <w:color w:val="111111"/>
          <w:sz w:val="28"/>
          <w:szCs w:val="28"/>
          <w:rtl/>
        </w:rPr>
        <w:t xml:space="preserve">کان من شعراء القرن الثالث عشر کما فی (دجا- ص 311) نقلا عن حدیقة الشعراء.
</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bookmarkStart w:id="889" w:name="pg11704_122375"/>
    <w:bookmarkEnd w:id="889"/>
    <w:p>
      <w:pPr>
        <w:pStyle w:val="Heading3"/>
      </w:pPr>
      <w:bookmarkStart w:id="7879" w:name="_Toc6575"/>
      <w:r>
        <w:t>5949- دیوان کاشف قمی‏</w:t>
      </w:r>
      <w:bookmarkEnd w:id="7879"/>
    </w:p>
    <w:p>
      <w:pPr>
        <w:pStyle w:val="BookText"/>
      </w:pPr>
      <w:r>
        <w:rPr>
          <w:rFonts w:ascii="IRNazanin" w:hAnsi="IRNazanin" w:eastAsia="IRNazanin" w:cs="IRNazanin"/>
          <w:lang w:bidi="fa-IR"/>
          <w:color w:val="111111"/>
          <w:sz w:val="28"/>
          <w:szCs w:val="28"/>
          <w:rtl/>
        </w:rPr>
        <w:t xml:space="preserve">و هو المیرزا علی أکبر بن السید رضی بن محمد تقی الرضوی البرقعی القمی المولود 1317 رأیته عنده” میرزا علی أکبر” بقم فی 1365 و هو الآن یسکن یزد منفیا من قبل الحکومة و له کاخ دلاویز و راهنمای دانشوران و غیرها.</w:t>
      </w:r>
    </w:p>
    <w:p>
      <w:pPr>
        <w:pStyle w:val="Heading3"/>
      </w:pPr>
      <w:bookmarkStart w:id="7880" w:name="_Toc6576"/>
      <w:r>
        <w:t>5950- دیوان کاشف یزدی أو شعره‏</w:t>
      </w:r>
      <w:bookmarkEnd w:id="7880"/>
    </w:p>
    <w:p>
      <w:pPr>
        <w:pStyle w:val="BookText"/>
      </w:pPr>
      <w:r>
        <w:rPr>
          <w:rFonts w:ascii="IRNazanin" w:hAnsi="IRNazanin" w:eastAsia="IRNazanin" w:cs="IRNazanin"/>
          <w:lang w:bidi="fa-IR"/>
          <w:color w:val="111111"/>
          <w:sz w:val="28"/>
          <w:szCs w:val="28"/>
          <w:rtl/>
        </w:rPr>
        <w:t xml:space="preserve">و هو کاشف الدین محمد بن سالک الدین محمد بن نظام الدین محمد بن إسحاق الحموئی المنتهی نسبه إلی سعد الدین الحموی المذکور فی ص 447 و هو إلی أبی أیوب الأنصاری له أشعار کثیرة فی مشیخة کنز السالکین التی ذکرناها فی 8: 187 و الموجودة الآن فی مکتبة جامعة طهران کما ذکر فی فهرسها 9: 780 برقم 2143.</w:t>
      </w:r>
    </w:p>
    <w:p>
      <w:pPr>
        <w:pStyle w:val="Heading3"/>
      </w:pPr>
      <w:bookmarkStart w:id="7881" w:name="_Toc6577"/>
      <w:r>
        <w:t>دیوان کاشفی‏</w:t>
      </w:r>
      <w:bookmarkEnd w:id="7881"/>
    </w:p>
    <w:p>
      <w:pPr>
        <w:pStyle w:val="BookText"/>
      </w:pPr>
      <w:r>
        <w:rPr>
          <w:rFonts w:ascii="IRNazanin" w:hAnsi="IRNazanin" w:eastAsia="IRNazanin" w:cs="IRNazanin"/>
          <w:lang w:bidi="fa-IR"/>
          <w:color w:val="111111"/>
          <w:sz w:val="28"/>
          <w:szCs w:val="28"/>
          <w:rtl/>
        </w:rPr>
        <w:t xml:space="preserve">رأیته عند (السبزواری بالکاظمیة) و لم أحفظ خصوصیاته.</w:t>
      </w:r>
    </w:p>
    <w:p>
      <w:pPr>
        <w:pStyle w:val="BookText"/>
      </w:pPr>
      <w:r>
        <w:rPr>
          <w:rFonts w:ascii="IRNazanin" w:hAnsi="IRNazanin" w:eastAsia="IRNazanin" w:cs="IRNazanin"/>
          <w:lang w:bidi="fa-IR"/>
          <w:color w:val="111111"/>
          <w:sz w:val="28"/>
          <w:szCs w:val="28"/>
          <w:rtl/>
        </w:rPr>
        <w:t xml:space="preserve">و لعله لأحد الآتیین.</w:t>
      </w:r>
    </w:p>
    <w:p>
      <w:pPr>
        <w:pStyle w:val="Heading3"/>
      </w:pPr>
      <w:bookmarkStart w:id="7882" w:name="_Toc6578"/>
      <w:r>
        <w:t>5951- دیوان کاشفی بدخشانی أو شعره‏</w:t>
      </w:r>
      <w:bookmarkEnd w:id="7882"/>
    </w:p>
    <w:p>
      <w:pPr>
        <w:pStyle w:val="BookText"/>
      </w:pPr>
      <w:r>
        <w:rPr>
          <w:rFonts w:ascii="IRNazanin" w:hAnsi="IRNazanin" w:eastAsia="IRNazanin" w:cs="IRNazanin"/>
          <w:lang w:bidi="fa-IR"/>
          <w:color w:val="111111"/>
          <w:sz w:val="28"/>
          <w:szCs w:val="28"/>
          <w:rtl/>
        </w:rPr>
        <w:t xml:space="preserve">ترجمه و أورد شعره فی (گلشن- ص 336) و قال جاء إلی الهند فی 1033 و لعله المذکور فی (حسینی- ص 279).</w:t>
      </w:r>
    </w:p>
    <w:p>
      <w:pPr>
        <w:pStyle w:val="Heading3"/>
      </w:pPr>
      <w:bookmarkStart w:id="7883" w:name="_Toc6579"/>
      <w:r>
        <w:t>5952- دیوان کاشفی سبزواری‏</w:t>
      </w:r>
      <w:bookmarkEnd w:id="7883"/>
    </w:p>
    <w:p>
      <w:pPr>
        <w:pStyle w:val="BookText"/>
      </w:pPr>
      <w:r>
        <w:rPr>
          <w:rFonts w:ascii="IRNazanin" w:hAnsi="IRNazanin" w:eastAsia="IRNazanin" w:cs="IRNazanin"/>
          <w:lang w:bidi="fa-IR"/>
          <w:color w:val="111111"/>
          <w:sz w:val="28"/>
          <w:szCs w:val="28"/>
          <w:rtl/>
        </w:rPr>
        <w:t xml:space="preserve">و هو المولی کمال الدین حسین بن علی الواعظ السبزواری مؤلف أنوار سهیلی و أخلاق محسنی الذی ألفه فی 900 کما فی (نر 13 ص 471) و جواهر التفسیر المذکور فی ج 5 و المتوفی 910 کما جاء تاریخه فی شعر فی گلستان مسرت- ص 390 و ترجم فی (روشن- ص 566) و (مجن 4- ص 93 و 268) و سبک‏شناسی 3: 196 و له لب لباب مثنوی توجد فی (الرضویة) و (الملک) و (فخر الدین- 108) یشتمل علی ثلاثة أعین. و توجد شعره بخطه فی مشیخة کنز السالکین المذکور فی 8: 187 و الموجودة الآن فی مکتبة جامعة طهران برقم 2143 و مر ابنه صفی سبزواری فی ص 616.</w:t>
      </w:r>
    </w:p>
    <w:p>
      <w:pPr>
        <w:pStyle w:val="Heading3"/>
      </w:pPr>
      <w:bookmarkStart w:id="7884" w:name="_Toc6580"/>
      <w:r>
        <w:t>دیوان کاشی‏</w:t>
      </w:r>
      <w:bookmarkEnd w:id="7884"/>
    </w:p>
    <w:p>
      <w:pPr>
        <w:pStyle w:val="BookText"/>
      </w:pPr>
      <w:r>
        <w:rPr>
          <w:rFonts w:ascii="IRNazanin" w:hAnsi="IRNazanin" w:eastAsia="IRNazanin" w:cs="IRNazanin"/>
          <w:lang w:bidi="fa-IR"/>
          <w:color w:val="111111"/>
          <w:sz w:val="28"/>
          <w:szCs w:val="28"/>
          <w:rtl/>
        </w:rPr>
        <w:t xml:space="preserve">راجع دیوان کاشانی‏</w:t>
      </w:r>
    </w:p>
    <w:p>
      <w:pPr>
        <w:pStyle w:val="Heading3"/>
      </w:pPr>
      <w:bookmarkStart w:id="7885" w:name="_Toc6581"/>
      <w:r>
        <w:t>5953- دیوان کاشی‏</w:t>
      </w:r>
      <w:bookmarkEnd w:id="7885"/>
    </w:p>
    <w:p>
      <w:pPr>
        <w:pStyle w:val="BookText"/>
      </w:pPr>
      <w:r>
        <w:rPr>
          <w:rFonts w:ascii="IRNazanin" w:hAnsi="IRNazanin" w:eastAsia="IRNazanin" w:cs="IRNazanin"/>
          <w:lang w:bidi="fa-IR"/>
          <w:color w:val="111111"/>
          <w:sz w:val="28"/>
          <w:szCs w:val="28"/>
          <w:rtl/>
        </w:rPr>
        <w:t xml:space="preserve">هو المولی حسن الکاشی الآملی صاحب القصیدة فی مدح الأمیر و النائل بصلة شعره عنه، بتفصیل أورده فی (خز- ص 389) و توجد له هفت بند فی المکتبة (الشاهیة) کما فی نمونه خطوط خوش- ص 148 و طبع مع هفت نشد له الذی تتبع فیه قصیدة الخاقانی، و طبعا فی لکهنو فی 1292 فی 16 ص و مع ذخیرة المناقب أیضا
</w:t>
      </w: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bookmarkStart w:id="890" w:name="pg11704_122376"/>
    <w:bookmarkEnd w:id="890"/>
    <w:p>
      <w:pPr>
        <w:pStyle w:val="BookText"/>
      </w:pPr>
      <w:r>
        <w:rPr>
          <w:rFonts w:ascii="IRNazanin" w:hAnsi="IRNazanin" w:eastAsia="IRNazanin" w:cs="IRNazanin"/>
          <w:lang w:bidi="fa-IR"/>
          <w:color w:val="111111"/>
          <w:sz w:val="28"/>
          <w:szCs w:val="28"/>
          <w:rtl/>
        </w:rPr>
        <w:t xml:space="preserve">و قبره فی الکاظمیة کما مر فی 2: 391 و ترجم فی (لت 5) و قال ولد بآمل و مات بسلطانیة فی العراق و فی (تغ- ص 43) و (روشن- 173) و (طبق 2- 495) و (لس- ص 244) و الروضات ص 171 و الریحانة نقلا عن سفینة الشعراء</w:t>
      </w:r>
    </w:p>
    <w:p>
      <w:pPr>
        <w:pStyle w:val="Heading3"/>
      </w:pPr>
      <w:bookmarkStart w:id="7886" w:name="_Toc6582"/>
      <w:r>
        <w:t>5954- دیوان محمد کاظم أردبیلی‏</w:t>
      </w:r>
      <w:bookmarkEnd w:id="7886"/>
    </w:p>
    <w:p>
      <w:pPr>
        <w:pStyle w:val="BookText"/>
      </w:pPr>
      <w:r>
        <w:rPr>
          <w:rFonts w:ascii="IRNazanin" w:hAnsi="IRNazanin" w:eastAsia="IRNazanin" w:cs="IRNazanin"/>
          <w:lang w:bidi="fa-IR"/>
          <w:color w:val="111111"/>
          <w:sz w:val="28"/>
          <w:szCs w:val="28"/>
          <w:rtl/>
        </w:rPr>
        <w:t xml:space="preserve">المتخلص بطاهر المذکور فی ص 640 ترجمه النصرآبادی فی (نر 9- ص 326) و أورد شعره‏</w:t>
      </w:r>
    </w:p>
    <w:p>
      <w:pPr>
        <w:pStyle w:val="Heading3"/>
      </w:pPr>
      <w:bookmarkStart w:id="7887" w:name="_Toc6583"/>
      <w:r>
        <w:t>دیوان الشیخ کاظم الأزری‏</w:t>
      </w:r>
      <w:bookmarkEnd w:id="7887"/>
    </w:p>
    <w:p>
      <w:pPr>
        <w:pStyle w:val="BookText"/>
      </w:pPr>
      <w:r>
        <w:rPr>
          <w:rFonts w:ascii="IRNazanin" w:hAnsi="IRNazanin" w:eastAsia="IRNazanin" w:cs="IRNazanin"/>
          <w:lang w:bidi="fa-IR"/>
          <w:color w:val="111111"/>
          <w:sz w:val="28"/>
          <w:szCs w:val="28"/>
          <w:rtl/>
        </w:rPr>
        <w:t xml:space="preserve">مر بعنوان الأزری فی ص 69</w:t>
      </w:r>
    </w:p>
    <w:p>
      <w:pPr>
        <w:pStyle w:val="Heading3"/>
      </w:pPr>
      <w:bookmarkStart w:id="7888" w:name="_Toc6584"/>
      <w:r>
        <w:t>5955- دیوان کاظم أصفهانی أو شعره‏</w:t>
      </w:r>
      <w:bookmarkEnd w:id="7888"/>
    </w:p>
    <w:p>
      <w:pPr>
        <w:pStyle w:val="BookText"/>
      </w:pPr>
      <w:r>
        <w:rPr>
          <w:rFonts w:ascii="IRNazanin" w:hAnsi="IRNazanin" w:eastAsia="IRNazanin" w:cs="IRNazanin"/>
          <w:lang w:bidi="fa-IR"/>
          <w:color w:val="111111"/>
          <w:sz w:val="28"/>
          <w:szCs w:val="28"/>
          <w:rtl/>
        </w:rPr>
        <w:t xml:space="preserve">کان والده الحاج میرزا علی من تجار أصفهان و هو جاور مشهد خراسان و یتعیش بأجرة الکتابة أطرأه النصرآبادی فی (نر 5- ص 128) و أورد بعض شعره‏</w:t>
      </w:r>
    </w:p>
    <w:p>
      <w:pPr>
        <w:pStyle w:val="Heading3"/>
      </w:pPr>
      <w:bookmarkStart w:id="7889" w:name="_Toc6585"/>
      <w:r>
        <w:t>5956- دیوان کاظم بیدآبادی‏</w:t>
      </w:r>
      <w:bookmarkEnd w:id="7889"/>
    </w:p>
    <w:p>
      <w:pPr>
        <w:pStyle w:val="BookText"/>
      </w:pPr>
      <w:r>
        <w:rPr>
          <w:rFonts w:ascii="IRNazanin" w:hAnsi="IRNazanin" w:eastAsia="IRNazanin" w:cs="IRNazanin"/>
          <w:lang w:bidi="fa-IR"/>
          <w:color w:val="111111"/>
          <w:sz w:val="28"/>
          <w:szCs w:val="28"/>
          <w:rtl/>
        </w:rPr>
        <w:t xml:space="preserve">و هو ابن نصر الله البیدآبادی من محلات أصفهان و دیوانه فی ثلاثة آلاف بیت و له الأربعین و ذخیرة المحشر فی شرح الباب الحادی عشر غیر ما ذکر فی 10: 18 ترجمه و أورد شعره فی شعرای معاصر أصفهان- ص 384</w:t>
      </w:r>
    </w:p>
    <w:p>
      <w:pPr>
        <w:pStyle w:val="Heading3"/>
      </w:pPr>
      <w:bookmarkStart w:id="7890" w:name="_Toc6586"/>
      <w:r>
        <w:t>5957- دیوان کاظم تبریزی‏</w:t>
      </w:r>
      <w:bookmarkEnd w:id="7890"/>
    </w:p>
    <w:p>
      <w:pPr>
        <w:pStyle w:val="BookText"/>
      </w:pPr>
      <w:r>
        <w:rPr>
          <w:rFonts w:ascii="IRNazanin" w:hAnsi="IRNazanin" w:eastAsia="IRNazanin" w:cs="IRNazanin"/>
          <w:lang w:bidi="fa-IR"/>
          <w:color w:val="111111"/>
          <w:sz w:val="28"/>
          <w:szCs w:val="28"/>
          <w:rtl/>
        </w:rPr>
        <w:t xml:space="preserve">کان طبیبا عالما شاعرا له طب منظوم نظمه فی أواخر عصر نادر شاه و ترجمه فی (دجا- ص 311) نقلا عن ریاض الجنة للزنوزی‏</w:t>
      </w:r>
    </w:p>
    <w:p>
      <w:pPr>
        <w:pStyle w:val="Heading3"/>
      </w:pPr>
      <w:bookmarkStart w:id="7891" w:name="_Toc6587"/>
      <w:r>
        <w:t>5958- دیوان کاظم تبریزی أو شعره‏</w:t>
      </w:r>
      <w:bookmarkEnd w:id="7891"/>
    </w:p>
    <w:p>
      <w:pPr>
        <w:pStyle w:val="BookText"/>
      </w:pPr>
      <w:r>
        <w:rPr>
          <w:rFonts w:ascii="IRNazanin" w:hAnsi="IRNazanin" w:eastAsia="IRNazanin" w:cs="IRNazanin"/>
          <w:lang w:bidi="fa-IR"/>
          <w:color w:val="111111"/>
          <w:sz w:val="28"/>
          <w:szCs w:val="28"/>
          <w:rtl/>
        </w:rPr>
        <w:t xml:space="preserve">کان نزیل کاشان و معلم الأطفال بها و قاری روضة الشهداء فی أیام عاشوراء ترجمه النصرآبادی فی (نر 9- ص 371) و عنه فی همیشه بهار و (تش- ص 33)</w:t>
      </w:r>
    </w:p>
    <w:p>
      <w:pPr>
        <w:pStyle w:val="Heading3"/>
      </w:pPr>
      <w:bookmarkStart w:id="7892" w:name="_Toc6588"/>
      <w:r>
        <w:t>5959- دیوان کاظم تونی‏</w:t>
      </w:r>
      <w:bookmarkEnd w:id="7892"/>
    </w:p>
    <w:p>
      <w:pPr>
        <w:pStyle w:val="BookText"/>
      </w:pPr>
      <w:r>
        <w:rPr>
          <w:rFonts w:ascii="IRNazanin" w:hAnsi="IRNazanin" w:eastAsia="IRNazanin" w:cs="IRNazanin"/>
          <w:lang w:bidi="fa-IR"/>
          <w:color w:val="111111"/>
          <w:sz w:val="28"/>
          <w:szCs w:val="28"/>
          <w:rtl/>
        </w:rPr>
        <w:t xml:space="preserve">و هو الحکیم کاظما أطری قریحته فی (نر 9- ص 402) و قال هاجر إلی الهند و نظم غزوات سلطان جلال الدین منکبرنی ثم أورد منها أشعار</w:t>
      </w:r>
    </w:p>
    <w:p>
      <w:pPr>
        <w:pStyle w:val="Heading3"/>
      </w:pPr>
      <w:bookmarkStart w:id="7893" w:name="_Toc6589"/>
      <w:r>
        <w:t>5960- دیوان کاظم تویسرکانی أو شعره‏</w:t>
      </w:r>
      <w:bookmarkEnd w:id="7893"/>
    </w:p>
    <w:p>
      <w:pPr>
        <w:pStyle w:val="BookText"/>
      </w:pPr>
      <w:r>
        <w:rPr>
          <w:rFonts w:ascii="IRNazanin" w:hAnsi="IRNazanin" w:eastAsia="IRNazanin" w:cs="IRNazanin"/>
          <w:lang w:bidi="fa-IR"/>
          <w:color w:val="111111"/>
          <w:sz w:val="28"/>
          <w:szCs w:val="28"/>
          <w:rtl/>
        </w:rPr>
        <w:t xml:space="preserve">توجد له تذکره للشعراء ألفها 1287 فی مکتبة (المجلس) کما فی فهرسها (3: 160) و أورد ترجمته عن بیان محمود</w:t>
      </w:r>
    </w:p>
    <w:p>
      <w:pPr>
        <w:pStyle w:val="Heading3"/>
      </w:pPr>
      <w:bookmarkStart w:id="7894" w:name="_Toc6590"/>
      <w:r>
        <w:t>5961- دیوان محمد کاظم رشتی‏</w:t>
      </w:r>
      <w:bookmarkEnd w:id="7894"/>
    </w:p>
    <w:p>
      <w:pPr>
        <w:pStyle w:val="BookText"/>
      </w:pPr>
      <w:r>
        <w:rPr>
          <w:rFonts w:ascii="IRNazanin" w:hAnsi="IRNazanin" w:eastAsia="IRNazanin" w:cs="IRNazanin"/>
          <w:lang w:bidi="fa-IR"/>
          <w:color w:val="111111"/>
          <w:sz w:val="28"/>
          <w:szCs w:val="28"/>
          <w:rtl/>
        </w:rPr>
        <w:t xml:space="preserve">هو ابن الحاج الشیخ حسین اللاکانی الرشتی النجفی المعاصر موجود عند الناظم فی النجف‏</w:t>
      </w:r>
    </w:p>
    <w:p>
      <w:pPr>
        <w:pStyle w:val="Heading3"/>
      </w:pPr>
      <w:bookmarkStart w:id="7895" w:name="_Toc6591"/>
      <w:r>
        <w:t>5962- دیوان کاظم رجوی‏</w:t>
      </w:r>
      <w:bookmarkEnd w:id="7895"/>
    </w:p>
    <w:p>
      <w:pPr>
        <w:pStyle w:val="BookText"/>
      </w:pPr>
      <w:r>
        <w:rPr>
          <w:rFonts w:ascii="IRNazanin" w:hAnsi="IRNazanin" w:eastAsia="IRNazanin" w:cs="IRNazanin"/>
          <w:lang w:bidi="fa-IR"/>
          <w:color w:val="111111"/>
          <w:sz w:val="28"/>
          <w:szCs w:val="28"/>
          <w:rtl/>
        </w:rPr>
        <w:t xml:space="preserve">مر فی ص 356 و طبع له مثنوی پیروزی‏نامه فی 1373 فی 86 ص بمناسبة مرور الألف عام علی ابن سینا
</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bookmarkStart w:id="891" w:name="pg11704_122377"/>
    <w:bookmarkEnd w:id="891"/>
    <w:p>
      <w:pPr>
        <w:pStyle w:val="Heading3"/>
      </w:pPr>
      <w:bookmarkStart w:id="7896" w:name="_Toc6592"/>
      <w:r>
        <w:t>5963- دیوان کاظم ساوجی أو شعره‏</w:t>
      </w:r>
      <w:bookmarkEnd w:id="7896"/>
    </w:p>
    <w:p>
      <w:pPr>
        <w:pStyle w:val="BookText"/>
      </w:pPr>
      <w:r>
        <w:rPr>
          <w:rFonts w:ascii="IRNazanin" w:hAnsi="IRNazanin" w:eastAsia="IRNazanin" w:cs="IRNazanin"/>
          <w:lang w:bidi="fa-IR"/>
          <w:color w:val="111111"/>
          <w:sz w:val="28"/>
          <w:szCs w:val="28"/>
          <w:rtl/>
        </w:rPr>
        <w:t xml:space="preserve">کان من تجار البلدة فسافر إلی الهند و رجع و توفی بها ترجمه و أورد شعره النصرآبادی فی (نر 9- 399) و همیشه بهار</w:t>
      </w:r>
    </w:p>
    <w:p>
      <w:pPr>
        <w:pStyle w:val="Heading3"/>
      </w:pPr>
      <w:bookmarkStart w:id="7897" w:name="_Toc6593"/>
      <w:r>
        <w:t>دیوان الشیخ کاظم السبتی‏</w:t>
      </w:r>
      <w:bookmarkEnd w:id="7897"/>
    </w:p>
    <w:p>
      <w:pPr>
        <w:pStyle w:val="BookText"/>
      </w:pPr>
      <w:r>
        <w:rPr>
          <w:rFonts w:ascii="IRNazanin" w:hAnsi="IRNazanin" w:eastAsia="IRNazanin" w:cs="IRNazanin"/>
          <w:lang w:bidi="fa-IR"/>
          <w:color w:val="111111"/>
          <w:sz w:val="28"/>
          <w:szCs w:val="28"/>
          <w:rtl/>
        </w:rPr>
        <w:t xml:space="preserve">و هو الخطیب أبو محمد، کاظم ابن أبی علی الحسن بن أبی الحسن علی سبتی السهلانی الحمیری ولد فی النجف 1258 و توفی والده و هو صغیر فربته أمه حتی ترعرع و اتصل بأهل العلم و درس علی الفقهاء مثل الشیخ محمد حسین الکاظمی و المولی لطف الله اللاریجانی و غیرهما، فصار أکبر خطیب فی النجف، و طلبه أهل بغداد فأجابهم فی 1308 و أقام بها مدة فطلب علماء النجف عوده إلیها فعاد إلی مسقط رأسه فی 1315 مقیما بها إلی أن توفی لیلة الجمعة آخر ربیع الأول 1342</w:t>
      </w:r>
    </w:p>
    <w:p>
      <w:pPr>
        <w:pStyle w:val="BookText"/>
      </w:pPr>
      <w:r>
        <w:rPr>
          <w:rFonts w:ascii="IRNazanin" w:hAnsi="IRNazanin" w:eastAsia="IRNazanin" w:cs="IRNazanin"/>
          <w:lang w:bidi="fa-IR"/>
          <w:color w:val="111111"/>
          <w:sz w:val="28"/>
          <w:szCs w:val="28"/>
          <w:rtl/>
        </w:rPr>
        <w:t xml:space="preserve">و دیوانه مرتب علی الحروف فی ستة آلاف بیت فی مدیح المعصومین و رثائهم و رثاء العلماء المعاصرین له مثل السید مهدی القزوینی و المیرزا الرشتی، و المیرزا الشیرازی یوجد بخط ولده الأکبر الشیخ محمد عند ولده الشاعر الخطیب الشیخ حسن سبتی المتوفی أواسط ربیع الثانی 1373 فی النجف و مر فی ص 427- 428</w:t>
      </w:r>
    </w:p>
    <w:p>
      <w:pPr>
        <w:pStyle w:val="Heading3"/>
      </w:pPr>
      <w:bookmarkStart w:id="7898" w:name="_Toc6594"/>
      <w:r>
        <w:t>5964- دیوان الشیخ کاظم السودانی‏</w:t>
      </w:r>
      <w:bookmarkEnd w:id="7898"/>
    </w:p>
    <w:p>
      <w:pPr>
        <w:pStyle w:val="BookText"/>
      </w:pPr>
      <w:r>
        <w:rPr>
          <w:rFonts w:ascii="IRNazanin" w:hAnsi="IRNazanin" w:eastAsia="IRNazanin" w:cs="IRNazanin"/>
          <w:lang w:bidi="fa-IR"/>
          <w:color w:val="111111"/>
          <w:sz w:val="28"/>
          <w:szCs w:val="28"/>
          <w:rtl/>
        </w:rPr>
        <w:t xml:space="preserve">و هو ابن الشیخ طاهر السودانی- و هم فی النجف فخذ من کندة- ولد 1305 و یشتمل علی المراثی و الغزلیات و التواریخ و غیرها من أنواع الشعر یقرب من خمسة عشر ألف بیت و له القصیدة الحیدریة المطبوعة منفردة، و هی فی مدح الأمیر، و لولده الأدیب الشیخ محمد الجواد النفثات‏</w:t>
      </w:r>
    </w:p>
    <w:p>
      <w:pPr>
        <w:pStyle w:val="Heading3"/>
      </w:pPr>
      <w:bookmarkStart w:id="7899" w:name="_Toc6595"/>
      <w:r>
        <w:t>5965- دیوان کاظما فارسی أو شعره‏</w:t>
      </w:r>
      <w:bookmarkEnd w:id="7899"/>
    </w:p>
    <w:p>
      <w:pPr>
        <w:pStyle w:val="BookText"/>
      </w:pPr>
      <w:r>
        <w:rPr>
          <w:rFonts w:ascii="IRNazanin" w:hAnsi="IRNazanin" w:eastAsia="IRNazanin" w:cs="IRNazanin"/>
          <w:lang w:bidi="fa-IR"/>
          <w:color w:val="111111"/>
          <w:sz w:val="28"/>
          <w:szCs w:val="28"/>
          <w:rtl/>
        </w:rPr>
        <w:t xml:space="preserve">کان من أهل مشهد النبی بفارس ترجمه فی (نر 5- 123) و أورد شعره‏</w:t>
      </w:r>
    </w:p>
    <w:p>
      <w:pPr>
        <w:pStyle w:val="Heading3"/>
      </w:pPr>
      <w:bookmarkStart w:id="7900" w:name="_Toc6596"/>
      <w:r>
        <w:t>5966- دیوان محمد کاظم قمی أو شعره‏</w:t>
      </w:r>
      <w:bookmarkEnd w:id="7900"/>
    </w:p>
    <w:p>
      <w:pPr>
        <w:pStyle w:val="BookText"/>
      </w:pPr>
      <w:r>
        <w:rPr>
          <w:rFonts w:ascii="IRNazanin" w:hAnsi="IRNazanin" w:eastAsia="IRNazanin" w:cs="IRNazanin"/>
          <w:lang w:bidi="fa-IR"/>
          <w:color w:val="111111"/>
          <w:sz w:val="28"/>
          <w:szCs w:val="28"/>
          <w:rtl/>
        </w:rPr>
        <w:t xml:space="preserve">و هو محمد صادق من تلامیذ القاضی محمد سعید القمی ترجمه النصرآبادی فی (نر 9- ص 363) و (تش- ص 234) و أورد شعره، و عنه فی علماء گیلان و قم- ص 137</w:t>
      </w:r>
    </w:p>
    <w:p>
      <w:pPr>
        <w:pStyle w:val="Heading3"/>
      </w:pPr>
      <w:bookmarkStart w:id="7901" w:name="_Toc6597"/>
      <w:r>
        <w:t>5967- دیوان کاظم کاشی‏</w:t>
      </w:r>
      <w:bookmarkEnd w:id="7901"/>
    </w:p>
    <w:p>
      <w:pPr>
        <w:pStyle w:val="BookText"/>
      </w:pPr>
      <w:r>
        <w:rPr>
          <w:rFonts w:ascii="IRNazanin" w:hAnsi="IRNazanin" w:eastAsia="IRNazanin" w:cs="IRNazanin"/>
          <w:lang w:bidi="fa-IR"/>
          <w:color w:val="111111"/>
          <w:sz w:val="28"/>
          <w:szCs w:val="28"/>
          <w:rtl/>
        </w:rPr>
        <w:t xml:space="preserve">و اسمه محمد کاظم بن محمد صادق (1205- 1373) مر أرجوزاته فی المجلد الأول و له السوانح العمری المذکور فی 12: 254</w:t>
      </w:r>
    </w:p>
    <w:p>
      <w:pPr>
        <w:pStyle w:val="Heading3"/>
      </w:pPr>
      <w:bookmarkStart w:id="7902" w:name="_Toc6598"/>
      <w:r>
        <w:t>5968- دیوان میرزا کاظم کاشی أو شعره‏</w:t>
      </w:r>
      <w:bookmarkEnd w:id="7902"/>
    </w:p>
    <w:p>
      <w:pPr>
        <w:pStyle w:val="BookText"/>
      </w:pPr>
      <w:r>
        <w:rPr>
          <w:rFonts w:ascii="IRNazanin" w:hAnsi="IRNazanin" w:eastAsia="IRNazanin" w:cs="IRNazanin"/>
          <w:lang w:bidi="fa-IR"/>
          <w:color w:val="111111"/>
          <w:sz w:val="28"/>
          <w:szCs w:val="28"/>
          <w:rtl/>
        </w:rPr>
        <w:t xml:space="preserve">هو ابن المیرزا مینا هاجر إلی الهند و صار واقعه نویس للسلطان اورنگ زیب ترجمه النصرآبادی فی (نر 5- ص 132) و أورد شعره،
</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bookmarkStart w:id="892" w:name="pg11704_122378"/>
    <w:bookmarkEnd w:id="892"/>
    <w:p>
      <w:pPr>
        <w:pStyle w:val="BookText"/>
      </w:pPr>
      <w:r>
        <w:rPr>
          <w:rFonts w:ascii="IRNazanin" w:hAnsi="IRNazanin" w:eastAsia="IRNazanin" w:cs="IRNazanin"/>
          <w:lang w:bidi="fa-IR"/>
          <w:color w:val="111111"/>
          <w:sz w:val="28"/>
          <w:szCs w:val="28"/>
          <w:rtl/>
        </w:rPr>
        <w:t xml:space="preserve">و کذا فی (همیشه بهار) و قال فی (گلشن- ص 336) إنه کتب تاریخ عهد اورنگ و لکن لم یقبله عالمگیر شاه لطول کلامه‏</w:t>
      </w:r>
    </w:p>
    <w:p>
      <w:pPr>
        <w:pStyle w:val="Heading3"/>
      </w:pPr>
      <w:bookmarkStart w:id="7903" w:name="_Toc6599"/>
      <w:r>
        <w:t>دیوان کاظم الکفائی‏</w:t>
      </w:r>
      <w:bookmarkEnd w:id="7903"/>
    </w:p>
    <w:p>
      <w:pPr>
        <w:pStyle w:val="BookText"/>
      </w:pPr>
      <w:r>
        <w:rPr>
          <w:rFonts w:ascii="IRNazanin" w:hAnsi="IRNazanin" w:eastAsia="IRNazanin" w:cs="IRNazanin"/>
          <w:lang w:bidi="fa-IR"/>
          <w:color w:val="111111"/>
          <w:sz w:val="28"/>
          <w:szCs w:val="28"/>
          <w:rtl/>
        </w:rPr>
        <w:t xml:space="preserve">یأتی بعنوان دیوان الکفائی‏</w:t>
      </w:r>
    </w:p>
    <w:p>
      <w:pPr>
        <w:pStyle w:val="Heading3"/>
      </w:pPr>
      <w:bookmarkStart w:id="7904" w:name="_Toc6600"/>
      <w:r>
        <w:t>5969- دیوان الشیخ کاظم الکواز</w:t>
      </w:r>
      <w:bookmarkEnd w:id="7904"/>
    </w:p>
    <w:p>
      <w:pPr>
        <w:pStyle w:val="BookText"/>
      </w:pPr>
      <w:r>
        <w:rPr>
          <w:rFonts w:ascii="IRNazanin" w:hAnsi="IRNazanin" w:eastAsia="IRNazanin" w:cs="IRNazanin"/>
          <w:lang w:bidi="fa-IR"/>
          <w:color w:val="111111"/>
          <w:sz w:val="28"/>
          <w:szCs w:val="28"/>
          <w:rtl/>
        </w:rPr>
        <w:t xml:space="preserve">ابن الشیخ سلمان بن الشیخ صالح بن حمزة الکواز الشمری الحلی الکاظمی مرتب علی حروف القافیة، یبلغ أحد عشر ألف بیت‏</w:t>
      </w:r>
    </w:p>
    <w:p>
      <w:pPr>
        <w:pStyle w:val="Heading3"/>
      </w:pPr>
      <w:bookmarkStart w:id="7905" w:name="_Toc6601"/>
      <w:r>
        <w:t>5970- دیوان کاظم نصرآبادی أو شعره‏</w:t>
      </w:r>
      <w:bookmarkEnd w:id="7905"/>
    </w:p>
    <w:p>
      <w:pPr>
        <w:pStyle w:val="BookText"/>
      </w:pPr>
      <w:r>
        <w:rPr>
          <w:rFonts w:ascii="IRNazanin" w:hAnsi="IRNazanin" w:eastAsia="IRNazanin" w:cs="IRNazanin"/>
          <w:lang w:bidi="fa-IR"/>
          <w:color w:val="111111"/>
          <w:sz w:val="28"/>
          <w:szCs w:val="28"/>
          <w:rtl/>
        </w:rPr>
        <w:t xml:space="preserve">أطرأه معاصره النصرآبادی فی (نر 9- ص 299) و أورد غزله و رباعیه‏</w:t>
      </w:r>
    </w:p>
    <w:p>
      <w:pPr>
        <w:pStyle w:val="Heading3"/>
      </w:pPr>
      <w:bookmarkStart w:id="7906" w:name="_Toc6602"/>
      <w:r>
        <w:t>5971- دیوان الکاظمی‏</w:t>
      </w:r>
      <w:bookmarkEnd w:id="7906"/>
    </w:p>
    <w:p>
      <w:pPr>
        <w:pStyle w:val="BookText"/>
      </w:pPr>
      <w:r>
        <w:rPr>
          <w:rFonts w:ascii="IRNazanin" w:hAnsi="IRNazanin" w:eastAsia="IRNazanin" w:cs="IRNazanin"/>
          <w:lang w:bidi="fa-IR"/>
          <w:color w:val="111111"/>
          <w:sz w:val="28"/>
          <w:szCs w:val="28"/>
          <w:rtl/>
        </w:rPr>
        <w:t xml:space="preserve">شاعر العرب و هو الشیخ عبد المحسن بن الحاج محمد بن علی الکاظمی نزیل مصر ولد منتصف شعبان 1289 بالکاظمیة و توفی 1354 بالقاهرة أرخه البازی فی رثائه [فقدی محسن الکاظمی‏] طبع نصفه فی مجلدین بمباشرة صهره حکمة الچادرچی البغدادی، طبع الأول 1939 م و طبع الثانی 1947 م و الباقی مخطوط و کتب الفاضل عبد الرحیم بن محمد علی التبریزی النجفی المدرس بمنتدی النشر فی النجف کتابة الموسوم شاعر العرب فی ترجمه أحوال الناظم و تواریخه و تصویره و نسبه و بعض ما اختاره من شعره فی 1374 و طبع بتلک السنة فی 112 ص و ترجمه فی الأدب الجدید العصری- ص 56 و غیرها و طبع له المعلقات ببغداد فی 1924 م فی 56 ص و طبع الدکتور حسین علی محفوظ العراقیات للکاظمی ببغداد 1960 م فی 80 ص‏</w:t>
      </w:r>
    </w:p>
    <w:p>
      <w:pPr>
        <w:pStyle w:val="Heading3"/>
      </w:pPr>
      <w:bookmarkStart w:id="7907" w:name="_Toc6603"/>
      <w:r>
        <w:t>5972- دیوان کاظمی هروی‏</w:t>
      </w:r>
      <w:bookmarkEnd w:id="7907"/>
    </w:p>
    <w:p>
      <w:pPr>
        <w:pStyle w:val="BookText"/>
      </w:pPr>
      <w:r>
        <w:rPr>
          <w:rFonts w:ascii="IRNazanin" w:hAnsi="IRNazanin" w:eastAsia="IRNazanin" w:cs="IRNazanin"/>
          <w:lang w:bidi="fa-IR"/>
          <w:color w:val="111111"/>
          <w:sz w:val="28"/>
          <w:szCs w:val="28"/>
          <w:rtl/>
        </w:rPr>
        <w:t xml:space="preserve">الذی کان تخلصه لحسن خلقه و کظم غیظه کما ترجمه فی (مجن 2 ص 37 و ص 211) و ذکر أنه بعث سفیرا إلی الهند و لما رجع توقف فی شیراز و بها توفی و کانت قصائده نظیر قصائد بابا سودایی‏</w:t>
      </w:r>
    </w:p>
    <w:p>
      <w:pPr>
        <w:pStyle w:val="Heading3"/>
      </w:pPr>
      <w:bookmarkStart w:id="7908" w:name="_Toc6604"/>
      <w:r>
        <w:t>5973- دیوان کافر</w:t>
      </w:r>
      <w:bookmarkEnd w:id="7908"/>
    </w:p>
    <w:p>
      <w:pPr>
        <w:pStyle w:val="BookText"/>
      </w:pPr>
      <w:r>
        <w:rPr>
          <w:rFonts w:ascii="IRNazanin" w:hAnsi="IRNazanin" w:eastAsia="IRNazanin" w:cs="IRNazanin"/>
          <w:lang w:bidi="fa-IR"/>
          <w:color w:val="111111"/>
          <w:sz w:val="28"/>
          <w:szCs w:val="28"/>
          <w:rtl/>
        </w:rPr>
        <w:t xml:space="preserve">سماه ناظمه هادی المضل کما یأتی فی حرف الهاء رأیته فی کتب الحاج الشیخ محمد الکجوری (سلطان المتکلمین) بطهران‏</w:t>
      </w:r>
    </w:p>
    <w:p>
      <w:pPr>
        <w:pStyle w:val="Heading3"/>
      </w:pPr>
      <w:bookmarkStart w:id="7909" w:name="_Toc6605"/>
      <w:r>
        <w:t>5974- دیوان کافرک غزنوی أو شعره‏</w:t>
      </w:r>
      <w:bookmarkEnd w:id="7909"/>
    </w:p>
    <w:p>
      <w:pPr>
        <w:pStyle w:val="BookText"/>
      </w:pPr>
      <w:r>
        <w:rPr>
          <w:rFonts w:ascii="IRNazanin" w:hAnsi="IRNazanin" w:eastAsia="IRNazanin" w:cs="IRNazanin"/>
          <w:lang w:bidi="fa-IR"/>
          <w:color w:val="111111"/>
          <w:sz w:val="28"/>
          <w:szCs w:val="28"/>
          <w:rtl/>
        </w:rPr>
        <w:t xml:space="preserve">و هو جمال الدین ناصر من قدماء الشعراء کثیر الهجاء ترجمه فی (مع: ج 1 ص 485) و أورد شعره و فی (تش- ص 13) و قال سنگلاخ فی (امتحان 1: 319) رأیت أشعار الحکیم کافرک بخط عبد الرزاق ابن أخت المیر عماد
</w:t>
      </w:r>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bookmarkStart w:id="893" w:name="pg11704_122379"/>
    <w:bookmarkEnd w:id="893"/>
    <w:p>
      <w:pPr>
        <w:pStyle w:val="Heading3"/>
      </w:pPr>
      <w:bookmarkStart w:id="7910" w:name="_Toc6606"/>
      <w:r>
        <w:t>5975- دیوان میرزا کافی أردبیلی‏</w:t>
      </w:r>
      <w:bookmarkEnd w:id="7910"/>
    </w:p>
    <w:p>
      <w:pPr>
        <w:pStyle w:val="BookText"/>
      </w:pPr>
      <w:r>
        <w:rPr>
          <w:rFonts w:ascii="IRNazanin" w:hAnsi="IRNazanin" w:eastAsia="IRNazanin" w:cs="IRNazanin"/>
          <w:lang w:bidi="fa-IR"/>
          <w:color w:val="111111"/>
          <w:sz w:val="28"/>
          <w:szCs w:val="28"/>
          <w:rtl/>
        </w:rPr>
        <w:t xml:space="preserve">و هو المیرزا محمد علی الخلخالی الأصل الأردبیلی المسکن ترجمه النصرآبادی فی (نر 5- ص 143) قال و له شعر کثیر و أورد بعضه و فی (دجا- ص 312) ترجم المیرزا کافی الآذربایجانی القاضی هو و آباؤه بها، و هو من أحفاد الخواجة نصیر الدین، و فوض إلیه منصب الإنشاء و توفی بقزوین 969 و حمل إلی مشهد خراسان و ذلک نقلا عن گلستان هنر ثم أورد بعض أشعاره الذی أورده النصرآبادی و ترجمه سام میرزا فی (تس 4- ص 70) بعنوان المیرزا کافی الأردوبادی منشی صاحب‏قران، و أورد شعره المذکور، و کذا فی (گلشن 337)</w:t>
      </w:r>
    </w:p>
    <w:p>
      <w:pPr>
        <w:pStyle w:val="Heading3"/>
      </w:pPr>
      <w:bookmarkStart w:id="7911" w:name="_Toc6607"/>
      <w:r>
        <w:t>دیوان کافی أردوبادی‏</w:t>
      </w:r>
      <w:bookmarkEnd w:id="7911"/>
    </w:p>
    <w:p>
      <w:pPr>
        <w:pStyle w:val="BookText"/>
      </w:pPr>
      <w:r>
        <w:rPr>
          <w:rFonts w:ascii="IRNazanin" w:hAnsi="IRNazanin" w:eastAsia="IRNazanin" w:cs="IRNazanin"/>
          <w:lang w:bidi="fa-IR"/>
          <w:color w:val="111111"/>
          <w:sz w:val="28"/>
          <w:szCs w:val="28"/>
          <w:rtl/>
        </w:rPr>
        <w:t xml:space="preserve">راجع کافی أردبیلی‏</w:t>
      </w:r>
    </w:p>
    <w:p>
      <w:pPr>
        <w:pStyle w:val="Heading3"/>
      </w:pPr>
      <w:bookmarkStart w:id="7912" w:name="_Toc6608"/>
      <w:r>
        <w:t>دیوان کافی أصفهانی‏</w:t>
      </w:r>
      <w:bookmarkEnd w:id="7912"/>
    </w:p>
    <w:p>
      <w:pPr>
        <w:pStyle w:val="BookText"/>
      </w:pPr>
      <w:r>
        <w:rPr>
          <w:rFonts w:ascii="IRNazanin" w:hAnsi="IRNazanin" w:eastAsia="IRNazanin" w:cs="IRNazanin"/>
          <w:lang w:bidi="fa-IR"/>
          <w:color w:val="111111"/>
          <w:sz w:val="28"/>
          <w:szCs w:val="28"/>
          <w:rtl/>
        </w:rPr>
        <w:t xml:space="preserve">راجع کافی جوشقانی‏</w:t>
      </w:r>
    </w:p>
    <w:p>
      <w:pPr>
        <w:pStyle w:val="Heading3"/>
      </w:pPr>
      <w:bookmarkStart w:id="7913" w:name="_Toc6609"/>
      <w:r>
        <w:t>5976- دیوان کافی بخاری أو شعره‏</w:t>
      </w:r>
      <w:bookmarkEnd w:id="7913"/>
    </w:p>
    <w:p>
      <w:pPr>
        <w:pStyle w:val="BookText"/>
      </w:pPr>
      <w:r>
        <w:rPr>
          <w:rFonts w:ascii="IRNazanin" w:hAnsi="IRNazanin" w:eastAsia="IRNazanin" w:cs="IRNazanin"/>
          <w:lang w:bidi="fa-IR"/>
          <w:color w:val="111111"/>
          <w:sz w:val="28"/>
          <w:szCs w:val="28"/>
          <w:rtl/>
        </w:rPr>
        <w:t xml:space="preserve">و هو الحکیم سعد الدین معاصر السلطان طغرل و المشاعر مع لطیف الدین زکی المراغی ترجمه فی (مع- ج 1 ص 481) و أورد نیفا و ثلاثین بیتا من شعره‏</w:t>
      </w:r>
    </w:p>
    <w:p>
      <w:pPr>
        <w:pStyle w:val="Heading3"/>
      </w:pPr>
      <w:bookmarkStart w:id="7914" w:name="_Toc6610"/>
      <w:r>
        <w:t>5977- دیوان کافی جوشقانی أو شعره‏</w:t>
      </w:r>
      <w:bookmarkEnd w:id="7914"/>
    </w:p>
    <w:p>
      <w:pPr>
        <w:pStyle w:val="BookText"/>
      </w:pPr>
      <w:r>
        <w:rPr>
          <w:rFonts w:ascii="IRNazanin" w:hAnsi="IRNazanin" w:eastAsia="IRNazanin" w:cs="IRNazanin"/>
          <w:lang w:bidi="fa-IR"/>
          <w:color w:val="111111"/>
          <w:sz w:val="28"/>
          <w:szCs w:val="28"/>
          <w:rtl/>
        </w:rPr>
        <w:t xml:space="preserve">و هو من أعمال کاشان و اسمه المیرزا رحیم بن الخواجة شعیب ناظم وامق و عذراء ترجمه النصرآبادی فی (نر 4 و 15- ص 94 و 539) و ذکر أنه توفی شابا و أورد شعره و سماه فی (گلشن- 174) رحیم أصفهانی‏</w:t>
      </w:r>
    </w:p>
    <w:p>
      <w:pPr>
        <w:pStyle w:val="Heading3"/>
      </w:pPr>
      <w:bookmarkStart w:id="7915" w:name="_Toc6611"/>
      <w:r>
        <w:t>5978- دیوان کافی قاینی‏</w:t>
      </w:r>
      <w:bookmarkEnd w:id="7915"/>
    </w:p>
    <w:p>
      <w:pPr>
        <w:pStyle w:val="BookText"/>
      </w:pPr>
      <w:r>
        <w:rPr>
          <w:rFonts w:ascii="IRNazanin" w:hAnsi="IRNazanin" w:eastAsia="IRNazanin" w:cs="IRNazanin"/>
          <w:lang w:bidi="fa-IR"/>
          <w:color w:val="111111"/>
          <w:sz w:val="28"/>
          <w:szCs w:val="28"/>
          <w:rtl/>
        </w:rPr>
        <w:t xml:space="preserve">و هو أبو جعفر کافی بن محتشم بن عمید بن محمد بن شاهنشاه القائنی صاحب الموسوعة الفلسفیة الذی ألفه فی 1029 توجد فی مکتبة جامعة طهران کما فی فهرسها 8: 328 و له منظومة خردنامه یتخلص فیها باسمه کافی جاء بعضها فی گنجینه گران‏مایه أو الدستور الموجود بجامعة طهران أیضا برقم 2144 أوله‏</w:t>
      </w:r>
    </w:p>
    <w:p>
      <w:pPr>
        <w:pStyle w:val="BookText"/>
      </w:pPr>
      <w:r>
        <w:rPr>
          <w:rFonts w:ascii="IRNazanin" w:hAnsi="IRNazanin" w:eastAsia="IRNazanin" w:cs="IRNazanin"/>
          <w:lang w:bidi="fa-IR"/>
          <w:color w:val="111111"/>
          <w:sz w:val="28"/>
          <w:szCs w:val="28"/>
          <w:rtl/>
        </w:rPr>
        <w:t xml:space="preserve">یکی پرسید از یثرب ز صادق‏</w:t>
      </w:r>
    </w:p>
    <w:p>
      <w:pPr>
        <w:pStyle w:val="BookText"/>
      </w:pPr>
      <w:r>
        <w:rPr>
          <w:rFonts w:ascii="IRNazanin" w:hAnsi="IRNazanin" w:eastAsia="IRNazanin" w:cs="IRNazanin"/>
          <w:lang w:bidi="fa-IR"/>
          <w:color w:val="111111"/>
          <w:sz w:val="28"/>
          <w:szCs w:val="28"/>
          <w:rtl/>
        </w:rPr>
        <w:t xml:space="preserve">که ای ذات تو چون قرآن ناطق‏</w:t>
      </w:r>
    </w:p>
    <w:p>
      <w:pPr>
        <w:pStyle w:val="Heading3"/>
      </w:pPr>
      <w:bookmarkStart w:id="7916" w:name="_Toc6612"/>
      <w:r>
        <w:t>5979- دیوان کافی همدانی أو شعره‏</w:t>
      </w:r>
      <w:bookmarkEnd w:id="7916"/>
    </w:p>
    <w:p>
      <w:pPr>
        <w:pStyle w:val="BookText"/>
      </w:pPr>
      <w:r>
        <w:rPr>
          <w:rFonts w:ascii="IRNazanin" w:hAnsi="IRNazanin" w:eastAsia="IRNazanin" w:cs="IRNazanin"/>
          <w:lang w:bidi="fa-IR"/>
          <w:color w:val="111111"/>
          <w:sz w:val="28"/>
          <w:szCs w:val="28"/>
          <w:rtl/>
        </w:rPr>
        <w:t xml:space="preserve">الملقب مظفر الدین و المعاصر للسلطان ملک شاه السلجوقی ترجمه فی (مع: ج 1 ص 480) و أورد نیفا و أربعین بیتا من شعره و قال فی کتاب النقض- ص 252 إن فی دیوانه مناقب کثیرة للأئمة و سماه کافی ظفر</w:t>
      </w:r>
    </w:p>
    <w:p>
      <w:pPr>
        <w:pStyle w:val="Heading3"/>
      </w:pPr>
      <w:bookmarkStart w:id="7917" w:name="_Toc6613"/>
      <w:r>
        <w:t>5980- دیوان کافی هروی أو شعره‏</w:t>
      </w:r>
      <w:bookmarkEnd w:id="7917"/>
    </w:p>
    <w:p>
      <w:pPr>
        <w:pStyle w:val="BookText"/>
      </w:pPr>
      <w:r>
        <w:rPr>
          <w:rFonts w:ascii="IRNazanin" w:hAnsi="IRNazanin" w:eastAsia="IRNazanin" w:cs="IRNazanin"/>
          <w:lang w:bidi="fa-IR"/>
          <w:color w:val="111111"/>
          <w:sz w:val="28"/>
          <w:szCs w:val="28"/>
          <w:rtl/>
        </w:rPr>
        <w:t xml:space="preserve">و هو الشهید المدفون بهرات 932 ترجمه سام میرزا فی (تس 4- ص 71) و ذکر جملة من أشعاره، منها الرباعیة البدیهیة التی أنشأها
</w:t>
      </w: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bookmarkStart w:id="894" w:name="pg11704_122380"/>
    <w:bookmarkEnd w:id="894"/>
    <w:p>
      <w:pPr>
        <w:pStyle w:val="BookText"/>
      </w:pPr>
      <w:r>
        <w:rPr>
          <w:rFonts w:ascii="IRNazanin" w:hAnsi="IRNazanin" w:eastAsia="IRNazanin" w:cs="IRNazanin"/>
          <w:lang w:bidi="fa-IR"/>
          <w:color w:val="111111"/>
          <w:sz w:val="28"/>
          <w:szCs w:val="28"/>
          <w:rtl/>
        </w:rPr>
        <w:t xml:space="preserve">عند سام میرزا فی البستان النزهة الموسوم بباغ مراد فی هرات و ذکره فی (مطلع 2: 447) أیضا</w:t>
      </w:r>
    </w:p>
    <w:p>
      <w:pPr>
        <w:pStyle w:val="Heading3"/>
      </w:pPr>
      <w:bookmarkStart w:id="7918" w:name="_Toc6614"/>
      <w:r>
        <w:t>5981- دیوان کاکای قزوینی أو شعره‏</w:t>
      </w:r>
      <w:bookmarkEnd w:id="7918"/>
    </w:p>
    <w:p>
      <w:pPr>
        <w:pStyle w:val="BookText"/>
      </w:pPr>
      <w:r>
        <w:rPr>
          <w:rFonts w:ascii="IRNazanin" w:hAnsi="IRNazanin" w:eastAsia="IRNazanin" w:cs="IRNazanin"/>
          <w:lang w:bidi="fa-IR"/>
          <w:color w:val="111111"/>
          <w:sz w:val="28"/>
          <w:szCs w:val="28"/>
          <w:rtl/>
        </w:rPr>
        <w:t xml:space="preserve">ترجمه الصادقی فی (خص 8- ص 198) و أورد المشهور من شعره، و کذا فی (حسینی- ص 282) و (همیشه بهار) و المستر براون فی (4: 88) و قال فی (تش- ص 227) إنه کان فی الظاهر من الأوباش و لم یعلم هل أن لفظة کاکا اسمه أو تخلصه أقول: و کاکا بمعنی الأخ، لقب لعدة من الصوفیة کما فی النفحات‏</w:t>
      </w:r>
    </w:p>
    <w:p>
      <w:pPr>
        <w:pStyle w:val="Heading3"/>
      </w:pPr>
      <w:bookmarkStart w:id="7919" w:name="_Toc6615"/>
      <w:r>
        <w:t>دیوان کاکی‏</w:t>
      </w:r>
      <w:bookmarkEnd w:id="7919"/>
    </w:p>
    <w:p>
      <w:pPr>
        <w:pStyle w:val="BookText"/>
      </w:pPr>
      <w:r>
        <w:rPr>
          <w:rFonts w:ascii="IRNazanin" w:hAnsi="IRNazanin" w:eastAsia="IRNazanin" w:cs="IRNazanin"/>
          <w:lang w:bidi="fa-IR"/>
          <w:color w:val="111111"/>
          <w:sz w:val="28"/>
          <w:szCs w:val="28"/>
          <w:rtl/>
        </w:rPr>
        <w:t xml:space="preserve">راجع قطب الدین بختیار کاکی‏</w:t>
      </w:r>
    </w:p>
    <w:p>
      <w:pPr>
        <w:pStyle w:val="Heading3"/>
      </w:pPr>
      <w:bookmarkStart w:id="7920" w:name="_Toc6616"/>
      <w:r>
        <w:t>5982- دیوان کامران بیک أو شعره‏</w:t>
      </w:r>
      <w:bookmarkEnd w:id="7920"/>
    </w:p>
    <w:p>
      <w:pPr>
        <w:pStyle w:val="BookText"/>
      </w:pPr>
      <w:r>
        <w:rPr>
          <w:rFonts w:ascii="IRNazanin" w:hAnsi="IRNazanin" w:eastAsia="IRNazanin" w:cs="IRNazanin"/>
          <w:lang w:bidi="fa-IR"/>
          <w:color w:val="111111"/>
          <w:sz w:val="28"/>
          <w:szCs w:val="28"/>
          <w:rtl/>
        </w:rPr>
        <w:t xml:space="preserve">کان قورچیا ترجمه النصرآبادی فی (نر 2- ص 52) و قال إنه کان ملازم مرتضی قلی خان (شاملو) و توفی أوائل جلوس الشاه سلیمان، و أورد بعض شعره، و کذا فی (مسرت- 530) و (روشن- ص 568)</w:t>
      </w:r>
    </w:p>
    <w:p>
      <w:pPr>
        <w:pStyle w:val="Heading3"/>
      </w:pPr>
      <w:bookmarkStart w:id="7921" w:name="_Toc6617"/>
      <w:r>
        <w:t>5983- دیوان کامل جهرمی‏</w:t>
      </w:r>
      <w:bookmarkEnd w:id="7921"/>
    </w:p>
    <w:p>
      <w:pPr>
        <w:pStyle w:val="BookText"/>
      </w:pPr>
      <w:r>
        <w:rPr>
          <w:rFonts w:ascii="IRNazanin" w:hAnsi="IRNazanin" w:eastAsia="IRNazanin" w:cs="IRNazanin"/>
          <w:lang w:bidi="fa-IR"/>
          <w:color w:val="111111"/>
          <w:sz w:val="28"/>
          <w:szCs w:val="28"/>
          <w:rtl/>
        </w:rPr>
        <w:t xml:space="preserve">و اسمه قوام الدین عبد الله بن نظام الدین الطباخ کان متصوفا ولد بجهرم فارس و لما بلغ أشده هاجر إلی شیراز و تلمذ علی ملا سعید الشیرازی المتخلص کامل فأعطاه أستاذه تخلص نفسه فتخلص به فی شعره و سافر إلی دکن ثم آکرة و بعد سنتین سافر إلی کشمیر ثم سافر إلی بنگاله و ألف مجموعة منتخب أشعار القدماء و سماه مرشد کامل و دیوانه یشتمل علی خمسة آلاف بیت و له ترجیع‏بند ساقی‏نامه کذا ترجمه فی (میخانه- ص 468) و حواشیه نقلا عن مخزن الغرائب و صحف إبراهیم و تقی الدین الأوحدی و هفت إقلیم و کذا فی (گلشن- ص 337) و (روشن- ص 569)</w:t>
      </w:r>
    </w:p>
    <w:p>
      <w:pPr>
        <w:pStyle w:val="Heading3"/>
      </w:pPr>
      <w:bookmarkStart w:id="7922" w:name="_Toc6618"/>
      <w:r>
        <w:t>5984- دیوان کامل شیرازی أو شعره‏</w:t>
      </w:r>
      <w:bookmarkEnd w:id="7922"/>
    </w:p>
    <w:p>
      <w:pPr>
        <w:pStyle w:val="BookText"/>
      </w:pPr>
      <w:r>
        <w:rPr>
          <w:rFonts w:ascii="IRNazanin" w:hAnsi="IRNazanin" w:eastAsia="IRNazanin" w:cs="IRNazanin"/>
          <w:lang w:bidi="fa-IR"/>
          <w:color w:val="111111"/>
          <w:sz w:val="28"/>
          <w:szCs w:val="28"/>
          <w:rtl/>
        </w:rPr>
        <w:t xml:space="preserve">و هو المولی ملک سعید الشیرازی أستاذ قوام الدین عبد الله کامل جهرمی المذکور آنفا کان یتخلص کامل فأعطی تخلصه لتلمیذه قوام الدین المذکور کما ذکر مفصلا فی میخانه- ص 468 و فی (گلشن- ص 338) سماه مصلح الدین‏</w:t>
      </w:r>
    </w:p>
    <w:p>
      <w:pPr>
        <w:pStyle w:val="Heading3"/>
      </w:pPr>
      <w:bookmarkStart w:id="7923" w:name="_Toc6619"/>
      <w:r>
        <w:t>5985- دیوان کامل سلیمان العاملی‏</w:t>
      </w:r>
      <w:bookmarkEnd w:id="7923"/>
    </w:p>
    <w:p>
      <w:pPr>
        <w:pStyle w:val="BookText"/>
      </w:pPr>
      <w:r>
        <w:rPr>
          <w:rFonts w:ascii="IRNazanin" w:hAnsi="IRNazanin" w:eastAsia="IRNazanin" w:cs="IRNazanin"/>
          <w:lang w:bidi="fa-IR"/>
          <w:color w:val="111111"/>
          <w:sz w:val="28"/>
          <w:szCs w:val="28"/>
          <w:rtl/>
        </w:rPr>
        <w:t xml:space="preserve">طبع فی 1371 بعنوان من قلبی فی مدیح آل البیت‏</w:t>
      </w:r>
    </w:p>
    <w:p>
      <w:pPr>
        <w:pStyle w:val="Heading3"/>
      </w:pPr>
      <w:bookmarkStart w:id="7924" w:name="_Toc6620"/>
      <w:r>
        <w:t>5986- دیوان کامل شعیب العاملی‏</w:t>
      </w:r>
      <w:bookmarkEnd w:id="7924"/>
    </w:p>
    <w:p>
      <w:pPr>
        <w:pStyle w:val="BookText"/>
      </w:pPr>
      <w:r>
        <w:rPr>
          <w:rFonts w:ascii="IRNazanin" w:hAnsi="IRNazanin" w:eastAsia="IRNazanin" w:cs="IRNazanin"/>
          <w:lang w:bidi="fa-IR"/>
          <w:color w:val="111111"/>
          <w:sz w:val="28"/>
          <w:szCs w:val="28"/>
          <w:rtl/>
        </w:rPr>
        <w:t xml:space="preserve">ابن وهبی الصیداوی طبع الجزء الأول‏
</w:t>
      </w:r>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bookmarkStart w:id="895" w:name="pg11704_122381"/>
    <w:bookmarkEnd w:id="895"/>
    <w:p>
      <w:pPr>
        <w:pStyle w:val="BookText"/>
      </w:pPr>
      <w:r>
        <w:rPr>
          <w:rFonts w:ascii="IRNazanin" w:hAnsi="IRNazanin" w:eastAsia="IRNazanin" w:cs="IRNazanin"/>
          <w:lang w:bidi="fa-IR"/>
          <w:color w:val="111111"/>
          <w:sz w:val="28"/>
          <w:szCs w:val="28"/>
          <w:rtl/>
        </w:rPr>
        <w:t xml:space="preserve">من الحماسیات له فی النهضة العربیة فی 78 ص بمطبعة العرفان فی 1922 م‏</w:t>
      </w:r>
    </w:p>
    <w:p>
      <w:pPr>
        <w:pStyle w:val="Heading3"/>
      </w:pPr>
      <w:bookmarkStart w:id="7925" w:name="_Toc6621"/>
      <w:r>
        <w:t>5987- دیوان کاملای کاشی‏</w:t>
      </w:r>
      <w:bookmarkEnd w:id="7925"/>
    </w:p>
    <w:p>
      <w:pPr>
        <w:pStyle w:val="BookText"/>
      </w:pPr>
      <w:r>
        <w:rPr>
          <w:rFonts w:ascii="IRNazanin" w:hAnsi="IRNazanin" w:eastAsia="IRNazanin" w:cs="IRNazanin"/>
          <w:lang w:bidi="fa-IR"/>
          <w:color w:val="111111"/>
          <w:sz w:val="28"/>
          <w:szCs w:val="28"/>
          <w:rtl/>
        </w:rPr>
        <w:t xml:space="preserve">ترجمه النصرآبادی فی (نر 9- ص 309) و قال إنه ابن أخت المیر تقی الکاشی و أورد شعره، و کذا فی (همیشه بهار) و (گلشن- ص 337)</w:t>
      </w:r>
    </w:p>
    <w:p>
      <w:pPr>
        <w:pStyle w:val="Heading3"/>
      </w:pPr>
      <w:bookmarkStart w:id="7926" w:name="_Toc6622"/>
      <w:r>
        <w:t>5988- دیوان کامی أصفهانی أو شعره‏</w:t>
      </w:r>
      <w:bookmarkEnd w:id="7926"/>
    </w:p>
    <w:p>
      <w:pPr>
        <w:pStyle w:val="BookText"/>
      </w:pPr>
      <w:r>
        <w:rPr>
          <w:rFonts w:ascii="IRNazanin" w:hAnsi="IRNazanin" w:eastAsia="IRNazanin" w:cs="IRNazanin"/>
          <w:lang w:bidi="fa-IR"/>
          <w:color w:val="111111"/>
          <w:sz w:val="28"/>
          <w:szCs w:val="28"/>
          <w:rtl/>
        </w:rPr>
        <w:t xml:space="preserve">و اسمه إسماعیل و شغله التجارة ترجمه فی (مع 2- ص 426) و أورد شعره و ذکر أنه أرخ وفاته ناطق الأصفهانی بقوله [</w:t>
      </w:r>
    </w:p>
    <w:p>
      <w:pPr>
        <w:pStyle w:val="BookText"/>
      </w:pPr>
      <w:r>
        <w:rPr>
          <w:rFonts w:ascii="IRNazanin" w:hAnsi="IRNazanin" w:eastAsia="IRNazanin" w:cs="IRNazanin"/>
          <w:lang w:bidi="fa-IR"/>
          <w:color w:val="111111"/>
          <w:sz w:val="28"/>
          <w:szCs w:val="28"/>
          <w:rtl/>
        </w:rPr>
        <w:t xml:space="preserve">عندلیبی همچه کامی از جهان ناکام رفت‏</w:t>
      </w:r>
    </w:p>
    <w:p>
      <w:pPr>
        <w:pStyle w:val="Heading3"/>
      </w:pPr>
      <w:bookmarkStart w:id="7927" w:name="_Toc6623"/>
      <w:r>
        <w:t>5989- دیوان کامی أوبهی أو شعره‏</w:t>
      </w:r>
      <w:bookmarkEnd w:id="7927"/>
    </w:p>
    <w:p>
      <w:pPr>
        <w:pStyle w:val="BookText"/>
      </w:pPr>
      <w:r>
        <w:rPr>
          <w:rFonts w:ascii="IRNazanin" w:hAnsi="IRNazanin" w:eastAsia="IRNazanin" w:cs="IRNazanin"/>
          <w:lang w:bidi="fa-IR"/>
          <w:color w:val="111111"/>
          <w:sz w:val="28"/>
          <w:szCs w:val="28"/>
          <w:rtl/>
        </w:rPr>
        <w:t xml:space="preserve">و اسمه الشاه حسین کان من الفضلاء العلماء رباه أستاذه المولی محمد البدخشی، و لما فرغ من عنده هاجر إلی العراق و قرأ علی علمائها حتی برع، و جمع العلم مع الحلم ترجمه فی (مجن 3- ص 60 و 234) و (تس 5- ص 118) و أوردا أشعاره و راجع کامی یزدی‏</w:t>
      </w:r>
    </w:p>
    <w:p>
      <w:pPr>
        <w:pStyle w:val="Heading3"/>
      </w:pPr>
      <w:bookmarkStart w:id="7928" w:name="_Toc6624"/>
      <w:r>
        <w:t>5990- دیوان کامی سبزواری أو شعره‏</w:t>
      </w:r>
      <w:bookmarkEnd w:id="7928"/>
    </w:p>
    <w:p>
      <w:pPr>
        <w:pStyle w:val="BookText"/>
      </w:pPr>
      <w:r>
        <w:rPr>
          <w:rFonts w:ascii="IRNazanin" w:hAnsi="IRNazanin" w:eastAsia="IRNazanin" w:cs="IRNazanin"/>
          <w:lang w:bidi="fa-IR"/>
          <w:color w:val="111111"/>
          <w:sz w:val="28"/>
          <w:szCs w:val="28"/>
          <w:rtl/>
        </w:rPr>
        <w:t xml:space="preserve">قال معاصره النصرآبادی فی (نر 9 و 15 ص 281 و 525) إنه اشتغل فی تحصیل العلوم فی المشهد ثم سافر إلی الهند و رجع فتوفی بالمشهد و أورد عدة من أشعاره‏</w:t>
      </w:r>
    </w:p>
    <w:p>
      <w:pPr>
        <w:pStyle w:val="Heading3"/>
      </w:pPr>
      <w:bookmarkStart w:id="7929" w:name="_Toc6625"/>
      <w:r>
        <w:t>5991- دیوان کامی سبزواری أو شعره‏</w:t>
      </w:r>
      <w:bookmarkEnd w:id="7929"/>
    </w:p>
    <w:p>
      <w:pPr>
        <w:pStyle w:val="BookText"/>
      </w:pPr>
      <w:r>
        <w:rPr>
          <w:rFonts w:ascii="IRNazanin" w:hAnsi="IRNazanin" w:eastAsia="IRNazanin" w:cs="IRNazanin"/>
          <w:lang w:bidi="fa-IR"/>
          <w:color w:val="111111"/>
          <w:sz w:val="28"/>
          <w:szCs w:val="28"/>
          <w:rtl/>
        </w:rPr>
        <w:t xml:space="preserve">قال فی (تش- ص 79) إنه تلمذ علی الجامی و کان مغرما بابنة ضیاء الدین یوسف، ثم أورد شعره و عنه أخذ فی القاموس الترکی و عنه فی الریحانة، و کذا فی (مسرت- ص 218) و لعله الذی نقل المستر براون فی 3: 520 عن بابرنامه أن اسمه الشیخ حسن‏</w:t>
      </w:r>
    </w:p>
    <w:p>
      <w:pPr>
        <w:pStyle w:val="Heading3"/>
      </w:pPr>
      <w:bookmarkStart w:id="7930" w:name="_Toc6626"/>
      <w:r>
        <w:t>5992- دیوان کامی قزوینی‏</w:t>
      </w:r>
      <w:bookmarkEnd w:id="7930"/>
    </w:p>
    <w:p>
      <w:pPr>
        <w:pStyle w:val="BookText"/>
      </w:pPr>
      <w:r>
        <w:rPr>
          <w:rFonts w:ascii="IRNazanin" w:hAnsi="IRNazanin" w:eastAsia="IRNazanin" w:cs="IRNazanin"/>
          <w:lang w:bidi="fa-IR"/>
          <w:color w:val="111111"/>
          <w:sz w:val="28"/>
          <w:szCs w:val="28"/>
          <w:rtl/>
        </w:rPr>
        <w:t xml:space="preserve">و هو المیر علاء الدولة ابن المیر یحیی القزوینی و لما جلس الشاه إسماعیل استخرج المیرزا یحیی تاریخه بقوله بالفارسیة [مذهب ناحق‏] فلما أحضره الشاه قال إنی استخرجتها بالعربیة [مذهبنا حق‏] فعفی عنه و قال فی (نر 13- ص 472) إن المستخرج للتاریخ اسمه قاضی مسافر المذکور فی ص 872، و بعد جلوس الشاه طهماسب طرده بتهمة التسنن ففر المیر علاء الدولة هذا و أخوه الأکبر منه عبد اللطیف إلی الهند و تقرب عند أکبر شاه، و ألف نفائس المآثر تذکره لأحوال 350 شاعرا من معاصریه، و توفی فی 982 ترجمه فی (روشن- ص 570) و عنه فی القاموس الترکی ثم الریحانة.</w:t>
      </w:r>
    </w:p>
    <w:p>
      <w:pPr>
        <w:pStyle w:val="Heading3"/>
      </w:pPr>
      <w:bookmarkStart w:id="7931" w:name="_Toc6627"/>
      <w:r>
        <w:t>5993- دیوان کامی لاهیجی‏</w:t>
      </w:r>
      <w:bookmarkEnd w:id="7931"/>
    </w:p>
    <w:p>
      <w:pPr>
        <w:pStyle w:val="BookText"/>
      </w:pPr>
      <w:r>
        <w:rPr>
          <w:rFonts w:ascii="IRNazanin" w:hAnsi="IRNazanin" w:eastAsia="IRNazanin" w:cs="IRNazanin"/>
          <w:lang w:bidi="fa-IR"/>
          <w:color w:val="111111"/>
          <w:sz w:val="28"/>
          <w:szCs w:val="28"/>
          <w:rtl/>
        </w:rPr>
        <w:t xml:space="preserve">و هو الشیخ محمد بن الحسن بن مهدی اللاهیجی الگیلانی‏
</w:t>
      </w:r>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bookmarkStart w:id="896" w:name="pg11704_122382"/>
    <w:bookmarkEnd w:id="896"/>
    <w:p>
      <w:pPr>
        <w:pStyle w:val="BookText"/>
      </w:pPr>
      <w:r>
        <w:rPr>
          <w:rFonts w:ascii="IRNazanin" w:hAnsi="IRNazanin" w:eastAsia="IRNazanin" w:cs="IRNazanin"/>
          <w:lang w:bidi="fa-IR"/>
          <w:color w:val="111111"/>
          <w:sz w:val="28"/>
          <w:szCs w:val="28"/>
          <w:rtl/>
        </w:rPr>
        <w:t xml:space="preserve">النجفی المولود حدود 1310 مؤلف تراجم أعیان گیلان المذکور فی ج 4 ص 58 و فی دیوانه المدائح للعترة النبویة و الغزلیات و الرباعیات،</w:t>
      </w:r>
    </w:p>
    <w:p>
      <w:pPr>
        <w:pStyle w:val="Heading3"/>
      </w:pPr>
      <w:bookmarkStart w:id="7932" w:name="_Toc6628"/>
      <w:r>
        <w:t>5994- دیوان کامی لاهیجی أو شعره‏</w:t>
      </w:r>
      <w:bookmarkEnd w:id="7932"/>
    </w:p>
    <w:p>
      <w:pPr>
        <w:pStyle w:val="BookText"/>
      </w:pPr>
      <w:r>
        <w:rPr>
          <w:rFonts w:ascii="IRNazanin" w:hAnsi="IRNazanin" w:eastAsia="IRNazanin" w:cs="IRNazanin"/>
          <w:lang w:bidi="fa-IR"/>
          <w:color w:val="111111"/>
          <w:sz w:val="28"/>
          <w:szCs w:val="28"/>
          <w:rtl/>
        </w:rPr>
        <w:t xml:space="preserve">کان منشی السلطان خان أحمد خان بگیلان.</w:t>
      </w:r>
    </w:p>
    <w:p>
      <w:pPr>
        <w:pStyle w:val="BookText"/>
      </w:pPr>
      <w:r>
        <w:rPr>
          <w:rFonts w:ascii="IRNazanin" w:hAnsi="IRNazanin" w:eastAsia="IRNazanin" w:cs="IRNazanin"/>
          <w:lang w:bidi="fa-IR"/>
          <w:color w:val="111111"/>
          <w:sz w:val="28"/>
          <w:szCs w:val="28"/>
          <w:rtl/>
        </w:rPr>
        <w:t xml:space="preserve">ترجمه معاصره الصادقی فی (خص 4- ص 57) و أورد شعره فی (گلشن- ص 337).</w:t>
      </w:r>
    </w:p>
    <w:p>
      <w:pPr>
        <w:pStyle w:val="Heading3"/>
      </w:pPr>
      <w:bookmarkStart w:id="7933" w:name="_Toc6629"/>
      <w:r>
        <w:t>5995- دیوان کامی هروی أو شعره‏</w:t>
      </w:r>
      <w:bookmarkEnd w:id="7933"/>
    </w:p>
    <w:p>
      <w:pPr>
        <w:pStyle w:val="BookText"/>
      </w:pPr>
      <w:r>
        <w:rPr>
          <w:rFonts w:ascii="IRNazanin" w:hAnsi="IRNazanin" w:eastAsia="IRNazanin" w:cs="IRNazanin"/>
          <w:lang w:bidi="fa-IR"/>
          <w:color w:val="111111"/>
          <w:sz w:val="28"/>
          <w:szCs w:val="28"/>
          <w:rtl/>
        </w:rPr>
        <w:t xml:space="preserve">و اسمه دوست محمد. أصله من کوشوان قریة فی حوالی هراة. ترجمه معاصره سام میرزا فی (تس 4- ص 83) و أطری مهارته فی الشعر و العروض و المعمی. قال و قد یشتغل بالصحافة و أورد شعره.</w:t>
      </w:r>
    </w:p>
    <w:p>
      <w:pPr>
        <w:pStyle w:val="Heading3"/>
      </w:pPr>
      <w:bookmarkStart w:id="7934" w:name="_Toc6630"/>
      <w:r>
        <w:t>دیوان کامی یزدی أو شعره‏</w:t>
      </w:r>
      <w:bookmarkEnd w:id="7934"/>
    </w:p>
    <w:p>
      <w:pPr>
        <w:pStyle w:val="BookText"/>
      </w:pPr>
      <w:r>
        <w:rPr>
          <w:rFonts w:ascii="IRNazanin" w:hAnsi="IRNazanin" w:eastAsia="IRNazanin" w:cs="IRNazanin"/>
          <w:lang w:bidi="fa-IR"/>
          <w:color w:val="111111"/>
          <w:sz w:val="28"/>
          <w:szCs w:val="28"/>
          <w:rtl/>
        </w:rPr>
        <w:t xml:space="preserve">و اسمه شاه حسین و توفی 954 ترجمه الآیتی الیزدی فی (تش یز- ص 325) و أورد شعره و لعله الأوبهی.</w:t>
      </w:r>
    </w:p>
    <w:p>
      <w:pPr>
        <w:pStyle w:val="Heading3"/>
      </w:pPr>
      <w:bookmarkStart w:id="7935" w:name="_Toc6631"/>
      <w:r>
        <w:t>5996- دیوان کاووس أو شعره‏</w:t>
      </w:r>
      <w:bookmarkEnd w:id="7935"/>
    </w:p>
    <w:p>
      <w:pPr>
        <w:pStyle w:val="BookText"/>
      </w:pPr>
      <w:r>
        <w:rPr>
          <w:rFonts w:ascii="IRNazanin" w:hAnsi="IRNazanin" w:eastAsia="IRNazanin" w:cs="IRNazanin"/>
          <w:lang w:bidi="fa-IR"/>
          <w:color w:val="111111"/>
          <w:sz w:val="28"/>
          <w:szCs w:val="28"/>
          <w:rtl/>
        </w:rPr>
        <w:t xml:space="preserve">و هو الأمیر عنصر المعالی کیکاووس بن إسکندر بن منوچهر بن قابوس- المذکور فی ص 859- ابن وشمگیر من آل زیار حکام طبرستان.</w:t>
      </w:r>
    </w:p>
    <w:p>
      <w:pPr>
        <w:pStyle w:val="BookText"/>
      </w:pPr>
      <w:r>
        <w:rPr>
          <w:rFonts w:ascii="IRNazanin" w:hAnsi="IRNazanin" w:eastAsia="IRNazanin" w:cs="IRNazanin"/>
          <w:lang w:bidi="fa-IR"/>
          <w:color w:val="111111"/>
          <w:sz w:val="28"/>
          <w:szCs w:val="28"/>
          <w:rtl/>
        </w:rPr>
        <w:t xml:space="preserve">و هو مؤلف قابوس‏نامه أو نصیحت‏نامه فی الأخلاق و تدبیر سیاسة المدن، ألفه باسم جده فی 475 و طبع مکررا منها بطهران مع توزوک جهانگیری فی 1285 فی 228 ص. و ترجم إلی اللغات الأروبیة و طبع ترجمته العربیة أخیرا بمصر. یوجد أربعون بیتا من رباعیاته فی کتابه قابوس‏نامه و أورد له العوفی فی (لب- ج 1 ص 31) بیتین.</w:t>
      </w:r>
    </w:p>
    <w:p>
      <w:pPr>
        <w:pStyle w:val="BookText"/>
      </w:pPr>
      <w:r>
        <w:rPr>
          <w:rFonts w:ascii="IRNazanin" w:hAnsi="IRNazanin" w:eastAsia="IRNazanin" w:cs="IRNazanin"/>
          <w:lang w:bidi="fa-IR"/>
          <w:color w:val="111111"/>
          <w:sz w:val="28"/>
          <w:szCs w:val="28"/>
          <w:rtl/>
        </w:rPr>
        <w:t xml:space="preserve">ترجمه مفصلا النفیسی فی مقدمه طبع قابوس‏نامه بطهران 1312 ش. فی (ص- یح 18) و بهار فی سبک‏شناسی- 3: 190 و (روشن- ص 583).</w:t>
      </w:r>
    </w:p>
    <w:p>
      <w:pPr>
        <w:pStyle w:val="Heading3"/>
      </w:pPr>
      <w:bookmarkStart w:id="7936" w:name="_Toc6632"/>
      <w:r>
        <w:t>دیوان کاهن‏</w:t>
      </w:r>
      <w:bookmarkEnd w:id="7936"/>
    </w:p>
    <w:p>
      <w:pPr>
        <w:pStyle w:val="BookText"/>
      </w:pPr>
      <w:r>
        <w:rPr>
          <w:rFonts w:ascii="IRNazanin" w:hAnsi="IRNazanin" w:eastAsia="IRNazanin" w:cs="IRNazanin"/>
          <w:lang w:bidi="fa-IR"/>
          <w:color w:val="111111"/>
          <w:sz w:val="28"/>
          <w:szCs w:val="28"/>
          <w:rtl/>
        </w:rPr>
        <w:t xml:space="preserve">مر بعنوان دیوان درویش کاهن.</w:t>
      </w:r>
    </w:p>
    <w:p>
      <w:pPr>
        <w:pStyle w:val="Heading3"/>
      </w:pPr>
      <w:bookmarkStart w:id="7937" w:name="_Toc6633"/>
      <w:r>
        <w:t>5997- دیوان کاهی أکبرآبادی الماوراءالنهری الکابلی‏</w:t>
      </w:r>
      <w:bookmarkEnd w:id="7937"/>
    </w:p>
    <w:p>
      <w:pPr>
        <w:pStyle w:val="BookText"/>
      </w:pPr>
      <w:r>
        <w:rPr>
          <w:rFonts w:ascii="IRNazanin" w:hAnsi="IRNazanin" w:eastAsia="IRNazanin" w:cs="IRNazanin"/>
          <w:lang w:bidi="fa-IR"/>
          <w:color w:val="111111"/>
          <w:sz w:val="28"/>
          <w:szCs w:val="28"/>
          <w:rtl/>
        </w:rPr>
        <w:t xml:space="preserve">. و هو أبو القاسم نجم الدین محمد المعروف بملا قاسم. ترجمه فی (خز- ص 390) قال إنه أدرک الجامی و عمره یومئذ خمسة عشر عاما، و توفی 988 فی أکبرآباد عن مائة و عشر سنین، و ذکر مطلع قصیدته الفیلیة و حکی بعض أحواله عن کتاب ثمرات القدس و سمی دیوانه رفیع الدرجات نسخه منه فی إستانبول بمکتبة عاشر أفندی قرب البستان الصغیر، قال فی أوائله:</w:t>
      </w:r>
    </w:p>
    <w:p>
      <w:pPr>
        <w:pStyle w:val="BookText"/>
      </w:pPr>
      <w:r>
        <w:rPr>
          <w:rFonts w:ascii="IRNazanin" w:hAnsi="IRNazanin" w:eastAsia="IRNazanin" w:cs="IRNazanin"/>
          <w:lang w:bidi="fa-IR"/>
          <w:color w:val="111111"/>
          <w:sz w:val="28"/>
          <w:szCs w:val="28"/>
          <w:rtl/>
        </w:rPr>
        <w:t xml:space="preserve">کاهیا چاشنی شعر تو را</w:t>
      </w:r>
    </w:p>
    <w:p>
      <w:pPr>
        <w:pStyle w:val="BookText"/>
      </w:pPr>
      <w:r>
        <w:rPr>
          <w:rFonts w:ascii="IRNazanin" w:hAnsi="IRNazanin" w:eastAsia="IRNazanin" w:cs="IRNazanin"/>
          <w:lang w:bidi="fa-IR"/>
          <w:color w:val="111111"/>
          <w:sz w:val="28"/>
          <w:szCs w:val="28"/>
          <w:rtl/>
        </w:rPr>
        <w:t xml:space="preserve">نتوان گفت کم از قند و نبات‏</w:t>
      </w:r>
    </w:p>
    <w:p>
      <w:pPr>
        <w:pStyle w:val="BookText"/>
      </w:pPr>
      <w:r>
        <w:rPr>
          <w:rFonts w:ascii="IRNazanin" w:hAnsi="IRNazanin" w:eastAsia="IRNazanin" w:cs="IRNazanin"/>
          <w:lang w:bidi="fa-IR"/>
          <w:color w:val="111111"/>
          <w:sz w:val="28"/>
          <w:szCs w:val="28"/>
          <w:rtl/>
        </w:rPr>
        <w:t xml:space="preserve">سیصد و شصت غزل دیوان شد</w:t>
      </w:r>
    </w:p>
    <w:p>
      <w:pPr>
        <w:pStyle w:val="BookText"/>
      </w:pPr>
      <w:r>
        <w:rPr>
          <w:rFonts w:ascii="IRNazanin" w:hAnsi="IRNazanin" w:eastAsia="IRNazanin" w:cs="IRNazanin"/>
          <w:lang w:bidi="fa-IR"/>
          <w:color w:val="111111"/>
          <w:sz w:val="28"/>
          <w:szCs w:val="28"/>
          <w:rtl/>
        </w:rPr>
        <w:t xml:space="preserve">که دهد خاصیت آب حیات‏
</w:t>
      </w:r>
    </w:p>
    <w:p>
      <w:pPr>
        <w:sectPr>
          <w:footerReference w:type="default" r:id="rId915"/>
          <w:footnotePr>
            <w:numStart w:val="1"/>
            <w:numRestart w:val="eachPage"/>
          </w:footnotePr>
          <w:pgSz w:orient="portrait" w:w="11905.511811023622" w:h="16837.79527559055"/>
          <w:pgMar w:top="1440" w:right="1440" w:bottom="1440" w:left="1440" w:header="720" w:footer="720" w:gutter="0"/>
          <w:cols w:num="1" w:space="720"/>
        </w:sectPr>
      </w:pPr>
    </w:p>
    <w:bookmarkStart w:id="897" w:name="pg11704_122383"/>
    <w:bookmarkEnd w:id="897"/>
    <w:p>
      <w:pPr>
        <w:pStyle w:val="BookText"/>
      </w:pPr>
      <w:r>
        <w:rPr>
          <w:rFonts w:ascii="IRNazanin" w:hAnsi="IRNazanin" w:eastAsia="IRNazanin" w:cs="IRNazanin"/>
          <w:lang w:bidi="fa-IR"/>
          <w:color w:val="111111"/>
          <w:sz w:val="28"/>
          <w:szCs w:val="28"/>
          <w:rtl/>
        </w:rPr>
        <w:t xml:space="preserve">با فلک در درجة یکسان است‏</w:t>
      </w:r>
    </w:p>
    <w:p>
      <w:pPr>
        <w:pStyle w:val="BookText"/>
      </w:pPr>
      <w:r>
        <w:rPr>
          <w:rFonts w:ascii="IRNazanin" w:hAnsi="IRNazanin" w:eastAsia="IRNazanin" w:cs="IRNazanin"/>
          <w:lang w:bidi="fa-IR"/>
          <w:color w:val="111111"/>
          <w:sz w:val="28"/>
          <w:szCs w:val="28"/>
          <w:rtl/>
        </w:rPr>
        <w:t xml:space="preserve">زان شدش نام رفیع الدرجات‏</w:t>
      </w:r>
    </w:p>
    <w:p>
      <w:pPr>
        <w:pStyle w:val="BookText"/>
      </w:pPr>
      <w:r>
        <w:rPr>
          <w:rFonts w:ascii="IRNazanin" w:hAnsi="IRNazanin" w:eastAsia="IRNazanin" w:cs="IRNazanin"/>
          <w:lang w:bidi="fa-IR"/>
          <w:color w:val="111111"/>
          <w:sz w:val="28"/>
          <w:szCs w:val="28"/>
          <w:rtl/>
        </w:rPr>
        <w:t xml:space="preserve">و قال فی (طبق 2: 485) إنه کان ماهرا فی الموسیقی و له فیها مصنفات. و له گل‏نشان فی جواب بوستان و قال فی (نتایج- ص 599) إنه هاجر من بدخشان إلی الهند و بها مات و کذا فی (حسینی- ص 282) و (مسرت- ص 307) و عن تذکره علماء الهند أنه کان عالما حکیما زندیقا و له شطحیات، و طبع رسالته فی المعمی فی مجلة أریانتال و ترجمه أیضا فی مقالات الشعراء- ص 676 و (ض- ص 212). و الریحانة.</w:t>
      </w:r>
    </w:p>
    <w:p>
      <w:pPr>
        <w:pStyle w:val="Heading3"/>
      </w:pPr>
      <w:bookmarkStart w:id="7938" w:name="_Toc6634"/>
      <w:r>
        <w:t>5998- دیوان کاهی بدخشی أو شعره‏</w:t>
      </w:r>
      <w:bookmarkEnd w:id="7938"/>
    </w:p>
    <w:p>
      <w:pPr>
        <w:pStyle w:val="BookText"/>
      </w:pPr>
      <w:r>
        <w:rPr>
          <w:rFonts w:ascii="IRNazanin" w:hAnsi="IRNazanin" w:eastAsia="IRNazanin" w:cs="IRNazanin"/>
          <w:lang w:bidi="fa-IR"/>
          <w:color w:val="111111"/>
          <w:sz w:val="28"/>
          <w:szCs w:val="28"/>
          <w:rtl/>
        </w:rPr>
        <w:t xml:space="preserve">تلمیذ ملا محمد البدخشی المذکور فی ص 127 و معاصر السلطان حسین میرزا بایقرا. ترجمه و أورد شعره فی (حسینی- ص 281) و فی (روشن- ص 566) سماه کاتبی.</w:t>
      </w:r>
    </w:p>
    <w:p>
      <w:pPr>
        <w:pStyle w:val="Heading3"/>
      </w:pPr>
      <w:bookmarkStart w:id="7939" w:name="_Toc6635"/>
      <w:r>
        <w:t>5999- دیوان کاهی نیشابوری أو شعره‏</w:t>
      </w:r>
      <w:bookmarkEnd w:id="7939"/>
    </w:p>
    <w:p>
      <w:pPr>
        <w:pStyle w:val="BookText"/>
      </w:pPr>
      <w:r>
        <w:rPr>
          <w:rFonts w:ascii="IRNazanin" w:hAnsi="IRNazanin" w:eastAsia="IRNazanin" w:cs="IRNazanin"/>
          <w:lang w:bidi="fa-IR"/>
          <w:color w:val="111111"/>
          <w:sz w:val="28"/>
          <w:szCs w:val="28"/>
          <w:rtl/>
        </w:rPr>
        <w:t xml:space="preserve">و اسمه عبد الکریم. أورد شعره فی (مجتس 6- 166).</w:t>
      </w:r>
    </w:p>
    <w:p>
      <w:pPr>
        <w:pStyle w:val="Heading3"/>
      </w:pPr>
      <w:bookmarkStart w:id="7940" w:name="_Toc6636"/>
      <w:r>
        <w:t>6000- دیوان کبود جامه أو شعره‏</w:t>
      </w:r>
      <w:bookmarkEnd w:id="7940"/>
    </w:p>
    <w:p>
      <w:pPr>
        <w:pStyle w:val="BookText"/>
      </w:pPr>
      <w:r>
        <w:rPr>
          <w:rFonts w:ascii="IRNazanin" w:hAnsi="IRNazanin" w:eastAsia="IRNazanin" w:cs="IRNazanin"/>
          <w:lang w:bidi="fa-IR"/>
          <w:color w:val="111111"/>
          <w:sz w:val="28"/>
          <w:szCs w:val="28"/>
          <w:rtl/>
        </w:rPr>
        <w:t xml:space="preserve">کان معاصر تکش فأراد قتله و نجی منه. أورد قصته فی (حسینی- ص 167) و همیشه بهار و (تش- ص 19) فی الأمراء، و فی سفینه أشعار کما فی فهرس المجلس 3: 158 و قد رأی سنگلاخ دیوان قصائده بخط محمد رضا صدر الکتاب فذکره فی (امتحان- 2: 333) و سماه نصیر الدین.</w:t>
      </w:r>
    </w:p>
    <w:p>
      <w:pPr>
        <w:pStyle w:val="Heading3"/>
      </w:pPr>
      <w:bookmarkStart w:id="7941" w:name="_Toc6637"/>
      <w:r>
        <w:t>دیوان کبودرآهنگی‏</w:t>
      </w:r>
      <w:bookmarkEnd w:id="7941"/>
    </w:p>
    <w:p>
      <w:pPr>
        <w:pStyle w:val="BookText"/>
      </w:pPr>
      <w:r>
        <w:rPr>
          <w:rFonts w:ascii="IRNazanin" w:hAnsi="IRNazanin" w:eastAsia="IRNazanin" w:cs="IRNazanin"/>
          <w:lang w:bidi="fa-IR"/>
          <w:color w:val="111111"/>
          <w:sz w:val="28"/>
          <w:szCs w:val="28"/>
          <w:rtl/>
        </w:rPr>
        <w:t xml:space="preserve">راجع دیوان مجذوب همدانی.</w:t>
      </w:r>
    </w:p>
    <w:p>
      <w:pPr>
        <w:pStyle w:val="Heading3"/>
      </w:pPr>
      <w:bookmarkStart w:id="7942" w:name="_Toc6638"/>
      <w:r>
        <w:t>6001- دیوان کبودرآهنگی‏</w:t>
      </w:r>
      <w:bookmarkEnd w:id="7942"/>
    </w:p>
    <w:p>
      <w:pPr>
        <w:pStyle w:val="BookText"/>
      </w:pPr>
      <w:r>
        <w:rPr>
          <w:rFonts w:ascii="IRNazanin" w:hAnsi="IRNazanin" w:eastAsia="IRNazanin" w:cs="IRNazanin"/>
          <w:lang w:bidi="fa-IR"/>
          <w:color w:val="111111"/>
          <w:sz w:val="28"/>
          <w:szCs w:val="28"/>
          <w:rtl/>
        </w:rPr>
        <w:t xml:space="preserve">و اسمه رحیم الإسماعیلی المتخلص بحری الکبودرآهنگی. طبع فی 500 ص.</w:t>
      </w:r>
    </w:p>
    <w:p>
      <w:pPr>
        <w:pStyle w:val="Heading3"/>
      </w:pPr>
      <w:bookmarkStart w:id="7943" w:name="_Toc6639"/>
      <w:r>
        <w:t>دیوان کبیر أردبیلی‏</w:t>
      </w:r>
      <w:bookmarkEnd w:id="7943"/>
    </w:p>
    <w:p>
      <w:pPr>
        <w:pStyle w:val="BookText"/>
      </w:pPr>
      <w:r>
        <w:rPr>
          <w:rFonts w:ascii="IRNazanin" w:hAnsi="IRNazanin" w:eastAsia="IRNazanin" w:cs="IRNazanin"/>
          <w:lang w:bidi="fa-IR"/>
          <w:color w:val="111111"/>
          <w:sz w:val="28"/>
          <w:szCs w:val="28"/>
          <w:rtl/>
        </w:rPr>
        <w:t xml:space="preserve">مر بعنوان قاضی‏زاده فی ص 869 و والده قاضی أویس فی ص 112 و ص 868 و ج 10 ص 123.</w:t>
      </w:r>
    </w:p>
    <w:p>
      <w:pPr>
        <w:pStyle w:val="Heading3"/>
      </w:pPr>
      <w:bookmarkStart w:id="7944" w:name="_Toc6640"/>
      <w:r>
        <w:t>دیوان حاج کبیر</w:t>
      </w:r>
      <w:bookmarkEnd w:id="7944"/>
    </w:p>
    <w:p>
      <w:pPr>
        <w:pStyle w:val="BookText"/>
      </w:pPr>
      <w:r>
        <w:rPr>
          <w:rFonts w:ascii="IRNazanin" w:hAnsi="IRNazanin" w:eastAsia="IRNazanin" w:cs="IRNazanin"/>
          <w:lang w:bidi="fa-IR"/>
          <w:color w:val="111111"/>
          <w:sz w:val="28"/>
          <w:szCs w:val="28"/>
          <w:rtl/>
        </w:rPr>
        <w:t xml:space="preserve">السید العارف المیر سلام الله الموسوی الملقب بمجذوب و المتخلص بمجرم یأتی.</w:t>
      </w:r>
    </w:p>
    <w:p>
      <w:pPr>
        <w:pStyle w:val="Heading3"/>
      </w:pPr>
      <w:bookmarkStart w:id="7945" w:name="_Toc6641"/>
      <w:r>
        <w:t>6002- دیوان الحاج میرزا کبیر آقا</w:t>
      </w:r>
      <w:bookmarkEnd w:id="7945"/>
    </w:p>
    <w:p>
      <w:pPr>
        <w:pStyle w:val="BookText"/>
      </w:pPr>
      <w:r>
        <w:rPr>
          <w:rFonts w:ascii="IRNazanin" w:hAnsi="IRNazanin" w:eastAsia="IRNazanin" w:cs="IRNazanin"/>
          <w:lang w:bidi="fa-IR"/>
          <w:color w:val="111111"/>
          <w:sz w:val="28"/>
          <w:szCs w:val="28"/>
          <w:rtl/>
        </w:rPr>
        <w:t xml:space="preserve">المراغی ابن المیرزا باقر بن المیر فتاح المعروف بمیر مرحوم الموسوی. کبیر مطبوع و توفی 1325 و والده الحاج میرزا إسحاق المعروف بمجتهد و الحاج میرزا رضا صدر العلماء من العلماء و أجلاء السادات بمراغة.
</w:t>
      </w:r>
    </w:p>
    <w:p>
      <w:pPr>
        <w:sectPr>
          <w:footerReference w:type="default" r:id="rId916"/>
          <w:footnotePr>
            <w:numStart w:val="1"/>
            <w:numRestart w:val="eachPage"/>
          </w:footnotePr>
          <w:pgSz w:orient="portrait" w:w="11905.511811023622" w:h="16837.79527559055"/>
          <w:pgMar w:top="1440" w:right="1440" w:bottom="1440" w:left="1440" w:header="720" w:footer="720" w:gutter="0"/>
          <w:cols w:num="1" w:space="720"/>
        </w:sectPr>
      </w:pPr>
    </w:p>
    <w:bookmarkStart w:id="898" w:name="pg11704_122384"/>
    <w:bookmarkEnd w:id="898"/>
    <w:p>
      <w:pPr>
        <w:pStyle w:val="Heading3"/>
      </w:pPr>
      <w:bookmarkStart w:id="7946" w:name="_Toc6642"/>
      <w:r>
        <w:t>6003- دیوان کتاب دار أو شعره‏</w:t>
      </w:r>
      <w:bookmarkEnd w:id="7946"/>
    </w:p>
    <w:p>
      <w:pPr>
        <w:pStyle w:val="BookText"/>
      </w:pPr>
      <w:r>
        <w:rPr>
          <w:rFonts w:ascii="IRNazanin" w:hAnsi="IRNazanin" w:eastAsia="IRNazanin" w:cs="IRNazanin"/>
          <w:lang w:bidi="fa-IR"/>
          <w:color w:val="111111"/>
          <w:sz w:val="28"/>
          <w:szCs w:val="28"/>
          <w:rtl/>
        </w:rPr>
        <w:t xml:space="preserve">و هو المیرزا مقیم ابن المیرزا قوام. کان والده مستوفیا للشاه عباس، و اشتغل هو بالکتابداریة فی المکتبة الشاهیة و سافر لأمر الحجابة (السفارة) إلی دکن. ترجمه کذلک و أورد شعره فی (نر 4- ص 75).</w:t>
      </w:r>
    </w:p>
    <w:p>
      <w:pPr>
        <w:pStyle w:val="Heading3"/>
      </w:pPr>
      <w:bookmarkStart w:id="7947" w:name="_Toc6643"/>
      <w:r>
        <w:t>دیوان کتاب دار</w:t>
      </w:r>
      <w:bookmarkEnd w:id="7947"/>
    </w:p>
    <w:p>
      <w:pPr>
        <w:pStyle w:val="BookText"/>
      </w:pPr>
      <w:r>
        <w:rPr>
          <w:rFonts w:ascii="IRNazanin" w:hAnsi="IRNazanin" w:eastAsia="IRNazanin" w:cs="IRNazanin"/>
          <w:lang w:bidi="fa-IR"/>
          <w:color w:val="111111"/>
          <w:sz w:val="28"/>
          <w:szCs w:val="28"/>
          <w:rtl/>
        </w:rPr>
        <w:t xml:space="preserve">راجع صادقی کتاب دار.</w:t>
      </w:r>
    </w:p>
    <w:p>
      <w:pPr>
        <w:pStyle w:val="Heading3"/>
      </w:pPr>
      <w:bookmarkStart w:id="7948" w:name="_Toc6644"/>
      <w:r>
        <w:t>6004- دیوان کثیر عزة</w:t>
      </w:r>
      <w:bookmarkEnd w:id="7948"/>
    </w:p>
    <w:p>
      <w:pPr>
        <w:pStyle w:val="BookText"/>
      </w:pPr>
      <w:r>
        <w:rPr>
          <w:rFonts w:ascii="IRNazanin" w:hAnsi="IRNazanin" w:eastAsia="IRNazanin" w:cs="IRNazanin"/>
          <w:lang w:bidi="fa-IR"/>
          <w:color w:val="111111"/>
          <w:sz w:val="28"/>
          <w:szCs w:val="28"/>
          <w:rtl/>
        </w:rPr>
        <w:t xml:space="preserve">هو أبو صخر کثیر بن عبد الرحمن الخزاعی صاحب عزة شاعر غزل مجید من شعراء العصر الأموی، و هو أجود أهل الحجاز شعرا، و له فی صاحبته عزة أشعار کثیرة، و کان یتشیع و یری أن هناک إماما سیظهر، و له مناظرات مع قطام صاحبه ابن ملجم المرادی. ذکرت فی أعلام النساء نقلا عن الأغانی، و نسبه الجاحظ فی البیان و التبیین ج 2 إلی الحمق و مات 105 و ترجمه فی (لس- ص 370) و عده فی (المعالم- ص 140) من شعراء الشیعة.</w:t>
      </w:r>
    </w:p>
    <w:p>
      <w:pPr>
        <w:pStyle w:val="Heading3"/>
      </w:pPr>
      <w:bookmarkStart w:id="7949" w:name="_Toc6645"/>
      <w:r>
        <w:t>دیوان کجج‏</w:t>
      </w:r>
      <w:bookmarkEnd w:id="7949"/>
    </w:p>
    <w:p>
      <w:pPr>
        <w:pStyle w:val="BookText"/>
      </w:pPr>
      <w:r>
        <w:rPr>
          <w:rFonts w:ascii="IRNazanin" w:hAnsi="IRNazanin" w:eastAsia="IRNazanin" w:cs="IRNazanin"/>
          <w:lang w:bidi="fa-IR"/>
          <w:color w:val="111111"/>
          <w:sz w:val="28"/>
          <w:szCs w:val="28"/>
          <w:rtl/>
        </w:rPr>
        <w:t xml:space="preserve">کما فی (لت) راجع غیاث الدین کجج.</w:t>
      </w:r>
    </w:p>
    <w:p>
      <w:pPr>
        <w:pStyle w:val="Heading3"/>
      </w:pPr>
      <w:bookmarkStart w:id="7950" w:name="_Toc6646"/>
      <w:r>
        <w:t>6005- دیوان کحلی تبریزی أو شعره‏</w:t>
      </w:r>
      <w:bookmarkEnd w:id="7950"/>
    </w:p>
    <w:p>
      <w:pPr>
        <w:pStyle w:val="BookText"/>
      </w:pPr>
      <w:r>
        <w:rPr>
          <w:rFonts w:ascii="IRNazanin" w:hAnsi="IRNazanin" w:eastAsia="IRNazanin" w:cs="IRNazanin"/>
          <w:lang w:bidi="fa-IR"/>
          <w:color w:val="111111"/>
          <w:sz w:val="28"/>
          <w:szCs w:val="28"/>
          <w:rtl/>
        </w:rPr>
        <w:t xml:space="preserve">ذکره فی (دجا- ص 314) و أورد شعره نقلا عن بیاض کل أحمد المؤلف 1075.</w:t>
      </w:r>
    </w:p>
    <w:p>
      <w:pPr>
        <w:pStyle w:val="Heading3"/>
      </w:pPr>
      <w:bookmarkStart w:id="7951" w:name="_Toc6647"/>
      <w:r>
        <w:t>6006- دیوان کحلی شیرازی أو شعره‏</w:t>
      </w:r>
      <w:bookmarkEnd w:id="7951"/>
    </w:p>
    <w:p>
      <w:pPr>
        <w:pStyle w:val="BookText"/>
      </w:pPr>
      <w:r>
        <w:rPr>
          <w:rFonts w:ascii="IRNazanin" w:hAnsi="IRNazanin" w:eastAsia="IRNazanin" w:cs="IRNazanin"/>
          <w:lang w:bidi="fa-IR"/>
          <w:color w:val="111111"/>
          <w:sz w:val="28"/>
          <w:szCs w:val="28"/>
          <w:rtl/>
        </w:rPr>
        <w:t xml:space="preserve">ترجمه سام میرزا فی (تس 5- ص 151) و أطری حذاقته فی الکحالة و أورد شعره. و لعله متحد مع ما قبله.</w:t>
      </w:r>
    </w:p>
    <w:p>
      <w:pPr>
        <w:pStyle w:val="Heading3"/>
      </w:pPr>
      <w:bookmarkStart w:id="7952" w:name="_Toc6648"/>
      <w:r>
        <w:t>دیوان کدود</w:t>
      </w:r>
      <w:bookmarkEnd w:id="7952"/>
    </w:p>
    <w:p>
      <w:pPr>
        <w:pStyle w:val="BookText"/>
      </w:pPr>
      <w:r>
        <w:rPr>
          <w:rFonts w:ascii="IRNazanin" w:hAnsi="IRNazanin" w:eastAsia="IRNazanin" w:cs="IRNazanin"/>
          <w:lang w:bidi="fa-IR"/>
          <w:color w:val="111111"/>
          <w:sz w:val="28"/>
          <w:szCs w:val="28"/>
          <w:rtl/>
        </w:rPr>
        <w:t xml:space="preserve">للخواجة أوحد المستوفی السبزواری المتوفی و المدفون بها. راجع دیوان أوحد سبزواری فی ص 111.</w:t>
      </w:r>
    </w:p>
    <w:p>
      <w:pPr>
        <w:pStyle w:val="Heading3"/>
      </w:pPr>
      <w:bookmarkStart w:id="7953" w:name="_Toc6649"/>
      <w:r>
        <w:t>6007- دیوان کرام بخاری أو شعره‏</w:t>
      </w:r>
      <w:bookmarkEnd w:id="7953"/>
    </w:p>
    <w:p>
      <w:pPr>
        <w:pStyle w:val="BookText"/>
      </w:pPr>
      <w:r>
        <w:rPr>
          <w:rFonts w:ascii="IRNazanin" w:hAnsi="IRNazanin" w:eastAsia="IRNazanin" w:cs="IRNazanin"/>
          <w:lang w:bidi="fa-IR"/>
          <w:color w:val="111111"/>
          <w:sz w:val="28"/>
          <w:szCs w:val="28"/>
          <w:rtl/>
        </w:rPr>
        <w:t xml:space="preserve">و هو عبد اللطیف البخاری من شعراء عبد العزیز خان. أورد شعره فی (نر 10- ص 436) و کذا فی (روشن- 573).</w:t>
      </w:r>
    </w:p>
    <w:p>
      <w:pPr>
        <w:pStyle w:val="Heading3"/>
      </w:pPr>
      <w:bookmarkStart w:id="7954" w:name="_Toc6650"/>
      <w:r>
        <w:t>6008- دیوان کربلائی‏</w:t>
      </w:r>
      <w:bookmarkEnd w:id="7954"/>
    </w:p>
    <w:p>
      <w:pPr>
        <w:pStyle w:val="BookText"/>
      </w:pPr>
      <w:r>
        <w:rPr>
          <w:rFonts w:ascii="IRNazanin" w:hAnsi="IRNazanin" w:eastAsia="IRNazanin" w:cs="IRNazanin"/>
          <w:lang w:bidi="fa-IR"/>
          <w:color w:val="111111"/>
          <w:sz w:val="28"/>
          <w:szCs w:val="28"/>
          <w:rtl/>
        </w:rPr>
        <w:t xml:space="preserve">للحافظ درویش حسین الکربلائی المتخلص خادم صاحب کتاب روضات الجنان و جنات الجنان المذکور فی (ج 11). نسخه من الدیوان بخط الناظم عند (سلطان القرائی بتبریز).</w:t>
      </w:r>
    </w:p>
    <w:p>
      <w:pPr>
        <w:pStyle w:val="Heading3"/>
      </w:pPr>
      <w:bookmarkStart w:id="7955" w:name="_Toc6651"/>
      <w:r>
        <w:t>دیوان الکرکی‏</w:t>
      </w:r>
      <w:bookmarkEnd w:id="7955"/>
    </w:p>
    <w:p>
      <w:pPr>
        <w:pStyle w:val="BookText"/>
      </w:pPr>
      <w:r>
        <w:rPr>
          <w:rFonts w:ascii="IRNazanin" w:hAnsi="IRNazanin" w:eastAsia="IRNazanin" w:cs="IRNazanin"/>
          <w:lang w:bidi="fa-IR"/>
          <w:color w:val="111111"/>
          <w:sz w:val="28"/>
          <w:szCs w:val="28"/>
          <w:rtl/>
        </w:rPr>
        <w:t xml:space="preserve">راجع دیوان حسین بن شهاب الدین فی ص 248.</w:t>
      </w:r>
    </w:p>
    <w:p>
      <w:pPr>
        <w:pStyle w:val="Heading3"/>
      </w:pPr>
      <w:bookmarkStart w:id="7956" w:name="_Toc6652"/>
      <w:r>
        <w:t>6009- دیوان شاه کرم خوانساری أو شعره‏</w:t>
      </w:r>
      <w:bookmarkEnd w:id="7956"/>
    </w:p>
    <w:p>
      <w:pPr>
        <w:pStyle w:val="BookText"/>
      </w:pPr>
      <w:r>
        <w:rPr>
          <w:rFonts w:ascii="IRNazanin" w:hAnsi="IRNazanin" w:eastAsia="IRNazanin" w:cs="IRNazanin"/>
          <w:lang w:bidi="fa-IR"/>
          <w:color w:val="111111"/>
          <w:sz w:val="28"/>
          <w:szCs w:val="28"/>
          <w:rtl/>
        </w:rPr>
        <w:t xml:space="preserve">ترجمه و أورد شعره فی (خوش‏گو) و (روشن- ص 573).
</w:t>
      </w:r>
    </w:p>
    <w:p>
      <w:pPr>
        <w:sectPr>
          <w:footerReference w:type="default" r:id="rId917"/>
          <w:footnotePr>
            <w:numStart w:val="1"/>
            <w:numRestart w:val="eachPage"/>
          </w:footnotePr>
          <w:pgSz w:orient="portrait" w:w="11905.511811023622" w:h="16837.79527559055"/>
          <w:pgMar w:top="1440" w:right="1440" w:bottom="1440" w:left="1440" w:header="720" w:footer="720" w:gutter="0"/>
          <w:cols w:num="1" w:space="720"/>
        </w:sectPr>
      </w:pPr>
    </w:p>
    <w:bookmarkStart w:id="899" w:name="pg11704_122385"/>
    <w:bookmarkEnd w:id="899"/>
    <w:p>
      <w:pPr>
        <w:pStyle w:val="Heading3"/>
      </w:pPr>
      <w:bookmarkStart w:id="7957" w:name="_Toc6653"/>
      <w:r>
        <w:t>دیوان کرمانی‏</w:t>
      </w:r>
      <w:bookmarkEnd w:id="7957"/>
    </w:p>
    <w:p>
      <w:pPr>
        <w:pStyle w:val="BookText"/>
      </w:pPr>
      <w:r>
        <w:rPr>
          <w:rFonts w:ascii="IRNazanin" w:hAnsi="IRNazanin" w:eastAsia="IRNazanin" w:cs="IRNazanin"/>
          <w:lang w:bidi="fa-IR"/>
          <w:color w:val="111111"/>
          <w:sz w:val="28"/>
          <w:szCs w:val="28"/>
          <w:rtl/>
        </w:rPr>
        <w:t xml:space="preserve">راجع دیوان خواجوی کرمانی، و بیانی فی ص 150 و حامد. و یوجد فی (الرضویة) مثنوی للکرمانی (؟).</w:t>
      </w:r>
    </w:p>
    <w:p>
      <w:pPr>
        <w:pStyle w:val="Heading3"/>
      </w:pPr>
      <w:bookmarkStart w:id="7958" w:name="_Toc6654"/>
      <w:r>
        <w:t>6010- دیوان الکرمی النجفی‏</w:t>
      </w:r>
      <w:bookmarkEnd w:id="7958"/>
    </w:p>
    <w:p>
      <w:pPr>
        <w:pStyle w:val="BookText"/>
      </w:pPr>
      <w:r>
        <w:rPr>
          <w:rFonts w:ascii="IRNazanin" w:hAnsi="IRNazanin" w:eastAsia="IRNazanin" w:cs="IRNazanin"/>
          <w:lang w:bidi="fa-IR"/>
          <w:color w:val="111111"/>
          <w:sz w:val="28"/>
          <w:szCs w:val="28"/>
          <w:rtl/>
        </w:rPr>
        <w:t xml:space="preserve">للأدیب المعاصر الشیخ محمد بن الشیخ الورع نصر الله بن الحسن الحویزی النجفی المولود بها 1317 أدرج بعض الدیوان ولد ناظمه الشیخ محمد الکرمی نزیل قم، فی المجلد الرابع من کتابه الحیاة الروحیة تحت عنوان حیاة العلامة الشیخ محمد طه الکرمی و طبع 1369.</w:t>
      </w:r>
    </w:p>
    <w:p>
      <w:pPr>
        <w:pStyle w:val="Heading3"/>
      </w:pPr>
      <w:bookmarkStart w:id="7959" w:name="_Toc6655"/>
      <w:r>
        <w:t>6011- دیوان کرمی بروجردی‏</w:t>
      </w:r>
      <w:bookmarkEnd w:id="7959"/>
    </w:p>
    <w:p>
      <w:pPr>
        <w:pStyle w:val="BookText"/>
      </w:pPr>
      <w:r>
        <w:rPr>
          <w:rFonts w:ascii="IRNazanin" w:hAnsi="IRNazanin" w:eastAsia="IRNazanin" w:cs="IRNazanin"/>
          <w:lang w:bidi="fa-IR"/>
          <w:color w:val="111111"/>
          <w:sz w:val="28"/>
          <w:szCs w:val="28"/>
          <w:rtl/>
        </w:rPr>
        <w:t xml:space="preserve">ترجمه الصادقی فی (خص 8- ص 296) و أورد شعره.</w:t>
      </w:r>
    </w:p>
    <w:p>
      <w:pPr>
        <w:pStyle w:val="BookText"/>
      </w:pPr>
      <w:r>
        <w:rPr>
          <w:rFonts w:ascii="IRNazanin" w:hAnsi="IRNazanin" w:eastAsia="IRNazanin" w:cs="IRNazanin"/>
          <w:lang w:bidi="fa-IR"/>
          <w:color w:val="111111"/>
          <w:sz w:val="28"/>
          <w:szCs w:val="28"/>
          <w:rtl/>
        </w:rPr>
        <w:t xml:space="preserve">و فی همیشه بهار کرمی کاشی. و له جواب خمسه نظامی فی خمسین ألف بیت کما فی (روشن- ص 574).</w:t>
      </w:r>
    </w:p>
    <w:p>
      <w:pPr>
        <w:pStyle w:val="Heading3"/>
      </w:pPr>
      <w:bookmarkStart w:id="7960" w:name="_Toc6656"/>
      <w:r>
        <w:t>دیوان کرود</w:t>
      </w:r>
      <w:bookmarkEnd w:id="7960"/>
    </w:p>
    <w:p>
      <w:pPr>
        <w:pStyle w:val="BookText"/>
      </w:pPr>
      <w:r>
        <w:rPr>
          <w:rFonts w:ascii="IRNazanin" w:hAnsi="IRNazanin" w:eastAsia="IRNazanin" w:cs="IRNazanin"/>
          <w:lang w:bidi="fa-IR"/>
          <w:color w:val="111111"/>
          <w:sz w:val="28"/>
          <w:szCs w:val="28"/>
          <w:rtl/>
        </w:rPr>
        <w:t xml:space="preserve">راجع کدود بالدالین کما فی بعض النسخ. و مر بعنوان أوحد سبزواری.</w:t>
      </w:r>
    </w:p>
    <w:p>
      <w:pPr>
        <w:pStyle w:val="Heading3"/>
      </w:pPr>
      <w:bookmarkStart w:id="7961" w:name="_Toc6657"/>
      <w:r>
        <w:t>6012- دیوان کریم خان کرمانی‏</w:t>
      </w:r>
      <w:bookmarkEnd w:id="7961"/>
    </w:p>
    <w:p>
      <w:pPr>
        <w:pStyle w:val="BookText"/>
      </w:pPr>
      <w:r>
        <w:rPr>
          <w:rFonts w:ascii="IRNazanin" w:hAnsi="IRNazanin" w:eastAsia="IRNazanin" w:cs="IRNazanin"/>
          <w:lang w:bidi="fa-IR"/>
          <w:color w:val="111111"/>
          <w:sz w:val="28"/>
          <w:szCs w:val="28"/>
          <w:rtl/>
        </w:rPr>
        <w:t xml:space="preserve">و اسمه الحاج محمد کریم خان ابن إبراهیم خان القاجار الکرمانی رئیس الشیخیة بها. طبع له مثنوی فی الأخلاق بالفارسیة فی 96 ص.</w:t>
      </w:r>
    </w:p>
    <w:p>
      <w:pPr>
        <w:pStyle w:val="BookText"/>
      </w:pPr>
      <w:r>
        <w:rPr>
          <w:rFonts w:ascii="IRNazanin" w:hAnsi="IRNazanin" w:eastAsia="IRNazanin" w:cs="IRNazanin"/>
          <w:lang w:bidi="fa-IR"/>
          <w:color w:val="111111"/>
          <w:sz w:val="28"/>
          <w:szCs w:val="28"/>
          <w:rtl/>
        </w:rPr>
        <w:t xml:space="preserve">فی 1352. و له دیوان فی المراثی بالعربیة موجودة فی (الرضویة).</w:t>
      </w:r>
    </w:p>
    <w:p>
      <w:pPr>
        <w:pStyle w:val="Heading3"/>
      </w:pPr>
      <w:bookmarkStart w:id="7962" w:name="_Toc6658"/>
      <w:r>
        <w:t>6013- دیوان کریم دشت بیاضی أو شعره‏</w:t>
      </w:r>
      <w:bookmarkEnd w:id="7962"/>
    </w:p>
    <w:p>
      <w:pPr>
        <w:pStyle w:val="BookText"/>
      </w:pPr>
      <w:r>
        <w:rPr>
          <w:rFonts w:ascii="IRNazanin" w:hAnsi="IRNazanin" w:eastAsia="IRNazanin" w:cs="IRNazanin"/>
          <w:lang w:bidi="fa-IR"/>
          <w:color w:val="111111"/>
          <w:sz w:val="28"/>
          <w:szCs w:val="28"/>
          <w:rtl/>
        </w:rPr>
        <w:t xml:space="preserve">و هو محمد بن فصیح بن محمد و له شرح النصاب المطبوع مکررا بطهران، منها فی 1266. قال فیه إن والدی زاد عدة قطعات علی النصاب للفراهی، و قد شرحت الجمیع لمزید الفائدة. و لعل والده هو الذی ذکرناه فی ص 834.</w:t>
      </w:r>
    </w:p>
    <w:p>
      <w:pPr>
        <w:pStyle w:val="Heading3"/>
      </w:pPr>
      <w:bookmarkStart w:id="7963" w:name="_Toc6659"/>
      <w:r>
        <w:t>دیوان کریم صابونی‏</w:t>
      </w:r>
      <w:bookmarkEnd w:id="7963"/>
    </w:p>
    <w:p>
      <w:pPr>
        <w:pStyle w:val="BookText"/>
      </w:pPr>
      <w:r>
        <w:rPr>
          <w:rFonts w:ascii="IRNazanin" w:hAnsi="IRNazanin" w:eastAsia="IRNazanin" w:cs="IRNazanin"/>
          <w:lang w:bidi="fa-IR"/>
          <w:color w:val="111111"/>
          <w:sz w:val="28"/>
          <w:szCs w:val="28"/>
          <w:rtl/>
        </w:rPr>
        <w:t xml:space="preserve">یأتی بتخلصه ناظم.</w:t>
      </w:r>
    </w:p>
    <w:p>
      <w:pPr>
        <w:pStyle w:val="Heading3"/>
      </w:pPr>
      <w:bookmarkStart w:id="7964" w:name="_Toc6660"/>
      <w:r>
        <w:t>دیوان کریم صافی‏</w:t>
      </w:r>
      <w:bookmarkEnd w:id="7964"/>
    </w:p>
    <w:p>
      <w:pPr>
        <w:pStyle w:val="BookText"/>
      </w:pPr>
      <w:r>
        <w:rPr>
          <w:rFonts w:ascii="IRNazanin" w:hAnsi="IRNazanin" w:eastAsia="IRNazanin" w:cs="IRNazanin"/>
          <w:lang w:bidi="fa-IR"/>
          <w:color w:val="111111"/>
          <w:sz w:val="28"/>
          <w:szCs w:val="28"/>
          <w:rtl/>
        </w:rPr>
        <w:t xml:space="preserve">مر بعنوان صافی تبریزی فی ص 584. و طبع له گنجینه حسینی فی 239 ص بتبریز.</w:t>
      </w:r>
    </w:p>
    <w:p>
      <w:pPr>
        <w:pStyle w:val="Heading3"/>
      </w:pPr>
      <w:bookmarkStart w:id="7965" w:name="_Toc6661"/>
      <w:r>
        <w:t>دیوان کریم کرمانی‏</w:t>
      </w:r>
      <w:bookmarkEnd w:id="7965"/>
    </w:p>
    <w:p>
      <w:pPr>
        <w:pStyle w:val="BookText"/>
      </w:pPr>
      <w:r>
        <w:rPr>
          <w:rFonts w:ascii="IRNazanin" w:hAnsi="IRNazanin" w:eastAsia="IRNazanin" w:cs="IRNazanin"/>
          <w:lang w:bidi="fa-IR"/>
          <w:color w:val="111111"/>
          <w:sz w:val="28"/>
          <w:szCs w:val="28"/>
          <w:rtl/>
        </w:rPr>
        <w:t xml:space="preserve">راجع دیوان کریم خان کرمانی.</w:t>
      </w:r>
    </w:p>
    <w:p>
      <w:pPr>
        <w:pStyle w:val="Heading3"/>
      </w:pPr>
      <w:bookmarkStart w:id="7966" w:name="_Toc6662"/>
      <w:r>
        <w:t>6014- دیوان کریم نیشابوری أو شعره‏</w:t>
      </w:r>
      <w:bookmarkEnd w:id="7966"/>
    </w:p>
    <w:p>
      <w:pPr>
        <w:pStyle w:val="BookText"/>
      </w:pPr>
      <w:r>
        <w:rPr>
          <w:rFonts w:ascii="IRNazanin" w:hAnsi="IRNazanin" w:eastAsia="IRNazanin" w:cs="IRNazanin"/>
          <w:lang w:bidi="fa-IR"/>
          <w:color w:val="111111"/>
          <w:sz w:val="28"/>
          <w:szCs w:val="28"/>
          <w:rtl/>
        </w:rPr>
        <w:t xml:space="preserve">و هو ابن الملا قیدی المذکور فی ص 893 ترجمه معاصره النصرآبادی فی (نر 9- ص 317) و ذکر أنه فی زمن تألیف تذکرته جاء إلی أصفهان و ورد مسجده فی محلة لنبان مکررا، و أورد شعره و مثنویة.
</w:t>
      </w:r>
    </w:p>
    <w:p>
      <w:pPr>
        <w:sectPr>
          <w:footerReference w:type="default" r:id="rId918"/>
          <w:footnotePr>
            <w:numStart w:val="1"/>
            <w:numRestart w:val="eachPage"/>
          </w:footnotePr>
          <w:pgSz w:orient="portrait" w:w="11905.511811023622" w:h="16837.79527559055"/>
          <w:pgMar w:top="1440" w:right="1440" w:bottom="1440" w:left="1440" w:header="720" w:footer="720" w:gutter="0"/>
          <w:cols w:num="1" w:space="720"/>
        </w:sectPr>
      </w:pPr>
    </w:p>
    <w:bookmarkStart w:id="900" w:name="pg11704_122386"/>
    <w:bookmarkEnd w:id="900"/>
    <w:p>
      <w:pPr>
        <w:pStyle w:val="Heading3"/>
      </w:pPr>
      <w:bookmarkStart w:id="7967" w:name="_Toc6663"/>
      <w:r>
        <w:t>6015- دیوان کریمی سمرقندی‏</w:t>
      </w:r>
      <w:bookmarkEnd w:id="7967"/>
    </w:p>
    <w:p>
      <w:pPr>
        <w:pStyle w:val="BookText"/>
      </w:pPr>
      <w:r>
        <w:rPr>
          <w:rFonts w:ascii="IRNazanin" w:hAnsi="IRNazanin" w:eastAsia="IRNazanin" w:cs="IRNazanin"/>
          <w:lang w:bidi="fa-IR"/>
          <w:color w:val="111111"/>
          <w:sz w:val="28"/>
          <w:szCs w:val="28"/>
          <w:rtl/>
        </w:rPr>
        <w:t xml:space="preserve">هو بهاء الدین عبد الکریم. ترجمه فی (مع 1- ص 481) و أورد نیفا و ثلاثین بیتا من شعره، منها بعض أبیات قصیدته التی التزم فیها [یک و دو و سه‏] و منها:</w:t>
      </w:r>
    </w:p>
    <w:p>
      <w:pPr>
        <w:pStyle w:val="BookText"/>
      </w:pPr>
      <w:r>
        <w:rPr>
          <w:rFonts w:ascii="IRNazanin" w:hAnsi="IRNazanin" w:eastAsia="IRNazanin" w:cs="IRNazanin"/>
          <w:lang w:bidi="fa-IR"/>
          <w:color w:val="111111"/>
          <w:sz w:val="28"/>
          <w:szCs w:val="28"/>
          <w:rtl/>
        </w:rPr>
        <w:t xml:space="preserve">سپید روی و سیه‏زلف و چشمت ای دلبر</w:t>
      </w:r>
    </w:p>
    <w:p>
      <w:pPr>
        <w:pStyle w:val="BookText"/>
      </w:pPr>
      <w:r>
        <w:rPr>
          <w:rFonts w:ascii="IRNazanin" w:hAnsi="IRNazanin" w:eastAsia="IRNazanin" w:cs="IRNazanin"/>
          <w:lang w:bidi="fa-IR"/>
          <w:color w:val="111111"/>
          <w:sz w:val="28"/>
          <w:szCs w:val="28"/>
          <w:rtl/>
        </w:rPr>
        <w:t xml:space="preserve">یکی گلست و دوم سنبل و سوم عبهر</w:t>
      </w:r>
    </w:p>
    <w:p>
      <w:pPr>
        <w:pStyle w:val="Heading3"/>
      </w:pPr>
      <w:bookmarkStart w:id="7968" w:name="_Toc6664"/>
      <w:r>
        <w:t>6016- دیوان کسائی مروزی‏</w:t>
      </w:r>
      <w:bookmarkEnd w:id="7968"/>
    </w:p>
    <w:p>
      <w:pPr>
        <w:pStyle w:val="BookText"/>
      </w:pPr>
      <w:r>
        <w:rPr>
          <w:rFonts w:ascii="IRNazanin" w:hAnsi="IRNazanin" w:eastAsia="IRNazanin" w:cs="IRNazanin"/>
          <w:lang w:bidi="fa-IR"/>
          <w:color w:val="111111"/>
          <w:sz w:val="28"/>
          <w:szCs w:val="28"/>
          <w:rtl/>
        </w:rPr>
        <w:t xml:space="preserve">هو الحکیم مجد الدین أبو إسحاق مادح الأمیر نوح بن منصور، و راثیه بعد موته فی 387 ترجمه فی (مع 1: 482) و أورد قرب مائة و خمسین بیتا له فی المدیح و الوعظ و الرثاء و غیرها منها قوله فی مدح الأمیر:</w:t>
      </w:r>
    </w:p>
    <w:p>
      <w:pPr>
        <w:pStyle w:val="BookText"/>
      </w:pPr>
      <w:r>
        <w:rPr>
          <w:rFonts w:ascii="IRNazanin" w:hAnsi="IRNazanin" w:eastAsia="IRNazanin" w:cs="IRNazanin"/>
          <w:lang w:bidi="fa-IR"/>
          <w:color w:val="111111"/>
          <w:sz w:val="28"/>
          <w:szCs w:val="28"/>
          <w:rtl/>
        </w:rPr>
        <w:t xml:space="preserve">این دین هدا را بمثل دایره‏ای دان‏</w:t>
      </w:r>
    </w:p>
    <w:p>
      <w:pPr>
        <w:pStyle w:val="BookText"/>
      </w:pPr>
      <w:r>
        <w:rPr>
          <w:rFonts w:ascii="IRNazanin" w:hAnsi="IRNazanin" w:eastAsia="IRNazanin" w:cs="IRNazanin"/>
          <w:lang w:bidi="fa-IR"/>
          <w:color w:val="111111"/>
          <w:sz w:val="28"/>
          <w:szCs w:val="28"/>
          <w:rtl/>
        </w:rPr>
        <w:t xml:space="preserve">پیغمبر ما مرکز و حیدر خط پرگار</w:t>
      </w:r>
    </w:p>
    <w:p>
      <w:pPr>
        <w:pStyle w:val="BookText"/>
      </w:pPr>
      <w:r>
        <w:rPr>
          <w:rFonts w:ascii="IRNazanin" w:hAnsi="IRNazanin" w:eastAsia="IRNazanin" w:cs="IRNazanin"/>
          <w:lang w:bidi="fa-IR"/>
          <w:color w:val="111111"/>
          <w:sz w:val="28"/>
          <w:szCs w:val="28"/>
          <w:rtl/>
        </w:rPr>
        <w:t xml:space="preserve">علم همه عالم بعلی داد پیمبر</w:t>
      </w:r>
    </w:p>
    <w:p>
      <w:pPr>
        <w:pStyle w:val="BookText"/>
      </w:pPr>
      <w:r>
        <w:rPr>
          <w:rFonts w:ascii="IRNazanin" w:hAnsi="IRNazanin" w:eastAsia="IRNazanin" w:cs="IRNazanin"/>
          <w:lang w:bidi="fa-IR"/>
          <w:color w:val="111111"/>
          <w:sz w:val="28"/>
          <w:szCs w:val="28"/>
          <w:rtl/>
        </w:rPr>
        <w:t xml:space="preserve">چون أبر بهاری که دهد سیل به گلزار</w:t>
      </w:r>
    </w:p>
    <w:p>
      <w:pPr>
        <w:pStyle w:val="BookText"/>
      </w:pPr>
      <w:r>
        <w:rPr>
          <w:rFonts w:ascii="IRNazanin" w:hAnsi="IRNazanin" w:eastAsia="IRNazanin" w:cs="IRNazanin"/>
          <w:lang w:bidi="fa-IR"/>
          <w:color w:val="111111"/>
          <w:sz w:val="28"/>
          <w:szCs w:val="28"/>
          <w:rtl/>
        </w:rPr>
        <w:t xml:space="preserve">و قد بعث بعضها إلی الناصر خسرو العلوی الشیعی فأجابه بمثلها. و ذکر مناقبه لعلی فی کتاب النقض- ص 252 و 628. و ترجم أیضا. فی الکنی و الألقاب للقمی و کذا فی (تش- ص 131) و ریحانة الأدب عن القاموس الترکی ولد 341. کما قال هو فی شعره:</w:t>
      </w:r>
    </w:p>
    <w:p>
      <w:pPr>
        <w:pStyle w:val="BookText"/>
      </w:pPr>
      <w:r>
        <w:rPr>
          <w:rFonts w:ascii="IRNazanin" w:hAnsi="IRNazanin" w:eastAsia="IRNazanin" w:cs="IRNazanin"/>
          <w:lang w:bidi="fa-IR"/>
          <w:color w:val="111111"/>
          <w:sz w:val="28"/>
          <w:szCs w:val="28"/>
          <w:rtl/>
        </w:rPr>
        <w:t xml:space="preserve">به سیصد و چهل و یک رسید نوبت سال‏</w:t>
      </w:r>
    </w:p>
    <w:p>
      <w:pPr>
        <w:pStyle w:val="BookText"/>
      </w:pPr>
      <w:r>
        <w:rPr>
          <w:rFonts w:ascii="IRNazanin" w:hAnsi="IRNazanin" w:eastAsia="IRNazanin" w:cs="IRNazanin"/>
          <w:lang w:bidi="fa-IR"/>
          <w:color w:val="111111"/>
          <w:sz w:val="28"/>
          <w:szCs w:val="28"/>
          <w:rtl/>
        </w:rPr>
        <w:t xml:space="preserve">چهارشنبه و سه روز باقی از شوال‏</w:t>
      </w:r>
    </w:p>
    <w:p>
      <w:pPr>
        <w:pStyle w:val="BookText"/>
      </w:pPr>
      <w:r>
        <w:rPr>
          <w:rFonts w:ascii="IRNazanin" w:hAnsi="IRNazanin" w:eastAsia="IRNazanin" w:cs="IRNazanin"/>
          <w:lang w:bidi="fa-IR"/>
          <w:color w:val="111111"/>
          <w:sz w:val="28"/>
          <w:szCs w:val="28"/>
          <w:rtl/>
        </w:rPr>
        <w:t xml:space="preserve">بیامدم بجهان تا چه گویم و چه کنم‏</w:t>
      </w:r>
    </w:p>
    <w:p>
      <w:pPr>
        <w:pStyle w:val="BookText"/>
      </w:pPr>
      <w:r>
        <w:rPr>
          <w:rFonts w:ascii="IRNazanin" w:hAnsi="IRNazanin" w:eastAsia="IRNazanin" w:cs="IRNazanin"/>
          <w:lang w:bidi="fa-IR"/>
          <w:color w:val="111111"/>
          <w:sz w:val="28"/>
          <w:szCs w:val="28"/>
          <w:rtl/>
        </w:rPr>
        <w:t xml:space="preserve">سرود گویم و شادی کنم به نعمت و مال‏</w:t>
      </w:r>
    </w:p>
    <w:p>
      <w:pPr>
        <w:pStyle w:val="BookText"/>
      </w:pPr>
      <w:r>
        <w:rPr>
          <w:rFonts w:ascii="IRNazanin" w:hAnsi="IRNazanin" w:eastAsia="IRNazanin" w:cs="IRNazanin"/>
          <w:lang w:bidi="fa-IR"/>
          <w:color w:val="111111"/>
          <w:sz w:val="28"/>
          <w:szCs w:val="28"/>
          <w:rtl/>
        </w:rPr>
        <w:t xml:space="preserve">و کان حیا فی 391 و وصل عمره إلی الخمسین حیث قال:</w:t>
      </w:r>
    </w:p>
    <w:p>
      <w:pPr>
        <w:pStyle w:val="BookText"/>
      </w:pPr>
      <w:r>
        <w:rPr>
          <w:rFonts w:ascii="IRNazanin" w:hAnsi="IRNazanin" w:eastAsia="IRNazanin" w:cs="IRNazanin"/>
          <w:lang w:bidi="fa-IR"/>
          <w:color w:val="111111"/>
          <w:sz w:val="28"/>
          <w:szCs w:val="28"/>
          <w:rtl/>
        </w:rPr>
        <w:t xml:space="preserve">أیا کسائی پنجاه بر تو پنجه گذاشت‏</w:t>
      </w:r>
    </w:p>
    <w:p>
      <w:pPr>
        <w:pStyle w:val="BookText"/>
      </w:pPr>
      <w:r>
        <w:rPr>
          <w:rFonts w:ascii="IRNazanin" w:hAnsi="IRNazanin" w:eastAsia="IRNazanin" w:cs="IRNazanin"/>
          <w:lang w:bidi="fa-IR"/>
          <w:color w:val="111111"/>
          <w:sz w:val="28"/>
          <w:szCs w:val="28"/>
          <w:rtl/>
        </w:rPr>
        <w:t xml:space="preserve">بکند بال ترا بپنجه و چنگال‏</w:t>
      </w:r>
    </w:p>
    <w:p>
      <w:pPr>
        <w:pStyle w:val="BookText"/>
      </w:pPr>
      <w:r>
        <w:rPr>
          <w:rFonts w:ascii="IRNazanin" w:hAnsi="IRNazanin" w:eastAsia="IRNazanin" w:cs="IRNazanin"/>
          <w:lang w:bidi="fa-IR"/>
          <w:color w:val="111111"/>
          <w:sz w:val="28"/>
          <w:szCs w:val="28"/>
          <w:rtl/>
        </w:rPr>
        <w:t xml:space="preserve">و مدح عبید الله بن أحمد بن الحسن العتبی الوزیر (365- 372) و له أشعار کثیرة فی کتب اللغة، و منها مثنوی بالبحر الخفیف‏</w:t>
      </w:r>
    </w:p>
    <w:p>
      <w:pPr>
        <w:pStyle w:val="Heading3"/>
      </w:pPr>
      <w:bookmarkStart w:id="7969" w:name="_Toc6665"/>
      <w:r>
        <w:t>6017- دیوان کسرائی‏</w:t>
      </w:r>
      <w:bookmarkEnd w:id="7969"/>
    </w:p>
    <w:p>
      <w:pPr>
        <w:pStyle w:val="BookText"/>
      </w:pPr>
      <w:r>
        <w:rPr>
          <w:rFonts w:ascii="IRNazanin" w:hAnsi="IRNazanin" w:eastAsia="IRNazanin" w:cs="IRNazanin"/>
          <w:lang w:bidi="fa-IR"/>
          <w:color w:val="111111"/>
          <w:sz w:val="28"/>
          <w:szCs w:val="28"/>
          <w:rtl/>
        </w:rPr>
        <w:t xml:space="preserve">و اسمه سیاوش. طبع له آرش کمان‏گیر و آوا فی 84 ص. بطهران.</w:t>
      </w:r>
    </w:p>
    <w:p>
      <w:pPr>
        <w:pStyle w:val="Heading3"/>
      </w:pPr>
      <w:bookmarkStart w:id="7970" w:name="_Toc6666"/>
      <w:r>
        <w:t>دیوان کسری أنجدانی‏</w:t>
      </w:r>
      <w:bookmarkEnd w:id="7970"/>
    </w:p>
    <w:p>
      <w:pPr>
        <w:pStyle w:val="BookText"/>
      </w:pPr>
      <w:r>
        <w:rPr>
          <w:rFonts w:ascii="IRNazanin" w:hAnsi="IRNazanin" w:eastAsia="IRNazanin" w:cs="IRNazanin"/>
          <w:lang w:bidi="fa-IR"/>
          <w:color w:val="111111"/>
          <w:sz w:val="28"/>
          <w:szCs w:val="28"/>
          <w:rtl/>
        </w:rPr>
        <w:t xml:space="preserve">راجع طیفور و ملک طیفور.</w:t>
      </w:r>
    </w:p>
    <w:p>
      <w:pPr>
        <w:pStyle w:val="Heading3"/>
      </w:pPr>
      <w:bookmarkStart w:id="7971" w:name="_Toc6667"/>
      <w:r>
        <w:t>6018- دیوان کسوتی یزدی أو شعره‏</w:t>
      </w:r>
      <w:bookmarkEnd w:id="7971"/>
    </w:p>
    <w:p>
      <w:pPr>
        <w:pStyle w:val="BookText"/>
      </w:pPr>
      <w:r>
        <w:rPr>
          <w:rFonts w:ascii="IRNazanin" w:hAnsi="IRNazanin" w:eastAsia="IRNazanin" w:cs="IRNazanin"/>
          <w:lang w:bidi="fa-IR"/>
          <w:color w:val="111111"/>
          <w:sz w:val="28"/>
          <w:szCs w:val="28"/>
          <w:rtl/>
        </w:rPr>
        <w:t xml:space="preserve">و اسمه فتح الله أو فتح علی. کان معاصر وحشی‏
</w:t>
      </w:r>
    </w:p>
    <w:p>
      <w:pPr>
        <w:sectPr>
          <w:footerReference w:type="default" r:id="rId919"/>
          <w:footnotePr>
            <w:numStart w:val="1"/>
            <w:numRestart w:val="eachPage"/>
          </w:footnotePr>
          <w:pgSz w:orient="portrait" w:w="11905.511811023622" w:h="16837.79527559055"/>
          <w:pgMar w:top="1440" w:right="1440" w:bottom="1440" w:left="1440" w:header="720" w:footer="720" w:gutter="0"/>
          <w:cols w:num="1" w:space="720"/>
        </w:sectPr>
      </w:pPr>
    </w:p>
    <w:bookmarkStart w:id="901" w:name="pg11704_122387"/>
    <w:bookmarkEnd w:id="901"/>
    <w:p>
      <w:pPr>
        <w:pStyle w:val="BookText"/>
      </w:pPr>
      <w:r>
        <w:rPr>
          <w:rFonts w:ascii="IRNazanin" w:hAnsi="IRNazanin" w:eastAsia="IRNazanin" w:cs="IRNazanin"/>
          <w:lang w:bidi="fa-IR"/>
          <w:color w:val="111111"/>
          <w:sz w:val="28"/>
          <w:szCs w:val="28"/>
          <w:rtl/>
        </w:rPr>
        <w:t xml:space="preserve">البافقی و مدح میر میران. ترجمه و أورد شعره فی (تش- ص 261) فی ذم الشاه نعمة الله و اقتباسه من شعر الشاه طاهر الدکنی. و أورد شعره فی (تش یز- ص 325) و (روشن- ص 574) أیضا.</w:t>
      </w:r>
    </w:p>
    <w:p>
      <w:pPr>
        <w:pStyle w:val="Heading3"/>
      </w:pPr>
      <w:bookmarkStart w:id="7972" w:name="_Toc6668"/>
      <w:r>
        <w:t>6019- دیوان کشاجم‏</w:t>
      </w:r>
      <w:bookmarkEnd w:id="7972"/>
    </w:p>
    <w:p>
      <w:pPr>
        <w:pStyle w:val="BookText"/>
      </w:pPr>
      <w:r>
        <w:rPr>
          <w:rFonts w:ascii="IRNazanin" w:hAnsi="IRNazanin" w:eastAsia="IRNazanin" w:cs="IRNazanin"/>
          <w:lang w:bidi="fa-IR"/>
          <w:color w:val="111111"/>
          <w:sz w:val="28"/>
          <w:szCs w:val="28"/>
          <w:rtl/>
        </w:rPr>
        <w:t xml:space="preserve">هو اسم لکل شاعر یکون منجما کاتبا (ک- شا- جم) و منهم أبو الفتح محمود الرملی صاحب أدب الندیم و البیزرة و المصائد و المطارد و مر دیوانه فی 5: 7 بعنوان الثغر الباسم و ذکرناه أیضا فی ص 46 بعنوان دیوان أبی الفتح و إنه طبع 1313 فی 188 ص. أقول إنه ناقص و النسخة الکاملة کانت فی مکتبة (السماوی) جمعها أبو بکر محمد بن عبد الله الحمدونی مرتبا علی الحروف و بعد الجمع ألحق بها زوائد.</w:t>
      </w:r>
    </w:p>
    <w:p>
      <w:pPr>
        <w:pStyle w:val="Heading3"/>
      </w:pPr>
      <w:bookmarkStart w:id="7973" w:name="_Toc6669"/>
      <w:r>
        <w:t>6020- دیوان کشفی أکبرآبادی‏</w:t>
      </w:r>
      <w:bookmarkEnd w:id="7973"/>
    </w:p>
    <w:p>
      <w:pPr>
        <w:pStyle w:val="BookText"/>
      </w:pPr>
      <w:r>
        <w:rPr>
          <w:rFonts w:ascii="IRNazanin" w:hAnsi="IRNazanin" w:eastAsia="IRNazanin" w:cs="IRNazanin"/>
          <w:lang w:bidi="fa-IR"/>
          <w:color w:val="111111"/>
          <w:sz w:val="28"/>
          <w:szCs w:val="28"/>
          <w:rtl/>
        </w:rPr>
        <w:t xml:space="preserve">لمیر صالح بن السید عبد الله مشکین رقم و صفی الهندی الخطاط المنشی من السلسلة القادریة هناک. یتخلص فی دیوانه الفارسی کشفی و فی الهندی سبحانی و مات بشاه جهان‏آباد فی 1060 [قطب هادی میر صالح متقی‏]. ذکر فی خزینة الأصفیاء 2: 350 کما فی الریحانة.</w:t>
      </w:r>
    </w:p>
    <w:p>
      <w:pPr>
        <w:pStyle w:val="Heading3"/>
      </w:pPr>
      <w:bookmarkStart w:id="7974" w:name="_Toc6670"/>
      <w:r>
        <w:t>6021- دیوان کشفی دارابی‏</w:t>
      </w:r>
      <w:bookmarkEnd w:id="7974"/>
    </w:p>
    <w:p>
      <w:pPr>
        <w:pStyle w:val="BookText"/>
      </w:pPr>
      <w:r>
        <w:rPr>
          <w:rFonts w:ascii="IRNazanin" w:hAnsi="IRNazanin" w:eastAsia="IRNazanin" w:cs="IRNazanin"/>
          <w:lang w:bidi="fa-IR"/>
          <w:color w:val="111111"/>
          <w:sz w:val="28"/>
          <w:szCs w:val="28"/>
          <w:rtl/>
        </w:rPr>
        <w:t xml:space="preserve">السید جعفر بن أبی إسحاق الموسوی الدارابی البروجردی معاصر صاحب الجواهر و حجة الإسلام الشفتی. ولد 1189 و توفی 1267 له أراجیز فی الکلام و المنطق و النحو و منظومة البلد الأمین الموجود نسخته عند السید محمد علی الروضاتی</w:t>
      </w:r>
    </w:p>
    <w:p>
      <w:pPr>
        <w:pStyle w:val="BookText"/>
      </w:pPr>
      <w:r>
        <w:rPr>
          <w:rFonts w:ascii="IRNazanin" w:hAnsi="IRNazanin" w:eastAsia="IRNazanin" w:cs="IRNazanin"/>
          <w:lang w:bidi="fa-IR"/>
          <w:color w:val="111111"/>
          <w:sz w:val="28"/>
          <w:szCs w:val="28"/>
          <w:rtl/>
        </w:rPr>
        <w:t xml:space="preserve">بأصفهان و عند السید حسین الشهشهانی المتوفی فی 1381 بطهران و کفایة الأیتام الموجود فی (المجلس) کما فی فهرسها 3: 75 و أخوه السید یحیی بن أبی إسحاق صار من زعماء البابیة و قتل فی حیاة أبیه.</w:t>
      </w:r>
    </w:p>
    <w:p>
      <w:pPr>
        <w:pStyle w:val="Heading3"/>
      </w:pPr>
      <w:bookmarkStart w:id="7975" w:name="_Toc6671"/>
      <w:r>
        <w:t>6022- دیوان کشفی هندی‏</w:t>
      </w:r>
      <w:bookmarkEnd w:id="7975"/>
    </w:p>
    <w:p>
      <w:pPr>
        <w:pStyle w:val="BookText"/>
      </w:pPr>
      <w:r>
        <w:rPr>
          <w:rFonts w:ascii="IRNazanin" w:hAnsi="IRNazanin" w:eastAsia="IRNazanin" w:cs="IRNazanin"/>
          <w:lang w:bidi="fa-IR"/>
          <w:color w:val="111111"/>
          <w:sz w:val="28"/>
          <w:szCs w:val="28"/>
          <w:rtl/>
        </w:rPr>
        <w:t xml:space="preserve">لسلامة الله الکشفی الهندی. طبع بنولکشور.</w:t>
      </w:r>
    </w:p>
    <w:p>
      <w:pPr>
        <w:pStyle w:val="Heading3"/>
      </w:pPr>
      <w:bookmarkStart w:id="7976" w:name="_Toc6672"/>
      <w:r>
        <w:t>6023- دیوان الکشمیری‏</w:t>
      </w:r>
      <w:bookmarkEnd w:id="7976"/>
    </w:p>
    <w:p>
      <w:pPr>
        <w:pStyle w:val="BookText"/>
      </w:pPr>
      <w:r>
        <w:rPr>
          <w:rFonts w:ascii="IRNazanin" w:hAnsi="IRNazanin" w:eastAsia="IRNazanin" w:cs="IRNazanin"/>
          <w:lang w:bidi="fa-IR"/>
          <w:color w:val="111111"/>
          <w:sz w:val="28"/>
          <w:szCs w:val="28"/>
          <w:rtl/>
        </w:rPr>
        <w:t xml:space="preserve">السید محمد بن جمال السالکین و علم الهدی شیخنا السید المرتضی الرضوی الکشمیری المولود فی النجف 1308 سمی دیوانه العربی حصی النجف کما مر فی ج 7 ص 23 و الفارسی اسمه ریگستان نجف مطبوع.</w:t>
      </w:r>
    </w:p>
    <w:p>
      <w:pPr>
        <w:pStyle w:val="Heading3"/>
      </w:pPr>
      <w:bookmarkStart w:id="7977" w:name="_Toc6673"/>
      <w:r>
        <w:t>6024- دیوان کشوری رودباری‏</w:t>
      </w:r>
      <w:bookmarkEnd w:id="7977"/>
    </w:p>
    <w:p>
      <w:pPr>
        <w:pStyle w:val="BookText"/>
      </w:pPr>
      <w:r>
        <w:rPr>
          <w:rFonts w:ascii="IRNazanin" w:hAnsi="IRNazanin" w:eastAsia="IRNazanin" w:cs="IRNazanin"/>
          <w:lang w:bidi="fa-IR"/>
          <w:color w:val="111111"/>
          <w:sz w:val="28"/>
          <w:szCs w:val="28"/>
          <w:rtl/>
        </w:rPr>
        <w:t xml:space="preserve">من رودبار بمحال قزوین کما ذکره معاصر سام میرزا فی (تس- ص 151) و أطری خطه النسخ التعلیق قال و شعره کثیر
</w:t>
      </w:r>
    </w:p>
    <w:p>
      <w:pPr>
        <w:sectPr>
          <w:footerReference w:type="default" r:id="rId920"/>
          <w:footnotePr>
            <w:numStart w:val="1"/>
            <w:numRestart w:val="eachPage"/>
          </w:footnotePr>
          <w:pgSz w:orient="portrait" w:w="11905.511811023622" w:h="16837.79527559055"/>
          <w:pgMar w:top="1440" w:right="1440" w:bottom="1440" w:left="1440" w:header="720" w:footer="720" w:gutter="0"/>
          <w:cols w:num="1" w:space="720"/>
        </w:sectPr>
      </w:pPr>
    </w:p>
    <w:bookmarkStart w:id="902" w:name="pg11704_122388"/>
    <w:bookmarkEnd w:id="902"/>
    <w:p>
      <w:pPr>
        <w:pStyle w:val="Heading3"/>
      </w:pPr>
      <w:bookmarkStart w:id="7978" w:name="_Toc6674"/>
      <w:r>
        <w:t>6025- دیوان کشوری دیلمقانی‏</w:t>
      </w:r>
      <w:bookmarkEnd w:id="7978"/>
    </w:p>
    <w:p>
      <w:pPr>
        <w:pStyle w:val="BookText"/>
      </w:pPr>
      <w:r>
        <w:rPr>
          <w:rFonts w:ascii="IRNazanin" w:hAnsi="IRNazanin" w:eastAsia="IRNazanin" w:cs="IRNazanin"/>
          <w:lang w:bidi="fa-IR"/>
          <w:color w:val="111111"/>
          <w:sz w:val="28"/>
          <w:szCs w:val="28"/>
          <w:rtl/>
        </w:rPr>
        <w:t xml:space="preserve">و اسمه نعمت الله الدیلمقانی ذکره فی (دجا- ص 315) و قال إن دیوانه مرکب مخلوط من الفارسی و الترکی‏</w:t>
      </w:r>
    </w:p>
    <w:p>
      <w:pPr>
        <w:pStyle w:val="Heading3"/>
      </w:pPr>
      <w:bookmarkStart w:id="7979" w:name="_Toc6675"/>
      <w:r>
        <w:t>6026- دیوان کعب بن زهیر</w:t>
      </w:r>
      <w:bookmarkEnd w:id="7979"/>
    </w:p>
    <w:p>
      <w:pPr>
        <w:pStyle w:val="BookText"/>
      </w:pPr>
      <w:r>
        <w:rPr>
          <w:rFonts w:ascii="IRNazanin" w:hAnsi="IRNazanin" w:eastAsia="IRNazanin" w:cs="IRNazanin"/>
          <w:lang w:bidi="fa-IR"/>
          <w:color w:val="111111"/>
          <w:sz w:val="28"/>
          <w:szCs w:val="28"/>
          <w:rtl/>
        </w:rPr>
        <w:t xml:space="preserve">بن أبی سلمی المازنی المتوفی عام 26 صاحب القصیدة فی مدیح النبی بانت سعاد اللامیة الشهیرة التی کثر مخمسوها و مشطروها و معارضوها و شراحها و مترجموها إلی اللغات الأخری طبعت مع الترجمة الإفرنسیة و قصیدة مدح الوصی صهر النبی و خیر الناس کلهم، و مدیح الحسین الشهید [</w:t>
      </w:r>
    </w:p>
    <w:p>
      <w:pPr>
        <w:pStyle w:val="BookText"/>
      </w:pPr>
      <w:r>
        <w:rPr>
          <w:rFonts w:ascii="IRNazanin" w:hAnsi="IRNazanin" w:eastAsia="IRNazanin" w:cs="IRNazanin"/>
          <w:lang w:bidi="fa-IR"/>
          <w:color w:val="111111"/>
          <w:sz w:val="28"/>
          <w:szCs w:val="28"/>
          <w:rtl/>
        </w:rPr>
        <w:t xml:space="preserve">مسح النبی جبینه‏</w:t>
      </w:r>
    </w:p>
    <w:p>
      <w:pPr>
        <w:pStyle w:val="BookText"/>
      </w:pPr>
      <w:r>
        <w:rPr>
          <w:rFonts w:ascii="IRNazanin" w:hAnsi="IRNazanin" w:eastAsia="IRNazanin" w:cs="IRNazanin"/>
          <w:lang w:bidi="fa-IR"/>
          <w:color w:val="111111"/>
          <w:sz w:val="28"/>
          <w:szCs w:val="28"/>
          <w:rtl/>
        </w:rPr>
        <w:t xml:space="preserve">فله بیاض فی الخدود</w:t>
      </w:r>
    </w:p>
    <w:p>
      <w:pPr>
        <w:pStyle w:val="BookText"/>
      </w:pPr>
      <w:r>
        <w:rPr>
          <w:rFonts w:ascii="IRNazanin" w:hAnsi="IRNazanin" w:eastAsia="IRNazanin" w:cs="IRNazanin"/>
          <w:lang w:bidi="fa-IR"/>
          <w:color w:val="111111"/>
          <w:sz w:val="28"/>
          <w:szCs w:val="28"/>
          <w:rtl/>
        </w:rPr>
        <w:t xml:space="preserve">] ترجمه السید علی خان المدنی فی الدرجات الرفیعة فی طبقات الشیعة و سیدنا الحسن صدر الدین فی تأسیس الشیعة- ص 185 و القاضی نور الله فی (لس- ص 440) و عده ابن شهرآشوب فی (المعالم- ص 138) من شعراء الشیعة</w:t>
      </w:r>
    </w:p>
    <w:p>
      <w:pPr>
        <w:pStyle w:val="Heading3"/>
      </w:pPr>
      <w:bookmarkStart w:id="7980" w:name="_Toc6676"/>
      <w:r>
        <w:t>6027- دیوان الکعبی‏</w:t>
      </w:r>
      <w:bookmarkEnd w:id="7980"/>
    </w:p>
    <w:p>
      <w:pPr>
        <w:pStyle w:val="BookText"/>
      </w:pPr>
      <w:r>
        <w:rPr>
          <w:rFonts w:ascii="IRNazanin" w:hAnsi="IRNazanin" w:eastAsia="IRNazanin" w:cs="IRNazanin"/>
          <w:lang w:bidi="fa-IR"/>
          <w:color w:val="111111"/>
          <w:sz w:val="28"/>
          <w:szCs w:val="28"/>
          <w:rtl/>
        </w:rPr>
        <w:t xml:space="preserve">للحاج هاشم بن حردان الکعبی المتوفی 1331 فیه المدائح و المراثی لأهل البیت طبع فی النجف 1354</w:t>
      </w:r>
    </w:p>
    <w:p>
      <w:pPr>
        <w:pStyle w:val="Heading3"/>
      </w:pPr>
      <w:bookmarkStart w:id="7981" w:name="_Toc6677"/>
      <w:r>
        <w:t>6028- دیوان کفائی گنجوی أو شعره‏</w:t>
      </w:r>
      <w:bookmarkEnd w:id="7981"/>
    </w:p>
    <w:p>
      <w:pPr>
        <w:pStyle w:val="BookText"/>
      </w:pPr>
      <w:r>
        <w:rPr>
          <w:rFonts w:ascii="IRNazanin" w:hAnsi="IRNazanin" w:eastAsia="IRNazanin" w:cs="IRNazanin"/>
          <w:lang w:bidi="fa-IR"/>
          <w:color w:val="111111"/>
          <w:sz w:val="28"/>
          <w:szCs w:val="28"/>
          <w:rtl/>
        </w:rPr>
        <w:t xml:space="preserve">کان من مادحی ملوک طبرستان کذا ذکر فی (دجا- ص 315)</w:t>
      </w:r>
    </w:p>
    <w:p>
      <w:pPr>
        <w:pStyle w:val="Heading3"/>
      </w:pPr>
      <w:bookmarkStart w:id="7982" w:name="_Toc6678"/>
      <w:r>
        <w:t>6029- دیوان الکفائی النجفی‏</w:t>
      </w:r>
      <w:bookmarkEnd w:id="7982"/>
    </w:p>
    <w:p>
      <w:pPr>
        <w:pStyle w:val="BookText"/>
      </w:pPr>
      <w:r>
        <w:rPr>
          <w:rFonts w:ascii="IRNazanin" w:hAnsi="IRNazanin" w:eastAsia="IRNazanin" w:cs="IRNazanin"/>
          <w:lang w:bidi="fa-IR"/>
          <w:color w:val="111111"/>
          <w:sz w:val="28"/>
          <w:szCs w:val="28"/>
          <w:rtl/>
        </w:rPr>
        <w:t xml:space="preserve">السید محمد کاظم بن محسن بن الخطیب المعمر السید حسین الکفائی الموسوی النجفی مؤلف عصور الأدب العربی المطبوع 1368 و الزهراء المطبوع 1369 باللغة الدارجة بالعراق‏</w:t>
      </w:r>
    </w:p>
    <w:p>
      <w:pPr>
        <w:pStyle w:val="Heading3"/>
      </w:pPr>
      <w:bookmarkStart w:id="7983" w:name="_Toc6679"/>
      <w:r>
        <w:t>6030- دیوان کفایت هروی أو شعره‏</w:t>
      </w:r>
      <w:bookmarkEnd w:id="7983"/>
    </w:p>
    <w:p>
      <w:pPr>
        <w:pStyle w:val="BookText"/>
      </w:pPr>
      <w:r>
        <w:rPr>
          <w:rFonts w:ascii="IRNazanin" w:hAnsi="IRNazanin" w:eastAsia="IRNazanin" w:cs="IRNazanin"/>
          <w:lang w:bidi="fa-IR"/>
          <w:color w:val="111111"/>
          <w:sz w:val="28"/>
          <w:szCs w:val="28"/>
          <w:rtl/>
        </w:rPr>
        <w:t xml:space="preserve">و اسمه یوسف شاه الخطاط أورد شعره فی (گلشن- ص 340)</w:t>
      </w:r>
    </w:p>
    <w:p>
      <w:pPr>
        <w:pStyle w:val="Heading3"/>
      </w:pPr>
      <w:bookmarkStart w:id="7984" w:name="_Toc6680"/>
      <w:r>
        <w:t>6031- دیوان کفاش أصفهانی‏</w:t>
      </w:r>
      <w:bookmarkEnd w:id="7984"/>
    </w:p>
    <w:p>
      <w:pPr>
        <w:pStyle w:val="BookText"/>
      </w:pPr>
      <w:r>
        <w:rPr>
          <w:rFonts w:ascii="IRNazanin" w:hAnsi="IRNazanin" w:eastAsia="IRNazanin" w:cs="IRNazanin"/>
          <w:lang w:bidi="fa-IR"/>
          <w:color w:val="111111"/>
          <w:sz w:val="28"/>
          <w:szCs w:val="28"/>
          <w:rtl/>
        </w:rPr>
        <w:t xml:space="preserve">فی مراثی الحسین الشهید رأیت قرب خمسمائة بیت منه ضمن مجموعة بیاضیة عند السید محمد الموسوی الجزائری فی النجف‏</w:t>
      </w:r>
    </w:p>
    <w:p>
      <w:pPr>
        <w:pStyle w:val="Heading3"/>
      </w:pPr>
      <w:bookmarkStart w:id="7985" w:name="_Toc6681"/>
      <w:r>
        <w:t>دیوان کفراد</w:t>
      </w:r>
      <w:bookmarkEnd w:id="7985"/>
    </w:p>
    <w:p>
      <w:pPr>
        <w:pStyle w:val="BookText"/>
      </w:pPr>
      <w:r>
        <w:rPr>
          <w:rFonts w:ascii="IRNazanin" w:hAnsi="IRNazanin" w:eastAsia="IRNazanin" w:cs="IRNazanin"/>
          <w:lang w:bidi="fa-IR"/>
          <w:color w:val="111111"/>
          <w:sz w:val="28"/>
          <w:szCs w:val="28"/>
          <w:rtl/>
        </w:rPr>
        <w:t xml:space="preserve">راجع دیوان نور الله کفراد</w:t>
      </w:r>
    </w:p>
    <w:p>
      <w:pPr>
        <w:pStyle w:val="Heading3"/>
      </w:pPr>
      <w:bookmarkStart w:id="7986" w:name="_Toc6682"/>
      <w:r>
        <w:t>6032- دیوان کفری تربتی أو شعره‏</w:t>
      </w:r>
      <w:bookmarkEnd w:id="7986"/>
    </w:p>
    <w:p>
      <w:pPr>
        <w:pStyle w:val="BookText"/>
      </w:pPr>
      <w:r>
        <w:rPr>
          <w:rFonts w:ascii="IRNazanin" w:hAnsi="IRNazanin" w:eastAsia="IRNazanin" w:cs="IRNazanin"/>
          <w:lang w:bidi="fa-IR"/>
          <w:color w:val="111111"/>
          <w:sz w:val="28"/>
          <w:szCs w:val="28"/>
          <w:rtl/>
        </w:rPr>
        <w:t xml:space="preserve">و اسمه المیر حسین الخطاط بالشکسته سافر إلی الهند و تقرب عند خان خانان و مات 1077 أورد شعره فی (گلشن- ص 340)</w:t>
      </w:r>
    </w:p>
    <w:p>
      <w:pPr>
        <w:pStyle w:val="Heading3"/>
      </w:pPr>
      <w:bookmarkStart w:id="7987" w:name="_Toc6683"/>
      <w:r>
        <w:t>6033- دیوان کفری یزدی أو شعره‏</w:t>
      </w:r>
      <w:bookmarkEnd w:id="7987"/>
    </w:p>
    <w:p>
      <w:pPr>
        <w:pStyle w:val="BookText"/>
      </w:pPr>
      <w:r>
        <w:rPr>
          <w:rFonts w:ascii="IRNazanin" w:hAnsi="IRNazanin" w:eastAsia="IRNazanin" w:cs="IRNazanin"/>
          <w:lang w:bidi="fa-IR"/>
          <w:color w:val="111111"/>
          <w:sz w:val="28"/>
          <w:szCs w:val="28"/>
          <w:rtl/>
        </w:rPr>
        <w:t xml:space="preserve">ترجمه معاصره النصرآبادی فی (نر 9- ص 419) و أطری سخاءه و أورد بعض شعره‏
</w:t>
      </w:r>
    </w:p>
    <w:p>
      <w:pPr>
        <w:sectPr>
          <w:footerReference w:type="default" r:id="rId921"/>
          <w:footnotePr>
            <w:numStart w:val="1"/>
            <w:numRestart w:val="eachPage"/>
          </w:footnotePr>
          <w:pgSz w:orient="portrait" w:w="11905.511811023622" w:h="16837.79527559055"/>
          <w:pgMar w:top="1440" w:right="1440" w:bottom="1440" w:left="1440" w:header="720" w:footer="720" w:gutter="0"/>
          <w:cols w:num="1" w:space="720"/>
        </w:sectPr>
      </w:pPr>
    </w:p>
    <w:bookmarkStart w:id="903" w:name="pg11704_122389"/>
    <w:bookmarkEnd w:id="903"/>
    <w:p>
      <w:pPr>
        <w:pStyle w:val="Heading3"/>
      </w:pPr>
      <w:bookmarkStart w:id="7988" w:name="_Toc6684"/>
      <w:r>
        <w:t>6034- دیوان الکفعمی‏</w:t>
      </w:r>
      <w:bookmarkEnd w:id="7988"/>
    </w:p>
    <w:p>
      <w:pPr>
        <w:pStyle w:val="BookText"/>
      </w:pPr>
      <w:r>
        <w:rPr>
          <w:rFonts w:ascii="IRNazanin" w:hAnsi="IRNazanin" w:eastAsia="IRNazanin" w:cs="IRNazanin"/>
          <w:lang w:bidi="fa-IR"/>
          <w:color w:val="111111"/>
          <w:sz w:val="28"/>
          <w:szCs w:val="28"/>
          <w:rtl/>
        </w:rPr>
        <w:t xml:space="preserve">الشیخ تقی الدین إبراهیم بن علی له أرجوزة منهج السلامة فیما یتأکد صیامه و مر له البدیعیة فی 3: 73</w:t>
      </w:r>
    </w:p>
    <w:p>
      <w:pPr>
        <w:pStyle w:val="Heading3"/>
      </w:pPr>
      <w:bookmarkStart w:id="7989" w:name="_Toc6685"/>
      <w:r>
        <w:t>6035- دیوان الکلاعی أو شعره‏</w:t>
      </w:r>
      <w:bookmarkEnd w:id="7989"/>
    </w:p>
    <w:p>
      <w:pPr>
        <w:pStyle w:val="BookText"/>
      </w:pPr>
      <w:r>
        <w:rPr>
          <w:rFonts w:ascii="IRNazanin" w:hAnsi="IRNazanin" w:eastAsia="IRNazanin" w:cs="IRNazanin"/>
          <w:lang w:bidi="fa-IR"/>
          <w:color w:val="111111"/>
          <w:sz w:val="28"/>
          <w:szCs w:val="28"/>
          <w:rtl/>
        </w:rPr>
        <w:t xml:space="preserve">هو محمد بن الحسن عده ابن شهرآشوب فی (المعالم- ص 140) من شعراء الشیعة</w:t>
      </w:r>
    </w:p>
    <w:p>
      <w:pPr>
        <w:pStyle w:val="Heading3"/>
      </w:pPr>
      <w:bookmarkStart w:id="7990" w:name="_Toc6686"/>
      <w:r>
        <w:t>6036- دیوان کلامی أصفهانی أو شعره‏</w:t>
      </w:r>
      <w:bookmarkEnd w:id="7990"/>
    </w:p>
    <w:p>
      <w:pPr>
        <w:pStyle w:val="BookText"/>
      </w:pPr>
      <w:r>
        <w:rPr>
          <w:rFonts w:ascii="IRNazanin" w:hAnsi="IRNazanin" w:eastAsia="IRNazanin" w:cs="IRNazanin"/>
          <w:lang w:bidi="fa-IR"/>
          <w:color w:val="111111"/>
          <w:sz w:val="28"/>
          <w:szCs w:val="28"/>
          <w:rtl/>
        </w:rPr>
        <w:t xml:space="preserve">ترجمه الصادقی فی (خص 8- ص 271 و ص 245) و ذکر أنه صاحبه من أصفهان إلی أبرقوه و ذکر بعض شعره و أورد النصرآبادی فی (نر 9 و 14 ص 289 و ص 493) بعض شعر کلامی و ذکر أیضا فی همیشه بهار و (روشن- ص 575) و ترجمه فی (تش- ص 186) و ذکرنا أخوه أو صاحبه سلامی أردبیلی فی ص 455</w:t>
      </w:r>
    </w:p>
    <w:p>
      <w:pPr>
        <w:pStyle w:val="Heading3"/>
      </w:pPr>
      <w:bookmarkStart w:id="7991" w:name="_Toc6687"/>
      <w:r>
        <w:t>6037- دیوان کلامی خافی‏</w:t>
      </w:r>
      <w:bookmarkEnd w:id="7991"/>
    </w:p>
    <w:p>
      <w:pPr>
        <w:pStyle w:val="BookText"/>
      </w:pPr>
      <w:r>
        <w:rPr>
          <w:rFonts w:ascii="IRNazanin" w:hAnsi="IRNazanin" w:eastAsia="IRNazanin" w:cs="IRNazanin"/>
          <w:lang w:bidi="fa-IR"/>
          <w:color w:val="111111"/>
          <w:sz w:val="28"/>
          <w:szCs w:val="28"/>
          <w:rtl/>
        </w:rPr>
        <w:t xml:space="preserve">ترجمه معاصره سام میرزا فی (تس 6- ص 158) و ذکر أنه سافر إلی هند و انقطع خبره، ثم أورد شعره‏</w:t>
      </w:r>
    </w:p>
    <w:p>
      <w:pPr>
        <w:pStyle w:val="Heading3"/>
      </w:pPr>
      <w:bookmarkStart w:id="7992" w:name="_Toc6688"/>
      <w:r>
        <w:t>6038- دیوان کلامی شیرازی أو شعره‏</w:t>
      </w:r>
      <w:bookmarkEnd w:id="7992"/>
    </w:p>
    <w:p>
      <w:pPr>
        <w:pStyle w:val="BookText"/>
      </w:pPr>
      <w:r>
        <w:rPr>
          <w:rFonts w:ascii="IRNazanin" w:hAnsi="IRNazanin" w:eastAsia="IRNazanin" w:cs="IRNazanin"/>
          <w:lang w:bidi="fa-IR"/>
          <w:color w:val="111111"/>
          <w:sz w:val="28"/>
          <w:szCs w:val="28"/>
          <w:rtl/>
        </w:rPr>
        <w:t xml:space="preserve">و هو عبد الله بن علی أشرف آگه المذکور فی ص 12 و قال فی (عم- 477) إنه یلقب بفخر العلماء و توفی 1299 و عنه أخذ فی الریحانة</w:t>
      </w:r>
    </w:p>
    <w:p>
      <w:pPr>
        <w:pStyle w:val="Heading3"/>
      </w:pPr>
      <w:bookmarkStart w:id="7993" w:name="_Toc6689"/>
      <w:r>
        <w:t>6039- دیوان کلامی کربلائی أو شعره‏</w:t>
      </w:r>
      <w:bookmarkEnd w:id="7993"/>
    </w:p>
    <w:p>
      <w:pPr>
        <w:pStyle w:val="BookText"/>
      </w:pPr>
      <w:r>
        <w:rPr>
          <w:rFonts w:ascii="IRNazanin" w:hAnsi="IRNazanin" w:eastAsia="IRNazanin" w:cs="IRNazanin"/>
          <w:lang w:bidi="fa-IR"/>
          <w:color w:val="111111"/>
          <w:sz w:val="28"/>
          <w:szCs w:val="28"/>
          <w:rtl/>
        </w:rPr>
        <w:t xml:space="preserve">و هو الشاعر الصوفی البکتاشی المعروف جهان دده ذکره عهدی البغدادی فی گلشن شعرا کما فی العراق بین الاحتلالین- 4: 137</w:t>
      </w:r>
    </w:p>
    <w:p>
      <w:pPr>
        <w:pStyle w:val="Heading3"/>
      </w:pPr>
      <w:bookmarkStart w:id="7994" w:name="_Toc6690"/>
      <w:r>
        <w:t>6040- دیوان کلامی لاری أو شعره‏</w:t>
      </w:r>
      <w:bookmarkEnd w:id="7994"/>
    </w:p>
    <w:p>
      <w:pPr>
        <w:pStyle w:val="BookText"/>
      </w:pPr>
      <w:r>
        <w:rPr>
          <w:rFonts w:ascii="IRNazanin" w:hAnsi="IRNazanin" w:eastAsia="IRNazanin" w:cs="IRNazanin"/>
          <w:lang w:bidi="fa-IR"/>
          <w:color w:val="111111"/>
          <w:sz w:val="28"/>
          <w:szCs w:val="28"/>
          <w:rtl/>
        </w:rPr>
        <w:t xml:space="preserve">هو من شعراء لار و اسمه صدر الدین محمد ترجمه و أورد شعره فی (تش- ص 298) و فارس‏نامه ناصری و لارستان کهن- ص 141</w:t>
      </w:r>
    </w:p>
    <w:p>
      <w:pPr>
        <w:pStyle w:val="Heading3"/>
      </w:pPr>
      <w:bookmarkStart w:id="7995" w:name="_Toc6691"/>
      <w:r>
        <w:t>6041- دیوان کلامی مروزی أو شعره‏</w:t>
      </w:r>
      <w:bookmarkEnd w:id="7995"/>
    </w:p>
    <w:p>
      <w:pPr>
        <w:pStyle w:val="BookText"/>
      </w:pPr>
      <w:r>
        <w:rPr>
          <w:rFonts w:ascii="IRNazanin" w:hAnsi="IRNazanin" w:eastAsia="IRNazanin" w:cs="IRNazanin"/>
          <w:lang w:bidi="fa-IR"/>
          <w:color w:val="111111"/>
          <w:sz w:val="28"/>
          <w:szCs w:val="28"/>
          <w:rtl/>
        </w:rPr>
        <w:t xml:space="preserve">کان یمدح بغداد خاتون ترجمه و أورد مدیحه فی (تش- ص 131)</w:t>
      </w:r>
    </w:p>
    <w:p>
      <w:pPr>
        <w:pStyle w:val="Heading3"/>
      </w:pPr>
      <w:bookmarkStart w:id="7996" w:name="_Toc6692"/>
      <w:r>
        <w:t>6042- دیوان کلان أندجانی أو شعره‏</w:t>
      </w:r>
      <w:bookmarkEnd w:id="7996"/>
    </w:p>
    <w:p>
      <w:pPr>
        <w:pStyle w:val="BookText"/>
      </w:pPr>
      <w:r>
        <w:rPr>
          <w:rFonts w:ascii="IRNazanin" w:hAnsi="IRNazanin" w:eastAsia="IRNazanin" w:cs="IRNazanin"/>
          <w:lang w:bidi="fa-IR"/>
          <w:color w:val="111111"/>
          <w:sz w:val="28"/>
          <w:szCs w:val="28"/>
          <w:rtl/>
        </w:rPr>
        <w:t xml:space="preserve">کان حاکم کابل و قندهار من قبل بابر شاه و نظم الشعر بالفارسیة و الترکیة ترجمه فی (گلشن- ص 340)</w:t>
      </w:r>
    </w:p>
    <w:p>
      <w:pPr>
        <w:pStyle w:val="Heading3"/>
      </w:pPr>
      <w:bookmarkStart w:id="7997" w:name="_Toc6693"/>
      <w:r>
        <w:t>6043- دیوان کلان بزاز هروی‏</w:t>
      </w:r>
      <w:bookmarkEnd w:id="7997"/>
    </w:p>
    <w:p>
      <w:pPr>
        <w:pStyle w:val="BookText"/>
      </w:pPr>
      <w:r>
        <w:rPr>
          <w:rFonts w:ascii="IRNazanin" w:hAnsi="IRNazanin" w:eastAsia="IRNazanin" w:cs="IRNazanin"/>
          <w:lang w:bidi="fa-IR"/>
          <w:color w:val="111111"/>
          <w:sz w:val="28"/>
          <w:szCs w:val="28"/>
          <w:rtl/>
        </w:rPr>
        <w:t xml:space="preserve">ترجمه فی (مجن 3- ص 85 و 259) و أورد شعره و لعله کلان‏</w:t>
      </w:r>
    </w:p>
    <w:p>
      <w:pPr>
        <w:pStyle w:val="Heading3"/>
      </w:pPr>
      <w:bookmarkStart w:id="7998" w:name="_Toc6694"/>
      <w:r>
        <w:t>دیوان کلانتری‏</w:t>
      </w:r>
      <w:bookmarkEnd w:id="7998"/>
    </w:p>
    <w:p>
      <w:pPr>
        <w:pStyle w:val="BookText"/>
      </w:pPr>
      <w:r>
        <w:rPr>
          <w:rFonts w:ascii="IRNazanin" w:hAnsi="IRNazanin" w:eastAsia="IRNazanin" w:cs="IRNazanin"/>
          <w:lang w:bidi="fa-IR"/>
          <w:color w:val="111111"/>
          <w:sz w:val="28"/>
          <w:szCs w:val="28"/>
          <w:rtl/>
        </w:rPr>
        <w:t xml:space="preserve">راجع دیوان أبی الفضل کلانتری فی ص 47
</w:t>
      </w:r>
    </w:p>
    <w:p>
      <w:pPr>
        <w:sectPr>
          <w:footerReference w:type="default" r:id="rId922"/>
          <w:footnotePr>
            <w:numStart w:val="1"/>
            <w:numRestart w:val="eachPage"/>
          </w:footnotePr>
          <w:pgSz w:orient="portrait" w:w="11905.511811023622" w:h="16837.79527559055"/>
          <w:pgMar w:top="1440" w:right="1440" w:bottom="1440" w:left="1440" w:header="720" w:footer="720" w:gutter="0"/>
          <w:cols w:num="1" w:space="720"/>
        </w:sectPr>
      </w:pPr>
    </w:p>
    <w:bookmarkStart w:id="904" w:name="pg11704_122390"/>
    <w:bookmarkEnd w:id="904"/>
    <w:p>
      <w:pPr>
        <w:pStyle w:val="Heading3"/>
      </w:pPr>
      <w:bookmarkStart w:id="7999" w:name="_Toc6695"/>
      <w:r>
        <w:t>6044- دیوان کلان کرمانی أو شعره‏</w:t>
      </w:r>
      <w:bookmarkEnd w:id="7999"/>
    </w:p>
    <w:p>
      <w:pPr>
        <w:pStyle w:val="BookText"/>
      </w:pPr>
      <w:r>
        <w:rPr>
          <w:rFonts w:ascii="IRNazanin" w:hAnsi="IRNazanin" w:eastAsia="IRNazanin" w:cs="IRNazanin"/>
          <w:lang w:bidi="fa-IR"/>
          <w:color w:val="111111"/>
          <w:sz w:val="28"/>
          <w:szCs w:val="28"/>
          <w:rtl/>
        </w:rPr>
        <w:t xml:space="preserve">کان نزیل أصفهان و توفی بها قرب زمان تألیف النصرآبادی کما ذکره فی (نر 9- ص 399) و أورد شعره، و کذا فی (سرخوش- ص 96) و (حسینی- ص 283) و (گلشن- ص 240)</w:t>
      </w:r>
    </w:p>
    <w:p>
      <w:pPr>
        <w:pStyle w:val="Heading3"/>
      </w:pPr>
      <w:bookmarkStart w:id="8000" w:name="_Toc6696"/>
      <w:r>
        <w:t>6045- دیوان کلان معمایی أو شعره‏</w:t>
      </w:r>
      <w:bookmarkEnd w:id="8000"/>
    </w:p>
    <w:p>
      <w:pPr>
        <w:pStyle w:val="BookText"/>
      </w:pPr>
      <w:r>
        <w:rPr>
          <w:rFonts w:ascii="IRNazanin" w:hAnsi="IRNazanin" w:eastAsia="IRNazanin" w:cs="IRNazanin"/>
          <w:lang w:bidi="fa-IR"/>
          <w:color w:val="111111"/>
          <w:sz w:val="28"/>
          <w:szCs w:val="28"/>
          <w:rtl/>
        </w:rPr>
        <w:t xml:space="preserve">أصله من ما وراء النهر و اشتغل بتحصیل العلوم فی هراة ترجمه فی (مجتس 6- ص 150) و أورد شعره‏</w:t>
      </w:r>
    </w:p>
    <w:p>
      <w:pPr>
        <w:pStyle w:val="Heading3"/>
      </w:pPr>
      <w:bookmarkStart w:id="8001" w:name="_Toc6697"/>
      <w:r>
        <w:t>6046- دیوان السید کلب باقر</w:t>
      </w:r>
      <w:bookmarkEnd w:id="8001"/>
    </w:p>
    <w:p>
      <w:pPr>
        <w:pStyle w:val="BookText"/>
      </w:pPr>
      <w:r>
        <w:rPr>
          <w:rFonts w:ascii="IRNazanin" w:hAnsi="IRNazanin" w:eastAsia="IRNazanin" w:cs="IRNazanin"/>
          <w:lang w:bidi="fa-IR"/>
          <w:color w:val="111111"/>
          <w:sz w:val="28"/>
          <w:szCs w:val="28"/>
          <w:rtl/>
        </w:rPr>
        <w:t xml:space="preserve">ابن السید کلب حسین الجائسی المولد الحائری المسکن و المدفن، صاحب دلائل الخیرات المذکور فی ج 8 ص 250 و له طریقة النجاة أرجوزة فی النبوات، و الموائد فی الأطعمة و الأشربة، و تشطیر الدرة، و أرجوزة فی الوجود و الماهیة کلها عربیة و أما دیوانه ففیه الفارسیة و الأردویة أیضا</w:t>
      </w:r>
    </w:p>
    <w:p>
      <w:pPr>
        <w:pStyle w:val="Heading3"/>
      </w:pPr>
      <w:bookmarkStart w:id="8002" w:name="_Toc6698"/>
      <w:r>
        <w:t>6047- دیوان کلب علی تبریزی أو شعره‏</w:t>
      </w:r>
      <w:bookmarkEnd w:id="8002"/>
    </w:p>
    <w:p>
      <w:pPr>
        <w:pStyle w:val="BookText"/>
      </w:pPr>
      <w:r>
        <w:rPr>
          <w:rFonts w:ascii="IRNazanin" w:hAnsi="IRNazanin" w:eastAsia="IRNazanin" w:cs="IRNazanin"/>
          <w:lang w:bidi="fa-IR"/>
          <w:color w:val="111111"/>
          <w:sz w:val="28"/>
          <w:szCs w:val="28"/>
          <w:rtl/>
        </w:rPr>
        <w:t xml:space="preserve">کان من الفضلاء فی تبریز و ماهرا فی نظم الفارسی و الترکی و بعد القتل العام بتبریز هاجر إلی گیلان فی عصر سلطانها خان أحمد خان المتوفی 1009 و لم یلتفت إلیه فرجع إلی تبریز. ترجمه الصادقی و ذکر شعره فی (خص 8- ص 235) و کذا فی (دجا- ص 315).</w:t>
      </w:r>
    </w:p>
    <w:p>
      <w:pPr>
        <w:pStyle w:val="Heading3"/>
      </w:pPr>
      <w:bookmarkStart w:id="8003" w:name="_Toc6699"/>
      <w:r>
        <w:t>6048- دیوان کلب علی تبریزی أو شعره‏</w:t>
      </w:r>
      <w:bookmarkEnd w:id="8003"/>
    </w:p>
    <w:p>
      <w:pPr>
        <w:pStyle w:val="BookText"/>
      </w:pPr>
      <w:r>
        <w:rPr>
          <w:rFonts w:ascii="IRNazanin" w:hAnsi="IRNazanin" w:eastAsia="IRNazanin" w:cs="IRNazanin"/>
          <w:lang w:bidi="fa-IR"/>
          <w:color w:val="111111"/>
          <w:sz w:val="28"/>
          <w:szCs w:val="28"/>
          <w:rtl/>
        </w:rPr>
        <w:t xml:space="preserve">کان من أهل العلم و الفضل هناک، و سافر إلی الهند فی عصر أکبر پادشاه الذی مات 1014 ترجمه فی (دجا- ص 315) بعد ذکره لما قبله الذی کان مقدما علیه.</w:t>
      </w:r>
    </w:p>
    <w:p>
      <w:pPr>
        <w:pStyle w:val="Heading3"/>
      </w:pPr>
      <w:bookmarkStart w:id="8004" w:name="_Toc6700"/>
      <w:r>
        <w:t>6049- دیوان کلب علی قزوینی‏</w:t>
      </w:r>
      <w:bookmarkEnd w:id="8004"/>
    </w:p>
    <w:p>
      <w:pPr>
        <w:pStyle w:val="BookText"/>
      </w:pPr>
      <w:r>
        <w:rPr>
          <w:rFonts w:ascii="IRNazanin" w:hAnsi="IRNazanin" w:eastAsia="IRNazanin" w:cs="IRNazanin"/>
          <w:lang w:bidi="fa-IR"/>
          <w:color w:val="111111"/>
          <w:sz w:val="28"/>
          <w:szCs w:val="28"/>
          <w:rtl/>
        </w:rPr>
        <w:t xml:space="preserve">المتخلص فرخی تاجی. طبع دیوانه بطهران باسم تاج فرخی فی 1323.</w:t>
      </w:r>
    </w:p>
    <w:p>
      <w:pPr>
        <w:pStyle w:val="Heading3"/>
      </w:pPr>
      <w:bookmarkStart w:id="8005" w:name="_Toc6701"/>
      <w:r>
        <w:t>6050- دیوان حاج کلب علی مهابادی‏</w:t>
      </w:r>
      <w:bookmarkEnd w:id="8005"/>
    </w:p>
    <w:p>
      <w:pPr>
        <w:pStyle w:val="BookText"/>
      </w:pPr>
      <w:r>
        <w:rPr>
          <w:rFonts w:ascii="IRNazanin" w:hAnsi="IRNazanin" w:eastAsia="IRNazanin" w:cs="IRNazanin"/>
          <w:lang w:bidi="fa-IR"/>
          <w:color w:val="111111"/>
          <w:sz w:val="28"/>
          <w:szCs w:val="28"/>
          <w:rtl/>
        </w:rPr>
        <w:t xml:space="preserve">ترجمه النصرآبادی المعاصر له فی (نر 5- ص 145) و ذکر أن له شعر کثیر أورد بعضه.</w:t>
      </w:r>
    </w:p>
    <w:p>
      <w:pPr>
        <w:pStyle w:val="Heading3"/>
      </w:pPr>
      <w:bookmarkStart w:id="8006" w:name="_Toc6702"/>
      <w:r>
        <w:t>6051- دیوان السید کلب مهدی‏</w:t>
      </w:r>
      <w:bookmarkEnd w:id="8006"/>
    </w:p>
    <w:p>
      <w:pPr>
        <w:pStyle w:val="BookText"/>
      </w:pPr>
      <w:r>
        <w:rPr>
          <w:rFonts w:ascii="IRNazanin" w:hAnsi="IRNazanin" w:eastAsia="IRNazanin" w:cs="IRNazanin"/>
          <w:lang w:bidi="fa-IR"/>
          <w:color w:val="111111"/>
          <w:sz w:val="28"/>
          <w:szCs w:val="28"/>
          <w:rtl/>
        </w:rPr>
        <w:t xml:space="preserve">هو ابن السید کلب باقر الجائسی نزیل الحائر و المتوفی بها حدود 1354 و النسخة بخطه عنده” السید کلب مهدی” بکربلاء.</w:t>
      </w:r>
    </w:p>
    <w:p>
      <w:pPr>
        <w:pStyle w:val="Heading3"/>
      </w:pPr>
      <w:bookmarkStart w:id="8007" w:name="_Toc6703"/>
      <w:r>
        <w:t>6052- دیوان کلبی ذو القدر</w:t>
      </w:r>
      <w:bookmarkEnd w:id="8007"/>
    </w:p>
    <w:p>
      <w:pPr>
        <w:pStyle w:val="BookText"/>
      </w:pPr>
      <w:r>
        <w:rPr>
          <w:rFonts w:ascii="IRNazanin" w:hAnsi="IRNazanin" w:eastAsia="IRNazanin" w:cs="IRNazanin"/>
          <w:lang w:bidi="fa-IR"/>
          <w:color w:val="111111"/>
          <w:sz w:val="28"/>
          <w:szCs w:val="28"/>
          <w:rtl/>
        </w:rPr>
        <w:t xml:space="preserve">ترجمه الصادقی فی (خص 7- ص 121) و ذکر أنه من الشباب الشعراء الجدد ثم أورد بعض شعره.</w:t>
      </w:r>
    </w:p>
    <w:p>
      <w:pPr>
        <w:pStyle w:val="Heading3"/>
      </w:pPr>
      <w:bookmarkStart w:id="8008" w:name="_Toc6704"/>
      <w:r>
        <w:t>6053- دیوان کل عیشی شیرازی أو شعره‏</w:t>
      </w:r>
      <w:bookmarkEnd w:id="8008"/>
    </w:p>
    <w:p>
      <w:pPr>
        <w:pStyle w:val="BookText"/>
      </w:pPr>
      <w:r>
        <w:rPr>
          <w:rFonts w:ascii="IRNazanin" w:hAnsi="IRNazanin" w:eastAsia="IRNazanin" w:cs="IRNazanin"/>
          <w:lang w:bidi="fa-IR"/>
          <w:color w:val="111111"/>
          <w:sz w:val="28"/>
          <w:szCs w:val="28"/>
          <w:rtl/>
        </w:rPr>
        <w:t xml:space="preserve">و تخلصه فی شعره عیشی و اشتهر بکل‏
</w:t>
      </w:r>
    </w:p>
    <w:p>
      <w:pPr>
        <w:sectPr>
          <w:footerReference w:type="default" r:id="rId923"/>
          <w:footnotePr>
            <w:numStart w:val="1"/>
            <w:numRestart w:val="eachPage"/>
          </w:footnotePr>
          <w:pgSz w:orient="portrait" w:w="11905.511811023622" w:h="16837.79527559055"/>
          <w:pgMar w:top="1440" w:right="1440" w:bottom="1440" w:left="1440" w:header="720" w:footer="720" w:gutter="0"/>
          <w:cols w:num="1" w:space="720"/>
        </w:sectPr>
      </w:pPr>
    </w:p>
    <w:bookmarkStart w:id="905" w:name="pg11704_122391"/>
    <w:bookmarkEnd w:id="905"/>
    <w:p>
      <w:pPr>
        <w:pStyle w:val="BookText"/>
      </w:pPr>
      <w:r>
        <w:rPr>
          <w:rFonts w:ascii="IRNazanin" w:hAnsi="IRNazanin" w:eastAsia="IRNazanin" w:cs="IRNazanin"/>
          <w:lang w:bidi="fa-IR"/>
          <w:color w:val="111111"/>
          <w:sz w:val="28"/>
          <w:szCs w:val="28"/>
          <w:rtl/>
        </w:rPr>
        <w:t xml:space="preserve">عیشی لکونه أقرع. ترجمه فی (بهش 2- ص 403). و أورد أشعاره فی هجاء أهل لار و غیرها و هو غیر عیشی المذکور فی ص 780.</w:t>
      </w:r>
    </w:p>
    <w:p>
      <w:pPr>
        <w:pStyle w:val="Heading3"/>
      </w:pPr>
      <w:bookmarkStart w:id="8009" w:name="_Toc6705"/>
      <w:r>
        <w:t>6054- دیوان کلکدة</w:t>
      </w:r>
      <w:bookmarkEnd w:id="8009"/>
    </w:p>
    <w:p>
      <w:pPr>
        <w:pStyle w:val="BookText"/>
      </w:pPr>
      <w:r>
        <w:rPr>
          <w:rFonts w:ascii="IRNazanin" w:hAnsi="IRNazanin" w:eastAsia="IRNazanin" w:cs="IRNazanin"/>
          <w:lang w:bidi="fa-IR"/>
          <w:color w:val="111111"/>
          <w:sz w:val="28"/>
          <w:szCs w:val="28"/>
          <w:rtl/>
        </w:rPr>
        <w:t xml:space="preserve">فی الغزلیات و المدائح و المراثی للمیرزا محمد هادی اللکهنوی مؤلف التجلیات و تخلصه عزیز طبع بالأردو و مر فی العین دیوان عزیز أیضا و هو فی المدائح فقط.</w:t>
      </w:r>
    </w:p>
    <w:p>
      <w:pPr>
        <w:pStyle w:val="Heading3"/>
      </w:pPr>
      <w:bookmarkStart w:id="8010" w:name="_Toc6706"/>
      <w:r>
        <w:t>دیوان کلوچه‏</w:t>
      </w:r>
      <w:bookmarkEnd w:id="8010"/>
    </w:p>
    <w:p>
      <w:pPr>
        <w:pStyle w:val="BookText"/>
      </w:pPr>
      <w:r>
        <w:rPr>
          <w:rFonts w:ascii="IRNazanin" w:hAnsi="IRNazanin" w:eastAsia="IRNazanin" w:cs="IRNazanin"/>
          <w:lang w:bidi="fa-IR"/>
          <w:color w:val="111111"/>
          <w:sz w:val="28"/>
          <w:szCs w:val="28"/>
          <w:rtl/>
        </w:rPr>
        <w:t xml:space="preserve">أو حیدر کلوچ کما فی (مسرت- ص 248) مر بعنوان حیدر کلیچه پز فی ص 270.</w:t>
      </w:r>
    </w:p>
    <w:p>
      <w:pPr>
        <w:pStyle w:val="Heading3"/>
      </w:pPr>
      <w:bookmarkStart w:id="8011" w:name="_Toc6707"/>
      <w:r>
        <w:t>6055- دیوان کلیم کاشانی‏</w:t>
      </w:r>
      <w:bookmarkEnd w:id="8011"/>
    </w:p>
    <w:p>
      <w:pPr>
        <w:pStyle w:val="BookText"/>
      </w:pPr>
      <w:r>
        <w:rPr>
          <w:rFonts w:ascii="IRNazanin" w:hAnsi="IRNazanin" w:eastAsia="IRNazanin" w:cs="IRNazanin"/>
          <w:lang w:bidi="fa-IR"/>
          <w:color w:val="111111"/>
          <w:sz w:val="28"/>
          <w:szCs w:val="28"/>
          <w:rtl/>
        </w:rPr>
        <w:t xml:space="preserve">و هو أبو طالب الهمدانی الأصل و المولد، الکاشانی المنشا. سافر إلی الهند و تقرب عند شاهنواز بن المیرزا رستم الصفوی، ثم رجع إلی وطنه فی 1028 و رجع ثانیا مهاجرا إلی الهند فی 1030 و تقرب عند المیر جملة روح الأمین المذکور فی ص 386 ثم عند شاه‏جهان فلقبه ملک الشعراء بعد موت قدسی مشهدی ثم سکن کشمیر و مات بها فی 15 ذی الحجة 1061 و دفن جنب قبر محمد قلی سلیم المذکور فی ص 464 و قال غنی فی تاریخه:</w:t>
      </w:r>
    </w:p>
    <w:p>
      <w:pPr>
        <w:pStyle w:val="BookText"/>
      </w:pPr>
      <w:r>
        <w:rPr>
          <w:rFonts w:ascii="IRNazanin" w:hAnsi="IRNazanin" w:eastAsia="IRNazanin" w:cs="IRNazanin"/>
          <w:lang w:bidi="fa-IR"/>
          <w:color w:val="111111"/>
          <w:sz w:val="28"/>
          <w:szCs w:val="28"/>
          <w:rtl/>
        </w:rPr>
        <w:t xml:space="preserve">گفت تاریخ وفات أو غنی‏</w:t>
      </w:r>
    </w:p>
    <w:p>
      <w:pPr>
        <w:pStyle w:val="BookText"/>
      </w:pPr>
      <w:r>
        <w:rPr>
          <w:rFonts w:ascii="IRNazanin" w:hAnsi="IRNazanin" w:eastAsia="IRNazanin" w:cs="IRNazanin"/>
          <w:lang w:bidi="fa-IR"/>
          <w:color w:val="111111"/>
          <w:sz w:val="28"/>
          <w:szCs w:val="28"/>
          <w:rtl/>
        </w:rPr>
        <w:t xml:space="preserve">طور معنی بود روشن از کلیم‏</w:t>
      </w:r>
    </w:p>
    <w:p>
      <w:pPr>
        <w:pStyle w:val="BookText"/>
      </w:pPr>
      <w:r>
        <w:rPr>
          <w:rFonts w:ascii="IRNazanin" w:hAnsi="IRNazanin" w:eastAsia="IRNazanin" w:cs="IRNazanin"/>
          <w:lang w:bidi="fa-IR"/>
          <w:color w:val="111111"/>
          <w:sz w:val="28"/>
          <w:szCs w:val="28"/>
          <w:rtl/>
        </w:rPr>
        <w:t xml:space="preserve">نظم پادشاه‏نامه فی فتوحات شاه‏جهان و دیوانه فی أربع و عشرین ألف بیت من الشعر کذا ترجمه النصرآبادی فی (نر 9- 220) و قال لقبته أنا خلاق المعانی ثانی و عنه أخذ ظاهرا فی (سرو- ص 77) و ترجمه مفصلا و ذکر الجوائز التی نالها من شاه‏جهان فی (خز- ص 391). و ذکر فی (خیال- ص 90) أن سبب ترکه البلاط و سکونته فی کشمیر ما کان بینه و بین نورجهان بیگم زوجة جهانگیر پادشاه. و ترجمه أیضا فی (نتایج- ص 601) و (تش- ص 246) و همیشه بهار و (مع 2: 28) و المستر براون فی 4: 167 و (حسینی- ص 283) و فی (سرخوش- ص 94) سمی کتابه ظفرنامه شاه‏جهانی.</w:t>
      </w:r>
    </w:p>
    <w:p>
      <w:pPr>
        <w:pStyle w:val="BookText"/>
      </w:pPr>
      <w:r>
        <w:rPr>
          <w:rFonts w:ascii="IRNazanin" w:hAnsi="IRNazanin" w:eastAsia="IRNazanin" w:cs="IRNazanin"/>
          <w:lang w:bidi="fa-IR"/>
          <w:color w:val="111111"/>
          <w:sz w:val="28"/>
          <w:szCs w:val="28"/>
          <w:rtl/>
        </w:rPr>
        <w:t xml:space="preserve">و نسخ دیوانه کثیرة فی (الرضویة) و (سپهسالار) علیها خط الناظم کما فی فهرسها 2: 660 و (المجلس) کما فی فهرسها 3: 386 و (فخر الدین) و مکاتب إستانبول و طبع کلیات دیوانه علی الحجر بطهران 1356 فی 175 ص. و مع مقدمه کشاورز صدر فی أحوال الناظم فی 172 ص بطهران فی 1372.
</w:t>
      </w:r>
    </w:p>
    <w:p>
      <w:pPr>
        <w:sectPr>
          <w:footerReference w:type="default" r:id="rId924"/>
          <w:footnotePr>
            <w:numStart w:val="1"/>
            <w:numRestart w:val="eachPage"/>
          </w:footnotePr>
          <w:pgSz w:orient="portrait" w:w="11905.511811023622" w:h="16837.79527559055"/>
          <w:pgMar w:top="1440" w:right="1440" w:bottom="1440" w:left="1440" w:header="720" w:footer="720" w:gutter="0"/>
          <w:cols w:num="1" w:space="720"/>
        </w:sectPr>
      </w:pPr>
    </w:p>
    <w:bookmarkStart w:id="906" w:name="pg11704_122392"/>
    <w:bookmarkEnd w:id="906"/>
    <w:p>
      <w:pPr>
        <w:pStyle w:val="Heading3"/>
      </w:pPr>
      <w:bookmarkStart w:id="8012" w:name="_Toc6708"/>
      <w:r>
        <w:t>دیوان کلیم همدانی‏</w:t>
      </w:r>
      <w:bookmarkEnd w:id="8012"/>
    </w:p>
    <w:p>
      <w:pPr>
        <w:pStyle w:val="BookText"/>
      </w:pPr>
      <w:r>
        <w:rPr>
          <w:rFonts w:ascii="IRNazanin" w:hAnsi="IRNazanin" w:eastAsia="IRNazanin" w:cs="IRNazanin"/>
          <w:lang w:bidi="fa-IR"/>
          <w:color w:val="111111"/>
          <w:sz w:val="28"/>
          <w:szCs w:val="28"/>
          <w:rtl/>
        </w:rPr>
        <w:t xml:space="preserve">راجع کلیم کاشانی.</w:t>
      </w:r>
    </w:p>
    <w:p>
      <w:pPr>
        <w:pStyle w:val="Heading3"/>
      </w:pPr>
      <w:bookmarkStart w:id="8013" w:name="_Toc6709"/>
      <w:r>
        <w:t>6056- دیوان کلیم هندی أو شعره‏</w:t>
      </w:r>
      <w:bookmarkEnd w:id="8013"/>
    </w:p>
    <w:p>
      <w:pPr>
        <w:pStyle w:val="BookText"/>
      </w:pPr>
      <w:r>
        <w:rPr>
          <w:rFonts w:ascii="IRNazanin" w:hAnsi="IRNazanin" w:eastAsia="IRNazanin" w:cs="IRNazanin"/>
          <w:lang w:bidi="fa-IR"/>
          <w:color w:val="111111"/>
          <w:sz w:val="28"/>
          <w:szCs w:val="28"/>
          <w:rtl/>
        </w:rPr>
        <w:t xml:space="preserve">و اسمه نظیر حسن الأخ الأکبر للسید نور الحسن بهادر. ولد فی 21 رجب 1278. کان یتخلص أولا نور ثم بدله إلی کلیم و تلمذ علی ظهوری و نظیر. ترجمه فی شمع انجمن و نگارستان و (گلشن- ص 341).</w:t>
      </w:r>
    </w:p>
    <w:p>
      <w:pPr>
        <w:pStyle w:val="Heading3"/>
      </w:pPr>
      <w:bookmarkStart w:id="8014" w:name="_Toc6710"/>
      <w:r>
        <w:t>دیوان کمال بن غیاث‏</w:t>
      </w:r>
      <w:bookmarkEnd w:id="8014"/>
    </w:p>
    <w:p>
      <w:pPr>
        <w:pStyle w:val="BookText"/>
      </w:pPr>
      <w:r>
        <w:rPr>
          <w:rFonts w:ascii="IRNazanin" w:hAnsi="IRNazanin" w:eastAsia="IRNazanin" w:cs="IRNazanin"/>
          <w:lang w:bidi="fa-IR"/>
          <w:color w:val="111111"/>
          <w:sz w:val="28"/>
          <w:szCs w:val="28"/>
          <w:rtl/>
        </w:rPr>
        <w:t xml:space="preserve">قال فی (هفت- ص 276) إنه مؤرخ صادق راجع کمال شیرازی.</w:t>
      </w:r>
    </w:p>
    <w:p>
      <w:pPr>
        <w:pStyle w:val="Heading3"/>
      </w:pPr>
      <w:bookmarkStart w:id="8015" w:name="_Toc6711"/>
      <w:r>
        <w:t>دیوان کمال ابن النبیه‏</w:t>
      </w:r>
      <w:bookmarkEnd w:id="8015"/>
    </w:p>
    <w:p>
      <w:pPr>
        <w:pStyle w:val="BookText"/>
      </w:pPr>
      <w:r>
        <w:rPr>
          <w:rFonts w:ascii="IRNazanin" w:hAnsi="IRNazanin" w:eastAsia="IRNazanin" w:cs="IRNazanin"/>
          <w:lang w:bidi="fa-IR"/>
          <w:color w:val="111111"/>
          <w:sz w:val="28"/>
          <w:szCs w:val="28"/>
          <w:rtl/>
        </w:rPr>
        <w:t xml:space="preserve">مر بعنوان ابن النبیه فی ص 31 و ترجم فی حسن المحاضرة فی تاریخ مصر و القاهرة و فوات الوفیات.</w:t>
      </w:r>
    </w:p>
    <w:p>
      <w:pPr>
        <w:pStyle w:val="Heading3"/>
      </w:pPr>
      <w:bookmarkStart w:id="8016" w:name="_Toc6712"/>
      <w:r>
        <w:t>دیوان کمال إسماعیل‏</w:t>
      </w:r>
      <w:bookmarkEnd w:id="8016"/>
    </w:p>
    <w:p>
      <w:pPr>
        <w:pStyle w:val="BookText"/>
      </w:pPr>
      <w:r>
        <w:rPr>
          <w:rFonts w:ascii="IRNazanin" w:hAnsi="IRNazanin" w:eastAsia="IRNazanin" w:cs="IRNazanin"/>
          <w:lang w:bidi="fa-IR"/>
          <w:color w:val="111111"/>
          <w:sz w:val="28"/>
          <w:szCs w:val="28"/>
          <w:rtl/>
        </w:rPr>
        <w:t xml:space="preserve">راجع کمال أصفهانی.</w:t>
      </w:r>
    </w:p>
    <w:p>
      <w:pPr>
        <w:pStyle w:val="Heading3"/>
      </w:pPr>
      <w:bookmarkStart w:id="8017" w:name="_Toc6713"/>
      <w:r>
        <w:t>6057- دیوان کمال أصفهانی‏</w:t>
      </w:r>
      <w:bookmarkEnd w:id="8017"/>
    </w:p>
    <w:p>
      <w:pPr>
        <w:pStyle w:val="BookText"/>
      </w:pPr>
      <w:r>
        <w:rPr>
          <w:rFonts w:ascii="IRNazanin" w:hAnsi="IRNazanin" w:eastAsia="IRNazanin" w:cs="IRNazanin"/>
          <w:lang w:bidi="fa-IR"/>
          <w:color w:val="111111"/>
          <w:sz w:val="28"/>
          <w:szCs w:val="28"/>
          <w:rtl/>
        </w:rPr>
        <w:t xml:space="preserve">و هو کمال الدین إسماعیل بن جمال الدین عبد الرزاق الأصفهانی. مدح بنی خوارزم شاه و بنی صاعد و الخجندیة و الشیخ السهروردی شهاب الدین و عمید الدین الفارسی. و قتل بید المغول فی 635 کما فی (لت) أو 626 کما فی شاهد صادق أو 639 کما فی (مع 1- ص 489) عن عمر زاد علی الستین و کان مثریا و لقب خلاق المعانی و کان والده صائغا. و لم یر له تخلص فی شعره، و انما ذکر اسمه کمال الدین فی شعره کما فی فهرس مکتبة سپهسالار 2: 662 و قد ذم مواطینه أهل أصفهان کما فی (خیال- ص 37) و ترجمه فی تاریخ گزیده- ص 824 و (حسینی- ص 280) و (نتایج- ص 590) و همیشه بهار و (بهش 1- ص 348). و سفینة الشعراء و (ض- ص 395) و (مغول- ص 532) و کتب فی أحواله مقالات فی أرمغان 7: 19 و 7: 546 و 14: 8 و 16: 168 و دیوانه فی عشرة آلاف بیت کما فی (تش- ص 186) أو خمسة عشر ألف بیت کما فی (مع 1: 489) و نسخه (سپهسالار) فی ثلاثة عشر ألف بیت کما فی فهرسها 2: 661 و توجد نسخه کثیرا فی أوروبا و إستانبول و إیران عند (الملک) و (المجلس) کما فی فهرسها 3: 388 و (فخر الدین) و مکتبة جامعة طهران و طبع فی بمبئی علی الحجر فی 1307 فی 270+ 40+ 34 ص. فی ثلاثة أقسام، و بعدها مکررا و</w:t>
      </w:r>
    </w:p>
    <w:p>
      <w:pPr>
        <w:pStyle w:val="BookText"/>
      </w:pPr>
      <w:r>
        <w:rPr>
          <w:rFonts w:ascii="IRNazanin" w:hAnsi="IRNazanin" w:eastAsia="IRNazanin" w:cs="IRNazanin"/>
          <w:lang w:bidi="fa-IR"/>
          <w:color w:val="111111"/>
          <w:sz w:val="28"/>
          <w:szCs w:val="28"/>
          <w:rtl/>
        </w:rPr>
        <w:t xml:space="preserve">طبع مائة غزل لکمال الأصفهانی مع الترجمة بالإنگلیزیة ل</w:t>
      </w:r>
      <w:r>
        <w:rPr>
          <w:rFonts w:ascii="Times New Roman" w:hAnsi="Times New Roman" w:eastAsia="Times New Roman" w:cs="Times New Roman"/>
          <w:lang w:val="en-US" w:bidi="en-US"/>
          <w:color w:val="111111"/>
          <w:sz w:val="28"/>
          <w:szCs w:val="28"/>
          <w:rtl/>
        </w:rPr>
        <w:t xml:space="preserve">L .H .GRA Y </w:t>
      </w:r>
      <w:r>
        <w:rPr>
          <w:rFonts w:ascii="IRNazanin" w:hAnsi="IRNazanin" w:eastAsia="IRNazanin" w:cs="IRNazanin"/>
          <w:lang w:bidi="fa-IR"/>
          <w:color w:val="111111"/>
          <w:sz w:val="28"/>
          <w:szCs w:val="28"/>
          <w:rtl/>
        </w:rPr>
        <w:t xml:space="preserve">و نظمه بالإنگلیزیة ل</w:t>
      </w:r>
      <w:r>
        <w:rPr>
          <w:rFonts w:ascii="Times New Roman" w:hAnsi="Times New Roman" w:eastAsia="Times New Roman" w:cs="Times New Roman"/>
          <w:lang w:val="en-US" w:bidi="en-US"/>
          <w:color w:val="111111"/>
          <w:sz w:val="28"/>
          <w:szCs w:val="28"/>
          <w:rtl/>
        </w:rPr>
        <w:t xml:space="preserve">E .W .MUMFORD </w:t>
      </w:r>
      <w:r>
        <w:rPr>
          <w:rFonts w:ascii="IRNazanin" w:hAnsi="IRNazanin" w:eastAsia="IRNazanin" w:cs="IRNazanin"/>
          <w:lang w:bidi="fa-IR"/>
          <w:color w:val="111111"/>
          <w:sz w:val="28"/>
          <w:szCs w:val="28"/>
          <w:rtl/>
        </w:rPr>
        <w:t xml:space="preserve">فی لندن 1903 م. و یأتی له القوسیة الموجودة
</w:t>
      </w:r>
    </w:p>
    <w:p>
      <w:pPr>
        <w:sectPr>
          <w:footerReference w:type="default" r:id="rId925"/>
          <w:footnotePr>
            <w:numStart w:val="1"/>
            <w:numRestart w:val="eachPage"/>
          </w:footnotePr>
          <w:pgSz w:orient="portrait" w:w="11905.511811023622" w:h="16837.79527559055"/>
          <w:pgMar w:top="1440" w:right="1440" w:bottom="1440" w:left="1440" w:header="720" w:footer="720" w:gutter="0"/>
          <w:cols w:num="1" w:space="720"/>
        </w:sectPr>
      </w:pPr>
    </w:p>
    <w:bookmarkStart w:id="907" w:name="pg11704_122393"/>
    <w:bookmarkEnd w:id="907"/>
    <w:p>
      <w:pPr>
        <w:pStyle w:val="BookText"/>
      </w:pPr>
      <w:r>
        <w:rPr>
          <w:rFonts w:ascii="IRNazanin" w:hAnsi="IRNazanin" w:eastAsia="IRNazanin" w:cs="IRNazanin"/>
          <w:lang w:bidi="fa-IR"/>
          <w:color w:val="111111"/>
          <w:sz w:val="28"/>
          <w:szCs w:val="28"/>
          <w:rtl/>
        </w:rPr>
        <w:t xml:space="preserve">بالمکتبة (الملیة).</w:t>
      </w:r>
    </w:p>
    <w:p>
      <w:pPr>
        <w:pStyle w:val="Heading3"/>
      </w:pPr>
      <w:bookmarkStart w:id="8018" w:name="_Toc6714"/>
      <w:r>
        <w:t>6058- دیوان کمال بلخی‏</w:t>
      </w:r>
      <w:bookmarkEnd w:id="8018"/>
    </w:p>
    <w:p>
      <w:pPr>
        <w:pStyle w:val="BookText"/>
      </w:pPr>
      <w:r>
        <w:rPr>
          <w:rFonts w:ascii="IRNazanin" w:hAnsi="IRNazanin" w:eastAsia="IRNazanin" w:cs="IRNazanin"/>
          <w:lang w:bidi="fa-IR"/>
          <w:color w:val="111111"/>
          <w:sz w:val="28"/>
          <w:szCs w:val="28"/>
          <w:rtl/>
        </w:rPr>
        <w:t xml:space="preserve">و اسمه السید کمال گچکولی کما فی (لط 2- ص 34) أو السید کمال کجکعل کما فی (قز مج 2- ص 207) و نقل المیر علی شیر أن له خمسمائة ألف بیت و له قصائد مصنوعة عجیبة خارجة عن قدرة البشر، منها فی رثاء الخواجة أبی نصر پارسا، و عمر زهاء تسعة و تسعین عاما. و فی (گلشن- ص 342) سماه کمال کجکول.</w:t>
      </w:r>
    </w:p>
    <w:p>
      <w:pPr>
        <w:pStyle w:val="Heading3"/>
      </w:pPr>
      <w:bookmarkStart w:id="8019" w:name="_Toc6715"/>
      <w:r>
        <w:t>6059- دیوان کمال بلخی أو شعره‏</w:t>
      </w:r>
      <w:bookmarkEnd w:id="8019"/>
    </w:p>
    <w:p>
      <w:pPr>
        <w:pStyle w:val="BookText"/>
      </w:pPr>
      <w:r>
        <w:rPr>
          <w:rFonts w:ascii="IRNazanin" w:hAnsi="IRNazanin" w:eastAsia="IRNazanin" w:cs="IRNazanin"/>
          <w:lang w:bidi="fa-IR"/>
          <w:color w:val="111111"/>
          <w:sz w:val="28"/>
          <w:szCs w:val="28"/>
          <w:rtl/>
        </w:rPr>
        <w:t xml:space="preserve">و هو من سکان کوه صاف ببلخ و شعره معروف کما فی (مجن- 2 ص 50 و 224) و شعره ترکی و قبره بکوه صاف و فی الصفحة الأخیرة سماه کمالی بلخی.</w:t>
      </w:r>
    </w:p>
    <w:p>
      <w:pPr>
        <w:pStyle w:val="Heading3"/>
      </w:pPr>
      <w:bookmarkStart w:id="8020" w:name="_Toc6716"/>
      <w:r>
        <w:t>دیوان کمال بخارائی‏</w:t>
      </w:r>
      <w:bookmarkEnd w:id="8020"/>
    </w:p>
    <w:p>
      <w:pPr>
        <w:pStyle w:val="BookText"/>
      </w:pPr>
      <w:r>
        <w:rPr>
          <w:rFonts w:ascii="IRNazanin" w:hAnsi="IRNazanin" w:eastAsia="IRNazanin" w:cs="IRNazanin"/>
          <w:lang w:bidi="fa-IR"/>
          <w:color w:val="111111"/>
          <w:sz w:val="28"/>
          <w:szCs w:val="28"/>
          <w:rtl/>
        </w:rPr>
        <w:t xml:space="preserve">ترجمه و أورد شعره فی (مع 1: 486) و قال إنه شاعر سنجر بن ملک شاه و الظاهر أنه کمالی سبزواری.</w:t>
      </w:r>
    </w:p>
    <w:p>
      <w:pPr>
        <w:pStyle w:val="Heading3"/>
      </w:pPr>
      <w:bookmarkStart w:id="8021" w:name="_Toc6717"/>
      <w:r>
        <w:t>دیوان کمال بدخشی‏</w:t>
      </w:r>
      <w:bookmarkEnd w:id="8021"/>
    </w:p>
    <w:p>
      <w:pPr>
        <w:pStyle w:val="BookText"/>
      </w:pPr>
      <w:r>
        <w:rPr>
          <w:rFonts w:ascii="IRNazanin" w:hAnsi="IRNazanin" w:eastAsia="IRNazanin" w:cs="IRNazanin"/>
          <w:lang w:bidi="fa-IR"/>
          <w:color w:val="111111"/>
          <w:sz w:val="28"/>
          <w:szCs w:val="28"/>
          <w:rtl/>
        </w:rPr>
        <w:t xml:space="preserve">و اسمه کمال الدین محمد کما فی فهرس المجلس 3: 129 و فهرس جامعة طهران 2: 394 مر فی ص 127- 128.</w:t>
      </w:r>
    </w:p>
    <w:p>
      <w:pPr>
        <w:pStyle w:val="Heading3"/>
      </w:pPr>
      <w:bookmarkStart w:id="8022" w:name="_Toc6718"/>
      <w:r>
        <w:t>دیوان کمال بنائی‏</w:t>
      </w:r>
      <w:bookmarkEnd w:id="8022"/>
    </w:p>
    <w:p>
      <w:pPr>
        <w:pStyle w:val="BookText"/>
      </w:pPr>
      <w:r>
        <w:rPr>
          <w:rFonts w:ascii="IRNazanin" w:hAnsi="IRNazanin" w:eastAsia="IRNazanin" w:cs="IRNazanin"/>
          <w:lang w:bidi="fa-IR"/>
          <w:color w:val="111111"/>
          <w:sz w:val="28"/>
          <w:szCs w:val="28"/>
          <w:rtl/>
        </w:rPr>
        <w:t xml:space="preserve">کما فی (نتایج- ص 99) مر بعنوان دیوان بنائی هروی فی ص 141.</w:t>
      </w:r>
    </w:p>
    <w:p>
      <w:pPr>
        <w:pStyle w:val="Heading3"/>
      </w:pPr>
      <w:bookmarkStart w:id="8023" w:name="_Toc6719"/>
      <w:r>
        <w:t>دیوان کمال تاشکندی‏</w:t>
      </w:r>
      <w:bookmarkEnd w:id="8023"/>
    </w:p>
    <w:p>
      <w:pPr>
        <w:pStyle w:val="BookText"/>
      </w:pPr>
      <w:r>
        <w:rPr>
          <w:rFonts w:ascii="IRNazanin" w:hAnsi="IRNazanin" w:eastAsia="IRNazanin" w:cs="IRNazanin"/>
          <w:lang w:bidi="fa-IR"/>
          <w:color w:val="111111"/>
          <w:sz w:val="28"/>
          <w:szCs w:val="28"/>
          <w:rtl/>
        </w:rPr>
        <w:t xml:space="preserve">من الصوفیة و له مثنوی شمع و پروانه ترجمه و أورد شعره فی (روشن- ص 579) و لعله الخوارزمی أو الخجندی.</w:t>
      </w:r>
    </w:p>
    <w:p>
      <w:pPr>
        <w:pStyle w:val="Heading3"/>
      </w:pPr>
      <w:bookmarkStart w:id="8024" w:name="_Toc6720"/>
      <w:r>
        <w:t>6060- دیوان کمال تربتی‏</w:t>
      </w:r>
      <w:bookmarkEnd w:id="8024"/>
    </w:p>
    <w:p>
      <w:pPr>
        <w:pStyle w:val="BookText"/>
      </w:pPr>
      <w:r>
        <w:rPr>
          <w:rFonts w:ascii="IRNazanin" w:hAnsi="IRNazanin" w:eastAsia="IRNazanin" w:cs="IRNazanin"/>
          <w:lang w:bidi="fa-IR"/>
          <w:color w:val="111111"/>
          <w:sz w:val="28"/>
          <w:szCs w:val="28"/>
          <w:rtl/>
        </w:rPr>
        <w:t xml:space="preserve">ترجمه و أورد شعره و أطرأه المیر علی شیر فی (مجن 2- ص 32 و 205) و ذکر له تخمیس غزلیات حافظ قال رأیته بمشهد خراسان و سافر إلی الحج و رجع و مات بتربت.</w:t>
      </w:r>
    </w:p>
    <w:p>
      <w:pPr>
        <w:pStyle w:val="Heading3"/>
      </w:pPr>
      <w:bookmarkStart w:id="8025" w:name="_Toc6721"/>
      <w:r>
        <w:t>6061- دیوان کمال خجندی‏</w:t>
      </w:r>
      <w:bookmarkEnd w:id="8025"/>
    </w:p>
    <w:p>
      <w:pPr>
        <w:pStyle w:val="BookText"/>
      </w:pPr>
      <w:r>
        <w:rPr>
          <w:rFonts w:ascii="IRNazanin" w:hAnsi="IRNazanin" w:eastAsia="IRNazanin" w:cs="IRNazanin"/>
          <w:lang w:bidi="fa-IR"/>
          <w:color w:val="111111"/>
          <w:sz w:val="28"/>
          <w:szCs w:val="28"/>
          <w:rtl/>
        </w:rPr>
        <w:t xml:space="preserve">و هو کمال الدین مسعود الخجندی- من بلاد ترکستان- کان معاصر الخواجة حافظ الشیرازی و کان بینهما مکاتبات. نشا بخجند و سافر إلی الحج و لازم العرفاء و الصوفیة و سکن تبریز و تقرب عند السلطان حسین بن أویس جلایر، فبنی له خانقاها فی ولیان کوه و مات و دفن بها فی 792 کما فی (لت 5) و شاهد صادق أو 803 کما فی (نفحات- ص 549). و (نتایج- ص 593) أو 800 کما فی (مسرت- ص 389) و قال فی (بهش 1- ص 355) إن شعره ثقیل و یتتبع حسن الدهلوی‏
</w:t>
      </w:r>
    </w:p>
    <w:p>
      <w:pPr>
        <w:sectPr>
          <w:footerReference w:type="default" r:id="rId926"/>
          <w:footnotePr>
            <w:numStart w:val="1"/>
            <w:numRestart w:val="eachPage"/>
          </w:footnotePr>
          <w:pgSz w:orient="portrait" w:w="11905.511811023622" w:h="16837.79527559055"/>
          <w:pgMar w:top="1440" w:right="1440" w:bottom="1440" w:left="1440" w:header="720" w:footer="720" w:gutter="0"/>
          <w:cols w:num="1" w:space="720"/>
        </w:sectPr>
      </w:pPr>
    </w:p>
    <w:bookmarkStart w:id="908" w:name="pg11704_122394"/>
    <w:bookmarkEnd w:id="908"/>
    <w:p>
      <w:pPr>
        <w:pStyle w:val="BookText"/>
      </w:pPr>
      <w:r>
        <w:rPr>
          <w:rFonts w:ascii="IRNazanin" w:hAnsi="IRNazanin" w:eastAsia="IRNazanin" w:cs="IRNazanin"/>
          <w:lang w:bidi="fa-IR"/>
          <w:color w:val="111111"/>
          <w:sz w:val="28"/>
          <w:szCs w:val="28"/>
          <w:rtl/>
        </w:rPr>
        <w:t xml:space="preserve">و قال هو فی ذلک.</w:t>
      </w:r>
    </w:p>
    <w:p>
      <w:pPr>
        <w:pStyle w:val="BookText"/>
      </w:pPr>
      <w:r>
        <w:rPr>
          <w:rFonts w:ascii="IRNazanin" w:hAnsi="IRNazanin" w:eastAsia="IRNazanin" w:cs="IRNazanin"/>
          <w:lang w:bidi="fa-IR"/>
          <w:color w:val="111111"/>
          <w:sz w:val="28"/>
          <w:szCs w:val="28"/>
          <w:rtl/>
        </w:rPr>
        <w:t xml:space="preserve">کس بر سر هیچ رخنه نگرفت مرا</w:t>
      </w:r>
    </w:p>
    <w:p>
      <w:pPr>
        <w:pStyle w:val="BookText"/>
      </w:pPr>
      <w:r>
        <w:rPr>
          <w:rFonts w:ascii="IRNazanin" w:hAnsi="IRNazanin" w:eastAsia="IRNazanin" w:cs="IRNazanin"/>
          <w:lang w:bidi="fa-IR"/>
          <w:color w:val="111111"/>
          <w:sz w:val="28"/>
          <w:szCs w:val="28"/>
          <w:rtl/>
        </w:rPr>
        <w:t xml:space="preserve">معلوم همی‏شود که دزد حسنم‏</w:t>
      </w:r>
    </w:p>
    <w:p>
      <w:pPr>
        <w:pStyle w:val="BookText"/>
      </w:pPr>
      <w:r>
        <w:rPr>
          <w:rFonts w:ascii="IRNazanin" w:hAnsi="IRNazanin" w:eastAsia="IRNazanin" w:cs="IRNazanin"/>
          <w:lang w:bidi="fa-IR"/>
          <w:color w:val="111111"/>
          <w:sz w:val="28"/>
          <w:szCs w:val="28"/>
          <w:rtl/>
        </w:rPr>
        <w:t xml:space="preserve">ثم قال إن شعر حافظ الشیرازی أحسن من کلامه و إن کلام، کمال أحسن من شعره.</w:t>
      </w:r>
    </w:p>
    <w:p>
      <w:pPr>
        <w:pStyle w:val="BookText"/>
      </w:pPr>
      <w:r>
        <w:rPr>
          <w:rFonts w:ascii="IRNazanin" w:hAnsi="IRNazanin" w:eastAsia="IRNazanin" w:cs="IRNazanin"/>
          <w:lang w:bidi="fa-IR"/>
          <w:color w:val="111111"/>
          <w:sz w:val="28"/>
          <w:szCs w:val="28"/>
          <w:rtl/>
        </w:rPr>
        <w:t xml:space="preserve">و ترجم أیضا فی (عشاق- ص 151) و (خیال- ص 58) و (حسینی- ص 279) و قد جمع دیوانه المشتمل علی الغزل و المقطعات، أحد معاصریه مرتبا علی الحروف، و سماه فی مقدمته المنثورة ترجمان الحال لأصحاب الکمال و هو فی نسخه المجلس یشتمل علی 3400 بیت کما فی فهرسها (3: 391) و یوجد نسخه منه عند (فخر الدین) جمعت فی 836 و المکتبة (الملیة 8082) و نسخه فی (بنگاله) مع دیوان شهرت المذکور فی ص 458 و نسخه فی (سپهسالار) کما فی فهرسها 2: 663 و رأی سنگلاخ نسخه بخط محمد ابریشمی فذکره فی (امتحان 1: 114) و دخل بعض رباعیاته فی رباعیات أبی سعید أبی الخیر کما ذکره النفیسی فی مقدمه سخنان أبو سعید- ص 60 و قد عارض دیوانه آرزو المذکور فی 9: 5 و ضمیری أصفهانی المذکور فی 7: 261 و سماه احیای کمال و طبع دیوانه بتصحیح عزیز دولت‏آبادی بتبریز فی 398+ 18 ص. فی 1377 و ذکره الدکتور قاسم غنی فی مقدمه کتابه تاریخ عصر حافظ- ص لح و حکمت فی از سعدی تا جامی- ص 348.</w:t>
      </w:r>
    </w:p>
    <w:p>
      <w:pPr>
        <w:pStyle w:val="Heading3"/>
      </w:pPr>
      <w:bookmarkStart w:id="8026" w:name="_Toc6722"/>
      <w:r>
        <w:t>دیوان کمال خوارزمی‏</w:t>
      </w:r>
      <w:bookmarkEnd w:id="8026"/>
    </w:p>
    <w:p>
      <w:pPr>
        <w:pStyle w:val="BookText"/>
      </w:pPr>
      <w:r>
        <w:rPr>
          <w:rFonts w:ascii="IRNazanin" w:hAnsi="IRNazanin" w:eastAsia="IRNazanin" w:cs="IRNazanin"/>
          <w:lang w:bidi="fa-IR"/>
          <w:color w:val="111111"/>
          <w:sz w:val="28"/>
          <w:szCs w:val="28"/>
          <w:rtl/>
        </w:rPr>
        <w:t xml:space="preserve">و هو کمال الدین حسین. راجع دیوان حسین الخوارزمی فی ص 251. و طبع دیوان کمال الدین حسین بن شهاب الدین حسن المتوفی 840 فی 1316 فی 175 ص. و فی 1325 فی 96 ص.</w:t>
      </w:r>
    </w:p>
    <w:p>
      <w:pPr>
        <w:pStyle w:val="Heading3"/>
      </w:pPr>
      <w:bookmarkStart w:id="8027" w:name="_Toc6723"/>
      <w:r>
        <w:t>6062- دیوان کمال خوافی‏</w:t>
      </w:r>
      <w:bookmarkEnd w:id="8027"/>
    </w:p>
    <w:p>
      <w:pPr>
        <w:pStyle w:val="BookText"/>
      </w:pPr>
      <w:r>
        <w:rPr>
          <w:rFonts w:ascii="IRNazanin" w:hAnsi="IRNazanin" w:eastAsia="IRNazanin" w:cs="IRNazanin"/>
          <w:lang w:bidi="fa-IR"/>
          <w:color w:val="111111"/>
          <w:sz w:val="28"/>
          <w:szCs w:val="28"/>
          <w:rtl/>
        </w:rPr>
        <w:t xml:space="preserve">و اسمه کمال الدین بن حسام الخوافی الهروی. هو والد نظام بن کمال الذی شرح نصاب الصبیان باسم ریاض الفتیان و نسب فیه منظومة عوامل بالفارسیة إلی والده. أقول نظمه باسم معز الدین حسین بن غیاث الدین بن فخر الدین کرت الذی ولی هرات فی (722- 771) و ذکر اسمه فی آخر منظومته هذه المطبوعة ضمن جامع المقدمات، بإیران مکررا کما فصل فی فرهنگ نامه‏های عربی بفارسی- ص 157.</w:t>
      </w:r>
    </w:p>
    <w:p>
      <w:pPr>
        <w:pStyle w:val="Heading3"/>
      </w:pPr>
      <w:bookmarkStart w:id="8028" w:name="_Toc6724"/>
      <w:r>
        <w:t>6063- دیوان کمال خوانساری‏</w:t>
      </w:r>
      <w:bookmarkEnd w:id="8028"/>
    </w:p>
    <w:p>
      <w:pPr>
        <w:pStyle w:val="BookText"/>
      </w:pPr>
      <w:r>
        <w:rPr>
          <w:rFonts w:ascii="IRNazanin" w:hAnsi="IRNazanin" w:eastAsia="IRNazanin" w:cs="IRNazanin"/>
          <w:lang w:bidi="fa-IR"/>
          <w:color w:val="111111"/>
          <w:sz w:val="28"/>
          <w:szCs w:val="28"/>
          <w:rtl/>
        </w:rPr>
        <w:t xml:space="preserve">و اسمه کمال الدین ابن حسین الخوانساری. کان‏
</w:t>
      </w:r>
    </w:p>
    <w:p>
      <w:pPr>
        <w:sectPr>
          <w:footerReference w:type="default" r:id="rId927"/>
          <w:footnotePr>
            <w:numStart w:val="1"/>
            <w:numRestart w:val="eachPage"/>
          </w:footnotePr>
          <w:pgSz w:orient="portrait" w:w="11905.511811023622" w:h="16837.79527559055"/>
          <w:pgMar w:top="1440" w:right="1440" w:bottom="1440" w:left="1440" w:header="720" w:footer="720" w:gutter="0"/>
          <w:cols w:num="1" w:space="720"/>
        </w:sectPr>
      </w:pPr>
    </w:p>
    <w:bookmarkStart w:id="909" w:name="pg11704_122395"/>
    <w:bookmarkEnd w:id="909"/>
    <w:p>
      <w:pPr>
        <w:pStyle w:val="BookText"/>
      </w:pPr>
      <w:r>
        <w:rPr>
          <w:rFonts w:ascii="IRNazanin" w:hAnsi="IRNazanin" w:eastAsia="IRNazanin" w:cs="IRNazanin"/>
          <w:lang w:bidi="fa-IR"/>
          <w:color w:val="111111"/>
          <w:sz w:val="28"/>
          <w:szCs w:val="28"/>
          <w:rtl/>
        </w:rPr>
        <w:t xml:space="preserve">من أئمة الجماعة بأصفهان، و مات فی 17 صفر 1361 عن ثمانین سنة. له غیر الدیوان رد باب و محاسن الذکر. ترجمه و أورد شعره فی شعرای معاصر أصفهان- ص 387.</w:t>
      </w:r>
    </w:p>
    <w:p>
      <w:pPr>
        <w:pStyle w:val="Heading3"/>
      </w:pPr>
      <w:bookmarkStart w:id="8029" w:name="_Toc6725"/>
      <w:r>
        <w:t>6064- دیوان کمال دیلمی أو شعره‏</w:t>
      </w:r>
      <w:bookmarkEnd w:id="8029"/>
    </w:p>
    <w:p>
      <w:pPr>
        <w:pStyle w:val="BookText"/>
      </w:pPr>
      <w:r>
        <w:rPr>
          <w:rFonts w:ascii="IRNazanin" w:hAnsi="IRNazanin" w:eastAsia="IRNazanin" w:cs="IRNazanin"/>
          <w:lang w:bidi="fa-IR"/>
          <w:color w:val="111111"/>
          <w:sz w:val="28"/>
          <w:szCs w:val="28"/>
          <w:rtl/>
        </w:rPr>
        <w:t xml:space="preserve">و اسمه الشیخ کمال بن الشاه میرزا ابن الملک محمود الدیلمی. ترجمه و أورد شعره فی (تس 3- ص 62).</w:t>
      </w:r>
    </w:p>
    <w:p>
      <w:pPr>
        <w:pStyle w:val="Heading3"/>
      </w:pPr>
      <w:bookmarkStart w:id="8030" w:name="_Toc6726"/>
      <w:r>
        <w:t>دیوان کمال الدین أصفهانی‏</w:t>
      </w:r>
      <w:bookmarkEnd w:id="8030"/>
    </w:p>
    <w:p>
      <w:pPr>
        <w:pStyle w:val="BookText"/>
      </w:pPr>
      <w:r>
        <w:rPr>
          <w:rFonts w:ascii="IRNazanin" w:hAnsi="IRNazanin" w:eastAsia="IRNazanin" w:cs="IRNazanin"/>
          <w:lang w:bidi="fa-IR"/>
          <w:color w:val="111111"/>
          <w:sz w:val="28"/>
          <w:szCs w:val="28"/>
          <w:rtl/>
        </w:rPr>
        <w:t xml:space="preserve">راجع کمال أصفهانی.</w:t>
      </w:r>
    </w:p>
    <w:p>
      <w:pPr>
        <w:pStyle w:val="Heading3"/>
      </w:pPr>
      <w:bookmarkStart w:id="8031" w:name="_Toc6727"/>
      <w:r>
        <w:t>دیوان کمال الدین حسین‏</w:t>
      </w:r>
      <w:bookmarkEnd w:id="8031"/>
    </w:p>
    <w:p>
      <w:pPr>
        <w:pStyle w:val="BookText"/>
      </w:pPr>
      <w:r>
        <w:rPr>
          <w:rFonts w:ascii="IRNazanin" w:hAnsi="IRNazanin" w:eastAsia="IRNazanin" w:cs="IRNazanin"/>
          <w:lang w:bidi="fa-IR"/>
          <w:color w:val="111111"/>
          <w:sz w:val="28"/>
          <w:szCs w:val="28"/>
          <w:rtl/>
        </w:rPr>
        <w:t xml:space="preserve">و هو ابن أخت المیر زین العابدین (رفیع الدین حسین) ترجمه فی (مجن 4 ص 94 و ص 270) و ذکر اشتغاله فی عراق و اتصاله بسلطان یعقوب، ثم ترکه للدنیا و رجوعه إلی خراسان و تلمذه علی المولی عبد الرحمن الجامی و شرحه المنازل السائرین، ثم اعتزاله عن الخلق و اتخاذه طریقة الملامتیة و بعض شعره القلیل و ذکر أیضا فی (مطلع 2: 427) و قال فی</w:t>
      </w:r>
    </w:p>
    <w:p>
      <w:pPr>
        <w:pStyle w:val="BookText"/>
      </w:pPr>
      <w:r>
        <w:rPr>
          <w:rFonts w:ascii="IRNazanin" w:hAnsi="IRNazanin" w:eastAsia="IRNazanin" w:cs="IRNazanin"/>
          <w:lang w:bidi="fa-IR"/>
          <w:color w:val="111111"/>
          <w:sz w:val="28"/>
          <w:szCs w:val="28"/>
          <w:rtl/>
        </w:rPr>
        <w:t xml:space="preserve">(هفت- ص 192- 193) إنه مؤلف مجالس العشاق فلعله هو فنائی گازرگاهی المذکور فی ص 848. و طبع دیوان کمال الدین حسین بن شهاب الدین حسن الخوارزمی المتوفی 840 فی 1325 فی 96 ص.</w:t>
      </w:r>
    </w:p>
    <w:p>
      <w:pPr>
        <w:pStyle w:val="Heading3"/>
      </w:pPr>
      <w:bookmarkStart w:id="8032" w:name="_Toc6728"/>
      <w:r>
        <w:t>دیوان کمال الدین حسین بایقرا أو شعره‏</w:t>
      </w:r>
      <w:bookmarkEnd w:id="8032"/>
    </w:p>
    <w:p>
      <w:pPr>
        <w:pStyle w:val="BookText"/>
      </w:pPr>
      <w:r>
        <w:rPr>
          <w:rFonts w:ascii="IRNazanin" w:hAnsi="IRNazanin" w:eastAsia="IRNazanin" w:cs="IRNazanin"/>
          <w:lang w:bidi="fa-IR"/>
          <w:color w:val="111111"/>
          <w:sz w:val="28"/>
          <w:szCs w:val="28"/>
          <w:rtl/>
        </w:rPr>
        <w:t xml:space="preserve">المذکور بتخلصه حسینی فی ص 255 طبع باسم دیوان بایقرا فی إستانبول 1946 م فی 243 ص.</w:t>
      </w:r>
    </w:p>
    <w:p>
      <w:pPr>
        <w:pStyle w:val="Heading3"/>
      </w:pPr>
      <w:bookmarkStart w:id="8033" w:name="_Toc6729"/>
      <w:r>
        <w:t>6065- دیوان کمال الدین حسین أو شعره‏</w:t>
      </w:r>
      <w:bookmarkEnd w:id="8033"/>
    </w:p>
    <w:p>
      <w:pPr>
        <w:pStyle w:val="BookText"/>
      </w:pPr>
      <w:r>
        <w:rPr>
          <w:rFonts w:ascii="IRNazanin" w:hAnsi="IRNazanin" w:eastAsia="IRNazanin" w:cs="IRNazanin"/>
          <w:lang w:bidi="fa-IR"/>
          <w:color w:val="111111"/>
          <w:sz w:val="28"/>
          <w:szCs w:val="28"/>
          <w:rtl/>
        </w:rPr>
        <w:t xml:space="preserve">هو ابن الخواجة نظام الملک الأخیر و معاصر الأمیر علی شیر. ترجمه فی (مجن 4 ص 106 و 280) و أطری علو منصبه و حسن خطه و ذکر بعض شعره.</w:t>
      </w:r>
    </w:p>
    <w:p>
      <w:pPr>
        <w:pStyle w:val="Heading3"/>
      </w:pPr>
      <w:bookmarkStart w:id="8034" w:name="_Toc6730"/>
      <w:r>
        <w:t>6066- دیوان کمال الدین زنجانی‏</w:t>
      </w:r>
      <w:bookmarkEnd w:id="8034"/>
    </w:p>
    <w:p>
      <w:pPr>
        <w:pStyle w:val="BookText"/>
      </w:pPr>
      <w:r>
        <w:rPr>
          <w:rFonts w:ascii="IRNazanin" w:hAnsi="IRNazanin" w:eastAsia="IRNazanin" w:cs="IRNazanin"/>
          <w:lang w:bidi="fa-IR"/>
          <w:color w:val="111111"/>
          <w:sz w:val="28"/>
          <w:szCs w:val="28"/>
          <w:rtl/>
        </w:rPr>
        <w:t xml:space="preserve">مداح الخواجة شمس الدین محمد الجوینی و أخیه عطاء ملک و الخواجة نصیر الدین الطوسی. ترجمه فی (مع 1 ص: 487) و أورد بعض قصائد مدائحه. و ترجمه فی (دجا- ص 315) نقلا عن صحف إبراهیم و ذکر أنه توفی 687 و إنه فقد دیوان غزلیاته. و کذا فی (روشن- ص 579).</w:t>
      </w:r>
    </w:p>
    <w:p>
      <w:pPr>
        <w:pStyle w:val="Heading3"/>
      </w:pPr>
      <w:bookmarkStart w:id="8035" w:name="_Toc6731"/>
      <w:r>
        <w:t>6067- دیوان کمال الدین کوتاه پای أو شعره‏</w:t>
      </w:r>
      <w:bookmarkEnd w:id="8035"/>
    </w:p>
    <w:p>
      <w:pPr>
        <w:pStyle w:val="BookText"/>
      </w:pPr>
      <w:r>
        <w:rPr>
          <w:rFonts w:ascii="IRNazanin" w:hAnsi="IRNazanin" w:eastAsia="IRNazanin" w:cs="IRNazanin"/>
          <w:lang w:bidi="fa-IR"/>
          <w:color w:val="111111"/>
          <w:sz w:val="28"/>
          <w:szCs w:val="28"/>
          <w:rtl/>
        </w:rPr>
        <w:t xml:space="preserve">و اسمه ملک کمال الترمذی، والی بعض جبال بدخشان من قبل الخواجة أبی بکر الترمذی. ترجمه فی (مع 1: ص 45) و أورد بعض قصیدته الشکوائیة القریبة من ثلاثین بیتا. و جاء شعره فی مجموعة مخطوطة بمکتبة البلدیة بأصفهان برقم 3/ 224 و فی سفینه أشعار الموجودة فی (المجلس) کما
</w:t>
      </w:r>
    </w:p>
    <w:p>
      <w:pPr>
        <w:sectPr>
          <w:footerReference w:type="default" r:id="rId928"/>
          <w:footnotePr>
            <w:numStart w:val="1"/>
            <w:numRestart w:val="eachPage"/>
          </w:footnotePr>
          <w:pgSz w:orient="portrait" w:w="11905.511811023622" w:h="16837.79527559055"/>
          <w:pgMar w:top="1440" w:right="1440" w:bottom="1440" w:left="1440" w:header="720" w:footer="720" w:gutter="0"/>
          <w:cols w:num="1" w:space="720"/>
        </w:sectPr>
      </w:pPr>
    </w:p>
    <w:bookmarkStart w:id="910" w:name="pg11704_122396"/>
    <w:bookmarkEnd w:id="910"/>
    <w:p>
      <w:pPr>
        <w:pStyle w:val="BookText"/>
      </w:pPr>
      <w:r>
        <w:rPr>
          <w:rFonts w:ascii="IRNazanin" w:hAnsi="IRNazanin" w:eastAsia="IRNazanin" w:cs="IRNazanin"/>
          <w:lang w:bidi="fa-IR"/>
          <w:color w:val="111111"/>
          <w:sz w:val="28"/>
          <w:szCs w:val="28"/>
          <w:rtl/>
        </w:rPr>
        <w:t xml:space="preserve">فی فهرسها 3: 158.</w:t>
      </w:r>
    </w:p>
    <w:p>
      <w:pPr>
        <w:pStyle w:val="Heading3"/>
      </w:pPr>
      <w:bookmarkStart w:id="8036" w:name="_Toc6732"/>
      <w:r>
        <w:t>6068- دیوان کمال الدین مراغی أو شعره‏</w:t>
      </w:r>
      <w:bookmarkEnd w:id="8036"/>
    </w:p>
    <w:p>
      <w:pPr>
        <w:pStyle w:val="BookText"/>
      </w:pPr>
      <w:r>
        <w:rPr>
          <w:rFonts w:ascii="IRNazanin" w:hAnsi="IRNazanin" w:eastAsia="IRNazanin" w:cs="IRNazanin"/>
          <w:lang w:bidi="fa-IR"/>
          <w:color w:val="111111"/>
          <w:sz w:val="28"/>
          <w:szCs w:val="28"/>
          <w:rtl/>
        </w:rPr>
        <w:t xml:space="preserve">و هو العالم الفصیح. ترجمه فی (مع 1 ص 487) و أورد بعض قصیدته فی مخاطبته الشمع.</w:t>
      </w:r>
    </w:p>
    <w:p>
      <w:pPr>
        <w:pStyle w:val="Heading3"/>
      </w:pPr>
      <w:bookmarkStart w:id="8037" w:name="_Toc6733"/>
      <w:r>
        <w:t>6069- دیوان کمال الدین مسعود شیروانی أو شعره‏</w:t>
      </w:r>
      <w:bookmarkEnd w:id="8037"/>
    </w:p>
    <w:p>
      <w:pPr>
        <w:pStyle w:val="BookText"/>
      </w:pPr>
      <w:r>
        <w:rPr>
          <w:rFonts w:ascii="IRNazanin" w:hAnsi="IRNazanin" w:eastAsia="IRNazanin" w:cs="IRNazanin"/>
          <w:lang w:bidi="fa-IR"/>
          <w:color w:val="111111"/>
          <w:sz w:val="28"/>
          <w:szCs w:val="28"/>
          <w:rtl/>
        </w:rPr>
        <w:t xml:space="preserve">کان نزیل هراة و مدرسا فی مدرسة مهد علیا گوهرشاد بیگم إلی أن توفی 905 ترجمه فی (مجن 4- و ص 91 و 266) و أورد شعره و قوله [</w:t>
      </w:r>
    </w:p>
    <w:p>
      <w:pPr>
        <w:pStyle w:val="BookText"/>
      </w:pPr>
      <w:r>
        <w:rPr>
          <w:rFonts w:ascii="IRNazanin" w:hAnsi="IRNazanin" w:eastAsia="IRNazanin" w:cs="IRNazanin"/>
          <w:lang w:bidi="fa-IR"/>
          <w:color w:val="111111"/>
          <w:sz w:val="28"/>
          <w:szCs w:val="28"/>
          <w:rtl/>
        </w:rPr>
        <w:t xml:space="preserve">ملا شدن آسان است‏</w:t>
      </w:r>
    </w:p>
    <w:p>
      <w:pPr>
        <w:pStyle w:val="BookText"/>
      </w:pPr>
      <w:r>
        <w:rPr>
          <w:rFonts w:ascii="IRNazanin" w:hAnsi="IRNazanin" w:eastAsia="IRNazanin" w:cs="IRNazanin"/>
          <w:lang w:bidi="fa-IR"/>
          <w:color w:val="111111"/>
          <w:sz w:val="28"/>
          <w:szCs w:val="28"/>
          <w:rtl/>
        </w:rPr>
        <w:t xml:space="preserve">آدم شدن دشوار</w:t>
      </w:r>
    </w:p>
    <w:p>
      <w:pPr>
        <w:pStyle w:val="Heading3"/>
      </w:pPr>
      <w:bookmarkStart w:id="8038" w:name="_Toc6734"/>
      <w:r>
        <w:t>6070- دیوان کمال سیستانی أو شعره‏</w:t>
      </w:r>
      <w:bookmarkEnd w:id="8038"/>
    </w:p>
    <w:p>
      <w:pPr>
        <w:pStyle w:val="BookText"/>
      </w:pPr>
      <w:r>
        <w:rPr>
          <w:rFonts w:ascii="IRNazanin" w:hAnsi="IRNazanin" w:eastAsia="IRNazanin" w:cs="IRNazanin"/>
          <w:lang w:bidi="fa-IR"/>
          <w:color w:val="111111"/>
          <w:sz w:val="28"/>
          <w:szCs w:val="28"/>
          <w:rtl/>
        </w:rPr>
        <w:t xml:space="preserve">و اسمه کمال الدین. ترجمه و أورد شعره فی (گلشن- ص 342).</w:t>
      </w:r>
    </w:p>
    <w:p>
      <w:pPr>
        <w:pStyle w:val="Heading3"/>
      </w:pPr>
      <w:bookmarkStart w:id="8039" w:name="_Toc6735"/>
      <w:r>
        <w:t>6071- دیوان کمال شیرازی أو شعره‏</w:t>
      </w:r>
      <w:bookmarkEnd w:id="8039"/>
    </w:p>
    <w:p>
      <w:pPr>
        <w:pStyle w:val="BookText"/>
      </w:pPr>
      <w:r>
        <w:rPr>
          <w:rFonts w:ascii="IRNazanin" w:hAnsi="IRNazanin" w:eastAsia="IRNazanin" w:cs="IRNazanin"/>
          <w:lang w:bidi="fa-IR"/>
          <w:color w:val="111111"/>
          <w:sz w:val="28"/>
          <w:szCs w:val="28"/>
          <w:rtl/>
        </w:rPr>
        <w:t xml:space="preserve">و هو کمال الدین محمد (أو حسین) ابن غیاث الدین الحکیم المؤرخ الشیعی الصادق فی قوله. کذا أطرأه فی هفت إقلیم و فی (خیال- ص 66) أورد قصة امتحانه فی مذهبه و فی (روشن- ص 580) نقلا عن شمع انجمن أنه کمال الدین حسین قصه‏خوان، و کان یتخلص ابن غیاث أیضا. و جاء شعره فی جنگ کتابته 835 عند (فخر الدین). و ذکروا له قطعة لامیة أولها:</w:t>
      </w:r>
    </w:p>
    <w:p>
      <w:pPr>
        <w:pStyle w:val="BookText"/>
      </w:pPr>
      <w:r>
        <w:rPr>
          <w:rFonts w:ascii="IRNazanin" w:hAnsi="IRNazanin" w:eastAsia="IRNazanin" w:cs="IRNazanin"/>
          <w:lang w:bidi="fa-IR"/>
          <w:color w:val="111111"/>
          <w:sz w:val="28"/>
          <w:szCs w:val="28"/>
          <w:rtl/>
        </w:rPr>
        <w:t xml:space="preserve">تهتک در سخن گفتن زیانست‏</w:t>
      </w:r>
    </w:p>
    <w:p>
      <w:pPr>
        <w:pStyle w:val="BookText"/>
      </w:pPr>
      <w:r>
        <w:rPr>
          <w:rFonts w:ascii="IRNazanin" w:hAnsi="IRNazanin" w:eastAsia="IRNazanin" w:cs="IRNazanin"/>
          <w:lang w:bidi="fa-IR"/>
          <w:color w:val="111111"/>
          <w:sz w:val="28"/>
          <w:szCs w:val="28"/>
          <w:rtl/>
        </w:rPr>
        <w:t xml:space="preserve">تأمل کن تأمل کن تأمل‏</w:t>
      </w:r>
    </w:p>
    <w:p>
      <w:pPr>
        <w:pStyle w:val="Heading3"/>
      </w:pPr>
      <w:bookmarkStart w:id="8040" w:name="_Toc6736"/>
      <w:r>
        <w:t>دیوان کمال شیرازی‏</w:t>
      </w:r>
      <w:bookmarkEnd w:id="8040"/>
    </w:p>
    <w:p>
      <w:pPr>
        <w:pStyle w:val="BookText"/>
      </w:pPr>
      <w:r>
        <w:rPr>
          <w:rFonts w:ascii="IRNazanin" w:hAnsi="IRNazanin" w:eastAsia="IRNazanin" w:cs="IRNazanin"/>
          <w:lang w:bidi="fa-IR"/>
          <w:color w:val="111111"/>
          <w:sz w:val="28"/>
          <w:szCs w:val="28"/>
          <w:rtl/>
        </w:rPr>
        <w:t xml:space="preserve">راجع کمال فسائی.</w:t>
      </w:r>
    </w:p>
    <w:p>
      <w:pPr>
        <w:pStyle w:val="Heading3"/>
      </w:pPr>
      <w:bookmarkStart w:id="8041" w:name="_Toc6737"/>
      <w:r>
        <w:t>6072- دیوان کمال فسائی شیرازی‏</w:t>
      </w:r>
      <w:bookmarkEnd w:id="8041"/>
    </w:p>
    <w:p>
      <w:pPr>
        <w:pStyle w:val="BookText"/>
      </w:pPr>
      <w:r>
        <w:rPr>
          <w:rFonts w:ascii="IRNazanin" w:hAnsi="IRNazanin" w:eastAsia="IRNazanin" w:cs="IRNazanin"/>
          <w:lang w:bidi="fa-IR"/>
          <w:color w:val="111111"/>
          <w:sz w:val="28"/>
          <w:szCs w:val="28"/>
          <w:rtl/>
        </w:rPr>
        <w:t xml:space="preserve">هو کمال الدین محمد بن الملا محمد حسین الفسائی الشیرازی. ترجمه کذلک النصرآبادی فی (نر 8- ص 202) و أطری والده بالزهد و التقوی و قال إن کمالا حصل الکمال فی الجملة و قد ینظم الشعر و ذکر بعضه. و ظاهره أن کمالا فی زمن تألیف النصرآبادی 1083 کان شابا و فی أوائل تحصیله، و إنه کان متأخرا عن المیرزا کمالا الذی هو صهر المولی محمد تقی المجلسی المتوفی 1070 علی بنته، و هو کمال الدین محمد بن معین الدین محمد الفسائی شارح قصیدة دعبل الذی فرغ منه 1103 و غیرها من التصانیف مثل البیاض الکمالی المذکور فی ج 3 ص 170 و یحتمل اتحادهما و کون محمد حسین فی</w:t>
      </w:r>
    </w:p>
    <w:p>
      <w:pPr>
        <w:pStyle w:val="BookText"/>
      </w:pPr>
      <w:r>
        <w:rPr>
          <w:rFonts w:ascii="IRNazanin" w:hAnsi="IRNazanin" w:eastAsia="IRNazanin" w:cs="IRNazanin"/>
          <w:lang w:bidi="fa-IR"/>
          <w:color w:val="111111"/>
          <w:sz w:val="28"/>
          <w:szCs w:val="28"/>
          <w:rtl/>
        </w:rPr>
        <w:t xml:space="preserve">نسخه النصرآبادی تصحیف محمد معین المعبر عنه بمعین الدین محمد فی شرح القصیدة و الإجازات. قال الحزین فی تذکرته (ص 30) إن کمال الدین الحسینی تلمیذ مسیح الأنام الفسائی مات 1134 و له شواهد مطول‏
</w:t>
      </w:r>
    </w:p>
    <w:p>
      <w:pPr>
        <w:sectPr>
          <w:footerReference w:type="default" r:id="rId929"/>
          <w:footnotePr>
            <w:numStart w:val="1"/>
            <w:numRestart w:val="eachPage"/>
          </w:footnotePr>
          <w:pgSz w:orient="portrait" w:w="11905.511811023622" w:h="16837.79527559055"/>
          <w:pgMar w:top="1440" w:right="1440" w:bottom="1440" w:left="1440" w:header="720" w:footer="720" w:gutter="0"/>
          <w:cols w:num="1" w:space="720"/>
        </w:sectPr>
      </w:pPr>
    </w:p>
    <w:bookmarkStart w:id="911" w:name="pg11704_122397"/>
    <w:bookmarkEnd w:id="911"/>
    <w:p>
      <w:pPr>
        <w:pStyle w:val="BookText"/>
      </w:pPr>
      <w:r>
        <w:rPr>
          <w:rFonts w:ascii="IRNazanin" w:hAnsi="IRNazanin" w:eastAsia="IRNazanin" w:cs="IRNazanin"/>
          <w:lang w:bidi="fa-IR"/>
          <w:color w:val="111111"/>
          <w:sz w:val="28"/>
          <w:szCs w:val="28"/>
          <w:rtl/>
        </w:rPr>
        <w:t xml:space="preserve">موجودة فی (سپهسالار) کما فی فهرسها 2: 426 و حاشیة المعالم و حل شبهات الکاتبی و کان أستاذ الحزین، و أورد شعره الذی تتبع فیه قصیدة الخاقانی الشینیة. و قال فی گلشن- ص 343) ولد بکاشان و سکن أصفهان و مات حین حصار أصفهان.</w:t>
      </w:r>
    </w:p>
    <w:p>
      <w:pPr>
        <w:pStyle w:val="Heading3"/>
      </w:pPr>
      <w:bookmarkStart w:id="8042" w:name="_Toc6738"/>
      <w:r>
        <w:t>دیوان کمال قصه‏خوان‏</w:t>
      </w:r>
      <w:bookmarkEnd w:id="8042"/>
    </w:p>
    <w:p>
      <w:pPr>
        <w:pStyle w:val="BookText"/>
      </w:pPr>
      <w:r>
        <w:rPr>
          <w:rFonts w:ascii="IRNazanin" w:hAnsi="IRNazanin" w:eastAsia="IRNazanin" w:cs="IRNazanin"/>
          <w:lang w:bidi="fa-IR"/>
          <w:color w:val="111111"/>
          <w:sz w:val="28"/>
          <w:szCs w:val="28"/>
          <w:rtl/>
        </w:rPr>
        <w:t xml:space="preserve">راجع کمال شیرازی.</w:t>
      </w:r>
    </w:p>
    <w:p>
      <w:pPr>
        <w:pStyle w:val="Heading3"/>
      </w:pPr>
      <w:bookmarkStart w:id="8043" w:name="_Toc6739"/>
      <w:r>
        <w:t>6073- دیوان کمال کاشی أو شعره‏</w:t>
      </w:r>
      <w:bookmarkEnd w:id="8043"/>
    </w:p>
    <w:p>
      <w:pPr>
        <w:pStyle w:val="BookText"/>
      </w:pPr>
      <w:r>
        <w:rPr>
          <w:rFonts w:ascii="IRNazanin" w:hAnsi="IRNazanin" w:eastAsia="IRNazanin" w:cs="IRNazanin"/>
          <w:lang w:bidi="fa-IR"/>
          <w:color w:val="111111"/>
          <w:sz w:val="28"/>
          <w:szCs w:val="28"/>
          <w:rtl/>
        </w:rPr>
        <w:t xml:space="preserve">و اسمه المیرزا کمال الدین. ولد بکاشان و سکن أصفهان و مات حین الحصار کما فی (گلشن- ص 343) و لعله أراد کمال فسائی.</w:t>
      </w:r>
    </w:p>
    <w:p>
      <w:pPr>
        <w:pStyle w:val="Heading3"/>
      </w:pPr>
      <w:bookmarkStart w:id="8044" w:name="_Toc6740"/>
      <w:r>
        <w:t>دیوان کمال کجکول‏</w:t>
      </w:r>
      <w:bookmarkEnd w:id="8044"/>
    </w:p>
    <w:p>
      <w:pPr>
        <w:pStyle w:val="BookText"/>
      </w:pPr>
      <w:r>
        <w:rPr>
          <w:rFonts w:ascii="IRNazanin" w:hAnsi="IRNazanin" w:eastAsia="IRNazanin" w:cs="IRNazanin"/>
          <w:lang w:bidi="fa-IR"/>
          <w:color w:val="111111"/>
          <w:sz w:val="28"/>
          <w:szCs w:val="28"/>
          <w:rtl/>
        </w:rPr>
        <w:t xml:space="preserve">راجع کمال بلخی.</w:t>
      </w:r>
    </w:p>
    <w:p>
      <w:pPr>
        <w:pStyle w:val="Heading3"/>
      </w:pPr>
      <w:bookmarkStart w:id="8045" w:name="_Toc6741"/>
      <w:r>
        <w:t>دیوان کمال کرمانی‏</w:t>
      </w:r>
      <w:bookmarkEnd w:id="8045"/>
    </w:p>
    <w:p>
      <w:pPr>
        <w:pStyle w:val="BookText"/>
      </w:pPr>
      <w:r>
        <w:rPr>
          <w:rFonts w:ascii="IRNazanin" w:hAnsi="IRNazanin" w:eastAsia="IRNazanin" w:cs="IRNazanin"/>
          <w:lang w:bidi="fa-IR"/>
          <w:color w:val="111111"/>
          <w:sz w:val="28"/>
          <w:szCs w:val="28"/>
          <w:rtl/>
        </w:rPr>
        <w:t xml:space="preserve">راجع خواجوی کرمانی.</w:t>
      </w:r>
    </w:p>
    <w:p>
      <w:pPr>
        <w:pStyle w:val="Heading3"/>
      </w:pPr>
      <w:bookmarkStart w:id="8046" w:name="_Toc6742"/>
      <w:r>
        <w:t>6074- دیوان کمال گیلانی أو شعره‏</w:t>
      </w:r>
      <w:bookmarkEnd w:id="8046"/>
    </w:p>
    <w:p>
      <w:pPr>
        <w:pStyle w:val="BookText"/>
      </w:pPr>
      <w:r>
        <w:rPr>
          <w:rFonts w:ascii="IRNazanin" w:hAnsi="IRNazanin" w:eastAsia="IRNazanin" w:cs="IRNazanin"/>
          <w:lang w:bidi="fa-IR"/>
          <w:color w:val="111111"/>
          <w:sz w:val="28"/>
          <w:szCs w:val="28"/>
          <w:rtl/>
        </w:rPr>
        <w:t xml:space="preserve">ترجمه و أورد شعره فی (تش- ص 164) و (روشن- ص 580) و ادعی فی نگارستان سخن اتحاده مع کمال شیرازی.</w:t>
      </w:r>
    </w:p>
    <w:p>
      <w:pPr>
        <w:pStyle w:val="Heading3"/>
      </w:pPr>
      <w:bookmarkStart w:id="8047" w:name="_Toc6743"/>
      <w:r>
        <w:t>دیوان کمال مشهدی‏</w:t>
      </w:r>
      <w:bookmarkEnd w:id="8047"/>
    </w:p>
    <w:p>
      <w:pPr>
        <w:pStyle w:val="BookText"/>
      </w:pPr>
      <w:r>
        <w:rPr>
          <w:rFonts w:ascii="IRNazanin" w:hAnsi="IRNazanin" w:eastAsia="IRNazanin" w:cs="IRNazanin"/>
          <w:lang w:bidi="fa-IR"/>
          <w:color w:val="111111"/>
          <w:sz w:val="28"/>
          <w:szCs w:val="28"/>
          <w:rtl/>
        </w:rPr>
        <w:t xml:space="preserve">راجع کمال الدین حسین بایقرا.</w:t>
      </w:r>
    </w:p>
    <w:p>
      <w:pPr>
        <w:pStyle w:val="Heading3"/>
      </w:pPr>
      <w:bookmarkStart w:id="8048" w:name="_Toc6744"/>
      <w:r>
        <w:t>6075- دیوان کمالی أصفهانی‏</w:t>
      </w:r>
      <w:bookmarkEnd w:id="8048"/>
    </w:p>
    <w:p>
      <w:pPr>
        <w:pStyle w:val="BookText"/>
      </w:pPr>
      <w:r>
        <w:rPr>
          <w:rFonts w:ascii="IRNazanin" w:hAnsi="IRNazanin" w:eastAsia="IRNazanin" w:cs="IRNazanin"/>
          <w:lang w:bidi="fa-IR"/>
          <w:color w:val="111111"/>
          <w:sz w:val="28"/>
          <w:szCs w:val="28"/>
          <w:rtl/>
        </w:rPr>
        <w:t xml:space="preserve">و اسمه حیدر علی بن محمد مهدی ولد فی أبرقوه فی شوال 1288 و هاجر مع والده إلی أصفهان و اشتغل بالحدادة و أخذ فی التعلم بعد 23 سنة من عمره. و سافر إلی طهران و أسس الحزب الاشتراکی المعتدل و لسان حاله جریدة پیکار فی 1329 فعطله ناصر الملک. ثم انتخب نائبا فی المجلس النیابی و مرض فی 1355 و مات. و له غیر الدیوان لازیکا المطبوع 1347 و مظالم ترکان خاتون المطبوع 1349 و أی طبیعت طبع فی مجلة الشرق و طبع بعض دیوانه فی إستانبول 1339 فی 136 ص بقطع صغیر مع مقدمه فی أحواله و تاریخ بعض أشعاره، و فی 1370 فی 288 ص.</w:t>
      </w:r>
    </w:p>
    <w:p>
      <w:pPr>
        <w:pStyle w:val="BookText"/>
      </w:pPr>
      <w:r>
        <w:rPr>
          <w:rFonts w:ascii="IRNazanin" w:hAnsi="IRNazanin" w:eastAsia="IRNazanin" w:cs="IRNazanin"/>
          <w:lang w:bidi="fa-IR"/>
          <w:color w:val="111111"/>
          <w:sz w:val="28"/>
          <w:szCs w:val="28"/>
          <w:rtl/>
        </w:rPr>
        <w:t xml:space="preserve">بطهران مع مقدمه علی دشتی. و ترجمه فی شعرای معاصر أصفهان- ص 388 و سخنوران نامی معاصر- ج 2: ص 219.</w:t>
      </w:r>
    </w:p>
    <w:p>
      <w:pPr>
        <w:pStyle w:val="Heading3"/>
      </w:pPr>
      <w:bookmarkStart w:id="8049" w:name="_Toc6745"/>
      <w:r>
        <w:t>دیوان کمالی بلخی‏</w:t>
      </w:r>
      <w:bookmarkEnd w:id="8049"/>
    </w:p>
    <w:p>
      <w:pPr>
        <w:pStyle w:val="BookText"/>
      </w:pPr>
      <w:r>
        <w:rPr>
          <w:rFonts w:ascii="IRNazanin" w:hAnsi="IRNazanin" w:eastAsia="IRNazanin" w:cs="IRNazanin"/>
          <w:lang w:bidi="fa-IR"/>
          <w:color w:val="111111"/>
          <w:sz w:val="28"/>
          <w:szCs w:val="28"/>
          <w:rtl/>
        </w:rPr>
        <w:t xml:space="preserve">راجع کمال بلخی.</w:t>
      </w:r>
    </w:p>
    <w:p>
      <w:pPr>
        <w:pStyle w:val="Heading3"/>
      </w:pPr>
      <w:bookmarkStart w:id="8050" w:name="_Toc6746"/>
      <w:r>
        <w:t>6076- دیوان کمالی سبزواری‏</w:t>
      </w:r>
      <w:bookmarkEnd w:id="8050"/>
    </w:p>
    <w:p>
      <w:pPr>
        <w:pStyle w:val="BookText"/>
      </w:pPr>
      <w:r>
        <w:rPr>
          <w:rFonts w:ascii="IRNazanin" w:hAnsi="IRNazanin" w:eastAsia="IRNazanin" w:cs="IRNazanin"/>
          <w:lang w:bidi="fa-IR"/>
          <w:color w:val="111111"/>
          <w:sz w:val="28"/>
          <w:szCs w:val="28"/>
          <w:rtl/>
        </w:rPr>
        <w:t xml:space="preserve">من شعراء الشاه عباس الصفوی الأول، و باسمه نظم عباس‏نامه فی فتوحاته و مات 1020 ترجمه و أورد شعره فی (تش- ص 79) و (گلشن- ص 343) و (خص 8- ص 192) و عنه فی القاموس الترکی ثم الریحانة. و فی (حسینی- ص 281) سمی کتابه یأس‏نامه‏
</w:t>
      </w:r>
    </w:p>
    <w:p>
      <w:pPr>
        <w:sectPr>
          <w:footerReference w:type="default" r:id="rId930"/>
          <w:footnotePr>
            <w:numStart w:val="1"/>
            <w:numRestart w:val="eachPage"/>
          </w:footnotePr>
          <w:pgSz w:orient="portrait" w:w="11905.511811023622" w:h="16837.79527559055"/>
          <w:pgMar w:top="1440" w:right="1440" w:bottom="1440" w:left="1440" w:header="720" w:footer="720" w:gutter="0"/>
          <w:cols w:num="1" w:space="720"/>
        </w:sectPr>
      </w:pPr>
    </w:p>
    <w:bookmarkStart w:id="912" w:name="pg11704_122398"/>
    <w:bookmarkEnd w:id="912"/>
    <w:p>
      <w:pPr>
        <w:pStyle w:val="Heading3"/>
      </w:pPr>
      <w:bookmarkStart w:id="8051" w:name="_Toc6747"/>
      <w:r>
        <w:t>6077- دیوان کمالی سبزواری‏</w:t>
      </w:r>
      <w:bookmarkEnd w:id="8051"/>
    </w:p>
    <w:p>
      <w:pPr>
        <w:pStyle w:val="BookText"/>
      </w:pPr>
      <w:r>
        <w:rPr>
          <w:rFonts w:ascii="IRNazanin" w:hAnsi="IRNazanin" w:eastAsia="IRNazanin" w:cs="IRNazanin"/>
          <w:lang w:bidi="fa-IR"/>
          <w:color w:val="111111"/>
          <w:sz w:val="28"/>
          <w:szCs w:val="28"/>
          <w:rtl/>
        </w:rPr>
        <w:t xml:space="preserve">و هو الأمیر العمید کمال الدین جمال الکتاب الکمالی البخاری الخطاط الموسیقار. عده النظامی فی چهار مقالة من شعراء آل سلجوق و معاصر سنجر (479- 552) و ذکره العوفی فی (لب- 1) و مدحه الأنوری الأبیوردی کما فی حواشی حدائق السحر و سماه هدایت فی (مع 1: 486) کمال بخارائی. و جاء شعره فی گنجینه گران‏مایه الموجودة بجامعة طهران رقم 2144 و فی (روشن- ص 580) عن نگارستان سخن.</w:t>
      </w:r>
    </w:p>
    <w:p>
      <w:pPr>
        <w:pStyle w:val="Heading3"/>
      </w:pPr>
      <w:bookmarkStart w:id="8052" w:name="_Toc6748"/>
      <w:r>
        <w:t>دیوان کمان ابرو</w:t>
      </w:r>
      <w:bookmarkEnd w:id="8052"/>
    </w:p>
    <w:p>
      <w:pPr>
        <w:pStyle w:val="BookText"/>
      </w:pPr>
      <w:r>
        <w:rPr>
          <w:rFonts w:ascii="IRNazanin" w:hAnsi="IRNazanin" w:eastAsia="IRNazanin" w:cs="IRNazanin"/>
          <w:lang w:bidi="fa-IR"/>
          <w:color w:val="111111"/>
          <w:sz w:val="28"/>
          <w:szCs w:val="28"/>
          <w:rtl/>
        </w:rPr>
        <w:t xml:space="preserve">و هو الحافظ پناهی الخراسانی. مر فی ص 221.</w:t>
      </w:r>
    </w:p>
    <w:p>
      <w:pPr>
        <w:pStyle w:val="Heading3"/>
      </w:pPr>
      <w:bookmarkStart w:id="8053" w:name="_Toc6749"/>
      <w:r>
        <w:t>دیوان کمپانی‏</w:t>
      </w:r>
      <w:bookmarkEnd w:id="8053"/>
    </w:p>
    <w:p>
      <w:pPr>
        <w:pStyle w:val="BookText"/>
      </w:pPr>
      <w:r>
        <w:rPr>
          <w:rFonts w:ascii="IRNazanin" w:hAnsi="IRNazanin" w:eastAsia="IRNazanin" w:cs="IRNazanin"/>
          <w:lang w:bidi="fa-IR"/>
          <w:color w:val="111111"/>
          <w:sz w:val="28"/>
          <w:szCs w:val="28"/>
          <w:rtl/>
        </w:rPr>
        <w:t xml:space="preserve">راجع دیوان مفتقر.</w:t>
      </w:r>
    </w:p>
    <w:p>
      <w:pPr>
        <w:pStyle w:val="Heading3"/>
      </w:pPr>
      <w:bookmarkStart w:id="8054" w:name="_Toc6750"/>
      <w:r>
        <w:t>6078- دیوان کمتری شیرازی أو شعره‏</w:t>
      </w:r>
      <w:bookmarkEnd w:id="8054"/>
    </w:p>
    <w:p>
      <w:pPr>
        <w:pStyle w:val="BookText"/>
      </w:pPr>
      <w:r>
        <w:rPr>
          <w:rFonts w:ascii="IRNazanin" w:hAnsi="IRNazanin" w:eastAsia="IRNazanin" w:cs="IRNazanin"/>
          <w:lang w:bidi="fa-IR"/>
          <w:color w:val="111111"/>
          <w:sz w:val="28"/>
          <w:szCs w:val="28"/>
          <w:rtl/>
        </w:rPr>
        <w:t xml:space="preserve">کان إسکافا. ترجمه الصادقی فی (خص 8- ص 275) و أورد شعره.</w:t>
      </w:r>
    </w:p>
    <w:p>
      <w:pPr>
        <w:pStyle w:val="Heading3"/>
      </w:pPr>
      <w:bookmarkStart w:id="8055" w:name="_Toc6751"/>
      <w:r>
        <w:t>دیوان کمره‏ای‏</w:t>
      </w:r>
      <w:bookmarkEnd w:id="8055"/>
    </w:p>
    <w:p>
      <w:pPr>
        <w:pStyle w:val="BookText"/>
      </w:pPr>
      <w:r>
        <w:rPr>
          <w:rFonts w:ascii="IRNazanin" w:hAnsi="IRNazanin" w:eastAsia="IRNazanin" w:cs="IRNazanin"/>
          <w:lang w:bidi="fa-IR"/>
          <w:color w:val="111111"/>
          <w:sz w:val="28"/>
          <w:szCs w:val="28"/>
          <w:rtl/>
        </w:rPr>
        <w:t xml:space="preserve">راجع دیوان نقی کمره‏ای.</w:t>
      </w:r>
    </w:p>
    <w:p>
      <w:pPr>
        <w:pStyle w:val="Heading3"/>
      </w:pPr>
      <w:bookmarkStart w:id="8056" w:name="_Toc6752"/>
      <w:r>
        <w:t>6079- دیوان کم گوی کشمیری‏</w:t>
      </w:r>
      <w:bookmarkEnd w:id="8056"/>
    </w:p>
    <w:p>
      <w:pPr>
        <w:pStyle w:val="BookText"/>
      </w:pPr>
      <w:r>
        <w:rPr>
          <w:rFonts w:ascii="IRNazanin" w:hAnsi="IRNazanin" w:eastAsia="IRNazanin" w:cs="IRNazanin"/>
          <w:lang w:bidi="fa-IR"/>
          <w:color w:val="111111"/>
          <w:sz w:val="28"/>
          <w:szCs w:val="28"/>
          <w:rtl/>
        </w:rPr>
        <w:t xml:space="preserve">و اسمه عبد الرحیم. تلمذ علی محمد أفضل سرخوش کما ذکره فی (سرخوش- ص 97) و فصل فی مقدمته ص 6 و فی (نتایج- ص 605) قال إنه ذهب أخیرا إلی جنوب الهند و مات حدود 1100 و ترجمه أیضا فی (تش- ص 350) و أورد شعره فی (مسرت- ص 421) و (روشن- ص 581) عن شمع انجمن.</w:t>
      </w:r>
    </w:p>
    <w:p>
      <w:pPr>
        <w:pStyle w:val="Heading3"/>
      </w:pPr>
      <w:bookmarkStart w:id="8057" w:name="_Toc6753"/>
      <w:r>
        <w:t>دیوان الشیخ محمد علی کمونة</w:t>
      </w:r>
      <w:bookmarkEnd w:id="8057"/>
    </w:p>
    <w:p>
      <w:pPr>
        <w:pStyle w:val="BookText"/>
      </w:pPr>
      <w:r>
        <w:rPr>
          <w:rFonts w:ascii="IRNazanin" w:hAnsi="IRNazanin" w:eastAsia="IRNazanin" w:cs="IRNazanin"/>
          <w:lang w:bidi="fa-IR"/>
          <w:color w:val="111111"/>
          <w:sz w:val="28"/>
          <w:szCs w:val="28"/>
          <w:rtl/>
        </w:rPr>
        <w:t xml:space="preserve">ابن محمد بن عیسی آل کمونة الحائری کانت نسخته الأصلیة من جمع بعض أحفاده سماه اللآلی المکنونة فی مکتبة السید عبد الحسین خازن الحضرة الحسینیة فاحترقت فیما احترق من کتبه، ثم عمد إلی جمعه ثانیا من المواضع العدیدة، محمد کاظم الطریحی، و کتب له مقدمه فی أنساب بنی أسد المنتهی إلیهم آل کمونة کما ذکرناه فی ص 28.</w:t>
      </w:r>
    </w:p>
    <w:p>
      <w:pPr>
        <w:pStyle w:val="Heading3"/>
      </w:pPr>
      <w:bookmarkStart w:id="8058" w:name="_Toc6754"/>
      <w:r>
        <w:t>6080- دیوان کمیت‏</w:t>
      </w:r>
      <w:bookmarkEnd w:id="8058"/>
    </w:p>
    <w:p>
      <w:pPr>
        <w:pStyle w:val="BookText"/>
      </w:pPr>
      <w:r>
        <w:rPr>
          <w:rFonts w:ascii="IRNazanin" w:hAnsi="IRNazanin" w:eastAsia="IRNazanin" w:cs="IRNazanin"/>
          <w:lang w:bidi="fa-IR"/>
          <w:color w:val="111111"/>
          <w:sz w:val="28"/>
          <w:szCs w:val="28"/>
          <w:rtl/>
        </w:rPr>
        <w:t xml:space="preserve">و هو کمیت بن زید بن خنیس الأسدی الکوفی شاعر أهل البیت و المتوفی 126. قیل إن شعره أکثر من خمسة آلاف بیت ترجمه القاضی فی (لس- ص 442) قال أبو عکرمة الضبی لو لا شعر کمیت لم یکن للغة ترجمان. کان خطیبا فقیها فارسا شجاعا شیخا أدیبا. و ذکر ابن الندیم فی ص 225 جمعا ممن جمعوا أشعار کمیت و ذکر الأسانید إلی روایة شعره. و ذکره ابن شهرآشوب فی (المعالم- ص 139).
</w:t>
      </w:r>
    </w:p>
    <w:p>
      <w:pPr>
        <w:sectPr>
          <w:footerReference w:type="default" r:id="rId931"/>
          <w:footnotePr>
            <w:numStart w:val="1"/>
            <w:numRestart w:val="eachPage"/>
          </w:footnotePr>
          <w:pgSz w:orient="portrait" w:w="11905.511811023622" w:h="16837.79527559055"/>
          <w:pgMar w:top="1440" w:right="1440" w:bottom="1440" w:left="1440" w:header="720" w:footer="720" w:gutter="0"/>
          <w:cols w:num="1" w:space="720"/>
        </w:sectPr>
      </w:pPr>
    </w:p>
    <w:bookmarkStart w:id="913" w:name="pg11704_122399"/>
    <w:bookmarkEnd w:id="913"/>
    <w:p>
      <w:pPr>
        <w:pStyle w:val="Heading3"/>
      </w:pPr>
      <w:bookmarkStart w:id="8059" w:name="_Toc6755"/>
      <w:r>
        <w:t>دیوان کوته پای‏</w:t>
      </w:r>
      <w:bookmarkEnd w:id="8059"/>
    </w:p>
    <w:p>
      <w:pPr>
        <w:pStyle w:val="BookText"/>
      </w:pPr>
      <w:r>
        <w:rPr>
          <w:rFonts w:ascii="IRNazanin" w:hAnsi="IRNazanin" w:eastAsia="IRNazanin" w:cs="IRNazanin"/>
          <w:lang w:bidi="fa-IR"/>
          <w:color w:val="111111"/>
          <w:sz w:val="28"/>
          <w:szCs w:val="28"/>
          <w:rtl/>
        </w:rPr>
        <w:t xml:space="preserve">راجع دیوان کمال الدین کوته پای.</w:t>
      </w:r>
    </w:p>
    <w:p>
      <w:pPr>
        <w:pStyle w:val="Heading3"/>
      </w:pPr>
      <w:bookmarkStart w:id="8060" w:name="_Toc6756"/>
      <w:r>
        <w:t>6081- دیوان کوثر أصفهانی أو شعره‏</w:t>
      </w:r>
      <w:bookmarkEnd w:id="8060"/>
    </w:p>
    <w:p>
      <w:pPr>
        <w:pStyle w:val="BookText"/>
      </w:pPr>
      <w:r>
        <w:rPr>
          <w:rFonts w:ascii="IRNazanin" w:hAnsi="IRNazanin" w:eastAsia="IRNazanin" w:cs="IRNazanin"/>
          <w:lang w:bidi="fa-IR"/>
          <w:color w:val="111111"/>
          <w:sz w:val="28"/>
          <w:szCs w:val="28"/>
          <w:rtl/>
        </w:rPr>
        <w:t xml:space="preserve">و هو المیرزا سلیمان أمین‏پور ابن فضل الله و أخ روشن الأصفهانی المذکور فی ص 391. ولد 1290 ش بأصفهان. ترجمه فی شعرای معاصر أصفهان- ص 391.</w:t>
      </w:r>
    </w:p>
    <w:p>
      <w:pPr>
        <w:pStyle w:val="Heading3"/>
      </w:pPr>
      <w:bookmarkStart w:id="8061" w:name="_Toc6757"/>
      <w:r>
        <w:t>6082- دیوان کوثر همدانی‏</w:t>
      </w:r>
      <w:bookmarkEnd w:id="8061"/>
    </w:p>
    <w:p>
      <w:pPr>
        <w:pStyle w:val="BookText"/>
      </w:pPr>
      <w:r>
        <w:rPr>
          <w:rFonts w:ascii="IRNazanin" w:hAnsi="IRNazanin" w:eastAsia="IRNazanin" w:cs="IRNazanin"/>
          <w:lang w:bidi="fa-IR"/>
          <w:color w:val="111111"/>
          <w:sz w:val="28"/>
          <w:szCs w:val="28"/>
          <w:rtl/>
        </w:rPr>
        <w:t xml:space="preserve">الحاج مولی محمد رضا بن محمد أمین الهمدانی صاحب الدر النظیم المذکور فی ج 8 ص 83 و مفتاح النبوة و غیرهما و توفی 1247 ترجمه فی (ض- ص 488) و ذکر أن مثنویة یقرب من ثمانیة آلاف بیت و أورد بعض غزلیاته. و ترجمه فی طرائق الحقائق- ج 3 ص 117 نقلا عن بستان السیاحة و أورد بعض غزلیاته و لقبه ب کوثر علی شاه. و ترجم فی نور الابصار- ص 47 و ریحانة الأدب و مجلة أرمغان 17: 554.</w:t>
      </w:r>
    </w:p>
    <w:p>
      <w:pPr>
        <w:pStyle w:val="Heading3"/>
      </w:pPr>
      <w:bookmarkStart w:id="8062" w:name="_Toc6758"/>
      <w:r>
        <w:t>6083- دیوان کوثر همدانی أو شعره‏</w:t>
      </w:r>
      <w:bookmarkEnd w:id="8062"/>
    </w:p>
    <w:p>
      <w:pPr>
        <w:pStyle w:val="BookText"/>
      </w:pPr>
      <w:r>
        <w:rPr>
          <w:rFonts w:ascii="IRNazanin" w:hAnsi="IRNazanin" w:eastAsia="IRNazanin" w:cs="IRNazanin"/>
          <w:lang w:bidi="fa-IR"/>
          <w:color w:val="111111"/>
          <w:sz w:val="28"/>
          <w:szCs w:val="28"/>
          <w:rtl/>
        </w:rPr>
        <w:t xml:space="preserve">الحاج میرزا علی نقی بن الحاج میرزا محمد رضا المذکور و الملقب ب جنت علی شاه کما ذکر فی الطرائق- ج 3- ص 118 و قال إنه توفی 1296 و هو والد الحاج میرزا محمد رضا الواعظ الشهیر فی طهران و من شعره الموجود عند سمیه و حفیده” الحاج میرزا علی نقی” المدعو بآقازاده میرزا علی نقی بن مؤید الممالک الحاج آقا حسن بن الحاج میرزا حسین بن الحاج میرزا علی نقی کوثر المتخلص بتخلص والده کوثر علی شاه هو قوله:</w:t>
      </w:r>
    </w:p>
    <w:p>
      <w:pPr>
        <w:pStyle w:val="BookText"/>
      </w:pPr>
      <w:r>
        <w:rPr>
          <w:rFonts w:ascii="IRNazanin" w:hAnsi="IRNazanin" w:eastAsia="IRNazanin" w:cs="IRNazanin"/>
          <w:lang w:bidi="fa-IR"/>
          <w:color w:val="111111"/>
          <w:sz w:val="28"/>
          <w:szCs w:val="28"/>
          <w:rtl/>
        </w:rPr>
        <w:t xml:space="preserve">عشق چیزی نبود تازه که نشناسد کس‏</w:t>
      </w:r>
    </w:p>
    <w:p>
      <w:pPr>
        <w:pStyle w:val="BookText"/>
      </w:pPr>
      <w:r>
        <w:rPr>
          <w:rFonts w:ascii="IRNazanin" w:hAnsi="IRNazanin" w:eastAsia="IRNazanin" w:cs="IRNazanin"/>
          <w:lang w:bidi="fa-IR"/>
          <w:color w:val="111111"/>
          <w:sz w:val="28"/>
          <w:szCs w:val="28"/>
          <w:rtl/>
        </w:rPr>
        <w:t xml:space="preserve">این متاعیست که در هر سر بازاری هست‏</w:t>
      </w:r>
    </w:p>
    <w:p>
      <w:pPr>
        <w:pStyle w:val="BookText"/>
      </w:pPr>
      <w:r>
        <w:rPr>
          <w:rFonts w:ascii="IRNazanin" w:hAnsi="IRNazanin" w:eastAsia="IRNazanin" w:cs="IRNazanin"/>
          <w:lang w:bidi="fa-IR"/>
          <w:color w:val="111111"/>
          <w:sz w:val="28"/>
          <w:szCs w:val="28"/>
          <w:rtl/>
        </w:rPr>
        <w:t xml:space="preserve">و ترجم فی نور الابصار- ص 47 و قال ألفت فی دانش‏نامه أنه کان من أعضاء انجمن دانش بهمدان.</w:t>
      </w:r>
    </w:p>
    <w:p>
      <w:pPr>
        <w:pStyle w:val="Heading3"/>
      </w:pPr>
      <w:bookmarkStart w:id="8063" w:name="_Toc6759"/>
      <w:r>
        <w:t>6084- دیوان کوثر هندی‏</w:t>
      </w:r>
      <w:bookmarkEnd w:id="8063"/>
    </w:p>
    <w:p>
      <w:pPr>
        <w:pStyle w:val="BookText"/>
      </w:pPr>
      <w:r>
        <w:rPr>
          <w:rFonts w:ascii="IRNazanin" w:hAnsi="IRNazanin" w:eastAsia="IRNazanin" w:cs="IRNazanin"/>
          <w:lang w:bidi="fa-IR"/>
          <w:color w:val="111111"/>
          <w:sz w:val="28"/>
          <w:szCs w:val="28"/>
          <w:rtl/>
        </w:rPr>
        <w:t xml:space="preserve">السیاح من مریدی السید قطب الدین محمد الذهبی الشیرازی ترجمه فی (ض- ص 498) و أورد شعره، و کذا فی ریحانة الأدب.</w:t>
      </w:r>
    </w:p>
    <w:p>
      <w:pPr>
        <w:pStyle w:val="Heading3"/>
      </w:pPr>
      <w:bookmarkStart w:id="8064" w:name="_Toc6760"/>
      <w:r>
        <w:t>6085- دیوان کوثری أردبیلی أو شعره‏</w:t>
      </w:r>
      <w:bookmarkEnd w:id="8064"/>
    </w:p>
    <w:p>
      <w:pPr>
        <w:pStyle w:val="BookText"/>
      </w:pPr>
      <w:r>
        <w:rPr>
          <w:rFonts w:ascii="IRNazanin" w:hAnsi="IRNazanin" w:eastAsia="IRNazanin" w:cs="IRNazanin"/>
          <w:lang w:bidi="fa-IR"/>
          <w:color w:val="111111"/>
          <w:sz w:val="28"/>
          <w:szCs w:val="28"/>
          <w:rtl/>
        </w:rPr>
        <w:t xml:space="preserve">و هو الصوفی النقطوی. ترجمه الصادقی فی (خص 8- ص 280) بعنوان مولانا کوثری و أورد شعره. و ترجمه فی (دجا- ص 316) نقلا عن الصادقی.</w:t>
      </w:r>
    </w:p>
    <w:p>
      <w:pPr>
        <w:pStyle w:val="Heading3"/>
      </w:pPr>
      <w:bookmarkStart w:id="8065" w:name="_Toc6761"/>
      <w:r>
        <w:t>6086- دیوان کوثری بخاری أو شعره‏</w:t>
      </w:r>
      <w:bookmarkEnd w:id="8065"/>
    </w:p>
    <w:p>
      <w:pPr>
        <w:pStyle w:val="BookText"/>
      </w:pPr>
      <w:r>
        <w:rPr>
          <w:rFonts w:ascii="IRNazanin" w:hAnsi="IRNazanin" w:eastAsia="IRNazanin" w:cs="IRNazanin"/>
          <w:lang w:bidi="fa-IR"/>
          <w:color w:val="111111"/>
          <w:sz w:val="28"/>
          <w:szCs w:val="28"/>
          <w:rtl/>
        </w:rPr>
        <w:t xml:space="preserve">أطری شعره فی (مجن 2- ص 45 و 219) و قال مات بهرات و دفن بخیابان.
</w:t>
      </w:r>
    </w:p>
    <w:p>
      <w:pPr>
        <w:sectPr>
          <w:footerReference w:type="default" r:id="rId932"/>
          <w:footnotePr>
            <w:numStart w:val="1"/>
            <w:numRestart w:val="eachPage"/>
          </w:footnotePr>
          <w:pgSz w:orient="portrait" w:w="11905.511811023622" w:h="16837.79527559055"/>
          <w:pgMar w:top="1440" w:right="1440" w:bottom="1440" w:left="1440" w:header="720" w:footer="720" w:gutter="0"/>
          <w:cols w:num="1" w:space="720"/>
        </w:sectPr>
      </w:pPr>
    </w:p>
    <w:bookmarkStart w:id="914" w:name="pg11704_122400"/>
    <w:bookmarkEnd w:id="914"/>
    <w:p>
      <w:pPr>
        <w:pStyle w:val="Heading3"/>
      </w:pPr>
      <w:bookmarkStart w:id="8066" w:name="_Toc6762"/>
      <w:r>
        <w:t>6087- دیوان کوثری خوانساری أو شعره‏</w:t>
      </w:r>
      <w:bookmarkEnd w:id="8066"/>
    </w:p>
    <w:p>
      <w:pPr>
        <w:pStyle w:val="BookText"/>
      </w:pPr>
      <w:r>
        <w:rPr>
          <w:rFonts w:ascii="IRNazanin" w:hAnsi="IRNazanin" w:eastAsia="IRNazanin" w:cs="IRNazanin"/>
          <w:lang w:bidi="fa-IR"/>
          <w:color w:val="111111"/>
          <w:sz w:val="28"/>
          <w:szCs w:val="28"/>
          <w:rtl/>
        </w:rPr>
        <w:t xml:space="preserve">ترجمه معاصره النصرآبادی و أطری سعة مشربه و أورد بعض شعره فی (نر 9- ص 319) و عنه فی (روشن- ص 583).</w:t>
      </w:r>
    </w:p>
    <w:p>
      <w:pPr>
        <w:pStyle w:val="Heading3"/>
      </w:pPr>
      <w:bookmarkStart w:id="8067" w:name="_Toc6763"/>
      <w:r>
        <w:t>6088- دیوان کوثری همدانی أو شعره‏</w:t>
      </w:r>
      <w:bookmarkEnd w:id="8067"/>
    </w:p>
    <w:p>
      <w:pPr>
        <w:pStyle w:val="BookText"/>
      </w:pPr>
      <w:r>
        <w:rPr>
          <w:rFonts w:ascii="IRNazanin" w:hAnsi="IRNazanin" w:eastAsia="IRNazanin" w:cs="IRNazanin"/>
          <w:lang w:bidi="fa-IR"/>
          <w:color w:val="111111"/>
          <w:sz w:val="28"/>
          <w:szCs w:val="28"/>
          <w:rtl/>
        </w:rPr>
        <w:t xml:space="preserve">ترجمه و أورد شعره فی (مجن 3- ص 68 و 242) و قال کان مصاحب الخواجة آصفی.</w:t>
      </w:r>
    </w:p>
    <w:p>
      <w:pPr>
        <w:pStyle w:val="Heading3"/>
      </w:pPr>
      <w:bookmarkStart w:id="8068" w:name="_Toc6764"/>
      <w:r>
        <w:t>6089- دیوان کوثری همدانی‏</w:t>
      </w:r>
      <w:bookmarkEnd w:id="8068"/>
    </w:p>
    <w:p>
      <w:pPr>
        <w:pStyle w:val="BookText"/>
      </w:pPr>
      <w:r>
        <w:rPr>
          <w:rFonts w:ascii="IRNazanin" w:hAnsi="IRNazanin" w:eastAsia="IRNazanin" w:cs="IRNazanin"/>
          <w:lang w:bidi="fa-IR"/>
          <w:color w:val="111111"/>
          <w:sz w:val="28"/>
          <w:szCs w:val="28"/>
          <w:rtl/>
        </w:rPr>
        <w:t xml:space="preserve">و هو المیر عقیل من سادات همدان أورد النصرآبادی إنکاره علی الشاه عباس الصفوی لشرب الخمر، و ذکر مثنویة فرهاد و شیرین فی (نر 9- ص 278) و فی (تش- ص 257) سمی مثنویة خسرو و شیرین و سماه فی (گلشن- ص 344) شیرین و فرهاد.</w:t>
      </w:r>
    </w:p>
    <w:p>
      <w:pPr>
        <w:pStyle w:val="Heading3"/>
      </w:pPr>
      <w:bookmarkStart w:id="8069" w:name="_Toc6765"/>
      <w:r>
        <w:t>6090- دیوان کوچک بیگ أو شعره‏</w:t>
      </w:r>
      <w:bookmarkEnd w:id="8069"/>
    </w:p>
    <w:p>
      <w:pPr>
        <w:pStyle w:val="BookText"/>
      </w:pPr>
      <w:r>
        <w:rPr>
          <w:rFonts w:ascii="IRNazanin" w:hAnsi="IRNazanin" w:eastAsia="IRNazanin" w:cs="IRNazanin"/>
          <w:lang w:bidi="fa-IR"/>
          <w:color w:val="111111"/>
          <w:sz w:val="28"/>
          <w:szCs w:val="28"/>
          <w:rtl/>
        </w:rPr>
        <w:t xml:space="preserve">کان من الأمراء الملاکین. و له شعر أطرأه فی (قز مج 6- ص 302).</w:t>
      </w:r>
    </w:p>
    <w:p>
      <w:pPr>
        <w:pStyle w:val="Heading3"/>
      </w:pPr>
      <w:bookmarkStart w:id="8070" w:name="_Toc6766"/>
      <w:r>
        <w:t>6091- دیوان کوچک علی أردستانی أو شعره‏</w:t>
      </w:r>
      <w:bookmarkEnd w:id="8070"/>
    </w:p>
    <w:p>
      <w:pPr>
        <w:pStyle w:val="BookText"/>
      </w:pPr>
      <w:r>
        <w:rPr>
          <w:rFonts w:ascii="IRNazanin" w:hAnsi="IRNazanin" w:eastAsia="IRNazanin" w:cs="IRNazanin"/>
          <w:lang w:bidi="fa-IR"/>
          <w:color w:val="111111"/>
          <w:sz w:val="28"/>
          <w:szCs w:val="28"/>
          <w:rtl/>
        </w:rPr>
        <w:t xml:space="preserve">و هو العارف الملا رمضان علی النیستانی ابن حسین بن علی بن حسین بن أبی طالب، من أحفاد پیر جمال الأردستانی و توفی 20 صفر 1337 و دفن بنیستان عند قبر آبائه العرفاء</w:t>
      </w:r>
      <w:r>
        <w:rPr>
          <w:rStyle w:val="FootnoteReference"/>
        </w:rPr>
        <w:footnoteReference w:id="79"/>
      </w:r>
      <w:r>
        <w:rPr>
          <w:rFonts w:ascii="IRNazanin" w:hAnsi="IRNazanin" w:eastAsia="IRNazanin" w:cs="IRNazanin"/>
          <w:lang w:bidi="fa-IR"/>
          <w:color w:val="111111"/>
          <w:sz w:val="28"/>
          <w:szCs w:val="28"/>
          <w:rtl/>
        </w:rPr>
        <w:t xml:space="preserve">و کان له أولاد منهم الملا محمد الفائق دخل فی البابیة و الآخر الحاج محمد حسین الفائق عالم شاعر حسن الخط کوالده. کتب ذلک لنا المعلم الحبیب‏آبادی من أصفهان و ذکر أشعارهم.</w:t>
      </w:r>
    </w:p>
    <w:p>
      <w:pPr>
        <w:pStyle w:val="Heading3"/>
      </w:pPr>
      <w:bookmarkStart w:id="8071" w:name="_Toc6767"/>
      <w:r>
        <w:t>6092- دیوان کوراوغلی‏</w:t>
      </w:r>
      <w:bookmarkEnd w:id="8071"/>
    </w:p>
    <w:p>
      <w:pPr>
        <w:pStyle w:val="BookText"/>
      </w:pPr>
      <w:r>
        <w:rPr>
          <w:rFonts w:ascii="IRNazanin" w:hAnsi="IRNazanin" w:eastAsia="IRNazanin" w:cs="IRNazanin"/>
          <w:lang w:bidi="fa-IR"/>
          <w:color w:val="111111"/>
          <w:sz w:val="28"/>
          <w:szCs w:val="28"/>
          <w:rtl/>
        </w:rPr>
        <w:t xml:space="preserve">ترکی طبع بطهران فی 168 ص.</w:t>
      </w:r>
    </w:p>
    <w:p>
      <w:pPr>
        <w:pStyle w:val="Heading3"/>
      </w:pPr>
      <w:bookmarkStart w:id="8072" w:name="_Toc6768"/>
      <w:r>
        <w:t>6093- دیوان کورلطیف أو شعره‏</w:t>
      </w:r>
      <w:bookmarkEnd w:id="8072"/>
    </w:p>
    <w:p>
      <w:pPr>
        <w:pStyle w:val="BookText"/>
      </w:pPr>
      <w:r>
        <w:rPr>
          <w:rFonts w:ascii="IRNazanin" w:hAnsi="IRNazanin" w:eastAsia="IRNazanin" w:cs="IRNazanin"/>
          <w:lang w:bidi="fa-IR"/>
          <w:color w:val="111111"/>
          <w:sz w:val="28"/>
          <w:szCs w:val="28"/>
          <w:rtl/>
        </w:rPr>
        <w:t xml:space="preserve">کان من شعراء ما وراء النهر ترجمه و أورد شعره فی (مجتس 6- ص 164).</w:t>
      </w:r>
    </w:p>
    <w:p>
      <w:pPr>
        <w:pStyle w:val="Heading3"/>
      </w:pPr>
      <w:bookmarkStart w:id="8073" w:name="_Toc6769"/>
      <w:r>
        <w:t>دیوان کوسج کاشی‏</w:t>
      </w:r>
      <w:bookmarkEnd w:id="8073"/>
    </w:p>
    <w:p>
      <w:pPr>
        <w:pStyle w:val="BookText"/>
      </w:pPr>
      <w:r>
        <w:rPr>
          <w:rFonts w:ascii="IRNazanin" w:hAnsi="IRNazanin" w:eastAsia="IRNazanin" w:cs="IRNazanin"/>
          <w:lang w:bidi="fa-IR"/>
          <w:color w:val="111111"/>
          <w:sz w:val="28"/>
          <w:szCs w:val="28"/>
          <w:rtl/>
        </w:rPr>
        <w:t xml:space="preserve">کما فی (نتایج- ص 52) مر بعنوان أمین فی ص 105.</w:t>
      </w:r>
    </w:p>
    <w:p>
      <w:pPr>
        <w:pStyle w:val="Heading3"/>
      </w:pPr>
      <w:bookmarkStart w:id="8074" w:name="_Toc6770"/>
      <w:r>
        <w:t>6094- دیوان کوشککی قاینی أو شعره‏</w:t>
      </w:r>
      <w:bookmarkEnd w:id="8074"/>
    </w:p>
    <w:p>
      <w:pPr>
        <w:pStyle w:val="BookText"/>
      </w:pPr>
      <w:r>
        <w:rPr>
          <w:rFonts w:ascii="IRNazanin" w:hAnsi="IRNazanin" w:eastAsia="IRNazanin" w:cs="IRNazanin"/>
          <w:lang w:bidi="fa-IR"/>
          <w:color w:val="111111"/>
          <w:sz w:val="28"/>
          <w:szCs w:val="28"/>
          <w:rtl/>
        </w:rPr>
        <w:t xml:space="preserve">و هو الحکیم شرف الشعراء الکوشککی القائنی الهزال کما وصفه فی (لب 10) و کان معاصر سنجر. ترجمه و أورد شعره النفیسی فی تعلیقات تاریخ بیهقی- ص 1591 و کذا فی (مع 1: 488).</w:t>
      </w:r>
    </w:p>
    <w:p>
      <w:pPr>
        <w:pStyle w:val="Heading3"/>
      </w:pPr>
      <w:bookmarkStart w:id="8075" w:name="_Toc6771"/>
      <w:r>
        <w:t>دیوان کوکب أسترآبادی‏</w:t>
      </w:r>
      <w:bookmarkEnd w:id="8075"/>
    </w:p>
    <w:p>
      <w:pPr>
        <w:pStyle w:val="BookText"/>
      </w:pPr>
      <w:r>
        <w:rPr>
          <w:rFonts w:ascii="IRNazanin" w:hAnsi="IRNazanin" w:eastAsia="IRNazanin" w:cs="IRNazanin"/>
          <w:lang w:bidi="fa-IR"/>
          <w:color w:val="111111"/>
          <w:sz w:val="28"/>
          <w:szCs w:val="28"/>
          <w:rtl/>
        </w:rPr>
        <w:t xml:space="preserve">قال فی (گلشن- ص 344) إن کوکب هو تخلص لمیرزا
</w:t>
      </w:r>
    </w:p>
    <w:p>
      <w:pPr>
        <w:sectPr>
          <w:footerReference w:type="default" r:id="rId933"/>
          <w:footnotePr>
            <w:numStart w:val="1"/>
            <w:numRestart w:val="eachPage"/>
          </w:footnotePr>
          <w:pgSz w:orient="portrait" w:w="11905.511811023622" w:h="16837.79527559055"/>
          <w:pgMar w:top="1440" w:right="1440" w:bottom="1440" w:left="1440" w:header="720" w:footer="720" w:gutter="0"/>
          <w:cols w:num="1" w:space="720"/>
        </w:sectPr>
      </w:pPr>
    </w:p>
    <w:bookmarkStart w:id="915" w:name="pg11704_122401"/>
    <w:bookmarkEnd w:id="915"/>
    <w:p>
      <w:pPr>
        <w:pStyle w:val="BookText"/>
      </w:pPr>
      <w:r>
        <w:rPr>
          <w:rFonts w:ascii="IRNazanin" w:hAnsi="IRNazanin" w:eastAsia="IRNazanin" w:cs="IRNazanin"/>
          <w:lang w:bidi="fa-IR"/>
          <w:color w:val="111111"/>
          <w:sz w:val="28"/>
          <w:szCs w:val="28"/>
          <w:rtl/>
        </w:rPr>
        <w:t xml:space="preserve">مهدی خان منشی نادر شاه و صاحب درة نادری و عنه أخذ سائر التذاکر الهندیة و عنهم فی القاموس الترکی ثم الریحانة. و الظاهر أنهم خلطوا بین مهدی خان المنشی لنادر شاه الذی لم یوجد له تخلص شعری و بین مهدی خان المتخلص کوکب الذی کان باغبان‏باشی للشاه سلطان حسین الصفوی. فراجع مهدی خان أسترآبادی منشی نادر.</w:t>
      </w:r>
    </w:p>
    <w:p>
      <w:pPr>
        <w:pStyle w:val="Heading3"/>
      </w:pPr>
      <w:bookmarkStart w:id="8076" w:name="_Toc6772"/>
      <w:r>
        <w:t>6095- دیوان کوکب باغبان‏باشی أو شعره‏</w:t>
      </w:r>
      <w:bookmarkEnd w:id="8076"/>
    </w:p>
    <w:p>
      <w:pPr>
        <w:pStyle w:val="BookText"/>
      </w:pPr>
      <w:r>
        <w:rPr>
          <w:rFonts w:ascii="IRNazanin" w:hAnsi="IRNazanin" w:eastAsia="IRNazanin" w:cs="IRNazanin"/>
          <w:lang w:bidi="fa-IR"/>
          <w:color w:val="111111"/>
          <w:sz w:val="28"/>
          <w:szCs w:val="28"/>
          <w:rtl/>
        </w:rPr>
        <w:t xml:space="preserve">و هو المیرزا مهدی خان الذی نصب بمنصب باغبان‏باشی للشاه سلطان حسین الصفوی، و کتب المنشور لذلک المیرزا مهدی خان الذی صار بعدئذ منشیا لنادر شاه، و یوجد المنشور هذا و ضمن مجموعة منشئات المیرزا مهدی خان فی نسخه مکتبة کلیة الآداب بطهران کما فی فهرسها (ص 470) و غیرها من النسخ، ثم وقع خلط بین هذین المهدیین.</w:t>
      </w:r>
    </w:p>
    <w:p>
      <w:pPr>
        <w:pStyle w:val="Heading3"/>
      </w:pPr>
      <w:bookmarkStart w:id="8077" w:name="_Toc6773"/>
      <w:r>
        <w:t>دیوان کوکب خراسانی‏</w:t>
      </w:r>
      <w:bookmarkEnd w:id="8077"/>
    </w:p>
    <w:p>
      <w:pPr>
        <w:pStyle w:val="BookText"/>
      </w:pPr>
      <w:r>
        <w:rPr>
          <w:rFonts w:ascii="IRNazanin" w:hAnsi="IRNazanin" w:eastAsia="IRNazanin" w:cs="IRNazanin"/>
          <w:lang w:bidi="fa-IR"/>
          <w:color w:val="111111"/>
          <w:sz w:val="28"/>
          <w:szCs w:val="28"/>
          <w:rtl/>
        </w:rPr>
        <w:t xml:space="preserve">راجع کوکب یزدی.</w:t>
      </w:r>
    </w:p>
    <w:p>
      <w:pPr>
        <w:pStyle w:val="Heading3"/>
      </w:pPr>
      <w:bookmarkStart w:id="8078" w:name="_Toc6774"/>
      <w:r>
        <w:t>6096- دیوان کوکب خراسانی‏</w:t>
      </w:r>
      <w:bookmarkEnd w:id="8078"/>
    </w:p>
    <w:p>
      <w:pPr>
        <w:pStyle w:val="BookText"/>
      </w:pPr>
      <w:r>
        <w:rPr>
          <w:rFonts w:ascii="IRNazanin" w:hAnsi="IRNazanin" w:eastAsia="IRNazanin" w:cs="IRNazanin"/>
          <w:lang w:bidi="fa-IR"/>
          <w:color w:val="111111"/>
          <w:sz w:val="28"/>
          <w:szCs w:val="28"/>
          <w:rtl/>
        </w:rPr>
        <w:t xml:space="preserve">و اسمه المیرزا محمد باقر الخبوشانی نزیل طهران و مصاحب الحاج محمد حسین القاجار المروزی البانی للمدرسة بطهران المعروفة بمدرسة المروی و غیره من فضلاء ذلک العصر، کما ترجمه فی (مع 2- ص 426) و أورد قرب مائة و خمسین بیتا من شعره و ذکر أنه توفی 1272 و کذا فی (انجمن 3).</w:t>
      </w:r>
    </w:p>
    <w:p>
      <w:pPr>
        <w:pStyle w:val="Heading3"/>
      </w:pPr>
      <w:bookmarkStart w:id="8079" w:name="_Toc6775"/>
      <w:r>
        <w:t>6097- دیوان کوکب شیرازی‏</w:t>
      </w:r>
      <w:bookmarkEnd w:id="8079"/>
    </w:p>
    <w:p>
      <w:pPr>
        <w:pStyle w:val="BookText"/>
      </w:pPr>
      <w:r>
        <w:rPr>
          <w:rFonts w:ascii="IRNazanin" w:hAnsi="IRNazanin" w:eastAsia="IRNazanin" w:cs="IRNazanin"/>
          <w:lang w:bidi="fa-IR"/>
          <w:color w:val="111111"/>
          <w:sz w:val="28"/>
          <w:szCs w:val="28"/>
          <w:rtl/>
        </w:rPr>
        <w:t xml:space="preserve">و هو محمد صادق بن الحاج آقاسی الذی سافر إلی الهند و بها توفی و قد دون أبنائه المعاصرون مع مؤلف مجمع الفصحاء بعض مسودات شعر أبیهم، منها ما هو علی زنة هفت پیکر ذکر جمیع ذلک فی (مع 2- ص 426).</w:t>
      </w:r>
    </w:p>
    <w:p>
      <w:pPr>
        <w:pStyle w:val="Heading3"/>
      </w:pPr>
      <w:bookmarkStart w:id="8080" w:name="_Toc6776"/>
      <w:r>
        <w:t>6098- دیوان کوکب کاکوروی أو شعره‏</w:t>
      </w:r>
      <w:bookmarkEnd w:id="8080"/>
    </w:p>
    <w:p>
      <w:pPr>
        <w:pStyle w:val="BookText"/>
      </w:pPr>
      <w:r>
        <w:rPr>
          <w:rFonts w:ascii="IRNazanin" w:hAnsi="IRNazanin" w:eastAsia="IRNazanin" w:cs="IRNazanin"/>
          <w:lang w:bidi="fa-IR"/>
          <w:color w:val="111111"/>
          <w:sz w:val="28"/>
          <w:szCs w:val="28"/>
          <w:rtl/>
        </w:rPr>
        <w:t xml:space="preserve">و هو محمد یحیی علی بن الشیخ أبی طالب علی من أحفاد أبی البرکات خان. تلمذ علی عبد العزیز خان عزیز. أورد شعره فی (گلشن- ص 344).</w:t>
      </w:r>
    </w:p>
    <w:p>
      <w:pPr>
        <w:pStyle w:val="Heading3"/>
      </w:pPr>
      <w:bookmarkStart w:id="8081" w:name="_Toc6777"/>
      <w:r>
        <w:t>6099- دیوان کوکب مازندرانی أو شعره‏</w:t>
      </w:r>
      <w:bookmarkEnd w:id="8081"/>
    </w:p>
    <w:p>
      <w:pPr>
        <w:pStyle w:val="BookText"/>
      </w:pPr>
      <w:r>
        <w:rPr>
          <w:rFonts w:ascii="IRNazanin" w:hAnsi="IRNazanin" w:eastAsia="IRNazanin" w:cs="IRNazanin"/>
          <w:lang w:bidi="fa-IR"/>
          <w:color w:val="111111"/>
          <w:sz w:val="28"/>
          <w:szCs w:val="28"/>
          <w:rtl/>
        </w:rPr>
        <w:t xml:space="preserve">و اسمه السید أحمد و أصله من بارفروش ترجمه فی (مع 2- ص 429) و أورد رباعیه.</w:t>
      </w:r>
    </w:p>
    <w:p>
      <w:pPr>
        <w:pStyle w:val="Heading3"/>
      </w:pPr>
      <w:bookmarkStart w:id="8082" w:name="_Toc6778"/>
      <w:r>
        <w:t>دیوان کوکب مازندرانی‏</w:t>
      </w:r>
      <w:bookmarkEnd w:id="8082"/>
    </w:p>
    <w:p>
      <w:pPr>
        <w:pStyle w:val="BookText"/>
      </w:pPr>
      <w:r>
        <w:rPr>
          <w:rFonts w:ascii="IRNazanin" w:hAnsi="IRNazanin" w:eastAsia="IRNazanin" w:cs="IRNazanin"/>
          <w:lang w:bidi="fa-IR"/>
          <w:color w:val="111111"/>
          <w:sz w:val="28"/>
          <w:szCs w:val="28"/>
          <w:rtl/>
        </w:rPr>
        <w:t xml:space="preserve">راجع کوکب أسترآبادی.</w:t>
      </w:r>
    </w:p>
    <w:p>
      <w:pPr>
        <w:pStyle w:val="Heading3"/>
      </w:pPr>
      <w:bookmarkStart w:id="8083" w:name="_Toc6779"/>
      <w:r>
        <w:t>6100- دیوان کوکب یزدی أو شعره‏</w:t>
      </w:r>
      <w:bookmarkEnd w:id="8083"/>
    </w:p>
    <w:p>
      <w:pPr>
        <w:pStyle w:val="BookText"/>
      </w:pPr>
      <w:r>
        <w:rPr>
          <w:rFonts w:ascii="IRNazanin" w:hAnsi="IRNazanin" w:eastAsia="IRNazanin" w:cs="IRNazanin"/>
          <w:lang w:bidi="fa-IR"/>
          <w:color w:val="111111"/>
          <w:sz w:val="28"/>
          <w:szCs w:val="28"/>
          <w:rtl/>
        </w:rPr>
        <w:t xml:space="preserve">کان خراسانی الأصل و اسمه المیرزا عبد العلی ابن العالم الجلیل المیرزا محسن الخراسانی الذی طلبه خان بزرگ المیرزا تقی خان بن‏
</w:t>
      </w:r>
    </w:p>
    <w:p>
      <w:pPr>
        <w:sectPr>
          <w:footerReference w:type="default" r:id="rId934"/>
          <w:footnotePr>
            <w:numStart w:val="1"/>
            <w:numRestart w:val="eachPage"/>
          </w:footnotePr>
          <w:pgSz w:orient="portrait" w:w="11905.511811023622" w:h="16837.79527559055"/>
          <w:pgMar w:top="1440" w:right="1440" w:bottom="1440" w:left="1440" w:header="720" w:footer="720" w:gutter="0"/>
          <w:cols w:num="1" w:space="720"/>
        </w:sectPr>
      </w:pPr>
    </w:p>
    <w:bookmarkStart w:id="916" w:name="pg11704_122402"/>
    <w:bookmarkEnd w:id="916"/>
    <w:p>
      <w:pPr>
        <w:pStyle w:val="BookText"/>
      </w:pPr>
      <w:r>
        <w:rPr>
          <w:rFonts w:ascii="IRNazanin" w:hAnsi="IRNazanin" w:eastAsia="IRNazanin" w:cs="IRNazanin"/>
          <w:lang w:bidi="fa-IR"/>
          <w:color w:val="111111"/>
          <w:sz w:val="28"/>
          <w:szCs w:val="28"/>
          <w:rtl/>
        </w:rPr>
        <w:t xml:space="preserve">المیرزا محمد باقر البافقی الیزدی (1129- 1213) من خراسان إلی یزد و فوض إلیه تدریس مدرسة الخان المعروفة باسمه. فولد له فی یزد المیرزا عبد العلی المتخلص کوکب و قد صار صدرا للسلطان فتح علی شاه، کما ترجمه فی (مع 2- 426) و أورد شعره، ثم رجع إلی یزد و منها إلی شیراز و مات بها فی 1239 کما ترجمه فی نمونه خطوط خوش- ص 21 و (انجمن 4) و المدائح المعتمدیة و ریحانة الأدب.</w:t>
      </w:r>
    </w:p>
    <w:p>
      <w:pPr>
        <w:pStyle w:val="Heading3"/>
      </w:pPr>
      <w:bookmarkStart w:id="8084" w:name="_Toc6780"/>
      <w:r>
        <w:t>6101- دیوان کوکبی بخاری أو شعره‏</w:t>
      </w:r>
      <w:bookmarkEnd w:id="8084"/>
    </w:p>
    <w:p>
      <w:pPr>
        <w:pStyle w:val="BookText"/>
      </w:pPr>
      <w:r>
        <w:rPr>
          <w:rFonts w:ascii="IRNazanin" w:hAnsi="IRNazanin" w:eastAsia="IRNazanin" w:cs="IRNazanin"/>
          <w:lang w:bidi="fa-IR"/>
          <w:color w:val="111111"/>
          <w:sz w:val="28"/>
          <w:szCs w:val="28"/>
          <w:rtl/>
        </w:rPr>
        <w:t xml:space="preserve">کان ماهرا فی الموسیقی و من طلبة العلم ببخارا. ترجمه فی (مجتس 6- ص 155) و أورد شعره و کذا فی (گلشن- ص 345) و فی (حسینی- ص 282) نسبه إلی ما وراء النهر و فی (روشن- 582) سماه کوکبی مروزی.</w:t>
      </w:r>
    </w:p>
    <w:p>
      <w:pPr>
        <w:pStyle w:val="Heading3"/>
      </w:pPr>
      <w:bookmarkStart w:id="8085" w:name="_Toc6781"/>
      <w:r>
        <w:t>6102- دیوان کوکبی ترک أو شعره‏</w:t>
      </w:r>
      <w:bookmarkEnd w:id="8085"/>
    </w:p>
    <w:p>
      <w:pPr>
        <w:pStyle w:val="BookText"/>
      </w:pPr>
      <w:r>
        <w:rPr>
          <w:rFonts w:ascii="IRNazanin" w:hAnsi="IRNazanin" w:eastAsia="IRNazanin" w:cs="IRNazanin"/>
          <w:lang w:bidi="fa-IR"/>
          <w:color w:val="111111"/>
          <w:sz w:val="28"/>
          <w:szCs w:val="28"/>
          <w:rtl/>
        </w:rPr>
        <w:t xml:space="preserve">کان نزیل حیدرآباد الهند ترجمه النصرآبادی فی (نر 9- 313) و ذکر أن اسمه قباد بیک و أورد شعره و رباعیه.</w:t>
      </w:r>
    </w:p>
    <w:p>
      <w:pPr>
        <w:pStyle w:val="Heading3"/>
      </w:pPr>
      <w:bookmarkStart w:id="8086" w:name="_Toc6782"/>
      <w:r>
        <w:t>6103- دیوان کوکبی مروزی أو شعره‏</w:t>
      </w:r>
      <w:bookmarkEnd w:id="8086"/>
    </w:p>
    <w:p>
      <w:pPr>
        <w:pStyle w:val="BookText"/>
      </w:pPr>
      <w:r>
        <w:rPr>
          <w:rFonts w:ascii="IRNazanin" w:hAnsi="IRNazanin" w:eastAsia="IRNazanin" w:cs="IRNazanin"/>
          <w:lang w:bidi="fa-IR"/>
          <w:color w:val="111111"/>
          <w:sz w:val="28"/>
          <w:szCs w:val="28"/>
          <w:rtl/>
        </w:rPr>
        <w:t xml:space="preserve">ترجمه العوفی فی (لب 9) و فی (مع 1- ص 487) عن محمد العوفی، و عداه من شعراء آل سبکتکین و أورد أرباعیة.</w:t>
      </w:r>
    </w:p>
    <w:p>
      <w:pPr>
        <w:pStyle w:val="Heading3"/>
      </w:pPr>
      <w:bookmarkStart w:id="8087" w:name="_Toc6783"/>
      <w:r>
        <w:t>6104- دیوان کوکبی مشهدی أو شعره‏</w:t>
      </w:r>
      <w:bookmarkEnd w:id="8087"/>
    </w:p>
    <w:p>
      <w:pPr>
        <w:pStyle w:val="BookText"/>
      </w:pPr>
      <w:r>
        <w:rPr>
          <w:rFonts w:ascii="IRNazanin" w:hAnsi="IRNazanin" w:eastAsia="IRNazanin" w:cs="IRNazanin"/>
          <w:lang w:bidi="fa-IR"/>
          <w:color w:val="111111"/>
          <w:sz w:val="28"/>
          <w:szCs w:val="28"/>
          <w:rtl/>
        </w:rPr>
        <w:t xml:space="preserve">کان مجاورا لمقبرة آبائه بها. و هو حفید الشیخ بایزید یله. ترجمه فی (مجن 5- ص 111 و 284) و أورد شعره.</w:t>
      </w:r>
    </w:p>
    <w:p>
      <w:pPr>
        <w:pStyle w:val="Heading3"/>
      </w:pPr>
      <w:bookmarkStart w:id="8088" w:name="_Toc6784"/>
      <w:r>
        <w:t>6105- دیوان کوکبی منجم أو شعره‏</w:t>
      </w:r>
      <w:bookmarkEnd w:id="8088"/>
    </w:p>
    <w:p>
      <w:pPr>
        <w:pStyle w:val="BookText"/>
      </w:pPr>
      <w:r>
        <w:rPr>
          <w:rFonts w:ascii="IRNazanin" w:hAnsi="IRNazanin" w:eastAsia="IRNazanin" w:cs="IRNazanin"/>
          <w:lang w:bidi="fa-IR"/>
          <w:color w:val="111111"/>
          <w:sz w:val="28"/>
          <w:szCs w:val="28"/>
          <w:rtl/>
        </w:rPr>
        <w:t xml:space="preserve">ترجمه و أورد شعره فی (مجن 3- ص 84 و 258) و قال إن تخلصه مأخوذ من شغله إرصاد الکواکب.</w:t>
      </w:r>
    </w:p>
    <w:p>
      <w:pPr>
        <w:pStyle w:val="Heading3"/>
      </w:pPr>
      <w:bookmarkStart w:id="8089" w:name="_Toc6785"/>
      <w:r>
        <w:t>6106- دیوان کوهساری طبری أو شعره‏</w:t>
      </w:r>
      <w:bookmarkEnd w:id="8089"/>
    </w:p>
    <w:p>
      <w:pPr>
        <w:pStyle w:val="BookText"/>
      </w:pPr>
      <w:r>
        <w:rPr>
          <w:rFonts w:ascii="IRNazanin" w:hAnsi="IRNazanin" w:eastAsia="IRNazanin" w:cs="IRNazanin"/>
          <w:lang w:bidi="fa-IR"/>
          <w:color w:val="111111"/>
          <w:sz w:val="28"/>
          <w:szCs w:val="28"/>
          <w:rtl/>
        </w:rPr>
        <w:t xml:space="preserve">و هو من الحکماء و الفضلاء بگرگان فی عصر آل سلجوق ترجمه فی (مع 1- 487) و أورد شعره و کذا فی (روشن- 583).</w:t>
      </w:r>
    </w:p>
    <w:p>
      <w:pPr>
        <w:pStyle w:val="Heading3"/>
      </w:pPr>
      <w:bookmarkStart w:id="8090" w:name="_Toc6786"/>
      <w:r>
        <w:t>دیوان کوهی شیرازی‏</w:t>
      </w:r>
      <w:bookmarkEnd w:id="8090"/>
    </w:p>
    <w:p>
      <w:pPr>
        <w:pStyle w:val="BookText"/>
      </w:pPr>
      <w:r>
        <w:rPr>
          <w:rFonts w:ascii="IRNazanin" w:hAnsi="IRNazanin" w:eastAsia="IRNazanin" w:cs="IRNazanin"/>
          <w:lang w:bidi="fa-IR"/>
          <w:color w:val="111111"/>
          <w:sz w:val="28"/>
          <w:szCs w:val="28"/>
          <w:rtl/>
        </w:rPr>
        <w:t xml:space="preserve">ترجمه فی فارس‏نامه 2: 15 و (مع 1: 487) و ذکر أنه المعروف بباباکوهی المدفون بشیراز فی تکیته المشهورة. و فی (دجا- ص 317) نقل عن حمد الله المستوفی أنه أخ پیر حسین الشیروانی مؤلف أخبار العارفین و طبع أخیرا بشیراز 1347 بتصحیح شعاع شیرازی کما ذکرناه فی حاشیة ص 511 و مر فی ص 117.</w:t>
      </w:r>
    </w:p>
    <w:p>
      <w:pPr>
        <w:pStyle w:val="Heading3"/>
      </w:pPr>
      <w:bookmarkStart w:id="8091" w:name="_Toc6787"/>
      <w:r>
        <w:t>6107- دیوان کوهی کرمانی‏</w:t>
      </w:r>
      <w:bookmarkEnd w:id="8091"/>
    </w:p>
    <w:p>
      <w:pPr>
        <w:pStyle w:val="BookText"/>
      </w:pPr>
      <w:r>
        <w:rPr>
          <w:rFonts w:ascii="IRNazanin" w:hAnsi="IRNazanin" w:eastAsia="IRNazanin" w:cs="IRNazanin"/>
          <w:lang w:bidi="fa-IR"/>
          <w:color w:val="111111"/>
          <w:sz w:val="28"/>
          <w:szCs w:val="28"/>
          <w:rtl/>
        </w:rPr>
        <w:t xml:space="preserve">و اسمه حسین الکوهی الکرمانی المعاصر توفی 1378. طبع له ترانه‏های ملی فهلویات فی 1310 ش. فی 24 ص. جمع فیها الرباعیات المتداولة فی لسان العوام فی جبال کرمان و هی 110 رباعیة. و طبع له خل‏نامه کوهی‏
</w:t>
      </w:r>
    </w:p>
    <w:p>
      <w:pPr>
        <w:sectPr>
          <w:footerReference w:type="default" r:id="rId935"/>
          <w:footnotePr>
            <w:numStart w:val="1"/>
            <w:numRestart w:val="eachPage"/>
          </w:footnotePr>
          <w:pgSz w:orient="portrait" w:w="11905.511811023622" w:h="16837.79527559055"/>
          <w:pgMar w:top="1440" w:right="1440" w:bottom="1440" w:left="1440" w:header="720" w:footer="720" w:gutter="0"/>
          <w:cols w:num="1" w:space="720"/>
        </w:sectPr>
      </w:pPr>
    </w:p>
    <w:bookmarkStart w:id="917" w:name="pg11704_122403"/>
    <w:bookmarkEnd w:id="917"/>
    <w:p>
      <w:pPr>
        <w:pStyle w:val="BookText"/>
      </w:pPr>
      <w:r>
        <w:rPr>
          <w:rFonts w:ascii="IRNazanin" w:hAnsi="IRNazanin" w:eastAsia="IRNazanin" w:cs="IRNazanin"/>
          <w:lang w:bidi="fa-IR"/>
          <w:color w:val="111111"/>
          <w:sz w:val="28"/>
          <w:szCs w:val="28"/>
          <w:rtl/>
        </w:rPr>
        <w:t xml:space="preserve">فی 1304 ش فی 34 ص. کما ذکر فی أدبیات معاصر- ص 99 لیاسمی. و مما صححه و طبعه کوهی کلمات علیه غراء لمکتبی الشیرازی، و هی کلمات علی ع. طبعه فی 1313 ش.</w:t>
      </w:r>
    </w:p>
    <w:p>
      <w:pPr>
        <w:pStyle w:val="Heading3"/>
      </w:pPr>
      <w:bookmarkStart w:id="8092" w:name="_Toc6788"/>
      <w:r>
        <w:t>6108- دیوان کهتر</w:t>
      </w:r>
      <w:bookmarkEnd w:id="8092"/>
    </w:p>
    <w:p>
      <w:pPr>
        <w:pStyle w:val="BookText"/>
      </w:pPr>
      <w:r>
        <w:rPr>
          <w:rFonts w:ascii="IRNazanin" w:hAnsi="IRNazanin" w:eastAsia="IRNazanin" w:cs="IRNazanin"/>
          <w:lang w:bidi="fa-IR"/>
          <w:color w:val="111111"/>
          <w:sz w:val="28"/>
          <w:szCs w:val="28"/>
          <w:rtl/>
        </w:rPr>
        <w:t xml:space="preserve">نسخه منه کتبت فی 1109 موجودة فی مکتبة (بنگاله) کما فی فهرسها</w:t>
      </w:r>
    </w:p>
    <w:p>
      <w:pPr>
        <w:pStyle w:val="Heading3"/>
      </w:pPr>
      <w:bookmarkStart w:id="8093" w:name="_Toc6789"/>
      <w:r>
        <w:t>6109- دیوان کیجیک میرزا أو شعره‏</w:t>
      </w:r>
      <w:bookmarkEnd w:id="8093"/>
    </w:p>
    <w:p>
      <w:pPr>
        <w:pStyle w:val="BookText"/>
      </w:pPr>
      <w:r>
        <w:rPr>
          <w:rFonts w:ascii="IRNazanin" w:hAnsi="IRNazanin" w:eastAsia="IRNazanin" w:cs="IRNazanin"/>
          <w:lang w:bidi="fa-IR"/>
          <w:color w:val="111111"/>
          <w:sz w:val="28"/>
          <w:szCs w:val="28"/>
          <w:rtl/>
        </w:rPr>
        <w:t xml:space="preserve">ترجمه فی (مجن 7- ص 315 و 127) و أطری طبعه و ذهنه و حفظه و أورد رباعیه. و ذکر فی (مجن 4- ص 97 و ص 273) مسافرة السید حسین الباوردی إلی الحج برفاقة میرزا کیجیک.</w:t>
      </w:r>
    </w:p>
    <w:p>
      <w:pPr>
        <w:pStyle w:val="Heading3"/>
      </w:pPr>
      <w:bookmarkStart w:id="8094" w:name="_Toc6790"/>
      <w:r>
        <w:t>6110- دیوان کیخسرو خان أو شعره‏</w:t>
      </w:r>
      <w:bookmarkEnd w:id="8094"/>
    </w:p>
    <w:p>
      <w:pPr>
        <w:pStyle w:val="BookText"/>
      </w:pPr>
      <w:r>
        <w:rPr>
          <w:rFonts w:ascii="IRNazanin" w:hAnsi="IRNazanin" w:eastAsia="IRNazanin" w:cs="IRNazanin"/>
          <w:lang w:bidi="fa-IR"/>
          <w:color w:val="111111"/>
          <w:sz w:val="28"/>
          <w:szCs w:val="28"/>
          <w:rtl/>
        </w:rPr>
        <w:t xml:space="preserve">هو ابن أخت رستم خان سپهسالار. ترجمه النصرآبادی فی (نر 2- ص 17) و ذکر تنقلاته و ترقیاته حتی صار تفنگچی آقاسی و ذکر بعض شعره الذی کتبه بخطه فی مجموعة النصرآبادی.</w:t>
      </w:r>
    </w:p>
    <w:p>
      <w:pPr>
        <w:pStyle w:val="Heading3"/>
      </w:pPr>
      <w:bookmarkStart w:id="8095" w:name="_Toc6791"/>
      <w:r>
        <w:t>6111- دیوان کیرنگی أو شعره‏</w:t>
      </w:r>
      <w:bookmarkEnd w:id="8095"/>
    </w:p>
    <w:p>
      <w:pPr>
        <w:pStyle w:val="BookText"/>
      </w:pPr>
      <w:r>
        <w:rPr>
          <w:rFonts w:ascii="IRNazanin" w:hAnsi="IRNazanin" w:eastAsia="IRNazanin" w:cs="IRNazanin"/>
          <w:lang w:bidi="fa-IR"/>
          <w:color w:val="111111"/>
          <w:sz w:val="28"/>
          <w:szCs w:val="28"/>
          <w:rtl/>
        </w:rPr>
        <w:t xml:space="preserve">و اسمه حسین (حسن) ابن الخواجة قنبر الکیرنگی.</w:t>
      </w:r>
    </w:p>
    <w:p>
      <w:pPr>
        <w:pStyle w:val="BookText"/>
      </w:pPr>
      <w:r>
        <w:rPr>
          <w:rFonts w:ascii="IRNazanin" w:hAnsi="IRNazanin" w:eastAsia="IRNazanin" w:cs="IRNazanin"/>
          <w:lang w:bidi="fa-IR"/>
          <w:color w:val="111111"/>
          <w:sz w:val="28"/>
          <w:szCs w:val="28"/>
          <w:rtl/>
        </w:rPr>
        <w:t xml:space="preserve">کان خال أبی نصر مهنة، و صار صدرا لهراة، و أورد شعره فی (مجن 4- ص 105 و 279).</w:t>
      </w:r>
    </w:p>
    <w:p>
      <w:pPr>
        <w:pStyle w:val="Heading3"/>
      </w:pPr>
      <w:bookmarkStart w:id="8096" w:name="_Toc6792"/>
      <w:r>
        <w:t>6112- دیوان کیفی سیستانی‏</w:t>
      </w:r>
      <w:bookmarkEnd w:id="8096"/>
    </w:p>
    <w:p>
      <w:pPr>
        <w:pStyle w:val="BookText"/>
      </w:pPr>
      <w:r>
        <w:rPr>
          <w:rFonts w:ascii="IRNazanin" w:hAnsi="IRNazanin" w:eastAsia="IRNazanin" w:cs="IRNazanin"/>
          <w:lang w:bidi="fa-IR"/>
          <w:color w:val="111111"/>
          <w:sz w:val="28"/>
          <w:szCs w:val="28"/>
          <w:rtl/>
        </w:rPr>
        <w:t xml:space="preserve">السبزواری المولد. کان آباؤه من الیهود، و ولد سبزوار یهودیا و لما بلغ أسلم و لبس لباس الفقر و ساح البلاد عشرین سنة و تقرب فی الهند عند الشاه‏زاده شاه‏جهان. و لکن عن مخزن الغرائب أنه جاء من سیستان إلی سبزوار و جاء إلی الهند فی عهد جهانگیر و تقرب إلیه، و کذا عن مبتلا و نشتر عشق. کل ذلک فی میخانه 3- ص 560 و حواشیه، و قال فخر الزمانی فیه إنه رآه فی لاهور 1025 و قد نظم مثنویا فی قبال المثنوی للمولوی الرومی و علی زنته و سماه آگاه‏نامه و ترجم أیضا فی (گلشن- ص 345) و فی (روشن- ص 583) سماه کیفی شیرازی.</w:t>
      </w:r>
    </w:p>
    <w:p>
      <w:pPr>
        <w:pStyle w:val="Heading3"/>
      </w:pPr>
      <w:bookmarkStart w:id="8097" w:name="_Toc6793"/>
      <w:r>
        <w:t>دیوان کیکاووس‏</w:t>
      </w:r>
      <w:bookmarkEnd w:id="8097"/>
    </w:p>
    <w:p>
      <w:pPr>
        <w:pStyle w:val="BookText"/>
      </w:pPr>
      <w:r>
        <w:rPr>
          <w:rFonts w:ascii="IRNazanin" w:hAnsi="IRNazanin" w:eastAsia="IRNazanin" w:cs="IRNazanin"/>
          <w:lang w:bidi="fa-IR"/>
          <w:color w:val="111111"/>
          <w:sz w:val="28"/>
          <w:szCs w:val="28"/>
          <w:rtl/>
        </w:rPr>
        <w:t xml:space="preserve">راجع دیوان کاووس.</w:t>
      </w:r>
    </w:p>
    <w:p>
      <w:pPr>
        <w:pStyle w:val="Heading3"/>
      </w:pPr>
      <w:bookmarkStart w:id="8098" w:name="_Toc6794"/>
      <w:r>
        <w:t>6113- دیوان کیوان‏</w:t>
      </w:r>
      <w:bookmarkEnd w:id="8098"/>
    </w:p>
    <w:p>
      <w:pPr>
        <w:pStyle w:val="BookText"/>
      </w:pPr>
      <w:r>
        <w:rPr>
          <w:rFonts w:ascii="IRNazanin" w:hAnsi="IRNazanin" w:eastAsia="IRNazanin" w:cs="IRNazanin"/>
          <w:lang w:bidi="fa-IR"/>
          <w:color w:val="111111"/>
          <w:sz w:val="28"/>
          <w:szCs w:val="28"/>
          <w:rtl/>
        </w:rPr>
        <w:t xml:space="preserve">الناظم لمنظومة موش و گربه‏</w:t>
      </w:r>
      <w:r>
        <w:rPr>
          <w:rStyle w:val="FootnoteReference"/>
        </w:rPr>
        <w:footnoteReference w:id="80"/>
      </w:r>
      <w:r>
        <w:rPr>
          <w:rFonts w:ascii="IRNazanin" w:hAnsi="IRNazanin" w:eastAsia="IRNazanin" w:cs="IRNazanin"/>
          <w:lang w:bidi="fa-IR"/>
          <w:color w:val="111111"/>
          <w:sz w:val="28"/>
          <w:szCs w:val="28"/>
          <w:rtl/>
        </w:rPr>
        <w:t xml:space="preserve">فی 941 بیتا، المطبوعة
</w:t>
      </w:r>
    </w:p>
    <w:p>
      <w:pPr>
        <w:sectPr>
          <w:footerReference w:type="default" r:id="rId936"/>
          <w:footnotePr>
            <w:numStart w:val="1"/>
            <w:numRestart w:val="eachPage"/>
          </w:footnotePr>
          <w:pgSz w:orient="portrait" w:w="11905.511811023622" w:h="16837.79527559055"/>
          <w:pgMar w:top="1440" w:right="1440" w:bottom="1440" w:left="1440" w:header="720" w:footer="720" w:gutter="0"/>
          <w:cols w:num="1" w:space="720"/>
        </w:sectPr>
      </w:pPr>
    </w:p>
    <w:bookmarkStart w:id="918" w:name="pg11704_122404"/>
    <w:bookmarkEnd w:id="918"/>
    <w:p>
      <w:pPr>
        <w:pStyle w:val="BookText"/>
      </w:pPr>
      <w:r>
        <w:rPr>
          <w:rFonts w:ascii="IRNazanin" w:hAnsi="IRNazanin" w:eastAsia="IRNazanin" w:cs="IRNazanin"/>
          <w:lang w:bidi="fa-IR"/>
          <w:color w:val="111111"/>
          <w:sz w:val="28"/>
          <w:szCs w:val="28"/>
          <w:rtl/>
        </w:rPr>
        <w:t xml:space="preserve">بتبریز فی 1262 مع مقدمه لشمس العلماء الگرگانی، قال فیه إن کیوان معاصر لعبید الزاکانی أو مقدم علیه. و قال مجتبی مینوی: إنه غیر صحیح، فإن کیوان متأخر عن الزاکانی بما لا یقل عن ثلاثمائة سنة کما یظهر من سیاق شعره هکذا جاء فی مجلة یغما: السنة 1: العدد 9 و 11.</w:t>
      </w:r>
    </w:p>
    <w:p>
      <w:pPr>
        <w:pStyle w:val="Heading3"/>
      </w:pPr>
      <w:bookmarkStart w:id="8099" w:name="_Toc6795"/>
      <w:r>
        <w:t>6114- دیوان کیوان قزوینی أو شعره‏</w:t>
      </w:r>
      <w:bookmarkEnd w:id="8099"/>
    </w:p>
    <w:p>
      <w:pPr>
        <w:pStyle w:val="BookText"/>
      </w:pPr>
      <w:r>
        <w:rPr>
          <w:rFonts w:ascii="IRNazanin" w:hAnsi="IRNazanin" w:eastAsia="IRNazanin" w:cs="IRNazanin"/>
          <w:lang w:bidi="fa-IR"/>
          <w:color w:val="111111"/>
          <w:sz w:val="28"/>
          <w:szCs w:val="28"/>
          <w:rtl/>
        </w:rPr>
        <w:t xml:space="preserve">للمولی عباس علی ابن إسماعیل کیوان القزوینی کان من المتصوفة. و کان یلقب منصور علی شاه ثم رجع و کتب فی قدحهم کتبا منها رازگشا المذکور فی 10: 58. و ألف هو رسالة فی أحوال نفسه و بعض شعره، و طبع مع عرفان‏نامه له فی 1348 فی 148 ص.
</w:t>
      </w:r>
    </w:p>
    <w:p>
      <w:pPr>
        <w:sectPr>
          <w:footerReference w:type="default" r:id="rId937"/>
          <w:footnotePr>
            <w:numStart w:val="1"/>
            <w:numRestart w:val="eachPage"/>
          </w:footnotePr>
          <w:pgSz w:orient="portrait" w:w="11905.511811023622" w:h="16837.79527559055"/>
          <w:pgMar w:top="1440" w:right="1440" w:bottom="1440" w:left="1440" w:header="720" w:footer="720" w:gutter="0"/>
          <w:cols w:num="1" w:space="720"/>
        </w:sectPr>
      </w:pPr>
    </w:p>
    <w:bookmarkStart w:id="919" w:name="pg11704_122405"/>
    <w:bookmarkEnd w:id="919"/>
    <w:p>
      <w:pPr>
        <w:pStyle w:val="Heading3"/>
      </w:pPr>
      <w:bookmarkStart w:id="8100" w:name="_Toc6796"/>
      <w:r>
        <w:t>گ‏</w:t>
      </w:r>
      <w:bookmarkEnd w:id="8100"/>
    </w:p>
    <w:p>
      <w:pPr>
        <w:pStyle w:val="Heading3"/>
      </w:pPr>
      <w:bookmarkStart w:id="8101" w:name="_Toc6797"/>
      <w:r>
        <w:t>6115- دیوان گدا أو شعره‏</w:t>
      </w:r>
      <w:bookmarkEnd w:id="8101"/>
    </w:p>
    <w:p>
      <w:pPr>
        <w:pStyle w:val="BookText"/>
      </w:pPr>
      <w:r>
        <w:rPr>
          <w:rFonts w:ascii="IRNazanin" w:hAnsi="IRNazanin" w:eastAsia="IRNazanin" w:cs="IRNazanin"/>
          <w:lang w:bidi="fa-IR"/>
          <w:color w:val="111111"/>
          <w:sz w:val="28"/>
          <w:szCs w:val="28"/>
          <w:rtl/>
        </w:rPr>
        <w:t xml:space="preserve">لگداحسین المتخلص گدا. طبع نیف و ثلاثون بیتا من تقریظه للجامع الشفائیة المطبوعة 1303.</w:t>
      </w:r>
    </w:p>
    <w:p>
      <w:pPr>
        <w:pStyle w:val="Heading3"/>
      </w:pPr>
      <w:bookmarkStart w:id="8102" w:name="_Toc6798"/>
      <w:r>
        <w:t>6116- دیوان گدایی أو شعره‏</w:t>
      </w:r>
      <w:bookmarkEnd w:id="8102"/>
    </w:p>
    <w:p>
      <w:pPr>
        <w:pStyle w:val="BookText"/>
      </w:pPr>
      <w:r>
        <w:rPr>
          <w:rFonts w:ascii="IRNazanin" w:hAnsi="IRNazanin" w:eastAsia="IRNazanin" w:cs="IRNazanin"/>
          <w:lang w:bidi="fa-IR"/>
          <w:color w:val="111111"/>
          <w:sz w:val="28"/>
          <w:szCs w:val="28"/>
          <w:rtl/>
        </w:rPr>
        <w:t xml:space="preserve">کان من شعراء بابر میرزا. ترجمه فی (مجن 3- ص 83 و 258) و أورد شعره الترکی.</w:t>
      </w:r>
    </w:p>
    <w:p>
      <w:pPr>
        <w:pStyle w:val="Heading3"/>
      </w:pPr>
      <w:bookmarkStart w:id="8103" w:name="_Toc6799"/>
      <w:r>
        <w:t>6117- دیوان گرامی أصفهانی أو شعره‏</w:t>
      </w:r>
      <w:bookmarkEnd w:id="8103"/>
    </w:p>
    <w:p>
      <w:pPr>
        <w:pStyle w:val="BookText"/>
      </w:pPr>
      <w:r>
        <w:rPr>
          <w:rFonts w:ascii="IRNazanin" w:hAnsi="IRNazanin" w:eastAsia="IRNazanin" w:cs="IRNazanin"/>
          <w:lang w:bidi="fa-IR"/>
          <w:color w:val="111111"/>
          <w:sz w:val="28"/>
          <w:szCs w:val="28"/>
          <w:rtl/>
        </w:rPr>
        <w:t xml:space="preserve">و اسمه أبو القاسم خان. سافر إلی دهلی و مات بها. و قد یعرف بآقا بابا. أورد شعره فی (گلشن- ص 347).</w:t>
      </w:r>
    </w:p>
    <w:p>
      <w:pPr>
        <w:pStyle w:val="Heading3"/>
      </w:pPr>
      <w:bookmarkStart w:id="8104" w:name="_Toc6800"/>
      <w:r>
        <w:t>6118- دیوان گرامی بغدادی أو شعره‏</w:t>
      </w:r>
      <w:bookmarkEnd w:id="8104"/>
    </w:p>
    <w:p>
      <w:pPr>
        <w:pStyle w:val="BookText"/>
      </w:pPr>
      <w:r>
        <w:rPr>
          <w:rFonts w:ascii="IRNazanin" w:hAnsi="IRNazanin" w:eastAsia="IRNazanin" w:cs="IRNazanin"/>
          <w:lang w:bidi="fa-IR"/>
          <w:color w:val="111111"/>
          <w:sz w:val="28"/>
          <w:szCs w:val="28"/>
          <w:rtl/>
        </w:rPr>
        <w:t xml:space="preserve">ترجمه معاصره سام میرزا فی (تس 5- ص 166) و قال قطعت أذنه بجرم ارتکبه تکلو خان، فذهب إلی شروان و قطع خبره.</w:t>
      </w:r>
    </w:p>
    <w:p>
      <w:pPr>
        <w:pStyle w:val="Heading3"/>
      </w:pPr>
      <w:bookmarkStart w:id="8105" w:name="_Toc6801"/>
      <w:r>
        <w:t>6119- دیوان گرامی تبریزی أو شعره‏</w:t>
      </w:r>
      <w:bookmarkEnd w:id="8105"/>
    </w:p>
    <w:p>
      <w:pPr>
        <w:pStyle w:val="BookText"/>
      </w:pPr>
      <w:r>
        <w:rPr>
          <w:rFonts w:ascii="IRNazanin" w:hAnsi="IRNazanin" w:eastAsia="IRNazanin" w:cs="IRNazanin"/>
          <w:lang w:bidi="fa-IR"/>
          <w:color w:val="111111"/>
          <w:sz w:val="28"/>
          <w:szCs w:val="28"/>
          <w:rtl/>
        </w:rPr>
        <w:t xml:space="preserve">هو ابن سهوی المذکور فی ص 479 و أخ رفعتی. ترجمه و أورد شعره فی (گلشن- 347) و (دجا- ص 318) عن صحف إبراهیم.</w:t>
      </w:r>
    </w:p>
    <w:p>
      <w:pPr>
        <w:pStyle w:val="Heading3"/>
      </w:pPr>
      <w:bookmarkStart w:id="8106" w:name="_Toc6802"/>
      <w:r>
        <w:t>6120- دیوان گرامی ترک أو شعره‏</w:t>
      </w:r>
      <w:bookmarkEnd w:id="8106"/>
    </w:p>
    <w:p>
      <w:pPr>
        <w:pStyle w:val="BookText"/>
      </w:pPr>
      <w:r>
        <w:rPr>
          <w:rFonts w:ascii="IRNazanin" w:hAnsi="IRNazanin" w:eastAsia="IRNazanin" w:cs="IRNazanin"/>
          <w:lang w:bidi="fa-IR"/>
          <w:color w:val="111111"/>
          <w:sz w:val="28"/>
          <w:szCs w:val="28"/>
          <w:rtl/>
        </w:rPr>
        <w:t xml:space="preserve">و اسمه حسن بیگ. کان من الأتراک کما فی (نر 9- ص 289) و (گلشن- ص 347) و فی (تش- ص 20) سماه محمد حسین بیگ و أورد له الشعر الذی أورده النصرآبادی له. و هو غیر حسن شاملو صاحب السیف و القلم المذکور فی ص 243 و غیر سگ‏لوند المذکور فی ص 454 الذین خلط بینهما فی (تش- ص 12).</w:t>
      </w:r>
    </w:p>
    <w:p>
      <w:pPr>
        <w:pStyle w:val="Heading3"/>
      </w:pPr>
      <w:bookmarkStart w:id="8107" w:name="_Toc6803"/>
      <w:r>
        <w:t>6121- دیوان گرامی خوافی أو شعره‏</w:t>
      </w:r>
      <w:bookmarkEnd w:id="8107"/>
    </w:p>
    <w:p>
      <w:pPr>
        <w:pStyle w:val="BookText"/>
      </w:pPr>
      <w:r>
        <w:rPr>
          <w:rFonts w:ascii="IRNazanin" w:hAnsi="IRNazanin" w:eastAsia="IRNazanin" w:cs="IRNazanin"/>
          <w:lang w:bidi="fa-IR"/>
          <w:color w:val="111111"/>
          <w:sz w:val="28"/>
          <w:szCs w:val="28"/>
          <w:rtl/>
        </w:rPr>
        <w:t xml:space="preserve">و اسمه المیر عبد الرحمن خان من أمراء عالمگیر پادشاه. مات 1124 ترجمه و أورد شعره فی (نتایج- ص 606) و (روشن- ص 583) عن شمع انجمن و توجد نسخه من دیوانه فی (بنگاله) و طبع دیوان گرامی بلاهور فی 1932 م فی 216 ص. کما فی فهرس اندیاافیس. ص 109.
</w:t>
      </w:r>
    </w:p>
    <w:p>
      <w:pPr>
        <w:sectPr>
          <w:footerReference w:type="default" r:id="rId938"/>
          <w:footnotePr>
            <w:numStart w:val="1"/>
            <w:numRestart w:val="eachPage"/>
          </w:footnotePr>
          <w:pgSz w:orient="portrait" w:w="11905.511811023622" w:h="16837.79527559055"/>
          <w:pgMar w:top="1440" w:right="1440" w:bottom="1440" w:left="1440" w:header="720" w:footer="720" w:gutter="0"/>
          <w:cols w:num="1" w:space="720"/>
        </w:sectPr>
      </w:pPr>
    </w:p>
    <w:bookmarkStart w:id="920" w:name="pg11704_122406"/>
    <w:bookmarkEnd w:id="920"/>
    <w:p>
      <w:pPr>
        <w:pStyle w:val="Heading3"/>
      </w:pPr>
      <w:bookmarkStart w:id="8108" w:name="_Toc6804"/>
      <w:r>
        <w:t>دیوان گرامی دورة</w:t>
      </w:r>
      <w:bookmarkEnd w:id="8108"/>
    </w:p>
    <w:p>
      <w:pPr>
        <w:pStyle w:val="BookText"/>
      </w:pPr>
      <w:r>
        <w:rPr>
          <w:rFonts w:ascii="IRNazanin" w:hAnsi="IRNazanin" w:eastAsia="IRNazanin" w:cs="IRNazanin"/>
          <w:lang w:bidi="fa-IR"/>
          <w:color w:val="111111"/>
          <w:sz w:val="28"/>
          <w:szCs w:val="28"/>
          <w:rtl/>
        </w:rPr>
        <w:t xml:space="preserve">راجع دیوان گرامی هروی.</w:t>
      </w:r>
    </w:p>
    <w:p>
      <w:pPr>
        <w:pStyle w:val="Heading3"/>
      </w:pPr>
      <w:bookmarkStart w:id="8109" w:name="_Toc6805"/>
      <w:r>
        <w:t>6122- دیوان گرامی کاشانی‏</w:t>
      </w:r>
      <w:bookmarkEnd w:id="8109"/>
    </w:p>
    <w:p>
      <w:pPr>
        <w:pStyle w:val="BookText"/>
      </w:pPr>
      <w:r>
        <w:rPr>
          <w:rFonts w:ascii="IRNazanin" w:hAnsi="IRNazanin" w:eastAsia="IRNazanin" w:cs="IRNazanin"/>
          <w:lang w:bidi="fa-IR"/>
          <w:color w:val="111111"/>
          <w:sz w:val="28"/>
          <w:szCs w:val="28"/>
          <w:rtl/>
        </w:rPr>
        <w:t xml:space="preserve">و اسمه مهدی قلی عده فی (تش- ص 20) من أمراء الأتراک و فی (نر 9- ص 295) سماه ملا گرامی، و قال إن له غزلیات و نظم خمسة أیضا و شعره خمسین ألف بیت، فهو غیر گرامی ترک.</w:t>
      </w:r>
    </w:p>
    <w:p>
      <w:pPr>
        <w:pStyle w:val="Heading3"/>
      </w:pPr>
      <w:bookmarkStart w:id="8110" w:name="_Toc6806"/>
      <w:r>
        <w:t>6123- دیوان گرامی کشمیری أو شعره‏</w:t>
      </w:r>
      <w:bookmarkEnd w:id="8110"/>
    </w:p>
    <w:p>
      <w:pPr>
        <w:pStyle w:val="BookText"/>
      </w:pPr>
      <w:r>
        <w:rPr>
          <w:rFonts w:ascii="IRNazanin" w:hAnsi="IRNazanin" w:eastAsia="IRNazanin" w:cs="IRNazanin"/>
          <w:lang w:bidi="fa-IR"/>
          <w:color w:val="111111"/>
          <w:sz w:val="28"/>
          <w:szCs w:val="28"/>
          <w:rtl/>
        </w:rPr>
        <w:t xml:space="preserve">هو ابن قبول کشمیری المذکور فی ص 875 و تلمیذه. مات فی 1156. أورد شعره فی (سرو- ص 198) و (نتایج- ص 607).</w:t>
      </w:r>
    </w:p>
    <w:p>
      <w:pPr>
        <w:pStyle w:val="Heading3"/>
      </w:pPr>
      <w:bookmarkStart w:id="8111" w:name="_Toc6807"/>
      <w:r>
        <w:t>6124- دیوان گرامی هروی أو شعره‏</w:t>
      </w:r>
      <w:bookmarkEnd w:id="8111"/>
    </w:p>
    <w:p>
      <w:pPr>
        <w:pStyle w:val="BookText"/>
      </w:pPr>
      <w:r>
        <w:rPr>
          <w:rFonts w:ascii="IRNazanin" w:hAnsi="IRNazanin" w:eastAsia="IRNazanin" w:cs="IRNazanin"/>
          <w:lang w:bidi="fa-IR"/>
          <w:color w:val="111111"/>
          <w:sz w:val="28"/>
          <w:szCs w:val="28"/>
          <w:rtl/>
        </w:rPr>
        <w:t xml:space="preserve">و اسمه دورة بیگ. ترجمه الصادقی فی (خص 7- ص 122) و قال کان یتولی المائدة (سفره‏چی) لعلی قلی خان فی هراة و أورد شعره.</w:t>
      </w:r>
    </w:p>
    <w:p>
      <w:pPr>
        <w:pStyle w:val="Heading3"/>
      </w:pPr>
      <w:bookmarkStart w:id="8112" w:name="_Toc6808"/>
      <w:r>
        <w:t>6125- دیوان گربه أصفهانی أو شعره‏</w:t>
      </w:r>
      <w:bookmarkEnd w:id="8112"/>
    </w:p>
    <w:p>
      <w:pPr>
        <w:pStyle w:val="BookText"/>
      </w:pPr>
      <w:r>
        <w:rPr>
          <w:rFonts w:ascii="IRNazanin" w:hAnsi="IRNazanin" w:eastAsia="IRNazanin" w:cs="IRNazanin"/>
          <w:lang w:bidi="fa-IR"/>
          <w:color w:val="111111"/>
          <w:sz w:val="28"/>
          <w:szCs w:val="28"/>
          <w:rtl/>
        </w:rPr>
        <w:t xml:space="preserve">و اسمه محمد مؤمن کان شاعرا هزالا معاصرا للشاه سلیمان الصفوی. ترجمه و أورد شعره فی (گلشن- ص 347).</w:t>
      </w:r>
    </w:p>
    <w:p>
      <w:pPr>
        <w:pStyle w:val="Heading3"/>
      </w:pPr>
      <w:bookmarkStart w:id="8113" w:name="_Toc6809"/>
      <w:r>
        <w:t>6126- دیوان گربه شوشتری أو شعره‏</w:t>
      </w:r>
      <w:bookmarkEnd w:id="8113"/>
    </w:p>
    <w:p>
      <w:pPr>
        <w:pStyle w:val="BookText"/>
      </w:pPr>
      <w:r>
        <w:rPr>
          <w:rFonts w:ascii="IRNazanin" w:hAnsi="IRNazanin" w:eastAsia="IRNazanin" w:cs="IRNazanin"/>
          <w:lang w:bidi="fa-IR"/>
          <w:color w:val="111111"/>
          <w:sz w:val="28"/>
          <w:szCs w:val="28"/>
          <w:rtl/>
        </w:rPr>
        <w:t xml:space="preserve">کان من الظرفاء عند خوانین تستر ترجمه معاصره النصرآبادی فی (نر 9- ص 407) و أورد بعض شعره.</w:t>
      </w:r>
    </w:p>
    <w:p>
      <w:pPr>
        <w:pStyle w:val="Heading3"/>
      </w:pPr>
      <w:bookmarkStart w:id="8114" w:name="_Toc6810"/>
      <w:r>
        <w:t>6127- دیوان گرگانی‏</w:t>
      </w:r>
      <w:bookmarkEnd w:id="8114"/>
    </w:p>
    <w:p>
      <w:pPr>
        <w:pStyle w:val="BookText"/>
      </w:pPr>
      <w:r>
        <w:rPr>
          <w:rFonts w:ascii="IRNazanin" w:hAnsi="IRNazanin" w:eastAsia="IRNazanin" w:cs="IRNazanin"/>
          <w:lang w:bidi="fa-IR"/>
          <w:color w:val="111111"/>
          <w:sz w:val="28"/>
          <w:szCs w:val="28"/>
          <w:rtl/>
        </w:rPr>
        <w:t xml:space="preserve">و هو أوحد الدین الگرگانی من قدماء الشعراء. ترجمه فی (مع 1- ص 482) و أورد قرب ثلاثین بیتا من شعره و أشار إلی دیوانه فی قوله [</w:t>
      </w:r>
    </w:p>
    <w:p>
      <w:pPr>
        <w:pStyle w:val="BookText"/>
      </w:pPr>
      <w:r>
        <w:rPr>
          <w:rFonts w:ascii="IRNazanin" w:hAnsi="IRNazanin" w:eastAsia="IRNazanin" w:cs="IRNazanin"/>
          <w:lang w:bidi="fa-IR"/>
          <w:color w:val="111111"/>
          <w:sz w:val="28"/>
          <w:szCs w:val="28"/>
          <w:rtl/>
        </w:rPr>
        <w:t xml:space="preserve">که جز ثنای تو باشد طراز دیوانش‏</w:t>
      </w:r>
    </w:p>
    <w:p>
      <w:pPr>
        <w:pStyle w:val="BookText"/>
      </w:pPr>
      <w:r>
        <w:rPr>
          <w:rFonts w:ascii="IRNazanin" w:hAnsi="IRNazanin" w:eastAsia="IRNazanin" w:cs="IRNazanin"/>
          <w:lang w:bidi="fa-IR"/>
          <w:color w:val="111111"/>
          <w:sz w:val="28"/>
          <w:szCs w:val="28"/>
          <w:rtl/>
        </w:rPr>
        <w:t xml:space="preserve">] و کذا فی (گلشن- ص 348).</w:t>
      </w:r>
    </w:p>
    <w:p>
      <w:pPr>
        <w:pStyle w:val="Heading3"/>
      </w:pPr>
      <w:bookmarkStart w:id="8115" w:name="_Toc6811"/>
      <w:r>
        <w:t>دیوان گرگین بیک‏</w:t>
      </w:r>
      <w:bookmarkEnd w:id="8115"/>
    </w:p>
    <w:p>
      <w:pPr>
        <w:pStyle w:val="BookText"/>
      </w:pPr>
      <w:r>
        <w:rPr>
          <w:rFonts w:ascii="IRNazanin" w:hAnsi="IRNazanin" w:eastAsia="IRNazanin" w:cs="IRNazanin"/>
          <w:lang w:bidi="fa-IR"/>
          <w:color w:val="111111"/>
          <w:sz w:val="28"/>
          <w:szCs w:val="28"/>
          <w:rtl/>
        </w:rPr>
        <w:t xml:space="preserve">سیاوش سلطان. و تخلصه رزمی کما مر.</w:t>
      </w:r>
    </w:p>
    <w:p>
      <w:pPr>
        <w:pStyle w:val="Heading3"/>
      </w:pPr>
      <w:bookmarkStart w:id="8116" w:name="_Toc6812"/>
      <w:r>
        <w:t>6128- دیوان گرمی بروجردی أو شعره‏</w:t>
      </w:r>
      <w:bookmarkEnd w:id="8116"/>
    </w:p>
    <w:p>
      <w:pPr>
        <w:pStyle w:val="BookText"/>
      </w:pPr>
      <w:r>
        <w:rPr>
          <w:rFonts w:ascii="IRNazanin" w:hAnsi="IRNazanin" w:eastAsia="IRNazanin" w:cs="IRNazanin"/>
          <w:lang w:bidi="fa-IR"/>
          <w:color w:val="111111"/>
          <w:sz w:val="28"/>
          <w:szCs w:val="28"/>
          <w:rtl/>
        </w:rPr>
        <w:t xml:space="preserve">ترجمه و أورد شعره الصادقی فی (خص 8- ص 296) و قال إنه من قصبة بروجرد التابعة لهمدان.</w:t>
      </w:r>
    </w:p>
    <w:p>
      <w:pPr>
        <w:pStyle w:val="Heading3"/>
      </w:pPr>
      <w:bookmarkStart w:id="8117" w:name="_Toc6813"/>
      <w:r>
        <w:t>6129- دیوان گرمی شیرازی أو شعره‏</w:t>
      </w:r>
      <w:bookmarkEnd w:id="8117"/>
    </w:p>
    <w:p>
      <w:pPr>
        <w:pStyle w:val="BookText"/>
      </w:pPr>
      <w:r>
        <w:rPr>
          <w:rFonts w:ascii="IRNazanin" w:hAnsi="IRNazanin" w:eastAsia="IRNazanin" w:cs="IRNazanin"/>
          <w:lang w:bidi="fa-IR"/>
          <w:color w:val="111111"/>
          <w:sz w:val="28"/>
          <w:szCs w:val="28"/>
          <w:rtl/>
        </w:rPr>
        <w:t xml:space="preserve">و اسمه محمد قاسم. کان من أحفاد أهلی الشیرازی المذکور فی ص 113 ترجمه و أورد شعره فی (گلشن- ص 348) قال و یعرف بملا گربه.</w:t>
      </w:r>
    </w:p>
    <w:p>
      <w:pPr>
        <w:pStyle w:val="Heading3"/>
      </w:pPr>
      <w:bookmarkStart w:id="8118" w:name="_Toc6814"/>
      <w:r>
        <w:t>6130- دیوان گریان شهرابی‏</w:t>
      </w:r>
      <w:bookmarkEnd w:id="8118"/>
    </w:p>
    <w:p>
      <w:pPr>
        <w:pStyle w:val="BookText"/>
      </w:pPr>
      <w:r>
        <w:rPr>
          <w:rFonts w:ascii="IRNazanin" w:hAnsi="IRNazanin" w:eastAsia="IRNazanin" w:cs="IRNazanin"/>
          <w:lang w:bidi="fa-IR"/>
          <w:color w:val="111111"/>
          <w:sz w:val="28"/>
          <w:szCs w:val="28"/>
          <w:rtl/>
        </w:rPr>
        <w:t xml:space="preserve">و اسمه الملا محمد حسین بن الملا عبد الله الشهرابی من قری أردستان بأصفهان. مر له أنوار المجالس و تذکره الحال و دوازده بند و له حیلة النساء و شرح حال و طریق البکاء و صومیة فرغ من تألیفه 1288
</w:t>
      </w:r>
    </w:p>
    <w:p>
      <w:pPr>
        <w:sectPr>
          <w:footerReference w:type="default" r:id="rId939"/>
          <w:footnotePr>
            <w:numStart w:val="1"/>
            <w:numRestart w:val="eachPage"/>
          </w:footnotePr>
          <w:pgSz w:orient="portrait" w:w="11905.511811023622" w:h="16837.79527559055"/>
          <w:pgMar w:top="1440" w:right="1440" w:bottom="1440" w:left="1440" w:header="720" w:footer="720" w:gutter="0"/>
          <w:cols w:num="1" w:space="720"/>
        </w:sectPr>
      </w:pPr>
    </w:p>
    <w:bookmarkStart w:id="921" w:name="pg11704_122407"/>
    <w:bookmarkEnd w:id="921"/>
    <w:p>
      <w:pPr>
        <w:pStyle w:val="BookText"/>
      </w:pPr>
      <w:r>
        <w:rPr>
          <w:rFonts w:ascii="IRNazanin" w:hAnsi="IRNazanin" w:eastAsia="IRNazanin" w:cs="IRNazanin"/>
          <w:lang w:bidi="fa-IR"/>
          <w:color w:val="111111"/>
          <w:sz w:val="28"/>
          <w:szCs w:val="28"/>
          <w:rtl/>
        </w:rPr>
        <w:t xml:space="preserve">کما ذکره لنا المعلم الحبیب‏آبادی.</w:t>
      </w:r>
    </w:p>
    <w:p>
      <w:pPr>
        <w:pStyle w:val="Heading3"/>
      </w:pPr>
      <w:bookmarkStart w:id="8119" w:name="_Toc6815"/>
      <w:r>
        <w:t>6131- دیوان گل بابا بلخی أو شعره‏</w:t>
      </w:r>
      <w:bookmarkEnd w:id="8119"/>
    </w:p>
    <w:p>
      <w:pPr>
        <w:pStyle w:val="BookText"/>
      </w:pPr>
      <w:r>
        <w:rPr>
          <w:rFonts w:ascii="IRNazanin" w:hAnsi="IRNazanin" w:eastAsia="IRNazanin" w:cs="IRNazanin"/>
          <w:lang w:bidi="fa-IR"/>
          <w:color w:val="111111"/>
          <w:sz w:val="28"/>
          <w:szCs w:val="28"/>
          <w:rtl/>
        </w:rPr>
        <w:t xml:space="preserve">جاء شعره فی (گلشن- ص 348) و قال کان ماهرا فی المعمی و اللغز و العروض و القافیة.</w:t>
      </w:r>
    </w:p>
    <w:p>
      <w:pPr>
        <w:pStyle w:val="Heading3"/>
      </w:pPr>
      <w:bookmarkStart w:id="8120" w:name="_Toc6816"/>
      <w:r>
        <w:t>6132- دیوان گل‏بدن أو شعرها</w:t>
      </w:r>
      <w:bookmarkEnd w:id="8120"/>
    </w:p>
    <w:p>
      <w:pPr>
        <w:pStyle w:val="BookText"/>
      </w:pPr>
      <w:r>
        <w:rPr>
          <w:rFonts w:ascii="IRNazanin" w:hAnsi="IRNazanin" w:eastAsia="IRNazanin" w:cs="IRNazanin"/>
          <w:lang w:bidi="fa-IR"/>
          <w:color w:val="111111"/>
          <w:sz w:val="28"/>
          <w:szCs w:val="28"/>
          <w:rtl/>
        </w:rPr>
        <w:t xml:space="preserve">هی بنت نیک أختر بابر شاه الهندی. أورد شعرها.</w:t>
      </w:r>
    </w:p>
    <w:p>
      <w:pPr>
        <w:pStyle w:val="BookText"/>
      </w:pPr>
      <w:r>
        <w:rPr>
          <w:rFonts w:ascii="IRNazanin" w:hAnsi="IRNazanin" w:eastAsia="IRNazanin" w:cs="IRNazanin"/>
          <w:lang w:bidi="fa-IR"/>
          <w:color w:val="111111"/>
          <w:sz w:val="28"/>
          <w:szCs w:val="28"/>
          <w:rtl/>
        </w:rPr>
        <w:t xml:space="preserve">فی (گلشن- ص 348) و از رابعة تا پروین- ص 190 عن تذکره الخواتین و هی أخت گل‏چهره و گل‏رخ الآتیتین.</w:t>
      </w:r>
    </w:p>
    <w:p>
      <w:pPr>
        <w:pStyle w:val="Heading3"/>
      </w:pPr>
      <w:bookmarkStart w:id="8121" w:name="_Toc6817"/>
      <w:r>
        <w:t>6133- دیوان گل‏چهره أو شعرها</w:t>
      </w:r>
      <w:bookmarkEnd w:id="8121"/>
    </w:p>
    <w:p>
      <w:pPr>
        <w:pStyle w:val="BookText"/>
      </w:pPr>
      <w:r>
        <w:rPr>
          <w:rFonts w:ascii="IRNazanin" w:hAnsi="IRNazanin" w:eastAsia="IRNazanin" w:cs="IRNazanin"/>
          <w:lang w:bidi="fa-IR"/>
          <w:color w:val="111111"/>
          <w:sz w:val="28"/>
          <w:szCs w:val="28"/>
          <w:rtl/>
        </w:rPr>
        <w:t xml:space="preserve">هی أخت گل‏بدن و بنت بابر شاه المذکور.</w:t>
      </w:r>
    </w:p>
    <w:p>
      <w:pPr>
        <w:pStyle w:val="BookText"/>
      </w:pPr>
      <w:r>
        <w:rPr>
          <w:rFonts w:ascii="IRNazanin" w:hAnsi="IRNazanin" w:eastAsia="IRNazanin" w:cs="IRNazanin"/>
          <w:lang w:bidi="fa-IR"/>
          <w:color w:val="111111"/>
          <w:sz w:val="28"/>
          <w:szCs w:val="28"/>
          <w:rtl/>
        </w:rPr>
        <w:t xml:space="preserve">ترجمها و أورد شعرهما فی (گلشن- ص 348) و تذکره الخواتین کما ذکر.</w:t>
      </w:r>
    </w:p>
    <w:p>
      <w:pPr>
        <w:pStyle w:val="Heading3"/>
      </w:pPr>
      <w:bookmarkStart w:id="8122" w:name="_Toc6818"/>
      <w:r>
        <w:t>6134- دیوان گل‏چین‏</w:t>
      </w:r>
      <w:bookmarkEnd w:id="8122"/>
    </w:p>
    <w:p>
      <w:pPr>
        <w:pStyle w:val="BookText"/>
      </w:pPr>
      <w:r>
        <w:rPr>
          <w:rFonts w:ascii="IRNazanin" w:hAnsi="IRNazanin" w:eastAsia="IRNazanin" w:cs="IRNazanin"/>
          <w:lang w:bidi="fa-IR"/>
          <w:color w:val="111111"/>
          <w:sz w:val="28"/>
          <w:szCs w:val="28"/>
          <w:rtl/>
        </w:rPr>
        <w:t xml:space="preserve">لمحمد صادق المعروف بمیرزای گل‏چین. طبع له گل‏چین المدائح فی 1312 بطهران فی 150 ص.</w:t>
      </w:r>
    </w:p>
    <w:p>
      <w:pPr>
        <w:pStyle w:val="Heading3"/>
      </w:pPr>
      <w:bookmarkStart w:id="8123" w:name="_Toc6819"/>
      <w:r>
        <w:t>6135- دیوان گل‏چین گیلانی‏</w:t>
      </w:r>
      <w:bookmarkEnd w:id="8123"/>
    </w:p>
    <w:p>
      <w:pPr>
        <w:pStyle w:val="BookText"/>
      </w:pPr>
      <w:r>
        <w:rPr>
          <w:rFonts w:ascii="IRNazanin" w:hAnsi="IRNazanin" w:eastAsia="IRNazanin" w:cs="IRNazanin"/>
          <w:lang w:bidi="fa-IR"/>
          <w:color w:val="111111"/>
          <w:sz w:val="28"/>
          <w:szCs w:val="28"/>
          <w:rtl/>
        </w:rPr>
        <w:t xml:space="preserve">للدکتور مجد الدین میر فخرائی طبع له بلندن فی 1948 م منظومات نهضت و مهر و کین‏</w:t>
      </w:r>
    </w:p>
    <w:p>
      <w:pPr>
        <w:pStyle w:val="Heading3"/>
      </w:pPr>
      <w:bookmarkStart w:id="8124" w:name="_Toc6820"/>
      <w:r>
        <w:t>6136- دیوان گل‏چین معانی‏</w:t>
      </w:r>
      <w:bookmarkEnd w:id="8124"/>
    </w:p>
    <w:p>
      <w:pPr>
        <w:pStyle w:val="BookText"/>
      </w:pPr>
      <w:r>
        <w:rPr>
          <w:rFonts w:ascii="IRNazanin" w:hAnsi="IRNazanin" w:eastAsia="IRNazanin" w:cs="IRNazanin"/>
          <w:lang w:bidi="fa-IR"/>
          <w:color w:val="111111"/>
          <w:sz w:val="28"/>
          <w:szCs w:val="28"/>
          <w:rtl/>
        </w:rPr>
        <w:t xml:space="preserve">لأحمد بن علی أکبر ولد بطهران فی 1295 ش. طبع له گلزار معانی انتخب فیه أشعار لمعاصریه. و له تعلیقات علی میخانه طبعها بطهران فی 1380 و فهرست تذکره‏های فارسی ترجمه و أورد شعره فی سخنوران نامی معاصر- ج 2 ص 225 و نخستین کنگره نویسندگان- ص 85 و تذکره علوی- ص 19.</w:t>
      </w:r>
    </w:p>
    <w:p>
      <w:pPr>
        <w:pStyle w:val="Heading3"/>
      </w:pPr>
      <w:bookmarkStart w:id="8125" w:name="_Toc6821"/>
      <w:r>
        <w:t>6137- دیوان گلخنی قمی أو شعره‏</w:t>
      </w:r>
      <w:bookmarkEnd w:id="8125"/>
    </w:p>
    <w:p>
      <w:pPr>
        <w:pStyle w:val="BookText"/>
      </w:pPr>
      <w:r>
        <w:rPr>
          <w:rFonts w:ascii="IRNazanin" w:hAnsi="IRNazanin" w:eastAsia="IRNazanin" w:cs="IRNazanin"/>
          <w:lang w:bidi="fa-IR"/>
          <w:color w:val="111111"/>
          <w:sz w:val="28"/>
          <w:szCs w:val="28"/>
          <w:rtl/>
        </w:rPr>
        <w:t xml:space="preserve">هو ابن أخت شهیدی القمی المذکور فی ص 562 ترجمه شاه محمد القزوینی فی (مجتس 6- ص 297) و ذکر شعره و قال إنه کان شرورا فأراد المیر علی شیر إخراجه و صرح الهروی فی (لط 6- ص 161) بأنه صدر منه جرم قتل به فی عصر السلطان حسین میرزا و ترجمه سام میرزا فی (تس 5- ص 112) و قال إنه حدث هناک حرب قتل هو فیها و أما خاله شهیدی القمی فقد أدرک المولی عبد الرحمن الجامی المتوفی 898 و کان لا یعتنی بالدرهم و الدینار و بقی سنة فی قزوین عند سلطان گیلان و بعده ذهب إلی السلطان یعقوب الذی توفی 896 و بعد موته ذهب إلی گجرات الهند، و کان حیا فی</w:t>
      </w:r>
    </w:p>
    <w:p>
      <w:pPr>
        <w:pStyle w:val="BookText"/>
      </w:pPr>
      <w:r>
        <w:rPr>
          <w:rFonts w:ascii="IRNazanin" w:hAnsi="IRNazanin" w:eastAsia="IRNazanin" w:cs="IRNazanin"/>
          <w:lang w:bidi="fa-IR"/>
          <w:color w:val="111111"/>
          <w:sz w:val="28"/>
          <w:szCs w:val="28"/>
          <w:rtl/>
        </w:rPr>
        <w:t xml:space="preserve">927 کما فصل ذلک القزوینی فی (مجتس 6- ص 297) و کذا فی همیشه بهار و علمای گیلان و قم- ص 149 و (تش- ص 234) و توجد أشعاره فی مجموعة برقم‏
</w:t>
      </w:r>
    </w:p>
    <w:p>
      <w:pPr>
        <w:sectPr>
          <w:footerReference w:type="default" r:id="rId940"/>
          <w:footnotePr>
            <w:numStart w:val="1"/>
            <w:numRestart w:val="eachPage"/>
          </w:footnotePr>
          <w:pgSz w:orient="portrait" w:w="11905.511811023622" w:h="16837.79527559055"/>
          <w:pgMar w:top="1440" w:right="1440" w:bottom="1440" w:left="1440" w:header="720" w:footer="720" w:gutter="0"/>
          <w:cols w:num="1" w:space="720"/>
        </w:sectPr>
      </w:pPr>
    </w:p>
    <w:bookmarkStart w:id="922" w:name="pg11704_122408"/>
    <w:bookmarkEnd w:id="922"/>
    <w:p>
      <w:pPr>
        <w:pStyle w:val="BookText"/>
      </w:pPr>
      <w:r>
        <w:rPr>
          <w:rFonts w:ascii="IRNazanin" w:hAnsi="IRNazanin" w:eastAsia="IRNazanin" w:cs="IRNazanin"/>
          <w:lang w:bidi="fa-IR"/>
          <w:color w:val="111111"/>
          <w:sz w:val="28"/>
          <w:szCs w:val="28"/>
          <w:rtl/>
        </w:rPr>
        <w:t xml:space="preserve">305 عند (فخر الدین) و سماه فی (روشن- ص 585) گلخنی تفرشی و قال هجا السلطان حسین بایقرا لقتله محمد مؤمن، ففر من هرات و قتل بید الأزبکیة و من ذمه لبایقرا قوله:</w:t>
      </w:r>
    </w:p>
    <w:p>
      <w:pPr>
        <w:pStyle w:val="BookText"/>
      </w:pPr>
      <w:r>
        <w:rPr>
          <w:rFonts w:ascii="IRNazanin" w:hAnsi="IRNazanin" w:eastAsia="IRNazanin" w:cs="IRNazanin"/>
          <w:lang w:bidi="fa-IR"/>
          <w:color w:val="111111"/>
          <w:sz w:val="28"/>
          <w:szCs w:val="28"/>
          <w:rtl/>
        </w:rPr>
        <w:t xml:space="preserve">آرد زمانه واقعة کربلاء به یاد</w:t>
      </w:r>
    </w:p>
    <w:p>
      <w:pPr>
        <w:pStyle w:val="BookText"/>
      </w:pPr>
      <w:r>
        <w:rPr>
          <w:rFonts w:ascii="IRNazanin" w:hAnsi="IRNazanin" w:eastAsia="IRNazanin" w:cs="IRNazanin"/>
          <w:lang w:bidi="fa-IR"/>
          <w:color w:val="111111"/>
          <w:sz w:val="28"/>
          <w:szCs w:val="28"/>
          <w:rtl/>
        </w:rPr>
        <w:t xml:space="preserve">کان کافری که مؤمن دین را شهید کرد</w:t>
      </w:r>
    </w:p>
    <w:p>
      <w:pPr>
        <w:pStyle w:val="BookText"/>
      </w:pPr>
      <w:r>
        <w:rPr>
          <w:rFonts w:ascii="IRNazanin" w:hAnsi="IRNazanin" w:eastAsia="IRNazanin" w:cs="IRNazanin"/>
          <w:lang w:bidi="fa-IR"/>
          <w:color w:val="111111"/>
          <w:sz w:val="28"/>
          <w:szCs w:val="28"/>
          <w:rtl/>
        </w:rPr>
        <w:t xml:space="preserve">آنجا یزید آمد و کار حسین ساخت‏</w:t>
      </w:r>
    </w:p>
    <w:p>
      <w:pPr>
        <w:pStyle w:val="BookText"/>
      </w:pPr>
      <w:r>
        <w:rPr>
          <w:rFonts w:ascii="IRNazanin" w:hAnsi="IRNazanin" w:eastAsia="IRNazanin" w:cs="IRNazanin"/>
          <w:lang w:bidi="fa-IR"/>
          <w:color w:val="111111"/>
          <w:sz w:val="28"/>
          <w:szCs w:val="28"/>
          <w:rtl/>
        </w:rPr>
        <w:t xml:space="preserve">اینجا حسین آمد و کار یزید کرد</w:t>
      </w:r>
    </w:p>
    <w:p>
      <w:pPr>
        <w:pStyle w:val="Heading3"/>
      </w:pPr>
      <w:bookmarkStart w:id="8126" w:name="_Toc6822"/>
      <w:r>
        <w:t>6138- دیوان گل‏رخ أو شعرها</w:t>
      </w:r>
      <w:bookmarkEnd w:id="8126"/>
    </w:p>
    <w:p>
      <w:pPr>
        <w:pStyle w:val="BookText"/>
      </w:pPr>
      <w:r>
        <w:rPr>
          <w:rFonts w:ascii="IRNazanin" w:hAnsi="IRNazanin" w:eastAsia="IRNazanin" w:cs="IRNazanin"/>
          <w:lang w:bidi="fa-IR"/>
          <w:color w:val="111111"/>
          <w:sz w:val="28"/>
          <w:szCs w:val="28"/>
          <w:rtl/>
        </w:rPr>
        <w:t xml:space="preserve">هی بنت بابر شاه و أخت گل‏بدن و گل‏چهره المذکورتان فی الصفحة السابقة أورد شعرهن فی (گلشن- ص 348)</w:t>
      </w:r>
    </w:p>
    <w:p>
      <w:pPr>
        <w:pStyle w:val="Heading3"/>
      </w:pPr>
      <w:bookmarkStart w:id="8127" w:name="_Toc6823"/>
      <w:r>
        <w:t>6139- دیوان گلزار أصفهانی‏</w:t>
      </w:r>
      <w:bookmarkEnd w:id="8127"/>
    </w:p>
    <w:p>
      <w:pPr>
        <w:pStyle w:val="BookText"/>
      </w:pPr>
      <w:r>
        <w:rPr>
          <w:rFonts w:ascii="IRNazanin" w:hAnsi="IRNazanin" w:eastAsia="IRNazanin" w:cs="IRNazanin"/>
          <w:lang w:bidi="fa-IR"/>
          <w:color w:val="111111"/>
          <w:sz w:val="28"/>
          <w:szCs w:val="28"/>
          <w:rtl/>
        </w:rPr>
        <w:t xml:space="preserve">و اسمه رجب علی بن حسین ولد بأصفهان فی 13 رجب 1302 و توفی 19 رجب 1366 و تعلم الأدب علی والده و صار عضوا فی مجامع الأدب مثل انجمن شیدا و انجمن دانشکده و أورد ألفت غزله فی دانش‏نامه المطبوع 1342 و ترجمه فی شعرای معاصر أصفهان- ص 399 و (نامه سخنوران- ص 161) لإیزد گشسب و فی (انجمن 4)</w:t>
      </w:r>
    </w:p>
    <w:p>
      <w:pPr>
        <w:pStyle w:val="Heading3"/>
      </w:pPr>
      <w:bookmarkStart w:id="8128" w:name="_Toc6824"/>
      <w:r>
        <w:t>6140- دیوان گلزار فریز هندی أو شعره‏</w:t>
      </w:r>
      <w:bookmarkEnd w:id="8128"/>
    </w:p>
    <w:p>
      <w:pPr>
        <w:pStyle w:val="BookText"/>
      </w:pPr>
      <w:r>
        <w:rPr>
          <w:rFonts w:ascii="IRNazanin" w:hAnsi="IRNazanin" w:eastAsia="IRNazanin" w:cs="IRNazanin"/>
          <w:lang w:bidi="fa-IR"/>
          <w:color w:val="111111"/>
          <w:sz w:val="28"/>
          <w:szCs w:val="28"/>
          <w:rtl/>
        </w:rPr>
        <w:t xml:space="preserve">و اسمه فضل الله ولد بأصفهان فی 1349 و له أشعار فکاهیة طبعت فی مجلات و جرائد أصفهان ترجمه و أورد شعره فی شعرای معاصر أصفهان- ص 401</w:t>
      </w:r>
    </w:p>
    <w:p>
      <w:pPr>
        <w:pStyle w:val="Heading3"/>
      </w:pPr>
      <w:bookmarkStart w:id="8129" w:name="_Toc6825"/>
      <w:r>
        <w:t>دیوان گلزار قدس‏</w:t>
      </w:r>
      <w:bookmarkEnd w:id="8129"/>
    </w:p>
    <w:p>
      <w:pPr>
        <w:pStyle w:val="BookText"/>
      </w:pPr>
      <w:r>
        <w:rPr>
          <w:rFonts w:ascii="IRNazanin" w:hAnsi="IRNazanin" w:eastAsia="IRNazanin" w:cs="IRNazanin"/>
          <w:lang w:bidi="fa-IR"/>
          <w:color w:val="111111"/>
          <w:sz w:val="28"/>
          <w:szCs w:val="28"/>
          <w:rtl/>
        </w:rPr>
        <w:t xml:space="preserve">اسم لدیوان فیض الکاشانی المذکور فی ص 853 کما نقل عن قطب الدین التبریزی‏</w:t>
      </w:r>
    </w:p>
    <w:p>
      <w:pPr>
        <w:pStyle w:val="Heading3"/>
      </w:pPr>
      <w:bookmarkStart w:id="8130" w:name="_Toc6826"/>
      <w:r>
        <w:t>6141- دیوان گلشن‏</w:t>
      </w:r>
      <w:bookmarkEnd w:id="8130"/>
    </w:p>
    <w:p>
      <w:pPr>
        <w:pStyle w:val="BookText"/>
      </w:pPr>
      <w:r>
        <w:rPr>
          <w:rFonts w:ascii="IRNazanin" w:hAnsi="IRNazanin" w:eastAsia="IRNazanin" w:cs="IRNazanin"/>
          <w:lang w:bidi="fa-IR"/>
          <w:color w:val="111111"/>
          <w:sz w:val="28"/>
          <w:szCs w:val="28"/>
          <w:rtl/>
        </w:rPr>
        <w:t xml:space="preserve">له القصیدة النونیة العددیة من الواحد إلی الأربعة رأیتها ضمن مجموعة عند السید محمد الموسوی الجزائری أخذه معه إلی أهواز و فیها قوله:</w:t>
      </w:r>
    </w:p>
    <w:p>
      <w:pPr>
        <w:pStyle w:val="BookText"/>
      </w:pPr>
      <w:r>
        <w:rPr>
          <w:rFonts w:ascii="IRNazanin" w:hAnsi="IRNazanin" w:eastAsia="IRNazanin" w:cs="IRNazanin"/>
          <w:lang w:bidi="fa-IR"/>
          <w:color w:val="111111"/>
          <w:sz w:val="28"/>
          <w:szCs w:val="28"/>
          <w:rtl/>
        </w:rPr>
        <w:t xml:space="preserve">یکی از عکس رخسارش، دوم لعل گهربارش‏</w:t>
      </w:r>
    </w:p>
    <w:p>
      <w:pPr>
        <w:pStyle w:val="BookText"/>
      </w:pPr>
      <w:r>
        <w:rPr>
          <w:rFonts w:ascii="IRNazanin" w:hAnsi="IRNazanin" w:eastAsia="IRNazanin" w:cs="IRNazanin"/>
          <w:lang w:bidi="fa-IR"/>
          <w:color w:val="111111"/>
          <w:sz w:val="28"/>
          <w:szCs w:val="28"/>
          <w:rtl/>
        </w:rPr>
        <w:t xml:space="preserve">سوم در وقت گفتارش، چهارم نرگس فتان‏</w:t>
      </w:r>
    </w:p>
    <w:p>
      <w:pPr>
        <w:pStyle w:val="Heading3"/>
      </w:pPr>
      <w:bookmarkStart w:id="8131" w:name="_Toc6827"/>
      <w:r>
        <w:t>6142- دیوان گلشن آذربایجانی أو شعره‏</w:t>
      </w:r>
      <w:bookmarkEnd w:id="8131"/>
    </w:p>
    <w:p>
      <w:pPr>
        <w:pStyle w:val="BookText"/>
      </w:pPr>
      <w:r>
        <w:rPr>
          <w:rFonts w:ascii="IRNazanin" w:hAnsi="IRNazanin" w:eastAsia="IRNazanin" w:cs="IRNazanin"/>
          <w:lang w:bidi="fa-IR"/>
          <w:color w:val="111111"/>
          <w:sz w:val="28"/>
          <w:szCs w:val="28"/>
          <w:rtl/>
        </w:rPr>
        <w:t xml:space="preserve">کان من شعراء القرن الحادی عشر ترجمه فی (دجا- ص 318) نقلا عن حدیقة الشعراء</w:t>
      </w:r>
    </w:p>
    <w:p>
      <w:pPr>
        <w:pStyle w:val="Heading3"/>
      </w:pPr>
      <w:bookmarkStart w:id="8132" w:name="_Toc6828"/>
      <w:r>
        <w:t>دیوان گلشن آزادی‏</w:t>
      </w:r>
      <w:bookmarkEnd w:id="8132"/>
    </w:p>
    <w:p>
      <w:pPr>
        <w:pStyle w:val="BookText"/>
      </w:pPr>
      <w:r>
        <w:rPr>
          <w:rFonts w:ascii="IRNazanin" w:hAnsi="IRNazanin" w:eastAsia="IRNazanin" w:cs="IRNazanin"/>
          <w:lang w:bidi="fa-IR"/>
          <w:color w:val="111111"/>
          <w:sz w:val="28"/>
          <w:szCs w:val="28"/>
          <w:rtl/>
        </w:rPr>
        <w:t xml:space="preserve">راجع گلشن مشهدی‏</w:t>
      </w:r>
    </w:p>
    <w:p>
      <w:pPr>
        <w:pStyle w:val="Heading3"/>
      </w:pPr>
      <w:bookmarkStart w:id="8133" w:name="_Toc6829"/>
      <w:r>
        <w:t>6143- دیوان گلشن أحمدآبادی‏</w:t>
      </w:r>
      <w:bookmarkEnd w:id="8133"/>
    </w:p>
    <w:p>
      <w:pPr>
        <w:pStyle w:val="BookText"/>
      </w:pPr>
      <w:r>
        <w:rPr>
          <w:rFonts w:ascii="IRNazanin" w:hAnsi="IRNazanin" w:eastAsia="IRNazanin" w:cs="IRNazanin"/>
          <w:lang w:bidi="fa-IR"/>
          <w:color w:val="111111"/>
          <w:sz w:val="28"/>
          <w:szCs w:val="28"/>
          <w:rtl/>
        </w:rPr>
        <w:t xml:space="preserve">و هو الشیخ سعد الله الگجراتی کان ینسب نفسه إلی الزبیر بن العوام الصحابی جاء إلی شاه‏جهان و مات 1141 ترجمه فی (نتایج-
</w:t>
      </w:r>
    </w:p>
    <w:p>
      <w:pPr>
        <w:sectPr>
          <w:footerReference w:type="default" r:id="rId941"/>
          <w:footnotePr>
            <w:numStart w:val="1"/>
            <w:numRestart w:val="eachPage"/>
          </w:footnotePr>
          <w:pgSz w:orient="portrait" w:w="11905.511811023622" w:h="16837.79527559055"/>
          <w:pgMar w:top="1440" w:right="1440" w:bottom="1440" w:left="1440" w:header="720" w:footer="720" w:gutter="0"/>
          <w:cols w:num="1" w:space="720"/>
        </w:sectPr>
      </w:pPr>
    </w:p>
    <w:bookmarkStart w:id="923" w:name="pg11704_122409"/>
    <w:bookmarkEnd w:id="923"/>
    <w:p>
      <w:pPr>
        <w:pStyle w:val="BookText"/>
      </w:pPr>
      <w:r>
        <w:rPr>
          <w:rFonts w:ascii="IRNazanin" w:hAnsi="IRNazanin" w:eastAsia="IRNazanin" w:cs="IRNazanin"/>
          <w:lang w:bidi="fa-IR"/>
          <w:color w:val="111111"/>
          <w:sz w:val="28"/>
          <w:szCs w:val="28"/>
          <w:rtl/>
        </w:rPr>
        <w:t xml:space="preserve">ص 606) و کذا أستاذه فی (سرخوش- ص 96 و 6) و جاء شعره فی (مسرت- ص 544) و (حسینی- ص 284) و (سرو- ص 198) و (روشن- 586) عن شمع انجمن‏</w:t>
      </w:r>
    </w:p>
    <w:p>
      <w:pPr>
        <w:pStyle w:val="Heading3"/>
      </w:pPr>
      <w:bookmarkStart w:id="8134" w:name="_Toc6830"/>
      <w:r>
        <w:t>6144- دیوان گلشن أردکانی‏</w:t>
      </w:r>
      <w:bookmarkEnd w:id="8134"/>
    </w:p>
    <w:p>
      <w:pPr>
        <w:pStyle w:val="BookText"/>
      </w:pPr>
      <w:r>
        <w:rPr>
          <w:rFonts w:ascii="IRNazanin" w:hAnsi="IRNazanin" w:eastAsia="IRNazanin" w:cs="IRNazanin"/>
          <w:lang w:bidi="fa-IR"/>
          <w:color w:val="111111"/>
          <w:sz w:val="28"/>
          <w:szCs w:val="28"/>
          <w:rtl/>
        </w:rPr>
        <w:t xml:space="preserve">و اسمه عبد الوهاب گلشن إیرانپور ابن الحاج محمد حسین بن محمد علی الأردکانی ولد بأردکان من نواحی یزد فی رجب 1296 و مات بأصفهان فی 27 رجب 1356 و دفن بتخت فولاد له غیر الدیوان منظومتا دلکش و بریوش و عقل و جنون طبعا بطهران فی 1325 و رسالات سفر پنج روزه و آلمان‏نامه و نخجیرنامه و بهرام‏نامه و مناظرة مرگ و زندگی و داستان مشروطیت و مناظرة الکل و تریاک و نظم کلیلة و دمنة أی أنوار سهیلی و سماه گلشن‏آرا توجد نسخته فی (المجلس) کما فی فهرسها 3: 630 کلها فی 17700 بیت و نشر جریدة أختر مسعود بأصفهان من 12 جمادی الأولی 1338 إلی</w:t>
      </w:r>
    </w:p>
    <w:p>
      <w:pPr>
        <w:pStyle w:val="BookText"/>
      </w:pPr>
      <w:r>
        <w:rPr>
          <w:rFonts w:ascii="IRNazanin" w:hAnsi="IRNazanin" w:eastAsia="IRNazanin" w:cs="IRNazanin"/>
          <w:lang w:bidi="fa-IR"/>
          <w:color w:val="111111"/>
          <w:sz w:val="28"/>
          <w:szCs w:val="28"/>
          <w:rtl/>
        </w:rPr>
        <w:t xml:space="preserve">خمسة عشر سنة و طبع بعض شعره فی بمبئی کذا ترجمه فی تاریخ جرائد ایران ج 1- ص 70 و نامه سخنوران- ص 131 و (شعرای أصفهان- ص 402) و (تش یز- ص 326)</w:t>
      </w:r>
    </w:p>
    <w:p>
      <w:pPr>
        <w:pStyle w:val="Heading3"/>
      </w:pPr>
      <w:bookmarkStart w:id="8135" w:name="_Toc6831"/>
      <w:r>
        <w:t>6145- دیوان گلشن جونپوری‏</w:t>
      </w:r>
      <w:bookmarkEnd w:id="8135"/>
    </w:p>
    <w:p>
      <w:pPr>
        <w:pStyle w:val="BookText"/>
      </w:pPr>
      <w:r>
        <w:rPr>
          <w:rFonts w:ascii="IRNazanin" w:hAnsi="IRNazanin" w:eastAsia="IRNazanin" w:cs="IRNazanin"/>
          <w:lang w:bidi="fa-IR"/>
          <w:color w:val="111111"/>
          <w:sz w:val="28"/>
          <w:szCs w:val="28"/>
          <w:rtl/>
        </w:rPr>
        <w:t xml:space="preserve">و اسمه گلشن علی بن عطاء الله الأنصاری ولد بجونپور فی 1117 و مات 1200 و تلمذ علی والده و ثابت و شمس الدین فقیر و محمد علی الحزین، و صاحب علی قلی خان واله الداغستانی ترجمه و أورد شعره فی (نتایج- ص 608) و فی (روشن- ص 586) أن دیوانه خمسة آلاف بیت‏</w:t>
      </w:r>
    </w:p>
    <w:p>
      <w:pPr>
        <w:pStyle w:val="Heading3"/>
      </w:pPr>
      <w:bookmarkStart w:id="8136" w:name="_Toc6832"/>
      <w:r>
        <w:t>دیوان گلشن راز</w:t>
      </w:r>
      <w:bookmarkEnd w:id="8136"/>
    </w:p>
    <w:p>
      <w:pPr>
        <w:pStyle w:val="BookText"/>
      </w:pPr>
      <w:r>
        <w:rPr>
          <w:rFonts w:ascii="IRNazanin" w:hAnsi="IRNazanin" w:eastAsia="IRNazanin" w:cs="IRNazanin"/>
          <w:lang w:bidi="fa-IR"/>
          <w:color w:val="111111"/>
          <w:sz w:val="28"/>
          <w:szCs w:val="28"/>
          <w:rtl/>
        </w:rPr>
        <w:t xml:space="preserve">راجع گلشن راز و دیوان شبستری فی ص 506</w:t>
      </w:r>
    </w:p>
    <w:p>
      <w:pPr>
        <w:pStyle w:val="Heading3"/>
      </w:pPr>
      <w:bookmarkStart w:id="8137" w:name="_Toc6833"/>
      <w:r>
        <w:t>6146- دیوان گلشن شیرازی أو شعره‏</w:t>
      </w:r>
      <w:bookmarkEnd w:id="8137"/>
    </w:p>
    <w:p>
      <w:pPr>
        <w:pStyle w:val="BookText"/>
      </w:pPr>
      <w:r>
        <w:rPr>
          <w:rFonts w:ascii="IRNazanin" w:hAnsi="IRNazanin" w:eastAsia="IRNazanin" w:cs="IRNazanin"/>
          <w:lang w:bidi="fa-IR"/>
          <w:color w:val="111111"/>
          <w:sz w:val="28"/>
          <w:szCs w:val="28"/>
          <w:rtl/>
        </w:rPr>
        <w:t xml:space="preserve">و هو المیرزا محمد علی الشیرازی والد قاآنی المذکور فی ص 857 و جد شیخنا المیرزا محمد تقی بن المیرزا محب علی بن المیرزا محمد علی المتخلص بگلشن قال فی (مع 2: 426) أدرکته فی شبابی و هو کان من الشیبة محترما عند عظماء العصر أصله من إیل زنگنه فی کرمانشاه ثم نزل أصفهان ثم شیراز و أورد بعض شعره، و کذا فی (فارس‏نامه 2: 150)</w:t>
      </w:r>
    </w:p>
    <w:p>
      <w:pPr>
        <w:pStyle w:val="Heading3"/>
      </w:pPr>
      <w:bookmarkStart w:id="8138" w:name="_Toc6834"/>
      <w:r>
        <w:t>6147- دیوان گلشن گلپایگانی أو شعره‏</w:t>
      </w:r>
      <w:bookmarkEnd w:id="8138"/>
    </w:p>
    <w:p>
      <w:pPr>
        <w:pStyle w:val="BookText"/>
      </w:pPr>
      <w:r>
        <w:rPr>
          <w:rFonts w:ascii="IRNazanin" w:hAnsi="IRNazanin" w:eastAsia="IRNazanin" w:cs="IRNazanin"/>
          <w:lang w:bidi="fa-IR"/>
          <w:color w:val="111111"/>
          <w:sz w:val="28"/>
          <w:szCs w:val="28"/>
          <w:rtl/>
        </w:rPr>
        <w:t xml:space="preserve">و هو المیرزا محمد الخطاط بالنستعلیق ترجمه و أورد شعره معاصره فی (المآثر- ص 214) و (انجمن 4) و فی (مع 2: 429) قال إن بینه و بین الشیخ البهائی جده، سبعة آباء علماء عرفاء
</w:t>
      </w:r>
    </w:p>
    <w:p>
      <w:pPr>
        <w:sectPr>
          <w:footerReference w:type="default" r:id="rId942"/>
          <w:footnotePr>
            <w:numStart w:val="1"/>
            <w:numRestart w:val="eachPage"/>
          </w:footnotePr>
          <w:pgSz w:orient="portrait" w:w="11905.511811023622" w:h="16837.79527559055"/>
          <w:pgMar w:top="1440" w:right="1440" w:bottom="1440" w:left="1440" w:header="720" w:footer="720" w:gutter="0"/>
          <w:cols w:num="1" w:space="720"/>
        </w:sectPr>
      </w:pPr>
    </w:p>
    <w:bookmarkStart w:id="924" w:name="pg11704_122410"/>
    <w:bookmarkEnd w:id="924"/>
    <w:p>
      <w:pPr>
        <w:pStyle w:val="Heading3"/>
      </w:pPr>
      <w:bookmarkStart w:id="8139" w:name="_Toc6835"/>
      <w:r>
        <w:t>6148- دیوان گلشن لکهنوی‏</w:t>
      </w:r>
      <w:bookmarkEnd w:id="8139"/>
    </w:p>
    <w:p>
      <w:pPr>
        <w:pStyle w:val="BookText"/>
      </w:pPr>
      <w:r>
        <w:rPr>
          <w:rFonts w:ascii="IRNazanin" w:hAnsi="IRNazanin" w:eastAsia="IRNazanin" w:cs="IRNazanin"/>
          <w:lang w:bidi="fa-IR"/>
          <w:color w:val="111111"/>
          <w:sz w:val="28"/>
          <w:szCs w:val="28"/>
          <w:rtl/>
        </w:rPr>
        <w:t xml:space="preserve">و هو راجه جیالال کایتة أورد فی (گلشن- ص 349) شعره نقلا عن دیوانه‏</w:t>
      </w:r>
    </w:p>
    <w:p>
      <w:pPr>
        <w:pStyle w:val="Heading3"/>
      </w:pPr>
      <w:bookmarkStart w:id="8140" w:name="_Toc6836"/>
      <w:r>
        <w:t>6149- دیوان گلشن لکهنوی سندیلوی‏</w:t>
      </w:r>
      <w:bookmarkEnd w:id="8140"/>
    </w:p>
    <w:p>
      <w:pPr>
        <w:pStyle w:val="BookText"/>
      </w:pPr>
      <w:r>
        <w:rPr>
          <w:rFonts w:ascii="IRNazanin" w:hAnsi="IRNazanin" w:eastAsia="IRNazanin" w:cs="IRNazanin"/>
          <w:lang w:bidi="fa-IR"/>
          <w:color w:val="111111"/>
          <w:sz w:val="28"/>
          <w:szCs w:val="28"/>
          <w:rtl/>
        </w:rPr>
        <w:t xml:space="preserve">و اسمه رأی گلاب تلمذ علی قتیل أورد شعره فی (گلشن- ص 349) نقلا عن دیوانه الکبیر</w:t>
      </w:r>
    </w:p>
    <w:p>
      <w:pPr>
        <w:pStyle w:val="Heading3"/>
      </w:pPr>
      <w:bookmarkStart w:id="8141" w:name="_Toc6837"/>
      <w:r>
        <w:t>6150- دیوان گلشن مشهدی‏</w:t>
      </w:r>
      <w:bookmarkEnd w:id="8141"/>
    </w:p>
    <w:p>
      <w:pPr>
        <w:pStyle w:val="BookText"/>
      </w:pPr>
      <w:r>
        <w:rPr>
          <w:rFonts w:ascii="IRNazanin" w:hAnsi="IRNazanin" w:eastAsia="IRNazanin" w:cs="IRNazanin"/>
          <w:lang w:bidi="fa-IR"/>
          <w:color w:val="111111"/>
          <w:sz w:val="28"/>
          <w:szCs w:val="28"/>
          <w:rtl/>
        </w:rPr>
        <w:t xml:space="preserve">و اسمه علی أکبر بن محمد بن بمان علی الیزدی الأصل جاء جده إلی مشهد و نشا هو هناک و طبع دیوانه بمشهد خراسان فی 1372 بعنوان دیوان گلشن آزادی فی 302 ص مع فهرس و مقدمه فی أحوال نفسه و هو صاحب جریدة آزادی التی انتشرت من 1344 إلی 1357 و نفاه والی خراسان دادور إلی کلات ثم رجع و له أشعار حماسیة غیر مطبوعة فی دیوانه منها ما جاء فی تاریخ جرائد ایران- ج 1- ص 147- 148 فی رثاء کلنل محمد تقی خان الذی قام فی خراسان لحمایة الدستور الإیرانی فقتلته حکومة طهران و ترجم أیضا فی سخنوران نامی معاصر- 2: 222</w:t>
      </w:r>
    </w:p>
    <w:p>
      <w:pPr>
        <w:pStyle w:val="Heading3"/>
      </w:pPr>
      <w:bookmarkStart w:id="8142" w:name="_Toc6838"/>
      <w:r>
        <w:t>6151- دیوان گلشنی بردعی‏</w:t>
      </w:r>
      <w:bookmarkEnd w:id="8142"/>
    </w:p>
    <w:p>
      <w:pPr>
        <w:pStyle w:val="BookText"/>
      </w:pPr>
      <w:r>
        <w:rPr>
          <w:rFonts w:ascii="IRNazanin" w:hAnsi="IRNazanin" w:eastAsia="IRNazanin" w:cs="IRNazanin"/>
          <w:lang w:bidi="fa-IR"/>
          <w:color w:val="111111"/>
          <w:sz w:val="28"/>
          <w:szCs w:val="28"/>
          <w:rtl/>
        </w:rPr>
        <w:t xml:space="preserve">إبراهیم بن محمد بن الحاج إبراهیم بن شهاب الدین البردعی ولد بها 830 و تلمذ علی عمه السید علی و نزل تبریز و تلمذ علی دده عمر روشنی و بأمره بدل تخلصه هیبتی إلی گلشنی و خلفه بعد موته و بعد ظهور الشاه إسماعیل فی 905 فر إلی مصر و نزل قبة المصطفی بالقاهرة، و بعد فتح مصر بید السلطان سلیم فی 922 أکرمه ثم نزل إستانبول و بها مات فی 840 و له قصائد عربیة منها ما نظمه فی قبال تائیة ابن الفارض و دیوانه یشتمل علی الفارسی و الترکی و العربی و له مثنوی المعنویة الخفیة نظمه فی 912 فی أربعین ألف بیت موجودة فی (سپهسالار- 187) و له أزهار گلشن موجودة فی (المجلس) کما فی فهرسها 3: 593 فارسیة و ترجمه فی (دجا- ص 318- 320) و ذکر دیوانه فی کشف الظنون‏</w:t>
      </w:r>
    </w:p>
    <w:p>
      <w:pPr>
        <w:pStyle w:val="Heading3"/>
      </w:pPr>
      <w:bookmarkStart w:id="8143" w:name="_Toc6839"/>
      <w:r>
        <w:t>دیوان گلشن یزدی‏</w:t>
      </w:r>
      <w:bookmarkEnd w:id="8143"/>
    </w:p>
    <w:p>
      <w:pPr>
        <w:pStyle w:val="BookText"/>
      </w:pPr>
      <w:r>
        <w:rPr>
          <w:rFonts w:ascii="IRNazanin" w:hAnsi="IRNazanin" w:eastAsia="IRNazanin" w:cs="IRNazanin"/>
          <w:lang w:bidi="fa-IR"/>
          <w:color w:val="111111"/>
          <w:sz w:val="28"/>
          <w:szCs w:val="28"/>
          <w:rtl/>
        </w:rPr>
        <w:t xml:space="preserve">راجع گلشن أردکانی و گلشن مشهدی‏</w:t>
      </w:r>
    </w:p>
    <w:p>
      <w:pPr>
        <w:pStyle w:val="Heading3"/>
      </w:pPr>
      <w:bookmarkStart w:id="8144" w:name="_Toc6840"/>
      <w:r>
        <w:t>6152- دیوان گلشنی شبستری التبریزی الفراء</w:t>
      </w:r>
      <w:bookmarkEnd w:id="8144"/>
    </w:p>
    <w:p>
      <w:pPr>
        <w:pStyle w:val="BookText"/>
      </w:pPr>
      <w:r>
        <w:rPr>
          <w:rFonts w:ascii="IRNazanin" w:hAnsi="IRNazanin" w:eastAsia="IRNazanin" w:cs="IRNazanin"/>
          <w:lang w:bidi="fa-IR"/>
          <w:color w:val="111111"/>
          <w:sz w:val="28"/>
          <w:szCs w:val="28"/>
          <w:rtl/>
        </w:rPr>
        <w:t xml:space="preserve">ترجمه سام میرزا فی (تس 5- ص 142) و قال إنه خیاط الفراء فی تبریز، و أورد شعره‏</w:t>
      </w:r>
    </w:p>
    <w:p>
      <w:pPr>
        <w:pStyle w:val="Heading3"/>
      </w:pPr>
      <w:bookmarkStart w:id="8145" w:name="_Toc6841"/>
      <w:r>
        <w:t>دیوان گلشنی شبستری‏</w:t>
      </w:r>
      <w:bookmarkEnd w:id="8145"/>
    </w:p>
    <w:p>
      <w:pPr>
        <w:pStyle w:val="BookText"/>
      </w:pPr>
      <w:r>
        <w:rPr>
          <w:rFonts w:ascii="IRNazanin" w:hAnsi="IRNazanin" w:eastAsia="IRNazanin" w:cs="IRNazanin"/>
          <w:lang w:bidi="fa-IR"/>
          <w:color w:val="111111"/>
          <w:sz w:val="28"/>
          <w:szCs w:val="28"/>
          <w:rtl/>
        </w:rPr>
        <w:t xml:space="preserve">نائب القاضی فی تبریز ترجمه فی (دجا- ص 320) نقلا
</w:t>
      </w:r>
    </w:p>
    <w:p>
      <w:pPr>
        <w:sectPr>
          <w:footerReference w:type="default" r:id="rId943"/>
          <w:footnotePr>
            <w:numStart w:val="1"/>
            <w:numRestart w:val="eachPage"/>
          </w:footnotePr>
          <w:pgSz w:orient="portrait" w:w="11905.511811023622" w:h="16837.79527559055"/>
          <w:pgMar w:top="1440" w:right="1440" w:bottom="1440" w:left="1440" w:header="720" w:footer="720" w:gutter="0"/>
          <w:cols w:num="1" w:space="720"/>
        </w:sectPr>
      </w:pPr>
    </w:p>
    <w:bookmarkStart w:id="925" w:name="pg11704_122411"/>
    <w:bookmarkEnd w:id="925"/>
    <w:p>
      <w:pPr>
        <w:pStyle w:val="BookText"/>
      </w:pPr>
      <w:r>
        <w:rPr>
          <w:rFonts w:ascii="IRNazanin" w:hAnsi="IRNazanin" w:eastAsia="IRNazanin" w:cs="IRNazanin"/>
          <w:lang w:bidi="fa-IR"/>
          <w:color w:val="111111"/>
          <w:sz w:val="28"/>
          <w:szCs w:val="28"/>
          <w:rtl/>
        </w:rPr>
        <w:t xml:space="preserve">عن تحفه سامی و أورد له شعرا غیر ما ذکره سام میرزا لخیاط الفراء، فلعله ترجمه أخری لیست فی نسخه التحفة المطبوعة و إن کان الظاهر اتحادهما</w:t>
      </w:r>
    </w:p>
    <w:p>
      <w:pPr>
        <w:pStyle w:val="Heading3"/>
      </w:pPr>
      <w:bookmarkStart w:id="8146" w:name="_Toc6842"/>
      <w:r>
        <w:t>6153- دیوان گلشنی شیرازی أو شعره‏</w:t>
      </w:r>
      <w:bookmarkEnd w:id="8146"/>
    </w:p>
    <w:p>
      <w:pPr>
        <w:pStyle w:val="BookText"/>
      </w:pPr>
      <w:r>
        <w:rPr>
          <w:rFonts w:ascii="IRNazanin" w:hAnsi="IRNazanin" w:eastAsia="IRNazanin" w:cs="IRNazanin"/>
          <w:lang w:bidi="fa-IR"/>
          <w:color w:val="111111"/>
          <w:sz w:val="28"/>
          <w:szCs w:val="28"/>
          <w:rtl/>
        </w:rPr>
        <w:t xml:space="preserve">کان خطاطا، ترجمه سام میرزا فی (تس 5- ص 157) کما فی فهرسه المطبوع، و لکن فی متن الکتاب الکاشی بدل الشیرازی و الظاهر أنه من غلط النسخة، و الکاشی غیره کما یأتی و قال إن الأطفال یتعلمون منه الخط و أورد شعره و لعله متحد مع ما بعده‏</w:t>
      </w:r>
    </w:p>
    <w:p>
      <w:pPr>
        <w:pStyle w:val="Heading3"/>
      </w:pPr>
      <w:bookmarkStart w:id="8147" w:name="_Toc6843"/>
      <w:r>
        <w:t>6154- دیوان گلشنی شیرازی أو شعره‏</w:t>
      </w:r>
      <w:bookmarkEnd w:id="8147"/>
    </w:p>
    <w:p>
      <w:pPr>
        <w:pStyle w:val="BookText"/>
      </w:pPr>
      <w:r>
        <w:rPr>
          <w:rFonts w:ascii="IRNazanin" w:hAnsi="IRNazanin" w:eastAsia="IRNazanin" w:cs="IRNazanin"/>
          <w:lang w:bidi="fa-IR"/>
          <w:color w:val="111111"/>
          <w:sz w:val="28"/>
          <w:szCs w:val="28"/>
          <w:rtl/>
        </w:rPr>
        <w:t xml:space="preserve">ترجمه و أورد شعره فی (گلشن- ص 349) و قال سافر إلی الهند فی عهد جهانگیر</w:t>
      </w:r>
    </w:p>
    <w:p>
      <w:pPr>
        <w:pStyle w:val="Heading3"/>
      </w:pPr>
      <w:bookmarkStart w:id="8148" w:name="_Toc6844"/>
      <w:r>
        <w:t>6155- دیوان گلشنی کاشانی أو شعره‏</w:t>
      </w:r>
      <w:bookmarkEnd w:id="8148"/>
    </w:p>
    <w:p>
      <w:pPr>
        <w:pStyle w:val="BookText"/>
      </w:pPr>
      <w:r>
        <w:rPr>
          <w:rFonts w:ascii="IRNazanin" w:hAnsi="IRNazanin" w:eastAsia="IRNazanin" w:cs="IRNazanin"/>
          <w:lang w:bidi="fa-IR"/>
          <w:color w:val="111111"/>
          <w:sz w:val="28"/>
          <w:szCs w:val="28"/>
          <w:rtl/>
        </w:rPr>
        <w:t xml:space="preserve">کان بیاع المشک أولا ثم غلب علیه شوق الشعر فسافر لزیارة العراق، و لما رجع مر إلی تستر فأهوی شابا هناک فبقی بها حتی الیوم کذا ذکره سام میرزا فی (تس 5- 133) و همیشه بهار و راجع دیوان گلشنی شیرازی‏</w:t>
      </w:r>
    </w:p>
    <w:p>
      <w:pPr>
        <w:pStyle w:val="Heading3"/>
      </w:pPr>
      <w:bookmarkStart w:id="8149" w:name="_Toc6845"/>
      <w:r>
        <w:t>6156- دیوان گل‏محمد نقشبندی‏</w:t>
      </w:r>
      <w:bookmarkEnd w:id="8149"/>
    </w:p>
    <w:p>
      <w:pPr>
        <w:pStyle w:val="BookText"/>
      </w:pPr>
      <w:r>
        <w:rPr>
          <w:rFonts w:ascii="IRNazanin" w:hAnsi="IRNazanin" w:eastAsia="IRNazanin" w:cs="IRNazanin"/>
          <w:lang w:bidi="fa-IR"/>
          <w:color w:val="111111"/>
          <w:sz w:val="28"/>
          <w:szCs w:val="28"/>
          <w:rtl/>
        </w:rPr>
        <w:t xml:space="preserve">ترجمه و أورد شعره فی مقالات الشعراء- ص 692) و طبع منظومة إلهی‏نامه لگل‏محمد صاحب عالی فی الهند فی 1891 م‏</w:t>
      </w:r>
    </w:p>
    <w:p>
      <w:pPr>
        <w:pStyle w:val="Heading3"/>
      </w:pPr>
      <w:bookmarkStart w:id="8150" w:name="_Toc6846"/>
      <w:r>
        <w:t>6157- دیوان گم نام تفرشی‏</w:t>
      </w:r>
      <w:bookmarkEnd w:id="8150"/>
    </w:p>
    <w:p>
      <w:pPr>
        <w:pStyle w:val="BookText"/>
      </w:pPr>
      <w:r>
        <w:rPr>
          <w:rFonts w:ascii="IRNazanin" w:hAnsi="IRNazanin" w:eastAsia="IRNazanin" w:cs="IRNazanin"/>
          <w:lang w:bidi="fa-IR"/>
          <w:color w:val="111111"/>
          <w:sz w:val="28"/>
          <w:szCs w:val="28"/>
          <w:rtl/>
        </w:rPr>
        <w:t xml:space="preserve">و هو المیرزا حسین خان الملقب ب مرصع‏پوش رئیس الفرقة الذهبیة بأردبیل و حاکمها و مات هناک فی أول رمضان 1334 و کتب محسن حالی أردبیلی المذکور فی ص 226 رسالة فی أحواله طبعت فی 1351 بشیراز و طبع دیوانه فی 158 ص‏</w:t>
      </w:r>
    </w:p>
    <w:p>
      <w:pPr>
        <w:pStyle w:val="Heading3"/>
      </w:pPr>
      <w:bookmarkStart w:id="8151" w:name="_Toc6847"/>
      <w:r>
        <w:t>6158- دیوان گم نام هندی‏</w:t>
      </w:r>
      <w:bookmarkEnd w:id="8151"/>
    </w:p>
    <w:p>
      <w:pPr>
        <w:pStyle w:val="BookText"/>
      </w:pPr>
      <w:r>
        <w:rPr>
          <w:rFonts w:ascii="IRNazanin" w:hAnsi="IRNazanin" w:eastAsia="IRNazanin" w:cs="IRNazanin"/>
          <w:lang w:bidi="fa-IR"/>
          <w:color w:val="111111"/>
          <w:sz w:val="28"/>
          <w:szCs w:val="28"/>
          <w:rtl/>
        </w:rPr>
        <w:t xml:space="preserve">و هو محمد جمال الدین بن وحید الدین بن محیی الدین من أمراء بهوپال أورد شعره نقلا عن دیوانه فی (روشن- ص 588- 593) مع الإطراء و قال إن عمره ثمانین سنة</w:t>
      </w:r>
    </w:p>
    <w:p>
      <w:pPr>
        <w:pStyle w:val="Heading3"/>
      </w:pPr>
      <w:bookmarkStart w:id="8152" w:name="_Toc6848"/>
      <w:r>
        <w:t>6159- دیوان گنابیگم هندی‏</w:t>
      </w:r>
      <w:bookmarkEnd w:id="8152"/>
    </w:p>
    <w:p>
      <w:pPr>
        <w:pStyle w:val="BookText"/>
      </w:pPr>
      <w:r>
        <w:rPr>
          <w:rFonts w:ascii="IRNazanin" w:hAnsi="IRNazanin" w:eastAsia="IRNazanin" w:cs="IRNazanin"/>
          <w:lang w:bidi="fa-IR"/>
          <w:color w:val="111111"/>
          <w:sz w:val="28"/>
          <w:szCs w:val="28"/>
          <w:rtl/>
        </w:rPr>
        <w:t xml:space="preserve">أو شعرها هی بنت علی قلی خان واله الداغستانی و زوجة اعتماد الدولة غازی قال فی (گلشن- ص 350) إنها لصغر جسمها لقبت به ب نه‏سیری و أورد شعرها فی از رابعة تا پروین- ص 189 نقلا عن تذکره شعراء دکن و فی تذکره الخواتین- ص 158 أن لها أشعار فارسیة و أردویة
</w:t>
      </w:r>
    </w:p>
    <w:p>
      <w:pPr>
        <w:sectPr>
          <w:footerReference w:type="default" r:id="rId944"/>
          <w:footnotePr>
            <w:numStart w:val="1"/>
            <w:numRestart w:val="eachPage"/>
          </w:footnotePr>
          <w:pgSz w:orient="portrait" w:w="11905.511811023622" w:h="16837.79527559055"/>
          <w:pgMar w:top="1440" w:right="1440" w:bottom="1440" w:left="1440" w:header="720" w:footer="720" w:gutter="0"/>
          <w:cols w:num="1" w:space="720"/>
        </w:sectPr>
      </w:pPr>
    </w:p>
    <w:bookmarkStart w:id="926" w:name="pg11704_122412"/>
    <w:bookmarkEnd w:id="926"/>
    <w:p>
      <w:pPr>
        <w:pStyle w:val="Heading3"/>
      </w:pPr>
      <w:bookmarkStart w:id="8153" w:name="_Toc6849"/>
      <w:r>
        <w:t>دیوان گنجوی‏</w:t>
      </w:r>
      <w:bookmarkEnd w:id="8153"/>
    </w:p>
    <w:p>
      <w:pPr>
        <w:pStyle w:val="BookText"/>
      </w:pPr>
      <w:r>
        <w:rPr>
          <w:rFonts w:ascii="IRNazanin" w:hAnsi="IRNazanin" w:eastAsia="IRNazanin" w:cs="IRNazanin"/>
          <w:lang w:bidi="fa-IR"/>
          <w:color w:val="111111"/>
          <w:sz w:val="28"/>
          <w:szCs w:val="28"/>
          <w:rtl/>
        </w:rPr>
        <w:t xml:space="preserve">راجع الگنجی و أبی العلاء الگنجی و نظامی الگنجوی‏</w:t>
      </w:r>
    </w:p>
    <w:p>
      <w:pPr>
        <w:pStyle w:val="Heading3"/>
      </w:pPr>
      <w:bookmarkStart w:id="8154" w:name="_Toc6850"/>
      <w:r>
        <w:t>6160- دیوان گنجی آذربایجانی أو شعره‏</w:t>
      </w:r>
      <w:bookmarkEnd w:id="8154"/>
    </w:p>
    <w:p>
      <w:pPr>
        <w:pStyle w:val="BookText"/>
      </w:pPr>
      <w:r>
        <w:rPr>
          <w:rFonts w:ascii="IRNazanin" w:hAnsi="IRNazanin" w:eastAsia="IRNazanin" w:cs="IRNazanin"/>
          <w:lang w:bidi="fa-IR"/>
          <w:color w:val="111111"/>
          <w:sz w:val="28"/>
          <w:szCs w:val="28"/>
          <w:rtl/>
        </w:rPr>
        <w:t xml:space="preserve">هو من شعراء القرن الثالث عشر ترجمه فی (دجا- 320) نقلا عن حدیقة الشعراء</w:t>
      </w:r>
    </w:p>
    <w:p>
      <w:pPr>
        <w:pStyle w:val="Heading3"/>
      </w:pPr>
      <w:bookmarkStart w:id="8155" w:name="_Toc6851"/>
      <w:r>
        <w:t>6161- دیوان گنجی جرفادقانی أو شعره‏</w:t>
      </w:r>
      <w:bookmarkEnd w:id="8155"/>
    </w:p>
    <w:p>
      <w:pPr>
        <w:pStyle w:val="BookText"/>
      </w:pPr>
      <w:r>
        <w:rPr>
          <w:rFonts w:ascii="IRNazanin" w:hAnsi="IRNazanin" w:eastAsia="IRNazanin" w:cs="IRNazanin"/>
          <w:lang w:bidi="fa-IR"/>
          <w:color w:val="111111"/>
          <w:sz w:val="28"/>
          <w:szCs w:val="28"/>
          <w:rtl/>
        </w:rPr>
        <w:t xml:space="preserve">کان معاصر النصرآبادی، و توفی قبل تألیف تذکرته بسنة کما ذکره فی (نر 9- ص 394) و أورد نیفا و عشرة من شعره و کذا فی (گلشن- ص 350)</w:t>
      </w:r>
    </w:p>
    <w:p>
      <w:pPr>
        <w:pStyle w:val="Heading3"/>
      </w:pPr>
      <w:bookmarkStart w:id="8156" w:name="_Toc6852"/>
      <w:r>
        <w:t>6162- دیوان گوهر آذربایجانی‏</w:t>
      </w:r>
      <w:bookmarkEnd w:id="8156"/>
    </w:p>
    <w:p>
      <w:pPr>
        <w:pStyle w:val="BookText"/>
      </w:pPr>
      <w:r>
        <w:rPr>
          <w:rFonts w:ascii="IRNazanin" w:hAnsi="IRNazanin" w:eastAsia="IRNazanin" w:cs="IRNazanin"/>
          <w:lang w:bidi="fa-IR"/>
          <w:color w:val="111111"/>
          <w:sz w:val="28"/>
          <w:szCs w:val="28"/>
          <w:rtl/>
        </w:rPr>
        <w:t xml:space="preserve">أو شعرها و اسمها گوهر بیگم أورد شعرها فی (دجا- ص 320) عن خیرات إحسان- ج 3- ص 47 و از رابعة تا پروین- ص 190 و فی أعلام النساء- ص 1340 لعمر رضا الکحالة إنها أشعر شواعر الفرس، و لیس بصحیح‏</w:t>
      </w:r>
    </w:p>
    <w:p>
      <w:pPr>
        <w:pStyle w:val="Heading3"/>
      </w:pPr>
      <w:bookmarkStart w:id="8157" w:name="_Toc6853"/>
      <w:r>
        <w:t>6163- دیوان گوهر أصفهانی أو شعره‏</w:t>
      </w:r>
      <w:bookmarkEnd w:id="8157"/>
    </w:p>
    <w:p>
      <w:pPr>
        <w:pStyle w:val="BookText"/>
      </w:pPr>
      <w:r>
        <w:rPr>
          <w:rFonts w:ascii="IRNazanin" w:hAnsi="IRNazanin" w:eastAsia="IRNazanin" w:cs="IRNazanin"/>
          <w:lang w:bidi="fa-IR"/>
          <w:color w:val="111111"/>
          <w:sz w:val="28"/>
          <w:szCs w:val="28"/>
          <w:rtl/>
        </w:rPr>
        <w:t xml:space="preserve">و هو إبراهیم بن إسماعیل الکوهپایه‏ای ابن حسن بن إسماعیل الأصفهانی ولد بها فی جمادی الأولی 1342 و نشا بها و ألف علوم و عقائد و تاریخ تجدید حیات ایران أورد شعره فی (شعرای أصفهان- ص 406)</w:t>
      </w:r>
    </w:p>
    <w:p>
      <w:pPr>
        <w:pStyle w:val="Heading3"/>
      </w:pPr>
      <w:bookmarkStart w:id="8158" w:name="_Toc6854"/>
      <w:r>
        <w:t>دیوان گوهر خاوری‏</w:t>
      </w:r>
      <w:bookmarkEnd w:id="8158"/>
    </w:p>
    <w:p>
      <w:pPr>
        <w:pStyle w:val="BookText"/>
      </w:pPr>
      <w:r>
        <w:rPr>
          <w:rFonts w:ascii="IRNazanin" w:hAnsi="IRNazanin" w:eastAsia="IRNazanin" w:cs="IRNazanin"/>
          <w:lang w:bidi="fa-IR"/>
          <w:color w:val="111111"/>
          <w:sz w:val="28"/>
          <w:szCs w:val="28"/>
          <w:rtl/>
        </w:rPr>
        <w:t xml:space="preserve">مر بعنوان دانش تبریزی طبع فی 209 ص فی 1323</w:t>
      </w:r>
    </w:p>
    <w:p>
      <w:pPr>
        <w:pStyle w:val="Heading3"/>
      </w:pPr>
      <w:bookmarkStart w:id="8159" w:name="_Toc6855"/>
      <w:r>
        <w:t>6164- دیوان گوهر کرمانی‏</w:t>
      </w:r>
      <w:bookmarkEnd w:id="8159"/>
    </w:p>
    <w:p>
      <w:pPr>
        <w:pStyle w:val="BookText"/>
      </w:pPr>
      <w:r>
        <w:rPr>
          <w:rFonts w:ascii="IRNazanin" w:hAnsi="IRNazanin" w:eastAsia="IRNazanin" w:cs="IRNazanin"/>
          <w:lang w:bidi="fa-IR"/>
          <w:color w:val="111111"/>
          <w:sz w:val="28"/>
          <w:szCs w:val="28"/>
          <w:rtl/>
        </w:rPr>
        <w:t xml:space="preserve">الخطیب الطبیب بها ترجمه فی (مع: ج 2 ص 429) و ذکر عیادته له أوان مرضه بکرمان و إنه توفی قبل سنین من تألیف مجمع الفصحاء و أورد ما حضره من قصیدته المصنوعة التی نظمها فی معارضة عبد الواسع الجبلی و الأمیر خسرو الدهلوی‏</w:t>
      </w:r>
    </w:p>
    <w:p>
      <w:pPr>
        <w:pStyle w:val="Heading3"/>
      </w:pPr>
      <w:bookmarkStart w:id="8160" w:name="_Toc6856"/>
      <w:r>
        <w:t>6165- دیوان گوهر قاجار</w:t>
      </w:r>
      <w:bookmarkEnd w:id="8160"/>
    </w:p>
    <w:p>
      <w:pPr>
        <w:pStyle w:val="BookText"/>
      </w:pPr>
      <w:r>
        <w:rPr>
          <w:rFonts w:ascii="IRNazanin" w:hAnsi="IRNazanin" w:eastAsia="IRNazanin" w:cs="IRNazanin"/>
          <w:lang w:bidi="fa-IR"/>
          <w:color w:val="111111"/>
          <w:sz w:val="28"/>
          <w:szCs w:val="28"/>
          <w:rtl/>
        </w:rPr>
        <w:t xml:space="preserve">هی شمس الشعراء الحاجیة گوهر بنت موسی خان قاجار و أمها طیفون بنت الفتح علی شاه طبع دیوانها بطهران فی 1319- 1320 بأمر أحمد خان فاتح الملک، و بخط إسماعیل بن أحمد الخوانساری، و یقرب من ستة آلاف بیت، یشتمل علی الغزل و القصائد فی المدائح و المقطعات و المثنویات و الترجیعات و الرباعیات و غیرها، بعنوان گوهریة ترجمها فی خیرات حسان و قال کانت عالمة بالنجوم و الأدب و غیرهما، و عنه أخذ فی از رابعة تا پروین- ص 191 و قال إنها تلمذت علی القاآنی و إنها أشعر شواعر الفرس، و لکنه لیس بصحیح أیضا</w:t>
      </w:r>
    </w:p>
    <w:p>
      <w:pPr>
        <w:pStyle w:val="Heading3"/>
      </w:pPr>
      <w:bookmarkStart w:id="8161" w:name="_Toc6857"/>
      <w:r>
        <w:t>6166- دیوان گوهر مدراسی‏</w:t>
      </w:r>
      <w:bookmarkEnd w:id="8161"/>
    </w:p>
    <w:p>
      <w:pPr>
        <w:pStyle w:val="BookText"/>
      </w:pPr>
      <w:r>
        <w:rPr>
          <w:rFonts w:ascii="IRNazanin" w:hAnsi="IRNazanin" w:eastAsia="IRNazanin" w:cs="IRNazanin"/>
          <w:lang w:bidi="fa-IR"/>
          <w:color w:val="111111"/>
          <w:sz w:val="28"/>
          <w:szCs w:val="28"/>
          <w:rtl/>
        </w:rPr>
        <w:t xml:space="preserve">و هو محمد باقر خان من قوم نایطه ترجمه و أورد
</w:t>
      </w:r>
    </w:p>
    <w:p>
      <w:pPr>
        <w:sectPr>
          <w:footerReference w:type="default" r:id="rId945"/>
          <w:footnotePr>
            <w:numStart w:val="1"/>
            <w:numRestart w:val="eachPage"/>
          </w:footnotePr>
          <w:pgSz w:orient="portrait" w:w="11905.511811023622" w:h="16837.79527559055"/>
          <w:pgMar w:top="1440" w:right="1440" w:bottom="1440" w:left="1440" w:header="720" w:footer="720" w:gutter="0"/>
          <w:cols w:num="1" w:space="720"/>
        </w:sectPr>
      </w:pPr>
    </w:p>
    <w:bookmarkStart w:id="927" w:name="pg11704_122413"/>
    <w:bookmarkEnd w:id="927"/>
    <w:p>
      <w:pPr>
        <w:pStyle w:val="BookText"/>
      </w:pPr>
      <w:r>
        <w:rPr>
          <w:rFonts w:ascii="IRNazanin" w:hAnsi="IRNazanin" w:eastAsia="IRNazanin" w:cs="IRNazanin"/>
          <w:lang w:bidi="fa-IR"/>
          <w:color w:val="111111"/>
          <w:sz w:val="28"/>
          <w:szCs w:val="28"/>
          <w:rtl/>
        </w:rPr>
        <w:t xml:space="preserve">شعره فی (نتایج- ص 609) قال و مات فی أواخر القرن الثانی عشر یوجد دیوانه فی (المجلس) کما فی فهرسها 3: 393 مصححة بقلم الشاعر نفسه، کلها فی ألف بیت‏</w:t>
      </w:r>
    </w:p>
    <w:p>
      <w:pPr>
        <w:pStyle w:val="Heading3"/>
      </w:pPr>
      <w:bookmarkStart w:id="8162" w:name="_Toc6858"/>
      <w:r>
        <w:t>6167- دیوان گوهری‏</w:t>
      </w:r>
      <w:bookmarkEnd w:id="8162"/>
    </w:p>
    <w:p>
      <w:pPr>
        <w:pStyle w:val="BookText"/>
      </w:pPr>
      <w:r>
        <w:rPr>
          <w:rFonts w:ascii="IRNazanin" w:hAnsi="IRNazanin" w:eastAsia="IRNazanin" w:cs="IRNazanin"/>
          <w:lang w:bidi="fa-IR"/>
          <w:color w:val="111111"/>
          <w:sz w:val="28"/>
          <w:szCs w:val="28"/>
          <w:rtl/>
        </w:rPr>
        <w:t xml:space="preserve">اسمه الذریعة الرضویة کما ذکر فی ج 10 ص 30 و یوجد عند (الملک)</w:t>
      </w:r>
    </w:p>
    <w:p>
      <w:pPr>
        <w:pStyle w:val="Heading3"/>
      </w:pPr>
      <w:bookmarkStart w:id="8163" w:name="_Toc6859"/>
      <w:r>
        <w:t>6168- دیوان گویای أصفهانی‏</w:t>
      </w:r>
      <w:bookmarkEnd w:id="8163"/>
    </w:p>
    <w:p>
      <w:pPr>
        <w:pStyle w:val="BookText"/>
      </w:pPr>
      <w:r>
        <w:rPr>
          <w:rFonts w:ascii="IRNazanin" w:hAnsi="IRNazanin" w:eastAsia="IRNazanin" w:cs="IRNazanin"/>
          <w:lang w:bidi="fa-IR"/>
          <w:color w:val="111111"/>
          <w:sz w:val="28"/>
          <w:szCs w:val="28"/>
          <w:rtl/>
        </w:rPr>
        <w:t xml:space="preserve">و اسمه المیرزا صادق ابن أخ المیر أبی المعالی و زوج ابنته. هاجر إلی کاشان و بها توفی کما ترجمه النصرآبادی فی (نر 5- ص 112) و أورد بعض شعره.</w:t>
      </w:r>
    </w:p>
    <w:p>
      <w:pPr>
        <w:pStyle w:val="Heading3"/>
      </w:pPr>
      <w:bookmarkStart w:id="8164" w:name="_Toc6860"/>
      <w:r>
        <w:t>6169- دیوان گویای بواناتی‏</w:t>
      </w:r>
      <w:bookmarkEnd w:id="8164"/>
    </w:p>
    <w:p>
      <w:pPr>
        <w:pStyle w:val="BookText"/>
      </w:pPr>
      <w:r>
        <w:rPr>
          <w:rFonts w:ascii="IRNazanin" w:hAnsi="IRNazanin" w:eastAsia="IRNazanin" w:cs="IRNazanin"/>
          <w:lang w:bidi="fa-IR"/>
          <w:color w:val="111111"/>
          <w:sz w:val="28"/>
          <w:szCs w:val="28"/>
          <w:rtl/>
        </w:rPr>
        <w:t xml:space="preserve">کان من بوانات فی نواحی شیراز و اسمه المیرزا محمد. قال النصرآبادی فی (نر 9- ص 401) إنه و أخویه کانوا من خواص المیرزا ملک المشرفی و تعلموا منه صنائع جیدة و سافر هذا إلی الهند و رجع و سافر ثانیا إلیها و مات بها. و دیوانه یقرب من أربعة آلاف بیت.</w:t>
      </w:r>
    </w:p>
    <w:p>
      <w:pPr>
        <w:pStyle w:val="Heading3"/>
      </w:pPr>
      <w:bookmarkStart w:id="8165" w:name="_Toc6861"/>
      <w:r>
        <w:t>6170- دیوان گویای تبریزی‏</w:t>
      </w:r>
      <w:bookmarkEnd w:id="8165"/>
    </w:p>
    <w:p>
      <w:pPr>
        <w:pStyle w:val="BookText"/>
      </w:pPr>
      <w:r>
        <w:rPr>
          <w:rFonts w:ascii="IRNazanin" w:hAnsi="IRNazanin" w:eastAsia="IRNazanin" w:cs="IRNazanin"/>
          <w:lang w:bidi="fa-IR"/>
          <w:color w:val="111111"/>
          <w:sz w:val="28"/>
          <w:szCs w:val="28"/>
          <w:rtl/>
        </w:rPr>
        <w:t xml:space="preserve">و اسمه کامران میرزا و اسم أخیه داراب جویا المذکور فی ص 212 قال فی (دجا- ص 320) إن له دیوان و مثنوی. و طبع دیوان گویا بلاهور باسم بندگی‏نامه فی 32 ص. فی 1912 م. إلی 1920 م. أربع مرات کما فی فهرس اندیاافیس- ص 109.</w:t>
      </w:r>
    </w:p>
    <w:p>
      <w:pPr>
        <w:pStyle w:val="Heading3"/>
      </w:pPr>
      <w:bookmarkStart w:id="8166" w:name="_Toc6862"/>
      <w:r>
        <w:t>6171- دیوان گویای لکهنوی‏</w:t>
      </w:r>
      <w:bookmarkEnd w:id="8166"/>
    </w:p>
    <w:p>
      <w:pPr>
        <w:pStyle w:val="BookText"/>
      </w:pPr>
      <w:r>
        <w:rPr>
          <w:rFonts w:ascii="IRNazanin" w:hAnsi="IRNazanin" w:eastAsia="IRNazanin" w:cs="IRNazanin"/>
          <w:lang w:bidi="fa-IR"/>
          <w:color w:val="111111"/>
          <w:sz w:val="28"/>
          <w:szCs w:val="28"/>
          <w:rtl/>
        </w:rPr>
        <w:t xml:space="preserve">و اسمه فقیر محمد خان حسام الدولة الأفغانی.</w:t>
      </w:r>
    </w:p>
    <w:p>
      <w:pPr>
        <w:pStyle w:val="BookText"/>
      </w:pPr>
      <w:r>
        <w:rPr>
          <w:rFonts w:ascii="IRNazanin" w:hAnsi="IRNazanin" w:eastAsia="IRNazanin" w:cs="IRNazanin"/>
          <w:lang w:bidi="fa-IR"/>
          <w:color w:val="111111"/>
          <w:sz w:val="28"/>
          <w:szCs w:val="28"/>
          <w:rtl/>
        </w:rPr>
        <w:t xml:space="preserve">مات 1265 له دیوان بالأردویة و له ترجمه کلیلة و دمنة.</w:t>
      </w:r>
    </w:p>
    <w:p>
      <w:pPr>
        <w:pStyle w:val="Heading3"/>
      </w:pPr>
      <w:bookmarkStart w:id="8167" w:name="_Toc6863"/>
      <w:r>
        <w:t>6172- دیوان گیسو دراز</w:t>
      </w:r>
      <w:bookmarkEnd w:id="8167"/>
    </w:p>
    <w:p>
      <w:pPr>
        <w:pStyle w:val="BookText"/>
      </w:pPr>
      <w:r>
        <w:rPr>
          <w:rFonts w:ascii="IRNazanin" w:hAnsi="IRNazanin" w:eastAsia="IRNazanin" w:cs="IRNazanin"/>
          <w:lang w:bidi="fa-IR"/>
          <w:color w:val="111111"/>
          <w:sz w:val="28"/>
          <w:szCs w:val="28"/>
          <w:rtl/>
        </w:rPr>
        <w:t xml:space="preserve">السید محمد بن یوسف الحسنی الدهلوی من الصوفیة الچشتیة بدهلی و خلیفة محمود چراغ دهلی. ترجمه فی (روشن- ص 310) و طرائق الحقائق 3: 310 و قال فی شاهد صادق إنه مات 825 و جاء تاریخ وفاته فی (مسرت- ص 389) هکذا:</w:t>
      </w:r>
    </w:p>
    <w:p>
      <w:pPr>
        <w:pStyle w:val="BookText"/>
      </w:pPr>
      <w:r>
        <w:rPr>
          <w:rFonts w:ascii="IRNazanin" w:hAnsi="IRNazanin" w:eastAsia="IRNazanin" w:cs="IRNazanin"/>
          <w:lang w:bidi="fa-IR"/>
          <w:color w:val="111111"/>
          <w:sz w:val="28"/>
          <w:szCs w:val="28"/>
          <w:rtl/>
        </w:rPr>
        <w:t xml:space="preserve">عالمی را کشید از چه آز</w:t>
      </w:r>
    </w:p>
    <w:p>
      <w:pPr>
        <w:pStyle w:val="BookText"/>
      </w:pPr>
      <w:r>
        <w:rPr>
          <w:rFonts w:ascii="IRNazanin" w:hAnsi="IRNazanin" w:eastAsia="IRNazanin" w:cs="IRNazanin"/>
          <w:lang w:bidi="fa-IR"/>
          <w:color w:val="111111"/>
          <w:sz w:val="28"/>
          <w:szCs w:val="28"/>
          <w:rtl/>
        </w:rPr>
        <w:t xml:space="preserve">به رسنهای گیسوان دراز</w:t>
      </w:r>
    </w:p>
    <w:p>
      <w:pPr>
        <w:pStyle w:val="BookText"/>
      </w:pPr>
      <w:r>
        <w:rPr>
          <w:rFonts w:ascii="IRNazanin" w:hAnsi="IRNazanin" w:eastAsia="IRNazanin" w:cs="IRNazanin"/>
          <w:lang w:bidi="fa-IR"/>
          <w:color w:val="111111"/>
          <w:sz w:val="28"/>
          <w:szCs w:val="28"/>
          <w:rtl/>
        </w:rPr>
        <w:t xml:space="preserve">سال نقلش که همچو لؤلؤ سفت‏</w:t>
      </w:r>
    </w:p>
    <w:p>
      <w:pPr>
        <w:pStyle w:val="BookText"/>
      </w:pPr>
      <w:r>
        <w:rPr>
          <w:rFonts w:ascii="IRNazanin" w:hAnsi="IRNazanin" w:eastAsia="IRNazanin" w:cs="IRNazanin"/>
          <w:lang w:bidi="fa-IR"/>
          <w:color w:val="111111"/>
          <w:sz w:val="28"/>
          <w:szCs w:val="28"/>
          <w:rtl/>
        </w:rPr>
        <w:t xml:space="preserve">عقل مخدوم دین و دنیا گفت‏</w:t>
      </w:r>
    </w:p>
    <w:p>
      <w:pPr>
        <w:pStyle w:val="BookText"/>
      </w:pPr>
      <w:r>
        <w:rPr>
          <w:rFonts w:ascii="IRNazanin" w:hAnsi="IRNazanin" w:eastAsia="IRNazanin" w:cs="IRNazanin"/>
          <w:lang w:bidi="fa-IR"/>
          <w:color w:val="111111"/>
          <w:sz w:val="28"/>
          <w:szCs w:val="28"/>
          <w:rtl/>
        </w:rPr>
        <w:t xml:space="preserve">جمع دیوانه تلمیذه السید محمد کما ذکر فی (روشن- ص 310).
</w:t>
      </w:r>
    </w:p>
    <w:p>
      <w:pPr>
        <w:sectPr>
          <w:footerReference w:type="default" r:id="rId946"/>
          <w:footnotePr>
            <w:numStart w:val="1"/>
            <w:numRestart w:val="eachPage"/>
          </w:footnotePr>
          <w:pgSz w:orient="portrait" w:w="11905.511811023622" w:h="16837.79527559055"/>
          <w:pgMar w:top="1440" w:right="1440" w:bottom="1440" w:left="1440" w:header="720" w:footer="720" w:gutter="0"/>
          <w:cols w:num="1" w:space="720"/>
        </w:sectPr>
      </w:pPr>
    </w:p>
    <w:bookmarkStart w:id="928" w:name="pg11704_122414"/>
    <w:bookmarkEnd w:id="928"/>
    <w:p>
      <w:pPr>
        <w:pStyle w:val="Heading3"/>
      </w:pPr>
      <w:bookmarkStart w:id="8168" w:name="_Toc6864"/>
      <w:r>
        <w:t>ل‏</w:t>
      </w:r>
      <w:bookmarkEnd w:id="8168"/>
    </w:p>
    <w:p>
      <w:pPr>
        <w:pStyle w:val="Heading3"/>
      </w:pPr>
      <w:bookmarkStart w:id="8169" w:name="_Toc6865"/>
      <w:r>
        <w:t>دیوان لائق‏</w:t>
      </w:r>
      <w:bookmarkEnd w:id="8169"/>
    </w:p>
    <w:p>
      <w:pPr>
        <w:pStyle w:val="BookText"/>
      </w:pPr>
      <w:r>
        <w:rPr>
          <w:rFonts w:ascii="IRNazanin" w:hAnsi="IRNazanin" w:eastAsia="IRNazanin" w:cs="IRNazanin"/>
          <w:lang w:bidi="fa-IR"/>
          <w:color w:val="111111"/>
          <w:sz w:val="28"/>
          <w:szCs w:val="28"/>
          <w:rtl/>
        </w:rPr>
        <w:t xml:space="preserve">راجع دیوان لائق کما یتلفظون به.</w:t>
      </w:r>
    </w:p>
    <w:p>
      <w:pPr>
        <w:pStyle w:val="Heading3"/>
      </w:pPr>
      <w:bookmarkStart w:id="8170" w:name="_Toc6866"/>
      <w:r>
        <w:t>دیوان لاری‏</w:t>
      </w:r>
      <w:bookmarkEnd w:id="8170"/>
    </w:p>
    <w:p>
      <w:pPr>
        <w:pStyle w:val="BookText"/>
      </w:pPr>
      <w:r>
        <w:rPr>
          <w:rFonts w:ascii="IRNazanin" w:hAnsi="IRNazanin" w:eastAsia="IRNazanin" w:cs="IRNazanin"/>
          <w:lang w:bidi="fa-IR"/>
          <w:color w:val="111111"/>
          <w:sz w:val="28"/>
          <w:szCs w:val="28"/>
          <w:rtl/>
        </w:rPr>
        <w:t xml:space="preserve">مر بعنوان إبراهیم لاری.</w:t>
      </w:r>
    </w:p>
    <w:p>
      <w:pPr>
        <w:pStyle w:val="Heading3"/>
      </w:pPr>
      <w:bookmarkStart w:id="8171" w:name="_Toc6867"/>
      <w:r>
        <w:t>6173- دیوان لاطف تبریزی‏</w:t>
      </w:r>
      <w:bookmarkEnd w:id="8171"/>
    </w:p>
    <w:p>
      <w:pPr>
        <w:pStyle w:val="BookText"/>
      </w:pPr>
      <w:r>
        <w:rPr>
          <w:rFonts w:ascii="IRNazanin" w:hAnsi="IRNazanin" w:eastAsia="IRNazanin" w:cs="IRNazanin"/>
          <w:lang w:bidi="fa-IR"/>
          <w:color w:val="111111"/>
          <w:sz w:val="28"/>
          <w:szCs w:val="28"/>
          <w:rtl/>
        </w:rPr>
        <w:t xml:space="preserve">و اسمه مشهدی عسکر من شعراء القرن الثالث عشر و غزلیاته بالترکیة کما فی (دجا- ص 321) عن حدیقة الشعراء.</w:t>
      </w:r>
    </w:p>
    <w:p>
      <w:pPr>
        <w:pStyle w:val="Heading3"/>
      </w:pPr>
      <w:bookmarkStart w:id="8172" w:name="_Toc6868"/>
      <w:r>
        <w:t>6174- دیوان لاغر سیستانی‏</w:t>
      </w:r>
      <w:bookmarkEnd w:id="8172"/>
    </w:p>
    <w:p>
      <w:pPr>
        <w:pStyle w:val="BookText"/>
      </w:pPr>
      <w:r>
        <w:rPr>
          <w:rFonts w:ascii="IRNazanin" w:hAnsi="IRNazanin" w:eastAsia="IRNazanin" w:cs="IRNazanin"/>
          <w:lang w:bidi="fa-IR"/>
          <w:color w:val="111111"/>
          <w:sz w:val="28"/>
          <w:szCs w:val="28"/>
          <w:rtl/>
        </w:rPr>
        <w:t xml:space="preserve">و هو القاضی أحمد لاغر و أخ القاضی تنبل. مات فی 958 کما فی (گلشن- ص 351) و قال إن وجه تسمیته و تسمیة أخیه صغر جثته و کبر جثة أخیه. و قال فی (تس 4- ص 70) إنه کان قاضیا بسیستان و کان هناک قاض آخر عظیم الجثة یعرف قاضی فربه و أورد شعره و قصصا عن قضائه بسیستان.</w:t>
      </w:r>
    </w:p>
    <w:p>
      <w:pPr>
        <w:pStyle w:val="BookText"/>
      </w:pPr>
      <w:r>
        <w:rPr>
          <w:rFonts w:ascii="IRNazanin" w:hAnsi="IRNazanin" w:eastAsia="IRNazanin" w:cs="IRNazanin"/>
          <w:lang w:bidi="fa-IR"/>
          <w:color w:val="111111"/>
          <w:sz w:val="28"/>
          <w:szCs w:val="28"/>
          <w:rtl/>
        </w:rPr>
        <w:t xml:space="preserve">و ترجمه فی (تش- ص 81) و عنه فی القاموس الترکی ثم الریحانة. و قد رأی سنگلاخ نسخه من دیوانه بخط مختار بیگ القزوینی مختار الخطاطین فذکره فی (امتحان 2: 267) و أخری بخط أبی تراب الأصفهانی الخطاط فذکره فیه (2: 7).</w:t>
      </w:r>
    </w:p>
    <w:p>
      <w:pPr>
        <w:pStyle w:val="Heading3"/>
      </w:pPr>
      <w:bookmarkStart w:id="8173" w:name="_Toc6869"/>
      <w:r>
        <w:t>دیوان لالای غزنوی‏</w:t>
      </w:r>
      <w:bookmarkEnd w:id="8173"/>
    </w:p>
    <w:p>
      <w:pPr>
        <w:pStyle w:val="BookText"/>
      </w:pPr>
      <w:r>
        <w:rPr>
          <w:rFonts w:ascii="IRNazanin" w:hAnsi="IRNazanin" w:eastAsia="IRNazanin" w:cs="IRNazanin"/>
          <w:lang w:bidi="fa-IR"/>
          <w:color w:val="111111"/>
          <w:sz w:val="28"/>
          <w:szCs w:val="28"/>
          <w:rtl/>
        </w:rPr>
        <w:t xml:space="preserve">کما ترجمه فی (نفحات- ص 389) مر بعنوان رضی لالا فی ص 374.</w:t>
      </w:r>
    </w:p>
    <w:p>
      <w:pPr>
        <w:pStyle w:val="Heading3"/>
      </w:pPr>
      <w:bookmarkStart w:id="8174" w:name="_Toc6870"/>
      <w:r>
        <w:t>6175- دیوان لاله خاتون کرمانی‏</w:t>
      </w:r>
      <w:bookmarkEnd w:id="8174"/>
    </w:p>
    <w:p>
      <w:pPr>
        <w:pStyle w:val="BookText"/>
      </w:pPr>
      <w:r>
        <w:rPr>
          <w:rFonts w:ascii="IRNazanin" w:hAnsi="IRNazanin" w:eastAsia="IRNazanin" w:cs="IRNazanin"/>
          <w:lang w:bidi="fa-IR"/>
          <w:color w:val="111111"/>
          <w:sz w:val="28"/>
          <w:szCs w:val="28"/>
          <w:rtl/>
        </w:rPr>
        <w:t xml:space="preserve">هی صفوة الدین بنت قطب الدین محمد الکرمانی القره‏ختائی حکمت علی کرمان بعد والدها مدة کما فی (تش- ص 350) و (نتایج- ص 612) و جاء شعرها أیضا فی تذکره کاظم الموجودة فی (المجلس) کما فی فهرسها (3: 161) و فی جنگ برقم 2446 فی مکتبة جامعة طهران کما فی فهرسها 9: 1145 و فی (گلشن- ص 352). و ترجمتها فروغ حکمت فی مقالة فی مجلة إیران و آمریکا ج 3 العدد 1: 14.</w:t>
      </w:r>
    </w:p>
    <w:p>
      <w:pPr>
        <w:pStyle w:val="Heading3"/>
      </w:pPr>
      <w:bookmarkStart w:id="8175" w:name="_Toc6871"/>
      <w:r>
        <w:t>6176- دیوان لآلی سبزواری أو شعره‏</w:t>
      </w:r>
      <w:bookmarkEnd w:id="8175"/>
    </w:p>
    <w:p>
      <w:pPr>
        <w:pStyle w:val="BookText"/>
      </w:pPr>
      <w:r>
        <w:rPr>
          <w:rFonts w:ascii="IRNazanin" w:hAnsi="IRNazanin" w:eastAsia="IRNazanin" w:cs="IRNazanin"/>
          <w:lang w:bidi="fa-IR"/>
          <w:color w:val="111111"/>
          <w:sz w:val="28"/>
          <w:szCs w:val="28"/>
          <w:rtl/>
        </w:rPr>
        <w:t xml:space="preserve">قال فی (تش- ص 80) إنه أخ کلان‏
</w:t>
      </w:r>
    </w:p>
    <w:p>
      <w:pPr>
        <w:sectPr>
          <w:footerReference w:type="default" r:id="rId947"/>
          <w:footnotePr>
            <w:numStart w:val="1"/>
            <w:numRestart w:val="eachPage"/>
          </w:footnotePr>
          <w:pgSz w:orient="portrait" w:w="11905.511811023622" w:h="16837.79527559055"/>
          <w:pgMar w:top="1440" w:right="1440" w:bottom="1440" w:left="1440" w:header="720" w:footer="720" w:gutter="0"/>
          <w:cols w:num="1" w:space="720"/>
        </w:sectPr>
      </w:pPr>
    </w:p>
    <w:bookmarkStart w:id="929" w:name="pg11704_122415"/>
    <w:bookmarkEnd w:id="929"/>
    <w:p>
      <w:pPr>
        <w:pStyle w:val="BookText"/>
      </w:pPr>
      <w:r>
        <w:rPr>
          <w:rFonts w:ascii="IRNazanin" w:hAnsi="IRNazanin" w:eastAsia="IRNazanin" w:cs="IRNazanin"/>
          <w:lang w:bidi="fa-IR"/>
          <w:color w:val="111111"/>
          <w:sz w:val="28"/>
          <w:szCs w:val="28"/>
          <w:rtl/>
        </w:rPr>
        <w:t xml:space="preserve">سبزواری و أطری فضله و اسمه میر خورد.</w:t>
      </w:r>
    </w:p>
    <w:p>
      <w:pPr>
        <w:pStyle w:val="Heading3"/>
      </w:pPr>
      <w:bookmarkStart w:id="8176" w:name="_Toc6872"/>
      <w:r>
        <w:t>6177- دیوان کلان همدانی أو شعره‏</w:t>
      </w:r>
      <w:bookmarkEnd w:id="8176"/>
    </w:p>
    <w:p>
      <w:pPr>
        <w:pStyle w:val="BookText"/>
      </w:pPr>
      <w:r>
        <w:rPr>
          <w:rFonts w:ascii="IRNazanin" w:hAnsi="IRNazanin" w:eastAsia="IRNazanin" w:cs="IRNazanin"/>
          <w:lang w:bidi="fa-IR"/>
          <w:color w:val="111111"/>
          <w:sz w:val="28"/>
          <w:szCs w:val="28"/>
          <w:rtl/>
        </w:rPr>
        <w:t xml:space="preserve">و اسمه حسن بیگ قال فی (گلشن- ص 352) إنه مات 1002 و أورد شعره.</w:t>
      </w:r>
    </w:p>
    <w:p>
      <w:pPr>
        <w:pStyle w:val="Heading3"/>
      </w:pPr>
      <w:bookmarkStart w:id="8177" w:name="_Toc6873"/>
      <w:r>
        <w:t>6178- دیوان لامع نسفی أو شعره‏</w:t>
      </w:r>
      <w:bookmarkEnd w:id="8177"/>
    </w:p>
    <w:p>
      <w:pPr>
        <w:pStyle w:val="BookText"/>
      </w:pPr>
      <w:r>
        <w:rPr>
          <w:rFonts w:ascii="IRNazanin" w:hAnsi="IRNazanin" w:eastAsia="IRNazanin" w:cs="IRNazanin"/>
          <w:lang w:bidi="fa-IR"/>
          <w:color w:val="111111"/>
          <w:sz w:val="28"/>
          <w:szCs w:val="28"/>
          <w:rtl/>
        </w:rPr>
        <w:t xml:space="preserve">کان من طلاب العلوم و خطاطا بالنسخ التعلیق. أورد شعره النصرآبادی فی (نر 10- ص 440).</w:t>
      </w:r>
    </w:p>
    <w:p>
      <w:pPr>
        <w:pStyle w:val="Heading3"/>
      </w:pPr>
      <w:bookmarkStart w:id="8178" w:name="_Toc6874"/>
      <w:r>
        <w:t>6179- دیوان لامع همدانی‏</w:t>
      </w:r>
      <w:bookmarkEnd w:id="8178"/>
    </w:p>
    <w:p>
      <w:pPr>
        <w:pStyle w:val="BookText"/>
      </w:pPr>
      <w:r>
        <w:rPr>
          <w:rFonts w:ascii="IRNazanin" w:hAnsi="IRNazanin" w:eastAsia="IRNazanin" w:cs="IRNazanin"/>
          <w:lang w:bidi="fa-IR"/>
          <w:color w:val="111111"/>
          <w:sz w:val="28"/>
          <w:szCs w:val="28"/>
          <w:rtl/>
        </w:rPr>
        <w:t xml:space="preserve">و هو المیرزا نورا بن القاضی نصیرا. کان والده قاضی بغداد من قبل الصفویة فلما فتحها السلطان مراد أحرقه حیا. أورد شعره فی (نر 9- ص 321) و قال کان لامع مدة فی کرمانشاه بخدمة الشیخ علی خان ثم عزل فجاء إلی أصفهان. و فی همیشه بهار و (تغ- 116) و (حسینی- ص 370) و (سرخوش- ص 97) أوردوا شعره و لم یعرفونه. و جاء شعره فی کنوز الشعراء الموجود بجامعة طهران کما فی فهرسها 9: 1090 و طبع دیوان لامع فی بمبئی.</w:t>
      </w:r>
    </w:p>
    <w:p>
      <w:pPr>
        <w:pStyle w:val="Heading3"/>
      </w:pPr>
      <w:bookmarkStart w:id="8179" w:name="_Toc6875"/>
      <w:r>
        <w:t>6180- دیوان لامعی أکبرآبادی‏</w:t>
      </w:r>
      <w:bookmarkEnd w:id="8179"/>
    </w:p>
    <w:p>
      <w:pPr>
        <w:pStyle w:val="BookText"/>
      </w:pPr>
      <w:r>
        <w:rPr>
          <w:rFonts w:ascii="IRNazanin" w:hAnsi="IRNazanin" w:eastAsia="IRNazanin" w:cs="IRNazanin"/>
          <w:lang w:bidi="fa-IR"/>
          <w:color w:val="111111"/>
          <w:sz w:val="28"/>
          <w:szCs w:val="28"/>
          <w:rtl/>
        </w:rPr>
        <w:t xml:space="preserve">کان من شعراء بهادر شاه بدهلی و دیوانه فی 3000 بیت کما فی (گلشن- ص 352) و سماه فی القاموس الترکی بالشیخ جمال الدین کما فی ریحانة الأدب.</w:t>
      </w:r>
    </w:p>
    <w:p>
      <w:pPr>
        <w:pStyle w:val="Heading3"/>
      </w:pPr>
      <w:bookmarkStart w:id="8180" w:name="_Toc6876"/>
      <w:r>
        <w:t>دیوان لامعی جرجانی‏</w:t>
      </w:r>
      <w:bookmarkEnd w:id="8180"/>
    </w:p>
    <w:p>
      <w:pPr>
        <w:pStyle w:val="BookText"/>
      </w:pPr>
      <w:r>
        <w:rPr>
          <w:rFonts w:ascii="IRNazanin" w:hAnsi="IRNazanin" w:eastAsia="IRNazanin" w:cs="IRNazanin"/>
          <w:lang w:bidi="fa-IR"/>
          <w:color w:val="111111"/>
          <w:sz w:val="28"/>
          <w:szCs w:val="28"/>
          <w:rtl/>
        </w:rPr>
        <w:t xml:space="preserve">راجع لامعی گرگانی کما یتلفظون به.</w:t>
      </w:r>
    </w:p>
    <w:p>
      <w:pPr>
        <w:pStyle w:val="Heading3"/>
      </w:pPr>
      <w:bookmarkStart w:id="8181" w:name="_Toc6877"/>
      <w:r>
        <w:t>6181- دیوان لامعی دهلوی أو شعره‏</w:t>
      </w:r>
      <w:bookmarkEnd w:id="8181"/>
    </w:p>
    <w:p>
      <w:pPr>
        <w:pStyle w:val="BookText"/>
      </w:pPr>
      <w:r>
        <w:rPr>
          <w:rFonts w:ascii="IRNazanin" w:hAnsi="IRNazanin" w:eastAsia="IRNazanin" w:cs="IRNazanin"/>
          <w:lang w:bidi="fa-IR"/>
          <w:color w:val="111111"/>
          <w:sz w:val="28"/>
          <w:szCs w:val="28"/>
          <w:rtl/>
        </w:rPr>
        <w:t xml:space="preserve">من شعراء عهد جهانگیر پادشاه بالهند (1015- 1037) أورد شعره فی (گلشن- ص 353) و لقبه قلندر و عنه فی القاموس الترکی ثم الریحانة.</w:t>
      </w:r>
    </w:p>
    <w:p>
      <w:pPr>
        <w:pStyle w:val="Heading3"/>
      </w:pPr>
      <w:bookmarkStart w:id="8182" w:name="_Toc6878"/>
      <w:r>
        <w:t>دیوان لامعی کرمانی‏</w:t>
      </w:r>
      <w:bookmarkEnd w:id="8182"/>
    </w:p>
    <w:p>
      <w:pPr>
        <w:pStyle w:val="BookText"/>
      </w:pPr>
      <w:r>
        <w:rPr>
          <w:rFonts w:ascii="IRNazanin" w:hAnsi="IRNazanin" w:eastAsia="IRNazanin" w:cs="IRNazanin"/>
          <w:lang w:bidi="fa-IR"/>
          <w:color w:val="111111"/>
          <w:sz w:val="28"/>
          <w:szCs w:val="28"/>
          <w:rtl/>
        </w:rPr>
        <w:t xml:space="preserve">راجع لامعی گرگانی.</w:t>
      </w:r>
    </w:p>
    <w:p>
      <w:pPr>
        <w:pStyle w:val="Heading3"/>
      </w:pPr>
      <w:bookmarkStart w:id="8183" w:name="_Toc6879"/>
      <w:r>
        <w:t>6182- دیوان لامعی گرگانی‏</w:t>
      </w:r>
      <w:bookmarkEnd w:id="8183"/>
    </w:p>
    <w:p>
      <w:pPr>
        <w:pStyle w:val="BookText"/>
      </w:pPr>
      <w:r>
        <w:rPr>
          <w:rFonts w:ascii="IRNazanin" w:hAnsi="IRNazanin" w:eastAsia="IRNazanin" w:cs="IRNazanin"/>
          <w:lang w:bidi="fa-IR"/>
          <w:color w:val="111111"/>
          <w:sz w:val="28"/>
          <w:szCs w:val="28"/>
          <w:rtl/>
        </w:rPr>
        <w:t xml:space="preserve">و هو أبو الحسن بن محمد بن إسماعیل الدهستانی الجرجانی‏1 من شعراء نظام الملک وزیر ملک شاه السلجوقی و کان ملازم حجة الإسلام الغزالی. و لقبه بعض بحر المعانی و ناظر سوزنی و عمعق و جمالی و مات فی عهد سنجر بسمرقند ترجمه فی (تش- ص 155) و (تغ- 116) و (مع 1: 494) و حواشی چهار مقالة للقزوینی. و جاء شعره فی المعجم فی معاییر أشعار العجم و همیشه بهار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(1) کما قال هو: جد من هست سماعیل و محمد پدرم.
</w:t>
      </w:r>
    </w:p>
    <w:p>
      <w:pPr>
        <w:sectPr>
          <w:footerReference w:type="default" r:id="rId948"/>
          <w:footnotePr>
            <w:numStart w:val="1"/>
            <w:numRestart w:val="eachPage"/>
          </w:footnotePr>
          <w:pgSz w:orient="portrait" w:w="11905.511811023622" w:h="16837.79527559055"/>
          <w:pgMar w:top="1440" w:right="1440" w:bottom="1440" w:left="1440" w:header="720" w:footer="720" w:gutter="0"/>
          <w:cols w:num="1" w:space="720"/>
        </w:sectPr>
      </w:pPr>
    </w:p>
    <w:bookmarkStart w:id="930" w:name="pg11704_122416"/>
    <w:bookmarkEnd w:id="930"/>
    <w:p>
      <w:pPr>
        <w:pStyle w:val="BookText"/>
      </w:pPr>
      <w:r>
        <w:rPr>
          <w:rFonts w:ascii="IRNazanin" w:hAnsi="IRNazanin" w:eastAsia="IRNazanin" w:cs="IRNazanin"/>
          <w:lang w:bidi="fa-IR"/>
          <w:color w:val="111111"/>
          <w:sz w:val="28"/>
          <w:szCs w:val="28"/>
          <w:rtl/>
        </w:rPr>
        <w:t xml:space="preserve">و طبع دیوانه سعید النفیسی بطهران فی 1369 فی 224 ص. مع مقدمه له فی أحواله طبعها سابقا فی مجلة آینده- 1: 367. و فی بعض الموارد نسب إلی کرمان.</w:t>
      </w:r>
    </w:p>
    <w:p>
      <w:pPr>
        <w:pStyle w:val="Heading3"/>
      </w:pPr>
      <w:bookmarkStart w:id="8184" w:name="_Toc6880"/>
      <w:r>
        <w:t>6183- دیوان لاهیجی‏</w:t>
      </w:r>
      <w:bookmarkEnd w:id="8184"/>
    </w:p>
    <w:p>
      <w:pPr>
        <w:pStyle w:val="BookText"/>
      </w:pPr>
      <w:r>
        <w:rPr>
          <w:rFonts w:ascii="IRNazanin" w:hAnsi="IRNazanin" w:eastAsia="IRNazanin" w:cs="IRNazanin"/>
          <w:lang w:bidi="fa-IR"/>
          <w:color w:val="111111"/>
          <w:sz w:val="28"/>
          <w:szCs w:val="28"/>
          <w:rtl/>
        </w:rPr>
        <w:t xml:space="preserve">و لعله هو فیاض لاهیجی المذکور فی ص 852 و له سام و بهرام منظومة غرامیة نظمها للشاه صفی توجد ضمن مجموعة 7551 فی (مجلس الشیوخ) بطهران و جاء شعر المیر لاهیجی فی (مسرت- ص 517)</w:t>
      </w:r>
    </w:p>
    <w:p>
      <w:pPr>
        <w:pStyle w:val="Heading3"/>
      </w:pPr>
      <w:bookmarkStart w:id="8185" w:name="_Toc6881"/>
      <w:r>
        <w:t>6184- دیوان لاهوتی تفرشی‏</w:t>
      </w:r>
      <w:bookmarkEnd w:id="8185"/>
    </w:p>
    <w:p>
      <w:pPr>
        <w:pStyle w:val="BookText"/>
      </w:pPr>
      <w:r>
        <w:rPr>
          <w:rFonts w:ascii="IRNazanin" w:hAnsi="IRNazanin" w:eastAsia="IRNazanin" w:cs="IRNazanin"/>
          <w:lang w:bidi="fa-IR"/>
          <w:color w:val="111111"/>
          <w:sz w:val="28"/>
          <w:szCs w:val="28"/>
          <w:rtl/>
        </w:rPr>
        <w:t xml:space="preserve">للمیرزا مهدی بن وکیل لشکر مصطفی الحسینی التفرشی نزیل طهران و الملقب بدائع‏نگار و المتخلص لاهوتی ولد 1279 و توفی بطهران له افتضاح الکافرین و بدائع الأنوار و بدیعیة و بدائع مهدویة و بدائع الأحکام و بدائع الأسرار و ریاض المنجمین و لاهوتیه و دیوانه فی عشرة آلاف بیت طبع منتخباته لعلی ملهمی بطهران فی 1346 فی 320 ص‏</w:t>
      </w:r>
    </w:p>
    <w:p>
      <w:pPr>
        <w:pStyle w:val="Heading3"/>
      </w:pPr>
      <w:bookmarkStart w:id="8186" w:name="_Toc6882"/>
      <w:r>
        <w:t>6185- دیوان لاهوتی کرمانشاهی‏</w:t>
      </w:r>
      <w:bookmarkEnd w:id="8186"/>
    </w:p>
    <w:p>
      <w:pPr>
        <w:pStyle w:val="BookText"/>
      </w:pPr>
      <w:r>
        <w:rPr>
          <w:rFonts w:ascii="IRNazanin" w:hAnsi="IRNazanin" w:eastAsia="IRNazanin" w:cs="IRNazanin"/>
          <w:lang w:bidi="fa-IR"/>
          <w:color w:val="111111"/>
          <w:sz w:val="28"/>
          <w:szCs w:val="28"/>
          <w:rtl/>
        </w:rPr>
        <w:t xml:space="preserve">و اسمه أبو القاسم ولد بکرمانشاه فی أوائل القرن الرابع عشر و بعد قتل الشیخ محمد الخیابانی بتبریز فی 1338 حکم علیه بالإعدام ففر إلی تاجیکستان و نصب وزیرا للمعارف هناک و تزوج هناک و مات فی 25 إسفند 1335 ش طبع له هناک</w:t>
      </w:r>
    </w:p>
    <w:p>
      <w:pPr>
        <w:pStyle w:val="BookText"/>
      </w:pPr>
      <w:r>
        <w:rPr>
          <w:rFonts w:ascii="IRNazanin" w:hAnsi="IRNazanin" w:eastAsia="IRNazanin" w:cs="IRNazanin"/>
          <w:lang w:bidi="fa-IR"/>
          <w:color w:val="111111"/>
          <w:sz w:val="28"/>
          <w:szCs w:val="28"/>
          <w:rtl/>
        </w:rPr>
        <w:t xml:space="preserve">أدبیات سرخ فی 1346 و أعید طبعه فی 1361 بطهران فی 20 ص و در فشان و هزار مصرع فی 1935 م و لئالی لاهوتی و ایران‏نامه و طبع منتخب دیوانه فی تبریز و طهران مکررا و ترجم فی مجلة سخن ج- 3: 311 و پیام نو ج 2</w:t>
      </w:r>
    </w:p>
    <w:p>
      <w:pPr>
        <w:pStyle w:val="Heading3"/>
      </w:pPr>
      <w:bookmarkStart w:id="8187" w:name="_Toc6883"/>
      <w:r>
        <w:t>دیوان لاهوری‏</w:t>
      </w:r>
      <w:bookmarkEnd w:id="8187"/>
    </w:p>
    <w:p>
      <w:pPr>
        <w:pStyle w:val="BookText"/>
      </w:pPr>
      <w:r>
        <w:rPr>
          <w:rFonts w:ascii="IRNazanin" w:hAnsi="IRNazanin" w:eastAsia="IRNazanin" w:cs="IRNazanin"/>
          <w:lang w:bidi="fa-IR"/>
          <w:color w:val="111111"/>
          <w:sz w:val="28"/>
          <w:szCs w:val="28"/>
          <w:rtl/>
        </w:rPr>
        <w:t xml:space="preserve">راجع أبا البرکات اللاهوری و منعم اللاهوری‏</w:t>
      </w:r>
    </w:p>
    <w:p>
      <w:pPr>
        <w:pStyle w:val="Heading3"/>
      </w:pPr>
      <w:bookmarkStart w:id="8188" w:name="_Toc6884"/>
      <w:r>
        <w:t>6186- دیوان لائق بلخی أو شعره‏</w:t>
      </w:r>
      <w:bookmarkEnd w:id="8188"/>
    </w:p>
    <w:p>
      <w:pPr>
        <w:pStyle w:val="BookText"/>
      </w:pPr>
      <w:r>
        <w:rPr>
          <w:rFonts w:ascii="IRNazanin" w:hAnsi="IRNazanin" w:eastAsia="IRNazanin" w:cs="IRNazanin"/>
          <w:lang w:bidi="fa-IR"/>
          <w:color w:val="111111"/>
          <w:sz w:val="28"/>
          <w:szCs w:val="28"/>
          <w:rtl/>
        </w:rPr>
        <w:t xml:space="preserve">أورد شعره معاصره النصرآبادی فی (نر 1 ص 441) و کذا (حسینی- ص 371) و قال کان فی خدمة سبحان قلی خان حاکم توران‏</w:t>
      </w:r>
    </w:p>
    <w:p>
      <w:pPr>
        <w:pStyle w:val="Heading3"/>
      </w:pPr>
      <w:bookmarkStart w:id="8189" w:name="_Toc6885"/>
      <w:r>
        <w:t>دیوان لائق هندی‏</w:t>
      </w:r>
      <w:bookmarkEnd w:id="8189"/>
    </w:p>
    <w:p>
      <w:pPr>
        <w:pStyle w:val="BookText"/>
      </w:pPr>
      <w:r>
        <w:rPr>
          <w:rFonts w:ascii="IRNazanin" w:hAnsi="IRNazanin" w:eastAsia="IRNazanin" w:cs="IRNazanin"/>
          <w:lang w:bidi="fa-IR"/>
          <w:color w:val="111111"/>
          <w:sz w:val="28"/>
          <w:szCs w:val="28"/>
          <w:rtl/>
        </w:rPr>
        <w:t xml:space="preserve">لمحمود علی صاحب مر بعنوان بیاض أهل ماتم‏</w:t>
      </w:r>
    </w:p>
    <w:p>
      <w:pPr>
        <w:pStyle w:val="Heading3"/>
      </w:pPr>
      <w:bookmarkStart w:id="8190" w:name="_Toc6886"/>
      <w:r>
        <w:t>6187- دیوان لبیبی خراسانی‏</w:t>
      </w:r>
      <w:bookmarkEnd w:id="8190"/>
    </w:p>
    <w:p>
      <w:pPr>
        <w:pStyle w:val="BookText"/>
      </w:pPr>
      <w:r>
        <w:rPr>
          <w:rFonts w:ascii="IRNazanin" w:hAnsi="IRNazanin" w:eastAsia="IRNazanin" w:cs="IRNazanin"/>
          <w:lang w:bidi="fa-IR"/>
          <w:color w:val="111111"/>
          <w:sz w:val="28"/>
          <w:szCs w:val="28"/>
          <w:rtl/>
        </w:rPr>
        <w:t xml:space="preserve">من قدماء الشعراء یستشهد بأشعاره فی کتب الفرهنگ کما ذکر فی ترجمته فی (مع 1 ص 494) و بعضها أورده أبو الفضل البیهقی فی تاریخه ثم جمعها محمد دبیر سیاقی و طبعها فی 1334 ش مستقلا مع مقدمه فی أحواله ضمن مجموعه گنج باز یافته و توجد بعض شعره فی جنگ برقم 2446
</w:t>
      </w:r>
    </w:p>
    <w:p>
      <w:pPr>
        <w:sectPr>
          <w:footerReference w:type="default" r:id="rId949"/>
          <w:footnotePr>
            <w:numStart w:val="1"/>
            <w:numRestart w:val="eachPage"/>
          </w:footnotePr>
          <w:pgSz w:orient="portrait" w:w="11905.511811023622" w:h="16837.79527559055"/>
          <w:pgMar w:top="1440" w:right="1440" w:bottom="1440" w:left="1440" w:header="720" w:footer="720" w:gutter="0"/>
          <w:cols w:num="1" w:space="720"/>
        </w:sectPr>
      </w:pPr>
    </w:p>
    <w:bookmarkStart w:id="931" w:name="pg11704_122417"/>
    <w:bookmarkEnd w:id="931"/>
    <w:p>
      <w:pPr>
        <w:pStyle w:val="BookText"/>
      </w:pPr>
      <w:r>
        <w:rPr>
          <w:rFonts w:ascii="IRNazanin" w:hAnsi="IRNazanin" w:eastAsia="IRNazanin" w:cs="IRNazanin"/>
          <w:lang w:bidi="fa-IR"/>
          <w:color w:val="111111"/>
          <w:sz w:val="28"/>
          <w:szCs w:val="28"/>
          <w:rtl/>
        </w:rPr>
        <w:t xml:space="preserve">فی مکتبة جامعة طهران کما فی فهرسها 9: 1145</w:t>
      </w:r>
    </w:p>
    <w:p>
      <w:pPr>
        <w:pStyle w:val="Heading3"/>
      </w:pPr>
      <w:bookmarkStart w:id="8191" w:name="_Toc6887"/>
      <w:r>
        <w:t>6188- دیوان لبید</w:t>
      </w:r>
      <w:bookmarkEnd w:id="8191"/>
    </w:p>
    <w:p>
      <w:pPr>
        <w:pStyle w:val="BookText"/>
      </w:pPr>
      <w:r>
        <w:rPr>
          <w:rFonts w:ascii="IRNazanin" w:hAnsi="IRNazanin" w:eastAsia="IRNazanin" w:cs="IRNazanin"/>
          <w:lang w:bidi="fa-IR"/>
          <w:color w:val="111111"/>
          <w:sz w:val="28"/>
          <w:szCs w:val="28"/>
          <w:rtl/>
        </w:rPr>
        <w:t xml:space="preserve">أبی عقیل ابن ربیعة بن مالک بن کلاب العامری الشاعر المجید المشهور أحد الشعراء الناظمین للمعلقات السبع مطلع معلقته:</w:t>
      </w:r>
    </w:p>
    <w:p>
      <w:pPr>
        <w:pStyle w:val="BookText"/>
      </w:pPr>
      <w:r>
        <w:rPr>
          <w:rFonts w:ascii="IRNazanin" w:hAnsi="IRNazanin" w:eastAsia="IRNazanin" w:cs="IRNazanin"/>
          <w:lang w:bidi="fa-IR"/>
          <w:color w:val="111111"/>
          <w:sz w:val="28"/>
          <w:szCs w:val="28"/>
          <w:rtl/>
        </w:rPr>
        <w:t xml:space="preserve">عفت الدیار محلها فمقامها</w:t>
      </w:r>
    </w:p>
    <w:p>
      <w:pPr>
        <w:pStyle w:val="BookText"/>
      </w:pPr>
      <w:r>
        <w:rPr>
          <w:rFonts w:ascii="IRNazanin" w:hAnsi="IRNazanin" w:eastAsia="IRNazanin" w:cs="IRNazanin"/>
          <w:lang w:bidi="fa-IR"/>
          <w:color w:val="111111"/>
          <w:sz w:val="28"/>
          <w:szCs w:val="28"/>
          <w:rtl/>
        </w:rPr>
        <w:t xml:space="preserve">بمنی تأبد غولها فرجامها</w:t>
      </w:r>
    </w:p>
    <w:p>
      <w:pPr>
        <w:pStyle w:val="BookText"/>
      </w:pPr>
      <w:r>
        <w:rPr>
          <w:rFonts w:ascii="IRNazanin" w:hAnsi="IRNazanin" w:eastAsia="IRNazanin" w:cs="IRNazanin"/>
          <w:lang w:bidi="fa-IR"/>
          <w:color w:val="111111"/>
          <w:sz w:val="28"/>
          <w:szCs w:val="28"/>
          <w:rtl/>
        </w:rPr>
        <w:t xml:space="preserve">کان أحد الفرسان فی الجاهلیة و أدرک الإسلام عمر طویلا و توفی عام 41 و طبع دیوانه الصغیر المترجم إلی الألمانیة ترجمه فی ریاض العلماء فی حرف اللام من القسم الأول و حکی قول رسول الله ص فی حقه أفضل کلمة قالها قائلکم لبید قوله:</w:t>
      </w:r>
    </w:p>
    <w:p>
      <w:pPr>
        <w:pStyle w:val="BookText"/>
      </w:pPr>
      <w:r>
        <w:rPr>
          <w:rFonts w:ascii="IRNazanin" w:hAnsi="IRNazanin" w:eastAsia="IRNazanin" w:cs="IRNazanin"/>
          <w:lang w:bidi="fa-IR"/>
          <w:color w:val="111111"/>
          <w:sz w:val="28"/>
          <w:szCs w:val="28"/>
          <w:rtl/>
        </w:rPr>
        <w:t xml:space="preserve">ألا کل شی‏ء ما خلا الله باطل‏</w:t>
      </w:r>
    </w:p>
    <w:p>
      <w:pPr>
        <w:pStyle w:val="BookText"/>
      </w:pPr>
      <w:r>
        <w:rPr>
          <w:rFonts w:ascii="IRNazanin" w:hAnsi="IRNazanin" w:eastAsia="IRNazanin" w:cs="IRNazanin"/>
          <w:lang w:bidi="fa-IR"/>
          <w:color w:val="111111"/>
          <w:sz w:val="28"/>
          <w:szCs w:val="28"/>
          <w:rtl/>
        </w:rPr>
        <w:t xml:space="preserve">و کل نعیم لا محالة زائل‏</w:t>
      </w:r>
    </w:p>
    <w:p>
      <w:pPr>
        <w:pStyle w:val="BookText"/>
      </w:pPr>
      <w:r>
        <w:rPr>
          <w:rFonts w:ascii="IRNazanin" w:hAnsi="IRNazanin" w:eastAsia="IRNazanin" w:cs="IRNazanin"/>
          <w:lang w:bidi="fa-IR"/>
          <w:color w:val="111111"/>
          <w:sz w:val="28"/>
          <w:szCs w:val="28"/>
          <w:rtl/>
        </w:rPr>
        <w:t xml:space="preserve">و یضرب بشعره المثل فیقال:</w:t>
      </w:r>
    </w:p>
    <w:p>
      <w:pPr>
        <w:pStyle w:val="BookText"/>
      </w:pPr>
      <w:r>
        <w:rPr>
          <w:rFonts w:ascii="IRNazanin" w:hAnsi="IRNazanin" w:eastAsia="IRNazanin" w:cs="IRNazanin"/>
          <w:lang w:bidi="fa-IR"/>
          <w:color w:val="111111"/>
          <w:sz w:val="28"/>
          <w:szCs w:val="28"/>
          <w:rtl/>
        </w:rPr>
        <w:t xml:space="preserve">و لو لا الشعر بالعلماء یزری‏</w:t>
      </w:r>
    </w:p>
    <w:p>
      <w:pPr>
        <w:pStyle w:val="BookText"/>
      </w:pPr>
      <w:r>
        <w:rPr>
          <w:rFonts w:ascii="IRNazanin" w:hAnsi="IRNazanin" w:eastAsia="IRNazanin" w:cs="IRNazanin"/>
          <w:lang w:bidi="fa-IR"/>
          <w:color w:val="111111"/>
          <w:sz w:val="28"/>
          <w:szCs w:val="28"/>
          <w:rtl/>
        </w:rPr>
        <w:t xml:space="preserve">لکنت الیوم أشعر من لبید</w:t>
      </w:r>
    </w:p>
    <w:p>
      <w:pPr>
        <w:pStyle w:val="BookText"/>
      </w:pPr>
      <w:r>
        <w:rPr>
          <w:rFonts w:ascii="IRNazanin" w:hAnsi="IRNazanin" w:eastAsia="IRNazanin" w:cs="IRNazanin"/>
          <w:lang w:bidi="fa-IR"/>
          <w:color w:val="111111"/>
          <w:sz w:val="28"/>
          <w:szCs w:val="28"/>
          <w:rtl/>
        </w:rPr>
        <w:t xml:space="preserve">قال ابن الندیم فی ص 224 لبید بن ربیعة العامری عمل شعره أبو عمرو الشیبانی و الأصمعی و الطوسی و ابن السکیت و المطبوع منه هو جمع الطوسی طبع علی الحروف بمدینة وینا 1880 م‏</w:t>
      </w:r>
    </w:p>
    <w:p>
      <w:pPr>
        <w:pStyle w:val="Heading3"/>
      </w:pPr>
      <w:bookmarkStart w:id="8192" w:name="_Toc6888"/>
      <w:r>
        <w:t>6189- دیوان لذتی کشمیری أو شعره‏</w:t>
      </w:r>
      <w:bookmarkEnd w:id="8192"/>
    </w:p>
    <w:p>
      <w:pPr>
        <w:pStyle w:val="BookText"/>
      </w:pPr>
      <w:r>
        <w:rPr>
          <w:rFonts w:ascii="IRNazanin" w:hAnsi="IRNazanin" w:eastAsia="IRNazanin" w:cs="IRNazanin"/>
          <w:lang w:bidi="fa-IR"/>
          <w:color w:val="111111"/>
          <w:sz w:val="28"/>
          <w:szCs w:val="28"/>
          <w:rtl/>
        </w:rPr>
        <w:t xml:space="preserve">و اسمه الملا مهدی علی أورد شعره فی (حسینی- ص 285) و فی (تغ- 116) أنه تلمیذ فیضی، و فی (روشن- 595) أنه مات 1005</w:t>
      </w:r>
    </w:p>
    <w:p>
      <w:pPr>
        <w:pStyle w:val="Heading3"/>
      </w:pPr>
      <w:bookmarkStart w:id="8193" w:name="_Toc6889"/>
      <w:r>
        <w:t>6190- دیوان لذتی همدانی أو شعره‏</w:t>
      </w:r>
      <w:bookmarkEnd w:id="8193"/>
    </w:p>
    <w:p>
      <w:pPr>
        <w:pStyle w:val="BookText"/>
      </w:pPr>
      <w:r>
        <w:rPr>
          <w:rFonts w:ascii="IRNazanin" w:hAnsi="IRNazanin" w:eastAsia="IRNazanin" w:cs="IRNazanin"/>
          <w:lang w:bidi="fa-IR"/>
          <w:color w:val="111111"/>
          <w:sz w:val="28"/>
          <w:szCs w:val="28"/>
          <w:rtl/>
        </w:rPr>
        <w:t xml:space="preserve">و اسمه حسن بیگ سافر إلی الهند فی عهد أکبر شاه أورد شعره فی (گلشن- ص 353) و توجد شعره فی جنگ برقم 2446 فی جامعة طهران کما فی فهرسها ج 9: 1145</w:t>
      </w:r>
    </w:p>
    <w:p>
      <w:pPr>
        <w:pStyle w:val="Heading3"/>
      </w:pPr>
      <w:bookmarkStart w:id="8194" w:name="_Toc6890"/>
      <w:r>
        <w:t>دیوان لر</w:t>
      </w:r>
      <w:bookmarkEnd w:id="8194"/>
    </w:p>
    <w:p>
      <w:pPr>
        <w:pStyle w:val="BookText"/>
      </w:pPr>
      <w:r>
        <w:rPr>
          <w:rFonts w:ascii="IRNazanin" w:hAnsi="IRNazanin" w:eastAsia="IRNazanin" w:cs="IRNazanin"/>
          <w:lang w:bidi="fa-IR"/>
          <w:color w:val="111111"/>
          <w:sz w:val="28"/>
          <w:szCs w:val="28"/>
          <w:rtl/>
        </w:rPr>
        <w:t xml:space="preserve">راجع علی قلی خان‏</w:t>
      </w:r>
    </w:p>
    <w:p>
      <w:pPr>
        <w:pStyle w:val="Heading3"/>
      </w:pPr>
      <w:bookmarkStart w:id="8195" w:name="_Toc6891"/>
      <w:r>
        <w:t>6191- دیوان لسان دنبلی‏</w:t>
      </w:r>
      <w:bookmarkEnd w:id="8195"/>
    </w:p>
    <w:p>
      <w:pPr>
        <w:pStyle w:val="BookText"/>
      </w:pPr>
      <w:r>
        <w:rPr>
          <w:rFonts w:ascii="IRNazanin" w:hAnsi="IRNazanin" w:eastAsia="IRNazanin" w:cs="IRNazanin"/>
          <w:lang w:bidi="fa-IR"/>
          <w:color w:val="111111"/>
          <w:sz w:val="28"/>
          <w:szCs w:val="28"/>
          <w:rtl/>
        </w:rPr>
        <w:t xml:space="preserve">و هو المیرزا حبیب الله الخوئی الدنبلی المتوفی بمشهد خراسان فی 1312 کان من مریدی جلال الدین محمد مجد الأشراف الذهبی بشیراز سکن مدة بشیراز و بوشهر له أشعار کثیرة یتخلص فی بعضها حبیب و فی بعضها تنبل مولا و لما لقبه مجد الأشراف لسان الولایة تخلص لسان و قد جمع تخلصاته فی شعر فقال:
</w:t>
      </w:r>
    </w:p>
    <w:p>
      <w:pPr>
        <w:sectPr>
          <w:footerReference w:type="default" r:id="rId950"/>
          <w:footnotePr>
            <w:numStart w:val="1"/>
            <w:numRestart w:val="eachPage"/>
          </w:footnotePr>
          <w:pgSz w:orient="portrait" w:w="11905.511811023622" w:h="16837.79527559055"/>
          <w:pgMar w:top="1440" w:right="1440" w:bottom="1440" w:left="1440" w:header="720" w:footer="720" w:gutter="0"/>
          <w:cols w:num="1" w:space="720"/>
        </w:sectPr>
      </w:pPr>
    </w:p>
    <w:bookmarkStart w:id="932" w:name="pg11704_122418"/>
    <w:bookmarkEnd w:id="932"/>
    <w:p>
      <w:pPr>
        <w:pStyle w:val="BookText"/>
      </w:pPr>
      <w:r>
        <w:rPr>
          <w:rFonts w:ascii="IRNazanin" w:hAnsi="IRNazanin" w:eastAsia="IRNazanin" w:cs="IRNazanin"/>
          <w:lang w:bidi="fa-IR"/>
          <w:color w:val="111111"/>
          <w:sz w:val="28"/>
          <w:szCs w:val="28"/>
          <w:rtl/>
        </w:rPr>
        <w:t xml:space="preserve">خواهد حبیب تنبل مولا ز فیض رب‏</w:t>
      </w:r>
    </w:p>
    <w:p>
      <w:pPr>
        <w:pStyle w:val="BookText"/>
      </w:pPr>
      <w:r>
        <w:rPr>
          <w:rFonts w:ascii="IRNazanin" w:hAnsi="IRNazanin" w:eastAsia="IRNazanin" w:cs="IRNazanin"/>
          <w:lang w:bidi="fa-IR"/>
          <w:color w:val="111111"/>
          <w:sz w:val="28"/>
          <w:szCs w:val="28"/>
          <w:rtl/>
        </w:rPr>
        <w:t xml:space="preserve">جان را أسیر حب تو در سلسل ذهب‏</w:t>
      </w:r>
    </w:p>
    <w:p>
      <w:pPr>
        <w:pStyle w:val="BookText"/>
      </w:pPr>
      <w:r>
        <w:rPr>
          <w:rFonts w:ascii="IRNazanin" w:hAnsi="IRNazanin" w:eastAsia="IRNazanin" w:cs="IRNazanin"/>
          <w:lang w:bidi="fa-IR"/>
          <w:color w:val="111111"/>
          <w:sz w:val="28"/>
          <w:szCs w:val="28"/>
          <w:rtl/>
        </w:rPr>
        <w:t xml:space="preserve">و له منظومة أبکار خیال قصة تاریخیة فی أربعة آلاف بیت موجودة فی (المجلس) کما فی فهرسها (3: 140) و لعله متحد مع حبیب المذکور فی ص 229</w:t>
      </w:r>
    </w:p>
    <w:p>
      <w:pPr>
        <w:pStyle w:val="Heading3"/>
      </w:pPr>
      <w:bookmarkStart w:id="8196" w:name="_Toc6892"/>
      <w:r>
        <w:t>دیوان لسان الغیب‏</w:t>
      </w:r>
      <w:bookmarkEnd w:id="8196"/>
    </w:p>
    <w:p>
      <w:pPr>
        <w:pStyle w:val="BookText"/>
      </w:pPr>
      <w:r>
        <w:rPr>
          <w:rFonts w:ascii="IRNazanin" w:hAnsi="IRNazanin" w:eastAsia="IRNazanin" w:cs="IRNazanin"/>
          <w:lang w:bidi="fa-IR"/>
          <w:color w:val="111111"/>
          <w:sz w:val="28"/>
          <w:szCs w:val="28"/>
          <w:rtl/>
        </w:rPr>
        <w:t xml:space="preserve">مر بعنوان حافظ شیرازی‏</w:t>
      </w:r>
    </w:p>
    <w:p>
      <w:pPr>
        <w:pStyle w:val="Heading3"/>
      </w:pPr>
      <w:bookmarkStart w:id="8197" w:name="_Toc6893"/>
      <w:r>
        <w:t>6192- دیوان لسان الواعظین تربتی‏</w:t>
      </w:r>
      <w:bookmarkEnd w:id="8197"/>
    </w:p>
    <w:p>
      <w:pPr>
        <w:pStyle w:val="BookText"/>
      </w:pPr>
      <w:r>
        <w:rPr>
          <w:rFonts w:ascii="IRNazanin" w:hAnsi="IRNazanin" w:eastAsia="IRNazanin" w:cs="IRNazanin"/>
          <w:lang w:bidi="fa-IR"/>
          <w:color w:val="111111"/>
          <w:sz w:val="28"/>
          <w:szCs w:val="28"/>
          <w:rtl/>
        </w:rPr>
        <w:t xml:space="preserve">و هو الحاج ملا عبد الکریم بن محمد علی طبع له منظومة نان و سرکه فی 1307</w:t>
      </w:r>
    </w:p>
    <w:p>
      <w:pPr>
        <w:pStyle w:val="Heading3"/>
      </w:pPr>
      <w:bookmarkStart w:id="8198" w:name="_Toc6894"/>
      <w:r>
        <w:t>دیوان لسان یزدی‏</w:t>
      </w:r>
      <w:bookmarkEnd w:id="8198"/>
    </w:p>
    <w:p>
      <w:pPr>
        <w:pStyle w:val="BookText"/>
      </w:pPr>
      <w:r>
        <w:rPr>
          <w:rFonts w:ascii="IRNazanin" w:hAnsi="IRNazanin" w:eastAsia="IRNazanin" w:cs="IRNazanin"/>
          <w:lang w:bidi="fa-IR"/>
          <w:color w:val="111111"/>
          <w:sz w:val="28"/>
          <w:szCs w:val="28"/>
          <w:rtl/>
        </w:rPr>
        <w:t xml:space="preserve">راجع محرم یزدی‏</w:t>
      </w:r>
    </w:p>
    <w:p>
      <w:pPr>
        <w:pStyle w:val="Heading3"/>
      </w:pPr>
      <w:bookmarkStart w:id="8199" w:name="_Toc6895"/>
      <w:r>
        <w:t>دیوان لسانی‏</w:t>
      </w:r>
      <w:bookmarkEnd w:id="8199"/>
    </w:p>
    <w:p>
      <w:pPr>
        <w:pStyle w:val="BookText"/>
      </w:pPr>
      <w:r>
        <w:rPr>
          <w:rFonts w:ascii="IRNazanin" w:hAnsi="IRNazanin" w:eastAsia="IRNazanin" w:cs="IRNazanin"/>
          <w:lang w:bidi="fa-IR"/>
          <w:color w:val="111111"/>
          <w:sz w:val="28"/>
          <w:szCs w:val="28"/>
          <w:rtl/>
        </w:rPr>
        <w:t xml:space="preserve">اسمه سهو اللسان یذکر فی حرف السین باسمه و إنه دونه تلمیذ لسانی و هو شریف التبریزی من أشعار فیها رکاکة بعضها من نظمه و بعضها من نظم غیره، و بعضها من نظم أستاذه لسانی و سماه سهو اللسان و نسبه إلی لسانی علی سبیل الظرافة و اعتذر بعد ذلک عن أستاذه و أکثر أشعاره لیس للسانی کما ذکره سام میرزا فی (تس 5- ص 104) و مر دیوان شریف التبریزی‏</w:t>
      </w:r>
    </w:p>
    <w:p>
      <w:pPr>
        <w:pStyle w:val="Heading3"/>
      </w:pPr>
      <w:bookmarkStart w:id="8200" w:name="_Toc6896"/>
      <w:r>
        <w:t>6193- دیوان لسانی شیرازی‏</w:t>
      </w:r>
      <w:bookmarkEnd w:id="8200"/>
    </w:p>
    <w:p>
      <w:pPr>
        <w:pStyle w:val="BookText"/>
      </w:pPr>
      <w:r>
        <w:rPr>
          <w:rFonts w:ascii="IRNazanin" w:hAnsi="IRNazanin" w:eastAsia="IRNazanin" w:cs="IRNazanin"/>
          <w:lang w:bidi="fa-IR"/>
          <w:color w:val="111111"/>
          <w:sz w:val="28"/>
          <w:szCs w:val="28"/>
          <w:rtl/>
        </w:rPr>
        <w:t xml:space="preserve">و اسمه عبد العزیز کما فی (تغ- ص 117) العارف المستجاب الدعوة کما وصفه الصادقی فی (خص 8- ص 132) و أورد نیفا و سبعین بیتا من شعره و ذکر أنه توفی بتبریز و دفن فی جوار بابا حسن و ترجمه القاضی فی الورقة الأخیرة من مجالس المؤمنین و أورد تمام قصیدته المبسوطة فی مدح أمیر المؤمنین و ذکر أنه یوم تسخیر السلطان سلیمان العثمانی لتبریز کان مشغولا بتعقیب الصلاة فی جامعها فلما علم بوروده سجد و دعا فی سجوده لتعجیل موته فتوفی حالا فی السجدة و حکی القول بأن أشعار لسانی تزید علی مائة ألف بیت غیر ما نسبه إلیه تلمیذه شریف التبریزی و سماه سهو اللسان و أورد النصرآبادی فی (نر 13 ص 469) من شعر المولی لسانی تاریخ فوت السلطان حسین میرزا بایقرا فی 911</w:t>
      </w:r>
    </w:p>
    <w:p>
      <w:pPr>
        <w:pStyle w:val="BookText"/>
      </w:pPr>
      <w:r>
        <w:rPr>
          <w:rFonts w:ascii="IRNazanin" w:hAnsi="IRNazanin" w:eastAsia="IRNazanin" w:cs="IRNazanin"/>
          <w:lang w:bidi="fa-IR"/>
          <w:color w:val="111111"/>
          <w:sz w:val="28"/>
          <w:szCs w:val="28"/>
          <w:rtl/>
        </w:rPr>
        <w:t xml:space="preserve">چه سال فوت وی از پیر عقل جستم گفت:</w:t>
      </w:r>
    </w:p>
    <w:p>
      <w:pPr>
        <w:pStyle w:val="BookText"/>
      </w:pPr>
      <w:r>
        <w:rPr>
          <w:rFonts w:ascii="IRNazanin" w:hAnsi="IRNazanin" w:eastAsia="IRNazanin" w:cs="IRNazanin"/>
          <w:lang w:bidi="fa-IR"/>
          <w:color w:val="111111"/>
          <w:sz w:val="28"/>
          <w:szCs w:val="28"/>
          <w:rtl/>
        </w:rPr>
        <w:t xml:space="preserve">(هزار حیف ز سلطان حسین بایقرا</w:t>
      </w:r>
    </w:p>
    <w:p>
      <w:pPr>
        <w:pStyle w:val="BookText"/>
      </w:pPr>
      <w:r>
        <w:rPr>
          <w:rFonts w:ascii="IRNazanin" w:hAnsi="IRNazanin" w:eastAsia="IRNazanin" w:cs="IRNazanin"/>
          <w:lang w:bidi="fa-IR"/>
          <w:color w:val="111111"/>
          <w:sz w:val="28"/>
          <w:szCs w:val="28"/>
          <w:rtl/>
        </w:rPr>
        <w:t xml:space="preserve">) و ترجمه فی (خز- ص 398) و ذکر أنه دفن بسرخاب فی 941 و أورد قرب عشرة أبیات من شعره و کذا فی (حسینی- ص 284) و ذکر قصة غرامه فی التذاکر مثل (تش- 292) و فارس‏نامه 2: 150 و (هفت- 262) و (مجتس 6- ص 160) و (تس 5-
</w:t>
      </w:r>
    </w:p>
    <w:p>
      <w:pPr>
        <w:sectPr>
          <w:footerReference w:type="default" r:id="rId951"/>
          <w:footnotePr>
            <w:numStart w:val="1"/>
            <w:numRestart w:val="eachPage"/>
          </w:footnotePr>
          <w:pgSz w:orient="portrait" w:w="11905.511811023622" w:h="16837.79527559055"/>
          <w:pgMar w:top="1440" w:right="1440" w:bottom="1440" w:left="1440" w:header="720" w:footer="720" w:gutter="0"/>
          <w:cols w:num="1" w:space="720"/>
        </w:sectPr>
      </w:pPr>
    </w:p>
    <w:bookmarkStart w:id="933" w:name="pg11704_122419"/>
    <w:bookmarkEnd w:id="933"/>
    <w:p>
      <w:pPr>
        <w:pStyle w:val="BookText"/>
      </w:pPr>
      <w:r>
        <w:rPr>
          <w:rFonts w:ascii="IRNazanin" w:hAnsi="IRNazanin" w:eastAsia="IRNazanin" w:cs="IRNazanin"/>
          <w:lang w:bidi="fa-IR"/>
          <w:color w:val="111111"/>
          <w:sz w:val="28"/>
          <w:szCs w:val="28"/>
          <w:rtl/>
        </w:rPr>
        <w:t xml:space="preserve">ص 104) و (روشن- 595) و (نتایج- ص 611) و جاء شعره فی مجموعتین موجودتین فی مکتبة جامعة طهران کما فی فهرسها (9: 1090 و 1145) و نسخه ناقصة من دیوانه فی (بنگاله) و نسخه فی (سپهسالار) کما فی فهرسها 2: 666 و فی (تغ- 117) أورد رجلا باسم لسانی کاشانی‏</w:t>
      </w:r>
    </w:p>
    <w:p>
      <w:pPr>
        <w:pStyle w:val="Heading3"/>
      </w:pPr>
      <w:bookmarkStart w:id="8201" w:name="_Toc6897"/>
      <w:r>
        <w:t>6194- دیوان لسانی لاهوری‏</w:t>
      </w:r>
      <w:bookmarkEnd w:id="8201"/>
    </w:p>
    <w:p>
      <w:pPr>
        <w:pStyle w:val="BookText"/>
      </w:pPr>
      <w:r>
        <w:rPr>
          <w:rFonts w:ascii="IRNazanin" w:hAnsi="IRNazanin" w:eastAsia="IRNazanin" w:cs="IRNazanin"/>
          <w:lang w:bidi="fa-IR"/>
          <w:color w:val="111111"/>
          <w:sz w:val="28"/>
          <w:szCs w:val="28"/>
          <w:rtl/>
        </w:rPr>
        <w:t xml:space="preserve">و اسمه علی نقی بن قاسم بن فضیلت تلمیذ المولوی محمد عوض و الشیخ علی الحزین سکن عظیم‏آباد و دیوانه فی عشرة آلاف بیت أورد شعره فی (گلشن 537)</w:t>
      </w:r>
    </w:p>
    <w:p>
      <w:pPr>
        <w:pStyle w:val="Heading3"/>
      </w:pPr>
      <w:bookmarkStart w:id="8202" w:name="_Toc6898"/>
      <w:r>
        <w:t>دیوان لطف علی آذر</w:t>
      </w:r>
      <w:bookmarkEnd w:id="8202"/>
    </w:p>
    <w:p>
      <w:pPr>
        <w:pStyle w:val="BookText"/>
      </w:pPr>
      <w:r>
        <w:rPr>
          <w:rFonts w:ascii="IRNazanin" w:hAnsi="IRNazanin" w:eastAsia="IRNazanin" w:cs="IRNazanin"/>
          <w:lang w:bidi="fa-IR"/>
          <w:color w:val="111111"/>
          <w:sz w:val="28"/>
          <w:szCs w:val="28"/>
          <w:rtl/>
        </w:rPr>
        <w:t xml:space="preserve">مر بعنوان آذر و مر ابنه شرر و ابنه أخگر فی ص 509 و ترجم فی (نتایج- ص 86) أیضا</w:t>
      </w:r>
    </w:p>
    <w:p>
      <w:pPr>
        <w:pStyle w:val="Heading3"/>
      </w:pPr>
      <w:bookmarkStart w:id="8203" w:name="_Toc6899"/>
      <w:r>
        <w:t>6195- دیوان لطف علی أفشار</w:t>
      </w:r>
      <w:bookmarkEnd w:id="8203"/>
    </w:p>
    <w:p>
      <w:pPr>
        <w:pStyle w:val="BookText"/>
      </w:pPr>
      <w:r>
        <w:rPr>
          <w:rFonts w:ascii="IRNazanin" w:hAnsi="IRNazanin" w:eastAsia="IRNazanin" w:cs="IRNazanin"/>
          <w:lang w:bidi="fa-IR"/>
          <w:color w:val="111111"/>
          <w:sz w:val="28"/>
          <w:szCs w:val="28"/>
          <w:rtl/>
        </w:rPr>
        <w:t xml:space="preserve">حفید قاسم خان الأفشار ترجمه النصرآبادی فی (نر 2- ص 33) و ذکر أنه تلمذ فی المعقول علی المولی رجب علی التبریزی الحکیم من تلامیذ المولی صدرا و أورد بعض شعره و کذا فی (گلشن- ص 354)</w:t>
      </w:r>
    </w:p>
    <w:p>
      <w:pPr>
        <w:pStyle w:val="Heading3"/>
      </w:pPr>
      <w:bookmarkStart w:id="8204" w:name="_Toc6900"/>
      <w:r>
        <w:t>دیوان لطف علی بروجردی المشهدی‏</w:t>
      </w:r>
      <w:bookmarkEnd w:id="8204"/>
    </w:p>
    <w:p>
      <w:pPr>
        <w:pStyle w:val="BookText"/>
      </w:pPr>
      <w:r>
        <w:rPr>
          <w:rFonts w:ascii="IRNazanin" w:hAnsi="IRNazanin" w:eastAsia="IRNazanin" w:cs="IRNazanin"/>
          <w:lang w:bidi="fa-IR"/>
          <w:color w:val="111111"/>
          <w:sz w:val="28"/>
          <w:szCs w:val="28"/>
          <w:rtl/>
        </w:rPr>
        <w:t xml:space="preserve">المولد العارف السیاح ترجمه فی (الطرائق- ج 3 ص 113) و ذکر أن له مثنویات أورد بعضها مع إحدی رباعیاته قال و تخلصه خاکی کما مر فی ص 281</w:t>
      </w:r>
    </w:p>
    <w:p>
      <w:pPr>
        <w:pStyle w:val="Heading3"/>
      </w:pPr>
      <w:bookmarkStart w:id="8205" w:name="_Toc6901"/>
      <w:r>
        <w:t>دیوان لطف علی شیرازی‏</w:t>
      </w:r>
      <w:bookmarkEnd w:id="8205"/>
    </w:p>
    <w:p>
      <w:pPr>
        <w:pStyle w:val="BookText"/>
      </w:pPr>
      <w:r>
        <w:rPr>
          <w:rFonts w:ascii="IRNazanin" w:hAnsi="IRNazanin" w:eastAsia="IRNazanin" w:cs="IRNazanin"/>
          <w:lang w:bidi="fa-IR"/>
          <w:color w:val="111111"/>
          <w:sz w:val="28"/>
          <w:szCs w:val="28"/>
          <w:rtl/>
        </w:rPr>
        <w:t xml:space="preserve">ابن الآقا علی المدرس بها، ترجمه فی (الطرائق ج 3 ص 157) نقلا عن تذکره دلگشا تألیف الحاج علی أکبر النواب أخ لطف علی المذکور، و ذکر بعد إطرائه أنه توفی 1266 و أورد بعض أشعاره قال و تخلصه فکار کما مر فی ص 844</w:t>
      </w:r>
    </w:p>
    <w:p>
      <w:pPr>
        <w:pStyle w:val="Heading3"/>
      </w:pPr>
      <w:bookmarkStart w:id="8206" w:name="_Toc6902"/>
      <w:r>
        <w:t>دیوان لطف علی شیرازی‏</w:t>
      </w:r>
      <w:bookmarkEnd w:id="8206"/>
    </w:p>
    <w:p>
      <w:pPr>
        <w:pStyle w:val="BookText"/>
      </w:pPr>
      <w:r>
        <w:rPr>
          <w:rFonts w:ascii="IRNazanin" w:hAnsi="IRNazanin" w:eastAsia="IRNazanin" w:cs="IRNazanin"/>
          <w:lang w:bidi="fa-IR"/>
          <w:color w:val="111111"/>
          <w:sz w:val="28"/>
          <w:szCs w:val="28"/>
          <w:rtl/>
        </w:rPr>
        <w:t xml:space="preserve">راجع صورتگر فی ص 620</w:t>
      </w:r>
    </w:p>
    <w:p>
      <w:pPr>
        <w:pStyle w:val="Heading3"/>
      </w:pPr>
      <w:bookmarkStart w:id="8207" w:name="_Toc6903"/>
      <w:r>
        <w:t>6196- دیوان لطف علی بیک چرکس‏</w:t>
      </w:r>
      <w:bookmarkEnd w:id="8207"/>
    </w:p>
    <w:p>
      <w:pPr>
        <w:pStyle w:val="BookText"/>
      </w:pPr>
      <w:r>
        <w:rPr>
          <w:rFonts w:ascii="IRNazanin" w:hAnsi="IRNazanin" w:eastAsia="IRNazanin" w:cs="IRNazanin"/>
          <w:lang w:bidi="fa-IR"/>
          <w:color w:val="111111"/>
          <w:sz w:val="28"/>
          <w:szCs w:val="28"/>
          <w:rtl/>
        </w:rPr>
        <w:t xml:space="preserve">ابن إسماعیل بیک ترجمه النصرآبادی فی (نر 2- ص 44) و أورد قطعته التی طلب فیها تخلصا بعد ترکه التخلص الأول له و هو نجیب و ترجمه الحزین فی تذکرته (ص 83) و قال إن دیوانه فی أربعة آلاف بیت و مات 1120 بأصفهان و یوجد شعره فی جنگ فی جامعة طهران کما فی فهرسها 9: 1090</w:t>
      </w:r>
    </w:p>
    <w:p>
      <w:pPr>
        <w:pStyle w:val="Heading3"/>
      </w:pPr>
      <w:bookmarkStart w:id="8208" w:name="_Toc6904"/>
      <w:r>
        <w:t>6197- دیوان لطف علی نواب الهندی‏</w:t>
      </w:r>
      <w:bookmarkEnd w:id="8208"/>
    </w:p>
    <w:p>
      <w:pPr>
        <w:pStyle w:val="BookText"/>
      </w:pPr>
      <w:r>
        <w:rPr>
          <w:rFonts w:ascii="IRNazanin" w:hAnsi="IRNazanin" w:eastAsia="IRNazanin" w:cs="IRNazanin"/>
          <w:lang w:bidi="fa-IR"/>
          <w:color w:val="111111"/>
          <w:sz w:val="28"/>
          <w:szCs w:val="28"/>
          <w:rtl/>
        </w:rPr>
        <w:t xml:space="preserve">طبع له منظومة داستان سلیمان‏
</w:t>
      </w:r>
    </w:p>
    <w:p>
      <w:pPr>
        <w:sectPr>
          <w:footerReference w:type="default" r:id="rId952"/>
          <w:footnotePr>
            <w:numStart w:val="1"/>
            <w:numRestart w:val="eachPage"/>
          </w:footnotePr>
          <w:pgSz w:orient="portrait" w:w="11905.511811023622" w:h="16837.79527559055"/>
          <w:pgMar w:top="1440" w:right="1440" w:bottom="1440" w:left="1440" w:header="720" w:footer="720" w:gutter="0"/>
          <w:cols w:num="1" w:space="720"/>
        </w:sectPr>
      </w:pPr>
    </w:p>
    <w:bookmarkStart w:id="934" w:name="pg11704_122420"/>
    <w:bookmarkEnd w:id="934"/>
    <w:p>
      <w:pPr>
        <w:pStyle w:val="Heading3"/>
      </w:pPr>
      <w:bookmarkStart w:id="8209" w:name="_Toc6905"/>
      <w:r>
        <w:t>6198- دیوان الشیخ لطف الله البحرانی‏</w:t>
      </w:r>
      <w:bookmarkEnd w:id="8209"/>
    </w:p>
    <w:p>
      <w:pPr>
        <w:pStyle w:val="BookText"/>
      </w:pPr>
      <w:r>
        <w:rPr>
          <w:rFonts w:ascii="IRNazanin" w:hAnsi="IRNazanin" w:eastAsia="IRNazanin" w:cs="IRNazanin"/>
          <w:lang w:bidi="fa-IR"/>
          <w:color w:val="111111"/>
          <w:sz w:val="28"/>
          <w:szCs w:val="28"/>
          <w:rtl/>
        </w:rPr>
        <w:t xml:space="preserve">ابن محمد بن عبد المهدی بن لطف الله بن علی البحرانی الذی صحح بعض أجزاء شرح النهج لابن أبی الحدید الموجود هو فی مکتبة (سپهسالار) کما فی فهرسها ج 2 ص 48 و فرغ من التصحیح 15 شعبان 1164 و هو من الشعراء الراثین للحسین، الذین جمعهم حفید هذا الشاعر و سمیه و هو لطف الله بن علی بن لطف الله بن محمد بن عبد المهدی و هم أربعة</w:t>
      </w:r>
    </w:p>
    <w:p>
      <w:pPr>
        <w:pStyle w:val="BookText"/>
      </w:pPr>
      <w:r>
        <w:rPr>
          <w:rFonts w:ascii="IRNazanin" w:hAnsi="IRNazanin" w:eastAsia="IRNazanin" w:cs="IRNazanin"/>
          <w:lang w:bidi="fa-IR"/>
          <w:color w:val="111111"/>
          <w:sz w:val="28"/>
          <w:szCs w:val="28"/>
          <w:rtl/>
        </w:rPr>
        <w:t xml:space="preserve">و عشرون شاعرا جمع مراثیهم هذا الحفید فی مجموعة فی 1201 و هذه المجموعة بخط الحفید موجودة عند الشیخ محمد علی یعقوب الخطیب النجفی المعاصر</w:t>
      </w:r>
    </w:p>
    <w:p>
      <w:pPr>
        <w:pStyle w:val="Heading3"/>
      </w:pPr>
      <w:bookmarkStart w:id="8210" w:name="_Toc6906"/>
      <w:r>
        <w:t>6199- دیوان قاضی لطف الله بخاری‏</w:t>
      </w:r>
      <w:bookmarkEnd w:id="8210"/>
    </w:p>
    <w:p>
      <w:pPr>
        <w:pStyle w:val="BookText"/>
      </w:pPr>
      <w:r>
        <w:rPr>
          <w:rFonts w:ascii="IRNazanin" w:hAnsi="IRNazanin" w:eastAsia="IRNazanin" w:cs="IRNazanin"/>
          <w:lang w:bidi="fa-IR"/>
          <w:color w:val="111111"/>
          <w:sz w:val="28"/>
          <w:szCs w:val="28"/>
          <w:rtl/>
        </w:rPr>
        <w:t xml:space="preserve">المدرس فی مدرسة عبد العزیز خان ترجمه النصرآبادی فی (نر 10- ص 439) و أورد شعره‏</w:t>
      </w:r>
    </w:p>
    <w:p>
      <w:pPr>
        <w:pStyle w:val="Heading3"/>
      </w:pPr>
      <w:bookmarkStart w:id="8211" w:name="_Toc6907"/>
      <w:r>
        <w:t>دیوان میرزا لطف الله تبریزی‏</w:t>
      </w:r>
      <w:bookmarkEnd w:id="8211"/>
    </w:p>
    <w:p>
      <w:pPr>
        <w:pStyle w:val="BookText"/>
      </w:pPr>
      <w:r>
        <w:rPr>
          <w:rFonts w:ascii="IRNazanin" w:hAnsi="IRNazanin" w:eastAsia="IRNazanin" w:cs="IRNazanin"/>
          <w:lang w:bidi="fa-IR"/>
          <w:color w:val="111111"/>
          <w:sz w:val="28"/>
          <w:szCs w:val="28"/>
          <w:rtl/>
        </w:rPr>
        <w:t xml:space="preserve">ابن الحاج شکر الله المتخلص مخمور ترجمه فی (دجا- ص 339) یأتی‏</w:t>
      </w:r>
    </w:p>
    <w:p>
      <w:pPr>
        <w:pStyle w:val="Heading3"/>
      </w:pPr>
      <w:bookmarkStart w:id="8212" w:name="_Toc6908"/>
      <w:r>
        <w:t>6200- دیوان الشیخ لطف الله الجد حفصی‏</w:t>
      </w:r>
      <w:bookmarkEnd w:id="8212"/>
    </w:p>
    <w:p>
      <w:pPr>
        <w:pStyle w:val="BookText"/>
      </w:pPr>
      <w:r>
        <w:rPr>
          <w:rFonts w:ascii="IRNazanin" w:hAnsi="IRNazanin" w:eastAsia="IRNazanin" w:cs="IRNazanin"/>
          <w:lang w:bidi="fa-IR"/>
          <w:color w:val="111111"/>
          <w:sz w:val="28"/>
          <w:szCs w:val="28"/>
          <w:rtl/>
        </w:rPr>
        <w:t xml:space="preserve">فی رثاء الحسین و هو ابن الشیخ علی بن لطف الله البحرانی المذکور آنفا و هو المؤلف للمجموعة فی 1201 و قد أدرج فی المجموعة مراثی نفسه أیضا</w:t>
      </w:r>
    </w:p>
    <w:p>
      <w:pPr>
        <w:pStyle w:val="Heading3"/>
      </w:pPr>
      <w:bookmarkStart w:id="8213" w:name="_Toc6909"/>
      <w:r>
        <w:t>6201- دیوان السید لطف الله‏</w:t>
      </w:r>
      <w:bookmarkEnd w:id="8213"/>
    </w:p>
    <w:p>
      <w:pPr>
        <w:pStyle w:val="BookText"/>
      </w:pPr>
      <w:r>
        <w:rPr>
          <w:rFonts w:ascii="IRNazanin" w:hAnsi="IRNazanin" w:eastAsia="IRNazanin" w:cs="IRNazanin"/>
          <w:lang w:bidi="fa-IR"/>
          <w:color w:val="111111"/>
          <w:sz w:val="28"/>
          <w:szCs w:val="28"/>
          <w:rtl/>
        </w:rPr>
        <w:t xml:space="preserve">ابن عطاء الله بن أحمد الحسینی الشجری النیشابوری أستاذ الشیخ منتجب الدین و تلمیذ الشیخ أبی علی الحسن بن محمد الطوسی یشتمل علی عشرة آلاف بیت کما ذکره تلمیذه المنتجب فی فهرست‏</w:t>
      </w:r>
    </w:p>
    <w:p>
      <w:pPr>
        <w:pStyle w:val="Heading3"/>
      </w:pPr>
      <w:bookmarkStart w:id="8214" w:name="_Toc6910"/>
      <w:r>
        <w:t>6202- دیوان لطف الله نیشابوری‏</w:t>
      </w:r>
      <w:bookmarkEnd w:id="8214"/>
    </w:p>
    <w:p>
      <w:pPr>
        <w:pStyle w:val="BookText"/>
      </w:pPr>
      <w:r>
        <w:rPr>
          <w:rFonts w:ascii="IRNazanin" w:hAnsi="IRNazanin" w:eastAsia="IRNazanin" w:cs="IRNazanin"/>
          <w:lang w:bidi="fa-IR"/>
          <w:color w:val="111111"/>
          <w:sz w:val="28"/>
          <w:szCs w:val="28"/>
          <w:rtl/>
        </w:rPr>
        <w:t xml:space="preserve">ترجمه فی (خز- ص 397) و ذکر أنه کان مداح أمیر تیمور گورکان و له أشعار کثیرة فی مدح ولده میران شاه و أورد بعض شعره و فی (مجالس العشاق- ص 141) أنه توفی 786 و فی (لب 5) و شاهد صادق 810 قالوا و وجد فی یده بعد موته کاغذ مکتوب فیه رباعیة و انتقل من نیشابور إلی قریة إسفریس التی فیها قدمگاه المنسوب إلی الإمام الرضا، و عمر هناک بستانا یسکنها إلی أن دفن قرب جبل هناک و ترجمه فی (مع- ج 2 ص 29) و ذکر إرادته لشاه نعمة الله الکرمانی و موته فی 786 و أورد بعض قصیدته فی مدح أمیر المؤمنین و ترجمه أیضا فی (تش- 140) و (لس- ص 417) و (تغ- 117) و (روشن- 596) و جاء شعره فی گلستان مسرت‏
</w:t>
      </w:r>
    </w:p>
    <w:p>
      <w:pPr>
        <w:sectPr>
          <w:footerReference w:type="default" r:id="rId953"/>
          <w:footnotePr>
            <w:numStart w:val="1"/>
            <w:numRestart w:val="eachPage"/>
          </w:footnotePr>
          <w:pgSz w:orient="portrait" w:w="11905.511811023622" w:h="16837.79527559055"/>
          <w:pgMar w:top="1440" w:right="1440" w:bottom="1440" w:left="1440" w:header="720" w:footer="720" w:gutter="0"/>
          <w:cols w:num="1" w:space="720"/>
        </w:sectPr>
      </w:pPr>
    </w:p>
    <w:bookmarkStart w:id="935" w:name="pg11704_122421"/>
    <w:bookmarkEnd w:id="935"/>
    <w:p>
      <w:pPr>
        <w:pStyle w:val="BookText"/>
      </w:pPr>
      <w:r>
        <w:rPr>
          <w:rFonts w:ascii="IRNazanin" w:hAnsi="IRNazanin" w:eastAsia="IRNazanin" w:cs="IRNazanin"/>
          <w:lang w:bidi="fa-IR"/>
          <w:color w:val="111111"/>
          <w:sz w:val="28"/>
          <w:szCs w:val="28"/>
          <w:rtl/>
        </w:rPr>
        <w:t xml:space="preserve">و (خیال- ص 57) و توجد نسخه من دیوانه بخط سیمی النیشابوری الشاعر المعاصر له فی المکتبة (الملیة) بطهران کما فی از سعدی تا جامی- ص 559 و نقل عنه الشیخ آذری فی جواهر الآثار</w:t>
      </w:r>
    </w:p>
    <w:p>
      <w:pPr>
        <w:pStyle w:val="Heading3"/>
      </w:pPr>
      <w:bookmarkStart w:id="8215" w:name="_Toc6911"/>
      <w:r>
        <w:t>6203- دیوان لطفی أصفهانی أو شعره‏</w:t>
      </w:r>
      <w:bookmarkEnd w:id="8215"/>
    </w:p>
    <w:p>
      <w:pPr>
        <w:pStyle w:val="BookText"/>
      </w:pPr>
      <w:r>
        <w:rPr>
          <w:rFonts w:ascii="IRNazanin" w:hAnsi="IRNazanin" w:eastAsia="IRNazanin" w:cs="IRNazanin"/>
          <w:lang w:bidi="fa-IR"/>
          <w:color w:val="111111"/>
          <w:sz w:val="28"/>
          <w:szCs w:val="28"/>
          <w:rtl/>
        </w:rPr>
        <w:t xml:space="preserve">ترجمه و أورد شعره فی (گلشن- ص 354) و همیشه بهار</w:t>
      </w:r>
    </w:p>
    <w:p>
      <w:pPr>
        <w:pStyle w:val="Heading3"/>
      </w:pPr>
      <w:bookmarkStart w:id="8216" w:name="_Toc6912"/>
      <w:r>
        <w:t>6204- دیوان لطفی تاشکندی أو شعره‏</w:t>
      </w:r>
      <w:bookmarkEnd w:id="8216"/>
    </w:p>
    <w:p>
      <w:pPr>
        <w:pStyle w:val="BookText"/>
      </w:pPr>
      <w:r>
        <w:rPr>
          <w:rFonts w:ascii="IRNazanin" w:hAnsi="IRNazanin" w:eastAsia="IRNazanin" w:cs="IRNazanin"/>
          <w:lang w:bidi="fa-IR"/>
          <w:color w:val="111111"/>
          <w:sz w:val="28"/>
          <w:szCs w:val="28"/>
          <w:rtl/>
        </w:rPr>
        <w:t xml:space="preserve">ترجمه فی (مجتس 6- ص 164) و ذکر تعشقه لشاب و أورد شعره فیه‏</w:t>
      </w:r>
    </w:p>
    <w:p>
      <w:pPr>
        <w:pStyle w:val="Heading3"/>
      </w:pPr>
      <w:bookmarkStart w:id="8217" w:name="_Toc6913"/>
      <w:r>
        <w:t>6205- دیوان لطفی تبریزی أو شعره‏</w:t>
      </w:r>
      <w:bookmarkEnd w:id="8217"/>
    </w:p>
    <w:p>
      <w:pPr>
        <w:pStyle w:val="BookText"/>
      </w:pPr>
      <w:r>
        <w:rPr>
          <w:rFonts w:ascii="IRNazanin" w:hAnsi="IRNazanin" w:eastAsia="IRNazanin" w:cs="IRNazanin"/>
          <w:lang w:bidi="fa-IR"/>
          <w:color w:val="111111"/>
          <w:sz w:val="28"/>
          <w:szCs w:val="28"/>
          <w:rtl/>
        </w:rPr>
        <w:t xml:space="preserve">و هو ابن عرفی (کمانگر) القواس (موزون الملک) ترجمه فی (دجا- ص 321) و أورد شعره فی (گلشن 6- ص 355)</w:t>
      </w:r>
    </w:p>
    <w:p>
      <w:pPr>
        <w:pStyle w:val="Heading3"/>
      </w:pPr>
      <w:bookmarkStart w:id="8218" w:name="_Toc6914"/>
      <w:r>
        <w:t>6206- دیوان لطفی شیرازی أو شعره‏</w:t>
      </w:r>
      <w:bookmarkEnd w:id="8218"/>
    </w:p>
    <w:p>
      <w:pPr>
        <w:pStyle w:val="BookText"/>
      </w:pPr>
      <w:r>
        <w:rPr>
          <w:rFonts w:ascii="IRNazanin" w:hAnsi="IRNazanin" w:eastAsia="IRNazanin" w:cs="IRNazanin"/>
          <w:lang w:bidi="fa-IR"/>
          <w:color w:val="111111"/>
          <w:sz w:val="28"/>
          <w:szCs w:val="28"/>
          <w:rtl/>
        </w:rPr>
        <w:t xml:space="preserve">ترجمه و أورد شعره فی (حسینی ص 285) و (ض- ص 398) و (فارس‏نامه: 2- ص 150) و توجد شعره فی جنگ بجامعة طهران کما فی فهرسها 9: 1145</w:t>
      </w:r>
    </w:p>
    <w:p>
      <w:pPr>
        <w:pStyle w:val="Heading3"/>
      </w:pPr>
      <w:bookmarkStart w:id="8219" w:name="_Toc6915"/>
      <w:r>
        <w:t>6207- دیوان لطفی طهرانی أو شعره-</w:t>
      </w:r>
      <w:bookmarkEnd w:id="8219"/>
    </w:p>
    <w:p>
      <w:pPr>
        <w:pStyle w:val="BookText"/>
      </w:pPr>
      <w:r>
        <w:rPr>
          <w:rFonts w:ascii="IRNazanin" w:hAnsi="IRNazanin" w:eastAsia="IRNazanin" w:cs="IRNazanin"/>
          <w:lang w:bidi="fa-IR"/>
          <w:color w:val="111111"/>
          <w:sz w:val="28"/>
          <w:szCs w:val="28"/>
          <w:rtl/>
        </w:rPr>
        <w:t xml:space="preserve">ترجمه و أورد شعره فی (تش- ص 216) و قال کان صرافا و کذا فی (گلشن- ص 355)</w:t>
      </w:r>
    </w:p>
    <w:p>
      <w:pPr>
        <w:pStyle w:val="Heading3"/>
      </w:pPr>
      <w:bookmarkStart w:id="8220" w:name="_Toc6916"/>
      <w:r>
        <w:t>6208- دیوان لطفی مشهدی أو شعره‏</w:t>
      </w:r>
      <w:bookmarkEnd w:id="8220"/>
    </w:p>
    <w:p>
      <w:pPr>
        <w:pStyle w:val="BookText"/>
      </w:pPr>
      <w:r>
        <w:rPr>
          <w:rFonts w:ascii="IRNazanin" w:hAnsi="IRNazanin" w:eastAsia="IRNazanin" w:cs="IRNazanin"/>
          <w:lang w:bidi="fa-IR"/>
          <w:color w:val="111111"/>
          <w:sz w:val="28"/>
          <w:szCs w:val="28"/>
          <w:rtl/>
        </w:rPr>
        <w:t xml:space="preserve">ترجمه فی (لط 2- ص 71) و ذکر أنه کان من ظرفائها و أورد شعره و کذا فی (گلشن- ص 355) و (مطلع 2: 441) و (تغ: 117)</w:t>
      </w:r>
    </w:p>
    <w:p>
      <w:pPr>
        <w:pStyle w:val="Heading3"/>
      </w:pPr>
      <w:bookmarkStart w:id="8221" w:name="_Toc6917"/>
      <w:r>
        <w:t>6209- دیوان لطفی منجم أو شعره‏</w:t>
      </w:r>
      <w:bookmarkEnd w:id="8221"/>
    </w:p>
    <w:p>
      <w:pPr>
        <w:pStyle w:val="BookText"/>
      </w:pPr>
      <w:r>
        <w:rPr>
          <w:rFonts w:ascii="IRNazanin" w:hAnsi="IRNazanin" w:eastAsia="IRNazanin" w:cs="IRNazanin"/>
          <w:lang w:bidi="fa-IR"/>
          <w:color w:val="111111"/>
          <w:sz w:val="28"/>
          <w:szCs w:val="28"/>
          <w:rtl/>
        </w:rPr>
        <w:t xml:space="preserve">کان ماهرا فی الشعر و النجوم ترجمه و أورد شعره فی (طبق 2- ص 501) و (تغ: 117)</w:t>
      </w:r>
    </w:p>
    <w:p>
      <w:pPr>
        <w:pStyle w:val="Heading3"/>
      </w:pPr>
      <w:bookmarkStart w:id="8222" w:name="_Toc6918"/>
      <w:r>
        <w:t>6210- دیوان لطفی نیشابوری أو شعره‏</w:t>
      </w:r>
      <w:bookmarkEnd w:id="8222"/>
    </w:p>
    <w:p>
      <w:pPr>
        <w:pStyle w:val="BookText"/>
      </w:pPr>
      <w:r>
        <w:rPr>
          <w:rFonts w:ascii="IRNazanin" w:hAnsi="IRNazanin" w:eastAsia="IRNazanin" w:cs="IRNazanin"/>
          <w:lang w:bidi="fa-IR"/>
          <w:color w:val="111111"/>
          <w:sz w:val="28"/>
          <w:szCs w:val="28"/>
          <w:rtl/>
        </w:rPr>
        <w:t xml:space="preserve">کان صهر المولی قیدی ترجمه معاصره النصرآبادی فی (نر 9- ص 315) و أورد عدة من أشعاره و رباعیاته و کذا فی (تش- ص 141) و (مسرت 234)</w:t>
      </w:r>
    </w:p>
    <w:p>
      <w:pPr>
        <w:pStyle w:val="Heading3"/>
      </w:pPr>
      <w:bookmarkStart w:id="8223" w:name="_Toc6919"/>
      <w:r>
        <w:t>6211- دیوان لطفی هروی‏</w:t>
      </w:r>
      <w:bookmarkEnd w:id="8223"/>
    </w:p>
    <w:p>
      <w:pPr>
        <w:pStyle w:val="BookText"/>
      </w:pPr>
      <w:r>
        <w:rPr>
          <w:rFonts w:ascii="IRNazanin" w:hAnsi="IRNazanin" w:eastAsia="IRNazanin" w:cs="IRNazanin"/>
          <w:lang w:bidi="fa-IR"/>
          <w:color w:val="111111"/>
          <w:sz w:val="28"/>
          <w:szCs w:val="28"/>
          <w:rtl/>
        </w:rPr>
        <w:t xml:space="preserve">هو ملک الکلام فی عصره بالفارسیة و الترکیة عمر تسعا و تسعین سنة و فی أواخر عمره نظم قصیدة بردیف آفتاب لم یقدر علی تتبعه أحد کما وصفه میر علی شیر فی (مجن 2 ص 49 و ص 223) و قال إنه جمع الظاهر و الباطن، و قد قرأ علی فاتحة حصلت لی بها فتوحات قال و أنشأ مطلعا و أوصی إلی الجامی أن یتمه‏
</w:t>
      </w:r>
    </w:p>
    <w:p>
      <w:pPr>
        <w:sectPr>
          <w:footerReference w:type="default" r:id="rId954"/>
          <w:footnotePr>
            <w:numStart w:val="1"/>
            <w:numRestart w:val="eachPage"/>
          </w:footnotePr>
          <w:pgSz w:orient="portrait" w:w="11905.511811023622" w:h="16837.79527559055"/>
          <w:pgMar w:top="1440" w:right="1440" w:bottom="1440" w:left="1440" w:header="720" w:footer="720" w:gutter="0"/>
          <w:cols w:num="1" w:space="720"/>
        </w:sectPr>
      </w:pPr>
    </w:p>
    <w:bookmarkStart w:id="936" w:name="pg11704_122422"/>
    <w:bookmarkEnd w:id="936"/>
    <w:p>
      <w:pPr>
        <w:pStyle w:val="BookText"/>
      </w:pPr>
      <w:r>
        <w:rPr>
          <w:rFonts w:ascii="IRNazanin" w:hAnsi="IRNazanin" w:eastAsia="IRNazanin" w:cs="IRNazanin"/>
          <w:lang w:bidi="fa-IR"/>
          <w:color w:val="111111"/>
          <w:sz w:val="28"/>
          <w:szCs w:val="28"/>
          <w:rtl/>
        </w:rPr>
        <w:t xml:space="preserve">غزلا فی دیوانه ففعل. و له مثنوی فی عشرة آلاف بیت. و یوجد دیوان لطفی هذا فی مکتبة (سپهسالار) کما فصل ذلک فی فهرسها (ج 2 ص 667) مدح فی أوله شاه‏رخ میرزا ابن تیمور گورکان الذی مات 850.</w:t>
      </w:r>
    </w:p>
    <w:p>
      <w:pPr>
        <w:pStyle w:val="Heading3"/>
      </w:pPr>
      <w:bookmarkStart w:id="8224" w:name="_Toc6920"/>
      <w:r>
        <w:t>6212- دیوان لطیف أصفهانی أو شعره‏</w:t>
      </w:r>
      <w:bookmarkEnd w:id="8224"/>
    </w:p>
    <w:p>
      <w:pPr>
        <w:pStyle w:val="BookText"/>
      </w:pPr>
      <w:r>
        <w:rPr>
          <w:rFonts w:ascii="IRNazanin" w:hAnsi="IRNazanin" w:eastAsia="IRNazanin" w:cs="IRNazanin"/>
          <w:lang w:bidi="fa-IR"/>
          <w:color w:val="111111"/>
          <w:sz w:val="28"/>
          <w:szCs w:val="28"/>
          <w:rtl/>
        </w:rPr>
        <w:t xml:space="preserve">ترجمه معاصره فی (مع 2: ص 430) و ذکر أن اسمه المیرزا عبد اللطیف و أورد بعض هزلیاته. و قال فی (گلشن- ص 355) إنه جاء إلی دهلی فی عهد محمد شاه.</w:t>
      </w:r>
    </w:p>
    <w:p>
      <w:pPr>
        <w:pStyle w:val="Heading3"/>
      </w:pPr>
      <w:bookmarkStart w:id="8225" w:name="_Toc6921"/>
      <w:r>
        <w:t>6213- دیوان لطیف أصفهانی البصری‏</w:t>
      </w:r>
      <w:bookmarkEnd w:id="8225"/>
    </w:p>
    <w:p>
      <w:pPr>
        <w:pStyle w:val="BookText"/>
      </w:pPr>
      <w:r>
        <w:rPr>
          <w:rFonts w:ascii="IRNazanin" w:hAnsi="IRNazanin" w:eastAsia="IRNazanin" w:cs="IRNazanin"/>
          <w:lang w:bidi="fa-IR"/>
          <w:color w:val="111111"/>
          <w:sz w:val="28"/>
          <w:szCs w:val="28"/>
          <w:rtl/>
        </w:rPr>
        <w:t xml:space="preserve">المتوفی بهراة ترجمه معاصر النصرآبادی فی (نر 9 ص 395) و ذکر أنه کان أولا فی لباس القلندریة فیقال له لطیفا قلندر و هاجر من أصفهان إلی البصرة عند علی پاشا و أورد بعض أشعاره.</w:t>
      </w:r>
    </w:p>
    <w:p>
      <w:pPr>
        <w:pStyle w:val="Heading3"/>
      </w:pPr>
      <w:bookmarkStart w:id="8226" w:name="_Toc6922"/>
      <w:r>
        <w:t>6214- دیوان لطیف خراسانی هروی أو شعره‏</w:t>
      </w:r>
      <w:bookmarkEnd w:id="8226"/>
    </w:p>
    <w:p>
      <w:pPr>
        <w:pStyle w:val="BookText"/>
      </w:pPr>
      <w:r>
        <w:rPr>
          <w:rFonts w:ascii="IRNazanin" w:hAnsi="IRNazanin" w:eastAsia="IRNazanin" w:cs="IRNazanin"/>
          <w:lang w:bidi="fa-IR"/>
          <w:color w:val="111111"/>
          <w:sz w:val="28"/>
          <w:szCs w:val="28"/>
          <w:rtl/>
        </w:rPr>
        <w:t xml:space="preserve">ترجمه معاصره فی (مجتس 2:</w:t>
      </w:r>
    </w:p>
    <w:p>
      <w:pPr>
        <w:pStyle w:val="BookText"/>
      </w:pPr>
      <w:r>
        <w:rPr>
          <w:rFonts w:ascii="Times New Roman" w:hAnsi="Times New Roman" w:eastAsia="Times New Roman" w:cs="Times New Roman"/>
          <w:lang w:val="en-US" w:bidi="en-US"/>
          <w:color w:val="111111"/>
          <w:sz w:val="28"/>
          <w:szCs w:val="28"/>
          <w:rtl/>
        </w:rPr>
        <w:t xml:space="preserve">394.</w:t>
      </w:r>
    </w:p>
    <w:p>
      <w:pPr>
        <w:pStyle w:val="BookText"/>
      </w:pPr>
      <w:r>
        <w:rPr>
          <w:rFonts w:ascii="IRNazanin" w:hAnsi="IRNazanin" w:eastAsia="IRNazanin" w:cs="IRNazanin"/>
          <w:lang w:bidi="fa-IR"/>
          <w:color w:val="111111"/>
          <w:sz w:val="28"/>
          <w:szCs w:val="28"/>
          <w:rtl/>
        </w:rPr>
        <w:t xml:space="preserve">و أورد رباعیه الظریف.</w:t>
      </w:r>
    </w:p>
    <w:p>
      <w:pPr>
        <w:pStyle w:val="Heading3"/>
      </w:pPr>
      <w:bookmarkStart w:id="8227" w:name="_Toc6923"/>
      <w:r>
        <w:t>6215- دیوان لطیف قزوینی أو شعره‏</w:t>
      </w:r>
      <w:bookmarkEnd w:id="8227"/>
    </w:p>
    <w:p>
      <w:pPr>
        <w:pStyle w:val="BookText"/>
      </w:pPr>
      <w:r>
        <w:rPr>
          <w:rFonts w:ascii="IRNazanin" w:hAnsi="IRNazanin" w:eastAsia="IRNazanin" w:cs="IRNazanin"/>
          <w:lang w:bidi="fa-IR"/>
          <w:color w:val="111111"/>
          <w:sz w:val="28"/>
          <w:szCs w:val="28"/>
          <w:rtl/>
        </w:rPr>
        <w:t xml:space="preserve">ترجمه و أورد شعره فی (گلشن- ص 356).</w:t>
      </w:r>
    </w:p>
    <w:p>
      <w:pPr>
        <w:pStyle w:val="Heading3"/>
      </w:pPr>
      <w:bookmarkStart w:id="8228" w:name="_Toc6924"/>
      <w:r>
        <w:t>دیوان لطیف مراغی‏</w:t>
      </w:r>
      <w:bookmarkEnd w:id="8228"/>
    </w:p>
    <w:p>
      <w:pPr>
        <w:pStyle w:val="BookText"/>
      </w:pPr>
      <w:r>
        <w:rPr>
          <w:rFonts w:ascii="IRNazanin" w:hAnsi="IRNazanin" w:eastAsia="IRNazanin" w:cs="IRNazanin"/>
          <w:lang w:bidi="fa-IR"/>
          <w:color w:val="111111"/>
          <w:sz w:val="28"/>
          <w:szCs w:val="28"/>
          <w:rtl/>
        </w:rPr>
        <w:t xml:space="preserve">و تخلصه زکی کاشغری کما مر فی ص 403 ترجمه فی (دجا- ص 321) و أورد رباعیه عن (گلشن- ص 356).</w:t>
      </w:r>
    </w:p>
    <w:p>
      <w:pPr>
        <w:pStyle w:val="Heading3"/>
      </w:pPr>
      <w:bookmarkStart w:id="8229" w:name="_Toc6925"/>
      <w:r>
        <w:t>6216- دیوان لطیفی أو شعره‏</w:t>
      </w:r>
      <w:bookmarkEnd w:id="8229"/>
    </w:p>
    <w:p>
      <w:pPr>
        <w:pStyle w:val="BookText"/>
      </w:pPr>
      <w:r>
        <w:rPr>
          <w:rFonts w:ascii="IRNazanin" w:hAnsi="IRNazanin" w:eastAsia="IRNazanin" w:cs="IRNazanin"/>
          <w:lang w:bidi="fa-IR"/>
          <w:color w:val="111111"/>
          <w:sz w:val="28"/>
          <w:szCs w:val="28"/>
          <w:rtl/>
        </w:rPr>
        <w:t xml:space="preserve">کان مزاحا و توفی شابا. ترجمه فی (مجن 2- ص 51 و 225) و أورد شعره.</w:t>
      </w:r>
    </w:p>
    <w:p>
      <w:pPr>
        <w:pStyle w:val="Heading3"/>
      </w:pPr>
      <w:bookmarkStart w:id="8230" w:name="_Toc6926"/>
      <w:r>
        <w:t>6217- دیوان لطیفی أردبیلی أو شعره‏</w:t>
      </w:r>
      <w:bookmarkEnd w:id="8230"/>
    </w:p>
    <w:p>
      <w:pPr>
        <w:pStyle w:val="BookText"/>
      </w:pPr>
      <w:r>
        <w:rPr>
          <w:rFonts w:ascii="IRNazanin" w:hAnsi="IRNazanin" w:eastAsia="IRNazanin" w:cs="IRNazanin"/>
          <w:lang w:bidi="fa-IR"/>
          <w:color w:val="111111"/>
          <w:sz w:val="28"/>
          <w:szCs w:val="28"/>
          <w:rtl/>
        </w:rPr>
        <w:t xml:space="preserve">و هو شمس الدین محمد بن القاضی‏زاده الأردبیلی ابن القاضی الکبیر المذکور فی ص 868 و 869 و ج 10 و ص 123.</w:t>
      </w:r>
    </w:p>
    <w:p>
      <w:pPr>
        <w:pStyle w:val="Heading3"/>
      </w:pPr>
      <w:bookmarkStart w:id="8231" w:name="_Toc6927"/>
      <w:r>
        <w:t>6218- دیوان لطیفی جونپوری‏</w:t>
      </w:r>
      <w:bookmarkEnd w:id="8231"/>
    </w:p>
    <w:p>
      <w:pPr>
        <w:pStyle w:val="BookText"/>
      </w:pPr>
      <w:r>
        <w:rPr>
          <w:rFonts w:ascii="IRNazanin" w:hAnsi="IRNazanin" w:eastAsia="IRNazanin" w:cs="IRNazanin"/>
          <w:lang w:bidi="fa-IR"/>
          <w:color w:val="111111"/>
          <w:sz w:val="28"/>
          <w:szCs w:val="28"/>
          <w:rtl/>
        </w:rPr>
        <w:t xml:space="preserve">له دیوان و مثنوی فی قبال الحدیقة للسنائی سماه منازل أورد شعره فی (گلشن- ص 356).</w:t>
      </w:r>
    </w:p>
    <w:p>
      <w:pPr>
        <w:pStyle w:val="Heading3"/>
      </w:pPr>
      <w:bookmarkStart w:id="8232" w:name="_Toc6928"/>
      <w:r>
        <w:t>6219- دیوان لعلی بدخشانی أو شعره‏</w:t>
      </w:r>
      <w:bookmarkEnd w:id="8232"/>
    </w:p>
    <w:p>
      <w:pPr>
        <w:pStyle w:val="BookText"/>
      </w:pPr>
      <w:r>
        <w:rPr>
          <w:rFonts w:ascii="IRNazanin" w:hAnsi="IRNazanin" w:eastAsia="IRNazanin" w:cs="IRNazanin"/>
          <w:lang w:bidi="fa-IR"/>
          <w:color w:val="111111"/>
          <w:sz w:val="28"/>
          <w:szCs w:val="28"/>
          <w:rtl/>
        </w:rPr>
        <w:t xml:space="preserve">کان یعرف بلعلی میرزا ابن شاه قلی سلطان من أمراء أکبر شاه و مصاحب الشیخ عبد القادر البدیوانی صاحب منتخب التواریخ ترجمه و أورد شعره فی (روشن- ص 598).</w:t>
      </w:r>
    </w:p>
    <w:p>
      <w:pPr>
        <w:pStyle w:val="Heading3"/>
      </w:pPr>
      <w:bookmarkStart w:id="8233" w:name="_Toc6929"/>
      <w:r>
        <w:t>6220- دیوان لعلی تبریزی‏</w:t>
      </w:r>
      <w:bookmarkEnd w:id="8233"/>
    </w:p>
    <w:p>
      <w:pPr>
        <w:pStyle w:val="BookText"/>
      </w:pPr>
      <w:r>
        <w:rPr>
          <w:rFonts w:ascii="IRNazanin" w:hAnsi="IRNazanin" w:eastAsia="IRNazanin" w:cs="IRNazanin"/>
          <w:lang w:bidi="fa-IR"/>
          <w:color w:val="111111"/>
          <w:sz w:val="28"/>
          <w:szCs w:val="28"/>
          <w:rtl/>
        </w:rPr>
        <w:t xml:space="preserve">للمیرزا علی خان شمس الحکماء ابن الحاج آقا
</w:t>
      </w:r>
    </w:p>
    <w:p>
      <w:pPr>
        <w:sectPr>
          <w:footerReference w:type="default" r:id="rId955"/>
          <w:footnotePr>
            <w:numStart w:val="1"/>
            <w:numRestart w:val="eachPage"/>
          </w:footnotePr>
          <w:pgSz w:orient="portrait" w:w="11905.511811023622" w:h="16837.79527559055"/>
          <w:pgMar w:top="1440" w:right="1440" w:bottom="1440" w:left="1440" w:header="720" w:footer="720" w:gutter="0"/>
          <w:cols w:num="1" w:space="720"/>
        </w:sectPr>
      </w:pPr>
    </w:p>
    <w:bookmarkStart w:id="937" w:name="pg11704_122423"/>
    <w:bookmarkEnd w:id="937"/>
    <w:p>
      <w:pPr>
        <w:pStyle w:val="BookText"/>
      </w:pPr>
      <w:r>
        <w:rPr>
          <w:rFonts w:ascii="IRNazanin" w:hAnsi="IRNazanin" w:eastAsia="IRNazanin" w:cs="IRNazanin"/>
          <w:lang w:bidi="fa-IR"/>
          <w:color w:val="111111"/>
          <w:sz w:val="28"/>
          <w:szCs w:val="28"/>
          <w:rtl/>
        </w:rPr>
        <w:t xml:space="preserve">میرزا الإیروانی نزیل تبریز المولود بها 1261 و المتوفی بتفلیس 1325. ترجمه فی (دجا- ص 321). طبع دیوانه فی تبریز مرتین فی 328 ص. بما فیه القصائد و الرباعیات الفارسیة و الترکیة و المراثی و له أشعار أخر ذکر بعضها فی تقویم تربیت و ترجم أحواله فی مجلة نشریة دانشکده أدبیات تبریز فی 1335 ش.</w:t>
      </w:r>
    </w:p>
    <w:p>
      <w:pPr>
        <w:pStyle w:val="Heading3"/>
      </w:pPr>
      <w:bookmarkStart w:id="8234" w:name="_Toc6930"/>
      <w:r>
        <w:t>6221- دیوان لقای یزدی أو شعرها</w:t>
      </w:r>
      <w:bookmarkEnd w:id="8234"/>
    </w:p>
    <w:p>
      <w:pPr>
        <w:pStyle w:val="BookText"/>
      </w:pPr>
      <w:r>
        <w:rPr>
          <w:rFonts w:ascii="IRNazanin" w:hAnsi="IRNazanin" w:eastAsia="IRNazanin" w:cs="IRNazanin"/>
          <w:lang w:bidi="fa-IR"/>
          <w:color w:val="111111"/>
          <w:sz w:val="28"/>
          <w:szCs w:val="28"/>
          <w:rtl/>
        </w:rPr>
        <w:t xml:space="preserve">و هی الأدیبة الشاعرة الیزدیة من أهل تفت اسمها فرخ لقا، کانت فی تفت أواخر عصر الصفویة ترجمها آیتی فی (تش یز- ص 327) و أورد بعض شعرها.</w:t>
      </w:r>
    </w:p>
    <w:p>
      <w:pPr>
        <w:pStyle w:val="Heading3"/>
      </w:pPr>
      <w:bookmarkStart w:id="8235" w:name="_Toc6931"/>
      <w:r>
        <w:t>6222- دیوان لقائی خراسانی أو شعره‏</w:t>
      </w:r>
      <w:bookmarkEnd w:id="8235"/>
    </w:p>
    <w:p>
      <w:pPr>
        <w:pStyle w:val="BookText"/>
      </w:pPr>
      <w:r>
        <w:rPr>
          <w:rFonts w:ascii="IRNazanin" w:hAnsi="IRNazanin" w:eastAsia="IRNazanin" w:cs="IRNazanin"/>
          <w:lang w:bidi="fa-IR"/>
          <w:color w:val="111111"/>
          <w:sz w:val="28"/>
          <w:szCs w:val="28"/>
          <w:rtl/>
        </w:rPr>
        <w:t xml:space="preserve">أطری شعره فی (مجتس 6- ص 155).</w:t>
      </w:r>
    </w:p>
    <w:p>
      <w:pPr>
        <w:pStyle w:val="Heading3"/>
      </w:pPr>
      <w:bookmarkStart w:id="8236" w:name="_Toc6932"/>
      <w:r>
        <w:t>دیوان لقائی خوارزمی‏</w:t>
      </w:r>
      <w:bookmarkEnd w:id="8236"/>
    </w:p>
    <w:p>
      <w:pPr>
        <w:pStyle w:val="BookText"/>
      </w:pPr>
      <w:r>
        <w:rPr>
          <w:rFonts w:ascii="IRNazanin" w:hAnsi="IRNazanin" w:eastAsia="IRNazanin" w:cs="IRNazanin"/>
          <w:lang w:bidi="fa-IR"/>
          <w:color w:val="111111"/>
          <w:sz w:val="28"/>
          <w:szCs w:val="28"/>
          <w:rtl/>
        </w:rPr>
        <w:t xml:space="preserve">مر فی ص 139 بعنوان بقائی.</w:t>
      </w:r>
    </w:p>
    <w:p>
      <w:pPr>
        <w:pStyle w:val="Heading3"/>
      </w:pPr>
      <w:bookmarkStart w:id="8237" w:name="_Toc6933"/>
      <w:r>
        <w:t>6223- دیوان لقائی سمرقندی أو شعره‏</w:t>
      </w:r>
      <w:bookmarkEnd w:id="8237"/>
    </w:p>
    <w:p>
      <w:pPr>
        <w:pStyle w:val="BookText"/>
      </w:pPr>
      <w:r>
        <w:rPr>
          <w:rFonts w:ascii="IRNazanin" w:hAnsi="IRNazanin" w:eastAsia="IRNazanin" w:cs="IRNazanin"/>
          <w:lang w:bidi="fa-IR"/>
          <w:color w:val="111111"/>
          <w:sz w:val="28"/>
          <w:szCs w:val="28"/>
          <w:rtl/>
        </w:rPr>
        <w:t xml:space="preserve">ترجمه معاصره فی (مجتس 4- ص 146) و أورد شعره و هو غیر محمد عارف لقائی الذی ألف تذکره لشعراء ما وراء النهر تتمیما ل مذکر الأحباب تألیف نثاری، و سماه مجمع الفضلاء ألفه فی بلدة أندکان فی 996.</w:t>
      </w:r>
    </w:p>
    <w:p>
      <w:pPr>
        <w:pStyle w:val="Heading3"/>
      </w:pPr>
      <w:bookmarkStart w:id="8238" w:name="_Toc6934"/>
      <w:r>
        <w:t>6224- دیوان لقائی لاهیجی أو شعره‏</w:t>
      </w:r>
      <w:bookmarkEnd w:id="8238"/>
    </w:p>
    <w:p>
      <w:pPr>
        <w:pStyle w:val="BookText"/>
      </w:pPr>
      <w:r>
        <w:rPr>
          <w:rFonts w:ascii="IRNazanin" w:hAnsi="IRNazanin" w:eastAsia="IRNazanin" w:cs="IRNazanin"/>
          <w:lang w:bidi="fa-IR"/>
          <w:color w:val="111111"/>
          <w:sz w:val="28"/>
          <w:szCs w:val="28"/>
          <w:rtl/>
        </w:rPr>
        <w:t xml:space="preserve">کان من أبناء أعاظمها و توفی شابا قبل اشتهاره ترجمه النصرآبادی فی (نر 9- ص 337) و أورد شعره.</w:t>
      </w:r>
    </w:p>
    <w:p>
      <w:pPr>
        <w:pStyle w:val="Heading3"/>
      </w:pPr>
      <w:bookmarkStart w:id="8239" w:name="_Toc6935"/>
      <w:r>
        <w:t>دیوان لکنتی لاهوری أو شعره‏</w:t>
      </w:r>
      <w:bookmarkEnd w:id="8239"/>
    </w:p>
    <w:p>
      <w:pPr>
        <w:pStyle w:val="BookText"/>
      </w:pPr>
      <w:r>
        <w:rPr>
          <w:rFonts w:ascii="IRNazanin" w:hAnsi="IRNazanin" w:eastAsia="IRNazanin" w:cs="IRNazanin"/>
          <w:lang w:bidi="fa-IR"/>
          <w:color w:val="111111"/>
          <w:sz w:val="28"/>
          <w:szCs w:val="28"/>
          <w:rtl/>
        </w:rPr>
        <w:t xml:space="preserve">و اسمه ملا حیدر، و هو أخ ناطق و أبکم الشاعران قال فی (گلشن- ص 356) إنه کان یتخلص أولا روانی أکبرآبادی کما مر فی ص 385.</w:t>
      </w:r>
    </w:p>
    <w:p>
      <w:pPr>
        <w:pStyle w:val="Heading3"/>
      </w:pPr>
      <w:bookmarkStart w:id="8240" w:name="_Toc6936"/>
      <w:r>
        <w:t>6225- دیوان لوائی سبزواری أو شعره‏</w:t>
      </w:r>
      <w:bookmarkEnd w:id="8240"/>
    </w:p>
    <w:p>
      <w:pPr>
        <w:pStyle w:val="BookText"/>
      </w:pPr>
      <w:r>
        <w:rPr>
          <w:rFonts w:ascii="IRNazanin" w:hAnsi="IRNazanin" w:eastAsia="IRNazanin" w:cs="IRNazanin"/>
          <w:lang w:bidi="fa-IR"/>
          <w:color w:val="111111"/>
          <w:sz w:val="28"/>
          <w:szCs w:val="28"/>
          <w:rtl/>
        </w:rPr>
        <w:t xml:space="preserve">کان من الصوفیة سافر إلی الهند فی عهد أکبر شاه و تقرب عنده و مات 979 أورد شعره فی (گلشن- ص 357).</w:t>
      </w:r>
    </w:p>
    <w:p>
      <w:pPr>
        <w:pStyle w:val="Heading3"/>
      </w:pPr>
      <w:bookmarkStart w:id="8241" w:name="_Toc6937"/>
      <w:r>
        <w:t>6226- دیوان لوائی قمی‏</w:t>
      </w:r>
      <w:bookmarkEnd w:id="8241"/>
    </w:p>
    <w:p>
      <w:pPr>
        <w:pStyle w:val="BookText"/>
      </w:pPr>
      <w:r>
        <w:rPr>
          <w:rFonts w:ascii="IRNazanin" w:hAnsi="IRNazanin" w:eastAsia="IRNazanin" w:cs="IRNazanin"/>
          <w:lang w:bidi="fa-IR"/>
          <w:color w:val="111111"/>
          <w:sz w:val="28"/>
          <w:szCs w:val="28"/>
          <w:rtl/>
        </w:rPr>
        <w:t xml:space="preserve">و اسمه بابا سلطان قلندر العارف بمصطلحات العرفاء. نصبه الشاه عباس بابا لتکیة حیدر فی شارع چهار باغ بأصفهان فمات قبل تألیف تذکره النصرآبادی بعدة سنین. أورد شعره فی (نر 9- ص 284) و الریحانة و (تش- ص 235) و له مثنوی أورد بعضه فی (گلشن- ص 357).
</w:t>
      </w:r>
    </w:p>
    <w:p>
      <w:pPr>
        <w:sectPr>
          <w:footerReference w:type="default" r:id="rId956"/>
          <w:footnotePr>
            <w:numStart w:val="1"/>
            <w:numRestart w:val="eachPage"/>
          </w:footnotePr>
          <w:pgSz w:orient="portrait" w:w="11905.511811023622" w:h="16837.79527559055"/>
          <w:pgMar w:top="1440" w:right="1440" w:bottom="1440" w:left="1440" w:header="720" w:footer="720" w:gutter="0"/>
          <w:cols w:num="1" w:space="720"/>
        </w:sectPr>
      </w:pPr>
    </w:p>
    <w:bookmarkStart w:id="938" w:name="pg11704_122424"/>
    <w:bookmarkEnd w:id="938"/>
    <w:p>
      <w:pPr>
        <w:pStyle w:val="Heading3"/>
      </w:pPr>
      <w:bookmarkStart w:id="8242" w:name="_Toc6938"/>
      <w:r>
        <w:t>6227- دیوان ملا لوحی أصفهانی‏</w:t>
      </w:r>
      <w:bookmarkEnd w:id="8242"/>
    </w:p>
    <w:p>
      <w:pPr>
        <w:pStyle w:val="BookText"/>
      </w:pPr>
      <w:r>
        <w:rPr>
          <w:rFonts w:ascii="IRNazanin" w:hAnsi="IRNazanin" w:eastAsia="IRNazanin" w:cs="IRNazanin"/>
          <w:lang w:bidi="fa-IR"/>
          <w:color w:val="111111"/>
          <w:sz w:val="28"/>
          <w:szCs w:val="28"/>
          <w:rtl/>
        </w:rPr>
        <w:t xml:space="preserve">کان من المداحین و الدراویش بأصفهان فی أواسط عصر الصفویة و له أشعار فی مدائح المعصومین و أکثر المداحین الیوم یقرءون مدائحه. کذا وصفه النصرآبادی فی (نر 9 ص 430) و أورد من قوله:</w:t>
      </w:r>
    </w:p>
    <w:p>
      <w:pPr>
        <w:pStyle w:val="BookText"/>
      </w:pPr>
      <w:r>
        <w:rPr>
          <w:rFonts w:ascii="IRNazanin" w:hAnsi="IRNazanin" w:eastAsia="IRNazanin" w:cs="IRNazanin"/>
          <w:lang w:bidi="fa-IR"/>
          <w:color w:val="111111"/>
          <w:sz w:val="28"/>
          <w:szCs w:val="28"/>
          <w:rtl/>
        </w:rPr>
        <w:t xml:space="preserve">ای دل فضائل أسد الله طاعت است‏</w:t>
      </w:r>
    </w:p>
    <w:p>
      <w:pPr>
        <w:pStyle w:val="BookText"/>
      </w:pPr>
      <w:r>
        <w:rPr>
          <w:rFonts w:ascii="IRNazanin" w:hAnsi="IRNazanin" w:eastAsia="IRNazanin" w:cs="IRNazanin"/>
          <w:lang w:bidi="fa-IR"/>
          <w:color w:val="111111"/>
          <w:sz w:val="28"/>
          <w:szCs w:val="28"/>
          <w:rtl/>
        </w:rPr>
        <w:t xml:space="preserve">مدح علی و آل شنیدن عبادت است‏</w:t>
      </w:r>
    </w:p>
    <w:p>
      <w:pPr>
        <w:pStyle w:val="BookText"/>
      </w:pPr>
      <w:r>
        <w:rPr>
          <w:rFonts w:ascii="IRNazanin" w:hAnsi="IRNazanin" w:eastAsia="IRNazanin" w:cs="IRNazanin"/>
          <w:lang w:bidi="fa-IR"/>
          <w:color w:val="111111"/>
          <w:sz w:val="28"/>
          <w:szCs w:val="28"/>
          <w:rtl/>
        </w:rPr>
        <w:t xml:space="preserve">إلی قوله:</w:t>
      </w:r>
    </w:p>
    <w:p>
      <w:pPr>
        <w:pStyle w:val="BookText"/>
      </w:pPr>
      <w:r>
        <w:rPr>
          <w:rFonts w:ascii="IRNazanin" w:hAnsi="IRNazanin" w:eastAsia="IRNazanin" w:cs="IRNazanin"/>
          <w:lang w:bidi="fa-IR"/>
          <w:color w:val="111111"/>
          <w:sz w:val="28"/>
          <w:szCs w:val="28"/>
          <w:rtl/>
        </w:rPr>
        <w:t xml:space="preserve">لوحی کسی که مادح داماد مصطفی است‏</w:t>
      </w:r>
    </w:p>
    <w:p>
      <w:pPr>
        <w:pStyle w:val="BookText"/>
      </w:pPr>
      <w:r>
        <w:rPr>
          <w:rFonts w:ascii="IRNazanin" w:hAnsi="IRNazanin" w:eastAsia="IRNazanin" w:cs="IRNazanin"/>
          <w:lang w:bidi="fa-IR"/>
          <w:color w:val="111111"/>
          <w:sz w:val="28"/>
          <w:szCs w:val="28"/>
          <w:rtl/>
        </w:rPr>
        <w:t xml:space="preserve">لوح دلش منیر چه صبح سعادت است‏</w:t>
      </w:r>
    </w:p>
    <w:p>
      <w:pPr>
        <w:pStyle w:val="BookText"/>
      </w:pPr>
      <w:r>
        <w:rPr>
          <w:rFonts w:ascii="IRNazanin" w:hAnsi="IRNazanin" w:eastAsia="IRNazanin" w:cs="IRNazanin"/>
          <w:lang w:bidi="fa-IR"/>
          <w:color w:val="111111"/>
          <w:sz w:val="28"/>
          <w:szCs w:val="28"/>
          <w:rtl/>
        </w:rPr>
        <w:t xml:space="preserve">و أورد شعره فی (گلشن- ص 357).</w:t>
      </w:r>
    </w:p>
    <w:p>
      <w:pPr>
        <w:pStyle w:val="Heading3"/>
      </w:pPr>
      <w:bookmarkStart w:id="8243" w:name="_Toc6939"/>
      <w:r>
        <w:t>6228- دیوان میر لوحی‏</w:t>
      </w:r>
      <w:bookmarkEnd w:id="8243"/>
    </w:p>
    <w:p>
      <w:pPr>
        <w:pStyle w:val="BookText"/>
      </w:pPr>
      <w:r>
        <w:rPr>
          <w:rFonts w:ascii="IRNazanin" w:hAnsi="IRNazanin" w:eastAsia="IRNazanin" w:cs="IRNazanin"/>
          <w:lang w:bidi="fa-IR"/>
          <w:color w:val="111111"/>
          <w:sz w:val="28"/>
          <w:szCs w:val="28"/>
          <w:rtl/>
        </w:rPr>
        <w:t xml:space="preserve">ترجمه النصرآبادی فی (نر 9- ص 483) و قال قد ذکرنا أحواله فی سلک الفضلاء، ثم أورد ثلاثة أبیات له فی تاریخ وفاة الشیخ البهائی آخره مصرع التاریخ [بهاء الدین محمد شد مه شوال از عالم‏] أقول: لیس فی تذکره النصرآبادی فی قسم الفضلاء و السادات ذکر من هذا الرجل. و لعله کان فی نسخه الأصل و سقط عن المطبوع منه الموجود عندنا، أو لعله هو ابن بنت الملا لوحی المذکور آنفا فیأتی بتخلصه نقیبی فی النون.</w:t>
      </w:r>
    </w:p>
    <w:p>
      <w:pPr>
        <w:pStyle w:val="Heading3"/>
      </w:pPr>
      <w:bookmarkStart w:id="8244" w:name="_Toc6940"/>
      <w:r>
        <w:t>6229- دیوان لودی أو شعره‏</w:t>
      </w:r>
      <w:bookmarkEnd w:id="8244"/>
    </w:p>
    <w:p>
      <w:pPr>
        <w:pStyle w:val="BookText"/>
      </w:pPr>
      <w:r>
        <w:rPr>
          <w:rFonts w:ascii="IRNazanin" w:hAnsi="IRNazanin" w:eastAsia="IRNazanin" w:cs="IRNazanin"/>
          <w:lang w:bidi="fa-IR"/>
          <w:color w:val="111111"/>
          <w:sz w:val="28"/>
          <w:szCs w:val="28"/>
          <w:rtl/>
        </w:rPr>
        <w:t xml:space="preserve">و هو شیر علی خان بن علی أمجد خان (1060- 1102) مؤلف مرآة الخیال المذکور فی 4: 47. و کتابه هذا هو من مصادرنا فی قسم الشعر و الشعراء من الذریعة و قد رمزنا له بکلمة (خیال).</w:t>
      </w:r>
    </w:p>
    <w:p>
      <w:pPr>
        <w:pStyle w:val="Heading3"/>
      </w:pPr>
      <w:bookmarkStart w:id="8245" w:name="_Toc6941"/>
      <w:r>
        <w:t>6230- دیوان لوکری أو شعره‏</w:t>
      </w:r>
      <w:bookmarkEnd w:id="8245"/>
    </w:p>
    <w:p>
      <w:pPr>
        <w:pStyle w:val="BookText"/>
      </w:pPr>
      <w:r>
        <w:rPr>
          <w:rFonts w:ascii="IRNazanin" w:hAnsi="IRNazanin" w:eastAsia="IRNazanin" w:cs="IRNazanin"/>
          <w:lang w:bidi="fa-IR"/>
          <w:color w:val="111111"/>
          <w:sz w:val="28"/>
          <w:szCs w:val="28"/>
          <w:rtl/>
        </w:rPr>
        <w:t xml:space="preserve">و هو أبو الحسن علی بن محمد الغزالی اللوکری شاعر الوزیر أبی الحسن عبید الله العتبی وزیر السامانیة بخراسان. و کان الشاعر من أکراد خراسان کما صرح به فی شعره. ترجمه و أورد شعره العوفی فی (لب 2: 15).</w:t>
      </w:r>
    </w:p>
    <w:p>
      <w:pPr>
        <w:pStyle w:val="Heading3"/>
      </w:pPr>
      <w:bookmarkStart w:id="8246" w:name="_Toc6942"/>
      <w:r>
        <w:t>6231- دیوان لوکری‏</w:t>
      </w:r>
      <w:bookmarkEnd w:id="8246"/>
    </w:p>
    <w:p>
      <w:pPr>
        <w:pStyle w:val="BookText"/>
      </w:pPr>
      <w:r>
        <w:rPr>
          <w:rFonts w:ascii="IRNazanin" w:hAnsi="IRNazanin" w:eastAsia="IRNazanin" w:cs="IRNazanin"/>
          <w:lang w:bidi="fa-IR"/>
          <w:color w:val="111111"/>
          <w:sz w:val="28"/>
          <w:szCs w:val="28"/>
          <w:rtl/>
        </w:rPr>
        <w:t xml:space="preserve">و هو أبو العباس فضل بن محمد المروزی اللوکری الأدیب الفیلسوف المتوفی 464 کما فی شاهد صادق ترجمه فی تتمه صوان الحکمة- ص 120 و قال إن له بیان الحق بضمان الصدق‏1 و قصیدة فارسیة مع شرحها و تعلیقات و رسائل و دیوان شعر و قال فی الحاشیة إن شعره جاء فی إتمام التتمة.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(1) یوجد بجامعة طهران کما فی فهرسها 3: 162.
</w:t>
      </w:r>
    </w:p>
    <w:p>
      <w:pPr>
        <w:sectPr>
          <w:footerReference w:type="default" r:id="rId957"/>
          <w:footnotePr>
            <w:numStart w:val="1"/>
            <w:numRestart w:val="eachPage"/>
          </w:footnotePr>
          <w:pgSz w:orient="portrait" w:w="11905.511811023622" w:h="16837.79527559055"/>
          <w:pgMar w:top="1440" w:right="1440" w:bottom="1440" w:left="1440" w:header="720" w:footer="720" w:gutter="0"/>
          <w:cols w:num="1" w:space="720"/>
        </w:sectPr>
      </w:pPr>
    </w:p>
    <w:bookmarkStart w:id="939" w:name="pg11704_122425"/>
    <w:bookmarkEnd w:id="939"/>
    <w:p>
      <w:pPr>
        <w:pStyle w:val="BookText"/>
      </w:pPr>
      <w:r>
        <w:rPr>
          <w:rFonts w:ascii="IRNazanin" w:hAnsi="IRNazanin" w:eastAsia="IRNazanin" w:cs="IRNazanin"/>
          <w:lang w:bidi="fa-IR"/>
          <w:color w:val="111111"/>
          <w:sz w:val="28"/>
          <w:szCs w:val="28"/>
          <w:rtl/>
        </w:rPr>
        <w:t xml:space="preserve">و ترجم أیضا فی المجالس- 7 و اللؤلؤة و الروضات و گاه‏نامه و الشهرزوری.</w:t>
      </w:r>
    </w:p>
    <w:p>
      <w:pPr>
        <w:pStyle w:val="BookText"/>
      </w:pPr>
      <w:r>
        <w:rPr>
          <w:rFonts w:ascii="IRNazanin" w:hAnsi="IRNazanin" w:eastAsia="IRNazanin" w:cs="IRNazanin"/>
          <w:lang w:bidi="fa-IR"/>
          <w:color w:val="111111"/>
          <w:sz w:val="28"/>
          <w:szCs w:val="28"/>
          <w:rtl/>
        </w:rPr>
        <w:t xml:space="preserve">و قالوا إنه اشترک مع الخیام و الخازنی فی زیج ملک شاهی.</w:t>
      </w:r>
    </w:p>
    <w:p>
      <w:pPr>
        <w:pStyle w:val="Heading3"/>
      </w:pPr>
      <w:bookmarkStart w:id="8247" w:name="_Toc6943"/>
      <w:r>
        <w:t>6232- دیوان لوندی قصه‏خوان أو شعره‏</w:t>
      </w:r>
      <w:bookmarkEnd w:id="8247"/>
    </w:p>
    <w:p>
      <w:pPr>
        <w:pStyle w:val="BookText"/>
      </w:pPr>
      <w:r>
        <w:rPr>
          <w:rFonts w:ascii="IRNazanin" w:hAnsi="IRNazanin" w:eastAsia="IRNazanin" w:cs="IRNazanin"/>
          <w:lang w:bidi="fa-IR"/>
          <w:color w:val="111111"/>
          <w:sz w:val="28"/>
          <w:szCs w:val="28"/>
          <w:rtl/>
        </w:rPr>
        <w:t xml:space="preserve">ترجمه معاصره سام میرزا فی (تس 7- ص 189) و ذکر أنه بلغ عمره إلی تسعین سنة و أورد شعره.
</w:t>
      </w:r>
    </w:p>
    <w:p>
      <w:pPr>
        <w:sectPr>
          <w:footerReference w:type="default" r:id="rId958"/>
          <w:footnotePr>
            <w:numStart w:val="1"/>
            <w:numRestart w:val="eachPage"/>
          </w:footnotePr>
          <w:pgSz w:orient="portrait" w:w="11905.511811023622" w:h="16837.79527559055"/>
          <w:pgMar w:top="1440" w:right="1440" w:bottom="1440" w:left="1440" w:header="720" w:footer="720" w:gutter="0"/>
          <w:cols w:num="1" w:space="720"/>
        </w:sectPr>
      </w:pPr>
    </w:p>
    <w:bookmarkStart w:id="940" w:name="pg11704_122426"/>
    <w:bookmarkEnd w:id="940"/>
    <w:p>
      <w:pPr>
        <w:pStyle w:val="Heading3"/>
      </w:pPr>
      <w:bookmarkStart w:id="8248" w:name="_Toc6944"/>
      <w:r>
        <w:t>م‏</w:t>
      </w:r>
      <w:bookmarkEnd w:id="8248"/>
    </w:p>
    <w:p>
      <w:pPr>
        <w:pStyle w:val="Heading3"/>
      </w:pPr>
      <w:bookmarkStart w:id="8249" w:name="_Toc6945"/>
      <w:r>
        <w:t>دیوان مائل‏</w:t>
      </w:r>
      <w:bookmarkEnd w:id="8249"/>
    </w:p>
    <w:p>
      <w:pPr>
        <w:pStyle w:val="BookText"/>
      </w:pPr>
      <w:r>
        <w:rPr>
          <w:rFonts w:ascii="IRNazanin" w:hAnsi="IRNazanin" w:eastAsia="IRNazanin" w:cs="IRNazanin"/>
          <w:lang w:bidi="fa-IR"/>
          <w:color w:val="111111"/>
          <w:sz w:val="28"/>
          <w:szCs w:val="28"/>
          <w:rtl/>
        </w:rPr>
        <w:t xml:space="preserve">یأتی بعنوان مایل کما یتلفظون به.</w:t>
      </w:r>
    </w:p>
    <w:p>
      <w:pPr>
        <w:pStyle w:val="Heading3"/>
      </w:pPr>
      <w:bookmarkStart w:id="8250" w:name="_Toc6946"/>
      <w:r>
        <w:t>6233- دیوان مولانا ماتمی‏</w:t>
      </w:r>
      <w:bookmarkEnd w:id="8250"/>
    </w:p>
    <w:p>
      <w:pPr>
        <w:pStyle w:val="BookText"/>
      </w:pPr>
      <w:r>
        <w:rPr>
          <w:rFonts w:ascii="IRNazanin" w:hAnsi="IRNazanin" w:eastAsia="IRNazanin" w:cs="IRNazanin"/>
          <w:lang w:bidi="fa-IR"/>
          <w:color w:val="111111"/>
          <w:sz w:val="28"/>
          <w:szCs w:val="28"/>
          <w:rtl/>
        </w:rPr>
        <w:t xml:space="preserve">اسمه یارعلی التبریزی. ذکر فی (بهش 2 ص 389) فی ترجمه الشیخ فتح الله الذی توفی 920 أنه رأی ماتمی الشیخ فتح الله بعد موته فی المنام سأله عن أحوال الآخرة، فقرأ علیه الشیخ فتح الله البیت من گلشن راز.</w:t>
      </w:r>
    </w:p>
    <w:p>
      <w:pPr>
        <w:pStyle w:val="BookText"/>
      </w:pPr>
      <w:r>
        <w:rPr>
          <w:rFonts w:ascii="IRNazanin" w:hAnsi="IRNazanin" w:eastAsia="IRNazanin" w:cs="IRNazanin"/>
          <w:lang w:bidi="fa-IR"/>
          <w:color w:val="111111"/>
          <w:sz w:val="28"/>
          <w:szCs w:val="28"/>
          <w:rtl/>
        </w:rPr>
        <w:t xml:space="preserve">چه ممکن کرد إمکان برفشاند</w:t>
      </w:r>
    </w:p>
    <w:p>
      <w:pPr>
        <w:pStyle w:val="BookText"/>
      </w:pPr>
      <w:r>
        <w:rPr>
          <w:rFonts w:ascii="IRNazanin" w:hAnsi="IRNazanin" w:eastAsia="IRNazanin" w:cs="IRNazanin"/>
          <w:lang w:bidi="fa-IR"/>
          <w:color w:val="111111"/>
          <w:sz w:val="28"/>
          <w:szCs w:val="28"/>
          <w:rtl/>
        </w:rPr>
        <w:t xml:space="preserve">بجز واجب دگر چیزی نماند</w:t>
      </w:r>
    </w:p>
    <w:p>
      <w:pPr>
        <w:pStyle w:val="BookText"/>
      </w:pPr>
      <w:r>
        <w:rPr>
          <w:rFonts w:ascii="IRNazanin" w:hAnsi="IRNazanin" w:eastAsia="IRNazanin" w:cs="IRNazanin"/>
          <w:lang w:bidi="fa-IR"/>
          <w:color w:val="111111"/>
          <w:sz w:val="28"/>
          <w:szCs w:val="28"/>
          <w:rtl/>
        </w:rPr>
        <w:t xml:space="preserve">و لو لم یذکر فی المجالس شعر ماتمی لکن یکشف تخلصه عن شاعریته بل کونه ناظم المراثی بالخصوص.</w:t>
      </w:r>
    </w:p>
    <w:p>
      <w:pPr>
        <w:pStyle w:val="Heading3"/>
      </w:pPr>
      <w:bookmarkStart w:id="8251" w:name="_Toc6947"/>
      <w:r>
        <w:t>6234- دیوان السید ماجد البحرانی‏</w:t>
      </w:r>
      <w:bookmarkEnd w:id="8251"/>
    </w:p>
    <w:p>
      <w:pPr>
        <w:pStyle w:val="BookText"/>
      </w:pPr>
      <w:r>
        <w:rPr>
          <w:rFonts w:ascii="IRNazanin" w:hAnsi="IRNazanin" w:eastAsia="IRNazanin" w:cs="IRNazanin"/>
          <w:lang w:bidi="fa-IR"/>
          <w:color w:val="111111"/>
          <w:sz w:val="28"/>
          <w:szCs w:val="28"/>
          <w:rtl/>
        </w:rPr>
        <w:t xml:space="preserve">ابن السید محمد البحرانی. ترجمه النصرآبادی فی (نر 6- ص 161) و ذکر أن والده السید محمد المتمتع من أکثر العلوم توفی 1083 و ولده سرابیة و فی هذا التاریخ مشغول بالقضاء فی أصفهان. و تتبع کثیرا من الأشعار الفارسیة و العربیة ثم ذکر رباعیتین منها. و الظاهر أنه المعاصر للشیخ الحر و شارح نهج البلاغة کما ترجمه فی الأمل مصرحا بقضائه بأصفهان.</w:t>
      </w:r>
    </w:p>
    <w:p>
      <w:pPr>
        <w:pStyle w:val="Heading3"/>
      </w:pPr>
      <w:bookmarkStart w:id="8252" w:name="_Toc6948"/>
      <w:r>
        <w:t>6235- دیوان السید ماجد</w:t>
      </w:r>
      <w:bookmarkEnd w:id="8252"/>
    </w:p>
    <w:p>
      <w:pPr>
        <w:pStyle w:val="BookText"/>
      </w:pPr>
      <w:r>
        <w:rPr>
          <w:rFonts w:ascii="IRNazanin" w:hAnsi="IRNazanin" w:eastAsia="IRNazanin" w:cs="IRNazanin"/>
          <w:lang w:bidi="fa-IR"/>
          <w:color w:val="111111"/>
          <w:sz w:val="28"/>
          <w:szCs w:val="28"/>
          <w:rtl/>
        </w:rPr>
        <w:t xml:space="preserve">الفقیه أبی علی ماجد بن هاشم بن علی بن المرتضی بن علی بن ماجد الحسینی الجد حفصی البحرانی. ترجمه فی (السلافة- ص 500) و سرد نسبه کذلک و أطری نسبه و علمه و فضله و أدبه و أورد قرب سبعین بیتا من شعره و ذکر وفاته فی 1028 و ما وقع فی (اللؤلؤة- ص 138) من وفاته فی 1022 من غلط المطبعة.</w:t>
      </w:r>
    </w:p>
    <w:p>
      <w:pPr>
        <w:pStyle w:val="BookText"/>
      </w:pPr>
      <w:r>
        <w:rPr>
          <w:rFonts w:ascii="IRNazanin" w:hAnsi="IRNazanin" w:eastAsia="IRNazanin" w:cs="IRNazanin"/>
          <w:lang w:bidi="fa-IR"/>
          <w:color w:val="111111"/>
          <w:sz w:val="28"/>
          <w:szCs w:val="28"/>
          <w:rtl/>
        </w:rPr>
        <w:t xml:space="preserve">و دفن بمشهد شاه چراغ بشیراز و ترجمه الشیخ سلیمان بن عبد الله الماحوزی المتوفی 1121 فی رسالته فی أحوال علماء البحرین و بعد ذکر نسبه و الثناء البلیغ له، قال هو أول من نشر الحدیث بشیراز و تلمذ علیه أعیان العلماء کالمحقق الفیض و الشیخ محمد بن الحسن بن رجب البحرانی، و الشیخ محمد بن علی البحرانی، و الشیخ زین الدین‏
</w:t>
      </w:r>
    </w:p>
    <w:p>
      <w:pPr>
        <w:sectPr>
          <w:footerReference w:type="default" r:id="rId959"/>
          <w:footnotePr>
            <w:numStart w:val="1"/>
            <w:numRestart w:val="eachPage"/>
          </w:footnotePr>
          <w:pgSz w:orient="portrait" w:w="11905.511811023622" w:h="16837.79527559055"/>
          <w:pgMar w:top="1440" w:right="1440" w:bottom="1440" w:left="1440" w:header="720" w:footer="720" w:gutter="0"/>
          <w:cols w:num="1" w:space="720"/>
        </w:sectPr>
      </w:pPr>
    </w:p>
    <w:bookmarkStart w:id="941" w:name="pg11704_122427"/>
    <w:bookmarkEnd w:id="941"/>
    <w:p>
      <w:pPr>
        <w:pStyle w:val="BookText"/>
      </w:pPr>
      <w:r>
        <w:rPr>
          <w:rFonts w:ascii="IRNazanin" w:hAnsi="IRNazanin" w:eastAsia="IRNazanin" w:cs="IRNazanin"/>
          <w:lang w:bidi="fa-IR"/>
          <w:color w:val="111111"/>
          <w:sz w:val="28"/>
          <w:szCs w:val="28"/>
          <w:rtl/>
        </w:rPr>
        <w:t xml:space="preserve">علی بن سلیمان البحرانی و الشیخ أحمد بن عبد السلام، و السید عبد الرضا، و الشیخ أحمد بن جعفر. و ذکر اجتماعه مع الشیخ البهائی و خروج الماء من السبحة التی کانت بید الشیخ، و سؤاله من السید عن الوضوء بهذا الماء و منع السید عنه بأنه ماء خیالی، إلی أن قال: و دیوانه عندی” الشیخ سلیمان” بخط ابن خالی السید حسین الکتکانی و فیه القصیدة الرائیة فی رثاء الحسین و رثاء السید عبد الله القارونی و رثاء ابن‏1 خالة السید جعفر بن السید عبد الرءوف. و ذکر غیر دیوانه بعض تصانیفه الآخر منها سلاسل الحدید و الرسالة الیوسفیة و الوجیزة البدیعة و رسالة مقدمه الواجب و ذکر الشیخ سلیمان البحرانی هذه الرسالة فی تصانیف السید ماجد بن هاشم یشهد باتحاده مع السید ماجد بن علی بن المرتضی صاحب رسالة الأصول الذی اجتمع الشیخ البهائی معه، و یثنی علیه، و أن ذلک نسبه إلی الجد کما استظهره أخیرا الشیخ الحر بعد ما عقد لهما ترجمتین فی الأمل.</w:t>
      </w:r>
    </w:p>
    <w:p>
      <w:pPr>
        <w:pStyle w:val="Heading3"/>
      </w:pPr>
      <w:bookmarkStart w:id="8253" w:name="_Toc6949"/>
      <w:r>
        <w:t>6236- دیوان السید ماجد القطیفی أو شعره‏</w:t>
      </w:r>
      <w:bookmarkEnd w:id="8253"/>
    </w:p>
    <w:p>
      <w:pPr>
        <w:pStyle w:val="BookText"/>
      </w:pPr>
      <w:r>
        <w:rPr>
          <w:rFonts w:ascii="IRNazanin" w:hAnsi="IRNazanin" w:eastAsia="IRNazanin" w:cs="IRNazanin"/>
          <w:lang w:bidi="fa-IR"/>
          <w:color w:val="111111"/>
          <w:sz w:val="28"/>
          <w:szCs w:val="28"/>
          <w:rtl/>
        </w:rPr>
        <w:t xml:space="preserve">و هو ابن السید هاشم الموسوی العوامی القطیفی (1279- 1367) أورد بعض قطعات شعره فی ترجمته بقلم الأستاد محمد سعید المسلم. و طبع 1369 بعنوان ذکری السید ماجد.</w:t>
      </w:r>
    </w:p>
    <w:p>
      <w:pPr>
        <w:pStyle w:val="Heading3"/>
      </w:pPr>
      <w:bookmarkStart w:id="8254" w:name="_Toc6950"/>
      <w:r>
        <w:t>6237- دیوان ماجد هندی أو شعره‏</w:t>
      </w:r>
      <w:bookmarkEnd w:id="8254"/>
    </w:p>
    <w:p>
      <w:pPr>
        <w:pStyle w:val="BookText"/>
      </w:pPr>
      <w:r>
        <w:rPr>
          <w:rFonts w:ascii="IRNazanin" w:hAnsi="IRNazanin" w:eastAsia="IRNazanin" w:cs="IRNazanin"/>
          <w:lang w:bidi="fa-IR"/>
          <w:color w:val="111111"/>
          <w:sz w:val="28"/>
          <w:szCs w:val="28"/>
          <w:rtl/>
        </w:rPr>
        <w:t xml:space="preserve">و هو علی حسین خان بهادر الملقب تاج الأمراء و کان قد یتخلص حسین أیضا و توفی شابا فی 1216 و أورد شعره فی (نتایج- ص 689).</w:t>
      </w:r>
    </w:p>
    <w:p>
      <w:pPr>
        <w:pStyle w:val="Heading3"/>
      </w:pPr>
      <w:bookmarkStart w:id="8255" w:name="_Toc6951"/>
      <w:r>
        <w:t>6238- دیوان مالک الجهنی أو شعره‏</w:t>
      </w:r>
      <w:bookmarkEnd w:id="8255"/>
    </w:p>
    <w:p>
      <w:pPr>
        <w:pStyle w:val="BookText"/>
      </w:pPr>
      <w:r>
        <w:rPr>
          <w:rFonts w:ascii="IRNazanin" w:hAnsi="IRNazanin" w:eastAsia="IRNazanin" w:cs="IRNazanin"/>
          <w:lang w:bidi="fa-IR"/>
          <w:color w:val="111111"/>
          <w:sz w:val="28"/>
          <w:szCs w:val="28"/>
          <w:rtl/>
        </w:rPr>
        <w:t xml:space="preserve">هو مالک بن أیمن، من أصحاب الباقر.</w:t>
      </w:r>
    </w:p>
    <w:p>
      <w:pPr>
        <w:pStyle w:val="BookText"/>
      </w:pPr>
      <w:r>
        <w:rPr>
          <w:rFonts w:ascii="IRNazanin" w:hAnsi="IRNazanin" w:eastAsia="IRNazanin" w:cs="IRNazanin"/>
          <w:lang w:bidi="fa-IR"/>
          <w:color w:val="111111"/>
          <w:sz w:val="28"/>
          <w:szCs w:val="28"/>
          <w:rtl/>
        </w:rPr>
        <w:t xml:space="preserve">ذکر ابن شهرآشوب فی (المعالم- ص 141).</w:t>
      </w:r>
    </w:p>
    <w:p>
      <w:pPr>
        <w:pStyle w:val="Heading3"/>
      </w:pPr>
      <w:bookmarkStart w:id="8256" w:name="_Toc6952"/>
      <w:r>
        <w:t>6239- دیوان مالک دیلمی‏</w:t>
      </w:r>
      <w:bookmarkEnd w:id="8256"/>
    </w:p>
    <w:p>
      <w:pPr>
        <w:pStyle w:val="BookText"/>
      </w:pPr>
      <w:r>
        <w:rPr>
          <w:rFonts w:ascii="IRNazanin" w:hAnsi="IRNazanin" w:eastAsia="IRNazanin" w:cs="IRNazanin"/>
          <w:lang w:bidi="fa-IR"/>
          <w:color w:val="111111"/>
          <w:sz w:val="28"/>
          <w:szCs w:val="28"/>
          <w:rtl/>
        </w:rPr>
        <w:t xml:space="preserve">الموسیقار الخطاط. ترجمه الصادقی فی (خص 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(1) قد وقع فی السلافة المطبوع 1324 فی ص 503 هکذا [یرثی خاله السید جعفر بن عبد الرءوف ...] لکن الصحیح ابن خاله لأنه صرح الشیخ یوسف فی کشکوله أن أم السید ماجد ابن هاشم کانت أخت السید عبد الرءوف بن الحسین الموسوی الحسینی المتوفی 1006 کما مر عند ذکر دیوانه و دیوان حفیده المسمی باسمه. و زوجة السید ماجد کانت بنت السید عبد الرءوف و اسمها ملوک، فالذی رثاه السید ماجد فی دیوانه هو ابن خالة السید جعفر بن عبد الرءوف.
</w:t>
      </w:r>
    </w:p>
    <w:p>
      <w:pPr>
        <w:sectPr>
          <w:footerReference w:type="default" r:id="rId960"/>
          <w:footnotePr>
            <w:numStart w:val="1"/>
            <w:numRestart w:val="eachPage"/>
          </w:footnotePr>
          <w:pgSz w:orient="portrait" w:w="11905.511811023622" w:h="16837.79527559055"/>
          <w:pgMar w:top="1440" w:right="1440" w:bottom="1440" w:left="1440" w:header="720" w:footer="720" w:gutter="0"/>
          <w:cols w:num="1" w:space="720"/>
        </w:sectPr>
      </w:pPr>
    </w:p>
    <w:bookmarkStart w:id="942" w:name="pg11704_122428"/>
    <w:bookmarkEnd w:id="942"/>
    <w:p>
      <w:pPr>
        <w:pStyle w:val="BookText"/>
      </w:pPr>
      <w:r>
        <w:rPr>
          <w:rFonts w:ascii="IRNazanin" w:hAnsi="IRNazanin" w:eastAsia="IRNazanin" w:cs="IRNazanin"/>
          <w:lang w:bidi="fa-IR"/>
          <w:color w:val="111111"/>
          <w:sz w:val="28"/>
          <w:szCs w:val="28"/>
          <w:rtl/>
        </w:rPr>
        <w:t xml:space="preserve">ص 208) و ذکر أن دیلم بیت کبیر من أشراف قزوین و إنه کان خلیقا خطاطا فاضلا شاعرا و أورد شعره. و ترجمه فی (دجا- ص 322) و ذکر أن أصله من تبریز نقلا عن تحفه سامی لکنی ما وجدت ترجمته فی النسخة المطبوعة منه. هذا و قد رأی سنگلاخ نسختین من دیوانه فذکرهما فی (امتحان- ج 1 ص 199 و 206). و فی (تش- ص 227) أنه کان یکتب أولا فی مکتبة إبراهیم جاهی الصفوی و ذهب معه إلی خراسان، ثم أحضره شاه طهماسب لکتیبة القصر فی قزوین فمات بها فی 969.</w:t>
      </w:r>
    </w:p>
    <w:p>
      <w:pPr>
        <w:pStyle w:val="Heading3"/>
      </w:pPr>
      <w:bookmarkStart w:id="8257" w:name="_Toc6953"/>
      <w:r>
        <w:t>6240- دیوان مالک بن نویرة</w:t>
      </w:r>
      <w:bookmarkEnd w:id="8257"/>
    </w:p>
    <w:p>
      <w:pPr>
        <w:pStyle w:val="BookText"/>
      </w:pPr>
      <w:r>
        <w:rPr>
          <w:rFonts w:ascii="IRNazanin" w:hAnsi="IRNazanin" w:eastAsia="IRNazanin" w:cs="IRNazanin"/>
          <w:lang w:bidi="fa-IR"/>
          <w:color w:val="111111"/>
          <w:sz w:val="28"/>
          <w:szCs w:val="28"/>
          <w:rtl/>
        </w:rPr>
        <w:t xml:space="preserve">ابن حمزة بن شداد بن عبید بن ثعلبة بن یربوع التمیمی المکنی بأبی حنظلة ترجمه أبو عبد الله محمد بن عمران المرزبانی المتوفی 378 فی معجم الشعراء- ص 360 و أورد شعره.</w:t>
      </w:r>
    </w:p>
    <w:p>
      <w:pPr>
        <w:pStyle w:val="Heading3"/>
      </w:pPr>
      <w:bookmarkStart w:id="8258" w:name="_Toc6954"/>
      <w:r>
        <w:t>دیوان مالمیری‏</w:t>
      </w:r>
      <w:bookmarkEnd w:id="8258"/>
    </w:p>
    <w:p>
      <w:pPr>
        <w:pStyle w:val="BookText"/>
      </w:pPr>
      <w:r>
        <w:rPr>
          <w:rFonts w:ascii="IRNazanin" w:hAnsi="IRNazanin" w:eastAsia="IRNazanin" w:cs="IRNazanin"/>
          <w:lang w:bidi="fa-IR"/>
          <w:color w:val="111111"/>
          <w:sz w:val="28"/>
          <w:szCs w:val="28"/>
          <w:rtl/>
        </w:rPr>
        <w:t xml:space="preserve">راجع دیوان حسین مالمیری فی ص 253.</w:t>
      </w:r>
    </w:p>
    <w:p>
      <w:pPr>
        <w:pStyle w:val="Heading3"/>
      </w:pPr>
      <w:bookmarkStart w:id="8259" w:name="_Toc6955"/>
      <w:r>
        <w:t>6241- دیوان مأنوس دزفولی‏</w:t>
      </w:r>
      <w:bookmarkEnd w:id="8259"/>
    </w:p>
    <w:p>
      <w:pPr>
        <w:pStyle w:val="BookText"/>
      </w:pPr>
      <w:r>
        <w:rPr>
          <w:rFonts w:ascii="IRNazanin" w:hAnsi="IRNazanin" w:eastAsia="IRNazanin" w:cs="IRNazanin"/>
          <w:lang w:bidi="fa-IR"/>
          <w:color w:val="111111"/>
          <w:sz w:val="28"/>
          <w:szCs w:val="28"/>
          <w:rtl/>
        </w:rPr>
        <w:t xml:space="preserve">فارسی و اسمه محمد بن نقی المساکی الدزفولی المتوفی 1300 فارسی فی ألف و سبعمائة و خمسین بیتا یوجد عند السید محمد علی إمام بن السید هبة الله الموسوی الدزفولی المعلم فی مدرسة دبیرستان شرافت فی بغداد.</w:t>
      </w:r>
    </w:p>
    <w:p>
      <w:pPr>
        <w:pStyle w:val="Heading3"/>
      </w:pPr>
      <w:bookmarkStart w:id="8260" w:name="_Toc6956"/>
      <w:r>
        <w:t>6242- دیوان مانی أصفهانی أو شعره‏</w:t>
      </w:r>
      <w:bookmarkEnd w:id="8260"/>
    </w:p>
    <w:p>
      <w:pPr>
        <w:pStyle w:val="BookText"/>
      </w:pPr>
      <w:r>
        <w:rPr>
          <w:rFonts w:ascii="IRNazanin" w:hAnsi="IRNazanin" w:eastAsia="IRNazanin" w:cs="IRNazanin"/>
          <w:lang w:bidi="fa-IR"/>
          <w:color w:val="111111"/>
          <w:sz w:val="28"/>
          <w:szCs w:val="28"/>
          <w:rtl/>
        </w:rPr>
        <w:t xml:space="preserve">هو من شعراء القرن الرابع عشر و کان معاصر میرزا إبراهیم الأصفهانی الشاعر المتخلص بساغر الذی توفی 1302 فأخرج مانی هذا مادة تاریخ وفاته [یک ساغر بده‏] ذکره فی (المآثر- ص 216).</w:t>
      </w:r>
    </w:p>
    <w:p>
      <w:pPr>
        <w:pStyle w:val="Heading3"/>
      </w:pPr>
      <w:bookmarkStart w:id="8261" w:name="_Toc6957"/>
      <w:r>
        <w:t>6243- دیوان ملا مانی تربتی‏</w:t>
      </w:r>
      <w:bookmarkEnd w:id="8261"/>
    </w:p>
    <w:p>
      <w:pPr>
        <w:pStyle w:val="BookText"/>
      </w:pPr>
      <w:r>
        <w:rPr>
          <w:rFonts w:ascii="IRNazanin" w:hAnsi="IRNazanin" w:eastAsia="IRNazanin" w:cs="IRNazanin"/>
          <w:lang w:bidi="fa-IR"/>
          <w:color w:val="111111"/>
          <w:sz w:val="28"/>
          <w:szCs w:val="28"/>
          <w:rtl/>
        </w:rPr>
        <w:t xml:space="preserve">الکاتب الخطاط. ترجمه فی (مجتس 6- ص 167) و أورد شعره.</w:t>
      </w:r>
    </w:p>
    <w:p>
      <w:pPr>
        <w:pStyle w:val="Heading3"/>
      </w:pPr>
      <w:bookmarkStart w:id="8262" w:name="_Toc6958"/>
      <w:r>
        <w:t>6244- دیوان مانی شیرازی أو شعره‏</w:t>
      </w:r>
      <w:bookmarkEnd w:id="8262"/>
    </w:p>
    <w:p>
      <w:pPr>
        <w:pStyle w:val="BookText"/>
      </w:pPr>
      <w:r>
        <w:rPr>
          <w:rFonts w:ascii="IRNazanin" w:hAnsi="IRNazanin" w:eastAsia="IRNazanin" w:cs="IRNazanin"/>
          <w:lang w:bidi="fa-IR"/>
          <w:color w:val="111111"/>
          <w:sz w:val="28"/>
          <w:szCs w:val="28"/>
          <w:rtl/>
        </w:rPr>
        <w:t xml:space="preserve">کان زارعا فترقی أمره عند الشاه إسماعیل و صار من الأمراء، فقتله أخیرا الأمیر نجم ثانی. کذا ترجمه فی (تش- ص 292) و (هفت 276).</w:t>
      </w:r>
    </w:p>
    <w:p>
      <w:pPr>
        <w:pStyle w:val="Heading3"/>
      </w:pPr>
      <w:bookmarkStart w:id="8263" w:name="_Toc6959"/>
      <w:r>
        <w:t>6245- دیوان مانی شیرازی أو شعره‏</w:t>
      </w:r>
      <w:bookmarkEnd w:id="8263"/>
    </w:p>
    <w:p>
      <w:pPr>
        <w:pStyle w:val="BookText"/>
      </w:pPr>
      <w:r>
        <w:rPr>
          <w:rFonts w:ascii="IRNazanin" w:hAnsi="IRNazanin" w:eastAsia="IRNazanin" w:cs="IRNazanin"/>
          <w:lang w:bidi="fa-IR"/>
          <w:color w:val="111111"/>
          <w:sz w:val="28"/>
          <w:szCs w:val="28"/>
          <w:rtl/>
        </w:rPr>
        <w:t xml:space="preserve">و اسمه الشیخ أبو حیان الطبیب. ترجمه النصرآبادی فی (نر 9- ص 383) و أورد شعره و قال إنه توفی قبل حال التحریر 1083 و جاء ذکره فی (فارس‏نامه 2: 150) و (تغ- ص 7).</w:t>
      </w:r>
    </w:p>
    <w:p>
      <w:pPr>
        <w:pStyle w:val="Heading3"/>
      </w:pPr>
      <w:bookmarkStart w:id="8264" w:name="_Toc6960"/>
      <w:r>
        <w:t>دیوان مانی کرمانی‏</w:t>
      </w:r>
      <w:bookmarkEnd w:id="8264"/>
    </w:p>
    <w:p>
      <w:pPr>
        <w:pStyle w:val="BookText"/>
      </w:pPr>
      <w:r>
        <w:rPr>
          <w:rFonts w:ascii="IRNazanin" w:hAnsi="IRNazanin" w:eastAsia="IRNazanin" w:cs="IRNazanin"/>
          <w:lang w:bidi="fa-IR"/>
          <w:color w:val="111111"/>
          <w:sz w:val="28"/>
          <w:szCs w:val="28"/>
          <w:rtl/>
        </w:rPr>
        <w:t xml:space="preserve">راجع راجی کرمانی.
</w:t>
      </w:r>
    </w:p>
    <w:p>
      <w:pPr>
        <w:sectPr>
          <w:footerReference w:type="default" r:id="rId961"/>
          <w:footnotePr>
            <w:numStart w:val="1"/>
            <w:numRestart w:val="eachPage"/>
          </w:footnotePr>
          <w:pgSz w:orient="portrait" w:w="11905.511811023622" w:h="16837.79527559055"/>
          <w:pgMar w:top="1440" w:right="1440" w:bottom="1440" w:left="1440" w:header="720" w:footer="720" w:gutter="0"/>
          <w:cols w:num="1" w:space="720"/>
        </w:sectPr>
      </w:pPr>
    </w:p>
    <w:bookmarkStart w:id="943" w:name="pg11704_122429"/>
    <w:bookmarkEnd w:id="943"/>
    <w:p>
      <w:pPr>
        <w:pStyle w:val="Heading3"/>
      </w:pPr>
      <w:bookmarkStart w:id="8265" w:name="_Toc6961"/>
      <w:r>
        <w:t>6246- دیوان مانی مشهدی أو شعره‏</w:t>
      </w:r>
      <w:bookmarkEnd w:id="8265"/>
    </w:p>
    <w:p>
      <w:pPr>
        <w:pStyle w:val="BookText"/>
      </w:pPr>
      <w:r>
        <w:rPr>
          <w:rFonts w:ascii="IRNazanin" w:hAnsi="IRNazanin" w:eastAsia="IRNazanin" w:cs="IRNazanin"/>
          <w:lang w:bidi="fa-IR"/>
          <w:color w:val="111111"/>
          <w:sz w:val="28"/>
          <w:szCs w:val="28"/>
          <w:rtl/>
        </w:rPr>
        <w:t xml:space="preserve">کان کاملا فی الحسن و الجمال، و حسن الخط و حسن الکلام. ترجمه فی (مجن 3- ص 67 و 240) و أورد مطلعین من غزلیاته و کذا فی (مطلع 2: 442) و (تش- ص 94) کان هو و أبواه کوازین مصورین.</w:t>
      </w:r>
    </w:p>
    <w:p>
      <w:pPr>
        <w:pStyle w:val="Heading3"/>
      </w:pPr>
      <w:bookmarkStart w:id="8266" w:name="_Toc6962"/>
      <w:r>
        <w:t>دیوان المهابادی‏</w:t>
      </w:r>
      <w:bookmarkEnd w:id="8266"/>
    </w:p>
    <w:p>
      <w:pPr>
        <w:pStyle w:val="BookText"/>
      </w:pPr>
      <w:r>
        <w:rPr>
          <w:rFonts w:ascii="IRNazanin" w:hAnsi="IRNazanin" w:eastAsia="IRNazanin" w:cs="IRNazanin"/>
          <w:lang w:bidi="fa-IR"/>
          <w:color w:val="111111"/>
          <w:sz w:val="28"/>
          <w:szCs w:val="28"/>
          <w:rtl/>
        </w:rPr>
        <w:t xml:space="preserve">راجع دیوان حسن بن علی فی ص 239.</w:t>
      </w:r>
    </w:p>
    <w:p>
      <w:pPr>
        <w:pStyle w:val="Heading3"/>
      </w:pPr>
      <w:bookmarkStart w:id="8267" w:name="_Toc6963"/>
      <w:r>
        <w:t>دیوان ماهانی‏</w:t>
      </w:r>
      <w:bookmarkEnd w:id="8267"/>
    </w:p>
    <w:p>
      <w:pPr>
        <w:pStyle w:val="BookText"/>
      </w:pPr>
      <w:r>
        <w:rPr>
          <w:rFonts w:ascii="IRNazanin" w:hAnsi="IRNazanin" w:eastAsia="IRNazanin" w:cs="IRNazanin"/>
          <w:lang w:bidi="fa-IR"/>
          <w:color w:val="111111"/>
          <w:sz w:val="28"/>
          <w:szCs w:val="28"/>
          <w:rtl/>
        </w:rPr>
        <w:t xml:space="preserve">هو الشاه نعمة الله ولی یأتی.</w:t>
      </w:r>
    </w:p>
    <w:p>
      <w:pPr>
        <w:pStyle w:val="Heading3"/>
      </w:pPr>
      <w:bookmarkStart w:id="8268" w:name="_Toc6964"/>
      <w:r>
        <w:t>6247- دیوان ماهر أکبرآبادی‏</w:t>
      </w:r>
      <w:bookmarkEnd w:id="8268"/>
    </w:p>
    <w:p>
      <w:pPr>
        <w:pStyle w:val="BookText"/>
      </w:pPr>
      <w:r>
        <w:rPr>
          <w:rFonts w:ascii="IRNazanin" w:hAnsi="IRNazanin" w:eastAsia="IRNazanin" w:cs="IRNazanin"/>
          <w:lang w:bidi="fa-IR"/>
          <w:color w:val="111111"/>
          <w:sz w:val="28"/>
          <w:szCs w:val="28"/>
          <w:rtl/>
        </w:rPr>
        <w:t xml:space="preserve">اسمه فی الإسلام الشیخ محمد علی ترجمه فی (خز- ص 414) و قال ملخصا: کان والده من الهنود، فولد، هو فی أکبرآباد، و بواسطة والده عرفه المیرزا محمد زمان چهل یک الإیرانی، و لما تفرس فیه الاستعداد تبناه محمد زمان إلی أن عرض علیه الإسلام و عرفه شرائعه فوصل استعداده حد الکمال و اتصل بدارا شکوه بن شاه‏جهان و أمرائه مثل دانشمند خان الیزدی المتوفی 1081 و أنشأ مثنویا فی مدح جهان‏آرا بیگم بنت شاه‏جهان و عرضه علیها بواسطة والده عنایت خان المتخلص آشنا فنال منها بصلة خمسمائة روپیه، و دخل أخیرا فی طریقة الفقر إلی أن توفی 1089 و دیوانه حاو للقصائد و الغزلیات و الرباعیات و المقطعات و المثنویات و غیرها. و أورد قرب مائتی بیت من شعره و منها مصرع تاریخ موت السید المیر عبد الرشید الحسینی المدنی التتوی المتوفی 1077 بقوله [سید عبد الرشید باد بفردوس پاک‏] و هو مؤلف منتخب اللغات المعروف بفرهنگ رشیدی نسبة إلی مؤلفه السید عبد الرشید و منتخب اللغات شاه‏جهانی نسبه إلی من ألف لأجله. ترجم فی (خز- ص 414) و (سرو- ص 112) و (خیال- ص 205) و (نتایج- ص 646) و (سرخوش- ص 102).</w:t>
      </w:r>
    </w:p>
    <w:p>
      <w:pPr>
        <w:pStyle w:val="Heading3"/>
      </w:pPr>
      <w:bookmarkStart w:id="8269" w:name="_Toc6965"/>
      <w:r>
        <w:t>6248- دیوان ماهر دامغانی‏</w:t>
      </w:r>
      <w:bookmarkEnd w:id="8269"/>
    </w:p>
    <w:p>
      <w:pPr>
        <w:pStyle w:val="BookText"/>
      </w:pPr>
      <w:r>
        <w:rPr>
          <w:rFonts w:ascii="IRNazanin" w:hAnsi="IRNazanin" w:eastAsia="IRNazanin" w:cs="IRNazanin"/>
          <w:lang w:bidi="fa-IR"/>
          <w:color w:val="111111"/>
          <w:sz w:val="28"/>
          <w:szCs w:val="28"/>
          <w:rtl/>
        </w:rPr>
        <w:t xml:space="preserve">اسمه علی قلی الأردبیلی التبریزی المتخلص بماهر و الماهر فی کثیر من الصنائع. کان قطاعا نقاشا خطاطا. و له الشعر اللطیف هکذا وصفه معاصره النصرآبادی فی (نر 5- ص 141) و أورد قطعة و رباعیتین من شعره.</w:t>
      </w:r>
    </w:p>
    <w:p>
      <w:pPr>
        <w:pStyle w:val="BookText"/>
      </w:pPr>
      <w:r>
        <w:rPr>
          <w:rFonts w:ascii="IRNazanin" w:hAnsi="IRNazanin" w:eastAsia="IRNazanin" w:cs="IRNazanin"/>
          <w:lang w:bidi="fa-IR"/>
          <w:color w:val="111111"/>
          <w:sz w:val="28"/>
          <w:szCs w:val="28"/>
          <w:rtl/>
        </w:rPr>
        <w:t xml:space="preserve">و ترجمه فی (دجا- ص 323) بعنوان محمد قلی ماهر أصله من صحراء مغان نزل إلی أردبیل و اشتغل فیها بالعطارة و أورد بعض شعره نقلا عن سفینه خوش‏گو قائلا إن دیوانه مختصر مملو من الأشعار الجیدة. أقول: مر سفینه خوش‏گو بعنوان تذکره خوش‏گو فی ج 4 ص 32 و ظهر أنه ألف حدود 1161 و تذکره النصرآبادی ألف 1083 و هو کان‏
</w:t>
      </w:r>
    </w:p>
    <w:p>
      <w:pPr>
        <w:sectPr>
          <w:footerReference w:type="default" r:id="rId962"/>
          <w:footnotePr>
            <w:numStart w:val="1"/>
            <w:numRestart w:val="eachPage"/>
          </w:footnotePr>
          <w:pgSz w:orient="portrait" w:w="11905.511811023622" w:h="16837.79527559055"/>
          <w:pgMar w:top="1440" w:right="1440" w:bottom="1440" w:left="1440" w:header="720" w:footer="720" w:gutter="0"/>
          <w:cols w:num="1" w:space="720"/>
        </w:sectPr>
      </w:pPr>
    </w:p>
    <w:bookmarkStart w:id="944" w:name="pg11704_122430"/>
    <w:bookmarkEnd w:id="944"/>
    <w:p>
      <w:pPr>
        <w:pStyle w:val="BookText"/>
      </w:pPr>
      <w:r>
        <w:rPr>
          <w:rFonts w:ascii="IRNazanin" w:hAnsi="IRNazanin" w:eastAsia="IRNazanin" w:cs="IRNazanin"/>
          <w:lang w:bidi="fa-IR"/>
          <w:color w:val="111111"/>
          <w:sz w:val="28"/>
          <w:szCs w:val="28"/>
          <w:rtl/>
        </w:rPr>
        <w:t xml:space="preserve">أقرب إلی عصر الناظم و أعرف بأحواله و تنقلاته و صنائعه البدیعة و فی (گلشن- ص 358) قال جاء إلی أردبیل و تلمذ علی الحاج إبراهیم و سکن مدة بتبریز.</w:t>
      </w:r>
    </w:p>
    <w:p>
      <w:pPr>
        <w:pStyle w:val="Heading3"/>
      </w:pPr>
      <w:bookmarkStart w:id="8270" w:name="_Toc6966"/>
      <w:r>
        <w:t>6249- دیوان ماهر گیلانی‏</w:t>
      </w:r>
      <w:bookmarkEnd w:id="8270"/>
    </w:p>
    <w:p>
      <w:pPr>
        <w:pStyle w:val="BookText"/>
      </w:pPr>
      <w:r>
        <w:rPr>
          <w:rFonts w:ascii="IRNazanin" w:hAnsi="IRNazanin" w:eastAsia="IRNazanin" w:cs="IRNazanin"/>
          <w:lang w:bidi="fa-IR"/>
          <w:color w:val="111111"/>
          <w:sz w:val="28"/>
          <w:szCs w:val="28"/>
          <w:rtl/>
        </w:rPr>
        <w:t xml:space="preserve">و هو محمد سعید رآه الحزین فی رشت و قال کان عمره قد جاوز الثمانین و بعد هو نشط ینظم الشعر. و له دیوان کبیر کذا فی تذکره حزین- ص 110.</w:t>
      </w:r>
    </w:p>
    <w:p>
      <w:pPr>
        <w:pStyle w:val="Heading3"/>
      </w:pPr>
      <w:bookmarkStart w:id="8271" w:name="_Toc6967"/>
      <w:r>
        <w:t>6250- دیوان ماهر هندی‏</w:t>
      </w:r>
      <w:bookmarkEnd w:id="8271"/>
    </w:p>
    <w:p>
      <w:pPr>
        <w:pStyle w:val="BookText"/>
      </w:pPr>
      <w:r>
        <w:rPr>
          <w:rFonts w:ascii="IRNazanin" w:hAnsi="IRNazanin" w:eastAsia="IRNazanin" w:cs="IRNazanin"/>
          <w:lang w:bidi="fa-IR"/>
          <w:color w:val="111111"/>
          <w:sz w:val="28"/>
          <w:szCs w:val="28"/>
          <w:rtl/>
        </w:rPr>
        <w:t xml:space="preserve">للسید مهدی حسین بن علی حسین بن حسین بن دلدار علی النقوی اللکهنوی المتوفی بها 1316 و هو بالأردویة مطبوع فی الهند قال السید علی نقی النقوی المعاصر إن الناظم کان من تلامیذ الشاعر المتخلص أسیر السابق ذکره.</w:t>
      </w:r>
    </w:p>
    <w:p>
      <w:pPr>
        <w:pStyle w:val="Heading3"/>
      </w:pPr>
      <w:bookmarkStart w:id="8272" w:name="_Toc6968"/>
      <w:r>
        <w:t>6251- دیوان ماهی جلایر أو شعرها</w:t>
      </w:r>
      <w:bookmarkEnd w:id="8272"/>
    </w:p>
    <w:p>
      <w:pPr>
        <w:pStyle w:val="BookText"/>
      </w:pPr>
      <w:r>
        <w:rPr>
          <w:rFonts w:ascii="IRNazanin" w:hAnsi="IRNazanin" w:eastAsia="IRNazanin" w:cs="IRNazanin"/>
          <w:lang w:bidi="fa-IR"/>
          <w:color w:val="111111"/>
          <w:sz w:val="28"/>
          <w:szCs w:val="28"/>
          <w:rtl/>
        </w:rPr>
        <w:t xml:space="preserve">قال فی (گلشن- ص 359) إنها کانت أخت ملا نثاری التبریزی معاصر الشاه عباس. أورد شعره فی (مسرت- ص 229) و (خص 8- 155)</w:t>
      </w:r>
    </w:p>
    <w:p>
      <w:pPr>
        <w:pStyle w:val="Heading3"/>
      </w:pPr>
      <w:bookmarkStart w:id="8273" w:name="_Toc6969"/>
      <w:r>
        <w:t>6252- دیوان مایل آشتیانی‏</w:t>
      </w:r>
      <w:bookmarkEnd w:id="8273"/>
    </w:p>
    <w:p>
      <w:pPr>
        <w:pStyle w:val="BookText"/>
      </w:pPr>
      <w:r>
        <w:rPr>
          <w:rFonts w:ascii="IRNazanin" w:hAnsi="IRNazanin" w:eastAsia="IRNazanin" w:cs="IRNazanin"/>
          <w:lang w:bidi="fa-IR"/>
          <w:color w:val="111111"/>
          <w:sz w:val="28"/>
          <w:szCs w:val="28"/>
          <w:rtl/>
        </w:rPr>
        <w:t xml:space="preserve">المیرزا محمد علی بن المیرزا کاظم الآشتیانی القمی الطهرانی مستوفی الممالک و من فحول الأدباء و الشعراء ذو الید الطولی فی النظم و النثر کان منصوبا من قبل نائب السلطنة عباس میرزا لخدمة ولده السلطان محمد شاه الغازی الذی جلس للملک 1250 و هو توفی قبل جلوسه. ترجمه فی (مع- ج 2 ص 484) و أورد مائة و نیف و خمسین بیتا من قصائده فی مدیح السلطان و نائب السلطنة و المعصومین.</w:t>
      </w:r>
    </w:p>
    <w:p>
      <w:pPr>
        <w:pStyle w:val="Heading3"/>
      </w:pPr>
      <w:bookmarkStart w:id="8274" w:name="_Toc6970"/>
      <w:r>
        <w:t>6253- دیوان مایل أسترآبادی أو شعره‏</w:t>
      </w:r>
      <w:bookmarkEnd w:id="8274"/>
    </w:p>
    <w:p>
      <w:pPr>
        <w:pStyle w:val="BookText"/>
      </w:pPr>
      <w:r>
        <w:rPr>
          <w:rFonts w:ascii="IRNazanin" w:hAnsi="IRNazanin" w:eastAsia="IRNazanin" w:cs="IRNazanin"/>
          <w:lang w:bidi="fa-IR"/>
          <w:color w:val="111111"/>
          <w:sz w:val="28"/>
          <w:szCs w:val="28"/>
          <w:rtl/>
        </w:rPr>
        <w:t xml:space="preserve">و اسمه إسماعیل بیک الطهرانی الأسترآبادی.</w:t>
      </w:r>
    </w:p>
    <w:p>
      <w:pPr>
        <w:pStyle w:val="BookText"/>
      </w:pPr>
      <w:r>
        <w:rPr>
          <w:rFonts w:ascii="IRNazanin" w:hAnsi="IRNazanin" w:eastAsia="IRNazanin" w:cs="IRNazanin"/>
          <w:lang w:bidi="fa-IR"/>
          <w:color w:val="111111"/>
          <w:sz w:val="28"/>
          <w:szCs w:val="28"/>
          <w:rtl/>
        </w:rPr>
        <w:t xml:space="preserve">ترجمه معاصره فی (تش- ص 408) و (گلشن- ص 359).</w:t>
      </w:r>
    </w:p>
    <w:p>
      <w:pPr>
        <w:pStyle w:val="Heading3"/>
      </w:pPr>
      <w:bookmarkStart w:id="8275" w:name="_Toc6971"/>
      <w:r>
        <w:t>6254- دیوان مایل أصفهانی أو شعره‏</w:t>
      </w:r>
      <w:bookmarkEnd w:id="8275"/>
    </w:p>
    <w:p>
      <w:pPr>
        <w:pStyle w:val="BookText"/>
      </w:pPr>
      <w:r>
        <w:rPr>
          <w:rFonts w:ascii="IRNazanin" w:hAnsi="IRNazanin" w:eastAsia="IRNazanin" w:cs="IRNazanin"/>
          <w:lang w:bidi="fa-IR"/>
          <w:color w:val="111111"/>
          <w:sz w:val="28"/>
          <w:szCs w:val="28"/>
          <w:rtl/>
        </w:rPr>
        <w:t xml:space="preserve">و اسمه الشیخ رحیم و کان تلمیذ درویش مجید الطالقانی کما ذکره معاصره فی (مع 2: 447).</w:t>
      </w:r>
    </w:p>
    <w:p>
      <w:pPr>
        <w:pStyle w:val="Heading3"/>
      </w:pPr>
      <w:bookmarkStart w:id="8276" w:name="_Toc6972"/>
      <w:r>
        <w:t>6255- دیوان مایل أفشار</w:t>
      </w:r>
      <w:bookmarkEnd w:id="8276"/>
    </w:p>
    <w:p>
      <w:pPr>
        <w:pStyle w:val="BookText"/>
      </w:pPr>
      <w:r>
        <w:rPr>
          <w:rFonts w:ascii="IRNazanin" w:hAnsi="IRNazanin" w:eastAsia="IRNazanin" w:cs="IRNazanin"/>
          <w:lang w:bidi="fa-IR"/>
          <w:color w:val="111111"/>
          <w:sz w:val="28"/>
          <w:szCs w:val="28"/>
          <w:rtl/>
        </w:rPr>
        <w:t xml:space="preserve">و اسمه المیرزا حسن. کان فی الوزارة الخارجیة فی عهد ناصر الدین شاه و سکن مدة ببندر لنگه و کان هجاء کما ترجمه فی (المآثر- ص 207) و (انجمن 3) و یوجد دیوانه عند یحیی دهخدا بطهران یشتمل علی خمسة آلاف بیت. أوله: [مایل أفشار کو را کردگار ...]</w:t>
      </w:r>
    </w:p>
    <w:p>
      <w:pPr>
        <w:pStyle w:val="Heading3"/>
      </w:pPr>
      <w:bookmarkStart w:id="8277" w:name="_Toc6973"/>
      <w:r>
        <w:t>6256- دیوان مایل تاشکندی أو شعره‏</w:t>
      </w:r>
      <w:bookmarkEnd w:id="8277"/>
    </w:p>
    <w:p>
      <w:pPr>
        <w:pStyle w:val="BookText"/>
      </w:pPr>
      <w:r>
        <w:rPr>
          <w:rFonts w:ascii="IRNazanin" w:hAnsi="IRNazanin" w:eastAsia="IRNazanin" w:cs="IRNazanin"/>
          <w:lang w:bidi="fa-IR"/>
          <w:color w:val="111111"/>
          <w:sz w:val="28"/>
          <w:szCs w:val="28"/>
          <w:rtl/>
        </w:rPr>
        <w:t xml:space="preserve">کان معاصر السلطان حسین میرزا کما فی (حسینی- ص 320) و (گلشن- ص 360) و فی (حسینی) سماه مایلی.
</w:t>
      </w:r>
    </w:p>
    <w:p>
      <w:pPr>
        <w:sectPr>
          <w:footerReference w:type="default" r:id="rId963"/>
          <w:footnotePr>
            <w:numStart w:val="1"/>
            <w:numRestart w:val="eachPage"/>
          </w:footnotePr>
          <w:pgSz w:orient="portrait" w:w="11905.511811023622" w:h="16837.79527559055"/>
          <w:pgMar w:top="1440" w:right="1440" w:bottom="1440" w:left="1440" w:header="720" w:footer="720" w:gutter="0"/>
          <w:cols w:num="1" w:space="720"/>
        </w:sectPr>
      </w:pPr>
    </w:p>
    <w:bookmarkStart w:id="945" w:name="pg11704_122431"/>
    <w:bookmarkEnd w:id="945"/>
    <w:p>
      <w:pPr>
        <w:pStyle w:val="Heading3"/>
      </w:pPr>
      <w:bookmarkStart w:id="8278" w:name="_Toc6974"/>
      <w:r>
        <w:t>6257- دیوان مایل تویسرکانی‏</w:t>
      </w:r>
      <w:bookmarkEnd w:id="8278"/>
    </w:p>
    <w:p>
      <w:pPr>
        <w:pStyle w:val="BookText"/>
      </w:pPr>
      <w:r>
        <w:rPr>
          <w:rFonts w:ascii="IRNazanin" w:hAnsi="IRNazanin" w:eastAsia="IRNazanin" w:cs="IRNazanin"/>
          <w:lang w:bidi="fa-IR"/>
          <w:color w:val="111111"/>
          <w:sz w:val="28"/>
          <w:szCs w:val="28"/>
          <w:rtl/>
        </w:rPr>
        <w:t xml:space="preserve">و اسمه ید الله بن أبی القاسم بن حسین مجنون من شعراء القرن الحاضر و مدیر جریدة شفق سرخ کما فی تاریخ جرائد 3: 78 یوجد خمس صفحات من شعره فی نامه فرهنگیان الموجود فی مکتبة المجلس بخط مؤلفه و هم خمسة و ثلاثون شاعرا أکثرهم فی طهران ذکرهم ابن یوسف فی فهرس المکتبة 3: ص 693. و مات فی 19 أردیبهشت 1329 ش. عن 63 سنة.</w:t>
      </w:r>
    </w:p>
    <w:p>
      <w:pPr>
        <w:pStyle w:val="Heading3"/>
      </w:pPr>
      <w:bookmarkStart w:id="8279" w:name="_Toc6975"/>
      <w:r>
        <w:t>6258- دیوان مایل دهلوی‏</w:t>
      </w:r>
      <w:bookmarkEnd w:id="8279"/>
    </w:p>
    <w:p>
      <w:pPr>
        <w:pStyle w:val="BookText"/>
      </w:pPr>
      <w:r>
        <w:rPr>
          <w:rFonts w:ascii="IRNazanin" w:hAnsi="IRNazanin" w:eastAsia="IRNazanin" w:cs="IRNazanin"/>
          <w:lang w:bidi="fa-IR"/>
          <w:color w:val="111111"/>
          <w:sz w:val="28"/>
          <w:szCs w:val="28"/>
          <w:rtl/>
        </w:rPr>
        <w:t xml:space="preserve">المدعو بمیرزا قطب الدین ترجمه معاصره النصرآبادی فی (نر 13- ص 448) و ذکر أن له ساقی‏نامه و أورد بعضه و بعض غزلیاته فی نیف و عشرین بیتا و ترجمه فی مفتاح التواریخ- ص 435 و ذکر أنه ابتلی بالجنون فترک المنصب و جاء إلی شاه جهان‏آباد و بها توفی فی شهر رمضان 1108 بعد موت ملا ناصر علی. و أرخ و فات محمد عاکف.</w:t>
      </w:r>
    </w:p>
    <w:p>
      <w:pPr>
        <w:pStyle w:val="Heading3"/>
      </w:pPr>
      <w:bookmarkStart w:id="8280" w:name="_Toc6976"/>
      <w:r>
        <w:t>6259- دیوان مایل شاملو أو شعره‏</w:t>
      </w:r>
      <w:bookmarkEnd w:id="8280"/>
    </w:p>
    <w:p>
      <w:pPr>
        <w:pStyle w:val="BookText"/>
      </w:pPr>
      <w:r>
        <w:rPr>
          <w:rFonts w:ascii="IRNazanin" w:hAnsi="IRNazanin" w:eastAsia="IRNazanin" w:cs="IRNazanin"/>
          <w:lang w:bidi="fa-IR"/>
          <w:color w:val="111111"/>
          <w:sz w:val="28"/>
          <w:szCs w:val="28"/>
          <w:rtl/>
        </w:rPr>
        <w:t xml:space="preserve">ذکره فی (تش- ص 20) و اسمه قلیچ، و کان فی القرن الحادی عشر.</w:t>
      </w:r>
    </w:p>
    <w:p>
      <w:pPr>
        <w:pStyle w:val="Heading3"/>
      </w:pPr>
      <w:bookmarkStart w:id="8281" w:name="_Toc6977"/>
      <w:r>
        <w:t>6260- دیوان مایل شیرازی‏</w:t>
      </w:r>
      <w:bookmarkEnd w:id="8281"/>
    </w:p>
    <w:p>
      <w:pPr>
        <w:pStyle w:val="BookText"/>
      </w:pPr>
      <w:r>
        <w:rPr>
          <w:rFonts w:ascii="IRNazanin" w:hAnsi="IRNazanin" w:eastAsia="IRNazanin" w:cs="IRNazanin"/>
          <w:lang w:bidi="fa-IR"/>
          <w:color w:val="111111"/>
          <w:sz w:val="28"/>
          <w:szCs w:val="28"/>
          <w:rtl/>
        </w:rPr>
        <w:t xml:space="preserve">و اسمه ملا مهدی معلم الأطفال و قاری التعزیة بها.</w:t>
      </w:r>
    </w:p>
    <w:p>
      <w:pPr>
        <w:pStyle w:val="BookText"/>
      </w:pPr>
      <w:r>
        <w:rPr>
          <w:rFonts w:ascii="IRNazanin" w:hAnsi="IRNazanin" w:eastAsia="IRNazanin" w:cs="IRNazanin"/>
          <w:lang w:bidi="fa-IR"/>
          <w:color w:val="111111"/>
          <w:sz w:val="28"/>
          <w:szCs w:val="28"/>
          <w:rtl/>
        </w:rPr>
        <w:t xml:space="preserve">ترجمه فی (عم- ص 566) و نقل عن دیوانه و کذا فی مجلة أرمغان 14- 319.</w:t>
      </w:r>
    </w:p>
    <w:p>
      <w:pPr>
        <w:pStyle w:val="Heading3"/>
      </w:pPr>
      <w:bookmarkStart w:id="8282" w:name="_Toc6978"/>
      <w:r>
        <w:t>6261- دیوان مایل طهرانی‏</w:t>
      </w:r>
      <w:bookmarkEnd w:id="8282"/>
    </w:p>
    <w:p>
      <w:pPr>
        <w:pStyle w:val="BookText"/>
      </w:pPr>
      <w:r>
        <w:rPr>
          <w:rFonts w:ascii="IRNazanin" w:hAnsi="IRNazanin" w:eastAsia="IRNazanin" w:cs="IRNazanin"/>
          <w:lang w:bidi="fa-IR"/>
          <w:color w:val="111111"/>
          <w:sz w:val="28"/>
          <w:szCs w:val="28"/>
          <w:rtl/>
        </w:rPr>
        <w:t xml:space="preserve">و اسمه المیرزا حبیب الله و هو أیضا من الشعراء المذکورین فی نامه فرهنگیان لعبرت الموجود فی (المجلس) و أورد فیها خمس صفحات من شعره.</w:t>
      </w:r>
    </w:p>
    <w:p>
      <w:pPr>
        <w:pStyle w:val="Heading3"/>
      </w:pPr>
      <w:bookmarkStart w:id="8283" w:name="_Toc6979"/>
      <w:r>
        <w:t>6262- دیوان مایل لکهنوی أو شعره‏</w:t>
      </w:r>
      <w:bookmarkEnd w:id="8283"/>
    </w:p>
    <w:p>
      <w:pPr>
        <w:pStyle w:val="BookText"/>
      </w:pPr>
      <w:r>
        <w:rPr>
          <w:rFonts w:ascii="IRNazanin" w:hAnsi="IRNazanin" w:eastAsia="IRNazanin" w:cs="IRNazanin"/>
          <w:lang w:bidi="fa-IR"/>
          <w:color w:val="111111"/>
          <w:sz w:val="28"/>
          <w:szCs w:val="28"/>
          <w:rtl/>
        </w:rPr>
        <w:t xml:space="preserve">و اسمه مدد علی بن محمد علی کروری من أعمال لکهنو ترجمه و أورد شعره فی (گلشن- ص 360).</w:t>
      </w:r>
    </w:p>
    <w:p>
      <w:pPr>
        <w:pStyle w:val="Heading3"/>
      </w:pPr>
      <w:bookmarkStart w:id="8284" w:name="_Toc6980"/>
      <w:r>
        <w:t>6263- دیوان مایل مشهدی أو شعره‏</w:t>
      </w:r>
      <w:bookmarkEnd w:id="8284"/>
    </w:p>
    <w:p>
      <w:pPr>
        <w:pStyle w:val="BookText"/>
      </w:pPr>
      <w:r>
        <w:rPr>
          <w:rFonts w:ascii="IRNazanin" w:hAnsi="IRNazanin" w:eastAsia="IRNazanin" w:cs="IRNazanin"/>
          <w:lang w:bidi="fa-IR"/>
          <w:color w:val="111111"/>
          <w:sz w:val="28"/>
          <w:szCs w:val="28"/>
          <w:rtl/>
        </w:rPr>
        <w:t xml:space="preserve">ترجمه و أورد شعره فی (مطلع 2: 442) و (گلشن- ص 359).</w:t>
      </w:r>
    </w:p>
    <w:p>
      <w:pPr>
        <w:pStyle w:val="Heading3"/>
      </w:pPr>
      <w:bookmarkStart w:id="8285" w:name="_Toc6981"/>
      <w:r>
        <w:t>6264- دیوان مایل همدانی أو شعره‏</w:t>
      </w:r>
      <w:bookmarkEnd w:id="8285"/>
    </w:p>
    <w:p>
      <w:pPr>
        <w:pStyle w:val="BookText"/>
      </w:pPr>
      <w:r>
        <w:rPr>
          <w:rFonts w:ascii="IRNazanin" w:hAnsi="IRNazanin" w:eastAsia="IRNazanin" w:cs="IRNazanin"/>
          <w:lang w:bidi="fa-IR"/>
          <w:color w:val="111111"/>
          <w:sz w:val="28"/>
          <w:szCs w:val="28"/>
          <w:rtl/>
        </w:rPr>
        <w:t xml:space="preserve">ترجمه و أورد شعره فی (گلشن- ص 360).</w:t>
      </w:r>
    </w:p>
    <w:p>
      <w:pPr>
        <w:pStyle w:val="Heading3"/>
      </w:pPr>
      <w:bookmarkStart w:id="8286" w:name="_Toc6982"/>
      <w:r>
        <w:t>6265- دیوان مایل هندی أو شعره‏</w:t>
      </w:r>
      <w:bookmarkEnd w:id="8286"/>
    </w:p>
    <w:p>
      <w:pPr>
        <w:pStyle w:val="BookText"/>
      </w:pPr>
      <w:r>
        <w:rPr>
          <w:rFonts w:ascii="IRNazanin" w:hAnsi="IRNazanin" w:eastAsia="IRNazanin" w:cs="IRNazanin"/>
          <w:lang w:bidi="fa-IR"/>
          <w:color w:val="111111"/>
          <w:sz w:val="28"/>
          <w:szCs w:val="28"/>
          <w:rtl/>
        </w:rPr>
        <w:t xml:space="preserve">و هو المیر شیر علی بن دائم علی الیوهاری الهندی کان ینتسب إلی السید حسام الحق. أورد شعره فی (گلشن- ص 359). و طبع دیوان مایل فی الله‏آباد فی 1889 م. فی 213 ص.
</w:t>
      </w:r>
    </w:p>
    <w:p>
      <w:pPr>
        <w:sectPr>
          <w:footerReference w:type="default" r:id="rId964"/>
          <w:footnotePr>
            <w:numStart w:val="1"/>
            <w:numRestart w:val="eachPage"/>
          </w:footnotePr>
          <w:pgSz w:orient="portrait" w:w="11905.511811023622" w:h="16837.79527559055"/>
          <w:pgMar w:top="1440" w:right="1440" w:bottom="1440" w:left="1440" w:header="720" w:footer="720" w:gutter="0"/>
          <w:cols w:num="1" w:space="720"/>
        </w:sectPr>
      </w:pPr>
    </w:p>
    <w:bookmarkStart w:id="946" w:name="pg11704_122432"/>
    <w:bookmarkEnd w:id="946"/>
    <w:p>
      <w:pPr>
        <w:pStyle w:val="Heading3"/>
      </w:pPr>
      <w:bookmarkStart w:id="8287" w:name="_Toc6983"/>
      <w:r>
        <w:t>6266- دیوان مایل هندی أو شعره‏</w:t>
      </w:r>
      <w:bookmarkEnd w:id="8287"/>
    </w:p>
    <w:p>
      <w:pPr>
        <w:pStyle w:val="BookText"/>
      </w:pPr>
      <w:r>
        <w:rPr>
          <w:rFonts w:ascii="IRNazanin" w:hAnsi="IRNazanin" w:eastAsia="IRNazanin" w:cs="IRNazanin"/>
          <w:lang w:bidi="fa-IR"/>
          <w:color w:val="111111"/>
          <w:sz w:val="28"/>
          <w:szCs w:val="28"/>
          <w:rtl/>
        </w:rPr>
        <w:t xml:space="preserve">و اسمه غلام محیی الدین أورد شعره فی تاریخ تألیف نتایج الأفکار تألیف قدرت فی 1258 فی (نتایج- ص 796).</w:t>
      </w:r>
    </w:p>
    <w:p>
      <w:pPr>
        <w:pStyle w:val="Heading3"/>
      </w:pPr>
      <w:bookmarkStart w:id="8288" w:name="_Toc6984"/>
      <w:r>
        <w:t>6267- دیوان مایلی أردبیلی‏</w:t>
      </w:r>
      <w:bookmarkEnd w:id="8288"/>
    </w:p>
    <w:p>
      <w:pPr>
        <w:pStyle w:val="BookText"/>
      </w:pPr>
      <w:r>
        <w:rPr>
          <w:rFonts w:ascii="IRNazanin" w:hAnsi="IRNazanin" w:eastAsia="IRNazanin" w:cs="IRNazanin"/>
          <w:lang w:bidi="fa-IR"/>
          <w:color w:val="111111"/>
          <w:sz w:val="28"/>
          <w:szCs w:val="28"/>
          <w:rtl/>
        </w:rPr>
        <w:t xml:space="preserve">ترجمه معاصره الصادقی فی (خص 8- 243) المؤلف 1010 و ذکر مهارته فی الطنبور و أورد شعره، و نقل عنه فی (دجا- ص 323).</w:t>
      </w:r>
    </w:p>
    <w:p>
      <w:pPr>
        <w:pStyle w:val="Heading3"/>
      </w:pPr>
      <w:bookmarkStart w:id="8289" w:name="_Toc6985"/>
      <w:r>
        <w:t>6268- دیوان مایلی أسفراینی‏</w:t>
      </w:r>
      <w:bookmarkEnd w:id="8289"/>
    </w:p>
    <w:p>
      <w:pPr>
        <w:pStyle w:val="BookText"/>
      </w:pPr>
      <w:r>
        <w:rPr>
          <w:rFonts w:ascii="IRNazanin" w:hAnsi="IRNazanin" w:eastAsia="IRNazanin" w:cs="IRNazanin"/>
          <w:lang w:bidi="fa-IR"/>
          <w:color w:val="111111"/>
          <w:sz w:val="28"/>
          <w:szCs w:val="28"/>
          <w:rtl/>
        </w:rPr>
        <w:t xml:space="preserve">ترجمه فی (مجن 3- ص 73 و 248) و أورد شعره.</w:t>
      </w:r>
    </w:p>
    <w:p>
      <w:pPr>
        <w:pStyle w:val="Heading3"/>
      </w:pPr>
      <w:bookmarkStart w:id="8290" w:name="_Toc6986"/>
      <w:r>
        <w:t>دیوان مایلی شیرازی‏</w:t>
      </w:r>
      <w:bookmarkEnd w:id="8290"/>
    </w:p>
    <w:p>
      <w:pPr>
        <w:pStyle w:val="BookText"/>
      </w:pPr>
      <w:r>
        <w:rPr>
          <w:rFonts w:ascii="IRNazanin" w:hAnsi="IRNazanin" w:eastAsia="IRNazanin" w:cs="IRNazanin"/>
          <w:lang w:bidi="fa-IR"/>
          <w:color w:val="111111"/>
          <w:sz w:val="28"/>
          <w:szCs w:val="28"/>
          <w:rtl/>
        </w:rPr>
        <w:t xml:space="preserve">راجع مایلی نیریزی.</w:t>
      </w:r>
    </w:p>
    <w:p>
      <w:pPr>
        <w:pStyle w:val="Heading3"/>
      </w:pPr>
      <w:bookmarkStart w:id="8291" w:name="_Toc6987"/>
      <w:r>
        <w:t>6269- دیوان مایلی کاشانی أو شعره‏</w:t>
      </w:r>
      <w:bookmarkEnd w:id="8291"/>
    </w:p>
    <w:p>
      <w:pPr>
        <w:pStyle w:val="BookText"/>
      </w:pPr>
      <w:r>
        <w:rPr>
          <w:rFonts w:ascii="IRNazanin" w:hAnsi="IRNazanin" w:eastAsia="IRNazanin" w:cs="IRNazanin"/>
          <w:lang w:bidi="fa-IR"/>
          <w:color w:val="111111"/>
          <w:sz w:val="28"/>
          <w:szCs w:val="28"/>
          <w:rtl/>
        </w:rPr>
        <w:t xml:space="preserve">کان من ساداتها. ترجمه و أورد شعره فی (تش- ص 247).</w:t>
      </w:r>
    </w:p>
    <w:p>
      <w:pPr>
        <w:pStyle w:val="Heading3"/>
      </w:pPr>
      <w:bookmarkStart w:id="8292" w:name="_Toc6988"/>
      <w:r>
        <w:t>6270- دیوان مایلی نیریزی‏</w:t>
      </w:r>
      <w:bookmarkEnd w:id="8292"/>
    </w:p>
    <w:p>
      <w:pPr>
        <w:pStyle w:val="BookText"/>
      </w:pPr>
      <w:r>
        <w:rPr>
          <w:rFonts w:ascii="IRNazanin" w:hAnsi="IRNazanin" w:eastAsia="IRNazanin" w:cs="IRNazanin"/>
          <w:lang w:bidi="fa-IR"/>
          <w:color w:val="111111"/>
          <w:sz w:val="28"/>
          <w:szCs w:val="28"/>
          <w:rtl/>
        </w:rPr>
        <w:t xml:space="preserve">کان فاضلا عالما بالسیاق و الاستیفاء و لما تصدی المیرزا أحمد الکفرانی الأصفهانی خالصة شیراز و ظلم الناس فشکوه إلی الشاه طهماسب و نظم ما یلی قصیدة شکوائیة لامیة، قرأها فی مجلس الملک فأمر بإحقاق حقهم. ترجمه و أورد قصیدته فی (هفت- ص 199) و (خز- ص 407) و (تش- ص 298) و منها:</w:t>
      </w:r>
    </w:p>
    <w:p>
      <w:pPr>
        <w:pStyle w:val="BookText"/>
      </w:pPr>
      <w:r>
        <w:rPr>
          <w:rFonts w:ascii="IRNazanin" w:hAnsi="IRNazanin" w:eastAsia="IRNazanin" w:cs="IRNazanin"/>
          <w:lang w:bidi="fa-IR"/>
          <w:color w:val="111111"/>
          <w:sz w:val="28"/>
          <w:szCs w:val="28"/>
          <w:rtl/>
        </w:rPr>
        <w:t xml:space="preserve">ای کار جهانی شده از جور تو مشکل‏</w:t>
      </w:r>
    </w:p>
    <w:p>
      <w:pPr>
        <w:pStyle w:val="BookText"/>
      </w:pPr>
      <w:r>
        <w:rPr>
          <w:rFonts w:ascii="IRNazanin" w:hAnsi="IRNazanin" w:eastAsia="IRNazanin" w:cs="IRNazanin"/>
          <w:lang w:bidi="fa-IR"/>
          <w:color w:val="111111"/>
          <w:sz w:val="28"/>
          <w:szCs w:val="28"/>
          <w:rtl/>
        </w:rPr>
        <w:t xml:space="preserve">مشکل که رود نقش ستمهای تو از دل‏</w:t>
      </w:r>
    </w:p>
    <w:p>
      <w:pPr>
        <w:pStyle w:val="BookText"/>
      </w:pPr>
      <w:r>
        <w:rPr>
          <w:rFonts w:ascii="IRNazanin" w:hAnsi="IRNazanin" w:eastAsia="IRNazanin" w:cs="IRNazanin"/>
          <w:lang w:bidi="fa-IR"/>
          <w:color w:val="111111"/>
          <w:sz w:val="28"/>
          <w:szCs w:val="28"/>
          <w:rtl/>
        </w:rPr>
        <w:t xml:space="preserve">هستند ز بیداد تو ملکی همه در داد</w:t>
      </w:r>
    </w:p>
    <w:p>
      <w:pPr>
        <w:pStyle w:val="BookText"/>
      </w:pPr>
      <w:r>
        <w:rPr>
          <w:rFonts w:ascii="IRNazanin" w:hAnsi="IRNazanin" w:eastAsia="IRNazanin" w:cs="IRNazanin"/>
          <w:lang w:bidi="fa-IR"/>
          <w:color w:val="111111"/>
          <w:sz w:val="28"/>
          <w:szCs w:val="28"/>
          <w:rtl/>
        </w:rPr>
        <w:t xml:space="preserve">تا چند به بیداد بود طبع تو مایل‏</w:t>
      </w:r>
    </w:p>
    <w:p>
      <w:pPr>
        <w:pStyle w:val="Heading3"/>
      </w:pPr>
      <w:bookmarkStart w:id="8293" w:name="_Toc6989"/>
      <w:r>
        <w:t>6271- دیوان مأیوس بخاری أو شعره‏</w:t>
      </w:r>
      <w:bookmarkEnd w:id="8293"/>
    </w:p>
    <w:p>
      <w:pPr>
        <w:pStyle w:val="BookText"/>
      </w:pPr>
      <w:r>
        <w:rPr>
          <w:rFonts w:ascii="IRNazanin" w:hAnsi="IRNazanin" w:eastAsia="IRNazanin" w:cs="IRNazanin"/>
          <w:lang w:bidi="fa-IR"/>
          <w:color w:val="111111"/>
          <w:sz w:val="28"/>
          <w:szCs w:val="28"/>
          <w:rtl/>
        </w:rPr>
        <w:t xml:space="preserve">ترجمه و أورد شعره فی (نر 10- ص 437) و فی (گلشن- ص 360).</w:t>
      </w:r>
    </w:p>
    <w:p>
      <w:pPr>
        <w:pStyle w:val="Heading3"/>
      </w:pPr>
      <w:bookmarkStart w:id="8294" w:name="_Toc6990"/>
      <w:r>
        <w:t>6272- دیوان مئی کلال الگوالیاری الهندی‏</w:t>
      </w:r>
      <w:bookmarkEnd w:id="8294"/>
    </w:p>
    <w:p>
      <w:pPr>
        <w:pStyle w:val="BookText"/>
      </w:pPr>
      <w:r>
        <w:rPr>
          <w:rFonts w:ascii="IRNazanin" w:hAnsi="IRNazanin" w:eastAsia="IRNazanin" w:cs="IRNazanin"/>
          <w:lang w:bidi="fa-IR"/>
          <w:color w:val="111111"/>
          <w:sz w:val="28"/>
          <w:szCs w:val="28"/>
          <w:rtl/>
        </w:rPr>
        <w:t xml:space="preserve">من خدام جهانگیر پادشاه. ترجم فی (سرخوش- ص 109) و (گلشن- ص 487) و نقلا عن دیوانه.</w:t>
      </w:r>
    </w:p>
    <w:p>
      <w:pPr>
        <w:pStyle w:val="Heading3"/>
      </w:pPr>
      <w:bookmarkStart w:id="8295" w:name="_Toc6991"/>
      <w:r>
        <w:t>دیوان مبارک‏</w:t>
      </w:r>
      <w:bookmarkEnd w:id="8295"/>
    </w:p>
    <w:p>
      <w:pPr>
        <w:pStyle w:val="BookText"/>
      </w:pPr>
      <w:r>
        <w:rPr>
          <w:rFonts w:ascii="IRNazanin" w:hAnsi="IRNazanin" w:eastAsia="IRNazanin" w:cs="IRNazanin"/>
          <w:lang w:bidi="fa-IR"/>
          <w:color w:val="111111"/>
          <w:sz w:val="28"/>
          <w:szCs w:val="28"/>
          <w:rtl/>
        </w:rPr>
        <w:t xml:space="preserve">من أحفاد السید مبارک خان المشعشعی الحویزی والی عربستان ترجمه النصرآبادی فی (نر 2- ص 29) و فی (مسرت 239). و تخلصه مدهوش کما یأتی.</w:t>
      </w:r>
    </w:p>
    <w:p>
      <w:pPr>
        <w:pStyle w:val="Heading3"/>
      </w:pPr>
      <w:bookmarkStart w:id="8296" w:name="_Toc6992"/>
      <w:r>
        <w:t>دیوان مبارک شاه غوری أو شعره‏</w:t>
      </w:r>
      <w:bookmarkEnd w:id="8296"/>
    </w:p>
    <w:p>
      <w:pPr>
        <w:pStyle w:val="BookText"/>
      </w:pPr>
      <w:r>
        <w:rPr>
          <w:rFonts w:ascii="IRNazanin" w:hAnsi="IRNazanin" w:eastAsia="IRNazanin" w:cs="IRNazanin"/>
          <w:lang w:bidi="fa-IR"/>
          <w:color w:val="111111"/>
          <w:sz w:val="28"/>
          <w:szCs w:val="28"/>
          <w:rtl/>
        </w:rPr>
        <w:t xml:space="preserve">مدح السلطان غیاث الدین الغوری، و له مدخل منظوم ترجمه و أورد شعره فی تاریخ گزیده- ص 825 و (تش- ص 130) و سماه فی (لب 6) الصدر الأجل مبارک شاه بن الحسین المروردی. مر بعنوان فخر الدین خوارزمی فی ص 810 و له آداب الحرب و الشجاعة طبع قسم منه فی مجلة أریانتال و قسم آخر فی مجلة دانش 3.
</w:t>
      </w:r>
    </w:p>
    <w:p>
      <w:pPr>
        <w:sectPr>
          <w:footerReference w:type="default" r:id="rId965"/>
          <w:footnotePr>
            <w:numStart w:val="1"/>
            <w:numRestart w:val="eachPage"/>
          </w:footnotePr>
          <w:pgSz w:orient="portrait" w:w="11905.511811023622" w:h="16837.79527559055"/>
          <w:pgMar w:top="1440" w:right="1440" w:bottom="1440" w:left="1440" w:header="720" w:footer="720" w:gutter="0"/>
          <w:cols w:num="1" w:space="720"/>
        </w:sectPr>
      </w:pPr>
    </w:p>
    <w:bookmarkStart w:id="947" w:name="pg11704_122433"/>
    <w:bookmarkEnd w:id="947"/>
    <w:p>
      <w:pPr>
        <w:pStyle w:val="Heading3"/>
      </w:pPr>
      <w:bookmarkStart w:id="8297" w:name="_Toc6993"/>
      <w:r>
        <w:t>6273- دیوان مبتلا</w:t>
      </w:r>
      <w:bookmarkEnd w:id="8297"/>
    </w:p>
    <w:p>
      <w:pPr>
        <w:pStyle w:val="BookText"/>
      </w:pPr>
      <w:r>
        <w:rPr>
          <w:rFonts w:ascii="IRNazanin" w:hAnsi="IRNazanin" w:eastAsia="IRNazanin" w:cs="IRNazanin"/>
          <w:lang w:bidi="fa-IR"/>
          <w:color w:val="111111"/>
          <w:sz w:val="28"/>
          <w:szCs w:val="28"/>
          <w:rtl/>
        </w:rPr>
        <w:t xml:space="preserve">و هو المیرزا کاظم و الملقب مردان علی خان اللکهنوی ابن محمد علی خان بن کرم علی خان المشهدی. نزل آباؤه الهند فی عهد عالمگیر. و ولد مبتلا بالهند فی 1144 و نشا بلکهنو و تعلم الخط و الشعر و مات فی أواخر المائة الثانیة عشر و دیوانه فی أربعة آلاف بیت و له نظم معانی فی تذکره الشعراء. ترجمه و أورد شعره فی (روشن- ص 602).</w:t>
      </w:r>
    </w:p>
    <w:p>
      <w:pPr>
        <w:pStyle w:val="Heading3"/>
      </w:pPr>
      <w:bookmarkStart w:id="8298" w:name="_Toc6994"/>
      <w:r>
        <w:t>6274- دیوان مبدع تبریزی أو شعره‏</w:t>
      </w:r>
      <w:bookmarkEnd w:id="8298"/>
    </w:p>
    <w:p>
      <w:pPr>
        <w:pStyle w:val="BookText"/>
      </w:pPr>
      <w:r>
        <w:rPr>
          <w:rFonts w:ascii="IRNazanin" w:hAnsi="IRNazanin" w:eastAsia="IRNazanin" w:cs="IRNazanin"/>
          <w:lang w:bidi="fa-IR"/>
          <w:color w:val="111111"/>
          <w:sz w:val="28"/>
          <w:szCs w:val="28"/>
          <w:rtl/>
        </w:rPr>
        <w:t xml:space="preserve">ترجمه النصرآبادی فی (نر 9- ص 392) و ذکر أنه کان نزیل أصفهان مشغولا بالصنائع و أخیرا ذهب إلی بلاد الهند و انقطع خبره و أورد بعض أشعاره. و ترجمه فی (دجا- ص 324) نقلا عن تذکره النصرآبادی و (گلشن- ص 361).</w:t>
      </w:r>
    </w:p>
    <w:p>
      <w:pPr>
        <w:pStyle w:val="Heading3"/>
      </w:pPr>
      <w:bookmarkStart w:id="8299" w:name="_Toc6995"/>
      <w:r>
        <w:t>6275- دیوان مبشری‏</w:t>
      </w:r>
      <w:bookmarkEnd w:id="8299"/>
    </w:p>
    <w:p>
      <w:pPr>
        <w:pStyle w:val="BookText"/>
      </w:pPr>
      <w:r>
        <w:rPr>
          <w:rFonts w:ascii="IRNazanin" w:hAnsi="IRNazanin" w:eastAsia="IRNazanin" w:cs="IRNazanin"/>
          <w:lang w:bidi="fa-IR"/>
          <w:color w:val="111111"/>
          <w:sz w:val="28"/>
          <w:szCs w:val="28"/>
          <w:rtl/>
        </w:rPr>
        <w:t xml:space="preserve">و هو الدکتور أسد الله روئین مبشری. ابن أبی القاسم مبشر حضور المولود 1288 ش. طبع له منظومات منها پرتگاه بطهران 1310 ش. فی 53 ص.</w:t>
      </w:r>
    </w:p>
    <w:p>
      <w:pPr>
        <w:pStyle w:val="BookText"/>
      </w:pPr>
      <w:r>
        <w:rPr>
          <w:rFonts w:ascii="IRNazanin" w:hAnsi="IRNazanin" w:eastAsia="IRNazanin" w:cs="IRNazanin"/>
          <w:lang w:bidi="fa-IR"/>
          <w:color w:val="111111"/>
          <w:sz w:val="28"/>
          <w:szCs w:val="28"/>
          <w:rtl/>
        </w:rPr>
        <w:t xml:space="preserve">و منظومة شب بزنجان 1316 ش و له ترجمه عبقریة محمد فی مجلدین و روش نویسندگی.</w:t>
      </w:r>
    </w:p>
    <w:p>
      <w:pPr>
        <w:pStyle w:val="Heading3"/>
      </w:pPr>
      <w:bookmarkStart w:id="8300" w:name="_Toc6996"/>
      <w:r>
        <w:t>6276- دیوان مبکی‏</w:t>
      </w:r>
      <w:bookmarkEnd w:id="8300"/>
    </w:p>
    <w:p>
      <w:pPr>
        <w:pStyle w:val="BookText"/>
      </w:pPr>
      <w:r>
        <w:rPr>
          <w:rFonts w:ascii="IRNazanin" w:hAnsi="IRNazanin" w:eastAsia="IRNazanin" w:cs="IRNazanin"/>
          <w:lang w:bidi="fa-IR"/>
          <w:color w:val="111111"/>
          <w:sz w:val="28"/>
          <w:szCs w:val="28"/>
          <w:rtl/>
        </w:rPr>
        <w:t xml:space="preserve">طبع له مجمع البکاء نظما فی المراثی بطهران 1331 فی 199 ص.</w:t>
      </w:r>
    </w:p>
    <w:p>
      <w:pPr>
        <w:pStyle w:val="Heading3"/>
      </w:pPr>
      <w:bookmarkStart w:id="8301" w:name="_Toc6997"/>
      <w:r>
        <w:t>6277- دیوان مبهوت تبریزی‏</w:t>
      </w:r>
      <w:bookmarkEnd w:id="8301"/>
    </w:p>
    <w:p>
      <w:pPr>
        <w:pStyle w:val="BookText"/>
      </w:pPr>
      <w:r>
        <w:rPr>
          <w:rFonts w:ascii="IRNazanin" w:hAnsi="IRNazanin" w:eastAsia="IRNazanin" w:cs="IRNazanin"/>
          <w:lang w:bidi="fa-IR"/>
          <w:color w:val="111111"/>
          <w:sz w:val="28"/>
          <w:szCs w:val="28"/>
          <w:rtl/>
        </w:rPr>
        <w:t xml:space="preserve">من شعراء عصر السلطان فتح علی شاه القاجار.</w:t>
      </w:r>
    </w:p>
    <w:p>
      <w:pPr>
        <w:pStyle w:val="BookText"/>
      </w:pPr>
      <w:r>
        <w:rPr>
          <w:rFonts w:ascii="IRNazanin" w:hAnsi="IRNazanin" w:eastAsia="IRNazanin" w:cs="IRNazanin"/>
          <w:lang w:bidi="fa-IR"/>
          <w:color w:val="111111"/>
          <w:sz w:val="28"/>
          <w:szCs w:val="28"/>
          <w:rtl/>
        </w:rPr>
        <w:t xml:space="preserve">و أشعاره بالترکیة ترجمه کذلک فی (دجا- ص 324) نقلا عن حدیقة الشعراء.</w:t>
      </w:r>
    </w:p>
    <w:p>
      <w:pPr>
        <w:pStyle w:val="Heading3"/>
      </w:pPr>
      <w:bookmarkStart w:id="8302" w:name="_Toc6998"/>
      <w:r>
        <w:t>6278- دیوان متقی أصفهانی‏</w:t>
      </w:r>
      <w:bookmarkEnd w:id="8302"/>
    </w:p>
    <w:p>
      <w:pPr>
        <w:pStyle w:val="BookText"/>
      </w:pPr>
      <w:r>
        <w:rPr>
          <w:rFonts w:ascii="IRNazanin" w:hAnsi="IRNazanin" w:eastAsia="IRNazanin" w:cs="IRNazanin"/>
          <w:lang w:bidi="fa-IR"/>
          <w:color w:val="111111"/>
          <w:sz w:val="28"/>
          <w:szCs w:val="28"/>
          <w:rtl/>
        </w:rPr>
        <w:t xml:space="preserve">من شعراء عهد الشاه عباس الثانی. نقل عن دیوانه فی (گلشن- ص 361).</w:t>
      </w:r>
    </w:p>
    <w:p>
      <w:pPr>
        <w:pStyle w:val="Heading3"/>
      </w:pPr>
      <w:bookmarkStart w:id="8303" w:name="_Toc6999"/>
      <w:r>
        <w:t>6279- دیوان متقی رازی‏</w:t>
      </w:r>
      <w:bookmarkEnd w:id="8303"/>
    </w:p>
    <w:p>
      <w:pPr>
        <w:pStyle w:val="BookText"/>
      </w:pPr>
      <w:r>
        <w:rPr>
          <w:rFonts w:ascii="IRNazanin" w:hAnsi="IRNazanin" w:eastAsia="IRNazanin" w:cs="IRNazanin"/>
          <w:lang w:bidi="fa-IR"/>
          <w:color w:val="111111"/>
          <w:sz w:val="28"/>
          <w:szCs w:val="28"/>
          <w:rtl/>
        </w:rPr>
        <w:t xml:space="preserve">و هو السید المیر محمد عوامل، من سادات ری. ترجمه سام میرزا فی (تس 2- ص 41) و (تش- ص 361) و أورد شعره فی ذم مازندران. و قال اشتهر بعوامل لأنه کان یقرأ فی صباه عوامل النحو و یوجد دیوان متقی فی (بنگاله).</w:t>
      </w:r>
    </w:p>
    <w:p>
      <w:pPr>
        <w:pStyle w:val="Heading3"/>
      </w:pPr>
      <w:bookmarkStart w:id="8304" w:name="_Toc7000"/>
      <w:r>
        <w:t>6280- دیوان متکلم مروزی أو شعره‏</w:t>
      </w:r>
      <w:bookmarkEnd w:id="8304"/>
    </w:p>
    <w:p>
      <w:pPr>
        <w:pStyle w:val="BookText"/>
      </w:pPr>
      <w:r>
        <w:rPr>
          <w:rFonts w:ascii="IRNazanin" w:hAnsi="IRNazanin" w:eastAsia="IRNazanin" w:cs="IRNazanin"/>
          <w:lang w:bidi="fa-IR"/>
          <w:color w:val="111111"/>
          <w:sz w:val="28"/>
          <w:szCs w:val="28"/>
          <w:rtl/>
        </w:rPr>
        <w:t xml:space="preserve">ترجمه و أورد شعره فی همیشه بهار و (مقالات- ص 497).</w:t>
      </w:r>
    </w:p>
    <w:p>
      <w:pPr>
        <w:pStyle w:val="Heading3"/>
      </w:pPr>
      <w:bookmarkStart w:id="8305" w:name="_Toc7001"/>
      <w:r>
        <w:t>دیوان متکلم نیشابوری‏</w:t>
      </w:r>
      <w:bookmarkEnd w:id="8305"/>
    </w:p>
    <w:p>
      <w:pPr>
        <w:pStyle w:val="BookText"/>
      </w:pPr>
      <w:r>
        <w:rPr>
          <w:rFonts w:ascii="IRNazanin" w:hAnsi="IRNazanin" w:eastAsia="IRNazanin" w:cs="IRNazanin"/>
          <w:lang w:bidi="fa-IR"/>
          <w:color w:val="111111"/>
          <w:sz w:val="28"/>
          <w:szCs w:val="28"/>
          <w:rtl/>
        </w:rPr>
        <w:t xml:space="preserve">مر بعنوان حسن نیشابوری فی ص 246.
</w:t>
      </w:r>
    </w:p>
    <w:p>
      <w:pPr>
        <w:sectPr>
          <w:footerReference w:type="default" r:id="rId966"/>
          <w:footnotePr>
            <w:numStart w:val="1"/>
            <w:numRestart w:val="eachPage"/>
          </w:footnotePr>
          <w:pgSz w:orient="portrait" w:w="11905.511811023622" w:h="16837.79527559055"/>
          <w:pgMar w:top="1440" w:right="1440" w:bottom="1440" w:left="1440" w:header="720" w:footer="720" w:gutter="0"/>
          <w:cols w:num="1" w:space="720"/>
        </w:sectPr>
      </w:pPr>
    </w:p>
    <w:bookmarkStart w:id="948" w:name="pg11704_122434"/>
    <w:bookmarkEnd w:id="948"/>
    <w:p>
      <w:pPr>
        <w:pStyle w:val="Heading3"/>
      </w:pPr>
      <w:bookmarkStart w:id="8306" w:name="_Toc7002"/>
      <w:r>
        <w:t>دیوان المتنبی‏</w:t>
      </w:r>
      <w:bookmarkEnd w:id="8306"/>
    </w:p>
    <w:p>
      <w:pPr>
        <w:pStyle w:val="BookText"/>
      </w:pPr>
      <w:r>
        <w:rPr>
          <w:rFonts w:ascii="IRNazanin" w:hAnsi="IRNazanin" w:eastAsia="IRNazanin" w:cs="IRNazanin"/>
          <w:lang w:bidi="fa-IR"/>
          <w:color w:val="111111"/>
          <w:sz w:val="28"/>
          <w:szCs w:val="28"/>
          <w:rtl/>
        </w:rPr>
        <w:t xml:space="preserve">مر ذکره فی ص 44 بکنیته و هو أبو الطیب أحمد بن الحسین. ولد بالکوفة فی محلة کندة فی 303 و قتل بقرب النعمانیة 354 و دفن هناک. ترجمه فی الجزء الثامن و المجلد التاسع من أعیان الشیعة من ص 60 إلی ص 278 و بسط القول فی حسبه و نسبه و عقد عنوانا لتشیعه و مذهبه و ذکر کلمات القائلین بتشیعه و أورد أشعاره الدالة علی تشیعه مثل قوله:</w:t>
      </w:r>
    </w:p>
    <w:p>
      <w:pPr>
        <w:pStyle w:val="BookText"/>
      </w:pPr>
      <w:r>
        <w:rPr>
          <w:rFonts w:ascii="IRNazanin" w:hAnsi="IRNazanin" w:eastAsia="IRNazanin" w:cs="IRNazanin"/>
          <w:lang w:bidi="fa-IR"/>
          <w:color w:val="111111"/>
          <w:sz w:val="28"/>
          <w:szCs w:val="28"/>
          <w:rtl/>
        </w:rPr>
        <w:t xml:space="preserve">و ترکت مدحی للوصی تعمدا</w:t>
      </w:r>
    </w:p>
    <w:p>
      <w:pPr>
        <w:pStyle w:val="BookText"/>
      </w:pPr>
      <w:r>
        <w:rPr>
          <w:rFonts w:ascii="IRNazanin" w:hAnsi="IRNazanin" w:eastAsia="IRNazanin" w:cs="IRNazanin"/>
          <w:lang w:bidi="fa-IR"/>
          <w:color w:val="111111"/>
          <w:sz w:val="28"/>
          <w:szCs w:val="28"/>
          <w:rtl/>
        </w:rPr>
        <w:t xml:space="preserve">إذ کان نورا مستطیلا شاملا</w:t>
      </w:r>
    </w:p>
    <w:p>
      <w:pPr>
        <w:pStyle w:val="BookText"/>
      </w:pPr>
      <w:r>
        <w:rPr>
          <w:rFonts w:ascii="IRNazanin" w:hAnsi="IRNazanin" w:eastAsia="IRNazanin" w:cs="IRNazanin"/>
          <w:lang w:bidi="fa-IR"/>
          <w:color w:val="111111"/>
          <w:sz w:val="28"/>
          <w:szCs w:val="28"/>
          <w:rtl/>
        </w:rPr>
        <w:t xml:space="preserve">و طبع دیوانه بإسقاط تلک الأشعار کما ذکر فی ص 75 من أعیان الشیعة و لأبی محمد طاهر بن الحسین المخزومی فتق الکمائم فی تفسیر شعر المتنبی کما فی تتمه الیتیمة للثعالبی. و ترجم المتنبی فی (هفت- 130) و توجد نسخه من الدیوان فی مکتبة (لعله لی) و تصویره بجامعة طهران و نسخه بخط الجوالیقی عند (فخر الدین النصیری) و ترجمه الخطیب فی تاریخ بغداد 4: 102 و الروضات ص 61 و ابن خلکان 1: 38 و کتب الدکتور حسین علی محفوظ از متنبی تا سعدی.</w:t>
      </w:r>
    </w:p>
    <w:p>
      <w:pPr>
        <w:pStyle w:val="Heading3"/>
      </w:pPr>
      <w:bookmarkStart w:id="8307" w:name="_Toc7003"/>
      <w:r>
        <w:t>دیوان المتوج‏</w:t>
      </w:r>
      <w:bookmarkEnd w:id="8307"/>
    </w:p>
    <w:p>
      <w:pPr>
        <w:pStyle w:val="BookText"/>
      </w:pPr>
      <w:r>
        <w:rPr>
          <w:rFonts w:ascii="IRNazanin" w:hAnsi="IRNazanin" w:eastAsia="IRNazanin" w:cs="IRNazanin"/>
          <w:lang w:bidi="fa-IR"/>
          <w:color w:val="111111"/>
          <w:sz w:val="28"/>
          <w:szCs w:val="28"/>
          <w:rtl/>
        </w:rPr>
        <w:t xml:space="preserve">راجع ابن المتوج فی ص 28.</w:t>
      </w:r>
    </w:p>
    <w:p>
      <w:pPr>
        <w:pStyle w:val="Heading3"/>
      </w:pPr>
      <w:bookmarkStart w:id="8308" w:name="_Toc7004"/>
      <w:r>
        <w:t>6281- دیوان متین أصفهانی‏</w:t>
      </w:r>
      <w:bookmarkEnd w:id="8308"/>
    </w:p>
    <w:p>
      <w:pPr>
        <w:pStyle w:val="BookText"/>
      </w:pPr>
      <w:r>
        <w:rPr>
          <w:rFonts w:ascii="IRNazanin" w:hAnsi="IRNazanin" w:eastAsia="IRNazanin" w:cs="IRNazanin"/>
          <w:lang w:bidi="fa-IR"/>
          <w:color w:val="111111"/>
          <w:sz w:val="28"/>
          <w:szCs w:val="28"/>
          <w:rtl/>
        </w:rPr>
        <w:t xml:space="preserve">ترجمه فی (خز- ص 426) و (سرو- ص 226) و (نتایج- ص 665) و (روشن 604) نقلا عما کتبه بنفسه فی ترجمته مختصرا أن اسمه عبد الرضا بن الشیخ عبد الله بن عبد العالی بن حسین المالکی الاشتری النجفی هاجر والده إلی أصفهان و تأهل بها فولد له عبد الرضا المتخلص متین فی عید الفطر 1103 و لما بلغ العشرین سافر إلی الهند و بعد أربعین سنة أدرک من کان فی طلبه و هو السید محمد العارف النعمةاللهی و کان معاشه من الوزیر بهادر جنگ و بعده من أخیه شجاع الدولة و فی 1175 نزل بنگالة عند ناظمها قاسم علی خان و بها توفی أوائل شوال تلک السنة. ثم أورد بعض ما اختاره من دیوانه المرتب من أوله إلی مقدار من ردیف الدال و أورد شعره فی (مسرت- ص 255).</w:t>
      </w:r>
    </w:p>
    <w:p>
      <w:pPr>
        <w:pStyle w:val="Heading3"/>
      </w:pPr>
      <w:bookmarkStart w:id="8309" w:name="_Toc7005"/>
      <w:r>
        <w:t>6282- دیوان متین شیرازی أو شعره‏</w:t>
      </w:r>
      <w:bookmarkEnd w:id="8309"/>
    </w:p>
    <w:p>
      <w:pPr>
        <w:pStyle w:val="BookText"/>
      </w:pPr>
      <w:r>
        <w:rPr>
          <w:rFonts w:ascii="IRNazanin" w:hAnsi="IRNazanin" w:eastAsia="IRNazanin" w:cs="IRNazanin"/>
          <w:lang w:bidi="fa-IR"/>
          <w:color w:val="111111"/>
          <w:sz w:val="28"/>
          <w:szCs w:val="28"/>
          <w:rtl/>
        </w:rPr>
        <w:t xml:space="preserve">و اسمه آقا سعید ابن الخواجة عبد الکریم الشیرازی. ترجمه معاصره النصرآبادی فی (نر 9- ص 384) و أطری أخلاقه و اشتغاله بالعلم فی المدرسة و أورد بعض أشعاره.
</w:t>
      </w:r>
    </w:p>
    <w:p>
      <w:pPr>
        <w:sectPr>
          <w:footerReference w:type="default" r:id="rId967"/>
          <w:footnotePr>
            <w:numStart w:val="1"/>
            <w:numRestart w:val="eachPage"/>
          </w:footnotePr>
          <w:pgSz w:orient="portrait" w:w="11905.511811023622" w:h="16837.79527559055"/>
          <w:pgMar w:top="1440" w:right="1440" w:bottom="1440" w:left="1440" w:header="720" w:footer="720" w:gutter="0"/>
          <w:cols w:num="1" w:space="720"/>
        </w:sectPr>
      </w:pPr>
    </w:p>
    <w:bookmarkStart w:id="949" w:name="pg11704_122435"/>
    <w:bookmarkEnd w:id="949"/>
    <w:p>
      <w:pPr>
        <w:pStyle w:val="Heading3"/>
      </w:pPr>
      <w:bookmarkStart w:id="8310" w:name="_Toc7006"/>
      <w:r>
        <w:t>6283- دیوان متین کشمیری أو شعره‏</w:t>
      </w:r>
      <w:bookmarkEnd w:id="8310"/>
    </w:p>
    <w:p>
      <w:pPr>
        <w:pStyle w:val="BookText"/>
      </w:pPr>
      <w:r>
        <w:rPr>
          <w:rFonts w:ascii="IRNazanin" w:hAnsi="IRNazanin" w:eastAsia="IRNazanin" w:cs="IRNazanin"/>
          <w:lang w:bidi="fa-IR"/>
          <w:color w:val="111111"/>
          <w:sz w:val="28"/>
          <w:szCs w:val="28"/>
          <w:rtl/>
        </w:rPr>
        <w:t xml:space="preserve">و اسمه محمد علی خان الکشمیری مؤلف تذکره الشعراء الموسوم حیاة الشعراء و هو من مآخذ خزانة عامرة فیه الشعراء من 1125 إلی 1161 و أورد شعره فی (گلشن- ص 361).</w:t>
      </w:r>
    </w:p>
    <w:p>
      <w:pPr>
        <w:pStyle w:val="Heading3"/>
      </w:pPr>
      <w:bookmarkStart w:id="8311" w:name="_Toc7007"/>
      <w:r>
        <w:t>دیوان متین نجفی‏</w:t>
      </w:r>
      <w:bookmarkEnd w:id="8311"/>
    </w:p>
    <w:p>
      <w:pPr>
        <w:pStyle w:val="BookText"/>
      </w:pPr>
      <w:r>
        <w:rPr>
          <w:rFonts w:ascii="IRNazanin" w:hAnsi="IRNazanin" w:eastAsia="IRNazanin" w:cs="IRNazanin"/>
          <w:lang w:bidi="fa-IR"/>
          <w:color w:val="111111"/>
          <w:sz w:val="28"/>
          <w:szCs w:val="28"/>
          <w:rtl/>
        </w:rPr>
        <w:t xml:space="preserve">راجع متین أصفهانی.</w:t>
      </w:r>
    </w:p>
    <w:p>
      <w:pPr>
        <w:pStyle w:val="Heading3"/>
      </w:pPr>
      <w:bookmarkStart w:id="8312" w:name="_Toc7008"/>
      <w:r>
        <w:t>6284- دیوان متین هندی أو شعره‏</w:t>
      </w:r>
      <w:bookmarkEnd w:id="8312"/>
    </w:p>
    <w:p>
      <w:pPr>
        <w:pStyle w:val="BookText"/>
      </w:pPr>
      <w:r>
        <w:rPr>
          <w:rFonts w:ascii="IRNazanin" w:hAnsi="IRNazanin" w:eastAsia="IRNazanin" w:cs="IRNazanin"/>
          <w:lang w:bidi="fa-IR"/>
          <w:color w:val="111111"/>
          <w:sz w:val="28"/>
          <w:szCs w:val="28"/>
          <w:rtl/>
        </w:rPr>
        <w:t xml:space="preserve">و هو الملا جیون اللاهوری الخطاط بالنستعلیق کان معلما، أورد شعره فی (گلشن- ص 362).</w:t>
      </w:r>
    </w:p>
    <w:p>
      <w:pPr>
        <w:pStyle w:val="Heading3"/>
      </w:pPr>
      <w:bookmarkStart w:id="8313" w:name="_Toc7009"/>
      <w:r>
        <w:t>6285- دیوان متین هندی‏</w:t>
      </w:r>
      <w:bookmarkEnd w:id="8313"/>
    </w:p>
    <w:p>
      <w:pPr>
        <w:pStyle w:val="BookText"/>
      </w:pPr>
      <w:r>
        <w:rPr>
          <w:rFonts w:ascii="IRNazanin" w:hAnsi="IRNazanin" w:eastAsia="IRNazanin" w:cs="IRNazanin"/>
          <w:lang w:bidi="fa-IR"/>
          <w:color w:val="111111"/>
          <w:sz w:val="28"/>
          <w:szCs w:val="28"/>
          <w:rtl/>
        </w:rPr>
        <w:t xml:space="preserve">للنواب أسد علی خان الهندی المتخلص بمتین مر بعنوان بیاض متین فی المراثی الأردویة فی ج 3 ص 170.</w:t>
      </w:r>
    </w:p>
    <w:p>
      <w:pPr>
        <w:pStyle w:val="Heading3"/>
      </w:pPr>
      <w:bookmarkStart w:id="8314" w:name="_Toc7010"/>
      <w:r>
        <w:t>6286- دیوان متینی تبریزی‏</w:t>
      </w:r>
      <w:bookmarkEnd w:id="8314"/>
    </w:p>
    <w:p>
      <w:pPr>
        <w:pStyle w:val="BookText"/>
      </w:pPr>
      <w:r>
        <w:rPr>
          <w:rFonts w:ascii="IRNazanin" w:hAnsi="IRNazanin" w:eastAsia="IRNazanin" w:cs="IRNazanin"/>
          <w:lang w:bidi="fa-IR"/>
          <w:color w:val="111111"/>
          <w:sz w:val="28"/>
          <w:szCs w:val="28"/>
          <w:rtl/>
        </w:rPr>
        <w:t xml:space="preserve">ترجمه فی (دجا- ص 324) نقلا عن تحفه سامی و أورد مطلع غزله. و لکنی لم أجده فی فهرس النسخة المطبوعة و لعله سقط من الأصل أو من الفهرس.</w:t>
      </w:r>
    </w:p>
    <w:p>
      <w:pPr>
        <w:pStyle w:val="Heading3"/>
      </w:pPr>
      <w:bookmarkStart w:id="8315" w:name="_Toc7011"/>
      <w:r>
        <w:t>6287- دیوان مثال تبریزی أو شعره‏</w:t>
      </w:r>
      <w:bookmarkEnd w:id="8315"/>
    </w:p>
    <w:p>
      <w:pPr>
        <w:pStyle w:val="BookText"/>
      </w:pPr>
      <w:r>
        <w:rPr>
          <w:rFonts w:ascii="IRNazanin" w:hAnsi="IRNazanin" w:eastAsia="IRNazanin" w:cs="IRNazanin"/>
          <w:lang w:bidi="fa-IR"/>
          <w:color w:val="111111"/>
          <w:sz w:val="28"/>
          <w:szCs w:val="28"/>
          <w:rtl/>
        </w:rPr>
        <w:t xml:space="preserve">ترجمه فی (دجا- ص 324) و أورد شعره نقلا عن صبح گلشن و جاء فی المطبوع من (گلشن- ص 361).</w:t>
      </w:r>
    </w:p>
    <w:p>
      <w:pPr>
        <w:pStyle w:val="Heading3"/>
      </w:pPr>
      <w:bookmarkStart w:id="8316" w:name="_Toc7012"/>
      <w:r>
        <w:t>6288- دیوان مثال قهپایه‏ای أو شعره‏</w:t>
      </w:r>
      <w:bookmarkEnd w:id="8316"/>
    </w:p>
    <w:p>
      <w:pPr>
        <w:pStyle w:val="BookText"/>
      </w:pPr>
      <w:r>
        <w:rPr>
          <w:rFonts w:ascii="IRNazanin" w:hAnsi="IRNazanin" w:eastAsia="IRNazanin" w:cs="IRNazanin"/>
          <w:lang w:bidi="fa-IR"/>
          <w:color w:val="111111"/>
          <w:sz w:val="28"/>
          <w:szCs w:val="28"/>
          <w:rtl/>
        </w:rPr>
        <w:t xml:space="preserve">و اسمه تقیا. کان ملازم المیرزا مؤمن متولی مشهد الرضا بخراسان و بعد موته لازم مرتضی قلی خان متولی مشهد صفی الدین بأردبیل، ثم لازم المیرزا علی رضا شیخ الإسلام بأصفهان- و لعله تجلی المذکور فی ص 167- حتی مات مثال فی 1076 أورد شعره النصرآبادی فی (نر 9- 397).</w:t>
      </w:r>
    </w:p>
    <w:p>
      <w:pPr>
        <w:pStyle w:val="Heading3"/>
      </w:pPr>
      <w:bookmarkStart w:id="8317" w:name="_Toc7013"/>
      <w:r>
        <w:t>6289- دیوان مثالی شیرازی أو شعره‏</w:t>
      </w:r>
      <w:bookmarkEnd w:id="8317"/>
    </w:p>
    <w:p>
      <w:pPr>
        <w:pStyle w:val="BookText"/>
      </w:pPr>
      <w:r>
        <w:rPr>
          <w:rFonts w:ascii="IRNazanin" w:hAnsi="IRNazanin" w:eastAsia="IRNazanin" w:cs="IRNazanin"/>
          <w:lang w:bidi="fa-IR"/>
          <w:color w:val="111111"/>
          <w:sz w:val="28"/>
          <w:szCs w:val="28"/>
          <w:rtl/>
        </w:rPr>
        <w:t xml:space="preserve">و هو إبراهیم خان ابن کریم خان زند.</w:t>
      </w:r>
    </w:p>
    <w:p>
      <w:pPr>
        <w:pStyle w:val="BookText"/>
      </w:pPr>
      <w:r>
        <w:rPr>
          <w:rFonts w:ascii="IRNazanin" w:hAnsi="IRNazanin" w:eastAsia="IRNazanin" w:cs="IRNazanin"/>
          <w:lang w:bidi="fa-IR"/>
          <w:color w:val="111111"/>
          <w:sz w:val="28"/>
          <w:szCs w:val="28"/>
          <w:rtl/>
        </w:rPr>
        <w:t xml:space="preserve">أورد شعره فی (گلشن- ص 362).</w:t>
      </w:r>
    </w:p>
    <w:p>
      <w:pPr>
        <w:pStyle w:val="Heading3"/>
      </w:pPr>
      <w:bookmarkStart w:id="8318" w:name="_Toc7014"/>
      <w:r>
        <w:t>6290- دیوان مثالی کاشانی‏</w:t>
      </w:r>
      <w:bookmarkEnd w:id="8318"/>
    </w:p>
    <w:p>
      <w:pPr>
        <w:pStyle w:val="BookText"/>
      </w:pPr>
      <w:r>
        <w:rPr>
          <w:rFonts w:ascii="IRNazanin" w:hAnsi="IRNazanin" w:eastAsia="IRNazanin" w:cs="IRNazanin"/>
          <w:lang w:bidi="fa-IR"/>
          <w:color w:val="111111"/>
          <w:sz w:val="28"/>
          <w:szCs w:val="28"/>
          <w:rtl/>
        </w:rPr>
        <w:t xml:space="preserve">ترجمه سام میرزا فی (تس 5- ص 164) و أطرأه و ذکر أنه نظم جواب خمسه نظامی لکنه لم یوفق لإتمامه. ثم ذکر مطلع غزله:</w:t>
      </w:r>
    </w:p>
    <w:p>
      <w:pPr>
        <w:pStyle w:val="BookText"/>
      </w:pPr>
      <w:r>
        <w:rPr>
          <w:rFonts w:ascii="IRNazanin" w:hAnsi="IRNazanin" w:eastAsia="IRNazanin" w:cs="IRNazanin"/>
          <w:lang w:bidi="fa-IR"/>
          <w:color w:val="111111"/>
          <w:sz w:val="28"/>
          <w:szCs w:val="28"/>
          <w:rtl/>
        </w:rPr>
        <w:t xml:space="preserve">مدة ای خضر فریبم بحیات جاودانی‏</w:t>
      </w:r>
    </w:p>
    <w:p>
      <w:pPr>
        <w:pStyle w:val="BookText"/>
      </w:pPr>
      <w:r>
        <w:rPr>
          <w:rFonts w:ascii="IRNazanin" w:hAnsi="IRNazanin" w:eastAsia="IRNazanin" w:cs="IRNazanin"/>
          <w:lang w:bidi="fa-IR"/>
          <w:color w:val="111111"/>
          <w:sz w:val="28"/>
          <w:szCs w:val="28"/>
          <w:rtl/>
        </w:rPr>
        <w:t xml:space="preserve">من و خاک آستانش تو و آب زندگانی‏</w:t>
      </w:r>
    </w:p>
    <w:p>
      <w:pPr>
        <w:pStyle w:val="BookText"/>
      </w:pPr>
      <w:r>
        <w:rPr>
          <w:rFonts w:ascii="IRNazanin" w:hAnsi="IRNazanin" w:eastAsia="IRNazanin" w:cs="IRNazanin"/>
          <w:lang w:bidi="fa-IR"/>
          <w:color w:val="111111"/>
          <w:sz w:val="28"/>
          <w:szCs w:val="28"/>
          <w:rtl/>
        </w:rPr>
        <w:t xml:space="preserve">و ترجمه فی (بهش 2- ص 395) و أورد هذا المطلع له لکنه لم یصرح بأنه کاشی و لا بنظمه لجواب الخمسة و فی (گلشن- ص 362) أنه کان قصاصا فی عصر السلطان حسین الصفوی. و توجد له منظومة لیلی و مجنون فی (المجلس) یشتمل علی 3220 بیت‏
</w:t>
      </w:r>
    </w:p>
    <w:p>
      <w:pPr>
        <w:sectPr>
          <w:footerReference w:type="default" r:id="rId968"/>
          <w:footnotePr>
            <w:numStart w:val="1"/>
            <w:numRestart w:val="eachPage"/>
          </w:footnotePr>
          <w:pgSz w:orient="portrait" w:w="11905.511811023622" w:h="16837.79527559055"/>
          <w:pgMar w:top="1440" w:right="1440" w:bottom="1440" w:left="1440" w:header="720" w:footer="720" w:gutter="0"/>
          <w:cols w:num="1" w:space="720"/>
        </w:sectPr>
      </w:pPr>
    </w:p>
    <w:bookmarkStart w:id="950" w:name="pg11704_122436"/>
    <w:bookmarkEnd w:id="950"/>
    <w:p>
      <w:pPr>
        <w:pStyle w:val="BookText"/>
      </w:pPr>
      <w:r>
        <w:rPr>
          <w:rFonts w:ascii="IRNazanin" w:hAnsi="IRNazanin" w:eastAsia="IRNazanin" w:cs="IRNazanin"/>
          <w:lang w:bidi="fa-IR"/>
          <w:color w:val="111111"/>
          <w:sz w:val="28"/>
          <w:szCs w:val="28"/>
          <w:rtl/>
        </w:rPr>
        <w:t xml:space="preserve">کما فی فهرسها 3: 636.</w:t>
      </w:r>
    </w:p>
    <w:p>
      <w:pPr>
        <w:pStyle w:val="Heading3"/>
      </w:pPr>
      <w:bookmarkStart w:id="8319" w:name="_Toc7015"/>
      <w:r>
        <w:t>دیوان مجتهد الشعراء</w:t>
      </w:r>
      <w:bookmarkEnd w:id="8319"/>
    </w:p>
    <w:p>
      <w:pPr>
        <w:pStyle w:val="BookText"/>
      </w:pPr>
      <w:r>
        <w:rPr>
          <w:rFonts w:ascii="IRNazanin" w:hAnsi="IRNazanin" w:eastAsia="IRNazanin" w:cs="IRNazanin"/>
          <w:lang w:bidi="fa-IR"/>
          <w:color w:val="111111"/>
          <w:sz w:val="28"/>
          <w:szCs w:val="28"/>
          <w:rtl/>
        </w:rPr>
        <w:t xml:space="preserve">السید حسین الطباطبائی الأصفهانی المتخلص مجمر یأتی. و مر سحاب مجتهد الشعراء و قاآنی مجتهد الشعراء.</w:t>
      </w:r>
    </w:p>
    <w:p>
      <w:pPr>
        <w:pStyle w:val="Heading3"/>
      </w:pPr>
      <w:bookmarkStart w:id="8320" w:name="_Toc7016"/>
      <w:r>
        <w:t>دیوان مجد الأدباء</w:t>
      </w:r>
      <w:bookmarkEnd w:id="8320"/>
    </w:p>
    <w:p>
      <w:pPr>
        <w:pStyle w:val="BookText"/>
      </w:pPr>
      <w:r>
        <w:rPr>
          <w:rFonts w:ascii="IRNazanin" w:hAnsi="IRNazanin" w:eastAsia="IRNazanin" w:cs="IRNazanin"/>
          <w:lang w:bidi="fa-IR"/>
          <w:color w:val="111111"/>
          <w:sz w:val="28"/>
          <w:szCs w:val="28"/>
          <w:rtl/>
        </w:rPr>
        <w:t xml:space="preserve">راجع دیوان ثریا طهرانی فی ص 184 و طبع دیوانه فی 1312.</w:t>
      </w:r>
    </w:p>
    <w:p>
      <w:pPr>
        <w:pStyle w:val="Heading3"/>
      </w:pPr>
      <w:bookmarkStart w:id="8321" w:name="_Toc7017"/>
      <w:r>
        <w:t>6291- دیوان مجد الإسلام کرمانی‏</w:t>
      </w:r>
      <w:bookmarkEnd w:id="8321"/>
    </w:p>
    <w:p>
      <w:pPr>
        <w:pStyle w:val="BookText"/>
      </w:pPr>
      <w:r>
        <w:rPr>
          <w:rFonts w:ascii="IRNazanin" w:hAnsi="IRNazanin" w:eastAsia="IRNazanin" w:cs="IRNazanin"/>
          <w:lang w:bidi="fa-IR"/>
          <w:color w:val="111111"/>
          <w:sz w:val="28"/>
          <w:szCs w:val="28"/>
          <w:rtl/>
        </w:rPr>
        <w:t xml:space="preserve">و اسمه فتح الله. طبع له منظومة شهر خاموشان أو أوضاع عدلیة فی 1308 ش فی 90 ص.</w:t>
      </w:r>
    </w:p>
    <w:p>
      <w:pPr>
        <w:pStyle w:val="Heading3"/>
      </w:pPr>
      <w:bookmarkStart w:id="8322" w:name="_Toc7018"/>
      <w:r>
        <w:t>6292- دیوان مجد الأشراف‏</w:t>
      </w:r>
      <w:bookmarkEnd w:id="8322"/>
    </w:p>
    <w:p>
      <w:pPr>
        <w:pStyle w:val="BookText"/>
      </w:pPr>
      <w:r>
        <w:rPr>
          <w:rFonts w:ascii="IRNazanin" w:hAnsi="IRNazanin" w:eastAsia="IRNazanin" w:cs="IRNazanin"/>
          <w:lang w:bidi="fa-IR"/>
          <w:color w:val="111111"/>
          <w:sz w:val="28"/>
          <w:szCs w:val="28"/>
          <w:rtl/>
        </w:rPr>
        <w:t xml:space="preserve">و هو السید جلال الدین مجد الأشراف محمد بن المیرزا أبو القاسم الذهبی الشیرازی متولی مشهد شاه چراغ و المتوفی 1330 و مؤلف تحفه الوجود المذکور. طبع له مجموعة شعریة باسم جلالیة بتبریز فی 1320 فی 210 ص.</w:t>
      </w:r>
    </w:p>
    <w:p>
      <w:pPr>
        <w:pStyle w:val="Heading3"/>
      </w:pPr>
      <w:bookmarkStart w:id="8323" w:name="_Toc7019"/>
      <w:r>
        <w:t>6293- دیوان مجد دزفولی أو شعره‏</w:t>
      </w:r>
      <w:bookmarkEnd w:id="8323"/>
    </w:p>
    <w:p>
      <w:pPr>
        <w:pStyle w:val="BookText"/>
      </w:pPr>
      <w:r>
        <w:rPr>
          <w:rFonts w:ascii="IRNazanin" w:hAnsi="IRNazanin" w:eastAsia="IRNazanin" w:cs="IRNazanin"/>
          <w:lang w:bidi="fa-IR"/>
          <w:color w:val="111111"/>
          <w:sz w:val="28"/>
          <w:szCs w:val="28"/>
          <w:rtl/>
        </w:rPr>
        <w:t xml:space="preserve">و هو القاضی مجد الدین نشا بدزفول و تلمذ علی علمائها مثل السید نعمة الله الجزائری. أطری شعره و إنشاءه صدیقه الحزین فی تذکرته ص 43 و أورد شعره. و عنه أخذ ظاهرا فی (گلشن- ص 362).</w:t>
      </w:r>
    </w:p>
    <w:p>
      <w:pPr>
        <w:pStyle w:val="Heading3"/>
      </w:pPr>
      <w:bookmarkStart w:id="8324" w:name="_Toc7020"/>
      <w:r>
        <w:t>6294- دیوان شیخ مجد الدین بغدادی‏</w:t>
      </w:r>
      <w:bookmarkEnd w:id="8324"/>
    </w:p>
    <w:p>
      <w:pPr>
        <w:pStyle w:val="BookText"/>
      </w:pPr>
      <w:r>
        <w:rPr>
          <w:rFonts w:ascii="IRNazanin" w:hAnsi="IRNazanin" w:eastAsia="IRNazanin" w:cs="IRNazanin"/>
          <w:lang w:bidi="fa-IR"/>
          <w:color w:val="111111"/>
          <w:sz w:val="28"/>
          <w:szCs w:val="28"/>
          <w:rtl/>
        </w:rPr>
        <w:t xml:space="preserve">نسبة إلی قریة یسمی بغدادک من نواحی خوارزم من مشایخ العرفاء. ترجمه فی (بهش 1- ص 319) و أورد شعره، و ترجمه فی (مع- ج 1 ص 542) و ذکر أن اسمه أبو سعید شرف بن مؤید بن أبی الفتح. غرقة فی جیحون السلطان محمد خوارزم شاه فی 606 و قد خلط رباعیاته مع رباعیات أبی سعید أبی الخیر کما ذکره النفیسی فی مقدمه سخنان أبو سعید ص 59 و 142 و ترجم فی (حسینی- ص 302) و (النفحات- ص 379) و قال فی تاریخ گزیده ص 492 إنه أخ بهاء الدین البغدادی منشی السلطان تکش. و ترجمه عباس زریاب خویی فی مجلة یغما 7: 544 و قال صاحب الروضات فی ص 445 إنه رأی نسخه من الرسالة القشیریة بخط مجد الدین البغدادی و علیها إجازة نجم الدین الکبری بخطه.</w:t>
      </w:r>
    </w:p>
    <w:p>
      <w:pPr>
        <w:pStyle w:val="Heading3"/>
      </w:pPr>
      <w:bookmarkStart w:id="8325" w:name="_Toc7021"/>
      <w:r>
        <w:t>دیوان مجد الدین بیهقی‏</w:t>
      </w:r>
      <w:bookmarkEnd w:id="8325"/>
    </w:p>
    <w:p>
      <w:pPr>
        <w:pStyle w:val="BookText"/>
      </w:pPr>
      <w:r>
        <w:rPr>
          <w:rFonts w:ascii="IRNazanin" w:hAnsi="IRNazanin" w:eastAsia="IRNazanin" w:cs="IRNazanin"/>
          <w:lang w:bidi="fa-IR"/>
          <w:color w:val="111111"/>
          <w:sz w:val="28"/>
          <w:szCs w:val="28"/>
          <w:rtl/>
        </w:rPr>
        <w:t xml:space="preserve">مر بعنوان أبی البرکات فی ص 37 و ترجمه فی (لب 11).</w:t>
      </w:r>
    </w:p>
    <w:p>
      <w:pPr>
        <w:pStyle w:val="Heading3"/>
      </w:pPr>
      <w:bookmarkStart w:id="8326" w:name="_Toc7022"/>
      <w:r>
        <w:t>دیوان مجد الدین دایة رازی‏</w:t>
      </w:r>
      <w:bookmarkEnd w:id="8326"/>
    </w:p>
    <w:p>
      <w:pPr>
        <w:pStyle w:val="BookText"/>
      </w:pPr>
      <w:r>
        <w:rPr>
          <w:rFonts w:ascii="IRNazanin" w:hAnsi="IRNazanin" w:eastAsia="IRNazanin" w:cs="IRNazanin"/>
          <w:lang w:bidi="fa-IR"/>
          <w:color w:val="111111"/>
          <w:sz w:val="28"/>
          <w:szCs w:val="28"/>
          <w:rtl/>
        </w:rPr>
        <w:t xml:space="preserve">کما جاء فی (تش- ص 216) و الصحیح نجم الدین فیأتی فی النون.</w:t>
      </w:r>
    </w:p>
    <w:p>
      <w:pPr>
        <w:pStyle w:val="Heading3"/>
      </w:pPr>
      <w:bookmarkStart w:id="8327" w:name="_Toc7023"/>
      <w:r>
        <w:t>6295- دیوان مجد الدین ساوجی‏</w:t>
      </w:r>
      <w:bookmarkEnd w:id="8327"/>
    </w:p>
    <w:p>
      <w:pPr>
        <w:pStyle w:val="BookText"/>
      </w:pPr>
      <w:r>
        <w:rPr>
          <w:rFonts w:ascii="IRNazanin" w:hAnsi="IRNazanin" w:eastAsia="IRNazanin" w:cs="IRNazanin"/>
          <w:lang w:bidi="fa-IR"/>
          <w:color w:val="111111"/>
          <w:sz w:val="28"/>
          <w:szCs w:val="28"/>
          <w:rtl/>
        </w:rPr>
        <w:t xml:space="preserve">هو أبو الفضل محمد بن المیرزا فضل الله الساوجی‏
</w:t>
      </w:r>
    </w:p>
    <w:p>
      <w:pPr>
        <w:sectPr>
          <w:footerReference w:type="default" r:id="rId969"/>
          <w:footnotePr>
            <w:numStart w:val="1"/>
            <w:numRestart w:val="eachPage"/>
          </w:footnotePr>
          <w:pgSz w:orient="portrait" w:w="11905.511811023622" w:h="16837.79527559055"/>
          <w:pgMar w:top="1440" w:right="1440" w:bottom="1440" w:left="1440" w:header="720" w:footer="720" w:gutter="0"/>
          <w:cols w:num="1" w:space="720"/>
        </w:sectPr>
      </w:pPr>
    </w:p>
    <w:bookmarkStart w:id="951" w:name="pg11704_122437"/>
    <w:bookmarkEnd w:id="951"/>
    <w:p>
      <w:pPr>
        <w:pStyle w:val="BookText"/>
      </w:pPr>
      <w:r>
        <w:rPr>
          <w:rFonts w:ascii="IRNazanin" w:hAnsi="IRNazanin" w:eastAsia="IRNazanin" w:cs="IRNazanin"/>
          <w:lang w:bidi="fa-IR"/>
          <w:color w:val="111111"/>
          <w:sz w:val="28"/>
          <w:szCs w:val="28"/>
          <w:rtl/>
        </w:rPr>
        <w:t xml:space="preserve">من إیل شاملو. ترجمه فی (مع- ج 2 ص 430) و ذکر أن له فی هذه السنة (1273) ثلاث و عشرون سنة، فیظهر أنه ولد 1250 و أطرأه مع قلة عمره، و قال إنه عدیم العدیل و ذکر أن والده حی فی التاریخ و إنه کان معلم ظل السلطان فی عصر الفتح علی شاه و أورد قرب مائتی بیت من شعره. أقول إن الحاج میرزا أبا الفضل الساوجی أحد الأربعة المشترکون فی تألیف‏نامه دانشوران المطبوع مجلده الأول 1296 و المذکور أسمائهم فی أوله و المظنون أنه صاحب الدیوان.</w:t>
      </w:r>
    </w:p>
    <w:p>
      <w:pPr>
        <w:pStyle w:val="Heading3"/>
      </w:pPr>
      <w:bookmarkStart w:id="8328" w:name="_Toc7024"/>
      <w:r>
        <w:t>دیوان مجد الدین سجاوندی‏</w:t>
      </w:r>
      <w:bookmarkEnd w:id="8328"/>
    </w:p>
    <w:p>
      <w:pPr>
        <w:pStyle w:val="BookText"/>
      </w:pPr>
      <w:r>
        <w:rPr>
          <w:rFonts w:ascii="IRNazanin" w:hAnsi="IRNazanin" w:eastAsia="IRNazanin" w:cs="IRNazanin"/>
          <w:lang w:bidi="fa-IR"/>
          <w:color w:val="111111"/>
          <w:sz w:val="28"/>
          <w:szCs w:val="28"/>
          <w:rtl/>
        </w:rPr>
        <w:t xml:space="preserve">راجع السجاوندی فی ص 431.</w:t>
      </w:r>
    </w:p>
    <w:p>
      <w:pPr>
        <w:pStyle w:val="Heading3"/>
      </w:pPr>
      <w:bookmarkStart w:id="8329" w:name="_Toc7025"/>
      <w:r>
        <w:t>6296- دیوان مجد الدین سرخکتی أو شعره‏</w:t>
      </w:r>
      <w:bookmarkEnd w:id="8329"/>
    </w:p>
    <w:p>
      <w:pPr>
        <w:pStyle w:val="BookText"/>
      </w:pPr>
      <w:r>
        <w:rPr>
          <w:rFonts w:ascii="IRNazanin" w:hAnsi="IRNazanin" w:eastAsia="IRNazanin" w:cs="IRNazanin"/>
          <w:lang w:bidi="fa-IR"/>
          <w:color w:val="111111"/>
          <w:sz w:val="28"/>
          <w:szCs w:val="28"/>
          <w:rtl/>
        </w:rPr>
        <w:t xml:space="preserve">و اسمه محمد بن عدنان الطبیب.</w:t>
      </w:r>
    </w:p>
    <w:p>
      <w:pPr>
        <w:pStyle w:val="BookText"/>
      </w:pPr>
      <w:r>
        <w:rPr>
          <w:rFonts w:ascii="IRNazanin" w:hAnsi="IRNazanin" w:eastAsia="IRNazanin" w:cs="IRNazanin"/>
          <w:lang w:bidi="fa-IR"/>
          <w:color w:val="111111"/>
          <w:sz w:val="28"/>
          <w:szCs w:val="28"/>
          <w:rtl/>
        </w:rPr>
        <w:t xml:space="preserve">أورد شعره معاصره فی (لب 7) و فی (گلشن- ص 362) نسبه إلی سرخس.</w:t>
      </w:r>
    </w:p>
    <w:p>
      <w:pPr>
        <w:pStyle w:val="Heading3"/>
      </w:pPr>
      <w:bookmarkStart w:id="8330" w:name="_Toc7026"/>
      <w:r>
        <w:t>دیوان مجد الدین سنائی‏</w:t>
      </w:r>
      <w:bookmarkEnd w:id="8330"/>
    </w:p>
    <w:p>
      <w:pPr>
        <w:pStyle w:val="BookText"/>
      </w:pPr>
      <w:r>
        <w:rPr>
          <w:rFonts w:ascii="IRNazanin" w:hAnsi="IRNazanin" w:eastAsia="IRNazanin" w:cs="IRNazanin"/>
          <w:lang w:bidi="fa-IR"/>
          <w:color w:val="111111"/>
          <w:sz w:val="28"/>
          <w:szCs w:val="28"/>
          <w:rtl/>
        </w:rPr>
        <w:t xml:space="preserve">راجع دیوان سنائی غزنوی فی ص 471.</w:t>
      </w:r>
    </w:p>
    <w:p>
      <w:pPr>
        <w:pStyle w:val="Heading3"/>
      </w:pPr>
      <w:bookmarkStart w:id="8331" w:name="_Toc7027"/>
      <w:r>
        <w:t>دیوان مجد الدین صندلی‏</w:t>
      </w:r>
      <w:bookmarkEnd w:id="8331"/>
    </w:p>
    <w:p>
      <w:pPr>
        <w:pStyle w:val="BookText"/>
      </w:pPr>
      <w:r>
        <w:rPr>
          <w:rFonts w:ascii="IRNazanin" w:hAnsi="IRNazanin" w:eastAsia="IRNazanin" w:cs="IRNazanin"/>
          <w:lang w:bidi="fa-IR"/>
          <w:color w:val="111111"/>
          <w:sz w:val="28"/>
          <w:szCs w:val="28"/>
          <w:rtl/>
        </w:rPr>
        <w:t xml:space="preserve">راجع صندلی فی ص 618.</w:t>
      </w:r>
    </w:p>
    <w:p>
      <w:pPr>
        <w:pStyle w:val="Heading3"/>
      </w:pPr>
      <w:bookmarkStart w:id="8332" w:name="_Toc7028"/>
      <w:r>
        <w:t>6297- دیوان مجد الدین عزیزی أو شعره‏</w:t>
      </w:r>
      <w:bookmarkEnd w:id="8332"/>
    </w:p>
    <w:p>
      <w:pPr>
        <w:pStyle w:val="BookText"/>
      </w:pPr>
      <w:r>
        <w:rPr>
          <w:rFonts w:ascii="IRNazanin" w:hAnsi="IRNazanin" w:eastAsia="IRNazanin" w:cs="IRNazanin"/>
          <w:lang w:bidi="fa-IR"/>
          <w:color w:val="111111"/>
          <w:sz w:val="28"/>
          <w:szCs w:val="28"/>
          <w:rtl/>
        </w:rPr>
        <w:t xml:space="preserve">و هو مجد الدین شرف الکتاب ابن الرشید العزیزی کاتب علاء الملک. أورد شعره فی (لب 6).</w:t>
      </w:r>
    </w:p>
    <w:p>
      <w:pPr>
        <w:pStyle w:val="Heading3"/>
      </w:pPr>
      <w:bookmarkStart w:id="8333" w:name="_Toc7029"/>
      <w:r>
        <w:t>6298- دیوان مجد الدین عیوقی أو شعره‏</w:t>
      </w:r>
      <w:bookmarkEnd w:id="8333"/>
    </w:p>
    <w:p>
      <w:pPr>
        <w:pStyle w:val="BookText"/>
      </w:pPr>
      <w:r>
        <w:rPr>
          <w:rFonts w:ascii="IRNazanin" w:hAnsi="IRNazanin" w:eastAsia="IRNazanin" w:cs="IRNazanin"/>
          <w:lang w:bidi="fa-IR"/>
          <w:color w:val="111111"/>
          <w:sz w:val="28"/>
          <w:szCs w:val="28"/>
          <w:rtl/>
        </w:rPr>
        <w:t xml:space="preserve">ترجمه و أورد شعره فی (لب 11) و عنه فی (مع 1: 541).</w:t>
      </w:r>
    </w:p>
    <w:p>
      <w:pPr>
        <w:pStyle w:val="Heading3"/>
      </w:pPr>
      <w:bookmarkStart w:id="8334" w:name="_Toc7030"/>
      <w:r>
        <w:t>دیوان مجد الدین فارسی‏</w:t>
      </w:r>
      <w:bookmarkEnd w:id="8334"/>
    </w:p>
    <w:p>
      <w:pPr>
        <w:pStyle w:val="BookText"/>
      </w:pPr>
      <w:r>
        <w:rPr>
          <w:rFonts w:ascii="IRNazanin" w:hAnsi="IRNazanin" w:eastAsia="IRNazanin" w:cs="IRNazanin"/>
          <w:lang w:bidi="fa-IR"/>
          <w:color w:val="111111"/>
          <w:sz w:val="28"/>
          <w:szCs w:val="28"/>
          <w:rtl/>
        </w:rPr>
        <w:t xml:space="preserve">أورد شعره فی (خیال- ص 36) و قال کان ماهرا فی النرد و ندیما لأتابک سعد بن زنگی و معاصرا لسعدی. و عنه أخذ فی الریحانة، و لکن الصحیح أنه مجد الدین همگر الآتی.</w:t>
      </w:r>
    </w:p>
    <w:p>
      <w:pPr>
        <w:pStyle w:val="Heading3"/>
      </w:pPr>
      <w:bookmarkStart w:id="8335" w:name="_Toc7031"/>
      <w:r>
        <w:t>6299- دیوان مجد الدین کاشی أو شعره‏</w:t>
      </w:r>
      <w:bookmarkEnd w:id="8335"/>
    </w:p>
    <w:p>
      <w:pPr>
        <w:pStyle w:val="BookText"/>
      </w:pPr>
      <w:r>
        <w:rPr>
          <w:rFonts w:ascii="IRNazanin" w:hAnsi="IRNazanin" w:eastAsia="IRNazanin" w:cs="IRNazanin"/>
          <w:lang w:bidi="fa-IR"/>
          <w:color w:val="111111"/>
          <w:sz w:val="28"/>
          <w:szCs w:val="28"/>
          <w:rtl/>
        </w:rPr>
        <w:t xml:space="preserve">ترجمه و أورد شعره فی (بهش 2: 395).</w:t>
      </w:r>
    </w:p>
    <w:p>
      <w:pPr>
        <w:pStyle w:val="Heading3"/>
      </w:pPr>
      <w:bookmarkStart w:id="8336" w:name="_Toc7032"/>
      <w:r>
        <w:t>6300- دیوان مجد الدین ندیم‏</w:t>
      </w:r>
      <w:bookmarkEnd w:id="8336"/>
    </w:p>
    <w:p>
      <w:pPr>
        <w:pStyle w:val="BookText"/>
      </w:pPr>
      <w:r>
        <w:rPr>
          <w:rFonts w:ascii="IRNazanin" w:hAnsi="IRNazanin" w:eastAsia="IRNazanin" w:cs="IRNazanin"/>
          <w:lang w:bidi="fa-IR"/>
          <w:color w:val="111111"/>
          <w:sz w:val="28"/>
          <w:szCs w:val="28"/>
          <w:rtl/>
        </w:rPr>
        <w:t xml:space="preserve">و هو أبو المظفر بهزاد بن إسماعیل البسوی من أهل بسو من أعمال مراغة من طرف أشنویة. شاعر فاضل و شعره بالفارسیة ملیح، و کان فی خدمة شهاب الدین سلیمان شاه الإیوائی و نظم شاهنامه و ذیله. و بعد سقوط بغداد فی 656 سکن مراغة عند الخواجة نصیر و بها مات فی 666 کما نقل عن ابن الفوطی فی مجمع الآداب.</w:t>
      </w:r>
    </w:p>
    <w:p>
      <w:pPr>
        <w:pStyle w:val="Heading3"/>
      </w:pPr>
      <w:bookmarkStart w:id="8337" w:name="_Toc7033"/>
      <w:r>
        <w:t>6301- دیوان مجد الدین نسوی‏</w:t>
      </w:r>
      <w:bookmarkEnd w:id="8337"/>
    </w:p>
    <w:p>
      <w:pPr>
        <w:pStyle w:val="BookText"/>
      </w:pPr>
      <w:r>
        <w:rPr>
          <w:rFonts w:ascii="IRNazanin" w:hAnsi="IRNazanin" w:eastAsia="IRNazanin" w:cs="IRNazanin"/>
          <w:lang w:bidi="fa-IR"/>
          <w:color w:val="111111"/>
          <w:sz w:val="28"/>
          <w:szCs w:val="28"/>
          <w:rtl/>
        </w:rPr>
        <w:t xml:space="preserve">و اسمه محمد الپاییزی. قال العوفی فی (لب 11)
</w:t>
      </w:r>
    </w:p>
    <w:p>
      <w:pPr>
        <w:sectPr>
          <w:footerReference w:type="default" r:id="rId970"/>
          <w:footnotePr>
            <w:numStart w:val="1"/>
            <w:numRestart w:val="eachPage"/>
          </w:footnotePr>
          <w:pgSz w:orient="portrait" w:w="11905.511811023622" w:h="16837.79527559055"/>
          <w:pgMar w:top="1440" w:right="1440" w:bottom="1440" w:left="1440" w:header="720" w:footer="720" w:gutter="0"/>
          <w:cols w:num="1" w:space="720"/>
        </w:sectPr>
      </w:pPr>
    </w:p>
    <w:bookmarkStart w:id="952" w:name="pg11704_122438"/>
    <w:bookmarkEnd w:id="952"/>
    <w:p>
      <w:pPr>
        <w:pStyle w:val="BookText"/>
      </w:pPr>
      <w:r>
        <w:rPr>
          <w:rFonts w:ascii="IRNazanin" w:hAnsi="IRNazanin" w:eastAsia="IRNazanin" w:cs="IRNazanin"/>
          <w:lang w:bidi="fa-IR"/>
          <w:color w:val="111111"/>
          <w:sz w:val="28"/>
          <w:szCs w:val="28"/>
          <w:rtl/>
        </w:rPr>
        <w:t xml:space="preserve">رأیته فی عام 600 بنسا و قد نظم شاهنامه باسم السلطان سکندر و فیها وقایع حروب خوارزم شاه و له رباعیات ذو وجهین.</w:t>
      </w:r>
    </w:p>
    <w:p>
      <w:pPr>
        <w:pStyle w:val="Heading3"/>
      </w:pPr>
      <w:bookmarkStart w:id="8338" w:name="_Toc7034"/>
      <w:r>
        <w:t>6302- دیوان مجد الدین همگر</w:t>
      </w:r>
      <w:bookmarkEnd w:id="8338"/>
    </w:p>
    <w:p>
      <w:pPr>
        <w:pStyle w:val="BookText"/>
      </w:pPr>
      <w:r>
        <w:rPr>
          <w:rFonts w:ascii="IRNazanin" w:hAnsi="IRNazanin" w:eastAsia="IRNazanin" w:cs="IRNazanin"/>
          <w:lang w:bidi="fa-IR"/>
          <w:color w:val="111111"/>
          <w:sz w:val="28"/>
          <w:szCs w:val="28"/>
          <w:rtl/>
        </w:rPr>
        <w:t xml:space="preserve">أصله من یزد و سکن شیراز و صار ملک الشعراء لأتابک سعد بن زنگی (623- 658) و کان ندیمه و یلعب معه النرد حیث کان ماهرا فیه، ثم صار صدرا، ثم ذهب إلی أصفهان و مدح صاحب الدیوان الجوینی و رثاه فی 683 و مات 695 کما فی شاهد صادق أو 686 کما فی شعر فخری‏</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مجد همگر که بود صدر کفات‏</w:t>
      </w:r>
    </w:p>
    <w:p>
      <w:pPr>
        <w:pStyle w:val="BookText"/>
      </w:pPr>
      <w:r>
        <w:rPr>
          <w:rFonts w:ascii="IRNazanin" w:hAnsi="IRNazanin" w:eastAsia="IRNazanin" w:cs="IRNazanin"/>
          <w:lang w:bidi="fa-IR"/>
          <w:color w:val="111111"/>
          <w:sz w:val="28"/>
          <w:szCs w:val="28"/>
          <w:rtl/>
        </w:rPr>
        <w:t xml:space="preserve">بدر جاجرمی أن نکوسیرت‏</w:t>
      </w:r>
    </w:p>
    <w:p>
      <w:pPr>
        <w:pStyle w:val="BookText"/>
      </w:pPr>
      <w:r>
        <w:rPr>
          <w:rFonts w:ascii="IRNazanin" w:hAnsi="IRNazanin" w:eastAsia="IRNazanin" w:cs="IRNazanin"/>
          <w:lang w:bidi="fa-IR"/>
          <w:color w:val="111111"/>
          <w:sz w:val="28"/>
          <w:szCs w:val="28"/>
          <w:rtl/>
        </w:rPr>
        <w:t xml:space="preserve">در سپاهان چو در رسید ممات‏</w:t>
      </w:r>
    </w:p>
    <w:p>
      <w:pPr>
        <w:pStyle w:val="BookText"/>
      </w:pPr>
      <w:r>
        <w:rPr>
          <w:rFonts w:ascii="IRNazanin" w:hAnsi="IRNazanin" w:eastAsia="IRNazanin" w:cs="IRNazanin"/>
          <w:lang w:bidi="fa-IR"/>
          <w:color w:val="111111"/>
          <w:sz w:val="28"/>
          <w:szCs w:val="28"/>
          <w:rtl/>
        </w:rPr>
        <w:t xml:space="preserve">در ثمانین و ست و ستمائة</w:t>
      </w:r>
    </w:p>
    <w:p>
      <w:pPr>
        <w:pStyle w:val="BookText"/>
      </w:pPr>
      <w:r>
        <w:rPr>
          <w:rFonts w:ascii="IRNazanin" w:hAnsi="IRNazanin" w:eastAsia="IRNazanin" w:cs="IRNazanin"/>
          <w:lang w:bidi="fa-IR"/>
          <w:color w:val="111111"/>
          <w:sz w:val="28"/>
          <w:szCs w:val="28"/>
          <w:rtl/>
        </w:rPr>
        <w:t xml:space="preserve">بدو مه هر سه یافتند وفات‏</w:t>
      </w:r>
    </w:p>
    <w:p>
      <w:pPr>
        <w:pStyle w:val="BookText"/>
      </w:pPr>
      <w:r>
        <w:rPr>
          <w:rFonts w:ascii="IRNazanin" w:hAnsi="IRNazanin" w:eastAsia="IRNazanin" w:cs="IRNazanin"/>
          <w:lang w:bidi="fa-IR"/>
          <w:color w:val="111111"/>
          <w:sz w:val="28"/>
          <w:szCs w:val="28"/>
          <w:rtl/>
        </w:rPr>
        <w:t xml:space="preserve">و همگر بمعنی النساج أو الرفاء. و ترقی فی العلم حتی کان یستفتئ عنه فی الأدب کما مر فی ص 541.</w:t>
      </w:r>
    </w:p>
    <w:p>
      <w:pPr>
        <w:pStyle w:val="BookText"/>
      </w:pPr>
      <w:r>
        <w:rPr>
          <w:rFonts w:ascii="IRNazanin" w:hAnsi="IRNazanin" w:eastAsia="IRNazanin" w:cs="IRNazanin"/>
          <w:lang w:bidi="fa-IR"/>
          <w:color w:val="111111"/>
          <w:sz w:val="28"/>
          <w:szCs w:val="28"/>
          <w:rtl/>
        </w:rPr>
        <w:t xml:space="preserve">و کان ینتسب إلی بنی ساسان حیث قال:</w:t>
      </w:r>
    </w:p>
    <w:p>
      <w:pPr>
        <w:pStyle w:val="BookText"/>
      </w:pPr>
      <w:r>
        <w:rPr>
          <w:rFonts w:ascii="IRNazanin" w:hAnsi="IRNazanin" w:eastAsia="IRNazanin" w:cs="IRNazanin"/>
          <w:lang w:bidi="fa-IR"/>
          <w:color w:val="111111"/>
          <w:sz w:val="28"/>
          <w:szCs w:val="28"/>
          <w:rtl/>
        </w:rPr>
        <w:t xml:space="preserve">هستم ز نسل ساسان نز تخمه تکین‏</w:t>
      </w:r>
    </w:p>
    <w:p>
      <w:pPr>
        <w:pStyle w:val="BookText"/>
      </w:pPr>
      <w:r>
        <w:rPr>
          <w:rFonts w:ascii="IRNazanin" w:hAnsi="IRNazanin" w:eastAsia="IRNazanin" w:cs="IRNazanin"/>
          <w:lang w:bidi="fa-IR"/>
          <w:color w:val="111111"/>
          <w:sz w:val="28"/>
          <w:szCs w:val="28"/>
          <w:rtl/>
        </w:rPr>
        <w:t xml:space="preserve">هستم ز صلب کسری نز دوده نیال‏</w:t>
      </w:r>
    </w:p>
    <w:p>
      <w:pPr>
        <w:pStyle w:val="BookText"/>
      </w:pPr>
      <w:r>
        <w:rPr>
          <w:rFonts w:ascii="IRNazanin" w:hAnsi="IRNazanin" w:eastAsia="IRNazanin" w:cs="IRNazanin"/>
          <w:lang w:bidi="fa-IR"/>
          <w:color w:val="111111"/>
          <w:sz w:val="28"/>
          <w:szCs w:val="28"/>
          <w:rtl/>
        </w:rPr>
        <w:t xml:space="preserve">و کان معاصرا لسعدی و کان خطاطا سریع القلم. قال آزاد فی (خز- ص 402) إنه کتب تمام سلجوق‏نامه فی عدة ساعات و کتب علی ظهره قطعة تاریخه سلخ رمضان 669 و ترجم مجد همگر فی (لت 3) و (مع 1: 594) و (نر 14- 496) و فی (خیال- ص 36) سماه مجد الدین فارسی فتوهم صاحب ریحانة الأدب أنه غیر همگر فکررهما.</w:t>
      </w:r>
    </w:p>
    <w:p>
      <w:pPr>
        <w:pStyle w:val="BookText"/>
      </w:pPr>
      <w:r>
        <w:rPr>
          <w:rFonts w:ascii="IRNazanin" w:hAnsi="IRNazanin" w:eastAsia="IRNazanin" w:cs="IRNazanin"/>
          <w:lang w:bidi="fa-IR"/>
          <w:color w:val="111111"/>
          <w:sz w:val="28"/>
          <w:szCs w:val="28"/>
          <w:rtl/>
        </w:rPr>
        <w:t xml:space="preserve">و (فارس‏نامه 2: 150) و تاریخ گزیده- ص 825 و (حسنی- ص 310) و شعاع الملک فی مجلة أرمغان- 14 و النفیسی فی مجلة مهر- 2 و فی رسالة مستقلة. توجد نسختان من دیوانه فی (المجلس) کما فی فهرسها 3: 394 و نسختان عند (الملک).</w:t>
      </w:r>
    </w:p>
    <w:p>
      <w:pPr>
        <w:pStyle w:val="Heading3"/>
      </w:pPr>
      <w:bookmarkStart w:id="8339" w:name="_Toc7035"/>
      <w:r>
        <w:t>دیوان مجد الشعراء</w:t>
      </w:r>
      <w:bookmarkEnd w:id="8339"/>
    </w:p>
    <w:p>
      <w:pPr>
        <w:pStyle w:val="BookText"/>
      </w:pPr>
      <w:r>
        <w:rPr>
          <w:rFonts w:ascii="IRNazanin" w:hAnsi="IRNazanin" w:eastAsia="IRNazanin" w:cs="IRNazanin"/>
          <w:lang w:bidi="fa-IR"/>
          <w:color w:val="111111"/>
          <w:sz w:val="28"/>
          <w:szCs w:val="28"/>
          <w:rtl/>
        </w:rPr>
        <w:t xml:space="preserve">راجع شوریده شیرازی فی ص 547 فإنه کان یلقب فصیح الملک مجد الشعراء.</w:t>
      </w:r>
    </w:p>
    <w:p>
      <w:pPr>
        <w:pStyle w:val="Heading3"/>
      </w:pPr>
      <w:bookmarkStart w:id="8340" w:name="_Toc7036"/>
      <w:r>
        <w:t>6303- دیوان مجد العلی خراسانی‏</w:t>
      </w:r>
      <w:bookmarkEnd w:id="8340"/>
    </w:p>
    <w:p>
      <w:pPr>
        <w:pStyle w:val="BookText"/>
      </w:pPr>
      <w:r>
        <w:rPr>
          <w:rFonts w:ascii="IRNazanin" w:hAnsi="IRNazanin" w:eastAsia="IRNazanin" w:cs="IRNazanin"/>
          <w:lang w:bidi="fa-IR"/>
          <w:color w:val="111111"/>
          <w:sz w:val="28"/>
          <w:szCs w:val="28"/>
          <w:rtl/>
        </w:rPr>
        <w:t xml:space="preserve">طبع له پندنامه أو نصائح صدیقة به دختر خود پوران‏دخت فی 8 ص. صغیرة مصورا فی 1345 بطهران و فیها تصاویر برقم محسن تاج‏بخش.
</w:t>
      </w:r>
    </w:p>
    <w:p>
      <w:pPr>
        <w:sectPr>
          <w:footerReference w:type="default" r:id="rId971"/>
          <w:footnotePr>
            <w:numStart w:val="1"/>
            <w:numRestart w:val="eachPage"/>
          </w:footnotePr>
          <w:pgSz w:orient="portrait" w:w="11905.511811023622" w:h="16837.79527559055"/>
          <w:pgMar w:top="1440" w:right="1440" w:bottom="1440" w:left="1440" w:header="720" w:footer="720" w:gutter="0"/>
          <w:cols w:num="1" w:space="720"/>
        </w:sectPr>
      </w:pPr>
    </w:p>
    <w:bookmarkStart w:id="953" w:name="pg11704_122439"/>
    <w:bookmarkEnd w:id="953"/>
    <w:p>
      <w:pPr>
        <w:pStyle w:val="Heading3"/>
      </w:pPr>
      <w:bookmarkStart w:id="8341" w:name="_Toc7037"/>
      <w:r>
        <w:t>6304- دیوان مجد مروزی‏</w:t>
      </w:r>
      <w:bookmarkEnd w:id="8341"/>
    </w:p>
    <w:p>
      <w:pPr>
        <w:pStyle w:val="BookText"/>
      </w:pPr>
      <w:r>
        <w:rPr>
          <w:rFonts w:ascii="IRNazanin" w:hAnsi="IRNazanin" w:eastAsia="IRNazanin" w:cs="IRNazanin"/>
          <w:lang w:bidi="fa-IR"/>
          <w:color w:val="111111"/>
          <w:sz w:val="28"/>
          <w:szCs w:val="28"/>
          <w:rtl/>
        </w:rPr>
        <w:t xml:space="preserve">قال سنگلاخ فی (امتحان 1: 194) إنه رأی دیوانه بخط بابا شاه حالی. و لعله مبارک شاه غوری.</w:t>
      </w:r>
    </w:p>
    <w:p>
      <w:pPr>
        <w:pStyle w:val="Heading3"/>
      </w:pPr>
      <w:bookmarkStart w:id="8342" w:name="_Toc7038"/>
      <w:r>
        <w:t>6305- دیوان مجد نسائی أو شعره‏</w:t>
      </w:r>
      <w:bookmarkEnd w:id="8342"/>
    </w:p>
    <w:p>
      <w:pPr>
        <w:pStyle w:val="BookText"/>
      </w:pPr>
      <w:r>
        <w:rPr>
          <w:rFonts w:ascii="IRNazanin" w:hAnsi="IRNazanin" w:eastAsia="IRNazanin" w:cs="IRNazanin"/>
          <w:lang w:bidi="fa-IR"/>
          <w:color w:val="111111"/>
          <w:sz w:val="28"/>
          <w:szCs w:val="28"/>
          <w:rtl/>
        </w:rPr>
        <w:t xml:space="preserve">و هو القاضی مجد الدین النسوی. ترجمه و أورد شعره فی (لب 7) و (گلشن- ص 363) و (تش- ص 134).</w:t>
      </w:r>
    </w:p>
    <w:p>
      <w:pPr>
        <w:pStyle w:val="Heading3"/>
      </w:pPr>
      <w:bookmarkStart w:id="8343" w:name="_Toc7039"/>
      <w:r>
        <w:t>دیوان مجد همگر</w:t>
      </w:r>
      <w:bookmarkEnd w:id="8343"/>
    </w:p>
    <w:p>
      <w:pPr>
        <w:pStyle w:val="BookText"/>
      </w:pPr>
      <w:r>
        <w:rPr>
          <w:rFonts w:ascii="IRNazanin" w:hAnsi="IRNazanin" w:eastAsia="IRNazanin" w:cs="IRNazanin"/>
          <w:lang w:bidi="fa-IR"/>
          <w:color w:val="111111"/>
          <w:sz w:val="28"/>
          <w:szCs w:val="28"/>
          <w:rtl/>
        </w:rPr>
        <w:t xml:space="preserve">راجع مجد الدین همگر.</w:t>
      </w:r>
    </w:p>
    <w:p>
      <w:pPr>
        <w:pStyle w:val="Heading3"/>
      </w:pPr>
      <w:bookmarkStart w:id="8344" w:name="_Toc7040"/>
      <w:r>
        <w:t>دیوان مجدود بن آدم‏</w:t>
      </w:r>
      <w:bookmarkEnd w:id="8344"/>
    </w:p>
    <w:p>
      <w:pPr>
        <w:pStyle w:val="BookText"/>
      </w:pPr>
      <w:r>
        <w:rPr>
          <w:rFonts w:ascii="IRNazanin" w:hAnsi="IRNazanin" w:eastAsia="IRNazanin" w:cs="IRNazanin"/>
          <w:lang w:bidi="fa-IR"/>
          <w:color w:val="111111"/>
          <w:sz w:val="28"/>
          <w:szCs w:val="28"/>
          <w:rtl/>
        </w:rPr>
        <w:t xml:space="preserve">راجع دیوان سنائی غزنوی.</w:t>
      </w:r>
    </w:p>
    <w:p>
      <w:pPr>
        <w:pStyle w:val="Heading3"/>
      </w:pPr>
      <w:bookmarkStart w:id="8345" w:name="_Toc7041"/>
      <w:r>
        <w:t>6306- دیوان مجدی کردستانی‏</w:t>
      </w:r>
      <w:bookmarkEnd w:id="8345"/>
    </w:p>
    <w:p>
      <w:pPr>
        <w:pStyle w:val="BookText"/>
      </w:pPr>
      <w:r>
        <w:rPr>
          <w:rFonts w:ascii="IRNazanin" w:hAnsi="IRNazanin" w:eastAsia="IRNazanin" w:cs="IRNazanin"/>
          <w:lang w:bidi="fa-IR"/>
          <w:color w:val="111111"/>
          <w:sz w:val="28"/>
          <w:szCs w:val="28"/>
          <w:rtl/>
        </w:rPr>
        <w:t xml:space="preserve">و هو مجد الدین عبد المجید ملک الکلام بن محمد کریم. طبع له منظومة مجدیة بطهران 1333 فی 15 ص. و یوجد عند (الملک)</w:t>
      </w:r>
    </w:p>
    <w:p>
      <w:pPr>
        <w:pStyle w:val="Heading3"/>
      </w:pPr>
      <w:bookmarkStart w:id="8346" w:name="_Toc7042"/>
      <w:r>
        <w:t>6307- دیوان مجدی همدانی أو شعره‏</w:t>
      </w:r>
      <w:bookmarkEnd w:id="8346"/>
    </w:p>
    <w:p>
      <w:pPr>
        <w:pStyle w:val="BookText"/>
      </w:pPr>
      <w:r>
        <w:rPr>
          <w:rFonts w:ascii="IRNazanin" w:hAnsi="IRNazanin" w:eastAsia="IRNazanin" w:cs="IRNazanin"/>
          <w:lang w:bidi="fa-IR"/>
          <w:color w:val="111111"/>
          <w:sz w:val="28"/>
          <w:szCs w:val="28"/>
          <w:rtl/>
        </w:rPr>
        <w:t xml:space="preserve">کان نزیل خراسان. ترجمه معاصره الصادقی فی (خص 8- ص 302) و أورد بعض أشعاره.</w:t>
      </w:r>
    </w:p>
    <w:p>
      <w:pPr>
        <w:pStyle w:val="Heading3"/>
      </w:pPr>
      <w:bookmarkStart w:id="8347" w:name="_Toc7043"/>
      <w:r>
        <w:t>6308- دیوان مجذوب تبریزی‏</w:t>
      </w:r>
      <w:bookmarkEnd w:id="8347"/>
    </w:p>
    <w:p>
      <w:pPr>
        <w:pStyle w:val="BookText"/>
      </w:pPr>
      <w:r>
        <w:rPr>
          <w:rFonts w:ascii="IRNazanin" w:hAnsi="IRNazanin" w:eastAsia="IRNazanin" w:cs="IRNazanin"/>
          <w:lang w:bidi="fa-IR"/>
          <w:color w:val="111111"/>
          <w:sz w:val="28"/>
          <w:szCs w:val="28"/>
          <w:rtl/>
        </w:rPr>
        <w:t xml:space="preserve">شرف الدین میرزا محمد بن محمد رضا التبریزی المتخلص بمجذوب من علماء القرن الحادی عشر ترجمه النصرآبادی فی (نر 6- ص 192) بعنوان میرزا محمد مجذوب و ذکر أنه مدرس الطلاب فی تبریز. و له مثنوی شاه‏راه نجات.</w:t>
      </w:r>
    </w:p>
    <w:p>
      <w:pPr>
        <w:pStyle w:val="BookText"/>
      </w:pPr>
      <w:r>
        <w:rPr>
          <w:rFonts w:ascii="IRNazanin" w:hAnsi="IRNazanin" w:eastAsia="IRNazanin" w:cs="IRNazanin"/>
          <w:lang w:bidi="fa-IR"/>
          <w:color w:val="111111"/>
          <w:sz w:val="28"/>
          <w:szCs w:val="28"/>
          <w:rtl/>
        </w:rPr>
        <w:t xml:space="preserve">و ذکر بیت التاریخ له مطابق 1068 [شاه‏راه نجات دلها] و أورد عدة أبیات من المثنویات الثلاث له فی بحر الخفیف و الرمل و المتقارب. و ترجمه فی (دجا- ص 326) و (گلشن- ص 363) و ذکر لقبه و نسبه کما مر و زاد بعض منظوماته الآخر منها دیوانه الذی فرغ من جمعه 1063 و منها التأییدات فی ثلاثمائة و أربعة عشر بندا مملوا من المعارف و الحقائق، و قد فرغ منه 1088 و یوجد عند (فخر الدین) و یوجد مجلد من مثنوی مجذوب فی (المجلس) یحوی ثمانیة آلاف بیت فی التوحید و الإمامة و مدائح الأئمة الاثنی عشر. و یوجد عند جلال الدین المحدث الأرومی بطهران دیوان مجذوب الحاوی لمدائح المعصومین واحدا بعد واحد. و یوجد دیوان غزلیات مجذوب مثل غزلیات الحافظ فی مکتبة راجه فیض‏آباد علی ما فی فهرسها المخطوط فی (الماری 6) و فی بعض الفهارس للمطبوعات أنه طبع دیوان مجذوب التبریزی فی حیدرآباد الهند.</w:t>
      </w:r>
    </w:p>
    <w:p>
      <w:pPr>
        <w:pStyle w:val="BookText"/>
      </w:pPr>
      <w:r>
        <w:rPr>
          <w:rFonts w:ascii="IRNazanin" w:hAnsi="IRNazanin" w:eastAsia="IRNazanin" w:cs="IRNazanin"/>
          <w:lang w:bidi="fa-IR"/>
          <w:color w:val="111111"/>
          <w:sz w:val="28"/>
          <w:szCs w:val="28"/>
          <w:rtl/>
        </w:rPr>
        <w:t xml:space="preserve">و لمجذوب هذا ولد عالم جلیل سماه باسم والده و هو المیرزا محمد رضا بن المیرزا محمد المجذوب، کان هو معاصر شاه سلطان حسین الصفوی و باسمه ألف کتابه الذی سماه‏
</w:t>
      </w:r>
    </w:p>
    <w:p>
      <w:pPr>
        <w:sectPr>
          <w:footerReference w:type="default" r:id="rId972"/>
          <w:footnotePr>
            <w:numStart w:val="1"/>
            <w:numRestart w:val="eachPage"/>
          </w:footnotePr>
          <w:pgSz w:orient="portrait" w:w="11905.511811023622" w:h="16837.79527559055"/>
          <w:pgMar w:top="1440" w:right="1440" w:bottom="1440" w:left="1440" w:header="720" w:footer="720" w:gutter="0"/>
          <w:cols w:num="1" w:space="720"/>
        </w:sectPr>
      </w:pPr>
    </w:p>
    <w:bookmarkStart w:id="954" w:name="pg11704_122440"/>
    <w:bookmarkEnd w:id="954"/>
    <w:p>
      <w:pPr>
        <w:pStyle w:val="BookText"/>
      </w:pPr>
      <w:r>
        <w:rPr>
          <w:rFonts w:ascii="IRNazanin" w:hAnsi="IRNazanin" w:eastAsia="IRNazanin" w:cs="IRNazanin"/>
          <w:lang w:bidi="fa-IR"/>
          <w:color w:val="111111"/>
          <w:sz w:val="28"/>
          <w:szCs w:val="28"/>
          <w:rtl/>
        </w:rPr>
        <w:t xml:space="preserve">إتمام الحجة بالفارسیة</w:t>
      </w:r>
      <w:r>
        <w:rPr>
          <w:rStyle w:val="FootnoteReference"/>
        </w:rPr>
        <w:footnoteReference w:id="82"/>
      </w:r>
      <w:r>
        <w:rPr>
          <w:rFonts w:ascii="IRNazanin" w:hAnsi="IRNazanin" w:eastAsia="IRNazanin" w:cs="IRNazanin"/>
          <w:lang w:bidi="fa-IR"/>
          <w:color w:val="111111"/>
          <w:sz w:val="28"/>
          <w:szCs w:val="28"/>
          <w:rtl/>
        </w:rPr>
        <w:t xml:space="preserve">و نسخه من دیوانه فی 3000 بیت عند السید أبی الحسن الکتابی بأصفهان، و أخری عند (فخر الدین النصیری) و أخری بجامعة طهران کما فی فهرسها 2: 68 و نسخه عند (الملک) و له الحاشیة علی المجلد الأول من تفسیر الفخر الرازی.</w:t>
      </w:r>
    </w:p>
    <w:p>
      <w:pPr>
        <w:pStyle w:val="Heading3"/>
      </w:pPr>
      <w:bookmarkStart w:id="8348" w:name="_Toc7044"/>
      <w:r>
        <w:t>دیوان مجذوب علی شاه‏</w:t>
      </w:r>
      <w:bookmarkEnd w:id="8348"/>
    </w:p>
    <w:p>
      <w:pPr>
        <w:pStyle w:val="BookText"/>
      </w:pPr>
      <w:r>
        <w:rPr>
          <w:rFonts w:ascii="IRNazanin" w:hAnsi="IRNazanin" w:eastAsia="IRNazanin" w:cs="IRNazanin"/>
          <w:lang w:bidi="fa-IR"/>
          <w:color w:val="111111"/>
          <w:sz w:val="28"/>
          <w:szCs w:val="28"/>
          <w:rtl/>
        </w:rPr>
        <w:t xml:space="preserve">راجع دیوان مجرم مراغه‏ای.</w:t>
      </w:r>
    </w:p>
    <w:p>
      <w:pPr>
        <w:pStyle w:val="Heading3"/>
      </w:pPr>
      <w:bookmarkStart w:id="8349" w:name="_Toc7045"/>
      <w:r>
        <w:t>6309- دیوان مجذوب علی شاه‏</w:t>
      </w:r>
      <w:bookmarkEnd w:id="8349"/>
    </w:p>
    <w:p>
      <w:pPr>
        <w:pStyle w:val="BookText"/>
      </w:pPr>
      <w:r>
        <w:rPr>
          <w:rFonts w:ascii="IRNazanin" w:hAnsi="IRNazanin" w:eastAsia="IRNazanin" w:cs="IRNazanin"/>
          <w:lang w:bidi="fa-IR"/>
          <w:color w:val="111111"/>
          <w:sz w:val="28"/>
          <w:szCs w:val="28"/>
          <w:rtl/>
        </w:rPr>
        <w:t xml:space="preserve">و هو الحاج محمد جعفر بن صفر خان قره‏گوزلو الکبودرآهنگی الهمدانی. ترجمه فی نور الابصار- ص 45 و ذکر بعض أشعاره فی (ض- ص 535) و ترجمه فی (مع- ج 2: ص 450) و أطری علمه و فضله و ورعه و تقواه و أورد شعره.</w:t>
      </w:r>
    </w:p>
    <w:p>
      <w:pPr>
        <w:pStyle w:val="BookText"/>
      </w:pPr>
      <w:r>
        <w:rPr>
          <w:rFonts w:ascii="IRNazanin" w:hAnsi="IRNazanin" w:eastAsia="IRNazanin" w:cs="IRNazanin"/>
          <w:lang w:bidi="fa-IR"/>
          <w:color w:val="111111"/>
          <w:sz w:val="28"/>
          <w:szCs w:val="28"/>
          <w:rtl/>
        </w:rPr>
        <w:t xml:space="preserve">طبع له مرآة الحق المطبوع أخیرا و مراحل السالکین بطهران 1331 ش.</w:t>
      </w:r>
    </w:p>
    <w:p>
      <w:pPr>
        <w:pStyle w:val="BookText"/>
      </w:pPr>
      <w:r>
        <w:rPr>
          <w:rFonts w:ascii="IRNazanin" w:hAnsi="IRNazanin" w:eastAsia="IRNazanin" w:cs="IRNazanin"/>
          <w:lang w:bidi="fa-IR"/>
          <w:color w:val="111111"/>
          <w:sz w:val="28"/>
          <w:szCs w:val="28"/>
          <w:rtl/>
        </w:rPr>
        <w:t xml:space="preserve">فی 164 ص. مع مقدمه فی أحواله مأخوذة من بستان السیاحة. توفی بتبریز فی ذی القعدة 1339 و خلفه نظام علی شاه أحمد الکرمانی المتوفی 1342. و یوجد من دیوانه نسختان عند (الملک).</w:t>
      </w:r>
    </w:p>
    <w:p>
      <w:pPr>
        <w:pStyle w:val="Heading3"/>
      </w:pPr>
      <w:bookmarkStart w:id="8350" w:name="_Toc7046"/>
      <w:r>
        <w:t>6310- دیوان مجذوب هروی أو شعره‏</w:t>
      </w:r>
      <w:bookmarkEnd w:id="8350"/>
    </w:p>
    <w:p>
      <w:pPr>
        <w:pStyle w:val="BookText"/>
      </w:pPr>
      <w:r>
        <w:rPr>
          <w:rFonts w:ascii="IRNazanin" w:hAnsi="IRNazanin" w:eastAsia="IRNazanin" w:cs="IRNazanin"/>
          <w:lang w:bidi="fa-IR"/>
          <w:color w:val="111111"/>
          <w:sz w:val="28"/>
          <w:szCs w:val="28"/>
          <w:rtl/>
        </w:rPr>
        <w:t xml:space="preserve">و اسمه المیر حیدر. ترجمه و أورد شعره فی (مجن 2- ص 28 و 202) و قال کان یسکن مقبرة المیر فخر و دفن هناک. و فی نسخه جاء اسمه صدر الدین.</w:t>
      </w:r>
    </w:p>
    <w:p>
      <w:pPr>
        <w:pStyle w:val="Heading3"/>
      </w:pPr>
      <w:bookmarkStart w:id="8351" w:name="_Toc7047"/>
      <w:r>
        <w:t>6311- دیوان مجرم أصفهانی‏</w:t>
      </w:r>
      <w:bookmarkEnd w:id="8351"/>
    </w:p>
    <w:p>
      <w:pPr>
        <w:pStyle w:val="BookText"/>
      </w:pPr>
      <w:r>
        <w:rPr>
          <w:rFonts w:ascii="IRNazanin" w:hAnsi="IRNazanin" w:eastAsia="IRNazanin" w:cs="IRNazanin"/>
          <w:lang w:bidi="fa-IR"/>
          <w:color w:val="111111"/>
          <w:sz w:val="28"/>
          <w:szCs w:val="28"/>
          <w:rtl/>
        </w:rPr>
        <w:t xml:space="preserve">و اسمه هادی بن محسن إبراهیمی الورنوسفادرانی من شعراء أصفهان. المعاصرین. ولد فی أوائل القرن الحاضر، و طبع من أشعاره مصیبت‏نامه فی 1500 بیت علی الحجر بطهران ترجمه و أورد شعره فی شعرای معاصر أصفهان- ص 412.</w:t>
      </w:r>
    </w:p>
    <w:p>
      <w:pPr>
        <w:pStyle w:val="Heading3"/>
      </w:pPr>
      <w:bookmarkStart w:id="8352" w:name="_Toc7048"/>
      <w:r>
        <w:t>6312- دیوان مجرم خوسفی أو شعره‏</w:t>
      </w:r>
      <w:bookmarkEnd w:id="8352"/>
    </w:p>
    <w:p>
      <w:pPr>
        <w:pStyle w:val="BookText"/>
      </w:pPr>
      <w:r>
        <w:rPr>
          <w:rFonts w:ascii="IRNazanin" w:hAnsi="IRNazanin" w:eastAsia="IRNazanin" w:cs="IRNazanin"/>
          <w:lang w:bidi="fa-IR"/>
          <w:color w:val="111111"/>
          <w:sz w:val="28"/>
          <w:szCs w:val="28"/>
          <w:rtl/>
        </w:rPr>
        <w:t xml:space="preserve">و اسمه الملا علی أکبر. ترجمه و أورد شعره الآیتی فی (قهستان- ص 296) و قال دفن بمقبرة پل قیامت بخوسف.</w:t>
      </w:r>
    </w:p>
    <w:p>
      <w:pPr>
        <w:pStyle w:val="Heading3"/>
      </w:pPr>
      <w:bookmarkStart w:id="8353" w:name="_Toc7049"/>
      <w:r>
        <w:t>6313- دیوان مجرم شاملو</w:t>
      </w:r>
      <w:bookmarkEnd w:id="8353"/>
    </w:p>
    <w:p>
      <w:pPr>
        <w:pStyle w:val="BookText"/>
      </w:pPr>
      <w:r>
        <w:rPr>
          <w:rFonts w:ascii="IRNazanin" w:hAnsi="IRNazanin" w:eastAsia="IRNazanin" w:cs="IRNazanin"/>
          <w:lang w:bidi="fa-IR"/>
          <w:color w:val="111111"/>
          <w:sz w:val="28"/>
          <w:szCs w:val="28"/>
          <w:rtl/>
        </w:rPr>
        <w:t xml:space="preserve">و هو مرتضی قلی خان بن سلطان حسن الشاعر الموسیقار الخطاط سافر إلی الهند و مات بها فی 1020 و جمع دیوانه طبق وصیته التقی الأوحدی.</w:t>
      </w:r>
    </w:p>
    <w:p>
      <w:pPr>
        <w:pStyle w:val="BookText"/>
      </w:pPr>
      <w:r>
        <w:rPr>
          <w:rFonts w:ascii="IRNazanin" w:hAnsi="IRNazanin" w:eastAsia="IRNazanin" w:cs="IRNazanin"/>
          <w:lang w:bidi="fa-IR"/>
          <w:color w:val="111111"/>
          <w:sz w:val="28"/>
          <w:szCs w:val="28"/>
          <w:rtl/>
        </w:rPr>
        <w:t xml:space="preserve">کذا فی (گلشن- ص 364) و عنه فی القاموس الترکی فالریحانة. و هو غیر مرتضی‏
</w:t>
      </w:r>
    </w:p>
    <w:p>
      <w:pPr>
        <w:sectPr>
          <w:footerReference w:type="default" r:id="rId973"/>
          <w:footnotePr>
            <w:numStart w:val="1"/>
            <w:numRestart w:val="eachPage"/>
          </w:footnotePr>
          <w:pgSz w:orient="portrait" w:w="11905.511811023622" w:h="16837.79527559055"/>
          <w:pgMar w:top="1440" w:right="1440" w:bottom="1440" w:left="1440" w:header="720" w:footer="720" w:gutter="0"/>
          <w:cols w:num="1" w:space="720"/>
        </w:sectPr>
      </w:pPr>
    </w:p>
    <w:bookmarkStart w:id="955" w:name="pg11704_122441"/>
    <w:bookmarkEnd w:id="955"/>
    <w:p>
      <w:pPr>
        <w:pStyle w:val="BookText"/>
      </w:pPr>
      <w:r>
        <w:rPr>
          <w:rFonts w:ascii="IRNazanin" w:hAnsi="IRNazanin" w:eastAsia="IRNazanin" w:cs="IRNazanin"/>
          <w:lang w:bidi="fa-IR"/>
          <w:color w:val="111111"/>
          <w:sz w:val="28"/>
          <w:szCs w:val="28"/>
          <w:rtl/>
        </w:rPr>
        <w:t xml:space="preserve">شاملو المذکور فی ص 494 ظاهرا.</w:t>
      </w:r>
    </w:p>
    <w:p>
      <w:pPr>
        <w:pStyle w:val="Heading3"/>
      </w:pPr>
      <w:bookmarkStart w:id="8354" w:name="_Toc7050"/>
      <w:r>
        <w:t>6314- دیوان مجرم عظیم‏آبادی أو شعره‏</w:t>
      </w:r>
      <w:bookmarkEnd w:id="8354"/>
    </w:p>
    <w:p>
      <w:pPr>
        <w:pStyle w:val="BookText"/>
      </w:pPr>
      <w:r>
        <w:rPr>
          <w:rFonts w:ascii="IRNazanin" w:hAnsi="IRNazanin" w:eastAsia="IRNazanin" w:cs="IRNazanin"/>
          <w:lang w:bidi="fa-IR"/>
          <w:color w:val="111111"/>
          <w:sz w:val="28"/>
          <w:szCs w:val="28"/>
          <w:rtl/>
        </w:rPr>
        <w:t xml:space="preserve">و اسمه الشیخ غلام حسین والد الشیخ وجیه الدین عشقی و تلمیذ شاه محمد وفا أورد شعره فی (گلشن- ص 364).</w:t>
      </w:r>
    </w:p>
    <w:p>
      <w:pPr>
        <w:pStyle w:val="Heading3"/>
      </w:pPr>
      <w:bookmarkStart w:id="8355" w:name="_Toc7051"/>
      <w:r>
        <w:t>6315- دیوان مجرم کشمیری أو شعره‏</w:t>
      </w:r>
      <w:bookmarkEnd w:id="8355"/>
    </w:p>
    <w:p>
      <w:pPr>
        <w:pStyle w:val="BookText"/>
      </w:pPr>
      <w:r>
        <w:rPr>
          <w:rFonts w:ascii="IRNazanin" w:hAnsi="IRNazanin" w:eastAsia="IRNazanin" w:cs="IRNazanin"/>
          <w:lang w:bidi="fa-IR"/>
          <w:color w:val="111111"/>
          <w:sz w:val="28"/>
          <w:szCs w:val="28"/>
          <w:rtl/>
        </w:rPr>
        <w:t xml:space="preserve">و هو الشیخ عبد الله حفید الشیخ مسلم صنعی أورد شعره فی (گلشن- ص 364).</w:t>
      </w:r>
    </w:p>
    <w:p>
      <w:pPr>
        <w:pStyle w:val="Heading3"/>
      </w:pPr>
      <w:bookmarkStart w:id="8356" w:name="_Toc7052"/>
      <w:r>
        <w:t>6316- دیوان مجرم مراغه‏ای‏</w:t>
      </w:r>
      <w:bookmarkEnd w:id="8356"/>
    </w:p>
    <w:p>
      <w:pPr>
        <w:pStyle w:val="BookText"/>
      </w:pPr>
      <w:r>
        <w:rPr>
          <w:rFonts w:ascii="IRNazanin" w:hAnsi="IRNazanin" w:eastAsia="IRNazanin" w:cs="IRNazanin"/>
          <w:lang w:bidi="fa-IR"/>
          <w:color w:val="111111"/>
          <w:sz w:val="28"/>
          <w:szCs w:val="28"/>
          <w:rtl/>
        </w:rPr>
        <w:t xml:space="preserve">و هو السید الحاج میر سلام الله الموسوی المعروف بالحاج کبیر آقا و الملقب فی الطریقة ب مجذوب علی شاه المراغی و المتخلص فی شعره مجرم ترجمه فی (دجا- ص 327) و (انجمن 4) و طبع دیوانه فی الغزل و القصائد بتبریز فی 1324 باسم بحر الأسرار فی 147 ص.</w:t>
      </w:r>
    </w:p>
    <w:p>
      <w:pPr>
        <w:pStyle w:val="Heading3"/>
      </w:pPr>
      <w:bookmarkStart w:id="8357" w:name="_Toc7053"/>
      <w:r>
        <w:t>دیوان مجرم ورنوسفادرانی‏</w:t>
      </w:r>
      <w:bookmarkEnd w:id="8357"/>
    </w:p>
    <w:p>
      <w:pPr>
        <w:pStyle w:val="BookText"/>
      </w:pPr>
      <w:r>
        <w:rPr>
          <w:rFonts w:ascii="IRNazanin" w:hAnsi="IRNazanin" w:eastAsia="IRNazanin" w:cs="IRNazanin"/>
          <w:lang w:bidi="fa-IR"/>
          <w:color w:val="111111"/>
          <w:sz w:val="28"/>
          <w:szCs w:val="28"/>
          <w:rtl/>
        </w:rPr>
        <w:t xml:space="preserve">راجع مجرم أصفهانی.</w:t>
      </w:r>
    </w:p>
    <w:p>
      <w:pPr>
        <w:pStyle w:val="Heading3"/>
      </w:pPr>
      <w:bookmarkStart w:id="8358" w:name="_Toc7054"/>
      <w:r>
        <w:t>6317- دیوان مجرم هروی‏</w:t>
      </w:r>
      <w:bookmarkEnd w:id="8358"/>
    </w:p>
    <w:p>
      <w:pPr>
        <w:pStyle w:val="BookText"/>
      </w:pPr>
      <w:r>
        <w:rPr>
          <w:rFonts w:ascii="IRNazanin" w:hAnsi="IRNazanin" w:eastAsia="IRNazanin" w:cs="IRNazanin"/>
          <w:lang w:bidi="fa-IR"/>
          <w:color w:val="111111"/>
          <w:sz w:val="28"/>
          <w:szCs w:val="28"/>
          <w:rtl/>
        </w:rPr>
        <w:t xml:space="preserve">للمولی محمد الهروی الأصل المشهدی المسکن رأیت قصیدته فی تولد أمیر المؤمنین فی الکعبة و نظمه لروایة قعنب المشهورة فی الکتب بالفارسیة. یوجد منها قرب نیف و ثلاثین بیتا ضمن مجموعة عند السید محمد الموسوی الجزائری فی النجف جمعها المولی حسن علی المداح 1285 ثم ألحق بها أشعار أخر فی 1300.</w:t>
      </w:r>
    </w:p>
    <w:p>
      <w:pPr>
        <w:pStyle w:val="Heading3"/>
      </w:pPr>
      <w:bookmarkStart w:id="8359" w:name="_Toc7055"/>
      <w:r>
        <w:t>6318- دیوان مجرم یزدی أو شعره‏</w:t>
      </w:r>
      <w:bookmarkEnd w:id="8359"/>
    </w:p>
    <w:p>
      <w:pPr>
        <w:pStyle w:val="BookText"/>
      </w:pPr>
      <w:r>
        <w:rPr>
          <w:rFonts w:ascii="IRNazanin" w:hAnsi="IRNazanin" w:eastAsia="IRNazanin" w:cs="IRNazanin"/>
          <w:lang w:bidi="fa-IR"/>
          <w:color w:val="111111"/>
          <w:sz w:val="28"/>
          <w:szCs w:val="28"/>
          <w:rtl/>
        </w:rPr>
        <w:t xml:space="preserve">و اسمه المیرزا محمد کان معاصر صاحب تذکره آفتاب عالمتاب. أورد شعره فی (گلشن- ص 364).</w:t>
      </w:r>
    </w:p>
    <w:p>
      <w:pPr>
        <w:pStyle w:val="Heading3"/>
      </w:pPr>
      <w:bookmarkStart w:id="8360" w:name="_Toc7056"/>
      <w:r>
        <w:t>6319- دیوان مجرمی أردبیلی‏</w:t>
      </w:r>
      <w:bookmarkEnd w:id="8360"/>
    </w:p>
    <w:p>
      <w:pPr>
        <w:pStyle w:val="BookText"/>
      </w:pPr>
      <w:r>
        <w:rPr>
          <w:rFonts w:ascii="IRNazanin" w:hAnsi="IRNazanin" w:eastAsia="IRNazanin" w:cs="IRNazanin"/>
          <w:lang w:bidi="fa-IR"/>
          <w:color w:val="111111"/>
          <w:sz w:val="28"/>
          <w:szCs w:val="28"/>
          <w:rtl/>
        </w:rPr>
        <w:t xml:space="preserve">بالجیم. ترجمه کذلک فی (دجا- ص 327) و أورد شعره نقلا عن مجمع الخواص لصادقی، ثم ذکر بعده عدة أسماء کلها بالجیم مثل [مجروح، مجمر، مجنون‏] و لکن الموجود فی المطبوع من کتاب الصادقی (خص 8- ص 234) محرمی بالحاء المهملة. و فی (گلشن- ص 365) أیضا بالجیم.</w:t>
      </w:r>
    </w:p>
    <w:p>
      <w:pPr>
        <w:pStyle w:val="Heading3"/>
      </w:pPr>
      <w:bookmarkStart w:id="8361" w:name="_Toc7057"/>
      <w:r>
        <w:t>6320- دیوان مجرمی هروی أو شعره‏</w:t>
      </w:r>
      <w:bookmarkEnd w:id="8361"/>
    </w:p>
    <w:p>
      <w:pPr>
        <w:pStyle w:val="BookText"/>
      </w:pPr>
      <w:r>
        <w:rPr>
          <w:rFonts w:ascii="IRNazanin" w:hAnsi="IRNazanin" w:eastAsia="IRNazanin" w:cs="IRNazanin"/>
          <w:lang w:bidi="fa-IR"/>
          <w:color w:val="111111"/>
          <w:sz w:val="28"/>
          <w:szCs w:val="28"/>
          <w:rtl/>
        </w:rPr>
        <w:t xml:space="preserve">ترجمه فی (مجتس 6- ص 169) و ذکر أن أکثر وقته یقضیها فی ما وراء النهر و أورد شعره.</w:t>
      </w:r>
    </w:p>
    <w:p>
      <w:pPr>
        <w:pStyle w:val="Heading3"/>
      </w:pPr>
      <w:bookmarkStart w:id="8362" w:name="_Toc7058"/>
      <w:r>
        <w:t>6321- دیوان مجروح بنارسی أو شعره‏</w:t>
      </w:r>
      <w:bookmarkEnd w:id="8362"/>
    </w:p>
    <w:p>
      <w:pPr>
        <w:pStyle w:val="BookText"/>
      </w:pPr>
      <w:r>
        <w:rPr>
          <w:rFonts w:ascii="IRNazanin" w:hAnsi="IRNazanin" w:eastAsia="IRNazanin" w:cs="IRNazanin"/>
          <w:lang w:bidi="fa-IR"/>
          <w:color w:val="111111"/>
          <w:sz w:val="28"/>
          <w:szCs w:val="28"/>
          <w:rtl/>
        </w:rPr>
        <w:t xml:space="preserve">و اسمه عصمة الله بن عبد القادر اخترم فی شبابه. أورد شعره فی (گلشن- ص 365).
</w:t>
      </w:r>
    </w:p>
    <w:p>
      <w:pPr>
        <w:sectPr>
          <w:footerReference w:type="default" r:id="rId974"/>
          <w:footnotePr>
            <w:numStart w:val="1"/>
            <w:numRestart w:val="eachPage"/>
          </w:footnotePr>
          <w:pgSz w:orient="portrait" w:w="11905.511811023622" w:h="16837.79527559055"/>
          <w:pgMar w:top="1440" w:right="1440" w:bottom="1440" w:left="1440" w:header="720" w:footer="720" w:gutter="0"/>
          <w:cols w:num="1" w:space="720"/>
        </w:sectPr>
      </w:pPr>
    </w:p>
    <w:bookmarkStart w:id="956" w:name="pg11704_122442"/>
    <w:bookmarkEnd w:id="956"/>
    <w:p>
      <w:pPr>
        <w:pStyle w:val="Heading3"/>
      </w:pPr>
      <w:bookmarkStart w:id="8363" w:name="_Toc7059"/>
      <w:r>
        <w:t>6322- دیوان مجروح جاجمونی أو شعره‏</w:t>
      </w:r>
      <w:bookmarkEnd w:id="8363"/>
    </w:p>
    <w:p>
      <w:pPr>
        <w:pStyle w:val="BookText"/>
      </w:pPr>
      <w:r>
        <w:rPr>
          <w:rFonts w:ascii="IRNazanin" w:hAnsi="IRNazanin" w:eastAsia="IRNazanin" w:cs="IRNazanin"/>
          <w:lang w:bidi="fa-IR"/>
          <w:color w:val="111111"/>
          <w:sz w:val="28"/>
          <w:szCs w:val="28"/>
          <w:rtl/>
        </w:rPr>
        <w:t xml:space="preserve">کان تلمیذ محمد مهدی شاه‏جهان‏آبادی.</w:t>
      </w:r>
    </w:p>
    <w:p>
      <w:pPr>
        <w:pStyle w:val="BookText"/>
      </w:pPr>
      <w:r>
        <w:rPr>
          <w:rFonts w:ascii="IRNazanin" w:hAnsi="IRNazanin" w:eastAsia="IRNazanin" w:cs="IRNazanin"/>
          <w:lang w:bidi="fa-IR"/>
          <w:color w:val="111111"/>
          <w:sz w:val="28"/>
          <w:szCs w:val="28"/>
          <w:rtl/>
        </w:rPr>
        <w:t xml:space="preserve">أورد شعره فی (گلشن- ص 365).</w:t>
      </w:r>
    </w:p>
    <w:p>
      <w:pPr>
        <w:pStyle w:val="Heading3"/>
      </w:pPr>
      <w:bookmarkStart w:id="8364" w:name="_Toc7060"/>
      <w:r>
        <w:t>6323- دیوان مجروح مغانی‏</w:t>
      </w:r>
      <w:bookmarkEnd w:id="8364"/>
    </w:p>
    <w:p>
      <w:pPr>
        <w:pStyle w:val="BookText"/>
      </w:pPr>
      <w:r>
        <w:rPr>
          <w:rFonts w:ascii="IRNazanin" w:hAnsi="IRNazanin" w:eastAsia="IRNazanin" w:cs="IRNazanin"/>
          <w:lang w:bidi="fa-IR"/>
          <w:color w:val="111111"/>
          <w:sz w:val="28"/>
          <w:szCs w:val="28"/>
          <w:rtl/>
        </w:rPr>
        <w:t xml:space="preserve">ترجمه فی (دجا- ص 327) نقلا عن حدیقة الشعراء قائلا إنه کان مناظرا مع السید عظیم الشیروانی و مشاجرا له فی الشعر</w:t>
      </w:r>
    </w:p>
    <w:p>
      <w:pPr>
        <w:pStyle w:val="Heading3"/>
      </w:pPr>
      <w:bookmarkStart w:id="8365" w:name="_Toc7061"/>
      <w:r>
        <w:t>6324- دیوان مجلد خراسانی أو شعره‏</w:t>
      </w:r>
      <w:bookmarkEnd w:id="8365"/>
    </w:p>
    <w:p>
      <w:pPr>
        <w:pStyle w:val="BookText"/>
      </w:pPr>
      <w:r>
        <w:rPr>
          <w:rFonts w:ascii="IRNazanin" w:hAnsi="IRNazanin" w:eastAsia="IRNazanin" w:cs="IRNazanin"/>
          <w:lang w:bidi="fa-IR"/>
          <w:color w:val="111111"/>
          <w:sz w:val="28"/>
          <w:szCs w:val="28"/>
          <w:rtl/>
        </w:rPr>
        <w:t xml:space="preserve">ترجمه معاصره سام میرزا فی (تس 5- ص 165) و ذکر أنه مشغول بالتجلید و أورد شعره و کذا فی (گلشن- ص 365)</w:t>
      </w:r>
    </w:p>
    <w:p>
      <w:pPr>
        <w:pStyle w:val="Heading3"/>
      </w:pPr>
      <w:bookmarkStart w:id="8366" w:name="_Toc7062"/>
      <w:r>
        <w:t>6325- دیوان مجلسی أصفهانی أو شعره‏</w:t>
      </w:r>
      <w:bookmarkEnd w:id="8366"/>
    </w:p>
    <w:p>
      <w:pPr>
        <w:pStyle w:val="BookText"/>
      </w:pPr>
      <w:r>
        <w:rPr>
          <w:rFonts w:ascii="IRNazanin" w:hAnsi="IRNazanin" w:eastAsia="IRNazanin" w:cs="IRNazanin"/>
          <w:lang w:bidi="fa-IR"/>
          <w:color w:val="111111"/>
          <w:sz w:val="28"/>
          <w:szCs w:val="28"/>
          <w:rtl/>
        </w:rPr>
        <w:t xml:space="preserve">و هو الملا مقصود علی والد الملا محمد تقی المجلسی الأول و صاحب شرح من لا یحضره الفقیه کان له أشعار عرفانیة یتخلص فیها مجلسی فاشتهر أولاده باللقب و لعله الآتی و تلمیذ المحتشم‏</w:t>
      </w:r>
    </w:p>
    <w:p>
      <w:pPr>
        <w:pStyle w:val="Heading3"/>
      </w:pPr>
      <w:bookmarkStart w:id="8367" w:name="_Toc7063"/>
      <w:r>
        <w:t>دیوان مجلسی أصفهانی أو شعره‏</w:t>
      </w:r>
      <w:bookmarkEnd w:id="8367"/>
    </w:p>
    <w:p>
      <w:pPr>
        <w:pStyle w:val="BookText"/>
      </w:pPr>
      <w:r>
        <w:rPr>
          <w:rFonts w:ascii="IRNazanin" w:hAnsi="IRNazanin" w:eastAsia="IRNazanin" w:cs="IRNazanin"/>
          <w:lang w:bidi="fa-IR"/>
          <w:color w:val="111111"/>
          <w:sz w:val="28"/>
          <w:szCs w:val="28"/>
          <w:rtl/>
        </w:rPr>
        <w:t xml:space="preserve">کان من تلامیذ محتشم الکاشانی سافر إلی الهند و مات بدکن فی أوائل القرن الحادی عشر أورد شعره و قصة غرامه فی (نتایج- ص 360) و (گلشن- ص 365) و لعله هو مقصود علی والد المجلسی المذکور</w:t>
      </w:r>
    </w:p>
    <w:p>
      <w:pPr>
        <w:pStyle w:val="Heading3"/>
      </w:pPr>
      <w:bookmarkStart w:id="8368" w:name="_Toc7064"/>
      <w:r>
        <w:t>دیوان مجلسی خراسانی أو شعره‏</w:t>
      </w:r>
      <w:bookmarkEnd w:id="8368"/>
    </w:p>
    <w:p>
      <w:pPr>
        <w:pStyle w:val="BookText"/>
      </w:pPr>
      <w:r>
        <w:rPr>
          <w:rFonts w:ascii="IRNazanin" w:hAnsi="IRNazanin" w:eastAsia="IRNazanin" w:cs="IRNazanin"/>
          <w:lang w:bidi="fa-IR"/>
          <w:color w:val="111111"/>
          <w:sz w:val="28"/>
          <w:szCs w:val="28"/>
          <w:rtl/>
        </w:rPr>
        <w:t xml:space="preserve">ترجمه و أورد شعره فی (گلشن- ص 365) و عنه فی القاموس الترکی ثم الریحانة و لعله متحد مع الهروی‏</w:t>
      </w:r>
    </w:p>
    <w:p>
      <w:pPr>
        <w:pStyle w:val="Heading3"/>
      </w:pPr>
      <w:bookmarkStart w:id="8369" w:name="_Toc7065"/>
      <w:r>
        <w:t>دیوان مجلسی هروی‏</w:t>
      </w:r>
      <w:bookmarkEnd w:id="8369"/>
    </w:p>
    <w:p>
      <w:pPr>
        <w:pStyle w:val="BookText"/>
      </w:pPr>
      <w:r>
        <w:rPr>
          <w:rFonts w:ascii="IRNazanin" w:hAnsi="IRNazanin" w:eastAsia="IRNazanin" w:cs="IRNazanin"/>
          <w:lang w:bidi="fa-IR"/>
          <w:color w:val="111111"/>
          <w:sz w:val="28"/>
          <w:szCs w:val="28"/>
          <w:rtl/>
        </w:rPr>
        <w:t xml:space="preserve">و اسمه السید محمد الهروی کان تخلصه أولا غریبی و بعد اتصاله بمجلس السلطان حسین میرزا بایقرا، غیر السلطان تخلصه إلی مجلسی بملاحظة تخلص شاه غریب، کما مر فی ص 787، و کذا فی (گلشن- ص 365) و القاموس الترکی و الریحانة</w:t>
      </w:r>
    </w:p>
    <w:p>
      <w:pPr>
        <w:pStyle w:val="Heading3"/>
      </w:pPr>
      <w:bookmarkStart w:id="8370" w:name="_Toc7066"/>
      <w:r>
        <w:t>6326- دیوان مجمر أصفهانی‏</w:t>
      </w:r>
      <w:bookmarkEnd w:id="8370"/>
    </w:p>
    <w:p>
      <w:pPr>
        <w:pStyle w:val="BookText"/>
      </w:pPr>
      <w:r>
        <w:rPr>
          <w:rFonts w:ascii="IRNazanin" w:hAnsi="IRNazanin" w:eastAsia="IRNazanin" w:cs="IRNazanin"/>
          <w:lang w:bidi="fa-IR"/>
          <w:color w:val="111111"/>
          <w:sz w:val="28"/>
          <w:szCs w:val="28"/>
          <w:rtl/>
        </w:rPr>
        <w:t xml:space="preserve">هو السید حسین الطباطبائی الأردکانی الأصفهانی الملقب مجتهد الشعراء (1190- 1225) طبع دیوانه 1312 بطهران فی 302 ص مع مقدمه طبعه للحکیم المیرزا أبی الحسن الجلوة الطباطبائی الأصفهانی الذی توفی 1314 و توجد منه ثلاث نسخ فی مکتبة (المجلس) ذکر خصوصیاتها فی فهرسها 3: 396 و أورد قرب خمسمائة بیت منه فی (مع 2: ص 465) و کذا فی (انجمن 3) و نسختان منه عند (فخر الدین النصیری) و عدة نسخ عند (الملک)</w:t>
      </w:r>
    </w:p>
    <w:p>
      <w:pPr>
        <w:pStyle w:val="Heading3"/>
      </w:pPr>
      <w:bookmarkStart w:id="8371" w:name="_Toc7067"/>
      <w:r>
        <w:t>6327- دیوان مجمر شتربانی التبریزی‏</w:t>
      </w:r>
      <w:bookmarkEnd w:id="8371"/>
    </w:p>
    <w:p>
      <w:pPr>
        <w:pStyle w:val="BookText"/>
      </w:pPr>
      <w:r>
        <w:rPr>
          <w:rFonts w:ascii="IRNazanin" w:hAnsi="IRNazanin" w:eastAsia="IRNazanin" w:cs="IRNazanin"/>
          <w:lang w:bidi="fa-IR"/>
          <w:color w:val="111111"/>
          <w:sz w:val="28"/>
          <w:szCs w:val="28"/>
          <w:rtl/>
        </w:rPr>
        <w:t xml:space="preserve">من الشعراء الذین ترجمهم و ذکر أشعارهم‏
</w:t>
      </w:r>
    </w:p>
    <w:p>
      <w:pPr>
        <w:sectPr>
          <w:footerReference w:type="default" r:id="rId975"/>
          <w:footnotePr>
            <w:numStart w:val="1"/>
            <w:numRestart w:val="eachPage"/>
          </w:footnotePr>
          <w:pgSz w:orient="portrait" w:w="11905.511811023622" w:h="16837.79527559055"/>
          <w:pgMar w:top="1440" w:right="1440" w:bottom="1440" w:left="1440" w:header="720" w:footer="720" w:gutter="0"/>
          <w:cols w:num="1" w:space="720"/>
        </w:sectPr>
      </w:pPr>
    </w:p>
    <w:bookmarkStart w:id="957" w:name="pg11704_122443"/>
    <w:bookmarkEnd w:id="957"/>
    <w:p>
      <w:pPr>
        <w:pStyle w:val="BookText"/>
      </w:pPr>
      <w:r>
        <w:rPr>
          <w:rFonts w:ascii="IRNazanin" w:hAnsi="IRNazanin" w:eastAsia="IRNazanin" w:cs="IRNazanin"/>
          <w:lang w:bidi="fa-IR"/>
          <w:color w:val="111111"/>
          <w:sz w:val="28"/>
          <w:szCs w:val="28"/>
          <w:rtl/>
        </w:rPr>
        <w:t xml:space="preserve">فی حدیقة الشعراء کما ذکر فی (دجا- ص 327)</w:t>
      </w:r>
    </w:p>
    <w:p>
      <w:pPr>
        <w:pStyle w:val="Heading3"/>
      </w:pPr>
      <w:bookmarkStart w:id="8372" w:name="_Toc7068"/>
      <w:r>
        <w:t>6328- دیوان مجمع‏</w:t>
      </w:r>
      <w:bookmarkEnd w:id="8372"/>
    </w:p>
    <w:p>
      <w:pPr>
        <w:pStyle w:val="BookText"/>
      </w:pPr>
      <w:r>
        <w:rPr>
          <w:rFonts w:ascii="IRNazanin" w:hAnsi="IRNazanin" w:eastAsia="IRNazanin" w:cs="IRNazanin"/>
          <w:lang w:bidi="fa-IR"/>
          <w:color w:val="111111"/>
          <w:sz w:val="28"/>
          <w:szCs w:val="28"/>
          <w:rtl/>
        </w:rPr>
        <w:t xml:space="preserve">و هو الشیخ مجمع بن محمد بن أحمد المسکنی النحوی الشاعر اللغوی المعاصر للشیخ أبی علی بن شیخ الطائفة أبی جعفر محمد بن الحسن الطوسی ذکر له الشیخ منتجب الدین فی فهرست دیوان النظم و دیوان النثر و تصانیف أخر و رواها عن شیخه الشیخ طاهر بن أحمد القزوینی الراوی لهذا الدیوان و غیرها عن ناظمه و یروی القزوینی عن الشیخ أبی علی الطوسی أیضا فهما متعاصران‏</w:t>
      </w:r>
    </w:p>
    <w:p>
      <w:pPr>
        <w:pStyle w:val="Heading3"/>
      </w:pPr>
      <w:bookmarkStart w:id="8373" w:name="_Toc7069"/>
      <w:r>
        <w:t>6329- دیوان مجنون أصفهانی‏</w:t>
      </w:r>
      <w:bookmarkEnd w:id="8373"/>
    </w:p>
    <w:p>
      <w:pPr>
        <w:pStyle w:val="BookText"/>
      </w:pPr>
      <w:r>
        <w:rPr>
          <w:rFonts w:ascii="IRNazanin" w:hAnsi="IRNazanin" w:eastAsia="IRNazanin" w:cs="IRNazanin"/>
          <w:lang w:bidi="fa-IR"/>
          <w:color w:val="111111"/>
          <w:sz w:val="28"/>
          <w:szCs w:val="28"/>
          <w:rtl/>
        </w:rPr>
        <w:t xml:space="preserve">و اسمه عباس سیچانی ولد بها فی 1271 ش و نشا فی الزراعة و الفلاحة طبع له نامه مجنون فی 142 ص فی 1361 ترجمه فی شعرای معاصر أصفهان- ص 413</w:t>
      </w:r>
    </w:p>
    <w:p>
      <w:pPr>
        <w:pStyle w:val="Heading3"/>
      </w:pPr>
      <w:bookmarkStart w:id="8374" w:name="_Toc7070"/>
      <w:r>
        <w:t>6330- دیوان مجنون تبریزی أو شعره‏</w:t>
      </w:r>
      <w:bookmarkEnd w:id="8374"/>
    </w:p>
    <w:p>
      <w:pPr>
        <w:pStyle w:val="BookText"/>
      </w:pPr>
      <w:r>
        <w:rPr>
          <w:rFonts w:ascii="IRNazanin" w:hAnsi="IRNazanin" w:eastAsia="IRNazanin" w:cs="IRNazanin"/>
          <w:lang w:bidi="fa-IR"/>
          <w:color w:val="111111"/>
          <w:sz w:val="28"/>
          <w:szCs w:val="28"/>
          <w:rtl/>
        </w:rPr>
        <w:t xml:space="preserve">قال فی (دجا- ص 327) إنه من الشعراء الذین ذکرت أحوالهم و بعض شعرهم بالترکیة فی حدیقة الشعراء</w:t>
      </w:r>
    </w:p>
    <w:p>
      <w:pPr>
        <w:pStyle w:val="Heading3"/>
      </w:pPr>
      <w:bookmarkStart w:id="8375" w:name="_Toc7071"/>
      <w:r>
        <w:t>6331- دیوان مجنون تویسرکانی‏</w:t>
      </w:r>
      <w:bookmarkEnd w:id="8375"/>
    </w:p>
    <w:p>
      <w:pPr>
        <w:pStyle w:val="BookText"/>
      </w:pPr>
      <w:r>
        <w:rPr>
          <w:rFonts w:ascii="IRNazanin" w:hAnsi="IRNazanin" w:eastAsia="IRNazanin" w:cs="IRNazanin"/>
          <w:lang w:bidi="fa-IR"/>
          <w:color w:val="111111"/>
          <w:sz w:val="28"/>
          <w:szCs w:val="28"/>
          <w:rtl/>
        </w:rPr>
        <w:t xml:space="preserve">و هو محمد حسین بن غلام حسین التویسرکانی ولد 1214 و سافر إلی طهران و رجع إلی وطنه و أسس مع المیرزا چغندر جمعیة عرفانیة و مات بتویسرکان فی 1288 و حمل إلی النجف و دیوانه فی 2500 بیت عند حفیده” محمد حسین” پارسا التویسرکانی بطهران یشتمل علی الغزل و ساقی‏نامه و قطعات تاریخیة و هو جد مایل التویسرکانی المذکور فی ص 955 و ترجم فی مجلة أرمغان لسنة 1313 ش‏</w:t>
      </w:r>
    </w:p>
    <w:p>
      <w:pPr>
        <w:pStyle w:val="Heading3"/>
      </w:pPr>
      <w:bookmarkStart w:id="8376" w:name="_Toc7072"/>
      <w:r>
        <w:t>6332- دیوان مجنون تهرانی أو شعره‏</w:t>
      </w:r>
      <w:bookmarkEnd w:id="8376"/>
    </w:p>
    <w:p>
      <w:pPr>
        <w:pStyle w:val="BookText"/>
      </w:pPr>
      <w:r>
        <w:rPr>
          <w:rFonts w:ascii="IRNazanin" w:hAnsi="IRNazanin" w:eastAsia="IRNazanin" w:cs="IRNazanin"/>
          <w:lang w:bidi="fa-IR"/>
          <w:color w:val="111111"/>
          <w:sz w:val="28"/>
          <w:szCs w:val="28"/>
          <w:rtl/>
        </w:rPr>
        <w:t xml:space="preserve">ترجم و أورد شعره فی المدائح المعتمدیة</w:t>
      </w:r>
    </w:p>
    <w:p>
      <w:pPr>
        <w:pStyle w:val="Heading3"/>
      </w:pPr>
      <w:bookmarkStart w:id="8377" w:name="_Toc7073"/>
      <w:r>
        <w:t>دیوان مجنون جندقی‏</w:t>
      </w:r>
      <w:bookmarkEnd w:id="8377"/>
    </w:p>
    <w:p>
      <w:pPr>
        <w:pStyle w:val="BookText"/>
      </w:pPr>
      <w:r>
        <w:rPr>
          <w:rFonts w:ascii="IRNazanin" w:hAnsi="IRNazanin" w:eastAsia="IRNazanin" w:cs="IRNazanin"/>
          <w:lang w:bidi="fa-IR"/>
          <w:color w:val="111111"/>
          <w:sz w:val="28"/>
          <w:szCs w:val="28"/>
          <w:rtl/>
        </w:rPr>
        <w:t xml:space="preserve">لقب آخر لیغما راجع دیوان یغمای جندقی‏</w:t>
      </w:r>
    </w:p>
    <w:p>
      <w:pPr>
        <w:pStyle w:val="Heading3"/>
      </w:pPr>
      <w:bookmarkStart w:id="8378" w:name="_Toc7074"/>
      <w:r>
        <w:t>6333- دیوان مجنون چپ نویس المشهدی‏</w:t>
      </w:r>
      <w:bookmarkEnd w:id="8378"/>
    </w:p>
    <w:p>
      <w:pPr>
        <w:pStyle w:val="BookText"/>
      </w:pPr>
      <w:r>
        <w:rPr>
          <w:rFonts w:ascii="IRNazanin" w:hAnsi="IRNazanin" w:eastAsia="IRNazanin" w:cs="IRNazanin"/>
          <w:lang w:bidi="fa-IR"/>
          <w:color w:val="111111"/>
          <w:sz w:val="28"/>
          <w:szCs w:val="28"/>
          <w:rtl/>
        </w:rPr>
        <w:t xml:space="preserve">ترجم فی (گلشن- ص 366) و (حسینی- ص 320) و (مطلع 2: 442) و (مجن 3: 74 و 249) و ذکر سام میرزا فی (تس 4- ص 84) أنه لم یکن له بدیل فی العالم فی کتابه الخط من الیسار و إنه اخترع خطا یقرأ فی صورتین سماه خط توأمان</w:t>
      </w:r>
    </w:p>
    <w:p>
      <w:pPr>
        <w:pStyle w:val="BookText"/>
      </w:pPr>
      <w:r>
        <w:rPr>
          <w:rFonts w:ascii="IRNazanin" w:hAnsi="IRNazanin" w:eastAsia="IRNazanin" w:cs="IRNazanin"/>
          <w:lang w:bidi="fa-IR"/>
          <w:color w:val="111111"/>
          <w:sz w:val="28"/>
          <w:szCs w:val="28"/>
          <w:rtl/>
        </w:rPr>
        <w:t xml:space="preserve">باژگونه و له منظومة قواعد خط فیه أوصاف الخط و القلم و الحبر و ألوان القرطاس، و إنه نظمه باسمی- أی سمانی فی أوله- و منه قوله:
</w:t>
      </w:r>
    </w:p>
    <w:p>
      <w:pPr>
        <w:sectPr>
          <w:footerReference w:type="default" r:id="rId976"/>
          <w:footnotePr>
            <w:numStart w:val="1"/>
            <w:numRestart w:val="eachPage"/>
          </w:footnotePr>
          <w:pgSz w:orient="portrait" w:w="11905.511811023622" w:h="16837.79527559055"/>
          <w:pgMar w:top="1440" w:right="1440" w:bottom="1440" w:left="1440" w:header="720" w:footer="720" w:gutter="0"/>
          <w:cols w:num="1" w:space="720"/>
        </w:sectPr>
      </w:pPr>
    </w:p>
    <w:bookmarkStart w:id="958" w:name="pg11704_122444"/>
    <w:bookmarkEnd w:id="958"/>
    <w:p>
      <w:pPr>
        <w:pStyle w:val="BookText"/>
      </w:pPr>
      <w:r>
        <w:rPr>
          <w:rFonts w:ascii="IRNazanin" w:hAnsi="IRNazanin" w:eastAsia="IRNazanin" w:cs="IRNazanin"/>
          <w:lang w:bidi="fa-IR"/>
          <w:color w:val="111111"/>
          <w:sz w:val="28"/>
          <w:szCs w:val="28"/>
          <w:rtl/>
        </w:rPr>
        <w:t xml:space="preserve">رنگی که صفای خط در آن است‏</w:t>
      </w:r>
    </w:p>
    <w:p>
      <w:pPr>
        <w:pStyle w:val="BookText"/>
      </w:pPr>
      <w:r>
        <w:rPr>
          <w:rFonts w:ascii="IRNazanin" w:hAnsi="IRNazanin" w:eastAsia="IRNazanin" w:cs="IRNazanin"/>
          <w:lang w:bidi="fa-IR"/>
          <w:color w:val="111111"/>
          <w:sz w:val="28"/>
          <w:szCs w:val="28"/>
          <w:rtl/>
        </w:rPr>
        <w:t xml:space="preserve">از آب حنا و زعفرانست‏</w:t>
      </w:r>
    </w:p>
    <w:p>
      <w:pPr>
        <w:pStyle w:val="Heading3"/>
      </w:pPr>
      <w:bookmarkStart w:id="8379" w:name="_Toc7075"/>
      <w:r>
        <w:t>6334- دیوان مجنون سمرقندی أو شعره‏</w:t>
      </w:r>
      <w:bookmarkEnd w:id="8379"/>
    </w:p>
    <w:p>
      <w:pPr>
        <w:pStyle w:val="BookText"/>
      </w:pPr>
      <w:r>
        <w:rPr>
          <w:rFonts w:ascii="IRNazanin" w:hAnsi="IRNazanin" w:eastAsia="IRNazanin" w:cs="IRNazanin"/>
          <w:lang w:bidi="fa-IR"/>
          <w:color w:val="111111"/>
          <w:sz w:val="28"/>
          <w:szCs w:val="28"/>
          <w:rtl/>
        </w:rPr>
        <w:t xml:space="preserve">ترجمه و أورد شعره فی (گلشن- ص 366)</w:t>
      </w:r>
    </w:p>
    <w:p>
      <w:pPr>
        <w:pStyle w:val="Heading3"/>
      </w:pPr>
      <w:bookmarkStart w:id="8380" w:name="_Toc7076"/>
      <w:r>
        <w:t>دیوان مجنون شاه‏</w:t>
      </w:r>
      <w:bookmarkEnd w:id="8380"/>
    </w:p>
    <w:p>
      <w:pPr>
        <w:pStyle w:val="BookText"/>
      </w:pPr>
      <w:r>
        <w:rPr>
          <w:rFonts w:ascii="IRNazanin" w:hAnsi="IRNazanin" w:eastAsia="IRNazanin" w:cs="IRNazanin"/>
          <w:lang w:bidi="fa-IR"/>
          <w:color w:val="111111"/>
          <w:sz w:val="28"/>
          <w:szCs w:val="28"/>
          <w:rtl/>
        </w:rPr>
        <w:t xml:space="preserve">للسید أبی القاسم بن محرم الإشتبینی نباتی القراچه‏داغی طبع بتبریز فی 1274 کما مر فی ج 3 ص 156 باسم بوستان خیال‏</w:t>
      </w:r>
    </w:p>
    <w:p>
      <w:pPr>
        <w:pStyle w:val="Heading3"/>
      </w:pPr>
      <w:bookmarkStart w:id="8381" w:name="_Toc7077"/>
      <w:r>
        <w:t>6335- دیوان مجنون عامری‏</w:t>
      </w:r>
      <w:bookmarkEnd w:id="8381"/>
    </w:p>
    <w:p>
      <w:pPr>
        <w:pStyle w:val="BookText"/>
      </w:pPr>
      <w:r>
        <w:rPr>
          <w:rFonts w:ascii="IRNazanin" w:hAnsi="IRNazanin" w:eastAsia="IRNazanin" w:cs="IRNazanin"/>
          <w:lang w:bidi="fa-IR"/>
          <w:color w:val="111111"/>
          <w:sz w:val="28"/>
          <w:szCs w:val="28"/>
          <w:rtl/>
        </w:rPr>
        <w:t xml:space="preserve">شرحه المیرزا إسحاق بن المیرزا کاظم صدر العلماء الأردبیلی المولود 1232 و المتوفی 1306 ذکر هو فی خاتمة حدائق ناصری أنه ألفه قبل 1269 مع کتابه گل و ریحان و قد مر تاریخ قصة لیلی و مجنون فی ج 8 ص 32 فراجعها</w:t>
      </w:r>
    </w:p>
    <w:p>
      <w:pPr>
        <w:pStyle w:val="Heading3"/>
      </w:pPr>
      <w:bookmarkStart w:id="8382" w:name="_Toc7078"/>
      <w:r>
        <w:t>دیوان مجنون علی شاه‏</w:t>
      </w:r>
      <w:bookmarkEnd w:id="8382"/>
    </w:p>
    <w:p>
      <w:pPr>
        <w:pStyle w:val="BookText"/>
      </w:pPr>
      <w:r>
        <w:rPr>
          <w:rFonts w:ascii="IRNazanin" w:hAnsi="IRNazanin" w:eastAsia="IRNazanin" w:cs="IRNazanin"/>
          <w:lang w:bidi="fa-IR"/>
          <w:color w:val="111111"/>
          <w:sz w:val="28"/>
          <w:szCs w:val="28"/>
          <w:rtl/>
        </w:rPr>
        <w:t xml:space="preserve">راجع مجنون مراغه‏ای‏</w:t>
      </w:r>
    </w:p>
    <w:p>
      <w:pPr>
        <w:pStyle w:val="Heading3"/>
      </w:pPr>
      <w:bookmarkStart w:id="8383" w:name="_Toc7079"/>
      <w:r>
        <w:t>6336- دیوان مجنون فارسی أو شعره‏</w:t>
      </w:r>
      <w:bookmarkEnd w:id="8383"/>
    </w:p>
    <w:p>
      <w:pPr>
        <w:pStyle w:val="BookText"/>
      </w:pPr>
      <w:r>
        <w:rPr>
          <w:rFonts w:ascii="IRNazanin" w:hAnsi="IRNazanin" w:eastAsia="IRNazanin" w:cs="IRNazanin"/>
          <w:lang w:bidi="fa-IR"/>
          <w:color w:val="111111"/>
          <w:sz w:val="28"/>
          <w:szCs w:val="28"/>
          <w:rtl/>
        </w:rPr>
        <w:t xml:space="preserve">فی المراثی موجود عند السید محمد علی (السبزواری بالکاظمیة) ضمن مجموعة کتابتها 1289</w:t>
      </w:r>
    </w:p>
    <w:p>
      <w:pPr>
        <w:pStyle w:val="Heading3"/>
      </w:pPr>
      <w:bookmarkStart w:id="8384" w:name="_Toc7080"/>
      <w:r>
        <w:t>6337- دیوان مجنون کشمیری أو شعره‏</w:t>
      </w:r>
      <w:bookmarkEnd w:id="8384"/>
    </w:p>
    <w:p>
      <w:pPr>
        <w:pStyle w:val="BookText"/>
      </w:pPr>
      <w:r>
        <w:rPr>
          <w:rFonts w:ascii="IRNazanin" w:hAnsi="IRNazanin" w:eastAsia="IRNazanin" w:cs="IRNazanin"/>
          <w:lang w:bidi="fa-IR"/>
          <w:color w:val="111111"/>
          <w:sz w:val="28"/>
          <w:szCs w:val="28"/>
          <w:rtl/>
        </w:rPr>
        <w:t xml:space="preserve">ترجمه و أورد شعره فی (گلشن- ص 366)</w:t>
      </w:r>
    </w:p>
    <w:p>
      <w:pPr>
        <w:pStyle w:val="Heading3"/>
      </w:pPr>
      <w:bookmarkStart w:id="8385" w:name="_Toc7081"/>
      <w:r>
        <w:t>دیوان مجنون لیلی‏</w:t>
      </w:r>
      <w:bookmarkEnd w:id="8385"/>
    </w:p>
    <w:p>
      <w:pPr>
        <w:pStyle w:val="BookText"/>
      </w:pPr>
      <w:r>
        <w:rPr>
          <w:rFonts w:ascii="IRNazanin" w:hAnsi="IRNazanin" w:eastAsia="IRNazanin" w:cs="IRNazanin"/>
          <w:lang w:bidi="fa-IR"/>
          <w:color w:val="111111"/>
          <w:sz w:val="28"/>
          <w:szCs w:val="28"/>
          <w:rtl/>
        </w:rPr>
        <w:t xml:space="preserve">راجع مجنون عامری و راجع ج 8 ص 32.</w:t>
      </w:r>
    </w:p>
    <w:p>
      <w:pPr>
        <w:pStyle w:val="Heading3"/>
      </w:pPr>
      <w:bookmarkStart w:id="8386" w:name="_Toc7082"/>
      <w:r>
        <w:t>6338- دیوان مجنون مراغه‏ای‏</w:t>
      </w:r>
      <w:bookmarkEnd w:id="8386"/>
    </w:p>
    <w:p>
      <w:pPr>
        <w:pStyle w:val="BookText"/>
      </w:pPr>
      <w:r>
        <w:rPr>
          <w:rFonts w:ascii="IRNazanin" w:hAnsi="IRNazanin" w:eastAsia="IRNazanin" w:cs="IRNazanin"/>
          <w:lang w:bidi="fa-IR"/>
          <w:color w:val="111111"/>
          <w:sz w:val="28"/>
          <w:szCs w:val="28"/>
          <w:rtl/>
        </w:rPr>
        <w:t xml:space="preserve">ترجمه فی (دجا- ص 327) و ذکر أنه من شعراء القرن الرابع عشر و طبع بعض أشعاره فی تبریز و اسمه رضا قلی میرزا مجنون علی شاه.</w:t>
      </w:r>
    </w:p>
    <w:p>
      <w:pPr>
        <w:pStyle w:val="BookText"/>
      </w:pPr>
      <w:r>
        <w:rPr>
          <w:rFonts w:ascii="IRNazanin" w:hAnsi="IRNazanin" w:eastAsia="IRNazanin" w:cs="IRNazanin"/>
          <w:lang w:bidi="fa-IR"/>
          <w:color w:val="111111"/>
          <w:sz w:val="28"/>
          <w:szCs w:val="28"/>
          <w:rtl/>
        </w:rPr>
        <w:t xml:space="preserve">طبع له سلسله‏نامه نظما بطهران 1369 فی 48 ص. و مرآة العاشقین فی 1362 فی 172 ص. و یوجد دیوان مجنون بالفارسیة و الترکیة عند (الملک 5457).</w:t>
      </w:r>
    </w:p>
    <w:p>
      <w:pPr>
        <w:pStyle w:val="Heading3"/>
      </w:pPr>
      <w:bookmarkStart w:id="8387" w:name="_Toc7083"/>
      <w:r>
        <w:t>دیوان مجنون مشهدی‏</w:t>
      </w:r>
      <w:bookmarkEnd w:id="8387"/>
    </w:p>
    <w:p>
      <w:pPr>
        <w:pStyle w:val="BookText"/>
      </w:pPr>
      <w:r>
        <w:rPr>
          <w:rFonts w:ascii="IRNazanin" w:hAnsi="IRNazanin" w:eastAsia="IRNazanin" w:cs="IRNazanin"/>
          <w:lang w:bidi="fa-IR"/>
          <w:color w:val="111111"/>
          <w:sz w:val="28"/>
          <w:szCs w:val="28"/>
          <w:rtl/>
        </w:rPr>
        <w:t xml:space="preserve">راجع مجنون چپ نویس.</w:t>
      </w:r>
    </w:p>
    <w:p>
      <w:pPr>
        <w:pStyle w:val="Heading3"/>
      </w:pPr>
      <w:bookmarkStart w:id="8388" w:name="_Toc7084"/>
      <w:r>
        <w:t>6339- دیوان مجنون یزدی‏</w:t>
      </w:r>
      <w:bookmarkEnd w:id="8388"/>
    </w:p>
    <w:p>
      <w:pPr>
        <w:pStyle w:val="BookText"/>
      </w:pPr>
      <w:r>
        <w:rPr>
          <w:rFonts w:ascii="IRNazanin" w:hAnsi="IRNazanin" w:eastAsia="IRNazanin" w:cs="IRNazanin"/>
          <w:lang w:bidi="fa-IR"/>
          <w:color w:val="111111"/>
          <w:sz w:val="28"/>
          <w:szCs w:val="28"/>
          <w:rtl/>
        </w:rPr>
        <w:t xml:space="preserve">اسمه سعیدا و کان تخلصه أیضا أولا، ثم جعل تخلصه مجنون و صار مجنونا بالأخرة. ترجمه آیتی فی (تش یز- ص 330) و أورد شعره و احتمل تجننه.</w:t>
      </w:r>
    </w:p>
    <w:p>
      <w:pPr>
        <w:pStyle w:val="Heading3"/>
      </w:pPr>
      <w:bookmarkStart w:id="8389" w:name="_Toc7085"/>
      <w:r>
        <w:t>6340- دیوان مجنونی بلخی أو شعره‏</w:t>
      </w:r>
      <w:bookmarkEnd w:id="8389"/>
    </w:p>
    <w:p>
      <w:pPr>
        <w:pStyle w:val="BookText"/>
      </w:pPr>
      <w:r>
        <w:rPr>
          <w:rFonts w:ascii="IRNazanin" w:hAnsi="IRNazanin" w:eastAsia="IRNazanin" w:cs="IRNazanin"/>
          <w:lang w:bidi="fa-IR"/>
          <w:color w:val="111111"/>
          <w:sz w:val="28"/>
          <w:szCs w:val="28"/>
          <w:rtl/>
        </w:rPr>
        <w:t xml:space="preserve">هو من شعراء الترک و کان یعیش بالکتابة و یسکن مزار عکاشة فی بلخ. ترجمه و أورد شعره فی (مجن 3: 79 و 254) و فی بعض‏
</w:t>
      </w:r>
    </w:p>
    <w:p>
      <w:pPr>
        <w:sectPr>
          <w:footerReference w:type="default" r:id="rId977"/>
          <w:footnotePr>
            <w:numStart w:val="1"/>
            <w:numRestart w:val="eachPage"/>
          </w:footnotePr>
          <w:pgSz w:orient="portrait" w:w="11905.511811023622" w:h="16837.79527559055"/>
          <w:pgMar w:top="1440" w:right="1440" w:bottom="1440" w:left="1440" w:header="720" w:footer="720" w:gutter="0"/>
          <w:cols w:num="1" w:space="720"/>
        </w:sectPr>
      </w:pPr>
    </w:p>
    <w:bookmarkStart w:id="959" w:name="pg11704_122445"/>
    <w:bookmarkEnd w:id="959"/>
    <w:p>
      <w:pPr>
        <w:pStyle w:val="BookText"/>
      </w:pPr>
      <w:r>
        <w:rPr>
          <w:rFonts w:ascii="IRNazanin" w:hAnsi="IRNazanin" w:eastAsia="IRNazanin" w:cs="IRNazanin"/>
          <w:lang w:bidi="fa-IR"/>
          <w:color w:val="111111"/>
          <w:sz w:val="28"/>
          <w:szCs w:val="28"/>
          <w:rtl/>
        </w:rPr>
        <w:t xml:space="preserve">النسخ مجنون‏</w:t>
      </w:r>
    </w:p>
    <w:p>
      <w:pPr>
        <w:pStyle w:val="Heading3"/>
      </w:pPr>
      <w:bookmarkStart w:id="8390" w:name="_Toc7086"/>
      <w:r>
        <w:t>6341- دیوان مجیبی بهبهانی أو شعره‏</w:t>
      </w:r>
      <w:bookmarkEnd w:id="8390"/>
    </w:p>
    <w:p>
      <w:pPr>
        <w:pStyle w:val="BookText"/>
      </w:pPr>
      <w:r>
        <w:rPr>
          <w:rFonts w:ascii="IRNazanin" w:hAnsi="IRNazanin" w:eastAsia="IRNazanin" w:cs="IRNazanin"/>
          <w:lang w:bidi="fa-IR"/>
          <w:color w:val="111111"/>
          <w:sz w:val="28"/>
          <w:szCs w:val="28"/>
          <w:rtl/>
        </w:rPr>
        <w:t xml:space="preserve">ترجمه و أورد شعره فی (گلشن- ص 366) عن عرفات العاشقین للأوحدی.</w:t>
      </w:r>
    </w:p>
    <w:p>
      <w:pPr>
        <w:pStyle w:val="Heading3"/>
      </w:pPr>
      <w:bookmarkStart w:id="8391" w:name="_Toc7087"/>
      <w:r>
        <w:t>6342- دیوان مجیبی شیرازی أو شعره‏</w:t>
      </w:r>
      <w:bookmarkEnd w:id="8391"/>
    </w:p>
    <w:p>
      <w:pPr>
        <w:pStyle w:val="BookText"/>
      </w:pPr>
      <w:r>
        <w:rPr>
          <w:rFonts w:ascii="IRNazanin" w:hAnsi="IRNazanin" w:eastAsia="IRNazanin" w:cs="IRNazanin"/>
          <w:lang w:bidi="fa-IR"/>
          <w:color w:val="111111"/>
          <w:sz w:val="28"/>
          <w:szCs w:val="28"/>
          <w:rtl/>
        </w:rPr>
        <w:t xml:space="preserve">ترجمه و أورد شعره فی (گلشن- ص 366).</w:t>
      </w:r>
    </w:p>
    <w:p>
      <w:pPr>
        <w:pStyle w:val="Heading3"/>
      </w:pPr>
      <w:bookmarkStart w:id="8392" w:name="_Toc7088"/>
      <w:r>
        <w:t>6343- دیوان مجید أصفهانی أو شعره‏</w:t>
      </w:r>
      <w:bookmarkEnd w:id="8392"/>
    </w:p>
    <w:p>
      <w:pPr>
        <w:pStyle w:val="BookText"/>
      </w:pPr>
      <w:r>
        <w:rPr>
          <w:rFonts w:ascii="IRNazanin" w:hAnsi="IRNazanin" w:eastAsia="IRNazanin" w:cs="IRNazanin"/>
          <w:lang w:bidi="fa-IR"/>
          <w:color w:val="111111"/>
          <w:sz w:val="28"/>
          <w:szCs w:val="28"/>
          <w:rtl/>
        </w:rPr>
        <w:t xml:space="preserve">و اسمه مجید بن آقا علی الخباز طلب العلم و سافر إلی العراق و بها توفی. ترجمه و أورد شعره فی (نر 9- ص 432).</w:t>
      </w:r>
    </w:p>
    <w:p>
      <w:pPr>
        <w:pStyle w:val="Heading3"/>
      </w:pPr>
      <w:bookmarkStart w:id="8393" w:name="_Toc7089"/>
      <w:r>
        <w:t>6344- دیوان مجید شوشتری أو شعره‏</w:t>
      </w:r>
      <w:bookmarkEnd w:id="8393"/>
    </w:p>
    <w:p>
      <w:pPr>
        <w:pStyle w:val="BookText"/>
      </w:pPr>
      <w:r>
        <w:rPr>
          <w:rFonts w:ascii="IRNazanin" w:hAnsi="IRNazanin" w:eastAsia="IRNazanin" w:cs="IRNazanin"/>
          <w:lang w:bidi="fa-IR"/>
          <w:color w:val="111111"/>
          <w:sz w:val="28"/>
          <w:szCs w:val="28"/>
          <w:rtl/>
        </w:rPr>
        <w:t xml:space="preserve">قال فی (گلشن- ص 367) إنه ولد بدزفول 1078 و کان یناظر جعفر زرکوب و سافر إلی الهند و تقرب عند صفدر جنگ ثم أورد شعره، و کذا فی (حسینی 328).</w:t>
      </w:r>
    </w:p>
    <w:p>
      <w:pPr>
        <w:pStyle w:val="Heading3"/>
      </w:pPr>
      <w:bookmarkStart w:id="8394" w:name="_Toc7090"/>
      <w:r>
        <w:t>6345- دیوان مجید شیرازی أو شعره‏</w:t>
      </w:r>
      <w:bookmarkEnd w:id="8394"/>
    </w:p>
    <w:p>
      <w:pPr>
        <w:pStyle w:val="BookText"/>
      </w:pPr>
      <w:r>
        <w:rPr>
          <w:rFonts w:ascii="IRNazanin" w:hAnsi="IRNazanin" w:eastAsia="IRNazanin" w:cs="IRNazanin"/>
          <w:lang w:bidi="fa-IR"/>
          <w:color w:val="111111"/>
          <w:sz w:val="28"/>
          <w:szCs w:val="28"/>
          <w:rtl/>
        </w:rPr>
        <w:t xml:space="preserve">أورد شعره فی (گلشن- ص 367).</w:t>
      </w:r>
    </w:p>
    <w:p>
      <w:pPr>
        <w:pStyle w:val="Heading3"/>
      </w:pPr>
      <w:bookmarkStart w:id="8395" w:name="_Toc7091"/>
      <w:r>
        <w:t>دیوان مجید طالقانی‏</w:t>
      </w:r>
      <w:bookmarkEnd w:id="8395"/>
    </w:p>
    <w:p>
      <w:pPr>
        <w:pStyle w:val="BookText"/>
      </w:pPr>
      <w:r>
        <w:rPr>
          <w:rFonts w:ascii="IRNazanin" w:hAnsi="IRNazanin" w:eastAsia="IRNazanin" w:cs="IRNazanin"/>
          <w:lang w:bidi="fa-IR"/>
          <w:color w:val="111111"/>
          <w:sz w:val="28"/>
          <w:szCs w:val="28"/>
          <w:rtl/>
        </w:rPr>
        <w:t xml:space="preserve">مر فی ص 304 بتخلصه خموش و فی ص 324 بشهرته درویش مجید و ترجم فی (نتایج- ص 669) و (گلشن- ص 367) و (مع 2: 445) و (تعا- ص 158) و قال هذا إنه توفی بشیراز و مدحه حاجت شیرازی و کان دیوانه عند الحاج السید أسد الله بن حجة الإسلام الرشتی بأصفهان کما حدثنی به و وعدنی بإرسال فهرس مکتبته لکنه حال دونه الأجل.</w:t>
      </w:r>
    </w:p>
    <w:p>
      <w:pPr>
        <w:pStyle w:val="Heading3"/>
      </w:pPr>
      <w:bookmarkStart w:id="8396" w:name="_Toc7092"/>
      <w:r>
        <w:t>6346- دیوان مجیر بیلقانی‏</w:t>
      </w:r>
      <w:bookmarkEnd w:id="8396"/>
    </w:p>
    <w:p>
      <w:pPr>
        <w:pStyle w:val="BookText"/>
      </w:pPr>
      <w:r>
        <w:rPr>
          <w:rFonts w:ascii="IRNazanin" w:hAnsi="IRNazanin" w:eastAsia="IRNazanin" w:cs="IRNazanin"/>
          <w:lang w:bidi="fa-IR"/>
          <w:color w:val="111111"/>
          <w:sz w:val="28"/>
          <w:szCs w:val="28"/>
          <w:rtl/>
        </w:rPr>
        <w:t xml:space="preserve">و هو أبو المعالی مجیر الدین البیلقانی من أقران ظهیر الفاریابی. لقبه أتابک إیلدکز ملک الشعراء و سافر من قبله إلی أصفهان لجمع المال فهجاه الأصفهانیون و هجاهم کما فی (لت- 2) و قال فی شاهد صادق إنه قتل فی 586 أو 589 و قال غیره 592 و ترجم أیضا فی تاریخ گزیده- ص 825 و (حسینی- ص 306) و (تش- ص 26) و (مسرت- ص 182) و (مع 1: 511) و فی (دجا- ص 325) أن دیوانه فی خمسة آلاف بیت و یوجد دیوانه عند دهخدا فی 3600 بیت و نسخه عند (الملک) و أخری بجامعة طهران برقم 1883 فیها تاریخ 861 و معه دیوانی ظهیر فاریابی و أثیر الدین الأومانی المذکور فی ص 54. و أخری عند (فخر الدین- 372) و له حبسیة طبع فی مجلة یادگار ج 2: ع 6: 55.</w:t>
      </w:r>
    </w:p>
    <w:p>
      <w:pPr>
        <w:pStyle w:val="Heading3"/>
      </w:pPr>
      <w:bookmarkStart w:id="8397" w:name="_Toc7093"/>
      <w:r>
        <w:t>6347- دیوان محب بلگرامی أو شعره‏</w:t>
      </w:r>
      <w:bookmarkEnd w:id="8397"/>
    </w:p>
    <w:p>
      <w:pPr>
        <w:pStyle w:val="BookText"/>
      </w:pPr>
      <w:r>
        <w:rPr>
          <w:rFonts w:ascii="IRNazanin" w:hAnsi="IRNazanin" w:eastAsia="IRNazanin" w:cs="IRNazanin"/>
          <w:lang w:bidi="fa-IR"/>
          <w:color w:val="111111"/>
          <w:sz w:val="28"/>
          <w:szCs w:val="28"/>
          <w:rtl/>
        </w:rPr>
        <w:t xml:space="preserve">و هو السید غلام نبی ابن غلام مصطفی من أمراء
</w:t>
      </w:r>
    </w:p>
    <w:p>
      <w:pPr>
        <w:sectPr>
          <w:footerReference w:type="default" r:id="rId978"/>
          <w:footnotePr>
            <w:numStart w:val="1"/>
            <w:numRestart w:val="eachPage"/>
          </w:footnotePr>
          <w:pgSz w:orient="portrait" w:w="11905.511811023622" w:h="16837.79527559055"/>
          <w:pgMar w:top="1440" w:right="1440" w:bottom="1440" w:left="1440" w:header="720" w:footer="720" w:gutter="0"/>
          <w:cols w:num="1" w:space="720"/>
        </w:sectPr>
      </w:pPr>
    </w:p>
    <w:bookmarkStart w:id="960" w:name="pg11704_122446"/>
    <w:bookmarkEnd w:id="960"/>
    <w:p>
      <w:pPr>
        <w:pStyle w:val="BookText"/>
      </w:pPr>
      <w:r>
        <w:rPr>
          <w:rFonts w:ascii="IRNazanin" w:hAnsi="IRNazanin" w:eastAsia="IRNazanin" w:cs="IRNazanin"/>
          <w:lang w:bidi="fa-IR"/>
          <w:color w:val="111111"/>
          <w:sz w:val="28"/>
          <w:szCs w:val="28"/>
          <w:rtl/>
        </w:rPr>
        <w:t xml:space="preserve">الهند و قتل فی حرب بنگاله فی 1165 ترجمه و أورد شعره فی (سرو- ص 338) و (نتایج- ص 662).</w:t>
      </w:r>
    </w:p>
    <w:p>
      <w:pPr>
        <w:pStyle w:val="Heading3"/>
      </w:pPr>
      <w:bookmarkStart w:id="8398" w:name="_Toc7094"/>
      <w:r>
        <w:t>6348- دیوان محبتی أو شعره‏</w:t>
      </w:r>
      <w:bookmarkEnd w:id="8398"/>
    </w:p>
    <w:p>
      <w:pPr>
        <w:pStyle w:val="BookText"/>
      </w:pPr>
      <w:r>
        <w:rPr>
          <w:rFonts w:ascii="IRNazanin" w:hAnsi="IRNazanin" w:eastAsia="IRNazanin" w:cs="IRNazanin"/>
          <w:lang w:bidi="fa-IR"/>
          <w:color w:val="111111"/>
          <w:sz w:val="28"/>
          <w:szCs w:val="28"/>
          <w:rtl/>
        </w:rPr>
        <w:t xml:space="preserve">و هو شاب لأحد لمحبته الشعر کما وصفه المیر علی شیر فی (قز مج 3- ص 258) و أورد مطلع غزله و فی (لط 3- ص 84) سماه محنتی.</w:t>
      </w:r>
    </w:p>
    <w:p>
      <w:pPr>
        <w:pStyle w:val="BookText"/>
      </w:pPr>
      <w:r>
        <w:rPr>
          <w:rFonts w:ascii="IRNazanin" w:hAnsi="IRNazanin" w:eastAsia="IRNazanin" w:cs="IRNazanin"/>
          <w:lang w:bidi="fa-IR"/>
          <w:color w:val="111111"/>
          <w:sz w:val="28"/>
          <w:szCs w:val="28"/>
          <w:rtl/>
        </w:rPr>
        <w:t xml:space="preserve">و فی (گلشن- ص 369) قال إنه یعرف بدیوانه.</w:t>
      </w:r>
    </w:p>
    <w:p>
      <w:pPr>
        <w:pStyle w:val="Heading3"/>
      </w:pPr>
      <w:bookmarkStart w:id="8399" w:name="_Toc7095"/>
      <w:r>
        <w:t>دیوان محبتی لاری أو شعره‏</w:t>
      </w:r>
      <w:bookmarkEnd w:id="8399"/>
    </w:p>
    <w:p>
      <w:pPr>
        <w:pStyle w:val="BookText"/>
      </w:pPr>
      <w:r>
        <w:rPr>
          <w:rFonts w:ascii="IRNazanin" w:hAnsi="IRNazanin" w:eastAsia="IRNazanin" w:cs="IRNazanin"/>
          <w:lang w:bidi="fa-IR"/>
          <w:color w:val="111111"/>
          <w:sz w:val="28"/>
          <w:szCs w:val="28"/>
          <w:rtl/>
        </w:rPr>
        <w:t xml:space="preserve">ترجمه و أورد شعره فی (گلشن- ص 369) و الظاهر اتحاده مع محبی لاری.</w:t>
      </w:r>
    </w:p>
    <w:p>
      <w:pPr>
        <w:pStyle w:val="Heading3"/>
      </w:pPr>
      <w:bookmarkStart w:id="8400" w:name="_Toc7096"/>
      <w:r>
        <w:t>6349- دیوان محب شیرازی أو شعره‏</w:t>
      </w:r>
      <w:bookmarkEnd w:id="8400"/>
    </w:p>
    <w:p>
      <w:pPr>
        <w:pStyle w:val="BookText"/>
      </w:pPr>
      <w:r>
        <w:rPr>
          <w:rFonts w:ascii="IRNazanin" w:hAnsi="IRNazanin" w:eastAsia="IRNazanin" w:cs="IRNazanin"/>
          <w:lang w:bidi="fa-IR"/>
          <w:color w:val="111111"/>
          <w:sz w:val="28"/>
          <w:szCs w:val="28"/>
          <w:rtl/>
        </w:rPr>
        <w:t xml:space="preserve">أورد شعره فی (گلشن- ص 370).</w:t>
      </w:r>
    </w:p>
    <w:p>
      <w:pPr>
        <w:pStyle w:val="Heading3"/>
      </w:pPr>
      <w:bookmarkStart w:id="8401" w:name="_Toc7097"/>
      <w:r>
        <w:t>6350- دیوان محب علی سندی‏</w:t>
      </w:r>
      <w:bookmarkEnd w:id="8401"/>
    </w:p>
    <w:p>
      <w:pPr>
        <w:pStyle w:val="BookText"/>
      </w:pPr>
      <w:r>
        <w:rPr>
          <w:rFonts w:ascii="IRNazanin" w:hAnsi="IRNazanin" w:eastAsia="IRNazanin" w:cs="IRNazanin"/>
          <w:lang w:bidi="fa-IR"/>
          <w:color w:val="111111"/>
          <w:sz w:val="28"/>
          <w:szCs w:val="28"/>
          <w:rtl/>
        </w:rPr>
        <w:t xml:space="preserve">ترجمه و أورد شعره فی مقالات الشعراء- ص 699 و (گلشن- ص 370) و قال إنه من شعراء صوبة نتر و فی (میخانه 2- ص 497) أنه کان ملازم خان خانان، و أورد من ساقی‏نامه له.</w:t>
      </w:r>
    </w:p>
    <w:p>
      <w:pPr>
        <w:pStyle w:val="Heading3"/>
      </w:pPr>
      <w:bookmarkStart w:id="8402" w:name="_Toc7098"/>
      <w:r>
        <w:t>6351- دیوان محب علی مشهدی أو شعره‏</w:t>
      </w:r>
      <w:bookmarkEnd w:id="8402"/>
    </w:p>
    <w:p>
      <w:pPr>
        <w:pStyle w:val="BookText"/>
      </w:pPr>
      <w:r>
        <w:rPr>
          <w:rFonts w:ascii="IRNazanin" w:hAnsi="IRNazanin" w:eastAsia="IRNazanin" w:cs="IRNazanin"/>
          <w:lang w:bidi="fa-IR"/>
          <w:color w:val="111111"/>
          <w:sz w:val="28"/>
          <w:szCs w:val="28"/>
          <w:rtl/>
        </w:rPr>
        <w:t xml:space="preserve">کان نقاشا. أورد شعره فی (مطلع 2: 442).</w:t>
      </w:r>
    </w:p>
    <w:p>
      <w:pPr>
        <w:pStyle w:val="Heading3"/>
      </w:pPr>
      <w:bookmarkStart w:id="8403" w:name="_Toc7099"/>
      <w:r>
        <w:t>6352- دیوان محب علی هروی أو شعره‏</w:t>
      </w:r>
      <w:bookmarkEnd w:id="8403"/>
    </w:p>
    <w:p>
      <w:pPr>
        <w:pStyle w:val="BookText"/>
      </w:pPr>
      <w:r>
        <w:rPr>
          <w:rFonts w:ascii="IRNazanin" w:hAnsi="IRNazanin" w:eastAsia="IRNazanin" w:cs="IRNazanin"/>
          <w:lang w:bidi="fa-IR"/>
          <w:color w:val="111111"/>
          <w:sz w:val="28"/>
          <w:szCs w:val="28"/>
          <w:rtl/>
        </w:rPr>
        <w:t xml:space="preserve">ترجمه معاصره فی (تس 4- ص 84) و أورد شعره و فی (گلشن- ص 369) سماه محب هروی و قال کان ماهرا فی العروض.</w:t>
      </w:r>
    </w:p>
    <w:p>
      <w:pPr>
        <w:pStyle w:val="Heading3"/>
      </w:pPr>
      <w:bookmarkStart w:id="8404" w:name="_Toc7100"/>
      <w:r>
        <w:t>دیوان محب هروی‏</w:t>
      </w:r>
      <w:bookmarkEnd w:id="8404"/>
    </w:p>
    <w:p>
      <w:pPr>
        <w:pStyle w:val="BookText"/>
      </w:pPr>
      <w:r>
        <w:rPr>
          <w:rFonts w:ascii="IRNazanin" w:hAnsi="IRNazanin" w:eastAsia="IRNazanin" w:cs="IRNazanin"/>
          <w:lang w:bidi="fa-IR"/>
          <w:color w:val="111111"/>
          <w:sz w:val="28"/>
          <w:szCs w:val="28"/>
          <w:rtl/>
        </w:rPr>
        <w:t xml:space="preserve">کما فی (گلشن- ص 369) راجع محب علی هروی.</w:t>
      </w:r>
    </w:p>
    <w:p>
      <w:pPr>
        <w:pStyle w:val="Heading3"/>
      </w:pPr>
      <w:bookmarkStart w:id="8405" w:name="_Toc7101"/>
      <w:r>
        <w:t>6353- دیوان محبی آذربایجانی‏</w:t>
      </w:r>
      <w:bookmarkEnd w:id="8405"/>
    </w:p>
    <w:p>
      <w:pPr>
        <w:pStyle w:val="BookText"/>
      </w:pPr>
      <w:r>
        <w:rPr>
          <w:rFonts w:ascii="IRNazanin" w:hAnsi="IRNazanin" w:eastAsia="IRNazanin" w:cs="IRNazanin"/>
          <w:lang w:bidi="fa-IR"/>
          <w:color w:val="111111"/>
          <w:sz w:val="28"/>
          <w:szCs w:val="28"/>
          <w:rtl/>
        </w:rPr>
        <w:t xml:space="preserve">ترجمه فی (دجا- ص 327) نقلا عن حدیقة الشعراء و قال إنه من شعراء القرن الثالث عشر.</w:t>
      </w:r>
    </w:p>
    <w:p>
      <w:pPr>
        <w:pStyle w:val="Heading3"/>
      </w:pPr>
      <w:bookmarkStart w:id="8406" w:name="_Toc7102"/>
      <w:r>
        <w:t>دیوان محبی بایسنقری‏</w:t>
      </w:r>
      <w:bookmarkEnd w:id="8406"/>
    </w:p>
    <w:p>
      <w:pPr>
        <w:pStyle w:val="BookText"/>
      </w:pPr>
      <w:r>
        <w:rPr>
          <w:rFonts w:ascii="IRNazanin" w:hAnsi="IRNazanin" w:eastAsia="IRNazanin" w:cs="IRNazanin"/>
          <w:lang w:bidi="fa-IR"/>
          <w:color w:val="111111"/>
          <w:sz w:val="28"/>
          <w:szCs w:val="28"/>
          <w:rtl/>
        </w:rPr>
        <w:t xml:space="preserve">کان ملازم بایسنقر میرزا ترجمه فی بعض نسخ مجالس النفائس و أورد شعره ص 20 و الظاهر أنه النیشابوری.</w:t>
      </w:r>
    </w:p>
    <w:p>
      <w:pPr>
        <w:pStyle w:val="Heading3"/>
      </w:pPr>
      <w:bookmarkStart w:id="8407" w:name="_Toc7103"/>
      <w:r>
        <w:t>6354- دیوان محبی بروجردی أو شعره‏</w:t>
      </w:r>
      <w:bookmarkEnd w:id="8407"/>
    </w:p>
    <w:p>
      <w:pPr>
        <w:pStyle w:val="BookText"/>
      </w:pPr>
      <w:r>
        <w:rPr>
          <w:rFonts w:ascii="IRNazanin" w:hAnsi="IRNazanin" w:eastAsia="IRNazanin" w:cs="IRNazanin"/>
          <w:lang w:bidi="fa-IR"/>
          <w:color w:val="111111"/>
          <w:sz w:val="28"/>
          <w:szCs w:val="28"/>
          <w:rtl/>
        </w:rPr>
        <w:t xml:space="preserve">ترجمه معاصره سام میرزا (تس 5- ص 168) و استحسن طبعه و أورد مطلع غزله.</w:t>
      </w:r>
    </w:p>
    <w:p>
      <w:pPr>
        <w:pStyle w:val="Heading3"/>
      </w:pPr>
      <w:bookmarkStart w:id="8408" w:name="_Toc7104"/>
      <w:r>
        <w:t>6355- دیوان محبی خواندکار أو شعره‏</w:t>
      </w:r>
      <w:bookmarkEnd w:id="8408"/>
    </w:p>
    <w:p>
      <w:pPr>
        <w:pStyle w:val="BookText"/>
      </w:pPr>
      <w:r>
        <w:rPr>
          <w:rFonts w:ascii="IRNazanin" w:hAnsi="IRNazanin" w:eastAsia="IRNazanin" w:cs="IRNazanin"/>
          <w:lang w:bidi="fa-IR"/>
          <w:color w:val="111111"/>
          <w:sz w:val="28"/>
          <w:szCs w:val="28"/>
          <w:rtl/>
        </w:rPr>
        <w:t xml:space="preserve">و هو السلطان سلیمان بن سلیم المولود 900 و الجالس 926 و المتوفی 974 بنی التوپخانات 933 و أجری عین عرفات 969 ترجمه الصادقی فی (خص 1- ص 14) و أورد شعره بالترکیة و مطلع غزله الفارسی.
</w:t>
      </w:r>
    </w:p>
    <w:p>
      <w:pPr>
        <w:sectPr>
          <w:footerReference w:type="default" r:id="rId979"/>
          <w:footnotePr>
            <w:numStart w:val="1"/>
            <w:numRestart w:val="eachPage"/>
          </w:footnotePr>
          <w:pgSz w:orient="portrait" w:w="11905.511811023622" w:h="16837.79527559055"/>
          <w:pgMar w:top="1440" w:right="1440" w:bottom="1440" w:left="1440" w:header="720" w:footer="720" w:gutter="0"/>
          <w:cols w:num="1" w:space="720"/>
        </w:sectPr>
      </w:pPr>
    </w:p>
    <w:bookmarkStart w:id="961" w:name="pg11704_122447"/>
    <w:bookmarkEnd w:id="961"/>
    <w:p>
      <w:pPr>
        <w:pStyle w:val="Heading3"/>
      </w:pPr>
      <w:bookmarkStart w:id="8409" w:name="_Toc7105"/>
      <w:r>
        <w:t>6356- دیوان محبی دهلوی أو شعره‏</w:t>
      </w:r>
      <w:bookmarkEnd w:id="8409"/>
    </w:p>
    <w:p>
      <w:pPr>
        <w:pStyle w:val="BookText"/>
      </w:pPr>
      <w:r>
        <w:rPr>
          <w:rFonts w:ascii="IRNazanin" w:hAnsi="IRNazanin" w:eastAsia="IRNazanin" w:cs="IRNazanin"/>
          <w:lang w:bidi="fa-IR"/>
          <w:color w:val="111111"/>
          <w:sz w:val="28"/>
          <w:szCs w:val="28"/>
          <w:rtl/>
        </w:rPr>
        <w:t xml:space="preserve">ترجمه و أورد شعره فی (گلشن- ص 370).</w:t>
      </w:r>
    </w:p>
    <w:p>
      <w:pPr>
        <w:pStyle w:val="Heading3"/>
      </w:pPr>
      <w:bookmarkStart w:id="8410" w:name="_Toc7106"/>
      <w:r>
        <w:t>6357- دیوان محبی لاری أو شعره‏</w:t>
      </w:r>
      <w:bookmarkEnd w:id="8410"/>
    </w:p>
    <w:p>
      <w:pPr>
        <w:pStyle w:val="BookText"/>
      </w:pPr>
      <w:r>
        <w:rPr>
          <w:rFonts w:ascii="IRNazanin" w:hAnsi="IRNazanin" w:eastAsia="IRNazanin" w:cs="IRNazanin"/>
          <w:lang w:bidi="fa-IR"/>
          <w:color w:val="111111"/>
          <w:sz w:val="28"/>
          <w:szCs w:val="28"/>
          <w:rtl/>
        </w:rPr>
        <w:t xml:space="preserve">ترجمه و أورد شعره فی (تش- ص 298) و (گلشن- ص 370). و قالوا جاء إلی شیراز و رجع و مات بلار و راجع محبتی لاری.</w:t>
      </w:r>
    </w:p>
    <w:p>
      <w:pPr>
        <w:pStyle w:val="Heading3"/>
      </w:pPr>
      <w:bookmarkStart w:id="8411" w:name="_Toc7107"/>
      <w:r>
        <w:t>6358- دیوان محبی نیشابوری أو شعره‏</w:t>
      </w:r>
      <w:bookmarkEnd w:id="8411"/>
    </w:p>
    <w:p>
      <w:pPr>
        <w:pStyle w:val="BookText"/>
      </w:pPr>
      <w:r>
        <w:rPr>
          <w:rFonts w:ascii="IRNazanin" w:hAnsi="IRNazanin" w:eastAsia="IRNazanin" w:cs="IRNazanin"/>
          <w:lang w:bidi="fa-IR"/>
          <w:color w:val="111111"/>
          <w:sz w:val="28"/>
          <w:szCs w:val="28"/>
          <w:rtl/>
        </w:rPr>
        <w:t xml:space="preserve">ترجمه مؤلف (مجتس 6- ص 161) و أورد بعض شعره و أحواله. و الظاهر أنه متحد مع محبی بایسنقری. المذکور.</w:t>
      </w:r>
    </w:p>
    <w:p>
      <w:pPr>
        <w:pStyle w:val="Heading3"/>
      </w:pPr>
      <w:bookmarkStart w:id="8412" w:name="_Toc7108"/>
      <w:r>
        <w:t>6359- دیوان محتاج چادگانی‏</w:t>
      </w:r>
      <w:bookmarkEnd w:id="8412"/>
    </w:p>
    <w:p>
      <w:pPr>
        <w:pStyle w:val="BookText"/>
      </w:pPr>
      <w:r>
        <w:rPr>
          <w:rFonts w:ascii="IRNazanin" w:hAnsi="IRNazanin" w:eastAsia="IRNazanin" w:cs="IRNazanin"/>
          <w:lang w:bidi="fa-IR"/>
          <w:color w:val="111111"/>
          <w:sz w:val="28"/>
          <w:szCs w:val="28"/>
          <w:rtl/>
        </w:rPr>
        <w:t xml:space="preserve">و هو المیرزا عزیز الله‏خانی بن محمد حسن.</w:t>
      </w:r>
    </w:p>
    <w:p>
      <w:pPr>
        <w:pStyle w:val="BookText"/>
      </w:pPr>
      <w:r>
        <w:rPr>
          <w:rFonts w:ascii="IRNazanin" w:hAnsi="IRNazanin" w:eastAsia="IRNazanin" w:cs="IRNazanin"/>
          <w:lang w:bidi="fa-IR"/>
          <w:color w:val="111111"/>
          <w:sz w:val="28"/>
          <w:szCs w:val="28"/>
          <w:rtl/>
        </w:rPr>
        <w:t xml:space="preserve">ولد بقریة چادگان بأصفهان فی 1292. کان یشتغل فی دفاتر الجیش ثم انتقل إلی وزارة المعارف بأصفهان و له دیوانان أحدهما بالفارسیة و الآخر باللهجة اللریة. کذا ترجمه فی شعرای معاصر أصفهان- ص 414.</w:t>
      </w:r>
    </w:p>
    <w:p>
      <w:pPr>
        <w:pStyle w:val="Heading3"/>
      </w:pPr>
      <w:bookmarkStart w:id="8413" w:name="_Toc7109"/>
      <w:r>
        <w:t>6360- دیوان محترم سمرقندی أو شعره‏</w:t>
      </w:r>
      <w:bookmarkEnd w:id="8413"/>
    </w:p>
    <w:p>
      <w:pPr>
        <w:pStyle w:val="BookText"/>
      </w:pPr>
      <w:r>
        <w:rPr>
          <w:rFonts w:ascii="IRNazanin" w:hAnsi="IRNazanin" w:eastAsia="IRNazanin" w:cs="IRNazanin"/>
          <w:lang w:bidi="fa-IR"/>
          <w:color w:val="111111"/>
          <w:sz w:val="28"/>
          <w:szCs w:val="28"/>
          <w:rtl/>
        </w:rPr>
        <w:t xml:space="preserve">و اسمه محمد هاشم. کان من شعراء جلال الدین أکبر شاه و یعرف بقصه‏خان و کان ملازم خان خانان کما فی (طبق 2: 510) و (گلشن- ص 371).</w:t>
      </w:r>
    </w:p>
    <w:p>
      <w:pPr>
        <w:pStyle w:val="Heading3"/>
      </w:pPr>
      <w:bookmarkStart w:id="8414" w:name="_Toc7110"/>
      <w:r>
        <w:t>دیوان محترم قصه‏خوان‏</w:t>
      </w:r>
      <w:bookmarkEnd w:id="8414"/>
    </w:p>
    <w:p>
      <w:pPr>
        <w:pStyle w:val="BookText"/>
      </w:pPr>
      <w:r>
        <w:rPr>
          <w:rFonts w:ascii="IRNazanin" w:hAnsi="IRNazanin" w:eastAsia="IRNazanin" w:cs="IRNazanin"/>
          <w:lang w:bidi="fa-IR"/>
          <w:color w:val="111111"/>
          <w:sz w:val="28"/>
          <w:szCs w:val="28"/>
          <w:rtl/>
        </w:rPr>
        <w:t xml:space="preserve">راجع محترم سمرقندی.</w:t>
      </w:r>
    </w:p>
    <w:p>
      <w:pPr>
        <w:pStyle w:val="Heading3"/>
      </w:pPr>
      <w:bookmarkStart w:id="8415" w:name="_Toc7111"/>
      <w:r>
        <w:t>6361- دیوان محترم مشهدی أو شعرها</w:t>
      </w:r>
      <w:bookmarkEnd w:id="8415"/>
    </w:p>
    <w:p>
      <w:pPr>
        <w:pStyle w:val="BookText"/>
      </w:pPr>
      <w:r>
        <w:rPr>
          <w:rFonts w:ascii="IRNazanin" w:hAnsi="IRNazanin" w:eastAsia="IRNazanin" w:cs="IRNazanin"/>
          <w:lang w:bidi="fa-IR"/>
          <w:color w:val="111111"/>
          <w:sz w:val="28"/>
          <w:szCs w:val="28"/>
          <w:rtl/>
        </w:rPr>
        <w:t xml:space="preserve">و اسمها پنجه بنت الملا علی المشهدی و زوجة المیر مرتضی الأریتمانی کذا وصفها و أورد شعرها فی (حسینی- ص 323).</w:t>
      </w:r>
    </w:p>
    <w:p>
      <w:pPr>
        <w:pStyle w:val="Heading3"/>
      </w:pPr>
      <w:bookmarkStart w:id="8416" w:name="_Toc7112"/>
      <w:r>
        <w:t>دیوان محتشم بدخشی أو شعره‏</w:t>
      </w:r>
      <w:bookmarkEnd w:id="8416"/>
    </w:p>
    <w:p>
      <w:pPr>
        <w:pStyle w:val="BookText"/>
      </w:pPr>
      <w:r>
        <w:rPr>
          <w:rFonts w:ascii="IRNazanin" w:hAnsi="IRNazanin" w:eastAsia="IRNazanin" w:cs="IRNazanin"/>
          <w:lang w:bidi="fa-IR"/>
          <w:color w:val="111111"/>
          <w:sz w:val="28"/>
          <w:szCs w:val="28"/>
          <w:rtl/>
        </w:rPr>
        <w:t xml:space="preserve">کما فی (نتایج- ص 195) راجع حشمت فی ص 256</w:t>
      </w:r>
    </w:p>
    <w:p>
      <w:pPr>
        <w:pStyle w:val="Heading3"/>
      </w:pPr>
      <w:bookmarkStart w:id="8417" w:name="_Toc7113"/>
      <w:r>
        <w:t>6362- دیوان محتشم قائنی أو شعره‏</w:t>
      </w:r>
      <w:bookmarkEnd w:id="8417"/>
    </w:p>
    <w:p>
      <w:pPr>
        <w:pStyle w:val="BookText"/>
      </w:pPr>
      <w:r>
        <w:rPr>
          <w:rFonts w:ascii="IRNazanin" w:hAnsi="IRNazanin" w:eastAsia="IRNazanin" w:cs="IRNazanin"/>
          <w:lang w:bidi="fa-IR"/>
          <w:color w:val="111111"/>
          <w:sz w:val="28"/>
          <w:szCs w:val="28"/>
          <w:rtl/>
        </w:rPr>
        <w:t xml:space="preserve">ترجمه النصرآبادی المولود 1027 فی (نر 10- ص 526) و یظهر منه أنه لم یدرکه و انما أدرک ولده المیرزا هادی المتوفی قبل تألیف التذکرة و هو والد المیرزا محتشم الآتی و قال إن المیر محتشم کان من أکابر قائن فی نهایة الفضل و الکمال و کان له ربط تام بالشعر و اللغة و المعمی و أورد بعض معمیاته باسم واسع و سلام و محمد حسن‏</w:t>
      </w:r>
    </w:p>
    <w:p>
      <w:pPr>
        <w:pStyle w:val="Heading3"/>
      </w:pPr>
      <w:bookmarkStart w:id="8418" w:name="_Toc7114"/>
      <w:r>
        <w:t>6363- دیوان محتشم قائنی أو شعره‏</w:t>
      </w:r>
      <w:bookmarkEnd w:id="8418"/>
    </w:p>
    <w:p>
      <w:pPr>
        <w:pStyle w:val="BookText"/>
      </w:pPr>
      <w:r>
        <w:rPr>
          <w:rFonts w:ascii="IRNazanin" w:hAnsi="IRNazanin" w:eastAsia="IRNazanin" w:cs="IRNazanin"/>
          <w:lang w:bidi="fa-IR"/>
          <w:color w:val="111111"/>
          <w:sz w:val="28"/>
          <w:szCs w:val="28"/>
          <w:rtl/>
        </w:rPr>
        <w:t xml:space="preserve">و هو ابن المیرزا هادی بن المیر محتشم القائنی ترجمه معاصره النصرآبادی فی (نر 5 و 15 ص 191 و ص 526) فی فرقة العلماء و الفضلاء
</w:t>
      </w:r>
    </w:p>
    <w:p>
      <w:pPr>
        <w:sectPr>
          <w:footerReference w:type="default" r:id="rId980"/>
          <w:footnotePr>
            <w:numStart w:val="1"/>
            <w:numRestart w:val="eachPage"/>
          </w:footnotePr>
          <w:pgSz w:orient="portrait" w:w="11905.511811023622" w:h="16837.79527559055"/>
          <w:pgMar w:top="1440" w:right="1440" w:bottom="1440" w:left="1440" w:header="720" w:footer="720" w:gutter="0"/>
          <w:cols w:num="1" w:space="720"/>
        </w:sectPr>
      </w:pPr>
    </w:p>
    <w:bookmarkStart w:id="962" w:name="pg11704_122448"/>
    <w:bookmarkEnd w:id="962"/>
    <w:p>
      <w:pPr>
        <w:pStyle w:val="BookText"/>
      </w:pPr>
      <w:r>
        <w:rPr>
          <w:rFonts w:ascii="IRNazanin" w:hAnsi="IRNazanin" w:eastAsia="IRNazanin" w:cs="IRNazanin"/>
          <w:lang w:bidi="fa-IR"/>
          <w:color w:val="111111"/>
          <w:sz w:val="28"/>
          <w:szCs w:val="28"/>
          <w:rtl/>
        </w:rPr>
        <w:t xml:space="preserve">و قال إن آباءه کلهم علماء فضلاء و عمه المیرزا کافی ابن المیر محتشم المذکور فی ص 903 کان فی عصره نظیر الشیخ البهائی مشهورا بالفضائل و کان المیرزا کافی مع فضله و علمه واجدا لحیثیات أخر مثل الشعر و الإنشاء و المعمی، و قد رأیت بخطه مجموعة دون فیها أشعار المعاصرین للشیخ السعدی و غیره و کتب فی حواشی الأشعار تحقیقات رشیقة فی حل معانیها لا یبلغ إلی فهمها الا الأوحدی و أما المیرزا محتشم فله حظ وافر من العلوم و لا سیما الهندسة و النجوم ثم أورد بعض شعره أقول و لعلهم من أحفاد إسماعیلیة قهستان‏</w:t>
      </w:r>
    </w:p>
    <w:p>
      <w:pPr>
        <w:pStyle w:val="Heading3"/>
      </w:pPr>
      <w:bookmarkStart w:id="8419" w:name="_Toc7115"/>
      <w:r>
        <w:t>6364- دیوان محتشم کاشانی‏</w:t>
      </w:r>
      <w:bookmarkEnd w:id="8419"/>
    </w:p>
    <w:p>
      <w:pPr>
        <w:pStyle w:val="BookText"/>
      </w:pPr>
      <w:r>
        <w:rPr>
          <w:rFonts w:ascii="IRNazanin" w:hAnsi="IRNazanin" w:eastAsia="IRNazanin" w:cs="IRNazanin"/>
          <w:lang w:bidi="fa-IR"/>
          <w:color w:val="111111"/>
          <w:sz w:val="28"/>
          <w:szCs w:val="28"/>
          <w:rtl/>
        </w:rPr>
        <w:t xml:space="preserve">ترجمه معاصره سام میرزا فی (تس 7- ص 190) و ذکر أنه بزاز و أورد شعره و ترجم فی (نر 13: 472) و (نتایج- ص 621) و (حسینی- ص 312) و (تش- ص 247) و (خص 8- ص 147) و ذکر أنه لم یخرج من کاشان و توفی بها و ترجم فی (خز- ص 404) و ذکر أنه نظم قصیدة فی مدح الشاه طهماسب أرسلها من کاشان بواسطة بنته پری خانم فقال السلطان أنا لا أرضی الا بمدح أهل البیت فنظم ترکیب بند فی المراثی و أرسلها إلی السلطان فنال منه جائزة لائقة و حکی عن تذکره ناظم التبریزی المؤلف 1036 أنه توفی محتشم 1000 و نقل عن ریاض الشعراء لواله الداغستانی مادة تاریخه (محتشم رود) و (رود محتشم) 996 و أورد منتخبا من دیوانه و ترجمه فی (مع ج 2 ص 36) و أورد مختارا من دیوانه و تمام دوازده بند من مراثیه الذی مر فی ج 8 ص 270 و ترجمه النصرآبادی فی (نر 13- ص 473) و أورد الرباعیات الستة التی یستخرج منها ألف و مائة و ثمانیة و عشرین تاریخا و قد شرحها وقار شیرازی و طبع فی مجلة أرمغان- ج 14 و 15 و 18 و مر دیوانه جامع اللطائف و قد طبع فی بمبئی و مر له جدلیة فی 5: 126 و قد طبع باسم علی بن أحمد المحتشم مع دیوانه و انتقد شعره فی تاریخ حزین- ص 14 و مر له دوازده بند و الصبائیة فی ج 15 ص 6 و له نقل عشاق ألفه فی 944 و عمره 31 سنة فولادته فی 913 یوجد عند الدکتور شایگان بطهران، و أخری فی المکتبة (الملیة) و أخری بمکتبة جامعة طهران و یوجد دیوانه عند (فخر الدین)</w:t>
      </w:r>
    </w:p>
    <w:p>
      <w:pPr>
        <w:pStyle w:val="Heading3"/>
      </w:pPr>
      <w:bookmarkStart w:id="8420" w:name="_Toc7116"/>
      <w:r>
        <w:t>6365- دیوان محجوب بروجردی‏</w:t>
      </w:r>
      <w:bookmarkEnd w:id="8420"/>
    </w:p>
    <w:p>
      <w:pPr>
        <w:pStyle w:val="BookText"/>
      </w:pPr>
      <w:r>
        <w:rPr>
          <w:rFonts w:ascii="IRNazanin" w:hAnsi="IRNazanin" w:eastAsia="IRNazanin" w:cs="IRNazanin"/>
          <w:lang w:bidi="fa-IR"/>
          <w:color w:val="111111"/>
          <w:sz w:val="28"/>
          <w:szCs w:val="28"/>
          <w:rtl/>
        </w:rPr>
        <w:t xml:space="preserve">العالم الواعظ الحاج مولی حسین المعاصر
</w:t>
      </w:r>
    </w:p>
    <w:p>
      <w:pPr>
        <w:sectPr>
          <w:footerReference w:type="default" r:id="rId981"/>
          <w:footnotePr>
            <w:numStart w:val="1"/>
            <w:numRestart w:val="eachPage"/>
          </w:footnotePr>
          <w:pgSz w:orient="portrait" w:w="11905.511811023622" w:h="16837.79527559055"/>
          <w:pgMar w:top="1440" w:right="1440" w:bottom="1440" w:left="1440" w:header="720" w:footer="720" w:gutter="0"/>
          <w:cols w:num="1" w:space="720"/>
        </w:sectPr>
      </w:pPr>
    </w:p>
    <w:bookmarkStart w:id="963" w:name="pg11704_122449"/>
    <w:bookmarkEnd w:id="963"/>
    <w:p>
      <w:pPr>
        <w:pStyle w:val="BookText"/>
      </w:pPr>
      <w:r>
        <w:rPr>
          <w:rFonts w:ascii="IRNazanin" w:hAnsi="IRNazanin" w:eastAsia="IRNazanin" w:cs="IRNazanin"/>
          <w:lang w:bidi="fa-IR"/>
          <w:color w:val="111111"/>
          <w:sz w:val="28"/>
          <w:szCs w:val="28"/>
          <w:rtl/>
        </w:rPr>
        <w:t xml:space="preserve">للحاج میرزا محمود شارح الدرة الذی توفی 1300 و توفی المحجوب قبله بسنتین و دفن بوادی السلام قرب مزار هود و صالح له مجالس المواعظ و دیوانه فی المدائح و المراثی و غیرهما انتقل إلی ابنه الواعظ المولی أبی الحسن المتوفی 1349 فانتقل إلی ابنه المحدث الشیخ محمد حسین المعاصر</w:t>
      </w:r>
    </w:p>
    <w:p>
      <w:pPr>
        <w:pStyle w:val="Heading3"/>
      </w:pPr>
      <w:bookmarkStart w:id="8421" w:name="_Toc7117"/>
      <w:r>
        <w:t>6366- دیوان محجوب تبریزی أو شعره‏</w:t>
      </w:r>
      <w:bookmarkEnd w:id="8421"/>
    </w:p>
    <w:p>
      <w:pPr>
        <w:pStyle w:val="BookText"/>
      </w:pPr>
      <w:r>
        <w:rPr>
          <w:rFonts w:ascii="IRNazanin" w:hAnsi="IRNazanin" w:eastAsia="IRNazanin" w:cs="IRNazanin"/>
          <w:lang w:bidi="fa-IR"/>
          <w:color w:val="111111"/>
          <w:sz w:val="28"/>
          <w:szCs w:val="28"/>
          <w:rtl/>
        </w:rPr>
        <w:t xml:space="preserve">ترجمه فی (دجا- ص 327) و أورد شعره نقلا عن سفینه نظم و نثر المؤلف 1249</w:t>
      </w:r>
    </w:p>
    <w:p>
      <w:pPr>
        <w:pStyle w:val="Heading3"/>
      </w:pPr>
      <w:bookmarkStart w:id="8422" w:name="_Toc7118"/>
      <w:r>
        <w:t>6367- دیوان محجوب ترشیزی‏</w:t>
      </w:r>
      <w:bookmarkEnd w:id="8422"/>
    </w:p>
    <w:p>
      <w:pPr>
        <w:pStyle w:val="BookText"/>
      </w:pPr>
      <w:r>
        <w:rPr>
          <w:rFonts w:ascii="IRNazanin" w:hAnsi="IRNazanin" w:eastAsia="IRNazanin" w:cs="IRNazanin"/>
          <w:lang w:bidi="fa-IR"/>
          <w:color w:val="111111"/>
          <w:sz w:val="28"/>
          <w:szCs w:val="28"/>
          <w:rtl/>
        </w:rPr>
        <w:t xml:space="preserve">المیرزا مرتضی بن عبد الله خان المتخلص بشهاب المذکور فی 553 ترجمه فی (مع- ج 2- ص 487) و ذکر معاشرته معه سنتین سفرا و حضرا و لم یر منه ما یکرهه و قال له قصائد کثیرة و غزلیات حسنة و أورد بعض شعره قال و حج فی آخر عمره و لما رجع من طریق البحر مرض فی السفینة و بها توفی و ترجمه فی (ض- ص 536) و ذکر أنه نزل إلی الهند أخیرا و له شعر کثیر لم یجمعه بنفسه و ترجمه فی (طرائق- ج 3 ص 110) و أورد رباعیاته‏</w:t>
      </w:r>
    </w:p>
    <w:p>
      <w:pPr>
        <w:pStyle w:val="Heading3"/>
      </w:pPr>
      <w:bookmarkStart w:id="8423" w:name="_Toc7119"/>
      <w:r>
        <w:t>6368- دیوان محرم أصفهانی‏</w:t>
      </w:r>
      <w:bookmarkEnd w:id="8423"/>
    </w:p>
    <w:p>
      <w:pPr>
        <w:pStyle w:val="BookText"/>
      </w:pPr>
      <w:r>
        <w:rPr>
          <w:rFonts w:ascii="IRNazanin" w:hAnsi="IRNazanin" w:eastAsia="IRNazanin" w:cs="IRNazanin"/>
          <w:lang w:bidi="fa-IR"/>
          <w:color w:val="111111"/>
          <w:sz w:val="28"/>
          <w:szCs w:val="28"/>
          <w:rtl/>
        </w:rPr>
        <w:t xml:space="preserve">و اسمه محمد علی بن محمد هاشم زرگر (الصائغ) ابن محمد صالح اللؤلؤی کان ساکن شیراز و مصاحب داوری شیرازی ابن وصال هاجر من أصفهان إلی یزد و ولد له هناک عبد الوهاب الآتی، و مات بها توجد دیوانه عند مجتبی مرتضوی شیرازی کما نقل عنها و وصفها فی مجلة یغما العدد 136 ص 374 لسنة 1338 ش قال کتبت النسخة فی 1252 فی شیراز و ترجم أحواله فی (مع 2: 445) و (فارس‏نامه 2: 151) و (عم: ص 537) و مجمع محمودی و میکده و حدیقة الشعراء و فی گنج شایگان سماه علی محمد</w:t>
      </w:r>
    </w:p>
    <w:p>
      <w:pPr>
        <w:pStyle w:val="Heading3"/>
      </w:pPr>
      <w:bookmarkStart w:id="8424" w:name="_Toc7120"/>
      <w:r>
        <w:t>6369- دیوان محرم جغتائی أو شعره‏</w:t>
      </w:r>
      <w:bookmarkEnd w:id="8424"/>
    </w:p>
    <w:p>
      <w:pPr>
        <w:pStyle w:val="BookText"/>
      </w:pPr>
      <w:r>
        <w:rPr>
          <w:rFonts w:ascii="IRNazanin" w:hAnsi="IRNazanin" w:eastAsia="IRNazanin" w:cs="IRNazanin"/>
          <w:lang w:bidi="fa-IR"/>
          <w:color w:val="111111"/>
          <w:sz w:val="28"/>
          <w:szCs w:val="28"/>
          <w:rtl/>
        </w:rPr>
        <w:t xml:space="preserve">ترجمه و أورد شعره فی (گلشن- ص 271)</w:t>
      </w:r>
    </w:p>
    <w:p>
      <w:pPr>
        <w:pStyle w:val="Heading3"/>
      </w:pPr>
      <w:bookmarkStart w:id="8425" w:name="_Toc7121"/>
      <w:r>
        <w:t>6370- دیوان محرم جهرمی‏</w:t>
      </w:r>
      <w:bookmarkEnd w:id="8425"/>
    </w:p>
    <w:p>
      <w:pPr>
        <w:pStyle w:val="BookText"/>
      </w:pPr>
      <w:r>
        <w:rPr>
          <w:rFonts w:ascii="IRNazanin" w:hAnsi="IRNazanin" w:eastAsia="IRNazanin" w:cs="IRNazanin"/>
          <w:lang w:bidi="fa-IR"/>
          <w:color w:val="111111"/>
          <w:sz w:val="28"/>
          <w:szCs w:val="28"/>
          <w:rtl/>
        </w:rPr>
        <w:t xml:space="preserve">و اسمه حسین علی بن محمد قاسم بیگ الأفشار من ملازمی خدمة فتح علی شاه ترجمه فی (مع: ج 2- ص 487) و أورد شعره کان شاعرا بالفارسیة و الترکیة و موسیقارا فی بلاط الشاه بعد مجیئه من شیراز إلی طهران ترجمه فی نگارستان دارا و مرآة الفصاحة و مجلة یغما لسنة 1338 ش ص 457</w:t>
      </w:r>
    </w:p>
    <w:p>
      <w:pPr>
        <w:pStyle w:val="Heading3"/>
      </w:pPr>
      <w:bookmarkStart w:id="8426" w:name="_Toc7122"/>
      <w:r>
        <w:t>6371- دیوان محرم شیرازی‏</w:t>
      </w:r>
      <w:bookmarkEnd w:id="8426"/>
    </w:p>
    <w:p>
      <w:pPr>
        <w:pStyle w:val="BookText"/>
      </w:pPr>
      <w:r>
        <w:rPr>
          <w:rFonts w:ascii="IRNazanin" w:hAnsi="IRNazanin" w:eastAsia="IRNazanin" w:cs="IRNazanin"/>
          <w:lang w:bidi="fa-IR"/>
          <w:color w:val="111111"/>
          <w:sz w:val="28"/>
          <w:szCs w:val="28"/>
          <w:rtl/>
        </w:rPr>
        <w:t xml:space="preserve">الآقا ضیاء الدین علی محمد بن العالم نور الدین محمد
</w:t>
      </w:r>
    </w:p>
    <w:p>
      <w:pPr>
        <w:sectPr>
          <w:footerReference w:type="default" r:id="rId982"/>
          <w:footnotePr>
            <w:numStart w:val="1"/>
            <w:numRestart w:val="eachPage"/>
          </w:footnotePr>
          <w:pgSz w:orient="portrait" w:w="11905.511811023622" w:h="16837.79527559055"/>
          <w:pgMar w:top="1440" w:right="1440" w:bottom="1440" w:left="1440" w:header="720" w:footer="720" w:gutter="0"/>
          <w:cols w:num="1" w:space="720"/>
        </w:sectPr>
      </w:pPr>
    </w:p>
    <w:bookmarkStart w:id="964" w:name="pg11704_122450"/>
    <w:bookmarkEnd w:id="964"/>
    <w:p>
      <w:pPr>
        <w:pStyle w:val="BookText"/>
      </w:pPr>
      <w:r>
        <w:rPr>
          <w:rFonts w:ascii="IRNazanin" w:hAnsi="IRNazanin" w:eastAsia="IRNazanin" w:cs="IRNazanin"/>
          <w:lang w:bidi="fa-IR"/>
          <w:color w:val="111111"/>
          <w:sz w:val="28"/>
          <w:szCs w:val="28"/>
          <w:rtl/>
        </w:rPr>
        <w:t xml:space="preserve">من أحفاد شاه‏رخ و أسباط الصفویة ترجمه فی (ض- ص 492) و قال إن له شعر کثیر لم یدونه و فی 1265 ذهب من شیراز إلی العراق و دیوانه فی عشرة آلاف بیت کما فصل خصوصیاته فی مجلة یغما لسنة 1338 ص 457</w:t>
      </w:r>
    </w:p>
    <w:p>
      <w:pPr>
        <w:pStyle w:val="Heading3"/>
      </w:pPr>
      <w:bookmarkStart w:id="8427" w:name="_Toc7123"/>
      <w:r>
        <w:t>6372- دیوان محرم یزدی‏</w:t>
      </w:r>
      <w:bookmarkEnd w:id="8427"/>
    </w:p>
    <w:p>
      <w:pPr>
        <w:pStyle w:val="BookText"/>
      </w:pPr>
      <w:r>
        <w:rPr>
          <w:rFonts w:ascii="IRNazanin" w:hAnsi="IRNazanin" w:eastAsia="IRNazanin" w:cs="IRNazanin"/>
          <w:lang w:bidi="fa-IR"/>
          <w:color w:val="111111"/>
          <w:sz w:val="28"/>
          <w:szCs w:val="28"/>
          <w:rtl/>
        </w:rPr>
        <w:t xml:space="preserve">المیرزا عبد الوهاب بن المیرزا محمد علی النسخ‏نویس ابن آقا محمد هاشم الصائغ الأصفهانی المذکور اشتغل بالعلوم حتی أکملها و کان طبع شعره موروثا من والده الذی کان یتخلص بمحرم فأراد إحیاء تخلص والده فجعل تخلصه محرم و زار العراق و توقف برهة بکرمانشاه، ثم نزل إلی طهران و اتصل بالأدباء و مدح السلطان فتح علی شاه و تقرب عنده فلقب ملک الشعراء و فی الأخیر جعل مدائحه لأهل البیت و أکثر من المراثی للحسین اختصرنا ترجمته من (مع: ج 2 ص 457) فإنه أورد قرب ثلاثمائة بیت من مدیحه و رثائه و له تاریخ الفراغ من مجمع الفصحاء بقصیدة موشحة طبعت فی آخرها ج 2 ص 678 و فرغ من نظم فرهنگ خداپرستی فی المراثی و شرح أحوال الطف 1277 و قد طبع 1281 مع تقریظات کثیرة من العلماء و الشعراء و ترجم فی (المآثر- 214) و نمونه خطوط خوش و المدائح المعتمدیة و فی گنج شایگان المطبوع 1272 سما والده علی محمد غلطا</w:t>
      </w:r>
    </w:p>
    <w:p>
      <w:pPr>
        <w:pStyle w:val="Heading3"/>
      </w:pPr>
      <w:bookmarkStart w:id="8428" w:name="_Toc7124"/>
      <w:r>
        <w:t>6373- دیوان محرمی أردبیلی أو شعره‏</w:t>
      </w:r>
      <w:bookmarkEnd w:id="8428"/>
    </w:p>
    <w:p>
      <w:pPr>
        <w:pStyle w:val="BookText"/>
      </w:pPr>
      <w:r>
        <w:rPr>
          <w:rFonts w:ascii="IRNazanin" w:hAnsi="IRNazanin" w:eastAsia="IRNazanin" w:cs="IRNazanin"/>
          <w:lang w:bidi="fa-IR"/>
          <w:color w:val="111111"/>
          <w:sz w:val="28"/>
          <w:szCs w:val="28"/>
          <w:rtl/>
        </w:rPr>
        <w:t xml:space="preserve">کان من أهل الفضل و یجالس الظرفاء ترجمه الصادقی فی (خص 8- ص 234) و أورد شعره‏</w:t>
      </w:r>
    </w:p>
    <w:p>
      <w:pPr>
        <w:pStyle w:val="Heading3"/>
      </w:pPr>
      <w:bookmarkStart w:id="8429" w:name="_Toc7125"/>
      <w:r>
        <w:t>6374- دیوان محرمی أسترآبادی أو شعره‏</w:t>
      </w:r>
      <w:bookmarkEnd w:id="8429"/>
    </w:p>
    <w:p>
      <w:pPr>
        <w:pStyle w:val="BookText"/>
      </w:pPr>
      <w:r>
        <w:rPr>
          <w:rFonts w:ascii="IRNazanin" w:hAnsi="IRNazanin" w:eastAsia="IRNazanin" w:cs="IRNazanin"/>
          <w:lang w:bidi="fa-IR"/>
          <w:color w:val="111111"/>
          <w:sz w:val="28"/>
          <w:szCs w:val="28"/>
          <w:rtl/>
        </w:rPr>
        <w:t xml:space="preserve">من المتعینین من أهل الفضل فی أسترآباد و عم الخواجة منصور ترجمه فی (مجن 3: ص 87 و ص 261) و أورد شعره‏</w:t>
      </w:r>
    </w:p>
    <w:p>
      <w:pPr>
        <w:pStyle w:val="Heading3"/>
      </w:pPr>
      <w:bookmarkStart w:id="8430" w:name="_Toc7126"/>
      <w:r>
        <w:t>6375- دیوان محرمی میر شکار أو شعره‏</w:t>
      </w:r>
      <w:bookmarkEnd w:id="8430"/>
    </w:p>
    <w:p>
      <w:pPr>
        <w:pStyle w:val="BookText"/>
      </w:pPr>
      <w:r>
        <w:rPr>
          <w:rFonts w:ascii="IRNazanin" w:hAnsi="IRNazanin" w:eastAsia="IRNazanin" w:cs="IRNazanin"/>
          <w:lang w:bidi="fa-IR"/>
          <w:color w:val="111111"/>
          <w:sz w:val="28"/>
          <w:szCs w:val="28"/>
          <w:rtl/>
        </w:rPr>
        <w:t xml:space="preserve">ترجمه معاصره فی (مجتس 6- ص 169) و ذکر أنه من الترک و أورد رباعیته بالفارسیة و فی (گلشن- ص 371) عده من شعراء السلطان حسین میرزا</w:t>
      </w:r>
    </w:p>
    <w:p>
      <w:pPr>
        <w:pStyle w:val="Heading3"/>
      </w:pPr>
      <w:bookmarkStart w:id="8431" w:name="_Toc7127"/>
      <w:r>
        <w:t>6376- دیوان محروم رازی أو شعره‏</w:t>
      </w:r>
      <w:bookmarkEnd w:id="8431"/>
    </w:p>
    <w:p>
      <w:pPr>
        <w:pStyle w:val="BookText"/>
      </w:pPr>
      <w:r>
        <w:rPr>
          <w:rFonts w:ascii="IRNazanin" w:hAnsi="IRNazanin" w:eastAsia="IRNazanin" w:cs="IRNazanin"/>
          <w:lang w:bidi="fa-IR"/>
          <w:color w:val="111111"/>
          <w:sz w:val="28"/>
          <w:szCs w:val="28"/>
          <w:rtl/>
        </w:rPr>
        <w:t xml:space="preserve">و هو أبو تراب أخ القاضی أسیری من الطلاب ترجمه و أورد شعره فی (خص 6- ص 87)</w:t>
      </w:r>
    </w:p>
    <w:p>
      <w:pPr>
        <w:pStyle w:val="Heading3"/>
      </w:pPr>
      <w:bookmarkStart w:id="8432" w:name="_Toc7128"/>
      <w:r>
        <w:t>6377- دیوان محزون‏</w:t>
      </w:r>
      <w:bookmarkEnd w:id="8432"/>
    </w:p>
    <w:p>
      <w:pPr>
        <w:pStyle w:val="BookText"/>
      </w:pPr>
      <w:r>
        <w:rPr>
          <w:rFonts w:ascii="IRNazanin" w:hAnsi="IRNazanin" w:eastAsia="IRNazanin" w:cs="IRNazanin"/>
          <w:lang w:bidi="fa-IR"/>
          <w:color w:val="111111"/>
          <w:sz w:val="28"/>
          <w:szCs w:val="28"/>
          <w:rtl/>
        </w:rPr>
        <w:t xml:space="preserve">فارسی مطبوع بإیران للمولی رضا بن المولی محمد الرشتی المتوفی بعد الثلاثمائة و الألف‏
</w:t>
      </w:r>
    </w:p>
    <w:p>
      <w:pPr>
        <w:sectPr>
          <w:footerReference w:type="default" r:id="rId983"/>
          <w:footnotePr>
            <w:numStart w:val="1"/>
            <w:numRestart w:val="eachPage"/>
          </w:footnotePr>
          <w:pgSz w:orient="portrait" w:w="11905.511811023622" w:h="16837.79527559055"/>
          <w:pgMar w:top="1440" w:right="1440" w:bottom="1440" w:left="1440" w:header="720" w:footer="720" w:gutter="0"/>
          <w:cols w:num="1" w:space="720"/>
        </w:sectPr>
      </w:pPr>
    </w:p>
    <w:bookmarkStart w:id="965" w:name="pg11704_122451"/>
    <w:bookmarkEnd w:id="965"/>
    <w:p>
      <w:pPr>
        <w:pStyle w:val="Heading3"/>
      </w:pPr>
      <w:bookmarkStart w:id="8433" w:name="_Toc7129"/>
      <w:r>
        <w:t>6378- دیوان محزون أو شعره‏</w:t>
      </w:r>
      <w:bookmarkEnd w:id="8433"/>
    </w:p>
    <w:p>
      <w:pPr>
        <w:pStyle w:val="BookText"/>
      </w:pPr>
      <w:r>
        <w:rPr>
          <w:rFonts w:ascii="IRNazanin" w:hAnsi="IRNazanin" w:eastAsia="IRNazanin" w:cs="IRNazanin"/>
          <w:lang w:bidi="fa-IR"/>
          <w:color w:val="111111"/>
          <w:sz w:val="28"/>
          <w:szCs w:val="28"/>
          <w:rtl/>
        </w:rPr>
        <w:t xml:space="preserve">و اسمه محمد هاشم أورد شعره فی (گلشن- ص 373)</w:t>
      </w:r>
    </w:p>
    <w:p>
      <w:pPr>
        <w:pStyle w:val="Heading3"/>
      </w:pPr>
      <w:bookmarkStart w:id="8434" w:name="_Toc7130"/>
      <w:r>
        <w:t>6379- دیوان محزون أسدآبادی‏</w:t>
      </w:r>
      <w:bookmarkEnd w:id="8434"/>
    </w:p>
    <w:p>
      <w:pPr>
        <w:pStyle w:val="BookText"/>
      </w:pPr>
      <w:r>
        <w:rPr>
          <w:rFonts w:ascii="IRNazanin" w:hAnsi="IRNazanin" w:eastAsia="IRNazanin" w:cs="IRNazanin"/>
          <w:lang w:bidi="fa-IR"/>
          <w:color w:val="111111"/>
          <w:sz w:val="28"/>
          <w:szCs w:val="28"/>
          <w:rtl/>
        </w:rPr>
        <w:t xml:space="preserve">و هو المیرزا لطف الله بن الحسین المستوفی ابن حبیب الله بن مهدی بن حسین المستوفی و أم الشاعر کانت أخت السید جمال الدین الأسدآبادی المعروف بالأفغانی و اسمها طیبة بیگم ولد محزون فی الجمعة 22 ع 1- 1273 فی أسدآباد همدان و توفی فی 12 رمضان و حمل جثمانه إلی النجف طبع له رسالة فی العروض و مثنوی صفائیة فی مجلد بطهران فی 1375 فی 274 ص و شرح حال و آثار فیلسوف إسلام و شرق فی أحوال خاله السید جمال المذکور طبع بتبریز فی 1366 و دیوانه یشتمل علی الغزل و مخمسات و قطعات بمناسبة إعدام المیرزا رضا الکرمانی قاتل ناصر الدین شاه و غیرها</w:t>
      </w:r>
    </w:p>
    <w:p>
      <w:pPr>
        <w:pStyle w:val="Heading3"/>
      </w:pPr>
      <w:bookmarkStart w:id="8435" w:name="_Toc7131"/>
      <w:r>
        <w:t>6380- دیوان محزون أصفهانی‏</w:t>
      </w:r>
      <w:bookmarkEnd w:id="8435"/>
    </w:p>
    <w:p>
      <w:pPr>
        <w:pStyle w:val="BookText"/>
      </w:pPr>
      <w:r>
        <w:rPr>
          <w:rFonts w:ascii="IRNazanin" w:hAnsi="IRNazanin" w:eastAsia="IRNazanin" w:cs="IRNazanin"/>
          <w:lang w:bidi="fa-IR"/>
          <w:color w:val="111111"/>
          <w:sz w:val="28"/>
          <w:szCs w:val="28"/>
          <w:rtl/>
        </w:rPr>
        <w:t xml:space="preserve">و هو الحاج عبد المحمود بن حیدر علی ولد بأصفهان فی 26 ذی الحجة 1301 طبع دیوانه باسم جنگل و عروج النبی فی المعراج و گنج عیش و فضائح الأفعال طبع فی 1344 و منظومة نصائح الزمان و رسائل کنز المثال و بدائع البیان ترجمه فی شعرای معاصر أصفهان- ص 416</w:t>
      </w:r>
    </w:p>
    <w:p>
      <w:pPr>
        <w:pStyle w:val="Heading3"/>
      </w:pPr>
      <w:bookmarkStart w:id="8436" w:name="_Toc7132"/>
      <w:r>
        <w:t>6381- دیوان محزون بلگرامی أو شعره‏</w:t>
      </w:r>
      <w:bookmarkEnd w:id="8436"/>
    </w:p>
    <w:p>
      <w:pPr>
        <w:pStyle w:val="BookText"/>
      </w:pPr>
      <w:r>
        <w:rPr>
          <w:rFonts w:ascii="IRNazanin" w:hAnsi="IRNazanin" w:eastAsia="IRNazanin" w:cs="IRNazanin"/>
          <w:lang w:bidi="fa-IR"/>
          <w:color w:val="111111"/>
          <w:sz w:val="28"/>
          <w:szCs w:val="28"/>
          <w:rtl/>
        </w:rPr>
        <w:t xml:space="preserve">هو من أولاد السید محمود أصغر الهندی أورد شعره فی (سرو- ص 351)</w:t>
      </w:r>
    </w:p>
    <w:p>
      <w:pPr>
        <w:pStyle w:val="Heading3"/>
      </w:pPr>
      <w:bookmarkStart w:id="8437" w:name="_Toc7133"/>
      <w:r>
        <w:t>6382- دیوان محزون سدهی‏</w:t>
      </w:r>
      <w:bookmarkEnd w:id="8437"/>
    </w:p>
    <w:p>
      <w:pPr>
        <w:pStyle w:val="BookText"/>
      </w:pPr>
      <w:r>
        <w:rPr>
          <w:rFonts w:ascii="IRNazanin" w:hAnsi="IRNazanin" w:eastAsia="IRNazanin" w:cs="IRNazanin"/>
          <w:lang w:bidi="fa-IR"/>
          <w:color w:val="111111"/>
          <w:sz w:val="28"/>
          <w:szCs w:val="28"/>
          <w:rtl/>
        </w:rPr>
        <w:t xml:space="preserve">و هو السید محمد باقر من أهل فروشان و سده بأصفهان و إمام الجماعة بها و توفی هناک 1367 و دیوانه یسمی کتاب محزون ترجمه و أورد شعره فی شعرای معاصر أصفهان- ص 415</w:t>
      </w:r>
    </w:p>
    <w:p>
      <w:pPr>
        <w:pStyle w:val="Heading3"/>
      </w:pPr>
      <w:bookmarkStart w:id="8438" w:name="_Toc7134"/>
      <w:r>
        <w:t>6383- دیوان محزون صدیقی أو شعره‏</w:t>
      </w:r>
      <w:bookmarkEnd w:id="8438"/>
    </w:p>
    <w:p>
      <w:pPr>
        <w:pStyle w:val="BookText"/>
      </w:pPr>
      <w:r>
        <w:rPr>
          <w:rFonts w:ascii="IRNazanin" w:hAnsi="IRNazanin" w:eastAsia="IRNazanin" w:cs="IRNazanin"/>
          <w:lang w:bidi="fa-IR"/>
          <w:color w:val="111111"/>
          <w:sz w:val="28"/>
          <w:szCs w:val="28"/>
          <w:rtl/>
        </w:rPr>
        <w:t xml:space="preserve">و هو المولوی عبد الرحمن الهندی الواعظ المتوفی 1274 ترجمه و أورد شعره فی (گلشن- ص 371)</w:t>
      </w:r>
    </w:p>
    <w:p>
      <w:pPr>
        <w:pStyle w:val="Heading3"/>
      </w:pPr>
      <w:bookmarkStart w:id="8439" w:name="_Toc7135"/>
      <w:r>
        <w:t>دیوان محزون همدانی‏</w:t>
      </w:r>
      <w:bookmarkEnd w:id="8439"/>
    </w:p>
    <w:p>
      <w:pPr>
        <w:pStyle w:val="BookText"/>
      </w:pPr>
      <w:r>
        <w:rPr>
          <w:rFonts w:ascii="IRNazanin" w:hAnsi="IRNazanin" w:eastAsia="IRNazanin" w:cs="IRNazanin"/>
          <w:lang w:bidi="fa-IR"/>
          <w:color w:val="111111"/>
          <w:sz w:val="28"/>
          <w:szCs w:val="28"/>
          <w:rtl/>
        </w:rPr>
        <w:t xml:space="preserve">راجع محزون أسدآبادی‏</w:t>
      </w:r>
    </w:p>
    <w:p>
      <w:pPr>
        <w:pStyle w:val="Heading3"/>
      </w:pPr>
      <w:bookmarkStart w:id="8440" w:name="_Toc7136"/>
      <w:r>
        <w:t>6384- دیوان محزون همدانی أو شعره‏</w:t>
      </w:r>
      <w:bookmarkEnd w:id="8440"/>
    </w:p>
    <w:p>
      <w:pPr>
        <w:pStyle w:val="BookText"/>
      </w:pPr>
      <w:r>
        <w:rPr>
          <w:rFonts w:ascii="IRNazanin" w:hAnsi="IRNazanin" w:eastAsia="IRNazanin" w:cs="IRNazanin"/>
          <w:lang w:bidi="fa-IR"/>
          <w:color w:val="111111"/>
          <w:sz w:val="28"/>
          <w:szCs w:val="28"/>
          <w:rtl/>
        </w:rPr>
        <w:t xml:space="preserve">ترجمه معاصره فی (تس 5- ص 144) و قال إنه عارف بالسیاق‏</w:t>
      </w:r>
    </w:p>
    <w:p>
      <w:pPr>
        <w:pStyle w:val="Heading3"/>
      </w:pPr>
      <w:bookmarkStart w:id="8441" w:name="_Toc7137"/>
      <w:r>
        <w:t>دیوان محسن بن سمیع‏</w:t>
      </w:r>
      <w:bookmarkEnd w:id="8441"/>
    </w:p>
    <w:p>
      <w:pPr>
        <w:pStyle w:val="BookText"/>
      </w:pPr>
      <w:r>
        <w:rPr>
          <w:rFonts w:ascii="IRNazanin" w:hAnsi="IRNazanin" w:eastAsia="IRNazanin" w:cs="IRNazanin"/>
          <w:lang w:bidi="fa-IR"/>
          <w:color w:val="111111"/>
          <w:sz w:val="28"/>
          <w:szCs w:val="28"/>
          <w:rtl/>
        </w:rPr>
        <w:t xml:space="preserve">راجع دیوان معلم قاری‏
</w:t>
      </w:r>
    </w:p>
    <w:p>
      <w:pPr>
        <w:sectPr>
          <w:footerReference w:type="default" r:id="rId984"/>
          <w:footnotePr>
            <w:numStart w:val="1"/>
            <w:numRestart w:val="eachPage"/>
          </w:footnotePr>
          <w:pgSz w:orient="portrait" w:w="11905.511811023622" w:h="16837.79527559055"/>
          <w:pgMar w:top="1440" w:right="1440" w:bottom="1440" w:left="1440" w:header="720" w:footer="720" w:gutter="0"/>
          <w:cols w:num="1" w:space="720"/>
        </w:sectPr>
      </w:pPr>
    </w:p>
    <w:bookmarkStart w:id="966" w:name="pg11704_122452"/>
    <w:bookmarkEnd w:id="966"/>
    <w:p>
      <w:pPr>
        <w:pStyle w:val="Heading3"/>
      </w:pPr>
      <w:bookmarkStart w:id="8442" w:name="_Toc7138"/>
      <w:r>
        <w:t>6385- دیوان الشیخ محسن أبی الحب الصغیر الحائری‏</w:t>
      </w:r>
      <w:bookmarkEnd w:id="8442"/>
    </w:p>
    <w:p>
      <w:pPr>
        <w:pStyle w:val="BookText"/>
      </w:pPr>
      <w:r>
        <w:rPr>
          <w:rFonts w:ascii="IRNazanin" w:hAnsi="IRNazanin" w:eastAsia="IRNazanin" w:cs="IRNazanin"/>
          <w:lang w:bidi="fa-IR"/>
          <w:color w:val="111111"/>
          <w:sz w:val="28"/>
          <w:szCs w:val="28"/>
          <w:rtl/>
        </w:rPr>
        <w:t xml:space="preserve">بن الشیخ حسن بن محسن الخطیب المعاصر الذی توفی أواخر سنة 1371 قد مر دیوان جده الشیخ محسن الکبیر فی ج 9 ص 39 بعنوان دیوان أبی الحب و ترجمه الشیخ علی الخاقانی فی شعراء الحسین و من شعره رباعیه فی تقریض دیوان الشیخ عبد الغنی الخضری المطبوع فی شعبان 1371</w:t>
      </w:r>
    </w:p>
    <w:p>
      <w:pPr>
        <w:pStyle w:val="Heading3"/>
      </w:pPr>
      <w:bookmarkStart w:id="8443" w:name="_Toc7139"/>
      <w:r>
        <w:t>6386- دیوان محسن أصفهانی أو شعره‏</w:t>
      </w:r>
      <w:bookmarkEnd w:id="8443"/>
    </w:p>
    <w:p>
      <w:pPr>
        <w:pStyle w:val="BookText"/>
      </w:pPr>
      <w:r>
        <w:rPr>
          <w:rFonts w:ascii="IRNazanin" w:hAnsi="IRNazanin" w:eastAsia="IRNazanin" w:cs="IRNazanin"/>
          <w:lang w:bidi="fa-IR"/>
          <w:color w:val="111111"/>
          <w:sz w:val="28"/>
          <w:szCs w:val="28"/>
          <w:rtl/>
        </w:rPr>
        <w:t xml:space="preserve">أورد شعره فی همیشه بهار</w:t>
      </w:r>
    </w:p>
    <w:p>
      <w:pPr>
        <w:pStyle w:val="Heading3"/>
      </w:pPr>
      <w:bookmarkStart w:id="8444" w:name="_Toc7140"/>
      <w:r>
        <w:t>6387- دیوان محسن الأعرجی‏</w:t>
      </w:r>
      <w:bookmarkEnd w:id="8444"/>
    </w:p>
    <w:p>
      <w:pPr>
        <w:pStyle w:val="BookText"/>
      </w:pPr>
      <w:r>
        <w:rPr>
          <w:rFonts w:ascii="IRNazanin" w:hAnsi="IRNazanin" w:eastAsia="IRNazanin" w:cs="IRNazanin"/>
          <w:lang w:bidi="fa-IR"/>
          <w:color w:val="111111"/>
          <w:sz w:val="28"/>
          <w:szCs w:val="28"/>
          <w:rtl/>
        </w:rPr>
        <w:t xml:space="preserve">و هو السید محسن بن الحسن الشهیر بالمقدس الأعرجی الکاظمی صاحب المحصول و العدد فی الرجال و غیرهما من التصانیف، و المتوفی 1227 ترجمه سیدنا الحسن صدر الدین فی ذکری المحسنین و قال إن فی دیوانه أشعار رائقة فی المراثی و غیرها</w:t>
      </w:r>
    </w:p>
    <w:p>
      <w:pPr>
        <w:pStyle w:val="Heading3"/>
      </w:pPr>
      <w:bookmarkStart w:id="8445" w:name="_Toc7141"/>
      <w:r>
        <w:t>6388- دیوان السید محسن الأمین‏</w:t>
      </w:r>
      <w:bookmarkEnd w:id="8445"/>
    </w:p>
    <w:p>
      <w:pPr>
        <w:pStyle w:val="BookText"/>
      </w:pPr>
      <w:r>
        <w:rPr>
          <w:rFonts w:ascii="IRNazanin" w:hAnsi="IRNazanin" w:eastAsia="IRNazanin" w:cs="IRNazanin"/>
          <w:lang w:bidi="fa-IR"/>
          <w:color w:val="111111"/>
          <w:sz w:val="28"/>
          <w:szCs w:val="28"/>
          <w:rtl/>
        </w:rPr>
        <w:t xml:space="preserve">مؤلف أعیان الشیعة المتوفی یوم الأحد ثالث رجب 1371 و له أرجوزة فی الصرف و أخری فی علاقات المجاز و قصیدة جواب البغدادیة و الدر النضید فی مراثی الحسین الشهید و جناح الناهض فی الفرائض و یأتی جده محمد الأمین‏</w:t>
      </w:r>
    </w:p>
    <w:p>
      <w:pPr>
        <w:pStyle w:val="Heading3"/>
      </w:pPr>
      <w:bookmarkStart w:id="8446" w:name="_Toc7142"/>
      <w:r>
        <w:t>6389- دیوان محسن بلگرامی أو شعره‏</w:t>
      </w:r>
      <w:bookmarkEnd w:id="8446"/>
    </w:p>
    <w:p>
      <w:pPr>
        <w:pStyle w:val="BookText"/>
      </w:pPr>
      <w:r>
        <w:rPr>
          <w:rFonts w:ascii="IRNazanin" w:hAnsi="IRNazanin" w:eastAsia="IRNazanin" w:cs="IRNazanin"/>
          <w:lang w:bidi="fa-IR"/>
          <w:color w:val="111111"/>
          <w:sz w:val="28"/>
          <w:szCs w:val="28"/>
          <w:rtl/>
        </w:rPr>
        <w:t xml:space="preserve">و هو افتخار أحمد بن محمد حسن الهندی أورد شعره فی (گلشن- ص 373)</w:t>
      </w:r>
    </w:p>
    <w:p>
      <w:pPr>
        <w:pStyle w:val="Heading3"/>
      </w:pPr>
      <w:bookmarkStart w:id="8447" w:name="_Toc7143"/>
      <w:r>
        <w:t>دیوان میرزا محسن التبریزی‏</w:t>
      </w:r>
      <w:bookmarkEnd w:id="8447"/>
    </w:p>
    <w:p>
      <w:pPr>
        <w:pStyle w:val="BookText"/>
      </w:pPr>
      <w:r>
        <w:rPr>
          <w:rFonts w:ascii="IRNazanin" w:hAnsi="IRNazanin" w:eastAsia="IRNazanin" w:cs="IRNazanin"/>
          <w:lang w:bidi="fa-IR"/>
          <w:color w:val="111111"/>
          <w:sz w:val="28"/>
          <w:szCs w:val="28"/>
          <w:rtl/>
        </w:rPr>
        <w:t xml:space="preserve">ذکر النصرآبادی فی (نر 5- ص 119) أن تخلصه تأثیر کما مر و کذا فی (نتایج- ص 128) و (گلشن- ص 374).</w:t>
      </w:r>
    </w:p>
    <w:p>
      <w:pPr>
        <w:pStyle w:val="Heading3"/>
      </w:pPr>
      <w:bookmarkStart w:id="8448" w:name="_Toc7144"/>
      <w:r>
        <w:t>دیوان محسن التنوخی‏</w:t>
      </w:r>
      <w:bookmarkEnd w:id="8448"/>
    </w:p>
    <w:p>
      <w:pPr>
        <w:pStyle w:val="BookText"/>
      </w:pPr>
      <w:r>
        <w:rPr>
          <w:rFonts w:ascii="IRNazanin" w:hAnsi="IRNazanin" w:eastAsia="IRNazanin" w:cs="IRNazanin"/>
          <w:lang w:bidi="fa-IR"/>
          <w:color w:val="111111"/>
          <w:sz w:val="28"/>
          <w:szCs w:val="28"/>
          <w:rtl/>
        </w:rPr>
        <w:t xml:space="preserve">مر بعنوان القاضی محسن التنوخی و کذا دیوان والده أبی القاسم علی التنوخی.</w:t>
      </w:r>
    </w:p>
    <w:p>
      <w:pPr>
        <w:pStyle w:val="Heading3"/>
      </w:pPr>
      <w:bookmarkStart w:id="8449" w:name="_Toc7145"/>
      <w:r>
        <w:t>6390- دیوان الشیخ محسن الجواهری‏</w:t>
      </w:r>
      <w:bookmarkEnd w:id="8449"/>
    </w:p>
    <w:p>
      <w:pPr>
        <w:pStyle w:val="BookText"/>
      </w:pPr>
      <w:r>
        <w:rPr>
          <w:rFonts w:ascii="IRNazanin" w:hAnsi="IRNazanin" w:eastAsia="IRNazanin" w:cs="IRNazanin"/>
          <w:lang w:bidi="fa-IR"/>
          <w:color w:val="111111"/>
          <w:sz w:val="28"/>
          <w:szCs w:val="28"/>
          <w:rtl/>
        </w:rPr>
        <w:t xml:space="preserve">هو الشیخ محسن بن الشیخ شریف بن الشیخ عبد الحسین بن الشیخ صاحب الجواهر ولد فی النجف 1295 و توفی بها فی 15 ذی القعدة 1355 جمع دیوانه ولده الفاضل الشیخ محمد حسن فی ألف و نیف بیت. و له أراجیز منها الإراءة فی التجوید و القراءة فاتنا ذکرها فی الألف و الدرر الحسان فی رحلته إلی البحرین کما مر فی ج 8 ص 122.
</w:t>
      </w:r>
    </w:p>
    <w:p>
      <w:pPr>
        <w:sectPr>
          <w:footerReference w:type="default" r:id="rId985"/>
          <w:footnotePr>
            <w:numStart w:val="1"/>
            <w:numRestart w:val="eachPage"/>
          </w:footnotePr>
          <w:pgSz w:orient="portrait" w:w="11905.511811023622" w:h="16837.79527559055"/>
          <w:pgMar w:top="1440" w:right="1440" w:bottom="1440" w:left="1440" w:header="720" w:footer="720" w:gutter="0"/>
          <w:cols w:num="1" w:space="720"/>
        </w:sectPr>
      </w:pPr>
    </w:p>
    <w:bookmarkStart w:id="967" w:name="pg11704_122453"/>
    <w:bookmarkEnd w:id="967"/>
    <w:p>
      <w:pPr>
        <w:pStyle w:val="Heading3"/>
      </w:pPr>
      <w:bookmarkStart w:id="8450" w:name="_Toc7146"/>
      <w:r>
        <w:t>6391- دیوان الشیخ محسن الحائری‏</w:t>
      </w:r>
      <w:bookmarkEnd w:id="8450"/>
    </w:p>
    <w:p>
      <w:pPr>
        <w:pStyle w:val="BookText"/>
      </w:pPr>
      <w:r>
        <w:rPr>
          <w:rFonts w:ascii="IRNazanin" w:hAnsi="IRNazanin" w:eastAsia="IRNazanin" w:cs="IRNazanin"/>
          <w:lang w:bidi="fa-IR"/>
          <w:color w:val="111111"/>
          <w:sz w:val="28"/>
          <w:szCs w:val="28"/>
          <w:rtl/>
        </w:rPr>
        <w:t xml:space="preserve">یوجد بعض أشعاره فی مجموعة دونها السید یوسف بن محمد العلوی الحسینی الأرومی فی حدود 1300 و المجموعة فی مکتبة الحاج حسین آقا (الملک) فی طهران و لعله جزء دیوان الشیخ محسن أبی الحب الکبیر.</w:t>
      </w:r>
    </w:p>
    <w:p>
      <w:pPr>
        <w:pStyle w:val="Heading3"/>
      </w:pPr>
      <w:bookmarkStart w:id="8451" w:name="_Toc7147"/>
      <w:r>
        <w:t>6392- دیوان الشیخ محسن الخضری‏</w:t>
      </w:r>
      <w:bookmarkEnd w:id="8451"/>
    </w:p>
    <w:p>
      <w:pPr>
        <w:pStyle w:val="BookText"/>
      </w:pPr>
      <w:r>
        <w:rPr>
          <w:rFonts w:ascii="IRNazanin" w:hAnsi="IRNazanin" w:eastAsia="IRNazanin" w:cs="IRNazanin"/>
          <w:lang w:bidi="fa-IR"/>
          <w:color w:val="111111"/>
          <w:sz w:val="28"/>
          <w:szCs w:val="28"/>
          <w:rtl/>
        </w:rPr>
        <w:t xml:space="preserve">هو الشیخ محمد آل الشیخ خضر الجناجی النجفی المتوفی 1301 جمعه حفید أخیه الشیخ عبد الغنی بن الشیخ إسماعیل بن الشیخ محمد آل الشیخ خضر و باشر طبعه 1363 و من أواخر مراثیه رثاؤه للسید میرزا جعفر ابن السید مهدی القزوینی المتوفی فی حیاة أبیه 1298.</w:t>
      </w:r>
    </w:p>
    <w:p>
      <w:pPr>
        <w:pStyle w:val="Heading3"/>
      </w:pPr>
      <w:bookmarkStart w:id="8452" w:name="_Toc7148"/>
      <w:r>
        <w:t>6393- دیوان محسن دستغیب‏</w:t>
      </w:r>
      <w:bookmarkEnd w:id="8452"/>
    </w:p>
    <w:p>
      <w:pPr>
        <w:pStyle w:val="BookText"/>
      </w:pPr>
      <w:r>
        <w:rPr>
          <w:rFonts w:ascii="IRNazanin" w:hAnsi="IRNazanin" w:eastAsia="IRNazanin" w:cs="IRNazanin"/>
          <w:lang w:bidi="fa-IR"/>
          <w:color w:val="111111"/>
          <w:sz w:val="28"/>
          <w:szCs w:val="28"/>
          <w:rtl/>
        </w:rPr>
        <w:t xml:space="preserve">کان نزیل بندر عباس و جاء إلی العراق زائرا و توفی بها فی 1319 مطبوع فی المدائح و المراثی. و له نظم حدیث کساء.</w:t>
      </w:r>
    </w:p>
    <w:p>
      <w:pPr>
        <w:pStyle w:val="Heading3"/>
      </w:pPr>
      <w:bookmarkStart w:id="8453" w:name="_Toc7149"/>
      <w:r>
        <w:t>6394- دیوان محسن دها</w:t>
      </w:r>
      <w:bookmarkEnd w:id="8453"/>
    </w:p>
    <w:p>
      <w:pPr>
        <w:pStyle w:val="BookText"/>
      </w:pPr>
      <w:r>
        <w:rPr>
          <w:rFonts w:ascii="IRNazanin" w:hAnsi="IRNazanin" w:eastAsia="IRNazanin" w:cs="IRNazanin"/>
          <w:lang w:bidi="fa-IR"/>
          <w:color w:val="111111"/>
          <w:sz w:val="28"/>
          <w:szCs w:val="28"/>
          <w:rtl/>
        </w:rPr>
        <w:t xml:space="preserve">طبع له خوشه تلخ منظومة فی 147 ص.</w:t>
      </w:r>
    </w:p>
    <w:p>
      <w:pPr>
        <w:pStyle w:val="BookText"/>
      </w:pPr>
      <w:r>
        <w:rPr>
          <w:rFonts w:ascii="IRNazanin" w:hAnsi="IRNazanin" w:eastAsia="IRNazanin" w:cs="IRNazanin"/>
          <w:lang w:bidi="fa-IR"/>
          <w:color w:val="111111"/>
          <w:sz w:val="28"/>
          <w:szCs w:val="28"/>
          <w:rtl/>
        </w:rPr>
        <w:t xml:space="preserve">و یاد یاد فی 135 ص.</w:t>
      </w:r>
    </w:p>
    <w:p>
      <w:pPr>
        <w:pStyle w:val="Heading3"/>
      </w:pPr>
      <w:bookmarkStart w:id="8454" w:name="_Toc7150"/>
      <w:r>
        <w:t>6395- دیوان محسن شایق‏</w:t>
      </w:r>
      <w:bookmarkEnd w:id="8454"/>
    </w:p>
    <w:p>
      <w:pPr>
        <w:pStyle w:val="BookText"/>
      </w:pPr>
      <w:r>
        <w:rPr>
          <w:rFonts w:ascii="IRNazanin" w:hAnsi="IRNazanin" w:eastAsia="IRNazanin" w:cs="IRNazanin"/>
          <w:lang w:bidi="fa-IR"/>
          <w:color w:val="111111"/>
          <w:sz w:val="28"/>
          <w:szCs w:val="28"/>
          <w:rtl/>
        </w:rPr>
        <w:t xml:space="preserve">و هو محسن بن محمد حسین الأصفهانی المتخلص شایق له منظومة گربه و موش فی 500 بیت أدرج فیها 110 بیت من گربه و موش لعبید الزاکانی. توجد نسخته فی (دیوان الهند) برقم 4581 کتبت فی رمضان 1244 کما فصل فی مجلة یغما السنة العاشرة کما مر فی ص 927.</w:t>
      </w:r>
    </w:p>
    <w:p>
      <w:pPr>
        <w:pStyle w:val="Heading3"/>
      </w:pPr>
      <w:bookmarkStart w:id="8455" w:name="_Toc7151"/>
      <w:r>
        <w:t>6396- دیوان محسن شیرازی أو شعره‏</w:t>
      </w:r>
      <w:bookmarkEnd w:id="8455"/>
    </w:p>
    <w:p>
      <w:pPr>
        <w:pStyle w:val="BookText"/>
      </w:pPr>
      <w:r>
        <w:rPr>
          <w:rFonts w:ascii="IRNazanin" w:hAnsi="IRNazanin" w:eastAsia="IRNazanin" w:cs="IRNazanin"/>
          <w:lang w:bidi="fa-IR"/>
          <w:color w:val="111111"/>
          <w:sz w:val="28"/>
          <w:szCs w:val="28"/>
          <w:rtl/>
        </w:rPr>
        <w:t xml:space="preserve">ترجمه و أورد شعره فی (نر 9- ص 383) بعنوان محسنای شیرازی. و کذا فی (مسرت- ص 186).</w:t>
      </w:r>
    </w:p>
    <w:p>
      <w:pPr>
        <w:pStyle w:val="Heading3"/>
      </w:pPr>
      <w:bookmarkStart w:id="8456" w:name="_Toc7152"/>
      <w:r>
        <w:t>6397- دیوان محسن شفائی‏</w:t>
      </w:r>
      <w:bookmarkEnd w:id="8456"/>
    </w:p>
    <w:p>
      <w:pPr>
        <w:pStyle w:val="BookText"/>
      </w:pPr>
      <w:r>
        <w:rPr>
          <w:rFonts w:ascii="IRNazanin" w:hAnsi="IRNazanin" w:eastAsia="IRNazanin" w:cs="IRNazanin"/>
          <w:lang w:bidi="fa-IR"/>
          <w:color w:val="111111"/>
          <w:sz w:val="28"/>
          <w:szCs w:val="28"/>
          <w:rtl/>
        </w:rPr>
        <w:t xml:space="preserve">طبع له منظومة صبح و عصر المذکور فی ج 15 ص 8.</w:t>
      </w:r>
    </w:p>
    <w:p>
      <w:pPr>
        <w:pStyle w:val="Heading3"/>
      </w:pPr>
      <w:bookmarkStart w:id="8457" w:name="_Toc7153"/>
      <w:r>
        <w:t>6398- دیوان محسن شمس‏</w:t>
      </w:r>
      <w:bookmarkEnd w:id="8457"/>
    </w:p>
    <w:p>
      <w:pPr>
        <w:pStyle w:val="BookText"/>
      </w:pPr>
      <w:r>
        <w:rPr>
          <w:rFonts w:ascii="IRNazanin" w:hAnsi="IRNazanin" w:eastAsia="IRNazanin" w:cs="IRNazanin"/>
          <w:lang w:bidi="fa-IR"/>
          <w:color w:val="111111"/>
          <w:sz w:val="28"/>
          <w:szCs w:val="28"/>
          <w:rtl/>
        </w:rPr>
        <w:t xml:space="preserve">ملک‏آرا. أورد غزله فی مجلة أرمغان ج 13 ص 172 و تخلصه اسمه محسن و شعره لطیف فی التحرز عن الاغترار بأیام الدهر.</w:t>
      </w:r>
    </w:p>
    <w:p>
      <w:pPr>
        <w:pStyle w:val="Heading3"/>
      </w:pPr>
      <w:bookmarkStart w:id="8458" w:name="_Toc7154"/>
      <w:r>
        <w:t>6399- دیوان الشیخ محسن العذاری‏</w:t>
      </w:r>
      <w:bookmarkEnd w:id="8458"/>
    </w:p>
    <w:p>
      <w:pPr>
        <w:pStyle w:val="BookText"/>
      </w:pPr>
      <w:r>
        <w:rPr>
          <w:rFonts w:ascii="IRNazanin" w:hAnsi="IRNazanin" w:eastAsia="IRNazanin" w:cs="IRNazanin"/>
          <w:lang w:bidi="fa-IR"/>
          <w:color w:val="111111"/>
          <w:sz w:val="28"/>
          <w:szCs w:val="28"/>
          <w:rtl/>
        </w:rPr>
        <w:t xml:space="preserve">فیه قصیدته فی رثاء السید مهدی القزوینی المتوفی 1300 أوردها الخطیب الیعقوبی فی البابلیات ج 2 ص 19 و مر تمام نسبه عند ذکر أخیه الشیخ عبد الله العذاری کما مر أخوهما الشیخ عباس العذاری فی ص 680 و أورد أیضا مطلع رثائه للسید المجدد الشیرازی الذی توفی 1312 فیظهر أنه توفی بعد ذلک.
</w:t>
      </w:r>
    </w:p>
    <w:p>
      <w:pPr>
        <w:sectPr>
          <w:footerReference w:type="default" r:id="rId986"/>
          <w:footnotePr>
            <w:numStart w:val="1"/>
            <w:numRestart w:val="eachPage"/>
          </w:footnotePr>
          <w:pgSz w:orient="portrait" w:w="11905.511811023622" w:h="16837.79527559055"/>
          <w:pgMar w:top="1440" w:right="1440" w:bottom="1440" w:left="1440" w:header="720" w:footer="720" w:gutter="0"/>
          <w:cols w:num="1" w:space="720"/>
        </w:sectPr>
      </w:pPr>
    </w:p>
    <w:bookmarkStart w:id="968" w:name="pg11704_122454"/>
    <w:bookmarkEnd w:id="968"/>
    <w:p>
      <w:pPr>
        <w:pStyle w:val="Heading3"/>
      </w:pPr>
      <w:bookmarkStart w:id="8459" w:name="_Toc7155"/>
      <w:r>
        <w:t>دیوان محسن فانی‏</w:t>
      </w:r>
      <w:bookmarkEnd w:id="8459"/>
    </w:p>
    <w:p>
      <w:pPr>
        <w:pStyle w:val="BookText"/>
      </w:pPr>
      <w:r>
        <w:rPr>
          <w:rFonts w:ascii="IRNazanin" w:hAnsi="IRNazanin" w:eastAsia="IRNazanin" w:cs="IRNazanin"/>
          <w:lang w:bidi="fa-IR"/>
          <w:color w:val="111111"/>
          <w:sz w:val="28"/>
          <w:szCs w:val="28"/>
          <w:rtl/>
        </w:rPr>
        <w:t xml:space="preserve">مر فی ص 803 بعنوان فانی.</w:t>
      </w:r>
    </w:p>
    <w:p>
      <w:pPr>
        <w:pStyle w:val="Heading3"/>
      </w:pPr>
      <w:bookmarkStart w:id="8460" w:name="_Toc7156"/>
      <w:r>
        <w:t>6400- دیوان محسن فراهی‏</w:t>
      </w:r>
      <w:bookmarkEnd w:id="8460"/>
    </w:p>
    <w:p>
      <w:pPr>
        <w:pStyle w:val="BookText"/>
      </w:pPr>
      <w:r>
        <w:rPr>
          <w:rFonts w:ascii="IRNazanin" w:hAnsi="IRNazanin" w:eastAsia="IRNazanin" w:cs="IRNazanin"/>
          <w:lang w:bidi="fa-IR"/>
          <w:color w:val="111111"/>
          <w:sz w:val="28"/>
          <w:szCs w:val="28"/>
          <w:rtl/>
        </w:rPr>
        <w:t xml:space="preserve">من أکابر الفضلاء الحکماء القدماء کما وصفه فی (مع: ج 1 ص 511) و أورد شعره.</w:t>
      </w:r>
    </w:p>
    <w:p>
      <w:pPr>
        <w:pStyle w:val="Heading3"/>
      </w:pPr>
      <w:bookmarkStart w:id="8461" w:name="_Toc7157"/>
      <w:r>
        <w:t>6401- دیوان محسن فرج‏</w:t>
      </w:r>
      <w:bookmarkEnd w:id="8461"/>
    </w:p>
    <w:p>
      <w:pPr>
        <w:pStyle w:val="BookText"/>
      </w:pPr>
      <w:r>
        <w:rPr>
          <w:rFonts w:ascii="IRNazanin" w:hAnsi="IRNazanin" w:eastAsia="IRNazanin" w:cs="IRNazanin"/>
          <w:lang w:bidi="fa-IR"/>
          <w:color w:val="111111"/>
          <w:sz w:val="28"/>
          <w:szCs w:val="28"/>
          <w:rtl/>
        </w:rPr>
        <w:t xml:space="preserve">صاحب المراثی الحسینیة. ترجمه علی الخاقانی فی شعراء الحسین کما ذکره فی فهرسه و رأیت مراثیه فی بعض المجامیع.</w:t>
      </w:r>
    </w:p>
    <w:p>
      <w:pPr>
        <w:pStyle w:val="Heading3"/>
      </w:pPr>
      <w:bookmarkStart w:id="8462" w:name="_Toc7158"/>
      <w:r>
        <w:t>دیوان محسن الفیض الکاشانی‏</w:t>
      </w:r>
      <w:bookmarkEnd w:id="8462"/>
    </w:p>
    <w:p>
      <w:pPr>
        <w:pStyle w:val="BookText"/>
      </w:pPr>
      <w:r>
        <w:rPr>
          <w:rFonts w:ascii="IRNazanin" w:hAnsi="IRNazanin" w:eastAsia="IRNazanin" w:cs="IRNazanin"/>
          <w:lang w:bidi="fa-IR"/>
          <w:color w:val="111111"/>
          <w:sz w:val="28"/>
          <w:szCs w:val="28"/>
          <w:rtl/>
        </w:rPr>
        <w:t xml:space="preserve">المتخلص بفیض. ترجمه فی الأمل و قال فی أوصافه کان محققا شاعرا أدیبا. مر فی ص 853 بعنوان فیض کاشانی‏</w:t>
      </w:r>
    </w:p>
    <w:p>
      <w:pPr>
        <w:pStyle w:val="Heading3"/>
      </w:pPr>
      <w:bookmarkStart w:id="8463" w:name="_Toc7159"/>
      <w:r>
        <w:t>6402- دیوان محسن قندهاری‏</w:t>
      </w:r>
      <w:bookmarkEnd w:id="8463"/>
    </w:p>
    <w:p>
      <w:pPr>
        <w:pStyle w:val="BookText"/>
      </w:pPr>
      <w:r>
        <w:rPr>
          <w:rFonts w:ascii="IRNazanin" w:hAnsi="IRNazanin" w:eastAsia="IRNazanin" w:cs="IRNazanin"/>
          <w:lang w:bidi="fa-IR"/>
          <w:color w:val="111111"/>
          <w:sz w:val="28"/>
          <w:szCs w:val="28"/>
          <w:rtl/>
        </w:rPr>
        <w:t xml:space="preserve">فارسی کبیر للحاج محمد محسن بن محمد زمان الطبیب الشاعر القندهاری نزیل بغداد کان عند ولده” المؤلف” النواب محمد حسن خان المعاون فی کربلاء.</w:t>
      </w:r>
    </w:p>
    <w:p>
      <w:pPr>
        <w:pStyle w:val="Heading3"/>
      </w:pPr>
      <w:bookmarkStart w:id="8464" w:name="_Toc7160"/>
      <w:r>
        <w:t>دیوان محسن کرمانشاهی‏</w:t>
      </w:r>
      <w:bookmarkEnd w:id="8464"/>
    </w:p>
    <w:p>
      <w:pPr>
        <w:pStyle w:val="BookText"/>
      </w:pPr>
      <w:r>
        <w:rPr>
          <w:rFonts w:ascii="IRNazanin" w:hAnsi="IRNazanin" w:eastAsia="IRNazanin" w:cs="IRNazanin"/>
          <w:lang w:bidi="fa-IR"/>
          <w:color w:val="111111"/>
          <w:sz w:val="28"/>
          <w:szCs w:val="28"/>
          <w:rtl/>
        </w:rPr>
        <w:t xml:space="preserve">ابن المولی سمیع بن المولی حسین بن علم الهدی بن الفیض یأتی بعنوان دیوان معلم. و له الدرر البهیة فی الفقه.</w:t>
      </w:r>
    </w:p>
    <w:p>
      <w:pPr>
        <w:pStyle w:val="Heading3"/>
      </w:pPr>
      <w:bookmarkStart w:id="8465" w:name="_Toc7161"/>
      <w:r>
        <w:t>6403- دیوان محسن لاری أو شعره‏</w:t>
      </w:r>
      <w:bookmarkEnd w:id="8465"/>
    </w:p>
    <w:p>
      <w:pPr>
        <w:pStyle w:val="BookText"/>
      </w:pPr>
      <w:r>
        <w:rPr>
          <w:rFonts w:ascii="IRNazanin" w:hAnsi="IRNazanin" w:eastAsia="IRNazanin" w:cs="IRNazanin"/>
          <w:lang w:bidi="fa-IR"/>
          <w:color w:val="111111"/>
          <w:sz w:val="28"/>
          <w:szCs w:val="28"/>
          <w:rtl/>
        </w:rPr>
        <w:t xml:space="preserve">سافر إلی الهند و سکن دکن. أورد شعره فی (گلشن- ص 374).</w:t>
      </w:r>
    </w:p>
    <w:p>
      <w:pPr>
        <w:pStyle w:val="Heading3"/>
      </w:pPr>
      <w:bookmarkStart w:id="8466" w:name="_Toc7162"/>
      <w:r>
        <w:t>دیوان محسن مدراسی‏</w:t>
      </w:r>
      <w:bookmarkEnd w:id="8466"/>
    </w:p>
    <w:p>
      <w:pPr>
        <w:pStyle w:val="BookText"/>
      </w:pPr>
      <w:r>
        <w:rPr>
          <w:rFonts w:ascii="IRNazanin" w:hAnsi="IRNazanin" w:eastAsia="IRNazanin" w:cs="IRNazanin"/>
          <w:lang w:bidi="fa-IR"/>
          <w:color w:val="111111"/>
          <w:sz w:val="28"/>
          <w:szCs w:val="28"/>
          <w:rtl/>
        </w:rPr>
        <w:t xml:space="preserve">کما فی (نتایج ص 85) مر بتخلصه امتیاز.</w:t>
      </w:r>
    </w:p>
    <w:p>
      <w:pPr>
        <w:pStyle w:val="Heading3"/>
      </w:pPr>
      <w:bookmarkStart w:id="8467" w:name="_Toc7163"/>
      <w:r>
        <w:t>6404- دیوان محسن نجفی أو شعره‏</w:t>
      </w:r>
      <w:bookmarkEnd w:id="8467"/>
    </w:p>
    <w:p>
      <w:pPr>
        <w:pStyle w:val="BookText"/>
      </w:pPr>
      <w:r>
        <w:rPr>
          <w:rFonts w:ascii="IRNazanin" w:hAnsi="IRNazanin" w:eastAsia="IRNazanin" w:cs="IRNazanin"/>
          <w:lang w:bidi="fa-IR"/>
          <w:color w:val="111111"/>
          <w:sz w:val="28"/>
          <w:szCs w:val="28"/>
          <w:rtl/>
        </w:rPr>
        <w:t xml:space="preserve">و هو محمد حسین بن قاسم الأسترآبادی.</w:t>
      </w:r>
    </w:p>
    <w:p>
      <w:pPr>
        <w:pStyle w:val="BookText"/>
      </w:pPr>
      <w:r>
        <w:rPr>
          <w:rFonts w:ascii="IRNazanin" w:hAnsi="IRNazanin" w:eastAsia="IRNazanin" w:cs="IRNazanin"/>
          <w:lang w:bidi="fa-IR"/>
          <w:color w:val="111111"/>
          <w:sz w:val="28"/>
          <w:szCs w:val="28"/>
          <w:rtl/>
        </w:rPr>
        <w:t xml:space="preserve">أورد شعره فی (گلشن- ص 374).</w:t>
      </w:r>
    </w:p>
    <w:p>
      <w:pPr>
        <w:pStyle w:val="Heading3"/>
      </w:pPr>
      <w:bookmarkStart w:id="8468" w:name="_Toc7164"/>
      <w:r>
        <w:t>6405- دیوان محسن همدانی أو شعره‏</w:t>
      </w:r>
      <w:bookmarkEnd w:id="8468"/>
    </w:p>
    <w:p>
      <w:pPr>
        <w:pStyle w:val="BookText"/>
      </w:pPr>
      <w:r>
        <w:rPr>
          <w:rFonts w:ascii="IRNazanin" w:hAnsi="IRNazanin" w:eastAsia="IRNazanin" w:cs="IRNazanin"/>
          <w:lang w:bidi="fa-IR"/>
          <w:color w:val="111111"/>
          <w:sz w:val="28"/>
          <w:szCs w:val="28"/>
          <w:rtl/>
        </w:rPr>
        <w:t xml:space="preserve">سافر إلی الهند فی عهد أکبر شاه و مات بأحمدآباد گجرات أورد شعره فی (گلشن- ص 374).</w:t>
      </w:r>
    </w:p>
    <w:p>
      <w:pPr>
        <w:pStyle w:val="Heading3"/>
      </w:pPr>
      <w:bookmarkStart w:id="8469" w:name="_Toc7165"/>
      <w:r>
        <w:t>6406- دیوان محسن هندی‏</w:t>
      </w:r>
      <w:bookmarkEnd w:id="8469"/>
    </w:p>
    <w:p>
      <w:pPr>
        <w:pStyle w:val="BookText"/>
      </w:pPr>
      <w:r>
        <w:rPr>
          <w:rFonts w:ascii="IRNazanin" w:hAnsi="IRNazanin" w:eastAsia="IRNazanin" w:cs="IRNazanin"/>
          <w:lang w:bidi="fa-IR"/>
          <w:color w:val="111111"/>
          <w:sz w:val="28"/>
          <w:szCs w:val="28"/>
          <w:rtl/>
        </w:rPr>
        <w:t xml:space="preserve">و تخلصه اسمه، و هو فارسی جمعه بنفسه و فرغ من جمعه 1154 و النسخة فی الخزانة (الرضویة) بخط إسماعیل فرغ من الکتابة 1299.</w:t>
      </w:r>
    </w:p>
    <w:p>
      <w:pPr>
        <w:pStyle w:val="Heading3"/>
      </w:pPr>
      <w:bookmarkStart w:id="8470" w:name="_Toc7166"/>
      <w:r>
        <w:t>6407- دیوان محشر أردبیلی‏</w:t>
      </w:r>
      <w:bookmarkEnd w:id="8470"/>
    </w:p>
    <w:p>
      <w:pPr>
        <w:pStyle w:val="BookText"/>
      </w:pPr>
      <w:r>
        <w:rPr>
          <w:rFonts w:ascii="IRNazanin" w:hAnsi="IRNazanin" w:eastAsia="IRNazanin" w:cs="IRNazanin"/>
          <w:lang w:bidi="fa-IR"/>
          <w:color w:val="111111"/>
          <w:sz w:val="28"/>
          <w:szCs w:val="28"/>
          <w:rtl/>
        </w:rPr>
        <w:t xml:space="preserve">فی مجموعة کتابتها 1285 عند (فخر الدین).</w:t>
      </w:r>
    </w:p>
    <w:p>
      <w:pPr>
        <w:pStyle w:val="Heading3"/>
      </w:pPr>
      <w:bookmarkStart w:id="8471" w:name="_Toc7167"/>
      <w:r>
        <w:t>6408- دیوان محشری خوانساری‏</w:t>
      </w:r>
      <w:bookmarkEnd w:id="8471"/>
    </w:p>
    <w:p>
      <w:pPr>
        <w:pStyle w:val="BookText"/>
      </w:pPr>
      <w:r>
        <w:rPr>
          <w:rFonts w:ascii="IRNazanin" w:hAnsi="IRNazanin" w:eastAsia="IRNazanin" w:cs="IRNazanin"/>
          <w:lang w:bidi="fa-IR"/>
          <w:color w:val="111111"/>
          <w:sz w:val="28"/>
          <w:szCs w:val="28"/>
          <w:rtl/>
        </w:rPr>
        <w:t xml:space="preserve">المعمر إلی تسعین سنة و کان حیا فی وقت تألیف النصرآبادی 1083 ترجمه فی (نر 9- ص 319) و أورد رباعیته و عده من مطالع غزلیاته و کذا فی (گلشن- ص 374).
</w:t>
      </w:r>
    </w:p>
    <w:p>
      <w:pPr>
        <w:sectPr>
          <w:footerReference w:type="default" r:id="rId987"/>
          <w:footnotePr>
            <w:numStart w:val="1"/>
            <w:numRestart w:val="eachPage"/>
          </w:footnotePr>
          <w:pgSz w:orient="portrait" w:w="11905.511811023622" w:h="16837.79527559055"/>
          <w:pgMar w:top="1440" w:right="1440" w:bottom="1440" w:left="1440" w:header="720" w:footer="720" w:gutter="0"/>
          <w:cols w:num="1" w:space="720"/>
        </w:sectPr>
      </w:pPr>
    </w:p>
    <w:bookmarkStart w:id="969" w:name="pg11704_122455"/>
    <w:bookmarkEnd w:id="969"/>
    <w:p>
      <w:pPr>
        <w:pStyle w:val="Heading3"/>
      </w:pPr>
      <w:bookmarkStart w:id="8472" w:name="_Toc7168"/>
      <w:r>
        <w:t>6409- دیوان محشری نیشابوری أو شعره‏</w:t>
      </w:r>
      <w:bookmarkEnd w:id="8472"/>
    </w:p>
    <w:p>
      <w:pPr>
        <w:pStyle w:val="BookText"/>
      </w:pPr>
      <w:r>
        <w:rPr>
          <w:rFonts w:ascii="IRNazanin" w:hAnsi="IRNazanin" w:eastAsia="IRNazanin" w:cs="IRNazanin"/>
          <w:lang w:bidi="fa-IR"/>
          <w:color w:val="111111"/>
          <w:sz w:val="28"/>
          <w:szCs w:val="28"/>
          <w:rtl/>
        </w:rPr>
        <w:t xml:space="preserve">توفی فی عصر النصرآبادی و قبل تألیفه و قد عمر حتی حجب حاجباه بصره فلا یری شیئا الا بعد رفعهما بیدیه عن عینیه کما ذکره فی (نر 9- ص 326) و أورد شعره و فی (گلشن- ص 374) أنه أستاذ نظیری نیشابوری.</w:t>
      </w:r>
    </w:p>
    <w:p>
      <w:pPr>
        <w:pStyle w:val="Heading3"/>
      </w:pPr>
      <w:bookmarkStart w:id="8473" w:name="_Toc7169"/>
      <w:r>
        <w:t>6410- دیوان محضری همدانی‏</w:t>
      </w:r>
      <w:bookmarkEnd w:id="8473"/>
    </w:p>
    <w:p>
      <w:pPr>
        <w:pStyle w:val="BookText"/>
      </w:pPr>
      <w:r>
        <w:rPr>
          <w:rFonts w:ascii="IRNazanin" w:hAnsi="IRNazanin" w:eastAsia="IRNazanin" w:cs="IRNazanin"/>
          <w:lang w:bidi="fa-IR"/>
          <w:color w:val="111111"/>
          <w:sz w:val="28"/>
          <w:szCs w:val="28"/>
          <w:rtl/>
        </w:rPr>
        <w:t xml:space="preserve">المشهور بملا دروازه ترجمه معاصره النصرآبادی فی (نر 9- ص 325) و أورد شعره و کذا فی (گلشن- ص 375) و همیشه بهار.</w:t>
      </w:r>
    </w:p>
    <w:p>
      <w:pPr>
        <w:pStyle w:val="Heading3"/>
      </w:pPr>
      <w:bookmarkStart w:id="8474" w:name="_Toc7170"/>
      <w:r>
        <w:t>6411- دیوان محفوظ أو شعره‏</w:t>
      </w:r>
      <w:bookmarkEnd w:id="8474"/>
    </w:p>
    <w:p>
      <w:pPr>
        <w:pStyle w:val="BookText"/>
      </w:pPr>
      <w:r>
        <w:rPr>
          <w:rFonts w:ascii="IRNazanin" w:hAnsi="IRNazanin" w:eastAsia="IRNazanin" w:cs="IRNazanin"/>
          <w:lang w:bidi="fa-IR"/>
          <w:color w:val="111111"/>
          <w:sz w:val="28"/>
          <w:szCs w:val="28"/>
          <w:rtl/>
        </w:rPr>
        <w:t xml:space="preserve">و هو العوامی القطیفی له مراثی الحسین ع.</w:t>
      </w:r>
    </w:p>
    <w:p>
      <w:pPr>
        <w:pStyle w:val="BookText"/>
      </w:pPr>
      <w:r>
        <w:rPr>
          <w:rFonts w:ascii="IRNazanin" w:hAnsi="IRNazanin" w:eastAsia="IRNazanin" w:cs="IRNazanin"/>
          <w:lang w:bidi="fa-IR"/>
          <w:color w:val="111111"/>
          <w:sz w:val="28"/>
          <w:szCs w:val="28"/>
          <w:rtl/>
        </w:rPr>
        <w:t xml:space="preserve">و عده الخاقانی من شعراء الحسین ع.</w:t>
      </w:r>
    </w:p>
    <w:p>
      <w:pPr>
        <w:pStyle w:val="Heading3"/>
      </w:pPr>
      <w:bookmarkStart w:id="8475" w:name="_Toc7171"/>
      <w:r>
        <w:t>6412- دیوان شمس الدین محفوظ أو شعره‏</w:t>
      </w:r>
      <w:bookmarkEnd w:id="8475"/>
    </w:p>
    <w:p>
      <w:pPr>
        <w:pStyle w:val="BookText"/>
      </w:pPr>
      <w:r>
        <w:rPr>
          <w:rFonts w:ascii="IRNazanin" w:hAnsi="IRNazanin" w:eastAsia="IRNazanin" w:cs="IRNazanin"/>
          <w:lang w:bidi="fa-IR"/>
          <w:color w:val="111111"/>
          <w:sz w:val="28"/>
          <w:szCs w:val="28"/>
          <w:rtl/>
        </w:rPr>
        <w:t xml:space="preserve">و هو شمس الدین ابن وشاح بن محمد.</w:t>
      </w:r>
    </w:p>
    <w:p>
      <w:pPr>
        <w:pStyle w:val="BookText"/>
      </w:pPr>
      <w:r>
        <w:rPr>
          <w:rFonts w:ascii="IRNazanin" w:hAnsi="IRNazanin" w:eastAsia="IRNazanin" w:cs="IRNazanin"/>
          <w:lang w:bidi="fa-IR"/>
          <w:color w:val="111111"/>
          <w:sz w:val="28"/>
          <w:szCs w:val="28"/>
          <w:rtl/>
        </w:rPr>
        <w:t xml:space="preserve">قال فی الأمل: کان أدیبا شاعرا جلیلا من أعیان العلماء و أورد شعره و بعض مکاتباته مع المحقق الحلی.</w:t>
      </w:r>
    </w:p>
    <w:p>
      <w:pPr>
        <w:pStyle w:val="Heading3"/>
      </w:pPr>
      <w:bookmarkStart w:id="8476" w:name="_Toc7172"/>
      <w:r>
        <w:t>6413- دیوان محقر الله‏آبادی أو شعره‏</w:t>
      </w:r>
      <w:bookmarkEnd w:id="8476"/>
    </w:p>
    <w:p>
      <w:pPr>
        <w:pStyle w:val="BookText"/>
      </w:pPr>
      <w:r>
        <w:rPr>
          <w:rFonts w:ascii="IRNazanin" w:hAnsi="IRNazanin" w:eastAsia="IRNazanin" w:cs="IRNazanin"/>
          <w:lang w:bidi="fa-IR"/>
          <w:color w:val="111111"/>
          <w:sz w:val="28"/>
          <w:szCs w:val="28"/>
          <w:rtl/>
        </w:rPr>
        <w:t xml:space="preserve">و هو الشیخ محمد أفضل بن عبد الرحمن (1088- 1124) المنتسب إلی العباس بن علی. له تصانیف عربیة و فارسیة منها شرح المثنوی للمولوی. مات شابا کما ذکر فی (گلشن- ص 375).</w:t>
      </w:r>
    </w:p>
    <w:p>
      <w:pPr>
        <w:pStyle w:val="Heading3"/>
      </w:pPr>
      <w:bookmarkStart w:id="8477" w:name="_Toc7173"/>
      <w:r>
        <w:t>6414- دیوان محقق حلی أو شعره‏</w:t>
      </w:r>
      <w:bookmarkEnd w:id="8477"/>
    </w:p>
    <w:p>
      <w:pPr>
        <w:pStyle w:val="BookText"/>
      </w:pPr>
      <w:r>
        <w:rPr>
          <w:rFonts w:ascii="IRNazanin" w:hAnsi="IRNazanin" w:eastAsia="IRNazanin" w:cs="IRNazanin"/>
          <w:lang w:bidi="fa-IR"/>
          <w:color w:val="111111"/>
          <w:sz w:val="28"/>
          <w:szCs w:val="28"/>
          <w:rtl/>
        </w:rPr>
        <w:t xml:space="preserve">الشیخ أبو القاسم نجم الدین جعفر بن الحسن بن سعید الحلی المتوفی 676 أورد بعضه فی الأمل فی ترجمه الشیخ محفوظ بن وشاح المذکور و عنه فی الروضات و الریحانة.</w:t>
      </w:r>
    </w:p>
    <w:p>
      <w:pPr>
        <w:pStyle w:val="Heading3"/>
      </w:pPr>
      <w:bookmarkStart w:id="8478" w:name="_Toc7174"/>
      <w:r>
        <w:t>6415- دیوان محققی شوشتری أو شعره‏</w:t>
      </w:r>
      <w:bookmarkEnd w:id="8478"/>
    </w:p>
    <w:p>
      <w:pPr>
        <w:pStyle w:val="BookText"/>
      </w:pPr>
      <w:r>
        <w:rPr>
          <w:rFonts w:ascii="IRNazanin" w:hAnsi="IRNazanin" w:eastAsia="IRNazanin" w:cs="IRNazanin"/>
          <w:lang w:bidi="fa-IR"/>
          <w:color w:val="111111"/>
          <w:sz w:val="28"/>
          <w:szCs w:val="28"/>
          <w:rtl/>
        </w:rPr>
        <w:t xml:space="preserve">و هو محمد شریف الهندی من شعراء إبراهیم خان فتح جنگ حاکم بنگاله أورد شعره فی (گلشن- ص 376).</w:t>
      </w:r>
    </w:p>
    <w:p>
      <w:pPr>
        <w:pStyle w:val="Heading3"/>
      </w:pPr>
      <w:bookmarkStart w:id="8479" w:name="_Toc7175"/>
      <w:r>
        <w:t>6416- دیوان محکم بنارسی أو شعره‏</w:t>
      </w:r>
      <w:bookmarkEnd w:id="8479"/>
    </w:p>
    <w:p>
      <w:pPr>
        <w:pStyle w:val="BookText"/>
      </w:pPr>
      <w:r>
        <w:rPr>
          <w:rFonts w:ascii="IRNazanin" w:hAnsi="IRNazanin" w:eastAsia="IRNazanin" w:cs="IRNazanin"/>
          <w:lang w:bidi="fa-IR"/>
          <w:color w:val="111111"/>
          <w:sz w:val="28"/>
          <w:szCs w:val="28"/>
          <w:rtl/>
        </w:rPr>
        <w:t xml:space="preserve">و اسمه لاله محکم سنگه من قوم کایتة.</w:t>
      </w:r>
    </w:p>
    <w:p>
      <w:pPr>
        <w:pStyle w:val="BookText"/>
      </w:pPr>
      <w:r>
        <w:rPr>
          <w:rFonts w:ascii="IRNazanin" w:hAnsi="IRNazanin" w:eastAsia="IRNazanin" w:cs="IRNazanin"/>
          <w:lang w:bidi="fa-IR"/>
          <w:color w:val="111111"/>
          <w:sz w:val="28"/>
          <w:szCs w:val="28"/>
          <w:rtl/>
        </w:rPr>
        <w:t xml:space="preserve">تلمذ علی حریق. أورد شعره فی (گلشن- ص 376).</w:t>
      </w:r>
    </w:p>
    <w:p>
      <w:pPr>
        <w:pStyle w:val="Heading3"/>
      </w:pPr>
      <w:bookmarkStart w:id="8480" w:name="_Toc7176"/>
      <w:r>
        <w:t>6417- دیوان محمد آملی أو شعره‏</w:t>
      </w:r>
      <w:bookmarkEnd w:id="8480"/>
    </w:p>
    <w:p>
      <w:pPr>
        <w:pStyle w:val="BookText"/>
      </w:pPr>
      <w:r>
        <w:rPr>
          <w:rFonts w:ascii="IRNazanin" w:hAnsi="IRNazanin" w:eastAsia="IRNazanin" w:cs="IRNazanin"/>
          <w:lang w:bidi="fa-IR"/>
          <w:color w:val="111111"/>
          <w:sz w:val="28"/>
          <w:szCs w:val="28"/>
          <w:rtl/>
        </w:rPr>
        <w:t xml:space="preserve">هو من تلامیذ شرف الدین علی الیزدی المعمائی. و کان ماهرا فی المعمی. أورد معماه فی (مجن 2- ص 45 و 218) و فی بعض النسخ محمد إیلی و فی بعضها محمد نازکی و لعله محمد بن الحسن الآملی.</w:t>
      </w:r>
    </w:p>
    <w:p>
      <w:pPr>
        <w:pStyle w:val="Heading3"/>
      </w:pPr>
      <w:bookmarkStart w:id="8481" w:name="_Toc7177"/>
      <w:r>
        <w:t>دیوان محمد إبراهیم خراسانی‏</w:t>
      </w:r>
      <w:bookmarkEnd w:id="8481"/>
    </w:p>
    <w:p>
      <w:pPr>
        <w:pStyle w:val="BookText"/>
      </w:pPr>
      <w:r>
        <w:rPr>
          <w:rFonts w:ascii="IRNazanin" w:hAnsi="IRNazanin" w:eastAsia="IRNazanin" w:cs="IRNazanin"/>
          <w:lang w:bidi="fa-IR"/>
          <w:color w:val="111111"/>
          <w:sz w:val="28"/>
          <w:szCs w:val="28"/>
          <w:rtl/>
        </w:rPr>
        <w:t xml:space="preserve">کما فی (نتایج- ص 53) و همیشه بهار مر بعنوان إنصاف فی ص 108.
</w:t>
      </w:r>
    </w:p>
    <w:p>
      <w:pPr>
        <w:sectPr>
          <w:footerReference w:type="default" r:id="rId988"/>
          <w:footnotePr>
            <w:numStart w:val="1"/>
            <w:numRestart w:val="eachPage"/>
          </w:footnotePr>
          <w:pgSz w:orient="portrait" w:w="11905.511811023622" w:h="16837.79527559055"/>
          <w:pgMar w:top="1440" w:right="1440" w:bottom="1440" w:left="1440" w:header="720" w:footer="720" w:gutter="0"/>
          <w:cols w:num="1" w:space="720"/>
        </w:sectPr>
      </w:pPr>
    </w:p>
    <w:bookmarkStart w:id="970" w:name="pg11704_122456"/>
    <w:bookmarkEnd w:id="970"/>
    <w:p>
      <w:pPr>
        <w:pStyle w:val="Heading3"/>
      </w:pPr>
      <w:bookmarkStart w:id="8482" w:name="_Toc7178"/>
      <w:r>
        <w:t>دیوان محمد إبراهیم طهرانی‏</w:t>
      </w:r>
      <w:bookmarkEnd w:id="8482"/>
    </w:p>
    <w:p>
      <w:pPr>
        <w:pStyle w:val="BookText"/>
      </w:pPr>
      <w:r>
        <w:rPr>
          <w:rFonts w:ascii="IRNazanin" w:hAnsi="IRNazanin" w:eastAsia="IRNazanin" w:cs="IRNazanin"/>
          <w:lang w:bidi="fa-IR"/>
          <w:color w:val="111111"/>
          <w:sz w:val="28"/>
          <w:szCs w:val="28"/>
          <w:rtl/>
        </w:rPr>
        <w:t xml:space="preserve">مر بعنوان بدائع‏نگار طهرانی فی ص 127.</w:t>
      </w:r>
    </w:p>
    <w:p>
      <w:pPr>
        <w:pStyle w:val="Heading3"/>
      </w:pPr>
      <w:bookmarkStart w:id="8483" w:name="_Toc7179"/>
      <w:r>
        <w:t>دیوان محمد بن أبی القاسم‏</w:t>
      </w:r>
      <w:bookmarkEnd w:id="8483"/>
    </w:p>
    <w:p>
      <w:pPr>
        <w:pStyle w:val="BookText"/>
      </w:pPr>
      <w:r>
        <w:rPr>
          <w:rFonts w:ascii="IRNazanin" w:hAnsi="IRNazanin" w:eastAsia="IRNazanin" w:cs="IRNazanin"/>
          <w:lang w:bidi="fa-IR"/>
          <w:color w:val="111111"/>
          <w:sz w:val="28"/>
          <w:szCs w:val="28"/>
          <w:rtl/>
        </w:rPr>
        <w:t xml:space="preserve">مر بعنوان دیوان رضوانی فسوی فی ص 370.</w:t>
      </w:r>
    </w:p>
    <w:p>
      <w:pPr>
        <w:pStyle w:val="Heading3"/>
      </w:pPr>
      <w:bookmarkStart w:id="8484" w:name="_Toc7180"/>
      <w:r>
        <w:t>6418- محمد بن أحمد أو شعره‏</w:t>
      </w:r>
      <w:bookmarkEnd w:id="8484"/>
    </w:p>
    <w:p>
      <w:pPr>
        <w:pStyle w:val="BookText"/>
      </w:pPr>
      <w:r>
        <w:rPr>
          <w:rFonts w:ascii="IRNazanin" w:hAnsi="IRNazanin" w:eastAsia="IRNazanin" w:cs="IRNazanin"/>
          <w:lang w:bidi="fa-IR"/>
          <w:color w:val="111111"/>
          <w:sz w:val="28"/>
          <w:szCs w:val="28"/>
          <w:rtl/>
        </w:rPr>
        <w:t xml:space="preserve">و هو بهاء الدین بن أحمد المدعو بمحسن بن علی المدعو بزین العابدین بن محمد قاسم بن یوسف بن موسی بن محیی الدین بن جبران بن علی بن حسین الحلی الأسدی من ولد حبیب بن مظاهر و تلمیذ السید بحر العلوم کتب بخطه شرح الوافیة لأستاده بعد خمسة أشهر من تألیفه 1196 و کتب فی آخره ستة أبیات و سأل عن السید بعض الفروع نظما. رأیت النسخة فی کتب السید خلیفة و عند السید آقا التستری فی النجف ضمن مجموعة فیها حاشیة إسحاق علی الحاشیة الیزدیة علی التهذیب و حاشیة سلطان علی المعالم کتابتها 1194.</w:t>
      </w:r>
    </w:p>
    <w:p>
      <w:pPr>
        <w:pStyle w:val="Heading3"/>
      </w:pPr>
      <w:bookmarkStart w:id="8485" w:name="_Toc7181"/>
      <w:r>
        <w:t>6419- دیوان الشیخ محمد بن أحمد</w:t>
      </w:r>
      <w:bookmarkEnd w:id="8485"/>
    </w:p>
    <w:p>
      <w:pPr>
        <w:pStyle w:val="BookText"/>
      </w:pPr>
      <w:r>
        <w:rPr>
          <w:rFonts w:ascii="IRNazanin" w:hAnsi="IRNazanin" w:eastAsia="IRNazanin" w:cs="IRNazanin"/>
          <w:lang w:bidi="fa-IR"/>
          <w:color w:val="111111"/>
          <w:sz w:val="28"/>
          <w:szCs w:val="28"/>
          <w:rtl/>
        </w:rPr>
        <w:t xml:space="preserve">ابن عصفور الشاخوری فی مراثی الحسین. و هو أخ صاحب الحدائق و تلمیذ الشیخ حسین الماحوزی. أورد بعض مراثیه الشیخ لطف الله الجد حفصی فی مجموعته التی کتبها بخطه الجید لنفسه فی 1201 عند الشیخ محمد علی یعقوب و نسخه منه کلها قصائد فی أکثر من ألف بیت فی المناقب و المراثی و یتخلص فی آخر کل قصیدة باسمه، و فی بعضها یذکر أبیه و یذکر أنه من آل عصفور و یذکر أخته المسماة بأمیرة و یدعو لأبیه و إخوته و لمن بکی فی مجلسه، و کتابة النسخة حدود</w:t>
      </w:r>
    </w:p>
    <w:p>
      <w:pPr>
        <w:pStyle w:val="BookText"/>
      </w:pPr>
      <w:r>
        <w:rPr>
          <w:rFonts w:ascii="IRNazanin" w:hAnsi="IRNazanin" w:eastAsia="IRNazanin" w:cs="IRNazanin"/>
          <w:lang w:bidi="fa-IR"/>
          <w:color w:val="111111"/>
          <w:sz w:val="28"/>
          <w:szCs w:val="28"/>
          <w:rtl/>
        </w:rPr>
        <w:t xml:space="preserve">1270 فی مکتبة موقوفة مدرسة البخارائی فی النجف منضما مع القصیدة الکراریة للشیخ محمد شریف بن فلاح الکاظمی التی نظمها فی مدح الأمیر فی أربعمائة و خمسین بیتا فی 1166 مطابق (ختامه مسک) و علیها ثمانیة عشر تقریظا من علماء عصره و أدبائها و منهم السید نصر الله المدرس الحائری.</w:t>
      </w:r>
    </w:p>
    <w:p>
      <w:pPr>
        <w:pStyle w:val="Heading3"/>
      </w:pPr>
      <w:bookmarkStart w:id="8486" w:name="_Toc7182"/>
      <w:r>
        <w:t>6420- دیوان محمد بن أحمد أو شعره‏</w:t>
      </w:r>
      <w:bookmarkEnd w:id="8486"/>
    </w:p>
    <w:p>
      <w:pPr>
        <w:pStyle w:val="BookText"/>
      </w:pPr>
      <w:r>
        <w:rPr>
          <w:rFonts w:ascii="IRNazanin" w:hAnsi="IRNazanin" w:eastAsia="IRNazanin" w:cs="IRNazanin"/>
          <w:lang w:bidi="fa-IR"/>
          <w:color w:val="111111"/>
          <w:sz w:val="28"/>
          <w:szCs w:val="28"/>
          <w:rtl/>
        </w:rPr>
        <w:t xml:space="preserve">و هو الشیخ أبو بکر محمد بن أحمد بن حمدان المعروف بالخباز البلدی من شعراء یتیمة الدهر تألیف الثعالبی. ترجمه فی نسمة السحر فیمن تشیع و شعر نقلا عن الیتیمة فأورد جملة من أشعاره و ترجم فی أمل الآمل نقلا عن خط صاحب المعالم.</w:t>
      </w:r>
    </w:p>
    <w:p>
      <w:pPr>
        <w:pStyle w:val="Heading3"/>
      </w:pPr>
      <w:bookmarkStart w:id="8487" w:name="_Toc7183"/>
      <w:r>
        <w:t>6421- دیوان الشیخ محمد بن أحمد</w:t>
      </w:r>
      <w:bookmarkEnd w:id="8487"/>
    </w:p>
    <w:p>
      <w:pPr>
        <w:pStyle w:val="BookText"/>
      </w:pPr>
      <w:r>
        <w:rPr>
          <w:rFonts w:ascii="IRNazanin" w:hAnsi="IRNazanin" w:eastAsia="IRNazanin" w:cs="IRNazanin"/>
          <w:lang w:bidi="fa-IR"/>
          <w:color w:val="111111"/>
          <w:sz w:val="28"/>
          <w:szCs w:val="28"/>
          <w:rtl/>
        </w:rPr>
        <w:t xml:space="preserve">ابن الشیخ حسین العصفوری المتوفی بابوشهر بعد 1261 هو فی المراثی و یظهر منه أن لأخیه الشیخ حسین بن أحمد أیضا مراثی‏
</w:t>
      </w:r>
    </w:p>
    <w:p>
      <w:pPr>
        <w:sectPr>
          <w:footerReference w:type="default" r:id="rId989"/>
          <w:footnotePr>
            <w:numStart w:val="1"/>
            <w:numRestart w:val="eachPage"/>
          </w:footnotePr>
          <w:pgSz w:orient="portrait" w:w="11905.511811023622" w:h="16837.79527559055"/>
          <w:pgMar w:top="1440" w:right="1440" w:bottom="1440" w:left="1440" w:header="720" w:footer="720" w:gutter="0"/>
          <w:cols w:num="1" w:space="720"/>
        </w:sectPr>
      </w:pPr>
    </w:p>
    <w:bookmarkStart w:id="971" w:name="pg11704_122457"/>
    <w:bookmarkEnd w:id="971"/>
    <w:p>
      <w:pPr>
        <w:pStyle w:val="BookText"/>
      </w:pPr>
      <w:r>
        <w:rPr>
          <w:rFonts w:ascii="IRNazanin" w:hAnsi="IRNazanin" w:eastAsia="IRNazanin" w:cs="IRNazanin"/>
          <w:lang w:bidi="fa-IR"/>
          <w:color w:val="111111"/>
          <w:sz w:val="28"/>
          <w:szCs w:val="28"/>
          <w:rtl/>
        </w:rPr>
        <w:t xml:space="preserve">الحسین و کذلک لأختهما أمیرة. و النسخة منضمة إلی الکراریة فی مدرسة البخارائی کتابتها حدود 1260.</w:t>
      </w:r>
    </w:p>
    <w:p>
      <w:pPr>
        <w:pStyle w:val="Heading3"/>
      </w:pPr>
      <w:bookmarkStart w:id="8488" w:name="_Toc7184"/>
      <w:r>
        <w:t>6422- دیوان محمد بن أحمد</w:t>
      </w:r>
      <w:bookmarkEnd w:id="8488"/>
    </w:p>
    <w:p>
      <w:pPr>
        <w:pStyle w:val="BookText"/>
      </w:pPr>
      <w:r>
        <w:rPr>
          <w:rFonts w:ascii="IRNazanin" w:hAnsi="IRNazanin" w:eastAsia="IRNazanin" w:cs="IRNazanin"/>
          <w:lang w:bidi="fa-IR"/>
          <w:color w:val="111111"/>
          <w:sz w:val="28"/>
          <w:szCs w:val="28"/>
          <w:rtl/>
        </w:rPr>
        <w:t xml:space="preserve">ابن الحسن بن إبراهیم طباطبا المکنی بأبی الحسن المتوفی 322 ذکره فی الدرجات الرفیعة.</w:t>
      </w:r>
    </w:p>
    <w:p>
      <w:pPr>
        <w:pStyle w:val="Heading3"/>
      </w:pPr>
      <w:bookmarkStart w:id="8489" w:name="_Toc7185"/>
      <w:r>
        <w:t>6423- دیوان الشیخ محمد بن أحمد</w:t>
      </w:r>
      <w:bookmarkEnd w:id="8489"/>
    </w:p>
    <w:p>
      <w:pPr>
        <w:pStyle w:val="BookText"/>
      </w:pPr>
      <w:r>
        <w:rPr>
          <w:rFonts w:ascii="IRNazanin" w:hAnsi="IRNazanin" w:eastAsia="IRNazanin" w:cs="IRNazanin"/>
          <w:lang w:bidi="fa-IR"/>
          <w:color w:val="111111"/>
          <w:sz w:val="28"/>
          <w:szCs w:val="28"/>
          <w:rtl/>
        </w:rPr>
        <w:t xml:space="preserve">ابن محمد بن الحسن بن علی بن إبراهیم الحنانی قال فی الأمل إنه فاضل عالم جلیل أدیب شاعر منشی کان قاضی بعلبک إلی قوله رأیت بخطه کتابا تاریخه 1030 ثم ذکر بعض أشعاره.</w:t>
      </w:r>
    </w:p>
    <w:p>
      <w:pPr>
        <w:pStyle w:val="Heading3"/>
      </w:pPr>
      <w:bookmarkStart w:id="8490" w:name="_Toc7186"/>
      <w:r>
        <w:t>6424- دیوان محمد بن أحمد</w:t>
      </w:r>
      <w:bookmarkEnd w:id="8490"/>
    </w:p>
    <w:p>
      <w:pPr>
        <w:pStyle w:val="BookText"/>
      </w:pPr>
      <w:r>
        <w:rPr>
          <w:rFonts w:ascii="IRNazanin" w:hAnsi="IRNazanin" w:eastAsia="IRNazanin" w:cs="IRNazanin"/>
          <w:lang w:bidi="fa-IR"/>
          <w:color w:val="111111"/>
          <w:sz w:val="28"/>
          <w:szCs w:val="28"/>
          <w:rtl/>
        </w:rPr>
        <w:t xml:space="preserve">ابن محمد بن أحمد الأموی الأبیوردی المتوفی 507 ترجمه ابن خلکان ج 2 ص 12 و ذکر أنه قسم دیوانه إلی أقسام النجدیات العراقیات و الوجدیات.</w:t>
      </w:r>
    </w:p>
    <w:p>
      <w:pPr>
        <w:pStyle w:val="Heading3"/>
      </w:pPr>
      <w:bookmarkStart w:id="8491" w:name="_Toc7187"/>
      <w:r>
        <w:t>6425- دیوان محمد بن إسحاق‏</w:t>
      </w:r>
      <w:bookmarkEnd w:id="8491"/>
    </w:p>
    <w:p>
      <w:pPr>
        <w:pStyle w:val="BookText"/>
      </w:pPr>
      <w:r>
        <w:rPr>
          <w:rFonts w:ascii="IRNazanin" w:hAnsi="IRNazanin" w:eastAsia="IRNazanin" w:cs="IRNazanin"/>
          <w:lang w:bidi="fa-IR"/>
          <w:color w:val="111111"/>
          <w:sz w:val="28"/>
          <w:szCs w:val="28"/>
          <w:rtl/>
        </w:rPr>
        <w:t xml:space="preserve">و هو القاضی نظام الدین محمد بن قاضی القضاة إسحاق بن المطهر الأصفهانی. ترجمه فی (لس- ص 226) و قال هو أقضی القضاة فی العراق و فی فنون الفضائل وحید الآفاق. و کان مداح شمس الدین محمد صاحب الدیوان و أخیه عطاء ملک و ابنه بهاء الدین محمد و له قصائد فی مدیحهم و أدرک الخواجة نصیر الدین الطوسی و مدحه فی بعض قصائده. و أورد قصیدته فی نیف و أربعین بیتا مع بعض رباعیاته.</w:t>
      </w:r>
    </w:p>
    <w:p>
      <w:pPr>
        <w:pStyle w:val="BookText"/>
      </w:pPr>
      <w:r>
        <w:rPr>
          <w:rFonts w:ascii="IRNazanin" w:hAnsi="IRNazanin" w:eastAsia="IRNazanin" w:cs="IRNazanin"/>
          <w:lang w:bidi="fa-IR"/>
          <w:color w:val="111111"/>
          <w:sz w:val="28"/>
          <w:szCs w:val="28"/>
          <w:rtl/>
        </w:rPr>
        <w:t xml:space="preserve">مطلع القصیدة.</w:t>
      </w:r>
    </w:p>
    <w:p>
      <w:pPr>
        <w:pStyle w:val="BookText"/>
      </w:pPr>
      <w:r>
        <w:rPr>
          <w:rFonts w:ascii="IRNazanin" w:hAnsi="IRNazanin" w:eastAsia="IRNazanin" w:cs="IRNazanin"/>
          <w:lang w:bidi="fa-IR"/>
          <w:color w:val="111111"/>
          <w:sz w:val="28"/>
          <w:szCs w:val="28"/>
          <w:rtl/>
        </w:rPr>
        <w:t xml:space="preserve">لله درکم یا آل یاسینا</w:t>
      </w:r>
    </w:p>
    <w:p>
      <w:pPr>
        <w:pStyle w:val="BookText"/>
      </w:pPr>
      <w:r>
        <w:rPr>
          <w:rFonts w:ascii="IRNazanin" w:hAnsi="IRNazanin" w:eastAsia="IRNazanin" w:cs="IRNazanin"/>
          <w:lang w:bidi="fa-IR"/>
          <w:color w:val="111111"/>
          <w:sz w:val="28"/>
          <w:szCs w:val="28"/>
          <w:rtl/>
        </w:rPr>
        <w:t xml:space="preserve">یا أنجم الحق أعلام الهدی فینا</w:t>
      </w:r>
    </w:p>
    <w:p>
      <w:pPr>
        <w:pStyle w:val="BookText"/>
      </w:pPr>
      <w:r>
        <w:rPr>
          <w:rFonts w:ascii="IRNazanin" w:hAnsi="IRNazanin" w:eastAsia="IRNazanin" w:cs="IRNazanin"/>
          <w:lang w:bidi="fa-IR"/>
          <w:color w:val="111111"/>
          <w:sz w:val="28"/>
          <w:szCs w:val="28"/>
          <w:rtl/>
        </w:rPr>
        <w:t xml:space="preserve">و یظهر من بعض الفهارس أن دیوانه موجود فی المتحف البریطانی.</w:t>
      </w:r>
    </w:p>
    <w:p>
      <w:pPr>
        <w:pStyle w:val="Heading3"/>
      </w:pPr>
      <w:bookmarkStart w:id="8492" w:name="_Toc7188"/>
      <w:r>
        <w:t>6426- دیوان محمد بن إسماعیل أو شعره‏</w:t>
      </w:r>
      <w:bookmarkEnd w:id="8492"/>
    </w:p>
    <w:p>
      <w:pPr>
        <w:pStyle w:val="BookText"/>
      </w:pPr>
      <w:r>
        <w:rPr>
          <w:rFonts w:ascii="IRNazanin" w:hAnsi="IRNazanin" w:eastAsia="IRNazanin" w:cs="IRNazanin"/>
          <w:lang w:bidi="fa-IR"/>
          <w:color w:val="111111"/>
          <w:sz w:val="28"/>
          <w:szCs w:val="28"/>
          <w:rtl/>
        </w:rPr>
        <w:t xml:space="preserve">و هو محمد بن إسماعیل بن صالح الصیمری مادح الإمام الحسن الثالث کما ذکره فی (المعالم- ص 141).</w:t>
      </w:r>
    </w:p>
    <w:p>
      <w:pPr>
        <w:pStyle w:val="Heading3"/>
      </w:pPr>
      <w:bookmarkStart w:id="8493" w:name="_Toc7189"/>
      <w:r>
        <w:t>6427- دیوان محمد بن أمیرکا</w:t>
      </w:r>
      <w:bookmarkEnd w:id="8493"/>
    </w:p>
    <w:p>
      <w:pPr>
        <w:pStyle w:val="BookText"/>
      </w:pPr>
      <w:r>
        <w:rPr>
          <w:rFonts w:ascii="IRNazanin" w:hAnsi="IRNazanin" w:eastAsia="IRNazanin" w:cs="IRNazanin"/>
          <w:lang w:bidi="fa-IR"/>
          <w:color w:val="111111"/>
          <w:sz w:val="28"/>
          <w:szCs w:val="28"/>
          <w:rtl/>
        </w:rPr>
        <w:t xml:space="preserve">ابن أبی الفضل الجعفری القوسینی. ترجمه الشیخ منتجب الدین و قال له مقتل الحسین و له نظم رائق.</w:t>
      </w:r>
    </w:p>
    <w:p>
      <w:pPr>
        <w:pStyle w:val="Heading3"/>
      </w:pPr>
      <w:bookmarkStart w:id="8494" w:name="_Toc7190"/>
      <w:r>
        <w:t>6428- دیوان محمد بن إیل طغان‏</w:t>
      </w:r>
      <w:bookmarkEnd w:id="8494"/>
    </w:p>
    <w:p>
      <w:pPr>
        <w:pStyle w:val="BookText"/>
      </w:pPr>
      <w:r>
        <w:rPr>
          <w:rFonts w:ascii="IRNazanin" w:hAnsi="IRNazanin" w:eastAsia="IRNazanin" w:cs="IRNazanin"/>
          <w:lang w:bidi="fa-IR"/>
          <w:color w:val="111111"/>
          <w:sz w:val="28"/>
          <w:szCs w:val="28"/>
          <w:rtl/>
        </w:rPr>
        <w:t xml:space="preserve">و هو شمس الدین محمد بن إیل طغان (الطغان) البردسیری الکرمانی العارف. کان شیخا بخانقاه سلطان فی هراة أورد شعره العوفی فی (لب 7) و قال إن له مثنوی فی العرفان. و ینسب إلیه منظومة مصباح الأرواح‏
</w:t>
      </w:r>
    </w:p>
    <w:p>
      <w:pPr>
        <w:sectPr>
          <w:footerReference w:type="default" r:id="rId990"/>
          <w:footnotePr>
            <w:numStart w:val="1"/>
            <w:numRestart w:val="eachPage"/>
          </w:footnotePr>
          <w:pgSz w:orient="portrait" w:w="11905.511811023622" w:h="16837.79527559055"/>
          <w:pgMar w:top="1440" w:right="1440" w:bottom="1440" w:left="1440" w:header="720" w:footer="720" w:gutter="0"/>
          <w:cols w:num="1" w:space="720"/>
        </w:sectPr>
      </w:pPr>
    </w:p>
    <w:bookmarkStart w:id="972" w:name="pg11704_122458"/>
    <w:bookmarkEnd w:id="972"/>
    <w:p>
      <w:pPr>
        <w:pStyle w:val="BookText"/>
      </w:pPr>
      <w:r>
        <w:rPr>
          <w:rFonts w:ascii="IRNazanin" w:hAnsi="IRNazanin" w:eastAsia="IRNazanin" w:cs="IRNazanin"/>
          <w:lang w:bidi="fa-IR"/>
          <w:color w:val="111111"/>
          <w:sz w:val="28"/>
          <w:szCs w:val="28"/>
          <w:rtl/>
        </w:rPr>
        <w:t xml:space="preserve">کما فی نسخه بجامعة طهران علی خلاف الشهرة فی نسبته إلی أوحد الدین حامد الکرمانی المذکور فی ص 228.</w:t>
      </w:r>
    </w:p>
    <w:p>
      <w:pPr>
        <w:pStyle w:val="Heading3"/>
      </w:pPr>
      <w:bookmarkStart w:id="8495" w:name="_Toc7191"/>
      <w:r>
        <w:t>دیوان محمد بن بختیار</w:t>
      </w:r>
      <w:bookmarkEnd w:id="8495"/>
    </w:p>
    <w:p>
      <w:pPr>
        <w:pStyle w:val="BookText"/>
      </w:pPr>
      <w:r>
        <w:rPr>
          <w:rFonts w:ascii="IRNazanin" w:hAnsi="IRNazanin" w:eastAsia="IRNazanin" w:cs="IRNazanin"/>
          <w:lang w:bidi="fa-IR"/>
          <w:color w:val="111111"/>
          <w:sz w:val="28"/>
          <w:szCs w:val="28"/>
          <w:rtl/>
        </w:rPr>
        <w:t xml:space="preserve">الأبله البغدادی بن عبد الله المولد مر فی ص 17 و رأیت نسخته فی 131 ورقة کتبت فی القرن الثالث عشر عن نسخه الأصل المکتوبة فی 599 عند (فخر الدین) أوله: [قال محمد بن بختیار المولد المعروف بالأبله الشاعر یمدح الإمام المقتفی لأمر الله أبا عبد الله محمد بن الإمام المستظهر بالله أمیر المؤمنین:</w:t>
      </w:r>
    </w:p>
    <w:p>
      <w:pPr>
        <w:pStyle w:val="BookText"/>
      </w:pPr>
      <w:r>
        <w:rPr>
          <w:rFonts w:ascii="IRNazanin" w:hAnsi="IRNazanin" w:eastAsia="IRNazanin" w:cs="IRNazanin"/>
          <w:lang w:bidi="fa-IR"/>
          <w:color w:val="111111"/>
          <w:sz w:val="28"/>
          <w:szCs w:val="28"/>
          <w:rtl/>
        </w:rPr>
        <w:t xml:space="preserve">راحت لسرحه نعمان و وادیها</w:t>
      </w:r>
    </w:p>
    <w:p>
      <w:pPr>
        <w:pStyle w:val="BookText"/>
      </w:pPr>
      <w:r>
        <w:rPr>
          <w:rFonts w:ascii="IRNazanin" w:hAnsi="IRNazanin" w:eastAsia="IRNazanin" w:cs="IRNazanin"/>
          <w:lang w:bidi="fa-IR"/>
          <w:color w:val="111111"/>
          <w:sz w:val="28"/>
          <w:szCs w:val="28"/>
          <w:rtl/>
        </w:rPr>
        <w:t xml:space="preserve">عن السحائب تغدوها غوادیها</w:t>
      </w:r>
    </w:p>
    <w:p>
      <w:pPr>
        <w:pStyle w:val="BookText"/>
      </w:pPr>
      <w:r>
        <w:rPr>
          <w:rFonts w:ascii="IRNazanin" w:hAnsi="IRNazanin" w:eastAsia="IRNazanin" w:cs="IRNazanin"/>
          <w:lang w:bidi="fa-IR"/>
          <w:color w:val="111111"/>
          <w:sz w:val="28"/>
          <w:szCs w:val="28"/>
          <w:rtl/>
        </w:rPr>
        <w:t xml:space="preserve">و آخرها:</w:t>
      </w:r>
    </w:p>
    <w:p>
      <w:pPr>
        <w:pStyle w:val="BookText"/>
      </w:pPr>
      <w:r>
        <w:rPr>
          <w:rFonts w:ascii="IRNazanin" w:hAnsi="IRNazanin" w:eastAsia="IRNazanin" w:cs="IRNazanin"/>
          <w:lang w:bidi="fa-IR"/>
          <w:color w:val="111111"/>
          <w:sz w:val="28"/>
          <w:szCs w:val="28"/>
          <w:rtl/>
        </w:rPr>
        <w:t xml:space="preserve">کم دعوه یقلع فی یومه‏</w:t>
      </w:r>
    </w:p>
    <w:p>
      <w:pPr>
        <w:pStyle w:val="BookText"/>
      </w:pPr>
      <w:r>
        <w:rPr>
          <w:rFonts w:ascii="IRNazanin" w:hAnsi="IRNazanin" w:eastAsia="IRNazanin" w:cs="IRNazanin"/>
          <w:lang w:bidi="fa-IR"/>
          <w:color w:val="111111"/>
          <w:sz w:val="28"/>
          <w:szCs w:val="28"/>
          <w:rtl/>
        </w:rPr>
        <w:t xml:space="preserve">یا رب ما تقلعه دعوه‏</w:t>
      </w:r>
    </w:p>
    <w:p>
      <w:pPr>
        <w:pStyle w:val="Heading3"/>
      </w:pPr>
      <w:bookmarkStart w:id="8496" w:name="_Toc7192"/>
      <w:r>
        <w:t>6429- دیوان محمد بن بدر الجاجرمی‏</w:t>
      </w:r>
      <w:bookmarkEnd w:id="8496"/>
    </w:p>
    <w:p>
      <w:pPr>
        <w:pStyle w:val="BookText"/>
      </w:pPr>
      <w:r>
        <w:rPr>
          <w:rFonts w:ascii="IRNazanin" w:hAnsi="IRNazanin" w:eastAsia="IRNazanin" w:cs="IRNazanin"/>
          <w:lang w:bidi="fa-IR"/>
          <w:color w:val="111111"/>
          <w:sz w:val="28"/>
          <w:szCs w:val="28"/>
          <w:rtl/>
        </w:rPr>
        <w:t xml:space="preserve">و هو مؤلف مونس الأحرار المطبوع فی 1337 ش. بتصحیح و تقدمه من میر صالح طبیبی و طبع قصائده مع قصائد عرفی فی کانپور 1280 و مر والده بدر فی ص 1281</w:t>
      </w:r>
    </w:p>
    <w:p>
      <w:pPr>
        <w:pStyle w:val="Heading3"/>
      </w:pPr>
      <w:bookmarkStart w:id="8497" w:name="_Toc7193"/>
      <w:r>
        <w:t>6430- دیوان محمد بن الحارث الجزائری أو شعره‏</w:t>
      </w:r>
      <w:bookmarkEnd w:id="8497"/>
    </w:p>
    <w:p>
      <w:pPr>
        <w:pStyle w:val="BookText"/>
      </w:pPr>
      <w:r>
        <w:rPr>
          <w:rFonts w:ascii="IRNazanin" w:hAnsi="IRNazanin" w:eastAsia="IRNazanin" w:cs="IRNazanin"/>
          <w:lang w:bidi="fa-IR"/>
          <w:color w:val="111111"/>
          <w:sz w:val="28"/>
          <w:szCs w:val="28"/>
          <w:rtl/>
        </w:rPr>
        <w:t xml:space="preserve">قال فی الأمل: کان فاضلا عالما شاعرا صدوقا من تلامذة الشیخ علی بن عبد العالی الکرکی.</w:t>
      </w:r>
    </w:p>
    <w:p>
      <w:pPr>
        <w:pStyle w:val="Heading3"/>
      </w:pPr>
      <w:bookmarkStart w:id="8498" w:name="_Toc7194"/>
      <w:r>
        <w:t>دیوان محمد بن حسام الخوسفی‏</w:t>
      </w:r>
      <w:bookmarkEnd w:id="8498"/>
    </w:p>
    <w:p>
      <w:pPr>
        <w:pStyle w:val="BookText"/>
      </w:pPr>
      <w:r>
        <w:rPr>
          <w:rFonts w:ascii="IRNazanin" w:hAnsi="IRNazanin" w:eastAsia="IRNazanin" w:cs="IRNazanin"/>
          <w:lang w:bidi="fa-IR"/>
          <w:color w:val="111111"/>
          <w:sz w:val="28"/>
          <w:szCs w:val="28"/>
          <w:rtl/>
        </w:rPr>
        <w:t xml:space="preserve">المذکور فی ص 20 ترجمه و أورد شعره فی (لت 7) و ذکر وفاته فی 875 و کذا فی شاهد صادق. و ذکر دیوانه فی کشف الظنون.</w:t>
      </w:r>
    </w:p>
    <w:p>
      <w:pPr>
        <w:pStyle w:val="Heading3"/>
      </w:pPr>
      <w:bookmarkStart w:id="8499" w:name="_Toc7195"/>
      <w:r>
        <w:t>6431- دیوان محمد بن الحسن الآملی المازندرانی أو شعره‏</w:t>
      </w:r>
      <w:bookmarkEnd w:id="8499"/>
    </w:p>
    <w:p>
      <w:pPr>
        <w:pStyle w:val="BookText"/>
      </w:pPr>
      <w:r>
        <w:rPr>
          <w:rFonts w:ascii="IRNazanin" w:hAnsi="IRNazanin" w:eastAsia="IRNazanin" w:cs="IRNazanin"/>
          <w:lang w:bidi="fa-IR"/>
          <w:color w:val="111111"/>
          <w:sz w:val="28"/>
          <w:szCs w:val="28"/>
          <w:rtl/>
        </w:rPr>
        <w:t xml:space="preserve">و یعرف بالمولی أولیاء الله مؤلف تاریخ ملوک مازندران فی عصره أوائل المائة الثامنة. و قد کتب السید ظهیر الدین المرعشی ذیلا له أنهاه إلی عصره کما ذکر فی (مع: ج 1 ص 504) و أورد له رباعیتین. أقول: إن کان مراده المولی أولیاء الله مؤلف تاریخ رویان المطبوع 1313 ش. فهو ینتهی إلی 805 فمؤلفه من أهل المائة التاسعة و لعله المذکور بعنوان محمد آملی فی ص 979.</w:t>
      </w:r>
    </w:p>
    <w:p>
      <w:pPr>
        <w:pStyle w:val="Heading3"/>
      </w:pPr>
      <w:bookmarkStart w:id="8500" w:name="_Toc7196"/>
      <w:r>
        <w:t>دیوان محمد بن الحسن الحر العاملی‏</w:t>
      </w:r>
      <w:bookmarkEnd w:id="8500"/>
    </w:p>
    <w:p>
      <w:pPr>
        <w:pStyle w:val="BookText"/>
      </w:pPr>
      <w:r>
        <w:rPr>
          <w:rFonts w:ascii="IRNazanin" w:hAnsi="IRNazanin" w:eastAsia="IRNazanin" w:cs="IRNazanin"/>
          <w:lang w:bidi="fa-IR"/>
          <w:color w:val="111111"/>
          <w:sz w:val="28"/>
          <w:szCs w:val="28"/>
          <w:rtl/>
        </w:rPr>
        <w:t xml:space="preserve">مر بعنوان دیوان الحر</w:t>
      </w:r>
      <w:r>
        <w:rPr>
          <w:rStyle w:val="FootnoteReference"/>
        </w:rPr>
        <w:footnoteReference w:id="83"/>
      </w:r>
      <w:r>
        <w:rPr>
          <w:rFonts w:ascii="IRNazanin" w:hAnsi="IRNazanin" w:eastAsia="IRNazanin" w:cs="IRNazanin"/>
          <w:lang w:bidi="fa-IR"/>
          <w:color w:val="111111"/>
          <w:sz w:val="28"/>
          <w:szCs w:val="28"/>
          <w:rtl/>
        </w:rPr>
        <w:t xml:space="preserve">و إنه قرب عشرین ألف بیت أکثرها فی مدح المعصومین. و له أراجیز أخر ذکرها فی الأمل و أورد من شعره‏
</w:t>
      </w:r>
    </w:p>
    <w:p>
      <w:pPr>
        <w:sectPr>
          <w:footerReference w:type="default" r:id="rId991"/>
          <w:footnotePr>
            <w:numStart w:val="1"/>
            <w:numRestart w:val="eachPage"/>
          </w:footnotePr>
          <w:pgSz w:orient="portrait" w:w="11905.511811023622" w:h="16837.79527559055"/>
          <w:pgMar w:top="1440" w:right="1440" w:bottom="1440" w:left="1440" w:header="720" w:footer="720" w:gutter="0"/>
          <w:cols w:num="1" w:space="720"/>
        </w:sectPr>
      </w:pPr>
    </w:p>
    <w:bookmarkStart w:id="973" w:name="pg11704_122459"/>
    <w:bookmarkEnd w:id="973"/>
    <w:p>
      <w:pPr>
        <w:pStyle w:val="BookText"/>
      </w:pPr>
      <w:r>
        <w:rPr>
          <w:rFonts w:ascii="IRNazanin" w:hAnsi="IRNazanin" w:eastAsia="IRNazanin" w:cs="IRNazanin"/>
          <w:lang w:bidi="fa-IR"/>
          <w:color w:val="111111"/>
          <w:sz w:val="28"/>
          <w:szCs w:val="28"/>
          <w:rtl/>
        </w:rPr>
        <w:t xml:space="preserve">قرب مائة بیت. و کذا ذکر شعره فی السلافة و نسخه خط یده فی مکتبة الشیخ محمد (السماوی).</w:t>
      </w:r>
    </w:p>
    <w:p>
      <w:pPr>
        <w:pStyle w:val="Heading3"/>
      </w:pPr>
      <w:bookmarkStart w:id="8501" w:name="_Toc7197"/>
      <w:r>
        <w:t>6432- دیوان السید صفی الدین محمد بن الحسن أبی الرضا العلوی البغدادی‏</w:t>
      </w:r>
      <w:bookmarkEnd w:id="8501"/>
    </w:p>
    <w:p>
      <w:pPr>
        <w:pStyle w:val="BookText"/>
      </w:pPr>
      <w:r>
        <w:rPr>
          <w:rFonts w:ascii="IRNazanin" w:hAnsi="IRNazanin" w:eastAsia="IRNazanin" w:cs="IRNazanin"/>
          <w:lang w:bidi="fa-IR"/>
          <w:color w:val="111111"/>
          <w:sz w:val="28"/>
          <w:szCs w:val="28"/>
          <w:rtl/>
        </w:rPr>
        <w:t xml:space="preserve">ترجمه فی الأمل و ذکر أنه من مشایخ الشهید و ابن معیة و ذکر بعض قصیدته فی رثاء الشیخ محفوظ بن وشاح.</w:t>
      </w:r>
    </w:p>
    <w:p>
      <w:pPr>
        <w:pStyle w:val="Heading3"/>
      </w:pPr>
      <w:bookmarkStart w:id="8502" w:name="_Toc7198"/>
      <w:r>
        <w:t>6433- دیوان محمد بن الحسن بن درید الأزدی‏</w:t>
      </w:r>
      <w:bookmarkEnd w:id="8502"/>
    </w:p>
    <w:p>
      <w:pPr>
        <w:pStyle w:val="BookText"/>
      </w:pPr>
      <w:r>
        <w:rPr>
          <w:rFonts w:ascii="IRNazanin" w:hAnsi="IRNazanin" w:eastAsia="IRNazanin" w:cs="IRNazanin"/>
          <w:lang w:bidi="fa-IR"/>
          <w:color w:val="111111"/>
          <w:sz w:val="28"/>
          <w:szCs w:val="28"/>
          <w:rtl/>
        </w:rPr>
        <w:t xml:space="preserve">النحوی اللغوی. حکی ترجمته فی الأمل عن ابن شهرآشوب و عن طبقات الأدباء له الجمهرة و المقصورة المشهورة</w:t>
      </w:r>
    </w:p>
    <w:p>
      <w:pPr>
        <w:pStyle w:val="Heading3"/>
      </w:pPr>
      <w:bookmarkStart w:id="8503" w:name="_Toc7199"/>
      <w:r>
        <w:t>6434- دیوان محمد بن الحسن‏</w:t>
      </w:r>
      <w:bookmarkEnd w:id="8503"/>
    </w:p>
    <w:p>
      <w:pPr>
        <w:pStyle w:val="BookText"/>
      </w:pPr>
      <w:r>
        <w:rPr>
          <w:rFonts w:ascii="IRNazanin" w:hAnsi="IRNazanin" w:eastAsia="IRNazanin" w:cs="IRNazanin"/>
          <w:lang w:bidi="fa-IR"/>
          <w:color w:val="111111"/>
          <w:sz w:val="28"/>
          <w:szCs w:val="28"/>
          <w:rtl/>
        </w:rPr>
        <w:t xml:space="preserve">ابن زین الدین الشهید المتوفی 1030 ذکره فی الأمل بقوله کان عالما فاضلا محققا متبحرا جامعا کاملا صالحا ورعا فقیها محدثا متکلما حافظا شاعرا أدیبا منشیا جلیل القدر- إلی قوله- فی تعداد تصانیفه و دیوان شعره. ثم نقل من بعض قصائده.</w:t>
      </w:r>
    </w:p>
    <w:p>
      <w:pPr>
        <w:pStyle w:val="Heading3"/>
      </w:pPr>
      <w:bookmarkStart w:id="8504" w:name="_Toc7200"/>
      <w:r>
        <w:t>6435- دیوان محمد بن الحسن الخراسانی‏</w:t>
      </w:r>
      <w:bookmarkEnd w:id="8504"/>
    </w:p>
    <w:p>
      <w:pPr>
        <w:pStyle w:val="BookText"/>
      </w:pPr>
      <w:r>
        <w:rPr>
          <w:rFonts w:ascii="IRNazanin" w:hAnsi="IRNazanin" w:eastAsia="IRNazanin" w:cs="IRNazanin"/>
          <w:lang w:bidi="fa-IR"/>
          <w:color w:val="111111"/>
          <w:sz w:val="28"/>
          <w:szCs w:val="28"/>
          <w:rtl/>
        </w:rPr>
        <w:t xml:space="preserve">المشهدی العالم العارف المتوفی 1257 نقل تلمیذه المولی نوروز علی البسطامی قطعة منه فی بعض مجامیعه.</w:t>
      </w:r>
    </w:p>
    <w:p>
      <w:pPr>
        <w:pStyle w:val="Heading3"/>
      </w:pPr>
      <w:bookmarkStart w:id="8505" w:name="_Toc7201"/>
      <w:r>
        <w:t>6436- دیوان محمد بن الحسن الشیروالی‏</w:t>
      </w:r>
      <w:bookmarkEnd w:id="8505"/>
    </w:p>
    <w:p>
      <w:pPr>
        <w:pStyle w:val="BookText"/>
      </w:pPr>
      <w:r>
        <w:rPr>
          <w:rFonts w:ascii="IRNazanin" w:hAnsi="IRNazanin" w:eastAsia="IRNazanin" w:cs="IRNazanin"/>
          <w:lang w:bidi="fa-IR"/>
          <w:color w:val="111111"/>
          <w:sz w:val="28"/>
          <w:szCs w:val="28"/>
          <w:rtl/>
        </w:rPr>
        <w:t xml:space="preserve">نزیل أصفهان فی محلة أحمدآباد و المتوفی بها 1099 کما أرخه النصرآبادی و أطرأه فی (نر 6- ص 157) و أورد رباعیة له و ترجمه فی (دجا- ص 332) و ذکر بعض تصانیفه. و ترجمه شیخنا النوری فی الفیض القدسی بملاحظة أنه أحد أصهار مولانا محمد تقی المجلسی. و ترجمه مفصلا سیدنا بحر العلوم فی الفوائد الرجالیة و نقل عنه فی نجوم السماء و فی الروضات و</w:t>
      </w:r>
    </w:p>
    <w:p>
      <w:pPr>
        <w:pStyle w:val="BookText"/>
      </w:pPr>
      <w:r>
        <w:rPr>
          <w:rFonts w:ascii="IRNazanin" w:hAnsi="IRNazanin" w:eastAsia="IRNazanin" w:cs="IRNazanin"/>
          <w:lang w:bidi="fa-IR"/>
          <w:color w:val="111111"/>
          <w:sz w:val="28"/>
          <w:szCs w:val="28"/>
          <w:rtl/>
        </w:rPr>
        <w:t xml:space="preserve">أرخ وفاته فی الفیض القدسی فی أواخر الفصل الرابع بقوله یوم الجمعة قرب الزوال التاسع و العشرین من شهر رمضان 1098.</w:t>
      </w:r>
    </w:p>
    <w:p>
      <w:pPr>
        <w:pStyle w:val="Heading3"/>
      </w:pPr>
      <w:bookmarkStart w:id="8506" w:name="_Toc7202"/>
      <w:r>
        <w:t>دیوان محمد بن الحسین‏</w:t>
      </w:r>
      <w:bookmarkEnd w:id="8506"/>
    </w:p>
    <w:p>
      <w:pPr>
        <w:pStyle w:val="BookText"/>
      </w:pPr>
      <w:r>
        <w:rPr>
          <w:rFonts w:ascii="IRNazanin" w:hAnsi="IRNazanin" w:eastAsia="IRNazanin" w:cs="IRNazanin"/>
          <w:lang w:bidi="fa-IR"/>
          <w:color w:val="111111"/>
          <w:sz w:val="28"/>
          <w:szCs w:val="28"/>
          <w:rtl/>
        </w:rPr>
        <w:t xml:space="preserve">مر بعنوان دیوان الرضی. قال ابن شهرآشوب إنه فی أربع مجلدات.</w:t>
      </w:r>
    </w:p>
    <w:p>
      <w:pPr>
        <w:pStyle w:val="Heading3"/>
      </w:pPr>
      <w:bookmarkStart w:id="8507" w:name="_Toc7203"/>
      <w:r>
        <w:t>دیوان محمد بن الحسین‏</w:t>
      </w:r>
      <w:bookmarkEnd w:id="8507"/>
    </w:p>
    <w:p>
      <w:pPr>
        <w:pStyle w:val="BookText"/>
      </w:pPr>
      <w:r>
        <w:rPr>
          <w:rFonts w:ascii="IRNazanin" w:hAnsi="IRNazanin" w:eastAsia="IRNazanin" w:cs="IRNazanin"/>
          <w:lang w:bidi="fa-IR"/>
          <w:color w:val="111111"/>
          <w:sz w:val="28"/>
          <w:szCs w:val="28"/>
          <w:rtl/>
        </w:rPr>
        <w:t xml:space="preserve">ابن عبد الصمد الحارثی العاملی. مر بتخلصه بهائی. و ترجمه فی الأمل باسمه و قال: له شعر حسن کثیر بالعربیة و الفارسیة متفرقة و قد جمعه ولدی محمد رضا الحر فصار دیوانا لطیفا. ثم أورد بعضه.
</w:t>
      </w:r>
    </w:p>
    <w:p>
      <w:pPr>
        <w:sectPr>
          <w:footerReference w:type="default" r:id="rId992"/>
          <w:footnotePr>
            <w:numStart w:val="1"/>
            <w:numRestart w:val="eachPage"/>
          </w:footnotePr>
          <w:pgSz w:orient="portrait" w:w="11905.511811023622" w:h="16837.79527559055"/>
          <w:pgMar w:top="1440" w:right="1440" w:bottom="1440" w:left="1440" w:header="720" w:footer="720" w:gutter="0"/>
          <w:cols w:num="1" w:space="720"/>
        </w:sectPr>
      </w:pPr>
    </w:p>
    <w:bookmarkStart w:id="974" w:name="pg11704_122460"/>
    <w:bookmarkEnd w:id="974"/>
    <w:p>
      <w:pPr>
        <w:pStyle w:val="Heading3"/>
      </w:pPr>
      <w:bookmarkStart w:id="8508" w:name="_Toc7204"/>
      <w:r>
        <w:t>6437- دیوان محمد بن الحسین‏</w:t>
      </w:r>
      <w:bookmarkEnd w:id="8508"/>
    </w:p>
    <w:p>
      <w:pPr>
        <w:pStyle w:val="BookText"/>
      </w:pPr>
      <w:r>
        <w:rPr>
          <w:rFonts w:ascii="IRNazanin" w:hAnsi="IRNazanin" w:eastAsia="IRNazanin" w:cs="IRNazanin"/>
          <w:lang w:bidi="fa-IR"/>
          <w:color w:val="111111"/>
          <w:sz w:val="28"/>
          <w:szCs w:val="28"/>
          <w:rtl/>
        </w:rPr>
        <w:t xml:space="preserve">الطوسی من شعراء الخریدة کما ذکره فی نسمة السحر فیمن تشیع و شعر قال و له الرباعیة التی یکتبها الشیعة علی الفص الأسود و الأخری التی یکتبها علی الفص الأحمر. و الطوس معرب توز.</w:t>
      </w:r>
    </w:p>
    <w:p>
      <w:pPr>
        <w:pStyle w:val="Heading3"/>
      </w:pPr>
      <w:bookmarkStart w:id="8509" w:name="_Toc7205"/>
      <w:r>
        <w:t>دیوان محمد بن الحسین بن العمید</w:t>
      </w:r>
      <w:bookmarkEnd w:id="8509"/>
    </w:p>
    <w:p>
      <w:pPr>
        <w:pStyle w:val="BookText"/>
      </w:pPr>
      <w:r>
        <w:rPr>
          <w:rFonts w:ascii="IRNazanin" w:hAnsi="IRNazanin" w:eastAsia="IRNazanin" w:cs="IRNazanin"/>
          <w:lang w:bidi="fa-IR"/>
          <w:color w:val="111111"/>
          <w:sz w:val="28"/>
          <w:szCs w:val="28"/>
          <w:rtl/>
        </w:rPr>
        <w:t xml:space="preserve">مر بعنوان دیوان ابن العمید.</w:t>
      </w:r>
    </w:p>
    <w:p>
      <w:pPr>
        <w:pStyle w:val="Heading3"/>
      </w:pPr>
      <w:bookmarkStart w:id="8510" w:name="_Toc7206"/>
      <w:r>
        <w:t>6438- دیوان محمد بن الحسین‏</w:t>
      </w:r>
      <w:bookmarkEnd w:id="8510"/>
    </w:p>
    <w:p>
      <w:pPr>
        <w:pStyle w:val="BookText"/>
      </w:pPr>
      <w:r>
        <w:rPr>
          <w:rFonts w:ascii="IRNazanin" w:hAnsi="IRNazanin" w:eastAsia="IRNazanin" w:cs="IRNazanin"/>
          <w:lang w:bidi="fa-IR"/>
          <w:color w:val="111111"/>
          <w:sz w:val="28"/>
          <w:szCs w:val="28"/>
          <w:rtl/>
        </w:rPr>
        <w:t xml:space="preserve">ابن محمد الحسنی الکیسکی. ترجمه الشیخ منتجب الدین، قال هو وجه السادة فی ری و له نظم حسن و خطب لطیفة.</w:t>
      </w:r>
    </w:p>
    <w:p>
      <w:pPr>
        <w:pStyle w:val="Heading3"/>
      </w:pPr>
      <w:bookmarkStart w:id="8511" w:name="_Toc7207"/>
      <w:r>
        <w:t>6439- دیوان محمد بن حماد أو شعره‏</w:t>
      </w:r>
      <w:bookmarkEnd w:id="8511"/>
    </w:p>
    <w:p>
      <w:pPr>
        <w:pStyle w:val="BookText"/>
      </w:pPr>
      <w:r>
        <w:rPr>
          <w:rFonts w:ascii="IRNazanin" w:hAnsi="IRNazanin" w:eastAsia="IRNazanin" w:cs="IRNazanin"/>
          <w:lang w:bidi="fa-IR"/>
          <w:color w:val="111111"/>
          <w:sz w:val="28"/>
          <w:szCs w:val="28"/>
          <w:rtl/>
        </w:rPr>
        <w:t xml:space="preserve">هو أبو نزار بن حماد ابن المبارک بن محمد بن حنان المخزومی الأرجی الشیبانی نقل فی مجلد إجازات البحار ص 15 عن مجموعة الجبعی نقلا منه عن خط الشهید محمد بن مکی أنه أدیب فاضل کان مشغولا بالجمع و التصنیف. له أشعار فی مدح الأئمة الاثنی عشر مع النبی.</w:t>
      </w:r>
    </w:p>
    <w:p>
      <w:pPr>
        <w:pStyle w:val="Heading3"/>
      </w:pPr>
      <w:bookmarkStart w:id="8512" w:name="_Toc7208"/>
      <w:r>
        <w:t>دیوان الشیخ محمد بن حمزة</w:t>
      </w:r>
      <w:bookmarkEnd w:id="8512"/>
    </w:p>
    <w:p>
      <w:pPr>
        <w:pStyle w:val="BookText"/>
      </w:pPr>
      <w:r>
        <w:rPr>
          <w:rFonts w:ascii="IRNazanin" w:hAnsi="IRNazanin" w:eastAsia="IRNazanin" w:cs="IRNazanin"/>
          <w:lang w:bidi="fa-IR"/>
          <w:color w:val="111111"/>
          <w:sz w:val="28"/>
          <w:szCs w:val="28"/>
          <w:rtl/>
        </w:rPr>
        <w:t xml:space="preserve">ابن الحسین بن نور علی التستری أصلا الحلی مولدا (1243- 1322) و یعرف بالشیخ محمد الملا. ترجمه فی الحصون المنیعة مکررا، و نقل عنه الخاقانی فی الجزء الخامس من شعراء الحلة و أورد ترجمته فی ص 209 إلی ص 237 ناقلا الکثیر من أشعاره و حاکیا ما سمعه شفاها صاحب الحصون عن ولده الفاضل الأدیب الشیخ قاسم الملا من أن شعر والده یبلغ إلی خمسین ألف بیت فی خمس مجلدات بعضها بخطه و بعضها بخط أولاده، لأنه بعد ذهاب بصره کان یملی شعره علیهم و هم یکتبوه و مر فی ص 30 کما مر له البدیعیة فی ج 3 ص 77.</w:t>
      </w:r>
    </w:p>
    <w:p>
      <w:pPr>
        <w:pStyle w:val="Heading3"/>
      </w:pPr>
      <w:bookmarkStart w:id="8513" w:name="_Toc7209"/>
      <w:r>
        <w:t>6440- دیوان محمد بن حیدر أو شعره‏</w:t>
      </w:r>
      <w:bookmarkEnd w:id="8513"/>
    </w:p>
    <w:p>
      <w:pPr>
        <w:pStyle w:val="BookText"/>
      </w:pPr>
      <w:r>
        <w:rPr>
          <w:rFonts w:ascii="IRNazanin" w:hAnsi="IRNazanin" w:eastAsia="IRNazanin" w:cs="IRNazanin"/>
          <w:lang w:bidi="fa-IR"/>
          <w:color w:val="111111"/>
          <w:sz w:val="28"/>
          <w:szCs w:val="28"/>
          <w:rtl/>
        </w:rPr>
        <w:t xml:space="preserve">هو ابن نجم الدین العاملی. قال فی الأمل فاضل صالح أدیب شاعر معاصر سکن مکة أقول: هو مؤلف تنبیه وسن العین المذکور فی ج 4 ص 449.</w:t>
      </w:r>
    </w:p>
    <w:p>
      <w:pPr>
        <w:pStyle w:val="Heading3"/>
      </w:pPr>
      <w:bookmarkStart w:id="8514" w:name="_Toc7210"/>
      <w:r>
        <w:t>6441- دیوان محمد بن رضا</w:t>
      </w:r>
      <w:bookmarkEnd w:id="8514"/>
    </w:p>
    <w:p>
      <w:pPr>
        <w:pStyle w:val="BookText"/>
      </w:pPr>
      <w:r>
        <w:rPr>
          <w:rFonts w:ascii="IRNazanin" w:hAnsi="IRNazanin" w:eastAsia="IRNazanin" w:cs="IRNazanin"/>
          <w:lang w:bidi="fa-IR"/>
          <w:color w:val="111111"/>
          <w:sz w:val="28"/>
          <w:szCs w:val="28"/>
          <w:rtl/>
        </w:rPr>
        <w:t xml:space="preserve">ابن السید محمد الموسوی الهندی النجفی. طبع له القصیدة التأبینیة لوفاة السید ماجد فی 1367 فی ص 72 من ذکری السید ماجد المطبوع فی تلک السنة.</w:t>
      </w:r>
    </w:p>
    <w:p>
      <w:pPr>
        <w:pStyle w:val="Heading3"/>
      </w:pPr>
      <w:bookmarkStart w:id="8515" w:name="_Toc7211"/>
      <w:r>
        <w:t>6442- دیوان محمد بن زین الدین الحسینی‏</w:t>
      </w:r>
      <w:bookmarkEnd w:id="8515"/>
    </w:p>
    <w:p>
      <w:pPr>
        <w:pStyle w:val="BookText"/>
      </w:pPr>
      <w:r>
        <w:rPr>
          <w:rFonts w:ascii="IRNazanin" w:hAnsi="IRNazanin" w:eastAsia="IRNazanin" w:cs="IRNazanin"/>
          <w:lang w:bidi="fa-IR"/>
          <w:color w:val="111111"/>
          <w:sz w:val="28"/>
          <w:szCs w:val="28"/>
          <w:rtl/>
        </w:rPr>
        <w:t xml:space="preserve">المعروف بالسید محمد زینی.</w:t>
      </w:r>
    </w:p>
    <w:p>
      <w:pPr>
        <w:pStyle w:val="BookText"/>
      </w:pPr>
      <w:r>
        <w:rPr>
          <w:rFonts w:ascii="IRNazanin" w:hAnsi="IRNazanin" w:eastAsia="IRNazanin" w:cs="IRNazanin"/>
          <w:lang w:bidi="fa-IR"/>
          <w:color w:val="111111"/>
          <w:sz w:val="28"/>
          <w:szCs w:val="28"/>
          <w:rtl/>
        </w:rPr>
        <w:t xml:space="preserve">نسخه منه کانت فی مکتبة (السماوی).
</w:t>
      </w:r>
    </w:p>
    <w:p>
      <w:pPr>
        <w:sectPr>
          <w:footerReference w:type="default" r:id="rId993"/>
          <w:footnotePr>
            <w:numStart w:val="1"/>
            <w:numRestart w:val="eachPage"/>
          </w:footnotePr>
          <w:pgSz w:orient="portrait" w:w="11905.511811023622" w:h="16837.79527559055"/>
          <w:pgMar w:top="1440" w:right="1440" w:bottom="1440" w:left="1440" w:header="720" w:footer="720" w:gutter="0"/>
          <w:cols w:num="1" w:space="720"/>
        </w:sectPr>
      </w:pPr>
    </w:p>
    <w:bookmarkStart w:id="975" w:name="pg11704_122461"/>
    <w:bookmarkEnd w:id="975"/>
    <w:p>
      <w:pPr>
        <w:pStyle w:val="Heading3"/>
      </w:pPr>
      <w:bookmarkStart w:id="8516" w:name="_Toc7212"/>
      <w:r>
        <w:t>6443- دیوان محمد بن زین العابدین أو شعره‏</w:t>
      </w:r>
      <w:bookmarkEnd w:id="8516"/>
    </w:p>
    <w:p>
      <w:pPr>
        <w:pStyle w:val="BookText"/>
      </w:pPr>
      <w:r>
        <w:rPr>
          <w:rFonts w:ascii="IRNazanin" w:hAnsi="IRNazanin" w:eastAsia="IRNazanin" w:cs="IRNazanin"/>
          <w:lang w:bidi="fa-IR"/>
          <w:color w:val="111111"/>
          <w:sz w:val="28"/>
          <w:szCs w:val="28"/>
          <w:rtl/>
        </w:rPr>
        <w:t xml:space="preserve">هو ابن محمد بن أحمد بن سلیمان العاملی النباطی. قال فی الأمل کان فاضلا أدیبا شاعرا، قرأ علی أبیه و علی والدی و عمی الشیخ محمد الحر.</w:t>
      </w:r>
    </w:p>
    <w:p>
      <w:pPr>
        <w:pStyle w:val="Heading3"/>
      </w:pPr>
      <w:bookmarkStart w:id="8517" w:name="_Toc7213"/>
      <w:r>
        <w:t>6444- دیوان المیرزا محمد بن سلیمان التنکابنی‏</w:t>
      </w:r>
      <w:bookmarkEnd w:id="8517"/>
    </w:p>
    <w:p>
      <w:pPr>
        <w:pStyle w:val="BookText"/>
      </w:pPr>
      <w:r>
        <w:rPr>
          <w:rFonts w:ascii="IRNazanin" w:hAnsi="IRNazanin" w:eastAsia="IRNazanin" w:cs="IRNazanin"/>
          <w:lang w:bidi="fa-IR"/>
          <w:color w:val="111111"/>
          <w:sz w:val="28"/>
          <w:szCs w:val="28"/>
          <w:rtl/>
        </w:rPr>
        <w:t xml:space="preserve">(1230- 1302) اثنان کبیر و صغیر ذکرهما فی قصصه.</w:t>
      </w:r>
    </w:p>
    <w:p>
      <w:pPr>
        <w:pStyle w:val="Heading3"/>
      </w:pPr>
      <w:bookmarkStart w:id="8518" w:name="_Toc7214"/>
      <w:r>
        <w:t>دیوان محمد بن محمد صادق‏</w:t>
      </w:r>
      <w:bookmarkEnd w:id="8518"/>
    </w:p>
    <w:p>
      <w:pPr>
        <w:pStyle w:val="BookText"/>
      </w:pPr>
      <w:r>
        <w:rPr>
          <w:rFonts w:ascii="IRNazanin" w:hAnsi="IRNazanin" w:eastAsia="IRNazanin" w:cs="IRNazanin"/>
          <w:lang w:bidi="fa-IR"/>
          <w:color w:val="111111"/>
          <w:sz w:val="28"/>
          <w:szCs w:val="28"/>
          <w:rtl/>
        </w:rPr>
        <w:t xml:space="preserve">أشرف الکتاب المتخلص بقا کما ذکر فی ص 138 الخطاط الأصفهانی نزیل طهران طبع له هاشمیة فی المدیح بطهران 1300.</w:t>
      </w:r>
    </w:p>
    <w:p>
      <w:pPr>
        <w:pStyle w:val="Heading3"/>
      </w:pPr>
      <w:bookmarkStart w:id="8519" w:name="_Toc7215"/>
      <w:r>
        <w:t>6445- دیوان محمد بن صالح النوائحی المروی أو شعره‏</w:t>
      </w:r>
      <w:bookmarkEnd w:id="8519"/>
    </w:p>
    <w:p>
      <w:pPr>
        <w:pStyle w:val="BookText"/>
      </w:pPr>
      <w:r>
        <w:rPr>
          <w:rFonts w:ascii="IRNazanin" w:hAnsi="IRNazanin" w:eastAsia="IRNazanin" w:cs="IRNazanin"/>
          <w:lang w:bidi="fa-IR"/>
          <w:color w:val="111111"/>
          <w:sz w:val="28"/>
          <w:szCs w:val="28"/>
          <w:rtl/>
        </w:rPr>
        <w:t xml:space="preserve">و هو من قدماء الشعراء معاصر السلطان محمود الغزنوی. ترجم فی (مع 1- ص 501) و أورد شعره.</w:t>
      </w:r>
    </w:p>
    <w:p>
      <w:pPr>
        <w:pStyle w:val="Heading3"/>
      </w:pPr>
      <w:bookmarkStart w:id="8520" w:name="_Toc7216"/>
      <w:r>
        <w:t>6446- دیوان محمد بن صادق‏</w:t>
      </w:r>
      <w:bookmarkEnd w:id="8520"/>
    </w:p>
    <w:p>
      <w:pPr>
        <w:pStyle w:val="BookText"/>
      </w:pPr>
      <w:r>
        <w:rPr>
          <w:rFonts w:ascii="IRNazanin" w:hAnsi="IRNazanin" w:eastAsia="IRNazanin" w:cs="IRNazanin"/>
          <w:lang w:bidi="fa-IR"/>
          <w:color w:val="111111"/>
          <w:sz w:val="28"/>
          <w:szCs w:val="28"/>
          <w:rtl/>
        </w:rPr>
        <w:t xml:space="preserve">ابن محمد بن راضی بن حسین بن أحمد الشهیر بالعطار الحسنی الحسینی البغدادی النجفی المولد فی 1299 اشتغل بالعلم من أوائل عمره و له تصانیف و أراجیز، منها أرجوزات النحو و المنطق و الاعتکاف و أرجوزة فی سلسلة النسب أولها:</w:t>
      </w:r>
    </w:p>
    <w:p>
      <w:pPr>
        <w:pStyle w:val="BookText"/>
      </w:pPr>
      <w:r>
        <w:rPr>
          <w:rFonts w:ascii="IRNazanin" w:hAnsi="IRNazanin" w:eastAsia="IRNazanin" w:cs="IRNazanin"/>
          <w:lang w:bidi="fa-IR"/>
          <w:color w:val="111111"/>
          <w:sz w:val="28"/>
          <w:szCs w:val="28"/>
          <w:rtl/>
        </w:rPr>
        <w:t xml:space="preserve">محمد بن الصادق المنتسب‏</w:t>
      </w:r>
    </w:p>
    <w:p>
      <w:pPr>
        <w:pStyle w:val="BookText"/>
      </w:pPr>
      <w:r>
        <w:rPr>
          <w:rFonts w:ascii="IRNazanin" w:hAnsi="IRNazanin" w:eastAsia="IRNazanin" w:cs="IRNazanin"/>
          <w:lang w:bidi="fa-IR"/>
          <w:color w:val="111111"/>
          <w:sz w:val="28"/>
          <w:szCs w:val="28"/>
          <w:rtl/>
        </w:rPr>
        <w:t xml:space="preserve">إلی محمد هو خیر أب‏</w:t>
      </w:r>
    </w:p>
    <w:p>
      <w:pPr>
        <w:pStyle w:val="BookText"/>
      </w:pPr>
      <w:r>
        <w:rPr>
          <w:rFonts w:ascii="IRNazanin" w:hAnsi="IRNazanin" w:eastAsia="IRNazanin" w:cs="IRNazanin"/>
          <w:lang w:bidi="fa-IR"/>
          <w:color w:val="111111"/>
          <w:sz w:val="28"/>
          <w:szCs w:val="28"/>
          <w:rtl/>
        </w:rPr>
        <w:t xml:space="preserve">والده الراضی الشهیر الأوحد</w:t>
      </w:r>
    </w:p>
    <w:p>
      <w:pPr>
        <w:pStyle w:val="BookText"/>
      </w:pPr>
      <w:r>
        <w:rPr>
          <w:rFonts w:ascii="IRNazanin" w:hAnsi="IRNazanin" w:eastAsia="IRNazanin" w:cs="IRNazanin"/>
          <w:lang w:bidi="fa-IR"/>
          <w:color w:val="111111"/>
          <w:sz w:val="28"/>
          <w:szCs w:val="28"/>
          <w:rtl/>
        </w:rPr>
        <w:t xml:space="preserve">نجل الحسین من أبوه أحمد</w:t>
      </w:r>
    </w:p>
    <w:p>
      <w:pPr>
        <w:pStyle w:val="Heading3"/>
      </w:pPr>
      <w:bookmarkStart w:id="8521" w:name="_Toc7217"/>
      <w:r>
        <w:t>دیوان محمد بن طاهر</w:t>
      </w:r>
      <w:bookmarkEnd w:id="8521"/>
    </w:p>
    <w:p>
      <w:pPr>
        <w:pStyle w:val="BookText"/>
      </w:pPr>
      <w:r>
        <w:rPr>
          <w:rFonts w:ascii="IRNazanin" w:hAnsi="IRNazanin" w:eastAsia="IRNazanin" w:cs="IRNazanin"/>
          <w:lang w:bidi="fa-IR"/>
          <w:color w:val="111111"/>
          <w:sz w:val="28"/>
          <w:szCs w:val="28"/>
          <w:rtl/>
        </w:rPr>
        <w:t xml:space="preserve">مر بعنوان دیوان السماوی.</w:t>
      </w:r>
    </w:p>
    <w:p>
      <w:pPr>
        <w:pStyle w:val="Heading3"/>
      </w:pPr>
      <w:bookmarkStart w:id="8522" w:name="_Toc7218"/>
      <w:r>
        <w:t>6447- دیوان محمد بن العباس أو شعره‏</w:t>
      </w:r>
      <w:bookmarkEnd w:id="8522"/>
    </w:p>
    <w:p>
      <w:pPr>
        <w:pStyle w:val="BookText"/>
      </w:pPr>
      <w:r>
        <w:rPr>
          <w:rFonts w:ascii="IRNazanin" w:hAnsi="IRNazanin" w:eastAsia="IRNazanin" w:cs="IRNazanin"/>
          <w:lang w:bidi="fa-IR"/>
          <w:color w:val="111111"/>
          <w:sz w:val="28"/>
          <w:szCs w:val="28"/>
          <w:rtl/>
        </w:rPr>
        <w:t xml:space="preserve">و هو أبو بکر محمد بن العباس الخوارزمی الطبری عده ابن شهرآشوب فی (المعالم- 141) فی عداد الشعراء المتقین.</w:t>
      </w:r>
    </w:p>
    <w:p>
      <w:pPr>
        <w:pStyle w:val="Heading3"/>
      </w:pPr>
      <w:bookmarkStart w:id="8523" w:name="_Toc7219"/>
      <w:r>
        <w:t>6448- دیوان محمد بن عبد الحمید</w:t>
      </w:r>
      <w:bookmarkEnd w:id="8523"/>
    </w:p>
    <w:p>
      <w:pPr>
        <w:pStyle w:val="BookText"/>
      </w:pPr>
      <w:r>
        <w:rPr>
          <w:rFonts w:ascii="IRNazanin" w:hAnsi="IRNazanin" w:eastAsia="IRNazanin" w:cs="IRNazanin"/>
          <w:lang w:bidi="fa-IR"/>
          <w:color w:val="111111"/>
          <w:sz w:val="28"/>
          <w:szCs w:val="28"/>
          <w:rtl/>
        </w:rPr>
        <w:t xml:space="preserve">ابن عبد القادر المعروف ب حکیم‏زاده نظم اللمعة المحمدیة فی 1059 کما مر فی ج 3 ص 78.</w:t>
      </w:r>
    </w:p>
    <w:p>
      <w:pPr>
        <w:pStyle w:val="Heading3"/>
      </w:pPr>
      <w:bookmarkStart w:id="8524" w:name="_Toc7220"/>
      <w:r>
        <w:t>6449- دیوان محمد بن عبد الرزاق بیک‏</w:t>
      </w:r>
      <w:bookmarkEnd w:id="8524"/>
    </w:p>
    <w:p>
      <w:pPr>
        <w:pStyle w:val="BookText"/>
      </w:pPr>
      <w:r>
        <w:rPr>
          <w:rFonts w:ascii="IRNazanin" w:hAnsi="IRNazanin" w:eastAsia="IRNazanin" w:cs="IRNazanin"/>
          <w:lang w:bidi="fa-IR"/>
          <w:color w:val="111111"/>
          <w:sz w:val="28"/>
          <w:szCs w:val="28"/>
          <w:rtl/>
        </w:rPr>
        <w:t xml:space="preserve">ذکر فی آثار الشیعة ص 212 نقلا عن ریاض الجنة الفارسی أنه کان مقربا عند عباس میرزا نائب السلطنة و فی أواخر عمره صار حاکما فی تبریز و له دیوان حسن عند أولاده” محمد بن عبد الرزاق بیک”</w:t>
      </w:r>
    </w:p>
    <w:p>
      <w:pPr>
        <w:pStyle w:val="Heading3"/>
      </w:pPr>
      <w:bookmarkStart w:id="8525" w:name="_Toc7221"/>
      <w:r>
        <w:t>6450- دیوان محمد بن عبد العزیز</w:t>
      </w:r>
      <w:bookmarkEnd w:id="8525"/>
    </w:p>
    <w:p>
      <w:pPr>
        <w:pStyle w:val="BookText"/>
      </w:pPr>
      <w:r>
        <w:rPr>
          <w:rFonts w:ascii="IRNazanin" w:hAnsi="IRNazanin" w:eastAsia="IRNazanin" w:cs="IRNazanin"/>
          <w:lang w:bidi="fa-IR"/>
          <w:color w:val="111111"/>
          <w:sz w:val="28"/>
          <w:szCs w:val="28"/>
          <w:rtl/>
        </w:rPr>
        <w:t xml:space="preserve">ابن الحاج علی آل زین الدین البحرانی نزیل البصرة المولود 1333 یقرب من ألفی بیت و قد باشر هو و أخوه الشیخ علی طبع‏
</w:t>
      </w:r>
    </w:p>
    <w:p>
      <w:pPr>
        <w:sectPr>
          <w:footerReference w:type="default" r:id="rId994"/>
          <w:footnotePr>
            <w:numStart w:val="1"/>
            <w:numRestart w:val="eachPage"/>
          </w:footnotePr>
          <w:pgSz w:orient="portrait" w:w="11905.511811023622" w:h="16837.79527559055"/>
          <w:pgMar w:top="1440" w:right="1440" w:bottom="1440" w:left="1440" w:header="720" w:footer="720" w:gutter="0"/>
          <w:cols w:num="1" w:space="720"/>
        </w:sectPr>
      </w:pPr>
    </w:p>
    <w:bookmarkStart w:id="976" w:name="pg11704_122462"/>
    <w:bookmarkEnd w:id="976"/>
    <w:p>
      <w:pPr>
        <w:pStyle w:val="BookText"/>
      </w:pPr>
      <w:r>
        <w:rPr>
          <w:rFonts w:ascii="IRNazanin" w:hAnsi="IRNazanin" w:eastAsia="IRNazanin" w:cs="IRNazanin"/>
          <w:lang w:bidi="fa-IR"/>
          <w:color w:val="111111"/>
          <w:sz w:val="28"/>
          <w:szCs w:val="28"/>
          <w:rtl/>
        </w:rPr>
        <w:t xml:space="preserve">دلیل المتعبد تألیف السید علوی البحرانی، فی النجف فی 1370.</w:t>
      </w:r>
    </w:p>
    <w:p>
      <w:pPr>
        <w:pStyle w:val="Heading3"/>
      </w:pPr>
      <w:bookmarkStart w:id="8526" w:name="_Toc7222"/>
      <w:r>
        <w:t>6451- دیوان محمد بن عبد الله الخطی‏</w:t>
      </w:r>
      <w:bookmarkEnd w:id="8526"/>
    </w:p>
    <w:p>
      <w:pPr>
        <w:pStyle w:val="BookText"/>
      </w:pPr>
      <w:r>
        <w:rPr>
          <w:rFonts w:ascii="IRNazanin" w:hAnsi="IRNazanin" w:eastAsia="IRNazanin" w:cs="IRNazanin"/>
          <w:lang w:bidi="fa-IR"/>
          <w:color w:val="111111"/>
          <w:sz w:val="28"/>
          <w:szCs w:val="28"/>
          <w:rtl/>
        </w:rPr>
        <w:t xml:space="preserve">فی المراثی أورد بعض مراثیه الشیخ لطف الله بن علی الجد حفصی فی مجموعته بخطه فی 1201 الموجودة عند الشیخ محمد علی یعقوب فی النجف.</w:t>
      </w:r>
    </w:p>
    <w:p>
      <w:pPr>
        <w:pStyle w:val="Heading3"/>
      </w:pPr>
      <w:bookmarkStart w:id="8527" w:name="_Toc7223"/>
      <w:r>
        <w:t>دیوان محمد بن عبد النبی‏</w:t>
      </w:r>
      <w:bookmarkEnd w:id="8527"/>
    </w:p>
    <w:p>
      <w:pPr>
        <w:pStyle w:val="BookText"/>
      </w:pPr>
      <w:r>
        <w:rPr>
          <w:rFonts w:ascii="IRNazanin" w:hAnsi="IRNazanin" w:eastAsia="IRNazanin" w:cs="IRNazanin"/>
          <w:lang w:bidi="fa-IR"/>
          <w:color w:val="111111"/>
          <w:sz w:val="28"/>
          <w:szCs w:val="28"/>
          <w:rtl/>
        </w:rPr>
        <w:t xml:space="preserve">و هو الدیوان الکبیر الفارسی للمیرزا محمد بن عبد النبی بن عبد الصانع النیشابوری المعروف بالأخباری المقتول بالکاظمیة 1232 ترجمه فی روضات الجنات- ص 655 و ذکر تصانیفه و منها الدیوان الکبیر الفارسی و الدیوان العربی و مر فی ص 60</w:t>
      </w:r>
    </w:p>
    <w:p>
      <w:pPr>
        <w:pStyle w:val="Heading3"/>
      </w:pPr>
      <w:bookmarkStart w:id="8528" w:name="_Toc7224"/>
      <w:r>
        <w:t>6452- دیوان الشیخ محمد بن علی‏</w:t>
      </w:r>
      <w:bookmarkEnd w:id="8528"/>
    </w:p>
    <w:p>
      <w:pPr>
        <w:pStyle w:val="BookText"/>
      </w:pPr>
      <w:r>
        <w:rPr>
          <w:rFonts w:ascii="IRNazanin" w:hAnsi="IRNazanin" w:eastAsia="IRNazanin" w:cs="IRNazanin"/>
          <w:lang w:bidi="fa-IR"/>
          <w:color w:val="111111"/>
          <w:sz w:val="28"/>
          <w:szCs w:val="28"/>
          <w:rtl/>
        </w:rPr>
        <w:t xml:space="preserve">ابن کاظم بن جعفر بن الحسین بن الشیخ محمد الملقب بالطاهر بن الشیخ أحمد مؤلف آیات الأحکام الجزائری المتوفی بالنجف 21 رجب 1303 کان والده من التجار الفضلاء و کان الشیخ محمد أکبر ولده من زوجته الأولی تلمذ علی سیدنا الشیرازی سنین فی النجف، و لم یهاجر معه إلی سامراء و بقیة إخوته من أبیه، هم الشیخ عبد الکریم و الشیخ عبد اللطیف و الشیخ محمد الجواد و قد ذکر أخیرهم أن فی دیوانه مراسلاته مع السید محمد سعید الحبوبی و رأیت له الحاشیة علی السبیکة الذهبیة للسید محمد الهندی الذی توفی 29 شعبان 1323</w:t>
      </w:r>
    </w:p>
    <w:p>
      <w:pPr>
        <w:pStyle w:val="Heading3"/>
      </w:pPr>
      <w:bookmarkStart w:id="8529" w:name="_Toc7225"/>
      <w:r>
        <w:t>6453- دیوان الشیخ محمد بن علی‏</w:t>
      </w:r>
      <w:bookmarkEnd w:id="8529"/>
    </w:p>
    <w:p>
      <w:pPr>
        <w:pStyle w:val="BookText"/>
      </w:pPr>
      <w:r>
        <w:rPr>
          <w:rFonts w:ascii="IRNazanin" w:hAnsi="IRNazanin" w:eastAsia="IRNazanin" w:cs="IRNazanin"/>
          <w:lang w:bidi="fa-IR"/>
          <w:color w:val="111111"/>
          <w:sz w:val="28"/>
          <w:szCs w:val="28"/>
          <w:rtl/>
        </w:rPr>
        <w:t xml:space="preserve">ابن عبد الله بن حمد الله بن محمود حرز الدین النجفی الشهیر بالشیخ محمد حرز (1273- 1365) سماه وشی البرود یأتی فی الواو- من وشی الثوب نقشه بألوان و البرود جمع بردة- رتب دیوانه علی ثمانیة و عشرین فصلا بعدد حروف القوافی و کلها مسودة لا بد من تهذیبه رأیته فی کتبه و وصفه کذلک أیضا فیما کتبه من فهرس تصانیفه فی 1348 مع نسبه المذکور</w:t>
      </w:r>
    </w:p>
    <w:p>
      <w:pPr>
        <w:pStyle w:val="Heading3"/>
      </w:pPr>
      <w:bookmarkStart w:id="8530" w:name="_Toc7226"/>
      <w:r>
        <w:t>6454- دیوان محمد بن علی بن الحسن العودی العاملی الجزینی‏</w:t>
      </w:r>
      <w:bookmarkEnd w:id="8530"/>
    </w:p>
    <w:p>
      <w:pPr>
        <w:pStyle w:val="BookText"/>
      </w:pPr>
      <w:r>
        <w:rPr>
          <w:rFonts w:ascii="IRNazanin" w:hAnsi="IRNazanin" w:eastAsia="IRNazanin" w:cs="IRNazanin"/>
          <w:lang w:bidi="fa-IR"/>
          <w:color w:val="111111"/>
          <w:sz w:val="28"/>
          <w:szCs w:val="28"/>
          <w:rtl/>
        </w:rPr>
        <w:t xml:space="preserve">تلمیذ الشهید الثانی قال فی الأمل کان فاضلا صالحا أدیبا شاعرا، له رسالة فی أحوال شیخه المذکور أحوال الشهید ثم أورد من شعره ما رثا به شیخه الشهید</w:t>
      </w:r>
    </w:p>
    <w:p>
      <w:pPr>
        <w:pStyle w:val="Heading3"/>
      </w:pPr>
      <w:bookmarkStart w:id="8531" w:name="_Toc7227"/>
      <w:r>
        <w:t>6455- دیوان محمد بن علی الحسنی أو شعره‏</w:t>
      </w:r>
      <w:bookmarkEnd w:id="8531"/>
    </w:p>
    <w:p>
      <w:pPr>
        <w:pStyle w:val="BookText"/>
      </w:pPr>
      <w:r>
        <w:rPr>
          <w:rFonts w:ascii="IRNazanin" w:hAnsi="IRNazanin" w:eastAsia="IRNazanin" w:cs="IRNazanin"/>
          <w:lang w:bidi="fa-IR"/>
          <w:color w:val="111111"/>
          <w:sz w:val="28"/>
          <w:szCs w:val="28"/>
          <w:rtl/>
        </w:rPr>
        <w:t xml:space="preserve">العاملی ساکن کشمیر ترجمه معاصره الشیخ الحر و قال کان فاضلا عالما فقیها نحویا شاعرا صالحا معاصرا
</w:t>
      </w:r>
    </w:p>
    <w:p>
      <w:pPr>
        <w:sectPr>
          <w:footerReference w:type="default" r:id="rId995"/>
          <w:footnotePr>
            <w:numStart w:val="1"/>
            <w:numRestart w:val="eachPage"/>
          </w:footnotePr>
          <w:pgSz w:orient="portrait" w:w="11905.511811023622" w:h="16837.79527559055"/>
          <w:pgMar w:top="1440" w:right="1440" w:bottom="1440" w:left="1440" w:header="720" w:footer="720" w:gutter="0"/>
          <w:cols w:num="1" w:space="720"/>
        </w:sectPr>
      </w:pPr>
    </w:p>
    <w:bookmarkStart w:id="977" w:name="pg11704_122463"/>
    <w:bookmarkEnd w:id="977"/>
    <w:p>
      <w:pPr>
        <w:pStyle w:val="Heading3"/>
      </w:pPr>
      <w:bookmarkStart w:id="8532" w:name="_Toc7228"/>
      <w:r>
        <w:t>6456- دیوان علاء الدین محمد بن علی الحسنی أو شعره‏</w:t>
      </w:r>
      <w:bookmarkEnd w:id="8532"/>
    </w:p>
    <w:p>
      <w:pPr>
        <w:pStyle w:val="BookText"/>
      </w:pPr>
      <w:r>
        <w:rPr>
          <w:rFonts w:ascii="IRNazanin" w:hAnsi="IRNazanin" w:eastAsia="IRNazanin" w:cs="IRNazanin"/>
          <w:lang w:bidi="fa-IR"/>
          <w:color w:val="111111"/>
          <w:sz w:val="28"/>
          <w:szCs w:val="28"/>
          <w:rtl/>
        </w:rPr>
        <w:t xml:space="preserve">و هو الخجندی قال الشیخ منتجب الدین فاضل عالم له نظم و نثر</w:t>
      </w:r>
    </w:p>
    <w:p>
      <w:pPr>
        <w:pStyle w:val="Heading3"/>
      </w:pPr>
      <w:bookmarkStart w:id="8533" w:name="_Toc7229"/>
      <w:r>
        <w:t>6457- دیوان شمس الدین محمد</w:t>
      </w:r>
      <w:bookmarkEnd w:id="8533"/>
    </w:p>
    <w:p>
      <w:pPr>
        <w:pStyle w:val="BookText"/>
      </w:pPr>
      <w:r>
        <w:rPr>
          <w:rFonts w:ascii="IRNazanin" w:hAnsi="IRNazanin" w:eastAsia="IRNazanin" w:cs="IRNazanin"/>
          <w:lang w:bidi="fa-IR"/>
          <w:color w:val="111111"/>
          <w:sz w:val="28"/>
          <w:szCs w:val="28"/>
          <w:rtl/>
        </w:rPr>
        <w:t xml:space="preserve">ابن زین الدین علی بن شمال العاملی المشغری فی الأمل کان فاضلا فقیها صالحا شاعرا أدیبا، قرأ علیه الکفعمی کما رأیته بخطه فی 848 و هو جد الشیخ علی بن محمود العاملی المشغری الذی هو خال والد الشیخ الحر و یأتی عم الحر و عم والده أیضا</w:t>
      </w:r>
    </w:p>
    <w:p>
      <w:pPr>
        <w:pStyle w:val="Heading3"/>
      </w:pPr>
      <w:bookmarkStart w:id="8534" w:name="_Toc7230"/>
      <w:r>
        <w:t>6458- دیوان رشید الدین محمد بن علی بن شهرآشوب المازندرانی‏</w:t>
      </w:r>
      <w:bookmarkEnd w:id="8534"/>
    </w:p>
    <w:p>
      <w:pPr>
        <w:pStyle w:val="BookText"/>
      </w:pPr>
      <w:r>
        <w:rPr>
          <w:rFonts w:ascii="IRNazanin" w:hAnsi="IRNazanin" w:eastAsia="IRNazanin" w:cs="IRNazanin"/>
          <w:lang w:bidi="fa-IR"/>
          <w:color w:val="111111"/>
          <w:sz w:val="28"/>
          <w:szCs w:val="28"/>
          <w:rtl/>
        </w:rPr>
        <w:t xml:space="preserve">صاحب معالم العلماء المتوفی 588 ترجمه فی الأمل و قال التفریشی فی نقد الرجال إنه کان شاعرا بلیغا منشیا</w:t>
      </w:r>
    </w:p>
    <w:p>
      <w:pPr>
        <w:pStyle w:val="Heading3"/>
      </w:pPr>
      <w:bookmarkStart w:id="8535" w:name="_Toc7231"/>
      <w:r>
        <w:t>6459- دیوان محمد بن علی بن عیسی الإربلی أو شعره‏</w:t>
      </w:r>
      <w:bookmarkEnd w:id="8535"/>
    </w:p>
    <w:p>
      <w:pPr>
        <w:pStyle w:val="BookText"/>
      </w:pPr>
      <w:r>
        <w:rPr>
          <w:rFonts w:ascii="IRNazanin" w:hAnsi="IRNazanin" w:eastAsia="IRNazanin" w:cs="IRNazanin"/>
          <w:lang w:bidi="fa-IR"/>
          <w:color w:val="111111"/>
          <w:sz w:val="28"/>
          <w:szCs w:val="28"/>
          <w:rtl/>
        </w:rPr>
        <w:t xml:space="preserve">قال فی الأمل إنه فاضل شاعر أدیب یروی عن أبیه المذکور فی ص 67 کتاب کشف الغمة و له منه إجازة</w:t>
      </w:r>
    </w:p>
    <w:p>
      <w:pPr>
        <w:pStyle w:val="Heading3"/>
      </w:pPr>
      <w:bookmarkStart w:id="8536" w:name="_Toc7232"/>
      <w:r>
        <w:t>دیوان محمد بن علی الحرفوشی‏</w:t>
      </w:r>
      <w:bookmarkEnd w:id="8536"/>
    </w:p>
    <w:p>
      <w:pPr>
        <w:pStyle w:val="BookText"/>
      </w:pPr>
      <w:r>
        <w:rPr>
          <w:rFonts w:ascii="IRNazanin" w:hAnsi="IRNazanin" w:eastAsia="IRNazanin" w:cs="IRNazanin"/>
          <w:lang w:bidi="fa-IR"/>
          <w:color w:val="111111"/>
          <w:sz w:val="28"/>
          <w:szCs w:val="28"/>
          <w:rtl/>
        </w:rPr>
        <w:t xml:space="preserve">مر بعنوان دیوان الحرفوشی فی ص 234 و أورد جملة من شعره فی الأمل و فی السلافة- ص 315</w:t>
      </w:r>
    </w:p>
    <w:p>
      <w:pPr>
        <w:pStyle w:val="Heading3"/>
      </w:pPr>
      <w:bookmarkStart w:id="8537" w:name="_Toc7233"/>
      <w:r>
        <w:t>6460- دیوان محمد بن علی‏</w:t>
      </w:r>
      <w:bookmarkEnd w:id="8537"/>
    </w:p>
    <w:p>
      <w:pPr>
        <w:pStyle w:val="BookText"/>
      </w:pPr>
      <w:r>
        <w:rPr>
          <w:rFonts w:ascii="IRNazanin" w:hAnsi="IRNazanin" w:eastAsia="IRNazanin" w:cs="IRNazanin"/>
          <w:lang w:bidi="fa-IR"/>
          <w:color w:val="111111"/>
          <w:sz w:val="28"/>
          <w:szCs w:val="28"/>
          <w:rtl/>
        </w:rPr>
        <w:t xml:space="preserve">ابن محمد بن الحسین الحر العاملی المشغری عم الشیخ الحر ترجمه فی الأمل و قال کان فاضلا عالما ماهرا محققا مدققا حافظا جامعا عابدا شاعرا منشیا أدیبا ثقة قرأت علیه جملة من کتب العربیة و الفقه و غیرهما توفی 1081 و ذکر تصانیفه- إلی قوله: و له دیوان شعر جید ما رأیت فیه شعرا ردیا و ترجمه فی السلافة أیضا و أورد بعض شعره ص 368</w:t>
      </w:r>
    </w:p>
    <w:p>
      <w:pPr>
        <w:pStyle w:val="Heading3"/>
      </w:pPr>
      <w:bookmarkStart w:id="8538" w:name="_Toc7234"/>
      <w:r>
        <w:t>6461- دیوان محمد بن علی بن محمود</w:t>
      </w:r>
      <w:bookmarkEnd w:id="8538"/>
    </w:p>
    <w:p>
      <w:pPr>
        <w:pStyle w:val="BookText"/>
      </w:pPr>
      <w:r>
        <w:rPr>
          <w:rFonts w:ascii="IRNazanin" w:hAnsi="IRNazanin" w:eastAsia="IRNazanin" w:cs="IRNazanin"/>
          <w:lang w:bidi="fa-IR"/>
          <w:color w:val="111111"/>
          <w:sz w:val="28"/>
          <w:szCs w:val="28"/>
          <w:rtl/>
        </w:rPr>
        <w:t xml:space="preserve">ابن یوسف بن محمد بن إبراهیم العاملی الشامی ترجمه تلمیذه السید علی خان فی السلافة- ص 323 و أثنی علیه ثناء بلیغا و أورد ما یقرب من ستمائة من شعره و وصفه فی الأمل بکونه أدیبا شاعرا فائقا علی أکثر معاصریه‏</w:t>
      </w:r>
    </w:p>
    <w:p>
      <w:pPr>
        <w:pStyle w:val="Heading3"/>
      </w:pPr>
      <w:bookmarkStart w:id="8539" w:name="_Toc7235"/>
      <w:r>
        <w:t>6462- دیوان محمد بن علی‏</w:t>
      </w:r>
      <w:bookmarkEnd w:id="8539"/>
    </w:p>
    <w:p>
      <w:pPr>
        <w:pStyle w:val="BookText"/>
      </w:pPr>
      <w:r>
        <w:rPr>
          <w:rFonts w:ascii="IRNazanin" w:hAnsi="IRNazanin" w:eastAsia="IRNazanin" w:cs="IRNazanin"/>
          <w:lang w:bidi="fa-IR"/>
          <w:color w:val="111111"/>
          <w:sz w:val="28"/>
          <w:szCs w:val="28"/>
          <w:rtl/>
        </w:rPr>
        <w:t xml:space="preserve">ابن موسی بن الضحاک الشامی الإمام العالم الفقیه الأدیب کان من تلامیذ الشهید محمد بن علی قال تلمیذه الشیخ شمس الدین محمد الجبعی فی مجموعته التی نقل عنها فی مجلد إجازات البحار ص 44 إنه کان من العلماء
</w:t>
      </w:r>
    </w:p>
    <w:p>
      <w:pPr>
        <w:sectPr>
          <w:footerReference w:type="default" r:id="rId996"/>
          <w:footnotePr>
            <w:numStart w:val="1"/>
            <w:numRestart w:val="eachPage"/>
          </w:footnotePr>
          <w:pgSz w:orient="portrait" w:w="11905.511811023622" w:h="16837.79527559055"/>
          <w:pgMar w:top="1440" w:right="1440" w:bottom="1440" w:left="1440" w:header="720" w:footer="720" w:gutter="0"/>
          <w:cols w:num="1" w:space="720"/>
        </w:sectPr>
      </w:pPr>
    </w:p>
    <w:bookmarkStart w:id="978" w:name="pg11704_122464"/>
    <w:bookmarkEnd w:id="978"/>
    <w:p>
      <w:pPr>
        <w:pStyle w:val="BookText"/>
      </w:pPr>
      <w:r>
        <w:rPr>
          <w:rFonts w:ascii="IRNazanin" w:hAnsi="IRNazanin" w:eastAsia="IRNazanin" w:cs="IRNazanin"/>
          <w:lang w:bidi="fa-IR"/>
          <w:color w:val="111111"/>
          <w:sz w:val="28"/>
          <w:szCs w:val="28"/>
          <w:rtl/>
        </w:rPr>
        <w:t xml:space="preserve">العقلاء و أولاد المشایخ الأجلاء و رفیق شیخه ابن مکی أول اشتغاله بالحلة و کان للشیخ الإمام فخر الدین المطهر به خصوصیة و کان اشتغاله علی شیخه ابن مکی إلی حین مقتله و کان یعظمه جدا و یسیر إلیه و له مباحثات حسنة و أبیات و أشعار رائقة رقیقة مشهورة و توفی فی ثامن عشر شهر رمضان سنة إحدی و تسعین و سبعمائة و عبر عنه الجبعی بقوله توفی أبی رحمه الله و مراده الأستاد، لأنه الأب الروحی الأجل من الأب الجسمی‏</w:t>
      </w:r>
    </w:p>
    <w:p>
      <w:pPr>
        <w:pStyle w:val="Heading3"/>
      </w:pPr>
      <w:bookmarkStart w:id="8540" w:name="_Toc7236"/>
      <w:r>
        <w:t>6463- دیوان محمد بن علی بن محیی الدین الموسوی العاملی‏</w:t>
      </w:r>
      <w:bookmarkEnd w:id="8540"/>
    </w:p>
    <w:p>
      <w:pPr>
        <w:pStyle w:val="BookText"/>
      </w:pPr>
      <w:r>
        <w:rPr>
          <w:rFonts w:ascii="IRNazanin" w:hAnsi="IRNazanin" w:eastAsia="IRNazanin" w:cs="IRNazanin"/>
          <w:lang w:bidi="fa-IR"/>
          <w:color w:val="111111"/>
          <w:sz w:val="28"/>
          <w:szCs w:val="28"/>
          <w:rtl/>
        </w:rPr>
        <w:t xml:space="preserve">قال الشیخ الحر فی الأمل کان عالما فاضلا أدیبا ماهرا شاعرا محققا عارفا بفنون العربیة و الفقه إلی قوله: تولی قضاء المشهد الشریف بطوس‏</w:t>
      </w:r>
    </w:p>
    <w:p>
      <w:pPr>
        <w:pStyle w:val="Heading3"/>
      </w:pPr>
      <w:bookmarkStart w:id="8541" w:name="_Toc7237"/>
      <w:r>
        <w:t>6464- دیوان الشیخ محمد بن عیسی‏</w:t>
      </w:r>
      <w:bookmarkEnd w:id="8541"/>
    </w:p>
    <w:p>
      <w:pPr>
        <w:pStyle w:val="BookText"/>
      </w:pPr>
      <w:r>
        <w:rPr>
          <w:rFonts w:ascii="IRNazanin" w:hAnsi="IRNazanin" w:eastAsia="IRNazanin" w:cs="IRNazanin"/>
          <w:lang w:bidi="fa-IR"/>
          <w:color w:val="111111"/>
          <w:sz w:val="28"/>
          <w:szCs w:val="28"/>
          <w:rtl/>
        </w:rPr>
        <w:t xml:space="preserve">ابن الشیخ محمد علی بن الشیخ حیدر ابن الشیخ خلیفة الشروقی المجیراوی النجفی المتوفی بالسماوة فی 1333 و هی سنة دخول الإنگلیز إلی البصرة و حمل إلی النجف و دفن فی المجاز الذی یخرج منه عن الباب الطوسی جمع ولده الفاضل الشیخ أسد شعره بعده من أماکن متفرقة، و قد بلغ المجموع قرب أربعمائة بیت‏</w:t>
      </w:r>
    </w:p>
    <w:p>
      <w:pPr>
        <w:pStyle w:val="Heading3"/>
      </w:pPr>
      <w:bookmarkStart w:id="8542" w:name="_Toc7238"/>
      <w:r>
        <w:t>دیوان محمد بن غلام علی ریاحی‏</w:t>
      </w:r>
      <w:bookmarkEnd w:id="8542"/>
    </w:p>
    <w:p>
      <w:pPr>
        <w:pStyle w:val="BookText"/>
      </w:pPr>
      <w:r>
        <w:rPr>
          <w:rFonts w:ascii="IRNazanin" w:hAnsi="IRNazanin" w:eastAsia="IRNazanin" w:cs="IRNazanin"/>
          <w:lang w:bidi="fa-IR"/>
          <w:color w:val="111111"/>
          <w:sz w:val="28"/>
          <w:szCs w:val="28"/>
          <w:rtl/>
        </w:rPr>
        <w:t xml:space="preserve">مر بعنوان دیوان فرید چالشتری فی ص 830</w:t>
      </w:r>
    </w:p>
    <w:p>
      <w:pPr>
        <w:pStyle w:val="Heading3"/>
      </w:pPr>
      <w:bookmarkStart w:id="8543" w:name="_Toc7239"/>
      <w:r>
        <w:t>6465- دیوان محمد بن القاسم بن معیة الحسنی الدیباجی أو شعره‏</w:t>
      </w:r>
      <w:bookmarkEnd w:id="8543"/>
    </w:p>
    <w:p>
      <w:pPr>
        <w:pStyle w:val="BookText"/>
      </w:pPr>
      <w:r>
        <w:rPr>
          <w:rFonts w:ascii="IRNazanin" w:hAnsi="IRNazanin" w:eastAsia="IRNazanin" w:cs="IRNazanin"/>
          <w:lang w:bidi="fa-IR"/>
          <w:color w:val="111111"/>
          <w:sz w:val="28"/>
          <w:szCs w:val="28"/>
          <w:rtl/>
        </w:rPr>
        <w:t xml:space="preserve">قال فی الأمل فاضل عالم جلیل القدر شاعر أدیب یروی عنه الشهید محمد بن مکی، إلی أن ذکر جملة من أشعاره‏</w:t>
      </w:r>
    </w:p>
    <w:p>
      <w:pPr>
        <w:pStyle w:val="Heading3"/>
      </w:pPr>
      <w:bookmarkStart w:id="8544" w:name="_Toc7240"/>
      <w:r>
        <w:t>6466- دیوان محمد بن ماجد البحرانی أو شعره‏</w:t>
      </w:r>
      <w:bookmarkEnd w:id="8544"/>
    </w:p>
    <w:p>
      <w:pPr>
        <w:pStyle w:val="BookText"/>
      </w:pPr>
      <w:r>
        <w:rPr>
          <w:rFonts w:ascii="IRNazanin" w:hAnsi="IRNazanin" w:eastAsia="IRNazanin" w:cs="IRNazanin"/>
          <w:lang w:bidi="fa-IR"/>
          <w:color w:val="111111"/>
          <w:sz w:val="28"/>
          <w:szCs w:val="28"/>
          <w:rtl/>
        </w:rPr>
        <w:t xml:space="preserve">کان معاصرا للشیخ الحر قال فی الأمل فی طی أوصافه جامع للفنون شاعر أدیب منشی معاصر</w:t>
      </w:r>
    </w:p>
    <w:p>
      <w:pPr>
        <w:pStyle w:val="Heading3"/>
      </w:pPr>
      <w:bookmarkStart w:id="8545" w:name="_Toc7241"/>
      <w:r>
        <w:t>6467- دیوان السید محمد</w:t>
      </w:r>
      <w:bookmarkEnd w:id="8545"/>
    </w:p>
    <w:p>
      <w:pPr>
        <w:pStyle w:val="BookText"/>
      </w:pPr>
      <w:r>
        <w:rPr>
          <w:rFonts w:ascii="IRNazanin" w:hAnsi="IRNazanin" w:eastAsia="IRNazanin" w:cs="IRNazanin"/>
          <w:lang w:bidi="fa-IR"/>
          <w:color w:val="111111"/>
          <w:sz w:val="28"/>
          <w:szCs w:val="28"/>
          <w:rtl/>
        </w:rPr>
        <w:t xml:space="preserve">ابن مال الله ابن معصوم الموسوی القطیفی الخطی الحائری المتوفی 1271 هو من تلامیذ السید عبد الله شبر و کتب رسالة فی ترجمه أستاذه ذکر فی ج 4. رأیت دیوانه فی مکتبة (السماوی) کلما فیه قصائد فی المراثی مرتبة علی الحروف و کتب له بعض أصحابه مقدمه، أوله:</w:t>
      </w:r>
    </w:p>
    <w:p>
      <w:pPr>
        <w:pStyle w:val="BookText"/>
      </w:pPr>
      <w:r>
        <w:rPr>
          <w:rFonts w:ascii="IRNazanin" w:hAnsi="IRNazanin" w:eastAsia="IRNazanin" w:cs="IRNazanin"/>
          <w:lang w:bidi="fa-IR"/>
          <w:color w:val="111111"/>
          <w:sz w:val="28"/>
          <w:szCs w:val="28"/>
          <w:rtl/>
        </w:rPr>
        <w:t xml:space="preserve">کربلاء فقت السماوات العلی‏</w:t>
      </w:r>
    </w:p>
    <w:p>
      <w:pPr>
        <w:pStyle w:val="BookText"/>
      </w:pPr>
      <w:r>
        <w:rPr>
          <w:rFonts w:ascii="IRNazanin" w:hAnsi="IRNazanin" w:eastAsia="IRNazanin" w:cs="IRNazanin"/>
          <w:lang w:bidi="fa-IR"/>
          <w:color w:val="111111"/>
          <w:sz w:val="28"/>
          <w:szCs w:val="28"/>
          <w:rtl/>
        </w:rPr>
        <w:t xml:space="preserve">و سمی فخرک ما فوق الثری‏
</w:t>
      </w:r>
    </w:p>
    <w:p>
      <w:pPr>
        <w:sectPr>
          <w:footerReference w:type="default" r:id="rId997"/>
          <w:footnotePr>
            <w:numStart w:val="1"/>
            <w:numRestart w:val="eachPage"/>
          </w:footnotePr>
          <w:pgSz w:orient="portrait" w:w="11905.511811023622" w:h="16837.79527559055"/>
          <w:pgMar w:top="1440" w:right="1440" w:bottom="1440" w:left="1440" w:header="720" w:footer="720" w:gutter="0"/>
          <w:cols w:num="1" w:space="720"/>
        </w:sectPr>
      </w:pPr>
    </w:p>
    <w:bookmarkStart w:id="979" w:name="pg11704_122465"/>
    <w:bookmarkEnd w:id="979"/>
    <w:p>
      <w:pPr>
        <w:pStyle w:val="BookText"/>
      </w:pPr>
      <w:r>
        <w:rPr>
          <w:rFonts w:ascii="IRNazanin" w:hAnsi="IRNazanin" w:eastAsia="IRNazanin" w:cs="IRNazanin"/>
          <w:lang w:bidi="fa-IR"/>
          <w:color w:val="111111"/>
          <w:sz w:val="28"/>
          <w:szCs w:val="28"/>
          <w:rtl/>
        </w:rPr>
        <w:t xml:space="preserve">و فیه تلمیع الرائیة للشریف الرضی و تخمیس النونیة لابن زیدون و تشطیر المقصورة لابن درید، و جعل جمیعها فی رثاء الحسین. و فیه قصیدة طویلة فی رثائه تضمن أسماء جمیع سور القرآن أولها:</w:t>
      </w:r>
    </w:p>
    <w:p>
      <w:pPr>
        <w:pStyle w:val="BookText"/>
      </w:pPr>
      <w:r>
        <w:rPr>
          <w:rFonts w:ascii="IRNazanin" w:hAnsi="IRNazanin" w:eastAsia="IRNazanin" w:cs="IRNazanin"/>
          <w:lang w:bidi="fa-IR"/>
          <w:color w:val="111111"/>
          <w:sz w:val="28"/>
          <w:szCs w:val="28"/>
          <w:rtl/>
        </w:rPr>
        <w:t xml:space="preserve">أشجان فاتحة الأحداث أشجانی‏</w:t>
      </w:r>
    </w:p>
    <w:p>
      <w:pPr>
        <w:pStyle w:val="BookText"/>
      </w:pPr>
      <w:r>
        <w:rPr>
          <w:rFonts w:ascii="IRNazanin" w:hAnsi="IRNazanin" w:eastAsia="IRNazanin" w:cs="IRNazanin"/>
          <w:lang w:bidi="fa-IR"/>
          <w:color w:val="111111"/>
          <w:sz w:val="28"/>
          <w:szCs w:val="28"/>
          <w:rtl/>
        </w:rPr>
        <w:t xml:space="preserve">وقوعها فجرت للعین عینان‏</w:t>
      </w:r>
    </w:p>
    <w:p>
      <w:pPr>
        <w:pStyle w:val="BookText"/>
      </w:pPr>
      <w:r>
        <w:rPr>
          <w:rFonts w:ascii="IRNazanin" w:hAnsi="IRNazanin" w:eastAsia="IRNazanin" w:cs="IRNazanin"/>
          <w:lang w:bidi="fa-IR"/>
          <w:color w:val="111111"/>
          <w:sz w:val="28"/>
          <w:szCs w:val="28"/>
          <w:rtl/>
        </w:rPr>
        <w:t xml:space="preserve">أذکت حشی البهم من وحش و من بقر</w:t>
      </w:r>
    </w:p>
    <w:p>
      <w:pPr>
        <w:pStyle w:val="BookText"/>
      </w:pPr>
      <w:r>
        <w:rPr>
          <w:rFonts w:ascii="IRNazanin" w:hAnsi="IRNazanin" w:eastAsia="IRNazanin" w:cs="IRNazanin"/>
          <w:lang w:bidi="fa-IR"/>
          <w:color w:val="111111"/>
          <w:sz w:val="28"/>
          <w:szCs w:val="28"/>
          <w:rtl/>
        </w:rPr>
        <w:t xml:space="preserve">فکیف آل النهی من آل عمران‏</w:t>
      </w:r>
    </w:p>
    <w:p>
      <w:pPr>
        <w:pStyle w:val="BookText"/>
      </w:pPr>
      <w:r>
        <w:rPr>
          <w:rFonts w:ascii="IRNazanin" w:hAnsi="IRNazanin" w:eastAsia="IRNazanin" w:cs="IRNazanin"/>
          <w:lang w:bidi="fa-IR"/>
          <w:color w:val="111111"/>
          <w:sz w:val="28"/>
          <w:szCs w:val="28"/>
          <w:rtl/>
        </w:rPr>
        <w:t xml:space="preserve">و فیه مراثی أخر منها رثاء الشیخ أحمد الأحسائی و رثاء السید کاظم الرشتی و رثاء الشیخ موسی بن جعفر کاشف الغطاء و آخر مراثیه رثاء الشیخ محسن خنفر الذی توفی 1270.</w:t>
      </w:r>
    </w:p>
    <w:p>
      <w:pPr>
        <w:pStyle w:val="Heading3"/>
      </w:pPr>
      <w:bookmarkStart w:id="8546" w:name="_Toc7242"/>
      <w:r>
        <w:t>دیوان محمد بن المبارک القزوینی‏</w:t>
      </w:r>
      <w:bookmarkEnd w:id="8546"/>
    </w:p>
    <w:p>
      <w:pPr>
        <w:pStyle w:val="BookText"/>
      </w:pPr>
      <w:r>
        <w:rPr>
          <w:rFonts w:ascii="IRNazanin" w:hAnsi="IRNazanin" w:eastAsia="IRNazanin" w:cs="IRNazanin"/>
          <w:lang w:bidi="fa-IR"/>
          <w:color w:val="111111"/>
          <w:sz w:val="28"/>
          <w:szCs w:val="28"/>
          <w:rtl/>
        </w:rPr>
        <w:t xml:space="preserve">مترجم مجالس النفائس الترکی تألیف المیر علی شیر المتوفی 906 بالفارسیة فی 927 و فرغ منه 929 کان من تلامیذ المولی جلال الدوانی کما فی قاموس الأعلام و توفی 966 کما فی کشف الظنون فی لفظ إیساغوجی و من شعر ما ذکره فی تاریخ فراغ الکتاب. مر بعنوان حکیم شاه فی ص 262. و فی ج 15: 44.</w:t>
      </w:r>
    </w:p>
    <w:p>
      <w:pPr>
        <w:pStyle w:val="Heading3"/>
      </w:pPr>
      <w:bookmarkStart w:id="8547" w:name="_Toc7243"/>
      <w:r>
        <w:t>دیوان محمد بن محمد بن الحسن الطوسی‏</w:t>
      </w:r>
      <w:bookmarkEnd w:id="8547"/>
    </w:p>
    <w:p>
      <w:pPr>
        <w:pStyle w:val="BookText"/>
      </w:pPr>
      <w:r>
        <w:rPr>
          <w:rFonts w:ascii="IRNazanin" w:hAnsi="IRNazanin" w:eastAsia="IRNazanin" w:cs="IRNazanin"/>
          <w:lang w:bidi="fa-IR"/>
          <w:color w:val="111111"/>
          <w:sz w:val="28"/>
          <w:szCs w:val="28"/>
          <w:rtl/>
        </w:rPr>
        <w:t xml:space="preserve">المتوفی 672 عن خمس و سبعین سنة. ترجمه فی الأمل و أورد بعض شعره العربی و من شعره الفارسی منظومة الاختیارات أوردها بعینها نجیب الدین الأصفهانی فی أصول الملحمة المطبوع 1306 مر بعنوان الخواجة نصیر فی ص 306.</w:t>
      </w:r>
    </w:p>
    <w:p>
      <w:pPr>
        <w:pStyle w:val="Heading3"/>
      </w:pPr>
      <w:bookmarkStart w:id="8548" w:name="_Toc7244"/>
      <w:r>
        <w:t>6468- دیوان محمد بن محمد بن حسن‏</w:t>
      </w:r>
      <w:bookmarkEnd w:id="8548"/>
    </w:p>
    <w:p>
      <w:pPr>
        <w:pStyle w:val="BookText"/>
      </w:pPr>
      <w:r>
        <w:rPr>
          <w:rFonts w:ascii="IRNazanin" w:hAnsi="IRNazanin" w:eastAsia="IRNazanin" w:cs="IRNazanin"/>
          <w:lang w:bidi="fa-IR"/>
          <w:color w:val="111111"/>
          <w:sz w:val="28"/>
          <w:szCs w:val="28"/>
          <w:rtl/>
        </w:rPr>
        <w:t xml:space="preserve">ابن قاسم الحسینی العیناثی الجزینی ترجمه فی الأمل بقوله کان فاضلا عالما صالحا أدیبا شاعرا زاهدا و عد من تصانیفه کتاب المنظوم الفصیح و المنثور الصحیح ثم أورد نیفا و عشرین بیتا من شعره.</w:t>
      </w:r>
    </w:p>
    <w:p>
      <w:pPr>
        <w:pStyle w:val="Heading3"/>
      </w:pPr>
      <w:bookmarkStart w:id="8549" w:name="_Toc7245"/>
      <w:r>
        <w:t>6469- دیوان الشیخ محمد بن محمد بن الحسین الحر العاملی المشغری‏</w:t>
      </w:r>
      <w:bookmarkEnd w:id="8549"/>
    </w:p>
    <w:p>
      <w:pPr>
        <w:pStyle w:val="BookText"/>
      </w:pPr>
      <w:r>
        <w:rPr>
          <w:rFonts w:ascii="IRNazanin" w:hAnsi="IRNazanin" w:eastAsia="IRNazanin" w:cs="IRNazanin"/>
          <w:lang w:bidi="fa-IR"/>
          <w:color w:val="111111"/>
          <w:sz w:val="28"/>
          <w:szCs w:val="28"/>
          <w:rtl/>
        </w:rPr>
        <w:t xml:space="preserve">عم والد الشیخ الحر. ترجمه فی الأمل و ذکر من أوصافه أنه کان شاعرا منشیا أدیبا و له نظم تلخیص المفتاح قال و توفی 1080 ثم أورد جملة من شعره و کان تلمیذ البهائی.</w:t>
      </w:r>
    </w:p>
    <w:p>
      <w:pPr>
        <w:pStyle w:val="Heading3"/>
      </w:pPr>
      <w:bookmarkStart w:id="8550" w:name="_Toc7246"/>
      <w:r>
        <w:t>6470- دیوان محمد بن محمد بن محمد بن داود المؤذن الجزینی أو شعره‏</w:t>
      </w:r>
      <w:bookmarkEnd w:id="8550"/>
    </w:p>
    <w:p>
      <w:pPr>
        <w:pStyle w:val="BookText"/>
      </w:pPr>
      <w:r>
        <w:rPr>
          <w:rFonts w:ascii="IRNazanin" w:hAnsi="IRNazanin" w:eastAsia="IRNazanin" w:cs="IRNazanin"/>
          <w:lang w:bidi="fa-IR"/>
          <w:color w:val="111111"/>
          <w:sz w:val="28"/>
          <w:szCs w:val="28"/>
          <w:rtl/>
        </w:rPr>
        <w:t xml:space="preserve">ترجمه فی الأمل و ذکر أنه ابن عم الشهید، و کان من تلامیذ الشیخ ضیاء الدین علی بن الشهید الأول. و هو کان فاضلا جلیلا نبیلا شاعرا.
</w:t>
      </w:r>
    </w:p>
    <w:p>
      <w:pPr>
        <w:sectPr>
          <w:footerReference w:type="default" r:id="rId998"/>
          <w:footnotePr>
            <w:numStart w:val="1"/>
            <w:numRestart w:val="eachPage"/>
          </w:footnotePr>
          <w:pgSz w:orient="portrait" w:w="11905.511811023622" w:h="16837.79527559055"/>
          <w:pgMar w:top="1440" w:right="1440" w:bottom="1440" w:left="1440" w:header="720" w:footer="720" w:gutter="0"/>
          <w:cols w:num="1" w:space="720"/>
        </w:sectPr>
      </w:pPr>
    </w:p>
    <w:bookmarkStart w:id="980" w:name="pg11704_122466"/>
    <w:bookmarkEnd w:id="980"/>
    <w:p>
      <w:pPr>
        <w:pStyle w:val="Heading3"/>
      </w:pPr>
      <w:bookmarkStart w:id="8551" w:name="_Toc7247"/>
      <w:r>
        <w:t>دیوان محمد بن محمود البلخی‏</w:t>
      </w:r>
      <w:bookmarkEnd w:id="8551"/>
    </w:p>
    <w:p>
      <w:pPr>
        <w:pStyle w:val="BookText"/>
      </w:pPr>
      <w:r>
        <w:rPr>
          <w:rFonts w:ascii="IRNazanin" w:hAnsi="IRNazanin" w:eastAsia="IRNazanin" w:cs="IRNazanin"/>
          <w:lang w:bidi="fa-IR"/>
          <w:color w:val="111111"/>
          <w:sz w:val="28"/>
          <w:szCs w:val="28"/>
          <w:rtl/>
        </w:rPr>
        <w:t xml:space="preserve">المعروف ب بدائعی بلخی کما مر فی ص 127 طبع له پندنامه أنوشیروان فی 200 بیت، مع مقدمه سعید النفیسی بطهران 1312 ش.</w:t>
      </w:r>
    </w:p>
    <w:p>
      <w:pPr>
        <w:pStyle w:val="BookText"/>
      </w:pPr>
      <w:r>
        <w:rPr>
          <w:rFonts w:ascii="IRNazanin" w:hAnsi="IRNazanin" w:eastAsia="IRNazanin" w:cs="IRNazanin"/>
          <w:lang w:bidi="fa-IR"/>
          <w:color w:val="111111"/>
          <w:sz w:val="28"/>
          <w:szCs w:val="28"/>
          <w:rtl/>
        </w:rPr>
        <w:t xml:space="preserve">و أصله بالپهلویة، و ترجمته بالفارسیة منسوبة إلی ابن سینا و قد نظمه بدائعی هذا.</w:t>
      </w:r>
    </w:p>
    <w:p>
      <w:pPr>
        <w:pStyle w:val="Heading3"/>
      </w:pPr>
      <w:bookmarkStart w:id="8552" w:name="_Toc7248"/>
      <w:r>
        <w:t>دیوان محمد بن مکی الشهید أو شعره‏</w:t>
      </w:r>
      <w:bookmarkEnd w:id="8552"/>
    </w:p>
    <w:p>
      <w:pPr>
        <w:pStyle w:val="BookText"/>
      </w:pPr>
      <w:r>
        <w:rPr>
          <w:rFonts w:ascii="IRNazanin" w:hAnsi="IRNazanin" w:eastAsia="IRNazanin" w:cs="IRNazanin"/>
          <w:lang w:bidi="fa-IR"/>
          <w:color w:val="111111"/>
          <w:sz w:val="28"/>
          <w:szCs w:val="28"/>
          <w:rtl/>
        </w:rPr>
        <w:t xml:space="preserve">ترجمه فی الأمل و نقل عن نقد الرجال ترجمته- إلی قوله-: و له شعر جید، ثم أورد بعضه و ذکر کیفیة شهادته فی 786 و من شعره ما حکاه فی مجلد إجازات البحار ص 15 عن خط الشیخ محمد الجبعی نقلا عن خط الشهید و هو تتمیم شعر ابن الجوزی و مر فی ص 560.</w:t>
      </w:r>
    </w:p>
    <w:p>
      <w:pPr>
        <w:pStyle w:val="Heading3"/>
      </w:pPr>
      <w:bookmarkStart w:id="8553" w:name="_Toc7249"/>
      <w:r>
        <w:t>دیوان محمد بن مؤید البغدادی‏</w:t>
      </w:r>
      <w:bookmarkEnd w:id="8553"/>
    </w:p>
    <w:p>
      <w:pPr>
        <w:pStyle w:val="BookText"/>
      </w:pPr>
      <w:r>
        <w:rPr>
          <w:rFonts w:ascii="IRNazanin" w:hAnsi="IRNazanin" w:eastAsia="IRNazanin" w:cs="IRNazanin"/>
          <w:lang w:bidi="fa-IR"/>
          <w:color w:val="111111"/>
          <w:sz w:val="28"/>
          <w:szCs w:val="28"/>
          <w:rtl/>
        </w:rPr>
        <w:t xml:space="preserve">من بغدادک بخوارزم. و منشی السلطان تکش.</w:t>
      </w:r>
    </w:p>
    <w:p>
      <w:pPr>
        <w:pStyle w:val="BookText"/>
      </w:pPr>
      <w:r>
        <w:rPr>
          <w:rFonts w:ascii="IRNazanin" w:hAnsi="IRNazanin" w:eastAsia="IRNazanin" w:cs="IRNazanin"/>
          <w:lang w:bidi="fa-IR"/>
          <w:color w:val="111111"/>
          <w:sz w:val="28"/>
          <w:szCs w:val="28"/>
          <w:rtl/>
        </w:rPr>
        <w:t xml:space="preserve">ترجمه فی (لب 6) و هو صاحب التوسل إلی الترسل الذی طبعه أحمد بهمنیار فی 1315 ش.</w:t>
      </w:r>
    </w:p>
    <w:p>
      <w:pPr>
        <w:pStyle w:val="BookText"/>
      </w:pPr>
      <w:r>
        <w:rPr>
          <w:rFonts w:ascii="IRNazanin" w:hAnsi="IRNazanin" w:eastAsia="IRNazanin" w:cs="IRNazanin"/>
          <w:lang w:bidi="fa-IR"/>
          <w:color w:val="111111"/>
          <w:sz w:val="28"/>
          <w:szCs w:val="28"/>
          <w:rtl/>
        </w:rPr>
        <w:t xml:space="preserve">و مر بعنوان لقبه بهاء الدین البغدادی فی ص 143 و مر فی ص 960 أخوه مجد الدین البغدادی.</w:t>
      </w:r>
    </w:p>
    <w:p>
      <w:pPr>
        <w:pStyle w:val="Heading3"/>
      </w:pPr>
      <w:bookmarkStart w:id="8554" w:name="_Toc7250"/>
      <w:r>
        <w:t>6471- دیوان محمد بن نصار</w:t>
      </w:r>
      <w:bookmarkEnd w:id="8554"/>
    </w:p>
    <w:p>
      <w:pPr>
        <w:pStyle w:val="BookText"/>
      </w:pPr>
      <w:r>
        <w:rPr>
          <w:rFonts w:ascii="IRNazanin" w:hAnsi="IRNazanin" w:eastAsia="IRNazanin" w:cs="IRNazanin"/>
          <w:lang w:bidi="fa-IR"/>
          <w:color w:val="111111"/>
          <w:sz w:val="28"/>
          <w:szCs w:val="28"/>
          <w:rtl/>
        </w:rPr>
        <w:t xml:space="preserve">و یقال له النصاریات و هو بلغة الحسکة العربیة المکسرة الدراجة فی العراق الجنوبی و الوسطی و هو متداول یقرأ علی منابر القراء. و قد طبع فی النجف و الحق به بعض أشعار أخر لسائر الشعراء.</w:t>
      </w:r>
    </w:p>
    <w:p>
      <w:pPr>
        <w:pStyle w:val="Heading3"/>
      </w:pPr>
      <w:bookmarkStart w:id="8555" w:name="_Toc7251"/>
      <w:r>
        <w:t>6472- دیوان محمد بن نصیر</w:t>
      </w:r>
      <w:bookmarkEnd w:id="8555"/>
    </w:p>
    <w:p>
      <w:pPr>
        <w:pStyle w:val="BookText"/>
      </w:pPr>
      <w:r>
        <w:rPr>
          <w:rFonts w:ascii="IRNazanin" w:hAnsi="IRNazanin" w:eastAsia="IRNazanin" w:cs="IRNazanin"/>
          <w:lang w:bidi="fa-IR"/>
          <w:color w:val="111111"/>
          <w:sz w:val="28"/>
          <w:szCs w:val="28"/>
          <w:rtl/>
        </w:rPr>
        <w:t xml:space="preserve">جمال الدین افتخار الملک، من ملازمی ملوک الجبال کما وصفه فی (لب 6) و قال إن له مجلس‏آرای شهابی صغیر الحجم عظیم الفائدة.</w:t>
      </w:r>
    </w:p>
    <w:p>
      <w:pPr>
        <w:pStyle w:val="Heading3"/>
      </w:pPr>
      <w:bookmarkStart w:id="8556" w:name="_Toc7252"/>
      <w:r>
        <w:t>دیوان محمد بن هانی الأندلسی‏</w:t>
      </w:r>
      <w:bookmarkEnd w:id="8556"/>
    </w:p>
    <w:p>
      <w:pPr>
        <w:pStyle w:val="BookText"/>
      </w:pPr>
      <w:r>
        <w:rPr>
          <w:rFonts w:ascii="IRNazanin" w:hAnsi="IRNazanin" w:eastAsia="IRNazanin" w:cs="IRNazanin"/>
          <w:lang w:bidi="fa-IR"/>
          <w:color w:val="111111"/>
          <w:sz w:val="28"/>
          <w:szCs w:val="28"/>
          <w:rtl/>
        </w:rPr>
        <w:t xml:space="preserve">هو الشیخ أبو القاسم الأندلسی. ترجمه فی الأمل و قال له دیوان شعر حسن و شعر کثیر فی مدح الأمیر و عده ابن شهرآشوب فی المعالم من شعراء أهل البیت مر فی ص 33.</w:t>
      </w:r>
    </w:p>
    <w:p>
      <w:pPr>
        <w:pStyle w:val="Heading3"/>
      </w:pPr>
      <w:bookmarkStart w:id="8557" w:name="_Toc7253"/>
      <w:r>
        <w:t>دیوان محمد بن یوسف‏</w:t>
      </w:r>
      <w:bookmarkEnd w:id="8557"/>
    </w:p>
    <w:p>
      <w:pPr>
        <w:pStyle w:val="BookText"/>
      </w:pPr>
      <w:r>
        <w:rPr>
          <w:rFonts w:ascii="IRNazanin" w:hAnsi="IRNazanin" w:eastAsia="IRNazanin" w:cs="IRNazanin"/>
          <w:lang w:bidi="fa-IR"/>
          <w:color w:val="111111"/>
          <w:sz w:val="28"/>
          <w:szCs w:val="28"/>
          <w:rtl/>
        </w:rPr>
        <w:t xml:space="preserve">ابن علی بن کنبار البلادی البحرانی تلمیذ الشیخ سلیمان بن عبد الله الماحوزی مر فی ص 28 بعنوان ابن کمبار. و أورد الشیخ لطف الله الجد حفصی بعض مراثیه فی مجموعته التی کتبها لنفسه بخطه الجید فی 1201 و الموجودة عند الیعقوبی فی النجف. و قد ذکره فی کشف الحجب أیضا.</w:t>
      </w:r>
    </w:p>
    <w:p>
      <w:pPr>
        <w:pStyle w:val="Heading3"/>
      </w:pPr>
      <w:bookmarkStart w:id="8558" w:name="_Toc7254"/>
      <w:r>
        <w:t>6473- دیوان محمد بن یوسف‏</w:t>
      </w:r>
      <w:bookmarkEnd w:id="8558"/>
    </w:p>
    <w:p>
      <w:pPr>
        <w:pStyle w:val="BookText"/>
      </w:pPr>
      <w:r>
        <w:rPr>
          <w:rFonts w:ascii="IRNazanin" w:hAnsi="IRNazanin" w:eastAsia="IRNazanin" w:cs="IRNazanin"/>
          <w:lang w:bidi="fa-IR"/>
          <w:color w:val="111111"/>
          <w:sz w:val="28"/>
          <w:szCs w:val="28"/>
          <w:rtl/>
        </w:rPr>
        <w:t xml:space="preserve">الخطی المولد البحرانی المسکن. ترجمه معاصره‏
</w:t>
      </w:r>
    </w:p>
    <w:p>
      <w:pPr>
        <w:sectPr>
          <w:footerReference w:type="default" r:id="rId999"/>
          <w:footnotePr>
            <w:numStart w:val="1"/>
            <w:numRestart w:val="eachPage"/>
          </w:footnotePr>
          <w:pgSz w:orient="portrait" w:w="11905.511811023622" w:h="16837.79527559055"/>
          <w:pgMar w:top="1440" w:right="1440" w:bottom="1440" w:left="1440" w:header="720" w:footer="720" w:gutter="0"/>
          <w:cols w:num="1" w:space="720"/>
        </w:sectPr>
      </w:pPr>
    </w:p>
    <w:bookmarkStart w:id="981" w:name="pg11704_122467"/>
    <w:bookmarkEnd w:id="981"/>
    <w:p>
      <w:pPr>
        <w:pStyle w:val="BookText"/>
      </w:pPr>
      <w:r>
        <w:rPr>
          <w:rFonts w:ascii="IRNazanin" w:hAnsi="IRNazanin" w:eastAsia="IRNazanin" w:cs="IRNazanin"/>
          <w:lang w:bidi="fa-IR"/>
          <w:color w:val="111111"/>
          <w:sz w:val="28"/>
          <w:szCs w:val="28"/>
          <w:rtl/>
        </w:rPr>
        <w:t xml:space="preserve">الشیخ الحر فی الأمل و قال ماهر فی أکثر العلوم من الفقه و الکلام و الریاضی أدیب شاعر.</w:t>
      </w:r>
    </w:p>
    <w:p>
      <w:pPr>
        <w:pStyle w:val="Heading3"/>
      </w:pPr>
      <w:bookmarkStart w:id="8559" w:name="_Toc7255"/>
      <w:r>
        <w:t>دیوان محمد إخباری‏</w:t>
      </w:r>
      <w:bookmarkEnd w:id="8559"/>
    </w:p>
    <w:p>
      <w:pPr>
        <w:pStyle w:val="BookText"/>
      </w:pPr>
      <w:r>
        <w:rPr>
          <w:rFonts w:ascii="IRNazanin" w:hAnsi="IRNazanin" w:eastAsia="IRNazanin" w:cs="IRNazanin"/>
          <w:lang w:bidi="fa-IR"/>
          <w:color w:val="111111"/>
          <w:sz w:val="28"/>
          <w:szCs w:val="28"/>
          <w:rtl/>
        </w:rPr>
        <w:t xml:space="preserve">راجع دیوان محمد بن عبد النبی النیشابوری.</w:t>
      </w:r>
    </w:p>
    <w:p>
      <w:pPr>
        <w:pStyle w:val="Heading3"/>
      </w:pPr>
      <w:bookmarkStart w:id="8560" w:name="_Toc7256"/>
      <w:r>
        <w:t>دیوان محمد أدائی‏</w:t>
      </w:r>
      <w:bookmarkEnd w:id="8560"/>
    </w:p>
    <w:p>
      <w:pPr>
        <w:pStyle w:val="BookText"/>
      </w:pPr>
      <w:r>
        <w:rPr>
          <w:rFonts w:ascii="IRNazanin" w:hAnsi="IRNazanin" w:eastAsia="IRNazanin" w:cs="IRNazanin"/>
          <w:lang w:bidi="fa-IR"/>
          <w:color w:val="111111"/>
          <w:sz w:val="28"/>
          <w:szCs w:val="28"/>
          <w:rtl/>
        </w:rPr>
        <w:t xml:space="preserve">مر فی ص 63.</w:t>
      </w:r>
    </w:p>
    <w:p>
      <w:pPr>
        <w:pStyle w:val="Heading3"/>
      </w:pPr>
      <w:bookmarkStart w:id="8561" w:name="_Toc7257"/>
      <w:r>
        <w:t>6474- دیوان میرزا محمد أردبیلی أو شعره‏</w:t>
      </w:r>
      <w:bookmarkEnd w:id="8561"/>
    </w:p>
    <w:p>
      <w:pPr>
        <w:pStyle w:val="BookText"/>
      </w:pPr>
      <w:r>
        <w:rPr>
          <w:rFonts w:ascii="IRNazanin" w:hAnsi="IRNazanin" w:eastAsia="IRNazanin" w:cs="IRNazanin"/>
          <w:lang w:bidi="fa-IR"/>
          <w:color w:val="111111"/>
          <w:sz w:val="28"/>
          <w:szCs w:val="28"/>
          <w:rtl/>
        </w:rPr>
        <w:t xml:space="preserve">کان من الأطباء الشعراء فی القرن الحادی عشر أدرکه المیرزا صائب فی أردبیل و کتب عنه فی بیاضه أربعة عشر بیتا.</w:t>
      </w:r>
    </w:p>
    <w:p>
      <w:pPr>
        <w:pStyle w:val="BookText"/>
      </w:pPr>
      <w:r>
        <w:rPr>
          <w:rFonts w:ascii="IRNazanin" w:hAnsi="IRNazanin" w:eastAsia="IRNazanin" w:cs="IRNazanin"/>
          <w:lang w:bidi="fa-IR"/>
          <w:color w:val="111111"/>
          <w:sz w:val="28"/>
          <w:szCs w:val="28"/>
          <w:rtl/>
        </w:rPr>
        <w:t xml:space="preserve">ذکرها فی (دجا- ص 328).</w:t>
      </w:r>
    </w:p>
    <w:p>
      <w:pPr>
        <w:pStyle w:val="Heading3"/>
      </w:pPr>
      <w:bookmarkStart w:id="8562" w:name="_Toc7258"/>
      <w:r>
        <w:t>6475- دیوان محمد ارتضا علی خشنود</w:t>
      </w:r>
      <w:bookmarkEnd w:id="8562"/>
    </w:p>
    <w:p>
      <w:pPr>
        <w:pStyle w:val="BookText"/>
      </w:pPr>
      <w:r>
        <w:rPr>
          <w:rFonts w:ascii="IRNazanin" w:hAnsi="IRNazanin" w:eastAsia="IRNazanin" w:cs="IRNazanin"/>
          <w:lang w:bidi="fa-IR"/>
          <w:color w:val="111111"/>
          <w:sz w:val="28"/>
          <w:szCs w:val="28"/>
          <w:rtl/>
        </w:rPr>
        <w:t xml:space="preserve">ابن مصطفی علی خان الهندی. ولد 1198 و جلس للقضاء مکان والده فی 1244 و له تصانیف و أشعار. ترجمه فی (نتایج- ص 240).</w:t>
      </w:r>
    </w:p>
    <w:p>
      <w:pPr>
        <w:pStyle w:val="Heading3"/>
      </w:pPr>
      <w:bookmarkStart w:id="8563" w:name="_Toc7259"/>
      <w:r>
        <w:t>دیوان محمد أسترآبادی‏</w:t>
      </w:r>
      <w:bookmarkEnd w:id="8563"/>
    </w:p>
    <w:p>
      <w:pPr>
        <w:pStyle w:val="BookText"/>
      </w:pPr>
      <w:r>
        <w:rPr>
          <w:rFonts w:ascii="IRNazanin" w:hAnsi="IRNazanin" w:eastAsia="IRNazanin" w:cs="IRNazanin"/>
          <w:lang w:bidi="fa-IR"/>
          <w:color w:val="111111"/>
          <w:sz w:val="28"/>
          <w:szCs w:val="28"/>
          <w:rtl/>
        </w:rPr>
        <w:t xml:space="preserve">ترجمه سام میرزا فی (تس 4- ص 78) و یأتی بتخلصه مشربی.</w:t>
      </w:r>
    </w:p>
    <w:p>
      <w:pPr>
        <w:pStyle w:val="Heading3"/>
      </w:pPr>
      <w:bookmarkStart w:id="8564" w:name="_Toc7260"/>
      <w:r>
        <w:t>6476- دیوان محمد أسترآبادی أو شعره‏</w:t>
      </w:r>
      <w:bookmarkEnd w:id="8564"/>
    </w:p>
    <w:p>
      <w:pPr>
        <w:pStyle w:val="BookText"/>
      </w:pPr>
      <w:r>
        <w:rPr>
          <w:rFonts w:ascii="IRNazanin" w:hAnsi="IRNazanin" w:eastAsia="IRNazanin" w:cs="IRNazanin"/>
          <w:lang w:bidi="fa-IR"/>
          <w:color w:val="111111"/>
          <w:sz w:val="28"/>
          <w:szCs w:val="28"/>
          <w:rtl/>
        </w:rPr>
        <w:t xml:space="preserve">هو أخ الحاج میرزا یحیی المستوفی فی عصر السلطان فتح علی شاه ترجمه معاصره و مصاحبه رضا قلی هدایت فی (مع 2:</w:t>
      </w:r>
    </w:p>
    <w:p>
      <w:pPr>
        <w:pStyle w:val="BookText"/>
      </w:pPr>
      <w:r>
        <w:rPr>
          <w:rFonts w:ascii="IRNazanin" w:hAnsi="IRNazanin" w:eastAsia="IRNazanin" w:cs="IRNazanin"/>
          <w:lang w:bidi="fa-IR"/>
          <w:color w:val="111111"/>
          <w:sz w:val="28"/>
          <w:szCs w:val="28"/>
          <w:rtl/>
        </w:rPr>
        <w:t xml:space="preserve">ص 451) و أورد شعره:</w:t>
      </w:r>
    </w:p>
    <w:p>
      <w:pPr>
        <w:pStyle w:val="BookText"/>
      </w:pPr>
      <w:r>
        <w:rPr>
          <w:rFonts w:ascii="IRNazanin" w:hAnsi="IRNazanin" w:eastAsia="IRNazanin" w:cs="IRNazanin"/>
          <w:lang w:bidi="fa-IR"/>
          <w:color w:val="111111"/>
          <w:sz w:val="28"/>
          <w:szCs w:val="28"/>
          <w:rtl/>
        </w:rPr>
        <w:t xml:space="preserve">نمی‏دانم ز منع گریه مقصد چیست ناصح را</w:t>
      </w:r>
    </w:p>
    <w:p>
      <w:pPr>
        <w:pStyle w:val="BookText"/>
      </w:pPr>
      <w:r>
        <w:rPr>
          <w:rFonts w:ascii="IRNazanin" w:hAnsi="IRNazanin" w:eastAsia="IRNazanin" w:cs="IRNazanin"/>
          <w:lang w:bidi="fa-IR"/>
          <w:color w:val="111111"/>
          <w:sz w:val="28"/>
          <w:szCs w:val="28"/>
          <w:rtl/>
        </w:rPr>
        <w:t xml:space="preserve">دل از من، دیده از من، أشک از من، آستین از من‏</w:t>
      </w:r>
    </w:p>
    <w:p>
      <w:pPr>
        <w:pStyle w:val="Heading3"/>
      </w:pPr>
      <w:bookmarkStart w:id="8565" w:name="_Toc7261"/>
      <w:r>
        <w:t>6477- دیوان محمد إسماعیل أبجدی‏</w:t>
      </w:r>
      <w:bookmarkEnd w:id="8565"/>
    </w:p>
    <w:p>
      <w:pPr>
        <w:pStyle w:val="BookText"/>
      </w:pPr>
      <w:r>
        <w:rPr>
          <w:rFonts w:ascii="IRNazanin" w:hAnsi="IRNazanin" w:eastAsia="IRNazanin" w:cs="IRNazanin"/>
          <w:lang w:bidi="fa-IR"/>
          <w:color w:val="111111"/>
          <w:sz w:val="28"/>
          <w:szCs w:val="28"/>
          <w:rtl/>
        </w:rPr>
        <w:t xml:space="preserve">ملک الشعراء. توفی فی 1192. طبع له مودت‏نامه نظما باهتمام محرم حسین محوی اللکهنوی فی مدراس 1944 م. فی 408 ص. مع مقدمه إنگلیزیة، و زبدة الأفکار فی 1951 م.</w:t>
      </w:r>
    </w:p>
    <w:p>
      <w:pPr>
        <w:pStyle w:val="Heading3"/>
      </w:pPr>
      <w:bookmarkStart w:id="8566" w:name="_Toc7262"/>
      <w:r>
        <w:t>دیوان محمد إصطهباناتی‏</w:t>
      </w:r>
      <w:bookmarkEnd w:id="8566"/>
    </w:p>
    <w:p>
      <w:pPr>
        <w:pStyle w:val="BookText"/>
      </w:pPr>
      <w:r>
        <w:rPr>
          <w:rFonts w:ascii="IRNazanin" w:hAnsi="IRNazanin" w:eastAsia="IRNazanin" w:cs="IRNazanin"/>
          <w:lang w:bidi="fa-IR"/>
          <w:color w:val="111111"/>
          <w:sz w:val="28"/>
          <w:szCs w:val="28"/>
          <w:rtl/>
        </w:rPr>
        <w:t xml:space="preserve">المولد و الشیرازی المقر و المدفن المتخلص عارف مر فی ص 665 و هو غیر المولی شاه محمد الدارابجردی المذکور فی ص 497 فإنه استشهد فی الهند و تخلصه شاه کما مر.</w:t>
      </w:r>
    </w:p>
    <w:p>
      <w:pPr>
        <w:pStyle w:val="Heading3"/>
      </w:pPr>
      <w:bookmarkStart w:id="8567" w:name="_Toc7263"/>
      <w:r>
        <w:t>دیوان محمد أصفهانی‏</w:t>
      </w:r>
      <w:bookmarkEnd w:id="8567"/>
    </w:p>
    <w:p>
      <w:pPr>
        <w:pStyle w:val="BookText"/>
      </w:pPr>
      <w:r>
        <w:rPr>
          <w:rFonts w:ascii="IRNazanin" w:hAnsi="IRNazanin" w:eastAsia="IRNazanin" w:cs="IRNazanin"/>
          <w:lang w:bidi="fa-IR"/>
          <w:color w:val="111111"/>
          <w:sz w:val="28"/>
          <w:szCs w:val="28"/>
          <w:rtl/>
        </w:rPr>
        <w:t xml:space="preserve">المتخلص سخن کما مر فی ص 434 قال فی نتایج- ص 353) إنه توفی 1216.
</w:t>
      </w:r>
    </w:p>
    <w:p>
      <w:pPr>
        <w:sectPr>
          <w:footerReference w:type="default" r:id="rId1000"/>
          <w:footnotePr>
            <w:numStart w:val="1"/>
            <w:numRestart w:val="eachPage"/>
          </w:footnotePr>
          <w:pgSz w:orient="portrait" w:w="11905.511811023622" w:h="16837.79527559055"/>
          <w:pgMar w:top="1440" w:right="1440" w:bottom="1440" w:left="1440" w:header="720" w:footer="720" w:gutter="0"/>
          <w:cols w:num="1" w:space="720"/>
        </w:sectPr>
      </w:pPr>
    </w:p>
    <w:bookmarkStart w:id="982" w:name="pg11704_122468"/>
    <w:bookmarkEnd w:id="982"/>
    <w:p>
      <w:pPr>
        <w:pStyle w:val="Heading3"/>
      </w:pPr>
      <w:bookmarkStart w:id="8568" w:name="_Toc7264"/>
      <w:r>
        <w:t>دیوان محمد إقبال‏</w:t>
      </w:r>
      <w:bookmarkEnd w:id="8568"/>
    </w:p>
    <w:p>
      <w:pPr>
        <w:pStyle w:val="BookText"/>
      </w:pPr>
      <w:r>
        <w:rPr>
          <w:rFonts w:ascii="IRNazanin" w:hAnsi="IRNazanin" w:eastAsia="IRNazanin" w:cs="IRNazanin"/>
          <w:lang w:bidi="fa-IR"/>
          <w:color w:val="111111"/>
          <w:sz w:val="28"/>
          <w:szCs w:val="28"/>
          <w:rtl/>
        </w:rPr>
        <w:t xml:space="preserve">راجع دیوان إقبال لاهوری فی ص 86.</w:t>
      </w:r>
    </w:p>
    <w:p>
      <w:pPr>
        <w:pStyle w:val="Heading3"/>
      </w:pPr>
      <w:bookmarkStart w:id="8569" w:name="_Toc7265"/>
      <w:r>
        <w:t>6478- دیوان محمد إمامی أو شعره‏</w:t>
      </w:r>
      <w:bookmarkEnd w:id="8569"/>
    </w:p>
    <w:p>
      <w:pPr>
        <w:pStyle w:val="BookText"/>
      </w:pPr>
      <w:r>
        <w:rPr>
          <w:rFonts w:ascii="IRNazanin" w:hAnsi="IRNazanin" w:eastAsia="IRNazanin" w:cs="IRNazanin"/>
          <w:lang w:bidi="fa-IR"/>
          <w:color w:val="111111"/>
          <w:sz w:val="28"/>
          <w:szCs w:val="28"/>
          <w:rtl/>
        </w:rPr>
        <w:t xml:space="preserve">ترجمه فی (مجن 1 ص 14 و 189) و ذکر حسن طبعه و بلوغه رتبة قاضی القضاة بخراسان و أورد شعره المشهور فی هراة و قال توفی بالطاعون فی شوال 838 و دفن بمقابر الإمامی فی گازرگاه و فی نسخه لقبه فردی.</w:t>
      </w:r>
    </w:p>
    <w:p>
      <w:pPr>
        <w:pStyle w:val="Heading3"/>
      </w:pPr>
      <w:bookmarkStart w:id="8570" w:name="_Toc7266"/>
      <w:r>
        <w:t>دیوان محمد أمین إسرائیلی‏</w:t>
      </w:r>
      <w:bookmarkEnd w:id="8570"/>
    </w:p>
    <w:p>
      <w:pPr>
        <w:pStyle w:val="BookText"/>
      </w:pPr>
      <w:r>
        <w:rPr>
          <w:rFonts w:ascii="IRNazanin" w:hAnsi="IRNazanin" w:eastAsia="IRNazanin" w:cs="IRNazanin"/>
          <w:lang w:bidi="fa-IR"/>
          <w:color w:val="111111"/>
          <w:sz w:val="28"/>
          <w:szCs w:val="28"/>
          <w:rtl/>
        </w:rPr>
        <w:t xml:space="preserve">کما فی (نتایج- ص 82) مر بعنوان أمین ص 105.</w:t>
      </w:r>
    </w:p>
    <w:p>
      <w:pPr>
        <w:pStyle w:val="Heading3"/>
      </w:pPr>
      <w:bookmarkStart w:id="8571" w:name="_Toc7267"/>
      <w:r>
        <w:t>دیوان محمد أمین تبریزی‏</w:t>
      </w:r>
      <w:bookmarkEnd w:id="8571"/>
    </w:p>
    <w:p>
      <w:pPr>
        <w:pStyle w:val="BookText"/>
      </w:pPr>
      <w:r>
        <w:rPr>
          <w:rFonts w:ascii="IRNazanin" w:hAnsi="IRNazanin" w:eastAsia="IRNazanin" w:cs="IRNazanin"/>
          <w:lang w:bidi="fa-IR"/>
          <w:color w:val="111111"/>
          <w:sz w:val="28"/>
          <w:szCs w:val="28"/>
          <w:rtl/>
        </w:rPr>
        <w:t xml:space="preserve">راجع دلسوز تبریزی فی ص 328.</w:t>
      </w:r>
    </w:p>
    <w:p>
      <w:pPr>
        <w:pStyle w:val="Heading3"/>
      </w:pPr>
      <w:bookmarkStart w:id="8572" w:name="_Toc7268"/>
      <w:r>
        <w:t>دیوان محمد أمین ترکمان‏</w:t>
      </w:r>
      <w:bookmarkEnd w:id="8572"/>
    </w:p>
    <w:p>
      <w:pPr>
        <w:pStyle w:val="BookText"/>
      </w:pPr>
      <w:r>
        <w:rPr>
          <w:rFonts w:ascii="IRNazanin" w:hAnsi="IRNazanin" w:eastAsia="IRNazanin" w:cs="IRNazanin"/>
          <w:lang w:bidi="fa-IR"/>
          <w:color w:val="111111"/>
          <w:sz w:val="28"/>
          <w:szCs w:val="28"/>
          <w:rtl/>
        </w:rPr>
        <w:t xml:space="preserve">المذکور فی ص 342 بتخلصه ذوقی کاشانی. قال فی (نتایج- ص 258) إنه توفی 949.</w:t>
      </w:r>
    </w:p>
    <w:p>
      <w:pPr>
        <w:pStyle w:val="Heading3"/>
      </w:pPr>
      <w:bookmarkStart w:id="8573" w:name="_Toc7269"/>
      <w:r>
        <w:t>6479- دیوان محمد أمین جرفادقانی أو شعره‏</w:t>
      </w:r>
      <w:bookmarkEnd w:id="8573"/>
    </w:p>
    <w:p>
      <w:pPr>
        <w:pStyle w:val="BookText"/>
      </w:pPr>
      <w:r>
        <w:rPr>
          <w:rFonts w:ascii="IRNazanin" w:hAnsi="IRNazanin" w:eastAsia="IRNazanin" w:cs="IRNazanin"/>
          <w:lang w:bidi="fa-IR"/>
          <w:color w:val="111111"/>
          <w:sz w:val="28"/>
          <w:szCs w:val="28"/>
          <w:rtl/>
        </w:rPr>
        <w:t xml:space="preserve">ترجمه و أورد شعره فی همیشه بهار.</w:t>
      </w:r>
    </w:p>
    <w:p>
      <w:pPr>
        <w:pStyle w:val="Heading3"/>
      </w:pPr>
      <w:bookmarkStart w:id="8574" w:name="_Toc7270"/>
      <w:r>
        <w:t>6480- دیوان السید محمد الأمین العاملی‏</w:t>
      </w:r>
      <w:bookmarkEnd w:id="8574"/>
    </w:p>
    <w:p>
      <w:pPr>
        <w:pStyle w:val="BookText"/>
      </w:pPr>
      <w:r>
        <w:rPr>
          <w:rFonts w:ascii="IRNazanin" w:hAnsi="IRNazanin" w:eastAsia="IRNazanin" w:cs="IRNazanin"/>
          <w:lang w:bidi="fa-IR"/>
          <w:color w:val="111111"/>
          <w:sz w:val="28"/>
          <w:szCs w:val="28"/>
          <w:rtl/>
        </w:rPr>
        <w:t xml:space="preserve">ابن السید أبی الحسن موسی الحسینی العاملی أبی طائفة الأمین بالشام و الجد الأعلی للسید محسن بن عبد الکریم بن علی بن محمد الأمین. ترجمه سیدنا الحسن فی تکملة الأمل و ذکر أن دیوانه کبیر. و مر السید محسن فی ص 104.</w:t>
      </w:r>
    </w:p>
    <w:p>
      <w:pPr>
        <w:pStyle w:val="Heading3"/>
      </w:pPr>
      <w:bookmarkStart w:id="8575" w:name="_Toc7271"/>
      <w:r>
        <w:t>6481- دیوان محمد ایزدی‏</w:t>
      </w:r>
      <w:bookmarkEnd w:id="8575"/>
    </w:p>
    <w:p>
      <w:pPr>
        <w:pStyle w:val="BookText"/>
      </w:pPr>
      <w:r>
        <w:rPr>
          <w:rFonts w:ascii="IRNazanin" w:hAnsi="IRNazanin" w:eastAsia="IRNazanin" w:cs="IRNazanin"/>
          <w:lang w:bidi="fa-IR"/>
          <w:color w:val="111111"/>
          <w:sz w:val="28"/>
          <w:szCs w:val="28"/>
          <w:rtl/>
        </w:rPr>
        <w:t xml:space="preserve">و هو الشیخ محمد بن عبد الله البوشهری المتوفی 1322 طبع له حسن‏نامه فی 1308 فی بمبئی.</w:t>
      </w:r>
    </w:p>
    <w:p>
      <w:pPr>
        <w:pStyle w:val="Heading3"/>
      </w:pPr>
      <w:bookmarkStart w:id="8576" w:name="_Toc7272"/>
      <w:r>
        <w:t>6482- دیوان محمد أمین مشهدی أو شعره‏</w:t>
      </w:r>
      <w:bookmarkEnd w:id="8576"/>
    </w:p>
    <w:p>
      <w:pPr>
        <w:pStyle w:val="BookText"/>
      </w:pPr>
      <w:r>
        <w:rPr>
          <w:rFonts w:ascii="IRNazanin" w:hAnsi="IRNazanin" w:eastAsia="IRNazanin" w:cs="IRNazanin"/>
          <w:lang w:bidi="fa-IR"/>
          <w:color w:val="111111"/>
          <w:sz w:val="28"/>
          <w:szCs w:val="28"/>
          <w:rtl/>
        </w:rPr>
        <w:t xml:space="preserve">کان طبیبا شاعرا. ترجمه و أورد شعره فی (خص 8- ص 268).</w:t>
      </w:r>
    </w:p>
    <w:p>
      <w:pPr>
        <w:pStyle w:val="Heading3"/>
      </w:pPr>
      <w:bookmarkStart w:id="8577" w:name="_Toc7273"/>
      <w:r>
        <w:t>6483- دیوان محمد أمین همدانی أو شعره‏</w:t>
      </w:r>
      <w:bookmarkEnd w:id="8577"/>
    </w:p>
    <w:p>
      <w:pPr>
        <w:pStyle w:val="BookText"/>
      </w:pPr>
      <w:r>
        <w:rPr>
          <w:rFonts w:ascii="IRNazanin" w:hAnsi="IRNazanin" w:eastAsia="IRNazanin" w:cs="IRNazanin"/>
          <w:lang w:bidi="fa-IR"/>
          <w:color w:val="111111"/>
          <w:sz w:val="28"/>
          <w:szCs w:val="28"/>
          <w:rtl/>
        </w:rPr>
        <w:t xml:space="preserve">هو ابن کلانتر قصبة تومی بهمدان. ترجمه و أورد شعره فی (خص 8- ص 300).</w:t>
      </w:r>
    </w:p>
    <w:p>
      <w:pPr>
        <w:pStyle w:val="Heading3"/>
      </w:pPr>
      <w:bookmarkStart w:id="8578" w:name="_Toc7274"/>
      <w:r>
        <w:t>6484- دیوان المیرزا محمد ایوأوغلی‏</w:t>
      </w:r>
      <w:bookmarkEnd w:id="8578"/>
    </w:p>
    <w:p>
      <w:pPr>
        <w:pStyle w:val="BookText"/>
      </w:pPr>
      <w:r>
        <w:rPr>
          <w:rFonts w:ascii="IRNazanin" w:hAnsi="IRNazanin" w:eastAsia="IRNazanin" w:cs="IRNazanin"/>
          <w:lang w:bidi="fa-IR"/>
          <w:color w:val="111111"/>
          <w:sz w:val="28"/>
          <w:szCs w:val="28"/>
          <w:rtl/>
        </w:rPr>
        <w:t xml:space="preserve">من جند سلطان حمزة میرزا ابن الشاه طهماسب. کان ینظم بالترکیة و الفارسیة و یکتب شعره و ینقش بماء الذهب و اللاجورد ترجمه الصادقی فی (خص 7- ص 126) بعنوان میر محمد ایوأوغلی، و عنه فی (دجا- ص 329) کما مر.
</w:t>
      </w:r>
    </w:p>
    <w:p>
      <w:pPr>
        <w:sectPr>
          <w:footerReference w:type="default" r:id="rId1001"/>
          <w:footnotePr>
            <w:numStart w:val="1"/>
            <w:numRestart w:val="eachPage"/>
          </w:footnotePr>
          <w:pgSz w:orient="portrait" w:w="11905.511811023622" w:h="16837.79527559055"/>
          <w:pgMar w:top="1440" w:right="1440" w:bottom="1440" w:left="1440" w:header="720" w:footer="720" w:gutter="0"/>
          <w:cols w:num="1" w:space="720"/>
        </w:sectPr>
      </w:pPr>
    </w:p>
    <w:bookmarkStart w:id="983" w:name="pg11704_122469"/>
    <w:bookmarkEnd w:id="983"/>
    <w:p>
      <w:pPr>
        <w:pStyle w:val="Heading3"/>
      </w:pPr>
      <w:bookmarkStart w:id="8579" w:name="_Toc7275"/>
      <w:r>
        <w:t>6485- دیوان محمد باقر آگاه أو شعره‏</w:t>
      </w:r>
      <w:bookmarkEnd w:id="8579"/>
    </w:p>
    <w:p>
      <w:pPr>
        <w:pStyle w:val="BookText"/>
      </w:pPr>
      <w:r>
        <w:rPr>
          <w:rFonts w:ascii="IRNazanin" w:hAnsi="IRNazanin" w:eastAsia="IRNazanin" w:cs="IRNazanin"/>
          <w:lang w:bidi="fa-IR"/>
          <w:color w:val="111111"/>
          <w:sz w:val="28"/>
          <w:szCs w:val="28"/>
          <w:rtl/>
        </w:rPr>
        <w:t xml:space="preserve">من شعراء مدراس و أصله من بیجاپور ولد 1158 و توفی 1220 أورد شعره و ترجمته فی (نتایج- ص 93).</w:t>
      </w:r>
    </w:p>
    <w:p>
      <w:pPr>
        <w:pStyle w:val="Heading3"/>
      </w:pPr>
      <w:bookmarkStart w:id="8580" w:name="_Toc7276"/>
      <w:r>
        <w:t>6486- دیوان محمد باقر جعفری أو شعره‏</w:t>
      </w:r>
      <w:bookmarkEnd w:id="8580"/>
    </w:p>
    <w:p>
      <w:pPr>
        <w:pStyle w:val="BookText"/>
      </w:pPr>
      <w:r>
        <w:rPr>
          <w:rFonts w:ascii="IRNazanin" w:hAnsi="IRNazanin" w:eastAsia="IRNazanin" w:cs="IRNazanin"/>
          <w:lang w:bidi="fa-IR"/>
          <w:color w:val="111111"/>
          <w:sz w:val="28"/>
          <w:szCs w:val="28"/>
          <w:rtl/>
        </w:rPr>
        <w:t xml:space="preserve">هو ابن زین العابدین منشی مظفر الدین شاه ولد 1279 ش. و قتل رمیا بالرصاص فی 1311 ش. نشر ثلاثة جرائد مکافات و انقلاب سرخ و صیحة و فیها أشعار کثیرة له. کان لقبه جعفری ثم بدله إلی إیران‏بان. ترجمه فی تاریخ جرائد و مجلات ایران.</w:t>
      </w:r>
    </w:p>
    <w:p>
      <w:pPr>
        <w:pStyle w:val="Heading3"/>
      </w:pPr>
      <w:bookmarkStart w:id="8581" w:name="_Toc7277"/>
      <w:r>
        <w:t>دیوان محمد بدخشی‏</w:t>
      </w:r>
      <w:bookmarkEnd w:id="8581"/>
    </w:p>
    <w:p>
      <w:pPr>
        <w:pStyle w:val="BookText"/>
      </w:pPr>
      <w:r>
        <w:rPr>
          <w:rFonts w:ascii="IRNazanin" w:hAnsi="IRNazanin" w:eastAsia="IRNazanin" w:cs="IRNazanin"/>
          <w:lang w:bidi="fa-IR"/>
          <w:color w:val="111111"/>
          <w:sz w:val="28"/>
          <w:szCs w:val="28"/>
          <w:rtl/>
        </w:rPr>
        <w:t xml:space="preserve">هاجر إلی هرات لتکمیل المعارف و صار محبوب القلوب و صار ماهرا فی المعمی و کتب رسالة فیه. قال فی (مجن 3- ص 60 و 234) إنه المربی لمولانا کامی الأوبهی من صغره. و ترجم فی بابرنامه کما نقل عنه براون فی 3: 52 و مر فی ص 127.</w:t>
      </w:r>
    </w:p>
    <w:p>
      <w:pPr>
        <w:pStyle w:val="Heading3"/>
      </w:pPr>
      <w:bookmarkStart w:id="8582" w:name="_Toc7278"/>
      <w:r>
        <w:t>6487- دیوان محمد پاشا</w:t>
      </w:r>
      <w:bookmarkEnd w:id="8582"/>
    </w:p>
    <w:p>
      <w:pPr>
        <w:pStyle w:val="BookText"/>
      </w:pPr>
      <w:r>
        <w:rPr>
          <w:rFonts w:ascii="IRNazanin" w:hAnsi="IRNazanin" w:eastAsia="IRNazanin" w:cs="IRNazanin"/>
          <w:lang w:bidi="fa-IR"/>
          <w:color w:val="111111"/>
          <w:sz w:val="28"/>
          <w:szCs w:val="28"/>
          <w:rtl/>
        </w:rPr>
        <w:t xml:space="preserve">ابن إسکندر پاشا. ترجمه الصادقی فی (خص 3- ص 33) و قال ما رأیت فی جمیع البلاد مثله فی الحب للإیرانیین و لا نظیره، و ذکر قدرته التامة فی العربی و الفارسی و الترکی و أورد مطلع قصیدته فی أربعین بیتا بقافیة کربلاء التی أنشأها فی بعض لیالی عاشوراء حین مشیه مع الصادقی إلی زیارة سید الشهداء، و کان یملیها إلی بعض ملازمیه و یرتبها فی الصباح. و المطلع:</w:t>
      </w:r>
    </w:p>
    <w:p>
      <w:pPr>
        <w:pStyle w:val="BookText"/>
      </w:pPr>
      <w:r>
        <w:rPr>
          <w:rFonts w:ascii="IRNazanin" w:hAnsi="IRNazanin" w:eastAsia="IRNazanin" w:cs="IRNazanin"/>
          <w:lang w:bidi="fa-IR"/>
          <w:color w:val="111111"/>
          <w:sz w:val="28"/>
          <w:szCs w:val="28"/>
          <w:rtl/>
        </w:rPr>
        <w:t xml:space="preserve">آمد بجوش خون شهیدان کربلاء</w:t>
      </w:r>
    </w:p>
    <w:p>
      <w:pPr>
        <w:pStyle w:val="BookText"/>
      </w:pPr>
      <w:r>
        <w:rPr>
          <w:rFonts w:ascii="IRNazanin" w:hAnsi="IRNazanin" w:eastAsia="IRNazanin" w:cs="IRNazanin"/>
          <w:lang w:bidi="fa-IR"/>
          <w:color w:val="111111"/>
          <w:sz w:val="28"/>
          <w:szCs w:val="28"/>
          <w:rtl/>
        </w:rPr>
        <w:t xml:space="preserve">گلها شکفت باز ببستان کربلاء</w:t>
      </w:r>
    </w:p>
    <w:p>
      <w:pPr>
        <w:pStyle w:val="Heading3"/>
      </w:pPr>
      <w:bookmarkStart w:id="8583" w:name="_Toc7279"/>
      <w:r>
        <w:t>دیوان محمد پهلوان أو شعره‏</w:t>
      </w:r>
      <w:bookmarkEnd w:id="8583"/>
    </w:p>
    <w:p>
      <w:pPr>
        <w:pStyle w:val="BookText"/>
      </w:pPr>
      <w:r>
        <w:rPr>
          <w:rFonts w:ascii="IRNazanin" w:hAnsi="IRNazanin" w:eastAsia="IRNazanin" w:cs="IRNazanin"/>
          <w:lang w:bidi="fa-IR"/>
          <w:color w:val="111111"/>
          <w:sz w:val="28"/>
          <w:szCs w:val="28"/>
          <w:rtl/>
        </w:rPr>
        <w:t xml:space="preserve">و هو أبو سعید ملازم المیر علی و مصاحبه. مر فی ص 160 و ترجمه فی (مجن 4- ص 89 و 264) و ذکر أنه استخرج اسم علی من قول الخواجة حافظ الشیرازی: [</w:t>
      </w:r>
    </w:p>
    <w:p>
      <w:pPr>
        <w:pStyle w:val="BookText"/>
      </w:pPr>
      <w:r>
        <w:rPr>
          <w:rFonts w:ascii="IRNazanin" w:hAnsi="IRNazanin" w:eastAsia="IRNazanin" w:cs="IRNazanin"/>
          <w:lang w:bidi="fa-IR"/>
          <w:color w:val="111111"/>
          <w:sz w:val="28"/>
          <w:szCs w:val="28"/>
          <w:rtl/>
        </w:rPr>
        <w:t xml:space="preserve">ألا یا أیها الساقی ...</w:t>
      </w:r>
    </w:p>
    <w:p>
      <w:pPr>
        <w:pStyle w:val="Heading3"/>
      </w:pPr>
      <w:bookmarkStart w:id="8584" w:name="_Toc7280"/>
      <w:r>
        <w:t>. 6488- دیوان محمد تبادکانی‏</w:t>
      </w:r>
      <w:bookmarkEnd w:id="8584"/>
    </w:p>
    <w:p>
      <w:pPr>
        <w:pStyle w:val="BookText"/>
      </w:pPr>
      <w:r>
        <w:rPr>
          <w:rFonts w:ascii="IRNazanin" w:hAnsi="IRNazanin" w:eastAsia="IRNazanin" w:cs="IRNazanin"/>
          <w:lang w:bidi="fa-IR"/>
          <w:color w:val="111111"/>
          <w:sz w:val="28"/>
          <w:szCs w:val="28"/>
          <w:rtl/>
        </w:rPr>
        <w:t xml:space="preserve">المدفون فی خیابان هرات، خلیفة الشیخ زین الدین الخوافی له تخمیس البردة و شرح منازل السائرین للخواجة عبد الله الأنصاری. ترجمه فی (مجن 2- ص 27 و 202) و ذکر شعره الفارسی و قال فی کشف الظنون إنه توفی 900 و إنه ابن صافی.</w:t>
      </w:r>
    </w:p>
    <w:p>
      <w:pPr>
        <w:pStyle w:val="Heading3"/>
      </w:pPr>
      <w:bookmarkStart w:id="8585" w:name="_Toc7281"/>
      <w:r>
        <w:t>6489- دیوان محمد تبریزی‏</w:t>
      </w:r>
      <w:bookmarkEnd w:id="8585"/>
    </w:p>
    <w:p>
      <w:pPr>
        <w:pStyle w:val="BookText"/>
      </w:pPr>
      <w:r>
        <w:rPr>
          <w:rFonts w:ascii="IRNazanin" w:hAnsi="IRNazanin" w:eastAsia="IRNazanin" w:cs="IRNazanin"/>
          <w:lang w:bidi="fa-IR"/>
          <w:color w:val="111111"/>
          <w:sz w:val="28"/>
          <w:szCs w:val="28"/>
          <w:rtl/>
        </w:rPr>
        <w:t xml:space="preserve">من المعاصرین. طبع له پروانه و شمع منظومة فارسیة فی 1310 ش. فی 32 ص.
</w:t>
      </w:r>
    </w:p>
    <w:p>
      <w:pPr>
        <w:sectPr>
          <w:footerReference w:type="default" r:id="rId1002"/>
          <w:footnotePr>
            <w:numStart w:val="1"/>
            <w:numRestart w:val="eachPage"/>
          </w:footnotePr>
          <w:pgSz w:orient="portrait" w:w="11905.511811023622" w:h="16837.79527559055"/>
          <w:pgMar w:top="1440" w:right="1440" w:bottom="1440" w:left="1440" w:header="720" w:footer="720" w:gutter="0"/>
          <w:cols w:num="1" w:space="720"/>
        </w:sectPr>
      </w:pPr>
    </w:p>
    <w:bookmarkStart w:id="984" w:name="pg11704_122470"/>
    <w:bookmarkEnd w:id="984"/>
    <w:p>
      <w:pPr>
        <w:pStyle w:val="Heading3"/>
      </w:pPr>
      <w:bookmarkStart w:id="8586" w:name="_Toc7282"/>
      <w:r>
        <w:t>6490- دیوان محمد تبریزی أو شعره‏</w:t>
      </w:r>
      <w:bookmarkEnd w:id="8586"/>
    </w:p>
    <w:p>
      <w:pPr>
        <w:pStyle w:val="BookText"/>
      </w:pPr>
      <w:r>
        <w:rPr>
          <w:rFonts w:ascii="IRNazanin" w:hAnsi="IRNazanin" w:eastAsia="IRNazanin" w:cs="IRNazanin"/>
          <w:lang w:bidi="fa-IR"/>
          <w:color w:val="111111"/>
          <w:sz w:val="28"/>
          <w:szCs w:val="28"/>
          <w:rtl/>
        </w:rPr>
        <w:t xml:space="preserve">ترجمه فی (دجا- ص 329) نقلا عن صبح گلشن و أورد شعره.</w:t>
      </w:r>
    </w:p>
    <w:p>
      <w:pPr>
        <w:pStyle w:val="Heading3"/>
      </w:pPr>
      <w:bookmarkStart w:id="8587" w:name="_Toc7283"/>
      <w:r>
        <w:t>6491- دیوان میرزا محمد تبریزی‏</w:t>
      </w:r>
      <w:bookmarkEnd w:id="8587"/>
    </w:p>
    <w:p>
      <w:pPr>
        <w:pStyle w:val="BookText"/>
      </w:pPr>
      <w:r>
        <w:rPr>
          <w:rFonts w:ascii="IRNazanin" w:hAnsi="IRNazanin" w:eastAsia="IRNazanin" w:cs="IRNazanin"/>
          <w:lang w:bidi="fa-IR"/>
          <w:color w:val="111111"/>
          <w:sz w:val="28"/>
          <w:szCs w:val="28"/>
          <w:rtl/>
        </w:rPr>
        <w:t xml:space="preserve">الموصوف بالعالم الأدیب الفاضل، فی أول تقریظه ل فرهنگ خداپرستی المطبوع 1281 لمحرم یزدی، فی اثنی عشر بیتا من الشعر العربی الذی یشبه الهائیة الأزریة.</w:t>
      </w:r>
    </w:p>
    <w:p>
      <w:pPr>
        <w:pStyle w:val="Heading3"/>
      </w:pPr>
      <w:bookmarkStart w:id="8588" w:name="_Toc7284"/>
      <w:r>
        <w:t>دیوان شیخ محمد تبریزی‏</w:t>
      </w:r>
      <w:bookmarkEnd w:id="8588"/>
    </w:p>
    <w:p>
      <w:pPr>
        <w:pStyle w:val="BookText"/>
      </w:pPr>
      <w:r>
        <w:rPr>
          <w:rFonts w:ascii="IRNazanin" w:hAnsi="IRNazanin" w:eastAsia="IRNazanin" w:cs="IRNazanin"/>
          <w:lang w:bidi="fa-IR"/>
          <w:color w:val="111111"/>
          <w:sz w:val="28"/>
          <w:szCs w:val="28"/>
          <w:rtl/>
        </w:rPr>
        <w:t xml:space="preserve">کان شیخ الإسلام بشیراز و شیخ الطریقة أیضا، و مریدیه یکتبون دیوانه بخط جید و تذهیب لطیف یرغب فی مطالعته النفوس.</w:t>
      </w:r>
    </w:p>
    <w:p>
      <w:pPr>
        <w:pStyle w:val="BookText"/>
      </w:pPr>
      <w:r>
        <w:rPr>
          <w:rFonts w:ascii="IRNazanin" w:hAnsi="IRNazanin" w:eastAsia="IRNazanin" w:cs="IRNazanin"/>
          <w:lang w:bidi="fa-IR"/>
          <w:color w:val="111111"/>
          <w:sz w:val="28"/>
          <w:szCs w:val="28"/>
          <w:rtl/>
        </w:rPr>
        <w:t xml:space="preserve">و کان مصاحبا مع مولانا الجامی فی سفر الحج و توفی بعد المراجعة و دفن فی جوار إبراهیم الأدهم. کذا ترجمه فی (بهش 2- ص 401) بتخلصه جمالی.</w:t>
      </w:r>
    </w:p>
    <w:p>
      <w:pPr>
        <w:pStyle w:val="Heading3"/>
      </w:pPr>
      <w:bookmarkStart w:id="8589" w:name="_Toc7285"/>
      <w:r>
        <w:t>6492- دیوان محمد تحصیلی‏</w:t>
      </w:r>
      <w:bookmarkEnd w:id="8589"/>
    </w:p>
    <w:p>
      <w:pPr>
        <w:pStyle w:val="BookText"/>
      </w:pPr>
      <w:r>
        <w:rPr>
          <w:rFonts w:ascii="IRNazanin" w:hAnsi="IRNazanin" w:eastAsia="IRNazanin" w:cs="IRNazanin"/>
          <w:lang w:bidi="fa-IR"/>
          <w:color w:val="111111"/>
          <w:sz w:val="28"/>
          <w:szCs w:val="28"/>
          <w:rtl/>
        </w:rPr>
        <w:t xml:space="preserve">له نصاب أصول متری منظومة فارسیة فی تطبیق المقاییس القدیمة مع الأوزان المتریة الجدیدة. طبع بطهران 1315 ش.</w:t>
      </w:r>
    </w:p>
    <w:p>
      <w:pPr>
        <w:pStyle w:val="BookText"/>
      </w:pPr>
      <w:r>
        <w:rPr>
          <w:rFonts w:ascii="IRNazanin" w:hAnsi="IRNazanin" w:eastAsia="IRNazanin" w:cs="IRNazanin"/>
          <w:lang w:bidi="fa-IR"/>
          <w:color w:val="111111"/>
          <w:sz w:val="28"/>
          <w:szCs w:val="28"/>
          <w:rtl/>
        </w:rPr>
        <w:t xml:space="preserve">فی 42 ص.</w:t>
      </w:r>
    </w:p>
    <w:p>
      <w:pPr>
        <w:pStyle w:val="Heading3"/>
      </w:pPr>
      <w:bookmarkStart w:id="8590" w:name="_Toc7286"/>
      <w:r>
        <w:t>6493- دیوان محمد تغلق شاه أو شعره‏</w:t>
      </w:r>
      <w:bookmarkEnd w:id="8590"/>
    </w:p>
    <w:p>
      <w:pPr>
        <w:pStyle w:val="BookText"/>
      </w:pPr>
      <w:r>
        <w:rPr>
          <w:rFonts w:ascii="IRNazanin" w:hAnsi="IRNazanin" w:eastAsia="IRNazanin" w:cs="IRNazanin"/>
          <w:lang w:bidi="fa-IR"/>
          <w:color w:val="111111"/>
          <w:sz w:val="28"/>
          <w:szCs w:val="28"/>
          <w:rtl/>
        </w:rPr>
        <w:t xml:space="preserve">و هو السلطان الخلجی الهندی. ترجمه فی (مع 1- ص 55) و أورد شعره.</w:t>
      </w:r>
    </w:p>
    <w:p>
      <w:pPr>
        <w:pStyle w:val="Heading3"/>
      </w:pPr>
      <w:bookmarkStart w:id="8591" w:name="_Toc7287"/>
      <w:r>
        <w:t>دیوان محمد تقی اندجانی‏</w:t>
      </w:r>
      <w:bookmarkEnd w:id="8591"/>
    </w:p>
    <w:p>
      <w:pPr>
        <w:pStyle w:val="BookText"/>
      </w:pPr>
      <w:r>
        <w:rPr>
          <w:rFonts w:ascii="IRNazanin" w:hAnsi="IRNazanin" w:eastAsia="IRNazanin" w:cs="IRNazanin"/>
          <w:lang w:bidi="fa-IR"/>
          <w:color w:val="111111"/>
          <w:sz w:val="28"/>
          <w:szCs w:val="28"/>
          <w:rtl/>
        </w:rPr>
        <w:t xml:space="preserve">راجع دیوان پردل‏</w:t>
      </w:r>
    </w:p>
    <w:p>
      <w:pPr>
        <w:pStyle w:val="Heading3"/>
      </w:pPr>
      <w:bookmarkStart w:id="8592" w:name="_Toc7288"/>
      <w:r>
        <w:t>6494- دیوان السید محمد ثقة الإسلام‏</w:t>
      </w:r>
      <w:bookmarkEnd w:id="8592"/>
    </w:p>
    <w:p>
      <w:pPr>
        <w:pStyle w:val="BookText"/>
      </w:pPr>
      <w:r>
        <w:rPr>
          <w:rFonts w:ascii="IRNazanin" w:hAnsi="IRNazanin" w:eastAsia="IRNazanin" w:cs="IRNazanin"/>
          <w:lang w:bidi="fa-IR"/>
          <w:color w:val="111111"/>
          <w:sz w:val="28"/>
          <w:szCs w:val="28"/>
          <w:rtl/>
        </w:rPr>
        <w:t xml:space="preserve">اسمه مشکاة الأنوار.</w:t>
      </w:r>
    </w:p>
    <w:p>
      <w:pPr>
        <w:pStyle w:val="Heading3"/>
      </w:pPr>
      <w:bookmarkStart w:id="8593" w:name="_Toc7289"/>
      <w:r>
        <w:t>6495- دیوان محمد جابر</w:t>
      </w:r>
      <w:bookmarkEnd w:id="8593"/>
    </w:p>
    <w:p>
      <w:pPr>
        <w:pStyle w:val="BookText"/>
      </w:pPr>
      <w:r>
        <w:rPr>
          <w:rFonts w:ascii="IRNazanin" w:hAnsi="IRNazanin" w:eastAsia="IRNazanin" w:cs="IRNazanin"/>
          <w:lang w:bidi="fa-IR"/>
          <w:color w:val="111111"/>
          <w:sz w:val="28"/>
          <w:szCs w:val="28"/>
          <w:rtl/>
        </w:rPr>
        <w:t xml:space="preserve">ابن الحاج طالب آل صفا العاملی المتوفی 1364 ذکره فی مقالة فی مجلة العرفان.</w:t>
      </w:r>
    </w:p>
    <w:p>
      <w:pPr>
        <w:pStyle w:val="Heading3"/>
      </w:pPr>
      <w:bookmarkStart w:id="8594" w:name="_Toc7290"/>
      <w:r>
        <w:t>6496- دیوان محمد جامی أو شعره‏</w:t>
      </w:r>
      <w:bookmarkEnd w:id="8594"/>
    </w:p>
    <w:p>
      <w:pPr>
        <w:pStyle w:val="BookText"/>
      </w:pPr>
      <w:r>
        <w:rPr>
          <w:rFonts w:ascii="IRNazanin" w:hAnsi="IRNazanin" w:eastAsia="IRNazanin" w:cs="IRNazanin"/>
          <w:lang w:bidi="fa-IR"/>
          <w:color w:val="111111"/>
          <w:sz w:val="28"/>
          <w:szCs w:val="28"/>
          <w:rtl/>
        </w:rPr>
        <w:t xml:space="preserve">و هو أخ عبد الرحمن الجامی و کان شاعرا موسیقارا أورد شعره فی (مجن 1- ص 23 و 197) و قد رثاه الجامی بقصیدة.</w:t>
      </w:r>
    </w:p>
    <w:p>
      <w:pPr>
        <w:pStyle w:val="Heading3"/>
      </w:pPr>
      <w:bookmarkStart w:id="8595" w:name="_Toc7291"/>
      <w:r>
        <w:t>دیوان محمد جان مشهدی‏</w:t>
      </w:r>
      <w:bookmarkEnd w:id="8595"/>
    </w:p>
    <w:p>
      <w:pPr>
        <w:pStyle w:val="BookText"/>
      </w:pPr>
      <w:r>
        <w:rPr>
          <w:rFonts w:ascii="IRNazanin" w:hAnsi="IRNazanin" w:eastAsia="IRNazanin" w:cs="IRNazanin"/>
          <w:lang w:bidi="fa-IR"/>
          <w:color w:val="111111"/>
          <w:sz w:val="28"/>
          <w:szCs w:val="28"/>
          <w:rtl/>
        </w:rPr>
        <w:t xml:space="preserve">المتخلص قدسی مر بتخلصه.</w:t>
      </w:r>
    </w:p>
    <w:p>
      <w:pPr>
        <w:pStyle w:val="Heading3"/>
      </w:pPr>
      <w:bookmarkStart w:id="8596" w:name="_Toc7292"/>
      <w:r>
        <w:t>6497- دیوان محمد جرجانی أو شعره‏</w:t>
      </w:r>
      <w:bookmarkEnd w:id="8596"/>
    </w:p>
    <w:p>
      <w:pPr>
        <w:pStyle w:val="BookText"/>
      </w:pPr>
      <w:r>
        <w:rPr>
          <w:rFonts w:ascii="IRNazanin" w:hAnsi="IRNazanin" w:eastAsia="IRNazanin" w:cs="IRNazanin"/>
          <w:lang w:bidi="fa-IR"/>
          <w:color w:val="111111"/>
          <w:sz w:val="28"/>
          <w:szCs w:val="28"/>
          <w:rtl/>
        </w:rPr>
        <w:t xml:space="preserve">ترجمه سام میرزا فی (تس 2- ص 49) و ذکر أنه بعد إکمال تحصیلاته فی العراق، هاجر إلی إیران و نزل فی کاشان مشتغلا بالتدریس و الإفادة للناس إلی أن توفی بها 945 و کان ینظم الشعر و لا سیما المناقب و ذکر شعره.
</w:t>
      </w:r>
    </w:p>
    <w:p>
      <w:pPr>
        <w:sectPr>
          <w:footerReference w:type="default" r:id="rId1003"/>
          <w:footnotePr>
            <w:numStart w:val="1"/>
            <w:numRestart w:val="eachPage"/>
          </w:footnotePr>
          <w:pgSz w:orient="portrait" w:w="11905.511811023622" w:h="16837.79527559055"/>
          <w:pgMar w:top="1440" w:right="1440" w:bottom="1440" w:left="1440" w:header="720" w:footer="720" w:gutter="0"/>
          <w:cols w:num="1" w:space="720"/>
        </w:sectPr>
      </w:pPr>
    </w:p>
    <w:bookmarkStart w:id="985" w:name="pg11704_122471"/>
    <w:bookmarkEnd w:id="985"/>
    <w:p>
      <w:pPr>
        <w:pStyle w:val="Heading3"/>
      </w:pPr>
      <w:bookmarkStart w:id="8597" w:name="_Toc7293"/>
      <w:r>
        <w:t>دیوان محمد جعفر</w:t>
      </w:r>
      <w:bookmarkEnd w:id="8597"/>
    </w:p>
    <w:p>
      <w:pPr>
        <w:pStyle w:val="BookText"/>
      </w:pPr>
      <w:r>
        <w:rPr>
          <w:rFonts w:ascii="Amiri" w:hAnsi="Amiri" w:eastAsia="Amiri" w:cs="Amiri"/>
          <w:lang w:bidi="ar-SA"/>
          <w:color w:val="111111"/>
          <w:sz w:val="28"/>
          <w:szCs w:val="28"/>
          <w:rtl/>
        </w:rPr>
        <w:t xml:space="preserve">مر بعنوان شعلة.</w:t>
      </w:r>
    </w:p>
    <w:p>
      <w:pPr>
        <w:pStyle w:val="Heading3"/>
      </w:pPr>
      <w:bookmarkStart w:id="8598" w:name="_Toc7294"/>
      <w:r>
        <w:t>6498- دیوان محمد جعفر مشهدی أو شعره‏</w:t>
      </w:r>
      <w:bookmarkEnd w:id="8598"/>
    </w:p>
    <w:p>
      <w:pPr>
        <w:pStyle w:val="BookText"/>
      </w:pPr>
      <w:r>
        <w:rPr>
          <w:rFonts w:ascii="IRNazanin" w:hAnsi="IRNazanin" w:eastAsia="IRNazanin" w:cs="IRNazanin"/>
          <w:lang w:bidi="fa-IR"/>
          <w:color w:val="111111"/>
          <w:sz w:val="28"/>
          <w:szCs w:val="28"/>
          <w:rtl/>
        </w:rPr>
        <w:t xml:space="preserve">هو ابن محمد علی کوکلتاش الذی کان حاکم مشهد خراسان أورد شعره فی (مجن 5- ص 112 و 284).</w:t>
      </w:r>
    </w:p>
    <w:p>
      <w:pPr>
        <w:pStyle w:val="Heading3"/>
      </w:pPr>
      <w:bookmarkStart w:id="8599" w:name="_Toc7295"/>
      <w:r>
        <w:t>6499- دیوان محمد جمال‏</w:t>
      </w:r>
      <w:bookmarkEnd w:id="8599"/>
    </w:p>
    <w:p>
      <w:pPr>
        <w:pStyle w:val="BookText"/>
      </w:pPr>
      <w:r>
        <w:rPr>
          <w:rFonts w:ascii="IRNazanin" w:hAnsi="IRNazanin" w:eastAsia="IRNazanin" w:cs="IRNazanin"/>
          <w:lang w:bidi="fa-IR"/>
          <w:color w:val="111111"/>
          <w:sz w:val="28"/>
          <w:szCs w:val="28"/>
          <w:rtl/>
        </w:rPr>
        <w:t xml:space="preserve">هو السید محمد الهاشمی ابن السید جمال الدین الگلپایگانی المولود بالنجف 1332 مؤلف کتاب الأدب الجدید المطبوع 1357 الذی جمع فیها ست و عشرون ترجمه للشعراء المعاصرین و شعرهم، و فی آخرهم ترجمه نفسه. و ترجم هو فی عصور الأدب- ص 165.</w:t>
      </w:r>
    </w:p>
    <w:p>
      <w:pPr>
        <w:pStyle w:val="Heading3"/>
      </w:pPr>
      <w:bookmarkStart w:id="8600" w:name="_Toc7296"/>
      <w:r>
        <w:t>دیوان محمد حافظ</w:t>
      </w:r>
      <w:bookmarkEnd w:id="8600"/>
    </w:p>
    <w:p>
      <w:pPr>
        <w:pStyle w:val="BookText"/>
      </w:pPr>
      <w:r>
        <w:rPr>
          <w:rFonts w:ascii="IRNazanin" w:hAnsi="IRNazanin" w:eastAsia="IRNazanin" w:cs="IRNazanin"/>
          <w:lang w:bidi="fa-IR"/>
          <w:color w:val="111111"/>
          <w:sz w:val="28"/>
          <w:szCs w:val="28"/>
          <w:rtl/>
        </w:rPr>
        <w:t xml:space="preserve">مر بعنوان حافظ شیرازی.</w:t>
      </w:r>
    </w:p>
    <w:p>
      <w:pPr>
        <w:pStyle w:val="Heading3"/>
      </w:pPr>
      <w:bookmarkStart w:id="8601" w:name="_Toc7297"/>
      <w:r>
        <w:t>دیوان محمد حسام‏</w:t>
      </w:r>
      <w:bookmarkEnd w:id="8601"/>
    </w:p>
    <w:p>
      <w:pPr>
        <w:pStyle w:val="BookText"/>
      </w:pPr>
      <w:r>
        <w:rPr>
          <w:rFonts w:ascii="IRNazanin" w:hAnsi="IRNazanin" w:eastAsia="IRNazanin" w:cs="IRNazanin"/>
          <w:lang w:bidi="fa-IR"/>
          <w:color w:val="111111"/>
          <w:sz w:val="28"/>
          <w:szCs w:val="28"/>
          <w:rtl/>
        </w:rPr>
        <w:t xml:space="preserve">کما فی (نتایج- ص 178) مر محمد بن حسام.</w:t>
      </w:r>
    </w:p>
    <w:p>
      <w:pPr>
        <w:pStyle w:val="Heading3"/>
      </w:pPr>
      <w:bookmarkStart w:id="8602" w:name="_Toc7298"/>
      <w:r>
        <w:t>دیوان محمد حسن‏</w:t>
      </w:r>
      <w:bookmarkEnd w:id="8602"/>
    </w:p>
    <w:p>
      <w:pPr>
        <w:pStyle w:val="BookText"/>
      </w:pPr>
      <w:r>
        <w:rPr>
          <w:rFonts w:ascii="IRNazanin" w:hAnsi="IRNazanin" w:eastAsia="IRNazanin" w:cs="IRNazanin"/>
          <w:lang w:bidi="fa-IR"/>
          <w:color w:val="111111"/>
          <w:sz w:val="28"/>
          <w:szCs w:val="28"/>
          <w:rtl/>
        </w:rPr>
        <w:t xml:space="preserve">مر بعنوان زلالی و حسن ...</w:t>
      </w:r>
    </w:p>
    <w:p>
      <w:pPr>
        <w:pStyle w:val="Heading3"/>
      </w:pPr>
      <w:bookmarkStart w:id="8603" w:name="_Toc7299"/>
      <w:r>
        <w:t>دیوان محمد حسین‏</w:t>
      </w:r>
      <w:bookmarkEnd w:id="8603"/>
    </w:p>
    <w:p>
      <w:pPr>
        <w:pStyle w:val="BookText"/>
      </w:pPr>
      <w:r>
        <w:rPr>
          <w:rFonts w:ascii="IRNazanin" w:hAnsi="IRNazanin" w:eastAsia="IRNazanin" w:cs="IRNazanin"/>
          <w:lang w:bidi="fa-IR"/>
          <w:color w:val="111111"/>
          <w:sz w:val="28"/>
          <w:szCs w:val="28"/>
          <w:rtl/>
        </w:rPr>
        <w:t xml:space="preserve">مر بعنوان حسین قزوینی.</w:t>
      </w:r>
    </w:p>
    <w:p>
      <w:pPr>
        <w:pStyle w:val="Heading3"/>
      </w:pPr>
      <w:bookmarkStart w:id="8604" w:name="_Toc7300"/>
      <w:r>
        <w:t>6500- دیوان محمد حسین بن محسن آل شمس الدین‏</w:t>
      </w:r>
      <w:bookmarkEnd w:id="8604"/>
    </w:p>
    <w:p>
      <w:pPr>
        <w:pStyle w:val="BookText"/>
      </w:pPr>
      <w:r>
        <w:rPr>
          <w:rFonts w:ascii="IRNazanin" w:hAnsi="IRNazanin" w:eastAsia="IRNazanin" w:cs="IRNazanin"/>
          <w:lang w:bidi="fa-IR"/>
          <w:color w:val="111111"/>
          <w:sz w:val="28"/>
          <w:szCs w:val="28"/>
          <w:rtl/>
        </w:rPr>
        <w:t xml:space="preserve">المتوفی 1043. جمعه الشیخ محمد رضا شمس الدین و فیه الغدیریة.</w:t>
      </w:r>
    </w:p>
    <w:p>
      <w:pPr>
        <w:pStyle w:val="Heading3"/>
      </w:pPr>
      <w:bookmarkStart w:id="8605" w:name="_Toc7301"/>
      <w:r>
        <w:t>6501- دیوان محمد حسین شهرستانی‏</w:t>
      </w:r>
      <w:bookmarkEnd w:id="8605"/>
    </w:p>
    <w:p>
      <w:pPr>
        <w:pStyle w:val="BookText"/>
      </w:pPr>
      <w:r>
        <w:rPr>
          <w:rFonts w:ascii="IRNazanin" w:hAnsi="IRNazanin" w:eastAsia="IRNazanin" w:cs="IRNazanin"/>
          <w:lang w:bidi="fa-IR"/>
          <w:color w:val="111111"/>
          <w:sz w:val="28"/>
          <w:szCs w:val="28"/>
          <w:rtl/>
        </w:rPr>
        <w:t xml:space="preserve">و هو الحاج محمد حسین بن محمد علی المتوفی بالحائر 1315 له نون و دوغ فی قبال نان و حلوا طبع ببغداد فی 56 ص.</w:t>
      </w:r>
    </w:p>
    <w:p>
      <w:pPr>
        <w:pStyle w:val="BookText"/>
      </w:pPr>
      <w:r>
        <w:rPr>
          <w:rFonts w:ascii="IRNazanin" w:hAnsi="IRNazanin" w:eastAsia="IRNazanin" w:cs="IRNazanin"/>
          <w:lang w:bidi="fa-IR"/>
          <w:color w:val="111111"/>
          <w:sz w:val="28"/>
          <w:szCs w:val="28"/>
          <w:rtl/>
        </w:rPr>
        <w:t xml:space="preserve">و خوان نعمت أیضا مطبوع.</w:t>
      </w:r>
    </w:p>
    <w:p>
      <w:pPr>
        <w:pStyle w:val="Heading3"/>
      </w:pPr>
      <w:bookmarkStart w:id="8606" w:name="_Toc7302"/>
      <w:r>
        <w:t>دیوان محمد حسین شهریار التبریزی‏</w:t>
      </w:r>
      <w:bookmarkEnd w:id="8606"/>
    </w:p>
    <w:p>
      <w:pPr>
        <w:pStyle w:val="BookText"/>
      </w:pPr>
      <w:r>
        <w:rPr>
          <w:rFonts w:ascii="IRNazanin" w:hAnsi="IRNazanin" w:eastAsia="IRNazanin" w:cs="IRNazanin"/>
          <w:lang w:bidi="fa-IR"/>
          <w:color w:val="111111"/>
          <w:sz w:val="28"/>
          <w:szCs w:val="28"/>
          <w:rtl/>
        </w:rPr>
        <w:t xml:space="preserve">له روح و پروانه و قهرمان استالین‏گراد مطبوعان. و مر بتخلصه شهریار.</w:t>
      </w:r>
    </w:p>
    <w:p>
      <w:pPr>
        <w:pStyle w:val="Heading3"/>
      </w:pPr>
      <w:bookmarkStart w:id="8607" w:name="_Toc7303"/>
      <w:r>
        <w:t>دیوان محمد حسین قاجار دولو البیگلربیگی‏</w:t>
      </w:r>
      <w:bookmarkEnd w:id="8607"/>
    </w:p>
    <w:p>
      <w:pPr>
        <w:pStyle w:val="BookText"/>
      </w:pPr>
      <w:r>
        <w:rPr>
          <w:rFonts w:ascii="IRNazanin" w:hAnsi="IRNazanin" w:eastAsia="IRNazanin" w:cs="IRNazanin"/>
          <w:lang w:bidi="fa-IR"/>
          <w:color w:val="111111"/>
          <w:sz w:val="28"/>
          <w:szCs w:val="28"/>
          <w:rtl/>
        </w:rPr>
        <w:t xml:space="preserve">. له مختارنامه نظمه فی 1305 فی قصص المختار بن أبی عبیدة الثقفی و توجد نسخته فی المکتبة (الملیة) کتبت 1309 برقم 182 ف.</w:t>
      </w:r>
    </w:p>
    <w:p>
      <w:pPr>
        <w:pStyle w:val="Heading3"/>
      </w:pPr>
      <w:bookmarkStart w:id="8608" w:name="_Toc7304"/>
      <w:r>
        <w:t>6502- دیوان محمد خاتونی‏</w:t>
      </w:r>
      <w:bookmarkEnd w:id="8608"/>
    </w:p>
    <w:p>
      <w:pPr>
        <w:pStyle w:val="BookText"/>
      </w:pPr>
      <w:r>
        <w:rPr>
          <w:rFonts w:ascii="IRNazanin" w:hAnsi="IRNazanin" w:eastAsia="IRNazanin" w:cs="IRNazanin"/>
          <w:lang w:bidi="fa-IR"/>
          <w:color w:val="111111"/>
          <w:sz w:val="28"/>
          <w:szCs w:val="28"/>
          <w:rtl/>
        </w:rPr>
        <w:t xml:space="preserve">و هو الشیخ شمس الدین أبو المعالی محمد بن سدید الدین علی بن شهاب الدین أحمد بن نعمة الله بن خاتون العاملی العیناثی تلمیذ الشیخ البهائی و مترجم أربعینه الذی فصلناه فی ج 4 ص 76 و ذکرنا حیاته إلی 1055 لکن رأیت بعد ذلک نسخه من ترجمه الأربعین أهداها المؤلف إلی الأمیر روح الله‏
</w:t>
      </w:r>
    </w:p>
    <w:p>
      <w:pPr>
        <w:sectPr>
          <w:footerReference w:type="default" r:id="rId1004"/>
          <w:footnotePr>
            <w:numStart w:val="1"/>
            <w:numRestart w:val="eachPage"/>
          </w:footnotePr>
          <w:pgSz w:orient="portrait" w:w="11905.511811023622" w:h="16837.79527559055"/>
          <w:pgMar w:top="1440" w:right="1440" w:bottom="1440" w:left="1440" w:header="720" w:footer="720" w:gutter="0"/>
          <w:cols w:num="1" w:space="720"/>
        </w:sectPr>
      </w:pPr>
    </w:p>
    <w:bookmarkStart w:id="986" w:name="pg11704_122472"/>
    <w:bookmarkEnd w:id="986"/>
    <w:p>
      <w:pPr>
        <w:pStyle w:val="BookText"/>
      </w:pPr>
      <w:r>
        <w:rPr>
          <w:rFonts w:ascii="IRNazanin" w:hAnsi="IRNazanin" w:eastAsia="IRNazanin" w:cs="IRNazanin"/>
          <w:lang w:bidi="fa-IR"/>
          <w:color w:val="111111"/>
          <w:sz w:val="28"/>
          <w:szCs w:val="28"/>
          <w:rtl/>
        </w:rPr>
        <w:t xml:space="preserve">فی 1056 فیظهر وفاته بعد التاریخ و قد ترجمه النصرآبادی فی (نر 6- ص 159) و ذکر وفاته فی دکن و وصیته إلی الرجل الصالح الموسوم بمیرزا أسد و المتخلص عریان فحمل هو أثاثه إلی إیران و سلمها إلی ورثته بشهادة جمع أنا واحد منهم، و أورد شعره الفارسی فی (تش- ص 186).</w:t>
      </w:r>
    </w:p>
    <w:p>
      <w:pPr>
        <w:pStyle w:val="Heading3"/>
      </w:pPr>
      <w:bookmarkStart w:id="8609" w:name="_Toc7305"/>
      <w:r>
        <w:t>دیوان محمد خالة البغدادی‏</w:t>
      </w:r>
      <w:bookmarkEnd w:id="8609"/>
    </w:p>
    <w:p>
      <w:pPr>
        <w:pStyle w:val="BookText"/>
      </w:pPr>
      <w:r>
        <w:rPr>
          <w:rFonts w:ascii="IRNazanin" w:hAnsi="IRNazanin" w:eastAsia="IRNazanin" w:cs="IRNazanin"/>
          <w:lang w:bidi="fa-IR"/>
          <w:color w:val="111111"/>
          <w:sz w:val="28"/>
          <w:szCs w:val="28"/>
          <w:rtl/>
        </w:rPr>
        <w:t xml:space="preserve">کما فی (تش- ص 168) مر بعنوان خاله فی ص 285</w:t>
      </w:r>
    </w:p>
    <w:p>
      <w:pPr>
        <w:pStyle w:val="Heading3"/>
      </w:pPr>
      <w:bookmarkStart w:id="8610" w:name="_Toc7306"/>
      <w:r>
        <w:t>دیوان محمد خجندی‏</w:t>
      </w:r>
      <w:bookmarkEnd w:id="8610"/>
    </w:p>
    <w:p>
      <w:pPr>
        <w:pStyle w:val="BookText"/>
      </w:pPr>
      <w:r>
        <w:rPr>
          <w:rFonts w:ascii="IRNazanin" w:hAnsi="IRNazanin" w:eastAsia="IRNazanin" w:cs="IRNazanin"/>
          <w:lang w:bidi="fa-IR"/>
          <w:color w:val="111111"/>
          <w:sz w:val="28"/>
          <w:szCs w:val="28"/>
          <w:rtl/>
        </w:rPr>
        <w:t xml:space="preserve">جاء شعره فی (پژمان- ص 98 و 553) بعنوان محمد ترکستانی و مر خجندی‏</w:t>
      </w:r>
    </w:p>
    <w:p>
      <w:pPr>
        <w:pStyle w:val="Heading3"/>
      </w:pPr>
      <w:bookmarkStart w:id="8611" w:name="_Toc7307"/>
      <w:r>
        <w:t>6503- دیوان محمد خراسانی‏</w:t>
      </w:r>
      <w:bookmarkEnd w:id="8611"/>
    </w:p>
    <w:p>
      <w:pPr>
        <w:pStyle w:val="BookText"/>
      </w:pPr>
      <w:r>
        <w:rPr>
          <w:rFonts w:ascii="IRNazanin" w:hAnsi="IRNazanin" w:eastAsia="IRNazanin" w:cs="IRNazanin"/>
          <w:lang w:bidi="fa-IR"/>
          <w:color w:val="111111"/>
          <w:sz w:val="28"/>
          <w:szCs w:val="28"/>
          <w:rtl/>
        </w:rPr>
        <w:t xml:space="preserve">ترجمه فی (مجن 4- ص 280 و ص 106) و ذکر أنه أخذ الطریقة من المولی محمد التبادکانی المذکور فی ص 993 کان صائم الدهر و حج ماشیا و ذکر شعره و مر درویش محمد خراسانی‏</w:t>
      </w:r>
    </w:p>
    <w:p>
      <w:pPr>
        <w:pStyle w:val="Heading3"/>
      </w:pPr>
      <w:bookmarkStart w:id="8612" w:name="_Toc7308"/>
      <w:r>
        <w:t>دیوان محمد خلقی‏</w:t>
      </w:r>
      <w:bookmarkEnd w:id="8612"/>
    </w:p>
    <w:p>
      <w:pPr>
        <w:pStyle w:val="BookText"/>
      </w:pPr>
      <w:r>
        <w:rPr>
          <w:rFonts w:ascii="IRNazanin" w:hAnsi="IRNazanin" w:eastAsia="IRNazanin" w:cs="IRNazanin"/>
          <w:lang w:bidi="fa-IR"/>
          <w:color w:val="111111"/>
          <w:sz w:val="28"/>
          <w:szCs w:val="28"/>
          <w:rtl/>
        </w:rPr>
        <w:t xml:space="preserve">و هو المیرزا محمد بن المیر یوسف المذکور فی ص 300</w:t>
      </w:r>
    </w:p>
    <w:p>
      <w:pPr>
        <w:pStyle w:val="Heading3"/>
      </w:pPr>
      <w:bookmarkStart w:id="8613" w:name="_Toc7309"/>
      <w:r>
        <w:t>دیوان محمد خلوص‏</w:t>
      </w:r>
      <w:bookmarkEnd w:id="8613"/>
    </w:p>
    <w:p>
      <w:pPr>
        <w:pStyle w:val="BookText"/>
      </w:pPr>
      <w:r>
        <w:rPr>
          <w:rFonts w:ascii="IRNazanin" w:hAnsi="IRNazanin" w:eastAsia="IRNazanin" w:cs="IRNazanin"/>
          <w:lang w:bidi="fa-IR"/>
          <w:color w:val="111111"/>
          <w:sz w:val="28"/>
          <w:szCs w:val="28"/>
          <w:rtl/>
        </w:rPr>
        <w:t xml:space="preserve">ذکر فی (نتایج- ص 223) و مر فی ص 301</w:t>
      </w:r>
    </w:p>
    <w:p>
      <w:pPr>
        <w:pStyle w:val="Heading3"/>
      </w:pPr>
      <w:bookmarkStart w:id="8614" w:name="_Toc7310"/>
      <w:r>
        <w:t>دیوان محمد خلیفة</w:t>
      </w:r>
      <w:bookmarkEnd w:id="8614"/>
    </w:p>
    <w:p>
      <w:pPr>
        <w:pStyle w:val="BookText"/>
      </w:pPr>
      <w:r>
        <w:rPr>
          <w:rFonts w:ascii="IRNazanin" w:hAnsi="IRNazanin" w:eastAsia="IRNazanin" w:cs="IRNazanin"/>
          <w:lang w:bidi="fa-IR"/>
          <w:color w:val="111111"/>
          <w:sz w:val="28"/>
          <w:szCs w:val="28"/>
          <w:rtl/>
        </w:rPr>
        <w:t xml:space="preserve">مر بعنوان عاجز سرابی‏</w:t>
      </w:r>
    </w:p>
    <w:p>
      <w:pPr>
        <w:pStyle w:val="Heading3"/>
      </w:pPr>
      <w:bookmarkStart w:id="8615" w:name="_Toc7311"/>
      <w:r>
        <w:t>دیوان محمد خندان‏</w:t>
      </w:r>
      <w:bookmarkEnd w:id="8615"/>
    </w:p>
    <w:p>
      <w:pPr>
        <w:pStyle w:val="BookText"/>
      </w:pPr>
      <w:r>
        <w:rPr>
          <w:rFonts w:ascii="IRNazanin" w:hAnsi="IRNazanin" w:eastAsia="IRNazanin" w:cs="IRNazanin"/>
          <w:lang w:bidi="fa-IR"/>
          <w:color w:val="111111"/>
          <w:sz w:val="28"/>
          <w:szCs w:val="28"/>
          <w:rtl/>
        </w:rPr>
        <w:t xml:space="preserve">الخطاط فی خراسان ترجمه فی (مجتس 6- ص 148) و أورد شعره‏</w:t>
      </w:r>
    </w:p>
    <w:p>
      <w:pPr>
        <w:pStyle w:val="Heading3"/>
      </w:pPr>
      <w:bookmarkStart w:id="8616" w:name="_Toc7312"/>
      <w:r>
        <w:t>دیوان شاه محمد دارابجردی‏</w:t>
      </w:r>
      <w:bookmarkEnd w:id="8616"/>
    </w:p>
    <w:p>
      <w:pPr>
        <w:pStyle w:val="BookText"/>
      </w:pPr>
      <w:r>
        <w:rPr>
          <w:rFonts w:ascii="IRNazanin" w:hAnsi="IRNazanin" w:eastAsia="IRNazanin" w:cs="IRNazanin"/>
          <w:lang w:bidi="fa-IR"/>
          <w:color w:val="111111"/>
          <w:sz w:val="28"/>
          <w:szCs w:val="28"/>
          <w:rtl/>
        </w:rPr>
        <w:t xml:space="preserve">المذکور بعنوان شاه دارابجردی ص 497 ترجم فی صبح گلشن و ذکر أنه من العلماء و نزل إلی بلاد الهند و استشهد فیها و کان یتخلص فی شعره شاه و ذکره النصرآبادی فی (نر 6- ص 186) بعنوان ملا شاه محمد الدارابی و ذکر أنه کان سنین فی طلب العلم و هاجر إلی بلاد الهند قبل سنین و کان یرسل منها إلی جیرانه و غیرهم من سائر الناس و الفقراء أموالا کثیرة حتی رجع من الهند هذه السنة (و تألیف التذکرة حدود 1083) و هو یصل بره و إحسانه إلیهم کما کان فی الهند و هو مشغول بتألیف تذکره الشعراء و له اطلاع بالعلوم و ذکر بعض شعره، و لم یذکر بقیة أحواله و کأنه رجع أیضا إلی الهند و استشهد فیها بعد التاریخ کما فی صبح گلشن فهو مقدم قلیلا علی المولی شاه محمد الإصطهباناتی‏
</w:t>
      </w:r>
    </w:p>
    <w:p>
      <w:pPr>
        <w:sectPr>
          <w:footerReference w:type="default" r:id="rId1005"/>
          <w:footnotePr>
            <w:numStart w:val="1"/>
            <w:numRestart w:val="eachPage"/>
          </w:footnotePr>
          <w:pgSz w:orient="portrait" w:w="11905.511811023622" w:h="16837.79527559055"/>
          <w:pgMar w:top="1440" w:right="1440" w:bottom="1440" w:left="1440" w:header="720" w:footer="720" w:gutter="0"/>
          <w:cols w:num="1" w:space="720"/>
        </w:sectPr>
      </w:pPr>
    </w:p>
    <w:bookmarkStart w:id="987" w:name="pg11704_122473"/>
    <w:bookmarkEnd w:id="987"/>
    <w:p>
      <w:pPr>
        <w:pStyle w:val="BookText"/>
      </w:pPr>
      <w:r>
        <w:rPr>
          <w:rFonts w:ascii="IRNazanin" w:hAnsi="IRNazanin" w:eastAsia="IRNazanin" w:cs="IRNazanin"/>
          <w:lang w:bidi="fa-IR"/>
          <w:color w:val="111111"/>
          <w:sz w:val="28"/>
          <w:szCs w:val="28"/>
          <w:rtl/>
        </w:rPr>
        <w:t xml:space="preserve">المولد و الشیرازی المقر و المدفن، الذی کان من العلماء الأجلاء بشهادة تلامیذه و تصانیفه و توفی بشیراز حدود نیف و 1130 و تخلصه عارف کما مر فی العین‏</w:t>
      </w:r>
    </w:p>
    <w:p>
      <w:pPr>
        <w:pStyle w:val="Heading3"/>
      </w:pPr>
      <w:bookmarkStart w:id="8617" w:name="_Toc7313"/>
      <w:r>
        <w:t>6504- دیوان محمد خان داغستانی أو شعره‏</w:t>
      </w:r>
      <w:bookmarkEnd w:id="8617"/>
    </w:p>
    <w:p>
      <w:pPr>
        <w:pStyle w:val="BookText"/>
      </w:pPr>
      <w:r>
        <w:rPr>
          <w:rFonts w:ascii="IRNazanin" w:hAnsi="IRNazanin" w:eastAsia="IRNazanin" w:cs="IRNazanin"/>
          <w:lang w:bidi="fa-IR"/>
          <w:color w:val="111111"/>
          <w:sz w:val="28"/>
          <w:szCs w:val="28"/>
          <w:rtl/>
        </w:rPr>
        <w:t xml:space="preserve">ترجمه معاصره النصرآبادی فی (نر 2 و 15- ص 42 و 534) و أطرأه و ذکر أنه فی خدمة الشاه عباس الثانی و أورد بعض أشعاره‏</w:t>
      </w:r>
    </w:p>
    <w:p>
      <w:pPr>
        <w:pStyle w:val="Heading3"/>
      </w:pPr>
      <w:bookmarkStart w:id="8618" w:name="_Toc7314"/>
      <w:r>
        <w:t>6505- دیوان محمد رحیم میرزا القاجار</w:t>
      </w:r>
      <w:bookmarkEnd w:id="8618"/>
    </w:p>
    <w:p>
      <w:pPr>
        <w:pStyle w:val="BookText"/>
      </w:pPr>
      <w:r>
        <w:rPr>
          <w:rFonts w:ascii="IRNazanin" w:hAnsi="IRNazanin" w:eastAsia="IRNazanin" w:cs="IRNazanin"/>
          <w:lang w:bidi="fa-IR"/>
          <w:color w:val="111111"/>
          <w:sz w:val="28"/>
          <w:szCs w:val="28"/>
          <w:rtl/>
        </w:rPr>
        <w:t xml:space="preserve">له منظومة ضیاء العین فی مراثی الحسین نسخه منه فی 101 ص کتبت فی 1266 عند (فخر الدین النصیری)</w:t>
      </w:r>
    </w:p>
    <w:p>
      <w:pPr>
        <w:pStyle w:val="Heading3"/>
      </w:pPr>
      <w:bookmarkStart w:id="8619" w:name="_Toc7315"/>
      <w:r>
        <w:t>6506- دیوان محمد رضا چرخ تاب أو شعره‏</w:t>
      </w:r>
      <w:bookmarkEnd w:id="8619"/>
    </w:p>
    <w:p>
      <w:pPr>
        <w:pStyle w:val="BookText"/>
      </w:pPr>
      <w:r>
        <w:rPr>
          <w:rFonts w:ascii="IRNazanin" w:hAnsi="IRNazanin" w:eastAsia="IRNazanin" w:cs="IRNazanin"/>
          <w:lang w:bidi="fa-IR"/>
          <w:color w:val="111111"/>
          <w:sz w:val="28"/>
          <w:szCs w:val="28"/>
          <w:rtl/>
        </w:rPr>
        <w:t xml:space="preserve">کان من مشهد خراسان ترجمه و أورد شعره فی (مطلع 2: 443) و مر رضا و رضائی المشهدیان‏</w:t>
      </w:r>
    </w:p>
    <w:p>
      <w:pPr>
        <w:pStyle w:val="Heading3"/>
      </w:pPr>
      <w:bookmarkStart w:id="8620" w:name="_Toc7316"/>
      <w:r>
        <w:t>6507- دیوان محمد رفیق‏</w:t>
      </w:r>
      <w:bookmarkEnd w:id="8620"/>
    </w:p>
    <w:p>
      <w:pPr>
        <w:pStyle w:val="BookText"/>
      </w:pPr>
      <w:r>
        <w:rPr>
          <w:rFonts w:ascii="IRNazanin" w:hAnsi="IRNazanin" w:eastAsia="IRNazanin" w:cs="IRNazanin"/>
          <w:lang w:bidi="fa-IR"/>
          <w:color w:val="111111"/>
          <w:sz w:val="28"/>
          <w:szCs w:val="28"/>
          <w:rtl/>
        </w:rPr>
        <w:t xml:space="preserve">له منظومة غزوة خیبر ینقل عنه فی مقدمه وقایع الصفین الذی هو الجزء الثالث من کتاب نظم المجالس لمحمد محسن عاصی رشتی المذکور فی ص 673 و یأتی بعنوان دیوان محمد محسن عاصی‏</w:t>
      </w:r>
    </w:p>
    <w:p>
      <w:pPr>
        <w:pStyle w:val="Heading3"/>
      </w:pPr>
      <w:bookmarkStart w:id="8621" w:name="_Toc7317"/>
      <w:r>
        <w:t>دیوان قاضی محمد رهی‏</w:t>
      </w:r>
      <w:bookmarkEnd w:id="8621"/>
    </w:p>
    <w:p>
      <w:pPr>
        <w:pStyle w:val="BookText"/>
      </w:pPr>
      <w:r>
        <w:rPr>
          <w:rFonts w:ascii="IRNazanin" w:hAnsi="IRNazanin" w:eastAsia="IRNazanin" w:cs="IRNazanin"/>
          <w:lang w:bidi="fa-IR"/>
          <w:color w:val="111111"/>
          <w:sz w:val="28"/>
          <w:szCs w:val="28"/>
          <w:rtl/>
        </w:rPr>
        <w:t xml:space="preserve">مر فی ص 395</w:t>
      </w:r>
    </w:p>
    <w:p>
      <w:pPr>
        <w:pStyle w:val="Heading3"/>
      </w:pPr>
      <w:bookmarkStart w:id="8622" w:name="_Toc7318"/>
      <w:r>
        <w:t>6508- دیوان محمد زهری‏</w:t>
      </w:r>
      <w:bookmarkEnd w:id="8622"/>
    </w:p>
    <w:p>
      <w:pPr>
        <w:pStyle w:val="BookText"/>
      </w:pPr>
      <w:r>
        <w:rPr>
          <w:rFonts w:ascii="IRNazanin" w:hAnsi="IRNazanin" w:eastAsia="IRNazanin" w:cs="IRNazanin"/>
          <w:lang w:bidi="fa-IR"/>
          <w:color w:val="111111"/>
          <w:sz w:val="28"/>
          <w:szCs w:val="28"/>
          <w:rtl/>
        </w:rPr>
        <w:t xml:space="preserve">طبع دیوانه باسم جزیرة فی 1334 ش فی طهران فی 230 ص‏</w:t>
      </w:r>
    </w:p>
    <w:p>
      <w:pPr>
        <w:pStyle w:val="Heading3"/>
      </w:pPr>
      <w:bookmarkStart w:id="8623" w:name="_Toc7319"/>
      <w:r>
        <w:t>6509- دیوان محمد الزیات‏</w:t>
      </w:r>
      <w:bookmarkEnd w:id="8623"/>
    </w:p>
    <w:p>
      <w:pPr>
        <w:pStyle w:val="BookText"/>
      </w:pPr>
      <w:r>
        <w:rPr>
          <w:rFonts w:ascii="IRNazanin" w:hAnsi="IRNazanin" w:eastAsia="IRNazanin" w:cs="IRNazanin"/>
          <w:lang w:bidi="fa-IR"/>
          <w:color w:val="111111"/>
          <w:sz w:val="28"/>
          <w:szCs w:val="28"/>
          <w:rtl/>
        </w:rPr>
        <w:t xml:space="preserve">و هو الوزیر محمد بن عبد الملک الزیات نسخه منه علیها تملک بتاریخ 454 موجودة عند (فخر الدین النصیری- 253)</w:t>
      </w:r>
    </w:p>
    <w:p>
      <w:pPr>
        <w:pStyle w:val="Heading3"/>
      </w:pPr>
      <w:bookmarkStart w:id="8624" w:name="_Toc7320"/>
      <w:r>
        <w:t>6510- دیوان محمد ساروی أو شعره‏</w:t>
      </w:r>
      <w:bookmarkEnd w:id="8624"/>
    </w:p>
    <w:p>
      <w:pPr>
        <w:pStyle w:val="BookText"/>
      </w:pPr>
      <w:r>
        <w:rPr>
          <w:rFonts w:ascii="IRNazanin" w:hAnsi="IRNazanin" w:eastAsia="IRNazanin" w:cs="IRNazanin"/>
          <w:lang w:bidi="fa-IR"/>
          <w:color w:val="111111"/>
          <w:sz w:val="28"/>
          <w:szCs w:val="28"/>
          <w:rtl/>
        </w:rPr>
        <w:t xml:space="preserve">اشتغل بتحصیل العلوم و لما ترقی أمره تقرب عند محمد شاه المعروف بخواجه المقتول 1211 و دفن فی النجف و ألف باسمه تاریخا بنحو جدید سماه تاریخ محمدی و قد ینظم الشعر ترجمه فی (مع 2- ص 451) و أورد شعره‏</w:t>
      </w:r>
    </w:p>
    <w:p>
      <w:pPr>
        <w:pStyle w:val="Heading3"/>
      </w:pPr>
      <w:bookmarkStart w:id="8625" w:name="_Toc7321"/>
      <w:r>
        <w:t>6511- دیوان محمد سبزواری أو شعره‏</w:t>
      </w:r>
      <w:bookmarkEnd w:id="8625"/>
    </w:p>
    <w:p>
      <w:pPr>
        <w:pStyle w:val="BookText"/>
      </w:pPr>
      <w:r>
        <w:rPr>
          <w:rFonts w:ascii="IRNazanin" w:hAnsi="IRNazanin" w:eastAsia="IRNazanin" w:cs="IRNazanin"/>
          <w:lang w:bidi="fa-IR"/>
          <w:color w:val="111111"/>
          <w:sz w:val="28"/>
          <w:szCs w:val="28"/>
          <w:rtl/>
        </w:rPr>
        <w:t xml:space="preserve">و هو من کسکن من محال سبزوار ترجمه و أورد غزله فی (تش- ص 80)</w:t>
      </w:r>
    </w:p>
    <w:p>
      <w:pPr>
        <w:pStyle w:val="Heading3"/>
      </w:pPr>
      <w:bookmarkStart w:id="8626" w:name="_Toc7322"/>
      <w:r>
        <w:t>6512- دیوان حاجی محمد سمرقندی أو شعره‏</w:t>
      </w:r>
      <w:bookmarkEnd w:id="8626"/>
    </w:p>
    <w:p>
      <w:pPr>
        <w:pStyle w:val="BookText"/>
      </w:pPr>
      <w:r>
        <w:rPr>
          <w:rFonts w:ascii="IRNazanin" w:hAnsi="IRNazanin" w:eastAsia="IRNazanin" w:cs="IRNazanin"/>
          <w:lang w:bidi="fa-IR"/>
          <w:color w:val="111111"/>
          <w:sz w:val="28"/>
          <w:szCs w:val="28"/>
          <w:rtl/>
        </w:rPr>
        <w:t xml:space="preserve">ترجمه و أورد شعره فی (تش- ص 333)
</w:t>
      </w:r>
    </w:p>
    <w:p>
      <w:pPr>
        <w:sectPr>
          <w:footerReference w:type="default" r:id="rId1006"/>
          <w:footnotePr>
            <w:numStart w:val="1"/>
            <w:numRestart w:val="eachPage"/>
          </w:footnotePr>
          <w:pgSz w:orient="portrait" w:w="11905.511811023622" w:h="16837.79527559055"/>
          <w:pgMar w:top="1440" w:right="1440" w:bottom="1440" w:left="1440" w:header="720" w:footer="720" w:gutter="0"/>
          <w:cols w:num="1" w:space="720"/>
        </w:sectPr>
      </w:pPr>
    </w:p>
    <w:bookmarkStart w:id="988" w:name="pg11704_122474"/>
    <w:bookmarkEnd w:id="988"/>
    <w:p>
      <w:pPr>
        <w:pStyle w:val="Heading3"/>
      </w:pPr>
      <w:bookmarkStart w:id="8627" w:name="_Toc7323"/>
      <w:r>
        <w:t>دیوان محمد شرفی‏</w:t>
      </w:r>
      <w:bookmarkEnd w:id="8627"/>
    </w:p>
    <w:p>
      <w:pPr>
        <w:pStyle w:val="BookText"/>
      </w:pPr>
      <w:r>
        <w:rPr>
          <w:rFonts w:ascii="IRNazanin" w:hAnsi="IRNazanin" w:eastAsia="IRNazanin" w:cs="IRNazanin"/>
          <w:lang w:bidi="fa-IR"/>
          <w:color w:val="111111"/>
          <w:sz w:val="28"/>
          <w:szCs w:val="28"/>
          <w:rtl/>
        </w:rPr>
        <w:t xml:space="preserve">المذکور فی ص 517 قال (تس- 74) إنه کان بیده أمور عمدة الملک الشاه نعمة الله و وصفه بقوله حقایق پناه الظاهر فی کونه حیا فی زمن تألیفه و من قرابته لشرف الدین یظهر أن الشرفی بالفاء نسبة إلیه و القاف الواقع فی الطبع غلط و کذا وقع الغلط فی (خص 3- ص 59) للصادقی المؤلف 1016 ذکره بعنوان مولانا محمد شرقی و ذکر تخلصه نیازی و إنه کان راتقا فاتقا لأمور الشاه نعمة الله باقی جنت مکان فیظهر أن تخلص الشاه نعمة الله هذا باقی و إنه توفی قبل تألیف الصادقی و کان حیا زمن تألیف سام میرزا و فاتنا أن نذکر باقی هذا فی محله و انما ذکرنا فی ص 124 المیر عبد الباقی الشهید 920 و ما فی بعض نسخ مجمع الخواص محمود شرفی بدل محمد فمن غلط النسخة لأن سام میرزا سابق علیه و قد ترجمه بعنوان محمد</w:t>
      </w:r>
    </w:p>
    <w:p>
      <w:pPr>
        <w:pStyle w:val="Heading3"/>
      </w:pPr>
      <w:bookmarkStart w:id="8628" w:name="_Toc7324"/>
      <w:r>
        <w:t>6513- دیوان محمد شغانی أو شعره‏</w:t>
      </w:r>
      <w:bookmarkEnd w:id="8628"/>
    </w:p>
    <w:p>
      <w:pPr>
        <w:pStyle w:val="BookText"/>
      </w:pPr>
      <w:r>
        <w:rPr>
          <w:rFonts w:ascii="IRNazanin" w:hAnsi="IRNazanin" w:eastAsia="IRNazanin" w:cs="IRNazanin"/>
          <w:lang w:bidi="fa-IR"/>
          <w:color w:val="111111"/>
          <w:sz w:val="28"/>
          <w:szCs w:val="28"/>
          <w:rtl/>
        </w:rPr>
        <w:t xml:space="preserve">کان کثیر الاشتغال بالشعر و کان من أولاد الوزراء کما ترجمه معاصره فی (لط 1- ص 17) و فی بعض نسخه محمد علی بدل محمد أقول لا یوجد من الأسماء المرکبة قبل القرن التاسع الا قلیلا لکن فیه و ما بعده کثیر فلعل هذا منه ثم إنه ذکر شعرا واحدا له‏</w:t>
      </w:r>
    </w:p>
    <w:p>
      <w:pPr>
        <w:pStyle w:val="Heading3"/>
      </w:pPr>
      <w:bookmarkStart w:id="8629" w:name="_Toc7325"/>
      <w:r>
        <w:t>6514- دیوان محمد شارختی أو شعره‏</w:t>
      </w:r>
      <w:bookmarkEnd w:id="8629"/>
    </w:p>
    <w:p>
      <w:pPr>
        <w:pStyle w:val="BookText"/>
      </w:pPr>
      <w:r>
        <w:rPr>
          <w:rFonts w:ascii="IRNazanin" w:hAnsi="IRNazanin" w:eastAsia="IRNazanin" w:cs="IRNazanin"/>
          <w:lang w:bidi="fa-IR"/>
          <w:color w:val="111111"/>
          <w:sz w:val="28"/>
          <w:szCs w:val="28"/>
          <w:rtl/>
        </w:rPr>
        <w:t xml:space="preserve">قال معاصره فی (مجن 4 ص 99 و 276) إنه نشا بهرات و أورد شعره‏</w:t>
      </w:r>
    </w:p>
    <w:p>
      <w:pPr>
        <w:pStyle w:val="Heading3"/>
      </w:pPr>
      <w:bookmarkStart w:id="8630" w:name="_Toc7326"/>
      <w:r>
        <w:t>6515- دیوان محمد شهرستانی أو شعره‏</w:t>
      </w:r>
      <w:bookmarkEnd w:id="8630"/>
    </w:p>
    <w:p>
      <w:pPr>
        <w:pStyle w:val="BookText"/>
      </w:pPr>
      <w:r>
        <w:rPr>
          <w:rFonts w:ascii="IRNazanin" w:hAnsi="IRNazanin" w:eastAsia="IRNazanin" w:cs="IRNazanin"/>
          <w:lang w:bidi="fa-IR"/>
          <w:color w:val="111111"/>
          <w:sz w:val="28"/>
          <w:szCs w:val="28"/>
          <w:rtl/>
        </w:rPr>
        <w:t xml:space="preserve">و هو شمس الدین محمد ابن المیرزا محمد رضا الشهرستانی ترجمه النصرآبادی فی (نر 5- ص 99) و ذکر أنه من أحفاد المیرزا عنایة الله و سبط المیرزا رفیع الدین الصدر و أورد بعض أشعاره‏</w:t>
      </w:r>
    </w:p>
    <w:p>
      <w:pPr>
        <w:pStyle w:val="Heading3"/>
      </w:pPr>
      <w:bookmarkStart w:id="8631" w:name="_Toc7327"/>
      <w:r>
        <w:t>6516- دیوان محمد شیرازی أو شعره‏</w:t>
      </w:r>
      <w:bookmarkEnd w:id="8631"/>
    </w:p>
    <w:p>
      <w:pPr>
        <w:pStyle w:val="BookText"/>
      </w:pPr>
      <w:r>
        <w:rPr>
          <w:rFonts w:ascii="IRNazanin" w:hAnsi="IRNazanin" w:eastAsia="IRNazanin" w:cs="IRNazanin"/>
          <w:lang w:bidi="fa-IR"/>
          <w:color w:val="111111"/>
          <w:sz w:val="28"/>
          <w:szCs w:val="28"/>
          <w:rtl/>
        </w:rPr>
        <w:t xml:space="preserve">کان من ساداتها و سکن أصفهان و لازم الحزین فترجمه فی تذکرته ص 125 و قال کان ماهرا فی السیاق خطاطا و مات قیل ثلاثین سنة</w:t>
      </w:r>
    </w:p>
    <w:p>
      <w:pPr>
        <w:pStyle w:val="Heading3"/>
      </w:pPr>
      <w:bookmarkStart w:id="8632" w:name="_Toc7328"/>
      <w:r>
        <w:t>دیوان محمد صاحب‏</w:t>
      </w:r>
      <w:bookmarkEnd w:id="8632"/>
    </w:p>
    <w:p>
      <w:pPr>
        <w:pStyle w:val="BookText"/>
      </w:pPr>
      <w:r>
        <w:rPr>
          <w:rFonts w:ascii="IRNazanin" w:hAnsi="IRNazanin" w:eastAsia="IRNazanin" w:cs="IRNazanin"/>
          <w:lang w:bidi="fa-IR"/>
          <w:color w:val="111111"/>
          <w:sz w:val="28"/>
          <w:szCs w:val="28"/>
          <w:rtl/>
        </w:rPr>
        <w:t xml:space="preserve">راجع دیوان محمد طالب‏</w:t>
      </w:r>
    </w:p>
    <w:p>
      <w:pPr>
        <w:pStyle w:val="Heading3"/>
      </w:pPr>
      <w:bookmarkStart w:id="8633" w:name="_Toc7329"/>
      <w:r>
        <w:t>دیوان محمد صادق أردستانی‏</w:t>
      </w:r>
      <w:bookmarkEnd w:id="8633"/>
    </w:p>
    <w:p>
      <w:pPr>
        <w:pStyle w:val="BookText"/>
      </w:pPr>
      <w:r>
        <w:rPr>
          <w:rFonts w:ascii="IRNazanin" w:hAnsi="IRNazanin" w:eastAsia="IRNazanin" w:cs="IRNazanin"/>
          <w:lang w:bidi="fa-IR"/>
          <w:color w:val="111111"/>
          <w:sz w:val="28"/>
          <w:szCs w:val="28"/>
          <w:rtl/>
        </w:rPr>
        <w:t xml:space="preserve">له بستان السعادة طبع بطهران فی 1317 و مر بعنوان روشن فی ص 390 و ج 3 ص 106</w:t>
      </w:r>
    </w:p>
    <w:p>
      <w:pPr>
        <w:pStyle w:val="Heading3"/>
      </w:pPr>
      <w:bookmarkStart w:id="8634" w:name="_Toc7330"/>
      <w:r>
        <w:t>6517- دیوان محمد صادق أصفهانی أو شعره‏</w:t>
      </w:r>
      <w:bookmarkEnd w:id="8634"/>
    </w:p>
    <w:p>
      <w:pPr>
        <w:pStyle w:val="BookText"/>
      </w:pPr>
      <w:r>
        <w:rPr>
          <w:rFonts w:ascii="IRNazanin" w:hAnsi="IRNazanin" w:eastAsia="IRNazanin" w:cs="IRNazanin"/>
          <w:lang w:bidi="fa-IR"/>
          <w:color w:val="111111"/>
          <w:sz w:val="28"/>
          <w:szCs w:val="28"/>
          <w:rtl/>
        </w:rPr>
        <w:t xml:space="preserve">و هو ابن الحاج حسین علی ولد
</w:t>
      </w:r>
    </w:p>
    <w:p>
      <w:pPr>
        <w:sectPr>
          <w:footerReference w:type="default" r:id="rId1007"/>
          <w:footnotePr>
            <w:numStart w:val="1"/>
            <w:numRestart w:val="eachPage"/>
          </w:footnotePr>
          <w:pgSz w:orient="portrait" w:w="11905.511811023622" w:h="16837.79527559055"/>
          <w:pgMar w:top="1440" w:right="1440" w:bottom="1440" w:left="1440" w:header="720" w:footer="720" w:gutter="0"/>
          <w:cols w:num="1" w:space="720"/>
        </w:sectPr>
      </w:pPr>
    </w:p>
    <w:bookmarkStart w:id="989" w:name="pg11704_122475"/>
    <w:bookmarkEnd w:id="989"/>
    <w:p>
      <w:pPr>
        <w:pStyle w:val="BookText"/>
      </w:pPr>
      <w:r>
        <w:rPr>
          <w:rFonts w:ascii="IRNazanin" w:hAnsi="IRNazanin" w:eastAsia="IRNazanin" w:cs="IRNazanin"/>
          <w:lang w:bidi="fa-IR"/>
          <w:color w:val="111111"/>
          <w:sz w:val="28"/>
          <w:szCs w:val="28"/>
          <w:rtl/>
        </w:rPr>
        <w:t xml:space="preserve">بها فی 1282 ش أورد شعره فی شعرای معاصر أصفهان- ص 423</w:t>
      </w:r>
    </w:p>
    <w:p>
      <w:pPr>
        <w:pStyle w:val="Heading3"/>
      </w:pPr>
      <w:bookmarkStart w:id="8635" w:name="_Toc7331"/>
      <w:r>
        <w:t>دیوان محمد صادق هندی‏</w:t>
      </w:r>
      <w:bookmarkEnd w:id="8635"/>
    </w:p>
    <w:p>
      <w:pPr>
        <w:pStyle w:val="BookText"/>
      </w:pPr>
      <w:r>
        <w:rPr>
          <w:rFonts w:ascii="IRNazanin" w:hAnsi="IRNazanin" w:eastAsia="IRNazanin" w:cs="IRNazanin"/>
          <w:lang w:bidi="fa-IR"/>
          <w:color w:val="111111"/>
          <w:sz w:val="28"/>
          <w:szCs w:val="28"/>
          <w:rtl/>
        </w:rPr>
        <w:t xml:space="preserve">قال فی (سرخوش- ص 68) إن له ساقی‏نامه و مر بعنوان صادق هندی فی ص 581 و کذا فی همیشه بهار</w:t>
      </w:r>
    </w:p>
    <w:p>
      <w:pPr>
        <w:pStyle w:val="Heading3"/>
      </w:pPr>
      <w:bookmarkStart w:id="8636" w:name="_Toc7332"/>
      <w:r>
        <w:t>6518- دیوان محمد صالح کرمانشاهی‏</w:t>
      </w:r>
      <w:bookmarkEnd w:id="8636"/>
    </w:p>
    <w:p>
      <w:pPr>
        <w:pStyle w:val="BookText"/>
      </w:pPr>
      <w:r>
        <w:rPr>
          <w:rFonts w:ascii="IRNazanin" w:hAnsi="IRNazanin" w:eastAsia="IRNazanin" w:cs="IRNazanin"/>
          <w:lang w:bidi="fa-IR"/>
          <w:color w:val="111111"/>
          <w:sz w:val="28"/>
          <w:szCs w:val="28"/>
          <w:rtl/>
        </w:rPr>
        <w:t xml:space="preserve">و اسمه السید محمد صالح الحسنی النعمةاللهی الملقب حیران علی شاه و صارم السلطنة طبع دیوان غزله باسم کنز العرفان فی 107 ص فی 1324 ش بطهران‏</w:t>
      </w:r>
    </w:p>
    <w:p>
      <w:pPr>
        <w:pStyle w:val="Heading3"/>
      </w:pPr>
      <w:bookmarkStart w:id="8637" w:name="_Toc7333"/>
      <w:r>
        <w:t>6519- دیوان محمد صدر أو شعره‏</w:t>
      </w:r>
      <w:bookmarkEnd w:id="8637"/>
    </w:p>
    <w:p>
      <w:pPr>
        <w:pStyle w:val="BookText"/>
      </w:pPr>
      <w:r>
        <w:rPr>
          <w:rFonts w:ascii="IRNazanin" w:hAnsi="IRNazanin" w:eastAsia="IRNazanin" w:cs="IRNazanin"/>
          <w:lang w:bidi="fa-IR"/>
          <w:color w:val="111111"/>
          <w:sz w:val="28"/>
          <w:szCs w:val="28"/>
          <w:rtl/>
        </w:rPr>
        <w:t xml:space="preserve">و هو تقی الدین محمد بن جمال الدین الصدر المتوفی فی سفر الحج فی قدس الخلیل فی 944 ترجمه سام میرزا فی (تس 2- ص 23).</w:t>
      </w:r>
    </w:p>
    <w:p>
      <w:pPr>
        <w:pStyle w:val="Heading3"/>
      </w:pPr>
      <w:bookmarkStart w:id="8638" w:name="_Toc7334"/>
      <w:r>
        <w:t>دیوان محمد صدیق یزدی‏</w:t>
      </w:r>
      <w:bookmarkEnd w:id="8638"/>
    </w:p>
    <w:p>
      <w:pPr>
        <w:pStyle w:val="BookText"/>
      </w:pPr>
      <w:r>
        <w:rPr>
          <w:rFonts w:ascii="IRNazanin" w:hAnsi="IRNazanin" w:eastAsia="IRNazanin" w:cs="IRNazanin"/>
          <w:lang w:bidi="fa-IR"/>
          <w:color w:val="111111"/>
          <w:sz w:val="28"/>
          <w:szCs w:val="28"/>
          <w:rtl/>
        </w:rPr>
        <w:t xml:space="preserve">مر بتخلصه آزاد کما ترجمه آیتی فی (تش یز- ص 269).</w:t>
      </w:r>
    </w:p>
    <w:p>
      <w:pPr>
        <w:pStyle w:val="Heading3"/>
      </w:pPr>
      <w:bookmarkStart w:id="8639" w:name="_Toc7335"/>
      <w:r>
        <w:t>6520- دیوان محمد صوفی مازندرانی‏</w:t>
      </w:r>
      <w:bookmarkEnd w:id="8639"/>
    </w:p>
    <w:p>
      <w:pPr>
        <w:pStyle w:val="BookText"/>
      </w:pPr>
      <w:r>
        <w:rPr>
          <w:rFonts w:ascii="IRNazanin" w:hAnsi="IRNazanin" w:eastAsia="IRNazanin" w:cs="IRNazanin"/>
          <w:lang w:bidi="fa-IR"/>
          <w:color w:val="111111"/>
          <w:sz w:val="28"/>
          <w:szCs w:val="28"/>
          <w:rtl/>
        </w:rPr>
        <w:t xml:space="preserve">و هو المولی محمد بن عبد الله الملقب بالصوفی و المتخلص محمد کما یظهر من دیوانه الموجود فی بانکی‏پور فی (53 ورقة) فی ألفی بیت. و کذا فی (مع- ج 2- ص 38) ولد بآمل مازندران، و سافر إلی شیراز ثم سافر إلی الحج و بقی فی مکة خمس عشر سنة کل سنة یزور مدینة ثم ساح البلاد الکثیرة فی الغرب و جاء إلی هند مع أبی حیان الطبیب و المولی حسن علی الیزدی فی عهد أکبر شاه حتی سکن گجرات و قال فیه:</w:t>
      </w:r>
    </w:p>
    <w:p>
      <w:pPr>
        <w:pStyle w:val="BookText"/>
      </w:pPr>
      <w:r>
        <w:rPr>
          <w:rFonts w:ascii="IRNazanin" w:hAnsi="IRNazanin" w:eastAsia="IRNazanin" w:cs="IRNazanin"/>
          <w:lang w:bidi="fa-IR"/>
          <w:color w:val="111111"/>
          <w:sz w:val="28"/>
          <w:szCs w:val="28"/>
          <w:rtl/>
        </w:rPr>
        <w:t xml:space="preserve">مرا گجرات از آن گشته است مسکن‏</w:t>
      </w:r>
    </w:p>
    <w:p>
      <w:pPr>
        <w:pStyle w:val="BookText"/>
      </w:pPr>
      <w:r>
        <w:rPr>
          <w:rFonts w:ascii="IRNazanin" w:hAnsi="IRNazanin" w:eastAsia="IRNazanin" w:cs="IRNazanin"/>
          <w:lang w:bidi="fa-IR"/>
          <w:color w:val="111111"/>
          <w:sz w:val="28"/>
          <w:szCs w:val="28"/>
          <w:rtl/>
        </w:rPr>
        <w:t xml:space="preserve">که از مازندرانم یادگار است‏</w:t>
      </w:r>
    </w:p>
    <w:p>
      <w:pPr>
        <w:pStyle w:val="BookText"/>
      </w:pPr>
      <w:r>
        <w:rPr>
          <w:rFonts w:ascii="IRNazanin" w:hAnsi="IRNazanin" w:eastAsia="IRNazanin" w:cs="IRNazanin"/>
          <w:lang w:bidi="fa-IR"/>
          <w:color w:val="111111"/>
          <w:sz w:val="28"/>
          <w:szCs w:val="28"/>
          <w:rtl/>
        </w:rPr>
        <w:t xml:space="preserve">و زار الخواجة معین الدین القطب و عبد النبی فخر الزمانی فی أجمیر ثم رجع إلی گجرات فی 1024. کان زاهدا تارکا للدنیا. و کان یتهم بالإلحاد کما یظهر من تقی الدین الکاشانی.</w:t>
      </w:r>
    </w:p>
    <w:p>
      <w:pPr>
        <w:pStyle w:val="BookText"/>
      </w:pPr>
      <w:r>
        <w:rPr>
          <w:rFonts w:ascii="IRNazanin" w:hAnsi="IRNazanin" w:eastAsia="IRNazanin" w:cs="IRNazanin"/>
          <w:lang w:bidi="fa-IR"/>
          <w:color w:val="111111"/>
          <w:sz w:val="28"/>
          <w:szCs w:val="28"/>
          <w:rtl/>
        </w:rPr>
        <w:t xml:space="preserve">ترجمه فی میخانه- ص 345 و هدیة العارفین 2: 275 و (تش- ص 180) و (حسینی- ص 187) و کشف الظنون و له بتخانه و هو منتخب من أشعار القدماء فی ستین ألف بیت و ساقی‏نامه فی 218 بیت و دیوانه یشتمل علی ألف بیت شعر و لکن شعره یزید علی أربعة آلاف بیت و مات 1035 [- مجردانه یکی شد بحق محمد صوفی‏] و قال فی صحف إبراهیم و مجمع الفصحاء مات 1038 و فی (خوش‏گو) 1032.
</w:t>
      </w:r>
    </w:p>
    <w:p>
      <w:pPr>
        <w:sectPr>
          <w:footerReference w:type="default" r:id="rId1008"/>
          <w:footnotePr>
            <w:numStart w:val="1"/>
            <w:numRestart w:val="eachPage"/>
          </w:footnotePr>
          <w:pgSz w:orient="portrait" w:w="11905.511811023622" w:h="16837.79527559055"/>
          <w:pgMar w:top="1440" w:right="1440" w:bottom="1440" w:left="1440" w:header="720" w:footer="720" w:gutter="0"/>
          <w:cols w:num="1" w:space="720"/>
        </w:sectPr>
      </w:pPr>
    </w:p>
    <w:bookmarkStart w:id="990" w:name="pg11704_122476"/>
    <w:bookmarkEnd w:id="990"/>
    <w:p>
      <w:pPr>
        <w:pStyle w:val="Heading3"/>
      </w:pPr>
      <w:bookmarkStart w:id="8640" w:name="_Toc7336"/>
      <w:r>
        <w:t>6521- دیوان محمد طالب أو شعره‏</w:t>
      </w:r>
      <w:bookmarkEnd w:id="8640"/>
    </w:p>
    <w:p>
      <w:pPr>
        <w:pStyle w:val="BookText"/>
      </w:pPr>
      <w:r>
        <w:rPr>
          <w:rFonts w:ascii="IRNazanin" w:hAnsi="IRNazanin" w:eastAsia="IRNazanin" w:cs="IRNazanin"/>
          <w:lang w:bidi="fa-IR"/>
          <w:color w:val="111111"/>
          <w:sz w:val="28"/>
          <w:szCs w:val="28"/>
          <w:rtl/>
        </w:rPr>
        <w:t xml:space="preserve">کان من طلبة العلم و ماهرا فی الشطرنج و المعمی کما فی (مجن 3- ص 75 و 250) و فی بعض النسخ جاء اسمه محمد صاحب.</w:t>
      </w:r>
    </w:p>
    <w:p>
      <w:pPr>
        <w:pStyle w:val="Heading3"/>
      </w:pPr>
      <w:bookmarkStart w:id="8641" w:name="_Toc7337"/>
      <w:r>
        <w:t>دیوان محمد طاهر شاه جانی‏</w:t>
      </w:r>
      <w:bookmarkEnd w:id="8641"/>
    </w:p>
    <w:p>
      <w:pPr>
        <w:pStyle w:val="BookText"/>
      </w:pPr>
      <w:r>
        <w:rPr>
          <w:rFonts w:ascii="IRNazanin" w:hAnsi="IRNazanin" w:eastAsia="IRNazanin" w:cs="IRNazanin"/>
          <w:lang w:bidi="fa-IR"/>
          <w:color w:val="111111"/>
          <w:sz w:val="28"/>
          <w:szCs w:val="28"/>
          <w:rtl/>
        </w:rPr>
        <w:t xml:space="preserve">کما فی (نتایج- ص 50) مر بعنوان آشنا.</w:t>
      </w:r>
    </w:p>
    <w:p>
      <w:pPr>
        <w:pStyle w:val="Heading3"/>
      </w:pPr>
      <w:bookmarkStart w:id="8642" w:name="_Toc7338"/>
      <w:r>
        <w:t>دیوان محمد طاهر</w:t>
      </w:r>
      <w:bookmarkEnd w:id="8642"/>
    </w:p>
    <w:p>
      <w:pPr>
        <w:pStyle w:val="BookText"/>
      </w:pPr>
      <w:r>
        <w:rPr>
          <w:rFonts w:ascii="IRNazanin" w:hAnsi="IRNazanin" w:eastAsia="IRNazanin" w:cs="IRNazanin"/>
          <w:lang w:bidi="fa-IR"/>
          <w:color w:val="111111"/>
          <w:sz w:val="28"/>
          <w:szCs w:val="28"/>
          <w:rtl/>
        </w:rPr>
        <w:t xml:space="preserve">کما فی (سرخوش- ص 72) و لعله طاهر طالقانی المذکور فی ص 642.</w:t>
      </w:r>
    </w:p>
    <w:p>
      <w:pPr>
        <w:pStyle w:val="Heading3"/>
      </w:pPr>
      <w:bookmarkStart w:id="8643" w:name="_Toc7339"/>
      <w:r>
        <w:t>6522- دیوان محمد طهرانی أو شعره‏</w:t>
      </w:r>
      <w:bookmarkEnd w:id="8643"/>
    </w:p>
    <w:p>
      <w:pPr>
        <w:pStyle w:val="BookText"/>
      </w:pPr>
      <w:r>
        <w:rPr>
          <w:rFonts w:ascii="IRNazanin" w:hAnsi="IRNazanin" w:eastAsia="IRNazanin" w:cs="IRNazanin"/>
          <w:lang w:bidi="fa-IR"/>
          <w:color w:val="111111"/>
          <w:sz w:val="28"/>
          <w:szCs w:val="28"/>
          <w:rtl/>
        </w:rPr>
        <w:t xml:space="preserve">کان یتخلص ادیبی أورد شعره فی نامه فرهنگیان لعبرت.</w:t>
      </w:r>
    </w:p>
    <w:p>
      <w:pPr>
        <w:pStyle w:val="Heading3"/>
      </w:pPr>
      <w:bookmarkStart w:id="8644" w:name="_Toc7340"/>
      <w:r>
        <w:t>6523- دیوان محمد عالم أو شعره‏</w:t>
      </w:r>
      <w:bookmarkEnd w:id="8644"/>
    </w:p>
    <w:p>
      <w:pPr>
        <w:pStyle w:val="BookText"/>
      </w:pPr>
      <w:r>
        <w:rPr>
          <w:rFonts w:ascii="IRNazanin" w:hAnsi="IRNazanin" w:eastAsia="IRNazanin" w:cs="IRNazanin"/>
          <w:lang w:bidi="fa-IR"/>
          <w:color w:val="111111"/>
          <w:sz w:val="28"/>
          <w:szCs w:val="28"/>
          <w:rtl/>
        </w:rPr>
        <w:t xml:space="preserve">کان من علماء سمرقند و مصاحب ألغ بیک و أخیرا نفاه إلی هراة و بها توفی. ترجمه و أورد شعره فی (مجن 1 ص 15 و 190).</w:t>
      </w:r>
    </w:p>
    <w:p>
      <w:pPr>
        <w:pStyle w:val="Heading3"/>
      </w:pPr>
      <w:bookmarkStart w:id="8645" w:name="_Toc7341"/>
      <w:r>
        <w:t>دیوان محمد عباس التستری‏</w:t>
      </w:r>
      <w:bookmarkEnd w:id="8645"/>
    </w:p>
    <w:p>
      <w:pPr>
        <w:pStyle w:val="BookText"/>
      </w:pPr>
      <w:r>
        <w:rPr>
          <w:rFonts w:ascii="IRNazanin" w:hAnsi="IRNazanin" w:eastAsia="IRNazanin" w:cs="IRNazanin"/>
          <w:lang w:bidi="fa-IR"/>
          <w:color w:val="111111"/>
          <w:sz w:val="28"/>
          <w:szCs w:val="28"/>
          <w:rtl/>
        </w:rPr>
        <w:t xml:space="preserve">مر بعنوان عباس فی ص 679. و طبع له گوهرشاد مع آب زلال و صحن چمن.</w:t>
      </w:r>
    </w:p>
    <w:p>
      <w:pPr>
        <w:pStyle w:val="Heading3"/>
      </w:pPr>
      <w:bookmarkStart w:id="8646" w:name="_Toc7342"/>
      <w:r>
        <w:t>6524- دیوان محمد عرب‏</w:t>
      </w:r>
      <w:bookmarkEnd w:id="8646"/>
    </w:p>
    <w:p>
      <w:pPr>
        <w:pStyle w:val="BookText"/>
      </w:pPr>
      <w:r>
        <w:rPr>
          <w:rFonts w:ascii="IRNazanin" w:hAnsi="IRNazanin" w:eastAsia="IRNazanin" w:cs="IRNazanin"/>
          <w:lang w:bidi="fa-IR"/>
          <w:color w:val="111111"/>
          <w:sz w:val="28"/>
          <w:szCs w:val="28"/>
          <w:rtl/>
        </w:rPr>
        <w:t xml:space="preserve">کان مخبطا و له داعیة السلطنة فأخرجه السلطان إلی سیستان و بها توفی. ترجمه فی (مجن 2- ص 28 و 203) نظم لنفسه شاهنامه و أورد هناک بیتا منه.</w:t>
      </w:r>
    </w:p>
    <w:p>
      <w:pPr>
        <w:pStyle w:val="Heading3"/>
      </w:pPr>
      <w:bookmarkStart w:id="8647" w:name="_Toc7343"/>
      <w:r>
        <w:t>دیوان السید محمد العصار التبریزی‏</w:t>
      </w:r>
      <w:bookmarkEnd w:id="8647"/>
    </w:p>
    <w:p>
      <w:pPr>
        <w:pStyle w:val="BookText"/>
      </w:pPr>
      <w:r>
        <w:rPr>
          <w:rFonts w:ascii="IRNazanin" w:hAnsi="IRNazanin" w:eastAsia="IRNazanin" w:cs="IRNazanin"/>
          <w:lang w:bidi="fa-IR"/>
          <w:color w:val="111111"/>
          <w:sz w:val="28"/>
          <w:szCs w:val="28"/>
          <w:rtl/>
        </w:rPr>
        <w:t xml:space="preserve">مر فی ص 274 أطرأه فی (بهش 1 ص 354) و قبره عند قبر أستاذه المولی عبد الصمد المنجم التبریزی الچرندابی. و له قصائد فی مدح أستاذه.</w:t>
      </w:r>
    </w:p>
    <w:p>
      <w:pPr>
        <w:pStyle w:val="Heading3"/>
      </w:pPr>
      <w:bookmarkStart w:id="8648" w:name="_Toc7344"/>
      <w:r>
        <w:t>دیوان السید محمد العصار الطهرانی‏</w:t>
      </w:r>
      <w:bookmarkEnd w:id="8648"/>
    </w:p>
    <w:p>
      <w:pPr>
        <w:pStyle w:val="BookText"/>
      </w:pPr>
      <w:r>
        <w:rPr>
          <w:rFonts w:ascii="IRNazanin" w:hAnsi="IRNazanin" w:eastAsia="IRNazanin" w:cs="IRNazanin"/>
          <w:lang w:bidi="fa-IR"/>
          <w:color w:val="111111"/>
          <w:sz w:val="28"/>
          <w:szCs w:val="28"/>
          <w:rtl/>
        </w:rPr>
        <w:t xml:space="preserve">مر فی ص 724 و له خیر الوسائل أو شرح گلشن راز طبع فی مشهد خراسان باهتمام محمود جم المنتسب إلی محمود شبستری.</w:t>
      </w:r>
    </w:p>
    <w:p>
      <w:pPr>
        <w:pStyle w:val="Heading3"/>
      </w:pPr>
      <w:bookmarkStart w:id="8649" w:name="_Toc7345"/>
      <w:r>
        <w:t>6525- دیوان محمد علی إسلامی‏</w:t>
      </w:r>
      <w:bookmarkEnd w:id="8649"/>
    </w:p>
    <w:p>
      <w:pPr>
        <w:pStyle w:val="BookText"/>
      </w:pPr>
      <w:r>
        <w:rPr>
          <w:rFonts w:ascii="IRNazanin" w:hAnsi="IRNazanin" w:eastAsia="IRNazanin" w:cs="IRNazanin"/>
          <w:lang w:bidi="fa-IR"/>
          <w:color w:val="111111"/>
          <w:sz w:val="28"/>
          <w:szCs w:val="28"/>
          <w:rtl/>
        </w:rPr>
        <w:t xml:space="preserve">و هو الدکتور محمد علی إسلامی. طبع له منظومات چشمه و گناه فی 1335 ش. و غیرها بطهران.</w:t>
      </w:r>
    </w:p>
    <w:p>
      <w:pPr>
        <w:pStyle w:val="Heading3"/>
      </w:pPr>
      <w:bookmarkStart w:id="8650" w:name="_Toc7346"/>
      <w:r>
        <w:t>6526- دیوان محمد علی أنصاری‏</w:t>
      </w:r>
      <w:bookmarkEnd w:id="8650"/>
    </w:p>
    <w:p>
      <w:pPr>
        <w:pStyle w:val="BookText"/>
      </w:pPr>
      <w:r>
        <w:rPr>
          <w:rFonts w:ascii="IRNazanin" w:hAnsi="IRNazanin" w:eastAsia="IRNazanin" w:cs="IRNazanin"/>
          <w:lang w:bidi="fa-IR"/>
          <w:color w:val="111111"/>
          <w:sz w:val="28"/>
          <w:szCs w:val="28"/>
          <w:rtl/>
        </w:rPr>
        <w:t xml:space="preserve">و هو ابن محمد حسین القمی. طبع له نهج البلاغة منظوم فی ست مجلدات و خزائن المراثی أو شورهای فروزان فی 1358 و دریای نور فی 1367.
</w:t>
      </w:r>
    </w:p>
    <w:p>
      <w:pPr>
        <w:sectPr>
          <w:footerReference w:type="default" r:id="rId1009"/>
          <w:footnotePr>
            <w:numStart w:val="1"/>
            <w:numRestart w:val="eachPage"/>
          </w:footnotePr>
          <w:pgSz w:orient="portrait" w:w="11905.511811023622" w:h="16837.79527559055"/>
          <w:pgMar w:top="1440" w:right="1440" w:bottom="1440" w:left="1440" w:header="720" w:footer="720" w:gutter="0"/>
          <w:cols w:num="1" w:space="720"/>
        </w:sectPr>
      </w:pPr>
    </w:p>
    <w:bookmarkStart w:id="991" w:name="pg11704_122477"/>
    <w:bookmarkEnd w:id="991"/>
    <w:p>
      <w:pPr>
        <w:pStyle w:val="Heading3"/>
      </w:pPr>
      <w:bookmarkStart w:id="8651" w:name="_Toc7347"/>
      <w:r>
        <w:t>دیوان محمد علی حزین‏</w:t>
      </w:r>
      <w:bookmarkEnd w:id="8651"/>
    </w:p>
    <w:p>
      <w:pPr>
        <w:pStyle w:val="BookText"/>
      </w:pPr>
      <w:r>
        <w:rPr>
          <w:rFonts w:ascii="IRNazanin" w:hAnsi="IRNazanin" w:eastAsia="IRNazanin" w:cs="IRNazanin"/>
          <w:lang w:bidi="fa-IR"/>
          <w:color w:val="111111"/>
          <w:sz w:val="28"/>
          <w:szCs w:val="28"/>
          <w:rtl/>
        </w:rPr>
        <w:t xml:space="preserve">المذکور فی ص 235. ترجمه فی (نتایج- ص 198) و طبع کلیاته فی 1293 و 1893 م.</w:t>
      </w:r>
    </w:p>
    <w:p>
      <w:pPr>
        <w:pStyle w:val="Heading3"/>
      </w:pPr>
      <w:bookmarkStart w:id="8652" w:name="_Toc7348"/>
      <w:r>
        <w:t>دیوان محمد علی دولت شاه‏</w:t>
      </w:r>
      <w:bookmarkEnd w:id="8652"/>
    </w:p>
    <w:p>
      <w:pPr>
        <w:pStyle w:val="BookText"/>
      </w:pPr>
      <w:r>
        <w:rPr>
          <w:rFonts w:ascii="IRNazanin" w:hAnsi="IRNazanin" w:eastAsia="IRNazanin" w:cs="IRNazanin"/>
          <w:lang w:bidi="fa-IR"/>
          <w:color w:val="111111"/>
          <w:sz w:val="28"/>
          <w:szCs w:val="28"/>
          <w:rtl/>
        </w:rPr>
        <w:t xml:space="preserve">مر بعنوان دولت فی ص 331.</w:t>
      </w:r>
    </w:p>
    <w:p>
      <w:pPr>
        <w:pStyle w:val="Heading3"/>
      </w:pPr>
      <w:bookmarkStart w:id="8653" w:name="_Toc7349"/>
      <w:r>
        <w:t>6527- دیوان محمد علی روحی أصفهانی أو شعره‏</w:t>
      </w:r>
      <w:bookmarkEnd w:id="8653"/>
    </w:p>
    <w:p>
      <w:pPr>
        <w:pStyle w:val="BookText"/>
      </w:pPr>
      <w:r>
        <w:rPr>
          <w:rFonts w:ascii="IRNazanin" w:hAnsi="IRNazanin" w:eastAsia="IRNazanin" w:cs="IRNazanin"/>
          <w:lang w:bidi="fa-IR"/>
          <w:color w:val="111111"/>
          <w:sz w:val="28"/>
          <w:szCs w:val="28"/>
          <w:rtl/>
        </w:rPr>
        <w:t xml:space="preserve">ولد بأصفهان فی 1328 و نشا بها و صار نقاشا. ثم تعلم العربیة و انتقل إلی طهران و کان یدرس المطول بمدرسة المروی و مات 1372 و دفن بقم. أورد شعره العربی فی شعرای معاصر أصفهان- ص 424.</w:t>
      </w:r>
    </w:p>
    <w:p>
      <w:pPr>
        <w:pStyle w:val="Heading3"/>
      </w:pPr>
      <w:bookmarkStart w:id="8654" w:name="_Toc7350"/>
      <w:r>
        <w:t>دیوان محمد علی سروش‏</w:t>
      </w:r>
      <w:bookmarkEnd w:id="8654"/>
    </w:p>
    <w:p>
      <w:pPr>
        <w:pStyle w:val="BookText"/>
      </w:pPr>
      <w:r>
        <w:rPr>
          <w:rFonts w:ascii="IRNazanin" w:hAnsi="IRNazanin" w:eastAsia="IRNazanin" w:cs="IRNazanin"/>
          <w:lang w:bidi="fa-IR"/>
          <w:color w:val="111111"/>
          <w:sz w:val="28"/>
          <w:szCs w:val="28"/>
          <w:rtl/>
        </w:rPr>
        <w:t xml:space="preserve">المذکور فی ص 443. طبع له شمس المناقب فی 1300 مع مقدمه حسین قلی و تقریظ عنقا الطالقانی المذکور فی ص 774.</w:t>
      </w:r>
    </w:p>
    <w:p>
      <w:pPr>
        <w:pStyle w:val="Heading3"/>
      </w:pPr>
      <w:bookmarkStart w:id="8655" w:name="_Toc7351"/>
      <w:r>
        <w:t>6528- دیوان محمد علی عز الدین‏</w:t>
      </w:r>
      <w:bookmarkEnd w:id="8655"/>
    </w:p>
    <w:p>
      <w:pPr>
        <w:pStyle w:val="BookText"/>
      </w:pPr>
      <w:r>
        <w:rPr>
          <w:rFonts w:ascii="IRNazanin" w:hAnsi="IRNazanin" w:eastAsia="IRNazanin" w:cs="IRNazanin"/>
          <w:lang w:bidi="fa-IR"/>
          <w:color w:val="111111"/>
          <w:sz w:val="28"/>
          <w:szCs w:val="28"/>
          <w:rtl/>
        </w:rPr>
        <w:t xml:space="preserve">العاملی ابن یوسف الحنوی المتوفی 1301 حکاه أحمد رضا فی مجلة العرفان العدد 8 من المجلد 2.</w:t>
      </w:r>
    </w:p>
    <w:p>
      <w:pPr>
        <w:pStyle w:val="Heading3"/>
      </w:pPr>
      <w:bookmarkStart w:id="8656" w:name="_Toc7352"/>
      <w:r>
        <w:t>دیوان محمد علی مولوی‏</w:t>
      </w:r>
      <w:bookmarkEnd w:id="8656"/>
    </w:p>
    <w:p>
      <w:pPr>
        <w:pStyle w:val="BookText"/>
      </w:pPr>
      <w:r>
        <w:rPr>
          <w:rFonts w:ascii="IRNazanin" w:hAnsi="IRNazanin" w:eastAsia="IRNazanin" w:cs="IRNazanin"/>
          <w:lang w:bidi="fa-IR"/>
          <w:color w:val="111111"/>
          <w:sz w:val="28"/>
          <w:szCs w:val="28"/>
          <w:rtl/>
        </w:rPr>
        <w:t xml:space="preserve">راجع محمد هندی.</w:t>
      </w:r>
    </w:p>
    <w:p>
      <w:pPr>
        <w:pStyle w:val="Heading3"/>
      </w:pPr>
      <w:bookmarkStart w:id="8657" w:name="_Toc7353"/>
      <w:r>
        <w:t>دیوان سید محمد عوامل‏</w:t>
      </w:r>
      <w:bookmarkEnd w:id="8657"/>
    </w:p>
    <w:p>
      <w:pPr>
        <w:pStyle w:val="BookText"/>
      </w:pPr>
      <w:r>
        <w:rPr>
          <w:rFonts w:ascii="IRNazanin" w:hAnsi="IRNazanin" w:eastAsia="IRNazanin" w:cs="IRNazanin"/>
          <w:lang w:bidi="fa-IR"/>
          <w:color w:val="111111"/>
          <w:sz w:val="28"/>
          <w:szCs w:val="28"/>
          <w:rtl/>
        </w:rPr>
        <w:t xml:space="preserve">راجع متقی رازی فی ص 957.</w:t>
      </w:r>
    </w:p>
    <w:p>
      <w:pPr>
        <w:pStyle w:val="Heading3"/>
      </w:pPr>
      <w:bookmarkStart w:id="8658" w:name="_Toc7354"/>
      <w:r>
        <w:t>6529- دیوان محمد علی فردوسی ثانی‏</w:t>
      </w:r>
      <w:bookmarkEnd w:id="8658"/>
    </w:p>
    <w:p>
      <w:pPr>
        <w:pStyle w:val="BookText"/>
      </w:pPr>
      <w:r>
        <w:rPr>
          <w:rFonts w:ascii="IRNazanin" w:hAnsi="IRNazanin" w:eastAsia="IRNazanin" w:cs="IRNazanin"/>
          <w:lang w:bidi="fa-IR"/>
          <w:color w:val="111111"/>
          <w:sz w:val="28"/>
          <w:szCs w:val="28"/>
          <w:rtl/>
        </w:rPr>
        <w:t xml:space="preserve">الخراسانی ینسب نفسه إلی الفردوسی الطوسی. سافر مع نادر شاه إلی الهند و رجع. ذکره گلستانه فی مجمل التواریخ و ذکر له نادر شاه‏نامه أو شاهنامه نادری و مهدی خان فی جهان‏گشا و محمد کاظم فی عالم‏آرای نادری و طبع الشاهنامة أحمد سهیلی الخوانساری عن نسختی (ملک 916) و (حسین النخجوانی) و جعل له مقدمه فی أحواله، طبعه فی طهران 1339 ش. فی 241 ص.</w:t>
      </w:r>
    </w:p>
    <w:p>
      <w:pPr>
        <w:pStyle w:val="Heading3"/>
      </w:pPr>
      <w:bookmarkStart w:id="8659" w:name="_Toc7355"/>
      <w:r>
        <w:t>دیوان محمد عوفی‏</w:t>
      </w:r>
      <w:bookmarkEnd w:id="8659"/>
    </w:p>
    <w:p>
      <w:pPr>
        <w:pStyle w:val="BookText"/>
      </w:pPr>
      <w:r>
        <w:rPr>
          <w:rFonts w:ascii="IRNazanin" w:hAnsi="IRNazanin" w:eastAsia="IRNazanin" w:cs="IRNazanin"/>
          <w:lang w:bidi="fa-IR"/>
          <w:color w:val="111111"/>
          <w:sz w:val="28"/>
          <w:szCs w:val="28"/>
          <w:rtl/>
        </w:rPr>
        <w:t xml:space="preserve">مر فی ص 775 و ترجمه فی (مع 1 ص 502) استفاد آرزو من تذکرته لباب الألباب کما ذکره فی مقدمه خزانة عامرة و لکنه لم یترجمه فیه، مع أنه أخذ الصلة جزاء شعره فی مدیح شاه کبود جامه الأسترآبادی.</w:t>
      </w:r>
    </w:p>
    <w:p>
      <w:pPr>
        <w:pStyle w:val="Heading3"/>
      </w:pPr>
      <w:bookmarkStart w:id="8660" w:name="_Toc7356"/>
      <w:r>
        <w:t>6530- دیوان محمد غزنوی أو شعره‏</w:t>
      </w:r>
      <w:bookmarkEnd w:id="8660"/>
    </w:p>
    <w:p>
      <w:pPr>
        <w:pStyle w:val="BookText"/>
      </w:pPr>
      <w:r>
        <w:rPr>
          <w:rFonts w:ascii="IRNazanin" w:hAnsi="IRNazanin" w:eastAsia="IRNazanin" w:cs="IRNazanin"/>
          <w:lang w:bidi="fa-IR"/>
          <w:color w:val="111111"/>
          <w:sz w:val="28"/>
          <w:szCs w:val="28"/>
          <w:rtl/>
        </w:rPr>
        <w:t xml:space="preserve">و اسمه السید محمد بن ناصر، أخ السید حسن الغزنوی. ترجمه فی (مع 1- ص 510) و أورد قرب ثلاثین بیتا من شعره.</w:t>
      </w:r>
    </w:p>
    <w:p>
      <w:pPr>
        <w:pStyle w:val="Heading3"/>
      </w:pPr>
      <w:bookmarkStart w:id="8661" w:name="_Toc7357"/>
      <w:r>
        <w:t>دیوان ملا محمد فارسی‏</w:t>
      </w:r>
      <w:bookmarkEnd w:id="8661"/>
    </w:p>
    <w:p>
      <w:pPr>
        <w:pStyle w:val="BookText"/>
      </w:pPr>
      <w:r>
        <w:rPr>
          <w:rFonts w:ascii="IRNazanin" w:hAnsi="IRNazanin" w:eastAsia="IRNazanin" w:cs="IRNazanin"/>
          <w:lang w:bidi="fa-IR"/>
          <w:color w:val="111111"/>
          <w:sz w:val="28"/>
          <w:szCs w:val="28"/>
          <w:rtl/>
        </w:rPr>
        <w:t xml:space="preserve">البواناتی من محال فارس و تخلصه گویا. مر فی ص 937.</w:t>
      </w:r>
    </w:p>
    <w:p>
      <w:pPr>
        <w:pStyle w:val="Heading3"/>
      </w:pPr>
      <w:bookmarkStart w:id="8662" w:name="_Toc7358"/>
      <w:r>
        <w:t>6531- دیوان محمد فارسی أو شعره‏</w:t>
      </w:r>
      <w:bookmarkEnd w:id="8662"/>
    </w:p>
    <w:p>
      <w:pPr>
        <w:pStyle w:val="BookText"/>
      </w:pPr>
      <w:r>
        <w:rPr>
          <w:rFonts w:ascii="IRNazanin" w:hAnsi="IRNazanin" w:eastAsia="IRNazanin" w:cs="IRNazanin"/>
          <w:lang w:bidi="fa-IR"/>
          <w:color w:val="111111"/>
          <w:sz w:val="28"/>
          <w:szCs w:val="28"/>
          <w:rtl/>
        </w:rPr>
        <w:t xml:space="preserve">هو من دهمل من محال فارس و ابن الحاج‏
</w:t>
      </w:r>
    </w:p>
    <w:p>
      <w:pPr>
        <w:sectPr>
          <w:footerReference w:type="default" r:id="rId1010"/>
          <w:footnotePr>
            <w:numStart w:val="1"/>
            <w:numRestart w:val="eachPage"/>
          </w:footnotePr>
          <w:pgSz w:orient="portrait" w:w="11905.511811023622" w:h="16837.79527559055"/>
          <w:pgMar w:top="1440" w:right="1440" w:bottom="1440" w:left="1440" w:header="720" w:footer="720" w:gutter="0"/>
          <w:cols w:num="1" w:space="720"/>
        </w:sectPr>
      </w:pPr>
    </w:p>
    <w:bookmarkStart w:id="992" w:name="pg11704_122478"/>
    <w:bookmarkEnd w:id="992"/>
    <w:p>
      <w:pPr>
        <w:pStyle w:val="BookText"/>
      </w:pPr>
      <w:r>
        <w:rPr>
          <w:rFonts w:ascii="IRNazanin" w:hAnsi="IRNazanin" w:eastAsia="IRNazanin" w:cs="IRNazanin"/>
          <w:lang w:bidi="fa-IR"/>
          <w:color w:val="111111"/>
          <w:sz w:val="28"/>
          <w:szCs w:val="28"/>
          <w:rtl/>
        </w:rPr>
        <w:t xml:space="preserve">ملک حسین. کان هو و أبوه من أهل العلم و الصلاح. ترجمه النصرآبادی فی (نر 6- ص 202) و أورد شعره.</w:t>
      </w:r>
    </w:p>
    <w:p>
      <w:pPr>
        <w:pStyle w:val="Heading3"/>
      </w:pPr>
      <w:bookmarkStart w:id="8663" w:name="_Toc7359"/>
      <w:r>
        <w:t>6532- دیوان محمد فوطة سمرقندی أو شعره‏</w:t>
      </w:r>
      <w:bookmarkEnd w:id="8663"/>
    </w:p>
    <w:p>
      <w:pPr>
        <w:pStyle w:val="BookText"/>
      </w:pPr>
      <w:r>
        <w:rPr>
          <w:rFonts w:ascii="IRNazanin" w:hAnsi="IRNazanin" w:eastAsia="IRNazanin" w:cs="IRNazanin"/>
          <w:lang w:bidi="fa-IR"/>
          <w:color w:val="111111"/>
          <w:sz w:val="28"/>
          <w:szCs w:val="28"/>
          <w:rtl/>
        </w:rPr>
        <w:t xml:space="preserve">. کان بیاع الفوطة، و له طبع حسن.</w:t>
      </w:r>
    </w:p>
    <w:p>
      <w:pPr>
        <w:pStyle w:val="BookText"/>
      </w:pPr>
      <w:r>
        <w:rPr>
          <w:rFonts w:ascii="IRNazanin" w:hAnsi="IRNazanin" w:eastAsia="IRNazanin" w:cs="IRNazanin"/>
          <w:lang w:bidi="fa-IR"/>
          <w:color w:val="111111"/>
          <w:sz w:val="28"/>
          <w:szCs w:val="28"/>
          <w:rtl/>
        </w:rPr>
        <w:t xml:space="preserve">ترجمه فی (مجتس 6- ص 151) و أورد مطلع غزله.</w:t>
      </w:r>
    </w:p>
    <w:p>
      <w:pPr>
        <w:pStyle w:val="Heading3"/>
      </w:pPr>
      <w:bookmarkStart w:id="8664" w:name="_Toc7360"/>
      <w:r>
        <w:t>6533- دیوان الحکیم محمد القائنی أو شعره‏</w:t>
      </w:r>
      <w:bookmarkEnd w:id="8664"/>
    </w:p>
    <w:p>
      <w:pPr>
        <w:pStyle w:val="BookText"/>
      </w:pPr>
      <w:r>
        <w:rPr>
          <w:rFonts w:ascii="IRNazanin" w:hAnsi="IRNazanin" w:eastAsia="IRNazanin" w:cs="IRNazanin"/>
          <w:lang w:bidi="fa-IR"/>
          <w:color w:val="111111"/>
          <w:sz w:val="28"/>
          <w:szCs w:val="28"/>
          <w:rtl/>
        </w:rPr>
        <w:t xml:space="preserve">اسمه أبو نصر جعفر بن إسحاق من أهل واش. حکی ترجمته فی (مع 1- ص 541) عن کتاب تذکره محمد العوفی و أورد له قرب عشرین بیتا.</w:t>
      </w:r>
    </w:p>
    <w:p>
      <w:pPr>
        <w:pStyle w:val="Heading3"/>
      </w:pPr>
      <w:bookmarkStart w:id="8665" w:name="_Toc7361"/>
      <w:r>
        <w:t>دیوان محمد قاضی خراسانی‏</w:t>
      </w:r>
      <w:bookmarkEnd w:id="8665"/>
    </w:p>
    <w:p>
      <w:pPr>
        <w:pStyle w:val="BookText"/>
      </w:pPr>
      <w:r>
        <w:rPr>
          <w:rFonts w:ascii="IRNazanin" w:hAnsi="IRNazanin" w:eastAsia="IRNazanin" w:cs="IRNazanin"/>
          <w:lang w:bidi="fa-IR"/>
          <w:color w:val="111111"/>
          <w:sz w:val="28"/>
          <w:szCs w:val="28"/>
          <w:rtl/>
        </w:rPr>
        <w:t xml:space="preserve">مر بعنوان محمد إمامی.</w:t>
      </w:r>
    </w:p>
    <w:p>
      <w:pPr>
        <w:pStyle w:val="Heading3"/>
      </w:pPr>
      <w:bookmarkStart w:id="8666" w:name="_Toc7362"/>
      <w:r>
        <w:t>6534- دیوان محمد خان قبیچانی أو شعره‏</w:t>
      </w:r>
      <w:bookmarkEnd w:id="8666"/>
    </w:p>
    <w:p>
      <w:pPr>
        <w:pStyle w:val="BookText"/>
      </w:pPr>
      <w:r>
        <w:rPr>
          <w:rFonts w:ascii="IRNazanin" w:hAnsi="IRNazanin" w:eastAsia="IRNazanin" w:cs="IRNazanin"/>
          <w:lang w:bidi="fa-IR"/>
          <w:color w:val="111111"/>
          <w:sz w:val="28"/>
          <w:szCs w:val="28"/>
          <w:rtl/>
        </w:rPr>
        <w:t xml:space="preserve">هو ابن حسین بیگ. ترجمه معاصره النصرآبادی فی (نر 2- ص 22) و ذکر أنه کان من المقربین عند السلطان و علا قدره حتی صار صدرا له بعد وفاة النواب خلیفة سلطان، و الحال هو فی إیالة أسترآباد و سمنان و غیرهما. ثم ذکر عدة من أبیاته.</w:t>
      </w:r>
    </w:p>
    <w:p>
      <w:pPr>
        <w:pStyle w:val="Heading3"/>
      </w:pPr>
      <w:bookmarkStart w:id="8667" w:name="_Toc7363"/>
      <w:r>
        <w:t>دیوان محمد قزوینی‏</w:t>
      </w:r>
      <w:bookmarkEnd w:id="8667"/>
    </w:p>
    <w:p>
      <w:pPr>
        <w:pStyle w:val="BookText"/>
      </w:pPr>
      <w:r>
        <w:rPr>
          <w:rFonts w:ascii="IRNazanin" w:hAnsi="IRNazanin" w:eastAsia="IRNazanin" w:cs="IRNazanin"/>
          <w:lang w:bidi="fa-IR"/>
          <w:color w:val="111111"/>
          <w:sz w:val="28"/>
          <w:szCs w:val="28"/>
          <w:rtl/>
        </w:rPr>
        <w:t xml:space="preserve">المذکور فی ص 262 و هو الحکیم الشاه محمد بن مبارک القزوینی المتوفی 966 کما أرخه کشف الظنون ج 1 ص 175 و قد ترجمه فی الشقائق النعمانیة فی هامش ص 371 و أورد جملة من تصانیفه، و لم یذکر ترجمته لکتاب مجالس النفائس لکن فی کشف الظنون ج 2 ص 378 عند ذکر مجالس النفائس تألیف الأمیر علی شیر، قال: ترجمه شاه محمد بن مبارک القزوینی الحکیم بالترکیة و هو اشتباه منه فإن أصل المجالس ترکی، و هو ترجمه بالفارسیة و فرغ من الترجمة 929 و أدرج فیه بعض ما نظمه من الشعر، منها ما ذکره فی (قز مج 3- ص 251) من تتبعه لمطلع ملا زیرک بأمر السلطان سلیم فی 924 و منها ما نظمه فی تاریخ فراغه بتاریخ 929:</w:t>
      </w:r>
    </w:p>
    <w:p>
      <w:pPr>
        <w:pStyle w:val="BookText"/>
      </w:pPr>
      <w:r>
        <w:rPr>
          <w:rFonts w:ascii="IRNazanin" w:hAnsi="IRNazanin" w:eastAsia="IRNazanin" w:cs="IRNazanin"/>
          <w:lang w:bidi="fa-IR"/>
          <w:color w:val="111111"/>
          <w:sz w:val="28"/>
          <w:szCs w:val="28"/>
          <w:rtl/>
        </w:rPr>
        <w:t xml:space="preserve">به سالی که باشد حسابش‏</w:t>
      </w:r>
    </w:p>
    <w:p>
      <w:pPr>
        <w:pStyle w:val="BookText"/>
      </w:pPr>
      <w:r>
        <w:rPr>
          <w:rFonts w:ascii="IRNazanin" w:hAnsi="IRNazanin" w:eastAsia="IRNazanin" w:cs="IRNazanin"/>
          <w:lang w:bidi="fa-IR"/>
          <w:color w:val="111111"/>
          <w:sz w:val="28"/>
          <w:szCs w:val="28"/>
          <w:rtl/>
        </w:rPr>
        <w:t xml:space="preserve">به گوش ملائک نهم عقد گوهر</w:t>
      </w:r>
    </w:p>
    <w:p>
      <w:pPr>
        <w:pStyle w:val="Heading3"/>
      </w:pPr>
      <w:bookmarkStart w:id="8668" w:name="_Toc7364"/>
      <w:r>
        <w:t>6535- دیوان السید محمد القطیفی‏</w:t>
      </w:r>
      <w:bookmarkEnd w:id="8668"/>
    </w:p>
    <w:p>
      <w:pPr>
        <w:pStyle w:val="BookText"/>
      </w:pPr>
      <w:r>
        <w:rPr>
          <w:rFonts w:ascii="IRNazanin" w:hAnsi="IRNazanin" w:eastAsia="IRNazanin" w:cs="IRNazanin"/>
          <w:lang w:bidi="fa-IR"/>
          <w:color w:val="111111"/>
          <w:sz w:val="28"/>
          <w:szCs w:val="28"/>
          <w:rtl/>
        </w:rPr>
        <w:t xml:space="preserve">فی المراثی لسید الشهداء. رأیت بعضه المنقول فی بعض المجامیع.</w:t>
      </w:r>
    </w:p>
    <w:p>
      <w:pPr>
        <w:pStyle w:val="Heading3"/>
      </w:pPr>
      <w:bookmarkStart w:id="8669" w:name="_Toc7365"/>
      <w:r>
        <w:t>دیوان محمد قلی‏</w:t>
      </w:r>
      <w:bookmarkEnd w:id="8669"/>
    </w:p>
    <w:p>
      <w:pPr>
        <w:pStyle w:val="BookText"/>
      </w:pPr>
      <w:r>
        <w:rPr>
          <w:rFonts w:ascii="IRNazanin" w:hAnsi="IRNazanin" w:eastAsia="IRNazanin" w:cs="IRNazanin"/>
          <w:lang w:bidi="fa-IR"/>
          <w:color w:val="111111"/>
          <w:sz w:val="28"/>
          <w:szCs w:val="28"/>
          <w:rtl/>
        </w:rPr>
        <w:t xml:space="preserve">الطهرانی المتخلص بسلیم کما مر، و الهندی المتخلص آصف مر
</w:t>
      </w:r>
    </w:p>
    <w:p>
      <w:pPr>
        <w:sectPr>
          <w:footerReference w:type="default" r:id="rId1011"/>
          <w:footnotePr>
            <w:numStart w:val="1"/>
            <w:numRestart w:val="eachPage"/>
          </w:footnotePr>
          <w:pgSz w:orient="portrait" w:w="11905.511811023622" w:h="16837.79527559055"/>
          <w:pgMar w:top="1440" w:right="1440" w:bottom="1440" w:left="1440" w:header="720" w:footer="720" w:gutter="0"/>
          <w:cols w:num="1" w:space="720"/>
        </w:sectPr>
      </w:pPr>
    </w:p>
    <w:bookmarkStart w:id="993" w:name="pg11704_122479"/>
    <w:bookmarkEnd w:id="993"/>
    <w:p>
      <w:pPr>
        <w:pStyle w:val="BookText"/>
      </w:pPr>
      <w:r>
        <w:rPr>
          <w:rFonts w:ascii="IRNazanin" w:hAnsi="IRNazanin" w:eastAsia="IRNazanin" w:cs="IRNazanin"/>
          <w:lang w:bidi="fa-IR"/>
          <w:color w:val="111111"/>
          <w:sz w:val="28"/>
          <w:szCs w:val="28"/>
          <w:rtl/>
        </w:rPr>
        <w:t xml:space="preserve">أیضا. و ترجم فی (نتایج- ص 49).</w:t>
      </w:r>
    </w:p>
    <w:p>
      <w:pPr>
        <w:pStyle w:val="Heading3"/>
      </w:pPr>
      <w:bookmarkStart w:id="8670" w:name="_Toc7366"/>
      <w:r>
        <w:t>6536- دیوان محمد قلی خان الکازرونی أو شعره‏</w:t>
      </w:r>
      <w:bookmarkEnd w:id="8670"/>
    </w:p>
    <w:p>
      <w:pPr>
        <w:pStyle w:val="BookText"/>
      </w:pPr>
      <w:r>
        <w:rPr>
          <w:rFonts w:ascii="IRNazanin" w:hAnsi="IRNazanin" w:eastAsia="IRNazanin" w:cs="IRNazanin"/>
          <w:lang w:bidi="fa-IR"/>
          <w:color w:val="111111"/>
          <w:sz w:val="28"/>
          <w:szCs w:val="28"/>
          <w:rtl/>
        </w:rPr>
        <w:t xml:space="preserve">ترجمه معاصره فی (مع 2- ص 452) و قال إنه نسب إلی نفسه غزل یک و دو [</w:t>
      </w:r>
    </w:p>
    <w:p>
      <w:pPr>
        <w:pStyle w:val="BookText"/>
      </w:pPr>
      <w:r>
        <w:rPr>
          <w:rFonts w:ascii="IRNazanin" w:hAnsi="IRNazanin" w:eastAsia="IRNazanin" w:cs="IRNazanin"/>
          <w:lang w:bidi="fa-IR"/>
          <w:color w:val="111111"/>
          <w:sz w:val="28"/>
          <w:szCs w:val="28"/>
          <w:rtl/>
        </w:rPr>
        <w:t xml:space="preserve">خال به کنج لب یکی‏</w:t>
      </w:r>
    </w:p>
    <w:p>
      <w:pPr>
        <w:pStyle w:val="BookText"/>
      </w:pPr>
      <w:r>
        <w:rPr>
          <w:rFonts w:ascii="IRNazanin" w:hAnsi="IRNazanin" w:eastAsia="IRNazanin" w:cs="IRNazanin"/>
          <w:lang w:bidi="fa-IR"/>
          <w:color w:val="111111"/>
          <w:sz w:val="28"/>
          <w:szCs w:val="28"/>
          <w:rtl/>
        </w:rPr>
        <w:t xml:space="preserve">، طره مشک‏فام دو ...</w:t>
      </w:r>
    </w:p>
    <w:p>
      <w:pPr>
        <w:pStyle w:val="BookText"/>
      </w:pPr>
      <w:r>
        <w:rPr>
          <w:rFonts w:ascii="IRNazanin" w:hAnsi="IRNazanin" w:eastAsia="IRNazanin" w:cs="IRNazanin"/>
          <w:lang w:bidi="fa-IR"/>
          <w:color w:val="111111"/>
          <w:sz w:val="28"/>
          <w:szCs w:val="28"/>
          <w:rtl/>
        </w:rPr>
        <w:t xml:space="preserve">] أقول: ذکرنا فی ص 96 إن ناظم هذا الغزل أم هانی الیزدیة کما ذکر آیتی فی (تش یز: ص 275).</w:t>
      </w:r>
    </w:p>
    <w:p>
      <w:pPr>
        <w:pStyle w:val="Heading3"/>
      </w:pPr>
      <w:bookmarkStart w:id="8671" w:name="_Toc7367"/>
      <w:r>
        <w:t>6537- دیوان شاه محمد قورچی أو شعره‏</w:t>
      </w:r>
      <w:bookmarkEnd w:id="8671"/>
    </w:p>
    <w:p>
      <w:pPr>
        <w:pStyle w:val="BookText"/>
      </w:pPr>
      <w:r>
        <w:rPr>
          <w:rFonts w:ascii="IRNazanin" w:hAnsi="IRNazanin" w:eastAsia="IRNazanin" w:cs="IRNazanin"/>
          <w:lang w:bidi="fa-IR"/>
          <w:color w:val="111111"/>
          <w:sz w:val="28"/>
          <w:szCs w:val="28"/>
          <w:rtl/>
        </w:rPr>
        <w:t xml:space="preserve">و هو الشاعر بالفارسیة و الترکیة. ترجمه فی (مجتس 6- ص 167) و أورد شعره الفارسی.</w:t>
      </w:r>
    </w:p>
    <w:p>
      <w:pPr>
        <w:pStyle w:val="Heading3"/>
      </w:pPr>
      <w:bookmarkStart w:id="8672" w:name="_Toc7368"/>
      <w:r>
        <w:t>6538- دیوان ملا محمد کاشی أو شعره‏</w:t>
      </w:r>
      <w:bookmarkEnd w:id="8672"/>
    </w:p>
    <w:p>
      <w:pPr>
        <w:pStyle w:val="BookText"/>
      </w:pPr>
      <w:r>
        <w:rPr>
          <w:rFonts w:ascii="IRNazanin" w:hAnsi="IRNazanin" w:eastAsia="IRNazanin" w:cs="IRNazanin"/>
          <w:lang w:bidi="fa-IR"/>
          <w:color w:val="111111"/>
          <w:sz w:val="28"/>
          <w:szCs w:val="28"/>
          <w:rtl/>
        </w:rPr>
        <w:t xml:space="preserve">و هو مؤلف أخلاق شاهی المذکور فی ج 11 ص 44.</w:t>
      </w:r>
    </w:p>
    <w:p>
      <w:pPr>
        <w:pStyle w:val="Heading3"/>
      </w:pPr>
      <w:bookmarkStart w:id="8673" w:name="_Toc7369"/>
      <w:r>
        <w:t>دیوان محمد کاکی‏</w:t>
      </w:r>
      <w:bookmarkEnd w:id="8673"/>
    </w:p>
    <w:p>
      <w:pPr>
        <w:pStyle w:val="BookText"/>
      </w:pPr>
      <w:r>
        <w:rPr>
          <w:rFonts w:ascii="IRNazanin" w:hAnsi="IRNazanin" w:eastAsia="IRNazanin" w:cs="IRNazanin"/>
          <w:lang w:bidi="fa-IR"/>
          <w:color w:val="111111"/>
          <w:sz w:val="28"/>
          <w:szCs w:val="28"/>
          <w:rtl/>
        </w:rPr>
        <w:t xml:space="preserve">طبع له مثنوی می و رنگ بکانپور. و مر فی ص 883 بعنوان قطب الدین.</w:t>
      </w:r>
    </w:p>
    <w:p>
      <w:pPr>
        <w:pStyle w:val="Heading3"/>
      </w:pPr>
      <w:bookmarkStart w:id="8674" w:name="_Toc7370"/>
      <w:r>
        <w:t>6539- دیوان شاه محمد کتاب دار أو شعره‏</w:t>
      </w:r>
      <w:bookmarkEnd w:id="8674"/>
    </w:p>
    <w:p>
      <w:pPr>
        <w:pStyle w:val="BookText"/>
      </w:pPr>
      <w:r>
        <w:rPr>
          <w:rFonts w:ascii="IRNazanin" w:hAnsi="IRNazanin" w:eastAsia="IRNazanin" w:cs="IRNazanin"/>
          <w:lang w:bidi="fa-IR"/>
          <w:color w:val="111111"/>
          <w:sz w:val="28"/>
          <w:szCs w:val="28"/>
          <w:rtl/>
        </w:rPr>
        <w:t xml:space="preserve">کان کتاب دار للسلطان بابر شاه ترجمه فی (مجتس 6- ص 167) و أورد مطلع غزله.</w:t>
      </w:r>
    </w:p>
    <w:p>
      <w:pPr>
        <w:pStyle w:val="Heading3"/>
      </w:pPr>
      <w:bookmarkStart w:id="8675" w:name="_Toc7371"/>
      <w:r>
        <w:t>6540- دیوان محمد کتف أندجانی أو شعره‏</w:t>
      </w:r>
      <w:bookmarkEnd w:id="8675"/>
    </w:p>
    <w:p>
      <w:pPr>
        <w:pStyle w:val="BookText"/>
      </w:pPr>
      <w:r>
        <w:rPr>
          <w:rFonts w:ascii="IRNazanin" w:hAnsi="IRNazanin" w:eastAsia="IRNazanin" w:cs="IRNazanin"/>
          <w:lang w:bidi="fa-IR"/>
          <w:color w:val="111111"/>
          <w:sz w:val="28"/>
          <w:szCs w:val="28"/>
          <w:rtl/>
        </w:rPr>
        <w:t xml:space="preserve">ترجمه فی (بهش 2- ص 381) و قال إنه من التجار و أورد شعره.</w:t>
      </w:r>
    </w:p>
    <w:p>
      <w:pPr>
        <w:pStyle w:val="Heading3"/>
      </w:pPr>
      <w:bookmarkStart w:id="8676" w:name="_Toc7372"/>
      <w:r>
        <w:t>دیوان محمد کرمانی‏</w:t>
      </w:r>
      <w:bookmarkEnd w:id="8676"/>
    </w:p>
    <w:p>
      <w:pPr>
        <w:pStyle w:val="BookText"/>
      </w:pPr>
      <w:r>
        <w:rPr>
          <w:rFonts w:ascii="IRNazanin" w:hAnsi="IRNazanin" w:eastAsia="IRNazanin" w:cs="IRNazanin"/>
          <w:lang w:bidi="fa-IR"/>
          <w:color w:val="111111"/>
          <w:sz w:val="28"/>
          <w:szCs w:val="28"/>
          <w:rtl/>
        </w:rPr>
        <w:t xml:space="preserve">راجع کریم خان فی ص 909. و عنایتی کرمانی فی ص 772.</w:t>
      </w:r>
    </w:p>
    <w:p>
      <w:pPr>
        <w:pStyle w:val="Heading3"/>
      </w:pPr>
      <w:bookmarkStart w:id="8677" w:name="_Toc7373"/>
      <w:r>
        <w:t>6541- دیوان محمد کسکنی سبزواری أو شعره‏</w:t>
      </w:r>
      <w:bookmarkEnd w:id="8677"/>
    </w:p>
    <w:p>
      <w:pPr>
        <w:pStyle w:val="BookText"/>
      </w:pPr>
      <w:r>
        <w:rPr>
          <w:rFonts w:ascii="IRNazanin" w:hAnsi="IRNazanin" w:eastAsia="IRNazanin" w:cs="IRNazanin"/>
          <w:lang w:bidi="fa-IR"/>
          <w:color w:val="111111"/>
          <w:sz w:val="28"/>
          <w:szCs w:val="28"/>
          <w:rtl/>
        </w:rPr>
        <w:t xml:space="preserve">کان من الشجعان بها. ترجمه الصادقی فی (خص 6- ص 81) و أورد مطلعین من شعره. و قطعة فی قتل الخواجة أحمد الجامی و المیر حسین التبادکانی، بسؤال عن القاضی فی جام.</w:t>
      </w:r>
    </w:p>
    <w:p>
      <w:pPr>
        <w:pStyle w:val="Heading3"/>
      </w:pPr>
      <w:bookmarkStart w:id="8678" w:name="_Toc7374"/>
      <w:r>
        <w:t>6542- دیوان محمد کشمیری أو شعره‏</w:t>
      </w:r>
      <w:bookmarkEnd w:id="8678"/>
    </w:p>
    <w:p>
      <w:pPr>
        <w:pStyle w:val="BookText"/>
      </w:pPr>
      <w:r>
        <w:rPr>
          <w:rFonts w:ascii="IRNazanin" w:hAnsi="IRNazanin" w:eastAsia="IRNazanin" w:cs="IRNazanin"/>
          <w:lang w:bidi="fa-IR"/>
          <w:color w:val="111111"/>
          <w:sz w:val="28"/>
          <w:szCs w:val="28"/>
          <w:rtl/>
        </w:rPr>
        <w:t xml:space="preserve">کان نزیل أصفهان و توفی بها 1083 ترجمه النصرآبادی فی (نر 6- ص 170) و قال إنه من فحول الفضلاء و أورد رباعیة له.</w:t>
      </w:r>
    </w:p>
    <w:p>
      <w:pPr>
        <w:pStyle w:val="Heading3"/>
      </w:pPr>
      <w:bookmarkStart w:id="8679" w:name="_Toc7375"/>
      <w:r>
        <w:t>دیوان محمد کوزه‏کنانی‏</w:t>
      </w:r>
      <w:bookmarkEnd w:id="8679"/>
    </w:p>
    <w:p>
      <w:pPr>
        <w:pStyle w:val="BookText"/>
      </w:pPr>
      <w:r>
        <w:rPr>
          <w:rFonts w:ascii="IRNazanin" w:hAnsi="IRNazanin" w:eastAsia="IRNazanin" w:cs="IRNazanin"/>
          <w:lang w:bidi="fa-IR"/>
          <w:color w:val="111111"/>
          <w:sz w:val="28"/>
          <w:szCs w:val="28"/>
          <w:rtl/>
        </w:rPr>
        <w:t xml:space="preserve">مر بعنوان رحمت الأصفهانی فی ص 356.</w:t>
      </w:r>
    </w:p>
    <w:p>
      <w:pPr>
        <w:pStyle w:val="Heading3"/>
      </w:pPr>
      <w:bookmarkStart w:id="8680" w:name="_Toc7376"/>
      <w:r>
        <w:t>دیوان محمد گیلانی گرجی‏</w:t>
      </w:r>
      <w:bookmarkEnd w:id="8680"/>
    </w:p>
    <w:p>
      <w:pPr>
        <w:pStyle w:val="BookText"/>
      </w:pPr>
      <w:r>
        <w:rPr>
          <w:rFonts w:ascii="IRNazanin" w:hAnsi="IRNazanin" w:eastAsia="IRNazanin" w:cs="IRNazanin"/>
          <w:lang w:bidi="fa-IR"/>
          <w:color w:val="111111"/>
          <w:sz w:val="28"/>
          <w:szCs w:val="28"/>
          <w:rtl/>
        </w:rPr>
        <w:t xml:space="preserve">المذکور بتخلصه حاجی فی ص 219. ترجمه الحزین فی تذکرته ص 60.</w:t>
      </w:r>
    </w:p>
    <w:p>
      <w:pPr>
        <w:pStyle w:val="Heading3"/>
      </w:pPr>
      <w:bookmarkStart w:id="8681" w:name="_Toc7377"/>
      <w:r>
        <w:t>دیوان محمد لاهیجی‏</w:t>
      </w:r>
      <w:bookmarkEnd w:id="8681"/>
    </w:p>
    <w:p>
      <w:pPr>
        <w:pStyle w:val="BookText"/>
      </w:pPr>
      <w:r>
        <w:rPr>
          <w:rFonts w:ascii="IRNazanin" w:hAnsi="IRNazanin" w:eastAsia="IRNazanin" w:cs="IRNazanin"/>
          <w:lang w:bidi="fa-IR"/>
          <w:color w:val="111111"/>
          <w:sz w:val="28"/>
          <w:szCs w:val="28"/>
          <w:rtl/>
        </w:rPr>
        <w:t xml:space="preserve">هو ابن یحیی بن علی الگیلانی. راجع محمد نوربخشی.
</w:t>
      </w:r>
    </w:p>
    <w:p>
      <w:pPr>
        <w:sectPr>
          <w:footerReference w:type="default" r:id="rId1012"/>
          <w:footnotePr>
            <w:numStart w:val="1"/>
            <w:numRestart w:val="eachPage"/>
          </w:footnotePr>
          <w:pgSz w:orient="portrait" w:w="11905.511811023622" w:h="16837.79527559055"/>
          <w:pgMar w:top="1440" w:right="1440" w:bottom="1440" w:left="1440" w:header="720" w:footer="720" w:gutter="0"/>
          <w:cols w:num="1" w:space="720"/>
        </w:sectPr>
      </w:pPr>
    </w:p>
    <w:bookmarkStart w:id="994" w:name="pg11704_122480"/>
    <w:bookmarkEnd w:id="994"/>
    <w:p>
      <w:pPr>
        <w:pStyle w:val="Heading3"/>
      </w:pPr>
      <w:bookmarkStart w:id="8682" w:name="_Toc7378"/>
      <w:r>
        <w:t>دیوان محمد مجلد</w:t>
      </w:r>
      <w:bookmarkEnd w:id="8682"/>
    </w:p>
    <w:p>
      <w:pPr>
        <w:pStyle w:val="BookText"/>
      </w:pPr>
      <w:r>
        <w:rPr>
          <w:rFonts w:ascii="IRNazanin" w:hAnsi="IRNazanin" w:eastAsia="IRNazanin" w:cs="IRNazanin"/>
          <w:lang w:bidi="fa-IR"/>
          <w:color w:val="111111"/>
          <w:sz w:val="28"/>
          <w:szCs w:val="28"/>
          <w:rtl/>
        </w:rPr>
        <w:t xml:space="preserve">ترجمه کذلک فی (مجن 2 ص 46 و 219) و فی بعض نسخها أحمد بدل محمد. و قال إنه یمیل کثیرا إلی المعمی، و أورد إحدی معمیاته. و مر فی ص 966. هذا و قد یذکر مجلدی و یراد مخلدی الآتی.</w:t>
      </w:r>
    </w:p>
    <w:p>
      <w:pPr>
        <w:pStyle w:val="Heading3"/>
      </w:pPr>
      <w:bookmarkStart w:id="8683" w:name="_Toc7379"/>
      <w:r>
        <w:t>دیوان محمد محسن رشتی أصفهانی‏</w:t>
      </w:r>
      <w:bookmarkEnd w:id="8683"/>
    </w:p>
    <w:p>
      <w:pPr>
        <w:pStyle w:val="BookText"/>
      </w:pPr>
      <w:r>
        <w:rPr>
          <w:rFonts w:ascii="IRNazanin" w:hAnsi="IRNazanin" w:eastAsia="IRNazanin" w:cs="IRNazanin"/>
          <w:lang w:bidi="fa-IR"/>
          <w:color w:val="111111"/>
          <w:sz w:val="28"/>
          <w:szCs w:val="28"/>
          <w:rtl/>
        </w:rPr>
        <w:t xml:space="preserve">المتخلص عاصی و هو ابن محمد رفیع الرشتی. ذکرناه فی ص 6731 و رأیت له عند (فخر الدین) غزوة خیبر نظما.</w:t>
      </w:r>
    </w:p>
    <w:p>
      <w:pPr>
        <w:pStyle w:val="BookText"/>
      </w:pPr>
      <w:r>
        <w:rPr>
          <w:rFonts w:ascii="IRNazanin" w:hAnsi="IRNazanin" w:eastAsia="IRNazanin" w:cs="IRNazanin"/>
          <w:lang w:bidi="fa-IR"/>
          <w:color w:val="111111"/>
          <w:sz w:val="28"/>
          <w:szCs w:val="28"/>
          <w:rtl/>
        </w:rPr>
        <w:t xml:space="preserve">أوله:</w:t>
      </w:r>
    </w:p>
    <w:p>
      <w:pPr>
        <w:pStyle w:val="BookText"/>
      </w:pPr>
      <w:r>
        <w:rPr>
          <w:rFonts w:ascii="IRNazanin" w:hAnsi="IRNazanin" w:eastAsia="IRNazanin" w:cs="IRNazanin"/>
          <w:lang w:bidi="fa-IR"/>
          <w:color w:val="111111"/>
          <w:sz w:val="28"/>
          <w:szCs w:val="28"/>
          <w:rtl/>
        </w:rPr>
        <w:t xml:space="preserve">الهی بگویم مرا باک نیست‏</w:t>
      </w:r>
    </w:p>
    <w:p>
      <w:pPr>
        <w:pStyle w:val="BookText"/>
      </w:pPr>
      <w:r>
        <w:rPr>
          <w:rFonts w:ascii="IRNazanin" w:hAnsi="IRNazanin" w:eastAsia="IRNazanin" w:cs="IRNazanin"/>
          <w:lang w:bidi="fa-IR"/>
          <w:color w:val="111111"/>
          <w:sz w:val="28"/>
          <w:szCs w:val="28"/>
          <w:rtl/>
        </w:rPr>
        <w:t xml:space="preserve">تو دانی مرا فهم و ادراک نیست‏</w:t>
      </w:r>
    </w:p>
    <w:p>
      <w:pPr>
        <w:pStyle w:val="BookText"/>
      </w:pPr>
      <w:r>
        <w:rPr>
          <w:rFonts w:ascii="IRNazanin" w:hAnsi="IRNazanin" w:eastAsia="IRNazanin" w:cs="IRNazanin"/>
          <w:lang w:bidi="fa-IR"/>
          <w:color w:val="111111"/>
          <w:sz w:val="28"/>
          <w:szCs w:val="28"/>
          <w:rtl/>
        </w:rPr>
        <w:t xml:space="preserve">و کتاب وقایع الصفین الذی هو الجزء الثالث من کتابه نظم المجالس و فی أوله ذکر فهرسا مختصرا لمؤلفاته و أحال التفصیل إلی مقدمه کتابه الآخر روضة حسینیة.</w:t>
      </w:r>
    </w:p>
    <w:p>
      <w:pPr>
        <w:pStyle w:val="BookText"/>
      </w:pPr>
      <w:r>
        <w:rPr>
          <w:rFonts w:ascii="IRNazanin" w:hAnsi="IRNazanin" w:eastAsia="IRNazanin" w:cs="IRNazanin"/>
          <w:lang w:bidi="fa-IR"/>
          <w:color w:val="111111"/>
          <w:sz w:val="28"/>
          <w:szCs w:val="28"/>
          <w:rtl/>
        </w:rPr>
        <w:t xml:space="preserve">و هذا ما ذکره من الأسماء: درج الدرائج و رضوان الآمال و بروق اللوامع و وسیلة المراد و إیقاظات و کشائف الأسرار و ینابیع الدر و کشف الحجب و بحر الحکم و مرجع الضمائر فی مجلدین، و مجمع المعانی و أنیس الصالحین و مجمع الأذکار و أربعین و ریاض الأرواض و روض الریاض و خلاصة الخلاصة و جنات عدن و کشف المقال و درر الأقوال و تحفه الأخیار و بستان الجعفریة و تبیان الأصول و بحر المصائب و قواعد و فوائد و مفاتیح النجاة و رسائل الرسائل و درة مضیئة و قوانین المصائب و نظم المجالس فی عدة مجلدات و بدیهیات و بحر المآرب و ذریعة الوداد و قبلة الآفاق و نسج النسوج و وریقات الأنیقات و تحفه الأیادی و بحر الآمال و کنز الأحباب و جنة الأمان و بحر الإمکان و مراجع الضمائر و سفینة النجاة و إجابة المحب و ملتمس المحبوب و سبیل السبل و روضة حسینیة ذکر فی مقدمته فهرسا مفصلا عن کتبه و جامع المسائل و هدیة الإخوان و متروک الأنظار و عوالم العوالم و ضیاء الذاکرین و جامع المصائب فی مجلدین و لوائح الطرائح و منهاج الدین فی أصول الدین و کنز الأحزان و مرآة الشریعة فی أحکام الشریعة و أنیس العباد و مرآة المسائل.</w:t>
      </w:r>
      <w:r>
        <w:rPr>
          <w:rStyle w:val="FootnoteReference"/>
        </w:rPr>
        <w:footnoteReference w:id="84"/>
      </w:r>
    </w:p>
    <w:p>
      <w:pPr>
        <w:sectPr>
          <w:footerReference w:type="default" r:id="rId1013"/>
          <w:footnotePr>
            <w:numStart w:val="1"/>
            <w:numRestart w:val="eachPage"/>
          </w:footnotePr>
          <w:pgSz w:orient="portrait" w:w="11905.511811023622" w:h="16837.79527559055"/>
          <w:pgMar w:top="1440" w:right="1440" w:bottom="1440" w:left="1440" w:header="720" w:footer="720" w:gutter="0"/>
          <w:cols w:num="1" w:space="720"/>
        </w:sectPr>
      </w:pPr>
    </w:p>
    <w:bookmarkStart w:id="995" w:name="pg11704_122481"/>
    <w:bookmarkEnd w:id="995"/>
    <w:p>
      <w:pPr>
        <w:pStyle w:val="Heading3"/>
      </w:pPr>
      <w:bookmarkStart w:id="8684" w:name="_Toc7380"/>
      <w:r>
        <w:t>6543- دیوان محمد مذهب کرمانی أو شعره‏</w:t>
      </w:r>
      <w:bookmarkEnd w:id="8684"/>
    </w:p>
    <w:p>
      <w:pPr>
        <w:pStyle w:val="BookText"/>
      </w:pPr>
      <w:r>
        <w:rPr>
          <w:rFonts w:ascii="IRNazanin" w:hAnsi="IRNazanin" w:eastAsia="IRNazanin" w:cs="IRNazanin"/>
          <w:lang w:bidi="fa-IR"/>
          <w:color w:val="111111"/>
          <w:sz w:val="28"/>
          <w:szCs w:val="28"/>
          <w:rtl/>
        </w:rPr>
        <w:t xml:space="preserve">الشهیر بحسن الصورة و حسن الخط و التذهیب و حسن الشعر. ترجمه فی (بهش 2- ص 400) و أورد شعره. قال إنه توفی هو فی شبابه و أبوه و أخوه الذی هو مثله فی إسلامبول بمرض الطاعون فیما بین عشرة أیام.</w:t>
      </w:r>
    </w:p>
    <w:p>
      <w:pPr>
        <w:pStyle w:val="Heading3"/>
      </w:pPr>
      <w:bookmarkStart w:id="8685" w:name="_Toc7381"/>
      <w:r>
        <w:t>دیوان محمد مذهب‏</w:t>
      </w:r>
      <w:bookmarkEnd w:id="8685"/>
    </w:p>
    <w:p>
      <w:pPr>
        <w:pStyle w:val="BookText"/>
      </w:pPr>
      <w:r>
        <w:rPr>
          <w:rFonts w:ascii="IRNazanin" w:hAnsi="IRNazanin" w:eastAsia="IRNazanin" w:cs="IRNazanin"/>
          <w:lang w:bidi="fa-IR"/>
          <w:color w:val="111111"/>
          <w:sz w:val="28"/>
          <w:szCs w:val="28"/>
          <w:rtl/>
        </w:rPr>
        <w:t xml:space="preserve">له المعمی باسم جلیل فی رباعیة ذکرها النصرآبادی فی (نر 15- ص 544) و لعله الشاب المتوفی بالطاعون المذکور قبل هذا.</w:t>
      </w:r>
    </w:p>
    <w:p>
      <w:pPr>
        <w:pStyle w:val="Heading3"/>
      </w:pPr>
      <w:bookmarkStart w:id="8686" w:name="_Toc7382"/>
      <w:r>
        <w:t>6544- دیوان میر محمد مشهدی أو شعره‏</w:t>
      </w:r>
      <w:bookmarkEnd w:id="8686"/>
    </w:p>
    <w:p>
      <w:pPr>
        <w:pStyle w:val="BookText"/>
      </w:pPr>
      <w:r>
        <w:rPr>
          <w:rFonts w:ascii="IRNazanin" w:hAnsi="IRNazanin" w:eastAsia="IRNazanin" w:cs="IRNazanin"/>
          <w:lang w:bidi="fa-IR"/>
          <w:color w:val="111111"/>
          <w:sz w:val="28"/>
          <w:szCs w:val="28"/>
          <w:rtl/>
        </w:rPr>
        <w:t xml:space="preserve">کان نزیل أصفهان. ترجمه النصرآبادی فی (نر 8- ص 210) و ذکر أن والده الشیخ محمد علی کان صوفیا و جعل ولده نائبا له و توفی، و أورد شعر ولده المیر محمد المشهدی.</w:t>
      </w:r>
    </w:p>
    <w:p>
      <w:pPr>
        <w:pStyle w:val="Heading3"/>
      </w:pPr>
      <w:bookmarkStart w:id="8687" w:name="_Toc7383"/>
      <w:r>
        <w:t>6545- دیوان الشیخ محمد مطر</w:t>
      </w:r>
      <w:bookmarkEnd w:id="8687"/>
    </w:p>
    <w:p>
      <w:pPr>
        <w:pStyle w:val="BookText"/>
      </w:pPr>
      <w:r>
        <w:rPr>
          <w:rFonts w:ascii="IRNazanin" w:hAnsi="IRNazanin" w:eastAsia="IRNazanin" w:cs="IRNazanin"/>
          <w:lang w:bidi="fa-IR"/>
          <w:color w:val="111111"/>
          <w:sz w:val="28"/>
          <w:szCs w:val="28"/>
          <w:rtl/>
        </w:rPr>
        <w:t xml:space="preserve">فی مراثی الحسین رأیت المنقول منه فی بعض المجامیع.</w:t>
      </w:r>
    </w:p>
    <w:p>
      <w:pPr>
        <w:pStyle w:val="Heading3"/>
      </w:pPr>
      <w:bookmarkStart w:id="8688" w:name="_Toc7384"/>
      <w:r>
        <w:t>6546- دیوان محمد معمایی أو شعره‏</w:t>
      </w:r>
      <w:bookmarkEnd w:id="8688"/>
    </w:p>
    <w:p>
      <w:pPr>
        <w:pStyle w:val="BookText"/>
      </w:pPr>
      <w:r>
        <w:rPr>
          <w:rFonts w:ascii="IRNazanin" w:hAnsi="IRNazanin" w:eastAsia="IRNazanin" w:cs="IRNazanin"/>
          <w:lang w:bidi="fa-IR"/>
          <w:color w:val="111111"/>
          <w:sz w:val="28"/>
          <w:szCs w:val="28"/>
          <w:rtl/>
        </w:rPr>
        <w:t xml:space="preserve">هروی دفن بها. ترجمه فی (مجن 2- ص 34 و 207) و ذکر أنه لم یجمع تصانیف الأمیر خسرو و أشعاره و رسائله أحد مثله و کان مشهورا فی المعمی، و یقال له پیر معمایی و أورد له معما باسم یوسف.</w:t>
      </w:r>
    </w:p>
    <w:p>
      <w:pPr>
        <w:pStyle w:val="Heading3"/>
      </w:pPr>
      <w:bookmarkStart w:id="8689" w:name="_Toc7385"/>
      <w:r>
        <w:t>6547- دیوان محمد معمایی أو شعره‏</w:t>
      </w:r>
      <w:bookmarkEnd w:id="8689"/>
    </w:p>
    <w:p>
      <w:pPr>
        <w:pStyle w:val="BookText"/>
      </w:pPr>
      <w:r>
        <w:rPr>
          <w:rFonts w:ascii="IRNazanin" w:hAnsi="IRNazanin" w:eastAsia="IRNazanin" w:cs="IRNazanin"/>
          <w:lang w:bidi="fa-IR"/>
          <w:color w:val="111111"/>
          <w:sz w:val="28"/>
          <w:szCs w:val="28"/>
          <w:rtl/>
        </w:rPr>
        <w:t xml:space="preserve">ترجمه و أورد شعره فی (مجن 2- ص 37 و 211) و قال کان صدرا فی زمان بابر میرزا و سافر مع کیجیک میرزا إلی الحج و وصفه بأنه رجل لطیف ظریف سنی المذهب مؤدب، خدم السلاطین و اتخذه السلطان میرزا بابر صدرا و بعده أیضا کان محترما عند السلاطین. و حین کان فی شیراز بنی قبة علی مرقد الخواجة حافظ الشیرازی، و أضاف المیرزا بابر هناک فکتب بعض الظرفاء شعرا علی حائط القبة رآه المیرزا بابر. ثم أورد معماه باسم درویش.</w:t>
      </w:r>
    </w:p>
    <w:p>
      <w:pPr>
        <w:pStyle w:val="Heading3"/>
      </w:pPr>
      <w:bookmarkStart w:id="8690" w:name="_Toc7386"/>
      <w:r>
        <w:t>6548- دیوان محمد نائنی أو شعره‏</w:t>
      </w:r>
      <w:bookmarkEnd w:id="8690"/>
    </w:p>
    <w:p>
      <w:pPr>
        <w:pStyle w:val="BookText"/>
      </w:pPr>
      <w:r>
        <w:rPr>
          <w:rFonts w:ascii="IRNazanin" w:hAnsi="IRNazanin" w:eastAsia="IRNazanin" w:cs="IRNazanin"/>
          <w:lang w:bidi="fa-IR"/>
          <w:color w:val="111111"/>
          <w:sz w:val="28"/>
          <w:szCs w:val="28"/>
          <w:rtl/>
        </w:rPr>
        <w:t xml:space="preserve">و هو الطبیب الماهر الشاعر و له ذوق فی المعمی و قد بدل تعریف المعمی. ترجمه فی (مجن 4- ص 99 و 276) و أورد شعره. و فی نسخه سماه أمینی.</w:t>
      </w:r>
    </w:p>
    <w:p>
      <w:pPr>
        <w:pStyle w:val="Heading3"/>
      </w:pPr>
      <w:bookmarkStart w:id="8691" w:name="_Toc7387"/>
      <w:r>
        <w:t>6549- دیوان محمد نجفی أو شعره‏</w:t>
      </w:r>
      <w:bookmarkEnd w:id="8691"/>
    </w:p>
    <w:p>
      <w:pPr>
        <w:pStyle w:val="BookText"/>
      </w:pPr>
      <w:r>
        <w:rPr>
          <w:rFonts w:ascii="IRNazanin" w:hAnsi="IRNazanin" w:eastAsia="IRNazanin" w:cs="IRNazanin"/>
          <w:lang w:bidi="fa-IR"/>
          <w:color w:val="111111"/>
          <w:sz w:val="28"/>
          <w:szCs w:val="28"/>
          <w:rtl/>
        </w:rPr>
        <w:t xml:space="preserve">هو من سادات النجف. سافر إلی الهند و سجن بقلعة گوالیر ثم أفرج عنه و جاء إلی إیران. أورد شعره فی (طبق 2: 496) و (تش- ص 168).
</w:t>
      </w:r>
    </w:p>
    <w:p>
      <w:pPr>
        <w:sectPr>
          <w:footerReference w:type="default" r:id="rId1014"/>
          <w:footnotePr>
            <w:numStart w:val="1"/>
            <w:numRestart w:val="eachPage"/>
          </w:footnotePr>
          <w:pgSz w:orient="portrait" w:w="11905.511811023622" w:h="16837.79527559055"/>
          <w:pgMar w:top="1440" w:right="1440" w:bottom="1440" w:left="1440" w:header="720" w:footer="720" w:gutter="0"/>
          <w:cols w:num="1" w:space="720"/>
        </w:sectPr>
      </w:pPr>
    </w:p>
    <w:bookmarkStart w:id="996" w:name="pg11704_122482"/>
    <w:bookmarkEnd w:id="996"/>
    <w:p>
      <w:pPr>
        <w:pStyle w:val="Heading3"/>
      </w:pPr>
      <w:bookmarkStart w:id="8692" w:name="_Toc7388"/>
      <w:r>
        <w:t>6550- دیوان محمد نصرآبادی أو شعره‏</w:t>
      </w:r>
      <w:bookmarkEnd w:id="8692"/>
    </w:p>
    <w:p>
      <w:pPr>
        <w:pStyle w:val="BookText"/>
      </w:pPr>
      <w:r>
        <w:rPr>
          <w:rFonts w:ascii="IRNazanin" w:hAnsi="IRNazanin" w:eastAsia="IRNazanin" w:cs="IRNazanin"/>
          <w:lang w:bidi="fa-IR"/>
          <w:color w:val="111111"/>
          <w:sz w:val="28"/>
          <w:szCs w:val="28"/>
          <w:rtl/>
        </w:rPr>
        <w:t xml:space="preserve">و هو ابن المیرزا أسد. و جده کان ابن خال النصرآبادی کما ذکره فی (نر 12- ص 455) و أورد نیفا و عشرة من شعره.</w:t>
      </w:r>
    </w:p>
    <w:p>
      <w:pPr>
        <w:pStyle w:val="Heading3"/>
      </w:pPr>
      <w:bookmarkStart w:id="8693" w:name="_Toc7389"/>
      <w:r>
        <w:t>دیوان محمد نصیر أصفهانی‏</w:t>
      </w:r>
      <w:bookmarkEnd w:id="8693"/>
    </w:p>
    <w:p>
      <w:pPr>
        <w:pStyle w:val="BookText"/>
      </w:pPr>
      <w:r>
        <w:rPr>
          <w:rFonts w:ascii="IRNazanin" w:hAnsi="IRNazanin" w:eastAsia="IRNazanin" w:cs="IRNazanin"/>
          <w:lang w:bidi="fa-IR"/>
          <w:color w:val="111111"/>
          <w:sz w:val="28"/>
          <w:szCs w:val="28"/>
          <w:rtl/>
        </w:rPr>
        <w:t xml:space="preserve">مر فی ص 646 بتخلصه طرب بن هما. و طبع له مثنوی پیر و جوان مکررا.</w:t>
      </w:r>
    </w:p>
    <w:p>
      <w:pPr>
        <w:pStyle w:val="Heading3"/>
      </w:pPr>
      <w:bookmarkStart w:id="8694" w:name="_Toc7390"/>
      <w:r>
        <w:t>6551- دیوان مولانا محمد نعمت‏آبادی‏</w:t>
      </w:r>
      <w:bookmarkEnd w:id="8694"/>
    </w:p>
    <w:p>
      <w:pPr>
        <w:pStyle w:val="BookText"/>
      </w:pPr>
      <w:r>
        <w:rPr>
          <w:rFonts w:ascii="IRNazanin" w:hAnsi="IRNazanin" w:eastAsia="IRNazanin" w:cs="IRNazanin"/>
          <w:lang w:bidi="fa-IR"/>
          <w:color w:val="111111"/>
          <w:sz w:val="28"/>
          <w:szCs w:val="28"/>
          <w:rtl/>
        </w:rPr>
        <w:t xml:space="preserve">معاصر پهلوان محمد. ترجمه فی (مجن 2 ص 220 و ص 46) و ذکر أنه استکمل فی نظم المعمیات و توفی و دفن بگازرگاه. و جمعت له معمیات بعد وفاته.</w:t>
      </w:r>
    </w:p>
    <w:p>
      <w:pPr>
        <w:pStyle w:val="Heading3"/>
      </w:pPr>
      <w:bookmarkStart w:id="8695" w:name="_Toc7391"/>
      <w:r>
        <w:t>6552- دیوان محمد نقاش هروی أو شعره‏</w:t>
      </w:r>
      <w:bookmarkEnd w:id="8695"/>
    </w:p>
    <w:p>
      <w:pPr>
        <w:pStyle w:val="BookText"/>
      </w:pPr>
      <w:r>
        <w:rPr>
          <w:rFonts w:ascii="IRNazanin" w:hAnsi="IRNazanin" w:eastAsia="IRNazanin" w:cs="IRNazanin"/>
          <w:lang w:bidi="fa-IR"/>
          <w:color w:val="111111"/>
          <w:sz w:val="28"/>
          <w:szCs w:val="28"/>
          <w:rtl/>
        </w:rPr>
        <w:t xml:space="preserve">کان من المتعینین فی هرات، ذو الید فی فنون الشعر کما ترجمه فی (مجتس 6- ص 154).</w:t>
      </w:r>
    </w:p>
    <w:p>
      <w:pPr>
        <w:pStyle w:val="Heading3"/>
      </w:pPr>
      <w:bookmarkStart w:id="8696" w:name="_Toc7392"/>
      <w:r>
        <w:t>محمد نقیب سبزواری‏</w:t>
      </w:r>
      <w:bookmarkEnd w:id="8696"/>
    </w:p>
    <w:p>
      <w:pPr>
        <w:pStyle w:val="BookText"/>
      </w:pPr>
      <w:r>
        <w:rPr>
          <w:rFonts w:ascii="IRNazanin" w:hAnsi="IRNazanin" w:eastAsia="IRNazanin" w:cs="IRNazanin"/>
          <w:lang w:bidi="fa-IR"/>
          <w:color w:val="111111"/>
          <w:sz w:val="28"/>
          <w:szCs w:val="28"/>
          <w:rtl/>
        </w:rPr>
        <w:t xml:space="preserve">ترجمه معاصره النصرآبادی و ذکر أنه من أعاظم سادات سبزوار و لنقیب تخلصه فی شعره ثم أورد عدة من أشعاره‏</w:t>
      </w:r>
    </w:p>
    <w:p>
      <w:pPr>
        <w:pStyle w:val="Heading3"/>
      </w:pPr>
      <w:bookmarkStart w:id="8697" w:name="_Toc7393"/>
      <w:r>
        <w:t>دیوان سید محمد نوربخش‏</w:t>
      </w:r>
      <w:bookmarkEnd w:id="8697"/>
    </w:p>
    <w:p>
      <w:pPr>
        <w:pStyle w:val="BookText"/>
      </w:pPr>
      <w:r>
        <w:rPr>
          <w:rFonts w:ascii="IRNazanin" w:hAnsi="IRNazanin" w:eastAsia="IRNazanin" w:cs="IRNazanin"/>
          <w:lang w:bidi="fa-IR"/>
          <w:color w:val="111111"/>
          <w:sz w:val="28"/>
          <w:szCs w:val="28"/>
          <w:rtl/>
        </w:rPr>
        <w:t xml:space="preserve">یأتی بتخلصه نوربخش‏</w:t>
      </w:r>
    </w:p>
    <w:p>
      <w:pPr>
        <w:pStyle w:val="Heading3"/>
      </w:pPr>
      <w:bookmarkStart w:id="8698" w:name="_Toc7394"/>
      <w:r>
        <w:t>دیوان الشیخ محمد النوربخشی‏</w:t>
      </w:r>
      <w:bookmarkEnd w:id="8698"/>
    </w:p>
    <w:p>
      <w:pPr>
        <w:pStyle w:val="BookText"/>
      </w:pPr>
      <w:r>
        <w:rPr>
          <w:rFonts w:ascii="IRNazanin" w:hAnsi="IRNazanin" w:eastAsia="IRNazanin" w:cs="IRNazanin"/>
          <w:lang w:bidi="fa-IR"/>
          <w:color w:val="111111"/>
          <w:sz w:val="28"/>
          <w:szCs w:val="28"/>
          <w:rtl/>
        </w:rPr>
        <w:t xml:space="preserve">ابن یحیی بن علی اللاهیجی المتخلص بأسیری المذکور فی ص 76 کان مجازا من النوربخش و له شرح گلشن راز المسمی مفاتیح الإعجاز و قبره مشهور فی شیراز و صرح بدیوانه فی (مع 2- 30) فی ترجمه الشبستری توجد کلیات دیوانه و معه عشرة رسائل کتابتها 883 عند (فخر الدین النصیری) و لیس هو اللاهیجی المذکور فی ص 940</w:t>
      </w:r>
    </w:p>
    <w:p>
      <w:pPr>
        <w:pStyle w:val="Heading3"/>
      </w:pPr>
      <w:bookmarkStart w:id="8699" w:name="_Toc7395"/>
      <w:r>
        <w:t>6553- دیوان محمد نهاوندی أو شعره‏</w:t>
      </w:r>
      <w:bookmarkEnd w:id="8699"/>
    </w:p>
    <w:p>
      <w:pPr>
        <w:pStyle w:val="BookText"/>
      </w:pPr>
      <w:r>
        <w:rPr>
          <w:rFonts w:ascii="IRNazanin" w:hAnsi="IRNazanin" w:eastAsia="IRNazanin" w:cs="IRNazanin"/>
          <w:lang w:bidi="fa-IR"/>
          <w:color w:val="111111"/>
          <w:sz w:val="28"/>
          <w:szCs w:val="28"/>
          <w:rtl/>
        </w:rPr>
        <w:t xml:space="preserve">و هو ظهیر الدین من أجلة ساداتها و نزل أصفهان فی ملازمة وقایع نویس کذا ترجمه معاصره النصرآبادی فی (نر 4- ص 92) و أورد شعره‏</w:t>
      </w:r>
    </w:p>
    <w:p>
      <w:pPr>
        <w:pStyle w:val="Heading3"/>
      </w:pPr>
      <w:bookmarkStart w:id="8700" w:name="_Toc7396"/>
      <w:r>
        <w:t>6554- دیوان محمد نهاوندی‏</w:t>
      </w:r>
      <w:bookmarkEnd w:id="8700"/>
    </w:p>
    <w:p>
      <w:pPr>
        <w:pStyle w:val="BookText"/>
      </w:pPr>
      <w:r>
        <w:rPr>
          <w:rFonts w:ascii="IRNazanin" w:hAnsi="IRNazanin" w:eastAsia="IRNazanin" w:cs="IRNazanin"/>
          <w:lang w:bidi="fa-IR"/>
          <w:color w:val="111111"/>
          <w:sz w:val="28"/>
          <w:szCs w:val="28"/>
          <w:rtl/>
        </w:rPr>
        <w:t xml:space="preserve">ابن عبد الرحیم النهاوندی المذکور فی محله ولد فی النجف عام توجه والده إلی إیران 1291 و بعد ثلاث سنین جاءت به والدته إلی طهران وقت نزول والده بها، فتربی عنده إلی أن توفی والده، فاشتغل علی المدرسین بها فی مدرسة الخان المروی التی کان والده مدرسا بها و هاجر إلی العراق فی نیف و عشرین و ثلاثمائة و حضر أبحاث شیخنا الخراسانی و غیره، و عاد إلی إیران بعد وفاة
</w:t>
      </w:r>
    </w:p>
    <w:p>
      <w:pPr>
        <w:sectPr>
          <w:footerReference w:type="default" r:id="rId1015"/>
          <w:footnotePr>
            <w:numStart w:val="1"/>
            <w:numRestart w:val="eachPage"/>
          </w:footnotePr>
          <w:pgSz w:orient="portrait" w:w="11905.511811023622" w:h="16837.79527559055"/>
          <w:pgMar w:top="1440" w:right="1440" w:bottom="1440" w:left="1440" w:header="720" w:footer="720" w:gutter="0"/>
          <w:cols w:num="1" w:space="720"/>
        </w:sectPr>
      </w:pPr>
    </w:p>
    <w:bookmarkStart w:id="997" w:name="pg11704_122483"/>
    <w:bookmarkEnd w:id="997"/>
    <w:p>
      <w:pPr>
        <w:pStyle w:val="BookText"/>
      </w:pPr>
      <w:r>
        <w:rPr>
          <w:rFonts w:ascii="IRNazanin" w:hAnsi="IRNazanin" w:eastAsia="IRNazanin" w:cs="IRNazanin"/>
          <w:lang w:bidi="fa-IR"/>
          <w:color w:val="111111"/>
          <w:sz w:val="28"/>
          <w:szCs w:val="28"/>
          <w:rtl/>
        </w:rPr>
        <w:t xml:space="preserve">أخیه العالم الشیخ محمد حسن نزیل المشهد الرضوی حدود 1329 فنزل هو إلی المشهد فی مقام أخیه إلی أن حج حدود 1360 و زار العراق و رجع إلی المشهد إلی أن توفی بها خامس جمادی الأولی 1371 و طبع من تصانیفه تفسیره الملمع الموسوم نفحات الرحمن فی ثلاث مجلدات و له ضیاء الابصار فی مباحث الخیار و سراج النهج فی مسائل العمرة و الحج، و دیوان شعره و قد استکتبت منه قصیدته المستزاد فی رثاء الحسین الشهید</w:t>
      </w:r>
    </w:p>
    <w:p>
      <w:pPr>
        <w:pStyle w:val="Heading3"/>
      </w:pPr>
      <w:bookmarkStart w:id="8701" w:name="_Toc7397"/>
      <w:r>
        <w:t>6555- دیوان قاضی محمد ورامینی‏</w:t>
      </w:r>
      <w:bookmarkEnd w:id="8701"/>
    </w:p>
    <w:p>
      <w:pPr>
        <w:pStyle w:val="BookText"/>
      </w:pPr>
      <w:r>
        <w:rPr>
          <w:rFonts w:ascii="IRNazanin" w:hAnsi="IRNazanin" w:eastAsia="IRNazanin" w:cs="IRNazanin"/>
          <w:lang w:bidi="fa-IR"/>
          <w:color w:val="111111"/>
          <w:sz w:val="28"/>
          <w:szCs w:val="28"/>
          <w:rtl/>
        </w:rPr>
        <w:t xml:space="preserve">معاصر الصفویة ترجمه فی (مع 2- ص 39) و أورد رباعیه فی الهجاء</w:t>
      </w:r>
    </w:p>
    <w:p>
      <w:pPr>
        <w:pStyle w:val="Heading3"/>
      </w:pPr>
      <w:bookmarkStart w:id="8702" w:name="_Toc7398"/>
      <w:r>
        <w:t>6556- دیوان محمد خان‏</w:t>
      </w:r>
      <w:bookmarkEnd w:id="8702"/>
    </w:p>
    <w:p>
      <w:pPr>
        <w:pStyle w:val="BookText"/>
      </w:pPr>
      <w:r>
        <w:rPr>
          <w:rFonts w:ascii="IRNazanin" w:hAnsi="IRNazanin" w:eastAsia="IRNazanin" w:cs="IRNazanin"/>
          <w:lang w:bidi="fa-IR"/>
          <w:color w:val="111111"/>
          <w:sz w:val="28"/>
          <w:szCs w:val="28"/>
          <w:rtl/>
        </w:rPr>
        <w:t xml:space="preserve">وزیر وظائف فی عصر ناصر الدین شاه طبع من شعره العربی ما قرظ به فرهنگ خداپرستی فی 1281 فی ثمانیة عشر بیتا و هی قصیدة میمیة نظیر قصیدة البردة، تدل علی طول باع ناظمها فی الأدب العربی و من أبیات القصیدة قوله فی بیتین مفصولتین:</w:t>
      </w:r>
    </w:p>
    <w:p>
      <w:pPr>
        <w:pStyle w:val="BookText"/>
      </w:pPr>
      <w:r>
        <w:rPr>
          <w:rFonts w:ascii="IRNazanin" w:hAnsi="IRNazanin" w:eastAsia="IRNazanin" w:cs="IRNazanin"/>
          <w:lang w:bidi="fa-IR"/>
          <w:color w:val="111111"/>
          <w:sz w:val="28"/>
          <w:szCs w:val="28"/>
          <w:rtl/>
        </w:rPr>
        <w:t xml:space="preserve">فتی تفرد فی جمع العلی و غدا</w:t>
      </w:r>
    </w:p>
    <w:p>
      <w:pPr>
        <w:pStyle w:val="BookText"/>
      </w:pPr>
      <w:r>
        <w:rPr>
          <w:rFonts w:ascii="IRNazanin" w:hAnsi="IRNazanin" w:eastAsia="IRNazanin" w:cs="IRNazanin"/>
          <w:lang w:bidi="fa-IR"/>
          <w:color w:val="111111"/>
          <w:sz w:val="28"/>
          <w:szCs w:val="28"/>
          <w:rtl/>
        </w:rPr>
        <w:t xml:space="preserve">بالرفع مثل المنادی المفرد العلم‏</w:t>
      </w:r>
    </w:p>
    <w:p>
      <w:pPr>
        <w:pStyle w:val="BookText"/>
      </w:pPr>
      <w:r>
        <w:rPr>
          <w:rFonts w:ascii="IRNazanin" w:hAnsi="IRNazanin" w:eastAsia="IRNazanin" w:cs="IRNazanin"/>
          <w:lang w:bidi="fa-IR"/>
          <w:color w:val="111111"/>
          <w:sz w:val="28"/>
          <w:szCs w:val="28"/>
          <w:rtl/>
        </w:rPr>
        <w:t xml:space="preserve">یا خیر من فی الوری شاعت فضائله‏</w:t>
      </w:r>
    </w:p>
    <w:p>
      <w:pPr>
        <w:pStyle w:val="BookText"/>
      </w:pPr>
      <w:r>
        <w:rPr>
          <w:rFonts w:ascii="IRNazanin" w:hAnsi="IRNazanin" w:eastAsia="IRNazanin" w:cs="IRNazanin"/>
          <w:lang w:bidi="fa-IR"/>
          <w:color w:val="111111"/>
          <w:sz w:val="28"/>
          <w:szCs w:val="28"/>
          <w:rtl/>
        </w:rPr>
        <w:t xml:space="preserve">حتی غدا بالعلی نارا علی علم‏</w:t>
      </w:r>
    </w:p>
    <w:p>
      <w:pPr>
        <w:pStyle w:val="Heading3"/>
      </w:pPr>
      <w:bookmarkStart w:id="8703" w:name="_Toc7399"/>
      <w:r>
        <w:t>6557- دیوان محمد هروی أو شعره‏</w:t>
      </w:r>
      <w:bookmarkEnd w:id="8703"/>
    </w:p>
    <w:p>
      <w:pPr>
        <w:pStyle w:val="BookText"/>
      </w:pPr>
      <w:r>
        <w:rPr>
          <w:rFonts w:ascii="IRNazanin" w:hAnsi="IRNazanin" w:eastAsia="IRNazanin" w:cs="IRNazanin"/>
          <w:lang w:bidi="fa-IR"/>
          <w:color w:val="111111"/>
          <w:sz w:val="28"/>
          <w:szCs w:val="28"/>
          <w:rtl/>
        </w:rPr>
        <w:t xml:space="preserve">ترجم فی (مجن 1 ص 23 و 197) و ذکر أنه کان أنیس مولانا عبد الرحمن الجامی و أورد رباعیته و ذکر أن قبره فی صفة مولانا سعد الدین الکاشغری و کان موسیقارا ماهرا</w:t>
      </w:r>
    </w:p>
    <w:p>
      <w:pPr>
        <w:pStyle w:val="Heading3"/>
      </w:pPr>
      <w:bookmarkStart w:id="8704" w:name="_Toc7400"/>
      <w:r>
        <w:t>6558- دیوان محمد هندی‏</w:t>
      </w:r>
      <w:bookmarkEnd w:id="8704"/>
    </w:p>
    <w:p>
      <w:pPr>
        <w:pStyle w:val="BookText"/>
      </w:pPr>
      <w:r>
        <w:rPr>
          <w:rFonts w:ascii="IRNazanin" w:hAnsi="IRNazanin" w:eastAsia="IRNazanin" w:cs="IRNazanin"/>
          <w:lang w:bidi="fa-IR"/>
          <w:color w:val="111111"/>
          <w:sz w:val="28"/>
          <w:szCs w:val="28"/>
          <w:rtl/>
        </w:rPr>
        <w:t xml:space="preserve">و اسمه محمد علی و یتخلص محمد نظم خیابان گلشن و جمع فیه اللغات الفارسیة علی ترتیب الحروف الهجائیة و ترجمها بالفارسیة و فرغ منه فی 19 رمضان 1282 و طبعه فی 1878 م بنولکشور فی 71 ص‏</w:t>
      </w:r>
    </w:p>
    <w:p>
      <w:pPr>
        <w:pStyle w:val="Heading3"/>
      </w:pPr>
      <w:bookmarkStart w:id="8705" w:name="_Toc7401"/>
      <w:r>
        <w:t>6559- دیوان محمدی خان أو شعره‏</w:t>
      </w:r>
      <w:bookmarkEnd w:id="8705"/>
    </w:p>
    <w:p>
      <w:pPr>
        <w:pStyle w:val="BookText"/>
      </w:pPr>
      <w:r>
        <w:rPr>
          <w:rFonts w:ascii="IRNazanin" w:hAnsi="IRNazanin" w:eastAsia="IRNazanin" w:cs="IRNazanin"/>
          <w:lang w:bidi="fa-IR"/>
          <w:color w:val="111111"/>
          <w:sz w:val="28"/>
          <w:szCs w:val="28"/>
          <w:rtl/>
        </w:rPr>
        <w:t xml:space="preserve">من الأکراد ترجمه معاصره فی (خص 1- 20) و أطری شجاعته و أورد شعره‏</w:t>
      </w:r>
    </w:p>
    <w:p>
      <w:pPr>
        <w:pStyle w:val="Heading3"/>
      </w:pPr>
      <w:bookmarkStart w:id="8706" w:name="_Toc7402"/>
      <w:r>
        <w:t>6560- دیوان محمد یزدی أو شعره‏</w:t>
      </w:r>
      <w:bookmarkEnd w:id="8706"/>
    </w:p>
    <w:p>
      <w:pPr>
        <w:pStyle w:val="BookText"/>
      </w:pPr>
      <w:r>
        <w:rPr>
          <w:rFonts w:ascii="IRNazanin" w:hAnsi="IRNazanin" w:eastAsia="IRNazanin" w:cs="IRNazanin"/>
          <w:lang w:bidi="fa-IR"/>
          <w:color w:val="111111"/>
          <w:sz w:val="28"/>
          <w:szCs w:val="28"/>
          <w:rtl/>
        </w:rPr>
        <w:t xml:space="preserve">ترجمه عبرت فی نامه فرهنگیان و أورد شعره بتخلص طغرا</w:t>
      </w:r>
    </w:p>
    <w:p>
      <w:pPr>
        <w:pStyle w:val="Heading3"/>
      </w:pPr>
      <w:bookmarkStart w:id="8707" w:name="_Toc7403"/>
      <w:r>
        <w:t>6561- دیوان محمد یوسف هروی أو شعره‏</w:t>
      </w:r>
      <w:bookmarkEnd w:id="8707"/>
    </w:p>
    <w:p>
      <w:pPr>
        <w:pStyle w:val="BookText"/>
      </w:pPr>
      <w:r>
        <w:rPr>
          <w:rFonts w:ascii="IRNazanin" w:hAnsi="IRNazanin" w:eastAsia="IRNazanin" w:cs="IRNazanin"/>
          <w:lang w:bidi="fa-IR"/>
          <w:color w:val="111111"/>
          <w:sz w:val="28"/>
          <w:szCs w:val="28"/>
          <w:rtl/>
        </w:rPr>
        <w:t xml:space="preserve">هو ابن المیر أحمد میر آخور
</w:t>
      </w:r>
    </w:p>
    <w:p>
      <w:pPr>
        <w:sectPr>
          <w:footerReference w:type="default" r:id="rId1016"/>
          <w:footnotePr>
            <w:numStart w:val="1"/>
            <w:numRestart w:val="eachPage"/>
          </w:footnotePr>
          <w:pgSz w:orient="portrait" w:w="11905.511811023622" w:h="16837.79527559055"/>
          <w:pgMar w:top="1440" w:right="1440" w:bottom="1440" w:left="1440" w:header="720" w:footer="720" w:gutter="0"/>
          <w:cols w:num="1" w:space="720"/>
        </w:sectPr>
      </w:pPr>
    </w:p>
    <w:bookmarkStart w:id="998" w:name="pg11704_122484"/>
    <w:bookmarkEnd w:id="998"/>
    <w:p>
      <w:pPr>
        <w:pStyle w:val="BookText"/>
      </w:pPr>
      <w:r>
        <w:rPr>
          <w:rFonts w:ascii="IRNazanin" w:hAnsi="IRNazanin" w:eastAsia="IRNazanin" w:cs="IRNazanin"/>
          <w:lang w:bidi="fa-IR"/>
          <w:color w:val="111111"/>
          <w:sz w:val="28"/>
          <w:szCs w:val="28"/>
          <w:rtl/>
        </w:rPr>
        <w:t xml:space="preserve">کان ملازم محمد زمان أورد شعره فی (مجتس 8- ص 172) و فی (مجتس 2 ص 137) قال إن تخلصه خلقی و لعله خلطه مع خلقی هروی المذکور فی ص 300</w:t>
      </w:r>
    </w:p>
    <w:p>
      <w:pPr>
        <w:pStyle w:val="Heading3"/>
      </w:pPr>
      <w:bookmarkStart w:id="8708" w:name="_Toc7404"/>
      <w:r>
        <w:t>6562- دیوان محمد یوسف هندی‏</w:t>
      </w:r>
      <w:bookmarkEnd w:id="8708"/>
    </w:p>
    <w:p>
      <w:pPr>
        <w:pStyle w:val="BookText"/>
      </w:pPr>
      <w:r>
        <w:rPr>
          <w:rFonts w:ascii="IRNazanin" w:hAnsi="IRNazanin" w:eastAsia="IRNazanin" w:cs="IRNazanin"/>
          <w:lang w:bidi="fa-IR"/>
          <w:color w:val="111111"/>
          <w:sz w:val="28"/>
          <w:szCs w:val="28"/>
          <w:rtl/>
        </w:rPr>
        <w:t xml:space="preserve">طبع له منظومة پیراهن یوسفی بلکهنو</w:t>
      </w:r>
    </w:p>
    <w:p>
      <w:pPr>
        <w:pStyle w:val="Heading3"/>
      </w:pPr>
      <w:bookmarkStart w:id="8709" w:name="_Toc7405"/>
      <w:r>
        <w:t>6563- دیوان محمود آملی أو شعره‏</w:t>
      </w:r>
      <w:bookmarkEnd w:id="8709"/>
    </w:p>
    <w:p>
      <w:pPr>
        <w:pStyle w:val="BookText"/>
      </w:pPr>
      <w:r>
        <w:rPr>
          <w:rFonts w:ascii="IRNazanin" w:hAnsi="IRNazanin" w:eastAsia="IRNazanin" w:cs="IRNazanin"/>
          <w:lang w:bidi="fa-IR"/>
          <w:color w:val="111111"/>
          <w:sz w:val="28"/>
          <w:szCs w:val="28"/>
          <w:rtl/>
        </w:rPr>
        <w:t xml:space="preserve">و هو محمود بن الحسن بن یعقوب بن نصرة بن الحسن الحسینی الآملی محتدا و الشیرازی مولدا و الشافعی مذهبا کتب بخطه إجازة فی ص 17- 19 من مشیخة کنز السالکین المذکورة فی 8: 187 لصاحب المشیخة أن یروی عنه رسائله و أشعاره و تاریخ الإجازة 8 شوال 868 و المشیخة الآن موجودة بجامعة طهران کما فی فهرسها 9: 780</w:t>
      </w:r>
    </w:p>
    <w:p>
      <w:pPr>
        <w:pStyle w:val="Heading3"/>
      </w:pPr>
      <w:bookmarkStart w:id="8710" w:name="_Toc7406"/>
      <w:r>
        <w:t>دیوان محمود أصفهانی‏</w:t>
      </w:r>
      <w:bookmarkEnd w:id="8710"/>
    </w:p>
    <w:p>
      <w:pPr>
        <w:pStyle w:val="BookText"/>
      </w:pPr>
      <w:r>
        <w:rPr>
          <w:rFonts w:ascii="IRNazanin" w:hAnsi="IRNazanin" w:eastAsia="IRNazanin" w:cs="IRNazanin"/>
          <w:lang w:bidi="fa-IR"/>
          <w:color w:val="111111"/>
          <w:sz w:val="28"/>
          <w:szCs w:val="28"/>
          <w:rtl/>
        </w:rPr>
        <w:t xml:space="preserve">راجع محمود شهر کردی، و نقاش أصفهانی و حفظی و فدائی طهرانی و محمود ستوده‏</w:t>
      </w:r>
    </w:p>
    <w:p>
      <w:pPr>
        <w:pStyle w:val="Heading3"/>
      </w:pPr>
      <w:bookmarkStart w:id="8711" w:name="_Toc7407"/>
      <w:r>
        <w:t>6564- دیوان محمود أصفهانی أو شعره‏</w:t>
      </w:r>
      <w:bookmarkEnd w:id="8711"/>
    </w:p>
    <w:p>
      <w:pPr>
        <w:pStyle w:val="BookText"/>
      </w:pPr>
      <w:r>
        <w:rPr>
          <w:rFonts w:ascii="IRNazanin" w:hAnsi="IRNazanin" w:eastAsia="IRNazanin" w:cs="IRNazanin"/>
          <w:lang w:bidi="fa-IR"/>
          <w:color w:val="111111"/>
          <w:sz w:val="28"/>
          <w:szCs w:val="28"/>
          <w:rtl/>
        </w:rPr>
        <w:t xml:space="preserve">و هو ابن عباس شیدا المذکور فی ص 565 ولد 1323 و طبع بعض شعره فی مجلة دانشکده لوالده و أورد بعضها فی شعرای معاصر أصفهان- ص 426 و دانش‏نامه لألفت‏</w:t>
      </w:r>
    </w:p>
    <w:p>
      <w:pPr>
        <w:pStyle w:val="Heading3"/>
      </w:pPr>
      <w:bookmarkStart w:id="8712" w:name="_Toc7408"/>
      <w:r>
        <w:t>6565- دیوان محمود أصفهانی‏</w:t>
      </w:r>
      <w:bookmarkEnd w:id="8712"/>
    </w:p>
    <w:p>
      <w:pPr>
        <w:pStyle w:val="BookText"/>
      </w:pPr>
      <w:r>
        <w:rPr>
          <w:rFonts w:ascii="IRNazanin" w:hAnsi="IRNazanin" w:eastAsia="IRNazanin" w:cs="IRNazanin"/>
          <w:lang w:bidi="fa-IR"/>
          <w:color w:val="111111"/>
          <w:sz w:val="28"/>
          <w:szCs w:val="28"/>
          <w:rtl/>
        </w:rPr>
        <w:t xml:space="preserve">و هو ابن عبد الوهاب تبریزچی ولد محمود بأصفهان فی 1310 طبع له گنج سعادت بطهران 1331 ش فی 39 ص و ترجم فی شعرای معاصر أصفهان- ص 427</w:t>
      </w:r>
    </w:p>
    <w:p>
      <w:pPr>
        <w:pStyle w:val="Heading3"/>
      </w:pPr>
      <w:bookmarkStart w:id="8713" w:name="_Toc7409"/>
      <w:r>
        <w:t>6566- دیوان محمود بتکچی أو شعره‏</w:t>
      </w:r>
      <w:bookmarkEnd w:id="8713"/>
    </w:p>
    <w:p>
      <w:pPr>
        <w:pStyle w:val="BookText"/>
      </w:pPr>
      <w:r>
        <w:rPr>
          <w:rFonts w:ascii="IRNazanin" w:hAnsi="IRNazanin" w:eastAsia="IRNazanin" w:cs="IRNazanin"/>
          <w:lang w:bidi="fa-IR"/>
          <w:color w:val="111111"/>
          <w:sz w:val="28"/>
          <w:szCs w:val="28"/>
          <w:rtl/>
        </w:rPr>
        <w:t xml:space="preserve">هو ابن الخواجة شمس الدین محمد ألب تکچی و من أقرباء الخواجة منصور ألب تکچی الجرجانی کان ماهرا فی النجوم أورد شعره فی (مجن 3- ص 85 و 259)</w:t>
      </w:r>
    </w:p>
    <w:p>
      <w:pPr>
        <w:pStyle w:val="Heading3"/>
      </w:pPr>
      <w:bookmarkStart w:id="8714" w:name="_Toc7410"/>
      <w:r>
        <w:t>6567- دیوان محمود برسه‏</w:t>
      </w:r>
      <w:bookmarkEnd w:id="8714"/>
    </w:p>
    <w:p>
      <w:pPr>
        <w:pStyle w:val="BookText"/>
      </w:pPr>
      <w:r>
        <w:rPr>
          <w:rFonts w:ascii="IRNazanin" w:hAnsi="IRNazanin" w:eastAsia="IRNazanin" w:cs="IRNazanin"/>
          <w:lang w:bidi="fa-IR"/>
          <w:color w:val="111111"/>
          <w:sz w:val="28"/>
          <w:szCs w:val="28"/>
          <w:rtl/>
        </w:rPr>
        <w:t xml:space="preserve">قال فی (لت 7) إنه من شعراء علاء الدولة بنیشابور و باسمه نظم ده‏نامه و ذهب إلی خراسان و تقرب عند السلطان محمد البدخشی، ثم عند السلطان أبو سعید و جمع مالا کثیرا و وصف مجلس عیشه المنعقد فی 861 و توفی فی 873 و أورد من ده‏نامه شعرا هی‏</w:t>
      </w:r>
    </w:p>
    <w:p>
      <w:pPr>
        <w:pStyle w:val="BookText"/>
      </w:pPr>
      <w:r>
        <w:rPr>
          <w:rFonts w:ascii="IRNazanin" w:hAnsi="IRNazanin" w:eastAsia="IRNazanin" w:cs="IRNazanin"/>
          <w:lang w:bidi="fa-IR"/>
          <w:color w:val="111111"/>
          <w:sz w:val="28"/>
          <w:szCs w:val="28"/>
          <w:rtl/>
        </w:rPr>
        <w:t xml:space="preserve">عرش پروردگار میدانش‏</w:t>
      </w:r>
    </w:p>
    <w:p>
      <w:pPr>
        <w:pStyle w:val="BookText"/>
      </w:pPr>
      <w:r>
        <w:rPr>
          <w:rFonts w:ascii="IRNazanin" w:hAnsi="IRNazanin" w:eastAsia="IRNazanin" w:cs="IRNazanin"/>
          <w:lang w:bidi="fa-IR"/>
          <w:color w:val="111111"/>
          <w:sz w:val="28"/>
          <w:szCs w:val="28"/>
          <w:rtl/>
        </w:rPr>
        <w:t xml:space="preserve">همچو کوثر هزار میدانش‏</w:t>
      </w:r>
    </w:p>
    <w:p>
      <w:pPr>
        <w:pStyle w:val="BookText"/>
      </w:pPr>
      <w:r>
        <w:rPr>
          <w:rFonts w:ascii="IRNazanin" w:hAnsi="IRNazanin" w:eastAsia="IRNazanin" w:cs="IRNazanin"/>
          <w:lang w:bidi="fa-IR"/>
          <w:color w:val="111111"/>
          <w:sz w:val="28"/>
          <w:szCs w:val="28"/>
          <w:rtl/>
        </w:rPr>
        <w:t xml:space="preserve">فهو غیر محمود برلاس المذکور فی ص 133
</w:t>
      </w:r>
    </w:p>
    <w:p>
      <w:pPr>
        <w:sectPr>
          <w:footerReference w:type="default" r:id="rId1017"/>
          <w:footnotePr>
            <w:numStart w:val="1"/>
            <w:numRestart w:val="eachPage"/>
          </w:footnotePr>
          <w:pgSz w:orient="portrait" w:w="11905.511811023622" w:h="16837.79527559055"/>
          <w:pgMar w:top="1440" w:right="1440" w:bottom="1440" w:left="1440" w:header="720" w:footer="720" w:gutter="0"/>
          <w:cols w:num="1" w:space="720"/>
        </w:sectPr>
      </w:pPr>
    </w:p>
    <w:bookmarkStart w:id="999" w:name="pg11704_122485"/>
    <w:bookmarkEnd w:id="999"/>
    <w:p>
      <w:pPr>
        <w:pStyle w:val="Heading3"/>
      </w:pPr>
      <w:bookmarkStart w:id="8715" w:name="_Toc7411"/>
      <w:r>
        <w:t>دیوان محمود بغدادی‏</w:t>
      </w:r>
      <w:bookmarkEnd w:id="8715"/>
    </w:p>
    <w:p>
      <w:pPr>
        <w:pStyle w:val="BookText"/>
      </w:pPr>
      <w:r>
        <w:rPr>
          <w:rFonts w:ascii="IRNazanin" w:hAnsi="IRNazanin" w:eastAsia="IRNazanin" w:cs="IRNazanin"/>
          <w:lang w:bidi="fa-IR"/>
          <w:color w:val="111111"/>
          <w:sz w:val="28"/>
          <w:szCs w:val="28"/>
          <w:rtl/>
        </w:rPr>
        <w:t xml:space="preserve">راجع دیوان کشاجم‏</w:t>
      </w:r>
    </w:p>
    <w:p>
      <w:pPr>
        <w:pStyle w:val="Heading3"/>
      </w:pPr>
      <w:bookmarkStart w:id="8716" w:name="_Toc7412"/>
      <w:r>
        <w:t>دیوان محمود بهبهانی‏</w:t>
      </w:r>
      <w:bookmarkEnd w:id="8716"/>
    </w:p>
    <w:p>
      <w:pPr>
        <w:pStyle w:val="BookText"/>
      </w:pPr>
      <w:r>
        <w:rPr>
          <w:rFonts w:ascii="IRNazanin" w:hAnsi="IRNazanin" w:eastAsia="IRNazanin" w:cs="IRNazanin"/>
          <w:lang w:bidi="fa-IR"/>
          <w:color w:val="111111"/>
          <w:sz w:val="28"/>
          <w:szCs w:val="28"/>
          <w:rtl/>
        </w:rPr>
        <w:t xml:space="preserve">مر فی ص 146</w:t>
      </w:r>
    </w:p>
    <w:p>
      <w:pPr>
        <w:pStyle w:val="Heading3"/>
      </w:pPr>
      <w:bookmarkStart w:id="8717" w:name="_Toc7413"/>
      <w:r>
        <w:t>دیوان محمود پهلوان پوریا</w:t>
      </w:r>
      <w:bookmarkEnd w:id="8717"/>
    </w:p>
    <w:p>
      <w:pPr>
        <w:pStyle w:val="BookText"/>
      </w:pPr>
      <w:r>
        <w:rPr>
          <w:rFonts w:ascii="IRNazanin" w:hAnsi="IRNazanin" w:eastAsia="IRNazanin" w:cs="IRNazanin"/>
          <w:lang w:bidi="fa-IR"/>
          <w:color w:val="111111"/>
          <w:sz w:val="28"/>
          <w:szCs w:val="28"/>
          <w:rtl/>
        </w:rPr>
        <w:t xml:space="preserve">راجع دیوان پوریای ولی فی ص 159 و ترجمه فی (نتایج- ص 559) و (عشاق- ص 138)</w:t>
      </w:r>
    </w:p>
    <w:p>
      <w:pPr>
        <w:pStyle w:val="Heading3"/>
      </w:pPr>
      <w:bookmarkStart w:id="8718" w:name="_Toc7414"/>
      <w:r>
        <w:t>دیوان محمود پیرلاس‏</w:t>
      </w:r>
      <w:bookmarkEnd w:id="8718"/>
    </w:p>
    <w:p>
      <w:pPr>
        <w:pStyle w:val="BookText"/>
      </w:pPr>
      <w:r>
        <w:rPr>
          <w:rFonts w:ascii="IRNazanin" w:hAnsi="IRNazanin" w:eastAsia="IRNazanin" w:cs="IRNazanin"/>
          <w:lang w:bidi="fa-IR"/>
          <w:color w:val="111111"/>
          <w:sz w:val="28"/>
          <w:szCs w:val="28"/>
          <w:rtl/>
        </w:rPr>
        <w:t xml:space="preserve">مر بعنوان برلاس فی ص 133</w:t>
      </w:r>
    </w:p>
    <w:p>
      <w:pPr>
        <w:pStyle w:val="Heading3"/>
      </w:pPr>
      <w:bookmarkStart w:id="8719" w:name="_Toc7415"/>
      <w:r>
        <w:t>دیوان محمود تبریزچی‏</w:t>
      </w:r>
      <w:bookmarkEnd w:id="8719"/>
    </w:p>
    <w:p>
      <w:pPr>
        <w:pStyle w:val="BookText"/>
      </w:pPr>
      <w:r>
        <w:rPr>
          <w:rFonts w:ascii="IRNazanin" w:hAnsi="IRNazanin" w:eastAsia="IRNazanin" w:cs="IRNazanin"/>
          <w:lang w:bidi="fa-IR"/>
          <w:color w:val="111111"/>
          <w:sz w:val="28"/>
          <w:szCs w:val="28"/>
          <w:rtl/>
        </w:rPr>
        <w:t xml:space="preserve">راجع محمود أصفهانی بن عبد الوهاب‏</w:t>
      </w:r>
    </w:p>
    <w:p>
      <w:pPr>
        <w:pStyle w:val="Heading3"/>
      </w:pPr>
      <w:bookmarkStart w:id="8720" w:name="_Toc7416"/>
      <w:r>
        <w:t>6568- دیوان محمود ترکمان‏</w:t>
      </w:r>
      <w:bookmarkEnd w:id="8720"/>
    </w:p>
    <w:p>
      <w:pPr>
        <w:pStyle w:val="BookText"/>
      </w:pPr>
      <w:r>
        <w:rPr>
          <w:rFonts w:ascii="IRNazanin" w:hAnsi="IRNazanin" w:eastAsia="IRNazanin" w:cs="IRNazanin"/>
          <w:lang w:bidi="fa-IR"/>
          <w:color w:val="111111"/>
          <w:sz w:val="28"/>
          <w:szCs w:val="28"/>
          <w:rtl/>
        </w:rPr>
        <w:t xml:space="preserve">من أبناء أمراء ترکمان إیران و کان فی خدمة حسین خان قاجار من أمراء الشاه عباس ثم جاء مع أخیه إلی قندهار و فی حرب مع الصفویة قتل أخیه، ففر إلی کابل و بقی عند خان دوران حاکم أکبر شاه الهندی علی کابل، ثم ترقی أمره و جاء إلی أجمیر فلازمه هناک فخر الزمانی الشاعر القزوینی مؤلف میخانه فی 1025 فأورد ذکره فی میخانه- ص 563 و قال إن کثیرا من شعره احترق حین حریق بیتی فی بلدة پتنه و کان تخلصه محمود</w:t>
      </w:r>
    </w:p>
    <w:p>
      <w:pPr>
        <w:pStyle w:val="Heading3"/>
      </w:pPr>
      <w:bookmarkStart w:id="8721" w:name="_Toc7417"/>
      <w:r>
        <w:t>6569- دیوان محمود جان أو شعره‏</w:t>
      </w:r>
      <w:bookmarkEnd w:id="8721"/>
    </w:p>
    <w:p>
      <w:pPr>
        <w:pStyle w:val="BookText"/>
      </w:pPr>
      <w:r>
        <w:rPr>
          <w:rFonts w:ascii="IRNazanin" w:hAnsi="IRNazanin" w:eastAsia="IRNazanin" w:cs="IRNazanin"/>
          <w:lang w:bidi="fa-IR"/>
          <w:color w:val="111111"/>
          <w:sz w:val="28"/>
          <w:szCs w:val="28"/>
          <w:rtl/>
        </w:rPr>
        <w:t xml:space="preserve">و اسمه الشاه محمود من وزراء السلطان یعقوب و عم الشاه عنایت الله و توفی فی عهد الشاه إسماعیل الصفوی، کما ذکره و أورد شعره فی (قز مج 6- ص 304)</w:t>
      </w:r>
    </w:p>
    <w:p>
      <w:pPr>
        <w:pStyle w:val="Heading3"/>
      </w:pPr>
      <w:bookmarkStart w:id="8722" w:name="_Toc7418"/>
      <w:r>
        <w:t>6570- دیوان محمود الجزائری أو شعره‏</w:t>
      </w:r>
      <w:bookmarkEnd w:id="8722"/>
    </w:p>
    <w:p>
      <w:pPr>
        <w:pStyle w:val="BookText"/>
      </w:pPr>
      <w:r>
        <w:rPr>
          <w:rFonts w:ascii="IRNazanin" w:hAnsi="IRNazanin" w:eastAsia="IRNazanin" w:cs="IRNazanin"/>
          <w:lang w:bidi="fa-IR"/>
          <w:color w:val="111111"/>
          <w:sz w:val="28"/>
          <w:szCs w:val="28"/>
          <w:rtl/>
        </w:rPr>
        <w:t xml:space="preserve">و هو الشیخ محمود من علماء العرب فی أصفهان و تلمیذ الشیخ عبد الله التستری المتوفی 1021 و المستخرج لتاریخ وفاته ذکره فی (نر 3- ص 484)</w:t>
      </w:r>
    </w:p>
    <w:p>
      <w:pPr>
        <w:pStyle w:val="Heading3"/>
      </w:pPr>
      <w:bookmarkStart w:id="8723" w:name="_Toc7419"/>
      <w:r>
        <w:t>6571- دیوان محمود الحمصی أو شعره‏</w:t>
      </w:r>
      <w:bookmarkEnd w:id="8723"/>
    </w:p>
    <w:p>
      <w:pPr>
        <w:pStyle w:val="BookText"/>
      </w:pPr>
      <w:r>
        <w:rPr>
          <w:rFonts w:ascii="IRNazanin" w:hAnsi="IRNazanin" w:eastAsia="IRNazanin" w:cs="IRNazanin"/>
          <w:lang w:bidi="fa-IR"/>
          <w:color w:val="111111"/>
          <w:sz w:val="28"/>
          <w:szCs w:val="28"/>
          <w:rtl/>
        </w:rPr>
        <w:t xml:space="preserve">و هو الشیخ سدید الدین محمود بن علی بن الحسن الحمصی الرازی أورد شعره فی الأمل ص 509 من الطبعة الأولی نقلا عن صاحب المعالم عن أبیه الشهید</w:t>
      </w:r>
    </w:p>
    <w:p>
      <w:pPr>
        <w:pStyle w:val="Heading3"/>
      </w:pPr>
      <w:bookmarkStart w:id="8724" w:name="_Toc7420"/>
      <w:r>
        <w:t>دیوان محمود خوارزمی‏</w:t>
      </w:r>
      <w:bookmarkEnd w:id="8724"/>
    </w:p>
    <w:p>
      <w:pPr>
        <w:pStyle w:val="BookText"/>
      </w:pPr>
      <w:r>
        <w:rPr>
          <w:rFonts w:ascii="IRNazanin" w:hAnsi="IRNazanin" w:eastAsia="IRNazanin" w:cs="IRNazanin"/>
          <w:lang w:bidi="fa-IR"/>
          <w:color w:val="111111"/>
          <w:sz w:val="28"/>
          <w:szCs w:val="28"/>
          <w:rtl/>
        </w:rPr>
        <w:t xml:space="preserve">راجع پوریای ولی‏</w:t>
      </w:r>
    </w:p>
    <w:p>
      <w:pPr>
        <w:pStyle w:val="Heading3"/>
      </w:pPr>
      <w:bookmarkStart w:id="8725" w:name="_Toc7421"/>
      <w:r>
        <w:t>دیوان محمود دنبلی‏</w:t>
      </w:r>
      <w:bookmarkEnd w:id="8725"/>
    </w:p>
    <w:p>
      <w:pPr>
        <w:pStyle w:val="BookText"/>
      </w:pPr>
      <w:r>
        <w:rPr>
          <w:rFonts w:ascii="IRNazanin" w:hAnsi="IRNazanin" w:eastAsia="IRNazanin" w:cs="IRNazanin"/>
          <w:lang w:bidi="fa-IR"/>
          <w:color w:val="111111"/>
          <w:sz w:val="28"/>
          <w:szCs w:val="28"/>
          <w:rtl/>
        </w:rPr>
        <w:t xml:space="preserve">راجع محمود ملک الشعراء</w:t>
      </w:r>
    </w:p>
    <w:p>
      <w:pPr>
        <w:pStyle w:val="Heading3"/>
      </w:pPr>
      <w:bookmarkStart w:id="8726" w:name="_Toc7422"/>
      <w:r>
        <w:t>6572- دیوان محمود دیلمی أو شعره‏</w:t>
      </w:r>
      <w:bookmarkEnd w:id="8726"/>
    </w:p>
    <w:p>
      <w:pPr>
        <w:pStyle w:val="BookText"/>
      </w:pPr>
      <w:r>
        <w:rPr>
          <w:rFonts w:ascii="IRNazanin" w:hAnsi="IRNazanin" w:eastAsia="IRNazanin" w:cs="IRNazanin"/>
          <w:lang w:bidi="fa-IR"/>
          <w:color w:val="111111"/>
          <w:sz w:val="28"/>
          <w:szCs w:val="28"/>
          <w:rtl/>
        </w:rPr>
        <w:t xml:space="preserve">کان من أکابر قزوین و ینسب نفسه إلی مالک الأشتر أورد شعره فی (تس 3- ص 56)
</w:t>
      </w:r>
    </w:p>
    <w:p>
      <w:pPr>
        <w:sectPr>
          <w:footerReference w:type="default" r:id="rId1018"/>
          <w:footnotePr>
            <w:numStart w:val="1"/>
            <w:numRestart w:val="eachPage"/>
          </w:footnotePr>
          <w:pgSz w:orient="portrait" w:w="11905.511811023622" w:h="16837.79527559055"/>
          <w:pgMar w:top="1440" w:right="1440" w:bottom="1440" w:left="1440" w:header="720" w:footer="720" w:gutter="0"/>
          <w:cols w:num="1" w:space="720"/>
        </w:sectPr>
      </w:pPr>
    </w:p>
    <w:bookmarkStart w:id="1000" w:name="pg11704_122486"/>
    <w:bookmarkEnd w:id="1000"/>
    <w:p>
      <w:pPr>
        <w:pStyle w:val="Heading3"/>
      </w:pPr>
      <w:bookmarkStart w:id="8727" w:name="_Toc7423"/>
      <w:r>
        <w:t>6573- دیوان محمود ستوده أو شعره‏</w:t>
      </w:r>
      <w:bookmarkEnd w:id="8727"/>
    </w:p>
    <w:p>
      <w:pPr>
        <w:pStyle w:val="BookText"/>
      </w:pPr>
      <w:r>
        <w:rPr>
          <w:rFonts w:ascii="IRNazanin" w:hAnsi="IRNazanin" w:eastAsia="IRNazanin" w:cs="IRNazanin"/>
          <w:lang w:bidi="fa-IR"/>
          <w:color w:val="111111"/>
          <w:sz w:val="28"/>
          <w:szCs w:val="28"/>
          <w:rtl/>
        </w:rPr>
        <w:t xml:space="preserve">و اسمه أیضا محمود ستوده ابن خدا رحم چالشتری بن خان بابا و هم ینسبون بیتهم إلی الحر الریاحی ولد محمود بأصفهان فی 1310 و أورد شعره فی شعرای معاصر أصفهان- ص 425</w:t>
      </w:r>
    </w:p>
    <w:p>
      <w:pPr>
        <w:pStyle w:val="Heading3"/>
      </w:pPr>
      <w:bookmarkStart w:id="8728" w:name="_Toc7424"/>
      <w:r>
        <w:t>6574- دیوان محمود زهگیر هروی أو شعره‏</w:t>
      </w:r>
      <w:bookmarkEnd w:id="8728"/>
    </w:p>
    <w:p>
      <w:pPr>
        <w:pStyle w:val="BookText"/>
      </w:pPr>
      <w:r>
        <w:rPr>
          <w:rFonts w:ascii="IRNazanin" w:hAnsi="IRNazanin" w:eastAsia="IRNazanin" w:cs="IRNazanin"/>
          <w:lang w:bidi="fa-IR"/>
          <w:color w:val="111111"/>
          <w:sz w:val="28"/>
          <w:szCs w:val="28"/>
          <w:rtl/>
        </w:rPr>
        <w:t xml:space="preserve">ترجمه سام میرزا فی (تس 7- ص 190) و أورد شعره‏</w:t>
      </w:r>
    </w:p>
    <w:p>
      <w:pPr>
        <w:pStyle w:val="Heading3"/>
      </w:pPr>
      <w:bookmarkStart w:id="8729" w:name="_Toc7425"/>
      <w:r>
        <w:t>6575- دیوان محمود سبزواری‏</w:t>
      </w:r>
      <w:bookmarkEnd w:id="8729"/>
    </w:p>
    <w:p>
      <w:pPr>
        <w:pStyle w:val="BookText"/>
      </w:pPr>
      <w:r>
        <w:rPr>
          <w:rFonts w:ascii="IRNazanin" w:hAnsi="IRNazanin" w:eastAsia="IRNazanin" w:cs="IRNazanin"/>
          <w:lang w:bidi="fa-IR"/>
          <w:color w:val="111111"/>
          <w:sz w:val="28"/>
          <w:szCs w:val="28"/>
          <w:rtl/>
        </w:rPr>
        <w:t xml:space="preserve">الخطاط کان والده الخواجة عماد الدین حسن و جده الشیخ بابا علی خوشمردان صاحب الخانقاه ترجمه فی (مجن 4- ص 277 ص 103) و ذکر أن له منظومة فی قواعد ستة أنواع من الخطوط سماه أصول شش قلم و نظم تاریخه 866 بقوله:</w:t>
      </w:r>
    </w:p>
    <w:p>
      <w:pPr>
        <w:pStyle w:val="BookText"/>
      </w:pPr>
      <w:r>
        <w:rPr>
          <w:rFonts w:ascii="IRNazanin" w:hAnsi="IRNazanin" w:eastAsia="IRNazanin" w:cs="IRNazanin"/>
          <w:lang w:bidi="fa-IR"/>
          <w:color w:val="111111"/>
          <w:sz w:val="28"/>
          <w:szCs w:val="28"/>
          <w:rtl/>
        </w:rPr>
        <w:t xml:space="preserve">چون أصول شش قلم کردم رقم‏</w:t>
      </w:r>
    </w:p>
    <w:p>
      <w:pPr>
        <w:pStyle w:val="BookText"/>
      </w:pPr>
      <w:r>
        <w:rPr>
          <w:rFonts w:ascii="IRNazanin" w:hAnsi="IRNazanin" w:eastAsia="IRNazanin" w:cs="IRNazanin"/>
          <w:lang w:bidi="fa-IR"/>
          <w:color w:val="111111"/>
          <w:sz w:val="28"/>
          <w:szCs w:val="28"/>
          <w:rtl/>
        </w:rPr>
        <w:t xml:space="preserve">گشت تاریخش أصول شش قلم‏</w:t>
      </w:r>
    </w:p>
    <w:p>
      <w:pPr>
        <w:pStyle w:val="Heading3"/>
      </w:pPr>
      <w:bookmarkStart w:id="8730" w:name="_Toc7426"/>
      <w:r>
        <w:t>دیوان محمود سنجانی‏</w:t>
      </w:r>
      <w:bookmarkEnd w:id="8730"/>
    </w:p>
    <w:p>
      <w:pPr>
        <w:pStyle w:val="BookText"/>
      </w:pPr>
      <w:r>
        <w:rPr>
          <w:rFonts w:ascii="IRNazanin" w:hAnsi="IRNazanin" w:eastAsia="IRNazanin" w:cs="IRNazanin"/>
          <w:lang w:bidi="fa-IR"/>
          <w:color w:val="111111"/>
          <w:sz w:val="28"/>
          <w:szCs w:val="28"/>
          <w:rtl/>
        </w:rPr>
        <w:t xml:space="preserve">کما فی (نتایج- ص 357) مر فی ص 498 بعنوان شاه سنجان‏</w:t>
      </w:r>
    </w:p>
    <w:p>
      <w:pPr>
        <w:pStyle w:val="Heading3"/>
      </w:pPr>
      <w:bookmarkStart w:id="8731" w:name="_Toc7427"/>
      <w:r>
        <w:t>دیوان محمود شبستری‏</w:t>
      </w:r>
      <w:bookmarkEnd w:id="8731"/>
    </w:p>
    <w:p>
      <w:pPr>
        <w:pStyle w:val="BookText"/>
      </w:pPr>
      <w:r>
        <w:rPr>
          <w:rFonts w:ascii="IRNazanin" w:hAnsi="IRNazanin" w:eastAsia="IRNazanin" w:cs="IRNazanin"/>
          <w:lang w:bidi="fa-IR"/>
          <w:color w:val="111111"/>
          <w:sz w:val="28"/>
          <w:szCs w:val="28"/>
          <w:rtl/>
        </w:rPr>
        <w:t xml:space="preserve">المذکور فی ص 506 للشیخ سعد الدین محمود بن أمین الدین عبد الکریم بن یحیی الشبستری المتوفی 720 أو قبلها أو بعدها بقلیل و المدفون فی بستان گلشن الواقع فی شبستر فی جنب مراده بهاء الدین یعقوب ذکرناه فی ج 7 ص 42 و له مرآة المحققین و غیره مثل سعادت‏نامه أورد بعض أشعاره المشتمل علی بیان أحواله فی (دجا- ص 335) و له جواهر الأسرار الذی فاتنا ذکره و ترجم فی (مع 2: ص 30) و (نتایج- ص 615) أیضا و مر حفیده عبد الله شبستری فی ص 696</w:t>
      </w:r>
    </w:p>
    <w:p>
      <w:pPr>
        <w:pStyle w:val="Heading3"/>
      </w:pPr>
      <w:bookmarkStart w:id="8732" w:name="_Toc7428"/>
      <w:r>
        <w:t>6576- دیوان محمود شهر کردی‏</w:t>
      </w:r>
      <w:bookmarkEnd w:id="8732"/>
    </w:p>
    <w:p>
      <w:pPr>
        <w:pStyle w:val="BookText"/>
      </w:pPr>
      <w:r>
        <w:rPr>
          <w:rFonts w:ascii="IRNazanin" w:hAnsi="IRNazanin" w:eastAsia="IRNazanin" w:cs="IRNazanin"/>
          <w:lang w:bidi="fa-IR"/>
          <w:color w:val="111111"/>
          <w:sz w:val="28"/>
          <w:szCs w:val="28"/>
          <w:rtl/>
        </w:rPr>
        <w:t xml:space="preserve">ابن محمد هادی ولد فی 1286 و عمی بصره بالجدری فی طفولته و مات فی 1353 و طبع بعض أشعاره فی مجلتی أرمغان و دانشکده ترجمه فی شعرای معاصر أصفهان- ص 429 و تذکره شعرای چهار محال‏</w:t>
      </w:r>
    </w:p>
    <w:p>
      <w:pPr>
        <w:pStyle w:val="Heading3"/>
      </w:pPr>
      <w:bookmarkStart w:id="8733" w:name="_Toc7429"/>
      <w:r>
        <w:t>6577- دیوان محمود شیرازی أو شعره‏</w:t>
      </w:r>
      <w:bookmarkEnd w:id="8733"/>
    </w:p>
    <w:p>
      <w:pPr>
        <w:pStyle w:val="BookText"/>
      </w:pPr>
      <w:r>
        <w:rPr>
          <w:rFonts w:ascii="IRNazanin" w:hAnsi="IRNazanin" w:eastAsia="IRNazanin" w:cs="IRNazanin"/>
          <w:lang w:bidi="fa-IR"/>
          <w:color w:val="111111"/>
          <w:sz w:val="28"/>
          <w:szCs w:val="28"/>
          <w:rtl/>
        </w:rPr>
        <w:t xml:space="preserve">و هو الحاج محمود التاجر بن الحاج علی چکمه‏دوز المتوفی 1311 ترجمه فرصت فی آثار عجم- ص 567 و أورد شعره‏
</w:t>
      </w:r>
    </w:p>
    <w:p>
      <w:pPr>
        <w:sectPr>
          <w:footerReference w:type="default" r:id="rId1019"/>
          <w:footnotePr>
            <w:numStart w:val="1"/>
            <w:numRestart w:val="eachPage"/>
          </w:footnotePr>
          <w:pgSz w:orient="portrait" w:w="11905.511811023622" w:h="16837.79527559055"/>
          <w:pgMar w:top="1440" w:right="1440" w:bottom="1440" w:left="1440" w:header="720" w:footer="720" w:gutter="0"/>
          <w:cols w:num="1" w:space="720"/>
        </w:sectPr>
      </w:pPr>
    </w:p>
    <w:bookmarkStart w:id="1001" w:name="pg11704_122487"/>
    <w:bookmarkEnd w:id="1001"/>
    <w:p>
      <w:pPr>
        <w:pStyle w:val="BookText"/>
      </w:pPr>
      <w:r>
        <w:rPr>
          <w:rFonts w:ascii="IRNazanin" w:hAnsi="IRNazanin" w:eastAsia="IRNazanin" w:cs="IRNazanin"/>
          <w:lang w:bidi="fa-IR"/>
          <w:color w:val="111111"/>
          <w:sz w:val="28"/>
          <w:szCs w:val="28"/>
          <w:rtl/>
        </w:rPr>
        <w:t xml:space="preserve">و فارس‏نامه- 2، 151 و هو غیر ساغر المذکور فی ص 415</w:t>
      </w:r>
    </w:p>
    <w:p>
      <w:pPr>
        <w:pStyle w:val="Heading3"/>
      </w:pPr>
      <w:bookmarkStart w:id="8734" w:name="_Toc7430"/>
      <w:r>
        <w:t>6578- دیوان محمود شیرازی أو شعره‏</w:t>
      </w:r>
      <w:bookmarkEnd w:id="8734"/>
    </w:p>
    <w:p>
      <w:pPr>
        <w:pStyle w:val="BookText"/>
      </w:pPr>
      <w:r>
        <w:rPr>
          <w:rFonts w:ascii="IRNazanin" w:hAnsi="IRNazanin" w:eastAsia="IRNazanin" w:cs="IRNazanin"/>
          <w:lang w:bidi="fa-IR"/>
          <w:color w:val="111111"/>
          <w:sz w:val="28"/>
          <w:szCs w:val="28"/>
          <w:rtl/>
        </w:rPr>
        <w:t xml:space="preserve">و هو أخ محمد باقر وزیر قورچی سافر بعد موت أخیه إلی الهند و عند الرجوع قتل فی السند ترجمه و أورد شعره الحزین فی تذکرته ص 125</w:t>
      </w:r>
    </w:p>
    <w:p>
      <w:pPr>
        <w:pStyle w:val="Heading3"/>
      </w:pPr>
      <w:bookmarkStart w:id="8735" w:name="_Toc7431"/>
      <w:r>
        <w:t>دیوان محمود شیرازی‏</w:t>
      </w:r>
      <w:bookmarkEnd w:id="8735"/>
    </w:p>
    <w:p>
      <w:pPr>
        <w:pStyle w:val="BookText"/>
      </w:pPr>
      <w:r>
        <w:rPr>
          <w:rFonts w:ascii="IRNazanin" w:hAnsi="IRNazanin" w:eastAsia="IRNazanin" w:cs="IRNazanin"/>
          <w:lang w:bidi="fa-IR"/>
          <w:color w:val="111111"/>
          <w:sz w:val="28"/>
          <w:szCs w:val="28"/>
          <w:rtl/>
        </w:rPr>
        <w:t xml:space="preserve">راجع عارفی هروی فی ص 671 و محمود کاشی و محمود کبکانی‏</w:t>
      </w:r>
    </w:p>
    <w:p>
      <w:pPr>
        <w:pStyle w:val="Heading3"/>
      </w:pPr>
      <w:bookmarkStart w:id="8736" w:name="_Toc7432"/>
      <w:r>
        <w:t>دیوان محمود شیوا أو شعره‏</w:t>
      </w:r>
      <w:bookmarkEnd w:id="8736"/>
    </w:p>
    <w:p>
      <w:pPr>
        <w:pStyle w:val="BookText"/>
      </w:pPr>
      <w:r>
        <w:rPr>
          <w:rFonts w:ascii="IRNazanin" w:hAnsi="IRNazanin" w:eastAsia="IRNazanin" w:cs="IRNazanin"/>
          <w:lang w:bidi="fa-IR"/>
          <w:color w:val="111111"/>
          <w:sz w:val="28"/>
          <w:szCs w:val="28"/>
          <w:rtl/>
        </w:rPr>
        <w:t xml:space="preserve">و هو صمصام السلطان ابن عماد الدولة أحمد تندری توفی 1361 و طبع له خردنامه کما مر فی ص 178</w:t>
      </w:r>
    </w:p>
    <w:p>
      <w:pPr>
        <w:pStyle w:val="Heading3"/>
      </w:pPr>
      <w:bookmarkStart w:id="8737" w:name="_Toc7433"/>
      <w:r>
        <w:t>6579- دیوان محمود صبوری أو شعره‏</w:t>
      </w:r>
      <w:bookmarkEnd w:id="8737"/>
    </w:p>
    <w:p>
      <w:pPr>
        <w:pStyle w:val="BookText"/>
      </w:pPr>
      <w:r>
        <w:rPr>
          <w:rFonts w:ascii="IRNazanin" w:hAnsi="IRNazanin" w:eastAsia="IRNazanin" w:cs="IRNazanin"/>
          <w:lang w:bidi="fa-IR"/>
          <w:color w:val="111111"/>
          <w:sz w:val="28"/>
          <w:szCs w:val="28"/>
          <w:rtl/>
        </w:rPr>
        <w:t xml:space="preserve">و هو الکاتب فی طهران ترجمه معاصره سام میرزا فی (تس 5- ص 158) و أورد شعره‏</w:t>
      </w:r>
    </w:p>
    <w:p>
      <w:pPr>
        <w:pStyle w:val="Heading3"/>
      </w:pPr>
      <w:bookmarkStart w:id="8738" w:name="_Toc7434"/>
      <w:r>
        <w:t>6580- دیوان سلطان محمود غزنوی أو شعره‏</w:t>
      </w:r>
      <w:bookmarkEnd w:id="8738"/>
    </w:p>
    <w:p>
      <w:pPr>
        <w:pStyle w:val="BookText"/>
      </w:pPr>
      <w:r>
        <w:rPr>
          <w:rFonts w:ascii="IRNazanin" w:hAnsi="IRNazanin" w:eastAsia="IRNazanin" w:cs="IRNazanin"/>
          <w:lang w:bidi="fa-IR"/>
          <w:color w:val="111111"/>
          <w:sz w:val="28"/>
          <w:szCs w:val="28"/>
          <w:rtl/>
        </w:rPr>
        <w:t xml:space="preserve">و هو ابن سبکتکین استقل بالملک 388 إلی أن توفی 421 عن إحدی و ستین سنة و طال ملکه ثلاث و ثلاثون سنة ترجمه فی (مع 1- ص 54) و أورد شعره و قال کان فی عصره أربعمائة شاعر و کلهم مادحیه و قال النفیسی فی مقدمه سخنان أبو سعید: إن السلاطین السبعة یطلق علی الغزنوی هذا و أبو سعید و بایزید و سنجر و جنید و أدهم و الإمام الرضا علیه السلام  و مر سلطان محمود</w:t>
      </w:r>
    </w:p>
    <w:p>
      <w:pPr>
        <w:pStyle w:val="Heading3"/>
      </w:pPr>
      <w:bookmarkStart w:id="8739" w:name="_Toc7435"/>
      <w:r>
        <w:t>دیوان محمود فریومذی‏</w:t>
      </w:r>
      <w:bookmarkEnd w:id="8739"/>
    </w:p>
    <w:p>
      <w:pPr>
        <w:pStyle w:val="BookText"/>
      </w:pPr>
      <w:r>
        <w:rPr>
          <w:rFonts w:ascii="IRNazanin" w:hAnsi="IRNazanin" w:eastAsia="IRNazanin" w:cs="IRNazanin"/>
          <w:lang w:bidi="fa-IR"/>
          <w:color w:val="111111"/>
          <w:sz w:val="28"/>
          <w:szCs w:val="28"/>
          <w:rtl/>
        </w:rPr>
        <w:t xml:space="preserve">راجع ابن یمین فی ص 34</w:t>
      </w:r>
    </w:p>
    <w:p>
      <w:pPr>
        <w:pStyle w:val="Heading3"/>
      </w:pPr>
      <w:bookmarkStart w:id="8740" w:name="_Toc7436"/>
      <w:r>
        <w:t>دیوان شاه محمود فیروزآبادی فارسی‏</w:t>
      </w:r>
      <w:bookmarkEnd w:id="8740"/>
    </w:p>
    <w:p>
      <w:pPr>
        <w:pStyle w:val="BookText"/>
      </w:pPr>
      <w:r>
        <w:rPr>
          <w:rFonts w:ascii="IRNazanin" w:hAnsi="IRNazanin" w:eastAsia="IRNazanin" w:cs="IRNazanin"/>
          <w:lang w:bidi="fa-IR"/>
          <w:color w:val="111111"/>
          <w:sz w:val="28"/>
          <w:szCs w:val="28"/>
          <w:rtl/>
        </w:rPr>
        <w:t xml:space="preserve">مر بتخلصه رفعت‏</w:t>
      </w:r>
    </w:p>
    <w:p>
      <w:pPr>
        <w:pStyle w:val="Heading3"/>
      </w:pPr>
      <w:bookmarkStart w:id="8741" w:name="_Toc7437"/>
      <w:r>
        <w:t>6581- دیوان محمود قاجار</w:t>
      </w:r>
      <w:bookmarkEnd w:id="8741"/>
    </w:p>
    <w:p>
      <w:pPr>
        <w:pStyle w:val="BookText"/>
      </w:pPr>
      <w:r>
        <w:rPr>
          <w:rFonts w:ascii="IRNazanin" w:hAnsi="IRNazanin" w:eastAsia="IRNazanin" w:cs="IRNazanin"/>
          <w:lang w:bidi="fa-IR"/>
          <w:color w:val="111111"/>
          <w:sz w:val="28"/>
          <w:szCs w:val="28"/>
          <w:rtl/>
        </w:rPr>
        <w:t xml:space="preserve">لمحمود میرزا قاجار ابن فتح علی شاه (1214- 1271) و المترجم فی (انجمن 2) و مؤلف مجمع محمودی و سفینه محمودی المذکور فی 12: 197 و له صاحب‏نامه توجد مع دیوانه فی (المجلس) و (الملک 266) و له تحفه شاهنشاهی یوجد فی المکتبة (الملیة 718)</w:t>
      </w:r>
    </w:p>
    <w:p>
      <w:pPr>
        <w:pStyle w:val="Heading3"/>
      </w:pPr>
      <w:bookmarkStart w:id="8742" w:name="_Toc7438"/>
      <w:r>
        <w:t>6582- دیوان محمود کاتب أو شعره‏</w:t>
      </w:r>
      <w:bookmarkEnd w:id="8742"/>
    </w:p>
    <w:p>
      <w:pPr>
        <w:pStyle w:val="BookText"/>
      </w:pPr>
      <w:r>
        <w:rPr>
          <w:rFonts w:ascii="IRNazanin" w:hAnsi="IRNazanin" w:eastAsia="IRNazanin" w:cs="IRNazanin"/>
          <w:lang w:bidi="fa-IR"/>
          <w:color w:val="111111"/>
          <w:sz w:val="28"/>
          <w:szCs w:val="28"/>
          <w:rtl/>
        </w:rPr>
        <w:t xml:space="preserve">ترجمه فی (مجتس 5- ص 148) و ذکر أنه ولد بهراة و کان طالب العلم و أورد شعره‏</w:t>
      </w:r>
    </w:p>
    <w:p>
      <w:pPr>
        <w:pStyle w:val="Heading3"/>
      </w:pPr>
      <w:bookmarkStart w:id="8743" w:name="_Toc7439"/>
      <w:r>
        <w:t>6583- دیوان محمود کاشی‏</w:t>
      </w:r>
      <w:bookmarkEnd w:id="8743"/>
    </w:p>
    <w:p>
      <w:pPr>
        <w:pStyle w:val="BookText"/>
      </w:pPr>
      <w:r>
        <w:rPr>
          <w:rFonts w:ascii="IRNazanin" w:hAnsi="IRNazanin" w:eastAsia="IRNazanin" w:cs="IRNazanin"/>
          <w:lang w:bidi="fa-IR"/>
          <w:color w:val="111111"/>
          <w:sz w:val="28"/>
          <w:szCs w:val="28"/>
          <w:rtl/>
        </w:rPr>
        <w:t xml:space="preserve">نزیل شیراز أخیرا و المتوفی بها ترجمه معاصره سام میرزا فی (تس 5- ص 155) و ذکر أنه تتبع مثنوی دریای أبرار للأمیر خسرو الدهلوی‏
</w:t>
      </w:r>
    </w:p>
    <w:p>
      <w:pPr>
        <w:sectPr>
          <w:footerReference w:type="default" r:id="rId1020"/>
          <w:footnotePr>
            <w:numStart w:val="1"/>
            <w:numRestart w:val="eachPage"/>
          </w:footnotePr>
          <w:pgSz w:orient="portrait" w:w="11905.511811023622" w:h="16837.79527559055"/>
          <w:pgMar w:top="1440" w:right="1440" w:bottom="1440" w:left="1440" w:header="720" w:footer="720" w:gutter="0"/>
          <w:cols w:num="1" w:space="720"/>
        </w:sectPr>
      </w:pPr>
    </w:p>
    <w:bookmarkStart w:id="1002" w:name="pg11704_122488"/>
    <w:bookmarkEnd w:id="1002"/>
    <w:p>
      <w:pPr>
        <w:pStyle w:val="BookText"/>
      </w:pPr>
      <w:r>
        <w:rPr>
          <w:rFonts w:ascii="IRNazanin" w:hAnsi="IRNazanin" w:eastAsia="IRNazanin" w:cs="IRNazanin"/>
          <w:lang w:bidi="fa-IR"/>
          <w:color w:val="111111"/>
          <w:sz w:val="28"/>
          <w:szCs w:val="28"/>
          <w:rtl/>
        </w:rPr>
        <w:t xml:space="preserve">و أورد مطلعه و قد رأی سنگلاخ دیوانه بخط شاه محمود النیشابوری فذکره فی (امتحان 1: 116) و ترجم أیضا فی همیشه بهار</w:t>
      </w:r>
    </w:p>
    <w:p>
      <w:pPr>
        <w:pStyle w:val="Heading3"/>
      </w:pPr>
      <w:bookmarkStart w:id="8744" w:name="_Toc7440"/>
      <w:r>
        <w:t>6584- دیوان محمود کبکانی‏</w:t>
      </w:r>
      <w:bookmarkEnd w:id="8744"/>
    </w:p>
    <w:p>
      <w:pPr>
        <w:pStyle w:val="BookText"/>
      </w:pPr>
      <w:r>
        <w:rPr>
          <w:rFonts w:ascii="IRNazanin" w:hAnsi="IRNazanin" w:eastAsia="IRNazanin" w:cs="IRNazanin"/>
          <w:lang w:bidi="fa-IR"/>
          <w:color w:val="111111"/>
          <w:sz w:val="28"/>
          <w:szCs w:val="28"/>
          <w:rtl/>
        </w:rPr>
        <w:t xml:space="preserve">المشتمل علی الغزلیات و المدائح و المراثی و غیرها و اسم الناظم المولی حسن و تخلصه محمود أصله من کبکان من محال تنگستان و انتقل أخیرا إلی جم وزیر و بها توفی حدود 1313 و له أشعار فی مدح جم منها قوله بعد نزوله إلیها:</w:t>
      </w:r>
    </w:p>
    <w:p>
      <w:pPr>
        <w:pStyle w:val="BookText"/>
      </w:pPr>
      <w:r>
        <w:rPr>
          <w:rFonts w:ascii="IRNazanin" w:hAnsi="IRNazanin" w:eastAsia="IRNazanin" w:cs="IRNazanin"/>
          <w:lang w:bidi="fa-IR"/>
          <w:color w:val="111111"/>
          <w:sz w:val="28"/>
          <w:szCs w:val="28"/>
          <w:rtl/>
        </w:rPr>
        <w:t xml:space="preserve">از هر کنار ناله برآمد که از چه رو</w:t>
      </w:r>
    </w:p>
    <w:p>
      <w:pPr>
        <w:pStyle w:val="BookText"/>
      </w:pPr>
      <w:r>
        <w:rPr>
          <w:rFonts w:ascii="IRNazanin" w:hAnsi="IRNazanin" w:eastAsia="IRNazanin" w:cs="IRNazanin"/>
          <w:lang w:bidi="fa-IR"/>
          <w:color w:val="111111"/>
          <w:sz w:val="28"/>
          <w:szCs w:val="28"/>
          <w:rtl/>
        </w:rPr>
        <w:t xml:space="preserve">محمود از کناره ما بر کنار شد</w:t>
      </w:r>
    </w:p>
    <w:p>
      <w:pPr>
        <w:pStyle w:val="BookText"/>
      </w:pPr>
      <w:r>
        <w:rPr>
          <w:rFonts w:ascii="IRNazanin" w:hAnsi="IRNazanin" w:eastAsia="IRNazanin" w:cs="IRNazanin"/>
          <w:lang w:bidi="fa-IR"/>
          <w:color w:val="111111"/>
          <w:sz w:val="28"/>
          <w:szCs w:val="28"/>
          <w:rtl/>
        </w:rPr>
        <w:t xml:space="preserve">و من قصائده ما سماه السیف الماضی فی تنبیه القاضی أرسلها إلی صدیقه المولی إسماعیل الذی کان قاضی العامة فی قریة گله‏دار من قری فال أسیر و فیها قوله:</w:t>
      </w:r>
    </w:p>
    <w:p>
      <w:pPr>
        <w:pStyle w:val="BookText"/>
      </w:pPr>
      <w:r>
        <w:rPr>
          <w:rFonts w:ascii="IRNazanin" w:hAnsi="IRNazanin" w:eastAsia="IRNazanin" w:cs="IRNazanin"/>
          <w:lang w:bidi="fa-IR"/>
          <w:color w:val="111111"/>
          <w:sz w:val="28"/>
          <w:szCs w:val="28"/>
          <w:rtl/>
        </w:rPr>
        <w:t xml:space="preserve">یا سمی الذبیح قلت مرارا</w:t>
      </w:r>
    </w:p>
    <w:p>
      <w:pPr>
        <w:pStyle w:val="BookText"/>
      </w:pPr>
      <w:r>
        <w:rPr>
          <w:rFonts w:ascii="IRNazanin" w:hAnsi="IRNazanin" w:eastAsia="IRNazanin" w:cs="IRNazanin"/>
          <w:lang w:bidi="fa-IR"/>
          <w:color w:val="111111"/>
          <w:sz w:val="28"/>
          <w:szCs w:val="28"/>
          <w:rtl/>
        </w:rPr>
        <w:t xml:space="preserve">لک أن لا تتخذ فلانا خلیلا</w:t>
      </w:r>
    </w:p>
    <w:p>
      <w:pPr>
        <w:pStyle w:val="BookText"/>
      </w:pPr>
      <w:r>
        <w:rPr>
          <w:rFonts w:ascii="IRNazanin" w:hAnsi="IRNazanin" w:eastAsia="IRNazanin" w:cs="IRNazanin"/>
          <w:lang w:bidi="fa-IR"/>
          <w:color w:val="111111"/>
          <w:sz w:val="28"/>
          <w:szCs w:val="28"/>
          <w:rtl/>
        </w:rPr>
        <w:t xml:space="preserve">و قد ترجمه مختصرا معاصره المیرزا فرصت فی زمن حیاته فی کتابه (عم- ص 372) و أورد بعض شعره‏</w:t>
      </w:r>
    </w:p>
    <w:p>
      <w:pPr>
        <w:pStyle w:val="Heading3"/>
      </w:pPr>
      <w:bookmarkStart w:id="8745" w:name="_Toc7441"/>
      <w:r>
        <w:t>دیوان الآقا محمود الکرمانشاهی‏</w:t>
      </w:r>
      <w:bookmarkEnd w:id="8745"/>
    </w:p>
    <w:p>
      <w:pPr>
        <w:pStyle w:val="BookText"/>
      </w:pPr>
      <w:r>
        <w:rPr>
          <w:rFonts w:ascii="IRNazanin" w:hAnsi="IRNazanin" w:eastAsia="IRNazanin" w:cs="IRNazanin"/>
          <w:lang w:bidi="fa-IR"/>
          <w:color w:val="111111"/>
          <w:sz w:val="28"/>
          <w:szCs w:val="28"/>
          <w:rtl/>
        </w:rPr>
        <w:t xml:space="preserve">ابن الآقا محمد علی بن الوحید البهبهانی الحائری نزیل طهران و المتوفی بدژآشوب شمیران 1271 و حمل إلی الحائر فی جنب جده البهبهانی فیه غزلیات و ساقی‏نامه أورد قرب مائة بیت منها فی (مع 2- ص 453) و له مهیجات الأشواق فیها شعر کثیر و مر فی ص 146</w:t>
      </w:r>
    </w:p>
    <w:p>
      <w:pPr>
        <w:pStyle w:val="Heading3"/>
      </w:pPr>
      <w:bookmarkStart w:id="8746" w:name="_Toc7442"/>
      <w:r>
        <w:t>6585- دیوان محمود کلابی أو شعره‏</w:t>
      </w:r>
      <w:bookmarkEnd w:id="8746"/>
    </w:p>
    <w:p>
      <w:pPr>
        <w:pStyle w:val="BookText"/>
      </w:pPr>
      <w:r>
        <w:rPr>
          <w:rFonts w:ascii="IRNazanin" w:hAnsi="IRNazanin" w:eastAsia="IRNazanin" w:cs="IRNazanin"/>
          <w:lang w:bidi="fa-IR"/>
          <w:color w:val="111111"/>
          <w:sz w:val="28"/>
          <w:szCs w:val="28"/>
          <w:rtl/>
        </w:rPr>
        <w:t xml:space="preserve">و هو سلطان محمود خان بن أمیر خان الکلابی الترکمان أورد شعره فی (خص 5- ص 65)</w:t>
      </w:r>
    </w:p>
    <w:p>
      <w:pPr>
        <w:pStyle w:val="Heading3"/>
      </w:pPr>
      <w:bookmarkStart w:id="8747" w:name="_Toc7443"/>
      <w:r>
        <w:t>6586- دیوان محمود گیلانی أو شعره‏</w:t>
      </w:r>
      <w:bookmarkEnd w:id="8747"/>
    </w:p>
    <w:p>
      <w:pPr>
        <w:pStyle w:val="BookText"/>
      </w:pPr>
      <w:r>
        <w:rPr>
          <w:rFonts w:ascii="IRNazanin" w:hAnsi="IRNazanin" w:eastAsia="IRNazanin" w:cs="IRNazanin"/>
          <w:lang w:bidi="fa-IR"/>
          <w:color w:val="111111"/>
          <w:sz w:val="28"/>
          <w:szCs w:val="28"/>
          <w:rtl/>
        </w:rPr>
        <w:t xml:space="preserve">کان من أمراء خان أحمد خان والی گیلان ترجمه معاصره سام میرزا فی (تس 4- ص 75) و أورد رباعیه‏</w:t>
      </w:r>
    </w:p>
    <w:p>
      <w:pPr>
        <w:pStyle w:val="Heading3"/>
      </w:pPr>
      <w:bookmarkStart w:id="8748" w:name="_Toc7444"/>
      <w:r>
        <w:t>6587- دیوان محمود لاهیجی أو شعره‏</w:t>
      </w:r>
      <w:bookmarkEnd w:id="8748"/>
    </w:p>
    <w:p>
      <w:pPr>
        <w:pStyle w:val="BookText"/>
      </w:pPr>
      <w:r>
        <w:rPr>
          <w:rFonts w:ascii="IRNazanin" w:hAnsi="IRNazanin" w:eastAsia="IRNazanin" w:cs="IRNazanin"/>
          <w:lang w:bidi="fa-IR"/>
          <w:color w:val="111111"/>
          <w:sz w:val="28"/>
          <w:szCs w:val="28"/>
          <w:rtl/>
        </w:rPr>
        <w:t xml:space="preserve">کان نزیل أصفهان أخیرا مع والده الحاج محمد التاجر اللاهیجی ترجمه معاصره النصرآبادی فی (نر 5- ص 134) و أورد بعض شعره و قال إنه یتخلص فی شعره بمحمود</w:t>
      </w:r>
    </w:p>
    <w:p>
      <w:pPr>
        <w:pStyle w:val="Heading3"/>
      </w:pPr>
      <w:bookmarkStart w:id="8749" w:name="_Toc7445"/>
      <w:r>
        <w:t>6588- دیوان محمود مشکی‏</w:t>
      </w:r>
      <w:bookmarkEnd w:id="8749"/>
    </w:p>
    <w:p>
      <w:pPr>
        <w:pStyle w:val="BookText"/>
      </w:pPr>
      <w:r>
        <w:rPr>
          <w:rFonts w:ascii="IRNazanin" w:hAnsi="IRNazanin" w:eastAsia="IRNazanin" w:cs="IRNazanin"/>
          <w:lang w:bidi="fa-IR"/>
          <w:color w:val="111111"/>
          <w:sz w:val="28"/>
          <w:szCs w:val="28"/>
          <w:rtl/>
        </w:rPr>
        <w:t xml:space="preserve">من نجباء تبریز ترجم معاصره سام میرزا فی (تس 5- ص 171) و قال إنه مسلم عند الشعراء بحسن الطبع و لا سیما فی الغزلیات و القصائد و أورد
</w:t>
      </w:r>
    </w:p>
    <w:p>
      <w:pPr>
        <w:sectPr>
          <w:footerReference w:type="default" r:id="rId1021"/>
          <w:footnotePr>
            <w:numStart w:val="1"/>
            <w:numRestart w:val="eachPage"/>
          </w:footnotePr>
          <w:pgSz w:orient="portrait" w:w="11905.511811023622" w:h="16837.79527559055"/>
          <w:pgMar w:top="1440" w:right="1440" w:bottom="1440" w:left="1440" w:header="720" w:footer="720" w:gutter="0"/>
          <w:cols w:num="1" w:space="720"/>
        </w:sectPr>
      </w:pPr>
    </w:p>
    <w:bookmarkStart w:id="1003" w:name="pg11704_122489"/>
    <w:bookmarkEnd w:id="1003"/>
    <w:p>
      <w:pPr>
        <w:pStyle w:val="BookText"/>
      </w:pPr>
      <w:r>
        <w:rPr>
          <w:rFonts w:ascii="IRNazanin" w:hAnsi="IRNazanin" w:eastAsia="IRNazanin" w:cs="IRNazanin"/>
          <w:lang w:bidi="fa-IR"/>
          <w:color w:val="111111"/>
          <w:sz w:val="28"/>
          <w:szCs w:val="28"/>
          <w:rtl/>
        </w:rPr>
        <w:t xml:space="preserve">مطلعین من غزله‏</w:t>
      </w:r>
    </w:p>
    <w:p>
      <w:pPr>
        <w:pStyle w:val="Heading3"/>
      </w:pPr>
      <w:bookmarkStart w:id="8750" w:name="_Toc7446"/>
      <w:r>
        <w:t>6589- دیوان محمود مشهدی‏</w:t>
      </w:r>
      <w:bookmarkEnd w:id="8750"/>
    </w:p>
    <w:p>
      <w:pPr>
        <w:pStyle w:val="BookText"/>
      </w:pPr>
      <w:r>
        <w:rPr>
          <w:rFonts w:ascii="IRNazanin" w:hAnsi="IRNazanin" w:eastAsia="IRNazanin" w:cs="IRNazanin"/>
          <w:lang w:bidi="fa-IR"/>
          <w:color w:val="111111"/>
          <w:sz w:val="28"/>
          <w:szCs w:val="28"/>
          <w:rtl/>
        </w:rPr>
        <w:t xml:space="preserve">ترجمه فی الأمل بعنوان مولانا الحاج محمود ابن المیر علی المیمدی المشهدی فاضل عالم صالح عابد ثقة صدوق شاعر معاصر له تصانیف و بعد ذکر تصانیفه قال و له شعر بالعربیة و الفارسیة</w:t>
      </w:r>
    </w:p>
    <w:p>
      <w:pPr>
        <w:pStyle w:val="Heading3"/>
      </w:pPr>
      <w:bookmarkStart w:id="8751" w:name="_Toc7447"/>
      <w:r>
        <w:t>دیوان سلطان محمود میرزا</w:t>
      </w:r>
      <w:bookmarkEnd w:id="8751"/>
    </w:p>
    <w:p>
      <w:pPr>
        <w:pStyle w:val="BookText"/>
      </w:pPr>
      <w:r>
        <w:rPr>
          <w:rFonts w:ascii="IRNazanin" w:hAnsi="IRNazanin" w:eastAsia="IRNazanin" w:cs="IRNazanin"/>
          <w:lang w:bidi="fa-IR"/>
          <w:color w:val="111111"/>
          <w:sz w:val="28"/>
          <w:szCs w:val="28"/>
          <w:rtl/>
        </w:rPr>
        <w:t xml:space="preserve">الشهیر بمحمود غازی فی ما وراء النهر بن السلطان أبی سعید میرزا مر فی السین‏</w:t>
      </w:r>
    </w:p>
    <w:p>
      <w:pPr>
        <w:pStyle w:val="Heading3"/>
      </w:pPr>
      <w:bookmarkStart w:id="8752" w:name="_Toc7448"/>
      <w:r>
        <w:t>6590- دیوان محمود ملک الشعراء</w:t>
      </w:r>
      <w:bookmarkEnd w:id="8752"/>
    </w:p>
    <w:p>
      <w:pPr>
        <w:pStyle w:val="BookText"/>
      </w:pPr>
      <w:r>
        <w:rPr>
          <w:rFonts w:ascii="IRNazanin" w:hAnsi="IRNazanin" w:eastAsia="IRNazanin" w:cs="IRNazanin"/>
          <w:lang w:bidi="fa-IR"/>
          <w:color w:val="111111"/>
          <w:sz w:val="28"/>
          <w:szCs w:val="28"/>
          <w:rtl/>
        </w:rPr>
        <w:t xml:space="preserve">الکاشانی الدنبلی الأصل هو ابن محمد حسین عندلیب المذکور فی ص 772 و هو ابن ملک الشعراء فتح علی خان صبا المذکور فی ص 592 ترجم فی (المآثر- ص 196) و نامه فرهنگیان لعبرت و فی (مع 2- 632) قال إن شعره قلیل و أورد</w:t>
      </w:r>
    </w:p>
    <w:p>
      <w:pPr>
        <w:pStyle w:val="BookText"/>
      </w:pPr>
      <w:r>
        <w:rPr>
          <w:rFonts w:ascii="IRNazanin" w:hAnsi="IRNazanin" w:eastAsia="IRNazanin" w:cs="IRNazanin"/>
          <w:lang w:bidi="fa-IR"/>
          <w:color w:val="111111"/>
          <w:sz w:val="28"/>
          <w:szCs w:val="28"/>
          <w:rtl/>
        </w:rPr>
        <w:t xml:space="preserve">400 بیت من قصائده و لم یذکر له غزلا و لا تخلصا و مر له چهارده بند و یأتی له منشئات و لقب ملک الشعراء کان لجده و لأبیه‏</w:t>
      </w:r>
    </w:p>
    <w:p>
      <w:pPr>
        <w:pStyle w:val="Heading3"/>
      </w:pPr>
      <w:bookmarkStart w:id="8753" w:name="_Toc7449"/>
      <w:r>
        <w:t>6591- دیوان محمود نجم‏آبادی‏</w:t>
      </w:r>
      <w:bookmarkEnd w:id="8753"/>
    </w:p>
    <w:p>
      <w:pPr>
        <w:pStyle w:val="BookText"/>
      </w:pPr>
      <w:r>
        <w:rPr>
          <w:rFonts w:ascii="IRNazanin" w:hAnsi="IRNazanin" w:eastAsia="IRNazanin" w:cs="IRNazanin"/>
          <w:lang w:bidi="fa-IR"/>
          <w:color w:val="111111"/>
          <w:sz w:val="28"/>
          <w:szCs w:val="28"/>
          <w:rtl/>
        </w:rPr>
        <w:t xml:space="preserve">و اسمه الشیخ محمود. نظم متاع الوارثین المطبوع بطهران 1323 و له مقدمه منظومة لابنه الشیخ محمد حسین النجم‏آبادی.</w:t>
      </w:r>
    </w:p>
    <w:p>
      <w:pPr>
        <w:pStyle w:val="Heading3"/>
      </w:pPr>
      <w:bookmarkStart w:id="8754" w:name="_Toc7450"/>
      <w:r>
        <w:t>6592- دیوان محمود وراق هروی أو شعره‏</w:t>
      </w:r>
      <w:bookmarkEnd w:id="8754"/>
    </w:p>
    <w:p>
      <w:pPr>
        <w:pStyle w:val="BookText"/>
      </w:pPr>
      <w:r>
        <w:rPr>
          <w:rFonts w:ascii="IRNazanin" w:hAnsi="IRNazanin" w:eastAsia="IRNazanin" w:cs="IRNazanin"/>
          <w:lang w:bidi="fa-IR"/>
          <w:color w:val="111111"/>
          <w:sz w:val="28"/>
          <w:szCs w:val="28"/>
          <w:rtl/>
        </w:rPr>
        <w:t xml:space="preserve">هو من شعراء العهد الطاهری و الصفاری. ترجم فی (مع 1: 511) و أورد شعره.</w:t>
      </w:r>
    </w:p>
    <w:p>
      <w:pPr>
        <w:pStyle w:val="Heading3"/>
      </w:pPr>
      <w:bookmarkStart w:id="8755" w:name="_Toc7451"/>
      <w:r>
        <w:t>6593- دیوان محنتی أردبیلی أو شعره‏</w:t>
      </w:r>
      <w:bookmarkEnd w:id="8755"/>
    </w:p>
    <w:p>
      <w:pPr>
        <w:pStyle w:val="BookText"/>
      </w:pPr>
      <w:r>
        <w:rPr>
          <w:rFonts w:ascii="IRNazanin" w:hAnsi="IRNazanin" w:eastAsia="IRNazanin" w:cs="IRNazanin"/>
          <w:lang w:bidi="fa-IR"/>
          <w:color w:val="111111"/>
          <w:sz w:val="28"/>
          <w:szCs w:val="28"/>
          <w:rtl/>
        </w:rPr>
        <w:t xml:space="preserve">ترجمه معاصره سام میرزا فی (تس 5- ص 145) و أورد شعره و عنه فی (دجا- ص 334).</w:t>
      </w:r>
    </w:p>
    <w:p>
      <w:pPr>
        <w:pStyle w:val="Heading3"/>
      </w:pPr>
      <w:bookmarkStart w:id="8756" w:name="_Toc7452"/>
      <w:r>
        <w:t>6594- دیوان محنتی عظیم‏آبادی أو شعره‏</w:t>
      </w:r>
      <w:bookmarkEnd w:id="8756"/>
    </w:p>
    <w:p>
      <w:pPr>
        <w:pStyle w:val="BookText"/>
      </w:pPr>
      <w:r>
        <w:rPr>
          <w:rFonts w:ascii="IRNazanin" w:hAnsi="IRNazanin" w:eastAsia="IRNazanin" w:cs="IRNazanin"/>
          <w:lang w:bidi="fa-IR"/>
          <w:color w:val="111111"/>
          <w:sz w:val="28"/>
          <w:szCs w:val="28"/>
          <w:rtl/>
        </w:rPr>
        <w:t xml:space="preserve">و اسمه هری هرناته من قوم کایتة.</w:t>
      </w:r>
    </w:p>
    <w:p>
      <w:pPr>
        <w:pStyle w:val="BookText"/>
      </w:pPr>
      <w:r>
        <w:rPr>
          <w:rFonts w:ascii="IRNazanin" w:hAnsi="IRNazanin" w:eastAsia="IRNazanin" w:cs="IRNazanin"/>
          <w:lang w:bidi="fa-IR"/>
          <w:color w:val="111111"/>
          <w:sz w:val="28"/>
          <w:szCs w:val="28"/>
          <w:rtl/>
        </w:rPr>
        <w:t xml:space="preserve">أورد شعره فی (گلشن- ص 388) و (مسرت- ص 84).</w:t>
      </w:r>
    </w:p>
    <w:p>
      <w:pPr>
        <w:pStyle w:val="Heading3"/>
      </w:pPr>
      <w:bookmarkStart w:id="8757" w:name="_Toc7453"/>
      <w:r>
        <w:t>دیوان محنتی هروی‏</w:t>
      </w:r>
      <w:bookmarkEnd w:id="8757"/>
    </w:p>
    <w:p>
      <w:pPr>
        <w:pStyle w:val="BookText"/>
      </w:pPr>
      <w:r>
        <w:rPr>
          <w:rFonts w:ascii="IRNazanin" w:hAnsi="IRNazanin" w:eastAsia="IRNazanin" w:cs="IRNazanin"/>
          <w:lang w:bidi="fa-IR"/>
          <w:color w:val="111111"/>
          <w:sz w:val="28"/>
          <w:szCs w:val="28"/>
          <w:rtl/>
        </w:rPr>
        <w:t xml:space="preserve">کما فی (لط 3- ص 84) مر بعنوان محبتی فی ص 970.</w:t>
      </w:r>
    </w:p>
    <w:p>
      <w:pPr>
        <w:pStyle w:val="Heading3"/>
      </w:pPr>
      <w:bookmarkStart w:id="8758" w:name="_Toc7454"/>
      <w:r>
        <w:t>6595- دیوان محولاتی‏</w:t>
      </w:r>
      <w:bookmarkEnd w:id="8758"/>
    </w:p>
    <w:p>
      <w:pPr>
        <w:pStyle w:val="BookText"/>
      </w:pPr>
      <w:r>
        <w:rPr>
          <w:rFonts w:ascii="IRNazanin" w:hAnsi="IRNazanin" w:eastAsia="IRNazanin" w:cs="IRNazanin"/>
          <w:lang w:bidi="fa-IR"/>
          <w:color w:val="111111"/>
          <w:sz w:val="28"/>
          <w:szCs w:val="28"/>
          <w:rtl/>
        </w:rPr>
        <w:t xml:space="preserve">و هو الشیخ جواد ابن الشیخ محسن الخراسانی المحولاتی نزیل طهران کلها مراثی. طبع باسم دیوان بینه رحمت بطهران فی 1375 فی 118 ص.</w:t>
      </w:r>
    </w:p>
    <w:p>
      <w:pPr>
        <w:pStyle w:val="Heading3"/>
      </w:pPr>
      <w:bookmarkStart w:id="8759" w:name="_Toc7455"/>
      <w:r>
        <w:t>6596- دیوان محوی أردبیلی‏</w:t>
      </w:r>
      <w:bookmarkEnd w:id="8759"/>
    </w:p>
    <w:p>
      <w:pPr>
        <w:pStyle w:val="BookText"/>
      </w:pPr>
      <w:r>
        <w:rPr>
          <w:rFonts w:ascii="IRNazanin" w:hAnsi="IRNazanin" w:eastAsia="IRNazanin" w:cs="IRNazanin"/>
          <w:lang w:bidi="fa-IR"/>
          <w:color w:val="111111"/>
          <w:sz w:val="28"/>
          <w:szCs w:val="28"/>
          <w:rtl/>
        </w:rPr>
        <w:t xml:space="preserve">المولی عبد العلی. ولد بأردبیل و نشا بشیراز و جاء أصفهان ثم سافر إلی الهند عن طریق هرمز فجاء إلی تته و لازم رستم میرزا الصفوی (حاکم تته من 1021 إلی 1023) ثم جاء معه فی 1024 إلی أجمیر فلاقاه هناک‏
</w:t>
      </w:r>
    </w:p>
    <w:p>
      <w:pPr>
        <w:sectPr>
          <w:footerReference w:type="default" r:id="rId1022"/>
          <w:footnotePr>
            <w:numStart w:val="1"/>
            <w:numRestart w:val="eachPage"/>
          </w:footnotePr>
          <w:pgSz w:orient="portrait" w:w="11905.511811023622" w:h="16837.79527559055"/>
          <w:pgMar w:top="1440" w:right="1440" w:bottom="1440" w:left="1440" w:header="720" w:footer="720" w:gutter="0"/>
          <w:cols w:num="1" w:space="720"/>
        </w:sectPr>
      </w:pPr>
    </w:p>
    <w:bookmarkStart w:id="1004" w:name="pg11704_122490"/>
    <w:bookmarkEnd w:id="1004"/>
    <w:p>
      <w:pPr>
        <w:pStyle w:val="BookText"/>
      </w:pPr>
      <w:r>
        <w:rPr>
          <w:rFonts w:ascii="IRNazanin" w:hAnsi="IRNazanin" w:eastAsia="IRNazanin" w:cs="IRNazanin"/>
          <w:lang w:bidi="fa-IR"/>
          <w:color w:val="111111"/>
          <w:sz w:val="28"/>
          <w:szCs w:val="28"/>
          <w:rtl/>
        </w:rPr>
        <w:t xml:space="preserve">عبد النبی فخر الزمانی فترجمه فی میخانه- ص 556 و قال کان عمره حینئذ سبع و عشرین سنة، فسافر إلی برهان‏پور و مات بعد عدة أیام. و قال مرشد البروجردی فی تاریخه فی قصیدة:</w:t>
      </w:r>
    </w:p>
    <w:p>
      <w:pPr>
        <w:pStyle w:val="BookText"/>
      </w:pPr>
      <w:r>
        <w:rPr>
          <w:rFonts w:ascii="IRNazanin" w:hAnsi="IRNazanin" w:eastAsia="IRNazanin" w:cs="IRNazanin"/>
          <w:lang w:bidi="fa-IR"/>
          <w:color w:val="111111"/>
          <w:sz w:val="28"/>
          <w:szCs w:val="28"/>
          <w:rtl/>
        </w:rPr>
        <w:t xml:space="preserve">ز من پرسید دل تاریخ فوتش‏</w:t>
      </w:r>
    </w:p>
    <w:p>
      <w:pPr>
        <w:pStyle w:val="BookText"/>
      </w:pPr>
      <w:r>
        <w:rPr>
          <w:rFonts w:ascii="IRNazanin" w:hAnsi="IRNazanin" w:eastAsia="IRNazanin" w:cs="IRNazanin"/>
          <w:lang w:bidi="fa-IR"/>
          <w:color w:val="111111"/>
          <w:sz w:val="28"/>
          <w:szCs w:val="28"/>
          <w:rtl/>
        </w:rPr>
        <w:t xml:space="preserve">بدو گفتم عجب یاری ز ما رفت- 1024</w:t>
      </w:r>
    </w:p>
    <w:p>
      <w:pPr>
        <w:pStyle w:val="BookText"/>
      </w:pPr>
      <w:r>
        <w:rPr>
          <w:rFonts w:ascii="IRNazanin" w:hAnsi="IRNazanin" w:eastAsia="IRNazanin" w:cs="IRNazanin"/>
          <w:lang w:bidi="fa-IR"/>
          <w:color w:val="111111"/>
          <w:sz w:val="28"/>
          <w:szCs w:val="28"/>
          <w:rtl/>
        </w:rPr>
        <w:t xml:space="preserve">، ترجمه فی ریاض الشعراء لواله الداغستانی و مخزن الغرائب و (تش- ص 25) و فهرس ریو- ص 739 و فهرس بادلی- 374 و (دجا- ص 338) و فی (دجا- ص 338) و جاء شعره فی (مسرت- ص 329) و توجد نسخه من دیوانه عند (فخر الدین).</w:t>
      </w:r>
    </w:p>
    <w:p>
      <w:pPr>
        <w:pStyle w:val="Heading3"/>
      </w:pPr>
      <w:bookmarkStart w:id="8760" w:name="_Toc7456"/>
      <w:r>
        <w:t>6597- دیوان محوی أسترآبادی أو شعره‏</w:t>
      </w:r>
      <w:bookmarkEnd w:id="8760"/>
    </w:p>
    <w:p>
      <w:pPr>
        <w:pStyle w:val="BookText"/>
      </w:pPr>
      <w:r>
        <w:rPr>
          <w:rFonts w:ascii="IRNazanin" w:hAnsi="IRNazanin" w:eastAsia="IRNazanin" w:cs="IRNazanin"/>
          <w:lang w:bidi="fa-IR"/>
          <w:color w:val="111111"/>
          <w:sz w:val="28"/>
          <w:szCs w:val="28"/>
          <w:rtl/>
        </w:rPr>
        <w:t xml:space="preserve">و اسمه الحاج مولی محمد باقر من الفضلاء العرفاء. ترجمه فی (مع 2- ص 451) و ذکر أنه أدرکه فی آخر عمره فی شیراز و أورد شعره. ثم قال و فیها توفی.</w:t>
      </w:r>
    </w:p>
    <w:p>
      <w:pPr>
        <w:pStyle w:val="Heading3"/>
      </w:pPr>
      <w:bookmarkStart w:id="8761" w:name="_Toc7457"/>
      <w:r>
        <w:t>6597- دیوان محوی أصفهانی أو شعره‏</w:t>
      </w:r>
      <w:bookmarkEnd w:id="8761"/>
    </w:p>
    <w:p>
      <w:pPr>
        <w:pStyle w:val="BookText"/>
      </w:pPr>
      <w:r>
        <w:rPr>
          <w:rFonts w:ascii="IRNazanin" w:hAnsi="IRNazanin" w:eastAsia="IRNazanin" w:cs="IRNazanin"/>
          <w:lang w:bidi="fa-IR"/>
          <w:color w:val="111111"/>
          <w:sz w:val="28"/>
          <w:szCs w:val="28"/>
          <w:rtl/>
        </w:rPr>
        <w:t xml:space="preserve">ترجمه و أورد شعره فی (گلشن- ص 389).</w:t>
      </w:r>
    </w:p>
    <w:p>
      <w:pPr>
        <w:pStyle w:val="Heading3"/>
      </w:pPr>
      <w:bookmarkStart w:id="8762" w:name="_Toc7458"/>
      <w:r>
        <w:t>6598- دیوان محوی بسطامی أو شعره‏</w:t>
      </w:r>
      <w:bookmarkEnd w:id="8762"/>
    </w:p>
    <w:p>
      <w:pPr>
        <w:pStyle w:val="BookText"/>
      </w:pPr>
      <w:r>
        <w:rPr>
          <w:rFonts w:ascii="IRNazanin" w:hAnsi="IRNazanin" w:eastAsia="IRNazanin" w:cs="IRNazanin"/>
          <w:lang w:bidi="fa-IR"/>
          <w:color w:val="111111"/>
          <w:sz w:val="28"/>
          <w:szCs w:val="28"/>
          <w:rtl/>
        </w:rPr>
        <w:t xml:space="preserve">کان مصاحبا للخواجة عبد الله مروارید ترجمه معاصره سام میرزا فی (تس 5- ص 130) و أورد بعض أشعاره.</w:t>
      </w:r>
    </w:p>
    <w:p>
      <w:pPr>
        <w:pStyle w:val="Heading3"/>
      </w:pPr>
      <w:bookmarkStart w:id="8763" w:name="_Toc7459"/>
      <w:r>
        <w:t>6599- دیوان محوی پهلتی أو شعره‏</w:t>
      </w:r>
      <w:bookmarkEnd w:id="8763"/>
    </w:p>
    <w:p>
      <w:pPr>
        <w:pStyle w:val="BookText"/>
      </w:pPr>
      <w:r>
        <w:rPr>
          <w:rFonts w:ascii="IRNazanin" w:hAnsi="IRNazanin" w:eastAsia="IRNazanin" w:cs="IRNazanin"/>
          <w:lang w:bidi="fa-IR"/>
          <w:color w:val="111111"/>
          <w:sz w:val="28"/>
          <w:szCs w:val="28"/>
          <w:rtl/>
        </w:rPr>
        <w:t xml:space="preserve">و هو إرشاد أحمد بن عبد القادر. کان یتخلص فی شعره الفارسی محوی و فی شعره الأردوی میکش تلمذ علی أسد غالب و امام بخش صهبائی أورد شعره فی (گلشن- ص 388).</w:t>
      </w:r>
    </w:p>
    <w:p>
      <w:pPr>
        <w:pStyle w:val="Heading3"/>
      </w:pPr>
      <w:bookmarkStart w:id="8764" w:name="_Toc7460"/>
      <w:r>
        <w:t>6600- دیوان محوی خراسانی أو شعره‏</w:t>
      </w:r>
      <w:bookmarkEnd w:id="8764"/>
    </w:p>
    <w:p>
      <w:pPr>
        <w:pStyle w:val="BookText"/>
      </w:pPr>
      <w:r>
        <w:rPr>
          <w:rFonts w:ascii="IRNazanin" w:hAnsi="IRNazanin" w:eastAsia="IRNazanin" w:cs="IRNazanin"/>
          <w:lang w:bidi="fa-IR"/>
          <w:color w:val="111111"/>
          <w:sz w:val="28"/>
          <w:szCs w:val="28"/>
          <w:rtl/>
        </w:rPr>
        <w:t xml:space="preserve">هو من رجال خراسان و هرات.</w:t>
      </w:r>
    </w:p>
    <w:p>
      <w:pPr>
        <w:pStyle w:val="BookText"/>
      </w:pPr>
      <w:r>
        <w:rPr>
          <w:rFonts w:ascii="IRNazanin" w:hAnsi="IRNazanin" w:eastAsia="IRNazanin" w:cs="IRNazanin"/>
          <w:lang w:bidi="fa-IR"/>
          <w:color w:val="111111"/>
          <w:sz w:val="28"/>
          <w:szCs w:val="28"/>
          <w:rtl/>
        </w:rPr>
        <w:t xml:space="preserve">له طبع حسن و قد یشتغل بالعلم. کذا وصفه فی (مجن 3- ص 65 و 238) و أورد من شعره مطلعین. و قال سنگلاخ إنه رأی دیوان محوی فراهی بخط عبدی النیشابوری و ذکره فی (امتحان- 1: 97).</w:t>
      </w:r>
    </w:p>
    <w:p>
      <w:pPr>
        <w:pStyle w:val="Heading3"/>
      </w:pPr>
      <w:bookmarkStart w:id="8765" w:name="_Toc7461"/>
      <w:r>
        <w:t>6601- دیوان محوی همدانی‏</w:t>
      </w:r>
      <w:bookmarkEnd w:id="8765"/>
    </w:p>
    <w:p>
      <w:pPr>
        <w:pStyle w:val="BookText"/>
      </w:pPr>
      <w:r>
        <w:rPr>
          <w:rFonts w:ascii="IRNazanin" w:hAnsi="IRNazanin" w:eastAsia="IRNazanin" w:cs="IRNazanin"/>
          <w:lang w:bidi="fa-IR"/>
          <w:color w:val="111111"/>
          <w:sz w:val="28"/>
          <w:szCs w:val="28"/>
          <w:rtl/>
        </w:rPr>
        <w:t xml:space="preserve">و اسمه المیر مغیث من سادات همدان و طالب العلم بها. ترجمه معاصره الصادقی کتاب دار فی (خص 6- ص 91) و (تش- ص 258) و أورد عدة من رباعیاته. و ترجمه النصرآبادی فی (نر 9- ص 259) و ذکر أنه جال بلاد الهند و جاور مکة مدة و رجع إلی الهند و بها توفی، و رأیت دیوان رباعیاته الذی جمعه‏
</w:t>
      </w:r>
    </w:p>
    <w:p>
      <w:pPr>
        <w:sectPr>
          <w:footerReference w:type="default" r:id="rId1023"/>
          <w:footnotePr>
            <w:numStart w:val="1"/>
            <w:numRestart w:val="eachPage"/>
          </w:footnotePr>
          <w:pgSz w:orient="portrait" w:w="11905.511811023622" w:h="16837.79527559055"/>
          <w:pgMar w:top="1440" w:right="1440" w:bottom="1440" w:left="1440" w:header="720" w:footer="720" w:gutter="0"/>
          <w:cols w:num="1" w:space="720"/>
        </w:sectPr>
      </w:pPr>
    </w:p>
    <w:bookmarkStart w:id="1005" w:name="pg11704_122491"/>
    <w:bookmarkEnd w:id="1005"/>
    <w:p>
      <w:pPr>
        <w:pStyle w:val="BookText"/>
      </w:pPr>
      <w:r>
        <w:rPr>
          <w:rFonts w:ascii="IRNazanin" w:hAnsi="IRNazanin" w:eastAsia="IRNazanin" w:cs="IRNazanin"/>
          <w:lang w:bidi="fa-IR"/>
          <w:color w:val="111111"/>
          <w:sz w:val="28"/>
          <w:szCs w:val="28"/>
          <w:rtl/>
        </w:rPr>
        <w:t xml:space="preserve">آقا باقی أخ آقا خضر وزیر کاشان. و یقال إن شعره مقصور علی الرباعیات. و کلما یوجد غزل باسمه فی السفائن فإنما هو لمحوی الأردبیلی.</w:t>
      </w:r>
    </w:p>
    <w:p>
      <w:pPr>
        <w:pStyle w:val="Heading3"/>
      </w:pPr>
      <w:bookmarkStart w:id="8766" w:name="_Toc7462"/>
      <w:r>
        <w:t>6603- دیوان محوی هندی‏</w:t>
      </w:r>
      <w:bookmarkEnd w:id="8766"/>
    </w:p>
    <w:p>
      <w:pPr>
        <w:pStyle w:val="BookText"/>
      </w:pPr>
      <w:r>
        <w:rPr>
          <w:rFonts w:ascii="IRNazanin" w:hAnsi="IRNazanin" w:eastAsia="IRNazanin" w:cs="IRNazanin"/>
          <w:lang w:bidi="fa-IR"/>
          <w:color w:val="111111"/>
          <w:sz w:val="28"/>
          <w:szCs w:val="28"/>
          <w:rtl/>
        </w:rPr>
        <w:t xml:space="preserve">و هو مسعود علی خان. طبع بحیدرآباد فی 1354 فی 184+ 94 ص. و ذکر فی (طبق 2: 499) شعرا لمیر محوی و راجع محوی پهلتی.</w:t>
      </w:r>
    </w:p>
    <w:p>
      <w:pPr>
        <w:pStyle w:val="Heading3"/>
      </w:pPr>
      <w:bookmarkStart w:id="8767" w:name="_Toc7463"/>
      <w:r>
        <w:t>6604- دیوان محیط أصفهانی أو شعره‏</w:t>
      </w:r>
      <w:bookmarkEnd w:id="8767"/>
    </w:p>
    <w:p>
      <w:pPr>
        <w:pStyle w:val="BookText"/>
      </w:pPr>
      <w:r>
        <w:rPr>
          <w:rFonts w:ascii="IRNazanin" w:hAnsi="IRNazanin" w:eastAsia="IRNazanin" w:cs="IRNazanin"/>
          <w:lang w:bidi="fa-IR"/>
          <w:color w:val="111111"/>
          <w:sz w:val="28"/>
          <w:szCs w:val="28"/>
          <w:rtl/>
        </w:rPr>
        <w:t xml:space="preserve">و هو المیر محمد سعید قتل فی حصار أصفهان أورد شعره و ترجمته فی (گلشن- ص 390).</w:t>
      </w:r>
    </w:p>
    <w:p>
      <w:pPr>
        <w:pStyle w:val="Heading3"/>
      </w:pPr>
      <w:bookmarkStart w:id="8768" w:name="_Toc7464"/>
      <w:r>
        <w:t>6605- دیوان محیط سامانی‏</w:t>
      </w:r>
      <w:bookmarkEnd w:id="8768"/>
    </w:p>
    <w:p>
      <w:pPr>
        <w:pStyle w:val="BookText"/>
      </w:pPr>
      <w:r>
        <w:rPr>
          <w:rFonts w:ascii="IRNazanin" w:hAnsi="IRNazanin" w:eastAsia="IRNazanin" w:cs="IRNazanin"/>
          <w:lang w:bidi="fa-IR"/>
          <w:color w:val="111111"/>
          <w:sz w:val="28"/>
          <w:szCs w:val="28"/>
          <w:rtl/>
        </w:rPr>
        <w:t xml:space="preserve">و هو المیرزا عبد الله السامانی بن نور الله عمان المذکور فی ص 769 ابن عبد الله جیحون بن عبد الوهاب قطرة المذکور فی ص 886 و ذکرنا عمه دریا فی ص 325 و توفی محیط فی ج 1- 1355 فی سامان بأصفهان. و له ولدان عبد الوهاب و سحاب. ذکره لنا المعلم الحبیب‏آبادی. و ترجم أیضا فی شعرای معاصر أصفهان- ص 430.</w:t>
      </w:r>
    </w:p>
    <w:p>
      <w:pPr>
        <w:pStyle w:val="Heading3"/>
      </w:pPr>
      <w:bookmarkStart w:id="8769" w:name="_Toc7465"/>
      <w:r>
        <w:t>6606- دیوان محیط فراهانی‏</w:t>
      </w:r>
      <w:bookmarkEnd w:id="8769"/>
    </w:p>
    <w:p>
      <w:pPr>
        <w:pStyle w:val="BookText"/>
      </w:pPr>
      <w:r>
        <w:rPr>
          <w:rFonts w:ascii="IRNazanin" w:hAnsi="IRNazanin" w:eastAsia="IRNazanin" w:cs="IRNazanin"/>
          <w:lang w:bidi="fa-IR"/>
          <w:color w:val="111111"/>
          <w:sz w:val="28"/>
          <w:szCs w:val="28"/>
          <w:rtl/>
        </w:rPr>
        <w:t xml:space="preserve">للمیرزا معصوم بن المیرزا عیسی قائم مقام المشهور بمیرزا بزرگ الفراهانی الطهرانی المتوفی شابا فی 1235 ترجمه فی (مع 2- ص 473) و أورد نیفا و عشرین بیتا من شعره و کذا فی (انجمن 3).</w:t>
      </w:r>
    </w:p>
    <w:p>
      <w:pPr>
        <w:pStyle w:val="Heading3"/>
      </w:pPr>
      <w:bookmarkStart w:id="8770" w:name="_Toc7466"/>
      <w:r>
        <w:t>6607- دیوان محیط قمی‏</w:t>
      </w:r>
      <w:bookmarkEnd w:id="8770"/>
    </w:p>
    <w:p>
      <w:pPr>
        <w:pStyle w:val="BookText"/>
      </w:pPr>
      <w:r>
        <w:rPr>
          <w:rFonts w:ascii="IRNazanin" w:hAnsi="IRNazanin" w:eastAsia="IRNazanin" w:cs="IRNazanin"/>
          <w:lang w:bidi="fa-IR"/>
          <w:color w:val="111111"/>
          <w:sz w:val="28"/>
          <w:szCs w:val="28"/>
          <w:rtl/>
        </w:rPr>
        <w:t xml:space="preserve">للمیرزا محمد القمی الوزوائی المتوفی 1317 جمعه المیرزا حیدر علی المتخلص ثریا و طبعه فی 1318.</w:t>
      </w:r>
    </w:p>
    <w:p>
      <w:pPr>
        <w:pStyle w:val="Heading3"/>
      </w:pPr>
      <w:bookmarkStart w:id="8771" w:name="_Toc7467"/>
      <w:r>
        <w:t>6608- دیوان محیط مشهدی أو شعره‏</w:t>
      </w:r>
      <w:bookmarkEnd w:id="8771"/>
    </w:p>
    <w:p>
      <w:pPr>
        <w:pStyle w:val="BookText"/>
      </w:pPr>
      <w:r>
        <w:rPr>
          <w:rFonts w:ascii="IRNazanin" w:hAnsi="IRNazanin" w:eastAsia="IRNazanin" w:cs="IRNazanin"/>
          <w:lang w:bidi="fa-IR"/>
          <w:color w:val="111111"/>
          <w:sz w:val="28"/>
          <w:szCs w:val="28"/>
          <w:rtl/>
        </w:rPr>
        <w:t xml:space="preserve">و اسمه محیط الدین خان ساکن لکهنو.</w:t>
      </w:r>
    </w:p>
    <w:p>
      <w:pPr>
        <w:pStyle w:val="BookText"/>
      </w:pPr>
      <w:r>
        <w:rPr>
          <w:rFonts w:ascii="IRNazanin" w:hAnsi="IRNazanin" w:eastAsia="IRNazanin" w:cs="IRNazanin"/>
          <w:lang w:bidi="fa-IR"/>
          <w:color w:val="111111"/>
          <w:sz w:val="28"/>
          <w:szCs w:val="28"/>
          <w:rtl/>
        </w:rPr>
        <w:t xml:space="preserve">ترجمه و أورد شعره فی (گلشن- ص 391).</w:t>
      </w:r>
    </w:p>
    <w:p>
      <w:pPr>
        <w:pStyle w:val="Heading3"/>
      </w:pPr>
      <w:bookmarkStart w:id="8772" w:name="_Toc7468"/>
      <w:r>
        <w:t>6609- دیوان محیط نائینی‏</w:t>
      </w:r>
      <w:bookmarkEnd w:id="8772"/>
    </w:p>
    <w:p>
      <w:pPr>
        <w:pStyle w:val="BookText"/>
      </w:pPr>
      <w:r>
        <w:rPr>
          <w:rFonts w:ascii="IRNazanin" w:hAnsi="IRNazanin" w:eastAsia="IRNazanin" w:cs="IRNazanin"/>
          <w:lang w:bidi="fa-IR"/>
          <w:color w:val="111111"/>
          <w:sz w:val="28"/>
          <w:szCs w:val="28"/>
          <w:rtl/>
        </w:rPr>
        <w:t xml:space="preserve">هو محمد علی بن محمد باقر. سافر إلی النجف و رجع إلی وطنه و کتب هلال یک شبه و صراط مستقیم فی رد الشیخیة و له دیوان شعر.</w:t>
      </w:r>
    </w:p>
    <w:p>
      <w:pPr>
        <w:pStyle w:val="BookText"/>
      </w:pPr>
      <w:r>
        <w:rPr>
          <w:rFonts w:ascii="IRNazanin" w:hAnsi="IRNazanin" w:eastAsia="IRNazanin" w:cs="IRNazanin"/>
          <w:lang w:bidi="fa-IR"/>
          <w:color w:val="111111"/>
          <w:sz w:val="28"/>
          <w:szCs w:val="28"/>
          <w:rtl/>
        </w:rPr>
        <w:t xml:space="preserve">ترجمه فی تاریخ نائین ص 190.</w:t>
      </w:r>
    </w:p>
    <w:p>
      <w:pPr>
        <w:pStyle w:val="Heading3"/>
      </w:pPr>
      <w:bookmarkStart w:id="8773" w:name="_Toc7469"/>
      <w:r>
        <w:t>6610- دیوان محیطی‏</w:t>
      </w:r>
      <w:bookmarkEnd w:id="8773"/>
    </w:p>
    <w:p>
      <w:pPr>
        <w:pStyle w:val="BookText"/>
      </w:pPr>
      <w:r>
        <w:rPr>
          <w:rFonts w:ascii="IRNazanin" w:hAnsi="IRNazanin" w:eastAsia="IRNazanin" w:cs="IRNazanin"/>
          <w:lang w:bidi="fa-IR"/>
          <w:color w:val="111111"/>
          <w:sz w:val="28"/>
          <w:szCs w:val="28"/>
          <w:rtl/>
        </w:rPr>
        <w:t xml:space="preserve">الشاعر الحروفی. یوجد عند عباس العزاوی کما ذکره فی العراق بین الاحتلالین ج 2 ص 251 و أظنه الذی ترجم فی گلشن شعرا لعهدی البغدادی کما ذکره أیضا فی ذلک الکتاب ج 4 ص 137 و هو الذی نصب ابنه دفتریا لبغداد فی 996.
</w:t>
      </w:r>
    </w:p>
    <w:p>
      <w:pPr>
        <w:sectPr>
          <w:footerReference w:type="default" r:id="rId1024"/>
          <w:footnotePr>
            <w:numStart w:val="1"/>
            <w:numRestart w:val="eachPage"/>
          </w:footnotePr>
          <w:pgSz w:orient="portrait" w:w="11905.511811023622" w:h="16837.79527559055"/>
          <w:pgMar w:top="1440" w:right="1440" w:bottom="1440" w:left="1440" w:header="720" w:footer="720" w:gutter="0"/>
          <w:cols w:num="1" w:space="720"/>
        </w:sectPr>
      </w:pPr>
    </w:p>
    <w:bookmarkStart w:id="1006" w:name="pg11704_122492"/>
    <w:bookmarkEnd w:id="1006"/>
    <w:p>
      <w:pPr>
        <w:pStyle w:val="Heading3"/>
      </w:pPr>
      <w:bookmarkStart w:id="8774" w:name="_Toc7470"/>
      <w:r>
        <w:t>6611- دیوان محیی الدین أو شعره‏</w:t>
      </w:r>
      <w:bookmarkEnd w:id="8774"/>
    </w:p>
    <w:p>
      <w:pPr>
        <w:pStyle w:val="BookText"/>
      </w:pPr>
      <w:r>
        <w:rPr>
          <w:rFonts w:ascii="IRNazanin" w:hAnsi="IRNazanin" w:eastAsia="IRNazanin" w:cs="IRNazanin"/>
          <w:lang w:bidi="fa-IR"/>
          <w:color w:val="111111"/>
          <w:sz w:val="28"/>
          <w:szCs w:val="28"/>
          <w:rtl/>
        </w:rPr>
        <w:t xml:space="preserve">الجامع للفضائل و الکمالات و الظرافة و المزاحات. ترجمه فی (بهش 2- ص 398) و أورد شعره قال و هو مداح الخواجة نظام الدین أحمد الساعدی.</w:t>
      </w:r>
    </w:p>
    <w:p>
      <w:pPr>
        <w:pStyle w:val="Heading3"/>
      </w:pPr>
      <w:bookmarkStart w:id="8775" w:name="_Toc7471"/>
      <w:r>
        <w:t>6612- دیوان الشیخ محیی الدین طریح النجفی‏</w:t>
      </w:r>
      <w:bookmarkEnd w:id="8775"/>
    </w:p>
    <w:p>
      <w:pPr>
        <w:pStyle w:val="BookText"/>
      </w:pPr>
      <w:r>
        <w:rPr>
          <w:rFonts w:ascii="IRNazanin" w:hAnsi="IRNazanin" w:eastAsia="IRNazanin" w:cs="IRNazanin"/>
          <w:lang w:bidi="fa-IR"/>
          <w:color w:val="111111"/>
          <w:sz w:val="28"/>
          <w:szCs w:val="28"/>
          <w:rtl/>
        </w:rPr>
        <w:t xml:space="preserve">قال الشیخ الحر فی الأمل الطبع الأول ص 509 عالم فاضل محقق عابد صالح أدیب شاعر له رسائل و مراثی الحسین و دیوان شعر، و هو من المعاصرین أقول دیوانه موجود فی النجف و قد کتب هو بخطه تمام نسبه علی ظهر الفخریة تألیف</w:t>
      </w:r>
    </w:p>
    <w:p>
      <w:pPr>
        <w:pStyle w:val="BookText"/>
      </w:pPr>
      <w:r>
        <w:rPr>
          <w:rFonts w:ascii="IRNazanin" w:hAnsi="IRNazanin" w:eastAsia="IRNazanin" w:cs="IRNazanin"/>
          <w:lang w:bidi="fa-IR"/>
          <w:color w:val="111111"/>
          <w:sz w:val="28"/>
          <w:szCs w:val="28"/>
          <w:rtl/>
        </w:rPr>
        <w:t xml:space="preserve">الشیخ الطریحی هکذا محیی الدین ابن الشیخ محمود بن الشیخ أحمد بن الشیخ محمد بن طریح النجفی العزیزی المسیلی و تاریخ خطه هذا 1106 و ترجم فی نجوم السماء- ص 127</w:t>
      </w:r>
    </w:p>
    <w:p>
      <w:pPr>
        <w:pStyle w:val="Heading3"/>
      </w:pPr>
      <w:bookmarkStart w:id="8776" w:name="_Toc7472"/>
      <w:r>
        <w:t>6613- دیوان محیی الدین بن العربی‏</w:t>
      </w:r>
      <w:bookmarkEnd w:id="8776"/>
    </w:p>
    <w:p>
      <w:pPr>
        <w:pStyle w:val="BookText"/>
      </w:pPr>
      <w:r>
        <w:rPr>
          <w:rFonts w:ascii="IRNazanin" w:hAnsi="IRNazanin" w:eastAsia="IRNazanin" w:cs="IRNazanin"/>
          <w:lang w:bidi="fa-IR"/>
          <w:color w:val="111111"/>
          <w:sz w:val="28"/>
          <w:szCs w:val="28"/>
          <w:rtl/>
        </w:rPr>
        <w:t xml:space="preserve">محمد بن علی بن محمد الحاتمی (560- 638) و الذی یقال فی حقه ممیت الدین و إمام المتکلمین و دیوانه کبیر طبع فی بولاق 1271 و قد ترجم فی (لس- 181)</w:t>
      </w:r>
    </w:p>
    <w:p>
      <w:pPr>
        <w:pStyle w:val="Heading3"/>
      </w:pPr>
      <w:bookmarkStart w:id="8777" w:name="_Toc7473"/>
      <w:r>
        <w:t>6614- دیوان محیی شیرازی أو شعره‏</w:t>
      </w:r>
      <w:bookmarkEnd w:id="8777"/>
    </w:p>
    <w:p>
      <w:pPr>
        <w:pStyle w:val="BookText"/>
      </w:pPr>
      <w:r>
        <w:rPr>
          <w:rFonts w:ascii="IRNazanin" w:hAnsi="IRNazanin" w:eastAsia="IRNazanin" w:cs="IRNazanin"/>
          <w:lang w:bidi="fa-IR"/>
          <w:color w:val="111111"/>
          <w:sz w:val="28"/>
          <w:szCs w:val="28"/>
          <w:rtl/>
        </w:rPr>
        <w:t xml:space="preserve">و هو الواعظ الشهیر ترجمه فی (تس 5- ص 164) و أورد شعره‏</w:t>
      </w:r>
    </w:p>
    <w:p>
      <w:pPr>
        <w:pStyle w:val="Heading3"/>
      </w:pPr>
      <w:bookmarkStart w:id="8778" w:name="_Toc7474"/>
      <w:r>
        <w:t>6615- دیوان محیی گیلانی‏</w:t>
      </w:r>
      <w:bookmarkEnd w:id="8778"/>
    </w:p>
    <w:p>
      <w:pPr>
        <w:pStyle w:val="BookText"/>
      </w:pPr>
      <w:r>
        <w:rPr>
          <w:rFonts w:ascii="IRNazanin" w:hAnsi="IRNazanin" w:eastAsia="IRNazanin" w:cs="IRNazanin"/>
          <w:lang w:bidi="fa-IR"/>
          <w:color w:val="111111"/>
          <w:sz w:val="28"/>
          <w:szCs w:val="28"/>
          <w:rtl/>
        </w:rPr>
        <w:t xml:space="preserve">و هو محیی الدین عبد القادر بن موسی بن عبد الله بن یحیی الگیلانی الحسنی ولد بگیلان فی 470 و نشا ببغداد و یعرف بالغوث الأعظم و غوث الثقلین و جنگی دوست و باز الله و باز اشهب و إلیه ینسب السلسلة القادریة من الصوفیة له بشائر الخیرات و الغنیة و الفتح الربانی و فتوح الغیب و الفیوضات الربانیة و ملفوظات قادریة و ملفوظات گیلانی و یتخلص فی دیوان شعره الفارسی المطبوع ب محیی و مات و دفن ببغداد فی 562 و ألف غلام سرور الهندی گلدسته کرامات فی أحوال محیی الدین عبد القادر و ترجم فی الروضات- ص 441 و (حسینی- ص 385) و (گلشن- ص 389) و توجد نسخه من دیوانه فی (بنگاله)</w:t>
      </w:r>
    </w:p>
    <w:p>
      <w:pPr>
        <w:pStyle w:val="Heading3"/>
      </w:pPr>
      <w:bookmarkStart w:id="8779" w:name="_Toc7475"/>
      <w:r>
        <w:t>6616- دیوان ملا محیی لاری‏</w:t>
      </w:r>
      <w:bookmarkEnd w:id="8779"/>
    </w:p>
    <w:p>
      <w:pPr>
        <w:pStyle w:val="BookText"/>
      </w:pPr>
      <w:r>
        <w:rPr>
          <w:rFonts w:ascii="IRNazanin" w:hAnsi="IRNazanin" w:eastAsia="IRNazanin" w:cs="IRNazanin"/>
          <w:lang w:bidi="fa-IR"/>
          <w:color w:val="111111"/>
          <w:sz w:val="28"/>
          <w:szCs w:val="28"/>
          <w:rtl/>
        </w:rPr>
        <w:t xml:space="preserve">من تلامیذ المحقق الدوانی ترجمه معاصره سام میرزا فی (تس 5- ص 130) و أورد عدة من أشعاره و ترجمه فی (خز- ص 404) و قال إنه کان من شعراء السلطان یعقوب الذی توفی 896 و عمر إلی عصر الشاه طهماسب‏
</w:t>
      </w:r>
    </w:p>
    <w:p>
      <w:pPr>
        <w:sectPr>
          <w:footerReference w:type="default" r:id="rId1025"/>
          <w:footnotePr>
            <w:numStart w:val="1"/>
            <w:numRestart w:val="eachPage"/>
          </w:footnotePr>
          <w:pgSz w:orient="portrait" w:w="11905.511811023622" w:h="16837.79527559055"/>
          <w:pgMar w:top="1440" w:right="1440" w:bottom="1440" w:left="1440" w:header="720" w:footer="720" w:gutter="0"/>
          <w:cols w:num="1" w:space="720"/>
        </w:sectPr>
      </w:pPr>
    </w:p>
    <w:bookmarkStart w:id="1007" w:name="pg11704_122493"/>
    <w:bookmarkEnd w:id="1007"/>
    <w:p>
      <w:pPr>
        <w:pStyle w:val="BookText"/>
      </w:pPr>
      <w:r>
        <w:rPr>
          <w:rFonts w:ascii="IRNazanin" w:hAnsi="IRNazanin" w:eastAsia="IRNazanin" w:cs="IRNazanin"/>
          <w:lang w:bidi="fa-IR"/>
          <w:color w:val="111111"/>
          <w:sz w:val="28"/>
          <w:szCs w:val="28"/>
          <w:rtl/>
        </w:rPr>
        <w:t xml:space="preserve">و حج البیت الحرام و لما رجع أنشأ مثنوی فتوح حرمین باسم السلطان مظفر الثانی ابن محمود شاه الأول الملقب بایقرا الذی جلس علی سریر الملک فی أحمدآباد گجرات من سنة موت أبیه بایقرا 917 إلی أن توفی 932 و لما تم المثنوی و عرضه علی السلطان مظفر نال منه بصلة مائة ألف سکندریا أقول فیظهر أن نظمه للمثنوی کان بین التاریخین المذکورین فی ترجمه طبقات سلاطین إسلام لعباس إقبال الآشتیانی و ترجم فی لارستان کهن- ص 197 و ریحانة الأدب و (گلشن- ص 390)</w:t>
      </w:r>
    </w:p>
    <w:p>
      <w:pPr>
        <w:pStyle w:val="Heading3"/>
      </w:pPr>
      <w:bookmarkStart w:id="8780" w:name="_Toc7476"/>
      <w:r>
        <w:t>6617- دیوان مخبری همدانی أو شعره‏</w:t>
      </w:r>
      <w:bookmarkEnd w:id="8780"/>
    </w:p>
    <w:p>
      <w:pPr>
        <w:pStyle w:val="BookText"/>
      </w:pPr>
      <w:r>
        <w:rPr>
          <w:rFonts w:ascii="IRNazanin" w:hAnsi="IRNazanin" w:eastAsia="IRNazanin" w:cs="IRNazanin"/>
          <w:lang w:bidi="fa-IR"/>
          <w:color w:val="111111"/>
          <w:sz w:val="28"/>
          <w:szCs w:val="28"/>
          <w:rtl/>
        </w:rPr>
        <w:t xml:space="preserve">و اسمه خان بابا خان کان من أعضاء انجمن أدبی بهمدان أورد غزله باقر ألفت فی دانش‏نامه المطبوع 1342</w:t>
      </w:r>
    </w:p>
    <w:p>
      <w:pPr>
        <w:pStyle w:val="Heading3"/>
      </w:pPr>
      <w:bookmarkStart w:id="8781" w:name="_Toc7477"/>
      <w:r>
        <w:t>6618- دیوان مختار أصفهانی‏</w:t>
      </w:r>
      <w:bookmarkEnd w:id="8781"/>
    </w:p>
    <w:p>
      <w:pPr>
        <w:pStyle w:val="BookText"/>
      </w:pPr>
      <w:r>
        <w:rPr>
          <w:rFonts w:ascii="IRNazanin" w:hAnsi="IRNazanin" w:eastAsia="IRNazanin" w:cs="IRNazanin"/>
          <w:lang w:bidi="fa-IR"/>
          <w:color w:val="111111"/>
          <w:sz w:val="28"/>
          <w:szCs w:val="28"/>
          <w:rtl/>
        </w:rPr>
        <w:t xml:space="preserve">مر له درج مضامین فی ج 8 ص 59 منظومة فی التجوید فرغ منه فی 949 و شرحه درر نثار فی ج 8 ص 139</w:t>
      </w:r>
    </w:p>
    <w:p>
      <w:pPr>
        <w:pStyle w:val="Heading3"/>
      </w:pPr>
      <w:bookmarkStart w:id="8782" w:name="_Toc7478"/>
      <w:r>
        <w:t>6619- دیوان مختار رشتی أو شعره‏</w:t>
      </w:r>
      <w:bookmarkEnd w:id="8782"/>
    </w:p>
    <w:p>
      <w:pPr>
        <w:pStyle w:val="BookText"/>
      </w:pPr>
      <w:r>
        <w:rPr>
          <w:rFonts w:ascii="IRNazanin" w:hAnsi="IRNazanin" w:eastAsia="IRNazanin" w:cs="IRNazanin"/>
          <w:lang w:bidi="fa-IR"/>
          <w:color w:val="111111"/>
          <w:sz w:val="28"/>
          <w:szCs w:val="28"/>
          <w:rtl/>
        </w:rPr>
        <w:t xml:space="preserve">جاء شعره فی (گلشن- ص 392)</w:t>
      </w:r>
    </w:p>
    <w:p>
      <w:pPr>
        <w:pStyle w:val="Heading3"/>
      </w:pPr>
      <w:bookmarkStart w:id="8783" w:name="_Toc7479"/>
      <w:r>
        <w:t>6620- دیوان مختار سبزواری أو شعره‏</w:t>
      </w:r>
      <w:bookmarkEnd w:id="8783"/>
    </w:p>
    <w:p>
      <w:pPr>
        <w:pStyle w:val="BookText"/>
      </w:pPr>
      <w:r>
        <w:rPr>
          <w:rFonts w:ascii="IRNazanin" w:hAnsi="IRNazanin" w:eastAsia="IRNazanin" w:cs="IRNazanin"/>
          <w:lang w:bidi="fa-IR"/>
          <w:color w:val="111111"/>
          <w:sz w:val="28"/>
          <w:szCs w:val="28"/>
          <w:rtl/>
        </w:rPr>
        <w:t xml:space="preserve">أورد شعره فی (گلشن- ص 392)</w:t>
      </w:r>
    </w:p>
    <w:p>
      <w:pPr>
        <w:pStyle w:val="Heading3"/>
      </w:pPr>
      <w:bookmarkStart w:id="8784" w:name="_Toc7480"/>
      <w:r>
        <w:t>6621- دیوان مختار لکهنوی أو شعره‏</w:t>
      </w:r>
      <w:bookmarkEnd w:id="8784"/>
    </w:p>
    <w:p>
      <w:pPr>
        <w:pStyle w:val="BookText"/>
      </w:pPr>
      <w:r>
        <w:rPr>
          <w:rFonts w:ascii="IRNazanin" w:hAnsi="IRNazanin" w:eastAsia="IRNazanin" w:cs="IRNazanin"/>
          <w:lang w:bidi="fa-IR"/>
          <w:color w:val="111111"/>
          <w:sz w:val="28"/>
          <w:szCs w:val="28"/>
          <w:rtl/>
        </w:rPr>
        <w:t xml:space="preserve">و هو رأی ستیل داس من قوم کایتة الهنود و قد تشیع کما ذکره و أورد شعره فی (گلشن- ص 391)</w:t>
      </w:r>
    </w:p>
    <w:p>
      <w:pPr>
        <w:pStyle w:val="Heading3"/>
      </w:pPr>
      <w:bookmarkStart w:id="8785" w:name="_Toc7481"/>
      <w:r>
        <w:t>6622- دیوان مختار نهاوندی أو شعره‏</w:t>
      </w:r>
      <w:bookmarkEnd w:id="8785"/>
    </w:p>
    <w:p>
      <w:pPr>
        <w:pStyle w:val="BookText"/>
      </w:pPr>
      <w:r>
        <w:rPr>
          <w:rFonts w:ascii="IRNazanin" w:hAnsi="IRNazanin" w:eastAsia="IRNazanin" w:cs="IRNazanin"/>
          <w:lang w:bidi="fa-IR"/>
          <w:color w:val="111111"/>
          <w:sz w:val="28"/>
          <w:szCs w:val="28"/>
          <w:rtl/>
        </w:rPr>
        <w:t xml:space="preserve">ترجم الحزین فی تذکرته ص 112 رجلین بعنوان ملا مختار النهاوندی و أورد شعرهما</w:t>
      </w:r>
    </w:p>
    <w:p>
      <w:pPr>
        <w:pStyle w:val="Heading3"/>
      </w:pPr>
      <w:bookmarkStart w:id="8786" w:name="_Toc7482"/>
      <w:r>
        <w:t>6623- دیوان مختار هندی‏</w:t>
      </w:r>
      <w:bookmarkEnd w:id="8786"/>
    </w:p>
    <w:p>
      <w:pPr>
        <w:pStyle w:val="BookText"/>
      </w:pPr>
      <w:r>
        <w:rPr>
          <w:rFonts w:ascii="IRNazanin" w:hAnsi="IRNazanin" w:eastAsia="IRNazanin" w:cs="IRNazanin"/>
          <w:lang w:bidi="fa-IR"/>
          <w:color w:val="111111"/>
          <w:sz w:val="28"/>
          <w:szCs w:val="28"/>
          <w:rtl/>
        </w:rPr>
        <w:t xml:space="preserve">و اسمه سیف الملک مختار توفی 1218 نقل فی (نتایج- ص 694) عن دیوانه المختصر و یوجد دیوان مختار فی (بنگاله)</w:t>
      </w:r>
    </w:p>
    <w:p>
      <w:pPr>
        <w:pStyle w:val="Heading3"/>
      </w:pPr>
      <w:bookmarkStart w:id="8787" w:name="_Toc7483"/>
      <w:r>
        <w:t>6624- دیوان مختاری غزنوی‏</w:t>
      </w:r>
      <w:bookmarkEnd w:id="8787"/>
    </w:p>
    <w:p>
      <w:pPr>
        <w:pStyle w:val="BookText"/>
      </w:pPr>
      <w:r>
        <w:rPr>
          <w:rFonts w:ascii="IRNazanin" w:hAnsi="IRNazanin" w:eastAsia="IRNazanin" w:cs="IRNazanin"/>
          <w:lang w:bidi="fa-IR"/>
          <w:color w:val="111111"/>
          <w:sz w:val="28"/>
          <w:szCs w:val="28"/>
          <w:rtl/>
        </w:rPr>
        <w:t xml:space="preserve">و اسمه عثمان بن محمد الحکمی المولود حدود 474 و المتوفی قبل 555 علی الخلاف ما بین 544 و 554 أو فی 535 کما فی شاهد صادق کان من مادحی سلاجقة کرمان و من معاصری الحکیم سنائی و مسعود سعد و معزی و غیرهم کان یتخلص أولا باسمه ثم عدل إلی مختاری یوجد عدة من نسخ دیوانه عند جلال الدین الهمائی أستاذ جامعة طهران و (فخر الدین النصیری) و مکتبات (المجلس) و (سپهسالار) و غیرها و قد فصل ابن یوسف خصوصیاتها نقلا عن أکثر من‏
</w:t>
      </w:r>
    </w:p>
    <w:p>
      <w:pPr>
        <w:sectPr>
          <w:footerReference w:type="default" r:id="rId1026"/>
          <w:footnotePr>
            <w:numStart w:val="1"/>
            <w:numRestart w:val="eachPage"/>
          </w:footnotePr>
          <w:pgSz w:orient="portrait" w:w="11905.511811023622" w:h="16837.79527559055"/>
          <w:pgMar w:top="1440" w:right="1440" w:bottom="1440" w:left="1440" w:header="720" w:footer="720" w:gutter="0"/>
          <w:cols w:num="1" w:space="720"/>
        </w:sectPr>
      </w:pPr>
    </w:p>
    <w:bookmarkStart w:id="1008" w:name="pg11704_122494"/>
    <w:bookmarkEnd w:id="1008"/>
    <w:p>
      <w:pPr>
        <w:pStyle w:val="BookText"/>
      </w:pPr>
      <w:r>
        <w:rPr>
          <w:rFonts w:ascii="IRNazanin" w:hAnsi="IRNazanin" w:eastAsia="IRNazanin" w:cs="IRNazanin"/>
          <w:lang w:bidi="fa-IR"/>
          <w:color w:val="111111"/>
          <w:sz w:val="28"/>
          <w:szCs w:val="28"/>
          <w:rtl/>
        </w:rPr>
        <w:t xml:space="preserve">عشرة مصادر فی فهرس المجلس 3: 403 و أورد فی (مع 1 ص 599- ص 606) قرب خمسمائة بیت منه و کذا فی (لت 2) و (تش- ص 113) و (حسینی- ص 306) و مجلة أرمغان 19: 584</w:t>
      </w:r>
    </w:p>
    <w:p>
      <w:pPr>
        <w:pStyle w:val="Heading3"/>
      </w:pPr>
      <w:bookmarkStart w:id="8788" w:name="_Toc7484"/>
      <w:r>
        <w:t>6625- دیوان میر مختوم نیشابوری‏</w:t>
      </w:r>
      <w:bookmarkEnd w:id="8788"/>
    </w:p>
    <w:p>
      <w:pPr>
        <w:pStyle w:val="BookText"/>
      </w:pPr>
      <w:r>
        <w:rPr>
          <w:rFonts w:ascii="IRNazanin" w:hAnsi="IRNazanin" w:eastAsia="IRNazanin" w:cs="IRNazanin"/>
          <w:lang w:bidi="fa-IR"/>
          <w:color w:val="111111"/>
          <w:sz w:val="28"/>
          <w:szCs w:val="28"/>
          <w:rtl/>
        </w:rPr>
        <w:t xml:space="preserve">المدنی الأصل النیشابوری المولد تلمذ علی شاه قاسم أنوار نظم محبت‏نامه للمیر غیاث الدین علی ترخان کفره معاصروه فسجن بأمر شاه‏رخ و عذب طویلا ثم أفرج عنه و مات فی 830 ترجمه و أورد شعره فی (لس- ص 180) و (مع 2: 34) و (ض- ص 236) و ریحانة الأدب 3: 500 و فی (مجن 1 ص 8 و 184) قال إن اسمه السید محمد و لما خدم قاسم الأنوار سماه بالمیر مخدوم و کذا فی ریحانة الأدب 4: 133 عن سفینة الشعراء- ص 272 فلعل مختوم تصحیف و یوجد دیوان شعر میر مختوم بالتاء عند (فخر الدین النصیری)</w:t>
      </w:r>
    </w:p>
    <w:p>
      <w:pPr>
        <w:pStyle w:val="Heading3"/>
      </w:pPr>
      <w:bookmarkStart w:id="8789" w:name="_Toc7485"/>
      <w:r>
        <w:t>دیوان میر مخدوم‏</w:t>
      </w:r>
      <w:bookmarkEnd w:id="8789"/>
    </w:p>
    <w:p>
      <w:pPr>
        <w:pStyle w:val="BookText"/>
      </w:pPr>
      <w:r>
        <w:rPr>
          <w:rFonts w:ascii="IRNazanin" w:hAnsi="IRNazanin" w:eastAsia="IRNazanin" w:cs="IRNazanin"/>
          <w:lang w:bidi="fa-IR"/>
          <w:color w:val="111111"/>
          <w:sz w:val="28"/>
          <w:szCs w:val="28"/>
          <w:rtl/>
        </w:rPr>
        <w:t xml:space="preserve">راجع مختوم بالتاء</w:t>
      </w:r>
    </w:p>
    <w:p>
      <w:pPr>
        <w:pStyle w:val="Heading3"/>
      </w:pPr>
      <w:bookmarkStart w:id="8790" w:name="_Toc7486"/>
      <w:r>
        <w:t>6626- دیوان مخدوم خبوشانی أو شعره‏</w:t>
      </w:r>
      <w:bookmarkEnd w:id="8790"/>
    </w:p>
    <w:p>
      <w:pPr>
        <w:pStyle w:val="BookText"/>
      </w:pPr>
      <w:r>
        <w:rPr>
          <w:rFonts w:ascii="IRNazanin" w:hAnsi="IRNazanin" w:eastAsia="IRNazanin" w:cs="IRNazanin"/>
          <w:lang w:bidi="fa-IR"/>
          <w:color w:val="111111"/>
          <w:sz w:val="28"/>
          <w:szCs w:val="28"/>
          <w:rtl/>
        </w:rPr>
        <w:t xml:space="preserve">و هو الحاج محمد من العرفاء فی عهد الشاه إسماعیل و توفی 938 ترجمه و أورد شعره فی (ض- ص 200) و فی الریحانة عن مجالس المؤمنین‏</w:t>
      </w:r>
    </w:p>
    <w:p>
      <w:pPr>
        <w:pStyle w:val="Heading3"/>
      </w:pPr>
      <w:bookmarkStart w:id="8791" w:name="_Toc7487"/>
      <w:r>
        <w:t>دیوان میر مخدوم شریفی أو شعره‏</w:t>
      </w:r>
      <w:bookmarkEnd w:id="8791"/>
    </w:p>
    <w:p>
      <w:pPr>
        <w:pStyle w:val="BookText"/>
      </w:pPr>
      <w:r>
        <w:rPr>
          <w:rFonts w:ascii="IRNazanin" w:hAnsi="IRNazanin" w:eastAsia="IRNazanin" w:cs="IRNazanin"/>
          <w:lang w:bidi="fa-IR"/>
          <w:color w:val="111111"/>
          <w:sz w:val="28"/>
          <w:szCs w:val="28"/>
          <w:rtl/>
        </w:rPr>
        <w:t xml:space="preserve">و اسمه محمد علی بن شمس الدین محمد بن المیر سید شریف الجرجانی المتخلص أشرف کما ذکر فی ص 77 ترجمه فی (هفت- ص 279) قال فی (نر 13- ص 472) إن محتشم قال فی تاریخ وفاته فی 992:</w:t>
      </w:r>
    </w:p>
    <w:p>
      <w:pPr>
        <w:pStyle w:val="BookText"/>
      </w:pPr>
      <w:r>
        <w:rPr>
          <w:rFonts w:ascii="IRNazanin" w:hAnsi="IRNazanin" w:eastAsia="IRNazanin" w:cs="IRNazanin"/>
          <w:lang w:bidi="fa-IR"/>
          <w:color w:val="111111"/>
          <w:sz w:val="28"/>
          <w:szCs w:val="28"/>
          <w:rtl/>
        </w:rPr>
        <w:t xml:space="preserve">مخدوم و مطاع أهل عالم گفتم تاریخ شود</w:t>
      </w:r>
    </w:p>
    <w:p>
      <w:pPr>
        <w:pStyle w:val="BookText"/>
      </w:pPr>
      <w:r>
        <w:rPr>
          <w:rFonts w:ascii="IRNazanin" w:hAnsi="IRNazanin" w:eastAsia="IRNazanin" w:cs="IRNazanin"/>
          <w:lang w:bidi="fa-IR"/>
          <w:color w:val="111111"/>
          <w:sz w:val="28"/>
          <w:szCs w:val="28"/>
          <w:rtl/>
        </w:rPr>
        <w:t xml:space="preserve">مخدوم و مطاع أهل علم آمد راست وین انسب بود</w:t>
      </w:r>
    </w:p>
    <w:p>
      <w:pPr>
        <w:pStyle w:val="BookText"/>
      </w:pPr>
      <w:r>
        <w:rPr>
          <w:rFonts w:ascii="IRNazanin" w:hAnsi="IRNazanin" w:eastAsia="IRNazanin" w:cs="IRNazanin"/>
          <w:lang w:bidi="fa-IR"/>
          <w:color w:val="111111"/>
          <w:sz w:val="28"/>
          <w:szCs w:val="28"/>
          <w:rtl/>
        </w:rPr>
        <w:t xml:space="preserve">فلعله غیر من قال فی (خص 4- ص 42) إنه اتهم بالتسنن ففر إلی الروم و تقرب عند خداوندگار بها فإنه مؤلف نواقض الروافض الذی رده القاضی نور الله فی مصائب النواصب و کتب أحواله القزوینی فی فرهنگ ایران زمین 1: 57</w:t>
      </w:r>
    </w:p>
    <w:p>
      <w:pPr>
        <w:pStyle w:val="Heading3"/>
      </w:pPr>
      <w:bookmarkStart w:id="8792" w:name="_Toc7488"/>
      <w:r>
        <w:t>6627- دیوان مخدومه یزدی أو شعرها</w:t>
      </w:r>
      <w:bookmarkEnd w:id="8792"/>
    </w:p>
    <w:p>
      <w:pPr>
        <w:pStyle w:val="BookText"/>
      </w:pPr>
      <w:r>
        <w:rPr>
          <w:rFonts w:ascii="IRNazanin" w:hAnsi="IRNazanin" w:eastAsia="IRNazanin" w:cs="IRNazanin"/>
          <w:lang w:bidi="fa-IR"/>
          <w:color w:val="111111"/>
          <w:sz w:val="28"/>
          <w:szCs w:val="28"/>
          <w:rtl/>
        </w:rPr>
        <w:t xml:space="preserve">ترجمها آیتی فی (تش یز- ص 329) و (گلشن- ص 394) و ذکر إنها کانت فاضلة أدیبة شاعرة و أورد بعض شعرها المشتمل علی تخلصها و ذکر أن اسمها محجوبة
</w:t>
      </w:r>
    </w:p>
    <w:p>
      <w:pPr>
        <w:sectPr>
          <w:footerReference w:type="default" r:id="rId1027"/>
          <w:footnotePr>
            <w:numStart w:val="1"/>
            <w:numRestart w:val="eachPage"/>
          </w:footnotePr>
          <w:pgSz w:orient="portrait" w:w="11905.511811023622" w:h="16837.79527559055"/>
          <w:pgMar w:top="1440" w:right="1440" w:bottom="1440" w:left="1440" w:header="720" w:footer="720" w:gutter="0"/>
          <w:cols w:num="1" w:space="720"/>
        </w:sectPr>
      </w:pPr>
    </w:p>
    <w:bookmarkStart w:id="1009" w:name="pg11704_122495"/>
    <w:bookmarkEnd w:id="1009"/>
    <w:p>
      <w:pPr>
        <w:pStyle w:val="Heading3"/>
      </w:pPr>
      <w:bookmarkStart w:id="8793" w:name="_Toc7489"/>
      <w:r>
        <w:t>6628- دیوان مخزن کرمانشاهی أو شعره‏</w:t>
      </w:r>
      <w:bookmarkEnd w:id="8793"/>
    </w:p>
    <w:p>
      <w:pPr>
        <w:pStyle w:val="BookText"/>
      </w:pPr>
      <w:r>
        <w:rPr>
          <w:rFonts w:ascii="IRNazanin" w:hAnsi="IRNazanin" w:eastAsia="IRNazanin" w:cs="IRNazanin"/>
          <w:lang w:bidi="fa-IR"/>
          <w:color w:val="111111"/>
          <w:sz w:val="28"/>
          <w:szCs w:val="28"/>
          <w:rtl/>
        </w:rPr>
        <w:t xml:space="preserve">و اسمه عبد المحمد الخطاط المعلم للخط توفی عن ثلاثین بالوباء 1246 ترجمه فی (مع 2- ص 456) و أورد قرب عشرین بیتا من شعره‏</w:t>
      </w:r>
    </w:p>
    <w:p>
      <w:pPr>
        <w:pStyle w:val="Heading3"/>
      </w:pPr>
      <w:bookmarkStart w:id="8794" w:name="_Toc7490"/>
      <w:r>
        <w:t>6629- دیوان مخصوص طهرانی أو شعره‏</w:t>
      </w:r>
      <w:bookmarkEnd w:id="8794"/>
    </w:p>
    <w:p>
      <w:pPr>
        <w:pStyle w:val="BookText"/>
      </w:pPr>
      <w:r>
        <w:rPr>
          <w:rFonts w:ascii="IRNazanin" w:hAnsi="IRNazanin" w:eastAsia="IRNazanin" w:cs="IRNazanin"/>
          <w:lang w:bidi="fa-IR"/>
          <w:color w:val="111111"/>
          <w:sz w:val="28"/>
          <w:szCs w:val="28"/>
          <w:rtl/>
        </w:rPr>
        <w:t xml:space="preserve">اسمه المیرزا حسین خان المستوفی و الملقب کاتب السلطان و المتوفی 1336 و هو والد المیرزا علی الملقب کاتب الخاقان مؤلف دریچه أخلاق المذکور فی ج 8 ص 148 و له أیضا دیباجة أخلاق فاتنا ذکره فی محله. و له سراچه أخلاق ذکر فی 12: 164 و قد أنشد لی کاتب الخاقان بعض أشعار والده منها:</w:t>
      </w:r>
    </w:p>
    <w:p>
      <w:pPr>
        <w:pStyle w:val="BookText"/>
      </w:pPr>
      <w:r>
        <w:rPr>
          <w:rFonts w:ascii="IRNazanin" w:hAnsi="IRNazanin" w:eastAsia="IRNazanin" w:cs="IRNazanin"/>
          <w:lang w:bidi="fa-IR"/>
          <w:color w:val="111111"/>
          <w:sz w:val="28"/>
          <w:szCs w:val="28"/>
          <w:rtl/>
        </w:rPr>
        <w:t xml:space="preserve">بظاهر أر چه بکعبه بسی بیابان است‏</w:t>
      </w:r>
    </w:p>
    <w:p>
      <w:pPr>
        <w:pStyle w:val="BookText"/>
      </w:pPr>
      <w:r>
        <w:rPr>
          <w:rFonts w:ascii="IRNazanin" w:hAnsi="IRNazanin" w:eastAsia="IRNazanin" w:cs="IRNazanin"/>
          <w:lang w:bidi="fa-IR"/>
          <w:color w:val="111111"/>
          <w:sz w:val="28"/>
          <w:szCs w:val="28"/>
          <w:rtl/>
        </w:rPr>
        <w:t xml:space="preserve">دریچه‏ای ز حرم در سراچه جان است‏</w:t>
      </w:r>
    </w:p>
    <w:p>
      <w:pPr>
        <w:pStyle w:val="BookText"/>
      </w:pPr>
      <w:r>
        <w:rPr>
          <w:rFonts w:ascii="IRNazanin" w:hAnsi="IRNazanin" w:eastAsia="IRNazanin" w:cs="IRNazanin"/>
          <w:lang w:bidi="fa-IR"/>
          <w:color w:val="111111"/>
          <w:sz w:val="28"/>
          <w:szCs w:val="28"/>
          <w:rtl/>
        </w:rPr>
        <w:t xml:space="preserve">طواف کعبه دل گر میسرت گردد</w:t>
      </w:r>
    </w:p>
    <w:p>
      <w:pPr>
        <w:pStyle w:val="BookText"/>
      </w:pPr>
      <w:r>
        <w:rPr>
          <w:rFonts w:ascii="IRNazanin" w:hAnsi="IRNazanin" w:eastAsia="IRNazanin" w:cs="IRNazanin"/>
          <w:lang w:bidi="fa-IR"/>
          <w:color w:val="111111"/>
          <w:sz w:val="28"/>
          <w:szCs w:val="28"/>
          <w:rtl/>
        </w:rPr>
        <w:t xml:space="preserve">بجان دوست که این حج قبول یزدانست‏</w:t>
      </w:r>
    </w:p>
    <w:p>
      <w:pPr>
        <w:pStyle w:val="Heading3"/>
      </w:pPr>
      <w:bookmarkStart w:id="8795" w:name="_Toc7491"/>
      <w:r>
        <w:t>6630- دیوان ملا مخفی رشتی‏</w:t>
      </w:r>
      <w:bookmarkEnd w:id="8795"/>
    </w:p>
    <w:p>
      <w:pPr>
        <w:pStyle w:val="BookText"/>
      </w:pPr>
      <w:r>
        <w:rPr>
          <w:rFonts w:ascii="IRNazanin" w:hAnsi="IRNazanin" w:eastAsia="IRNazanin" w:cs="IRNazanin"/>
          <w:lang w:bidi="fa-IR"/>
          <w:color w:val="111111"/>
          <w:sz w:val="28"/>
          <w:szCs w:val="28"/>
          <w:rtl/>
        </w:rPr>
        <w:t xml:space="preserve">ترجمه معاصره سام میرزا فی (تس- 5 ص 152) و أورد رباعیة فی لطیفة لبنات رشت الناسجات لقطعات من الإبریسم و البائعات لها فی الأسواق. و ترجمه النصرآبادی فی (نر 9- 279- 280) و أورد له تلک الرباعیة أیضا، لکنه قال رأیت نسبتها إلی شاعر آخر أیضا. و فی (گلشن- ص 293) سماه مخفی لاهیجی. و (تش- 164) و (نتایج- ص 649) و (حسینی- ص 309) و طبع دیوان مخفی رشتی فی نولکشور کما فی الفهارس.</w:t>
      </w:r>
    </w:p>
    <w:p>
      <w:pPr>
        <w:pStyle w:val="Heading3"/>
      </w:pPr>
      <w:bookmarkStart w:id="8796" w:name="_Toc7492"/>
      <w:r>
        <w:t>6631- دیوان مخفی هندی أو شعرها</w:t>
      </w:r>
      <w:bookmarkEnd w:id="8796"/>
    </w:p>
    <w:p>
      <w:pPr>
        <w:pStyle w:val="BookText"/>
      </w:pPr>
      <w:r>
        <w:rPr>
          <w:rFonts w:ascii="IRNazanin" w:hAnsi="IRNazanin" w:eastAsia="IRNazanin" w:cs="IRNazanin"/>
          <w:lang w:bidi="fa-IR"/>
          <w:color w:val="111111"/>
          <w:sz w:val="28"/>
          <w:szCs w:val="28"/>
          <w:rtl/>
        </w:rPr>
        <w:t xml:space="preserve">و اسمها نورجهان بیگم بنت اعتماد الدولة هی أخت منیجة زوجة قاسم جوینی المذکور فی ص 862. کانت أولا زوجة شیرافکن و بعد قتله تزوجها عالمگیر پادشاه و ماتت فی 1055 ترجمها و أورد شعرها فی (خیال- ص 87 و 335) و عنه فی القاموس الترکی ثم الریحانة، و کذا فی (حسینی- ص 324) و مجلة هلال الپاکستانیة ج 4 العدد 3: 12 و مجلة کابل 3: 969.</w:t>
      </w:r>
    </w:p>
    <w:p>
      <w:pPr>
        <w:pStyle w:val="Heading3"/>
      </w:pPr>
      <w:bookmarkStart w:id="8797" w:name="_Toc7493"/>
      <w:r>
        <w:t>6632- دیوان مخفی هندی أو شعرها</w:t>
      </w:r>
      <w:bookmarkEnd w:id="8797"/>
    </w:p>
    <w:p>
      <w:pPr>
        <w:pStyle w:val="BookText"/>
      </w:pPr>
      <w:r>
        <w:rPr>
          <w:rFonts w:ascii="IRNazanin" w:hAnsi="IRNazanin" w:eastAsia="IRNazanin" w:cs="IRNazanin"/>
          <w:lang w:bidi="fa-IR"/>
          <w:color w:val="111111"/>
          <w:sz w:val="28"/>
          <w:szCs w:val="28"/>
          <w:rtl/>
        </w:rPr>
        <w:t xml:space="preserve">و اسمها سلیمة بنت گل‏رخ بیگم بنت همایون پادشاه و أبوها نور الدین مخفی من النقش‏بندیة. أورد شعرها فی (گلشن- ص 394).</w:t>
      </w:r>
    </w:p>
    <w:p>
      <w:pPr>
        <w:pStyle w:val="Heading3"/>
      </w:pPr>
      <w:bookmarkStart w:id="8798" w:name="_Toc7494"/>
      <w:r>
        <w:t>6633- دیوان مخفی هندی‏</w:t>
      </w:r>
      <w:bookmarkEnd w:id="8798"/>
    </w:p>
    <w:p>
      <w:pPr>
        <w:pStyle w:val="BookText"/>
      </w:pPr>
      <w:r>
        <w:rPr>
          <w:rFonts w:ascii="IRNazanin" w:hAnsi="IRNazanin" w:eastAsia="IRNazanin" w:cs="IRNazanin"/>
          <w:lang w:bidi="fa-IR"/>
          <w:color w:val="111111"/>
          <w:sz w:val="28"/>
          <w:szCs w:val="28"/>
          <w:rtl/>
        </w:rPr>
        <w:t xml:space="preserve">و اسمها زیب النساء بنت اورنگ زیب پادشاه الهندی‏
</w:t>
      </w:r>
    </w:p>
    <w:p>
      <w:pPr>
        <w:sectPr>
          <w:footerReference w:type="default" r:id="rId1028"/>
          <w:footnotePr>
            <w:numStart w:val="1"/>
            <w:numRestart w:val="eachPage"/>
          </w:footnotePr>
          <w:pgSz w:orient="portrait" w:w="11905.511811023622" w:h="16837.79527559055"/>
          <w:pgMar w:top="1440" w:right="1440" w:bottom="1440" w:left="1440" w:header="720" w:footer="720" w:gutter="0"/>
          <w:cols w:num="1" w:space="720"/>
        </w:sectPr>
      </w:pPr>
    </w:p>
    <w:bookmarkStart w:id="1010" w:name="pg11704_122496"/>
    <w:bookmarkEnd w:id="1010"/>
    <w:p>
      <w:pPr>
        <w:pStyle w:val="BookText"/>
      </w:pPr>
      <w:r>
        <w:rPr>
          <w:rFonts w:ascii="IRNazanin" w:hAnsi="IRNazanin" w:eastAsia="IRNazanin" w:cs="IRNazanin"/>
          <w:lang w:bidi="fa-IR"/>
          <w:color w:val="111111"/>
          <w:sz w:val="28"/>
          <w:szCs w:val="28"/>
          <w:rtl/>
        </w:rPr>
        <w:t xml:space="preserve">و أمها کانت دلرس بنت شاهنواز خان الصفوی. ولدت فی 1048 و ماتت 1113.</w:t>
      </w:r>
    </w:p>
    <w:p>
      <w:pPr>
        <w:pStyle w:val="BookText"/>
      </w:pPr>
      <w:r>
        <w:rPr>
          <w:rFonts w:ascii="IRNazanin" w:hAnsi="IRNazanin" w:eastAsia="IRNazanin" w:cs="IRNazanin"/>
          <w:lang w:bidi="fa-IR"/>
          <w:color w:val="111111"/>
          <w:sz w:val="28"/>
          <w:szCs w:val="28"/>
          <w:rtl/>
        </w:rPr>
        <w:t xml:space="preserve">کانت عالمة أدیبة و لم تتزوج حتی ماتت و کانت تشاعر الشعراء. ترجمها فی تذکره الخواتین و نقل مجلس و (حسینی- ص 324) و هدیة العارفین- 1: 375 و خیرات حسان 2: 19 و (نتایج- ص 305) و از رابعة تا پروین- ص 204.</w:t>
      </w:r>
    </w:p>
    <w:p>
      <w:pPr>
        <w:pStyle w:val="BookText"/>
      </w:pPr>
      <w:r>
        <w:rPr>
          <w:rFonts w:ascii="IRNazanin" w:hAnsi="IRNazanin" w:eastAsia="IRNazanin" w:cs="IRNazanin"/>
          <w:lang w:bidi="fa-IR"/>
          <w:color w:val="111111"/>
          <w:sz w:val="28"/>
          <w:szCs w:val="28"/>
          <w:rtl/>
        </w:rPr>
        <w:t xml:space="preserve">و طبع دیوان مخفی بکانپور فی 156 ص. و بلکهنو 1290 و 1293 و بلاهور 1343 و طبع 51 غزلا منها مع الترجمة الإنگلیزیة لمگس لآل بلندن فی 1913 م. و طبع أیضا أشکهای زیب النساء و یوجد نسخه من دیوانها فی (بنگاله) کما فی فهرسها.</w:t>
      </w:r>
    </w:p>
    <w:p>
      <w:pPr>
        <w:pStyle w:val="Heading3"/>
      </w:pPr>
      <w:bookmarkStart w:id="8799" w:name="_Toc7495"/>
      <w:r>
        <w:t>6634- دیوان مخلدی گرگانی أو شعره‏</w:t>
      </w:r>
      <w:bookmarkEnd w:id="8799"/>
    </w:p>
    <w:p>
      <w:pPr>
        <w:pStyle w:val="BookText"/>
      </w:pPr>
      <w:r>
        <w:rPr>
          <w:rFonts w:ascii="IRNazanin" w:hAnsi="IRNazanin" w:eastAsia="IRNazanin" w:cs="IRNazanin"/>
          <w:lang w:bidi="fa-IR"/>
          <w:color w:val="111111"/>
          <w:sz w:val="28"/>
          <w:szCs w:val="28"/>
          <w:rtl/>
        </w:rPr>
        <w:t xml:space="preserve">و اسمه أبو شریف أحمد بن علی. ذکره العوفی فی (لب 1) و ترجمه سعید النفیسی فی مجلة دانشکده أدبیات تهران ج 4 العدد 1 ص 18.</w:t>
      </w:r>
    </w:p>
    <w:p>
      <w:pPr>
        <w:pStyle w:val="Heading3"/>
      </w:pPr>
      <w:bookmarkStart w:id="8800" w:name="_Toc7496"/>
      <w:r>
        <w:t>6635- دیوان مخلص‏</w:t>
      </w:r>
      <w:bookmarkEnd w:id="8800"/>
    </w:p>
    <w:p>
      <w:pPr>
        <w:pStyle w:val="BookText"/>
      </w:pPr>
      <w:r>
        <w:rPr>
          <w:rFonts w:ascii="IRNazanin" w:hAnsi="IRNazanin" w:eastAsia="IRNazanin" w:cs="IRNazanin"/>
          <w:lang w:bidi="fa-IR"/>
          <w:color w:val="111111"/>
          <w:sz w:val="28"/>
          <w:szCs w:val="28"/>
          <w:rtl/>
        </w:rPr>
        <w:t xml:space="preserve">رأیته فی کتب (سیدنا الشیرازی بسامراء) بخط جید و نسخه نفیسة و خطه شکسته نستعلیق أوله:</w:t>
      </w:r>
    </w:p>
    <w:p>
      <w:pPr>
        <w:pStyle w:val="BookText"/>
      </w:pPr>
      <w:r>
        <w:rPr>
          <w:rFonts w:ascii="IRNazanin" w:hAnsi="IRNazanin" w:eastAsia="IRNazanin" w:cs="IRNazanin"/>
          <w:lang w:bidi="fa-IR"/>
          <w:color w:val="111111"/>
          <w:sz w:val="28"/>
          <w:szCs w:val="28"/>
          <w:rtl/>
        </w:rPr>
        <w:t xml:space="preserve">خوش‏دل کسی که دل به غم دلستان دهد</w:t>
      </w:r>
    </w:p>
    <w:p>
      <w:pPr>
        <w:pStyle w:val="BookText"/>
      </w:pPr>
      <w:r>
        <w:rPr>
          <w:rFonts w:ascii="IRNazanin" w:hAnsi="IRNazanin" w:eastAsia="IRNazanin" w:cs="IRNazanin"/>
          <w:lang w:bidi="fa-IR"/>
          <w:color w:val="111111"/>
          <w:sz w:val="28"/>
          <w:szCs w:val="28"/>
          <w:rtl/>
        </w:rPr>
        <w:t xml:space="preserve">دل برنگیرد از غم أو تا که جان دهد</w:t>
      </w:r>
    </w:p>
    <w:p>
      <w:pPr>
        <w:pStyle w:val="Heading3"/>
      </w:pPr>
      <w:bookmarkStart w:id="8801" w:name="_Toc7497"/>
      <w:r>
        <w:t>6636- دیوان مخلص انندرام هندی أو شعره‏</w:t>
      </w:r>
      <w:bookmarkEnd w:id="8801"/>
    </w:p>
    <w:p>
      <w:pPr>
        <w:pStyle w:val="BookText"/>
      </w:pPr>
      <w:r>
        <w:rPr>
          <w:rFonts w:ascii="IRNazanin" w:hAnsi="IRNazanin" w:eastAsia="IRNazanin" w:cs="IRNazanin"/>
          <w:lang w:bidi="fa-IR"/>
          <w:color w:val="111111"/>
          <w:sz w:val="28"/>
          <w:szCs w:val="28"/>
          <w:rtl/>
        </w:rPr>
        <w:t xml:space="preserve">هو من شاه جهان‏آباد. ترجمه البلگرامی فی (خز- ص 425) و قال انما ترجمته لأجل أنه کان مربی خان آرزو مؤلف مجمع النفائس و قد ترجم فیه أستاذه هذا و أورد شعره. و قال إنه توفی مخلص فی 1164 ثم أورد البلگرامی جملة من شعره المذکورة فی مجمع النفائس و کذا فی (مسرت 357).</w:t>
      </w:r>
    </w:p>
    <w:p>
      <w:pPr>
        <w:pStyle w:val="Heading3"/>
      </w:pPr>
      <w:bookmarkStart w:id="8802" w:name="_Toc7498"/>
      <w:r>
        <w:t>دیوان مخلص تفرشی‏</w:t>
      </w:r>
      <w:bookmarkEnd w:id="8802"/>
    </w:p>
    <w:p>
      <w:pPr>
        <w:pStyle w:val="BookText"/>
      </w:pPr>
      <w:r>
        <w:rPr>
          <w:rFonts w:ascii="IRNazanin" w:hAnsi="IRNazanin" w:eastAsia="IRNazanin" w:cs="IRNazanin"/>
          <w:lang w:bidi="fa-IR"/>
          <w:color w:val="111111"/>
          <w:sz w:val="28"/>
          <w:szCs w:val="28"/>
          <w:rtl/>
        </w:rPr>
        <w:t xml:space="preserve">و اسمه مهدی بن مصطفی وکیل لشکر اللاهوتی التفرشی المذکور فی ص 940 بلقبه المشهور به فإن تخلصه غیر معروف.</w:t>
      </w:r>
    </w:p>
    <w:p>
      <w:pPr>
        <w:pStyle w:val="Heading3"/>
      </w:pPr>
      <w:bookmarkStart w:id="8803" w:name="_Toc7499"/>
      <w:r>
        <w:t>6637- دیوان مخلص تبریزی‏</w:t>
      </w:r>
      <w:bookmarkEnd w:id="8803"/>
    </w:p>
    <w:p>
      <w:pPr>
        <w:pStyle w:val="BookText"/>
      </w:pPr>
      <w:r>
        <w:rPr>
          <w:rFonts w:ascii="IRNazanin" w:hAnsi="IRNazanin" w:eastAsia="IRNazanin" w:cs="IRNazanin"/>
          <w:lang w:bidi="fa-IR"/>
          <w:color w:val="111111"/>
          <w:sz w:val="28"/>
          <w:szCs w:val="28"/>
          <w:rtl/>
        </w:rPr>
        <w:t xml:space="preserve">النجفیة المولد ظاهرا و المسماة بزهراء بیگم بنت الفاضل المیرزا أحمد آقا المعروف بالمولوی لأنه کان نزیل هند أخیرا. و هی حلیلة المیرزا أبی القاسم بن المیرزا محمود التبریزی النجفی. فارسی فی المدائح و المراثی و لذا سمی شکوفه غم و قد طبع فی النجف 1354.</w:t>
      </w:r>
    </w:p>
    <w:p>
      <w:pPr>
        <w:pStyle w:val="Heading3"/>
      </w:pPr>
      <w:bookmarkStart w:id="8804" w:name="_Toc7500"/>
      <w:r>
        <w:t>6638- دیوان مخلص سهرندی أو شعره‏</w:t>
      </w:r>
      <w:bookmarkEnd w:id="8804"/>
    </w:p>
    <w:p>
      <w:pPr>
        <w:pStyle w:val="BookText"/>
      </w:pPr>
      <w:r>
        <w:rPr>
          <w:rFonts w:ascii="IRNazanin" w:hAnsi="IRNazanin" w:eastAsia="IRNazanin" w:cs="IRNazanin"/>
          <w:lang w:bidi="fa-IR"/>
          <w:color w:val="111111"/>
          <w:sz w:val="28"/>
          <w:szCs w:val="28"/>
          <w:rtl/>
        </w:rPr>
        <w:t xml:space="preserve">و هو السید أحمد حسین بن محمد حسین من خدام محمد پادشاه. أورد شعره فی (گلشن- ص 394) و عنه فی القاموس‏
</w:t>
      </w:r>
    </w:p>
    <w:p>
      <w:pPr>
        <w:sectPr>
          <w:footerReference w:type="default" r:id="rId1029"/>
          <w:footnotePr>
            <w:numStart w:val="1"/>
            <w:numRestart w:val="eachPage"/>
          </w:footnotePr>
          <w:pgSz w:orient="portrait" w:w="11905.511811023622" w:h="16837.79527559055"/>
          <w:pgMar w:top="1440" w:right="1440" w:bottom="1440" w:left="1440" w:header="720" w:footer="720" w:gutter="0"/>
          <w:cols w:num="1" w:space="720"/>
        </w:sectPr>
      </w:pPr>
    </w:p>
    <w:bookmarkStart w:id="1011" w:name="pg11704_122497"/>
    <w:bookmarkEnd w:id="1011"/>
    <w:p>
      <w:pPr>
        <w:pStyle w:val="BookText"/>
      </w:pPr>
      <w:r>
        <w:rPr>
          <w:rFonts w:ascii="IRNazanin" w:hAnsi="IRNazanin" w:eastAsia="IRNazanin" w:cs="IRNazanin"/>
          <w:lang w:bidi="fa-IR"/>
          <w:color w:val="111111"/>
          <w:sz w:val="28"/>
          <w:szCs w:val="28"/>
          <w:rtl/>
        </w:rPr>
        <w:t xml:space="preserve">الترکی.</w:t>
      </w:r>
    </w:p>
    <w:p>
      <w:pPr>
        <w:pStyle w:val="Heading3"/>
      </w:pPr>
      <w:bookmarkStart w:id="8805" w:name="_Toc7501"/>
      <w:r>
        <w:t>6639- دیوان مخلص شیرازی أو شعره‏</w:t>
      </w:r>
      <w:bookmarkEnd w:id="8805"/>
    </w:p>
    <w:p>
      <w:pPr>
        <w:pStyle w:val="BookText"/>
      </w:pPr>
      <w:r>
        <w:rPr>
          <w:rFonts w:ascii="IRNazanin" w:hAnsi="IRNazanin" w:eastAsia="IRNazanin" w:cs="IRNazanin"/>
          <w:lang w:bidi="fa-IR"/>
          <w:color w:val="111111"/>
          <w:sz w:val="28"/>
          <w:szCs w:val="28"/>
          <w:rtl/>
        </w:rPr>
        <w:t xml:space="preserve">و اسمه میرزا محمد نبی الدنبلی کان من أهل العلم. ترجمه معاصره فی (مع 2- ص 446) و قال رأیته أوان شبابه بشیراز و هو من أواسط الشعراء. ثم أورد قرب عشرین بیتا من شعره و کذا فی (انجمن 4).</w:t>
      </w:r>
    </w:p>
    <w:p>
      <w:pPr>
        <w:pStyle w:val="Heading3"/>
      </w:pPr>
      <w:bookmarkStart w:id="8806" w:name="_Toc7502"/>
      <w:r>
        <w:t>دیوان مخلص قمی‏</w:t>
      </w:r>
      <w:bookmarkEnd w:id="8806"/>
    </w:p>
    <w:p>
      <w:pPr>
        <w:pStyle w:val="BookText"/>
      </w:pPr>
      <w:r>
        <w:rPr>
          <w:rFonts w:ascii="IRNazanin" w:hAnsi="IRNazanin" w:eastAsia="IRNazanin" w:cs="IRNazanin"/>
          <w:lang w:bidi="fa-IR"/>
          <w:color w:val="111111"/>
          <w:sz w:val="28"/>
          <w:szCs w:val="28"/>
          <w:rtl/>
        </w:rPr>
        <w:t xml:space="preserve">کما فی (تش- ص 235) و هو الکاشانی الآتی.</w:t>
      </w:r>
    </w:p>
    <w:p>
      <w:pPr>
        <w:pStyle w:val="Heading3"/>
      </w:pPr>
      <w:bookmarkStart w:id="8807" w:name="_Toc7503"/>
      <w:r>
        <w:t>6640- دیوان مخلص کاشانی‏</w:t>
      </w:r>
      <w:bookmarkEnd w:id="8807"/>
    </w:p>
    <w:p>
      <w:pPr>
        <w:pStyle w:val="BookText"/>
      </w:pPr>
      <w:r>
        <w:rPr>
          <w:rFonts w:ascii="IRNazanin" w:hAnsi="IRNazanin" w:eastAsia="IRNazanin" w:cs="IRNazanin"/>
          <w:lang w:bidi="fa-IR"/>
          <w:color w:val="111111"/>
          <w:sz w:val="28"/>
          <w:szCs w:val="28"/>
          <w:rtl/>
        </w:rPr>
        <w:t xml:space="preserve">المیرزا محمد النراقی الکاشانی القمی أطرأ الحزین فی تذکرته ص 77 قریحته و قال إنه یستعمل صنعة الإیهام کثیرا. و قد جاء به محمد مؤمن خان شاملو من کاشان إلی أصفهان و صحب هناک الحزین مدة و مات عن ستین سنة و دفن فی الجامع العتیق و أورد شعره نقلا عن دیوانه. و رأی آزاد دیوانه و ذکره فی (سرو- ص 125) و کذا فی (نتایج- ص 651) و (مسرت- 545) و (حسینی- ص 321) و (تش- ص 325) و شمع انجمن- ص 438 و تذکره شوشتر- ص 39 و یوجد نسخه منه عند الشیخ مهدی شرف الدین بتستر کتابتها قبل 1150 أولها:</w:t>
      </w:r>
    </w:p>
    <w:p>
      <w:pPr>
        <w:pStyle w:val="BookText"/>
      </w:pPr>
      <w:r>
        <w:rPr>
          <w:rFonts w:ascii="IRNazanin" w:hAnsi="IRNazanin" w:eastAsia="IRNazanin" w:cs="IRNazanin"/>
          <w:lang w:bidi="fa-IR"/>
          <w:color w:val="111111"/>
          <w:sz w:val="28"/>
          <w:szCs w:val="28"/>
          <w:rtl/>
        </w:rPr>
        <w:t xml:space="preserve">الهی پرتو از شمع یقین ده شمع جانم را</w:t>
      </w:r>
    </w:p>
    <w:p>
      <w:pPr>
        <w:pStyle w:val="BookText"/>
      </w:pPr>
      <w:r>
        <w:rPr>
          <w:rFonts w:ascii="IRNazanin" w:hAnsi="IRNazanin" w:eastAsia="IRNazanin" w:cs="IRNazanin"/>
          <w:lang w:bidi="fa-IR"/>
          <w:color w:val="111111"/>
          <w:sz w:val="28"/>
          <w:szCs w:val="28"/>
          <w:rtl/>
        </w:rPr>
        <w:t xml:space="preserve">بشوی از حرف باطل یک قلم لوح بیانم را</w:t>
      </w:r>
    </w:p>
    <w:p>
      <w:pPr>
        <w:pStyle w:val="BookText"/>
      </w:pPr>
      <w:r>
        <w:rPr>
          <w:rFonts w:ascii="IRNazanin" w:hAnsi="IRNazanin" w:eastAsia="IRNazanin" w:cs="IRNazanin"/>
          <w:lang w:bidi="fa-IR"/>
          <w:color w:val="111111"/>
          <w:sz w:val="28"/>
          <w:szCs w:val="28"/>
          <w:rtl/>
        </w:rPr>
        <w:t xml:space="preserve">و نسخه أخری فی (المجلس) کما فی فهرسها 3: 668- 669.</w:t>
      </w:r>
    </w:p>
    <w:p>
      <w:pPr>
        <w:pStyle w:val="Heading3"/>
      </w:pPr>
      <w:bookmarkStart w:id="8808" w:name="_Toc7504"/>
      <w:r>
        <w:t>6641- مخلص کشمیری أو شعره‏</w:t>
      </w:r>
      <w:bookmarkEnd w:id="8808"/>
    </w:p>
    <w:p>
      <w:pPr>
        <w:pStyle w:val="BookText"/>
      </w:pPr>
      <w:r>
        <w:rPr>
          <w:rFonts w:ascii="IRNazanin" w:hAnsi="IRNazanin" w:eastAsia="IRNazanin" w:cs="IRNazanin"/>
          <w:lang w:bidi="fa-IR"/>
          <w:color w:val="111111"/>
          <w:sz w:val="28"/>
          <w:szCs w:val="28"/>
          <w:rtl/>
        </w:rPr>
        <w:t xml:space="preserve">و اسمه قاسم خان الإیرانی الأصل. ولد بکشمیر.</w:t>
      </w:r>
    </w:p>
    <w:p>
      <w:pPr>
        <w:pStyle w:val="BookText"/>
      </w:pPr>
      <w:r>
        <w:rPr>
          <w:rFonts w:ascii="IRNazanin" w:hAnsi="IRNazanin" w:eastAsia="IRNazanin" w:cs="IRNazanin"/>
          <w:lang w:bidi="fa-IR"/>
          <w:color w:val="111111"/>
          <w:sz w:val="28"/>
          <w:szCs w:val="28"/>
          <w:rtl/>
        </w:rPr>
        <w:t xml:space="preserve">أورد شعره فی (گلشن- ص 394).</w:t>
      </w:r>
    </w:p>
    <w:p>
      <w:pPr>
        <w:pStyle w:val="Heading3"/>
      </w:pPr>
      <w:bookmarkStart w:id="8809" w:name="_Toc7505"/>
      <w:r>
        <w:t>6642- دیوان مخلص میر بخشی أو شعره‏</w:t>
      </w:r>
      <w:bookmarkEnd w:id="8809"/>
    </w:p>
    <w:p>
      <w:pPr>
        <w:pStyle w:val="BookText"/>
      </w:pPr>
      <w:r>
        <w:rPr>
          <w:rFonts w:ascii="IRNazanin" w:hAnsi="IRNazanin" w:eastAsia="IRNazanin" w:cs="IRNazanin"/>
          <w:lang w:bidi="fa-IR"/>
          <w:color w:val="111111"/>
          <w:sz w:val="28"/>
          <w:szCs w:val="28"/>
          <w:rtl/>
        </w:rPr>
        <w:t xml:space="preserve">کان من شعراء عهد اورنگ زیب. أورد شعره فی (گلشن- ص 395).</w:t>
      </w:r>
    </w:p>
    <w:p>
      <w:pPr>
        <w:pStyle w:val="Heading3"/>
      </w:pPr>
      <w:bookmarkStart w:id="8810" w:name="_Toc7506"/>
      <w:r>
        <w:t>دیوان مخلص نراقی‏</w:t>
      </w:r>
      <w:bookmarkEnd w:id="8810"/>
    </w:p>
    <w:p>
      <w:pPr>
        <w:pStyle w:val="BookText"/>
      </w:pPr>
      <w:r>
        <w:rPr>
          <w:rFonts w:ascii="IRNazanin" w:hAnsi="IRNazanin" w:eastAsia="IRNazanin" w:cs="IRNazanin"/>
          <w:lang w:bidi="fa-IR"/>
          <w:color w:val="111111"/>
          <w:sz w:val="28"/>
          <w:szCs w:val="28"/>
          <w:rtl/>
        </w:rPr>
        <w:t xml:space="preserve">کما فی (تش- 235) راجع مخلص کاشانی.</w:t>
      </w:r>
    </w:p>
    <w:p>
      <w:pPr>
        <w:pStyle w:val="Heading3"/>
      </w:pPr>
      <w:bookmarkStart w:id="8811" w:name="_Toc7507"/>
      <w:r>
        <w:t>6643- دیوان مخلص نیشابوری‏</w:t>
      </w:r>
      <w:bookmarkEnd w:id="8811"/>
    </w:p>
    <w:p>
      <w:pPr>
        <w:pStyle w:val="BookText"/>
      </w:pPr>
      <w:r>
        <w:rPr>
          <w:rFonts w:ascii="IRNazanin" w:hAnsi="IRNazanin" w:eastAsia="IRNazanin" w:cs="IRNazanin"/>
          <w:lang w:bidi="fa-IR"/>
          <w:color w:val="111111"/>
          <w:sz w:val="28"/>
          <w:szCs w:val="28"/>
          <w:rtl/>
        </w:rPr>
        <w:t xml:space="preserve">و اسمه شاه محمود بن إسحاق الماهر فی النستعلیق و تلمیذ عبدی. ترجمه و أورد شعره فی (گلشن- ص 394) و (تس 4- 81).</w:t>
      </w:r>
    </w:p>
    <w:p>
      <w:pPr>
        <w:pStyle w:val="Heading3"/>
      </w:pPr>
      <w:bookmarkStart w:id="8812" w:name="_Toc7508"/>
      <w:r>
        <w:t>دیوان مخلص هندی أو شعره‏</w:t>
      </w:r>
      <w:bookmarkEnd w:id="8812"/>
    </w:p>
    <w:p>
      <w:pPr>
        <w:pStyle w:val="BookText"/>
      </w:pPr>
      <w:r>
        <w:rPr>
          <w:rFonts w:ascii="IRNazanin" w:hAnsi="IRNazanin" w:eastAsia="IRNazanin" w:cs="IRNazanin"/>
          <w:lang w:bidi="fa-IR"/>
          <w:color w:val="111111"/>
          <w:sz w:val="28"/>
          <w:szCs w:val="28"/>
          <w:rtl/>
        </w:rPr>
        <w:t xml:space="preserve">راجع مخلص آنندرام.</w:t>
      </w:r>
    </w:p>
    <w:p>
      <w:pPr>
        <w:pStyle w:val="Heading3"/>
      </w:pPr>
      <w:bookmarkStart w:id="8813" w:name="_Toc7509"/>
      <w:r>
        <w:t>6644- دیوان مخلصی آذربایجانی أو شعره‏</w:t>
      </w:r>
      <w:bookmarkEnd w:id="8813"/>
    </w:p>
    <w:p>
      <w:pPr>
        <w:pStyle w:val="BookText"/>
      </w:pPr>
      <w:r>
        <w:rPr>
          <w:rFonts w:ascii="IRNazanin" w:hAnsi="IRNazanin" w:eastAsia="IRNazanin" w:cs="IRNazanin"/>
          <w:lang w:bidi="fa-IR"/>
          <w:color w:val="111111"/>
          <w:sz w:val="28"/>
          <w:szCs w:val="28"/>
          <w:rtl/>
        </w:rPr>
        <w:t xml:space="preserve">اسمه حسن من قریة پنیس من محال آذربایجان ترجمه معاصره الصادقی فی (خص 8- ص 288) بعنوان حسن مخلصی و أورد بعض أشعاره و نقله عنه فی (دجا- ص 339).
</w:t>
      </w:r>
    </w:p>
    <w:p>
      <w:pPr>
        <w:sectPr>
          <w:footerReference w:type="default" r:id="rId1030"/>
          <w:footnotePr>
            <w:numStart w:val="1"/>
            <w:numRestart w:val="eachPage"/>
          </w:footnotePr>
          <w:pgSz w:orient="portrait" w:w="11905.511811023622" w:h="16837.79527559055"/>
          <w:pgMar w:top="1440" w:right="1440" w:bottom="1440" w:left="1440" w:header="720" w:footer="720" w:gutter="0"/>
          <w:cols w:num="1" w:space="720"/>
        </w:sectPr>
      </w:pPr>
    </w:p>
    <w:bookmarkStart w:id="1012" w:name="pg11704_122498"/>
    <w:bookmarkEnd w:id="1012"/>
    <w:p>
      <w:pPr>
        <w:pStyle w:val="Heading3"/>
      </w:pPr>
      <w:bookmarkStart w:id="8814" w:name="_Toc7510"/>
      <w:r>
        <w:t>6645- دیوان مخلصی سبزواری أو شعره‏</w:t>
      </w:r>
      <w:bookmarkEnd w:id="8814"/>
    </w:p>
    <w:p>
      <w:pPr>
        <w:pStyle w:val="BookText"/>
      </w:pPr>
      <w:r>
        <w:rPr>
          <w:rFonts w:ascii="IRNazanin" w:hAnsi="IRNazanin" w:eastAsia="IRNazanin" w:cs="IRNazanin"/>
          <w:lang w:bidi="fa-IR"/>
          <w:color w:val="111111"/>
          <w:sz w:val="28"/>
          <w:szCs w:val="28"/>
          <w:rtl/>
        </w:rPr>
        <w:t xml:space="preserve">کان معاصرا لصادقی. ترجمه فی (خص 8- ص 230) و أورد شعره قطعة فیها تخلصه.</w:t>
      </w:r>
    </w:p>
    <w:p>
      <w:pPr>
        <w:pStyle w:val="Heading3"/>
      </w:pPr>
      <w:bookmarkStart w:id="8815" w:name="_Toc7511"/>
      <w:r>
        <w:t>6646- دیوان مخمور تبریزی‏</w:t>
      </w:r>
      <w:bookmarkEnd w:id="8815"/>
    </w:p>
    <w:p>
      <w:pPr>
        <w:pStyle w:val="BookText"/>
      </w:pPr>
      <w:r>
        <w:rPr>
          <w:rFonts w:ascii="IRNazanin" w:hAnsi="IRNazanin" w:eastAsia="IRNazanin" w:cs="IRNazanin"/>
          <w:lang w:bidi="fa-IR"/>
          <w:color w:val="111111"/>
          <w:sz w:val="28"/>
          <w:szCs w:val="28"/>
          <w:rtl/>
        </w:rPr>
        <w:t xml:space="preserve">المیرزا لطف الله بن الحاج شکر الله التبریزی و الملقب مرشد قلی خان المولود فی بندر سورت 1095 و المتوفی فی حیدرآباد 1164 اکتسب العلوم عن المیرزا حبیب الله الأصفهانی من تلامیذ الآقا حسین الخوانساری ترجمه کذلک فی (دجا- ص 339) و أورد بعض شعره نقلا عن نتایج الأفکار و فی (نتایج- ص 659) و (سرو- ص 221)</w:t>
      </w:r>
    </w:p>
    <w:p>
      <w:pPr>
        <w:pStyle w:val="Heading3"/>
      </w:pPr>
      <w:bookmarkStart w:id="8816" w:name="_Toc7512"/>
      <w:r>
        <w:t>6647- دیوان مخمور ملایری‏</w:t>
      </w:r>
      <w:bookmarkEnd w:id="8816"/>
    </w:p>
    <w:p>
      <w:pPr>
        <w:pStyle w:val="BookText"/>
      </w:pPr>
      <w:r>
        <w:rPr>
          <w:rFonts w:ascii="IRNazanin" w:hAnsi="IRNazanin" w:eastAsia="IRNazanin" w:cs="IRNazanin"/>
          <w:lang w:bidi="fa-IR"/>
          <w:color w:val="111111"/>
          <w:sz w:val="28"/>
          <w:szCs w:val="28"/>
          <w:rtl/>
        </w:rPr>
        <w:t xml:space="preserve">من شعراء القرن الثالث عشر و مادح اعتضاد السلطنة توجد فی (سپهسالار 151) کما فی فهرسها 2: 675 و لعله متحد مع ما بعده‏</w:t>
      </w:r>
    </w:p>
    <w:p>
      <w:pPr>
        <w:pStyle w:val="Heading3"/>
      </w:pPr>
      <w:bookmarkStart w:id="8817" w:name="_Toc7513"/>
      <w:r>
        <w:t>6648- دیوان مخمور مشهدی‏</w:t>
      </w:r>
      <w:bookmarkEnd w:id="8817"/>
    </w:p>
    <w:p>
      <w:pPr>
        <w:pStyle w:val="BookText"/>
      </w:pPr>
      <w:r>
        <w:rPr>
          <w:rFonts w:ascii="IRNazanin" w:hAnsi="IRNazanin" w:eastAsia="IRNazanin" w:cs="IRNazanin"/>
          <w:lang w:bidi="fa-IR"/>
          <w:color w:val="111111"/>
          <w:sz w:val="28"/>
          <w:szCs w:val="28"/>
          <w:rtl/>
        </w:rPr>
        <w:t xml:space="preserve">و هو السید جعفر بن داود الحسنی الأرغدی المشهدی یوجد بخطه فی 2000 بیت فی جنگ کتبت فی 1283 عند (فخر الدین)</w:t>
      </w:r>
    </w:p>
    <w:p>
      <w:pPr>
        <w:pStyle w:val="Heading3"/>
      </w:pPr>
      <w:bookmarkStart w:id="8818" w:name="_Toc7514"/>
      <w:r>
        <w:t>6649- دیوان مداح حبیب‏آبادی‏</w:t>
      </w:r>
      <w:bookmarkEnd w:id="8818"/>
    </w:p>
    <w:p>
      <w:pPr>
        <w:pStyle w:val="BookText"/>
      </w:pPr>
      <w:r>
        <w:rPr>
          <w:rFonts w:ascii="IRNazanin" w:hAnsi="IRNazanin" w:eastAsia="IRNazanin" w:cs="IRNazanin"/>
          <w:lang w:bidi="fa-IR"/>
          <w:color w:val="111111"/>
          <w:sz w:val="28"/>
          <w:szCs w:val="28"/>
          <w:rtl/>
        </w:rPr>
        <w:t xml:space="preserve">و هو محمد علی بن درویش عباس بن محمد علی ولد بحبیب‏آباد من قرأ أصفهان فی رمضان 1310 و مات أبوه فی 1322 و دیوانه الآن فی مائة ورقة کما ذکره لنا المعلم الحبیب‏آبادی و ترجمه المهدوی فی شعرای معاصر أصفهان- ص 433</w:t>
      </w:r>
    </w:p>
    <w:p>
      <w:pPr>
        <w:pStyle w:val="Heading3"/>
      </w:pPr>
      <w:bookmarkStart w:id="8819" w:name="_Toc7515"/>
      <w:r>
        <w:t>6650- دیوان مداح کشمیری‏</w:t>
      </w:r>
      <w:bookmarkEnd w:id="8819"/>
    </w:p>
    <w:p>
      <w:pPr>
        <w:pStyle w:val="BookText"/>
      </w:pPr>
      <w:r>
        <w:rPr>
          <w:rFonts w:ascii="IRNazanin" w:hAnsi="IRNazanin" w:eastAsia="IRNazanin" w:cs="IRNazanin"/>
          <w:lang w:bidi="fa-IR"/>
          <w:color w:val="111111"/>
          <w:sz w:val="28"/>
          <w:szCs w:val="28"/>
          <w:rtl/>
        </w:rPr>
        <w:t xml:space="preserve">و هو المیر علی شاه، معاصر محمود الدولة منشی صفدر بکشمیر کان من شعراء واجد علی شاه بکلکتة و دیوانه یسمی هفت عنوان أورد شعره فی (گلشن- ص 396)</w:t>
      </w:r>
    </w:p>
    <w:p>
      <w:pPr>
        <w:pStyle w:val="Heading3"/>
      </w:pPr>
      <w:bookmarkStart w:id="8820" w:name="_Toc7516"/>
      <w:r>
        <w:t>6651- دیوان مداح مشهدی‏</w:t>
      </w:r>
      <w:bookmarkEnd w:id="8820"/>
    </w:p>
    <w:p>
      <w:pPr>
        <w:pStyle w:val="BookText"/>
      </w:pPr>
      <w:r>
        <w:rPr>
          <w:rFonts w:ascii="IRNazanin" w:hAnsi="IRNazanin" w:eastAsia="IRNazanin" w:cs="IRNazanin"/>
          <w:lang w:bidi="fa-IR"/>
          <w:color w:val="111111"/>
          <w:sz w:val="28"/>
          <w:szCs w:val="28"/>
          <w:rtl/>
        </w:rPr>
        <w:t xml:space="preserve">اسمه المولی حسن علی نزیل مشهد خراسان فی 285 رأیت منه القصیدة البالغة إلی عشرین بیتا فی تتمیم قصیدة القاآنی فی مدح أمیر المؤمنین قد أملاها علی السید محمد باقر و کتبها هو بخطه فی تلک السنة ضمن مجموعة دونها موجودة عند السید محمد الجزائری فی النجف و انتقل إلی الأهواز</w:t>
      </w:r>
    </w:p>
    <w:p>
      <w:pPr>
        <w:pStyle w:val="Heading3"/>
      </w:pPr>
      <w:bookmarkStart w:id="8821" w:name="_Toc7517"/>
      <w:r>
        <w:t>6652- دیوان مدامی أصفهانی أو شعره‏</w:t>
      </w:r>
      <w:bookmarkEnd w:id="8821"/>
    </w:p>
    <w:p>
      <w:pPr>
        <w:pStyle w:val="BookText"/>
      </w:pPr>
      <w:r>
        <w:rPr>
          <w:rFonts w:ascii="IRNazanin" w:hAnsi="IRNazanin" w:eastAsia="IRNazanin" w:cs="IRNazanin"/>
          <w:lang w:bidi="fa-IR"/>
          <w:color w:val="111111"/>
          <w:sz w:val="28"/>
          <w:szCs w:val="28"/>
          <w:rtl/>
        </w:rPr>
        <w:t xml:space="preserve">هاجر أوائل شبابه من أصفهان و نزل أخیرا إلی شیروان و بها توفی ترجمه معاصره فی (تس 5- ص 149) و أورد الشعر المنسوب إلیه و کذا فی (تش- ص 196)
</w:t>
      </w:r>
    </w:p>
    <w:p>
      <w:pPr>
        <w:sectPr>
          <w:footerReference w:type="default" r:id="rId1031"/>
          <w:footnotePr>
            <w:numStart w:val="1"/>
            <w:numRestart w:val="eachPage"/>
          </w:footnotePr>
          <w:pgSz w:orient="portrait" w:w="11905.511811023622" w:h="16837.79527559055"/>
          <w:pgMar w:top="1440" w:right="1440" w:bottom="1440" w:left="1440" w:header="720" w:footer="720" w:gutter="0"/>
          <w:cols w:num="1" w:space="720"/>
        </w:sectPr>
      </w:pPr>
    </w:p>
    <w:bookmarkStart w:id="1013" w:name="pg11704_122499"/>
    <w:bookmarkEnd w:id="1013"/>
    <w:p>
      <w:pPr>
        <w:pStyle w:val="Heading3"/>
      </w:pPr>
      <w:bookmarkStart w:id="8822" w:name="_Toc7518"/>
      <w:r>
        <w:t>6653- دیوان مدامی همدانی أو شعره‏</w:t>
      </w:r>
      <w:bookmarkEnd w:id="8822"/>
    </w:p>
    <w:p>
      <w:pPr>
        <w:pStyle w:val="BookText"/>
      </w:pPr>
      <w:r>
        <w:rPr>
          <w:rFonts w:ascii="IRNazanin" w:hAnsi="IRNazanin" w:eastAsia="IRNazanin" w:cs="IRNazanin"/>
          <w:lang w:bidi="fa-IR"/>
          <w:color w:val="111111"/>
          <w:sz w:val="28"/>
          <w:szCs w:val="28"/>
          <w:rtl/>
        </w:rPr>
        <w:t xml:space="preserve">و اسمه حیدری وصل إلی الهند فی عهد أکبر شاه أورد شعره فی (گلشن- ص 397)</w:t>
      </w:r>
    </w:p>
    <w:p>
      <w:pPr>
        <w:pStyle w:val="Heading3"/>
      </w:pPr>
      <w:bookmarkStart w:id="8823" w:name="_Toc7519"/>
      <w:r>
        <w:t>6654- دیوان مدامی هندی أو شعره‏</w:t>
      </w:r>
      <w:bookmarkEnd w:id="8823"/>
    </w:p>
    <w:p>
      <w:pPr>
        <w:pStyle w:val="BookText"/>
      </w:pPr>
      <w:r>
        <w:rPr>
          <w:rFonts w:ascii="IRNazanin" w:hAnsi="IRNazanin" w:eastAsia="IRNazanin" w:cs="IRNazanin"/>
          <w:lang w:bidi="fa-IR"/>
          <w:color w:val="111111"/>
          <w:sz w:val="28"/>
          <w:szCs w:val="28"/>
          <w:rtl/>
        </w:rPr>
        <w:t xml:space="preserve">و هو المیر محمد صادق قال فی (گلشن- ص 396) إن آباءه کلهم شعراء و سرد نسبهم هکذا: محمد صادق بن محمد رضا الرازی ابن جعفر قاصر ابن إسماعیل حیران ابن محمد مؤمن مؤمن ابن محمد حسین سائل ابن محمد رضائی ابن سعید الدین فروغ ابن ستاره بانو کوکب بنت الشیخ سعدی الشیرازی قال و کان مقربا عند النواب حاکم خیرپور</w:t>
      </w:r>
    </w:p>
    <w:p>
      <w:pPr>
        <w:pStyle w:val="Heading3"/>
      </w:pPr>
      <w:bookmarkStart w:id="8824" w:name="_Toc7520"/>
      <w:r>
        <w:t>6655- مدامی یزدی‏</w:t>
      </w:r>
      <w:bookmarkEnd w:id="8824"/>
    </w:p>
    <w:p>
      <w:pPr>
        <w:pStyle w:val="BookText"/>
      </w:pPr>
      <w:r>
        <w:rPr>
          <w:rFonts w:ascii="IRNazanin" w:hAnsi="IRNazanin" w:eastAsia="IRNazanin" w:cs="IRNazanin"/>
          <w:lang w:bidi="fa-IR"/>
          <w:color w:val="111111"/>
          <w:sz w:val="28"/>
          <w:szCs w:val="28"/>
          <w:rtl/>
        </w:rPr>
        <w:t xml:space="preserve">اسمه الشیخ نور الدین من أحفاد الشیخ أحمد القطب أخ الشیخ محمد الیزدیین کما فی (تش یز- ص 330) قال کان ساکن محلة کوی مالمیر، و توفی 1061 و ذکر رباعیه و شعره‏</w:t>
      </w:r>
    </w:p>
    <w:p>
      <w:pPr>
        <w:pStyle w:val="Heading3"/>
      </w:pPr>
      <w:bookmarkStart w:id="8825" w:name="_Toc7521"/>
      <w:r>
        <w:t>6656- دیوان مدرس أصفهانی‏</w:t>
      </w:r>
      <w:bookmarkEnd w:id="8825"/>
    </w:p>
    <w:p>
      <w:pPr>
        <w:pStyle w:val="BookText"/>
      </w:pPr>
      <w:r>
        <w:rPr>
          <w:rFonts w:ascii="IRNazanin" w:hAnsi="IRNazanin" w:eastAsia="IRNazanin" w:cs="IRNazanin"/>
          <w:lang w:bidi="fa-IR"/>
          <w:color w:val="111111"/>
          <w:sz w:val="28"/>
          <w:szCs w:val="28"/>
          <w:rtl/>
        </w:rPr>
        <w:t xml:space="preserve">و هو السید محمد حسین بن السید محمد سید محمد صادقی ولد بأصفهان فی 1304 له دیوان شعر فی خمسة آلاف بیت کما فی شعرای معاصر أصفهان- ص 436</w:t>
      </w:r>
    </w:p>
    <w:p>
      <w:pPr>
        <w:pStyle w:val="Heading3"/>
      </w:pPr>
      <w:bookmarkStart w:id="8826" w:name="_Toc7522"/>
      <w:r>
        <w:t>دیوان مدرس حائری‏</w:t>
      </w:r>
      <w:bookmarkEnd w:id="8826"/>
    </w:p>
    <w:p>
      <w:pPr>
        <w:pStyle w:val="BookText"/>
      </w:pPr>
      <w:r>
        <w:rPr>
          <w:rFonts w:ascii="IRNazanin" w:hAnsi="IRNazanin" w:eastAsia="IRNazanin" w:cs="IRNazanin"/>
          <w:lang w:bidi="fa-IR"/>
          <w:color w:val="111111"/>
          <w:sz w:val="28"/>
          <w:szCs w:val="28"/>
          <w:rtl/>
        </w:rPr>
        <w:t xml:space="preserve">راجع السید نصر الله المدرس الحائری‏</w:t>
      </w:r>
    </w:p>
    <w:p>
      <w:pPr>
        <w:pStyle w:val="Heading3"/>
      </w:pPr>
      <w:bookmarkStart w:id="8827" w:name="_Toc7523"/>
      <w:r>
        <w:t>6657- دیوان مدرس زنجانی‏</w:t>
      </w:r>
      <w:bookmarkEnd w:id="8827"/>
    </w:p>
    <w:p>
      <w:pPr>
        <w:pStyle w:val="BookText"/>
      </w:pPr>
      <w:r>
        <w:rPr>
          <w:rFonts w:ascii="IRNazanin" w:hAnsi="IRNazanin" w:eastAsia="IRNazanin" w:cs="IRNazanin"/>
          <w:lang w:bidi="fa-IR"/>
          <w:color w:val="111111"/>
          <w:sz w:val="28"/>
          <w:szCs w:val="28"/>
          <w:rtl/>
        </w:rPr>
        <w:t xml:space="preserve">و هو المیرزا أحمد صدری الأبهری الزنجانی سکن کرمان أربعین سنة ثم هاجر إلی أصفهان و سکن حسن‏آباد و صلی الجماعة بمسجد الشاه و کان یدرس بالمدرسة الناصریة و توفی 9- ع 2- 1369 له وجیزة فی الفرق بین المعجزة و السحر و منظومة هدایة الأنام فی الکلام و کان یتخلص خادم أورد شعره فی شعرای معاصر أصفهان- ص 435</w:t>
      </w:r>
    </w:p>
    <w:p>
      <w:pPr>
        <w:pStyle w:val="Heading3"/>
      </w:pPr>
      <w:bookmarkStart w:id="8828" w:name="_Toc7524"/>
      <w:r>
        <w:t>6658- دیوان مدرس شیرازی‏</w:t>
      </w:r>
      <w:bookmarkEnd w:id="8828"/>
    </w:p>
    <w:p>
      <w:pPr>
        <w:pStyle w:val="BookText"/>
      </w:pPr>
      <w:r>
        <w:rPr>
          <w:rFonts w:ascii="IRNazanin" w:hAnsi="IRNazanin" w:eastAsia="IRNazanin" w:cs="IRNazanin"/>
          <w:lang w:bidi="fa-IR"/>
          <w:color w:val="111111"/>
          <w:sz w:val="28"/>
          <w:szCs w:val="28"/>
          <w:rtl/>
        </w:rPr>
        <w:t xml:space="preserve">و هو الحاج السید إبراهیم الأردکانی الشیرازی المعروف بحاج مدرس طبع له هیئت منظوم مع شرحه فی برلین 1342 فی 72 ص و معه تصویر المؤلف و البانی للطبع محمد حسین النمازی الشیرازی‏</w:t>
      </w:r>
    </w:p>
    <w:p>
      <w:pPr>
        <w:pStyle w:val="Heading3"/>
      </w:pPr>
      <w:bookmarkStart w:id="8829" w:name="_Toc7525"/>
      <w:r>
        <w:t>6659- دیوان مدرک شیرازی‏</w:t>
      </w:r>
      <w:bookmarkEnd w:id="8829"/>
    </w:p>
    <w:p>
      <w:pPr>
        <w:pStyle w:val="BookText"/>
      </w:pPr>
      <w:r>
        <w:rPr>
          <w:rFonts w:ascii="IRNazanin" w:hAnsi="IRNazanin" w:eastAsia="IRNazanin" w:cs="IRNazanin"/>
          <w:lang w:bidi="fa-IR"/>
          <w:color w:val="111111"/>
          <w:sz w:val="28"/>
          <w:szCs w:val="28"/>
          <w:rtl/>
        </w:rPr>
        <w:t xml:space="preserve">المیرزا عبد الله بن الحاج محمد حسین التاجر نزیل أبوشهر و المتوفی 1311 و رثاه المیرزا فرصت کما ذکره فی (عم- ص 372)</w:t>
      </w:r>
    </w:p>
    <w:p>
      <w:pPr>
        <w:pStyle w:val="Heading3"/>
      </w:pPr>
      <w:bookmarkStart w:id="8830" w:name="_Toc7526"/>
      <w:r>
        <w:t>6660- دیوان مدرکی أو شعره‏</w:t>
      </w:r>
      <w:bookmarkEnd w:id="8830"/>
    </w:p>
    <w:p>
      <w:pPr>
        <w:pStyle w:val="BookText"/>
      </w:pPr>
      <w:r>
        <w:rPr>
          <w:rFonts w:ascii="IRNazanin" w:hAnsi="IRNazanin" w:eastAsia="IRNazanin" w:cs="IRNazanin"/>
          <w:lang w:bidi="fa-IR"/>
          <w:color w:val="111111"/>
          <w:sz w:val="28"/>
          <w:szCs w:val="28"/>
          <w:rtl/>
        </w:rPr>
        <w:t xml:space="preserve">أورد شعره فی (گلشن- ص 397)
</w:t>
      </w:r>
    </w:p>
    <w:p>
      <w:pPr>
        <w:sectPr>
          <w:footerReference w:type="default" r:id="rId1032"/>
          <w:footnotePr>
            <w:numStart w:val="1"/>
            <w:numRestart w:val="eachPage"/>
          </w:footnotePr>
          <w:pgSz w:orient="portrait" w:w="11905.511811023622" w:h="16837.79527559055"/>
          <w:pgMar w:top="1440" w:right="1440" w:bottom="1440" w:left="1440" w:header="720" w:footer="720" w:gutter="0"/>
          <w:cols w:num="1" w:space="720"/>
        </w:sectPr>
      </w:pPr>
    </w:p>
    <w:bookmarkStart w:id="1014" w:name="pg11704_122500"/>
    <w:bookmarkEnd w:id="1014"/>
    <w:p>
      <w:pPr>
        <w:pStyle w:val="Heading3"/>
      </w:pPr>
      <w:bookmarkStart w:id="8831" w:name="_Toc7527"/>
      <w:r>
        <w:t>دیوان مدهوش أصفهانی‏</w:t>
      </w:r>
      <w:bookmarkEnd w:id="8831"/>
    </w:p>
    <w:p>
      <w:pPr>
        <w:pStyle w:val="BookText"/>
      </w:pPr>
      <w:r>
        <w:rPr>
          <w:rFonts w:ascii="IRNazanin" w:hAnsi="IRNazanin" w:eastAsia="IRNazanin" w:cs="IRNazanin"/>
          <w:lang w:bidi="fa-IR"/>
          <w:color w:val="111111"/>
          <w:sz w:val="28"/>
          <w:szCs w:val="28"/>
          <w:rtl/>
        </w:rPr>
        <w:t xml:space="preserve">راجع مدهوش عربستانی‏</w:t>
      </w:r>
    </w:p>
    <w:p>
      <w:pPr>
        <w:pStyle w:val="Heading3"/>
      </w:pPr>
      <w:bookmarkStart w:id="8832" w:name="_Toc7528"/>
      <w:r>
        <w:t>6661- دیوان مدهوش جرفادقانی أو شعره‏</w:t>
      </w:r>
      <w:bookmarkEnd w:id="8832"/>
    </w:p>
    <w:p>
      <w:pPr>
        <w:pStyle w:val="BookText"/>
      </w:pPr>
      <w:r>
        <w:rPr>
          <w:rFonts w:ascii="IRNazanin" w:hAnsi="IRNazanin" w:eastAsia="IRNazanin" w:cs="IRNazanin"/>
          <w:lang w:bidi="fa-IR"/>
          <w:color w:val="111111"/>
          <w:sz w:val="28"/>
          <w:szCs w:val="28"/>
          <w:rtl/>
        </w:rPr>
        <w:t xml:space="preserve">و اسمه ملا محمد صادق کان ملاباشی لحیدر قلی میرزا ابن الفتح علی شاه ترجمه فی (مع 2- ص 483) و أورد شعره المنسوب إلیه فی بعض السفائن‏</w:t>
      </w:r>
    </w:p>
    <w:p>
      <w:pPr>
        <w:pStyle w:val="Heading3"/>
      </w:pPr>
      <w:bookmarkStart w:id="8833" w:name="_Toc7529"/>
      <w:r>
        <w:t>6662- دیوان مدهوش طهرانی‏</w:t>
      </w:r>
      <w:bookmarkEnd w:id="8833"/>
    </w:p>
    <w:p>
      <w:pPr>
        <w:pStyle w:val="BookText"/>
      </w:pPr>
      <w:r>
        <w:rPr>
          <w:rFonts w:ascii="IRNazanin" w:hAnsi="IRNazanin" w:eastAsia="IRNazanin" w:cs="IRNazanin"/>
          <w:lang w:bidi="fa-IR"/>
          <w:color w:val="111111"/>
          <w:sz w:val="28"/>
          <w:szCs w:val="28"/>
          <w:rtl/>
        </w:rPr>
        <w:t xml:space="preserve">المیرزا إسماعیل المتخلص بمدهوش فارسی طبع فی طهران 1290 بعنوان إرشاد السالکین و أنیس العاشقین‏</w:t>
      </w:r>
    </w:p>
    <w:p>
      <w:pPr>
        <w:pStyle w:val="Heading3"/>
      </w:pPr>
      <w:bookmarkStart w:id="8834" w:name="_Toc7530"/>
      <w:r>
        <w:t>6663- دیوان مدهوش عربستانی‏</w:t>
      </w:r>
      <w:bookmarkEnd w:id="8834"/>
    </w:p>
    <w:p>
      <w:pPr>
        <w:pStyle w:val="BookText"/>
      </w:pPr>
      <w:r>
        <w:rPr>
          <w:rFonts w:ascii="IRNazanin" w:hAnsi="IRNazanin" w:eastAsia="IRNazanin" w:cs="IRNazanin"/>
          <w:lang w:bidi="fa-IR"/>
          <w:color w:val="111111"/>
          <w:sz w:val="28"/>
          <w:szCs w:val="28"/>
          <w:rtl/>
        </w:rPr>
        <w:t xml:space="preserve">نزیل أصفهان و اسمه السید مبارک خان من أحفاد السید مبارک الوالی فی عربستان ترجمه النصرآبادی فی (نر 2- ص 29) و أورد بعض ما اختاره من شعره الذی کتبه المدهوش بخطه فی مجموعة النصرآبادی قال سنگلاخ فی (امتحان 1: 319) إنه رأی دیوان مبارک شاه مدهوش بخط عبد الرزاق ابن أخت المیر عماد و أخری بخط مختار بیگ القزوینی مختار الخطاطین فذکره فی (امتحان 2- 267) و جاء شعره فی (مسرت- ص 239) و (تش- 20) و همیشه بهار و فی (حسینی- ص 322) سماه مدهوش أصفهانی و زاد فی (گلشن- ص 397) أنه هاجر إلی کشمیر و سکن هناک و کان ذا صوت حسن‏</w:t>
      </w:r>
    </w:p>
    <w:p>
      <w:pPr>
        <w:pStyle w:val="Heading3"/>
      </w:pPr>
      <w:bookmarkStart w:id="8835" w:name="_Toc7531"/>
      <w:r>
        <w:t>6664- دیوان مدهوش لاهوری أو شعره‏</w:t>
      </w:r>
      <w:bookmarkEnd w:id="8835"/>
    </w:p>
    <w:p>
      <w:pPr>
        <w:pStyle w:val="BookText"/>
      </w:pPr>
      <w:r>
        <w:rPr>
          <w:rFonts w:ascii="IRNazanin" w:hAnsi="IRNazanin" w:eastAsia="IRNazanin" w:cs="IRNazanin"/>
          <w:lang w:bidi="fa-IR"/>
          <w:color w:val="111111"/>
          <w:sz w:val="28"/>
          <w:szCs w:val="28"/>
          <w:rtl/>
        </w:rPr>
        <w:t xml:space="preserve">و هو أخ میر جلال الدین سیادت من شعراء عهد عالمگیر پادشاه أورد شعره فی (گلشن- ص 397)</w:t>
      </w:r>
    </w:p>
    <w:p>
      <w:pPr>
        <w:pStyle w:val="Heading3"/>
      </w:pPr>
      <w:bookmarkStart w:id="8836" w:name="_Toc7532"/>
      <w:r>
        <w:t>6665- دیوان مدیحی أو شعره‏</w:t>
      </w:r>
      <w:bookmarkEnd w:id="8836"/>
    </w:p>
    <w:p>
      <w:pPr>
        <w:pStyle w:val="BookText"/>
      </w:pPr>
      <w:r>
        <w:rPr>
          <w:rFonts w:ascii="IRNazanin" w:hAnsi="IRNazanin" w:eastAsia="IRNazanin" w:cs="IRNazanin"/>
          <w:lang w:bidi="fa-IR"/>
          <w:color w:val="111111"/>
          <w:sz w:val="28"/>
          <w:szCs w:val="28"/>
          <w:rtl/>
        </w:rPr>
        <w:t xml:space="preserve">کان من شعراء السلطان یعقوب ترکمان المتوفی 896 ترجمه و أورد شعره القزوینی فی (قز مج- ص 311)</w:t>
      </w:r>
    </w:p>
    <w:p>
      <w:pPr>
        <w:pStyle w:val="Heading3"/>
      </w:pPr>
      <w:bookmarkStart w:id="8837" w:name="_Toc7533"/>
      <w:r>
        <w:t>6666- دیوان مذاق هندی‏</w:t>
      </w:r>
      <w:bookmarkEnd w:id="8837"/>
    </w:p>
    <w:p>
      <w:pPr>
        <w:pStyle w:val="BookText"/>
      </w:pPr>
      <w:r>
        <w:rPr>
          <w:rFonts w:ascii="IRNazanin" w:hAnsi="IRNazanin" w:eastAsia="IRNazanin" w:cs="IRNazanin"/>
          <w:lang w:bidi="fa-IR"/>
          <w:color w:val="111111"/>
          <w:sz w:val="28"/>
          <w:szCs w:val="28"/>
          <w:rtl/>
        </w:rPr>
        <w:t xml:space="preserve">للنواب أحمد حسین خان حاکم بلدة پیر بانوان بالهند و صاحب صبح صادق ذکر دیوانه فی کتابه تاریخ أحمدی المذکور فی 3: 228</w:t>
      </w:r>
    </w:p>
    <w:p>
      <w:pPr>
        <w:pStyle w:val="Heading3"/>
      </w:pPr>
      <w:bookmarkStart w:id="8838" w:name="_Toc7534"/>
      <w:r>
        <w:t>6667- دیوان مذاقی تکلو أو شعره‏</w:t>
      </w:r>
      <w:bookmarkEnd w:id="8838"/>
    </w:p>
    <w:p>
      <w:pPr>
        <w:pStyle w:val="BookText"/>
      </w:pPr>
      <w:r>
        <w:rPr>
          <w:rFonts w:ascii="IRNazanin" w:hAnsi="IRNazanin" w:eastAsia="IRNazanin" w:cs="IRNazanin"/>
          <w:lang w:bidi="fa-IR"/>
          <w:color w:val="111111"/>
          <w:sz w:val="28"/>
          <w:szCs w:val="28"/>
          <w:rtl/>
        </w:rPr>
        <w:t xml:space="preserve">کان من أولاد قراچه سلطان تکلو ترجمه معاصره الصادقی فی (خص 2- ص 34) و ذکر أنه نسب شعر الصادقی إلی نفسه بمحضر منه‏</w:t>
      </w:r>
    </w:p>
    <w:p>
      <w:pPr>
        <w:pStyle w:val="Heading3"/>
      </w:pPr>
      <w:bookmarkStart w:id="8839" w:name="_Toc7535"/>
      <w:r>
        <w:t>6668- دیوان مذاقی نائنی أو شعره‏</w:t>
      </w:r>
      <w:bookmarkEnd w:id="8839"/>
    </w:p>
    <w:p>
      <w:pPr>
        <w:pStyle w:val="BookText"/>
      </w:pPr>
      <w:r>
        <w:rPr>
          <w:rFonts w:ascii="IRNazanin" w:hAnsi="IRNazanin" w:eastAsia="IRNazanin" w:cs="IRNazanin"/>
          <w:lang w:bidi="fa-IR"/>
          <w:color w:val="111111"/>
          <w:sz w:val="28"/>
          <w:szCs w:val="28"/>
          <w:rtl/>
        </w:rPr>
        <w:t xml:space="preserve">هو من سادات نائین و له إلمام بالموسیقی فی عصر الشاه عباس الماضی ذکره النصرآبادی فی (نر- ص 281) و أورد شعره‏
</w:t>
      </w:r>
    </w:p>
    <w:p>
      <w:pPr>
        <w:sectPr>
          <w:footerReference w:type="default" r:id="rId1033"/>
          <w:footnotePr>
            <w:numStart w:val="1"/>
            <w:numRestart w:val="eachPage"/>
          </w:footnotePr>
          <w:pgSz w:orient="portrait" w:w="11905.511811023622" w:h="16837.79527559055"/>
          <w:pgMar w:top="1440" w:right="1440" w:bottom="1440" w:left="1440" w:header="720" w:footer="720" w:gutter="0"/>
          <w:cols w:num="1" w:space="720"/>
        </w:sectPr>
      </w:pPr>
    </w:p>
    <w:bookmarkStart w:id="1015" w:name="pg11704_122501"/>
    <w:bookmarkEnd w:id="1015"/>
    <w:p>
      <w:pPr>
        <w:pStyle w:val="Heading3"/>
      </w:pPr>
      <w:bookmarkStart w:id="8840" w:name="_Toc7536"/>
      <w:r>
        <w:t>6669- دیوان مذاقی نیشابوری أو شعره‏</w:t>
      </w:r>
      <w:bookmarkEnd w:id="8840"/>
    </w:p>
    <w:p>
      <w:pPr>
        <w:pStyle w:val="BookText"/>
      </w:pPr>
      <w:r>
        <w:rPr>
          <w:rFonts w:ascii="IRNazanin" w:hAnsi="IRNazanin" w:eastAsia="IRNazanin" w:cs="IRNazanin"/>
          <w:lang w:bidi="fa-IR"/>
          <w:color w:val="111111"/>
          <w:sz w:val="28"/>
          <w:szCs w:val="28"/>
          <w:rtl/>
        </w:rPr>
        <w:t xml:space="preserve">و اسمه نظام الدین کان ماهرا فی التذهیب و الصحافة فی بلاط السلطان حسین بایقرا أورد شعره فی (گلشن- ص 398)</w:t>
      </w:r>
    </w:p>
    <w:p>
      <w:pPr>
        <w:pStyle w:val="Heading3"/>
      </w:pPr>
      <w:bookmarkStart w:id="8841" w:name="_Toc7537"/>
      <w:r>
        <w:t>6670- دیوان مذنب‏</w:t>
      </w:r>
      <w:bookmarkEnd w:id="8841"/>
    </w:p>
    <w:p>
      <w:pPr>
        <w:pStyle w:val="BookText"/>
      </w:pPr>
      <w:r>
        <w:rPr>
          <w:rFonts w:ascii="IRNazanin" w:hAnsi="IRNazanin" w:eastAsia="IRNazanin" w:cs="IRNazanin"/>
          <w:lang w:bidi="fa-IR"/>
          <w:color w:val="111111"/>
          <w:sz w:val="28"/>
          <w:szCs w:val="28"/>
          <w:rtl/>
        </w:rPr>
        <w:t xml:space="preserve">الموجود نسخته فی مکتبة (المجلس) کما فی فهرسها ج 3 ص 406 لیس فیها اسم الناظم و لا التصریح بتاریخه و کان الناظم کتب أولا ما دونه من غزلیاته و رباعیاته بغیر ترتیب فی 94 ص ثم کتبها ثانیا مع زیادات علیها أیضا بغیر ترتیب فی 248 ص ثم کتبها ثالثا مع الترتیب فی قوافیها فی 406 ص و مجموع أبیات هذا المرتب 2200</w:t>
      </w:r>
    </w:p>
    <w:p>
      <w:pPr>
        <w:pStyle w:val="Heading3"/>
      </w:pPr>
      <w:bookmarkStart w:id="8842" w:name="_Toc7538"/>
      <w:r>
        <w:t>6671- دیوان مذنب بدایونی‏</w:t>
      </w:r>
      <w:bookmarkEnd w:id="8842"/>
    </w:p>
    <w:p>
      <w:pPr>
        <w:pStyle w:val="BookText"/>
      </w:pPr>
      <w:r>
        <w:rPr>
          <w:rFonts w:ascii="IRNazanin" w:hAnsi="IRNazanin" w:eastAsia="IRNazanin" w:cs="IRNazanin"/>
          <w:lang w:bidi="fa-IR"/>
          <w:color w:val="111111"/>
          <w:sz w:val="28"/>
          <w:szCs w:val="28"/>
          <w:rtl/>
        </w:rPr>
        <w:t xml:space="preserve">المولود 1271 و هو المولوی حافظ علی أحمد المترجم فی (روشن- ص 621) و ذکر أنه فی سنة تألیفه 1296 مشغول بتکمیل علوم الباطن و أورد شعره‏</w:t>
      </w:r>
    </w:p>
    <w:p>
      <w:pPr>
        <w:pStyle w:val="Heading3"/>
      </w:pPr>
      <w:bookmarkStart w:id="8843" w:name="_Toc7539"/>
      <w:r>
        <w:t>6672- دیوان مذنب بمرودی‏</w:t>
      </w:r>
      <w:bookmarkEnd w:id="8843"/>
    </w:p>
    <w:p>
      <w:pPr>
        <w:pStyle w:val="BookText"/>
      </w:pPr>
      <w:r>
        <w:rPr>
          <w:rFonts w:ascii="IRNazanin" w:hAnsi="IRNazanin" w:eastAsia="IRNazanin" w:cs="IRNazanin"/>
          <w:lang w:bidi="fa-IR"/>
          <w:color w:val="111111"/>
          <w:sz w:val="28"/>
          <w:szCs w:val="28"/>
          <w:rtl/>
        </w:rPr>
        <w:t xml:space="preserve">له تتمیم مقامات حسینی الذی نظمه محمد أکبر منشی فی تاریخ وقایع الطف نظمه لأحمد شاه الدرانی (1160- 1187) و لم یتمه فأتمه مذنب بمرودی هذا و النسخة فی (المجلس) کما فی فهرسها 3: 676</w:t>
      </w:r>
    </w:p>
    <w:p>
      <w:pPr>
        <w:pStyle w:val="Heading3"/>
      </w:pPr>
      <w:bookmarkStart w:id="8844" w:name="_Toc7540"/>
      <w:r>
        <w:t>6673- مذنب تبریزی‏</w:t>
      </w:r>
      <w:bookmarkEnd w:id="8844"/>
    </w:p>
    <w:p>
      <w:pPr>
        <w:pStyle w:val="BookText"/>
      </w:pPr>
      <w:r>
        <w:rPr>
          <w:rFonts w:ascii="IRNazanin" w:hAnsi="IRNazanin" w:eastAsia="IRNazanin" w:cs="IRNazanin"/>
          <w:lang w:bidi="fa-IR"/>
          <w:color w:val="111111"/>
          <w:sz w:val="28"/>
          <w:szCs w:val="28"/>
          <w:rtl/>
        </w:rPr>
        <w:t xml:space="preserve">قال تربیت فی (دجا- ص 340) إن اسمه فتح علی بن الحاج حسن التبریزی المشهور بالإیروانی و رأیت دیوانه المشتمل علی آلاف بیت و عندی مجموعة بخطه دونها فی 1249 و أورد فیها کثیرا من النظم و النثر للشعراء و المنشئین المعاریف انتهی و أقول الظاهر أن ناظم الدیوان المذکور فی فهرس المجلس 3: 406 متأخر عن صاحب هذا الدیوان الکبیر المشتمل علی آلاف بیت، و رآه تربیت‏</w:t>
      </w:r>
    </w:p>
    <w:p>
      <w:pPr>
        <w:pStyle w:val="Heading3"/>
      </w:pPr>
      <w:bookmarkStart w:id="8845" w:name="_Toc7541"/>
      <w:r>
        <w:t>6674- دیوان مذنب خراسانی‏</w:t>
      </w:r>
      <w:bookmarkEnd w:id="8845"/>
    </w:p>
    <w:p>
      <w:pPr>
        <w:pStyle w:val="BookText"/>
      </w:pPr>
      <w:r>
        <w:rPr>
          <w:rFonts w:ascii="IRNazanin" w:hAnsi="IRNazanin" w:eastAsia="IRNazanin" w:cs="IRNazanin"/>
          <w:lang w:bidi="fa-IR"/>
          <w:color w:val="111111"/>
          <w:sz w:val="28"/>
          <w:szCs w:val="28"/>
          <w:rtl/>
        </w:rPr>
        <w:t xml:space="preserve">الشیخ غلام رضا الواعظ ابن محمد علی طبع له مخزن الأشعار فی 148 ص بطهران 1351</w:t>
      </w:r>
    </w:p>
    <w:p>
      <w:pPr>
        <w:pStyle w:val="Heading3"/>
      </w:pPr>
      <w:bookmarkStart w:id="8846" w:name="_Toc7542"/>
      <w:r>
        <w:t>6675- دیوان مذهب أو شعره‏</w:t>
      </w:r>
      <w:bookmarkEnd w:id="8846"/>
    </w:p>
    <w:p>
      <w:pPr>
        <w:pStyle w:val="BookText"/>
      </w:pPr>
      <w:r>
        <w:rPr>
          <w:rFonts w:ascii="IRNazanin" w:hAnsi="IRNazanin" w:eastAsia="IRNazanin" w:cs="IRNazanin"/>
          <w:lang w:bidi="fa-IR"/>
          <w:color w:val="111111"/>
          <w:sz w:val="28"/>
          <w:szCs w:val="28"/>
          <w:rtl/>
        </w:rPr>
        <w:t xml:space="preserve">و اسمه محمد أورد معماه النصرآبادی فی (نر 15- ص 544) و لعله المذکور فی همیشه بهار أو الآتی بعد هذا</w:t>
      </w:r>
    </w:p>
    <w:p>
      <w:pPr>
        <w:pStyle w:val="Heading3"/>
      </w:pPr>
      <w:bookmarkStart w:id="8847" w:name="_Toc7543"/>
      <w:r>
        <w:t>6676- دیوان مذهب أصفهانی أو شعره‏</w:t>
      </w:r>
      <w:bookmarkEnd w:id="8847"/>
    </w:p>
    <w:p>
      <w:pPr>
        <w:pStyle w:val="BookText"/>
      </w:pPr>
      <w:r>
        <w:rPr>
          <w:rFonts w:ascii="IRNazanin" w:hAnsi="IRNazanin" w:eastAsia="IRNazanin" w:cs="IRNazanin"/>
          <w:lang w:bidi="fa-IR"/>
          <w:color w:val="111111"/>
          <w:sz w:val="28"/>
          <w:szCs w:val="28"/>
          <w:rtl/>
        </w:rPr>
        <w:t xml:space="preserve">و اسمه الملا محمد جعفر بن المیرزا محمود أصله من قهپایه و ولد بأصفهان و کان ماهرا فی التذهیب ترجمه و أورد شعره فی (نر 9- ص 418) و (گلشن- 399)
</w:t>
      </w:r>
    </w:p>
    <w:p>
      <w:pPr>
        <w:sectPr>
          <w:footerReference w:type="default" r:id="rId1034"/>
          <w:footnotePr>
            <w:numStart w:val="1"/>
            <w:numRestart w:val="eachPage"/>
          </w:footnotePr>
          <w:pgSz w:orient="portrait" w:w="11905.511811023622" w:h="16837.79527559055"/>
          <w:pgMar w:top="1440" w:right="1440" w:bottom="1440" w:left="1440" w:header="720" w:footer="720" w:gutter="0"/>
          <w:cols w:num="1" w:space="720"/>
        </w:sectPr>
      </w:pPr>
    </w:p>
    <w:bookmarkStart w:id="1016" w:name="pg11704_122502"/>
    <w:bookmarkEnd w:id="1016"/>
    <w:p>
      <w:pPr>
        <w:pStyle w:val="Heading3"/>
      </w:pPr>
      <w:bookmarkStart w:id="8848" w:name="_Toc7544"/>
      <w:r>
        <w:t>6677- دیوان مراد پهلوان شیرازی‏</w:t>
      </w:r>
      <w:bookmarkEnd w:id="8848"/>
    </w:p>
    <w:p>
      <w:pPr>
        <w:pStyle w:val="BookText"/>
      </w:pPr>
      <w:r>
        <w:rPr>
          <w:rFonts w:ascii="IRNazanin" w:hAnsi="IRNazanin" w:eastAsia="IRNazanin" w:cs="IRNazanin"/>
          <w:lang w:bidi="fa-IR"/>
          <w:color w:val="111111"/>
          <w:sz w:val="28"/>
          <w:szCs w:val="28"/>
          <w:rtl/>
        </w:rPr>
        <w:t xml:space="preserve">کان ساکن یزد أورد شعره و قصة غرامه مع ولد اسمه إلیاس فی (گلشن- ص 399) و راجع پهلوان یزدی و مرادی یزدی‏</w:t>
      </w:r>
    </w:p>
    <w:p>
      <w:pPr>
        <w:pStyle w:val="Heading3"/>
      </w:pPr>
      <w:bookmarkStart w:id="8849" w:name="_Toc7545"/>
      <w:r>
        <w:t>6678- دیوان ملا مراد تسوجی‏</w:t>
      </w:r>
      <w:bookmarkEnd w:id="8849"/>
    </w:p>
    <w:p>
      <w:pPr>
        <w:pStyle w:val="BookText"/>
      </w:pPr>
      <w:r>
        <w:rPr>
          <w:rFonts w:ascii="IRNazanin" w:hAnsi="IRNazanin" w:eastAsia="IRNazanin" w:cs="IRNazanin"/>
          <w:lang w:bidi="fa-IR"/>
          <w:color w:val="111111"/>
          <w:sz w:val="28"/>
          <w:szCs w:val="28"/>
          <w:rtl/>
        </w:rPr>
        <w:t xml:space="preserve">من أعمال تبریز، ولد بها و والده میرزا جان، و ینهی نسبه إلی بعض الأنصار کما ترجمه فی قصص الخاقان المؤلف باسم الشاه عباس الثانی فی 1073 و عنه نقل فی (دجا- ص 340) قال فی القصص له عدة آلاف بیت و عمره فی الحال تجاوز الخمسین فمن مثنویاته حصول المراد ثلاثة آلاف بیت و حسن و عشق أربعة آلاف بیت، فاتنا ذکرها فی حرف الحاء، و ذکرناها فی المیم بعنوان المثنوی و له ثالث فی بحر لیلی و مجنون‏</w:t>
      </w:r>
    </w:p>
    <w:p>
      <w:pPr>
        <w:pStyle w:val="Heading3"/>
      </w:pPr>
      <w:bookmarkStart w:id="8850" w:name="_Toc7546"/>
      <w:r>
        <w:t>6679- دیوان شاه مراد خوانساری‏</w:t>
      </w:r>
      <w:bookmarkEnd w:id="8850"/>
    </w:p>
    <w:p>
      <w:pPr>
        <w:pStyle w:val="BookText"/>
      </w:pPr>
      <w:r>
        <w:rPr>
          <w:rFonts w:ascii="IRNazanin" w:hAnsi="IRNazanin" w:eastAsia="IRNazanin" w:cs="IRNazanin"/>
          <w:lang w:bidi="fa-IR"/>
          <w:color w:val="111111"/>
          <w:sz w:val="28"/>
          <w:szCs w:val="28"/>
          <w:rtl/>
        </w:rPr>
        <w:t xml:space="preserve">الماهر فی الموسیقی و المقرب لذلک عند الشاه عباس الماضی ترجمه النصرآبادی فی (نر 9- ص 318) و ذکر أن أکثر تصانیفه منظوم شعرا و فی (خوش‏گو) ذکر شاعرین بهذا التخلص‏</w:t>
      </w:r>
    </w:p>
    <w:p>
      <w:pPr>
        <w:pStyle w:val="Heading3"/>
      </w:pPr>
      <w:bookmarkStart w:id="8851" w:name="_Toc7547"/>
      <w:r>
        <w:t>6680- دیوان مراد میرزا صفوی أو شعره‏</w:t>
      </w:r>
      <w:bookmarkEnd w:id="8851"/>
    </w:p>
    <w:p>
      <w:pPr>
        <w:pStyle w:val="BookText"/>
      </w:pPr>
      <w:r>
        <w:rPr>
          <w:rFonts w:ascii="IRNazanin" w:hAnsi="IRNazanin" w:eastAsia="IRNazanin" w:cs="IRNazanin"/>
          <w:lang w:bidi="fa-IR"/>
          <w:color w:val="111111"/>
          <w:sz w:val="28"/>
          <w:szCs w:val="28"/>
          <w:rtl/>
        </w:rPr>
        <w:t xml:space="preserve">هو ابن میرزا رستم کان من أحفاد الشاه إسماعیل تقرب عند جهانگیر پادشاه أورد شعره فی (گلشن- ص 399) و همیشه بهار و (مسرت- ص 9)</w:t>
      </w:r>
    </w:p>
    <w:p>
      <w:pPr>
        <w:pStyle w:val="Heading3"/>
      </w:pPr>
      <w:bookmarkStart w:id="8852" w:name="_Toc7548"/>
      <w:r>
        <w:t>6681- دیوان مراد قزوینی‏</w:t>
      </w:r>
      <w:bookmarkEnd w:id="8852"/>
    </w:p>
    <w:p>
      <w:pPr>
        <w:pStyle w:val="BookText"/>
      </w:pPr>
      <w:r>
        <w:rPr>
          <w:rFonts w:ascii="IRNazanin" w:hAnsi="IRNazanin" w:eastAsia="IRNazanin" w:cs="IRNazanin"/>
          <w:lang w:bidi="fa-IR"/>
          <w:color w:val="111111"/>
          <w:sz w:val="28"/>
          <w:szCs w:val="28"/>
          <w:rtl/>
        </w:rPr>
        <w:t xml:space="preserve">ترجمه معاصره سام میرزا فی (تس 5- ص 137) و وصفه بأنه کثیر الهجاء و أورد شعره‏</w:t>
      </w:r>
    </w:p>
    <w:p>
      <w:pPr>
        <w:pStyle w:val="Heading3"/>
      </w:pPr>
      <w:bookmarkStart w:id="8853" w:name="_Toc7549"/>
      <w:r>
        <w:t>6682- دیوان مراد کرمانی أو شعره‏</w:t>
      </w:r>
      <w:bookmarkEnd w:id="8853"/>
    </w:p>
    <w:p>
      <w:pPr>
        <w:pStyle w:val="BookText"/>
      </w:pPr>
      <w:r>
        <w:rPr>
          <w:rFonts w:ascii="IRNazanin" w:hAnsi="IRNazanin" w:eastAsia="IRNazanin" w:cs="IRNazanin"/>
          <w:lang w:bidi="fa-IR"/>
          <w:color w:val="111111"/>
          <w:sz w:val="28"/>
          <w:szCs w:val="28"/>
          <w:rtl/>
        </w:rPr>
        <w:t xml:space="preserve">و اسمه مراد بیک بن شاه قلی کان أبوه حاکم کرمان و صار هو سکاکا ترجمه و أورد شعره فی (خص 5- ص 67)</w:t>
      </w:r>
    </w:p>
    <w:p>
      <w:pPr>
        <w:pStyle w:val="Heading3"/>
      </w:pPr>
      <w:bookmarkStart w:id="8854" w:name="_Toc7550"/>
      <w:r>
        <w:t>6683- دیوان مرادی یزدی أو شعره‏</w:t>
      </w:r>
      <w:bookmarkEnd w:id="8854"/>
    </w:p>
    <w:p>
      <w:pPr>
        <w:pStyle w:val="BookText"/>
      </w:pPr>
      <w:r>
        <w:rPr>
          <w:rFonts w:ascii="IRNazanin" w:hAnsi="IRNazanin" w:eastAsia="IRNazanin" w:cs="IRNazanin"/>
          <w:lang w:bidi="fa-IR"/>
          <w:color w:val="111111"/>
          <w:sz w:val="28"/>
          <w:szCs w:val="28"/>
          <w:rtl/>
        </w:rPr>
        <w:t xml:space="preserve">هو أخ وحشی البافقی ذکره الأوحدی فی العرفات و نقل عنه فی (تش یز- ص 344) و کلاهما من تلامیذ شرف الدین علی الیزدی و قال فی (گلشن- ص 399) و (تش- ص 154) إنه سافر إلی الحج و رجع و مات بتبریز</w:t>
      </w:r>
    </w:p>
    <w:p>
      <w:pPr>
        <w:pStyle w:val="Heading3"/>
      </w:pPr>
      <w:bookmarkStart w:id="8855" w:name="_Toc7551"/>
      <w:r>
        <w:t>دیوان مراغی‏</w:t>
      </w:r>
      <w:bookmarkEnd w:id="8855"/>
    </w:p>
    <w:p>
      <w:pPr>
        <w:pStyle w:val="BookText"/>
      </w:pPr>
      <w:r>
        <w:rPr>
          <w:rFonts w:ascii="IRNazanin" w:hAnsi="IRNazanin" w:eastAsia="IRNazanin" w:cs="IRNazanin"/>
          <w:lang w:bidi="fa-IR"/>
          <w:color w:val="111111"/>
          <w:sz w:val="28"/>
          <w:szCs w:val="28"/>
          <w:rtl/>
        </w:rPr>
        <w:t xml:space="preserve">المیر فتاح المذکور فی ص 77 بعنوان تخلصه إشراق له قیامت‏نامه بالترکیة موجودة فی (الرضویة)
</w:t>
      </w:r>
    </w:p>
    <w:p>
      <w:pPr>
        <w:sectPr>
          <w:footerReference w:type="default" r:id="rId1035"/>
          <w:footnotePr>
            <w:numStart w:val="1"/>
            <w:numRestart w:val="eachPage"/>
          </w:footnotePr>
          <w:pgSz w:orient="portrait" w:w="11905.511811023622" w:h="16837.79527559055"/>
          <w:pgMar w:top="1440" w:right="1440" w:bottom="1440" w:left="1440" w:header="720" w:footer="720" w:gutter="0"/>
          <w:cols w:num="1" w:space="720"/>
        </w:sectPr>
      </w:pPr>
    </w:p>
    <w:bookmarkStart w:id="1017" w:name="pg11704_122503"/>
    <w:bookmarkEnd w:id="1017"/>
    <w:p>
      <w:pPr>
        <w:pStyle w:val="Heading3"/>
      </w:pPr>
      <w:bookmarkStart w:id="8856" w:name="_Toc7552"/>
      <w:r>
        <w:t>6684- دیوان مرتاض نائینی‏</w:t>
      </w:r>
      <w:bookmarkEnd w:id="8856"/>
    </w:p>
    <w:p>
      <w:pPr>
        <w:pStyle w:val="BookText"/>
      </w:pPr>
      <w:r>
        <w:rPr>
          <w:rFonts w:ascii="IRNazanin" w:hAnsi="IRNazanin" w:eastAsia="IRNazanin" w:cs="IRNazanin"/>
          <w:lang w:bidi="fa-IR"/>
          <w:color w:val="111111"/>
          <w:sz w:val="28"/>
          <w:szCs w:val="28"/>
          <w:rtl/>
        </w:rPr>
        <w:t xml:space="preserve">و اسمه محمد حسن ترجمه و أورد شعره فی تاریخ نائین- ص 185 و 29</w:t>
      </w:r>
    </w:p>
    <w:p>
      <w:pPr>
        <w:pStyle w:val="Heading3"/>
      </w:pPr>
      <w:bookmarkStart w:id="8857" w:name="_Toc7553"/>
      <w:r>
        <w:t>6685- دیوان مرتاض هروی أو شعره‏</w:t>
      </w:r>
      <w:bookmarkEnd w:id="8857"/>
    </w:p>
    <w:p>
      <w:pPr>
        <w:pStyle w:val="BookText"/>
      </w:pPr>
      <w:r>
        <w:rPr>
          <w:rFonts w:ascii="IRNazanin" w:hAnsi="IRNazanin" w:eastAsia="IRNazanin" w:cs="IRNazanin"/>
          <w:lang w:bidi="fa-IR"/>
          <w:color w:val="111111"/>
          <w:sz w:val="28"/>
          <w:szCs w:val="28"/>
          <w:rtl/>
        </w:rPr>
        <w:t xml:space="preserve">کان ماهرا فی الریاضیات و حرر تحریر أقلیدس و کان یلعب الشطرنج مع نفرین فی وقت واحد ترجمه و أورد شعره فی (مجن 4 ص 92 و 267)</w:t>
      </w:r>
    </w:p>
    <w:p>
      <w:pPr>
        <w:pStyle w:val="Heading3"/>
      </w:pPr>
      <w:bookmarkStart w:id="8858" w:name="_Toc7554"/>
      <w:r>
        <w:t>6686- دیوان مرتضوی تبریزی‏</w:t>
      </w:r>
      <w:bookmarkEnd w:id="8858"/>
    </w:p>
    <w:p>
      <w:pPr>
        <w:pStyle w:val="BookText"/>
      </w:pPr>
      <w:r>
        <w:rPr>
          <w:rFonts w:ascii="IRNazanin" w:hAnsi="IRNazanin" w:eastAsia="IRNazanin" w:cs="IRNazanin"/>
          <w:lang w:bidi="fa-IR"/>
          <w:color w:val="111111"/>
          <w:sz w:val="28"/>
          <w:szCs w:val="28"/>
          <w:rtl/>
        </w:rPr>
        <w:t xml:space="preserve">و اسمه الدکتور منوچهر طبع له منظومة چراغ نیم‏مرده بتبریز 1333 ش فی 106 ص‏</w:t>
      </w:r>
    </w:p>
    <w:p>
      <w:pPr>
        <w:pStyle w:val="Heading3"/>
      </w:pPr>
      <w:bookmarkStart w:id="8859" w:name="_Toc7555"/>
      <w:r>
        <w:t>6687- دیوان الشیخ مرتضی آل یاسین‏</w:t>
      </w:r>
      <w:bookmarkEnd w:id="8859"/>
    </w:p>
    <w:p>
      <w:pPr>
        <w:pStyle w:val="BookText"/>
      </w:pPr>
      <w:r>
        <w:rPr>
          <w:rFonts w:ascii="IRNazanin" w:hAnsi="IRNazanin" w:eastAsia="IRNazanin" w:cs="IRNazanin"/>
          <w:lang w:bidi="fa-IR"/>
          <w:color w:val="111111"/>
          <w:sz w:val="28"/>
          <w:szCs w:val="28"/>
          <w:rtl/>
        </w:rPr>
        <w:t xml:space="preserve">ترجمه و أورد شعره فی شعراء الوزراء</w:t>
      </w:r>
    </w:p>
    <w:p>
      <w:pPr>
        <w:pStyle w:val="Heading3"/>
      </w:pPr>
      <w:bookmarkStart w:id="8860" w:name="_Toc7556"/>
      <w:r>
        <w:t>6688- دیوان مرتضی أرتیمانی أو شعره‏</w:t>
      </w:r>
      <w:bookmarkEnd w:id="8860"/>
    </w:p>
    <w:p>
      <w:pPr>
        <w:pStyle w:val="BookText"/>
      </w:pPr>
      <w:r>
        <w:rPr>
          <w:rFonts w:ascii="IRNazanin" w:hAnsi="IRNazanin" w:eastAsia="IRNazanin" w:cs="IRNazanin"/>
          <w:lang w:bidi="fa-IR"/>
          <w:color w:val="111111"/>
          <w:sz w:val="28"/>
          <w:szCs w:val="28"/>
          <w:rtl/>
        </w:rPr>
        <w:t xml:space="preserve">هو من أرتیمان من نواحی همدان أورد شعره فی (خص 6- ص 94) و مر رضی أرتیمانی‏</w:t>
      </w:r>
    </w:p>
    <w:p>
      <w:pPr>
        <w:pStyle w:val="Heading3"/>
      </w:pPr>
      <w:bookmarkStart w:id="8861" w:name="_Toc7557"/>
      <w:r>
        <w:t>6689- دیوان سید مرتضی أصفهانی أو شعره‏</w:t>
      </w:r>
      <w:bookmarkEnd w:id="8861"/>
    </w:p>
    <w:p>
      <w:pPr>
        <w:pStyle w:val="BookText"/>
      </w:pPr>
      <w:r>
        <w:rPr>
          <w:rFonts w:ascii="IRNazanin" w:hAnsi="IRNazanin" w:eastAsia="IRNazanin" w:cs="IRNazanin"/>
          <w:lang w:bidi="fa-IR"/>
          <w:color w:val="111111"/>
          <w:sz w:val="28"/>
          <w:szCs w:val="28"/>
          <w:rtl/>
        </w:rPr>
        <w:t xml:space="preserve">هو أخ المیر السید محمد المستوفی و هو من المتولین لمقبرة الإمام‏زادة زین العابدین المدفون بدرب الإمام فی أصفهان ترجمه معاصره النصرآبادی فی (نر 5- ص 102) و أورد شعره‏</w:t>
      </w:r>
    </w:p>
    <w:p>
      <w:pPr>
        <w:pStyle w:val="Heading3"/>
      </w:pPr>
      <w:bookmarkStart w:id="8862" w:name="_Toc7558"/>
      <w:r>
        <w:t>دیوان الشریف المرتضی البغدادی‏</w:t>
      </w:r>
      <w:bookmarkEnd w:id="8862"/>
    </w:p>
    <w:p>
      <w:pPr>
        <w:pStyle w:val="BookText"/>
      </w:pPr>
      <w:r>
        <w:rPr>
          <w:rFonts w:ascii="IRNazanin" w:hAnsi="IRNazanin" w:eastAsia="IRNazanin" w:cs="IRNazanin"/>
          <w:lang w:bidi="fa-IR"/>
          <w:color w:val="111111"/>
          <w:sz w:val="28"/>
          <w:szCs w:val="28"/>
          <w:rtl/>
        </w:rPr>
        <w:t xml:space="preserve">أبو القاسم علی الهدی علی بن الحسین مر بعنوان علم الهدی‏</w:t>
      </w:r>
    </w:p>
    <w:p>
      <w:pPr>
        <w:pStyle w:val="Heading3"/>
      </w:pPr>
      <w:bookmarkStart w:id="8863" w:name="_Toc7559"/>
      <w:r>
        <w:t>6690- دیوان مرتضی تویسرکانی أو شعره‏</w:t>
      </w:r>
      <w:bookmarkEnd w:id="8863"/>
    </w:p>
    <w:p>
      <w:pPr>
        <w:pStyle w:val="BookText"/>
      </w:pPr>
      <w:r>
        <w:rPr>
          <w:rFonts w:ascii="IRNazanin" w:hAnsi="IRNazanin" w:eastAsia="IRNazanin" w:cs="IRNazanin"/>
          <w:lang w:bidi="fa-IR"/>
          <w:color w:val="111111"/>
          <w:sz w:val="28"/>
          <w:szCs w:val="28"/>
          <w:rtl/>
        </w:rPr>
        <w:t xml:space="preserve">ترجمه و أورد شعره فی (گلشن- ص 400)</w:t>
      </w:r>
    </w:p>
    <w:p>
      <w:pPr>
        <w:pStyle w:val="Heading3"/>
      </w:pPr>
      <w:bookmarkStart w:id="8864" w:name="_Toc7560"/>
      <w:r>
        <w:t>6691- دیوان میر مرتضی زرگر أو شعره‏</w:t>
      </w:r>
      <w:bookmarkEnd w:id="8864"/>
    </w:p>
    <w:p>
      <w:pPr>
        <w:pStyle w:val="BookText"/>
      </w:pPr>
      <w:r>
        <w:rPr>
          <w:rFonts w:ascii="IRNazanin" w:hAnsi="IRNazanin" w:eastAsia="IRNazanin" w:cs="IRNazanin"/>
          <w:lang w:bidi="fa-IR"/>
          <w:color w:val="111111"/>
          <w:sz w:val="28"/>
          <w:szCs w:val="28"/>
          <w:rtl/>
        </w:rPr>
        <w:t xml:space="preserve">کان من سادات کاشان و تجنن أخیرا کما ترجمه معاصره سام میرزا فی (تس 2- ص 39) و أورد شعره‏</w:t>
      </w:r>
    </w:p>
    <w:p>
      <w:pPr>
        <w:pStyle w:val="Heading3"/>
      </w:pPr>
      <w:bookmarkStart w:id="8865" w:name="_Toc7561"/>
      <w:r>
        <w:t>6692- دیوان مرتضی سمنانی أو شعره‏</w:t>
      </w:r>
      <w:bookmarkEnd w:id="8865"/>
    </w:p>
    <w:p>
      <w:pPr>
        <w:pStyle w:val="BookText"/>
      </w:pPr>
      <w:r>
        <w:rPr>
          <w:rFonts w:ascii="IRNazanin" w:hAnsi="IRNazanin" w:eastAsia="IRNazanin" w:cs="IRNazanin"/>
          <w:lang w:bidi="fa-IR"/>
          <w:color w:val="111111"/>
          <w:sz w:val="28"/>
          <w:szCs w:val="28"/>
          <w:rtl/>
        </w:rPr>
        <w:t xml:space="preserve">أورد شعره فی (گلشن- ص 400) و قال سافر إلی الهند فی عهد أکبر شاه‏</w:t>
      </w:r>
    </w:p>
    <w:p>
      <w:pPr>
        <w:pStyle w:val="Heading3"/>
      </w:pPr>
      <w:bookmarkStart w:id="8866" w:name="_Toc7562"/>
      <w:r>
        <w:t>6693- دیوان مرتضی شاملو</w:t>
      </w:r>
      <w:bookmarkEnd w:id="8866"/>
    </w:p>
    <w:p>
      <w:pPr>
        <w:pStyle w:val="BookText"/>
      </w:pPr>
      <w:r>
        <w:rPr>
          <w:rFonts w:ascii="IRNazanin" w:hAnsi="IRNazanin" w:eastAsia="IRNazanin" w:cs="IRNazanin"/>
          <w:lang w:bidi="fa-IR"/>
          <w:color w:val="111111"/>
          <w:sz w:val="28"/>
          <w:szCs w:val="28"/>
          <w:rtl/>
        </w:rPr>
        <w:t xml:space="preserve">لمرتضی قلی خان شاملو المتخلص مرتضی کان ایشک آقاسی فی أوائل عهد الشاه صفی ثم عزل و نصب وزیرا لأردبیل فی زمن تألیف النصرآبادی لتذکرته، فذکره فی (نر 2- ص 23) و فی (تش- ص 30) یوجد دیوانه ضمن مجموعة عند (الملک 4586)
</w:t>
      </w:r>
    </w:p>
    <w:p>
      <w:pPr>
        <w:sectPr>
          <w:footerReference w:type="default" r:id="rId1036"/>
          <w:footnotePr>
            <w:numStart w:val="1"/>
            <w:numRestart w:val="eachPage"/>
          </w:footnotePr>
          <w:pgSz w:orient="portrait" w:w="11905.511811023622" w:h="16837.79527559055"/>
          <w:pgMar w:top="1440" w:right="1440" w:bottom="1440" w:left="1440" w:header="720" w:footer="720" w:gutter="0"/>
          <w:cols w:num="1" w:space="720"/>
        </w:sectPr>
      </w:pPr>
    </w:p>
    <w:bookmarkStart w:id="1018" w:name="pg11704_122504"/>
    <w:bookmarkEnd w:id="1018"/>
    <w:p>
      <w:pPr>
        <w:pStyle w:val="Heading3"/>
      </w:pPr>
      <w:bookmarkStart w:id="8867" w:name="_Toc7563"/>
      <w:r>
        <w:t>6694- دیوان مرتضی قزوینی أو شعره‏</w:t>
      </w:r>
      <w:bookmarkEnd w:id="8867"/>
    </w:p>
    <w:p>
      <w:pPr>
        <w:pStyle w:val="BookText"/>
      </w:pPr>
      <w:r>
        <w:rPr>
          <w:rFonts w:ascii="IRNazanin" w:hAnsi="IRNazanin" w:eastAsia="IRNazanin" w:cs="IRNazanin"/>
          <w:lang w:bidi="fa-IR"/>
          <w:color w:val="111111"/>
          <w:sz w:val="28"/>
          <w:szCs w:val="28"/>
          <w:rtl/>
        </w:rPr>
        <w:t xml:space="preserve">أصله من أصفهان و سکن قزوین و صار قهوه‏چیا ذکر شعر فی (گلشن- ص 400)</w:t>
      </w:r>
    </w:p>
    <w:p>
      <w:pPr>
        <w:pStyle w:val="Heading3"/>
      </w:pPr>
      <w:bookmarkStart w:id="8868" w:name="_Toc7564"/>
      <w:r>
        <w:t>6695- دیوان مرتضی قلی بیک‏</w:t>
      </w:r>
      <w:bookmarkEnd w:id="8868"/>
    </w:p>
    <w:p>
      <w:pPr>
        <w:pStyle w:val="BookText"/>
      </w:pPr>
      <w:r>
        <w:rPr>
          <w:rFonts w:ascii="IRNazanin" w:hAnsi="IRNazanin" w:eastAsia="IRNazanin" w:cs="IRNazanin"/>
          <w:lang w:bidi="fa-IR"/>
          <w:color w:val="111111"/>
          <w:sz w:val="28"/>
          <w:szCs w:val="28"/>
          <w:rtl/>
        </w:rPr>
        <w:t xml:space="preserve">کان من غلمان محمد علی بیگ. ترجمه النصرآبادی فی (نر 2- ص 46) قال و هو الآن من الغلمان الخاصة و أورد شعره و کذا فی (تس 1- ص 20).</w:t>
      </w:r>
    </w:p>
    <w:p>
      <w:pPr>
        <w:pStyle w:val="Heading3"/>
      </w:pPr>
      <w:bookmarkStart w:id="8869" w:name="_Toc7565"/>
      <w:r>
        <w:t>6696- دیوان مرتضی قلی بیک‏</w:t>
      </w:r>
      <w:bookmarkEnd w:id="8869"/>
    </w:p>
    <w:p>
      <w:pPr>
        <w:pStyle w:val="BookText"/>
      </w:pPr>
      <w:r>
        <w:rPr>
          <w:rFonts w:ascii="IRNazanin" w:hAnsi="IRNazanin" w:eastAsia="IRNazanin" w:cs="IRNazanin"/>
          <w:lang w:bidi="fa-IR"/>
          <w:color w:val="111111"/>
          <w:sz w:val="28"/>
          <w:szCs w:val="28"/>
          <w:rtl/>
        </w:rPr>
        <w:t xml:space="preserve">ابن فرهاد بیک. ترجمه معاصره النصرآبادی فی (نر 2- ص 47) قال و هو من عمله ایاق‏خانه و أورد أشعاره غزلا و رباعیة و قطعة و عنه أخذ فی (گلشن- ص 401) و همیشه بهار.</w:t>
      </w:r>
    </w:p>
    <w:p>
      <w:pPr>
        <w:pStyle w:val="Heading3"/>
      </w:pPr>
      <w:bookmarkStart w:id="8870" w:name="_Toc7566"/>
      <w:r>
        <w:t>6697- دیوان مرتضی قلی خان‏</w:t>
      </w:r>
      <w:bookmarkEnd w:id="8870"/>
    </w:p>
    <w:p>
      <w:pPr>
        <w:pStyle w:val="BookText"/>
      </w:pPr>
      <w:r>
        <w:rPr>
          <w:rFonts w:ascii="IRNazanin" w:hAnsi="IRNazanin" w:eastAsia="IRNazanin" w:cs="IRNazanin"/>
          <w:lang w:bidi="fa-IR"/>
          <w:color w:val="111111"/>
          <w:sz w:val="28"/>
          <w:szCs w:val="28"/>
          <w:rtl/>
        </w:rPr>
        <w:t xml:space="preserve">ترجمه معاصر النصرآبادی فی (نر 2- ص 30) و أطری أخلاقه و مکارمه و إحسانه قال و من جهة حسن خدماته نصب والیا لبندرعباس فی 1078 إلی زمن التألیف و عنه فی همیشه بهار.</w:t>
      </w:r>
    </w:p>
    <w:p>
      <w:pPr>
        <w:pStyle w:val="Heading3"/>
      </w:pPr>
      <w:bookmarkStart w:id="8871" w:name="_Toc7567"/>
      <w:r>
        <w:t>دیوان مرتضی قلی خان شاملو</w:t>
      </w:r>
      <w:bookmarkEnd w:id="8871"/>
    </w:p>
    <w:p>
      <w:pPr>
        <w:pStyle w:val="BookText"/>
      </w:pPr>
      <w:r>
        <w:rPr>
          <w:rFonts w:ascii="IRNazanin" w:hAnsi="IRNazanin" w:eastAsia="IRNazanin" w:cs="IRNazanin"/>
          <w:lang w:bidi="fa-IR"/>
          <w:color w:val="111111"/>
          <w:sz w:val="28"/>
          <w:szCs w:val="28"/>
          <w:rtl/>
        </w:rPr>
        <w:t xml:space="preserve">مر بتخلصه مرتضی شاملو.</w:t>
      </w:r>
    </w:p>
    <w:p>
      <w:pPr>
        <w:pStyle w:val="Heading3"/>
      </w:pPr>
      <w:bookmarkStart w:id="8872" w:name="_Toc7568"/>
      <w:r>
        <w:t>6698- دیوان مرتضی قلی خان سلطان شاملو</w:t>
      </w:r>
      <w:bookmarkEnd w:id="8872"/>
    </w:p>
    <w:p>
      <w:pPr>
        <w:pStyle w:val="BookText"/>
      </w:pPr>
      <w:r>
        <w:rPr>
          <w:rFonts w:ascii="IRNazanin" w:hAnsi="IRNazanin" w:eastAsia="IRNazanin" w:cs="IRNazanin"/>
          <w:lang w:bidi="fa-IR"/>
          <w:color w:val="111111"/>
          <w:sz w:val="28"/>
          <w:szCs w:val="28"/>
          <w:rtl/>
        </w:rPr>
        <w:t xml:space="preserve">أرشد ولد حسن خان شاملو. ترجمه النصرآبادی فی (نر 2- ص 27) أطرأه و قال إنه لا عدیل له فی الکمالات الإنسانیة و له الید العلیا فی خط الشکستة، و أورد عدة من أشعاره. و ترجمه (مع 1- ص 56) و أورد له الشعر المذکور فی النصرآبادی و (تش- ص 20).</w:t>
      </w:r>
    </w:p>
    <w:p>
      <w:pPr>
        <w:pStyle w:val="Heading3"/>
      </w:pPr>
      <w:bookmarkStart w:id="8873" w:name="_Toc7569"/>
      <w:r>
        <w:t>6699- دیوان مرتضی قلی خان نظام الدولة أو شعره‏</w:t>
      </w:r>
      <w:bookmarkEnd w:id="8873"/>
    </w:p>
    <w:p>
      <w:pPr>
        <w:pStyle w:val="BookText"/>
      </w:pPr>
      <w:r>
        <w:rPr>
          <w:rFonts w:ascii="IRNazanin" w:hAnsi="IRNazanin" w:eastAsia="IRNazanin" w:cs="IRNazanin"/>
          <w:lang w:bidi="fa-IR"/>
          <w:color w:val="111111"/>
          <w:sz w:val="28"/>
          <w:szCs w:val="28"/>
          <w:rtl/>
        </w:rPr>
        <w:t xml:space="preserve">و هو مؤلف جمرات و أشعة قدسیة و فیها بعض شعره کما ذکر فی (المآثر- ص 226) و له جواب مکتوب آخوندزاده رد فیها علی اعتراضات آخوندزاده علی مطالب جریدة ملت الذی نشر أول عدد منها بأمر ناصر الدین شاه فی 14- ع 1- 1283. و المکتوبان موجودان فی (سپهسالار) کما فی فهرسها 2: 98.</w:t>
      </w:r>
    </w:p>
    <w:p>
      <w:pPr>
        <w:pStyle w:val="Heading3"/>
      </w:pPr>
      <w:bookmarkStart w:id="8874" w:name="_Toc7570"/>
      <w:r>
        <w:t>6700- دیوان مرجع أصفهانی‏</w:t>
      </w:r>
      <w:bookmarkEnd w:id="8874"/>
    </w:p>
    <w:p>
      <w:pPr>
        <w:pStyle w:val="BookText"/>
      </w:pPr>
      <w:r>
        <w:rPr>
          <w:rFonts w:ascii="IRNazanin" w:hAnsi="IRNazanin" w:eastAsia="IRNazanin" w:cs="IRNazanin"/>
          <w:lang w:bidi="fa-IR"/>
          <w:color w:val="111111"/>
          <w:sz w:val="28"/>
          <w:szCs w:val="28"/>
          <w:rtl/>
        </w:rPr>
        <w:t xml:space="preserve">و اسمه المیرزا باقر، أو غلام رضا. أصله من کوه‏کیلویه، سکن أصفهان إلی أن توفی. و کان ملما بالکیمیاء و لم ینجح فیه. أورد شعره معاصره الحزین فی تذکرته ص 113 و عنه فی (گلشن- ص 401).</w:t>
      </w:r>
    </w:p>
    <w:p>
      <w:pPr>
        <w:pStyle w:val="Heading3"/>
      </w:pPr>
      <w:bookmarkStart w:id="8875" w:name="_Toc7571"/>
      <w:r>
        <w:t>دیوان مردان علی خان‏</w:t>
      </w:r>
      <w:bookmarkEnd w:id="8875"/>
    </w:p>
    <w:p>
      <w:pPr>
        <w:pStyle w:val="BookText"/>
      </w:pPr>
      <w:r>
        <w:rPr>
          <w:rFonts w:ascii="IRNazanin" w:hAnsi="IRNazanin" w:eastAsia="IRNazanin" w:cs="IRNazanin"/>
          <w:lang w:bidi="fa-IR"/>
          <w:color w:val="111111"/>
          <w:sz w:val="28"/>
          <w:szCs w:val="28"/>
          <w:rtl/>
        </w:rPr>
        <w:t xml:space="preserve">کما فی (نتایج- ص 679) و (مسرت- 220) مر بتخلصه مبتلا فی ص 957.
</w:t>
      </w:r>
    </w:p>
    <w:p>
      <w:pPr>
        <w:sectPr>
          <w:footerReference w:type="default" r:id="rId1037"/>
          <w:footnotePr>
            <w:numStart w:val="1"/>
            <w:numRestart w:val="eachPage"/>
          </w:footnotePr>
          <w:pgSz w:orient="portrait" w:w="11905.511811023622" w:h="16837.79527559055"/>
          <w:pgMar w:top="1440" w:right="1440" w:bottom="1440" w:left="1440" w:header="720" w:footer="720" w:gutter="0"/>
          <w:cols w:num="1" w:space="720"/>
        </w:sectPr>
      </w:pPr>
    </w:p>
    <w:bookmarkStart w:id="1019" w:name="pg11704_122505"/>
    <w:bookmarkEnd w:id="1019"/>
    <w:p>
      <w:pPr>
        <w:pStyle w:val="Heading3"/>
      </w:pPr>
      <w:bookmarkStart w:id="8876" w:name="_Toc7572"/>
      <w:r>
        <w:t>6701- دیوان مردمی خراسانی‏</w:t>
      </w:r>
      <w:bookmarkEnd w:id="8876"/>
    </w:p>
    <w:p>
      <w:pPr>
        <w:pStyle w:val="BookText"/>
      </w:pPr>
      <w:r>
        <w:rPr>
          <w:rFonts w:ascii="IRNazanin" w:hAnsi="IRNazanin" w:eastAsia="IRNazanin" w:cs="IRNazanin"/>
          <w:lang w:bidi="fa-IR"/>
          <w:color w:val="111111"/>
          <w:sz w:val="28"/>
          <w:szCs w:val="28"/>
          <w:rtl/>
        </w:rPr>
        <w:t xml:space="preserve">و اسمه المیر محمد هاشم. قال فی (خص 6- ص 56) إنه کان منشیا للآستانة الرضویة سنین، و أورد شعره فی ذم حافظ پتبه المتضمن لمثل [</w:t>
      </w:r>
    </w:p>
    <w:p>
      <w:pPr>
        <w:pStyle w:val="BookText"/>
      </w:pPr>
      <w:r>
        <w:rPr>
          <w:rFonts w:ascii="IRNazanin" w:hAnsi="IRNazanin" w:eastAsia="IRNazanin" w:cs="IRNazanin"/>
          <w:lang w:bidi="fa-IR"/>
          <w:color w:val="111111"/>
          <w:sz w:val="28"/>
          <w:szCs w:val="28"/>
          <w:rtl/>
        </w:rPr>
        <w:t xml:space="preserve">آواز دهل شنیدن از دور خوش است‏</w:t>
      </w:r>
    </w:p>
    <w:p>
      <w:pPr>
        <w:pStyle w:val="BookText"/>
      </w:pPr>
      <w:r>
        <w:rPr>
          <w:rFonts w:ascii="IRNazanin" w:hAnsi="IRNazanin" w:eastAsia="IRNazanin" w:cs="IRNazanin"/>
          <w:lang w:bidi="fa-IR"/>
          <w:color w:val="111111"/>
          <w:sz w:val="28"/>
          <w:szCs w:val="28"/>
          <w:rtl/>
        </w:rPr>
        <w:t xml:space="preserve">]. و قال فی (تش- ص 94) إنه صاحب علی قلی خان شاملو مدة فی هرات و قتل معه و کذا فی (مطلع 2: 444) و لعله مردمی الصحاف المذکور فی همیشه بهار.</w:t>
      </w:r>
    </w:p>
    <w:p>
      <w:pPr>
        <w:pStyle w:val="Heading3"/>
      </w:pPr>
      <w:bookmarkStart w:id="8877" w:name="_Toc7573"/>
      <w:r>
        <w:t>6702- دیوان مردمی کاشانی أو شعره‏</w:t>
      </w:r>
      <w:bookmarkEnd w:id="8877"/>
    </w:p>
    <w:p>
      <w:pPr>
        <w:pStyle w:val="BookText"/>
      </w:pPr>
      <w:r>
        <w:rPr>
          <w:rFonts w:ascii="IRNazanin" w:hAnsi="IRNazanin" w:eastAsia="IRNazanin" w:cs="IRNazanin"/>
          <w:lang w:bidi="fa-IR"/>
          <w:color w:val="111111"/>
          <w:sz w:val="28"/>
          <w:szCs w:val="28"/>
          <w:rtl/>
        </w:rPr>
        <w:t xml:space="preserve">ترجمه و أورد شعره فی (خص 8- ص 301).</w:t>
      </w:r>
    </w:p>
    <w:p>
      <w:pPr>
        <w:pStyle w:val="Heading3"/>
      </w:pPr>
      <w:bookmarkStart w:id="8878" w:name="_Toc7574"/>
      <w:r>
        <w:t>دیوان مرزبان دیلمی‏</w:t>
      </w:r>
      <w:bookmarkEnd w:id="8878"/>
    </w:p>
    <w:p>
      <w:pPr>
        <w:pStyle w:val="BookText"/>
      </w:pPr>
      <w:r>
        <w:rPr>
          <w:rFonts w:ascii="IRNazanin" w:hAnsi="IRNazanin" w:eastAsia="IRNazanin" w:cs="IRNazanin"/>
          <w:lang w:bidi="fa-IR"/>
          <w:color w:val="111111"/>
          <w:sz w:val="28"/>
          <w:szCs w:val="28"/>
          <w:rtl/>
        </w:rPr>
        <w:t xml:space="preserve">من أجداد آل زیاد و قابوس وشمگیر ترجمه فی (مع 1- ص 502) فی ذیل ترجمه مرزبان الفارسی الآتی و جزم بأن مرزبان‏نامه له لا للفارسی.</w:t>
      </w:r>
    </w:p>
    <w:p>
      <w:pPr>
        <w:pStyle w:val="BookText"/>
      </w:pPr>
      <w:r>
        <w:rPr>
          <w:rFonts w:ascii="IRNazanin" w:hAnsi="IRNazanin" w:eastAsia="IRNazanin" w:cs="IRNazanin"/>
          <w:lang w:bidi="fa-IR"/>
          <w:color w:val="111111"/>
          <w:sz w:val="28"/>
          <w:szCs w:val="28"/>
          <w:rtl/>
        </w:rPr>
        <w:t xml:space="preserve">و قد ذکرناه بعنوان الطبری فی ص 644.</w:t>
      </w:r>
    </w:p>
    <w:p>
      <w:pPr>
        <w:pStyle w:val="Heading3"/>
      </w:pPr>
      <w:bookmarkStart w:id="8879" w:name="_Toc7575"/>
      <w:r>
        <w:t>6703- دیوان مرزبان فارسی‏</w:t>
      </w:r>
      <w:bookmarkEnd w:id="8879"/>
    </w:p>
    <w:p>
      <w:pPr>
        <w:pStyle w:val="BookText"/>
      </w:pPr>
      <w:r>
        <w:rPr>
          <w:rFonts w:ascii="IRNazanin" w:hAnsi="IRNazanin" w:eastAsia="IRNazanin" w:cs="IRNazanin"/>
          <w:lang w:bidi="fa-IR"/>
          <w:color w:val="111111"/>
          <w:sz w:val="28"/>
          <w:szCs w:val="28"/>
          <w:rtl/>
        </w:rPr>
        <w:t xml:space="preserve">اسمه رفیع الدین الشیرازی. ترجمه فی (ج 1- ص 502) و قال إن الفارسی معاصر السلجوقیة و مداح ملک أرسلان السلجوقی و مرزبان‏نامه لیس له جزما. و ترجمه فی (فارس‏نامه 2: 151) أیضا.</w:t>
      </w:r>
    </w:p>
    <w:p>
      <w:pPr>
        <w:pStyle w:val="Heading3"/>
      </w:pPr>
      <w:bookmarkStart w:id="8880" w:name="_Toc7576"/>
      <w:r>
        <w:t>6704- دیوان المرزبانی‏</w:t>
      </w:r>
      <w:bookmarkEnd w:id="8880"/>
    </w:p>
    <w:p>
      <w:pPr>
        <w:pStyle w:val="BookText"/>
      </w:pPr>
      <w:r>
        <w:rPr>
          <w:rFonts w:ascii="IRNazanin" w:hAnsi="IRNazanin" w:eastAsia="IRNazanin" w:cs="IRNazanin"/>
          <w:lang w:bidi="fa-IR"/>
          <w:color w:val="111111"/>
          <w:sz w:val="28"/>
          <w:szCs w:val="28"/>
          <w:rtl/>
        </w:rPr>
        <w:t xml:space="preserve">لأبی عبد الله محمد بن عمران الکاتب المرزبانی الخراسانی البغدادی 297- 378 ترجم فی معالم العلماء و أمل الآمل و یکثر النقل عنه الشریف المرتضی فی الغرر و دیوانه فی المراثی کما ذکره ابن الندیم.</w:t>
      </w:r>
    </w:p>
    <w:p>
      <w:pPr>
        <w:pStyle w:val="Heading3"/>
      </w:pPr>
      <w:bookmarkStart w:id="8881" w:name="_Toc7577"/>
      <w:r>
        <w:t>6705- دیوان میر مرسل بزاز ساوجی أو شعره‏</w:t>
      </w:r>
      <w:bookmarkEnd w:id="8881"/>
    </w:p>
    <w:p>
      <w:pPr>
        <w:pStyle w:val="BookText"/>
      </w:pPr>
      <w:r>
        <w:rPr>
          <w:rFonts w:ascii="IRNazanin" w:hAnsi="IRNazanin" w:eastAsia="IRNazanin" w:cs="IRNazanin"/>
          <w:lang w:bidi="fa-IR"/>
          <w:color w:val="111111"/>
          <w:sz w:val="28"/>
          <w:szCs w:val="28"/>
          <w:rtl/>
        </w:rPr>
        <w:t xml:space="preserve">ترجمه معاصر سام میرزا (تس 2- ص 38) و أورد شعره و کذا فی (گلشن- ص 401).</w:t>
      </w:r>
    </w:p>
    <w:p>
      <w:pPr>
        <w:pStyle w:val="Heading3"/>
      </w:pPr>
      <w:bookmarkStart w:id="8882" w:name="_Toc7578"/>
      <w:r>
        <w:t>6706- دیوان مرشد أصفهانی أو شعره‏</w:t>
      </w:r>
      <w:bookmarkEnd w:id="8882"/>
    </w:p>
    <w:p>
      <w:pPr>
        <w:pStyle w:val="BookText"/>
      </w:pPr>
      <w:r>
        <w:rPr>
          <w:rFonts w:ascii="IRNazanin" w:hAnsi="IRNazanin" w:eastAsia="IRNazanin" w:cs="IRNazanin"/>
          <w:lang w:bidi="fa-IR"/>
          <w:color w:val="111111"/>
          <w:sz w:val="28"/>
          <w:szCs w:val="28"/>
          <w:rtl/>
        </w:rPr>
        <w:t xml:space="preserve">و لقبه مستشار دفتر عده باقر ألفت من أعضاء انجمن دانشکده بأصفهان و أورد غزله فی دانش‏نامه.</w:t>
      </w:r>
    </w:p>
    <w:p>
      <w:pPr>
        <w:pStyle w:val="Heading3"/>
      </w:pPr>
      <w:bookmarkStart w:id="8883" w:name="_Toc7579"/>
      <w:r>
        <w:t>6707- دیوان مرشد بروجردی‏</w:t>
      </w:r>
      <w:bookmarkEnd w:id="8883"/>
    </w:p>
    <w:p>
      <w:pPr>
        <w:pStyle w:val="BookText"/>
      </w:pPr>
      <w:r>
        <w:rPr>
          <w:rFonts w:ascii="IRNazanin" w:hAnsi="IRNazanin" w:eastAsia="IRNazanin" w:cs="IRNazanin"/>
          <w:lang w:bidi="fa-IR"/>
          <w:color w:val="111111"/>
          <w:sz w:val="28"/>
          <w:szCs w:val="28"/>
          <w:rtl/>
        </w:rPr>
        <w:t xml:space="preserve">و اسمه هو تخلصه مرشد ولد ببروجرد من أعمال همدان کما فی میخانه- ص 408 و له فی وصف بلدة بروجرد قصیدة نونیة مع ردیف بروجرد نشا بها و بهمدان و لما بلغ سافر إلی أکثر بلاد إیران حتی وصل شیراز فسکن بها و تقرب عند حاکمها محمد قلی خان پرناک فنظم باسمه ساقی‏نامه فلما بلغ صیت شعره إلی السند و سمع بها میرزا غازی ترخان أمر ندیمه أسد قصه‏خوان‏
</w:t>
      </w:r>
    </w:p>
    <w:p>
      <w:pPr>
        <w:sectPr>
          <w:footerReference w:type="default" r:id="rId1038"/>
          <w:footnotePr>
            <w:numStart w:val="1"/>
            <w:numRestart w:val="eachPage"/>
          </w:footnotePr>
          <w:pgSz w:orient="portrait" w:w="11905.511811023622" w:h="16837.79527559055"/>
          <w:pgMar w:top="1440" w:right="1440" w:bottom="1440" w:left="1440" w:header="720" w:footer="720" w:gutter="0"/>
          <w:cols w:num="1" w:space="720"/>
        </w:sectPr>
      </w:pPr>
    </w:p>
    <w:bookmarkStart w:id="1020" w:name="pg11704_122506"/>
    <w:bookmarkEnd w:id="1020"/>
    <w:p>
      <w:pPr>
        <w:pStyle w:val="BookText"/>
      </w:pPr>
      <w:r>
        <w:rPr>
          <w:rFonts w:ascii="IRNazanin" w:hAnsi="IRNazanin" w:eastAsia="IRNazanin" w:cs="IRNazanin"/>
          <w:lang w:bidi="fa-IR"/>
          <w:color w:val="111111"/>
          <w:sz w:val="28"/>
          <w:szCs w:val="28"/>
          <w:rtl/>
        </w:rPr>
        <w:t xml:space="preserve">فکتب إلی مرشد یدعوه فجاء إلیه و ذهب معه إلی قندهار فی 1016 و بعد موت غازی فی 1021 هاجر إلی أجمیر و فی سنوات (1023- 1026) کان عند مهابت خان. ثم سافر إلی دکن ثم شاه جهان‏آباد و مات فی 1030 کما فی (سرو- ص 39) و ترجمه فی (خوش‏گو) و (نر 9- ص 253) و مخزن الغرائب و (تش- ص 158) مآثر الأمراء- ج 3- ص 347 و نشر عشق و همیشه بهار و (مسرت- ص 301) و مقالات الشعراء- ص 252 و (حسینی- ص 322) و لقبه بعضهم یزدجردی بدل بروجردی و هو تصحیف و دیوانه موجود فی مکتبة بهادر راجه بلاهور فی (86 ورقة) و فیها ألفی بیت و کانت النسخة سابقا فی مکتبة محمد علی خان متین صاحب حیات الشعراء بن عصام الدین خان و علیه تملکه بتاریخ 1162 کما فی حواشی میخانه- ص 409 و نسخه أخری منتخب منه رآه مؤلف سرو آزاد و نقل عنه.</w:t>
      </w:r>
    </w:p>
    <w:p>
      <w:pPr>
        <w:pStyle w:val="Heading3"/>
      </w:pPr>
      <w:bookmarkStart w:id="8884" w:name="_Toc7580"/>
      <w:r>
        <w:t>6708- دیوان مرشد الدین عمری أو شعره‏</w:t>
      </w:r>
      <w:bookmarkEnd w:id="8884"/>
    </w:p>
    <w:p>
      <w:pPr>
        <w:pStyle w:val="BookText"/>
      </w:pPr>
      <w:r>
        <w:rPr>
          <w:rFonts w:ascii="IRNazanin" w:hAnsi="IRNazanin" w:eastAsia="IRNazanin" w:cs="IRNazanin"/>
          <w:lang w:bidi="fa-IR"/>
          <w:color w:val="111111"/>
          <w:sz w:val="28"/>
          <w:szCs w:val="28"/>
          <w:rtl/>
        </w:rPr>
        <w:t xml:space="preserve">هو شاب مرشد لأهل الفضل کما ذکر فی (بهش 2- ص 377) و أورد مطلع غزله.</w:t>
      </w:r>
    </w:p>
    <w:p>
      <w:pPr>
        <w:pStyle w:val="Heading3"/>
      </w:pPr>
      <w:bookmarkStart w:id="8885" w:name="_Toc7581"/>
      <w:r>
        <w:t>6709- دیوان مرشد شیرازی أو شعره‏</w:t>
      </w:r>
      <w:bookmarkEnd w:id="8885"/>
    </w:p>
    <w:p>
      <w:pPr>
        <w:pStyle w:val="BookText"/>
      </w:pPr>
      <w:r>
        <w:rPr>
          <w:rFonts w:ascii="IRNazanin" w:hAnsi="IRNazanin" w:eastAsia="IRNazanin" w:cs="IRNazanin"/>
          <w:lang w:bidi="fa-IR"/>
          <w:color w:val="111111"/>
          <w:sz w:val="28"/>
          <w:szCs w:val="28"/>
          <w:rtl/>
        </w:rPr>
        <w:t xml:space="preserve">هو ابن الخواجة میرک الشیرازی. ترجمه معاصره سام میرزا فی (تس 3- ص 61) و أورد شعره و (تش- ص 294) و فارس‏نامه- 2: 151.</w:t>
      </w:r>
    </w:p>
    <w:p>
      <w:pPr>
        <w:pStyle w:val="Heading3"/>
      </w:pPr>
      <w:bookmarkStart w:id="8886" w:name="_Toc7582"/>
      <w:r>
        <w:t>6710- دیوان مرشد قلی بیک أو شعره‏</w:t>
      </w:r>
      <w:bookmarkEnd w:id="8886"/>
    </w:p>
    <w:p>
      <w:pPr>
        <w:pStyle w:val="BookText"/>
      </w:pPr>
      <w:r>
        <w:rPr>
          <w:rFonts w:ascii="IRNazanin" w:hAnsi="IRNazanin" w:eastAsia="IRNazanin" w:cs="IRNazanin"/>
          <w:lang w:bidi="fa-IR"/>
          <w:color w:val="111111"/>
          <w:sz w:val="28"/>
          <w:szCs w:val="28"/>
          <w:rtl/>
        </w:rPr>
        <w:t xml:space="preserve">و هو ابن عباس قلی خان حاکم هراة ترجمه معاصره النصرآبادی فی (نر 2- ص 31) و أورد عدة من أشعاره و کذا فی همیشه بهار و (مسرت- ص 73).</w:t>
      </w:r>
    </w:p>
    <w:p>
      <w:pPr>
        <w:pStyle w:val="Heading3"/>
      </w:pPr>
      <w:bookmarkStart w:id="8887" w:name="_Toc7583"/>
      <w:r>
        <w:t>6711- دیوان مرشدی زواری أو شعره‏</w:t>
      </w:r>
      <w:bookmarkEnd w:id="8887"/>
    </w:p>
    <w:p>
      <w:pPr>
        <w:pStyle w:val="BookText"/>
      </w:pPr>
      <w:r>
        <w:rPr>
          <w:rFonts w:ascii="IRNazanin" w:hAnsi="IRNazanin" w:eastAsia="IRNazanin" w:cs="IRNazanin"/>
          <w:lang w:bidi="fa-IR"/>
          <w:color w:val="111111"/>
          <w:sz w:val="28"/>
          <w:szCs w:val="28"/>
          <w:rtl/>
        </w:rPr>
        <w:t xml:space="preserve">قال فی (گلشن- ص 401) إنه کان ماهرا فی المعانی و العروض و القوافی و أورد شعره.</w:t>
      </w:r>
    </w:p>
    <w:p>
      <w:pPr>
        <w:pStyle w:val="Heading3"/>
      </w:pPr>
      <w:bookmarkStart w:id="8888" w:name="_Toc7584"/>
      <w:r>
        <w:t>6712- دیوان مرصع پیشاوری أو شعره‏</w:t>
      </w:r>
      <w:bookmarkEnd w:id="8888"/>
    </w:p>
    <w:p>
      <w:pPr>
        <w:pStyle w:val="BookText"/>
      </w:pPr>
      <w:r>
        <w:rPr>
          <w:rFonts w:ascii="IRNazanin" w:hAnsi="IRNazanin" w:eastAsia="IRNazanin" w:cs="IRNazanin"/>
          <w:lang w:bidi="fa-IR"/>
          <w:color w:val="111111"/>
          <w:sz w:val="28"/>
          <w:szCs w:val="28"/>
          <w:rtl/>
        </w:rPr>
        <w:t xml:space="preserve">کان من أحفاد درویش محمد عرب.</w:t>
      </w:r>
    </w:p>
    <w:p>
      <w:pPr>
        <w:pStyle w:val="BookText"/>
      </w:pPr>
      <w:r>
        <w:rPr>
          <w:rFonts w:ascii="IRNazanin" w:hAnsi="IRNazanin" w:eastAsia="IRNazanin" w:cs="IRNazanin"/>
          <w:lang w:bidi="fa-IR"/>
          <w:color w:val="111111"/>
          <w:sz w:val="28"/>
          <w:szCs w:val="28"/>
          <w:rtl/>
        </w:rPr>
        <w:t xml:space="preserve">أورد شعره فی (گلشن- ص 402).</w:t>
      </w:r>
    </w:p>
    <w:p>
      <w:pPr>
        <w:pStyle w:val="Heading3"/>
      </w:pPr>
      <w:bookmarkStart w:id="8889" w:name="_Toc7585"/>
      <w:r>
        <w:t>6713- دیوان مرعشی‏</w:t>
      </w:r>
      <w:bookmarkEnd w:id="8889"/>
    </w:p>
    <w:p>
      <w:pPr>
        <w:pStyle w:val="BookText"/>
      </w:pPr>
      <w:r>
        <w:rPr>
          <w:rFonts w:ascii="IRNazanin" w:hAnsi="IRNazanin" w:eastAsia="IRNazanin" w:cs="IRNazanin"/>
          <w:lang w:bidi="fa-IR"/>
          <w:color w:val="111111"/>
          <w:sz w:val="28"/>
          <w:szCs w:val="28"/>
          <w:rtl/>
        </w:rPr>
        <w:t xml:space="preserve">للسید علاء الملک بن القاضی نور الله الشهید فی 1019 أورد فی کتابه الفردوس کثیرا من شعره. و مر أحواله مفصلا فی ج 10 ص 132.</w:t>
      </w:r>
    </w:p>
    <w:p>
      <w:pPr>
        <w:pStyle w:val="Heading3"/>
      </w:pPr>
      <w:bookmarkStart w:id="8890" w:name="_Toc7586"/>
      <w:r>
        <w:t>6714- دیوان مرغوب نقوی‏</w:t>
      </w:r>
      <w:bookmarkEnd w:id="8890"/>
    </w:p>
    <w:p>
      <w:pPr>
        <w:pStyle w:val="BookText"/>
      </w:pPr>
      <w:r>
        <w:rPr>
          <w:rFonts w:ascii="IRNazanin" w:hAnsi="IRNazanin" w:eastAsia="IRNazanin" w:cs="IRNazanin"/>
          <w:lang w:bidi="fa-IR"/>
          <w:color w:val="111111"/>
          <w:sz w:val="28"/>
          <w:szCs w:val="28"/>
          <w:rtl/>
        </w:rPr>
        <w:t xml:space="preserve">و اسمه السید علی أطهر النقوی اللکهنوی‏
</w:t>
      </w:r>
    </w:p>
    <w:p>
      <w:pPr>
        <w:sectPr>
          <w:footerReference w:type="default" r:id="rId1039"/>
          <w:footnotePr>
            <w:numStart w:val="1"/>
            <w:numRestart w:val="eachPage"/>
          </w:footnotePr>
          <w:pgSz w:orient="portrait" w:w="11905.511811023622" w:h="16837.79527559055"/>
          <w:pgMar w:top="1440" w:right="1440" w:bottom="1440" w:left="1440" w:header="720" w:footer="720" w:gutter="0"/>
          <w:cols w:num="1" w:space="720"/>
        </w:sectPr>
      </w:pPr>
    </w:p>
    <w:bookmarkStart w:id="1021" w:name="pg11704_122507"/>
    <w:bookmarkEnd w:id="1021"/>
    <w:p>
      <w:pPr>
        <w:pStyle w:val="BookText"/>
      </w:pPr>
      <w:r>
        <w:rPr>
          <w:rFonts w:ascii="IRNazanin" w:hAnsi="IRNazanin" w:eastAsia="IRNazanin" w:cs="IRNazanin"/>
          <w:lang w:bidi="fa-IR"/>
          <w:color w:val="111111"/>
          <w:sz w:val="28"/>
          <w:szCs w:val="28"/>
          <w:rtl/>
        </w:rPr>
        <w:t xml:space="preserve">المعاصر، من أحفاد السید دلدار علی. طبع له قطعة أصحاب کهف و رقیم و کلب آنها المسمی قطمیر فی لکهنو بالأردویة 1374.</w:t>
      </w:r>
    </w:p>
    <w:p>
      <w:pPr>
        <w:pStyle w:val="Heading3"/>
      </w:pPr>
      <w:bookmarkStart w:id="8891" w:name="_Toc7587"/>
      <w:r>
        <w:t>6715- دیوان مرغینانی أو شعره‏</w:t>
      </w:r>
      <w:bookmarkEnd w:id="8891"/>
    </w:p>
    <w:p>
      <w:pPr>
        <w:pStyle w:val="BookText"/>
      </w:pPr>
      <w:r>
        <w:rPr>
          <w:rFonts w:ascii="IRNazanin" w:hAnsi="IRNazanin" w:eastAsia="IRNazanin" w:cs="IRNazanin"/>
          <w:lang w:bidi="fa-IR"/>
          <w:color w:val="111111"/>
          <w:sz w:val="28"/>
          <w:szCs w:val="28"/>
          <w:rtl/>
        </w:rPr>
        <w:t xml:space="preserve">و اسمه بهاء الدین من شعراء قطب الدین أنوشتکین خوارزم شاه و توفی 537 کما ذکره و أورد شعره فی (مع 1: 172) و مرغینان من نواحی فرغانة.</w:t>
      </w:r>
    </w:p>
    <w:p>
      <w:pPr>
        <w:pStyle w:val="Heading3"/>
      </w:pPr>
      <w:bookmarkStart w:id="8892" w:name="_Toc7588"/>
      <w:r>
        <w:t>6716- دیوان مروارید أو شعره‏</w:t>
      </w:r>
      <w:bookmarkEnd w:id="8892"/>
    </w:p>
    <w:p>
      <w:pPr>
        <w:pStyle w:val="BookText"/>
      </w:pPr>
      <w:r>
        <w:rPr>
          <w:rFonts w:ascii="IRNazanin" w:hAnsi="IRNazanin" w:eastAsia="IRNazanin" w:cs="IRNazanin"/>
          <w:lang w:bidi="fa-IR"/>
          <w:color w:val="111111"/>
          <w:sz w:val="28"/>
          <w:szCs w:val="28"/>
          <w:rtl/>
        </w:rPr>
        <w:t xml:space="preserve">و هو الذی نظم تاریخ قتل دوست محمد الشیبانی بید الشاه إسماعیل فی 916 کما فی (نر 13- ص 470).</w:t>
      </w:r>
    </w:p>
    <w:p>
      <w:pPr>
        <w:pStyle w:val="Heading3"/>
      </w:pPr>
      <w:bookmarkStart w:id="8893" w:name="_Toc7589"/>
      <w:r>
        <w:t>6717- دیوان مروارید کاشی أو شعره‏</w:t>
      </w:r>
      <w:bookmarkEnd w:id="8893"/>
    </w:p>
    <w:p>
      <w:pPr>
        <w:pStyle w:val="BookText"/>
      </w:pPr>
      <w:r>
        <w:rPr>
          <w:rFonts w:ascii="IRNazanin" w:hAnsi="IRNazanin" w:eastAsia="IRNazanin" w:cs="IRNazanin"/>
          <w:lang w:bidi="fa-IR"/>
          <w:color w:val="111111"/>
          <w:sz w:val="28"/>
          <w:szCs w:val="28"/>
          <w:rtl/>
        </w:rPr>
        <w:t xml:space="preserve">و اسمه تقی الخطاط بالنستعلیق. ذهب إلی دکن و مات هناک. أورد شعره فی (گلشن- ص 89).</w:t>
      </w:r>
    </w:p>
    <w:p>
      <w:pPr>
        <w:pStyle w:val="Heading3"/>
      </w:pPr>
      <w:bookmarkStart w:id="8894" w:name="_Toc7590"/>
      <w:r>
        <w:t>دیوان مروارید کرمانی‏</w:t>
      </w:r>
      <w:bookmarkEnd w:id="8894"/>
    </w:p>
    <w:p>
      <w:pPr>
        <w:pStyle w:val="BookText"/>
      </w:pPr>
      <w:r>
        <w:rPr>
          <w:rFonts w:ascii="IRNazanin" w:hAnsi="IRNazanin" w:eastAsia="IRNazanin" w:cs="IRNazanin"/>
          <w:lang w:bidi="fa-IR"/>
          <w:color w:val="111111"/>
          <w:sz w:val="28"/>
          <w:szCs w:val="28"/>
          <w:rtl/>
        </w:rPr>
        <w:t xml:space="preserve">الخواجة عبد الله المتخلص ببیانی و المذکور فی ص 150 رأی سنگلاخ نسختین من دیوانه بخط جعفر هروی و قاسم شادیشاد فذکرهما فی (امتحان 1: ص 115 و 160) و ذکر أیضا فی همیشه بهار.</w:t>
      </w:r>
    </w:p>
    <w:p>
      <w:pPr>
        <w:pStyle w:val="Heading3"/>
      </w:pPr>
      <w:bookmarkStart w:id="8895" w:name="_Toc7591"/>
      <w:r>
        <w:t>6718- دیوان مروت کشمیری أو شعره‏</w:t>
      </w:r>
      <w:bookmarkEnd w:id="8895"/>
    </w:p>
    <w:p>
      <w:pPr>
        <w:pStyle w:val="BookText"/>
      </w:pPr>
      <w:r>
        <w:rPr>
          <w:rFonts w:ascii="IRNazanin" w:hAnsi="IRNazanin" w:eastAsia="IRNazanin" w:cs="IRNazanin"/>
          <w:lang w:bidi="fa-IR"/>
          <w:color w:val="111111"/>
          <w:sz w:val="28"/>
          <w:szCs w:val="28"/>
          <w:rtl/>
        </w:rPr>
        <w:t xml:space="preserve">و اسمه الخواجة أمان الله أورد شعره فی (گلشن- ص 402).</w:t>
      </w:r>
    </w:p>
    <w:p>
      <w:pPr>
        <w:pStyle w:val="Heading3"/>
      </w:pPr>
      <w:bookmarkStart w:id="8896" w:name="_Toc7592"/>
      <w:r>
        <w:t>6719- دیوان المروة</w:t>
      </w:r>
      <w:bookmarkEnd w:id="8896"/>
    </w:p>
    <w:p>
      <w:pPr>
        <w:pStyle w:val="BookText"/>
      </w:pPr>
      <w:r>
        <w:rPr>
          <w:rFonts w:ascii="IRNazanin" w:hAnsi="IRNazanin" w:eastAsia="IRNazanin" w:cs="IRNazanin"/>
          <w:lang w:bidi="fa-IR"/>
          <w:color w:val="111111"/>
          <w:sz w:val="28"/>
          <w:szCs w:val="28"/>
          <w:rtl/>
        </w:rPr>
        <w:t xml:space="preserve">للشیخ محمد نجیب مروت. اسمه التحفة الصیداویة طبع بصیدا بمطبعة العرفان فی 32 ص. فی 1342.</w:t>
      </w:r>
    </w:p>
    <w:p>
      <w:pPr>
        <w:pStyle w:val="Heading3"/>
      </w:pPr>
      <w:bookmarkStart w:id="8897" w:name="_Toc7593"/>
      <w:r>
        <w:t>6720- دیوان مروی‏</w:t>
      </w:r>
      <w:bookmarkEnd w:id="8897"/>
    </w:p>
    <w:p>
      <w:pPr>
        <w:pStyle w:val="BookText"/>
      </w:pPr>
      <w:r>
        <w:rPr>
          <w:rFonts w:ascii="IRNazanin" w:hAnsi="IRNazanin" w:eastAsia="IRNazanin" w:cs="IRNazanin"/>
          <w:lang w:bidi="fa-IR"/>
          <w:color w:val="111111"/>
          <w:sz w:val="28"/>
          <w:szCs w:val="28"/>
          <w:rtl/>
        </w:rPr>
        <w:t xml:space="preserve">و اسمه الخواجة حسین المروزی من تلامیذ المولی عصام و الشیخ ابن حجر مفتی الحرمین. جاء إلی الهند و هنا أکبر شاه یوم ولادة ابنه المیرزا سلیم بقصیدة و أخذ الصلة منه و رجع إلی وطنه و مات بها فی 9991 ترجم و أورد شعره فی (خز- ص 410) و (نتایج- ص 618) و یوجد دیوانه فی (بنگاله) کما فی فهرسها.</w:t>
      </w:r>
    </w:p>
    <w:p>
      <w:pPr>
        <w:pStyle w:val="Heading3"/>
      </w:pPr>
      <w:bookmarkStart w:id="8898" w:name="_Toc7594"/>
      <w:r>
        <w:t>6721- دیوان مروی هروی أو شعره‏</w:t>
      </w:r>
      <w:bookmarkEnd w:id="8898"/>
    </w:p>
    <w:p>
      <w:pPr>
        <w:pStyle w:val="BookText"/>
      </w:pPr>
      <w:r>
        <w:rPr>
          <w:rFonts w:ascii="IRNazanin" w:hAnsi="IRNazanin" w:eastAsia="IRNazanin" w:cs="IRNazanin"/>
          <w:lang w:bidi="fa-IR"/>
          <w:color w:val="111111"/>
          <w:sz w:val="28"/>
          <w:szCs w:val="28"/>
          <w:rtl/>
        </w:rPr>
        <w:t xml:space="preserve">کان کاتبا خلیقا. أورد شعره. فی (بهش 2: 404).</w:t>
      </w:r>
    </w:p>
    <w:p>
      <w:pPr>
        <w:pStyle w:val="Heading3"/>
      </w:pPr>
      <w:bookmarkStart w:id="8899" w:name="_Toc7595"/>
      <w:r>
        <w:t>6722- دیوان مرهون الصفار</w:t>
      </w:r>
      <w:bookmarkEnd w:id="8899"/>
    </w:p>
    <w:p>
      <w:pPr>
        <w:pStyle w:val="BookText"/>
      </w:pPr>
      <w:r>
        <w:rPr>
          <w:rFonts w:ascii="IRNazanin" w:hAnsi="IRNazanin" w:eastAsia="IRNazanin" w:cs="IRNazanin"/>
          <w:lang w:bidi="fa-IR"/>
          <w:color w:val="111111"/>
          <w:sz w:val="28"/>
          <w:szCs w:val="28"/>
          <w:rtl/>
        </w:rPr>
        <w:t xml:space="preserve">ترجمه علی الخاقانی فی شعراء الوزراء.</w:t>
      </w:r>
    </w:p>
    <w:p>
      <w:pPr>
        <w:pStyle w:val="Heading3"/>
      </w:pPr>
      <w:bookmarkStart w:id="8900" w:name="_Toc7596"/>
      <w:r>
        <w:t>6723- دیوان مریم ساوجی فاطمی‏</w:t>
      </w:r>
      <w:bookmarkEnd w:id="8900"/>
    </w:p>
    <w:p>
      <w:pPr>
        <w:pStyle w:val="BookText"/>
      </w:pPr>
      <w:r>
        <w:rPr>
          <w:rFonts w:ascii="IRNazanin" w:hAnsi="IRNazanin" w:eastAsia="IRNazanin" w:cs="IRNazanin"/>
          <w:lang w:bidi="fa-IR"/>
          <w:color w:val="111111"/>
          <w:sz w:val="28"/>
          <w:szCs w:val="28"/>
          <w:rtl/>
        </w:rPr>
        <w:t xml:space="preserve">و هی معلمة بثانویات طهران طبع لها</w:t>
      </w:r>
      <w:r>
        <w:rPr>
          <w:rStyle w:val="FootnoteReference"/>
        </w:rPr>
        <w:footnoteReference w:id="85"/>
      </w:r>
    </w:p>
    <w:p>
      <w:pPr>
        <w:sectPr>
          <w:footerReference w:type="default" r:id="rId1040"/>
          <w:footnotePr>
            <w:numStart w:val="1"/>
            <w:numRestart w:val="eachPage"/>
          </w:footnotePr>
          <w:pgSz w:orient="portrait" w:w="11905.511811023622" w:h="16837.79527559055"/>
          <w:pgMar w:top="1440" w:right="1440" w:bottom="1440" w:left="1440" w:header="720" w:footer="720" w:gutter="0"/>
          <w:cols w:num="1" w:space="720"/>
        </w:sectPr>
      </w:pPr>
    </w:p>
    <w:bookmarkStart w:id="1022" w:name="pg11704_122508"/>
    <w:bookmarkEnd w:id="1022"/>
    <w:p>
      <w:pPr>
        <w:pStyle w:val="BookText"/>
      </w:pPr>
      <w:r>
        <w:rPr>
          <w:rFonts w:ascii="IRNazanin" w:hAnsi="IRNazanin" w:eastAsia="IRNazanin" w:cs="IRNazanin"/>
          <w:lang w:bidi="fa-IR"/>
          <w:color w:val="111111"/>
          <w:sz w:val="28"/>
          <w:szCs w:val="28"/>
          <w:rtl/>
        </w:rPr>
        <w:t xml:space="preserve">دیوان مریم فی 176 ص بطهران فی 1381 و دختران راه طبع مرتان. و زن در أقوام و أدیان و اختلاف حقوق زن و مرد در إسلام و إیران.</w:t>
      </w:r>
    </w:p>
    <w:p>
      <w:pPr>
        <w:pStyle w:val="Heading3"/>
      </w:pPr>
      <w:bookmarkStart w:id="8901" w:name="_Toc7597"/>
      <w:r>
        <w:t>6724- دیوان مریم قائم مقام أو شعرها</w:t>
      </w:r>
      <w:bookmarkEnd w:id="8901"/>
    </w:p>
    <w:p>
      <w:pPr>
        <w:pStyle w:val="BookText"/>
      </w:pPr>
      <w:r>
        <w:rPr>
          <w:rFonts w:ascii="IRNazanin" w:hAnsi="IRNazanin" w:eastAsia="IRNazanin" w:cs="IRNazanin"/>
          <w:lang w:bidi="fa-IR"/>
          <w:color w:val="111111"/>
          <w:sz w:val="28"/>
          <w:szCs w:val="28"/>
          <w:rtl/>
        </w:rPr>
        <w:t xml:space="preserve">هی بنت أبی القاسم قائم مقام الوزیر الفراهانی و ماتت فی 1277 و أمها کانت بنت المیرزا حسن مستوفی الممالک الآشتیانی.</w:t>
      </w:r>
    </w:p>
    <w:p>
      <w:pPr>
        <w:pStyle w:val="BookText"/>
      </w:pPr>
      <w:r>
        <w:rPr>
          <w:rFonts w:ascii="IRNazanin" w:hAnsi="IRNazanin" w:eastAsia="IRNazanin" w:cs="IRNazanin"/>
          <w:lang w:bidi="fa-IR"/>
          <w:color w:val="111111"/>
          <w:sz w:val="28"/>
          <w:szCs w:val="28"/>
          <w:rtl/>
        </w:rPr>
        <w:t xml:space="preserve">و لما غضب محمد الشاه علی بیت قائم مقام و قتل والدها أنشأت قصیدة نجت بها أهلها من الأذی. ترجمها فی خیرات حسان 3: 197 و از رابعة تا پروین- ص 211.</w:t>
      </w:r>
    </w:p>
    <w:p>
      <w:pPr>
        <w:pStyle w:val="Heading3"/>
      </w:pPr>
      <w:bookmarkStart w:id="8902" w:name="_Toc7598"/>
      <w:r>
        <w:t>6725- دیوان مژه أو شعره‏</w:t>
      </w:r>
      <w:bookmarkEnd w:id="8902"/>
    </w:p>
    <w:p>
      <w:pPr>
        <w:pStyle w:val="BookText"/>
      </w:pPr>
      <w:r>
        <w:rPr>
          <w:rFonts w:ascii="IRNazanin" w:hAnsi="IRNazanin" w:eastAsia="IRNazanin" w:cs="IRNazanin"/>
          <w:lang w:bidi="fa-IR"/>
          <w:color w:val="111111"/>
          <w:sz w:val="28"/>
          <w:szCs w:val="28"/>
          <w:rtl/>
        </w:rPr>
        <w:t xml:space="preserve">و اسمه المیر عبد الله. أورد ذکره فخر الزمانی فی (میخانه- 3) بین الناظمین ساقی‏نامه.</w:t>
      </w:r>
    </w:p>
    <w:p>
      <w:pPr>
        <w:pStyle w:val="Heading3"/>
      </w:pPr>
      <w:bookmarkStart w:id="8903" w:name="_Toc7599"/>
      <w:r>
        <w:t>6725- دیوان مسافر</w:t>
      </w:r>
      <w:bookmarkEnd w:id="8903"/>
    </w:p>
    <w:p>
      <w:pPr>
        <w:pStyle w:val="BookText"/>
      </w:pPr>
      <w:r>
        <w:rPr>
          <w:rFonts w:ascii="IRNazanin" w:hAnsi="IRNazanin" w:eastAsia="IRNazanin" w:cs="IRNazanin"/>
          <w:lang w:bidi="fa-IR"/>
          <w:color w:val="111111"/>
          <w:sz w:val="28"/>
          <w:szCs w:val="28"/>
          <w:rtl/>
        </w:rPr>
        <w:t xml:space="preserve">توجد عند (الملک) کتبت فی 1208 بخط رجب علی فی 275 ورقة و جاء فی آخره:</w:t>
      </w:r>
    </w:p>
    <w:p>
      <w:pPr>
        <w:pStyle w:val="BookText"/>
      </w:pPr>
      <w:r>
        <w:rPr>
          <w:rFonts w:ascii="IRNazanin" w:hAnsi="IRNazanin" w:eastAsia="IRNazanin" w:cs="IRNazanin"/>
          <w:lang w:bidi="fa-IR"/>
          <w:color w:val="111111"/>
          <w:sz w:val="28"/>
          <w:szCs w:val="28"/>
          <w:rtl/>
        </w:rPr>
        <w:t xml:space="preserve">مسافر بیستون را عشق کنده است‏</w:t>
      </w:r>
    </w:p>
    <w:p>
      <w:pPr>
        <w:pStyle w:val="BookText"/>
      </w:pPr>
      <w:r>
        <w:rPr>
          <w:rFonts w:ascii="IRNazanin" w:hAnsi="IRNazanin" w:eastAsia="IRNazanin" w:cs="IRNazanin"/>
          <w:lang w:bidi="fa-IR"/>
          <w:color w:val="111111"/>
          <w:sz w:val="28"/>
          <w:szCs w:val="28"/>
          <w:rtl/>
        </w:rPr>
        <w:t xml:space="preserve">تو فرهادی که نظمت دلپسند است‏</w:t>
      </w:r>
    </w:p>
    <w:p>
      <w:pPr>
        <w:pStyle w:val="BookText"/>
      </w:pPr>
      <w:r>
        <w:rPr>
          <w:rFonts w:ascii="IRNazanin" w:hAnsi="IRNazanin" w:eastAsia="IRNazanin" w:cs="IRNazanin"/>
          <w:lang w:bidi="fa-IR"/>
          <w:color w:val="111111"/>
          <w:sz w:val="28"/>
          <w:szCs w:val="28"/>
          <w:rtl/>
        </w:rPr>
        <w:t xml:space="preserve">و مر مثله بعنوان قاضی مسافر فی ص 872.</w:t>
      </w:r>
    </w:p>
    <w:p>
      <w:pPr>
        <w:pStyle w:val="Heading3"/>
      </w:pPr>
      <w:bookmarkStart w:id="8904" w:name="_Toc7600"/>
      <w:r>
        <w:t>6726- دیوان مست أصفهانی أو شعره‏</w:t>
      </w:r>
      <w:bookmarkEnd w:id="8904"/>
    </w:p>
    <w:p>
      <w:pPr>
        <w:pStyle w:val="BookText"/>
      </w:pPr>
      <w:r>
        <w:rPr>
          <w:rFonts w:ascii="IRNazanin" w:hAnsi="IRNazanin" w:eastAsia="IRNazanin" w:cs="IRNazanin"/>
          <w:lang w:bidi="fa-IR"/>
          <w:color w:val="111111"/>
          <w:sz w:val="28"/>
          <w:szCs w:val="28"/>
          <w:rtl/>
        </w:rPr>
        <w:t xml:space="preserve">و اسمه مست علی، تلمیذ درویش هله‏لب الأصفهانی. معاصر الشاه صفی الصفوی. کان أمیا و مع ذلک کان یستقبل شعر الحکیم، سافر إلی الهند و رجع إلی أصفهان فرآه النصرآبادی و أورد ذکره فی (نر 9- 418) و (گلشن- ص 402).</w:t>
      </w:r>
    </w:p>
    <w:p>
      <w:pPr>
        <w:pStyle w:val="Heading3"/>
      </w:pPr>
      <w:bookmarkStart w:id="8905" w:name="_Toc7601"/>
      <w:r>
        <w:t>6727- دیوان مست تبریزی أو شعره‏</w:t>
      </w:r>
      <w:bookmarkEnd w:id="8905"/>
    </w:p>
    <w:p>
      <w:pPr>
        <w:pStyle w:val="BookText"/>
      </w:pPr>
      <w:r>
        <w:rPr>
          <w:rFonts w:ascii="IRNazanin" w:hAnsi="IRNazanin" w:eastAsia="IRNazanin" w:cs="IRNazanin"/>
          <w:lang w:bidi="fa-IR"/>
          <w:color w:val="111111"/>
          <w:sz w:val="28"/>
          <w:szCs w:val="28"/>
          <w:rtl/>
        </w:rPr>
        <w:t xml:space="preserve">ترجمه و أورد شعره فی (گلشن- ص 402) و (دجا- ص 340).</w:t>
      </w:r>
    </w:p>
    <w:p>
      <w:pPr>
        <w:pStyle w:val="Heading3"/>
      </w:pPr>
      <w:bookmarkStart w:id="8906" w:name="_Toc7602"/>
      <w:r>
        <w:t>دیوان مستشار أعظم‏</w:t>
      </w:r>
      <w:bookmarkEnd w:id="8906"/>
    </w:p>
    <w:p>
      <w:pPr>
        <w:pStyle w:val="BookText"/>
      </w:pPr>
      <w:r>
        <w:rPr>
          <w:rFonts w:ascii="IRNazanin" w:hAnsi="IRNazanin" w:eastAsia="IRNazanin" w:cs="IRNazanin"/>
          <w:lang w:bidi="fa-IR"/>
          <w:color w:val="111111"/>
          <w:sz w:val="28"/>
          <w:szCs w:val="28"/>
          <w:rtl/>
        </w:rPr>
        <w:t xml:space="preserve">لضیا لشکر المتخلص دانش التفرشی المیرزا تقی المذکور فی ص 315 طبع له قصیدة عالم‏افروز و نوشین روان فی 176 ص.</w:t>
      </w:r>
    </w:p>
    <w:p>
      <w:pPr>
        <w:pStyle w:val="Heading3"/>
      </w:pPr>
      <w:bookmarkStart w:id="8907" w:name="_Toc7603"/>
      <w:r>
        <w:t>6728- دیوان مستعان کرمانی‏</w:t>
      </w:r>
      <w:bookmarkEnd w:id="8907"/>
    </w:p>
    <w:p>
      <w:pPr>
        <w:pStyle w:val="BookText"/>
      </w:pPr>
      <w:r>
        <w:rPr>
          <w:rFonts w:ascii="IRNazanin" w:hAnsi="IRNazanin" w:eastAsia="IRNazanin" w:cs="IRNazanin"/>
          <w:lang w:bidi="fa-IR"/>
          <w:color w:val="111111"/>
          <w:sz w:val="28"/>
          <w:szCs w:val="28"/>
          <w:rtl/>
        </w:rPr>
        <w:t xml:space="preserve">و اسمه أبو تراب المتخلص خسته ابن الحاج موسی ابن إبراهیم خان ظهیر الدولة والی کرمان فی عهد فتح علی شاه. ولد حدود 1270 بکرمان و توفی حدود 1333 بها و دیوانه علی قدر دیوان حافظ کما نقله لنا السید محمد الهاشمی بطهران.</w:t>
      </w:r>
    </w:p>
    <w:p>
      <w:pPr>
        <w:pStyle w:val="Heading3"/>
      </w:pPr>
      <w:bookmarkStart w:id="8908" w:name="_Toc7604"/>
      <w:r>
        <w:t>دیوان مست علی شاه‏</w:t>
      </w:r>
      <w:bookmarkEnd w:id="8908"/>
    </w:p>
    <w:p>
      <w:pPr>
        <w:pStyle w:val="BookText"/>
      </w:pPr>
      <w:r>
        <w:rPr>
          <w:rFonts w:ascii="IRNazanin" w:hAnsi="IRNazanin" w:eastAsia="IRNazanin" w:cs="IRNazanin"/>
          <w:lang w:bidi="fa-IR"/>
          <w:color w:val="111111"/>
          <w:sz w:val="28"/>
          <w:szCs w:val="28"/>
          <w:rtl/>
        </w:rPr>
        <w:t xml:space="preserve">کما فی نور الابصار- ص 46 مر فی 176 بعنوان تمکین‏
</w:t>
      </w:r>
    </w:p>
    <w:p>
      <w:pPr>
        <w:sectPr>
          <w:footerReference w:type="default" r:id="rId1041"/>
          <w:footnotePr>
            <w:numStart w:val="1"/>
            <w:numRestart w:val="eachPage"/>
          </w:footnotePr>
          <w:pgSz w:orient="portrait" w:w="11905.511811023622" w:h="16837.79527559055"/>
          <w:pgMar w:top="1440" w:right="1440" w:bottom="1440" w:left="1440" w:header="720" w:footer="720" w:gutter="0"/>
          <w:cols w:num="1" w:space="720"/>
        </w:sectPr>
      </w:pPr>
    </w:p>
    <w:bookmarkStart w:id="1023" w:name="pg11704_122509"/>
    <w:bookmarkEnd w:id="1023"/>
    <w:p>
      <w:pPr>
        <w:pStyle w:val="BookText"/>
      </w:pPr>
      <w:r>
        <w:rPr>
          <w:rFonts w:ascii="IRNazanin" w:hAnsi="IRNazanin" w:eastAsia="IRNazanin" w:cs="IRNazanin"/>
          <w:lang w:bidi="fa-IR"/>
          <w:color w:val="111111"/>
          <w:sz w:val="28"/>
          <w:szCs w:val="28"/>
          <w:rtl/>
        </w:rPr>
        <w:t xml:space="preserve">شیروانی و راجع مست أصفهانی.</w:t>
      </w:r>
    </w:p>
    <w:p>
      <w:pPr>
        <w:pStyle w:val="Heading3"/>
      </w:pPr>
      <w:bookmarkStart w:id="8909" w:name="_Toc7605"/>
      <w:r>
        <w:t>6729- دیوان مستفید جلدکی‏</w:t>
      </w:r>
      <w:bookmarkEnd w:id="8909"/>
    </w:p>
    <w:p>
      <w:pPr>
        <w:pStyle w:val="BookText"/>
      </w:pPr>
      <w:r>
        <w:rPr>
          <w:rFonts w:ascii="IRNazanin" w:hAnsi="IRNazanin" w:eastAsia="IRNazanin" w:cs="IRNazanin"/>
          <w:lang w:bidi="fa-IR"/>
          <w:color w:val="111111"/>
          <w:sz w:val="28"/>
          <w:szCs w:val="28"/>
          <w:rtl/>
        </w:rPr>
        <w:t xml:space="preserve">کان فی بلخ فی خدمة عبد العزیز خان الشیبانی ثم عند سبحان قلی سلطان. کان بینه و بین صائب و النصرآبادی مکاتبات کما ذکره فی (نر 10- ص 438) و (گلشن- ص 403).</w:t>
      </w:r>
    </w:p>
    <w:p>
      <w:pPr>
        <w:pStyle w:val="Heading3"/>
      </w:pPr>
      <w:bookmarkStart w:id="8910" w:name="_Toc7606"/>
      <w:r>
        <w:t>دیوان ملا مستقیم بلخی‏</w:t>
      </w:r>
      <w:bookmarkEnd w:id="8910"/>
    </w:p>
    <w:p>
      <w:pPr>
        <w:pStyle w:val="BookText"/>
      </w:pPr>
      <w:r>
        <w:rPr>
          <w:rFonts w:ascii="IRNazanin" w:hAnsi="IRNazanin" w:eastAsia="IRNazanin" w:cs="IRNazanin"/>
          <w:lang w:bidi="fa-IR"/>
          <w:color w:val="111111"/>
          <w:sz w:val="28"/>
          <w:szCs w:val="28"/>
          <w:rtl/>
        </w:rPr>
        <w:t xml:space="preserve">مر فی ص 488 بعنوان سیلی بلخی.</w:t>
      </w:r>
    </w:p>
    <w:p>
      <w:pPr>
        <w:pStyle w:val="Heading3"/>
      </w:pPr>
      <w:bookmarkStart w:id="8911" w:name="_Toc7607"/>
      <w:r>
        <w:t>دیوان مست هروی‏</w:t>
      </w:r>
      <w:bookmarkEnd w:id="8911"/>
    </w:p>
    <w:p>
      <w:pPr>
        <w:pStyle w:val="BookText"/>
      </w:pPr>
      <w:r>
        <w:rPr>
          <w:rFonts w:ascii="IRNazanin" w:hAnsi="IRNazanin" w:eastAsia="IRNazanin" w:cs="IRNazanin"/>
          <w:lang w:bidi="fa-IR"/>
          <w:color w:val="111111"/>
          <w:sz w:val="28"/>
          <w:szCs w:val="28"/>
          <w:rtl/>
        </w:rPr>
        <w:t xml:space="preserve">کما سماه فی (لط 3: 86) مر بتخلصه فغانی میرم فی ص 840.</w:t>
      </w:r>
    </w:p>
    <w:p>
      <w:pPr>
        <w:pStyle w:val="Heading3"/>
      </w:pPr>
      <w:bookmarkStart w:id="8912" w:name="_Toc7608"/>
      <w:r>
        <w:t>6730- دیوان مست هندی أو شعره‏</w:t>
      </w:r>
      <w:bookmarkEnd w:id="8912"/>
    </w:p>
    <w:p>
      <w:pPr>
        <w:pStyle w:val="BookText"/>
      </w:pPr>
      <w:r>
        <w:rPr>
          <w:rFonts w:ascii="IRNazanin" w:hAnsi="IRNazanin" w:eastAsia="IRNazanin" w:cs="IRNazanin"/>
          <w:lang w:bidi="fa-IR"/>
          <w:color w:val="111111"/>
          <w:sz w:val="28"/>
          <w:szCs w:val="28"/>
          <w:rtl/>
        </w:rPr>
        <w:t xml:space="preserve">و هو المیر أبو الفضل من تلامیذ بیدل عبد القادر، و بعد وفاته تلمذ علی محمد حسین شهرت أورد شعره فی (گلشن- ص 402).</w:t>
      </w:r>
    </w:p>
    <w:p>
      <w:pPr>
        <w:pStyle w:val="Heading3"/>
      </w:pPr>
      <w:bookmarkStart w:id="8913" w:name="_Toc7609"/>
      <w:r>
        <w:t>6731- دیوان مسته مرد طبری أو شعره‏</w:t>
      </w:r>
      <w:bookmarkEnd w:id="8913"/>
    </w:p>
    <w:p>
      <w:pPr>
        <w:pStyle w:val="BookText"/>
      </w:pPr>
      <w:r>
        <w:rPr>
          <w:rFonts w:ascii="IRNazanin" w:hAnsi="IRNazanin" w:eastAsia="IRNazanin" w:cs="IRNazanin"/>
          <w:lang w:bidi="fa-IR"/>
          <w:color w:val="111111"/>
          <w:sz w:val="28"/>
          <w:szCs w:val="28"/>
          <w:rtl/>
        </w:rPr>
        <w:t xml:space="preserve">هو من شعراء طبرستان جاء إلی بغداد و مدح عضد الدولة الدیلمی، فلقبه دیواره‏وز و بعد موته جاء إلی گرگان و مدح قابوس و شمس المعالی، فلقبه مسته مرد لاعتیاده بالخمر و شعره باللهجة الطبریة. أورد ابن إسفندیار بعضها فی تاریخ طبرستان- 1: 138.</w:t>
      </w:r>
    </w:p>
    <w:p>
      <w:pPr>
        <w:pStyle w:val="Heading3"/>
      </w:pPr>
      <w:bookmarkStart w:id="8914" w:name="_Toc7610"/>
      <w:r>
        <w:t>6732- دیوان مستور شیرازی أو شعره‏</w:t>
      </w:r>
      <w:bookmarkEnd w:id="8914"/>
    </w:p>
    <w:p>
      <w:pPr>
        <w:pStyle w:val="BookText"/>
      </w:pPr>
      <w:r>
        <w:rPr>
          <w:rFonts w:ascii="IRNazanin" w:hAnsi="IRNazanin" w:eastAsia="IRNazanin" w:cs="IRNazanin"/>
          <w:lang w:bidi="fa-IR"/>
          <w:color w:val="111111"/>
          <w:sz w:val="28"/>
          <w:szCs w:val="28"/>
          <w:rtl/>
        </w:rPr>
        <w:t xml:space="preserve">و اسمه آقا عبد الرحیم دواتگر. أورد شعره معاصره فی (عم- ص 567).</w:t>
      </w:r>
    </w:p>
    <w:p>
      <w:pPr>
        <w:pStyle w:val="Heading3"/>
      </w:pPr>
      <w:bookmarkStart w:id="8915" w:name="_Toc7611"/>
      <w:r>
        <w:t>6733- دیوان مستوره کردستانی‏</w:t>
      </w:r>
      <w:bookmarkEnd w:id="8915"/>
    </w:p>
    <w:p>
      <w:pPr>
        <w:pStyle w:val="BookText"/>
      </w:pPr>
      <w:r>
        <w:rPr>
          <w:rFonts w:ascii="IRNazanin" w:hAnsi="IRNazanin" w:eastAsia="IRNazanin" w:cs="IRNazanin"/>
          <w:lang w:bidi="fa-IR"/>
          <w:color w:val="111111"/>
          <w:sz w:val="28"/>
          <w:szCs w:val="28"/>
          <w:rtl/>
        </w:rPr>
        <w:t xml:space="preserve">و هی ماه شرف خانم بنت أبی الحسن بیک بن محمد قادری. ولدت بکردستان فی 1220 و تزوجت بخسرو خان أردلان ابن أمان الله خان حاکم کردستان بعد أبیه. ترجمها المیرزا علی أکبر صادق الملک فی کتابه حدیقة ناصری فی تاریخ کردستان و قال إن دیوانها فی عشرین ألف بیت. لکن ما جمعها یحیی معرفت الکردستانی و طبعها فی طهران فی 1305 ش. یحتوی علی ألفی بیت فی 106 ص. و کتب له مقدمه. و لها قطعة فی تاریخ بناء مسجد سنندج الذی بناه آصف خان فی 1254. و ذکرها باسمی فی أدبیات معاصر ص 99. و فی از رابعة تا پروین- ص 212- 241.</w:t>
      </w:r>
    </w:p>
    <w:p>
      <w:pPr>
        <w:pStyle w:val="Heading3"/>
      </w:pPr>
      <w:bookmarkStart w:id="8916" w:name="_Toc7612"/>
      <w:r>
        <w:t>6734- دیوان مستوفی أردبیلی أو شعره‏</w:t>
      </w:r>
      <w:bookmarkEnd w:id="8916"/>
    </w:p>
    <w:p>
      <w:pPr>
        <w:pStyle w:val="BookText"/>
      </w:pPr>
      <w:r>
        <w:rPr>
          <w:rFonts w:ascii="IRNazanin" w:hAnsi="IRNazanin" w:eastAsia="IRNazanin" w:cs="IRNazanin"/>
          <w:lang w:bidi="fa-IR"/>
          <w:color w:val="111111"/>
          <w:sz w:val="28"/>
          <w:szCs w:val="28"/>
          <w:rtl/>
        </w:rPr>
        <w:t xml:space="preserve">ترجمه و أورد شعره فی (دجا- ص 342) عن لطائف الخیال لنصرت.</w:t>
      </w:r>
    </w:p>
    <w:p>
      <w:pPr>
        <w:pStyle w:val="Heading3"/>
      </w:pPr>
      <w:bookmarkStart w:id="8917" w:name="_Toc7613"/>
      <w:r>
        <w:t>6735- دیوان مستوفی قزوینی‏</w:t>
      </w:r>
      <w:bookmarkEnd w:id="8917"/>
    </w:p>
    <w:p>
      <w:pPr>
        <w:pStyle w:val="BookText"/>
      </w:pPr>
      <w:r>
        <w:rPr>
          <w:rFonts w:ascii="IRNazanin" w:hAnsi="IRNazanin" w:eastAsia="IRNazanin" w:cs="IRNazanin"/>
          <w:lang w:bidi="fa-IR"/>
          <w:color w:val="111111"/>
          <w:sz w:val="28"/>
          <w:szCs w:val="28"/>
          <w:rtl/>
        </w:rPr>
        <w:t xml:space="preserve">و هو حمد الله بن أبی بکر القزوینی المتوفی 750 له‏
</w:t>
      </w:r>
    </w:p>
    <w:p>
      <w:pPr>
        <w:sectPr>
          <w:footerReference w:type="default" r:id="rId1042"/>
          <w:footnotePr>
            <w:numStart w:val="1"/>
            <w:numRestart w:val="eachPage"/>
          </w:footnotePr>
          <w:pgSz w:orient="portrait" w:w="11905.511811023622" w:h="16837.79527559055"/>
          <w:pgMar w:top="1440" w:right="1440" w:bottom="1440" w:left="1440" w:header="720" w:footer="720" w:gutter="0"/>
          <w:cols w:num="1" w:space="720"/>
        </w:sectPr>
      </w:pPr>
    </w:p>
    <w:bookmarkStart w:id="1024" w:name="pg11704_122510"/>
    <w:bookmarkEnd w:id="1024"/>
    <w:p>
      <w:pPr>
        <w:pStyle w:val="BookText"/>
      </w:pPr>
      <w:r>
        <w:rPr>
          <w:rFonts w:ascii="IRNazanin" w:hAnsi="IRNazanin" w:eastAsia="IRNazanin" w:cs="IRNazanin"/>
          <w:lang w:bidi="fa-IR"/>
          <w:color w:val="111111"/>
          <w:sz w:val="28"/>
          <w:szCs w:val="28"/>
          <w:rtl/>
        </w:rPr>
        <w:t xml:space="preserve">تاریخ گزیده و نزهة القلوب و منظومة ظفرنامه فی تاریخ الإسلام فی خمسة و سبعین ألف بیت. موجودة فی (بریتیش موزیوم) کما فی فهرس ریو ص 173- 174 شرع فیه و هو ابن أربعین سنة و أتمه بعد عشرین سنة فی 735 ترجم فی فهرس مکتبة جامعة طهران 2: 672.</w:t>
      </w:r>
    </w:p>
    <w:p>
      <w:pPr>
        <w:pStyle w:val="Heading3"/>
      </w:pPr>
      <w:bookmarkStart w:id="8918" w:name="_Toc7614"/>
      <w:r>
        <w:t>6736- دیوان مستوفی نیشابوری أو شعره‏</w:t>
      </w:r>
      <w:bookmarkEnd w:id="8918"/>
    </w:p>
    <w:p>
      <w:pPr>
        <w:pStyle w:val="BookText"/>
      </w:pPr>
      <w:r>
        <w:rPr>
          <w:rFonts w:ascii="IRNazanin" w:hAnsi="IRNazanin" w:eastAsia="IRNazanin" w:cs="IRNazanin"/>
          <w:lang w:bidi="fa-IR"/>
          <w:color w:val="111111"/>
          <w:sz w:val="28"/>
          <w:szCs w:val="28"/>
          <w:rtl/>
        </w:rPr>
        <w:t xml:space="preserve">ترجمه معاصره فی (تس 5- ص 153).</w:t>
      </w:r>
    </w:p>
    <w:p>
      <w:pPr>
        <w:pStyle w:val="Heading3"/>
      </w:pPr>
      <w:bookmarkStart w:id="8919" w:name="_Toc7615"/>
      <w:r>
        <w:t>6737- دیوان مستی رازی أو شعره‏</w:t>
      </w:r>
      <w:bookmarkEnd w:id="8919"/>
    </w:p>
    <w:p>
      <w:pPr>
        <w:pStyle w:val="BookText"/>
      </w:pPr>
      <w:r>
        <w:rPr>
          <w:rFonts w:ascii="IRNazanin" w:hAnsi="IRNazanin" w:eastAsia="IRNazanin" w:cs="IRNazanin"/>
          <w:lang w:bidi="fa-IR"/>
          <w:color w:val="111111"/>
          <w:sz w:val="28"/>
          <w:szCs w:val="28"/>
          <w:rtl/>
        </w:rPr>
        <w:t xml:space="preserve">أورد شعره معاصره فی (تس 5- ص 168).</w:t>
      </w:r>
    </w:p>
    <w:p>
      <w:pPr>
        <w:pStyle w:val="Heading3"/>
      </w:pPr>
      <w:bookmarkStart w:id="8920" w:name="_Toc7616"/>
      <w:r>
        <w:t>6738- دیوان مسرور بروجنی‏</w:t>
      </w:r>
      <w:bookmarkEnd w:id="8920"/>
    </w:p>
    <w:p>
      <w:pPr>
        <w:pStyle w:val="BookText"/>
      </w:pPr>
      <w:r>
        <w:rPr>
          <w:rFonts w:ascii="IRNazanin" w:hAnsi="IRNazanin" w:eastAsia="IRNazanin" w:cs="IRNazanin"/>
          <w:lang w:bidi="fa-IR"/>
          <w:color w:val="111111"/>
          <w:sz w:val="28"/>
          <w:szCs w:val="28"/>
          <w:rtl/>
        </w:rPr>
        <w:t xml:space="preserve">و اسمه علی مراد رءوفی ابن محمد حسین. ولد ببروجن أصفهان حدود 1315. و دیوانه فی ألفی بیت نقل تضمینه لغزل الشیخ أسد الله إیزد گشسب فی شعرای معاصر أصفهان- ص 447.</w:t>
      </w:r>
    </w:p>
    <w:p>
      <w:pPr>
        <w:pStyle w:val="Heading3"/>
      </w:pPr>
      <w:bookmarkStart w:id="8921" w:name="_Toc7617"/>
      <w:r>
        <w:t>6739- دیوان مسرور بیگدلی أو شعره‏</w:t>
      </w:r>
      <w:bookmarkEnd w:id="8921"/>
    </w:p>
    <w:p>
      <w:pPr>
        <w:pStyle w:val="BookText"/>
      </w:pPr>
      <w:r>
        <w:rPr>
          <w:rFonts w:ascii="IRNazanin" w:hAnsi="IRNazanin" w:eastAsia="IRNazanin" w:cs="IRNazanin"/>
          <w:lang w:bidi="fa-IR"/>
          <w:color w:val="111111"/>
          <w:sz w:val="28"/>
          <w:szCs w:val="28"/>
          <w:rtl/>
        </w:rPr>
        <w:t xml:space="preserve">و اسمه محمد ولی خان شاملو عم لطف علی آذر المذکور فی ص 3 أرسله طهماسب الصفوی إلی الروم سفیرا و رجع و حکم علی کرمان مدة و علی لار أخری. و قتل هناک بید الناس فی 1145 ترجمه فی (تش- 409) و مکارم الآثار- ص 40 و (گلشن- ص 403).</w:t>
      </w:r>
    </w:p>
    <w:p>
      <w:pPr>
        <w:pStyle w:val="Heading3"/>
      </w:pPr>
      <w:bookmarkStart w:id="8922" w:name="_Toc7618"/>
      <w:r>
        <w:t>6740- دیوان مسرور چهار محالی‏</w:t>
      </w:r>
      <w:bookmarkEnd w:id="8922"/>
    </w:p>
    <w:p>
      <w:pPr>
        <w:pStyle w:val="BookText"/>
      </w:pPr>
      <w:r>
        <w:rPr>
          <w:rFonts w:ascii="IRNazanin" w:hAnsi="IRNazanin" w:eastAsia="IRNazanin" w:cs="IRNazanin"/>
          <w:lang w:bidi="fa-IR"/>
          <w:color w:val="111111"/>
          <w:sz w:val="28"/>
          <w:szCs w:val="28"/>
          <w:rtl/>
        </w:rPr>
        <w:t xml:space="preserve">و اسمه السید علی بن أبی طالب ولد بقریة بلداجی من نواحی چهار محال أصفهان یوم الغدیر 1313 و أنشأ الشعر من صغره و اشتغل بتعلیم الأطفال. أورد شعره فی شعرای معاصر أصفهان- ص 446.</w:t>
      </w:r>
    </w:p>
    <w:p>
      <w:pPr>
        <w:pStyle w:val="Heading3"/>
      </w:pPr>
      <w:bookmarkStart w:id="8923" w:name="_Toc7619"/>
      <w:r>
        <w:t>دیوان مسرور خراسانی‏</w:t>
      </w:r>
      <w:bookmarkEnd w:id="8923"/>
    </w:p>
    <w:p>
      <w:pPr>
        <w:pStyle w:val="BookText"/>
      </w:pPr>
      <w:r>
        <w:rPr>
          <w:rFonts w:ascii="IRNazanin" w:hAnsi="IRNazanin" w:eastAsia="IRNazanin" w:cs="IRNazanin"/>
          <w:lang w:bidi="fa-IR"/>
          <w:color w:val="111111"/>
          <w:sz w:val="28"/>
          <w:szCs w:val="28"/>
          <w:rtl/>
        </w:rPr>
        <w:t xml:space="preserve">راجع مسرور طالقانی.</w:t>
      </w:r>
    </w:p>
    <w:p>
      <w:pPr>
        <w:pStyle w:val="Heading3"/>
      </w:pPr>
      <w:bookmarkStart w:id="8924" w:name="_Toc7620"/>
      <w:r>
        <w:t>دیوان مسرور شاملو</w:t>
      </w:r>
      <w:bookmarkEnd w:id="8924"/>
    </w:p>
    <w:p>
      <w:pPr>
        <w:pStyle w:val="BookText"/>
      </w:pPr>
      <w:r>
        <w:rPr>
          <w:rFonts w:ascii="IRNazanin" w:hAnsi="IRNazanin" w:eastAsia="IRNazanin" w:cs="IRNazanin"/>
          <w:lang w:bidi="fa-IR"/>
          <w:color w:val="111111"/>
          <w:sz w:val="28"/>
          <w:szCs w:val="28"/>
          <w:rtl/>
        </w:rPr>
        <w:t xml:space="preserve">راجع مسرور بیگدلی.</w:t>
      </w:r>
    </w:p>
    <w:p>
      <w:pPr>
        <w:pStyle w:val="Heading3"/>
      </w:pPr>
      <w:bookmarkStart w:id="8925" w:name="_Toc7621"/>
      <w:r>
        <w:t>6741- دیوان مسرور طالقانی‏</w:t>
      </w:r>
      <w:bookmarkEnd w:id="8925"/>
    </w:p>
    <w:p>
      <w:pPr>
        <w:pStyle w:val="BookText"/>
      </w:pPr>
      <w:r>
        <w:rPr>
          <w:rFonts w:ascii="IRNazanin" w:hAnsi="IRNazanin" w:eastAsia="IRNazanin" w:cs="IRNazanin"/>
          <w:lang w:bidi="fa-IR"/>
          <w:color w:val="111111"/>
          <w:sz w:val="28"/>
          <w:szCs w:val="28"/>
          <w:rtl/>
        </w:rPr>
        <w:t xml:space="preserve">و اسمه أبو الفضل مسرور بن محمد من طالقان بخراسان و من شعراء محمود الغزنوی. ترجم و أورد شعره فی (لب 9) و (مع 1: 503) و أورد شعره فی مدح أحمد بن الحسن المیمندی.</w:t>
      </w:r>
    </w:p>
    <w:p>
      <w:pPr>
        <w:pStyle w:val="Heading3"/>
      </w:pPr>
      <w:bookmarkStart w:id="8926" w:name="_Toc7622"/>
      <w:r>
        <w:t>6742- دیوان مسرور قزوینی أو شعره‏</w:t>
      </w:r>
      <w:bookmarkEnd w:id="8926"/>
    </w:p>
    <w:p>
      <w:pPr>
        <w:pStyle w:val="BookText"/>
      </w:pPr>
      <w:r>
        <w:rPr>
          <w:rFonts w:ascii="IRNazanin" w:hAnsi="IRNazanin" w:eastAsia="IRNazanin" w:cs="IRNazanin"/>
          <w:lang w:bidi="fa-IR"/>
          <w:color w:val="111111"/>
          <w:sz w:val="28"/>
          <w:szCs w:val="28"/>
          <w:rtl/>
        </w:rPr>
        <w:t xml:space="preserve">و اسمه الآقا رضی الدین محمد بن الحسن المتوفی 1112 ترجمه و أورد شعره فی (تش- ص 228) و مجلة أرمغان 13: 372.</w:t>
      </w:r>
    </w:p>
    <w:p>
      <w:pPr>
        <w:pStyle w:val="Heading3"/>
      </w:pPr>
      <w:bookmarkStart w:id="8927" w:name="_Toc7623"/>
      <w:r>
        <w:t>6743- دیوان مسرور کوهپائی‏</w:t>
      </w:r>
      <w:bookmarkEnd w:id="8927"/>
    </w:p>
    <w:p>
      <w:pPr>
        <w:pStyle w:val="BookText"/>
      </w:pPr>
      <w:r>
        <w:rPr>
          <w:rFonts w:ascii="IRNazanin" w:hAnsi="IRNazanin" w:eastAsia="IRNazanin" w:cs="IRNazanin"/>
          <w:lang w:bidi="fa-IR"/>
          <w:color w:val="111111"/>
          <w:sz w:val="28"/>
          <w:szCs w:val="28"/>
          <w:rtl/>
        </w:rPr>
        <w:t xml:space="preserve">و اسمه حسین سخنیار ابن محمد جواد التاجر الأصفهانی ولد بکوهپایة فی 20 صفر 1308 و هاجر إلی طهران فی 1342 و هو الیوم‏
</w:t>
      </w:r>
    </w:p>
    <w:p>
      <w:pPr>
        <w:sectPr>
          <w:footerReference w:type="default" r:id="rId1043"/>
          <w:footnotePr>
            <w:numStart w:val="1"/>
            <w:numRestart w:val="eachPage"/>
          </w:footnotePr>
          <w:pgSz w:orient="portrait" w:w="11905.511811023622" w:h="16837.79527559055"/>
          <w:pgMar w:top="1440" w:right="1440" w:bottom="1440" w:left="1440" w:header="720" w:footer="720" w:gutter="0"/>
          <w:cols w:num="1" w:space="720"/>
        </w:sectPr>
      </w:pPr>
    </w:p>
    <w:bookmarkStart w:id="1025" w:name="pg11704_122511"/>
    <w:bookmarkEnd w:id="1025"/>
    <w:p>
      <w:pPr>
        <w:pStyle w:val="BookText"/>
      </w:pPr>
      <w:r>
        <w:rPr>
          <w:rFonts w:ascii="IRNazanin" w:hAnsi="IRNazanin" w:eastAsia="IRNazanin" w:cs="IRNazanin"/>
          <w:lang w:bidi="fa-IR"/>
          <w:color w:val="111111"/>
          <w:sz w:val="28"/>
          <w:szCs w:val="28"/>
          <w:rtl/>
        </w:rPr>
        <w:t xml:space="preserve">معلم بمدارس طهران. له أمثال سائرة و محمود أفغان و ده نفر قزلباش و لطف علی خان زند و نی زن بیابان و منظومة هنرنامه کلها مطبوعات و طبع الأخیر فی 1352 فی 28 ص و دیوانه فی ستة آلاف بیت. ترجمه و أورد شعره فی شعرای معاصر أصفهان- ص 443.</w:t>
      </w:r>
    </w:p>
    <w:p>
      <w:pPr>
        <w:pStyle w:val="Heading3"/>
      </w:pPr>
      <w:bookmarkStart w:id="8928" w:name="_Toc7624"/>
      <w:r>
        <w:t>دیوان مسعود أصفهانی‏</w:t>
      </w:r>
      <w:bookmarkEnd w:id="8928"/>
    </w:p>
    <w:p>
      <w:pPr>
        <w:pStyle w:val="BookText"/>
      </w:pPr>
      <w:r>
        <w:rPr>
          <w:rFonts w:ascii="IRNazanin" w:hAnsi="IRNazanin" w:eastAsia="IRNazanin" w:cs="IRNazanin"/>
          <w:lang w:bidi="fa-IR"/>
          <w:color w:val="111111"/>
          <w:sz w:val="28"/>
          <w:szCs w:val="28"/>
          <w:rtl/>
        </w:rPr>
        <w:t xml:space="preserve">راجع مسعود زرکش.</w:t>
      </w:r>
    </w:p>
    <w:p>
      <w:pPr>
        <w:pStyle w:val="Heading3"/>
      </w:pPr>
      <w:bookmarkStart w:id="8929" w:name="_Toc7625"/>
      <w:r>
        <w:t>6744- دیوان مسعود أصفهانی أو شعره‏</w:t>
      </w:r>
      <w:bookmarkEnd w:id="8929"/>
    </w:p>
    <w:p>
      <w:pPr>
        <w:pStyle w:val="BookText"/>
      </w:pPr>
      <w:r>
        <w:rPr>
          <w:rFonts w:ascii="IRNazanin" w:hAnsi="IRNazanin" w:eastAsia="IRNazanin" w:cs="IRNazanin"/>
          <w:lang w:bidi="fa-IR"/>
          <w:color w:val="111111"/>
          <w:sz w:val="28"/>
          <w:szCs w:val="28"/>
          <w:rtl/>
        </w:rPr>
        <w:t xml:space="preserve">کان من أقرباء ملا نیکی و مات 1008 أورد شعره فی (گلشن- ص 404) و لعله المذکور فی (نتایج- ص 631) أیضا.</w:t>
      </w:r>
    </w:p>
    <w:p>
      <w:pPr>
        <w:pStyle w:val="Heading3"/>
      </w:pPr>
      <w:bookmarkStart w:id="8930" w:name="_Toc7626"/>
      <w:r>
        <w:t>6745- دیوان مسعود بخاری أو شعره‏</w:t>
      </w:r>
      <w:bookmarkEnd w:id="8930"/>
    </w:p>
    <w:p>
      <w:pPr>
        <w:pStyle w:val="BookText"/>
      </w:pPr>
      <w:r>
        <w:rPr>
          <w:rFonts w:ascii="IRNazanin" w:hAnsi="IRNazanin" w:eastAsia="IRNazanin" w:cs="IRNazanin"/>
          <w:lang w:bidi="fa-IR"/>
          <w:color w:val="111111"/>
          <w:sz w:val="28"/>
          <w:szCs w:val="28"/>
          <w:rtl/>
        </w:rPr>
        <w:t xml:space="preserve">له مرآة العارفین نظم و نثر عرفانی بالفارسیة. ذکر فی ذیل کشف الظنون و یوجد عند (فخر الدین النصیری).</w:t>
      </w:r>
    </w:p>
    <w:p>
      <w:pPr>
        <w:pStyle w:val="Heading3"/>
      </w:pPr>
      <w:bookmarkStart w:id="8931" w:name="_Toc7627"/>
      <w:r>
        <w:t>دیوان مسعود ترک‏</w:t>
      </w:r>
      <w:bookmarkEnd w:id="8931"/>
    </w:p>
    <w:p>
      <w:pPr>
        <w:pStyle w:val="BookText"/>
      </w:pPr>
      <w:r>
        <w:rPr>
          <w:rFonts w:ascii="IRNazanin" w:hAnsi="IRNazanin" w:eastAsia="IRNazanin" w:cs="IRNazanin"/>
          <w:lang w:bidi="fa-IR"/>
          <w:color w:val="111111"/>
          <w:sz w:val="28"/>
          <w:szCs w:val="28"/>
          <w:rtl/>
        </w:rPr>
        <w:t xml:space="preserve">راجع مسعود قمی.</w:t>
      </w:r>
    </w:p>
    <w:p>
      <w:pPr>
        <w:pStyle w:val="Heading3"/>
      </w:pPr>
      <w:bookmarkStart w:id="8932" w:name="_Toc7628"/>
      <w:r>
        <w:t>دیوان مسعود خجندی‏</w:t>
      </w:r>
      <w:bookmarkEnd w:id="8932"/>
    </w:p>
    <w:p>
      <w:pPr>
        <w:pStyle w:val="BookText"/>
      </w:pPr>
      <w:r>
        <w:rPr>
          <w:rFonts w:ascii="IRNazanin" w:hAnsi="IRNazanin" w:eastAsia="IRNazanin" w:cs="IRNazanin"/>
          <w:lang w:bidi="fa-IR"/>
          <w:color w:val="111111"/>
          <w:sz w:val="28"/>
          <w:szCs w:val="28"/>
          <w:rtl/>
        </w:rPr>
        <w:t xml:space="preserve">کمال الدین المذکور فی ص 917 و قد رأی سنگلاخ نسخه منها بخط شفیعا فذکره فی (امتحان 1: 133) و ترجم فی (تش- ص 331) أیضا.</w:t>
      </w:r>
    </w:p>
    <w:p>
      <w:pPr>
        <w:pStyle w:val="Heading3"/>
      </w:pPr>
      <w:bookmarkStart w:id="8933" w:name="_Toc7629"/>
      <w:r>
        <w:t>6746- دیوان مسعود دهلوی‏</w:t>
      </w:r>
      <w:bookmarkEnd w:id="8933"/>
    </w:p>
    <w:p>
      <w:pPr>
        <w:pStyle w:val="BookText"/>
      </w:pPr>
      <w:r>
        <w:rPr>
          <w:rFonts w:ascii="IRNazanin" w:hAnsi="IRNazanin" w:eastAsia="IRNazanin" w:cs="IRNazanin"/>
          <w:lang w:bidi="fa-IR"/>
          <w:color w:val="111111"/>
          <w:sz w:val="28"/>
          <w:szCs w:val="28"/>
          <w:rtl/>
        </w:rPr>
        <w:t xml:space="preserve">و اسمه مقبول الله شیر خان. کان من أعیان دهلی الا أنه تصوف و تلمذ علی رکن الدین بن شهاب الدین إمام. له التمهیدات و مرآة العارفین و دیوانه یشتمل علی أنواع الشعر و قبره عند قبر قطب الدین بختیار الکاکی المذکور فی ص 883</w:t>
      </w:r>
    </w:p>
    <w:p>
      <w:pPr>
        <w:pStyle w:val="BookText"/>
      </w:pPr>
      <w:r>
        <w:rPr>
          <w:rFonts w:ascii="IRNazanin" w:hAnsi="IRNazanin" w:eastAsia="IRNazanin" w:cs="IRNazanin"/>
          <w:lang w:bidi="fa-IR"/>
          <w:color w:val="111111"/>
          <w:sz w:val="28"/>
          <w:szCs w:val="28"/>
          <w:rtl/>
        </w:rPr>
        <w:t xml:space="preserve">ترجمه فی (گلشن- ص 405) و عنه فی القاموس الترکی و کرر هذا ذکره بعنوان مسعود هندی معاصر سیفی عروضی بخارائی المذکور فی ص 486. و له منظومة یوسف و زلیخا و توفی 836. و یوجد دیوانه فی (بنگاله) کما فی فهرسها.</w:t>
      </w:r>
    </w:p>
    <w:p>
      <w:pPr>
        <w:pStyle w:val="Heading3"/>
      </w:pPr>
      <w:bookmarkStart w:id="8934" w:name="_Toc7630"/>
      <w:r>
        <w:t>6747- دیوان مسعود رازی أو شعره‏</w:t>
      </w:r>
      <w:bookmarkEnd w:id="8934"/>
    </w:p>
    <w:p>
      <w:pPr>
        <w:pStyle w:val="BookText"/>
      </w:pPr>
      <w:r>
        <w:rPr>
          <w:rFonts w:ascii="IRNazanin" w:hAnsi="IRNazanin" w:eastAsia="IRNazanin" w:cs="IRNazanin"/>
          <w:lang w:bidi="fa-IR"/>
          <w:color w:val="111111"/>
          <w:sz w:val="28"/>
          <w:szCs w:val="28"/>
          <w:rtl/>
        </w:rPr>
        <w:t xml:space="preserve">من شعراء السلطان مسعود الغزنوی.</w:t>
      </w:r>
    </w:p>
    <w:p>
      <w:pPr>
        <w:pStyle w:val="BookText"/>
      </w:pPr>
      <w:r>
        <w:rPr>
          <w:rFonts w:ascii="IRNazanin" w:hAnsi="IRNazanin" w:eastAsia="IRNazanin" w:cs="IRNazanin"/>
          <w:lang w:bidi="fa-IR"/>
          <w:color w:val="111111"/>
          <w:sz w:val="28"/>
          <w:szCs w:val="28"/>
          <w:rtl/>
        </w:rPr>
        <w:t xml:space="preserve">غضب علیه مسعود فی 430 و طرده و لا یعلم حاله بعد. أورد شعره فی تاریخ بیهق- ص 601 و (اللباب 2: 36) و (مع 1: 503) قال عباس الإقبال الآشتیانی فی حاشیة حدائق السحر- ص 110 إنه غیر مسعود غزنوی و قال فی (گلشن- ص 406) إنه کان قاضیا بری. و قد یقال له مسعودی.</w:t>
      </w:r>
    </w:p>
    <w:p>
      <w:pPr>
        <w:pStyle w:val="Heading3"/>
      </w:pPr>
      <w:bookmarkStart w:id="8935" w:name="_Toc7631"/>
      <w:r>
        <w:t>6748- دیوان مسعود زرکش‏</w:t>
      </w:r>
      <w:bookmarkEnd w:id="8935"/>
    </w:p>
    <w:p>
      <w:pPr>
        <w:pStyle w:val="BookText"/>
      </w:pPr>
      <w:r>
        <w:rPr>
          <w:rFonts w:ascii="IRNazanin" w:hAnsi="IRNazanin" w:eastAsia="IRNazanin" w:cs="IRNazanin"/>
          <w:lang w:bidi="fa-IR"/>
          <w:color w:val="111111"/>
          <w:sz w:val="28"/>
          <w:szCs w:val="28"/>
          <w:rtl/>
        </w:rPr>
        <w:t xml:space="preserve">ابن آقا زمانا زرکش الأصفهانی. ذهب إلی الهند
</w:t>
      </w:r>
    </w:p>
    <w:p>
      <w:pPr>
        <w:sectPr>
          <w:footerReference w:type="default" r:id="rId1044"/>
          <w:footnotePr>
            <w:numStart w:val="1"/>
            <w:numRestart w:val="eachPage"/>
          </w:footnotePr>
          <w:pgSz w:orient="portrait" w:w="11905.511811023622" w:h="16837.79527559055"/>
          <w:pgMar w:top="1440" w:right="1440" w:bottom="1440" w:left="1440" w:header="720" w:footer="720" w:gutter="0"/>
          <w:cols w:num="1" w:space="720"/>
        </w:sectPr>
      </w:pPr>
    </w:p>
    <w:bookmarkStart w:id="1026" w:name="pg11704_122512"/>
    <w:bookmarkEnd w:id="1026"/>
    <w:p>
      <w:pPr>
        <w:pStyle w:val="BookText"/>
      </w:pPr>
      <w:r>
        <w:rPr>
          <w:rFonts w:ascii="IRNazanin" w:hAnsi="IRNazanin" w:eastAsia="IRNazanin" w:cs="IRNazanin"/>
          <w:lang w:bidi="fa-IR"/>
          <w:color w:val="111111"/>
          <w:sz w:val="28"/>
          <w:szCs w:val="28"/>
          <w:rtl/>
        </w:rPr>
        <w:t xml:space="preserve">و رجع. أورد شعره فی تاریخ جلوس الشاه سلیمان فی 1077 فی (نر 9: 424 و 13- ص 478) و (گلشن- ص 406).</w:t>
      </w:r>
    </w:p>
    <w:p>
      <w:pPr>
        <w:pStyle w:val="Heading3"/>
      </w:pPr>
      <w:bookmarkStart w:id="8936" w:name="_Toc7632"/>
      <w:r>
        <w:t>6749- دیوان مسعود سبزواری أو شعره‏</w:t>
      </w:r>
      <w:bookmarkEnd w:id="8936"/>
    </w:p>
    <w:p>
      <w:pPr>
        <w:pStyle w:val="BookText"/>
      </w:pPr>
      <w:r>
        <w:rPr>
          <w:rFonts w:ascii="IRNazanin" w:hAnsi="IRNazanin" w:eastAsia="IRNazanin" w:cs="IRNazanin"/>
          <w:lang w:bidi="fa-IR"/>
          <w:color w:val="111111"/>
          <w:sz w:val="28"/>
          <w:szCs w:val="28"/>
          <w:rtl/>
        </w:rPr>
        <w:t xml:space="preserve">هو الأمیر سلطان مسعود. ترجمه و أورد شعره فی (گلشن- 405) و لعله مسعود الغزنوی.</w:t>
      </w:r>
    </w:p>
    <w:p>
      <w:pPr>
        <w:pStyle w:val="Heading3"/>
      </w:pPr>
      <w:bookmarkStart w:id="8937" w:name="_Toc7633"/>
      <w:r>
        <w:t>6750- دیوان مسعود سعد سلمان‏</w:t>
      </w:r>
      <w:bookmarkEnd w:id="8937"/>
    </w:p>
    <w:p>
      <w:pPr>
        <w:pStyle w:val="BookText"/>
      </w:pPr>
      <w:r>
        <w:rPr>
          <w:rFonts w:ascii="IRNazanin" w:hAnsi="IRNazanin" w:eastAsia="IRNazanin" w:cs="IRNazanin"/>
          <w:lang w:bidi="fa-IR"/>
          <w:color w:val="111111"/>
          <w:sz w:val="28"/>
          <w:szCs w:val="28"/>
          <w:rtl/>
        </w:rPr>
        <w:t xml:space="preserve">و اسمه أیضا مسعود بن سعد بن سلمان اللاهوری الجرجانی الأصل کما فی (لت- 1) أو الهمدانی کما فی (تش- ص 157) سافر والده إلی غزنین و ولد مسعود هناک فی عهد السلطان مسعود الغزنوی حدود 435 و نشا مسعود یتکلم بالفارسیة و الهندیة و العربیة. و تقرب عند السلطان، ثم غضب علیه و قیل إن غضبه کان لسعایة أبی الفرج الرونی فحبسه فی 472 فی حصار یسمی نای بالقرب من کابل، و بعد موت السلطان أفرج عنه فی 490 و لکن ما طال حتی حبس ثانیا فقضی أکثر عمره فی السجون و قصائده الحبسیات مشهورة و بعد الإفراج عنه تزهد و انزوی عن الناس و مات 515 أو 525 و له ثلاثة دواوین فارسیة و عربیة و هندیة</w:t>
      </w:r>
      <w:r>
        <w:rPr>
          <w:rStyle w:val="FootnoteReference"/>
        </w:rPr>
        <w:footnoteReference w:id="86"/>
      </w:r>
      <w:r>
        <w:rPr>
          <w:rFonts w:ascii="IRNazanin" w:hAnsi="IRNazanin" w:eastAsia="IRNazanin" w:cs="IRNazanin"/>
          <w:lang w:bidi="fa-IR"/>
          <w:color w:val="111111"/>
          <w:sz w:val="28"/>
          <w:szCs w:val="28"/>
          <w:rtl/>
        </w:rPr>
        <w:t xml:space="preserve">جمع دیوانه الفارسی سنائی المذکور فی ص 471 فی حیاة الناظم و لما أدخل فیه أشعار غیره اشتباها منه، اعترض علیه ثقة الملک طاهر بن علی فاعتذر عنه سنائی فی قصیدة کما مر. و دیوانه مرتب علی القصائد</w:t>
      </w:r>
    </w:p>
    <w:p>
      <w:pPr>
        <w:pStyle w:val="BookText"/>
      </w:pPr>
      <w:r>
        <w:rPr>
          <w:rFonts w:ascii="IRNazanin" w:hAnsi="IRNazanin" w:eastAsia="IRNazanin" w:cs="IRNazanin"/>
          <w:lang w:bidi="fa-IR"/>
          <w:color w:val="111111"/>
          <w:sz w:val="28"/>
          <w:szCs w:val="28"/>
          <w:rtl/>
        </w:rPr>
        <w:t xml:space="preserve">و المقطعات و غزلیات دوازده ماه و الرباعیات. طبع دیوانه فی 1296 عن نسخه لاعتضاد السلطنة، ثم طبعها جامکین الروسی، ثم رشید الیاسمی فی 1318 ش فی 16000 بیت، مع مقدمه مفصلة فی أحواله فی 66 ص. و طبع منتخبه فی 1319 ش. و لأحمد سهیلی الخوانساری مقالات فی أحوال مسعود طبعها فی مجلة أرمغان ج 19 و 20 ثم طبعها مستقلا بعنوان حصار نای کما مر فی ج 7 ص 23 و مثلها لعلی قویم طبعت فی أرمغان ج 24 و 25 و مستقلا فی 312 ص فی 1330 ش. و لمحمد إبراهیم عالمشاهی مقالة فی مجلة آریانا ج 9. و بین الحریری و مسعود مقالة لمجتبی مینوی طبعت فی مجلة دانشکده أدبیات تهران ج 5 و لمحمد معین بین کمال إسماعیل و مسعود طبعت فی جلوه. ج 2 کما فی فهرست مقالات فارسی و النفیسی فی تعلیقاته علی (اللباب ص 716) قال فی (لب 10)
</w:t>
      </w:r>
    </w:p>
    <w:p>
      <w:pPr>
        <w:sectPr>
          <w:footerReference w:type="default" r:id="rId1045"/>
          <w:footnotePr>
            <w:numStart w:val="1"/>
            <w:numRestart w:val="eachPage"/>
          </w:footnotePr>
          <w:pgSz w:orient="portrait" w:w="11905.511811023622" w:h="16837.79527559055"/>
          <w:pgMar w:top="1440" w:right="1440" w:bottom="1440" w:left="1440" w:header="720" w:footer="720" w:gutter="0"/>
          <w:cols w:num="1" w:space="720"/>
        </w:sectPr>
      </w:pPr>
    </w:p>
    <w:bookmarkStart w:id="1027" w:name="pg11704_122513"/>
    <w:bookmarkEnd w:id="1027"/>
    <w:p>
      <w:pPr>
        <w:pStyle w:val="BookText"/>
      </w:pPr>
      <w:r>
        <w:rPr>
          <w:rFonts w:ascii="IRNazanin" w:hAnsi="IRNazanin" w:eastAsia="IRNazanin" w:cs="IRNazanin"/>
          <w:lang w:bidi="fa-IR"/>
          <w:color w:val="111111"/>
          <w:sz w:val="28"/>
          <w:szCs w:val="28"/>
          <w:rtl/>
        </w:rPr>
        <w:t xml:space="preserve">إن له منتخب شاهنامه و ترجم فی (تش- ص 157). و قال فی (مع 1 ص 514) إن دیوانه الفارسی یقرب من ثمانیة عشر ألف بیت و أورد منها قرب ألف و ستمائة بیت، و لکن فی (خز- ص 14) بمناسبة ترجمه ولده أبی سعد بن مسعود، قال إن دیوانه الفارسی یقرب من خمسة عشر ألف بیت و أورد منها قرب مائة بیت. و بعض نسخ دیوانه الموجود فی مکتبتی (المجلس) و (سپهسالار) مشتمل علی خمسة عشر ألف کما بیت فی فهرسیهما و من شعره:</w:t>
      </w:r>
    </w:p>
    <w:p>
      <w:pPr>
        <w:pStyle w:val="BookText"/>
      </w:pPr>
      <w:r>
        <w:rPr>
          <w:rFonts w:ascii="IRNazanin" w:hAnsi="IRNazanin" w:eastAsia="IRNazanin" w:cs="IRNazanin"/>
          <w:lang w:bidi="fa-IR"/>
          <w:color w:val="111111"/>
          <w:sz w:val="28"/>
          <w:szCs w:val="28"/>
          <w:rtl/>
        </w:rPr>
        <w:t xml:space="preserve">حسام و تیر تو شد ذو الفقار هند عرب‏</w:t>
      </w:r>
    </w:p>
    <w:p>
      <w:pPr>
        <w:pStyle w:val="BookText"/>
      </w:pPr>
      <w:r>
        <w:rPr>
          <w:rFonts w:ascii="IRNazanin" w:hAnsi="IRNazanin" w:eastAsia="IRNazanin" w:cs="IRNazanin"/>
          <w:lang w:bidi="fa-IR"/>
          <w:color w:val="111111"/>
          <w:sz w:val="28"/>
          <w:szCs w:val="28"/>
          <w:rtl/>
        </w:rPr>
        <w:t xml:space="preserve">حصار آکرة خیبر، تو حیدر کرار</w:t>
      </w:r>
    </w:p>
    <w:p>
      <w:pPr>
        <w:pStyle w:val="BookText"/>
      </w:pPr>
      <w:r>
        <w:rPr>
          <w:rFonts w:ascii="IRNazanin" w:hAnsi="IRNazanin" w:eastAsia="IRNazanin" w:cs="IRNazanin"/>
          <w:lang w:bidi="fa-IR"/>
          <w:color w:val="111111"/>
          <w:sz w:val="28"/>
          <w:szCs w:val="28"/>
          <w:rtl/>
        </w:rPr>
        <w:t xml:space="preserve">و فی (خز- ص 16) ذکر دیوانه العربی و أورد بعضه عن حدائق السحر للوطواط و کذا فی سبحة المرجان و مقدمه غرة الکمال للأمیر خسرو. و أما دیوانه الهندی فأنکره واله الداغستانی فی ریاض الشعراء بدعوی أنه ولید همدان و لا یمکن إنشاء الشعر الهندی الا من المولود بها، و لکن دفع فی خزانة عامرة هذا الإنکار بإثبات ولادته بلاهور و صرح الأمیر خسرو الدهلوی بثبوت الدواوین الثلاثة له فی مقدمه غرة الکمال. و یوجد دیوان مسعود عند (الملک) و (فخر الدین).</w:t>
      </w:r>
    </w:p>
    <w:p>
      <w:pPr>
        <w:pStyle w:val="Heading3"/>
      </w:pPr>
      <w:bookmarkStart w:id="8938" w:name="_Toc7634"/>
      <w:r>
        <w:t>6751- دیوان مسعود سیستانی أو شعره‏</w:t>
      </w:r>
      <w:bookmarkEnd w:id="8938"/>
    </w:p>
    <w:p>
      <w:pPr>
        <w:pStyle w:val="BookText"/>
      </w:pPr>
      <w:r>
        <w:rPr>
          <w:rFonts w:ascii="IRNazanin" w:hAnsi="IRNazanin" w:eastAsia="IRNazanin" w:cs="IRNazanin"/>
          <w:lang w:bidi="fa-IR"/>
          <w:color w:val="111111"/>
          <w:sz w:val="28"/>
          <w:szCs w:val="28"/>
          <w:rtl/>
        </w:rPr>
        <w:t xml:space="preserve">و اسمه عبد الوهاب من ملازمی محمد خان أفغان السیستانی. ترجمه و أورد شعره فی (گلشن- ص 404).</w:t>
      </w:r>
    </w:p>
    <w:p>
      <w:pPr>
        <w:pStyle w:val="Heading3"/>
      </w:pPr>
      <w:bookmarkStart w:id="8939" w:name="_Toc7635"/>
      <w:r>
        <w:t>6752- دیوان مسعود شیرازی أو شعره‏</w:t>
      </w:r>
      <w:bookmarkEnd w:id="8939"/>
    </w:p>
    <w:p>
      <w:pPr>
        <w:pStyle w:val="BookText"/>
      </w:pPr>
      <w:r>
        <w:rPr>
          <w:rFonts w:ascii="IRNazanin" w:hAnsi="IRNazanin" w:eastAsia="IRNazanin" w:cs="IRNazanin"/>
          <w:lang w:bidi="fa-IR"/>
          <w:color w:val="111111"/>
          <w:sz w:val="28"/>
          <w:szCs w:val="28"/>
          <w:rtl/>
        </w:rPr>
        <w:t xml:space="preserve">و هو أخ الخواجة مرشد بن الخواجة میرک ترجمه و أورد شعره فی (تس 3- ص 61)</w:t>
      </w:r>
    </w:p>
    <w:p>
      <w:pPr>
        <w:pStyle w:val="Heading3"/>
      </w:pPr>
      <w:bookmarkStart w:id="8940" w:name="_Toc7636"/>
      <w:r>
        <w:t>دیوان مسعود شیروانی‏</w:t>
      </w:r>
      <w:bookmarkEnd w:id="8940"/>
    </w:p>
    <w:p>
      <w:pPr>
        <w:pStyle w:val="BookText"/>
      </w:pPr>
      <w:r>
        <w:rPr>
          <w:rFonts w:ascii="IRNazanin" w:hAnsi="IRNazanin" w:eastAsia="IRNazanin" w:cs="IRNazanin"/>
          <w:lang w:bidi="fa-IR"/>
          <w:color w:val="111111"/>
          <w:sz w:val="28"/>
          <w:szCs w:val="28"/>
          <w:rtl/>
        </w:rPr>
        <w:t xml:space="preserve">ترجمه فی (دجا- ص 342) بعنوان کمال الدین مسعود الشروانی و ذکر أنه تلمیذ مولانا شاه فتح الله الشروانی و إنه من أعاظم العلماء الحکماء فی عصره و کان فی سنین مدرسا فی هرات بمدرسة مهد علیا گوهرشاد بیگم و له تصانیف کثیرة ذکرها و ذکر شعره و ترجمه معاصره و مجالسه المیر علی شیر فی مجالس النفائس و ذکر تلمذه علی المولی عبد الرحمن الجامی کما نقلناه عنه فی ص 920</w:t>
      </w:r>
    </w:p>
    <w:p>
      <w:pPr>
        <w:pStyle w:val="Heading3"/>
      </w:pPr>
      <w:bookmarkStart w:id="8941" w:name="_Toc7637"/>
      <w:r>
        <w:t>6753- دیوان مسعود عارفی‏</w:t>
      </w:r>
      <w:bookmarkEnd w:id="8941"/>
    </w:p>
    <w:p>
      <w:pPr>
        <w:pStyle w:val="BookText"/>
      </w:pPr>
      <w:r>
        <w:rPr>
          <w:rFonts w:ascii="IRNazanin" w:hAnsi="IRNazanin" w:eastAsia="IRNazanin" w:cs="IRNazanin"/>
          <w:lang w:bidi="fa-IR"/>
          <w:color w:val="111111"/>
          <w:sz w:val="28"/>
          <w:szCs w:val="28"/>
          <w:rtl/>
        </w:rPr>
        <w:t xml:space="preserve">و اسمه السلطان مسعود میرزا ابن السلطان محمود میرزا ابن أبی سعید میرزا المذکور والده محمود غازی فی ص 460 و أمه من سادات ترمذ و له دیوانان ترکی یتخلص فیه شاهی و فارسی یتخلص فیه عارفی کما مر
</w:t>
      </w:r>
    </w:p>
    <w:p>
      <w:pPr>
        <w:sectPr>
          <w:footerReference w:type="default" r:id="rId1046"/>
          <w:footnotePr>
            <w:numStart w:val="1"/>
            <w:numRestart w:val="eachPage"/>
          </w:footnotePr>
          <w:pgSz w:orient="portrait" w:w="11905.511811023622" w:h="16837.79527559055"/>
          <w:pgMar w:top="1440" w:right="1440" w:bottom="1440" w:left="1440" w:header="720" w:footer="720" w:gutter="0"/>
          <w:cols w:num="1" w:space="720"/>
        </w:sectPr>
      </w:pPr>
    </w:p>
    <w:bookmarkStart w:id="1028" w:name="pg11704_122514"/>
    <w:bookmarkEnd w:id="1028"/>
    <w:p>
      <w:pPr>
        <w:pStyle w:val="BookText"/>
      </w:pPr>
      <w:r>
        <w:rPr>
          <w:rFonts w:ascii="IRNazanin" w:hAnsi="IRNazanin" w:eastAsia="IRNazanin" w:cs="IRNazanin"/>
          <w:lang w:bidi="fa-IR"/>
          <w:color w:val="111111"/>
          <w:sz w:val="28"/>
          <w:szCs w:val="28"/>
          <w:rtl/>
        </w:rPr>
        <w:t xml:space="preserve">فی ص 670 ترجمه فی (مجتس 9- ص 173) و أورد شعره بعد أن سمل عینیه الأمیر خسرو شاه‏</w:t>
      </w:r>
    </w:p>
    <w:p>
      <w:pPr>
        <w:pStyle w:val="Heading3"/>
      </w:pPr>
      <w:bookmarkStart w:id="8942" w:name="_Toc7638"/>
      <w:r>
        <w:t>6754- دیوان مسعود فاضلی أو شعره‏</w:t>
      </w:r>
      <w:bookmarkEnd w:id="8942"/>
    </w:p>
    <w:p>
      <w:pPr>
        <w:pStyle w:val="BookText"/>
      </w:pPr>
      <w:r>
        <w:rPr>
          <w:rFonts w:ascii="IRNazanin" w:hAnsi="IRNazanin" w:eastAsia="IRNazanin" w:cs="IRNazanin"/>
          <w:lang w:bidi="fa-IR"/>
          <w:color w:val="111111"/>
          <w:sz w:val="28"/>
          <w:szCs w:val="28"/>
          <w:rtl/>
        </w:rPr>
        <w:t xml:space="preserve">و اسمه ملا رکن الدین ترجمه و أورد شعره فی (گلشن- ص 406)</w:t>
      </w:r>
    </w:p>
    <w:p>
      <w:pPr>
        <w:pStyle w:val="Heading3"/>
      </w:pPr>
      <w:bookmarkStart w:id="8943" w:name="_Toc7639"/>
      <w:r>
        <w:t>دیوان مسعود فرزاد</w:t>
      </w:r>
      <w:bookmarkEnd w:id="8943"/>
    </w:p>
    <w:p>
      <w:pPr>
        <w:pStyle w:val="BookText"/>
      </w:pPr>
      <w:r>
        <w:rPr>
          <w:rFonts w:ascii="IRNazanin" w:hAnsi="IRNazanin" w:eastAsia="IRNazanin" w:cs="IRNazanin"/>
          <w:lang w:bidi="fa-IR"/>
          <w:color w:val="111111"/>
          <w:sz w:val="28"/>
          <w:szCs w:val="28"/>
          <w:rtl/>
        </w:rPr>
        <w:t xml:space="preserve">المذکور فی ص 823 طبع له منظومة وقتی که شاعر بودم‏</w:t>
      </w:r>
    </w:p>
    <w:p>
      <w:pPr>
        <w:pStyle w:val="Heading3"/>
      </w:pPr>
      <w:bookmarkStart w:id="8944" w:name="_Toc7640"/>
      <w:r>
        <w:t>6755- دیوان مسعود قزوینی أو شعره‏</w:t>
      </w:r>
      <w:bookmarkEnd w:id="8944"/>
    </w:p>
    <w:p>
      <w:pPr>
        <w:pStyle w:val="BookText"/>
      </w:pPr>
      <w:r>
        <w:rPr>
          <w:rFonts w:ascii="IRNazanin" w:hAnsi="IRNazanin" w:eastAsia="IRNazanin" w:cs="IRNazanin"/>
          <w:lang w:bidi="fa-IR"/>
          <w:color w:val="111111"/>
          <w:sz w:val="28"/>
          <w:szCs w:val="28"/>
          <w:rtl/>
        </w:rPr>
        <w:t xml:space="preserve">ترجمه و أورد شعره فی (گلشن- ص 406)</w:t>
      </w:r>
    </w:p>
    <w:p>
      <w:pPr>
        <w:pStyle w:val="Heading3"/>
      </w:pPr>
      <w:bookmarkStart w:id="8945" w:name="_Toc7641"/>
      <w:r>
        <w:t>6756- دیوان مسعود قمی‏</w:t>
      </w:r>
      <w:bookmarkEnd w:id="8945"/>
    </w:p>
    <w:p>
      <w:pPr>
        <w:pStyle w:val="BookText"/>
      </w:pPr>
      <w:r>
        <w:rPr>
          <w:rFonts w:ascii="IRNazanin" w:hAnsi="IRNazanin" w:eastAsia="IRNazanin" w:cs="IRNazanin"/>
          <w:lang w:bidi="fa-IR"/>
          <w:color w:val="111111"/>
          <w:sz w:val="28"/>
          <w:szCs w:val="28"/>
          <w:rtl/>
        </w:rPr>
        <w:t xml:space="preserve">جاء من عراق (قم) إلی هرات و تقرب عند المیر علی شیر و السلطان حسین بایقرا و باسمه نظم تاریخ حسین بایقرا کما مر فی ج 3 ص 249 فی اثنی عشر ألف بیت کما فی حبیب السیر و له مناظرات منظومة باسم شمس و قمر و تیغ و قلم و</w:t>
      </w:r>
    </w:p>
    <w:p>
      <w:pPr>
        <w:pStyle w:val="BookText"/>
      </w:pPr>
      <w:r>
        <w:rPr>
          <w:rFonts w:ascii="IRNazanin" w:hAnsi="IRNazanin" w:eastAsia="IRNazanin" w:cs="IRNazanin"/>
          <w:lang w:bidi="fa-IR"/>
          <w:color w:val="111111"/>
          <w:sz w:val="28"/>
          <w:szCs w:val="28"/>
          <w:rtl/>
        </w:rPr>
        <w:t xml:space="preserve">منظومة یوسف و زلیخا و دیوانه معروف فی هرات کما فی (مجن 2- ص 38 و 212) و مات بهرات و دفن عند پیر سیصدساله و ترجم فی همیشه بهار و (دجا- ص 175) و روضة الصفا- ج 7 و (تس 5- ص 106) و فی (قز مج- ص 311) أورد له عدة أشعار ینطبق مع أشعار دیوان مسعود قمی الموجود فی جامعة طهران کما فی فهرسها 2: 247 و قال کان مسعود من شعراء السلطان یعقوب خان بتبریز أقول: و لهذا عده فی (تش- ص 20) من أمراء الترک بقم و أورد له عین ذلک الأشعار</w:t>
      </w:r>
    </w:p>
    <w:p>
      <w:pPr>
        <w:pStyle w:val="Heading3"/>
      </w:pPr>
      <w:bookmarkStart w:id="8946" w:name="_Toc7642"/>
      <w:r>
        <w:t>6757- دیوان مسعود کابلی أو شعره‏</w:t>
      </w:r>
      <w:bookmarkEnd w:id="8946"/>
    </w:p>
    <w:p>
      <w:pPr>
        <w:pStyle w:val="BookText"/>
      </w:pPr>
      <w:r>
        <w:rPr>
          <w:rFonts w:ascii="IRNazanin" w:hAnsi="IRNazanin" w:eastAsia="IRNazanin" w:cs="IRNazanin"/>
          <w:lang w:bidi="fa-IR"/>
          <w:color w:val="111111"/>
          <w:sz w:val="28"/>
          <w:szCs w:val="28"/>
          <w:rtl/>
        </w:rPr>
        <w:t xml:space="preserve">ترجمه و أورد شعره فی (گلشن- ص 406)</w:t>
      </w:r>
    </w:p>
    <w:p>
      <w:pPr>
        <w:pStyle w:val="Heading3"/>
      </w:pPr>
      <w:bookmarkStart w:id="8947" w:name="_Toc7643"/>
      <w:r>
        <w:t>دیوان مسعود کاشانی‏</w:t>
      </w:r>
      <w:bookmarkEnd w:id="8947"/>
    </w:p>
    <w:p>
      <w:pPr>
        <w:pStyle w:val="BookText"/>
      </w:pPr>
      <w:r>
        <w:rPr>
          <w:rFonts w:ascii="IRNazanin" w:hAnsi="IRNazanin" w:eastAsia="IRNazanin" w:cs="IRNazanin"/>
          <w:lang w:bidi="fa-IR"/>
          <w:color w:val="111111"/>
          <w:sz w:val="28"/>
          <w:szCs w:val="28"/>
          <w:rtl/>
        </w:rPr>
        <w:t xml:space="preserve">راجع تخلصه مسیح کاشانی‏</w:t>
      </w:r>
    </w:p>
    <w:p>
      <w:pPr>
        <w:pStyle w:val="Heading3"/>
      </w:pPr>
      <w:bookmarkStart w:id="8948" w:name="_Toc7644"/>
      <w:r>
        <w:t>دیوان مسعود هندی‏</w:t>
      </w:r>
      <w:bookmarkEnd w:id="8948"/>
    </w:p>
    <w:p>
      <w:pPr>
        <w:pStyle w:val="BookText"/>
      </w:pPr>
      <w:r>
        <w:rPr>
          <w:rFonts w:ascii="IRNazanin" w:hAnsi="IRNazanin" w:eastAsia="IRNazanin" w:cs="IRNazanin"/>
          <w:lang w:bidi="fa-IR"/>
          <w:color w:val="111111"/>
          <w:sz w:val="28"/>
          <w:szCs w:val="28"/>
          <w:rtl/>
        </w:rPr>
        <w:t xml:space="preserve">مر بعنوان مسعود دهلوی‏</w:t>
      </w:r>
    </w:p>
    <w:p>
      <w:pPr>
        <w:pStyle w:val="Heading3"/>
      </w:pPr>
      <w:bookmarkStart w:id="8949" w:name="_Toc7645"/>
      <w:r>
        <w:t>6758- دیوان مسعود یزدی أو شعره‏</w:t>
      </w:r>
      <w:bookmarkEnd w:id="8949"/>
    </w:p>
    <w:p>
      <w:pPr>
        <w:pStyle w:val="BookText"/>
      </w:pPr>
      <w:r>
        <w:rPr>
          <w:rFonts w:ascii="IRNazanin" w:hAnsi="IRNazanin" w:eastAsia="IRNazanin" w:cs="IRNazanin"/>
          <w:lang w:bidi="fa-IR"/>
          <w:color w:val="111111"/>
          <w:sz w:val="28"/>
          <w:szCs w:val="28"/>
          <w:rtl/>
        </w:rPr>
        <w:t xml:space="preserve">یوجد أشعاره بعنوان مسعود واعظ یزدی فی جنگ عند (فخر الدین النصیری)</w:t>
      </w:r>
    </w:p>
    <w:p>
      <w:pPr>
        <w:pStyle w:val="Heading3"/>
      </w:pPr>
      <w:bookmarkStart w:id="8950" w:name="_Toc7646"/>
      <w:r>
        <w:t>دیوان مسعودی رازی‏</w:t>
      </w:r>
      <w:bookmarkEnd w:id="8950"/>
    </w:p>
    <w:p>
      <w:pPr>
        <w:pStyle w:val="BookText"/>
      </w:pPr>
      <w:r>
        <w:rPr>
          <w:rFonts w:ascii="IRNazanin" w:hAnsi="IRNazanin" w:eastAsia="IRNazanin" w:cs="IRNazanin"/>
          <w:lang w:bidi="fa-IR"/>
          <w:color w:val="111111"/>
          <w:sz w:val="28"/>
          <w:szCs w:val="28"/>
          <w:rtl/>
        </w:rPr>
        <w:t xml:space="preserve">راجع مسعود رازی‏</w:t>
      </w:r>
    </w:p>
    <w:p>
      <w:pPr>
        <w:pStyle w:val="Heading3"/>
      </w:pPr>
      <w:bookmarkStart w:id="8951" w:name="_Toc7647"/>
      <w:r>
        <w:t>6759- دیوان مسکین أصفهانی‏</w:t>
      </w:r>
      <w:bookmarkEnd w:id="8951"/>
    </w:p>
    <w:p>
      <w:pPr>
        <w:pStyle w:val="BookText"/>
      </w:pPr>
      <w:r>
        <w:rPr>
          <w:rFonts w:ascii="IRNazanin" w:hAnsi="IRNazanin" w:eastAsia="IRNazanin" w:cs="IRNazanin"/>
          <w:lang w:bidi="fa-IR"/>
          <w:color w:val="111111"/>
          <w:sz w:val="28"/>
          <w:szCs w:val="28"/>
          <w:rtl/>
        </w:rPr>
        <w:t xml:space="preserve">و اسمه المیرزا محمد علی ترجمه و أورد قصیدته فی مدح منوچهر خان فی المدائح المعتمدیة و (انجمن 4) و یوجد دیوانه بخطه عند (فخر الدین النصیری) یشتمل علی الغزل و القصائد</w:t>
      </w:r>
    </w:p>
    <w:p>
      <w:pPr>
        <w:pStyle w:val="Heading3"/>
      </w:pPr>
      <w:bookmarkStart w:id="8952" w:name="_Toc7648"/>
      <w:r>
        <w:t>6760- دیوان مسکین أکبرآبادی‏</w:t>
      </w:r>
      <w:bookmarkEnd w:id="8952"/>
    </w:p>
    <w:p>
      <w:pPr>
        <w:pStyle w:val="BookText"/>
      </w:pPr>
      <w:r>
        <w:rPr>
          <w:rFonts w:ascii="IRNazanin" w:hAnsi="IRNazanin" w:eastAsia="IRNazanin" w:cs="IRNazanin"/>
          <w:lang w:bidi="fa-IR"/>
          <w:color w:val="111111"/>
          <w:sz w:val="28"/>
          <w:szCs w:val="28"/>
          <w:rtl/>
        </w:rPr>
        <w:t xml:space="preserve">الشیخ عبد الواحد المصاحب لمحمد خان صاحب‏
</w:t>
      </w:r>
    </w:p>
    <w:p>
      <w:pPr>
        <w:sectPr>
          <w:footerReference w:type="default" r:id="rId1047"/>
          <w:footnotePr>
            <w:numStart w:val="1"/>
            <w:numRestart w:val="eachPage"/>
          </w:footnotePr>
          <w:pgSz w:orient="portrait" w:w="11905.511811023622" w:h="16837.79527559055"/>
          <w:pgMar w:top="1440" w:right="1440" w:bottom="1440" w:left="1440" w:header="720" w:footer="720" w:gutter="0"/>
          <w:cols w:num="1" w:space="720"/>
        </w:sectPr>
      </w:pPr>
    </w:p>
    <w:bookmarkStart w:id="1029" w:name="pg11704_122515"/>
    <w:bookmarkEnd w:id="1029"/>
    <w:p>
      <w:pPr>
        <w:pStyle w:val="BookText"/>
      </w:pPr>
      <w:r>
        <w:rPr>
          <w:rFonts w:ascii="IRNazanin" w:hAnsi="IRNazanin" w:eastAsia="IRNazanin" w:cs="IRNazanin"/>
          <w:lang w:bidi="fa-IR"/>
          <w:color w:val="111111"/>
          <w:sz w:val="28"/>
          <w:szCs w:val="28"/>
          <w:rtl/>
        </w:rPr>
        <w:t xml:space="preserve">مات 1271 أورد شعره فی (گلشن- ص 407) و یوجد دیوان مسکین فی (بنگاله) کما فی فهرسها</w:t>
      </w:r>
    </w:p>
    <w:p>
      <w:pPr>
        <w:pStyle w:val="Heading3"/>
      </w:pPr>
      <w:bookmarkStart w:id="8953" w:name="_Toc7649"/>
      <w:r>
        <w:t>6761- دیوان مسکین بخاری أو شعره‏</w:t>
      </w:r>
      <w:bookmarkEnd w:id="8953"/>
    </w:p>
    <w:p>
      <w:pPr>
        <w:pStyle w:val="BookText"/>
      </w:pPr>
      <w:r>
        <w:rPr>
          <w:rFonts w:ascii="IRNazanin" w:hAnsi="IRNazanin" w:eastAsia="IRNazanin" w:cs="IRNazanin"/>
          <w:lang w:bidi="fa-IR"/>
          <w:color w:val="111111"/>
          <w:sz w:val="28"/>
          <w:szCs w:val="28"/>
          <w:rtl/>
        </w:rPr>
        <w:t xml:space="preserve">أورد شعره فی (گلشن- ص 407)</w:t>
      </w:r>
    </w:p>
    <w:p>
      <w:pPr>
        <w:pStyle w:val="Heading3"/>
      </w:pPr>
      <w:bookmarkStart w:id="8954" w:name="_Toc7650"/>
      <w:r>
        <w:t>6762- دیوان مسکین تتوی‏</w:t>
      </w:r>
      <w:bookmarkEnd w:id="8954"/>
    </w:p>
    <w:p>
      <w:pPr>
        <w:pStyle w:val="BookText"/>
      </w:pPr>
      <w:r>
        <w:rPr>
          <w:rFonts w:ascii="IRNazanin" w:hAnsi="IRNazanin" w:eastAsia="IRNazanin" w:cs="IRNazanin"/>
          <w:lang w:bidi="fa-IR"/>
          <w:color w:val="111111"/>
          <w:sz w:val="28"/>
          <w:szCs w:val="28"/>
          <w:rtl/>
        </w:rPr>
        <w:t xml:space="preserve">هو ابن الملا عبد الحکیم العطائی من شعراء القرن الثانی عشر ترجمه و أورد شعره فی مقالات الشعراء- ص 757 و یوجد دیوان مسکین فی (بنگاله) کما فی فهرسها</w:t>
      </w:r>
    </w:p>
    <w:p>
      <w:pPr>
        <w:pStyle w:val="Heading3"/>
      </w:pPr>
      <w:bookmarkStart w:id="8955" w:name="_Toc7651"/>
      <w:r>
        <w:t>6763- دیوان مسکین زنوزی أو شعره‏</w:t>
      </w:r>
      <w:bookmarkEnd w:id="8955"/>
    </w:p>
    <w:p>
      <w:pPr>
        <w:pStyle w:val="BookText"/>
      </w:pPr>
      <w:r>
        <w:rPr>
          <w:rFonts w:ascii="IRNazanin" w:hAnsi="IRNazanin" w:eastAsia="IRNazanin" w:cs="IRNazanin"/>
          <w:lang w:bidi="fa-IR"/>
          <w:color w:val="111111"/>
          <w:sz w:val="28"/>
          <w:szCs w:val="28"/>
          <w:rtl/>
        </w:rPr>
        <w:t xml:space="preserve">و اسمه السید علی من شعراء القرن الثالث عشر ترجمه و أورد شعره فی (دجا- ص 342) فی تاریخ وفاة ملاباشی فی 1294</w:t>
      </w:r>
    </w:p>
    <w:p>
      <w:pPr>
        <w:pStyle w:val="Heading3"/>
      </w:pPr>
      <w:bookmarkStart w:id="8956" w:name="_Toc7652"/>
      <w:r>
        <w:t>دیوان مسکین فراهی‏</w:t>
      </w:r>
      <w:bookmarkEnd w:id="8956"/>
    </w:p>
    <w:p>
      <w:pPr>
        <w:pStyle w:val="BookText"/>
      </w:pPr>
      <w:r>
        <w:rPr>
          <w:rFonts w:ascii="IRNazanin" w:hAnsi="IRNazanin" w:eastAsia="IRNazanin" w:cs="IRNazanin"/>
          <w:lang w:bidi="fa-IR"/>
          <w:color w:val="111111"/>
          <w:sz w:val="28"/>
          <w:szCs w:val="28"/>
          <w:rtl/>
        </w:rPr>
        <w:t xml:space="preserve">راجع معینی فراهی‏</w:t>
      </w:r>
    </w:p>
    <w:p>
      <w:pPr>
        <w:pStyle w:val="Heading3"/>
      </w:pPr>
      <w:bookmarkStart w:id="8957" w:name="_Toc7653"/>
      <w:r>
        <w:t>6764- دیوان مسکین محلاتی‏</w:t>
      </w:r>
      <w:bookmarkEnd w:id="8957"/>
    </w:p>
    <w:p>
      <w:pPr>
        <w:pStyle w:val="BookText"/>
      </w:pPr>
      <w:r>
        <w:rPr>
          <w:rFonts w:ascii="IRNazanin" w:hAnsi="IRNazanin" w:eastAsia="IRNazanin" w:cs="IRNazanin"/>
          <w:lang w:bidi="fa-IR"/>
          <w:color w:val="111111"/>
          <w:sz w:val="28"/>
          <w:szCs w:val="28"/>
          <w:rtl/>
        </w:rPr>
        <w:t xml:space="preserve">للشیخ عبد الحسین الکبیر ابن علی محمد المحلاتی ولد 1307 و توفی 1358 و اشتغل بالتحصیل سنین و غلب علیه الزهد و الریاضیات و العزلة کما یشهد بأحواله لسان حاله فی أشعاره التی دونها إسماعیل الصدر المحلاتی 1374 و طبع بمطبعة قم، فارسی فی المواعظ و الأخلاق بلسان عادی متعارف عند العوام، یقرب من ألف و خمسمائة بیت‏</w:t>
      </w:r>
    </w:p>
    <w:p>
      <w:pPr>
        <w:pStyle w:val="Heading3"/>
      </w:pPr>
      <w:bookmarkStart w:id="8958" w:name="_Toc7654"/>
      <w:r>
        <w:t>6765- دیوان مسکین ناظم الکتاب‏</w:t>
      </w:r>
      <w:bookmarkEnd w:id="8958"/>
    </w:p>
    <w:p>
      <w:pPr>
        <w:pStyle w:val="BookText"/>
      </w:pPr>
      <w:r>
        <w:rPr>
          <w:rFonts w:ascii="IRNazanin" w:hAnsi="IRNazanin" w:eastAsia="IRNazanin" w:cs="IRNazanin"/>
          <w:lang w:bidi="fa-IR"/>
          <w:color w:val="111111"/>
          <w:sz w:val="28"/>
          <w:szCs w:val="28"/>
          <w:rtl/>
        </w:rPr>
        <w:t xml:space="preserve">طبع له مثنوی سماور أو گفتگوی قند و چای و سرگذشت بی‏کارها طبع بمطبعة اتحادیه کارگران بطهران فی 1347 فی 16 ص صغیرة علی الحجر مصورا و فی آخره رباعیتین لأمیری فی مدیح ناظم الکتاب المتخلص مسکین‏</w:t>
      </w:r>
    </w:p>
    <w:p>
      <w:pPr>
        <w:pStyle w:val="Heading3"/>
      </w:pPr>
      <w:bookmarkStart w:id="8959" w:name="_Toc7655"/>
      <w:r>
        <w:t>6766- دیوان مسکین هندی‏</w:t>
      </w:r>
      <w:bookmarkEnd w:id="8959"/>
    </w:p>
    <w:p>
      <w:pPr>
        <w:pStyle w:val="BookText"/>
      </w:pPr>
      <w:r>
        <w:rPr>
          <w:rFonts w:ascii="IRNazanin" w:hAnsi="IRNazanin" w:eastAsia="IRNazanin" w:cs="IRNazanin"/>
          <w:lang w:bidi="fa-IR"/>
          <w:color w:val="111111"/>
          <w:sz w:val="28"/>
          <w:szCs w:val="28"/>
          <w:rtl/>
        </w:rPr>
        <w:t xml:space="preserve">للسید حسین الأدیب القاری ابن السید رضا علی الطبیب الهندی نزیل الکاظمیة و المتوفی عن عمر طویل فی سامراء (24- ج 2- 1334) و مر له الأدعیة و الزیارات فی ج 1 ص 394 و قد وقع غلط هناک فی تاریخه و الصحیح ما أرخه به السماوی فی وشائح السراء- ص 44 بقطعة عند ذکر المدفونین فی سامراء من الأعاظم فقال:</w:t>
      </w:r>
    </w:p>
    <w:p>
      <w:pPr>
        <w:pStyle w:val="BookText"/>
      </w:pPr>
      <w:r>
        <w:rPr>
          <w:rFonts w:ascii="IRNazanin" w:hAnsi="IRNazanin" w:eastAsia="IRNazanin" w:cs="IRNazanin"/>
          <w:lang w:bidi="fa-IR"/>
          <w:color w:val="111111"/>
          <w:sz w:val="28"/>
          <w:szCs w:val="28"/>
          <w:rtl/>
        </w:rPr>
        <w:t xml:space="preserve">و کالحسین بن الرضا علی‏</w:t>
      </w:r>
    </w:p>
    <w:p>
      <w:pPr>
        <w:pStyle w:val="BookText"/>
      </w:pPr>
      <w:r>
        <w:rPr>
          <w:rFonts w:ascii="IRNazanin" w:hAnsi="IRNazanin" w:eastAsia="IRNazanin" w:cs="IRNazanin"/>
          <w:lang w:bidi="fa-IR"/>
          <w:color w:val="111111"/>
          <w:sz w:val="28"/>
          <w:szCs w:val="28"/>
          <w:rtl/>
        </w:rPr>
        <w:t xml:space="preserve">المقری المطبب الهندی‏</w:t>
      </w:r>
    </w:p>
    <w:p>
      <w:pPr>
        <w:pStyle w:val="BookText"/>
      </w:pPr>
      <w:r>
        <w:rPr>
          <w:rFonts w:ascii="IRNazanin" w:hAnsi="IRNazanin" w:eastAsia="IRNazanin" w:cs="IRNazanin"/>
          <w:lang w:bidi="fa-IR"/>
          <w:color w:val="111111"/>
          <w:sz w:val="28"/>
          <w:szCs w:val="28"/>
          <w:rtl/>
        </w:rPr>
        <w:t xml:space="preserve">فقد أتاها قاصد الزیارة</w:t>
      </w:r>
    </w:p>
    <w:p>
      <w:pPr>
        <w:pStyle w:val="BookText"/>
      </w:pPr>
      <w:r>
        <w:rPr>
          <w:rFonts w:ascii="IRNazanin" w:hAnsi="IRNazanin" w:eastAsia="IRNazanin" w:cs="IRNazanin"/>
          <w:lang w:bidi="fa-IR"/>
          <w:color w:val="111111"/>
          <w:sz w:val="28"/>
          <w:szCs w:val="28"/>
          <w:rtl/>
        </w:rPr>
        <w:t xml:space="preserve">فوفق الله بها إقباره‏
</w:t>
      </w:r>
    </w:p>
    <w:p>
      <w:pPr>
        <w:sectPr>
          <w:footerReference w:type="default" r:id="rId1048"/>
          <w:footnotePr>
            <w:numStart w:val="1"/>
            <w:numRestart w:val="eachPage"/>
          </w:footnotePr>
          <w:pgSz w:orient="portrait" w:w="11905.511811023622" w:h="16837.79527559055"/>
          <w:pgMar w:top="1440" w:right="1440" w:bottom="1440" w:left="1440" w:header="720" w:footer="720" w:gutter="0"/>
          <w:cols w:num="1" w:space="720"/>
        </w:sectPr>
      </w:pPr>
    </w:p>
    <w:bookmarkStart w:id="1030" w:name="pg11704_122516"/>
    <w:bookmarkEnd w:id="1030"/>
    <w:p>
      <w:pPr>
        <w:pStyle w:val="BookText"/>
      </w:pPr>
      <w:r>
        <w:rPr>
          <w:rFonts w:ascii="Amiri" w:hAnsi="Amiri" w:eastAsia="Amiri" w:cs="Amiri"/>
          <w:lang w:bidi="ar-SA"/>
          <w:color w:val="111111"/>
          <w:sz w:val="28"/>
          <w:szCs w:val="28"/>
          <w:rtl/>
        </w:rPr>
        <w:t xml:space="preserve">و ادخر الحماة قبل المحتضر</w:t>
      </w:r>
    </w:p>
    <w:p>
      <w:pPr>
        <w:pStyle w:val="BookText"/>
      </w:pPr>
      <w:r>
        <w:rPr>
          <w:rFonts w:ascii="IRNazanin" w:hAnsi="IRNazanin" w:eastAsia="IRNazanin" w:cs="IRNazanin"/>
          <w:lang w:bidi="fa-IR"/>
          <w:color w:val="111111"/>
          <w:sz w:val="28"/>
          <w:szCs w:val="28"/>
          <w:rtl/>
        </w:rPr>
        <w:t xml:space="preserve">فأرخوا (حیا أتی للمدخر)</w:t>
      </w:r>
    </w:p>
    <w:p>
      <w:pPr>
        <w:pStyle w:val="BookText"/>
      </w:pPr>
      <w:r>
        <w:rPr>
          <w:rFonts w:ascii="IRNazanin" w:hAnsi="IRNazanin" w:eastAsia="IRNazanin" w:cs="IRNazanin"/>
          <w:lang w:bidi="fa-IR"/>
          <w:color w:val="111111"/>
          <w:sz w:val="28"/>
          <w:szCs w:val="28"/>
          <w:rtl/>
        </w:rPr>
        <w:t xml:space="preserve">و دیوانه فارسی جمعه بعده ابن أخته السید علی صدر الدین الأخ الأصغر للسید محمد صدر الدین‏</w:t>
      </w:r>
    </w:p>
    <w:p>
      <w:pPr>
        <w:pStyle w:val="Heading3"/>
      </w:pPr>
      <w:bookmarkStart w:id="8960" w:name="_Toc7656"/>
      <w:r>
        <w:t>6767- دیوان مسلمی أسفراینی أو شعره‏</w:t>
      </w:r>
      <w:bookmarkEnd w:id="8960"/>
    </w:p>
    <w:p>
      <w:pPr>
        <w:pStyle w:val="BookText"/>
      </w:pPr>
      <w:r>
        <w:rPr>
          <w:rFonts w:ascii="IRNazanin" w:hAnsi="IRNazanin" w:eastAsia="IRNazanin" w:cs="IRNazanin"/>
          <w:lang w:bidi="fa-IR"/>
          <w:color w:val="111111"/>
          <w:sz w:val="28"/>
          <w:szCs w:val="28"/>
          <w:rtl/>
        </w:rPr>
        <w:t xml:space="preserve">ترجمه المیر علی شیر بعنوان السید مسلمی فی (مجن 2- ص 45 و 219) و أورد شعره و کذا فی (حسینی- ص 320) و فی (گلشن- ص 407) خلط بینه و بین مسلمی شیرازی‏</w:t>
      </w:r>
    </w:p>
    <w:p>
      <w:pPr>
        <w:pStyle w:val="Heading3"/>
      </w:pPr>
      <w:bookmarkStart w:id="8961" w:name="_Toc7657"/>
      <w:r>
        <w:t>6768- دیوان مسلمی شیرازی أو شعره‏</w:t>
      </w:r>
      <w:bookmarkEnd w:id="8961"/>
    </w:p>
    <w:p>
      <w:pPr>
        <w:pStyle w:val="BookText"/>
      </w:pPr>
      <w:r>
        <w:rPr>
          <w:rFonts w:ascii="IRNazanin" w:hAnsi="IRNazanin" w:eastAsia="IRNazanin" w:cs="IRNazanin"/>
          <w:lang w:bidi="fa-IR"/>
          <w:color w:val="111111"/>
          <w:sz w:val="28"/>
          <w:szCs w:val="28"/>
          <w:rtl/>
        </w:rPr>
        <w:t xml:space="preserve">ترجمه و أورد شعره فی (هفت- ص 307) و راجع مسلمی أسفراینی‏</w:t>
      </w:r>
    </w:p>
    <w:p>
      <w:pPr>
        <w:pStyle w:val="Heading3"/>
      </w:pPr>
      <w:bookmarkStart w:id="8962" w:name="_Toc7658"/>
      <w:r>
        <w:t>6769- دیوان المسعودی‏</w:t>
      </w:r>
      <w:bookmarkEnd w:id="8962"/>
    </w:p>
    <w:p>
      <w:pPr>
        <w:pStyle w:val="BookText"/>
      </w:pPr>
      <w:r>
        <w:rPr>
          <w:rFonts w:ascii="IRNazanin" w:hAnsi="IRNazanin" w:eastAsia="IRNazanin" w:cs="IRNazanin"/>
          <w:lang w:bidi="fa-IR"/>
          <w:color w:val="111111"/>
          <w:sz w:val="28"/>
          <w:szCs w:val="28"/>
          <w:rtl/>
        </w:rPr>
        <w:t xml:space="preserve">الحسین بن محمد بن علی المسعودی. له قصائد فی مدیح النبی و الوصی، منها القصیدة الموسومة ب المواهب القدریة لفراغه من نظمها لیالی القدر 967 ثم سافر لزیارة المدینة فی المحرم 968 فأنشأها مقابل ضریح النبی و تلک القصائد ملحقة بآخر نسخه قواعد عقائد آل محمد من تألیف علماء الیمن الذی استنسخه المنصور بالله القاسم بن محمد المتوفی 1029 أولا ثم المستنسخ عن خطه موجود فی الخزانة (الرضویة).</w:t>
      </w:r>
    </w:p>
    <w:p>
      <w:pPr>
        <w:pStyle w:val="Heading3"/>
      </w:pPr>
      <w:bookmarkStart w:id="8963" w:name="_Toc7659"/>
      <w:r>
        <w:t>6770- دیوان مسیب باخرزی‏</w:t>
      </w:r>
      <w:bookmarkEnd w:id="8963"/>
    </w:p>
    <w:p>
      <w:pPr>
        <w:pStyle w:val="BookText"/>
      </w:pPr>
      <w:r>
        <w:rPr>
          <w:rFonts w:ascii="IRNazanin" w:hAnsi="IRNazanin" w:eastAsia="IRNazanin" w:cs="IRNazanin"/>
          <w:lang w:bidi="fa-IR"/>
          <w:color w:val="111111"/>
          <w:sz w:val="28"/>
          <w:szCs w:val="28"/>
          <w:rtl/>
        </w:rPr>
        <w:t xml:space="preserve">ترجمه فی (مجن 2- ص 216 و 52) و (حسینی- ص 318) و أورد شعره و ذکر سوء سریرته و فی بعض النسخ اسمه خواجه مست.</w:t>
      </w:r>
    </w:p>
    <w:p>
      <w:pPr>
        <w:pStyle w:val="Heading3"/>
      </w:pPr>
      <w:bookmarkStart w:id="8964" w:name="_Toc7660"/>
      <w:r>
        <w:t>6771- دیوان مسیب بیک أو شعره‏</w:t>
      </w:r>
      <w:bookmarkEnd w:id="8964"/>
    </w:p>
    <w:p>
      <w:pPr>
        <w:pStyle w:val="BookText"/>
      </w:pPr>
      <w:r>
        <w:rPr>
          <w:rFonts w:ascii="IRNazanin" w:hAnsi="IRNazanin" w:eastAsia="IRNazanin" w:cs="IRNazanin"/>
          <w:lang w:bidi="fa-IR"/>
          <w:color w:val="111111"/>
          <w:sz w:val="28"/>
          <w:szCs w:val="28"/>
          <w:rtl/>
        </w:rPr>
        <w:t xml:space="preserve">کان معاصر النصرآبادی. ترجمه و أطرأه فی (نر 2- ص 46) و أورد بعض أشعاره.</w:t>
      </w:r>
    </w:p>
    <w:p>
      <w:pPr>
        <w:pStyle w:val="Heading3"/>
      </w:pPr>
      <w:bookmarkStart w:id="8965" w:name="_Toc7661"/>
      <w:r>
        <w:t>6772- دیوان مسیب تکلو</w:t>
      </w:r>
      <w:bookmarkEnd w:id="8965"/>
    </w:p>
    <w:p>
      <w:pPr>
        <w:pStyle w:val="BookText"/>
      </w:pPr>
      <w:r>
        <w:rPr>
          <w:rFonts w:ascii="IRNazanin" w:hAnsi="IRNazanin" w:eastAsia="IRNazanin" w:cs="IRNazanin"/>
          <w:lang w:bidi="fa-IR"/>
          <w:color w:val="111111"/>
          <w:sz w:val="28"/>
          <w:szCs w:val="28"/>
          <w:rtl/>
        </w:rPr>
        <w:t xml:space="preserve">ابن شرف الدین أوغلی بیگلر بیگی فی هرات. ترجمه الصادقی فی (خص 3- ص 29) و أورد بعض أشعاره و أطرأه بأنه لا نظیر له فی أمراء دولة قزلباش (الشاه طهماسب) و قال فی (مع: ج 1- ص 56) إنه من أجل أمراء الشاه طهماسب، و أورد رباعیه و کذا فی (تش- ص 21).</w:t>
      </w:r>
    </w:p>
    <w:p>
      <w:pPr>
        <w:pStyle w:val="Heading3"/>
      </w:pPr>
      <w:bookmarkStart w:id="8966" w:name="_Toc7662"/>
      <w:r>
        <w:t>دیوان مسیب کاشانی‏</w:t>
      </w:r>
      <w:bookmarkEnd w:id="8966"/>
    </w:p>
    <w:p>
      <w:pPr>
        <w:pStyle w:val="BookText"/>
      </w:pPr>
      <w:r>
        <w:rPr>
          <w:rFonts w:ascii="IRNazanin" w:hAnsi="IRNazanin" w:eastAsia="IRNazanin" w:cs="IRNazanin"/>
          <w:lang w:bidi="fa-IR"/>
          <w:color w:val="111111"/>
          <w:sz w:val="28"/>
          <w:szCs w:val="28"/>
          <w:rtl/>
        </w:rPr>
        <w:t xml:space="preserve">هو ابن الحاج محمد الکاشانی المتخلص قانع کما مر فی ص 874.</w:t>
      </w:r>
    </w:p>
    <w:p>
      <w:pPr>
        <w:pStyle w:val="Heading3"/>
      </w:pPr>
      <w:bookmarkStart w:id="8967" w:name="_Toc7663"/>
      <w:r>
        <w:t>دیوان مسیحا</w:t>
      </w:r>
      <w:bookmarkEnd w:id="8967"/>
    </w:p>
    <w:p>
      <w:pPr>
        <w:pStyle w:val="BookText"/>
      </w:pPr>
      <w:r>
        <w:rPr>
          <w:rFonts w:ascii="IRNazanin" w:hAnsi="IRNazanin" w:eastAsia="IRNazanin" w:cs="IRNazanin"/>
          <w:lang w:bidi="fa-IR"/>
          <w:color w:val="111111"/>
          <w:sz w:val="28"/>
          <w:szCs w:val="28"/>
          <w:rtl/>
        </w:rPr>
        <w:t xml:space="preserve">راجع دیوان مسیح. لأن الألف للتفخیم أو النداء بالفارسیة.
</w:t>
      </w:r>
    </w:p>
    <w:p>
      <w:pPr>
        <w:sectPr>
          <w:footerReference w:type="default" r:id="rId1049"/>
          <w:footnotePr>
            <w:numStart w:val="1"/>
            <w:numRestart w:val="eachPage"/>
          </w:footnotePr>
          <w:pgSz w:orient="portrait" w:w="11905.511811023622" w:h="16837.79527559055"/>
          <w:pgMar w:top="1440" w:right="1440" w:bottom="1440" w:left="1440" w:header="720" w:footer="720" w:gutter="0"/>
          <w:cols w:num="1" w:space="720"/>
        </w:sectPr>
      </w:pPr>
    </w:p>
    <w:bookmarkStart w:id="1031" w:name="pg11704_122517"/>
    <w:bookmarkEnd w:id="1031"/>
    <w:p>
      <w:pPr>
        <w:pStyle w:val="Heading3"/>
      </w:pPr>
      <w:bookmarkStart w:id="8968" w:name="_Toc7664"/>
      <w:r>
        <w:t>6773- دیوان مسیح پانی‏پتی‏</w:t>
      </w:r>
      <w:bookmarkEnd w:id="8968"/>
    </w:p>
    <w:p>
      <w:pPr>
        <w:pStyle w:val="BookText"/>
      </w:pPr>
      <w:r>
        <w:rPr>
          <w:rFonts w:ascii="IRNazanin" w:hAnsi="IRNazanin" w:eastAsia="IRNazanin" w:cs="IRNazanin"/>
          <w:lang w:bidi="fa-IR"/>
          <w:color w:val="111111"/>
          <w:sz w:val="28"/>
          <w:szCs w:val="28"/>
          <w:rtl/>
        </w:rPr>
        <w:t xml:space="preserve">و اسمه الملا سعد الله الهندی نظم قصة رام و سیتا بالفارسیة عن الهندیة. أورد منها (سرخوش- ص 106) و عنه ظاهرا (حسینی- ص 325).</w:t>
      </w:r>
    </w:p>
    <w:p>
      <w:pPr>
        <w:pStyle w:val="Heading3"/>
      </w:pPr>
      <w:bookmarkStart w:id="8969" w:name="_Toc7665"/>
      <w:r>
        <w:t>6774- دیوان مسیح تبریزی أو شعره‏</w:t>
      </w:r>
      <w:bookmarkEnd w:id="8969"/>
    </w:p>
    <w:p>
      <w:pPr>
        <w:pStyle w:val="BookText"/>
      </w:pPr>
      <w:r>
        <w:rPr>
          <w:rFonts w:ascii="IRNazanin" w:hAnsi="IRNazanin" w:eastAsia="IRNazanin" w:cs="IRNazanin"/>
          <w:lang w:bidi="fa-IR"/>
          <w:color w:val="111111"/>
          <w:sz w:val="28"/>
          <w:szCs w:val="28"/>
          <w:rtl/>
        </w:rPr>
        <w:t xml:space="preserve">و اسمه محمد کاظم ابن أمین الطبیب التبریزی المتخلص مسیح کان معاصر الشاه طهماسب الثانی فی تبریز فی 1140 کما ترجمه و أورد شعره تربیت فی (دجا- ص 343). و کان حیا فی 1140.</w:t>
      </w:r>
    </w:p>
    <w:p>
      <w:pPr>
        <w:pStyle w:val="Heading3"/>
      </w:pPr>
      <w:bookmarkStart w:id="8970" w:name="_Toc7666"/>
      <w:r>
        <w:t>دیوان مسیح الزمانی‏</w:t>
      </w:r>
      <w:bookmarkEnd w:id="8970"/>
    </w:p>
    <w:p>
      <w:pPr>
        <w:pStyle w:val="BookText"/>
      </w:pPr>
      <w:r>
        <w:rPr>
          <w:rFonts w:ascii="IRNazanin" w:hAnsi="IRNazanin" w:eastAsia="IRNazanin" w:cs="IRNazanin"/>
          <w:lang w:bidi="fa-IR"/>
          <w:color w:val="111111"/>
          <w:sz w:val="28"/>
          <w:szCs w:val="28"/>
          <w:rtl/>
        </w:rPr>
        <w:t xml:space="preserve">راجع ضیاء الدین کاشانی فی ص 629.</w:t>
      </w:r>
    </w:p>
    <w:p>
      <w:pPr>
        <w:pStyle w:val="Heading3"/>
      </w:pPr>
      <w:bookmarkStart w:id="8971" w:name="_Toc7667"/>
      <w:r>
        <w:t>دیوان مسیح ساوجی‏</w:t>
      </w:r>
      <w:bookmarkEnd w:id="8971"/>
    </w:p>
    <w:p>
      <w:pPr>
        <w:pStyle w:val="BookText"/>
      </w:pPr>
      <w:r>
        <w:rPr>
          <w:rFonts w:ascii="IRNazanin" w:hAnsi="IRNazanin" w:eastAsia="IRNazanin" w:cs="IRNazanin"/>
          <w:lang w:bidi="fa-IR"/>
          <w:color w:val="111111"/>
          <w:sz w:val="28"/>
          <w:szCs w:val="28"/>
          <w:rtl/>
        </w:rPr>
        <w:t xml:space="preserve">کما فصله فی (تش- ص 221) مر فی ص 778 بعنوان عیسی ساوجی.</w:t>
      </w:r>
    </w:p>
    <w:p>
      <w:pPr>
        <w:pStyle w:val="Heading3"/>
      </w:pPr>
      <w:bookmarkStart w:id="8972" w:name="_Toc7668"/>
      <w:r>
        <w:t>دیوان مسیح شیرازی‏</w:t>
      </w:r>
      <w:bookmarkEnd w:id="8972"/>
    </w:p>
    <w:p>
      <w:pPr>
        <w:pStyle w:val="BookText"/>
      </w:pPr>
      <w:r>
        <w:rPr>
          <w:rFonts w:ascii="IRNazanin" w:hAnsi="IRNazanin" w:eastAsia="IRNazanin" w:cs="IRNazanin"/>
          <w:lang w:bidi="fa-IR"/>
          <w:color w:val="111111"/>
          <w:sz w:val="28"/>
          <w:szCs w:val="28"/>
          <w:rtl/>
        </w:rPr>
        <w:t xml:space="preserve">راجع دیوان عیسی شیرازی و معنی فسائی و ناطق شیرازی.</w:t>
      </w:r>
    </w:p>
    <w:p>
      <w:pPr>
        <w:pStyle w:val="Heading3"/>
      </w:pPr>
      <w:bookmarkStart w:id="8973" w:name="_Toc7669"/>
      <w:r>
        <w:t>دیوان مسیح فسائی‏</w:t>
      </w:r>
      <w:bookmarkEnd w:id="8973"/>
    </w:p>
    <w:p>
      <w:pPr>
        <w:pStyle w:val="BookText"/>
      </w:pPr>
      <w:r>
        <w:rPr>
          <w:rFonts w:ascii="IRNazanin" w:hAnsi="IRNazanin" w:eastAsia="IRNazanin" w:cs="IRNazanin"/>
          <w:lang w:bidi="fa-IR"/>
          <w:color w:val="111111"/>
          <w:sz w:val="28"/>
          <w:szCs w:val="28"/>
          <w:rtl/>
        </w:rPr>
        <w:t xml:space="preserve">راجع معنی فسائی.</w:t>
      </w:r>
    </w:p>
    <w:p>
      <w:pPr>
        <w:pStyle w:val="Heading3"/>
      </w:pPr>
      <w:bookmarkStart w:id="8974" w:name="_Toc7670"/>
      <w:r>
        <w:t>6775- دیوان مسیح قمی أو شعره‏</w:t>
      </w:r>
      <w:bookmarkEnd w:id="8974"/>
    </w:p>
    <w:p>
      <w:pPr>
        <w:pStyle w:val="BookText"/>
      </w:pPr>
      <w:r>
        <w:rPr>
          <w:rFonts w:ascii="IRNazanin" w:hAnsi="IRNazanin" w:eastAsia="IRNazanin" w:cs="IRNazanin"/>
          <w:lang w:bidi="fa-IR"/>
          <w:color w:val="111111"/>
          <w:sz w:val="28"/>
          <w:szCs w:val="28"/>
          <w:rtl/>
        </w:rPr>
        <w:t xml:space="preserve">ولد بقم و نشا بیزد. أورد شعره فی (گلشن- ص 407).</w:t>
      </w:r>
    </w:p>
    <w:p>
      <w:pPr>
        <w:pStyle w:val="Heading3"/>
      </w:pPr>
      <w:bookmarkStart w:id="8975" w:name="_Toc7671"/>
      <w:r>
        <w:t>دیوان مسیح قزوینی‏</w:t>
      </w:r>
      <w:bookmarkEnd w:id="8975"/>
    </w:p>
    <w:p>
      <w:pPr>
        <w:pStyle w:val="BookText"/>
      </w:pPr>
      <w:r>
        <w:rPr>
          <w:rFonts w:ascii="IRNazanin" w:hAnsi="IRNazanin" w:eastAsia="IRNazanin" w:cs="IRNazanin"/>
          <w:lang w:bidi="fa-IR"/>
          <w:color w:val="111111"/>
          <w:sz w:val="28"/>
          <w:szCs w:val="28"/>
          <w:rtl/>
        </w:rPr>
        <w:t xml:space="preserve">کما فی هدیة العارفین 1: 810 مر بعنوان عیسی ساوجی.</w:t>
      </w:r>
    </w:p>
    <w:p>
      <w:pPr>
        <w:pStyle w:val="Heading3"/>
      </w:pPr>
      <w:bookmarkStart w:id="8976" w:name="_Toc7672"/>
      <w:r>
        <w:t>6776- دیوان مسیح کاشانی‏</w:t>
      </w:r>
      <w:bookmarkEnd w:id="8976"/>
    </w:p>
    <w:p>
      <w:pPr>
        <w:pStyle w:val="BookText"/>
      </w:pPr>
      <w:r>
        <w:rPr>
          <w:rFonts w:ascii="IRNazanin" w:hAnsi="IRNazanin" w:eastAsia="IRNazanin" w:cs="IRNazanin"/>
          <w:lang w:bidi="fa-IR"/>
          <w:color w:val="111111"/>
          <w:sz w:val="28"/>
          <w:szCs w:val="28"/>
          <w:rtl/>
        </w:rPr>
        <w:t xml:space="preserve">و هو الحکیم رکن الدین مسعود بن الحکیم نظام الدین علی الشیرازی الأصل الطبیب المشهور حکیم رکنا و المتخلص مسیح و مسیحا و مسیحی کما فی سرو آزاد- ص 89 و أخوه حکیم قطبا. ولد مسیح بکاشان و تربی بها، ثم تقرب عند الشاه عباس و کان الشاه ینزل عنده کما فی (خز- ص 412) و بأمر الشاه نظم جواب دیوان فغانی کل غزل بغزل، و کان یکثر من شرب الخمر فی شبابه. ثم سخط علیه الشاه و أخرجه من إیران فسافر إلی الهند و قال فی خروجه و ذم الشاه:</w:t>
      </w:r>
    </w:p>
    <w:p>
      <w:pPr>
        <w:pStyle w:val="BookText"/>
      </w:pPr>
      <w:r>
        <w:rPr>
          <w:rFonts w:ascii="IRNazanin" w:hAnsi="IRNazanin" w:eastAsia="IRNazanin" w:cs="IRNazanin"/>
          <w:lang w:bidi="fa-IR"/>
          <w:color w:val="111111"/>
          <w:sz w:val="28"/>
          <w:szCs w:val="28"/>
          <w:rtl/>
        </w:rPr>
        <w:t xml:space="preserve">گر فلک یک صبحدم با من گران باشد سرش‏</w:t>
      </w:r>
    </w:p>
    <w:p>
      <w:pPr>
        <w:pStyle w:val="BookText"/>
      </w:pPr>
      <w:r>
        <w:rPr>
          <w:rFonts w:ascii="IRNazanin" w:hAnsi="IRNazanin" w:eastAsia="IRNazanin" w:cs="IRNazanin"/>
          <w:lang w:bidi="fa-IR"/>
          <w:color w:val="111111"/>
          <w:sz w:val="28"/>
          <w:szCs w:val="28"/>
          <w:rtl/>
        </w:rPr>
        <w:t xml:space="preserve">شام بیرون می‏روم چون آفتاب از کشورش‏</w:t>
      </w:r>
    </w:p>
    <w:p>
      <w:pPr>
        <w:pStyle w:val="BookText"/>
      </w:pPr>
      <w:r>
        <w:rPr>
          <w:rFonts w:ascii="IRNazanin" w:hAnsi="IRNazanin" w:eastAsia="IRNazanin" w:cs="IRNazanin"/>
          <w:lang w:bidi="fa-IR"/>
          <w:color w:val="111111"/>
          <w:sz w:val="28"/>
          <w:szCs w:val="28"/>
          <w:rtl/>
        </w:rPr>
        <w:t xml:space="preserve">و قال بعض فی خروج مسیحا عن إیران:
</w:t>
      </w:r>
    </w:p>
    <w:p>
      <w:pPr>
        <w:sectPr>
          <w:footerReference w:type="default" r:id="rId10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گوهری بفروخت ایران آخر از بی‏جوهری‏</w:t>
      </w:r>
    </w:p>
    <w:p>
      <w:pPr>
        <w:pStyle w:val="BookText"/>
      </w:pPr>
      <w:r>
        <w:rPr>
          <w:rFonts w:ascii="IRNazanin" w:hAnsi="IRNazanin" w:eastAsia="IRNazanin" w:cs="IRNazanin"/>
          <w:lang w:bidi="fa-IR"/>
          <w:color w:val="111111"/>
          <w:sz w:val="28"/>
          <w:szCs w:val="28"/>
          <w:rtl/>
        </w:rPr>
        <w:t xml:space="preserve">کز شرف شد پنجه خورشید دست مشتری‏</w:t>
      </w:r>
    </w:p>
    <w:p>
      <w:pPr>
        <w:pStyle w:val="BookText"/>
      </w:pPr>
      <w:r>
        <w:rPr>
          <w:rFonts w:ascii="IRNazanin" w:hAnsi="IRNazanin" w:eastAsia="IRNazanin" w:cs="IRNazanin"/>
          <w:lang w:bidi="fa-IR"/>
          <w:color w:val="111111"/>
          <w:sz w:val="28"/>
          <w:szCs w:val="28"/>
          <w:rtl/>
        </w:rPr>
        <w:t xml:space="preserve">فجاء إلی الهند و تقرب عند آصف جاه و جلال الدین أکبر شاه و لعزة نفسه و علو همته لم یداوم. و لازم السلطان سلیم فی الله‏آباد، و لم یبق أیضا و فر إلی دکن و تقرب عند ملکها و لکنه لم یداوم أیضا، فلبس لباس الفقر و ساح البلاد. کذا فی میخانه و قال فیه: إنی رأیته فی 1023 فی أجمیر و استکتبت دیوانه لمکتبة مهابت خان و قابلته و بقی بإجمیر مدة سنتین. ثم لازم الملک جهانگیر پادشاه فی 1028 و قال فی (خز- ص 413) إنه فی 1041 سافر من الهند إلی الحج و رجع إلی مشهد خراسان ثم کاشان ثم أصفهان و لما لم یکرمه الشاه صفی سافر إلی شیراز ثم رجع إلی کاشان و مات بها فی 1066 و قال مسیحا معانی (معنی فسائی) فی تاریخه [رفت بسوی فلک باز مسیح دوم‏] و ترجم أیضا فی همیشه بهار و (گلشن- 408) و (حسینی- ص 324) و (سرخوش- ص 106) و (تش- ص 252) و (نتایج- ص 640- 643) و فی (خص 4- ص 53) بعنوان مسیحی و ترجم أحواله مفصلا حسین پژمان فی مجلة أرمغان: ج 13 و ج 17. له مثنوی مجموعة خیال نظمه فی قبال خسرو و شیرین للنظامی فی ألفی بیت، و جمع أشعاره فی خمسة و عشرین ألف بیت فی إیران و دیوانه الثانی فی الهند، و یشتمل علی خمسة آلاف کما فی میخانه- ص 365 و قال النصرآبادی فی (نر 9- ص 214) إن أشعاره فی مائة ألف بیت فی عشرة دواوین، و نقل ریو فی الفهرس (ص 688) عن میرزا أمینا أن مسیح کان ینظم فی 1047 دیوانه الثامن أقول یوجد دیوانه الرابع و مثنویة فی مکتبة بانکی‏پور کما فی فهرسها (ج 3 ص 107) و دیوانه السادس فی المتحف البریطانی کما فی حواشی میخانه (ص 368) و کان نسخه الکلیات المشتملة علی خمسة دواوین و علیها خطوط الناظم و إصلاحاته و یزید علی ستین ألف بیت، عند وحید الدستگردی مدیر مجلة أرمغان، و طبع فی المجلة ج 8- ص 120- 122 منظومة قضا و قدر لهذا الحکیم. و کتب لنا السید شهاب الدین من قم أن دیوان الحکیم و کتابه طب حکیم رکنا موجود عنده” السید شهاب الدین” و نسخه کاملة عند علی‏یار صفراف بباکو یهیئها للطبع هناک. و أورد النصرآبادی نظمه لوقعة یوسف ترکش دوز و شاه عباس أقول: و لآخوندزاده فتح علی القفقازی (1812-
</w:t>
      </w:r>
    </w:p>
    <w:p>
      <w:pPr>
        <w:sectPr>
          <w:footerReference w:type="default" r:id="rId1051"/>
          <w:footnotePr>
            <w:numStart w:val="1"/>
            <w:numRestart w:val="eachPage"/>
          </w:footnotePr>
          <w:pgSz w:orient="portrait" w:w="11905.511811023622" w:h="16837.79527559055"/>
          <w:pgMar w:top="1440" w:right="1440" w:bottom="1440" w:left="1440" w:header="720" w:footer="720" w:gutter="0"/>
          <w:cols w:num="1" w:space="720"/>
        </w:sectPr>
      </w:pPr>
    </w:p>
    <w:bookmarkStart w:id="1032" w:name="pg11704_122519"/>
    <w:bookmarkEnd w:id="1032"/>
    <w:p>
      <w:pPr>
        <w:pStyle w:val="BookText"/>
      </w:pPr>
      <w:r>
        <w:rPr>
          <w:rFonts w:ascii="IRNazanin" w:hAnsi="IRNazanin" w:eastAsia="IRNazanin" w:cs="IRNazanin"/>
          <w:lang w:bidi="fa-IR"/>
          <w:color w:val="111111"/>
          <w:sz w:val="28"/>
          <w:szCs w:val="28"/>
          <w:rtl/>
        </w:rPr>
        <w:t xml:space="preserve">1877 م) أیضا روایة تمثیلیة باسم تاریخ یوسف شاه عن هذه القضیة.</w:t>
      </w:r>
    </w:p>
    <w:p>
      <w:pPr>
        <w:pStyle w:val="Heading3"/>
      </w:pPr>
      <w:bookmarkStart w:id="8977" w:name="_Toc7673"/>
      <w:r>
        <w:t>دیوان مسیح کاشانی‏</w:t>
      </w:r>
      <w:bookmarkEnd w:id="8977"/>
    </w:p>
    <w:p>
      <w:pPr>
        <w:pStyle w:val="BookText"/>
      </w:pPr>
      <w:r>
        <w:rPr>
          <w:rFonts w:ascii="IRNazanin" w:hAnsi="IRNazanin" w:eastAsia="IRNazanin" w:cs="IRNazanin"/>
          <w:lang w:bidi="fa-IR"/>
          <w:color w:val="111111"/>
          <w:sz w:val="28"/>
          <w:szCs w:val="28"/>
          <w:rtl/>
        </w:rPr>
        <w:t xml:space="preserve">مر بعنوان صاحب کاشانی فی ص 576.</w:t>
      </w:r>
    </w:p>
    <w:p>
      <w:pPr>
        <w:pStyle w:val="Heading3"/>
      </w:pPr>
      <w:bookmarkStart w:id="8978" w:name="_Toc7674"/>
      <w:r>
        <w:t>6777- دیوان مسیح هندی أو شعره‏</w:t>
      </w:r>
      <w:bookmarkEnd w:id="8978"/>
    </w:p>
    <w:p>
      <w:pPr>
        <w:pStyle w:val="BookText"/>
      </w:pPr>
      <w:r>
        <w:rPr>
          <w:rFonts w:ascii="IRNazanin" w:hAnsi="IRNazanin" w:eastAsia="IRNazanin" w:cs="IRNazanin"/>
          <w:lang w:bidi="fa-IR"/>
          <w:color w:val="111111"/>
          <w:sz w:val="28"/>
          <w:szCs w:val="28"/>
          <w:rtl/>
        </w:rPr>
        <w:t xml:space="preserve">و اسمه زنبیل بیگ کان معاصر شاه‏جهان.</w:t>
      </w:r>
    </w:p>
    <w:p>
      <w:pPr>
        <w:pStyle w:val="BookText"/>
      </w:pPr>
      <w:r>
        <w:rPr>
          <w:rFonts w:ascii="IRNazanin" w:hAnsi="IRNazanin" w:eastAsia="IRNazanin" w:cs="IRNazanin"/>
          <w:lang w:bidi="fa-IR"/>
          <w:color w:val="111111"/>
          <w:sz w:val="28"/>
          <w:szCs w:val="28"/>
          <w:rtl/>
        </w:rPr>
        <w:t xml:space="preserve">أورد شعره فی (گلشن- ص 407).</w:t>
      </w:r>
    </w:p>
    <w:p>
      <w:pPr>
        <w:pStyle w:val="Heading3"/>
      </w:pPr>
      <w:bookmarkStart w:id="8979" w:name="_Toc7675"/>
      <w:r>
        <w:t>6778- دیوان مسیحی رازی‏</w:t>
      </w:r>
      <w:bookmarkEnd w:id="8979"/>
    </w:p>
    <w:p>
      <w:pPr>
        <w:pStyle w:val="BookText"/>
      </w:pPr>
      <w:r>
        <w:rPr>
          <w:rFonts w:ascii="IRNazanin" w:hAnsi="IRNazanin" w:eastAsia="IRNazanin" w:cs="IRNazanin"/>
          <w:lang w:bidi="fa-IR"/>
          <w:color w:val="111111"/>
          <w:sz w:val="28"/>
          <w:szCs w:val="28"/>
          <w:rtl/>
        </w:rPr>
        <w:t xml:space="preserve">هو الأخ الأصغر لمنصف الکاشف و من شعراء القرن الحادی عشر ترجمه و أورد شعره فی (خوش‏گو) و قال سنگلاخ فی (امتحان- 1: 114) إنه رأی دیوانه بخط محمد ابریشمی.</w:t>
      </w:r>
    </w:p>
    <w:p>
      <w:pPr>
        <w:pStyle w:val="Heading3"/>
      </w:pPr>
      <w:bookmarkStart w:id="8980" w:name="_Toc7676"/>
      <w:r>
        <w:t>6779- دیوان مسیحی فوشنجی أو شعره‏</w:t>
      </w:r>
      <w:bookmarkEnd w:id="8980"/>
    </w:p>
    <w:p>
      <w:pPr>
        <w:pStyle w:val="BookText"/>
      </w:pPr>
      <w:r>
        <w:rPr>
          <w:rFonts w:ascii="IRNazanin" w:hAnsi="IRNazanin" w:eastAsia="IRNazanin" w:cs="IRNazanin"/>
          <w:lang w:bidi="fa-IR"/>
          <w:color w:val="111111"/>
          <w:sz w:val="28"/>
          <w:szCs w:val="28"/>
          <w:rtl/>
        </w:rPr>
        <w:t xml:space="preserve">ذهب إلی الحج. ترجمه و أورد شعره فی (مجن- ص 22 و 196) و فی بعض النسخ شیخی.</w:t>
      </w:r>
    </w:p>
    <w:p>
      <w:pPr>
        <w:pStyle w:val="Heading3"/>
      </w:pPr>
      <w:bookmarkStart w:id="8981" w:name="_Toc7677"/>
      <w:r>
        <w:t>دیوان مسیحی کاشانی‏</w:t>
      </w:r>
      <w:bookmarkEnd w:id="8981"/>
    </w:p>
    <w:p>
      <w:pPr>
        <w:pStyle w:val="BookText"/>
      </w:pPr>
      <w:r>
        <w:rPr>
          <w:rFonts w:ascii="IRNazanin" w:hAnsi="IRNazanin" w:eastAsia="IRNazanin" w:cs="IRNazanin"/>
          <w:lang w:bidi="fa-IR"/>
          <w:color w:val="111111"/>
          <w:sz w:val="28"/>
          <w:szCs w:val="28"/>
          <w:rtl/>
        </w:rPr>
        <w:t xml:space="preserve">و هو الحکیم رکنا المذکور بعنوان مسیح کاشانی. ذکره الصادقی فی (خص 4- ص 53) و أورد ستین بیتا من مثنویة خسرو و شیرین.</w:t>
      </w:r>
    </w:p>
    <w:p>
      <w:pPr>
        <w:pStyle w:val="Heading3"/>
      </w:pPr>
      <w:bookmarkStart w:id="8982" w:name="_Toc7678"/>
      <w:r>
        <w:t>6780- دیوان مشتاق أحمدآبادی أو شعره‏</w:t>
      </w:r>
      <w:bookmarkEnd w:id="8982"/>
    </w:p>
    <w:p>
      <w:pPr>
        <w:pStyle w:val="BookText"/>
      </w:pPr>
      <w:r>
        <w:rPr>
          <w:rFonts w:ascii="IRNazanin" w:hAnsi="IRNazanin" w:eastAsia="IRNazanin" w:cs="IRNazanin"/>
          <w:lang w:bidi="fa-IR"/>
          <w:color w:val="111111"/>
          <w:sz w:val="28"/>
          <w:szCs w:val="28"/>
          <w:rtl/>
        </w:rPr>
        <w:t xml:space="preserve">و اسمه المیرزا محمد رضا. کان من سادات أحمدآباد أصفهان و معاصر الشاه السلطان حسین الصفوی و بعده. ترجمه و أورد شعره فی (گلشن- ص 413) و (مسرت- ص 479) راجع مشتاق کشمیری.</w:t>
      </w:r>
    </w:p>
    <w:p>
      <w:pPr>
        <w:pStyle w:val="Heading3"/>
      </w:pPr>
      <w:bookmarkStart w:id="8983" w:name="_Toc7679"/>
      <w:r>
        <w:t>6781- دیوان مشتاق أصفهانی‏</w:t>
      </w:r>
      <w:bookmarkEnd w:id="8983"/>
    </w:p>
    <w:p>
      <w:pPr>
        <w:pStyle w:val="BookText"/>
      </w:pPr>
      <w:r>
        <w:rPr>
          <w:rFonts w:ascii="IRNazanin" w:hAnsi="IRNazanin" w:eastAsia="IRNazanin" w:cs="IRNazanin"/>
          <w:lang w:bidi="fa-IR"/>
          <w:color w:val="111111"/>
          <w:sz w:val="28"/>
          <w:szCs w:val="28"/>
          <w:rtl/>
        </w:rPr>
        <w:t xml:space="preserve">راجع دیوان مشتاق أحمدآبادی و قال فی (گلشن- ص 413) إن مشتاق تخلص لمجلسی الأصفهانی محمد باقر بن محمد تقی المذکور جده مقصود علی فی ص 966 و کذا تربیت فی مقال له فی مجلة أرمغان 13: 372.</w:t>
      </w:r>
    </w:p>
    <w:p>
      <w:pPr>
        <w:pStyle w:val="Heading3"/>
      </w:pPr>
      <w:bookmarkStart w:id="8984" w:name="_Toc7680"/>
      <w:r>
        <w:t>6782- دیوان مشتاق أصفهانی‏</w:t>
      </w:r>
      <w:bookmarkEnd w:id="8984"/>
    </w:p>
    <w:p>
      <w:pPr>
        <w:pStyle w:val="BookText"/>
      </w:pPr>
      <w:r>
        <w:rPr>
          <w:rFonts w:ascii="IRNazanin" w:hAnsi="IRNazanin" w:eastAsia="IRNazanin" w:cs="IRNazanin"/>
          <w:lang w:bidi="fa-IR"/>
          <w:color w:val="111111"/>
          <w:sz w:val="28"/>
          <w:szCs w:val="28"/>
          <w:rtl/>
        </w:rPr>
        <w:t xml:space="preserve">و هو المیر علی الحسینی من سادات عباس‏آباد أصفهان و توفی 1171 کما قال رفیق الأصفهانی فی تاریخه:</w:t>
      </w:r>
    </w:p>
    <w:p>
      <w:pPr>
        <w:pStyle w:val="BookText"/>
      </w:pPr>
      <w:r>
        <w:rPr>
          <w:rFonts w:ascii="IRNazanin" w:hAnsi="IRNazanin" w:eastAsia="IRNazanin" w:cs="IRNazanin"/>
          <w:lang w:bidi="fa-IR"/>
          <w:color w:val="111111"/>
          <w:sz w:val="28"/>
          <w:szCs w:val="28"/>
          <w:rtl/>
        </w:rPr>
        <w:t xml:space="preserve">بهر تاریخ أو نوشت رفیق‏</w:t>
      </w:r>
    </w:p>
    <w:p>
      <w:pPr>
        <w:pStyle w:val="BookText"/>
      </w:pPr>
      <w:r>
        <w:rPr>
          <w:rFonts w:ascii="IRNazanin" w:hAnsi="IRNazanin" w:eastAsia="IRNazanin" w:cs="IRNazanin"/>
          <w:lang w:bidi="fa-IR"/>
          <w:color w:val="111111"/>
          <w:sz w:val="28"/>
          <w:szCs w:val="28"/>
          <w:rtl/>
        </w:rPr>
        <w:t xml:space="preserve">جای مشتاق در جنان بادا</w:t>
      </w:r>
    </w:p>
    <w:p>
      <w:pPr>
        <w:pStyle w:val="BookText"/>
      </w:pPr>
      <w:r>
        <w:rPr>
          <w:rFonts w:ascii="IRNazanin" w:hAnsi="IRNazanin" w:eastAsia="IRNazanin" w:cs="IRNazanin"/>
          <w:lang w:bidi="fa-IR"/>
          <w:color w:val="111111"/>
          <w:sz w:val="28"/>
          <w:szCs w:val="28"/>
          <w:rtl/>
        </w:rPr>
        <w:t xml:space="preserve">کان أستاذ آذر بیگدلی و عاشق أصفهانی و هاتف و صهبا قال آذر فی (تش- ص 409) إنه جمع دیوان أستاذه مع زمیلیه هاتف و صهبا، و قال الفاضل الگروسی فی (انجمن 4) أن دیوانه فی ستة آلاف بیت و فی (تعا- ص 138) أنه فی أربعة آلاف بیت یوجد منه نسختان فی (سپهسالار) کما فی فهرسها 2: 679 و فی (المجلس) کما فی فهرسها 3: 414 و (فخر الدین النصیری) و (الملک) و طبعها حسین مکی مع مقدمه مفصلة فی أحواله‏
</w:t>
      </w:r>
    </w:p>
    <w:p>
      <w:pPr>
        <w:sectPr>
          <w:footerReference w:type="default" r:id="rId1052"/>
          <w:footnotePr>
            <w:numStart w:val="1"/>
            <w:numRestart w:val="eachPage"/>
          </w:footnotePr>
          <w:pgSz w:orient="portrait" w:w="11905.511811023622" w:h="16837.79527559055"/>
          <w:pgMar w:top="1440" w:right="1440" w:bottom="1440" w:left="1440" w:header="720" w:footer="720" w:gutter="0"/>
          <w:cols w:num="1" w:space="720"/>
        </w:sectPr>
      </w:pPr>
    </w:p>
    <w:bookmarkStart w:id="1033" w:name="pg11704_122520"/>
    <w:bookmarkEnd w:id="1033"/>
    <w:p>
      <w:pPr>
        <w:pStyle w:val="BookText"/>
      </w:pPr>
      <w:r>
        <w:rPr>
          <w:rFonts w:ascii="IRNazanin" w:hAnsi="IRNazanin" w:eastAsia="IRNazanin" w:cs="IRNazanin"/>
          <w:lang w:bidi="fa-IR"/>
          <w:color w:val="111111"/>
          <w:sz w:val="28"/>
          <w:szCs w:val="28"/>
          <w:rtl/>
        </w:rPr>
        <w:t xml:space="preserve">فی 24+ 205 ص بطهران و ترجم أیضا فی (مع 2: 444) و (نتایج- ص 664)</w:t>
      </w:r>
    </w:p>
    <w:p>
      <w:pPr>
        <w:pStyle w:val="Heading3"/>
      </w:pPr>
      <w:bookmarkStart w:id="8985" w:name="_Toc7681"/>
      <w:r>
        <w:t>6783- دیوان مشتاق تویسرکانی أو شعره‏</w:t>
      </w:r>
      <w:bookmarkEnd w:id="8985"/>
    </w:p>
    <w:p>
      <w:pPr>
        <w:pStyle w:val="BookText"/>
      </w:pPr>
      <w:r>
        <w:rPr>
          <w:rFonts w:ascii="IRNazanin" w:hAnsi="IRNazanin" w:eastAsia="IRNazanin" w:cs="IRNazanin"/>
          <w:lang w:bidi="fa-IR"/>
          <w:color w:val="111111"/>
          <w:sz w:val="28"/>
          <w:szCs w:val="28"/>
          <w:rtl/>
        </w:rPr>
        <w:t xml:space="preserve">اسمه المیرزا نصیر ولد بتویسرکان بأصفهان و کان یتلمذ علی المحقق الخوانساری فی مدرسة جده ترجمه و أورد شعره النصرآبادی فی (نر 6- ص 196) و (گلشن- ص 413)</w:t>
      </w:r>
    </w:p>
    <w:p>
      <w:pPr>
        <w:pStyle w:val="Heading3"/>
      </w:pPr>
      <w:bookmarkStart w:id="8986" w:name="_Toc7682"/>
      <w:r>
        <w:t>6784- دیوان مشتاق دهلوی أو شعره‏</w:t>
      </w:r>
      <w:bookmarkEnd w:id="8986"/>
    </w:p>
    <w:p>
      <w:pPr>
        <w:pStyle w:val="BookText"/>
      </w:pPr>
      <w:r>
        <w:rPr>
          <w:rFonts w:ascii="IRNazanin" w:hAnsi="IRNazanin" w:eastAsia="IRNazanin" w:cs="IRNazanin"/>
          <w:lang w:bidi="fa-IR"/>
          <w:color w:val="111111"/>
          <w:sz w:val="28"/>
          <w:szCs w:val="28"/>
          <w:rtl/>
        </w:rPr>
        <w:t xml:space="preserve">و اسمه السید خیرات علی سکن فیض‏آباد و تلمذ علی الشیخ علی الحزین و مات عن ستین سنة من عمره فی 1260 کما فی (گلشن- ص 411) و هذا غلط، فإن الحزین مات 1181</w:t>
      </w:r>
    </w:p>
    <w:p>
      <w:pPr>
        <w:pStyle w:val="Heading3"/>
      </w:pPr>
      <w:bookmarkStart w:id="8987" w:name="_Toc7683"/>
      <w:r>
        <w:t>6785- دیوان مشتاق شوشتری أو شعره‏</w:t>
      </w:r>
      <w:bookmarkEnd w:id="8987"/>
    </w:p>
    <w:p>
      <w:pPr>
        <w:pStyle w:val="BookText"/>
      </w:pPr>
      <w:r>
        <w:rPr>
          <w:rFonts w:ascii="IRNazanin" w:hAnsi="IRNazanin" w:eastAsia="IRNazanin" w:cs="IRNazanin"/>
          <w:lang w:bidi="fa-IR"/>
          <w:color w:val="111111"/>
          <w:sz w:val="28"/>
          <w:szCs w:val="28"/>
          <w:rtl/>
        </w:rPr>
        <w:t xml:space="preserve">کان من معاصری الخواجة عبد المحمد زائر شوشتری و مات فی عهد حکومة عبد الله خان حاکم شوشتر کما ذکر فی تذکره شوشتر- ص 142</w:t>
      </w:r>
    </w:p>
    <w:p>
      <w:pPr>
        <w:pStyle w:val="Heading3"/>
      </w:pPr>
      <w:bookmarkStart w:id="8988" w:name="_Toc7684"/>
      <w:r>
        <w:t>دیوان مشتاق شیرازی‏</w:t>
      </w:r>
      <w:bookmarkEnd w:id="8988"/>
    </w:p>
    <w:p>
      <w:pPr>
        <w:pStyle w:val="BookText"/>
      </w:pPr>
      <w:r>
        <w:rPr>
          <w:rFonts w:ascii="IRNazanin" w:hAnsi="IRNazanin" w:eastAsia="IRNazanin" w:cs="IRNazanin"/>
          <w:lang w:bidi="fa-IR"/>
          <w:color w:val="111111"/>
          <w:sz w:val="28"/>
          <w:szCs w:val="28"/>
          <w:rtl/>
        </w:rPr>
        <w:t xml:space="preserve">راجع مشتاقی شیرازی‏</w:t>
      </w:r>
    </w:p>
    <w:p>
      <w:pPr>
        <w:pStyle w:val="Heading3"/>
      </w:pPr>
      <w:bookmarkStart w:id="8989" w:name="_Toc7685"/>
      <w:r>
        <w:t>6786- دیوان مشتاق علی شاه أو شعره‏</w:t>
      </w:r>
      <w:bookmarkEnd w:id="8989"/>
    </w:p>
    <w:p>
      <w:pPr>
        <w:pStyle w:val="BookText"/>
      </w:pPr>
      <w:r>
        <w:rPr>
          <w:rFonts w:ascii="IRNazanin" w:hAnsi="IRNazanin" w:eastAsia="IRNazanin" w:cs="IRNazanin"/>
          <w:lang w:bidi="fa-IR"/>
          <w:color w:val="111111"/>
          <w:sz w:val="28"/>
          <w:szCs w:val="28"/>
          <w:rtl/>
        </w:rPr>
        <w:t xml:space="preserve">هذا التخلص لمیرزا محمد التربتی الأصل الأصفهانی المولد العارف الصوفی المقتول بکرمان بأمر المولی عبد الله الواعظ فی 1206 و کان أمیا و قد نظم مریده المیرزا محمد تقی بن کاظم الکرمانی الملقب بمظفر علی شاه باسمه دیوانا سماه دیوان مشتاقیه کما یأتی‏</w:t>
      </w:r>
    </w:p>
    <w:p>
      <w:pPr>
        <w:pStyle w:val="Heading3"/>
      </w:pPr>
      <w:bookmarkStart w:id="8990" w:name="_Toc7686"/>
      <w:r>
        <w:t>6787- دیوان مشتاق کشمیری أو شعره‏</w:t>
      </w:r>
      <w:bookmarkEnd w:id="8990"/>
    </w:p>
    <w:p>
      <w:pPr>
        <w:pStyle w:val="BookText"/>
      </w:pPr>
      <w:r>
        <w:rPr>
          <w:rFonts w:ascii="IRNazanin" w:hAnsi="IRNazanin" w:eastAsia="IRNazanin" w:cs="IRNazanin"/>
          <w:lang w:bidi="fa-IR"/>
          <w:color w:val="111111"/>
          <w:sz w:val="28"/>
          <w:szCs w:val="28"/>
          <w:rtl/>
        </w:rPr>
        <w:t xml:space="preserve">و اسمه محمد رضا کان خطاطا شاعرا بدهلی فی عهد محمد شاه الهندی و نادر شاه ترجمه و أورد شعره (حسینی- ص 327) و (گلشن- ص 411) و راجع مشتاق أحمدآبادی‏</w:t>
      </w:r>
    </w:p>
    <w:p>
      <w:pPr>
        <w:pStyle w:val="Heading3"/>
      </w:pPr>
      <w:bookmarkStart w:id="8991" w:name="_Toc7687"/>
      <w:r>
        <w:t>6788- دیوان مشتاق لاهوری أو شعره‏</w:t>
      </w:r>
      <w:bookmarkEnd w:id="8991"/>
    </w:p>
    <w:p>
      <w:pPr>
        <w:pStyle w:val="BookText"/>
      </w:pPr>
      <w:r>
        <w:rPr>
          <w:rFonts w:ascii="IRNazanin" w:hAnsi="IRNazanin" w:eastAsia="IRNazanin" w:cs="IRNazanin"/>
          <w:lang w:bidi="fa-IR"/>
          <w:color w:val="111111"/>
          <w:sz w:val="28"/>
          <w:szCs w:val="28"/>
          <w:rtl/>
        </w:rPr>
        <w:t xml:space="preserve">کان صوفیا تلمذ علی آفرین لاهوری أورد شعره فی (گلشن- ص 412) و عنه فی القاموس الترکی‏</w:t>
      </w:r>
    </w:p>
    <w:p>
      <w:pPr>
        <w:pStyle w:val="Heading3"/>
      </w:pPr>
      <w:bookmarkStart w:id="8992" w:name="_Toc7688"/>
      <w:r>
        <w:t>6789- دیوان مشتاق هندی أو شعره‏</w:t>
      </w:r>
      <w:bookmarkEnd w:id="8992"/>
    </w:p>
    <w:p>
      <w:pPr>
        <w:pStyle w:val="BookText"/>
      </w:pPr>
      <w:r>
        <w:rPr>
          <w:rFonts w:ascii="IRNazanin" w:hAnsi="IRNazanin" w:eastAsia="IRNazanin" w:cs="IRNazanin"/>
          <w:lang w:bidi="fa-IR"/>
          <w:color w:val="111111"/>
          <w:sz w:val="28"/>
          <w:szCs w:val="28"/>
          <w:rtl/>
        </w:rPr>
        <w:t xml:space="preserve">و اسمه آخوند محمد باقر ترجمه (سرخوش- ص 111) و عنه (حسینی- ص 324) و قالا کان یتخلص سابقا مناسب و أوردا شعره‏</w:t>
      </w:r>
    </w:p>
    <w:p>
      <w:pPr>
        <w:pStyle w:val="Heading3"/>
      </w:pPr>
      <w:bookmarkStart w:id="8993" w:name="_Toc7689"/>
      <w:r>
        <w:t>6790- دیوان مشتاق یزدی‏</w:t>
      </w:r>
      <w:bookmarkEnd w:id="8993"/>
    </w:p>
    <w:p>
      <w:pPr>
        <w:pStyle w:val="BookText"/>
      </w:pPr>
      <w:r>
        <w:rPr>
          <w:rFonts w:ascii="IRNazanin" w:hAnsi="IRNazanin" w:eastAsia="IRNazanin" w:cs="IRNazanin"/>
          <w:lang w:bidi="fa-IR"/>
          <w:color w:val="111111"/>
          <w:sz w:val="28"/>
          <w:szCs w:val="28"/>
          <w:rtl/>
        </w:rPr>
        <w:t xml:space="preserve">هو التخلص الأخیر للسید المیر علی المدرس الکبیر ابن السید علی رضا بن زین العابدین بن محمد المذکور فی 2: 301 ترجمه فی آیینه دانشوران- ص 29- 31 و أورد تمام نسبه، و ذکر أنه کان یتخلص أوائل أمره شائق‏
</w:t>
      </w:r>
    </w:p>
    <w:p>
      <w:pPr>
        <w:sectPr>
          <w:footerReference w:type="default" r:id="rId1053"/>
          <w:footnotePr>
            <w:numStart w:val="1"/>
            <w:numRestart w:val="eachPage"/>
          </w:footnotePr>
          <w:pgSz w:orient="portrait" w:w="11905.511811023622" w:h="16837.79527559055"/>
          <w:pgMar w:top="1440" w:right="1440" w:bottom="1440" w:left="1440" w:header="720" w:footer="720" w:gutter="0"/>
          <w:cols w:num="1" w:space="720"/>
        </w:sectPr>
      </w:pPr>
    </w:p>
    <w:bookmarkStart w:id="1034" w:name="pg11704_122521"/>
    <w:bookmarkEnd w:id="1034"/>
    <w:p>
      <w:pPr>
        <w:pStyle w:val="BookText"/>
      </w:pPr>
      <w:r>
        <w:rPr>
          <w:rFonts w:ascii="IRNazanin" w:hAnsi="IRNazanin" w:eastAsia="IRNazanin" w:cs="IRNazanin"/>
          <w:lang w:bidi="fa-IR"/>
          <w:color w:val="111111"/>
          <w:sz w:val="28"/>
          <w:szCs w:val="28"/>
          <w:rtl/>
        </w:rPr>
        <w:t xml:space="preserve">و فی أواخره مشتاق قال و أشعاره مذکورة فی تذکرات المتأخرین و توفی بعد رجوعه عن زیارة المشهد فی طبس 1329 و قبره مزار هناک‏</w:t>
      </w:r>
    </w:p>
    <w:p>
      <w:pPr>
        <w:pStyle w:val="Heading3"/>
      </w:pPr>
      <w:bookmarkStart w:id="8994" w:name="_Toc7690"/>
      <w:r>
        <w:t>6791- دیوان مشتاقی دهلوی أو شعره‏</w:t>
      </w:r>
      <w:bookmarkEnd w:id="8994"/>
    </w:p>
    <w:p>
      <w:pPr>
        <w:pStyle w:val="BookText"/>
      </w:pPr>
      <w:r>
        <w:rPr>
          <w:rFonts w:ascii="IRNazanin" w:hAnsi="IRNazanin" w:eastAsia="IRNazanin" w:cs="IRNazanin"/>
          <w:lang w:bidi="fa-IR"/>
          <w:color w:val="111111"/>
          <w:sz w:val="28"/>
          <w:szCs w:val="28"/>
          <w:rtl/>
        </w:rPr>
        <w:t xml:space="preserve">و اسمه الشیخ رزق الله الدهلوی کان عالما بالسنسکریتیة و علومها له تاریخ سکندر لوری و جوت نونحن و واقعات مشتاقی فی أحوال نفسه و مات 889 عن 102 سنة من عمره ترجمه فی (گلشن- ص 413) و عنه فی القاموس الترکی ثم الریحانة</w:t>
      </w:r>
    </w:p>
    <w:p>
      <w:pPr>
        <w:pStyle w:val="Heading3"/>
      </w:pPr>
      <w:bookmarkStart w:id="8995" w:name="_Toc7691"/>
      <w:r>
        <w:t>6792- دیوان مشتاقی شیرازی أو شعره‏</w:t>
      </w:r>
      <w:bookmarkEnd w:id="8995"/>
    </w:p>
    <w:p>
      <w:pPr>
        <w:pStyle w:val="BookText"/>
      </w:pPr>
      <w:r>
        <w:rPr>
          <w:rFonts w:ascii="IRNazanin" w:hAnsi="IRNazanin" w:eastAsia="IRNazanin" w:cs="IRNazanin"/>
          <w:lang w:bidi="fa-IR"/>
          <w:color w:val="111111"/>
          <w:sz w:val="28"/>
          <w:szCs w:val="28"/>
          <w:rtl/>
        </w:rPr>
        <w:t xml:space="preserve">و اسمه ملا حسین قصه‏خوان ولد بشیراز و کان یعیش بالقصاصة و مات بشیراز 905 أورد شعره فی (تس 7- ص 189) و فی (تش- ص 294) سماه مشتاق شیرازی و عنه فی (فارس‏نامه 2: 151) و القاموس الترکی‏</w:t>
      </w:r>
    </w:p>
    <w:p>
      <w:pPr>
        <w:pStyle w:val="Heading3"/>
      </w:pPr>
      <w:bookmarkStart w:id="8996" w:name="_Toc7692"/>
      <w:r>
        <w:t>6793- دیوان مشتاقیه‏</w:t>
      </w:r>
      <w:bookmarkEnd w:id="8996"/>
    </w:p>
    <w:p>
      <w:pPr>
        <w:pStyle w:val="BookText"/>
      </w:pPr>
      <w:r>
        <w:rPr>
          <w:rFonts w:ascii="IRNazanin" w:hAnsi="IRNazanin" w:eastAsia="IRNazanin" w:cs="IRNazanin"/>
          <w:lang w:bidi="fa-IR"/>
          <w:color w:val="111111"/>
          <w:sz w:val="28"/>
          <w:szCs w:val="28"/>
          <w:rtl/>
        </w:rPr>
        <w:t xml:space="preserve">للمیرزا محمد تقی بن المیرزا محمد کاظم الکرمانی (طریقتی) العارف الطبیب الماهر و الملقب بمظفر علی شاه و صدر العرفاء و المتوفی بکرمانشاه 1215 نظمه باسم شیخ طریقته و مراده المیرزا محمد التربتی الأصل المولود بأصفهان و المقتول بکرمان بأمر بالمولی عبد الله الواعظ الکرمانی فی 1206 و الملقب مشتاق علی شاه و کان أمیا فنظمه باسمه، کما أن المولی الرومی نظم دیوانا باسم مراده شمس تبریزی و للمظفر الکرمانی دیوان آخر کبیر یأتی و دیوان مشتاقیه فارسی طبع علی الحجر فی بمبئی 1303 و طهران 1374 فی 303 ص فی مجلده الأول عدة قصائد و ترجیعات بغیر ترتیب و فی مجلده الثانی قطعات و غزلیات مرتبة علی الحروف من الألف إلی الیاء و فی آخرها قرب مائة رباعیة و رأیت نسخته بخط محمد تقی بن محمد رسول التاجر التبریزی فرغ منه خامس ذی الحجة 1271 عند الشیخ محمد هادی الأمینی، و نسختان عند (الملک) و نسختان عند (فخر الدین النصیری)</w:t>
      </w:r>
    </w:p>
    <w:p>
      <w:pPr>
        <w:pStyle w:val="Heading3"/>
      </w:pPr>
      <w:bookmarkStart w:id="8997" w:name="_Toc7693"/>
      <w:r>
        <w:t>6794- دیوان مشتاقی نائینی‏</w:t>
      </w:r>
      <w:bookmarkEnd w:id="8997"/>
    </w:p>
    <w:p>
      <w:pPr>
        <w:pStyle w:val="BookText"/>
      </w:pPr>
      <w:r>
        <w:rPr>
          <w:rFonts w:ascii="IRNazanin" w:hAnsi="IRNazanin" w:eastAsia="IRNazanin" w:cs="IRNazanin"/>
          <w:lang w:bidi="fa-IR"/>
          <w:color w:val="111111"/>
          <w:sz w:val="28"/>
          <w:szCs w:val="28"/>
          <w:rtl/>
        </w:rPr>
        <w:t xml:space="preserve">للمیرزا علی خان بن محمد صفاء السلطنة و نائب وزیر الأمور الخارجیة بطهران فارسی مطبوع بطهران 1314 ش فی 466 ص بعنوان کنز المعجزات و ترجم فی تاریخ نائین- 122- 129</w:t>
      </w:r>
    </w:p>
    <w:p>
      <w:pPr>
        <w:pStyle w:val="Heading3"/>
      </w:pPr>
      <w:bookmarkStart w:id="8998" w:name="_Toc7694"/>
      <w:r>
        <w:t>6795- دیوان مشتری أسترآبادی أو شعره‏</w:t>
      </w:r>
      <w:bookmarkEnd w:id="8998"/>
    </w:p>
    <w:p>
      <w:pPr>
        <w:pStyle w:val="BookText"/>
      </w:pPr>
      <w:r>
        <w:rPr>
          <w:rFonts w:ascii="IRNazanin" w:hAnsi="IRNazanin" w:eastAsia="IRNazanin" w:cs="IRNazanin"/>
          <w:lang w:bidi="fa-IR"/>
          <w:color w:val="111111"/>
          <w:sz w:val="28"/>
          <w:szCs w:val="28"/>
          <w:rtl/>
        </w:rPr>
        <w:t xml:space="preserve">ترجمه فی بعض نسخ مجالس النفائس (لط- ص 20) و أورد مطلع غزله و ذکر فی شمع انجمن- ص 429 أنه معاصر للجامی‏
</w:t>
      </w:r>
    </w:p>
    <w:p>
      <w:pPr>
        <w:sectPr>
          <w:footerReference w:type="default" r:id="rId1054"/>
          <w:footnotePr>
            <w:numStart w:val="1"/>
            <w:numRestart w:val="eachPage"/>
          </w:footnotePr>
          <w:pgSz w:orient="portrait" w:w="11905.511811023622" w:h="16837.79527559055"/>
          <w:pgMar w:top="1440" w:right="1440" w:bottom="1440" w:left="1440" w:header="720" w:footer="720" w:gutter="0"/>
          <w:cols w:num="1" w:space="720"/>
        </w:sectPr>
      </w:pPr>
    </w:p>
    <w:bookmarkStart w:id="1035" w:name="pg11704_122522"/>
    <w:bookmarkEnd w:id="1035"/>
    <w:p>
      <w:pPr>
        <w:pStyle w:val="BookText"/>
      </w:pPr>
      <w:r>
        <w:rPr>
          <w:rFonts w:ascii="IRNazanin" w:hAnsi="IRNazanin" w:eastAsia="IRNazanin" w:cs="IRNazanin"/>
          <w:lang w:bidi="fa-IR"/>
          <w:color w:val="111111"/>
          <w:sz w:val="28"/>
          <w:szCs w:val="28"/>
          <w:rtl/>
        </w:rPr>
        <w:t xml:space="preserve">و کذا (حسینی- ص 320)</w:t>
      </w:r>
    </w:p>
    <w:p>
      <w:pPr>
        <w:pStyle w:val="Heading3"/>
      </w:pPr>
      <w:bookmarkStart w:id="8999" w:name="_Toc7695"/>
      <w:r>
        <w:t>6796- دیوان مشتری خراسانی‏</w:t>
      </w:r>
      <w:bookmarkEnd w:id="8999"/>
    </w:p>
    <w:p>
      <w:pPr>
        <w:pStyle w:val="BookText"/>
      </w:pPr>
      <w:r>
        <w:rPr>
          <w:rFonts w:ascii="IRNazanin" w:hAnsi="IRNazanin" w:eastAsia="IRNazanin" w:cs="IRNazanin"/>
          <w:lang w:bidi="fa-IR"/>
          <w:color w:val="111111"/>
          <w:sz w:val="28"/>
          <w:szCs w:val="28"/>
          <w:rtl/>
        </w:rPr>
        <w:t xml:space="preserve">و هو أبو سعید حسام الشعراء محمد إبراهیم، من أحفاد طاهر وحید وقایع‏نگار للشاه طهماسب الصفوی کان أبوه شیرازیا و ولد مشتری فی 1264 و جی‏ء به إلی طهران فی 1270 و صار شاعر البلاط و کان هجاء و مر قصة مهاجاته مع عباس</w:t>
      </w:r>
    </w:p>
    <w:p>
      <w:pPr>
        <w:pStyle w:val="BookText"/>
      </w:pPr>
      <w:r>
        <w:rPr>
          <w:rFonts w:ascii="IRNazanin" w:hAnsi="IRNazanin" w:eastAsia="IRNazanin" w:cs="IRNazanin"/>
          <w:lang w:bidi="fa-IR"/>
          <w:color w:val="111111"/>
          <w:sz w:val="28"/>
          <w:szCs w:val="28"/>
          <w:rtl/>
        </w:rPr>
        <w:t xml:space="preserve">فروغی و سرور شیرازی فی ص 442 و 827 و فی (المآثر- ص 207) ذکر مهاجاته مع مایل أفشار المذکور فی ص 954 و ذکر وفاته فی ذی الحجة 1305 و ترجم فی (گلشن- ص 414) و مفصلا فی گنج شایگان- ص 524 و فهرس (المجلس) 3: 417 حیث یوجد هناک نسختان من دیوانه و یوجد نسخه الأصل بخطه 1299 عند (فخر الدین النصیری) و نسختان عند (الملک) و له فضائل العشق فی تاریخ المشتاقین یشبه مجالس العشاق و له هجو معلم خانه و هجو بغداد و یوجد له مثنویان باسم مرآة العشق و مصباح حسینی عند (الملک) أیضا و طبع له سفرنامه مکة نظما ذکر فیه أوصاف مزارات النجف و کربلاء و الکاظمیة و سامراء طبع فی 32 ص فی ذیل شمس المناقب الذی هو دیوان سروش الأصفهانی فی 1300</w:t>
      </w:r>
    </w:p>
    <w:p>
      <w:pPr>
        <w:pStyle w:val="Heading3"/>
      </w:pPr>
      <w:bookmarkStart w:id="9000" w:name="_Toc7696"/>
      <w:r>
        <w:t>6797- دیوان مشتری فراهانی أو شعره‏</w:t>
      </w:r>
      <w:bookmarkEnd w:id="9000"/>
    </w:p>
    <w:p>
      <w:pPr>
        <w:pStyle w:val="BookText"/>
      </w:pPr>
      <w:r>
        <w:rPr>
          <w:rFonts w:ascii="IRNazanin" w:hAnsi="IRNazanin" w:eastAsia="IRNazanin" w:cs="IRNazanin"/>
          <w:lang w:bidi="fa-IR"/>
          <w:color w:val="111111"/>
          <w:sz w:val="28"/>
          <w:szCs w:val="28"/>
          <w:rtl/>
        </w:rPr>
        <w:t xml:space="preserve">ترجم و أورد شعره فی (گلشن- ص 414)</w:t>
      </w:r>
    </w:p>
    <w:p>
      <w:pPr>
        <w:pStyle w:val="Heading3"/>
      </w:pPr>
      <w:bookmarkStart w:id="9001" w:name="_Toc7697"/>
      <w:r>
        <w:t>دیوان مشتری مشهدی‏</w:t>
      </w:r>
      <w:bookmarkEnd w:id="9001"/>
    </w:p>
    <w:p>
      <w:pPr>
        <w:pStyle w:val="BookText"/>
      </w:pPr>
      <w:r>
        <w:rPr>
          <w:rFonts w:ascii="IRNazanin" w:hAnsi="IRNazanin" w:eastAsia="IRNazanin" w:cs="IRNazanin"/>
          <w:lang w:bidi="fa-IR"/>
          <w:color w:val="111111"/>
          <w:sz w:val="28"/>
          <w:szCs w:val="28"/>
          <w:rtl/>
        </w:rPr>
        <w:t xml:space="preserve">راجع مشتری خراسانی‏</w:t>
      </w:r>
    </w:p>
    <w:p>
      <w:pPr>
        <w:pStyle w:val="Heading3"/>
      </w:pPr>
      <w:bookmarkStart w:id="9002" w:name="_Toc7698"/>
      <w:r>
        <w:t>6798- دیوان مشرب أصفهانی أو شعره‏</w:t>
      </w:r>
      <w:bookmarkEnd w:id="9002"/>
    </w:p>
    <w:p>
      <w:pPr>
        <w:pStyle w:val="BookText"/>
      </w:pPr>
      <w:r>
        <w:rPr>
          <w:rFonts w:ascii="IRNazanin" w:hAnsi="IRNazanin" w:eastAsia="IRNazanin" w:cs="IRNazanin"/>
          <w:lang w:bidi="fa-IR"/>
          <w:color w:val="111111"/>
          <w:sz w:val="28"/>
          <w:szCs w:val="28"/>
          <w:rtl/>
        </w:rPr>
        <w:t xml:space="preserve">و هو الحکیم عبد الرزاق من سادات أصفهان سافر إلی الهند فی عهد عالمگیر و وصل لکهنو و کان له مع عبد الجلیل البلگرامی مراسلات مات 1127 أورد شعره فی (گلشن- ص 415) و مقالات الشعراء- ص 760 و عنهما فی القاموس الترکی ثم الریحانة</w:t>
      </w:r>
    </w:p>
    <w:p>
      <w:pPr>
        <w:pStyle w:val="Heading3"/>
      </w:pPr>
      <w:bookmarkStart w:id="9003" w:name="_Toc7699"/>
      <w:r>
        <w:t>6799- دیوان مشرب أکبرآبادی أو شعره‏</w:t>
      </w:r>
      <w:bookmarkEnd w:id="9003"/>
    </w:p>
    <w:p>
      <w:pPr>
        <w:pStyle w:val="BookText"/>
      </w:pPr>
      <w:r>
        <w:rPr>
          <w:rFonts w:ascii="IRNazanin" w:hAnsi="IRNazanin" w:eastAsia="IRNazanin" w:cs="IRNazanin"/>
          <w:lang w:bidi="fa-IR"/>
          <w:color w:val="111111"/>
          <w:sz w:val="28"/>
          <w:szCs w:val="28"/>
          <w:rtl/>
        </w:rPr>
        <w:t xml:space="preserve">و اسمه بهوری سنگ الهندی أورد شعره فی (گلشن- ص 415) و (نتایج- ص 681)</w:t>
      </w:r>
    </w:p>
    <w:p>
      <w:pPr>
        <w:pStyle w:val="Heading3"/>
      </w:pPr>
      <w:bookmarkStart w:id="9004" w:name="_Toc7700"/>
      <w:r>
        <w:t>6800- دیوان مشرب دهلوی أو شعره‏</w:t>
      </w:r>
      <w:bookmarkEnd w:id="9004"/>
    </w:p>
    <w:p>
      <w:pPr>
        <w:pStyle w:val="BookText"/>
      </w:pPr>
      <w:r>
        <w:rPr>
          <w:rFonts w:ascii="IRNazanin" w:hAnsi="IRNazanin" w:eastAsia="IRNazanin" w:cs="IRNazanin"/>
          <w:lang w:bidi="fa-IR"/>
          <w:color w:val="111111"/>
          <w:sz w:val="28"/>
          <w:szCs w:val="28"/>
          <w:rtl/>
        </w:rPr>
        <w:t xml:space="preserve">و اسمه المیر عنایة الله أورد شعره فی (گلشن- ص 416)</w:t>
      </w:r>
    </w:p>
    <w:p>
      <w:pPr>
        <w:pStyle w:val="Heading3"/>
      </w:pPr>
      <w:bookmarkStart w:id="9005" w:name="_Toc7701"/>
      <w:r>
        <w:t>6801- دیوان مشرب شیرازی أو شعره‏</w:t>
      </w:r>
      <w:bookmarkEnd w:id="9005"/>
    </w:p>
    <w:p>
      <w:pPr>
        <w:pStyle w:val="BookText"/>
      </w:pPr>
      <w:r>
        <w:rPr>
          <w:rFonts w:ascii="IRNazanin" w:hAnsi="IRNazanin" w:eastAsia="IRNazanin" w:cs="IRNazanin"/>
          <w:lang w:bidi="fa-IR"/>
          <w:color w:val="111111"/>
          <w:sz w:val="28"/>
          <w:szCs w:val="28"/>
          <w:rtl/>
        </w:rPr>
        <w:t xml:space="preserve">کان معاصر النصرآبادی، فترجمه فی (نر 9- ص 384) و ذکر أن اسمه شاه معصوم الشیرازی المولد و أورد شعره‏
</w:t>
      </w:r>
    </w:p>
    <w:p>
      <w:pPr>
        <w:sectPr>
          <w:footerReference w:type="default" r:id="rId1055"/>
          <w:footnotePr>
            <w:numStart w:val="1"/>
            <w:numRestart w:val="eachPage"/>
          </w:footnotePr>
          <w:pgSz w:orient="portrait" w:w="11905.511811023622" w:h="16837.79527559055"/>
          <w:pgMar w:top="1440" w:right="1440" w:bottom="1440" w:left="1440" w:header="720" w:footer="720" w:gutter="0"/>
          <w:cols w:num="1" w:space="720"/>
        </w:sectPr>
      </w:pPr>
    </w:p>
    <w:bookmarkStart w:id="1036" w:name="pg11704_122523"/>
    <w:bookmarkEnd w:id="1036"/>
    <w:p>
      <w:pPr>
        <w:pStyle w:val="Heading3"/>
      </w:pPr>
      <w:bookmarkStart w:id="9006" w:name="_Toc7702"/>
      <w:r>
        <w:t>6802- دیوان مشرب شیشه‏گره أو شعره‏</w:t>
      </w:r>
      <w:bookmarkEnd w:id="9006"/>
    </w:p>
    <w:p>
      <w:pPr>
        <w:pStyle w:val="BookText"/>
      </w:pPr>
      <w:r>
        <w:rPr>
          <w:rFonts w:ascii="IRNazanin" w:hAnsi="IRNazanin" w:eastAsia="IRNazanin" w:cs="IRNazanin"/>
          <w:lang w:bidi="fa-IR"/>
          <w:color w:val="111111"/>
          <w:sz w:val="28"/>
          <w:szCs w:val="28"/>
          <w:rtl/>
        </w:rPr>
        <w:t xml:space="preserve">و هو ابن المیر حسین الخطاط بالنستعلیق هو من سادات قم لکن یعرف بکاشانی لکثرة سکونته بها کان من أدباء عصر الشاه عباس الماضی ترجمه النصرآبادی فی (نر 9- ص 310) و أورد شعره و ذکر أنه توفی بتبریز و من شعره المتخلص فیه:</w:t>
      </w:r>
    </w:p>
    <w:p>
      <w:pPr>
        <w:pStyle w:val="BookText"/>
      </w:pPr>
      <w:r>
        <w:rPr>
          <w:rFonts w:ascii="IRNazanin" w:hAnsi="IRNazanin" w:eastAsia="IRNazanin" w:cs="IRNazanin"/>
          <w:lang w:bidi="fa-IR"/>
          <w:color w:val="111111"/>
          <w:sz w:val="28"/>
          <w:szCs w:val="28"/>
          <w:rtl/>
        </w:rPr>
        <w:t xml:space="preserve">هر چه می‏خواهی طلب کن مشرب از شاه نجف‏</w:t>
      </w:r>
    </w:p>
    <w:p>
      <w:pPr>
        <w:pStyle w:val="BookText"/>
      </w:pPr>
      <w:r>
        <w:rPr>
          <w:rFonts w:ascii="IRNazanin" w:hAnsi="IRNazanin" w:eastAsia="IRNazanin" w:cs="IRNazanin"/>
          <w:lang w:bidi="fa-IR"/>
          <w:color w:val="111111"/>
          <w:sz w:val="28"/>
          <w:szCs w:val="28"/>
          <w:rtl/>
        </w:rPr>
        <w:t xml:space="preserve">گر کسی منت کشد از مرد می‏باید کشید</w:t>
      </w:r>
    </w:p>
    <w:p>
      <w:pPr>
        <w:pStyle w:val="BookText"/>
      </w:pPr>
      <w:r>
        <w:rPr>
          <w:rFonts w:ascii="IRNazanin" w:hAnsi="IRNazanin" w:eastAsia="IRNazanin" w:cs="IRNazanin"/>
          <w:lang w:bidi="fa-IR"/>
          <w:color w:val="111111"/>
          <w:sz w:val="28"/>
          <w:szCs w:val="28"/>
          <w:rtl/>
        </w:rPr>
        <w:t xml:space="preserve">و کان أبوه ملازم الشاه عباس الأول الصفوی و مات بتبریز کما فی (گلشن- ص 415) و همیشه بهار و الظاهر أنه غیر مشربی قمی‏</w:t>
      </w:r>
    </w:p>
    <w:p>
      <w:pPr>
        <w:pStyle w:val="Heading3"/>
      </w:pPr>
      <w:bookmarkStart w:id="9007" w:name="_Toc7703"/>
      <w:r>
        <w:t>6803- دیوان مشرب عامری أو شعره‏</w:t>
      </w:r>
      <w:bookmarkEnd w:id="9007"/>
    </w:p>
    <w:p>
      <w:pPr>
        <w:pStyle w:val="BookText"/>
      </w:pPr>
      <w:r>
        <w:rPr>
          <w:rFonts w:ascii="IRNazanin" w:hAnsi="IRNazanin" w:eastAsia="IRNazanin" w:cs="IRNazanin"/>
          <w:lang w:bidi="fa-IR"/>
          <w:color w:val="111111"/>
          <w:sz w:val="28"/>
          <w:szCs w:val="28"/>
          <w:rtl/>
        </w:rPr>
        <w:t xml:space="preserve">و اسمه میرزا أشرف من عرب بنی عامر من حکام نادر شاه و ابتلی بقهره و قلع إحدی عینیه ترجم فی (مع 2- ص 445) و ذکر أنه توفی 1180 و أورد شعره و فی (تش- ص 412) أنه توفی 1175</w:t>
      </w:r>
    </w:p>
    <w:p>
      <w:pPr>
        <w:pStyle w:val="Heading3"/>
      </w:pPr>
      <w:bookmarkStart w:id="9008" w:name="_Toc7704"/>
      <w:r>
        <w:t>دیوان مشرب قمی‏</w:t>
      </w:r>
      <w:bookmarkEnd w:id="9008"/>
    </w:p>
    <w:p>
      <w:pPr>
        <w:pStyle w:val="BookText"/>
      </w:pPr>
      <w:r>
        <w:rPr>
          <w:rFonts w:ascii="IRNazanin" w:hAnsi="IRNazanin" w:eastAsia="IRNazanin" w:cs="IRNazanin"/>
          <w:lang w:bidi="fa-IR"/>
          <w:color w:val="111111"/>
          <w:sz w:val="28"/>
          <w:szCs w:val="28"/>
          <w:rtl/>
        </w:rPr>
        <w:t xml:space="preserve">راجع مشرب شیشه‏گر، و مشرب کاشانی و لکن فی همیشه بهار أنه غیر الکاشانی‏</w:t>
      </w:r>
    </w:p>
    <w:p>
      <w:pPr>
        <w:pStyle w:val="Heading3"/>
      </w:pPr>
      <w:bookmarkStart w:id="9009" w:name="_Toc7705"/>
      <w:r>
        <w:t>دیوان مشرب کاشانی‏</w:t>
      </w:r>
      <w:bookmarkEnd w:id="9009"/>
    </w:p>
    <w:p>
      <w:pPr>
        <w:pStyle w:val="BookText"/>
      </w:pPr>
      <w:r>
        <w:rPr>
          <w:rFonts w:ascii="IRNazanin" w:hAnsi="IRNazanin" w:eastAsia="IRNazanin" w:cs="IRNazanin"/>
          <w:lang w:bidi="fa-IR"/>
          <w:color w:val="111111"/>
          <w:sz w:val="28"/>
          <w:szCs w:val="28"/>
          <w:rtl/>
        </w:rPr>
        <w:t xml:space="preserve">هو مشرب قمی شیشه‏گر</w:t>
      </w:r>
    </w:p>
    <w:p>
      <w:pPr>
        <w:pStyle w:val="Heading3"/>
      </w:pPr>
      <w:bookmarkStart w:id="9010" w:name="_Toc7706"/>
      <w:r>
        <w:t>6804- دیوان مشرب نائنی أو شعره‏</w:t>
      </w:r>
      <w:bookmarkEnd w:id="9010"/>
    </w:p>
    <w:p>
      <w:pPr>
        <w:pStyle w:val="BookText"/>
      </w:pPr>
      <w:r>
        <w:rPr>
          <w:rFonts w:ascii="IRNazanin" w:hAnsi="IRNazanin" w:eastAsia="IRNazanin" w:cs="IRNazanin"/>
          <w:lang w:bidi="fa-IR"/>
          <w:color w:val="111111"/>
          <w:sz w:val="28"/>
          <w:szCs w:val="28"/>
          <w:rtl/>
        </w:rPr>
        <w:t xml:space="preserve">ترجم و أورد شعره فی المدائح المعتمدیة و (انجمن 4)</w:t>
      </w:r>
    </w:p>
    <w:p>
      <w:pPr>
        <w:pStyle w:val="Heading3"/>
      </w:pPr>
      <w:bookmarkStart w:id="9011" w:name="_Toc7707"/>
      <w:r>
        <w:t>6805- دیوان مشربی أسترآبادی أو شعره‏</w:t>
      </w:r>
      <w:bookmarkEnd w:id="9011"/>
    </w:p>
    <w:p>
      <w:pPr>
        <w:pStyle w:val="BookText"/>
      </w:pPr>
      <w:r>
        <w:rPr>
          <w:rFonts w:ascii="IRNazanin" w:hAnsi="IRNazanin" w:eastAsia="IRNazanin" w:cs="IRNazanin"/>
          <w:lang w:bidi="fa-IR"/>
          <w:color w:val="111111"/>
          <w:sz w:val="28"/>
          <w:szCs w:val="28"/>
          <w:rtl/>
        </w:rPr>
        <w:t xml:space="preserve">هو المولی محمد بن سلطان محمد الأسترآبادی الخطاط و الطالب للعلم ترجمه سام میرزا فی (تس 4- ص 75) و أورد شعره و کذا (گلشن- ص 417)</w:t>
      </w:r>
    </w:p>
    <w:p>
      <w:pPr>
        <w:pStyle w:val="Heading3"/>
      </w:pPr>
      <w:bookmarkStart w:id="9012" w:name="_Toc7708"/>
      <w:r>
        <w:t>6806- دیوان مشربی تکلو أو شعره‏</w:t>
      </w:r>
      <w:bookmarkEnd w:id="9012"/>
    </w:p>
    <w:p>
      <w:pPr>
        <w:pStyle w:val="BookText"/>
      </w:pPr>
      <w:r>
        <w:rPr>
          <w:rFonts w:ascii="IRNazanin" w:hAnsi="IRNazanin" w:eastAsia="IRNazanin" w:cs="IRNazanin"/>
          <w:lang w:bidi="fa-IR"/>
          <w:color w:val="111111"/>
          <w:sz w:val="28"/>
          <w:szCs w:val="28"/>
          <w:rtl/>
        </w:rPr>
        <w:t xml:space="preserve">کان من أکابر إیل تکلو ترجمه معاصره الصادقی فی (خص 8- ص 125) و أورد شعره المتخلص فیه و قال فی (گلشن- ص 416) إنه من شعراء خدابنده ابن الشاه طهماسب الصفوی سافر إلی الهند فی عهد أکبر شاه‏</w:t>
      </w:r>
    </w:p>
    <w:p>
      <w:pPr>
        <w:pStyle w:val="Heading3"/>
      </w:pPr>
      <w:bookmarkStart w:id="9013" w:name="_Toc7709"/>
      <w:r>
        <w:t>6807- دیوان مشربی خوانساری أو شعره‏</w:t>
      </w:r>
      <w:bookmarkEnd w:id="9013"/>
    </w:p>
    <w:p>
      <w:pPr>
        <w:pStyle w:val="BookText"/>
      </w:pPr>
      <w:r>
        <w:rPr>
          <w:rFonts w:ascii="IRNazanin" w:hAnsi="IRNazanin" w:eastAsia="IRNazanin" w:cs="IRNazanin"/>
          <w:lang w:bidi="fa-IR"/>
          <w:color w:val="111111"/>
          <w:sz w:val="28"/>
          <w:szCs w:val="28"/>
          <w:rtl/>
        </w:rPr>
        <w:t xml:space="preserve">ترجمه معاصره النصرآبادی فی (نر 9- ص 319) و أورد شعره و عنه فی (گلشن- ص 417)</w:t>
      </w:r>
    </w:p>
    <w:p>
      <w:pPr>
        <w:pStyle w:val="Heading3"/>
      </w:pPr>
      <w:bookmarkStart w:id="9014" w:name="_Toc7710"/>
      <w:r>
        <w:t>6808- دیوان مشربی سهوانی أو شعره‏</w:t>
      </w:r>
      <w:bookmarkEnd w:id="9014"/>
    </w:p>
    <w:p>
      <w:pPr>
        <w:pStyle w:val="BookText"/>
      </w:pPr>
      <w:r>
        <w:rPr>
          <w:rFonts w:ascii="IRNazanin" w:hAnsi="IRNazanin" w:eastAsia="IRNazanin" w:cs="IRNazanin"/>
          <w:lang w:bidi="fa-IR"/>
          <w:color w:val="111111"/>
          <w:sz w:val="28"/>
          <w:szCs w:val="28"/>
          <w:rtl/>
        </w:rPr>
        <w:t xml:space="preserve">و اسمه أحمد حسین تلمیذ تاج الدین السهوانی ترجم فی (گلشن- ص 416)
</w:t>
      </w:r>
    </w:p>
    <w:p>
      <w:pPr>
        <w:sectPr>
          <w:footerReference w:type="default" r:id="rId1056"/>
          <w:footnotePr>
            <w:numStart w:val="1"/>
            <w:numRestart w:val="eachPage"/>
          </w:footnotePr>
          <w:pgSz w:orient="portrait" w:w="11905.511811023622" w:h="16837.79527559055"/>
          <w:pgMar w:top="1440" w:right="1440" w:bottom="1440" w:left="1440" w:header="720" w:footer="720" w:gutter="0"/>
          <w:cols w:num="1" w:space="720"/>
        </w:sectPr>
      </w:pPr>
    </w:p>
    <w:bookmarkStart w:id="1037" w:name="pg11704_122524"/>
    <w:bookmarkEnd w:id="1037"/>
    <w:p>
      <w:pPr>
        <w:pStyle w:val="Heading3"/>
      </w:pPr>
      <w:bookmarkStart w:id="9015" w:name="_Toc7711"/>
      <w:r>
        <w:t>6809- دیوان مشربی قمی أو شعره‏</w:t>
      </w:r>
      <w:bookmarkEnd w:id="9015"/>
    </w:p>
    <w:p>
      <w:pPr>
        <w:pStyle w:val="BookText"/>
      </w:pPr>
      <w:r>
        <w:rPr>
          <w:rFonts w:ascii="IRNazanin" w:hAnsi="IRNazanin" w:eastAsia="IRNazanin" w:cs="IRNazanin"/>
          <w:lang w:bidi="fa-IR"/>
          <w:color w:val="111111"/>
          <w:sz w:val="28"/>
          <w:szCs w:val="28"/>
          <w:rtl/>
        </w:rPr>
        <w:t xml:space="preserve">ترجم فی (خص 8- ص 241) و أورد شعره مع تخلصه، و عنه فی (تش- ص 235) و همیشه بهار و الظاهر أنه غیر مشرب شیشه‏گر</w:t>
      </w:r>
    </w:p>
    <w:p>
      <w:pPr>
        <w:pStyle w:val="Heading3"/>
      </w:pPr>
      <w:bookmarkStart w:id="9016" w:name="_Toc7712"/>
      <w:r>
        <w:t>6810- دیوان مشربی مشهدی أو شعره‏</w:t>
      </w:r>
      <w:bookmarkEnd w:id="9016"/>
    </w:p>
    <w:p>
      <w:pPr>
        <w:pStyle w:val="BookText"/>
      </w:pPr>
      <w:r>
        <w:rPr>
          <w:rFonts w:ascii="IRNazanin" w:hAnsi="IRNazanin" w:eastAsia="IRNazanin" w:cs="IRNazanin"/>
          <w:lang w:bidi="fa-IR"/>
          <w:color w:val="111111"/>
          <w:sz w:val="28"/>
          <w:szCs w:val="28"/>
          <w:rtl/>
        </w:rPr>
        <w:t xml:space="preserve">ترجمه فی (لط 3- ص 70) و أورد شعره‏</w:t>
      </w:r>
    </w:p>
    <w:p>
      <w:pPr>
        <w:pStyle w:val="Heading3"/>
      </w:pPr>
      <w:bookmarkStart w:id="9017" w:name="_Toc7713"/>
      <w:r>
        <w:t>دیوان مشرف أصفهانی‏</w:t>
      </w:r>
      <w:bookmarkEnd w:id="9017"/>
    </w:p>
    <w:p>
      <w:pPr>
        <w:pStyle w:val="BookText"/>
      </w:pPr>
      <w:r>
        <w:rPr>
          <w:rFonts w:ascii="IRNazanin" w:hAnsi="IRNazanin" w:eastAsia="IRNazanin" w:cs="IRNazanin"/>
          <w:lang w:bidi="fa-IR"/>
          <w:color w:val="111111"/>
          <w:sz w:val="28"/>
          <w:szCs w:val="28"/>
          <w:rtl/>
        </w:rPr>
        <w:t xml:space="preserve">راجع مشرف شهر کردی‏</w:t>
      </w:r>
    </w:p>
    <w:p>
      <w:pPr>
        <w:pStyle w:val="Heading3"/>
      </w:pPr>
      <w:bookmarkStart w:id="9018" w:name="_Toc7714"/>
      <w:r>
        <w:t>6811- دیوان مشرف أصفهانی أو شعره‏</w:t>
      </w:r>
      <w:bookmarkEnd w:id="9018"/>
    </w:p>
    <w:p>
      <w:pPr>
        <w:pStyle w:val="BookText"/>
      </w:pPr>
      <w:r>
        <w:rPr>
          <w:rFonts w:ascii="IRNazanin" w:hAnsi="IRNazanin" w:eastAsia="IRNazanin" w:cs="IRNazanin"/>
          <w:lang w:bidi="fa-IR"/>
          <w:color w:val="111111"/>
          <w:sz w:val="28"/>
          <w:szCs w:val="28"/>
          <w:rtl/>
        </w:rPr>
        <w:t xml:space="preserve">و اسمه أحمد بیک من أولاد سیف الملوک مشرف الإصطبل فی العهد الصفوی ترجمه معاصره فی (خص 4- ص 60)</w:t>
      </w:r>
    </w:p>
    <w:p>
      <w:pPr>
        <w:pStyle w:val="Heading3"/>
      </w:pPr>
      <w:bookmarkStart w:id="9019" w:name="_Toc7715"/>
      <w:r>
        <w:t>6812- دیوان مشرف أصفهانی‏</w:t>
      </w:r>
      <w:bookmarkEnd w:id="9019"/>
    </w:p>
    <w:p>
      <w:pPr>
        <w:pStyle w:val="BookText"/>
      </w:pPr>
      <w:r>
        <w:rPr>
          <w:rFonts w:ascii="IRNazanin" w:hAnsi="IRNazanin" w:eastAsia="IRNazanin" w:cs="IRNazanin"/>
          <w:lang w:bidi="fa-IR"/>
          <w:color w:val="111111"/>
          <w:sz w:val="28"/>
          <w:szCs w:val="28"/>
          <w:rtl/>
        </w:rPr>
        <w:t xml:space="preserve">و اسمه المیرزا حسین مباشر الإصطبل فی العهد الصفوی ترجمه فی (مع 2: 39) و قال نظم خمسة مثنویات فی قبال الخمسة للنظامیة و لکن طبقا لصنعة التزریق البدیعة و هو أن لا یکون لجملاتها معنا مفیدا و أورد بعضها و فی (حسینی- ص 370) أورد تلک الأشعار لهدایت الله رازی، و کذا فی (روشن- ص 776) بعنوان هدایت نقلا عن نگارستان سخن و عنهم أخذنا نحن فی ج 7 ص 265 لکن فی (تس 5- 177) ذکر هدایت الله و لم یذکر له هذه الأشعار، بل ذکر الأشعار لمقصود بیک الشیرازی فی (تس 3- ص 60)</w:t>
      </w:r>
    </w:p>
    <w:p>
      <w:pPr>
        <w:pStyle w:val="Heading3"/>
      </w:pPr>
      <w:bookmarkStart w:id="9020" w:name="_Toc7716"/>
      <w:r>
        <w:t>6813- دیوان مشرف شهر کردی‏</w:t>
      </w:r>
      <w:bookmarkEnd w:id="9020"/>
    </w:p>
    <w:p>
      <w:pPr>
        <w:pStyle w:val="BookText"/>
      </w:pPr>
      <w:r>
        <w:rPr>
          <w:rFonts w:ascii="IRNazanin" w:hAnsi="IRNazanin" w:eastAsia="IRNazanin" w:cs="IRNazanin"/>
          <w:lang w:bidi="fa-IR"/>
          <w:color w:val="111111"/>
          <w:sz w:val="28"/>
          <w:szCs w:val="28"/>
          <w:rtl/>
        </w:rPr>
        <w:t xml:space="preserve">و هو إسفندیار بن مشرف الملک ولد بأصفهان فی 1352 و طبع باسم گلهای نوشگفته فی 1370 بأصفهان فی 90 ص ترجمه فی شعرای معاصر أصفهان- ص 449</w:t>
      </w:r>
    </w:p>
    <w:p>
      <w:pPr>
        <w:pStyle w:val="Heading3"/>
      </w:pPr>
      <w:bookmarkStart w:id="9021" w:name="_Toc7717"/>
      <w:r>
        <w:t>6814- دیوان مشرفی هروی أو شعره‏</w:t>
      </w:r>
      <w:bookmarkEnd w:id="9021"/>
    </w:p>
    <w:p>
      <w:pPr>
        <w:pStyle w:val="BookText"/>
      </w:pPr>
      <w:r>
        <w:rPr>
          <w:rFonts w:ascii="IRNazanin" w:hAnsi="IRNazanin" w:eastAsia="IRNazanin" w:cs="IRNazanin"/>
          <w:lang w:bidi="fa-IR"/>
          <w:color w:val="111111"/>
          <w:sz w:val="28"/>
          <w:szCs w:val="28"/>
          <w:rtl/>
        </w:rPr>
        <w:t xml:space="preserve">کان مشرفا علی قوشخانه فی هرات ترجمه علی شیر فی (مجن 3: ص 68 و 241) و (گلشن- ص 417)</w:t>
      </w:r>
    </w:p>
    <w:p>
      <w:pPr>
        <w:pStyle w:val="Heading3"/>
      </w:pPr>
      <w:bookmarkStart w:id="9022" w:name="_Toc7718"/>
      <w:r>
        <w:t>6815- دیوان مشرق مازندرانی‏</w:t>
      </w:r>
      <w:bookmarkEnd w:id="9022"/>
    </w:p>
    <w:p>
      <w:pPr>
        <w:pStyle w:val="BookText"/>
      </w:pPr>
      <w:r>
        <w:rPr>
          <w:rFonts w:ascii="IRNazanin" w:hAnsi="IRNazanin" w:eastAsia="IRNazanin" w:cs="IRNazanin"/>
          <w:lang w:bidi="fa-IR"/>
          <w:color w:val="111111"/>
          <w:sz w:val="28"/>
          <w:szCs w:val="28"/>
          <w:rtl/>
        </w:rPr>
        <w:t xml:space="preserve">و هو الحکیم میرزا رضا قلی ابن المیرزا بزرگ النوری له دیوان فی خمسة عشر ألف بیت و طبع له منظومة حدیث کساء نظمه فی 1304 و طبع بطهران فی 1315 فی 93 ص و مات 1311 کما فی مقدمه طبعه‏</w:t>
      </w:r>
    </w:p>
    <w:p>
      <w:pPr>
        <w:pStyle w:val="Heading3"/>
      </w:pPr>
      <w:bookmarkStart w:id="9023" w:name="_Toc7719"/>
      <w:r>
        <w:t>6816- دیوان مشرقی شیرازی‏</w:t>
      </w:r>
      <w:bookmarkEnd w:id="9023"/>
    </w:p>
    <w:p>
      <w:pPr>
        <w:pStyle w:val="BookText"/>
      </w:pPr>
      <w:r>
        <w:rPr>
          <w:rFonts w:ascii="IRNazanin" w:hAnsi="IRNazanin" w:eastAsia="IRNazanin" w:cs="IRNazanin"/>
          <w:lang w:bidi="fa-IR"/>
          <w:color w:val="111111"/>
          <w:sz w:val="28"/>
          <w:szCs w:val="28"/>
          <w:rtl/>
        </w:rPr>
        <w:t xml:space="preserve">و اسمه حسن کما یظهر من شعره إن لم یکن وصفا حیث قال:</w:t>
      </w:r>
    </w:p>
    <w:p>
      <w:pPr>
        <w:pStyle w:val="BookText"/>
      </w:pPr>
      <w:r>
        <w:rPr>
          <w:rFonts w:ascii="IRNazanin" w:hAnsi="IRNazanin" w:eastAsia="IRNazanin" w:cs="IRNazanin"/>
          <w:lang w:bidi="fa-IR"/>
          <w:color w:val="111111"/>
          <w:sz w:val="28"/>
          <w:szCs w:val="28"/>
          <w:rtl/>
        </w:rPr>
        <w:t xml:space="preserve">سمع اقران سزد این در نظیم موزون‏</w:t>
      </w:r>
    </w:p>
    <w:p>
      <w:pPr>
        <w:pStyle w:val="BookText"/>
      </w:pPr>
      <w:r>
        <w:rPr>
          <w:rFonts w:ascii="IRNazanin" w:hAnsi="IRNazanin" w:eastAsia="IRNazanin" w:cs="IRNazanin"/>
          <w:lang w:bidi="fa-IR"/>
          <w:color w:val="111111"/>
          <w:sz w:val="28"/>
          <w:szCs w:val="28"/>
          <w:rtl/>
        </w:rPr>
        <w:t xml:space="preserve">که ز قول حسن مشرقی از بر دارم‏</w:t>
      </w:r>
    </w:p>
    <w:p>
      <w:pPr>
        <w:pStyle w:val="BookText"/>
      </w:pPr>
      <w:r>
        <w:rPr>
          <w:rFonts w:ascii="IRNazanin" w:hAnsi="IRNazanin" w:eastAsia="IRNazanin" w:cs="IRNazanin"/>
          <w:lang w:bidi="fa-IR"/>
          <w:color w:val="111111"/>
          <w:sz w:val="28"/>
          <w:szCs w:val="28"/>
          <w:rtl/>
        </w:rPr>
        <w:t xml:space="preserve">و کان معاصرا لملک مشرقی المشهدی و کلیات أشعاره تشتمل علی: 1- شمس‏
</w:t>
      </w:r>
    </w:p>
    <w:p>
      <w:pPr>
        <w:sectPr>
          <w:footerReference w:type="default" r:id="rId1057"/>
          <w:footnotePr>
            <w:numStart w:val="1"/>
            <w:numRestart w:val="eachPage"/>
          </w:footnotePr>
          <w:pgSz w:orient="portrait" w:w="11905.511811023622" w:h="16837.79527559055"/>
          <w:pgMar w:top="1440" w:right="1440" w:bottom="1440" w:left="1440" w:header="720" w:footer="720" w:gutter="0"/>
          <w:cols w:num="1" w:space="720"/>
        </w:sectPr>
      </w:pPr>
    </w:p>
    <w:bookmarkStart w:id="1038" w:name="pg11704_122525"/>
    <w:bookmarkEnd w:id="1038"/>
    <w:p>
      <w:pPr>
        <w:pStyle w:val="BookText"/>
      </w:pPr>
      <w:r>
        <w:rPr>
          <w:rFonts w:ascii="IRNazanin" w:hAnsi="IRNazanin" w:eastAsia="IRNazanin" w:cs="IRNazanin"/>
          <w:lang w:bidi="fa-IR"/>
          <w:color w:val="111111"/>
          <w:sz w:val="28"/>
          <w:szCs w:val="28"/>
          <w:rtl/>
        </w:rPr>
        <w:t xml:space="preserve">المشرقین مثنوی فی قبال تحفه العراقین للخاقانی، نظمها فی 1010 و سما نفسه فی أوله مشرقی شیرازی، و هو فی 1200 بیت أوله: [الحمد لله الذی: از أزل تا به أبد هر جا حمدی‏</w:t>
      </w:r>
    </w:p>
    <w:p>
      <w:pPr>
        <w:pStyle w:val="BookText"/>
      </w:pPr>
      <w:r>
        <w:rPr>
          <w:rFonts w:ascii="IRNazanin" w:hAnsi="IRNazanin" w:eastAsia="IRNazanin" w:cs="IRNazanin"/>
          <w:lang w:bidi="fa-IR"/>
          <w:color w:val="111111"/>
          <w:sz w:val="28"/>
          <w:szCs w:val="28"/>
          <w:rtl/>
        </w:rPr>
        <w:t xml:space="preserve">ای نور حدیقه جهان بین‏</w:t>
      </w:r>
    </w:p>
    <w:p>
      <w:pPr>
        <w:pStyle w:val="BookText"/>
      </w:pPr>
      <w:r>
        <w:rPr>
          <w:rFonts w:ascii="IRNazanin" w:hAnsi="IRNazanin" w:eastAsia="IRNazanin" w:cs="IRNazanin"/>
          <w:lang w:bidi="fa-IR"/>
          <w:color w:val="111111"/>
          <w:sz w:val="28"/>
          <w:szCs w:val="28"/>
          <w:rtl/>
        </w:rPr>
        <w:t xml:space="preserve">مه را ز تو زینت است و آیین‏</w:t>
      </w:r>
    </w:p>
    <w:p>
      <w:pPr>
        <w:pStyle w:val="BookText"/>
      </w:pPr>
      <w:r>
        <w:rPr>
          <w:rFonts w:ascii="IRNazanin" w:hAnsi="IRNazanin" w:eastAsia="IRNazanin" w:cs="IRNazanin"/>
          <w:lang w:bidi="fa-IR"/>
          <w:color w:val="111111"/>
          <w:sz w:val="28"/>
          <w:szCs w:val="28"/>
          <w:rtl/>
        </w:rPr>
        <w:t xml:space="preserve">] 2- شبستان أنس نظمه فی قبال بوستان لسعدی فی عشرة أبواب و مقدمه فی سبع مقالات کلها فی 2250 بیت أوله: [حمد نامحدود و ثنای نامعدود</w:t>
      </w:r>
    </w:p>
    <w:p>
      <w:pPr>
        <w:pStyle w:val="BookText"/>
      </w:pPr>
      <w:r>
        <w:rPr>
          <w:rFonts w:ascii="IRNazanin" w:hAnsi="IRNazanin" w:eastAsia="IRNazanin" w:cs="IRNazanin"/>
          <w:lang w:bidi="fa-IR"/>
          <w:color w:val="111111"/>
          <w:sz w:val="28"/>
          <w:szCs w:val="28"/>
          <w:rtl/>
        </w:rPr>
        <w:t xml:space="preserve">به نام خداوند أرض و سما</w:t>
      </w:r>
    </w:p>
    <w:p>
      <w:pPr>
        <w:pStyle w:val="BookText"/>
      </w:pPr>
      <w:r>
        <w:rPr>
          <w:rFonts w:ascii="IRNazanin" w:hAnsi="IRNazanin" w:eastAsia="IRNazanin" w:cs="IRNazanin"/>
          <w:lang w:bidi="fa-IR"/>
          <w:color w:val="111111"/>
          <w:sz w:val="28"/>
          <w:szCs w:val="28"/>
          <w:rtl/>
        </w:rPr>
        <w:t xml:space="preserve">که باشد مر أو را پرستش سزا</w:t>
      </w:r>
    </w:p>
    <w:p>
      <w:pPr>
        <w:pStyle w:val="BookText"/>
      </w:pPr>
      <w:r>
        <w:rPr>
          <w:rFonts w:ascii="IRNazanin" w:hAnsi="IRNazanin" w:eastAsia="IRNazanin" w:cs="IRNazanin"/>
          <w:lang w:bidi="fa-IR"/>
          <w:color w:val="111111"/>
          <w:sz w:val="28"/>
          <w:szCs w:val="28"/>
          <w:rtl/>
        </w:rPr>
        <w:t xml:space="preserve">3- القصائد و یشتمل علی 7550 بیت 4- المراثی و الترجیعات و هفت بند فی 650 بیت 5- المقطعات فی تواریخ الوفیات و فتوح الشاه فی 450 بیت 6- الغزلیات مرتبا علی الحروف فی 9500 بیت 7- الرباعیات فی 400 بیت و احتمل ابن یوسف أن یکون بعض أشعاره منتحلا بعد أن فصل خصوصیاته فی فهرس (المجلس) 3: 600 حیث یوجد النسخة هناک ثم نقل عن طرائق الحقائق 3: 229 أن فی شیراز تکیة واقعة علی تنگ الله أکبر تسمی مشرقین و فی (عم- 481) سماه تکیة مشرقی فلعلها له‏</w:t>
      </w:r>
    </w:p>
    <w:p>
      <w:pPr>
        <w:pStyle w:val="Heading3"/>
      </w:pPr>
      <w:bookmarkStart w:id="9024" w:name="_Toc7720"/>
      <w:r>
        <w:t>6817- دیوان مشرقی کاشانی‏</w:t>
      </w:r>
      <w:bookmarkEnd w:id="9024"/>
    </w:p>
    <w:p>
      <w:pPr>
        <w:pStyle w:val="BookText"/>
      </w:pPr>
      <w:r>
        <w:rPr>
          <w:rFonts w:ascii="IRNazanin" w:hAnsi="IRNazanin" w:eastAsia="IRNazanin" w:cs="IRNazanin"/>
          <w:lang w:bidi="fa-IR"/>
          <w:color w:val="111111"/>
          <w:sz w:val="28"/>
          <w:szCs w:val="28"/>
          <w:rtl/>
        </w:rPr>
        <w:t xml:space="preserve">و اسمه المیرزا محمد حسین خان الغفاری بن المیرزا آقا خان ابن المیرزا أحمد کان ینهی نسبه إلی أبی ذر الغفاری کما ذکره مباشر طبع الدیوان فی 1314 فی مقدمه الطبع و هو المیرزا عبد الحسین بن لسان الملک مؤلف ناسخ التواریخ و لقبه ملک المؤرخین و قد توفی 1324 قال فی المقدمة: إن الشاعر خدم ناصر الدین شاه أیام ولایته للعهد، ثم اعتزل و دخل الطریقة عند رحمت علی شاه بشیراز إلی أن توفی 1299 و دیوانه فی 3000 بیت و ترجم فی (الطرائق 3: 187) و فهرست المجلس 3: 601</w:t>
      </w:r>
    </w:p>
    <w:p>
      <w:pPr>
        <w:pStyle w:val="Heading3"/>
      </w:pPr>
      <w:bookmarkStart w:id="9025" w:name="_Toc7721"/>
      <w:r>
        <w:t>6818- دیوان مشرقی مشهدی‏</w:t>
      </w:r>
      <w:bookmarkEnd w:id="9025"/>
    </w:p>
    <w:p>
      <w:pPr>
        <w:pStyle w:val="BookText"/>
      </w:pPr>
      <w:r>
        <w:rPr>
          <w:rFonts w:ascii="IRNazanin" w:hAnsi="IRNazanin" w:eastAsia="IRNazanin" w:cs="IRNazanin"/>
          <w:lang w:bidi="fa-IR"/>
          <w:color w:val="111111"/>
          <w:sz w:val="28"/>
          <w:szCs w:val="28"/>
          <w:rtl/>
        </w:rPr>
        <w:t xml:space="preserve">و اسمه المولی ملک ولد بقزوین کما فی میخانه- ص 402 أو بأصفهان کما فی (تش- ص 94) و أصله من مشهد خراسان مدح حاتم بیک اعتماد الدولة المتوفی 1019 ثم لازم حسن شاملو الذی حکم خراسان بعد موت والده حسین شاملو فی 1027 و بعد طرد مسیح کاشانی من أصفهان فی 1016 صار مشرقی‏
</w:t>
      </w:r>
    </w:p>
    <w:p>
      <w:pPr>
        <w:sectPr>
          <w:footerReference w:type="default" r:id="rId1058"/>
          <w:footnotePr>
            <w:numStart w:val="1"/>
            <w:numRestart w:val="eachPage"/>
          </w:footnotePr>
          <w:pgSz w:orient="portrait" w:w="11905.511811023622" w:h="16837.79527559055"/>
          <w:pgMar w:top="1440" w:right="1440" w:bottom="1440" w:left="1440" w:header="720" w:footer="720" w:gutter="0"/>
          <w:cols w:num="1" w:space="720"/>
        </w:sectPr>
      </w:pPr>
    </w:p>
    <w:bookmarkStart w:id="1039" w:name="pg11704_122526"/>
    <w:bookmarkEnd w:id="1039"/>
    <w:p>
      <w:pPr>
        <w:pStyle w:val="BookText"/>
      </w:pPr>
      <w:r>
        <w:rPr>
          <w:rFonts w:ascii="IRNazanin" w:hAnsi="IRNazanin" w:eastAsia="IRNazanin" w:cs="IRNazanin"/>
          <w:lang w:bidi="fa-IR"/>
          <w:color w:val="111111"/>
          <w:sz w:val="28"/>
          <w:szCs w:val="28"/>
          <w:rtl/>
        </w:rPr>
        <w:t xml:space="preserve">منشیا للشاه عباس و کان ماهرا فی الإنشاء و الموسیقی و مات فی عهد الشاه صفی المتوفی 1052 و تاریخ بعض شعره 1050 قال فی میخانه: و له أربعة آلاف بیت و فی (نر 9- ص 246) أن دیوانه فی عشرة آلاف بیت و نسخه ناقصة من دیوانه فی (رامپور) فی (210 ص) و نسخه أخری فی بریتش موزیوم کما فی فهرس ریو (ص 683) و له مثنوی خسرو شیرین باسم الشاه صفی لم یتمه و له مثنوی ساقی‏نامه و ترجمه أیضا مبتلا و (سرخوش- ص 112) و (سرو- ص 59) و (مطلع 2: 444) و فی نشتر عشق عد دیوانه أحد عشر ألف بیت و أورد ذکره أیضا فی عالم‏آرا- ص 688</w:t>
      </w:r>
    </w:p>
    <w:p>
      <w:pPr>
        <w:pStyle w:val="Heading3"/>
      </w:pPr>
      <w:bookmarkStart w:id="9026" w:name="_Toc7722"/>
      <w:r>
        <w:t>6819- دیوان مشرقی مشهدی أو شعره‏</w:t>
      </w:r>
      <w:bookmarkEnd w:id="9026"/>
    </w:p>
    <w:p>
      <w:pPr>
        <w:pStyle w:val="BookText"/>
      </w:pPr>
      <w:r>
        <w:rPr>
          <w:rFonts w:ascii="IRNazanin" w:hAnsi="IRNazanin" w:eastAsia="IRNazanin" w:cs="IRNazanin"/>
          <w:lang w:bidi="fa-IR"/>
          <w:color w:val="111111"/>
          <w:sz w:val="28"/>
          <w:szCs w:val="28"/>
          <w:rtl/>
        </w:rPr>
        <w:t xml:space="preserve">کان ملازم المیر مخدوم و یشتغل بصنعة کاسه‏گری ترجمه المیر علی شیر فی (مجن 2: 42 و 215) و مات بهرات‏</w:t>
      </w:r>
    </w:p>
    <w:p>
      <w:pPr>
        <w:pStyle w:val="Heading3"/>
      </w:pPr>
      <w:bookmarkStart w:id="9027" w:name="_Toc7723"/>
      <w:r>
        <w:t>6820- دیوان مشعوف قاجار</w:t>
      </w:r>
      <w:bookmarkEnd w:id="9027"/>
    </w:p>
    <w:p>
      <w:pPr>
        <w:pStyle w:val="BookText"/>
      </w:pPr>
      <w:r>
        <w:rPr>
          <w:rFonts w:ascii="IRNazanin" w:hAnsi="IRNazanin" w:eastAsia="IRNazanin" w:cs="IRNazanin"/>
          <w:lang w:bidi="fa-IR"/>
          <w:color w:val="111111"/>
          <w:sz w:val="28"/>
          <w:szCs w:val="28"/>
          <w:rtl/>
        </w:rPr>
        <w:t xml:space="preserve">و اسمه الحاج إمام قلی أخ موسی خان الوصاف الآتی ذکره ترجمه فی (مع: ج 2 ص 452) و ذکر أنه أعرض عن المناصب و أقبل علی تصفیة الباطن إلی أن هدم علیه سقف الدار و توفی ثم أورد نیفا و عشرة أبیات من شعره‏</w:t>
      </w:r>
    </w:p>
    <w:p>
      <w:pPr>
        <w:pStyle w:val="Heading3"/>
      </w:pPr>
      <w:bookmarkStart w:id="9028" w:name="_Toc7724"/>
      <w:r>
        <w:t>6821- دیوان مشفق أسترآبادی أو شعره‏</w:t>
      </w:r>
      <w:bookmarkEnd w:id="9028"/>
    </w:p>
    <w:p>
      <w:pPr>
        <w:pStyle w:val="BookText"/>
      </w:pPr>
      <w:r>
        <w:rPr>
          <w:rFonts w:ascii="IRNazanin" w:hAnsi="IRNazanin" w:eastAsia="IRNazanin" w:cs="IRNazanin"/>
          <w:lang w:bidi="fa-IR"/>
          <w:color w:val="111111"/>
          <w:sz w:val="28"/>
          <w:szCs w:val="28"/>
          <w:rtl/>
        </w:rPr>
        <w:t xml:space="preserve">ترجمه فی (مع 1: ص 452) و قال اسمه آقا کوچک، و لم أوفق للقائه و أورد ما وصل إلیه من شعره، و کذا فی (انجمن 4).</w:t>
      </w:r>
    </w:p>
    <w:p>
      <w:pPr>
        <w:pStyle w:val="Heading3"/>
      </w:pPr>
      <w:bookmarkStart w:id="9029" w:name="_Toc7725"/>
      <w:r>
        <w:t>6822- دیوان مشفق أصفهانی‏</w:t>
      </w:r>
      <w:bookmarkEnd w:id="9029"/>
    </w:p>
    <w:p>
      <w:pPr>
        <w:pStyle w:val="BookText"/>
      </w:pPr>
      <w:r>
        <w:rPr>
          <w:rFonts w:ascii="IRNazanin" w:hAnsi="IRNazanin" w:eastAsia="IRNazanin" w:cs="IRNazanin"/>
          <w:lang w:bidi="fa-IR"/>
          <w:color w:val="111111"/>
          <w:sz w:val="28"/>
          <w:szCs w:val="28"/>
          <w:rtl/>
        </w:rPr>
        <w:t xml:space="preserve">و اسمه آقا عبد الحسین الأصفهانی. توفی 1362 و قد طبع بعض قصائده فی آخر مصیبت‏نامه لصدیقه الصغیر المذکور فی ص 607.</w:t>
      </w:r>
    </w:p>
    <w:p>
      <w:pPr>
        <w:pStyle w:val="Heading3"/>
      </w:pPr>
      <w:bookmarkStart w:id="9030" w:name="_Toc7726"/>
      <w:r>
        <w:t>6823- دیوان مشفق شیرازی أو شعره‏</w:t>
      </w:r>
      <w:bookmarkEnd w:id="9030"/>
    </w:p>
    <w:p>
      <w:pPr>
        <w:pStyle w:val="BookText"/>
      </w:pPr>
      <w:r>
        <w:rPr>
          <w:rFonts w:ascii="IRNazanin" w:hAnsi="IRNazanin" w:eastAsia="IRNazanin" w:cs="IRNazanin"/>
          <w:lang w:bidi="fa-IR"/>
          <w:color w:val="111111"/>
          <w:sz w:val="28"/>
          <w:szCs w:val="28"/>
          <w:rtl/>
        </w:rPr>
        <w:t xml:space="preserve">و اسمه المیرزا محمد. ذکره صدیقه و مصاحبه فی (مع 2: ص 454) و ذکر أنه توفی. ثم أورد بعض أشعاره. و کذا فی فارس‏نامه- 2: 151.</w:t>
      </w:r>
    </w:p>
    <w:p>
      <w:pPr>
        <w:pStyle w:val="Heading3"/>
      </w:pPr>
      <w:bookmarkStart w:id="9031" w:name="_Toc7727"/>
      <w:r>
        <w:t>6824- دیوان مشفق کاشانی‏</w:t>
      </w:r>
      <w:bookmarkEnd w:id="9031"/>
    </w:p>
    <w:p>
      <w:pPr>
        <w:pStyle w:val="BookText"/>
      </w:pPr>
      <w:r>
        <w:rPr>
          <w:rFonts w:ascii="IRNazanin" w:hAnsi="IRNazanin" w:eastAsia="IRNazanin" w:cs="IRNazanin"/>
          <w:lang w:bidi="fa-IR"/>
          <w:color w:val="111111"/>
          <w:sz w:val="28"/>
          <w:szCs w:val="28"/>
          <w:rtl/>
        </w:rPr>
        <w:t xml:space="preserve">و اسمه عباس کیمنش. طبع له تضمین دوازده بند محتشم فی 1310 ش و خاطرات جوانی فی 1327 ش.</w:t>
      </w:r>
    </w:p>
    <w:p>
      <w:pPr>
        <w:pStyle w:val="Heading3"/>
      </w:pPr>
      <w:bookmarkStart w:id="9032" w:name="_Toc7728"/>
      <w:r>
        <w:t>6825- دیوان مشفق کرمانشاهی‏</w:t>
      </w:r>
      <w:bookmarkEnd w:id="9032"/>
    </w:p>
    <w:p>
      <w:pPr>
        <w:pStyle w:val="BookText"/>
      </w:pPr>
      <w:r>
        <w:rPr>
          <w:rFonts w:ascii="IRNazanin" w:hAnsi="IRNazanin" w:eastAsia="IRNazanin" w:cs="IRNazanin"/>
          <w:lang w:bidi="fa-IR"/>
          <w:color w:val="111111"/>
          <w:sz w:val="28"/>
          <w:szCs w:val="28"/>
          <w:rtl/>
        </w:rPr>
        <w:t xml:space="preserve">و اسمه پیر مراد بیک من إیل زنگنه. کان فی أواخر عمره فی شیراز معلما لأبناء الأمراء. و قد شرح بعض أشعار الحافظ نثرا، لکن لم یصر مقبولا کما ذکره معاصره فی (مع: ج 2 ص 446) و قال إن ولده المیرزا حیدر علی‏
</w:t>
      </w:r>
    </w:p>
    <w:p>
      <w:pPr>
        <w:sectPr>
          <w:footerReference w:type="default" r:id="rId1059"/>
          <w:footnotePr>
            <w:numStart w:val="1"/>
            <w:numRestart w:val="eachPage"/>
          </w:footnotePr>
          <w:pgSz w:orient="portrait" w:w="11905.511811023622" w:h="16837.79527559055"/>
          <w:pgMar w:top="1440" w:right="1440" w:bottom="1440" w:left="1440" w:header="720" w:footer="720" w:gutter="0"/>
          <w:cols w:num="1" w:space="720"/>
        </w:sectPr>
      </w:pPr>
    </w:p>
    <w:bookmarkStart w:id="1040" w:name="pg11704_122527"/>
    <w:bookmarkEnd w:id="1040"/>
    <w:p>
      <w:pPr>
        <w:pStyle w:val="BookText"/>
      </w:pPr>
      <w:r>
        <w:rPr>
          <w:rFonts w:ascii="IRNazanin" w:hAnsi="IRNazanin" w:eastAsia="IRNazanin" w:cs="IRNazanin"/>
          <w:lang w:bidi="fa-IR"/>
          <w:color w:val="111111"/>
          <w:sz w:val="28"/>
          <w:szCs w:val="28"/>
          <w:rtl/>
        </w:rPr>
        <w:t xml:space="preserve">من المعاریف، ثم أورد قلیلا من شعره.</w:t>
      </w:r>
    </w:p>
    <w:p>
      <w:pPr>
        <w:pStyle w:val="Heading3"/>
      </w:pPr>
      <w:bookmarkStart w:id="9033" w:name="_Toc7729"/>
      <w:r>
        <w:t>6826- دیوان مشفقی بخاری‏</w:t>
      </w:r>
      <w:bookmarkEnd w:id="9033"/>
    </w:p>
    <w:p>
      <w:pPr>
        <w:pStyle w:val="BookText"/>
      </w:pPr>
      <w:r>
        <w:rPr>
          <w:rFonts w:ascii="IRNazanin" w:hAnsi="IRNazanin" w:eastAsia="IRNazanin" w:cs="IRNazanin"/>
          <w:lang w:bidi="fa-IR"/>
          <w:color w:val="111111"/>
          <w:sz w:val="28"/>
          <w:szCs w:val="28"/>
          <w:rtl/>
        </w:rPr>
        <w:t xml:space="preserve">کان من شعراء عبد الله خان أزبک. و جاء إلی الهند فی عهد أکبر و رجع إلی بخارا و مات 995 کذا ترجمه و أورد شعره فی (نتایج- ص 620) و (طبق 2: 497) و (تش- ص 327). و یوجد نسخه من دیوان مشفقی بخاری فی (بنگاله) کتبت فی 983.</w:t>
      </w:r>
    </w:p>
    <w:p>
      <w:pPr>
        <w:pStyle w:val="Heading3"/>
      </w:pPr>
      <w:bookmarkStart w:id="9034" w:name="_Toc7730"/>
      <w:r>
        <w:t>6827- دیوان مولانا مشفقی بغدادی أو شعره‏</w:t>
      </w:r>
      <w:bookmarkEnd w:id="9034"/>
    </w:p>
    <w:p>
      <w:pPr>
        <w:pStyle w:val="BookText"/>
      </w:pPr>
      <w:r>
        <w:rPr>
          <w:rFonts w:ascii="IRNazanin" w:hAnsi="IRNazanin" w:eastAsia="IRNazanin" w:cs="IRNazanin"/>
          <w:lang w:bidi="fa-IR"/>
          <w:color w:val="111111"/>
          <w:sz w:val="28"/>
          <w:szCs w:val="28"/>
          <w:rtl/>
        </w:rPr>
        <w:t xml:space="preserve">ترجمه سام میرزا فی (تس 5- ص 138) و ذکر أنه من تلامیذ مولانا لسانی بل یعد ولده. و أورد تمام غزله الذی أنشأه فی التتبع عن مطلع غزل کمال الخجندی.</w:t>
      </w:r>
    </w:p>
    <w:p>
      <w:pPr>
        <w:pStyle w:val="Heading3"/>
      </w:pPr>
      <w:bookmarkStart w:id="9035" w:name="_Toc7731"/>
      <w:r>
        <w:t>6828- دیوان مشفقی قمی‏</w:t>
      </w:r>
      <w:bookmarkEnd w:id="9035"/>
    </w:p>
    <w:p>
      <w:pPr>
        <w:pStyle w:val="BookText"/>
      </w:pPr>
      <w:r>
        <w:rPr>
          <w:rFonts w:ascii="IRNazanin" w:hAnsi="IRNazanin" w:eastAsia="IRNazanin" w:cs="IRNazanin"/>
          <w:lang w:bidi="fa-IR"/>
          <w:color w:val="111111"/>
          <w:sz w:val="28"/>
          <w:szCs w:val="28"/>
          <w:rtl/>
        </w:rPr>
        <w:t xml:space="preserve">و اسمه محمد رضا و والده کان رئیس صنف البزازین بقم و اختار هو مجالسة الفضلاء و الأدباء و تتبع کثیرا من المتأخرین. ذکره النصرآبادی فی (نر 9- ص 366) و قال إنه ورد أصفهان قبل ذلک فأدرکت صحبته. ثم أورد جملة من شعره و کذا فی (گلشن- ص 418).</w:t>
      </w:r>
    </w:p>
    <w:p>
      <w:pPr>
        <w:pStyle w:val="Heading3"/>
      </w:pPr>
      <w:bookmarkStart w:id="9036" w:name="_Toc7732"/>
      <w:r>
        <w:t>6829- دیوان مشفقی کاشانی أو شعره‏</w:t>
      </w:r>
      <w:bookmarkEnd w:id="9036"/>
    </w:p>
    <w:p>
      <w:pPr>
        <w:pStyle w:val="BookText"/>
      </w:pPr>
      <w:r>
        <w:rPr>
          <w:rFonts w:ascii="IRNazanin" w:hAnsi="IRNazanin" w:eastAsia="IRNazanin" w:cs="IRNazanin"/>
          <w:lang w:bidi="fa-IR"/>
          <w:color w:val="111111"/>
          <w:sz w:val="28"/>
          <w:szCs w:val="28"/>
          <w:rtl/>
        </w:rPr>
        <w:t xml:space="preserve">کان یشتغل ببیع الکرباس فی کاشان أورد شعره فی (تش- ص 253) و همیشه بهار.</w:t>
      </w:r>
    </w:p>
    <w:p>
      <w:pPr>
        <w:pStyle w:val="Heading3"/>
      </w:pPr>
      <w:bookmarkStart w:id="9037" w:name="_Toc7733"/>
      <w:r>
        <w:t>6830- دیوان مشفقی کشمیری أو شعره‏</w:t>
      </w:r>
      <w:bookmarkEnd w:id="9037"/>
    </w:p>
    <w:p>
      <w:pPr>
        <w:pStyle w:val="BookText"/>
      </w:pPr>
      <w:r>
        <w:rPr>
          <w:rFonts w:ascii="IRNazanin" w:hAnsi="IRNazanin" w:eastAsia="IRNazanin" w:cs="IRNazanin"/>
          <w:lang w:bidi="fa-IR"/>
          <w:color w:val="111111"/>
          <w:sz w:val="28"/>
          <w:szCs w:val="28"/>
          <w:rtl/>
        </w:rPr>
        <w:t xml:space="preserve">کان یسکن أکبرآباد الهند. أورد شعره فی (گلشن- ص 417).</w:t>
      </w:r>
    </w:p>
    <w:p>
      <w:pPr>
        <w:pStyle w:val="Heading3"/>
      </w:pPr>
      <w:bookmarkStart w:id="9038" w:name="_Toc7734"/>
      <w:r>
        <w:t>6831- دیوان مشفقی هروی‏</w:t>
      </w:r>
      <w:bookmarkEnd w:id="9038"/>
    </w:p>
    <w:p>
      <w:pPr>
        <w:pStyle w:val="BookText"/>
      </w:pPr>
      <w:r>
        <w:rPr>
          <w:rFonts w:ascii="IRNazanin" w:hAnsi="IRNazanin" w:eastAsia="IRNazanin" w:cs="IRNazanin"/>
          <w:lang w:bidi="fa-IR"/>
          <w:color w:val="111111"/>
          <w:sz w:val="28"/>
          <w:szCs w:val="28"/>
          <w:rtl/>
        </w:rPr>
        <w:t xml:space="preserve">یوجد نسخه منه عند صادق وحدت بطهران، یشتمل علی 3000 بیت تقریبا.</w:t>
      </w:r>
    </w:p>
    <w:p>
      <w:pPr>
        <w:pStyle w:val="Heading3"/>
      </w:pPr>
      <w:bookmarkStart w:id="9039" w:name="_Toc7735"/>
      <w:r>
        <w:t>6832- دیوان مشکاة بیرجندی‏</w:t>
      </w:r>
      <w:bookmarkEnd w:id="9039"/>
    </w:p>
    <w:p>
      <w:pPr>
        <w:pStyle w:val="BookText"/>
      </w:pPr>
      <w:r>
        <w:rPr>
          <w:rFonts w:ascii="IRNazanin" w:hAnsi="IRNazanin" w:eastAsia="IRNazanin" w:cs="IRNazanin"/>
          <w:lang w:bidi="fa-IR"/>
          <w:color w:val="111111"/>
          <w:sz w:val="28"/>
          <w:szCs w:val="28"/>
          <w:rtl/>
        </w:rPr>
        <w:t xml:space="preserve">و هو السید محمد المشکاة أستاذ جامعة طهران و صاحب المکتبة التی أهداها إلی جامعة طهران. ولد 1312 و طبع بعض غزلیاته فی طهران فی 20 ص. فی 1337 ش.</w:t>
      </w:r>
    </w:p>
    <w:p>
      <w:pPr>
        <w:pStyle w:val="Heading3"/>
      </w:pPr>
      <w:bookmarkStart w:id="9040" w:name="_Toc7736"/>
      <w:r>
        <w:t>6833- دیوان مشکاة المحبة</w:t>
      </w:r>
      <w:bookmarkEnd w:id="9040"/>
    </w:p>
    <w:p>
      <w:pPr>
        <w:pStyle w:val="BookText"/>
      </w:pPr>
      <w:r>
        <w:rPr>
          <w:rFonts w:ascii="IRNazanin" w:hAnsi="IRNazanin" w:eastAsia="IRNazanin" w:cs="IRNazanin"/>
          <w:lang w:bidi="fa-IR"/>
          <w:color w:val="111111"/>
          <w:sz w:val="28"/>
          <w:szCs w:val="28"/>
          <w:rtl/>
        </w:rPr>
        <w:t xml:space="preserve">و اسمه الشیخ علی الکاشمری المتخلص مشکاة المحبة.</w:t>
      </w:r>
    </w:p>
    <w:p>
      <w:pPr>
        <w:pStyle w:val="BookText"/>
      </w:pPr>
      <w:r>
        <w:rPr>
          <w:rFonts w:ascii="IRNazanin" w:hAnsi="IRNazanin" w:eastAsia="IRNazanin" w:cs="IRNazanin"/>
          <w:lang w:bidi="fa-IR"/>
          <w:color w:val="111111"/>
          <w:sz w:val="28"/>
          <w:szCs w:val="28"/>
          <w:rtl/>
        </w:rPr>
        <w:t xml:space="preserve">طبع له منظومة مشکاة الجنان و شعلة سوزان فی 1365 فی 311 ص.</w:t>
      </w:r>
    </w:p>
    <w:p>
      <w:pPr>
        <w:pStyle w:val="Heading3"/>
      </w:pPr>
      <w:bookmarkStart w:id="9041" w:name="_Toc7737"/>
      <w:r>
        <w:t>6834- دیوان مشکی أصفهانی‏</w:t>
      </w:r>
      <w:bookmarkEnd w:id="9041"/>
    </w:p>
    <w:p>
      <w:pPr>
        <w:pStyle w:val="BookText"/>
      </w:pPr>
      <w:r>
        <w:rPr>
          <w:rFonts w:ascii="IRNazanin" w:hAnsi="IRNazanin" w:eastAsia="IRNazanin" w:cs="IRNazanin"/>
          <w:lang w:bidi="fa-IR"/>
          <w:color w:val="111111"/>
          <w:sz w:val="28"/>
          <w:szCs w:val="28"/>
          <w:rtl/>
        </w:rPr>
        <w:t xml:space="preserve">بکسر المیم لمیل لونه إلی السواد. کان بیاع الثلج علی باب الجامع بأصفهان و کان یجالس هناک مع الأدباء. ترجمه معاصره الصادقی فی (خص 8-
</w:t>
      </w:r>
    </w:p>
    <w:p>
      <w:pPr>
        <w:sectPr>
          <w:footerReference w:type="default" r:id="rId1060"/>
          <w:footnotePr>
            <w:numStart w:val="1"/>
            <w:numRestart w:val="eachPage"/>
          </w:footnotePr>
          <w:pgSz w:orient="portrait" w:w="11905.511811023622" w:h="16837.79527559055"/>
          <w:pgMar w:top="1440" w:right="1440" w:bottom="1440" w:left="1440" w:header="720" w:footer="720" w:gutter="0"/>
          <w:cols w:num="1" w:space="720"/>
        </w:sectPr>
      </w:pPr>
    </w:p>
    <w:bookmarkStart w:id="1041" w:name="pg11704_122528"/>
    <w:bookmarkEnd w:id="1041"/>
    <w:p>
      <w:pPr>
        <w:pStyle w:val="BookText"/>
      </w:pPr>
      <w:r>
        <w:rPr>
          <w:rFonts w:ascii="IRNazanin" w:hAnsi="IRNazanin" w:eastAsia="IRNazanin" w:cs="IRNazanin"/>
          <w:lang w:bidi="fa-IR"/>
          <w:color w:val="111111"/>
          <w:sz w:val="28"/>
          <w:szCs w:val="28"/>
          <w:rtl/>
        </w:rPr>
        <w:t xml:space="preserve">ص 238) و أورد شعره.</w:t>
      </w:r>
    </w:p>
    <w:p>
      <w:pPr>
        <w:pStyle w:val="Heading3"/>
      </w:pPr>
      <w:bookmarkStart w:id="9042" w:name="_Toc7738"/>
      <w:r>
        <w:t>6835- دیوان مشکی تبریزی أو شعره‏</w:t>
      </w:r>
      <w:bookmarkEnd w:id="9042"/>
    </w:p>
    <w:p>
      <w:pPr>
        <w:pStyle w:val="BookText"/>
      </w:pPr>
      <w:r>
        <w:rPr>
          <w:rFonts w:ascii="IRNazanin" w:hAnsi="IRNazanin" w:eastAsia="IRNazanin" w:cs="IRNazanin"/>
          <w:lang w:bidi="fa-IR"/>
          <w:color w:val="111111"/>
          <w:sz w:val="28"/>
          <w:szCs w:val="28"/>
          <w:rtl/>
        </w:rPr>
        <w:t xml:space="preserve">و اسمه علاء بیک شغله بیع المسک- و بالفارسیة (مشک) بضم المیم- ترجمه سام میرزا فی (تس 5- ص 175) و أورد شعره مع تصرف فی مصرعه الأول. و ترجمه فی (دجا- ص 343) نقلا عن سام میرزا و کذا فی (گلشن- 418).</w:t>
      </w:r>
    </w:p>
    <w:p>
      <w:pPr>
        <w:pStyle w:val="Heading3"/>
      </w:pPr>
      <w:bookmarkStart w:id="9043" w:name="_Toc7739"/>
      <w:r>
        <w:t>6836- دیوان مشکی تبریزی أو شعره‏</w:t>
      </w:r>
      <w:bookmarkEnd w:id="9043"/>
    </w:p>
    <w:p>
      <w:pPr>
        <w:pStyle w:val="BookText"/>
      </w:pPr>
      <w:r>
        <w:rPr>
          <w:rFonts w:ascii="IRNazanin" w:hAnsi="IRNazanin" w:eastAsia="IRNazanin" w:cs="IRNazanin"/>
          <w:lang w:bidi="fa-IR"/>
          <w:color w:val="111111"/>
          <w:sz w:val="28"/>
          <w:szCs w:val="28"/>
          <w:rtl/>
        </w:rPr>
        <w:t xml:space="preserve">و اسمه محمود. ترجمه معاصره سام میرزا فی (تس 5- ص 171) و قال إنه مسلم عند الشعراء هناک و لا سیما فی القصیدة و الغزل ثم أورد مطلعین من غزلیاته. و قال فی (تش- ص 34) و (گلشن- ص 418) أنه کان بیاع المسک.</w:t>
      </w:r>
    </w:p>
    <w:p>
      <w:pPr>
        <w:pStyle w:val="Heading3"/>
      </w:pPr>
      <w:bookmarkStart w:id="9044" w:name="_Toc7740"/>
      <w:r>
        <w:t>6837- دیوان مشکی غزنوی أو شعره‏</w:t>
      </w:r>
      <w:bookmarkEnd w:id="9044"/>
    </w:p>
    <w:p>
      <w:pPr>
        <w:pStyle w:val="BookText"/>
      </w:pPr>
      <w:r>
        <w:rPr>
          <w:rFonts w:ascii="IRNazanin" w:hAnsi="IRNazanin" w:eastAsia="IRNazanin" w:cs="IRNazanin"/>
          <w:lang w:bidi="fa-IR"/>
          <w:color w:val="111111"/>
          <w:sz w:val="28"/>
          <w:szCs w:val="28"/>
          <w:rtl/>
        </w:rPr>
        <w:t xml:space="preserve">و اسمه درویش مشکی سکن أصفهان أورد شعره فی (گلشن- ص 418).</w:t>
      </w:r>
    </w:p>
    <w:p>
      <w:pPr>
        <w:pStyle w:val="Heading3"/>
      </w:pPr>
      <w:bookmarkStart w:id="9045" w:name="_Toc7741"/>
      <w:r>
        <w:t>6838- دیوان مشکین طهرانی‏</w:t>
      </w:r>
      <w:bookmarkEnd w:id="9045"/>
    </w:p>
    <w:p>
      <w:pPr>
        <w:pStyle w:val="BookText"/>
      </w:pPr>
      <w:r>
        <w:rPr>
          <w:rFonts w:ascii="IRNazanin" w:hAnsi="IRNazanin" w:eastAsia="IRNazanin" w:cs="IRNazanin"/>
          <w:lang w:bidi="fa-IR"/>
          <w:color w:val="111111"/>
          <w:sz w:val="28"/>
          <w:szCs w:val="28"/>
          <w:rtl/>
        </w:rPr>
        <w:t xml:space="preserve">و هو الحاج حسین بابا بن ملا آقا خان المداح کان شاهنامه‏خوان فی المقاهی و مات بقزوین عن ستین سنة من عمره. کان فی 1320 حیا بطهران. طبع الشهشهانی دیوانه فی 55 ص صغیرة. و یوجد مخطوطه فی (الرضویة)</w:t>
      </w:r>
    </w:p>
    <w:p>
      <w:pPr>
        <w:pStyle w:val="Heading3"/>
      </w:pPr>
      <w:bookmarkStart w:id="9046" w:name="_Toc7742"/>
      <w:r>
        <w:t>دیوان مشهدی‏</w:t>
      </w:r>
      <w:bookmarkEnd w:id="9046"/>
    </w:p>
    <w:p>
      <w:pPr>
        <w:pStyle w:val="BookText"/>
      </w:pPr>
      <w:r>
        <w:rPr>
          <w:rFonts w:ascii="IRNazanin" w:hAnsi="IRNazanin" w:eastAsia="IRNazanin" w:cs="IRNazanin"/>
          <w:lang w:bidi="fa-IR"/>
          <w:color w:val="111111"/>
          <w:sz w:val="28"/>
          <w:szCs w:val="28"/>
          <w:rtl/>
        </w:rPr>
        <w:t xml:space="preserve">مر بعنوان فنائی مشهدی فی 849.</w:t>
      </w:r>
    </w:p>
    <w:p>
      <w:pPr>
        <w:pStyle w:val="Heading3"/>
      </w:pPr>
      <w:bookmarkStart w:id="9047" w:name="_Toc7743"/>
      <w:r>
        <w:t>دیوان مشهدی‏</w:t>
      </w:r>
      <w:bookmarkEnd w:id="9047"/>
    </w:p>
    <w:p>
      <w:pPr>
        <w:pStyle w:val="BookText"/>
      </w:pPr>
      <w:r>
        <w:rPr>
          <w:rFonts w:ascii="IRNazanin" w:hAnsi="IRNazanin" w:eastAsia="IRNazanin" w:cs="IRNazanin"/>
          <w:lang w:bidi="fa-IR"/>
          <w:color w:val="111111"/>
          <w:sz w:val="28"/>
          <w:szCs w:val="28"/>
          <w:rtl/>
        </w:rPr>
        <w:t xml:space="preserve">محمد رضا. قال فی کشف الظنون إن له ساقی‏نامه أقول و لعله چرخ تاب المذکور فی ص 997.</w:t>
      </w:r>
    </w:p>
    <w:p>
      <w:pPr>
        <w:pStyle w:val="Heading3"/>
      </w:pPr>
      <w:bookmarkStart w:id="9048" w:name="_Toc7744"/>
      <w:r>
        <w:t>6839- دیوان مشهدی سیتاپوری أو شعره‏</w:t>
      </w:r>
      <w:bookmarkEnd w:id="9048"/>
    </w:p>
    <w:p>
      <w:pPr>
        <w:pStyle w:val="BookText"/>
      </w:pPr>
      <w:r>
        <w:rPr>
          <w:rFonts w:ascii="IRNazanin" w:hAnsi="IRNazanin" w:eastAsia="IRNazanin" w:cs="IRNazanin"/>
          <w:lang w:bidi="fa-IR"/>
          <w:color w:val="111111"/>
          <w:sz w:val="28"/>
          <w:szCs w:val="28"/>
          <w:rtl/>
        </w:rPr>
        <w:t xml:space="preserve">و هو المیر محمد آصف السیتاپوری من أعمال خیرآباد الهند أصله من مشهد خراسان و لذا تخلص به أورد شعره فی (گلشن- ص 419).</w:t>
      </w:r>
    </w:p>
    <w:p>
      <w:pPr>
        <w:pStyle w:val="Heading3"/>
      </w:pPr>
      <w:bookmarkStart w:id="9049" w:name="_Toc7745"/>
      <w:r>
        <w:t>6840- دیوان مشهور تبریزی أو شعره‏</w:t>
      </w:r>
      <w:bookmarkEnd w:id="9049"/>
    </w:p>
    <w:p>
      <w:pPr>
        <w:pStyle w:val="BookText"/>
      </w:pPr>
      <w:r>
        <w:rPr>
          <w:rFonts w:ascii="IRNazanin" w:hAnsi="IRNazanin" w:eastAsia="IRNazanin" w:cs="IRNazanin"/>
          <w:lang w:bidi="fa-IR"/>
          <w:color w:val="111111"/>
          <w:sz w:val="28"/>
          <w:szCs w:val="28"/>
          <w:rtl/>
        </w:rPr>
        <w:t xml:space="preserve">اسمه محمد زمان نجار السروج فی تبریز ترجمه فی (دجا- ص 166) نقلا عن تذکره لطائف الخیال‏</w:t>
      </w:r>
      <w:r>
        <w:rPr>
          <w:rStyle w:val="FootnoteReference"/>
        </w:rPr>
        <w:footnoteReference w:id="87"/>
      </w:r>
      <w:r>
        <w:rPr>
          <w:rFonts w:ascii="IRNazanin" w:hAnsi="IRNazanin" w:eastAsia="IRNazanin" w:cs="IRNazanin"/>
          <w:lang w:bidi="fa-IR"/>
          <w:color w:val="111111"/>
          <w:sz w:val="28"/>
          <w:szCs w:val="28"/>
          <w:rtl/>
        </w:rPr>
        <w:t xml:space="preserve">أورد بعض شعره نقلا
</w:t>
      </w:r>
    </w:p>
    <w:p>
      <w:pPr>
        <w:sectPr>
          <w:footerReference w:type="default" r:id="rId1061"/>
          <w:footnotePr>
            <w:numStart w:val="1"/>
            <w:numRestart w:val="eachPage"/>
          </w:footnotePr>
          <w:pgSz w:orient="portrait" w:w="11905.511811023622" w:h="16837.79527559055"/>
          <w:pgMar w:top="1440" w:right="1440" w:bottom="1440" w:left="1440" w:header="720" w:footer="720" w:gutter="0"/>
          <w:cols w:num="1" w:space="720"/>
        </w:sectPr>
      </w:pPr>
    </w:p>
    <w:bookmarkStart w:id="1042" w:name="pg11704_122529"/>
    <w:bookmarkEnd w:id="1042"/>
    <w:p>
      <w:pPr>
        <w:pStyle w:val="BookText"/>
      </w:pPr>
      <w:r>
        <w:rPr>
          <w:rFonts w:ascii="IRNazanin" w:hAnsi="IRNazanin" w:eastAsia="IRNazanin" w:cs="IRNazanin"/>
          <w:lang w:bidi="fa-IR"/>
          <w:color w:val="111111"/>
          <w:sz w:val="28"/>
          <w:szCs w:val="28"/>
          <w:rtl/>
        </w:rPr>
        <w:t xml:space="preserve">عن بیاض میرزا صائب. و ترجمه معاصره فی (نر 9- ص 400) و ذکر أنه سافر إلی الهند و بعد رجوعه توفی فی هرات فی دار شیخ الإسلام بها. و ترجم أیضا فی (سرخوش- ص 110) و (حسینی- ص 304) و (مسرت- ص 540) و (گلشن- ص 419).</w:t>
      </w:r>
    </w:p>
    <w:p>
      <w:pPr>
        <w:pStyle w:val="Heading3"/>
      </w:pPr>
      <w:bookmarkStart w:id="9050" w:name="_Toc7746"/>
      <w:r>
        <w:t>6841- دیوان مشیر هندی أو شعره‏</w:t>
      </w:r>
      <w:bookmarkEnd w:id="9050"/>
    </w:p>
    <w:p>
      <w:pPr>
        <w:pStyle w:val="BookText"/>
      </w:pPr>
      <w:r>
        <w:rPr>
          <w:rFonts w:ascii="IRNazanin" w:hAnsi="IRNazanin" w:eastAsia="IRNazanin" w:cs="IRNazanin"/>
          <w:lang w:bidi="fa-IR"/>
          <w:color w:val="111111"/>
          <w:sz w:val="28"/>
          <w:szCs w:val="28"/>
          <w:rtl/>
        </w:rPr>
        <w:t xml:space="preserve">ترجمه و أورد شعره فی (گلشن- ص 419).</w:t>
      </w:r>
    </w:p>
    <w:p>
      <w:pPr>
        <w:pStyle w:val="Heading3"/>
      </w:pPr>
      <w:bookmarkStart w:id="9051" w:name="_Toc7747"/>
      <w:r>
        <w:t>دیوان مشیر فراهانی‏</w:t>
      </w:r>
      <w:bookmarkEnd w:id="9051"/>
    </w:p>
    <w:p>
      <w:pPr>
        <w:pStyle w:val="BookText"/>
      </w:pPr>
      <w:r>
        <w:rPr>
          <w:rFonts w:ascii="IRNazanin" w:hAnsi="IRNazanin" w:eastAsia="IRNazanin" w:cs="IRNazanin"/>
          <w:lang w:bidi="fa-IR"/>
          <w:color w:val="111111"/>
          <w:sz w:val="28"/>
          <w:szCs w:val="28"/>
          <w:rtl/>
        </w:rPr>
        <w:t xml:space="preserve">و هو لقب آخر لثنائی فراهانی المذکور فی ص 185 کما فی (انجمن 3).</w:t>
      </w:r>
    </w:p>
    <w:p>
      <w:pPr>
        <w:pStyle w:val="Heading3"/>
      </w:pPr>
      <w:bookmarkStart w:id="9052" w:name="_Toc7748"/>
      <w:r>
        <w:t>6842- دیوان مشیری تهرانی‏</w:t>
      </w:r>
      <w:bookmarkEnd w:id="9052"/>
    </w:p>
    <w:p>
      <w:pPr>
        <w:pStyle w:val="BookText"/>
      </w:pPr>
      <w:r>
        <w:rPr>
          <w:rFonts w:ascii="IRNazanin" w:hAnsi="IRNazanin" w:eastAsia="IRNazanin" w:cs="IRNazanin"/>
          <w:lang w:bidi="fa-IR"/>
          <w:color w:val="111111"/>
          <w:sz w:val="28"/>
          <w:szCs w:val="28"/>
          <w:rtl/>
        </w:rPr>
        <w:t xml:space="preserve">و اسمه فریدون بن إبراهیم ولد بطهران فی 1344 و طبع له منظومات تشنه طوفان فی 175 ص. و گناه دریا فی 100 ص.</w:t>
      </w:r>
    </w:p>
    <w:p>
      <w:pPr>
        <w:pStyle w:val="BookText"/>
      </w:pPr>
      <w:r>
        <w:rPr>
          <w:rFonts w:ascii="IRNazanin" w:hAnsi="IRNazanin" w:eastAsia="IRNazanin" w:cs="IRNazanin"/>
          <w:lang w:bidi="fa-IR"/>
          <w:color w:val="111111"/>
          <w:sz w:val="28"/>
          <w:szCs w:val="28"/>
          <w:rtl/>
        </w:rPr>
        <w:t xml:space="preserve">فی 1335 ش. و می‏گون و پرستو ترجمه البرقعی فی سخنوران نامی معاصر- 2: 260 و مجلة پیام نوین- 2: 8: ص 13- 32.</w:t>
      </w:r>
    </w:p>
    <w:p>
      <w:pPr>
        <w:pStyle w:val="Heading3"/>
      </w:pPr>
      <w:bookmarkStart w:id="9053" w:name="_Toc7749"/>
      <w:r>
        <w:t>6843- دیوان مصاحب تبریزی أو شعره‏</w:t>
      </w:r>
      <w:bookmarkEnd w:id="9053"/>
    </w:p>
    <w:p>
      <w:pPr>
        <w:pStyle w:val="BookText"/>
      </w:pPr>
      <w:r>
        <w:rPr>
          <w:rFonts w:ascii="IRNazanin" w:hAnsi="IRNazanin" w:eastAsia="IRNazanin" w:cs="IRNazanin"/>
          <w:lang w:bidi="fa-IR"/>
          <w:color w:val="111111"/>
          <w:sz w:val="28"/>
          <w:szCs w:val="28"/>
          <w:rtl/>
        </w:rPr>
        <w:t xml:space="preserve">کان ماهرا فی خط الغبار. ترجمه فی (دجا- ص 347) نقلا عن (گلشن- ص 420) و أورد شعره و قال کان ماهرا فی خط الغبار.</w:t>
      </w:r>
    </w:p>
    <w:p>
      <w:pPr>
        <w:pStyle w:val="Heading3"/>
      </w:pPr>
      <w:bookmarkStart w:id="9054" w:name="_Toc7750"/>
      <w:r>
        <w:t>6844- دیوان مصاحب کشمیری أو شعره‏</w:t>
      </w:r>
      <w:bookmarkEnd w:id="9054"/>
    </w:p>
    <w:p>
      <w:pPr>
        <w:pStyle w:val="BookText"/>
      </w:pPr>
      <w:r>
        <w:rPr>
          <w:rFonts w:ascii="IRNazanin" w:hAnsi="IRNazanin" w:eastAsia="IRNazanin" w:cs="IRNazanin"/>
          <w:lang w:bidi="fa-IR"/>
          <w:color w:val="111111"/>
          <w:sz w:val="28"/>
          <w:szCs w:val="28"/>
          <w:rtl/>
        </w:rPr>
        <w:t xml:space="preserve">و اسمه پندیت مصاحب رام من شعراء فرخ‏آباد. أورد شعره فی (گلشن- ص 419).</w:t>
      </w:r>
    </w:p>
    <w:p>
      <w:pPr>
        <w:pStyle w:val="Heading3"/>
      </w:pPr>
      <w:bookmarkStart w:id="9055" w:name="_Toc7751"/>
      <w:r>
        <w:t>6845- دیوان مصاحب گنجی أو شعره‏</w:t>
      </w:r>
      <w:bookmarkEnd w:id="9055"/>
    </w:p>
    <w:p>
      <w:pPr>
        <w:pStyle w:val="BookText"/>
      </w:pPr>
      <w:r>
        <w:rPr>
          <w:rFonts w:ascii="IRNazanin" w:hAnsi="IRNazanin" w:eastAsia="IRNazanin" w:cs="IRNazanin"/>
          <w:lang w:bidi="fa-IR"/>
          <w:color w:val="111111"/>
          <w:sz w:val="28"/>
          <w:szCs w:val="28"/>
          <w:rtl/>
        </w:rPr>
        <w:t xml:space="preserve">و اسمه کربلائی علی خان زیاد أوغلو. کان من ندماء الشاه عباس الثانی. ترجمه فی (دجا- ص 347) و أورد شعره نقلا عن گلستان إرم.</w:t>
      </w:r>
    </w:p>
    <w:p>
      <w:pPr>
        <w:pStyle w:val="Heading3"/>
      </w:pPr>
      <w:bookmarkStart w:id="9056" w:name="_Toc7752"/>
      <w:r>
        <w:t>6846- دیوان مصاحب نائنی‏</w:t>
      </w:r>
      <w:bookmarkEnd w:id="9056"/>
    </w:p>
    <w:p>
      <w:pPr>
        <w:pStyle w:val="BookText"/>
      </w:pPr>
      <w:r>
        <w:rPr>
          <w:rFonts w:ascii="IRNazanin" w:hAnsi="IRNazanin" w:eastAsia="IRNazanin" w:cs="IRNazanin"/>
          <w:lang w:bidi="fa-IR"/>
          <w:color w:val="111111"/>
          <w:sz w:val="28"/>
          <w:szCs w:val="28"/>
          <w:rtl/>
        </w:rPr>
        <w:t xml:space="preserve">المعمر المتجاوز عمره عن السبعین و الماهر فی علم الرمل. قال النصرآبادی فی (نر 9- ص 335) مع أنه لا اعتقاد لی بعلم الرمل الا أنی رأیت منه استخراجا غریبا، ثم أورد رباعیه. و ترجمه فی (تش- ص 196) و (مع 2- ص 35) و ذکر أنه کان نزیل أصفهان مکثرا من الهزلیات، ثم أورد له رائیة هزلیة قرب أربعین بیتا فی تتبع قصیدة سوزنی، آخرها:</w:t>
      </w:r>
    </w:p>
    <w:p>
      <w:pPr>
        <w:pStyle w:val="BookText"/>
      </w:pPr>
      <w:r>
        <w:rPr>
          <w:rFonts w:ascii="IRNazanin" w:hAnsi="IRNazanin" w:eastAsia="IRNazanin" w:cs="IRNazanin"/>
          <w:lang w:bidi="fa-IR"/>
          <w:color w:val="111111"/>
          <w:sz w:val="28"/>
          <w:szCs w:val="28"/>
          <w:rtl/>
        </w:rPr>
        <w:t xml:space="preserve">حکیم سوزنی از گفته منفعل گردد</w:t>
      </w:r>
    </w:p>
    <w:p>
      <w:pPr>
        <w:pStyle w:val="BookText"/>
      </w:pPr>
      <w:r>
        <w:rPr>
          <w:rFonts w:ascii="IRNazanin" w:hAnsi="IRNazanin" w:eastAsia="IRNazanin" w:cs="IRNazanin"/>
          <w:lang w:bidi="fa-IR"/>
          <w:color w:val="111111"/>
          <w:sz w:val="28"/>
          <w:szCs w:val="28"/>
          <w:rtl/>
        </w:rPr>
        <w:t xml:space="preserve">اگر کند بسمرقند این قصیدة گذر</w:t>
      </w:r>
    </w:p>
    <w:p>
      <w:pPr>
        <w:pStyle w:val="BookText"/>
      </w:pPr>
      <w:r>
        <w:rPr>
          <w:rFonts w:ascii="IRNazanin" w:hAnsi="IRNazanin" w:eastAsia="IRNazanin" w:cs="IRNazanin"/>
          <w:lang w:bidi="fa-IR"/>
          <w:color w:val="111111"/>
          <w:sz w:val="28"/>
          <w:szCs w:val="28"/>
          <w:rtl/>
        </w:rPr>
        <w:t xml:space="preserve">و ترجمه آیتی فی (تش یز- ص 330) فی عداد شعراء یزد مع أنه نائنی نزیل أصفهان‏
</w:t>
      </w:r>
    </w:p>
    <w:p>
      <w:pPr>
        <w:sectPr>
          <w:footerReference w:type="default" r:id="rId1062"/>
          <w:footnotePr>
            <w:numStart w:val="1"/>
            <w:numRestart w:val="eachPage"/>
          </w:footnotePr>
          <w:pgSz w:orient="portrait" w:w="11905.511811023622" w:h="16837.79527559055"/>
          <w:pgMar w:top="1440" w:right="1440" w:bottom="1440" w:left="1440" w:header="720" w:footer="720" w:gutter="0"/>
          <w:cols w:num="1" w:space="720"/>
        </w:sectPr>
      </w:pPr>
    </w:p>
    <w:bookmarkStart w:id="1043" w:name="pg11704_122530"/>
    <w:bookmarkEnd w:id="1043"/>
    <w:p>
      <w:pPr>
        <w:pStyle w:val="BookText"/>
      </w:pPr>
      <w:r>
        <w:rPr>
          <w:rFonts w:ascii="IRNazanin" w:hAnsi="IRNazanin" w:eastAsia="IRNazanin" w:cs="IRNazanin"/>
          <w:lang w:bidi="fa-IR"/>
          <w:color w:val="111111"/>
          <w:sz w:val="28"/>
          <w:szCs w:val="28"/>
          <w:rtl/>
        </w:rPr>
        <w:t xml:space="preserve">و کأنه حسب نائن من محال یزد. و کذا فی (گلشن- ص 420) و تاریخ نایین- ص 197 و 204.</w:t>
      </w:r>
    </w:p>
    <w:p>
      <w:pPr>
        <w:pStyle w:val="Heading3"/>
      </w:pPr>
      <w:bookmarkStart w:id="9057" w:name="_Toc7753"/>
      <w:r>
        <w:t>6847- دیوان مصباح‏</w:t>
      </w:r>
      <w:bookmarkEnd w:id="9057"/>
    </w:p>
    <w:p>
      <w:pPr>
        <w:pStyle w:val="BookText"/>
      </w:pPr>
      <w:r>
        <w:rPr>
          <w:rFonts w:ascii="IRNazanin" w:hAnsi="IRNazanin" w:eastAsia="IRNazanin" w:cs="IRNazanin"/>
          <w:lang w:bidi="fa-IR"/>
          <w:color w:val="111111"/>
          <w:sz w:val="28"/>
          <w:szCs w:val="28"/>
          <w:rtl/>
        </w:rPr>
        <w:t xml:space="preserve">هو تخلص الحاج میرزا إسماعیل بن آقا زین العابدین نجم الممالک و حفید الحاج میرزا محمد علی نجم الدولة. و هو المنجم الذی طبع و نشر دفتر تقویمه من 1341 کما ذکرناه فی ج 4 ص 402. ذکر لی أنه ولد فی 1300 و أن دیوانه فارسی یقرب من سبعة آلاف بیت کما ذکره. و له تصانیف ذکرت فی محالها.</w:t>
      </w:r>
    </w:p>
    <w:p>
      <w:pPr>
        <w:pStyle w:val="Heading3"/>
      </w:pPr>
      <w:bookmarkStart w:id="9058" w:name="_Toc7754"/>
      <w:r>
        <w:t>6848- دیوان مصباح قهفرخی أو شعره‏</w:t>
      </w:r>
      <w:bookmarkEnd w:id="9058"/>
    </w:p>
    <w:p>
      <w:pPr>
        <w:pStyle w:val="BookText"/>
      </w:pPr>
      <w:r>
        <w:rPr>
          <w:rFonts w:ascii="IRNazanin" w:hAnsi="IRNazanin" w:eastAsia="IRNazanin" w:cs="IRNazanin"/>
          <w:lang w:bidi="fa-IR"/>
          <w:color w:val="111111"/>
          <w:sz w:val="28"/>
          <w:szCs w:val="28"/>
          <w:rtl/>
        </w:rPr>
        <w:t xml:space="preserve">و اسمه علی جان بن عبد الله ولد بقهفرخ أصفهان فی 1283 و مات بها فی 1358 أورد شعره فی شعرای معاصر أصفهان- ص 453.</w:t>
      </w:r>
    </w:p>
    <w:p>
      <w:pPr>
        <w:pStyle w:val="Heading3"/>
      </w:pPr>
      <w:bookmarkStart w:id="9059" w:name="_Toc7755"/>
      <w:r>
        <w:t>6849- دیوان مصحفی همدانی‏</w:t>
      </w:r>
      <w:bookmarkEnd w:id="9059"/>
    </w:p>
    <w:p>
      <w:pPr>
        <w:pStyle w:val="BookText"/>
      </w:pPr>
      <w:r>
        <w:rPr>
          <w:rFonts w:ascii="IRNazanin" w:hAnsi="IRNazanin" w:eastAsia="IRNazanin" w:cs="IRNazanin"/>
          <w:lang w:bidi="fa-IR"/>
          <w:color w:val="111111"/>
          <w:sz w:val="28"/>
          <w:szCs w:val="28"/>
          <w:rtl/>
        </w:rPr>
        <w:t xml:space="preserve">و اسمه الشیخ غلام بن محمد أصله من أمروهة و سکن لکهنو و بها مات فی 1240 و له تذکرتی عقد ثریا المطبوع 1934 م و تذکره هندی المؤلف 1209 و المطبوع 1933 م و قال فی (نتایج- ص 700) إن له تذکرتین و ستة دواوین فی لسان ریخته أی الأردویة و دیوان فارسی و ترجم فی (روشن- ص 416) و جاء شعره فی (مسرت- ص 221) أیضا و کتب أبو اللیث صدیقی أحواله فی مقالة نشرت فی اوریانتال- ج 25 و 26</w:t>
      </w:r>
    </w:p>
    <w:p>
      <w:pPr>
        <w:pStyle w:val="Heading3"/>
      </w:pPr>
      <w:bookmarkStart w:id="9060" w:name="_Toc7756"/>
      <w:r>
        <w:t>6850- دیوان مصدق نائینی أو شعره‏</w:t>
      </w:r>
      <w:bookmarkEnd w:id="9060"/>
    </w:p>
    <w:p>
      <w:pPr>
        <w:pStyle w:val="BookText"/>
      </w:pPr>
      <w:r>
        <w:rPr>
          <w:rFonts w:ascii="IRNazanin" w:hAnsi="IRNazanin" w:eastAsia="IRNazanin" w:cs="IRNazanin"/>
          <w:lang w:bidi="fa-IR"/>
          <w:color w:val="111111"/>
          <w:sz w:val="28"/>
          <w:szCs w:val="28"/>
          <w:rtl/>
        </w:rPr>
        <w:t xml:space="preserve">هو من شعراء نائین المعاصرین ترجمه الآیتی فی (تش یز- ص 331) و أورد شعره‏</w:t>
      </w:r>
    </w:p>
    <w:p>
      <w:pPr>
        <w:pStyle w:val="Heading3"/>
      </w:pPr>
      <w:bookmarkStart w:id="9061" w:name="_Toc7757"/>
      <w:r>
        <w:t>6851- دیوان مصطفی بغدادی أو شعره‏</w:t>
      </w:r>
      <w:bookmarkEnd w:id="9061"/>
    </w:p>
    <w:p>
      <w:pPr>
        <w:pStyle w:val="BookText"/>
      </w:pPr>
      <w:r>
        <w:rPr>
          <w:rFonts w:ascii="IRNazanin" w:hAnsi="IRNazanin" w:eastAsia="IRNazanin" w:cs="IRNazanin"/>
          <w:lang w:bidi="fa-IR"/>
          <w:color w:val="111111"/>
          <w:sz w:val="28"/>
          <w:szCs w:val="28"/>
          <w:rtl/>
        </w:rPr>
        <w:t xml:space="preserve">و هو السید الواعظ البغدادی ترجمه علی الخاقانی فی شعراء الزوراء</w:t>
      </w:r>
    </w:p>
    <w:p>
      <w:pPr>
        <w:pStyle w:val="Heading3"/>
      </w:pPr>
      <w:bookmarkStart w:id="9062" w:name="_Toc7758"/>
      <w:r>
        <w:t>6852- دیوان مصطفی تکلو أو شعره‏</w:t>
      </w:r>
      <w:bookmarkEnd w:id="9062"/>
    </w:p>
    <w:p>
      <w:pPr>
        <w:pStyle w:val="BookText"/>
      </w:pPr>
      <w:r>
        <w:rPr>
          <w:rFonts w:ascii="IRNazanin" w:hAnsi="IRNazanin" w:eastAsia="IRNazanin" w:cs="IRNazanin"/>
          <w:lang w:bidi="fa-IR"/>
          <w:color w:val="111111"/>
          <w:sz w:val="28"/>
          <w:szCs w:val="28"/>
          <w:rtl/>
        </w:rPr>
        <w:t xml:space="preserve">و اسمه مصطفی بن مسیب خان من شعراء الشاه عباس الصفوی ترجمه و أورد شعره فی (گلشن- ص 421)</w:t>
      </w:r>
    </w:p>
    <w:p>
      <w:pPr>
        <w:pStyle w:val="Heading3"/>
      </w:pPr>
      <w:bookmarkStart w:id="9063" w:name="_Toc7759"/>
      <w:r>
        <w:t>6853- دیوان مصطفی جواد أو شعره‏</w:t>
      </w:r>
      <w:bookmarkEnd w:id="9063"/>
    </w:p>
    <w:p>
      <w:pPr>
        <w:pStyle w:val="BookText"/>
      </w:pPr>
      <w:r>
        <w:rPr>
          <w:rFonts w:ascii="IRNazanin" w:hAnsi="IRNazanin" w:eastAsia="IRNazanin" w:cs="IRNazanin"/>
          <w:lang w:bidi="fa-IR"/>
          <w:color w:val="111111"/>
          <w:sz w:val="28"/>
          <w:szCs w:val="28"/>
          <w:rtl/>
        </w:rPr>
        <w:t xml:space="preserve">و هو المؤرخ البغدادی المعاصر الدکتور مصطفی جواد ترجمه أیضا علی الخاقانی فی شعراء الزوراء</w:t>
      </w:r>
    </w:p>
    <w:p>
      <w:pPr>
        <w:pStyle w:val="Heading3"/>
      </w:pPr>
      <w:bookmarkStart w:id="9064" w:name="_Toc7760"/>
      <w:r>
        <w:t>6854- دیوان مصطفی خوش‏دل‏</w:t>
      </w:r>
      <w:bookmarkEnd w:id="9064"/>
    </w:p>
    <w:p>
      <w:pPr>
        <w:pStyle w:val="BookText"/>
      </w:pPr>
      <w:r>
        <w:rPr>
          <w:rFonts w:ascii="IRNazanin" w:hAnsi="IRNazanin" w:eastAsia="IRNazanin" w:cs="IRNazanin"/>
          <w:lang w:bidi="fa-IR"/>
          <w:color w:val="111111"/>
          <w:sz w:val="28"/>
          <w:szCs w:val="28"/>
          <w:rtl/>
        </w:rPr>
        <w:t xml:space="preserve">و اسمه أحمد مجتبی المتخلص خوش‏دل و الملقب مصطفی علی خان الکوپاموی الهندی ولد 1173 و مات 1234 و هو من صوفیة الصفویة
</w:t>
      </w:r>
    </w:p>
    <w:p>
      <w:pPr>
        <w:sectPr>
          <w:footerReference w:type="default" r:id="rId1063"/>
          <w:footnotePr>
            <w:numStart w:val="1"/>
            <w:numRestart w:val="eachPage"/>
          </w:footnotePr>
          <w:pgSz w:orient="portrait" w:w="11905.511811023622" w:h="16837.79527559055"/>
          <w:pgMar w:top="1440" w:right="1440" w:bottom="1440" w:left="1440" w:header="720" w:footer="720" w:gutter="0"/>
          <w:cols w:num="1" w:space="720"/>
        </w:sectPr>
      </w:pPr>
    </w:p>
    <w:bookmarkStart w:id="1044" w:name="pg11704_122531"/>
    <w:bookmarkEnd w:id="1044"/>
    <w:p>
      <w:pPr>
        <w:pStyle w:val="BookText"/>
      </w:pPr>
      <w:r>
        <w:rPr>
          <w:rFonts w:ascii="IRNazanin" w:hAnsi="IRNazanin" w:eastAsia="IRNazanin" w:cs="IRNazanin"/>
          <w:lang w:bidi="fa-IR"/>
          <w:color w:val="111111"/>
          <w:sz w:val="28"/>
          <w:szCs w:val="28"/>
          <w:rtl/>
        </w:rPr>
        <w:t xml:space="preserve">بالهند و کان ینسب نفسه إلی عمر بن الخطاب ترجمه و نقل عن دیوانه الفارسی فی (نتایج- ص 224) و أورد شعره فی (مسرت- ص 135)</w:t>
      </w:r>
    </w:p>
    <w:p>
      <w:pPr>
        <w:pStyle w:val="Heading3"/>
      </w:pPr>
      <w:bookmarkStart w:id="9065" w:name="_Toc7761"/>
      <w:r>
        <w:t>6855- دیوان مصطفی دهلوی أو شعره‏</w:t>
      </w:r>
      <w:bookmarkEnd w:id="9065"/>
    </w:p>
    <w:p>
      <w:pPr>
        <w:pStyle w:val="BookText"/>
      </w:pPr>
      <w:r>
        <w:rPr>
          <w:rFonts w:ascii="IRNazanin" w:hAnsi="IRNazanin" w:eastAsia="IRNazanin" w:cs="IRNazanin"/>
          <w:lang w:bidi="fa-IR"/>
          <w:color w:val="111111"/>
          <w:sz w:val="28"/>
          <w:szCs w:val="28"/>
          <w:rtl/>
        </w:rPr>
        <w:t xml:space="preserve">و اسمه المیر مصطفی ترجمه و أورد شعره فی (گلشن- ص 422)</w:t>
      </w:r>
    </w:p>
    <w:p>
      <w:pPr>
        <w:pStyle w:val="Heading3"/>
      </w:pPr>
      <w:bookmarkStart w:id="9066" w:name="_Toc7762"/>
      <w:r>
        <w:t>6856- دیوان مصطفی الزناقی أو شعره‏</w:t>
      </w:r>
      <w:bookmarkEnd w:id="9066"/>
    </w:p>
    <w:p>
      <w:pPr>
        <w:pStyle w:val="BookText"/>
      </w:pPr>
      <w:r>
        <w:rPr>
          <w:rFonts w:ascii="IRNazanin" w:hAnsi="IRNazanin" w:eastAsia="IRNazanin" w:cs="IRNazanin"/>
          <w:lang w:bidi="fa-IR"/>
          <w:color w:val="111111"/>
          <w:sz w:val="28"/>
          <w:szCs w:val="28"/>
          <w:rtl/>
        </w:rPr>
        <w:t xml:space="preserve">و هو من جبل عامل فی الشام قال فی أمل الآمل کان فاضلا أدیبا فی العربیة و شاعرا منشیا من المعاصرین‏</w:t>
      </w:r>
    </w:p>
    <w:p>
      <w:pPr>
        <w:pStyle w:val="Heading3"/>
      </w:pPr>
      <w:bookmarkStart w:id="9067" w:name="_Toc7763"/>
      <w:r>
        <w:t>دیوان مصطفی سرابی‏</w:t>
      </w:r>
      <w:bookmarkEnd w:id="9067"/>
    </w:p>
    <w:p>
      <w:pPr>
        <w:pStyle w:val="BookText"/>
      </w:pPr>
      <w:r>
        <w:rPr>
          <w:rFonts w:ascii="IRNazanin" w:hAnsi="IRNazanin" w:eastAsia="IRNazanin" w:cs="IRNazanin"/>
          <w:lang w:bidi="fa-IR"/>
          <w:color w:val="111111"/>
          <w:sz w:val="28"/>
          <w:szCs w:val="28"/>
          <w:rtl/>
        </w:rPr>
        <w:t xml:space="preserve">و هو السید مصطفی المشهدی بن مرتضی المذکور فی ص 435 طبع له منظومة شتر و موتور فی المشهد 1314 ش‏</w:t>
      </w:r>
    </w:p>
    <w:p>
      <w:pPr>
        <w:pStyle w:val="Heading3"/>
      </w:pPr>
      <w:bookmarkStart w:id="9068" w:name="_Toc7764"/>
      <w:r>
        <w:t>6857- دیوان مصطفی سرخوش‏</w:t>
      </w:r>
      <w:bookmarkEnd w:id="9068"/>
    </w:p>
    <w:p>
      <w:pPr>
        <w:pStyle w:val="BookText"/>
      </w:pPr>
      <w:r>
        <w:rPr>
          <w:rFonts w:ascii="Amiri" w:hAnsi="Amiri" w:eastAsia="Amiri" w:cs="Amiri"/>
          <w:lang w:bidi="ar-SA"/>
          <w:color w:val="111111"/>
          <w:sz w:val="28"/>
          <w:szCs w:val="28"/>
          <w:rtl/>
        </w:rPr>
        <w:t xml:space="preserve">و اسمه المهندس سرخوش طبع له منظومة آتش دل‏</w:t>
      </w:r>
    </w:p>
    <w:p>
      <w:pPr>
        <w:pStyle w:val="Heading3"/>
      </w:pPr>
      <w:bookmarkStart w:id="9069" w:name="_Toc7765"/>
      <w:r>
        <w:t>6858- دیوان مصطفی صفوی أو شعره‏</w:t>
      </w:r>
      <w:bookmarkEnd w:id="9069"/>
    </w:p>
    <w:p>
      <w:pPr>
        <w:pStyle w:val="BookText"/>
      </w:pPr>
      <w:r>
        <w:rPr>
          <w:rFonts w:ascii="IRNazanin" w:hAnsi="IRNazanin" w:eastAsia="IRNazanin" w:cs="IRNazanin"/>
          <w:lang w:bidi="fa-IR"/>
          <w:color w:val="111111"/>
          <w:sz w:val="28"/>
          <w:szCs w:val="28"/>
          <w:rtl/>
        </w:rPr>
        <w:t xml:space="preserve">هو ابن السلطان علی میرزا ابن الشاه طهماسب الصفوی الأدیب الشاب المقتول کان له یوم وفاة والده عشرون سنة، و قتل بأمر أخیه بعد ثمانیة أشهر فی 984 ترجمه الصادقی فی (خص 2- ص 27) و (نر 1- ص 10) و أورد بعض شعره و (مع 1: 31) و (گلشن- ص 422) و همیشه بهار و فی (دجا- ص 348) و أوردوا بعض أشعاره‏</w:t>
      </w:r>
    </w:p>
    <w:p>
      <w:pPr>
        <w:pStyle w:val="Heading3"/>
      </w:pPr>
      <w:bookmarkStart w:id="9070" w:name="_Toc7766"/>
      <w:r>
        <w:t>دیوان مصطفی علی خان‏</w:t>
      </w:r>
      <w:bookmarkEnd w:id="9070"/>
    </w:p>
    <w:p>
      <w:pPr>
        <w:pStyle w:val="BookText"/>
      </w:pPr>
      <w:r>
        <w:rPr>
          <w:rFonts w:ascii="IRNazanin" w:hAnsi="IRNazanin" w:eastAsia="IRNazanin" w:cs="IRNazanin"/>
          <w:lang w:bidi="fa-IR"/>
          <w:color w:val="111111"/>
          <w:sz w:val="28"/>
          <w:szCs w:val="28"/>
          <w:rtl/>
        </w:rPr>
        <w:t xml:space="preserve">راجع دیوان مصطفی خوش‏دل‏</w:t>
      </w:r>
    </w:p>
    <w:p>
      <w:pPr>
        <w:pStyle w:val="Heading3"/>
      </w:pPr>
      <w:bookmarkStart w:id="9071" w:name="_Toc7767"/>
      <w:r>
        <w:t>دیوان مصطفی قلی خان کرونی‏</w:t>
      </w:r>
      <w:bookmarkEnd w:id="9071"/>
    </w:p>
    <w:p>
      <w:pPr>
        <w:pStyle w:val="BookText"/>
      </w:pPr>
      <w:r>
        <w:rPr>
          <w:rFonts w:ascii="IRNazanin" w:hAnsi="IRNazanin" w:eastAsia="IRNazanin" w:cs="IRNazanin"/>
          <w:lang w:bidi="fa-IR"/>
          <w:color w:val="111111"/>
          <w:sz w:val="28"/>
          <w:szCs w:val="28"/>
          <w:rtl/>
        </w:rPr>
        <w:t xml:space="preserve">راجع دیوان سینا أصفهانی‏</w:t>
      </w:r>
    </w:p>
    <w:p>
      <w:pPr>
        <w:pStyle w:val="Heading3"/>
      </w:pPr>
      <w:bookmarkStart w:id="9072" w:name="_Toc7768"/>
      <w:r>
        <w:t>6859- دیوان مصطفی الکاشانی‏</w:t>
      </w:r>
      <w:bookmarkEnd w:id="9072"/>
    </w:p>
    <w:p>
      <w:pPr>
        <w:pStyle w:val="BookText"/>
      </w:pPr>
      <w:r>
        <w:rPr>
          <w:rFonts w:ascii="IRNazanin" w:hAnsi="IRNazanin" w:eastAsia="IRNazanin" w:cs="IRNazanin"/>
          <w:lang w:bidi="fa-IR"/>
          <w:color w:val="111111"/>
          <w:sz w:val="28"/>
          <w:szCs w:val="28"/>
          <w:rtl/>
        </w:rPr>
        <w:t xml:space="preserve">هو ابن الحاج السید حسین الحسینی الکاشانی نزیل طهران فی محله پامنار کوچه صدر أعظم فی دار اشتراها من ورثة منجم‏باشی و هاجر إلی العراق حدود 1314 و حج البیت و جاور النجف إلی أن توفی بعد العود عن الجهاد فی الکاظمیة فی 29 رمضان 1336 فیه قصائد طویلة بلیغة جزیلة و له الشعر الفارسی أیضا لکنه لم یدون و دیوانه عند ولده الشهیر بالسید الکاشانی الحاج المیرزا أبی القاسم الذی توفی بطهران فی 1381 کما ذکره لنا هو و ذکره السماوی فی مجاری اللطف- ص 16</w:t>
      </w:r>
    </w:p>
    <w:p>
      <w:pPr>
        <w:pStyle w:val="Heading3"/>
      </w:pPr>
      <w:bookmarkStart w:id="9073" w:name="_Toc7769"/>
      <w:r>
        <w:t>6860- دیوان مصطفی کشمیری أو شعره‏</w:t>
      </w:r>
      <w:bookmarkEnd w:id="9073"/>
    </w:p>
    <w:p>
      <w:pPr>
        <w:pStyle w:val="BookText"/>
      </w:pPr>
      <w:r>
        <w:rPr>
          <w:rFonts w:ascii="IRNazanin" w:hAnsi="IRNazanin" w:eastAsia="IRNazanin" w:cs="IRNazanin"/>
          <w:lang w:bidi="fa-IR"/>
          <w:color w:val="111111"/>
          <w:sz w:val="28"/>
          <w:szCs w:val="28"/>
          <w:rtl/>
        </w:rPr>
        <w:t xml:space="preserve">و اسمه محمد مصطفی تلمیذ محمد
</w:t>
      </w:r>
    </w:p>
    <w:p>
      <w:pPr>
        <w:sectPr>
          <w:footerReference w:type="default" r:id="rId1064"/>
          <w:footnotePr>
            <w:numStart w:val="1"/>
            <w:numRestart w:val="eachPage"/>
          </w:footnotePr>
          <w:pgSz w:orient="portrait" w:w="11905.511811023622" w:h="16837.79527559055"/>
          <w:pgMar w:top="1440" w:right="1440" w:bottom="1440" w:left="1440" w:header="720" w:footer="720" w:gutter="0"/>
          <w:cols w:num="1" w:space="720"/>
        </w:sectPr>
      </w:pPr>
    </w:p>
    <w:bookmarkStart w:id="1045" w:name="pg11704_122532"/>
    <w:bookmarkEnd w:id="1045"/>
    <w:p>
      <w:pPr>
        <w:pStyle w:val="BookText"/>
      </w:pPr>
      <w:r>
        <w:rPr>
          <w:rFonts w:ascii="IRNazanin" w:hAnsi="IRNazanin" w:eastAsia="IRNazanin" w:cs="IRNazanin"/>
          <w:lang w:bidi="fa-IR"/>
          <w:color w:val="111111"/>
          <w:sz w:val="28"/>
          <w:szCs w:val="28"/>
          <w:rtl/>
        </w:rPr>
        <w:t xml:space="preserve">مجرم ترجمه و أورد شعره فی (گلشن- ص 421) و عنه فی القاموس الترکی‏</w:t>
      </w:r>
    </w:p>
    <w:p>
      <w:pPr>
        <w:pStyle w:val="Heading3"/>
      </w:pPr>
      <w:bookmarkStart w:id="9074" w:name="_Toc7770"/>
      <w:r>
        <w:t>6861- دیوان مصطفی کلکتة أو شعره‏</w:t>
      </w:r>
      <w:bookmarkEnd w:id="9074"/>
    </w:p>
    <w:p>
      <w:pPr>
        <w:pStyle w:val="BookText"/>
      </w:pPr>
      <w:r>
        <w:rPr>
          <w:rFonts w:ascii="IRNazanin" w:hAnsi="IRNazanin" w:eastAsia="IRNazanin" w:cs="IRNazanin"/>
          <w:lang w:bidi="fa-IR"/>
          <w:color w:val="111111"/>
          <w:sz w:val="28"/>
          <w:szCs w:val="28"/>
          <w:rtl/>
        </w:rPr>
        <w:t xml:space="preserve">و اسمه السید غلام مصطفی، من شعراء القرن الثالث عشر ترجمه و أورد شعره فی (گلشن- ص 422) و عنه فی القاموس الترکی‏</w:t>
      </w:r>
    </w:p>
    <w:p>
      <w:pPr>
        <w:pStyle w:val="Heading3"/>
      </w:pPr>
      <w:bookmarkStart w:id="9075" w:name="_Toc7771"/>
      <w:r>
        <w:t>دیوان مصفا</w:t>
      </w:r>
      <w:bookmarkEnd w:id="9075"/>
    </w:p>
    <w:p>
      <w:pPr>
        <w:pStyle w:val="BookText"/>
      </w:pPr>
      <w:r>
        <w:rPr>
          <w:rFonts w:ascii="IRNazanin" w:hAnsi="IRNazanin" w:eastAsia="IRNazanin" w:cs="IRNazanin"/>
          <w:lang w:bidi="fa-IR"/>
          <w:color w:val="111111"/>
          <w:sz w:val="28"/>
          <w:szCs w:val="28"/>
          <w:rtl/>
        </w:rPr>
        <w:t xml:space="preserve">راجع مظاهر مصفا</w:t>
      </w:r>
    </w:p>
    <w:p>
      <w:pPr>
        <w:pStyle w:val="Heading3"/>
      </w:pPr>
      <w:bookmarkStart w:id="9076" w:name="_Toc7772"/>
      <w:r>
        <w:t>6862- دیوان مصعبی‏</w:t>
      </w:r>
      <w:bookmarkEnd w:id="9076"/>
    </w:p>
    <w:p>
      <w:pPr>
        <w:pStyle w:val="BookText"/>
      </w:pPr>
      <w:r>
        <w:rPr>
          <w:rFonts w:ascii="IRNazanin" w:hAnsi="IRNazanin" w:eastAsia="IRNazanin" w:cs="IRNazanin"/>
          <w:lang w:bidi="fa-IR"/>
          <w:color w:val="111111"/>
          <w:sz w:val="28"/>
          <w:szCs w:val="28"/>
          <w:rtl/>
        </w:rPr>
        <w:t xml:space="preserve">محمد بن حاتم صاحب دیوان الرسالة لنصر بن أحمد السامانی (331- 301) کما ذکره البیهقی و قال الثعالبی فی الیتیمة 4: 15 کان وزیره و کان یتکلم باللغتین الفارسیة و العربیة و قتل أخیرا و مدحه الرودکی و ذکره القفطی فی المحمدون من الشعراء و کذا الگردیزی فی زین الاخبار و العوفی فی (لب 3: 7) و قال الیاقوت فی (جمد) فی کلمة بست إن أبا حاتم محمد بن حیان بن معد البستی المتوفی 354 ألف بأمر المصعبی هذا کتابا فی تاریخ القرامطة فأعطاه قضاء سمرقند أو سیستان صلة و قد جمع أشعاره و طبعها محمد دبیر سیاقی فی مجموعه گنج باز یافته مع مقدمه فی أحواله فی 1374</w:t>
      </w:r>
    </w:p>
    <w:p>
      <w:pPr>
        <w:pStyle w:val="Heading3"/>
      </w:pPr>
      <w:bookmarkStart w:id="9077" w:name="_Toc7773"/>
      <w:r>
        <w:t>6863- دیوان مصور أصفهانی أو شعره‏</w:t>
      </w:r>
      <w:bookmarkEnd w:id="9077"/>
    </w:p>
    <w:p>
      <w:pPr>
        <w:pStyle w:val="BookText"/>
      </w:pPr>
      <w:r>
        <w:rPr>
          <w:rFonts w:ascii="IRNazanin" w:hAnsi="IRNazanin" w:eastAsia="IRNazanin" w:cs="IRNazanin"/>
          <w:lang w:bidi="fa-IR"/>
          <w:color w:val="111111"/>
          <w:sz w:val="28"/>
          <w:szCs w:val="28"/>
          <w:rtl/>
        </w:rPr>
        <w:t xml:space="preserve">هو تخلص المیر سید علی ابن المیر مصور ترجمه الصادقی فی (خص 6- ص 97) و قال کان من عمال مکتبة الشاه طهماسب، ثم طرده و هاجر إلی الهند و تقرب عند أکبر شاه و کان نقاشا مصورا و ذکر مهاجاته مع غزالی مشهدی و تصویره الهجائی له‏</w:t>
      </w:r>
    </w:p>
    <w:p>
      <w:pPr>
        <w:pStyle w:val="Heading3"/>
      </w:pPr>
      <w:bookmarkStart w:id="9078" w:name="_Toc7774"/>
      <w:r>
        <w:t>6864- دیوان مصور أصفهانی أو شعره‏</w:t>
      </w:r>
      <w:bookmarkEnd w:id="9078"/>
    </w:p>
    <w:p>
      <w:pPr>
        <w:pStyle w:val="BookText"/>
      </w:pPr>
      <w:r>
        <w:rPr>
          <w:rFonts w:ascii="IRNazanin" w:hAnsi="IRNazanin" w:eastAsia="IRNazanin" w:cs="IRNazanin"/>
          <w:lang w:bidi="fa-IR"/>
          <w:color w:val="111111"/>
          <w:sz w:val="28"/>
          <w:szCs w:val="28"/>
          <w:rtl/>
        </w:rPr>
        <w:t xml:space="preserve">و اسمه المیرزا حسین ولد 1308 و عده باقر ألفت فی عداد أعضاء انجمن دانشکده بأصفهان و أورد غزله فی دانش‏نامه المطبوع 1342 و شعرای معاصر أصفهان- ص 454</w:t>
      </w:r>
    </w:p>
    <w:p>
      <w:pPr>
        <w:pStyle w:val="Heading3"/>
      </w:pPr>
      <w:bookmarkStart w:id="9079" w:name="_Toc7775"/>
      <w:r>
        <w:t>6865- دیوان مصور کاشانی أو شعره‏</w:t>
      </w:r>
      <w:bookmarkEnd w:id="9079"/>
    </w:p>
    <w:p>
      <w:pPr>
        <w:pStyle w:val="BookText"/>
      </w:pPr>
      <w:r>
        <w:rPr>
          <w:rFonts w:ascii="IRNazanin" w:hAnsi="IRNazanin" w:eastAsia="IRNazanin" w:cs="IRNazanin"/>
          <w:lang w:bidi="fa-IR"/>
          <w:color w:val="111111"/>
          <w:sz w:val="28"/>
          <w:szCs w:val="28"/>
          <w:rtl/>
        </w:rPr>
        <w:t xml:space="preserve">ترجمه معاصره النصرآبادی فی (نر 9- ص 414) و ذکر أنه صهر آقا رضا النقاش (المصور) المشهور کان فقیرا موظفا من الوزیر سارو تقی إلی أن قتل و توفی هو بعده و أورد شعره‏</w:t>
      </w:r>
    </w:p>
    <w:p>
      <w:pPr>
        <w:pStyle w:val="Heading3"/>
      </w:pPr>
      <w:bookmarkStart w:id="9080" w:name="_Toc7776"/>
      <w:r>
        <w:t>6866- دیوان مصور مشهدی أو شعره‏</w:t>
      </w:r>
      <w:bookmarkEnd w:id="9080"/>
    </w:p>
    <w:p>
      <w:pPr>
        <w:pStyle w:val="BookText"/>
      </w:pPr>
      <w:r>
        <w:rPr>
          <w:rFonts w:ascii="IRNazanin" w:hAnsi="IRNazanin" w:eastAsia="IRNazanin" w:cs="IRNazanin"/>
          <w:lang w:bidi="fa-IR"/>
          <w:color w:val="111111"/>
          <w:sz w:val="28"/>
          <w:szCs w:val="28"/>
          <w:rtl/>
        </w:rPr>
        <w:t xml:space="preserve">و هو الحاج علی قلی بن رضا قلی ترجمه فی (مع 2- ص 456) و ذکر أنه ولد بطهران فی 1227 و لکن تعلیماته لفن التصویر و نظم الشعر کان فی المشهد و کان ینظم جمیع أنواع الشعر ثم أورد نیفا و عشرة من شعره‏
</w:t>
      </w:r>
    </w:p>
    <w:p>
      <w:pPr>
        <w:sectPr>
          <w:footerReference w:type="default" r:id="rId1065"/>
          <w:footnotePr>
            <w:numStart w:val="1"/>
            <w:numRestart w:val="eachPage"/>
          </w:footnotePr>
          <w:pgSz w:orient="portrait" w:w="11905.511811023622" w:h="16837.79527559055"/>
          <w:pgMar w:top="1440" w:right="1440" w:bottom="1440" w:left="1440" w:header="720" w:footer="720" w:gutter="0"/>
          <w:cols w:num="1" w:space="720"/>
        </w:sectPr>
      </w:pPr>
    </w:p>
    <w:bookmarkStart w:id="1046" w:name="pg11704_122533"/>
    <w:bookmarkEnd w:id="1046"/>
    <w:p>
      <w:pPr>
        <w:pStyle w:val="BookText"/>
      </w:pPr>
      <w:r>
        <w:rPr>
          <w:rFonts w:ascii="IRNazanin" w:hAnsi="IRNazanin" w:eastAsia="IRNazanin" w:cs="IRNazanin"/>
          <w:lang w:bidi="fa-IR"/>
          <w:color w:val="111111"/>
          <w:sz w:val="28"/>
          <w:szCs w:val="28"/>
          <w:rtl/>
        </w:rPr>
        <w:t xml:space="preserve">و کذا فی (المآثر- ص 214)</w:t>
      </w:r>
    </w:p>
    <w:p>
      <w:pPr>
        <w:pStyle w:val="Heading3"/>
      </w:pPr>
      <w:bookmarkStart w:id="9081" w:name="_Toc7777"/>
      <w:r>
        <w:t>6867- دیوان مصیب هندی أو شعره‏</w:t>
      </w:r>
      <w:bookmarkEnd w:id="9081"/>
    </w:p>
    <w:p>
      <w:pPr>
        <w:pStyle w:val="BookText"/>
      </w:pPr>
      <w:r>
        <w:rPr>
          <w:rFonts w:ascii="IRNazanin" w:hAnsi="IRNazanin" w:eastAsia="IRNazanin" w:cs="IRNazanin"/>
          <w:lang w:bidi="fa-IR"/>
          <w:color w:val="111111"/>
          <w:sz w:val="28"/>
          <w:szCs w:val="28"/>
          <w:rtl/>
        </w:rPr>
        <w:t xml:space="preserve">و هو الشیخ غلام قطب الدین ابن محمد فاخر زائر المذکور فی ص 400 ترجمه و أورد شعره فی (نتایج- ص 670) قال و سافر للحج و رجع و مات 1187 و کذا فی شمع انجمن- ص 413</w:t>
      </w:r>
    </w:p>
    <w:p>
      <w:pPr>
        <w:pStyle w:val="Heading3"/>
      </w:pPr>
      <w:bookmarkStart w:id="9082" w:name="_Toc7778"/>
      <w:r>
        <w:t>6868- دیوان مضطر زنوزی‏</w:t>
      </w:r>
      <w:bookmarkEnd w:id="9082"/>
    </w:p>
    <w:p>
      <w:pPr>
        <w:pStyle w:val="BookText"/>
      </w:pPr>
      <w:r>
        <w:rPr>
          <w:rFonts w:ascii="IRNazanin" w:hAnsi="IRNazanin" w:eastAsia="IRNazanin" w:cs="IRNazanin"/>
          <w:lang w:bidi="fa-IR"/>
          <w:color w:val="111111"/>
          <w:sz w:val="28"/>
          <w:szCs w:val="28"/>
          <w:rtl/>
        </w:rPr>
        <w:t xml:space="preserve">و اسمه المیر یحیی بن مصطفی الزنوزی التبریزی و قد طبع دیوانه فی تبریز و ترجمه فی (دجا- ص 348) و له منظومة مشوق الصبیان فی اللغة الفارسیة بالترکیة نظیر نصاب الصبیان فی العربی بالفارسیة فی تسع قطعات فی بحور مختلفة طبع بتبریز فی 1308 کما فی فرهنگ نامه‏های عربی بفارسی- ص 116</w:t>
      </w:r>
    </w:p>
    <w:p>
      <w:pPr>
        <w:pStyle w:val="Heading3"/>
      </w:pPr>
      <w:bookmarkStart w:id="9083" w:name="_Toc7779"/>
      <w:r>
        <w:t>6869- دیوان مضطر طبسی أو شعره‏</w:t>
      </w:r>
      <w:bookmarkEnd w:id="9083"/>
    </w:p>
    <w:p>
      <w:pPr>
        <w:pStyle w:val="BookText"/>
      </w:pPr>
      <w:r>
        <w:rPr>
          <w:rFonts w:ascii="IRNazanin" w:hAnsi="IRNazanin" w:eastAsia="IRNazanin" w:cs="IRNazanin"/>
          <w:lang w:bidi="fa-IR"/>
          <w:color w:val="111111"/>
          <w:sz w:val="28"/>
          <w:szCs w:val="28"/>
          <w:rtl/>
        </w:rPr>
        <w:t xml:space="preserve">و اسمه میرزا أحمد بن الحسین ترجمه و أورد شعره فی (الطرائق 3: 341)</w:t>
      </w:r>
    </w:p>
    <w:p>
      <w:pPr>
        <w:pStyle w:val="Heading3"/>
      </w:pPr>
      <w:bookmarkStart w:id="9084" w:name="_Toc7780"/>
      <w:r>
        <w:t>6870- دیوان مضطر لکهنوی أو شعره‏</w:t>
      </w:r>
      <w:bookmarkEnd w:id="9084"/>
    </w:p>
    <w:p>
      <w:pPr>
        <w:pStyle w:val="BookText"/>
      </w:pPr>
      <w:r>
        <w:rPr>
          <w:rFonts w:ascii="IRNazanin" w:hAnsi="IRNazanin" w:eastAsia="IRNazanin" w:cs="IRNazanin"/>
          <w:lang w:bidi="fa-IR"/>
          <w:color w:val="111111"/>
          <w:sz w:val="28"/>
          <w:szCs w:val="28"/>
          <w:rtl/>
        </w:rPr>
        <w:t xml:space="preserve">و هو الشیخ إمام الدین ترجمه و أورد شعره فی (گلشن- ص 423)</w:t>
      </w:r>
    </w:p>
    <w:p>
      <w:pPr>
        <w:pStyle w:val="Heading3"/>
      </w:pPr>
      <w:bookmarkStart w:id="9085" w:name="_Toc7781"/>
      <w:r>
        <w:t>6871- دیوان مضطر لکهنوی أو شعره‏</w:t>
      </w:r>
      <w:bookmarkEnd w:id="9085"/>
    </w:p>
    <w:p>
      <w:pPr>
        <w:pStyle w:val="BookText"/>
      </w:pPr>
      <w:r>
        <w:rPr>
          <w:rFonts w:ascii="IRNazanin" w:hAnsi="IRNazanin" w:eastAsia="IRNazanin" w:cs="IRNazanin"/>
          <w:lang w:bidi="fa-IR"/>
          <w:color w:val="111111"/>
          <w:sz w:val="28"/>
          <w:szCs w:val="28"/>
          <w:rtl/>
        </w:rPr>
        <w:t xml:space="preserve">و اسمه لاله متولال ترجمه و أورد شعره فی (گلشن- ص 423)</w:t>
      </w:r>
    </w:p>
    <w:p>
      <w:pPr>
        <w:pStyle w:val="Heading3"/>
      </w:pPr>
      <w:bookmarkStart w:id="9086" w:name="_Toc7782"/>
      <w:r>
        <w:t>6872- دیوان مضطر لکهنوی أو شعره‏</w:t>
      </w:r>
      <w:bookmarkEnd w:id="9086"/>
    </w:p>
    <w:p>
      <w:pPr>
        <w:pStyle w:val="BookText"/>
      </w:pPr>
      <w:r>
        <w:rPr>
          <w:rFonts w:ascii="IRNazanin" w:hAnsi="IRNazanin" w:eastAsia="IRNazanin" w:cs="IRNazanin"/>
          <w:lang w:bidi="fa-IR"/>
          <w:color w:val="111111"/>
          <w:sz w:val="28"/>
          <w:szCs w:val="28"/>
          <w:rtl/>
        </w:rPr>
        <w:t xml:space="preserve">و هو المنشی کتورسین من قوم کایتة بلکهنو و تلمیذ مصحفی همدانی المذکور ترجمه و أورد شعره فی (روشن- ص 632)</w:t>
      </w:r>
    </w:p>
    <w:p>
      <w:pPr>
        <w:pStyle w:val="Heading3"/>
      </w:pPr>
      <w:bookmarkStart w:id="9087" w:name="_Toc7783"/>
      <w:r>
        <w:t>6873- دیوان مضطر یزدی أو شعره‏</w:t>
      </w:r>
      <w:bookmarkEnd w:id="9087"/>
    </w:p>
    <w:p>
      <w:pPr>
        <w:pStyle w:val="BookText"/>
      </w:pPr>
      <w:r>
        <w:rPr>
          <w:rFonts w:ascii="IRNazanin" w:hAnsi="IRNazanin" w:eastAsia="IRNazanin" w:cs="IRNazanin"/>
          <w:lang w:bidi="fa-IR"/>
          <w:color w:val="111111"/>
          <w:sz w:val="28"/>
          <w:szCs w:val="28"/>
          <w:rtl/>
        </w:rPr>
        <w:t xml:space="preserve">و اسمه محمد ترجمه آیتی فی (تش یز- ص 331) و ذکر أن الغالب فی شعره المزاح، منها مزاحه مع دهقان فی نظم علی ردیف سوخته‏</w:t>
      </w:r>
    </w:p>
    <w:p>
      <w:pPr>
        <w:pStyle w:val="Heading3"/>
      </w:pPr>
      <w:bookmarkStart w:id="9088" w:name="_Toc7784"/>
      <w:r>
        <w:t>6874- دیوان مضطرب شیرازی أو شعره‏</w:t>
      </w:r>
      <w:bookmarkEnd w:id="9088"/>
    </w:p>
    <w:p>
      <w:pPr>
        <w:pStyle w:val="BookText"/>
      </w:pPr>
      <w:r>
        <w:rPr>
          <w:rFonts w:ascii="IRNazanin" w:hAnsi="IRNazanin" w:eastAsia="IRNazanin" w:cs="IRNazanin"/>
          <w:lang w:bidi="fa-IR"/>
          <w:color w:val="111111"/>
          <w:sz w:val="28"/>
          <w:szCs w:val="28"/>
          <w:rtl/>
        </w:rPr>
        <w:t xml:space="preserve">و اسمه آقا حسن علی القصاب المتوفی 1310 معاصر میرزا فرصت ذکره فی (عم- ص 567) و أورد غزله و قال إنه قد غربت عیناه عن حلیة البصر و صار جلیس الدار و ترجم فی مجلة أرمغان 14: 51</w:t>
      </w:r>
    </w:p>
    <w:p>
      <w:pPr>
        <w:pStyle w:val="Heading3"/>
      </w:pPr>
      <w:bookmarkStart w:id="9089" w:name="_Toc7785"/>
      <w:r>
        <w:t>6875- دیوان مضمون عظیم‏آبادی أو شعره‏</w:t>
      </w:r>
      <w:bookmarkEnd w:id="9089"/>
    </w:p>
    <w:p>
      <w:pPr>
        <w:pStyle w:val="BookText"/>
      </w:pPr>
      <w:r>
        <w:rPr>
          <w:rFonts w:ascii="IRNazanin" w:hAnsi="IRNazanin" w:eastAsia="IRNazanin" w:cs="IRNazanin"/>
          <w:lang w:bidi="fa-IR"/>
          <w:color w:val="111111"/>
          <w:sz w:val="28"/>
          <w:szCs w:val="28"/>
          <w:rtl/>
        </w:rPr>
        <w:t xml:space="preserve">و اسمه المیر هاشم ترجم فی (روشن- ص 632)</w:t>
      </w:r>
    </w:p>
    <w:p>
      <w:pPr>
        <w:pStyle w:val="Heading3"/>
      </w:pPr>
      <w:bookmarkStart w:id="9090" w:name="_Toc7786"/>
      <w:r>
        <w:t>6876- دیوان مطاع شیرازی أو شعره‏</w:t>
      </w:r>
      <w:bookmarkEnd w:id="9090"/>
    </w:p>
    <w:p>
      <w:pPr>
        <w:pStyle w:val="BookText"/>
      </w:pPr>
      <w:r>
        <w:rPr>
          <w:rFonts w:ascii="IRNazanin" w:hAnsi="IRNazanin" w:eastAsia="IRNazanin" w:cs="IRNazanin"/>
          <w:lang w:bidi="fa-IR"/>
          <w:color w:val="111111"/>
          <w:sz w:val="28"/>
          <w:szCs w:val="28"/>
          <w:rtl/>
        </w:rPr>
        <w:t xml:space="preserve">و اسمه عبد الباقی بن الحاج موسی من سکنة
</w:t>
      </w:r>
    </w:p>
    <w:p>
      <w:pPr>
        <w:sectPr>
          <w:footerReference w:type="default" r:id="rId1066"/>
          <w:footnotePr>
            <w:numStart w:val="1"/>
            <w:numRestart w:val="eachPage"/>
          </w:footnotePr>
          <w:pgSz w:orient="portrait" w:w="11905.511811023622" w:h="16837.79527559055"/>
          <w:pgMar w:top="1440" w:right="1440" w:bottom="1440" w:left="1440" w:header="720" w:footer="720" w:gutter="0"/>
          <w:cols w:num="1" w:space="720"/>
        </w:sectPr>
      </w:pPr>
    </w:p>
    <w:bookmarkStart w:id="1047" w:name="pg11704_122534"/>
    <w:bookmarkEnd w:id="1047"/>
    <w:p>
      <w:pPr>
        <w:pStyle w:val="BookText"/>
      </w:pPr>
      <w:r>
        <w:rPr>
          <w:rFonts w:ascii="IRNazanin" w:hAnsi="IRNazanin" w:eastAsia="IRNazanin" w:cs="IRNazanin"/>
          <w:lang w:bidi="fa-IR"/>
          <w:color w:val="111111"/>
          <w:sz w:val="28"/>
          <w:szCs w:val="28"/>
          <w:rtl/>
        </w:rPr>
        <w:t xml:space="preserve">مینا بشیراز فی القرن الثالث عشر أورد شعره فی (گلشن- ص 423) و عنه فی القاموس الترکی‏</w:t>
      </w:r>
    </w:p>
    <w:p>
      <w:pPr>
        <w:pStyle w:val="Heading3"/>
      </w:pPr>
      <w:bookmarkStart w:id="9091" w:name="_Toc7787"/>
      <w:r>
        <w:t>6877- دیوان مطبوع شیرازی أو شعره‏</w:t>
      </w:r>
      <w:bookmarkEnd w:id="9091"/>
    </w:p>
    <w:p>
      <w:pPr>
        <w:pStyle w:val="BookText"/>
      </w:pPr>
      <w:r>
        <w:rPr>
          <w:rFonts w:ascii="IRNazanin" w:hAnsi="IRNazanin" w:eastAsia="IRNazanin" w:cs="IRNazanin"/>
          <w:lang w:bidi="fa-IR"/>
          <w:color w:val="111111"/>
          <w:sz w:val="28"/>
          <w:szCs w:val="28"/>
          <w:rtl/>
        </w:rPr>
        <w:t xml:space="preserve">و اسمه السید محمد جعفر ترجمه فی (مع 2- ص 452) و ذکره أنه لاقاه فی شیراز أوان شبابه و کان ینشد الغزل فی مجلس محمد مهدی خان شحنة شیراز، و ذکر شمائله و قطعة من شعره و ترجمه فی (الطرائق- 3: 114) و مات 1237</w:t>
      </w:r>
    </w:p>
    <w:p>
      <w:pPr>
        <w:pStyle w:val="Heading3"/>
      </w:pPr>
      <w:bookmarkStart w:id="9092" w:name="_Toc7788"/>
      <w:r>
        <w:t>6878- دیوان مطرب همدانی أو شعره‏</w:t>
      </w:r>
      <w:bookmarkEnd w:id="9092"/>
    </w:p>
    <w:p>
      <w:pPr>
        <w:pStyle w:val="BookText"/>
      </w:pPr>
      <w:r>
        <w:rPr>
          <w:rFonts w:ascii="IRNazanin" w:hAnsi="IRNazanin" w:eastAsia="IRNazanin" w:cs="IRNazanin"/>
          <w:lang w:bidi="fa-IR"/>
          <w:color w:val="111111"/>
          <w:sz w:val="28"/>
          <w:szCs w:val="28"/>
          <w:rtl/>
        </w:rPr>
        <w:t xml:space="preserve">و اسمه علی أکبر. کان حیا فی 1280 و کان من ندماء ناصر الدین شاه. ترجمه فی (مع 2- ص 445) و أورد غزله.</w:t>
      </w:r>
    </w:p>
    <w:p>
      <w:pPr>
        <w:pStyle w:val="Heading3"/>
      </w:pPr>
      <w:bookmarkStart w:id="9093" w:name="_Toc7789"/>
      <w:r>
        <w:t>6879- دیوان مطربه کاشغری أو شعرها</w:t>
      </w:r>
      <w:bookmarkEnd w:id="9093"/>
    </w:p>
    <w:p>
      <w:pPr>
        <w:pStyle w:val="BookText"/>
      </w:pPr>
      <w:r>
        <w:rPr>
          <w:rFonts w:ascii="IRNazanin" w:hAnsi="IRNazanin" w:eastAsia="IRNazanin" w:cs="IRNazanin"/>
          <w:lang w:bidi="fa-IR"/>
          <w:color w:val="111111"/>
          <w:sz w:val="28"/>
          <w:szCs w:val="28"/>
          <w:rtl/>
        </w:rPr>
        <w:t xml:space="preserve">کانت من زوجات طغان شاه بن المؤید السلجوقی أو ندیماته الغانیات. ترجمها فی (تش- ص 351) و (گلشن- ص 424) و از رابعة تا پروین- ص 241 و تذکره کاظم و ذکروا رثاءها لزوجها المذکور.</w:t>
      </w:r>
    </w:p>
    <w:p>
      <w:pPr>
        <w:pStyle w:val="Heading3"/>
      </w:pPr>
      <w:bookmarkStart w:id="9094" w:name="_Toc7790"/>
      <w:r>
        <w:t>6880- دیوان مطربی قزوینی أو شعره‏</w:t>
      </w:r>
      <w:bookmarkEnd w:id="9094"/>
    </w:p>
    <w:p>
      <w:pPr>
        <w:pStyle w:val="BookText"/>
      </w:pPr>
      <w:r>
        <w:rPr>
          <w:rFonts w:ascii="IRNazanin" w:hAnsi="IRNazanin" w:eastAsia="IRNazanin" w:cs="IRNazanin"/>
          <w:lang w:bidi="fa-IR"/>
          <w:color w:val="111111"/>
          <w:sz w:val="28"/>
          <w:szCs w:val="28"/>
          <w:rtl/>
        </w:rPr>
        <w:t xml:space="preserve">کان تلمیذ ملا فروغی العطار و کان ماهرا فی الموسیقی و مقربا عند الشاه عباس الصفوی الأول. أورد شعره فی (گلشن- ص 424) و عنه فی القاموس الترکی.</w:t>
      </w:r>
    </w:p>
    <w:p>
      <w:pPr>
        <w:pStyle w:val="Heading3"/>
      </w:pPr>
      <w:bookmarkStart w:id="9095" w:name="_Toc7791"/>
      <w:r>
        <w:t>6881- دیوان المطرق العبدی‏</w:t>
      </w:r>
      <w:bookmarkEnd w:id="9095"/>
    </w:p>
    <w:p>
      <w:pPr>
        <w:pStyle w:val="BookText"/>
      </w:pPr>
      <w:r>
        <w:rPr>
          <w:rFonts w:ascii="IRNazanin" w:hAnsi="IRNazanin" w:eastAsia="IRNazanin" w:cs="IRNazanin"/>
          <w:lang w:bidi="fa-IR"/>
          <w:color w:val="111111"/>
          <w:sz w:val="28"/>
          <w:szCs w:val="28"/>
          <w:rtl/>
        </w:rPr>
        <w:t xml:space="preserve">ترجمه و أورد شعره فی (لس- 368) طبعه طهران 1368 و عده من شعراء الشیعة و نقل عنه شعرا فی التختم بالیمین کالشیعة و هی:</w:t>
      </w:r>
    </w:p>
    <w:p>
      <w:pPr>
        <w:pStyle w:val="BookText"/>
      </w:pPr>
      <w:r>
        <w:rPr>
          <w:rFonts w:ascii="IRNazanin" w:hAnsi="IRNazanin" w:eastAsia="IRNazanin" w:cs="IRNazanin"/>
          <w:lang w:bidi="fa-IR"/>
          <w:color w:val="111111"/>
          <w:sz w:val="28"/>
          <w:szCs w:val="28"/>
          <w:rtl/>
        </w:rPr>
        <w:t xml:space="preserve">قالوا تختم فی الیمین و انما</w:t>
      </w:r>
    </w:p>
    <w:p>
      <w:pPr>
        <w:pStyle w:val="BookText"/>
      </w:pPr>
      <w:r>
        <w:rPr>
          <w:rFonts w:ascii="IRNazanin" w:hAnsi="IRNazanin" w:eastAsia="IRNazanin" w:cs="IRNazanin"/>
          <w:lang w:bidi="fa-IR"/>
          <w:color w:val="111111"/>
          <w:sz w:val="28"/>
          <w:szCs w:val="28"/>
          <w:rtl/>
        </w:rPr>
        <w:t xml:space="preserve">مارست ذاک تشبها بالصادق‏</w:t>
      </w:r>
    </w:p>
    <w:p>
      <w:pPr>
        <w:pStyle w:val="BookText"/>
      </w:pPr>
      <w:r>
        <w:rPr>
          <w:rFonts w:ascii="IRNazanin" w:hAnsi="IRNazanin" w:eastAsia="IRNazanin" w:cs="IRNazanin"/>
          <w:lang w:bidi="fa-IR"/>
          <w:color w:val="111111"/>
          <w:sz w:val="28"/>
          <w:szCs w:val="28"/>
          <w:rtl/>
        </w:rPr>
        <w:t xml:space="preserve">و تقربا منی لآل محمد</w:t>
      </w:r>
    </w:p>
    <w:p>
      <w:pPr>
        <w:pStyle w:val="BookText"/>
      </w:pPr>
      <w:r>
        <w:rPr>
          <w:rFonts w:ascii="IRNazanin" w:hAnsi="IRNazanin" w:eastAsia="IRNazanin" w:cs="IRNazanin"/>
          <w:lang w:bidi="fa-IR"/>
          <w:color w:val="111111"/>
          <w:sz w:val="28"/>
          <w:szCs w:val="28"/>
          <w:rtl/>
        </w:rPr>
        <w:t xml:space="preserve">و تباعدا منی لکل منافق‏</w:t>
      </w:r>
    </w:p>
    <w:p>
      <w:pPr>
        <w:pStyle w:val="Heading3"/>
      </w:pPr>
      <w:bookmarkStart w:id="9096" w:name="_Toc7792"/>
      <w:r>
        <w:t>6882- دیوان مطلبی تونی أو شعره‏</w:t>
      </w:r>
      <w:bookmarkEnd w:id="9096"/>
    </w:p>
    <w:p>
      <w:pPr>
        <w:pStyle w:val="BookText"/>
      </w:pPr>
      <w:r>
        <w:rPr>
          <w:rFonts w:ascii="IRNazanin" w:hAnsi="IRNazanin" w:eastAsia="IRNazanin" w:cs="IRNazanin"/>
          <w:lang w:bidi="fa-IR"/>
          <w:color w:val="111111"/>
          <w:sz w:val="28"/>
          <w:szCs w:val="28"/>
          <w:rtl/>
        </w:rPr>
        <w:t xml:space="preserve">ترجمه معاصره سام میرزا فی (تس 2- ص 41) و ذکر أنه من التجار و أطرأه و أورد شعره.</w:t>
      </w:r>
    </w:p>
    <w:p>
      <w:pPr>
        <w:pStyle w:val="Heading3"/>
      </w:pPr>
      <w:bookmarkStart w:id="9097" w:name="_Toc7793"/>
      <w:r>
        <w:t>6883- دیوان مطلع أکبرآبادی أو شعره‏</w:t>
      </w:r>
      <w:bookmarkEnd w:id="9097"/>
    </w:p>
    <w:p>
      <w:pPr>
        <w:pStyle w:val="BookText"/>
      </w:pPr>
      <w:r>
        <w:rPr>
          <w:rFonts w:ascii="IRNazanin" w:hAnsi="IRNazanin" w:eastAsia="IRNazanin" w:cs="IRNazanin"/>
          <w:lang w:bidi="fa-IR"/>
          <w:color w:val="111111"/>
          <w:sz w:val="28"/>
          <w:szCs w:val="28"/>
          <w:rtl/>
        </w:rPr>
        <w:t xml:space="preserve">و اسمه محمد أمین کما فی (گلشن- ص 424) عن آفتاب عالمتاب أو محمد علی کما فی (روشن- ص 633). و یوجد دیوان مطلع فی (بنگاله) ناقصة.</w:t>
      </w:r>
    </w:p>
    <w:p>
      <w:pPr>
        <w:pStyle w:val="Heading3"/>
      </w:pPr>
      <w:bookmarkStart w:id="9098" w:name="_Toc7794"/>
      <w:r>
        <w:t>6884- دیوان مطلع براغوشی‏</w:t>
      </w:r>
      <w:bookmarkEnd w:id="9098"/>
    </w:p>
    <w:p>
      <w:pPr>
        <w:pStyle w:val="BookText"/>
      </w:pPr>
      <w:r>
        <w:rPr>
          <w:rFonts w:ascii="IRNazanin" w:hAnsi="IRNazanin" w:eastAsia="IRNazanin" w:cs="IRNazanin"/>
          <w:lang w:bidi="fa-IR"/>
          <w:color w:val="111111"/>
          <w:sz w:val="28"/>
          <w:szCs w:val="28"/>
          <w:rtl/>
        </w:rPr>
        <w:t xml:space="preserve">ولد فی براغوش من آذربایجان 1248 و توفی بإیروان بالوباء 1312 [شاعر شیرین مقال‏] ترجمه فی (دجا- ص 348) و له‏
</w:t>
      </w:r>
    </w:p>
    <w:p>
      <w:pPr>
        <w:sectPr>
          <w:footerReference w:type="default" r:id="rId1067"/>
          <w:footnotePr>
            <w:numStart w:val="1"/>
            <w:numRestart w:val="eachPage"/>
          </w:footnotePr>
          <w:pgSz w:orient="portrait" w:w="11905.511811023622" w:h="16837.79527559055"/>
          <w:pgMar w:top="1440" w:right="1440" w:bottom="1440" w:left="1440" w:header="720" w:footer="720" w:gutter="0"/>
          <w:cols w:num="1" w:space="720"/>
        </w:sectPr>
      </w:pPr>
    </w:p>
    <w:bookmarkStart w:id="1048" w:name="pg11704_122535"/>
    <w:bookmarkEnd w:id="1048"/>
    <w:p>
      <w:pPr>
        <w:pStyle w:val="BookText"/>
      </w:pPr>
      <w:r>
        <w:rPr>
          <w:rFonts w:ascii="IRNazanin" w:hAnsi="IRNazanin" w:eastAsia="IRNazanin" w:cs="IRNazanin"/>
          <w:lang w:bidi="fa-IR"/>
          <w:color w:val="111111"/>
          <w:sz w:val="28"/>
          <w:szCs w:val="28"/>
          <w:rtl/>
        </w:rPr>
        <w:t xml:space="preserve">تصانیف أخر غیر الدیوان.</w:t>
      </w:r>
    </w:p>
    <w:p>
      <w:pPr>
        <w:pStyle w:val="Heading3"/>
      </w:pPr>
      <w:bookmarkStart w:id="9099" w:name="_Toc7795"/>
      <w:r>
        <w:t>6885- دیوان مطلع شیرازی أو شعره‏</w:t>
      </w:r>
      <w:bookmarkEnd w:id="9099"/>
    </w:p>
    <w:p>
      <w:pPr>
        <w:pStyle w:val="BookText"/>
      </w:pPr>
      <w:r>
        <w:rPr>
          <w:rFonts w:ascii="IRNazanin" w:hAnsi="IRNazanin" w:eastAsia="IRNazanin" w:cs="IRNazanin"/>
          <w:lang w:bidi="fa-IR"/>
          <w:color w:val="111111"/>
          <w:sz w:val="28"/>
          <w:szCs w:val="28"/>
          <w:rtl/>
        </w:rPr>
        <w:t xml:space="preserve">و اسمه محمد بن محمد صادق. ترجمه معاصره فی (عم- ص 546).</w:t>
      </w:r>
    </w:p>
    <w:p>
      <w:pPr>
        <w:pStyle w:val="Heading3"/>
      </w:pPr>
      <w:bookmarkStart w:id="9100" w:name="_Toc7796"/>
      <w:r>
        <w:t>6886- دیوان مطلعی قزوینی أو شعره‏</w:t>
      </w:r>
      <w:bookmarkEnd w:id="9100"/>
    </w:p>
    <w:p>
      <w:pPr>
        <w:pStyle w:val="BookText"/>
      </w:pPr>
      <w:r>
        <w:rPr>
          <w:rFonts w:ascii="IRNazanin" w:hAnsi="IRNazanin" w:eastAsia="IRNazanin" w:cs="IRNazanin"/>
          <w:lang w:bidi="fa-IR"/>
          <w:color w:val="111111"/>
          <w:sz w:val="28"/>
          <w:szCs w:val="28"/>
          <w:rtl/>
        </w:rPr>
        <w:t xml:space="preserve">و اسمه بابا حسینی. کان بابا فی حیدری‏خانه ترجمه النصرآبادی و أورد شعره فی (نر 5- ص 140) و ذکر حسن خلقه و شفاعته لمرأة محکومة علیها بالإعدام. و ترجم فی (حسینی- ص 312) و (گلشن- ص 424) باسم بابا حسن. و یوجد له غزل فی مجموعة بمکتبة البلدیة بأصفهان رقم 224/ 3.</w:t>
      </w:r>
    </w:p>
    <w:p>
      <w:pPr>
        <w:pStyle w:val="Heading3"/>
      </w:pPr>
      <w:bookmarkStart w:id="9101" w:name="_Toc7797"/>
      <w:r>
        <w:t>6887- دیوان مطمئن أصفهانی‏</w:t>
      </w:r>
      <w:bookmarkEnd w:id="9101"/>
    </w:p>
    <w:p>
      <w:pPr>
        <w:pStyle w:val="BookText"/>
      </w:pPr>
      <w:r>
        <w:rPr>
          <w:rFonts w:ascii="IRNazanin" w:hAnsi="IRNazanin" w:eastAsia="IRNazanin" w:cs="IRNazanin"/>
          <w:lang w:bidi="fa-IR"/>
          <w:color w:val="111111"/>
          <w:sz w:val="28"/>
          <w:szCs w:val="28"/>
          <w:rtl/>
        </w:rPr>
        <w:t xml:space="preserve">و هو الحاج میرزا مهدی الورشی من قری أصفهان القاری ولد 1294 و مات 1370 و دیوانه فی ألف بیت. ذکره المهدوی فی شعرای معاصر أصفهان- ص 454.</w:t>
      </w:r>
    </w:p>
    <w:p>
      <w:pPr>
        <w:pStyle w:val="Heading3"/>
      </w:pPr>
      <w:bookmarkStart w:id="9102" w:name="_Toc7798"/>
      <w:r>
        <w:t>6888- دیوان مطیع تبریزی‏</w:t>
      </w:r>
      <w:bookmarkEnd w:id="9102"/>
    </w:p>
    <w:p>
      <w:pPr>
        <w:pStyle w:val="BookText"/>
      </w:pPr>
      <w:r>
        <w:rPr>
          <w:rFonts w:ascii="IRNazanin" w:hAnsi="IRNazanin" w:eastAsia="IRNazanin" w:cs="IRNazanin"/>
          <w:lang w:bidi="fa-IR"/>
          <w:color w:val="111111"/>
          <w:sz w:val="28"/>
          <w:szCs w:val="28"/>
          <w:rtl/>
        </w:rPr>
        <w:t xml:space="preserve">من التبارزة الساکنین بعباس‏آباد أصفهان کان تاجرا سافر إلی الهند مع ابنه و مات ابنه هناک فرجع خائبا و مات بأصفهان ترجمه و أورد شعره فی (نر 9- ص 391) و (سرو- ص 57) و (گلشن- ص 424) بعنوان مطیعای تبریزی تفخیما له.</w:t>
      </w:r>
    </w:p>
    <w:p>
      <w:pPr>
        <w:pStyle w:val="Heading3"/>
      </w:pPr>
      <w:bookmarkStart w:id="9103" w:name="_Toc7799"/>
      <w:r>
        <w:t>6889- دیوان مطیع کاشغری أو شعره‏</w:t>
      </w:r>
      <w:bookmarkEnd w:id="9103"/>
    </w:p>
    <w:p>
      <w:pPr>
        <w:pStyle w:val="BookText"/>
      </w:pPr>
      <w:r>
        <w:rPr>
          <w:rFonts w:ascii="IRNazanin" w:hAnsi="IRNazanin" w:eastAsia="IRNazanin" w:cs="IRNazanin"/>
          <w:lang w:bidi="fa-IR"/>
          <w:color w:val="111111"/>
          <w:sz w:val="28"/>
          <w:szCs w:val="28"/>
          <w:rtl/>
        </w:rPr>
        <w:t xml:space="preserve">کان من حکام البلدة. أورد شعره فی (گلشن- ص 425).</w:t>
      </w:r>
    </w:p>
    <w:p>
      <w:pPr>
        <w:pStyle w:val="Heading3"/>
      </w:pPr>
      <w:bookmarkStart w:id="9104" w:name="_Toc7800"/>
      <w:r>
        <w:t>6890- دیوان مطیع لکهنوی أو شعره‏</w:t>
      </w:r>
      <w:bookmarkEnd w:id="9104"/>
    </w:p>
    <w:p>
      <w:pPr>
        <w:pStyle w:val="BookText"/>
      </w:pPr>
      <w:r>
        <w:rPr>
          <w:rFonts w:ascii="IRNazanin" w:hAnsi="IRNazanin" w:eastAsia="IRNazanin" w:cs="IRNazanin"/>
          <w:lang w:bidi="fa-IR"/>
          <w:color w:val="111111"/>
          <w:sz w:val="28"/>
          <w:szCs w:val="28"/>
          <w:rtl/>
        </w:rPr>
        <w:t xml:space="preserve">و اسمه لاله رام بخش أورد شعره فی (گلشن- ص 425) و عنه فی القاموس الترکی.</w:t>
      </w:r>
    </w:p>
    <w:p>
      <w:pPr>
        <w:pStyle w:val="Heading3"/>
      </w:pPr>
      <w:bookmarkStart w:id="9105" w:name="_Toc7801"/>
      <w:r>
        <w:t>6891- دیوان مطیع مازندرانی أو شعره‏</w:t>
      </w:r>
      <w:bookmarkEnd w:id="9105"/>
    </w:p>
    <w:p>
      <w:pPr>
        <w:pStyle w:val="BookText"/>
      </w:pPr>
      <w:r>
        <w:rPr>
          <w:rFonts w:ascii="IRNazanin" w:hAnsi="IRNazanin" w:eastAsia="IRNazanin" w:cs="IRNazanin"/>
          <w:lang w:bidi="fa-IR"/>
          <w:color w:val="111111"/>
          <w:sz w:val="28"/>
          <w:szCs w:val="28"/>
          <w:rtl/>
        </w:rPr>
        <w:t xml:space="preserve">و هو المیرزا محمد زکی المتوفی 1267 ترجم فی (مع 2: 452) و مدائح معتمدیة.</w:t>
      </w:r>
    </w:p>
    <w:p>
      <w:pPr>
        <w:pStyle w:val="Heading3"/>
      </w:pPr>
      <w:bookmarkStart w:id="9106" w:name="_Toc7802"/>
      <w:r>
        <w:t>6892- دیوان مطیع همدانی أو شعره‏</w:t>
      </w:r>
      <w:bookmarkEnd w:id="9106"/>
    </w:p>
    <w:p>
      <w:pPr>
        <w:pStyle w:val="BookText"/>
      </w:pPr>
      <w:r>
        <w:rPr>
          <w:rFonts w:ascii="IRNazanin" w:hAnsi="IRNazanin" w:eastAsia="IRNazanin" w:cs="IRNazanin"/>
          <w:lang w:bidi="fa-IR"/>
          <w:color w:val="111111"/>
          <w:sz w:val="28"/>
          <w:szCs w:val="28"/>
          <w:rtl/>
        </w:rPr>
        <w:t xml:space="preserve">ورد شعره فی همیشه بهار.</w:t>
      </w:r>
    </w:p>
    <w:p>
      <w:pPr>
        <w:pStyle w:val="Heading3"/>
      </w:pPr>
      <w:bookmarkStart w:id="9107" w:name="_Toc7803"/>
      <w:r>
        <w:t>دیوان مطیعی بلخی‏</w:t>
      </w:r>
      <w:bookmarkEnd w:id="9107"/>
    </w:p>
    <w:p>
      <w:pPr>
        <w:pStyle w:val="BookText"/>
      </w:pPr>
      <w:r>
        <w:rPr>
          <w:rFonts w:ascii="IRNazanin" w:hAnsi="IRNazanin" w:eastAsia="IRNazanin" w:cs="IRNazanin"/>
          <w:lang w:bidi="fa-IR"/>
          <w:color w:val="111111"/>
          <w:sz w:val="28"/>
          <w:szCs w:val="28"/>
          <w:rtl/>
        </w:rPr>
        <w:t xml:space="preserve">مر بعنوان ألف الإبدال فی ص 90.</w:t>
      </w:r>
    </w:p>
    <w:p>
      <w:pPr>
        <w:pStyle w:val="Heading3"/>
      </w:pPr>
      <w:bookmarkStart w:id="9108" w:name="_Toc7804"/>
      <w:r>
        <w:t>6893- دیوان مطیعی تونی أو شعره‏</w:t>
      </w:r>
      <w:bookmarkEnd w:id="9108"/>
    </w:p>
    <w:p>
      <w:pPr>
        <w:pStyle w:val="BookText"/>
      </w:pPr>
      <w:r>
        <w:rPr>
          <w:rFonts w:ascii="IRNazanin" w:hAnsi="IRNazanin" w:eastAsia="IRNazanin" w:cs="IRNazanin"/>
          <w:lang w:bidi="fa-IR"/>
          <w:color w:val="111111"/>
          <w:sz w:val="28"/>
          <w:szCs w:val="28"/>
          <w:rtl/>
        </w:rPr>
        <w:t xml:space="preserve">ورد شعره فی (گلشن- ص 425).</w:t>
      </w:r>
    </w:p>
    <w:p>
      <w:pPr>
        <w:pStyle w:val="Heading3"/>
      </w:pPr>
      <w:bookmarkStart w:id="9109" w:name="_Toc7805"/>
      <w:r>
        <w:t>6894- دیوان مظاهر تیرانی‏</w:t>
      </w:r>
      <w:bookmarkEnd w:id="9109"/>
    </w:p>
    <w:p>
      <w:pPr>
        <w:pStyle w:val="BookText"/>
      </w:pPr>
      <w:r>
        <w:rPr>
          <w:rFonts w:ascii="IRNazanin" w:hAnsi="IRNazanin" w:eastAsia="IRNazanin" w:cs="IRNazanin"/>
          <w:lang w:bidi="fa-IR"/>
          <w:color w:val="111111"/>
          <w:sz w:val="28"/>
          <w:szCs w:val="28"/>
          <w:rtl/>
        </w:rPr>
        <w:t xml:space="preserve">و اسمه علی بن عباس قلی المظاهری ولد بتیران من‏
</w:t>
      </w:r>
    </w:p>
    <w:p>
      <w:pPr>
        <w:sectPr>
          <w:footerReference w:type="default" r:id="rId1068"/>
          <w:footnotePr>
            <w:numStart w:val="1"/>
            <w:numRestart w:val="eachPage"/>
          </w:footnotePr>
          <w:pgSz w:orient="portrait" w:w="11905.511811023622" w:h="16837.79527559055"/>
          <w:pgMar w:top="1440" w:right="1440" w:bottom="1440" w:left="1440" w:header="720" w:footer="720" w:gutter="0"/>
          <w:cols w:num="1" w:space="720"/>
        </w:sectPr>
      </w:pPr>
    </w:p>
    <w:bookmarkStart w:id="1049" w:name="pg11704_122536"/>
    <w:bookmarkEnd w:id="1049"/>
    <w:p>
      <w:pPr>
        <w:pStyle w:val="BookText"/>
      </w:pPr>
      <w:r>
        <w:rPr>
          <w:rFonts w:ascii="IRNazanin" w:hAnsi="IRNazanin" w:eastAsia="IRNazanin" w:cs="IRNazanin"/>
          <w:lang w:bidi="fa-IR"/>
          <w:color w:val="111111"/>
          <w:sz w:val="28"/>
          <w:szCs w:val="28"/>
          <w:rtl/>
        </w:rPr>
        <w:t xml:space="preserve">نواحی کرون بأصفهان و نشا بأصفهان و هو الآن معلم فی المدارس بنجف‏آباد. أورد شعره و أطرأه فی شعرای معاصر أصفهان- ص 454.</w:t>
      </w:r>
    </w:p>
    <w:p>
      <w:pPr>
        <w:pStyle w:val="Heading3"/>
      </w:pPr>
      <w:bookmarkStart w:id="9110" w:name="_Toc7806"/>
      <w:r>
        <w:t>6895- دیوان مظاهر مصفی‏</w:t>
      </w:r>
      <w:bookmarkEnd w:id="9110"/>
    </w:p>
    <w:p>
      <w:pPr>
        <w:pStyle w:val="BookText"/>
      </w:pPr>
      <w:r>
        <w:rPr>
          <w:rFonts w:ascii="IRNazanin" w:hAnsi="IRNazanin" w:eastAsia="IRNazanin" w:cs="IRNazanin"/>
          <w:lang w:bidi="fa-IR"/>
          <w:color w:val="111111"/>
          <w:sz w:val="28"/>
          <w:szCs w:val="28"/>
          <w:rtl/>
        </w:rPr>
        <w:t xml:space="preserve">الأراکی السلطان‏آبادی المولود 1347 طبع له منظومات، منها نسیم و شبهای شیراز فی 72 ص. و غیرها. و طبع له پاسداران سخن.</w:t>
      </w:r>
    </w:p>
    <w:p>
      <w:pPr>
        <w:pStyle w:val="Heading3"/>
      </w:pPr>
      <w:bookmarkStart w:id="9111" w:name="_Toc7807"/>
      <w:r>
        <w:t>6896- دیوان مظفر تبریزی أو شعره‏</w:t>
      </w:r>
      <w:bookmarkEnd w:id="9111"/>
    </w:p>
    <w:p>
      <w:pPr>
        <w:pStyle w:val="BookText"/>
      </w:pPr>
      <w:r>
        <w:rPr>
          <w:rFonts w:ascii="IRNazanin" w:hAnsi="IRNazanin" w:eastAsia="IRNazanin" w:cs="IRNazanin"/>
          <w:lang w:bidi="fa-IR"/>
          <w:color w:val="111111"/>
          <w:sz w:val="28"/>
          <w:szCs w:val="28"/>
          <w:rtl/>
        </w:rPr>
        <w:t xml:space="preserve">هو ابن علی رضا بیک التبریزی نزیل عباس‏آباد أصفهان. ترجمه معاصره النصرآبادی فی (نر 9- ص 429) و ذکر أن آباءه کانوا قزازین فترک هو الشغل و تعلم الشعر و سافر إلی الهند و حج البیت مرتین، و الحال فی أصفهان و أنا أستفید منه. و ذکر بعض شعره. و نقل عنه فی (دجا- ص 348) و (گلشن- ص 426) و عنه فی القاموس الترکی.</w:t>
      </w:r>
    </w:p>
    <w:p>
      <w:pPr>
        <w:pStyle w:val="Heading3"/>
      </w:pPr>
      <w:bookmarkStart w:id="9112" w:name="_Toc7808"/>
      <w:r>
        <w:t>6897- دیوان مظفر تربتی أو شعره‏</w:t>
      </w:r>
      <w:bookmarkEnd w:id="9112"/>
    </w:p>
    <w:p>
      <w:pPr>
        <w:pStyle w:val="BookText"/>
      </w:pPr>
      <w:r>
        <w:rPr>
          <w:rFonts w:ascii="IRNazanin" w:hAnsi="IRNazanin" w:eastAsia="IRNazanin" w:cs="IRNazanin"/>
          <w:lang w:bidi="fa-IR"/>
          <w:color w:val="111111"/>
          <w:sz w:val="28"/>
          <w:szCs w:val="28"/>
          <w:rtl/>
        </w:rPr>
        <w:t xml:space="preserve">و اسمه مظفر علی الملقب نقاش شاهی ابن حیدر علی و ابن أخت الأستاد بهزاد المصور و الأستاد صادقی کتاب دار فی التصویر کما ذکره فی (خص 8- ص 255) و قال کان الشاه یرجحه علی بهزاد و کان یقلد خط المیر علی و السلطان علی. و کان ماهرا فی الشطرنج کبیرة و صغیرة حضورا و غیابا. و قد لقبه الشاه نقاش شاهی.</w:t>
      </w:r>
    </w:p>
    <w:p>
      <w:pPr>
        <w:pStyle w:val="Heading3"/>
      </w:pPr>
      <w:bookmarkStart w:id="9113" w:name="_Toc7809"/>
      <w:r>
        <w:t>6898- دیوان مظفر حسین هندی أو شعره‏</w:t>
      </w:r>
      <w:bookmarkEnd w:id="9113"/>
    </w:p>
    <w:p>
      <w:pPr>
        <w:pStyle w:val="BookText"/>
      </w:pPr>
      <w:r>
        <w:rPr>
          <w:rFonts w:ascii="IRNazanin" w:hAnsi="IRNazanin" w:eastAsia="IRNazanin" w:cs="IRNazanin"/>
          <w:lang w:bidi="fa-IR"/>
          <w:color w:val="111111"/>
          <w:sz w:val="28"/>
          <w:szCs w:val="28"/>
          <w:rtl/>
        </w:rPr>
        <w:t xml:space="preserve">و هو محمد مظفر حسین ابن یوسف علی الکوپاموی الهندی المتخلص صبا ألف روز روشن تذکره للشعراء فی 1296 و طبعه فی 1297 فی کلکتة فی 868 ص. و ننقل عنه فی قسم الشعراء من الذریعة بعنوان (روشن). ترجم نفسه فیه أی فی (روشن- ص 380).</w:t>
      </w:r>
    </w:p>
    <w:p>
      <w:pPr>
        <w:pStyle w:val="Heading3"/>
      </w:pPr>
      <w:bookmarkStart w:id="9114" w:name="_Toc7810"/>
      <w:r>
        <w:t>دیوان مظفر حسین‏</w:t>
      </w:r>
      <w:bookmarkEnd w:id="9114"/>
    </w:p>
    <w:p>
      <w:pPr>
        <w:pStyle w:val="BookText"/>
      </w:pPr>
      <w:r>
        <w:rPr>
          <w:rFonts w:ascii="IRNazanin" w:hAnsi="IRNazanin" w:eastAsia="IRNazanin" w:cs="IRNazanin"/>
          <w:lang w:bidi="fa-IR"/>
          <w:color w:val="111111"/>
          <w:sz w:val="28"/>
          <w:szCs w:val="28"/>
          <w:rtl/>
        </w:rPr>
        <w:t xml:space="preserve">راجع مظفر صفوی.</w:t>
      </w:r>
    </w:p>
    <w:p>
      <w:pPr>
        <w:pStyle w:val="Heading3"/>
      </w:pPr>
      <w:bookmarkStart w:id="9115" w:name="_Toc7811"/>
      <w:r>
        <w:t>دیوان مظفر خانی‏</w:t>
      </w:r>
      <w:bookmarkEnd w:id="9115"/>
    </w:p>
    <w:p>
      <w:pPr>
        <w:pStyle w:val="BookText"/>
      </w:pPr>
      <w:r>
        <w:rPr>
          <w:rFonts w:ascii="IRNazanin" w:hAnsi="IRNazanin" w:eastAsia="IRNazanin" w:cs="IRNazanin"/>
          <w:lang w:bidi="fa-IR"/>
          <w:color w:val="111111"/>
          <w:sz w:val="28"/>
          <w:szCs w:val="28"/>
          <w:rtl/>
        </w:rPr>
        <w:t xml:space="preserve">راجع مظفر هروی.</w:t>
      </w:r>
    </w:p>
    <w:p>
      <w:pPr>
        <w:pStyle w:val="Heading3"/>
      </w:pPr>
      <w:bookmarkStart w:id="9116" w:name="_Toc7812"/>
      <w:r>
        <w:t>دیوان مظفر خضردانی‏</w:t>
      </w:r>
      <w:bookmarkEnd w:id="9116"/>
    </w:p>
    <w:p>
      <w:pPr>
        <w:pStyle w:val="BookText"/>
      </w:pPr>
      <w:r>
        <w:rPr>
          <w:rFonts w:ascii="IRNazanin" w:hAnsi="IRNazanin" w:eastAsia="IRNazanin" w:cs="IRNazanin"/>
          <w:lang w:bidi="fa-IR"/>
          <w:color w:val="111111"/>
          <w:sz w:val="28"/>
          <w:szCs w:val="28"/>
          <w:rtl/>
        </w:rPr>
        <w:t xml:space="preserve">راجع مظفر هروی.</w:t>
      </w:r>
    </w:p>
    <w:p>
      <w:pPr>
        <w:pStyle w:val="Heading3"/>
      </w:pPr>
      <w:bookmarkStart w:id="9117" w:name="_Toc7813"/>
      <w:r>
        <w:t>دیوان مظفر شبانکاره‏</w:t>
      </w:r>
      <w:bookmarkEnd w:id="9117"/>
    </w:p>
    <w:p>
      <w:pPr>
        <w:pStyle w:val="BookText"/>
      </w:pPr>
      <w:r>
        <w:rPr>
          <w:rFonts w:ascii="IRNazanin" w:hAnsi="IRNazanin" w:eastAsia="IRNazanin" w:cs="IRNazanin"/>
          <w:lang w:bidi="fa-IR"/>
          <w:color w:val="111111"/>
          <w:sz w:val="28"/>
          <w:szCs w:val="28"/>
          <w:rtl/>
        </w:rPr>
        <w:t xml:space="preserve">راجع مظفر فارسی.</w:t>
      </w:r>
    </w:p>
    <w:p>
      <w:pPr>
        <w:pStyle w:val="Heading3"/>
      </w:pPr>
      <w:bookmarkStart w:id="9118" w:name="_Toc7814"/>
      <w:r>
        <w:t>6899- دیوان مظفر شیرازی أو شعره‏</w:t>
      </w:r>
      <w:bookmarkEnd w:id="9118"/>
    </w:p>
    <w:p>
      <w:pPr>
        <w:pStyle w:val="BookText"/>
      </w:pPr>
      <w:r>
        <w:rPr>
          <w:rFonts w:ascii="IRNazanin" w:hAnsi="IRNazanin" w:eastAsia="IRNazanin" w:cs="IRNazanin"/>
          <w:lang w:bidi="fa-IR"/>
          <w:color w:val="111111"/>
          <w:sz w:val="28"/>
          <w:szCs w:val="28"/>
          <w:rtl/>
        </w:rPr>
        <w:t xml:space="preserve">کان محصلا للعلوم. ترجمه فرصت فی (عم- ص 568) و أورد تمام غزله. و اسمه غلام حسین بن علی المتوفی 1352.</w:t>
      </w:r>
    </w:p>
    <w:p>
      <w:pPr>
        <w:pStyle w:val="BookText"/>
      </w:pPr>
      <w:r>
        <w:rPr>
          <w:rFonts w:ascii="IRNazanin" w:hAnsi="IRNazanin" w:eastAsia="IRNazanin" w:cs="IRNazanin"/>
          <w:lang w:bidi="fa-IR"/>
          <w:color w:val="111111"/>
          <w:sz w:val="28"/>
          <w:szCs w:val="28"/>
          <w:rtl/>
        </w:rPr>
        <w:t xml:space="preserve">طبع دیوانه مع مقدمه فی أحواله لعلی نقی بهروزی بشیراز فی 1377 فی 186+ 10 ص.
</w:t>
      </w:r>
    </w:p>
    <w:p>
      <w:pPr>
        <w:sectPr>
          <w:footerReference w:type="default" r:id="rId1069"/>
          <w:footnotePr>
            <w:numStart w:val="1"/>
            <w:numRestart w:val="eachPage"/>
          </w:footnotePr>
          <w:pgSz w:orient="portrait" w:w="11905.511811023622" w:h="16837.79527559055"/>
          <w:pgMar w:top="1440" w:right="1440" w:bottom="1440" w:left="1440" w:header="720" w:footer="720" w:gutter="0"/>
          <w:cols w:num="1" w:space="720"/>
        </w:sectPr>
      </w:pPr>
    </w:p>
    <w:bookmarkStart w:id="1050" w:name="pg11704_122537"/>
    <w:bookmarkEnd w:id="1050"/>
    <w:p>
      <w:pPr>
        <w:pStyle w:val="Heading3"/>
      </w:pPr>
      <w:bookmarkStart w:id="9119" w:name="_Toc7815"/>
      <w:r>
        <w:t>6900- دیوان مظفر صفوی أو شعره‏</w:t>
      </w:r>
      <w:bookmarkEnd w:id="9119"/>
    </w:p>
    <w:p>
      <w:pPr>
        <w:pStyle w:val="BookText"/>
      </w:pPr>
      <w:r>
        <w:rPr>
          <w:rFonts w:ascii="IRNazanin" w:hAnsi="IRNazanin" w:eastAsia="IRNazanin" w:cs="IRNazanin"/>
          <w:lang w:bidi="fa-IR"/>
          <w:color w:val="111111"/>
          <w:sz w:val="28"/>
          <w:szCs w:val="28"/>
          <w:rtl/>
        </w:rPr>
        <w:t xml:space="preserve">و اسمه حسین میرزا ابن سنجر میرزا و سبط الشاه طهماسب. ترجمه النصرآبادی و أمه من أحفاد الشاه نعمة الله ولی. أعماه الشاه صفی مع والده. أورد شعره فی (نر 1- ص 11) و (مع 1: 56) و (گلشن- ص 427) و همیشه بهار و فی (گلشن- ص 427) أنه قندهاری.</w:t>
      </w:r>
    </w:p>
    <w:p>
      <w:pPr>
        <w:pStyle w:val="Heading3"/>
      </w:pPr>
      <w:bookmarkStart w:id="9120" w:name="_Toc7816"/>
      <w:r>
        <w:t>6901- دیوان مظفر صفوی أو شعره‏</w:t>
      </w:r>
      <w:bookmarkEnd w:id="9120"/>
    </w:p>
    <w:p>
      <w:pPr>
        <w:pStyle w:val="BookText"/>
      </w:pPr>
      <w:r>
        <w:rPr>
          <w:rFonts w:ascii="IRNazanin" w:hAnsi="IRNazanin" w:eastAsia="IRNazanin" w:cs="IRNazanin"/>
          <w:lang w:bidi="fa-IR"/>
          <w:color w:val="111111"/>
          <w:sz w:val="28"/>
          <w:szCs w:val="28"/>
          <w:rtl/>
        </w:rPr>
        <w:t xml:space="preserve">و اسمه مظفر حسین بن السلطان حسین میرزا بن بهرام بن الشاه إسماعیل توفی 1008 ترجمه القانع و أورد شعره فی مقالات الشعراء- ص 491. و فی القاموس الترکی سماه مظفر گورکانی ابن السلطان حسین بایقرا.</w:t>
      </w:r>
    </w:p>
    <w:p>
      <w:pPr>
        <w:pStyle w:val="Heading3"/>
      </w:pPr>
      <w:bookmarkStart w:id="9121" w:name="_Toc7817"/>
      <w:r>
        <w:t>6902- دیوان مظفر علی أمیر</w:t>
      </w:r>
      <w:bookmarkEnd w:id="9121"/>
    </w:p>
    <w:p>
      <w:pPr>
        <w:pStyle w:val="BookText"/>
      </w:pPr>
      <w:r>
        <w:rPr>
          <w:rFonts w:ascii="IRNazanin" w:hAnsi="IRNazanin" w:eastAsia="IRNazanin" w:cs="IRNazanin"/>
          <w:lang w:bidi="fa-IR"/>
          <w:color w:val="111111"/>
          <w:sz w:val="28"/>
          <w:szCs w:val="28"/>
          <w:rtl/>
        </w:rPr>
        <w:t xml:space="preserve">اللکهنوی. طبع له منظومتا کربلاءنامه و گلشن تعشق.</w:t>
      </w:r>
    </w:p>
    <w:p>
      <w:pPr>
        <w:pStyle w:val="Heading3"/>
      </w:pPr>
      <w:bookmarkStart w:id="9122" w:name="_Toc7818"/>
      <w:r>
        <w:t>دیوان مظفر علی شاه‏</w:t>
      </w:r>
      <w:bookmarkEnd w:id="9122"/>
    </w:p>
    <w:p>
      <w:pPr>
        <w:pStyle w:val="BookText"/>
      </w:pPr>
      <w:r>
        <w:rPr>
          <w:rFonts w:ascii="IRNazanin" w:hAnsi="IRNazanin" w:eastAsia="IRNazanin" w:cs="IRNazanin"/>
          <w:lang w:bidi="fa-IR"/>
          <w:color w:val="111111"/>
          <w:sz w:val="28"/>
          <w:szCs w:val="28"/>
          <w:rtl/>
        </w:rPr>
        <w:t xml:space="preserve">هو محمد تقی بن محمد کاظم المتخلص طریقتی الکرمانی المذکور فی ص 648. نظم دیوان مشتاقیه باسم مشتاق علی شاه، و مر له بحر الأسرار و یأتی له منظومة نور الأنوار فی الکیمیاء فی أربعة آلاف بیت، موجود عند الشیخ رستم نطقی فی طهران و یوجد دیوانه عند (فخر الدین) و (الملک) و ترجم فی نور الابصار- ص 43.</w:t>
      </w:r>
    </w:p>
    <w:p>
      <w:pPr>
        <w:pStyle w:val="BookText"/>
      </w:pPr>
      <w:r>
        <w:rPr>
          <w:rFonts w:ascii="IRNazanin" w:hAnsi="IRNazanin" w:eastAsia="IRNazanin" w:cs="IRNazanin"/>
          <w:lang w:bidi="fa-IR"/>
          <w:color w:val="111111"/>
          <w:sz w:val="28"/>
          <w:szCs w:val="28"/>
          <w:rtl/>
        </w:rPr>
        <w:t xml:space="preserve">و فی (الطرائق- 3: 93) ذکر له مجمع البحار و کبریت أحمر و أفیونیة و قال إنه مات مسموما بید آقا محمد علی البهبهانی فی 1215.</w:t>
      </w:r>
    </w:p>
    <w:p>
      <w:pPr>
        <w:pStyle w:val="Heading3"/>
      </w:pPr>
      <w:bookmarkStart w:id="9123" w:name="_Toc7819"/>
      <w:r>
        <w:t>6903- دیوان مظفر فارسی أو شعره‏</w:t>
      </w:r>
      <w:bookmarkEnd w:id="9123"/>
    </w:p>
    <w:p>
      <w:pPr>
        <w:pStyle w:val="BookText"/>
      </w:pPr>
      <w:r>
        <w:rPr>
          <w:rFonts w:ascii="IRNazanin" w:hAnsi="IRNazanin" w:eastAsia="IRNazanin" w:cs="IRNazanin"/>
          <w:lang w:bidi="fa-IR"/>
          <w:color w:val="111111"/>
          <w:sz w:val="28"/>
          <w:szCs w:val="28"/>
          <w:rtl/>
        </w:rPr>
        <w:t xml:space="preserve">و اسمه الملک مظفر الدین من ملوک شبانکاره المقتول 658. أورد شعره فی (مع 1: 56) و قال: له مراسلات مع کمال إسماعیل الأصفهانی.</w:t>
      </w:r>
    </w:p>
    <w:p>
      <w:pPr>
        <w:pStyle w:val="Heading3"/>
      </w:pPr>
      <w:bookmarkStart w:id="9124" w:name="_Toc7820"/>
      <w:r>
        <w:t>دیوان مظفر قندهاری‏</w:t>
      </w:r>
      <w:bookmarkEnd w:id="9124"/>
    </w:p>
    <w:p>
      <w:pPr>
        <w:pStyle w:val="BookText"/>
      </w:pPr>
      <w:r>
        <w:rPr>
          <w:rFonts w:ascii="IRNazanin" w:hAnsi="IRNazanin" w:eastAsia="IRNazanin" w:cs="IRNazanin"/>
          <w:lang w:bidi="fa-IR"/>
          <w:color w:val="111111"/>
          <w:sz w:val="28"/>
          <w:szCs w:val="28"/>
          <w:rtl/>
        </w:rPr>
        <w:t xml:space="preserve">راجع دیوان مظفر صفوی ابن سنجر.</w:t>
      </w:r>
    </w:p>
    <w:p>
      <w:pPr>
        <w:pStyle w:val="Heading3"/>
      </w:pPr>
      <w:bookmarkStart w:id="9125" w:name="_Toc7821"/>
      <w:r>
        <w:t>6904- دیوان مظفر کاشانی أو شعره‏</w:t>
      </w:r>
      <w:bookmarkEnd w:id="9125"/>
    </w:p>
    <w:p>
      <w:pPr>
        <w:pStyle w:val="BookText"/>
      </w:pPr>
      <w:r>
        <w:rPr>
          <w:rFonts w:ascii="IRNazanin" w:hAnsi="IRNazanin" w:eastAsia="IRNazanin" w:cs="IRNazanin"/>
          <w:lang w:bidi="fa-IR"/>
          <w:color w:val="111111"/>
          <w:sz w:val="28"/>
          <w:szCs w:val="28"/>
          <w:rtl/>
        </w:rPr>
        <w:t xml:space="preserve">و اسمه مظفر حسین من عرفاء عهد الشاه عباس الأول الصفوی. ترجمه و أورد رباعیاته فی (نر 6- ص 164) و (تش- ص 253) و همیشه بهار.</w:t>
      </w:r>
    </w:p>
    <w:p>
      <w:pPr>
        <w:pStyle w:val="Heading3"/>
      </w:pPr>
      <w:bookmarkStart w:id="9126" w:name="_Toc7822"/>
      <w:r>
        <w:t>6905- دیوان مظفر کاشانی أو شعره‏</w:t>
      </w:r>
      <w:bookmarkEnd w:id="9126"/>
    </w:p>
    <w:p>
      <w:pPr>
        <w:pStyle w:val="BookText"/>
      </w:pPr>
      <w:r>
        <w:rPr>
          <w:rFonts w:ascii="IRNazanin" w:hAnsi="IRNazanin" w:eastAsia="IRNazanin" w:cs="IRNazanin"/>
          <w:lang w:bidi="fa-IR"/>
          <w:color w:val="111111"/>
          <w:sz w:val="28"/>
          <w:szCs w:val="28"/>
          <w:rtl/>
        </w:rPr>
        <w:t xml:space="preserve">و اسمه أیضا المیر مظفر الطبیب. ترجمه و أورد شعره فی (تس 2- ص 39) و فی (گلشن- ص 426) خلط بینه و بین من قبله و زاد أنه طبیب خطاط و له أخلاق شاهی.
</w:t>
      </w:r>
    </w:p>
    <w:p>
      <w:pPr>
        <w:sectPr>
          <w:footerReference w:type="default" r:id="rId1070"/>
          <w:footnotePr>
            <w:numStart w:val="1"/>
            <w:numRestart w:val="eachPage"/>
          </w:footnotePr>
          <w:pgSz w:orient="portrait" w:w="11905.511811023622" w:h="16837.79527559055"/>
          <w:pgMar w:top="1440" w:right="1440" w:bottom="1440" w:left="1440" w:header="720" w:footer="720" w:gutter="0"/>
          <w:cols w:num="1" w:space="720"/>
        </w:sectPr>
      </w:pPr>
    </w:p>
    <w:bookmarkStart w:id="1051" w:name="pg11704_122538"/>
    <w:bookmarkEnd w:id="1051"/>
    <w:p>
      <w:pPr>
        <w:pStyle w:val="Heading3"/>
      </w:pPr>
      <w:bookmarkStart w:id="9127" w:name="_Toc7823"/>
      <w:r>
        <w:t>6906- دیوان مظفر کرمانی أو شعره‏</w:t>
      </w:r>
      <w:bookmarkEnd w:id="9127"/>
    </w:p>
    <w:p>
      <w:pPr>
        <w:pStyle w:val="BookText"/>
      </w:pPr>
      <w:r>
        <w:rPr>
          <w:rFonts w:ascii="IRNazanin" w:hAnsi="IRNazanin" w:eastAsia="IRNazanin" w:cs="IRNazanin"/>
          <w:lang w:bidi="fa-IR"/>
          <w:color w:val="111111"/>
          <w:sz w:val="28"/>
          <w:szCs w:val="28"/>
          <w:rtl/>
        </w:rPr>
        <w:t xml:space="preserve">و اسمه مظفر بیک رنگرز (الصباغ).</w:t>
      </w:r>
    </w:p>
    <w:p>
      <w:pPr>
        <w:pStyle w:val="BookText"/>
      </w:pPr>
      <w:r>
        <w:rPr>
          <w:rFonts w:ascii="IRNazanin" w:hAnsi="IRNazanin" w:eastAsia="IRNazanin" w:cs="IRNazanin"/>
          <w:lang w:bidi="fa-IR"/>
          <w:color w:val="111111"/>
          <w:sz w:val="28"/>
          <w:szCs w:val="28"/>
          <w:rtl/>
        </w:rPr>
        <w:t xml:space="preserve">ترجمه و أورد شعره معاصره فی (خص- ص 300) و (تش- ص 121) و (گلشن- ص 427).</w:t>
      </w:r>
    </w:p>
    <w:p>
      <w:pPr>
        <w:pStyle w:val="Heading3"/>
      </w:pPr>
      <w:bookmarkStart w:id="9128" w:name="_Toc7824"/>
      <w:r>
        <w:t>دیوان مظفر کرمانی‏</w:t>
      </w:r>
      <w:bookmarkEnd w:id="9128"/>
    </w:p>
    <w:p>
      <w:pPr>
        <w:pStyle w:val="BookText"/>
      </w:pPr>
      <w:r>
        <w:rPr>
          <w:rFonts w:ascii="IRNazanin" w:hAnsi="IRNazanin" w:eastAsia="IRNazanin" w:cs="IRNazanin"/>
          <w:lang w:bidi="fa-IR"/>
          <w:color w:val="111111"/>
          <w:sz w:val="28"/>
          <w:szCs w:val="28"/>
          <w:rtl/>
        </w:rPr>
        <w:t xml:space="preserve">مر بعنوان مظفر علی شاه.</w:t>
      </w:r>
    </w:p>
    <w:p>
      <w:pPr>
        <w:pStyle w:val="Heading3"/>
      </w:pPr>
      <w:bookmarkStart w:id="9129" w:name="_Toc7825"/>
      <w:r>
        <w:t>6907- دیوان مظفر کشمیری أو شعره‏</w:t>
      </w:r>
      <w:bookmarkEnd w:id="9129"/>
    </w:p>
    <w:p>
      <w:pPr>
        <w:pStyle w:val="BookText"/>
      </w:pPr>
      <w:r>
        <w:rPr>
          <w:rFonts w:ascii="IRNazanin" w:hAnsi="IRNazanin" w:eastAsia="IRNazanin" w:cs="IRNazanin"/>
          <w:lang w:bidi="fa-IR"/>
          <w:color w:val="111111"/>
          <w:sz w:val="28"/>
          <w:szCs w:val="28"/>
          <w:rtl/>
        </w:rPr>
        <w:t xml:space="preserve">ترجمه و أورد شعره فی (گلشن- ص 427) و لعله مظفری أو مظهری کشمیری کما یأتی.</w:t>
      </w:r>
    </w:p>
    <w:p>
      <w:pPr>
        <w:pStyle w:val="Heading3"/>
      </w:pPr>
      <w:bookmarkStart w:id="9130" w:name="_Toc7826"/>
      <w:r>
        <w:t>6908- دیوان مظفر گنابادی أو شعره‏</w:t>
      </w:r>
      <w:bookmarkEnd w:id="9130"/>
    </w:p>
    <w:p>
      <w:pPr>
        <w:pStyle w:val="BookText"/>
      </w:pPr>
      <w:r>
        <w:rPr>
          <w:rFonts w:ascii="IRNazanin" w:hAnsi="IRNazanin" w:eastAsia="IRNazanin" w:cs="IRNazanin"/>
          <w:lang w:bidi="fa-IR"/>
          <w:color w:val="111111"/>
          <w:sz w:val="28"/>
          <w:szCs w:val="28"/>
          <w:rtl/>
        </w:rPr>
        <w:t xml:space="preserve">أورد أحواله و شعره تقی الدین الأوحدی فی معاصریه من الشعراء، و کذا فی (گلشن- ص 425).</w:t>
      </w:r>
    </w:p>
    <w:p>
      <w:pPr>
        <w:pStyle w:val="Heading3"/>
      </w:pPr>
      <w:bookmarkStart w:id="9131" w:name="_Toc7827"/>
      <w:r>
        <w:t>6909- دیوان مظفر معمار أو شعره‏</w:t>
      </w:r>
      <w:bookmarkEnd w:id="9131"/>
    </w:p>
    <w:p>
      <w:pPr>
        <w:pStyle w:val="BookText"/>
      </w:pPr>
      <w:r>
        <w:rPr>
          <w:rFonts w:ascii="IRNazanin" w:hAnsi="IRNazanin" w:eastAsia="IRNazanin" w:cs="IRNazanin"/>
          <w:lang w:bidi="fa-IR"/>
          <w:color w:val="111111"/>
          <w:sz w:val="28"/>
          <w:szCs w:val="28"/>
          <w:rtl/>
        </w:rPr>
        <w:t xml:space="preserve">کان من کتاب السلطان یعقوب المتوفی 896 و هو ممن زادهم القزوینی فی ترجمه مجالس النفائس فی (قز مج 6- ص 300).</w:t>
      </w:r>
    </w:p>
    <w:p>
      <w:pPr>
        <w:pStyle w:val="Heading3"/>
      </w:pPr>
      <w:bookmarkStart w:id="9132" w:name="_Toc7828"/>
      <w:r>
        <w:t>6910- دیوان مظفر هروی الخافی‏</w:t>
      </w:r>
      <w:bookmarkEnd w:id="9132"/>
    </w:p>
    <w:p>
      <w:pPr>
        <w:pStyle w:val="BookText"/>
      </w:pPr>
      <w:r>
        <w:rPr>
          <w:rFonts w:ascii="IRNazanin" w:hAnsi="IRNazanin" w:eastAsia="IRNazanin" w:cs="IRNazanin"/>
          <w:lang w:bidi="fa-IR"/>
          <w:color w:val="111111"/>
          <w:sz w:val="28"/>
          <w:szCs w:val="28"/>
          <w:rtl/>
        </w:rPr>
        <w:t xml:space="preserve">الأصل من قریة خضردان بها، و قد ینسب إلیها أیضا و یعرف خاقانی ثانی و قد مدح الأمیر معز الدین کرت المتوفی 772.</w:t>
      </w:r>
    </w:p>
    <w:p>
      <w:pPr>
        <w:pStyle w:val="BookText"/>
      </w:pPr>
      <w:r>
        <w:rPr>
          <w:rFonts w:ascii="IRNazanin" w:hAnsi="IRNazanin" w:eastAsia="IRNazanin" w:cs="IRNazanin"/>
          <w:lang w:bidi="fa-IR"/>
          <w:color w:val="111111"/>
          <w:sz w:val="28"/>
          <w:szCs w:val="28"/>
          <w:rtl/>
        </w:rPr>
        <w:t xml:space="preserve">و کان مغرورا معجبا بنفسه و شعره و یعترض علی سلمان الساوجی و خواجو الکرمانی و قال فی (لت 5) إنه غسل دیوانه بالماء. و قال فی شاهد صادق إنه مات 767 و ترجم فی (تش- ص 150) و قال سنگلاخ إنه رأی دیوان المیر مظفر الدین الهروی بخط ملا معروف فذکره فی (امتحان 1- ص 173) و ترجم أیضا فی (مع 2: 35) و هفت إقلیم و (گلشن- 426) و (خوش‏گو) و عنهما فی القاموس الترکی.</w:t>
      </w:r>
    </w:p>
    <w:p>
      <w:pPr>
        <w:pStyle w:val="Heading3"/>
      </w:pPr>
      <w:bookmarkStart w:id="9133" w:name="_Toc7829"/>
      <w:r>
        <w:t>6911- دیوان مظفر هندی أو شعره‏</w:t>
      </w:r>
      <w:bookmarkEnd w:id="9133"/>
    </w:p>
    <w:p>
      <w:pPr>
        <w:pStyle w:val="BookText"/>
      </w:pPr>
      <w:r>
        <w:rPr>
          <w:rFonts w:ascii="IRNazanin" w:hAnsi="IRNazanin" w:eastAsia="IRNazanin" w:cs="IRNazanin"/>
          <w:lang w:bidi="fa-IR"/>
          <w:color w:val="111111"/>
          <w:sz w:val="28"/>
          <w:szCs w:val="28"/>
          <w:rtl/>
        </w:rPr>
        <w:t xml:space="preserve">و اسمه مظفر خان. ترجمه و أورد شعره بتخلصه مظفر فی (خیال- ص 255).</w:t>
      </w:r>
    </w:p>
    <w:p>
      <w:pPr>
        <w:pStyle w:val="Heading3"/>
      </w:pPr>
      <w:bookmarkStart w:id="9134" w:name="_Toc7830"/>
      <w:r>
        <w:t>6912- دیوان مظفری پنجدهی أو شعره‏</w:t>
      </w:r>
      <w:bookmarkEnd w:id="9134"/>
    </w:p>
    <w:p>
      <w:pPr>
        <w:pStyle w:val="BookText"/>
      </w:pPr>
      <w:r>
        <w:rPr>
          <w:rFonts w:ascii="IRNazanin" w:hAnsi="IRNazanin" w:eastAsia="IRNazanin" w:cs="IRNazanin"/>
          <w:lang w:bidi="fa-IR"/>
          <w:color w:val="111111"/>
          <w:sz w:val="28"/>
          <w:szCs w:val="28"/>
          <w:rtl/>
        </w:rPr>
        <w:t xml:space="preserve">کان من شعراء مرو فی العهد السامانی و الغزنوی. ترجمه العوفی فی (لب 1) و عنه فی (مع 1: 505).</w:t>
      </w:r>
    </w:p>
    <w:p>
      <w:pPr>
        <w:pStyle w:val="Heading3"/>
      </w:pPr>
      <w:bookmarkStart w:id="9135" w:name="_Toc7831"/>
      <w:r>
        <w:t>دیوان مظفری کشمیری‏</w:t>
      </w:r>
      <w:bookmarkEnd w:id="9135"/>
    </w:p>
    <w:p>
      <w:pPr>
        <w:pStyle w:val="BookText"/>
      </w:pPr>
      <w:r>
        <w:rPr>
          <w:rFonts w:ascii="IRNazanin" w:hAnsi="IRNazanin" w:eastAsia="IRNazanin" w:cs="IRNazanin"/>
          <w:lang w:bidi="fa-IR"/>
          <w:color w:val="111111"/>
          <w:sz w:val="28"/>
          <w:szCs w:val="28"/>
          <w:rtl/>
        </w:rPr>
        <w:t xml:space="preserve">الشاعر المتوفی 1017 کما ذکرناه فی ج 15: ص 6 نقلا عن (خز- ص 367) و لعله مظهری کشمیری أو مظفر.</w:t>
      </w:r>
    </w:p>
    <w:p>
      <w:pPr>
        <w:pStyle w:val="Heading3"/>
      </w:pPr>
      <w:bookmarkStart w:id="9136" w:name="_Toc7832"/>
      <w:r>
        <w:t>6913- دیوان مظفری أو شعره‏</w:t>
      </w:r>
      <w:bookmarkEnd w:id="9136"/>
    </w:p>
    <w:p>
      <w:pPr>
        <w:pStyle w:val="BookText"/>
      </w:pPr>
      <w:r>
        <w:rPr>
          <w:rFonts w:ascii="IRNazanin" w:hAnsi="IRNazanin" w:eastAsia="IRNazanin" w:cs="IRNazanin"/>
          <w:lang w:bidi="fa-IR"/>
          <w:color w:val="111111"/>
          <w:sz w:val="28"/>
          <w:szCs w:val="28"/>
          <w:rtl/>
        </w:rPr>
        <w:t xml:space="preserve">و اسمه السلطان أبو یزید، أخ الشاه شجاع فی القرن الثامن. أورد شعره فی (تش- ص 12) و شمع انجمن.</w:t>
      </w:r>
    </w:p>
    <w:p>
      <w:pPr>
        <w:pStyle w:val="Heading3"/>
      </w:pPr>
      <w:bookmarkStart w:id="9137" w:name="_Toc7833"/>
      <w:r>
        <w:t>6914- دیوان مظلوم أصفهانی أو شعره‏</w:t>
      </w:r>
      <w:bookmarkEnd w:id="9137"/>
    </w:p>
    <w:p>
      <w:pPr>
        <w:pStyle w:val="BookText"/>
      </w:pPr>
      <w:r>
        <w:rPr>
          <w:rFonts w:ascii="IRNazanin" w:hAnsi="IRNazanin" w:eastAsia="IRNazanin" w:cs="IRNazanin"/>
          <w:lang w:bidi="fa-IR"/>
          <w:color w:val="111111"/>
          <w:sz w:val="28"/>
          <w:szCs w:val="28"/>
          <w:rtl/>
        </w:rPr>
        <w:t xml:space="preserve">و اسمه الحاج محمد هاشم خان. ترجمه‏
</w:t>
      </w:r>
    </w:p>
    <w:p>
      <w:pPr>
        <w:sectPr>
          <w:footerReference w:type="default" r:id="rId1071"/>
          <w:footnotePr>
            <w:numStart w:val="1"/>
            <w:numRestart w:val="eachPage"/>
          </w:footnotePr>
          <w:pgSz w:orient="portrait" w:w="11905.511811023622" w:h="16837.79527559055"/>
          <w:pgMar w:top="1440" w:right="1440" w:bottom="1440" w:left="1440" w:header="720" w:footer="720" w:gutter="0"/>
          <w:cols w:num="1" w:space="720"/>
        </w:sectPr>
      </w:pPr>
    </w:p>
    <w:bookmarkStart w:id="1052" w:name="pg11704_122539"/>
    <w:bookmarkEnd w:id="1052"/>
    <w:p>
      <w:pPr>
        <w:pStyle w:val="BookText"/>
      </w:pPr>
      <w:r>
        <w:rPr>
          <w:rFonts w:ascii="IRNazanin" w:hAnsi="IRNazanin" w:eastAsia="IRNazanin" w:cs="IRNazanin"/>
          <w:lang w:bidi="fa-IR"/>
          <w:color w:val="111111"/>
          <w:sz w:val="28"/>
          <w:szCs w:val="28"/>
          <w:rtl/>
        </w:rPr>
        <w:t xml:space="preserve">و أورد شعره فی مدح منوچهر خان معتمد الدولة فی المدائح المعتمدیة.</w:t>
      </w:r>
    </w:p>
    <w:p>
      <w:pPr>
        <w:pStyle w:val="Heading3"/>
      </w:pPr>
      <w:bookmarkStart w:id="9138" w:name="_Toc7834"/>
      <w:r>
        <w:t>6915- دیوان مظلوم خنجی‏</w:t>
      </w:r>
      <w:bookmarkEnd w:id="9138"/>
    </w:p>
    <w:p>
      <w:pPr>
        <w:pStyle w:val="BookText"/>
      </w:pPr>
      <w:r>
        <w:rPr>
          <w:rFonts w:ascii="IRNazanin" w:hAnsi="IRNazanin" w:eastAsia="IRNazanin" w:cs="IRNazanin"/>
          <w:lang w:bidi="fa-IR"/>
          <w:color w:val="111111"/>
          <w:sz w:val="28"/>
          <w:szCs w:val="28"/>
          <w:rtl/>
        </w:rPr>
        <w:t xml:space="preserve">من شعراء خنج فی القرن الثانی عشر و من أولاد الشیخ محمد الخنجی و الشیخ عبد السلام الخنجی. ترجم و نقل عن دیوانه فی لارستان کهن- ص 200.</w:t>
      </w:r>
    </w:p>
    <w:p>
      <w:pPr>
        <w:pStyle w:val="Heading3"/>
      </w:pPr>
      <w:bookmarkStart w:id="9139" w:name="_Toc7835"/>
      <w:r>
        <w:t>6916- دیوان مظهر أو شعره‏</w:t>
      </w:r>
      <w:bookmarkEnd w:id="9139"/>
    </w:p>
    <w:p>
      <w:pPr>
        <w:pStyle w:val="BookText"/>
      </w:pPr>
      <w:r>
        <w:rPr>
          <w:rFonts w:ascii="IRNazanin" w:hAnsi="IRNazanin" w:eastAsia="IRNazanin" w:cs="IRNazanin"/>
          <w:lang w:bidi="fa-IR"/>
          <w:color w:val="111111"/>
          <w:sz w:val="28"/>
          <w:szCs w:val="28"/>
          <w:rtl/>
        </w:rPr>
        <w:t xml:space="preserve">و اسمه مهر علی خان من أمراء العهد الصفوی ترجمه و أورد شعره فی (گلشن- ص 428) و عنه فی القاموس الترکی، لکن سماه محمد علی.</w:t>
      </w:r>
    </w:p>
    <w:p>
      <w:pPr>
        <w:pStyle w:val="Heading3"/>
      </w:pPr>
      <w:bookmarkStart w:id="9140" w:name="_Toc7836"/>
      <w:r>
        <w:t>6917- دیوان مظهر أردستانی أو شعره‏</w:t>
      </w:r>
      <w:bookmarkEnd w:id="9140"/>
    </w:p>
    <w:p>
      <w:pPr>
        <w:pStyle w:val="BookText"/>
      </w:pPr>
      <w:r>
        <w:rPr>
          <w:rFonts w:ascii="IRNazanin" w:hAnsi="IRNazanin" w:eastAsia="IRNazanin" w:cs="IRNazanin"/>
          <w:lang w:bidi="fa-IR"/>
          <w:color w:val="111111"/>
          <w:sz w:val="28"/>
          <w:szCs w:val="28"/>
          <w:rtl/>
        </w:rPr>
        <w:t xml:space="preserve">و هو السید محمد الطباطبائی الأصفهانی الزواری الأردستانی الطبیب سافر إلی حیدرآباد و ولد له بگجرات الهند ابنه السید میرزا أبو الحسن جلوه المذکور فی ص 202 و رجع إلی إیران و مات بزوارة فی 1245 کما مر فی 2: 365 نقلا عن ابنه. ترجمه راوی الگروسی فی (انجمن 4) و کذا فی ریحانة الأدب.</w:t>
      </w:r>
    </w:p>
    <w:p>
      <w:pPr>
        <w:pStyle w:val="Heading3"/>
      </w:pPr>
      <w:bookmarkStart w:id="9141" w:name="_Toc7837"/>
      <w:r>
        <w:t>6918- دیوان مظهر أسترآبادی أو شعره‏</w:t>
      </w:r>
      <w:bookmarkEnd w:id="9141"/>
    </w:p>
    <w:p>
      <w:pPr>
        <w:pStyle w:val="BookText"/>
      </w:pPr>
      <w:r>
        <w:rPr>
          <w:rFonts w:ascii="IRNazanin" w:hAnsi="IRNazanin" w:eastAsia="IRNazanin" w:cs="IRNazanin"/>
          <w:lang w:bidi="fa-IR"/>
          <w:color w:val="111111"/>
          <w:sz w:val="28"/>
          <w:szCs w:val="28"/>
          <w:rtl/>
        </w:rPr>
        <w:t xml:space="preserve">و اسمه محمد صادق. ترجمه و أورد شعره معاصره فی (مع 2: 452) و (گلشن- 429) و القاموس الترکی.</w:t>
      </w:r>
    </w:p>
    <w:p>
      <w:pPr>
        <w:pStyle w:val="Heading3"/>
      </w:pPr>
      <w:bookmarkStart w:id="9142" w:name="_Toc7838"/>
      <w:r>
        <w:t>6919- دیوان مظهر أصفهانی أو شعره‏</w:t>
      </w:r>
      <w:bookmarkEnd w:id="9142"/>
    </w:p>
    <w:p>
      <w:pPr>
        <w:pStyle w:val="BookText"/>
      </w:pPr>
      <w:r>
        <w:rPr>
          <w:rFonts w:ascii="IRNazanin" w:hAnsi="IRNazanin" w:eastAsia="IRNazanin" w:cs="IRNazanin"/>
          <w:lang w:bidi="fa-IR"/>
          <w:color w:val="111111"/>
          <w:sz w:val="28"/>
          <w:szCs w:val="28"/>
          <w:rtl/>
        </w:rPr>
        <w:t xml:space="preserve">و اسمه محمد سمیع. ترجمه و أورد شعره فی (گلشن- ص 429) و عنه فی القاموس الترکی و قالوا کان محتسب بلدة أجمیر</w:t>
      </w:r>
    </w:p>
    <w:p>
      <w:pPr>
        <w:pStyle w:val="Heading3"/>
      </w:pPr>
      <w:bookmarkStart w:id="9143" w:name="_Toc7839"/>
      <w:r>
        <w:t>دیوان مظهر تبریزی‏</w:t>
      </w:r>
      <w:bookmarkEnd w:id="9143"/>
    </w:p>
    <w:p>
      <w:pPr>
        <w:pStyle w:val="BookText"/>
      </w:pPr>
      <w:r>
        <w:rPr>
          <w:rFonts w:ascii="IRNazanin" w:hAnsi="IRNazanin" w:eastAsia="IRNazanin" w:cs="IRNazanin"/>
          <w:lang w:bidi="fa-IR"/>
          <w:color w:val="111111"/>
          <w:sz w:val="28"/>
          <w:szCs w:val="28"/>
          <w:rtl/>
        </w:rPr>
        <w:t xml:space="preserve">راجع مظهر خویی.</w:t>
      </w:r>
    </w:p>
    <w:p>
      <w:pPr>
        <w:pStyle w:val="Heading3"/>
      </w:pPr>
      <w:bookmarkStart w:id="9144" w:name="_Toc7840"/>
      <w:r>
        <w:t>دیوان مظهر تونی‏</w:t>
      </w:r>
      <w:bookmarkEnd w:id="9144"/>
    </w:p>
    <w:p>
      <w:pPr>
        <w:pStyle w:val="BookText"/>
      </w:pPr>
      <w:r>
        <w:rPr>
          <w:rFonts w:ascii="IRNazanin" w:hAnsi="IRNazanin" w:eastAsia="IRNazanin" w:cs="IRNazanin"/>
          <w:lang w:bidi="fa-IR"/>
          <w:color w:val="111111"/>
          <w:sz w:val="28"/>
          <w:szCs w:val="28"/>
          <w:rtl/>
        </w:rPr>
        <w:t xml:space="preserve">راجع مظهر علی شاه.</w:t>
      </w:r>
    </w:p>
    <w:p>
      <w:pPr>
        <w:pStyle w:val="Heading3"/>
      </w:pPr>
      <w:bookmarkStart w:id="9145" w:name="_Toc7841"/>
      <w:r>
        <w:t>دیوان مظهر جان جانان‏</w:t>
      </w:r>
      <w:bookmarkEnd w:id="9145"/>
    </w:p>
    <w:p>
      <w:pPr>
        <w:pStyle w:val="BookText"/>
      </w:pPr>
      <w:r>
        <w:rPr>
          <w:rFonts w:ascii="IRNazanin" w:hAnsi="IRNazanin" w:eastAsia="IRNazanin" w:cs="IRNazanin"/>
          <w:lang w:bidi="fa-IR"/>
          <w:color w:val="111111"/>
          <w:sz w:val="28"/>
          <w:szCs w:val="28"/>
          <w:rtl/>
        </w:rPr>
        <w:t xml:space="preserve">راجع مظهر دهلوی.</w:t>
      </w:r>
    </w:p>
    <w:p>
      <w:pPr>
        <w:pStyle w:val="Heading3"/>
      </w:pPr>
      <w:bookmarkStart w:id="9146" w:name="_Toc7842"/>
      <w:r>
        <w:t>6920- دیوان مظهر حسین‏</w:t>
      </w:r>
      <w:bookmarkEnd w:id="9146"/>
    </w:p>
    <w:p>
      <w:pPr>
        <w:pStyle w:val="BookText"/>
      </w:pPr>
      <w:r>
        <w:rPr>
          <w:rFonts w:ascii="IRNazanin" w:hAnsi="IRNazanin" w:eastAsia="IRNazanin" w:cs="IRNazanin"/>
          <w:lang w:bidi="fa-IR"/>
          <w:color w:val="111111"/>
          <w:sz w:val="28"/>
          <w:szCs w:val="28"/>
          <w:rtl/>
        </w:rPr>
        <w:t xml:space="preserve">ناظم مثنوی نان خشک فی 1286 و طبع بمطبعة الأنوار بالهند فی 1290 و علیه تقریظ میرزا سلامت علی دبیر و ابنه میرزا محمد جعفر صاحب أوج و تواریخ للمفتی میر محمد عباس.</w:t>
      </w:r>
    </w:p>
    <w:p>
      <w:pPr>
        <w:pStyle w:val="Heading3"/>
      </w:pPr>
      <w:bookmarkStart w:id="9147" w:name="_Toc7843"/>
      <w:r>
        <w:t>6921- دیوان مظهر خوئی‏</w:t>
      </w:r>
      <w:bookmarkEnd w:id="9147"/>
    </w:p>
    <w:p>
      <w:pPr>
        <w:pStyle w:val="BookText"/>
      </w:pPr>
      <w:r>
        <w:rPr>
          <w:rFonts w:ascii="IRNazanin" w:hAnsi="IRNazanin" w:eastAsia="IRNazanin" w:cs="IRNazanin"/>
          <w:lang w:bidi="fa-IR"/>
          <w:color w:val="111111"/>
          <w:sz w:val="28"/>
          <w:szCs w:val="28"/>
          <w:rtl/>
        </w:rPr>
        <w:t xml:space="preserve">اسمه المیرزا عباس قلی خان بن زین العابدین چاپارچی‏باشی من فضلاء الشعراء فی القرن الثالث عشر و توفی بطهران. طبع دیوانه مع دیوان خرم فی 1307 فی تبریز. و قد ترجمه فی (دجا- ص 349) رأیت نسخه منه بخط المیرزا محمد بن المیرزا أبی الحسن الأدیب الکاشانی کتبها فی تبریز فی أول‏
</w:t>
      </w:r>
    </w:p>
    <w:p>
      <w:pPr>
        <w:sectPr>
          <w:footerReference w:type="default" r:id="rId1072"/>
          <w:footnotePr>
            <w:numStart w:val="1"/>
            <w:numRestart w:val="eachPage"/>
          </w:footnotePr>
          <w:pgSz w:orient="portrait" w:w="11905.511811023622" w:h="16837.79527559055"/>
          <w:pgMar w:top="1440" w:right="1440" w:bottom="1440" w:left="1440" w:header="720" w:footer="720" w:gutter="0"/>
          <w:cols w:num="1" w:space="720"/>
        </w:sectPr>
      </w:pPr>
    </w:p>
    <w:bookmarkStart w:id="1053" w:name="pg11704_122540"/>
    <w:bookmarkEnd w:id="1053"/>
    <w:p>
      <w:pPr>
        <w:pStyle w:val="BookText"/>
      </w:pPr>
      <w:r>
        <w:rPr>
          <w:rFonts w:ascii="IRNazanin" w:hAnsi="IRNazanin" w:eastAsia="IRNazanin" w:cs="IRNazanin"/>
          <w:lang w:bidi="fa-IR"/>
          <w:color w:val="111111"/>
          <w:sz w:val="28"/>
          <w:szCs w:val="28"/>
          <w:rtl/>
        </w:rPr>
        <w:t xml:space="preserve">ذی الحجة 1294 و فیه قصیدة مدح ناصر الدین شاه أوان ولایة عهده فی تبریز و مدح العارف الحاج محمد إبراهیم خان، و النسخة عند المیرزا عبد العلی الطهرانی نزیل مشهد خراسان أخیرا و أخری عند (فخر الدین).</w:t>
      </w:r>
    </w:p>
    <w:p>
      <w:pPr>
        <w:pStyle w:val="Heading3"/>
      </w:pPr>
      <w:bookmarkStart w:id="9148" w:name="_Toc7844"/>
      <w:r>
        <w:t>6922- دیوان مظهر دهلوی‏</w:t>
      </w:r>
      <w:bookmarkEnd w:id="9148"/>
    </w:p>
    <w:p>
      <w:pPr>
        <w:pStyle w:val="BookText"/>
      </w:pPr>
      <w:r>
        <w:rPr>
          <w:rFonts w:ascii="IRNazanin" w:hAnsi="IRNazanin" w:eastAsia="IRNazanin" w:cs="IRNazanin"/>
          <w:lang w:bidi="fa-IR"/>
          <w:color w:val="111111"/>
          <w:sz w:val="28"/>
          <w:szCs w:val="28"/>
          <w:rtl/>
        </w:rPr>
        <w:t xml:space="preserve">و یعرف بمیرزا جان جانان بن میرزا جان الحنفی من نقشبندیة الهند. کان یوصل نسبه بثمانیة و عشرین نفسا إلی محمد بن الحنفیة. ولد بأکبرآباد فی نیف و مائة و ألف و قتل فی 1195 ترجمه و أورد شعره فی (سرو- ص 231) و (نتایج- ص 672) و (حسینی- ص 327) یوجد نسخه من دیوانه فی (بنگاله) کتبت فی 1224 و طبع دیوانه فی کلکتة 1267 فی 83 ص. و 1271 فی 117 ص.</w:t>
      </w:r>
    </w:p>
    <w:p>
      <w:pPr>
        <w:pStyle w:val="BookText"/>
      </w:pPr>
      <w:r>
        <w:rPr>
          <w:rFonts w:ascii="IRNazanin" w:hAnsi="IRNazanin" w:eastAsia="IRNazanin" w:cs="IRNazanin"/>
          <w:lang w:bidi="fa-IR"/>
          <w:color w:val="111111"/>
          <w:sz w:val="28"/>
          <w:szCs w:val="28"/>
          <w:rtl/>
        </w:rPr>
        <w:t xml:space="preserve">و بلاهور فی 1922 فی 142 ص.</w:t>
      </w:r>
    </w:p>
    <w:p>
      <w:pPr>
        <w:pStyle w:val="Heading3"/>
      </w:pPr>
      <w:bookmarkStart w:id="9149" w:name="_Toc7845"/>
      <w:r>
        <w:t>6923- دیوان مظهر دهلوی أو شعره‏</w:t>
      </w:r>
      <w:bookmarkEnd w:id="9149"/>
    </w:p>
    <w:p>
      <w:pPr>
        <w:pStyle w:val="BookText"/>
      </w:pPr>
      <w:r>
        <w:rPr>
          <w:rFonts w:ascii="IRNazanin" w:hAnsi="IRNazanin" w:eastAsia="IRNazanin" w:cs="IRNazanin"/>
          <w:lang w:bidi="fa-IR"/>
          <w:color w:val="111111"/>
          <w:sz w:val="28"/>
          <w:szCs w:val="28"/>
          <w:rtl/>
        </w:rPr>
        <w:t xml:space="preserve">و اسمه غلام علی من شعراء القرن الثانی عشر. ترجمه و أورد شعره فی (روشن- ص 633).</w:t>
      </w:r>
    </w:p>
    <w:p>
      <w:pPr>
        <w:pStyle w:val="Heading3"/>
      </w:pPr>
      <w:bookmarkStart w:id="9150" w:name="_Toc7846"/>
      <w:r>
        <w:t>6924- دیوان مظهر علی شاه‏</w:t>
      </w:r>
      <w:bookmarkEnd w:id="9150"/>
    </w:p>
    <w:p>
      <w:pPr>
        <w:pStyle w:val="BookText"/>
      </w:pPr>
      <w:r>
        <w:rPr>
          <w:rFonts w:ascii="IRNazanin" w:hAnsi="IRNazanin" w:eastAsia="IRNazanin" w:cs="IRNazanin"/>
          <w:lang w:bidi="fa-IR"/>
          <w:color w:val="111111"/>
          <w:sz w:val="28"/>
          <w:szCs w:val="28"/>
          <w:rtl/>
        </w:rPr>
        <w:t xml:space="preserve">التونی. و اسمه السید إبراهیم. ولد بتون و تعلم بأصفهان و صاحب فی العراق نور علی شاه قبل قتله. نقل فی (الطرائق 3: 94) عن بعض أنه غاب عن الأنظار و لم یعرف حاله. و کذا فی (ض- ص 547) و نور الابصار- ص 44 و فهرست</w:t>
      </w:r>
    </w:p>
    <w:p>
      <w:pPr>
        <w:pStyle w:val="BookText"/>
      </w:pPr>
      <w:r>
        <w:rPr>
          <w:rFonts w:ascii="IRNazanin" w:hAnsi="IRNazanin" w:eastAsia="IRNazanin" w:cs="IRNazanin"/>
          <w:lang w:bidi="fa-IR"/>
          <w:color w:val="111111"/>
          <w:sz w:val="28"/>
          <w:szCs w:val="28"/>
          <w:rtl/>
        </w:rPr>
        <w:t xml:space="preserve">مکتبة جامعة طهران 2: 90 و طبع مجموعة نکات فقر لمظهر علی العلائی أقول و قد سمی المستشرق الإنگلیزی المستر براون نفسه فی بعض مکتوباته مظهر علی أیضا. و هو صاحب تاریخ أدبیات ایران طبع فی أربع مجلدات و ترجم ثلاث منها بالفارسیة و العربیة.</w:t>
      </w:r>
    </w:p>
    <w:p>
      <w:pPr>
        <w:pStyle w:val="Heading3"/>
      </w:pPr>
      <w:bookmarkStart w:id="9151" w:name="_Toc7847"/>
      <w:r>
        <w:t>6925- دیوان مظهر فوشنجی أو شعره‏</w:t>
      </w:r>
      <w:bookmarkEnd w:id="9151"/>
    </w:p>
    <w:p>
      <w:pPr>
        <w:pStyle w:val="BookText"/>
      </w:pPr>
      <w:r>
        <w:rPr>
          <w:rFonts w:ascii="IRNazanin" w:hAnsi="IRNazanin" w:eastAsia="IRNazanin" w:cs="IRNazanin"/>
          <w:lang w:bidi="fa-IR"/>
          <w:color w:val="111111"/>
          <w:sz w:val="28"/>
          <w:szCs w:val="28"/>
          <w:rtl/>
        </w:rPr>
        <w:t xml:space="preserve">و اسم مظهر الدین صاحب. ترجمه و أورد شعره فی هفت إقلیم و (گلشن- ص 428) و (خوش‏گو).</w:t>
      </w:r>
    </w:p>
    <w:p>
      <w:pPr>
        <w:pStyle w:val="Heading3"/>
      </w:pPr>
      <w:bookmarkStart w:id="9152" w:name="_Toc7848"/>
      <w:r>
        <w:t>6926- دیوان مظهر قاجار أو شعره‏</w:t>
      </w:r>
      <w:bookmarkEnd w:id="9152"/>
    </w:p>
    <w:p>
      <w:pPr>
        <w:pStyle w:val="BookText"/>
      </w:pPr>
      <w:r>
        <w:rPr>
          <w:rFonts w:ascii="IRNazanin" w:hAnsi="IRNazanin" w:eastAsia="IRNazanin" w:cs="IRNazanin"/>
          <w:lang w:bidi="fa-IR"/>
          <w:color w:val="111111"/>
          <w:sz w:val="28"/>
          <w:szCs w:val="28"/>
          <w:rtl/>
        </w:rPr>
        <w:t xml:space="preserve">و اسمه مرتضی قلی خان بن حیدر قلی میرزا.</w:t>
      </w:r>
    </w:p>
    <w:p>
      <w:pPr>
        <w:pStyle w:val="BookText"/>
      </w:pPr>
      <w:r>
        <w:rPr>
          <w:rFonts w:ascii="IRNazanin" w:hAnsi="IRNazanin" w:eastAsia="IRNazanin" w:cs="IRNazanin"/>
          <w:lang w:bidi="fa-IR"/>
          <w:color w:val="111111"/>
          <w:sz w:val="28"/>
          <w:szCs w:val="28"/>
          <w:rtl/>
        </w:rPr>
        <w:t xml:space="preserve">ترجمه و أورد شعره فی المدائح المعتمدیة.</w:t>
      </w:r>
    </w:p>
    <w:p>
      <w:pPr>
        <w:pStyle w:val="Heading3"/>
      </w:pPr>
      <w:bookmarkStart w:id="9153" w:name="_Toc7849"/>
      <w:r>
        <w:t>دیوان مظهر کره‏ای‏</w:t>
      </w:r>
      <w:bookmarkEnd w:id="9153"/>
    </w:p>
    <w:p>
      <w:pPr>
        <w:pStyle w:val="BookText"/>
      </w:pPr>
      <w:r>
        <w:rPr>
          <w:rFonts w:ascii="IRNazanin" w:hAnsi="IRNazanin" w:eastAsia="IRNazanin" w:cs="IRNazanin"/>
          <w:lang w:bidi="fa-IR"/>
          <w:color w:val="111111"/>
          <w:sz w:val="28"/>
          <w:szCs w:val="28"/>
          <w:rtl/>
        </w:rPr>
        <w:t xml:space="preserve">کما فی (گلشن- ص 428) راجع مظهر گجراتی.</w:t>
      </w:r>
    </w:p>
    <w:p>
      <w:pPr>
        <w:pStyle w:val="Heading3"/>
      </w:pPr>
      <w:bookmarkStart w:id="9154" w:name="_Toc7850"/>
      <w:r>
        <w:t>6927- دیوان مظهر گجراتی‏</w:t>
      </w:r>
      <w:bookmarkEnd w:id="9154"/>
    </w:p>
    <w:p>
      <w:pPr>
        <w:pStyle w:val="BookText"/>
      </w:pPr>
      <w:r>
        <w:rPr>
          <w:rFonts w:ascii="IRNazanin" w:hAnsi="IRNazanin" w:eastAsia="IRNazanin" w:cs="IRNazanin"/>
          <w:lang w:bidi="fa-IR"/>
          <w:color w:val="111111"/>
          <w:sz w:val="28"/>
          <w:szCs w:val="28"/>
          <w:rtl/>
        </w:rPr>
        <w:t xml:space="preserve">ترجمه فی (مع 1: ص 504) فی عداد الشعراء القدماء و قال إن أصله من إیران و دیوانه شامل لثمانیة آلاف بیت. ثم أورد منه قرب‏
</w:t>
      </w:r>
    </w:p>
    <w:p>
      <w:pPr>
        <w:sectPr>
          <w:footerReference w:type="default" r:id="rId1073"/>
          <w:footnotePr>
            <w:numStart w:val="1"/>
            <w:numRestart w:val="eachPage"/>
          </w:footnotePr>
          <w:pgSz w:orient="portrait" w:w="11905.511811023622" w:h="16837.79527559055"/>
          <w:pgMar w:top="1440" w:right="1440" w:bottom="1440" w:left="1440" w:header="720" w:footer="720" w:gutter="0"/>
          <w:cols w:num="1" w:space="720"/>
        </w:sectPr>
      </w:pPr>
    </w:p>
    <w:bookmarkStart w:id="1054" w:name="pg11704_122541"/>
    <w:bookmarkEnd w:id="1054"/>
    <w:p>
      <w:pPr>
        <w:pStyle w:val="BookText"/>
      </w:pPr>
      <w:r>
        <w:rPr>
          <w:rFonts w:ascii="IRNazanin" w:hAnsi="IRNazanin" w:eastAsia="IRNazanin" w:cs="IRNazanin"/>
          <w:lang w:bidi="fa-IR"/>
          <w:color w:val="111111"/>
          <w:sz w:val="28"/>
          <w:szCs w:val="28"/>
          <w:rtl/>
        </w:rPr>
        <w:t xml:space="preserve">خمسین بیتا. و قال فی (گلشن- ص 429) إنه القاضی مظهر تلمیذ الشیخ نصیر الدین محمود من سکان کرة. و کان مقربا عند السلطان فیروز شاه. و جمع دیوانه محمد صوفی مازندرانی. المذکور فی ص 999.</w:t>
      </w:r>
    </w:p>
    <w:p>
      <w:pPr>
        <w:pStyle w:val="Heading3"/>
      </w:pPr>
      <w:bookmarkStart w:id="9155" w:name="_Toc7851"/>
      <w:r>
        <w:t>6928- دیوان مظهر هندی‏</w:t>
      </w:r>
      <w:bookmarkEnd w:id="9155"/>
    </w:p>
    <w:p>
      <w:pPr>
        <w:pStyle w:val="BookText"/>
      </w:pPr>
      <w:r>
        <w:rPr>
          <w:rFonts w:ascii="IRNazanin" w:hAnsi="IRNazanin" w:eastAsia="IRNazanin" w:cs="IRNazanin"/>
          <w:lang w:bidi="fa-IR"/>
          <w:color w:val="111111"/>
          <w:sz w:val="28"/>
          <w:szCs w:val="28"/>
          <w:rtl/>
        </w:rPr>
        <w:t xml:space="preserve">مداح فیروز شاه من ملوک بنگاله الذی توفی 895 کما أرخ فی طبقات سلاطین إسلام- ص 277 ترجمه فی (مع 1: ص 505) و أورد قصیدته فی مدح فیروز شاه المذکور. و أظنه متحدا مع من قبله.</w:t>
      </w:r>
    </w:p>
    <w:p>
      <w:pPr>
        <w:pStyle w:val="Heading3"/>
      </w:pPr>
      <w:bookmarkStart w:id="9156" w:name="_Toc7852"/>
      <w:r>
        <w:t>6929- دیوان مظهری کشمیری‏</w:t>
      </w:r>
      <w:bookmarkEnd w:id="9156"/>
    </w:p>
    <w:p>
      <w:pPr>
        <w:pStyle w:val="BookText"/>
      </w:pPr>
      <w:r>
        <w:rPr>
          <w:rFonts w:ascii="IRNazanin" w:hAnsi="IRNazanin" w:eastAsia="IRNazanin" w:cs="IRNazanin"/>
          <w:lang w:bidi="fa-IR"/>
          <w:color w:val="111111"/>
          <w:sz w:val="28"/>
          <w:szCs w:val="28"/>
          <w:rtl/>
        </w:rPr>
        <w:t xml:space="preserve">ترجمه معاصره الصادقی فی (خص 8- ص 196) و ذکر أنه اشتغل بتحصیل العلوم فی المشهد الرضوی ثم جاء إلی معسکر الشاه عباس الماضی و کذا فی هفت إقلیم و (تش- ص 350) و (طبق 2: 508) و روضة الصفا و فی (روشن- 634) أنه صار أمیر البحر لأکبر شاه و مات فی 1017.</w:t>
      </w:r>
    </w:p>
    <w:p>
      <w:pPr>
        <w:pStyle w:val="Heading3"/>
      </w:pPr>
      <w:bookmarkStart w:id="9157" w:name="_Toc7853"/>
      <w:r>
        <w:t>6930- دیوان مظهری‏</w:t>
      </w:r>
      <w:bookmarkEnd w:id="9157"/>
    </w:p>
    <w:p>
      <w:pPr>
        <w:pStyle w:val="BookText"/>
      </w:pPr>
      <w:r>
        <w:rPr>
          <w:rFonts w:ascii="IRNazanin" w:hAnsi="IRNazanin" w:eastAsia="IRNazanin" w:cs="IRNazanin"/>
          <w:lang w:bidi="fa-IR"/>
          <w:color w:val="111111"/>
          <w:sz w:val="28"/>
          <w:szCs w:val="28"/>
          <w:rtl/>
        </w:rPr>
        <w:t xml:space="preserve">من شعراء السلطان یعقوب الذی توفی 896. أدرجه القزوینی فی ترجمه مجالس النفائس ص 304 و أورد شعره.</w:t>
      </w:r>
    </w:p>
    <w:p>
      <w:pPr>
        <w:pStyle w:val="Heading3"/>
      </w:pPr>
      <w:bookmarkStart w:id="9158" w:name="_Toc7854"/>
      <w:r>
        <w:t>6931- دیوان معاذی تبریزی‏</w:t>
      </w:r>
      <w:bookmarkEnd w:id="9158"/>
    </w:p>
    <w:p>
      <w:pPr>
        <w:pStyle w:val="BookText"/>
      </w:pPr>
      <w:r>
        <w:rPr>
          <w:rFonts w:ascii="IRNazanin" w:hAnsi="IRNazanin" w:eastAsia="IRNazanin" w:cs="IRNazanin"/>
          <w:lang w:bidi="fa-IR"/>
          <w:color w:val="111111"/>
          <w:sz w:val="28"/>
          <w:szCs w:val="28"/>
          <w:rtl/>
        </w:rPr>
        <w:t xml:space="preserve">اسمه أردشیر بن حسن معاصر کمال خجندی و قد ذکر اسمه فی أشعاره فی موضعین. قال فی (دجا- ص 349) إن دیوانه یقرب من خمسة آلاف بیت و أورد غزلا واحدا من شعره. و ترجمه محمد النخجوانی فی مجلة أرمغان- ج 14 ص 97 و 215 و کذا حسین النخجوانی فی نشریة دانشکده أدبیات تبریز- ج 10 ص 94.</w:t>
      </w:r>
    </w:p>
    <w:p>
      <w:pPr>
        <w:pStyle w:val="Heading3"/>
      </w:pPr>
      <w:bookmarkStart w:id="9159" w:name="_Toc7855"/>
      <w:r>
        <w:t>دیوان معانی فسائی‏</w:t>
      </w:r>
      <w:bookmarkEnd w:id="9159"/>
    </w:p>
    <w:p>
      <w:pPr>
        <w:pStyle w:val="BookText"/>
      </w:pPr>
      <w:r>
        <w:rPr>
          <w:rFonts w:ascii="IRNazanin" w:hAnsi="IRNazanin" w:eastAsia="IRNazanin" w:cs="IRNazanin"/>
          <w:lang w:bidi="fa-IR"/>
          <w:color w:val="111111"/>
          <w:sz w:val="28"/>
          <w:szCs w:val="28"/>
          <w:rtl/>
        </w:rPr>
        <w:t xml:space="preserve">کما سماه النصرآبادی فی (نر 9- 215) و ذکر شعره فی تاریخ موت حکیم رکنا، لکنه فی (نر 6 ص 174) صرح بأن تخلص مسیحا معنی کما یأتی فی ص 1074 لا معانی و أورد شعره الذی تخلص فیه بمعنی. و فی (خز- ص 413) قال إنه أنشأ هذا التاریخ سبحانی معمایی. و الظاهر أنه من غلط النسخة.</w:t>
      </w:r>
    </w:p>
    <w:p>
      <w:pPr>
        <w:pStyle w:val="Heading3"/>
      </w:pPr>
      <w:bookmarkStart w:id="9160" w:name="_Toc7856"/>
      <w:r>
        <w:t>6932- دیوان معانی یزدی أو شعره‏</w:t>
      </w:r>
      <w:bookmarkEnd w:id="9160"/>
    </w:p>
    <w:p>
      <w:pPr>
        <w:pStyle w:val="BookText"/>
      </w:pPr>
      <w:r>
        <w:rPr>
          <w:rFonts w:ascii="IRNazanin" w:hAnsi="IRNazanin" w:eastAsia="IRNazanin" w:cs="IRNazanin"/>
          <w:lang w:bidi="fa-IR"/>
          <w:color w:val="111111"/>
          <w:sz w:val="28"/>
          <w:szCs w:val="28"/>
          <w:rtl/>
        </w:rPr>
        <w:t xml:space="preserve">ترجمه معاصره سام میرزا فی (تس 5- ص 141) و قال إنه لا یحسب نفسه أقل من مشاهیر الشعراء و لیس کذلک، و أورد شعره.</w:t>
      </w:r>
    </w:p>
    <w:p>
      <w:pPr>
        <w:pStyle w:val="Heading3"/>
      </w:pPr>
      <w:bookmarkStart w:id="9161" w:name="_Toc7857"/>
      <w:r>
        <w:t>6933- دیوان معتقد ری‏شهری‏</w:t>
      </w:r>
      <w:bookmarkEnd w:id="9161"/>
    </w:p>
    <w:p>
      <w:pPr>
        <w:pStyle w:val="BookText"/>
      </w:pPr>
      <w:r>
        <w:rPr>
          <w:rFonts w:ascii="IRNazanin" w:hAnsi="IRNazanin" w:eastAsia="IRNazanin" w:cs="IRNazanin"/>
          <w:lang w:bidi="fa-IR"/>
          <w:color w:val="111111"/>
          <w:sz w:val="28"/>
          <w:szCs w:val="28"/>
          <w:rtl/>
        </w:rPr>
        <w:t xml:space="preserve">و هو المیرزا حسین خان ساکن بوشهر. مر له منظومة جواهر الزواهر فی 5: 270 و المطبوع فی 80 ص.
</w:t>
      </w:r>
    </w:p>
    <w:p>
      <w:pPr>
        <w:sectPr>
          <w:footerReference w:type="default" r:id="rId1074"/>
          <w:footnotePr>
            <w:numStart w:val="1"/>
            <w:numRestart w:val="eachPage"/>
          </w:footnotePr>
          <w:pgSz w:orient="portrait" w:w="11905.511811023622" w:h="16837.79527559055"/>
          <w:pgMar w:top="1440" w:right="1440" w:bottom="1440" w:left="1440" w:header="720" w:footer="720" w:gutter="0"/>
          <w:cols w:num="1" w:space="720"/>
        </w:sectPr>
      </w:pPr>
    </w:p>
    <w:bookmarkStart w:id="1055" w:name="pg11704_122542"/>
    <w:bookmarkEnd w:id="1055"/>
    <w:p>
      <w:pPr>
        <w:pStyle w:val="Heading3"/>
      </w:pPr>
      <w:bookmarkStart w:id="9162" w:name="_Toc7858"/>
      <w:r>
        <w:t>دیوان معتمد الدولة</w:t>
      </w:r>
      <w:bookmarkEnd w:id="9162"/>
    </w:p>
    <w:p>
      <w:pPr>
        <w:pStyle w:val="BookText"/>
      </w:pPr>
      <w:r>
        <w:rPr>
          <w:rFonts w:ascii="IRNazanin" w:hAnsi="IRNazanin" w:eastAsia="IRNazanin" w:cs="IRNazanin"/>
          <w:lang w:bidi="fa-IR"/>
          <w:color w:val="111111"/>
          <w:sz w:val="28"/>
          <w:szCs w:val="28"/>
          <w:rtl/>
        </w:rPr>
        <w:t xml:space="preserve">راجع دیوان فرهاد میرزا فی ص 829.</w:t>
      </w:r>
    </w:p>
    <w:p>
      <w:pPr>
        <w:pStyle w:val="Heading3"/>
      </w:pPr>
      <w:bookmarkStart w:id="9163" w:name="_Toc7859"/>
      <w:r>
        <w:t>6934- دیوان معجری أو شعره‏</w:t>
      </w:r>
      <w:bookmarkEnd w:id="9163"/>
    </w:p>
    <w:p>
      <w:pPr>
        <w:pStyle w:val="BookText"/>
      </w:pPr>
      <w:r>
        <w:rPr>
          <w:rFonts w:ascii="IRNazanin" w:hAnsi="IRNazanin" w:eastAsia="IRNazanin" w:cs="IRNazanin"/>
          <w:lang w:bidi="fa-IR"/>
          <w:color w:val="111111"/>
          <w:sz w:val="28"/>
          <w:szCs w:val="28"/>
          <w:rtl/>
        </w:rPr>
        <w:t xml:space="preserve">کان أستاذ بدر جاجرمی المذکور فی ص 128 و 982 کما ذکر فی (لت) عند ذکر قبائی الشاعر المذکور فی ص 382.</w:t>
      </w:r>
    </w:p>
    <w:p>
      <w:pPr>
        <w:pStyle w:val="Heading3"/>
      </w:pPr>
      <w:bookmarkStart w:id="9164" w:name="_Toc7860"/>
      <w:r>
        <w:t>6935- دیوان معجز کابلی أو شعره‏</w:t>
      </w:r>
      <w:bookmarkEnd w:id="9164"/>
    </w:p>
    <w:p>
      <w:pPr>
        <w:pStyle w:val="BookText"/>
      </w:pPr>
      <w:r>
        <w:rPr>
          <w:rFonts w:ascii="IRNazanin" w:hAnsi="IRNazanin" w:eastAsia="IRNazanin" w:cs="IRNazanin"/>
          <w:lang w:bidi="fa-IR"/>
          <w:color w:val="111111"/>
          <w:sz w:val="28"/>
          <w:szCs w:val="28"/>
          <w:rtl/>
        </w:rPr>
        <w:t xml:space="preserve">و اسمه محمد نظام أصله من الأفاغنة و سکن الهند و تلمذ علی تنها و مات 1160. ترجمه فی (روشن- ص 634) عن نگارستان سخن و (مسرت- ص 485).</w:t>
      </w:r>
    </w:p>
    <w:p>
      <w:pPr>
        <w:pStyle w:val="Heading3"/>
      </w:pPr>
      <w:bookmarkStart w:id="9165" w:name="_Toc7861"/>
      <w:r>
        <w:t>6936- دیوان معجز مدراسی أو شعره‏</w:t>
      </w:r>
      <w:bookmarkEnd w:id="9165"/>
    </w:p>
    <w:p>
      <w:pPr>
        <w:pStyle w:val="BookText"/>
      </w:pPr>
      <w:r>
        <w:rPr>
          <w:rFonts w:ascii="IRNazanin" w:hAnsi="IRNazanin" w:eastAsia="IRNazanin" w:cs="IRNazanin"/>
          <w:lang w:bidi="fa-IR"/>
          <w:color w:val="111111"/>
          <w:sz w:val="28"/>
          <w:szCs w:val="28"/>
          <w:rtl/>
        </w:rPr>
        <w:t xml:space="preserve">و اسمه غلام محیی الدین (1173- 1229) ولد بمحمدپور، و تلمذ علی باقر آگاه، و ترقی أمره فصار معلم اللغة الفارسیة لأبناء شهامت جنگ الهندی. ترجمه و أورد شعره فی (نتایج- ص 697) و شمع انجمن.</w:t>
      </w:r>
    </w:p>
    <w:p>
      <w:pPr>
        <w:pStyle w:val="Heading3"/>
      </w:pPr>
      <w:bookmarkStart w:id="9166" w:name="_Toc7862"/>
      <w:r>
        <w:t>6937- دیوان معجزی تبریزی أو شعره‏</w:t>
      </w:r>
      <w:bookmarkEnd w:id="9166"/>
    </w:p>
    <w:p>
      <w:pPr>
        <w:pStyle w:val="BookText"/>
      </w:pPr>
      <w:r>
        <w:rPr>
          <w:rFonts w:ascii="IRNazanin" w:hAnsi="IRNazanin" w:eastAsia="IRNazanin" w:cs="IRNazanin"/>
          <w:lang w:bidi="fa-IR"/>
          <w:color w:val="111111"/>
          <w:sz w:val="28"/>
          <w:szCs w:val="28"/>
          <w:rtl/>
        </w:rPr>
        <w:t xml:space="preserve">ترجمه و أورد شعره فی (دجا- ص 350) نقلا عن جنگ کتابته 1125. و لعله معجری بالراء المهملة.</w:t>
      </w:r>
    </w:p>
    <w:p>
      <w:pPr>
        <w:pStyle w:val="Heading3"/>
      </w:pPr>
      <w:bookmarkStart w:id="9167" w:name="_Toc7863"/>
      <w:r>
        <w:t>دیوان معرف أصفهانی‏</w:t>
      </w:r>
      <w:bookmarkEnd w:id="9167"/>
    </w:p>
    <w:p>
      <w:pPr>
        <w:pStyle w:val="BookText"/>
      </w:pPr>
      <w:r>
        <w:rPr>
          <w:rFonts w:ascii="IRNazanin" w:hAnsi="IRNazanin" w:eastAsia="IRNazanin" w:cs="IRNazanin"/>
          <w:lang w:bidi="fa-IR"/>
          <w:color w:val="111111"/>
          <w:sz w:val="28"/>
          <w:szCs w:val="28"/>
          <w:rtl/>
        </w:rPr>
        <w:t xml:space="preserve">راجع ملک معرف و تقی أصفهانی ابن آقا ملک فی ص 173.</w:t>
      </w:r>
    </w:p>
    <w:p>
      <w:pPr>
        <w:pStyle w:val="Heading3"/>
      </w:pPr>
      <w:bookmarkStart w:id="9168" w:name="_Toc7864"/>
      <w:r>
        <w:t>6938- دیوان معرفت کشمیری أو شعره‏</w:t>
      </w:r>
      <w:bookmarkEnd w:id="9168"/>
    </w:p>
    <w:p>
      <w:pPr>
        <w:pStyle w:val="BookText"/>
      </w:pPr>
      <w:r>
        <w:rPr>
          <w:rFonts w:ascii="IRNazanin" w:hAnsi="IRNazanin" w:eastAsia="IRNazanin" w:cs="IRNazanin"/>
          <w:lang w:bidi="fa-IR"/>
          <w:color w:val="111111"/>
          <w:sz w:val="28"/>
          <w:szCs w:val="28"/>
          <w:rtl/>
        </w:rPr>
        <w:t xml:space="preserve">و اسمه محمد عالم. ترجمه و أورد شعره فی (گلشن- ص 429) و عنه فی القاموس الترکی.</w:t>
      </w:r>
    </w:p>
    <w:p>
      <w:pPr>
        <w:pStyle w:val="Heading3"/>
      </w:pPr>
      <w:bookmarkStart w:id="9169" w:name="_Toc7865"/>
      <w:r>
        <w:t>6939- دیوان معروف أصفهانی أو شعره‏</w:t>
      </w:r>
      <w:bookmarkEnd w:id="9169"/>
    </w:p>
    <w:p>
      <w:pPr>
        <w:pStyle w:val="BookText"/>
      </w:pPr>
      <w:r>
        <w:rPr>
          <w:rFonts w:ascii="IRNazanin" w:hAnsi="IRNazanin" w:eastAsia="IRNazanin" w:cs="IRNazanin"/>
          <w:lang w:bidi="fa-IR"/>
          <w:color w:val="111111"/>
          <w:sz w:val="28"/>
          <w:szCs w:val="28"/>
          <w:rtl/>
        </w:rPr>
        <w:t xml:space="preserve">ترجمه و أورد شعره فی (گلشن- ص 429) و عنه فی القاموس الترکی.</w:t>
      </w:r>
    </w:p>
    <w:p>
      <w:pPr>
        <w:pStyle w:val="Heading3"/>
      </w:pPr>
      <w:bookmarkStart w:id="9170" w:name="_Toc7866"/>
      <w:r>
        <w:t>دیوان معروف بغدادی‏</w:t>
      </w:r>
      <w:bookmarkEnd w:id="9170"/>
    </w:p>
    <w:p>
      <w:pPr>
        <w:pStyle w:val="BookText"/>
      </w:pPr>
      <w:r>
        <w:rPr>
          <w:rFonts w:ascii="IRNazanin" w:hAnsi="IRNazanin" w:eastAsia="IRNazanin" w:cs="IRNazanin"/>
          <w:lang w:bidi="fa-IR"/>
          <w:color w:val="111111"/>
          <w:sz w:val="28"/>
          <w:szCs w:val="28"/>
          <w:rtl/>
        </w:rPr>
        <w:t xml:space="preserve">راجع معروف خطاط.</w:t>
      </w:r>
    </w:p>
    <w:p>
      <w:pPr>
        <w:pStyle w:val="Heading3"/>
      </w:pPr>
      <w:bookmarkStart w:id="9171" w:name="_Toc7867"/>
      <w:r>
        <w:t>6940- دیوان معروف تبریزی أو شعره‏</w:t>
      </w:r>
      <w:bookmarkEnd w:id="9171"/>
    </w:p>
    <w:p>
      <w:pPr>
        <w:pStyle w:val="BookText"/>
      </w:pPr>
      <w:r>
        <w:rPr>
          <w:rFonts w:ascii="IRNazanin" w:hAnsi="IRNazanin" w:eastAsia="IRNazanin" w:cs="IRNazanin"/>
          <w:lang w:bidi="fa-IR"/>
          <w:color w:val="111111"/>
          <w:sz w:val="28"/>
          <w:szCs w:val="28"/>
          <w:rtl/>
        </w:rPr>
        <w:t xml:space="preserve">کان رمالا کما ذکره فی (تس 5 ص 149 و 170) و ذکر له فی الصفحتین شعرا واحدا و عنه فی (تش- ص 34) و (گلشن- ص 429) و عنهما فی (دجا- ص 350) و القاموس الترکی بعین ذلک الشعر و لعله متحد مع معروف خطاط الآتی.</w:t>
      </w:r>
    </w:p>
    <w:p>
      <w:pPr>
        <w:pStyle w:val="Heading3"/>
      </w:pPr>
      <w:bookmarkStart w:id="9172" w:name="_Toc7868"/>
      <w:r>
        <w:t>6941- دیوان معروف خطاط</w:t>
      </w:r>
      <w:bookmarkEnd w:id="9172"/>
    </w:p>
    <w:p>
      <w:pPr>
        <w:pStyle w:val="BookText"/>
      </w:pPr>
      <w:r>
        <w:rPr>
          <w:rFonts w:ascii="IRNazanin" w:hAnsi="IRNazanin" w:eastAsia="IRNazanin" w:cs="IRNazanin"/>
          <w:lang w:bidi="fa-IR"/>
          <w:color w:val="111111"/>
          <w:sz w:val="28"/>
          <w:szCs w:val="28"/>
          <w:rtl/>
        </w:rPr>
        <w:t xml:space="preserve">کان معروفا بحسن الخلق و الخط و الکلام و کان من ملازمی السلطان أحمد جلایر، و لعلو طبعه فارقه و نزل شیراز عند إسکندر بن عمر شیخ، فجعله علی مکتبته فکان یکتب فی یوم واحد خمسمائة إلی ألف و خمسمائة
</w:t>
      </w:r>
    </w:p>
    <w:p>
      <w:pPr>
        <w:sectPr>
          <w:footerReference w:type="default" r:id="rId1075"/>
          <w:footnotePr>
            <w:numStart w:val="1"/>
            <w:numRestart w:val="eachPage"/>
          </w:footnotePr>
          <w:pgSz w:orient="portrait" w:w="11905.511811023622" w:h="16837.79527559055"/>
          <w:pgMar w:top="1440" w:right="1440" w:bottom="1440" w:left="1440" w:header="720" w:footer="720" w:gutter="0"/>
          <w:cols w:num="1" w:space="720"/>
        </w:sectPr>
      </w:pPr>
    </w:p>
    <w:bookmarkStart w:id="1056" w:name="pg11704_122543"/>
    <w:bookmarkEnd w:id="1056"/>
    <w:p>
      <w:pPr>
        <w:pStyle w:val="BookText"/>
      </w:pPr>
      <w:r>
        <w:rPr>
          <w:rFonts w:ascii="IRNazanin" w:hAnsi="IRNazanin" w:eastAsia="IRNazanin" w:cs="IRNazanin"/>
          <w:lang w:bidi="fa-IR"/>
          <w:color w:val="111111"/>
          <w:sz w:val="28"/>
          <w:szCs w:val="28"/>
          <w:rtl/>
        </w:rPr>
        <w:t xml:space="preserve">بیت. ثم بعد فتح شیراز بید شاه‏رخ أتی به إلی هرات و جعله علی مکتبته، و تلمذ علیه هناک کثیرون فی الخط، و لما حدث اغتیال شاه‏رخ بید أحمدلر الحروفی و طرد شاه‏رخ العلماء مثل قاسم الأنوار، أمر بقتل معروف الخطاط، لکنه نجی و سجن فی بئر فی قلعة اختیار الدین، کذا ترجمه فی حبیب السیر الجزء الثالث من المجلد الثالث و أورد شعره [</w:t>
      </w:r>
    </w:p>
    <w:p>
      <w:pPr>
        <w:pStyle w:val="BookText"/>
      </w:pPr>
      <w:r>
        <w:rPr>
          <w:rFonts w:ascii="IRNazanin" w:hAnsi="IRNazanin" w:eastAsia="IRNazanin" w:cs="IRNazanin"/>
          <w:lang w:bidi="fa-IR"/>
          <w:color w:val="111111"/>
          <w:sz w:val="28"/>
          <w:szCs w:val="28"/>
          <w:rtl/>
        </w:rPr>
        <w:t xml:space="preserve">ز ترک چشم تو هر تیر غمزه کامد راست‏</w:t>
      </w:r>
    </w:p>
    <w:p>
      <w:pPr>
        <w:pStyle w:val="BookText"/>
      </w:pPr>
      <w:r>
        <w:rPr>
          <w:rFonts w:ascii="IRNazanin" w:hAnsi="IRNazanin" w:eastAsia="IRNazanin" w:cs="IRNazanin"/>
          <w:lang w:bidi="fa-IR"/>
          <w:color w:val="111111"/>
          <w:sz w:val="28"/>
          <w:szCs w:val="28"/>
          <w:rtl/>
        </w:rPr>
        <w:t xml:space="preserve">] و فی القاموس الترکی أورد عین هذا الشعر و نسبه إلی معروف البغدادی. أقول و یوجد منظومة فی اللغة العربیة بالفارسیة علی ترتیب حروف الهجاء لکل حرف باب، و اسمه نصاب معروف و النسخة عند صادق کیا بطهران کما فی فرهنگ نامه‏های عربی بفارسی- ص 294 فلعله لهذا الرجل أو لمعروف البرزنجی المذکور فی هدیة العارفین 2: 369 أو لمعروف التبریزی. و ترجم معروف خطاط أیضا فی (امتحان 1- 151) و عنه فی خط و خطاطان- ص 235. بعنوان معروف شیرازی.</w:t>
      </w:r>
    </w:p>
    <w:p>
      <w:pPr>
        <w:pStyle w:val="Heading3"/>
      </w:pPr>
      <w:bookmarkStart w:id="9173" w:name="_Toc7869"/>
      <w:r>
        <w:t>دیوان معروف رمال‏</w:t>
      </w:r>
      <w:bookmarkEnd w:id="9173"/>
    </w:p>
    <w:p>
      <w:pPr>
        <w:pStyle w:val="BookText"/>
      </w:pPr>
      <w:r>
        <w:rPr>
          <w:rFonts w:ascii="IRNazanin" w:hAnsi="IRNazanin" w:eastAsia="IRNazanin" w:cs="IRNazanin"/>
          <w:lang w:bidi="fa-IR"/>
          <w:color w:val="111111"/>
          <w:sz w:val="28"/>
          <w:szCs w:val="28"/>
          <w:rtl/>
        </w:rPr>
        <w:t xml:space="preserve">راجع معروف تبریزی.</w:t>
      </w:r>
    </w:p>
    <w:p>
      <w:pPr>
        <w:pStyle w:val="Heading3"/>
      </w:pPr>
      <w:bookmarkStart w:id="9174" w:name="_Toc7870"/>
      <w:r>
        <w:t>6942- دیوان معروف الرصافی‏</w:t>
      </w:r>
      <w:bookmarkEnd w:id="9174"/>
    </w:p>
    <w:p>
      <w:pPr>
        <w:pStyle w:val="BookText"/>
      </w:pPr>
      <w:r>
        <w:rPr>
          <w:rFonts w:ascii="IRNazanin" w:hAnsi="IRNazanin" w:eastAsia="IRNazanin" w:cs="IRNazanin"/>
          <w:lang w:bidi="fa-IR"/>
          <w:color w:val="111111"/>
          <w:sz w:val="28"/>
          <w:szCs w:val="28"/>
          <w:rtl/>
        </w:rPr>
        <w:t xml:space="preserve">من شعراء بغداد. ترجمه علی الخاقانی فی شعراء الزوراء.</w:t>
      </w:r>
    </w:p>
    <w:p>
      <w:pPr>
        <w:pStyle w:val="Heading3"/>
      </w:pPr>
      <w:bookmarkStart w:id="9175" w:name="_Toc7871"/>
      <w:r>
        <w:t>دیوان معروف شیرازی‏</w:t>
      </w:r>
      <w:bookmarkEnd w:id="9175"/>
    </w:p>
    <w:p>
      <w:pPr>
        <w:pStyle w:val="BookText"/>
      </w:pPr>
      <w:r>
        <w:rPr>
          <w:rFonts w:ascii="IRNazanin" w:hAnsi="IRNazanin" w:eastAsia="IRNazanin" w:cs="IRNazanin"/>
          <w:lang w:bidi="fa-IR"/>
          <w:color w:val="111111"/>
          <w:sz w:val="28"/>
          <w:szCs w:val="28"/>
          <w:rtl/>
        </w:rPr>
        <w:t xml:space="preserve">راجع معروف خطاط.</w:t>
      </w:r>
    </w:p>
    <w:p>
      <w:pPr>
        <w:pStyle w:val="Heading3"/>
      </w:pPr>
      <w:bookmarkStart w:id="9176" w:name="_Toc7872"/>
      <w:r>
        <w:t>6943- دیوان معروف کشمیری أو شعره‏</w:t>
      </w:r>
      <w:bookmarkEnd w:id="9176"/>
    </w:p>
    <w:p>
      <w:pPr>
        <w:pStyle w:val="BookText"/>
      </w:pPr>
      <w:r>
        <w:rPr>
          <w:rFonts w:ascii="IRNazanin" w:hAnsi="IRNazanin" w:eastAsia="IRNazanin" w:cs="IRNazanin"/>
          <w:lang w:bidi="fa-IR"/>
          <w:color w:val="111111"/>
          <w:sz w:val="28"/>
          <w:szCs w:val="28"/>
          <w:rtl/>
        </w:rPr>
        <w:t xml:space="preserve">و اسمه المیر محمد ترجمه و أورد شعره فی (گلشن- ص 429) و عنه ظاهرا فی القاموس الترکی بعنوان محمد طاهر.</w:t>
      </w:r>
    </w:p>
    <w:p>
      <w:pPr>
        <w:pStyle w:val="Heading3"/>
      </w:pPr>
      <w:bookmarkStart w:id="9177" w:name="_Toc7873"/>
      <w:r>
        <w:t>6944- دیوان معروفی بلخی‏</w:t>
      </w:r>
      <w:bookmarkEnd w:id="9177"/>
    </w:p>
    <w:p>
      <w:pPr>
        <w:pStyle w:val="BookText"/>
      </w:pPr>
      <w:r>
        <w:rPr>
          <w:rFonts w:ascii="IRNazanin" w:hAnsi="IRNazanin" w:eastAsia="IRNazanin" w:cs="IRNazanin"/>
          <w:lang w:bidi="fa-IR"/>
          <w:color w:val="111111"/>
          <w:sz w:val="28"/>
          <w:szCs w:val="28"/>
          <w:rtl/>
        </w:rPr>
        <w:t xml:space="preserve">أبو عبد الله محمد بن الحسن. ترجمه فی (مع ج 1- ص 505) قال بعد إطرائه: هو من شعراء آل سامان و أورد بعض شعره فی مدیح عبد الملک بن نوح السامانی. و قال الشیخ عباس القمی فی الکنی و الألقاب- ج 2- ص 254 فی ترجمه رودکی قال المعروفی البلخی:</w:t>
      </w:r>
    </w:p>
    <w:p>
      <w:pPr>
        <w:pStyle w:val="BookText"/>
      </w:pPr>
      <w:r>
        <w:rPr>
          <w:rFonts w:ascii="IRNazanin" w:hAnsi="IRNazanin" w:eastAsia="IRNazanin" w:cs="IRNazanin"/>
          <w:lang w:bidi="fa-IR"/>
          <w:color w:val="111111"/>
          <w:sz w:val="28"/>
          <w:szCs w:val="28"/>
          <w:rtl/>
        </w:rPr>
        <w:t xml:space="preserve">از رودکی شنیدم سلطان شاعران‏</w:t>
      </w:r>
    </w:p>
    <w:p>
      <w:pPr>
        <w:pStyle w:val="BookText"/>
      </w:pPr>
      <w:r>
        <w:rPr>
          <w:rFonts w:ascii="IRNazanin" w:hAnsi="IRNazanin" w:eastAsia="IRNazanin" w:cs="IRNazanin"/>
          <w:lang w:bidi="fa-IR"/>
          <w:color w:val="111111"/>
          <w:sz w:val="28"/>
          <w:szCs w:val="28"/>
          <w:rtl/>
        </w:rPr>
        <w:t xml:space="preserve">کاندر جهان به کس مگرو جز بفاطمی‏</w:t>
      </w:r>
    </w:p>
    <w:p>
      <w:pPr>
        <w:pStyle w:val="BookText"/>
      </w:pPr>
      <w:r>
        <w:rPr>
          <w:rFonts w:ascii="IRNazanin" w:hAnsi="IRNazanin" w:eastAsia="IRNazanin" w:cs="IRNazanin"/>
          <w:lang w:bidi="fa-IR"/>
          <w:color w:val="111111"/>
          <w:sz w:val="28"/>
          <w:szCs w:val="28"/>
          <w:rtl/>
        </w:rPr>
        <w:t xml:space="preserve">و ترجم فی (لب) و سخن و سخنوران 1: 12 و المستر براون و لغت‏نامه و غیرها.</w:t>
      </w:r>
    </w:p>
    <w:p>
      <w:pPr>
        <w:pStyle w:val="Heading3"/>
      </w:pPr>
      <w:bookmarkStart w:id="9178" w:name="_Toc7874"/>
      <w:r>
        <w:t>دیوان المعری‏</w:t>
      </w:r>
      <w:bookmarkEnd w:id="9178"/>
    </w:p>
    <w:p>
      <w:pPr>
        <w:pStyle w:val="BookText"/>
      </w:pPr>
      <w:r>
        <w:rPr>
          <w:rFonts w:ascii="IRNazanin" w:hAnsi="IRNazanin" w:eastAsia="IRNazanin" w:cs="IRNazanin"/>
          <w:lang w:bidi="fa-IR"/>
          <w:color w:val="111111"/>
          <w:sz w:val="28"/>
          <w:szCs w:val="28"/>
          <w:rtl/>
        </w:rPr>
        <w:t xml:space="preserve">مر بعنوان أبی العلاء فی ص 45.</w:t>
      </w:r>
    </w:p>
    <w:p>
      <w:pPr>
        <w:pStyle w:val="Heading3"/>
      </w:pPr>
      <w:bookmarkStart w:id="9179" w:name="_Toc7875"/>
      <w:r>
        <w:t>6945- دیوان معز أو شعره‏</w:t>
      </w:r>
      <w:bookmarkEnd w:id="9179"/>
    </w:p>
    <w:p>
      <w:pPr>
        <w:pStyle w:val="BookText"/>
      </w:pPr>
      <w:r>
        <w:rPr>
          <w:rFonts w:ascii="IRNazanin" w:hAnsi="IRNazanin" w:eastAsia="IRNazanin" w:cs="IRNazanin"/>
          <w:lang w:bidi="fa-IR"/>
          <w:color w:val="111111"/>
          <w:sz w:val="28"/>
          <w:szCs w:val="28"/>
          <w:rtl/>
        </w:rPr>
        <w:t xml:space="preserve">و اسمه میر معز الدین. أورد شعره و أطری علمه‏
</w:t>
      </w:r>
    </w:p>
    <w:p>
      <w:pPr>
        <w:sectPr>
          <w:footerReference w:type="default" r:id="rId1076"/>
          <w:footnotePr>
            <w:numStart w:val="1"/>
            <w:numRestart w:val="eachPage"/>
          </w:footnotePr>
          <w:pgSz w:orient="portrait" w:w="11905.511811023622" w:h="16837.79527559055"/>
          <w:pgMar w:top="1440" w:right="1440" w:bottom="1440" w:left="1440" w:header="720" w:footer="720" w:gutter="0"/>
          <w:cols w:num="1" w:space="720"/>
        </w:sectPr>
      </w:pPr>
    </w:p>
    <w:bookmarkStart w:id="1057" w:name="pg11704_122544"/>
    <w:bookmarkEnd w:id="1057"/>
    <w:p>
      <w:pPr>
        <w:pStyle w:val="BookText"/>
      </w:pPr>
      <w:r>
        <w:rPr>
          <w:rFonts w:ascii="IRNazanin" w:hAnsi="IRNazanin" w:eastAsia="IRNazanin" w:cs="IRNazanin"/>
          <w:lang w:bidi="fa-IR"/>
          <w:color w:val="111111"/>
          <w:sz w:val="28"/>
          <w:szCs w:val="28"/>
          <w:rtl/>
        </w:rPr>
        <w:t xml:space="preserve">و فضله فی (تس 2- 45).</w:t>
      </w:r>
    </w:p>
    <w:p>
      <w:pPr>
        <w:pStyle w:val="Heading3"/>
      </w:pPr>
      <w:bookmarkStart w:id="9180" w:name="_Toc7876"/>
      <w:r>
        <w:t>6946- دیوان معز أصفهانی أو شعره‏</w:t>
      </w:r>
      <w:bookmarkEnd w:id="9180"/>
    </w:p>
    <w:p>
      <w:pPr>
        <w:pStyle w:val="BookText"/>
      </w:pPr>
      <w:r>
        <w:rPr>
          <w:rFonts w:ascii="IRNazanin" w:hAnsi="IRNazanin" w:eastAsia="IRNazanin" w:cs="IRNazanin"/>
          <w:lang w:bidi="fa-IR"/>
          <w:color w:val="111111"/>
          <w:sz w:val="28"/>
          <w:szCs w:val="28"/>
          <w:rtl/>
        </w:rPr>
        <w:t xml:space="preserve">ترجمه معاصره النصرآبادی فی (نر 8- ص 210) و ذکر أنه من العرفاء و متولی أوقاف مزار بابا رکن الدین و بابا بیات بأصفهان، یصرفها فی مریدیه من الفقراء. و أورد غزله و مقطعه:</w:t>
      </w:r>
    </w:p>
    <w:p>
      <w:pPr>
        <w:pStyle w:val="BookText"/>
      </w:pPr>
      <w:r>
        <w:rPr>
          <w:rFonts w:ascii="IRNazanin" w:hAnsi="IRNazanin" w:eastAsia="IRNazanin" w:cs="IRNazanin"/>
          <w:lang w:bidi="fa-IR"/>
          <w:color w:val="111111"/>
          <w:sz w:val="28"/>
          <w:szCs w:val="28"/>
          <w:rtl/>
        </w:rPr>
        <w:t xml:space="preserve">ز آه و ناله معز می‏توان به دوست رسید</w:t>
      </w:r>
    </w:p>
    <w:p>
      <w:pPr>
        <w:pStyle w:val="BookText"/>
      </w:pPr>
      <w:r>
        <w:rPr>
          <w:rFonts w:ascii="IRNazanin" w:hAnsi="IRNazanin" w:eastAsia="IRNazanin" w:cs="IRNazanin"/>
          <w:lang w:bidi="fa-IR"/>
          <w:color w:val="111111"/>
          <w:sz w:val="28"/>
          <w:szCs w:val="28"/>
          <w:rtl/>
        </w:rPr>
        <w:t xml:space="preserve">دریغ کاهل جهان این قدر نمی‏دانند</w:t>
      </w:r>
    </w:p>
    <w:p>
      <w:pPr>
        <w:pStyle w:val="BookText"/>
      </w:pPr>
      <w:r>
        <w:rPr>
          <w:rFonts w:ascii="IRNazanin" w:hAnsi="IRNazanin" w:eastAsia="IRNazanin" w:cs="IRNazanin"/>
          <w:lang w:bidi="fa-IR"/>
          <w:color w:val="111111"/>
          <w:sz w:val="28"/>
          <w:szCs w:val="28"/>
          <w:rtl/>
        </w:rPr>
        <w:t xml:space="preserve">و الظاهر أنه متحد مع معز الدین محمد الذی نظم تاریخ وفاة المیرزا حسن الشروانی فی 1099 فذکره فی (نر 9- ص 268).</w:t>
      </w:r>
    </w:p>
    <w:p>
      <w:pPr>
        <w:pStyle w:val="Heading3"/>
      </w:pPr>
      <w:bookmarkStart w:id="9181" w:name="_Toc7877"/>
      <w:r>
        <w:t>دیوان معز أصفهانی‏</w:t>
      </w:r>
      <w:bookmarkEnd w:id="9181"/>
    </w:p>
    <w:p>
      <w:pPr>
        <w:pStyle w:val="BookText"/>
      </w:pPr>
      <w:r>
        <w:rPr>
          <w:rFonts w:ascii="IRNazanin" w:hAnsi="IRNazanin" w:eastAsia="IRNazanin" w:cs="IRNazanin"/>
          <w:lang w:bidi="fa-IR"/>
          <w:color w:val="111111"/>
          <w:sz w:val="28"/>
          <w:szCs w:val="28"/>
          <w:rtl/>
        </w:rPr>
        <w:t xml:space="preserve">من تبارزه عباس‏آباد راجع معز تبریزی.</w:t>
      </w:r>
    </w:p>
    <w:p>
      <w:pPr>
        <w:pStyle w:val="Heading3"/>
      </w:pPr>
      <w:bookmarkStart w:id="9182" w:name="_Toc7878"/>
      <w:r>
        <w:t>دیوان معز أصفهانی أو شعره‏</w:t>
      </w:r>
      <w:bookmarkEnd w:id="9182"/>
    </w:p>
    <w:p>
      <w:pPr>
        <w:pStyle w:val="BookText"/>
      </w:pPr>
      <w:r>
        <w:rPr>
          <w:rFonts w:ascii="IRNazanin" w:hAnsi="IRNazanin" w:eastAsia="IRNazanin" w:cs="IRNazanin"/>
          <w:lang w:bidi="fa-IR"/>
          <w:color w:val="111111"/>
          <w:sz w:val="28"/>
          <w:szCs w:val="28"/>
          <w:rtl/>
        </w:rPr>
        <w:t xml:space="preserve">کان تخلصه فیضی کما مر فی ص 854.</w:t>
      </w:r>
    </w:p>
    <w:p>
      <w:pPr>
        <w:pStyle w:val="Heading3"/>
      </w:pPr>
      <w:bookmarkStart w:id="9183" w:name="_Toc7879"/>
      <w:r>
        <w:t>6947- دیوان معز تبریزی‏</w:t>
      </w:r>
      <w:bookmarkEnd w:id="9183"/>
    </w:p>
    <w:p>
      <w:pPr>
        <w:pStyle w:val="BookText"/>
      </w:pPr>
      <w:r>
        <w:rPr>
          <w:rFonts w:ascii="IRNazanin" w:hAnsi="IRNazanin" w:eastAsia="IRNazanin" w:cs="IRNazanin"/>
          <w:lang w:bidi="fa-IR"/>
          <w:color w:val="111111"/>
          <w:sz w:val="28"/>
          <w:szCs w:val="28"/>
          <w:rtl/>
        </w:rPr>
        <w:t xml:space="preserve">نزیل عباس‏آباد أصفهان ترجمه فی (دجا- ص 350) و ذکر أنه فر من سطوة إبراهیم شاه ابن أخ نادر شاه إلی حیدرآباد الهند و بها توفی 1182 و أورد مطلعین له، و لم ینقل ترجمته عن إحدی المصادر و لا أدری مم أخذ کلامه و الصحیح ما ترجمه معاصره آزاد البلگرامی فی (خز- ص 429) و ذکر أنه المیرزا معز الدین بن المیرزا حسن بن محمد صادق خان، کان جده من أهل بهار و هاجر هو بأمر الشاه عباس الماضی من تبریز إلی أصفهان و سکن بعباس‏آباد و أولاده بها و منهم العالم الفاضل المیرزا حسن والد المیرزا معز الدین فإنه فاق فی العلم أقرانه و ألف رسائل فی المعقول. و له شرح أبیات مثنوی للمولی الرومی فتوفی المیرزا حسن و لابنه معز الدین ست سنین فرباه علی حسب وصیة أبیه، المیرزا أبو سعید من السلسلة المشکیة بأصفهان و کل استفاداته العلمیة کانت من أستاذه الآخوند شفیعا الطالقانی.</w:t>
      </w:r>
    </w:p>
    <w:p>
      <w:pPr>
        <w:pStyle w:val="BookText"/>
      </w:pPr>
      <w:r>
        <w:rPr>
          <w:rFonts w:ascii="IRNazanin" w:hAnsi="IRNazanin" w:eastAsia="IRNazanin" w:cs="IRNazanin"/>
          <w:lang w:bidi="fa-IR"/>
          <w:color w:val="111111"/>
          <w:sz w:val="28"/>
          <w:szCs w:val="28"/>
          <w:rtl/>
        </w:rPr>
        <w:t xml:space="preserve">و حصلت بینه و بین إبراهیم شاه ابن أخ نادر شاه صداقة تامة، و لما قام إبراهیم شاه للسلطنة فی تبریز بعث فرمانا إلی المیرزا معز الدین إلی أصفهان و فوض إلیه أمور العراق و فارس من العزل و النصب للحکام و غیر ذلک و کان کذلک فی مدة سلطنته سنتین.</w:t>
      </w:r>
    </w:p>
    <w:p>
      <w:pPr>
        <w:pStyle w:val="BookText"/>
      </w:pPr>
      <w:r>
        <w:rPr>
          <w:rFonts w:ascii="IRNazanin" w:hAnsi="IRNazanin" w:eastAsia="IRNazanin" w:cs="IRNazanin"/>
          <w:lang w:bidi="fa-IR"/>
          <w:color w:val="111111"/>
          <w:sz w:val="28"/>
          <w:szCs w:val="28"/>
          <w:rtl/>
        </w:rPr>
        <w:t xml:space="preserve">و بعد انقراض السلطان إبراهیم قام أعداء المیرزا معز الدین و حساده بإیذائه فذهب إلی شیراز معززا مکرما عند والیها مدة فاشتاق إلی سیاحة البلاد فذهب إلی بندر الطاهری و رکب الجهاز، و بعد ابتلاء کثیر ورد إلی بندر تته فی 1167 و بعد تنقلاته فی بعض بلاد الهند
</w:t>
      </w:r>
    </w:p>
    <w:p>
      <w:pPr>
        <w:sectPr>
          <w:footerReference w:type="default" r:id="rId1077"/>
          <w:footnotePr>
            <w:numStart w:val="1"/>
            <w:numRestart w:val="eachPage"/>
          </w:footnotePr>
          <w:pgSz w:orient="portrait" w:w="11905.511811023622" w:h="16837.79527559055"/>
          <w:pgMar w:top="1440" w:right="1440" w:bottom="1440" w:left="1440" w:header="720" w:footer="720" w:gutter="0"/>
          <w:cols w:num="1" w:space="720"/>
        </w:sectPr>
      </w:pPr>
    </w:p>
    <w:bookmarkStart w:id="1058" w:name="pg11704_122545"/>
    <w:bookmarkEnd w:id="1058"/>
    <w:p>
      <w:pPr>
        <w:pStyle w:val="BookText"/>
      </w:pPr>
      <w:r>
        <w:rPr>
          <w:rFonts w:ascii="IRNazanin" w:hAnsi="IRNazanin" w:eastAsia="IRNazanin" w:cs="IRNazanin"/>
          <w:lang w:bidi="fa-IR"/>
          <w:color w:val="111111"/>
          <w:sz w:val="28"/>
          <w:szCs w:val="28"/>
          <w:rtl/>
        </w:rPr>
        <w:t xml:space="preserve">قام بأورنگ‏آباد و صحبه هناک البلگرامی کثیرا، ثم بعد إتمام الخزانة ألحق به و فات المیرزا معز الدین فی الخمیس سابع شعبان 1183 فی اورنگ‏آباد و دفن بمقبرة مستخلص خان فی دهلیز طرف جنوبها و عنه أخذ فی (نتایج- ص 667).</w:t>
      </w:r>
    </w:p>
    <w:p>
      <w:pPr>
        <w:pStyle w:val="Heading3"/>
      </w:pPr>
      <w:bookmarkStart w:id="9184" w:name="_Toc7880"/>
      <w:r>
        <w:t>دیوان معز جوشقانی‏</w:t>
      </w:r>
      <w:bookmarkEnd w:id="9184"/>
    </w:p>
    <w:p>
      <w:pPr>
        <w:pStyle w:val="BookText"/>
      </w:pPr>
      <w:r>
        <w:rPr>
          <w:rFonts w:ascii="IRNazanin" w:hAnsi="IRNazanin" w:eastAsia="IRNazanin" w:cs="IRNazanin"/>
          <w:lang w:bidi="fa-IR"/>
          <w:color w:val="111111"/>
          <w:sz w:val="28"/>
          <w:szCs w:val="28"/>
          <w:rtl/>
        </w:rPr>
        <w:t xml:space="preserve">راجع معز کاشانی.</w:t>
      </w:r>
    </w:p>
    <w:p>
      <w:pPr>
        <w:pStyle w:val="Heading3"/>
      </w:pPr>
      <w:bookmarkStart w:id="9185" w:name="_Toc7881"/>
      <w:r>
        <w:t>6948- دیوان معز کاشانی أو شعره‏</w:t>
      </w:r>
      <w:bookmarkEnd w:id="9185"/>
    </w:p>
    <w:p>
      <w:pPr>
        <w:pStyle w:val="BookText"/>
      </w:pPr>
      <w:r>
        <w:rPr>
          <w:rFonts w:ascii="IRNazanin" w:hAnsi="IRNazanin" w:eastAsia="IRNazanin" w:cs="IRNazanin"/>
          <w:lang w:bidi="fa-IR"/>
          <w:color w:val="111111"/>
          <w:sz w:val="28"/>
          <w:szCs w:val="28"/>
          <w:rtl/>
        </w:rPr>
        <w:t xml:space="preserve">و هو المیر معز الدین محمد الکاشی من شعراء الشاه عباس الأول. کان ماهرا فی الموسیقی و الخط النستعلیق کما وصفه النصرآبادی فی (نر 7- ص 208) و الصادقی فی (خص 6- ص 95) و فی (گلشن- ص 430) و (روشن- ص 635) أنه جاء إلی الهند فی عهد أکبر شاه و کذا المستر براون فی 4: 88. و فی همیشه بهار سماه معز جوشقانی.</w:t>
      </w:r>
    </w:p>
    <w:p>
      <w:pPr>
        <w:pStyle w:val="Heading3"/>
      </w:pPr>
      <w:bookmarkStart w:id="9186" w:name="_Toc7882"/>
      <w:r>
        <w:t>6949- دیوان معز لکهنوی أو شعره‏</w:t>
      </w:r>
      <w:bookmarkEnd w:id="9186"/>
    </w:p>
    <w:p>
      <w:pPr>
        <w:pStyle w:val="BookText"/>
      </w:pPr>
      <w:r>
        <w:rPr>
          <w:rFonts w:ascii="IRNazanin" w:hAnsi="IRNazanin" w:eastAsia="IRNazanin" w:cs="IRNazanin"/>
          <w:lang w:bidi="fa-IR"/>
          <w:color w:val="111111"/>
          <w:sz w:val="28"/>
          <w:szCs w:val="28"/>
          <w:rtl/>
        </w:rPr>
        <w:t xml:space="preserve">و اسمه الشیخ معز الدین. ترجمه و أورد شعره فی (گلشن- ص 429) و عنه فی القاموس الترکی.</w:t>
      </w:r>
    </w:p>
    <w:p>
      <w:pPr>
        <w:pStyle w:val="Heading3"/>
      </w:pPr>
      <w:bookmarkStart w:id="9187" w:name="_Toc7883"/>
      <w:r>
        <w:t>دیوان معز مشهدی‏</w:t>
      </w:r>
      <w:bookmarkEnd w:id="9187"/>
    </w:p>
    <w:p>
      <w:pPr>
        <w:pStyle w:val="BookText"/>
      </w:pPr>
      <w:r>
        <w:rPr>
          <w:rFonts w:ascii="IRNazanin" w:hAnsi="IRNazanin" w:eastAsia="IRNazanin" w:cs="IRNazanin"/>
          <w:lang w:bidi="fa-IR"/>
          <w:color w:val="111111"/>
          <w:sz w:val="28"/>
          <w:szCs w:val="28"/>
          <w:rtl/>
        </w:rPr>
        <w:t xml:space="preserve">راجع فطرت فی ص 839 و موسوی مشهدی.</w:t>
      </w:r>
    </w:p>
    <w:p>
      <w:pPr>
        <w:pStyle w:val="Heading3"/>
      </w:pPr>
      <w:bookmarkStart w:id="9188" w:name="_Toc7884"/>
      <w:r>
        <w:t>6950- دیوان معز یزدی أو شعره‏</w:t>
      </w:r>
      <w:bookmarkEnd w:id="9188"/>
    </w:p>
    <w:p>
      <w:pPr>
        <w:pStyle w:val="BookText"/>
      </w:pPr>
      <w:r>
        <w:rPr>
          <w:rFonts w:ascii="IRNazanin" w:hAnsi="IRNazanin" w:eastAsia="IRNazanin" w:cs="IRNazanin"/>
          <w:lang w:bidi="fa-IR"/>
          <w:color w:val="111111"/>
          <w:sz w:val="28"/>
          <w:szCs w:val="28"/>
          <w:rtl/>
        </w:rPr>
        <w:t xml:space="preserve">و اسمه معز الدین أو معین الدین من سادات یزد الأتقیاء فی عهد حکومة خال النصرآبادی بها. نقل شعره عنه فی (نر 6- ص 161).</w:t>
      </w:r>
    </w:p>
    <w:p>
      <w:pPr>
        <w:pStyle w:val="Heading3"/>
      </w:pPr>
      <w:bookmarkStart w:id="9189" w:name="_Toc7885"/>
      <w:r>
        <w:t>6951- دیوان معزی خراسانی أو شعره‏</w:t>
      </w:r>
      <w:bookmarkEnd w:id="9189"/>
    </w:p>
    <w:p>
      <w:pPr>
        <w:pStyle w:val="BookText"/>
      </w:pPr>
      <w:r>
        <w:rPr>
          <w:rFonts w:ascii="IRNazanin" w:hAnsi="IRNazanin" w:eastAsia="IRNazanin" w:cs="IRNazanin"/>
          <w:lang w:bidi="fa-IR"/>
          <w:color w:val="111111"/>
          <w:sz w:val="28"/>
          <w:szCs w:val="28"/>
          <w:rtl/>
        </w:rPr>
        <w:t xml:space="preserve">و اسمه ملا معزی لنگ. قال معاصره فی (مجتس 6- ص 157) إنه من أحفاد الخواجة عبد الله الأنصاری و أورد شعره. و کذا فی (تس 5- ص 160) و (گلشن- ص 430) و عنهما فی القاموس الترکی.</w:t>
      </w:r>
    </w:p>
    <w:p>
      <w:pPr>
        <w:pStyle w:val="Heading3"/>
      </w:pPr>
      <w:bookmarkStart w:id="9190" w:name="_Toc7886"/>
      <w:r>
        <w:t>دیوان معزی سمرقندی‏</w:t>
      </w:r>
      <w:bookmarkEnd w:id="9190"/>
    </w:p>
    <w:p>
      <w:pPr>
        <w:pStyle w:val="BookText"/>
      </w:pPr>
      <w:r>
        <w:rPr>
          <w:rFonts w:ascii="IRNazanin" w:hAnsi="IRNazanin" w:eastAsia="IRNazanin" w:cs="IRNazanin"/>
          <w:lang w:bidi="fa-IR"/>
          <w:color w:val="111111"/>
          <w:sz w:val="28"/>
          <w:szCs w:val="28"/>
          <w:rtl/>
        </w:rPr>
        <w:t xml:space="preserve">راجع معزی نیشابوری.</w:t>
      </w:r>
    </w:p>
    <w:p>
      <w:pPr>
        <w:pStyle w:val="Heading3"/>
      </w:pPr>
      <w:bookmarkStart w:id="9191" w:name="_Toc7887"/>
      <w:r>
        <w:t>6952- دیوان معزی غزنوی‏</w:t>
      </w:r>
      <w:bookmarkEnd w:id="9191"/>
    </w:p>
    <w:p>
      <w:pPr>
        <w:pStyle w:val="BookText"/>
      </w:pPr>
      <w:r>
        <w:rPr>
          <w:rFonts w:ascii="IRNazanin" w:hAnsi="IRNazanin" w:eastAsia="IRNazanin" w:cs="IRNazanin"/>
          <w:lang w:bidi="fa-IR"/>
          <w:color w:val="111111"/>
          <w:sz w:val="28"/>
          <w:szCs w:val="28"/>
          <w:rtl/>
        </w:rPr>
        <w:t xml:space="preserve">و هو سدید الدین علی بن عمر المعزی الغزنوی.</w:t>
      </w:r>
    </w:p>
    <w:p>
      <w:pPr>
        <w:pStyle w:val="BookText"/>
      </w:pPr>
      <w:r>
        <w:rPr>
          <w:rFonts w:ascii="IRNazanin" w:hAnsi="IRNazanin" w:eastAsia="IRNazanin" w:cs="IRNazanin"/>
          <w:lang w:bidi="fa-IR"/>
          <w:color w:val="111111"/>
          <w:sz w:val="28"/>
          <w:szCs w:val="28"/>
          <w:rtl/>
        </w:rPr>
        <w:t xml:space="preserve">قال فی (لب 11) إن دیوانه یشبه أرتنگ لمانی. و کان یمدح سراج الدولة خسرو ملک المتوفی 582 و عنه فی (مع 1: 510).</w:t>
      </w:r>
    </w:p>
    <w:p>
      <w:pPr>
        <w:pStyle w:val="Heading3"/>
      </w:pPr>
      <w:bookmarkStart w:id="9192" w:name="_Toc7888"/>
      <w:r>
        <w:t>دیوان معزی لنگ‏</w:t>
      </w:r>
      <w:bookmarkEnd w:id="9192"/>
    </w:p>
    <w:p>
      <w:pPr>
        <w:pStyle w:val="BookText"/>
      </w:pPr>
      <w:r>
        <w:rPr>
          <w:rFonts w:ascii="IRNazanin" w:hAnsi="IRNazanin" w:eastAsia="IRNazanin" w:cs="IRNazanin"/>
          <w:lang w:bidi="fa-IR"/>
          <w:color w:val="111111"/>
          <w:sz w:val="28"/>
          <w:szCs w:val="28"/>
          <w:rtl/>
        </w:rPr>
        <w:t xml:space="preserve">راجع معزی خراسانی.</w:t>
      </w:r>
    </w:p>
    <w:p>
      <w:pPr>
        <w:pStyle w:val="Heading3"/>
      </w:pPr>
      <w:bookmarkStart w:id="9193" w:name="_Toc7889"/>
      <w:r>
        <w:t>دیوان معزی نسوی‏</w:t>
      </w:r>
      <w:bookmarkEnd w:id="9193"/>
    </w:p>
    <w:p>
      <w:pPr>
        <w:pStyle w:val="BookText"/>
      </w:pPr>
      <w:r>
        <w:rPr>
          <w:rFonts w:ascii="IRNazanin" w:hAnsi="IRNazanin" w:eastAsia="IRNazanin" w:cs="IRNazanin"/>
          <w:lang w:bidi="fa-IR"/>
          <w:color w:val="111111"/>
          <w:sz w:val="28"/>
          <w:szCs w:val="28"/>
          <w:rtl/>
        </w:rPr>
        <w:t xml:space="preserve">راجع معزی نیشابوری.</w:t>
      </w:r>
    </w:p>
    <w:p>
      <w:pPr>
        <w:pStyle w:val="Heading3"/>
      </w:pPr>
      <w:bookmarkStart w:id="9194" w:name="_Toc7890"/>
      <w:r>
        <w:t>6953- دیوان معزی نیشابوری‏</w:t>
      </w:r>
      <w:bookmarkEnd w:id="9194"/>
    </w:p>
    <w:p>
      <w:pPr>
        <w:pStyle w:val="BookText"/>
      </w:pPr>
      <w:r>
        <w:rPr>
          <w:rFonts w:ascii="IRNazanin" w:hAnsi="IRNazanin" w:eastAsia="IRNazanin" w:cs="IRNazanin"/>
          <w:lang w:bidi="fa-IR"/>
          <w:color w:val="111111"/>
          <w:sz w:val="28"/>
          <w:szCs w:val="28"/>
          <w:rtl/>
        </w:rPr>
        <w:t xml:space="preserve">و هو الشاعر الأمیر معزی أبو عبد الله محمد بن عبد الملک، أصله من نیشابور و قیل نسا و قیل سمرقند. کان والده عبد الملک‏
</w:t>
      </w:r>
    </w:p>
    <w:p>
      <w:pPr>
        <w:sectPr>
          <w:footerReference w:type="default" r:id="rId1078"/>
          <w:footnotePr>
            <w:numStart w:val="1"/>
            <w:numRestart w:val="eachPage"/>
          </w:footnotePr>
          <w:pgSz w:orient="portrait" w:w="11905.511811023622" w:h="16837.79527559055"/>
          <w:pgMar w:top="1440" w:right="1440" w:bottom="1440" w:left="1440" w:header="720" w:footer="720" w:gutter="0"/>
          <w:cols w:num="1" w:space="720"/>
        </w:sectPr>
      </w:pPr>
    </w:p>
    <w:bookmarkStart w:id="1059" w:name="pg11704_122546"/>
    <w:bookmarkEnd w:id="1059"/>
    <w:p>
      <w:pPr>
        <w:pStyle w:val="BookText"/>
      </w:pPr>
      <w:r>
        <w:rPr>
          <w:rFonts w:ascii="IRNazanin" w:hAnsi="IRNazanin" w:eastAsia="IRNazanin" w:cs="IRNazanin"/>
          <w:lang w:bidi="fa-IR"/>
          <w:color w:val="111111"/>
          <w:sz w:val="28"/>
          <w:szCs w:val="28"/>
          <w:rtl/>
        </w:rPr>
        <w:t xml:space="preserve">المتخلص برهانی أمیر الشعراء لملک شاه السلجوقی (465- 485) و أوصی بولده إلی الملک فرباه، و بعد ملک شاه مدح المعزی ابنه السلطان سنجر (511- 552) و مات بین 518 و 520 بسهم أصابه من سنجر خطأ لا فی 545 کما فی شاهد صادق و قال فی هفت إقلیم إن دیوانه فی خمسة عشر ألف بیت و طبع بطهران بتصحیح و مقدمه عباس إقبال فی 1358 فی 868 ص. ترجمه فی (لب) و (بهش 1- ص 346) و (خز: 399) و فی تاریخ گزیده- ص 825 و (لت) و (روشن- ص 635) و مجلة أرمغان ج 4 ص 529 و ج 5: ص 15 و (تش- ص 335) و (نتایج- ص 613) و (مع</w:t>
      </w:r>
    </w:p>
    <w:p>
      <w:pPr>
        <w:pStyle w:val="BookText"/>
      </w:pPr>
      <w:r>
        <w:rPr>
          <w:rFonts w:ascii="IRNazanin" w:hAnsi="IRNazanin" w:eastAsia="IRNazanin" w:cs="IRNazanin"/>
          <w:lang w:bidi="fa-IR"/>
          <w:color w:val="111111"/>
          <w:sz w:val="28"/>
          <w:szCs w:val="28"/>
          <w:rtl/>
        </w:rPr>
        <w:t xml:space="preserve">1: 593) و (طرائق 2: 264) و سخن و سخنوران 1: 236 و یوجد نسخه کتابتها 664 و أخری علیها تملک 503 عند (فخر الدین) و أخری عند (الملک) و نسختان فی المکتبة (الملیة) و نسختان فی (المجلس) کما فی فهرسها 3: 418 و نسختان فی (سپهسالار) کما فی فهرسها 2: 681.</w:t>
      </w:r>
    </w:p>
    <w:p>
      <w:pPr>
        <w:pStyle w:val="Heading3"/>
      </w:pPr>
      <w:bookmarkStart w:id="9195" w:name="_Toc7891"/>
      <w:r>
        <w:t>دیوان معصوم أسترآبادی‏</w:t>
      </w:r>
      <w:bookmarkEnd w:id="9195"/>
    </w:p>
    <w:p>
      <w:pPr>
        <w:pStyle w:val="BookText"/>
      </w:pPr>
      <w:r>
        <w:rPr>
          <w:rFonts w:ascii="IRNazanin" w:hAnsi="IRNazanin" w:eastAsia="IRNazanin" w:cs="IRNazanin"/>
          <w:lang w:bidi="fa-IR"/>
          <w:color w:val="111111"/>
          <w:sz w:val="28"/>
          <w:szCs w:val="28"/>
          <w:rtl/>
        </w:rPr>
        <w:t xml:space="preserve">المتخلص بتسلی مر فی ص 170.</w:t>
      </w:r>
    </w:p>
    <w:p>
      <w:pPr>
        <w:pStyle w:val="Heading3"/>
      </w:pPr>
      <w:bookmarkStart w:id="9196" w:name="_Toc7892"/>
      <w:r>
        <w:t>6954- دیوان معصوم أصفهانی‏</w:t>
      </w:r>
      <w:bookmarkEnd w:id="9196"/>
    </w:p>
    <w:p>
      <w:pPr>
        <w:pStyle w:val="BookText"/>
      </w:pPr>
      <w:r>
        <w:rPr>
          <w:rFonts w:ascii="IRNazanin" w:hAnsi="IRNazanin" w:eastAsia="IRNazanin" w:cs="IRNazanin"/>
          <w:lang w:bidi="fa-IR"/>
          <w:color w:val="111111"/>
          <w:sz w:val="28"/>
          <w:szCs w:val="28"/>
          <w:rtl/>
        </w:rPr>
        <w:t xml:space="preserve">هو ابن میرزا خواجکی و من أقارب المیرزا عبد الله وزیر لاهیجان نظم بأمر الشاه صفی تاریخ شاه صفی فی وقایع أیام دولته. و صار فی الأخیر وزیر قراباغ و هناک توفی کما ذکره النصرآبادی فی (نر 4- ص 77) و أورد بعض شعره.</w:t>
      </w:r>
    </w:p>
    <w:p>
      <w:pPr>
        <w:pStyle w:val="Heading3"/>
      </w:pPr>
      <w:bookmarkStart w:id="9197" w:name="_Toc7893"/>
      <w:r>
        <w:t>6955- دیوان معصوم تبریزی‏</w:t>
      </w:r>
      <w:bookmarkEnd w:id="9197"/>
    </w:p>
    <w:p>
      <w:pPr>
        <w:pStyle w:val="BookText"/>
      </w:pPr>
      <w:r>
        <w:rPr>
          <w:rFonts w:ascii="IRNazanin" w:hAnsi="IRNazanin" w:eastAsia="IRNazanin" w:cs="IRNazanin"/>
          <w:lang w:bidi="fa-IR"/>
          <w:color w:val="111111"/>
          <w:sz w:val="28"/>
          <w:szCs w:val="28"/>
          <w:rtl/>
        </w:rPr>
        <w:t xml:space="preserve">هو ابن الحاج مؤمن بن الحاج باقر دراز من تجار تبارزه عباس‏آباد بأصفهان. ترجمه معاصره النصرآبادی فی (نر 5- ص 135) و ترجمه نقلا عنه فی (دجا- ص 351) و فی (گلشن- ص 430) أنه سافر إلی الهند مرارا و کذا فی (خوش‏گو) و یوجد منظومة مهر خاوری لمعصوم التبریزی فی (الرضویة).</w:t>
      </w:r>
    </w:p>
    <w:p>
      <w:pPr>
        <w:pStyle w:val="Heading3"/>
      </w:pPr>
      <w:bookmarkStart w:id="9198" w:name="_Toc7894"/>
      <w:r>
        <w:t>دیوان معصوم بهکری ترمذی‏</w:t>
      </w:r>
      <w:bookmarkEnd w:id="9198"/>
    </w:p>
    <w:p>
      <w:pPr>
        <w:pStyle w:val="BookText"/>
      </w:pPr>
      <w:r>
        <w:rPr>
          <w:rFonts w:ascii="IRNazanin" w:hAnsi="IRNazanin" w:eastAsia="IRNazanin" w:cs="IRNazanin"/>
          <w:lang w:bidi="fa-IR"/>
          <w:color w:val="111111"/>
          <w:sz w:val="28"/>
          <w:szCs w:val="28"/>
          <w:rtl/>
        </w:rPr>
        <w:t xml:space="preserve">راجع نامی بهکری.</w:t>
      </w:r>
    </w:p>
    <w:p>
      <w:pPr>
        <w:pStyle w:val="Heading3"/>
      </w:pPr>
      <w:bookmarkStart w:id="9199" w:name="_Toc7895"/>
      <w:r>
        <w:t>دیوان معصوم شوشتری‏</w:t>
      </w:r>
      <w:bookmarkEnd w:id="9199"/>
    </w:p>
    <w:p>
      <w:pPr>
        <w:pStyle w:val="BookText"/>
      </w:pPr>
      <w:r>
        <w:rPr>
          <w:rFonts w:ascii="IRNazanin" w:hAnsi="IRNazanin" w:eastAsia="IRNazanin" w:cs="IRNazanin"/>
          <w:lang w:bidi="fa-IR"/>
          <w:color w:val="111111"/>
          <w:sz w:val="28"/>
          <w:szCs w:val="28"/>
          <w:rtl/>
        </w:rPr>
        <w:t xml:space="preserve">مر بعنوان قاضی شوشتری فی ص 871 و ذکر فی (طبق 2:</w:t>
      </w:r>
    </w:p>
    <w:p>
      <w:pPr>
        <w:pStyle w:val="BookText"/>
      </w:pPr>
      <w:r>
        <w:rPr>
          <w:rFonts w:ascii="Times New Roman" w:hAnsi="Times New Roman" w:eastAsia="Times New Roman" w:cs="Times New Roman"/>
          <w:lang w:val="en-US" w:bidi="en-US"/>
          <w:color w:val="111111"/>
          <w:sz w:val="28"/>
          <w:szCs w:val="28"/>
          <w:rtl/>
        </w:rPr>
        <w:t xml:space="preserve">515.</w:t>
      </w:r>
    </w:p>
    <w:p>
      <w:pPr>
        <w:pStyle w:val="BookText"/>
      </w:pPr>
      <w:r>
        <w:rPr>
          <w:rFonts w:ascii="IRNazanin" w:hAnsi="IRNazanin" w:eastAsia="IRNazanin" w:cs="IRNazanin"/>
          <w:lang w:bidi="fa-IR"/>
          <w:color w:val="111111"/>
          <w:sz w:val="28"/>
          <w:szCs w:val="28"/>
          <w:rtl/>
        </w:rPr>
        <w:t xml:space="preserve">معصوم بن القاضی أبی المعالی اللاهوری و أورد شعره.</w:t>
      </w:r>
    </w:p>
    <w:p>
      <w:pPr>
        <w:pStyle w:val="Heading3"/>
      </w:pPr>
      <w:bookmarkStart w:id="9200" w:name="_Toc7896"/>
      <w:r>
        <w:t>دیوان معصوم دشتکی‏</w:t>
      </w:r>
      <w:bookmarkEnd w:id="9200"/>
    </w:p>
    <w:p>
      <w:pPr>
        <w:pStyle w:val="BookText"/>
      </w:pPr>
      <w:r>
        <w:rPr>
          <w:rFonts w:ascii="IRNazanin" w:hAnsi="IRNazanin" w:eastAsia="IRNazanin" w:cs="IRNazanin"/>
          <w:lang w:bidi="fa-IR"/>
          <w:color w:val="111111"/>
          <w:sz w:val="28"/>
          <w:szCs w:val="28"/>
          <w:rtl/>
        </w:rPr>
        <w:t xml:space="preserve">کما فی (سرو- ص 286) راجع علی خان المدنی فی ص 754. و طبع له الدرجات الرفیعة فی طبقات الشیعة فی النجف 1962 فی 596 ص.
</w:t>
      </w:r>
    </w:p>
    <w:p>
      <w:pPr>
        <w:sectPr>
          <w:footerReference w:type="default" r:id="rId1079"/>
          <w:footnotePr>
            <w:numStart w:val="1"/>
            <w:numRestart w:val="eachPage"/>
          </w:footnotePr>
          <w:pgSz w:orient="portrait" w:w="11905.511811023622" w:h="16837.79527559055"/>
          <w:pgMar w:top="1440" w:right="1440" w:bottom="1440" w:left="1440" w:header="720" w:footer="720" w:gutter="0"/>
          <w:cols w:num="1" w:space="720"/>
        </w:sectPr>
      </w:pPr>
    </w:p>
    <w:bookmarkStart w:id="1060" w:name="pg11704_122547"/>
    <w:bookmarkEnd w:id="1060"/>
    <w:p>
      <w:pPr>
        <w:pStyle w:val="BookText"/>
      </w:pPr>
      <w:r>
        <w:rPr>
          <w:rFonts w:ascii="IRNazanin" w:hAnsi="IRNazanin" w:eastAsia="IRNazanin" w:cs="IRNazanin"/>
          <w:lang w:bidi="fa-IR"/>
          <w:color w:val="111111"/>
          <w:sz w:val="28"/>
          <w:szCs w:val="28"/>
          <w:rtl/>
        </w:rPr>
        <w:t xml:space="preserve">مع مقدمه السید محمد صادق بحر العلوم.</w:t>
      </w:r>
    </w:p>
    <w:p>
      <w:pPr>
        <w:pStyle w:val="Heading3"/>
      </w:pPr>
      <w:bookmarkStart w:id="9201" w:name="_Toc7897"/>
      <w:r>
        <w:t>دیوان معصوم شیرازی‏</w:t>
      </w:r>
      <w:bookmarkEnd w:id="9201"/>
    </w:p>
    <w:p>
      <w:pPr>
        <w:pStyle w:val="BookText"/>
      </w:pPr>
      <w:r>
        <w:rPr>
          <w:rFonts w:ascii="IRNazanin" w:hAnsi="IRNazanin" w:eastAsia="IRNazanin" w:cs="IRNazanin"/>
          <w:lang w:bidi="fa-IR"/>
          <w:color w:val="111111"/>
          <w:sz w:val="28"/>
          <w:szCs w:val="28"/>
          <w:rtl/>
        </w:rPr>
        <w:t xml:space="preserve">المتخلص بمشرب کما مر فی ص 1046 و راجع السید علی خان فی ص 754.</w:t>
      </w:r>
    </w:p>
    <w:p>
      <w:pPr>
        <w:pStyle w:val="Heading3"/>
      </w:pPr>
      <w:bookmarkStart w:id="9202" w:name="_Toc7898"/>
      <w:r>
        <w:t>دیوان معصوم علی‏</w:t>
      </w:r>
      <w:bookmarkEnd w:id="9202"/>
    </w:p>
    <w:p>
      <w:pPr>
        <w:pStyle w:val="BookText"/>
      </w:pPr>
      <w:r>
        <w:rPr>
          <w:rFonts w:ascii="IRNazanin" w:hAnsi="IRNazanin" w:eastAsia="IRNazanin" w:cs="IRNazanin"/>
          <w:lang w:bidi="fa-IR"/>
          <w:color w:val="111111"/>
          <w:sz w:val="28"/>
          <w:szCs w:val="28"/>
          <w:rtl/>
        </w:rPr>
        <w:t xml:space="preserve">راجع دیوان تاجی اندجانی فی ص 165.</w:t>
      </w:r>
    </w:p>
    <w:p>
      <w:pPr>
        <w:pStyle w:val="Heading3"/>
      </w:pPr>
      <w:bookmarkStart w:id="9203" w:name="_Toc7899"/>
      <w:r>
        <w:t>6956- دیوان معصوم علی شاه أو شعره‏</w:t>
      </w:r>
      <w:bookmarkEnd w:id="9203"/>
    </w:p>
    <w:p>
      <w:pPr>
        <w:pStyle w:val="BookText"/>
      </w:pPr>
      <w:r>
        <w:rPr>
          <w:rFonts w:ascii="IRNazanin" w:hAnsi="IRNazanin" w:eastAsia="IRNazanin" w:cs="IRNazanin"/>
          <w:lang w:bidi="fa-IR"/>
          <w:color w:val="111111"/>
          <w:sz w:val="28"/>
          <w:szCs w:val="28"/>
          <w:rtl/>
        </w:rPr>
        <w:t xml:space="preserve">و اسمه معصوم بن زین العابدین بن نائب الصدر رحمت علی شاه القزوینی الشیرازی النعمةاللهی ولد 1270 و توفی 1344 له جنگل مولی و طرائق الحقائق فی تذکره الشعراء و العرفاء طبع فی مجلدین بطهران فی 1318 ثم أعید فی 1382. و ننقل نحن عن الطبع الأول فی قسم الشعر و الشعراء من الذریعة بعنوان (طرائق).</w:t>
      </w:r>
    </w:p>
    <w:p>
      <w:pPr>
        <w:pStyle w:val="Heading3"/>
      </w:pPr>
      <w:bookmarkStart w:id="9204" w:name="_Toc7900"/>
      <w:r>
        <w:t>6957- دیوان معصوم کاشانی أو شعره‏</w:t>
      </w:r>
      <w:bookmarkEnd w:id="9204"/>
    </w:p>
    <w:p>
      <w:pPr>
        <w:pStyle w:val="BookText"/>
      </w:pPr>
      <w:r>
        <w:rPr>
          <w:rFonts w:ascii="IRNazanin" w:hAnsi="IRNazanin" w:eastAsia="IRNazanin" w:cs="IRNazanin"/>
          <w:lang w:bidi="fa-IR"/>
          <w:color w:val="111111"/>
          <w:sz w:val="28"/>
          <w:szCs w:val="28"/>
          <w:rtl/>
        </w:rPr>
        <w:t xml:space="preserve">هو ابن المیر حیدر المعمائی الهمدانی الکاشانی. کان لوالده عقل المعاش علی خلاف ابنه و سافر برهة إلی هراة ثم إلی الهند و بها توفی کما ذکره معاصره النصرآبادی فی (نر 9- ص 250) و فی (سرو- ص 82) قال مات فی 1052 و قال محمد علی ماهر فی تاریخه [معصوم نزد حیدر و سنجر قدم نهاد] و فی (نتایج- ص 636) و (تش- ص 253) سمی والده رفیع الدین حیدر و ترجم أیضا فی (سرخوش- ص 110) و همیشه بهار. و یوجد شعره فی جنگ عند (فخر الدین).</w:t>
      </w:r>
    </w:p>
    <w:p>
      <w:pPr>
        <w:pStyle w:val="Heading3"/>
      </w:pPr>
      <w:bookmarkStart w:id="9205" w:name="_Toc7901"/>
      <w:r>
        <w:t>6958- دیوان معصوم لاری أو شعره‏</w:t>
      </w:r>
      <w:bookmarkEnd w:id="9205"/>
    </w:p>
    <w:p>
      <w:pPr>
        <w:pStyle w:val="BookText"/>
      </w:pPr>
      <w:r>
        <w:rPr>
          <w:rFonts w:ascii="IRNazanin" w:hAnsi="IRNazanin" w:eastAsia="IRNazanin" w:cs="IRNazanin"/>
          <w:lang w:bidi="fa-IR"/>
          <w:color w:val="111111"/>
          <w:sz w:val="28"/>
          <w:szCs w:val="28"/>
          <w:rtl/>
        </w:rPr>
        <w:t xml:space="preserve">و اسمه الحکیم الشاه معصوم الطبیب. أورد شعره فی تذکره الحزین ص 88 و ذکر ابنه شاه باقر الطبیب الماهر. و کذا فی (گلشن- ص 430).</w:t>
      </w:r>
    </w:p>
    <w:p>
      <w:pPr>
        <w:pStyle w:val="Heading3"/>
      </w:pPr>
      <w:bookmarkStart w:id="9206" w:name="_Toc7902"/>
      <w:r>
        <w:t>6959- دیوان معصوم لاهوری أو شعره‏</w:t>
      </w:r>
      <w:bookmarkEnd w:id="9206"/>
    </w:p>
    <w:p>
      <w:pPr>
        <w:pStyle w:val="BookText"/>
      </w:pPr>
      <w:r>
        <w:rPr>
          <w:rFonts w:ascii="IRNazanin" w:hAnsi="IRNazanin" w:eastAsia="IRNazanin" w:cs="IRNazanin"/>
          <w:lang w:bidi="fa-IR"/>
          <w:color w:val="111111"/>
          <w:sz w:val="28"/>
          <w:szCs w:val="28"/>
          <w:rtl/>
        </w:rPr>
        <w:t xml:space="preserve">هو ابن القاضی أبی المعالی. أورد شعره فی (طبق 2: 515) و (گلشن- ص 430) و (خوش‏گو) و لعله المذکور فی ص 871 بعنوان قاضی شوشتری.</w:t>
      </w:r>
    </w:p>
    <w:p>
      <w:pPr>
        <w:pStyle w:val="Heading3"/>
      </w:pPr>
      <w:bookmarkStart w:id="9207" w:name="_Toc7903"/>
      <w:r>
        <w:t>دیوان معصوم همدانی‏</w:t>
      </w:r>
      <w:bookmarkEnd w:id="9207"/>
    </w:p>
    <w:p>
      <w:pPr>
        <w:pStyle w:val="BookText"/>
      </w:pPr>
      <w:r>
        <w:rPr>
          <w:rFonts w:ascii="IRNazanin" w:hAnsi="IRNazanin" w:eastAsia="IRNazanin" w:cs="IRNazanin"/>
          <w:lang w:bidi="fa-IR"/>
          <w:color w:val="111111"/>
          <w:sz w:val="28"/>
          <w:szCs w:val="28"/>
          <w:rtl/>
        </w:rPr>
        <w:t xml:space="preserve">راجع معصوم کاشانی.</w:t>
      </w:r>
    </w:p>
    <w:p>
      <w:pPr>
        <w:pStyle w:val="Heading3"/>
      </w:pPr>
      <w:bookmarkStart w:id="9208" w:name="_Toc7904"/>
      <w:r>
        <w:t>6960- دیوان معصومی گنابادی‏</w:t>
      </w:r>
      <w:bookmarkEnd w:id="9208"/>
    </w:p>
    <w:p>
      <w:pPr>
        <w:pStyle w:val="BookText"/>
      </w:pPr>
      <w:r>
        <w:rPr>
          <w:rFonts w:ascii="IRNazanin" w:hAnsi="IRNazanin" w:eastAsia="IRNazanin" w:cs="IRNazanin"/>
          <w:lang w:bidi="fa-IR"/>
          <w:color w:val="111111"/>
          <w:sz w:val="28"/>
          <w:szCs w:val="28"/>
          <w:rtl/>
        </w:rPr>
        <w:t xml:space="preserve">و هو الحاج الشیخ علی الگنابادی المتخلص معصومی ولد 1301 و توفی 7 صفر 1379. له منظومة الإرشادیة و توشه قبر
</w:t>
      </w:r>
    </w:p>
    <w:p>
      <w:pPr>
        <w:sectPr>
          <w:footerReference w:type="default" r:id="rId1080"/>
          <w:footnotePr>
            <w:numStart w:val="1"/>
            <w:numRestart w:val="eachPage"/>
          </w:footnotePr>
          <w:pgSz w:orient="portrait" w:w="11905.511811023622" w:h="16837.79527559055"/>
          <w:pgMar w:top="1440" w:right="1440" w:bottom="1440" w:left="1440" w:header="720" w:footer="720" w:gutter="0"/>
          <w:cols w:num="1" w:space="720"/>
        </w:sectPr>
      </w:pPr>
    </w:p>
    <w:bookmarkStart w:id="1061" w:name="pg11704_122548"/>
    <w:bookmarkEnd w:id="1061"/>
    <w:p>
      <w:pPr>
        <w:pStyle w:val="BookText"/>
      </w:pPr>
      <w:r>
        <w:rPr>
          <w:rFonts w:ascii="IRNazanin" w:hAnsi="IRNazanin" w:eastAsia="IRNazanin" w:cs="IRNazanin"/>
          <w:lang w:bidi="fa-IR"/>
          <w:color w:val="111111"/>
          <w:sz w:val="28"/>
          <w:szCs w:val="28"/>
          <w:rtl/>
        </w:rPr>
        <w:t xml:space="preserve">و مناجات‏نامه.</w:t>
      </w:r>
    </w:p>
    <w:p>
      <w:pPr>
        <w:pStyle w:val="Heading3"/>
      </w:pPr>
      <w:bookmarkStart w:id="9209" w:name="_Toc7905"/>
      <w:r>
        <w:t>6961- دیوان معطر کرمانی‏</w:t>
      </w:r>
      <w:bookmarkEnd w:id="9209"/>
    </w:p>
    <w:p>
      <w:pPr>
        <w:pStyle w:val="BookText"/>
      </w:pPr>
      <w:r>
        <w:rPr>
          <w:rFonts w:ascii="IRNazanin" w:hAnsi="IRNazanin" w:eastAsia="IRNazanin" w:cs="IRNazanin"/>
          <w:lang w:bidi="fa-IR"/>
          <w:color w:val="111111"/>
          <w:sz w:val="28"/>
          <w:szCs w:val="28"/>
          <w:rtl/>
        </w:rPr>
        <w:t xml:space="preserve">اسمه المولی محمد مهدی بن محمد شفیع من أحفاد الشیخ محمود الشبستری، و المتوفی بطهران 1217 و دفن فی مزار السید نصر الدین.</w:t>
      </w:r>
    </w:p>
    <w:p>
      <w:pPr>
        <w:pStyle w:val="BookText"/>
      </w:pPr>
      <w:r>
        <w:rPr>
          <w:rFonts w:ascii="IRNazanin" w:hAnsi="IRNazanin" w:eastAsia="IRNazanin" w:cs="IRNazanin"/>
          <w:lang w:bidi="fa-IR"/>
          <w:color w:val="111111"/>
          <w:sz w:val="28"/>
          <w:szCs w:val="28"/>
          <w:rtl/>
        </w:rPr>
        <w:t xml:space="preserve">ترجمه فی (ض- ص 538) و أورد رباعیه و یلقب معطر علی شاه کما فی نور الابصار- ص 44 و (طرائق 3: 94).</w:t>
      </w:r>
    </w:p>
    <w:p>
      <w:pPr>
        <w:pStyle w:val="Heading3"/>
      </w:pPr>
      <w:bookmarkStart w:id="9210" w:name="_Toc7906"/>
      <w:r>
        <w:t>6962- دیوان معظم أکبرآبادی أو شعره‏</w:t>
      </w:r>
      <w:bookmarkEnd w:id="9210"/>
    </w:p>
    <w:p>
      <w:pPr>
        <w:pStyle w:val="BookText"/>
      </w:pPr>
      <w:r>
        <w:rPr>
          <w:rFonts w:ascii="IRNazanin" w:hAnsi="IRNazanin" w:eastAsia="IRNazanin" w:cs="IRNazanin"/>
          <w:lang w:bidi="fa-IR"/>
          <w:color w:val="111111"/>
          <w:sz w:val="28"/>
          <w:szCs w:val="28"/>
          <w:rtl/>
        </w:rPr>
        <w:t xml:space="preserve">و اسمه محمد معظم. أورد شعره فی (گلشن- ص 431) و عنه فی القاموس الترکی.</w:t>
      </w:r>
    </w:p>
    <w:p>
      <w:pPr>
        <w:pStyle w:val="Heading3"/>
      </w:pPr>
      <w:bookmarkStart w:id="9211" w:name="_Toc7907"/>
      <w:r>
        <w:t>6963- دیوان معظم بهاری أو شعره‏</w:t>
      </w:r>
      <w:bookmarkEnd w:id="9211"/>
    </w:p>
    <w:p>
      <w:pPr>
        <w:pStyle w:val="BookText"/>
      </w:pPr>
      <w:r>
        <w:rPr>
          <w:rFonts w:ascii="IRNazanin" w:hAnsi="IRNazanin" w:eastAsia="IRNazanin" w:cs="IRNazanin"/>
          <w:lang w:bidi="fa-IR"/>
          <w:color w:val="111111"/>
          <w:sz w:val="28"/>
          <w:szCs w:val="28"/>
          <w:rtl/>
        </w:rPr>
        <w:t xml:space="preserve">و اسمه معظم علی خان. أورد شعره فی (گلشن- ص 431) و عنه فی القاموس الترکی.</w:t>
      </w:r>
    </w:p>
    <w:p>
      <w:pPr>
        <w:pStyle w:val="Heading3"/>
      </w:pPr>
      <w:bookmarkStart w:id="9212" w:name="_Toc7908"/>
      <w:r>
        <w:t>6964- دیوان معظم السلطنة</w:t>
      </w:r>
      <w:bookmarkEnd w:id="9212"/>
    </w:p>
    <w:p>
      <w:pPr>
        <w:pStyle w:val="BookText"/>
      </w:pPr>
      <w:r>
        <w:rPr>
          <w:rFonts w:ascii="IRNazanin" w:hAnsi="IRNazanin" w:eastAsia="IRNazanin" w:cs="IRNazanin"/>
          <w:lang w:bidi="fa-IR"/>
          <w:color w:val="111111"/>
          <w:sz w:val="28"/>
          <w:szCs w:val="28"/>
          <w:rtl/>
        </w:rPr>
        <w:t xml:space="preserve">و اسمه موسی معظم السلطنة دولت ابن إسماعیل اعتصام لشکر. طبع له فرمانروایان ایران نظما فی إستانبول فی 1340.</w:t>
      </w:r>
    </w:p>
    <w:p>
      <w:pPr>
        <w:pStyle w:val="Heading3"/>
      </w:pPr>
      <w:bookmarkStart w:id="9213" w:name="_Toc7909"/>
      <w:r>
        <w:t>6965- دیوان معلم حبیب‏آبادی‏</w:t>
      </w:r>
      <w:bookmarkEnd w:id="9213"/>
    </w:p>
    <w:p>
      <w:pPr>
        <w:pStyle w:val="BookText"/>
      </w:pPr>
      <w:r>
        <w:rPr>
          <w:rFonts w:ascii="IRNazanin" w:hAnsi="IRNazanin" w:eastAsia="IRNazanin" w:cs="IRNazanin"/>
          <w:lang w:bidi="fa-IR"/>
          <w:color w:val="111111"/>
          <w:sz w:val="28"/>
          <w:szCs w:val="28"/>
          <w:rtl/>
        </w:rPr>
        <w:t xml:space="preserve">و هو المیرزا محمد علی بن زین العابدین الحبیب‏آبادی الأصفهانی ولد 1308 و یسکن الیوم مدرسة کاسه‏گران و یدرس بها. و کان یدیر مکتبة بلدیة أصفهان و اعتزل عنها أخیرا. ترجم أحواله مفصلا السید محمد علی الروضاتی فی کتابه زندگانی حضرت آیة الله چهار سوقی- ص 144- 148 و ذکر له أربع و ستین تألیفا طبع منها مکارم الآثار المجلد الأول لسنوات 1193 إلی 1205 فیها أحوال رجال تلک السنوات. فی 248 ص. و کذا ترجم فی (شعرای أصفهان- ص 458) و رأیت عنده” صاحب شعرای أصفهان” بأصفهان. ثلاث مجلدات من دیوانه یشتمل علی عشرة آلاف بیت فیها مراثی العلماء و تواریخ وفیاتهم نظما، و کتب. لنا أنه شرع فی نظمها من 1324 و کان یتخلص سابقا مستعصم ثم آذر ثم معلم.</w:t>
      </w:r>
    </w:p>
    <w:p>
      <w:pPr>
        <w:pStyle w:val="Heading3"/>
      </w:pPr>
      <w:bookmarkStart w:id="9214" w:name="_Toc7910"/>
      <w:r>
        <w:t>6966- دیوان معلم قاری‏</w:t>
      </w:r>
      <w:bookmarkEnd w:id="9214"/>
    </w:p>
    <w:p>
      <w:pPr>
        <w:pStyle w:val="BookText"/>
      </w:pPr>
      <w:r>
        <w:rPr>
          <w:rFonts w:ascii="IRNazanin" w:hAnsi="IRNazanin" w:eastAsia="IRNazanin" w:cs="IRNazanin"/>
          <w:lang w:bidi="fa-IR"/>
          <w:color w:val="111111"/>
          <w:sz w:val="28"/>
          <w:szCs w:val="28"/>
          <w:rtl/>
        </w:rPr>
        <w:t xml:space="preserve">للمولی محسن بن سمیع بن حسین المدرس بشیراز ابن علم الهدی ابن الفیض الکاشانی مر له أرجوزات خلاصة الأصول و أرجوزة الأصول فی 1: 459 و درر البهیة فی 8: 121</w:t>
      </w:r>
    </w:p>
    <w:p>
      <w:pPr>
        <w:pStyle w:val="Heading3"/>
      </w:pPr>
      <w:bookmarkStart w:id="9215" w:name="_Toc7911"/>
      <w:r>
        <w:t>6967- دیوان معلم کاشانی أو شعره‏</w:t>
      </w:r>
      <w:bookmarkEnd w:id="9215"/>
    </w:p>
    <w:p>
      <w:pPr>
        <w:pStyle w:val="BookText"/>
      </w:pPr>
      <w:r>
        <w:rPr>
          <w:rFonts w:ascii="IRNazanin" w:hAnsi="IRNazanin" w:eastAsia="IRNazanin" w:cs="IRNazanin"/>
          <w:lang w:bidi="fa-IR"/>
          <w:color w:val="111111"/>
          <w:sz w:val="28"/>
          <w:szCs w:val="28"/>
          <w:rtl/>
        </w:rPr>
        <w:t xml:space="preserve">و اسمه میر جعفر کان معلما أورد النصرآبادی شعره فی (نر 9- ص 297)
</w:t>
      </w:r>
    </w:p>
    <w:p>
      <w:pPr>
        <w:sectPr>
          <w:footerReference w:type="default" r:id="rId1081"/>
          <w:footnotePr>
            <w:numStart w:val="1"/>
            <w:numRestart w:val="eachPage"/>
          </w:footnotePr>
          <w:pgSz w:orient="portrait" w:w="11905.511811023622" w:h="16837.79527559055"/>
          <w:pgMar w:top="1440" w:right="1440" w:bottom="1440" w:left="1440" w:header="720" w:footer="720" w:gutter="0"/>
          <w:cols w:num="1" w:space="720"/>
        </w:sectPr>
      </w:pPr>
    </w:p>
    <w:bookmarkStart w:id="1062" w:name="pg11704_122549"/>
    <w:bookmarkEnd w:id="1062"/>
    <w:p>
      <w:pPr>
        <w:pStyle w:val="Heading3"/>
      </w:pPr>
      <w:bookmarkStart w:id="9216" w:name="_Toc7912"/>
      <w:r>
        <w:t>6968- دیوان معلم لاهیجی أو شعره‏</w:t>
      </w:r>
      <w:bookmarkEnd w:id="9216"/>
    </w:p>
    <w:p>
      <w:pPr>
        <w:pStyle w:val="BookText"/>
      </w:pPr>
      <w:r>
        <w:rPr>
          <w:rFonts w:ascii="IRNazanin" w:hAnsi="IRNazanin" w:eastAsia="IRNazanin" w:cs="IRNazanin"/>
          <w:lang w:bidi="fa-IR"/>
          <w:color w:val="111111"/>
          <w:sz w:val="28"/>
          <w:szCs w:val="28"/>
          <w:rtl/>
        </w:rPr>
        <w:t xml:space="preserve">ترجمه و أورد شعره معاصره فی (تس 2- ص 51) و قال اسمه القاضی شمس الدین‏</w:t>
      </w:r>
    </w:p>
    <w:p>
      <w:pPr>
        <w:pStyle w:val="Heading3"/>
      </w:pPr>
      <w:bookmarkStart w:id="9217" w:name="_Toc7913"/>
      <w:r>
        <w:t>6969- دیوان معلوم تبریزی‏</w:t>
      </w:r>
      <w:bookmarkEnd w:id="9217"/>
    </w:p>
    <w:p>
      <w:pPr>
        <w:pStyle w:val="BookText"/>
      </w:pPr>
      <w:r>
        <w:rPr>
          <w:rFonts w:ascii="IRNazanin" w:hAnsi="IRNazanin" w:eastAsia="IRNazanin" w:cs="IRNazanin"/>
          <w:lang w:bidi="fa-IR"/>
          <w:color w:val="111111"/>
          <w:sz w:val="28"/>
          <w:szCs w:val="28"/>
          <w:rtl/>
        </w:rPr>
        <w:t xml:space="preserve">و اسمه محمد حسین بیک ترجمه النصرآبادی فی (نر 9- ص 287) و قال إن مولانا محمد سعید بن العلامی المولی محمد صالح المازندرانی کتب بخطه مجموعة أوان کونه فی الهند و أدرج فیها کثیرا من أشعار هذا الشاعر ثم أورد النصرآبادی نیفا و عشرة أبیات منها، و کذا فی (تش- ص 34) و شمع انجمن و (دجا- ص 351) و (روشن- ص 636)</w:t>
      </w:r>
    </w:p>
    <w:p>
      <w:pPr>
        <w:pStyle w:val="Heading3"/>
      </w:pPr>
      <w:bookmarkStart w:id="9218" w:name="_Toc7914"/>
      <w:r>
        <w:t>دیوان معمار</w:t>
      </w:r>
      <w:bookmarkEnd w:id="9218"/>
    </w:p>
    <w:p>
      <w:pPr>
        <w:pStyle w:val="BookText"/>
      </w:pPr>
      <w:r>
        <w:rPr>
          <w:rFonts w:ascii="IRNazanin" w:hAnsi="IRNazanin" w:eastAsia="IRNazanin" w:cs="IRNazanin"/>
          <w:lang w:bidi="fa-IR"/>
          <w:color w:val="111111"/>
          <w:sz w:val="28"/>
          <w:szCs w:val="28"/>
          <w:rtl/>
        </w:rPr>
        <w:t xml:space="preserve">راجع مظفر معمار فی ص 1062</w:t>
      </w:r>
    </w:p>
    <w:p>
      <w:pPr>
        <w:pStyle w:val="Heading3"/>
      </w:pPr>
      <w:bookmarkStart w:id="9219" w:name="_Toc7915"/>
      <w:r>
        <w:t>دیوان معمایی أسترآبادی‏</w:t>
      </w:r>
      <w:bookmarkEnd w:id="9219"/>
    </w:p>
    <w:p>
      <w:pPr>
        <w:pStyle w:val="BookText"/>
      </w:pPr>
      <w:r>
        <w:rPr>
          <w:rFonts w:ascii="IRNazanin" w:hAnsi="IRNazanin" w:eastAsia="IRNazanin" w:cs="IRNazanin"/>
          <w:lang w:bidi="fa-IR"/>
          <w:color w:val="111111"/>
          <w:sz w:val="28"/>
          <w:szCs w:val="28"/>
          <w:rtl/>
        </w:rPr>
        <w:t xml:space="preserve">راجع نظام أسترآبادی‏</w:t>
      </w:r>
    </w:p>
    <w:p>
      <w:pPr>
        <w:pStyle w:val="Heading3"/>
      </w:pPr>
      <w:bookmarkStart w:id="9220" w:name="_Toc7916"/>
      <w:r>
        <w:t>دیوان معمایی خراسانی‏</w:t>
      </w:r>
      <w:bookmarkEnd w:id="9220"/>
    </w:p>
    <w:p>
      <w:pPr>
        <w:pStyle w:val="BookText"/>
      </w:pPr>
      <w:r>
        <w:rPr>
          <w:rFonts w:ascii="IRNazanin" w:hAnsi="IRNazanin" w:eastAsia="IRNazanin" w:cs="IRNazanin"/>
          <w:lang w:bidi="fa-IR"/>
          <w:color w:val="111111"/>
          <w:sz w:val="28"/>
          <w:szCs w:val="28"/>
          <w:rtl/>
        </w:rPr>
        <w:t xml:space="preserve">راجع محمد معمایی فی ص 1005</w:t>
      </w:r>
    </w:p>
    <w:p>
      <w:pPr>
        <w:pStyle w:val="Heading3"/>
      </w:pPr>
      <w:bookmarkStart w:id="9221" w:name="_Toc7917"/>
      <w:r>
        <w:t>دیوان معمایی کاشانی‏</w:t>
      </w:r>
      <w:bookmarkEnd w:id="9221"/>
    </w:p>
    <w:p>
      <w:pPr>
        <w:pStyle w:val="BookText"/>
      </w:pPr>
      <w:r>
        <w:rPr>
          <w:rFonts w:ascii="IRNazanin" w:hAnsi="IRNazanin" w:eastAsia="IRNazanin" w:cs="IRNazanin"/>
          <w:lang w:bidi="fa-IR"/>
          <w:color w:val="111111"/>
          <w:sz w:val="28"/>
          <w:szCs w:val="28"/>
          <w:rtl/>
        </w:rPr>
        <w:t xml:space="preserve">راجع دیوان رفیعی کاشانی فی ص 380 و سنجر ابنه فی ص 472 و (نتایج- ص 263) و (سرو- ص 26)</w:t>
      </w:r>
    </w:p>
    <w:p>
      <w:pPr>
        <w:pStyle w:val="Heading3"/>
      </w:pPr>
      <w:bookmarkStart w:id="9222" w:name="_Toc7918"/>
      <w:r>
        <w:t>دیوان معمایی ما وراء النهری‏</w:t>
      </w:r>
      <w:bookmarkEnd w:id="9222"/>
    </w:p>
    <w:p>
      <w:pPr>
        <w:pStyle w:val="BookText"/>
      </w:pPr>
      <w:r>
        <w:rPr>
          <w:rFonts w:ascii="IRNazanin" w:hAnsi="IRNazanin" w:eastAsia="IRNazanin" w:cs="IRNazanin"/>
          <w:lang w:bidi="fa-IR"/>
          <w:color w:val="111111"/>
          <w:sz w:val="28"/>
          <w:szCs w:val="28"/>
          <w:rtl/>
        </w:rPr>
        <w:t xml:space="preserve">راجع کلان معمایی فی ص 914</w:t>
      </w:r>
    </w:p>
    <w:p>
      <w:pPr>
        <w:pStyle w:val="Heading3"/>
      </w:pPr>
      <w:bookmarkStart w:id="9223" w:name="_Toc7919"/>
      <w:r>
        <w:t>دیوان معمایی نیشابوری‏</w:t>
      </w:r>
      <w:bookmarkEnd w:id="9223"/>
    </w:p>
    <w:p>
      <w:pPr>
        <w:pStyle w:val="BookText"/>
      </w:pPr>
      <w:r>
        <w:rPr>
          <w:rFonts w:ascii="IRNazanin" w:hAnsi="IRNazanin" w:eastAsia="IRNazanin" w:cs="IRNazanin"/>
          <w:lang w:bidi="fa-IR"/>
          <w:color w:val="111111"/>
          <w:sz w:val="28"/>
          <w:szCs w:val="28"/>
          <w:rtl/>
        </w:rPr>
        <w:t xml:space="preserve">راجع حسین معمایی فی ص 253</w:t>
      </w:r>
    </w:p>
    <w:p>
      <w:pPr>
        <w:pStyle w:val="Heading3"/>
      </w:pPr>
      <w:bookmarkStart w:id="9224" w:name="_Toc7920"/>
      <w:r>
        <w:t>دیوان معمایی هروی‏</w:t>
      </w:r>
      <w:bookmarkEnd w:id="9224"/>
    </w:p>
    <w:p>
      <w:pPr>
        <w:pStyle w:val="BookText"/>
      </w:pPr>
      <w:r>
        <w:rPr>
          <w:rFonts w:ascii="IRNazanin" w:hAnsi="IRNazanin" w:eastAsia="IRNazanin" w:cs="IRNazanin"/>
          <w:lang w:bidi="fa-IR"/>
          <w:color w:val="111111"/>
          <w:sz w:val="28"/>
          <w:szCs w:val="28"/>
          <w:rtl/>
        </w:rPr>
        <w:t xml:space="preserve">راجع حقیری هروی فی ص 259 و شهاب هروی فی ص 556</w:t>
      </w:r>
    </w:p>
    <w:p>
      <w:pPr>
        <w:pStyle w:val="Heading3"/>
      </w:pPr>
      <w:bookmarkStart w:id="9225" w:name="_Toc7921"/>
      <w:r>
        <w:t>دیوان معمایی یزدی‏</w:t>
      </w:r>
      <w:bookmarkEnd w:id="9225"/>
    </w:p>
    <w:p>
      <w:pPr>
        <w:pStyle w:val="BookText"/>
      </w:pPr>
      <w:r>
        <w:rPr>
          <w:rFonts w:ascii="IRNazanin" w:hAnsi="IRNazanin" w:eastAsia="IRNazanin" w:cs="IRNazanin"/>
          <w:lang w:bidi="fa-IR"/>
          <w:color w:val="111111"/>
          <w:sz w:val="28"/>
          <w:szCs w:val="28"/>
          <w:rtl/>
        </w:rPr>
        <w:t xml:space="preserve">راجع شرف یزدی فی ص 517</w:t>
      </w:r>
    </w:p>
    <w:p>
      <w:pPr>
        <w:pStyle w:val="Heading3"/>
      </w:pPr>
      <w:bookmarkStart w:id="9226" w:name="_Toc7922"/>
      <w:r>
        <w:t>6970- دیوان معمیات‏</w:t>
      </w:r>
      <w:bookmarkEnd w:id="9226"/>
    </w:p>
    <w:p>
      <w:pPr>
        <w:pStyle w:val="BookText"/>
      </w:pPr>
      <w:r>
        <w:rPr>
          <w:rFonts w:ascii="IRNazanin" w:hAnsi="IRNazanin" w:eastAsia="IRNazanin" w:cs="IRNazanin"/>
          <w:lang w:bidi="fa-IR"/>
          <w:color w:val="111111"/>
          <w:sz w:val="28"/>
          <w:szCs w:val="28"/>
          <w:rtl/>
        </w:rPr>
        <w:t xml:space="preserve">لکل واحد من المعمائیین المذکورین و غیرهم و أکثرهم من شعراء هرات فی القرنین التاسع و العاشر مجموعة من المعمیات، یسمی بدیوان معمیات و یضاف إلی اسمه، و لمحتشم کاشانی أیضا دیوان معمیات‏</w:t>
      </w:r>
    </w:p>
    <w:p>
      <w:pPr>
        <w:pStyle w:val="Heading3"/>
      </w:pPr>
      <w:bookmarkStart w:id="9227" w:name="_Toc7923"/>
      <w:r>
        <w:t>6971- دیوان معمری گرگانی أو شعره‏</w:t>
      </w:r>
      <w:bookmarkEnd w:id="9227"/>
    </w:p>
    <w:p>
      <w:pPr>
        <w:pStyle w:val="BookText"/>
      </w:pPr>
      <w:r>
        <w:rPr>
          <w:rFonts w:ascii="IRNazanin" w:hAnsi="IRNazanin" w:eastAsia="IRNazanin" w:cs="IRNazanin"/>
          <w:lang w:bidi="fa-IR"/>
          <w:color w:val="111111"/>
          <w:sz w:val="28"/>
          <w:szCs w:val="28"/>
          <w:rtl/>
        </w:rPr>
        <w:t xml:space="preserve">و هو أبو زرعة الجرجانی من شعراء القرن الرابع ترجمه و أورد شعره العوفی فی (لب) و (مع 1: 82) و (روشن- ص 18)</w:t>
      </w:r>
    </w:p>
    <w:p>
      <w:pPr>
        <w:pStyle w:val="Heading3"/>
      </w:pPr>
      <w:bookmarkStart w:id="9228" w:name="_Toc7924"/>
      <w:r>
        <w:t>6972- دیوان معنوی بخارائی أو شعره‏</w:t>
      </w:r>
      <w:bookmarkEnd w:id="9228"/>
    </w:p>
    <w:p>
      <w:pPr>
        <w:pStyle w:val="BookText"/>
      </w:pPr>
      <w:r>
        <w:rPr>
          <w:rFonts w:ascii="IRNazanin" w:hAnsi="IRNazanin" w:eastAsia="IRNazanin" w:cs="IRNazanin"/>
          <w:lang w:bidi="fa-IR"/>
          <w:color w:val="111111"/>
          <w:sz w:val="28"/>
          <w:szCs w:val="28"/>
          <w:rtl/>
        </w:rPr>
        <w:t xml:space="preserve">کان من شعراء آل سامان ترجمه و أورد شعره العوفی فی (لب) و هفت إقلیم و (مع 1: 510) و سخن و سخنوران 1: 28</w:t>
      </w:r>
    </w:p>
    <w:p>
      <w:pPr>
        <w:pStyle w:val="Heading3"/>
      </w:pPr>
      <w:bookmarkStart w:id="9229" w:name="_Toc7925"/>
      <w:r>
        <w:t>6973- دیوان معنوی بخارائی أو شعره‏</w:t>
      </w:r>
      <w:bookmarkEnd w:id="9229"/>
    </w:p>
    <w:p>
      <w:pPr>
        <w:pStyle w:val="BookText"/>
      </w:pPr>
      <w:r>
        <w:rPr>
          <w:rFonts w:ascii="IRNazanin" w:hAnsi="IRNazanin" w:eastAsia="IRNazanin" w:cs="IRNazanin"/>
          <w:lang w:bidi="fa-IR"/>
          <w:color w:val="111111"/>
          <w:sz w:val="28"/>
          <w:szCs w:val="28"/>
          <w:rtl/>
        </w:rPr>
        <w:t xml:space="preserve">و هو الخواجة عبد اللطیف من أولاد
</w:t>
      </w:r>
    </w:p>
    <w:p>
      <w:pPr>
        <w:sectPr>
          <w:footerReference w:type="default" r:id="rId1082"/>
          <w:footnotePr>
            <w:numStart w:val="1"/>
            <w:numRestart w:val="eachPage"/>
          </w:footnotePr>
          <w:pgSz w:orient="portrait" w:w="11905.511811023622" w:h="16837.79527559055"/>
          <w:pgMar w:top="1440" w:right="1440" w:bottom="1440" w:left="1440" w:header="720" w:footer="720" w:gutter="0"/>
          <w:cols w:num="1" w:space="720"/>
        </w:sectPr>
      </w:pPr>
    </w:p>
    <w:bookmarkStart w:id="1063" w:name="pg11704_122550"/>
    <w:bookmarkEnd w:id="1063"/>
    <w:p>
      <w:pPr>
        <w:pStyle w:val="BookText"/>
      </w:pPr>
      <w:r>
        <w:rPr>
          <w:rFonts w:ascii="IRNazanin" w:hAnsi="IRNazanin" w:eastAsia="IRNazanin" w:cs="IRNazanin"/>
          <w:lang w:bidi="fa-IR"/>
          <w:color w:val="111111"/>
          <w:sz w:val="28"/>
          <w:szCs w:val="28"/>
          <w:rtl/>
        </w:rPr>
        <w:t xml:space="preserve">الخواجة عبید الله أحرار ترجمه و أورد شعره فی (گلشن- ص 431) و عنه فی القاموس الترکی‏</w:t>
      </w:r>
    </w:p>
    <w:p>
      <w:pPr>
        <w:pStyle w:val="Heading3"/>
      </w:pPr>
      <w:bookmarkStart w:id="9230" w:name="_Toc7926"/>
      <w:r>
        <w:t>6974- دیوان معنوی جونپوری أو شعره‏</w:t>
      </w:r>
      <w:bookmarkEnd w:id="9230"/>
    </w:p>
    <w:p>
      <w:pPr>
        <w:pStyle w:val="BookText"/>
      </w:pPr>
      <w:r>
        <w:rPr>
          <w:rFonts w:ascii="IRNazanin" w:hAnsi="IRNazanin" w:eastAsia="IRNazanin" w:cs="IRNazanin"/>
          <w:lang w:bidi="fa-IR"/>
          <w:color w:val="111111"/>
          <w:sz w:val="28"/>
          <w:szCs w:val="28"/>
          <w:rtl/>
        </w:rPr>
        <w:t xml:space="preserve">و اسمه المیر عطا ابن المیر علی عادل الجونپوری أورد شعره فی (روشن- ص 462) بعنوان عطائی و فی (خوش‏گو) بعنوان عطاء و فی (میخانه) أن تخلصه معنوی‏</w:t>
      </w:r>
    </w:p>
    <w:p>
      <w:pPr>
        <w:pStyle w:val="Heading3"/>
      </w:pPr>
      <w:bookmarkStart w:id="9231" w:name="_Toc7927"/>
      <w:r>
        <w:t>دیوان معنوی رومی‏</w:t>
      </w:r>
      <w:bookmarkEnd w:id="9231"/>
    </w:p>
    <w:p>
      <w:pPr>
        <w:pStyle w:val="BookText"/>
      </w:pPr>
      <w:r>
        <w:rPr>
          <w:rFonts w:ascii="IRNazanin" w:hAnsi="IRNazanin" w:eastAsia="IRNazanin" w:cs="IRNazanin"/>
          <w:lang w:bidi="fa-IR"/>
          <w:color w:val="111111"/>
          <w:sz w:val="28"/>
          <w:szCs w:val="28"/>
          <w:rtl/>
        </w:rPr>
        <w:t xml:space="preserve">راجع دیوان مولوی رومی و شمس تبریزی‏</w:t>
      </w:r>
    </w:p>
    <w:p>
      <w:pPr>
        <w:pStyle w:val="Heading3"/>
      </w:pPr>
      <w:bookmarkStart w:id="9232" w:name="_Toc7928"/>
      <w:r>
        <w:t>6975- دیوان معنوی هروی أو شعره‏</w:t>
      </w:r>
      <w:bookmarkEnd w:id="9232"/>
    </w:p>
    <w:p>
      <w:pPr>
        <w:pStyle w:val="BookText"/>
      </w:pPr>
      <w:r>
        <w:rPr>
          <w:rFonts w:ascii="IRNazanin" w:hAnsi="IRNazanin" w:eastAsia="IRNazanin" w:cs="IRNazanin"/>
          <w:lang w:bidi="fa-IR"/>
          <w:color w:val="111111"/>
          <w:sz w:val="28"/>
          <w:szCs w:val="28"/>
          <w:rtl/>
        </w:rPr>
        <w:t xml:space="preserve">أورد شعره فی (گلشن- ص 431) و عنه فی القاموس الترکی‏</w:t>
      </w:r>
    </w:p>
    <w:p>
      <w:pPr>
        <w:pStyle w:val="Heading3"/>
      </w:pPr>
      <w:bookmarkStart w:id="9233" w:name="_Toc7929"/>
      <w:r>
        <w:t>6976- دیوان معنی أسترآبادی أو شعره‏</w:t>
      </w:r>
      <w:bookmarkEnd w:id="9233"/>
    </w:p>
    <w:p>
      <w:pPr>
        <w:pStyle w:val="BookText"/>
      </w:pPr>
      <w:r>
        <w:rPr>
          <w:rFonts w:ascii="IRNazanin" w:hAnsi="IRNazanin" w:eastAsia="IRNazanin" w:cs="IRNazanin"/>
          <w:lang w:bidi="fa-IR"/>
          <w:color w:val="111111"/>
          <w:sz w:val="28"/>
          <w:szCs w:val="28"/>
          <w:rtl/>
        </w:rPr>
        <w:t xml:space="preserve">ترجمه و أورد شعره فی (خوش‏گو) و قال هو من شعراء السلطان یعقوب‏</w:t>
      </w:r>
    </w:p>
    <w:p>
      <w:pPr>
        <w:pStyle w:val="Heading3"/>
      </w:pPr>
      <w:bookmarkStart w:id="9234" w:name="_Toc7930"/>
      <w:r>
        <w:t>6977- دیوان معنی أکبرآبادی أو شعره‏</w:t>
      </w:r>
      <w:bookmarkEnd w:id="9234"/>
    </w:p>
    <w:p>
      <w:pPr>
        <w:pStyle w:val="BookText"/>
      </w:pPr>
      <w:r>
        <w:rPr>
          <w:rFonts w:ascii="IRNazanin" w:hAnsi="IRNazanin" w:eastAsia="IRNazanin" w:cs="IRNazanin"/>
          <w:lang w:bidi="fa-IR"/>
          <w:color w:val="111111"/>
          <w:sz w:val="28"/>
          <w:szCs w:val="28"/>
          <w:rtl/>
        </w:rPr>
        <w:t xml:space="preserve">و اسمه میان منگلی ابن محمد مکارم الهندی من شعراء شاه عالم أورد شعره فی (گلشن- ص 432)</w:t>
      </w:r>
    </w:p>
    <w:p>
      <w:pPr>
        <w:pStyle w:val="Heading3"/>
      </w:pPr>
      <w:bookmarkStart w:id="9235" w:name="_Toc7931"/>
      <w:r>
        <w:t>6978- دیوان معنی پنجابی أو شعره‏</w:t>
      </w:r>
      <w:bookmarkEnd w:id="9235"/>
    </w:p>
    <w:p>
      <w:pPr>
        <w:pStyle w:val="BookText"/>
      </w:pPr>
      <w:r>
        <w:rPr>
          <w:rFonts w:ascii="IRNazanin" w:hAnsi="IRNazanin" w:eastAsia="IRNazanin" w:cs="IRNazanin"/>
          <w:lang w:bidi="fa-IR"/>
          <w:color w:val="111111"/>
          <w:sz w:val="28"/>
          <w:szCs w:val="28"/>
          <w:rtl/>
        </w:rPr>
        <w:t xml:space="preserve">و هو الشیخ محمد مسعود بن محمد معصوم الخطاط بالنستعلیق الپنجابی أورد شعره فی (گلشن- ص 431) و هو فی القرن الثانی عشر</w:t>
      </w:r>
    </w:p>
    <w:p>
      <w:pPr>
        <w:pStyle w:val="Heading3"/>
      </w:pPr>
      <w:bookmarkStart w:id="9236" w:name="_Toc7932"/>
      <w:r>
        <w:t>6979- دیوان معنی حیدرآبادی أو شعره‏</w:t>
      </w:r>
      <w:bookmarkEnd w:id="9236"/>
    </w:p>
    <w:p>
      <w:pPr>
        <w:pStyle w:val="BookText"/>
      </w:pPr>
      <w:r>
        <w:rPr>
          <w:rFonts w:ascii="IRNazanin" w:hAnsi="IRNazanin" w:eastAsia="IRNazanin" w:cs="IRNazanin"/>
          <w:lang w:bidi="fa-IR"/>
          <w:color w:val="111111"/>
          <w:sz w:val="28"/>
          <w:szCs w:val="28"/>
          <w:rtl/>
        </w:rPr>
        <w:t xml:space="preserve">و اسمه وجه الدین خان فی القرن الثالث عشر أورد شعره فی (روشن- ص 641)</w:t>
      </w:r>
    </w:p>
    <w:p>
      <w:pPr>
        <w:pStyle w:val="Heading3"/>
      </w:pPr>
      <w:bookmarkStart w:id="9237" w:name="_Toc7933"/>
      <w:r>
        <w:t>6980- دیوان معنی دهلوی أو شعره‏</w:t>
      </w:r>
      <w:bookmarkEnd w:id="9237"/>
    </w:p>
    <w:p>
      <w:pPr>
        <w:pStyle w:val="BookText"/>
      </w:pPr>
      <w:r>
        <w:rPr>
          <w:rFonts w:ascii="IRNazanin" w:hAnsi="IRNazanin" w:eastAsia="IRNazanin" w:cs="IRNazanin"/>
          <w:lang w:bidi="fa-IR"/>
          <w:color w:val="111111"/>
          <w:sz w:val="28"/>
          <w:szCs w:val="28"/>
          <w:rtl/>
        </w:rPr>
        <w:t xml:space="preserve">و هو السید أبو الفیض من تلامیذ عبد القادر بیدل أورد شعره فی (گلشن- ص 431) و (روشن- ص 637)</w:t>
      </w:r>
    </w:p>
    <w:p>
      <w:pPr>
        <w:pStyle w:val="Heading3"/>
      </w:pPr>
      <w:bookmarkStart w:id="9238" w:name="_Toc7934"/>
      <w:r>
        <w:t>6981- دیوان معنی شیرازی أو شعره‏</w:t>
      </w:r>
      <w:bookmarkEnd w:id="9238"/>
    </w:p>
    <w:p>
      <w:pPr>
        <w:pStyle w:val="BookText"/>
      </w:pPr>
      <w:r>
        <w:rPr>
          <w:rFonts w:ascii="IRNazanin" w:hAnsi="IRNazanin" w:eastAsia="IRNazanin" w:cs="IRNazanin"/>
          <w:lang w:bidi="fa-IR"/>
          <w:color w:val="111111"/>
          <w:sz w:val="28"/>
          <w:szCs w:val="28"/>
          <w:rtl/>
        </w:rPr>
        <w:t xml:space="preserve">کان من شعراء السلطان حسین بایقرا أورد شعره فی (هفت- ص 276) و (خوش‏گو)</w:t>
      </w:r>
    </w:p>
    <w:p>
      <w:pPr>
        <w:pStyle w:val="Heading3"/>
      </w:pPr>
      <w:bookmarkStart w:id="9239" w:name="_Toc7935"/>
      <w:r>
        <w:t>6982- دیوان معنی فسائی‏</w:t>
      </w:r>
      <w:bookmarkEnd w:id="9239"/>
    </w:p>
    <w:p>
      <w:pPr>
        <w:pStyle w:val="BookText"/>
      </w:pPr>
      <w:r>
        <w:rPr>
          <w:rFonts w:ascii="IRNazanin" w:hAnsi="IRNazanin" w:eastAsia="IRNazanin" w:cs="IRNazanin"/>
          <w:lang w:bidi="fa-IR"/>
          <w:color w:val="111111"/>
          <w:sz w:val="28"/>
          <w:szCs w:val="28"/>
          <w:rtl/>
        </w:rPr>
        <w:t xml:space="preserve">و هو المولی محمد مسیح بن إسماعیل الفسوی من تلامیذ الآقا حسین الخوانساری و المجاز من المجلسی ترجمه فی (نجوم- ص 195) و أورد قصیدته الغدیریة قرب المائة بیت نقلا عن تذکره حزین- ص 13 و قال الحزین إن تخلصه فی أشعاره العربیة مسیح و فی الفارسیة معنی و إنه نصب لمنصب‏
</w:t>
      </w:r>
    </w:p>
    <w:p>
      <w:pPr>
        <w:sectPr>
          <w:footerReference w:type="default" r:id="rId1083"/>
          <w:footnotePr>
            <w:numStart w:val="1"/>
            <w:numRestart w:val="eachPage"/>
          </w:footnotePr>
          <w:pgSz w:orient="portrait" w:w="11905.511811023622" w:h="16837.79527559055"/>
          <w:pgMar w:top="1440" w:right="1440" w:bottom="1440" w:left="1440" w:header="720" w:footer="720" w:gutter="0"/>
          <w:cols w:num="1" w:space="720"/>
        </w:sectPr>
      </w:pPr>
    </w:p>
    <w:bookmarkStart w:id="1064" w:name="pg11704_122551"/>
    <w:bookmarkEnd w:id="1064"/>
    <w:p>
      <w:pPr>
        <w:pStyle w:val="BookText"/>
      </w:pPr>
      <w:r>
        <w:rPr>
          <w:rFonts w:ascii="IRNazanin" w:hAnsi="IRNazanin" w:eastAsia="IRNazanin" w:cs="IRNazanin"/>
          <w:lang w:bidi="fa-IR"/>
          <w:color w:val="111111"/>
          <w:sz w:val="28"/>
          <w:szCs w:val="28"/>
          <w:rtl/>
        </w:rPr>
        <w:t xml:space="preserve">شیخ الإسلام بشیراز، و قد تلمذت علیه المنطق و الهیئة و الحساب و الطبیعیات بها، و قد ظهر علیه آثار الهرم لکنه قوی الحواس و له خطب و منشئات و أشعار بلیغة و دیباجة ترجمه مصائب النواصب و رسالة قصر و إتمام و مکاتیبه إلی علی رضا تجلی و آقا حسین و والدی و میرزا أشرف حکیم و غیرهم و دیوانه فی أکثر من ألف بیت و مات فی عشر التسعین و قال فی فارس‏نامه 2: 235 إنه مات 1127 و هذا یلائم قراءة الحزین المولود 1103 علیه و قال النصرآبادی فی (نر 6 و 15- ص 174 و 531) إنه ولد بفسا من قری شبانکاره و سافر إلی شیراز و تلمذ علی الشاه أبی الولی النسابة ثم فی أصفهان عند الخوانساری و مات 1115 أقول و هذا التاریخ لا یلائم تلمذ الحزین علیه و بما أن النصرآبادی ألف تذکرته فی 1083 فیظن أن التاریخ غلط مدسوس فی التذکرة</w:t>
      </w:r>
    </w:p>
    <w:p>
      <w:pPr>
        <w:pStyle w:val="Heading3"/>
      </w:pPr>
      <w:bookmarkStart w:id="9240" w:name="_Toc7936"/>
      <w:r>
        <w:t>دیوان معنی فسوی‏</w:t>
      </w:r>
      <w:bookmarkEnd w:id="9240"/>
    </w:p>
    <w:p>
      <w:pPr>
        <w:pStyle w:val="BookText"/>
      </w:pPr>
      <w:r>
        <w:rPr>
          <w:rFonts w:ascii="IRNazanin" w:hAnsi="IRNazanin" w:eastAsia="IRNazanin" w:cs="IRNazanin"/>
          <w:lang w:bidi="fa-IR"/>
          <w:color w:val="111111"/>
          <w:sz w:val="28"/>
          <w:szCs w:val="28"/>
          <w:rtl/>
        </w:rPr>
        <w:t xml:space="preserve">راجع معنی فسائی‏</w:t>
      </w:r>
    </w:p>
    <w:p>
      <w:pPr>
        <w:pStyle w:val="Heading3"/>
      </w:pPr>
      <w:bookmarkStart w:id="9241" w:name="_Toc7937"/>
      <w:r>
        <w:t>6983- دیوان معنی کشمیری أو شعره‏</w:t>
      </w:r>
      <w:bookmarkEnd w:id="9241"/>
    </w:p>
    <w:p>
      <w:pPr>
        <w:pStyle w:val="BookText"/>
      </w:pPr>
      <w:r>
        <w:rPr>
          <w:rFonts w:ascii="IRNazanin" w:hAnsi="IRNazanin" w:eastAsia="IRNazanin" w:cs="IRNazanin"/>
          <w:lang w:bidi="fa-IR"/>
          <w:color w:val="111111"/>
          <w:sz w:val="28"/>
          <w:szCs w:val="28"/>
          <w:rtl/>
        </w:rPr>
        <w:t xml:space="preserve">ترجمه و أورد شعره فی (نتایج- ص 649)</w:t>
      </w:r>
    </w:p>
    <w:p>
      <w:pPr>
        <w:pStyle w:val="Heading3"/>
      </w:pPr>
      <w:bookmarkStart w:id="9242" w:name="_Toc7938"/>
      <w:r>
        <w:t>6984- دیوان معنی گیلانی‏</w:t>
      </w:r>
      <w:bookmarkEnd w:id="9242"/>
    </w:p>
    <w:p>
      <w:pPr>
        <w:pStyle w:val="BookText"/>
      </w:pPr>
      <w:r>
        <w:rPr>
          <w:rFonts w:ascii="IRNazanin" w:hAnsi="IRNazanin" w:eastAsia="IRNazanin" w:cs="IRNazanin"/>
          <w:lang w:bidi="fa-IR"/>
          <w:color w:val="111111"/>
          <w:sz w:val="28"/>
          <w:szCs w:val="28"/>
          <w:rtl/>
        </w:rPr>
        <w:t xml:space="preserve">قال فی (گلشن- ص 432) إنه عم الشیخ محمد علی الحزین و عنه أخذ فی القاموس الترکی و علمای گیلان- ص 92 و أظنه أراد معنی فسائی أستاذ الحزین‏</w:t>
      </w:r>
    </w:p>
    <w:p>
      <w:pPr>
        <w:pStyle w:val="Heading3"/>
      </w:pPr>
      <w:bookmarkStart w:id="9243" w:name="_Toc7939"/>
      <w:r>
        <w:t>6985- دیوان معنی هندی أو شعره‏</w:t>
      </w:r>
      <w:bookmarkEnd w:id="9243"/>
    </w:p>
    <w:p>
      <w:pPr>
        <w:pStyle w:val="BookText"/>
      </w:pPr>
      <w:r>
        <w:rPr>
          <w:rFonts w:ascii="IRNazanin" w:hAnsi="IRNazanin" w:eastAsia="IRNazanin" w:cs="IRNazanin"/>
          <w:lang w:bidi="fa-IR"/>
          <w:color w:val="111111"/>
          <w:sz w:val="28"/>
          <w:szCs w:val="28"/>
          <w:rtl/>
        </w:rPr>
        <w:t xml:space="preserve">و اسمه میر جواد أورد شعره (حسینی- ص 327)</w:t>
      </w:r>
    </w:p>
    <w:p>
      <w:pPr>
        <w:pStyle w:val="Heading3"/>
      </w:pPr>
      <w:bookmarkStart w:id="9244" w:name="_Toc7940"/>
      <w:r>
        <w:t>6986- دیوان معیری‏</w:t>
      </w:r>
      <w:bookmarkEnd w:id="9244"/>
    </w:p>
    <w:p>
      <w:pPr>
        <w:pStyle w:val="BookText"/>
      </w:pPr>
      <w:r>
        <w:rPr>
          <w:rFonts w:ascii="IRNazanin" w:hAnsi="IRNazanin" w:eastAsia="IRNazanin" w:cs="IRNazanin"/>
          <w:lang w:bidi="fa-IR"/>
          <w:color w:val="111111"/>
          <w:sz w:val="28"/>
          <w:szCs w:val="28"/>
          <w:rtl/>
        </w:rPr>
        <w:t xml:space="preserve">راجع رهی معیری‏</w:t>
      </w:r>
    </w:p>
    <w:p>
      <w:pPr>
        <w:pStyle w:val="Heading3"/>
      </w:pPr>
      <w:bookmarkStart w:id="9245" w:name="_Toc7941"/>
      <w:r>
        <w:t>6987- دیوان معین أسترآبادی أو شعره‏</w:t>
      </w:r>
      <w:bookmarkEnd w:id="9245"/>
    </w:p>
    <w:p>
      <w:pPr>
        <w:pStyle w:val="BookText"/>
      </w:pPr>
      <w:r>
        <w:rPr>
          <w:rFonts w:ascii="IRNazanin" w:hAnsi="IRNazanin" w:eastAsia="IRNazanin" w:cs="IRNazanin"/>
          <w:lang w:bidi="fa-IR"/>
          <w:color w:val="111111"/>
          <w:sz w:val="28"/>
          <w:szCs w:val="28"/>
          <w:rtl/>
        </w:rPr>
        <w:t xml:space="preserve">و اسمه معین الدین کان ساکن مشهد خراسان ترجمه و أورد أشعاره الهزلیة معاصره فی (خص 8- ص 228) و هفت إقلیم و (مطلع 2: 444) و ریحانة الأدب و قال فی (گلشن- ص 434) إن له رسالة سماها لذت و لذا اشتهر بمعین لذت سافر فی 976 مع معصوم بیک و معهما ثلاثمائة فارس إلی الروم للصلح بأمر من الشاه طهماسب، و بعد المصالحة مع السلطان سلیم العثمانی عزموا الحج، و بینما هم بین الحرمین إذ اشتعل الحرب بین الحجاج الفرس و الروم، فقتل معصوم بیک و کثیر من رجاله و منهم المیر جعفر أخ المیر حیدر المعمائی و فر الباقون من البادیة إلی‏
</w:t>
      </w:r>
    </w:p>
    <w:p>
      <w:pPr>
        <w:sectPr>
          <w:footerReference w:type="default" r:id="rId1084"/>
          <w:footnotePr>
            <w:numStart w:val="1"/>
            <w:numRestart w:val="eachPage"/>
          </w:footnotePr>
          <w:pgSz w:orient="portrait" w:w="11905.511811023622" w:h="16837.79527559055"/>
          <w:pgMar w:top="1440" w:right="1440" w:bottom="1440" w:left="1440" w:header="720" w:footer="720" w:gutter="0"/>
          <w:cols w:num="1" w:space="720"/>
        </w:sectPr>
      </w:pPr>
    </w:p>
    <w:bookmarkStart w:id="1065" w:name="pg11704_122552"/>
    <w:bookmarkEnd w:id="1065"/>
    <w:p>
      <w:pPr>
        <w:pStyle w:val="BookText"/>
      </w:pPr>
      <w:r>
        <w:rPr>
          <w:rFonts w:ascii="IRNazanin" w:hAnsi="IRNazanin" w:eastAsia="IRNazanin" w:cs="IRNazanin"/>
          <w:lang w:bidi="fa-IR"/>
          <w:color w:val="111111"/>
          <w:sz w:val="28"/>
          <w:szCs w:val="28"/>
          <w:rtl/>
        </w:rPr>
        <w:t xml:space="preserve">جده فحبشة، و منها رکبوا السفینة قاصدین الهند فغرق السفینة و غرق معین الأسترآبادی و عنه أخذ فی القاموس الترکی ثم الریحانة</w:t>
      </w:r>
    </w:p>
    <w:p>
      <w:pPr>
        <w:pStyle w:val="Heading3"/>
      </w:pPr>
      <w:bookmarkStart w:id="9246" w:name="_Toc7942"/>
      <w:r>
        <w:t>دیوان معین أسفراینی‏</w:t>
      </w:r>
      <w:bookmarkEnd w:id="9246"/>
    </w:p>
    <w:p>
      <w:pPr>
        <w:pStyle w:val="BookText"/>
      </w:pPr>
      <w:r>
        <w:rPr>
          <w:rFonts w:ascii="IRNazanin" w:hAnsi="IRNazanin" w:eastAsia="IRNazanin" w:cs="IRNazanin"/>
          <w:lang w:bidi="fa-IR"/>
          <w:color w:val="111111"/>
          <w:sz w:val="28"/>
          <w:szCs w:val="28"/>
          <w:rtl/>
        </w:rPr>
        <w:t xml:space="preserve">راجع معینی جوینی فی ص 1079</w:t>
      </w:r>
    </w:p>
    <w:p>
      <w:pPr>
        <w:pStyle w:val="Heading3"/>
      </w:pPr>
      <w:bookmarkStart w:id="9247" w:name="_Toc7943"/>
      <w:r>
        <w:t>6988- دیوان معین أسفراینی أو شعره‏</w:t>
      </w:r>
      <w:bookmarkEnd w:id="9247"/>
    </w:p>
    <w:p>
      <w:pPr>
        <w:pStyle w:val="BookText"/>
      </w:pPr>
      <w:r>
        <w:rPr>
          <w:rFonts w:ascii="IRNazanin" w:hAnsi="IRNazanin" w:eastAsia="IRNazanin" w:cs="IRNazanin"/>
          <w:lang w:bidi="fa-IR"/>
          <w:color w:val="111111"/>
          <w:sz w:val="28"/>
          <w:szCs w:val="28"/>
          <w:rtl/>
        </w:rPr>
        <w:t xml:space="preserve">و اسمه معین الدین محمد الخطاط صاحب تاریخ هرات و ترسل ترجمه معاصره فی حبیب السیر- ج 4 ص 348</w:t>
      </w:r>
    </w:p>
    <w:p>
      <w:pPr>
        <w:pStyle w:val="Heading3"/>
      </w:pPr>
      <w:bookmarkStart w:id="9248" w:name="_Toc7944"/>
      <w:r>
        <w:t>دیوان معین أشرفی السمرقندی‏</w:t>
      </w:r>
      <w:bookmarkEnd w:id="9248"/>
    </w:p>
    <w:p>
      <w:pPr>
        <w:pStyle w:val="BookText"/>
      </w:pPr>
      <w:r>
        <w:rPr>
          <w:rFonts w:ascii="IRNazanin" w:hAnsi="IRNazanin" w:eastAsia="IRNazanin" w:cs="IRNazanin"/>
          <w:lang w:bidi="fa-IR"/>
          <w:color w:val="111111"/>
          <w:sz w:val="28"/>
          <w:szCs w:val="28"/>
          <w:rtl/>
        </w:rPr>
        <w:t xml:space="preserve">المذکور فی ص 78 قال فی (نتایج- ص 26) إنه توفی 575</w:t>
      </w:r>
    </w:p>
    <w:p>
      <w:pPr>
        <w:pStyle w:val="Heading3"/>
      </w:pPr>
      <w:bookmarkStart w:id="9249" w:name="_Toc7945"/>
      <w:r>
        <w:t>6989- دیوان معین أصم أو شعره‏</w:t>
      </w:r>
      <w:bookmarkEnd w:id="9249"/>
    </w:p>
    <w:p>
      <w:pPr>
        <w:pStyle w:val="BookText"/>
      </w:pPr>
      <w:r>
        <w:rPr>
          <w:rFonts w:ascii="IRNazanin" w:hAnsi="IRNazanin" w:eastAsia="IRNazanin" w:cs="IRNazanin"/>
          <w:lang w:bidi="fa-IR"/>
          <w:color w:val="111111"/>
          <w:sz w:val="28"/>
          <w:szCs w:val="28"/>
          <w:rtl/>
        </w:rPr>
        <w:t xml:space="preserve">و هو معین الدین (معین الملک) حسین بن علی صاحب دیوان الإنشاء لسنجر بن ملک شاه ترجمه و أورد شعره العوفی فی (لب 6) و ذکر له رسالة جواب نفیرنامه أسیران در روم المطبوع فی أرمغان ج 28 و فی (مع 1: 510) و لعله الذی ذکره عبد الجلیل فی کتابه النقض- ص 252 و 628 و یوجد شعره فی مشیخة کنز السالکین المذکور فی 8: 187</w:t>
      </w:r>
    </w:p>
    <w:p>
      <w:pPr>
        <w:pStyle w:val="Heading3"/>
      </w:pPr>
      <w:bookmarkStart w:id="9250" w:name="_Toc7946"/>
      <w:r>
        <w:t>6990- دیوان معین بدیوانی أو شعره‏</w:t>
      </w:r>
      <w:bookmarkEnd w:id="9250"/>
    </w:p>
    <w:p>
      <w:pPr>
        <w:pStyle w:val="BookText"/>
      </w:pPr>
      <w:r>
        <w:rPr>
          <w:rFonts w:ascii="IRNazanin" w:hAnsi="IRNazanin" w:eastAsia="IRNazanin" w:cs="IRNazanin"/>
          <w:lang w:bidi="fa-IR"/>
          <w:color w:val="111111"/>
          <w:sz w:val="28"/>
          <w:szCs w:val="28"/>
          <w:rtl/>
        </w:rPr>
        <w:t xml:space="preserve">و اسمه المولوی معین الدین تلمیذ قتیل الشاعر الهندی أورد شعره فی (گلشن- ص 435) و عنه فی القاموس الترکی‏</w:t>
      </w:r>
    </w:p>
    <w:p>
      <w:pPr>
        <w:pStyle w:val="Heading3"/>
      </w:pPr>
      <w:bookmarkStart w:id="9251" w:name="_Toc7947"/>
      <w:r>
        <w:t>6991- دیوان معین بلیانی أو شعره‏</w:t>
      </w:r>
      <w:bookmarkEnd w:id="9251"/>
    </w:p>
    <w:p>
      <w:pPr>
        <w:pStyle w:val="BookText"/>
      </w:pPr>
      <w:r>
        <w:rPr>
          <w:rFonts w:ascii="IRNazanin" w:hAnsi="IRNazanin" w:eastAsia="IRNazanin" w:cs="IRNazanin"/>
          <w:lang w:bidi="fa-IR"/>
          <w:color w:val="111111"/>
          <w:sz w:val="28"/>
          <w:szCs w:val="28"/>
          <w:rtl/>
        </w:rPr>
        <w:t xml:space="preserve">و هو معین الدین الدقاقی الحسینی، والد تقی الدین الأوحدی مؤلف عرفات العاشقین کان مقربا عند الشاه طهماسب ثم سافر من قزوین إلی شیراز فالهند و مات بدکن فی 979 أورد شعره فی (گلشن- ص 433) و عنه فی القاموس الترکی فالریحانة</w:t>
      </w:r>
    </w:p>
    <w:p>
      <w:pPr>
        <w:pStyle w:val="Heading3"/>
      </w:pPr>
      <w:bookmarkStart w:id="9252" w:name="_Toc7948"/>
      <w:r>
        <w:t>دیوان معین چشتی‏</w:t>
      </w:r>
      <w:bookmarkEnd w:id="9252"/>
    </w:p>
    <w:p>
      <w:pPr>
        <w:pStyle w:val="BookText"/>
      </w:pPr>
      <w:r>
        <w:rPr>
          <w:rFonts w:ascii="IRNazanin" w:hAnsi="IRNazanin" w:eastAsia="IRNazanin" w:cs="IRNazanin"/>
          <w:lang w:bidi="fa-IR"/>
          <w:color w:val="111111"/>
          <w:sz w:val="28"/>
          <w:szCs w:val="28"/>
          <w:rtl/>
        </w:rPr>
        <w:t xml:space="preserve">مر مختصرا بعنوان چشتی أجمیری فی ص 215 و هو الخواجة معین الدین حسن السگزی و قد یحرف و یقال سنجری ابن الخواجة غیاث الدین البلخی المتوفی 633 المطابق لقول الشاعر کما فی (مسرت- ص 385):</w:t>
      </w:r>
    </w:p>
    <w:p>
      <w:pPr>
        <w:pStyle w:val="BookText"/>
      </w:pPr>
      <w:r>
        <w:rPr>
          <w:rFonts w:ascii="IRNazanin" w:hAnsi="IRNazanin" w:eastAsia="IRNazanin" w:cs="IRNazanin"/>
          <w:lang w:bidi="fa-IR"/>
          <w:color w:val="111111"/>
          <w:sz w:val="28"/>
          <w:szCs w:val="28"/>
          <w:rtl/>
        </w:rPr>
        <w:t xml:space="preserve">سال نقلش بعزت و تمکین‏</w:t>
      </w:r>
    </w:p>
    <w:p>
      <w:pPr>
        <w:pStyle w:val="BookText"/>
      </w:pPr>
      <w:r>
        <w:rPr>
          <w:rFonts w:ascii="IRNazanin" w:hAnsi="IRNazanin" w:eastAsia="IRNazanin" w:cs="IRNazanin"/>
          <w:lang w:bidi="fa-IR"/>
          <w:color w:val="111111"/>
          <w:sz w:val="28"/>
          <w:szCs w:val="28"/>
          <w:rtl/>
        </w:rPr>
        <w:t xml:space="preserve">گو: سراج جنان معین الدین‏</w:t>
      </w:r>
    </w:p>
    <w:p>
      <w:pPr>
        <w:pStyle w:val="BookText"/>
      </w:pPr>
      <w:r>
        <w:rPr>
          <w:rFonts w:ascii="IRNazanin" w:hAnsi="IRNazanin" w:eastAsia="IRNazanin" w:cs="IRNazanin"/>
          <w:lang w:bidi="fa-IR"/>
          <w:color w:val="111111"/>
          <w:sz w:val="28"/>
          <w:szCs w:val="28"/>
          <w:rtl/>
        </w:rPr>
        <w:t xml:space="preserve">ترجم فی (مع 1: 542) و (ض- ص 132) و (حسینی- ص 194) و (روشن- ص 637) و (خوش‏گو) و شمع انجمن طبع دیوانه مکررا بلکهنو 1285 و کانپور 1288 و لاهور 1876 م و 1904 م و لکهنو 1934 م کلها فی أقل من 100 ص و قد رأی سنگلاخ‏
</w:t>
      </w:r>
    </w:p>
    <w:p>
      <w:pPr>
        <w:sectPr>
          <w:footerReference w:type="default" r:id="rId1085"/>
          <w:footnotePr>
            <w:numStart w:val="1"/>
            <w:numRestart w:val="eachPage"/>
          </w:footnotePr>
          <w:pgSz w:orient="portrait" w:w="11905.511811023622" w:h="16837.79527559055"/>
          <w:pgMar w:top="1440" w:right="1440" w:bottom="1440" w:left="1440" w:header="720" w:footer="720" w:gutter="0"/>
          <w:cols w:num="1" w:space="720"/>
        </w:sectPr>
      </w:pPr>
    </w:p>
    <w:bookmarkStart w:id="1066" w:name="pg11704_122553"/>
    <w:bookmarkEnd w:id="1066"/>
    <w:p>
      <w:pPr>
        <w:pStyle w:val="BookText"/>
      </w:pPr>
      <w:r>
        <w:rPr>
          <w:rFonts w:ascii="IRNazanin" w:hAnsi="IRNazanin" w:eastAsia="IRNazanin" w:cs="IRNazanin"/>
          <w:lang w:bidi="fa-IR"/>
          <w:color w:val="111111"/>
          <w:sz w:val="28"/>
          <w:szCs w:val="28"/>
          <w:rtl/>
        </w:rPr>
        <w:t xml:space="preserve">دیوانه بخط خلیل قلندر الهروی فذکره فی (امتحان 1: 256) و قال النفیسی فی ص 61 من مقدمه سخنان أبو سعید أبو الخیر إن رباعیات أبی الخیر و معین چشتی قد اختلط أحدهما بالآخر و یوجد له معارج النبوة فی مکتبة (تاشکند) کما فی فهرسها 2: 63</w:t>
      </w:r>
    </w:p>
    <w:p>
      <w:pPr>
        <w:pStyle w:val="Heading3"/>
      </w:pPr>
      <w:bookmarkStart w:id="9253" w:name="_Toc7949"/>
      <w:r>
        <w:t>6992- دیوان معین خراسانی أو شعره‏</w:t>
      </w:r>
      <w:bookmarkEnd w:id="9253"/>
    </w:p>
    <w:p>
      <w:pPr>
        <w:pStyle w:val="BookText"/>
      </w:pPr>
      <w:r>
        <w:rPr>
          <w:rFonts w:ascii="IRNazanin" w:hAnsi="IRNazanin" w:eastAsia="IRNazanin" w:cs="IRNazanin"/>
          <w:lang w:bidi="fa-IR"/>
          <w:color w:val="111111"/>
          <w:sz w:val="28"/>
          <w:szCs w:val="28"/>
          <w:rtl/>
        </w:rPr>
        <w:t xml:space="preserve">و اسمه المیرزا معین الدین علی أو محمد أصله من خراسان و کان یسکن درجزین و کان وزیرا لصفی قلی خان حاکم بغداد للصفویة و بعد موته فی 1040 استوزره بکتاش خان، ثم نصب وزیرا لقم و بها مات ورد شعره فی (نر 4 و 13- ص 76 و 484) فی تاریخ وفاة صفی قلی المذکور و غیره، و کذا فی (مطلع 2: 444)</w:t>
      </w:r>
    </w:p>
    <w:p>
      <w:pPr>
        <w:pStyle w:val="Heading3"/>
      </w:pPr>
      <w:bookmarkStart w:id="9254" w:name="_Toc7950"/>
      <w:r>
        <w:t>6993- دیوان معین خرم‏آبادی أو شعره‏</w:t>
      </w:r>
      <w:bookmarkEnd w:id="9254"/>
    </w:p>
    <w:p>
      <w:pPr>
        <w:pStyle w:val="BookText"/>
      </w:pPr>
      <w:r>
        <w:rPr>
          <w:rFonts w:ascii="IRNazanin" w:hAnsi="IRNazanin" w:eastAsia="IRNazanin" w:cs="IRNazanin"/>
          <w:lang w:bidi="fa-IR"/>
          <w:color w:val="111111"/>
          <w:sz w:val="28"/>
          <w:szCs w:val="28"/>
          <w:rtl/>
        </w:rPr>
        <w:t xml:space="preserve">و اسمه ملک معین منشی حاکم خرم‏آباد رآه الحزین فی البلدة و نقل غزله بتخلص معین فی تذکرته ص 115 و عنه فی (گلشن- ص 434)</w:t>
      </w:r>
    </w:p>
    <w:p>
      <w:pPr>
        <w:pStyle w:val="Heading3"/>
      </w:pPr>
      <w:bookmarkStart w:id="9255" w:name="_Toc7951"/>
      <w:r>
        <w:t>دیوان معین دقاقی‏</w:t>
      </w:r>
      <w:bookmarkEnd w:id="9255"/>
    </w:p>
    <w:p>
      <w:pPr>
        <w:pStyle w:val="BookText"/>
      </w:pPr>
      <w:r>
        <w:rPr>
          <w:rFonts w:ascii="IRNazanin" w:hAnsi="IRNazanin" w:eastAsia="IRNazanin" w:cs="IRNazanin"/>
          <w:lang w:bidi="fa-IR"/>
          <w:color w:val="111111"/>
          <w:sz w:val="28"/>
          <w:szCs w:val="28"/>
          <w:rtl/>
        </w:rPr>
        <w:t xml:space="preserve">راجع معین بلیانی‏</w:t>
      </w:r>
    </w:p>
    <w:p>
      <w:pPr>
        <w:pStyle w:val="Heading3"/>
      </w:pPr>
      <w:bookmarkStart w:id="9256" w:name="_Toc7952"/>
      <w:r>
        <w:t>6994- دیوان معین الدین غازی أو شعره‏</w:t>
      </w:r>
      <w:bookmarkEnd w:id="9256"/>
    </w:p>
    <w:p>
      <w:pPr>
        <w:pStyle w:val="BookText"/>
      </w:pPr>
      <w:r>
        <w:rPr>
          <w:rFonts w:ascii="IRNazanin" w:hAnsi="IRNazanin" w:eastAsia="IRNazanin" w:cs="IRNazanin"/>
          <w:lang w:bidi="fa-IR"/>
          <w:color w:val="111111"/>
          <w:sz w:val="28"/>
          <w:szCs w:val="28"/>
          <w:rtl/>
        </w:rPr>
        <w:t xml:space="preserve">و یعرف بشاه غازی کان من أمراء السلطان محمد فی ما وراء النهر ورد غزله بتخلص غازی فی (خیال- ص 250) و شمع انجمن- ص 342</w:t>
      </w:r>
    </w:p>
    <w:p>
      <w:pPr>
        <w:pStyle w:val="Heading3"/>
      </w:pPr>
      <w:bookmarkStart w:id="9257" w:name="_Toc7953"/>
      <w:r>
        <w:t>6995- دیوان معین سبزواری أو شعره‏</w:t>
      </w:r>
      <w:bookmarkEnd w:id="9257"/>
    </w:p>
    <w:p>
      <w:pPr>
        <w:pStyle w:val="BookText"/>
      </w:pPr>
      <w:r>
        <w:rPr>
          <w:rFonts w:ascii="IRNazanin" w:hAnsi="IRNazanin" w:eastAsia="IRNazanin" w:cs="IRNazanin"/>
          <w:lang w:bidi="fa-IR"/>
          <w:color w:val="111111"/>
          <w:sz w:val="28"/>
          <w:szCs w:val="28"/>
          <w:rtl/>
        </w:rPr>
        <w:t xml:space="preserve">ترجم و أورد شعره فی (گلشن- ص 433) و لعله تصحیف الشیرازی‏</w:t>
      </w:r>
    </w:p>
    <w:p>
      <w:pPr>
        <w:pStyle w:val="Heading3"/>
      </w:pPr>
      <w:bookmarkStart w:id="9258" w:name="_Toc7954"/>
      <w:r>
        <w:t>دیوان معین سنجری‏</w:t>
      </w:r>
      <w:bookmarkEnd w:id="9258"/>
    </w:p>
    <w:p>
      <w:pPr>
        <w:pStyle w:val="BookText"/>
      </w:pPr>
      <w:r>
        <w:rPr>
          <w:rFonts w:ascii="IRNazanin" w:hAnsi="IRNazanin" w:eastAsia="IRNazanin" w:cs="IRNazanin"/>
          <w:lang w:bidi="fa-IR"/>
          <w:color w:val="111111"/>
          <w:sz w:val="28"/>
          <w:szCs w:val="28"/>
          <w:rtl/>
        </w:rPr>
        <w:t xml:space="preserve">راجع معین چشتی‏</w:t>
      </w:r>
    </w:p>
    <w:p>
      <w:pPr>
        <w:pStyle w:val="Heading3"/>
      </w:pPr>
      <w:bookmarkStart w:id="9259" w:name="_Toc7955"/>
      <w:r>
        <w:t>6996- دیوان معین شاه‏جهان‏آبادی‏</w:t>
      </w:r>
      <w:bookmarkEnd w:id="9259"/>
    </w:p>
    <w:p>
      <w:pPr>
        <w:pStyle w:val="BookText"/>
      </w:pPr>
      <w:r>
        <w:rPr>
          <w:rFonts w:ascii="IRNazanin" w:hAnsi="IRNazanin" w:eastAsia="IRNazanin" w:cs="IRNazanin"/>
          <w:lang w:bidi="fa-IR"/>
          <w:color w:val="111111"/>
          <w:sz w:val="28"/>
          <w:szCs w:val="28"/>
          <w:rtl/>
        </w:rPr>
        <w:t xml:space="preserve">و اسمه معین الدین ابن فرید الدین خان مات 1226 و دیوانه فی ثلاثة آلاف بیت کما فی (گلشن- ص 435)</w:t>
      </w:r>
    </w:p>
    <w:p>
      <w:pPr>
        <w:pStyle w:val="Heading3"/>
      </w:pPr>
      <w:bookmarkStart w:id="9260" w:name="_Toc7956"/>
      <w:r>
        <w:t>6997- دیوان معین شیرازی أو شعره‏</w:t>
      </w:r>
      <w:bookmarkEnd w:id="9260"/>
    </w:p>
    <w:p>
      <w:pPr>
        <w:pStyle w:val="BookText"/>
      </w:pPr>
      <w:r>
        <w:rPr>
          <w:rFonts w:ascii="IRNazanin" w:hAnsi="IRNazanin" w:eastAsia="IRNazanin" w:cs="IRNazanin"/>
          <w:lang w:bidi="fa-IR"/>
          <w:color w:val="111111"/>
          <w:sz w:val="28"/>
          <w:szCs w:val="28"/>
          <w:rtl/>
        </w:rPr>
        <w:t xml:space="preserve">و اسمه الخواجة معین الدین محمد بن علی بن عبد الله الشیرازی ورد إلی المراغة فی 670 و مدح الخواجة نصیر الدین الطوسی، و له دیوان فارسی لطیف کما ذکره ابن الفوطی فی مجمع الآداب و عنه نقل المدرس الرضوی فی أحوالات خواجه نصیر- ص 175 و فی (تش- ص 294) و (فارس‏نامه- 2: 151) و (گلشن- ص 432) بعنوان معین الدین ابن عبد الله و عنه فی القاموس‏
</w:t>
      </w:r>
    </w:p>
    <w:p>
      <w:pPr>
        <w:sectPr>
          <w:footerReference w:type="default" r:id="rId1086"/>
          <w:footnotePr>
            <w:numStart w:val="1"/>
            <w:numRestart w:val="eachPage"/>
          </w:footnotePr>
          <w:pgSz w:orient="portrait" w:w="11905.511811023622" w:h="16837.79527559055"/>
          <w:pgMar w:top="1440" w:right="1440" w:bottom="1440" w:left="1440" w:header="720" w:footer="720" w:gutter="0"/>
          <w:cols w:num="1" w:space="720"/>
        </w:sectPr>
      </w:pPr>
    </w:p>
    <w:bookmarkStart w:id="1067" w:name="pg11704_122554"/>
    <w:bookmarkEnd w:id="1067"/>
    <w:p>
      <w:pPr>
        <w:pStyle w:val="BookText"/>
      </w:pPr>
      <w:r>
        <w:rPr>
          <w:rFonts w:ascii="IRNazanin" w:hAnsi="IRNazanin" w:eastAsia="IRNazanin" w:cs="IRNazanin"/>
          <w:lang w:bidi="fa-IR"/>
          <w:color w:val="111111"/>
          <w:sz w:val="28"/>
          <w:szCs w:val="28"/>
          <w:rtl/>
        </w:rPr>
        <w:t xml:space="preserve">الترکی‏</w:t>
      </w:r>
    </w:p>
    <w:p>
      <w:pPr>
        <w:pStyle w:val="Heading3"/>
      </w:pPr>
      <w:bookmarkStart w:id="9261" w:name="_Toc7957"/>
      <w:r>
        <w:t>6998- دیوان معین شیرازی أو شعره‏</w:t>
      </w:r>
      <w:bookmarkEnd w:id="9261"/>
    </w:p>
    <w:p>
      <w:pPr>
        <w:pStyle w:val="BookText"/>
      </w:pPr>
      <w:r>
        <w:rPr>
          <w:rFonts w:ascii="IRNazanin" w:hAnsi="IRNazanin" w:eastAsia="IRNazanin" w:cs="IRNazanin"/>
          <w:lang w:bidi="fa-IR"/>
          <w:color w:val="111111"/>
          <w:sz w:val="28"/>
          <w:szCs w:val="28"/>
          <w:rtl/>
        </w:rPr>
        <w:t xml:space="preserve">ترجمه معاصره المیر علی شیر فی (مجن 6- ص 121 و 299) و قال إنه من طائفة معماریان جاء إلی خراسان و صار هزالا، و لعله المذکور فی (تش- ص 294) و لعله معینی‏</w:t>
      </w:r>
    </w:p>
    <w:p>
      <w:pPr>
        <w:pStyle w:val="Heading3"/>
      </w:pPr>
      <w:bookmarkStart w:id="9262" w:name="_Toc7958"/>
      <w:r>
        <w:t>دیوان معین غازی‏</w:t>
      </w:r>
      <w:bookmarkEnd w:id="9262"/>
    </w:p>
    <w:p>
      <w:pPr>
        <w:pStyle w:val="BookText"/>
      </w:pPr>
      <w:r>
        <w:rPr>
          <w:rFonts w:ascii="IRNazanin" w:hAnsi="IRNazanin" w:eastAsia="IRNazanin" w:cs="IRNazanin"/>
          <w:lang w:bidi="fa-IR"/>
          <w:color w:val="111111"/>
          <w:sz w:val="28"/>
          <w:szCs w:val="28"/>
          <w:rtl/>
        </w:rPr>
        <w:t xml:space="preserve">راجع معین الدین غازی‏</w:t>
      </w:r>
    </w:p>
    <w:p>
      <w:pPr>
        <w:pStyle w:val="Heading3"/>
      </w:pPr>
      <w:bookmarkStart w:id="9263" w:name="_Toc7959"/>
      <w:r>
        <w:t>6999- دیوان معین فراهی‏</w:t>
      </w:r>
      <w:bookmarkEnd w:id="9263"/>
    </w:p>
    <w:p>
      <w:pPr>
        <w:pStyle w:val="BookText"/>
      </w:pPr>
      <w:r>
        <w:rPr>
          <w:rFonts w:ascii="IRNazanin" w:hAnsi="IRNazanin" w:eastAsia="IRNazanin" w:cs="IRNazanin"/>
          <w:lang w:bidi="fa-IR"/>
          <w:color w:val="111111"/>
          <w:sz w:val="28"/>
          <w:szCs w:val="28"/>
          <w:rtl/>
        </w:rPr>
        <w:t xml:space="preserve">و هو المولی معین الدین محمد بن شرف الدین محمد مسکین الفراهی السهروی، أخ القاضی نظام الدین محمد جلس للقضاء بعد أخیه مدة ثم اعتزل و اشتغل بالوعظ کأبیه بجامع هرات قال خوندمیر إنه کان یشتم الأشراف فوق المنابر، و قال الحکیم شاه القزوینی فی (قز مج- ص 269) کان مجنونا و وصف الهروی حفیده وصفی أیضا بالجنون و قال الخواند میر إنه کان خطاطا بأکثر الخطوط و مات فی 907 کما فی روضة الصفا أو 909 کما فی حبیب السیر و لیس 954 کما فی کشف</w:t>
      </w:r>
    </w:p>
    <w:p>
      <w:pPr>
        <w:pStyle w:val="BookText"/>
      </w:pPr>
      <w:r>
        <w:rPr>
          <w:rFonts w:ascii="IRNazanin" w:hAnsi="IRNazanin" w:eastAsia="IRNazanin" w:cs="IRNazanin"/>
          <w:lang w:bidi="fa-IR"/>
          <w:color w:val="111111"/>
          <w:sz w:val="28"/>
          <w:szCs w:val="28"/>
          <w:rtl/>
        </w:rPr>
        <w:t xml:space="preserve">الظنون و دفن عند الخواجة عبد الله الأنصاری له بحر الدرر و حدائق الحقائق و الواضحة و معارج النبوة و روضة الواعظین و تفسیر سورة یوسف و قصص موسی ألفها علی هذا الترتیب تاریخا، کما ذکره هو فی مقدمه المعارج المذکور قال فی کشف الظنون إنه قد ترجم المعارج بالترکیة مرتین و فی (گلشن- ص 434) سماه معین هروی و فی بعض المواضع معینی فراهی‏</w:t>
      </w:r>
    </w:p>
    <w:p>
      <w:pPr>
        <w:pStyle w:val="Heading3"/>
      </w:pPr>
      <w:bookmarkStart w:id="9264" w:name="_Toc7960"/>
      <w:r>
        <w:t>دیوان معین فطرت‏</w:t>
      </w:r>
      <w:bookmarkEnd w:id="9264"/>
    </w:p>
    <w:p>
      <w:pPr>
        <w:pStyle w:val="BookText"/>
      </w:pPr>
      <w:r>
        <w:rPr>
          <w:rFonts w:ascii="IRNazanin" w:hAnsi="IRNazanin" w:eastAsia="IRNazanin" w:cs="IRNazanin"/>
          <w:lang w:bidi="fa-IR"/>
          <w:color w:val="111111"/>
          <w:sz w:val="28"/>
          <w:szCs w:val="28"/>
          <w:rtl/>
        </w:rPr>
        <w:t xml:space="preserve">راجع فطرت مشهدی فی ص 839.</w:t>
      </w:r>
    </w:p>
    <w:p>
      <w:pPr>
        <w:pStyle w:val="Heading3"/>
      </w:pPr>
      <w:bookmarkStart w:id="9265" w:name="_Toc7961"/>
      <w:r>
        <w:t>دیوان معین لذت‏</w:t>
      </w:r>
      <w:bookmarkEnd w:id="9265"/>
    </w:p>
    <w:p>
      <w:pPr>
        <w:pStyle w:val="BookText"/>
      </w:pPr>
      <w:r>
        <w:rPr>
          <w:rFonts w:ascii="IRNazanin" w:hAnsi="IRNazanin" w:eastAsia="IRNazanin" w:cs="IRNazanin"/>
          <w:lang w:bidi="fa-IR"/>
          <w:color w:val="111111"/>
          <w:sz w:val="28"/>
          <w:szCs w:val="28"/>
          <w:rtl/>
        </w:rPr>
        <w:t xml:space="preserve">راجع معین أسترآبادی.</w:t>
      </w:r>
    </w:p>
    <w:p>
      <w:pPr>
        <w:pStyle w:val="Heading3"/>
      </w:pPr>
      <w:bookmarkStart w:id="9266" w:name="_Toc7962"/>
      <w:r>
        <w:t>دیوان معین ما وراء النهری‏</w:t>
      </w:r>
      <w:bookmarkEnd w:id="9266"/>
    </w:p>
    <w:p>
      <w:pPr>
        <w:pStyle w:val="BookText"/>
      </w:pPr>
      <w:r>
        <w:rPr>
          <w:rFonts w:ascii="IRNazanin" w:hAnsi="IRNazanin" w:eastAsia="IRNazanin" w:cs="IRNazanin"/>
          <w:lang w:bidi="fa-IR"/>
          <w:color w:val="111111"/>
          <w:sz w:val="28"/>
          <w:szCs w:val="28"/>
          <w:rtl/>
        </w:rPr>
        <w:t xml:space="preserve">راجع دیوان معین الدین غازی.</w:t>
      </w:r>
    </w:p>
    <w:p>
      <w:pPr>
        <w:pStyle w:val="Heading3"/>
      </w:pPr>
      <w:bookmarkStart w:id="9267" w:name="_Toc7963"/>
      <w:r>
        <w:t>دیوان معین مشهدی‏</w:t>
      </w:r>
      <w:bookmarkEnd w:id="9267"/>
    </w:p>
    <w:p>
      <w:pPr>
        <w:pStyle w:val="BookText"/>
      </w:pPr>
      <w:r>
        <w:rPr>
          <w:rFonts w:ascii="IRNazanin" w:hAnsi="IRNazanin" w:eastAsia="IRNazanin" w:cs="IRNazanin"/>
          <w:lang w:bidi="fa-IR"/>
          <w:color w:val="111111"/>
          <w:sz w:val="28"/>
          <w:szCs w:val="28"/>
          <w:rtl/>
        </w:rPr>
        <w:t xml:space="preserve">راجع معین أسترآبادی و معین خراسانی.</w:t>
      </w:r>
    </w:p>
    <w:p>
      <w:pPr>
        <w:pStyle w:val="Heading3"/>
      </w:pPr>
      <w:bookmarkStart w:id="9268" w:name="_Toc7964"/>
      <w:r>
        <w:t>دیوان معین میبدی‏</w:t>
      </w:r>
      <w:bookmarkEnd w:id="9268"/>
    </w:p>
    <w:p>
      <w:pPr>
        <w:pStyle w:val="BookText"/>
      </w:pPr>
      <w:r>
        <w:rPr>
          <w:rFonts w:ascii="IRNazanin" w:hAnsi="IRNazanin" w:eastAsia="IRNazanin" w:cs="IRNazanin"/>
          <w:lang w:bidi="fa-IR"/>
          <w:color w:val="111111"/>
          <w:sz w:val="28"/>
          <w:szCs w:val="28"/>
          <w:rtl/>
        </w:rPr>
        <w:t xml:space="preserve">راجع معین یزدی فی ص 1069.</w:t>
      </w:r>
    </w:p>
    <w:p>
      <w:pPr>
        <w:pStyle w:val="Heading3"/>
      </w:pPr>
      <w:bookmarkStart w:id="9269" w:name="_Toc7965"/>
      <w:r>
        <w:t>دیوان معین هروی‏</w:t>
      </w:r>
      <w:bookmarkEnd w:id="9269"/>
    </w:p>
    <w:p>
      <w:pPr>
        <w:pStyle w:val="BookText"/>
      </w:pPr>
      <w:r>
        <w:rPr>
          <w:rFonts w:ascii="IRNazanin" w:hAnsi="IRNazanin" w:eastAsia="IRNazanin" w:cs="IRNazanin"/>
          <w:lang w:bidi="fa-IR"/>
          <w:color w:val="111111"/>
          <w:sz w:val="28"/>
          <w:szCs w:val="28"/>
          <w:rtl/>
        </w:rPr>
        <w:t xml:space="preserve">کما فی (گلشن- ص 434) راجع معین فراهی.</w:t>
      </w:r>
    </w:p>
    <w:p>
      <w:pPr>
        <w:pStyle w:val="Heading3"/>
      </w:pPr>
      <w:bookmarkStart w:id="9270" w:name="_Toc7966"/>
      <w:r>
        <w:t>7000- دیوان معین یزدی أو شعره‏</w:t>
      </w:r>
      <w:bookmarkEnd w:id="9270"/>
    </w:p>
    <w:p>
      <w:pPr>
        <w:pStyle w:val="BookText"/>
      </w:pPr>
      <w:r>
        <w:rPr>
          <w:rFonts w:ascii="IRNazanin" w:hAnsi="IRNazanin" w:eastAsia="IRNazanin" w:cs="IRNazanin"/>
          <w:lang w:bidi="fa-IR"/>
          <w:color w:val="111111"/>
          <w:sz w:val="28"/>
          <w:szCs w:val="28"/>
          <w:rtl/>
        </w:rPr>
        <w:t xml:space="preserve">و هو المیر معین الدین صاحب تاریخ معینی و والد القاضی میر حسین المیبدی المتخلص منطقی الآتی. کان من وزراء آل مظفر ذکره و أورد شعره فی (تش یز- ص 332) و (گلشن- ص 433).
</w:t>
      </w:r>
    </w:p>
    <w:p>
      <w:pPr>
        <w:sectPr>
          <w:footerReference w:type="default" r:id="rId1087"/>
          <w:footnotePr>
            <w:numStart w:val="1"/>
            <w:numRestart w:val="eachPage"/>
          </w:footnotePr>
          <w:pgSz w:orient="portrait" w:w="11905.511811023622" w:h="16837.79527559055"/>
          <w:pgMar w:top="1440" w:right="1440" w:bottom="1440" w:left="1440" w:header="720" w:footer="720" w:gutter="0"/>
          <w:cols w:num="1" w:space="720"/>
        </w:sectPr>
      </w:pPr>
    </w:p>
    <w:bookmarkStart w:id="1068" w:name="pg11704_122555"/>
    <w:bookmarkEnd w:id="1068"/>
    <w:p>
      <w:pPr>
        <w:pStyle w:val="Heading3"/>
      </w:pPr>
      <w:bookmarkStart w:id="9271" w:name="_Toc7967"/>
      <w:r>
        <w:t>دیوان معین یزدی‏</w:t>
      </w:r>
      <w:bookmarkEnd w:id="9271"/>
    </w:p>
    <w:p>
      <w:pPr>
        <w:pStyle w:val="BookText"/>
      </w:pPr>
      <w:r>
        <w:rPr>
          <w:rFonts w:ascii="IRNazanin" w:hAnsi="IRNazanin" w:eastAsia="IRNazanin" w:cs="IRNazanin"/>
          <w:lang w:bidi="fa-IR"/>
          <w:color w:val="111111"/>
          <w:sz w:val="28"/>
          <w:szCs w:val="28"/>
          <w:rtl/>
        </w:rPr>
        <w:t xml:space="preserve">راجع معز یزدی فی ص 1069.</w:t>
      </w:r>
    </w:p>
    <w:p>
      <w:pPr>
        <w:pStyle w:val="Heading3"/>
      </w:pPr>
      <w:bookmarkStart w:id="9272" w:name="_Toc7968"/>
      <w:r>
        <w:t>7001- دیوان معینی جوینی‏</w:t>
      </w:r>
      <w:bookmarkEnd w:id="9272"/>
    </w:p>
    <w:p>
      <w:pPr>
        <w:pStyle w:val="BookText"/>
      </w:pPr>
      <w:r>
        <w:rPr>
          <w:rFonts w:ascii="IRNazanin" w:hAnsi="IRNazanin" w:eastAsia="IRNazanin" w:cs="IRNazanin"/>
          <w:lang w:bidi="fa-IR"/>
          <w:color w:val="111111"/>
          <w:sz w:val="28"/>
          <w:szCs w:val="28"/>
          <w:rtl/>
        </w:rPr>
        <w:t xml:space="preserve">و اسمه معین الدین. ولد بقریة اندادة من أعمال جوین، و تلمذ علی فخر الدین الخالدی الأسفراینی البهشتی شارح الفرائض، و ألف نگارستان فی قبال گلستان لسعدی کما فی (لت 6) و فی کشف الظنون سماه معین الأسفراینی و قال إنه ألف نگارستان لأبی سعید گورکان فی 735. ترجمه فی هفت إقلیم و (خوش‏گو) و (گلشن- ص 435).</w:t>
      </w:r>
    </w:p>
    <w:p>
      <w:pPr>
        <w:pStyle w:val="Heading3"/>
      </w:pPr>
      <w:bookmarkStart w:id="9273" w:name="_Toc7969"/>
      <w:r>
        <w:t>دیوان معینی شیرازی أو شعره‏</w:t>
      </w:r>
      <w:bookmarkEnd w:id="9273"/>
    </w:p>
    <w:p>
      <w:pPr>
        <w:pStyle w:val="BookText"/>
      </w:pPr>
      <w:r>
        <w:rPr>
          <w:rFonts w:ascii="IRNazanin" w:hAnsi="IRNazanin" w:eastAsia="IRNazanin" w:cs="IRNazanin"/>
          <w:lang w:bidi="fa-IR"/>
          <w:color w:val="111111"/>
          <w:sz w:val="28"/>
          <w:szCs w:val="28"/>
          <w:rtl/>
        </w:rPr>
        <w:t xml:space="preserve">کان من شعراء عهد بایقرا. ترجمه و أورد شعره فی هفت إقلیم و لعله معین الشیرازی.</w:t>
      </w:r>
    </w:p>
    <w:p>
      <w:pPr>
        <w:pStyle w:val="Heading3"/>
      </w:pPr>
      <w:bookmarkStart w:id="9274" w:name="_Toc7970"/>
      <w:r>
        <w:t>دیوان معینی فراهی‏</w:t>
      </w:r>
      <w:bookmarkEnd w:id="9274"/>
    </w:p>
    <w:p>
      <w:pPr>
        <w:pStyle w:val="BookText"/>
      </w:pPr>
      <w:r>
        <w:rPr>
          <w:rFonts w:ascii="IRNazanin" w:hAnsi="IRNazanin" w:eastAsia="IRNazanin" w:cs="IRNazanin"/>
          <w:lang w:bidi="fa-IR"/>
          <w:color w:val="111111"/>
          <w:sz w:val="28"/>
          <w:szCs w:val="28"/>
          <w:rtl/>
        </w:rPr>
        <w:t xml:space="preserve">راجع معین فراهی.</w:t>
      </w:r>
    </w:p>
    <w:p>
      <w:pPr>
        <w:pStyle w:val="Heading3"/>
      </w:pPr>
      <w:bookmarkStart w:id="9275" w:name="_Toc7971"/>
      <w:r>
        <w:t>7002- دیوان الشیخ مغامس‏</w:t>
      </w:r>
      <w:bookmarkEnd w:id="9275"/>
    </w:p>
    <w:p>
      <w:pPr>
        <w:pStyle w:val="BookText"/>
      </w:pPr>
      <w:r>
        <w:rPr>
          <w:rFonts w:ascii="IRNazanin" w:hAnsi="IRNazanin" w:eastAsia="IRNazanin" w:cs="IRNazanin"/>
          <w:lang w:bidi="fa-IR"/>
          <w:color w:val="111111"/>
          <w:sz w:val="28"/>
          <w:szCs w:val="28"/>
          <w:rtl/>
        </w:rPr>
        <w:t xml:space="preserve">ابن داغر الحلی من أهل أواسط القرن التاسع ترجمه الأمینی فی الغدیر- ج 7- ص 24- 32 و أورد غدیریته و فهرس قصائده و مصادر ترجمته. و قد عنی بجمع دیوانه الشیخ محمد بن الشیخ طاهر السماوی المتوفی 1370 فی 66 ص. کل صفحة 22 سطرا بخطه الدقیق، رأیته فی مکتبته” الشیخ محمد”.</w:t>
      </w:r>
    </w:p>
    <w:p>
      <w:pPr>
        <w:pStyle w:val="Heading3"/>
      </w:pPr>
      <w:bookmarkStart w:id="9276" w:name="_Toc7972"/>
      <w:r>
        <w:t>7003- دیوان مغانی دامغانی أو شعره‏</w:t>
      </w:r>
      <w:bookmarkEnd w:id="9276"/>
    </w:p>
    <w:p>
      <w:pPr>
        <w:pStyle w:val="BookText"/>
      </w:pPr>
      <w:r>
        <w:rPr>
          <w:rFonts w:ascii="IRNazanin" w:hAnsi="IRNazanin" w:eastAsia="IRNazanin" w:cs="IRNazanin"/>
          <w:lang w:bidi="fa-IR"/>
          <w:color w:val="111111"/>
          <w:sz w:val="28"/>
          <w:szCs w:val="28"/>
          <w:rtl/>
        </w:rPr>
        <w:t xml:space="preserve">و اسمه ملا علی المغانی (المعانی). أورد شعره فی (گلشن- ص 436).</w:t>
      </w:r>
    </w:p>
    <w:p>
      <w:pPr>
        <w:pStyle w:val="Heading3"/>
      </w:pPr>
      <w:bookmarkStart w:id="9277" w:name="_Toc7973"/>
      <w:r>
        <w:t>7004- دیوان مغتنم أو شعره‏</w:t>
      </w:r>
      <w:bookmarkEnd w:id="9277"/>
    </w:p>
    <w:p>
      <w:pPr>
        <w:pStyle w:val="BookText"/>
      </w:pPr>
      <w:r>
        <w:rPr>
          <w:rFonts w:ascii="IRNazanin" w:hAnsi="IRNazanin" w:eastAsia="IRNazanin" w:cs="IRNazanin"/>
          <w:lang w:bidi="fa-IR"/>
          <w:color w:val="111111"/>
          <w:sz w:val="28"/>
          <w:szCs w:val="28"/>
          <w:rtl/>
        </w:rPr>
        <w:t xml:space="preserve">عده فی (خوش‏گو) من شعراء عهد جهانگیر و أورد شعره.</w:t>
      </w:r>
    </w:p>
    <w:p>
      <w:pPr>
        <w:pStyle w:val="Heading3"/>
      </w:pPr>
      <w:bookmarkStart w:id="9278" w:name="_Toc7974"/>
      <w:r>
        <w:t>7005- دیوان مغربی‏</w:t>
      </w:r>
      <w:bookmarkEnd w:id="9278"/>
    </w:p>
    <w:p>
      <w:pPr>
        <w:pStyle w:val="BookText"/>
      </w:pPr>
      <w:r>
        <w:rPr>
          <w:rFonts w:ascii="IRNazanin" w:hAnsi="IRNazanin" w:eastAsia="IRNazanin" w:cs="IRNazanin"/>
          <w:lang w:bidi="fa-IR"/>
          <w:color w:val="111111"/>
          <w:sz w:val="28"/>
          <w:szCs w:val="28"/>
          <w:rtl/>
        </w:rPr>
        <w:t xml:space="preserve">و هو شمس الدین محمد شیرین المتخلص فی بعض غزلیاته مغربی. کان معاصر کمال الخجندی المذکور فی ص 917 و تلمیذ الشیخ إسماعیل السیسی الذی هو من أصحاب نور الدین عبد الرحمن الأسفراینی‏</w:t>
      </w:r>
      <w:r>
        <w:rPr>
          <w:rStyle w:val="FootnoteReference"/>
        </w:rPr>
        <w:footnoteReference w:id="88"/>
      </w:r>
      <w:r>
        <w:rPr>
          <w:rFonts w:ascii="IRNazanin" w:hAnsi="IRNazanin" w:eastAsia="IRNazanin" w:cs="IRNazanin"/>
          <w:lang w:bidi="fa-IR"/>
          <w:color w:val="111111"/>
          <w:sz w:val="28"/>
          <w:szCs w:val="28"/>
          <w:rtl/>
        </w:rPr>
        <w:t xml:space="preserve">قال فی (النفحات- ص 550) سافر إلی المغرب- و لم یشخص له حدا- و أخذ الخرقة عن أحد تلامیذ محیی الدین العربی المذکور فی ص 1016، ثم قال توفی فی 809 عن ستین سنة من عمره فولادته فی 749 ثم أورد غزله بتخلص مغربی و زاد فی (نتایج- ص 616) أن أصله‏
</w:t>
      </w:r>
    </w:p>
    <w:p>
      <w:pPr>
        <w:sectPr>
          <w:footerReference w:type="default" r:id="rId10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نائین و وجه تخلصه مغربی سفره إلی المغرب و کذا فی (خیال- ص 59) و هفت إقلیم. و نسب إلیه واله الغزل المعروف الذی أوله:</w:t>
      </w:r>
    </w:p>
    <w:p>
      <w:pPr>
        <w:pStyle w:val="BookText"/>
      </w:pPr>
      <w:r>
        <w:rPr>
          <w:rFonts w:ascii="IRNazanin" w:hAnsi="IRNazanin" w:eastAsia="IRNazanin" w:cs="IRNazanin"/>
          <w:lang w:bidi="fa-IR"/>
          <w:color w:val="111111"/>
          <w:sz w:val="28"/>
          <w:szCs w:val="28"/>
          <w:rtl/>
        </w:rPr>
        <w:t xml:space="preserve">چشم اگر این است و ابرو این و ناز و عشوه این‏</w:t>
      </w:r>
    </w:p>
    <w:p>
      <w:pPr>
        <w:pStyle w:val="BookText"/>
      </w:pPr>
      <w:r>
        <w:rPr>
          <w:rFonts w:ascii="IRNazanin" w:hAnsi="IRNazanin" w:eastAsia="IRNazanin" w:cs="IRNazanin"/>
          <w:lang w:bidi="fa-IR"/>
          <w:color w:val="111111"/>
          <w:sz w:val="28"/>
          <w:szCs w:val="28"/>
          <w:rtl/>
        </w:rPr>
        <w:t xml:space="preserve">الوداع أی زهد و تقوی! الفراق ای عقل و دین!</w:t>
      </w:r>
    </w:p>
    <w:p>
      <w:pPr>
        <w:pStyle w:val="BookText"/>
      </w:pPr>
      <w:r>
        <w:rPr>
          <w:rFonts w:ascii="IRNazanin" w:hAnsi="IRNazanin" w:eastAsia="IRNazanin" w:cs="IRNazanin"/>
          <w:lang w:bidi="fa-IR"/>
          <w:color w:val="111111"/>
          <w:sz w:val="28"/>
          <w:szCs w:val="28"/>
          <w:rtl/>
        </w:rPr>
        <w:t xml:space="preserve">و فی (تش- ص 34) أن وفاته فی تبریز و دفن بسرخاب فی عهد شاه‏رخ. و کذا فی الجزء الثالث من المجلد الثالث من حبیب السیر. و فی (حسینی- ص 304) أنه مات 707 و هو غلط. و فی (مع 2- ص 30) و (ض- ص 134) أنه ولد بنائین و مات بإصطهبانات من شیراز و لیس بصحیح. و أما البقعة المعروفة هناک باسم المغربی فلیس لهذا الرجل ظاهرا. و دیوانه یشتمل علی الغزلیات و الترجیعات و الرباعیات و کلها عرفانیة. و له أسلوب خاص و مشربه وحدة الوجود و لعله أخذه عن ابن العربی. طبع دیوانه الفارسی فی 1280 و 1287 و بأمر السید مصطفی مع رباعیات بابا طاهر فی 1302 بطهران و فی 1305 و 1307 ببمبئی، ثم طبعه محمد میر کمالی الخوانساری بطهران فی 128 ص.</w:t>
      </w:r>
    </w:p>
    <w:p>
      <w:pPr>
        <w:pStyle w:val="BookText"/>
      </w:pPr>
      <w:r>
        <w:rPr>
          <w:rFonts w:ascii="IRNazanin" w:hAnsi="IRNazanin" w:eastAsia="IRNazanin" w:cs="IRNazanin"/>
          <w:lang w:bidi="fa-IR"/>
          <w:color w:val="111111"/>
          <w:sz w:val="28"/>
          <w:szCs w:val="28"/>
          <w:rtl/>
        </w:rPr>
        <w:t xml:space="preserve">ثم بها فی 1332 کما فی فهرس مشار، ثم طبع بطهران فی 1377 فی 177+ 3 ص. و فی معجم المطبوعات العربیة ص 1140 أنه طبع دیوان شمس المغربی فی بمبئی فی 1311 فی 92 ص. و قال فی (امتحان 1: 157) إنه رأی دیوانه بخط محمد سبزواری. و نسخه منه فی (بنگاله) کتبت فی 1081 و (سپهسالار- 285) کما فی فهرسها 2: 683 و نسختان عند (الملک) و نسختان عند (فخر الدین) و نسخ فی المکتبة (الملیة- 567 و 1001) و عند السید محمد علی الروضاتی بأصفهان و نصفها أشعار عربیة و فیها:</w:t>
      </w:r>
    </w:p>
    <w:p>
      <w:pPr>
        <w:pStyle w:val="BookText"/>
      </w:pPr>
      <w:r>
        <w:rPr>
          <w:rFonts w:ascii="IRNazanin" w:hAnsi="IRNazanin" w:eastAsia="IRNazanin" w:cs="IRNazanin"/>
          <w:lang w:bidi="fa-IR"/>
          <w:color w:val="111111"/>
          <w:sz w:val="28"/>
          <w:szCs w:val="28"/>
          <w:rtl/>
        </w:rPr>
        <w:t xml:space="preserve">چون عدل و حیا و علم و صدقم نبود</w:t>
      </w:r>
    </w:p>
    <w:p>
      <w:pPr>
        <w:pStyle w:val="BookText"/>
      </w:pPr>
      <w:r>
        <w:rPr>
          <w:rFonts w:ascii="IRNazanin" w:hAnsi="IRNazanin" w:eastAsia="IRNazanin" w:cs="IRNazanin"/>
          <w:lang w:bidi="fa-IR"/>
          <w:color w:val="111111"/>
          <w:sz w:val="28"/>
          <w:szCs w:val="28"/>
          <w:rtl/>
        </w:rPr>
        <w:t xml:space="preserve">بو بکر منم یزید زندیق منم‏</w:t>
      </w:r>
    </w:p>
    <w:p>
      <w:pPr>
        <w:pStyle w:val="BookText"/>
      </w:pPr>
      <w:r>
        <w:rPr>
          <w:rFonts w:ascii="IRNazanin" w:hAnsi="IRNazanin" w:eastAsia="IRNazanin" w:cs="IRNazanin"/>
          <w:lang w:bidi="fa-IR"/>
          <w:color w:val="111111"/>
          <w:sz w:val="28"/>
          <w:szCs w:val="28"/>
          <w:rtl/>
        </w:rPr>
        <w:t xml:space="preserve">و له جام جهان‏نما المطبوع 1313 و الموجود فی (سپهسالار- 5535 و 6409) المأخوذ عنه دوائر الأسماء الموجود أیضا فی (سپهسالار- ص 2934) کما فی فهرسها 4: ص 2 و له أسرار فاتحة و نزهة الساسانیة و در الفرید فی معرفة التوحید. و قال فی (دجا- ص 351- 353) أنه خلف بعده الشیخ عبد الله الشطاری مؤسس الشطاریة و مؤلف اشتغال الشطاریة و أرسله إلی الهند فمات هناک فی 832 ثم أورد أسماء ثمانیة أشخاص ملقبین بالمغربی. و هم أبو عبد الله المغربی المتوفی 279، أبو الحسن الأقطع المغربی‏
</w:t>
      </w:r>
    </w:p>
    <w:p>
      <w:pPr>
        <w:sectPr>
          <w:footerReference w:type="default" r:id="rId1089"/>
          <w:footnotePr>
            <w:numStart w:val="1"/>
            <w:numRestart w:val="eachPage"/>
          </w:footnotePr>
          <w:pgSz w:orient="portrait" w:w="11905.511811023622" w:h="16837.79527559055"/>
          <w:pgMar w:top="1440" w:right="1440" w:bottom="1440" w:left="1440" w:header="720" w:footer="720" w:gutter="0"/>
          <w:cols w:num="1" w:space="720"/>
        </w:sectPr>
      </w:pPr>
    </w:p>
    <w:bookmarkStart w:id="1069" w:name="pg11704_122557"/>
    <w:bookmarkEnd w:id="1069"/>
    <w:p>
      <w:pPr>
        <w:pStyle w:val="BookText"/>
      </w:pPr>
      <w:r>
        <w:rPr>
          <w:rFonts w:ascii="IRNazanin" w:hAnsi="IRNazanin" w:eastAsia="IRNazanin" w:cs="IRNazanin"/>
          <w:lang w:bidi="fa-IR"/>
          <w:color w:val="111111"/>
          <w:sz w:val="28"/>
          <w:szCs w:val="28"/>
          <w:rtl/>
        </w:rPr>
        <w:t xml:space="preserve">المتوفی 343، أبو عثمان المغربی فی 373، أبو مدین المغربی فی 590، عبد الرحیم المغربی فی 592، أبو الحسن المغربی فی 654، أبو محمد المرجانی المغربی فی 699 و الشیخ إسحاق المغربی فی 776 و کلهم من الصوفیة و زاد فی سلافة العصر ثلاثة فی ص 599 و 573 و 581. أقول و طبع فهلویات مغربی فی مجلة دانشکده أدبیات تبریز ج 8. و قد کتب عبد اللطیف ابن إدریس السعدانی المراکشی من شباب الطلاب بطهران رسالة مستقلة فی أحوال شمس مغربی.</w:t>
      </w:r>
    </w:p>
    <w:p>
      <w:pPr>
        <w:pStyle w:val="Heading3"/>
      </w:pPr>
      <w:bookmarkStart w:id="9279" w:name="_Toc7975"/>
      <w:r>
        <w:t>دیوان معلم قاینی‏</w:t>
      </w:r>
      <w:bookmarkEnd w:id="9279"/>
    </w:p>
    <w:p>
      <w:pPr>
        <w:pStyle w:val="BookText"/>
      </w:pPr>
      <w:r>
        <w:rPr>
          <w:rFonts w:ascii="IRNazanin" w:hAnsi="IRNazanin" w:eastAsia="IRNazanin" w:cs="IRNazanin"/>
          <w:lang w:bidi="fa-IR"/>
          <w:color w:val="111111"/>
          <w:sz w:val="28"/>
          <w:szCs w:val="28"/>
          <w:rtl/>
        </w:rPr>
        <w:t xml:space="preserve">المعروف مهتر طویلة أی مشرف الإصطبل لمظفر حسین کما فی (گلشن- ص 636) حیث قال إن جل أشعاره هزلیات و هجویات من الأدب المکشوف و قد تبعه فی ذلک صاحب قران البلگرامی السید إمام علی المذکور فی ص 576. و الظاهر أنه تصحیف معلم قاینی. و راجع مشرف أصفهانی حسین فی ص 1048 و مر مظفر حسین و مظفر صفوی.</w:t>
      </w:r>
    </w:p>
    <w:p>
      <w:pPr>
        <w:pStyle w:val="Heading3"/>
      </w:pPr>
      <w:bookmarkStart w:id="9280" w:name="_Toc7976"/>
      <w:r>
        <w:t>7006- دیوان مغموم بروجنی‏</w:t>
      </w:r>
      <w:bookmarkEnd w:id="9280"/>
    </w:p>
    <w:p>
      <w:pPr>
        <w:pStyle w:val="BookText"/>
      </w:pPr>
      <w:r>
        <w:rPr>
          <w:rFonts w:ascii="IRNazanin" w:hAnsi="IRNazanin" w:eastAsia="IRNazanin" w:cs="IRNazanin"/>
          <w:lang w:bidi="fa-IR"/>
          <w:color w:val="111111"/>
          <w:sz w:val="28"/>
          <w:szCs w:val="28"/>
          <w:rtl/>
        </w:rPr>
        <w:t xml:space="preserve">و اسمه عبد الله برجیان ولد 1312 فی بروجن من نواحی أصفهان. له منظومة توحید نقل عنها فی شعرای معاصر أصفهان- ص 460.</w:t>
      </w:r>
    </w:p>
    <w:p>
      <w:pPr>
        <w:pStyle w:val="Heading3"/>
      </w:pPr>
      <w:bookmarkStart w:id="9281" w:name="_Toc7977"/>
      <w:r>
        <w:t>7007- دیوان مغول سمرقندی أو شعره‏</w:t>
      </w:r>
      <w:bookmarkEnd w:id="9281"/>
    </w:p>
    <w:p>
      <w:pPr>
        <w:pStyle w:val="BookText"/>
      </w:pPr>
      <w:r>
        <w:rPr>
          <w:rFonts w:ascii="IRNazanin" w:hAnsi="IRNazanin" w:eastAsia="IRNazanin" w:cs="IRNazanin"/>
          <w:lang w:bidi="fa-IR"/>
          <w:color w:val="111111"/>
          <w:sz w:val="28"/>
          <w:szCs w:val="28"/>
          <w:rtl/>
        </w:rPr>
        <w:t xml:space="preserve">و اسمه عبد الوهاب کان ینظم بالترکیة و الفارسیة لشیبک خان أزبک کما ترجمه فی (مجتس 8- ص 171) و (گلشن- ص 436).</w:t>
      </w:r>
    </w:p>
    <w:p>
      <w:pPr>
        <w:pStyle w:val="Heading3"/>
      </w:pPr>
      <w:bookmarkStart w:id="9282" w:name="_Toc7978"/>
      <w:r>
        <w:t>دیوان مغیث الدین أسدآبادی‏</w:t>
      </w:r>
      <w:bookmarkEnd w:id="9282"/>
    </w:p>
    <w:p>
      <w:pPr>
        <w:pStyle w:val="BookText"/>
      </w:pPr>
      <w:r>
        <w:rPr>
          <w:rFonts w:ascii="IRNazanin" w:hAnsi="IRNazanin" w:eastAsia="IRNazanin" w:cs="IRNazanin"/>
          <w:lang w:bidi="fa-IR"/>
          <w:color w:val="111111"/>
          <w:sz w:val="28"/>
          <w:szCs w:val="28"/>
          <w:rtl/>
        </w:rPr>
        <w:t xml:space="preserve">المتخلص محوی همدانی کما مر فی ص 1014 قال فی (نتایج- ص 631) إنه سکن مدة بنیشابور و لذا قد ینسب إلیه أیضا.</w:t>
      </w:r>
    </w:p>
    <w:p>
      <w:pPr>
        <w:pStyle w:val="Heading3"/>
      </w:pPr>
      <w:bookmarkStart w:id="9283" w:name="_Toc7979"/>
      <w:r>
        <w:t>7008- دیوان مغیثی شیرازی‏</w:t>
      </w:r>
      <w:bookmarkEnd w:id="9283"/>
    </w:p>
    <w:p>
      <w:pPr>
        <w:pStyle w:val="BookText"/>
      </w:pPr>
      <w:r>
        <w:rPr>
          <w:rFonts w:ascii="IRNazanin" w:hAnsi="IRNazanin" w:eastAsia="IRNazanin" w:cs="IRNazanin"/>
          <w:lang w:bidi="fa-IR"/>
          <w:color w:val="111111"/>
          <w:sz w:val="28"/>
          <w:szCs w:val="28"/>
          <w:rtl/>
        </w:rPr>
        <w:t xml:space="preserve">و اسمه عبد الکریم. طبع له عروس چمن علی الحجر بطهران.</w:t>
      </w:r>
    </w:p>
    <w:p>
      <w:pPr>
        <w:pStyle w:val="Heading3"/>
      </w:pPr>
      <w:bookmarkStart w:id="9284" w:name="_Toc7980"/>
      <w:r>
        <w:t>7009- دیوان مغیثی گنجوی أو شعره‏</w:t>
      </w:r>
      <w:bookmarkEnd w:id="9284"/>
    </w:p>
    <w:p>
      <w:pPr>
        <w:pStyle w:val="BookText"/>
      </w:pPr>
      <w:r>
        <w:rPr>
          <w:rFonts w:ascii="IRNazanin" w:hAnsi="IRNazanin" w:eastAsia="IRNazanin" w:cs="IRNazanin"/>
          <w:lang w:bidi="fa-IR"/>
          <w:color w:val="111111"/>
          <w:sz w:val="28"/>
          <w:szCs w:val="28"/>
          <w:rtl/>
        </w:rPr>
        <w:t xml:space="preserve">ترجمه هدایت فی (مع 1: 506) و أورد له غزل یک و دو نقلا عن الأوحدی.</w:t>
      </w:r>
    </w:p>
    <w:p>
      <w:pPr>
        <w:pStyle w:val="Heading3"/>
      </w:pPr>
      <w:bookmarkStart w:id="9285" w:name="_Toc7981"/>
      <w:r>
        <w:t>دیوان مفاخر حسین‏</w:t>
      </w:r>
      <w:bookmarkEnd w:id="9285"/>
    </w:p>
    <w:p>
      <w:pPr>
        <w:pStyle w:val="BookText"/>
      </w:pPr>
      <w:r>
        <w:rPr>
          <w:rFonts w:ascii="IRNazanin" w:hAnsi="IRNazanin" w:eastAsia="IRNazanin" w:cs="IRNazanin"/>
          <w:lang w:bidi="fa-IR"/>
          <w:color w:val="111111"/>
          <w:sz w:val="28"/>
          <w:szCs w:val="28"/>
          <w:rtl/>
        </w:rPr>
        <w:t xml:space="preserve">المذکور بتخلصه ثاقب سرهندی فی ص 183. قال فی (نتایج- ص 133) إنه مات فی أواخر المائة الحادیة عشر.</w:t>
      </w:r>
    </w:p>
    <w:p>
      <w:pPr>
        <w:pStyle w:val="Heading3"/>
      </w:pPr>
      <w:bookmarkStart w:id="9286" w:name="_Toc7982"/>
      <w:r>
        <w:t>7010- دیوان مفتقر أصفهانی‏</w:t>
      </w:r>
      <w:bookmarkEnd w:id="9286"/>
    </w:p>
    <w:p>
      <w:pPr>
        <w:pStyle w:val="BookText"/>
      </w:pPr>
      <w:r>
        <w:rPr>
          <w:rFonts w:ascii="IRNazanin" w:hAnsi="IRNazanin" w:eastAsia="IRNazanin" w:cs="IRNazanin"/>
          <w:lang w:bidi="fa-IR"/>
          <w:color w:val="111111"/>
          <w:sz w:val="28"/>
          <w:szCs w:val="28"/>
          <w:rtl/>
        </w:rPr>
        <w:t xml:space="preserve">للشیخ محمد حسین الأصفهانی النجفی الشهیر
</w:t>
      </w:r>
    </w:p>
    <w:p>
      <w:pPr>
        <w:sectPr>
          <w:footerReference w:type="default" r:id="rId10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بالکمپانی (1296- 1361) فارسی و تخلصه فی شعره الفارسی مفتقر رأیت منه نسخه فی مکتبة مدرسة السید محمد کاظم الیزدی تاریخ کتابتها 1347. و أما دیوانه العربی فهو مطبوع فی النجف بعد وفاته و اسمه الأنوار القدسیة المشتمل علی أربع و عشرین قصیدة فی مدائح الأربعة عشر و مراثیهم. و طبع دیوانه الفارسی بقم 1376 فی 100 ص. و فیها ترجیع‏بند فی مدح النبی و بیت الترجیع:</w:t>
      </w:r>
    </w:p>
    <w:p>
      <w:pPr>
        <w:pStyle w:val="BookText"/>
      </w:pPr>
      <w:r>
        <w:rPr>
          <w:rFonts w:ascii="IRNazanin" w:hAnsi="IRNazanin" w:eastAsia="IRNazanin" w:cs="IRNazanin"/>
          <w:lang w:bidi="fa-IR"/>
          <w:color w:val="111111"/>
          <w:sz w:val="28"/>
          <w:szCs w:val="28"/>
          <w:rtl/>
        </w:rPr>
        <w:t xml:space="preserve">فرموده به شأنت ایزد پاک‏</w:t>
      </w:r>
    </w:p>
    <w:p>
      <w:pPr>
        <w:pStyle w:val="BookText"/>
      </w:pPr>
      <w:r>
        <w:rPr>
          <w:rFonts w:ascii="IRNazanin" w:hAnsi="IRNazanin" w:eastAsia="IRNazanin" w:cs="IRNazanin"/>
          <w:lang w:bidi="fa-IR"/>
          <w:color w:val="111111"/>
          <w:sz w:val="28"/>
          <w:szCs w:val="28"/>
          <w:rtl/>
        </w:rPr>
        <w:t xml:space="preserve">لولاک لما خلقت الأفلاک‏</w:t>
      </w:r>
    </w:p>
    <w:p>
      <w:pPr>
        <w:pStyle w:val="BookText"/>
      </w:pPr>
      <w:r>
        <w:rPr>
          <w:rFonts w:ascii="IRNazanin" w:hAnsi="IRNazanin" w:eastAsia="IRNazanin" w:cs="IRNazanin"/>
          <w:lang w:bidi="fa-IR"/>
          <w:color w:val="111111"/>
          <w:sz w:val="28"/>
          <w:szCs w:val="28"/>
          <w:rtl/>
        </w:rPr>
        <w:t xml:space="preserve">فی خمسة عشر بندا، ثم قصیدة فی وفاته، ثم قصیدة فی ولادة الأمیر ع فیها قوله:</w:t>
      </w:r>
    </w:p>
    <w:p>
      <w:pPr>
        <w:pStyle w:val="BookText"/>
      </w:pPr>
      <w:r>
        <w:rPr>
          <w:rFonts w:ascii="IRNazanin" w:hAnsi="IRNazanin" w:eastAsia="IRNazanin" w:cs="IRNazanin"/>
          <w:lang w:bidi="fa-IR"/>
          <w:color w:val="111111"/>
          <w:sz w:val="28"/>
          <w:szCs w:val="28"/>
          <w:rtl/>
        </w:rPr>
        <w:t xml:space="preserve">کعبه پر از نور شد</w:t>
      </w:r>
    </w:p>
    <w:p>
      <w:pPr>
        <w:pStyle w:val="BookText"/>
      </w:pPr>
      <w:r>
        <w:rPr>
          <w:rFonts w:ascii="IRNazanin" w:hAnsi="IRNazanin" w:eastAsia="IRNazanin" w:cs="IRNazanin"/>
          <w:lang w:bidi="fa-IR"/>
          <w:color w:val="111111"/>
          <w:sz w:val="28"/>
          <w:szCs w:val="28"/>
          <w:rtl/>
        </w:rPr>
        <w:t xml:space="preserve">جلوه‏گه طور شد</w:t>
      </w:r>
    </w:p>
    <w:p>
      <w:pPr>
        <w:pStyle w:val="BookText"/>
      </w:pPr>
      <w:r>
        <w:rPr>
          <w:rFonts w:ascii="IRNazanin" w:hAnsi="IRNazanin" w:eastAsia="IRNazanin" w:cs="IRNazanin"/>
          <w:lang w:bidi="fa-IR"/>
          <w:color w:val="111111"/>
          <w:sz w:val="28"/>
          <w:szCs w:val="28"/>
          <w:rtl/>
        </w:rPr>
        <w:t xml:space="preserve">سر أنا الله ز نور</w:t>
      </w:r>
    </w:p>
    <w:p>
      <w:pPr>
        <w:pStyle w:val="BookText"/>
      </w:pPr>
      <w:r>
        <w:rPr>
          <w:rFonts w:ascii="IRNazanin" w:hAnsi="IRNazanin" w:eastAsia="IRNazanin" w:cs="IRNazanin"/>
          <w:lang w:bidi="fa-IR"/>
          <w:color w:val="111111"/>
          <w:sz w:val="28"/>
          <w:szCs w:val="28"/>
          <w:rtl/>
        </w:rPr>
        <w:t xml:space="preserve">گشت عیان نی ز نار</w:t>
      </w:r>
    </w:p>
    <w:p>
      <w:pPr>
        <w:pStyle w:val="BookText"/>
      </w:pPr>
      <w:r>
        <w:rPr>
          <w:rFonts w:ascii="IRNazanin" w:hAnsi="IRNazanin" w:eastAsia="IRNazanin" w:cs="IRNazanin"/>
          <w:lang w:bidi="fa-IR"/>
          <w:color w:val="111111"/>
          <w:sz w:val="28"/>
          <w:szCs w:val="28"/>
          <w:rtl/>
        </w:rPr>
        <w:t xml:space="preserve">ثم مخمسة الغدیریة. ثم ترجیع‏بند فی شهادة الأمیر ع. و بیت الترجیع قوله:</w:t>
      </w:r>
    </w:p>
    <w:p>
      <w:pPr>
        <w:pStyle w:val="BookText"/>
      </w:pPr>
      <w:r>
        <w:rPr>
          <w:rFonts w:ascii="IRNazanin" w:hAnsi="IRNazanin" w:eastAsia="IRNazanin" w:cs="IRNazanin"/>
          <w:lang w:bidi="fa-IR"/>
          <w:color w:val="111111"/>
          <w:sz w:val="28"/>
          <w:szCs w:val="28"/>
          <w:rtl/>
        </w:rPr>
        <w:t xml:space="preserve">ز خون محراب و منبر لاله‏گون است‏</w:t>
      </w:r>
    </w:p>
    <w:p>
      <w:pPr>
        <w:pStyle w:val="BookText"/>
      </w:pPr>
      <w:r>
        <w:rPr>
          <w:rFonts w:ascii="IRNazanin" w:hAnsi="IRNazanin" w:eastAsia="IRNazanin" w:cs="IRNazanin"/>
          <w:lang w:bidi="fa-IR"/>
          <w:color w:val="111111"/>
          <w:sz w:val="28"/>
          <w:szCs w:val="28"/>
          <w:rtl/>
        </w:rPr>
        <w:t xml:space="preserve">أمیر المؤمنین غرقاب خون است‏</w:t>
      </w:r>
    </w:p>
    <w:p>
      <w:pPr>
        <w:pStyle w:val="BookText"/>
      </w:pPr>
      <w:r>
        <w:rPr>
          <w:rFonts w:ascii="IRNazanin" w:hAnsi="IRNazanin" w:eastAsia="IRNazanin" w:cs="IRNazanin"/>
          <w:lang w:bidi="fa-IR"/>
          <w:color w:val="111111"/>
          <w:sz w:val="28"/>
          <w:szCs w:val="28"/>
          <w:rtl/>
        </w:rPr>
        <w:t xml:space="preserve">و فی آخره تخلصه‏</w:t>
      </w:r>
    </w:p>
    <w:p>
      <w:pPr>
        <w:pStyle w:val="BookText"/>
      </w:pPr>
      <w:r>
        <w:rPr>
          <w:rFonts w:ascii="IRNazanin" w:hAnsi="IRNazanin" w:eastAsia="IRNazanin" w:cs="IRNazanin"/>
          <w:lang w:bidi="fa-IR"/>
          <w:color w:val="111111"/>
          <w:sz w:val="28"/>
          <w:szCs w:val="28"/>
          <w:rtl/>
        </w:rPr>
        <w:t xml:space="preserve">شها در آستانت مفتقر چون‏</w:t>
      </w:r>
    </w:p>
    <w:p>
      <w:pPr>
        <w:pStyle w:val="BookText"/>
      </w:pPr>
      <w:r>
        <w:rPr>
          <w:rFonts w:ascii="IRNazanin" w:hAnsi="IRNazanin" w:eastAsia="IRNazanin" w:cs="IRNazanin"/>
          <w:lang w:bidi="fa-IR"/>
          <w:color w:val="111111"/>
          <w:sz w:val="28"/>
          <w:szCs w:val="28"/>
          <w:rtl/>
        </w:rPr>
        <w:t xml:space="preserve">سگ أصحاب کهف است و رقیم است‏</w:t>
      </w:r>
    </w:p>
    <w:p>
      <w:pPr>
        <w:pStyle w:val="BookText"/>
      </w:pPr>
      <w:r>
        <w:rPr>
          <w:rFonts w:ascii="IRNazanin" w:hAnsi="IRNazanin" w:eastAsia="IRNazanin" w:cs="IRNazanin"/>
          <w:lang w:bidi="fa-IR"/>
          <w:color w:val="111111"/>
          <w:sz w:val="28"/>
          <w:szCs w:val="28"/>
          <w:rtl/>
        </w:rPr>
        <w:t xml:space="preserve">ثم قصیدة فی مدح الصدیقة. أولها:</w:t>
      </w:r>
    </w:p>
    <w:p>
      <w:pPr>
        <w:pStyle w:val="BookText"/>
      </w:pPr>
      <w:r>
        <w:rPr>
          <w:rFonts w:ascii="IRNazanin" w:hAnsi="IRNazanin" w:eastAsia="IRNazanin" w:cs="IRNazanin"/>
          <w:lang w:bidi="fa-IR"/>
          <w:color w:val="111111"/>
          <w:sz w:val="28"/>
          <w:szCs w:val="28"/>
          <w:rtl/>
        </w:rPr>
        <w:t xml:space="preserve">دختر فکر بکر من غنچه لب چه وا کند</w:t>
      </w:r>
    </w:p>
    <w:p>
      <w:pPr>
        <w:pStyle w:val="BookText"/>
      </w:pPr>
      <w:r>
        <w:rPr>
          <w:rFonts w:ascii="IRNazanin" w:hAnsi="IRNazanin" w:eastAsia="IRNazanin" w:cs="IRNazanin"/>
          <w:lang w:bidi="fa-IR"/>
          <w:color w:val="111111"/>
          <w:sz w:val="28"/>
          <w:szCs w:val="28"/>
          <w:rtl/>
        </w:rPr>
        <w:t xml:space="preserve">از نمکین کلام خود حق نمک ادا کند</w:t>
      </w:r>
    </w:p>
    <w:p>
      <w:pPr>
        <w:pStyle w:val="BookText"/>
      </w:pPr>
      <w:r>
        <w:rPr>
          <w:rFonts w:ascii="IRNazanin" w:hAnsi="IRNazanin" w:eastAsia="IRNazanin" w:cs="IRNazanin"/>
          <w:lang w:bidi="fa-IR"/>
          <w:color w:val="111111"/>
          <w:sz w:val="28"/>
          <w:szCs w:val="28"/>
          <w:rtl/>
        </w:rPr>
        <w:t xml:space="preserve">و مقطعها:</w:t>
      </w:r>
    </w:p>
    <w:p>
      <w:pPr>
        <w:pStyle w:val="BookText"/>
      </w:pPr>
      <w:r>
        <w:rPr>
          <w:rFonts w:ascii="IRNazanin" w:hAnsi="IRNazanin" w:eastAsia="IRNazanin" w:cs="IRNazanin"/>
          <w:lang w:bidi="fa-IR"/>
          <w:color w:val="111111"/>
          <w:sz w:val="28"/>
          <w:szCs w:val="28"/>
          <w:rtl/>
        </w:rPr>
        <w:t xml:space="preserve">مفتقرا متاب رو از در أو به هیچ سو</w:t>
      </w:r>
    </w:p>
    <w:p>
      <w:pPr>
        <w:pStyle w:val="BookText"/>
      </w:pPr>
      <w:r>
        <w:rPr>
          <w:rFonts w:ascii="IRNazanin" w:hAnsi="IRNazanin" w:eastAsia="IRNazanin" w:cs="IRNazanin"/>
          <w:lang w:bidi="fa-IR"/>
          <w:color w:val="111111"/>
          <w:sz w:val="28"/>
          <w:szCs w:val="28"/>
          <w:rtl/>
        </w:rPr>
        <w:t xml:space="preserve">زانکه مس وجود را فضه أو طلا کند</w:t>
      </w:r>
    </w:p>
    <w:p>
      <w:pPr>
        <w:pStyle w:val="BookText"/>
      </w:pPr>
      <w:r>
        <w:rPr>
          <w:rFonts w:ascii="IRNazanin" w:hAnsi="IRNazanin" w:eastAsia="IRNazanin" w:cs="IRNazanin"/>
          <w:lang w:bidi="fa-IR"/>
          <w:color w:val="111111"/>
          <w:sz w:val="28"/>
          <w:szCs w:val="28"/>
          <w:rtl/>
        </w:rPr>
        <w:t xml:space="preserve">ثم فی مدح المجتبی ثم رثائه، ثم فی مدح الشهید بکربلاء ثم رثائه فی اثنی عشر بندا نظیر بنود المحتشم. و البند الثانی عشر أوله:</w:t>
      </w:r>
    </w:p>
    <w:p>
      <w:pPr>
        <w:pStyle w:val="BookText"/>
      </w:pPr>
      <w:r>
        <w:rPr>
          <w:rFonts w:ascii="IRNazanin" w:hAnsi="IRNazanin" w:eastAsia="IRNazanin" w:cs="IRNazanin"/>
          <w:lang w:bidi="fa-IR"/>
          <w:color w:val="111111"/>
          <w:sz w:val="28"/>
          <w:szCs w:val="28"/>
          <w:rtl/>
        </w:rPr>
        <w:t xml:space="preserve">خاموش مفتقر که دل دهر آب شد</w:t>
      </w:r>
    </w:p>
    <w:p>
      <w:pPr>
        <w:pStyle w:val="BookText"/>
      </w:pPr>
      <w:r>
        <w:rPr>
          <w:rFonts w:ascii="IRNazanin" w:hAnsi="IRNazanin" w:eastAsia="IRNazanin" w:cs="IRNazanin"/>
          <w:lang w:bidi="fa-IR"/>
          <w:color w:val="111111"/>
          <w:sz w:val="28"/>
          <w:szCs w:val="28"/>
          <w:rtl/>
        </w:rPr>
        <w:t xml:space="preserve">و از سیل أشک عالم إمکان خراب شد</w:t>
      </w:r>
    </w:p>
    <w:p>
      <w:pPr>
        <w:pStyle w:val="BookText"/>
      </w:pPr>
      <w:r>
        <w:rPr>
          <w:rFonts w:ascii="IRNazanin" w:hAnsi="IRNazanin" w:eastAsia="IRNazanin" w:cs="IRNazanin"/>
          <w:lang w:bidi="fa-IR"/>
          <w:color w:val="111111"/>
          <w:sz w:val="28"/>
          <w:szCs w:val="28"/>
          <w:rtl/>
        </w:rPr>
        <w:t xml:space="preserve">إلی تمام تسعة أبیات، أول کل واحد منها [</w:t>
      </w:r>
    </w:p>
    <w:p>
      <w:pPr>
        <w:pStyle w:val="BookText"/>
      </w:pPr>
      <w:r>
        <w:rPr>
          <w:rFonts w:ascii="IRNazanin" w:hAnsi="IRNazanin" w:eastAsia="IRNazanin" w:cs="IRNazanin"/>
          <w:lang w:bidi="fa-IR"/>
          <w:color w:val="111111"/>
          <w:sz w:val="28"/>
          <w:szCs w:val="28"/>
          <w:rtl/>
        </w:rPr>
        <w:t xml:space="preserve">خاموش مفتقر ...</w:t>
      </w:r>
    </w:p>
    <w:p>
      <w:pPr>
        <w:pStyle w:val="BookText"/>
      </w:pPr>
      <w:r>
        <w:rPr>
          <w:rFonts w:ascii="IRNazanin" w:hAnsi="IRNazanin" w:eastAsia="IRNazanin" w:cs="IRNazanin"/>
          <w:lang w:bidi="fa-IR"/>
          <w:color w:val="111111"/>
          <w:sz w:val="28"/>
          <w:szCs w:val="28"/>
          <w:rtl/>
        </w:rPr>
        <w:t xml:space="preserve">] و أنشأ فی استنهاض الحجة قصیدة مستزادة، تتبع فیها قصیدة الحاج میرزا إسماعیل ابن عم سیدنا الشیرازی أولها:
</w:t>
      </w:r>
    </w:p>
    <w:p>
      <w:pPr>
        <w:sectPr>
          <w:footerReference w:type="default" r:id="rId1091"/>
          <w:footnotePr>
            <w:numStart w:val="1"/>
            <w:numRestart w:val="eachPage"/>
          </w:footnotePr>
          <w:pgSz w:orient="portrait" w:w="11905.511811023622" w:h="16837.79527559055"/>
          <w:pgMar w:top="1440" w:right="1440" w:bottom="1440" w:left="1440" w:header="720" w:footer="720" w:gutter="0"/>
          <w:cols w:num="1" w:space="720"/>
        </w:sectPr>
      </w:pPr>
    </w:p>
    <w:bookmarkStart w:id="1070" w:name="pg11704_122559"/>
    <w:bookmarkEnd w:id="1070"/>
    <w:p>
      <w:pPr>
        <w:pStyle w:val="BookText"/>
      </w:pPr>
      <w:r>
        <w:rPr>
          <w:rFonts w:ascii="IRNazanin" w:hAnsi="IRNazanin" w:eastAsia="IRNazanin" w:cs="IRNazanin"/>
          <w:lang w:bidi="fa-IR"/>
          <w:color w:val="111111"/>
          <w:sz w:val="28"/>
          <w:szCs w:val="28"/>
          <w:rtl/>
        </w:rPr>
        <w:t xml:space="preserve">یا إمام العصر یا بن الطاهرین الطیبین، یا ولی المؤمنین‏</w:t>
      </w:r>
    </w:p>
    <w:p>
      <w:pPr>
        <w:pStyle w:val="BookText"/>
      </w:pPr>
      <w:r>
        <w:rPr>
          <w:rFonts w:ascii="IRNazanin" w:hAnsi="IRNazanin" w:eastAsia="IRNazanin" w:cs="IRNazanin"/>
          <w:lang w:bidi="fa-IR"/>
          <w:color w:val="111111"/>
          <w:sz w:val="28"/>
          <w:szCs w:val="28"/>
          <w:rtl/>
        </w:rPr>
        <w:t xml:space="preserve">شور محشر را میان با دیده حق بین ببین، یا ولی المؤمنین‏</w:t>
      </w:r>
    </w:p>
    <w:p>
      <w:pPr>
        <w:pStyle w:val="BookText"/>
      </w:pPr>
      <w:r>
        <w:rPr>
          <w:rFonts w:ascii="IRNazanin" w:hAnsi="IRNazanin" w:eastAsia="IRNazanin" w:cs="IRNazanin"/>
          <w:lang w:bidi="fa-IR"/>
          <w:color w:val="111111"/>
          <w:sz w:val="28"/>
          <w:szCs w:val="28"/>
          <w:rtl/>
        </w:rPr>
        <w:t xml:space="preserve">إلی قوله:</w:t>
      </w:r>
    </w:p>
    <w:p>
      <w:pPr>
        <w:pStyle w:val="BookText"/>
      </w:pPr>
      <w:r>
        <w:rPr>
          <w:rFonts w:ascii="IRNazanin" w:hAnsi="IRNazanin" w:eastAsia="IRNazanin" w:cs="IRNazanin"/>
          <w:lang w:bidi="fa-IR"/>
          <w:color w:val="111111"/>
          <w:sz w:val="28"/>
          <w:szCs w:val="28"/>
          <w:rtl/>
        </w:rPr>
        <w:t xml:space="preserve">حرمة الرحمن أضحت فی انهتاک و انهتاک، أحسن الله عزاک‏</w:t>
      </w:r>
    </w:p>
    <w:p>
      <w:pPr>
        <w:pStyle w:val="BookText"/>
      </w:pPr>
      <w:r>
        <w:rPr>
          <w:rFonts w:ascii="IRNazanin" w:hAnsi="IRNazanin" w:eastAsia="IRNazanin" w:cs="IRNazanin"/>
          <w:lang w:bidi="fa-IR"/>
          <w:color w:val="111111"/>
          <w:sz w:val="28"/>
          <w:szCs w:val="28"/>
          <w:rtl/>
        </w:rPr>
        <w:t xml:space="preserve">بسکه خون حق به ناحق ریخت در آن سرزمین، یا ولی المؤمنین‏</w:t>
      </w:r>
    </w:p>
    <w:p>
      <w:pPr>
        <w:pStyle w:val="BookText"/>
      </w:pPr>
      <w:r>
        <w:rPr>
          <w:rFonts w:ascii="IRNazanin" w:hAnsi="IRNazanin" w:eastAsia="IRNazanin" w:cs="IRNazanin"/>
          <w:lang w:bidi="fa-IR"/>
          <w:color w:val="111111"/>
          <w:sz w:val="28"/>
          <w:szCs w:val="28"/>
          <w:rtl/>
        </w:rPr>
        <w:t xml:space="preserve">إلی تمام اثنی عشر بیتا مستزادا کذلک. و ذلک لما کان لقصیدة الشیرازی من الشأن فی سامراء من عصره إلی ستین سنة. ثم القصائد فی المدیح و الرثاء لکل واحد من الأئمة ع إلی الحجة و قد ترجم الناظم الحاج سراج الأنصاری فی مجلة المسلمین فی السنة الأولی منها فی العدد الثالث فی ص 12 إلی ص 15 و أورد بمناسبة وفاة الزهراء تمام القصیدة التی فی مدحها من مطلعها إلی مقطعها.</w:t>
      </w:r>
    </w:p>
    <w:p>
      <w:pPr>
        <w:pStyle w:val="Heading3"/>
      </w:pPr>
      <w:bookmarkStart w:id="9287" w:name="_Toc7983"/>
      <w:r>
        <w:t>7011- دیوان مفتون أصفهانی‏</w:t>
      </w:r>
      <w:bookmarkEnd w:id="9287"/>
    </w:p>
    <w:p>
      <w:pPr>
        <w:pStyle w:val="BookText"/>
      </w:pPr>
      <w:r>
        <w:rPr>
          <w:rFonts w:ascii="IRNazanin" w:hAnsi="IRNazanin" w:eastAsia="IRNazanin" w:cs="IRNazanin"/>
          <w:lang w:bidi="fa-IR"/>
          <w:color w:val="111111"/>
          <w:sz w:val="28"/>
          <w:szCs w:val="28"/>
          <w:rtl/>
        </w:rPr>
        <w:t xml:space="preserve">و هو بهاء الدین محمد تقی بن الشیخ محمد باقر ألفت المذکور فی ص 90. ولد بأصفهان فی 18 ذی الحجة 1322 کما ذکره لنا المعلم الحبیب‏آبادی. و ترجم فی شعرای معاصر أصفهان- ص 461 و جاء شعره فی دانش‏نامه لوالده.</w:t>
      </w:r>
    </w:p>
    <w:p>
      <w:pPr>
        <w:pStyle w:val="Heading3"/>
      </w:pPr>
      <w:bookmarkStart w:id="9288" w:name="_Toc7984"/>
      <w:r>
        <w:t>7012- دیوان مفتون دنبلی‏</w:t>
      </w:r>
      <w:bookmarkEnd w:id="9288"/>
    </w:p>
    <w:p>
      <w:pPr>
        <w:pStyle w:val="BookText"/>
      </w:pPr>
      <w:r>
        <w:rPr>
          <w:rFonts w:ascii="IRNazanin" w:hAnsi="IRNazanin" w:eastAsia="IRNazanin" w:cs="IRNazanin"/>
          <w:lang w:bidi="fa-IR"/>
          <w:color w:val="111111"/>
          <w:sz w:val="28"/>
          <w:szCs w:val="28"/>
          <w:rtl/>
        </w:rPr>
        <w:t xml:space="preserve">اسمه عبد الرزاق بیک بن نجف قلی خان بیکلر بیگی فی تبریز. ترجم مفصلا فی (دجا- ص 353) عن تذکره دلگشا و غیره، و ترجم فی (مع 2- ص 483) و ترجم مختصرا فی آثار الشیعة- ص 211 و فصل تصانیفه إلی ستة عشر تألیفا منها مثنوی ناز و نیاز و مثنوی همایون‏نامه و مثنوی علی بحر الرمل و دیوان القصائد و الغزلیات و حج 1241 و توفی بتبریز 1243 و کانت ولادته فی خوی 1176 و من تصانیفه نگارستان دارا فرغ منه 1241 و هو فی تذکره الشعراء و من أواخر تألیفاته. و له حدائق الأدباء الموجود إحدی حدائقه فی مکتبة (المجلس) ذکرت خصوصیاتها فی فهرسها ج 3 ص 174 و</w:t>
      </w:r>
    </w:p>
    <w:p>
      <w:pPr>
        <w:pStyle w:val="BookText"/>
      </w:pPr>
      <w:r>
        <w:rPr>
          <w:rFonts w:ascii="IRNazanin" w:hAnsi="IRNazanin" w:eastAsia="IRNazanin" w:cs="IRNazanin"/>
          <w:lang w:bidi="fa-IR"/>
          <w:color w:val="111111"/>
          <w:sz w:val="28"/>
          <w:szCs w:val="28"/>
          <w:rtl/>
        </w:rPr>
        <w:t xml:space="preserve">ترجم فی (انجمن 3) و سبک‏شناسی 3: 320 و ترجمه کل من سلطان القرائی و حسین النخجوانی فی نشریتی المکتبة الملیة و کلیة الأدب بتبریز. و طبع له منظومة مختارنامه. و مر له ریاض الجنة و مر دیوان ابنه محمد بن عبد الرزاق فی ص 985.
</w:t>
      </w:r>
    </w:p>
    <w:p>
      <w:pPr>
        <w:sectPr>
          <w:footerReference w:type="default" r:id="rId1092"/>
          <w:footnotePr>
            <w:numStart w:val="1"/>
            <w:numRestart w:val="eachPage"/>
          </w:footnotePr>
          <w:pgSz w:orient="portrait" w:w="11905.511811023622" w:h="16837.79527559055"/>
          <w:pgMar w:top="1440" w:right="1440" w:bottom="1440" w:left="1440" w:header="720" w:footer="720" w:gutter="0"/>
          <w:cols w:num="1" w:space="720"/>
        </w:sectPr>
      </w:pPr>
    </w:p>
    <w:bookmarkStart w:id="1071" w:name="pg11704_122560"/>
    <w:bookmarkEnd w:id="1071"/>
    <w:p>
      <w:pPr>
        <w:pStyle w:val="Heading3"/>
      </w:pPr>
      <w:bookmarkStart w:id="9289" w:name="_Toc7985"/>
      <w:r>
        <w:t>دیوان مفتون دهلوی‏</w:t>
      </w:r>
      <w:bookmarkEnd w:id="9289"/>
    </w:p>
    <w:p>
      <w:pPr>
        <w:pStyle w:val="BookText"/>
      </w:pPr>
      <w:r>
        <w:rPr>
          <w:rFonts w:ascii="IRNazanin" w:hAnsi="IRNazanin" w:eastAsia="IRNazanin" w:cs="IRNazanin"/>
          <w:lang w:bidi="fa-IR"/>
          <w:color w:val="111111"/>
          <w:sz w:val="28"/>
          <w:szCs w:val="28"/>
          <w:rtl/>
        </w:rPr>
        <w:t xml:space="preserve">هو تخلص آخر لشمس الدین فقیر المذکور فی ص 842 و فی بعض المواضع فائبی.</w:t>
      </w:r>
    </w:p>
    <w:p>
      <w:pPr>
        <w:pStyle w:val="Heading3"/>
      </w:pPr>
      <w:bookmarkStart w:id="9290" w:name="_Toc7986"/>
      <w:r>
        <w:t>7013- دیوان مفتون ساروی‏</w:t>
      </w:r>
      <w:bookmarkEnd w:id="9290"/>
    </w:p>
    <w:p>
      <w:pPr>
        <w:pStyle w:val="BookText"/>
      </w:pPr>
      <w:r>
        <w:rPr>
          <w:rFonts w:ascii="IRNazanin" w:hAnsi="IRNazanin" w:eastAsia="IRNazanin" w:cs="IRNazanin"/>
          <w:lang w:bidi="fa-IR"/>
          <w:color w:val="111111"/>
          <w:sz w:val="28"/>
          <w:szCs w:val="28"/>
          <w:rtl/>
        </w:rPr>
        <w:t xml:space="preserve">ترجمه و أورد شعره طاهری شهاب فی مجلة أرمغان- 16: 684.</w:t>
      </w:r>
    </w:p>
    <w:p>
      <w:pPr>
        <w:pStyle w:val="Heading3"/>
      </w:pPr>
      <w:bookmarkStart w:id="9291" w:name="_Toc7987"/>
      <w:r>
        <w:t>7014- دیوان مفتون شاه‏آبادی أو شعره‏</w:t>
      </w:r>
      <w:bookmarkEnd w:id="9291"/>
    </w:p>
    <w:p>
      <w:pPr>
        <w:pStyle w:val="BookText"/>
      </w:pPr>
      <w:r>
        <w:rPr>
          <w:rFonts w:ascii="IRNazanin" w:hAnsi="IRNazanin" w:eastAsia="IRNazanin" w:cs="IRNazanin"/>
          <w:lang w:bidi="fa-IR"/>
          <w:color w:val="111111"/>
          <w:sz w:val="28"/>
          <w:szCs w:val="28"/>
          <w:rtl/>
        </w:rPr>
        <w:t xml:space="preserve">و اسمه إحسان الله بن أمان الله الأودی.</w:t>
      </w:r>
    </w:p>
    <w:p>
      <w:pPr>
        <w:pStyle w:val="BookText"/>
      </w:pPr>
      <w:r>
        <w:rPr>
          <w:rFonts w:ascii="IRNazanin" w:hAnsi="IRNazanin" w:eastAsia="IRNazanin" w:cs="IRNazanin"/>
          <w:lang w:bidi="fa-IR"/>
          <w:color w:val="111111"/>
          <w:sz w:val="28"/>
          <w:szCs w:val="28"/>
          <w:rtl/>
        </w:rPr>
        <w:t xml:space="preserve">أورد شعره فی (گلشن- ص 436) و عنه فی القاموس الترکی.</w:t>
      </w:r>
    </w:p>
    <w:p>
      <w:pPr>
        <w:pStyle w:val="Heading3"/>
      </w:pPr>
      <w:bookmarkStart w:id="9292" w:name="_Toc7988"/>
      <w:r>
        <w:t>7015- دیوان مفتون فارسی أو شعره‏</w:t>
      </w:r>
      <w:bookmarkEnd w:id="9292"/>
    </w:p>
    <w:p>
      <w:pPr>
        <w:pStyle w:val="BookText"/>
      </w:pPr>
      <w:r>
        <w:rPr>
          <w:rFonts w:ascii="IRNazanin" w:hAnsi="IRNazanin" w:eastAsia="IRNazanin" w:cs="IRNazanin"/>
          <w:lang w:bidi="fa-IR"/>
          <w:color w:val="111111"/>
          <w:sz w:val="28"/>
          <w:szCs w:val="28"/>
          <w:rtl/>
        </w:rPr>
        <w:t xml:space="preserve">و اسمه محمد حسن البواناتی ترجمه فی (مع 2- ص 487) و ذکر ملاقاته له و أورد شعره و کذا فی (انجمن 3)</w:t>
      </w:r>
    </w:p>
    <w:p>
      <w:pPr>
        <w:pStyle w:val="Heading3"/>
      </w:pPr>
      <w:bookmarkStart w:id="9293" w:name="_Toc7989"/>
      <w:r>
        <w:t>7016- دیوان مفتون کاکوروی أو شعره‏</w:t>
      </w:r>
      <w:bookmarkEnd w:id="9293"/>
    </w:p>
    <w:p>
      <w:pPr>
        <w:pStyle w:val="BookText"/>
      </w:pPr>
      <w:r>
        <w:rPr>
          <w:rFonts w:ascii="IRNazanin" w:hAnsi="IRNazanin" w:eastAsia="IRNazanin" w:cs="IRNazanin"/>
          <w:lang w:bidi="fa-IR"/>
          <w:color w:val="111111"/>
          <w:sz w:val="28"/>
          <w:szCs w:val="28"/>
          <w:rtl/>
        </w:rPr>
        <w:t xml:space="preserve">و اسمه الشیخ مؤمن علی بن ذی الفقار علی ترجم و أورد شعره فی (روشن- ص 642)</w:t>
      </w:r>
    </w:p>
    <w:p>
      <w:pPr>
        <w:pStyle w:val="Heading3"/>
      </w:pPr>
      <w:bookmarkStart w:id="9294" w:name="_Toc7990"/>
      <w:r>
        <w:t>7017- دیوان مفتون لاهوری أو شعره‏</w:t>
      </w:r>
      <w:bookmarkEnd w:id="9294"/>
    </w:p>
    <w:p>
      <w:pPr>
        <w:pStyle w:val="BookText"/>
      </w:pPr>
      <w:r>
        <w:rPr>
          <w:rFonts w:ascii="IRNazanin" w:hAnsi="IRNazanin" w:eastAsia="IRNazanin" w:cs="IRNazanin"/>
          <w:lang w:bidi="fa-IR"/>
          <w:color w:val="111111"/>
          <w:sz w:val="28"/>
          <w:szCs w:val="28"/>
          <w:rtl/>
        </w:rPr>
        <w:t xml:space="preserve">و اسمه المیرزا عبد الرحیم تلمیذ علی محمد تجر مات فی أواسط المائة الثالثة عشر أورد شعره فی (گلشن- ص 437) و عنه فی القاموس الترکی‏</w:t>
      </w:r>
    </w:p>
    <w:p>
      <w:pPr>
        <w:pStyle w:val="Heading3"/>
      </w:pPr>
      <w:bookmarkStart w:id="9295" w:name="_Toc7991"/>
      <w:r>
        <w:t>7018- دیوان مفتون لکهنوی أو شعره‏</w:t>
      </w:r>
      <w:bookmarkEnd w:id="9295"/>
    </w:p>
    <w:p>
      <w:pPr>
        <w:pStyle w:val="BookText"/>
      </w:pPr>
      <w:r>
        <w:rPr>
          <w:rFonts w:ascii="IRNazanin" w:hAnsi="IRNazanin" w:eastAsia="IRNazanin" w:cs="IRNazanin"/>
          <w:lang w:bidi="fa-IR"/>
          <w:color w:val="111111"/>
          <w:sz w:val="28"/>
          <w:szCs w:val="28"/>
          <w:rtl/>
        </w:rPr>
        <w:t xml:space="preserve">و اسمه سلیمان میرزا طبع له تقریظ جامع شفائی نظما فی 1303</w:t>
      </w:r>
    </w:p>
    <w:p>
      <w:pPr>
        <w:pStyle w:val="Heading3"/>
      </w:pPr>
      <w:bookmarkStart w:id="9296" w:name="_Toc7992"/>
      <w:r>
        <w:t>7019- دیوان مفتون محلاتی‏</w:t>
      </w:r>
      <w:bookmarkEnd w:id="9296"/>
    </w:p>
    <w:p>
      <w:pPr>
        <w:pStyle w:val="BookText"/>
      </w:pPr>
      <w:r>
        <w:rPr>
          <w:rFonts w:ascii="IRNazanin" w:hAnsi="IRNazanin" w:eastAsia="IRNazanin" w:cs="IRNazanin"/>
          <w:lang w:bidi="fa-IR"/>
          <w:color w:val="111111"/>
          <w:sz w:val="28"/>
          <w:szCs w:val="28"/>
          <w:rtl/>
        </w:rPr>
        <w:t xml:space="preserve">للشیخ محمد بن الحاج المولی علی أکبر الواعظ الخراسانی نزیل محلات الذی توفی بها فی قرب التسعین من عمره ولد المترجم فی محلات 1274 و هاجر إلی العراق فی نیف و ثلاثمائة و ألف و أدرک أیام المولی حسین قلی الهمدانی الذی توفی 1311 و کان یستفید الفقه من الحاج المیرزا حسین الخلیلی و کان ورعا و جاور النجف إلی أن توفی بها 15 شهر رمضان 1336 و هو أیام حصار النجف و بقی دیوانه فی المناقب و المراثی عند ولده الفاضل الشیخ علی أکبر المولود 1319 و المسمی باسم جده، و الموجود عنده من تصانیف جده کتاب هادی المضلین فی أصول الدین بالفارسیة فی خمسة آلاف بیت کتابه تقریبا و تزوج ببنت الواعظ الخراسانی السید حسین فخر الذاکرین المحلاتی و رزق منها ولده الحاج السید محسن بن الحسین الملقب بصدر الأشراف المحلاتی رئیس مجلس الشیوخ بطهران‏
</w:t>
      </w:r>
    </w:p>
    <w:p>
      <w:pPr>
        <w:sectPr>
          <w:footerReference w:type="default" r:id="rId1093"/>
          <w:footnotePr>
            <w:numStart w:val="1"/>
            <w:numRestart w:val="eachPage"/>
          </w:footnotePr>
          <w:pgSz w:orient="portrait" w:w="11905.511811023622" w:h="16837.79527559055"/>
          <w:pgMar w:top="1440" w:right="1440" w:bottom="1440" w:left="1440" w:header="720" w:footer="720" w:gutter="0"/>
          <w:cols w:num="1" w:space="720"/>
        </w:sectPr>
      </w:pPr>
    </w:p>
    <w:bookmarkStart w:id="1072" w:name="pg11704_122561"/>
    <w:bookmarkEnd w:id="1072"/>
    <w:p>
      <w:pPr>
        <w:pStyle w:val="BookText"/>
      </w:pPr>
      <w:r>
        <w:rPr>
          <w:rFonts w:ascii="IRNazanin" w:hAnsi="IRNazanin" w:eastAsia="IRNazanin" w:cs="IRNazanin"/>
          <w:lang w:bidi="fa-IR"/>
          <w:color w:val="111111"/>
          <w:sz w:val="28"/>
          <w:szCs w:val="28"/>
          <w:rtl/>
        </w:rPr>
        <w:t xml:space="preserve">و المتوفی 1382 بها</w:t>
      </w:r>
    </w:p>
    <w:p>
      <w:pPr>
        <w:pStyle w:val="Heading3"/>
      </w:pPr>
      <w:bookmarkStart w:id="9297" w:name="_Toc7993"/>
      <w:r>
        <w:t>7020- دیوان مفتون همدانی‏</w:t>
      </w:r>
      <w:bookmarkEnd w:id="9297"/>
    </w:p>
    <w:p>
      <w:pPr>
        <w:pStyle w:val="BookText"/>
      </w:pPr>
      <w:r>
        <w:rPr>
          <w:rFonts w:ascii="IRNazanin" w:hAnsi="IRNazanin" w:eastAsia="IRNazanin" w:cs="IRNazanin"/>
          <w:lang w:bidi="fa-IR"/>
          <w:color w:val="111111"/>
          <w:sz w:val="28"/>
          <w:szCs w:val="28"/>
          <w:rtl/>
        </w:rPr>
        <w:t xml:space="preserve">و اسمه میرزا آقا مفتون کبریائی و توفی 1374 طبع فی تلک السنة مع مقدمتین لسعید النفیسی و رضای ایزدی فی 804 ص‏</w:t>
      </w:r>
    </w:p>
    <w:p>
      <w:pPr>
        <w:pStyle w:val="Heading3"/>
      </w:pPr>
      <w:bookmarkStart w:id="9298" w:name="_Toc7994"/>
      <w:r>
        <w:t>7021- دیوان مفتون یزدی‏</w:t>
      </w:r>
      <w:bookmarkEnd w:id="9298"/>
    </w:p>
    <w:p>
      <w:pPr>
        <w:pStyle w:val="BookText"/>
      </w:pPr>
      <w:r>
        <w:rPr>
          <w:rFonts w:ascii="IRNazanin" w:hAnsi="IRNazanin" w:eastAsia="IRNazanin" w:cs="IRNazanin"/>
          <w:lang w:bidi="fa-IR"/>
          <w:color w:val="111111"/>
          <w:sz w:val="28"/>
          <w:szCs w:val="28"/>
          <w:rtl/>
        </w:rPr>
        <w:t xml:space="preserve">و اسمه الحاج فتح الله بن عبد الرحیم المتخلص بالمفتون الیزدی نزیل حیدرآباد دکن و مدرس اللغة الفارسیة بها من 1330 حتی الیوم و قد طبع له فی 1364 المثنوی الفارسی الموسوم آصف‏نامه فی تواریخ الملوک الآصفیة فی حیدرآباد دکن من بلاد الهند من بدو أمرهم إلی السنة المذکورة و له راهنمای ترقی أورد فیه جملة من أشعاره و طبع 1356 کما أن له أیضا آیینه دکن فی تواریخها بالنثر الفارسی و فیه أیضا بعض شعره لکنه لم یطبع و طبع له داستان شگفت نظما فی 1366 فی حیدرآباد</w:t>
      </w:r>
    </w:p>
    <w:p>
      <w:pPr>
        <w:pStyle w:val="Heading3"/>
      </w:pPr>
      <w:bookmarkStart w:id="9299" w:name="_Toc7995"/>
      <w:r>
        <w:t>7022- دیوان مفتی تبریزی أو شعره‏</w:t>
      </w:r>
      <w:bookmarkEnd w:id="9299"/>
    </w:p>
    <w:p>
      <w:pPr>
        <w:pStyle w:val="BookText"/>
      </w:pPr>
      <w:r>
        <w:rPr>
          <w:rFonts w:ascii="IRNazanin" w:hAnsi="IRNazanin" w:eastAsia="IRNazanin" w:cs="IRNazanin"/>
          <w:lang w:bidi="fa-IR"/>
          <w:color w:val="111111"/>
          <w:sz w:val="28"/>
          <w:szCs w:val="28"/>
          <w:rtl/>
        </w:rPr>
        <w:t xml:space="preserve">أورد شعره فی (گلشن- ص 437) و عنه فی القاموس الترکی‏</w:t>
      </w:r>
    </w:p>
    <w:p>
      <w:pPr>
        <w:pStyle w:val="Heading3"/>
      </w:pPr>
      <w:bookmarkStart w:id="9300" w:name="_Toc7996"/>
      <w:r>
        <w:t>7023- دیوان مفتی لاهوری‏</w:t>
      </w:r>
      <w:bookmarkEnd w:id="9300"/>
    </w:p>
    <w:p>
      <w:pPr>
        <w:pStyle w:val="BookText"/>
      </w:pPr>
      <w:r>
        <w:rPr>
          <w:rFonts w:ascii="IRNazanin" w:hAnsi="IRNazanin" w:eastAsia="IRNazanin" w:cs="IRNazanin"/>
          <w:lang w:bidi="fa-IR"/>
          <w:color w:val="111111"/>
          <w:sz w:val="28"/>
          <w:szCs w:val="28"/>
          <w:rtl/>
        </w:rPr>
        <w:t xml:space="preserve">طبع بلاهور فی 1291 فی 300 ص‏</w:t>
      </w:r>
    </w:p>
    <w:p>
      <w:pPr>
        <w:pStyle w:val="Heading3"/>
      </w:pPr>
      <w:bookmarkStart w:id="9301" w:name="_Toc7997"/>
      <w:r>
        <w:t>7024- دیوان مفتی لکهنوی أو شعره‏</w:t>
      </w:r>
      <w:bookmarkEnd w:id="9301"/>
    </w:p>
    <w:p>
      <w:pPr>
        <w:pStyle w:val="BookText"/>
      </w:pPr>
      <w:r>
        <w:rPr>
          <w:rFonts w:ascii="IRNazanin" w:hAnsi="IRNazanin" w:eastAsia="IRNazanin" w:cs="IRNazanin"/>
          <w:lang w:bidi="fa-IR"/>
          <w:color w:val="111111"/>
          <w:sz w:val="28"/>
          <w:szCs w:val="28"/>
          <w:rtl/>
        </w:rPr>
        <w:t xml:space="preserve">و اسمه غلام حضرت و کان ینسب نفسه إلی أولاد شاه شجاع و یلقب مفتی الملک أورد شعره فی (گلشن- ص 437)</w:t>
      </w:r>
    </w:p>
    <w:p>
      <w:pPr>
        <w:pStyle w:val="Heading3"/>
      </w:pPr>
      <w:bookmarkStart w:id="9302" w:name="_Toc7998"/>
      <w:r>
        <w:t>7025- دیوان المفجع البصری‏</w:t>
      </w:r>
      <w:bookmarkEnd w:id="9302"/>
    </w:p>
    <w:p>
      <w:pPr>
        <w:pStyle w:val="BookText"/>
      </w:pPr>
      <w:r>
        <w:rPr>
          <w:rFonts w:ascii="IRNazanin" w:hAnsi="IRNazanin" w:eastAsia="IRNazanin" w:cs="IRNazanin"/>
          <w:lang w:bidi="fa-IR"/>
          <w:color w:val="111111"/>
          <w:sz w:val="28"/>
          <w:szCs w:val="28"/>
          <w:rtl/>
        </w:rPr>
        <w:t xml:space="preserve">و هو الشیخ أبو عبد الله محمد بن أحمد بن عبد الله الکاتب المتوفی 327 الشاعر الشیعی المفجع علی مصائب أهل البیت و تلمیذ ثعلب و صاحب الترجمان المذکور فی 4: 71 قال ابن الندیم إن دیوانه فی مائة ورقة و ذکره ابن شهرآشوب فی (المعالم- ص 139)</w:t>
      </w:r>
    </w:p>
    <w:p>
      <w:pPr>
        <w:pStyle w:val="Heading3"/>
      </w:pPr>
      <w:bookmarkStart w:id="9303" w:name="_Toc7999"/>
      <w:r>
        <w:t>دیوان مفرد أصفهانی‏</w:t>
      </w:r>
      <w:bookmarkEnd w:id="9303"/>
    </w:p>
    <w:p>
      <w:pPr>
        <w:pStyle w:val="BookText"/>
      </w:pPr>
      <w:r>
        <w:rPr>
          <w:rFonts w:ascii="IRNazanin" w:hAnsi="IRNazanin" w:eastAsia="IRNazanin" w:cs="IRNazanin"/>
          <w:lang w:bidi="fa-IR"/>
          <w:color w:val="111111"/>
          <w:sz w:val="28"/>
          <w:szCs w:val="28"/>
          <w:rtl/>
        </w:rPr>
        <w:t xml:space="preserve">راجع مفرد تبریزی‏</w:t>
      </w:r>
    </w:p>
    <w:p>
      <w:pPr>
        <w:pStyle w:val="Heading3"/>
      </w:pPr>
      <w:bookmarkStart w:id="9304" w:name="_Toc8000"/>
      <w:r>
        <w:t>7026- دیوان مفرد تبریزی‏</w:t>
      </w:r>
      <w:bookmarkEnd w:id="9304"/>
    </w:p>
    <w:p>
      <w:pPr>
        <w:pStyle w:val="BookText"/>
      </w:pPr>
      <w:r>
        <w:rPr>
          <w:rFonts w:ascii="IRNazanin" w:hAnsi="IRNazanin" w:eastAsia="IRNazanin" w:cs="IRNazanin"/>
          <w:lang w:bidi="fa-IR"/>
          <w:color w:val="111111"/>
          <w:sz w:val="28"/>
          <w:szCs w:val="28"/>
          <w:rtl/>
        </w:rPr>
        <w:t xml:space="preserve">ترجمه فی (دجا- ص 357) و (گلشن- ص 437) و قال معاصره النصرآبادی فی (نر 9- ص 389) اسمه ملا محمد علی بن محمد قلی بیک التبریزی ساکن عباس‏آباد أصفهان، و هو محجوب خطاط یعیش من أجرة کتابة الحدیث و یشرفنی أحیانا فی مسجد لنبان ثم أورد من شعره قرب عشرة مطالع من غزلیاته‏
</w:t>
      </w:r>
    </w:p>
    <w:p>
      <w:pPr>
        <w:sectPr>
          <w:footerReference w:type="default" r:id="rId1094"/>
          <w:footnotePr>
            <w:numStart w:val="1"/>
            <w:numRestart w:val="eachPage"/>
          </w:footnotePr>
          <w:pgSz w:orient="portrait" w:w="11905.511811023622" w:h="16837.79527559055"/>
          <w:pgMar w:top="1440" w:right="1440" w:bottom="1440" w:left="1440" w:header="720" w:footer="720" w:gutter="0"/>
          <w:cols w:num="1" w:space="720"/>
        </w:sectPr>
      </w:pPr>
    </w:p>
    <w:bookmarkStart w:id="1073" w:name="pg11704_122562"/>
    <w:bookmarkEnd w:id="1073"/>
    <w:p>
      <w:pPr>
        <w:pStyle w:val="Heading3"/>
      </w:pPr>
      <w:bookmarkStart w:id="9305" w:name="_Toc8001"/>
      <w:r>
        <w:t>7027- دیوان مفرد قمی أو شعره‏</w:t>
      </w:r>
      <w:bookmarkEnd w:id="9305"/>
    </w:p>
    <w:p>
      <w:pPr>
        <w:pStyle w:val="BookText"/>
      </w:pPr>
      <w:r>
        <w:rPr>
          <w:rFonts w:ascii="IRNazanin" w:hAnsi="IRNazanin" w:eastAsia="IRNazanin" w:cs="IRNazanin"/>
          <w:lang w:bidi="fa-IR"/>
          <w:color w:val="111111"/>
          <w:sz w:val="28"/>
          <w:szCs w:val="28"/>
          <w:rtl/>
        </w:rPr>
        <w:t xml:space="preserve">کان خیاطا ترجمه النصرآبادی فی (نر 9- ص 366) و ذکر أنه کتب بخطه شعره فی مجموعة لأخ سراجا النقاش و کتب فی صدر الصفحة جملة [هو الفرد] و بما فیها إشارة إلی تخلصه کتب أخر بجنب الجملة [دعوی ألوهیت موقوف‏] ثم أورد رباعیه و عنه أخذ فی همیشه بهار و (گلشن- ص 437) و عنه فی القاموس الترکی ثم الریحانة</w:t>
      </w:r>
    </w:p>
    <w:p>
      <w:pPr>
        <w:pStyle w:val="Heading3"/>
      </w:pPr>
      <w:bookmarkStart w:id="9306" w:name="_Toc8002"/>
      <w:r>
        <w:t>7028- دیوان مفرد همدانی أو شعره‏</w:t>
      </w:r>
      <w:bookmarkEnd w:id="9306"/>
    </w:p>
    <w:p>
      <w:pPr>
        <w:pStyle w:val="BookText"/>
      </w:pPr>
      <w:r>
        <w:rPr>
          <w:rFonts w:ascii="IRNazanin" w:hAnsi="IRNazanin" w:eastAsia="IRNazanin" w:cs="IRNazanin"/>
          <w:lang w:bidi="fa-IR"/>
          <w:color w:val="111111"/>
          <w:sz w:val="28"/>
          <w:szCs w:val="28"/>
          <w:rtl/>
        </w:rPr>
        <w:t xml:space="preserve">ترجمه النصرآبادی فی (نر 9- ص 322) و ذکر سبب هجرته من همدان إلی أصفهان و إدراک صحبته و أورد بعض أشعاره و کذا فی (تش- ص 258) و همیشه بهار و شمع انجمن و (خوش‏گو)</w:t>
      </w:r>
    </w:p>
    <w:p>
      <w:pPr>
        <w:pStyle w:val="Heading3"/>
      </w:pPr>
      <w:bookmarkStart w:id="9307" w:name="_Toc8003"/>
      <w:r>
        <w:t>دیوان مفرده نویس‏</w:t>
      </w:r>
      <w:bookmarkEnd w:id="9307"/>
    </w:p>
    <w:p>
      <w:pPr>
        <w:pStyle w:val="BookText"/>
      </w:pPr>
      <w:r>
        <w:rPr>
          <w:rFonts w:ascii="IRNazanin" w:hAnsi="IRNazanin" w:eastAsia="IRNazanin" w:cs="IRNazanin"/>
          <w:lang w:bidi="fa-IR"/>
          <w:color w:val="111111"/>
          <w:sz w:val="28"/>
          <w:szCs w:val="28"/>
          <w:rtl/>
        </w:rPr>
        <w:t xml:space="preserve">لعبدی بیک المتخلص نویدی کما یأتی فی النون‏</w:t>
      </w:r>
    </w:p>
    <w:p>
      <w:pPr>
        <w:pStyle w:val="Heading3"/>
      </w:pPr>
      <w:bookmarkStart w:id="9308" w:name="_Toc8004"/>
      <w:r>
        <w:t>7029- دیوان الشیخ مفلح‏</w:t>
      </w:r>
      <w:bookmarkEnd w:id="9308"/>
    </w:p>
    <w:p>
      <w:pPr>
        <w:pStyle w:val="BookText"/>
      </w:pPr>
      <w:r>
        <w:rPr>
          <w:rFonts w:ascii="IRNazanin" w:hAnsi="IRNazanin" w:eastAsia="IRNazanin" w:cs="IRNazanin"/>
          <w:lang w:bidi="fa-IR"/>
          <w:color w:val="111111"/>
          <w:sz w:val="28"/>
          <w:szCs w:val="28"/>
          <w:rtl/>
        </w:rPr>
        <w:t xml:space="preserve">ابن حسن بن رشید (راشد) بن صلاح الصیمری- (بلدة بین الأهواز و بلاد الجبل و لعلها ما یعرف الیوم کمرة- تلمیذ ابن فهد المتوفی 841 و المجیز لبعض تلامیذه 873 و ابنه حسین بن مفلح توفی 933 له تصانیف منها التبیینات المذکور فی ج 3 ص 335 و جواهر الکلمات و غایة المرام و کشف الالتباس و غیرها و له شعر کثیر فی المناقب و المثالب و المراثی مذکورات فی الکتب و الدفاتر دون أخیرا بعضها الشیخ محمد بن الشیخ طاهر السماوی النجفی المتوفی 1370 فی 12 ص کل صفحة 22 بیتا یقرب من مائتین و خمسین بیتا اشتری نسخته بعد وفاته الخطیب الشیخ محمد علی الیعقوبی فی النجف و فی (تش- ص 196) أورد شعره الفارسی و عده من شعراء أصفهان‏</w:t>
      </w:r>
    </w:p>
    <w:p>
      <w:pPr>
        <w:pStyle w:val="Heading3"/>
      </w:pPr>
      <w:bookmarkStart w:id="9309" w:name="_Toc8005"/>
      <w:r>
        <w:t>دیوان مفلح أصفهانی‏</w:t>
      </w:r>
      <w:bookmarkEnd w:id="9309"/>
    </w:p>
    <w:p>
      <w:pPr>
        <w:pStyle w:val="BookText"/>
      </w:pPr>
      <w:r>
        <w:rPr>
          <w:rFonts w:ascii="IRNazanin" w:hAnsi="IRNazanin" w:eastAsia="IRNazanin" w:cs="IRNazanin"/>
          <w:lang w:bidi="fa-IR"/>
          <w:color w:val="111111"/>
          <w:sz w:val="28"/>
          <w:szCs w:val="28"/>
          <w:rtl/>
        </w:rPr>
        <w:t xml:space="preserve">راجع قبله.</w:t>
      </w:r>
    </w:p>
    <w:p>
      <w:pPr>
        <w:pStyle w:val="Heading3"/>
      </w:pPr>
      <w:bookmarkStart w:id="9310" w:name="_Toc8006"/>
      <w:r>
        <w:t>7031- دیوان مفلس دهلوی أو شعره‏</w:t>
      </w:r>
      <w:bookmarkEnd w:id="9310"/>
    </w:p>
    <w:p>
      <w:pPr>
        <w:pStyle w:val="BookText"/>
      </w:pPr>
      <w:r>
        <w:rPr>
          <w:rFonts w:ascii="IRNazanin" w:hAnsi="IRNazanin" w:eastAsia="IRNazanin" w:cs="IRNazanin"/>
          <w:lang w:bidi="fa-IR"/>
          <w:color w:val="111111"/>
          <w:sz w:val="28"/>
          <w:szCs w:val="28"/>
          <w:rtl/>
        </w:rPr>
        <w:t xml:space="preserve">و اسمه أمان الله مکتبدار. أورد شعره فی (گلشن- ص 437).</w:t>
      </w:r>
    </w:p>
    <w:p>
      <w:pPr>
        <w:pStyle w:val="Heading3"/>
      </w:pPr>
      <w:bookmarkStart w:id="9311" w:name="_Toc8007"/>
      <w:r>
        <w:t>7032- دیوان مفلس قمی‏</w:t>
      </w:r>
      <w:bookmarkEnd w:id="9311"/>
    </w:p>
    <w:p>
      <w:pPr>
        <w:pStyle w:val="BookText"/>
      </w:pPr>
      <w:r>
        <w:rPr>
          <w:rFonts w:ascii="IRNazanin" w:hAnsi="IRNazanin" w:eastAsia="IRNazanin" w:cs="IRNazanin"/>
          <w:lang w:bidi="fa-IR"/>
          <w:color w:val="111111"/>
          <w:sz w:val="28"/>
          <w:szCs w:val="28"/>
          <w:rtl/>
        </w:rPr>
        <w:t xml:space="preserve">للشیخ حسین المعروف باردة شیره القمی (1305- 1367) ابن الشیخ حسن العارفی. و دیوانه فی عشرة آلاف بیت، طبع بعضها بعنوان دیوان أرده‏شیره فی 1347 بتبریز فی 54 ص. علی الحجر و فی قم 1359 مع مقدمه عباس میر أبو الفتحی فی 40 ص. و مر له تاریخ قم فی 3: 278.
</w:t>
      </w:r>
    </w:p>
    <w:p>
      <w:pPr>
        <w:sectPr>
          <w:footerReference w:type="default" r:id="rId1095"/>
          <w:footnotePr>
            <w:numStart w:val="1"/>
            <w:numRestart w:val="eachPage"/>
          </w:footnotePr>
          <w:pgSz w:orient="portrait" w:w="11905.511811023622" w:h="16837.79527559055"/>
          <w:pgMar w:top="1440" w:right="1440" w:bottom="1440" w:left="1440" w:header="720" w:footer="720" w:gutter="0"/>
          <w:cols w:num="1" w:space="720"/>
        </w:sectPr>
      </w:pPr>
    </w:p>
    <w:bookmarkStart w:id="1074" w:name="pg11704_122563"/>
    <w:bookmarkEnd w:id="1074"/>
    <w:p>
      <w:pPr>
        <w:pStyle w:val="Heading3"/>
      </w:pPr>
      <w:bookmarkStart w:id="9312" w:name="_Toc8008"/>
      <w:r>
        <w:t>7033- دیوان مفلس گنابادی أو شعره‏</w:t>
      </w:r>
      <w:bookmarkEnd w:id="9312"/>
    </w:p>
    <w:p>
      <w:pPr>
        <w:pStyle w:val="BookText"/>
      </w:pPr>
      <w:r>
        <w:rPr>
          <w:rFonts w:ascii="IRNazanin" w:hAnsi="IRNazanin" w:eastAsia="IRNazanin" w:cs="IRNazanin"/>
          <w:lang w:bidi="fa-IR"/>
          <w:color w:val="111111"/>
          <w:sz w:val="28"/>
          <w:szCs w:val="28"/>
          <w:rtl/>
        </w:rPr>
        <w:t xml:space="preserve">أورد شعره فی (گلشن- ص 438) و عنه فی القاموس الترکی.</w:t>
      </w:r>
    </w:p>
    <w:p>
      <w:pPr>
        <w:pStyle w:val="Heading3"/>
      </w:pPr>
      <w:bookmarkStart w:id="9313" w:name="_Toc8009"/>
      <w:r>
        <w:t>7034- دیوان مفلسی خراسانی أو شعره‏</w:t>
      </w:r>
      <w:bookmarkEnd w:id="9313"/>
    </w:p>
    <w:p>
      <w:pPr>
        <w:pStyle w:val="BookText"/>
      </w:pPr>
      <w:r>
        <w:rPr>
          <w:rFonts w:ascii="IRNazanin" w:hAnsi="IRNazanin" w:eastAsia="IRNazanin" w:cs="IRNazanin"/>
          <w:lang w:bidi="fa-IR"/>
          <w:color w:val="111111"/>
          <w:sz w:val="28"/>
          <w:szCs w:val="28"/>
          <w:rtl/>
        </w:rPr>
        <w:t xml:space="preserve">هو من شعراء القرن التاسع. أورد شعره المیر علی شیر فی (مجن 2- ص 29 و 203) و قبره بمشهد. و أورد له الهراتی غزل یک و دو و عنه فی شمع انجمن و (حسینی- ص 320) و القاموس الترکی.</w:t>
      </w:r>
    </w:p>
    <w:p>
      <w:pPr>
        <w:pStyle w:val="Heading3"/>
      </w:pPr>
      <w:bookmarkStart w:id="9314" w:name="_Toc8010"/>
      <w:r>
        <w:t>7035- دیوان مفلق طهرانی‏</w:t>
      </w:r>
      <w:bookmarkEnd w:id="9314"/>
    </w:p>
    <w:p>
      <w:pPr>
        <w:pStyle w:val="BookText"/>
      </w:pPr>
      <w:r>
        <w:rPr>
          <w:rFonts w:ascii="IRNazanin" w:hAnsi="IRNazanin" w:eastAsia="IRNazanin" w:cs="IRNazanin"/>
          <w:lang w:bidi="fa-IR"/>
          <w:color w:val="111111"/>
          <w:sz w:val="28"/>
          <w:szCs w:val="28"/>
          <w:rtl/>
        </w:rPr>
        <w:t xml:space="preserve">المیرزا محمد علی الدنبلی الملقب من فتح علی شاه صدر الشعراء و بعده من الوزیر الحاج میرزا آقاسی فخر الشعراء ترجمه فی (مع 2- ص 474) و أورد قرب ستمائة بیت من شعره و قصائده.</w:t>
      </w:r>
    </w:p>
    <w:p>
      <w:pPr>
        <w:pStyle w:val="Heading3"/>
      </w:pPr>
      <w:bookmarkStart w:id="9315" w:name="_Toc8011"/>
      <w:r>
        <w:t>7036- دیوان مفید إسکافی أو شعره‏</w:t>
      </w:r>
      <w:bookmarkEnd w:id="9315"/>
    </w:p>
    <w:p>
      <w:pPr>
        <w:pStyle w:val="BookText"/>
      </w:pPr>
      <w:r>
        <w:rPr>
          <w:rFonts w:ascii="IRNazanin" w:hAnsi="IRNazanin" w:eastAsia="IRNazanin" w:cs="IRNazanin"/>
          <w:lang w:bidi="fa-IR"/>
          <w:color w:val="111111"/>
          <w:sz w:val="28"/>
          <w:szCs w:val="28"/>
          <w:rtl/>
        </w:rPr>
        <w:t xml:space="preserve">و اسمه مفید الدین الإسکافی یوجد شعره فی تذکره سفینه أشعار الموجود فی (المجلس) کما فی فهرسها 3: 158.</w:t>
      </w:r>
    </w:p>
    <w:p>
      <w:pPr>
        <w:pStyle w:val="Heading3"/>
      </w:pPr>
      <w:bookmarkStart w:id="9316" w:name="_Toc8012"/>
      <w:r>
        <w:t>7037- دیوان مفید بلخی‏</w:t>
      </w:r>
      <w:bookmarkEnd w:id="9316"/>
    </w:p>
    <w:p>
      <w:pPr>
        <w:pStyle w:val="BookText"/>
      </w:pPr>
      <w:r>
        <w:rPr>
          <w:rFonts w:ascii="IRNazanin" w:hAnsi="IRNazanin" w:eastAsia="IRNazanin" w:cs="IRNazanin"/>
          <w:lang w:bidi="fa-IR"/>
          <w:color w:val="111111"/>
          <w:sz w:val="28"/>
          <w:szCs w:val="28"/>
          <w:rtl/>
        </w:rPr>
        <w:t xml:space="preserve">ترجمه النصرآبادی فی (نر 10- ص 441) و ذکر أنه من شعراء إمام قلی خان حاکم بلخ المتوفی 1060 و ذکر شعره و قال فی (روشن- ص 643) نقلا عن شمع انجمن أنه وصل دهلی فی عهد عالمگیر. و مات بملتان فی 1090 و قال سرخوش فیه:</w:t>
      </w:r>
    </w:p>
    <w:p>
      <w:pPr>
        <w:pStyle w:val="BookText"/>
      </w:pPr>
      <w:r>
        <w:rPr>
          <w:rFonts w:ascii="IRNazanin" w:hAnsi="IRNazanin" w:eastAsia="IRNazanin" w:cs="IRNazanin"/>
          <w:lang w:bidi="fa-IR"/>
          <w:color w:val="111111"/>
          <w:sz w:val="28"/>
          <w:szCs w:val="28"/>
          <w:rtl/>
        </w:rPr>
        <w:t xml:space="preserve">برکشید آه و سال تاریخش‏</w:t>
      </w:r>
    </w:p>
    <w:p>
      <w:pPr>
        <w:pStyle w:val="BookText"/>
      </w:pPr>
      <w:r>
        <w:rPr>
          <w:rFonts w:ascii="IRNazanin" w:hAnsi="IRNazanin" w:eastAsia="IRNazanin" w:cs="IRNazanin"/>
          <w:lang w:bidi="fa-IR"/>
          <w:color w:val="111111"/>
          <w:sz w:val="28"/>
          <w:szCs w:val="28"/>
          <w:rtl/>
        </w:rPr>
        <w:t xml:space="preserve">گفت: ملا مفید بلخی مرد</w:t>
      </w:r>
    </w:p>
    <w:p>
      <w:pPr>
        <w:pStyle w:val="BookText"/>
      </w:pPr>
      <w:r>
        <w:rPr>
          <w:rFonts w:ascii="IRNazanin" w:hAnsi="IRNazanin" w:eastAsia="IRNazanin" w:cs="IRNazanin"/>
          <w:lang w:bidi="fa-IR"/>
          <w:color w:val="111111"/>
          <w:sz w:val="28"/>
          <w:szCs w:val="28"/>
          <w:rtl/>
        </w:rPr>
        <w:t xml:space="preserve">و ترجم أیضا فی (نتایج- ص 644) و (سرخوش- ص 108) و (مسرت- ص 81 و 465) و یوجد نسخته فی (بنگاله).</w:t>
      </w:r>
    </w:p>
    <w:p>
      <w:pPr>
        <w:pStyle w:val="Heading3"/>
      </w:pPr>
      <w:bookmarkStart w:id="9317" w:name="_Toc8013"/>
      <w:r>
        <w:t>دیوان مفید شیرازی‏</w:t>
      </w:r>
      <w:bookmarkEnd w:id="9317"/>
    </w:p>
    <w:p>
      <w:pPr>
        <w:pStyle w:val="BookText"/>
      </w:pPr>
      <w:r>
        <w:rPr>
          <w:rFonts w:ascii="IRNazanin" w:hAnsi="IRNazanin" w:eastAsia="IRNazanin" w:cs="IRNazanin"/>
          <w:lang w:bidi="fa-IR"/>
          <w:color w:val="111111"/>
          <w:sz w:val="28"/>
          <w:szCs w:val="28"/>
          <w:rtl/>
        </w:rPr>
        <w:t xml:space="preserve">یتخلص فی شعره العربی باسمه مفید و فی شعره الفارسی بداور کما مر فی الدال. ترجمه تلمیذه المیرزا فرصت فی (عم- ص 26) و ذکر نسبه هکذا: مفید بن محمد کاظم بن الشیخ عبد النبی الشریف إمام الجمعة بشیراز ابن الشیخ محمد بن مفید بن الشیخ حسین الشیرازیون، و ذکر تصانیفه. قال و له عدة آلاف بیت من الشعر العربی و الفارسی، یتخلص فی الفارسی بداور و فی العربی باسمه. قد جمعها ولده الفاضل السعید المیرزا عبد الحی فی دیوانین عربی و فارسی- إلی قوله- و له فی هذا الوقت 1307 ستة و خمسون سنة. فیظهر أنه ولد فی 1251 و کان حیا فی 1320 کما یظهر من کتابه گنج گوهر المطبوع فی حیاته فی هذا التاریخ و مر فی ج 2 ص 7 أساس الکمال‏
</w:t>
      </w:r>
    </w:p>
    <w:p>
      <w:pPr>
        <w:sectPr>
          <w:footerReference w:type="default" r:id="rId1096"/>
          <w:footnotePr>
            <w:numStart w:val="1"/>
            <w:numRestart w:val="eachPage"/>
          </w:footnotePr>
          <w:pgSz w:orient="portrait" w:w="11905.511811023622" w:h="16837.79527559055"/>
          <w:pgMar w:top="1440" w:right="1440" w:bottom="1440" w:left="1440" w:header="720" w:footer="720" w:gutter="0"/>
          <w:cols w:num="1" w:space="720"/>
        </w:sectPr>
      </w:pPr>
    </w:p>
    <w:bookmarkStart w:id="1075" w:name="pg11704_122564"/>
    <w:bookmarkEnd w:id="1075"/>
    <w:p>
      <w:pPr>
        <w:pStyle w:val="BookText"/>
      </w:pPr>
      <w:r>
        <w:rPr>
          <w:rFonts w:ascii="IRNazanin" w:hAnsi="IRNazanin" w:eastAsia="IRNazanin" w:cs="IRNazanin"/>
          <w:lang w:bidi="fa-IR"/>
          <w:color w:val="111111"/>
          <w:sz w:val="28"/>
          <w:szCs w:val="28"/>
          <w:rtl/>
        </w:rPr>
        <w:t xml:space="preserve">تألیف ولده المذکور. و مر له ضیاء القلوب فی 15: 127.</w:t>
      </w:r>
    </w:p>
    <w:p>
      <w:pPr>
        <w:pStyle w:val="Heading3"/>
      </w:pPr>
      <w:bookmarkStart w:id="9318" w:name="_Toc8014"/>
      <w:r>
        <w:t>7038- دیوان مفید شیرازی‏</w:t>
      </w:r>
      <w:bookmarkEnd w:id="9318"/>
    </w:p>
    <w:p>
      <w:pPr>
        <w:pStyle w:val="BookText"/>
      </w:pPr>
      <w:r>
        <w:rPr>
          <w:rFonts w:ascii="IRNazanin" w:hAnsi="IRNazanin" w:eastAsia="IRNazanin" w:cs="IRNazanin"/>
          <w:lang w:bidi="fa-IR"/>
          <w:color w:val="111111"/>
          <w:sz w:val="28"/>
          <w:szCs w:val="28"/>
          <w:rtl/>
        </w:rPr>
        <w:t xml:space="preserve">للشیخ محمد مفید بن الشیخ نبی بن مفید بن الحسن البحرانی الشیرازی، إمام الجمعة بها فی عهد فتح علی شاه جمع دیوانه ولده الشیخ محمد هاشم و سماه کعبة الباکین ثم ذیله فی 1255 و سماه حجر إسماعیل کما مر فی 6: 266. و مر له دوازده بند فی 8: 271.</w:t>
      </w:r>
    </w:p>
    <w:p>
      <w:pPr>
        <w:pStyle w:val="Heading3"/>
      </w:pPr>
      <w:bookmarkStart w:id="9319" w:name="_Toc8015"/>
      <w:r>
        <w:t>7039- دیوان مفیدی أصفهانی‏</w:t>
      </w:r>
      <w:bookmarkEnd w:id="9319"/>
    </w:p>
    <w:p>
      <w:pPr>
        <w:pStyle w:val="BookText"/>
      </w:pPr>
      <w:r>
        <w:rPr>
          <w:rFonts w:ascii="IRNazanin" w:hAnsi="IRNazanin" w:eastAsia="IRNazanin" w:cs="IRNazanin"/>
          <w:lang w:bidi="fa-IR"/>
          <w:color w:val="111111"/>
          <w:sz w:val="28"/>
          <w:szCs w:val="28"/>
          <w:rtl/>
        </w:rPr>
        <w:t xml:space="preserve">کان مدرسا بجامعها. نقل عن دیوانه فی (گلشن- ص 438) و عنه فی القاموس الترکی.</w:t>
      </w:r>
    </w:p>
    <w:p>
      <w:pPr>
        <w:pStyle w:val="Heading3"/>
      </w:pPr>
      <w:bookmarkStart w:id="9320" w:name="_Toc8016"/>
      <w:r>
        <w:t>7040- دیوان مقبل أصفهانی‏</w:t>
      </w:r>
      <w:bookmarkEnd w:id="9320"/>
    </w:p>
    <w:p>
      <w:pPr>
        <w:pStyle w:val="BookText"/>
      </w:pPr>
      <w:r>
        <w:rPr>
          <w:rFonts w:ascii="IRNazanin" w:hAnsi="IRNazanin" w:eastAsia="IRNazanin" w:cs="IRNazanin"/>
          <w:lang w:bidi="fa-IR"/>
          <w:color w:val="111111"/>
          <w:sz w:val="28"/>
          <w:szCs w:val="28"/>
          <w:rtl/>
        </w:rPr>
        <w:t xml:space="preserve">لآقا محمد شیخا معاصر الشاه سلطان حسین الصفوی و فر عند هجوم الأفاغنة و نزل الهند فی عصر نادر شاه، فنزل گجرات عند حاکمها مؤمن خان إلی أن توفی هناک فی 1157 کذا فی (خز- ص 173) و مقالات الشعراء- ص 766 و له نظم وقایع الطف نظیر ما مر فی ص 181 لثابت بدخشانی.</w:t>
      </w:r>
    </w:p>
    <w:p>
      <w:pPr>
        <w:pStyle w:val="Heading3"/>
      </w:pPr>
      <w:bookmarkStart w:id="9321" w:name="_Toc8017"/>
      <w:r>
        <w:t>7041- دیوان مقبل کرمانی أو شعره‏</w:t>
      </w:r>
      <w:bookmarkEnd w:id="9321"/>
    </w:p>
    <w:p>
      <w:pPr>
        <w:pStyle w:val="BookText"/>
      </w:pPr>
      <w:r>
        <w:rPr>
          <w:rFonts w:ascii="IRNazanin" w:hAnsi="IRNazanin" w:eastAsia="IRNazanin" w:cs="IRNazanin"/>
          <w:lang w:bidi="fa-IR"/>
          <w:color w:val="111111"/>
          <w:sz w:val="28"/>
          <w:szCs w:val="28"/>
          <w:rtl/>
        </w:rPr>
        <w:t xml:space="preserve">لشرف الدین من علماء کرمان. أورد شعره فی (گلشن- ص 448).</w:t>
      </w:r>
    </w:p>
    <w:p>
      <w:pPr>
        <w:pStyle w:val="Heading3"/>
      </w:pPr>
      <w:bookmarkStart w:id="9322" w:name="_Toc8018"/>
      <w:r>
        <w:t>دیوان مقبلی ترشیزی أو شعره‏</w:t>
      </w:r>
      <w:bookmarkEnd w:id="9322"/>
    </w:p>
    <w:p>
      <w:pPr>
        <w:pStyle w:val="BookText"/>
      </w:pPr>
      <w:r>
        <w:rPr>
          <w:rFonts w:ascii="IRNazanin" w:hAnsi="IRNazanin" w:eastAsia="IRNazanin" w:cs="IRNazanin"/>
          <w:lang w:bidi="fa-IR"/>
          <w:color w:val="111111"/>
          <w:sz w:val="28"/>
          <w:szCs w:val="28"/>
          <w:rtl/>
        </w:rPr>
        <w:t xml:space="preserve">لمولانا مقبلی الطبیب. کما فی بعض نسخ مجالس النفائس الترکیة. و جاء فی (لط 3- ص 64) قبولی ترشیزی کما مر فی ص 875 و فی (قز مج 3- ص 237) جاء اسمه مقیمی ترشیزی.</w:t>
      </w:r>
    </w:p>
    <w:p>
      <w:pPr>
        <w:pStyle w:val="Heading3"/>
      </w:pPr>
      <w:bookmarkStart w:id="9323" w:name="_Toc8019"/>
      <w:r>
        <w:t>دیوان مقبول قمی أو شعره‏</w:t>
      </w:r>
      <w:bookmarkEnd w:id="9323"/>
    </w:p>
    <w:p>
      <w:pPr>
        <w:pStyle w:val="BookText"/>
      </w:pPr>
      <w:r>
        <w:rPr>
          <w:rFonts w:ascii="IRNazanin" w:hAnsi="IRNazanin" w:eastAsia="IRNazanin" w:cs="IRNazanin"/>
          <w:lang w:bidi="fa-IR"/>
          <w:color w:val="111111"/>
          <w:sz w:val="28"/>
          <w:szCs w:val="28"/>
          <w:rtl/>
        </w:rPr>
        <w:t xml:space="preserve">و اسمه میر مقبول. قال سام میرزا فی (تس 6- ص 185) إن أصله من الترک کان فی خدمة السلطان یعقوب و بعد موته فی 896 سکن قم و مات فی 924 و له غزلیات کثیرة، و کذا فی (روشن- ص 644) و (تش- ص 236) و (نتایج- ص 670) و همیشه بهار و فی (گلشن- ص 438) سماه مقبول هروی.</w:t>
      </w:r>
    </w:p>
    <w:p>
      <w:pPr>
        <w:pStyle w:val="Heading3"/>
      </w:pPr>
      <w:bookmarkStart w:id="9324" w:name="_Toc8020"/>
      <w:r>
        <w:t>7042- دیوان مقبول لکهنوی أو شعره‏</w:t>
      </w:r>
      <w:bookmarkEnd w:id="9324"/>
    </w:p>
    <w:p>
      <w:pPr>
        <w:pStyle w:val="BookText"/>
      </w:pPr>
      <w:r>
        <w:rPr>
          <w:rFonts w:ascii="IRNazanin" w:hAnsi="IRNazanin" w:eastAsia="IRNazanin" w:cs="IRNazanin"/>
          <w:lang w:bidi="fa-IR"/>
          <w:color w:val="111111"/>
          <w:sz w:val="28"/>
          <w:szCs w:val="28"/>
          <w:rtl/>
        </w:rPr>
        <w:t xml:space="preserve">ورد شعره فی (گلشن- ص 438).</w:t>
      </w:r>
    </w:p>
    <w:p>
      <w:pPr>
        <w:pStyle w:val="Heading3"/>
      </w:pPr>
      <w:bookmarkStart w:id="9325" w:name="_Toc8021"/>
      <w:r>
        <w:t>دیوان مقبول هروی‏</w:t>
      </w:r>
      <w:bookmarkEnd w:id="9325"/>
    </w:p>
    <w:p>
      <w:pPr>
        <w:pStyle w:val="BookText"/>
      </w:pPr>
      <w:r>
        <w:rPr>
          <w:rFonts w:ascii="IRNazanin" w:hAnsi="IRNazanin" w:eastAsia="IRNazanin" w:cs="IRNazanin"/>
          <w:lang w:bidi="fa-IR"/>
          <w:color w:val="111111"/>
          <w:sz w:val="28"/>
          <w:szCs w:val="28"/>
          <w:rtl/>
        </w:rPr>
        <w:t xml:space="preserve">راجع مقبول قمی.</w:t>
      </w:r>
    </w:p>
    <w:p>
      <w:pPr>
        <w:pStyle w:val="Heading3"/>
      </w:pPr>
      <w:bookmarkStart w:id="9326" w:name="_Toc8022"/>
      <w:r>
        <w:t>7043- دیوان مقبولی أصفهانی أو شعره‏</w:t>
      </w:r>
      <w:bookmarkEnd w:id="9326"/>
    </w:p>
    <w:p>
      <w:pPr>
        <w:pStyle w:val="BookText"/>
      </w:pPr>
      <w:r>
        <w:rPr>
          <w:rFonts w:ascii="IRNazanin" w:hAnsi="IRNazanin" w:eastAsia="IRNazanin" w:cs="IRNazanin"/>
          <w:lang w:bidi="fa-IR"/>
          <w:color w:val="111111"/>
          <w:sz w:val="28"/>
          <w:szCs w:val="28"/>
          <w:rtl/>
        </w:rPr>
        <w:t xml:space="preserve">و اسمه المیر عبد الباقی من شعراء الشاه إسماعیل. قال سام میرزا فی (تس 2- ص 34) إنه نظم جواب سبحة الأبرار و مثنوی فی التصوف و لکنه لم یشتهر و طرد من البلاط.
</w:t>
      </w:r>
    </w:p>
    <w:p>
      <w:pPr>
        <w:sectPr>
          <w:footerReference w:type="default" r:id="rId1097"/>
          <w:footnotePr>
            <w:numStart w:val="1"/>
            <w:numRestart w:val="eachPage"/>
          </w:footnotePr>
          <w:pgSz w:orient="portrait" w:w="11905.511811023622" w:h="16837.79527559055"/>
          <w:pgMar w:top="1440" w:right="1440" w:bottom="1440" w:left="1440" w:header="720" w:footer="720" w:gutter="0"/>
          <w:cols w:num="1" w:space="720"/>
        </w:sectPr>
      </w:pPr>
    </w:p>
    <w:bookmarkStart w:id="1076" w:name="pg11704_122565"/>
    <w:bookmarkEnd w:id="1076"/>
    <w:p>
      <w:pPr>
        <w:pStyle w:val="Heading3"/>
      </w:pPr>
      <w:bookmarkStart w:id="9327" w:name="_Toc8023"/>
      <w:r>
        <w:t>7044- دیوان مقدس أصفهانی أو شعره‏</w:t>
      </w:r>
      <w:bookmarkEnd w:id="9327"/>
    </w:p>
    <w:p>
      <w:pPr>
        <w:pStyle w:val="BookText"/>
      </w:pPr>
      <w:r>
        <w:rPr>
          <w:rFonts w:ascii="IRNazanin" w:hAnsi="IRNazanin" w:eastAsia="IRNazanin" w:cs="IRNazanin"/>
          <w:lang w:bidi="fa-IR"/>
          <w:color w:val="111111"/>
          <w:sz w:val="28"/>
          <w:szCs w:val="28"/>
          <w:rtl/>
        </w:rPr>
        <w:t xml:space="preserve">و اسمه ید الله فانی بن الحسین ولد فی 1297 ش بقریة مبارکة بأصفهان و هو الیوم معلم بمدارس لنجان أورد شعره بالتخلص فی شعرای معاصر أصفهان- ص 463 و طبع دیوانه بأصفهان فی 1377 کما فی کتابهای ایران- ج 5- ص 64.</w:t>
      </w:r>
    </w:p>
    <w:p>
      <w:pPr>
        <w:pStyle w:val="Heading3"/>
      </w:pPr>
      <w:bookmarkStart w:id="9328" w:name="_Toc8024"/>
      <w:r>
        <w:t>7045- دیوان مقصدی ساوجی أو شعره‏</w:t>
      </w:r>
      <w:bookmarkEnd w:id="9328"/>
    </w:p>
    <w:p>
      <w:pPr>
        <w:pStyle w:val="BookText"/>
      </w:pPr>
      <w:r>
        <w:rPr>
          <w:rFonts w:ascii="IRNazanin" w:hAnsi="IRNazanin" w:eastAsia="IRNazanin" w:cs="IRNazanin"/>
          <w:lang w:bidi="fa-IR"/>
          <w:color w:val="111111"/>
          <w:sz w:val="28"/>
          <w:szCs w:val="28"/>
          <w:rtl/>
        </w:rPr>
        <w:t xml:space="preserve">ترجمه معاصره سام میرزا و أورد شعره فی (تس 5- ص 168) و هفت إقلیم و همیشه بهار و (تش- ص 222) و (گلشن- ص 438) و (خوش‏گو) و قالوا کان طبیبا.</w:t>
      </w:r>
    </w:p>
    <w:p>
      <w:pPr>
        <w:pStyle w:val="Heading3"/>
      </w:pPr>
      <w:bookmarkStart w:id="9329" w:name="_Toc8025"/>
      <w:r>
        <w:t>7046- دیوان مقصود أصفهانی أو شعره‏</w:t>
      </w:r>
      <w:bookmarkEnd w:id="9329"/>
    </w:p>
    <w:p>
      <w:pPr>
        <w:pStyle w:val="BookText"/>
      </w:pPr>
      <w:r>
        <w:rPr>
          <w:rFonts w:ascii="IRNazanin" w:hAnsi="IRNazanin" w:eastAsia="IRNazanin" w:cs="IRNazanin"/>
          <w:lang w:bidi="fa-IR"/>
          <w:color w:val="111111"/>
          <w:sz w:val="28"/>
          <w:szCs w:val="28"/>
          <w:rtl/>
        </w:rPr>
        <w:t xml:space="preserve">و اسمه مقصود الملقب کلاغ باز أورد شعره فی (گلشن- ص 439).</w:t>
      </w:r>
    </w:p>
    <w:p>
      <w:pPr>
        <w:pStyle w:val="Heading3"/>
      </w:pPr>
      <w:bookmarkStart w:id="9330" w:name="_Toc8026"/>
      <w:r>
        <w:t>7047- دیوان مقصود أصفهانی‏</w:t>
      </w:r>
      <w:bookmarkEnd w:id="9330"/>
    </w:p>
    <w:p>
      <w:pPr>
        <w:pStyle w:val="BookText"/>
      </w:pPr>
      <w:r>
        <w:rPr>
          <w:rFonts w:ascii="IRNazanin" w:hAnsi="IRNazanin" w:eastAsia="IRNazanin" w:cs="IRNazanin"/>
          <w:lang w:bidi="fa-IR"/>
          <w:color w:val="111111"/>
          <w:sz w:val="28"/>
          <w:szCs w:val="28"/>
          <w:rtl/>
        </w:rPr>
        <w:t xml:space="preserve">و اسمه المولی مقیما بن مقصود علی، فیقال له مقیمای مقصود. ترجمه النصرآبادی فی (نر 9- ص 355) و ذکر أنه کان ینظم القصائد فی الأعیاد و یقرئها بمجلس السلطان و یستحسن من قبل الجمیع. و له الوظیفة المستمرة اثنی عشر تومانا.</w:t>
      </w:r>
    </w:p>
    <w:p>
      <w:pPr>
        <w:pStyle w:val="Heading3"/>
      </w:pPr>
      <w:bookmarkStart w:id="9331" w:name="_Toc8027"/>
      <w:r>
        <w:t>دیوان مقصود بنا</w:t>
      </w:r>
      <w:bookmarkEnd w:id="9331"/>
    </w:p>
    <w:p>
      <w:pPr>
        <w:pStyle w:val="BookText"/>
      </w:pPr>
      <w:r>
        <w:rPr>
          <w:rFonts w:ascii="IRNazanin" w:hAnsi="IRNazanin" w:eastAsia="IRNazanin" w:cs="IRNazanin"/>
          <w:lang w:bidi="fa-IR"/>
          <w:color w:val="111111"/>
          <w:sz w:val="28"/>
          <w:szCs w:val="28"/>
          <w:rtl/>
        </w:rPr>
        <w:t xml:space="preserve">راجع مقصود تبریزی.</w:t>
      </w:r>
    </w:p>
    <w:p>
      <w:pPr>
        <w:pStyle w:val="Heading3"/>
      </w:pPr>
      <w:bookmarkStart w:id="9332" w:name="_Toc8028"/>
      <w:r>
        <w:t>دیوان مقصود بخاری أو شعره‏</w:t>
      </w:r>
      <w:bookmarkEnd w:id="9332"/>
    </w:p>
    <w:p>
      <w:pPr>
        <w:pStyle w:val="BookText"/>
      </w:pPr>
      <w:r>
        <w:rPr>
          <w:rFonts w:ascii="IRNazanin" w:hAnsi="IRNazanin" w:eastAsia="IRNazanin" w:cs="IRNazanin"/>
          <w:lang w:bidi="fa-IR"/>
          <w:color w:val="111111"/>
          <w:sz w:val="28"/>
          <w:szCs w:val="28"/>
          <w:rtl/>
        </w:rPr>
        <w:t xml:space="preserve">راجع مقصود هروی.</w:t>
      </w:r>
    </w:p>
    <w:p>
      <w:pPr>
        <w:pStyle w:val="Heading3"/>
      </w:pPr>
      <w:bookmarkStart w:id="9333" w:name="_Toc8029"/>
      <w:r>
        <w:t>7048- دیوان مقصود تبریزی‏</w:t>
      </w:r>
      <w:bookmarkEnd w:id="9333"/>
    </w:p>
    <w:p>
      <w:pPr>
        <w:pStyle w:val="BookText"/>
      </w:pPr>
      <w:r>
        <w:rPr>
          <w:rFonts w:ascii="IRNazanin" w:hAnsi="IRNazanin" w:eastAsia="IRNazanin" w:cs="IRNazanin"/>
          <w:lang w:bidi="fa-IR"/>
          <w:color w:val="111111"/>
          <w:sz w:val="28"/>
          <w:szCs w:val="28"/>
          <w:rtl/>
        </w:rPr>
        <w:t xml:space="preserve">ابن عبد السلام البناء المعمار التبریزی. ترجمه فی (دجا- ص 357) نقلا عن تحفه سامی، لکنی ما وجدته فی المطبوع منه فلعله الآتی بعد.</w:t>
      </w:r>
    </w:p>
    <w:p>
      <w:pPr>
        <w:pStyle w:val="BookText"/>
      </w:pPr>
      <w:r>
        <w:rPr>
          <w:rFonts w:ascii="IRNazanin" w:hAnsi="IRNazanin" w:eastAsia="IRNazanin" w:cs="IRNazanin"/>
          <w:lang w:bidi="fa-IR"/>
          <w:color w:val="111111"/>
          <w:sz w:val="28"/>
          <w:szCs w:val="28"/>
          <w:rtl/>
        </w:rPr>
        <w:t xml:space="preserve">و ذکر أن له قطعة فی کتیبة للعصر الشاه طهماسبی. و قد وقع فی مقطعها التخلص مرتین.</w:t>
      </w:r>
    </w:p>
    <w:p>
      <w:pPr>
        <w:pStyle w:val="BookText"/>
      </w:pPr>
      <w:r>
        <w:rPr>
          <w:rFonts w:ascii="IRNazanin" w:hAnsi="IRNazanin" w:eastAsia="IRNazanin" w:cs="IRNazanin"/>
          <w:lang w:bidi="fa-IR"/>
          <w:color w:val="111111"/>
          <w:sz w:val="28"/>
          <w:szCs w:val="28"/>
          <w:rtl/>
        </w:rPr>
        <w:t xml:space="preserve">مقصود رخ نتافت از این در به هیچ باب‏</w:t>
      </w:r>
    </w:p>
    <w:p>
      <w:pPr>
        <w:pStyle w:val="BookText"/>
      </w:pPr>
      <w:r>
        <w:rPr>
          <w:rFonts w:ascii="IRNazanin" w:hAnsi="IRNazanin" w:eastAsia="IRNazanin" w:cs="IRNazanin"/>
          <w:lang w:bidi="fa-IR"/>
          <w:color w:val="111111"/>
          <w:sz w:val="28"/>
          <w:szCs w:val="28"/>
          <w:rtl/>
        </w:rPr>
        <w:t xml:space="preserve">معلوم شد که قبلة مقصود این در است‏</w:t>
      </w:r>
    </w:p>
    <w:p>
      <w:pPr>
        <w:pStyle w:val="Heading3"/>
      </w:pPr>
      <w:bookmarkStart w:id="9334" w:name="_Toc8030"/>
      <w:r>
        <w:t>7049- دیوان مقصود جهان‏آبادی أو شعره‏</w:t>
      </w:r>
      <w:bookmarkEnd w:id="9334"/>
    </w:p>
    <w:p>
      <w:pPr>
        <w:pStyle w:val="BookText"/>
      </w:pPr>
      <w:r>
        <w:rPr>
          <w:rFonts w:ascii="IRNazanin" w:hAnsi="IRNazanin" w:eastAsia="IRNazanin" w:cs="IRNazanin"/>
          <w:lang w:bidi="fa-IR"/>
          <w:color w:val="111111"/>
          <w:sz w:val="28"/>
          <w:szCs w:val="28"/>
          <w:rtl/>
        </w:rPr>
        <w:t xml:space="preserve">و هو السید مقصود علی. أورد شعره فی (گلشن- ص 439).</w:t>
      </w:r>
    </w:p>
    <w:p>
      <w:pPr>
        <w:pStyle w:val="Heading3"/>
      </w:pPr>
      <w:bookmarkStart w:id="9335" w:name="_Toc8031"/>
      <w:r>
        <w:t>دیوان مقصود خراسانی‏</w:t>
      </w:r>
      <w:bookmarkEnd w:id="9335"/>
    </w:p>
    <w:p>
      <w:pPr>
        <w:pStyle w:val="BookText"/>
      </w:pPr>
      <w:r>
        <w:rPr>
          <w:rFonts w:ascii="IRNazanin" w:hAnsi="IRNazanin" w:eastAsia="IRNazanin" w:cs="IRNazanin"/>
          <w:lang w:bidi="fa-IR"/>
          <w:color w:val="111111"/>
          <w:sz w:val="28"/>
          <w:szCs w:val="28"/>
          <w:rtl/>
        </w:rPr>
        <w:t xml:space="preserve">راجع مقصود عبدل‏</w:t>
      </w:r>
    </w:p>
    <w:p>
      <w:pPr>
        <w:pStyle w:val="Heading3"/>
      </w:pPr>
      <w:bookmarkStart w:id="9336" w:name="_Toc8032"/>
      <w:r>
        <w:t>دیوان مقصود خرده‏</w:t>
      </w:r>
      <w:bookmarkEnd w:id="9336"/>
    </w:p>
    <w:p>
      <w:pPr>
        <w:pStyle w:val="BookText"/>
      </w:pPr>
      <w:r>
        <w:rPr>
          <w:rFonts w:ascii="IRNazanin" w:hAnsi="IRNazanin" w:eastAsia="IRNazanin" w:cs="IRNazanin"/>
          <w:lang w:bidi="fa-IR"/>
          <w:color w:val="111111"/>
          <w:sz w:val="28"/>
          <w:szCs w:val="28"/>
          <w:rtl/>
        </w:rPr>
        <w:t xml:space="preserve">أخ باقر خرده راجع مقصود کاشانی‏</w:t>
      </w:r>
    </w:p>
    <w:p>
      <w:pPr>
        <w:pStyle w:val="Heading3"/>
      </w:pPr>
      <w:bookmarkStart w:id="9337" w:name="_Toc8033"/>
      <w:r>
        <w:t>7050- دیوان مقصود خلخالی‏</w:t>
      </w:r>
      <w:bookmarkEnd w:id="9337"/>
    </w:p>
    <w:p>
      <w:pPr>
        <w:pStyle w:val="BookText"/>
      </w:pPr>
      <w:r>
        <w:rPr>
          <w:rFonts w:ascii="IRNazanin" w:hAnsi="IRNazanin" w:eastAsia="IRNazanin" w:cs="IRNazanin"/>
          <w:lang w:bidi="fa-IR"/>
          <w:color w:val="111111"/>
          <w:sz w:val="28"/>
          <w:szCs w:val="28"/>
          <w:rtl/>
        </w:rPr>
        <w:t xml:space="preserve">و اسمه مقصود علی یوجد دیوانه الفارسی باسم گنجینه جواهر فی مدرسة الحجیات بالموصل کما فی مخطوطات الموصل- ص 100
</w:t>
      </w:r>
    </w:p>
    <w:p>
      <w:pPr>
        <w:sectPr>
          <w:footerReference w:type="default" r:id="rId1098"/>
          <w:footnotePr>
            <w:numStart w:val="1"/>
            <w:numRestart w:val="eachPage"/>
          </w:footnotePr>
          <w:pgSz w:orient="portrait" w:w="11905.511811023622" w:h="16837.79527559055"/>
          <w:pgMar w:top="1440" w:right="1440" w:bottom="1440" w:left="1440" w:header="720" w:footer="720" w:gutter="0"/>
          <w:cols w:num="1" w:space="720"/>
        </w:sectPr>
      </w:pPr>
    </w:p>
    <w:bookmarkStart w:id="1077" w:name="pg11704_122566"/>
    <w:bookmarkEnd w:id="1077"/>
    <w:p>
      <w:pPr>
        <w:pStyle w:val="BookText"/>
      </w:pPr>
      <w:r>
        <w:rPr>
          <w:rFonts w:ascii="IRNazanin" w:hAnsi="IRNazanin" w:eastAsia="IRNazanin" w:cs="IRNazanin"/>
          <w:lang w:bidi="fa-IR"/>
          <w:color w:val="111111"/>
          <w:sz w:val="28"/>
          <w:szCs w:val="28"/>
          <w:rtl/>
        </w:rPr>
        <w:t xml:space="preserve">و عنه فی (دجا- ص 358)</w:t>
      </w:r>
    </w:p>
    <w:p>
      <w:pPr>
        <w:pStyle w:val="Heading3"/>
      </w:pPr>
      <w:bookmarkStart w:id="9338" w:name="_Toc8034"/>
      <w:r>
        <w:t>7051- دیوان مقصود سبزواری أو شعره‏</w:t>
      </w:r>
      <w:bookmarkEnd w:id="9338"/>
    </w:p>
    <w:p>
      <w:pPr>
        <w:pStyle w:val="BookText"/>
      </w:pPr>
      <w:r>
        <w:rPr>
          <w:rFonts w:ascii="IRNazanin" w:hAnsi="IRNazanin" w:eastAsia="IRNazanin" w:cs="IRNazanin"/>
          <w:lang w:bidi="fa-IR"/>
          <w:color w:val="111111"/>
          <w:sz w:val="28"/>
          <w:szCs w:val="28"/>
          <w:rtl/>
        </w:rPr>
        <w:t xml:space="preserve">هو من شعراء مزینان من توابع سبزوار، سکن سرخس أورد شعره فی (گلشن- ص 439)</w:t>
      </w:r>
    </w:p>
    <w:p>
      <w:pPr>
        <w:pStyle w:val="Heading3"/>
      </w:pPr>
      <w:bookmarkStart w:id="9339" w:name="_Toc8035"/>
      <w:r>
        <w:t>دیوان مقصود سرخسی‏</w:t>
      </w:r>
      <w:bookmarkEnd w:id="9339"/>
    </w:p>
    <w:p>
      <w:pPr>
        <w:pStyle w:val="BookText"/>
      </w:pPr>
      <w:r>
        <w:rPr>
          <w:rFonts w:ascii="IRNazanin" w:hAnsi="IRNazanin" w:eastAsia="IRNazanin" w:cs="IRNazanin"/>
          <w:lang w:bidi="fa-IR"/>
          <w:color w:val="111111"/>
          <w:sz w:val="28"/>
          <w:szCs w:val="28"/>
          <w:rtl/>
        </w:rPr>
        <w:t xml:space="preserve">راجع مقصود سبزواری‏</w:t>
      </w:r>
    </w:p>
    <w:p>
      <w:pPr>
        <w:pStyle w:val="Heading3"/>
      </w:pPr>
      <w:bookmarkStart w:id="9340" w:name="_Toc8036"/>
      <w:r>
        <w:t>7052- دیوان مقصود شیرازی‏</w:t>
      </w:r>
      <w:bookmarkEnd w:id="9340"/>
    </w:p>
    <w:p>
      <w:pPr>
        <w:pStyle w:val="BookText"/>
      </w:pPr>
      <w:r>
        <w:rPr>
          <w:rFonts w:ascii="IRNazanin" w:hAnsi="IRNazanin" w:eastAsia="IRNazanin" w:cs="IRNazanin"/>
          <w:lang w:bidi="fa-IR"/>
          <w:color w:val="111111"/>
          <w:sz w:val="28"/>
          <w:szCs w:val="28"/>
          <w:rtl/>
        </w:rPr>
        <w:t xml:space="preserve">من الخاکیة بشیراز و کانت ولادته فی تبریز و من أول صباه کان منشیا لدفتر الاستیفاء کما ذکره معاصره سام میرزا فی (تس 3- ص 60) و أورد رباعیه و بعض مثنویة لیلی و مجنون و بعض مثنویة الآخر فی الهزلیات‏</w:t>
      </w:r>
    </w:p>
    <w:p>
      <w:pPr>
        <w:pStyle w:val="Heading3"/>
      </w:pPr>
      <w:bookmarkStart w:id="9341" w:name="_Toc8037"/>
      <w:r>
        <w:t>7053- دیوان مقصود عبدل أو شعره‏</w:t>
      </w:r>
      <w:bookmarkEnd w:id="9341"/>
    </w:p>
    <w:p>
      <w:pPr>
        <w:pStyle w:val="BookText"/>
      </w:pPr>
      <w:r>
        <w:rPr>
          <w:rFonts w:ascii="IRNazanin" w:hAnsi="IRNazanin" w:eastAsia="IRNazanin" w:cs="IRNazanin"/>
          <w:lang w:bidi="fa-IR"/>
          <w:color w:val="111111"/>
          <w:sz w:val="28"/>
          <w:szCs w:val="28"/>
          <w:rtl/>
        </w:rPr>
        <w:t xml:space="preserve">هو من مشاهیر شعراء مشهد خراسان و معاصر سام میرزا ترجمه فی (تس 5- ص 131) و أورد شعره‏</w:t>
      </w:r>
    </w:p>
    <w:p>
      <w:pPr>
        <w:pStyle w:val="Heading3"/>
      </w:pPr>
      <w:bookmarkStart w:id="9342" w:name="_Toc8038"/>
      <w:r>
        <w:t>دیوان مقصود علی‏</w:t>
      </w:r>
      <w:bookmarkEnd w:id="9342"/>
    </w:p>
    <w:p>
      <w:pPr>
        <w:pStyle w:val="BookText"/>
      </w:pPr>
      <w:r>
        <w:rPr>
          <w:rFonts w:ascii="IRNazanin" w:hAnsi="IRNazanin" w:eastAsia="IRNazanin" w:cs="IRNazanin"/>
          <w:lang w:bidi="fa-IR"/>
          <w:color w:val="111111"/>
          <w:sz w:val="28"/>
          <w:szCs w:val="28"/>
          <w:rtl/>
        </w:rPr>
        <w:t xml:space="preserve">راجع مقصود خلخالی و مجلسی أصفهانی فی ص 966 و یأتی مقیم مقصود</w:t>
      </w:r>
    </w:p>
    <w:p>
      <w:pPr>
        <w:pStyle w:val="Heading3"/>
      </w:pPr>
      <w:bookmarkStart w:id="9343" w:name="_Toc8039"/>
      <w:r>
        <w:t>7054- دیوان مقصود قزوینی أو شعره‏</w:t>
      </w:r>
      <w:bookmarkEnd w:id="9343"/>
    </w:p>
    <w:p>
      <w:pPr>
        <w:pStyle w:val="BookText"/>
      </w:pPr>
      <w:r>
        <w:rPr>
          <w:rFonts w:ascii="IRNazanin" w:hAnsi="IRNazanin" w:eastAsia="IRNazanin" w:cs="IRNazanin"/>
          <w:lang w:bidi="fa-IR"/>
          <w:color w:val="111111"/>
          <w:sz w:val="28"/>
          <w:szCs w:val="28"/>
          <w:rtl/>
        </w:rPr>
        <w:t xml:space="preserve">و هو ابن الملا فضل الله و توفی 997 ورد شعره فی (روشن- ص 645)</w:t>
      </w:r>
    </w:p>
    <w:p>
      <w:pPr>
        <w:pStyle w:val="Heading3"/>
      </w:pPr>
      <w:bookmarkStart w:id="9344" w:name="_Toc8040"/>
      <w:r>
        <w:t>7055- دیوان مقصود کازرونی أو شعره‏</w:t>
      </w:r>
      <w:bookmarkEnd w:id="9344"/>
    </w:p>
    <w:p>
      <w:pPr>
        <w:pStyle w:val="BookText"/>
      </w:pPr>
      <w:r>
        <w:rPr>
          <w:rFonts w:ascii="IRNazanin" w:hAnsi="IRNazanin" w:eastAsia="IRNazanin" w:cs="IRNazanin"/>
          <w:lang w:bidi="fa-IR"/>
          <w:color w:val="111111"/>
          <w:sz w:val="28"/>
          <w:szCs w:val="28"/>
          <w:rtl/>
        </w:rPr>
        <w:t xml:space="preserve">و اسمه أیضا خواجه مقصود کان ماهرا فی الجفر و معاصرا لجلال الدوانی أورد شعره فی (قز مج 6- ص 309)</w:t>
      </w:r>
    </w:p>
    <w:p>
      <w:pPr>
        <w:pStyle w:val="Heading3"/>
      </w:pPr>
      <w:bookmarkStart w:id="9345" w:name="_Toc8041"/>
      <w:r>
        <w:t>7056- دیوان مقصود کاشانی أو شعره‏</w:t>
      </w:r>
      <w:bookmarkEnd w:id="9345"/>
    </w:p>
    <w:p>
      <w:pPr>
        <w:pStyle w:val="BookText"/>
      </w:pPr>
      <w:r>
        <w:rPr>
          <w:rFonts w:ascii="IRNazanin" w:hAnsi="IRNazanin" w:eastAsia="IRNazanin" w:cs="IRNazanin"/>
          <w:lang w:bidi="fa-IR"/>
          <w:color w:val="111111"/>
          <w:sz w:val="28"/>
          <w:szCs w:val="28"/>
          <w:rtl/>
        </w:rPr>
        <w:t xml:space="preserve">ترجمه معاصره الصادقی فی (خص 8- ص 213) و قال إنه طالب العلم و أصله من کاشان و شغله خرده‏فروش و له طبع حسن و فی (روشن- ص 644) أنه تلمیذ غیاث الدین منصور الدشتکی و إنه و أخاه باقر کاشی خرده‏ای المذکور فی ص 121 کانا من قریة خرده بکاشان و له مهاجاة مع المحتشم الکاشانی و قتل غیلة بیزد فی 987 و کذا فی همیشه بهار و (خوش‏گو) و هفت إقلیم‏</w:t>
      </w:r>
    </w:p>
    <w:p>
      <w:pPr>
        <w:pStyle w:val="Heading3"/>
      </w:pPr>
      <w:bookmarkStart w:id="9346" w:name="_Toc8042"/>
      <w:r>
        <w:t>7057- دیوان مقصود کاشانی أو شعره‏</w:t>
      </w:r>
      <w:bookmarkEnd w:id="9346"/>
    </w:p>
    <w:p>
      <w:pPr>
        <w:pStyle w:val="BookText"/>
      </w:pPr>
      <w:r>
        <w:rPr>
          <w:rFonts w:ascii="IRNazanin" w:hAnsi="IRNazanin" w:eastAsia="IRNazanin" w:cs="IRNazanin"/>
          <w:lang w:bidi="fa-IR"/>
          <w:color w:val="111111"/>
          <w:sz w:val="28"/>
          <w:szCs w:val="28"/>
          <w:rtl/>
        </w:rPr>
        <w:t xml:space="preserve">کان معاصرا لسام میرزا فذکره فی (تس 5- ص 146) و قال إنه ماهر فی السیاق‏</w:t>
      </w:r>
    </w:p>
    <w:p>
      <w:pPr>
        <w:pStyle w:val="Heading3"/>
      </w:pPr>
      <w:bookmarkStart w:id="9347" w:name="_Toc8043"/>
      <w:r>
        <w:t>7058- دیوان مقصود کرمانی‏</w:t>
      </w:r>
      <w:bookmarkEnd w:id="9347"/>
    </w:p>
    <w:p>
      <w:pPr>
        <w:pStyle w:val="BookText"/>
      </w:pPr>
      <w:r>
        <w:rPr>
          <w:rFonts w:ascii="IRNazanin" w:hAnsi="IRNazanin" w:eastAsia="IRNazanin" w:cs="IRNazanin"/>
          <w:lang w:bidi="fa-IR"/>
          <w:color w:val="111111"/>
          <w:sz w:val="28"/>
          <w:szCs w:val="28"/>
          <w:rtl/>
        </w:rPr>
        <w:t xml:space="preserve">و اسمه المیرزا عبد الله المتوفی 1348 بکرمان عن ثمانین سنة طبع فی 1332 فی مجلدین الأول مخزن اللآلی فی 94 ص و الثانی مجمع المراثی فی 545 ص فی المراثی و غیره‏
</w:t>
      </w:r>
    </w:p>
    <w:p>
      <w:pPr>
        <w:sectPr>
          <w:footerReference w:type="default" r:id="rId1099"/>
          <w:footnotePr>
            <w:numStart w:val="1"/>
            <w:numRestart w:val="eachPage"/>
          </w:footnotePr>
          <w:pgSz w:orient="portrait" w:w="11905.511811023622" w:h="16837.79527559055"/>
          <w:pgMar w:top="1440" w:right="1440" w:bottom="1440" w:left="1440" w:header="720" w:footer="720" w:gutter="0"/>
          <w:cols w:num="1" w:space="720"/>
        </w:sectPr>
      </w:pPr>
    </w:p>
    <w:bookmarkStart w:id="1078" w:name="pg11704_122567"/>
    <w:bookmarkEnd w:id="1078"/>
    <w:p>
      <w:pPr>
        <w:pStyle w:val="Heading3"/>
      </w:pPr>
      <w:bookmarkStart w:id="9348" w:name="_Toc8044"/>
      <w:r>
        <w:t>7059- دیوان مقصود لکهنوی‏</w:t>
      </w:r>
      <w:bookmarkEnd w:id="9348"/>
    </w:p>
    <w:p>
      <w:pPr>
        <w:pStyle w:val="BookText"/>
      </w:pPr>
      <w:r>
        <w:rPr>
          <w:rFonts w:ascii="IRNazanin" w:hAnsi="IRNazanin" w:eastAsia="IRNazanin" w:cs="IRNazanin"/>
          <w:lang w:bidi="fa-IR"/>
          <w:color w:val="111111"/>
          <w:sz w:val="28"/>
          <w:szCs w:val="28"/>
          <w:rtl/>
        </w:rPr>
        <w:t xml:space="preserve">و اسمه مقصود عالم بن صدر عالم مسرور الپهانی اللکهنوی تلمذ علی أبیه و علی أسد الله غالب و تلقب منه شمس الشعراء له عدة مثنویات بأسماء شکرستان و سکندرنامه و مقصود الصنائع و له أکثر من خمسین تألیفا و مات عن خمسین سنة من عمره کذا ذکره معاصره فی (گلشن- ص 440) و عنه فی القاموس الترکی‏</w:t>
      </w:r>
    </w:p>
    <w:p>
      <w:pPr>
        <w:pStyle w:val="Heading3"/>
      </w:pPr>
      <w:bookmarkStart w:id="9349" w:name="_Toc8045"/>
      <w:r>
        <w:t>دیوان مقصود مشهدی‏</w:t>
      </w:r>
      <w:bookmarkEnd w:id="9349"/>
    </w:p>
    <w:p>
      <w:pPr>
        <w:pStyle w:val="BookText"/>
      </w:pPr>
      <w:r>
        <w:rPr>
          <w:rFonts w:ascii="IRNazanin" w:hAnsi="IRNazanin" w:eastAsia="IRNazanin" w:cs="IRNazanin"/>
          <w:lang w:bidi="fa-IR"/>
          <w:color w:val="111111"/>
          <w:sz w:val="28"/>
          <w:szCs w:val="28"/>
          <w:rtl/>
        </w:rPr>
        <w:t xml:space="preserve">راجع مقصود عبدل‏</w:t>
      </w:r>
    </w:p>
    <w:p>
      <w:pPr>
        <w:pStyle w:val="Heading3"/>
      </w:pPr>
      <w:bookmarkStart w:id="9350" w:name="_Toc8046"/>
      <w:r>
        <w:t>دیوان مقصود مقیما</w:t>
      </w:r>
      <w:bookmarkEnd w:id="9350"/>
    </w:p>
    <w:p>
      <w:pPr>
        <w:pStyle w:val="BookText"/>
      </w:pPr>
      <w:r>
        <w:rPr>
          <w:rFonts w:ascii="IRNazanin" w:hAnsi="IRNazanin" w:eastAsia="IRNazanin" w:cs="IRNazanin"/>
          <w:lang w:bidi="fa-IR"/>
          <w:color w:val="111111"/>
          <w:sz w:val="28"/>
          <w:szCs w:val="28"/>
          <w:rtl/>
        </w:rPr>
        <w:t xml:space="preserve">راجع مقصود أصفهانی‏</w:t>
      </w:r>
    </w:p>
    <w:p>
      <w:pPr>
        <w:pStyle w:val="Heading3"/>
      </w:pPr>
      <w:bookmarkStart w:id="9351" w:name="_Toc8047"/>
      <w:r>
        <w:t>دیوان مقصود هروی تیرگر</w:t>
      </w:r>
      <w:bookmarkEnd w:id="9351"/>
    </w:p>
    <w:p>
      <w:pPr>
        <w:pStyle w:val="BookText"/>
      </w:pPr>
      <w:r>
        <w:rPr>
          <w:rFonts w:ascii="IRNazanin" w:hAnsi="IRNazanin" w:eastAsia="IRNazanin" w:cs="IRNazanin"/>
          <w:lang w:bidi="fa-IR"/>
          <w:color w:val="111111"/>
          <w:sz w:val="28"/>
          <w:szCs w:val="28"/>
          <w:rtl/>
        </w:rPr>
        <w:t xml:space="preserve">و اسمه درویش مقصود أصله من هرات و سکن مدة بمشهد الرضا ترجمه فی (مجتس 6- ص 156) و (تش- ص 150) و (نتایج- ص 650) و هفت إقلیم و (گلشن- ص 439) و (روشن- ص 645) و عنهم فی القاموس الترکی و قالوا إن أکثر شعره الرباعیات و ذکرناه بعنوان درویش مقصود فی ص 324</w:t>
      </w:r>
    </w:p>
    <w:p>
      <w:pPr>
        <w:pStyle w:val="Heading3"/>
      </w:pPr>
      <w:bookmarkStart w:id="9352" w:name="_Toc8048"/>
      <w:r>
        <w:t>7060- دیوان مقصود هروی أو شعره‏</w:t>
      </w:r>
      <w:bookmarkEnd w:id="9352"/>
    </w:p>
    <w:p>
      <w:pPr>
        <w:pStyle w:val="BookText"/>
      </w:pPr>
      <w:r>
        <w:rPr>
          <w:rFonts w:ascii="IRNazanin" w:hAnsi="IRNazanin" w:eastAsia="IRNazanin" w:cs="IRNazanin"/>
          <w:lang w:bidi="fa-IR"/>
          <w:color w:val="111111"/>
          <w:sz w:val="28"/>
          <w:szCs w:val="28"/>
          <w:rtl/>
        </w:rPr>
        <w:t xml:space="preserve">کان أنیس فخر الدین ألب تکچی و ماهرا فی الغزل ترجمه و أورد شعره فی (قز مج 3- ص 255)</w:t>
      </w:r>
    </w:p>
    <w:p>
      <w:pPr>
        <w:pStyle w:val="Heading3"/>
      </w:pPr>
      <w:bookmarkStart w:id="9353" w:name="_Toc8049"/>
      <w:r>
        <w:t>دیوان مقیم‏</w:t>
      </w:r>
      <w:bookmarkEnd w:id="9353"/>
    </w:p>
    <w:p>
      <w:pPr>
        <w:pStyle w:val="BookText"/>
      </w:pPr>
      <w:r>
        <w:rPr>
          <w:rFonts w:ascii="IRNazanin" w:hAnsi="IRNazanin" w:eastAsia="IRNazanin" w:cs="IRNazanin"/>
          <w:lang w:bidi="fa-IR"/>
          <w:color w:val="111111"/>
          <w:sz w:val="28"/>
          <w:szCs w:val="28"/>
          <w:rtl/>
        </w:rPr>
        <w:t xml:space="preserve">و اسمه المیرزا مقیم، أو میرزا منعم کما فی بعض النسخ من (سرخوش- ص 110) و هو غیر إنصاف المذکور فی ص 108 فلعله منعم لاهوری أو البخاری الآتی‏</w:t>
      </w:r>
    </w:p>
    <w:p>
      <w:pPr>
        <w:pStyle w:val="Heading3"/>
      </w:pPr>
      <w:bookmarkStart w:id="9354" w:name="_Toc8050"/>
      <w:r>
        <w:t>7061- دیوان مقیم أسترآبادی أو شعره‏</w:t>
      </w:r>
      <w:bookmarkEnd w:id="9354"/>
    </w:p>
    <w:p>
      <w:pPr>
        <w:pStyle w:val="BookText"/>
      </w:pPr>
      <w:r>
        <w:rPr>
          <w:rFonts w:ascii="IRNazanin" w:hAnsi="IRNazanin" w:eastAsia="IRNazanin" w:cs="IRNazanin"/>
          <w:lang w:bidi="fa-IR"/>
          <w:color w:val="111111"/>
          <w:sz w:val="28"/>
          <w:szCs w:val="28"/>
          <w:rtl/>
        </w:rPr>
        <w:t xml:space="preserve">و اسمه محمد مقیم ابن میر محمد دانیال ترجمه و أورد شعره فی هفت إقلیم و (روشن- ص 443)</w:t>
      </w:r>
    </w:p>
    <w:p>
      <w:pPr>
        <w:pStyle w:val="Heading3"/>
      </w:pPr>
      <w:bookmarkStart w:id="9355" w:name="_Toc8051"/>
      <w:r>
        <w:t>دیوان مقیم أصفهانی‏</w:t>
      </w:r>
      <w:bookmarkEnd w:id="9355"/>
    </w:p>
    <w:p>
      <w:pPr>
        <w:pStyle w:val="BookText"/>
      </w:pPr>
      <w:r>
        <w:rPr>
          <w:rFonts w:ascii="IRNazanin" w:hAnsi="IRNazanin" w:eastAsia="IRNazanin" w:cs="IRNazanin"/>
          <w:lang w:bidi="fa-IR"/>
          <w:color w:val="111111"/>
          <w:sz w:val="28"/>
          <w:szCs w:val="28"/>
          <w:rtl/>
        </w:rPr>
        <w:t xml:space="preserve">و اسمه المیرزا مقیم کتاب دار ترجمه فی (حسینی- ص 322) و (خوش‏گو) و محمد علی تربیت فی مجلة أرمغان 13: 322 و همیشه بهار مر ذکره فی ص 908 أیضا</w:t>
      </w:r>
    </w:p>
    <w:p>
      <w:pPr>
        <w:pStyle w:val="Heading3"/>
      </w:pPr>
      <w:bookmarkStart w:id="9356" w:name="_Toc8052"/>
      <w:r>
        <w:t>7062- دیوان مقیم أکبرآبادی أو شعره‏</w:t>
      </w:r>
      <w:bookmarkEnd w:id="9356"/>
    </w:p>
    <w:p>
      <w:pPr>
        <w:pStyle w:val="BookText"/>
      </w:pPr>
      <w:r>
        <w:rPr>
          <w:rFonts w:ascii="IRNazanin" w:hAnsi="IRNazanin" w:eastAsia="IRNazanin" w:cs="IRNazanin"/>
          <w:lang w:bidi="fa-IR"/>
          <w:color w:val="111111"/>
          <w:sz w:val="28"/>
          <w:szCs w:val="28"/>
          <w:rtl/>
        </w:rPr>
        <w:t xml:space="preserve">و اسمه میر محمد مقیم أورد شعره فی (گلشن- ص 443)</w:t>
      </w:r>
    </w:p>
    <w:p>
      <w:pPr>
        <w:pStyle w:val="Heading3"/>
      </w:pPr>
      <w:bookmarkStart w:id="9357" w:name="_Toc8053"/>
      <w:r>
        <w:t>7063- دیوان مقیم بخاری أو شعره‏</w:t>
      </w:r>
      <w:bookmarkEnd w:id="9357"/>
    </w:p>
    <w:p>
      <w:pPr>
        <w:pStyle w:val="BookText"/>
      </w:pPr>
      <w:r>
        <w:rPr>
          <w:rFonts w:ascii="IRNazanin" w:hAnsi="IRNazanin" w:eastAsia="IRNazanin" w:cs="IRNazanin"/>
          <w:lang w:bidi="fa-IR"/>
          <w:color w:val="111111"/>
          <w:sz w:val="28"/>
          <w:szCs w:val="28"/>
          <w:rtl/>
        </w:rPr>
        <w:t xml:space="preserve">و اسمه میرزا مقیم من شعراء عبد العزیز الأزبک و مات 1131 أورد شعره فی (خز- ص 424) و شمع انجمن و قال النصرآبادی فی (نر 10- ص 434) جاء مع سفیر بخارا إلی أصفهان و مدح الشاه و کان یحضر عندی‏
</w:t>
      </w:r>
    </w:p>
    <w:p>
      <w:pPr>
        <w:sectPr>
          <w:footerReference w:type="default" r:id="rId1100"/>
          <w:footnotePr>
            <w:numStart w:val="1"/>
            <w:numRestart w:val="eachPage"/>
          </w:footnotePr>
          <w:pgSz w:orient="portrait" w:w="11905.511811023622" w:h="16837.79527559055"/>
          <w:pgMar w:top="1440" w:right="1440" w:bottom="1440" w:left="1440" w:header="720" w:footer="720" w:gutter="0"/>
          <w:cols w:num="1" w:space="720"/>
        </w:sectPr>
      </w:pPr>
    </w:p>
    <w:bookmarkStart w:id="1079" w:name="pg11704_122568"/>
    <w:bookmarkEnd w:id="1079"/>
    <w:p>
      <w:pPr>
        <w:pStyle w:val="BookText"/>
      </w:pPr>
      <w:r>
        <w:rPr>
          <w:rFonts w:ascii="IRNazanin" w:hAnsi="IRNazanin" w:eastAsia="IRNazanin" w:cs="IRNazanin"/>
          <w:lang w:bidi="fa-IR"/>
          <w:color w:val="111111"/>
          <w:sz w:val="28"/>
          <w:szCs w:val="28"/>
          <w:rtl/>
        </w:rPr>
        <w:t xml:space="preserve">بمسجد لنبان‏</w:t>
      </w:r>
    </w:p>
    <w:p>
      <w:pPr>
        <w:pStyle w:val="Heading3"/>
      </w:pPr>
      <w:bookmarkStart w:id="9358" w:name="_Toc8054"/>
      <w:r>
        <w:t>7064- دیوان مقیم تبریزی أو شعره‏</w:t>
      </w:r>
      <w:bookmarkEnd w:id="9358"/>
    </w:p>
    <w:p>
      <w:pPr>
        <w:pStyle w:val="BookText"/>
      </w:pPr>
      <w:r>
        <w:rPr>
          <w:rFonts w:ascii="IRNazanin" w:hAnsi="IRNazanin" w:eastAsia="IRNazanin" w:cs="IRNazanin"/>
          <w:lang w:bidi="fa-IR"/>
          <w:color w:val="111111"/>
          <w:sz w:val="28"/>
          <w:szCs w:val="28"/>
          <w:rtl/>
        </w:rPr>
        <w:t xml:space="preserve">و هو المیرزا مقیم بن الملا بایندر هاجر من تبریز إلی عباس‏آباد أصفهان و اتصل بمنوچهر خان حاکم لر کوچک و ذهب إلی لر کوچک، و مات فیها أورد النصرآبادی فی (نر 9 و 13- ص 401 و 480) بعض مطالع غزلیاته و بیتا من مثنویة و جوابه لمحتشم کاشانی و کذا فی (گلشن- ص 443) و عنه فی القاموس الترکی و فی (تش- ص 34) سماه مقیمی بن ملا بهادر</w:t>
      </w:r>
    </w:p>
    <w:p>
      <w:pPr>
        <w:pStyle w:val="Heading3"/>
      </w:pPr>
      <w:bookmarkStart w:id="9359" w:name="_Toc8055"/>
      <w:r>
        <w:t>دیوان مقیم تبریزی‏</w:t>
      </w:r>
      <w:bookmarkEnd w:id="9359"/>
    </w:p>
    <w:p>
      <w:pPr>
        <w:pStyle w:val="BookText"/>
      </w:pPr>
      <w:r>
        <w:rPr>
          <w:rFonts w:ascii="IRNazanin" w:hAnsi="IRNazanin" w:eastAsia="IRNazanin" w:cs="IRNazanin"/>
          <w:lang w:bidi="fa-IR"/>
          <w:color w:val="111111"/>
          <w:sz w:val="28"/>
          <w:szCs w:val="28"/>
          <w:rtl/>
        </w:rPr>
        <w:t xml:space="preserve">مر بعنوان تخلصه جوهری.</w:t>
      </w:r>
    </w:p>
    <w:p>
      <w:pPr>
        <w:pStyle w:val="Heading3"/>
      </w:pPr>
      <w:bookmarkStart w:id="9360" w:name="_Toc8056"/>
      <w:r>
        <w:t>دیوان مقیم جعفری‏</w:t>
      </w:r>
      <w:bookmarkEnd w:id="9360"/>
    </w:p>
    <w:p>
      <w:pPr>
        <w:pStyle w:val="BookText"/>
      </w:pPr>
      <w:r>
        <w:rPr>
          <w:rFonts w:ascii="IRNazanin" w:hAnsi="IRNazanin" w:eastAsia="IRNazanin" w:cs="IRNazanin"/>
          <w:lang w:bidi="fa-IR"/>
          <w:color w:val="111111"/>
          <w:sz w:val="28"/>
          <w:szCs w:val="28"/>
          <w:rtl/>
        </w:rPr>
        <w:t xml:space="preserve">المذکور فی ص 197 ترجم فی (نر 6 و 9- ص 186 و 265) و ذکر شعره فی رثاء ملهمی تبریزی.</w:t>
      </w:r>
    </w:p>
    <w:p>
      <w:pPr>
        <w:pStyle w:val="Heading3"/>
      </w:pPr>
      <w:bookmarkStart w:id="9361" w:name="_Toc8057"/>
      <w:r>
        <w:t>دیوان مقیم خراسانی‏</w:t>
      </w:r>
      <w:bookmarkEnd w:id="9361"/>
    </w:p>
    <w:p>
      <w:pPr>
        <w:pStyle w:val="BookText"/>
      </w:pPr>
      <w:r>
        <w:rPr>
          <w:rFonts w:ascii="IRNazanin" w:hAnsi="IRNazanin" w:eastAsia="IRNazanin" w:cs="IRNazanin"/>
          <w:lang w:bidi="fa-IR"/>
          <w:color w:val="111111"/>
          <w:sz w:val="28"/>
          <w:szCs w:val="28"/>
          <w:rtl/>
        </w:rPr>
        <w:t xml:space="preserve">و اسمه محمد مقیم. مر بتخلصه إنصاف خراسانی فی ص 108 و یأتی مقیم مشهدی.</w:t>
      </w:r>
    </w:p>
    <w:p>
      <w:pPr>
        <w:pStyle w:val="Heading3"/>
      </w:pPr>
      <w:bookmarkStart w:id="9362" w:name="_Toc8058"/>
      <w:r>
        <w:t>دیوان مقیم رشتی أو شعره‏</w:t>
      </w:r>
      <w:bookmarkEnd w:id="9362"/>
    </w:p>
    <w:p>
      <w:pPr>
        <w:pStyle w:val="BookText"/>
      </w:pPr>
      <w:r>
        <w:rPr>
          <w:rFonts w:ascii="IRNazanin" w:hAnsi="IRNazanin" w:eastAsia="IRNazanin" w:cs="IRNazanin"/>
          <w:lang w:bidi="fa-IR"/>
          <w:color w:val="111111"/>
          <w:sz w:val="28"/>
          <w:szCs w:val="28"/>
          <w:rtl/>
        </w:rPr>
        <w:t xml:space="preserve">و اسمه مقیما. کان أبوه شاهنامه‏خوان و اشتغل هو بالزرکشة فعرف بزرکش کما مر فی ص 401 و فی همیشه بهار سماه مقیمای زرگر.</w:t>
      </w:r>
    </w:p>
    <w:p>
      <w:pPr>
        <w:pStyle w:val="Heading3"/>
      </w:pPr>
      <w:bookmarkStart w:id="9363" w:name="_Toc8059"/>
      <w:r>
        <w:t>7065- دیوان مقیم سبزواری أو شعره‏</w:t>
      </w:r>
      <w:bookmarkEnd w:id="9363"/>
    </w:p>
    <w:p>
      <w:pPr>
        <w:pStyle w:val="BookText"/>
      </w:pPr>
      <w:r>
        <w:rPr>
          <w:rFonts w:ascii="IRNazanin" w:hAnsi="IRNazanin" w:eastAsia="IRNazanin" w:cs="IRNazanin"/>
          <w:lang w:bidi="fa-IR"/>
          <w:color w:val="111111"/>
          <w:sz w:val="28"/>
          <w:szCs w:val="28"/>
          <w:rtl/>
        </w:rPr>
        <w:t xml:space="preserve">سافر إلی الهند و رجع إلی وطنه. أورد شعره فی (گلشن- ص 441).</w:t>
      </w:r>
    </w:p>
    <w:p>
      <w:pPr>
        <w:pStyle w:val="Heading3"/>
      </w:pPr>
      <w:bookmarkStart w:id="9364" w:name="_Toc8060"/>
      <w:r>
        <w:t>7066- دیوان مقیم سهارن‏پوری‏</w:t>
      </w:r>
      <w:bookmarkEnd w:id="9364"/>
    </w:p>
    <w:p>
      <w:pPr>
        <w:pStyle w:val="BookText"/>
      </w:pPr>
      <w:r>
        <w:rPr>
          <w:rFonts w:ascii="IRNazanin" w:hAnsi="IRNazanin" w:eastAsia="IRNazanin" w:cs="IRNazanin"/>
          <w:lang w:bidi="fa-IR"/>
          <w:color w:val="111111"/>
          <w:sz w:val="28"/>
          <w:szCs w:val="28"/>
          <w:rtl/>
        </w:rPr>
        <w:t xml:space="preserve">و اسمه محمد مقیم المصاحب مع أحمد علی رسا اللکهنوی. له نشتر غم المنسوب إلی رسا أیضا. کذا ذکر فی (گلشن- ص 442) و عنه فی القاموس الترکی بعنوان مقیم هندی.</w:t>
      </w:r>
    </w:p>
    <w:p>
      <w:pPr>
        <w:pStyle w:val="Heading3"/>
      </w:pPr>
      <w:bookmarkStart w:id="9365" w:name="_Toc8061"/>
      <w:r>
        <w:t>دیوان مقیم شیرازی‏</w:t>
      </w:r>
      <w:bookmarkEnd w:id="9365"/>
    </w:p>
    <w:p>
      <w:pPr>
        <w:pStyle w:val="BookText"/>
      </w:pPr>
      <w:r>
        <w:rPr>
          <w:rFonts w:ascii="IRNazanin" w:hAnsi="IRNazanin" w:eastAsia="IRNazanin" w:cs="IRNazanin"/>
          <w:lang w:bidi="fa-IR"/>
          <w:color w:val="111111"/>
          <w:sz w:val="28"/>
          <w:szCs w:val="28"/>
          <w:rtl/>
        </w:rPr>
        <w:t xml:space="preserve">ابن شمسا طهرانی. راجع مقیم طهرانی.</w:t>
      </w:r>
    </w:p>
    <w:p>
      <w:pPr>
        <w:pStyle w:val="Heading3"/>
      </w:pPr>
      <w:bookmarkStart w:id="9366" w:name="_Toc8062"/>
      <w:r>
        <w:t>دیوان مقیم شیرازی‏</w:t>
      </w:r>
      <w:bookmarkEnd w:id="9366"/>
    </w:p>
    <w:p>
      <w:pPr>
        <w:pStyle w:val="BookText"/>
      </w:pPr>
      <w:r>
        <w:rPr>
          <w:rFonts w:ascii="IRNazanin" w:hAnsi="IRNazanin" w:eastAsia="IRNazanin" w:cs="IRNazanin"/>
          <w:lang w:bidi="fa-IR"/>
          <w:color w:val="111111"/>
          <w:sz w:val="28"/>
          <w:szCs w:val="28"/>
          <w:rtl/>
        </w:rPr>
        <w:t xml:space="preserve">و اسمه قوچی ابن ملا قیدی کما فی (گلشن- ص 441) و الصحیح ما مر بعنوان فوجی نیشابوری.</w:t>
      </w:r>
    </w:p>
    <w:p>
      <w:pPr>
        <w:pStyle w:val="Heading3"/>
      </w:pPr>
      <w:bookmarkStart w:id="9367" w:name="_Toc8063"/>
      <w:r>
        <w:t>7067- دیوان مقیم طهرانی أو شعره‏</w:t>
      </w:r>
      <w:bookmarkEnd w:id="9367"/>
    </w:p>
    <w:p>
      <w:pPr>
        <w:pStyle w:val="BookText"/>
      </w:pPr>
      <w:r>
        <w:rPr>
          <w:rFonts w:ascii="IRNazanin" w:hAnsi="IRNazanin" w:eastAsia="IRNazanin" w:cs="IRNazanin"/>
          <w:lang w:bidi="fa-IR"/>
          <w:color w:val="111111"/>
          <w:sz w:val="28"/>
          <w:szCs w:val="28"/>
          <w:rtl/>
        </w:rPr>
        <w:t xml:space="preserve">و اسمه مقیم ابن شمس الدین محمد (شمسا) و هو أخ کاشف المذکور فی ص 898. ترجمه فی (فارس‏نامه 2: 151) و همیشه بهار و أورد له فی (تش- ص 294) شعرا من مثنوی یوسف و زلیخا و قال لم أر له غیره، و هی:</w:t>
      </w:r>
    </w:p>
    <w:p>
      <w:pPr>
        <w:pStyle w:val="BookText"/>
      </w:pPr>
      <w:r>
        <w:rPr>
          <w:rFonts w:ascii="IRNazanin" w:hAnsi="IRNazanin" w:eastAsia="IRNazanin" w:cs="IRNazanin"/>
          <w:lang w:bidi="fa-IR"/>
          <w:color w:val="111111"/>
          <w:sz w:val="28"/>
          <w:szCs w:val="28"/>
          <w:rtl/>
        </w:rPr>
        <w:t xml:space="preserve">برایش خانه‏ای از نی بنا کرد</w:t>
      </w:r>
    </w:p>
    <w:p>
      <w:pPr>
        <w:pStyle w:val="BookText"/>
      </w:pPr>
      <w:r>
        <w:rPr>
          <w:rFonts w:ascii="IRNazanin" w:hAnsi="IRNazanin" w:eastAsia="IRNazanin" w:cs="IRNazanin"/>
          <w:lang w:bidi="fa-IR"/>
          <w:color w:val="111111"/>
          <w:sz w:val="28"/>
          <w:szCs w:val="28"/>
          <w:rtl/>
        </w:rPr>
        <w:t xml:space="preserve">در آن خانه بسان ناله جا کرد
</w:t>
      </w:r>
    </w:p>
    <w:p>
      <w:pPr>
        <w:sectPr>
          <w:footerReference w:type="default" r:id="rId1101"/>
          <w:footnotePr>
            <w:numStart w:val="1"/>
            <w:numRestart w:val="eachPage"/>
          </w:footnotePr>
          <w:pgSz w:orient="portrait" w:w="11905.511811023622" w:h="16837.79527559055"/>
          <w:pgMar w:top="1440" w:right="1440" w:bottom="1440" w:left="1440" w:header="720" w:footer="720" w:gutter="0"/>
          <w:cols w:num="1" w:space="720"/>
        </w:sectPr>
      </w:pPr>
    </w:p>
    <w:bookmarkStart w:id="1080" w:name="pg11704_122569"/>
    <w:bookmarkEnd w:id="1080"/>
    <w:p>
      <w:pPr>
        <w:pStyle w:val="BookText"/>
      </w:pPr>
      <w:r>
        <w:rPr>
          <w:rFonts w:ascii="IRNazanin" w:hAnsi="IRNazanin" w:eastAsia="IRNazanin" w:cs="IRNazanin"/>
          <w:lang w:bidi="fa-IR"/>
          <w:color w:val="111111"/>
          <w:sz w:val="28"/>
          <w:szCs w:val="28"/>
          <w:rtl/>
        </w:rPr>
        <w:t xml:space="preserve">و لکنه فی ص 228 نسب هذا الشعر إلی مقیم قمی. و لکنی لم أعرفه. و فی (نر 9- ص 252) أورد له أشعار غیر هذا و قال إنه لم یخرج من طهران حتی مات بها. و ترجمه أیضا فی (الطرائق- 3: 144) و (روشن- ص 645).</w:t>
      </w:r>
    </w:p>
    <w:p>
      <w:pPr>
        <w:pStyle w:val="Heading3"/>
      </w:pPr>
      <w:bookmarkStart w:id="9368" w:name="_Toc8064"/>
      <w:r>
        <w:t>دیوان مقیم قزوینی‏</w:t>
      </w:r>
      <w:bookmarkEnd w:id="9368"/>
    </w:p>
    <w:p>
      <w:pPr>
        <w:pStyle w:val="BookText"/>
      </w:pPr>
      <w:r>
        <w:rPr>
          <w:rFonts w:ascii="IRNazanin" w:hAnsi="IRNazanin" w:eastAsia="IRNazanin" w:cs="IRNazanin"/>
          <w:lang w:bidi="fa-IR"/>
          <w:color w:val="111111"/>
          <w:sz w:val="28"/>
          <w:szCs w:val="28"/>
          <w:rtl/>
        </w:rPr>
        <w:t xml:space="preserve">نسب إلیه فی (گلشن- ص 443) منظومة یوسف و زلیخا و کذا فی (دجا- ص 175) و همیشه بهار. و أظنه متحدا مع الطهرانی.</w:t>
      </w:r>
    </w:p>
    <w:p>
      <w:pPr>
        <w:pStyle w:val="Heading3"/>
      </w:pPr>
      <w:bookmarkStart w:id="9369" w:name="_Toc8065"/>
      <w:r>
        <w:t>دیوان مقیم قمی‏</w:t>
      </w:r>
      <w:bookmarkEnd w:id="9369"/>
    </w:p>
    <w:p>
      <w:pPr>
        <w:pStyle w:val="BookText"/>
      </w:pPr>
      <w:r>
        <w:rPr>
          <w:rFonts w:ascii="IRNazanin" w:hAnsi="IRNazanin" w:eastAsia="IRNazanin" w:cs="IRNazanin"/>
          <w:lang w:bidi="fa-IR"/>
          <w:color w:val="111111"/>
          <w:sz w:val="28"/>
          <w:szCs w:val="28"/>
          <w:rtl/>
        </w:rPr>
        <w:t xml:space="preserve">أورد فی (تش- ص 228) شعرا من مثنویة یوسف و زلیخا ثم أورده بعینه فی (ص 294) لمقیم طهرانی کما مر. فمقیم ناظم یوسف و زلیخا رجل واحد نسب إلی شیراز و طهران و قزوین و قم.</w:t>
      </w:r>
    </w:p>
    <w:p>
      <w:pPr>
        <w:pStyle w:val="Heading3"/>
      </w:pPr>
      <w:bookmarkStart w:id="9370" w:name="_Toc8066"/>
      <w:r>
        <w:t>7068- دیوان مقیم کازرونی أو شعره‏</w:t>
      </w:r>
      <w:bookmarkEnd w:id="9370"/>
    </w:p>
    <w:p>
      <w:pPr>
        <w:pStyle w:val="BookText"/>
      </w:pPr>
      <w:r>
        <w:rPr>
          <w:rFonts w:ascii="IRNazanin" w:hAnsi="IRNazanin" w:eastAsia="IRNazanin" w:cs="IRNazanin"/>
          <w:lang w:bidi="fa-IR"/>
          <w:color w:val="111111"/>
          <w:sz w:val="28"/>
          <w:szCs w:val="28"/>
          <w:rtl/>
        </w:rPr>
        <w:t xml:space="preserve">ترجم و أورد شعره فی (بهش 2- ص 389).</w:t>
      </w:r>
    </w:p>
    <w:p>
      <w:pPr>
        <w:pStyle w:val="Heading3"/>
      </w:pPr>
      <w:bookmarkStart w:id="9371" w:name="_Toc8067"/>
      <w:r>
        <w:t>دیوان مقیم کاشانی‏</w:t>
      </w:r>
      <w:bookmarkEnd w:id="9371"/>
    </w:p>
    <w:p>
      <w:pPr>
        <w:pStyle w:val="BookText"/>
      </w:pPr>
      <w:r>
        <w:rPr>
          <w:rFonts w:ascii="IRNazanin" w:hAnsi="IRNazanin" w:eastAsia="IRNazanin" w:cs="IRNazanin"/>
          <w:lang w:bidi="fa-IR"/>
          <w:color w:val="111111"/>
          <w:sz w:val="28"/>
          <w:szCs w:val="28"/>
          <w:rtl/>
        </w:rPr>
        <w:t xml:space="preserve">راجع حلمی فی ص 264.</w:t>
      </w:r>
    </w:p>
    <w:p>
      <w:pPr>
        <w:pStyle w:val="Heading3"/>
      </w:pPr>
      <w:bookmarkStart w:id="9372" w:name="_Toc8068"/>
      <w:r>
        <w:t>دیوان مقیم کتاب دار</w:t>
      </w:r>
      <w:bookmarkEnd w:id="9372"/>
    </w:p>
    <w:p>
      <w:pPr>
        <w:pStyle w:val="BookText"/>
      </w:pPr>
      <w:r>
        <w:rPr>
          <w:rFonts w:ascii="IRNazanin" w:hAnsi="IRNazanin" w:eastAsia="IRNazanin" w:cs="IRNazanin"/>
          <w:lang w:bidi="fa-IR"/>
          <w:color w:val="111111"/>
          <w:sz w:val="28"/>
          <w:szCs w:val="28"/>
          <w:rtl/>
        </w:rPr>
        <w:t xml:space="preserve">مر بعنوان مقیم أصفهانی فی ص 1091 و کتاب دار فی ص 908.</w:t>
      </w:r>
    </w:p>
    <w:p>
      <w:pPr>
        <w:pStyle w:val="Heading3"/>
      </w:pPr>
      <w:bookmarkStart w:id="9373" w:name="_Toc8069"/>
      <w:r>
        <w:t>دیوان مقیم مشهدی‏</w:t>
      </w:r>
      <w:bookmarkEnd w:id="9373"/>
    </w:p>
    <w:p>
      <w:pPr>
        <w:pStyle w:val="BookText"/>
      </w:pPr>
      <w:r>
        <w:rPr>
          <w:rFonts w:ascii="IRNazanin" w:hAnsi="IRNazanin" w:eastAsia="IRNazanin" w:cs="IRNazanin"/>
          <w:lang w:bidi="fa-IR"/>
          <w:color w:val="111111"/>
          <w:sz w:val="28"/>
          <w:szCs w:val="28"/>
          <w:rtl/>
        </w:rPr>
        <w:t xml:space="preserve">مر فی ص 54 بتخلصه حسان و ترجم فی (نتایج- ص 53) و فی (مطلع 2: 448) أن دیوانه فی أربعین ألف بیت.</w:t>
      </w:r>
    </w:p>
    <w:p>
      <w:pPr>
        <w:pStyle w:val="Heading3"/>
      </w:pPr>
      <w:bookmarkStart w:id="9374" w:name="_Toc8070"/>
      <w:r>
        <w:t>7069- دیوان مقیم مقصود أو شعره‏</w:t>
      </w:r>
      <w:bookmarkEnd w:id="9374"/>
    </w:p>
    <w:p>
      <w:pPr>
        <w:pStyle w:val="BookText"/>
      </w:pPr>
      <w:r>
        <w:rPr>
          <w:rFonts w:ascii="IRNazanin" w:hAnsi="IRNazanin" w:eastAsia="IRNazanin" w:cs="IRNazanin"/>
          <w:lang w:bidi="fa-IR"/>
          <w:color w:val="111111"/>
          <w:sz w:val="28"/>
          <w:szCs w:val="28"/>
          <w:rtl/>
        </w:rPr>
        <w:t xml:space="preserve">و هو ابن الملا مقصود علی. وصف النصرآبادی فی (نر 9- 355) والده بالزهد و التقوی و إنه أدرک البهائی. و لعله ابن المجلسی المذکور فی ص 966. و جاء شعره فی (مسرت- ص 143).</w:t>
      </w:r>
    </w:p>
    <w:p>
      <w:pPr>
        <w:pStyle w:val="Heading3"/>
      </w:pPr>
      <w:bookmarkStart w:id="9375" w:name="_Toc8071"/>
      <w:r>
        <w:t>دیوان مقیم نیشابوری‏</w:t>
      </w:r>
      <w:bookmarkEnd w:id="9375"/>
    </w:p>
    <w:p>
      <w:pPr>
        <w:pStyle w:val="BookText"/>
      </w:pPr>
      <w:r>
        <w:rPr>
          <w:rFonts w:ascii="IRNazanin" w:hAnsi="IRNazanin" w:eastAsia="IRNazanin" w:cs="IRNazanin"/>
          <w:lang w:bidi="fa-IR"/>
          <w:color w:val="111111"/>
          <w:sz w:val="28"/>
          <w:szCs w:val="28"/>
          <w:rtl/>
        </w:rPr>
        <w:t xml:space="preserve">مر فی ص 850 بعنوان فوجی و فی (گلشن- ص 441) سماه قوچی.</w:t>
      </w:r>
    </w:p>
    <w:p>
      <w:pPr>
        <w:pStyle w:val="Heading3"/>
      </w:pPr>
      <w:bookmarkStart w:id="9376" w:name="_Toc8072"/>
      <w:r>
        <w:t>7070- دیوان مقیم هندی أو شعره‏</w:t>
      </w:r>
      <w:bookmarkEnd w:id="9376"/>
    </w:p>
    <w:p>
      <w:pPr>
        <w:pStyle w:val="BookText"/>
      </w:pPr>
      <w:r>
        <w:rPr>
          <w:rFonts w:ascii="IRNazanin" w:hAnsi="IRNazanin" w:eastAsia="IRNazanin" w:cs="IRNazanin"/>
          <w:lang w:bidi="fa-IR"/>
          <w:color w:val="111111"/>
          <w:sz w:val="28"/>
          <w:szCs w:val="28"/>
          <w:rtl/>
        </w:rPr>
        <w:t xml:space="preserve">و اسمه محمد مقیم و مات 1166 أورد شعره فی (گلشن- ص 443). و راجع مقیم سهارن‏پوری.</w:t>
      </w:r>
    </w:p>
    <w:p>
      <w:pPr>
        <w:pStyle w:val="Heading3"/>
      </w:pPr>
      <w:bookmarkStart w:id="9377" w:name="_Toc8073"/>
      <w:r>
        <w:t>7071- دیوان مقیمی بخاری أو شعره‏</w:t>
      </w:r>
      <w:bookmarkEnd w:id="9377"/>
    </w:p>
    <w:p>
      <w:pPr>
        <w:pStyle w:val="BookText"/>
      </w:pPr>
      <w:r>
        <w:rPr>
          <w:rFonts w:ascii="IRNazanin" w:hAnsi="IRNazanin" w:eastAsia="IRNazanin" w:cs="IRNazanin"/>
          <w:lang w:bidi="fa-IR"/>
          <w:color w:val="111111"/>
          <w:sz w:val="28"/>
          <w:szCs w:val="28"/>
          <w:rtl/>
        </w:rPr>
        <w:t xml:space="preserve">ترجمه و أطری شعره فی (مجتس 6- ص 159).</w:t>
      </w:r>
    </w:p>
    <w:p>
      <w:pPr>
        <w:pStyle w:val="Heading3"/>
      </w:pPr>
      <w:bookmarkStart w:id="9378" w:name="_Toc8074"/>
      <w:r>
        <w:t>7072- دیوان مقیمی تبریزی أو شعره‏</w:t>
      </w:r>
      <w:bookmarkEnd w:id="9378"/>
    </w:p>
    <w:p>
      <w:pPr>
        <w:pStyle w:val="BookText"/>
      </w:pPr>
      <w:r>
        <w:rPr>
          <w:rFonts w:ascii="IRNazanin" w:hAnsi="IRNazanin" w:eastAsia="IRNazanin" w:cs="IRNazanin"/>
          <w:lang w:bidi="fa-IR"/>
          <w:color w:val="111111"/>
          <w:sz w:val="28"/>
          <w:szCs w:val="28"/>
          <w:rtl/>
        </w:rPr>
        <w:t xml:space="preserve">و اسمه حسن بیگ شکر أوغلو ترکمان حفید علی شکر الخطاط الموسیقار من إیل بهارلو بتبریز و أمه من بیت جهان‏شاه پادشاه.</w:t>
      </w:r>
    </w:p>
    <w:p>
      <w:pPr>
        <w:pStyle w:val="BookText"/>
      </w:pPr>
      <w:r>
        <w:rPr>
          <w:rFonts w:ascii="IRNazanin" w:hAnsi="IRNazanin" w:eastAsia="IRNazanin" w:cs="IRNazanin"/>
          <w:lang w:bidi="fa-IR"/>
          <w:color w:val="111111"/>
          <w:sz w:val="28"/>
          <w:szCs w:val="28"/>
          <w:rtl/>
        </w:rPr>
        <w:t xml:space="preserve">سافر إلی الهند فی عهد أکبر شاه و تقرب عند خان خانان و مات بدکن فی أوائل القرن الحادی عشر. کذا فی (تش- ص 21) و (خص 7- ص 112) و (نتایج- ص 630) و قال‏
</w:t>
      </w:r>
    </w:p>
    <w:p>
      <w:pPr>
        <w:sectPr>
          <w:footerReference w:type="default" r:id="rId1102"/>
          <w:footnotePr>
            <w:numStart w:val="1"/>
            <w:numRestart w:val="eachPage"/>
          </w:footnotePr>
          <w:pgSz w:orient="portrait" w:w="11905.511811023622" w:h="16837.79527559055"/>
          <w:pgMar w:top="1440" w:right="1440" w:bottom="1440" w:left="1440" w:header="720" w:footer="720" w:gutter="0"/>
          <w:cols w:num="1" w:space="720"/>
        </w:sectPr>
      </w:pPr>
    </w:p>
    <w:bookmarkStart w:id="1081" w:name="pg11704_122570"/>
    <w:bookmarkEnd w:id="1081"/>
    <w:p>
      <w:pPr>
        <w:pStyle w:val="BookText"/>
      </w:pPr>
      <w:r>
        <w:rPr>
          <w:rFonts w:ascii="IRNazanin" w:hAnsi="IRNazanin" w:eastAsia="IRNazanin" w:cs="IRNazanin"/>
          <w:lang w:bidi="fa-IR"/>
          <w:color w:val="111111"/>
          <w:sz w:val="28"/>
          <w:szCs w:val="28"/>
          <w:rtl/>
        </w:rPr>
        <w:t xml:space="preserve">قد یتخلص حسن أیضا و کذا فی (دجا- ص 114) عن هفت إقلیم.</w:t>
      </w:r>
    </w:p>
    <w:p>
      <w:pPr>
        <w:pStyle w:val="Heading3"/>
      </w:pPr>
      <w:bookmarkStart w:id="9379" w:name="_Toc8075"/>
      <w:r>
        <w:t>دیوان مقیمی تبریزی‏</w:t>
      </w:r>
      <w:bookmarkEnd w:id="9379"/>
    </w:p>
    <w:p>
      <w:pPr>
        <w:pStyle w:val="BookText"/>
      </w:pPr>
      <w:r>
        <w:rPr>
          <w:rFonts w:ascii="IRNazanin" w:hAnsi="IRNazanin" w:eastAsia="IRNazanin" w:cs="IRNazanin"/>
          <w:lang w:bidi="fa-IR"/>
          <w:color w:val="111111"/>
          <w:sz w:val="28"/>
          <w:szCs w:val="28"/>
          <w:rtl/>
        </w:rPr>
        <w:t xml:space="preserve">راجع مقیم تبریزی.</w:t>
      </w:r>
    </w:p>
    <w:p>
      <w:pPr>
        <w:pStyle w:val="Heading3"/>
      </w:pPr>
      <w:bookmarkStart w:id="9380" w:name="_Toc8076"/>
      <w:r>
        <w:t>دیوان مقیمی ترکمان‏</w:t>
      </w:r>
      <w:bookmarkEnd w:id="9380"/>
    </w:p>
    <w:p>
      <w:pPr>
        <w:pStyle w:val="BookText"/>
      </w:pPr>
      <w:r>
        <w:rPr>
          <w:rFonts w:ascii="IRNazanin" w:hAnsi="IRNazanin" w:eastAsia="IRNazanin" w:cs="IRNazanin"/>
          <w:lang w:bidi="fa-IR"/>
          <w:color w:val="111111"/>
          <w:sz w:val="28"/>
          <w:szCs w:val="28"/>
          <w:rtl/>
        </w:rPr>
        <w:t xml:space="preserve">راجع مقیمی تبریزی.</w:t>
      </w:r>
    </w:p>
    <w:p>
      <w:pPr>
        <w:pStyle w:val="Heading3"/>
      </w:pPr>
      <w:bookmarkStart w:id="9381" w:name="_Toc8077"/>
      <w:r>
        <w:t>7073- دیوان مقیمی هروی أو شعره‏</w:t>
      </w:r>
      <w:bookmarkEnd w:id="9381"/>
    </w:p>
    <w:p>
      <w:pPr>
        <w:pStyle w:val="BookText"/>
      </w:pPr>
      <w:r>
        <w:rPr>
          <w:rFonts w:ascii="IRNazanin" w:hAnsi="IRNazanin" w:eastAsia="IRNazanin" w:cs="IRNazanin"/>
          <w:lang w:bidi="fa-IR"/>
          <w:color w:val="111111"/>
          <w:sz w:val="28"/>
          <w:szCs w:val="28"/>
          <w:rtl/>
        </w:rPr>
        <w:t xml:space="preserve">قال فی (مجن 2- ص 50 و 224) کان واقفا علی المصطلحات الصوفیة و أورد شعره الترکی.</w:t>
      </w:r>
    </w:p>
    <w:p>
      <w:pPr>
        <w:pStyle w:val="Heading3"/>
      </w:pPr>
      <w:bookmarkStart w:id="9382" w:name="_Toc8078"/>
      <w:r>
        <w:t>7074- دیوان مکارم أکبرآبادی‏</w:t>
      </w:r>
      <w:bookmarkEnd w:id="9382"/>
    </w:p>
    <w:p>
      <w:pPr>
        <w:pStyle w:val="BookText"/>
      </w:pPr>
      <w:r>
        <w:rPr>
          <w:rFonts w:ascii="IRNazanin" w:hAnsi="IRNazanin" w:eastAsia="IRNazanin" w:cs="IRNazanin"/>
          <w:lang w:bidi="fa-IR"/>
          <w:color w:val="111111"/>
          <w:sz w:val="28"/>
          <w:szCs w:val="28"/>
          <w:rtl/>
        </w:rPr>
        <w:t xml:space="preserve">و اسمه محمد. عده فی (گلشن- ص 432) فی شعراء القرن الحادی عشر و أورد شعره.</w:t>
      </w:r>
    </w:p>
    <w:p>
      <w:pPr>
        <w:pStyle w:val="Heading3"/>
      </w:pPr>
      <w:bookmarkStart w:id="9383" w:name="_Toc8079"/>
      <w:r>
        <w:t>7075- دیوان مکارم قزوینی أو شعره‏</w:t>
      </w:r>
      <w:bookmarkEnd w:id="9383"/>
    </w:p>
    <w:p>
      <w:pPr>
        <w:pStyle w:val="BookText"/>
      </w:pPr>
      <w:r>
        <w:rPr>
          <w:rFonts w:ascii="IRNazanin" w:hAnsi="IRNazanin" w:eastAsia="IRNazanin" w:cs="IRNazanin"/>
          <w:lang w:bidi="fa-IR"/>
          <w:color w:val="111111"/>
          <w:sz w:val="28"/>
          <w:szCs w:val="28"/>
          <w:rtl/>
        </w:rPr>
        <w:t xml:space="preserve">عده سام میرزا من مکثری الشعراء و أورد شعره فی (تس 5- ص 169) و کذا فی هفت إقلیم و (خوش‏گو).</w:t>
      </w:r>
    </w:p>
    <w:p>
      <w:pPr>
        <w:pStyle w:val="Heading3"/>
      </w:pPr>
      <w:bookmarkStart w:id="9384" w:name="_Toc8080"/>
      <w:r>
        <w:t>7076- دیوان مکتبی شیرازی‏</w:t>
      </w:r>
      <w:bookmarkEnd w:id="9384"/>
    </w:p>
    <w:p>
      <w:pPr>
        <w:pStyle w:val="BookText"/>
      </w:pPr>
      <w:r>
        <w:rPr>
          <w:rFonts w:ascii="IRNazanin" w:hAnsi="IRNazanin" w:eastAsia="IRNazanin" w:cs="IRNazanin"/>
          <w:lang w:bidi="fa-IR"/>
          <w:color w:val="111111"/>
          <w:sz w:val="28"/>
          <w:szCs w:val="28"/>
          <w:rtl/>
        </w:rPr>
        <w:t xml:space="preserve">کان معلما للأطفال بمسجد بردی بشیراز و أخذ تخلصه من حرفته هذه کما فی (فارس‏نامه 2: 151) و قال القزوینی فی (بهش 2:</w:t>
      </w:r>
    </w:p>
    <w:p>
      <w:pPr>
        <w:pStyle w:val="BookText"/>
      </w:pPr>
      <w:r>
        <w:rPr>
          <w:rFonts w:ascii="IRNazanin" w:hAnsi="IRNazanin" w:eastAsia="IRNazanin" w:cs="IRNazanin"/>
          <w:lang w:bidi="fa-IR"/>
          <w:color w:val="111111"/>
          <w:sz w:val="28"/>
          <w:szCs w:val="28"/>
          <w:rtl/>
        </w:rPr>
        <w:t xml:space="preserve">ص 387) إنه کان ماهرا فی الموسیقی و اخترع ما یشبه القانون. و شرع فی نظم خمسة فی قبال پنج گنج للنظامی فنظم لیلی و مجنون فی [895- کتاب مکتبی‏] فی شیراز فی 2160 بیت باسم میرزاده قاسم بن أمیر منصور پرناک‏</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چون مکتبی این کتاب بگشود</w:t>
      </w:r>
    </w:p>
    <w:p>
      <w:pPr>
        <w:pStyle w:val="BookText"/>
      </w:pPr>
      <w:r>
        <w:rPr>
          <w:rFonts w:ascii="IRNazanin" w:hAnsi="IRNazanin" w:eastAsia="IRNazanin" w:cs="IRNazanin"/>
          <w:lang w:bidi="fa-IR"/>
          <w:color w:val="111111"/>
          <w:sz w:val="28"/>
          <w:szCs w:val="28"/>
          <w:rtl/>
        </w:rPr>
        <w:t xml:space="preserve">تاریخ کتاب مکتبی بود</w:t>
      </w:r>
    </w:p>
    <w:p>
      <w:pPr>
        <w:pStyle w:val="BookText"/>
      </w:pPr>
      <w:r>
        <w:rPr>
          <w:rFonts w:ascii="IRNazanin" w:hAnsi="IRNazanin" w:eastAsia="IRNazanin" w:cs="IRNazanin"/>
          <w:lang w:bidi="fa-IR"/>
          <w:color w:val="111111"/>
          <w:sz w:val="28"/>
          <w:szCs w:val="28"/>
          <w:rtl/>
        </w:rPr>
        <w:t xml:space="preserve">أبیات که در حساب پیوست‏</w:t>
      </w:r>
    </w:p>
    <w:p>
      <w:pPr>
        <w:pStyle w:val="BookText"/>
      </w:pPr>
      <w:r>
        <w:rPr>
          <w:rFonts w:ascii="IRNazanin" w:hAnsi="IRNazanin" w:eastAsia="IRNazanin" w:cs="IRNazanin"/>
          <w:lang w:bidi="fa-IR"/>
          <w:color w:val="111111"/>
          <w:sz w:val="28"/>
          <w:szCs w:val="28"/>
          <w:rtl/>
        </w:rPr>
        <w:t xml:space="preserve">آمد دو هزار و یک‏صد و شصت‏</w:t>
      </w:r>
    </w:p>
    <w:p>
      <w:pPr>
        <w:pStyle w:val="BookText"/>
      </w:pPr>
      <w:r>
        <w:rPr>
          <w:rFonts w:ascii="IRNazanin" w:hAnsi="IRNazanin" w:eastAsia="IRNazanin" w:cs="IRNazanin"/>
          <w:lang w:bidi="fa-IR"/>
          <w:color w:val="111111"/>
          <w:sz w:val="28"/>
          <w:szCs w:val="28"/>
          <w:rtl/>
        </w:rPr>
        <w:t xml:space="preserve">و یوجد فی النسخة المطبوعة فی 1259 فی ص 12 اسم شاه قاسم هکذا:</w:t>
      </w:r>
    </w:p>
    <w:p>
      <w:pPr>
        <w:pStyle w:val="BookText"/>
      </w:pPr>
      <w:r>
        <w:rPr>
          <w:rFonts w:ascii="IRNazanin" w:hAnsi="IRNazanin" w:eastAsia="IRNazanin" w:cs="IRNazanin"/>
          <w:lang w:bidi="fa-IR"/>
          <w:color w:val="111111"/>
          <w:sz w:val="28"/>
          <w:szCs w:val="28"/>
          <w:rtl/>
        </w:rPr>
        <w:t xml:space="preserve">کان پیرهن از أزل فتاده‏</w:t>
      </w:r>
    </w:p>
    <w:p>
      <w:pPr>
        <w:pStyle w:val="BookText"/>
      </w:pPr>
      <w:r>
        <w:rPr>
          <w:rFonts w:ascii="IRNazanin" w:hAnsi="IRNazanin" w:eastAsia="IRNazanin" w:cs="IRNazanin"/>
          <w:lang w:bidi="fa-IR"/>
          <w:color w:val="111111"/>
          <w:sz w:val="28"/>
          <w:szCs w:val="28"/>
          <w:rtl/>
        </w:rPr>
        <w:t xml:space="preserve">بر قامت میر میرزاده‏</w:t>
      </w:r>
    </w:p>
    <w:p>
      <w:pPr>
        <w:pStyle w:val="BookText"/>
      </w:pPr>
      <w:r>
        <w:rPr>
          <w:rFonts w:ascii="IRNazanin" w:hAnsi="IRNazanin" w:eastAsia="IRNazanin" w:cs="IRNazanin"/>
          <w:lang w:bidi="fa-IR"/>
          <w:color w:val="111111"/>
          <w:sz w:val="28"/>
          <w:szCs w:val="28"/>
          <w:rtl/>
        </w:rPr>
        <w:t xml:space="preserve">سر خیل سپه‏کشان مشهور</w:t>
      </w:r>
    </w:p>
    <w:p>
      <w:pPr>
        <w:pStyle w:val="BookText"/>
      </w:pPr>
      <w:r>
        <w:rPr>
          <w:rFonts w:ascii="IRNazanin" w:hAnsi="IRNazanin" w:eastAsia="IRNazanin" w:cs="IRNazanin"/>
          <w:lang w:bidi="fa-IR"/>
          <w:color w:val="111111"/>
          <w:sz w:val="28"/>
          <w:szCs w:val="28"/>
          <w:rtl/>
        </w:rPr>
        <w:t xml:space="preserve">شه قاسم بن أمیر منصور</w:t>
      </w:r>
    </w:p>
    <w:p>
      <w:pPr>
        <w:pStyle w:val="BookText"/>
      </w:pPr>
      <w:r>
        <w:rPr>
          <w:rFonts w:ascii="IRNazanin" w:hAnsi="IRNazanin" w:eastAsia="IRNazanin" w:cs="IRNazanin"/>
          <w:lang w:bidi="fa-IR"/>
          <w:color w:val="111111"/>
          <w:sz w:val="28"/>
          <w:szCs w:val="28"/>
          <w:rtl/>
        </w:rPr>
        <w:t xml:space="preserve">و قاسم هو الذی حث البایندریة علی اغتیال المیر صدر الدین الدشتکی فی 903 و فی 907 غلب علیه سلطان مراد میرزا و قتله فی إصطهبانات.</w:t>
      </w:r>
    </w:p>
    <w:p>
      <w:pPr>
        <w:pStyle w:val="BookText"/>
      </w:pPr>
      <w:r>
        <w:rPr>
          <w:rFonts w:ascii="IRNazanin" w:hAnsi="IRNazanin" w:eastAsia="IRNazanin" w:cs="IRNazanin"/>
          <w:lang w:bidi="fa-IR"/>
          <w:color w:val="111111"/>
          <w:sz w:val="28"/>
          <w:szCs w:val="28"/>
          <w:rtl/>
        </w:rPr>
        <w:t xml:space="preserve">و مات فی 916 کما فی شاهد صادق و قال بهار فی مقدمه کلمات علیه أنه کان حیا إلی 941 و هو بعید. و ینسب إلیه نظم الکلمات القصار للإمام علی باسم کلمات علیه غراء فی 1500 بیت طبعه حسین کوهی کرمانی بطهران 1353 مع مقدمه لبهار خراسانی و طبع لیلی و مجنون‏</w:t>
      </w:r>
    </w:p>
    <w:p>
      <w:pPr>
        <w:sectPr>
          <w:footerReference w:type="default" r:id="rId1103"/>
          <w:footnotePr>
            <w:numStart w:val="1"/>
            <w:numRestart w:val="eachPage"/>
          </w:footnotePr>
          <w:pgSz w:orient="portrait" w:w="11905.511811023622" w:h="16837.79527559055"/>
          <w:pgMar w:top="1440" w:right="1440" w:bottom="1440" w:left="1440" w:header="720" w:footer="720" w:gutter="0"/>
          <w:cols w:num="1" w:space="720"/>
        </w:sectPr>
      </w:pPr>
    </w:p>
    <w:bookmarkStart w:id="1082" w:name="pg11704_122571"/>
    <w:bookmarkEnd w:id="1082"/>
    <w:p>
      <w:pPr>
        <w:pStyle w:val="BookText"/>
      </w:pPr>
      <w:r>
        <w:rPr>
          <w:rFonts w:ascii="IRNazanin" w:hAnsi="IRNazanin" w:eastAsia="IRNazanin" w:cs="IRNazanin"/>
          <w:lang w:bidi="fa-IR"/>
          <w:color w:val="111111"/>
          <w:sz w:val="28"/>
          <w:szCs w:val="28"/>
          <w:rtl/>
        </w:rPr>
        <w:t xml:space="preserve">فی 1346 مع مقدمه الدکتور شفق فی 168 ص. و یوجد ثلاث نسخ منه عند (الملک) و ثلاث عند (فخر الدین) و نسخه منضمة إلی دیوان فغانی عند (دهخدا). و ترجم مکتبی فی (تس 5- ص 129) و (خوش‏گو) و فی هفت- ص 307 و (مع 2: 40) و مجلة إیرانشهر 3: 405 و ترجمه أیضا رشید الیاسمی فی مجلة آینده- 1: 47 و 110 و عبد الحسین نوائی فی مجلة یادگار 2: 5: 52 و سعید النفیسی فی مجلة وفا 1:</w:t>
      </w:r>
    </w:p>
    <w:p>
      <w:pPr>
        <w:pStyle w:val="BookText"/>
      </w:pPr>
      <w:r>
        <w:rPr>
          <w:rFonts w:ascii="IRNazanin" w:hAnsi="IRNazanin" w:eastAsia="IRNazanin" w:cs="IRNazanin"/>
          <w:lang w:bidi="fa-IR"/>
          <w:color w:val="111111"/>
          <w:sz w:val="28"/>
          <w:szCs w:val="28"/>
          <w:rtl/>
        </w:rPr>
        <w:t xml:space="preserve">363 و مر له خمسة فی 7: 263.</w:t>
      </w:r>
    </w:p>
    <w:p>
      <w:pPr>
        <w:pStyle w:val="Heading3"/>
      </w:pPr>
      <w:bookmarkStart w:id="9385" w:name="_Toc8081"/>
      <w:r>
        <w:t>دیوان مکرم أصفهانی‏</w:t>
      </w:r>
      <w:bookmarkEnd w:id="9385"/>
    </w:p>
    <w:p>
      <w:pPr>
        <w:pStyle w:val="BookText"/>
      </w:pPr>
      <w:r>
        <w:rPr>
          <w:rFonts w:ascii="IRNazanin" w:hAnsi="IRNazanin" w:eastAsia="IRNazanin" w:cs="IRNazanin"/>
          <w:lang w:bidi="fa-IR"/>
          <w:color w:val="111111"/>
          <w:sz w:val="28"/>
          <w:szCs w:val="28"/>
          <w:rtl/>
        </w:rPr>
        <w:t xml:space="preserve">راجع مکرم حبیب‏آبادی.</w:t>
      </w:r>
    </w:p>
    <w:p>
      <w:pPr>
        <w:pStyle w:val="Heading3"/>
      </w:pPr>
      <w:bookmarkStart w:id="9386" w:name="_Toc8082"/>
      <w:r>
        <w:t>7077- دیوان مکرم حبیب‏آبادی‏</w:t>
      </w:r>
      <w:bookmarkEnd w:id="9386"/>
    </w:p>
    <w:p>
      <w:pPr>
        <w:pStyle w:val="BookText"/>
      </w:pPr>
      <w:r>
        <w:rPr>
          <w:rFonts w:ascii="IRNazanin" w:hAnsi="IRNazanin" w:eastAsia="IRNazanin" w:cs="IRNazanin"/>
          <w:lang w:bidi="fa-IR"/>
          <w:color w:val="111111"/>
          <w:sz w:val="28"/>
          <w:szCs w:val="28"/>
          <w:rtl/>
        </w:rPr>
        <w:t xml:space="preserve">و اسمه محمد علی بن علی خان بن صادق بن عبد المطلب بن علی خان، من قریة حبیب‏آباد بأصفهان. ولد فیها 1304 و هاجر إلی أصفهان 1316 و مهر فی الأدب الفارسی و العربی. و نشر جریدة صدای أصفهان من جمادی الثانیة لسنة 1339 و فیها کثیر من أشعاره الاجتماعیة و الانتقادیة. و طبع بأصفهان دیوانه فی 288 ص. فی 1373 بعنوان مکرم أصفهانی. و کتب لنا أحواله المعلم الحبیب‏آبادی المذکور فی ص 1072 و ترجم أیضا أحواله فی شعرای معاصر أصفهان ص 464 و تذکره علوی- ص 20.</w:t>
      </w:r>
    </w:p>
    <w:p>
      <w:pPr>
        <w:pStyle w:val="Heading3"/>
      </w:pPr>
      <w:bookmarkStart w:id="9387" w:name="_Toc8083"/>
      <w:r>
        <w:t>7078- دیوان مکری کردستانی‏</w:t>
      </w:r>
      <w:bookmarkEnd w:id="9387"/>
    </w:p>
    <w:p>
      <w:pPr>
        <w:pStyle w:val="BookText"/>
      </w:pPr>
      <w:r>
        <w:rPr>
          <w:rFonts w:ascii="IRNazanin" w:hAnsi="IRNazanin" w:eastAsia="IRNazanin" w:cs="IRNazanin"/>
          <w:lang w:bidi="fa-IR"/>
          <w:color w:val="111111"/>
          <w:sz w:val="28"/>
          <w:szCs w:val="28"/>
          <w:rtl/>
        </w:rPr>
        <w:t xml:space="preserve">و اسمه الدکتور محمد بن عبد الله المولود 1298 ش ترجمه البرقعی فی سخنوران نامی معاصر- ج 1 ص 217 و طبع له نغمه‏های جوانی بطهران 1366 فی 60 ص و له تاریخ أدبیات کرد</w:t>
      </w:r>
    </w:p>
    <w:p>
      <w:pPr>
        <w:pStyle w:val="Heading3"/>
      </w:pPr>
      <w:bookmarkStart w:id="9388" w:name="_Toc8084"/>
      <w:r>
        <w:t>7079- دیوان مکنون گرجی أو شعره‏</w:t>
      </w:r>
      <w:bookmarkEnd w:id="9388"/>
    </w:p>
    <w:p>
      <w:pPr>
        <w:pStyle w:val="BookText"/>
      </w:pPr>
      <w:r>
        <w:rPr>
          <w:rFonts w:ascii="IRNazanin" w:hAnsi="IRNazanin" w:eastAsia="IRNazanin" w:cs="IRNazanin"/>
          <w:lang w:bidi="fa-IR"/>
          <w:color w:val="111111"/>
          <w:sz w:val="28"/>
          <w:szCs w:val="28"/>
          <w:rtl/>
        </w:rPr>
        <w:t xml:space="preserve">و هو من کازرون ترجمه و أورد شعره هدایت فی (مع 2: 473)</w:t>
      </w:r>
    </w:p>
    <w:p>
      <w:pPr>
        <w:pStyle w:val="Heading3"/>
      </w:pPr>
      <w:bookmarkStart w:id="9389" w:name="_Toc8085"/>
      <w:r>
        <w:t>7080- دیوان مکی أصفهانی‏</w:t>
      </w:r>
      <w:bookmarkEnd w:id="9389"/>
    </w:p>
    <w:p>
      <w:pPr>
        <w:pStyle w:val="BookText"/>
      </w:pPr>
      <w:r>
        <w:rPr>
          <w:rFonts w:ascii="IRNazanin" w:hAnsi="IRNazanin" w:eastAsia="IRNazanin" w:cs="IRNazanin"/>
          <w:lang w:bidi="fa-IR"/>
          <w:color w:val="111111"/>
          <w:sz w:val="28"/>
          <w:szCs w:val="28"/>
          <w:rtl/>
        </w:rPr>
        <w:t xml:space="preserve">و اسمه الحاج محمد سافر إلی الهند و حج مرتین و جاور فی الثانیة بیت الله مدة اثنتین و عشرین سنة یبیع العقیق علی باب السلام و لحدوث فتنة هناک بعد موت الشریف رجع إلی أصفهان و له مثنوی تتبع فیه مثنوی المولوی الرومی أورد بعضا منه النصرآبادی مع ترجمته فی (نر 9- ص 428) و (گلشن- ص 444) و هو غیر محمد أسعد الملکی المتوفی بالهند فی 17 محرم 1164 المذکور فی (سرو- ص 188)
</w:t>
      </w:r>
    </w:p>
    <w:p>
      <w:pPr>
        <w:sectPr>
          <w:footerReference w:type="default" r:id="rId1104"/>
          <w:footnotePr>
            <w:numStart w:val="1"/>
            <w:numRestart w:val="eachPage"/>
          </w:footnotePr>
          <w:pgSz w:orient="portrait" w:w="11905.511811023622" w:h="16837.79527559055"/>
          <w:pgMar w:top="1440" w:right="1440" w:bottom="1440" w:left="1440" w:header="720" w:footer="720" w:gutter="0"/>
          <w:cols w:num="1" w:space="720"/>
        </w:sectPr>
      </w:pPr>
    </w:p>
    <w:bookmarkStart w:id="1083" w:name="pg11704_122572"/>
    <w:bookmarkEnd w:id="1083"/>
    <w:p>
      <w:pPr>
        <w:pStyle w:val="Heading3"/>
      </w:pPr>
      <w:bookmarkStart w:id="9390" w:name="_Toc8086"/>
      <w:r>
        <w:t>7081- دیوان مکین دهلوی‏</w:t>
      </w:r>
      <w:bookmarkEnd w:id="9390"/>
    </w:p>
    <w:p>
      <w:pPr>
        <w:pStyle w:val="BookText"/>
      </w:pPr>
      <w:r>
        <w:rPr>
          <w:rFonts w:ascii="IRNazanin" w:hAnsi="IRNazanin" w:eastAsia="IRNazanin" w:cs="IRNazanin"/>
          <w:lang w:bidi="fa-IR"/>
          <w:color w:val="111111"/>
          <w:sz w:val="28"/>
          <w:szCs w:val="28"/>
          <w:rtl/>
        </w:rPr>
        <w:t xml:space="preserve">للعارف الأدیب الماهر محمد فاخر الهندی المستبصر (1142- 1230) و هو مراد المولوی المیر ببر علی الهندی المتخلص بأنیس و صاحب الدیوان المذکور فی ص 110 و الکلیات الآتی فی حرف الکاف و قد ألف أنیس هذا کتابا فی ترجمه مکین سماه أنیس الأحباء فاتنا ذکره فی محله و توجد نسخه منه فی مکتبة (المجلس) کما فی ج 3 ص 146 من فهرسها قد شرح فیه أحوال مکین و تراجم أساتیذه و تلامیذه و المعاصرین معه البالغ عدتهم إلی خمسین شاعرا هندیا و یوجد فی مکتبة (المجلس)</w:t>
      </w:r>
    </w:p>
    <w:p>
      <w:pPr>
        <w:pStyle w:val="BookText"/>
      </w:pPr>
      <w:r>
        <w:rPr>
          <w:rFonts w:ascii="IRNazanin" w:hAnsi="IRNazanin" w:eastAsia="IRNazanin" w:cs="IRNazanin"/>
          <w:lang w:bidi="fa-IR"/>
          <w:color w:val="111111"/>
          <w:sz w:val="28"/>
          <w:szCs w:val="28"/>
          <w:rtl/>
        </w:rPr>
        <w:t xml:space="preserve">دیوان مکین أیضا کما فصله فی ج 3 ص 420 و هو بخط السید علی فرغ من الکتابة 1203 و یظهر من أوائله أنه أنشأه فی 1182 و له یومئذ أربعون سنة و هو شامل لستة آلاف و مائتی بیت تقریبا و ترجم أیضا فی (نتایج- ص 695) و أورد شعره فی (مسرت- ص 247)</w:t>
      </w:r>
    </w:p>
    <w:p>
      <w:pPr>
        <w:pStyle w:val="Heading3"/>
      </w:pPr>
      <w:bookmarkStart w:id="9391" w:name="_Toc8087"/>
      <w:r>
        <w:t>7082- دیوان مکینی أو شعره‏</w:t>
      </w:r>
      <w:bookmarkEnd w:id="9391"/>
    </w:p>
    <w:p>
      <w:pPr>
        <w:pStyle w:val="BookText"/>
      </w:pPr>
      <w:r>
        <w:rPr>
          <w:rFonts w:ascii="IRNazanin" w:hAnsi="IRNazanin" w:eastAsia="IRNazanin" w:cs="IRNazanin"/>
          <w:lang w:bidi="fa-IR"/>
          <w:color w:val="111111"/>
          <w:sz w:val="28"/>
          <w:szCs w:val="28"/>
          <w:rtl/>
        </w:rPr>
        <w:t xml:space="preserve">ترجم و أورد شعره فی (گلشن- ص 444)</w:t>
      </w:r>
    </w:p>
    <w:p>
      <w:pPr>
        <w:pStyle w:val="Heading3"/>
      </w:pPr>
      <w:bookmarkStart w:id="9392" w:name="_Toc8088"/>
      <w:r>
        <w:t>7083- دیوان الملائکة</w:t>
      </w:r>
      <w:bookmarkEnd w:id="9392"/>
    </w:p>
    <w:p>
      <w:pPr>
        <w:pStyle w:val="BookText"/>
      </w:pPr>
      <w:r>
        <w:rPr>
          <w:rFonts w:ascii="IRNazanin" w:hAnsi="IRNazanin" w:eastAsia="IRNazanin" w:cs="IRNazanin"/>
          <w:lang w:bidi="fa-IR"/>
          <w:color w:val="111111"/>
          <w:sz w:val="28"/>
          <w:szCs w:val="28"/>
          <w:rtl/>
        </w:rPr>
        <w:t xml:space="preserve">و هو أبو نزار صادق الملائکة البغدادی ابن جواد بن عبد الرزاق الکاظمی، و والدته بنت الحاج محمد أمین کبة ولد 1311 و دیوانه هذا فی خمسة أجزاء طبع بعضها و له ذوو الفکاهة فی التاریخ و مر دیوان أم نزار و یأتی دیوان نازک الملائکة</w:t>
      </w:r>
    </w:p>
    <w:p>
      <w:pPr>
        <w:pStyle w:val="Heading3"/>
      </w:pPr>
      <w:bookmarkStart w:id="9393" w:name="_Toc8089"/>
      <w:r>
        <w:t>7084- دیوان ملاباشی تسوجی‏</w:t>
      </w:r>
      <w:bookmarkEnd w:id="9393"/>
    </w:p>
    <w:p>
      <w:pPr>
        <w:pStyle w:val="BookText"/>
      </w:pPr>
      <w:r>
        <w:rPr>
          <w:rFonts w:ascii="IRNazanin" w:hAnsi="IRNazanin" w:eastAsia="IRNazanin" w:cs="IRNazanin"/>
          <w:lang w:bidi="fa-IR"/>
          <w:color w:val="111111"/>
          <w:sz w:val="28"/>
          <w:szCs w:val="28"/>
          <w:rtl/>
        </w:rPr>
        <w:t xml:space="preserve">و هو المیرزا محمود معلم مظفر الدین شاه کان ولیا للعهد و توفی 1295 و جلس مکانه أخوه محمد مع لقب ملاباشی قال فی (دجا- ص 359) إنه نظم نصف ألفیة عینکی أی خمسمائة بیت منها و نصفها الآخر نظمها حجة الإسلام نیر تبریزی‏</w:t>
      </w:r>
    </w:p>
    <w:p>
      <w:pPr>
        <w:pStyle w:val="Heading3"/>
      </w:pPr>
      <w:bookmarkStart w:id="9394" w:name="_Toc8090"/>
      <w:r>
        <w:t>7085- دیوان ملا جان کاشانی‏</w:t>
      </w:r>
      <w:bookmarkEnd w:id="9394"/>
    </w:p>
    <w:p>
      <w:pPr>
        <w:pStyle w:val="BookText"/>
      </w:pPr>
      <w:r>
        <w:rPr>
          <w:rFonts w:ascii="IRNazanin" w:hAnsi="IRNazanin" w:eastAsia="IRNazanin" w:cs="IRNazanin"/>
          <w:lang w:bidi="fa-IR"/>
          <w:color w:val="111111"/>
          <w:sz w:val="28"/>
          <w:szCs w:val="28"/>
          <w:rtl/>
        </w:rPr>
        <w:t xml:space="preserve">الخطاط المخترع لخط سماه شکسته بستة یکتب علی ورقتین، الفوقانیة منها شفافة، و له قدرة عجیبة فی الشعر ینظم ألف بیت فی لیلة واحدة و له رسائل فی العروض و القافیة و المعمی، کذا فی (تس 5- ص 156)</w:t>
      </w:r>
    </w:p>
    <w:p>
      <w:pPr>
        <w:pStyle w:val="Heading3"/>
      </w:pPr>
      <w:bookmarkStart w:id="9395" w:name="_Toc8091"/>
      <w:r>
        <w:t>7086- دیوان ملازاده تاشکندی أو شعره‏</w:t>
      </w:r>
      <w:bookmarkEnd w:id="9395"/>
    </w:p>
    <w:p>
      <w:pPr>
        <w:pStyle w:val="BookText"/>
      </w:pPr>
      <w:r>
        <w:rPr>
          <w:rFonts w:ascii="IRNazanin" w:hAnsi="IRNazanin" w:eastAsia="IRNazanin" w:cs="IRNazanin"/>
          <w:lang w:bidi="fa-IR"/>
          <w:color w:val="111111"/>
          <w:sz w:val="28"/>
          <w:szCs w:val="28"/>
          <w:rtl/>
        </w:rPr>
        <w:t xml:space="preserve">و اسمه الملا عبد الغفار أورد شعره فی (مجتس 4- ص 146)</w:t>
      </w:r>
    </w:p>
    <w:p>
      <w:pPr>
        <w:pStyle w:val="Heading3"/>
      </w:pPr>
      <w:bookmarkStart w:id="9396" w:name="_Toc8092"/>
      <w:r>
        <w:t>دیوان ملا شاه بدخشانی‏</w:t>
      </w:r>
      <w:bookmarkEnd w:id="9396"/>
    </w:p>
    <w:p>
      <w:pPr>
        <w:pStyle w:val="BookText"/>
      </w:pPr>
      <w:r>
        <w:rPr>
          <w:rFonts w:ascii="IRNazanin" w:hAnsi="IRNazanin" w:eastAsia="IRNazanin" w:cs="IRNazanin"/>
          <w:lang w:bidi="fa-IR"/>
          <w:color w:val="111111"/>
          <w:sz w:val="28"/>
          <w:szCs w:val="28"/>
          <w:rtl/>
        </w:rPr>
        <w:t xml:space="preserve">مر بعنوان شاه بدخشانی فی ص 495
</w:t>
      </w:r>
    </w:p>
    <w:p>
      <w:pPr>
        <w:sectPr>
          <w:footerReference w:type="default" r:id="rId1105"/>
          <w:footnotePr>
            <w:numStart w:val="1"/>
            <w:numRestart w:val="eachPage"/>
          </w:footnotePr>
          <w:pgSz w:orient="portrait" w:w="11905.511811023622" w:h="16837.79527559055"/>
          <w:pgMar w:top="1440" w:right="1440" w:bottom="1440" w:left="1440" w:header="720" w:footer="720" w:gutter="0"/>
          <w:cols w:num="1" w:space="720"/>
        </w:sectPr>
      </w:pPr>
    </w:p>
    <w:bookmarkStart w:id="1084" w:name="pg11704_122573"/>
    <w:bookmarkEnd w:id="1084"/>
    <w:p>
      <w:pPr>
        <w:pStyle w:val="Heading3"/>
      </w:pPr>
      <w:bookmarkStart w:id="9397" w:name="_Toc8093"/>
      <w:r>
        <w:t>7087- دیوان ملا شهنامه‏چی‏</w:t>
      </w:r>
      <w:bookmarkEnd w:id="9397"/>
    </w:p>
    <w:p>
      <w:pPr>
        <w:pStyle w:val="BookText"/>
      </w:pPr>
      <w:r>
        <w:rPr>
          <w:rFonts w:ascii="IRNazanin" w:hAnsi="IRNazanin" w:eastAsia="IRNazanin" w:cs="IRNazanin"/>
          <w:lang w:bidi="fa-IR"/>
          <w:color w:val="111111"/>
          <w:sz w:val="28"/>
          <w:szCs w:val="28"/>
          <w:rtl/>
        </w:rPr>
        <w:t xml:space="preserve">و اسمه فتح الله له صنم خیال کما مر فی ج 15 ص 92</w:t>
      </w:r>
    </w:p>
    <w:p>
      <w:pPr>
        <w:pStyle w:val="Heading3"/>
      </w:pPr>
      <w:bookmarkStart w:id="9398" w:name="_Toc8094"/>
      <w:r>
        <w:t>دیوان ملالی‏</w:t>
      </w:r>
      <w:bookmarkEnd w:id="9398"/>
    </w:p>
    <w:p>
      <w:pPr>
        <w:pStyle w:val="BookText"/>
      </w:pPr>
      <w:r>
        <w:rPr>
          <w:rFonts w:ascii="IRNazanin" w:hAnsi="IRNazanin" w:eastAsia="IRNazanin" w:cs="IRNazanin"/>
          <w:lang w:bidi="fa-IR"/>
          <w:color w:val="111111"/>
          <w:sz w:val="28"/>
          <w:szCs w:val="28"/>
          <w:rtl/>
        </w:rPr>
        <w:t xml:space="preserve">الموجود فی مکتبة (المجلس) المکتوب هذا الاسم علی ظهره و المشتمل علی 2400 بیتا بقلم محمد حسین من دون تاریخ و قد فصل خصوصیاته فی فهرس المکتبة ج 3 ص 422 و هو المیرزا محمد تقی بن زکی العلی‏آبادی المذکور فی ص 575 و قد أحضر إلی طهران 1234 و صار منشی الممالک أولا ثم صاحب الدیوان ثانیا کما ترجمه فی انجمن خاقان و یظهر أنه کان یتخلص بملالی أولا کما یوجد فی مواضع من هذا الدیوان الصغیر ثم بعد نیل المنصب بدل تخلصه إلی صاحب و أحیانا صاحب دیوان و زاد فی دیوانه حتی قال فی (مع: ج 2 ص 298) إن فیه حدود ستة آلاف بیت و قد أورد قرب ألفی بیت منه فی ذیل ترجمته بعنوان صاحب مازندرانی و ذکر أن له غیر دیوانه مثنوی فیه تحقیقات ممتازة و الدیوان الکبیر البالغ إلی الحدود المذکورة یوجد منه نسخ منها فی مکتبة (المجلس) کما فی فهرسها ج 3 ص 328 و قد ذکرنا الدیوان الکبیر بعنوان تخلصه الثانی دیوان صاحب و یوجد له ملوک الکلام فی تاریخ القاجاریة فی المکتبة (الملیة- 170)</w:t>
      </w:r>
    </w:p>
    <w:p>
      <w:pPr>
        <w:pStyle w:val="Heading3"/>
      </w:pPr>
      <w:bookmarkStart w:id="9399" w:name="_Toc8095"/>
      <w:r>
        <w:t>7088- دیوان ملالی سبزواری أو شعره‏</w:t>
      </w:r>
      <w:bookmarkEnd w:id="9399"/>
    </w:p>
    <w:p>
      <w:pPr>
        <w:pStyle w:val="BookText"/>
      </w:pPr>
      <w:r>
        <w:rPr>
          <w:rFonts w:ascii="IRNazanin" w:hAnsi="IRNazanin" w:eastAsia="IRNazanin" w:cs="IRNazanin"/>
          <w:lang w:bidi="fa-IR"/>
          <w:color w:val="111111"/>
          <w:sz w:val="28"/>
          <w:szCs w:val="28"/>
          <w:rtl/>
        </w:rPr>
        <w:t xml:space="preserve">اسمه میر خرد و کان أخ میر کلان سبزواری و أصلهما من سادات بخارا أورد شعره فی (گلشن- ص 445) و عنه فی القاموس الترکی‏</w:t>
      </w:r>
    </w:p>
    <w:p>
      <w:pPr>
        <w:pStyle w:val="Heading3"/>
      </w:pPr>
      <w:bookmarkStart w:id="9400" w:name="_Toc8096"/>
      <w:r>
        <w:t>7089- دیوان ملالی کاشانی أو شعره‏</w:t>
      </w:r>
      <w:bookmarkEnd w:id="9400"/>
    </w:p>
    <w:p>
      <w:pPr>
        <w:pStyle w:val="BookText"/>
      </w:pPr>
      <w:r>
        <w:rPr>
          <w:rFonts w:ascii="IRNazanin" w:hAnsi="IRNazanin" w:eastAsia="IRNazanin" w:cs="IRNazanin"/>
          <w:lang w:bidi="fa-IR"/>
          <w:color w:val="111111"/>
          <w:sz w:val="28"/>
          <w:szCs w:val="28"/>
          <w:rtl/>
        </w:rPr>
        <w:t xml:space="preserve">ورد شعره فی (گلشن- 445) و عنه فی القاموس الترکی‏</w:t>
      </w:r>
    </w:p>
    <w:p>
      <w:pPr>
        <w:pStyle w:val="Heading3"/>
      </w:pPr>
      <w:bookmarkStart w:id="9401" w:name="_Toc8097"/>
      <w:r>
        <w:t>7090- دیوان ملا مراد قمی أو شعره‏</w:t>
      </w:r>
      <w:bookmarkEnd w:id="9401"/>
    </w:p>
    <w:p>
      <w:pPr>
        <w:pStyle w:val="BookText"/>
      </w:pPr>
      <w:r>
        <w:rPr>
          <w:rFonts w:ascii="IRNazanin" w:hAnsi="IRNazanin" w:eastAsia="IRNazanin" w:cs="IRNazanin"/>
          <w:lang w:bidi="fa-IR"/>
          <w:color w:val="111111"/>
          <w:sz w:val="28"/>
          <w:szCs w:val="28"/>
          <w:rtl/>
        </w:rPr>
        <w:t xml:space="preserve">جاء شعره فی (تش- ص 227) قال و کان مستجاب الدعوة، فهو غیر مراد قزوینی المذکور فی ص 1026.</w:t>
      </w:r>
    </w:p>
    <w:p>
      <w:pPr>
        <w:pStyle w:val="Heading3"/>
      </w:pPr>
      <w:bookmarkStart w:id="9402" w:name="_Toc8098"/>
      <w:r>
        <w:t>دیوان ملای رومی‏</w:t>
      </w:r>
      <w:bookmarkEnd w:id="9402"/>
    </w:p>
    <w:p>
      <w:pPr>
        <w:pStyle w:val="BookText"/>
      </w:pPr>
      <w:r>
        <w:rPr>
          <w:rFonts w:ascii="IRNazanin" w:hAnsi="IRNazanin" w:eastAsia="IRNazanin" w:cs="IRNazanin"/>
          <w:lang w:bidi="fa-IR"/>
          <w:color w:val="111111"/>
          <w:sz w:val="28"/>
          <w:szCs w:val="28"/>
          <w:rtl/>
        </w:rPr>
        <w:t xml:space="preserve">راجع مولوی رومی. و مر شمس تبریزی.</w:t>
      </w:r>
    </w:p>
    <w:p>
      <w:pPr>
        <w:pStyle w:val="Heading3"/>
      </w:pPr>
      <w:bookmarkStart w:id="9403" w:name="_Toc8099"/>
      <w:r>
        <w:t>7091- دیوان ملای فروشانی‏</w:t>
      </w:r>
      <w:bookmarkEnd w:id="9403"/>
    </w:p>
    <w:p>
      <w:pPr>
        <w:pStyle w:val="BookText"/>
      </w:pPr>
      <w:r>
        <w:rPr>
          <w:rFonts w:ascii="IRNazanin" w:hAnsi="IRNazanin" w:eastAsia="IRNazanin" w:cs="IRNazanin"/>
          <w:lang w:bidi="fa-IR"/>
          <w:color w:val="111111"/>
          <w:sz w:val="28"/>
          <w:szCs w:val="28"/>
          <w:rtl/>
        </w:rPr>
        <w:t xml:space="preserve">و اسمه محمد علی. له منظومة جام گیتی‏نما مر فی 5: 25 و یوجد فی (سپهسالار) کما فهرسها 4: 22.</w:t>
      </w:r>
    </w:p>
    <w:p>
      <w:pPr>
        <w:pStyle w:val="Heading3"/>
      </w:pPr>
      <w:bookmarkStart w:id="9404" w:name="_Toc8100"/>
      <w:r>
        <w:t>7092- دیوان ملتمس جهان‏آبادی أو شعره‏</w:t>
      </w:r>
      <w:bookmarkEnd w:id="9404"/>
    </w:p>
    <w:p>
      <w:pPr>
        <w:pStyle w:val="BookText"/>
      </w:pPr>
      <w:r>
        <w:rPr>
          <w:rFonts w:ascii="IRNazanin" w:hAnsi="IRNazanin" w:eastAsia="IRNazanin" w:cs="IRNazanin"/>
          <w:lang w:bidi="fa-IR"/>
          <w:color w:val="111111"/>
          <w:sz w:val="28"/>
          <w:szCs w:val="28"/>
          <w:rtl/>
        </w:rPr>
        <w:t xml:space="preserve">و اسمه المولوی محمد مهدی‏
</w:t>
      </w:r>
    </w:p>
    <w:p>
      <w:pPr>
        <w:sectPr>
          <w:footerReference w:type="default" r:id="rId1106"/>
          <w:footnotePr>
            <w:numStart w:val="1"/>
            <w:numRestart w:val="eachPage"/>
          </w:footnotePr>
          <w:pgSz w:orient="portrait" w:w="11905.511811023622" w:h="16837.79527559055"/>
          <w:pgMar w:top="1440" w:right="1440" w:bottom="1440" w:left="1440" w:header="720" w:footer="720" w:gutter="0"/>
          <w:cols w:num="1" w:space="720"/>
        </w:sectPr>
      </w:pPr>
    </w:p>
    <w:bookmarkStart w:id="1085" w:name="pg11704_122574"/>
    <w:bookmarkEnd w:id="1085"/>
    <w:p>
      <w:pPr>
        <w:pStyle w:val="BookText"/>
      </w:pPr>
      <w:r>
        <w:rPr>
          <w:rFonts w:ascii="IRNazanin" w:hAnsi="IRNazanin" w:eastAsia="IRNazanin" w:cs="IRNazanin"/>
          <w:lang w:bidi="fa-IR"/>
          <w:color w:val="111111"/>
          <w:sz w:val="28"/>
          <w:szCs w:val="28"/>
          <w:rtl/>
        </w:rPr>
        <w:t xml:space="preserve">الهندی. جاء شعره فی (گلشن- ص 445). و (مسرت- 289) و عنه فی القاموس الترکی.</w:t>
      </w:r>
    </w:p>
    <w:p>
      <w:pPr>
        <w:pStyle w:val="Heading3"/>
      </w:pPr>
      <w:bookmarkStart w:id="9405" w:name="_Toc8101"/>
      <w:r>
        <w:t>دیوان ملک‏آرا</w:t>
      </w:r>
      <w:bookmarkEnd w:id="9405"/>
    </w:p>
    <w:p>
      <w:pPr>
        <w:pStyle w:val="BookText"/>
      </w:pPr>
      <w:r>
        <w:rPr>
          <w:rFonts w:ascii="IRNazanin" w:hAnsi="IRNazanin" w:eastAsia="IRNazanin" w:cs="IRNazanin"/>
          <w:lang w:bidi="fa-IR"/>
          <w:color w:val="111111"/>
          <w:sz w:val="28"/>
          <w:szCs w:val="28"/>
          <w:rtl/>
        </w:rPr>
        <w:t xml:space="preserve">هو محسن شمس. و قد مر فی ص 977 و آخر اسمه محمد قلی خسروی مر فی ص 295.</w:t>
      </w:r>
    </w:p>
    <w:p>
      <w:pPr>
        <w:pStyle w:val="Heading3"/>
      </w:pPr>
      <w:bookmarkStart w:id="9406" w:name="_Toc8102"/>
      <w:r>
        <w:t>دیوان ملک أبو الفتح سیستانی أو شعره‏</w:t>
      </w:r>
      <w:bookmarkEnd w:id="9406"/>
    </w:p>
    <w:p>
      <w:pPr>
        <w:pStyle w:val="BookText"/>
      </w:pPr>
      <w:r>
        <w:rPr>
          <w:rFonts w:ascii="IRNazanin" w:hAnsi="IRNazanin" w:eastAsia="IRNazanin" w:cs="IRNazanin"/>
          <w:lang w:bidi="fa-IR"/>
          <w:color w:val="111111"/>
          <w:sz w:val="28"/>
          <w:szCs w:val="28"/>
          <w:rtl/>
        </w:rPr>
        <w:t xml:space="preserve">أخ ملک حمزة المتخلص بغافل کما مر فی ص 784 و عدله فی الشعر. ترجمه معاصره النصرآبادی فی (نر 2- ص 37) و أورد شعره و مر فی ص 46.</w:t>
      </w:r>
    </w:p>
    <w:p>
      <w:pPr>
        <w:pStyle w:val="Heading3"/>
      </w:pPr>
      <w:bookmarkStart w:id="9407" w:name="_Toc8103"/>
      <w:r>
        <w:t>دیوان ملک الأدب‏</w:t>
      </w:r>
      <w:bookmarkEnd w:id="9407"/>
    </w:p>
    <w:p>
      <w:pPr>
        <w:pStyle w:val="BookText"/>
      </w:pPr>
      <w:r>
        <w:rPr>
          <w:rFonts w:ascii="IRNazanin" w:hAnsi="IRNazanin" w:eastAsia="IRNazanin" w:cs="IRNazanin"/>
          <w:lang w:bidi="fa-IR"/>
          <w:color w:val="111111"/>
          <w:sz w:val="28"/>
          <w:szCs w:val="28"/>
          <w:rtl/>
        </w:rPr>
        <w:t xml:space="preserve">مر بتخلصه صبوری أصفهانی فی ص 597.</w:t>
      </w:r>
    </w:p>
    <w:p>
      <w:pPr>
        <w:pStyle w:val="Heading3"/>
      </w:pPr>
      <w:bookmarkStart w:id="9408" w:name="_Toc8104"/>
      <w:r>
        <w:t>دیوان ملک أصفهانی‏</w:t>
      </w:r>
      <w:bookmarkEnd w:id="9408"/>
    </w:p>
    <w:p>
      <w:pPr>
        <w:pStyle w:val="BookText"/>
      </w:pPr>
      <w:r>
        <w:rPr>
          <w:rFonts w:ascii="IRNazanin" w:hAnsi="IRNazanin" w:eastAsia="IRNazanin" w:cs="IRNazanin"/>
          <w:lang w:bidi="fa-IR"/>
          <w:color w:val="111111"/>
          <w:sz w:val="28"/>
          <w:szCs w:val="28"/>
          <w:rtl/>
        </w:rPr>
        <w:t xml:space="preserve">من سلسلة المعرفین بها. راجع ملک معرف کما عبر به النصرآبادی فی (نر 5- ص 130).</w:t>
      </w:r>
    </w:p>
    <w:p>
      <w:pPr>
        <w:pStyle w:val="Heading3"/>
      </w:pPr>
      <w:bookmarkStart w:id="9409" w:name="_Toc8105"/>
      <w:r>
        <w:t>7093- دیوان ملک أنجدانی‏</w:t>
      </w:r>
      <w:bookmarkEnd w:id="9409"/>
    </w:p>
    <w:p>
      <w:pPr>
        <w:pStyle w:val="BookText"/>
      </w:pPr>
      <w:r>
        <w:rPr>
          <w:rFonts w:ascii="IRNazanin" w:hAnsi="IRNazanin" w:eastAsia="IRNazanin" w:cs="IRNazanin"/>
          <w:lang w:bidi="fa-IR"/>
          <w:color w:val="111111"/>
          <w:sz w:val="28"/>
          <w:szCs w:val="28"/>
          <w:rtl/>
        </w:rPr>
        <w:t xml:space="preserve">و اسمه طیفور و یتخلص ملک أخ ملا داغی أنجدانی الکاشانی المذکور فی ص 313 و کان تلمیذ الشیخ عبد العال الکرکی کما فی (تش- ص 236) ترجم فی (حسینی- ص 308) و شمع انجمن و قال فی (خز- ص 412) إنه لما نظم شعرا بتخلص ملک اعترض الناس علیه بأنه لملک قمی فذهب إلی الهند و أخذ الاعتراف فی حقه من ملک قمی.</w:t>
      </w:r>
    </w:p>
    <w:p>
      <w:pPr>
        <w:pStyle w:val="Heading3"/>
      </w:pPr>
      <w:bookmarkStart w:id="9410" w:name="_Toc8106"/>
      <w:r>
        <w:t>دیوان ملک أوجی‏</w:t>
      </w:r>
      <w:bookmarkEnd w:id="9410"/>
    </w:p>
    <w:p>
      <w:pPr>
        <w:pStyle w:val="BookText"/>
      </w:pPr>
      <w:r>
        <w:rPr>
          <w:rFonts w:ascii="IRNazanin" w:hAnsi="IRNazanin" w:eastAsia="IRNazanin" w:cs="IRNazanin"/>
          <w:lang w:bidi="fa-IR"/>
          <w:color w:val="111111"/>
          <w:sz w:val="28"/>
          <w:szCs w:val="28"/>
          <w:rtl/>
        </w:rPr>
        <w:t xml:space="preserve">راجع ملک بیک.</w:t>
      </w:r>
    </w:p>
    <w:p>
      <w:pPr>
        <w:pStyle w:val="Heading3"/>
      </w:pPr>
      <w:bookmarkStart w:id="9411" w:name="_Toc8107"/>
      <w:r>
        <w:t>7094- دیوان ملک بیک‏</w:t>
      </w:r>
      <w:bookmarkEnd w:id="9411"/>
    </w:p>
    <w:p>
      <w:pPr>
        <w:pStyle w:val="BookText"/>
      </w:pPr>
      <w:r>
        <w:rPr>
          <w:rFonts w:ascii="IRNazanin" w:hAnsi="IRNazanin" w:eastAsia="IRNazanin" w:cs="IRNazanin"/>
          <w:lang w:bidi="fa-IR"/>
          <w:color w:val="111111"/>
          <w:sz w:val="28"/>
          <w:szCs w:val="28"/>
          <w:rtl/>
        </w:rPr>
        <w:t xml:space="preserve">من إیل أوجی و له خدمات عظیمة فی الدیوان الصفوی و ینظم الترکی و الفارسی کما ذکره معاصره النصرآبادی فی (نر 2- ص 43) و أورد شعره و (گلشن- ص 447) و عنهما فی القاموس الترکی.</w:t>
      </w:r>
    </w:p>
    <w:p>
      <w:pPr>
        <w:pStyle w:val="Heading3"/>
      </w:pPr>
      <w:bookmarkStart w:id="9412" w:name="_Toc8108"/>
      <w:r>
        <w:t>7095- دیوان ملک باخرزی‏</w:t>
      </w:r>
      <w:bookmarkEnd w:id="9412"/>
    </w:p>
    <w:p>
      <w:pPr>
        <w:pStyle w:val="BookText"/>
      </w:pPr>
      <w:r>
        <w:rPr>
          <w:rFonts w:ascii="IRNazanin" w:hAnsi="IRNazanin" w:eastAsia="IRNazanin" w:cs="IRNazanin"/>
          <w:lang w:bidi="fa-IR"/>
          <w:color w:val="111111"/>
          <w:sz w:val="28"/>
          <w:szCs w:val="28"/>
          <w:rtl/>
        </w:rPr>
        <w:t xml:space="preserve">من أحفاد ملک زوزن و لذا یتخلص بملک بدء بنظم الشعر بالغا إلی الثلاثین. ترجمه و أورد شعره فی (تش- ص 78) و (گلشن- ص 446) و (مجن 3- ص 74 و 249).</w:t>
      </w:r>
    </w:p>
    <w:p>
      <w:pPr>
        <w:pStyle w:val="Heading3"/>
      </w:pPr>
      <w:bookmarkStart w:id="9413" w:name="_Toc8109"/>
      <w:r>
        <w:t>دیوان ملک حمزة سیستانی‏</w:t>
      </w:r>
      <w:bookmarkEnd w:id="9413"/>
    </w:p>
    <w:p>
      <w:pPr>
        <w:pStyle w:val="BookText"/>
      </w:pPr>
      <w:r>
        <w:rPr>
          <w:rFonts w:ascii="IRNazanin" w:hAnsi="IRNazanin" w:eastAsia="IRNazanin" w:cs="IRNazanin"/>
          <w:lang w:bidi="fa-IR"/>
          <w:color w:val="111111"/>
          <w:sz w:val="28"/>
          <w:szCs w:val="28"/>
          <w:rtl/>
        </w:rPr>
        <w:t xml:space="preserve">المتخلص بغافل. مر بتخلصه فی ص 784 و أخوه الملک أبو الفتح آنفا و فی ص 46.</w:t>
      </w:r>
    </w:p>
    <w:p>
      <w:pPr>
        <w:pStyle w:val="Heading3"/>
      </w:pPr>
      <w:bookmarkStart w:id="9414" w:name="_Toc8110"/>
      <w:r>
        <w:t>7096- دیوان ملک الحکماء</w:t>
      </w:r>
      <w:bookmarkEnd w:id="9414"/>
    </w:p>
    <w:p>
      <w:pPr>
        <w:pStyle w:val="BookText"/>
      </w:pPr>
      <w:r>
        <w:rPr>
          <w:rFonts w:ascii="IRNazanin" w:hAnsi="IRNazanin" w:eastAsia="IRNazanin" w:cs="IRNazanin"/>
          <w:lang w:bidi="fa-IR"/>
          <w:color w:val="111111"/>
          <w:sz w:val="28"/>
          <w:szCs w:val="28"/>
          <w:rtl/>
        </w:rPr>
        <w:t xml:space="preserve">و هو المیرزا حسین خان الطبیب ابن ملک الشعراء للبلاط القاجاری. طبع له مظفرنامه همایونی کالشاهنامه، نظمه باسم مظفر الدین شاه‏
</w:t>
      </w:r>
    </w:p>
    <w:p>
      <w:pPr>
        <w:sectPr>
          <w:footerReference w:type="default" r:id="rId1107"/>
          <w:footnotePr>
            <w:numStart w:val="1"/>
            <w:numRestart w:val="eachPage"/>
          </w:footnotePr>
          <w:pgSz w:orient="portrait" w:w="11905.511811023622" w:h="16837.79527559055"/>
          <w:pgMar w:top="1440" w:right="1440" w:bottom="1440" w:left="1440" w:header="720" w:footer="720" w:gutter="0"/>
          <w:cols w:num="1" w:space="720"/>
        </w:sectPr>
      </w:pPr>
    </w:p>
    <w:bookmarkStart w:id="1086" w:name="pg11704_122575"/>
    <w:bookmarkEnd w:id="1086"/>
    <w:p>
      <w:pPr>
        <w:pStyle w:val="BookText"/>
      </w:pPr>
      <w:r>
        <w:rPr>
          <w:rFonts w:ascii="IRNazanin" w:hAnsi="IRNazanin" w:eastAsia="IRNazanin" w:cs="IRNazanin"/>
          <w:lang w:bidi="fa-IR"/>
          <w:color w:val="111111"/>
          <w:sz w:val="28"/>
          <w:szCs w:val="28"/>
          <w:rtl/>
        </w:rPr>
        <w:t xml:space="preserve">و طبع بمشهد خراسان فی 1314 علی الحجر. طبعه موسی بن زمان الغفاری.</w:t>
      </w:r>
    </w:p>
    <w:p>
      <w:pPr>
        <w:pStyle w:val="Heading3"/>
      </w:pPr>
      <w:bookmarkStart w:id="9415" w:name="_Toc8111"/>
      <w:r>
        <w:t>7097- دیوان ملک خانی خلخالی‏</w:t>
      </w:r>
      <w:bookmarkEnd w:id="9415"/>
    </w:p>
    <w:p>
      <w:pPr>
        <w:pStyle w:val="BookText"/>
      </w:pPr>
      <w:r>
        <w:rPr>
          <w:rFonts w:ascii="IRNazanin" w:hAnsi="IRNazanin" w:eastAsia="IRNazanin" w:cs="IRNazanin"/>
          <w:lang w:bidi="fa-IR"/>
          <w:color w:val="111111"/>
          <w:sz w:val="28"/>
          <w:szCs w:val="28"/>
          <w:rtl/>
        </w:rPr>
        <w:t xml:space="preserve">الشجاع السفاک و المقتول بجرم بغیة أخیرا بأمر الشاه طهماسب. ذکره سام میرزا فی (تس 4- ص 79) و أورد شعره.</w:t>
      </w:r>
    </w:p>
    <w:p>
      <w:pPr>
        <w:pStyle w:val="Heading3"/>
      </w:pPr>
      <w:bookmarkStart w:id="9416" w:name="_Toc8112"/>
      <w:r>
        <w:t>دیوان ملک خوافی‏</w:t>
      </w:r>
      <w:bookmarkEnd w:id="9416"/>
    </w:p>
    <w:p>
      <w:pPr>
        <w:pStyle w:val="BookText"/>
      </w:pPr>
      <w:r>
        <w:rPr>
          <w:rFonts w:ascii="IRNazanin" w:hAnsi="IRNazanin" w:eastAsia="IRNazanin" w:cs="IRNazanin"/>
          <w:lang w:bidi="fa-IR"/>
          <w:color w:val="111111"/>
          <w:sz w:val="28"/>
          <w:szCs w:val="28"/>
          <w:rtl/>
        </w:rPr>
        <w:t xml:space="preserve">کما فی (تش- ص 87) راجع ملک باخرزی.</w:t>
      </w:r>
    </w:p>
    <w:p>
      <w:pPr>
        <w:pStyle w:val="Heading3"/>
      </w:pPr>
      <w:bookmarkStart w:id="9417" w:name="_Toc8113"/>
      <w:r>
        <w:t>دیوان ملک ساقی بیک‏</w:t>
      </w:r>
      <w:bookmarkEnd w:id="9417"/>
    </w:p>
    <w:p>
      <w:pPr>
        <w:pStyle w:val="BookText"/>
      </w:pPr>
      <w:r>
        <w:rPr>
          <w:rFonts w:ascii="IRNazanin" w:hAnsi="IRNazanin" w:eastAsia="IRNazanin" w:cs="IRNazanin"/>
          <w:lang w:bidi="fa-IR"/>
          <w:color w:val="111111"/>
          <w:sz w:val="28"/>
          <w:szCs w:val="28"/>
          <w:rtl/>
        </w:rPr>
        <w:t xml:space="preserve">ابن بخشی بیک کما ترجمه شاه محمد القزوینی فی (قز مج- 285) کان مقربا عند السلطان حسین میرزا بایقرا و أورد شعره. و مر فی ص 416.</w:t>
      </w:r>
    </w:p>
    <w:p>
      <w:pPr>
        <w:pStyle w:val="Heading3"/>
      </w:pPr>
      <w:bookmarkStart w:id="9418" w:name="_Toc8114"/>
      <w:r>
        <w:t>دیوان ملک الرافضة</w:t>
      </w:r>
      <w:bookmarkEnd w:id="9418"/>
    </w:p>
    <w:p>
      <w:pPr>
        <w:pStyle w:val="BookText"/>
      </w:pPr>
      <w:r>
        <w:rPr>
          <w:rFonts w:ascii="IRNazanin" w:hAnsi="IRNazanin" w:eastAsia="IRNazanin" w:cs="IRNazanin"/>
          <w:lang w:bidi="fa-IR"/>
          <w:color w:val="111111"/>
          <w:sz w:val="28"/>
          <w:szCs w:val="28"/>
          <w:rtl/>
        </w:rPr>
        <w:t xml:space="preserve">مر بعنوان دیوان أبی نزار فی ص 50.</w:t>
      </w:r>
    </w:p>
    <w:p>
      <w:pPr>
        <w:pStyle w:val="Heading3"/>
      </w:pPr>
      <w:bookmarkStart w:id="9419" w:name="_Toc8115"/>
      <w:r>
        <w:t>دیوان ملک سیستانی‏</w:t>
      </w:r>
      <w:bookmarkEnd w:id="9419"/>
    </w:p>
    <w:p>
      <w:pPr>
        <w:pStyle w:val="BookText"/>
      </w:pPr>
      <w:r>
        <w:rPr>
          <w:rFonts w:ascii="IRNazanin" w:hAnsi="IRNazanin" w:eastAsia="IRNazanin" w:cs="IRNazanin"/>
          <w:lang w:bidi="fa-IR"/>
          <w:color w:val="111111"/>
          <w:sz w:val="28"/>
          <w:szCs w:val="28"/>
          <w:rtl/>
        </w:rPr>
        <w:t xml:space="preserve">راجع ملک حمزة و غافل.</w:t>
      </w:r>
    </w:p>
    <w:p>
      <w:pPr>
        <w:pStyle w:val="Heading3"/>
      </w:pPr>
      <w:bookmarkStart w:id="9420" w:name="_Toc8116"/>
      <w:r>
        <w:t>دیوان ملک الشعراء</w:t>
      </w:r>
      <w:bookmarkEnd w:id="9420"/>
    </w:p>
    <w:p>
      <w:pPr>
        <w:pStyle w:val="BookText"/>
      </w:pPr>
      <w:r>
        <w:rPr>
          <w:rFonts w:ascii="IRNazanin" w:hAnsi="IRNazanin" w:eastAsia="IRNazanin" w:cs="IRNazanin"/>
          <w:lang w:bidi="fa-IR"/>
          <w:color w:val="111111"/>
          <w:sz w:val="28"/>
          <w:szCs w:val="28"/>
          <w:rtl/>
        </w:rPr>
        <w:t xml:space="preserve">هو لقب کان یلقب به عظیم شعراء البلاط و مر ممن تلقب به:</w:t>
      </w:r>
    </w:p>
    <w:p>
      <w:pPr>
        <w:pStyle w:val="BookText"/>
      </w:pPr>
      <w:r>
        <w:rPr>
          <w:rFonts w:ascii="IRNazanin" w:hAnsi="IRNazanin" w:eastAsia="IRNazanin" w:cs="IRNazanin"/>
          <w:lang w:bidi="fa-IR"/>
          <w:color w:val="111111"/>
          <w:sz w:val="28"/>
          <w:szCs w:val="28"/>
          <w:rtl/>
        </w:rPr>
        <w:t xml:space="preserve">أبو العلاء الگنجوی، أبو فراس، بدیع الزمان النصرآبادی، بهار الخراسانی، تجلی الشیرازی، جیشی، حبیبی، ذوقی، رامی تبریزی زکی مرادآبادی، سیری المشهدی، شاپور تهرانی، شرف تبریزی، شرف شفروه، شریفی بلخی، شعیب الجوشقانی، شفائی، صائب، صبا الکاشانی، صبوری الخراسانی، طالب آملی و محمود خان کاشانی و سیجی‏ء آخرون.</w:t>
      </w:r>
    </w:p>
    <w:p>
      <w:pPr>
        <w:pStyle w:val="Heading3"/>
      </w:pPr>
      <w:bookmarkStart w:id="9421" w:name="_Toc8117"/>
      <w:r>
        <w:t>دیوان ملک صحاف‏</w:t>
      </w:r>
      <w:bookmarkEnd w:id="9421"/>
    </w:p>
    <w:p>
      <w:pPr>
        <w:pStyle w:val="BookText"/>
      </w:pPr>
      <w:r>
        <w:rPr>
          <w:rFonts w:ascii="IRNazanin" w:hAnsi="IRNazanin" w:eastAsia="IRNazanin" w:cs="IRNazanin"/>
          <w:lang w:bidi="fa-IR"/>
          <w:color w:val="111111"/>
          <w:sz w:val="28"/>
          <w:szCs w:val="28"/>
          <w:rtl/>
        </w:rPr>
        <w:t xml:space="preserve">راجع رابط أصفهانی.</w:t>
      </w:r>
    </w:p>
    <w:p>
      <w:pPr>
        <w:pStyle w:val="Heading3"/>
      </w:pPr>
      <w:bookmarkStart w:id="9422" w:name="_Toc8118"/>
      <w:r>
        <w:t>دیوان ملک طیفور</w:t>
      </w:r>
      <w:bookmarkEnd w:id="9422"/>
    </w:p>
    <w:p>
      <w:pPr>
        <w:pStyle w:val="BookText"/>
      </w:pPr>
      <w:r>
        <w:rPr>
          <w:rFonts w:ascii="IRNazanin" w:hAnsi="IRNazanin" w:eastAsia="IRNazanin" w:cs="IRNazanin"/>
          <w:lang w:bidi="fa-IR"/>
          <w:color w:val="111111"/>
          <w:sz w:val="28"/>
          <w:szCs w:val="28"/>
          <w:rtl/>
        </w:rPr>
        <w:t xml:space="preserve">مر بعنوان ملک أنجدانی.</w:t>
      </w:r>
    </w:p>
    <w:p>
      <w:pPr>
        <w:pStyle w:val="Heading3"/>
      </w:pPr>
      <w:bookmarkStart w:id="9423" w:name="_Toc8119"/>
      <w:r>
        <w:t>7098- دیوان ملک القمی‏</w:t>
      </w:r>
      <w:bookmarkEnd w:id="9423"/>
    </w:p>
    <w:p>
      <w:pPr>
        <w:pStyle w:val="BookText"/>
      </w:pPr>
      <w:r>
        <w:rPr>
          <w:rFonts w:ascii="IRNazanin" w:hAnsi="IRNazanin" w:eastAsia="IRNazanin" w:cs="IRNazanin"/>
          <w:lang w:bidi="fa-IR"/>
          <w:color w:val="111111"/>
          <w:sz w:val="28"/>
          <w:szCs w:val="28"/>
          <w:rtl/>
        </w:rPr>
        <w:t xml:space="preserve">و اسمه ملک محمد. ترجمه معاصره الصادقی فی (خص 8- ص 189) و قال اشتهر کثیر من بدائع أشعاره ثم. أورد بعضها، و ترجمه فی (خز- ص 411) و (سرو- 30) و ذکر أنه هاجر فی شبابه إلی بلاد الهند و اتصل بإبراهیم عادل شاه و حکی عن ناظم التبریزی أنه توفی 1024 و توفی ظهوری الترشیزی بعده بسنة. و حکی عن تاریخ عالم‏آرا أن مولانا ملک القمی و المولی ظهوری الترشیزی اشترکا فی نظم کتاب نورس باسم عادل شاه فی تسعة آلاف بیت فنالا منه بصلة تسعة آلاف هون</w:t>
      </w:r>
    </w:p>
    <w:p>
      <w:pPr>
        <w:pStyle w:val="BookText"/>
      </w:pPr>
      <w:r>
        <w:rPr>
          <w:rFonts w:ascii="IRNazanin" w:hAnsi="IRNazanin" w:eastAsia="IRNazanin" w:cs="IRNazanin"/>
          <w:lang w:bidi="fa-IR"/>
          <w:color w:val="111111"/>
          <w:sz w:val="28"/>
          <w:szCs w:val="28"/>
          <w:rtl/>
        </w:rPr>
        <w:t xml:space="preserve">اقتسماها علی السویة و حکی عن خان آرزو أنهما نظما کتابا نظیر مخزن الأسرار باسم عادل شاه فوصل إلیهما حمل بعیر ذهبا و أشار إلی ذلک ذهبی الکاشی فی مدحه لعادل شاه بما ذکرناه فی دیوان الذهبی. و ترجم فی روضة الصفا و (تش- 236) و (سرخوش- ص 111)
</w:t>
      </w:r>
    </w:p>
    <w:p>
      <w:pPr>
        <w:sectPr>
          <w:footerReference w:type="default" r:id="rId1108"/>
          <w:footnotePr>
            <w:numStart w:val="1"/>
            <w:numRestart w:val="eachPage"/>
          </w:footnotePr>
          <w:pgSz w:orient="portrait" w:w="11905.511811023622" w:h="16837.79527559055"/>
          <w:pgMar w:top="1440" w:right="1440" w:bottom="1440" w:left="1440" w:header="720" w:footer="720" w:gutter="0"/>
          <w:cols w:num="1" w:space="720"/>
        </w:sectPr>
      </w:pPr>
    </w:p>
    <w:bookmarkStart w:id="1087" w:name="pg11704_122576"/>
    <w:bookmarkEnd w:id="1087"/>
    <w:p>
      <w:pPr>
        <w:pStyle w:val="BookText"/>
      </w:pPr>
      <w:r>
        <w:rPr>
          <w:rFonts w:ascii="IRNazanin" w:hAnsi="IRNazanin" w:eastAsia="IRNazanin" w:cs="IRNazanin"/>
          <w:lang w:bidi="fa-IR"/>
          <w:color w:val="111111"/>
          <w:sz w:val="28"/>
          <w:szCs w:val="28"/>
          <w:rtl/>
        </w:rPr>
        <w:t xml:space="preserve">و (حسینی- ص 309) و (نتایج- ص 632) و قال فی میخانه- ص 259) إن شعره فی شبابه أحلی منه فی شیخوخته. ولد بقم و نشا بها و هاجر فی شبابه فی 985 إلی دکن و دخل فی ملازمی نظام شاه البحری ثم عادل شاه و عمر تسعین سنة و أوصی بدفنه عند قبر سنجر. قال فی (سرو- ص 31) إنه خرج من قم إلی کاشان ثم قزوین. و بعد بقاء أربع سنین خرج منها فی رمضان 987 إلی دکن و نقل فی میخانه عن أحد أقرباء ملک قمی أن دیوانه فی مائة ألف بیت، قال و المعروف منه خمسة و عشرین ألف بیت و لکن نسخه مکتبة (موتی محل) بالهند و نسخه مکتبة (دیوان الهند) بلندن. و نسخة اسیاتیک فی (بنگاله) تشتمل علی اثنی عشر ألف بیت، و نسختا (الملک) و نسخه (سپهسالار) تحتوی علی سبعة آلاف بیت کما فی فهرسها و نسخه (رامپور) فی 1162 ورقة.</w:t>
      </w:r>
    </w:p>
    <w:p>
      <w:pPr>
        <w:pStyle w:val="Heading3"/>
      </w:pPr>
      <w:bookmarkStart w:id="9424" w:name="_Toc8120"/>
      <w:r>
        <w:t>دیوان ملک کوته پای‏</w:t>
      </w:r>
      <w:bookmarkEnd w:id="9424"/>
    </w:p>
    <w:p>
      <w:pPr>
        <w:pStyle w:val="BookText"/>
      </w:pPr>
      <w:r>
        <w:rPr>
          <w:rFonts w:ascii="IRNazanin" w:hAnsi="IRNazanin" w:eastAsia="IRNazanin" w:cs="IRNazanin"/>
          <w:lang w:bidi="fa-IR"/>
          <w:color w:val="111111"/>
          <w:sz w:val="28"/>
          <w:szCs w:val="28"/>
          <w:rtl/>
        </w:rPr>
        <w:t xml:space="preserve">راجع کمال الدین فی ص 919.</w:t>
      </w:r>
    </w:p>
    <w:p>
      <w:pPr>
        <w:pStyle w:val="Heading3"/>
      </w:pPr>
      <w:bookmarkStart w:id="9425" w:name="_Toc8121"/>
      <w:r>
        <w:t>7099- دیوان ملک گرگانی‏</w:t>
      </w:r>
      <w:bookmarkEnd w:id="9425"/>
    </w:p>
    <w:p>
      <w:pPr>
        <w:pStyle w:val="BookText"/>
      </w:pPr>
      <w:r>
        <w:rPr>
          <w:rFonts w:ascii="IRNazanin" w:hAnsi="IRNazanin" w:eastAsia="IRNazanin" w:cs="IRNazanin"/>
          <w:lang w:bidi="fa-IR"/>
          <w:color w:val="111111"/>
          <w:sz w:val="28"/>
          <w:szCs w:val="28"/>
          <w:rtl/>
        </w:rPr>
        <w:t xml:space="preserve">و اسمها سیدة بیگم بنت ناصر الدین من سادات جرجان و بنت بنت حسن کارکیا. ترجمها و أورد شعرها نقلا عن دیوانها فی (روشن- ص 312) و از رابعة تا پروین- ص 242.</w:t>
      </w:r>
    </w:p>
    <w:p>
      <w:pPr>
        <w:pStyle w:val="Heading3"/>
      </w:pPr>
      <w:bookmarkStart w:id="9426" w:name="_Toc8122"/>
      <w:r>
        <w:t>دیوان ملک مشهدی‏</w:t>
      </w:r>
      <w:bookmarkEnd w:id="9426"/>
    </w:p>
    <w:p>
      <w:pPr>
        <w:pStyle w:val="BookText"/>
      </w:pPr>
      <w:r>
        <w:rPr>
          <w:rFonts w:ascii="IRNazanin" w:hAnsi="IRNazanin" w:eastAsia="IRNazanin" w:cs="IRNazanin"/>
          <w:lang w:bidi="fa-IR"/>
          <w:color w:val="111111"/>
          <w:sz w:val="28"/>
          <w:szCs w:val="28"/>
          <w:rtl/>
        </w:rPr>
        <w:t xml:space="preserve">کما فی (حسینی- ص 308) و (مطلع- 2: 444) و الظاهر أنه المشرقی المشهدی المذکور فی ص 1049.</w:t>
      </w:r>
    </w:p>
    <w:p>
      <w:pPr>
        <w:pStyle w:val="Heading3"/>
      </w:pPr>
      <w:bookmarkStart w:id="9427" w:name="_Toc8123"/>
      <w:r>
        <w:t>7100- دیوان ملک معرف أصفهانی‏</w:t>
      </w:r>
      <w:bookmarkEnd w:id="9427"/>
    </w:p>
    <w:p>
      <w:pPr>
        <w:pStyle w:val="BookText"/>
      </w:pPr>
      <w:r>
        <w:rPr>
          <w:rFonts w:ascii="IRNazanin" w:hAnsi="IRNazanin" w:eastAsia="IRNazanin" w:cs="IRNazanin"/>
          <w:lang w:bidi="fa-IR"/>
          <w:color w:val="111111"/>
          <w:sz w:val="28"/>
          <w:szCs w:val="28"/>
          <w:rtl/>
        </w:rPr>
        <w:t xml:space="preserve">من سلسلة المعرفین بها و أخ آقا صفی معرف.</w:t>
      </w:r>
    </w:p>
    <w:p>
      <w:pPr>
        <w:pStyle w:val="BookText"/>
      </w:pPr>
      <w:r>
        <w:rPr>
          <w:rFonts w:ascii="IRNazanin" w:hAnsi="IRNazanin" w:eastAsia="IRNazanin" w:cs="IRNazanin"/>
          <w:lang w:bidi="fa-IR"/>
          <w:color w:val="111111"/>
          <w:sz w:val="28"/>
          <w:szCs w:val="28"/>
          <w:rtl/>
        </w:rPr>
        <w:t xml:space="preserve">کان وزیر فرهاد بیک و فر من أصفهان إلی مشهد و بعد شفاعة حاتم بیک عند الشاه، عفی عنه و مات 1032 أورد شعره فی (نر 5- ص 130) و (گلشن- ص 446).</w:t>
      </w:r>
    </w:p>
    <w:p>
      <w:pPr>
        <w:pStyle w:val="Heading3"/>
      </w:pPr>
      <w:bookmarkStart w:id="9428" w:name="_Toc8124"/>
      <w:r>
        <w:t>7101- دیوان ملکی سرکانی أو شعره‏</w:t>
      </w:r>
      <w:bookmarkEnd w:id="9428"/>
    </w:p>
    <w:p>
      <w:pPr>
        <w:pStyle w:val="BookText"/>
      </w:pPr>
      <w:r>
        <w:rPr>
          <w:rFonts w:ascii="IRNazanin" w:hAnsi="IRNazanin" w:eastAsia="IRNazanin" w:cs="IRNazanin"/>
          <w:lang w:bidi="fa-IR"/>
          <w:color w:val="111111"/>
          <w:sz w:val="28"/>
          <w:szCs w:val="28"/>
          <w:rtl/>
        </w:rPr>
        <w:t xml:space="preserve">و سرکان من أعمال همدان ترجمه و أطری علمه فی (خص 8- ص 177) و سماه ملکی بیک و قال إنه لم یسافر قط. و عنه أخذ فی (تش- ص 258) و قال فی (نتایج- ص 634) إنه جاء إلی الهند فی عهد أکبر و نصب حاکما لبنگالة ثم کشمیر و مات 1040 و نقل فی (گلشن) عن واله الداغستانی أن وفاته کان بکربلاء 1002 و أن فیضی هو الذی قربه إلی أکبر شاه. و ترجم أیضا فی هفت إقلیم و (خوش‏گو). أقول الظاهر أنه خلط بین اثنین. و یوجد شعره فی جنگ عند (فخر الدین).
</w:t>
      </w:r>
    </w:p>
    <w:p>
      <w:pPr>
        <w:sectPr>
          <w:footerReference w:type="default" r:id="rId1109"/>
          <w:footnotePr>
            <w:numStart w:val="1"/>
            <w:numRestart w:val="eachPage"/>
          </w:footnotePr>
          <w:pgSz w:orient="portrait" w:w="11905.511811023622" w:h="16837.79527559055"/>
          <w:pgMar w:top="1440" w:right="1440" w:bottom="1440" w:left="1440" w:header="720" w:footer="720" w:gutter="0"/>
          <w:cols w:num="1" w:space="720"/>
        </w:sectPr>
      </w:pPr>
    </w:p>
    <w:bookmarkStart w:id="1088" w:name="pg11704_122577"/>
    <w:bookmarkEnd w:id="1088"/>
    <w:p>
      <w:pPr>
        <w:pStyle w:val="Heading3"/>
      </w:pPr>
      <w:bookmarkStart w:id="9429" w:name="_Toc8125"/>
      <w:r>
        <w:t>7102- دیوان ملکی قزوینی‏</w:t>
      </w:r>
      <w:bookmarkEnd w:id="9429"/>
    </w:p>
    <w:p>
      <w:pPr>
        <w:pStyle w:val="BookText"/>
      </w:pPr>
      <w:r>
        <w:rPr>
          <w:rFonts w:ascii="IRNazanin" w:hAnsi="IRNazanin" w:eastAsia="IRNazanin" w:cs="IRNazanin"/>
          <w:lang w:bidi="fa-IR"/>
          <w:color w:val="111111"/>
          <w:sz w:val="28"/>
          <w:szCs w:val="28"/>
          <w:rtl/>
        </w:rPr>
        <w:t xml:space="preserve">و هو ابن علمی قزوینی المذکور فی ص 736 و قد سافر معه من وطنه إلی العراق و رجع ثم إلی مشهد و هرات، و من ثم انفصل عن أبیه فسافر ملکی إلی الهند و دخل آگرة و تقرب عند جلال الدین أکبر شاه و بعد موته رثاه و سار إلی دکن و رجع عدة مرات ثم سافر إلی بنگاله کما فصله فی (میخانه- ص 460) و أورد له مثنوی ساقی‏نامه و یظهر أنه کان حیا إلی 1029.</w:t>
      </w:r>
    </w:p>
    <w:p>
      <w:pPr>
        <w:pStyle w:val="Heading3"/>
      </w:pPr>
      <w:bookmarkStart w:id="9430" w:name="_Toc8126"/>
      <w:r>
        <w:t>7103- دیوان ملول تویسرکانی‏</w:t>
      </w:r>
      <w:bookmarkEnd w:id="9430"/>
    </w:p>
    <w:p>
      <w:pPr>
        <w:pStyle w:val="BookText"/>
      </w:pPr>
      <w:r>
        <w:rPr>
          <w:rFonts w:ascii="IRNazanin" w:hAnsi="IRNazanin" w:eastAsia="IRNazanin" w:cs="IRNazanin"/>
          <w:lang w:bidi="fa-IR"/>
          <w:color w:val="111111"/>
          <w:sz w:val="28"/>
          <w:szCs w:val="28"/>
          <w:rtl/>
        </w:rPr>
        <w:t xml:space="preserve">هو التخلص السابق لإلهامی. و هو المیرزا أحمد ابن آقا رستم التویسرکانی ابن میرزا أبو تراب الأصفهانی ابن ملا عبد الله البهبهانی مؤسس مدرسة ملا عبد الله بأصفهان ولد ملول بکرمانشاه و مات أبوه فی صغره فاشتغل لتحصیل المعاش إلی ثلاثین سنة، ثم تلمذ علی حسین علی کلهر سلطانی و نظم کتابه باغ فردوس فی 30000 بیت فی وقایع الطف فی (1295- 1302) و أهداه إلی حسام السلطنة عم ناصر الدین شاه حاکم کرمانشاه، و کتب أستاذه حسین علی سلطانی مقدمه علی الکتاب فی 1304 أطری فیه الناظم و ترجم أحواله. ثم بدل تخلصه و أخذ الهامی.</w:t>
      </w:r>
    </w:p>
    <w:p>
      <w:pPr>
        <w:pStyle w:val="BookText"/>
      </w:pPr>
      <w:r>
        <w:rPr>
          <w:rFonts w:ascii="IRNazanin" w:hAnsi="IRNazanin" w:eastAsia="IRNazanin" w:cs="IRNazanin"/>
          <w:lang w:bidi="fa-IR"/>
          <w:color w:val="111111"/>
          <w:sz w:val="28"/>
          <w:szCs w:val="28"/>
          <w:rtl/>
        </w:rPr>
        <w:t xml:space="preserve">رأیت النسخة ضمن مجموعة مع قصائد الهامی و مثنوی حسن منظر له أیضا.</w:t>
      </w:r>
    </w:p>
    <w:p>
      <w:pPr>
        <w:pStyle w:val="Heading3"/>
      </w:pPr>
      <w:bookmarkStart w:id="9431" w:name="_Toc8127"/>
      <w:r>
        <w:t>7104- دیوان ملول شیرازی‏</w:t>
      </w:r>
      <w:bookmarkEnd w:id="9431"/>
    </w:p>
    <w:p>
      <w:pPr>
        <w:pStyle w:val="BookText"/>
      </w:pPr>
      <w:r>
        <w:rPr>
          <w:rFonts w:ascii="IRNazanin" w:hAnsi="IRNazanin" w:eastAsia="IRNazanin" w:cs="IRNazanin"/>
          <w:lang w:bidi="fa-IR"/>
          <w:color w:val="111111"/>
          <w:sz w:val="28"/>
          <w:szCs w:val="28"/>
          <w:rtl/>
        </w:rPr>
        <w:t xml:space="preserve">أو ملولی. و کلاهما تخلص للشاعر الفارسی الذی کان فی شیراز أوان حکومة حسین علی میرزا فرمان فرما الذی توفی 1251 فیه مدیح فرمان فرما و فتح علی شاه الذی توفی 1250 نسخه منه ناقصة فی مکتبة (المجلس) کما فی فهرسها ج 3 ص 424 مع تفصیل خصوصیاتها.</w:t>
      </w:r>
    </w:p>
    <w:p>
      <w:pPr>
        <w:pStyle w:val="Heading3"/>
      </w:pPr>
      <w:bookmarkStart w:id="9432" w:name="_Toc8128"/>
      <w:r>
        <w:t>7105- دیوان ملول لکهنوی أو شعره‏</w:t>
      </w:r>
      <w:bookmarkEnd w:id="9432"/>
    </w:p>
    <w:p>
      <w:pPr>
        <w:pStyle w:val="BookText"/>
      </w:pPr>
      <w:r>
        <w:rPr>
          <w:rFonts w:ascii="IRNazanin" w:hAnsi="IRNazanin" w:eastAsia="IRNazanin" w:cs="IRNazanin"/>
          <w:lang w:bidi="fa-IR"/>
          <w:color w:val="111111"/>
          <w:sz w:val="28"/>
          <w:szCs w:val="28"/>
          <w:rtl/>
        </w:rPr>
        <w:t xml:space="preserve">و اسمه شرف الدین و یعرف بشاه ملول فی القرن الثانی عشر بالهند ترجم و أورد شعره فی (گلشن- ص 448) و عنه فی القاموس.</w:t>
      </w:r>
    </w:p>
    <w:p>
      <w:pPr>
        <w:pStyle w:val="Heading3"/>
      </w:pPr>
      <w:bookmarkStart w:id="9433" w:name="_Toc8129"/>
      <w:r>
        <w:t>دیوان ملولی آذربایجانی‏</w:t>
      </w:r>
      <w:bookmarkEnd w:id="9433"/>
    </w:p>
    <w:p>
      <w:pPr>
        <w:pStyle w:val="BookText"/>
      </w:pPr>
      <w:r>
        <w:rPr>
          <w:rFonts w:ascii="IRNazanin" w:hAnsi="IRNazanin" w:eastAsia="IRNazanin" w:cs="IRNazanin"/>
          <w:lang w:bidi="fa-IR"/>
          <w:color w:val="111111"/>
          <w:sz w:val="28"/>
          <w:szCs w:val="28"/>
          <w:rtl/>
        </w:rPr>
        <w:t xml:space="preserve">من شعرائها فی القرن الحادی عشر. ترجمه فی (دجا- ص 360) و لعله الأصفهانی.</w:t>
      </w:r>
    </w:p>
    <w:p>
      <w:pPr>
        <w:pStyle w:val="Heading3"/>
      </w:pPr>
      <w:bookmarkStart w:id="9434" w:name="_Toc8130"/>
      <w:r>
        <w:t>7106- دیوان ملولی أصفهانی أو شعره‏</w:t>
      </w:r>
      <w:bookmarkEnd w:id="9434"/>
    </w:p>
    <w:p>
      <w:pPr>
        <w:pStyle w:val="BookText"/>
      </w:pPr>
      <w:r>
        <w:rPr>
          <w:rFonts w:ascii="IRNazanin" w:hAnsi="IRNazanin" w:eastAsia="IRNazanin" w:cs="IRNazanin"/>
          <w:lang w:bidi="fa-IR"/>
          <w:color w:val="111111"/>
          <w:sz w:val="28"/>
          <w:szCs w:val="28"/>
          <w:rtl/>
        </w:rPr>
        <w:t xml:space="preserve">و اسمه خلیفة أسد الله. کان متولی الحرم الرضوی فی عهد طهماسب الصفوی و مات 969 و هو جد خلیفة سلطان المذکور فی ص 302 ترجم فی (تش- ص 196) و (گلشن- ص 448) و الظاهر أنه متحد مع الآذربایجانی.</w:t>
      </w:r>
    </w:p>
    <w:p>
      <w:pPr>
        <w:pStyle w:val="Heading3"/>
      </w:pPr>
      <w:bookmarkStart w:id="9435" w:name="_Toc8131"/>
      <w:r>
        <w:t>7107- دیوان ملولی خطاط أو شعره‏</w:t>
      </w:r>
      <w:bookmarkEnd w:id="9435"/>
    </w:p>
    <w:p>
      <w:pPr>
        <w:pStyle w:val="BookText"/>
      </w:pPr>
      <w:r>
        <w:rPr>
          <w:rFonts w:ascii="IRNazanin" w:hAnsi="IRNazanin" w:eastAsia="IRNazanin" w:cs="IRNazanin"/>
          <w:lang w:bidi="fa-IR"/>
          <w:color w:val="111111"/>
          <w:sz w:val="28"/>
          <w:szCs w:val="28"/>
          <w:rtl/>
        </w:rPr>
        <w:t xml:space="preserve">و اسمه ملا محمد الخطاط. ورد شعره‏
</w:t>
      </w:r>
    </w:p>
    <w:p>
      <w:pPr>
        <w:sectPr>
          <w:footerReference w:type="default" r:id="rId1110"/>
          <w:footnotePr>
            <w:numStart w:val="1"/>
            <w:numRestart w:val="eachPage"/>
          </w:footnotePr>
          <w:pgSz w:orient="portrait" w:w="11905.511811023622" w:h="16837.79527559055"/>
          <w:pgMar w:top="1440" w:right="1440" w:bottom="1440" w:left="1440" w:header="720" w:footer="720" w:gutter="0"/>
          <w:cols w:num="1" w:space="720"/>
        </w:sectPr>
      </w:pPr>
    </w:p>
    <w:bookmarkStart w:id="1089" w:name="pg11704_122578"/>
    <w:bookmarkEnd w:id="1089"/>
    <w:p>
      <w:pPr>
        <w:pStyle w:val="BookText"/>
      </w:pPr>
      <w:r>
        <w:rPr>
          <w:rFonts w:ascii="IRNazanin" w:hAnsi="IRNazanin" w:eastAsia="IRNazanin" w:cs="IRNazanin"/>
          <w:lang w:bidi="fa-IR"/>
          <w:color w:val="111111"/>
          <w:sz w:val="28"/>
          <w:szCs w:val="28"/>
          <w:rtl/>
        </w:rPr>
        <w:t xml:space="preserve">فی (گلشن- ص 448).</w:t>
      </w:r>
    </w:p>
    <w:p>
      <w:pPr>
        <w:pStyle w:val="Heading3"/>
      </w:pPr>
      <w:bookmarkStart w:id="9436" w:name="_Toc8132"/>
      <w:r>
        <w:t>دیوان ملولی شیرازی‏</w:t>
      </w:r>
      <w:bookmarkEnd w:id="9436"/>
    </w:p>
    <w:p>
      <w:pPr>
        <w:pStyle w:val="BookText"/>
      </w:pPr>
      <w:r>
        <w:rPr>
          <w:rFonts w:ascii="IRNazanin" w:hAnsi="IRNazanin" w:eastAsia="IRNazanin" w:cs="IRNazanin"/>
          <w:lang w:bidi="fa-IR"/>
          <w:color w:val="111111"/>
          <w:sz w:val="28"/>
          <w:szCs w:val="28"/>
          <w:rtl/>
        </w:rPr>
        <w:t xml:space="preserve">مر بعنوان ملول شیرازی.</w:t>
      </w:r>
    </w:p>
    <w:p>
      <w:pPr>
        <w:pStyle w:val="Heading3"/>
      </w:pPr>
      <w:bookmarkStart w:id="9437" w:name="_Toc8133"/>
      <w:r>
        <w:t>7108- دیوان ملهم شوشتری‏</w:t>
      </w:r>
      <w:bookmarkEnd w:id="9437"/>
    </w:p>
    <w:p>
      <w:pPr>
        <w:pStyle w:val="BookText"/>
      </w:pPr>
      <w:r>
        <w:rPr>
          <w:rFonts w:ascii="IRNazanin" w:hAnsi="IRNazanin" w:eastAsia="IRNazanin" w:cs="IRNazanin"/>
          <w:lang w:bidi="fa-IR"/>
          <w:color w:val="111111"/>
          <w:sz w:val="28"/>
          <w:szCs w:val="28"/>
          <w:rtl/>
        </w:rPr>
        <w:t xml:space="preserve">و هو المولی حسن بن الحسین أخ صدر شوشتری المذکور فی ص 606 هاجر إلی رشت و توفی بخمام فی 1300 و نسخه الدیوان عند الشیخ مهدی شرف الدین بتستر.</w:t>
      </w:r>
    </w:p>
    <w:p>
      <w:pPr>
        <w:pStyle w:val="Heading3"/>
      </w:pPr>
      <w:bookmarkStart w:id="9438" w:name="_Toc8134"/>
      <w:r>
        <w:t>7109- دیوان ملهمی تبریزی‏</w:t>
      </w:r>
      <w:bookmarkEnd w:id="9438"/>
    </w:p>
    <w:p>
      <w:pPr>
        <w:pStyle w:val="BookText"/>
      </w:pPr>
      <w:r>
        <w:rPr>
          <w:rFonts w:ascii="IRNazanin" w:hAnsi="IRNazanin" w:eastAsia="IRNazanin" w:cs="IRNazanin"/>
          <w:lang w:bidi="fa-IR"/>
          <w:color w:val="111111"/>
          <w:sz w:val="28"/>
          <w:szCs w:val="28"/>
          <w:rtl/>
        </w:rPr>
        <w:t xml:space="preserve">کان نزیل أصفهان و توفی بها. ترجمه النصرآبادی فی (نر 9- ص 265) و ذکر تفاصیل أحواله فی تبریز و مهاجرته إلی شیراز و موته فیها 1049 و أنشأ المولی مقیم الجعفری الشیرازی تاریخه [شد از این ویرانه گنج أهل معنی ملهمی‏] و تأسف علی تصانیفه الکثیرة التی ضاعت علی ید ابن أخته الوارث له و أورد عشرة أبیات و رباعیة له. و عنه نقل فی (دجا- ص 360) مصراع مادة تاریخه و سقط فی الطبع الیاء من جعفری. و ترجم فی (تش- ص 33) و (روشن- ص 649) و (خوش‏گو).</w:t>
      </w:r>
    </w:p>
    <w:p>
      <w:pPr>
        <w:pStyle w:val="BookText"/>
      </w:pPr>
      <w:r>
        <w:rPr>
          <w:rFonts w:ascii="IRNazanin" w:hAnsi="IRNazanin" w:eastAsia="IRNazanin" w:cs="IRNazanin"/>
          <w:lang w:bidi="fa-IR"/>
          <w:color w:val="111111"/>
          <w:sz w:val="28"/>
          <w:szCs w:val="28"/>
          <w:rtl/>
        </w:rPr>
        <w:t xml:space="preserve">و فی (گلشن- ص 448) نسبه إلی أردبیل.</w:t>
      </w:r>
    </w:p>
    <w:p>
      <w:pPr>
        <w:pStyle w:val="Heading3"/>
      </w:pPr>
      <w:bookmarkStart w:id="9439" w:name="_Toc8135"/>
      <w:r>
        <w:t>7110- دیوان ملهمی شیرازی أو شعره‏</w:t>
      </w:r>
      <w:bookmarkEnd w:id="9439"/>
    </w:p>
    <w:p>
      <w:pPr>
        <w:pStyle w:val="BookText"/>
      </w:pPr>
      <w:r>
        <w:rPr>
          <w:rFonts w:ascii="IRNazanin" w:hAnsi="IRNazanin" w:eastAsia="IRNazanin" w:cs="IRNazanin"/>
          <w:lang w:bidi="fa-IR"/>
          <w:color w:val="111111"/>
          <w:sz w:val="28"/>
          <w:szCs w:val="28"/>
          <w:rtl/>
        </w:rPr>
        <w:t xml:space="preserve">و اسمه جمال الدین بن کمال الدین. ترجم فی مآثر رحیمی و (هفت- ص 308) و أوردا شعره و کان حیا فی 1024.</w:t>
      </w:r>
    </w:p>
    <w:p>
      <w:pPr>
        <w:pStyle w:val="Heading3"/>
      </w:pPr>
      <w:bookmarkStart w:id="9440" w:name="_Toc8136"/>
      <w:r>
        <w:t>7111- دیوان ملهمی کوکنی أو شعره‏</w:t>
      </w:r>
      <w:bookmarkEnd w:id="9440"/>
    </w:p>
    <w:p>
      <w:pPr>
        <w:pStyle w:val="BookText"/>
      </w:pPr>
      <w:r>
        <w:rPr>
          <w:rFonts w:ascii="IRNazanin" w:hAnsi="IRNazanin" w:eastAsia="IRNazanin" w:cs="IRNazanin"/>
          <w:lang w:bidi="fa-IR"/>
          <w:color w:val="111111"/>
          <w:sz w:val="28"/>
          <w:szCs w:val="28"/>
          <w:rtl/>
        </w:rPr>
        <w:t xml:space="preserve">ترجم و أورد شعره فی (گلشن- ص 449) و عنه فی القاموس الترکی.</w:t>
      </w:r>
    </w:p>
    <w:p>
      <w:pPr>
        <w:pStyle w:val="Heading3"/>
      </w:pPr>
      <w:bookmarkStart w:id="9441" w:name="_Toc8137"/>
      <w:r>
        <w:t>7112- دیوان ملیح سمرقندی أو شعره‏</w:t>
      </w:r>
      <w:bookmarkEnd w:id="9441"/>
    </w:p>
    <w:p>
      <w:pPr>
        <w:pStyle w:val="BookText"/>
      </w:pPr>
      <w:r>
        <w:rPr>
          <w:rFonts w:ascii="IRNazanin" w:hAnsi="IRNazanin" w:eastAsia="IRNazanin" w:cs="IRNazanin"/>
          <w:lang w:bidi="fa-IR"/>
          <w:color w:val="111111"/>
          <w:sz w:val="28"/>
          <w:szCs w:val="28"/>
          <w:rtl/>
        </w:rPr>
        <w:t xml:space="preserve">و اسمه بدیع بن محمد شریف. کان والده مدرسا بمدرسة الأمیر تیمور بسمرقند و مفتیا بها. و الولد أدیب شاعر جاء إلی أصفهان سفیرا من قبل عبد العزیز الأزبک و لاقاه النصرآبادی و أورد شعره فی (نر 10- ص 440 و 443). یوجد له تذکره مذکر الأحباب فی شعراء القرن الحادی عشر، ألفه 1093 بسمرقند.</w:t>
      </w:r>
    </w:p>
    <w:p>
      <w:pPr>
        <w:pStyle w:val="Heading3"/>
      </w:pPr>
      <w:bookmarkStart w:id="9442" w:name="_Toc8138"/>
      <w:r>
        <w:t>7113- دیوان ملیحی بافقی أو شعره‏</w:t>
      </w:r>
      <w:bookmarkEnd w:id="9442"/>
    </w:p>
    <w:p>
      <w:pPr>
        <w:pStyle w:val="BookText"/>
      </w:pPr>
      <w:r>
        <w:rPr>
          <w:rFonts w:ascii="IRNazanin" w:hAnsi="IRNazanin" w:eastAsia="IRNazanin" w:cs="IRNazanin"/>
          <w:lang w:bidi="fa-IR"/>
          <w:color w:val="111111"/>
          <w:sz w:val="28"/>
          <w:szCs w:val="28"/>
          <w:rtl/>
        </w:rPr>
        <w:t xml:space="preserve">ترجم فی (گلشن- ص 449) نقلا عن التقی الأوحدی.</w:t>
      </w:r>
    </w:p>
    <w:p>
      <w:pPr>
        <w:pStyle w:val="Heading3"/>
      </w:pPr>
      <w:bookmarkStart w:id="9443" w:name="_Toc8139"/>
      <w:r>
        <w:t>7114- دیوان ممتاز ترکمان فراهی‏</w:t>
      </w:r>
      <w:bookmarkEnd w:id="9443"/>
    </w:p>
    <w:p>
      <w:pPr>
        <w:pStyle w:val="BookText"/>
      </w:pPr>
      <w:r>
        <w:rPr>
          <w:rFonts w:ascii="IRNazanin" w:hAnsi="IRNazanin" w:eastAsia="IRNazanin" w:cs="IRNazanin"/>
          <w:lang w:bidi="fa-IR"/>
          <w:color w:val="111111"/>
          <w:sz w:val="28"/>
          <w:szCs w:val="28"/>
          <w:rtl/>
        </w:rPr>
        <w:t xml:space="preserve">اسمه المیرزا برخوردار بن محمود الترکمانی الفراهی المتخلص ممتاز مؤلف شمس و قهقهة الملقب محبوب القلوب. و یظهر من‏
</w:t>
      </w:r>
    </w:p>
    <w:p>
      <w:pPr>
        <w:sectPr>
          <w:footerReference w:type="default" r:id="rId1111"/>
          <w:footnotePr>
            <w:numStart w:val="1"/>
            <w:numRestart w:val="eachPage"/>
          </w:footnotePr>
          <w:pgSz w:orient="portrait" w:w="11905.511811023622" w:h="16837.79527559055"/>
          <w:pgMar w:top="1440" w:right="1440" w:bottom="1440" w:left="1440" w:header="720" w:footer="720" w:gutter="0"/>
          <w:cols w:num="1" w:space="720"/>
        </w:sectPr>
      </w:pPr>
    </w:p>
    <w:bookmarkStart w:id="1090" w:name="pg11704_122579"/>
    <w:bookmarkEnd w:id="1090"/>
    <w:p>
      <w:pPr>
        <w:pStyle w:val="BookText"/>
      </w:pPr>
      <w:r>
        <w:rPr>
          <w:rFonts w:ascii="IRNazanin" w:hAnsi="IRNazanin" w:eastAsia="IRNazanin" w:cs="IRNazanin"/>
          <w:lang w:bidi="fa-IR"/>
          <w:color w:val="111111"/>
          <w:sz w:val="28"/>
          <w:szCs w:val="28"/>
          <w:rtl/>
        </w:rPr>
        <w:t xml:space="preserve">شمس قهقهة أن المیرزا برخوردار کان أدیبا فاضلا منشیا لمنوچهر خان بن قرچقای خان أوان حکومته فی خراسان و درون و خبوشان و هو فی مقدمه و خمسة أبواب و خاتمة طبع ببمبئی 1304 و طهران 1322 فی 544 ص. و طهران أخیرا علی الحروف.</w:t>
      </w:r>
    </w:p>
    <w:p>
      <w:pPr>
        <w:pStyle w:val="Heading3"/>
      </w:pPr>
      <w:bookmarkStart w:id="9444" w:name="_Toc8140"/>
      <w:r>
        <w:t>7115- دیوان ممتاز خراسانی أو شعره‏</w:t>
      </w:r>
      <w:bookmarkEnd w:id="9444"/>
    </w:p>
    <w:p>
      <w:pPr>
        <w:pStyle w:val="BookText"/>
      </w:pPr>
      <w:r>
        <w:rPr>
          <w:rFonts w:ascii="IRNazanin" w:hAnsi="IRNazanin" w:eastAsia="IRNazanin" w:cs="IRNazanin"/>
          <w:lang w:bidi="fa-IR"/>
          <w:color w:val="111111"/>
          <w:sz w:val="28"/>
          <w:szCs w:val="28"/>
          <w:rtl/>
        </w:rPr>
        <w:t xml:space="preserve">قال النصرآبادی فی (نر 9- ص 428) لعله من خراسان ثم أورد شعره.</w:t>
      </w:r>
    </w:p>
    <w:p>
      <w:pPr>
        <w:pStyle w:val="Heading3"/>
      </w:pPr>
      <w:bookmarkStart w:id="9445" w:name="_Toc8141"/>
      <w:r>
        <w:t>7116- دیوان ممتاز سمرقندی أو شعره‏</w:t>
      </w:r>
      <w:bookmarkEnd w:id="9445"/>
    </w:p>
    <w:p>
      <w:pPr>
        <w:pStyle w:val="BookText"/>
      </w:pPr>
      <w:r>
        <w:rPr>
          <w:rFonts w:ascii="IRNazanin" w:hAnsi="IRNazanin" w:eastAsia="IRNazanin" w:cs="IRNazanin"/>
          <w:lang w:bidi="fa-IR"/>
          <w:color w:val="111111"/>
          <w:sz w:val="28"/>
          <w:szCs w:val="28"/>
          <w:rtl/>
        </w:rPr>
        <w:t xml:space="preserve">و اسمه محمد عابد بن محمد زاهد الکاتب بسبعة أقلام. أورد شعره فی (نر 10- ص 439).</w:t>
      </w:r>
    </w:p>
    <w:p>
      <w:pPr>
        <w:pStyle w:val="Heading3"/>
      </w:pPr>
      <w:bookmarkStart w:id="9446" w:name="_Toc8142"/>
      <w:r>
        <w:t>7117- دیوان ممتاز شولستانی أو شعره‏</w:t>
      </w:r>
      <w:bookmarkEnd w:id="9446"/>
    </w:p>
    <w:p>
      <w:pPr>
        <w:pStyle w:val="BookText"/>
      </w:pPr>
      <w:r>
        <w:rPr>
          <w:rFonts w:ascii="IRNazanin" w:hAnsi="IRNazanin" w:eastAsia="IRNazanin" w:cs="IRNazanin"/>
          <w:lang w:bidi="fa-IR"/>
          <w:color w:val="111111"/>
          <w:sz w:val="28"/>
          <w:szCs w:val="28"/>
          <w:rtl/>
        </w:rPr>
        <w:t xml:space="preserve">هو من شیراز. ترجمه النصرآبادی فی (نر 9- ص 432) و أورد شعره و ذکر ربطه بالشاعر المتخلص بمؤبد و حکام سیستان.</w:t>
      </w:r>
    </w:p>
    <w:p>
      <w:pPr>
        <w:pStyle w:val="Heading3"/>
      </w:pPr>
      <w:bookmarkStart w:id="9447" w:name="_Toc8143"/>
      <w:r>
        <w:t>دیوان ممتاز غزنوی‏</w:t>
      </w:r>
      <w:bookmarkEnd w:id="9447"/>
    </w:p>
    <w:p>
      <w:pPr>
        <w:pStyle w:val="BookText"/>
      </w:pPr>
      <w:r>
        <w:rPr>
          <w:rFonts w:ascii="IRNazanin" w:hAnsi="IRNazanin" w:eastAsia="IRNazanin" w:cs="IRNazanin"/>
          <w:lang w:bidi="fa-IR"/>
          <w:color w:val="111111"/>
          <w:sz w:val="28"/>
          <w:szCs w:val="28"/>
          <w:rtl/>
        </w:rPr>
        <w:t xml:space="preserve">کما کرر فی (گلشن- ص 392 و 393 و 451) و هو مصحف مختاری غزنوی المذکور فی ص 1017.</w:t>
      </w:r>
    </w:p>
    <w:p>
      <w:pPr>
        <w:pStyle w:val="Heading3"/>
      </w:pPr>
      <w:bookmarkStart w:id="9448" w:name="_Toc8144"/>
      <w:r>
        <w:t>7118- دیوان ممتاز گرجی أو شعره‏</w:t>
      </w:r>
      <w:bookmarkEnd w:id="9448"/>
    </w:p>
    <w:p>
      <w:pPr>
        <w:pStyle w:val="BookText"/>
      </w:pPr>
      <w:r>
        <w:rPr>
          <w:rFonts w:ascii="IRNazanin" w:hAnsi="IRNazanin" w:eastAsia="IRNazanin" w:cs="IRNazanin"/>
          <w:lang w:bidi="fa-IR"/>
          <w:color w:val="111111"/>
          <w:sz w:val="28"/>
          <w:szCs w:val="28"/>
          <w:rtl/>
        </w:rPr>
        <w:t xml:space="preserve">و هو أفضل علی بیگ من أحفاد أصلان بیک.</w:t>
      </w:r>
    </w:p>
    <w:p>
      <w:pPr>
        <w:pStyle w:val="BookText"/>
      </w:pPr>
      <w:r>
        <w:rPr>
          <w:rFonts w:ascii="IRNazanin" w:hAnsi="IRNazanin" w:eastAsia="IRNazanin" w:cs="IRNazanin"/>
          <w:lang w:bidi="fa-IR"/>
          <w:color w:val="111111"/>
          <w:sz w:val="28"/>
          <w:szCs w:val="28"/>
          <w:rtl/>
        </w:rPr>
        <w:t xml:space="preserve">کان والده من غلمان الشاه عباس و هو من خدام الشاه سلیمان. أورد شعره فی (نر 2- ص 45) و (گلشن- ص 452).</w:t>
      </w:r>
    </w:p>
    <w:p>
      <w:pPr>
        <w:pStyle w:val="Heading3"/>
      </w:pPr>
      <w:bookmarkStart w:id="9449" w:name="_Toc8145"/>
      <w:r>
        <w:t>7119- دیوان ممکن شاه‏جهان‏آبادی أو شعره‏</w:t>
      </w:r>
      <w:bookmarkEnd w:id="9449"/>
    </w:p>
    <w:p>
      <w:pPr>
        <w:pStyle w:val="BookText"/>
      </w:pPr>
      <w:r>
        <w:rPr>
          <w:rFonts w:ascii="IRNazanin" w:hAnsi="IRNazanin" w:eastAsia="IRNazanin" w:cs="IRNazanin"/>
          <w:lang w:bidi="fa-IR"/>
          <w:color w:val="111111"/>
          <w:sz w:val="28"/>
          <w:szCs w:val="28"/>
          <w:rtl/>
        </w:rPr>
        <w:t xml:space="preserve">و اسمه کاظم علی خان تلمیذ محمد فاخر. کان حیا فی 1174 ترجم و أورد شعره فی (گلشن- ص 453).</w:t>
      </w:r>
    </w:p>
    <w:p>
      <w:pPr>
        <w:pStyle w:val="Heading3"/>
      </w:pPr>
      <w:bookmarkStart w:id="9450" w:name="_Toc8146"/>
      <w:r>
        <w:t>7120- دیوان ممنون أفغانی أو شعره‏</w:t>
      </w:r>
      <w:bookmarkEnd w:id="9450"/>
    </w:p>
    <w:p>
      <w:pPr>
        <w:pStyle w:val="BookText"/>
      </w:pPr>
      <w:r>
        <w:rPr>
          <w:rFonts w:ascii="IRNazanin" w:hAnsi="IRNazanin" w:eastAsia="IRNazanin" w:cs="IRNazanin"/>
          <w:lang w:bidi="fa-IR"/>
          <w:color w:val="111111"/>
          <w:sz w:val="28"/>
          <w:szCs w:val="28"/>
          <w:rtl/>
        </w:rPr>
        <w:t xml:space="preserve">ترجم و أورد شعره فی (روشن- ص 652).</w:t>
      </w:r>
    </w:p>
    <w:p>
      <w:pPr>
        <w:pStyle w:val="Heading3"/>
      </w:pPr>
      <w:bookmarkStart w:id="9451" w:name="_Toc8147"/>
      <w:r>
        <w:t>7121- دیوان ممنون دهلوی أو شعره‏</w:t>
      </w:r>
      <w:bookmarkEnd w:id="9451"/>
    </w:p>
    <w:p>
      <w:pPr>
        <w:pStyle w:val="BookText"/>
      </w:pPr>
      <w:r>
        <w:rPr>
          <w:rFonts w:ascii="IRNazanin" w:hAnsi="IRNazanin" w:eastAsia="IRNazanin" w:cs="IRNazanin"/>
          <w:lang w:bidi="fa-IR"/>
          <w:color w:val="111111"/>
          <w:sz w:val="28"/>
          <w:szCs w:val="28"/>
          <w:rtl/>
        </w:rPr>
        <w:t xml:space="preserve">و هو نظام الدین بن قمر الدین کان عمره حین تألیف تذکره آفتاب عالمتاب خمس و ستین سنة. أورد شعره فی (گلشن- ص 454).</w:t>
      </w:r>
    </w:p>
    <w:p>
      <w:pPr>
        <w:pStyle w:val="Heading3"/>
      </w:pPr>
      <w:bookmarkStart w:id="9452" w:name="_Toc8148"/>
      <w:r>
        <w:t>7122- دیوان ممنون لکهنوی أو شعره‏</w:t>
      </w:r>
      <w:bookmarkEnd w:id="9452"/>
    </w:p>
    <w:p>
      <w:pPr>
        <w:pStyle w:val="BookText"/>
      </w:pPr>
      <w:r>
        <w:rPr>
          <w:rFonts w:ascii="IRNazanin" w:hAnsi="IRNazanin" w:eastAsia="IRNazanin" w:cs="IRNazanin"/>
          <w:lang w:bidi="fa-IR"/>
          <w:color w:val="111111"/>
          <w:sz w:val="28"/>
          <w:szCs w:val="28"/>
          <w:rtl/>
        </w:rPr>
        <w:t xml:space="preserve">ورد شعره فی (گلشن- ص 454) و عنه فی القاموس الترکی.</w:t>
      </w:r>
    </w:p>
    <w:p>
      <w:pPr>
        <w:pStyle w:val="Heading3"/>
      </w:pPr>
      <w:bookmarkStart w:id="9453" w:name="_Toc8149"/>
      <w:r>
        <w:t>7123- دیوان المنازی‏</w:t>
      </w:r>
      <w:bookmarkEnd w:id="9453"/>
    </w:p>
    <w:p>
      <w:pPr>
        <w:pStyle w:val="BookText"/>
      </w:pPr>
      <w:r>
        <w:rPr>
          <w:rFonts w:ascii="IRNazanin" w:hAnsi="IRNazanin" w:eastAsia="IRNazanin" w:cs="IRNazanin"/>
          <w:lang w:bidi="fa-IR"/>
          <w:color w:val="111111"/>
          <w:sz w:val="28"/>
          <w:szCs w:val="28"/>
          <w:rtl/>
        </w:rPr>
        <w:t xml:space="preserve">هو أبو نصر أحمد بن یوسف السلیکی الکاتب الشاعر المنتسب إلی منازجرد فی حلب و صاحب المکتبة التی وقفها لجامعی آمد و میافارقین و قد صاحب أبا العلاء المعری. قال ابن خلکان إن دیوانه قلیل الوجود و إنه مات فی 437
</w:t>
      </w:r>
    </w:p>
    <w:p>
      <w:pPr>
        <w:sectPr>
          <w:footerReference w:type="default" r:id="rId1112"/>
          <w:footnotePr>
            <w:numStart w:val="1"/>
            <w:numRestart w:val="eachPage"/>
          </w:footnotePr>
          <w:pgSz w:orient="portrait" w:w="11905.511811023622" w:h="16837.79527559055"/>
          <w:pgMar w:top="1440" w:right="1440" w:bottom="1440" w:left="1440" w:header="720" w:footer="720" w:gutter="0"/>
          <w:cols w:num="1" w:space="720"/>
        </w:sectPr>
      </w:pPr>
    </w:p>
    <w:bookmarkStart w:id="1091" w:name="pg11704_122580"/>
    <w:bookmarkEnd w:id="1091"/>
    <w:p>
      <w:pPr>
        <w:pStyle w:val="BookText"/>
      </w:pPr>
      <w:r>
        <w:rPr>
          <w:rFonts w:ascii="IRNazanin" w:hAnsi="IRNazanin" w:eastAsia="IRNazanin" w:cs="IRNazanin"/>
          <w:lang w:bidi="fa-IR"/>
          <w:color w:val="111111"/>
          <w:sz w:val="28"/>
          <w:szCs w:val="28"/>
          <w:rtl/>
        </w:rPr>
        <w:t xml:space="preserve">و فی شاهد صادق أنه مات 449</w:t>
      </w:r>
    </w:p>
    <w:p>
      <w:pPr>
        <w:pStyle w:val="Heading3"/>
      </w:pPr>
      <w:bookmarkStart w:id="9454" w:name="_Toc8150"/>
      <w:r>
        <w:t>7124- دیوان مناسب کشمیری أو شعره‏</w:t>
      </w:r>
      <w:bookmarkEnd w:id="9454"/>
    </w:p>
    <w:p>
      <w:pPr>
        <w:pStyle w:val="BookText"/>
      </w:pPr>
      <w:r>
        <w:rPr>
          <w:rFonts w:ascii="IRNazanin" w:hAnsi="IRNazanin" w:eastAsia="IRNazanin" w:cs="IRNazanin"/>
          <w:lang w:bidi="fa-IR"/>
          <w:color w:val="111111"/>
          <w:sz w:val="28"/>
          <w:szCs w:val="28"/>
          <w:rtl/>
        </w:rPr>
        <w:t xml:space="preserve">و اسمه میر شاه حسینی. ورد شعره فی (گلشن- ص 454).</w:t>
      </w:r>
    </w:p>
    <w:p>
      <w:pPr>
        <w:pStyle w:val="Heading3"/>
      </w:pPr>
      <w:bookmarkStart w:id="9455" w:name="_Toc8151"/>
      <w:r>
        <w:t>دیوان مناسب هندی‏</w:t>
      </w:r>
      <w:bookmarkEnd w:id="9455"/>
    </w:p>
    <w:p>
      <w:pPr>
        <w:pStyle w:val="BookText"/>
      </w:pPr>
      <w:r>
        <w:rPr>
          <w:rFonts w:ascii="IRNazanin" w:hAnsi="IRNazanin" w:eastAsia="IRNazanin" w:cs="IRNazanin"/>
          <w:lang w:bidi="fa-IR"/>
          <w:color w:val="111111"/>
          <w:sz w:val="28"/>
          <w:szCs w:val="28"/>
          <w:rtl/>
        </w:rPr>
        <w:t xml:space="preserve">راجع دیوان مشتاق هندی فی ص 1044.</w:t>
      </w:r>
    </w:p>
    <w:p>
      <w:pPr>
        <w:pStyle w:val="Heading3"/>
      </w:pPr>
      <w:bookmarkStart w:id="9456" w:name="_Toc8152"/>
      <w:r>
        <w:t>7125- دیوان منت أصفهانی أو شعره‏</w:t>
      </w:r>
      <w:bookmarkEnd w:id="9456"/>
    </w:p>
    <w:p>
      <w:pPr>
        <w:pStyle w:val="BookText"/>
      </w:pPr>
      <w:r>
        <w:rPr>
          <w:rFonts w:ascii="IRNazanin" w:hAnsi="IRNazanin" w:eastAsia="IRNazanin" w:cs="IRNazanin"/>
          <w:lang w:bidi="fa-IR"/>
          <w:color w:val="111111"/>
          <w:sz w:val="28"/>
          <w:szCs w:val="28"/>
          <w:rtl/>
        </w:rPr>
        <w:t xml:space="preserve">و اسمه محمد کریم خان أفشار. کان بیگلر بیگی لبلدة ری فی عهد نادر شاه فاسمل الشاه عینه. ورد شعره فی (تش- ص 412) و (گلشن- ص 454).</w:t>
      </w:r>
    </w:p>
    <w:p>
      <w:pPr>
        <w:pStyle w:val="Heading3"/>
      </w:pPr>
      <w:bookmarkStart w:id="9457" w:name="_Toc8153"/>
      <w:r>
        <w:t>7126- دیوان منت دهلوی أو شعره‏</w:t>
      </w:r>
      <w:bookmarkEnd w:id="9457"/>
    </w:p>
    <w:p>
      <w:pPr>
        <w:pStyle w:val="BookText"/>
      </w:pPr>
      <w:r>
        <w:rPr>
          <w:rFonts w:ascii="IRNazanin" w:hAnsi="IRNazanin" w:eastAsia="IRNazanin" w:cs="IRNazanin"/>
          <w:lang w:bidi="fa-IR"/>
          <w:color w:val="111111"/>
          <w:sz w:val="28"/>
          <w:szCs w:val="28"/>
          <w:rtl/>
        </w:rPr>
        <w:t xml:space="preserve">و اسمه المیر قمر الدین من أحفاد السید عبد الله المشهدی. ولد بشاه جهان‏آباد و مدح حکام الإنگلیز. و مات 1208 ترجمه قدرت فی (نتایج- ص 687) و عنه فی (مطلع 2: 445) و (مسرت- ص 413) و (روشن- 652).</w:t>
      </w:r>
    </w:p>
    <w:p>
      <w:pPr>
        <w:pStyle w:val="Heading3"/>
      </w:pPr>
      <w:bookmarkStart w:id="9458" w:name="_Toc8154"/>
      <w:r>
        <w:t>دیوان منت مشهدی‏</w:t>
      </w:r>
      <w:bookmarkEnd w:id="9458"/>
    </w:p>
    <w:p>
      <w:pPr>
        <w:pStyle w:val="BookText"/>
      </w:pPr>
      <w:r>
        <w:rPr>
          <w:rFonts w:ascii="IRNazanin" w:hAnsi="IRNazanin" w:eastAsia="IRNazanin" w:cs="IRNazanin"/>
          <w:lang w:bidi="fa-IR"/>
          <w:color w:val="111111"/>
          <w:sz w:val="28"/>
          <w:szCs w:val="28"/>
          <w:rtl/>
        </w:rPr>
        <w:t xml:space="preserve">راجع منت دهلوی.</w:t>
      </w:r>
    </w:p>
    <w:p>
      <w:pPr>
        <w:pStyle w:val="Heading3"/>
      </w:pPr>
      <w:bookmarkStart w:id="9459" w:name="_Toc8155"/>
      <w:r>
        <w:t>دیوان منتجب جوینی‏</w:t>
      </w:r>
      <w:bookmarkEnd w:id="9459"/>
    </w:p>
    <w:p>
      <w:pPr>
        <w:pStyle w:val="BookText"/>
      </w:pPr>
      <w:r>
        <w:rPr>
          <w:rFonts w:ascii="IRNazanin" w:hAnsi="IRNazanin" w:eastAsia="IRNazanin" w:cs="IRNazanin"/>
          <w:lang w:bidi="fa-IR"/>
          <w:color w:val="111111"/>
          <w:sz w:val="28"/>
          <w:szCs w:val="28"/>
          <w:rtl/>
        </w:rPr>
        <w:t xml:space="preserve">و اسمه منتجب الدین بدیع أتابک الجوینی کاتب السلطان سنجر السلجوقی. ترجمه العوفی و أورد شعره فی (لب) و (روشن- ص 91) مر بعنوان بدیع أنجدانی فی ص 130.</w:t>
      </w:r>
    </w:p>
    <w:p>
      <w:pPr>
        <w:pStyle w:val="Heading3"/>
      </w:pPr>
      <w:bookmarkStart w:id="9460" w:name="_Toc8156"/>
      <w:r>
        <w:t>7127- دیوان منتخب ساوجی أو شعره‏</w:t>
      </w:r>
      <w:bookmarkEnd w:id="9460"/>
    </w:p>
    <w:p>
      <w:pPr>
        <w:pStyle w:val="BookText"/>
      </w:pPr>
      <w:r>
        <w:rPr>
          <w:rFonts w:ascii="IRNazanin" w:hAnsi="IRNazanin" w:eastAsia="IRNazanin" w:cs="IRNazanin"/>
          <w:lang w:bidi="fa-IR"/>
          <w:color w:val="111111"/>
          <w:sz w:val="28"/>
          <w:szCs w:val="28"/>
          <w:rtl/>
        </w:rPr>
        <w:t xml:space="preserve">أورد شعره الرازی فی هفت إقلیم.</w:t>
      </w:r>
    </w:p>
    <w:p>
      <w:pPr>
        <w:pStyle w:val="Heading3"/>
      </w:pPr>
      <w:bookmarkStart w:id="9461" w:name="_Toc8157"/>
      <w:r>
        <w:t>7128- دیوان منتخب کشمیری أو شعره‏</w:t>
      </w:r>
      <w:bookmarkEnd w:id="9461"/>
    </w:p>
    <w:p>
      <w:pPr>
        <w:pStyle w:val="BookText"/>
      </w:pPr>
      <w:r>
        <w:rPr>
          <w:rFonts w:ascii="IRNazanin" w:hAnsi="IRNazanin" w:eastAsia="IRNazanin" w:cs="IRNazanin"/>
          <w:lang w:bidi="fa-IR"/>
          <w:color w:val="111111"/>
          <w:sz w:val="28"/>
          <w:szCs w:val="28"/>
          <w:rtl/>
        </w:rPr>
        <w:t xml:space="preserve">و هو المیرزا روح الله ترجمه فی (گلشن- ص 454) و عنه فی القاموس الترکی.</w:t>
      </w:r>
    </w:p>
    <w:p>
      <w:pPr>
        <w:pStyle w:val="Heading3"/>
      </w:pPr>
      <w:bookmarkStart w:id="9462" w:name="_Toc8158"/>
      <w:r>
        <w:t>7129- دیوان منتصر أصفهانی‏</w:t>
      </w:r>
      <w:bookmarkEnd w:id="9462"/>
    </w:p>
    <w:p>
      <w:pPr>
        <w:pStyle w:val="BookText"/>
      </w:pPr>
      <w:r>
        <w:rPr>
          <w:rFonts w:ascii="IRNazanin" w:hAnsi="IRNazanin" w:eastAsia="IRNazanin" w:cs="IRNazanin"/>
          <w:lang w:bidi="fa-IR"/>
          <w:color w:val="111111"/>
          <w:sz w:val="28"/>
          <w:szCs w:val="28"/>
          <w:rtl/>
        </w:rPr>
        <w:t xml:space="preserve">و اسمه حسین بن إسماعیل. ولد بأصفهان 9 محرم 1321 أورد شعره فی شعرای معاصر أصفهان- ص 467.</w:t>
      </w:r>
    </w:p>
    <w:p>
      <w:pPr>
        <w:pStyle w:val="Heading3"/>
      </w:pPr>
      <w:bookmarkStart w:id="9463" w:name="_Toc8159"/>
      <w:r>
        <w:t>دیوان منتهی طهرانی‏</w:t>
      </w:r>
      <w:bookmarkEnd w:id="9463"/>
    </w:p>
    <w:p>
      <w:pPr>
        <w:pStyle w:val="BookText"/>
      </w:pPr>
      <w:r>
        <w:rPr>
          <w:rFonts w:ascii="IRNazanin" w:hAnsi="IRNazanin" w:eastAsia="IRNazanin" w:cs="IRNazanin"/>
          <w:lang w:bidi="fa-IR"/>
          <w:color w:val="111111"/>
          <w:sz w:val="28"/>
          <w:szCs w:val="28"/>
          <w:rtl/>
        </w:rPr>
        <w:t xml:space="preserve">و اسمه میر عطاء الریاضی و کان ینظم علی طریقة محمد قلی سلیم المذکور فی ص 464 و سماه فی (نر 9- ص 241) منهی طهرانی و فی (نتایج- ص 637) و (گلشن- ص 454) سمیاه منتهی و قالا جاء إلی الهند فی عهد أکبر شاه و حکم مدة بندر لاهری ببنگاله ثم قتل حین کان یرجع إلی وطنه فی أواسط المائة الحادی عشر.</w:t>
      </w:r>
    </w:p>
    <w:p>
      <w:pPr>
        <w:pStyle w:val="Heading3"/>
      </w:pPr>
      <w:bookmarkStart w:id="9464" w:name="_Toc8160"/>
      <w:r>
        <w:t>7130- دیوان منجم‏باشی‏</w:t>
      </w:r>
      <w:bookmarkEnd w:id="9464"/>
    </w:p>
    <w:p>
      <w:pPr>
        <w:pStyle w:val="BookText"/>
      </w:pPr>
      <w:r>
        <w:rPr>
          <w:rFonts w:ascii="IRNazanin" w:hAnsi="IRNazanin" w:eastAsia="IRNazanin" w:cs="IRNazanin"/>
          <w:lang w:bidi="fa-IR"/>
          <w:color w:val="111111"/>
          <w:sz w:val="28"/>
          <w:szCs w:val="28"/>
          <w:rtl/>
        </w:rPr>
        <w:t xml:space="preserve">و اسمه میرزا علی بن میرزا جعفر و أخ المیرزا رضا نجم الملک‏
</w:t>
      </w:r>
    </w:p>
    <w:p>
      <w:pPr>
        <w:sectPr>
          <w:footerReference w:type="default" r:id="rId1113"/>
          <w:footnotePr>
            <w:numStart w:val="1"/>
            <w:numRestart w:val="eachPage"/>
          </w:footnotePr>
          <w:pgSz w:orient="portrait" w:w="11905.511811023622" w:h="16837.79527559055"/>
          <w:pgMar w:top="1440" w:right="1440" w:bottom="1440" w:left="1440" w:header="720" w:footer="720" w:gutter="0"/>
          <w:cols w:num="1" w:space="720"/>
        </w:sectPr>
      </w:pPr>
    </w:p>
    <w:bookmarkStart w:id="1092" w:name="pg11704_122581"/>
    <w:bookmarkEnd w:id="1092"/>
    <w:p>
      <w:pPr>
        <w:pStyle w:val="BookText"/>
      </w:pPr>
      <w:r>
        <w:rPr>
          <w:rFonts w:ascii="IRNazanin" w:hAnsi="IRNazanin" w:eastAsia="IRNazanin" w:cs="IRNazanin"/>
          <w:lang w:bidi="fa-IR"/>
          <w:color w:val="111111"/>
          <w:sz w:val="28"/>
          <w:szCs w:val="28"/>
          <w:rtl/>
        </w:rPr>
        <w:t xml:space="preserve">التبریزی الشاعر المنجم الذی مات 1290 ترجم فی (المآثر- ص 219) و (دجا- ص 361). و یوجد نسخه الأصل من دیوان منجم‏باشی فارسیة و عربیة فیها تواریخ 1255- 1283 عند (فخر الدین 317 و 311).</w:t>
      </w:r>
    </w:p>
    <w:p>
      <w:pPr>
        <w:pStyle w:val="Heading3"/>
      </w:pPr>
      <w:bookmarkStart w:id="9465" w:name="_Toc8161"/>
      <w:r>
        <w:t>7131- دیوان منجیک ترمذی أو شعره‏</w:t>
      </w:r>
      <w:bookmarkEnd w:id="9465"/>
    </w:p>
    <w:p>
      <w:pPr>
        <w:pStyle w:val="BookText"/>
      </w:pPr>
      <w:r>
        <w:rPr>
          <w:rFonts w:ascii="IRNazanin" w:hAnsi="IRNazanin" w:eastAsia="IRNazanin" w:cs="IRNazanin"/>
          <w:lang w:bidi="fa-IR"/>
          <w:color w:val="111111"/>
          <w:sz w:val="28"/>
          <w:szCs w:val="28"/>
          <w:rtl/>
        </w:rPr>
        <w:t xml:space="preserve">لأبی الحسن علی بن محمد الترمذی.</w:t>
      </w:r>
    </w:p>
    <w:p>
      <w:pPr>
        <w:pStyle w:val="BookText"/>
      </w:pPr>
      <w:r>
        <w:rPr>
          <w:rFonts w:ascii="IRNazanin" w:hAnsi="IRNazanin" w:eastAsia="IRNazanin" w:cs="IRNazanin"/>
          <w:lang w:bidi="fa-IR"/>
          <w:color w:val="111111"/>
          <w:sz w:val="28"/>
          <w:szCs w:val="28"/>
          <w:rtl/>
        </w:rPr>
        <w:t xml:space="preserve">ترجمه العوفی و أورد شعره فی (لب و الرازی فی هفت إقلیم و (خوش‏گو) و (مع 1- ص 506) و سخن و سخنوران- 1: 20. مدح أمراء جغتای و ممدوحی فرخی سیستانی و غیرهم.</w:t>
      </w:r>
    </w:p>
    <w:p>
      <w:pPr>
        <w:pStyle w:val="Heading3"/>
      </w:pPr>
      <w:bookmarkStart w:id="9466" w:name="_Toc8162"/>
      <w:r>
        <w:t>7132- دیوان منزوی بیرجندی‏</w:t>
      </w:r>
      <w:bookmarkEnd w:id="9466"/>
    </w:p>
    <w:p>
      <w:pPr>
        <w:pStyle w:val="BookText"/>
      </w:pPr>
      <w:r>
        <w:rPr>
          <w:rFonts w:ascii="IRNazanin" w:hAnsi="IRNazanin" w:eastAsia="IRNazanin" w:cs="IRNazanin"/>
          <w:lang w:bidi="fa-IR"/>
          <w:color w:val="111111"/>
          <w:sz w:val="28"/>
          <w:szCs w:val="28"/>
          <w:rtl/>
        </w:rPr>
        <w:t xml:space="preserve">للآخوند ملا إسماعیل البیرجندی. ترجمه آیتی فی (قهستان- ص 292) و أورد مثنویة بلبل در قفس.</w:t>
      </w:r>
    </w:p>
    <w:p>
      <w:pPr>
        <w:pStyle w:val="Heading3"/>
      </w:pPr>
      <w:bookmarkStart w:id="9467" w:name="_Toc8163"/>
      <w:r>
        <w:t>7133- دیوان منشأ لکهنوی أو شعره‏</w:t>
      </w:r>
      <w:bookmarkEnd w:id="9467"/>
    </w:p>
    <w:p>
      <w:pPr>
        <w:pStyle w:val="BookText"/>
      </w:pPr>
      <w:r>
        <w:rPr>
          <w:rFonts w:ascii="IRNazanin" w:hAnsi="IRNazanin" w:eastAsia="IRNazanin" w:cs="IRNazanin"/>
          <w:lang w:bidi="fa-IR"/>
          <w:color w:val="111111"/>
          <w:sz w:val="28"/>
          <w:szCs w:val="28"/>
          <w:rtl/>
        </w:rPr>
        <w:t xml:space="preserve">و اسمه میرزا أحمد ربیب محمد حسین قتیل المذکور فی ص 876 و صهر إن شاء الله خان المذکور فی ص 108 أورد شعره فی (گلشن- ص 455).</w:t>
      </w:r>
    </w:p>
    <w:p>
      <w:pPr>
        <w:pStyle w:val="Heading3"/>
      </w:pPr>
      <w:bookmarkStart w:id="9468" w:name="_Toc8164"/>
      <w:r>
        <w:t>7134- دیوان منشور الأصفهانی‏</w:t>
      </w:r>
      <w:bookmarkEnd w:id="9468"/>
    </w:p>
    <w:p>
      <w:pPr>
        <w:pStyle w:val="BookText"/>
      </w:pPr>
      <w:r>
        <w:rPr>
          <w:rFonts w:ascii="IRNazanin" w:hAnsi="IRNazanin" w:eastAsia="IRNazanin" w:cs="IRNazanin"/>
          <w:lang w:bidi="fa-IR"/>
          <w:color w:val="111111"/>
          <w:sz w:val="28"/>
          <w:szCs w:val="28"/>
          <w:rtl/>
        </w:rPr>
        <w:t xml:space="preserve">ترجمه فی همیشه بهار و النصرآبادی فی (نر 9- ص 414) و ذکر أن اسمه حاج شریف. و کان أبوه قنادا فأعرض ولده عن شغله، و صاحب أهل الأدب. و له طبع لطیف یتخلص منشور و توفی قبل حال التحریر. ثم أورد تسعة أبیات من شعره.</w:t>
      </w:r>
    </w:p>
    <w:p>
      <w:pPr>
        <w:pStyle w:val="Heading3"/>
      </w:pPr>
      <w:bookmarkStart w:id="9469" w:name="_Toc8165"/>
      <w:r>
        <w:t>7135- دیوان منشوری سمرقندی‏</w:t>
      </w:r>
      <w:bookmarkEnd w:id="9469"/>
    </w:p>
    <w:p>
      <w:pPr>
        <w:pStyle w:val="BookText"/>
      </w:pPr>
      <w:r>
        <w:rPr>
          <w:rFonts w:ascii="IRNazanin" w:hAnsi="IRNazanin" w:eastAsia="IRNazanin" w:cs="IRNazanin"/>
          <w:lang w:bidi="fa-IR"/>
          <w:color w:val="111111"/>
          <w:sz w:val="28"/>
          <w:szCs w:val="28"/>
          <w:rtl/>
        </w:rPr>
        <w:t xml:space="preserve">ترجمه هدایت فی (مع- 1: 506) و حکی عن عروضی السمرقندی أن اسمه أبو سعید أحمد بن محمد السمرقندی. و کان مداح آل ناصر و لا سیما محمود الغزنوی. ثم أورد نیفا و ثلاثین بیتا من شعره. و قال العوفی فی (لب) إن له شعر علی ثلاثین وزنا.</w:t>
      </w:r>
    </w:p>
    <w:p>
      <w:pPr>
        <w:pStyle w:val="Heading3"/>
      </w:pPr>
      <w:bookmarkStart w:id="9470" w:name="_Toc8166"/>
      <w:r>
        <w:t>7136- دیوان منشی أردوبادی‏</w:t>
      </w:r>
      <w:bookmarkEnd w:id="9470"/>
    </w:p>
    <w:p>
      <w:pPr>
        <w:pStyle w:val="BookText"/>
      </w:pPr>
      <w:r>
        <w:rPr>
          <w:rFonts w:ascii="IRNazanin" w:hAnsi="IRNazanin" w:eastAsia="IRNazanin" w:cs="IRNazanin"/>
          <w:lang w:bidi="fa-IR"/>
          <w:color w:val="111111"/>
          <w:sz w:val="28"/>
          <w:szCs w:val="28"/>
          <w:rtl/>
        </w:rPr>
        <w:t xml:space="preserve">و اسمه زین العابدین بن عبد الحسین النصیری منشی الممالک، فی عصر الشاه عباس، من بیت ینسبون إلی الخواجة نصیر الطوسی و من خدام حاتم بیک صافی المذکور فی ص 584 و لعله والد إبراهیم المذکور فی ج 4 ص 237 و هذا البیت قد ینسبون إلی شیخ الطائفة الطوسی و قد ینسبون إلی السیادة أیضا. ترجمه النصرآبادی فی (نر 4- ص 72) و (گلشن- ص 456) و فی (دجا- ص 361) أنه نظم‏
</w:t>
      </w:r>
    </w:p>
    <w:p>
      <w:pPr>
        <w:sectPr>
          <w:footerReference w:type="default" r:id="rId1114"/>
          <w:footnotePr>
            <w:numStart w:val="1"/>
            <w:numRestart w:val="eachPage"/>
          </w:footnotePr>
          <w:pgSz w:orient="portrait" w:w="11905.511811023622" w:h="16837.79527559055"/>
          <w:pgMar w:top="1440" w:right="1440" w:bottom="1440" w:left="1440" w:header="720" w:footer="720" w:gutter="0"/>
          <w:cols w:num="1" w:space="720"/>
        </w:sectPr>
      </w:pPr>
    </w:p>
    <w:bookmarkStart w:id="1093" w:name="pg11704_122582"/>
    <w:bookmarkEnd w:id="1093"/>
    <w:p>
      <w:pPr>
        <w:pStyle w:val="BookText"/>
      </w:pPr>
      <w:r>
        <w:rPr>
          <w:rFonts w:ascii="IRNazanin" w:hAnsi="IRNazanin" w:eastAsia="IRNazanin" w:cs="IRNazanin"/>
          <w:lang w:bidi="fa-IR"/>
          <w:color w:val="111111"/>
          <w:sz w:val="28"/>
          <w:szCs w:val="28"/>
          <w:rtl/>
        </w:rPr>
        <w:t xml:space="preserve">فی 1014 تاریخ هجوم چغال أوغلی علی تبریز.</w:t>
      </w:r>
    </w:p>
    <w:p>
      <w:pPr>
        <w:pStyle w:val="Heading3"/>
      </w:pPr>
      <w:bookmarkStart w:id="9471" w:name="_Toc8167"/>
      <w:r>
        <w:t>7137- دیوان منشی أردوبادی أو شعره‏</w:t>
      </w:r>
      <w:bookmarkEnd w:id="9471"/>
    </w:p>
    <w:p>
      <w:pPr>
        <w:pStyle w:val="BookText"/>
      </w:pPr>
      <w:r>
        <w:rPr>
          <w:rFonts w:ascii="IRNazanin" w:hAnsi="IRNazanin" w:eastAsia="IRNazanin" w:cs="IRNazanin"/>
          <w:lang w:bidi="fa-IR"/>
          <w:color w:val="111111"/>
          <w:sz w:val="28"/>
          <w:szCs w:val="28"/>
          <w:rtl/>
        </w:rPr>
        <w:t xml:space="preserve">و اسمه میرزا محمد. من مقربی بلاط الشاه إسماعیل الثانی و قتل فی عهد الشاه عباس الأول. ترجم فی (خص 4- ص 46) و (دجا- ص 361).</w:t>
      </w:r>
    </w:p>
    <w:p>
      <w:pPr>
        <w:pStyle w:val="Heading3"/>
      </w:pPr>
      <w:bookmarkStart w:id="9472" w:name="_Toc8168"/>
      <w:r>
        <w:t>7136- دیوان منشی أصفهانی أو شعره‏</w:t>
      </w:r>
      <w:bookmarkEnd w:id="9472"/>
    </w:p>
    <w:p>
      <w:pPr>
        <w:pStyle w:val="BookText"/>
      </w:pPr>
      <w:r>
        <w:rPr>
          <w:rFonts w:ascii="IRNazanin" w:hAnsi="IRNazanin" w:eastAsia="IRNazanin" w:cs="IRNazanin"/>
          <w:lang w:bidi="fa-IR"/>
          <w:color w:val="111111"/>
          <w:sz w:val="28"/>
          <w:szCs w:val="28"/>
          <w:rtl/>
        </w:rPr>
        <w:t xml:space="preserve">و اسمه محمد حسن بن میرزا نصیر ورد شعره فی المدائح المعتمدیة</w:t>
      </w:r>
    </w:p>
    <w:p>
      <w:pPr>
        <w:pStyle w:val="Heading3"/>
      </w:pPr>
      <w:bookmarkStart w:id="9473" w:name="_Toc8169"/>
      <w:r>
        <w:t>7137- دیوان منشی بمرودی‏</w:t>
      </w:r>
      <w:bookmarkEnd w:id="9473"/>
    </w:p>
    <w:p>
      <w:pPr>
        <w:pStyle w:val="BookText"/>
      </w:pPr>
      <w:r>
        <w:rPr>
          <w:rFonts w:ascii="IRNazanin" w:hAnsi="IRNazanin" w:eastAsia="IRNazanin" w:cs="IRNazanin"/>
          <w:lang w:bidi="fa-IR"/>
          <w:color w:val="111111"/>
          <w:sz w:val="28"/>
          <w:szCs w:val="28"/>
          <w:rtl/>
        </w:rPr>
        <w:t xml:space="preserve">و اسمه محمد أکبر بن غلام رضا معاصر میرزا مهدی خان منشی نادر شاه کان یوصل نسبه إلی غیاث الدین ابن أحمد جام، و کان والده یسکن هرات ثم نزل أصفهان و بها ولد محمد أکبر و تلمذ علی الحر فأجازه و صار منشی نادر، ثم استقال و انزوی فی بمرود له منظومة مقامات حسینی فی وقایع الطف علی زنة شاهنامه‏</w:t>
      </w:r>
    </w:p>
    <w:p>
      <w:pPr>
        <w:pStyle w:val="Heading3"/>
      </w:pPr>
      <w:bookmarkStart w:id="9474" w:name="_Toc8170"/>
      <w:r>
        <w:t>7138- دیوان منشی تبریزی‏</w:t>
      </w:r>
      <w:bookmarkEnd w:id="9474"/>
    </w:p>
    <w:p>
      <w:pPr>
        <w:pStyle w:val="BookText"/>
      </w:pPr>
      <w:r>
        <w:rPr>
          <w:rFonts w:ascii="IRNazanin" w:hAnsi="IRNazanin" w:eastAsia="IRNazanin" w:cs="IRNazanin"/>
          <w:lang w:bidi="fa-IR"/>
          <w:color w:val="111111"/>
          <w:sz w:val="28"/>
          <w:szCs w:val="28"/>
          <w:rtl/>
        </w:rPr>
        <w:t xml:space="preserve">اسمه المیرزا محمد ولد فی أصفهان 1094 کان بارعا فی أنواع العلوم قاریا و کاتبا لثلاثة عشر نوعا من أنواع الخطوط و کان یتکلم بخمسة ألسنة الترکی و الفارسی و الأفغانی و العربی و الهندی و لمهارته فی الإنشاء کان یتخلص منشی ترجمه کذلک فی (دجا- ص 362) و أورد شعره و کذا فی (گلشن- ص 456)</w:t>
      </w:r>
    </w:p>
    <w:p>
      <w:pPr>
        <w:pStyle w:val="Heading3"/>
      </w:pPr>
      <w:bookmarkStart w:id="9475" w:name="_Toc8171"/>
      <w:r>
        <w:t>7139- دیوان منشی خویی‏</w:t>
      </w:r>
      <w:bookmarkEnd w:id="9475"/>
    </w:p>
    <w:p>
      <w:pPr>
        <w:pStyle w:val="BookText"/>
      </w:pPr>
      <w:r>
        <w:rPr>
          <w:rFonts w:ascii="IRNazanin" w:hAnsi="IRNazanin" w:eastAsia="IRNazanin" w:cs="IRNazanin"/>
          <w:lang w:bidi="fa-IR"/>
          <w:color w:val="111111"/>
          <w:sz w:val="28"/>
          <w:szCs w:val="28"/>
          <w:rtl/>
        </w:rPr>
        <w:t xml:space="preserve">اسمه المیرزا مهدی بن المیرزا محمد نصیر الخوئی کان والده منشی دیوان محمد علی میرزا المتخلص بدولت‏شاه ابن السلطان فتح علی شاه و المیرزا مهدی کان منشی دیوان السلطان محمد شاه الغازی ترجمه معاصره فی (مع 2: 439) و أورد نیفا و مائتی بیت من قصائده فی مدح محمد شاه و وزیره المیرزا آقاسی و مدیح أمیر المؤمنین و السلطان ناصر الدین شاه و یظهر حیاته فی زمن تألیف المجمع و ترجمه تربیت فی (دجا- ص 364) نقلا عن گنج شایگان‏</w:t>
      </w:r>
    </w:p>
    <w:p>
      <w:pPr>
        <w:pStyle w:val="Heading3"/>
      </w:pPr>
      <w:bookmarkStart w:id="9476" w:name="_Toc8172"/>
      <w:r>
        <w:t>7140- دیوان منشی ساوجی أو شعره‏</w:t>
      </w:r>
      <w:bookmarkEnd w:id="9476"/>
    </w:p>
    <w:p>
      <w:pPr>
        <w:pStyle w:val="BookText"/>
      </w:pPr>
      <w:r>
        <w:rPr>
          <w:rFonts w:ascii="IRNazanin" w:hAnsi="IRNazanin" w:eastAsia="IRNazanin" w:cs="IRNazanin"/>
          <w:lang w:bidi="fa-IR"/>
          <w:color w:val="111111"/>
          <w:sz w:val="28"/>
          <w:szCs w:val="28"/>
          <w:rtl/>
        </w:rPr>
        <w:t xml:space="preserve">و اسمه محمد له تذکره شعرا ألفها فی 1295 ینقل عنه عبرت فی مدینة الأدب الموجود فی (المجلس)</w:t>
      </w:r>
    </w:p>
    <w:p>
      <w:pPr>
        <w:pStyle w:val="Heading3"/>
      </w:pPr>
      <w:bookmarkStart w:id="9477" w:name="_Toc8173"/>
      <w:r>
        <w:t>7141- دیوان منشی طبری‏</w:t>
      </w:r>
      <w:bookmarkEnd w:id="9477"/>
    </w:p>
    <w:p>
      <w:pPr>
        <w:pStyle w:val="BookText"/>
      </w:pPr>
      <w:r>
        <w:rPr>
          <w:rFonts w:ascii="IRNazanin" w:hAnsi="IRNazanin" w:eastAsia="IRNazanin" w:cs="IRNazanin"/>
          <w:lang w:bidi="fa-IR"/>
          <w:color w:val="111111"/>
          <w:sz w:val="28"/>
          <w:szCs w:val="28"/>
          <w:rtl/>
        </w:rPr>
        <w:t xml:space="preserve">المیرزا عبد الله بن المیرزا محمد قلی الذی کان ابن‏
</w:t>
      </w:r>
    </w:p>
    <w:p>
      <w:pPr>
        <w:sectPr>
          <w:footerReference w:type="default" r:id="rId1115"/>
          <w:footnotePr>
            <w:numStart w:val="1"/>
            <w:numRestart w:val="eachPage"/>
          </w:footnotePr>
          <w:pgSz w:orient="portrait" w:w="11905.511811023622" w:h="16837.79527559055"/>
          <w:pgMar w:top="1440" w:right="1440" w:bottom="1440" w:left="1440" w:header="720" w:footer="720" w:gutter="0"/>
          <w:cols w:num="1" w:space="720"/>
        </w:sectPr>
      </w:pPr>
    </w:p>
    <w:bookmarkStart w:id="1094" w:name="pg11704_122583"/>
    <w:bookmarkEnd w:id="1094"/>
    <w:p>
      <w:pPr>
        <w:pStyle w:val="BookText"/>
      </w:pPr>
      <w:r>
        <w:rPr>
          <w:rFonts w:ascii="IRNazanin" w:hAnsi="IRNazanin" w:eastAsia="IRNazanin" w:cs="IRNazanin"/>
          <w:lang w:bidi="fa-IR"/>
          <w:color w:val="111111"/>
          <w:sz w:val="28"/>
          <w:szCs w:val="28"/>
          <w:rtl/>
        </w:rPr>
        <w:t xml:space="preserve">أخ المیرزا محمد بن المیرزا کاظم الإیروانی الأصل، ندیم فتح علی شاه ترجمه معاصره فی (مع- ج 2 ص 461) و أورد قرب مائتی بیت من قصائده و مثنویاته یتخلص فی بعضها منشی أسرار و فی بعضها منشی طبری فیقول فی تهنئة النواب معتمد الدولة فرهاد میرزا:</w:t>
      </w:r>
    </w:p>
    <w:p>
      <w:pPr>
        <w:pStyle w:val="BookText"/>
      </w:pPr>
      <w:r>
        <w:rPr>
          <w:rFonts w:ascii="IRNazanin" w:hAnsi="IRNazanin" w:eastAsia="IRNazanin" w:cs="IRNazanin"/>
          <w:lang w:bidi="fa-IR"/>
          <w:color w:val="111111"/>
          <w:sz w:val="28"/>
          <w:szCs w:val="28"/>
          <w:rtl/>
        </w:rPr>
        <w:t xml:space="preserve">نه منشی طبری عاجز است در وصفت‏</w:t>
      </w:r>
    </w:p>
    <w:p>
      <w:pPr>
        <w:pStyle w:val="BookText"/>
      </w:pPr>
      <w:r>
        <w:rPr>
          <w:rFonts w:ascii="IRNazanin" w:hAnsi="IRNazanin" w:eastAsia="IRNazanin" w:cs="IRNazanin"/>
          <w:lang w:bidi="fa-IR"/>
          <w:color w:val="111111"/>
          <w:sz w:val="28"/>
          <w:szCs w:val="28"/>
          <w:rtl/>
        </w:rPr>
        <w:t xml:space="preserve">که عاجزند ز وصفت هزار چون وصاف‏</w:t>
      </w:r>
    </w:p>
    <w:p>
      <w:pPr>
        <w:pStyle w:val="Heading3"/>
      </w:pPr>
      <w:bookmarkStart w:id="9478" w:name="_Toc8174"/>
      <w:r>
        <w:t>دیوان منشی قزوینی‏</w:t>
      </w:r>
      <w:bookmarkEnd w:id="9478"/>
    </w:p>
    <w:p>
      <w:pPr>
        <w:pStyle w:val="BookText"/>
      </w:pPr>
      <w:r>
        <w:rPr>
          <w:rFonts w:ascii="IRNazanin" w:hAnsi="IRNazanin" w:eastAsia="IRNazanin" w:cs="IRNazanin"/>
          <w:lang w:bidi="fa-IR"/>
          <w:color w:val="111111"/>
          <w:sz w:val="28"/>
          <w:szCs w:val="28"/>
          <w:rtl/>
        </w:rPr>
        <w:t xml:space="preserve">کما فی (روشن- ص 655) مر بعنوان أدهم بیگ فی ص 64</w:t>
      </w:r>
    </w:p>
    <w:p>
      <w:pPr>
        <w:pStyle w:val="Heading3"/>
      </w:pPr>
      <w:bookmarkStart w:id="9479" w:name="_Toc8175"/>
      <w:r>
        <w:t>7142- دیوان منشی قمی أو شعره‏</w:t>
      </w:r>
      <w:bookmarkEnd w:id="9479"/>
    </w:p>
    <w:p>
      <w:pPr>
        <w:pStyle w:val="BookText"/>
      </w:pPr>
      <w:r>
        <w:rPr>
          <w:rFonts w:ascii="IRNazanin" w:hAnsi="IRNazanin" w:eastAsia="IRNazanin" w:cs="IRNazanin"/>
          <w:lang w:bidi="fa-IR"/>
          <w:color w:val="111111"/>
          <w:sz w:val="28"/>
          <w:szCs w:val="28"/>
          <w:rtl/>
        </w:rPr>
        <w:t xml:space="preserve">و اسمه میرزا أحمد القاضی القمی المنشی مؤلف تذکره الفنانین باسم گلستان هنر فی آخر القرن العاشر و أول الحادی عشر ترجم أحواله حسین النخجوانی فی نشریة دانشکده أدبیات تبریز 9: 1- 16 و زهرا حسنی فی مجلة نقش و نگار- 5: 23 و یوجد نسخه من گلستان هنر عند الدکتور مهدی بیانی بطهران‏</w:t>
      </w:r>
    </w:p>
    <w:p>
      <w:pPr>
        <w:pStyle w:val="Heading3"/>
      </w:pPr>
      <w:bookmarkStart w:id="9480" w:name="_Toc8176"/>
      <w:r>
        <w:t>7143- دیوان منشی کانپوری أو شعره‏</w:t>
      </w:r>
      <w:bookmarkEnd w:id="9480"/>
    </w:p>
    <w:p>
      <w:pPr>
        <w:pStyle w:val="BookText"/>
      </w:pPr>
      <w:r>
        <w:rPr>
          <w:rFonts w:ascii="IRNazanin" w:hAnsi="IRNazanin" w:eastAsia="IRNazanin" w:cs="IRNazanin"/>
          <w:lang w:bidi="fa-IR"/>
          <w:color w:val="111111"/>
          <w:sz w:val="28"/>
          <w:szCs w:val="28"/>
          <w:rtl/>
        </w:rPr>
        <w:t xml:space="preserve">و اسمه غلام علی أورد شعره معاصره فی (گلشن- ص 456)</w:t>
      </w:r>
    </w:p>
    <w:p>
      <w:pPr>
        <w:pStyle w:val="Heading3"/>
      </w:pPr>
      <w:bookmarkStart w:id="9481" w:name="_Toc8177"/>
      <w:r>
        <w:t>7144- دیوان منصف أصفهانی‏</w:t>
      </w:r>
      <w:bookmarkEnd w:id="9481"/>
    </w:p>
    <w:p>
      <w:pPr>
        <w:pStyle w:val="BookText"/>
      </w:pPr>
      <w:r>
        <w:rPr>
          <w:rFonts w:ascii="IRNazanin" w:hAnsi="IRNazanin" w:eastAsia="IRNazanin" w:cs="IRNazanin"/>
          <w:lang w:bidi="fa-IR"/>
          <w:color w:val="111111"/>
          <w:sz w:val="28"/>
          <w:szCs w:val="28"/>
          <w:rtl/>
        </w:rPr>
        <w:t xml:space="preserve">و هو غیاث الدین علی المشهور فی الهند غیاثا و المتخلص منصف، ولد بأصفهان و نشا بشیراز و سافر إلی الهند و عمره ثلاث و عشرین سنة و لازم میرزا جعفر آصف ثم سافر إلی دکن و لازم المیرزا رستم القندهاری، و مات فی دکن فی 1019 و دیوانه حینئذ یشتمل علی خمسة آلاف و مائتی بیت، و أوصی نظر بیگ بأن یوصل دیوانه إلی اهله بأصفهان ترجم فی میخانه- ص 216 و أورد له وصیت‏نامه و ساقی‏نامه و ترجم أیضا فی هدیة العارفین- 1: 753 و (خوش‏گو) و (روشن- ص 655)</w:t>
      </w:r>
    </w:p>
    <w:p>
      <w:pPr>
        <w:pStyle w:val="Heading3"/>
      </w:pPr>
      <w:bookmarkStart w:id="9482" w:name="_Toc8178"/>
      <w:r>
        <w:t>دیوان منصف تجرشی‏</w:t>
      </w:r>
      <w:bookmarkEnd w:id="9482"/>
    </w:p>
    <w:p>
      <w:pPr>
        <w:pStyle w:val="BookText"/>
      </w:pPr>
      <w:r>
        <w:rPr>
          <w:rFonts w:ascii="IRNazanin" w:hAnsi="IRNazanin" w:eastAsia="IRNazanin" w:cs="IRNazanin"/>
          <w:lang w:bidi="fa-IR"/>
          <w:color w:val="111111"/>
          <w:sz w:val="28"/>
          <w:szCs w:val="28"/>
          <w:rtl/>
        </w:rPr>
        <w:t xml:space="preserve">راجع منصف طهرانی‏</w:t>
      </w:r>
    </w:p>
    <w:p>
      <w:pPr>
        <w:pStyle w:val="Heading3"/>
      </w:pPr>
      <w:bookmarkStart w:id="9483" w:name="_Toc8179"/>
      <w:r>
        <w:t>7145- دیوان منصف دهلوی أو شعره‏</w:t>
      </w:r>
      <w:bookmarkEnd w:id="9483"/>
    </w:p>
    <w:p>
      <w:pPr>
        <w:pStyle w:val="BookText"/>
      </w:pPr>
      <w:r>
        <w:rPr>
          <w:rFonts w:ascii="IRNazanin" w:hAnsi="IRNazanin" w:eastAsia="IRNazanin" w:cs="IRNazanin"/>
          <w:lang w:bidi="fa-IR"/>
          <w:color w:val="111111"/>
          <w:sz w:val="28"/>
          <w:szCs w:val="28"/>
          <w:rtl/>
        </w:rPr>
        <w:t xml:space="preserve">و اسمه بابا خواجه و یلقب فاضل خان المتوفی 1128 ورد شعره فی (گلشن- ص 457)</w:t>
      </w:r>
    </w:p>
    <w:p>
      <w:pPr>
        <w:pStyle w:val="Heading3"/>
      </w:pPr>
      <w:bookmarkStart w:id="9484" w:name="_Toc8180"/>
      <w:r>
        <w:t>7146- دیوان منصف شاه‏جهان‏آبادی أو شعره‏</w:t>
      </w:r>
      <w:bookmarkEnd w:id="9484"/>
    </w:p>
    <w:p>
      <w:pPr>
        <w:pStyle w:val="BookText"/>
      </w:pPr>
      <w:r>
        <w:rPr>
          <w:rFonts w:ascii="IRNazanin" w:hAnsi="IRNazanin" w:eastAsia="IRNazanin" w:cs="IRNazanin"/>
          <w:lang w:bidi="fa-IR"/>
          <w:color w:val="111111"/>
          <w:sz w:val="28"/>
          <w:szCs w:val="28"/>
          <w:rtl/>
        </w:rPr>
        <w:t xml:space="preserve">و اسمه شاه منصف علی خان ورد شعره فی (گلشن- ص 457)
</w:t>
      </w:r>
    </w:p>
    <w:p>
      <w:pPr>
        <w:sectPr>
          <w:footerReference w:type="default" r:id="rId1116"/>
          <w:footnotePr>
            <w:numStart w:val="1"/>
            <w:numRestart w:val="eachPage"/>
          </w:footnotePr>
          <w:pgSz w:orient="portrait" w:w="11905.511811023622" w:h="16837.79527559055"/>
          <w:pgMar w:top="1440" w:right="1440" w:bottom="1440" w:left="1440" w:header="720" w:footer="720" w:gutter="0"/>
          <w:cols w:num="1" w:space="720"/>
        </w:sectPr>
      </w:pPr>
    </w:p>
    <w:bookmarkStart w:id="1095" w:name="pg11704_122584"/>
    <w:bookmarkEnd w:id="1095"/>
    <w:p>
      <w:pPr>
        <w:pStyle w:val="Heading3"/>
      </w:pPr>
      <w:bookmarkStart w:id="9485" w:name="_Toc8181"/>
      <w:r>
        <w:t>7147- دیوان منصف طهرانی‏</w:t>
      </w:r>
      <w:bookmarkEnd w:id="9485"/>
    </w:p>
    <w:p>
      <w:pPr>
        <w:pStyle w:val="BookText"/>
      </w:pPr>
      <w:r>
        <w:rPr>
          <w:rFonts w:ascii="IRNazanin" w:hAnsi="IRNazanin" w:eastAsia="IRNazanin" w:cs="IRNazanin"/>
          <w:lang w:bidi="fa-IR"/>
          <w:color w:val="111111"/>
          <w:sz w:val="28"/>
          <w:szCs w:val="28"/>
          <w:rtl/>
        </w:rPr>
        <w:t xml:space="preserve">و اسمه محمد إسماعیل بن شمسا، و أخ مقیم طهرانی المذکور فی ص 1092 و شرف الدین کاشف شیرازی المذکور فی 898 و لکن فی (گلشن- ص 458) قال إن له ثلاث إخوة هم مقیما و مجیدا و شریفا سافروا إلی الهند و رجعوا إلی وطنهم و فیه خلط و ترجم أیضا فی همیشه بهار و حسینی- ص 312) و (فارس‏نامه 2: 151) و (نر 9- ص 251) و فی (تش- ص 297) أنه ینسب إلی بلدة تجرشه‏</w:t>
      </w:r>
    </w:p>
    <w:p>
      <w:pPr>
        <w:pStyle w:val="Heading3"/>
      </w:pPr>
      <w:bookmarkStart w:id="9486" w:name="_Toc8182"/>
      <w:r>
        <w:t>7148- دیوان منصف قاجار</w:t>
      </w:r>
      <w:bookmarkEnd w:id="9486"/>
    </w:p>
    <w:p>
      <w:pPr>
        <w:pStyle w:val="BookText"/>
      </w:pPr>
      <w:r>
        <w:rPr>
          <w:rFonts w:ascii="IRNazanin" w:hAnsi="IRNazanin" w:eastAsia="IRNazanin" w:cs="IRNazanin"/>
          <w:lang w:bidi="fa-IR"/>
          <w:color w:val="111111"/>
          <w:sz w:val="28"/>
          <w:szCs w:val="28"/>
          <w:rtl/>
        </w:rPr>
        <w:t xml:space="preserve">محمد زمان خان بن فضل علی خان قوانلو الطهرانی المولد ولد فی یوم الغدیر 1227 و توفی 1264 ترجمه صدیقه و مصاحبه فی (مع 2 ص 489) و أورد من قصائده و غزلیاته ما یقرب من خمسمائة بیت و کذا فی (الطرائق- 3: 143)</w:t>
      </w:r>
    </w:p>
    <w:p>
      <w:pPr>
        <w:pStyle w:val="Heading3"/>
      </w:pPr>
      <w:bookmarkStart w:id="9487" w:name="_Toc8183"/>
      <w:r>
        <w:t>7149- دیوان منصف مازندرانی أو شعره‏</w:t>
      </w:r>
      <w:bookmarkEnd w:id="9487"/>
    </w:p>
    <w:p>
      <w:pPr>
        <w:pStyle w:val="BookText"/>
      </w:pPr>
      <w:r>
        <w:rPr>
          <w:rFonts w:ascii="IRNazanin" w:hAnsi="IRNazanin" w:eastAsia="IRNazanin" w:cs="IRNazanin"/>
          <w:lang w:bidi="fa-IR"/>
          <w:color w:val="111111"/>
          <w:sz w:val="28"/>
          <w:szCs w:val="28"/>
          <w:rtl/>
        </w:rPr>
        <w:t xml:space="preserve">و هو السید عبد الرحیم مؤلف تذکره الشعراء المذکور فی 4: 38 نقل عنه فی (مع 2: 316)</w:t>
      </w:r>
    </w:p>
    <w:p>
      <w:pPr>
        <w:pStyle w:val="Heading3"/>
      </w:pPr>
      <w:bookmarkStart w:id="9488" w:name="_Toc8184"/>
      <w:r>
        <w:t>7150- دیوان منصور الآبی‏</w:t>
      </w:r>
      <w:bookmarkEnd w:id="9488"/>
    </w:p>
    <w:p>
      <w:pPr>
        <w:pStyle w:val="BookText"/>
      </w:pPr>
      <w:r>
        <w:rPr>
          <w:rFonts w:ascii="IRNazanin" w:hAnsi="IRNazanin" w:eastAsia="IRNazanin" w:cs="IRNazanin"/>
          <w:lang w:bidi="fa-IR"/>
          <w:color w:val="111111"/>
          <w:sz w:val="28"/>
          <w:szCs w:val="28"/>
          <w:rtl/>
        </w:rPr>
        <w:t xml:space="preserve">هو الوزیر السعید ذو المعالی زین الکفاة أبو سعد منصور بن الحسن الآبی وصفه الشیخ منتجب الدین فی الفهرست بقوله: فاضل عالم فقیه و له نظم حسن قرأ علی شیخنا الموفق أبی جعفر الطوسی و روی عنه الشیخ المفید عبد الرحمن النیشابوری‏</w:t>
      </w:r>
    </w:p>
    <w:p>
      <w:pPr>
        <w:pStyle w:val="Heading3"/>
      </w:pPr>
      <w:bookmarkStart w:id="9489" w:name="_Toc8185"/>
      <w:r>
        <w:t>7151- دیوان منصور أصفهانی‏</w:t>
      </w:r>
      <w:bookmarkEnd w:id="9489"/>
    </w:p>
    <w:p>
      <w:pPr>
        <w:pStyle w:val="BookText"/>
      </w:pPr>
      <w:r>
        <w:rPr>
          <w:rFonts w:ascii="IRNazanin" w:hAnsi="IRNazanin" w:eastAsia="IRNazanin" w:cs="IRNazanin"/>
          <w:lang w:bidi="fa-IR"/>
          <w:color w:val="111111"/>
          <w:sz w:val="28"/>
          <w:szCs w:val="28"/>
          <w:rtl/>
        </w:rPr>
        <w:t xml:space="preserve">المیرزا محمد رضا الطبیب من خواص تلامیذ المیرزا نصیر الطبیب نزیل کرمان و المعروف بمیرزا رضا الشرابی ترجمه معاصره فی (مع- ج 2 ص 487) و ذکر أنه توفی 1238 و أورد بعض قصائده و کذا فی (انجمن 3) و (طرائق 3: 114) و مجلة أرمغان 4: 773</w:t>
      </w:r>
    </w:p>
    <w:p>
      <w:pPr>
        <w:pStyle w:val="Heading3"/>
      </w:pPr>
      <w:bookmarkStart w:id="9490" w:name="_Toc8186"/>
      <w:r>
        <w:t>7152- دیوان منصور أکبرآبادی أو شعره‏</w:t>
      </w:r>
      <w:bookmarkEnd w:id="9490"/>
    </w:p>
    <w:p>
      <w:pPr>
        <w:pStyle w:val="BookText"/>
      </w:pPr>
      <w:r>
        <w:rPr>
          <w:rFonts w:ascii="IRNazanin" w:hAnsi="IRNazanin" w:eastAsia="IRNazanin" w:cs="IRNazanin"/>
          <w:lang w:bidi="fa-IR"/>
          <w:color w:val="111111"/>
          <w:sz w:val="28"/>
          <w:szCs w:val="28"/>
          <w:rtl/>
        </w:rPr>
        <w:t xml:space="preserve">و اسمه الحافظ مصلح الدین تلمیذ غالب دهلوی المذکور</w:t>
      </w:r>
    </w:p>
    <w:p>
      <w:pPr>
        <w:pStyle w:val="Heading3"/>
      </w:pPr>
      <w:bookmarkStart w:id="9491" w:name="_Toc8187"/>
      <w:r>
        <w:t>دیوان منصور بخاری‏</w:t>
      </w:r>
      <w:bookmarkEnd w:id="9491"/>
    </w:p>
    <w:p>
      <w:pPr>
        <w:pStyle w:val="BookText"/>
      </w:pPr>
      <w:r>
        <w:rPr>
          <w:rFonts w:ascii="IRNazanin" w:hAnsi="IRNazanin" w:eastAsia="IRNazanin" w:cs="IRNazanin"/>
          <w:lang w:bidi="fa-IR"/>
          <w:color w:val="111111"/>
          <w:sz w:val="28"/>
          <w:szCs w:val="28"/>
          <w:rtl/>
        </w:rPr>
        <w:t xml:space="preserve">المتخلص بمنظور یأتی بتخلصه‏</w:t>
      </w:r>
    </w:p>
    <w:p>
      <w:pPr>
        <w:pStyle w:val="Heading3"/>
      </w:pPr>
      <w:bookmarkStart w:id="9492" w:name="_Toc8188"/>
      <w:r>
        <w:t>7153- دیوان منصور ترمذی‏</w:t>
      </w:r>
      <w:bookmarkEnd w:id="9492"/>
    </w:p>
    <w:p>
      <w:pPr>
        <w:pStyle w:val="BookText"/>
      </w:pPr>
      <w:r>
        <w:rPr>
          <w:rFonts w:ascii="IRNazanin" w:hAnsi="IRNazanin" w:eastAsia="IRNazanin" w:cs="IRNazanin"/>
          <w:lang w:bidi="fa-IR"/>
          <w:color w:val="111111"/>
          <w:sz w:val="28"/>
          <w:szCs w:val="28"/>
          <w:rtl/>
        </w:rPr>
        <w:t xml:space="preserve">و هو شمس الدین منصور بن محمود القاضی الترمذی رأی سنگلاخ منتخب دیوانه بخط محمد طاهر اعتماد الدولة فذکره فی (امتحان‏
</w:t>
      </w:r>
    </w:p>
    <w:p>
      <w:pPr>
        <w:sectPr>
          <w:footerReference w:type="default" r:id="rId1117"/>
          <w:footnotePr>
            <w:numStart w:val="1"/>
            <w:numRestart w:val="eachPage"/>
          </w:footnotePr>
          <w:pgSz w:orient="portrait" w:w="11905.511811023622" w:h="16837.79527559055"/>
          <w:pgMar w:top="1440" w:right="1440" w:bottom="1440" w:left="1440" w:header="720" w:footer="720" w:gutter="0"/>
          <w:cols w:num="1" w:space="720"/>
        </w:sectPr>
      </w:pPr>
    </w:p>
    <w:bookmarkStart w:id="1096" w:name="pg11704_122585"/>
    <w:bookmarkEnd w:id="1096"/>
    <w:p>
      <w:pPr>
        <w:pStyle w:val="BookText"/>
      </w:pPr>
      <w:r>
        <w:rPr>
          <w:rFonts w:ascii="IRNazanin" w:hAnsi="IRNazanin" w:eastAsia="IRNazanin" w:cs="IRNazanin"/>
          <w:lang w:bidi="fa-IR"/>
          <w:color w:val="111111"/>
          <w:sz w:val="28"/>
          <w:szCs w:val="28"/>
          <w:rtl/>
        </w:rPr>
        <w:t xml:space="preserve">2: 89 و 90)</w:t>
      </w:r>
    </w:p>
    <w:p>
      <w:pPr>
        <w:pStyle w:val="Heading3"/>
      </w:pPr>
      <w:bookmarkStart w:id="9493" w:name="_Toc8189"/>
      <w:r>
        <w:t>7154- دیوان منصور جرجانی‏</w:t>
      </w:r>
      <w:bookmarkEnd w:id="9493"/>
    </w:p>
    <w:p>
      <w:pPr>
        <w:pStyle w:val="BookText"/>
      </w:pPr>
      <w:r>
        <w:rPr>
          <w:rFonts w:ascii="IRNazanin" w:hAnsi="IRNazanin" w:eastAsia="IRNazanin" w:cs="IRNazanin"/>
          <w:lang w:bidi="fa-IR"/>
          <w:color w:val="111111"/>
          <w:sz w:val="28"/>
          <w:szCs w:val="28"/>
          <w:rtl/>
        </w:rPr>
        <w:t xml:space="preserve">ترجمه القزوینی فی (مجن 3- ص 85 و ص 259) و أورد شعره و ذکر أنه من بتکچیان و قد رأی سنگلاخ دیوانه بخط شاه محمود النیشابوری فذکره فی (امتحان 1: 116)</w:t>
      </w:r>
    </w:p>
    <w:p>
      <w:pPr>
        <w:pStyle w:val="Heading3"/>
      </w:pPr>
      <w:bookmarkStart w:id="9494" w:name="_Toc8190"/>
      <w:r>
        <w:t>7155- دیوان منصور دامغانی‏</w:t>
      </w:r>
      <w:bookmarkEnd w:id="9494"/>
    </w:p>
    <w:p>
      <w:pPr>
        <w:pStyle w:val="BookText"/>
      </w:pPr>
      <w:r>
        <w:rPr>
          <w:rFonts w:ascii="IRNazanin" w:hAnsi="IRNazanin" w:eastAsia="IRNazanin" w:cs="IRNazanin"/>
          <w:lang w:bidi="fa-IR"/>
          <w:color w:val="111111"/>
          <w:sz w:val="28"/>
          <w:szCs w:val="28"/>
          <w:rtl/>
        </w:rPr>
        <w:t xml:space="preserve">شیخ الإسلام بها ورد شعره فی (گلشن- ص 459)</w:t>
      </w:r>
    </w:p>
    <w:p>
      <w:pPr>
        <w:pStyle w:val="Heading3"/>
      </w:pPr>
      <w:bookmarkStart w:id="9495" w:name="_Toc8191"/>
      <w:r>
        <w:t>دیوان منصور رازی‏</w:t>
      </w:r>
      <w:bookmarkEnd w:id="9495"/>
    </w:p>
    <w:p>
      <w:pPr>
        <w:pStyle w:val="BookText"/>
      </w:pPr>
      <w:r>
        <w:rPr>
          <w:rFonts w:ascii="IRNazanin" w:hAnsi="IRNazanin" w:eastAsia="IRNazanin" w:cs="IRNazanin"/>
          <w:lang w:bidi="fa-IR"/>
          <w:color w:val="111111"/>
          <w:sz w:val="28"/>
          <w:szCs w:val="28"/>
          <w:rtl/>
        </w:rPr>
        <w:t xml:space="preserve">راجع منطقی رازی‏</w:t>
      </w:r>
    </w:p>
    <w:p>
      <w:pPr>
        <w:pStyle w:val="Heading3"/>
      </w:pPr>
      <w:bookmarkStart w:id="9496" w:name="_Toc8192"/>
      <w:r>
        <w:t>7156- دیوان درویش منصور سبزواری‏</w:t>
      </w:r>
      <w:bookmarkEnd w:id="9496"/>
    </w:p>
    <w:p>
      <w:pPr>
        <w:pStyle w:val="BookText"/>
      </w:pPr>
      <w:r>
        <w:rPr>
          <w:rFonts w:ascii="IRNazanin" w:hAnsi="IRNazanin" w:eastAsia="IRNazanin" w:cs="IRNazanin"/>
          <w:lang w:bidi="fa-IR"/>
          <w:color w:val="111111"/>
          <w:sz w:val="28"/>
          <w:szCs w:val="28"/>
          <w:rtl/>
        </w:rPr>
        <w:t xml:space="preserve">أستاذ المیر علی شیر فی العروض و تلمیذ حافظ علی الجامی و له رسالة فی العروض ترجمه فی (مجن 2- ص 33 و ص 206) و (طرائق- 3: 45) و من شعره القصیدة التی تتبع فیها القصیدة المصنوعة لسلمان الساوجی‏</w:t>
      </w:r>
    </w:p>
    <w:p>
      <w:pPr>
        <w:pStyle w:val="Heading3"/>
      </w:pPr>
      <w:bookmarkStart w:id="9497" w:name="_Toc8193"/>
      <w:r>
        <w:t>دیوان منصور دشتکی الشیرازی الحسینی‏</w:t>
      </w:r>
      <w:bookmarkEnd w:id="9497"/>
    </w:p>
    <w:p>
      <w:pPr>
        <w:pStyle w:val="BookText"/>
      </w:pPr>
      <w:r>
        <w:rPr>
          <w:rFonts w:ascii="IRNazanin" w:hAnsi="IRNazanin" w:eastAsia="IRNazanin" w:cs="IRNazanin"/>
          <w:lang w:bidi="fa-IR"/>
          <w:color w:val="111111"/>
          <w:sz w:val="28"/>
          <w:szCs w:val="28"/>
          <w:rtl/>
        </w:rPr>
        <w:t xml:space="preserve">المتوفی 943 من أجداد السید علی خان له منظومة فارسیة فی آداب البحث أدرج بتمامها فی (دجا- ص 331) و ذکر أنه رأی له شرحا لظهوری إسحاق‏زاده باسم جلای خواطر مر فی ص 795 کما مر فیه حفیده الموسوم باسمه أیضا و مر غیاث الدین منصور بتخلصه فکرت‏</w:t>
      </w:r>
    </w:p>
    <w:p>
      <w:pPr>
        <w:pStyle w:val="Heading3"/>
      </w:pPr>
      <w:bookmarkStart w:id="9498" w:name="_Toc8194"/>
      <w:r>
        <w:t>دیوان منصور شیرازی‏</w:t>
      </w:r>
      <w:bookmarkEnd w:id="9498"/>
    </w:p>
    <w:p>
      <w:pPr>
        <w:pStyle w:val="BookText"/>
      </w:pPr>
      <w:r>
        <w:rPr>
          <w:rFonts w:ascii="IRNazanin" w:hAnsi="IRNazanin" w:eastAsia="IRNazanin" w:cs="IRNazanin"/>
          <w:lang w:bidi="fa-IR"/>
          <w:color w:val="111111"/>
          <w:sz w:val="28"/>
          <w:szCs w:val="28"/>
          <w:rtl/>
        </w:rPr>
        <w:t xml:space="preserve">راجع منصور دشتکی‏</w:t>
      </w:r>
    </w:p>
    <w:p>
      <w:pPr>
        <w:pStyle w:val="Heading3"/>
      </w:pPr>
      <w:bookmarkStart w:id="9499" w:name="_Toc8195"/>
      <w:r>
        <w:t>7157- دیوان منصور طوسی أو شعره‏</w:t>
      </w:r>
      <w:bookmarkEnd w:id="9499"/>
    </w:p>
    <w:p>
      <w:pPr>
        <w:pStyle w:val="BookText"/>
      </w:pPr>
      <w:r>
        <w:rPr>
          <w:rFonts w:ascii="IRNazanin" w:hAnsi="IRNazanin" w:eastAsia="IRNazanin" w:cs="IRNazanin"/>
          <w:lang w:bidi="fa-IR"/>
          <w:color w:val="111111"/>
          <w:sz w:val="28"/>
          <w:szCs w:val="28"/>
          <w:rtl/>
        </w:rPr>
        <w:t xml:space="preserve">کان من أمراء شاه‏رخ و یعرف بخواجه منصور قرابوقة و توفی 854 ترجم فی (لت) و (گلشن- ص 459)</w:t>
      </w:r>
    </w:p>
    <w:p>
      <w:pPr>
        <w:pStyle w:val="Heading3"/>
      </w:pPr>
      <w:bookmarkStart w:id="9500" w:name="_Toc8196"/>
      <w:r>
        <w:t>دیوان منصور قرابوقة</w:t>
      </w:r>
      <w:bookmarkEnd w:id="9500"/>
    </w:p>
    <w:p>
      <w:pPr>
        <w:pStyle w:val="BookText"/>
      </w:pPr>
      <w:r>
        <w:rPr>
          <w:rFonts w:ascii="IRNazanin" w:hAnsi="IRNazanin" w:eastAsia="IRNazanin" w:cs="IRNazanin"/>
          <w:lang w:bidi="fa-IR"/>
          <w:color w:val="111111"/>
          <w:sz w:val="28"/>
          <w:szCs w:val="28"/>
          <w:rtl/>
        </w:rPr>
        <w:t xml:space="preserve">راجع منصور طوسی‏</w:t>
      </w:r>
    </w:p>
    <w:p>
      <w:pPr>
        <w:pStyle w:val="Heading3"/>
      </w:pPr>
      <w:bookmarkStart w:id="9501" w:name="_Toc8197"/>
      <w:r>
        <w:t>7158- دیوان منصور منطقی الرازی‏</w:t>
      </w:r>
      <w:bookmarkEnd w:id="9501"/>
    </w:p>
    <w:p>
      <w:pPr>
        <w:pStyle w:val="BookText"/>
      </w:pPr>
      <w:r>
        <w:rPr>
          <w:rFonts w:ascii="IRNazanin" w:hAnsi="IRNazanin" w:eastAsia="IRNazanin" w:cs="IRNazanin"/>
          <w:lang w:bidi="fa-IR"/>
          <w:color w:val="111111"/>
          <w:sz w:val="28"/>
          <w:szCs w:val="28"/>
          <w:rtl/>
        </w:rPr>
        <w:t xml:space="preserve">و اسمه أبو محمد منصور بن علی الماهر فی اللسانین الفارسی و العربی و هو من شعراء الصاحب الوزیر کافی الکفاة إسماعیل بن عباد و کان من لدن صباه تلمیذ بدیع الزمان الهمدانی أورد له فی (مع- ج 1 ص 509) قرب ستین بیتا فارسیا، یتخلص فی بعضها منصور و فی بعضها منطقی کما یأتی و کذا فی (لب 2) و مات قبل 380 السنة التی أمر فیها الصاحب بن عباد بترجمة بدیع الزمان لبیت فارسی للمنطقی بالعربیة کما فی یتیمة الدهر ج 4- ص 168 و یوجد دیوانه عند (الملک)
</w:t>
      </w:r>
    </w:p>
    <w:p>
      <w:pPr>
        <w:sectPr>
          <w:footerReference w:type="default" r:id="rId1118"/>
          <w:footnotePr>
            <w:numStart w:val="1"/>
            <w:numRestart w:val="eachPage"/>
          </w:footnotePr>
          <w:pgSz w:orient="portrait" w:w="11905.511811023622" w:h="16837.79527559055"/>
          <w:pgMar w:top="1440" w:right="1440" w:bottom="1440" w:left="1440" w:header="720" w:footer="720" w:gutter="0"/>
          <w:cols w:num="1" w:space="720"/>
        </w:sectPr>
      </w:pPr>
    </w:p>
    <w:bookmarkStart w:id="1097" w:name="pg11704_122586"/>
    <w:bookmarkEnd w:id="1097"/>
    <w:p>
      <w:pPr>
        <w:pStyle w:val="Heading3"/>
      </w:pPr>
      <w:bookmarkStart w:id="9502" w:name="_Toc8198"/>
      <w:r>
        <w:t>7159- دیوان منصور نائینی أو شعره‏</w:t>
      </w:r>
      <w:bookmarkEnd w:id="9502"/>
    </w:p>
    <w:p>
      <w:pPr>
        <w:pStyle w:val="BookText"/>
      </w:pPr>
      <w:r>
        <w:rPr>
          <w:rFonts w:ascii="IRNazanin" w:hAnsi="IRNazanin" w:eastAsia="IRNazanin" w:cs="IRNazanin"/>
          <w:lang w:bidi="fa-IR"/>
          <w:color w:val="111111"/>
          <w:sz w:val="28"/>
          <w:szCs w:val="28"/>
          <w:rtl/>
        </w:rPr>
        <w:t xml:space="preserve">و اسمه برخوردار بیگ ترجمه النصرآبادی فی (نر 9- ص 406) و ذکر أنه کان فی خدمة مرتضی قلی خان حاکم أردبیل و بعده فی خدمة نجف قلی خان حاکم شیروان و الیوم ساکن فی نائن ثم ذکر بعض شعره و رباعیاته و کان أخوه محمد بیک فی خدمة منوچهر خان والی لر کوچک و المتوفی 1079 کما ذکره النصرآبادی فی (نر 2- ص 24) و کذا فی (گلشن- ص 458) و تاریخ نائین- ص 91 و (خوش‏گو)</w:t>
      </w:r>
    </w:p>
    <w:p>
      <w:pPr>
        <w:pStyle w:val="Heading3"/>
      </w:pPr>
      <w:bookmarkStart w:id="9503" w:name="_Toc8199"/>
      <w:r>
        <w:t>دیوان منصور النمری‏</w:t>
      </w:r>
      <w:bookmarkEnd w:id="9503"/>
    </w:p>
    <w:p>
      <w:pPr>
        <w:pStyle w:val="BookText"/>
      </w:pPr>
      <w:r>
        <w:rPr>
          <w:rFonts w:ascii="IRNazanin" w:hAnsi="IRNazanin" w:eastAsia="IRNazanin" w:cs="IRNazanin"/>
          <w:lang w:bidi="fa-IR"/>
          <w:color w:val="111111"/>
          <w:sz w:val="28"/>
          <w:szCs w:val="28"/>
          <w:rtl/>
        </w:rPr>
        <w:t xml:space="preserve">راجع النمری‏</w:t>
      </w:r>
    </w:p>
    <w:p>
      <w:pPr>
        <w:pStyle w:val="Heading3"/>
      </w:pPr>
      <w:bookmarkStart w:id="9504" w:name="_Toc8200"/>
      <w:r>
        <w:t>7160- دیوان منصور هروی أو شعره‏</w:t>
      </w:r>
      <w:bookmarkEnd w:id="9504"/>
    </w:p>
    <w:p>
      <w:pPr>
        <w:pStyle w:val="BookText"/>
      </w:pPr>
      <w:r>
        <w:rPr>
          <w:rFonts w:ascii="IRNazanin" w:hAnsi="IRNazanin" w:eastAsia="IRNazanin" w:cs="IRNazanin"/>
          <w:lang w:bidi="fa-IR"/>
          <w:color w:val="111111"/>
          <w:sz w:val="28"/>
          <w:szCs w:val="28"/>
          <w:rtl/>
        </w:rPr>
        <w:t xml:space="preserve">کان کلانتر هرات فعزل ورد شعره فی (نر 5- ص 106)</w:t>
      </w:r>
    </w:p>
    <w:p>
      <w:pPr>
        <w:pStyle w:val="Heading3"/>
      </w:pPr>
      <w:bookmarkStart w:id="9505" w:name="_Toc8201"/>
      <w:r>
        <w:t>7161- دیوان منصور هندی أو شعره‏</w:t>
      </w:r>
      <w:bookmarkEnd w:id="9505"/>
    </w:p>
    <w:p>
      <w:pPr>
        <w:pStyle w:val="BookText"/>
      </w:pPr>
      <w:r>
        <w:rPr>
          <w:rFonts w:ascii="IRNazanin" w:hAnsi="IRNazanin" w:eastAsia="IRNazanin" w:cs="IRNazanin"/>
          <w:lang w:bidi="fa-IR"/>
          <w:color w:val="111111"/>
          <w:sz w:val="28"/>
          <w:szCs w:val="28"/>
          <w:rtl/>
        </w:rPr>
        <w:t xml:space="preserve">ورد شعره فی (گلشن- ص 458)</w:t>
      </w:r>
    </w:p>
    <w:p>
      <w:pPr>
        <w:pStyle w:val="Heading3"/>
      </w:pPr>
      <w:bookmarkStart w:id="9506" w:name="_Toc8202"/>
      <w:r>
        <w:t>دیوان منطقی رازی‏</w:t>
      </w:r>
      <w:bookmarkEnd w:id="9506"/>
    </w:p>
    <w:p>
      <w:pPr>
        <w:pStyle w:val="BookText"/>
      </w:pPr>
      <w:r>
        <w:rPr>
          <w:rFonts w:ascii="IRNazanin" w:hAnsi="IRNazanin" w:eastAsia="IRNazanin" w:cs="IRNazanin"/>
          <w:lang w:bidi="fa-IR"/>
          <w:color w:val="111111"/>
          <w:sz w:val="28"/>
          <w:szCs w:val="28"/>
          <w:rtl/>
        </w:rPr>
        <w:t xml:space="preserve">مر باسمه منصور المنطقی‏</w:t>
      </w:r>
    </w:p>
    <w:p>
      <w:pPr>
        <w:pStyle w:val="Heading3"/>
      </w:pPr>
      <w:bookmarkStart w:id="9507" w:name="_Toc8203"/>
      <w:r>
        <w:t>7162- دیوان منطقی میبدی‏</w:t>
      </w:r>
      <w:bookmarkEnd w:id="9507"/>
    </w:p>
    <w:p>
      <w:pPr>
        <w:pStyle w:val="BookText"/>
      </w:pPr>
      <w:r>
        <w:rPr>
          <w:rFonts w:ascii="IRNazanin" w:hAnsi="IRNazanin" w:eastAsia="IRNazanin" w:cs="IRNazanin"/>
          <w:lang w:bidi="fa-IR"/>
          <w:color w:val="111111"/>
          <w:sz w:val="28"/>
          <w:szCs w:val="28"/>
          <w:rtl/>
        </w:rPr>
        <w:t xml:space="preserve">هو القاضی المیر کمال الدین حسین بن المیر معین الدین المیبدی الیزدی المسکن المتوفی 911 مطابق قاضی و قد فرغ من شرح حدیث صعدنا فی 908 أورد جملة من أشعاره الآیتی فی (تش یز- ص 332) و طبع من تصانیفه شرح دیوان الأمیر و له شرح المعمی باسم حسام و شرح الهدایة الأثیریة و غیر ذلک و مر والده المیر معین الدین ترجمه سام میرزا فی (تس 2- ص 48) و النصرآبادی فی (نر 15- ص 512) و أورد إسماعیل پاشا دیوانه فی ذیل کشف الظنون و هدیة العارفین و ترجم فی (روشن- ص 177) و (طرائق- 3: 53)</w:t>
      </w:r>
    </w:p>
    <w:p>
      <w:pPr>
        <w:pStyle w:val="Heading3"/>
      </w:pPr>
      <w:bookmarkStart w:id="9508" w:name="_Toc8204"/>
      <w:r>
        <w:t>7163- دیوان منظر أصفهانی‏</w:t>
      </w:r>
      <w:bookmarkEnd w:id="9508"/>
    </w:p>
    <w:p>
      <w:pPr>
        <w:pStyle w:val="BookText"/>
      </w:pPr>
      <w:r>
        <w:rPr>
          <w:rFonts w:ascii="IRNazanin" w:hAnsi="IRNazanin" w:eastAsia="IRNazanin" w:cs="IRNazanin"/>
          <w:lang w:bidi="fa-IR"/>
          <w:color w:val="111111"/>
          <w:sz w:val="28"/>
          <w:szCs w:val="28"/>
          <w:rtl/>
        </w:rPr>
        <w:t xml:space="preserve">المیرزا محمد بن المیرزا عبد الله بن المیرزا عبد الباقی من نجباء السادات بأصفهان ترجم فی (مع- ج 2 ص 455) و أورد نیفا و عشرة أبیات من غزلیاته‏</w:t>
      </w:r>
    </w:p>
    <w:p>
      <w:pPr>
        <w:pStyle w:val="Heading3"/>
      </w:pPr>
      <w:bookmarkStart w:id="9509" w:name="_Toc8205"/>
      <w:r>
        <w:t>7164- دیوان منظر شیرازی‏</w:t>
      </w:r>
      <w:bookmarkEnd w:id="9509"/>
    </w:p>
    <w:p>
      <w:pPr>
        <w:pStyle w:val="BookText"/>
      </w:pPr>
      <w:r>
        <w:rPr>
          <w:rFonts w:ascii="IRNazanin" w:hAnsi="IRNazanin" w:eastAsia="IRNazanin" w:cs="IRNazanin"/>
          <w:lang w:bidi="fa-IR"/>
          <w:color w:val="111111"/>
          <w:sz w:val="28"/>
          <w:szCs w:val="28"/>
          <w:rtl/>
        </w:rPr>
        <w:t xml:space="preserve">و هو الشیخ عبد المجید سراج الشعراء ابن الحاج الشیخ مهدی ترجمه معاصره میرزا فرصت فی (عم ص 568) و أورد غزله‏</w:t>
      </w:r>
    </w:p>
    <w:p>
      <w:pPr>
        <w:pStyle w:val="Heading3"/>
      </w:pPr>
      <w:bookmarkStart w:id="9510" w:name="_Toc8206"/>
      <w:r>
        <w:t>7165- دیوان منظر مازندرانی أو شعره‏</w:t>
      </w:r>
      <w:bookmarkEnd w:id="9510"/>
    </w:p>
    <w:p>
      <w:pPr>
        <w:pStyle w:val="BookText"/>
      </w:pPr>
      <w:r>
        <w:rPr>
          <w:rFonts w:ascii="IRNazanin" w:hAnsi="IRNazanin" w:eastAsia="IRNazanin" w:cs="IRNazanin"/>
          <w:lang w:bidi="fa-IR"/>
          <w:color w:val="111111"/>
          <w:sz w:val="28"/>
          <w:szCs w:val="28"/>
          <w:rtl/>
        </w:rPr>
        <w:t xml:space="preserve">ورد قصیدته فی المدائح المعتمدیة</w:t>
      </w:r>
    </w:p>
    <w:p>
      <w:pPr>
        <w:pStyle w:val="Heading3"/>
      </w:pPr>
      <w:bookmarkStart w:id="9511" w:name="_Toc8207"/>
      <w:r>
        <w:t>7166- دیوان منظری سمرقندی‏</w:t>
      </w:r>
      <w:bookmarkEnd w:id="9511"/>
    </w:p>
    <w:p>
      <w:pPr>
        <w:pStyle w:val="BookText"/>
      </w:pPr>
      <w:r>
        <w:rPr>
          <w:rFonts w:ascii="IRNazanin" w:hAnsi="IRNazanin" w:eastAsia="IRNazanin" w:cs="IRNazanin"/>
          <w:lang w:bidi="fa-IR"/>
          <w:color w:val="111111"/>
          <w:sz w:val="28"/>
          <w:szCs w:val="28"/>
          <w:rtl/>
        </w:rPr>
        <w:t xml:space="preserve">ترجمه معاصره سام میرزا فی (تس 5- ص 165)
</w:t>
      </w:r>
    </w:p>
    <w:p>
      <w:pPr>
        <w:sectPr>
          <w:footerReference w:type="default" r:id="rId1119"/>
          <w:footnotePr>
            <w:numStart w:val="1"/>
            <w:numRestart w:val="eachPage"/>
          </w:footnotePr>
          <w:pgSz w:orient="portrait" w:w="11905.511811023622" w:h="16837.79527559055"/>
          <w:pgMar w:top="1440" w:right="1440" w:bottom="1440" w:left="1440" w:header="720" w:footer="720" w:gutter="0"/>
          <w:cols w:num="1" w:space="720"/>
        </w:sectPr>
      </w:pPr>
    </w:p>
    <w:bookmarkStart w:id="1098" w:name="pg11704_122587"/>
    <w:bookmarkEnd w:id="1098"/>
    <w:p>
      <w:pPr>
        <w:pStyle w:val="BookText"/>
      </w:pPr>
      <w:r>
        <w:rPr>
          <w:rFonts w:ascii="IRNazanin" w:hAnsi="IRNazanin" w:eastAsia="IRNazanin" w:cs="IRNazanin"/>
          <w:lang w:bidi="fa-IR"/>
          <w:color w:val="111111"/>
          <w:sz w:val="28"/>
          <w:szCs w:val="28"/>
          <w:rtl/>
        </w:rPr>
        <w:t xml:space="preserve">و (خوش‏گو) و أوردا شعره و کان من ملازمی یپرم خان‏</w:t>
      </w:r>
    </w:p>
    <w:p>
      <w:pPr>
        <w:pStyle w:val="Heading3"/>
      </w:pPr>
      <w:bookmarkStart w:id="9512" w:name="_Toc8208"/>
      <w:r>
        <w:t>7167- دیوان منظم بختیاری أو شعره‏</w:t>
      </w:r>
      <w:bookmarkEnd w:id="9512"/>
    </w:p>
    <w:p>
      <w:pPr>
        <w:pStyle w:val="BookText"/>
      </w:pPr>
      <w:r>
        <w:rPr>
          <w:rFonts w:ascii="IRNazanin" w:hAnsi="IRNazanin" w:eastAsia="IRNazanin" w:cs="IRNazanin"/>
          <w:lang w:bidi="fa-IR"/>
          <w:color w:val="111111"/>
          <w:sz w:val="28"/>
          <w:szCs w:val="28"/>
          <w:rtl/>
        </w:rPr>
        <w:t xml:space="preserve">و اسمه ناصر قلی بن إسفندیار سردار أسعد و توفی 1373 أورد شعره فی شعرای معاصر أصفهان- ص 468</w:t>
      </w:r>
    </w:p>
    <w:p>
      <w:pPr>
        <w:pStyle w:val="Heading3"/>
      </w:pPr>
      <w:bookmarkStart w:id="9513" w:name="_Toc8209"/>
      <w:r>
        <w:t>7168- دیوان منظور آملی‏</w:t>
      </w:r>
      <w:bookmarkEnd w:id="9513"/>
    </w:p>
    <w:p>
      <w:pPr>
        <w:pStyle w:val="BookText"/>
      </w:pPr>
      <w:r>
        <w:rPr>
          <w:rFonts w:ascii="IRNazanin" w:hAnsi="IRNazanin" w:eastAsia="IRNazanin" w:cs="IRNazanin"/>
          <w:lang w:bidi="fa-IR"/>
          <w:color w:val="111111"/>
          <w:sz w:val="28"/>
          <w:szCs w:val="28"/>
          <w:rtl/>
        </w:rPr>
        <w:t xml:space="preserve">اسمه محمد حسین، کان مستوفیا عند نجف قلی خان و الحال هو فی خدمة منوچهر خان حاکم شیروان، و له طبع حسن یتخلص بمنظور کذا وصفه معاصره النصرآبادی فی (نر 9- ص 375) و أورد ستة أبیات من شعره و جاء شعره فی (خوش‏گو)</w:t>
      </w:r>
    </w:p>
    <w:p>
      <w:pPr>
        <w:pStyle w:val="Heading3"/>
      </w:pPr>
      <w:bookmarkStart w:id="9514" w:name="_Toc8210"/>
      <w:r>
        <w:t>7169- دیوان منظور شیرازی‏</w:t>
      </w:r>
      <w:bookmarkEnd w:id="9514"/>
    </w:p>
    <w:p>
      <w:pPr>
        <w:pStyle w:val="BookText"/>
      </w:pPr>
      <w:r>
        <w:rPr>
          <w:rFonts w:ascii="IRNazanin" w:hAnsi="IRNazanin" w:eastAsia="IRNazanin" w:cs="IRNazanin"/>
          <w:lang w:bidi="fa-IR"/>
          <w:color w:val="111111"/>
          <w:sz w:val="28"/>
          <w:szCs w:val="28"/>
          <w:rtl/>
        </w:rPr>
        <w:t xml:space="preserve">اسمه محمد إبراهیم الدنبلی کان من ندماء السلطان فتح علی شاه و توفی 1254 ترجمه مصاحبه و معاصره هدایت و أورد شعره فی (ض- ص 546) و فی (مع- ج 2 ص 483) و کذا (فارس‏نامه 2: 151) و (انجمن 3) و (طرائق 3: 120)</w:t>
      </w:r>
    </w:p>
    <w:p>
      <w:pPr>
        <w:pStyle w:val="Heading3"/>
      </w:pPr>
      <w:bookmarkStart w:id="9515" w:name="_Toc8211"/>
      <w:r>
        <w:t>7170- دیوان منظور أصفهانی‏</w:t>
      </w:r>
      <w:bookmarkEnd w:id="9515"/>
    </w:p>
    <w:p>
      <w:pPr>
        <w:pStyle w:val="BookText"/>
      </w:pPr>
      <w:r>
        <w:rPr>
          <w:rFonts w:ascii="IRNazanin" w:hAnsi="IRNazanin" w:eastAsia="IRNazanin" w:cs="IRNazanin"/>
          <w:lang w:bidi="fa-IR"/>
          <w:color w:val="111111"/>
          <w:sz w:val="28"/>
          <w:szCs w:val="28"/>
          <w:rtl/>
        </w:rPr>
        <w:t xml:space="preserve">الصائغ المجاور للنجف و المعمر و المشتغل بالصیاغة بها اسمه المیرزا محمد مهدی بن المیرزا أسد الله الأصفهانی المتوفی بالنجف فی 1365 و هذا دیوانه الفارسی الذی یتخلص فی أشعاره منظور و مر دیوانه العربی الذی سماه دیوان الغری و قد یعبر عن هذا الدیوان الفارسی بدیوان الغری الصغیر و هذا الفارسی فی جزءین أولها فی المراثی و النوائح فی خمسة آلاف بیت فرغ منه 1351 و الثانی فی المناقب و الفضائل فی سبعة آلاف بیت شرع فی نظمه 1357 و الجزءان بخطه کانا عند صهره الشیخ حسین بن الأستاد حسن الیزدی القاری السامرائی المتوفی و المدفون بها 1371</w:t>
      </w:r>
    </w:p>
    <w:p>
      <w:pPr>
        <w:pStyle w:val="Heading3"/>
      </w:pPr>
      <w:bookmarkStart w:id="9516" w:name="_Toc8212"/>
      <w:r>
        <w:t>7171- دیوان منظور بخارائی أو شعره‏</w:t>
      </w:r>
      <w:bookmarkEnd w:id="9516"/>
    </w:p>
    <w:p>
      <w:pPr>
        <w:pStyle w:val="BookText"/>
      </w:pPr>
      <w:r>
        <w:rPr>
          <w:rFonts w:ascii="IRNazanin" w:hAnsi="IRNazanin" w:eastAsia="IRNazanin" w:cs="IRNazanin"/>
          <w:lang w:bidi="fa-IR"/>
          <w:color w:val="111111"/>
          <w:sz w:val="28"/>
          <w:szCs w:val="28"/>
          <w:rtl/>
        </w:rPr>
        <w:t xml:space="preserve">و اسمه منصور کان من ملازمی عبد العزیز الأزبک ترجمه النصرآبادی فی (نر 10- ص 438) و (گلشن- ص 459)</w:t>
      </w:r>
    </w:p>
    <w:p>
      <w:pPr>
        <w:pStyle w:val="Heading3"/>
      </w:pPr>
      <w:bookmarkStart w:id="9517" w:name="_Toc8213"/>
      <w:r>
        <w:t>7172- دیوان منظور خوانساری‏</w:t>
      </w:r>
      <w:bookmarkEnd w:id="9517"/>
    </w:p>
    <w:p>
      <w:pPr>
        <w:pStyle w:val="BookText"/>
      </w:pPr>
      <w:r>
        <w:rPr>
          <w:rFonts w:ascii="IRNazanin" w:hAnsi="IRNazanin" w:eastAsia="IRNazanin" w:cs="IRNazanin"/>
          <w:lang w:bidi="fa-IR"/>
          <w:color w:val="111111"/>
          <w:sz w:val="28"/>
          <w:szCs w:val="28"/>
          <w:rtl/>
        </w:rPr>
        <w:t xml:space="preserve">و هو المیرزا أحمد الأصفهانی المتوفی 1323 ترجمه فی تذکره القبور- ص 77 من الطبعة الثانیة و ذکر تصانیفه‏</w:t>
      </w:r>
    </w:p>
    <w:p>
      <w:pPr>
        <w:pStyle w:val="Heading3"/>
      </w:pPr>
      <w:bookmarkStart w:id="9518" w:name="_Toc8214"/>
      <w:r>
        <w:t>7173- دیوان منعم أصفهانی‏</w:t>
      </w:r>
      <w:bookmarkEnd w:id="9518"/>
    </w:p>
    <w:p>
      <w:pPr>
        <w:pStyle w:val="BookText"/>
      </w:pPr>
      <w:r>
        <w:rPr>
          <w:rFonts w:ascii="IRNazanin" w:hAnsi="IRNazanin" w:eastAsia="IRNazanin" w:cs="IRNazanin"/>
          <w:lang w:bidi="fa-IR"/>
          <w:color w:val="111111"/>
          <w:sz w:val="28"/>
          <w:szCs w:val="28"/>
          <w:rtl/>
        </w:rPr>
        <w:t xml:space="preserve">و هو المیرزا شکر الله بن محمد علی مسکین المذکور فی ص 1038 ولد و توفی بأصفهان فی (1286- 1360) و طبع دیوانه بها
</w:t>
      </w:r>
    </w:p>
    <w:p>
      <w:pPr>
        <w:sectPr>
          <w:footerReference w:type="default" r:id="rId1120"/>
          <w:footnotePr>
            <w:numStart w:val="1"/>
            <w:numRestart w:val="eachPage"/>
          </w:footnotePr>
          <w:pgSz w:orient="portrait" w:w="11905.511811023622" w:h="16837.79527559055"/>
          <w:pgMar w:top="1440" w:right="1440" w:bottom="1440" w:left="1440" w:header="720" w:footer="720" w:gutter="0"/>
          <w:cols w:num="1" w:space="720"/>
        </w:sectPr>
      </w:pPr>
    </w:p>
    <w:bookmarkStart w:id="1099" w:name="pg11704_122588"/>
    <w:bookmarkEnd w:id="1099"/>
    <w:p>
      <w:pPr>
        <w:pStyle w:val="BookText"/>
      </w:pPr>
      <w:r>
        <w:rPr>
          <w:rFonts w:ascii="IRNazanin" w:hAnsi="IRNazanin" w:eastAsia="IRNazanin" w:cs="IRNazanin"/>
          <w:lang w:bidi="fa-IR"/>
          <w:color w:val="111111"/>
          <w:sz w:val="28"/>
          <w:szCs w:val="28"/>
          <w:rtl/>
        </w:rPr>
        <w:t xml:space="preserve">بعنوان سفره منعم کما مر فی 12: 191 غلطا فی اسمه مع مقدمه لصغیر الأصفهانی المذکور فی ص 607 و عده ألفت من شعراء انجمن دانشکده فی کتابه دانش‏نامه و ترجم فی شعرای معاصر أصفهان- ص 471 و مجلة أرمغان 14: 43</w:t>
      </w:r>
    </w:p>
    <w:p>
      <w:pPr>
        <w:pStyle w:val="Heading3"/>
      </w:pPr>
      <w:bookmarkStart w:id="9519" w:name="_Toc8215"/>
      <w:r>
        <w:t>7174- دیوان منعم أکبرآبادی أو شعره‏</w:t>
      </w:r>
      <w:bookmarkEnd w:id="9519"/>
    </w:p>
    <w:p>
      <w:pPr>
        <w:pStyle w:val="BookText"/>
      </w:pPr>
      <w:r>
        <w:rPr>
          <w:rFonts w:ascii="IRNazanin" w:hAnsi="IRNazanin" w:eastAsia="IRNazanin" w:cs="IRNazanin"/>
          <w:lang w:bidi="fa-IR"/>
          <w:color w:val="111111"/>
          <w:sz w:val="28"/>
          <w:szCs w:val="28"/>
          <w:rtl/>
        </w:rPr>
        <w:t xml:space="preserve">و هو میرزا منعم بن سلطان. ورد شعره فی (گلشن- ص 461) و عنه فی القاموس الترکی.</w:t>
      </w:r>
    </w:p>
    <w:p>
      <w:pPr>
        <w:pStyle w:val="Heading3"/>
      </w:pPr>
      <w:bookmarkStart w:id="9520" w:name="_Toc8216"/>
      <w:r>
        <w:t>7175- دیوان منعم بخاری أو شعره‏</w:t>
      </w:r>
      <w:bookmarkEnd w:id="9520"/>
    </w:p>
    <w:p>
      <w:pPr>
        <w:pStyle w:val="BookText"/>
      </w:pPr>
      <w:r>
        <w:rPr>
          <w:rFonts w:ascii="IRNazanin" w:hAnsi="IRNazanin" w:eastAsia="IRNazanin" w:cs="IRNazanin"/>
          <w:lang w:bidi="fa-IR"/>
          <w:color w:val="111111"/>
          <w:sz w:val="28"/>
          <w:szCs w:val="28"/>
          <w:rtl/>
        </w:rPr>
        <w:t xml:space="preserve">و اسمه عبد الرحمن بن قاضی بقا البخاری ترجم فی (نر 10- ص 437) و فی (گلشن- ص 460) قال إنه کان محتسب بخارا.</w:t>
      </w:r>
    </w:p>
    <w:p>
      <w:pPr>
        <w:pStyle w:val="Heading3"/>
      </w:pPr>
      <w:bookmarkStart w:id="9521" w:name="_Toc8217"/>
      <w:r>
        <w:t>7176- دیوان منعم التبریزی‏</w:t>
      </w:r>
      <w:bookmarkEnd w:id="9521"/>
    </w:p>
    <w:p>
      <w:pPr>
        <w:pStyle w:val="BookText"/>
      </w:pPr>
      <w:r>
        <w:rPr>
          <w:rFonts w:ascii="IRNazanin" w:hAnsi="IRNazanin" w:eastAsia="IRNazanin" w:cs="IRNazanin"/>
          <w:lang w:bidi="fa-IR"/>
          <w:color w:val="111111"/>
          <w:sz w:val="28"/>
          <w:szCs w:val="28"/>
          <w:rtl/>
        </w:rPr>
        <w:t xml:space="preserve">ترجمه تربیت فی (دجا- ص 362) و أورد شعره نقلا عن أوصاف الأمین تألیف یزدان‏بخش قاجار (پروین).</w:t>
      </w:r>
    </w:p>
    <w:p>
      <w:pPr>
        <w:pStyle w:val="Heading3"/>
      </w:pPr>
      <w:bookmarkStart w:id="9522" w:name="_Toc8218"/>
      <w:r>
        <w:t>7177- دیوان منعم رامپوری أو شعره‏</w:t>
      </w:r>
      <w:bookmarkEnd w:id="9522"/>
    </w:p>
    <w:p>
      <w:pPr>
        <w:pStyle w:val="BookText"/>
      </w:pPr>
      <w:r>
        <w:rPr>
          <w:rFonts w:ascii="IRNazanin" w:hAnsi="IRNazanin" w:eastAsia="IRNazanin" w:cs="IRNazanin"/>
          <w:lang w:bidi="fa-IR"/>
          <w:color w:val="111111"/>
          <w:sz w:val="28"/>
          <w:szCs w:val="28"/>
          <w:rtl/>
        </w:rPr>
        <w:t xml:space="preserve">و هو القاضی نور الحق کان ینظم فی الساعة مائة بیت کما فی آفتاب عالمتاب و (گلشن- ص 460).</w:t>
      </w:r>
    </w:p>
    <w:p>
      <w:pPr>
        <w:pStyle w:val="Heading3"/>
      </w:pPr>
      <w:bookmarkStart w:id="9523" w:name="_Toc8219"/>
      <w:r>
        <w:t>7178- دیوان منعم شیرازی‏</w:t>
      </w:r>
      <w:bookmarkEnd w:id="9523"/>
    </w:p>
    <w:p>
      <w:pPr>
        <w:pStyle w:val="BookText"/>
      </w:pPr>
      <w:r>
        <w:rPr>
          <w:rFonts w:ascii="IRNazanin" w:hAnsi="IRNazanin" w:eastAsia="IRNazanin" w:cs="IRNazanin"/>
          <w:lang w:bidi="fa-IR"/>
          <w:color w:val="111111"/>
          <w:sz w:val="28"/>
          <w:szCs w:val="28"/>
          <w:rtl/>
        </w:rPr>
        <w:t xml:space="preserve">اسمه المیرزا محمد إبراهیم العارف الصافی المجرد عن العلائق ابن محمد علی بیگ. یقال إنه قد هیأ قبره و أخبر المیرزا فرصت بموته قبل أیام فی 1297 کما ذکره فی عم- ص 568 ثم أورد خمسة أبیات من شعره، آخرها:</w:t>
      </w:r>
    </w:p>
    <w:p>
      <w:pPr>
        <w:pStyle w:val="BookText"/>
      </w:pPr>
      <w:r>
        <w:rPr>
          <w:rFonts w:ascii="IRNazanin" w:hAnsi="IRNazanin" w:eastAsia="IRNazanin" w:cs="IRNazanin"/>
          <w:lang w:bidi="fa-IR"/>
          <w:color w:val="111111"/>
          <w:sz w:val="28"/>
          <w:szCs w:val="28"/>
          <w:rtl/>
        </w:rPr>
        <w:t xml:space="preserve">طعنه بر مستی منعم زدن انصاف نبود</w:t>
      </w:r>
    </w:p>
    <w:p>
      <w:pPr>
        <w:pStyle w:val="BookText"/>
      </w:pPr>
      <w:r>
        <w:rPr>
          <w:rFonts w:ascii="IRNazanin" w:hAnsi="IRNazanin" w:eastAsia="IRNazanin" w:cs="IRNazanin"/>
          <w:lang w:bidi="fa-IR"/>
          <w:color w:val="111111"/>
          <w:sz w:val="28"/>
          <w:szCs w:val="28"/>
          <w:rtl/>
        </w:rPr>
        <w:t xml:space="preserve">زانکه من این همه مستی ز سبوی تو کنم‏</w:t>
      </w:r>
    </w:p>
    <w:p>
      <w:pPr>
        <w:pStyle w:val="BookText"/>
      </w:pPr>
      <w:r>
        <w:rPr>
          <w:rFonts w:ascii="IRNazanin" w:hAnsi="IRNazanin" w:eastAsia="IRNazanin" w:cs="IRNazanin"/>
          <w:lang w:bidi="fa-IR"/>
          <w:color w:val="111111"/>
          <w:sz w:val="28"/>
          <w:szCs w:val="28"/>
          <w:rtl/>
        </w:rPr>
        <w:t xml:space="preserve">و ترجمه فی (الطرائق 3: 112) و (مع 2: 457) و أورد قرب ثلاثین بیتا من شعره آخرها: [</w:t>
      </w:r>
    </w:p>
    <w:p>
      <w:pPr>
        <w:pStyle w:val="BookText"/>
      </w:pPr>
      <w:r>
        <w:rPr>
          <w:rFonts w:ascii="IRNazanin" w:hAnsi="IRNazanin" w:eastAsia="IRNazanin" w:cs="IRNazanin"/>
          <w:lang w:bidi="fa-IR"/>
          <w:color w:val="111111"/>
          <w:sz w:val="28"/>
          <w:szCs w:val="28"/>
          <w:rtl/>
        </w:rPr>
        <w:t xml:space="preserve">منعما هر چه بگویی ز تو باور داریم ...</w:t>
      </w:r>
    </w:p>
    <w:p>
      <w:pPr>
        <w:pStyle w:val="BookText"/>
      </w:pPr>
      <w:r>
        <w:rPr>
          <w:rFonts w:ascii="IRNazanin" w:hAnsi="IRNazanin" w:eastAsia="IRNazanin" w:cs="IRNazanin"/>
          <w:lang w:bidi="fa-IR"/>
          <w:color w:val="111111"/>
          <w:sz w:val="28"/>
          <w:szCs w:val="28"/>
          <w:rtl/>
        </w:rPr>
        <w:t xml:space="preserve">] و ذکرا أن والده محمد علی بیگ کان من خواص خدام فرمان فرما.</w:t>
      </w:r>
    </w:p>
    <w:p>
      <w:pPr>
        <w:pStyle w:val="Heading3"/>
      </w:pPr>
      <w:bookmarkStart w:id="9524" w:name="_Toc8220"/>
      <w:r>
        <w:t>7179- دیوان منعم شیرازی‏</w:t>
      </w:r>
      <w:bookmarkEnd w:id="9524"/>
    </w:p>
    <w:p>
      <w:pPr>
        <w:pStyle w:val="BookText"/>
      </w:pPr>
      <w:r>
        <w:rPr>
          <w:rFonts w:ascii="IRNazanin" w:hAnsi="IRNazanin" w:eastAsia="IRNazanin" w:cs="IRNazanin"/>
          <w:lang w:bidi="fa-IR"/>
          <w:color w:val="111111"/>
          <w:sz w:val="28"/>
          <w:szCs w:val="28"/>
          <w:rtl/>
        </w:rPr>
        <w:t xml:space="preserve">الذی یتخلص. باسمه. أدرکه فی شیبته هدایت المولود 1215 فی أوان شبابه کما ترجمه فی (مع- ج 2 ص 446) و أورد شعره، و ما ارتضی صورته و سیرته. و کذا ترجم فی (انجمن 4) و (فارس‏نامه- 12: 151).</w:t>
      </w:r>
    </w:p>
    <w:p>
      <w:pPr>
        <w:pStyle w:val="Heading3"/>
      </w:pPr>
      <w:bookmarkStart w:id="9525" w:name="_Toc8221"/>
      <w:r>
        <w:t>دیوان منعم شیرازی‏</w:t>
      </w:r>
      <w:bookmarkEnd w:id="9525"/>
    </w:p>
    <w:p>
      <w:pPr>
        <w:pStyle w:val="BookText"/>
      </w:pPr>
      <w:r>
        <w:rPr>
          <w:rFonts w:ascii="IRNazanin" w:hAnsi="IRNazanin" w:eastAsia="IRNazanin" w:cs="IRNazanin"/>
          <w:lang w:bidi="fa-IR"/>
          <w:color w:val="111111"/>
          <w:sz w:val="28"/>
          <w:szCs w:val="28"/>
          <w:rtl/>
        </w:rPr>
        <w:t xml:space="preserve">مر بعنوان حکاک فی ص 260 و ترجم فی (روشن- ص 656) و (خوش‏گو) و (حسینی- ص 326) أیضا.</w:t>
      </w:r>
    </w:p>
    <w:p>
      <w:pPr>
        <w:pStyle w:val="Heading3"/>
      </w:pPr>
      <w:bookmarkStart w:id="9526" w:name="_Toc8222"/>
      <w:r>
        <w:t>7180- دیوان منعم لاهوری أو شعره‏</w:t>
      </w:r>
      <w:bookmarkEnd w:id="9526"/>
    </w:p>
    <w:p>
      <w:pPr>
        <w:pStyle w:val="BookText"/>
      </w:pPr>
      <w:r>
        <w:rPr>
          <w:rFonts w:ascii="IRNazanin" w:hAnsi="IRNazanin" w:eastAsia="IRNazanin" w:cs="IRNazanin"/>
          <w:lang w:bidi="fa-IR"/>
          <w:color w:val="111111"/>
          <w:sz w:val="28"/>
          <w:szCs w:val="28"/>
          <w:rtl/>
        </w:rPr>
        <w:t xml:space="preserve">و اسمه الشیخ منعم. أورد شعره شیر علی فی (خیال- ص 163).
</w:t>
      </w:r>
    </w:p>
    <w:p>
      <w:pPr>
        <w:sectPr>
          <w:footerReference w:type="default" r:id="rId1121"/>
          <w:footnotePr>
            <w:numStart w:val="1"/>
            <w:numRestart w:val="eachPage"/>
          </w:footnotePr>
          <w:pgSz w:orient="portrait" w:w="11905.511811023622" w:h="16837.79527559055"/>
          <w:pgMar w:top="1440" w:right="1440" w:bottom="1440" w:left="1440" w:header="720" w:footer="720" w:gutter="0"/>
          <w:cols w:num="1" w:space="720"/>
        </w:sectPr>
      </w:pPr>
    </w:p>
    <w:bookmarkStart w:id="1100" w:name="pg11704_122589"/>
    <w:bookmarkEnd w:id="1100"/>
    <w:p>
      <w:pPr>
        <w:pStyle w:val="Heading3"/>
      </w:pPr>
      <w:bookmarkStart w:id="9527" w:name="_Toc8223"/>
      <w:r>
        <w:t>7181- دیوان منعم مرادآبادی‏</w:t>
      </w:r>
      <w:bookmarkEnd w:id="9527"/>
    </w:p>
    <w:p>
      <w:pPr>
        <w:pStyle w:val="BookText"/>
      </w:pPr>
      <w:r>
        <w:rPr>
          <w:rFonts w:ascii="IRNazanin" w:hAnsi="IRNazanin" w:eastAsia="IRNazanin" w:cs="IRNazanin"/>
          <w:lang w:bidi="fa-IR"/>
          <w:color w:val="111111"/>
          <w:sz w:val="28"/>
          <w:szCs w:val="28"/>
          <w:rtl/>
        </w:rPr>
        <w:t xml:space="preserve">من بیت حکام البلدة. و بعد غلبة الأفغان علیها صالحوهم و سکن منعم لکهنو فی 1201 و ألف تفسیرا باسم فیض الله بن علی. و دیوانه یشتمل علی ثلاثین ألف بیت کما فی (گلشن- ص 460).</w:t>
      </w:r>
    </w:p>
    <w:p>
      <w:pPr>
        <w:pStyle w:val="Heading3"/>
      </w:pPr>
      <w:bookmarkStart w:id="9528" w:name="_Toc8224"/>
      <w:r>
        <w:t>7182- دیوان منعم هندی‏</w:t>
      </w:r>
      <w:bookmarkEnd w:id="9528"/>
    </w:p>
    <w:p>
      <w:pPr>
        <w:pStyle w:val="BookText"/>
      </w:pPr>
      <w:r>
        <w:rPr>
          <w:rFonts w:ascii="IRNazanin" w:hAnsi="IRNazanin" w:eastAsia="IRNazanin" w:cs="IRNazanin"/>
          <w:lang w:bidi="fa-IR"/>
          <w:color w:val="111111"/>
          <w:sz w:val="28"/>
          <w:szCs w:val="28"/>
          <w:rtl/>
        </w:rPr>
        <w:t xml:space="preserve">راجع منعم مرادآبادی و لاهوری و رامپوری و منعم أکبرآبادی.</w:t>
      </w:r>
    </w:p>
    <w:p>
      <w:pPr>
        <w:pStyle w:val="Heading3"/>
      </w:pPr>
      <w:bookmarkStart w:id="9529" w:name="_Toc8225"/>
      <w:r>
        <w:t>7183- دیوان منوچهر خان‏لر أو شعره‏</w:t>
      </w:r>
      <w:bookmarkEnd w:id="9529"/>
    </w:p>
    <w:p>
      <w:pPr>
        <w:pStyle w:val="BookText"/>
      </w:pPr>
      <w:r>
        <w:rPr>
          <w:rFonts w:ascii="IRNazanin" w:hAnsi="IRNazanin" w:eastAsia="IRNazanin" w:cs="IRNazanin"/>
          <w:lang w:bidi="fa-IR"/>
          <w:color w:val="111111"/>
          <w:sz w:val="28"/>
          <w:szCs w:val="28"/>
          <w:rtl/>
        </w:rPr>
        <w:t xml:space="preserve">من أعاظم لر کوچک الذی یقال فیهم النسبة إلی بنی العباس. ترجمه النصرآبادی فی (نر 2- ص 24) و أورد شعره و ذکر أن ابن أخیه علی قلی خان بن شاهوردی خان‏لر، کان والی لر کوچک بعد أبیه، فشکی علیه الألوار فعزل و أبعد إلی خراسان و أقیم منوچهر هذا مقامه سنین بکمال الاستقلال إلی أن توفی 1079 و أقیم مقامه ولده الأرشد شاهوردی بن منوچهر. و ترجم أیضا فی همیشه بهار.</w:t>
      </w:r>
    </w:p>
    <w:p>
      <w:pPr>
        <w:pStyle w:val="Heading3"/>
      </w:pPr>
      <w:bookmarkStart w:id="9530" w:name="_Toc8226"/>
      <w:r>
        <w:t>دیوان منوچهر شصت کله‏</w:t>
      </w:r>
      <w:bookmarkEnd w:id="9530"/>
    </w:p>
    <w:p>
      <w:pPr>
        <w:pStyle w:val="BookText"/>
      </w:pPr>
      <w:r>
        <w:rPr>
          <w:rFonts w:ascii="IRNazanin" w:hAnsi="IRNazanin" w:eastAsia="IRNazanin" w:cs="IRNazanin"/>
          <w:lang w:bidi="fa-IR"/>
          <w:color w:val="111111"/>
          <w:sz w:val="28"/>
          <w:szCs w:val="28"/>
          <w:rtl/>
        </w:rPr>
        <w:t xml:space="preserve">راجع منوچهری دامغانی‏</w:t>
      </w:r>
    </w:p>
    <w:p>
      <w:pPr>
        <w:pStyle w:val="Heading3"/>
      </w:pPr>
      <w:bookmarkStart w:id="9531" w:name="_Toc8227"/>
      <w:r>
        <w:t>7184- دیوان منوچهر پراوی‏</w:t>
      </w:r>
      <w:bookmarkEnd w:id="9531"/>
    </w:p>
    <w:p>
      <w:pPr>
        <w:pStyle w:val="BookText"/>
      </w:pPr>
      <w:r>
        <w:rPr>
          <w:rFonts w:ascii="IRNazanin" w:hAnsi="IRNazanin" w:eastAsia="IRNazanin" w:cs="IRNazanin"/>
          <w:lang w:bidi="fa-IR"/>
          <w:color w:val="111111"/>
          <w:sz w:val="28"/>
          <w:szCs w:val="28"/>
          <w:rtl/>
        </w:rPr>
        <w:t xml:space="preserve">طبع له منظومة چکش فی 1363 بطهران.</w:t>
      </w:r>
    </w:p>
    <w:p>
      <w:pPr>
        <w:pStyle w:val="Heading3"/>
      </w:pPr>
      <w:bookmarkStart w:id="9532" w:name="_Toc8228"/>
      <w:r>
        <w:t>7185- دیوان منوچهری دامغانی‏</w:t>
      </w:r>
      <w:bookmarkEnd w:id="9532"/>
    </w:p>
    <w:p>
      <w:pPr>
        <w:pStyle w:val="BookText"/>
      </w:pPr>
      <w:r>
        <w:rPr>
          <w:rFonts w:ascii="IRNazanin" w:hAnsi="IRNazanin" w:eastAsia="IRNazanin" w:cs="IRNazanin"/>
          <w:lang w:bidi="fa-IR"/>
          <w:color w:val="111111"/>
          <w:sz w:val="28"/>
          <w:szCs w:val="28"/>
          <w:rtl/>
        </w:rPr>
        <w:t xml:space="preserve">للحکیم أبو النجم أحمد بن قوص. بن أحمد الدامغانی مداح منوچهر بن قابوس وشمگیر. ترجم فی (مع- ج 1 ص 542- ص 570) و أورد قرب ألف و خمسمائة بیت من شعره. قال و یقال إن شعره یبلغ ثلاثین ألف بیت و لکنی کلما تتبعت فی طهران و شیراز و غیرهما ما ظفرت منها الا علی ما یقرب من ثلاثة آلاف بیت و جعلت له دیباجة و مقدمه فی أحوال الشاعر و أوردت المنتخب منها فی هذا الکتاب. أقول یوجد ثلاث نسخ من الدیوان الذی جمعه فی 1247 مع المقدمة فی مکتبة (المجلس) ذکرت خصوصیاتها فی فهرسها (ج 3 ص 427- 429) و نسختان فی (سپهسالار) و ثلاث نسخ عند (الملک) و طبع علی الحجر بطهران فی 1285 ثم بتصحیح کازیمرسکی فی پاریس 1886 م. ثم طهران 1359 بتصحیح محمد حسین النهاوندی ثم بتصحیح محمد دبیر سیاقی فی 1366 ثم أعید طبعه فی 1380. و قال دولت شاه إنه کان مثریا و لذا سمی شصت گله. قیل و توفی حدود 432 و قیل 482 و الأول أصح. و ترجم فی (لت 1) و (تش- ص 306) و (لب) و هفت إقلیم و سخن و سخنوران و غیرها.
</w:t>
      </w:r>
    </w:p>
    <w:p>
      <w:pPr>
        <w:sectPr>
          <w:footerReference w:type="default" r:id="rId1122"/>
          <w:footnotePr>
            <w:numStart w:val="1"/>
            <w:numRestart w:val="eachPage"/>
          </w:footnotePr>
          <w:pgSz w:orient="portrait" w:w="11905.511811023622" w:h="16837.79527559055"/>
          <w:pgMar w:top="1440" w:right="1440" w:bottom="1440" w:left="1440" w:header="720" w:footer="720" w:gutter="0"/>
          <w:cols w:num="1" w:space="720"/>
        </w:sectPr>
      </w:pPr>
    </w:p>
    <w:bookmarkStart w:id="1101" w:name="pg11704_122590"/>
    <w:bookmarkEnd w:id="1101"/>
    <w:p>
      <w:pPr>
        <w:pStyle w:val="Heading3"/>
      </w:pPr>
      <w:bookmarkStart w:id="9533" w:name="_Toc8229"/>
      <w:r>
        <w:t>7186- دیوان منور دهلوی أو شعره‏</w:t>
      </w:r>
      <w:bookmarkEnd w:id="9533"/>
    </w:p>
    <w:p>
      <w:pPr>
        <w:pStyle w:val="BookText"/>
      </w:pPr>
      <w:r>
        <w:rPr>
          <w:rFonts w:ascii="IRNazanin" w:hAnsi="IRNazanin" w:eastAsia="IRNazanin" w:cs="IRNazanin"/>
          <w:lang w:bidi="fa-IR"/>
          <w:color w:val="111111"/>
          <w:sz w:val="28"/>
          <w:szCs w:val="28"/>
          <w:rtl/>
        </w:rPr>
        <w:t xml:space="preserve">و اسمه منور علی. ورد شعره فی (گلشن- ص 462).</w:t>
      </w:r>
    </w:p>
    <w:p>
      <w:pPr>
        <w:pStyle w:val="Heading3"/>
      </w:pPr>
      <w:bookmarkStart w:id="9534" w:name="_Toc8230"/>
      <w:r>
        <w:t>7187- دیوان منور رازی أو شعره‏</w:t>
      </w:r>
      <w:bookmarkEnd w:id="9534"/>
    </w:p>
    <w:p>
      <w:pPr>
        <w:pStyle w:val="BookText"/>
      </w:pPr>
      <w:r>
        <w:rPr>
          <w:rFonts w:ascii="IRNazanin" w:hAnsi="IRNazanin" w:eastAsia="IRNazanin" w:cs="IRNazanin"/>
          <w:lang w:bidi="fa-IR"/>
          <w:color w:val="111111"/>
          <w:sz w:val="28"/>
          <w:szCs w:val="28"/>
          <w:rtl/>
        </w:rPr>
        <w:t xml:space="preserve">و اسمه الله‏وردی، مرید الحاج محمد جعفر الکبودرآهنگی. ترجم فی (ض- ص 535) و أورد رباعیه و کذا فی (الطرائق- 3: 120).</w:t>
      </w:r>
    </w:p>
    <w:p>
      <w:pPr>
        <w:pStyle w:val="Heading3"/>
      </w:pPr>
      <w:bookmarkStart w:id="9535" w:name="_Toc8231"/>
      <w:r>
        <w:t>7188- دیوان منور علی شاه شهر کردی‏</w:t>
      </w:r>
      <w:bookmarkEnd w:id="9535"/>
    </w:p>
    <w:p>
      <w:pPr>
        <w:pStyle w:val="BookText"/>
      </w:pPr>
      <w:r>
        <w:rPr>
          <w:rFonts w:ascii="IRNazanin" w:hAnsi="IRNazanin" w:eastAsia="IRNazanin" w:cs="IRNazanin"/>
          <w:lang w:bidi="fa-IR"/>
          <w:color w:val="111111"/>
          <w:sz w:val="28"/>
          <w:szCs w:val="28"/>
          <w:rtl/>
        </w:rPr>
        <w:t xml:space="preserve">و هو الحاج السید رحیم الحقانی ابن الحسن. تلمذ علی خاله أحمد نوربخش رحمت علی شاه و خلفه فی إرشاد الخاکساریة و مات ببیروت 1368.</w:t>
      </w:r>
    </w:p>
    <w:p>
      <w:pPr>
        <w:pStyle w:val="Heading3"/>
      </w:pPr>
      <w:bookmarkStart w:id="9536" w:name="_Toc8232"/>
      <w:r>
        <w:t>7189- دیوان منور علی شاه أو شعره‏</w:t>
      </w:r>
      <w:bookmarkEnd w:id="9536"/>
    </w:p>
    <w:p>
      <w:pPr>
        <w:pStyle w:val="BookText"/>
      </w:pPr>
      <w:r>
        <w:rPr>
          <w:rFonts w:ascii="IRNazanin" w:hAnsi="IRNazanin" w:eastAsia="IRNazanin" w:cs="IRNazanin"/>
          <w:lang w:bidi="fa-IR"/>
          <w:color w:val="111111"/>
          <w:sz w:val="28"/>
          <w:szCs w:val="28"/>
          <w:rtl/>
        </w:rPr>
        <w:t xml:space="preserve">و اسمه محمد النعمةاللهی المتوفی 1301 و قال نعمت فی تاریخه:</w:t>
      </w:r>
    </w:p>
    <w:p>
      <w:pPr>
        <w:pStyle w:val="BookText"/>
      </w:pPr>
      <w:r>
        <w:rPr>
          <w:rFonts w:ascii="IRNazanin" w:hAnsi="IRNazanin" w:eastAsia="IRNazanin" w:cs="IRNazanin"/>
          <w:lang w:bidi="fa-IR"/>
          <w:color w:val="111111"/>
          <w:sz w:val="28"/>
          <w:szCs w:val="28"/>
          <w:rtl/>
        </w:rPr>
        <w:t xml:space="preserve">بتاریخ أو نعمت زار گفت‏</w:t>
      </w:r>
    </w:p>
    <w:p>
      <w:pPr>
        <w:pStyle w:val="BookText"/>
      </w:pPr>
      <w:r>
        <w:rPr>
          <w:rFonts w:ascii="IRNazanin" w:hAnsi="IRNazanin" w:eastAsia="IRNazanin" w:cs="IRNazanin"/>
          <w:lang w:bidi="fa-IR"/>
          <w:color w:val="111111"/>
          <w:sz w:val="28"/>
          <w:szCs w:val="28"/>
          <w:rtl/>
        </w:rPr>
        <w:t xml:space="preserve">منور علی شاه بد بی‏مثال‏</w:t>
      </w:r>
    </w:p>
    <w:p>
      <w:pPr>
        <w:pStyle w:val="Heading3"/>
      </w:pPr>
      <w:bookmarkStart w:id="9537" w:name="_Toc8233"/>
      <w:r>
        <w:t>7190- دیوان منهی طهرانی أو شعره‏</w:t>
      </w:r>
      <w:bookmarkEnd w:id="9537"/>
    </w:p>
    <w:p>
      <w:pPr>
        <w:pStyle w:val="BookText"/>
      </w:pPr>
      <w:r>
        <w:rPr>
          <w:rFonts w:ascii="IRNazanin" w:hAnsi="IRNazanin" w:eastAsia="IRNazanin" w:cs="IRNazanin"/>
          <w:lang w:bidi="fa-IR"/>
          <w:color w:val="111111"/>
          <w:sz w:val="28"/>
          <w:szCs w:val="28"/>
          <w:rtl/>
        </w:rPr>
        <w:t xml:space="preserve">و اسمه عطاء. أطری شعره النصرآبادی فی (نر 9- ص 241) و (گلشن- ص 454) و (خوش‏گو) و (نتایج- ص 637) و فی بعض المواضع منتهی ... کما مر.</w:t>
      </w:r>
    </w:p>
    <w:p>
      <w:pPr>
        <w:pStyle w:val="Heading3"/>
      </w:pPr>
      <w:bookmarkStart w:id="9538" w:name="_Toc8234"/>
      <w:r>
        <w:t>7191- دیوان میر منهی زواره‏ئی‏</w:t>
      </w:r>
      <w:bookmarkEnd w:id="9538"/>
    </w:p>
    <w:p>
      <w:pPr>
        <w:pStyle w:val="BookText"/>
      </w:pPr>
      <w:r>
        <w:rPr>
          <w:rFonts w:ascii="IRNazanin" w:hAnsi="IRNazanin" w:eastAsia="IRNazanin" w:cs="IRNazanin"/>
          <w:lang w:bidi="fa-IR"/>
          <w:color w:val="111111"/>
          <w:sz w:val="28"/>
          <w:szCs w:val="28"/>
          <w:rtl/>
        </w:rPr>
        <w:t xml:space="preserve">من توابع أردستان و تلمیذ حاتم الکاشانی. ترجمه معاصره الصادقی فی (خص 6- ص 85) و أورد سبعة أبیات من مطالع غزلیاته. و فی (گلشن- ص 462) أنه سافر إلی الهند فی عهد أکبر شاه و لازم جهانگیر. و کذا فی هفت إقلیم.</w:t>
      </w:r>
    </w:p>
    <w:p>
      <w:pPr>
        <w:pStyle w:val="Heading3"/>
      </w:pPr>
      <w:bookmarkStart w:id="9539" w:name="_Toc8235"/>
      <w:r>
        <w:t>دیوان منیجک ترمذی‏</w:t>
      </w:r>
      <w:bookmarkEnd w:id="9539"/>
    </w:p>
    <w:p>
      <w:pPr>
        <w:pStyle w:val="BookText"/>
      </w:pPr>
      <w:r>
        <w:rPr>
          <w:rFonts w:ascii="IRNazanin" w:hAnsi="IRNazanin" w:eastAsia="IRNazanin" w:cs="IRNazanin"/>
          <w:lang w:bidi="fa-IR"/>
          <w:color w:val="111111"/>
          <w:sz w:val="28"/>
          <w:szCs w:val="28"/>
          <w:rtl/>
        </w:rPr>
        <w:t xml:space="preserve">کما فی بعض المواضع .. مر بعنوان منجیک.</w:t>
      </w:r>
    </w:p>
    <w:p>
      <w:pPr>
        <w:pStyle w:val="Heading3"/>
      </w:pPr>
      <w:bookmarkStart w:id="9540" w:name="_Toc8236"/>
      <w:r>
        <w:t>7192- دیوان منیر أصفهانی أو شعره‏</w:t>
      </w:r>
      <w:bookmarkEnd w:id="9540"/>
    </w:p>
    <w:p>
      <w:pPr>
        <w:pStyle w:val="BookText"/>
      </w:pPr>
      <w:r>
        <w:rPr>
          <w:rFonts w:ascii="IRNazanin" w:hAnsi="IRNazanin" w:eastAsia="IRNazanin" w:cs="IRNazanin"/>
          <w:lang w:bidi="fa-IR"/>
          <w:color w:val="111111"/>
          <w:sz w:val="28"/>
          <w:szCs w:val="28"/>
          <w:rtl/>
        </w:rPr>
        <w:t xml:space="preserve">و اسمه میرزا باقر تلمیذ شمس الدین فقیر.</w:t>
      </w:r>
    </w:p>
    <w:p>
      <w:pPr>
        <w:pStyle w:val="BookText"/>
      </w:pPr>
      <w:r>
        <w:rPr>
          <w:rFonts w:ascii="IRNazanin" w:hAnsi="IRNazanin" w:eastAsia="IRNazanin" w:cs="IRNazanin"/>
          <w:lang w:bidi="fa-IR"/>
          <w:color w:val="111111"/>
          <w:sz w:val="28"/>
          <w:szCs w:val="28"/>
          <w:rtl/>
        </w:rPr>
        <w:t xml:space="preserve">ترجم و أورد شعره فی (گلشن- ص 463) قال و کان یتخلص سابقا فدائی.</w:t>
      </w:r>
    </w:p>
    <w:p>
      <w:pPr>
        <w:pStyle w:val="Heading3"/>
      </w:pPr>
      <w:bookmarkStart w:id="9541" w:name="_Toc8237"/>
      <w:r>
        <w:t>7193- دیوان ملا منیر بخاری‏</w:t>
      </w:r>
      <w:bookmarkEnd w:id="9541"/>
    </w:p>
    <w:p>
      <w:pPr>
        <w:pStyle w:val="BookText"/>
      </w:pPr>
      <w:r>
        <w:rPr>
          <w:rFonts w:ascii="IRNazanin" w:hAnsi="IRNazanin" w:eastAsia="IRNazanin" w:cs="IRNazanin"/>
          <w:lang w:bidi="fa-IR"/>
          <w:color w:val="111111"/>
          <w:sz w:val="28"/>
          <w:szCs w:val="28"/>
          <w:rtl/>
        </w:rPr>
        <w:t xml:space="preserve">ذکر النصرآبادی فی (نر 13- ص 469) شعره فی تاریخ تولد السلطان بابر شاه فی 6 محرم 888.</w:t>
      </w:r>
    </w:p>
    <w:p>
      <w:pPr>
        <w:pStyle w:val="BookText"/>
      </w:pPr>
      <w:r>
        <w:rPr>
          <w:rFonts w:ascii="IRNazanin" w:hAnsi="IRNazanin" w:eastAsia="IRNazanin" w:cs="IRNazanin"/>
          <w:lang w:bidi="fa-IR"/>
          <w:color w:val="111111"/>
          <w:sz w:val="28"/>
          <w:szCs w:val="28"/>
          <w:rtl/>
        </w:rPr>
        <w:t xml:space="preserve">چون در شش محرم آمد شه مکرم‏</w:t>
      </w:r>
    </w:p>
    <w:p>
      <w:pPr>
        <w:pStyle w:val="BookText"/>
      </w:pPr>
      <w:r>
        <w:rPr>
          <w:rFonts w:ascii="IRNazanin" w:hAnsi="IRNazanin" w:eastAsia="IRNazanin" w:cs="IRNazanin"/>
          <w:lang w:bidi="fa-IR"/>
          <w:color w:val="111111"/>
          <w:sz w:val="28"/>
          <w:szCs w:val="28"/>
          <w:rtl/>
        </w:rPr>
        <w:t xml:space="preserve">تاریخ سال أو هم آمد شش محرم‏</w:t>
      </w:r>
    </w:p>
    <w:p>
      <w:pPr>
        <w:pStyle w:val="Heading3"/>
      </w:pPr>
      <w:bookmarkStart w:id="9542" w:name="_Toc8238"/>
      <w:r>
        <w:t>7194- دیوان منیر دزفولی‏</w:t>
      </w:r>
      <w:bookmarkEnd w:id="9542"/>
    </w:p>
    <w:p>
      <w:pPr>
        <w:pStyle w:val="BookText"/>
      </w:pPr>
      <w:r>
        <w:rPr>
          <w:rFonts w:ascii="IRNazanin" w:hAnsi="IRNazanin" w:eastAsia="IRNazanin" w:cs="IRNazanin"/>
          <w:lang w:bidi="fa-IR"/>
          <w:color w:val="111111"/>
          <w:sz w:val="28"/>
          <w:szCs w:val="28"/>
          <w:rtl/>
        </w:rPr>
        <w:t xml:space="preserve">للسید محمد رضا بن محمد علی الموسوی الدزفولی المولود 1327 مشتمل علی الغزلیات و القصائد و غیرهما، منها الملمع الذی مطلعه:
</w:t>
      </w:r>
    </w:p>
    <w:p>
      <w:pPr>
        <w:sectPr>
          <w:footerReference w:type="default" r:id="rId1123"/>
          <w:footnotePr>
            <w:numStart w:val="1"/>
            <w:numRestart w:val="eachPage"/>
          </w:footnotePr>
          <w:pgSz w:orient="portrait" w:w="11905.511811023622" w:h="16837.79527559055"/>
          <w:pgMar w:top="1440" w:right="1440" w:bottom="1440" w:left="1440" w:header="720" w:footer="720" w:gutter="0"/>
          <w:cols w:num="1" w:space="720"/>
        </w:sectPr>
      </w:pPr>
    </w:p>
    <w:bookmarkStart w:id="1102" w:name="pg11704_122591"/>
    <w:bookmarkEnd w:id="1102"/>
    <w:p>
      <w:pPr>
        <w:pStyle w:val="BookText"/>
      </w:pPr>
      <w:r>
        <w:rPr>
          <w:rFonts w:ascii="IRNazanin" w:hAnsi="IRNazanin" w:eastAsia="IRNazanin" w:cs="IRNazanin"/>
          <w:lang w:bidi="fa-IR"/>
          <w:color w:val="111111"/>
          <w:sz w:val="28"/>
          <w:szCs w:val="28"/>
          <w:rtl/>
        </w:rPr>
        <w:t xml:space="preserve">طلع الفجر و عینی لم تنم‏</w:t>
      </w:r>
    </w:p>
    <w:p>
      <w:pPr>
        <w:pStyle w:val="BookText"/>
      </w:pPr>
      <w:r>
        <w:rPr>
          <w:rFonts w:ascii="IRNazanin" w:hAnsi="IRNazanin" w:eastAsia="IRNazanin" w:cs="IRNazanin"/>
          <w:lang w:bidi="fa-IR"/>
          <w:color w:val="111111"/>
          <w:sz w:val="28"/>
          <w:szCs w:val="28"/>
          <w:rtl/>
        </w:rPr>
        <w:t xml:space="preserve">بس به فکر روی آن سیمین تنم‏</w:t>
      </w:r>
    </w:p>
    <w:p>
      <w:pPr>
        <w:pStyle w:val="BookText"/>
      </w:pPr>
      <w:r>
        <w:rPr>
          <w:rFonts w:ascii="IRNazanin" w:hAnsi="IRNazanin" w:eastAsia="IRNazanin" w:cs="IRNazanin"/>
          <w:lang w:bidi="fa-IR"/>
          <w:color w:val="111111"/>
          <w:sz w:val="28"/>
          <w:szCs w:val="28"/>
          <w:rtl/>
        </w:rPr>
        <w:t xml:space="preserve">رأیته بخطه عنده” السید محمد رضا”.</w:t>
      </w:r>
    </w:p>
    <w:p>
      <w:pPr>
        <w:pStyle w:val="Heading3"/>
      </w:pPr>
      <w:bookmarkStart w:id="9543" w:name="_Toc8239"/>
      <w:r>
        <w:t>7195- دیوان منیر دهلوی أو شعره‏</w:t>
      </w:r>
      <w:bookmarkEnd w:id="9543"/>
    </w:p>
    <w:p>
      <w:pPr>
        <w:pStyle w:val="BookText"/>
      </w:pPr>
      <w:r>
        <w:rPr>
          <w:rFonts w:ascii="IRNazanin" w:hAnsi="IRNazanin" w:eastAsia="IRNazanin" w:cs="IRNazanin"/>
          <w:lang w:bidi="fa-IR"/>
          <w:color w:val="111111"/>
          <w:sz w:val="28"/>
          <w:szCs w:val="28"/>
          <w:rtl/>
        </w:rPr>
        <w:t xml:space="preserve">ترجم و أورد شعره فی (گلشن- ص 462)</w:t>
      </w:r>
    </w:p>
    <w:p>
      <w:pPr>
        <w:pStyle w:val="Heading3"/>
      </w:pPr>
      <w:bookmarkStart w:id="9544" w:name="_Toc8240"/>
      <w:r>
        <w:t>7196- دیوان منیر طاها</w:t>
      </w:r>
      <w:bookmarkEnd w:id="9544"/>
    </w:p>
    <w:p>
      <w:pPr>
        <w:pStyle w:val="BookText"/>
      </w:pPr>
      <w:r>
        <w:rPr>
          <w:rFonts w:ascii="IRNazanin" w:hAnsi="IRNazanin" w:eastAsia="IRNazanin" w:cs="IRNazanin"/>
          <w:lang w:bidi="fa-IR"/>
          <w:color w:val="111111"/>
          <w:sz w:val="28"/>
          <w:szCs w:val="28"/>
          <w:rtl/>
        </w:rPr>
        <w:t xml:space="preserve">و هی شاعرة معاصره بنت حسین التبریزی ولدت 1309 ش و طبع لها منظومة سرگذشت فی 122 ص بطهران 1372 ترجمها البرقعی فی سخنوران نامی- ج 3 ص 264</w:t>
      </w:r>
    </w:p>
    <w:p>
      <w:pPr>
        <w:pStyle w:val="Heading3"/>
      </w:pPr>
      <w:bookmarkStart w:id="9545" w:name="_Toc8241"/>
      <w:r>
        <w:t>7197- دیوان منیر کرمانی أو شعره‏</w:t>
      </w:r>
      <w:bookmarkEnd w:id="9545"/>
    </w:p>
    <w:p>
      <w:pPr>
        <w:pStyle w:val="BookText"/>
      </w:pPr>
      <w:r>
        <w:rPr>
          <w:rFonts w:ascii="IRNazanin" w:hAnsi="IRNazanin" w:eastAsia="IRNazanin" w:cs="IRNazanin"/>
          <w:lang w:bidi="fa-IR"/>
          <w:color w:val="111111"/>
          <w:sz w:val="28"/>
          <w:szCs w:val="28"/>
          <w:rtl/>
        </w:rPr>
        <w:t xml:space="preserve">و اسمه نور الدین محمد قال الحزین فی تذکرته ص 123: أتی أصفهان و طلب منی التخلص فأعطیته منیر و أورد شعره علی حسن سلیم فی (گلشن- ص 463)</w:t>
      </w:r>
    </w:p>
    <w:p>
      <w:pPr>
        <w:pStyle w:val="Heading3"/>
      </w:pPr>
      <w:bookmarkStart w:id="9546" w:name="_Toc8242"/>
      <w:r>
        <w:t>7198- دیوان منیر لاهوری‏</w:t>
      </w:r>
      <w:bookmarkEnd w:id="9546"/>
    </w:p>
    <w:p>
      <w:pPr>
        <w:pStyle w:val="BookText"/>
      </w:pPr>
      <w:r>
        <w:rPr>
          <w:rFonts w:ascii="IRNazanin" w:hAnsi="IRNazanin" w:eastAsia="IRNazanin" w:cs="IRNazanin"/>
          <w:lang w:bidi="fa-IR"/>
          <w:color w:val="111111"/>
          <w:sz w:val="28"/>
          <w:szCs w:val="28"/>
          <w:rtl/>
        </w:rPr>
        <w:t xml:space="preserve">لأبی البرکات بن ملا عبد المجید الملتانی المتوفی فی رجب 1054 نقل فی (سرو- ص 60) عنه أن دیوانه فی مائة ألف بیت و له شرح دیوان عرفی شیرازی و کذا فی (نتایج- ص 637) و (مسرت- ص 81) و (روشن- ص 657) و (خیال- ص 119) و (حسینی- ص 326) و خلط فی کشف الظنون و نسب إلیه شرف‏نامه منیری المذکور فی ص 801 أنه للفاروقی‏</w:t>
      </w:r>
    </w:p>
    <w:p>
      <w:pPr>
        <w:pStyle w:val="Heading3"/>
      </w:pPr>
      <w:bookmarkStart w:id="9547" w:name="_Toc8243"/>
      <w:r>
        <w:t>دیوان منیر ملتانی‏</w:t>
      </w:r>
      <w:bookmarkEnd w:id="9547"/>
    </w:p>
    <w:p>
      <w:pPr>
        <w:pStyle w:val="BookText"/>
      </w:pPr>
      <w:r>
        <w:rPr>
          <w:rFonts w:ascii="IRNazanin" w:hAnsi="IRNazanin" w:eastAsia="IRNazanin" w:cs="IRNazanin"/>
          <w:lang w:bidi="fa-IR"/>
          <w:color w:val="111111"/>
          <w:sz w:val="28"/>
          <w:szCs w:val="28"/>
          <w:rtl/>
        </w:rPr>
        <w:t xml:space="preserve">راجع منیر لاهوری‏</w:t>
      </w:r>
    </w:p>
    <w:p>
      <w:pPr>
        <w:pStyle w:val="Heading3"/>
      </w:pPr>
      <w:bookmarkStart w:id="9548" w:name="_Toc8244"/>
      <w:r>
        <w:t>7199- دیوان منیر طالقانی أو شعره‏</w:t>
      </w:r>
      <w:bookmarkEnd w:id="9548"/>
    </w:p>
    <w:p>
      <w:pPr>
        <w:pStyle w:val="BookText"/>
      </w:pPr>
      <w:r>
        <w:rPr>
          <w:rFonts w:ascii="IRNazanin" w:hAnsi="IRNazanin" w:eastAsia="IRNazanin" w:cs="IRNazanin"/>
          <w:lang w:bidi="fa-IR"/>
          <w:color w:val="111111"/>
          <w:sz w:val="28"/>
          <w:szCs w:val="28"/>
          <w:rtl/>
        </w:rPr>
        <w:t xml:space="preserve">و اسمه محمد طاهر سافر إلی الهند و مات هناک أورد شعره سلیم بهوپالی فی (گلشن- ص 463)</w:t>
      </w:r>
    </w:p>
    <w:p>
      <w:pPr>
        <w:pStyle w:val="Heading3"/>
      </w:pPr>
      <w:bookmarkStart w:id="9549" w:name="_Toc8245"/>
      <w:r>
        <w:t>7200- دیوان منیری هندی‏</w:t>
      </w:r>
      <w:bookmarkEnd w:id="9549"/>
    </w:p>
    <w:p>
      <w:pPr>
        <w:pStyle w:val="BookText"/>
      </w:pPr>
      <w:r>
        <w:rPr>
          <w:rFonts w:ascii="IRNazanin" w:hAnsi="IRNazanin" w:eastAsia="IRNazanin" w:cs="IRNazanin"/>
          <w:lang w:bidi="fa-IR"/>
          <w:color w:val="111111"/>
          <w:sz w:val="28"/>
          <w:szCs w:val="28"/>
          <w:rtl/>
        </w:rPr>
        <w:t xml:space="preserve">و اسمه شرف الدین یحیی کما فی (تغ- ص 71) أو أحمد البلخی کما فی (ض- ص 159) العارف الصوفی الذی باسمه ألف الفاروقی المذکور فی ص 801 کتابه شرف‏نامه فی اللغة الفارسیة قال فی (تغ- 71) إنه توفی ببهار من نواحی بنگاله فی 782 و له مکتوبات أرسلها إلی مریدیه‏</w:t>
      </w:r>
    </w:p>
    <w:p>
      <w:pPr>
        <w:pStyle w:val="Heading3"/>
      </w:pPr>
      <w:bookmarkStart w:id="9550" w:name="_Toc8246"/>
      <w:r>
        <w:t>7201- دیوان مواج أو شعره‏</w:t>
      </w:r>
      <w:bookmarkEnd w:id="9550"/>
    </w:p>
    <w:p>
      <w:pPr>
        <w:pStyle w:val="BookText"/>
      </w:pPr>
      <w:r>
        <w:rPr>
          <w:rFonts w:ascii="IRNazanin" w:hAnsi="IRNazanin" w:eastAsia="IRNazanin" w:cs="IRNazanin"/>
          <w:lang w:bidi="fa-IR"/>
          <w:color w:val="111111"/>
          <w:sz w:val="28"/>
          <w:szCs w:val="28"/>
          <w:rtl/>
        </w:rPr>
        <w:t xml:space="preserve">هو من شعراء القرن الثالث عشر فی آذربایجان ترجمه تربیت فی (دجا- ص 362) نقلا عن حدیقة الشعراء</w:t>
      </w:r>
    </w:p>
    <w:p>
      <w:pPr>
        <w:pStyle w:val="Heading3"/>
      </w:pPr>
      <w:bookmarkStart w:id="9551" w:name="_Toc8247"/>
      <w:r>
        <w:t>7202- دیوان موافق أصفهانی‏</w:t>
      </w:r>
      <w:bookmarkEnd w:id="9551"/>
    </w:p>
    <w:p>
      <w:pPr>
        <w:pStyle w:val="BookText"/>
      </w:pPr>
      <w:r>
        <w:rPr>
          <w:rFonts w:ascii="IRNazanin" w:hAnsi="IRNazanin" w:eastAsia="IRNazanin" w:cs="IRNazanin"/>
          <w:lang w:bidi="fa-IR"/>
          <w:color w:val="111111"/>
          <w:sz w:val="28"/>
          <w:szCs w:val="28"/>
          <w:rtl/>
        </w:rPr>
        <w:t xml:space="preserve">و هو الحاج میرزا علی أکبر بن إسماعیل الخاتون‏آبادی النعمةاللهی ولد 15 شوال 1288 و توفی 28 شوال 1352 تلمذ علی عمه‏
</w:t>
      </w:r>
    </w:p>
    <w:p>
      <w:pPr>
        <w:sectPr>
          <w:footerReference w:type="default" r:id="rId1124"/>
          <w:footnotePr>
            <w:numStart w:val="1"/>
            <w:numRestart w:val="eachPage"/>
          </w:footnotePr>
          <w:pgSz w:orient="portrait" w:w="11905.511811023622" w:h="16837.79527559055"/>
          <w:pgMar w:top="1440" w:right="1440" w:bottom="1440" w:left="1440" w:header="720" w:footer="720" w:gutter="0"/>
          <w:cols w:num="1" w:space="720"/>
        </w:sectPr>
      </w:pPr>
    </w:p>
    <w:bookmarkStart w:id="1103" w:name="pg11704_122592"/>
    <w:bookmarkEnd w:id="1103"/>
    <w:p>
      <w:pPr>
        <w:pStyle w:val="BookText"/>
      </w:pPr>
      <w:r>
        <w:rPr>
          <w:rFonts w:ascii="IRNazanin" w:hAnsi="IRNazanin" w:eastAsia="IRNazanin" w:cs="IRNazanin"/>
          <w:lang w:bidi="fa-IR"/>
          <w:color w:val="111111"/>
          <w:sz w:val="28"/>
          <w:szCs w:val="28"/>
          <w:rtl/>
        </w:rPr>
        <w:t xml:space="preserve">هادی علی شاه قال المهدوی فی شعرای معاصر أصفهان- ص 474 إن بعض شعره مطبوع‏</w:t>
      </w:r>
    </w:p>
    <w:p>
      <w:pPr>
        <w:pStyle w:val="Heading3"/>
      </w:pPr>
      <w:bookmarkStart w:id="9552" w:name="_Toc8248"/>
      <w:r>
        <w:t>7203- دیوان موالی أصفهانی أو شعره‏</w:t>
      </w:r>
      <w:bookmarkEnd w:id="9552"/>
    </w:p>
    <w:p>
      <w:pPr>
        <w:pStyle w:val="BookText"/>
      </w:pPr>
      <w:r>
        <w:rPr>
          <w:rFonts w:ascii="IRNazanin" w:hAnsi="IRNazanin" w:eastAsia="IRNazanin" w:cs="IRNazanin"/>
          <w:lang w:bidi="fa-IR"/>
          <w:color w:val="111111"/>
          <w:sz w:val="28"/>
          <w:szCs w:val="28"/>
          <w:rtl/>
        </w:rPr>
        <w:t xml:space="preserve">و اسمه أبو الحسن سافر إلی گجرات و هو فی الثانی و العشرین من العمر و تقرب عند نظام الملک آصفجاه، و لکنه عزله و أمر بقتله ثم عفی عنه فذهب إلی دهلی و مات بلکهنو عن سبعین سنة من عمره کان قد تلمذ علی عبد الرضا متین أصفهانی المذکور فی 958 ترجم فی (گلشن- ص 464)</w:t>
      </w:r>
    </w:p>
    <w:p>
      <w:pPr>
        <w:pStyle w:val="Heading3"/>
      </w:pPr>
      <w:bookmarkStart w:id="9553" w:name="_Toc8249"/>
      <w:r>
        <w:t>7204- دیوان موالی ترکمان أو شعره‏</w:t>
      </w:r>
      <w:bookmarkEnd w:id="9553"/>
    </w:p>
    <w:p>
      <w:pPr>
        <w:pStyle w:val="BookText"/>
      </w:pPr>
      <w:r>
        <w:rPr>
          <w:rFonts w:ascii="IRNazanin" w:hAnsi="IRNazanin" w:eastAsia="IRNazanin" w:cs="IRNazanin"/>
          <w:lang w:bidi="fa-IR"/>
          <w:color w:val="111111"/>
          <w:sz w:val="28"/>
          <w:szCs w:val="28"/>
          <w:rtl/>
        </w:rPr>
        <w:t xml:space="preserve">ترجمه معاصره الصادقی فی (خص 7- ص 129) و ذکر أنه معتمد عند السلطان حمزة میرزا و أورد شعره فی هجاء میرزا سلیمان الأصفهانی و هو:</w:t>
      </w:r>
    </w:p>
    <w:p>
      <w:pPr>
        <w:pStyle w:val="BookText"/>
      </w:pPr>
      <w:r>
        <w:rPr>
          <w:rFonts w:ascii="IRNazanin" w:hAnsi="IRNazanin" w:eastAsia="IRNazanin" w:cs="IRNazanin"/>
          <w:lang w:bidi="fa-IR"/>
          <w:color w:val="111111"/>
          <w:sz w:val="28"/>
          <w:szCs w:val="28"/>
          <w:rtl/>
        </w:rPr>
        <w:t xml:space="preserve">شاه چه شد گر ز تو دختر گرفت‏</w:t>
      </w:r>
    </w:p>
    <w:p>
      <w:pPr>
        <w:pStyle w:val="BookText"/>
      </w:pPr>
      <w:r>
        <w:rPr>
          <w:rFonts w:ascii="IRNazanin" w:hAnsi="IRNazanin" w:eastAsia="IRNazanin" w:cs="IRNazanin"/>
          <w:lang w:bidi="fa-IR"/>
          <w:color w:val="111111"/>
          <w:sz w:val="28"/>
          <w:szCs w:val="28"/>
          <w:rtl/>
        </w:rPr>
        <w:t xml:space="preserve">دختر بو بکر پیمبر گرفت‏</w:t>
      </w:r>
    </w:p>
    <w:p>
      <w:pPr>
        <w:pStyle w:val="BookText"/>
      </w:pPr>
      <w:r>
        <w:rPr>
          <w:rFonts w:ascii="IRNazanin" w:hAnsi="IRNazanin" w:eastAsia="IRNazanin" w:cs="IRNazanin"/>
          <w:lang w:bidi="fa-IR"/>
          <w:color w:val="111111"/>
          <w:sz w:val="28"/>
          <w:szCs w:val="28"/>
          <w:rtl/>
        </w:rPr>
        <w:t xml:space="preserve">و کذا فی (گلشن- ص 463) و عنه فی القاموس الترکی‏</w:t>
      </w:r>
    </w:p>
    <w:p>
      <w:pPr>
        <w:pStyle w:val="Heading3"/>
      </w:pPr>
      <w:bookmarkStart w:id="9554" w:name="_Toc8250"/>
      <w:r>
        <w:t>7205- دیوان موالی تونی‏</w:t>
      </w:r>
      <w:bookmarkEnd w:id="9554"/>
    </w:p>
    <w:p>
      <w:pPr>
        <w:pStyle w:val="BookText"/>
      </w:pPr>
      <w:r>
        <w:rPr>
          <w:rFonts w:ascii="IRNazanin" w:hAnsi="IRNazanin" w:eastAsia="IRNazanin" w:cs="IRNazanin"/>
          <w:lang w:bidi="fa-IR"/>
          <w:color w:val="111111"/>
          <w:sz w:val="28"/>
          <w:szCs w:val="28"/>
          <w:rtl/>
        </w:rPr>
        <w:t xml:space="preserve">ترجمه سام میرزا فی (تس 5- ص 123) و بعد الإطراء بأن صفاته و أخلاقه لا یوصف، قال و توفی 949 و أورد شعره و رباعیتین له، و عنه فی (تش- ص 68) و (نتایج- 618)</w:t>
      </w:r>
    </w:p>
    <w:p>
      <w:pPr>
        <w:pStyle w:val="Heading3"/>
      </w:pPr>
      <w:bookmarkStart w:id="9555" w:name="_Toc8251"/>
      <w:r>
        <w:t>7206- دیوان موالی کشمیری أو شعره‏</w:t>
      </w:r>
      <w:bookmarkEnd w:id="9555"/>
    </w:p>
    <w:p>
      <w:pPr>
        <w:pStyle w:val="BookText"/>
      </w:pPr>
      <w:r>
        <w:rPr>
          <w:rFonts w:ascii="IRNazanin" w:hAnsi="IRNazanin" w:eastAsia="IRNazanin" w:cs="IRNazanin"/>
          <w:lang w:bidi="fa-IR"/>
          <w:color w:val="111111"/>
          <w:sz w:val="28"/>
          <w:szCs w:val="28"/>
          <w:rtl/>
        </w:rPr>
        <w:t xml:space="preserve">و اسمه مرتضی قلی خان التیموری تلمذ بکشمیر علی محمد طاهر العلوی ورد شعره فی (گلشن- ص 463)</w:t>
      </w:r>
    </w:p>
    <w:p>
      <w:pPr>
        <w:pStyle w:val="Heading3"/>
      </w:pPr>
      <w:bookmarkStart w:id="9556" w:name="_Toc8252"/>
      <w:r>
        <w:t>7207- دیوان موالی لاری أو شعره‏</w:t>
      </w:r>
      <w:bookmarkEnd w:id="9556"/>
    </w:p>
    <w:p>
      <w:pPr>
        <w:pStyle w:val="BookText"/>
      </w:pPr>
      <w:r>
        <w:rPr>
          <w:rFonts w:ascii="IRNazanin" w:hAnsi="IRNazanin" w:eastAsia="IRNazanin" w:cs="IRNazanin"/>
          <w:lang w:bidi="fa-IR"/>
          <w:color w:val="111111"/>
          <w:sz w:val="28"/>
          <w:szCs w:val="28"/>
          <w:rtl/>
        </w:rPr>
        <w:t xml:space="preserve">و اسمه خراسان خان و کان سیاحا کما فی (تش- ص 298) و (خوش‏گو) و (روشن- ص 659)</w:t>
      </w:r>
    </w:p>
    <w:p>
      <w:pPr>
        <w:pStyle w:val="Heading3"/>
      </w:pPr>
      <w:bookmarkStart w:id="9557" w:name="_Toc8253"/>
      <w:r>
        <w:t>7208- دیوان مؤبد آذربایجانی أو شعره‏</w:t>
      </w:r>
      <w:bookmarkEnd w:id="9557"/>
    </w:p>
    <w:p>
      <w:pPr>
        <w:pStyle w:val="BookText"/>
      </w:pPr>
      <w:r>
        <w:rPr>
          <w:rFonts w:ascii="IRNazanin" w:hAnsi="IRNazanin" w:eastAsia="IRNazanin" w:cs="IRNazanin"/>
          <w:lang w:bidi="fa-IR"/>
          <w:color w:val="111111"/>
          <w:sz w:val="28"/>
          <w:szCs w:val="28"/>
          <w:rtl/>
        </w:rPr>
        <w:t xml:space="preserve">ترجمه تربیت فی (دجا- ص 362) نقلا عن حدیقة الشعراء و عده من شعراء القرن الثالث عشر</w:t>
      </w:r>
    </w:p>
    <w:p>
      <w:pPr>
        <w:pStyle w:val="Heading3"/>
      </w:pPr>
      <w:bookmarkStart w:id="9558" w:name="_Toc8254"/>
      <w:r>
        <w:t>7209- دیوان مؤبد فارسی أو شعره‏</w:t>
      </w:r>
      <w:bookmarkEnd w:id="9558"/>
    </w:p>
    <w:p>
      <w:pPr>
        <w:pStyle w:val="BookText"/>
      </w:pPr>
      <w:r>
        <w:rPr>
          <w:rFonts w:ascii="IRNazanin" w:hAnsi="IRNazanin" w:eastAsia="IRNazanin" w:cs="IRNazanin"/>
          <w:lang w:bidi="fa-IR"/>
          <w:color w:val="111111"/>
          <w:sz w:val="28"/>
          <w:szCs w:val="28"/>
          <w:rtl/>
        </w:rPr>
        <w:t xml:space="preserve">ورد شعره فی (گلشن- ص 464) و عنه فی القاموس الترکی و لعله متحد مع ما قبله‏</w:t>
      </w:r>
    </w:p>
    <w:p>
      <w:pPr>
        <w:pStyle w:val="Heading3"/>
      </w:pPr>
      <w:bookmarkStart w:id="9559" w:name="_Toc8255"/>
      <w:r>
        <w:t>7210- دیوان مؤبد کاشانی‏</w:t>
      </w:r>
      <w:bookmarkEnd w:id="9559"/>
    </w:p>
    <w:p>
      <w:pPr>
        <w:pStyle w:val="BookText"/>
      </w:pPr>
      <w:r>
        <w:rPr>
          <w:rFonts w:ascii="IRNazanin" w:hAnsi="IRNazanin" w:eastAsia="IRNazanin" w:cs="IRNazanin"/>
          <w:lang w:bidi="fa-IR"/>
          <w:color w:val="111111"/>
          <w:sz w:val="28"/>
          <w:szCs w:val="28"/>
          <w:rtl/>
        </w:rPr>
        <w:t xml:space="preserve">الشیخ عبد العلی بن محمد باقر صبحی البیدگلی الکاشانی طبع له هنایش خرد أو دیوان مؤبد بطهران فی 1362</w:t>
      </w:r>
    </w:p>
    <w:p>
      <w:pPr>
        <w:pStyle w:val="Heading3"/>
      </w:pPr>
      <w:bookmarkStart w:id="9560" w:name="_Toc8256"/>
      <w:r>
        <w:t>7211- دیوان مؤتمن الملک أنصاری أو شعره‏</w:t>
      </w:r>
      <w:bookmarkEnd w:id="9560"/>
    </w:p>
    <w:p>
      <w:pPr>
        <w:pStyle w:val="BookText"/>
      </w:pPr>
      <w:r>
        <w:rPr>
          <w:rFonts w:ascii="IRNazanin" w:hAnsi="IRNazanin" w:eastAsia="IRNazanin" w:cs="IRNazanin"/>
          <w:lang w:bidi="fa-IR"/>
          <w:color w:val="111111"/>
          <w:sz w:val="28"/>
          <w:szCs w:val="28"/>
          <w:rtl/>
        </w:rPr>
        <w:t xml:space="preserve">و هو محمد سعید خان أطری شعره العربی و الفارسی فی (المآثر- ص 190)
</w:t>
      </w:r>
    </w:p>
    <w:p>
      <w:pPr>
        <w:sectPr>
          <w:footerReference w:type="default" r:id="rId1125"/>
          <w:footnotePr>
            <w:numStart w:val="1"/>
            <w:numRestart w:val="eachPage"/>
          </w:footnotePr>
          <w:pgSz w:orient="portrait" w:w="11905.511811023622" w:h="16837.79527559055"/>
          <w:pgMar w:top="1440" w:right="1440" w:bottom="1440" w:left="1440" w:header="720" w:footer="720" w:gutter="0"/>
          <w:cols w:num="1" w:space="720"/>
        </w:sectPr>
      </w:pPr>
    </w:p>
    <w:bookmarkStart w:id="1104" w:name="pg11704_122593"/>
    <w:bookmarkEnd w:id="1104"/>
    <w:p>
      <w:pPr>
        <w:pStyle w:val="Heading3"/>
      </w:pPr>
      <w:bookmarkStart w:id="9561" w:name="_Toc8257"/>
      <w:r>
        <w:t>7212- دیوان موجد أصفهانی أو شعره‏</w:t>
      </w:r>
      <w:bookmarkEnd w:id="9561"/>
    </w:p>
    <w:p>
      <w:pPr>
        <w:pStyle w:val="BookText"/>
      </w:pPr>
      <w:r>
        <w:rPr>
          <w:rFonts w:ascii="IRNazanin" w:hAnsi="IRNazanin" w:eastAsia="IRNazanin" w:cs="IRNazanin"/>
          <w:lang w:bidi="fa-IR"/>
          <w:color w:val="111111"/>
          <w:sz w:val="28"/>
          <w:szCs w:val="28"/>
          <w:rtl/>
        </w:rPr>
        <w:t xml:space="preserve">و اسمه شفیعا تلمیذ ملا حسین و أصله من طالقان و مات فی أواسط عهد نادر شاه ورد شعره فی (گلشن- ص 465) و فی (تش- ص 412) سماه موحد</w:t>
      </w:r>
    </w:p>
    <w:p>
      <w:pPr>
        <w:pStyle w:val="Heading3"/>
      </w:pPr>
      <w:bookmarkStart w:id="9562" w:name="_Toc8258"/>
      <w:r>
        <w:t>7213- دیوان موجد بلگرامی أو شعره‏</w:t>
      </w:r>
      <w:bookmarkEnd w:id="9562"/>
    </w:p>
    <w:p>
      <w:pPr>
        <w:pStyle w:val="BookText"/>
      </w:pPr>
      <w:r>
        <w:rPr>
          <w:rFonts w:ascii="IRNazanin" w:hAnsi="IRNazanin" w:eastAsia="IRNazanin" w:cs="IRNazanin"/>
          <w:lang w:bidi="fa-IR"/>
          <w:color w:val="111111"/>
          <w:sz w:val="28"/>
          <w:szCs w:val="28"/>
          <w:rtl/>
        </w:rPr>
        <w:t xml:space="preserve">جاء شعره فی (گلشن- ص 464) و عنه فی القاموس الترکی‏</w:t>
      </w:r>
    </w:p>
    <w:p>
      <w:pPr>
        <w:pStyle w:val="Heading3"/>
      </w:pPr>
      <w:bookmarkStart w:id="9563" w:name="_Toc8259"/>
      <w:r>
        <w:t>7214- دیوان موجد شیرازی أو شعره‏</w:t>
      </w:r>
      <w:bookmarkEnd w:id="9563"/>
    </w:p>
    <w:p>
      <w:pPr>
        <w:pStyle w:val="BookText"/>
      </w:pPr>
      <w:r>
        <w:rPr>
          <w:rFonts w:ascii="IRNazanin" w:hAnsi="IRNazanin" w:eastAsia="IRNazanin" w:cs="IRNazanin"/>
          <w:lang w:bidi="fa-IR"/>
          <w:color w:val="111111"/>
          <w:sz w:val="28"/>
          <w:szCs w:val="28"/>
          <w:rtl/>
        </w:rPr>
        <w:t xml:space="preserve">و اسمه مجید الندیم لسلطان إبراهیم میرزا ورد شعره فی (گلشن- ص 467)</w:t>
      </w:r>
    </w:p>
    <w:p>
      <w:pPr>
        <w:pStyle w:val="Heading3"/>
      </w:pPr>
      <w:bookmarkStart w:id="9564" w:name="_Toc8260"/>
      <w:r>
        <w:t>7215- دیوان موجد کلکته‏ای أو شعره‏</w:t>
      </w:r>
      <w:bookmarkEnd w:id="9564"/>
    </w:p>
    <w:p>
      <w:pPr>
        <w:pStyle w:val="BookText"/>
      </w:pPr>
      <w:r>
        <w:rPr>
          <w:rFonts w:ascii="IRNazanin" w:hAnsi="IRNazanin" w:eastAsia="IRNazanin" w:cs="IRNazanin"/>
          <w:lang w:bidi="fa-IR"/>
          <w:color w:val="111111"/>
          <w:sz w:val="28"/>
          <w:szCs w:val="28"/>
          <w:rtl/>
        </w:rPr>
        <w:t xml:space="preserve">و اسمه المولوی سراج الدین علی خان الموهانی قاضی القضاة بکلکتة و مات 1238 جاء شعره فی (گلشن- ص 467)</w:t>
      </w:r>
    </w:p>
    <w:p>
      <w:pPr>
        <w:pStyle w:val="Heading3"/>
      </w:pPr>
      <w:bookmarkStart w:id="9565" w:name="_Toc8261"/>
      <w:r>
        <w:t>دیوان موجد موهانی‏</w:t>
      </w:r>
      <w:bookmarkEnd w:id="9565"/>
    </w:p>
    <w:p>
      <w:pPr>
        <w:pStyle w:val="BookText"/>
      </w:pPr>
      <w:r>
        <w:rPr>
          <w:rFonts w:ascii="IRNazanin" w:hAnsi="IRNazanin" w:eastAsia="IRNazanin" w:cs="IRNazanin"/>
          <w:lang w:bidi="fa-IR"/>
          <w:color w:val="111111"/>
          <w:sz w:val="28"/>
          <w:szCs w:val="28"/>
          <w:rtl/>
        </w:rPr>
        <w:t xml:space="preserve">راجع موجد کلکته‏ای‏</w:t>
      </w:r>
    </w:p>
    <w:p>
      <w:pPr>
        <w:pStyle w:val="Heading3"/>
      </w:pPr>
      <w:bookmarkStart w:id="9566" w:name="_Toc8262"/>
      <w:r>
        <w:t>7216- دیوان موجد همدانی أو شعره‏</w:t>
      </w:r>
      <w:bookmarkEnd w:id="9566"/>
    </w:p>
    <w:p>
      <w:pPr>
        <w:pStyle w:val="BookText"/>
      </w:pPr>
      <w:r>
        <w:rPr>
          <w:rFonts w:ascii="IRNazanin" w:hAnsi="IRNazanin" w:eastAsia="IRNazanin" w:cs="IRNazanin"/>
          <w:lang w:bidi="fa-IR"/>
          <w:color w:val="111111"/>
          <w:sz w:val="28"/>
          <w:szCs w:val="28"/>
          <w:rtl/>
        </w:rPr>
        <w:t xml:space="preserve">أورد سلیم شعره فی (گلشن- ص 467) و قال مات 1024</w:t>
      </w:r>
    </w:p>
    <w:p>
      <w:pPr>
        <w:pStyle w:val="Heading3"/>
      </w:pPr>
      <w:bookmarkStart w:id="9567" w:name="_Toc8263"/>
      <w:r>
        <w:t>7217- دیوان موجود أو شعره‏</w:t>
      </w:r>
      <w:bookmarkEnd w:id="9567"/>
    </w:p>
    <w:p>
      <w:pPr>
        <w:pStyle w:val="BookText"/>
      </w:pPr>
      <w:r>
        <w:rPr>
          <w:rFonts w:ascii="IRNazanin" w:hAnsi="IRNazanin" w:eastAsia="IRNazanin" w:cs="IRNazanin"/>
          <w:lang w:bidi="fa-IR"/>
          <w:color w:val="111111"/>
          <w:sz w:val="28"/>
          <w:szCs w:val="28"/>
          <w:rtl/>
        </w:rPr>
        <w:t xml:space="preserve">و اسمه شاه عبد الجلیل ورد شعره فی (گلشن- ص 467)</w:t>
      </w:r>
    </w:p>
    <w:p>
      <w:pPr>
        <w:pStyle w:val="Heading3"/>
      </w:pPr>
      <w:bookmarkStart w:id="9568" w:name="_Toc8264"/>
      <w:r>
        <w:t>7218- دیوان موجی اهری أو شعره‏</w:t>
      </w:r>
      <w:bookmarkEnd w:id="9568"/>
    </w:p>
    <w:p>
      <w:pPr>
        <w:pStyle w:val="BookText"/>
      </w:pPr>
      <w:r>
        <w:rPr>
          <w:rFonts w:ascii="IRNazanin" w:hAnsi="IRNazanin" w:eastAsia="IRNazanin" w:cs="IRNazanin"/>
          <w:lang w:bidi="fa-IR"/>
          <w:color w:val="111111"/>
          <w:sz w:val="28"/>
          <w:szCs w:val="28"/>
          <w:rtl/>
        </w:rPr>
        <w:t xml:space="preserve">کان شیخ الإسلام بها أورد تربیت شعره الترکی فی (دجا- ص 363)</w:t>
      </w:r>
    </w:p>
    <w:p>
      <w:pPr>
        <w:pStyle w:val="Heading3"/>
      </w:pPr>
      <w:bookmarkStart w:id="9569" w:name="_Toc8265"/>
      <w:r>
        <w:t>7219- دیوان موجی بدخشانی‏</w:t>
      </w:r>
      <w:bookmarkEnd w:id="9569"/>
    </w:p>
    <w:p>
      <w:pPr>
        <w:pStyle w:val="BookText"/>
      </w:pPr>
      <w:r>
        <w:rPr>
          <w:rFonts w:ascii="IRNazanin" w:hAnsi="IRNazanin" w:eastAsia="IRNazanin" w:cs="IRNazanin"/>
          <w:lang w:bidi="fa-IR"/>
          <w:color w:val="111111"/>
          <w:sz w:val="28"/>
          <w:szCs w:val="28"/>
          <w:rtl/>
        </w:rPr>
        <w:t xml:space="preserve">و اسمه قاسم خان و توفی باکرة فی 979 له یوسف و زلیخا فی ستة آلاف بیت ترجمه البدیوانی فی منتخب التواریخ و (خوش‏گو) و عنهما فی القاموس الترکی ثم الریحانة و (دجا- ص 175) و فی فهرس مکتبة الجامعة بطهران ج 2: ص 43 أن له لیلی و مجنون أیضا</w:t>
      </w:r>
    </w:p>
    <w:p>
      <w:pPr>
        <w:pStyle w:val="Heading3"/>
      </w:pPr>
      <w:bookmarkStart w:id="9570" w:name="_Toc8266"/>
      <w:r>
        <w:t>7220- دیوان موجی گرجی أو شعره‏</w:t>
      </w:r>
      <w:bookmarkEnd w:id="9570"/>
    </w:p>
    <w:p>
      <w:pPr>
        <w:pStyle w:val="BookText"/>
      </w:pPr>
      <w:r>
        <w:rPr>
          <w:rFonts w:ascii="IRNazanin" w:hAnsi="IRNazanin" w:eastAsia="IRNazanin" w:cs="IRNazanin"/>
          <w:lang w:bidi="fa-IR"/>
          <w:color w:val="111111"/>
          <w:sz w:val="28"/>
          <w:szCs w:val="28"/>
          <w:rtl/>
        </w:rPr>
        <w:t xml:space="preserve">و اسمه علی جان بیک ابن أغلی بیک ترجمه النصرآبادی فی (نر 2- ص 51) و (گلشن- ص 468)</w:t>
      </w:r>
    </w:p>
    <w:p>
      <w:pPr>
        <w:pStyle w:val="Heading3"/>
      </w:pPr>
      <w:bookmarkStart w:id="9571" w:name="_Toc8267"/>
      <w:r>
        <w:t>دیوان موجد طالقانی‏</w:t>
      </w:r>
      <w:bookmarkEnd w:id="9571"/>
    </w:p>
    <w:p>
      <w:pPr>
        <w:pStyle w:val="BookText"/>
      </w:pPr>
      <w:r>
        <w:rPr>
          <w:rFonts w:ascii="IRNazanin" w:hAnsi="IRNazanin" w:eastAsia="IRNazanin" w:cs="IRNazanin"/>
          <w:lang w:bidi="fa-IR"/>
          <w:color w:val="111111"/>
          <w:sz w:val="28"/>
          <w:szCs w:val="28"/>
          <w:rtl/>
        </w:rPr>
        <w:t xml:space="preserve">و اسمه ملا شفیع الأصفهانی ورد شعره فی (تش- ص 412) و فی (گلشن- ص 467) سماه موحد کما مر</w:t>
      </w:r>
    </w:p>
    <w:p>
      <w:pPr>
        <w:pStyle w:val="Heading3"/>
      </w:pPr>
      <w:bookmarkStart w:id="9572" w:name="_Toc8268"/>
      <w:r>
        <w:t>7221- دیوان مودود چشتی أو شعره‏</w:t>
      </w:r>
      <w:bookmarkEnd w:id="9572"/>
    </w:p>
    <w:p>
      <w:pPr>
        <w:pStyle w:val="BookText"/>
      </w:pPr>
      <w:r>
        <w:rPr>
          <w:rFonts w:ascii="IRNazanin" w:hAnsi="IRNazanin" w:eastAsia="IRNazanin" w:cs="IRNazanin"/>
          <w:lang w:bidi="fa-IR"/>
          <w:color w:val="111111"/>
          <w:sz w:val="28"/>
          <w:szCs w:val="28"/>
          <w:rtl/>
        </w:rPr>
        <w:t xml:space="preserve">و هو من أحفاد قطب الدین مودود بن یوسف‏
</w:t>
      </w:r>
    </w:p>
    <w:p>
      <w:pPr>
        <w:sectPr>
          <w:footerReference w:type="default" r:id="rId1126"/>
          <w:footnotePr>
            <w:numStart w:val="1"/>
            <w:numRestart w:val="eachPage"/>
          </w:footnotePr>
          <w:pgSz w:orient="portrait" w:w="11905.511811023622" w:h="16837.79527559055"/>
          <w:pgMar w:top="1440" w:right="1440" w:bottom="1440" w:left="1440" w:header="720" w:footer="720" w:gutter="0"/>
          <w:cols w:num="1" w:space="720"/>
        </w:sectPr>
      </w:pPr>
    </w:p>
    <w:bookmarkStart w:id="1105" w:name="pg11704_122594"/>
    <w:bookmarkEnd w:id="1105"/>
    <w:p>
      <w:pPr>
        <w:pStyle w:val="BookText"/>
      </w:pPr>
      <w:r>
        <w:rPr>
          <w:rFonts w:ascii="IRNazanin" w:hAnsi="IRNazanin" w:eastAsia="IRNazanin" w:cs="IRNazanin"/>
          <w:lang w:bidi="fa-IR"/>
          <w:color w:val="111111"/>
          <w:sz w:val="28"/>
          <w:szCs w:val="28"/>
          <w:rtl/>
        </w:rPr>
        <w:t xml:space="preserve">الصوفی المعروف الذی مات 527 و جلس مکانه ابنه أحمد بن مودود المذکور فی (النفحات- ص 299- 302) و الشاعر هذا ورد شعره فی (گلشن- ص 468) و عنه فی القاموس الترکی‏</w:t>
      </w:r>
    </w:p>
    <w:p>
      <w:pPr>
        <w:pStyle w:val="Heading3"/>
      </w:pPr>
      <w:bookmarkStart w:id="9573" w:name="_Toc8269"/>
      <w:r>
        <w:t>7222- دیوان مؤذن خراسانی‏</w:t>
      </w:r>
      <w:bookmarkEnd w:id="9573"/>
    </w:p>
    <w:p>
      <w:pPr>
        <w:pStyle w:val="BookText"/>
      </w:pPr>
      <w:r>
        <w:rPr>
          <w:rFonts w:ascii="IRNazanin" w:hAnsi="IRNazanin" w:eastAsia="IRNazanin" w:cs="IRNazanin"/>
          <w:lang w:bidi="fa-IR"/>
          <w:color w:val="111111"/>
          <w:sz w:val="28"/>
          <w:szCs w:val="28"/>
          <w:rtl/>
        </w:rPr>
        <w:t xml:space="preserve">محمد علی بن مفری فرخ المشهدی کان والده من خدام الحضرة الرضویة و تلمذ ولده علی المیر محمد زمان فی العلوم الشرعیة و أخذ الطریقة عن درویش حاتم و صار خلیفته بعده، یقیم الجماعة فی الأوقات الخمسة بمسجد الجامع، و یعظ الناس و کان حیا فی 1077 حین تألیف قصص الخاقان و له تصانیف أخر کشرح أسرار الصلاة للشهید و تحفه عباسی المذکور فی ج 3 ص 452 و واجبات العبادات و ممن أخذ الطریقة و الدستور عن الشیخ محمد علی المؤذن هذا، هو نجیب الدین رضا المتخلص فی شعره بنجیب المتوفی 1075 و یوجد دیوان المؤذن فی مکتبة (الملک) و فی (المجلس) و فصل خصوصیاته فی فهرسها (ج 3 ص 431) و ذکر أن النسخة بقلم عبد العلی بن محمد صالح المراغی فی 1250 و أحصی عدد أبیات</w:t>
      </w:r>
    </w:p>
    <w:p>
      <w:pPr>
        <w:pStyle w:val="BookText"/>
      </w:pPr>
      <w:r>
        <w:rPr>
          <w:rFonts w:ascii="IRNazanin" w:hAnsi="IRNazanin" w:eastAsia="IRNazanin" w:cs="IRNazanin"/>
          <w:lang w:bidi="fa-IR"/>
          <w:color w:val="111111"/>
          <w:sz w:val="28"/>
          <w:szCs w:val="28"/>
          <w:rtl/>
        </w:rPr>
        <w:t xml:space="preserve">الدیوان فی ثلاثة آلاف و سبعمائة بیت فی المعارف و المراثی لسید الشهداء و الغزلیات و الترکیب و الترجیع و الرباعیات و مکتوب منثور عرفانی و ألحق بالنسخة بعض فوائد أخر، و ذکر مختصر ترجمه المؤذن نقلا عن کتاب تاریخ قصص الخاقان المؤلف 1077 باسم الشاه عباس الثانی الذی ألفه ولی قلی شاملو ابن داود قلی مرتبا علی مقدمه و ثلاثة أبواب و فی خاتمته ترجمه جمع من العلماء و الشعراء فی عصره و منهم المؤذن صاحب هذا الدیوان و ترجم أیضا فی (ض- ص 137) و (طرائق 3-: 73) و ریحانة الأدب‏</w:t>
      </w:r>
    </w:p>
    <w:p>
      <w:pPr>
        <w:pStyle w:val="Heading3"/>
      </w:pPr>
      <w:bookmarkStart w:id="9574" w:name="_Toc8270"/>
      <w:r>
        <w:t>7223- دیوان موزون أصفهانی‏</w:t>
      </w:r>
      <w:bookmarkEnd w:id="9574"/>
    </w:p>
    <w:p>
      <w:pPr>
        <w:pStyle w:val="BookText"/>
      </w:pPr>
      <w:r>
        <w:rPr>
          <w:rFonts w:ascii="IRNazanin" w:hAnsi="IRNazanin" w:eastAsia="IRNazanin" w:cs="IRNazanin"/>
          <w:lang w:bidi="fa-IR"/>
          <w:color w:val="111111"/>
          <w:sz w:val="28"/>
          <w:szCs w:val="28"/>
          <w:rtl/>
        </w:rPr>
        <w:t xml:space="preserve">و اسمه عباس علی بن برات علی، المولود 1314 کان من أعضاء انجمن شیدا طبع بعض دیوانه فی المراثی بعنوان اندوه‏نامه بأصفهان فی 94 ص ترجم فی شعرای معاصر أصفهان- ص 475</w:t>
      </w:r>
    </w:p>
    <w:p>
      <w:pPr>
        <w:pStyle w:val="Heading3"/>
      </w:pPr>
      <w:bookmarkStart w:id="9575" w:name="_Toc8271"/>
      <w:r>
        <w:t>7224- دیوان موزون الملک تبریزی أو شعره‏</w:t>
      </w:r>
      <w:bookmarkEnd w:id="9575"/>
    </w:p>
    <w:p>
      <w:pPr>
        <w:pStyle w:val="BookText"/>
      </w:pPr>
      <w:r>
        <w:rPr>
          <w:rFonts w:ascii="IRNazanin" w:hAnsi="IRNazanin" w:eastAsia="IRNazanin" w:cs="IRNazanin"/>
          <w:lang w:bidi="fa-IR"/>
          <w:color w:val="111111"/>
          <w:sz w:val="28"/>
          <w:szCs w:val="28"/>
          <w:rtl/>
        </w:rPr>
        <w:t xml:space="preserve">و اسمه ملا لطفی ولد بتبریز و نشا بها و سافر إلی الهند فلاقاه فخر الزمانی فی 1017 بلاهور فنصب حاکما لبندر لهری و لقبه جهانگیر شاه موزون الملک ثم نصب داروغه علی دار الضرب گجرات و مات 1020 أو 1021 أورد شعره فی میخانه- ص 537 و (مسرت- ص 106)
</w:t>
      </w:r>
    </w:p>
    <w:p>
      <w:pPr>
        <w:sectPr>
          <w:footerReference w:type="default" r:id="rId1127"/>
          <w:footnotePr>
            <w:numStart w:val="1"/>
            <w:numRestart w:val="eachPage"/>
          </w:footnotePr>
          <w:pgSz w:orient="portrait" w:w="11905.511811023622" w:h="16837.79527559055"/>
          <w:pgMar w:top="1440" w:right="1440" w:bottom="1440" w:left="1440" w:header="720" w:footer="720" w:gutter="0"/>
          <w:cols w:num="1" w:space="720"/>
        </w:sectPr>
      </w:pPr>
    </w:p>
    <w:bookmarkStart w:id="1106" w:name="pg11704_122595"/>
    <w:bookmarkEnd w:id="1106"/>
    <w:p>
      <w:pPr>
        <w:pStyle w:val="Heading3"/>
      </w:pPr>
      <w:bookmarkStart w:id="9576" w:name="_Toc8272"/>
      <w:r>
        <w:t>7225- دیوان موزون سمرقندی‏</w:t>
      </w:r>
      <w:bookmarkEnd w:id="9576"/>
    </w:p>
    <w:p>
      <w:pPr>
        <w:pStyle w:val="BookText"/>
      </w:pPr>
      <w:r>
        <w:rPr>
          <w:rFonts w:ascii="IRNazanin" w:hAnsi="IRNazanin" w:eastAsia="IRNazanin" w:cs="IRNazanin"/>
          <w:lang w:bidi="fa-IR"/>
          <w:color w:val="111111"/>
          <w:sz w:val="28"/>
          <w:szCs w:val="28"/>
          <w:rtl/>
        </w:rPr>
        <w:t xml:space="preserve">هو تخلص المیر شریف المشهور ببابا خواجه السمرقندی المتخصص بعلم الزیج و الفلک ترجمه معاصره النصرآبادی فی (نر 10- ص 440) و أورد شعره و عنه فی (گلشن- ص 468) ثم القاموس الترکی‏</w:t>
      </w:r>
    </w:p>
    <w:p>
      <w:pPr>
        <w:pStyle w:val="Heading3"/>
      </w:pPr>
      <w:bookmarkStart w:id="9577" w:name="_Toc8273"/>
      <w:r>
        <w:t>7226- دیوان موزون ناگوری أو شعره‏</w:t>
      </w:r>
      <w:bookmarkEnd w:id="9577"/>
    </w:p>
    <w:p>
      <w:pPr>
        <w:pStyle w:val="BookText"/>
      </w:pPr>
      <w:r>
        <w:rPr>
          <w:rFonts w:ascii="IRNazanin" w:hAnsi="IRNazanin" w:eastAsia="IRNazanin" w:cs="IRNazanin"/>
          <w:lang w:bidi="fa-IR"/>
          <w:color w:val="111111"/>
          <w:sz w:val="28"/>
          <w:szCs w:val="28"/>
          <w:rtl/>
        </w:rPr>
        <w:t xml:space="preserve">هو من أولاد حمید الدین ناگوری ترجم فی هفت إقلیم و قال فی (گلشن- ص 471) کان معمارا خطاطا بالنستعلیق‏</w:t>
      </w:r>
    </w:p>
    <w:p>
      <w:pPr>
        <w:pStyle w:val="Heading3"/>
      </w:pPr>
      <w:bookmarkStart w:id="9578" w:name="_Toc8274"/>
      <w:r>
        <w:t>7227- دیوان موسوی خواب بین أو شعره‏</w:t>
      </w:r>
      <w:bookmarkEnd w:id="9578"/>
    </w:p>
    <w:p>
      <w:pPr>
        <w:pStyle w:val="BookText"/>
      </w:pPr>
      <w:r>
        <w:rPr>
          <w:rFonts w:ascii="IRNazanin" w:hAnsi="IRNazanin" w:eastAsia="IRNazanin" w:cs="IRNazanin"/>
          <w:lang w:bidi="fa-IR"/>
          <w:color w:val="111111"/>
          <w:sz w:val="28"/>
          <w:szCs w:val="28"/>
          <w:rtl/>
        </w:rPr>
        <w:t xml:space="preserve">میر محمد أفضل بن سلطان علی المذکور فی ص 85 و جاء ترجمته فی (حسینی- ص 305) أیضا</w:t>
      </w:r>
    </w:p>
    <w:p>
      <w:pPr>
        <w:pStyle w:val="Heading3"/>
      </w:pPr>
      <w:bookmarkStart w:id="9579" w:name="_Toc8275"/>
      <w:r>
        <w:t>7228- دیوان موسوی خوانساری‏</w:t>
      </w:r>
      <w:bookmarkEnd w:id="9579"/>
    </w:p>
    <w:p>
      <w:pPr>
        <w:pStyle w:val="BookText"/>
      </w:pPr>
      <w:r>
        <w:rPr>
          <w:rFonts w:ascii="IRNazanin" w:hAnsi="IRNazanin" w:eastAsia="IRNazanin" w:cs="IRNazanin"/>
          <w:lang w:bidi="fa-IR"/>
          <w:color w:val="111111"/>
          <w:sz w:val="28"/>
          <w:szCs w:val="28"/>
          <w:rtl/>
        </w:rPr>
        <w:t xml:space="preserve">و هو السید محمد هاشم بن زین العابدین أخ صاحب الروضات له منظومة فی الأصول مطبوعة مع مجمع الفوائد و مخزن الفرائد و مبانی الأصول فی 1317 بإیران و المنظومة فی 500 بیت و رأیت أشعاره فی جنگ و تاریخ بعضها 1254 و له فی الجنگ تعبیر الرؤیا و الفلاحة ملخصه من نفائس الفنون و أزهار الجنان و یوجد دیوان المراثی للموسوی فی ثمانمائة بیت فی (مدرسة البروجردی فی النجف)</w:t>
      </w:r>
    </w:p>
    <w:p>
      <w:pPr>
        <w:pStyle w:val="Heading3"/>
      </w:pPr>
      <w:bookmarkStart w:id="9580" w:name="_Toc8276"/>
      <w:r>
        <w:t>دیوان موسوی مشهدی‏</w:t>
      </w:r>
      <w:bookmarkEnd w:id="9580"/>
    </w:p>
    <w:p>
      <w:pPr>
        <w:pStyle w:val="BookText"/>
      </w:pPr>
      <w:r>
        <w:rPr>
          <w:rFonts w:ascii="IRNazanin" w:hAnsi="IRNazanin" w:eastAsia="IRNazanin" w:cs="IRNazanin"/>
          <w:lang w:bidi="fa-IR"/>
          <w:color w:val="111111"/>
          <w:sz w:val="28"/>
          <w:szCs w:val="28"/>
          <w:rtl/>
        </w:rPr>
        <w:t xml:space="preserve">و هو معز الدین محمد المتخلص موسوی و فطرت کما ذکر فی ص 839 و هو من السادة الرضویة القمیین نقل فی مفتاح التواریخ عنه أنه ولد 1050 و إنه تلمذ بمدرسة جده بأصفهان علی الآقا حسین الخوانساری و جاء إلی الهند فی 1082 و تزوج بنت شاه نواز خان و تولی دیوان عظیم‏آباد و لقبه عالمگیر ب موسوی خان لإظهار نسبه ثم قال و مات 1101 و کذا فی (نتایج- ص 652) و (مطلع 2: 445) و (سرو- ص 126) و (تش- ص 95) و (سرخوش- 98) و قال هذا: إنه الذی جمع دیوان میر معز و یوجد أشعاره فی جنگ عند (فخر الدین النصیری برقم 205) و له تذکره للشعراء اسمه گلشن فطرت أو بیاض میر معز ینقل عنه (سرخوش) کما فی مقدمه طبعه کلمات الشعراء- ص 14</w:t>
      </w:r>
    </w:p>
    <w:p>
      <w:pPr>
        <w:pStyle w:val="Heading3"/>
      </w:pPr>
      <w:bookmarkStart w:id="9581" w:name="_Toc8277"/>
      <w:r>
        <w:t>7229- دیوان موسوی مشهدی أو شعره‏</w:t>
      </w:r>
      <w:bookmarkEnd w:id="9581"/>
    </w:p>
    <w:p>
      <w:pPr>
        <w:pStyle w:val="BookText"/>
      </w:pPr>
      <w:r>
        <w:rPr>
          <w:rFonts w:ascii="IRNazanin" w:hAnsi="IRNazanin" w:eastAsia="IRNazanin" w:cs="IRNazanin"/>
          <w:lang w:bidi="fa-IR"/>
          <w:color w:val="111111"/>
          <w:sz w:val="28"/>
          <w:szCs w:val="28"/>
          <w:rtl/>
        </w:rPr>
        <w:t xml:space="preserve">و اسمه میر عماد کان یقتدی به شعراء مشهد خراسان أورد المیر علی شیر شعره فی جواب کمال خجندی فی (مجن 2- ص 35 و 209) و کذا فی (تش- ص 96)
</w:t>
      </w:r>
    </w:p>
    <w:p>
      <w:pPr>
        <w:sectPr>
          <w:footerReference w:type="default" r:id="rId1128"/>
          <w:footnotePr>
            <w:numStart w:val="1"/>
            <w:numRestart w:val="eachPage"/>
          </w:footnotePr>
          <w:pgSz w:orient="portrait" w:w="11905.511811023622" w:h="16837.79527559055"/>
          <w:pgMar w:top="1440" w:right="1440" w:bottom="1440" w:left="1440" w:header="720" w:footer="720" w:gutter="0"/>
          <w:cols w:num="1" w:space="720"/>
        </w:sectPr>
      </w:pPr>
    </w:p>
    <w:bookmarkStart w:id="1107" w:name="pg11704_122596"/>
    <w:bookmarkEnd w:id="1107"/>
    <w:p>
      <w:pPr>
        <w:pStyle w:val="Heading3"/>
      </w:pPr>
      <w:bookmarkStart w:id="9582" w:name="_Toc8278"/>
      <w:r>
        <w:t>7230- دیوان الشیخ موسی الأحسائی‏</w:t>
      </w:r>
      <w:bookmarkEnd w:id="9582"/>
    </w:p>
    <w:p>
      <w:pPr>
        <w:pStyle w:val="BookText"/>
      </w:pPr>
      <w:r>
        <w:rPr>
          <w:rFonts w:ascii="IRNazanin" w:hAnsi="IRNazanin" w:eastAsia="IRNazanin" w:cs="IRNazanin"/>
          <w:lang w:bidi="fa-IR"/>
          <w:color w:val="111111"/>
          <w:sz w:val="28"/>
          <w:szCs w:val="28"/>
          <w:rtl/>
        </w:rPr>
        <w:t xml:space="preserve">ابن الشیخ حسن بن أحمد بن محمد بن المحسن الأحسائی الهجری المولود 1239 و المتوفی 1289 له تصانیف نظما و نثرا منها أرجوزة المنطق الموسوم ب الباکورة و المطبوع 1329 و علی ظهرها ذکر أن فی دیوانه المراثی و الحماسة و الغزلیات‏</w:t>
      </w:r>
    </w:p>
    <w:p>
      <w:pPr>
        <w:pStyle w:val="Heading3"/>
      </w:pPr>
      <w:bookmarkStart w:id="9583" w:name="_Toc8279"/>
      <w:r>
        <w:t>7231- دیوان موسی الحرفوشی‏</w:t>
      </w:r>
      <w:bookmarkEnd w:id="9583"/>
    </w:p>
    <w:p>
      <w:pPr>
        <w:pStyle w:val="BookText"/>
      </w:pPr>
      <w:r>
        <w:rPr>
          <w:rFonts w:ascii="IRNazanin" w:hAnsi="IRNazanin" w:eastAsia="IRNazanin" w:cs="IRNazanin"/>
          <w:lang w:bidi="fa-IR"/>
          <w:color w:val="111111"/>
          <w:sz w:val="28"/>
          <w:szCs w:val="28"/>
          <w:rtl/>
        </w:rPr>
        <w:t xml:space="preserve">ابن علی بن الحرفوشی العاملی قال فی الأمل کان فاضلا شاعرا ثم أورد بعض شعره الحماسی المصرح فیه باسمه و اسم أبیه و وصف شجاعته‏</w:t>
      </w:r>
    </w:p>
    <w:p>
      <w:pPr>
        <w:pStyle w:val="Heading3"/>
      </w:pPr>
      <w:bookmarkStart w:id="9584" w:name="_Toc8280"/>
      <w:r>
        <w:t>7232- دیوان موسی سیفی أو شعره‏</w:t>
      </w:r>
      <w:bookmarkEnd w:id="9584"/>
    </w:p>
    <w:p>
      <w:pPr>
        <w:pStyle w:val="BookText"/>
      </w:pPr>
      <w:r>
        <w:rPr>
          <w:rFonts w:ascii="IRNazanin" w:hAnsi="IRNazanin" w:eastAsia="IRNazanin" w:cs="IRNazanin"/>
          <w:lang w:bidi="fa-IR"/>
          <w:color w:val="111111"/>
          <w:sz w:val="28"/>
          <w:szCs w:val="28"/>
          <w:rtl/>
        </w:rPr>
        <w:t xml:space="preserve">من سادات القاضی سیف الدینیة ترجمه معاصره سام میرزا فی (تس- ص 44) و أورد شعره أقول و لعل السید المیر قوام الدین السیفی القزوینی صاحب التحفة القوامیة المذکور فی 9: 487 و 3 ص 462 أیضا من هذا البیت‏</w:t>
      </w:r>
    </w:p>
    <w:p>
      <w:pPr>
        <w:pStyle w:val="Heading3"/>
      </w:pPr>
      <w:bookmarkStart w:id="9585" w:name="_Toc8281"/>
      <w:r>
        <w:t>7233- دیوان السید موسی الطالقانی‏</w:t>
      </w:r>
      <w:bookmarkEnd w:id="9585"/>
    </w:p>
    <w:p>
      <w:pPr>
        <w:pStyle w:val="BookText"/>
      </w:pPr>
      <w:r>
        <w:rPr>
          <w:rFonts w:ascii="IRNazanin" w:hAnsi="IRNazanin" w:eastAsia="IRNazanin" w:cs="IRNazanin"/>
          <w:lang w:bidi="fa-IR"/>
          <w:color w:val="111111"/>
          <w:sz w:val="28"/>
          <w:szCs w:val="28"/>
          <w:rtl/>
        </w:rPr>
        <w:t xml:space="preserve">و هو ابن السید جعفر بن السید علی بن السید حسین بن السید حسن الشهیر بمیر حکیم بن السید عبد الحسین بن السید جلال الدین الحسینی الطالقانی النجفی المولود بها حدود 1250 و المتوفی عند ملکه ببدرة فی 1298 و حمل إلی وادی السلام بالنجف، عن أربعة ذکور، أحدهم السید محمد تقی الذی توفی 1354 و کانت عنده” السید محمد تقی” نسخه دیوان السید موسی بخطه و انتقلت بعده إلی ولده السید عبد الصاحب الساکن فی بدرة و تممه السید محمد تقی بإلحاق بعض ما وجده من متفرقات نظمه و نثره یقرب الجمیع من أربعة آلاف بیت توجد نسخه منه فی مکتبة (کاشف الغطاء) و نسخه فی (بیت الطریحی) و نسخه تقرب من ثلاثة آلاف و مائتی بیت عند الفاضل محمد کاظم بن صادق الملکی القزوینی النجفی المولود 1318 و المؤلف لفرهنگ فارسی فی عدة مجلدات و نسخه کانت للشیخ مهدی بن عبد الحسین الطهرانی فوهبها لحسن علی فی 1304 و تلک النسخ بعضها ناقصة و کتب السید محمد حسن بن السید عبد الرسول بن السید مشکور الطالقانی نسخه تامة جامعة لجمیع ما وجدها من النظم و النثر فی المواضع المتباعدة و بالغ فی تصحیحها و التعلیق علیها و کتب لها مقدمه مبسوطة فیها تراجم کثیر من العلماء و الأدباء من السادة الطالقانیین القاطنین فی النجف، من یوم قدوم جدهم السید عبد الحسین المولود بطالقان 972
</w:t>
      </w:r>
    </w:p>
    <w:p>
      <w:pPr>
        <w:sectPr>
          <w:footerReference w:type="default" r:id="rId1129"/>
          <w:footnotePr>
            <w:numStart w:val="1"/>
            <w:numRestart w:val="eachPage"/>
          </w:footnotePr>
          <w:pgSz w:orient="portrait" w:w="11905.511811023622" w:h="16837.79527559055"/>
          <w:pgMar w:top="1440" w:right="1440" w:bottom="1440" w:left="1440" w:header="720" w:footer="720" w:gutter="0"/>
          <w:cols w:num="1" w:space="720"/>
        </w:sectPr>
      </w:pPr>
    </w:p>
    <w:bookmarkStart w:id="1108" w:name="pg11704_122597"/>
    <w:bookmarkEnd w:id="1108"/>
    <w:p>
      <w:pPr>
        <w:pStyle w:val="BookText"/>
      </w:pPr>
      <w:r>
        <w:rPr>
          <w:rFonts w:ascii="IRNazanin" w:hAnsi="IRNazanin" w:eastAsia="IRNazanin" w:cs="IRNazanin"/>
          <w:lang w:bidi="fa-IR"/>
          <w:color w:val="111111"/>
          <w:sz w:val="28"/>
          <w:szCs w:val="28"/>
          <w:rtl/>
        </w:rPr>
        <w:t xml:space="preserve">و مهاجرته منها إلی النجف حتی الیوم، و طبعها بالنجف فی 1957 م فی 476 ص مع تقریظ من مؤلف هذا الکتاب (الذریعة) علیه‏</w:t>
      </w:r>
    </w:p>
    <w:p>
      <w:pPr>
        <w:pStyle w:val="Heading3"/>
      </w:pPr>
      <w:bookmarkStart w:id="9586" w:name="_Toc8282"/>
      <w:r>
        <w:t>7234- دیوان الشیخ موسی العاملی‏</w:t>
      </w:r>
      <w:bookmarkEnd w:id="9586"/>
    </w:p>
    <w:p>
      <w:pPr>
        <w:pStyle w:val="BookText"/>
      </w:pPr>
      <w:r>
        <w:rPr>
          <w:rFonts w:ascii="IRNazanin" w:hAnsi="IRNazanin" w:eastAsia="IRNazanin" w:cs="IRNazanin"/>
          <w:lang w:bidi="fa-IR"/>
          <w:color w:val="111111"/>
          <w:sz w:val="28"/>
          <w:szCs w:val="28"/>
          <w:rtl/>
        </w:rPr>
        <w:t xml:space="preserve">ابن شریف بن محمد بن یوسف بن جعفر ابن علی بن الشیخ محیی الدین الثانی. دونه بنفسه و تاریخ آخر أشعاره شعبان 1254 و توفی 1281 و قد استنسخه الشیخ محمد السماوی و اشتراه بعد موته الشیخ محمد علی یعقوب الخطیب. و له تخمیس الدریدیة و قصیدة فی تهنئة عرس الشیخ محمد جواد العاملی فی 1245 و قصیدة سینیة فی مدح صاحب الجواهر.</w:t>
      </w:r>
    </w:p>
    <w:p>
      <w:pPr>
        <w:pStyle w:val="Heading3"/>
      </w:pPr>
      <w:bookmarkStart w:id="9587" w:name="_Toc8283"/>
      <w:r>
        <w:t>7235- دیوان السید موسی العاملی‏</w:t>
      </w:r>
      <w:bookmarkEnd w:id="9587"/>
    </w:p>
    <w:p>
      <w:pPr>
        <w:pStyle w:val="BookText"/>
      </w:pPr>
      <w:r>
        <w:rPr>
          <w:rFonts w:ascii="IRNazanin" w:hAnsi="IRNazanin" w:eastAsia="IRNazanin" w:cs="IRNazanin"/>
          <w:lang w:bidi="fa-IR"/>
          <w:color w:val="111111"/>
          <w:sz w:val="28"/>
          <w:szCs w:val="28"/>
          <w:rtl/>
        </w:rPr>
        <w:t xml:space="preserve">ابن عبد السلام بن زین العابدین بن السید عباس، مؤلف نزهة الجلیس الموسوی العاملی المتوفی بالنجف یوم عاشوراء 1253 یبلغ أربعة آلاف بیت، أکثرها مدائح الأئمة، هکذا ذکره السید عبد الحسین آل شرف الدین فی کتابه بغیة الراغبین فی أحوال آل شرف الدین.</w:t>
      </w:r>
    </w:p>
    <w:p>
      <w:pPr>
        <w:pStyle w:val="Heading3"/>
      </w:pPr>
      <w:bookmarkStart w:id="9588" w:name="_Toc8284"/>
      <w:r>
        <w:t>7236- دیوان السید موسی العاملی‏</w:t>
      </w:r>
      <w:bookmarkEnd w:id="9588"/>
    </w:p>
    <w:p>
      <w:pPr>
        <w:pStyle w:val="BookText"/>
      </w:pPr>
      <w:r>
        <w:rPr>
          <w:rFonts w:ascii="IRNazanin" w:hAnsi="IRNazanin" w:eastAsia="IRNazanin" w:cs="IRNazanin"/>
          <w:lang w:bidi="fa-IR"/>
          <w:color w:val="111111"/>
          <w:sz w:val="28"/>
          <w:szCs w:val="28"/>
          <w:rtl/>
        </w:rPr>
        <w:t xml:space="preserve">المعاصر للشیخ إبراهیم صادق و السید صالح القزوینی و السید راضی و عبد الباقی العمری. کذا ترجمه السید محمد علی بن أبی الحسن الموسوی العاملی فی یتیمة الدهر و نقل عنه سیدنا الحسن الصدر فی التکملة.</w:t>
      </w:r>
    </w:p>
    <w:p>
      <w:pPr>
        <w:pStyle w:val="Heading3"/>
      </w:pPr>
      <w:bookmarkStart w:id="9589" w:name="_Toc8285"/>
      <w:r>
        <w:t>7237- دیوان موسی النقدی‏</w:t>
      </w:r>
      <w:bookmarkEnd w:id="9589"/>
    </w:p>
    <w:p>
      <w:pPr>
        <w:pStyle w:val="BookText"/>
      </w:pPr>
      <w:r>
        <w:rPr>
          <w:rFonts w:ascii="IRNazanin" w:hAnsi="IRNazanin" w:eastAsia="IRNazanin" w:cs="IRNazanin"/>
          <w:lang w:bidi="fa-IR"/>
          <w:color w:val="111111"/>
          <w:sz w:val="28"/>
          <w:szCs w:val="28"/>
          <w:rtl/>
        </w:rPr>
        <w:t xml:space="preserve">ابن الشیخ جعفر النقدی القاضی للجعفریة بالعمارة ثم بغداد و المتوفی 1370 فاضل أدیب شاعر فی شبابه. ترجمه الخاقانی فی شعراء الزوراء.</w:t>
      </w:r>
    </w:p>
    <w:p>
      <w:pPr>
        <w:pStyle w:val="Heading3"/>
      </w:pPr>
      <w:bookmarkStart w:id="9590" w:name="_Toc8286"/>
      <w:r>
        <w:t>7238- دیوان موسی همدانی أو شعره‏</w:t>
      </w:r>
      <w:bookmarkEnd w:id="9590"/>
    </w:p>
    <w:p>
      <w:pPr>
        <w:pStyle w:val="BookText"/>
      </w:pPr>
      <w:r>
        <w:rPr>
          <w:rFonts w:ascii="IRNazanin" w:hAnsi="IRNazanin" w:eastAsia="IRNazanin" w:cs="IRNazanin"/>
          <w:lang w:bidi="fa-IR"/>
          <w:color w:val="111111"/>
          <w:sz w:val="28"/>
          <w:szCs w:val="28"/>
          <w:rtl/>
        </w:rPr>
        <w:t xml:space="preserve">و هو المیرزا موسی النقاش کما ترجم فی (گلشن- ص 472).</w:t>
      </w:r>
    </w:p>
    <w:p>
      <w:pPr>
        <w:pStyle w:val="Heading3"/>
      </w:pPr>
      <w:bookmarkStart w:id="9591" w:name="_Toc8287"/>
      <w:r>
        <w:t>7239- دیوان موفق أندجانی أو شعره‏</w:t>
      </w:r>
      <w:bookmarkEnd w:id="9591"/>
    </w:p>
    <w:p>
      <w:pPr>
        <w:pStyle w:val="BookText"/>
      </w:pPr>
      <w:r>
        <w:rPr>
          <w:rFonts w:ascii="IRNazanin" w:hAnsi="IRNazanin" w:eastAsia="IRNazanin" w:cs="IRNazanin"/>
          <w:lang w:bidi="fa-IR"/>
          <w:color w:val="111111"/>
          <w:sz w:val="28"/>
          <w:szCs w:val="28"/>
          <w:rtl/>
        </w:rPr>
        <w:t xml:space="preserve">ورد شعره فی (گلشن- ص 472).</w:t>
      </w:r>
    </w:p>
    <w:p>
      <w:pPr>
        <w:pStyle w:val="Heading3"/>
      </w:pPr>
      <w:bookmarkStart w:id="9592" w:name="_Toc8288"/>
      <w:r>
        <w:t>7240- دیوان مولا داده‏</w:t>
      </w:r>
      <w:bookmarkEnd w:id="9592"/>
    </w:p>
    <w:p>
      <w:pPr>
        <w:pStyle w:val="BookText"/>
      </w:pPr>
      <w:r>
        <w:rPr>
          <w:rFonts w:ascii="IRNazanin" w:hAnsi="IRNazanin" w:eastAsia="IRNazanin" w:cs="IRNazanin"/>
          <w:lang w:bidi="fa-IR"/>
          <w:color w:val="111111"/>
          <w:sz w:val="28"/>
          <w:szCs w:val="28"/>
          <w:rtl/>
        </w:rPr>
        <w:t xml:space="preserve">طبع بلاهور مع مقدمه بلغة أردو للنواب أسد الله خان فی 1926 م. فی 175 ص.</w:t>
      </w:r>
    </w:p>
    <w:p>
      <w:pPr>
        <w:pStyle w:val="Heading3"/>
      </w:pPr>
      <w:bookmarkStart w:id="9593" w:name="_Toc8289"/>
      <w:r>
        <w:t>دیوان مولانا بلخی‏</w:t>
      </w:r>
      <w:bookmarkEnd w:id="9593"/>
    </w:p>
    <w:p>
      <w:pPr>
        <w:pStyle w:val="BookText"/>
      </w:pPr>
      <w:r>
        <w:rPr>
          <w:rFonts w:ascii="IRNazanin" w:hAnsi="IRNazanin" w:eastAsia="IRNazanin" w:cs="IRNazanin"/>
          <w:lang w:bidi="fa-IR"/>
          <w:color w:val="111111"/>
          <w:sz w:val="28"/>
          <w:szCs w:val="28"/>
          <w:rtl/>
        </w:rPr>
        <w:t xml:space="preserve">راجع دیوان مولوی.</w:t>
      </w:r>
    </w:p>
    <w:p>
      <w:pPr>
        <w:pStyle w:val="Heading3"/>
      </w:pPr>
      <w:bookmarkStart w:id="9594" w:name="_Toc8290"/>
      <w:r>
        <w:t>دیوان مولانازاده‏</w:t>
      </w:r>
      <w:bookmarkEnd w:id="9594"/>
    </w:p>
    <w:p>
      <w:pPr>
        <w:pStyle w:val="BookText"/>
      </w:pPr>
      <w:r>
        <w:rPr>
          <w:rFonts w:ascii="IRNazanin" w:hAnsi="IRNazanin" w:eastAsia="IRNazanin" w:cs="IRNazanin"/>
          <w:lang w:bidi="fa-IR"/>
          <w:color w:val="111111"/>
          <w:sz w:val="28"/>
          <w:szCs w:val="28"/>
          <w:rtl/>
        </w:rPr>
        <w:t xml:space="preserve">راجع دیوان حمدی بردعی‏زاده.</w:t>
      </w:r>
    </w:p>
    <w:p>
      <w:pPr>
        <w:pStyle w:val="Heading3"/>
      </w:pPr>
      <w:bookmarkStart w:id="9595" w:name="_Toc8291"/>
      <w:r>
        <w:t>7241- دیوان مولای أصفهانی أو شعره‏</w:t>
      </w:r>
      <w:bookmarkEnd w:id="9595"/>
    </w:p>
    <w:p>
      <w:pPr>
        <w:pStyle w:val="BookText"/>
      </w:pPr>
      <w:r>
        <w:rPr>
          <w:rFonts w:ascii="IRNazanin" w:hAnsi="IRNazanin" w:eastAsia="IRNazanin" w:cs="IRNazanin"/>
          <w:lang w:bidi="fa-IR"/>
          <w:color w:val="111111"/>
          <w:sz w:val="28"/>
          <w:szCs w:val="28"/>
          <w:rtl/>
        </w:rPr>
        <w:t xml:space="preserve">و اسمه آقا عبد المولی الخطاط المعاصر للشاه سلطان حسین الصفوی. لاقاه آذر فی الستین من عمره و کان ینزل سنجان من‏
</w:t>
      </w:r>
    </w:p>
    <w:p>
      <w:pPr>
        <w:sectPr>
          <w:footerReference w:type="default" r:id="rId1130"/>
          <w:footnotePr>
            <w:numStart w:val="1"/>
            <w:numRestart w:val="eachPage"/>
          </w:footnotePr>
          <w:pgSz w:orient="portrait" w:w="11905.511811023622" w:h="16837.79527559055"/>
          <w:pgMar w:top="1440" w:right="1440" w:bottom="1440" w:left="1440" w:header="720" w:footer="720" w:gutter="0"/>
          <w:cols w:num="1" w:space="720"/>
        </w:sectPr>
      </w:pPr>
    </w:p>
    <w:bookmarkStart w:id="1109" w:name="pg11704_122598"/>
    <w:bookmarkEnd w:id="1109"/>
    <w:p>
      <w:pPr>
        <w:pStyle w:val="BookText"/>
      </w:pPr>
      <w:r>
        <w:rPr>
          <w:rFonts w:ascii="IRNazanin" w:hAnsi="IRNazanin" w:eastAsia="IRNazanin" w:cs="IRNazanin"/>
          <w:lang w:bidi="fa-IR"/>
          <w:color w:val="111111"/>
          <w:sz w:val="28"/>
          <w:szCs w:val="28"/>
          <w:rtl/>
        </w:rPr>
        <w:t xml:space="preserve">قرأ أصفهان فذکره فی (تش- ص 412) و زاد فی (گلشن- ص 473) أنه مات فی 1160 و عنه فی القاموس الترکی ثم الریحانة.</w:t>
      </w:r>
    </w:p>
    <w:p>
      <w:pPr>
        <w:pStyle w:val="Heading3"/>
      </w:pPr>
      <w:bookmarkStart w:id="9596" w:name="_Toc8292"/>
      <w:r>
        <w:t>7242- دیوان مولای أصفهانی أو شعره‏</w:t>
      </w:r>
      <w:bookmarkEnd w:id="9596"/>
    </w:p>
    <w:p>
      <w:pPr>
        <w:pStyle w:val="BookText"/>
      </w:pPr>
      <w:r>
        <w:rPr>
          <w:rFonts w:ascii="IRNazanin" w:hAnsi="IRNazanin" w:eastAsia="IRNazanin" w:cs="IRNazanin"/>
          <w:lang w:bidi="fa-IR"/>
          <w:color w:val="111111"/>
          <w:sz w:val="28"/>
          <w:szCs w:val="28"/>
          <w:rtl/>
        </w:rPr>
        <w:t xml:space="preserve">و اسمه خلیفة أسد الله و هو جد خلیفة سلطان. کذا ترجمه الزنوزی.</w:t>
      </w:r>
    </w:p>
    <w:p>
      <w:pPr>
        <w:pStyle w:val="Heading3"/>
      </w:pPr>
      <w:bookmarkStart w:id="9597" w:name="_Toc8293"/>
      <w:r>
        <w:t>دیوان مولای سنجانی‏</w:t>
      </w:r>
      <w:bookmarkEnd w:id="9597"/>
    </w:p>
    <w:p>
      <w:pPr>
        <w:pStyle w:val="BookText"/>
      </w:pPr>
      <w:r>
        <w:rPr>
          <w:rFonts w:ascii="IRNazanin" w:hAnsi="IRNazanin" w:eastAsia="IRNazanin" w:cs="IRNazanin"/>
          <w:lang w:bidi="fa-IR"/>
          <w:color w:val="111111"/>
          <w:sz w:val="28"/>
          <w:szCs w:val="28"/>
          <w:rtl/>
        </w:rPr>
        <w:t xml:space="preserve">راجع دیوان مولای أصفهانی عبد المولی.</w:t>
      </w:r>
    </w:p>
    <w:p>
      <w:pPr>
        <w:pStyle w:val="Heading3"/>
      </w:pPr>
      <w:bookmarkStart w:id="9598" w:name="_Toc8294"/>
      <w:r>
        <w:t>7243- دیوان مؤلف الدولة</w:t>
      </w:r>
      <w:bookmarkEnd w:id="9598"/>
    </w:p>
    <w:p>
      <w:pPr>
        <w:pStyle w:val="BookText"/>
      </w:pPr>
      <w:r>
        <w:rPr>
          <w:rFonts w:ascii="IRNazanin" w:hAnsi="IRNazanin" w:eastAsia="IRNazanin" w:cs="IRNazanin"/>
          <w:lang w:bidi="fa-IR"/>
          <w:color w:val="111111"/>
          <w:sz w:val="28"/>
          <w:szCs w:val="28"/>
          <w:rtl/>
        </w:rPr>
        <w:t xml:space="preserve">و هو المیرزا عبد الحسین خان زند. له فرهنگ منظوم فرانسه بفارسی طبع بطهران 1320.</w:t>
      </w:r>
    </w:p>
    <w:p>
      <w:pPr>
        <w:pStyle w:val="Heading3"/>
      </w:pPr>
      <w:bookmarkStart w:id="9599" w:name="_Toc8295"/>
      <w:r>
        <w:t>7244- دیوان مولوی بخاری أو شعره‏</w:t>
      </w:r>
      <w:bookmarkEnd w:id="9599"/>
    </w:p>
    <w:p>
      <w:pPr>
        <w:pStyle w:val="BookText"/>
      </w:pPr>
      <w:r>
        <w:rPr>
          <w:rFonts w:ascii="IRNazanin" w:hAnsi="IRNazanin" w:eastAsia="IRNazanin" w:cs="IRNazanin"/>
          <w:lang w:bidi="fa-IR"/>
          <w:color w:val="111111"/>
          <w:sz w:val="28"/>
          <w:szCs w:val="28"/>
          <w:rtl/>
        </w:rPr>
        <w:t xml:space="preserve">أورد النصرآبادی شعره فی (نر 10- ص 436). و قال هو من ملازمی عبد العزیز الأزبک.</w:t>
      </w:r>
    </w:p>
    <w:p>
      <w:pPr>
        <w:pStyle w:val="Heading3"/>
      </w:pPr>
      <w:bookmarkStart w:id="9600" w:name="_Toc8296"/>
      <w:r>
        <w:t>7245- دیوان مولوی رومی‏</w:t>
      </w:r>
      <w:bookmarkEnd w:id="9600"/>
    </w:p>
    <w:p>
      <w:pPr>
        <w:pStyle w:val="BookText"/>
      </w:pPr>
      <w:r>
        <w:rPr>
          <w:rFonts w:ascii="IRNazanin" w:hAnsi="IRNazanin" w:eastAsia="IRNazanin" w:cs="IRNazanin"/>
          <w:lang w:bidi="fa-IR"/>
          <w:color w:val="111111"/>
          <w:sz w:val="28"/>
          <w:szCs w:val="28"/>
          <w:rtl/>
        </w:rPr>
        <w:t xml:space="preserve">جلال الدین محمد بن بهاء الدین الملقب بسلطان العلماء بن جلال الدین بن أحمد الخطیبی البلخی المولود 604 المتوفی 672 و دیوانه غزلیات یتخلص فیها باسم مراده شمس الحق التبریزی طبع فی الهند مع زیادات بعنوان کلیات شمس کما مر فی ص 539 و نسخه منه فی مکتبة (المجلس) فیها ثلاثة آلاف و مائة و خمسین بیتا کما فی فهرسها ج 3 ص 316 و للمولوی تصانیف أخر غیر المثنوی المشهور أوردها مع بیان أحوال المولوی و تواریخه بدیع الزمان فروزانفر الخراسانی فی رسالة مرتبة علی عشرة فصول طبعت فی 191 ص فی 1315 ش. و کان یتخلص خاموش أیضا کما مر. و لحسین خوارزمی المتوفی 840 شرحان علی المثنوی کنوز الحقائق و جواهر الأسرار و لنظام الدین داعی النیشابوری المتوفی 877 شرح علی المثنوی و لعلاء الدین مصنفک أیضا شرح علی بعض أبیاته و لملا حسین الکاشفی منتخب منه باسم لب لباب مثنوی و مثله لیوسف سینه</w:t>
      </w:r>
    </w:p>
    <w:p>
      <w:pPr>
        <w:pStyle w:val="BookText"/>
      </w:pPr>
      <w:r>
        <w:rPr>
          <w:rFonts w:ascii="IRNazanin" w:hAnsi="IRNazanin" w:eastAsia="IRNazanin" w:cs="IRNazanin"/>
          <w:lang w:bidi="fa-IR"/>
          <w:color w:val="111111"/>
          <w:sz w:val="28"/>
          <w:szCs w:val="28"/>
          <w:rtl/>
        </w:rPr>
        <w:t xml:space="preserve">چاک سماه جزیرة مثنوی و مثله لإبراهیم ده اسمه مفردات مثنوی و شرح المثنوی سروری مصطفی المتوفی 969 بالفارسیة و ملا سودی بالترکیة و ملا شمعی أیضا بالترکیة و عبد المجید السیواس المتوفی 1049 مزجا بالترکیة و شرح ظریفی چلبی بعض أبیات المثنوی و سماه کاشف الأسرار. و جمع علائی الشیرازی الواعظ کلمات المثنوی و سماه أزهار مثنوی و کذا فعل عبد اللطیف العباسی و سماه لطائف اللغات و قد طبع مکررا. و شرح المثنوی‏
</w:t>
      </w:r>
    </w:p>
    <w:p>
      <w:pPr>
        <w:sectPr>
          <w:footerReference w:type="default" r:id="rId1131"/>
          <w:footnotePr>
            <w:numStart w:val="1"/>
            <w:numRestart w:val="eachPage"/>
          </w:footnotePr>
          <w:pgSz w:orient="portrait" w:w="11905.511811023622" w:h="16837.79527559055"/>
          <w:pgMar w:top="1440" w:right="1440" w:bottom="1440" w:left="1440" w:header="720" w:footer="720" w:gutter="0"/>
          <w:cols w:num="1" w:space="720"/>
        </w:sectPr>
      </w:pPr>
    </w:p>
    <w:bookmarkStart w:id="1110" w:name="pg11704_122599"/>
    <w:bookmarkEnd w:id="1110"/>
    <w:p>
      <w:pPr>
        <w:pStyle w:val="BookText"/>
      </w:pPr>
      <w:r>
        <w:rPr>
          <w:rFonts w:ascii="IRNazanin" w:hAnsi="IRNazanin" w:eastAsia="IRNazanin" w:cs="IRNazanin"/>
          <w:lang w:bidi="fa-IR"/>
          <w:color w:val="111111"/>
          <w:sz w:val="28"/>
          <w:szCs w:val="28"/>
          <w:rtl/>
        </w:rPr>
        <w:t xml:space="preserve">أیضا ضعیفی القره‏طوی و جلوتی الإستانبولی و دده یعقوبی و أحراری الهندی و بحر العلوم الأنصاری الهندی. و أکمل نجیب الدین رضا الذهبی الدفتر السادس و سماه سبع المثانی و طبع بشیراز 1342 و لإلهی بخش الهندی تکمیل الدفتر السادس و لحسینی قزوینی المذکور فی ص 254 شرح علی الدیباجات الستة المنثورة للمثنوی. اثنان من هذه الستة فارسیان و أربعة منها عربیات. و قد ترجمها بالفارسیة أیضا عبد اللطیف العباسی و أنشأ للکل دیباجة سابعة. ثم جاء إسماعیل دده المتوفی 1041 بالدفتر السابع للمثنوی و ادعی أنه وجده فی نسخه کتبت فی 814 و لکن أنکره أتباع المولویة.</w:t>
      </w:r>
    </w:p>
    <w:p>
      <w:pPr>
        <w:pStyle w:val="BookText"/>
      </w:pPr>
      <w:r>
        <w:rPr>
          <w:rFonts w:ascii="IRNazanin" w:hAnsi="IRNazanin" w:eastAsia="IRNazanin" w:cs="IRNazanin"/>
          <w:lang w:bidi="fa-IR"/>
          <w:color w:val="111111"/>
          <w:sz w:val="28"/>
          <w:szCs w:val="28"/>
          <w:rtl/>
        </w:rPr>
        <w:t xml:space="preserve">و للجامی المتوفی 898 نی‏نامه فی شرح بیتین من أول مثنوی للمولوی، طبع فی حاشیة أشعة اللمعات و طبع شرح مثنوی للأنقره‏وی بالترکیة فی إستانبول فی مجلدات و لأسرار السبزواری المذکور فی ص 72 شرح علی المثنوی مطبوع و شرحه أیضا بالإنگلیزیة رینولد نیکلسون فی مجلدین طبعهما مع ثلاث مجلدات للمتن فی 1925 إلی 1940 م. و لمحمد علی جمال‏زاده بانگ نای جمع فیه قصص المثنوی. طبع بطهران 1337 ش فی 394+ 24 ص. و طبع رباعیات منسوبة إلی المولوی بأستانبول فی 1314 و أصفهان 1360 و طبع دیوان کبیر بتصحیح فروزانفر فی ست مجلدات. و غزلیات شورانگیز شمس بانتخاب فریدون کار فی 435 ص. فی 1377 بطهران و ترجم المولوی فی (لت) و (بهش 1: ص 321) و (خیال- ص 42) و (نفحات- ص 409) و (حسینی- ص 81) و (تش- ص 322) و (ض- ص 91) و (نتایج- ص 139) و (گلشن- ص 102) و ریحانة الأدب و مجلة مهر 2: 130 و أرمغان 16: 104 إلی أربعة أعداد و هلال 6: 3: 10 و روزگار نو 3: 3: 2. و کتب فی أحواله رسالات مستقلة منها شخصیت مولوی لحسین شجرة ذکر فی 13: 42 و ولدنامه لبهاء الدین ولد، و سوانح مولوی رومی لشبلی نعمانی. و ترجمه بالفارسیة فخر داعی و رسالة فریدون سپهسالار در أحوال مولانا و زندگانی مولانا لفروزانفر و حضرات خمسة لإلهی بخش الهندی.</w:t>
      </w:r>
    </w:p>
    <w:p>
      <w:pPr>
        <w:pStyle w:val="Heading3"/>
      </w:pPr>
      <w:bookmarkStart w:id="9601" w:name="_Toc8297"/>
      <w:r>
        <w:t>7246- دیوان مولوی سندی‏</w:t>
      </w:r>
      <w:bookmarkEnd w:id="9601"/>
    </w:p>
    <w:p>
      <w:pPr>
        <w:pStyle w:val="BookText"/>
      </w:pPr>
      <w:r>
        <w:rPr>
          <w:rFonts w:ascii="IRNazanin" w:hAnsi="IRNazanin" w:eastAsia="IRNazanin" w:cs="IRNazanin"/>
          <w:lang w:bidi="fa-IR"/>
          <w:color w:val="111111"/>
          <w:sz w:val="28"/>
          <w:szCs w:val="28"/>
          <w:rtl/>
        </w:rPr>
        <w:t xml:space="preserve">و اسمه محمد علی الصوفی الهندی المتوفی 1253 نقل عن دیوانه فی (روشن- ص 660) و له گوهر منظوم فی اللغة الفارسیة کما فی البلغة-
</w:t>
      </w:r>
    </w:p>
    <w:p>
      <w:pPr>
        <w:sectPr>
          <w:footerReference w:type="default" r:id="rId1132"/>
          <w:footnotePr>
            <w:numStart w:val="1"/>
            <w:numRestart w:val="eachPage"/>
          </w:footnotePr>
          <w:pgSz w:orient="portrait" w:w="11905.511811023622" w:h="16837.79527559055"/>
          <w:pgMar w:top="1440" w:right="1440" w:bottom="1440" w:left="1440" w:header="720" w:footer="720" w:gutter="0"/>
          <w:cols w:num="1" w:space="720"/>
        </w:sectPr>
      </w:pPr>
    </w:p>
    <w:bookmarkStart w:id="1111" w:name="pg11704_122600"/>
    <w:bookmarkEnd w:id="1111"/>
    <w:p>
      <w:pPr>
        <w:pStyle w:val="BookText"/>
      </w:pPr>
      <w:r>
        <w:rPr>
          <w:rFonts w:ascii="IRNazanin" w:hAnsi="IRNazanin" w:eastAsia="IRNazanin" w:cs="IRNazanin"/>
          <w:lang w:bidi="fa-IR"/>
          <w:color w:val="111111"/>
          <w:sz w:val="28"/>
          <w:szCs w:val="28"/>
          <w:rtl/>
        </w:rPr>
        <w:t xml:space="preserve">ص 162 لصدیق حسن. و هو غیر محمد هندی المذکور فی ص 1007.</w:t>
      </w:r>
    </w:p>
    <w:p>
      <w:pPr>
        <w:pStyle w:val="Heading3"/>
      </w:pPr>
      <w:bookmarkStart w:id="9602" w:name="_Toc8298"/>
      <w:r>
        <w:t>7247- دیوان مولوی سیستانی أو شعره‏</w:t>
      </w:r>
      <w:bookmarkEnd w:id="9602"/>
    </w:p>
    <w:p>
      <w:pPr>
        <w:pStyle w:val="BookText"/>
      </w:pPr>
      <w:r>
        <w:rPr>
          <w:rFonts w:ascii="IRNazanin" w:hAnsi="IRNazanin" w:eastAsia="IRNazanin" w:cs="IRNazanin"/>
          <w:lang w:bidi="fa-IR"/>
          <w:color w:val="111111"/>
          <w:sz w:val="28"/>
          <w:szCs w:val="28"/>
          <w:rtl/>
        </w:rPr>
        <w:t xml:space="preserve">و اسمه الحاج محمد معاصر الدشت بیاضی. ورد شعره فی (گلشن- ص 472).</w:t>
      </w:r>
    </w:p>
    <w:p>
      <w:pPr>
        <w:pStyle w:val="Heading3"/>
      </w:pPr>
      <w:bookmarkStart w:id="9603" w:name="_Toc8299"/>
      <w:r>
        <w:t>7248- دیوان مولوی شیرازی‏</w:t>
      </w:r>
      <w:bookmarkEnd w:id="9603"/>
    </w:p>
    <w:p>
      <w:pPr>
        <w:pStyle w:val="BookText"/>
      </w:pPr>
      <w:r>
        <w:rPr>
          <w:rFonts w:ascii="IRNazanin" w:hAnsi="IRNazanin" w:eastAsia="IRNazanin" w:cs="IRNazanin"/>
          <w:lang w:bidi="fa-IR"/>
          <w:color w:val="111111"/>
          <w:sz w:val="28"/>
          <w:szCs w:val="28"/>
          <w:rtl/>
        </w:rPr>
        <w:t xml:space="preserve">السید علی أکبر من السادات المولویة بشیراز. ترجم فی (عم- ص 439) قال کان فاضلا عالما عابدا زاهدا فقیها شاعرا لغویا قاریا توفی 1307 و دفن فی الحافظیة و رثاه ولده السید نور الدین المتخلص بشعشعی بقطعة و مصراع التاریخ [</w:t>
      </w:r>
    </w:p>
    <w:p>
      <w:pPr>
        <w:pStyle w:val="BookText"/>
      </w:pPr>
      <w:r>
        <w:rPr>
          <w:rFonts w:ascii="IRNazanin" w:hAnsi="IRNazanin" w:eastAsia="IRNazanin" w:cs="IRNazanin"/>
          <w:lang w:bidi="fa-IR"/>
          <w:color w:val="111111"/>
          <w:sz w:val="28"/>
          <w:szCs w:val="28"/>
          <w:rtl/>
        </w:rPr>
        <w:t xml:space="preserve">لهفا لموت علی أکبر الشأن‏</w:t>
      </w:r>
    </w:p>
    <w:p>
      <w:pPr>
        <w:pStyle w:val="BookText"/>
      </w:pPr>
      <w:r>
        <w:rPr>
          <w:rFonts w:ascii="IRNazanin" w:hAnsi="IRNazanin" w:eastAsia="IRNazanin" w:cs="IRNazanin"/>
          <w:lang w:bidi="fa-IR"/>
          <w:color w:val="111111"/>
          <w:sz w:val="28"/>
          <w:szCs w:val="28"/>
          <w:rtl/>
        </w:rPr>
        <w:t xml:space="preserve">] و عنه نقل فی الریحانة.</w:t>
      </w:r>
    </w:p>
    <w:p>
      <w:pPr>
        <w:pStyle w:val="Heading3"/>
      </w:pPr>
      <w:bookmarkStart w:id="9604" w:name="_Toc8300"/>
      <w:r>
        <w:t>7249- دیوان مولوی گیلانی‏</w:t>
      </w:r>
      <w:bookmarkEnd w:id="9604"/>
    </w:p>
    <w:p>
      <w:pPr>
        <w:pStyle w:val="BookText"/>
      </w:pPr>
      <w:r>
        <w:rPr>
          <w:rFonts w:ascii="IRNazanin" w:hAnsi="IRNazanin" w:eastAsia="IRNazanin" w:cs="IRNazanin"/>
          <w:lang w:bidi="fa-IR"/>
          <w:color w:val="111111"/>
          <w:sz w:val="28"/>
          <w:szCs w:val="28"/>
          <w:rtl/>
        </w:rPr>
        <w:t xml:space="preserve">لمیرزا هادی المعروف ب وفا علی شاه. له منظومة عالم و آدم فی تاریخ العالم یزید علی خمسة آلاف بیت. طبع بطهران فی 1312 ش.</w:t>
      </w:r>
    </w:p>
    <w:p>
      <w:pPr>
        <w:pStyle w:val="BookText"/>
      </w:pPr>
      <w:r>
        <w:rPr>
          <w:rFonts w:ascii="IRNazanin" w:hAnsi="IRNazanin" w:eastAsia="IRNazanin" w:cs="IRNazanin"/>
          <w:lang w:bidi="fa-IR"/>
          <w:color w:val="111111"/>
          <w:sz w:val="28"/>
          <w:szCs w:val="28"/>
          <w:rtl/>
        </w:rPr>
        <w:t xml:space="preserve">و ترجمه البرقعی فی سخنوران نامی معاصر- ج 3 ص 268.</w:t>
      </w:r>
    </w:p>
    <w:p>
      <w:pPr>
        <w:pStyle w:val="Heading3"/>
      </w:pPr>
      <w:bookmarkStart w:id="9605" w:name="_Toc8301"/>
      <w:r>
        <w:t>7250- دیوان مؤمن ابرقوهی أو شعره‏</w:t>
      </w:r>
      <w:bookmarkEnd w:id="9605"/>
    </w:p>
    <w:p>
      <w:pPr>
        <w:pStyle w:val="BookText"/>
      </w:pPr>
      <w:r>
        <w:rPr>
          <w:rFonts w:ascii="IRNazanin" w:hAnsi="IRNazanin" w:eastAsia="IRNazanin" w:cs="IRNazanin"/>
          <w:lang w:bidi="fa-IR"/>
          <w:color w:val="111111"/>
          <w:sz w:val="28"/>
          <w:szCs w:val="28"/>
          <w:rtl/>
        </w:rPr>
        <w:t xml:space="preserve">ورد شعره فی (گلشن- 473).</w:t>
      </w:r>
    </w:p>
    <w:p>
      <w:pPr>
        <w:pStyle w:val="Heading3"/>
      </w:pPr>
      <w:bookmarkStart w:id="9606" w:name="_Toc8302"/>
      <w:r>
        <w:t>7251- دیوان مؤمن أسترآبادی أو شعره‏</w:t>
      </w:r>
      <w:bookmarkEnd w:id="9606"/>
    </w:p>
    <w:p>
      <w:pPr>
        <w:pStyle w:val="BookText"/>
      </w:pPr>
      <w:r>
        <w:rPr>
          <w:rFonts w:ascii="IRNazanin" w:hAnsi="IRNazanin" w:eastAsia="IRNazanin" w:cs="IRNazanin"/>
          <w:lang w:bidi="fa-IR"/>
          <w:color w:val="111111"/>
          <w:sz w:val="28"/>
          <w:szCs w:val="28"/>
          <w:rtl/>
        </w:rPr>
        <w:t xml:space="preserve">و هو محمد مؤمن ابن أخت السید فخر الدین السماکی. کان عالما و معلما للسلطان حیدر الصفوی و کان حیا فی 1025.</w:t>
      </w:r>
    </w:p>
    <w:p>
      <w:pPr>
        <w:pStyle w:val="BookText"/>
      </w:pPr>
      <w:r>
        <w:rPr>
          <w:rFonts w:ascii="IRNazanin" w:hAnsi="IRNazanin" w:eastAsia="IRNazanin" w:cs="IRNazanin"/>
          <w:lang w:bidi="fa-IR"/>
          <w:color w:val="111111"/>
          <w:sz w:val="28"/>
          <w:szCs w:val="28"/>
          <w:rtl/>
        </w:rPr>
        <w:t xml:space="preserve">أورد کتاب دار شعره فی (خص 6- ص 78). و فی (تش- ص 154) أنه ذهب إلی الهند و کذا فی هفت إقلیم و (روشن- ص 661).</w:t>
      </w:r>
    </w:p>
    <w:p>
      <w:pPr>
        <w:pStyle w:val="Heading3"/>
      </w:pPr>
      <w:bookmarkStart w:id="9607" w:name="_Toc8303"/>
      <w:r>
        <w:t>7252- دیوان مؤمن أصفهانی أو شعره‏</w:t>
      </w:r>
      <w:bookmarkEnd w:id="9607"/>
    </w:p>
    <w:p>
      <w:pPr>
        <w:pStyle w:val="BookText"/>
      </w:pPr>
      <w:r>
        <w:rPr>
          <w:rFonts w:ascii="IRNazanin" w:hAnsi="IRNazanin" w:eastAsia="IRNazanin" w:cs="IRNazanin"/>
          <w:lang w:bidi="fa-IR"/>
          <w:color w:val="111111"/>
          <w:sz w:val="28"/>
          <w:szCs w:val="28"/>
          <w:rtl/>
        </w:rPr>
        <w:t xml:space="preserve">هو ابن الحاج آقا. ورد شعره فی (گلشن- ص 474) و قال سافر مع التقی الأوحدی إلی الهند و جاء منه إلی العراق ثم رجع ثانیا إلی الهند و مات هناک.</w:t>
      </w:r>
    </w:p>
    <w:p>
      <w:pPr>
        <w:pStyle w:val="Heading3"/>
      </w:pPr>
      <w:bookmarkStart w:id="9608" w:name="_Toc8304"/>
      <w:r>
        <w:t>7253- دیوان مؤمن أصفهانی أو شعره‏</w:t>
      </w:r>
      <w:bookmarkEnd w:id="9608"/>
    </w:p>
    <w:p>
      <w:pPr>
        <w:pStyle w:val="BookText"/>
      </w:pPr>
      <w:r>
        <w:rPr>
          <w:rFonts w:ascii="IRNazanin" w:hAnsi="IRNazanin" w:eastAsia="IRNazanin" w:cs="IRNazanin"/>
          <w:lang w:bidi="fa-IR"/>
          <w:color w:val="111111"/>
          <w:sz w:val="28"/>
          <w:szCs w:val="28"/>
          <w:rtl/>
        </w:rPr>
        <w:t xml:space="preserve">هو والد صامت المذکور فی ص 590 ترجم فی (نر 8- ص 210) نقلا عن تذکره صالح دستغیب.</w:t>
      </w:r>
    </w:p>
    <w:p>
      <w:pPr>
        <w:pStyle w:val="Heading3"/>
      </w:pPr>
      <w:bookmarkStart w:id="9609" w:name="_Toc8305"/>
      <w:r>
        <w:t>دیوان مؤمن بفروئی‏</w:t>
      </w:r>
      <w:bookmarkEnd w:id="9609"/>
    </w:p>
    <w:p>
      <w:pPr>
        <w:pStyle w:val="BookText"/>
      </w:pPr>
      <w:r>
        <w:rPr>
          <w:rFonts w:ascii="IRNazanin" w:hAnsi="IRNazanin" w:eastAsia="IRNazanin" w:cs="IRNazanin"/>
          <w:lang w:bidi="fa-IR"/>
          <w:color w:val="111111"/>
          <w:sz w:val="28"/>
          <w:szCs w:val="28"/>
          <w:rtl/>
        </w:rPr>
        <w:t xml:space="preserve">راجع أدائی فی ص 63.</w:t>
      </w:r>
    </w:p>
    <w:p>
      <w:pPr>
        <w:pStyle w:val="Heading3"/>
      </w:pPr>
      <w:bookmarkStart w:id="9610" w:name="_Toc8306"/>
      <w:r>
        <w:t>دیوان مؤمن تبریزی‏</w:t>
      </w:r>
      <w:bookmarkEnd w:id="9610"/>
    </w:p>
    <w:p>
      <w:pPr>
        <w:pStyle w:val="BookText"/>
      </w:pPr>
      <w:r>
        <w:rPr>
          <w:rFonts w:ascii="IRNazanin" w:hAnsi="IRNazanin" w:eastAsia="IRNazanin" w:cs="IRNazanin"/>
          <w:lang w:bidi="fa-IR"/>
          <w:color w:val="111111"/>
          <w:sz w:val="28"/>
          <w:szCs w:val="28"/>
          <w:rtl/>
        </w:rPr>
        <w:t xml:space="preserve">مر بتخلصه إیمان.</w:t>
      </w:r>
    </w:p>
    <w:p>
      <w:pPr>
        <w:pStyle w:val="Heading3"/>
      </w:pPr>
      <w:bookmarkStart w:id="9611" w:name="_Toc8307"/>
      <w:r>
        <w:t>7254- دیوان مؤمن ترکمان أو شعره‏</w:t>
      </w:r>
      <w:bookmarkEnd w:id="9611"/>
    </w:p>
    <w:p>
      <w:pPr>
        <w:pStyle w:val="BookText"/>
      </w:pPr>
      <w:r>
        <w:rPr>
          <w:rFonts w:ascii="IRNazanin" w:hAnsi="IRNazanin" w:eastAsia="IRNazanin" w:cs="IRNazanin"/>
          <w:lang w:bidi="fa-IR"/>
          <w:color w:val="111111"/>
          <w:sz w:val="28"/>
          <w:szCs w:val="28"/>
          <w:rtl/>
        </w:rPr>
        <w:t xml:space="preserve">هو أخ محمد أمین ترکمان المشهدی.</w:t>
      </w:r>
    </w:p>
    <w:p>
      <w:pPr>
        <w:pStyle w:val="BookText"/>
      </w:pPr>
      <w:r>
        <w:rPr>
          <w:rFonts w:ascii="IRNazanin" w:hAnsi="IRNazanin" w:eastAsia="IRNazanin" w:cs="IRNazanin"/>
          <w:lang w:bidi="fa-IR"/>
          <w:color w:val="111111"/>
          <w:sz w:val="28"/>
          <w:szCs w:val="28"/>
          <w:rtl/>
        </w:rPr>
        <w:t xml:space="preserve">ورد شعره فی (خص 5- ص 68) و همیشه بهار و (مطلع 2: 445).</w:t>
      </w:r>
    </w:p>
    <w:p>
      <w:pPr>
        <w:pStyle w:val="Heading3"/>
      </w:pPr>
      <w:bookmarkStart w:id="9612" w:name="_Toc8308"/>
      <w:r>
        <w:t>7255- دیوان مؤمن تونی أو شعره‏</w:t>
      </w:r>
      <w:bookmarkEnd w:id="9612"/>
    </w:p>
    <w:p>
      <w:pPr>
        <w:pStyle w:val="BookText"/>
      </w:pPr>
      <w:r>
        <w:rPr>
          <w:rFonts w:ascii="IRNazanin" w:hAnsi="IRNazanin" w:eastAsia="IRNazanin" w:cs="IRNazanin"/>
          <w:lang w:bidi="fa-IR"/>
          <w:color w:val="111111"/>
          <w:sz w:val="28"/>
          <w:szCs w:val="28"/>
          <w:rtl/>
        </w:rPr>
        <w:t xml:space="preserve">و اسمه مؤمنا، أخ الشیخ محمد القاری. قال‏
</w:t>
      </w:r>
    </w:p>
    <w:p>
      <w:pPr>
        <w:sectPr>
          <w:footerReference w:type="default" r:id="rId1133"/>
          <w:footnotePr>
            <w:numStart w:val="1"/>
            <w:numRestart w:val="eachPage"/>
          </w:footnotePr>
          <w:pgSz w:orient="portrait" w:w="11905.511811023622" w:h="16837.79527559055"/>
          <w:pgMar w:top="1440" w:right="1440" w:bottom="1440" w:left="1440" w:header="720" w:footer="720" w:gutter="0"/>
          <w:cols w:num="1" w:space="720"/>
        </w:sectPr>
      </w:pPr>
    </w:p>
    <w:bookmarkStart w:id="1112" w:name="pg11704_122601"/>
    <w:bookmarkEnd w:id="1112"/>
    <w:p>
      <w:pPr>
        <w:pStyle w:val="BookText"/>
      </w:pPr>
      <w:r>
        <w:rPr>
          <w:rFonts w:ascii="IRNazanin" w:hAnsi="IRNazanin" w:eastAsia="IRNazanin" w:cs="IRNazanin"/>
          <w:lang w:bidi="fa-IR"/>
          <w:color w:val="111111"/>
          <w:sz w:val="28"/>
          <w:szCs w:val="28"/>
          <w:rtl/>
        </w:rPr>
        <w:t xml:space="preserve">النصرآبادی فی (نر 9- ص 311) إنه سافر إلی الهند و حج البیت ثلاثا. و عنه أخذ فی (گلشن- ص 474).</w:t>
      </w:r>
    </w:p>
    <w:p>
      <w:pPr>
        <w:pStyle w:val="Heading3"/>
      </w:pPr>
      <w:bookmarkStart w:id="9613" w:name="_Toc8309"/>
      <w:r>
        <w:t>7256- دیوان مؤمن جزائری‏</w:t>
      </w:r>
      <w:bookmarkEnd w:id="9613"/>
    </w:p>
    <w:p>
      <w:pPr>
        <w:pStyle w:val="BookText"/>
      </w:pPr>
      <w:r>
        <w:rPr>
          <w:rFonts w:ascii="IRNazanin" w:hAnsi="IRNazanin" w:eastAsia="IRNazanin" w:cs="IRNazanin"/>
          <w:lang w:bidi="fa-IR"/>
          <w:color w:val="111111"/>
          <w:sz w:val="28"/>
          <w:szCs w:val="28"/>
          <w:rtl/>
        </w:rPr>
        <w:t xml:space="preserve">و هو محمد مؤمن بن محمد قاسم الجزائری الشیرازی (1074- 1130) سمی دیوانه ثمر الفؤاد و سمر البعاد کما مر فی الثاء عن نجوم السماء.</w:t>
      </w:r>
    </w:p>
    <w:p>
      <w:pPr>
        <w:pStyle w:val="Heading3"/>
      </w:pPr>
      <w:bookmarkStart w:id="9614" w:name="_Toc8310"/>
      <w:r>
        <w:t>7257- دیوان مؤمن خجندی أو شعره‏</w:t>
      </w:r>
      <w:bookmarkEnd w:id="9614"/>
    </w:p>
    <w:p>
      <w:pPr>
        <w:pStyle w:val="BookText"/>
      </w:pPr>
      <w:r>
        <w:rPr>
          <w:rFonts w:ascii="IRNazanin" w:hAnsi="IRNazanin" w:eastAsia="IRNazanin" w:cs="IRNazanin"/>
          <w:lang w:bidi="fa-IR"/>
          <w:color w:val="111111"/>
          <w:sz w:val="28"/>
          <w:szCs w:val="28"/>
          <w:rtl/>
        </w:rPr>
        <w:t xml:space="preserve">و اسمه محمد مؤمن لنگ و هو من خجند بترشیز. ترجمه فی مآثر رحیمی و (طبق 2: 519).</w:t>
      </w:r>
    </w:p>
    <w:p>
      <w:pPr>
        <w:pStyle w:val="Heading3"/>
      </w:pPr>
      <w:bookmarkStart w:id="9615" w:name="_Toc8311"/>
      <w:r>
        <w:t>7258- دیوان مؤمن دامغانی أو شعره‏</w:t>
      </w:r>
      <w:bookmarkEnd w:id="9615"/>
    </w:p>
    <w:p>
      <w:pPr>
        <w:pStyle w:val="BookText"/>
      </w:pPr>
      <w:r>
        <w:rPr>
          <w:rFonts w:ascii="IRNazanin" w:hAnsi="IRNazanin" w:eastAsia="IRNazanin" w:cs="IRNazanin"/>
          <w:lang w:bidi="fa-IR"/>
          <w:color w:val="111111"/>
          <w:sz w:val="28"/>
          <w:szCs w:val="28"/>
          <w:rtl/>
        </w:rPr>
        <w:t xml:space="preserve">و هو محمد مؤمن والد محمد تقی بسمل المذکور فی ص 137. و مات مؤمن بشیراز بعد حجة الثالث. ترجمه النصرآبادی فی (نر 9- ص 354) و أورد شعره فی هجو الوزیر الذی سبب غلاء الثلج فی شیراز و کذا فی (گلشن- ص 473) ثم القاموس الترکی فالریحانة.</w:t>
      </w:r>
    </w:p>
    <w:p>
      <w:pPr>
        <w:pStyle w:val="Heading3"/>
      </w:pPr>
      <w:bookmarkStart w:id="9616" w:name="_Toc8312"/>
      <w:r>
        <w:t>7259- دیوان مؤمن سبزواری أو شعره‏</w:t>
      </w:r>
      <w:bookmarkEnd w:id="9616"/>
    </w:p>
    <w:p>
      <w:pPr>
        <w:pStyle w:val="BookText"/>
      </w:pPr>
      <w:r>
        <w:rPr>
          <w:rFonts w:ascii="IRNazanin" w:hAnsi="IRNazanin" w:eastAsia="IRNazanin" w:cs="IRNazanin"/>
          <w:lang w:bidi="fa-IR"/>
          <w:color w:val="111111"/>
          <w:sz w:val="28"/>
          <w:szCs w:val="28"/>
          <w:rtl/>
        </w:rPr>
        <w:t xml:space="preserve">ذکره التقی الأوحدی ضمن معاصریه و ورد شعره فی (گلشن- ص 474) فالقاموس الترکی ثم الریحانة.</w:t>
      </w:r>
    </w:p>
    <w:p>
      <w:pPr>
        <w:pStyle w:val="Heading3"/>
      </w:pPr>
      <w:bookmarkStart w:id="9617" w:name="_Toc8313"/>
      <w:r>
        <w:t>7260- دیوان مؤمن سمرقندی أو شعره‏</w:t>
      </w:r>
      <w:bookmarkEnd w:id="9617"/>
    </w:p>
    <w:p>
      <w:pPr>
        <w:pStyle w:val="BookText"/>
      </w:pPr>
      <w:r>
        <w:rPr>
          <w:rFonts w:ascii="IRNazanin" w:hAnsi="IRNazanin" w:eastAsia="IRNazanin" w:cs="IRNazanin"/>
          <w:lang w:bidi="fa-IR"/>
          <w:color w:val="111111"/>
          <w:sz w:val="28"/>
          <w:szCs w:val="28"/>
          <w:rtl/>
        </w:rPr>
        <w:t xml:space="preserve">و اسمه عبد المؤمن و یتخلص مؤمن ولد فی سمرقند و اشتغل بالعلم فی خانقاه الإخلاصیة. ترجمه القزوینی فی (قز مج 6- ص 288) و أورد شعره. و ذکر فی (لط 6- ص 116) بعنوان مؤمنی.</w:t>
      </w:r>
    </w:p>
    <w:p>
      <w:pPr>
        <w:pStyle w:val="Heading3"/>
      </w:pPr>
      <w:bookmarkStart w:id="9618" w:name="_Toc8314"/>
      <w:r>
        <w:t>7261- دیوان مؤمن شاملو أو شعره‏</w:t>
      </w:r>
      <w:bookmarkEnd w:id="9618"/>
    </w:p>
    <w:p>
      <w:pPr>
        <w:pStyle w:val="BookText"/>
      </w:pPr>
      <w:r>
        <w:rPr>
          <w:rFonts w:ascii="IRNazanin" w:hAnsi="IRNazanin" w:eastAsia="IRNazanin" w:cs="IRNazanin"/>
          <w:lang w:bidi="fa-IR"/>
          <w:color w:val="111111"/>
          <w:sz w:val="28"/>
          <w:szCs w:val="28"/>
          <w:rtl/>
        </w:rPr>
        <w:t xml:space="preserve">و اسمه محمد مؤمن بیک و هو من أحفاد زینل خان أطرأه النصرآبادی فی (نر 2- ص 35).</w:t>
      </w:r>
    </w:p>
    <w:p>
      <w:pPr>
        <w:pStyle w:val="Heading3"/>
      </w:pPr>
      <w:bookmarkStart w:id="9619" w:name="_Toc8315"/>
      <w:r>
        <w:t>دیوان مؤمن فارسی الفیروزآبادی‏</w:t>
      </w:r>
      <w:bookmarkEnd w:id="9619"/>
    </w:p>
    <w:p>
      <w:pPr>
        <w:pStyle w:val="BookText"/>
      </w:pPr>
      <w:r>
        <w:rPr>
          <w:rFonts w:ascii="IRNazanin" w:hAnsi="IRNazanin" w:eastAsia="IRNazanin" w:cs="IRNazanin"/>
          <w:lang w:bidi="fa-IR"/>
          <w:color w:val="111111"/>
          <w:sz w:val="28"/>
          <w:szCs w:val="28"/>
          <w:rtl/>
        </w:rPr>
        <w:t xml:space="preserve">المتخلص بعزتی. مر بتخلصه.</w:t>
      </w:r>
    </w:p>
    <w:p>
      <w:pPr>
        <w:pStyle w:val="Heading3"/>
      </w:pPr>
      <w:bookmarkStart w:id="9620" w:name="_Toc8316"/>
      <w:r>
        <w:t>7262- دیوان مؤمن قومشهی‏</w:t>
      </w:r>
      <w:bookmarkEnd w:id="9620"/>
    </w:p>
    <w:p>
      <w:pPr>
        <w:pStyle w:val="BookText"/>
      </w:pPr>
      <w:r>
        <w:rPr>
          <w:rFonts w:ascii="IRNazanin" w:hAnsi="IRNazanin" w:eastAsia="IRNazanin" w:cs="IRNazanin"/>
          <w:lang w:bidi="fa-IR"/>
          <w:color w:val="111111"/>
          <w:sz w:val="28"/>
          <w:szCs w:val="28"/>
          <w:rtl/>
        </w:rPr>
        <w:t xml:space="preserve">نزیل أصفهان ترجمه النصرآبادی فی (نر 9- ص 407) و أورد عدة من ظرائف أشعاره.</w:t>
      </w:r>
    </w:p>
    <w:p>
      <w:pPr>
        <w:pStyle w:val="Heading3"/>
      </w:pPr>
      <w:bookmarkStart w:id="9621" w:name="_Toc8317"/>
      <w:r>
        <w:t>7263- دیوان مؤمن کاشانی أو شعره‏</w:t>
      </w:r>
      <w:bookmarkEnd w:id="9621"/>
    </w:p>
    <w:p>
      <w:pPr>
        <w:pStyle w:val="BookText"/>
      </w:pPr>
      <w:r>
        <w:rPr>
          <w:rFonts w:ascii="IRNazanin" w:hAnsi="IRNazanin" w:eastAsia="IRNazanin" w:cs="IRNazanin"/>
          <w:lang w:bidi="fa-IR"/>
          <w:color w:val="111111"/>
          <w:sz w:val="28"/>
          <w:szCs w:val="28"/>
          <w:rtl/>
        </w:rPr>
        <w:t xml:space="preserve">کان یعرف یکه‏سوار و کان یقرأ شاهنامه فی المقاهی و یتتبعه.</w:t>
      </w:r>
    </w:p>
    <w:p>
      <w:pPr>
        <w:pStyle w:val="Heading3"/>
      </w:pPr>
      <w:bookmarkStart w:id="9622" w:name="_Toc8318"/>
      <w:r>
        <w:t>7264- دیوان مؤمن گورکانی أو شعره‏</w:t>
      </w:r>
      <w:bookmarkEnd w:id="9622"/>
    </w:p>
    <w:p>
      <w:pPr>
        <w:pStyle w:val="BookText"/>
      </w:pPr>
      <w:r>
        <w:rPr>
          <w:rFonts w:ascii="IRNazanin" w:hAnsi="IRNazanin" w:eastAsia="IRNazanin" w:cs="IRNazanin"/>
          <w:lang w:bidi="fa-IR"/>
          <w:color w:val="111111"/>
          <w:sz w:val="28"/>
          <w:szCs w:val="28"/>
          <w:rtl/>
        </w:rPr>
        <w:t xml:space="preserve">و اسمه محمد مؤمن میرزا ابن بدیع الزمان میرزا ابن حسین بایقرا الگورکانی. ترجمه سام میرزا فی (تس 4- ص 66) و ذکر
</w:t>
      </w:r>
    </w:p>
    <w:p>
      <w:pPr>
        <w:sectPr>
          <w:footerReference w:type="default" r:id="rId1134"/>
          <w:footnotePr>
            <w:numStart w:val="1"/>
            <w:numRestart w:val="eachPage"/>
          </w:footnotePr>
          <w:pgSz w:orient="portrait" w:w="11905.511811023622" w:h="16837.79527559055"/>
          <w:pgMar w:top="1440" w:right="1440" w:bottom="1440" w:left="1440" w:header="720" w:footer="720" w:gutter="0"/>
          <w:cols w:num="1" w:space="720"/>
        </w:sectPr>
      </w:pPr>
    </w:p>
    <w:bookmarkStart w:id="1113" w:name="pg11704_122602"/>
    <w:bookmarkEnd w:id="1113"/>
    <w:p>
      <w:pPr>
        <w:pStyle w:val="BookText"/>
      </w:pPr>
      <w:r>
        <w:rPr>
          <w:rFonts w:ascii="IRNazanin" w:hAnsi="IRNazanin" w:eastAsia="IRNazanin" w:cs="IRNazanin"/>
          <w:lang w:bidi="fa-IR"/>
          <w:color w:val="111111"/>
          <w:sz w:val="28"/>
          <w:szCs w:val="28"/>
          <w:rtl/>
        </w:rPr>
        <w:t xml:space="preserve">سبب قتله فی عام 902 و کذا فی (تش- ص 21) و (گلشن- ص 474) و (مع 1: 55) فالقاموس الترکی فالریحانة.</w:t>
      </w:r>
    </w:p>
    <w:p>
      <w:pPr>
        <w:pStyle w:val="Heading3"/>
      </w:pPr>
      <w:bookmarkStart w:id="9623" w:name="_Toc8319"/>
      <w:r>
        <w:t>دیوان مؤمن گاو</w:t>
      </w:r>
      <w:bookmarkEnd w:id="9623"/>
    </w:p>
    <w:p>
      <w:pPr>
        <w:pStyle w:val="BookText"/>
      </w:pPr>
      <w:r>
        <w:rPr>
          <w:rFonts w:ascii="IRNazanin" w:hAnsi="IRNazanin" w:eastAsia="IRNazanin" w:cs="IRNazanin"/>
          <w:lang w:bidi="fa-IR"/>
          <w:color w:val="111111"/>
          <w:sz w:val="28"/>
          <w:szCs w:val="28"/>
          <w:rtl/>
        </w:rPr>
        <w:t xml:space="preserve">یأتی بتخلصه نسبت‏</w:t>
      </w:r>
    </w:p>
    <w:p>
      <w:pPr>
        <w:pStyle w:val="Heading3"/>
      </w:pPr>
      <w:bookmarkStart w:id="9624" w:name="_Toc8320"/>
      <w:r>
        <w:t>دیوان مؤمن گنابادی‏</w:t>
      </w:r>
      <w:bookmarkEnd w:id="9624"/>
    </w:p>
    <w:p>
      <w:pPr>
        <w:pStyle w:val="BookText"/>
      </w:pPr>
      <w:r>
        <w:rPr>
          <w:rFonts w:ascii="IRNazanin" w:hAnsi="IRNazanin" w:eastAsia="IRNazanin" w:cs="IRNazanin"/>
          <w:lang w:bidi="fa-IR"/>
          <w:color w:val="111111"/>
          <w:sz w:val="28"/>
          <w:szCs w:val="28"/>
          <w:rtl/>
        </w:rPr>
        <w:t xml:space="preserve">مر بعنوان دیوان مؤمن تونی‏</w:t>
      </w:r>
    </w:p>
    <w:p>
      <w:pPr>
        <w:pStyle w:val="Heading3"/>
      </w:pPr>
      <w:bookmarkStart w:id="9625" w:name="_Toc8321"/>
      <w:r>
        <w:t>دیوان مؤمن لنگ‏</w:t>
      </w:r>
      <w:bookmarkEnd w:id="9625"/>
    </w:p>
    <w:p>
      <w:pPr>
        <w:pStyle w:val="BookText"/>
      </w:pPr>
      <w:r>
        <w:rPr>
          <w:rFonts w:ascii="IRNazanin" w:hAnsi="IRNazanin" w:eastAsia="IRNazanin" w:cs="IRNazanin"/>
          <w:lang w:bidi="fa-IR"/>
          <w:color w:val="111111"/>
          <w:sz w:val="28"/>
          <w:szCs w:val="28"/>
          <w:rtl/>
        </w:rPr>
        <w:t xml:space="preserve">مر بعنوان مؤمن خجندی‏</w:t>
      </w:r>
    </w:p>
    <w:p>
      <w:pPr>
        <w:pStyle w:val="Heading3"/>
      </w:pPr>
      <w:bookmarkStart w:id="9626" w:name="_Toc8322"/>
      <w:r>
        <w:t>7265- دیوان مؤمن مروارید أو شعره‏</w:t>
      </w:r>
      <w:bookmarkEnd w:id="9626"/>
    </w:p>
    <w:p>
      <w:pPr>
        <w:pStyle w:val="BookText"/>
      </w:pPr>
      <w:r>
        <w:rPr>
          <w:rFonts w:ascii="IRNazanin" w:hAnsi="IRNazanin" w:eastAsia="IRNazanin" w:cs="IRNazanin"/>
          <w:lang w:bidi="fa-IR"/>
          <w:color w:val="111111"/>
          <w:sz w:val="28"/>
          <w:szCs w:val="28"/>
          <w:rtl/>
        </w:rPr>
        <w:t xml:space="preserve">و هو ابن عبد الله صدر مروارید المذکور فی ص 150 ترجمه سام میرزا فی (تس 4- ص 66) و أرخ وفاته بالهند فی 948</w:t>
      </w:r>
    </w:p>
    <w:p>
      <w:pPr>
        <w:pStyle w:val="Heading3"/>
      </w:pPr>
      <w:bookmarkStart w:id="9627" w:name="_Toc8323"/>
      <w:r>
        <w:t>دیوان مؤمن مشهدی‏</w:t>
      </w:r>
      <w:bookmarkEnd w:id="9627"/>
    </w:p>
    <w:p>
      <w:pPr>
        <w:pStyle w:val="BookText"/>
      </w:pPr>
      <w:r>
        <w:rPr>
          <w:rFonts w:ascii="IRNazanin" w:hAnsi="IRNazanin" w:eastAsia="IRNazanin" w:cs="IRNazanin"/>
          <w:lang w:bidi="fa-IR"/>
          <w:color w:val="111111"/>
          <w:sz w:val="28"/>
          <w:szCs w:val="28"/>
          <w:rtl/>
        </w:rPr>
        <w:t xml:space="preserve">مر بعنوان مؤمن ترکمان‏</w:t>
      </w:r>
    </w:p>
    <w:p>
      <w:pPr>
        <w:pStyle w:val="Heading3"/>
      </w:pPr>
      <w:bookmarkStart w:id="9628" w:name="_Toc8324"/>
      <w:r>
        <w:t>7266- دیوان مؤمن نصرآبادی أو شعره‏</w:t>
      </w:r>
      <w:bookmarkEnd w:id="9628"/>
    </w:p>
    <w:p>
      <w:pPr>
        <w:pStyle w:val="BookText"/>
      </w:pPr>
      <w:r>
        <w:rPr>
          <w:rFonts w:ascii="IRNazanin" w:hAnsi="IRNazanin" w:eastAsia="IRNazanin" w:cs="IRNazanin"/>
          <w:lang w:bidi="fa-IR"/>
          <w:color w:val="111111"/>
          <w:sz w:val="28"/>
          <w:szCs w:val="28"/>
          <w:rtl/>
        </w:rPr>
        <w:t xml:space="preserve">قال النصرآبادی فی (نر 12- ص 453) إن والده ابن خال والدی و أطرأه و أورد شعره‏</w:t>
      </w:r>
    </w:p>
    <w:p>
      <w:pPr>
        <w:pStyle w:val="Heading3"/>
      </w:pPr>
      <w:bookmarkStart w:id="9629" w:name="_Toc8325"/>
      <w:r>
        <w:t>7267- دیوان مؤمن یزدی‏</w:t>
      </w:r>
      <w:bookmarkEnd w:id="9629"/>
    </w:p>
    <w:p>
      <w:pPr>
        <w:pStyle w:val="BookText"/>
      </w:pPr>
      <w:r>
        <w:rPr>
          <w:rFonts w:ascii="IRNazanin" w:hAnsi="IRNazanin" w:eastAsia="IRNazanin" w:cs="IRNazanin"/>
          <w:lang w:bidi="fa-IR"/>
          <w:color w:val="111111"/>
          <w:sz w:val="28"/>
          <w:szCs w:val="28"/>
          <w:rtl/>
        </w:rPr>
        <w:t xml:space="preserve">و اسمه مؤمن حسین ترجمه آیتی فی (تش یز- ص 333) و قال نذکر فی أغلب التذاکر و أورد من شعره رباعیتین و ترجمه الصادقی فی (خص 4- ص 58) و ذکر أن تخلصه مؤمن و أبوه کان کتاب دار شاه نعمة الله باقی و عند ملاقاته أنشأ رباعیة له غیر ما ذکره آیتی و ترجم أیضا فی هفت إقلیم و (تش- ص 276) و یوجد دیوانه عند (الملک)</w:t>
      </w:r>
    </w:p>
    <w:p>
      <w:pPr>
        <w:pStyle w:val="Heading3"/>
      </w:pPr>
      <w:bookmarkStart w:id="9630" w:name="_Toc8326"/>
      <w:r>
        <w:t>دیوان مؤمن یکه‏سوار</w:t>
      </w:r>
      <w:bookmarkEnd w:id="9630"/>
    </w:p>
    <w:p>
      <w:pPr>
        <w:pStyle w:val="BookText"/>
      </w:pPr>
      <w:r>
        <w:rPr>
          <w:rFonts w:ascii="IRNazanin" w:hAnsi="IRNazanin" w:eastAsia="IRNazanin" w:cs="IRNazanin"/>
          <w:lang w:bidi="fa-IR"/>
          <w:color w:val="111111"/>
          <w:sz w:val="28"/>
          <w:szCs w:val="28"/>
          <w:rtl/>
        </w:rPr>
        <w:t xml:space="preserve">مر بعنوان مؤمن کاشانی‏</w:t>
      </w:r>
    </w:p>
    <w:p>
      <w:pPr>
        <w:pStyle w:val="Heading3"/>
      </w:pPr>
      <w:bookmarkStart w:id="9631" w:name="_Toc8327"/>
      <w:r>
        <w:t>7268- دیوان مؤمنی أسترآبادی‏</w:t>
      </w:r>
      <w:bookmarkEnd w:id="9631"/>
    </w:p>
    <w:p>
      <w:pPr>
        <w:pStyle w:val="BookText"/>
      </w:pPr>
      <w:r>
        <w:rPr>
          <w:rFonts w:ascii="IRNazanin" w:hAnsi="IRNazanin" w:eastAsia="IRNazanin" w:cs="IRNazanin"/>
          <w:lang w:bidi="fa-IR"/>
          <w:color w:val="111111"/>
          <w:sz w:val="28"/>
          <w:szCs w:val="28"/>
          <w:rtl/>
        </w:rPr>
        <w:t xml:space="preserve">من طلبة العلم ترجمه معاصره سام میرزا فی (تس 5- ص 154) و أورد شعره‏</w:t>
      </w:r>
    </w:p>
    <w:p>
      <w:pPr>
        <w:pStyle w:val="Heading3"/>
      </w:pPr>
      <w:bookmarkStart w:id="9632" w:name="_Toc8328"/>
      <w:r>
        <w:t>دیوان مولانا مؤمنی سمرقندی‏</w:t>
      </w:r>
      <w:bookmarkEnd w:id="9632"/>
    </w:p>
    <w:p>
      <w:pPr>
        <w:pStyle w:val="BookText"/>
      </w:pPr>
      <w:r>
        <w:rPr>
          <w:rFonts w:ascii="IRNazanin" w:hAnsi="IRNazanin" w:eastAsia="IRNazanin" w:cs="IRNazanin"/>
          <w:lang w:bidi="fa-IR"/>
          <w:color w:val="111111"/>
          <w:sz w:val="28"/>
          <w:szCs w:val="28"/>
          <w:rtl/>
        </w:rPr>
        <w:t xml:space="preserve">مر بعنوان مؤمن‏</w:t>
      </w:r>
    </w:p>
    <w:p>
      <w:pPr>
        <w:pStyle w:val="Heading3"/>
      </w:pPr>
      <w:bookmarkStart w:id="9633" w:name="_Toc8329"/>
      <w:r>
        <w:t>دیوان مؤمنی سمرقندی‏</w:t>
      </w:r>
      <w:bookmarkEnd w:id="9633"/>
    </w:p>
    <w:p>
      <w:pPr>
        <w:pStyle w:val="BookText"/>
      </w:pPr>
      <w:r>
        <w:rPr>
          <w:rFonts w:ascii="IRNazanin" w:hAnsi="IRNazanin" w:eastAsia="IRNazanin" w:cs="IRNazanin"/>
          <w:lang w:bidi="fa-IR"/>
          <w:color w:val="111111"/>
          <w:sz w:val="28"/>
          <w:szCs w:val="28"/>
          <w:rtl/>
        </w:rPr>
        <w:t xml:space="preserve">کما فی (لط 6- ص 116) مر بعنوان مؤمن أسترآبادی‏</w:t>
      </w:r>
    </w:p>
    <w:p>
      <w:pPr>
        <w:pStyle w:val="Heading3"/>
      </w:pPr>
      <w:bookmarkStart w:id="9634" w:name="_Toc8330"/>
      <w:r>
        <w:t>7269- دیوان مونس أصفهانی أو شعره‏</w:t>
      </w:r>
      <w:bookmarkEnd w:id="9634"/>
    </w:p>
    <w:p>
      <w:pPr>
        <w:pStyle w:val="BookText"/>
      </w:pPr>
      <w:r>
        <w:rPr>
          <w:rFonts w:ascii="IRNazanin" w:hAnsi="IRNazanin" w:eastAsia="IRNazanin" w:cs="IRNazanin"/>
          <w:lang w:bidi="fa-IR"/>
          <w:color w:val="111111"/>
          <w:sz w:val="28"/>
          <w:szCs w:val="28"/>
          <w:rtl/>
        </w:rPr>
        <w:t xml:space="preserve">و اسمه میرزا محمد أو محمد علی سافر إلی الهند و رجع أورد شعره هدایت فی (مع 2: 446) و (انجمن 4)</w:t>
      </w:r>
    </w:p>
    <w:p>
      <w:pPr>
        <w:pStyle w:val="Heading3"/>
      </w:pPr>
      <w:bookmarkStart w:id="9635" w:name="_Toc8331"/>
      <w:r>
        <w:t>7270- دیوان مونس أصفهانی أو شعره‏</w:t>
      </w:r>
      <w:bookmarkEnd w:id="9635"/>
    </w:p>
    <w:p>
      <w:pPr>
        <w:pStyle w:val="BookText"/>
      </w:pPr>
      <w:r>
        <w:rPr>
          <w:rFonts w:ascii="IRNazanin" w:hAnsi="IRNazanin" w:eastAsia="IRNazanin" w:cs="IRNazanin"/>
          <w:lang w:bidi="fa-IR"/>
          <w:color w:val="111111"/>
          <w:sz w:val="28"/>
          <w:szCs w:val="28"/>
          <w:rtl/>
        </w:rPr>
        <w:t xml:space="preserve">و اسمه علی أکبر سافر إلی الهند و بقی بلکهنو ورد شعره فی (گلشن- ص 476)
</w:t>
      </w:r>
    </w:p>
    <w:p>
      <w:pPr>
        <w:sectPr>
          <w:footerReference w:type="default" r:id="rId1135"/>
          <w:footnotePr>
            <w:numStart w:val="1"/>
            <w:numRestart w:val="eachPage"/>
          </w:footnotePr>
          <w:pgSz w:orient="portrait" w:w="11905.511811023622" w:h="16837.79527559055"/>
          <w:pgMar w:top="1440" w:right="1440" w:bottom="1440" w:left="1440" w:header="720" w:footer="720" w:gutter="0"/>
          <w:cols w:num="1" w:space="720"/>
        </w:sectPr>
      </w:pPr>
    </w:p>
    <w:bookmarkStart w:id="1114" w:name="pg11704_122603"/>
    <w:bookmarkEnd w:id="1114"/>
    <w:p>
      <w:pPr>
        <w:pStyle w:val="Heading3"/>
      </w:pPr>
      <w:bookmarkStart w:id="9636" w:name="_Toc8332"/>
      <w:r>
        <w:t>7271- دیوان مونس بارفروشی أو شعره‏</w:t>
      </w:r>
      <w:bookmarkEnd w:id="9636"/>
    </w:p>
    <w:p>
      <w:pPr>
        <w:pStyle w:val="BookText"/>
      </w:pPr>
      <w:r>
        <w:rPr>
          <w:rFonts w:ascii="IRNazanin" w:hAnsi="IRNazanin" w:eastAsia="IRNazanin" w:cs="IRNazanin"/>
          <w:lang w:bidi="fa-IR"/>
          <w:color w:val="111111"/>
          <w:sz w:val="28"/>
          <w:szCs w:val="28"/>
          <w:rtl/>
        </w:rPr>
        <w:t xml:space="preserve">و اسمه میرزا محمد رضا المازندرانی ترجمه و أورد شعره الراوی الگروسی فی (انجمن 3) و هدایت فی (مع 2: 473)</w:t>
      </w:r>
    </w:p>
    <w:p>
      <w:pPr>
        <w:pStyle w:val="Heading3"/>
      </w:pPr>
      <w:bookmarkStart w:id="9637" w:name="_Toc8333"/>
      <w:r>
        <w:t>7272- دیوان مونس بخاری أو شعره‏</w:t>
      </w:r>
      <w:bookmarkEnd w:id="9637"/>
    </w:p>
    <w:p>
      <w:pPr>
        <w:pStyle w:val="BookText"/>
      </w:pPr>
      <w:r>
        <w:rPr>
          <w:rFonts w:ascii="IRNazanin" w:hAnsi="IRNazanin" w:eastAsia="IRNazanin" w:cs="IRNazanin"/>
          <w:lang w:bidi="fa-IR"/>
          <w:color w:val="111111"/>
          <w:sz w:val="28"/>
          <w:szCs w:val="28"/>
          <w:rtl/>
        </w:rPr>
        <w:t xml:space="preserve">أورد شعره النصرآبادی فی (نر 10- 434) و قال هو فی خدمة سلطان بخارا</w:t>
      </w:r>
    </w:p>
    <w:p>
      <w:pPr>
        <w:pStyle w:val="Heading3"/>
      </w:pPr>
      <w:bookmarkStart w:id="9638" w:name="_Toc8334"/>
      <w:r>
        <w:t>7273- دیوان مونس بهوپالی أو شعره‏</w:t>
      </w:r>
      <w:bookmarkEnd w:id="9638"/>
    </w:p>
    <w:p>
      <w:pPr>
        <w:pStyle w:val="BookText"/>
      </w:pPr>
      <w:r>
        <w:rPr>
          <w:rFonts w:ascii="IRNazanin" w:hAnsi="IRNazanin" w:eastAsia="IRNazanin" w:cs="IRNazanin"/>
          <w:lang w:bidi="fa-IR"/>
          <w:color w:val="111111"/>
          <w:sz w:val="28"/>
          <w:szCs w:val="28"/>
          <w:rtl/>
        </w:rPr>
        <w:t xml:space="preserve">و هو السید محمد أعظم حسین بن الحکیم محمد زکی بن خادم حسین بن بقاء الله السندیلوی اللکهنوی کان حیا فی 1293 کما ورد شعره فی (گلشن- ص 475)</w:t>
      </w:r>
    </w:p>
    <w:p>
      <w:pPr>
        <w:pStyle w:val="Heading3"/>
      </w:pPr>
      <w:bookmarkStart w:id="9639" w:name="_Toc8335"/>
      <w:r>
        <w:t>7274- دیوان مونس شیرازی‏</w:t>
      </w:r>
      <w:bookmarkEnd w:id="9639"/>
    </w:p>
    <w:p>
      <w:pPr>
        <w:pStyle w:val="BookText"/>
      </w:pPr>
      <w:r>
        <w:rPr>
          <w:rFonts w:ascii="IRNazanin" w:hAnsi="IRNazanin" w:eastAsia="IRNazanin" w:cs="IRNazanin"/>
          <w:lang w:bidi="fa-IR"/>
          <w:color w:val="111111"/>
          <w:sz w:val="28"/>
          <w:szCs w:val="28"/>
          <w:rtl/>
        </w:rPr>
        <w:t xml:space="preserve">و هو مونس علی شاه ذو الرئاستین الحاج میرزا عبد الحسین بن علی وفا علی شاه المتوفی 1336 بن محمد منور علی شاه حفید نائب الصدر رحمت علی شاه من طرف أمه ولد 1290 له دلیل السالکین ألفه 1334 و برهان السالکین فی 1352 و جبر و تفویض فی 1341 و کشفیة فی 1349 و نجات از شبهات فی 1340 و حب الوطن نظما فی ثلاث مجلدات و روحیة و طول عمر فی 1354 و أنیس المهاجرین طبع دیوانه فی 1369 مع مقدمه فی فهرس تصانیفه کما ذکرناه، للدکتور جواد الکرمانی نوربخش فی 106 ص و ترجم فی (عم- ص 569) و مجلة أرمغان 13: 168</w:t>
      </w:r>
    </w:p>
    <w:p>
      <w:pPr>
        <w:pStyle w:val="Heading3"/>
      </w:pPr>
      <w:bookmarkStart w:id="9640" w:name="_Toc8336"/>
      <w:r>
        <w:t>دیوان مونس مازندرانی‏</w:t>
      </w:r>
      <w:bookmarkEnd w:id="9640"/>
    </w:p>
    <w:p>
      <w:pPr>
        <w:pStyle w:val="BookText"/>
      </w:pPr>
      <w:r>
        <w:rPr>
          <w:rFonts w:ascii="IRNazanin" w:hAnsi="IRNazanin" w:eastAsia="IRNazanin" w:cs="IRNazanin"/>
          <w:lang w:bidi="fa-IR"/>
          <w:color w:val="111111"/>
          <w:sz w:val="28"/>
          <w:szCs w:val="28"/>
          <w:rtl/>
        </w:rPr>
        <w:t xml:space="preserve">راجع مونس بارفروشی‏</w:t>
      </w:r>
    </w:p>
    <w:p>
      <w:pPr>
        <w:pStyle w:val="Heading3"/>
      </w:pPr>
      <w:bookmarkStart w:id="9641" w:name="_Toc8337"/>
      <w:r>
        <w:t>7275- دیوان مونس هندی‏</w:t>
      </w:r>
      <w:bookmarkEnd w:id="9641"/>
    </w:p>
    <w:p>
      <w:pPr>
        <w:pStyle w:val="BookText"/>
      </w:pPr>
      <w:r>
        <w:rPr>
          <w:rFonts w:ascii="IRNazanin" w:hAnsi="IRNazanin" w:eastAsia="IRNazanin" w:cs="IRNazanin"/>
          <w:lang w:bidi="fa-IR"/>
          <w:color w:val="111111"/>
          <w:sz w:val="28"/>
          <w:szCs w:val="28"/>
          <w:rtl/>
        </w:rPr>
        <w:t xml:space="preserve">و هو النواب صاحب، أخ أنیس المذکور فی ص 110 و عم نفیس طبع فی ثلاث مجلدات فی المراثی بالأردویة</w:t>
      </w:r>
    </w:p>
    <w:p>
      <w:pPr>
        <w:pStyle w:val="Heading3"/>
      </w:pPr>
      <w:bookmarkStart w:id="9642" w:name="_Toc8338"/>
      <w:r>
        <w:t>7276- دیوان مونسی شوشتری أو شعره‏</w:t>
      </w:r>
      <w:bookmarkEnd w:id="9642"/>
    </w:p>
    <w:p>
      <w:pPr>
        <w:pStyle w:val="BookText"/>
      </w:pPr>
      <w:r>
        <w:rPr>
          <w:rFonts w:ascii="IRNazanin" w:hAnsi="IRNazanin" w:eastAsia="IRNazanin" w:cs="IRNazanin"/>
          <w:lang w:bidi="fa-IR"/>
          <w:color w:val="111111"/>
          <w:sz w:val="28"/>
          <w:szCs w:val="28"/>
          <w:rtl/>
        </w:rPr>
        <w:t xml:space="preserve">ترجم فی (گلشن- ص 476) و ورد شعره هناک‏</w:t>
      </w:r>
    </w:p>
    <w:p>
      <w:pPr>
        <w:pStyle w:val="Heading3"/>
      </w:pPr>
      <w:bookmarkStart w:id="9643" w:name="_Toc8339"/>
      <w:r>
        <w:t>7277- دیوان مؤید</w:t>
      </w:r>
      <w:bookmarkEnd w:id="9643"/>
    </w:p>
    <w:p>
      <w:pPr>
        <w:pStyle w:val="BookText"/>
      </w:pPr>
      <w:r>
        <w:rPr>
          <w:rFonts w:ascii="IRNazanin" w:hAnsi="IRNazanin" w:eastAsia="IRNazanin" w:cs="IRNazanin"/>
          <w:lang w:bidi="fa-IR"/>
          <w:color w:val="111111"/>
          <w:sz w:val="28"/>
          <w:szCs w:val="28"/>
          <w:rtl/>
        </w:rPr>
        <w:t xml:space="preserve">للمولی عبد العلی فارسی مطبوع‏</w:t>
      </w:r>
    </w:p>
    <w:p>
      <w:pPr>
        <w:pStyle w:val="Heading3"/>
      </w:pPr>
      <w:bookmarkStart w:id="9644" w:name="_Toc8340"/>
      <w:r>
        <w:t>7278- دیوان المؤید بالله‏</w:t>
      </w:r>
      <w:bookmarkEnd w:id="9644"/>
    </w:p>
    <w:p>
      <w:pPr>
        <w:pStyle w:val="BookText"/>
      </w:pPr>
      <w:r>
        <w:rPr>
          <w:rFonts w:ascii="IRNazanin" w:hAnsi="IRNazanin" w:eastAsia="IRNazanin" w:cs="IRNazanin"/>
          <w:lang w:bidi="fa-IR"/>
          <w:color w:val="111111"/>
          <w:sz w:val="28"/>
          <w:szCs w:val="28"/>
          <w:rtl/>
        </w:rPr>
        <w:t xml:space="preserve">و هو عضد الدولة أبو الحسین الحسینی الهارونی المتوفی فی یوم العرفة 421 له دیوان ضخم نقل عنه ابن إسفندیار فی تاریخ طبرستان- ص 28 جوابه لقصیدة ابن سکرة فی ذم آل أبی طالب أوله:</w:t>
      </w:r>
    </w:p>
    <w:p>
      <w:pPr>
        <w:pStyle w:val="BookText"/>
      </w:pPr>
      <w:r>
        <w:rPr>
          <w:rFonts w:ascii="IRNazanin" w:hAnsi="IRNazanin" w:eastAsia="IRNazanin" w:cs="IRNazanin"/>
          <w:lang w:bidi="fa-IR"/>
          <w:color w:val="111111"/>
          <w:sz w:val="28"/>
          <w:szCs w:val="28"/>
          <w:rtl/>
        </w:rPr>
        <w:t xml:space="preserve">قل لابن سکرة یا نغل عباس‏</w:t>
      </w:r>
    </w:p>
    <w:p>
      <w:pPr>
        <w:pStyle w:val="BookText"/>
      </w:pPr>
      <w:r>
        <w:rPr>
          <w:rFonts w:ascii="IRNazanin" w:hAnsi="IRNazanin" w:eastAsia="IRNazanin" w:cs="IRNazanin"/>
          <w:lang w:bidi="fa-IR"/>
          <w:color w:val="111111"/>
          <w:sz w:val="28"/>
          <w:szCs w:val="28"/>
          <w:rtl/>
        </w:rPr>
        <w:t xml:space="preserve">أضحت خلافتکم منکوسة الرأس‏
</w:t>
      </w:r>
    </w:p>
    <w:p>
      <w:pPr>
        <w:sectPr>
          <w:footerReference w:type="default" r:id="rId1136"/>
          <w:footnotePr>
            <w:numStart w:val="1"/>
            <w:numRestart w:val="eachPage"/>
          </w:footnotePr>
          <w:pgSz w:orient="portrait" w:w="11905.511811023622" w:h="16837.79527559055"/>
          <w:pgMar w:top="1440" w:right="1440" w:bottom="1440" w:left="1440" w:header="720" w:footer="720" w:gutter="0"/>
          <w:cols w:num="1" w:space="720"/>
        </w:sectPr>
      </w:pPr>
    </w:p>
    <w:bookmarkStart w:id="1115" w:name="pg11704_122604"/>
    <w:bookmarkEnd w:id="1115"/>
    <w:p>
      <w:pPr>
        <w:pStyle w:val="Heading3"/>
      </w:pPr>
      <w:bookmarkStart w:id="9645" w:name="_Toc8341"/>
      <w:r>
        <w:t>7279- دیوان مؤید التولیة</w:t>
      </w:r>
      <w:bookmarkEnd w:id="9645"/>
    </w:p>
    <w:p>
      <w:pPr>
        <w:pStyle w:val="BookText"/>
      </w:pPr>
      <w:r>
        <w:rPr>
          <w:rFonts w:ascii="IRNazanin" w:hAnsi="IRNazanin" w:eastAsia="IRNazanin" w:cs="IRNazanin"/>
          <w:lang w:bidi="fa-IR"/>
          <w:color w:val="111111"/>
          <w:sz w:val="28"/>
          <w:szCs w:val="28"/>
          <w:rtl/>
        </w:rPr>
        <w:t xml:space="preserve">السید علی بن الحسن مؤید ثابتی ترجمه البرقعی فی سخنوران نامی معاصر- 1: 211 و جاء شعره فی (پژمان- ص 800 و 886) و طبع بعضها فی المجلات‏</w:t>
      </w:r>
    </w:p>
    <w:p>
      <w:pPr>
        <w:pStyle w:val="Heading3"/>
      </w:pPr>
      <w:bookmarkStart w:id="9646" w:name="_Toc8342"/>
      <w:r>
        <w:t>7280- دیوان مؤید دیوانه‏</w:t>
      </w:r>
      <w:bookmarkEnd w:id="9646"/>
    </w:p>
    <w:p>
      <w:pPr>
        <w:pStyle w:val="BookText"/>
      </w:pPr>
      <w:r>
        <w:rPr>
          <w:rFonts w:ascii="IRNazanin" w:hAnsi="IRNazanin" w:eastAsia="IRNazanin" w:cs="IRNazanin"/>
          <w:lang w:bidi="fa-IR"/>
          <w:color w:val="111111"/>
          <w:sz w:val="28"/>
          <w:szCs w:val="28"/>
          <w:rtl/>
        </w:rPr>
        <w:t xml:space="preserve">ترجمه و أورد شعره المیر علی شیر فی (مجن 2- ص 35 و 209) و قال هو من أحفاد أبی سعید أبی الخیر</w:t>
      </w:r>
    </w:p>
    <w:p>
      <w:pPr>
        <w:pStyle w:val="Heading3"/>
      </w:pPr>
      <w:bookmarkStart w:id="9647" w:name="_Toc8343"/>
      <w:r>
        <w:t>7281- دیوان مؤید شولستانی أو شعره‏</w:t>
      </w:r>
      <w:bookmarkEnd w:id="9647"/>
    </w:p>
    <w:p>
      <w:pPr>
        <w:pStyle w:val="BookText"/>
      </w:pPr>
      <w:r>
        <w:rPr>
          <w:rFonts w:ascii="IRNazanin" w:hAnsi="IRNazanin" w:eastAsia="IRNazanin" w:cs="IRNazanin"/>
          <w:lang w:bidi="fa-IR"/>
          <w:color w:val="111111"/>
          <w:sz w:val="28"/>
          <w:szCs w:val="28"/>
          <w:rtl/>
        </w:rPr>
        <w:t xml:space="preserve">کان ملازما لخدمة ممتاز الشولستانی المذکور فی ص 1103 أورد شعره النصرآبادی فی (نر 9- ص 432)</w:t>
      </w:r>
    </w:p>
    <w:p>
      <w:pPr>
        <w:pStyle w:val="Heading3"/>
      </w:pPr>
      <w:bookmarkStart w:id="9648" w:name="_Toc8344"/>
      <w:r>
        <w:t>7282- دیوان المؤید فی الدین‏</w:t>
      </w:r>
      <w:bookmarkEnd w:id="9648"/>
    </w:p>
    <w:p>
      <w:pPr>
        <w:pStyle w:val="BookText"/>
      </w:pPr>
      <w:r>
        <w:rPr>
          <w:rFonts w:ascii="IRNazanin" w:hAnsi="IRNazanin" w:eastAsia="IRNazanin" w:cs="IRNazanin"/>
          <w:lang w:bidi="fa-IR"/>
          <w:color w:val="111111"/>
          <w:sz w:val="28"/>
          <w:szCs w:val="28"/>
          <w:rtl/>
        </w:rPr>
        <w:t xml:space="preserve">و هو أبو النصر هبة الله بن موسی بن عمران بن داود داعی الدعاة للخلفاء الفاطمیین بمصر. لقبه السلطان أبو کالنجار البویهی المتوفی 440 بالمؤید فی الدین، فی کتاب أرسله من شیراز إلی المؤید بعد وصوله إلی مصر فی 438 کما ذکره المؤید نفسه فی السیرة المؤیدیة. کان یتخلص فی شعره أحیانا باسمه هبة الله أو بابن موسی أو بابن أبی عمران و ذکر نسبه کذلک الحسن بن نوح فی کتاب الأزهار المذکور فی ج 2 ص 339- 341 بعنوان کتاب الإمامة نقله عن کتابه مجالس الحکمة المعروف ب المجالس المؤیدیة. ولد حدود 390 کما یظهر من بعض أشعاره و کتب هو فی سیرته المعروفة بالسیرة المؤیدیة أنه فی 429 کان داعیا للفاطمیین بشیراز و إنه احتفل فی عید الفطر من تلک السنة و صلی العید بالدعوة للخلیفة المستنصر الفاطمی، ثم حصلت بینه و بین السلطان أبی کالنجار مودة تامة بعد أن أسلم نفسه و دینه إلیه فکان المؤید یحضر عشیة کل خمیس و یقرأ علیه القرآن و بابا من دعائم الإسلام و یجیب عن سؤالات السلطان، فحسده علیه ندماء السلطان فنظم فی ذلک أرجوزته التی سماها المسمطة فی حدود 433 و توجه بعد ذلک إلی الأهواز و عمر مسجدا هناک و قام بالدعوة إلی أن</w:t>
      </w:r>
    </w:p>
    <w:p>
      <w:pPr>
        <w:pStyle w:val="BookText"/>
      </w:pPr>
      <w:r>
        <w:rPr>
          <w:rFonts w:ascii="IRNazanin" w:hAnsi="IRNazanin" w:eastAsia="IRNazanin" w:cs="IRNazanin"/>
          <w:lang w:bidi="fa-IR"/>
          <w:color w:val="111111"/>
          <w:sz w:val="28"/>
          <w:szCs w:val="28"/>
          <w:rtl/>
        </w:rPr>
        <w:t xml:space="preserve">کتب قاضی الأهواز إلی الخلیفة بإفساده له، فلم یتمکن من البقاء بالأهواز و ذهب إلی الحلة المزیدیة و والیها منصور بن الحسین الأسدی و بقی بها سبعة أشهر من عام 436 و ورد إلی مصر قبل سنة ورود ناصر خسرو إلیها 439 و وصل إلی مرتبة داعی الدعاة بمصر فی 450 و فی 439 بعد قتل الوزیر أبی سعید التستری تمکن المؤید من الوصول إلی خدمة الإمام و لم یقطع عنه مدة حیاته بعد 450 و إن ذهب الحسن‏
</w:t>
      </w:r>
    </w:p>
    <w:p>
      <w:pPr>
        <w:sectPr>
          <w:footerReference w:type="default" r:id="rId1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نوح إلی أنه توفی فی العشرة الأولی من شوال 490 لکنه ذکر أنه صلی علیه المستنصر و هو توفی 487 فیکون وفاه الداعی قبل هذا التاریخ. و طبع دیوانه عن أربع نسخ فی القاهرة فی 1949 م مع مقدمه مبسوطة. فی 189 ص. أورد فیها جملة من کتب الفاطمیین‏</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1- أسرار النطقاء فی قصص آدم، إدریس، نوح، هود و إبراهیم 2- أسرار النطقاء فی إبراهیم، لوط، إسحاق، یعقوب، یوسف، شعیب، موسی، یوشع، داود، سلیمان، عیسی، زکریا، یحیی و محمد  صلی الله علیه و آله  3- الکشف فی تأویل بعض الآیات 4- الفترات و القرانات الموسوم بالجفر الأسود. و منها تصانیف القاضی نعمان: 1- دعائم الإسلام 2- تأویل دعائم الإسلام 3- المجالس و المسائرات 4- کتاب الهمة. و منها دیوان الأمیر تمیم.</w:t>
      </w:r>
    </w:p>
    <w:p>
      <w:pPr>
        <w:pStyle w:val="BookText"/>
      </w:pPr>
      <w:r>
        <w:rPr>
          <w:rFonts w:ascii="IRNazanin" w:hAnsi="IRNazanin" w:eastAsia="IRNazanin" w:cs="IRNazanin"/>
          <w:lang w:bidi="fa-IR"/>
          <w:color w:val="111111"/>
          <w:sz w:val="28"/>
          <w:szCs w:val="28"/>
          <w:rtl/>
        </w:rPr>
        <w:t xml:space="preserve">و منها سیرة الأستاد جوذر لمنصور الجوذری. و منها تصانیف حمید الدین أحمد بن عبد الله الکرمانی داعی الدعاة للحاکم و المتوفی بعد 408 و هی: 1- راحة العقل سبعة أبواب فی مجلدین 2- مباسم البشارات فی الإمامة، الرسالة اللازمة فی الصوم 3- رسائل الکرمانی.</w:t>
      </w:r>
    </w:p>
    <w:p>
      <w:pPr>
        <w:pStyle w:val="BookText"/>
      </w:pPr>
      <w:r>
        <w:rPr>
          <w:rFonts w:ascii="IRNazanin" w:hAnsi="IRNazanin" w:eastAsia="IRNazanin" w:cs="IRNazanin"/>
          <w:lang w:bidi="fa-IR"/>
          <w:color w:val="111111"/>
          <w:sz w:val="28"/>
          <w:szCs w:val="28"/>
          <w:rtl/>
        </w:rPr>
        <w:t xml:space="preserve">و منها تصانیف المؤید فی الدین: 1- دیوان المؤید 2- المجالس المؤیدیة 3- السیرة المؤیدیة. و منها المجالس المستنصریة تألیف ثقة الإمام من دعاة المستنصر بالله الفاطمی.</w:t>
      </w:r>
    </w:p>
    <w:p>
      <w:pPr>
        <w:pStyle w:val="BookText"/>
      </w:pPr>
      <w:r>
        <w:rPr>
          <w:rFonts w:ascii="IRNazanin" w:hAnsi="IRNazanin" w:eastAsia="IRNazanin" w:cs="IRNazanin"/>
          <w:lang w:bidi="fa-IR"/>
          <w:color w:val="111111"/>
          <w:sz w:val="28"/>
          <w:szCs w:val="28"/>
          <w:rtl/>
        </w:rPr>
        <w:t xml:space="preserve">و منها کنز الولد تألیف إبراهیم بن الحسین الحامدی المتوفی 557 و منها الأنوار اللطیفة فی خمسة سرادقات لکل سرادق خمسة أبواب و کل باب خمسة فصول. و منها الذخیرة لعلی بن محمد بن الولید الداعی الخامس المتوفی 613 و منها الفلک</w:t>
      </w:r>
    </w:p>
    <w:p>
      <w:pPr>
        <w:pStyle w:val="BookText"/>
      </w:pPr>
      <w:r>
        <w:rPr>
          <w:rFonts w:ascii="IRNazanin" w:hAnsi="IRNazanin" w:eastAsia="IRNazanin" w:cs="IRNazanin"/>
          <w:lang w:bidi="fa-IR"/>
          <w:color w:val="111111"/>
          <w:sz w:val="28"/>
          <w:szCs w:val="28"/>
          <w:rtl/>
        </w:rPr>
        <w:t xml:space="preserve">الدوار فی أسماء الأئمة الأطهار للشیخ عبد الله بن المرتضی. طبع بحلب 1933 م. و کل هذه مأخوذة من فهرس مجدوع لکتب الإسماعیلیة، الذی ألفه فی القرن الثانی عشر، و قد صححنا منه نسخه و هو الآن تحت الطبع فی طهران.</w:t>
      </w:r>
    </w:p>
    <w:p>
      <w:pPr>
        <w:pStyle w:val="BookText"/>
      </w:pPr>
      <w:r>
        <w:rPr>
          <w:rFonts w:ascii="IRNazanin" w:hAnsi="IRNazanin" w:eastAsia="IRNazanin" w:cs="IRNazanin"/>
          <w:lang w:bidi="fa-IR"/>
          <w:color w:val="111111"/>
          <w:sz w:val="28"/>
          <w:szCs w:val="28"/>
          <w:rtl/>
        </w:rPr>
        <w:t xml:space="preserve">الإسماعیلیة التی یتوصل بها إلی معرفة عقائد الفاطمیین و مذهبهم ثم حیاة المؤید من ولادته بشیراز و اتصاله بسلطانها أبی کالنجار إلی أن حسده أمرائه و اضطر</w:t>
      </w:r>
    </w:p>
    <w:p>
      <w:pPr>
        <w:sectPr>
          <w:footerReference w:type="default" r:id="rId1138"/>
          <w:footnotePr>
            <w:numStart w:val="1"/>
            <w:numRestart w:val="eachPage"/>
          </w:footnotePr>
          <w:pgSz w:orient="portrait" w:w="11905.511811023622" w:h="16837.79527559055"/>
          <w:pgMar w:top="1440" w:right="1440" w:bottom="1440" w:left="1440" w:header="720" w:footer="720" w:gutter="0"/>
          <w:cols w:num="1" w:space="720"/>
        </w:sectPr>
      </w:pPr>
    </w:p>
    <w:bookmarkStart w:id="1116" w:name="pg11704_122606"/>
    <w:bookmarkEnd w:id="1116"/>
    <w:p>
      <w:pPr>
        <w:pStyle w:val="BookText"/>
      </w:pPr>
      <w:r>
        <w:rPr>
          <w:rFonts w:ascii="IRNazanin" w:hAnsi="IRNazanin" w:eastAsia="IRNazanin" w:cs="IRNazanin"/>
          <w:lang w:bidi="fa-IR"/>
          <w:color w:val="111111"/>
          <w:sz w:val="28"/>
          <w:szCs w:val="28"/>
          <w:rtl/>
        </w:rPr>
        <w:t xml:space="preserve">إلی الفرار من شیراز و نزوله الأهواز و وصوله إلی مصر و تولیته لدار إنشاء و مؤامرته مع البساسیری و بلوغه رتبة داعی الدعاة، و تصانیفه و ما یستخرج من شعره من عقائد الفاطمیین فی الولایة و التوحید و الإبداع و التأویل، و ردود سائر الفرق، و قصص الأنبیاء و غیر ذلک.</w:t>
      </w:r>
    </w:p>
    <w:p>
      <w:pPr>
        <w:pStyle w:val="BookText"/>
      </w:pPr>
      <w:r>
        <w:rPr>
          <w:rFonts w:ascii="IRNazanin" w:hAnsi="IRNazanin" w:eastAsia="IRNazanin" w:cs="IRNazanin"/>
          <w:lang w:bidi="fa-IR"/>
          <w:color w:val="111111"/>
          <w:sz w:val="28"/>
          <w:szCs w:val="28"/>
          <w:rtl/>
        </w:rPr>
        <w:t xml:space="preserve">و هی للأستاذ محمد کامل حسین بکلیة الآداب بجامعة فؤاد الأول أهداها إلی الدکتور طاها حسین بک. و جمیع ما ذکره من قصائده ثلاث و ستون قصیدة. فی ثلاث قصائد منها ذکر الغدیر، بعضها فی مائة و نیف و خمسین بیتا و بعضها أقل إلی أن یبلغ أربعة أبیات. و بعد ذکر القصائد أورد تعلیقات علیها فی تسع صفحات، و الحق به فهارس الأعلام و الکتب و البلدان و الآیات القرآنیة و الأحادیث النبویة. کلها فی ص 369 و أقول إن المؤید هذا مؤخر عن المؤید لدین الله و المنتصر لآل رسول الله  صلی الله علیه و آله  و اسمه لیلی بن نعمان الدیلمی. و کان داعیا و والیا من قبل الملوک العلویین فی الدیلم و طبرستان، و کان والیا بجرجان فی 308 من قبل الداعی الصغیر الحسن بن قاسم و ترقی أمره حتی تسلط علی نیشابور أیام نصر بن حمد السامانی و قتل فی بعض قری الری فی 309.</w:t>
      </w:r>
    </w:p>
    <w:p>
      <w:pPr>
        <w:pStyle w:val="Heading3"/>
      </w:pPr>
      <w:bookmarkStart w:id="9649" w:name="_Toc8345"/>
      <w:r>
        <w:t>دیوان مؤید مشهدی‏</w:t>
      </w:r>
      <w:bookmarkEnd w:id="9649"/>
    </w:p>
    <w:p>
      <w:pPr>
        <w:pStyle w:val="BookText"/>
      </w:pPr>
      <w:r>
        <w:rPr>
          <w:rFonts w:ascii="IRNazanin" w:hAnsi="IRNazanin" w:eastAsia="IRNazanin" w:cs="IRNazanin"/>
          <w:lang w:bidi="fa-IR"/>
          <w:color w:val="111111"/>
          <w:sz w:val="28"/>
          <w:szCs w:val="28"/>
          <w:rtl/>
        </w:rPr>
        <w:t xml:space="preserve">راجع دیوان مؤید التولیة</w:t>
      </w:r>
    </w:p>
    <w:p>
      <w:pPr>
        <w:pStyle w:val="Heading3"/>
      </w:pPr>
      <w:bookmarkStart w:id="9650" w:name="_Toc8346"/>
      <w:r>
        <w:t>7283- دیوان مؤید مهنة أو شعره‏</w:t>
      </w:r>
      <w:bookmarkEnd w:id="9650"/>
    </w:p>
    <w:p>
      <w:pPr>
        <w:pStyle w:val="BookText"/>
      </w:pPr>
      <w:r>
        <w:rPr>
          <w:rFonts w:ascii="IRNazanin" w:hAnsi="IRNazanin" w:eastAsia="IRNazanin" w:cs="IRNazanin"/>
          <w:lang w:bidi="fa-IR"/>
          <w:color w:val="111111"/>
          <w:sz w:val="28"/>
          <w:szCs w:val="28"/>
          <w:rtl/>
        </w:rPr>
        <w:t xml:space="preserve">هو من أحفاد أبی سعید أبی الخیر أیضا و کان مقربا عند الحکام کما ذکره علی شیر فی (مجن 2- ص 35 و 209) و هفت إقلیم و (طرائق- 3: 45) و قد خلط شعره مع شعر جده أبی سعید کما ذکره النفیسی فی مقدمه سخنان أبو سعید ص 28 و 29</w:t>
      </w:r>
    </w:p>
    <w:p>
      <w:pPr>
        <w:pStyle w:val="Heading3"/>
      </w:pPr>
      <w:bookmarkStart w:id="9651" w:name="_Toc8347"/>
      <w:r>
        <w:t>7284- دیوان مؤید نسفی‏</w:t>
      </w:r>
      <w:bookmarkEnd w:id="9651"/>
    </w:p>
    <w:p>
      <w:pPr>
        <w:pStyle w:val="BookText"/>
      </w:pPr>
      <w:r>
        <w:rPr>
          <w:rFonts w:ascii="IRNazanin" w:hAnsi="IRNazanin" w:eastAsia="IRNazanin" w:cs="IRNazanin"/>
          <w:lang w:bidi="fa-IR"/>
          <w:color w:val="111111"/>
          <w:sz w:val="28"/>
          <w:szCs w:val="28"/>
          <w:rtl/>
        </w:rPr>
        <w:t xml:space="preserve">و اسمه مؤید الدین من قدماء الشعراء المشهورین کما ترجمه فی (مع 1 ص 509) حاکیا ترجمته عن العوفی فی لباب الألباب- 11 و دیوانه قلیل الوجود و له پهلوان‏نامه علی سیاق المثنوی للمولی الرومی و ترجمه الرازی فی هفت إقلیم و لعله والد شهاب سمرقندی المذکور فی ص 556</w:t>
      </w:r>
    </w:p>
    <w:p>
      <w:pPr>
        <w:pStyle w:val="Heading3"/>
      </w:pPr>
      <w:bookmarkStart w:id="9652" w:name="_Toc8348"/>
      <w:r>
        <w:t>7285- دیوان مؤیدی‏</w:t>
      </w:r>
      <w:bookmarkEnd w:id="9652"/>
    </w:p>
    <w:p>
      <w:pPr>
        <w:pStyle w:val="BookText"/>
      </w:pPr>
      <w:r>
        <w:rPr>
          <w:rFonts w:ascii="IRNazanin" w:hAnsi="IRNazanin" w:eastAsia="IRNazanin" w:cs="IRNazanin"/>
          <w:lang w:bidi="fa-IR"/>
          <w:color w:val="111111"/>
          <w:sz w:val="28"/>
          <w:szCs w:val="28"/>
          <w:rtl/>
        </w:rPr>
        <w:t xml:space="preserve">ینقل عنه شمس قیس فی المعجم فی معاییر أشعار العجم- ص 333 و لعله مؤید المذکور قبلة</w:t>
      </w:r>
    </w:p>
    <w:p>
      <w:pPr>
        <w:pStyle w:val="Heading3"/>
      </w:pPr>
      <w:bookmarkStart w:id="9653" w:name="_Toc8349"/>
      <w:r>
        <w:t>7286- دیوان مهتاب‏</w:t>
      </w:r>
      <w:bookmarkEnd w:id="9653"/>
    </w:p>
    <w:p>
      <w:pPr>
        <w:pStyle w:val="BookText"/>
      </w:pPr>
      <w:r>
        <w:rPr>
          <w:rFonts w:ascii="IRNazanin" w:hAnsi="IRNazanin" w:eastAsia="IRNazanin" w:cs="IRNazanin"/>
          <w:lang w:bidi="fa-IR"/>
          <w:color w:val="111111"/>
          <w:sz w:val="28"/>
          <w:szCs w:val="28"/>
          <w:rtl/>
        </w:rPr>
        <w:t xml:space="preserve">فارسی طبع بلکهنو فی 170 ص فی 1287 کما فی الفهارس‏</w:t>
      </w:r>
    </w:p>
    <w:p>
      <w:pPr>
        <w:pStyle w:val="Heading3"/>
      </w:pPr>
      <w:bookmarkStart w:id="9654" w:name="_Toc8350"/>
      <w:r>
        <w:t>7287- دیوان مهجور أصفهانی أو شعره‏</w:t>
      </w:r>
      <w:bookmarkEnd w:id="9654"/>
    </w:p>
    <w:p>
      <w:pPr>
        <w:pStyle w:val="BookText"/>
      </w:pPr>
      <w:r>
        <w:rPr>
          <w:rFonts w:ascii="IRNazanin" w:hAnsi="IRNazanin" w:eastAsia="IRNazanin" w:cs="IRNazanin"/>
          <w:lang w:bidi="fa-IR"/>
          <w:color w:val="111111"/>
          <w:sz w:val="28"/>
          <w:szCs w:val="28"/>
          <w:rtl/>
        </w:rPr>
        <w:t xml:space="preserve">و هو المیرزا محمد علی معلم الأطفال هناک‏
</w:t>
      </w:r>
    </w:p>
    <w:p>
      <w:pPr>
        <w:sectPr>
          <w:footerReference w:type="default" r:id="rId1139"/>
          <w:footnotePr>
            <w:numStart w:val="1"/>
            <w:numRestart w:val="eachPage"/>
          </w:footnotePr>
          <w:pgSz w:orient="portrait" w:w="11905.511811023622" w:h="16837.79527559055"/>
          <w:pgMar w:top="1440" w:right="1440" w:bottom="1440" w:left="1440" w:header="720" w:footer="720" w:gutter="0"/>
          <w:cols w:num="1" w:space="720"/>
        </w:sectPr>
      </w:pPr>
    </w:p>
    <w:bookmarkStart w:id="1117" w:name="pg11704_122607"/>
    <w:bookmarkEnd w:id="1117"/>
    <w:p>
      <w:pPr>
        <w:pStyle w:val="BookText"/>
      </w:pPr>
      <w:r>
        <w:rPr>
          <w:rFonts w:ascii="IRNazanin" w:hAnsi="IRNazanin" w:eastAsia="IRNazanin" w:cs="IRNazanin"/>
          <w:lang w:bidi="fa-IR"/>
          <w:color w:val="111111"/>
          <w:sz w:val="28"/>
          <w:szCs w:val="28"/>
          <w:rtl/>
        </w:rPr>
        <w:t xml:space="preserve">ترجمه معاصره فی (مع- ج 2 ص 446) و أورد شعره و کذا فی (انجمن 4)</w:t>
      </w:r>
    </w:p>
    <w:p>
      <w:pPr>
        <w:pStyle w:val="Heading3"/>
      </w:pPr>
      <w:bookmarkStart w:id="9655" w:name="_Toc8351"/>
      <w:r>
        <w:t>7288- دیوان مهجور تبریزی أو شعره‏</w:t>
      </w:r>
      <w:bookmarkEnd w:id="9655"/>
    </w:p>
    <w:p>
      <w:pPr>
        <w:pStyle w:val="BookText"/>
      </w:pPr>
      <w:r>
        <w:rPr>
          <w:rFonts w:ascii="IRNazanin" w:hAnsi="IRNazanin" w:eastAsia="IRNazanin" w:cs="IRNazanin"/>
          <w:lang w:bidi="fa-IR"/>
          <w:color w:val="111111"/>
          <w:sz w:val="28"/>
          <w:szCs w:val="28"/>
          <w:rtl/>
        </w:rPr>
        <w:t xml:space="preserve">هو من شعراء آذربایجان فی القرن الثالث عشر ترجمه فی (دجا- ص 363) نقلا عن حدیقة الشعراء</w:t>
      </w:r>
    </w:p>
    <w:p>
      <w:pPr>
        <w:pStyle w:val="Heading3"/>
      </w:pPr>
      <w:bookmarkStart w:id="9656" w:name="_Toc8352"/>
      <w:r>
        <w:t>7289- دیوان مهجور شیرازی أو شعره‏</w:t>
      </w:r>
      <w:bookmarkEnd w:id="9656"/>
    </w:p>
    <w:p>
      <w:pPr>
        <w:pStyle w:val="BookText"/>
      </w:pPr>
      <w:r>
        <w:rPr>
          <w:rFonts w:ascii="IRNazanin" w:hAnsi="IRNazanin" w:eastAsia="IRNazanin" w:cs="IRNazanin"/>
          <w:lang w:bidi="fa-IR"/>
          <w:color w:val="111111"/>
          <w:sz w:val="28"/>
          <w:szCs w:val="28"/>
          <w:rtl/>
        </w:rPr>
        <w:t xml:space="preserve">و اسمه جعفر کما ذکر فی (گلشن- ص 276)</w:t>
      </w:r>
    </w:p>
    <w:p>
      <w:pPr>
        <w:pStyle w:val="Heading3"/>
      </w:pPr>
      <w:bookmarkStart w:id="9657" w:name="_Toc8353"/>
      <w:r>
        <w:t>دیوان مهجور شیرازی‏</w:t>
      </w:r>
      <w:bookmarkEnd w:id="9657"/>
    </w:p>
    <w:p>
      <w:pPr>
        <w:pStyle w:val="BookText"/>
      </w:pPr>
      <w:r>
        <w:rPr>
          <w:rFonts w:ascii="IRNazanin" w:hAnsi="IRNazanin" w:eastAsia="IRNazanin" w:cs="IRNazanin"/>
          <w:lang w:bidi="fa-IR"/>
          <w:color w:val="111111"/>
          <w:sz w:val="28"/>
          <w:szCs w:val="28"/>
          <w:rtl/>
        </w:rPr>
        <w:t xml:space="preserve">التخلص السابق لوصال کما یأتی‏</w:t>
      </w:r>
    </w:p>
    <w:p>
      <w:pPr>
        <w:pStyle w:val="Heading3"/>
      </w:pPr>
      <w:bookmarkStart w:id="9658" w:name="_Toc8354"/>
      <w:r>
        <w:t>7290- دیوان مهجور قمی‏</w:t>
      </w:r>
      <w:bookmarkEnd w:id="9658"/>
    </w:p>
    <w:p>
      <w:pPr>
        <w:pStyle w:val="BookText"/>
      </w:pPr>
      <w:r>
        <w:rPr>
          <w:rFonts w:ascii="IRNazanin" w:hAnsi="IRNazanin" w:eastAsia="IRNazanin" w:cs="IRNazanin"/>
          <w:lang w:bidi="fa-IR"/>
          <w:color w:val="111111"/>
          <w:sz w:val="28"/>
          <w:szCs w:val="28"/>
          <w:rtl/>
        </w:rPr>
        <w:t xml:space="preserve">اسمه السید حسین من السادة الرضویة سافر والده إلی حیدرآباد و تأهل بها فولد السید حسین هناک لکنه رجع إلی إیران و توفی بأسدآباد الهمدان ترجمه معاصره فی (مع 2- 446) و أورد شعره و کذا فی (انجمن 4)</w:t>
      </w:r>
    </w:p>
    <w:p>
      <w:pPr>
        <w:pStyle w:val="Heading3"/>
      </w:pPr>
      <w:bookmarkStart w:id="9659" w:name="_Toc8355"/>
      <w:r>
        <w:t>7291- دیوان مهجور کرمانشاهی أو شعره‏</w:t>
      </w:r>
      <w:bookmarkEnd w:id="9659"/>
    </w:p>
    <w:p>
      <w:pPr>
        <w:pStyle w:val="BookText"/>
      </w:pPr>
      <w:r>
        <w:rPr>
          <w:rFonts w:ascii="IRNazanin" w:hAnsi="IRNazanin" w:eastAsia="IRNazanin" w:cs="IRNazanin"/>
          <w:lang w:bidi="fa-IR"/>
          <w:color w:val="111111"/>
          <w:sz w:val="28"/>
          <w:szCs w:val="28"/>
          <w:rtl/>
        </w:rPr>
        <w:t xml:space="preserve">و اسمه حسین قلی من طائفة کلهر مدح منوچهر خان فذکر قصیدته فی المدائح المعتمدیة</w:t>
      </w:r>
    </w:p>
    <w:p>
      <w:pPr>
        <w:pStyle w:val="Heading3"/>
      </w:pPr>
      <w:bookmarkStart w:id="9660" w:name="_Toc8356"/>
      <w:r>
        <w:t>دیوان مهجور مالمیری‏</w:t>
      </w:r>
      <w:bookmarkEnd w:id="9660"/>
    </w:p>
    <w:p>
      <w:pPr>
        <w:pStyle w:val="BookText"/>
      </w:pPr>
      <w:r>
        <w:rPr>
          <w:rFonts w:ascii="IRNazanin" w:hAnsi="IRNazanin" w:eastAsia="IRNazanin" w:cs="IRNazanin"/>
          <w:lang w:bidi="fa-IR"/>
          <w:color w:val="111111"/>
          <w:sz w:val="28"/>
          <w:szCs w:val="28"/>
          <w:rtl/>
        </w:rPr>
        <w:t xml:space="preserve">راجع مهجور یزدی‏</w:t>
      </w:r>
    </w:p>
    <w:p>
      <w:pPr>
        <w:pStyle w:val="Heading3"/>
      </w:pPr>
      <w:bookmarkStart w:id="9661" w:name="_Toc8357"/>
      <w:r>
        <w:t>7292- دیوان مهجور یزدی‏</w:t>
      </w:r>
      <w:bookmarkEnd w:id="9661"/>
    </w:p>
    <w:p>
      <w:pPr>
        <w:pStyle w:val="BookText"/>
      </w:pPr>
      <w:r>
        <w:rPr>
          <w:rFonts w:ascii="IRNazanin" w:hAnsi="IRNazanin" w:eastAsia="IRNazanin" w:cs="IRNazanin"/>
          <w:lang w:bidi="fa-IR"/>
          <w:color w:val="111111"/>
          <w:sz w:val="28"/>
          <w:szCs w:val="28"/>
          <w:rtl/>
        </w:rPr>
        <w:t xml:space="preserve">و هو الشیخ محمد بن الملا محمد حسن المالمیری کان والده من مشاهیر العلماء و الولد المعاصر لآیتی من معتبری الوعاظ ذکره فی (تش یز- ص 334) و أورد غزله المتخلص فیه بمهجور</w:t>
      </w:r>
    </w:p>
    <w:p>
      <w:pPr>
        <w:pStyle w:val="Heading3"/>
      </w:pPr>
      <w:bookmarkStart w:id="9662" w:name="_Toc8358"/>
      <w:r>
        <w:t>7293- دیوان مهجور یزدی أو شعره‏</w:t>
      </w:r>
      <w:bookmarkEnd w:id="9662"/>
    </w:p>
    <w:p>
      <w:pPr>
        <w:pStyle w:val="BookText"/>
      </w:pPr>
      <w:r>
        <w:rPr>
          <w:rFonts w:ascii="IRNazanin" w:hAnsi="IRNazanin" w:eastAsia="IRNazanin" w:cs="IRNazanin"/>
          <w:lang w:bidi="fa-IR"/>
          <w:color w:val="111111"/>
          <w:sz w:val="28"/>
          <w:szCs w:val="28"/>
          <w:rtl/>
        </w:rPr>
        <w:t xml:space="preserve">هو والد پریشان یزدی المذکور فی ص 158 و هما شاعران کما ذکر</w:t>
      </w:r>
    </w:p>
    <w:p>
      <w:pPr>
        <w:pStyle w:val="Heading3"/>
      </w:pPr>
      <w:bookmarkStart w:id="9663" w:name="_Toc8359"/>
      <w:r>
        <w:t>7294- دیوان مهدوی حسین‏آبادی أو شعره‏</w:t>
      </w:r>
      <w:bookmarkEnd w:id="9663"/>
    </w:p>
    <w:p>
      <w:pPr>
        <w:pStyle w:val="BookText"/>
      </w:pPr>
      <w:r>
        <w:rPr>
          <w:rFonts w:ascii="IRNazanin" w:hAnsi="IRNazanin" w:eastAsia="IRNazanin" w:cs="IRNazanin"/>
          <w:lang w:bidi="fa-IR"/>
          <w:color w:val="111111"/>
          <w:sz w:val="28"/>
          <w:szCs w:val="28"/>
          <w:rtl/>
        </w:rPr>
        <w:t xml:space="preserve">و اسمه النواب مهدی علی خان ورد شعره فی (گلشن- ص 477)</w:t>
      </w:r>
    </w:p>
    <w:p>
      <w:pPr>
        <w:pStyle w:val="Heading3"/>
      </w:pPr>
      <w:bookmarkStart w:id="9664" w:name="_Toc8360"/>
      <w:r>
        <w:t>7295- دیوان مهدوی گزی‏</w:t>
      </w:r>
      <w:bookmarkEnd w:id="9664"/>
    </w:p>
    <w:p>
      <w:pPr>
        <w:pStyle w:val="BookText"/>
      </w:pPr>
      <w:r>
        <w:rPr>
          <w:rFonts w:ascii="IRNazanin" w:hAnsi="IRNazanin" w:eastAsia="IRNazanin" w:cs="IRNazanin"/>
          <w:lang w:bidi="fa-IR"/>
          <w:color w:val="111111"/>
          <w:sz w:val="28"/>
          <w:szCs w:val="28"/>
          <w:rtl/>
        </w:rPr>
        <w:t xml:space="preserve">و هو الملا عبد الکریم الجزینی مؤلف تذکره القبور المطبوعة مرتین جاء فی الطبعة الأولی 34 صفحة من مثنویاته الأخلاقیة الفارسیة و ترجم أحواله المعلم الحبیب‏آبادی فی الطبعة الثانیة الذی أسقط منه أکثر أشعاره‏</w:t>
      </w:r>
    </w:p>
    <w:p>
      <w:pPr>
        <w:pStyle w:val="Heading3"/>
      </w:pPr>
      <w:bookmarkStart w:id="9665" w:name="_Toc8361"/>
      <w:r>
        <w:t>7296- دیوان مهدی أسترآبادی‏</w:t>
      </w:r>
      <w:bookmarkEnd w:id="9665"/>
    </w:p>
    <w:p>
      <w:pPr>
        <w:pStyle w:val="BookText"/>
      </w:pPr>
      <w:r>
        <w:rPr>
          <w:rFonts w:ascii="IRNazanin" w:hAnsi="IRNazanin" w:eastAsia="IRNazanin" w:cs="IRNazanin"/>
          <w:lang w:bidi="fa-IR"/>
          <w:color w:val="111111"/>
          <w:sz w:val="28"/>
          <w:szCs w:val="28"/>
          <w:rtl/>
        </w:rPr>
        <w:t xml:space="preserve">ترجمه معاصره سام میرزا فی (تس 5- ص 124) و قال هو أخ مولانا نظام المعمائی فی غایة الکمال و الفضیلة و حسن الطبع توفی 922 و أورد له غزلا تاما و مطلع غزلین آخرین و ترجم فی (لط 2- ص 78) و أورد مطلع‏
</w:t>
      </w:r>
    </w:p>
    <w:p>
      <w:pPr>
        <w:sectPr>
          <w:footerReference w:type="default" r:id="rId1140"/>
          <w:footnotePr>
            <w:numStart w:val="1"/>
            <w:numRestart w:val="eachPage"/>
          </w:footnotePr>
          <w:pgSz w:orient="portrait" w:w="11905.511811023622" w:h="16837.79527559055"/>
          <w:pgMar w:top="1440" w:right="1440" w:bottom="1440" w:left="1440" w:header="720" w:footer="720" w:gutter="0"/>
          <w:cols w:num="1" w:space="720"/>
        </w:sectPr>
      </w:pPr>
    </w:p>
    <w:bookmarkStart w:id="1118" w:name="pg11704_122608"/>
    <w:bookmarkEnd w:id="1118"/>
    <w:p>
      <w:pPr>
        <w:pStyle w:val="BookText"/>
      </w:pPr>
      <w:r>
        <w:rPr>
          <w:rFonts w:ascii="IRNazanin" w:hAnsi="IRNazanin" w:eastAsia="IRNazanin" w:cs="IRNazanin"/>
          <w:lang w:bidi="fa-IR"/>
          <w:color w:val="111111"/>
          <w:sz w:val="28"/>
          <w:szCs w:val="28"/>
          <w:rtl/>
        </w:rPr>
        <w:t xml:space="preserve">غزله التام و کذا فی (گلشن- ص 477)</w:t>
      </w:r>
    </w:p>
    <w:p>
      <w:pPr>
        <w:pStyle w:val="Heading3"/>
      </w:pPr>
      <w:bookmarkStart w:id="9666" w:name="_Toc8362"/>
      <w:r>
        <w:t>7297- دیوان مهدی أسترآبادی‏</w:t>
      </w:r>
      <w:bookmarkEnd w:id="9666"/>
    </w:p>
    <w:p>
      <w:pPr>
        <w:pStyle w:val="BookText"/>
      </w:pPr>
      <w:r>
        <w:rPr>
          <w:rFonts w:ascii="IRNazanin" w:hAnsi="IRNazanin" w:eastAsia="IRNazanin" w:cs="IRNazanin"/>
          <w:lang w:bidi="fa-IR"/>
          <w:color w:val="111111"/>
          <w:sz w:val="28"/>
          <w:szCs w:val="28"/>
          <w:rtl/>
        </w:rPr>
        <w:t xml:space="preserve">و اسمه مهدی خان و کان منشیا لنادر شاه و ألف درة نادرة و جهان‏گشای نادری و قد مر بعنوان کوکب أسترآبادی أنهم خلطوا بینه و بین مهدی خان کوکب باغبان‏باشی للشاه سلطان حسین الصفوی و علی أی فقد طبع منشئاته ضمن مجموعة نصاب مثلث بتبریز فی 1281</w:t>
      </w:r>
    </w:p>
    <w:p>
      <w:pPr>
        <w:pStyle w:val="Heading3"/>
      </w:pPr>
      <w:bookmarkStart w:id="9667" w:name="_Toc8363"/>
      <w:r>
        <w:t>دیوان مهدی أصفهانی‏</w:t>
      </w:r>
      <w:bookmarkEnd w:id="9667"/>
    </w:p>
    <w:p>
      <w:pPr>
        <w:pStyle w:val="BookText"/>
      </w:pPr>
      <w:r>
        <w:rPr>
          <w:rFonts w:ascii="IRNazanin" w:hAnsi="IRNazanin" w:eastAsia="IRNazanin" w:cs="IRNazanin"/>
          <w:lang w:bidi="fa-IR"/>
          <w:color w:val="111111"/>
          <w:sz w:val="28"/>
          <w:szCs w:val="28"/>
          <w:rtl/>
        </w:rPr>
        <w:t xml:space="preserve">راجع مهدی تبریزی‏</w:t>
      </w:r>
    </w:p>
    <w:p>
      <w:pPr>
        <w:pStyle w:val="Heading3"/>
      </w:pPr>
      <w:bookmarkStart w:id="9668" w:name="_Toc8364"/>
      <w:r>
        <w:t>7298- دیوان مهدی أصفهانی أو شعره‏</w:t>
      </w:r>
      <w:bookmarkEnd w:id="9668"/>
    </w:p>
    <w:p>
      <w:pPr>
        <w:pStyle w:val="BookText"/>
      </w:pPr>
      <w:r>
        <w:rPr>
          <w:rFonts w:ascii="IRNazanin" w:hAnsi="IRNazanin" w:eastAsia="IRNazanin" w:cs="IRNazanin"/>
          <w:lang w:bidi="fa-IR"/>
          <w:color w:val="111111"/>
          <w:sz w:val="28"/>
          <w:szCs w:val="28"/>
          <w:rtl/>
        </w:rPr>
        <w:t xml:space="preserve">و یتخلص بیانی کان ابن أخت أبی طالب کلیم جاء إلی کشمیر و مات فی أواخر المائة الحادیة عشرة، ورد شعره فی (نتایج- 108)</w:t>
      </w:r>
    </w:p>
    <w:p>
      <w:pPr>
        <w:pStyle w:val="Heading3"/>
      </w:pPr>
      <w:bookmarkStart w:id="9669" w:name="_Toc8365"/>
      <w:r>
        <w:t>7299- دیوان السید مهدی الأعرجی‏</w:t>
      </w:r>
      <w:bookmarkEnd w:id="9669"/>
    </w:p>
    <w:p>
      <w:pPr>
        <w:pStyle w:val="BookText"/>
      </w:pPr>
      <w:r>
        <w:rPr>
          <w:rFonts w:ascii="IRNazanin" w:hAnsi="IRNazanin" w:eastAsia="IRNazanin" w:cs="IRNazanin"/>
          <w:lang w:bidi="fa-IR"/>
          <w:color w:val="111111"/>
          <w:sz w:val="28"/>
          <w:szCs w:val="28"/>
          <w:rtl/>
        </w:rPr>
        <w:t xml:space="preserve">الخطیب المتوفی 1358 غریقا فی شط الحلة موجود بخط أخیه الخطیب السید حبیب المعاصر، رأیتها عند الشیخ عبد المولی الطریحی و کتب لها مقدمه و ترجم فی خطباء المنبر ج 1 و فی شعراء الحسین مع تصویره و مر له فی ج 1 ص 478 أرجوزة سلسلة النسب‏</w:t>
      </w:r>
    </w:p>
    <w:p>
      <w:pPr>
        <w:pStyle w:val="Heading3"/>
      </w:pPr>
      <w:bookmarkStart w:id="9670" w:name="_Toc8366"/>
      <w:r>
        <w:t>7300- دیوان السید محمد مهدی الأدیب اللکهنوی‏</w:t>
      </w:r>
      <w:bookmarkEnd w:id="9670"/>
    </w:p>
    <w:p>
      <w:pPr>
        <w:pStyle w:val="BookText"/>
      </w:pPr>
      <w:r>
        <w:rPr>
          <w:rFonts w:ascii="IRNazanin" w:hAnsi="IRNazanin" w:eastAsia="IRNazanin" w:cs="IRNazanin"/>
          <w:lang w:bidi="fa-IR"/>
          <w:color w:val="111111"/>
          <w:sz w:val="28"/>
          <w:szCs w:val="28"/>
          <w:rtl/>
        </w:rPr>
        <w:t xml:space="preserve">اسمه الکواکب الدریة مطبوع‏</w:t>
      </w:r>
    </w:p>
    <w:p>
      <w:pPr>
        <w:pStyle w:val="Heading3"/>
      </w:pPr>
      <w:bookmarkStart w:id="9671" w:name="_Toc8367"/>
      <w:r>
        <w:t>7301- دیوان السید مهدی بحر العلوم‏</w:t>
      </w:r>
      <w:bookmarkEnd w:id="9671"/>
    </w:p>
    <w:p>
      <w:pPr>
        <w:pStyle w:val="BookText"/>
      </w:pPr>
      <w:r>
        <w:rPr>
          <w:rFonts w:ascii="IRNazanin" w:hAnsi="IRNazanin" w:eastAsia="IRNazanin" w:cs="IRNazanin"/>
          <w:lang w:bidi="fa-IR"/>
          <w:color w:val="111111"/>
          <w:sz w:val="28"/>
          <w:szCs w:val="28"/>
          <w:rtl/>
        </w:rPr>
        <w:t xml:space="preserve">مر بعنوان الاثنی عشریات فی ج 1 ص 113 و له رثاء مسلم بن عقیل و هانی بن عروة و منها:</w:t>
      </w:r>
    </w:p>
    <w:p>
      <w:pPr>
        <w:pStyle w:val="BookText"/>
      </w:pPr>
      <w:r>
        <w:rPr>
          <w:rFonts w:ascii="IRNazanin" w:hAnsi="IRNazanin" w:eastAsia="IRNazanin" w:cs="IRNazanin"/>
          <w:lang w:bidi="fa-IR"/>
          <w:color w:val="111111"/>
          <w:sz w:val="28"/>
          <w:szCs w:val="28"/>
          <w:rtl/>
        </w:rPr>
        <w:t xml:space="preserve">یا عین جودی لمسلم بن عقیل‏</w:t>
      </w:r>
    </w:p>
    <w:p>
      <w:pPr>
        <w:pStyle w:val="BookText"/>
      </w:pPr>
      <w:r>
        <w:rPr>
          <w:rFonts w:ascii="IRNazanin" w:hAnsi="IRNazanin" w:eastAsia="IRNazanin" w:cs="IRNazanin"/>
          <w:lang w:bidi="fa-IR"/>
          <w:color w:val="111111"/>
          <w:sz w:val="28"/>
          <w:szCs w:val="28"/>
          <w:rtl/>
        </w:rPr>
        <w:t xml:space="preserve">لرسول الحسین سبط الرسول‏</w:t>
      </w:r>
    </w:p>
    <w:p>
      <w:pPr>
        <w:pStyle w:val="BookText"/>
      </w:pPr>
      <w:r>
        <w:rPr>
          <w:rFonts w:ascii="IRNazanin" w:hAnsi="IRNazanin" w:eastAsia="IRNazanin" w:cs="IRNazanin"/>
          <w:lang w:bidi="fa-IR"/>
          <w:color w:val="111111"/>
          <w:sz w:val="28"/>
          <w:szCs w:val="28"/>
          <w:rtl/>
        </w:rPr>
        <w:t xml:space="preserve">و: لهف نفسی لشیخ مذحج هانی‏</w:t>
      </w:r>
    </w:p>
    <w:p>
      <w:pPr>
        <w:pStyle w:val="BookText"/>
      </w:pPr>
      <w:r>
        <w:rPr>
          <w:rFonts w:ascii="IRNazanin" w:hAnsi="IRNazanin" w:eastAsia="IRNazanin" w:cs="IRNazanin"/>
          <w:lang w:bidi="fa-IR"/>
          <w:color w:val="111111"/>
          <w:sz w:val="28"/>
          <w:szCs w:val="28"/>
          <w:rtl/>
        </w:rPr>
        <w:t xml:space="preserve">سید الممر کله و القبیل‏</w:t>
      </w:r>
    </w:p>
    <w:p>
      <w:pPr>
        <w:pStyle w:val="Heading3"/>
      </w:pPr>
      <w:bookmarkStart w:id="9672" w:name="_Toc8368"/>
      <w:r>
        <w:t>7302- دیوان السید مهدی‏</w:t>
      </w:r>
      <w:bookmarkEnd w:id="9672"/>
    </w:p>
    <w:p>
      <w:pPr>
        <w:pStyle w:val="BookText"/>
      </w:pPr>
      <w:r>
        <w:rPr>
          <w:rFonts w:ascii="IRNazanin" w:hAnsi="IRNazanin" w:eastAsia="IRNazanin" w:cs="IRNazanin"/>
          <w:lang w:bidi="fa-IR"/>
          <w:color w:val="111111"/>
          <w:sz w:val="28"/>
          <w:szCs w:val="28"/>
          <w:rtl/>
        </w:rPr>
        <w:t xml:space="preserve">البحرانی ابن السید علی بن محمد بن علی بن محمد الملقب بغیاث بن علی المعروف بمشعل بن أحمد بن هاشم بن علوی عتیق الحسین بن السید حسین الغریفی المنتهی نسبه إلی إبراهیم المجاب بن محمد العابد ابن الإمام الکاظم علیه السلام  ولد فی النجف 1299 و توفی بالبصرة و حمل طریا إلی النجف فی سابع ذی الحجة 1343 و توفی والده و له من العمر سنتان فکفله أخوه السید رضا الصائغ النسابة حتی برع و تخرج علی العلماء و ألف تصانیف کثیرة و دیوانه هذا موجود فی مجلدین أحدهما بخط الشیخ حسن بن الشیخ علی الحلی الشاعر فی 204 ص کل صفحة
</w:t>
      </w:r>
    </w:p>
    <w:p>
      <w:pPr>
        <w:sectPr>
          <w:footerReference w:type="default" r:id="rId1141"/>
          <w:footnotePr>
            <w:numStart w:val="1"/>
            <w:numRestart w:val="eachPage"/>
          </w:footnotePr>
          <w:pgSz w:orient="portrait" w:w="11905.511811023622" w:h="16837.79527559055"/>
          <w:pgMar w:top="1440" w:right="1440" w:bottom="1440" w:left="1440" w:header="720" w:footer="720" w:gutter="0"/>
          <w:cols w:num="1" w:space="720"/>
        </w:sectPr>
      </w:pPr>
    </w:p>
    <w:bookmarkStart w:id="1119" w:name="pg11704_122609"/>
    <w:bookmarkEnd w:id="1119"/>
    <w:p>
      <w:pPr>
        <w:pStyle w:val="BookText"/>
      </w:pPr>
      <w:r>
        <w:rPr>
          <w:rFonts w:ascii="IRNazanin" w:hAnsi="IRNazanin" w:eastAsia="IRNazanin" w:cs="IRNazanin"/>
          <w:lang w:bidi="fa-IR"/>
          <w:color w:val="111111"/>
          <w:sz w:val="28"/>
          <w:szCs w:val="28"/>
          <w:rtl/>
        </w:rPr>
        <w:t xml:space="preserve">16 بیتا و فرغ من نسخه فی 1322 و ثانیها بخط الناظم یقرب من 250 ص فیه المدیح و التهانی و الغزل، بخط ردی، کلها عند ولده السید عبد المطلب و قد نظم أکثرها فی 1322 إلی 1323 و هو ابن إحدی و عشرین سنة</w:t>
      </w:r>
    </w:p>
    <w:p>
      <w:pPr>
        <w:pStyle w:val="Heading3"/>
      </w:pPr>
      <w:bookmarkStart w:id="9673" w:name="_Toc8369"/>
      <w:r>
        <w:t>7303- دیوان مهدی پهلوان أو شعره‏</w:t>
      </w:r>
      <w:bookmarkEnd w:id="9673"/>
    </w:p>
    <w:p>
      <w:pPr>
        <w:pStyle w:val="BookText"/>
      </w:pPr>
      <w:r>
        <w:rPr>
          <w:rFonts w:ascii="IRNazanin" w:hAnsi="IRNazanin" w:eastAsia="IRNazanin" w:cs="IRNazanin"/>
          <w:lang w:bidi="fa-IR"/>
          <w:color w:val="111111"/>
          <w:sz w:val="28"/>
          <w:szCs w:val="28"/>
          <w:rtl/>
        </w:rPr>
        <w:t xml:space="preserve">و اسمه محمد مهدی الماهر فی الموسیقی أطری علیه علی شیر النوائی، کذا فی (گلشن- ص 478) و لعله أراد پهلوان محمد المذکور فی ص 160</w:t>
      </w:r>
    </w:p>
    <w:p>
      <w:pPr>
        <w:pStyle w:val="Heading3"/>
      </w:pPr>
      <w:bookmarkStart w:id="9674" w:name="_Toc8370"/>
      <w:r>
        <w:t>7304- دیوان مهدی تبریزی‏</w:t>
      </w:r>
      <w:bookmarkEnd w:id="9674"/>
    </w:p>
    <w:p>
      <w:pPr>
        <w:pStyle w:val="BookText"/>
      </w:pPr>
      <w:r>
        <w:rPr>
          <w:rFonts w:ascii="IRNazanin" w:hAnsi="IRNazanin" w:eastAsia="IRNazanin" w:cs="IRNazanin"/>
          <w:lang w:bidi="fa-IR"/>
          <w:color w:val="111111"/>
          <w:sz w:val="28"/>
          <w:szCs w:val="28"/>
          <w:rtl/>
        </w:rPr>
        <w:t xml:space="preserve">هو ابن علی الحسنی الکاظمی طبع له قبس الأحزان فی مصیبة الغریب العطشان‏</w:t>
      </w:r>
    </w:p>
    <w:p>
      <w:pPr>
        <w:pStyle w:val="Heading3"/>
      </w:pPr>
      <w:bookmarkStart w:id="9675" w:name="_Toc8371"/>
      <w:r>
        <w:t>7305- دیوان مهدی تبریزی الشقاقی‏</w:t>
      </w:r>
      <w:bookmarkEnd w:id="9675"/>
    </w:p>
    <w:p>
      <w:pPr>
        <w:pStyle w:val="BookText"/>
      </w:pPr>
      <w:r>
        <w:rPr>
          <w:rFonts w:ascii="IRNazanin" w:hAnsi="IRNazanin" w:eastAsia="IRNazanin" w:cs="IRNazanin"/>
          <w:lang w:bidi="fa-IR"/>
          <w:color w:val="111111"/>
          <w:sz w:val="28"/>
          <w:szCs w:val="28"/>
          <w:rtl/>
        </w:rPr>
        <w:t xml:space="preserve">کان نزیل أصفهان و توفی بها 1214 ترجمه فی (دجا- ص 363) و قال له مثنوی لیلی و مجنون بطریق الهزل و کان کثیر الهجاء و کذا فی (انجمن 4) و (مع 2: 488) و (گلشن- ص 477) یوجد أشعاره فی جنگ برقم 305 عند (فخر الدین)</w:t>
      </w:r>
    </w:p>
    <w:p>
      <w:pPr>
        <w:pStyle w:val="Heading3"/>
      </w:pPr>
      <w:bookmarkStart w:id="9676" w:name="_Toc8372"/>
      <w:r>
        <w:t>دیوان مهدی حمیدی‏</w:t>
      </w:r>
      <w:bookmarkEnd w:id="9676"/>
    </w:p>
    <w:p>
      <w:pPr>
        <w:pStyle w:val="BookText"/>
      </w:pPr>
      <w:r>
        <w:rPr>
          <w:rFonts w:ascii="IRNazanin" w:hAnsi="IRNazanin" w:eastAsia="IRNazanin" w:cs="IRNazanin"/>
          <w:lang w:bidi="fa-IR"/>
          <w:color w:val="111111"/>
          <w:sz w:val="28"/>
          <w:szCs w:val="28"/>
          <w:rtl/>
        </w:rPr>
        <w:t xml:space="preserve">ابن حیدر علی آسوده طبع له طلسم شکسته و عرفان الحکم و عصیان و غیرها و مر بتخلصه حمیدی شیرازی‏</w:t>
      </w:r>
    </w:p>
    <w:p>
      <w:pPr>
        <w:pStyle w:val="Heading3"/>
      </w:pPr>
      <w:bookmarkStart w:id="9677" w:name="_Toc8373"/>
      <w:r>
        <w:t>دیوان الشیخ مهدی الحجار</w:t>
      </w:r>
      <w:bookmarkEnd w:id="9677"/>
    </w:p>
    <w:p>
      <w:pPr>
        <w:pStyle w:val="BookText"/>
      </w:pPr>
      <w:r>
        <w:rPr>
          <w:rFonts w:ascii="IRNazanin" w:hAnsi="IRNazanin" w:eastAsia="IRNazanin" w:cs="IRNazanin"/>
          <w:lang w:bidi="fa-IR"/>
          <w:color w:val="111111"/>
          <w:sz w:val="28"/>
          <w:szCs w:val="28"/>
          <w:rtl/>
        </w:rPr>
        <w:t xml:space="preserve">مر بعنوان تخلصه الحجار</w:t>
      </w:r>
    </w:p>
    <w:p>
      <w:pPr>
        <w:pStyle w:val="Heading3"/>
      </w:pPr>
      <w:bookmarkStart w:id="9678" w:name="_Toc8374"/>
      <w:r>
        <w:t>7306- دیوان السید مهدی الحلی‏</w:t>
      </w:r>
      <w:bookmarkEnd w:id="9678"/>
    </w:p>
    <w:p>
      <w:pPr>
        <w:pStyle w:val="BookText"/>
      </w:pPr>
      <w:r>
        <w:rPr>
          <w:rFonts w:ascii="IRNazanin" w:hAnsi="IRNazanin" w:eastAsia="IRNazanin" w:cs="IRNazanin"/>
          <w:lang w:bidi="fa-IR"/>
          <w:color w:val="111111"/>
          <w:sz w:val="28"/>
          <w:szCs w:val="28"/>
          <w:rtl/>
        </w:rPr>
        <w:t xml:space="preserve">الشاعر الماهر بن داود بن سلیمان بن داود الحسینی الحلی ولد بها 1222 و قرأ الأدب و غیره علی أخیه السید سلیمان الذی توفی 1247 و غیره و برع، و نظم کثیرا إلی أن توفی بمسقط رأسه رابع المحرم 1287 و رثاه تلمیذه و ابن أخیه السید حیدر بن سلیمان بن داود الذی توفی 1304 و دیوانه کبیر فی جزءین أولها فیما قاله فی أهل البیت ع و فی العلماء الأکابر و لا سیما أهل بغداد و ثانیهما فی مراثی شهداء الطف جمعه الخطیب الشیخ مهدی بن الشیخ یعقوب النجفی فی 1329 و رتب کلا جزأیه علی الحروف و نسخه بمکتبة (السماوی) و أخری بخط السید علی الهاشمی فرغ منها 17 رجب 1350 بمکتبة الشیخ محمد علی الیعقوبی و بعض مراثیه ضمن مجموعة عند السید محمد حسن الطالقانی و معها مراثی حفید أخته السید عبد المطلب ابن داود بن سلیمان أخ السید مهدی و أستاذه و نسخه أخری عند حفیده السید هادی بن‏
</w:t>
      </w:r>
    </w:p>
    <w:p>
      <w:pPr>
        <w:sectPr>
          <w:footerReference w:type="default" r:id="rId1142"/>
          <w:footnotePr>
            <w:numStart w:val="1"/>
            <w:numRestart w:val="eachPage"/>
          </w:footnotePr>
          <w:pgSz w:orient="portrait" w:w="11905.511811023622" w:h="16837.79527559055"/>
          <w:pgMar w:top="1440" w:right="1440" w:bottom="1440" w:left="1440" w:header="720" w:footer="720" w:gutter="0"/>
          <w:cols w:num="1" w:space="720"/>
        </w:sectPr>
      </w:pPr>
    </w:p>
    <w:bookmarkStart w:id="1120" w:name="pg11704_122610"/>
    <w:bookmarkEnd w:id="1120"/>
    <w:p>
      <w:pPr>
        <w:pStyle w:val="BookText"/>
      </w:pPr>
      <w:r>
        <w:rPr>
          <w:rFonts w:ascii="IRNazanin" w:hAnsi="IRNazanin" w:eastAsia="IRNazanin" w:cs="IRNazanin"/>
          <w:lang w:bidi="fa-IR"/>
          <w:color w:val="111111"/>
          <w:sz w:val="28"/>
          <w:szCs w:val="28"/>
          <w:rtl/>
        </w:rPr>
        <w:t xml:space="preserve">السید حمزة بن الناظم و له کتاب مصباح الأدب المطبوع کما یأتی‏</w:t>
      </w:r>
    </w:p>
    <w:p>
      <w:pPr>
        <w:pStyle w:val="Heading3"/>
      </w:pPr>
      <w:bookmarkStart w:id="9679" w:name="_Toc8375"/>
      <w:r>
        <w:t>7307- دیوان السید مهدی الحکیم‏</w:t>
      </w:r>
      <w:bookmarkEnd w:id="9679"/>
    </w:p>
    <w:p>
      <w:pPr>
        <w:pStyle w:val="BookText"/>
      </w:pPr>
      <w:r>
        <w:rPr>
          <w:rFonts w:ascii="IRNazanin" w:hAnsi="IRNazanin" w:eastAsia="IRNazanin" w:cs="IRNazanin"/>
          <w:lang w:bidi="fa-IR"/>
          <w:color w:val="111111"/>
          <w:sz w:val="28"/>
          <w:szCs w:val="28"/>
          <w:rtl/>
        </w:rPr>
        <w:t xml:space="preserve">ابن السید رضا بن أحمد بن الحسین بن الحسن میر حکیم الحسینی الطالقانی النجفی و المولود بها 1265 و المتوفی 1343 جمعه من متفرقات شعره السید محمد حسن بن السید عبد الرسول بن مشکور الطالقانی و المجموع منه حتی الیوم 1060 بیتا و لأخیه السید باقر بن السید رضا أیضا أشعار کثیرة جمع منها شی‏ء قلیل مع دیوان أخیه و له ولد أدیب شاعر اسمه السید علی بن مهدی و له دیوان جمعه بنفسه و أخذه معه فی سفره إلی البصرة و منها إلی لنجة، و بها توفی 1337 و أخوه السید باقر ولد 1214 و توفی 1294 حدث بتاریخة ولده السید صادق الذی ولد قبل موت أبیه بثلاث سنین‏</w:t>
      </w:r>
    </w:p>
    <w:p>
      <w:pPr>
        <w:pStyle w:val="Heading3"/>
      </w:pPr>
      <w:bookmarkStart w:id="9680" w:name="_Toc8376"/>
      <w:r>
        <w:t>7308- دیوان مهدی خویی‏</w:t>
      </w:r>
      <w:bookmarkEnd w:id="9680"/>
    </w:p>
    <w:p>
      <w:pPr>
        <w:pStyle w:val="BookText"/>
      </w:pPr>
      <w:r>
        <w:rPr>
          <w:rFonts w:ascii="IRNazanin" w:hAnsi="IRNazanin" w:eastAsia="IRNazanin" w:cs="IRNazanin"/>
          <w:lang w:bidi="fa-IR"/>
          <w:color w:val="111111"/>
          <w:sz w:val="28"/>
          <w:szCs w:val="28"/>
          <w:rtl/>
        </w:rPr>
        <w:t xml:space="preserve">لمیرزا مهدی بن محمد نصیر. کان ندیم محمد علی میرزا دولت شاه بن فتح علی شاه. ترجم هدایت فی (مع 2: 439) و (دجا- ص 364) و المدائح المعتمدیة.</w:t>
      </w:r>
    </w:p>
    <w:p>
      <w:pPr>
        <w:pStyle w:val="Heading3"/>
      </w:pPr>
      <w:bookmarkStart w:id="9681" w:name="_Toc8377"/>
      <w:r>
        <w:t>7309- دیوان مهدی رازی أو شعره‏</w:t>
      </w:r>
      <w:bookmarkEnd w:id="9681"/>
    </w:p>
    <w:p>
      <w:pPr>
        <w:pStyle w:val="BookText"/>
      </w:pPr>
      <w:r>
        <w:rPr>
          <w:rFonts w:ascii="IRNazanin" w:hAnsi="IRNazanin" w:eastAsia="IRNazanin" w:cs="IRNazanin"/>
          <w:lang w:bidi="fa-IR"/>
          <w:color w:val="111111"/>
          <w:sz w:val="28"/>
          <w:szCs w:val="28"/>
          <w:rtl/>
        </w:rPr>
        <w:t xml:space="preserve">و هو ابن المیرزا غیاث العرب النسابة الطباطبائی.</w:t>
      </w:r>
    </w:p>
    <w:p>
      <w:pPr>
        <w:pStyle w:val="BookText"/>
      </w:pPr>
      <w:r>
        <w:rPr>
          <w:rFonts w:ascii="IRNazanin" w:hAnsi="IRNazanin" w:eastAsia="IRNazanin" w:cs="IRNazanin"/>
          <w:lang w:bidi="fa-IR"/>
          <w:color w:val="111111"/>
          <w:sz w:val="28"/>
          <w:szCs w:val="28"/>
          <w:rtl/>
        </w:rPr>
        <w:t xml:space="preserve">أورد النصرآبادی شعره فی (نر 6- ص 163) و قال اشتغل بالعلم بشیراز و هاجر إلی أصفهان و زار العراق و رجع. و کان یتتبع المثنوی للمولوی الرومی. و عنه أخذ فی (گلشن- ص 478) و (خوش‏گو).</w:t>
      </w:r>
    </w:p>
    <w:p>
      <w:pPr>
        <w:pStyle w:val="Heading3"/>
      </w:pPr>
      <w:bookmarkStart w:id="9682" w:name="_Toc8378"/>
      <w:r>
        <w:t>دیوان مهدی شقاقی‏</w:t>
      </w:r>
      <w:bookmarkEnd w:id="9682"/>
    </w:p>
    <w:p>
      <w:pPr>
        <w:pStyle w:val="BookText"/>
      </w:pPr>
      <w:r>
        <w:rPr>
          <w:rFonts w:ascii="IRNazanin" w:hAnsi="IRNazanin" w:eastAsia="IRNazanin" w:cs="IRNazanin"/>
          <w:lang w:bidi="fa-IR"/>
          <w:color w:val="111111"/>
          <w:sz w:val="28"/>
          <w:szCs w:val="28"/>
          <w:rtl/>
        </w:rPr>
        <w:t xml:space="preserve">راجع دیوان مهدی تبریزی.</w:t>
      </w:r>
    </w:p>
    <w:p>
      <w:pPr>
        <w:pStyle w:val="Heading3"/>
      </w:pPr>
      <w:bookmarkStart w:id="9683" w:name="_Toc8379"/>
      <w:r>
        <w:t>دیوان مهدی شهرستانی‏</w:t>
      </w:r>
      <w:bookmarkEnd w:id="9683"/>
    </w:p>
    <w:p>
      <w:pPr>
        <w:pStyle w:val="BookText"/>
      </w:pPr>
      <w:r>
        <w:rPr>
          <w:rFonts w:ascii="IRNazanin" w:hAnsi="IRNazanin" w:eastAsia="IRNazanin" w:cs="IRNazanin"/>
          <w:lang w:bidi="fa-IR"/>
          <w:color w:val="111111"/>
          <w:sz w:val="28"/>
          <w:szCs w:val="28"/>
          <w:rtl/>
        </w:rPr>
        <w:t xml:space="preserve">راجع دیوان مهدی صدر.</w:t>
      </w:r>
    </w:p>
    <w:p>
      <w:pPr>
        <w:pStyle w:val="Heading3"/>
      </w:pPr>
      <w:bookmarkStart w:id="9684" w:name="_Toc8380"/>
      <w:r>
        <w:t>7310- دیوان میرزا مهدی صدر</w:t>
      </w:r>
      <w:bookmarkEnd w:id="9684"/>
    </w:p>
    <w:p>
      <w:pPr>
        <w:pStyle w:val="BookText"/>
      </w:pPr>
      <w:r>
        <w:rPr>
          <w:rFonts w:ascii="IRNazanin" w:hAnsi="IRNazanin" w:eastAsia="IRNazanin" w:cs="IRNazanin"/>
          <w:lang w:bidi="fa-IR"/>
          <w:color w:val="111111"/>
          <w:sz w:val="28"/>
          <w:szCs w:val="28"/>
          <w:rtl/>
        </w:rPr>
        <w:t xml:space="preserve">هو ابن المیرزا حبیب الله الصدر بن السید حسین الموسوی العاملی و حفید السید حسین المجتهد الکرکی من الأب و الشیخ لطف الله المیسی من الأم. ترجمه النصرآبادی فی (نر 2- ص 16) و أورد بعض شعره. تصدر الوزارة بعد أبیه و مات 1043 کما فی (گلشن- 479) و قال محمد ورنوسفادرانی فی تاریخه:</w:t>
      </w:r>
    </w:p>
    <w:p>
      <w:pPr>
        <w:pStyle w:val="BookText"/>
      </w:pPr>
      <w:r>
        <w:rPr>
          <w:rFonts w:ascii="IRNazanin" w:hAnsi="IRNazanin" w:eastAsia="IRNazanin" w:cs="IRNazanin"/>
          <w:lang w:bidi="fa-IR"/>
          <w:color w:val="111111"/>
          <w:sz w:val="28"/>
          <w:szCs w:val="28"/>
          <w:rtl/>
        </w:rPr>
        <w:t xml:space="preserve">آفتاب از سر کلاه افکند و در تاریخ گفت:</w:t>
      </w:r>
    </w:p>
    <w:p>
      <w:pPr>
        <w:pStyle w:val="BookText"/>
      </w:pPr>
      <w:r>
        <w:rPr>
          <w:rFonts w:ascii="IRNazanin" w:hAnsi="IRNazanin" w:eastAsia="IRNazanin" w:cs="IRNazanin"/>
          <w:lang w:bidi="fa-IR"/>
          <w:color w:val="111111"/>
          <w:sz w:val="28"/>
          <w:szCs w:val="28"/>
          <w:rtl/>
        </w:rPr>
        <w:t xml:space="preserve">آصف دوران شد از بزم سلیمان جهان‏</w:t>
      </w:r>
    </w:p>
    <w:p>
      <w:pPr>
        <w:pStyle w:val="BookText"/>
      </w:pPr>
      <w:r>
        <w:rPr>
          <w:rFonts w:ascii="IRNazanin" w:hAnsi="IRNazanin" w:eastAsia="IRNazanin" w:cs="IRNazanin"/>
          <w:lang w:bidi="fa-IR"/>
          <w:color w:val="111111"/>
          <w:sz w:val="28"/>
          <w:szCs w:val="28"/>
          <w:rtl/>
        </w:rPr>
        <w:t xml:space="preserve">و لیس فی 1081 کما فی تذکره النصرآبادی.</w:t>
      </w:r>
    </w:p>
    <w:p>
      <w:pPr>
        <w:pStyle w:val="Heading3"/>
      </w:pPr>
      <w:bookmarkStart w:id="9685" w:name="_Toc8381"/>
      <w:r>
        <w:t>دیوان مهدی طباطبائی‏</w:t>
      </w:r>
      <w:bookmarkEnd w:id="9685"/>
    </w:p>
    <w:p>
      <w:pPr>
        <w:pStyle w:val="BookText"/>
      </w:pPr>
      <w:r>
        <w:rPr>
          <w:rFonts w:ascii="IRNazanin" w:hAnsi="IRNazanin" w:eastAsia="IRNazanin" w:cs="IRNazanin"/>
          <w:lang w:bidi="fa-IR"/>
          <w:color w:val="111111"/>
          <w:sz w:val="28"/>
          <w:szCs w:val="28"/>
          <w:rtl/>
        </w:rPr>
        <w:t xml:space="preserve">ابن المیرزا غیاث راجع دیوان مهدی رازی.
</w:t>
      </w:r>
    </w:p>
    <w:p>
      <w:pPr>
        <w:sectPr>
          <w:footerReference w:type="default" r:id="rId1143"/>
          <w:footnotePr>
            <w:numStart w:val="1"/>
            <w:numRestart w:val="eachPage"/>
          </w:footnotePr>
          <w:pgSz w:orient="portrait" w:w="11905.511811023622" w:h="16837.79527559055"/>
          <w:pgMar w:top="1440" w:right="1440" w:bottom="1440" w:left="1440" w:header="720" w:footer="720" w:gutter="0"/>
          <w:cols w:num="1" w:space="720"/>
        </w:sectPr>
      </w:pPr>
    </w:p>
    <w:bookmarkStart w:id="1121" w:name="pg11704_122611"/>
    <w:bookmarkEnd w:id="1121"/>
    <w:p>
      <w:pPr>
        <w:pStyle w:val="Heading3"/>
      </w:pPr>
      <w:bookmarkStart w:id="9686" w:name="_Toc8382"/>
      <w:r>
        <w:t>دیوان مهدی طهرانی‏</w:t>
      </w:r>
      <w:bookmarkEnd w:id="9686"/>
    </w:p>
    <w:p>
      <w:pPr>
        <w:pStyle w:val="BookText"/>
      </w:pPr>
      <w:r>
        <w:rPr>
          <w:rFonts w:ascii="IRNazanin" w:hAnsi="IRNazanin" w:eastAsia="IRNazanin" w:cs="IRNazanin"/>
          <w:lang w:bidi="fa-IR"/>
          <w:color w:val="111111"/>
          <w:sz w:val="28"/>
          <w:szCs w:val="28"/>
          <w:rtl/>
        </w:rPr>
        <w:t xml:space="preserve">طبع له جنگ المناقب فی 1302 و مر بتخلصه جرس.</w:t>
      </w:r>
    </w:p>
    <w:p>
      <w:pPr>
        <w:pStyle w:val="Heading3"/>
      </w:pPr>
      <w:bookmarkStart w:id="9687" w:name="_Toc8383"/>
      <w:r>
        <w:t>7311- دیوان مهدی فتح‏آبادی أو شعره‏</w:t>
      </w:r>
      <w:bookmarkEnd w:id="9687"/>
    </w:p>
    <w:p>
      <w:pPr>
        <w:pStyle w:val="BookText"/>
      </w:pPr>
      <w:r>
        <w:rPr>
          <w:rFonts w:ascii="IRNazanin" w:hAnsi="IRNazanin" w:eastAsia="IRNazanin" w:cs="IRNazanin"/>
          <w:lang w:bidi="fa-IR"/>
          <w:color w:val="111111"/>
          <w:sz w:val="28"/>
          <w:szCs w:val="28"/>
          <w:rtl/>
        </w:rPr>
        <w:t xml:space="preserve">أورد شعره فرصت فی (عم- ص 569) و قال هو من الخوانین.</w:t>
      </w:r>
    </w:p>
    <w:p>
      <w:pPr>
        <w:pStyle w:val="Heading3"/>
      </w:pPr>
      <w:bookmarkStart w:id="9688" w:name="_Toc8384"/>
      <w:r>
        <w:t>7312- دیوان السید مهدی القزوینی‏</w:t>
      </w:r>
      <w:bookmarkEnd w:id="9688"/>
    </w:p>
    <w:p>
      <w:pPr>
        <w:pStyle w:val="BookText"/>
      </w:pPr>
      <w:r>
        <w:rPr>
          <w:rFonts w:ascii="IRNazanin" w:hAnsi="IRNazanin" w:eastAsia="IRNazanin" w:cs="IRNazanin"/>
          <w:lang w:bidi="fa-IR"/>
          <w:color w:val="111111"/>
          <w:sz w:val="28"/>
          <w:szCs w:val="28"/>
          <w:rtl/>
        </w:rPr>
        <w:t xml:space="preserve">و هو السید مهدی بن الحسن. ذکرنا له منظومة فی الأصول باسم السبائک فی ج 10 ص 152.</w:t>
      </w:r>
    </w:p>
    <w:p>
      <w:pPr>
        <w:pStyle w:val="Heading3"/>
      </w:pPr>
      <w:bookmarkStart w:id="9689" w:name="_Toc8385"/>
      <w:r>
        <w:t>7313- دیوان مهدی قزوینی أو شعره‏</w:t>
      </w:r>
      <w:bookmarkEnd w:id="9689"/>
    </w:p>
    <w:p>
      <w:pPr>
        <w:pStyle w:val="BookText"/>
      </w:pPr>
      <w:r>
        <w:rPr>
          <w:rFonts w:ascii="IRNazanin" w:hAnsi="IRNazanin" w:eastAsia="IRNazanin" w:cs="IRNazanin"/>
          <w:lang w:bidi="fa-IR"/>
          <w:color w:val="111111"/>
          <w:sz w:val="28"/>
          <w:szCs w:val="28"/>
          <w:rtl/>
        </w:rPr>
        <w:t xml:space="preserve">کان معاصرا لفتح علی شاه. ورد شعره فی (گلشن- ص 477).</w:t>
      </w:r>
    </w:p>
    <w:p>
      <w:pPr>
        <w:pStyle w:val="Heading3"/>
      </w:pPr>
      <w:bookmarkStart w:id="9690" w:name="_Toc8386"/>
      <w:r>
        <w:t>7314- دیوان مهدی قلی قادورقائی أو شعره‏</w:t>
      </w:r>
      <w:bookmarkEnd w:id="9690"/>
    </w:p>
    <w:p>
      <w:pPr>
        <w:pStyle w:val="BookText"/>
      </w:pPr>
      <w:r>
        <w:rPr>
          <w:rFonts w:ascii="IRNazanin" w:hAnsi="IRNazanin" w:eastAsia="IRNazanin" w:cs="IRNazanin"/>
          <w:lang w:bidi="fa-IR"/>
          <w:color w:val="111111"/>
          <w:sz w:val="28"/>
          <w:szCs w:val="28"/>
          <w:rtl/>
        </w:rPr>
        <w:t xml:space="preserve">ترجمه و أورد شعره معاصره الصادقی فی (خص 3- ص 35).</w:t>
      </w:r>
    </w:p>
    <w:p>
      <w:pPr>
        <w:pStyle w:val="Heading3"/>
      </w:pPr>
      <w:bookmarkStart w:id="9691" w:name="_Toc8387"/>
      <w:r>
        <w:t>7315- دیوان السید مهدی القطیفی‏</w:t>
      </w:r>
      <w:bookmarkEnd w:id="9691"/>
    </w:p>
    <w:p>
      <w:pPr>
        <w:pStyle w:val="BookText"/>
      </w:pPr>
      <w:r>
        <w:rPr>
          <w:rFonts w:ascii="IRNazanin" w:hAnsi="IRNazanin" w:eastAsia="IRNazanin" w:cs="IRNazanin"/>
          <w:lang w:bidi="fa-IR"/>
          <w:color w:val="111111"/>
          <w:sz w:val="28"/>
          <w:szCs w:val="28"/>
          <w:rtl/>
        </w:rPr>
        <w:t xml:space="preserve">رأیت جملة من مراثیه فی بعض المجامیع أوله:</w:t>
      </w:r>
    </w:p>
    <w:p>
      <w:pPr>
        <w:pStyle w:val="BookText"/>
      </w:pPr>
      <w:r>
        <w:rPr>
          <w:rFonts w:ascii="IRNazanin" w:hAnsi="IRNazanin" w:eastAsia="IRNazanin" w:cs="IRNazanin"/>
          <w:lang w:bidi="fa-IR"/>
          <w:color w:val="111111"/>
          <w:sz w:val="28"/>
          <w:szCs w:val="28"/>
          <w:rtl/>
        </w:rPr>
        <w:t xml:space="preserve">قیل لی أنت أوحد الدهر فی الشعر</w:t>
      </w:r>
    </w:p>
    <w:p>
      <w:pPr>
        <w:pStyle w:val="BookText"/>
      </w:pPr>
      <w:r>
        <w:rPr>
          <w:rFonts w:ascii="IRNazanin" w:hAnsi="IRNazanin" w:eastAsia="IRNazanin" w:cs="IRNazanin"/>
          <w:lang w:bidi="fa-IR"/>
          <w:color w:val="111111"/>
          <w:sz w:val="28"/>
          <w:szCs w:val="28"/>
          <w:rtl/>
        </w:rPr>
        <w:t xml:space="preserve">فهلا رثیت نجل عقیل‏</w:t>
      </w:r>
    </w:p>
    <w:p>
      <w:pPr>
        <w:pStyle w:val="Heading3"/>
      </w:pPr>
      <w:bookmarkStart w:id="9692" w:name="_Toc8388"/>
      <w:r>
        <w:t>دیوان مهدی قمشهی‏</w:t>
      </w:r>
      <w:bookmarkEnd w:id="9692"/>
    </w:p>
    <w:p>
      <w:pPr>
        <w:pStyle w:val="BookText"/>
      </w:pPr>
      <w:r>
        <w:rPr>
          <w:rFonts w:ascii="IRNazanin" w:hAnsi="IRNazanin" w:eastAsia="IRNazanin" w:cs="IRNazanin"/>
          <w:lang w:bidi="fa-IR"/>
          <w:color w:val="111111"/>
          <w:sz w:val="28"/>
          <w:szCs w:val="28"/>
          <w:rtl/>
        </w:rPr>
        <w:t xml:space="preserve">للشیخ مهدی بن أبی الحسن القمشه‏إی المتخلص إلهی کما مر طبع له نغمه عشاق و قصیدة قرآنیة و غیرها.</w:t>
      </w:r>
    </w:p>
    <w:p>
      <w:pPr>
        <w:pStyle w:val="Heading3"/>
      </w:pPr>
      <w:bookmarkStart w:id="9693" w:name="_Toc8389"/>
      <w:r>
        <w:t>7316- دیوان مهدی قمی‏</w:t>
      </w:r>
      <w:bookmarkEnd w:id="9693"/>
    </w:p>
    <w:p>
      <w:pPr>
        <w:pStyle w:val="BookText"/>
      </w:pPr>
      <w:r>
        <w:rPr>
          <w:rFonts w:ascii="IRNazanin" w:hAnsi="IRNazanin" w:eastAsia="IRNazanin" w:cs="IRNazanin"/>
          <w:lang w:bidi="fa-IR"/>
          <w:color w:val="111111"/>
          <w:sz w:val="28"/>
          <w:szCs w:val="28"/>
          <w:rtl/>
        </w:rPr>
        <w:t xml:space="preserve">ابن حیدر خان القمی. ترجمه معاصره النصرآبادی فی (نر 5- ص 119) و ذکر أن والده کان من التجار و بعد موته حج ولده و تفرق ما جمعه بید ابنه و صار من مخلصی درویش مخلص و أورد بعض شعره و کذا فی (گلشن- ص 479) و همیشه بهار و (خوش‏گو).</w:t>
      </w:r>
    </w:p>
    <w:p>
      <w:pPr>
        <w:pStyle w:val="Heading3"/>
      </w:pPr>
      <w:bookmarkStart w:id="9694" w:name="_Toc8390"/>
      <w:r>
        <w:t>7317- دیوان مهدی گیلانی أو شعره‏</w:t>
      </w:r>
      <w:bookmarkEnd w:id="9694"/>
    </w:p>
    <w:p>
      <w:pPr>
        <w:pStyle w:val="BookText"/>
      </w:pPr>
      <w:r>
        <w:rPr>
          <w:rFonts w:ascii="IRNazanin" w:hAnsi="IRNazanin" w:eastAsia="IRNazanin" w:cs="IRNazanin"/>
          <w:lang w:bidi="fa-IR"/>
          <w:color w:val="111111"/>
          <w:sz w:val="28"/>
          <w:szCs w:val="28"/>
          <w:rtl/>
        </w:rPr>
        <w:t xml:space="preserve">و هو ابن مولانا محمد سعید. أصله من گیلان و نشا بأصفهان. غضب علیه نادر شاه فاختفی و مات عن ستین من عمره. أورد شعره آذر فی (تش- ص 412) و (گلشن- ص 477).</w:t>
      </w:r>
    </w:p>
    <w:p>
      <w:pPr>
        <w:pStyle w:val="Heading3"/>
      </w:pPr>
      <w:bookmarkStart w:id="9695" w:name="_Toc8391"/>
      <w:r>
        <w:t>7318- دیوان مهدی مستوفی أو شعره‏</w:t>
      </w:r>
      <w:bookmarkEnd w:id="9695"/>
    </w:p>
    <w:p>
      <w:pPr>
        <w:pStyle w:val="BookText"/>
      </w:pPr>
      <w:r>
        <w:rPr>
          <w:rFonts w:ascii="IRNazanin" w:hAnsi="IRNazanin" w:eastAsia="IRNazanin" w:cs="IRNazanin"/>
          <w:lang w:bidi="fa-IR"/>
          <w:color w:val="111111"/>
          <w:sz w:val="28"/>
          <w:szCs w:val="28"/>
          <w:rtl/>
        </w:rPr>
        <w:t xml:space="preserve">کان مستوفیا لأوقاف محمد شفیع الحسینی. ترجمه و أورد شعره معاصره الحزین فی تذکرته (ص 52).</w:t>
      </w:r>
    </w:p>
    <w:p>
      <w:pPr>
        <w:pStyle w:val="Heading3"/>
      </w:pPr>
      <w:bookmarkStart w:id="9696" w:name="_Toc8392"/>
      <w:r>
        <w:t>7319- دیوان المیرزا مهدی مشهدی‏</w:t>
      </w:r>
      <w:bookmarkEnd w:id="9696"/>
    </w:p>
    <w:p>
      <w:pPr>
        <w:pStyle w:val="BookText"/>
      </w:pPr>
      <w:r>
        <w:rPr>
          <w:rFonts w:ascii="IRNazanin" w:hAnsi="IRNazanin" w:eastAsia="IRNazanin" w:cs="IRNazanin"/>
          <w:lang w:bidi="fa-IR"/>
          <w:color w:val="111111"/>
          <w:sz w:val="28"/>
          <w:szCs w:val="28"/>
          <w:rtl/>
        </w:rPr>
        <w:t xml:space="preserve">ابن السید المیر غیاث الدین المشهدی و المتخلص بحجت کما ذکره النصرآبادی فی (نر 5- ص 102) فی أربعة آلاف بیت.</w:t>
      </w:r>
    </w:p>
    <w:p>
      <w:pPr>
        <w:pStyle w:val="Heading3"/>
      </w:pPr>
      <w:bookmarkStart w:id="9697" w:name="_Toc8393"/>
      <w:r>
        <w:t>دیوان المیرزا مهدی المنشی‏</w:t>
      </w:r>
      <w:bookmarkEnd w:id="9697"/>
    </w:p>
    <w:p>
      <w:pPr>
        <w:pStyle w:val="BookText"/>
      </w:pPr>
      <w:r>
        <w:rPr>
          <w:rFonts w:ascii="IRNazanin" w:hAnsi="IRNazanin" w:eastAsia="IRNazanin" w:cs="IRNazanin"/>
          <w:lang w:bidi="fa-IR"/>
          <w:color w:val="111111"/>
          <w:sz w:val="28"/>
          <w:szCs w:val="28"/>
          <w:rtl/>
        </w:rPr>
        <w:t xml:space="preserve">مر بعنوان المنشی.
</w:t>
      </w:r>
    </w:p>
    <w:p>
      <w:pPr>
        <w:sectPr>
          <w:footerReference w:type="default" r:id="rId1144"/>
          <w:footnotePr>
            <w:numStart w:val="1"/>
            <w:numRestart w:val="eachPage"/>
          </w:footnotePr>
          <w:pgSz w:orient="portrait" w:w="11905.511811023622" w:h="16837.79527559055"/>
          <w:pgMar w:top="1440" w:right="1440" w:bottom="1440" w:left="1440" w:header="720" w:footer="720" w:gutter="0"/>
          <w:cols w:num="1" w:space="720"/>
        </w:sectPr>
      </w:pPr>
    </w:p>
    <w:bookmarkStart w:id="1122" w:name="pg11704_122612"/>
    <w:bookmarkEnd w:id="1122"/>
    <w:p>
      <w:pPr>
        <w:pStyle w:val="Heading3"/>
      </w:pPr>
      <w:bookmarkStart w:id="9698" w:name="_Toc8394"/>
      <w:r>
        <w:t>7320- دیوان مهدی مهرانی‏</w:t>
      </w:r>
      <w:bookmarkEnd w:id="9698"/>
    </w:p>
    <w:p>
      <w:pPr>
        <w:pStyle w:val="BookText"/>
      </w:pPr>
      <w:r>
        <w:rPr>
          <w:rFonts w:ascii="IRNazanin" w:hAnsi="IRNazanin" w:eastAsia="IRNazanin" w:cs="IRNazanin"/>
          <w:lang w:bidi="fa-IR"/>
          <w:color w:val="111111"/>
          <w:sz w:val="28"/>
          <w:szCs w:val="28"/>
          <w:rtl/>
        </w:rPr>
        <w:t xml:space="preserve">من نجباء السادات بهمدان ترجمه معاصره النصرآبادی فی (نر 5- ص 124) و أورد شعره و کذا فی (تش- ص 258).</w:t>
      </w:r>
    </w:p>
    <w:p>
      <w:pPr>
        <w:pStyle w:val="Heading3"/>
      </w:pPr>
      <w:bookmarkStart w:id="9699" w:name="_Toc8395"/>
      <w:r>
        <w:t>دیوان مهدی موافق‏</w:t>
      </w:r>
      <w:bookmarkEnd w:id="9699"/>
    </w:p>
    <w:p>
      <w:pPr>
        <w:pStyle w:val="BookText"/>
      </w:pPr>
      <w:r>
        <w:rPr>
          <w:rFonts w:ascii="IRNazanin" w:hAnsi="IRNazanin" w:eastAsia="IRNazanin" w:cs="IRNazanin"/>
          <w:lang w:bidi="fa-IR"/>
          <w:color w:val="111111"/>
          <w:sz w:val="28"/>
          <w:szCs w:val="28"/>
          <w:rtl/>
        </w:rPr>
        <w:t xml:space="preserve">راجع تخلصه رامین.</w:t>
      </w:r>
    </w:p>
    <w:p>
      <w:pPr>
        <w:pStyle w:val="Heading3"/>
      </w:pPr>
      <w:bookmarkStart w:id="9700" w:name="_Toc8396"/>
      <w:r>
        <w:t>دیوان مهدی نجفی‏</w:t>
      </w:r>
      <w:bookmarkEnd w:id="9700"/>
    </w:p>
    <w:p>
      <w:pPr>
        <w:pStyle w:val="BookText"/>
      </w:pPr>
      <w:r>
        <w:rPr>
          <w:rFonts w:ascii="IRNazanin" w:hAnsi="IRNazanin" w:eastAsia="IRNazanin" w:cs="IRNazanin"/>
          <w:lang w:bidi="fa-IR"/>
          <w:color w:val="111111"/>
          <w:sz w:val="28"/>
          <w:szCs w:val="28"/>
          <w:rtl/>
        </w:rPr>
        <w:t xml:space="preserve">المتخلص بواثق یأتی بتخلصه.</w:t>
      </w:r>
    </w:p>
    <w:p>
      <w:pPr>
        <w:pStyle w:val="Heading3"/>
      </w:pPr>
      <w:bookmarkStart w:id="9701" w:name="_Toc8397"/>
      <w:r>
        <w:t>دیوان مهدی نراقی‏</w:t>
      </w:r>
      <w:bookmarkEnd w:id="9701"/>
    </w:p>
    <w:p>
      <w:pPr>
        <w:pStyle w:val="BookText"/>
      </w:pPr>
      <w:r>
        <w:rPr>
          <w:rFonts w:ascii="IRNazanin" w:hAnsi="IRNazanin" w:eastAsia="IRNazanin" w:cs="IRNazanin"/>
          <w:lang w:bidi="fa-IR"/>
          <w:color w:val="111111"/>
          <w:sz w:val="28"/>
          <w:szCs w:val="28"/>
          <w:rtl/>
        </w:rPr>
        <w:t xml:space="preserve">قال فی ریاض الجنة إن للمولی مهدی بن أبی ذر النراقی ثلاثة آلاف بیت من الشعر. و قال فی نجوم السماء إن له مثنوی طائر قدسی. و مر ولده صفائی فی ص 612.</w:t>
      </w:r>
    </w:p>
    <w:p>
      <w:pPr>
        <w:pStyle w:val="Heading3"/>
      </w:pPr>
      <w:bookmarkStart w:id="9702" w:name="_Toc8398"/>
      <w:r>
        <w:t>دیوان مهدی همدانی‏</w:t>
      </w:r>
      <w:bookmarkEnd w:id="9702"/>
    </w:p>
    <w:p>
      <w:pPr>
        <w:pStyle w:val="BookText"/>
      </w:pPr>
      <w:r>
        <w:rPr>
          <w:rFonts w:ascii="IRNazanin" w:hAnsi="IRNazanin" w:eastAsia="IRNazanin" w:cs="IRNazanin"/>
          <w:lang w:bidi="fa-IR"/>
          <w:color w:val="111111"/>
          <w:sz w:val="28"/>
          <w:szCs w:val="28"/>
          <w:rtl/>
        </w:rPr>
        <w:t xml:space="preserve">راجع مهدی مهرانی.</w:t>
      </w:r>
    </w:p>
    <w:p>
      <w:pPr>
        <w:pStyle w:val="Heading3"/>
      </w:pPr>
      <w:bookmarkStart w:id="9703" w:name="_Toc8399"/>
      <w:r>
        <w:t>7321- دیوان مهر أکبرآبادی أو شعره‏</w:t>
      </w:r>
      <w:bookmarkEnd w:id="9703"/>
    </w:p>
    <w:p>
      <w:pPr>
        <w:pStyle w:val="BookText"/>
      </w:pPr>
      <w:r>
        <w:rPr>
          <w:rFonts w:ascii="IRNazanin" w:hAnsi="IRNazanin" w:eastAsia="IRNazanin" w:cs="IRNazanin"/>
          <w:lang w:bidi="fa-IR"/>
          <w:color w:val="111111"/>
          <w:sz w:val="28"/>
          <w:szCs w:val="28"/>
          <w:rtl/>
        </w:rPr>
        <w:t xml:space="preserve">و اسمه میرزا حاتم علی بیگ. ورد شعره فی (روشن- ص 662).</w:t>
      </w:r>
    </w:p>
    <w:p>
      <w:pPr>
        <w:pStyle w:val="Heading3"/>
      </w:pPr>
      <w:bookmarkStart w:id="9704" w:name="_Toc8400"/>
      <w:r>
        <w:t>دیوان مهرانی‏</w:t>
      </w:r>
      <w:bookmarkEnd w:id="9704"/>
    </w:p>
    <w:p>
      <w:pPr>
        <w:pStyle w:val="BookText"/>
      </w:pPr>
      <w:r>
        <w:rPr>
          <w:rFonts w:ascii="IRNazanin" w:hAnsi="IRNazanin" w:eastAsia="IRNazanin" w:cs="IRNazanin"/>
          <w:lang w:bidi="fa-IR"/>
          <w:color w:val="111111"/>
          <w:sz w:val="28"/>
          <w:szCs w:val="28"/>
          <w:rtl/>
        </w:rPr>
        <w:t xml:space="preserve">راجع مهدی مهرانی.</w:t>
      </w:r>
    </w:p>
    <w:p>
      <w:pPr>
        <w:pStyle w:val="Heading3"/>
      </w:pPr>
      <w:bookmarkStart w:id="9705" w:name="_Toc8401"/>
      <w:r>
        <w:t>7322- دیوان مهربان اورنگ‏آبادی أو شعره‏</w:t>
      </w:r>
      <w:bookmarkEnd w:id="9705"/>
    </w:p>
    <w:p>
      <w:pPr>
        <w:pStyle w:val="BookText"/>
      </w:pPr>
      <w:r>
        <w:rPr>
          <w:rFonts w:ascii="IRNazanin" w:hAnsi="IRNazanin" w:eastAsia="IRNazanin" w:cs="IRNazanin"/>
          <w:lang w:bidi="fa-IR"/>
          <w:color w:val="111111"/>
          <w:sz w:val="28"/>
          <w:szCs w:val="28"/>
          <w:rtl/>
        </w:rPr>
        <w:t xml:space="preserve">و هو المیر شاه عبد القادر الفخری ابن شریف الدین خان النقوی النیشابوری الأصل المتوفی بلکهنو 1204. ورد شعره فی (مطلع 2: 183) و (روشن- 665) و (نتایج- ص 682).</w:t>
      </w:r>
    </w:p>
    <w:p>
      <w:pPr>
        <w:pStyle w:val="Heading3"/>
      </w:pPr>
      <w:bookmarkStart w:id="9706" w:name="_Toc8402"/>
      <w:r>
        <w:t>دیوان مهر پنجابی‏</w:t>
      </w:r>
      <w:bookmarkEnd w:id="9706"/>
    </w:p>
    <w:p>
      <w:pPr>
        <w:pStyle w:val="BookText"/>
      </w:pPr>
      <w:r>
        <w:rPr>
          <w:rFonts w:ascii="IRNazanin" w:hAnsi="IRNazanin" w:eastAsia="IRNazanin" w:cs="IRNazanin"/>
          <w:lang w:bidi="fa-IR"/>
          <w:color w:val="111111"/>
          <w:sz w:val="28"/>
          <w:szCs w:val="28"/>
          <w:rtl/>
        </w:rPr>
        <w:t xml:space="preserve">الساکن بفرخ‏آباد. ورد شعره فی (گلشن- ص 166) مر فی ص 339 بعنوان ذرة پنجابی.</w:t>
      </w:r>
    </w:p>
    <w:p>
      <w:pPr>
        <w:pStyle w:val="Heading3"/>
      </w:pPr>
      <w:bookmarkStart w:id="9707" w:name="_Toc8403"/>
      <w:r>
        <w:t>7323- دیوان مهر علی گرگانی‏</w:t>
      </w:r>
      <w:bookmarkEnd w:id="9707"/>
    </w:p>
    <w:p>
      <w:pPr>
        <w:pStyle w:val="BookText"/>
      </w:pPr>
      <w:r>
        <w:rPr>
          <w:rFonts w:ascii="IRNazanin" w:hAnsi="IRNazanin" w:eastAsia="IRNazanin" w:cs="IRNazanin"/>
          <w:lang w:bidi="fa-IR"/>
          <w:color w:val="111111"/>
          <w:sz w:val="28"/>
          <w:szCs w:val="28"/>
          <w:rtl/>
        </w:rPr>
        <w:t xml:space="preserve">و اسمه محمد إسماعیل. فارسی طبع فی خمسة أجزاء صغار کلها فی 152 ص. بطهران فی 1321 ش.</w:t>
      </w:r>
    </w:p>
    <w:p>
      <w:pPr>
        <w:pStyle w:val="Heading3"/>
      </w:pPr>
      <w:bookmarkStart w:id="9708" w:name="_Toc8404"/>
      <w:r>
        <w:t>7324- دیوان مهر خوئی‏</w:t>
      </w:r>
      <w:bookmarkEnd w:id="9708"/>
    </w:p>
    <w:p>
      <w:pPr>
        <w:pStyle w:val="BookText"/>
      </w:pPr>
      <w:r>
        <w:rPr>
          <w:rFonts w:ascii="IRNazanin" w:hAnsi="IRNazanin" w:eastAsia="IRNazanin" w:cs="IRNazanin"/>
          <w:lang w:bidi="fa-IR"/>
          <w:color w:val="111111"/>
          <w:sz w:val="28"/>
          <w:szCs w:val="28"/>
          <w:rtl/>
        </w:rPr>
        <w:t xml:space="preserve">اسمه الملا مهر علی من الفضلاء الظرفاء و الشعراء علی ثلاثة السنة الترکیة و الفارسیة و العربیة. ترجم فی (مع- ج 2 ص 455) و أورد هناک من شعره العربی قوله:</w:t>
      </w:r>
    </w:p>
    <w:p>
      <w:pPr>
        <w:pStyle w:val="BookText"/>
      </w:pPr>
      <w:r>
        <w:rPr>
          <w:rFonts w:ascii="IRNazanin" w:hAnsi="IRNazanin" w:eastAsia="IRNazanin" w:cs="IRNazanin"/>
          <w:lang w:bidi="fa-IR"/>
          <w:color w:val="111111"/>
          <w:sz w:val="28"/>
          <w:szCs w:val="28"/>
          <w:rtl/>
        </w:rPr>
        <w:t xml:space="preserve">ها علی بشر کیف بشر</w:t>
      </w:r>
    </w:p>
    <w:p>
      <w:pPr>
        <w:pStyle w:val="BookText"/>
      </w:pPr>
      <w:r>
        <w:rPr>
          <w:rFonts w:ascii="IRNazanin" w:hAnsi="IRNazanin" w:eastAsia="IRNazanin" w:cs="IRNazanin"/>
          <w:lang w:bidi="fa-IR"/>
          <w:color w:val="111111"/>
          <w:sz w:val="28"/>
          <w:szCs w:val="28"/>
          <w:rtl/>
        </w:rPr>
        <w:t xml:space="preserve">ربه فیه تجلی و ظهر</w:t>
      </w:r>
    </w:p>
    <w:p>
      <w:pPr>
        <w:pStyle w:val="BookText"/>
      </w:pPr>
      <w:r>
        <w:rPr>
          <w:rFonts w:ascii="IRNazanin" w:hAnsi="IRNazanin" w:eastAsia="IRNazanin" w:cs="IRNazanin"/>
          <w:lang w:bidi="fa-IR"/>
          <w:color w:val="111111"/>
          <w:sz w:val="28"/>
          <w:szCs w:val="28"/>
          <w:rtl/>
        </w:rPr>
        <w:t xml:space="preserve">و رباعیة بالفارسیة فی تمنیة الزواج و رباعیته التی أرسلها إلی الحاج میرزا أحمد المجتهد الذی توفی 1265.</w:t>
      </w:r>
    </w:p>
    <w:p>
      <w:pPr>
        <w:pStyle w:val="Heading3"/>
      </w:pPr>
      <w:bookmarkStart w:id="9709" w:name="_Toc8405"/>
      <w:r>
        <w:t>7325- دیوان مهری عرب أو شعره‏</w:t>
      </w:r>
      <w:bookmarkEnd w:id="9709"/>
    </w:p>
    <w:p>
      <w:pPr>
        <w:pStyle w:val="BookText"/>
      </w:pPr>
      <w:r>
        <w:rPr>
          <w:rFonts w:ascii="IRNazanin" w:hAnsi="IRNazanin" w:eastAsia="IRNazanin" w:cs="IRNazanin"/>
          <w:lang w:bidi="fa-IR"/>
          <w:color w:val="111111"/>
          <w:sz w:val="28"/>
          <w:szCs w:val="28"/>
          <w:rtl/>
        </w:rPr>
        <w:t xml:space="preserve">هو السید علی العاملی نزیل أصفهان فی أواخر
</w:t>
      </w:r>
    </w:p>
    <w:p>
      <w:pPr>
        <w:sectPr>
          <w:footerReference w:type="default" r:id="rId1145"/>
          <w:footnotePr>
            <w:numStart w:val="1"/>
            <w:numRestart w:val="eachPage"/>
          </w:footnotePr>
          <w:pgSz w:orient="portrait" w:w="11905.511811023622" w:h="16837.79527559055"/>
          <w:pgMar w:top="1440" w:right="1440" w:bottom="1440" w:left="1440" w:header="720" w:footer="720" w:gutter="0"/>
          <w:cols w:num="1" w:space="720"/>
        </w:sectPr>
      </w:pPr>
    </w:p>
    <w:bookmarkStart w:id="1123" w:name="pg11704_122613"/>
    <w:bookmarkEnd w:id="1123"/>
    <w:p>
      <w:pPr>
        <w:pStyle w:val="BookText"/>
      </w:pPr>
      <w:r>
        <w:rPr>
          <w:rFonts w:ascii="IRNazanin" w:hAnsi="IRNazanin" w:eastAsia="IRNazanin" w:cs="IRNazanin"/>
          <w:lang w:bidi="fa-IR"/>
          <w:color w:val="111111"/>
          <w:sz w:val="28"/>
          <w:szCs w:val="28"/>
          <w:rtl/>
        </w:rPr>
        <w:t xml:space="preserve">عصر الصفویة و تعلم الفارسیة مکسرة بمزجها مع العربیة، فکان ینظم بهذه الوتیرة و یستحسنها الظرفاء. ترجم فی (مع- ج 2 ص 38) و أورد بعض شعره هناک، و کذا فی (مسرت- ص 189).</w:t>
      </w:r>
    </w:p>
    <w:p>
      <w:pPr>
        <w:pStyle w:val="Heading3"/>
      </w:pPr>
      <w:bookmarkStart w:id="9710" w:name="_Toc8406"/>
      <w:r>
        <w:t>7326- دیوان مهری مشهد أو شعره‏</w:t>
      </w:r>
      <w:bookmarkEnd w:id="9710"/>
    </w:p>
    <w:p>
      <w:pPr>
        <w:pStyle w:val="BookText"/>
      </w:pPr>
      <w:r>
        <w:rPr>
          <w:rFonts w:ascii="IRNazanin" w:hAnsi="IRNazanin" w:eastAsia="IRNazanin" w:cs="IRNazanin"/>
          <w:lang w:bidi="fa-IR"/>
          <w:color w:val="111111"/>
          <w:sz w:val="28"/>
          <w:szCs w:val="28"/>
          <w:rtl/>
        </w:rPr>
        <w:t xml:space="preserve">ترجم و أورد شعره فی (مطلع 2: 445) و (گلشن- ص 480).</w:t>
      </w:r>
    </w:p>
    <w:p>
      <w:pPr>
        <w:pStyle w:val="Heading3"/>
      </w:pPr>
      <w:bookmarkStart w:id="9711" w:name="_Toc8407"/>
      <w:r>
        <w:t>7327- دیوان مهری هروی‏</w:t>
      </w:r>
      <w:bookmarkEnd w:id="9711"/>
    </w:p>
    <w:p>
      <w:pPr>
        <w:pStyle w:val="BookText"/>
      </w:pPr>
      <w:r>
        <w:rPr>
          <w:rFonts w:ascii="IRNazanin" w:hAnsi="IRNazanin" w:eastAsia="IRNazanin" w:cs="IRNazanin"/>
          <w:lang w:bidi="fa-IR"/>
          <w:color w:val="111111"/>
          <w:sz w:val="28"/>
          <w:szCs w:val="28"/>
          <w:rtl/>
        </w:rPr>
        <w:t xml:space="preserve">کانت زوجة عبد العزیز طبیب شاه‏رخ بن تیمور گورکان. نقل شعرها بتخلص مهری القزوینی فی (قز مج- 1 ص 195) و قال إن لها دیوان تتبعت فیها أشعار حافظ. أوله:</w:t>
      </w:r>
    </w:p>
    <w:p>
      <w:pPr>
        <w:pStyle w:val="BookText"/>
      </w:pPr>
      <w:r>
        <w:rPr>
          <w:rFonts w:ascii="IRNazanin" w:hAnsi="IRNazanin" w:eastAsia="IRNazanin" w:cs="IRNazanin"/>
          <w:lang w:bidi="fa-IR"/>
          <w:color w:val="111111"/>
          <w:sz w:val="28"/>
          <w:szCs w:val="28"/>
          <w:rtl/>
        </w:rPr>
        <w:t xml:space="preserve">أدر یا ساقی العشاق أقداحا و عجلها</w:t>
      </w:r>
    </w:p>
    <w:p>
      <w:pPr>
        <w:pStyle w:val="BookText"/>
      </w:pPr>
      <w:r>
        <w:rPr>
          <w:rFonts w:ascii="IRNazanin" w:hAnsi="IRNazanin" w:eastAsia="IRNazanin" w:cs="IRNazanin"/>
          <w:lang w:bidi="fa-IR"/>
          <w:color w:val="111111"/>
          <w:sz w:val="28"/>
          <w:szCs w:val="28"/>
          <w:rtl/>
        </w:rPr>
        <w:t xml:space="preserve">که شوری می‏کند شیرین، شراب تلخ در دلها</w:t>
      </w:r>
    </w:p>
    <w:p>
      <w:pPr>
        <w:pStyle w:val="BookText"/>
      </w:pPr>
      <w:r>
        <w:rPr>
          <w:rFonts w:ascii="IRNazanin" w:hAnsi="IRNazanin" w:eastAsia="IRNazanin" w:cs="IRNazanin"/>
          <w:lang w:bidi="fa-IR"/>
          <w:color w:val="111111"/>
          <w:sz w:val="28"/>
          <w:szCs w:val="28"/>
          <w:rtl/>
        </w:rPr>
        <w:t xml:space="preserve">و کذا الهروی فی (لط 1- ص 21) و شیر علی فی (خیال- ص 334) و (نتایج- ص 703) و (تش- ص 351) و (حسینی- ص 323) و (روشن- ص 665) و از رابعة تا پروین- ص 251 و (مسرت- ص 239).</w:t>
      </w:r>
    </w:p>
    <w:p>
      <w:pPr>
        <w:pStyle w:val="Heading3"/>
      </w:pPr>
      <w:bookmarkStart w:id="9712" w:name="_Toc8408"/>
      <w:r>
        <w:t>7328- دیوان مهستی گنجوی‏</w:t>
      </w:r>
      <w:bookmarkEnd w:id="9712"/>
    </w:p>
    <w:p>
      <w:pPr>
        <w:pStyle w:val="BookText"/>
      </w:pPr>
      <w:r>
        <w:rPr>
          <w:rFonts w:ascii="IRNazanin" w:hAnsi="IRNazanin" w:eastAsia="IRNazanin" w:cs="IRNazanin"/>
          <w:lang w:bidi="fa-IR"/>
          <w:color w:val="111111"/>
          <w:sz w:val="28"/>
          <w:szCs w:val="28"/>
          <w:rtl/>
        </w:rPr>
        <w:t xml:space="preserve">کانت زوجة ابن خطیب گنجه الشاعر المذکور فی ص 21 و کانا فی گنجه من آذربایجان و من شعراء حاکمها محمود السلجوقی ابن أخ السلطان سنجر، ثم جاءت إلی بلاط سنجر. و هذا سبب اشتباه المستوفی فی تاریخ گزیده- ص 829 و حکیم شاه القزوینی فی (بهش 1- ص 327 و 350) فعداها من شعراء السلطان محمود الغزنوی بدل السلجوقی. و لها مشاعرات مع زوجها المذکور قبل الازدواج. ترجمت فی أکثر التذاکر مثل هفت إقلیم و (حسینی- ص 323) و (تش- ص 351) و (مع 1: 593) و (دجا- ص 365) (و از رابعة تا پروین- ص 244) و (روشن- ص 667) و (نتایج- ص 703) و مجلات آینده 2: 140 و أرمغان 10: 121 و هلال الپاکستانیة 5: 1: 46 و قد رأی سنگلاخ دیوانها بخط أبی القاسم رستم الخطاطین فذکره فی (امتحان 2: 183). و أکثر أشعارها رباعیات فی أوصاف الناس و أصناف حرفهم. و قد استقبل دیوانها لسانی الشیرازی المذکور فی ص 942 فی مجموعة تشتمل علی 68 رباعیه و سماها مجمع الأوصاف کما یأتی فی المیم. طبع دیوانها بطهران فی 1376 مع أحوالها بقلم طاهری شهاب فی 50 ص.
</w:t>
      </w:r>
    </w:p>
    <w:p>
      <w:pPr>
        <w:sectPr>
          <w:footerReference w:type="default" r:id="rId1146"/>
          <w:footnotePr>
            <w:numStart w:val="1"/>
            <w:numRestart w:val="eachPage"/>
          </w:footnotePr>
          <w:pgSz w:orient="portrait" w:w="11905.511811023622" w:h="16837.79527559055"/>
          <w:pgMar w:top="1440" w:right="1440" w:bottom="1440" w:left="1440" w:header="720" w:footer="720" w:gutter="0"/>
          <w:cols w:num="1" w:space="720"/>
        </w:sectPr>
      </w:pPr>
    </w:p>
    <w:bookmarkStart w:id="1124" w:name="pg11704_122614"/>
    <w:bookmarkEnd w:id="1124"/>
    <w:p>
      <w:pPr>
        <w:pStyle w:val="Heading3"/>
      </w:pPr>
      <w:bookmarkStart w:id="9713" w:name="_Toc8409"/>
      <w:r>
        <w:t>7329- دیوان المهلبی أو شعره‏</w:t>
      </w:r>
      <w:bookmarkEnd w:id="9713"/>
    </w:p>
    <w:p>
      <w:pPr>
        <w:pStyle w:val="BookText"/>
      </w:pPr>
      <w:r>
        <w:rPr>
          <w:rFonts w:ascii="IRNazanin" w:hAnsi="IRNazanin" w:eastAsia="IRNazanin" w:cs="IRNazanin"/>
          <w:lang w:bidi="fa-IR"/>
          <w:color w:val="111111"/>
          <w:sz w:val="28"/>
          <w:szCs w:val="28"/>
          <w:rtl/>
        </w:rPr>
        <w:t xml:space="preserve">و هو أبو عیینة المهلبی. عده ابن شهرآشوب فی (المعالم- ص 140) من شعراء أهل البیت.</w:t>
      </w:r>
    </w:p>
    <w:p>
      <w:pPr>
        <w:pStyle w:val="Heading3"/>
      </w:pPr>
      <w:bookmarkStart w:id="9714" w:name="_Toc8410"/>
      <w:r>
        <w:t>7330- دیوان مهمی تبریزی أو شعره‏</w:t>
      </w:r>
      <w:bookmarkEnd w:id="9714"/>
    </w:p>
    <w:p>
      <w:pPr>
        <w:pStyle w:val="BookText"/>
      </w:pPr>
      <w:r>
        <w:rPr>
          <w:rFonts w:ascii="IRNazanin" w:hAnsi="IRNazanin" w:eastAsia="IRNazanin" w:cs="IRNazanin"/>
          <w:lang w:bidi="fa-IR"/>
          <w:color w:val="111111"/>
          <w:sz w:val="28"/>
          <w:szCs w:val="28"/>
          <w:rtl/>
        </w:rPr>
        <w:t xml:space="preserve">کان معاصر إمام قلی خان حاکم شیراز. ورد شعره فی (حسینی- ص 322) و (تش- ص 215).</w:t>
      </w:r>
    </w:p>
    <w:p>
      <w:pPr>
        <w:pStyle w:val="Heading3"/>
      </w:pPr>
      <w:bookmarkStart w:id="9715" w:name="_Toc8411"/>
      <w:r>
        <w:t>7331- دیوان مهندس دستگردی‏</w:t>
      </w:r>
      <w:bookmarkEnd w:id="9715"/>
    </w:p>
    <w:p>
      <w:pPr>
        <w:pStyle w:val="BookText"/>
      </w:pPr>
      <w:r>
        <w:rPr>
          <w:rFonts w:ascii="IRNazanin" w:hAnsi="IRNazanin" w:eastAsia="IRNazanin" w:cs="IRNazanin"/>
          <w:lang w:bidi="fa-IR"/>
          <w:color w:val="111111"/>
          <w:sz w:val="28"/>
          <w:szCs w:val="28"/>
          <w:rtl/>
        </w:rPr>
        <w:t xml:space="preserve">و هو میرزا محسن بن إسحاق الدستگردی الأصفهانی. طبع له منظومة، فجائع بشر فی 1370 و مر له فی ص 1 دیوان آیینه مشروطه الموجود نسخته عند النخجوانی کتبت فی 1343.</w:t>
      </w:r>
    </w:p>
    <w:p>
      <w:pPr>
        <w:pStyle w:val="Heading3"/>
      </w:pPr>
      <w:bookmarkStart w:id="9716" w:name="_Toc8412"/>
      <w:r>
        <w:t>7332- دیوان مهیار</w:t>
      </w:r>
      <w:bookmarkEnd w:id="9716"/>
    </w:p>
    <w:p>
      <w:pPr>
        <w:pStyle w:val="BookText"/>
      </w:pPr>
      <w:r>
        <w:rPr>
          <w:rFonts w:ascii="IRNazanin" w:hAnsi="IRNazanin" w:eastAsia="IRNazanin" w:cs="IRNazanin"/>
          <w:lang w:bidi="fa-IR"/>
          <w:color w:val="111111"/>
          <w:sz w:val="28"/>
          <w:szCs w:val="28"/>
          <w:rtl/>
        </w:rPr>
        <w:t xml:space="preserve">هو أبو الحسین مهیار بن مرذویه الدیلمی الکسروی مولی الشریف الرضی و تخرج علیه فی نظم الشعر ترجمه مفصلا ابن خلکان فی ج 2 ص 149 عن الخطیب و الباخرزی. و نقل عنه الحر فی الأمل و أورد جملة من شعره. و قال فی نسمة السحر هو کأستاده الرضی من کبار الإمامیة. توفی (5 ج 2- 428) و دیوانه کبیر فی أربع مجلدات، طبع جزئه الأول بمصر 1926 م. و طبع أخیرا فی بغداد و من مشاهیر قصائده اللامیة الذی مر شرحها الموسوم الأزهار فی شرح لامیة مهیار. و عده فی (المعالم- ص 136) من شعراء أهل البیت.</w:t>
      </w:r>
    </w:p>
    <w:p>
      <w:pPr>
        <w:pStyle w:val="Heading3"/>
      </w:pPr>
      <w:bookmarkStart w:id="9717" w:name="_Toc8413"/>
      <w:r>
        <w:t>7333- دیوان مهین أصفهانی‏</w:t>
      </w:r>
      <w:bookmarkEnd w:id="9717"/>
    </w:p>
    <w:p>
      <w:pPr>
        <w:pStyle w:val="BookText"/>
      </w:pPr>
      <w:r>
        <w:rPr>
          <w:rFonts w:ascii="IRNazanin" w:hAnsi="IRNazanin" w:eastAsia="IRNazanin" w:cs="IRNazanin"/>
          <w:lang w:bidi="fa-IR"/>
          <w:color w:val="111111"/>
          <w:sz w:val="28"/>
          <w:szCs w:val="28"/>
          <w:rtl/>
        </w:rPr>
        <w:t xml:space="preserve">و اسمه حسن بن محمد علی به‏نیا. ولد بأصفهان 1290 ش. ترجمه و أورد شعره المهدوی فی شعرای معاصر أصفهان- ص 482.</w:t>
      </w:r>
    </w:p>
    <w:p>
      <w:pPr>
        <w:pStyle w:val="Heading3"/>
      </w:pPr>
      <w:bookmarkStart w:id="9718" w:name="_Toc8414"/>
      <w:r>
        <w:t>7334- دیوان مهین خطاط التبریزی،</w:t>
      </w:r>
      <w:bookmarkEnd w:id="9718"/>
    </w:p>
    <w:p>
      <w:pPr>
        <w:pStyle w:val="BookText"/>
      </w:pPr>
      <w:r>
        <w:rPr>
          <w:rFonts w:ascii="IRNazanin" w:hAnsi="IRNazanin" w:eastAsia="IRNazanin" w:cs="IRNazanin"/>
          <w:lang w:bidi="fa-IR"/>
          <w:color w:val="111111"/>
          <w:sz w:val="28"/>
          <w:szCs w:val="28"/>
          <w:rtl/>
        </w:rPr>
        <w:t xml:space="preserve">و اسمه ملا محمد حسین الأستاد. ترجمه فی (دجا- 365) نقلا عن تاریخ عالم‏آرا أنه حج البیت من تبریز و رجع و توفی بها و أورد غزله الذی أرسله حین وفاته إلی تلمیذه علی رضا الخطاط التبریزی.</w:t>
      </w:r>
    </w:p>
    <w:p>
      <w:pPr>
        <w:pStyle w:val="Heading3"/>
      </w:pPr>
      <w:bookmarkStart w:id="9719" w:name="_Toc8415"/>
      <w:r>
        <w:t>7335- دیوان مهین دارائی‏</w:t>
      </w:r>
      <w:bookmarkEnd w:id="9719"/>
    </w:p>
    <w:p>
      <w:pPr>
        <w:pStyle w:val="BookText"/>
      </w:pPr>
      <w:r>
        <w:rPr>
          <w:rFonts w:ascii="IRNazanin" w:hAnsi="IRNazanin" w:eastAsia="IRNazanin" w:cs="IRNazanin"/>
          <w:lang w:bidi="fa-IR"/>
          <w:color w:val="111111"/>
          <w:sz w:val="28"/>
          <w:szCs w:val="28"/>
          <w:rtl/>
        </w:rPr>
        <w:t xml:space="preserve">و اسمها مهین دخت بنت أمیر خسرو دارائی الزنجانی (برهان السلطنة) ولدت فی 1340 و طبع لها روباه‏نامه فی 1374 فی 72 ص مقتبسة من ثعلبیة الترکیة المذکورة فی ج 5 ص 7.</w:t>
      </w:r>
    </w:p>
    <w:p>
      <w:pPr>
        <w:pStyle w:val="Heading3"/>
      </w:pPr>
      <w:bookmarkStart w:id="9720" w:name="_Toc8416"/>
      <w:r>
        <w:t>دیوان میان ناصر علی‏</w:t>
      </w:r>
      <w:bookmarkEnd w:id="9720"/>
    </w:p>
    <w:p>
      <w:pPr>
        <w:pStyle w:val="BookText"/>
      </w:pPr>
      <w:r>
        <w:rPr>
          <w:rFonts w:ascii="IRNazanin" w:hAnsi="IRNazanin" w:eastAsia="IRNazanin" w:cs="IRNazanin"/>
          <w:lang w:bidi="fa-IR"/>
          <w:color w:val="111111"/>
          <w:sz w:val="28"/>
          <w:szCs w:val="28"/>
          <w:rtl/>
        </w:rPr>
        <w:t xml:space="preserve">راجع دیوان علی سهرندی فی ص 758.</w:t>
      </w:r>
    </w:p>
    <w:p>
      <w:pPr>
        <w:pStyle w:val="Heading3"/>
      </w:pPr>
      <w:bookmarkStart w:id="9721" w:name="_Toc8417"/>
      <w:r>
        <w:t>دیوان میبدی‏</w:t>
      </w:r>
      <w:bookmarkEnd w:id="9721"/>
    </w:p>
    <w:p>
      <w:pPr>
        <w:pStyle w:val="BookText"/>
      </w:pPr>
      <w:r>
        <w:rPr>
          <w:rFonts w:ascii="IRNazanin" w:hAnsi="IRNazanin" w:eastAsia="IRNazanin" w:cs="IRNazanin"/>
          <w:lang w:bidi="fa-IR"/>
          <w:color w:val="111111"/>
          <w:sz w:val="28"/>
          <w:szCs w:val="28"/>
          <w:rtl/>
        </w:rPr>
        <w:t xml:space="preserve">القاضی میر حسین. مر بتخلصه منطقی.</w:t>
      </w:r>
    </w:p>
    <w:p>
      <w:pPr>
        <w:pStyle w:val="Heading3"/>
      </w:pPr>
      <w:bookmarkStart w:id="9722" w:name="_Toc8418"/>
      <w:r>
        <w:t>7336- دیوان میثمی عراقی‏</w:t>
      </w:r>
      <w:bookmarkEnd w:id="9722"/>
    </w:p>
    <w:p>
      <w:pPr>
        <w:pStyle w:val="BookText"/>
      </w:pPr>
      <w:r>
        <w:rPr>
          <w:rFonts w:ascii="IRNazanin" w:hAnsi="IRNazanin" w:eastAsia="IRNazanin" w:cs="IRNazanin"/>
          <w:lang w:bidi="fa-IR"/>
          <w:color w:val="111111"/>
          <w:sz w:val="28"/>
          <w:szCs w:val="28"/>
          <w:rtl/>
        </w:rPr>
        <w:t xml:space="preserve">و هو الشیخ محمد تقی بن محمود العراقی المیثمی‏
</w:t>
      </w:r>
    </w:p>
    <w:p>
      <w:pPr>
        <w:sectPr>
          <w:footerReference w:type="default" r:id="rId1147"/>
          <w:footnotePr>
            <w:numStart w:val="1"/>
            <w:numRestart w:val="eachPage"/>
          </w:footnotePr>
          <w:pgSz w:orient="portrait" w:w="11905.511811023622" w:h="16837.79527559055"/>
          <w:pgMar w:top="1440" w:right="1440" w:bottom="1440" w:left="1440" w:header="720" w:footer="720" w:gutter="0"/>
          <w:cols w:num="1" w:space="720"/>
        </w:sectPr>
      </w:pPr>
    </w:p>
    <w:bookmarkStart w:id="1125" w:name="pg11704_122615"/>
    <w:bookmarkEnd w:id="1125"/>
    <w:p>
      <w:pPr>
        <w:pStyle w:val="BookText"/>
      </w:pPr>
      <w:r>
        <w:rPr>
          <w:rFonts w:ascii="IRNazanin" w:hAnsi="IRNazanin" w:eastAsia="IRNazanin" w:cs="IRNazanin"/>
          <w:lang w:bidi="fa-IR"/>
          <w:color w:val="111111"/>
          <w:sz w:val="28"/>
          <w:szCs w:val="28"/>
          <w:rtl/>
        </w:rPr>
        <w:t xml:space="preserve">کان یقیم الجماعة فی مسجد آقا بهرام فی محلة پامنار من طهران بعد فوت والده الذی هو مؤلف دار السلام الفارسی و قوامع الأصول و غیر ذلک. و توفی یوم الجمعة آخر جمادی الأولی 1308 و حمل طریا إلی النجف و دفن فی داره الصغیرة المتصلة بدار شیخنا الخراسانی و لها کتیبة من الکاشی. طبع من شعر ولده الشیخ محمد تقی المذکور تخمیسة للقصیدة النونیة التی مطلعها [</w:t>
      </w:r>
    </w:p>
    <w:p>
      <w:pPr>
        <w:pStyle w:val="BookText"/>
      </w:pPr>
      <w:r>
        <w:rPr>
          <w:rFonts w:ascii="IRNazanin" w:hAnsi="IRNazanin" w:eastAsia="IRNazanin" w:cs="IRNazanin"/>
          <w:lang w:bidi="fa-IR"/>
          <w:color w:val="111111"/>
          <w:sz w:val="28"/>
          <w:szCs w:val="28"/>
          <w:rtl/>
        </w:rPr>
        <w:t xml:space="preserve">النفس باللهو فی الدنیا تشاغلنی‏</w:t>
      </w:r>
    </w:p>
    <w:p>
      <w:pPr>
        <w:pStyle w:val="BookText"/>
      </w:pPr>
      <w:r>
        <w:rPr>
          <w:rFonts w:ascii="IRNazanin" w:hAnsi="IRNazanin" w:eastAsia="IRNazanin" w:cs="IRNazanin"/>
          <w:lang w:bidi="fa-IR"/>
          <w:color w:val="111111"/>
          <w:sz w:val="28"/>
          <w:szCs w:val="28"/>
          <w:rtl/>
        </w:rPr>
        <w:t xml:space="preserve">] و من أواخرها.</w:t>
      </w:r>
    </w:p>
    <w:p>
      <w:pPr>
        <w:pStyle w:val="BookText"/>
      </w:pPr>
      <w:r>
        <w:rPr>
          <w:rFonts w:ascii="IRNazanin" w:hAnsi="IRNazanin" w:eastAsia="IRNazanin" w:cs="IRNazanin"/>
          <w:lang w:bidi="fa-IR"/>
          <w:color w:val="111111"/>
          <w:sz w:val="28"/>
          <w:szCs w:val="28"/>
          <w:rtl/>
        </w:rPr>
        <w:t xml:space="preserve">لا أضحک الله سن الدهر إن له‏</w:t>
      </w:r>
    </w:p>
    <w:p>
      <w:pPr>
        <w:pStyle w:val="BookText"/>
      </w:pPr>
      <w:r>
        <w:rPr>
          <w:rFonts w:ascii="IRNazanin" w:hAnsi="IRNazanin" w:eastAsia="IRNazanin" w:cs="IRNazanin"/>
          <w:lang w:bidi="fa-IR"/>
          <w:color w:val="111111"/>
          <w:sz w:val="28"/>
          <w:szCs w:val="28"/>
          <w:rtl/>
        </w:rPr>
        <w:t xml:space="preserve">قواعد عدلت عن کل میزان‏</w:t>
      </w:r>
    </w:p>
    <w:p>
      <w:pPr>
        <w:pStyle w:val="BookText"/>
      </w:pPr>
      <w:r>
        <w:rPr>
          <w:rFonts w:ascii="IRNazanin" w:hAnsi="IRNazanin" w:eastAsia="IRNazanin" w:cs="IRNazanin"/>
          <w:lang w:bidi="fa-IR"/>
          <w:color w:val="111111"/>
          <w:sz w:val="28"/>
          <w:szCs w:val="28"/>
          <w:rtl/>
        </w:rPr>
        <w:t xml:space="preserve">فی اثنین و أربعین بیتا. و طبع من شعره أیضا تتمیمه صدرا و ذیلا لرثاء الصدیقة علی أبیها التی آخرها [</w:t>
      </w:r>
    </w:p>
    <w:p>
      <w:pPr>
        <w:pStyle w:val="BookText"/>
      </w:pPr>
      <w:r>
        <w:rPr>
          <w:rFonts w:ascii="IRNazanin" w:hAnsi="IRNazanin" w:eastAsia="IRNazanin" w:cs="IRNazanin"/>
          <w:lang w:bidi="fa-IR"/>
          <w:color w:val="111111"/>
          <w:sz w:val="28"/>
          <w:szCs w:val="28"/>
          <w:rtl/>
        </w:rPr>
        <w:t xml:space="preserve">إلهی عجل وفاتی سریعا</w:t>
      </w:r>
    </w:p>
    <w:p>
      <w:pPr>
        <w:pStyle w:val="BookText"/>
      </w:pPr>
      <w:r>
        <w:rPr>
          <w:rFonts w:ascii="IRNazanin" w:hAnsi="IRNazanin" w:eastAsia="IRNazanin" w:cs="IRNazanin"/>
          <w:lang w:bidi="fa-IR"/>
          <w:color w:val="111111"/>
          <w:sz w:val="28"/>
          <w:szCs w:val="28"/>
          <w:rtl/>
        </w:rPr>
        <w:t xml:space="preserve">]. و باشر طبعه ولده الشیخ جمال الدین.</w:t>
      </w:r>
    </w:p>
    <w:p>
      <w:pPr>
        <w:pStyle w:val="BookText"/>
      </w:pPr>
      <w:r>
        <w:rPr>
          <w:rFonts w:ascii="IRNazanin" w:hAnsi="IRNazanin" w:eastAsia="IRNazanin" w:cs="IRNazanin"/>
          <w:lang w:bidi="fa-IR"/>
          <w:color w:val="111111"/>
          <w:sz w:val="28"/>
          <w:szCs w:val="28"/>
          <w:rtl/>
        </w:rPr>
        <w:t xml:space="preserve">طبعه حدود 1313 علی هامش شرح قصیدة دعبل لآقا کمالا الفسوی. و توفی الشیخ محمد تقی الناظم فی نیف و عشرین و ثلاثمائة و ألف. و کان هو معلمی و قد قرأت علیه شیئا من نجات العباد و شرح الباب الحادی عشر فی داره المقابل لدار خالی الحاج السید محمد خلیل فی کوچه صدر أعظم. بمحلة پامنار بطهران.</w:t>
      </w:r>
    </w:p>
    <w:p>
      <w:pPr>
        <w:pStyle w:val="Heading3"/>
      </w:pPr>
      <w:bookmarkStart w:id="9723" w:name="_Toc8419"/>
      <w:r>
        <w:t>دیوان میخچه‏</w:t>
      </w:r>
      <w:bookmarkEnd w:id="9723"/>
    </w:p>
    <w:p>
      <w:pPr>
        <w:pStyle w:val="BookText"/>
      </w:pPr>
      <w:r>
        <w:rPr>
          <w:rFonts w:ascii="IRNazanin" w:hAnsi="IRNazanin" w:eastAsia="IRNazanin" w:cs="IRNazanin"/>
          <w:lang w:bidi="fa-IR"/>
          <w:color w:val="111111"/>
          <w:sz w:val="28"/>
          <w:szCs w:val="28"/>
          <w:rtl/>
        </w:rPr>
        <w:t xml:space="preserve">راجع أمانی میخچه فی ص 95.</w:t>
      </w:r>
    </w:p>
    <w:p>
      <w:pPr>
        <w:pStyle w:val="Heading3"/>
      </w:pPr>
      <w:bookmarkStart w:id="9724" w:name="_Toc8420"/>
      <w:r>
        <w:t>7337- دیوان میر أبجدی‏</w:t>
      </w:r>
      <w:bookmarkEnd w:id="9724"/>
    </w:p>
    <w:p>
      <w:pPr>
        <w:pStyle w:val="BookText"/>
      </w:pPr>
      <w:r>
        <w:rPr>
          <w:rFonts w:ascii="IRNazanin" w:hAnsi="IRNazanin" w:eastAsia="IRNazanin" w:cs="IRNazanin"/>
          <w:lang w:bidi="fa-IR"/>
          <w:color w:val="111111"/>
          <w:sz w:val="28"/>
          <w:szCs w:val="28"/>
          <w:rtl/>
        </w:rPr>
        <w:t xml:space="preserve">و هو ملک الشعراء میر محمد إسماعیل الأبجدی المتوفی 1192. طبع له أنورنامه بمدراس فی 1944 م. فی 408 ص. بتصحیح محرم حسین محوی اللکهنوی و مع کلیات أبجدی فی 1951 م.</w:t>
      </w:r>
    </w:p>
    <w:p>
      <w:pPr>
        <w:pStyle w:val="Heading3"/>
      </w:pPr>
      <w:bookmarkStart w:id="9725" w:name="_Toc8421"/>
      <w:r>
        <w:t>7338- دیوان میر أکبرآبادی‏</w:t>
      </w:r>
      <w:bookmarkEnd w:id="9725"/>
    </w:p>
    <w:p>
      <w:pPr>
        <w:pStyle w:val="BookText"/>
      </w:pPr>
      <w:r>
        <w:rPr>
          <w:rFonts w:ascii="IRNazanin" w:hAnsi="IRNazanin" w:eastAsia="IRNazanin" w:cs="IRNazanin"/>
          <w:lang w:bidi="fa-IR"/>
          <w:color w:val="111111"/>
          <w:sz w:val="28"/>
          <w:szCs w:val="28"/>
          <w:rtl/>
        </w:rPr>
        <w:t xml:space="preserve">و هو محمد تقی ابن أخت سراج الدین علی خان آرزو المذکور فی ص 3. قال قدرت فی (نتایج- ص 686) إن له ستة دواوین باللغة الأردویة الهندیة. و طبع دیوان میر تقی فی لکهنو.</w:t>
      </w:r>
    </w:p>
    <w:p>
      <w:pPr>
        <w:pStyle w:val="Heading3"/>
      </w:pPr>
      <w:bookmarkStart w:id="9726" w:name="_Toc8422"/>
      <w:r>
        <w:t>7339- دیوان میر تربتی أو شعره‏</w:t>
      </w:r>
      <w:bookmarkEnd w:id="9726"/>
    </w:p>
    <w:p>
      <w:pPr>
        <w:pStyle w:val="BookText"/>
      </w:pPr>
      <w:r>
        <w:rPr>
          <w:rFonts w:ascii="IRNazanin" w:hAnsi="IRNazanin" w:eastAsia="IRNazanin" w:cs="IRNazanin"/>
          <w:lang w:bidi="fa-IR"/>
          <w:color w:val="111111"/>
          <w:sz w:val="28"/>
          <w:szCs w:val="28"/>
          <w:rtl/>
        </w:rPr>
        <w:t xml:space="preserve">جاء شعره فی (گلشن- ص 480)</w:t>
      </w:r>
    </w:p>
    <w:p>
      <w:pPr>
        <w:pStyle w:val="Heading3"/>
      </w:pPr>
      <w:bookmarkStart w:id="9727" w:name="_Toc8423"/>
      <w:r>
        <w:t>دیوان میر جلال‏</w:t>
      </w:r>
      <w:bookmarkEnd w:id="9727"/>
    </w:p>
    <w:p>
      <w:pPr>
        <w:pStyle w:val="BookText"/>
      </w:pPr>
      <w:r>
        <w:rPr>
          <w:rFonts w:ascii="IRNazanin" w:hAnsi="IRNazanin" w:eastAsia="IRNazanin" w:cs="IRNazanin"/>
          <w:lang w:bidi="fa-IR"/>
          <w:color w:val="111111"/>
          <w:sz w:val="28"/>
          <w:szCs w:val="28"/>
          <w:rtl/>
        </w:rPr>
        <w:t xml:space="preserve">مر بعنوان جلال صدر الصدور فی ص 199.</w:t>
      </w:r>
    </w:p>
    <w:p>
      <w:pPr>
        <w:pStyle w:val="Heading3"/>
      </w:pPr>
      <w:bookmarkStart w:id="9728" w:name="_Toc8424"/>
      <w:r>
        <w:t>دیوان میر جملة</w:t>
      </w:r>
      <w:bookmarkEnd w:id="9728"/>
    </w:p>
    <w:p>
      <w:pPr>
        <w:pStyle w:val="BookText"/>
      </w:pPr>
      <w:r>
        <w:rPr>
          <w:rFonts w:ascii="IRNazanin" w:hAnsi="IRNazanin" w:eastAsia="IRNazanin" w:cs="IRNazanin"/>
          <w:lang w:bidi="fa-IR"/>
          <w:color w:val="111111"/>
          <w:sz w:val="28"/>
          <w:szCs w:val="28"/>
          <w:rtl/>
        </w:rPr>
        <w:t xml:space="preserve">کما فی (حسینی- ص 325) مر بعنوان روح الأمین فی ص 386.</w:t>
      </w:r>
    </w:p>
    <w:p>
      <w:pPr>
        <w:pStyle w:val="Heading3"/>
      </w:pPr>
      <w:bookmarkStart w:id="9729" w:name="_Toc8425"/>
      <w:r>
        <w:t>دیوان میر حاج‏</w:t>
      </w:r>
      <w:bookmarkEnd w:id="9729"/>
    </w:p>
    <w:p>
      <w:pPr>
        <w:pStyle w:val="BookText"/>
      </w:pPr>
      <w:r>
        <w:rPr>
          <w:rFonts w:ascii="IRNazanin" w:hAnsi="IRNazanin" w:eastAsia="IRNazanin" w:cs="IRNazanin"/>
          <w:lang w:bidi="fa-IR"/>
          <w:color w:val="111111"/>
          <w:sz w:val="28"/>
          <w:szCs w:val="28"/>
          <w:rtl/>
        </w:rPr>
        <w:t xml:space="preserve">مر بعنوان أمیر الحاج فی ص 99. ترجمه فی (خز- ص 403) و ذکر مکاتبة جامی له.</w:t>
      </w:r>
    </w:p>
    <w:p>
      <w:pPr>
        <w:pStyle w:val="Heading3"/>
      </w:pPr>
      <w:bookmarkStart w:id="9730" w:name="_Toc8426"/>
      <w:r>
        <w:t>دیوان میر حسینی‏</w:t>
      </w:r>
      <w:bookmarkEnd w:id="9730"/>
    </w:p>
    <w:p>
      <w:pPr>
        <w:pStyle w:val="BookText"/>
      </w:pPr>
      <w:r>
        <w:rPr>
          <w:rFonts w:ascii="IRNazanin" w:hAnsi="IRNazanin" w:eastAsia="IRNazanin" w:cs="IRNazanin"/>
          <w:lang w:bidi="fa-IR"/>
          <w:color w:val="111111"/>
          <w:sz w:val="28"/>
          <w:szCs w:val="28"/>
          <w:rtl/>
        </w:rPr>
        <w:t xml:space="preserve">مر بعنوان دیوان أمیر حسینی غوری فی ص 100 و طبع له‏
</w:t>
      </w:r>
    </w:p>
    <w:p>
      <w:pPr>
        <w:sectPr>
          <w:footerReference w:type="default" r:id="rId1148"/>
          <w:footnotePr>
            <w:numStart w:val="1"/>
            <w:numRestart w:val="eachPage"/>
          </w:footnotePr>
          <w:pgSz w:orient="portrait" w:w="11905.511811023622" w:h="16837.79527559055"/>
          <w:pgMar w:top="1440" w:right="1440" w:bottom="1440" w:left="1440" w:header="720" w:footer="720" w:gutter="0"/>
          <w:cols w:num="1" w:space="720"/>
        </w:sectPr>
      </w:pPr>
    </w:p>
    <w:bookmarkStart w:id="1126" w:name="pg11704_122616"/>
    <w:bookmarkEnd w:id="1126"/>
    <w:p>
      <w:pPr>
        <w:pStyle w:val="BookText"/>
      </w:pPr>
      <w:r>
        <w:rPr>
          <w:rFonts w:ascii="IRNazanin" w:hAnsi="IRNazanin" w:eastAsia="IRNazanin" w:cs="IRNazanin"/>
          <w:lang w:bidi="fa-IR"/>
          <w:color w:val="111111"/>
          <w:sz w:val="28"/>
          <w:szCs w:val="28"/>
          <w:rtl/>
        </w:rPr>
        <w:t xml:space="preserve">کنز الرموز فی ضمن مجموعة عوارف المعارف بشیراز فی 1357 علی الحروف.</w:t>
      </w:r>
    </w:p>
    <w:p>
      <w:pPr>
        <w:pStyle w:val="Heading3"/>
      </w:pPr>
      <w:bookmarkStart w:id="9731" w:name="_Toc8427"/>
      <w:r>
        <w:t>دیوان میر حیدر تونی‏</w:t>
      </w:r>
      <w:bookmarkEnd w:id="9731"/>
    </w:p>
    <w:p>
      <w:pPr>
        <w:pStyle w:val="BookText"/>
      </w:pPr>
      <w:r>
        <w:rPr>
          <w:rFonts w:ascii="IRNazanin" w:hAnsi="IRNazanin" w:eastAsia="IRNazanin" w:cs="IRNazanin"/>
          <w:lang w:bidi="fa-IR"/>
          <w:color w:val="111111"/>
          <w:sz w:val="28"/>
          <w:szCs w:val="28"/>
          <w:rtl/>
        </w:rPr>
        <w:t xml:space="preserve">کما فی (لس- 179) مر بعنوان حیدر تونیا فی ص 269 و مر میر حیدر فی ص 100.</w:t>
      </w:r>
    </w:p>
    <w:p>
      <w:pPr>
        <w:pStyle w:val="Heading3"/>
      </w:pPr>
      <w:bookmarkStart w:id="9732" w:name="_Toc8428"/>
      <w:r>
        <w:t>دیوان میر خواند</w:t>
      </w:r>
      <w:bookmarkEnd w:id="9732"/>
    </w:p>
    <w:p>
      <w:pPr>
        <w:pStyle w:val="BookText"/>
      </w:pPr>
      <w:r>
        <w:rPr>
          <w:rFonts w:ascii="IRNazanin" w:hAnsi="IRNazanin" w:eastAsia="IRNazanin" w:cs="IRNazanin"/>
          <w:lang w:bidi="fa-IR"/>
          <w:color w:val="111111"/>
          <w:sz w:val="28"/>
          <w:szCs w:val="28"/>
          <w:rtl/>
        </w:rPr>
        <w:t xml:space="preserve">مر فی ص 307. و ترجم و ورد شعره فی (تش- ص 310) و ریحانة الأدب و قال فی شاهد صادق إنه مات فی 903.</w:t>
      </w:r>
    </w:p>
    <w:p>
      <w:pPr>
        <w:pStyle w:val="Heading3"/>
      </w:pPr>
      <w:bookmarkStart w:id="9733" w:name="_Toc8429"/>
      <w:r>
        <w:t>7340- دیوان میر دهلوی أو شعره‏</w:t>
      </w:r>
      <w:bookmarkEnd w:id="9733"/>
    </w:p>
    <w:p>
      <w:pPr>
        <w:pStyle w:val="BookText"/>
      </w:pPr>
      <w:r>
        <w:rPr>
          <w:rFonts w:ascii="IRNazanin" w:hAnsi="IRNazanin" w:eastAsia="IRNazanin" w:cs="IRNazanin"/>
          <w:lang w:bidi="fa-IR"/>
          <w:color w:val="111111"/>
          <w:sz w:val="28"/>
          <w:szCs w:val="28"/>
          <w:rtl/>
        </w:rPr>
        <w:t xml:space="preserve">و اسمه میرزاده علی خان بن محترم بیگ من أمراء بابر شاه و توفی 996 ورد شعره فی (گلشن- ص 481).</w:t>
      </w:r>
    </w:p>
    <w:p>
      <w:pPr>
        <w:pStyle w:val="Heading3"/>
      </w:pPr>
      <w:bookmarkStart w:id="9734" w:name="_Toc8430"/>
      <w:r>
        <w:t>دیوان میر رباعی مشهدی‏</w:t>
      </w:r>
      <w:bookmarkEnd w:id="9734"/>
    </w:p>
    <w:p>
      <w:pPr>
        <w:pStyle w:val="BookText"/>
      </w:pPr>
      <w:r>
        <w:rPr>
          <w:rFonts w:ascii="IRNazanin" w:hAnsi="IRNazanin" w:eastAsia="IRNazanin" w:cs="IRNazanin"/>
          <w:lang w:bidi="fa-IR"/>
          <w:color w:val="111111"/>
          <w:sz w:val="28"/>
          <w:szCs w:val="28"/>
          <w:rtl/>
        </w:rPr>
        <w:t xml:space="preserve">مر فی ص 354.</w:t>
      </w:r>
    </w:p>
    <w:p>
      <w:pPr>
        <w:pStyle w:val="Heading3"/>
      </w:pPr>
      <w:bookmarkStart w:id="9735" w:name="_Toc8431"/>
      <w:r>
        <w:t>دیوان میرزا بایسنقر</w:t>
      </w:r>
      <w:bookmarkEnd w:id="9735"/>
    </w:p>
    <w:p>
      <w:pPr>
        <w:pStyle w:val="BookText"/>
      </w:pPr>
      <w:r>
        <w:rPr>
          <w:rFonts w:ascii="IRNazanin" w:hAnsi="IRNazanin" w:eastAsia="IRNazanin" w:cs="IRNazanin"/>
          <w:lang w:bidi="fa-IR"/>
          <w:color w:val="111111"/>
          <w:sz w:val="28"/>
          <w:szCs w:val="28"/>
          <w:rtl/>
        </w:rPr>
        <w:t xml:space="preserve">کما فی (مطلع 2: 445) مر فی ص 125.</w:t>
      </w:r>
    </w:p>
    <w:p>
      <w:pPr>
        <w:pStyle w:val="Heading3"/>
      </w:pPr>
      <w:bookmarkStart w:id="9736" w:name="_Toc8432"/>
      <w:r>
        <w:t>7341- دیوان میرزا بزرگ تبریزی‏</w:t>
      </w:r>
      <w:bookmarkEnd w:id="9736"/>
    </w:p>
    <w:p>
      <w:pPr>
        <w:pStyle w:val="BookText"/>
      </w:pPr>
      <w:r>
        <w:rPr>
          <w:rFonts w:ascii="IRNazanin" w:hAnsi="IRNazanin" w:eastAsia="IRNazanin" w:cs="IRNazanin"/>
          <w:lang w:bidi="fa-IR"/>
          <w:color w:val="111111"/>
          <w:sz w:val="28"/>
          <w:szCs w:val="28"/>
          <w:rtl/>
        </w:rPr>
        <w:t xml:space="preserve">و هو عبد الحسین بن رضا. قال مشار أنه طبع له منظومة امتحان القلوب بالفارسیة بتبریز فی 1309 فی 269 ص.</w:t>
      </w:r>
    </w:p>
    <w:p>
      <w:pPr>
        <w:pStyle w:val="Heading3"/>
      </w:pPr>
      <w:bookmarkStart w:id="9737" w:name="_Toc8433"/>
      <w:r>
        <w:t>7342- دیوان میرزا جان باغنوی أو شعره‏</w:t>
      </w:r>
      <w:bookmarkEnd w:id="9737"/>
    </w:p>
    <w:p>
      <w:pPr>
        <w:pStyle w:val="BookText"/>
      </w:pPr>
      <w:r>
        <w:rPr>
          <w:rFonts w:ascii="IRNazanin" w:hAnsi="IRNazanin" w:eastAsia="IRNazanin" w:cs="IRNazanin"/>
          <w:lang w:bidi="fa-IR"/>
          <w:color w:val="111111"/>
          <w:sz w:val="28"/>
          <w:szCs w:val="28"/>
          <w:rtl/>
        </w:rPr>
        <w:t xml:space="preserve">و هو الملا میرزا جان الشیرازی صاحب الحواشی علی الکتب الأدبیة و الفلسفیة. ورد شعره فی (گلشن- ص 482).</w:t>
      </w:r>
    </w:p>
    <w:p>
      <w:pPr>
        <w:pStyle w:val="Heading3"/>
      </w:pPr>
      <w:bookmarkStart w:id="9738" w:name="_Toc8434"/>
      <w:r>
        <w:t>دیوان میرزا رضی مشهدی‏</w:t>
      </w:r>
      <w:bookmarkEnd w:id="9738"/>
    </w:p>
    <w:p>
      <w:pPr>
        <w:pStyle w:val="BookText"/>
      </w:pPr>
      <w:r>
        <w:rPr>
          <w:rFonts w:ascii="IRNazanin" w:hAnsi="IRNazanin" w:eastAsia="IRNazanin" w:cs="IRNazanin"/>
          <w:lang w:bidi="fa-IR"/>
          <w:color w:val="111111"/>
          <w:sz w:val="28"/>
          <w:szCs w:val="28"/>
          <w:rtl/>
        </w:rPr>
        <w:t xml:space="preserve">کما فی (مطلع 2: 446) مر فی ص 317 بتخلصه دانش.</w:t>
      </w:r>
    </w:p>
    <w:p>
      <w:pPr>
        <w:pStyle w:val="Heading3"/>
      </w:pPr>
      <w:bookmarkStart w:id="9739" w:name="_Toc8435"/>
      <w:r>
        <w:t>7343- دیوان میرزای شیروانی‏</w:t>
      </w:r>
      <w:bookmarkEnd w:id="9739"/>
    </w:p>
    <w:p>
      <w:pPr>
        <w:pStyle w:val="BookText"/>
      </w:pPr>
      <w:r>
        <w:rPr>
          <w:rFonts w:ascii="IRNazanin" w:hAnsi="IRNazanin" w:eastAsia="IRNazanin" w:cs="IRNazanin"/>
          <w:lang w:bidi="fa-IR"/>
          <w:color w:val="111111"/>
          <w:sz w:val="28"/>
          <w:szCs w:val="28"/>
          <w:rtl/>
        </w:rPr>
        <w:t xml:space="preserve">و هو محمد بن الحسن المعروف بالمدقق و ملا میرزا من أساتذة أصفهان و توفی 1098 و صاحب الحواشی الکثیرة علی الکتب الفلسفیة و الدینیة.</w:t>
      </w:r>
    </w:p>
    <w:p>
      <w:pPr>
        <w:pStyle w:val="BookText"/>
      </w:pPr>
      <w:r>
        <w:rPr>
          <w:rFonts w:ascii="IRNazanin" w:hAnsi="IRNazanin" w:eastAsia="IRNazanin" w:cs="IRNazanin"/>
          <w:lang w:bidi="fa-IR"/>
          <w:color w:val="111111"/>
          <w:sz w:val="28"/>
          <w:szCs w:val="28"/>
          <w:rtl/>
        </w:rPr>
        <w:t xml:space="preserve">أورد النصرآبادی أشعاره فی (نر 6 ص 157 و 298).</w:t>
      </w:r>
    </w:p>
    <w:p>
      <w:pPr>
        <w:pStyle w:val="Heading3"/>
      </w:pPr>
      <w:bookmarkStart w:id="9740" w:name="_Toc8436"/>
      <w:r>
        <w:t>7344- دیوان میرزای فیض‏آبادی أو شعره‏</w:t>
      </w:r>
      <w:bookmarkEnd w:id="9740"/>
    </w:p>
    <w:p>
      <w:pPr>
        <w:pStyle w:val="BookText"/>
      </w:pPr>
      <w:r>
        <w:rPr>
          <w:rFonts w:ascii="IRNazanin" w:hAnsi="IRNazanin" w:eastAsia="IRNazanin" w:cs="IRNazanin"/>
          <w:lang w:bidi="fa-IR"/>
          <w:color w:val="111111"/>
          <w:sz w:val="28"/>
          <w:szCs w:val="28"/>
          <w:rtl/>
        </w:rPr>
        <w:t xml:space="preserve">و اسمه أمیر الدولة زین العابدین بن جعفر و یعرف بمیرزا بزرگ. ورد شعره فی (گلشن- ص 481).</w:t>
      </w:r>
    </w:p>
    <w:p>
      <w:pPr>
        <w:pStyle w:val="Heading3"/>
      </w:pPr>
      <w:bookmarkStart w:id="9741" w:name="_Toc8437"/>
      <w:r>
        <w:t>7345- دیوان میرزای همدانی أو شعره‏</w:t>
      </w:r>
      <w:bookmarkEnd w:id="9741"/>
    </w:p>
    <w:p>
      <w:pPr>
        <w:pStyle w:val="BookText"/>
      </w:pPr>
      <w:r>
        <w:rPr>
          <w:rFonts w:ascii="IRNazanin" w:hAnsi="IRNazanin" w:eastAsia="IRNazanin" w:cs="IRNazanin"/>
          <w:lang w:bidi="fa-IR"/>
          <w:color w:val="111111"/>
          <w:sz w:val="28"/>
          <w:szCs w:val="28"/>
          <w:rtl/>
        </w:rPr>
        <w:t xml:space="preserve">و اسمه میرزا بیگ الهمدانی. أورد علی شیر شعره فی (مجن 2: 54 و 227) و (گلشن- ص 482).</w:t>
      </w:r>
    </w:p>
    <w:p>
      <w:pPr>
        <w:pStyle w:val="Heading3"/>
      </w:pPr>
      <w:bookmarkStart w:id="9742" w:name="_Toc8438"/>
      <w:r>
        <w:t>7346- دیوان میرزایی ساوجی أو شعره‏</w:t>
      </w:r>
      <w:bookmarkEnd w:id="9742"/>
    </w:p>
    <w:p>
      <w:pPr>
        <w:pStyle w:val="BookText"/>
      </w:pPr>
      <w:r>
        <w:rPr>
          <w:rFonts w:ascii="IRNazanin" w:hAnsi="IRNazanin" w:eastAsia="IRNazanin" w:cs="IRNazanin"/>
          <w:lang w:bidi="fa-IR"/>
          <w:color w:val="111111"/>
          <w:sz w:val="28"/>
          <w:szCs w:val="28"/>
          <w:rtl/>
        </w:rPr>
        <w:t xml:space="preserve">کان هو بناء. أورد شعره معاصره سام میرزا فی (تس 5- ص 148) و (گلشن- ص 482) و همیشه بهار.</w:t>
      </w:r>
    </w:p>
    <w:p>
      <w:pPr>
        <w:pStyle w:val="Heading3"/>
      </w:pPr>
      <w:bookmarkStart w:id="9743" w:name="_Toc8439"/>
      <w:r>
        <w:t>7347- دیوان میر سبزواری أو شعره‏</w:t>
      </w:r>
      <w:bookmarkEnd w:id="9743"/>
    </w:p>
    <w:p>
      <w:pPr>
        <w:pStyle w:val="BookText"/>
      </w:pPr>
      <w:r>
        <w:rPr>
          <w:rFonts w:ascii="IRNazanin" w:hAnsi="IRNazanin" w:eastAsia="IRNazanin" w:cs="IRNazanin"/>
          <w:lang w:bidi="fa-IR"/>
          <w:color w:val="111111"/>
          <w:sz w:val="28"/>
          <w:szCs w:val="28"/>
          <w:rtl/>
        </w:rPr>
        <w:t xml:space="preserve">کان شیخ الإسلام بها کما ترجم فی (مجتس 3- ص 145).
</w:t>
      </w:r>
    </w:p>
    <w:p>
      <w:pPr>
        <w:sectPr>
          <w:footerReference w:type="default" r:id="rId1149"/>
          <w:footnotePr>
            <w:numStart w:val="1"/>
            <w:numRestart w:val="eachPage"/>
          </w:footnotePr>
          <w:pgSz w:orient="portrait" w:w="11905.511811023622" w:h="16837.79527559055"/>
          <w:pgMar w:top="1440" w:right="1440" w:bottom="1440" w:left="1440" w:header="720" w:footer="720" w:gutter="0"/>
          <w:cols w:num="1" w:space="720"/>
        </w:sectPr>
      </w:pPr>
    </w:p>
    <w:bookmarkStart w:id="1127" w:name="pg11704_122617"/>
    <w:bookmarkEnd w:id="1127"/>
    <w:p>
      <w:pPr>
        <w:pStyle w:val="Heading3"/>
      </w:pPr>
      <w:bookmarkStart w:id="9744" w:name="_Toc8440"/>
      <w:r>
        <w:t>دیوان میر سر برهنه‏</w:t>
      </w:r>
      <w:bookmarkEnd w:id="9744"/>
    </w:p>
    <w:p>
      <w:pPr>
        <w:pStyle w:val="BookText"/>
      </w:pPr>
      <w:r>
        <w:rPr>
          <w:rFonts w:ascii="IRNazanin" w:hAnsi="IRNazanin" w:eastAsia="IRNazanin" w:cs="IRNazanin"/>
          <w:lang w:bidi="fa-IR"/>
          <w:color w:val="111111"/>
          <w:sz w:val="28"/>
          <w:szCs w:val="28"/>
          <w:rtl/>
        </w:rPr>
        <w:t xml:space="preserve">مر فی ص 438 و 538.</w:t>
      </w:r>
    </w:p>
    <w:p>
      <w:pPr>
        <w:pStyle w:val="Heading3"/>
      </w:pPr>
      <w:bookmarkStart w:id="9745" w:name="_Toc8441"/>
      <w:r>
        <w:t>7348- دیوان میر سیستانی أو شعره‏</w:t>
      </w:r>
      <w:bookmarkEnd w:id="9745"/>
    </w:p>
    <w:p>
      <w:pPr>
        <w:pStyle w:val="BookText"/>
      </w:pPr>
      <w:r>
        <w:rPr>
          <w:rFonts w:ascii="IRNazanin" w:hAnsi="IRNazanin" w:eastAsia="IRNazanin" w:cs="IRNazanin"/>
          <w:lang w:bidi="fa-IR"/>
          <w:color w:val="111111"/>
          <w:sz w:val="28"/>
          <w:szCs w:val="28"/>
          <w:rtl/>
        </w:rPr>
        <w:t xml:space="preserve">کان معاصرا للجامی. ورد شعره فی (حسینی- ص 320) و (گلشن- ص 480).</w:t>
      </w:r>
    </w:p>
    <w:p>
      <w:pPr>
        <w:pStyle w:val="Heading3"/>
      </w:pPr>
      <w:bookmarkStart w:id="9746" w:name="_Toc8442"/>
      <w:r>
        <w:t>دیوان میر شاهی‏</w:t>
      </w:r>
      <w:bookmarkEnd w:id="9746"/>
    </w:p>
    <w:p>
      <w:pPr>
        <w:pStyle w:val="BookText"/>
      </w:pPr>
      <w:r>
        <w:rPr>
          <w:rFonts w:ascii="IRNazanin" w:hAnsi="IRNazanin" w:eastAsia="IRNazanin" w:cs="IRNazanin"/>
          <w:lang w:bidi="fa-IR"/>
          <w:color w:val="111111"/>
          <w:sz w:val="28"/>
          <w:szCs w:val="28"/>
          <w:rtl/>
        </w:rPr>
        <w:t xml:space="preserve">مر فی الشین و کذا شاهکی.</w:t>
      </w:r>
    </w:p>
    <w:p>
      <w:pPr>
        <w:pStyle w:val="Heading3"/>
      </w:pPr>
      <w:bookmarkStart w:id="9747" w:name="_Toc8443"/>
      <w:r>
        <w:t>دیوان المیر علی أبو طبیخ‏</w:t>
      </w:r>
      <w:bookmarkEnd w:id="9747"/>
    </w:p>
    <w:p>
      <w:pPr>
        <w:pStyle w:val="BookText"/>
      </w:pPr>
      <w:r>
        <w:rPr>
          <w:rFonts w:ascii="IRNazanin" w:hAnsi="IRNazanin" w:eastAsia="IRNazanin" w:cs="IRNazanin"/>
          <w:lang w:bidi="fa-IR"/>
          <w:color w:val="111111"/>
          <w:sz w:val="28"/>
          <w:szCs w:val="28"/>
          <w:rtl/>
        </w:rPr>
        <w:t xml:space="preserve">مر بعنوان دیوان الأنواء.</w:t>
      </w:r>
    </w:p>
    <w:p>
      <w:pPr>
        <w:pStyle w:val="Heading3"/>
      </w:pPr>
      <w:bookmarkStart w:id="9748" w:name="_Toc8444"/>
      <w:r>
        <w:t>دیوان میر علی هروی‏</w:t>
      </w:r>
      <w:bookmarkEnd w:id="9748"/>
    </w:p>
    <w:p>
      <w:pPr>
        <w:pStyle w:val="BookText"/>
      </w:pPr>
      <w:r>
        <w:rPr>
          <w:rFonts w:ascii="IRNazanin" w:hAnsi="IRNazanin" w:eastAsia="IRNazanin" w:cs="IRNazanin"/>
          <w:lang w:bidi="fa-IR"/>
          <w:color w:val="111111"/>
          <w:sz w:val="28"/>
          <w:szCs w:val="28"/>
          <w:rtl/>
        </w:rPr>
        <w:t xml:space="preserve">راجع علی هروی. و قد فصل أحواله الدکتور مهدی بیانی فی مجلة پیام نوین ج 5 العدد 2 ص 33- 41.</w:t>
      </w:r>
    </w:p>
    <w:p>
      <w:pPr>
        <w:pStyle w:val="Heading3"/>
      </w:pPr>
      <w:bookmarkStart w:id="9749" w:name="_Toc8445"/>
      <w:r>
        <w:t>7349- دیوان میرک أصفهانی أو شعره‏</w:t>
      </w:r>
      <w:bookmarkEnd w:id="9749"/>
    </w:p>
    <w:p>
      <w:pPr>
        <w:pStyle w:val="BookText"/>
      </w:pPr>
      <w:r>
        <w:rPr>
          <w:rFonts w:ascii="IRNazanin" w:hAnsi="IRNazanin" w:eastAsia="IRNazanin" w:cs="IRNazanin"/>
          <w:lang w:bidi="fa-IR"/>
          <w:color w:val="111111"/>
          <w:sz w:val="28"/>
          <w:szCs w:val="28"/>
          <w:rtl/>
        </w:rPr>
        <w:t xml:space="preserve">کان نقاشا مصورا فی عهد شاه طهماسب أورد شعره سام میرزا فی (تس 2- ص 47) و (گلشن- ص 458).</w:t>
      </w:r>
    </w:p>
    <w:p>
      <w:pPr>
        <w:pStyle w:val="Heading3"/>
      </w:pPr>
      <w:bookmarkStart w:id="9750" w:name="_Toc8446"/>
      <w:r>
        <w:t>7350- دیوان میرک بخارائی أو شعره‏</w:t>
      </w:r>
      <w:bookmarkEnd w:id="9750"/>
    </w:p>
    <w:p>
      <w:pPr>
        <w:pStyle w:val="BookText"/>
      </w:pPr>
      <w:r>
        <w:rPr>
          <w:rFonts w:ascii="IRNazanin" w:hAnsi="IRNazanin" w:eastAsia="IRNazanin" w:cs="IRNazanin"/>
          <w:lang w:bidi="fa-IR"/>
          <w:color w:val="111111"/>
          <w:sz w:val="28"/>
          <w:szCs w:val="28"/>
          <w:rtl/>
        </w:rPr>
        <w:t xml:space="preserve">و اسمه ملا میرک خان المستبصر. اشتغل أربعین سنة بتحصیل العلم فی أصفهان فی عصر الشاه عباس الأول. قال النصرآبادی فی (نر 6- ص 165) إنه أدرکه و أطری تقواه و شعره و قال توفی 1061 و جاء فی (تش- ص 310) و همیشه بهار و (گلشن- ص 484) بعنوان میرک بلخی.</w:t>
      </w:r>
    </w:p>
    <w:p>
      <w:pPr>
        <w:pStyle w:val="Heading3"/>
      </w:pPr>
      <w:bookmarkStart w:id="9751" w:name="_Toc8447"/>
      <w:r>
        <w:t>دیوان میرک بخارائی‏</w:t>
      </w:r>
      <w:bookmarkEnd w:id="9751"/>
    </w:p>
    <w:p>
      <w:pPr>
        <w:pStyle w:val="BookText"/>
      </w:pPr>
      <w:r>
        <w:rPr>
          <w:rFonts w:ascii="IRNazanin" w:hAnsi="IRNazanin" w:eastAsia="IRNazanin" w:cs="IRNazanin"/>
          <w:lang w:bidi="fa-IR"/>
          <w:color w:val="111111"/>
          <w:sz w:val="28"/>
          <w:szCs w:val="28"/>
          <w:rtl/>
        </w:rPr>
        <w:t xml:space="preserve">راجع میر ما وراء النهری.</w:t>
      </w:r>
    </w:p>
    <w:p>
      <w:pPr>
        <w:pStyle w:val="Heading3"/>
      </w:pPr>
      <w:bookmarkStart w:id="9752" w:name="_Toc8448"/>
      <w:r>
        <w:t>دیوان میرک بلخی‏</w:t>
      </w:r>
      <w:bookmarkEnd w:id="9752"/>
    </w:p>
    <w:p>
      <w:pPr>
        <w:pStyle w:val="BookText"/>
      </w:pPr>
      <w:r>
        <w:rPr>
          <w:rFonts w:ascii="IRNazanin" w:hAnsi="IRNazanin" w:eastAsia="IRNazanin" w:cs="IRNazanin"/>
          <w:lang w:bidi="fa-IR"/>
          <w:color w:val="111111"/>
          <w:sz w:val="28"/>
          <w:szCs w:val="28"/>
          <w:rtl/>
        </w:rPr>
        <w:t xml:space="preserve">راجع میرک بخارائی.</w:t>
      </w:r>
    </w:p>
    <w:p>
      <w:pPr>
        <w:pStyle w:val="Heading3"/>
      </w:pPr>
      <w:bookmarkStart w:id="9753" w:name="_Toc8449"/>
      <w:r>
        <w:t>7351- دیوان میرک خراسانی أو شعره‏</w:t>
      </w:r>
      <w:bookmarkEnd w:id="9753"/>
    </w:p>
    <w:p>
      <w:pPr>
        <w:pStyle w:val="BookText"/>
      </w:pPr>
      <w:r>
        <w:rPr>
          <w:rFonts w:ascii="IRNazanin" w:hAnsi="IRNazanin" w:eastAsia="IRNazanin" w:cs="IRNazanin"/>
          <w:lang w:bidi="fa-IR"/>
          <w:color w:val="111111"/>
          <w:sz w:val="28"/>
          <w:szCs w:val="28"/>
          <w:rtl/>
        </w:rPr>
        <w:t xml:space="preserve">کان وزیر زینل خان و صار وزیرا لخراسان. أورد غزله فی (مجتس 7- ص 170).</w:t>
      </w:r>
    </w:p>
    <w:p>
      <w:pPr>
        <w:pStyle w:val="Heading3"/>
      </w:pPr>
      <w:bookmarkStart w:id="9754" w:name="_Toc8450"/>
      <w:r>
        <w:t>7352- دیوان میر کرمانی‏</w:t>
      </w:r>
      <w:bookmarkEnd w:id="9754"/>
    </w:p>
    <w:p>
      <w:pPr>
        <w:pStyle w:val="BookText"/>
      </w:pPr>
      <w:r>
        <w:rPr>
          <w:rFonts w:ascii="IRNazanin" w:hAnsi="IRNazanin" w:eastAsia="IRNazanin" w:cs="IRNazanin"/>
          <w:lang w:bidi="fa-IR"/>
          <w:color w:val="111111"/>
          <w:sz w:val="28"/>
          <w:szCs w:val="28"/>
          <w:rtl/>
        </w:rPr>
        <w:t xml:space="preserve">من شعراء القرن الثامن مداح الأمیر مبارز الدین محمد ابن مظفر المخلوع 759 و کان أول ملکه 713 و کان الخواجة حافظ مداح شاه شجاع بن مبارز الدین محمد الذی مات 786 و المیر الکرمانی یتخلص فی شعره بمیر و هو غیر الخواجو الکرمانی المتوفی 742 و إن کانا معاصرین و مشارکین فی النسبة إلی البلد فإن اسمه محمود بن علی بن محمود مرید علاء الدولة السمنانی و مداح السلطان أبی سعید الچنگیزی الذی توفی 736. بالجملة دیوان المیر الکرمانی موجود فی مکتبة آقا مرتضی النجم‏آبادی بطهران و قد رآه الدکتور قاسم غنی السبزواری و نقل عنه نیفا و عشرین بیتا من شعره و نقل خصوصیاته و أن فی أوله مثنوی مجمع‏
</w:t>
      </w:r>
    </w:p>
    <w:p>
      <w:pPr>
        <w:sectPr>
          <w:footerReference w:type="default" r:id="rId1150"/>
          <w:footnotePr>
            <w:numStart w:val="1"/>
            <w:numRestart w:val="eachPage"/>
          </w:footnotePr>
          <w:pgSz w:orient="portrait" w:w="11905.511811023622" w:h="16837.79527559055"/>
          <w:pgMar w:top="1440" w:right="1440" w:bottom="1440" w:left="1440" w:header="720" w:footer="720" w:gutter="0"/>
          <w:cols w:num="1" w:space="720"/>
        </w:sectPr>
      </w:pPr>
    </w:p>
    <w:bookmarkStart w:id="1128" w:name="pg11704_122618"/>
    <w:bookmarkEnd w:id="1128"/>
    <w:p>
      <w:pPr>
        <w:pStyle w:val="BookText"/>
      </w:pPr>
      <w:r>
        <w:rPr>
          <w:rFonts w:ascii="IRNazanin" w:hAnsi="IRNazanin" w:eastAsia="IRNazanin" w:cs="IRNazanin"/>
          <w:lang w:bidi="fa-IR"/>
          <w:color w:val="111111"/>
          <w:sz w:val="28"/>
          <w:szCs w:val="28"/>
          <w:rtl/>
        </w:rPr>
        <w:t xml:space="preserve">اللطائف و درج اللآلی ثم القصائد فی مدح مبارز الدین محمد. ذکر جمیع ذلک فی تاریخ عصر حافظ- ج 1 ص 190 المطبوع 1361 و ترجم أیضا فی (خوش‏گو) و (لت- 4).</w:t>
      </w:r>
    </w:p>
    <w:p>
      <w:pPr>
        <w:pStyle w:val="Heading3"/>
      </w:pPr>
      <w:bookmarkStart w:id="9755" w:name="_Toc8451"/>
      <w:r>
        <w:t>7353- دیوان میرک خورد أو شعره‏</w:t>
      </w:r>
      <w:bookmarkEnd w:id="9755"/>
    </w:p>
    <w:p>
      <w:pPr>
        <w:pStyle w:val="BookText"/>
      </w:pPr>
      <w:r>
        <w:rPr>
          <w:rFonts w:ascii="IRNazanin" w:hAnsi="IRNazanin" w:eastAsia="IRNazanin" w:cs="IRNazanin"/>
          <w:lang w:bidi="fa-IR"/>
          <w:color w:val="111111"/>
          <w:sz w:val="28"/>
          <w:szCs w:val="28"/>
          <w:rtl/>
        </w:rPr>
        <w:t xml:space="preserve">اشتهر بالزهد و الصلاح فی هرات و أطری شعره فی (تس 2- ص 33) و قال قتل 932 و فی (گلشن- 483) أن أباه کان وزیر بدیع الزمان میرزا.</w:t>
      </w:r>
    </w:p>
    <w:p>
      <w:pPr>
        <w:pStyle w:val="Heading3"/>
      </w:pPr>
      <w:bookmarkStart w:id="9756" w:name="_Toc8452"/>
      <w:r>
        <w:t>7354- دیوان میرک ساوجی أو شعره‏</w:t>
      </w:r>
      <w:bookmarkEnd w:id="9756"/>
    </w:p>
    <w:p>
      <w:pPr>
        <w:pStyle w:val="BookText"/>
      </w:pPr>
      <w:r>
        <w:rPr>
          <w:rFonts w:ascii="IRNazanin" w:hAnsi="IRNazanin" w:eastAsia="IRNazanin" w:cs="IRNazanin"/>
          <w:lang w:bidi="fa-IR"/>
          <w:color w:val="111111"/>
          <w:sz w:val="28"/>
          <w:szCs w:val="28"/>
          <w:rtl/>
        </w:rPr>
        <w:t xml:space="preserve">و هو القاضی میرک ابن خواجه شکر الله المستوفی. أورد شعره سام میرزا فی (تس 4- ص 72). و قال التقی الکاشی إنه میرکی ساوجی والد صرفی المذکور فی 606 و توفی 991.</w:t>
      </w:r>
    </w:p>
    <w:p>
      <w:pPr>
        <w:pStyle w:val="Heading3"/>
      </w:pPr>
      <w:bookmarkStart w:id="9757" w:name="_Toc8453"/>
      <w:r>
        <w:t>7355- دیوان میرک سبزواری أو شعره‏</w:t>
      </w:r>
      <w:bookmarkEnd w:id="9757"/>
    </w:p>
    <w:p>
      <w:pPr>
        <w:pStyle w:val="BookText"/>
      </w:pPr>
      <w:r>
        <w:rPr>
          <w:rFonts w:ascii="IRNazanin" w:hAnsi="IRNazanin" w:eastAsia="IRNazanin" w:cs="IRNazanin"/>
          <w:lang w:bidi="fa-IR"/>
          <w:color w:val="111111"/>
          <w:sz w:val="28"/>
          <w:szCs w:val="28"/>
          <w:rtl/>
        </w:rPr>
        <w:t xml:space="preserve">و هو ابن أخت المحقق السبزواری صاحب الکفایة و الذخیرة ترجمه النصرآبادی فی (نر 5- 121) قال و سافر إلی مکة مع أهل بیته و رجع إلی الهند و أورد شعره و فی (گلشن- ص 483) قال إن اسمه میرزا میرک بیک.</w:t>
      </w:r>
    </w:p>
    <w:p>
      <w:pPr>
        <w:pStyle w:val="Heading3"/>
      </w:pPr>
      <w:bookmarkStart w:id="9758" w:name="_Toc8454"/>
      <w:r>
        <w:t>7356- دیوان میرک شیرازی‏</w:t>
      </w:r>
      <w:bookmarkEnd w:id="9758"/>
    </w:p>
    <w:p>
      <w:pPr>
        <w:pStyle w:val="BookText"/>
      </w:pPr>
      <w:r>
        <w:rPr>
          <w:rFonts w:ascii="IRNazanin" w:hAnsi="IRNazanin" w:eastAsia="IRNazanin" w:cs="IRNazanin"/>
          <w:lang w:bidi="fa-IR"/>
          <w:color w:val="111111"/>
          <w:sz w:val="28"/>
          <w:szCs w:val="28"/>
          <w:rtl/>
        </w:rPr>
        <w:t xml:space="preserve">ترجمه فی (لط 6- ص 121) و ذکر أنه فی أوائل سنة سافر إلی بلاد خراسان للسیاحة و عاد إلی شیراز و أورد مطلع غزله. و کذا فی (گلشن- ص 483) و فی (قز مج 6- ص 299) سماه میرکی شیرازی.</w:t>
      </w:r>
    </w:p>
    <w:p>
      <w:pPr>
        <w:pStyle w:val="Heading3"/>
      </w:pPr>
      <w:bookmarkStart w:id="9759" w:name="_Toc8455"/>
      <w:r>
        <w:t>7357- دیوان میرک قزوینی أو شعره‏</w:t>
      </w:r>
      <w:bookmarkEnd w:id="9759"/>
    </w:p>
    <w:p>
      <w:pPr>
        <w:pStyle w:val="BookText"/>
      </w:pPr>
      <w:r>
        <w:rPr>
          <w:rFonts w:ascii="IRNazanin" w:hAnsi="IRNazanin" w:eastAsia="IRNazanin" w:cs="IRNazanin"/>
          <w:lang w:bidi="fa-IR"/>
          <w:color w:val="111111"/>
          <w:sz w:val="28"/>
          <w:szCs w:val="28"/>
          <w:rtl/>
        </w:rPr>
        <w:t xml:space="preserve">هو من أکابر قضاة قزوین فی القرن العاشر.</w:t>
      </w:r>
    </w:p>
    <w:p>
      <w:pPr>
        <w:pStyle w:val="BookText"/>
      </w:pPr>
      <w:r>
        <w:rPr>
          <w:rFonts w:ascii="IRNazanin" w:hAnsi="IRNazanin" w:eastAsia="IRNazanin" w:cs="IRNazanin"/>
          <w:lang w:bidi="fa-IR"/>
          <w:color w:val="111111"/>
          <w:sz w:val="28"/>
          <w:szCs w:val="28"/>
          <w:rtl/>
        </w:rPr>
        <w:t xml:space="preserve">أورد شعره سام میرزا فی (تس 4- ص 70).</w:t>
      </w:r>
    </w:p>
    <w:p>
      <w:pPr>
        <w:pStyle w:val="Heading3"/>
      </w:pPr>
      <w:bookmarkStart w:id="9760" w:name="_Toc8456"/>
      <w:r>
        <w:t>دیوان میرک هروی‏</w:t>
      </w:r>
      <w:bookmarkEnd w:id="9760"/>
    </w:p>
    <w:p>
      <w:pPr>
        <w:pStyle w:val="BookText"/>
      </w:pPr>
      <w:r>
        <w:rPr>
          <w:rFonts w:ascii="IRNazanin" w:hAnsi="IRNazanin" w:eastAsia="IRNazanin" w:cs="IRNazanin"/>
          <w:lang w:bidi="fa-IR"/>
          <w:color w:val="111111"/>
          <w:sz w:val="28"/>
          <w:szCs w:val="28"/>
          <w:rtl/>
        </w:rPr>
        <w:t xml:space="preserve">راجع دیوان میرک خرد.</w:t>
      </w:r>
    </w:p>
    <w:p>
      <w:pPr>
        <w:pStyle w:val="Heading3"/>
      </w:pPr>
      <w:bookmarkStart w:id="9761" w:name="_Toc8457"/>
      <w:r>
        <w:t>7358- دیوان میرک هروی أو شعره‏</w:t>
      </w:r>
      <w:bookmarkEnd w:id="9761"/>
    </w:p>
    <w:p>
      <w:pPr>
        <w:pStyle w:val="BookText"/>
      </w:pPr>
      <w:r>
        <w:rPr>
          <w:rFonts w:ascii="IRNazanin" w:hAnsi="IRNazanin" w:eastAsia="IRNazanin" w:cs="IRNazanin"/>
          <w:lang w:bidi="fa-IR"/>
          <w:color w:val="111111"/>
          <w:sz w:val="28"/>
          <w:szCs w:val="28"/>
          <w:rtl/>
        </w:rPr>
        <w:t xml:space="preserve">و اسمه حسین بن الخواجة محمد سلطان.</w:t>
      </w:r>
    </w:p>
    <w:p>
      <w:pPr>
        <w:pStyle w:val="BookText"/>
      </w:pPr>
      <w:r>
        <w:rPr>
          <w:rFonts w:ascii="IRNazanin" w:hAnsi="IRNazanin" w:eastAsia="IRNazanin" w:cs="IRNazanin"/>
          <w:lang w:bidi="fa-IR"/>
          <w:color w:val="111111"/>
          <w:sz w:val="28"/>
          <w:szCs w:val="28"/>
          <w:rtl/>
        </w:rPr>
        <w:t xml:space="preserve">أطرأه فی (قز مج 4- ص 276) و أورد شعره.</w:t>
      </w:r>
    </w:p>
    <w:p>
      <w:pPr>
        <w:pStyle w:val="Heading3"/>
      </w:pPr>
      <w:bookmarkStart w:id="9762" w:name="_Toc8458"/>
      <w:r>
        <w:t>7359- دیوان میرک هندی أو شعره‏</w:t>
      </w:r>
      <w:bookmarkEnd w:id="9762"/>
    </w:p>
    <w:p>
      <w:pPr>
        <w:pStyle w:val="BookText"/>
      </w:pPr>
      <w:r>
        <w:rPr>
          <w:rFonts w:ascii="IRNazanin" w:hAnsi="IRNazanin" w:eastAsia="IRNazanin" w:cs="IRNazanin"/>
          <w:lang w:bidi="fa-IR"/>
          <w:color w:val="111111"/>
          <w:sz w:val="28"/>
          <w:szCs w:val="28"/>
          <w:rtl/>
        </w:rPr>
        <w:t xml:space="preserve">أورد شعره سلیم فی (گلشن- ص 483).</w:t>
      </w:r>
    </w:p>
    <w:p>
      <w:pPr>
        <w:pStyle w:val="Heading3"/>
      </w:pPr>
      <w:bookmarkStart w:id="9763" w:name="_Toc8459"/>
      <w:r>
        <w:t>7360- دیوان میر ما وراء النهری أو شعره‏</w:t>
      </w:r>
      <w:bookmarkEnd w:id="9763"/>
    </w:p>
    <w:p>
      <w:pPr>
        <w:pStyle w:val="BookText"/>
      </w:pPr>
      <w:r>
        <w:rPr>
          <w:rFonts w:ascii="IRNazanin" w:hAnsi="IRNazanin" w:eastAsia="IRNazanin" w:cs="IRNazanin"/>
          <w:lang w:bidi="fa-IR"/>
          <w:color w:val="111111"/>
          <w:sz w:val="28"/>
          <w:szCs w:val="28"/>
          <w:rtl/>
        </w:rPr>
        <w:t xml:space="preserve">و اسمه میر جان أو میر خان. قال فی (گلشن- ص 480) إنه کان مذهبا.</w:t>
      </w:r>
    </w:p>
    <w:p>
      <w:pPr>
        <w:pStyle w:val="Heading3"/>
      </w:pPr>
      <w:bookmarkStart w:id="9764" w:name="_Toc8460"/>
      <w:r>
        <w:t>دیوان میرم تویسرکانی‏</w:t>
      </w:r>
      <w:bookmarkEnd w:id="9764"/>
    </w:p>
    <w:p>
      <w:pPr>
        <w:pStyle w:val="BookText"/>
      </w:pPr>
      <w:r>
        <w:rPr>
          <w:rFonts w:ascii="IRNazanin" w:hAnsi="IRNazanin" w:eastAsia="IRNazanin" w:cs="IRNazanin"/>
          <w:lang w:bidi="fa-IR"/>
          <w:color w:val="111111"/>
          <w:sz w:val="28"/>
          <w:szCs w:val="28"/>
          <w:rtl/>
        </w:rPr>
        <w:t xml:space="preserve">مر فی ص 593.</w:t>
      </w:r>
    </w:p>
    <w:p>
      <w:pPr>
        <w:pStyle w:val="Heading3"/>
      </w:pPr>
      <w:bookmarkStart w:id="9765" w:name="_Toc8461"/>
      <w:r>
        <w:t>7361- دیوان میرم غوری أو شعره‏</w:t>
      </w:r>
      <w:bookmarkEnd w:id="9765"/>
    </w:p>
    <w:p>
      <w:pPr>
        <w:pStyle w:val="BookText"/>
      </w:pPr>
      <w:r>
        <w:rPr>
          <w:rFonts w:ascii="IRNazanin" w:hAnsi="IRNazanin" w:eastAsia="IRNazanin" w:cs="IRNazanin"/>
          <w:lang w:bidi="fa-IR"/>
          <w:color w:val="111111"/>
          <w:sz w:val="28"/>
          <w:szCs w:val="28"/>
          <w:rtl/>
        </w:rPr>
        <w:t xml:space="preserve">ترجم و أورد شعره فی (گلشن- ص 486).</w:t>
      </w:r>
    </w:p>
    <w:p>
      <w:pPr>
        <w:pStyle w:val="Heading3"/>
      </w:pPr>
      <w:bookmarkStart w:id="9766" w:name="_Toc8462"/>
      <w:r>
        <w:t>7362- دیوان میرم هروی‏</w:t>
      </w:r>
      <w:bookmarkEnd w:id="9766"/>
    </w:p>
    <w:p>
      <w:pPr>
        <w:pStyle w:val="BookText"/>
      </w:pPr>
      <w:r>
        <w:rPr>
          <w:rFonts w:ascii="IRNazanin" w:hAnsi="IRNazanin" w:eastAsia="IRNazanin" w:cs="IRNazanin"/>
          <w:lang w:bidi="fa-IR"/>
          <w:color w:val="111111"/>
          <w:sz w:val="28"/>
          <w:szCs w:val="28"/>
          <w:rtl/>
        </w:rPr>
        <w:t xml:space="preserve">و اسمه میرم سیاه. ترجمه معاصره فخری فی (لط-
</w:t>
      </w:r>
    </w:p>
    <w:p>
      <w:pPr>
        <w:sectPr>
          <w:footerReference w:type="default" r:id="rId1151"/>
          <w:footnotePr>
            <w:numStart w:val="1"/>
            <w:numRestart w:val="eachPage"/>
          </w:footnotePr>
          <w:pgSz w:orient="portrait" w:w="11905.511811023622" w:h="16837.79527559055"/>
          <w:pgMar w:top="1440" w:right="1440" w:bottom="1440" w:left="1440" w:header="720" w:footer="720" w:gutter="0"/>
          <w:cols w:num="1" w:space="720"/>
        </w:sectPr>
      </w:pPr>
    </w:p>
    <w:bookmarkStart w:id="1129" w:name="pg11704_122619"/>
    <w:bookmarkEnd w:id="1129"/>
    <w:p>
      <w:pPr>
        <w:pStyle w:val="BookText"/>
      </w:pPr>
      <w:r>
        <w:rPr>
          <w:rFonts w:ascii="IRNazanin" w:hAnsi="IRNazanin" w:eastAsia="IRNazanin" w:cs="IRNazanin"/>
          <w:lang w:bidi="fa-IR"/>
          <w:color w:val="111111"/>
          <w:sz w:val="28"/>
          <w:szCs w:val="28"/>
          <w:rtl/>
        </w:rPr>
        <w:t xml:space="preserve">ص 69) و ذکر اشتهاره فی هرات بالهزل و توفی بما وراء النهر. و ترجمه سام میرزا فی (تس 5- ص 131) و (حسینی- ص 318) و (خوش‏گو) و هفت إقلیم و فی (گلشن- ص 484) أنه قزوینی و له دیوانین و کان تلمذه علی بابا إبدال.</w:t>
      </w:r>
    </w:p>
    <w:p>
      <w:pPr>
        <w:pStyle w:val="Heading3"/>
      </w:pPr>
      <w:bookmarkStart w:id="9767" w:name="_Toc8463"/>
      <w:r>
        <w:t>7363- دیوان میر میران قزوینی أو شعره‏</w:t>
      </w:r>
      <w:bookmarkEnd w:id="9767"/>
    </w:p>
    <w:p>
      <w:pPr>
        <w:pStyle w:val="BookText"/>
      </w:pPr>
      <w:r>
        <w:rPr>
          <w:rFonts w:ascii="IRNazanin" w:hAnsi="IRNazanin" w:eastAsia="IRNazanin" w:cs="IRNazanin"/>
          <w:lang w:bidi="fa-IR"/>
          <w:color w:val="111111"/>
          <w:sz w:val="28"/>
          <w:szCs w:val="28"/>
          <w:rtl/>
        </w:rPr>
        <w:t xml:space="preserve">ورد شعره فی همیشه بهار.</w:t>
      </w:r>
    </w:p>
    <w:p>
      <w:pPr>
        <w:pStyle w:val="Heading3"/>
      </w:pPr>
      <w:bookmarkStart w:id="9768" w:name="_Toc8464"/>
      <w:r>
        <w:t>7364- دیوان میر هادی‏</w:t>
      </w:r>
      <w:bookmarkEnd w:id="9768"/>
    </w:p>
    <w:p>
      <w:pPr>
        <w:pStyle w:val="BookText"/>
      </w:pPr>
      <w:r>
        <w:rPr>
          <w:rFonts w:ascii="IRNazanin" w:hAnsi="IRNazanin" w:eastAsia="IRNazanin" w:cs="IRNazanin"/>
          <w:lang w:bidi="fa-IR"/>
          <w:color w:val="111111"/>
          <w:sz w:val="28"/>
          <w:szCs w:val="28"/>
          <w:rtl/>
        </w:rPr>
        <w:t xml:space="preserve">و اسمه و تخلصه أمین ابن السید محمد علی من بیت میر هادی المعلم بثانویات طهران ولد 1287 و له مؤلفات کثیرة مطبوعة غیر دیوانه المطبوع باسم منتخبی از بهترین أشعار أمین میر هادی فی 128 ص بطهران فی 1374 ترجم فی سخنوران نامی معاصر- ج 2 ص 244.</w:t>
      </w:r>
    </w:p>
    <w:p>
      <w:pPr>
        <w:pStyle w:val="Heading3"/>
      </w:pPr>
      <w:bookmarkStart w:id="9769" w:name="_Toc8465"/>
      <w:r>
        <w:t>7365- دیوان میکده‏</w:t>
      </w:r>
      <w:bookmarkEnd w:id="9769"/>
    </w:p>
    <w:p>
      <w:pPr>
        <w:pStyle w:val="BookText"/>
      </w:pPr>
      <w:r>
        <w:rPr>
          <w:rFonts w:ascii="IRNazanin" w:hAnsi="IRNazanin" w:eastAsia="IRNazanin" w:cs="IRNazanin"/>
          <w:lang w:bidi="fa-IR"/>
          <w:color w:val="111111"/>
          <w:sz w:val="28"/>
          <w:szCs w:val="28"/>
          <w:rtl/>
        </w:rPr>
        <w:t xml:space="preserve">و اسمه علی بن یوسف المستوفی الآشتیانی. طبع له منظومة چهار فصل فی 1307 ق 223 ص.</w:t>
      </w:r>
    </w:p>
    <w:p>
      <w:pPr>
        <w:pStyle w:val="Heading3"/>
      </w:pPr>
      <w:bookmarkStart w:id="9770" w:name="_Toc8466"/>
      <w:r>
        <w:t>7366- دیوان میکش دهلوی أو شعره‏</w:t>
      </w:r>
      <w:bookmarkEnd w:id="9770"/>
    </w:p>
    <w:p>
      <w:pPr>
        <w:pStyle w:val="BookText"/>
      </w:pPr>
      <w:r>
        <w:rPr>
          <w:rFonts w:ascii="IRNazanin" w:hAnsi="IRNazanin" w:eastAsia="IRNazanin" w:cs="IRNazanin"/>
          <w:lang w:bidi="fa-IR"/>
          <w:color w:val="111111"/>
          <w:sz w:val="28"/>
          <w:szCs w:val="28"/>
          <w:rtl/>
        </w:rPr>
        <w:t xml:space="preserve">و اسمه المیر أحمد حسین ابن کرامت حسین. ترجمه و أورد شعره فی (روشن- ص 668).</w:t>
      </w:r>
    </w:p>
    <w:p>
      <w:pPr>
        <w:pStyle w:val="Heading3"/>
      </w:pPr>
      <w:bookmarkStart w:id="9771" w:name="_Toc8467"/>
      <w:r>
        <w:t>7367- دیوان میلانی‏</w:t>
      </w:r>
      <w:bookmarkEnd w:id="9771"/>
    </w:p>
    <w:p>
      <w:pPr>
        <w:pStyle w:val="BookText"/>
      </w:pPr>
      <w:r>
        <w:rPr>
          <w:rFonts w:ascii="IRNazanin" w:hAnsi="IRNazanin" w:eastAsia="IRNazanin" w:cs="IRNazanin"/>
          <w:lang w:bidi="fa-IR"/>
          <w:color w:val="111111"/>
          <w:sz w:val="28"/>
          <w:szCs w:val="28"/>
          <w:rtl/>
        </w:rPr>
        <w:t xml:space="preserve">و اسمه میر نقی ابن الحاج سید آقا. ولد بتبریز فی 1333 و هو معلم بثانویات طهران. و له الشعر بالفارسیة و الترکیة. طبع قسم منه فی تبریز 1363 مع مقدمه لحسین قلی الکاتبی. ترجم فی سخنوران نامی معاصر ج 2 ص 241 و کنگره نویسندگان- ص 202.</w:t>
      </w:r>
    </w:p>
    <w:p>
      <w:pPr>
        <w:pStyle w:val="Heading3"/>
      </w:pPr>
      <w:bookmarkStart w:id="9772" w:name="_Toc8468"/>
      <w:r>
        <w:t>7368- دیوان میلی تبریزی أو شعره‏</w:t>
      </w:r>
      <w:bookmarkEnd w:id="9772"/>
    </w:p>
    <w:p>
      <w:pPr>
        <w:pStyle w:val="BookText"/>
      </w:pPr>
      <w:r>
        <w:rPr>
          <w:rFonts w:ascii="IRNazanin" w:hAnsi="IRNazanin" w:eastAsia="IRNazanin" w:cs="IRNazanin"/>
          <w:lang w:bidi="fa-IR"/>
          <w:color w:val="111111"/>
          <w:sz w:val="28"/>
          <w:szCs w:val="28"/>
          <w:rtl/>
        </w:rPr>
        <w:t xml:space="preserve">ترجمه سام میرزا فی (تس 5- 144) و (گلشن- ص 486) و (دجا- ص 367).</w:t>
      </w:r>
    </w:p>
    <w:p>
      <w:pPr>
        <w:pStyle w:val="Heading3"/>
      </w:pPr>
      <w:bookmarkStart w:id="9773" w:name="_Toc8469"/>
      <w:r>
        <w:t>7369- دیوان میلی حصاری أو شعره‏</w:t>
      </w:r>
      <w:bookmarkEnd w:id="9773"/>
    </w:p>
    <w:p>
      <w:pPr>
        <w:pStyle w:val="BookText"/>
      </w:pPr>
      <w:r>
        <w:rPr>
          <w:rFonts w:ascii="IRNazanin" w:hAnsi="IRNazanin" w:eastAsia="IRNazanin" w:cs="IRNazanin"/>
          <w:lang w:bidi="fa-IR"/>
          <w:color w:val="111111"/>
          <w:sz w:val="28"/>
          <w:szCs w:val="28"/>
          <w:rtl/>
        </w:rPr>
        <w:t xml:space="preserve">کان من حصار شادمان أورد شعره معاصره الفخری فی (مجتس 6- ص 159) و (تش- ص 330).</w:t>
      </w:r>
    </w:p>
    <w:p>
      <w:pPr>
        <w:pStyle w:val="Heading3"/>
      </w:pPr>
      <w:bookmarkStart w:id="9774" w:name="_Toc8470"/>
      <w:r>
        <w:t>7370- دیوان میلی قزوینی أو شعره‏</w:t>
      </w:r>
      <w:bookmarkEnd w:id="9774"/>
    </w:p>
    <w:p>
      <w:pPr>
        <w:pStyle w:val="BookText"/>
      </w:pPr>
      <w:r>
        <w:rPr>
          <w:rFonts w:ascii="IRNazanin" w:hAnsi="IRNazanin" w:eastAsia="IRNazanin" w:cs="IRNazanin"/>
          <w:lang w:bidi="fa-IR"/>
          <w:color w:val="111111"/>
          <w:sz w:val="28"/>
          <w:szCs w:val="28"/>
          <w:rtl/>
        </w:rPr>
        <w:t xml:space="preserve">ورد شعره فی (گلشن- ص 486).</w:t>
      </w:r>
    </w:p>
    <w:p>
      <w:pPr>
        <w:pStyle w:val="Heading3"/>
      </w:pPr>
      <w:bookmarkStart w:id="9775" w:name="_Toc8471"/>
      <w:r>
        <w:t>7371- دیوان میلی هروی‏</w:t>
      </w:r>
      <w:bookmarkEnd w:id="9775"/>
    </w:p>
    <w:p>
      <w:pPr>
        <w:pStyle w:val="BookText"/>
      </w:pPr>
      <w:r>
        <w:rPr>
          <w:rFonts w:ascii="IRNazanin" w:hAnsi="IRNazanin" w:eastAsia="IRNazanin" w:cs="IRNazanin"/>
          <w:lang w:bidi="fa-IR"/>
          <w:color w:val="111111"/>
          <w:sz w:val="28"/>
          <w:szCs w:val="28"/>
          <w:rtl/>
        </w:rPr>
        <w:t xml:space="preserve">و اسمه میر قلی من أتراک هرات و نشا بمشهد خراسان و سافر إلی الهند و تقرب عند نوربک خان و مات بمالوه بالهند فی 983 و حمل عظامه إلی مشهد. له دیوان شعر. کذا ترجم فی (نتایج- ص 619) و (مع 2: 39) و (حسینی- ص 319) و (خوش‏گو) و (طبق 2: 496) و فی (خص 7- ص 105) أنه لازم خدابنده و بعد
</w:t>
      </w:r>
    </w:p>
    <w:p>
      <w:pPr>
        <w:sectPr>
          <w:footerReference w:type="default" r:id="rId1152"/>
          <w:footnotePr>
            <w:numStart w:val="1"/>
            <w:numRestart w:val="eachPage"/>
          </w:footnotePr>
          <w:pgSz w:orient="portrait" w:w="11905.511811023622" w:h="16837.79527559055"/>
          <w:pgMar w:top="1440" w:right="1440" w:bottom="1440" w:left="1440" w:header="720" w:footer="720" w:gutter="0"/>
          <w:cols w:num="1" w:space="720"/>
        </w:sectPr>
      </w:pPr>
    </w:p>
    <w:bookmarkStart w:id="1130" w:name="pg11704_122620"/>
    <w:bookmarkEnd w:id="1130"/>
    <w:p>
      <w:pPr>
        <w:pStyle w:val="BookText"/>
      </w:pPr>
      <w:r>
        <w:rPr>
          <w:rFonts w:ascii="IRNazanin" w:hAnsi="IRNazanin" w:eastAsia="IRNazanin" w:cs="IRNazanin"/>
          <w:lang w:bidi="fa-IR"/>
          <w:color w:val="111111"/>
          <w:sz w:val="28"/>
          <w:szCs w:val="28"/>
          <w:rtl/>
        </w:rPr>
        <w:t xml:space="preserve">خلعه فی 996 لازم إبراهیم میرزا الصفوی. و عده فی (تش- ص 21) من الأمراء. جاء شعره فی (مسرت- ص 308) و فی جنگ برقم 305 عند (فخر الدین) و عند أبی الحسن الکتابی بأصفهان. و یوجد دیوانه عند (الملک).</w:t>
      </w:r>
    </w:p>
    <w:p>
      <w:pPr>
        <w:pStyle w:val="Heading3"/>
      </w:pPr>
      <w:bookmarkStart w:id="9776" w:name="_Toc8472"/>
      <w:r>
        <w:t>7372- دیوان میمنت کشمیری أو شعره‏</w:t>
      </w:r>
      <w:bookmarkEnd w:id="9776"/>
    </w:p>
    <w:p>
      <w:pPr>
        <w:pStyle w:val="BookText"/>
      </w:pPr>
      <w:r>
        <w:rPr>
          <w:rFonts w:ascii="IRNazanin" w:hAnsi="IRNazanin" w:eastAsia="IRNazanin" w:cs="IRNazanin"/>
          <w:lang w:bidi="fa-IR"/>
          <w:color w:val="111111"/>
          <w:sz w:val="28"/>
          <w:szCs w:val="28"/>
          <w:rtl/>
        </w:rPr>
        <w:t xml:space="preserve">کان ابن أخ اعتقاد خان من أمراء فرخ سیر و مات 1140. کذا فی (گلشن- ص 486).</w:t>
      </w:r>
    </w:p>
    <w:p>
      <w:pPr>
        <w:pStyle w:val="Heading3"/>
      </w:pPr>
      <w:bookmarkStart w:id="9777" w:name="_Toc8473"/>
      <w:r>
        <w:t>7373- دیوان مینای أفشار</w:t>
      </w:r>
      <w:bookmarkEnd w:id="9777"/>
    </w:p>
    <w:p>
      <w:pPr>
        <w:pStyle w:val="BookText"/>
      </w:pPr>
      <w:r>
        <w:rPr>
          <w:rFonts w:ascii="IRNazanin" w:hAnsi="IRNazanin" w:eastAsia="IRNazanin" w:cs="IRNazanin"/>
          <w:lang w:bidi="fa-IR"/>
          <w:color w:val="111111"/>
          <w:sz w:val="28"/>
          <w:szCs w:val="28"/>
          <w:rtl/>
        </w:rPr>
        <w:t xml:space="preserve">اسمه فریدون بیک من أفشاریة الأرومیة. ترجمه معاصره فی (مع 1- ص 52) و أورد شعره. و ترجمه مفصلا فی (دجا- ص 367) نقلا عن نگارستان دارا تألیف المیرزا عبد الرزاق الدنبلی فقال الدنبلی إنه کان مینا عندی فی أصفهان سنین ثم ذهب إلی أرومیة و بها توفی 1235 و یوجد أشعاره فی جنگ برقم 305 عند (فخر الدین) و عند السید محمد الجزائری أخذها إلی أهواز کتابتها 1274 و فیها:</w:t>
      </w:r>
    </w:p>
    <w:p>
      <w:pPr>
        <w:pStyle w:val="BookText"/>
      </w:pPr>
      <w:r>
        <w:rPr>
          <w:rFonts w:ascii="IRNazanin" w:hAnsi="IRNazanin" w:eastAsia="IRNazanin" w:cs="IRNazanin"/>
          <w:lang w:bidi="fa-IR"/>
          <w:color w:val="111111"/>
          <w:sz w:val="28"/>
          <w:szCs w:val="28"/>
          <w:rtl/>
        </w:rPr>
        <w:t xml:space="preserve">هلا بجانب مینای مدح خوان کمین‏</w:t>
      </w:r>
    </w:p>
    <w:p>
      <w:pPr>
        <w:pStyle w:val="BookText"/>
      </w:pPr>
      <w:r>
        <w:rPr>
          <w:rFonts w:ascii="IRNazanin" w:hAnsi="IRNazanin" w:eastAsia="IRNazanin" w:cs="IRNazanin"/>
          <w:lang w:bidi="fa-IR"/>
          <w:color w:val="111111"/>
          <w:sz w:val="28"/>
          <w:szCs w:val="28"/>
          <w:rtl/>
        </w:rPr>
        <w:t xml:space="preserve">ز چشم لطف و رضایت یکی گشای نظر</w:t>
      </w:r>
    </w:p>
    <w:p>
      <w:pPr>
        <w:pStyle w:val="Heading3"/>
      </w:pPr>
      <w:bookmarkStart w:id="9778" w:name="_Toc8474"/>
      <w:r>
        <w:t>7374- دیوان مینای زند</w:t>
      </w:r>
      <w:bookmarkEnd w:id="9778"/>
    </w:p>
    <w:p>
      <w:pPr>
        <w:pStyle w:val="BookText"/>
      </w:pPr>
      <w:r>
        <w:rPr>
          <w:rFonts w:ascii="IRNazanin" w:hAnsi="IRNazanin" w:eastAsia="IRNazanin" w:cs="IRNazanin"/>
          <w:lang w:bidi="fa-IR"/>
          <w:color w:val="111111"/>
          <w:sz w:val="28"/>
          <w:szCs w:val="28"/>
          <w:rtl/>
        </w:rPr>
        <w:t xml:space="preserve">اسمه سلطان علی خان بن رضا علی خان من الزندیة. توفی بطهران 1302 ترجمه فرصت الدولة فی (عم- ص 569) و قال إن دیوانه مرتب مذهب مرغوب موجود عند أولاده” مؤلف” و أورد بعض شعره.</w:t>
      </w:r>
    </w:p>
    <w:p>
      <w:pPr>
        <w:pStyle w:val="Heading3"/>
      </w:pPr>
      <w:bookmarkStart w:id="9779" w:name="_Toc8475"/>
      <w:r>
        <w:t>دیوان مینای نصرآبادی هندی‏</w:t>
      </w:r>
      <w:bookmarkEnd w:id="9779"/>
    </w:p>
    <w:p>
      <w:pPr>
        <w:pStyle w:val="BookText"/>
      </w:pPr>
      <w:r>
        <w:rPr>
          <w:rFonts w:ascii="IRNazanin" w:hAnsi="IRNazanin" w:eastAsia="IRNazanin" w:cs="IRNazanin"/>
          <w:lang w:bidi="fa-IR"/>
          <w:color w:val="111111"/>
          <w:sz w:val="28"/>
          <w:szCs w:val="28"/>
          <w:rtl/>
        </w:rPr>
        <w:t xml:space="preserve">مر بعنوان صادقی مینا فی ص 582.</w:t>
      </w:r>
    </w:p>
    <w:p>
      <w:pPr>
        <w:pStyle w:val="Heading3"/>
      </w:pPr>
      <w:bookmarkStart w:id="9780" w:name="_Toc8476"/>
      <w:r>
        <w:t>7375- دیوان مینوی شیرازی أو شعره‏</w:t>
      </w:r>
      <w:bookmarkEnd w:id="9780"/>
    </w:p>
    <w:p>
      <w:pPr>
        <w:pStyle w:val="BookText"/>
      </w:pPr>
      <w:r>
        <w:rPr>
          <w:rFonts w:ascii="IRNazanin" w:hAnsi="IRNazanin" w:eastAsia="IRNazanin" w:cs="IRNazanin"/>
          <w:lang w:bidi="fa-IR"/>
          <w:color w:val="111111"/>
          <w:sz w:val="28"/>
          <w:szCs w:val="28"/>
          <w:rtl/>
        </w:rPr>
        <w:t xml:space="preserve">اسمه المیرزا أحمد. قرأ علی المیرزا فرصت علوم العربیة فی شیراز، و ترجمه فی عم- ص 569 و أورد غزله بتخلصه.</w:t>
      </w:r>
    </w:p>
    <w:p>
      <w:pPr>
        <w:pStyle w:val="BookText"/>
      </w:pPr>
      <w:r>
        <w:rPr>
          <w:rFonts w:ascii="IRNazanin" w:hAnsi="IRNazanin" w:eastAsia="IRNazanin" w:cs="IRNazanin"/>
          <w:lang w:bidi="fa-IR"/>
          <w:color w:val="111111"/>
          <w:sz w:val="28"/>
          <w:szCs w:val="28"/>
          <w:rtl/>
        </w:rPr>
        <w:t xml:space="preserve">بریز باده ز مینا بساغر مینو</w:t>
      </w:r>
    </w:p>
    <w:p>
      <w:pPr>
        <w:pStyle w:val="BookText"/>
      </w:pPr>
      <w:r>
        <w:rPr>
          <w:rFonts w:ascii="IRNazanin" w:hAnsi="IRNazanin" w:eastAsia="IRNazanin" w:cs="IRNazanin"/>
          <w:lang w:bidi="fa-IR"/>
          <w:color w:val="111111"/>
          <w:sz w:val="28"/>
          <w:szCs w:val="28"/>
          <w:rtl/>
        </w:rPr>
        <w:t xml:space="preserve">که نوبهار چمن را ز نو نضارت کرد</w:t>
      </w:r>
    </w:p>
    <w:p>
      <w:pPr>
        <w:pStyle w:val="Heading3"/>
      </w:pPr>
      <w:bookmarkStart w:id="9781" w:name="_Toc8477"/>
      <w:r>
        <w:t>7376- دیوان مینوی همدانی أو شعره‏</w:t>
      </w:r>
      <w:bookmarkEnd w:id="9781"/>
    </w:p>
    <w:p>
      <w:pPr>
        <w:pStyle w:val="BookText"/>
      </w:pPr>
      <w:r>
        <w:rPr>
          <w:rFonts w:ascii="IRNazanin" w:hAnsi="IRNazanin" w:eastAsia="IRNazanin" w:cs="IRNazanin"/>
          <w:lang w:bidi="fa-IR"/>
          <w:color w:val="111111"/>
          <w:sz w:val="28"/>
          <w:szCs w:val="28"/>
          <w:rtl/>
        </w:rPr>
        <w:t xml:space="preserve">و اسمه أمیر خان اللاجوردی. کان من أعضاء انجمن أدبی همدان. أورد غزله ألفت فی دانش‏نامه المطبوع 1342.
</w:t>
      </w:r>
    </w:p>
    <w:p>
      <w:pPr>
        <w:sectPr>
          <w:footerReference w:type="default" r:id="rId1153"/>
          <w:footnotePr>
            <w:numStart w:val="1"/>
            <w:numRestart w:val="eachPage"/>
          </w:footnotePr>
          <w:pgSz w:orient="portrait" w:w="11905.511811023622" w:h="16837.79527559055"/>
          <w:pgMar w:top="1440" w:right="1440" w:bottom="1440" w:left="1440" w:header="720" w:footer="720" w:gutter="0"/>
          <w:cols w:num="1" w:space="720"/>
        </w:sectPr>
      </w:pPr>
    </w:p>
    <w:bookmarkStart w:id="1131" w:name="pg11704_122621"/>
    <w:bookmarkEnd w:id="1131"/>
    <w:p>
      <w:pPr>
        <w:pStyle w:val="Heading2"/>
      </w:pPr>
      <w:bookmarkStart w:id="9782" w:name="_Toc8478"/>
      <w:r>
        <w:t>الجزء الرابع</w:t>
      </w:r>
      <w:bookmarkEnd w:id="9782"/>
    </w:p>
    <w:p>
      <w:pPr>
        <w:pStyle w:val="Heading3"/>
      </w:pPr>
      <w:bookmarkStart w:id="9783" w:name="_Toc8479"/>
      <w:r>
        <w:t>دیوان نائب‏</w:t>
      </w:r>
      <w:bookmarkEnd w:id="9783"/>
    </w:p>
    <w:p>
      <w:pPr>
        <w:pStyle w:val="BookText"/>
      </w:pPr>
      <w:r>
        <w:rPr>
          <w:rFonts w:ascii="IRNazanin" w:hAnsi="IRNazanin" w:eastAsia="IRNazanin" w:cs="IRNazanin"/>
          <w:lang w:bidi="fa-IR"/>
          <w:color w:val="111111"/>
          <w:sz w:val="28"/>
          <w:szCs w:val="28"/>
          <w:rtl/>
        </w:rPr>
        <w:t xml:space="preserve">راجع نائب کما یتلفظ به.</w:t>
      </w:r>
    </w:p>
    <w:p>
      <w:pPr>
        <w:pStyle w:val="Heading3"/>
      </w:pPr>
      <w:bookmarkStart w:id="9784" w:name="_Toc8480"/>
      <w:r>
        <w:t>7377- دیوان النائلی‏</w:t>
      </w:r>
      <w:bookmarkEnd w:id="9784"/>
    </w:p>
    <w:p>
      <w:pPr>
        <w:pStyle w:val="BookText"/>
      </w:pPr>
      <w:r>
        <w:rPr>
          <w:rFonts w:ascii="IRNazanin" w:hAnsi="IRNazanin" w:eastAsia="IRNazanin" w:cs="IRNazanin"/>
          <w:lang w:bidi="fa-IR"/>
          <w:color w:val="111111"/>
          <w:sz w:val="28"/>
          <w:szCs w:val="28"/>
          <w:rtl/>
        </w:rPr>
        <w:t xml:space="preserve">یوجد فی مکتبة السلطان عثمان الثالث بأستانبول کما فی فهرسها.</w:t>
      </w:r>
    </w:p>
    <w:p>
      <w:pPr>
        <w:pStyle w:val="Heading3"/>
      </w:pPr>
      <w:bookmarkStart w:id="9785" w:name="_Toc8481"/>
      <w:r>
        <w:t>7378- دیوان النابغة الجعدی‏</w:t>
      </w:r>
      <w:bookmarkEnd w:id="9785"/>
    </w:p>
    <w:p>
      <w:pPr>
        <w:pStyle w:val="BookText"/>
      </w:pPr>
      <w:r>
        <w:rPr>
          <w:rFonts w:ascii="IRNazanin" w:hAnsi="IRNazanin" w:eastAsia="IRNazanin" w:cs="IRNazanin"/>
          <w:lang w:bidi="fa-IR"/>
          <w:color w:val="111111"/>
          <w:sz w:val="28"/>
          <w:szCs w:val="28"/>
          <w:rtl/>
        </w:rPr>
        <w:t xml:space="preserve">عده ابن شهرآشوب من شعراء أهل البیت فی (المعالم- ص 138). و هو أبو لیلی حبان بن قیس المضری الجعدی العامری المعمر، مع الخلاف فی مدة عمره من المائتین و أقل و أکثر، و المحقق أنه أدرک سنین من عصر الجاهلیة و بقی حتی أدرک الصفین مع أمیر المؤمنین ع. ترجمه السید علی خان المدنی فی الدرجات الرفیعة فی طبقات الشیعة و أورد بعض شعره مما أنشده علی النبی فقال له لا یفضض الله فاک مرتین، و ما أنشده یوم صفین. و قال ابن الندیم فی الفهرست ص 224 إنه عمل شعر النابغة الجعدی الأصمعی و ابن السکیت. أقول الأصمعی هو عبد الملک بن قریب بن عبد الملک بن علی بن أصمع المنتهی إلی عبد الله الباهلی و المتوفی 213 کما ترجمه ابن الندیم ص 82. و ابن السکیت هو یعقوب بن إسحاق السکیت صاحب إصلاح المنطق. و نسخه دیوان النابغة قرب سبعمائة بیت موجود عند السید جلال الدین المحدث الأرومی و فی مکتبة کوپرلی‏زاده کما فی فهرسها.</w:t>
      </w:r>
    </w:p>
    <w:p>
      <w:pPr>
        <w:pStyle w:val="Heading3"/>
      </w:pPr>
      <w:bookmarkStart w:id="9786" w:name="_Toc8482"/>
      <w:r>
        <w:t>7379- دیوان النابغة الذبیانی‏</w:t>
      </w:r>
      <w:bookmarkEnd w:id="9786"/>
    </w:p>
    <w:p>
      <w:pPr>
        <w:pStyle w:val="BookText"/>
      </w:pPr>
      <w:r>
        <w:rPr>
          <w:rFonts w:ascii="IRNazanin" w:hAnsi="IRNazanin" w:eastAsia="IRNazanin" w:cs="IRNazanin"/>
          <w:lang w:bidi="fa-IR"/>
          <w:color w:val="111111"/>
          <w:sz w:val="28"/>
          <w:szCs w:val="28"/>
          <w:rtl/>
        </w:rPr>
        <w:t xml:space="preserve">زیاد بن عمرو بن معاویة. رأیت نسخه منه فی موقوفة (العطار ببغداد) فی ثمان و ثمانین ورقة.</w:t>
      </w:r>
    </w:p>
    <w:p>
      <w:pPr>
        <w:pStyle w:val="Heading3"/>
      </w:pPr>
      <w:bookmarkStart w:id="9787" w:name="_Toc8483"/>
      <w:r>
        <w:t>7380- دیوان ناجی أندجانی‏</w:t>
      </w:r>
      <w:bookmarkEnd w:id="9787"/>
    </w:p>
    <w:p>
      <w:pPr>
        <w:pStyle w:val="BookText"/>
      </w:pPr>
      <w:r>
        <w:rPr>
          <w:rFonts w:ascii="IRNazanin" w:hAnsi="IRNazanin" w:eastAsia="IRNazanin" w:cs="IRNazanin"/>
          <w:lang w:bidi="fa-IR"/>
          <w:color w:val="111111"/>
          <w:sz w:val="28"/>
          <w:szCs w:val="28"/>
          <w:rtl/>
        </w:rPr>
        <w:t xml:space="preserve">و اسمه محمد حسین بن محمد زمان. أصله من اندجان، ولد بشاه جهان‏آباد و نشا بها و مهر فی الخط النستعلیق و الشعر و توفی فی 1126 کان من حکام فرخ سیر و أخوه إسماعیل غافل مازندرانی مر فی ص 784 ترجمه فی (نتایج- ص 724) و (حسینی- ص 356) و (مقالات الشعراء- ص 794) و (سرخوش-
</w:t>
      </w:r>
    </w:p>
    <w:p>
      <w:pPr>
        <w:sectPr>
          <w:footerReference w:type="default" r:id="rId1154"/>
          <w:footnotePr>
            <w:numStart w:val="1"/>
            <w:numRestart w:val="eachPage"/>
          </w:footnotePr>
          <w:pgSz w:orient="portrait" w:w="11905.511811023622" w:h="16837.79527559055"/>
          <w:pgMar w:top="1440" w:right="1440" w:bottom="1440" w:left="1440" w:header="720" w:footer="720" w:gutter="0"/>
          <w:cols w:num="1" w:space="720"/>
        </w:sectPr>
      </w:pPr>
    </w:p>
    <w:bookmarkStart w:id="1132" w:name="pg11704_122622"/>
    <w:bookmarkEnd w:id="1132"/>
    <w:p>
      <w:pPr>
        <w:pStyle w:val="BookText"/>
      </w:pPr>
      <w:r>
        <w:rPr>
          <w:rFonts w:ascii="IRNazanin" w:hAnsi="IRNazanin" w:eastAsia="IRNazanin" w:cs="IRNazanin"/>
          <w:lang w:bidi="fa-IR"/>
          <w:color w:val="111111"/>
          <w:sz w:val="28"/>
          <w:szCs w:val="28"/>
          <w:rtl/>
        </w:rPr>
        <w:t xml:space="preserve">ص 115) و (روشن- ص 669).</w:t>
      </w:r>
    </w:p>
    <w:p>
      <w:pPr>
        <w:pStyle w:val="Heading3"/>
      </w:pPr>
      <w:bookmarkStart w:id="9788" w:name="_Toc8484"/>
      <w:r>
        <w:t>7381- دیوان ناجی أردوبادی‏</w:t>
      </w:r>
      <w:bookmarkEnd w:id="9788"/>
    </w:p>
    <w:p>
      <w:pPr>
        <w:pStyle w:val="BookText"/>
      </w:pPr>
      <w:r>
        <w:rPr>
          <w:rFonts w:ascii="IRNazanin" w:hAnsi="IRNazanin" w:eastAsia="IRNazanin" w:cs="IRNazanin"/>
          <w:lang w:bidi="fa-IR"/>
          <w:color w:val="111111"/>
          <w:sz w:val="28"/>
          <w:szCs w:val="28"/>
          <w:rtl/>
        </w:rPr>
        <w:t xml:space="preserve">ترجمه فی (دجا- ص 369) نقلا عن مجمع الخواص لصادقی المؤلف 1016 و ذکر أنه من مشاهیر الشعراء فی تبریز و سافر إلی الهند و بها توفی و أورد من شعره مطلع جوابه لقصیدة شتر حجره المعروفة من إنشاء الکاتبی و أضاف ناجی إلیها لفظ پشه. قال و قد أجاب عن تلک القصیدة مولانا الجامی و الواصفی و زاد الواصفی فی کل بیت العناصر الأربعة. أقول لیس فی المطبوع من مجمع الخواص ص 214 الا نامی بالمیم و ذکر مطلع قصیدة شتر حجره پشه بزیادة پشه:</w:t>
      </w:r>
    </w:p>
    <w:p>
      <w:pPr>
        <w:pStyle w:val="BookText"/>
      </w:pPr>
      <w:r>
        <w:rPr>
          <w:rFonts w:ascii="IRNazanin" w:hAnsi="IRNazanin" w:eastAsia="IRNazanin" w:cs="IRNazanin"/>
          <w:lang w:bidi="fa-IR"/>
          <w:color w:val="111111"/>
          <w:sz w:val="28"/>
          <w:szCs w:val="28"/>
          <w:rtl/>
        </w:rPr>
        <w:t xml:space="preserve">بس است پشه فکرم شتر بحجره تن‏</w:t>
      </w:r>
    </w:p>
    <w:p>
      <w:pPr>
        <w:pStyle w:val="BookText"/>
      </w:pPr>
      <w:r>
        <w:rPr>
          <w:rFonts w:ascii="IRNazanin" w:hAnsi="IRNazanin" w:eastAsia="IRNazanin" w:cs="IRNazanin"/>
          <w:lang w:bidi="fa-IR"/>
          <w:color w:val="111111"/>
          <w:sz w:val="28"/>
          <w:szCs w:val="28"/>
          <w:rtl/>
        </w:rPr>
        <w:t xml:space="preserve">که پشه کار شتر می‏کند بحجره من‏</w:t>
      </w:r>
    </w:p>
    <w:p>
      <w:pPr>
        <w:pStyle w:val="Heading3"/>
      </w:pPr>
      <w:bookmarkStart w:id="9789" w:name="_Toc8485"/>
      <w:r>
        <w:t>7382- دیوان ناجی تبریزی‏</w:t>
      </w:r>
      <w:bookmarkEnd w:id="9789"/>
    </w:p>
    <w:p>
      <w:pPr>
        <w:pStyle w:val="BookText"/>
      </w:pPr>
      <w:r>
        <w:rPr>
          <w:rFonts w:ascii="IRNazanin" w:hAnsi="IRNazanin" w:eastAsia="IRNazanin" w:cs="IRNazanin"/>
          <w:lang w:bidi="fa-IR"/>
          <w:color w:val="111111"/>
          <w:sz w:val="28"/>
          <w:szCs w:val="28"/>
          <w:rtl/>
        </w:rPr>
        <w:t xml:space="preserve">ترجمه معاصره النصرآبادی فی (نر 9- ص 363) و ذکر أنه یعیش بزی الفقر و الفناء و أورد رباعیتین له و بعض شعره. و ترجمه فی (دجا- ص 367) نقلا عن النصرآبادی و لم ینقل له الا شعرا واحدا.</w:t>
      </w:r>
    </w:p>
    <w:p>
      <w:pPr>
        <w:pStyle w:val="Heading3"/>
      </w:pPr>
      <w:bookmarkStart w:id="9790" w:name="_Toc8486"/>
      <w:r>
        <w:t>7383- دیوان ناجی تبریزی‏</w:t>
      </w:r>
      <w:bookmarkEnd w:id="9790"/>
    </w:p>
    <w:p>
      <w:pPr>
        <w:pStyle w:val="BookText"/>
      </w:pPr>
      <w:r>
        <w:rPr>
          <w:rFonts w:ascii="IRNazanin" w:hAnsi="IRNazanin" w:eastAsia="IRNazanin" w:cs="IRNazanin"/>
          <w:lang w:bidi="fa-IR"/>
          <w:color w:val="111111"/>
          <w:sz w:val="28"/>
          <w:szCs w:val="28"/>
          <w:rtl/>
        </w:rPr>
        <w:t xml:space="preserve">و اسمه عبد المجید بن راجی التبریزی المذکور فی ص 345. ذکر فی (نر 9- ص 363) و (دجا- ص 367).</w:t>
      </w:r>
    </w:p>
    <w:p>
      <w:pPr>
        <w:pStyle w:val="Heading3"/>
      </w:pPr>
      <w:bookmarkStart w:id="9791" w:name="_Toc8487"/>
      <w:r>
        <w:t>7384- دیوان ناجی خوانساری‏</w:t>
      </w:r>
      <w:bookmarkEnd w:id="9791"/>
    </w:p>
    <w:p>
      <w:pPr>
        <w:pStyle w:val="BookText"/>
      </w:pPr>
      <w:r>
        <w:rPr>
          <w:rFonts w:ascii="IRNazanin" w:hAnsi="IRNazanin" w:eastAsia="IRNazanin" w:cs="IRNazanin"/>
          <w:lang w:bidi="fa-IR"/>
          <w:color w:val="111111"/>
          <w:sz w:val="28"/>
          <w:szCs w:val="28"/>
          <w:rtl/>
        </w:rPr>
        <w:t xml:space="preserve">و اسمه ملا حسن الواعظ الکاشانی. ترجم فی هفت إقلیم فی باب خوانسار و فی (گلشن- ص 488).</w:t>
      </w:r>
    </w:p>
    <w:p>
      <w:pPr>
        <w:pStyle w:val="Heading3"/>
      </w:pPr>
      <w:bookmarkStart w:id="9792" w:name="_Toc8488"/>
      <w:r>
        <w:t>7385- دیوان ناجی شوشتری‏</w:t>
      </w:r>
      <w:bookmarkEnd w:id="9792"/>
    </w:p>
    <w:p>
      <w:pPr>
        <w:pStyle w:val="BookText"/>
      </w:pPr>
      <w:r>
        <w:rPr>
          <w:rFonts w:ascii="IRNazanin" w:hAnsi="IRNazanin" w:eastAsia="IRNazanin" w:cs="IRNazanin"/>
          <w:lang w:bidi="fa-IR"/>
          <w:color w:val="111111"/>
          <w:sz w:val="28"/>
          <w:szCs w:val="28"/>
          <w:rtl/>
        </w:rPr>
        <w:t xml:space="preserve">للحاج علی رضا بن الحاج محمد طاهر التاجر نزیل بمبئی المتوفی نائما فجأة فی 10 رجب 1282 عن خمسة و ستین سنة. و رثاه تلمیذه عبد الوهاب تائب و حمل جنازته إلی النجف و دفن فی باب الطوسی. ترجمه ولد محمد علی الحزین فی تحفه الأحباب و عنه حفیده عباس بن الحزین فی مقدمه ناله حزین و مر دیوان ابنته شاکرة الهندیة فی ص 493.</w:t>
      </w:r>
    </w:p>
    <w:p>
      <w:pPr>
        <w:pStyle w:val="Heading3"/>
      </w:pPr>
      <w:bookmarkStart w:id="9793" w:name="_Toc8489"/>
      <w:r>
        <w:t>دیوان ناجی شیرازی‏</w:t>
      </w:r>
      <w:bookmarkEnd w:id="9793"/>
    </w:p>
    <w:p>
      <w:pPr>
        <w:pStyle w:val="BookText"/>
      </w:pPr>
      <w:r>
        <w:rPr>
          <w:rFonts w:ascii="IRNazanin" w:hAnsi="IRNazanin" w:eastAsia="IRNazanin" w:cs="IRNazanin"/>
          <w:lang w:bidi="fa-IR"/>
          <w:color w:val="111111"/>
          <w:sz w:val="28"/>
          <w:szCs w:val="28"/>
          <w:rtl/>
        </w:rPr>
        <w:t xml:space="preserve">ورد شعره فی (خوش‏گو) و لعله ناخدای شیرازی.</w:t>
      </w:r>
    </w:p>
    <w:p>
      <w:pPr>
        <w:pStyle w:val="Heading3"/>
      </w:pPr>
      <w:bookmarkStart w:id="9794" w:name="_Toc8490"/>
      <w:r>
        <w:t>7386- دیوان ناجی قزوینی‏</w:t>
      </w:r>
      <w:bookmarkEnd w:id="9794"/>
    </w:p>
    <w:p>
      <w:pPr>
        <w:pStyle w:val="BookText"/>
      </w:pPr>
      <w:r>
        <w:rPr>
          <w:rFonts w:ascii="IRNazanin" w:hAnsi="IRNazanin" w:eastAsia="IRNazanin" w:cs="IRNazanin"/>
          <w:lang w:bidi="fa-IR"/>
          <w:color w:val="111111"/>
          <w:sz w:val="28"/>
          <w:szCs w:val="28"/>
          <w:rtl/>
        </w:rPr>
        <w:t xml:space="preserve">و اسمه باقر التاجر. طبع تحت عنوان مجموعة أشعار بطهران فی 1322 علی الحجر. و یوجد نسخه کتبها أحمد به‏نیا فی 1358 عند (فخر الدین- 58).</w:t>
      </w:r>
    </w:p>
    <w:p>
      <w:pPr>
        <w:pStyle w:val="Heading3"/>
      </w:pPr>
      <w:bookmarkStart w:id="9795" w:name="_Toc8491"/>
      <w:r>
        <w:t>دیوان ناجی کاشی‏</w:t>
      </w:r>
      <w:bookmarkEnd w:id="9795"/>
    </w:p>
    <w:p>
      <w:pPr>
        <w:pStyle w:val="BookText"/>
      </w:pPr>
      <w:r>
        <w:rPr>
          <w:rFonts w:ascii="IRNazanin" w:hAnsi="IRNazanin" w:eastAsia="IRNazanin" w:cs="IRNazanin"/>
          <w:lang w:bidi="fa-IR"/>
          <w:color w:val="111111"/>
          <w:sz w:val="28"/>
          <w:szCs w:val="28"/>
          <w:rtl/>
        </w:rPr>
        <w:t xml:space="preserve">راجع ناجی خوانساری.
</w:t>
      </w:r>
    </w:p>
    <w:p>
      <w:pPr>
        <w:sectPr>
          <w:footerReference w:type="default" r:id="rId1155"/>
          <w:footnotePr>
            <w:numStart w:val="1"/>
            <w:numRestart w:val="eachPage"/>
          </w:footnotePr>
          <w:pgSz w:orient="portrait" w:w="11905.511811023622" w:h="16837.79527559055"/>
          <w:pgMar w:top="1440" w:right="1440" w:bottom="1440" w:left="1440" w:header="720" w:footer="720" w:gutter="0"/>
          <w:cols w:num="1" w:space="720"/>
        </w:sectPr>
      </w:pPr>
    </w:p>
    <w:bookmarkStart w:id="1133" w:name="pg11704_122623"/>
    <w:bookmarkEnd w:id="1133"/>
    <w:p>
      <w:pPr>
        <w:pStyle w:val="Heading3"/>
      </w:pPr>
      <w:bookmarkStart w:id="9796" w:name="_Toc8492"/>
      <w:r>
        <w:t>7387- دیوان ناجی لاهیجی‏</w:t>
      </w:r>
      <w:bookmarkEnd w:id="9796"/>
    </w:p>
    <w:p>
      <w:pPr>
        <w:pStyle w:val="BookText"/>
      </w:pPr>
      <w:r>
        <w:rPr>
          <w:rFonts w:ascii="IRNazanin" w:hAnsi="IRNazanin" w:eastAsia="IRNazanin" w:cs="IRNazanin"/>
          <w:lang w:bidi="fa-IR"/>
          <w:color w:val="111111"/>
          <w:sz w:val="28"/>
          <w:szCs w:val="28"/>
          <w:rtl/>
        </w:rPr>
        <w:t xml:space="preserve">ترجمه معاصره فی (نر 9- ص 380) و ذکر أنه مع فقره لم یتکسب بشعره فقد مدح المیرزا هاشم حاکم لاهیجان بقصیدة فأرسل هو إلیه اثنی عشر ألف دینارا فامتنع من قبول الصلة، و قد کتب طومارا من شعره و أرسله إلی، لکن الرسول أعطاه لغیری و لم یصلنی الا غزلا واحدا ذکره بتمامه.</w:t>
      </w:r>
    </w:p>
    <w:p>
      <w:pPr>
        <w:pStyle w:val="Heading3"/>
      </w:pPr>
      <w:bookmarkStart w:id="9797" w:name="_Toc8493"/>
      <w:r>
        <w:t>7388- دیوان ناجی مشهدی أو شعره‏</w:t>
      </w:r>
      <w:bookmarkEnd w:id="9797"/>
    </w:p>
    <w:p>
      <w:pPr>
        <w:pStyle w:val="BookText"/>
      </w:pPr>
      <w:r>
        <w:rPr>
          <w:rFonts w:ascii="IRNazanin" w:hAnsi="IRNazanin" w:eastAsia="IRNazanin" w:cs="IRNazanin"/>
          <w:lang w:bidi="fa-IR"/>
          <w:color w:val="111111"/>
          <w:sz w:val="28"/>
          <w:szCs w:val="28"/>
          <w:rtl/>
        </w:rPr>
        <w:t xml:space="preserve">و اسمه شاه قاسم سافر إلی دکن و شاه جهان‏آباد و مات بأکبرآباد. ورد شعره فی (گلشن- ص 488) و عنه فی القاموس الترکی.</w:t>
      </w:r>
    </w:p>
    <w:p>
      <w:pPr>
        <w:pStyle w:val="Heading3"/>
      </w:pPr>
      <w:bookmarkStart w:id="9798" w:name="_Toc8494"/>
      <w:r>
        <w:t>7389- دیوان ناخدای شیرازی‏</w:t>
      </w:r>
      <w:bookmarkEnd w:id="9798"/>
    </w:p>
    <w:p>
      <w:pPr>
        <w:pStyle w:val="BookText"/>
      </w:pPr>
      <w:r>
        <w:rPr>
          <w:rFonts w:ascii="IRNazanin" w:hAnsi="IRNazanin" w:eastAsia="IRNazanin" w:cs="IRNazanin"/>
          <w:lang w:bidi="fa-IR"/>
          <w:color w:val="111111"/>
          <w:sz w:val="28"/>
          <w:szCs w:val="28"/>
          <w:rtl/>
        </w:rPr>
        <w:t xml:space="preserve">و اسمه محمد حسین الشیرازی کان فی أواخر القرن الثالث عشر و أوائل الرابع عشر و دیوانه فی خمسین ألف بیت کما فی (گلشن- ص 488) و لعله هو المذکور فی (خوش‏گو) بعنوان ناجی شیرازی. و قد طبع لناخدا هذا منظومة أنیس العارفین بلکهنو فی 1295 علی الحجر.</w:t>
      </w:r>
    </w:p>
    <w:p>
      <w:pPr>
        <w:pStyle w:val="Heading3"/>
      </w:pPr>
      <w:bookmarkStart w:id="9799" w:name="_Toc8495"/>
      <w:r>
        <w:t>7390- دیوان ناخدای یزدی‏</w:t>
      </w:r>
      <w:bookmarkEnd w:id="9799"/>
    </w:p>
    <w:p>
      <w:pPr>
        <w:pStyle w:val="BookText"/>
      </w:pPr>
      <w:r>
        <w:rPr>
          <w:rFonts w:ascii="IRNazanin" w:hAnsi="IRNazanin" w:eastAsia="IRNazanin" w:cs="IRNazanin"/>
          <w:lang w:bidi="fa-IR"/>
          <w:color w:val="111111"/>
          <w:sz w:val="28"/>
          <w:szCs w:val="28"/>
          <w:rtl/>
        </w:rPr>
        <w:t xml:space="preserve">و اسمه أحمد کان تاجرا فانکسر و ذهب إلی بندر سورت فی الهند و بعد مدة ذهب إلی حج البیت و توفی 6 ذی الحجة 1083 ترجمه آیتی فی (تش یز- ص 334) و أورد رباعیه و کذا فی ریحانة الأدب.</w:t>
      </w:r>
    </w:p>
    <w:p>
      <w:pPr>
        <w:pStyle w:val="Heading3"/>
      </w:pPr>
      <w:bookmarkStart w:id="9800" w:name="_Toc8496"/>
      <w:r>
        <w:t>7391- دیوان نادب‏</w:t>
      </w:r>
      <w:bookmarkEnd w:id="9800"/>
    </w:p>
    <w:p>
      <w:pPr>
        <w:pStyle w:val="BookText"/>
      </w:pPr>
      <w:r>
        <w:rPr>
          <w:rFonts w:ascii="IRNazanin" w:hAnsi="IRNazanin" w:eastAsia="IRNazanin" w:cs="IRNazanin"/>
          <w:lang w:bidi="fa-IR"/>
          <w:color w:val="111111"/>
          <w:sz w:val="28"/>
          <w:szCs w:val="28"/>
          <w:rtl/>
        </w:rPr>
        <w:t xml:space="preserve">فارسی فی المراثی للشیخ غلام رضا بن ماندة علی النجف‏آبادی الأصفهانی الحائری القاری الکاتب المتخلص بنادب المولود 1295 فیه مراثی جمیع المعصومین.</w:t>
      </w:r>
    </w:p>
    <w:p>
      <w:pPr>
        <w:pStyle w:val="Heading3"/>
      </w:pPr>
      <w:bookmarkStart w:id="9801" w:name="_Toc8497"/>
      <w:r>
        <w:t>دیوان نادر أصفهانی‏</w:t>
      </w:r>
      <w:bookmarkEnd w:id="9801"/>
    </w:p>
    <w:p>
      <w:pPr>
        <w:pStyle w:val="BookText"/>
      </w:pPr>
      <w:r>
        <w:rPr>
          <w:rFonts w:ascii="IRNazanin" w:hAnsi="IRNazanin" w:eastAsia="IRNazanin" w:cs="IRNazanin"/>
          <w:lang w:bidi="fa-IR"/>
          <w:color w:val="111111"/>
          <w:sz w:val="28"/>
          <w:szCs w:val="28"/>
          <w:rtl/>
        </w:rPr>
        <w:t xml:space="preserve">راجع نادر تبریزی.</w:t>
      </w:r>
    </w:p>
    <w:p>
      <w:pPr>
        <w:pStyle w:val="Heading3"/>
      </w:pPr>
      <w:bookmarkStart w:id="9802" w:name="_Toc8498"/>
      <w:r>
        <w:t>7392- دیوان نادرپور</w:t>
      </w:r>
      <w:bookmarkEnd w:id="9802"/>
    </w:p>
    <w:p>
      <w:pPr>
        <w:pStyle w:val="BookText"/>
      </w:pPr>
      <w:r>
        <w:rPr>
          <w:rFonts w:ascii="IRNazanin" w:hAnsi="IRNazanin" w:eastAsia="IRNazanin" w:cs="IRNazanin"/>
          <w:lang w:bidi="fa-IR"/>
          <w:color w:val="111111"/>
          <w:sz w:val="28"/>
          <w:szCs w:val="28"/>
          <w:rtl/>
        </w:rPr>
        <w:t xml:space="preserve">و اسمه نادر أیضا. ولد بطهران فی 1348 و طبع له عدة منظومات منها چشمها و دستها فی 123 ص. و دختر جام و شعر انگور و اشعار برگزیده فی 225 ص. ترجم فی (سخنوران نامی- 3: 283) و مجلة پیام نوین 2: 8: 25</w:t>
      </w:r>
    </w:p>
    <w:p>
      <w:pPr>
        <w:pStyle w:val="Heading3"/>
      </w:pPr>
      <w:bookmarkStart w:id="9803" w:name="_Toc8499"/>
      <w:r>
        <w:t>7393- دیوان نادر تبریزی‏</w:t>
      </w:r>
      <w:bookmarkEnd w:id="9803"/>
    </w:p>
    <w:p>
      <w:pPr>
        <w:pStyle w:val="BookText"/>
      </w:pPr>
      <w:r>
        <w:rPr>
          <w:rFonts w:ascii="IRNazanin" w:hAnsi="IRNazanin" w:eastAsia="IRNazanin" w:cs="IRNazanin"/>
          <w:lang w:bidi="fa-IR"/>
          <w:color w:val="111111"/>
          <w:sz w:val="28"/>
          <w:szCs w:val="28"/>
          <w:rtl/>
        </w:rPr>
        <w:t xml:space="preserve">من تبارزه عباس‏آباد بأصفهان قال النصرآبادی فی (نر 9- ص 393) إن اسمه کلب علی و لعل أصله من أصفهان و هو صانع و نقاش و أورد شعره و ثلاث رباعیات له. و ترجمه فی (دجا- ص 368) نقلا عن النصرآبادی مع رباعیة واحدة و فی (گلشن- ص 489) سماه نادر أصفهانی و کذا فی همیشه بهار.</w:t>
      </w:r>
    </w:p>
    <w:p>
      <w:pPr>
        <w:pStyle w:val="Heading3"/>
      </w:pPr>
      <w:bookmarkStart w:id="9804" w:name="_Toc8500"/>
      <w:r>
        <w:t>7394- دیوان نادر دامغانی أو شعره‏</w:t>
      </w:r>
      <w:bookmarkEnd w:id="9804"/>
    </w:p>
    <w:p>
      <w:pPr>
        <w:pStyle w:val="BookText"/>
      </w:pPr>
      <w:r>
        <w:rPr>
          <w:rFonts w:ascii="IRNazanin" w:hAnsi="IRNazanin" w:eastAsia="IRNazanin" w:cs="IRNazanin"/>
          <w:lang w:bidi="fa-IR"/>
          <w:color w:val="111111"/>
          <w:sz w:val="28"/>
          <w:szCs w:val="28"/>
          <w:rtl/>
        </w:rPr>
        <w:t xml:space="preserve">ترجم و ورد شعره فی (گلشن- ص 489).
</w:t>
      </w:r>
    </w:p>
    <w:p>
      <w:pPr>
        <w:sectPr>
          <w:footerReference w:type="default" r:id="rId1156"/>
          <w:footnotePr>
            <w:numStart w:val="1"/>
            <w:numRestart w:val="eachPage"/>
          </w:footnotePr>
          <w:pgSz w:orient="portrait" w:w="11905.511811023622" w:h="16837.79527559055"/>
          <w:pgMar w:top="1440" w:right="1440" w:bottom="1440" w:left="1440" w:header="720" w:footer="720" w:gutter="0"/>
          <w:cols w:num="1" w:space="720"/>
        </w:sectPr>
      </w:pPr>
    </w:p>
    <w:bookmarkStart w:id="1134" w:name="pg11704_122624"/>
    <w:bookmarkEnd w:id="1134"/>
    <w:p>
      <w:pPr>
        <w:pStyle w:val="Heading3"/>
      </w:pPr>
      <w:bookmarkStart w:id="9805" w:name="_Toc8501"/>
      <w:r>
        <w:t>7395- دیوان نادر شیرازی أو شعره‏</w:t>
      </w:r>
      <w:bookmarkEnd w:id="9805"/>
    </w:p>
    <w:p>
      <w:pPr>
        <w:pStyle w:val="BookText"/>
      </w:pPr>
      <w:r>
        <w:rPr>
          <w:rFonts w:ascii="IRNazanin" w:hAnsi="IRNazanin" w:eastAsia="IRNazanin" w:cs="IRNazanin"/>
          <w:lang w:bidi="fa-IR"/>
          <w:color w:val="111111"/>
          <w:sz w:val="28"/>
          <w:szCs w:val="28"/>
          <w:rtl/>
        </w:rPr>
        <w:t xml:space="preserve">ترجمه النصرآبادی فی (نر 9- ص 350) و قال کان أولا یتصوف، ثم تغییر و خدم الوزراء ثم أورد شعره. و کذا فی (گلشن- ص 489) و (خوش‏گو).</w:t>
      </w:r>
    </w:p>
    <w:p>
      <w:pPr>
        <w:pStyle w:val="Heading3"/>
      </w:pPr>
      <w:bookmarkStart w:id="9806" w:name="_Toc8502"/>
      <w:r>
        <w:t>7396- دیوان نادر علی شاه‏</w:t>
      </w:r>
      <w:bookmarkEnd w:id="9806"/>
    </w:p>
    <w:p>
      <w:pPr>
        <w:pStyle w:val="BookText"/>
      </w:pPr>
      <w:r>
        <w:rPr>
          <w:rFonts w:ascii="IRNazanin" w:hAnsi="IRNazanin" w:eastAsia="IRNazanin" w:cs="IRNazanin"/>
          <w:lang w:bidi="fa-IR"/>
          <w:color w:val="111111"/>
          <w:sz w:val="28"/>
          <w:szCs w:val="28"/>
          <w:rtl/>
        </w:rPr>
        <w:t xml:space="preserve">یوجد بهذا العنوان عند (الملک) بطهران. و طبع دیوان نادر علی المتخلص رعد کما ذکر فی ص 375.</w:t>
      </w:r>
    </w:p>
    <w:p>
      <w:pPr>
        <w:pStyle w:val="Heading3"/>
      </w:pPr>
      <w:bookmarkStart w:id="9807" w:name="_Toc8503"/>
      <w:r>
        <w:t>7397- دیوان نادر قاجار</w:t>
      </w:r>
      <w:bookmarkEnd w:id="9807"/>
    </w:p>
    <w:p>
      <w:pPr>
        <w:pStyle w:val="BookText"/>
      </w:pPr>
      <w:r>
        <w:rPr>
          <w:rFonts w:ascii="IRNazanin" w:hAnsi="IRNazanin" w:eastAsia="IRNazanin" w:cs="IRNazanin"/>
          <w:lang w:bidi="fa-IR"/>
          <w:color w:val="111111"/>
          <w:sz w:val="28"/>
          <w:szCs w:val="28"/>
          <w:rtl/>
        </w:rPr>
        <w:t xml:space="preserve">ترجمه فی (دجا- ص 367) و ذکر أنه أبو محمد نادر میرزا بن بدیع الزمان بن محمد قلی بن السلطان فتح علی شاه القاجار. و ذکر فضله و کماله و أورد عین عبارات المآثر و الآثار المؤلف فی 1306 المذکورة فی ص 197 فی مدح کتاب طباخی له و الدعاء بإطعام الله له فی الجنة الصریح فی موته فی التاریخ و ذکر سائر تصانیفه 1- نوادر نادری 2- لغات تشریح أعضاء إنسان 3- تاریخ تبریز بالفارسیة الخالصة. أقول طبع الأخیر بعنوان جغرافیای مظفری کما مر فی ج 5 ص 116 و بدأ فی أوله بخمسة أبیات أشار فی أولها بأنه فارسی خالص و فی ثانیها صرح بأن عمره عند التألیف 1302 اثنان و ستون عاما فتکون ولادته حدود 1240 و أشار فی الدیباجة إلی نکبته فی 1299 کما صرح بتفصیل النکبة فی ص 76 ثم أورد قصیدته فی مدح السلطان ناصر الدین شاه و ولی عهده مظفر الدین فی نیف و خمسین بیتا و وفاته کانت قبل موت فرهاد میرزا 1305 کما یظهر من آخر ترجمته فی ص 76.</w:t>
      </w:r>
    </w:p>
    <w:p>
      <w:pPr>
        <w:pStyle w:val="Heading3"/>
      </w:pPr>
      <w:bookmarkStart w:id="9808" w:name="_Toc8504"/>
      <w:r>
        <w:t>7398- دیوان نادر مازندرانی‏</w:t>
      </w:r>
      <w:bookmarkEnd w:id="9808"/>
    </w:p>
    <w:p>
      <w:pPr>
        <w:pStyle w:val="BookText"/>
      </w:pPr>
      <w:r>
        <w:rPr>
          <w:rFonts w:ascii="IRNazanin" w:hAnsi="IRNazanin" w:eastAsia="IRNazanin" w:cs="IRNazanin"/>
          <w:lang w:bidi="fa-IR"/>
          <w:color w:val="111111"/>
          <w:sz w:val="28"/>
          <w:szCs w:val="28"/>
          <w:rtl/>
        </w:rPr>
        <w:t xml:space="preserve">اسمه المیرزا أسد الله بن عبد الغفار من أجلاء العلماء المعاصرین لهدایت. ترجمه فی (مع- 2 ص 499) و ذکر أن أصله من بعض القری من نواحی أشرف البلاد فی مازندران و إنه أدرک صحبته کرارا و أورد نیفا و ثلاثین بیتا من مثنویة و أورد منه أیضا فی (ص 548). ذکرنا له عبرة الناظرین فی 15: 213.</w:t>
      </w:r>
    </w:p>
    <w:p>
      <w:pPr>
        <w:pStyle w:val="Heading3"/>
      </w:pPr>
      <w:bookmarkStart w:id="9809" w:name="_Toc8505"/>
      <w:r>
        <w:t>7399- دیوان نادری‏</w:t>
      </w:r>
      <w:bookmarkEnd w:id="9809"/>
    </w:p>
    <w:p>
      <w:pPr>
        <w:pStyle w:val="BookText"/>
      </w:pPr>
      <w:r>
        <w:rPr>
          <w:rFonts w:ascii="IRNazanin" w:hAnsi="IRNazanin" w:eastAsia="IRNazanin" w:cs="IRNazanin"/>
          <w:lang w:bidi="fa-IR"/>
          <w:color w:val="111111"/>
          <w:sz w:val="28"/>
          <w:szCs w:val="28"/>
          <w:rtl/>
        </w:rPr>
        <w:t xml:space="preserve">و اسمه محمد تقی. قصائد و قطعات و غزلیات و مواد تاریخیة تاریخها 1249 إلی 1281 و النسخة رأیته فی طهران.</w:t>
      </w:r>
    </w:p>
    <w:p>
      <w:pPr>
        <w:pStyle w:val="Heading3"/>
      </w:pPr>
      <w:bookmarkStart w:id="9810" w:name="_Toc8506"/>
      <w:r>
        <w:t>7400- دیوان نادری‏</w:t>
      </w:r>
      <w:bookmarkEnd w:id="9810"/>
    </w:p>
    <w:p>
      <w:pPr>
        <w:pStyle w:val="BookText"/>
      </w:pPr>
      <w:r>
        <w:rPr>
          <w:rFonts w:ascii="IRNazanin" w:hAnsi="IRNazanin" w:eastAsia="IRNazanin" w:cs="IRNazanin"/>
          <w:lang w:bidi="fa-IR"/>
          <w:color w:val="111111"/>
          <w:sz w:val="28"/>
          <w:szCs w:val="28"/>
          <w:rtl/>
        </w:rPr>
        <w:t xml:space="preserve">یوجد بعنوان کلیات نادری فی مکتبة السلطان عثمان الثالث کما فی فهرسها و ورد شعره فی (مسرت: 490).</w:t>
      </w:r>
    </w:p>
    <w:p>
      <w:pPr>
        <w:pStyle w:val="Heading3"/>
      </w:pPr>
      <w:bookmarkStart w:id="9811" w:name="_Toc8507"/>
      <w:r>
        <w:t>7401- دیوان نادری أفشار</w:t>
      </w:r>
      <w:bookmarkEnd w:id="9811"/>
    </w:p>
    <w:p>
      <w:pPr>
        <w:pStyle w:val="BookText"/>
      </w:pPr>
      <w:r>
        <w:rPr>
          <w:rFonts w:ascii="IRNazanin" w:hAnsi="IRNazanin" w:eastAsia="IRNazanin" w:cs="IRNazanin"/>
          <w:lang w:bidi="fa-IR"/>
          <w:color w:val="111111"/>
          <w:sz w:val="28"/>
          <w:szCs w:val="28"/>
          <w:rtl/>
        </w:rPr>
        <w:t xml:space="preserve">ترجمه ایزد گشسب و أورد شعره فی نامه سخنوران-
</w:t>
      </w:r>
    </w:p>
    <w:p>
      <w:pPr>
        <w:sectPr>
          <w:footerReference w:type="default" r:id="rId1157"/>
          <w:footnotePr>
            <w:numStart w:val="1"/>
            <w:numRestart w:val="eachPage"/>
          </w:footnotePr>
          <w:pgSz w:orient="portrait" w:w="11905.511811023622" w:h="16837.79527559055"/>
          <w:pgMar w:top="1440" w:right="1440" w:bottom="1440" w:left="1440" w:header="720" w:footer="720" w:gutter="0"/>
          <w:cols w:num="1" w:space="720"/>
        </w:sectPr>
      </w:pPr>
    </w:p>
    <w:bookmarkStart w:id="1135" w:name="pg11704_122625"/>
    <w:bookmarkEnd w:id="1135"/>
    <w:p>
      <w:pPr>
        <w:pStyle w:val="BookText"/>
      </w:pPr>
      <w:r>
        <w:rPr>
          <w:rFonts w:ascii="IRNazanin" w:hAnsi="IRNazanin" w:eastAsia="IRNazanin" w:cs="IRNazanin"/>
          <w:lang w:bidi="fa-IR"/>
          <w:color w:val="111111"/>
          <w:sz w:val="28"/>
          <w:szCs w:val="28"/>
          <w:rtl/>
        </w:rPr>
        <w:t xml:space="preserve">ص 137).</w:t>
      </w:r>
    </w:p>
    <w:p>
      <w:pPr>
        <w:pStyle w:val="Heading3"/>
      </w:pPr>
      <w:bookmarkStart w:id="9812" w:name="_Toc8508"/>
      <w:r>
        <w:t>7402- دیوان نادری بخارائی أو شعره‏</w:t>
      </w:r>
      <w:bookmarkEnd w:id="9812"/>
    </w:p>
    <w:p>
      <w:pPr>
        <w:pStyle w:val="BookText"/>
      </w:pPr>
      <w:r>
        <w:rPr>
          <w:rFonts w:ascii="IRNazanin" w:hAnsi="IRNazanin" w:eastAsia="IRNazanin" w:cs="IRNazanin"/>
          <w:lang w:bidi="fa-IR"/>
          <w:color w:val="111111"/>
          <w:sz w:val="28"/>
          <w:szCs w:val="28"/>
          <w:rtl/>
        </w:rPr>
        <w:t xml:space="preserve">ترجم و ورد شعره فی (مجتس 6- ص 163).</w:t>
      </w:r>
    </w:p>
    <w:p>
      <w:pPr>
        <w:pStyle w:val="Heading3"/>
      </w:pPr>
      <w:bookmarkStart w:id="9813" w:name="_Toc8509"/>
      <w:r>
        <w:t>7403- دیوان نادری بغدادی أو شعره‏</w:t>
      </w:r>
      <w:bookmarkEnd w:id="9813"/>
    </w:p>
    <w:p>
      <w:pPr>
        <w:pStyle w:val="BookText"/>
      </w:pPr>
      <w:r>
        <w:rPr>
          <w:rFonts w:ascii="IRNazanin" w:hAnsi="IRNazanin" w:eastAsia="IRNazanin" w:cs="IRNazanin"/>
          <w:lang w:bidi="fa-IR"/>
          <w:color w:val="111111"/>
          <w:sz w:val="28"/>
          <w:szCs w:val="28"/>
          <w:rtl/>
        </w:rPr>
        <w:t xml:space="preserve">أصله من بغداد و سکن موصل. ترجمه عهدی بغدادی فی گلشن شعراء کما فی العراق بین الاحتلالین 4: 137.</w:t>
      </w:r>
    </w:p>
    <w:p>
      <w:pPr>
        <w:pStyle w:val="Heading3"/>
      </w:pPr>
      <w:bookmarkStart w:id="9814" w:name="_Toc8510"/>
      <w:r>
        <w:t>7404- دیوان نادری ترشیزی أو شعره‏</w:t>
      </w:r>
      <w:bookmarkEnd w:id="9814"/>
    </w:p>
    <w:p>
      <w:pPr>
        <w:pStyle w:val="BookText"/>
      </w:pPr>
      <w:r>
        <w:rPr>
          <w:rFonts w:ascii="IRNazanin" w:hAnsi="IRNazanin" w:eastAsia="IRNazanin" w:cs="IRNazanin"/>
          <w:lang w:bidi="fa-IR"/>
          <w:color w:val="111111"/>
          <w:sz w:val="28"/>
          <w:szCs w:val="28"/>
          <w:rtl/>
        </w:rPr>
        <w:t xml:space="preserve">ورد شعره فی هفت إقلیم.</w:t>
      </w:r>
    </w:p>
    <w:p>
      <w:pPr>
        <w:pStyle w:val="Heading3"/>
      </w:pPr>
      <w:bookmarkStart w:id="9815" w:name="_Toc8511"/>
      <w:r>
        <w:t>7405- دیوان نادری سمرقندی‏</w:t>
      </w:r>
      <w:bookmarkEnd w:id="9815"/>
    </w:p>
    <w:p>
      <w:pPr>
        <w:pStyle w:val="BookText"/>
      </w:pPr>
      <w:r>
        <w:rPr>
          <w:rFonts w:ascii="IRNazanin" w:hAnsi="IRNazanin" w:eastAsia="IRNazanin" w:cs="IRNazanin"/>
          <w:lang w:bidi="fa-IR"/>
          <w:color w:val="111111"/>
          <w:sz w:val="28"/>
          <w:szCs w:val="28"/>
          <w:rtl/>
        </w:rPr>
        <w:t xml:space="preserve">ترجمه معاصره فی (تس 5- ص 155) و أطری فضله علی حسن سلیم فی (گلشن- ص 490) و قال جاء إلی الهند فی عهد همایون و مات فی 966 و قال فکری فی رثائه و تاریخه:</w:t>
      </w:r>
    </w:p>
    <w:p>
      <w:pPr>
        <w:pStyle w:val="BookText"/>
      </w:pPr>
      <w:r>
        <w:rPr>
          <w:rFonts w:ascii="IRNazanin" w:hAnsi="IRNazanin" w:eastAsia="IRNazanin" w:cs="IRNazanin"/>
          <w:lang w:bidi="fa-IR"/>
          <w:color w:val="111111"/>
          <w:sz w:val="28"/>
          <w:szCs w:val="28"/>
          <w:rtl/>
        </w:rPr>
        <w:t xml:space="preserve">جستم برسم تعمیه تاریخ فوت أو</w:t>
      </w:r>
    </w:p>
    <w:p>
      <w:pPr>
        <w:pStyle w:val="BookText"/>
      </w:pPr>
      <w:r>
        <w:rPr>
          <w:rFonts w:ascii="IRNazanin" w:hAnsi="IRNazanin" w:eastAsia="IRNazanin" w:cs="IRNazanin"/>
          <w:lang w:bidi="fa-IR"/>
          <w:color w:val="111111"/>
          <w:sz w:val="28"/>
          <w:szCs w:val="28"/>
          <w:rtl/>
        </w:rPr>
        <w:t xml:space="preserve">گفتا خرد که رفت یکی از سخنوران‏</w:t>
      </w:r>
    </w:p>
    <w:p>
      <w:pPr>
        <w:pStyle w:val="BookText"/>
      </w:pPr>
      <w:r>
        <w:rPr>
          <w:rFonts w:ascii="IRNazanin" w:hAnsi="IRNazanin" w:eastAsia="IRNazanin" w:cs="IRNazanin"/>
          <w:lang w:bidi="fa-IR"/>
          <w:color w:val="111111"/>
          <w:sz w:val="28"/>
          <w:szCs w:val="28"/>
          <w:rtl/>
        </w:rPr>
        <w:t xml:space="preserve">أی نقص واحد عن [سخنوران 967].</w:t>
      </w:r>
    </w:p>
    <w:p>
      <w:pPr>
        <w:pStyle w:val="Heading3"/>
      </w:pPr>
      <w:bookmarkStart w:id="9816" w:name="_Toc8512"/>
      <w:r>
        <w:t>7406- دیوان نادری سیالکوتی أو شعره‏</w:t>
      </w:r>
      <w:bookmarkEnd w:id="9816"/>
    </w:p>
    <w:p>
      <w:pPr>
        <w:pStyle w:val="BookText"/>
      </w:pPr>
      <w:r>
        <w:rPr>
          <w:rFonts w:ascii="IRNazanin" w:hAnsi="IRNazanin" w:eastAsia="IRNazanin" w:cs="IRNazanin"/>
          <w:lang w:bidi="fa-IR"/>
          <w:color w:val="111111"/>
          <w:sz w:val="28"/>
          <w:szCs w:val="28"/>
          <w:rtl/>
        </w:rPr>
        <w:t xml:space="preserve">و هو من شعراء لاهور. ورد شعره فی (گلشن- ص 490) و عنه فی القاموس الترکی ثم الریحانة.</w:t>
      </w:r>
    </w:p>
    <w:p>
      <w:pPr>
        <w:pStyle w:val="Heading3"/>
      </w:pPr>
      <w:bookmarkStart w:id="9817" w:name="_Toc8513"/>
      <w:r>
        <w:t>7407- دیوان نادری شوشتری أو شعره‏</w:t>
      </w:r>
      <w:bookmarkEnd w:id="9817"/>
    </w:p>
    <w:p>
      <w:pPr>
        <w:pStyle w:val="BookText"/>
      </w:pPr>
      <w:r>
        <w:rPr>
          <w:rFonts w:ascii="IRNazanin" w:hAnsi="IRNazanin" w:eastAsia="IRNazanin" w:cs="IRNazanin"/>
          <w:lang w:bidi="fa-IR"/>
          <w:color w:val="111111"/>
          <w:sz w:val="28"/>
          <w:szCs w:val="28"/>
          <w:rtl/>
        </w:rPr>
        <w:t xml:space="preserve">ورد شعره فی (گلشن- ص 491) و عنه فی القاموس الترکی ثم الریحانة.</w:t>
      </w:r>
    </w:p>
    <w:p>
      <w:pPr>
        <w:pStyle w:val="Heading3"/>
      </w:pPr>
      <w:bookmarkStart w:id="9818" w:name="_Toc8514"/>
      <w:r>
        <w:t>7408- دیوان نادری کازرونی‏</w:t>
      </w:r>
      <w:bookmarkEnd w:id="9818"/>
    </w:p>
    <w:p>
      <w:pPr>
        <w:pStyle w:val="BookText"/>
      </w:pPr>
      <w:r>
        <w:rPr>
          <w:rFonts w:ascii="IRNazanin" w:hAnsi="IRNazanin" w:eastAsia="IRNazanin" w:cs="IRNazanin"/>
          <w:lang w:bidi="fa-IR"/>
          <w:color w:val="111111"/>
          <w:sz w:val="28"/>
          <w:szCs w:val="28"/>
          <w:rtl/>
        </w:rPr>
        <w:t xml:space="preserve">السید محمد إبراهیم من سادات کازرون سکن بشیراز. و هو الحکیم العارف المعاصر لصاحب مجمع الفصحاء، فترجمه فی (مع- ج 2 ص 498) و ذکر أنه کان خلیقا شفیقا له و توفی قبل سنین. و له مثنویات کثیرة ذکر منها گلستان خلیل و</w:t>
      </w:r>
    </w:p>
    <w:p>
      <w:pPr>
        <w:pStyle w:val="BookText"/>
      </w:pPr>
      <w:r>
        <w:rPr>
          <w:rFonts w:ascii="IRNazanin" w:hAnsi="IRNazanin" w:eastAsia="IRNazanin" w:cs="IRNazanin"/>
          <w:lang w:bidi="fa-IR"/>
          <w:color w:val="111111"/>
          <w:sz w:val="28"/>
          <w:szCs w:val="28"/>
          <w:rtl/>
        </w:rPr>
        <w:t xml:space="preserve">مشرق الإشراق و منهج عشاق و أنفس و آفاق و شائق و مشتاق و چهل صباح و غیرها مما نقل عن جمیعها فی کتابه فی (ض- ص 567) و (عم- ص 328).</w:t>
      </w:r>
    </w:p>
    <w:p>
      <w:pPr>
        <w:pStyle w:val="Heading3"/>
      </w:pPr>
      <w:bookmarkStart w:id="9819" w:name="_Toc8515"/>
      <w:r>
        <w:t>دیوان نادری لاهوری‏</w:t>
      </w:r>
      <w:bookmarkEnd w:id="9819"/>
    </w:p>
    <w:p>
      <w:pPr>
        <w:pStyle w:val="BookText"/>
      </w:pPr>
      <w:r>
        <w:rPr>
          <w:rFonts w:ascii="IRNazanin" w:hAnsi="IRNazanin" w:eastAsia="IRNazanin" w:cs="IRNazanin"/>
          <w:lang w:bidi="fa-IR"/>
          <w:color w:val="111111"/>
          <w:sz w:val="28"/>
          <w:szCs w:val="28"/>
          <w:rtl/>
        </w:rPr>
        <w:t xml:space="preserve">مر بعنوان نادری سیالکوتی.</w:t>
      </w:r>
    </w:p>
    <w:p>
      <w:pPr>
        <w:pStyle w:val="Heading3"/>
      </w:pPr>
      <w:bookmarkStart w:id="9820" w:name="_Toc8516"/>
      <w:r>
        <w:t>7409- دیوان نادری مروزی‏</w:t>
      </w:r>
      <w:bookmarkEnd w:id="9820"/>
    </w:p>
    <w:p>
      <w:pPr>
        <w:pStyle w:val="BookText"/>
      </w:pPr>
      <w:r>
        <w:rPr>
          <w:rFonts w:ascii="IRNazanin" w:hAnsi="IRNazanin" w:eastAsia="IRNazanin" w:cs="IRNazanin"/>
          <w:lang w:bidi="fa-IR"/>
          <w:color w:val="111111"/>
          <w:sz w:val="28"/>
          <w:szCs w:val="28"/>
          <w:rtl/>
        </w:rPr>
        <w:t xml:space="preserve">المصاحب مع المیر علی شیر سنین. ترجمه فی (مجن 3- ص 76 و 251) و أورد شعره.</w:t>
      </w:r>
    </w:p>
    <w:p>
      <w:pPr>
        <w:pStyle w:val="Heading3"/>
      </w:pPr>
      <w:bookmarkStart w:id="9821" w:name="_Toc8517"/>
      <w:r>
        <w:t>7410- دیوان نادری مشهدی أو شعره‏</w:t>
      </w:r>
      <w:bookmarkEnd w:id="9821"/>
    </w:p>
    <w:p>
      <w:pPr>
        <w:pStyle w:val="BookText"/>
      </w:pPr>
      <w:r>
        <w:rPr>
          <w:rFonts w:ascii="IRNazanin" w:hAnsi="IRNazanin" w:eastAsia="IRNazanin" w:cs="IRNazanin"/>
          <w:lang w:bidi="fa-IR"/>
          <w:color w:val="111111"/>
          <w:sz w:val="28"/>
          <w:szCs w:val="28"/>
          <w:rtl/>
        </w:rPr>
        <w:t xml:space="preserve">ترجم فی (گلشن- ص 491) و قال جاء إلی الهند، و عنه أخذ فی القاموس الترکی ثم الریحانة.
</w:t>
      </w:r>
    </w:p>
    <w:p>
      <w:pPr>
        <w:sectPr>
          <w:footerReference w:type="default" r:id="rId1158"/>
          <w:footnotePr>
            <w:numStart w:val="1"/>
            <w:numRestart w:val="eachPage"/>
          </w:footnotePr>
          <w:pgSz w:orient="portrait" w:w="11905.511811023622" w:h="16837.79527559055"/>
          <w:pgMar w:top="1440" w:right="1440" w:bottom="1440" w:left="1440" w:header="720" w:footer="720" w:gutter="0"/>
          <w:cols w:num="1" w:space="720"/>
        </w:sectPr>
      </w:pPr>
    </w:p>
    <w:bookmarkStart w:id="1136" w:name="pg11704_122626"/>
    <w:bookmarkEnd w:id="1136"/>
    <w:p>
      <w:pPr>
        <w:pStyle w:val="Heading3"/>
      </w:pPr>
      <w:bookmarkStart w:id="9822" w:name="_Toc8518"/>
      <w:r>
        <w:t>7411- دیوان نادری هروی أو شعره‏</w:t>
      </w:r>
      <w:bookmarkEnd w:id="9822"/>
    </w:p>
    <w:p>
      <w:pPr>
        <w:pStyle w:val="BookText"/>
      </w:pPr>
      <w:r>
        <w:rPr>
          <w:rFonts w:ascii="IRNazanin" w:hAnsi="IRNazanin" w:eastAsia="IRNazanin" w:cs="IRNazanin"/>
          <w:lang w:bidi="fa-IR"/>
          <w:color w:val="111111"/>
          <w:sz w:val="28"/>
          <w:szCs w:val="28"/>
          <w:rtl/>
        </w:rPr>
        <w:t xml:space="preserve">کان معمارا کما ذکره سلیم فی (گلشن- ص 491) و عنه فی القاموس الترکی ثم الریحانة.</w:t>
      </w:r>
    </w:p>
    <w:p>
      <w:pPr>
        <w:pStyle w:val="Heading3"/>
      </w:pPr>
      <w:bookmarkStart w:id="9823" w:name="_Toc8519"/>
      <w:r>
        <w:t>7412- دیوان ناد علی أصفهانی‏</w:t>
      </w:r>
      <w:bookmarkEnd w:id="9823"/>
    </w:p>
    <w:p>
      <w:pPr>
        <w:pStyle w:val="BookText"/>
      </w:pPr>
      <w:r>
        <w:rPr>
          <w:rFonts w:ascii="IRNazanin" w:hAnsi="IRNazanin" w:eastAsia="IRNazanin" w:cs="IRNazanin"/>
          <w:lang w:bidi="fa-IR"/>
          <w:color w:val="111111"/>
          <w:sz w:val="28"/>
          <w:szCs w:val="28"/>
          <w:rtl/>
        </w:rPr>
        <w:t xml:space="preserve">أو ناد علی خرم فروشانی ابن قربان علی. طبع له منظومة مصیبت‏نامه فی 1351.</w:t>
      </w:r>
    </w:p>
    <w:p>
      <w:pPr>
        <w:pStyle w:val="Heading3"/>
      </w:pPr>
      <w:bookmarkStart w:id="9824" w:name="_Toc8520"/>
      <w:r>
        <w:t>7413- دیوان نادم جاجرمی‏</w:t>
      </w:r>
      <w:bookmarkEnd w:id="9824"/>
    </w:p>
    <w:p>
      <w:pPr>
        <w:pStyle w:val="BookText"/>
      </w:pPr>
      <w:r>
        <w:rPr>
          <w:rFonts w:ascii="IRNazanin" w:hAnsi="IRNazanin" w:eastAsia="IRNazanin" w:cs="IRNazanin"/>
          <w:lang w:bidi="fa-IR"/>
          <w:color w:val="111111"/>
          <w:sz w:val="28"/>
          <w:szCs w:val="28"/>
          <w:rtl/>
        </w:rPr>
        <w:t xml:space="preserve">اسمه ملا محمد المتوفی 1221 ترجمه فی (مع- ج 2 ص 502) و ذکر أن دیوانه قرب ثمانیة آلاف بیت أکثرها الهجاء و الهزلیات، و تاب عن الأهاجی أخیرا و ظفر بدیوانه بعض المتشاعرة و غیر تخلصه و انتحله لنفسه.</w:t>
      </w:r>
    </w:p>
    <w:p>
      <w:pPr>
        <w:pStyle w:val="Heading3"/>
      </w:pPr>
      <w:bookmarkStart w:id="9825" w:name="_Toc8521"/>
      <w:r>
        <w:t>7414- دیوان نادم شفیعی‏</w:t>
      </w:r>
      <w:bookmarkEnd w:id="9825"/>
    </w:p>
    <w:p>
      <w:pPr>
        <w:pStyle w:val="BookText"/>
      </w:pPr>
      <w:r>
        <w:rPr>
          <w:rFonts w:ascii="IRNazanin" w:hAnsi="IRNazanin" w:eastAsia="IRNazanin" w:cs="IRNazanin"/>
          <w:lang w:bidi="fa-IR"/>
          <w:color w:val="111111"/>
          <w:sz w:val="28"/>
          <w:szCs w:val="28"/>
          <w:rtl/>
        </w:rPr>
        <w:t xml:space="preserve">لمحمد علی خادم شفیعی. طبع له گلشن حسینی فی 272 ص برشت فی 1376 فیه المدائح و المراثی للأئمة.</w:t>
      </w:r>
    </w:p>
    <w:p>
      <w:pPr>
        <w:pStyle w:val="Heading3"/>
      </w:pPr>
      <w:bookmarkStart w:id="9826" w:name="_Toc8522"/>
      <w:r>
        <w:t>دیوان نادم کایتة</w:t>
      </w:r>
      <w:bookmarkEnd w:id="9826"/>
    </w:p>
    <w:p>
      <w:pPr>
        <w:pStyle w:val="BookText"/>
      </w:pPr>
      <w:r>
        <w:rPr>
          <w:rFonts w:ascii="IRNazanin" w:hAnsi="IRNazanin" w:eastAsia="IRNazanin" w:cs="IRNazanin"/>
          <w:lang w:bidi="fa-IR"/>
          <w:color w:val="111111"/>
          <w:sz w:val="28"/>
          <w:szCs w:val="28"/>
          <w:rtl/>
        </w:rPr>
        <w:t xml:space="preserve">راجع نادم لکهنوی.</w:t>
      </w:r>
    </w:p>
    <w:p>
      <w:pPr>
        <w:pStyle w:val="Heading3"/>
      </w:pPr>
      <w:bookmarkStart w:id="9827" w:name="_Toc8523"/>
      <w:r>
        <w:t>دیوان نادم گیلانی‏</w:t>
      </w:r>
      <w:bookmarkEnd w:id="9827"/>
    </w:p>
    <w:p>
      <w:pPr>
        <w:pStyle w:val="BookText"/>
      </w:pPr>
      <w:r>
        <w:rPr>
          <w:rFonts w:ascii="IRNazanin" w:hAnsi="IRNazanin" w:eastAsia="IRNazanin" w:cs="IRNazanin"/>
          <w:lang w:bidi="fa-IR"/>
          <w:color w:val="111111"/>
          <w:sz w:val="28"/>
          <w:szCs w:val="28"/>
          <w:rtl/>
        </w:rPr>
        <w:t xml:space="preserve">راجع نادم لاهیجی.</w:t>
      </w:r>
    </w:p>
    <w:p>
      <w:pPr>
        <w:pStyle w:val="Heading3"/>
      </w:pPr>
      <w:bookmarkStart w:id="9828" w:name="_Toc8524"/>
      <w:r>
        <w:t>7415- دیوان نادم لاهیجی‏</w:t>
      </w:r>
      <w:bookmarkEnd w:id="9828"/>
    </w:p>
    <w:p>
      <w:pPr>
        <w:pStyle w:val="BookText"/>
      </w:pPr>
      <w:r>
        <w:rPr>
          <w:rFonts w:ascii="IRNazanin" w:hAnsi="IRNazanin" w:eastAsia="IRNazanin" w:cs="IRNazanin"/>
          <w:lang w:bidi="fa-IR"/>
          <w:color w:val="111111"/>
          <w:sz w:val="28"/>
          <w:szCs w:val="28"/>
          <w:rtl/>
        </w:rPr>
        <w:t xml:space="preserve">و هو شهسوار بیگ. ولد بأشرف لاهیجان (مازندران) و سافر إلی الهند فرآه فخر الزمانی فی 1026 بکشمیر و عمره ثلاثین سنة، فذکره فی (میخانه- ص 546) و اتصل فی الهند بملا نظیری سنین. و لما توفی رثاه بقصیدة و رجع إلی أصفهان فی عصر الشاه صفی و بها توفی 1050 و دفن بتخگاه هارون ولایت. قال فی (نر 9- 240) لم أر من غزله شیئا و انما وصل إلی ألف بیت من شعره کلها لطاف ثم أورد قرب عشرین بیتا منها، و کان ماهرا بالنرد. و قال فی میخانه إن له أربعة آلاف بیت. و ترجم فی مخزن الغرائب و مرآة آفتاب نما کما فی حواشی میخانه. و قال (سرخوش- ص 112) إن حاجی محمد جان قدسی کان یشتری منه کل شعر بأشرفی واحد. و ترجمه أیضا فی (تش- ص 154) و (سرو- ص 56) و (مقالات 797) و (نتایج- ص 719) و (حسینی- ص 355) و (روشن- ص 670) و (خوش‏گو).</w:t>
      </w:r>
    </w:p>
    <w:p>
      <w:pPr>
        <w:pStyle w:val="Heading3"/>
      </w:pPr>
      <w:bookmarkStart w:id="9829" w:name="_Toc8525"/>
      <w:r>
        <w:t>7416- دیوان نادم لکهنوی أو شعره‏</w:t>
      </w:r>
      <w:bookmarkEnd w:id="9829"/>
    </w:p>
    <w:p>
      <w:pPr>
        <w:pStyle w:val="BookText"/>
      </w:pPr>
      <w:r>
        <w:rPr>
          <w:rFonts w:ascii="IRNazanin" w:hAnsi="IRNazanin" w:eastAsia="IRNazanin" w:cs="IRNazanin"/>
          <w:lang w:bidi="fa-IR"/>
          <w:color w:val="111111"/>
          <w:sz w:val="28"/>
          <w:szCs w:val="28"/>
          <w:rtl/>
        </w:rPr>
        <w:t xml:space="preserve">کان من قوم کایتة و توفی 1291 و له دیوانان بالأردویة و الفارسیة أورد منه سلیم فی (گلشن- ص 491).</w:t>
      </w:r>
    </w:p>
    <w:p>
      <w:pPr>
        <w:pStyle w:val="Heading3"/>
      </w:pPr>
      <w:bookmarkStart w:id="9830" w:name="_Toc8526"/>
      <w:r>
        <w:t>7417- دیوان نادم هروی أو شعره‏</w:t>
      </w:r>
      <w:bookmarkEnd w:id="9830"/>
    </w:p>
    <w:p>
      <w:pPr>
        <w:pStyle w:val="BookText"/>
      </w:pPr>
      <w:r>
        <w:rPr>
          <w:rFonts w:ascii="IRNazanin" w:hAnsi="IRNazanin" w:eastAsia="IRNazanin" w:cs="IRNazanin"/>
          <w:lang w:bidi="fa-IR"/>
          <w:color w:val="111111"/>
          <w:sz w:val="28"/>
          <w:szCs w:val="28"/>
          <w:rtl/>
        </w:rPr>
        <w:t xml:space="preserve">ورد شعره فی (حسینی- ص 356).</w:t>
      </w:r>
    </w:p>
    <w:p>
      <w:pPr>
        <w:pStyle w:val="Heading3"/>
      </w:pPr>
      <w:bookmarkStart w:id="9831" w:name="_Toc8527"/>
      <w:r>
        <w:t>7418- دیوان نادمی أصفهانی أو شعره‏</w:t>
      </w:r>
      <w:bookmarkEnd w:id="9831"/>
    </w:p>
    <w:p>
      <w:pPr>
        <w:pStyle w:val="BookText"/>
      </w:pPr>
      <w:r>
        <w:rPr>
          <w:rFonts w:ascii="IRNazanin" w:hAnsi="IRNazanin" w:eastAsia="IRNazanin" w:cs="IRNazanin"/>
          <w:lang w:bidi="fa-IR"/>
          <w:color w:val="111111"/>
          <w:sz w:val="28"/>
          <w:szCs w:val="28"/>
          <w:rtl/>
        </w:rPr>
        <w:t xml:space="preserve">ورد شعره فی (گلشن- ص 492) و لعله من‏
</w:t>
      </w:r>
    </w:p>
    <w:p>
      <w:pPr>
        <w:sectPr>
          <w:footerReference w:type="default" r:id="rId1159"/>
          <w:footnotePr>
            <w:numStart w:val="1"/>
            <w:numRestart w:val="eachPage"/>
          </w:footnotePr>
          <w:pgSz w:orient="portrait" w:w="11905.511811023622" w:h="16837.79527559055"/>
          <w:pgMar w:top="1440" w:right="1440" w:bottom="1440" w:left="1440" w:header="720" w:footer="720" w:gutter="0"/>
          <w:cols w:num="1" w:space="720"/>
        </w:sectPr>
      </w:pPr>
    </w:p>
    <w:bookmarkStart w:id="1137" w:name="pg11704_122627"/>
    <w:bookmarkEnd w:id="1137"/>
    <w:p>
      <w:pPr>
        <w:pStyle w:val="BookText"/>
      </w:pPr>
      <w:r>
        <w:rPr>
          <w:rFonts w:ascii="IRNazanin" w:hAnsi="IRNazanin" w:eastAsia="IRNazanin" w:cs="IRNazanin"/>
          <w:lang w:bidi="fa-IR"/>
          <w:color w:val="111111"/>
          <w:sz w:val="28"/>
          <w:szCs w:val="28"/>
          <w:rtl/>
        </w:rPr>
        <w:t xml:space="preserve">دلیجان أصفهان کما فی همیشه بهار.</w:t>
      </w:r>
    </w:p>
    <w:p>
      <w:pPr>
        <w:pStyle w:val="Heading3"/>
      </w:pPr>
      <w:bookmarkStart w:id="9832" w:name="_Toc8528"/>
      <w:r>
        <w:t>7419- دیوان نارنجی أو شعره‏</w:t>
      </w:r>
      <w:bookmarkEnd w:id="9832"/>
    </w:p>
    <w:p>
      <w:pPr>
        <w:pStyle w:val="BookText"/>
      </w:pPr>
      <w:r>
        <w:rPr>
          <w:rFonts w:ascii="IRNazanin" w:hAnsi="IRNazanin" w:eastAsia="IRNazanin" w:cs="IRNazanin"/>
          <w:lang w:bidi="fa-IR"/>
          <w:color w:val="111111"/>
          <w:sz w:val="28"/>
          <w:szCs w:val="28"/>
          <w:rtl/>
        </w:rPr>
        <w:t xml:space="preserve">و اسمه نارنجی سلطان بن یاری سلطان الشهرزوری من قواد جند الشاه طهماسب کما فی (تس 6- ص 184).</w:t>
      </w:r>
    </w:p>
    <w:p>
      <w:pPr>
        <w:pStyle w:val="Heading3"/>
      </w:pPr>
      <w:bookmarkStart w:id="9833" w:name="_Toc8529"/>
      <w:r>
        <w:t>دیوان نازک خراسانی‏</w:t>
      </w:r>
      <w:bookmarkEnd w:id="9833"/>
    </w:p>
    <w:p>
      <w:pPr>
        <w:pStyle w:val="BookText"/>
      </w:pPr>
      <w:r>
        <w:rPr>
          <w:rFonts w:ascii="IRNazanin" w:hAnsi="IRNazanin" w:eastAsia="IRNazanin" w:cs="IRNazanin"/>
          <w:lang w:bidi="fa-IR"/>
          <w:color w:val="111111"/>
          <w:sz w:val="28"/>
          <w:szCs w:val="28"/>
          <w:rtl/>
        </w:rPr>
        <w:t xml:space="preserve">کما فی بعض النسخ من مجالس النفائس. راجع نازکی خراسانی.</w:t>
      </w:r>
    </w:p>
    <w:p>
      <w:pPr>
        <w:pStyle w:val="Heading3"/>
      </w:pPr>
      <w:bookmarkStart w:id="9834" w:name="_Toc8530"/>
      <w:r>
        <w:t>7420- دیوان نازک الملائکة</w:t>
      </w:r>
      <w:bookmarkEnd w:id="9834"/>
    </w:p>
    <w:p>
      <w:pPr>
        <w:pStyle w:val="BookText"/>
      </w:pPr>
      <w:r>
        <w:rPr>
          <w:rFonts w:ascii="IRNazanin" w:hAnsi="IRNazanin" w:eastAsia="IRNazanin" w:cs="IRNazanin"/>
          <w:lang w:bidi="fa-IR"/>
          <w:color w:val="111111"/>
          <w:sz w:val="28"/>
          <w:szCs w:val="28"/>
          <w:rtl/>
        </w:rPr>
        <w:t xml:space="preserve">هی بنت صادق الملائکة المذکور فی ص 1096 و أمها أم نزار المذکورة فی ص 96. و قد طبع من دیوان نازک جزءان الأول فی 1947 م.</w:t>
      </w:r>
    </w:p>
    <w:p>
      <w:pPr>
        <w:pStyle w:val="BookText"/>
      </w:pPr>
      <w:r>
        <w:rPr>
          <w:rFonts w:ascii="IRNazanin" w:hAnsi="IRNazanin" w:eastAsia="IRNazanin" w:cs="IRNazanin"/>
          <w:lang w:bidi="fa-IR"/>
          <w:color w:val="111111"/>
          <w:sz w:val="28"/>
          <w:szCs w:val="28"/>
          <w:rtl/>
        </w:rPr>
        <w:t xml:space="preserve">بعنوان عاشقة اللیل فی 140 ص. و علیها تقریظ لأخت الناظمة إحسان الملائکة. و الثانی بعنوان شظایا و رماد طبع فی 1949 م. فی 175 ص.</w:t>
      </w:r>
    </w:p>
    <w:p>
      <w:pPr>
        <w:pStyle w:val="Heading3"/>
      </w:pPr>
      <w:bookmarkStart w:id="9835" w:name="_Toc8531"/>
      <w:r>
        <w:t>7421- دیوان نازکی أسترآبادی أو شعره‏</w:t>
      </w:r>
      <w:bookmarkEnd w:id="9835"/>
    </w:p>
    <w:p>
      <w:pPr>
        <w:pStyle w:val="BookText"/>
      </w:pPr>
      <w:r>
        <w:rPr>
          <w:rFonts w:ascii="IRNazanin" w:hAnsi="IRNazanin" w:eastAsia="IRNazanin" w:cs="IRNazanin"/>
          <w:lang w:bidi="fa-IR"/>
          <w:color w:val="111111"/>
          <w:sz w:val="28"/>
          <w:szCs w:val="28"/>
          <w:rtl/>
        </w:rPr>
        <w:t xml:space="preserve">ترجمه معاصره سام میرزا فی (تس 5- ص 153) قال إنه من العشاق و أهل السلوک و أورد شعره. و کذا (گلشن- ص 492).</w:t>
      </w:r>
    </w:p>
    <w:p>
      <w:pPr>
        <w:pStyle w:val="Heading3"/>
      </w:pPr>
      <w:bookmarkStart w:id="9836" w:name="_Toc8532"/>
      <w:r>
        <w:t>7422- دیوان نازکی تبریزی أو شعره‏</w:t>
      </w:r>
      <w:bookmarkEnd w:id="9836"/>
    </w:p>
    <w:p>
      <w:pPr>
        <w:pStyle w:val="BookText"/>
      </w:pPr>
      <w:r>
        <w:rPr>
          <w:rFonts w:ascii="IRNazanin" w:hAnsi="IRNazanin" w:eastAsia="IRNazanin" w:cs="IRNazanin"/>
          <w:lang w:bidi="fa-IR"/>
          <w:color w:val="111111"/>
          <w:sz w:val="28"/>
          <w:szCs w:val="28"/>
          <w:rtl/>
        </w:rPr>
        <w:t xml:space="preserve">کان یعمل التیجان. ترجمه معاصره سام میرزا فی (تس 5- ص 143) و أورد شعره و نقل عنه فی (دجا- ص 368) و کذا فی (گلشن- ص 492).</w:t>
      </w:r>
    </w:p>
    <w:p>
      <w:pPr>
        <w:pStyle w:val="Heading3"/>
      </w:pPr>
      <w:bookmarkStart w:id="9837" w:name="_Toc8533"/>
      <w:r>
        <w:t>7423- دیوان درویش نازکی خراسانی أو شعره‏</w:t>
      </w:r>
      <w:bookmarkEnd w:id="9837"/>
    </w:p>
    <w:p>
      <w:pPr>
        <w:pStyle w:val="BookText"/>
      </w:pPr>
      <w:r>
        <w:rPr>
          <w:rFonts w:ascii="IRNazanin" w:hAnsi="IRNazanin" w:eastAsia="IRNazanin" w:cs="IRNazanin"/>
          <w:lang w:bidi="fa-IR"/>
          <w:color w:val="111111"/>
          <w:sz w:val="28"/>
          <w:szCs w:val="28"/>
          <w:rtl/>
        </w:rPr>
        <w:t xml:space="preserve">ترجمه کذلک الأمیر علی شیر فی (مجن 2- ص 45 و 218) و کان أبوه حاکم مشهد أو هراة علی اختلاف بین النسخ و أورد شعره الترکی و الفارسی کلیهما. و فی لط 2- ص 45 صرح بأنه درویش منزو فی المشهد.</w:t>
      </w:r>
    </w:p>
    <w:p>
      <w:pPr>
        <w:pStyle w:val="Heading3"/>
      </w:pPr>
      <w:bookmarkStart w:id="9838" w:name="_Toc8534"/>
      <w:r>
        <w:t>7424- دیوان نازکی مراغی أو شعره‏</w:t>
      </w:r>
      <w:bookmarkEnd w:id="9838"/>
    </w:p>
    <w:p>
      <w:pPr>
        <w:pStyle w:val="BookText"/>
      </w:pPr>
      <w:r>
        <w:rPr>
          <w:rFonts w:ascii="IRNazanin" w:hAnsi="IRNazanin" w:eastAsia="IRNazanin" w:cs="IRNazanin"/>
          <w:lang w:bidi="fa-IR"/>
          <w:color w:val="111111"/>
          <w:sz w:val="28"/>
          <w:szCs w:val="28"/>
          <w:rtl/>
        </w:rPr>
        <w:t xml:space="preserve">ترجمه فی (دجا- ص 368) نقلا عن منتخب التواریخ و أورد بعض قصیدته فی مدح معز الدین محمد بن سام الغوری الذی استقل بعد أخیه ثلاث سنین و قتل 602.</w:t>
      </w:r>
    </w:p>
    <w:p>
      <w:pPr>
        <w:pStyle w:val="Heading3"/>
      </w:pPr>
      <w:bookmarkStart w:id="9839" w:name="_Toc8535"/>
      <w:r>
        <w:t>7425- دیوان نازکی نهاوندی‏</w:t>
      </w:r>
      <w:bookmarkEnd w:id="9839"/>
    </w:p>
    <w:p>
      <w:pPr>
        <w:pStyle w:val="BookText"/>
      </w:pPr>
      <w:r>
        <w:rPr>
          <w:rFonts w:ascii="IRNazanin" w:hAnsi="IRNazanin" w:eastAsia="IRNazanin" w:cs="IRNazanin"/>
          <w:lang w:bidi="fa-IR"/>
          <w:color w:val="111111"/>
          <w:sz w:val="28"/>
          <w:szCs w:val="28"/>
          <w:rtl/>
        </w:rPr>
        <w:t xml:space="preserve">ترجمه معاصره الصادقی فی (خص 8- ص 302) و تعجب من قوة بداهته. قال و أعجب منه أنه نظم أحد و ستین کتابا و لم یشتهر و لا بیت منها. ثم أورد رباعیة فیها تخلصه.</w:t>
      </w:r>
    </w:p>
    <w:p>
      <w:pPr>
        <w:pStyle w:val="Heading3"/>
      </w:pPr>
      <w:bookmarkStart w:id="9840" w:name="_Toc8536"/>
      <w:r>
        <w:t>7426- دیوان نازکی همدانی‏</w:t>
      </w:r>
      <w:bookmarkEnd w:id="9840"/>
    </w:p>
    <w:p>
      <w:pPr>
        <w:pStyle w:val="BookText"/>
      </w:pPr>
      <w:r>
        <w:rPr>
          <w:rFonts w:ascii="IRNazanin" w:hAnsi="IRNazanin" w:eastAsia="IRNazanin" w:cs="IRNazanin"/>
          <w:lang w:bidi="fa-IR"/>
          <w:color w:val="111111"/>
          <w:sz w:val="28"/>
          <w:szCs w:val="28"/>
          <w:rtl/>
        </w:rPr>
        <w:t xml:space="preserve">ترجمه معاصره سام میرزا فی (تس 5- ص 158) قال‏
</w:t>
      </w:r>
    </w:p>
    <w:p>
      <w:pPr>
        <w:sectPr>
          <w:footerReference w:type="default" r:id="rId1160"/>
          <w:footnotePr>
            <w:numStart w:val="1"/>
            <w:numRestart w:val="eachPage"/>
          </w:footnotePr>
          <w:pgSz w:orient="portrait" w:w="11905.511811023622" w:h="16837.79527559055"/>
          <w:pgMar w:top="1440" w:right="1440" w:bottom="1440" w:left="1440" w:header="720" w:footer="720" w:gutter="0"/>
          <w:cols w:num="1" w:space="720"/>
        </w:sectPr>
      </w:pPr>
    </w:p>
    <w:bookmarkStart w:id="1138" w:name="pg11704_122628"/>
    <w:bookmarkEnd w:id="1138"/>
    <w:p>
      <w:pPr>
        <w:pStyle w:val="BookText"/>
      </w:pPr>
      <w:r>
        <w:rPr>
          <w:rFonts w:ascii="IRNazanin" w:hAnsi="IRNazanin" w:eastAsia="IRNazanin" w:cs="IRNazanin"/>
          <w:lang w:bidi="fa-IR"/>
          <w:color w:val="111111"/>
          <w:sz w:val="28"/>
          <w:szCs w:val="28"/>
          <w:rtl/>
        </w:rPr>
        <w:t xml:space="preserve">إنه یصرف جمیع أوقاته فی نظم الشعر حتی أنه ینظم فی کل یوم قرب ألف بیت و التزم علی نفسه أن یجیب جمیع الکتب المنظومة، حتی أن الفردوسی نظم الشاهنامة ثلاثین سنة و نظمه نازکی فی ثلاثین یوما! و أورد منه عشرة أبیات نموذجا و أظنه المذکور فی (سرخوش- ص 115).</w:t>
      </w:r>
    </w:p>
    <w:p>
      <w:pPr>
        <w:pStyle w:val="Heading3"/>
      </w:pPr>
      <w:bookmarkStart w:id="9841" w:name="_Toc8537"/>
      <w:r>
        <w:t>7427- دیوان نازنینی سبزواری‏</w:t>
      </w:r>
      <w:bookmarkEnd w:id="9841"/>
    </w:p>
    <w:p>
      <w:pPr>
        <w:pStyle w:val="BookText"/>
      </w:pPr>
      <w:r>
        <w:rPr>
          <w:rFonts w:ascii="IRNazanin" w:hAnsi="IRNazanin" w:eastAsia="IRNazanin" w:cs="IRNazanin"/>
          <w:lang w:bidi="fa-IR"/>
          <w:color w:val="111111"/>
          <w:sz w:val="28"/>
          <w:szCs w:val="28"/>
          <w:rtl/>
        </w:rPr>
        <w:t xml:space="preserve">أطری شعره مع کونه عامیا فی (مجن 2- ص 40 و 213) و ذکر أنه مصاحب أمیر شاهی و إنه مات و دفن بأسترآباد و أورد شعره.</w:t>
      </w:r>
    </w:p>
    <w:p>
      <w:pPr>
        <w:pStyle w:val="Heading3"/>
      </w:pPr>
      <w:bookmarkStart w:id="9842" w:name="_Toc8538"/>
      <w:r>
        <w:t>دیوان ناسخ ترک‏</w:t>
      </w:r>
      <w:bookmarkEnd w:id="9842"/>
    </w:p>
    <w:p>
      <w:pPr>
        <w:pStyle w:val="BookText"/>
      </w:pPr>
      <w:r>
        <w:rPr>
          <w:rFonts w:ascii="IRNazanin" w:hAnsi="IRNazanin" w:eastAsia="IRNazanin" w:cs="IRNazanin"/>
          <w:lang w:bidi="fa-IR"/>
          <w:color w:val="111111"/>
          <w:sz w:val="28"/>
          <w:szCs w:val="28"/>
          <w:rtl/>
        </w:rPr>
        <w:t xml:space="preserve">و اسمه عباس. قال النصرآبادی فی (نر 6 و 15 ص 191 و 541) إنه من طلاب العلوم و أورد شعره و لعله متحد مع ما بعده.</w:t>
      </w:r>
    </w:p>
    <w:p>
      <w:pPr>
        <w:pStyle w:val="Heading3"/>
      </w:pPr>
      <w:bookmarkStart w:id="9843" w:name="_Toc8539"/>
      <w:r>
        <w:t>7428- دیوان ناسخ قاجار أو شعره‏</w:t>
      </w:r>
      <w:bookmarkEnd w:id="9843"/>
    </w:p>
    <w:p>
      <w:pPr>
        <w:pStyle w:val="BookText"/>
      </w:pPr>
      <w:r>
        <w:rPr>
          <w:rFonts w:ascii="IRNazanin" w:hAnsi="IRNazanin" w:eastAsia="IRNazanin" w:cs="IRNazanin"/>
          <w:lang w:bidi="fa-IR"/>
          <w:color w:val="111111"/>
          <w:sz w:val="28"/>
          <w:szCs w:val="28"/>
          <w:rtl/>
        </w:rPr>
        <w:t xml:space="preserve">و اسمه عباس (أبو محمد) ابن محمد بیک القاجار ترجم تقویم المحسنین للفیض بالفارسیة بأمر الحاج محمد سعید بن لطف علی. و باسمه سماها تقویم سعید و یوجد فی کتب السید علی الطبسی بکربلاء و راجع الذی قبله.</w:t>
      </w:r>
    </w:p>
    <w:p>
      <w:pPr>
        <w:pStyle w:val="Heading3"/>
      </w:pPr>
      <w:bookmarkStart w:id="9844" w:name="_Toc8540"/>
      <w:r>
        <w:t>7429- دیوان ناسخ لکهنوی‏</w:t>
      </w:r>
      <w:bookmarkEnd w:id="9844"/>
    </w:p>
    <w:p>
      <w:pPr>
        <w:pStyle w:val="BookText"/>
      </w:pPr>
      <w:r>
        <w:rPr>
          <w:rFonts w:ascii="IRNazanin" w:hAnsi="IRNazanin" w:eastAsia="IRNazanin" w:cs="IRNazanin"/>
          <w:lang w:bidi="fa-IR"/>
          <w:color w:val="111111"/>
          <w:sz w:val="28"/>
          <w:szCs w:val="28"/>
          <w:rtl/>
        </w:rPr>
        <w:t xml:space="preserve">المعاصر و المعارض مع آتش اللکهنوی المذکور فی ص 1 و هو أیضا تلمیذ المصحفی و اسمه امام‏بخش المتوفی 1254 و أکثر دیوانه بالأردویة. طبع بنولکشور و ورد شعره فی (گلشن- ص 492).</w:t>
      </w:r>
    </w:p>
    <w:p>
      <w:pPr>
        <w:pStyle w:val="Heading3"/>
      </w:pPr>
      <w:bookmarkStart w:id="9845" w:name="_Toc8541"/>
      <w:r>
        <w:t>دیوان الناشی‏</w:t>
      </w:r>
      <w:bookmarkEnd w:id="9845"/>
    </w:p>
    <w:p>
      <w:pPr>
        <w:pStyle w:val="BookText"/>
      </w:pPr>
      <w:r>
        <w:rPr>
          <w:rFonts w:ascii="IRNazanin" w:hAnsi="IRNazanin" w:eastAsia="IRNazanin" w:cs="IRNazanin"/>
          <w:lang w:bidi="fa-IR"/>
          <w:color w:val="111111"/>
          <w:sz w:val="28"/>
          <w:szCs w:val="28"/>
          <w:rtl/>
        </w:rPr>
        <w:t xml:space="preserve">مر باسمه علی بن عبد الله فی ص 745 و ذکر فی (المعالم- ص 136) و (لس- 375).</w:t>
      </w:r>
    </w:p>
    <w:p>
      <w:pPr>
        <w:pStyle w:val="Heading3"/>
      </w:pPr>
      <w:bookmarkStart w:id="9846" w:name="_Toc8542"/>
      <w:r>
        <w:t>7430- دیوان ناشی‏</w:t>
      </w:r>
      <w:bookmarkEnd w:id="9846"/>
    </w:p>
    <w:p>
      <w:pPr>
        <w:pStyle w:val="BookText"/>
      </w:pPr>
      <w:r>
        <w:rPr>
          <w:rFonts w:ascii="IRNazanin" w:hAnsi="IRNazanin" w:eastAsia="IRNazanin" w:cs="IRNazanin"/>
          <w:lang w:bidi="fa-IR"/>
          <w:color w:val="111111"/>
          <w:sz w:val="28"/>
          <w:szCs w:val="28"/>
          <w:rtl/>
        </w:rPr>
        <w:t xml:space="preserve">یوجد له مثنوی فی أحوال فتح علی شاه القاجار فی المکتبة (الملیة) بخط عصره برقم 281 ف.</w:t>
      </w:r>
    </w:p>
    <w:p>
      <w:pPr>
        <w:pStyle w:val="Heading3"/>
      </w:pPr>
      <w:bookmarkStart w:id="9847" w:name="_Toc8543"/>
      <w:r>
        <w:t>دیوان ناصح أصفهانی‏</w:t>
      </w:r>
      <w:bookmarkEnd w:id="9847"/>
    </w:p>
    <w:p>
      <w:pPr>
        <w:pStyle w:val="BookText"/>
      </w:pPr>
      <w:r>
        <w:rPr>
          <w:rFonts w:ascii="IRNazanin" w:hAnsi="IRNazanin" w:eastAsia="IRNazanin" w:cs="IRNazanin"/>
          <w:lang w:bidi="fa-IR"/>
          <w:color w:val="111111"/>
          <w:sz w:val="28"/>
          <w:szCs w:val="28"/>
          <w:rtl/>
        </w:rPr>
        <w:t xml:space="preserve">و اسمه میرزا عرب کما مر فی ص 710 أو عزت أو غیرت کما فی (مسرت- ص 257) ورد شعره فی (نر 5- 125) و (سرو- 108) و (خوش‏گو) و (دجا- ص 369) و (روشن- ص 671).</w:t>
      </w:r>
    </w:p>
    <w:p>
      <w:pPr>
        <w:pStyle w:val="Heading3"/>
      </w:pPr>
      <w:bookmarkStart w:id="9848" w:name="_Toc8544"/>
      <w:r>
        <w:t>دیوان ناصح أصفهانی‏</w:t>
      </w:r>
      <w:bookmarkEnd w:id="9848"/>
    </w:p>
    <w:p>
      <w:pPr>
        <w:pStyle w:val="BookText"/>
      </w:pPr>
      <w:r>
        <w:rPr>
          <w:rFonts w:ascii="IRNazanin" w:hAnsi="IRNazanin" w:eastAsia="IRNazanin" w:cs="IRNazanin"/>
          <w:lang w:bidi="fa-IR"/>
          <w:color w:val="111111"/>
          <w:sz w:val="28"/>
          <w:szCs w:val="28"/>
          <w:rtl/>
        </w:rPr>
        <w:t xml:space="preserve">راجع ناصح تهرانی.</w:t>
      </w:r>
    </w:p>
    <w:p>
      <w:pPr>
        <w:pStyle w:val="Heading3"/>
      </w:pPr>
      <w:bookmarkStart w:id="9849" w:name="_Toc8545"/>
      <w:r>
        <w:t>7431- دیوان ناصح بروجردی أو شعره‏</w:t>
      </w:r>
      <w:bookmarkEnd w:id="9849"/>
    </w:p>
    <w:p>
      <w:pPr>
        <w:pStyle w:val="BookText"/>
      </w:pPr>
      <w:r>
        <w:rPr>
          <w:rFonts w:ascii="IRNazanin" w:hAnsi="IRNazanin" w:eastAsia="IRNazanin" w:cs="IRNazanin"/>
          <w:lang w:bidi="fa-IR"/>
          <w:color w:val="111111"/>
          <w:sz w:val="28"/>
          <w:szCs w:val="28"/>
          <w:rtl/>
        </w:rPr>
        <w:t xml:space="preserve">ترجم و ورد شعره فی نامه سخنوران- ص 161.</w:t>
      </w:r>
    </w:p>
    <w:p>
      <w:pPr>
        <w:pStyle w:val="Heading3"/>
      </w:pPr>
      <w:bookmarkStart w:id="9850" w:name="_Toc8546"/>
      <w:r>
        <w:t>7432- دیوان ناصح تهرانی أو شعره‏</w:t>
      </w:r>
      <w:bookmarkEnd w:id="9850"/>
    </w:p>
    <w:p>
      <w:pPr>
        <w:pStyle w:val="BookText"/>
      </w:pPr>
      <w:r>
        <w:rPr>
          <w:rFonts w:ascii="IRNazanin" w:hAnsi="IRNazanin" w:eastAsia="IRNazanin" w:cs="IRNazanin"/>
          <w:lang w:bidi="fa-IR"/>
          <w:color w:val="111111"/>
          <w:sz w:val="28"/>
          <w:szCs w:val="28"/>
          <w:rtl/>
        </w:rPr>
        <w:t xml:space="preserve">و هو المیرزا محمد علی بن محمد صادق المولود
</w:t>
      </w:r>
    </w:p>
    <w:p>
      <w:pPr>
        <w:sectPr>
          <w:footerReference w:type="default" r:id="rId1161"/>
          <w:footnotePr>
            <w:numStart w:val="1"/>
            <w:numRestart w:val="eachPage"/>
          </w:footnotePr>
          <w:pgSz w:orient="portrait" w:w="11905.511811023622" w:h="16837.79527559055"/>
          <w:pgMar w:top="1440" w:right="1440" w:bottom="1440" w:left="1440" w:header="720" w:footer="720" w:gutter="0"/>
          <w:cols w:num="1" w:space="720"/>
        </w:sectPr>
      </w:pPr>
    </w:p>
    <w:bookmarkStart w:id="1139" w:name="pg11704_122629"/>
    <w:bookmarkEnd w:id="1139"/>
    <w:p>
      <w:pPr>
        <w:pStyle w:val="BookText"/>
      </w:pPr>
      <w:r>
        <w:rPr>
          <w:rFonts w:ascii="IRNazanin" w:hAnsi="IRNazanin" w:eastAsia="IRNazanin" w:cs="IRNazanin"/>
          <w:lang w:bidi="fa-IR"/>
          <w:color w:val="111111"/>
          <w:sz w:val="28"/>
          <w:szCs w:val="28"/>
          <w:rtl/>
        </w:rPr>
        <w:t xml:space="preserve">1316 بأصفهان. له أحوال خاقانی و أحوال صاحب بن عباد و غیرها. کما ترجمه فی (شعرای معاصر أصفهان- ص 494) و ترجم أیضا فی مجلة أرمغان 12: 132 و سخنوران نامی معاصر- ج 1 ص 220.</w:t>
      </w:r>
    </w:p>
    <w:p>
      <w:pPr>
        <w:pStyle w:val="Heading3"/>
      </w:pPr>
      <w:bookmarkStart w:id="9851" w:name="_Toc8547"/>
      <w:r>
        <w:t>7433- دیوان ناصح دهخوارقانی‏</w:t>
      </w:r>
      <w:bookmarkEnd w:id="9851"/>
    </w:p>
    <w:p>
      <w:pPr>
        <w:pStyle w:val="BookText"/>
      </w:pPr>
      <w:r>
        <w:rPr>
          <w:rFonts w:ascii="IRNazanin" w:hAnsi="IRNazanin" w:eastAsia="IRNazanin" w:cs="IRNazanin"/>
          <w:lang w:bidi="fa-IR"/>
          <w:color w:val="111111"/>
          <w:sz w:val="28"/>
          <w:szCs w:val="28"/>
          <w:rtl/>
        </w:rPr>
        <w:t xml:space="preserve">و هو المولی علی قلی الواعظ مؤلف آیات الظهور المطبوع سنة تألیفه 1351 و فی آخره فهرست تألیفاته العشرة و منها دیوانه و یعبر عن نفسه به پیر مرد</w:t>
      </w:r>
    </w:p>
    <w:p>
      <w:pPr>
        <w:pStyle w:val="Heading3"/>
      </w:pPr>
      <w:bookmarkStart w:id="9852" w:name="_Toc8548"/>
      <w:r>
        <w:t>7434- دیوان ناصح قمشهی أو شعره‏</w:t>
      </w:r>
      <w:bookmarkEnd w:id="9852"/>
    </w:p>
    <w:p>
      <w:pPr>
        <w:pStyle w:val="BookText"/>
      </w:pPr>
      <w:r>
        <w:rPr>
          <w:rFonts w:ascii="IRNazanin" w:hAnsi="IRNazanin" w:eastAsia="IRNazanin" w:cs="IRNazanin"/>
          <w:lang w:bidi="fa-IR"/>
          <w:color w:val="111111"/>
          <w:sz w:val="28"/>
          <w:szCs w:val="28"/>
          <w:rtl/>
        </w:rPr>
        <w:t xml:space="preserve">و هو الشیخ عبد الرحیم المعاصر ترجمه و أورد شعره المهدوی فی شعرای معاصر أصفهان- ص 494</w:t>
      </w:r>
    </w:p>
    <w:p>
      <w:pPr>
        <w:pStyle w:val="Heading3"/>
      </w:pPr>
      <w:bookmarkStart w:id="9853" w:name="_Toc8549"/>
      <w:r>
        <w:t>7435- دیوان ناصحی أو شعره‏</w:t>
      </w:r>
      <w:bookmarkEnd w:id="9853"/>
    </w:p>
    <w:p>
      <w:pPr>
        <w:pStyle w:val="BookText"/>
      </w:pPr>
      <w:r>
        <w:rPr>
          <w:rFonts w:ascii="IRNazanin" w:hAnsi="IRNazanin" w:eastAsia="IRNazanin" w:cs="IRNazanin"/>
          <w:lang w:bidi="fa-IR"/>
          <w:color w:val="111111"/>
          <w:sz w:val="28"/>
          <w:szCs w:val="28"/>
          <w:rtl/>
        </w:rPr>
        <w:t xml:space="preserve">و سماه فی کتاب نقض المثالب- ص 252 و 628 بخواجه ناصحی‏</w:t>
      </w:r>
    </w:p>
    <w:p>
      <w:pPr>
        <w:pStyle w:val="Heading3"/>
      </w:pPr>
      <w:bookmarkStart w:id="9854" w:name="_Toc8550"/>
      <w:r>
        <w:t>7436- دیوان ناصحی بدیوانی أو شعره‏</w:t>
      </w:r>
      <w:bookmarkEnd w:id="9854"/>
    </w:p>
    <w:p>
      <w:pPr>
        <w:pStyle w:val="BookText"/>
      </w:pPr>
      <w:r>
        <w:rPr>
          <w:rFonts w:ascii="IRNazanin" w:hAnsi="IRNazanin" w:eastAsia="IRNazanin" w:cs="IRNazanin"/>
          <w:lang w:bidi="fa-IR"/>
          <w:color w:val="111111"/>
          <w:sz w:val="28"/>
          <w:szCs w:val="28"/>
          <w:rtl/>
        </w:rPr>
        <w:t xml:space="preserve">کان من شعراء عهد أکبر پادشاه الهندی ورد شعره فی (گلشن- ص 493) و عنه فی القاموس الترکی‏</w:t>
      </w:r>
    </w:p>
    <w:p>
      <w:pPr>
        <w:pStyle w:val="Heading3"/>
      </w:pPr>
      <w:bookmarkStart w:id="9855" w:name="_Toc8551"/>
      <w:r>
        <w:t>دیوان ناصر</w:t>
      </w:r>
      <w:bookmarkEnd w:id="9855"/>
    </w:p>
    <w:p>
      <w:pPr>
        <w:pStyle w:val="BookText"/>
      </w:pPr>
      <w:r>
        <w:rPr>
          <w:rFonts w:ascii="IRNazanin" w:hAnsi="IRNazanin" w:eastAsia="IRNazanin" w:cs="IRNazanin"/>
          <w:lang w:bidi="fa-IR"/>
          <w:color w:val="111111"/>
          <w:sz w:val="28"/>
          <w:szCs w:val="28"/>
          <w:rtl/>
        </w:rPr>
        <w:t xml:space="preserve">فارسی و هو من شعراء ما قبل 858 یوجد فی هامش نسخه من دیوان حافظ المکتوبة فی هذا التاریخ فی مکتبة (المجلس) کما فی فهرسها ج 3 ص 255 و یوجد عشرون صفحة منه فی نسخه تذکره الشعراء الموجودة فی مکتبة (المجلس) أیضا کما فی فهرسها ج 3 ص 155 و لعله أحد الآتیین بعد</w:t>
      </w:r>
    </w:p>
    <w:p>
      <w:pPr>
        <w:pStyle w:val="Heading3"/>
      </w:pPr>
      <w:bookmarkStart w:id="9856" w:name="_Toc8552"/>
      <w:r>
        <w:t>7437- دیوان ناصر أصفهانی أو شعره‏</w:t>
      </w:r>
      <w:bookmarkEnd w:id="9856"/>
    </w:p>
    <w:p>
      <w:pPr>
        <w:pStyle w:val="BookText"/>
      </w:pPr>
      <w:r>
        <w:rPr>
          <w:rFonts w:ascii="IRNazanin" w:hAnsi="IRNazanin" w:eastAsia="IRNazanin" w:cs="IRNazanin"/>
          <w:lang w:bidi="fa-IR"/>
          <w:color w:val="111111"/>
          <w:sz w:val="28"/>
          <w:szCs w:val="28"/>
          <w:rtl/>
        </w:rPr>
        <w:t xml:space="preserve">و لقبه درویش ناصر علی و اسمه میرزا محمد گل کار فی القرن الثانی عشر ترجم فی (الطرائق- 3: 88) و (ض- ص 337)</w:t>
      </w:r>
    </w:p>
    <w:p>
      <w:pPr>
        <w:pStyle w:val="Heading3"/>
      </w:pPr>
      <w:bookmarkStart w:id="9857" w:name="_Toc8553"/>
      <w:r>
        <w:t>7438- دیوان ناصر بجه‏یی أو شعره‏</w:t>
      </w:r>
      <w:bookmarkEnd w:id="9857"/>
    </w:p>
    <w:p>
      <w:pPr>
        <w:pStyle w:val="BookText"/>
      </w:pPr>
      <w:r>
        <w:rPr>
          <w:rFonts w:ascii="IRNazanin" w:hAnsi="IRNazanin" w:eastAsia="IRNazanin" w:cs="IRNazanin"/>
          <w:lang w:bidi="fa-IR"/>
          <w:color w:val="111111"/>
          <w:sz w:val="28"/>
          <w:szCs w:val="28"/>
          <w:rtl/>
        </w:rPr>
        <w:t xml:space="preserve">هو من شعراء القرن السابع بشیراز ورد شعره فی هفت- ص 248 و تاریخ گزیده- ص 826 و (خوش‏گو) و (گلشن- ص 493)</w:t>
      </w:r>
    </w:p>
    <w:p>
      <w:pPr>
        <w:pStyle w:val="Heading3"/>
      </w:pPr>
      <w:bookmarkStart w:id="9858" w:name="_Toc8554"/>
      <w:r>
        <w:t>7439- دیوان ناصر بخارائی‏</w:t>
      </w:r>
      <w:bookmarkEnd w:id="9858"/>
    </w:p>
    <w:p>
      <w:pPr>
        <w:pStyle w:val="BookText"/>
      </w:pPr>
      <w:r>
        <w:rPr>
          <w:rFonts w:ascii="IRNazanin" w:hAnsi="IRNazanin" w:eastAsia="IRNazanin" w:cs="IRNazanin"/>
          <w:lang w:bidi="fa-IR"/>
          <w:color w:val="111111"/>
          <w:sz w:val="28"/>
          <w:szCs w:val="28"/>
          <w:rtl/>
        </w:rPr>
        <w:t xml:space="preserve">و اسمه درویش ناصر معاصر شاه شجاع و توفی 773 کما فی شاهد صادق و ترجم فی (دولت) و (خیال- ص 56) و (ض- ص 155) یوجد دیوانه عند (الملک) فی 7000 بیت و المکتبة (الملیة) و تصویره فی جامعة طهران رقم 156 و 509</w:t>
      </w:r>
    </w:p>
    <w:p>
      <w:pPr>
        <w:pStyle w:val="Heading3"/>
      </w:pPr>
      <w:bookmarkStart w:id="9859" w:name="_Toc8555"/>
      <w:r>
        <w:t>7440- دیوان ناصر بخارائی أو شعره‏</w:t>
      </w:r>
      <w:bookmarkEnd w:id="9859"/>
    </w:p>
    <w:p>
      <w:pPr>
        <w:pStyle w:val="BookText"/>
      </w:pPr>
      <w:r>
        <w:rPr>
          <w:rFonts w:ascii="IRNazanin" w:hAnsi="IRNazanin" w:eastAsia="IRNazanin" w:cs="IRNazanin"/>
          <w:lang w:bidi="fa-IR"/>
          <w:color w:val="111111"/>
          <w:sz w:val="28"/>
          <w:szCs w:val="28"/>
          <w:rtl/>
        </w:rPr>
        <w:t xml:space="preserve">و هو القاضی فی عهد عبد العزیز خان ببخارا
</w:t>
      </w:r>
    </w:p>
    <w:p>
      <w:pPr>
        <w:sectPr>
          <w:footerReference w:type="default" r:id="rId1162"/>
          <w:footnotePr>
            <w:numStart w:val="1"/>
            <w:numRestart w:val="eachPage"/>
          </w:footnotePr>
          <w:pgSz w:orient="portrait" w:w="11905.511811023622" w:h="16837.79527559055"/>
          <w:pgMar w:top="1440" w:right="1440" w:bottom="1440" w:left="1440" w:header="720" w:footer="720" w:gutter="0"/>
          <w:cols w:num="1" w:space="720"/>
        </w:sectPr>
      </w:pPr>
    </w:p>
    <w:bookmarkStart w:id="1140" w:name="pg11704_122630"/>
    <w:bookmarkEnd w:id="1140"/>
    <w:p>
      <w:pPr>
        <w:pStyle w:val="BookText"/>
      </w:pPr>
      <w:r>
        <w:rPr>
          <w:rFonts w:ascii="IRNazanin" w:hAnsi="IRNazanin" w:eastAsia="IRNazanin" w:cs="IRNazanin"/>
          <w:lang w:bidi="fa-IR"/>
          <w:color w:val="111111"/>
          <w:sz w:val="28"/>
          <w:szCs w:val="28"/>
          <w:rtl/>
        </w:rPr>
        <w:t xml:space="preserve">ورد شعره فی (نر 10- ص 432) و (گلشن- ص 493) و (روشن- ص 672)</w:t>
      </w:r>
    </w:p>
    <w:p>
      <w:pPr>
        <w:pStyle w:val="Heading3"/>
      </w:pPr>
      <w:bookmarkStart w:id="9860" w:name="_Toc8556"/>
      <w:r>
        <w:t>7441- دیوان ناصر بنارسی‏</w:t>
      </w:r>
      <w:bookmarkEnd w:id="9860"/>
    </w:p>
    <w:p>
      <w:pPr>
        <w:pStyle w:val="BookText"/>
      </w:pPr>
      <w:r>
        <w:rPr>
          <w:rFonts w:ascii="IRNazanin" w:hAnsi="IRNazanin" w:eastAsia="IRNazanin" w:cs="IRNazanin"/>
          <w:lang w:bidi="fa-IR"/>
          <w:color w:val="111111"/>
          <w:sz w:val="28"/>
          <w:szCs w:val="28"/>
          <w:rtl/>
        </w:rPr>
        <w:t xml:space="preserve">و هو السید محمد ناصر بن محمد سعید خان الطباطبائی تلمیذ محمد حسن قتیل ورد شعره فی (گلشن- ص 494)</w:t>
      </w:r>
    </w:p>
    <w:p>
      <w:pPr>
        <w:pStyle w:val="Heading3"/>
      </w:pPr>
      <w:bookmarkStart w:id="9861" w:name="_Toc8557"/>
      <w:r>
        <w:t>7442- دیوان ناصر بنگالی‏</w:t>
      </w:r>
      <w:bookmarkEnd w:id="9861"/>
    </w:p>
    <w:p>
      <w:pPr>
        <w:pStyle w:val="BookText"/>
      </w:pPr>
      <w:r>
        <w:rPr>
          <w:rFonts w:ascii="IRNazanin" w:hAnsi="IRNazanin" w:eastAsia="IRNazanin" w:cs="IRNazanin"/>
          <w:lang w:bidi="fa-IR"/>
          <w:color w:val="111111"/>
          <w:sz w:val="28"/>
          <w:szCs w:val="28"/>
          <w:rtl/>
        </w:rPr>
        <w:t xml:space="preserve">و اسمه محمد ناصر خان بن محمد قاسم و صهر النواب قاسم علی خان ناظم بنگاله له منظومة لیلی و مجنون کما فی (گلشن- ص 495)</w:t>
      </w:r>
    </w:p>
    <w:p>
      <w:pPr>
        <w:pStyle w:val="Heading3"/>
      </w:pPr>
      <w:bookmarkStart w:id="9862" w:name="_Toc8558"/>
      <w:r>
        <w:t>7443- دیوان ناصر ترمذی أو شعره‏</w:t>
      </w:r>
      <w:bookmarkEnd w:id="9862"/>
    </w:p>
    <w:p>
      <w:pPr>
        <w:pStyle w:val="BookText"/>
      </w:pPr>
      <w:r>
        <w:rPr>
          <w:rFonts w:ascii="IRNazanin" w:hAnsi="IRNazanin" w:eastAsia="IRNazanin" w:cs="IRNazanin"/>
          <w:lang w:bidi="fa-IR"/>
          <w:color w:val="111111"/>
          <w:sz w:val="28"/>
          <w:szCs w:val="28"/>
          <w:rtl/>
        </w:rPr>
        <w:t xml:space="preserve">و اسمه خواجه شاه ناصر من شعراء القرن العاشر ورد شعره فی هفت إقلیم و (خوش‏گو) و (روشن- ص 672)</w:t>
      </w:r>
    </w:p>
    <w:p>
      <w:pPr>
        <w:pStyle w:val="Heading3"/>
      </w:pPr>
      <w:bookmarkStart w:id="9863" w:name="_Toc8559"/>
      <w:r>
        <w:t>7444- دیوان ناصر حیدرآبادی أو شعره‏</w:t>
      </w:r>
      <w:bookmarkEnd w:id="9863"/>
    </w:p>
    <w:p>
      <w:pPr>
        <w:pStyle w:val="BookText"/>
      </w:pPr>
      <w:r>
        <w:rPr>
          <w:rFonts w:ascii="IRNazanin" w:hAnsi="IRNazanin" w:eastAsia="IRNazanin" w:cs="IRNazanin"/>
          <w:lang w:bidi="fa-IR"/>
          <w:color w:val="111111"/>
          <w:sz w:val="28"/>
          <w:szCs w:val="28"/>
          <w:rtl/>
        </w:rPr>
        <w:t xml:space="preserve">و اسمه النواب ناصر جنگ ابن نظام الملک آصف جاه، حاکم حیدرآباد دکن و المتوفی 1164 ورد شعره فی (روشن- ص 673)</w:t>
      </w:r>
    </w:p>
    <w:p>
      <w:pPr>
        <w:pStyle w:val="Heading3"/>
      </w:pPr>
      <w:bookmarkStart w:id="9864" w:name="_Toc8560"/>
      <w:r>
        <w:t>7445- دیوان ناصر حسین‏</w:t>
      </w:r>
      <w:bookmarkEnd w:id="9864"/>
    </w:p>
    <w:p>
      <w:pPr>
        <w:pStyle w:val="BookText"/>
      </w:pPr>
      <w:r>
        <w:rPr>
          <w:rFonts w:ascii="IRNazanin" w:hAnsi="IRNazanin" w:eastAsia="IRNazanin" w:cs="IRNazanin"/>
          <w:lang w:bidi="fa-IR"/>
          <w:color w:val="111111"/>
          <w:sz w:val="28"/>
          <w:szCs w:val="28"/>
          <w:rtl/>
        </w:rPr>
        <w:t xml:space="preserve">و هو ابن حامد حسین صاحب العبقات المذکورة فی (15: 214) ولد فی 1284 کما فی التجلیات و توفی فی رجب 1361 قال ولده السید سعید: إن له دیوان خطب و دیوان شعر</w:t>
      </w:r>
    </w:p>
    <w:p>
      <w:pPr>
        <w:pStyle w:val="Heading3"/>
      </w:pPr>
      <w:bookmarkStart w:id="9865" w:name="_Toc8561"/>
      <w:r>
        <w:t>7446- دیوان ناصر خسرو العلوی الإسماعیلی‏</w:t>
      </w:r>
      <w:bookmarkEnd w:id="9865"/>
    </w:p>
    <w:p>
      <w:pPr>
        <w:pStyle w:val="BookText"/>
      </w:pPr>
      <w:r>
        <w:rPr>
          <w:rFonts w:ascii="IRNazanin" w:hAnsi="IRNazanin" w:eastAsia="IRNazanin" w:cs="IRNazanin"/>
          <w:lang w:bidi="fa-IR"/>
          <w:color w:val="111111"/>
          <w:sz w:val="28"/>
          <w:szCs w:val="28"/>
          <w:rtl/>
        </w:rPr>
        <w:t xml:space="preserve">المتخلص بحجت ناصر بن خسرو بن حارث بن عیسی بن حسن بن محمد بن موسی بن الإمام الجواد ولد 394 قال فی شعره:</w:t>
      </w:r>
    </w:p>
    <w:p>
      <w:pPr>
        <w:pStyle w:val="BookText"/>
      </w:pPr>
      <w:r>
        <w:rPr>
          <w:rFonts w:ascii="IRNazanin" w:hAnsi="IRNazanin" w:eastAsia="IRNazanin" w:cs="IRNazanin"/>
          <w:lang w:bidi="fa-IR"/>
          <w:color w:val="111111"/>
          <w:sz w:val="28"/>
          <w:szCs w:val="28"/>
          <w:rtl/>
        </w:rPr>
        <w:t xml:space="preserve">بگذشت ز هجرت پس سیصد نود و چار</w:t>
      </w:r>
    </w:p>
    <w:p>
      <w:pPr>
        <w:pStyle w:val="BookText"/>
      </w:pPr>
      <w:r>
        <w:rPr>
          <w:rFonts w:ascii="IRNazanin" w:hAnsi="IRNazanin" w:eastAsia="IRNazanin" w:cs="IRNazanin"/>
          <w:lang w:bidi="fa-IR"/>
          <w:color w:val="111111"/>
          <w:sz w:val="28"/>
          <w:szCs w:val="28"/>
          <w:rtl/>
        </w:rPr>
        <w:t xml:space="preserve">بنهاد مرا مادر بر مرکز أغبر</w:t>
      </w:r>
    </w:p>
    <w:p>
      <w:pPr>
        <w:pStyle w:val="BookText"/>
      </w:pPr>
      <w:r>
        <w:rPr>
          <w:rFonts w:ascii="IRNazanin" w:hAnsi="IRNazanin" w:eastAsia="IRNazanin" w:cs="IRNazanin"/>
          <w:lang w:bidi="fa-IR"/>
          <w:color w:val="111111"/>
          <w:sz w:val="28"/>
          <w:szCs w:val="28"/>
          <w:rtl/>
        </w:rPr>
        <w:t xml:space="preserve">ترجمه القزوینی فی (بهش 1- ص 348) و ذکر أنه کان غالیا فی التشیع و کما کان ماهرا فی الشعر کان ماهرا فی الحکمة و لذا رموه بالإلحاد و أورد بعض شعره و ذکر أنه عمر قرب مائة سنة و فی تقویم التواریخ أن عمره سبع و ثمانون سنة ترجم هو نفسه فی رسالة مختصرة أوردها بلفظه آذر فی (تش- ص 197) و ترجم أیضا فی (خیال- ص 27) و توفی 481 کما فی تقویم التواریخ و شاهد صادق و تاریخ گزیده و ترجمه فی (مع- ج 1 ص 607) و ذکر أن له من العمر مائة و أربعون سنة و أن له دیوانان عربی و فارسی قال و قد جمعت شعره الفارسی فی دیوان یقرب من اثنی عشر ألف بیت ثم أورد قرب ألف و خمسمائة بیت من شعره و فیها مدح النبی و الوصی و الأئمة من ولده و قوله فی الغدیر:</w:t>
      </w:r>
    </w:p>
    <w:p>
      <w:pPr>
        <w:pStyle w:val="BookText"/>
      </w:pPr>
      <w:r>
        <w:rPr>
          <w:rFonts w:ascii="IRNazanin" w:hAnsi="IRNazanin" w:eastAsia="IRNazanin" w:cs="IRNazanin"/>
          <w:lang w:bidi="fa-IR"/>
          <w:color w:val="111111"/>
          <w:sz w:val="28"/>
          <w:szCs w:val="28"/>
          <w:rtl/>
        </w:rPr>
        <w:t xml:space="preserve">آنکه معروف بدو شد بجهان روز غدیر</w:t>
      </w:r>
    </w:p>
    <w:p>
      <w:pPr>
        <w:pStyle w:val="BookText"/>
      </w:pPr>
      <w:r>
        <w:rPr>
          <w:rFonts w:ascii="IRNazanin" w:hAnsi="IRNazanin" w:eastAsia="IRNazanin" w:cs="IRNazanin"/>
          <w:lang w:bidi="fa-IR"/>
          <w:color w:val="111111"/>
          <w:sz w:val="28"/>
          <w:szCs w:val="28"/>
          <w:rtl/>
        </w:rPr>
        <w:t xml:space="preserve">وز خداوند ظفر خواست پیمبر به دعاش‏
</w:t>
      </w:r>
    </w:p>
    <w:p>
      <w:pPr>
        <w:sectPr>
          <w:footerReference w:type="default" r:id="rId1163"/>
          <w:footnotePr>
            <w:numStart w:val="1"/>
            <w:numRestart w:val="eachPage"/>
          </w:footnotePr>
          <w:pgSz w:orient="portrait" w:w="11905.511811023622" w:h="16837.79527559055"/>
          <w:pgMar w:top="1440" w:right="1440" w:bottom="1440" w:left="1440" w:header="720" w:footer="720" w:gutter="0"/>
          <w:cols w:num="1" w:space="720"/>
        </w:sectPr>
      </w:pPr>
    </w:p>
    <w:bookmarkStart w:id="1141" w:name="pg11704_122631"/>
    <w:bookmarkEnd w:id="1141"/>
    <w:p>
      <w:pPr>
        <w:pStyle w:val="BookText"/>
      </w:pPr>
      <w:r>
        <w:rPr>
          <w:rFonts w:ascii="IRNazanin" w:hAnsi="IRNazanin" w:eastAsia="IRNazanin" w:cs="IRNazanin"/>
          <w:lang w:bidi="fa-IR"/>
          <w:color w:val="111111"/>
          <w:sz w:val="28"/>
          <w:szCs w:val="28"/>
          <w:rtl/>
        </w:rPr>
        <w:t xml:space="preserve">إلی قوله:</w:t>
      </w:r>
    </w:p>
    <w:p>
      <w:pPr>
        <w:pStyle w:val="BookText"/>
      </w:pPr>
      <w:r>
        <w:rPr>
          <w:rFonts w:ascii="IRNazanin" w:hAnsi="IRNazanin" w:eastAsia="IRNazanin" w:cs="IRNazanin"/>
          <w:lang w:bidi="fa-IR"/>
          <w:color w:val="111111"/>
          <w:sz w:val="28"/>
          <w:szCs w:val="28"/>
          <w:rtl/>
        </w:rPr>
        <w:t xml:space="preserve">مایه خوف و رجا را به علی داد خدای‏</w:t>
      </w:r>
    </w:p>
    <w:p>
      <w:pPr>
        <w:pStyle w:val="BookText"/>
      </w:pPr>
      <w:r>
        <w:rPr>
          <w:rFonts w:ascii="IRNazanin" w:hAnsi="IRNazanin" w:eastAsia="IRNazanin" w:cs="IRNazanin"/>
          <w:lang w:bidi="fa-IR"/>
          <w:color w:val="111111"/>
          <w:sz w:val="28"/>
          <w:szCs w:val="28"/>
          <w:rtl/>
        </w:rPr>
        <w:t xml:space="preserve">تیغ و تأویل علی بود همه خوف و رجاش‏</w:t>
      </w:r>
    </w:p>
    <w:p>
      <w:pPr>
        <w:pStyle w:val="BookText"/>
      </w:pPr>
      <w:r>
        <w:rPr>
          <w:rFonts w:ascii="IRNazanin" w:hAnsi="IRNazanin" w:eastAsia="IRNazanin" w:cs="IRNazanin"/>
          <w:lang w:bidi="fa-IR"/>
          <w:color w:val="111111"/>
          <w:sz w:val="28"/>
          <w:szCs w:val="28"/>
          <w:rtl/>
        </w:rPr>
        <w:t xml:space="preserve">گر شما ناصبیان را بجز أو هست امام‏</w:t>
      </w:r>
    </w:p>
    <w:p>
      <w:pPr>
        <w:pStyle w:val="BookText"/>
      </w:pPr>
      <w:r>
        <w:rPr>
          <w:rFonts w:ascii="IRNazanin" w:hAnsi="IRNazanin" w:eastAsia="IRNazanin" w:cs="IRNazanin"/>
          <w:lang w:bidi="fa-IR"/>
          <w:color w:val="111111"/>
          <w:sz w:val="28"/>
          <w:szCs w:val="28"/>
          <w:rtl/>
        </w:rPr>
        <w:t xml:space="preserve">نیستم من ز پس آن کس و دادم به شماش‏</w:t>
      </w:r>
    </w:p>
    <w:p>
      <w:pPr>
        <w:pStyle w:val="BookText"/>
      </w:pPr>
      <w:r>
        <w:rPr>
          <w:rFonts w:ascii="IRNazanin" w:hAnsi="IRNazanin" w:eastAsia="IRNazanin" w:cs="IRNazanin"/>
          <w:lang w:bidi="fa-IR"/>
          <w:color w:val="111111"/>
          <w:sz w:val="28"/>
          <w:szCs w:val="28"/>
          <w:rtl/>
        </w:rPr>
        <w:t xml:space="preserve">بالجملة لا شبهة فی أنه شیعی و کان فی تحت السلطة الإسماعیلیة و اتصل بعدهم بالخلفاء الفاطمیة و یظهر من تصانیفه و کلماته أنه من الإسماعیلیة و صرح فی آخر وصیته إلی أخیه أبی سعد بن خسرو بما لفظه: [و دو کتاب اشعار مرا بجهان شاه بن کیویمکانی ده‏] فیظهر أنه رتب کلا دیوانیه و لعلهما عربی و فارسی و کتبهما بخطه و نسخ دیوانه الفارسی کثیرة، منها عند (فخر الدین) و (الملک) و طبع دیوانه بتبریز بتصحیح رضا قلی هدایت فی 1280 و 1314 ثم بطهران فی 1324 فی 321 ص ثم بالهند ثم بطهران علی الحروف بتصحیح التقوی و مقدمات تقی‏زاده و دهخدا و مینوی و معه روشنایی‏نامه و سعادت‏نامه فی 1344 و 1375 و طبع سفرنامه بطهران فی 1352 و ترجمت أحواله فی فهرس مکتبة جامعة طهران ج 2 ص 73- 87 و الدکتور صفا فی تاریخ أدبیات ایران و تقی‏زاده فی مقدمه طبعه و بدیع الزمان فروزانفر فی سخن و سخنوران و آذر فی (تش- ص 202) و (خیال- ص 27) و (لت) و (هفت) و (گلشن) و طبع له جامع الحکمتین</w:t>
      </w:r>
    </w:p>
    <w:p>
      <w:pPr>
        <w:pStyle w:val="BookText"/>
      </w:pPr>
      <w:r>
        <w:rPr>
          <w:rFonts w:ascii="IRNazanin" w:hAnsi="IRNazanin" w:eastAsia="IRNazanin" w:cs="IRNazanin"/>
          <w:lang w:bidi="fa-IR"/>
          <w:color w:val="111111"/>
          <w:sz w:val="28"/>
          <w:szCs w:val="28"/>
          <w:rtl/>
        </w:rPr>
        <w:t xml:space="preserve">الذی ألفه فی 422 بالفارسیة فی الفلسفة طبعه الموسیو کربین و الدکتور محمد معین بطهران 1372 فی 348 ص+ 44 ص مع مقدمه بالإفرنسیة</w:t>
      </w:r>
    </w:p>
    <w:p>
      <w:pPr>
        <w:pStyle w:val="Heading3"/>
      </w:pPr>
      <w:bookmarkStart w:id="9866" w:name="_Toc8562"/>
      <w:r>
        <w:t>7447- دیوان ناصر الخطی‏</w:t>
      </w:r>
      <w:bookmarkEnd w:id="9866"/>
    </w:p>
    <w:p>
      <w:pPr>
        <w:pStyle w:val="BookText"/>
      </w:pPr>
      <w:r>
        <w:rPr>
          <w:rFonts w:ascii="IRNazanin" w:hAnsi="IRNazanin" w:eastAsia="IRNazanin" w:cs="IRNazanin"/>
          <w:lang w:bidi="fa-IR"/>
          <w:color w:val="111111"/>
          <w:sz w:val="28"/>
          <w:szCs w:val="28"/>
          <w:rtl/>
        </w:rPr>
        <w:t xml:space="preserve">و هو الشیخ ناصر البحرانی آل أبی سعود المتوفی 1305 قال الشیخ محمد صالح آل طعان: إنه کبیر موجود بمکتبتنا” الشیخ آل طعان” فی القطیف‏</w:t>
      </w:r>
    </w:p>
    <w:p>
      <w:pPr>
        <w:pStyle w:val="Heading3"/>
      </w:pPr>
      <w:bookmarkStart w:id="9867" w:name="_Toc8563"/>
      <w:r>
        <w:t>7448- دیوان ناصر دولت‏آبادی‏</w:t>
      </w:r>
      <w:bookmarkEnd w:id="9867"/>
    </w:p>
    <w:p>
      <w:pPr>
        <w:pStyle w:val="BookText"/>
      </w:pPr>
      <w:r>
        <w:rPr>
          <w:rFonts w:ascii="IRNazanin" w:hAnsi="IRNazanin" w:eastAsia="IRNazanin" w:cs="IRNazanin"/>
          <w:lang w:bidi="fa-IR"/>
          <w:color w:val="111111"/>
          <w:sz w:val="28"/>
          <w:szCs w:val="28"/>
          <w:rtl/>
        </w:rPr>
        <w:t xml:space="preserve">و هو ابن نصر الله ولد 1339 بأصفهان ورد شعره فی (شعرای أصفهان- ص 496) و قال طبع جزء منه و ترجمه البرقعی فی سخنوران نامی معاصر و طبع له منظومة آرمان فی 1372</w:t>
      </w:r>
    </w:p>
    <w:p>
      <w:pPr>
        <w:pStyle w:val="Heading3"/>
      </w:pPr>
      <w:bookmarkStart w:id="9868" w:name="_Toc8564"/>
      <w:r>
        <w:t>7449- دیوان ناصر دهلوی أو شعره‏</w:t>
      </w:r>
      <w:bookmarkEnd w:id="9868"/>
    </w:p>
    <w:p>
      <w:pPr>
        <w:pStyle w:val="BookText"/>
      </w:pPr>
      <w:r>
        <w:rPr>
          <w:rFonts w:ascii="IRNazanin" w:hAnsi="IRNazanin" w:eastAsia="IRNazanin" w:cs="IRNazanin"/>
          <w:lang w:bidi="fa-IR"/>
          <w:color w:val="111111"/>
          <w:sz w:val="28"/>
          <w:szCs w:val="28"/>
          <w:rtl/>
        </w:rPr>
        <w:t xml:space="preserve">و هو السید عطاء الله ورد شعره فی (گلشن- ص 494)</w:t>
      </w:r>
    </w:p>
    <w:p>
      <w:pPr>
        <w:pStyle w:val="Heading3"/>
      </w:pPr>
      <w:bookmarkStart w:id="9869" w:name="_Toc8565"/>
      <w:r>
        <w:t>7450- دیوان ناصر الدین شاه قاجار</w:t>
      </w:r>
      <w:bookmarkEnd w:id="9869"/>
    </w:p>
    <w:p>
      <w:pPr>
        <w:pStyle w:val="BookText"/>
      </w:pPr>
      <w:r>
        <w:rPr>
          <w:rFonts w:ascii="IRNazanin" w:hAnsi="IRNazanin" w:eastAsia="IRNazanin" w:cs="IRNazanin"/>
          <w:lang w:bidi="fa-IR"/>
          <w:color w:val="111111"/>
          <w:sz w:val="28"/>
          <w:szCs w:val="28"/>
          <w:rtl/>
        </w:rPr>
        <w:t xml:space="preserve">طبع 47 ص من أشعاره ضمن تذکره ناصری‏
</w:t>
      </w:r>
    </w:p>
    <w:p>
      <w:pPr>
        <w:sectPr>
          <w:footerReference w:type="default" r:id="rId1164"/>
          <w:footnotePr>
            <w:numStart w:val="1"/>
            <w:numRestart w:val="eachPage"/>
          </w:footnotePr>
          <w:pgSz w:orient="portrait" w:w="11905.511811023622" w:h="16837.79527559055"/>
          <w:pgMar w:top="1440" w:right="1440" w:bottom="1440" w:left="1440" w:header="720" w:footer="720" w:gutter="0"/>
          <w:cols w:num="1" w:space="720"/>
        </w:sectPr>
      </w:pPr>
    </w:p>
    <w:bookmarkStart w:id="1142" w:name="pg11704_122632"/>
    <w:bookmarkEnd w:id="1142"/>
    <w:p>
      <w:pPr>
        <w:pStyle w:val="BookText"/>
      </w:pPr>
      <w:r>
        <w:rPr>
          <w:rFonts w:ascii="IRNazanin" w:hAnsi="IRNazanin" w:eastAsia="IRNazanin" w:cs="IRNazanin"/>
          <w:lang w:bidi="fa-IR"/>
          <w:color w:val="111111"/>
          <w:sz w:val="28"/>
          <w:szCs w:val="28"/>
          <w:rtl/>
        </w:rPr>
        <w:t xml:space="preserve">المطبوع بطهران علی الحجر بخط صفا محلاتی المذکور فی ص 610 و قال فی آخره:</w:t>
      </w:r>
    </w:p>
    <w:p>
      <w:pPr>
        <w:pStyle w:val="BookText"/>
      </w:pPr>
      <w:r>
        <w:rPr>
          <w:rFonts w:ascii="IRNazanin" w:hAnsi="IRNazanin" w:eastAsia="IRNazanin" w:cs="IRNazanin"/>
          <w:lang w:bidi="fa-IR"/>
          <w:color w:val="111111"/>
          <w:sz w:val="28"/>
          <w:szCs w:val="28"/>
          <w:rtl/>
        </w:rPr>
        <w:t xml:space="preserve">بیمن دولت و إقبال شه بخط صفا</w:t>
      </w:r>
    </w:p>
    <w:p>
      <w:pPr>
        <w:pStyle w:val="BookText"/>
      </w:pPr>
      <w:r>
        <w:rPr>
          <w:rFonts w:ascii="IRNazanin" w:hAnsi="IRNazanin" w:eastAsia="IRNazanin" w:cs="IRNazanin"/>
          <w:lang w:bidi="fa-IR"/>
          <w:color w:val="111111"/>
          <w:sz w:val="28"/>
          <w:szCs w:val="28"/>
          <w:rtl/>
        </w:rPr>
        <w:t xml:space="preserve">هزار و سیصد و یک شد کتاب شاه تمام‏</w:t>
      </w:r>
    </w:p>
    <w:p>
      <w:pPr>
        <w:pStyle w:val="BookText"/>
      </w:pPr>
      <w:r>
        <w:rPr>
          <w:rFonts w:ascii="IRNazanin" w:hAnsi="IRNazanin" w:eastAsia="IRNazanin" w:cs="IRNazanin"/>
          <w:lang w:bidi="fa-IR"/>
          <w:color w:val="111111"/>
          <w:sz w:val="28"/>
          <w:szCs w:val="28"/>
          <w:rtl/>
        </w:rPr>
        <w:t xml:space="preserve">و طبع دیوان ناصر الدین شاه مستقلا فی 1374 بطهران و هو أحمد بن محمد شاه حفید فتح علی شاه ملک إیران ولد 1246 و جلس 1264 و قتل 1313 و ذکر فی (گلشن- 495) و عنه فی القاموس الترکی و الریحانة و جعله الهدایة أول الشعراء المذکورین فی کتابه (مع 1: 1) و ألف اعتماد السلطنة فی أحواله و تاریخ عصره، کتابه المآثر و الآثار و ترجمه الأمین فی أعیان الشیعة- 9: 463 بعنوان اسمه أحمد و قال فی (مع 2: 339) أن طرفه محلاتی المذکور فی ص 648 هو الذی جمع الدیوان هذا</w:t>
      </w:r>
    </w:p>
    <w:p>
      <w:pPr>
        <w:pStyle w:val="Heading3"/>
      </w:pPr>
      <w:bookmarkStart w:id="9870" w:name="_Toc8566"/>
      <w:r>
        <w:t>7451- دیوان ناصر الدین عین الملک أو شعره‏</w:t>
      </w:r>
      <w:bookmarkEnd w:id="9870"/>
    </w:p>
    <w:p>
      <w:pPr>
        <w:pStyle w:val="BookText"/>
      </w:pPr>
      <w:r>
        <w:rPr>
          <w:rFonts w:ascii="IRNazanin" w:hAnsi="IRNazanin" w:eastAsia="IRNazanin" w:cs="IRNazanin"/>
          <w:lang w:bidi="fa-IR"/>
          <w:color w:val="111111"/>
          <w:sz w:val="28"/>
          <w:szCs w:val="28"/>
          <w:rtl/>
        </w:rPr>
        <w:t xml:space="preserve">هو من شعراء القرن الثامن یوجد شعره فی تذکره الشعراء الموجودة نسخته فی (المجلس) کما فی فهرسها 3: 159</w:t>
      </w:r>
    </w:p>
    <w:p>
      <w:pPr>
        <w:pStyle w:val="Heading3"/>
      </w:pPr>
      <w:bookmarkStart w:id="9871" w:name="_Toc8567"/>
      <w:r>
        <w:t>7452- دیوان ناصر رامپوری أو شعره‏</w:t>
      </w:r>
      <w:bookmarkEnd w:id="9871"/>
    </w:p>
    <w:p>
      <w:pPr>
        <w:pStyle w:val="BookText"/>
      </w:pPr>
      <w:r>
        <w:rPr>
          <w:rFonts w:ascii="IRNazanin" w:hAnsi="IRNazanin" w:eastAsia="IRNazanin" w:cs="IRNazanin"/>
          <w:lang w:bidi="fa-IR"/>
          <w:color w:val="111111"/>
          <w:sz w:val="28"/>
          <w:szCs w:val="28"/>
          <w:rtl/>
        </w:rPr>
        <w:t xml:space="preserve">و اسمه محمد ناصر من أفاغنة رامپور تلمذ علی غلام جیلانی و مات 1259 ورد شعره فی (گلشن- ص 495)</w:t>
      </w:r>
    </w:p>
    <w:p>
      <w:pPr>
        <w:pStyle w:val="Heading3"/>
      </w:pPr>
      <w:bookmarkStart w:id="9872" w:name="_Toc8568"/>
      <w:r>
        <w:t>7453- دیوان ناصر سجزی أو شعره‏</w:t>
      </w:r>
      <w:bookmarkEnd w:id="9872"/>
    </w:p>
    <w:p>
      <w:pPr>
        <w:pStyle w:val="BookText"/>
      </w:pPr>
      <w:r>
        <w:rPr>
          <w:rFonts w:ascii="IRNazanin" w:hAnsi="IRNazanin" w:eastAsia="IRNazanin" w:cs="IRNazanin"/>
          <w:lang w:bidi="fa-IR"/>
          <w:color w:val="111111"/>
          <w:sz w:val="28"/>
          <w:szCs w:val="28"/>
          <w:rtl/>
        </w:rPr>
        <w:t xml:space="preserve">و هو الأمیر ناصر الدین عثمان بن حرب ترجمه العوفی و أورد شعره فی (لب)</w:t>
      </w:r>
    </w:p>
    <w:p>
      <w:pPr>
        <w:pStyle w:val="Heading3"/>
      </w:pPr>
      <w:bookmarkStart w:id="9873" w:name="_Toc8569"/>
      <w:r>
        <w:t>7454- دیوان ناصر سمرقندی أو شعره‏</w:t>
      </w:r>
      <w:bookmarkEnd w:id="9873"/>
    </w:p>
    <w:p>
      <w:pPr>
        <w:pStyle w:val="BookText"/>
      </w:pPr>
      <w:r>
        <w:rPr>
          <w:rFonts w:ascii="IRNazanin" w:hAnsi="IRNazanin" w:eastAsia="IRNazanin" w:cs="IRNazanin"/>
          <w:lang w:bidi="fa-IR"/>
          <w:color w:val="111111"/>
          <w:sz w:val="28"/>
          <w:szCs w:val="28"/>
          <w:rtl/>
        </w:rPr>
        <w:t xml:space="preserve">و هو ناصر الدین الملازم لأحمد حاجی بیگ، و من شعراء القرن التاسع ترجمه علی شیر فی (مجن 6- 117 و 288)</w:t>
      </w:r>
    </w:p>
    <w:p>
      <w:pPr>
        <w:pStyle w:val="Heading3"/>
      </w:pPr>
      <w:bookmarkStart w:id="9874" w:name="_Toc8570"/>
      <w:r>
        <w:t>دیوان ناصر سهرندی‏</w:t>
      </w:r>
      <w:bookmarkEnd w:id="9874"/>
    </w:p>
    <w:p>
      <w:pPr>
        <w:pStyle w:val="BookText"/>
      </w:pPr>
      <w:r>
        <w:rPr>
          <w:rFonts w:ascii="IRNazanin" w:hAnsi="IRNazanin" w:eastAsia="IRNazanin" w:cs="IRNazanin"/>
          <w:lang w:bidi="fa-IR"/>
          <w:color w:val="111111"/>
          <w:sz w:val="28"/>
          <w:szCs w:val="28"/>
          <w:rtl/>
        </w:rPr>
        <w:t xml:space="preserve">مر فی ص 758 بعنوان علی سهرندی‏</w:t>
      </w:r>
    </w:p>
    <w:p>
      <w:pPr>
        <w:pStyle w:val="Heading3"/>
      </w:pPr>
      <w:bookmarkStart w:id="9875" w:name="_Toc8571"/>
      <w:r>
        <w:t>7455- دیوان ناصر شیرازی أو شعره‏</w:t>
      </w:r>
      <w:bookmarkEnd w:id="9875"/>
    </w:p>
    <w:p>
      <w:pPr>
        <w:pStyle w:val="BookText"/>
      </w:pPr>
      <w:r>
        <w:rPr>
          <w:rFonts w:ascii="IRNazanin" w:hAnsi="IRNazanin" w:eastAsia="IRNazanin" w:cs="IRNazanin"/>
          <w:lang w:bidi="fa-IR"/>
          <w:color w:val="111111"/>
          <w:sz w:val="28"/>
          <w:szCs w:val="28"/>
          <w:rtl/>
        </w:rPr>
        <w:t xml:space="preserve">کان کاتبا یمدح الأئمة الاثنی عشر کما فی (گلشن- ص 495) و لعله الذی سماه فی (فارس‏نامه- 2: 151) ناصری کما یأتی‏</w:t>
      </w:r>
    </w:p>
    <w:p>
      <w:pPr>
        <w:pStyle w:val="Heading3"/>
      </w:pPr>
      <w:bookmarkStart w:id="9876" w:name="_Toc8572"/>
      <w:r>
        <w:t>7456- دیوان ناصر شهید</w:t>
      </w:r>
      <w:bookmarkEnd w:id="9876"/>
    </w:p>
    <w:p>
      <w:pPr>
        <w:pStyle w:val="BookText"/>
      </w:pPr>
      <w:r>
        <w:rPr>
          <w:rFonts w:ascii="IRNazanin" w:hAnsi="IRNazanin" w:eastAsia="IRNazanin" w:cs="IRNazanin"/>
          <w:lang w:bidi="fa-IR"/>
          <w:color w:val="111111"/>
          <w:sz w:val="28"/>
          <w:szCs w:val="28"/>
          <w:rtl/>
        </w:rPr>
        <w:t xml:space="preserve">لناصر جنگ شهید. طبع مع مقدمه فی أحوال الشاعر لمیرزا نصر الله فدائی هندی المذکور فی ص 815 فی ثلاثة أجزاء 621+ 539+ 479 ص بحیدرآباد فی 1301.</w:t>
      </w:r>
    </w:p>
    <w:p>
      <w:pPr>
        <w:pStyle w:val="Heading3"/>
      </w:pPr>
      <w:bookmarkStart w:id="9877" w:name="_Toc8573"/>
      <w:r>
        <w:t>دیوان ناصر علوی قبادیانی‏</w:t>
      </w:r>
      <w:bookmarkEnd w:id="9877"/>
    </w:p>
    <w:p>
      <w:pPr>
        <w:pStyle w:val="BookText"/>
      </w:pPr>
      <w:r>
        <w:rPr>
          <w:rFonts w:ascii="IRNazanin" w:hAnsi="IRNazanin" w:eastAsia="IRNazanin" w:cs="IRNazanin"/>
          <w:lang w:bidi="fa-IR"/>
          <w:color w:val="111111"/>
          <w:sz w:val="28"/>
          <w:szCs w:val="28"/>
          <w:rtl/>
        </w:rPr>
        <w:t xml:space="preserve">مر بعنوان ناصر خسرو.</w:t>
      </w:r>
    </w:p>
    <w:p>
      <w:pPr>
        <w:pStyle w:val="Heading3"/>
      </w:pPr>
      <w:bookmarkStart w:id="9878" w:name="_Toc8574"/>
      <w:r>
        <w:t>دیوان ناصر علی سهرندی‏</w:t>
      </w:r>
      <w:bookmarkEnd w:id="9878"/>
    </w:p>
    <w:p>
      <w:pPr>
        <w:pStyle w:val="BookText"/>
      </w:pPr>
      <w:r>
        <w:rPr>
          <w:rFonts w:ascii="IRNazanin" w:hAnsi="IRNazanin" w:eastAsia="IRNazanin" w:cs="IRNazanin"/>
          <w:lang w:bidi="fa-IR"/>
          <w:color w:val="111111"/>
          <w:sz w:val="28"/>
          <w:szCs w:val="28"/>
          <w:rtl/>
        </w:rPr>
        <w:t xml:space="preserve">مر بعنوان علی سهرندی.</w:t>
      </w:r>
    </w:p>
    <w:p>
      <w:pPr>
        <w:pStyle w:val="Heading3"/>
      </w:pPr>
      <w:bookmarkStart w:id="9879" w:name="_Toc8575"/>
      <w:r>
        <w:t>7457- دیوان ناصر علی کشمیری‏</w:t>
      </w:r>
      <w:bookmarkEnd w:id="9879"/>
    </w:p>
    <w:p>
      <w:pPr>
        <w:pStyle w:val="BookText"/>
      </w:pPr>
      <w:r>
        <w:rPr>
          <w:rFonts w:ascii="IRNazanin" w:hAnsi="IRNazanin" w:eastAsia="IRNazanin" w:cs="IRNazanin"/>
          <w:lang w:bidi="fa-IR"/>
          <w:color w:val="111111"/>
          <w:sz w:val="28"/>
          <w:szCs w:val="28"/>
          <w:rtl/>
        </w:rPr>
        <w:t xml:space="preserve">الملقب صائب ثانی و حنبلة کما ترجمه‏
</w:t>
      </w:r>
    </w:p>
    <w:p>
      <w:pPr>
        <w:sectPr>
          <w:footerReference w:type="default" r:id="rId1165"/>
          <w:footnotePr>
            <w:numStart w:val="1"/>
            <w:numRestart w:val="eachPage"/>
          </w:footnotePr>
          <w:pgSz w:orient="portrait" w:w="11905.511811023622" w:h="16837.79527559055"/>
          <w:pgMar w:top="1440" w:right="1440" w:bottom="1440" w:left="1440" w:header="720" w:footer="720" w:gutter="0"/>
          <w:cols w:num="1" w:space="720"/>
        </w:sectPr>
      </w:pPr>
    </w:p>
    <w:bookmarkStart w:id="1143" w:name="pg11704_122633"/>
    <w:bookmarkEnd w:id="1143"/>
    <w:p>
      <w:pPr>
        <w:pStyle w:val="BookText"/>
      </w:pPr>
      <w:r>
        <w:rPr>
          <w:rFonts w:ascii="IRNazanin" w:hAnsi="IRNazanin" w:eastAsia="IRNazanin" w:cs="IRNazanin"/>
          <w:lang w:bidi="fa-IR"/>
          <w:color w:val="111111"/>
          <w:sz w:val="28"/>
          <w:szCs w:val="28"/>
          <w:rtl/>
        </w:rPr>
        <w:t xml:space="preserve">معاصره النصرآبادی فی (نر 11- ص 447).</w:t>
      </w:r>
    </w:p>
    <w:p>
      <w:pPr>
        <w:pStyle w:val="Heading3"/>
      </w:pPr>
      <w:bookmarkStart w:id="9880" w:name="_Toc8576"/>
      <w:r>
        <w:t>دیوان ناصر فارسی‏</w:t>
      </w:r>
      <w:bookmarkEnd w:id="9880"/>
    </w:p>
    <w:p>
      <w:pPr>
        <w:pStyle w:val="BookText"/>
      </w:pPr>
      <w:r>
        <w:rPr>
          <w:rFonts w:ascii="IRNazanin" w:hAnsi="IRNazanin" w:eastAsia="IRNazanin" w:cs="IRNazanin"/>
          <w:lang w:bidi="fa-IR"/>
          <w:color w:val="111111"/>
          <w:sz w:val="28"/>
          <w:szCs w:val="28"/>
          <w:rtl/>
        </w:rPr>
        <w:t xml:space="preserve">راجع ناصری شیرازی و ناصر شیرازی.</w:t>
      </w:r>
    </w:p>
    <w:p>
      <w:pPr>
        <w:pStyle w:val="Heading3"/>
      </w:pPr>
      <w:bookmarkStart w:id="9881" w:name="_Toc8577"/>
      <w:r>
        <w:t>دیوان ناصر قاجار</w:t>
      </w:r>
      <w:bookmarkEnd w:id="9881"/>
    </w:p>
    <w:p>
      <w:pPr>
        <w:pStyle w:val="BookText"/>
      </w:pPr>
      <w:r>
        <w:rPr>
          <w:rFonts w:ascii="IRNazanin" w:hAnsi="IRNazanin" w:eastAsia="IRNazanin" w:cs="IRNazanin"/>
          <w:lang w:bidi="fa-IR"/>
          <w:color w:val="111111"/>
          <w:sz w:val="28"/>
          <w:szCs w:val="28"/>
          <w:rtl/>
        </w:rPr>
        <w:t xml:space="preserve">راجع ناصر الدین شاه.</w:t>
      </w:r>
    </w:p>
    <w:p>
      <w:pPr>
        <w:pStyle w:val="Heading3"/>
      </w:pPr>
      <w:bookmarkStart w:id="9882" w:name="_Toc8578"/>
      <w:r>
        <w:t>7458- دیوان ناصر قاضی أو شعره‏</w:t>
      </w:r>
      <w:bookmarkEnd w:id="9882"/>
    </w:p>
    <w:p>
      <w:pPr>
        <w:pStyle w:val="BookText"/>
      </w:pPr>
      <w:r>
        <w:rPr>
          <w:rFonts w:ascii="IRNazanin" w:hAnsi="IRNazanin" w:eastAsia="IRNazanin" w:cs="IRNazanin"/>
          <w:lang w:bidi="fa-IR"/>
          <w:color w:val="111111"/>
          <w:sz w:val="28"/>
          <w:szCs w:val="28"/>
          <w:rtl/>
        </w:rPr>
        <w:t xml:space="preserve">جاء شعره فی (گلشن- ص 494).</w:t>
      </w:r>
    </w:p>
    <w:p>
      <w:pPr>
        <w:pStyle w:val="Heading3"/>
      </w:pPr>
      <w:bookmarkStart w:id="9883" w:name="_Toc8579"/>
      <w:r>
        <w:t>7459- دیوان ناصر کاشی‏</w:t>
      </w:r>
      <w:bookmarkEnd w:id="9883"/>
    </w:p>
    <w:p>
      <w:pPr>
        <w:pStyle w:val="BookText"/>
      </w:pPr>
      <w:r>
        <w:rPr>
          <w:rFonts w:ascii="IRNazanin" w:hAnsi="IRNazanin" w:eastAsia="IRNazanin" w:cs="IRNazanin"/>
          <w:lang w:bidi="fa-IR"/>
          <w:color w:val="111111"/>
          <w:sz w:val="28"/>
          <w:szCs w:val="28"/>
          <w:rtl/>
        </w:rPr>
        <w:t xml:space="preserve">من متقدمی الشعراء کما فی (مع- 1: 636). و فی هفت:</w:t>
      </w:r>
    </w:p>
    <w:p>
      <w:pPr>
        <w:pStyle w:val="BookText"/>
      </w:pPr>
      <w:r>
        <w:rPr>
          <w:rFonts w:ascii="IRNazanin" w:hAnsi="IRNazanin" w:eastAsia="IRNazanin" w:cs="IRNazanin"/>
          <w:lang w:bidi="fa-IR"/>
          <w:color w:val="111111"/>
          <w:sz w:val="28"/>
          <w:szCs w:val="28"/>
          <w:rtl/>
        </w:rPr>
        <w:t xml:space="preserve">أن اسمه ناصر الدین رئیس الأئمة.</w:t>
      </w:r>
    </w:p>
    <w:p>
      <w:pPr>
        <w:pStyle w:val="Heading3"/>
      </w:pPr>
      <w:bookmarkStart w:id="9884" w:name="_Toc8580"/>
      <w:r>
        <w:t>7460- دیوان ناصر گیلانی أو شعره‏</w:t>
      </w:r>
      <w:bookmarkEnd w:id="9884"/>
    </w:p>
    <w:p>
      <w:pPr>
        <w:pStyle w:val="BookText"/>
      </w:pPr>
      <w:r>
        <w:rPr>
          <w:rFonts w:ascii="IRNazanin" w:hAnsi="IRNazanin" w:eastAsia="IRNazanin" w:cs="IRNazanin"/>
          <w:lang w:bidi="fa-IR"/>
          <w:color w:val="111111"/>
          <w:sz w:val="28"/>
          <w:szCs w:val="28"/>
          <w:rtl/>
        </w:rPr>
        <w:t xml:space="preserve">و اسمه میرزا ناصر، الطبیب الشاعر کما ترجمه معاصره فی (المآثر- ص 215) و لعله الذی نظم مادة تاریخ وفاة حسین سپهسالار فی 1298. و قال:</w:t>
      </w:r>
    </w:p>
    <w:p>
      <w:pPr>
        <w:pStyle w:val="BookText"/>
      </w:pPr>
      <w:r>
        <w:rPr>
          <w:rFonts w:ascii="IRNazanin" w:hAnsi="IRNazanin" w:eastAsia="IRNazanin" w:cs="IRNazanin"/>
          <w:lang w:bidi="fa-IR"/>
          <w:color w:val="111111"/>
          <w:sz w:val="28"/>
          <w:szCs w:val="28"/>
          <w:rtl/>
        </w:rPr>
        <w:t xml:space="preserve">پی تاریخ سالش گفت ناصر</w:t>
      </w:r>
    </w:p>
    <w:p>
      <w:pPr>
        <w:pStyle w:val="BookText"/>
      </w:pPr>
      <w:r>
        <w:rPr>
          <w:rFonts w:ascii="IRNazanin" w:hAnsi="IRNazanin" w:eastAsia="IRNazanin" w:cs="IRNazanin"/>
          <w:lang w:bidi="fa-IR"/>
          <w:color w:val="111111"/>
          <w:sz w:val="28"/>
          <w:szCs w:val="28"/>
          <w:rtl/>
        </w:rPr>
        <w:t xml:space="preserve">سپهسالار صد حیف از جهان رفت‏</w:t>
      </w:r>
    </w:p>
    <w:p>
      <w:pPr>
        <w:pStyle w:val="BookText"/>
      </w:pPr>
      <w:r>
        <w:rPr>
          <w:rFonts w:ascii="IRNazanin" w:hAnsi="IRNazanin" w:eastAsia="IRNazanin" w:cs="IRNazanin"/>
          <w:lang w:bidi="fa-IR"/>
          <w:color w:val="111111"/>
          <w:sz w:val="28"/>
          <w:szCs w:val="28"/>
          <w:rtl/>
        </w:rPr>
        <w:t xml:space="preserve">. کما ذکره نظام العلماء التبریزی فی سفرنامه رضوی الموجودة عند (فخر الدین).</w:t>
      </w:r>
    </w:p>
    <w:p>
      <w:pPr>
        <w:pStyle w:val="Heading3"/>
      </w:pPr>
      <w:bookmarkStart w:id="9885" w:name="_Toc8581"/>
      <w:r>
        <w:t>دیوان ناصر مهنة</w:t>
      </w:r>
      <w:bookmarkEnd w:id="9885"/>
    </w:p>
    <w:p>
      <w:pPr>
        <w:pStyle w:val="BookText"/>
      </w:pPr>
      <w:r>
        <w:rPr>
          <w:rFonts w:ascii="IRNazanin" w:hAnsi="IRNazanin" w:eastAsia="IRNazanin" w:cs="IRNazanin"/>
          <w:lang w:bidi="fa-IR"/>
          <w:color w:val="111111"/>
          <w:sz w:val="28"/>
          <w:szCs w:val="28"/>
          <w:rtl/>
        </w:rPr>
        <w:t xml:space="preserve">کما فی (گلشن- ص 494) راجع ناصری مهنة.</w:t>
      </w:r>
    </w:p>
    <w:p>
      <w:pPr>
        <w:pStyle w:val="Heading3"/>
      </w:pPr>
      <w:bookmarkStart w:id="9886" w:name="_Toc8582"/>
      <w:r>
        <w:t>7461- دیوان ناصر مظفری‏</w:t>
      </w:r>
      <w:bookmarkEnd w:id="9886"/>
    </w:p>
    <w:p>
      <w:pPr>
        <w:pStyle w:val="BookText"/>
      </w:pPr>
      <w:r>
        <w:rPr>
          <w:rFonts w:ascii="IRNazanin" w:hAnsi="IRNazanin" w:eastAsia="IRNazanin" w:cs="IRNazanin"/>
          <w:lang w:bidi="fa-IR"/>
          <w:color w:val="111111"/>
          <w:sz w:val="28"/>
          <w:szCs w:val="28"/>
          <w:rtl/>
        </w:rPr>
        <w:t xml:space="preserve">و هو ناصر بن محمد علی المظفری. طبع له منظومة مانی و مینو فی 1351 بطهران فی 55 ص.</w:t>
      </w:r>
    </w:p>
    <w:p>
      <w:pPr>
        <w:pStyle w:val="Heading3"/>
      </w:pPr>
      <w:bookmarkStart w:id="9887" w:name="_Toc8583"/>
      <w:r>
        <w:t>7462- دیوان ناصر نجفی‏</w:t>
      </w:r>
      <w:bookmarkEnd w:id="9887"/>
    </w:p>
    <w:p>
      <w:pPr>
        <w:pStyle w:val="BookText"/>
      </w:pPr>
      <w:r>
        <w:rPr>
          <w:rFonts w:ascii="IRNazanin" w:hAnsi="IRNazanin" w:eastAsia="IRNazanin" w:cs="IRNazanin"/>
          <w:lang w:bidi="fa-IR"/>
          <w:color w:val="111111"/>
          <w:sz w:val="28"/>
          <w:szCs w:val="28"/>
          <w:rtl/>
        </w:rPr>
        <w:t xml:space="preserve">و اسمه الشیخ محمد ناصر معاصر نادر شاه. جاء بعد وفاة والده من النجف إلی أصفهان ثم حج البیت کما فی (روشن- ص 673) و (تش- ص 413).</w:t>
      </w:r>
    </w:p>
    <w:p>
      <w:pPr>
        <w:pStyle w:val="BookText"/>
      </w:pPr>
      <w:r>
        <w:rPr>
          <w:rFonts w:ascii="IRNazanin" w:hAnsi="IRNazanin" w:eastAsia="IRNazanin" w:cs="IRNazanin"/>
          <w:lang w:bidi="fa-IR"/>
          <w:color w:val="111111"/>
          <w:sz w:val="28"/>
          <w:szCs w:val="28"/>
          <w:rtl/>
        </w:rPr>
        <w:t xml:space="preserve">یوجد له بعض مثنوی خسرو و شیرین:</w:t>
      </w:r>
    </w:p>
    <w:p>
      <w:pPr>
        <w:pStyle w:val="BookText"/>
      </w:pPr>
      <w:r>
        <w:rPr>
          <w:rFonts w:ascii="IRNazanin" w:hAnsi="IRNazanin" w:eastAsia="IRNazanin" w:cs="IRNazanin"/>
          <w:lang w:bidi="fa-IR"/>
          <w:color w:val="111111"/>
          <w:sz w:val="28"/>
          <w:szCs w:val="28"/>
          <w:rtl/>
        </w:rPr>
        <w:t xml:space="preserve">چو شیرین شهره شد در دلربایی‏</w:t>
      </w:r>
    </w:p>
    <w:p>
      <w:pPr>
        <w:pStyle w:val="BookText"/>
      </w:pPr>
      <w:r>
        <w:rPr>
          <w:rFonts w:ascii="IRNazanin" w:hAnsi="IRNazanin" w:eastAsia="IRNazanin" w:cs="IRNazanin"/>
          <w:lang w:bidi="fa-IR"/>
          <w:color w:val="111111"/>
          <w:sz w:val="28"/>
          <w:szCs w:val="28"/>
          <w:rtl/>
        </w:rPr>
        <w:t xml:space="preserve">غرورش کرد دعوای خدایی‏</w:t>
      </w:r>
    </w:p>
    <w:p>
      <w:pPr>
        <w:pStyle w:val="Heading3"/>
      </w:pPr>
      <w:bookmarkStart w:id="9888" w:name="_Toc8584"/>
      <w:r>
        <w:t>. 7463- دیوان ناصر نجف‏آبادی أو شعره‏</w:t>
      </w:r>
      <w:bookmarkEnd w:id="9888"/>
    </w:p>
    <w:p>
      <w:pPr>
        <w:pStyle w:val="BookText"/>
      </w:pPr>
      <w:r>
        <w:rPr>
          <w:rFonts w:ascii="IRNazanin" w:hAnsi="IRNazanin" w:eastAsia="IRNazanin" w:cs="IRNazanin"/>
          <w:lang w:bidi="fa-IR"/>
          <w:color w:val="111111"/>
          <w:sz w:val="28"/>
          <w:szCs w:val="28"/>
          <w:rtl/>
        </w:rPr>
        <w:t xml:space="preserve">للسید ناصر الدین حجت بن محمد هاشم الحسینی، صاحب الحجة البالغة المذکورة فی 6: 260. ولد و توفی بها فی (1296- 1360). ورد شعره فی (شعرای أصفهان- ص 497) و تخلصه ناصر و حجت.</w:t>
      </w:r>
    </w:p>
    <w:p>
      <w:pPr>
        <w:pStyle w:val="Heading3"/>
      </w:pPr>
      <w:bookmarkStart w:id="9889" w:name="_Toc8585"/>
      <w:r>
        <w:t>7464- دیوان ناصر نسفی أو شعره‏</w:t>
      </w:r>
      <w:bookmarkEnd w:id="9889"/>
    </w:p>
    <w:p>
      <w:pPr>
        <w:pStyle w:val="BookText"/>
      </w:pPr>
      <w:r>
        <w:rPr>
          <w:rFonts w:ascii="IRNazanin" w:hAnsi="IRNazanin" w:eastAsia="IRNazanin" w:cs="IRNazanin"/>
          <w:lang w:bidi="fa-IR"/>
          <w:color w:val="111111"/>
          <w:sz w:val="28"/>
          <w:szCs w:val="28"/>
          <w:rtl/>
        </w:rPr>
        <w:t xml:space="preserve">و اسمه ناصر الدین من شعراء القرن الخامس، ترجم فی (لب) و (مع 1: 636) و قالا مدح محمد بن محمود السلجوقی.</w:t>
      </w:r>
    </w:p>
    <w:p>
      <w:pPr>
        <w:pStyle w:val="Heading3"/>
      </w:pPr>
      <w:bookmarkStart w:id="9890" w:name="_Toc8586"/>
      <w:r>
        <w:t>7465- دیوان ناصر نظمی‏</w:t>
      </w:r>
      <w:bookmarkEnd w:id="9890"/>
    </w:p>
    <w:p>
      <w:pPr>
        <w:pStyle w:val="BookText"/>
      </w:pPr>
      <w:r>
        <w:rPr>
          <w:rFonts w:ascii="IRNazanin" w:hAnsi="IRNazanin" w:eastAsia="IRNazanin" w:cs="IRNazanin"/>
          <w:lang w:bidi="fa-IR"/>
          <w:color w:val="111111"/>
          <w:sz w:val="28"/>
          <w:szCs w:val="28"/>
          <w:rtl/>
        </w:rPr>
        <w:t xml:space="preserve">. طبع له منظومة نگاه بطهران 1370 فی 82 ص.
</w:t>
      </w:r>
    </w:p>
    <w:p>
      <w:pPr>
        <w:sectPr>
          <w:footerReference w:type="default" r:id="rId1166"/>
          <w:footnotePr>
            <w:numStart w:val="1"/>
            <w:numRestart w:val="eachPage"/>
          </w:footnotePr>
          <w:pgSz w:orient="portrait" w:w="11905.511811023622" w:h="16837.79527559055"/>
          <w:pgMar w:top="1440" w:right="1440" w:bottom="1440" w:left="1440" w:header="720" w:footer="720" w:gutter="0"/>
          <w:cols w:num="1" w:space="720"/>
        </w:sectPr>
      </w:pPr>
    </w:p>
    <w:bookmarkStart w:id="1144" w:name="pg11704_122634"/>
    <w:bookmarkEnd w:id="1144"/>
    <w:p>
      <w:pPr>
        <w:pStyle w:val="Heading3"/>
      </w:pPr>
      <w:bookmarkStart w:id="9891" w:name="_Toc8587"/>
      <w:r>
        <w:t>7466- دیوان ناصر هندی أو شعره‏</w:t>
      </w:r>
      <w:bookmarkEnd w:id="9891"/>
    </w:p>
    <w:p>
      <w:pPr>
        <w:pStyle w:val="BookText"/>
      </w:pPr>
      <w:r>
        <w:rPr>
          <w:rFonts w:ascii="IRNazanin" w:hAnsi="IRNazanin" w:eastAsia="IRNazanin" w:cs="IRNazanin"/>
          <w:lang w:bidi="fa-IR"/>
          <w:color w:val="111111"/>
          <w:sz w:val="28"/>
          <w:szCs w:val="28"/>
          <w:rtl/>
        </w:rPr>
        <w:t xml:space="preserve">و هو محمد ناصر بن محمد قاسم. ترجم و أورد شعره فی (گلشن- ص 495).</w:t>
      </w:r>
    </w:p>
    <w:p>
      <w:pPr>
        <w:pStyle w:val="Heading3"/>
      </w:pPr>
      <w:bookmarkStart w:id="9892" w:name="_Toc8588"/>
      <w:r>
        <w:t>7467- دیوان ناصر یزدی‏</w:t>
      </w:r>
      <w:bookmarkEnd w:id="9892"/>
    </w:p>
    <w:p>
      <w:pPr>
        <w:pStyle w:val="BookText"/>
      </w:pPr>
      <w:r>
        <w:rPr>
          <w:rFonts w:ascii="IRNazanin" w:hAnsi="IRNazanin" w:eastAsia="IRNazanin" w:cs="IRNazanin"/>
          <w:lang w:bidi="fa-IR"/>
          <w:color w:val="111111"/>
          <w:sz w:val="28"/>
          <w:szCs w:val="28"/>
          <w:rtl/>
        </w:rPr>
        <w:t xml:space="preserve">و هو محمد حسین بن عباس الجوانشیری المعاصر. ترجمه البرقعی فی (سخنوران نامی معاصر- 3: 288) و الآیتی فی (تش یز- ص 334).</w:t>
      </w:r>
    </w:p>
    <w:p>
      <w:pPr>
        <w:pStyle w:val="Heading3"/>
      </w:pPr>
      <w:bookmarkStart w:id="9893" w:name="_Toc8589"/>
      <w:r>
        <w:t>7468- دیوان ناصری شیرازی أو شعره‏</w:t>
      </w:r>
      <w:bookmarkEnd w:id="9893"/>
    </w:p>
    <w:p>
      <w:pPr>
        <w:pStyle w:val="BookText"/>
      </w:pPr>
      <w:r>
        <w:rPr>
          <w:rFonts w:ascii="IRNazanin" w:hAnsi="IRNazanin" w:eastAsia="IRNazanin" w:cs="IRNazanin"/>
          <w:lang w:bidi="fa-IR"/>
          <w:color w:val="111111"/>
          <w:sz w:val="28"/>
          <w:szCs w:val="28"/>
          <w:rtl/>
        </w:rPr>
        <w:t xml:space="preserve">و هو المیرزا علی صدر العلماء بن علی أکبر بسمل المذکور فی ص 137. ورد شعره فی (فارس‏نامه 2: 38).</w:t>
      </w:r>
    </w:p>
    <w:p>
      <w:pPr>
        <w:pStyle w:val="Heading3"/>
      </w:pPr>
      <w:bookmarkStart w:id="9894" w:name="_Toc8590"/>
      <w:r>
        <w:t>7469- دیوان ناصری شیرازی أو شعره‏</w:t>
      </w:r>
      <w:bookmarkEnd w:id="9894"/>
    </w:p>
    <w:p>
      <w:pPr>
        <w:pStyle w:val="BookText"/>
      </w:pPr>
      <w:r>
        <w:rPr>
          <w:rFonts w:ascii="IRNazanin" w:hAnsi="IRNazanin" w:eastAsia="IRNazanin" w:cs="IRNazanin"/>
          <w:lang w:bidi="fa-IR"/>
          <w:color w:val="111111"/>
          <w:sz w:val="28"/>
          <w:szCs w:val="28"/>
          <w:rtl/>
        </w:rPr>
        <w:t xml:space="preserve">و هو المیرزا ناصر بن المیرزا صادق. ترجمه و أورد شعره معاصره فرصت فی (عم- ص 570) و راجع ناصر شیرازی.</w:t>
      </w:r>
    </w:p>
    <w:p>
      <w:pPr>
        <w:pStyle w:val="Heading3"/>
      </w:pPr>
      <w:bookmarkStart w:id="9895" w:name="_Toc8591"/>
      <w:r>
        <w:t>7470- دیوان ناصری گورکانی أو شعره‏</w:t>
      </w:r>
      <w:bookmarkEnd w:id="9895"/>
    </w:p>
    <w:p>
      <w:pPr>
        <w:pStyle w:val="BookText"/>
      </w:pPr>
      <w:r>
        <w:rPr>
          <w:rFonts w:ascii="IRNazanin" w:hAnsi="IRNazanin" w:eastAsia="IRNazanin" w:cs="IRNazanin"/>
          <w:lang w:bidi="fa-IR"/>
          <w:color w:val="111111"/>
          <w:sz w:val="28"/>
          <w:szCs w:val="28"/>
          <w:rtl/>
        </w:rPr>
        <w:t xml:space="preserve">و هو ناصر الدین میرزا ابن عمر شیخ بن تیمور المتوفی 906. له أشعار وردت فی (گلشن- ص 496).</w:t>
      </w:r>
    </w:p>
    <w:p>
      <w:pPr>
        <w:pStyle w:val="Heading3"/>
      </w:pPr>
      <w:bookmarkStart w:id="9896" w:name="_Toc8592"/>
      <w:r>
        <w:t>7471- دیوان ناصری کرمانی‏</w:t>
      </w:r>
      <w:bookmarkEnd w:id="9896"/>
    </w:p>
    <w:p>
      <w:pPr>
        <w:pStyle w:val="BookText"/>
      </w:pPr>
      <w:r>
        <w:rPr>
          <w:rFonts w:ascii="IRNazanin" w:hAnsi="IRNazanin" w:eastAsia="IRNazanin" w:cs="IRNazanin"/>
          <w:lang w:bidi="fa-IR"/>
          <w:color w:val="111111"/>
          <w:sz w:val="28"/>
          <w:szCs w:val="28"/>
          <w:rtl/>
        </w:rPr>
        <w:t xml:space="preserve">له منظومة إسکندرنامه الموجودة نسخته المکتوبة 1305 عند (فخر الدین- 225) فی 17 ورقة کل منها تشتمل علی 28 بیتا. أوله:</w:t>
      </w:r>
    </w:p>
    <w:p>
      <w:pPr>
        <w:pStyle w:val="BookText"/>
      </w:pPr>
      <w:r>
        <w:rPr>
          <w:rFonts w:ascii="IRNazanin" w:hAnsi="IRNazanin" w:eastAsia="IRNazanin" w:cs="IRNazanin"/>
          <w:lang w:bidi="fa-IR"/>
          <w:color w:val="111111"/>
          <w:sz w:val="28"/>
          <w:szCs w:val="28"/>
          <w:rtl/>
        </w:rPr>
        <w:t xml:space="preserve">دهمین از کیان سکندر بود</w:t>
      </w:r>
    </w:p>
    <w:p>
      <w:pPr>
        <w:pStyle w:val="BookText"/>
      </w:pPr>
      <w:r>
        <w:rPr>
          <w:rFonts w:ascii="IRNazanin" w:hAnsi="IRNazanin" w:eastAsia="IRNazanin" w:cs="IRNazanin"/>
          <w:lang w:bidi="fa-IR"/>
          <w:color w:val="111111"/>
          <w:sz w:val="28"/>
          <w:szCs w:val="28"/>
          <w:rtl/>
        </w:rPr>
        <w:t xml:space="preserve">کز هنر از همه فزون‏تر بود</w:t>
      </w:r>
    </w:p>
    <w:p>
      <w:pPr>
        <w:pStyle w:val="BookText"/>
      </w:pPr>
      <w:r>
        <w:rPr>
          <w:rFonts w:ascii="IRNazanin" w:hAnsi="IRNazanin" w:eastAsia="IRNazanin" w:cs="IRNazanin"/>
          <w:lang w:bidi="fa-IR"/>
          <w:color w:val="111111"/>
          <w:sz w:val="28"/>
          <w:szCs w:val="28"/>
          <w:rtl/>
        </w:rPr>
        <w:t xml:space="preserve">. نظمه باسم ظل السلطان بن ناصر الدین شاه حاکم أصفهان و علیه تقاریظ منظومة لسها و أنصاری و طغرای تفرشی و فرخ و غیرهم. و قد وصف فی أحد التقاریظ بکون آبائه من کبار کرمان و کونه هو من أولاد علی إلیاس. و فی أول النسخة تصویر رجل بلباس السادة و علیه خاتم ناصری.</w:t>
      </w:r>
    </w:p>
    <w:p>
      <w:pPr>
        <w:pStyle w:val="Heading3"/>
      </w:pPr>
      <w:bookmarkStart w:id="9897" w:name="_Toc8593"/>
      <w:r>
        <w:t>7472- دیوان ناصری مهنة</w:t>
      </w:r>
      <w:bookmarkEnd w:id="9897"/>
    </w:p>
    <w:p>
      <w:pPr>
        <w:pStyle w:val="BookText"/>
      </w:pPr>
      <w:r>
        <w:rPr>
          <w:rFonts w:ascii="IRNazanin" w:hAnsi="IRNazanin" w:eastAsia="IRNazanin" w:cs="IRNazanin"/>
          <w:lang w:bidi="fa-IR"/>
          <w:color w:val="111111"/>
          <w:sz w:val="28"/>
          <w:szCs w:val="28"/>
          <w:rtl/>
        </w:rPr>
        <w:t xml:space="preserve">و اسمه ناصر الدین أبو نصر من عرفاء القرن العاشر، و کان ینتسب إلی أبی سعید أبی الخیر. ورد شعره فی (تش- ص 139) و (طرائق- 3: 45) و (روشن- ص 675) و (گلشن- ص 494) و قد یدعی ناصری نیشابوری و ناصر مهنة.</w:t>
      </w:r>
    </w:p>
    <w:p>
      <w:pPr>
        <w:pStyle w:val="Heading3"/>
      </w:pPr>
      <w:bookmarkStart w:id="9898" w:name="_Toc8594"/>
      <w:r>
        <w:t>دیوان ناصری نیشابوری‏</w:t>
      </w:r>
      <w:bookmarkEnd w:id="9898"/>
    </w:p>
    <w:p>
      <w:pPr>
        <w:pStyle w:val="BookText"/>
      </w:pPr>
      <w:r>
        <w:rPr>
          <w:rFonts w:ascii="IRNazanin" w:hAnsi="IRNazanin" w:eastAsia="IRNazanin" w:cs="IRNazanin"/>
          <w:lang w:bidi="fa-IR"/>
          <w:color w:val="111111"/>
          <w:sz w:val="28"/>
          <w:szCs w:val="28"/>
          <w:rtl/>
        </w:rPr>
        <w:t xml:space="preserve">راجع ناصری مهنة.</w:t>
      </w:r>
    </w:p>
    <w:p>
      <w:pPr>
        <w:pStyle w:val="Heading3"/>
      </w:pPr>
      <w:bookmarkStart w:id="9899" w:name="_Toc8595"/>
      <w:r>
        <w:t>7473- دیوان ناطق أصفهانی‏</w:t>
      </w:r>
      <w:bookmarkEnd w:id="9899"/>
    </w:p>
    <w:p>
      <w:pPr>
        <w:pStyle w:val="BookText"/>
      </w:pPr>
      <w:r>
        <w:rPr>
          <w:rFonts w:ascii="IRNazanin" w:hAnsi="IRNazanin" w:eastAsia="IRNazanin" w:cs="IRNazanin"/>
          <w:lang w:bidi="fa-IR"/>
          <w:color w:val="111111"/>
          <w:sz w:val="28"/>
          <w:szCs w:val="28"/>
          <w:rtl/>
        </w:rPr>
        <w:t xml:space="preserve">اسمه المیرزا صادق. کان له مهارة تامة فی التاریخ بالحروف و قد ألف کتابا فی هذا الفن‏</w:t>
      </w:r>
      <w:r>
        <w:rPr>
          <w:rStyle w:val="FootnoteReference"/>
        </w:rPr>
        <w:footnoteReference w:id="91"/>
      </w:r>
      <w:r>
        <w:rPr>
          <w:rFonts w:ascii="IRNazanin" w:hAnsi="IRNazanin" w:eastAsia="IRNazanin" w:cs="IRNazanin"/>
          <w:lang w:bidi="fa-IR"/>
          <w:color w:val="111111"/>
          <w:sz w:val="28"/>
          <w:szCs w:val="28"/>
          <w:rtl/>
        </w:rPr>
        <w:t xml:space="preserve">و له قصائد کثیرة فی وصف الأبنیة الفاخرة أکثر
</w:t>
      </w:r>
    </w:p>
    <w:p>
      <w:pPr>
        <w:sectPr>
          <w:footerReference w:type="default" r:id="rId1167"/>
          <w:footnotePr>
            <w:numStart w:val="1"/>
            <w:numRestart w:val="eachPage"/>
          </w:footnotePr>
          <w:pgSz w:orient="portrait" w:w="11905.511811023622" w:h="16837.79527559055"/>
          <w:pgMar w:top="1440" w:right="1440" w:bottom="1440" w:left="1440" w:header="720" w:footer="720" w:gutter="0"/>
          <w:cols w:num="1" w:space="720"/>
        </w:sectPr>
      </w:pPr>
    </w:p>
    <w:bookmarkStart w:id="1145" w:name="pg11704_122635"/>
    <w:bookmarkEnd w:id="1145"/>
    <w:p>
      <w:pPr>
        <w:pStyle w:val="BookText"/>
      </w:pPr>
      <w:r>
        <w:rPr>
          <w:rFonts w:ascii="IRNazanin" w:hAnsi="IRNazanin" w:eastAsia="IRNazanin" w:cs="IRNazanin"/>
          <w:lang w:bidi="fa-IR"/>
          <w:color w:val="111111"/>
          <w:sz w:val="28"/>
          <w:szCs w:val="28"/>
          <w:rtl/>
        </w:rPr>
        <w:t xml:space="preserve">مصاریعها تاریخ للبناء. أورد هدایت منها القصیدة المکتوبة علی کتیبة إیوان الصحن العتیق بقم المبنیة فی عصر السلطان فتح علی شاه فی 1218 و هی مشتملة علی اثنین و ستین بیتا مائة و أربعة و عشرون مصراعا. عدد حروف کل مصراع یوافق تاریخ البناء و العجب أن عدد (شصت و دو بیت) و عدد (یک‏صد و بیست و چهار مصراع) کل واحد منهما أیضا مطابق لعدد البناء. قال و توفی 1235 و کان ناطق مداح محمد علی میرزا المتخلص بدولت و المعروف بدولت‏شاه بن السلطان فتح علی شاه، و قد أنشأ مقدمه مبسوطة لدیوان دولت شاه فی 1228 و نسخته فی مکتبة (المجلس) کما فی فهرسها ج 3 ص 673.</w:t>
      </w:r>
    </w:p>
    <w:p>
      <w:pPr>
        <w:pStyle w:val="BookText"/>
      </w:pPr>
      <w:r>
        <w:rPr>
          <w:rFonts w:ascii="IRNazanin" w:hAnsi="IRNazanin" w:eastAsia="IRNazanin" w:cs="IRNazanin"/>
          <w:lang w:bidi="fa-IR"/>
          <w:color w:val="111111"/>
          <w:sz w:val="28"/>
          <w:szCs w:val="28"/>
          <w:rtl/>
        </w:rPr>
        <w:t xml:space="preserve">و ترجمه فی (الطرائق 3: 113) و (مع 2: 526) و ریحانة الأدب و همیشه بهار و المدائح المعتمدیة.</w:t>
      </w:r>
    </w:p>
    <w:p>
      <w:pPr>
        <w:pStyle w:val="Heading3"/>
      </w:pPr>
      <w:bookmarkStart w:id="9900" w:name="_Toc8596"/>
      <w:r>
        <w:t>7474- دیوان ناطق أصفهانی أو شعره‏</w:t>
      </w:r>
      <w:bookmarkEnd w:id="9900"/>
    </w:p>
    <w:p>
      <w:pPr>
        <w:pStyle w:val="BookText"/>
      </w:pPr>
      <w:r>
        <w:rPr>
          <w:rFonts w:ascii="IRNazanin" w:hAnsi="IRNazanin" w:eastAsia="IRNazanin" w:cs="IRNazanin"/>
          <w:lang w:bidi="fa-IR"/>
          <w:color w:val="111111"/>
          <w:sz w:val="28"/>
          <w:szCs w:val="28"/>
          <w:rtl/>
        </w:rPr>
        <w:t xml:space="preserve">و هو السید محمد شفیع من مصاحبی حزین.</w:t>
      </w:r>
    </w:p>
    <w:p>
      <w:pPr>
        <w:pStyle w:val="BookText"/>
      </w:pPr>
      <w:r>
        <w:rPr>
          <w:rFonts w:ascii="IRNazanin" w:hAnsi="IRNazanin" w:eastAsia="IRNazanin" w:cs="IRNazanin"/>
          <w:lang w:bidi="fa-IR"/>
          <w:color w:val="111111"/>
          <w:sz w:val="28"/>
          <w:szCs w:val="28"/>
          <w:rtl/>
        </w:rPr>
        <w:t xml:space="preserve">ورد شعره فی تذکره شوشتر- ص 177. و ذکره فی (تش- ص 204) و لم یعرفه.</w:t>
      </w:r>
    </w:p>
    <w:p>
      <w:pPr>
        <w:pStyle w:val="Heading3"/>
      </w:pPr>
      <w:bookmarkStart w:id="9901" w:name="_Toc8597"/>
      <w:r>
        <w:t>7475- دیوان ناطق بنارسی أو شعره‏</w:t>
      </w:r>
      <w:bookmarkEnd w:id="9901"/>
    </w:p>
    <w:p>
      <w:pPr>
        <w:pStyle w:val="BookText"/>
      </w:pPr>
      <w:r>
        <w:rPr>
          <w:rFonts w:ascii="IRNazanin" w:hAnsi="IRNazanin" w:eastAsia="IRNazanin" w:cs="IRNazanin"/>
          <w:lang w:bidi="fa-IR"/>
          <w:color w:val="111111"/>
          <w:sz w:val="28"/>
          <w:szCs w:val="28"/>
          <w:rtl/>
        </w:rPr>
        <w:t xml:space="preserve">و هو القاضی لطف علی خان. ورد شعره فی (گلشن- ص 497).</w:t>
      </w:r>
    </w:p>
    <w:p>
      <w:pPr>
        <w:pStyle w:val="Heading3"/>
      </w:pPr>
      <w:bookmarkStart w:id="9902" w:name="_Toc8598"/>
      <w:r>
        <w:t>7476- دیوان ناطق دنبلی أو شعره‏</w:t>
      </w:r>
      <w:bookmarkEnd w:id="9902"/>
    </w:p>
    <w:p>
      <w:pPr>
        <w:pStyle w:val="BookText"/>
      </w:pPr>
      <w:r>
        <w:rPr>
          <w:rFonts w:ascii="IRNazanin" w:hAnsi="IRNazanin" w:eastAsia="IRNazanin" w:cs="IRNazanin"/>
          <w:lang w:bidi="fa-IR"/>
          <w:color w:val="111111"/>
          <w:sz w:val="28"/>
          <w:szCs w:val="28"/>
          <w:rtl/>
        </w:rPr>
        <w:t xml:space="preserve">و اسمه محمد حسن خان بن محمد علی بن آقا محمد بن فاضل بن شریف بن غیاث. و کان یوصل نسبه إلی یحیی البرمکی و بیته من بیوت أمراء کردستان، و هو ابن أخ صبای کاشانی المذکور فی ص 592. و کان هو وزیر لطف علی خان زند و بعد انقراضهم أسرة محمد خان قاجار و قتله کما ذکر فی ناسخ التواریخ مجلد القاجاریة ص 27.</w:t>
      </w:r>
    </w:p>
    <w:p>
      <w:pPr>
        <w:pStyle w:val="Heading3"/>
      </w:pPr>
      <w:bookmarkStart w:id="9903" w:name="_Toc8599"/>
      <w:r>
        <w:t>7477- دیوان ناطق دهلوی أو شعره‏</w:t>
      </w:r>
      <w:bookmarkEnd w:id="9903"/>
    </w:p>
    <w:p>
      <w:pPr>
        <w:pStyle w:val="BookText"/>
      </w:pPr>
      <w:r>
        <w:rPr>
          <w:rFonts w:ascii="IRNazanin" w:hAnsi="IRNazanin" w:eastAsia="IRNazanin" w:cs="IRNazanin"/>
          <w:lang w:bidi="fa-IR"/>
          <w:color w:val="111111"/>
          <w:sz w:val="28"/>
          <w:szCs w:val="28"/>
          <w:rtl/>
        </w:rPr>
        <w:t xml:space="preserve">کان من شعراء أکبر شاه. ورد شعره فی (سرخوش- ص 118) و (گلشن- ص 496).</w:t>
      </w:r>
    </w:p>
    <w:p>
      <w:pPr>
        <w:pStyle w:val="Heading3"/>
      </w:pPr>
      <w:bookmarkStart w:id="9904" w:name="_Toc8600"/>
      <w:r>
        <w:t>7478- دیوان ناطق شیرازی أو شعره‏</w:t>
      </w:r>
      <w:bookmarkEnd w:id="9904"/>
    </w:p>
    <w:p>
      <w:pPr>
        <w:pStyle w:val="BookText"/>
      </w:pPr>
      <w:r>
        <w:rPr>
          <w:rFonts w:ascii="IRNazanin" w:hAnsi="IRNazanin" w:eastAsia="IRNazanin" w:cs="IRNazanin"/>
          <w:lang w:bidi="fa-IR"/>
          <w:color w:val="111111"/>
          <w:sz w:val="28"/>
          <w:szCs w:val="28"/>
          <w:rtl/>
        </w:rPr>
        <w:t xml:space="preserve">و اسمه مسیحا بن ملا نویدی الشیرازی.
</w:t>
      </w:r>
    </w:p>
    <w:p>
      <w:pPr>
        <w:sectPr>
          <w:footerReference w:type="default" r:id="rId1168"/>
          <w:footnotePr>
            <w:numStart w:val="1"/>
            <w:numRestart w:val="eachPage"/>
          </w:footnotePr>
          <w:pgSz w:orient="portrait" w:w="11905.511811023622" w:h="16837.79527559055"/>
          <w:pgMar w:top="1440" w:right="1440" w:bottom="1440" w:left="1440" w:header="720" w:footer="720" w:gutter="0"/>
          <w:cols w:num="1" w:space="720"/>
        </w:sectPr>
      </w:pPr>
    </w:p>
    <w:bookmarkStart w:id="1146" w:name="pg11704_122636"/>
    <w:bookmarkEnd w:id="1146"/>
    <w:p>
      <w:pPr>
        <w:pStyle w:val="BookText"/>
      </w:pPr>
      <w:r>
        <w:rPr>
          <w:rFonts w:ascii="IRNazanin" w:hAnsi="IRNazanin" w:eastAsia="IRNazanin" w:cs="IRNazanin"/>
          <w:lang w:bidi="fa-IR"/>
          <w:color w:val="111111"/>
          <w:sz w:val="28"/>
          <w:szCs w:val="28"/>
          <w:rtl/>
        </w:rPr>
        <w:t xml:space="preserve">ترجمه معاصره النصرآبادی فی (نر 9- ص 412). و أطرأ حسن خطه و لطافة شعره.</w:t>
      </w:r>
    </w:p>
    <w:p>
      <w:pPr>
        <w:pStyle w:val="Heading3"/>
      </w:pPr>
      <w:bookmarkStart w:id="9905" w:name="_Toc8601"/>
      <w:r>
        <w:t>7479- دیوان ناطق شیرازی‏</w:t>
      </w:r>
      <w:bookmarkEnd w:id="9905"/>
    </w:p>
    <w:p>
      <w:pPr>
        <w:pStyle w:val="BookText"/>
      </w:pPr>
      <w:r>
        <w:rPr>
          <w:rFonts w:ascii="IRNazanin" w:hAnsi="IRNazanin" w:eastAsia="IRNazanin" w:cs="IRNazanin"/>
          <w:lang w:bidi="fa-IR"/>
          <w:color w:val="111111"/>
          <w:sz w:val="28"/>
          <w:szCs w:val="28"/>
          <w:rtl/>
        </w:rPr>
        <w:t xml:space="preserve">ترجمه معاصره المیرزا نصرت فی (آثار عجم- ص 570) و ذکر أن اسمه الشیخ محمد بن المیرزا محمد علی پیش نماز مسجد مشیر الملک و أورد غزله، و عند ذکره لمسجد مشیر فی ص 436 مفصلا ذکر أن إمام المسجد هو المجتهد المستجمع</w:t>
      </w:r>
    </w:p>
    <w:p>
      <w:pPr>
        <w:pStyle w:val="BookText"/>
      </w:pPr>
      <w:r>
        <w:rPr>
          <w:rFonts w:ascii="IRNazanin" w:hAnsi="IRNazanin" w:eastAsia="IRNazanin" w:cs="IRNazanin"/>
          <w:lang w:bidi="fa-IR"/>
          <w:color w:val="111111"/>
          <w:sz w:val="28"/>
          <w:szCs w:val="28"/>
          <w:rtl/>
        </w:rPr>
        <w:t xml:space="preserve">للمعارف الیقینیة المیرزا محمد علی بن المیرزا محب علی الشیرازی، عمه المیرزا حبیب المتخلص بقاءانی و ابنه الشیخ محمد المتخلص بناطق أخذ علم الظاهر عن أبیه و ورث الشاعریة عن عم أبیه و مهر فی نظم المسمطات. أقول المیرزا محمد علی هذا هو أخ شیخنا المیرزا محمد تقی الشیرازی.</w:t>
      </w:r>
    </w:p>
    <w:p>
      <w:pPr>
        <w:pStyle w:val="Heading3"/>
      </w:pPr>
      <w:bookmarkStart w:id="9906" w:name="_Toc8602"/>
      <w:r>
        <w:t>7480- دیوان ناطق قهپائی‏</w:t>
      </w:r>
      <w:bookmarkEnd w:id="9906"/>
    </w:p>
    <w:p>
      <w:pPr>
        <w:pStyle w:val="BookText"/>
      </w:pPr>
      <w:r>
        <w:rPr>
          <w:rFonts w:ascii="IRNazanin" w:hAnsi="IRNazanin" w:eastAsia="IRNazanin" w:cs="IRNazanin"/>
          <w:lang w:bidi="fa-IR"/>
          <w:color w:val="111111"/>
          <w:sz w:val="28"/>
          <w:szCs w:val="28"/>
          <w:rtl/>
        </w:rPr>
        <w:t xml:space="preserve">نزیل أصفهان. ترجمه معاصره فی (نر 9- ص 404) و ذکر أنه کان معلما یحضر مکتبة مائتا نفس. و تتبع شعر القدماء خصوصا الخاقانی.</w:t>
      </w:r>
    </w:p>
    <w:p>
      <w:pPr>
        <w:pStyle w:val="Heading3"/>
      </w:pPr>
      <w:bookmarkStart w:id="9907" w:name="_Toc8603"/>
      <w:r>
        <w:t>7481- دیوان ناطق کاشانی‏</w:t>
      </w:r>
      <w:bookmarkEnd w:id="9907"/>
    </w:p>
    <w:p>
      <w:pPr>
        <w:pStyle w:val="BookText"/>
      </w:pPr>
      <w:r>
        <w:rPr>
          <w:rFonts w:ascii="IRNazanin" w:hAnsi="IRNazanin" w:eastAsia="IRNazanin" w:cs="IRNazanin"/>
          <w:lang w:bidi="fa-IR"/>
          <w:color w:val="111111"/>
          <w:sz w:val="28"/>
          <w:szCs w:val="28"/>
          <w:rtl/>
        </w:rPr>
        <w:t xml:space="preserve">اسمه محمد حسن. یوجد منه ست صفحات ضمن مدائح معتمدیة فی مدح معتمد الدولة منوچهر خان فی مکتبة (المجلس) کما فی فهرسها ج 3 ص 685 و کان صهر فتح علی خان صبای کاشانی المذکور فی ص 592.</w:t>
      </w:r>
    </w:p>
    <w:p>
      <w:pPr>
        <w:pStyle w:val="Heading3"/>
      </w:pPr>
      <w:bookmarkStart w:id="9908" w:name="_Toc8604"/>
      <w:r>
        <w:t>7482- دیوان ناطق کرمانی‏</w:t>
      </w:r>
      <w:bookmarkEnd w:id="9908"/>
    </w:p>
    <w:p>
      <w:pPr>
        <w:pStyle w:val="BookText"/>
      </w:pPr>
      <w:r>
        <w:rPr>
          <w:rFonts w:ascii="IRNazanin" w:hAnsi="IRNazanin" w:eastAsia="IRNazanin" w:cs="IRNazanin"/>
          <w:lang w:bidi="fa-IR"/>
          <w:color w:val="111111"/>
          <w:sz w:val="28"/>
          <w:szCs w:val="28"/>
          <w:rtl/>
        </w:rPr>
        <w:t xml:space="preserve">لمولانا کل محمد منشی ناطق الکرمانی. طبع بنولکشور باسم جوهر معظم و جوهر تخلص لجواهر سنگه اللکهنوی تلمیذ هذا الشاعر کما ذکر فی (روشن- ص 158). و جاء شعره فی (مسرت- ص 231) و فی شمع انجمن أنه مکرانی و مات 1264.</w:t>
      </w:r>
    </w:p>
    <w:p>
      <w:pPr>
        <w:pStyle w:val="Heading3"/>
      </w:pPr>
      <w:bookmarkStart w:id="9909" w:name="_Toc8605"/>
      <w:r>
        <w:t>7483- دیوان مولانا ناطق کشمیری أو شعره‏</w:t>
      </w:r>
      <w:bookmarkEnd w:id="9909"/>
    </w:p>
    <w:p>
      <w:pPr>
        <w:pStyle w:val="BookText"/>
      </w:pPr>
      <w:r>
        <w:rPr>
          <w:rFonts w:ascii="IRNazanin" w:hAnsi="IRNazanin" w:eastAsia="IRNazanin" w:cs="IRNazanin"/>
          <w:lang w:bidi="fa-IR"/>
          <w:color w:val="111111"/>
          <w:sz w:val="28"/>
          <w:szCs w:val="28"/>
          <w:rtl/>
        </w:rPr>
        <w:t xml:space="preserve">قال النصرآبادی فی (نر 11- ص 451) له أخوان شاعران تخلص أحدهما أبکم و الآخر لکنتی. و قد تتبع الناطق کثیرا من القدماء و یدرس دیوان الأنوری. ثم أورد رباعیته و کذا فی (خوش‏گو).</w:t>
      </w:r>
    </w:p>
    <w:p>
      <w:pPr>
        <w:pStyle w:val="Heading3"/>
      </w:pPr>
      <w:bookmarkStart w:id="9910" w:name="_Toc8606"/>
      <w:r>
        <w:t>7484- دیوان ناطق لاهوری أو شعره‏</w:t>
      </w:r>
      <w:bookmarkEnd w:id="9910"/>
    </w:p>
    <w:p>
      <w:pPr>
        <w:pStyle w:val="BookText"/>
      </w:pPr>
      <w:r>
        <w:rPr>
          <w:rFonts w:ascii="IRNazanin" w:hAnsi="IRNazanin" w:eastAsia="IRNazanin" w:cs="IRNazanin"/>
          <w:lang w:bidi="fa-IR"/>
          <w:color w:val="111111"/>
          <w:sz w:val="28"/>
          <w:szCs w:val="28"/>
          <w:rtl/>
        </w:rPr>
        <w:t xml:space="preserve">و هو الخواجة رحمت الله ولد بدهلی و سافر إلی توران و تلمذ علی الشیخ نور العین و میرزا خان خانان و مات بلکهنو ورد شعره فی (گلشن- ص 496)</w:t>
      </w:r>
    </w:p>
    <w:p>
      <w:pPr>
        <w:pStyle w:val="Heading3"/>
      </w:pPr>
      <w:bookmarkStart w:id="9911" w:name="_Toc8607"/>
      <w:r>
        <w:t>دیوان ناطق مکرانی‏</w:t>
      </w:r>
      <w:bookmarkEnd w:id="9911"/>
    </w:p>
    <w:p>
      <w:pPr>
        <w:pStyle w:val="BookText"/>
      </w:pPr>
      <w:r>
        <w:rPr>
          <w:rFonts w:ascii="IRNazanin" w:hAnsi="IRNazanin" w:eastAsia="IRNazanin" w:cs="IRNazanin"/>
          <w:lang w:bidi="fa-IR"/>
          <w:color w:val="111111"/>
          <w:sz w:val="28"/>
          <w:szCs w:val="28"/>
          <w:rtl/>
        </w:rPr>
        <w:t xml:space="preserve">راجع ناطق کرمانی‏</w:t>
      </w:r>
    </w:p>
    <w:p>
      <w:pPr>
        <w:pStyle w:val="Heading3"/>
      </w:pPr>
      <w:bookmarkStart w:id="9912" w:name="_Toc8608"/>
      <w:r>
        <w:t>دیوان ناطق نیشابوری أو شعره‏</w:t>
      </w:r>
      <w:bookmarkEnd w:id="9912"/>
    </w:p>
    <w:p>
      <w:pPr>
        <w:pStyle w:val="BookText"/>
      </w:pPr>
      <w:r>
        <w:rPr>
          <w:rFonts w:ascii="IRNazanin" w:hAnsi="IRNazanin" w:eastAsia="IRNazanin" w:cs="IRNazanin"/>
          <w:lang w:bidi="fa-IR"/>
          <w:color w:val="111111"/>
          <w:sz w:val="28"/>
          <w:szCs w:val="28"/>
          <w:rtl/>
        </w:rPr>
        <w:t xml:space="preserve">جاء ذکره فی (مسرت- ص 44) و لعله ناطقی‏
</w:t>
      </w:r>
    </w:p>
    <w:p>
      <w:pPr>
        <w:sectPr>
          <w:footerReference w:type="default" r:id="rId1169"/>
          <w:footnotePr>
            <w:numStart w:val="1"/>
            <w:numRestart w:val="eachPage"/>
          </w:footnotePr>
          <w:pgSz w:orient="portrait" w:w="11905.511811023622" w:h="16837.79527559055"/>
          <w:pgMar w:top="1440" w:right="1440" w:bottom="1440" w:left="1440" w:header="720" w:footer="720" w:gutter="0"/>
          <w:cols w:num="1" w:space="720"/>
        </w:sectPr>
      </w:pPr>
    </w:p>
    <w:bookmarkStart w:id="1147" w:name="pg11704_122637"/>
    <w:bookmarkEnd w:id="1147"/>
    <w:p>
      <w:pPr>
        <w:pStyle w:val="BookText"/>
      </w:pPr>
      <w:r>
        <w:rPr>
          <w:rFonts w:ascii="IRNazanin" w:hAnsi="IRNazanin" w:eastAsia="IRNazanin" w:cs="IRNazanin"/>
          <w:lang w:bidi="fa-IR"/>
          <w:color w:val="111111"/>
          <w:sz w:val="28"/>
          <w:szCs w:val="28"/>
          <w:rtl/>
        </w:rPr>
        <w:t xml:space="preserve">السبزواری‏</w:t>
      </w:r>
    </w:p>
    <w:p>
      <w:pPr>
        <w:pStyle w:val="Heading3"/>
      </w:pPr>
      <w:bookmarkStart w:id="9913" w:name="_Toc8609"/>
      <w:r>
        <w:t>7485- دیوان ناطقی أسترآبادی أو شعره‏</w:t>
      </w:r>
      <w:bookmarkEnd w:id="9913"/>
    </w:p>
    <w:p>
      <w:pPr>
        <w:pStyle w:val="BookText"/>
      </w:pPr>
      <w:r>
        <w:rPr>
          <w:rFonts w:ascii="IRNazanin" w:hAnsi="IRNazanin" w:eastAsia="IRNazanin" w:cs="IRNazanin"/>
          <w:lang w:bidi="fa-IR"/>
          <w:color w:val="111111"/>
          <w:sz w:val="28"/>
          <w:szCs w:val="28"/>
          <w:rtl/>
        </w:rPr>
        <w:t xml:space="preserve">سافر إلی الهند و مات ببنارس ورد شعره فی (گلشن- ص 497)</w:t>
      </w:r>
    </w:p>
    <w:p>
      <w:pPr>
        <w:pStyle w:val="Heading3"/>
      </w:pPr>
      <w:bookmarkStart w:id="9914" w:name="_Toc8610"/>
      <w:r>
        <w:t>7486- دیوان ناطقی سبزواری أو شعره‏</w:t>
      </w:r>
      <w:bookmarkEnd w:id="9914"/>
    </w:p>
    <w:p>
      <w:pPr>
        <w:pStyle w:val="BookText"/>
      </w:pPr>
      <w:r>
        <w:rPr>
          <w:rFonts w:ascii="IRNazanin" w:hAnsi="IRNazanin" w:eastAsia="IRNazanin" w:cs="IRNazanin"/>
          <w:lang w:bidi="fa-IR"/>
          <w:color w:val="111111"/>
          <w:sz w:val="28"/>
          <w:szCs w:val="28"/>
          <w:rtl/>
        </w:rPr>
        <w:t xml:space="preserve">جاء شعره فی هفت و لعله ما ذکر بعنوان ناطق نیشابوری‏</w:t>
      </w:r>
    </w:p>
    <w:p>
      <w:pPr>
        <w:pStyle w:val="Heading3"/>
      </w:pPr>
      <w:bookmarkStart w:id="9915" w:name="_Toc8611"/>
      <w:r>
        <w:t>7487- دیوان ناطق قزوینی أو شعره‏</w:t>
      </w:r>
      <w:bookmarkEnd w:id="9915"/>
    </w:p>
    <w:p>
      <w:pPr>
        <w:pStyle w:val="BookText"/>
      </w:pPr>
      <w:r>
        <w:rPr>
          <w:rFonts w:ascii="IRNazanin" w:hAnsi="IRNazanin" w:eastAsia="IRNazanin" w:cs="IRNazanin"/>
          <w:lang w:bidi="fa-IR"/>
          <w:color w:val="111111"/>
          <w:sz w:val="28"/>
          <w:szCs w:val="28"/>
          <w:rtl/>
        </w:rPr>
        <w:t xml:space="preserve">أو میر ناطقی ورد شعره فی (تس 2- ص 43) و (گلشن- ص 498)</w:t>
      </w:r>
    </w:p>
    <w:p>
      <w:pPr>
        <w:pStyle w:val="Heading3"/>
      </w:pPr>
      <w:bookmarkStart w:id="9916" w:name="_Toc8612"/>
      <w:r>
        <w:t>7488- دیوان ناظر بستی‏</w:t>
      </w:r>
      <w:bookmarkEnd w:id="9916"/>
    </w:p>
    <w:p>
      <w:pPr>
        <w:pStyle w:val="BookText"/>
      </w:pPr>
      <w:r>
        <w:rPr>
          <w:rFonts w:ascii="IRNazanin" w:hAnsi="IRNazanin" w:eastAsia="IRNazanin" w:cs="IRNazanin"/>
          <w:lang w:bidi="fa-IR"/>
          <w:color w:val="111111"/>
          <w:sz w:val="28"/>
          <w:szCs w:val="28"/>
          <w:rtl/>
        </w:rPr>
        <w:t xml:space="preserve">و هو الشیخ زین العابدین من فضلاء قریة بست بکردستان و دیوانه یقرب من ثلاثة آلاف بیت کذا ترجمه فی (مع 2: 524)</w:t>
      </w:r>
    </w:p>
    <w:p>
      <w:pPr>
        <w:pStyle w:val="Heading3"/>
      </w:pPr>
      <w:bookmarkStart w:id="9917" w:name="_Toc8613"/>
      <w:r>
        <w:t>7489- دیوان ناظر دهلوی أو شعره‏</w:t>
      </w:r>
      <w:bookmarkEnd w:id="9917"/>
    </w:p>
    <w:p>
      <w:pPr>
        <w:pStyle w:val="BookText"/>
      </w:pPr>
      <w:r>
        <w:rPr>
          <w:rFonts w:ascii="IRNazanin" w:hAnsi="IRNazanin" w:eastAsia="IRNazanin" w:cs="IRNazanin"/>
          <w:lang w:bidi="fa-IR"/>
          <w:color w:val="111111"/>
          <w:sz w:val="28"/>
          <w:szCs w:val="28"/>
          <w:rtl/>
        </w:rPr>
        <w:t xml:space="preserve">و هو السید ناظر بن حاجی الگجراتی ابن جعفر الشیرازی، الذی هاجر من شیراز إلی الهند فی عهد شاه‏جهان ورد شعره فی (گلشن- ص 498)</w:t>
      </w:r>
    </w:p>
    <w:p>
      <w:pPr>
        <w:pStyle w:val="Heading3"/>
      </w:pPr>
      <w:bookmarkStart w:id="9918" w:name="_Toc8614"/>
      <w:r>
        <w:t>7490- دیوان ناظرزاده کرمانی‏</w:t>
      </w:r>
      <w:bookmarkEnd w:id="9918"/>
    </w:p>
    <w:p>
      <w:pPr>
        <w:pStyle w:val="BookText"/>
      </w:pPr>
      <w:r>
        <w:rPr>
          <w:rFonts w:ascii="IRNazanin" w:hAnsi="IRNazanin" w:eastAsia="IRNazanin" w:cs="IRNazanin"/>
          <w:lang w:bidi="fa-IR"/>
          <w:color w:val="111111"/>
          <w:sz w:val="28"/>
          <w:szCs w:val="28"/>
          <w:rtl/>
        </w:rPr>
        <w:t xml:space="preserve">و هو الدکتور أحمد بن محمد ناظر الإسلام ولد بکرمان 1335 و طبع من أشعاره أختر و آواز خوانی و رقص و غیرها</w:t>
      </w:r>
    </w:p>
    <w:p>
      <w:pPr>
        <w:pStyle w:val="Heading3"/>
      </w:pPr>
      <w:bookmarkStart w:id="9919" w:name="_Toc8615"/>
      <w:r>
        <w:t>7491- دیوان ناظر کازرونی أو شعره‏</w:t>
      </w:r>
      <w:bookmarkEnd w:id="9919"/>
    </w:p>
    <w:p>
      <w:pPr>
        <w:pStyle w:val="BookText"/>
      </w:pPr>
      <w:r>
        <w:rPr>
          <w:rFonts w:ascii="IRNazanin" w:hAnsi="IRNazanin" w:eastAsia="IRNazanin" w:cs="IRNazanin"/>
          <w:lang w:bidi="fa-IR"/>
          <w:color w:val="111111"/>
          <w:sz w:val="28"/>
          <w:szCs w:val="28"/>
          <w:rtl/>
        </w:rPr>
        <w:t xml:space="preserve">و هو المیرزا عبد الحسین ساکن شیراز فی عهد الشاه عباس ترجم فی (ض- ص 156) و (عم 329) و (الطرائق- 3: 72)</w:t>
      </w:r>
    </w:p>
    <w:p>
      <w:pPr>
        <w:pStyle w:val="Heading3"/>
      </w:pPr>
      <w:bookmarkStart w:id="9920" w:name="_Toc8616"/>
      <w:r>
        <w:t>دیوان ناظر الکوفة</w:t>
      </w:r>
      <w:bookmarkEnd w:id="9920"/>
    </w:p>
    <w:p>
      <w:pPr>
        <w:pStyle w:val="BookText"/>
      </w:pPr>
      <w:r>
        <w:rPr>
          <w:rFonts w:ascii="IRNazanin" w:hAnsi="IRNazanin" w:eastAsia="IRNazanin" w:cs="IRNazanin"/>
          <w:lang w:bidi="fa-IR"/>
          <w:color w:val="111111"/>
          <w:sz w:val="28"/>
          <w:szCs w:val="28"/>
          <w:rtl/>
        </w:rPr>
        <w:t xml:space="preserve">مر فی ص 542 بعنوان شمس الدین‏</w:t>
      </w:r>
    </w:p>
    <w:p>
      <w:pPr>
        <w:pStyle w:val="Heading3"/>
      </w:pPr>
      <w:bookmarkStart w:id="9921" w:name="_Toc8617"/>
      <w:r>
        <w:t>7492- دیوان ناظر گیلانی أو شعره‏</w:t>
      </w:r>
      <w:bookmarkEnd w:id="9921"/>
    </w:p>
    <w:p>
      <w:pPr>
        <w:pStyle w:val="BookText"/>
      </w:pPr>
      <w:r>
        <w:rPr>
          <w:rFonts w:ascii="IRNazanin" w:hAnsi="IRNazanin" w:eastAsia="IRNazanin" w:cs="IRNazanin"/>
          <w:lang w:bidi="fa-IR"/>
          <w:color w:val="111111"/>
          <w:sz w:val="28"/>
          <w:szCs w:val="28"/>
          <w:rtl/>
        </w:rPr>
        <w:t xml:space="preserve">ورد شعره فی (گلشن- ص 498)</w:t>
      </w:r>
    </w:p>
    <w:p>
      <w:pPr>
        <w:pStyle w:val="Heading3"/>
      </w:pPr>
      <w:bookmarkStart w:id="9922" w:name="_Toc8618"/>
      <w:r>
        <w:t>7493- دیوان ناظر مازندرانی أو شعره‏</w:t>
      </w:r>
      <w:bookmarkEnd w:id="9922"/>
    </w:p>
    <w:p>
      <w:pPr>
        <w:pStyle w:val="BookText"/>
      </w:pPr>
      <w:r>
        <w:rPr>
          <w:rFonts w:ascii="IRNazanin" w:hAnsi="IRNazanin" w:eastAsia="IRNazanin" w:cs="IRNazanin"/>
          <w:lang w:bidi="fa-IR"/>
          <w:color w:val="111111"/>
          <w:sz w:val="28"/>
          <w:szCs w:val="28"/>
          <w:rtl/>
        </w:rPr>
        <w:t xml:space="preserve">و هو المیرزا طاهر کان من أقرباء صاحب علی‏آبادی المیرزا محمد تقی ترجمه معاصره هدایت فی (مع 2: 500)</w:t>
      </w:r>
    </w:p>
    <w:p>
      <w:pPr>
        <w:pStyle w:val="Heading3"/>
      </w:pPr>
      <w:bookmarkStart w:id="9923" w:name="_Toc8619"/>
      <w:r>
        <w:t>دیوان ناظر مشهدی‏</w:t>
      </w:r>
      <w:bookmarkEnd w:id="9923"/>
    </w:p>
    <w:p>
      <w:pPr>
        <w:pStyle w:val="BookText"/>
      </w:pPr>
      <w:r>
        <w:rPr>
          <w:rFonts w:ascii="IRNazanin" w:hAnsi="IRNazanin" w:eastAsia="IRNazanin" w:cs="IRNazanin"/>
          <w:lang w:bidi="fa-IR"/>
          <w:color w:val="111111"/>
          <w:sz w:val="28"/>
          <w:szCs w:val="28"/>
          <w:rtl/>
        </w:rPr>
        <w:t xml:space="preserve">راجع ناظری مشهدی‏</w:t>
      </w:r>
    </w:p>
    <w:p>
      <w:pPr>
        <w:pStyle w:val="Heading3"/>
      </w:pPr>
      <w:bookmarkStart w:id="9924" w:name="_Toc8620"/>
      <w:r>
        <w:t>دیوان ناظری‏</w:t>
      </w:r>
      <w:bookmarkEnd w:id="9924"/>
    </w:p>
    <w:p>
      <w:pPr>
        <w:pStyle w:val="BookText"/>
      </w:pPr>
      <w:r>
        <w:rPr>
          <w:rFonts w:ascii="IRNazanin" w:hAnsi="IRNazanin" w:eastAsia="IRNazanin" w:cs="IRNazanin"/>
          <w:lang w:bidi="fa-IR"/>
          <w:color w:val="111111"/>
          <w:sz w:val="28"/>
          <w:szCs w:val="28"/>
          <w:rtl/>
        </w:rPr>
        <w:t xml:space="preserve">یوجد غزلیاته عند (دهخدا) و لعله متحد مع الآتی‏</w:t>
      </w:r>
    </w:p>
    <w:p>
      <w:pPr>
        <w:pStyle w:val="Heading3"/>
      </w:pPr>
      <w:bookmarkStart w:id="9925" w:name="_Toc8621"/>
      <w:r>
        <w:t>7494- دیوان ناظری مشهدی أو شعره‏</w:t>
      </w:r>
      <w:bookmarkEnd w:id="9925"/>
    </w:p>
    <w:p>
      <w:pPr>
        <w:pStyle w:val="BookText"/>
      </w:pPr>
      <w:r>
        <w:rPr>
          <w:rFonts w:ascii="IRNazanin" w:hAnsi="IRNazanin" w:eastAsia="IRNazanin" w:cs="IRNazanin"/>
          <w:lang w:bidi="fa-IR"/>
          <w:color w:val="111111"/>
          <w:sz w:val="28"/>
          <w:szCs w:val="28"/>
          <w:rtl/>
        </w:rPr>
        <w:t xml:space="preserve">کما ترجمه معاصره علی شیر فی (مجن 3- ص 88 و 262) و فی (مطلع 2: 448) و (گلشن- ص 498) سمی ناظر مشهدی‏</w:t>
      </w:r>
    </w:p>
    <w:p>
      <w:pPr>
        <w:pStyle w:val="Heading3"/>
      </w:pPr>
      <w:bookmarkStart w:id="9926" w:name="_Toc8622"/>
      <w:r>
        <w:t>7495- دیوان ناظم ایروانی‏</w:t>
      </w:r>
      <w:bookmarkEnd w:id="9926"/>
    </w:p>
    <w:p>
      <w:pPr>
        <w:pStyle w:val="BookText"/>
      </w:pPr>
      <w:r>
        <w:rPr>
          <w:rFonts w:ascii="IRNazanin" w:hAnsi="IRNazanin" w:eastAsia="IRNazanin" w:cs="IRNazanin"/>
          <w:lang w:bidi="fa-IR"/>
          <w:color w:val="111111"/>
          <w:sz w:val="28"/>
          <w:szCs w:val="28"/>
          <w:rtl/>
        </w:rPr>
        <w:t xml:space="preserve">و هو المیرزا علی أکبر أورد عبرت شعره فی نامه‏
</w:t>
      </w:r>
    </w:p>
    <w:p>
      <w:pPr>
        <w:sectPr>
          <w:footerReference w:type="default" r:id="rId1170"/>
          <w:footnotePr>
            <w:numStart w:val="1"/>
            <w:numRestart w:val="eachPage"/>
          </w:footnotePr>
          <w:pgSz w:orient="portrait" w:w="11905.511811023622" w:h="16837.79527559055"/>
          <w:pgMar w:top="1440" w:right="1440" w:bottom="1440" w:left="1440" w:header="720" w:footer="720" w:gutter="0"/>
          <w:cols w:num="1" w:space="720"/>
        </w:sectPr>
      </w:pPr>
    </w:p>
    <w:bookmarkStart w:id="1148" w:name="pg11704_122638"/>
    <w:bookmarkEnd w:id="1148"/>
    <w:p>
      <w:pPr>
        <w:pStyle w:val="BookText"/>
      </w:pPr>
      <w:r>
        <w:rPr>
          <w:rFonts w:ascii="IRNazanin" w:hAnsi="IRNazanin" w:eastAsia="IRNazanin" w:cs="IRNazanin"/>
          <w:lang w:bidi="fa-IR"/>
          <w:color w:val="111111"/>
          <w:sz w:val="28"/>
          <w:szCs w:val="28"/>
          <w:rtl/>
        </w:rPr>
        <w:t xml:space="preserve">فرهنگیان الموجود فی (المجلس) و ذکر خصوصیاتها فی فهرسها 3: 692</w:t>
      </w:r>
    </w:p>
    <w:p>
      <w:pPr>
        <w:pStyle w:val="Heading3"/>
      </w:pPr>
      <w:bookmarkStart w:id="9927" w:name="_Toc8623"/>
      <w:r>
        <w:t>7496- دیوان ناظم بختیاری‏</w:t>
      </w:r>
      <w:bookmarkEnd w:id="9927"/>
    </w:p>
    <w:p>
      <w:pPr>
        <w:pStyle w:val="BookText"/>
      </w:pPr>
      <w:r>
        <w:rPr>
          <w:rFonts w:ascii="IRNazanin" w:hAnsi="IRNazanin" w:eastAsia="IRNazanin" w:cs="IRNazanin"/>
          <w:lang w:bidi="fa-IR"/>
          <w:color w:val="111111"/>
          <w:sz w:val="28"/>
          <w:szCs w:val="28"/>
          <w:rtl/>
        </w:rPr>
        <w:t xml:space="preserve">و اسمه ید الله بابادی البختیاری ولد بها 1294 و له دیوان شعر فی ألفی بیت ترجمه ایزد گشسب فی نامه سخنوران- ص 139 و شعرای معاصر أصفهان- ص 499 و جاء شعره فی (پژمان- ص 766 و 886)</w:t>
      </w:r>
    </w:p>
    <w:p>
      <w:pPr>
        <w:pStyle w:val="Heading3"/>
      </w:pPr>
      <w:bookmarkStart w:id="9928" w:name="_Toc8624"/>
      <w:r>
        <w:t>7497- دیوان ناظم بنارسی أو شعره‏</w:t>
      </w:r>
      <w:bookmarkEnd w:id="9928"/>
    </w:p>
    <w:p>
      <w:pPr>
        <w:pStyle w:val="BookText"/>
      </w:pPr>
      <w:r>
        <w:rPr>
          <w:rFonts w:ascii="IRNazanin" w:hAnsi="IRNazanin" w:eastAsia="IRNazanin" w:cs="IRNazanin"/>
          <w:lang w:bidi="fa-IR"/>
          <w:color w:val="111111"/>
          <w:sz w:val="28"/>
          <w:szCs w:val="28"/>
          <w:rtl/>
        </w:rPr>
        <w:t xml:space="preserve">هو ابن علی بن روش البنارسی ورد شعره فی (گلشن- ص 499)</w:t>
      </w:r>
    </w:p>
    <w:p>
      <w:pPr>
        <w:pStyle w:val="Heading3"/>
      </w:pPr>
      <w:bookmarkStart w:id="9929" w:name="_Toc8625"/>
      <w:r>
        <w:t>7498- دیوان ناظم تبریزی‏</w:t>
      </w:r>
      <w:bookmarkEnd w:id="9929"/>
    </w:p>
    <w:p>
      <w:pPr>
        <w:pStyle w:val="BookText"/>
      </w:pPr>
      <w:r>
        <w:rPr>
          <w:rFonts w:ascii="IRNazanin" w:hAnsi="IRNazanin" w:eastAsia="IRNazanin" w:cs="IRNazanin"/>
          <w:lang w:bidi="fa-IR"/>
          <w:color w:val="111111"/>
          <w:sz w:val="28"/>
          <w:szCs w:val="28"/>
          <w:rtl/>
        </w:rPr>
        <w:t xml:space="preserve">و هو الخواجة محمد صادق المعروف بصادقا سکن عباس‏آباد بأصفهان و له نظم گزیده ألفه فی 1036، نقل عنه سعید النفیسی فی سخنان أبو سعید- ص 183 و لعله الذی ذکرناه بعنوان تذکره الشعراء فی 4: 37 و قد نقل عنها فی خزانة عامرة و ید بیضاء ترجمه النصرآبادی فی (نر 9- ص 411) و قال توفی قبل التألیف (1083- 1099) و عنه أخذ فی (دجا- ص 369) و قال إن دیوانه یشتمل علی ستة آلاف بیت، و له مثنوی فیروز و شهباز، و جاء شعره فی (روشن- ص 676) و (مسرت- ص 122)</w:t>
      </w:r>
    </w:p>
    <w:p>
      <w:pPr>
        <w:pStyle w:val="Heading3"/>
      </w:pPr>
      <w:bookmarkStart w:id="9930" w:name="_Toc8626"/>
      <w:r>
        <w:t>7499- دیوان ناظم دکنی‏</w:t>
      </w:r>
      <w:bookmarkEnd w:id="9930"/>
    </w:p>
    <w:p>
      <w:pPr>
        <w:pStyle w:val="BookText"/>
      </w:pPr>
      <w:r>
        <w:rPr>
          <w:rFonts w:ascii="IRNazanin" w:hAnsi="IRNazanin" w:eastAsia="IRNazanin" w:cs="IRNazanin"/>
          <w:lang w:bidi="fa-IR"/>
          <w:color w:val="111111"/>
          <w:sz w:val="28"/>
          <w:szCs w:val="28"/>
          <w:rtl/>
        </w:rPr>
        <w:t xml:space="preserve">و هو نصیر الدولة ناظم الملک جین قلیچ بن عماد الملک غازی الدین بن آصف جاه الدکنی تلمذ علی محمد حسین قتیل ورد شعره فی (گلشن- ص 500)</w:t>
      </w:r>
    </w:p>
    <w:p>
      <w:pPr>
        <w:pStyle w:val="Heading3"/>
      </w:pPr>
      <w:bookmarkStart w:id="9931" w:name="_Toc8627"/>
      <w:r>
        <w:t>دیوان ناظم سبزواری‏</w:t>
      </w:r>
      <w:bookmarkEnd w:id="9931"/>
    </w:p>
    <w:p>
      <w:pPr>
        <w:pStyle w:val="BookText"/>
      </w:pPr>
      <w:r>
        <w:rPr>
          <w:rFonts w:ascii="IRNazanin" w:hAnsi="IRNazanin" w:eastAsia="IRNazanin" w:cs="IRNazanin"/>
          <w:lang w:bidi="fa-IR"/>
          <w:color w:val="111111"/>
          <w:sz w:val="28"/>
          <w:szCs w:val="28"/>
          <w:rtl/>
        </w:rPr>
        <w:t xml:space="preserve">و اسمه ملا نظامی کما فی (خوش‏گو)، و الظاهر أنه الشیرازی الآتی و راجع ناظم هروی‏</w:t>
      </w:r>
    </w:p>
    <w:p>
      <w:pPr>
        <w:pStyle w:val="Heading3"/>
      </w:pPr>
      <w:bookmarkStart w:id="9932" w:name="_Toc8628"/>
      <w:r>
        <w:t>7500- دیوان ناظم شیرازی أو شعره‏</w:t>
      </w:r>
      <w:bookmarkEnd w:id="9932"/>
    </w:p>
    <w:p>
      <w:pPr>
        <w:pStyle w:val="BookText"/>
      </w:pPr>
      <w:r>
        <w:rPr>
          <w:rFonts w:ascii="IRNazanin" w:hAnsi="IRNazanin" w:eastAsia="IRNazanin" w:cs="IRNazanin"/>
          <w:lang w:bidi="fa-IR"/>
          <w:color w:val="111111"/>
          <w:sz w:val="28"/>
          <w:szCs w:val="28"/>
          <w:rtl/>
        </w:rPr>
        <w:t xml:space="preserve">و اسمه نظاما البناء کما ذکره النصرآبادی فی (نر 9- ص 384) و قال کان یتخلص سالم فلما غیره اعترض ناظم الیزدی علیه و بعد المحاکمة عند مجمع الأدباء تعین ناظم له و عنه أخذ فی (روشن- ص 676)</w:t>
      </w:r>
    </w:p>
    <w:p>
      <w:pPr>
        <w:pStyle w:val="Heading3"/>
      </w:pPr>
      <w:bookmarkStart w:id="9933" w:name="_Toc8629"/>
      <w:r>
        <w:t>7501- دیوان ناظم شیرازی أو شعره‏</w:t>
      </w:r>
      <w:bookmarkEnd w:id="9933"/>
    </w:p>
    <w:p>
      <w:pPr>
        <w:pStyle w:val="BookText"/>
      </w:pPr>
      <w:r>
        <w:rPr>
          <w:rFonts w:ascii="IRNazanin" w:hAnsi="IRNazanin" w:eastAsia="IRNazanin" w:cs="IRNazanin"/>
          <w:lang w:bidi="fa-IR"/>
          <w:color w:val="111111"/>
          <w:sz w:val="28"/>
          <w:szCs w:val="28"/>
          <w:rtl/>
        </w:rPr>
        <w:t xml:space="preserve">) و هو المیرزا مهدی بن نقیب الشیرازی ترجمه معاصریه، فی (الطرائق- 3: 215) و (فارس‏نامه- 2: 45 و 151)</w:t>
      </w:r>
    </w:p>
    <w:p>
      <w:pPr>
        <w:pStyle w:val="Heading3"/>
      </w:pPr>
      <w:bookmarkStart w:id="9934" w:name="_Toc8630"/>
      <w:r>
        <w:t>7502- دیوان ناظم صابونی‏</w:t>
      </w:r>
      <w:bookmarkEnd w:id="9934"/>
    </w:p>
    <w:p>
      <w:pPr>
        <w:pStyle w:val="BookText"/>
      </w:pPr>
      <w:r>
        <w:rPr>
          <w:rFonts w:ascii="IRNazanin" w:hAnsi="IRNazanin" w:eastAsia="IRNazanin" w:cs="IRNazanin"/>
          <w:lang w:bidi="fa-IR"/>
          <w:color w:val="111111"/>
          <w:sz w:val="28"/>
          <w:szCs w:val="28"/>
          <w:rtl/>
        </w:rPr>
        <w:t xml:space="preserve">هو الحاج کمال الدین محمد کریم الصابونی الطهرانی التاجر العارف الساکن فی کوچه غریبان و المتوفی 1339، و دفن فی حجرة من حجرات‏
</w:t>
      </w:r>
    </w:p>
    <w:p>
      <w:pPr>
        <w:sectPr>
          <w:footerReference w:type="default" r:id="rId1171"/>
          <w:footnotePr>
            <w:numStart w:val="1"/>
            <w:numRestart w:val="eachPage"/>
          </w:footnotePr>
          <w:pgSz w:orient="portrait" w:w="11905.511811023622" w:h="16837.79527559055"/>
          <w:pgMar w:top="1440" w:right="1440" w:bottom="1440" w:left="1440" w:header="720" w:footer="720" w:gutter="0"/>
          <w:cols w:num="1" w:space="720"/>
        </w:sectPr>
      </w:pPr>
    </w:p>
    <w:bookmarkStart w:id="1149" w:name="pg11704_122639"/>
    <w:bookmarkEnd w:id="1149"/>
    <w:p>
      <w:pPr>
        <w:pStyle w:val="BookText"/>
      </w:pPr>
      <w:r>
        <w:rPr>
          <w:rFonts w:ascii="IRNazanin" w:hAnsi="IRNazanin" w:eastAsia="IRNazanin" w:cs="IRNazanin"/>
          <w:lang w:bidi="fa-IR"/>
          <w:color w:val="111111"/>
          <w:sz w:val="28"/>
          <w:szCs w:val="28"/>
          <w:rtl/>
        </w:rPr>
        <w:t xml:space="preserve">مزار الصدوق ابن بابویه بالری أول منظوماته مثنوی لسان الغیب نظمها فی طریق الرجوع من العراق إلی طهران بعد تحمله مشاق الریاضات و بعده نظم بیان الغیب، غزلیات علی ترتیب حروف القافیة، تخلص فی جمیعها ناظم، و بعدهما نیاح الغیب فی المصائب و ألف بعد ذلک أخلاق کمالی ثم توحید کمالی و کلها مطبوعات باسم العصار و نقل المشار فی فهرسه عن جریدة کانون شعراء أن النسبة غلط، و کذا حدثنی الخصیص به المیرزا أحمد بن محمد رضا الطبیب الکاشانی نزیل طهران المعروف بالدکتور إحسان و أعطانی ورقة من مثنویة التی کتبها بخطه إلیه فی النصیحة أوله:</w:t>
      </w:r>
    </w:p>
    <w:p>
      <w:pPr>
        <w:pStyle w:val="BookText"/>
      </w:pPr>
      <w:r>
        <w:rPr>
          <w:rFonts w:ascii="IRNazanin" w:hAnsi="IRNazanin" w:eastAsia="IRNazanin" w:cs="IRNazanin"/>
          <w:lang w:bidi="fa-IR"/>
          <w:color w:val="111111"/>
          <w:sz w:val="28"/>
          <w:szCs w:val="28"/>
          <w:rtl/>
        </w:rPr>
        <w:t xml:space="preserve">عاشق شمعی برو پروانه باش‏</w:t>
      </w:r>
    </w:p>
    <w:p>
      <w:pPr>
        <w:pStyle w:val="BookText"/>
      </w:pPr>
      <w:r>
        <w:rPr>
          <w:rFonts w:ascii="IRNazanin" w:hAnsi="IRNazanin" w:eastAsia="IRNazanin" w:cs="IRNazanin"/>
          <w:lang w:bidi="fa-IR"/>
          <w:color w:val="111111"/>
          <w:sz w:val="28"/>
          <w:szCs w:val="28"/>
          <w:rtl/>
        </w:rPr>
        <w:t xml:space="preserve">طالب گنجی برود دیوانه باش‏</w:t>
      </w:r>
    </w:p>
    <w:p>
      <w:pPr>
        <w:pStyle w:val="BookText"/>
      </w:pPr>
      <w:r>
        <w:rPr>
          <w:rFonts w:ascii="IRNazanin" w:hAnsi="IRNazanin" w:eastAsia="IRNazanin" w:cs="IRNazanin"/>
          <w:lang w:bidi="fa-IR"/>
          <w:color w:val="111111"/>
          <w:sz w:val="28"/>
          <w:szCs w:val="28"/>
          <w:rtl/>
        </w:rPr>
        <w:t xml:space="preserve">و آخره: پند ناظم بشنو و تسلیم شو</w:t>
      </w:r>
    </w:p>
    <w:p>
      <w:pPr>
        <w:pStyle w:val="BookText"/>
      </w:pPr>
      <w:r>
        <w:rPr>
          <w:rFonts w:ascii="IRNazanin" w:hAnsi="IRNazanin" w:eastAsia="IRNazanin" w:cs="IRNazanin"/>
          <w:lang w:bidi="fa-IR"/>
          <w:color w:val="111111"/>
          <w:sz w:val="28"/>
          <w:szCs w:val="28"/>
          <w:rtl/>
        </w:rPr>
        <w:t xml:space="preserve">فارغ از هر انقلاب و بیم شو</w:t>
      </w:r>
    </w:p>
    <w:p>
      <w:pPr>
        <w:pStyle w:val="BookText"/>
      </w:pPr>
      <w:r>
        <w:rPr>
          <w:rFonts w:ascii="IRNazanin" w:hAnsi="IRNazanin" w:eastAsia="IRNazanin" w:cs="IRNazanin"/>
          <w:lang w:bidi="fa-IR"/>
          <w:color w:val="111111"/>
          <w:sz w:val="28"/>
          <w:szCs w:val="28"/>
          <w:rtl/>
        </w:rPr>
        <w:t xml:space="preserve">و قد ذکرنا بیان الغیب فی ج 3 ص 183 و کذا أخلاق کمالی و توحید کمالی و دیوان العصار فی ص 724</w:t>
      </w:r>
    </w:p>
    <w:p>
      <w:pPr>
        <w:pStyle w:val="Heading3"/>
      </w:pPr>
      <w:bookmarkStart w:id="9935" w:name="_Toc8631"/>
      <w:r>
        <w:t>دیوان ناظم طهرانی‏</w:t>
      </w:r>
      <w:bookmarkEnd w:id="9935"/>
    </w:p>
    <w:p>
      <w:pPr>
        <w:pStyle w:val="BookText"/>
      </w:pPr>
      <w:r>
        <w:rPr>
          <w:rFonts w:ascii="IRNazanin" w:hAnsi="IRNazanin" w:eastAsia="IRNazanin" w:cs="IRNazanin"/>
          <w:lang w:bidi="fa-IR"/>
          <w:color w:val="111111"/>
          <w:sz w:val="28"/>
          <w:szCs w:val="28"/>
          <w:rtl/>
        </w:rPr>
        <w:t xml:space="preserve">راجع ناظم صابونی‏</w:t>
      </w:r>
    </w:p>
    <w:p>
      <w:pPr>
        <w:pStyle w:val="Heading3"/>
      </w:pPr>
      <w:bookmarkStart w:id="9936" w:name="_Toc8632"/>
      <w:r>
        <w:t>7503- دیوان ناظم کرمانی أو شعره‏</w:t>
      </w:r>
      <w:bookmarkEnd w:id="9936"/>
    </w:p>
    <w:p>
      <w:pPr>
        <w:pStyle w:val="BookText"/>
      </w:pPr>
      <w:r>
        <w:rPr>
          <w:rFonts w:ascii="IRNazanin" w:hAnsi="IRNazanin" w:eastAsia="IRNazanin" w:cs="IRNazanin"/>
          <w:lang w:bidi="fa-IR"/>
          <w:color w:val="111111"/>
          <w:sz w:val="28"/>
          <w:szCs w:val="28"/>
          <w:rtl/>
        </w:rPr>
        <w:t xml:space="preserve">و هو المیرزا محمد شفیع المعروف بمیرزا کوچک ابن محمد علی ولد بکرمان و سافر إلی العراق و الهند و سکن لکهنو، و کان حیا فی 1234 ورد شعره فی (گلشن- ص 499)</w:t>
      </w:r>
    </w:p>
    <w:p>
      <w:pPr>
        <w:pStyle w:val="Heading3"/>
      </w:pPr>
      <w:bookmarkStart w:id="9937" w:name="_Toc8633"/>
      <w:r>
        <w:t>7504- دیوان ناظم کرمانی أو شعره‏</w:t>
      </w:r>
      <w:bookmarkEnd w:id="9937"/>
    </w:p>
    <w:p>
      <w:pPr>
        <w:pStyle w:val="BookText"/>
      </w:pPr>
      <w:r>
        <w:rPr>
          <w:rFonts w:ascii="IRNazanin" w:hAnsi="IRNazanin" w:eastAsia="IRNazanin" w:cs="IRNazanin"/>
          <w:lang w:bidi="fa-IR"/>
          <w:color w:val="111111"/>
          <w:sz w:val="28"/>
          <w:szCs w:val="28"/>
          <w:rtl/>
        </w:rPr>
        <w:t xml:space="preserve">من مصاحبی محمد صادق أختر ورد شعره فی (گلشن- ص 499)</w:t>
      </w:r>
    </w:p>
    <w:p>
      <w:pPr>
        <w:pStyle w:val="Heading3"/>
      </w:pPr>
      <w:bookmarkStart w:id="9938" w:name="_Toc8634"/>
      <w:r>
        <w:t>دیوان ناظم گلپایگانی‏</w:t>
      </w:r>
      <w:bookmarkEnd w:id="9938"/>
    </w:p>
    <w:p>
      <w:pPr>
        <w:pStyle w:val="BookText"/>
      </w:pPr>
      <w:r>
        <w:rPr>
          <w:rFonts w:ascii="IRNazanin" w:hAnsi="IRNazanin" w:eastAsia="IRNazanin" w:cs="IRNazanin"/>
          <w:lang w:bidi="fa-IR"/>
          <w:color w:val="111111"/>
          <w:sz w:val="28"/>
          <w:szCs w:val="28"/>
          <w:rtl/>
        </w:rPr>
        <w:t xml:space="preserve">نسب إلیه فی (دجا- ص 175) منظومة یوسف و زلیخا و لعله أراد الهروی‏</w:t>
      </w:r>
    </w:p>
    <w:p>
      <w:pPr>
        <w:pStyle w:val="Heading3"/>
      </w:pPr>
      <w:bookmarkStart w:id="9939" w:name="_Toc8635"/>
      <w:r>
        <w:t>دیوان ناظم الملک‏</w:t>
      </w:r>
      <w:bookmarkEnd w:id="9939"/>
    </w:p>
    <w:p>
      <w:pPr>
        <w:pStyle w:val="BookText"/>
      </w:pPr>
      <w:r>
        <w:rPr>
          <w:rFonts w:ascii="IRNazanin" w:hAnsi="IRNazanin" w:eastAsia="IRNazanin" w:cs="IRNazanin"/>
          <w:lang w:bidi="fa-IR"/>
          <w:color w:val="111111"/>
          <w:sz w:val="28"/>
          <w:szCs w:val="28"/>
          <w:rtl/>
        </w:rPr>
        <w:t xml:space="preserve">مر فی ص 633 بعنوان ضیائی مرندی‏</w:t>
      </w:r>
    </w:p>
    <w:p>
      <w:pPr>
        <w:pStyle w:val="Heading3"/>
      </w:pPr>
      <w:bookmarkStart w:id="9940" w:name="_Toc8636"/>
      <w:r>
        <w:t>7505- دیوان ناظم هروی‏</w:t>
      </w:r>
      <w:bookmarkEnd w:id="9940"/>
    </w:p>
    <w:p>
      <w:pPr>
        <w:pStyle w:val="BookText"/>
      </w:pPr>
      <w:r>
        <w:rPr>
          <w:rFonts w:ascii="IRNazanin" w:hAnsi="IRNazanin" w:eastAsia="IRNazanin" w:cs="IRNazanin"/>
          <w:lang w:bidi="fa-IR"/>
          <w:color w:val="111111"/>
          <w:sz w:val="28"/>
          <w:szCs w:val="28"/>
          <w:rtl/>
        </w:rPr>
        <w:t xml:space="preserve">کان فی خدمة عباس قلی خان بن حسن خان شاملو له مثنوی یوسف و زلیخا الذی نظمه فی 1072 الموجود فی المکتبة الآصفیة بحیدرآباد کما فی حاشیة (سرو- ص 105) عند ترجمته، و نسخه أخری عند (الملک) و عند فرخ بخراسان و ترجمه کذلک النصرآبادی فی (نر 9 و 15- ص 330 و 540) و (سرخوش- ص 113) و (تش- ص 151) و (خوش‏گو) و (روشن- ص 677)
</w:t>
      </w:r>
    </w:p>
    <w:p>
      <w:pPr>
        <w:sectPr>
          <w:footerReference w:type="default" r:id="rId1172"/>
          <w:footnotePr>
            <w:numStart w:val="1"/>
            <w:numRestart w:val="eachPage"/>
          </w:footnotePr>
          <w:pgSz w:orient="portrait" w:w="11905.511811023622" w:h="16837.79527559055"/>
          <w:pgMar w:top="1440" w:right="1440" w:bottom="1440" w:left="1440" w:header="720" w:footer="720" w:gutter="0"/>
          <w:cols w:num="1" w:space="720"/>
        </w:sectPr>
      </w:pPr>
    </w:p>
    <w:bookmarkStart w:id="1150" w:name="pg11704_122640"/>
    <w:bookmarkEnd w:id="1150"/>
    <w:p>
      <w:pPr>
        <w:pStyle w:val="BookText"/>
      </w:pPr>
      <w:r>
        <w:rPr>
          <w:rFonts w:ascii="IRNazanin" w:hAnsi="IRNazanin" w:eastAsia="IRNazanin" w:cs="IRNazanin"/>
          <w:lang w:bidi="fa-IR"/>
          <w:color w:val="111111"/>
          <w:sz w:val="28"/>
          <w:szCs w:val="28"/>
          <w:rtl/>
        </w:rPr>
        <w:t xml:space="preserve">و (حسینی 356) و (مسرت 487) و قد رأی سنگلاخ دیوانه بخط شفیعا فذکره فی (امتحان 1: 133) و طبع یوسف و زلیخا لملا فرخ حسین ناظم هروی المتوفی 1068 ببلدة تاشکند فی 1322 و قال فی (نتایج- ص 722) إنه مات فی أواخر المائة الحادیة عشرة و یوجد دیوان ناظم و غزلیاته فی 4000 بیت، استنسخه عن نسخه بخارا فی 1291 محمد إبراهیم بن آقا بابا أخ مجنون تهرانی المذکور فی ص 967 و النسخة عند بزرگ‏نیا بطهران انتقلت إلی جامعة طهران‏</w:t>
      </w:r>
    </w:p>
    <w:p>
      <w:pPr>
        <w:pStyle w:val="Heading3"/>
      </w:pPr>
      <w:bookmarkStart w:id="9941" w:name="_Toc8637"/>
      <w:r>
        <w:t>7506- دیوان ناظم یزدی أو شعره‏</w:t>
      </w:r>
      <w:bookmarkEnd w:id="9941"/>
    </w:p>
    <w:p>
      <w:pPr>
        <w:pStyle w:val="BookText"/>
      </w:pPr>
      <w:r>
        <w:rPr>
          <w:rFonts w:ascii="IRNazanin" w:hAnsi="IRNazanin" w:eastAsia="IRNazanin" w:cs="IRNazanin"/>
          <w:lang w:bidi="fa-IR"/>
          <w:color w:val="111111"/>
          <w:sz w:val="28"/>
          <w:szCs w:val="28"/>
          <w:rtl/>
        </w:rPr>
        <w:t xml:space="preserve">ترجمه معاصره النصرآبادی فی (نر 9- ص 384 و ص 404) و ذکر أنه کان سنین فی الهند و رجع و یدعی جامعیة الفنون لا سیما الشطرنج ثم قال إنی مع عدم مهارتی فیه غلبت علیه مکررا و راجع ناظم شیرازی‏</w:t>
      </w:r>
    </w:p>
    <w:p>
      <w:pPr>
        <w:pStyle w:val="Heading3"/>
      </w:pPr>
      <w:bookmarkStart w:id="9942" w:name="_Toc8638"/>
      <w:r>
        <w:t>7507- دیوان ناظمی أو شعره‏</w:t>
      </w:r>
      <w:bookmarkEnd w:id="9942"/>
    </w:p>
    <w:p>
      <w:pPr>
        <w:pStyle w:val="BookText"/>
      </w:pPr>
      <w:r>
        <w:rPr>
          <w:rFonts w:ascii="IRNazanin" w:hAnsi="IRNazanin" w:eastAsia="IRNazanin" w:cs="IRNazanin"/>
          <w:lang w:bidi="fa-IR"/>
          <w:color w:val="111111"/>
          <w:sz w:val="28"/>
          <w:szCs w:val="28"/>
          <w:rtl/>
        </w:rPr>
        <w:t xml:space="preserve">ورد شعره فی (گلشن- ص 501) و ریاض الشعراء</w:t>
      </w:r>
    </w:p>
    <w:p>
      <w:pPr>
        <w:pStyle w:val="Heading3"/>
      </w:pPr>
      <w:bookmarkStart w:id="9943" w:name="_Toc8639"/>
      <w:r>
        <w:t>7508- دیوان نافذ بروجردی‏</w:t>
      </w:r>
      <w:bookmarkEnd w:id="9943"/>
    </w:p>
    <w:p>
      <w:pPr>
        <w:pStyle w:val="BookText"/>
      </w:pPr>
      <w:r>
        <w:rPr>
          <w:rFonts w:ascii="IRNazanin" w:hAnsi="IRNazanin" w:eastAsia="IRNazanin" w:cs="IRNazanin"/>
          <w:lang w:bidi="fa-IR"/>
          <w:color w:val="111111"/>
          <w:sz w:val="28"/>
          <w:szCs w:val="28"/>
          <w:rtl/>
        </w:rPr>
        <w:t xml:space="preserve">غزلیات طبع بإیران علی الحروف و أکثرها تضمینات لغزلیات حافظ الشیرازی‏</w:t>
      </w:r>
    </w:p>
    <w:p>
      <w:pPr>
        <w:pStyle w:val="Heading3"/>
      </w:pPr>
      <w:bookmarkStart w:id="9944" w:name="_Toc8640"/>
      <w:r>
        <w:t>7509- دیوان نافع قمی‏</w:t>
      </w:r>
      <w:bookmarkEnd w:id="9944"/>
    </w:p>
    <w:p>
      <w:pPr>
        <w:pStyle w:val="BookText"/>
      </w:pPr>
      <w:r>
        <w:rPr>
          <w:rFonts w:ascii="IRNazanin" w:hAnsi="IRNazanin" w:eastAsia="IRNazanin" w:cs="IRNazanin"/>
          <w:lang w:bidi="fa-IR"/>
          <w:color w:val="111111"/>
          <w:sz w:val="28"/>
          <w:szCs w:val="28"/>
          <w:rtl/>
        </w:rPr>
        <w:t xml:space="preserve">کان طباخا، تتبع الشعراء حتی صار شاعرا ینظم المعانی العالیة و قد شرح عبد الرزاق اللاهیجی منظومة له، ترجمه کذلک النصرآبادی فی (نر 9- ص 366) و (تش- 236) و عنهما فی القاموس الترکی و علمای گیلان و همیشه بهار</w:t>
      </w:r>
    </w:p>
    <w:p>
      <w:pPr>
        <w:pStyle w:val="Heading3"/>
      </w:pPr>
      <w:bookmarkStart w:id="9945" w:name="_Toc8641"/>
      <w:r>
        <w:t>7510- دیوان ناقد هروی أو شعره‏</w:t>
      </w:r>
      <w:bookmarkEnd w:id="9945"/>
    </w:p>
    <w:p>
      <w:pPr>
        <w:pStyle w:val="BookText"/>
      </w:pPr>
      <w:r>
        <w:rPr>
          <w:rFonts w:ascii="IRNazanin" w:hAnsi="IRNazanin" w:eastAsia="IRNazanin" w:cs="IRNazanin"/>
          <w:lang w:bidi="fa-IR"/>
          <w:color w:val="111111"/>
          <w:sz w:val="28"/>
          <w:szCs w:val="28"/>
          <w:rtl/>
        </w:rPr>
        <w:t xml:space="preserve">ورد شعره فی (گلشن- ص 501)</w:t>
      </w:r>
    </w:p>
    <w:p>
      <w:pPr>
        <w:pStyle w:val="Heading3"/>
      </w:pPr>
      <w:bookmarkStart w:id="9946" w:name="_Toc8642"/>
      <w:r>
        <w:t>7511- دیوان ناکام بخارائی أو شعره‏</w:t>
      </w:r>
      <w:bookmarkEnd w:id="9946"/>
    </w:p>
    <w:p>
      <w:pPr>
        <w:pStyle w:val="BookText"/>
      </w:pPr>
      <w:r>
        <w:rPr>
          <w:rFonts w:ascii="IRNazanin" w:hAnsi="IRNazanin" w:eastAsia="IRNazanin" w:cs="IRNazanin"/>
          <w:lang w:bidi="fa-IR"/>
          <w:color w:val="111111"/>
          <w:sz w:val="28"/>
          <w:szCs w:val="28"/>
          <w:rtl/>
        </w:rPr>
        <w:t xml:space="preserve">کان من ملازمی إمام قلی خان ترجم فی (نر 10- ص 436) و (روشن- ص 678) و (خوش‏گو)</w:t>
      </w:r>
    </w:p>
    <w:p>
      <w:pPr>
        <w:pStyle w:val="Heading3"/>
      </w:pPr>
      <w:bookmarkStart w:id="9947" w:name="_Toc8643"/>
      <w:r>
        <w:t>دیوان ناکوک‏</w:t>
      </w:r>
      <w:bookmarkEnd w:id="9947"/>
    </w:p>
    <w:p>
      <w:pPr>
        <w:pStyle w:val="BookText"/>
      </w:pPr>
      <w:r>
        <w:rPr>
          <w:rFonts w:ascii="IRNazanin" w:hAnsi="IRNazanin" w:eastAsia="IRNazanin" w:cs="IRNazanin"/>
          <w:lang w:bidi="fa-IR"/>
          <w:color w:val="111111"/>
          <w:sz w:val="28"/>
          <w:szCs w:val="28"/>
          <w:rtl/>
        </w:rPr>
        <w:t xml:space="preserve">و هو لقب لعطاء الرازی أبی العلاء بن یعقوب الکاتب المذکور فی ص 727</w:t>
      </w:r>
    </w:p>
    <w:p>
      <w:pPr>
        <w:pStyle w:val="Heading3"/>
      </w:pPr>
      <w:bookmarkStart w:id="9948" w:name="_Toc8644"/>
      <w:r>
        <w:t>7512- دیوان نالان لکهنوی أو شعره‏</w:t>
      </w:r>
      <w:bookmarkEnd w:id="9948"/>
    </w:p>
    <w:p>
      <w:pPr>
        <w:pStyle w:val="BookText"/>
      </w:pPr>
      <w:r>
        <w:rPr>
          <w:rFonts w:ascii="IRNazanin" w:hAnsi="IRNazanin" w:eastAsia="IRNazanin" w:cs="IRNazanin"/>
          <w:lang w:bidi="fa-IR"/>
          <w:color w:val="111111"/>
          <w:sz w:val="28"/>
          <w:szCs w:val="28"/>
          <w:rtl/>
        </w:rPr>
        <w:t xml:space="preserve">و هو المیرزا محمد رضا ابن محمد عباس، من تلامیذ محمد حسین قتیل. مات شابا فی القرن الثالث عشر. ورد شعره فی (گلشن- ص 501).</w:t>
      </w:r>
    </w:p>
    <w:p>
      <w:pPr>
        <w:pStyle w:val="Heading3"/>
      </w:pPr>
      <w:bookmarkStart w:id="9949" w:name="_Toc8645"/>
      <w:r>
        <w:t>7513- دیوان ناله بغدادی أو شعره‏</w:t>
      </w:r>
      <w:bookmarkEnd w:id="9949"/>
    </w:p>
    <w:p>
      <w:pPr>
        <w:pStyle w:val="BookText"/>
      </w:pPr>
      <w:r>
        <w:rPr>
          <w:rFonts w:ascii="IRNazanin" w:hAnsi="IRNazanin" w:eastAsia="IRNazanin" w:cs="IRNazanin"/>
          <w:lang w:bidi="fa-IR"/>
          <w:color w:val="111111"/>
          <w:sz w:val="28"/>
          <w:szCs w:val="28"/>
          <w:rtl/>
        </w:rPr>
        <w:t xml:space="preserve">و هو ملا محمد الحسنی الحسینی. أصله من‏
</w:t>
      </w:r>
    </w:p>
    <w:p>
      <w:pPr>
        <w:sectPr>
          <w:footerReference w:type="default" r:id="rId1173"/>
          <w:footnotePr>
            <w:numStart w:val="1"/>
            <w:numRestart w:val="eachPage"/>
          </w:footnotePr>
          <w:pgSz w:orient="portrait" w:w="11905.511811023622" w:h="16837.79527559055"/>
          <w:pgMar w:top="1440" w:right="1440" w:bottom="1440" w:left="1440" w:header="720" w:footer="720" w:gutter="0"/>
          <w:cols w:num="1" w:space="720"/>
        </w:sectPr>
      </w:pPr>
    </w:p>
    <w:bookmarkStart w:id="1151" w:name="pg11704_122641"/>
    <w:bookmarkEnd w:id="1151"/>
    <w:p>
      <w:pPr>
        <w:pStyle w:val="BookText"/>
      </w:pPr>
      <w:r>
        <w:rPr>
          <w:rFonts w:ascii="IRNazanin" w:hAnsi="IRNazanin" w:eastAsia="IRNazanin" w:cs="IRNazanin"/>
          <w:lang w:bidi="fa-IR"/>
          <w:color w:val="111111"/>
          <w:sz w:val="28"/>
          <w:szCs w:val="28"/>
          <w:rtl/>
        </w:rPr>
        <w:t xml:space="preserve">بغداد و سکن إستانبول و سافر إلی الهند و مات بلکهنو فی 1237. ورد شعره فی (گلشن- ص 501).</w:t>
      </w:r>
    </w:p>
    <w:p>
      <w:pPr>
        <w:pStyle w:val="Heading3"/>
      </w:pPr>
      <w:bookmarkStart w:id="9950" w:name="_Toc8646"/>
      <w:r>
        <w:t>7514- دیوان ناله شیرازی‏</w:t>
      </w:r>
      <w:bookmarkEnd w:id="9950"/>
    </w:p>
    <w:p>
      <w:pPr>
        <w:pStyle w:val="BookText"/>
      </w:pPr>
      <w:r>
        <w:rPr>
          <w:rFonts w:ascii="IRNazanin" w:hAnsi="IRNazanin" w:eastAsia="IRNazanin" w:cs="IRNazanin"/>
          <w:lang w:bidi="fa-IR"/>
          <w:color w:val="111111"/>
          <w:sz w:val="28"/>
          <w:szCs w:val="28"/>
          <w:rtl/>
        </w:rPr>
        <w:t xml:space="preserve">و هو السید محمد علی بن الحسین الجزائری التستری من ملازمی جعفر خان بن صادق خان زند. ورد شعره فی (تعا- ص 128) و قال إن دیوانه یزید علی ألفی بیت.</w:t>
      </w:r>
    </w:p>
    <w:p>
      <w:pPr>
        <w:pStyle w:val="Heading3"/>
      </w:pPr>
      <w:bookmarkStart w:id="9951" w:name="_Toc8647"/>
      <w:r>
        <w:t>7515- دیوان نامی أبهری أو شعره‏</w:t>
      </w:r>
      <w:bookmarkEnd w:id="9951"/>
    </w:p>
    <w:p>
      <w:pPr>
        <w:pStyle w:val="BookText"/>
      </w:pPr>
      <w:r>
        <w:rPr>
          <w:rFonts w:ascii="IRNazanin" w:hAnsi="IRNazanin" w:eastAsia="IRNazanin" w:cs="IRNazanin"/>
          <w:lang w:bidi="fa-IR"/>
          <w:color w:val="111111"/>
          <w:sz w:val="28"/>
          <w:szCs w:val="28"/>
          <w:rtl/>
        </w:rPr>
        <w:t xml:space="preserve">و هو المولی صدر الدین محمد، معاصر الشاه عباس.</w:t>
      </w:r>
    </w:p>
    <w:p>
      <w:pPr>
        <w:pStyle w:val="BookText"/>
      </w:pPr>
      <w:r>
        <w:rPr>
          <w:rFonts w:ascii="IRNazanin" w:hAnsi="IRNazanin" w:eastAsia="IRNazanin" w:cs="IRNazanin"/>
          <w:lang w:bidi="fa-IR"/>
          <w:color w:val="111111"/>
          <w:sz w:val="28"/>
          <w:szCs w:val="28"/>
          <w:rtl/>
        </w:rPr>
        <w:t xml:space="preserve">ورد شعره فی (گلشن- ص 502) و همیشه بهار.</w:t>
      </w:r>
    </w:p>
    <w:p>
      <w:pPr>
        <w:pStyle w:val="Heading3"/>
      </w:pPr>
      <w:bookmarkStart w:id="9952" w:name="_Toc8648"/>
      <w:r>
        <w:t>دیوان نامی أردوبادی‏</w:t>
      </w:r>
      <w:bookmarkEnd w:id="9952"/>
    </w:p>
    <w:p>
      <w:pPr>
        <w:pStyle w:val="BookText"/>
      </w:pPr>
      <w:r>
        <w:rPr>
          <w:rFonts w:ascii="IRNazanin" w:hAnsi="IRNazanin" w:eastAsia="IRNazanin" w:cs="IRNazanin"/>
          <w:lang w:bidi="fa-IR"/>
          <w:color w:val="111111"/>
          <w:sz w:val="28"/>
          <w:szCs w:val="28"/>
          <w:rtl/>
        </w:rPr>
        <w:t xml:space="preserve">مر بعنوان ناجی.</w:t>
      </w:r>
    </w:p>
    <w:p>
      <w:pPr>
        <w:pStyle w:val="Heading3"/>
      </w:pPr>
      <w:bookmarkStart w:id="9953" w:name="_Toc8649"/>
      <w:r>
        <w:t>دیوان نامی إسفزاری‏</w:t>
      </w:r>
      <w:bookmarkEnd w:id="9953"/>
    </w:p>
    <w:p>
      <w:pPr>
        <w:pStyle w:val="BookText"/>
      </w:pPr>
      <w:r>
        <w:rPr>
          <w:rFonts w:ascii="IRNazanin" w:hAnsi="IRNazanin" w:eastAsia="IRNazanin" w:cs="IRNazanin"/>
          <w:lang w:bidi="fa-IR"/>
          <w:color w:val="111111"/>
          <w:sz w:val="28"/>
          <w:szCs w:val="28"/>
          <w:rtl/>
        </w:rPr>
        <w:t xml:space="preserve">قال النفیسی فی مقدمه سخنان أبو سعید ص 3 إنه لقب معین الدین محمد بن عبد الله الزمچی صاحب روضات الجنات فی تاریخ هرات الذی ذکرناه بعنوان معین أسفراینی فی ص 1076.</w:t>
      </w:r>
    </w:p>
    <w:p>
      <w:pPr>
        <w:pStyle w:val="Heading3"/>
      </w:pPr>
      <w:bookmarkStart w:id="9954" w:name="_Toc8650"/>
      <w:r>
        <w:t>7516- دیوان نامی أصفهانی‏</w:t>
      </w:r>
      <w:bookmarkEnd w:id="9954"/>
    </w:p>
    <w:p>
      <w:pPr>
        <w:pStyle w:val="BookText"/>
      </w:pPr>
      <w:r>
        <w:rPr>
          <w:rFonts w:ascii="IRNazanin" w:hAnsi="IRNazanin" w:eastAsia="IRNazanin" w:cs="IRNazanin"/>
          <w:lang w:bidi="fa-IR"/>
          <w:color w:val="111111"/>
          <w:sz w:val="28"/>
          <w:szCs w:val="28"/>
          <w:rtl/>
        </w:rPr>
        <w:t xml:space="preserve">و اسمه مرتضی قلی خان قورچی‏باشی من کتاب الشاه عباس الأول الصفوی. نزل الهند فی عهد أکبر شاه. ورد شعره فی (گلشن- ص 502).</w:t>
      </w:r>
    </w:p>
    <w:p>
      <w:pPr>
        <w:pStyle w:val="BookText"/>
      </w:pPr>
      <w:r>
        <w:rPr>
          <w:rFonts w:ascii="IRNazanin" w:hAnsi="IRNazanin" w:eastAsia="IRNazanin" w:cs="IRNazanin"/>
          <w:lang w:bidi="fa-IR"/>
          <w:color w:val="111111"/>
          <w:sz w:val="28"/>
          <w:szCs w:val="28"/>
          <w:rtl/>
        </w:rPr>
        <w:t xml:space="preserve">و یوجد شعره فی جنگ، کتابته 1081 عند (دهخدا).</w:t>
      </w:r>
    </w:p>
    <w:p>
      <w:pPr>
        <w:pStyle w:val="Heading3"/>
      </w:pPr>
      <w:bookmarkStart w:id="9955" w:name="_Toc8651"/>
      <w:r>
        <w:t>7517- دیوان نامی أصفهانی أو شعره‏</w:t>
      </w:r>
      <w:bookmarkEnd w:id="9955"/>
    </w:p>
    <w:p>
      <w:pPr>
        <w:pStyle w:val="BookText"/>
      </w:pPr>
      <w:r>
        <w:rPr>
          <w:rFonts w:ascii="IRNazanin" w:hAnsi="IRNazanin" w:eastAsia="IRNazanin" w:cs="IRNazanin"/>
          <w:lang w:bidi="fa-IR"/>
          <w:color w:val="111111"/>
          <w:sz w:val="28"/>
          <w:szCs w:val="28"/>
          <w:rtl/>
        </w:rPr>
        <w:t xml:space="preserve">و اسمه نورای خباز ورد شعره فی (گلشن- ص 503).</w:t>
      </w:r>
    </w:p>
    <w:p>
      <w:pPr>
        <w:pStyle w:val="Heading3"/>
      </w:pPr>
      <w:bookmarkStart w:id="9956" w:name="_Toc8652"/>
      <w:r>
        <w:t>7518- دیوان نامی أصفهانی‏</w:t>
      </w:r>
      <w:bookmarkEnd w:id="9956"/>
    </w:p>
    <w:p>
      <w:pPr>
        <w:pStyle w:val="BookText"/>
      </w:pPr>
      <w:r>
        <w:rPr>
          <w:rFonts w:ascii="IRNazanin" w:hAnsi="IRNazanin" w:eastAsia="IRNazanin" w:cs="IRNazanin"/>
          <w:lang w:bidi="fa-IR"/>
          <w:color w:val="111111"/>
          <w:sz w:val="28"/>
          <w:szCs w:val="28"/>
          <w:rtl/>
        </w:rPr>
        <w:t xml:space="preserve">المیرزا محمد صادق الموسوی الأصفهانی ابن أخ میرزا رحیم حکیم‏باشی المتوفی 1204، مؤلف تاریخ گیتی‏گشای المطبوع فی طهران 1357 مع مقدمه مبسوطة بقلم سعید النفیسی، قد بسط فیها القول فی أحوال مؤلفه نقلا عن معاصره آذر فی آتشکده و عن الدنبلی فی نگارستان دارا و عن مجمع الفصحاء ج 2 ص 524، و ذکر أنه لم یطلع علی قصائده و غزلیاته، و انما الموجود من شعره المثنویات الخمس التی سماها نامه نامی و هی: درج گهر و خسرو و شیرین و لیلی مجنون و وامق و</w:t>
      </w:r>
    </w:p>
    <w:p>
      <w:pPr>
        <w:pStyle w:val="BookText"/>
      </w:pPr>
      <w:r>
        <w:rPr>
          <w:rFonts w:ascii="IRNazanin" w:hAnsi="IRNazanin" w:eastAsia="IRNazanin" w:cs="IRNazanin"/>
          <w:lang w:bidi="fa-IR"/>
          <w:color w:val="111111"/>
          <w:sz w:val="28"/>
          <w:szCs w:val="28"/>
          <w:rtl/>
        </w:rPr>
        <w:t xml:space="preserve">عذراء و یوسف زلیخا، قال و عندی منها خسرو و شیرین فی أربعة آلاف بیت و وامق و عذراء فی ألفی بیت تقریبا. أقول و یوجد له لیلی و مجنون و خسرو و شیرین و وامق و عذراء فی المکتبة (الملیة- 317) و خسرو و شیرین‏
</w:t>
      </w:r>
    </w:p>
    <w:p>
      <w:pPr>
        <w:sectPr>
          <w:footerReference w:type="default" r:id="rId1174"/>
          <w:footnotePr>
            <w:numStart w:val="1"/>
            <w:numRestart w:val="eachPage"/>
          </w:footnotePr>
          <w:pgSz w:orient="portrait" w:w="11905.511811023622" w:h="16837.79527559055"/>
          <w:pgMar w:top="1440" w:right="1440" w:bottom="1440" w:left="1440" w:header="720" w:footer="720" w:gutter="0"/>
          <w:cols w:num="1" w:space="720"/>
        </w:sectPr>
      </w:pPr>
    </w:p>
    <w:bookmarkStart w:id="1152" w:name="pg11704_122642"/>
    <w:bookmarkEnd w:id="1152"/>
    <w:p>
      <w:pPr>
        <w:pStyle w:val="BookText"/>
      </w:pPr>
      <w:r>
        <w:rPr>
          <w:rFonts w:ascii="IRNazanin" w:hAnsi="IRNazanin" w:eastAsia="IRNazanin" w:cs="IRNazanin"/>
          <w:lang w:bidi="fa-IR"/>
          <w:color w:val="111111"/>
          <w:sz w:val="28"/>
          <w:szCs w:val="28"/>
          <w:rtl/>
        </w:rPr>
        <w:t xml:space="preserve">و گنج گهر عند (الملک) و (الرضویة). و ترجم فی (تش- ص 413) و فی (گلشن- ص 502) أن بیته کانوا من أطباء فارس و نزلوا أصفهان. و ترجمه تربیت فی مجلة آینده 2: 533.</w:t>
      </w:r>
    </w:p>
    <w:p>
      <w:pPr>
        <w:pStyle w:val="Heading3"/>
      </w:pPr>
      <w:bookmarkStart w:id="9957" w:name="_Toc8653"/>
      <w:r>
        <w:t>7519- دیوان نامی بدیوانی أو شعره‏</w:t>
      </w:r>
      <w:bookmarkEnd w:id="9957"/>
    </w:p>
    <w:p>
      <w:pPr>
        <w:pStyle w:val="BookText"/>
      </w:pPr>
      <w:r>
        <w:rPr>
          <w:rFonts w:ascii="IRNazanin" w:hAnsi="IRNazanin" w:eastAsia="IRNazanin" w:cs="IRNazanin"/>
          <w:lang w:bidi="fa-IR"/>
          <w:color w:val="111111"/>
          <w:sz w:val="28"/>
          <w:szCs w:val="28"/>
          <w:rtl/>
        </w:rPr>
        <w:t xml:space="preserve">و اسمه عبد الغنی. أورد شعره معاصره فی (گلشن- ص 501).</w:t>
      </w:r>
    </w:p>
    <w:p>
      <w:pPr>
        <w:pStyle w:val="Heading3"/>
      </w:pPr>
      <w:bookmarkStart w:id="9958" w:name="_Toc8654"/>
      <w:r>
        <w:t>7520- دیوان نامی بهکری ترمذی‏</w:t>
      </w:r>
      <w:bookmarkEnd w:id="9958"/>
    </w:p>
    <w:p>
      <w:pPr>
        <w:pStyle w:val="BookText"/>
      </w:pPr>
      <w:r>
        <w:rPr>
          <w:rFonts w:ascii="IRNazanin" w:hAnsi="IRNazanin" w:eastAsia="IRNazanin" w:cs="IRNazanin"/>
          <w:lang w:bidi="fa-IR"/>
          <w:color w:val="111111"/>
          <w:sz w:val="28"/>
          <w:szCs w:val="28"/>
          <w:rtl/>
        </w:rPr>
        <w:t xml:space="preserve">و هو السید نظام الدین محمد معصوم بن السید صفائی بن مرتضی الحسینی. ولد و توفی فی بهکر من الهند (944- 1019) و دیوانه موجود عند السید نور علی شاه المعصومی کما ذکر فی مقدمه طبع کتابه فی تاریخ السند المعروف بتاریخ معصومی المطبوع 1357. و مر- له حسن و ناز فی 7: 20. و ترجم فی (النتائج- ص 710) و (طبق 2: 500) و مقالات الشعراء- ص 798 و (خوش‏گو) و (روشن- ص 679).</w:t>
      </w:r>
    </w:p>
    <w:p>
      <w:pPr>
        <w:pStyle w:val="Heading3"/>
      </w:pPr>
      <w:bookmarkStart w:id="9959" w:name="_Toc8655"/>
      <w:r>
        <w:t>7521- دیوان نامی تبریزی‏</w:t>
      </w:r>
      <w:bookmarkEnd w:id="9959"/>
    </w:p>
    <w:p>
      <w:pPr>
        <w:pStyle w:val="BookText"/>
      </w:pPr>
      <w:r>
        <w:rPr>
          <w:rFonts w:ascii="IRNazanin" w:hAnsi="IRNazanin" w:eastAsia="IRNazanin" w:cs="IRNazanin"/>
          <w:lang w:bidi="fa-IR"/>
          <w:color w:val="111111"/>
          <w:sz w:val="28"/>
          <w:szCs w:val="28"/>
          <w:rtl/>
        </w:rPr>
        <w:t xml:space="preserve">ترجمه معاصره سام میرزا فی (تس 5- ص 139) و ذکر أن له قصائد کثیرة و إنه لا یقبل أحدا من الشعراء، أی یفضل نفسه علیهم، و هو أخ قوسی الذی مر أن دیوانه موجود.</w:t>
      </w:r>
    </w:p>
    <w:p>
      <w:pPr>
        <w:pStyle w:val="Heading3"/>
      </w:pPr>
      <w:bookmarkStart w:id="9960" w:name="_Toc8656"/>
      <w:r>
        <w:t>دیوان نامی ترمذی‏</w:t>
      </w:r>
      <w:bookmarkEnd w:id="9960"/>
    </w:p>
    <w:p>
      <w:pPr>
        <w:pStyle w:val="BookText"/>
      </w:pPr>
      <w:r>
        <w:rPr>
          <w:rFonts w:ascii="IRNazanin" w:hAnsi="IRNazanin" w:eastAsia="IRNazanin" w:cs="IRNazanin"/>
          <w:lang w:bidi="fa-IR"/>
          <w:color w:val="111111"/>
          <w:sz w:val="28"/>
          <w:szCs w:val="28"/>
          <w:rtl/>
        </w:rPr>
        <w:t xml:space="preserve">راجع نامی بهکری.</w:t>
      </w:r>
    </w:p>
    <w:p>
      <w:pPr>
        <w:pStyle w:val="Heading3"/>
      </w:pPr>
      <w:bookmarkStart w:id="9961" w:name="_Toc8657"/>
      <w:r>
        <w:t>7522- دیوان نامی خلجستانی أو شعره‏</w:t>
      </w:r>
      <w:bookmarkEnd w:id="9961"/>
    </w:p>
    <w:p>
      <w:pPr>
        <w:pStyle w:val="BookText"/>
      </w:pPr>
      <w:r>
        <w:rPr>
          <w:rFonts w:ascii="IRNazanin" w:hAnsi="IRNazanin" w:eastAsia="IRNazanin" w:cs="IRNazanin"/>
          <w:lang w:bidi="fa-IR"/>
          <w:color w:val="111111"/>
          <w:sz w:val="28"/>
          <w:szCs w:val="28"/>
          <w:rtl/>
        </w:rPr>
        <w:t xml:space="preserve">اسمه المیرزا عبد الله. ترجمه هدایت فی (مع ج 2 ص 524) و ذکر فضله و إنشائه و إنه جاء إلی طهران فی عصر السلطان محمد شاه و تقرب إلی وزیره الحاج میرزا آقاسی، و هو الیوم منشی روزنامه للسلطان ناصر الدین شاه، و له خط حسن و طبع جید، ثم أورد نیفا و عشرة أبیات من شعره.</w:t>
      </w:r>
    </w:p>
    <w:p>
      <w:pPr>
        <w:pStyle w:val="Heading3"/>
      </w:pPr>
      <w:bookmarkStart w:id="9962" w:name="_Toc8658"/>
      <w:r>
        <w:t>7523- دیوان نامی خیرآبادی‏</w:t>
      </w:r>
      <w:bookmarkEnd w:id="9962"/>
    </w:p>
    <w:p>
      <w:pPr>
        <w:pStyle w:val="BookText"/>
      </w:pPr>
      <w:r>
        <w:rPr>
          <w:rFonts w:ascii="IRNazanin" w:hAnsi="IRNazanin" w:eastAsia="IRNazanin" w:cs="IRNazanin"/>
          <w:lang w:bidi="fa-IR"/>
          <w:color w:val="111111"/>
          <w:sz w:val="28"/>
          <w:szCs w:val="28"/>
          <w:rtl/>
        </w:rPr>
        <w:t xml:space="preserve">و اسمه المولوی تراب علی. کان ینتسب إلی عبد الله بن عباس. ولد بخیرآباد لکهنو و هاجر إلی کلکتة فأخذه الإنگلیز معهم إلی إیران و العراق و رجع و نصب مدرسا بمدارس و مات 1241. ترجم فی (النتائج- ص 729).</w:t>
      </w:r>
    </w:p>
    <w:p>
      <w:pPr>
        <w:pStyle w:val="Heading3"/>
      </w:pPr>
      <w:bookmarkStart w:id="9963" w:name="_Toc8659"/>
      <w:r>
        <w:t>دیوان نامی رازی‏</w:t>
      </w:r>
      <w:bookmarkEnd w:id="9963"/>
    </w:p>
    <w:p>
      <w:pPr>
        <w:pStyle w:val="BookText"/>
      </w:pPr>
      <w:r>
        <w:rPr>
          <w:rFonts w:ascii="IRNazanin" w:hAnsi="IRNazanin" w:eastAsia="IRNazanin" w:cs="IRNazanin"/>
          <w:lang w:bidi="fa-IR"/>
          <w:color w:val="111111"/>
          <w:sz w:val="28"/>
          <w:szCs w:val="28"/>
          <w:rtl/>
        </w:rPr>
        <w:t xml:space="preserve">راجع نامی طهرانی.</w:t>
      </w:r>
    </w:p>
    <w:p>
      <w:pPr>
        <w:pStyle w:val="Heading3"/>
      </w:pPr>
      <w:bookmarkStart w:id="9964" w:name="_Toc8660"/>
      <w:r>
        <w:t>7524- دیوان نامی سبزواری أو شعره‏</w:t>
      </w:r>
      <w:bookmarkEnd w:id="9964"/>
    </w:p>
    <w:p>
      <w:pPr>
        <w:pStyle w:val="BookText"/>
      </w:pPr>
      <w:r>
        <w:rPr>
          <w:rFonts w:ascii="IRNazanin" w:hAnsi="IRNazanin" w:eastAsia="IRNazanin" w:cs="IRNazanin"/>
          <w:lang w:bidi="fa-IR"/>
          <w:color w:val="111111"/>
          <w:sz w:val="28"/>
          <w:szCs w:val="28"/>
          <w:rtl/>
        </w:rPr>
        <w:t xml:space="preserve">و هو الشاعر المنشی الخطاط معاصر جامی‏
</w:t>
      </w:r>
    </w:p>
    <w:p>
      <w:pPr>
        <w:sectPr>
          <w:footerReference w:type="default" r:id="rId1175"/>
          <w:footnotePr>
            <w:numStart w:val="1"/>
            <w:numRestart w:val="eachPage"/>
          </w:footnotePr>
          <w:pgSz w:orient="portrait" w:w="11905.511811023622" w:h="16837.79527559055"/>
          <w:pgMar w:top="1440" w:right="1440" w:bottom="1440" w:left="1440" w:header="720" w:footer="720" w:gutter="0"/>
          <w:cols w:num="1" w:space="720"/>
        </w:sectPr>
      </w:pPr>
    </w:p>
    <w:bookmarkStart w:id="1153" w:name="pg11704_122643"/>
    <w:bookmarkEnd w:id="1153"/>
    <w:p>
      <w:pPr>
        <w:pStyle w:val="BookText"/>
      </w:pPr>
      <w:r>
        <w:rPr>
          <w:rFonts w:ascii="IRNazanin" w:hAnsi="IRNazanin" w:eastAsia="IRNazanin" w:cs="IRNazanin"/>
          <w:lang w:bidi="fa-IR"/>
          <w:color w:val="111111"/>
          <w:sz w:val="28"/>
          <w:szCs w:val="28"/>
          <w:rtl/>
        </w:rPr>
        <w:t xml:space="preserve">ترجم فی (مجن 4- ص 98 و 275) و (حسینی- ص 352).</w:t>
      </w:r>
    </w:p>
    <w:p>
      <w:pPr>
        <w:pStyle w:val="Heading3"/>
      </w:pPr>
      <w:bookmarkStart w:id="9965" w:name="_Toc8661"/>
      <w:r>
        <w:t>دیوان نامی سندی‏</w:t>
      </w:r>
      <w:bookmarkEnd w:id="9965"/>
    </w:p>
    <w:p>
      <w:pPr>
        <w:pStyle w:val="BookText"/>
      </w:pPr>
      <w:r>
        <w:rPr>
          <w:rFonts w:ascii="IRNazanin" w:hAnsi="IRNazanin" w:eastAsia="IRNazanin" w:cs="IRNazanin"/>
          <w:lang w:bidi="fa-IR"/>
          <w:color w:val="111111"/>
          <w:sz w:val="28"/>
          <w:szCs w:val="28"/>
          <w:rtl/>
        </w:rPr>
        <w:t xml:space="preserve">راجع نامی بهکری.</w:t>
      </w:r>
    </w:p>
    <w:p>
      <w:pPr>
        <w:pStyle w:val="Heading3"/>
      </w:pPr>
      <w:bookmarkStart w:id="9966" w:name="_Toc8662"/>
      <w:r>
        <w:t>7525- دیوان نامی شمسی أو شعره‏</w:t>
      </w:r>
      <w:bookmarkEnd w:id="9966"/>
    </w:p>
    <w:p>
      <w:pPr>
        <w:pStyle w:val="BookText"/>
      </w:pPr>
      <w:r>
        <w:rPr>
          <w:rFonts w:ascii="IRNazanin" w:hAnsi="IRNazanin" w:eastAsia="IRNazanin" w:cs="IRNazanin"/>
          <w:lang w:bidi="fa-IR"/>
          <w:color w:val="111111"/>
          <w:sz w:val="28"/>
          <w:szCs w:val="28"/>
          <w:rtl/>
        </w:rPr>
        <w:t xml:space="preserve">و اسمه ملا شمسی. ورد شعره فی (گلشن- ص 502).</w:t>
      </w:r>
    </w:p>
    <w:p>
      <w:pPr>
        <w:pStyle w:val="Heading3"/>
      </w:pPr>
      <w:bookmarkStart w:id="9967" w:name="_Toc8663"/>
      <w:r>
        <w:t>دیوان نامی طهرانی‏</w:t>
      </w:r>
      <w:bookmarkEnd w:id="9967"/>
    </w:p>
    <w:p>
      <w:pPr>
        <w:pStyle w:val="BookText"/>
      </w:pPr>
      <w:r>
        <w:rPr>
          <w:rFonts w:ascii="IRNazanin" w:hAnsi="IRNazanin" w:eastAsia="IRNazanin" w:cs="IRNazanin"/>
          <w:lang w:bidi="fa-IR"/>
          <w:color w:val="111111"/>
          <w:sz w:val="28"/>
          <w:szCs w:val="28"/>
          <w:rtl/>
        </w:rPr>
        <w:t xml:space="preserve">و اسمه أفضل ترکه، و هو الذی نظم تاریخ وفاة أستاذه أمیدی طهرانی المذکور فی ص 97 کما جاء فی (نر 13- ص 471) و همیشه بهار و (تش- ص 210) و (روشن- ص 679) و (میخانه- ص 128). و قد ذکرناه مرتین فی ص 85.</w:t>
      </w:r>
    </w:p>
    <w:p>
      <w:pPr>
        <w:pStyle w:val="Heading3"/>
      </w:pPr>
      <w:bookmarkStart w:id="9968" w:name="_Toc8664"/>
      <w:r>
        <w:t>7526- دیوان نامی کرمانشاهی أو شعره‏</w:t>
      </w:r>
      <w:bookmarkEnd w:id="9968"/>
    </w:p>
    <w:p>
      <w:pPr>
        <w:pStyle w:val="BookText"/>
      </w:pPr>
      <w:r>
        <w:rPr>
          <w:rFonts w:ascii="IRNazanin" w:hAnsi="IRNazanin" w:eastAsia="IRNazanin" w:cs="IRNazanin"/>
          <w:lang w:bidi="fa-IR"/>
          <w:color w:val="111111"/>
          <w:sz w:val="28"/>
          <w:szCs w:val="28"/>
          <w:rtl/>
        </w:rPr>
        <w:t xml:space="preserve">و اسمه میرزا محمد الأسترآبادی الأصل من أحفاد میرزا مهدی المنشی لنادر شاه. و قد توفی 1238 أورد شعره هدایت فی (مع 2:</w:t>
      </w:r>
    </w:p>
    <w:p>
      <w:pPr>
        <w:pStyle w:val="BookText"/>
      </w:pPr>
      <w:r>
        <w:rPr>
          <w:rFonts w:ascii="Times New Roman" w:hAnsi="Times New Roman" w:eastAsia="Times New Roman" w:cs="Times New Roman"/>
          <w:lang w:val="en-US" w:bidi="en-US"/>
          <w:color w:val="111111"/>
          <w:sz w:val="28"/>
          <w:szCs w:val="28"/>
          <w:rtl/>
        </w:rPr>
        <w:t xml:space="preserve">524).</w:t>
      </w:r>
    </w:p>
    <w:p>
      <w:pPr>
        <w:pStyle w:val="Heading3"/>
      </w:pPr>
      <w:bookmarkStart w:id="9969" w:name="_Toc8665"/>
      <w:r>
        <w:t>7527- دیوان نامی کشمیری أو شعره‏</w:t>
      </w:r>
      <w:bookmarkEnd w:id="9969"/>
    </w:p>
    <w:p>
      <w:pPr>
        <w:pStyle w:val="BookText"/>
      </w:pPr>
      <w:r>
        <w:rPr>
          <w:rFonts w:ascii="IRNazanin" w:hAnsi="IRNazanin" w:eastAsia="IRNazanin" w:cs="IRNazanin"/>
          <w:lang w:bidi="fa-IR"/>
          <w:color w:val="111111"/>
          <w:sz w:val="28"/>
          <w:szCs w:val="28"/>
          <w:rtl/>
        </w:rPr>
        <w:t xml:space="preserve">ورد شعره فی (گلشن- ص 502) و (مسرت- ص 288).</w:t>
      </w:r>
    </w:p>
    <w:p>
      <w:pPr>
        <w:pStyle w:val="Heading3"/>
      </w:pPr>
      <w:bookmarkStart w:id="9970" w:name="_Toc8666"/>
      <w:r>
        <w:t>7528- دیوان نامی لکهنوی أو شعره‏</w:t>
      </w:r>
      <w:bookmarkEnd w:id="9970"/>
    </w:p>
    <w:p>
      <w:pPr>
        <w:pStyle w:val="BookText"/>
      </w:pPr>
      <w:r>
        <w:rPr>
          <w:rFonts w:ascii="IRNazanin" w:hAnsi="IRNazanin" w:eastAsia="IRNazanin" w:cs="IRNazanin"/>
          <w:lang w:bidi="fa-IR"/>
          <w:color w:val="111111"/>
          <w:sz w:val="28"/>
          <w:szCs w:val="28"/>
          <w:rtl/>
        </w:rPr>
        <w:t xml:space="preserve">کان صرافا بها فی 1295. ورد شعره فی (روشن- ص 681).</w:t>
      </w:r>
    </w:p>
    <w:p>
      <w:pPr>
        <w:pStyle w:val="Heading3"/>
      </w:pPr>
      <w:bookmarkStart w:id="9971" w:name="_Toc8667"/>
      <w:r>
        <w:t>دیوان نامی هروی‏</w:t>
      </w:r>
      <w:bookmarkEnd w:id="9971"/>
    </w:p>
    <w:p>
      <w:pPr>
        <w:pStyle w:val="BookText"/>
      </w:pPr>
      <w:r>
        <w:rPr>
          <w:rFonts w:ascii="IRNazanin" w:hAnsi="IRNazanin" w:eastAsia="IRNazanin" w:cs="IRNazanin"/>
          <w:lang w:bidi="fa-IR"/>
          <w:color w:val="111111"/>
          <w:sz w:val="28"/>
          <w:szCs w:val="28"/>
          <w:rtl/>
        </w:rPr>
        <w:t xml:space="preserve">و اسمه المیر محمد هاشم المعروف بشاه طبیب الهراتی المتوفی 1150. له خمسه نامی و منها مظهر الآثار. قال فی کشف الظنون إنه نظمه فی قبال مخزن الأسرار لجهان‏گیر الکرمانی الهاشمی. أوله:</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فاتحه‏آرای کلام قدیم‏</w:t>
      </w:r>
    </w:p>
    <w:p>
      <w:pPr>
        <w:pStyle w:val="BookText"/>
      </w:pPr>
      <w:r>
        <w:rPr>
          <w:rFonts w:ascii="IRNazanin" w:hAnsi="IRNazanin" w:eastAsia="IRNazanin" w:cs="IRNazanin"/>
          <w:lang w:bidi="fa-IR"/>
          <w:color w:val="111111"/>
          <w:sz w:val="28"/>
          <w:szCs w:val="28"/>
          <w:rtl/>
        </w:rPr>
        <w:t xml:space="preserve">و مر فی ص 264 نقلا عن سنگلاخ أنه لحکیم هاشمی فراجعه.</w:t>
      </w:r>
    </w:p>
    <w:p>
      <w:pPr>
        <w:pStyle w:val="Heading3"/>
      </w:pPr>
      <w:bookmarkStart w:id="9972" w:name="_Toc8668"/>
      <w:r>
        <w:t>دیوان ناهید تبریزی‏</w:t>
      </w:r>
      <w:bookmarkEnd w:id="9972"/>
    </w:p>
    <w:p>
      <w:pPr>
        <w:pStyle w:val="BookText"/>
      </w:pPr>
      <w:r>
        <w:rPr>
          <w:rFonts w:ascii="IRNazanin" w:hAnsi="IRNazanin" w:eastAsia="IRNazanin" w:cs="IRNazanin"/>
          <w:lang w:bidi="fa-IR"/>
          <w:color w:val="111111"/>
          <w:sz w:val="28"/>
          <w:szCs w:val="28"/>
          <w:rtl/>
        </w:rPr>
        <w:t xml:space="preserve">هو تخلص آخر لشهاب تبریزی المذکور فی ص 552.</w:t>
      </w:r>
    </w:p>
    <w:p>
      <w:pPr>
        <w:pStyle w:val="Heading3"/>
      </w:pPr>
      <w:bookmarkStart w:id="9973" w:name="_Toc8669"/>
      <w:r>
        <w:t>7529- دیوان ناهید میر هادی‏</w:t>
      </w:r>
      <w:bookmarkEnd w:id="9973"/>
    </w:p>
    <w:p>
      <w:pPr>
        <w:pStyle w:val="BookText"/>
      </w:pPr>
      <w:r>
        <w:rPr>
          <w:rFonts w:ascii="IRNazanin" w:hAnsi="IRNazanin" w:eastAsia="IRNazanin" w:cs="IRNazanin"/>
          <w:lang w:bidi="fa-IR"/>
          <w:color w:val="111111"/>
          <w:sz w:val="28"/>
          <w:szCs w:val="28"/>
          <w:rtl/>
        </w:rPr>
        <w:t xml:space="preserve">للسیدة مریم میر هادی. طبع الدیوان فی 183 ص.</w:t>
      </w:r>
    </w:p>
    <w:p>
      <w:pPr>
        <w:pStyle w:val="BookText"/>
      </w:pPr>
      <w:r>
        <w:rPr>
          <w:rFonts w:ascii="IRNazanin" w:hAnsi="IRNazanin" w:eastAsia="IRNazanin" w:cs="IRNazanin"/>
          <w:lang w:bidi="fa-IR"/>
          <w:color w:val="111111"/>
          <w:sz w:val="28"/>
          <w:szCs w:val="28"/>
          <w:rtl/>
        </w:rPr>
        <w:t xml:space="preserve">فی 1377 بطهران.</w:t>
      </w:r>
    </w:p>
    <w:p>
      <w:pPr>
        <w:pStyle w:val="Heading3"/>
      </w:pPr>
      <w:bookmarkStart w:id="9974" w:name="_Toc8670"/>
      <w:r>
        <w:t>7530- دیوان ناهید همدانی أو شعره‏</w:t>
      </w:r>
      <w:bookmarkEnd w:id="9974"/>
    </w:p>
    <w:p>
      <w:pPr>
        <w:pStyle w:val="BookText"/>
      </w:pPr>
      <w:r>
        <w:rPr>
          <w:rFonts w:ascii="IRNazanin" w:hAnsi="IRNazanin" w:eastAsia="IRNazanin" w:cs="IRNazanin"/>
          <w:lang w:bidi="fa-IR"/>
          <w:color w:val="111111"/>
          <w:sz w:val="28"/>
          <w:szCs w:val="28"/>
          <w:rtl/>
        </w:rPr>
        <w:t xml:space="preserve">و هو المیرزا یعقوب خان بن عبد الرحمن.</w:t>
      </w:r>
    </w:p>
    <w:p>
      <w:pPr>
        <w:pStyle w:val="BookText"/>
      </w:pPr>
      <w:r>
        <w:rPr>
          <w:rFonts w:ascii="IRNazanin" w:hAnsi="IRNazanin" w:eastAsia="IRNazanin" w:cs="IRNazanin"/>
          <w:lang w:bidi="fa-IR"/>
          <w:color w:val="111111"/>
          <w:sz w:val="28"/>
          <w:szCs w:val="28"/>
          <w:rtl/>
        </w:rPr>
        <w:t xml:space="preserve">ولد حدود 1328 و صار من أعضاء انجمن دانش بهمدان. أورد ألفت غزله فی دانش‏نامه المطبوع 1342 و کذا فی سخنوران نامی معاصر- 1: 225.
</w:t>
      </w:r>
    </w:p>
    <w:p>
      <w:pPr>
        <w:sectPr>
          <w:footerReference w:type="default" r:id="rId1176"/>
          <w:footnotePr>
            <w:numStart w:val="1"/>
            <w:numRestart w:val="eachPage"/>
          </w:footnotePr>
          <w:pgSz w:orient="portrait" w:w="11905.511811023622" w:h="16837.79527559055"/>
          <w:pgMar w:top="1440" w:right="1440" w:bottom="1440" w:left="1440" w:header="720" w:footer="720" w:gutter="0"/>
          <w:cols w:num="1" w:space="720"/>
        </w:sectPr>
      </w:pPr>
    </w:p>
    <w:bookmarkStart w:id="1154" w:name="pg11704_122644"/>
    <w:bookmarkEnd w:id="1154"/>
    <w:p>
      <w:pPr>
        <w:pStyle w:val="Heading3"/>
      </w:pPr>
      <w:bookmarkStart w:id="9975" w:name="_Toc8671"/>
      <w:r>
        <w:t>7531- دیوان نائب أصفهانی أو شعره‏</w:t>
      </w:r>
      <w:bookmarkEnd w:id="9975"/>
    </w:p>
    <w:p>
      <w:pPr>
        <w:pStyle w:val="BookText"/>
      </w:pPr>
      <w:r>
        <w:rPr>
          <w:rFonts w:ascii="IRNazanin" w:hAnsi="IRNazanin" w:eastAsia="IRNazanin" w:cs="IRNazanin"/>
          <w:lang w:bidi="fa-IR"/>
          <w:color w:val="111111"/>
          <w:sz w:val="28"/>
          <w:szCs w:val="28"/>
          <w:rtl/>
        </w:rPr>
        <w:t xml:space="preserve">و اسمه محمد رضا و کان معاصرا للحزین المتوفی 1181. ورد شعره فی (گلشن- ص 503) و عنه فی القاموس الترکی ثم الریحانة.</w:t>
      </w:r>
    </w:p>
    <w:p>
      <w:pPr>
        <w:pStyle w:val="Heading3"/>
      </w:pPr>
      <w:bookmarkStart w:id="9976" w:name="_Toc8672"/>
      <w:r>
        <w:t>دیوان نائب أفشار</w:t>
      </w:r>
      <w:bookmarkEnd w:id="9976"/>
    </w:p>
    <w:p>
      <w:pPr>
        <w:pStyle w:val="BookText"/>
      </w:pPr>
      <w:r>
        <w:rPr>
          <w:rFonts w:ascii="IRNazanin" w:hAnsi="IRNazanin" w:eastAsia="IRNazanin" w:cs="IRNazanin"/>
          <w:lang w:bidi="fa-IR"/>
          <w:color w:val="111111"/>
          <w:sz w:val="28"/>
          <w:szCs w:val="28"/>
          <w:rtl/>
        </w:rPr>
        <w:t xml:space="preserve">کما فی (دجا- ص 12) مر بعنوان عارفی أفشار فی ص 671.</w:t>
      </w:r>
    </w:p>
    <w:p>
      <w:pPr>
        <w:pStyle w:val="Heading3"/>
      </w:pPr>
      <w:bookmarkStart w:id="9977" w:name="_Toc8673"/>
      <w:r>
        <w:t>دیوان نائب الصدر أفشار</w:t>
      </w:r>
      <w:bookmarkEnd w:id="9977"/>
    </w:p>
    <w:p>
      <w:pPr>
        <w:pStyle w:val="BookText"/>
      </w:pPr>
      <w:r>
        <w:rPr>
          <w:rFonts w:ascii="IRNazanin" w:hAnsi="IRNazanin" w:eastAsia="IRNazanin" w:cs="IRNazanin"/>
          <w:lang w:bidi="fa-IR"/>
          <w:color w:val="111111"/>
          <w:sz w:val="28"/>
          <w:szCs w:val="28"/>
          <w:rtl/>
        </w:rPr>
        <w:t xml:space="preserve">راجع عارفی أفشار فی ص 671، و بعد وفاته تلقب ولد المیرزا علی بهذا اللقب.</w:t>
      </w:r>
    </w:p>
    <w:p>
      <w:pPr>
        <w:pStyle w:val="Heading3"/>
      </w:pPr>
      <w:bookmarkStart w:id="9978" w:name="_Toc8674"/>
      <w:r>
        <w:t>دیوان نائب الصدر تبریزی‏</w:t>
      </w:r>
      <w:bookmarkEnd w:id="9978"/>
    </w:p>
    <w:p>
      <w:pPr>
        <w:pStyle w:val="BookText"/>
      </w:pPr>
      <w:r>
        <w:rPr>
          <w:rFonts w:ascii="IRNazanin" w:hAnsi="IRNazanin" w:eastAsia="IRNazanin" w:cs="IRNazanin"/>
          <w:lang w:bidi="fa-IR"/>
          <w:color w:val="111111"/>
          <w:sz w:val="28"/>
          <w:szCs w:val="28"/>
          <w:rtl/>
        </w:rPr>
        <w:t xml:space="preserve">مر بعنوان صدر الدین فی ص 602.</w:t>
      </w:r>
    </w:p>
    <w:p>
      <w:pPr>
        <w:pStyle w:val="Heading3"/>
      </w:pPr>
      <w:bookmarkStart w:id="9979" w:name="_Toc8675"/>
      <w:r>
        <w:t>دیوان نائب الصدر شیرازی القزوینی‏</w:t>
      </w:r>
      <w:bookmarkEnd w:id="9979"/>
    </w:p>
    <w:p>
      <w:pPr>
        <w:pStyle w:val="BookText"/>
      </w:pPr>
      <w:r>
        <w:rPr>
          <w:rFonts w:ascii="IRNazanin" w:hAnsi="IRNazanin" w:eastAsia="IRNazanin" w:cs="IRNazanin"/>
          <w:lang w:bidi="fa-IR"/>
          <w:color w:val="111111"/>
          <w:sz w:val="28"/>
          <w:szCs w:val="28"/>
          <w:rtl/>
        </w:rPr>
        <w:t xml:space="preserve">مر بعنوان رحمت علی شاه فی ص 356، و مر حفیده معصوم علی شاه فی ص 1071. و قد ترجم فی (الطرائق 3).</w:t>
      </w:r>
    </w:p>
    <w:p>
      <w:pPr>
        <w:pStyle w:val="Heading3"/>
      </w:pPr>
      <w:bookmarkStart w:id="9980" w:name="_Toc8676"/>
      <w:r>
        <w:t>دیوان نائب الصدر قزوینی‏</w:t>
      </w:r>
      <w:bookmarkEnd w:id="9980"/>
    </w:p>
    <w:p>
      <w:pPr>
        <w:pStyle w:val="BookText"/>
      </w:pPr>
      <w:r>
        <w:rPr>
          <w:rFonts w:ascii="IRNazanin" w:hAnsi="IRNazanin" w:eastAsia="IRNazanin" w:cs="IRNazanin"/>
          <w:lang w:bidi="fa-IR"/>
          <w:color w:val="111111"/>
          <w:sz w:val="28"/>
          <w:szCs w:val="28"/>
          <w:rtl/>
        </w:rPr>
        <w:t xml:space="preserve">راجع نائب الصدر الشیرازی.</w:t>
      </w:r>
    </w:p>
    <w:p>
      <w:pPr>
        <w:pStyle w:val="Heading3"/>
      </w:pPr>
      <w:bookmarkStart w:id="9981" w:name="_Toc8677"/>
      <w:r>
        <w:t>7532- دیوان نائب الصدر قزوینی‏</w:t>
      </w:r>
      <w:bookmarkEnd w:id="9981"/>
    </w:p>
    <w:p>
      <w:pPr>
        <w:pStyle w:val="BookText"/>
      </w:pPr>
      <w:r>
        <w:rPr>
          <w:rFonts w:ascii="IRNazanin" w:hAnsi="IRNazanin" w:eastAsia="IRNazanin" w:cs="IRNazanin"/>
          <w:lang w:bidi="fa-IR"/>
          <w:color w:val="111111"/>
          <w:sz w:val="28"/>
          <w:szCs w:val="28"/>
          <w:rtl/>
        </w:rPr>
        <w:t xml:space="preserve">و هو صدر الإسلام المیر محمد بن عبد الحسین.</w:t>
      </w:r>
    </w:p>
    <w:p>
      <w:pPr>
        <w:pStyle w:val="BookText"/>
      </w:pPr>
      <w:r>
        <w:rPr>
          <w:rFonts w:ascii="IRNazanin" w:hAnsi="IRNazanin" w:eastAsia="IRNazanin" w:cs="IRNazanin"/>
          <w:lang w:bidi="fa-IR"/>
          <w:color w:val="111111"/>
          <w:sz w:val="28"/>
          <w:szCs w:val="28"/>
          <w:rtl/>
        </w:rPr>
        <w:t xml:space="preserve">طبع بطهران 1338 فی 84 ص، بعنوان خاک قزوینی.</w:t>
      </w:r>
    </w:p>
    <w:p>
      <w:pPr>
        <w:pStyle w:val="Heading3"/>
      </w:pPr>
      <w:bookmarkStart w:id="9982" w:name="_Toc8678"/>
      <w:r>
        <w:t>دیوان نائب نائنی‏</w:t>
      </w:r>
      <w:bookmarkEnd w:id="9982"/>
    </w:p>
    <w:p>
      <w:pPr>
        <w:pStyle w:val="BookText"/>
      </w:pPr>
      <w:r>
        <w:rPr>
          <w:rFonts w:ascii="IRNazanin" w:hAnsi="IRNazanin" w:eastAsia="IRNazanin" w:cs="IRNazanin"/>
          <w:lang w:bidi="fa-IR"/>
          <w:color w:val="111111"/>
          <w:sz w:val="28"/>
          <w:szCs w:val="28"/>
          <w:rtl/>
        </w:rPr>
        <w:t xml:space="preserve">مر فی ص 1045 بعنوان مشتاقی.</w:t>
      </w:r>
    </w:p>
    <w:p>
      <w:pPr>
        <w:pStyle w:val="Heading3"/>
      </w:pPr>
      <w:bookmarkStart w:id="9983" w:name="_Toc8679"/>
      <w:r>
        <w:t>7533- دیوان نائب همدانی أو شعره‏</w:t>
      </w:r>
      <w:bookmarkEnd w:id="9983"/>
    </w:p>
    <w:p>
      <w:pPr>
        <w:pStyle w:val="BookText"/>
      </w:pPr>
      <w:r>
        <w:rPr>
          <w:rFonts w:ascii="IRNazanin" w:hAnsi="IRNazanin" w:eastAsia="IRNazanin" w:cs="IRNazanin"/>
          <w:lang w:bidi="fa-IR"/>
          <w:color w:val="111111"/>
          <w:sz w:val="28"/>
          <w:szCs w:val="28"/>
          <w:rtl/>
        </w:rPr>
        <w:t xml:space="preserve">من سادات همدان. ورد شعره فی (گلشن- ص 503).</w:t>
      </w:r>
    </w:p>
    <w:p>
      <w:pPr>
        <w:pStyle w:val="Heading3"/>
      </w:pPr>
      <w:bookmarkStart w:id="9984" w:name="_Toc8680"/>
      <w:r>
        <w:t>دیوان نایی هروی أو شعره‏</w:t>
      </w:r>
      <w:bookmarkEnd w:id="9984"/>
    </w:p>
    <w:p>
      <w:pPr>
        <w:pStyle w:val="BookText"/>
      </w:pPr>
      <w:r>
        <w:rPr>
          <w:rFonts w:ascii="IRNazanin" w:hAnsi="IRNazanin" w:eastAsia="IRNazanin" w:cs="IRNazanin"/>
          <w:lang w:bidi="fa-IR"/>
          <w:color w:val="111111"/>
          <w:sz w:val="28"/>
          <w:szCs w:val="28"/>
          <w:rtl/>
        </w:rPr>
        <w:t xml:space="preserve">و اسمه ملا محب علی نی نواز المتوفی 973. ترجمه معاصره فی (تس 4- ص 84) و مر بعنوان محب علی فی ص 970.</w:t>
      </w:r>
    </w:p>
    <w:p>
      <w:pPr>
        <w:pStyle w:val="Heading3"/>
      </w:pPr>
      <w:bookmarkStart w:id="9985" w:name="_Toc8681"/>
      <w:r>
        <w:t>دیوان نباتی اشتبلینی‏</w:t>
      </w:r>
      <w:bookmarkEnd w:id="9985"/>
    </w:p>
    <w:p>
      <w:pPr>
        <w:pStyle w:val="BookText"/>
      </w:pPr>
      <w:r>
        <w:rPr>
          <w:rFonts w:ascii="IRNazanin" w:hAnsi="IRNazanin" w:eastAsia="IRNazanin" w:cs="IRNazanin"/>
          <w:lang w:bidi="fa-IR"/>
          <w:color w:val="111111"/>
          <w:sz w:val="28"/>
          <w:szCs w:val="28"/>
          <w:rtl/>
        </w:rPr>
        <w:t xml:space="preserve">راجع نباتی قراچه‏داغی.</w:t>
      </w:r>
    </w:p>
    <w:p>
      <w:pPr>
        <w:pStyle w:val="Heading3"/>
      </w:pPr>
      <w:bookmarkStart w:id="9986" w:name="_Toc8682"/>
      <w:r>
        <w:t>7534- دیوان نباتی تبریزی أو شعره،</w:t>
      </w:r>
      <w:bookmarkEnd w:id="9986"/>
    </w:p>
    <w:p>
      <w:pPr>
        <w:pStyle w:val="BookText"/>
      </w:pPr>
      <w:r>
        <w:rPr>
          <w:rFonts w:ascii="IRNazanin" w:hAnsi="IRNazanin" w:eastAsia="IRNazanin" w:cs="IRNazanin"/>
          <w:lang w:bidi="fa-IR"/>
          <w:color w:val="111111"/>
          <w:sz w:val="28"/>
          <w:szCs w:val="28"/>
          <w:rtl/>
        </w:rPr>
        <w:t xml:space="preserve">ترجمه معاصره سام میرزا فی (تس 5- ص 145) و ذکر أنه نقاش، و أورد شعره و استحسن هذا المقطع له:</w:t>
      </w:r>
    </w:p>
    <w:p>
      <w:pPr>
        <w:pStyle w:val="BookText"/>
      </w:pPr>
      <w:r>
        <w:rPr>
          <w:rFonts w:ascii="IRNazanin" w:hAnsi="IRNazanin" w:eastAsia="IRNazanin" w:cs="IRNazanin"/>
          <w:lang w:bidi="fa-IR"/>
          <w:color w:val="111111"/>
          <w:sz w:val="28"/>
          <w:szCs w:val="28"/>
          <w:rtl/>
        </w:rPr>
        <w:t xml:space="preserve">از هوای آن لب شیرین نباتی روز و شب‏</w:t>
      </w:r>
    </w:p>
    <w:p>
      <w:pPr>
        <w:pStyle w:val="BookText"/>
      </w:pPr>
      <w:r>
        <w:rPr>
          <w:rFonts w:ascii="IRNazanin" w:hAnsi="IRNazanin" w:eastAsia="IRNazanin" w:cs="IRNazanin"/>
          <w:lang w:bidi="fa-IR"/>
          <w:color w:val="111111"/>
          <w:sz w:val="28"/>
          <w:szCs w:val="28"/>
          <w:rtl/>
        </w:rPr>
        <w:t xml:space="preserve">چون مگس خود را درون شهد ناب انداخته‏</w:t>
      </w:r>
    </w:p>
    <w:p>
      <w:pPr>
        <w:pStyle w:val="BookText"/>
      </w:pPr>
      <w:r>
        <w:rPr>
          <w:rFonts w:ascii="IRNazanin" w:hAnsi="IRNazanin" w:eastAsia="IRNazanin" w:cs="IRNazanin"/>
          <w:lang w:bidi="fa-IR"/>
          <w:color w:val="111111"/>
          <w:sz w:val="28"/>
          <w:szCs w:val="28"/>
          <w:rtl/>
        </w:rPr>
        <w:t xml:space="preserve">و عنه أخذ فی (دجا- ص 370) و (گلشن- ص 503).</w:t>
      </w:r>
    </w:p>
    <w:p>
      <w:pPr>
        <w:pStyle w:val="Heading3"/>
      </w:pPr>
      <w:bookmarkStart w:id="9987" w:name="_Toc8683"/>
      <w:r>
        <w:t>7535- دیوان نباتی قراچه‏داغی‏</w:t>
      </w:r>
      <w:bookmarkEnd w:id="9987"/>
    </w:p>
    <w:p>
      <w:pPr>
        <w:pStyle w:val="BookText"/>
      </w:pPr>
      <w:r>
        <w:rPr>
          <w:rFonts w:ascii="IRNazanin" w:hAnsi="IRNazanin" w:eastAsia="IRNazanin" w:cs="IRNazanin"/>
          <w:lang w:bidi="fa-IR"/>
          <w:color w:val="111111"/>
          <w:sz w:val="28"/>
          <w:szCs w:val="28"/>
          <w:rtl/>
        </w:rPr>
        <w:t xml:space="preserve">و اسمه السید أبو القاسم بن السید محترم (مجرم) الأشتبینی من محال قراچه‏داغ ترجمه تربیت فی (دجا- ص 370) و ذکر أنه هاجر من مسقط رأسه إلی أهر و اشتغل هناک فی بقعة الشیخ شهاب الدین بالریاضات و المجاهدات و فی الأواخر عاد إلی مسقط رأسه و بها توفی 1262 و مر فی ص 968 بعنوان تخلصه‏
</w:t>
      </w:r>
    </w:p>
    <w:p>
      <w:pPr>
        <w:sectPr>
          <w:footerReference w:type="default" r:id="rId1177"/>
          <w:footnotePr>
            <w:numStart w:val="1"/>
            <w:numRestart w:val="eachPage"/>
          </w:footnotePr>
          <w:pgSz w:orient="portrait" w:w="11905.511811023622" w:h="16837.79527559055"/>
          <w:pgMar w:top="1440" w:right="1440" w:bottom="1440" w:left="1440" w:header="720" w:footer="720" w:gutter="0"/>
          <w:cols w:num="1" w:space="720"/>
        </w:sectPr>
      </w:pPr>
    </w:p>
    <w:bookmarkStart w:id="1155" w:name="pg11704_122645"/>
    <w:bookmarkEnd w:id="1155"/>
    <w:p>
      <w:pPr>
        <w:pStyle w:val="BookText"/>
      </w:pPr>
      <w:r>
        <w:rPr>
          <w:rFonts w:ascii="IRNazanin" w:hAnsi="IRNazanin" w:eastAsia="IRNazanin" w:cs="IRNazanin"/>
          <w:lang w:bidi="fa-IR"/>
          <w:color w:val="111111"/>
          <w:sz w:val="28"/>
          <w:szCs w:val="28"/>
          <w:rtl/>
        </w:rPr>
        <w:t xml:space="preserve">الآخر مجنون شاه و دیوانه موجود فی (المجلس) کما فی فهرسها 3: 434، و عند (فخر الدین طبع له بحر طویل علی هامش دیوان فضولی و طبع دیوانه بالفارسیة و الترکیة بتبریز 1324 فی 135 ص‏</w:t>
      </w:r>
    </w:p>
    <w:p>
      <w:pPr>
        <w:pStyle w:val="Heading3"/>
      </w:pPr>
      <w:bookmarkStart w:id="9988" w:name="_Toc8684"/>
      <w:r>
        <w:t>7536- دیوان نبوی‏</w:t>
      </w:r>
      <w:bookmarkEnd w:id="9988"/>
    </w:p>
    <w:p>
      <w:pPr>
        <w:pStyle w:val="BookText"/>
      </w:pPr>
      <w:r>
        <w:rPr>
          <w:rFonts w:ascii="IRNazanin" w:hAnsi="IRNazanin" w:eastAsia="IRNazanin" w:cs="IRNazanin"/>
          <w:lang w:bidi="fa-IR"/>
          <w:color w:val="111111"/>
          <w:sz w:val="28"/>
          <w:szCs w:val="28"/>
          <w:rtl/>
        </w:rPr>
        <w:t xml:space="preserve">فارسی فی مناقب النبی نثرا لمیرزا إبراهیم الصحاف الطهرانی المعاصر، طبع بإیران‏</w:t>
      </w:r>
    </w:p>
    <w:p>
      <w:pPr>
        <w:pStyle w:val="Heading3"/>
      </w:pPr>
      <w:bookmarkStart w:id="9989" w:name="_Toc8685"/>
      <w:r>
        <w:t>7537- دیوان نبوی أصفهانی أو شعره‏</w:t>
      </w:r>
      <w:bookmarkEnd w:id="9989"/>
    </w:p>
    <w:p>
      <w:pPr>
        <w:pStyle w:val="BookText"/>
      </w:pPr>
      <w:r>
        <w:rPr>
          <w:rFonts w:ascii="IRNazanin" w:hAnsi="IRNazanin" w:eastAsia="IRNazanin" w:cs="IRNazanin"/>
          <w:lang w:bidi="fa-IR"/>
          <w:color w:val="111111"/>
          <w:sz w:val="28"/>
          <w:szCs w:val="28"/>
          <w:rtl/>
        </w:rPr>
        <w:t xml:space="preserve">و هو عبد الفتاح بن ضیاء الدین المذکور والده فی ص 481 بتخلصه سید أصفهانی و مؤلف التذکرة المذکورة فی ج 4: 37 و للولد تذییل علی تذکره والده کما مر فی ج 4: 54 و له التبر المذاب أیضا</w:t>
      </w:r>
    </w:p>
    <w:p>
      <w:pPr>
        <w:pStyle w:val="Heading3"/>
      </w:pPr>
      <w:bookmarkStart w:id="9990" w:name="_Toc8686"/>
      <w:r>
        <w:t>7538- دیوان النبهانی‏</w:t>
      </w:r>
      <w:bookmarkEnd w:id="9990"/>
    </w:p>
    <w:p>
      <w:pPr>
        <w:pStyle w:val="BookText"/>
      </w:pPr>
      <w:r>
        <w:rPr>
          <w:rFonts w:ascii="IRNazanin" w:hAnsi="IRNazanin" w:eastAsia="IRNazanin" w:cs="IRNazanin"/>
          <w:lang w:bidi="fa-IR"/>
          <w:color w:val="111111"/>
          <w:sz w:val="28"/>
          <w:szCs w:val="28"/>
          <w:rtl/>
        </w:rPr>
        <w:t xml:space="preserve">اسمه أزهار الریف لصاحبه الأدیب محمد بن الشیخ بندر النبهانی الطائی الحمیری ساکن عفک من لواء الدیوانیة طبع بنفقة عبد الأمیر بن الشیخ شعلان رئیس آل بدیر فی 1371</w:t>
      </w:r>
    </w:p>
    <w:p>
      <w:pPr>
        <w:pStyle w:val="Heading3"/>
      </w:pPr>
      <w:bookmarkStart w:id="9991" w:name="_Toc8687"/>
      <w:r>
        <w:t>دیوان نبی قزوینی‏</w:t>
      </w:r>
      <w:bookmarkEnd w:id="9991"/>
    </w:p>
    <w:p>
      <w:pPr>
        <w:pStyle w:val="BookText"/>
      </w:pPr>
      <w:r>
        <w:rPr>
          <w:rFonts w:ascii="IRNazanin" w:hAnsi="IRNazanin" w:eastAsia="IRNazanin" w:cs="IRNazanin"/>
          <w:lang w:bidi="fa-IR"/>
          <w:color w:val="111111"/>
          <w:sz w:val="28"/>
          <w:szCs w:val="28"/>
          <w:rtl/>
        </w:rPr>
        <w:t xml:space="preserve">مر فی ص 715 بتخلصه عزتی‏</w:t>
      </w:r>
    </w:p>
    <w:p>
      <w:pPr>
        <w:pStyle w:val="Heading3"/>
      </w:pPr>
      <w:bookmarkStart w:id="9992" w:name="_Toc8688"/>
      <w:r>
        <w:t>دیوان نثار تبریزی‏</w:t>
      </w:r>
      <w:bookmarkEnd w:id="9992"/>
    </w:p>
    <w:p>
      <w:pPr>
        <w:pStyle w:val="BookText"/>
      </w:pPr>
      <w:r>
        <w:rPr>
          <w:rFonts w:ascii="IRNazanin" w:hAnsi="IRNazanin" w:eastAsia="IRNazanin" w:cs="IRNazanin"/>
          <w:lang w:bidi="fa-IR"/>
          <w:color w:val="111111"/>
          <w:sz w:val="28"/>
          <w:szCs w:val="28"/>
          <w:rtl/>
        </w:rPr>
        <w:t xml:space="preserve">راجع نثار گرم‏رودی‏</w:t>
      </w:r>
    </w:p>
    <w:p>
      <w:pPr>
        <w:pStyle w:val="Heading3"/>
      </w:pPr>
      <w:bookmarkStart w:id="9993" w:name="_Toc8689"/>
      <w:r>
        <w:t>7539- دیوان نثار دهلوی أو شعره‏</w:t>
      </w:r>
      <w:bookmarkEnd w:id="9993"/>
    </w:p>
    <w:p>
      <w:pPr>
        <w:pStyle w:val="BookText"/>
      </w:pPr>
      <w:r>
        <w:rPr>
          <w:rFonts w:ascii="IRNazanin" w:hAnsi="IRNazanin" w:eastAsia="IRNazanin" w:cs="IRNazanin"/>
          <w:lang w:bidi="fa-IR"/>
          <w:color w:val="111111"/>
          <w:sz w:val="28"/>
          <w:szCs w:val="28"/>
          <w:rtl/>
        </w:rPr>
        <w:t xml:space="preserve">و هو السید نثار علی بن عبد الله ورد شعره فی (روشن- ص 681)</w:t>
      </w:r>
    </w:p>
    <w:p>
      <w:pPr>
        <w:pStyle w:val="Heading3"/>
      </w:pPr>
      <w:bookmarkStart w:id="9994" w:name="_Toc8690"/>
      <w:r>
        <w:t>7540- دیوان نثار دهلوی أو شعره‏</w:t>
      </w:r>
      <w:bookmarkEnd w:id="9994"/>
    </w:p>
    <w:p>
      <w:pPr>
        <w:pStyle w:val="BookText"/>
      </w:pPr>
      <w:r>
        <w:rPr>
          <w:rFonts w:ascii="IRNazanin" w:hAnsi="IRNazanin" w:eastAsia="IRNazanin" w:cs="IRNazanin"/>
          <w:lang w:bidi="fa-IR"/>
          <w:color w:val="111111"/>
          <w:sz w:val="28"/>
          <w:szCs w:val="28"/>
          <w:rtl/>
        </w:rPr>
        <w:t xml:space="preserve">و اسمه المیرزا لطف الله و توفی 1159 ورد شعره فی (روشن- ص 681)</w:t>
      </w:r>
    </w:p>
    <w:p>
      <w:pPr>
        <w:pStyle w:val="Heading3"/>
      </w:pPr>
      <w:bookmarkStart w:id="9995" w:name="_Toc8691"/>
      <w:r>
        <w:t>7541- دیوان نثار رضوی أو شعره‏</w:t>
      </w:r>
      <w:bookmarkEnd w:id="9995"/>
    </w:p>
    <w:p>
      <w:pPr>
        <w:pStyle w:val="BookText"/>
      </w:pPr>
      <w:r>
        <w:rPr>
          <w:rFonts w:ascii="IRNazanin" w:hAnsi="IRNazanin" w:eastAsia="IRNazanin" w:cs="IRNazanin"/>
          <w:lang w:bidi="fa-IR"/>
          <w:color w:val="111111"/>
          <w:sz w:val="28"/>
          <w:szCs w:val="28"/>
          <w:rtl/>
        </w:rPr>
        <w:t xml:space="preserve">و هو العارف المیرزا محمد علی أورد شعره معصوم علی شاه فی (الطرائق- ج 3: 254)</w:t>
      </w:r>
    </w:p>
    <w:p>
      <w:pPr>
        <w:pStyle w:val="Heading3"/>
      </w:pPr>
      <w:bookmarkStart w:id="9996" w:name="_Toc8692"/>
      <w:r>
        <w:t>7542- دیوان نثار شیرازی‏</w:t>
      </w:r>
      <w:bookmarkEnd w:id="9996"/>
    </w:p>
    <w:p>
      <w:pPr>
        <w:pStyle w:val="BookText"/>
      </w:pPr>
      <w:r>
        <w:rPr>
          <w:rFonts w:ascii="IRNazanin" w:hAnsi="IRNazanin" w:eastAsia="IRNazanin" w:cs="IRNazanin"/>
          <w:lang w:bidi="fa-IR"/>
          <w:color w:val="111111"/>
          <w:sz w:val="28"/>
          <w:szCs w:val="28"/>
          <w:rtl/>
        </w:rPr>
        <w:t xml:space="preserve">و هو المیرزا محمد بن المولی علی بابا الذی کان حیا فی 1310 أورد شعره فرصت فی (عم- ص 268) و عنه فی الریحانة و یوجد شعره فی نامه فرهنگیان الموجود فی (المجلس) کما فی فهرسها 3: 692 و طبع بمبئی حدود 1300</w:t>
      </w:r>
    </w:p>
    <w:p>
      <w:pPr>
        <w:pStyle w:val="Heading3"/>
      </w:pPr>
      <w:bookmarkStart w:id="9997" w:name="_Toc8693"/>
      <w:r>
        <w:t>7543- دیوان نثار گرم‏رودی‏</w:t>
      </w:r>
      <w:bookmarkEnd w:id="9997"/>
    </w:p>
    <w:p>
      <w:pPr>
        <w:pStyle w:val="BookText"/>
      </w:pPr>
      <w:r>
        <w:rPr>
          <w:rFonts w:ascii="IRNazanin" w:hAnsi="IRNazanin" w:eastAsia="IRNazanin" w:cs="IRNazanin"/>
          <w:lang w:bidi="fa-IR"/>
          <w:color w:val="111111"/>
          <w:sz w:val="28"/>
          <w:szCs w:val="28"/>
          <w:rtl/>
        </w:rPr>
        <w:t xml:space="preserve">و هو المیرزا مهدی بن المیرزا أبو محمد الأنصاری الشقاقی الگرمرودی التبریزی ترجمه هدایت و ذکر تنقلاته فی البلاد إلی سنة
</w:t>
      </w:r>
    </w:p>
    <w:p>
      <w:pPr>
        <w:sectPr>
          <w:footerReference w:type="default" r:id="rId1178"/>
          <w:footnotePr>
            <w:numStart w:val="1"/>
            <w:numRestart w:val="eachPage"/>
          </w:footnotePr>
          <w:pgSz w:orient="portrait" w:w="11905.511811023622" w:h="16837.79527559055"/>
          <w:pgMar w:top="1440" w:right="1440" w:bottom="1440" w:left="1440" w:header="720" w:footer="720" w:gutter="0"/>
          <w:cols w:num="1" w:space="720"/>
        </w:sectPr>
      </w:pPr>
    </w:p>
    <w:bookmarkStart w:id="1156" w:name="pg11704_122646"/>
    <w:bookmarkEnd w:id="1156"/>
    <w:p>
      <w:pPr>
        <w:pStyle w:val="BookText"/>
      </w:pPr>
      <w:r>
        <w:rPr>
          <w:rFonts w:ascii="IRNazanin" w:hAnsi="IRNazanin" w:eastAsia="IRNazanin" w:cs="IRNazanin"/>
          <w:lang w:bidi="fa-IR"/>
          <w:color w:val="111111"/>
          <w:sz w:val="28"/>
          <w:szCs w:val="28"/>
          <w:rtl/>
        </w:rPr>
        <w:t xml:space="preserve">التألیف 1283 فی (مع 2: 525) و ترجم فی (دجا- ص 371) و الریحانة، و ترجمه کوهی کرمانی فی مجلة (یادگار 2: 8: 72) و طبع دیوانه فی تبریز</w:t>
      </w:r>
    </w:p>
    <w:p>
      <w:pPr>
        <w:pStyle w:val="Heading3"/>
      </w:pPr>
      <w:bookmarkStart w:id="9998" w:name="_Toc8694"/>
      <w:r>
        <w:t>7544- دیوان نثاری أصفهانی أو شعره‏</w:t>
      </w:r>
      <w:bookmarkEnd w:id="9998"/>
    </w:p>
    <w:p>
      <w:pPr>
        <w:pStyle w:val="BookText"/>
      </w:pPr>
      <w:r>
        <w:rPr>
          <w:rFonts w:ascii="IRNazanin" w:hAnsi="IRNazanin" w:eastAsia="IRNazanin" w:cs="IRNazanin"/>
          <w:lang w:bidi="fa-IR"/>
          <w:color w:val="111111"/>
          <w:sz w:val="28"/>
          <w:szCs w:val="28"/>
          <w:rtl/>
        </w:rPr>
        <w:t xml:space="preserve">و اسمه تقی العصار ورد شعره فی (گلشن- ص 503)</w:t>
      </w:r>
    </w:p>
    <w:p>
      <w:pPr>
        <w:pStyle w:val="Heading3"/>
      </w:pPr>
      <w:bookmarkStart w:id="9999" w:name="_Toc8695"/>
      <w:r>
        <w:t>7545- دیوان نثاری بخارائی‏</w:t>
      </w:r>
      <w:bookmarkEnd w:id="9999"/>
    </w:p>
    <w:p>
      <w:pPr>
        <w:pStyle w:val="BookText"/>
      </w:pPr>
      <w:r>
        <w:rPr>
          <w:rFonts w:ascii="IRNazanin" w:hAnsi="IRNazanin" w:eastAsia="IRNazanin" w:cs="IRNazanin"/>
          <w:lang w:bidi="fa-IR"/>
          <w:color w:val="111111"/>
          <w:sz w:val="28"/>
          <w:szCs w:val="28"/>
          <w:rtl/>
        </w:rPr>
        <w:t xml:space="preserve">و هو الشیخ بهاء الدین حسن الخواجة نقیب الأشراف البخاری الشاعر له مذکر الأحباب فی أحوال الشعراء فی القرنین التاسع و العاشر بما وراء النهر ألفه 974، الموجود فی آکادمی ناوک کما فی فهرسها 2: 16</w:t>
      </w:r>
    </w:p>
    <w:p>
      <w:pPr>
        <w:pStyle w:val="Heading3"/>
      </w:pPr>
      <w:bookmarkStart w:id="10000" w:name="_Toc8696"/>
      <w:r>
        <w:t>7546- دیوان نثاری تبریزی‏</w:t>
      </w:r>
      <w:bookmarkEnd w:id="10000"/>
    </w:p>
    <w:p>
      <w:pPr>
        <w:pStyle w:val="BookText"/>
      </w:pPr>
      <w:r>
        <w:rPr>
          <w:rFonts w:ascii="IRNazanin" w:hAnsi="IRNazanin" w:eastAsia="IRNazanin" w:cs="IRNazanin"/>
          <w:lang w:bidi="fa-IR"/>
          <w:color w:val="111111"/>
          <w:sz w:val="28"/>
          <w:szCs w:val="28"/>
          <w:rtl/>
        </w:rPr>
        <w:t xml:space="preserve">ترجمه معاصره الصادقی فی (خص 8- ص 155) و ذکر أنه مصاحب و معاشر مع الأکابر من أجزاء الدولة، و له دواوین تتبع فیها دیوان بابا فغانی و دیوان میر شاهی ثم أورد قرب مائة و خمسین بیتا من تلک الدواوین، و ترجمه تربیت نقلا عن خلاصة الأشعار و ذکر أنه سافر أولا لزیارة مشهد خراسان ثم نزل قزوین عشرین سنة، ثم ذهب مع الأمیر تقی الدین محمد إلی کاشان و اتفق فی مجلس بینه و بین محتشم حدوث کدورة فهجاه نثاری و صار لذلک ملوما عند الأدباء و له طرز خاص فی نظم الشعر و له تتبع دیوان أمیر شاهی و ترجم فی هفت و (تش- ص 34) و (دجا- ص 371)</w:t>
      </w:r>
    </w:p>
    <w:p>
      <w:pPr>
        <w:pStyle w:val="Heading3"/>
      </w:pPr>
      <w:bookmarkStart w:id="10001" w:name="_Toc8697"/>
      <w:r>
        <w:t>7547- دیوان نثاری تونی‏</w:t>
      </w:r>
      <w:bookmarkEnd w:id="10001"/>
    </w:p>
    <w:p>
      <w:pPr>
        <w:pStyle w:val="BookText"/>
      </w:pPr>
      <w:r>
        <w:rPr>
          <w:rFonts w:ascii="IRNazanin" w:hAnsi="IRNazanin" w:eastAsia="IRNazanin" w:cs="IRNazanin"/>
          <w:lang w:bidi="fa-IR"/>
          <w:color w:val="111111"/>
          <w:sz w:val="28"/>
          <w:szCs w:val="28"/>
          <w:rtl/>
        </w:rPr>
        <w:t xml:space="preserve">ترجمه معاصره فی (تس 5- ص 123) و أطری فضله و محاسن شعره و إن شعره معری من کل عیب و له مثنوی سرو و تذرو فی بحر شاه و درویش و قصائد و غزلیات ثم أورد بعضها و ذکر النصرآبادی فی (نر 15- ص 522) معها لملا نثاری التونی فی رباعیة باسم نسیم کان بگناباد و مات 968 و ترجم فی هفت و (روشن- ص 682)</w:t>
      </w:r>
    </w:p>
    <w:p>
      <w:pPr>
        <w:pStyle w:val="Heading3"/>
      </w:pPr>
      <w:bookmarkStart w:id="10002" w:name="_Toc8698"/>
      <w:r>
        <w:t>7548- دیوان نثاری جلایری‏</w:t>
      </w:r>
      <w:bookmarkEnd w:id="10002"/>
    </w:p>
    <w:p>
      <w:pPr>
        <w:pStyle w:val="BookText"/>
      </w:pPr>
      <w:r>
        <w:rPr>
          <w:rFonts w:ascii="IRNazanin" w:hAnsi="IRNazanin" w:eastAsia="IRNazanin" w:cs="IRNazanin"/>
          <w:lang w:bidi="fa-IR"/>
          <w:color w:val="111111"/>
          <w:sz w:val="28"/>
          <w:szCs w:val="28"/>
          <w:rtl/>
        </w:rPr>
        <w:t xml:space="preserve">هو محمد علی بن علی الجلائر الخراسانی ترجمه معاصره فی (مجن 5- ص 111 و 284) قال و له أطوار غریبة و أورد مطلع غزله‏</w:t>
      </w:r>
    </w:p>
    <w:p>
      <w:pPr>
        <w:pStyle w:val="Heading3"/>
      </w:pPr>
      <w:bookmarkStart w:id="10003" w:name="_Toc8699"/>
      <w:r>
        <w:t>دیوان نثاری خراسانی‏</w:t>
      </w:r>
      <w:bookmarkEnd w:id="10003"/>
    </w:p>
    <w:p>
      <w:pPr>
        <w:pStyle w:val="BookText"/>
      </w:pPr>
      <w:r>
        <w:rPr>
          <w:rFonts w:ascii="IRNazanin" w:hAnsi="IRNazanin" w:eastAsia="IRNazanin" w:cs="IRNazanin"/>
          <w:lang w:bidi="fa-IR"/>
          <w:color w:val="111111"/>
          <w:sz w:val="28"/>
          <w:szCs w:val="28"/>
          <w:rtl/>
        </w:rPr>
        <w:t xml:space="preserve">راجع نثاری جلایر</w:t>
      </w:r>
    </w:p>
    <w:p>
      <w:pPr>
        <w:pStyle w:val="Heading3"/>
      </w:pPr>
      <w:bookmarkStart w:id="10004" w:name="_Toc8700"/>
      <w:r>
        <w:t>7549- دیوان النثر</w:t>
      </w:r>
      <w:bookmarkEnd w:id="10004"/>
    </w:p>
    <w:p>
      <w:pPr>
        <w:pStyle w:val="BookText"/>
      </w:pPr>
      <w:r>
        <w:rPr>
          <w:rFonts w:ascii="IRNazanin" w:hAnsi="IRNazanin" w:eastAsia="IRNazanin" w:cs="IRNazanin"/>
          <w:lang w:bidi="fa-IR"/>
          <w:color w:val="111111"/>
          <w:sz w:val="28"/>
          <w:szCs w:val="28"/>
          <w:rtl/>
        </w:rPr>
        <w:t xml:space="preserve">للشیخ أفضل الدین حسن بن علی الماهانی من مشایخ منتجب الدین‏
</w:t>
      </w:r>
    </w:p>
    <w:p>
      <w:pPr>
        <w:sectPr>
          <w:footerReference w:type="default" r:id="rId1179"/>
          <w:footnotePr>
            <w:numStart w:val="1"/>
            <w:numRestart w:val="eachPage"/>
          </w:footnotePr>
          <w:pgSz w:orient="portrait" w:w="11905.511811023622" w:h="16837.79527559055"/>
          <w:pgMar w:top="1440" w:right="1440" w:bottom="1440" w:left="1440" w:header="720" w:footer="720" w:gutter="0"/>
          <w:cols w:num="1" w:space="720"/>
        </w:sectPr>
      </w:pPr>
    </w:p>
    <w:bookmarkStart w:id="1157" w:name="pg11704_122647"/>
    <w:bookmarkEnd w:id="1157"/>
    <w:p>
      <w:pPr>
        <w:pStyle w:val="Heading3"/>
      </w:pPr>
      <w:bookmarkStart w:id="10005" w:name="_Toc8701"/>
      <w:r>
        <w:t>7550- دیوان النثر</w:t>
      </w:r>
      <w:bookmarkEnd w:id="10005"/>
    </w:p>
    <w:p>
      <w:pPr>
        <w:pStyle w:val="BookText"/>
      </w:pPr>
      <w:r>
        <w:rPr>
          <w:rFonts w:ascii="IRNazanin" w:hAnsi="IRNazanin" w:eastAsia="IRNazanin" w:cs="IRNazanin"/>
          <w:lang w:bidi="fa-IR"/>
          <w:color w:val="111111"/>
          <w:sz w:val="28"/>
          <w:szCs w:val="28"/>
          <w:rtl/>
        </w:rPr>
        <w:t xml:space="preserve">لمجمع بن محمد بن أحمد المسکنی النحوی الشاعر الأدیب اللغوی معاصر الشیخ أبی علی بن شیخ الطائفة الطوسی حیث إنه یروی عنهما الشیخ طاهر بن أحمد القزوینی الذی هو من مشایخ الشیخ منتجب الدین کما فی فهرست‏</w:t>
      </w:r>
    </w:p>
    <w:p>
      <w:pPr>
        <w:pStyle w:val="Heading3"/>
      </w:pPr>
      <w:bookmarkStart w:id="10006" w:name="_Toc8702"/>
      <w:r>
        <w:t>7551- دیوان نثری گیلانی‏</w:t>
      </w:r>
      <w:bookmarkEnd w:id="10006"/>
    </w:p>
    <w:p>
      <w:pPr>
        <w:pStyle w:val="BookText"/>
      </w:pPr>
      <w:r>
        <w:rPr>
          <w:rFonts w:ascii="IRNazanin" w:hAnsi="IRNazanin" w:eastAsia="IRNazanin" w:cs="IRNazanin"/>
          <w:lang w:bidi="fa-IR"/>
          <w:color w:val="111111"/>
          <w:sz w:val="28"/>
          <w:szCs w:val="28"/>
          <w:rtl/>
        </w:rPr>
        <w:t xml:space="preserve">ترجمه معاصره الصادقی فی (خص- ص 294) وصفه بحسن قراءته للقصة مع ما یظهر من کلامه الإلحاد، و قتل بید شرف الدین ابن مختار و أورد بعض شعره‏</w:t>
      </w:r>
    </w:p>
    <w:p>
      <w:pPr>
        <w:pStyle w:val="Heading3"/>
      </w:pPr>
      <w:bookmarkStart w:id="10007" w:name="_Toc8703"/>
      <w:r>
        <w:t>7552- دیوان نجابت بهونگامی أو شعره‏</w:t>
      </w:r>
      <w:bookmarkEnd w:id="10007"/>
    </w:p>
    <w:p>
      <w:pPr>
        <w:pStyle w:val="BookText"/>
      </w:pPr>
      <w:r>
        <w:rPr>
          <w:rFonts w:ascii="IRNazanin" w:hAnsi="IRNazanin" w:eastAsia="IRNazanin" w:cs="IRNazanin"/>
          <w:lang w:bidi="fa-IR"/>
          <w:color w:val="111111"/>
          <w:sz w:val="28"/>
          <w:szCs w:val="28"/>
          <w:rtl/>
        </w:rPr>
        <w:t xml:space="preserve">و اسمه المیر نجیب علی ورد شعره فی (گلشن- ص 504) عن آفتاب عالمتاب‏</w:t>
      </w:r>
    </w:p>
    <w:p>
      <w:pPr>
        <w:pStyle w:val="Heading3"/>
      </w:pPr>
      <w:bookmarkStart w:id="10008" w:name="_Toc8704"/>
      <w:r>
        <w:t>7553- دیوان نجابت لاهوری أو شعره‏</w:t>
      </w:r>
      <w:bookmarkEnd w:id="10008"/>
    </w:p>
    <w:p>
      <w:pPr>
        <w:pStyle w:val="BookText"/>
      </w:pPr>
      <w:r>
        <w:rPr>
          <w:rFonts w:ascii="IRNazanin" w:hAnsi="IRNazanin" w:eastAsia="IRNazanin" w:cs="IRNazanin"/>
          <w:lang w:bidi="fa-IR"/>
          <w:color w:val="111111"/>
          <w:sz w:val="28"/>
          <w:szCs w:val="28"/>
          <w:rtl/>
        </w:rPr>
        <w:t xml:space="preserve">و هو الأخ الأصغر لمیر سیادت لاهوری ترجمه فی (حسینی- ص 356) و (سرخوش- ص 115)</w:t>
      </w:r>
    </w:p>
    <w:p>
      <w:pPr>
        <w:pStyle w:val="Heading3"/>
      </w:pPr>
      <w:bookmarkStart w:id="10009" w:name="_Toc8705"/>
      <w:r>
        <w:t>7554- دیوان نجات أصفهانی‏</w:t>
      </w:r>
      <w:bookmarkEnd w:id="10009"/>
    </w:p>
    <w:p>
      <w:pPr>
        <w:pStyle w:val="BookText"/>
      </w:pPr>
      <w:r>
        <w:rPr>
          <w:rFonts w:ascii="IRNazanin" w:hAnsi="IRNazanin" w:eastAsia="IRNazanin" w:cs="IRNazanin"/>
          <w:lang w:bidi="fa-IR"/>
          <w:color w:val="111111"/>
          <w:sz w:val="28"/>
          <w:szCs w:val="28"/>
          <w:rtl/>
        </w:rPr>
        <w:t xml:space="preserve">و هو عبد العالی بن میر محمد مؤمن الحسینی المتوفی حدود 1140 ترجمه و أورد شعره النصرآبادی فی (نر 9 و 11- ص 340- 342 و 450) و کان أبوه مستوفیا لحبیب الله صدر و عالما محاسبا ریاضیا و ترجمه الحزین فی تذکرته ص 62 و مجلة أرمغان: 15 و (روشن- ص 682) و (سرخوش- ص 113) و همیشه بهار و (مسرت- ص 546) و (تش- ص 204) و تذکره شوشتر- ص 139</w:t>
      </w:r>
    </w:p>
    <w:p>
      <w:pPr>
        <w:pStyle w:val="Heading3"/>
      </w:pPr>
      <w:bookmarkStart w:id="10010" w:name="_Toc8706"/>
      <w:r>
        <w:t>7555- دیوان نجات تبریزی‏</w:t>
      </w:r>
      <w:bookmarkEnd w:id="10010"/>
    </w:p>
    <w:p>
      <w:pPr>
        <w:pStyle w:val="BookText"/>
      </w:pPr>
      <w:r>
        <w:rPr>
          <w:rFonts w:ascii="IRNazanin" w:hAnsi="IRNazanin" w:eastAsia="IRNazanin" w:cs="IRNazanin"/>
          <w:lang w:bidi="fa-IR"/>
          <w:color w:val="111111"/>
          <w:sz w:val="28"/>
          <w:szCs w:val="28"/>
          <w:rtl/>
        </w:rPr>
        <w:t xml:space="preserve">المیرزا محمد حسین بن معین الإسلام التبریزی له، نظم حکایة بوذاسف و بلوهر بالفارسیة 1310 سماه کلید بهشت قال فی تاریخه:</w:t>
      </w:r>
    </w:p>
    <w:p>
      <w:pPr>
        <w:pStyle w:val="BookText"/>
      </w:pPr>
      <w:r>
        <w:rPr>
          <w:rFonts w:ascii="IRNazanin" w:hAnsi="IRNazanin" w:eastAsia="IRNazanin" w:cs="IRNazanin"/>
          <w:lang w:bidi="fa-IR"/>
          <w:color w:val="111111"/>
          <w:sz w:val="28"/>
          <w:szCs w:val="28"/>
          <w:rtl/>
        </w:rPr>
        <w:t xml:space="preserve">بتاریخ ختمش نجات این نوشت‏</w:t>
      </w:r>
    </w:p>
    <w:p>
      <w:pPr>
        <w:pStyle w:val="BookText"/>
      </w:pPr>
      <w:r>
        <w:rPr>
          <w:rFonts w:ascii="IRNazanin" w:hAnsi="IRNazanin" w:eastAsia="IRNazanin" w:cs="IRNazanin"/>
          <w:lang w:bidi="fa-IR"/>
          <w:color w:val="111111"/>
          <w:sz w:val="28"/>
          <w:szCs w:val="28"/>
          <w:rtl/>
        </w:rPr>
        <w:t xml:space="preserve">عطا آمدت زو کلید بهشت‏</w:t>
      </w:r>
    </w:p>
    <w:p>
      <w:pPr>
        <w:pStyle w:val="BookText"/>
      </w:pPr>
      <w:r>
        <w:rPr>
          <w:rFonts w:ascii="IRNazanin" w:hAnsi="IRNazanin" w:eastAsia="IRNazanin" w:cs="IRNazanin"/>
          <w:lang w:bidi="fa-IR"/>
          <w:color w:val="111111"/>
          <w:sz w:val="28"/>
          <w:szCs w:val="28"/>
          <w:rtl/>
        </w:rPr>
        <w:t xml:space="preserve">ترجمه کذلک فی (دجا- ص 372) و قال نسخه هذا المنظوم عندی‏</w:t>
      </w:r>
    </w:p>
    <w:p>
      <w:pPr>
        <w:pStyle w:val="Heading3"/>
      </w:pPr>
      <w:bookmarkStart w:id="10011" w:name="_Toc8707"/>
      <w:r>
        <w:t>7556- دیوان نجات قمی‏</w:t>
      </w:r>
      <w:bookmarkEnd w:id="10011"/>
    </w:p>
    <w:p>
      <w:pPr>
        <w:pStyle w:val="BookText"/>
      </w:pPr>
      <w:r>
        <w:rPr>
          <w:rFonts w:ascii="IRNazanin" w:hAnsi="IRNazanin" w:eastAsia="IRNazanin" w:cs="IRNazanin"/>
          <w:lang w:bidi="fa-IR"/>
          <w:color w:val="111111"/>
          <w:sz w:val="28"/>
          <w:szCs w:val="28"/>
          <w:rtl/>
        </w:rPr>
        <w:t xml:space="preserve">یوجد نسختان من مثنویة گلگشتی عند (الملک) و (سپهسالار- ص 2913) و لعله المذکور فی همیشه بهار بعنوان نجات کاشی‏</w:t>
      </w:r>
    </w:p>
    <w:p>
      <w:pPr>
        <w:pStyle w:val="Heading3"/>
      </w:pPr>
      <w:bookmarkStart w:id="10012" w:name="_Toc8708"/>
      <w:r>
        <w:t>دیوان نجات کاشی‏</w:t>
      </w:r>
      <w:bookmarkEnd w:id="10012"/>
    </w:p>
    <w:p>
      <w:pPr>
        <w:pStyle w:val="BookText"/>
      </w:pPr>
      <w:r>
        <w:rPr>
          <w:rFonts w:ascii="IRNazanin" w:hAnsi="IRNazanin" w:eastAsia="IRNazanin" w:cs="IRNazanin"/>
          <w:lang w:bidi="fa-IR"/>
          <w:color w:val="111111"/>
          <w:sz w:val="28"/>
          <w:szCs w:val="28"/>
          <w:rtl/>
        </w:rPr>
        <w:t xml:space="preserve">راجع نجات قمی‏</w:t>
      </w:r>
    </w:p>
    <w:p>
      <w:pPr>
        <w:pStyle w:val="Heading3"/>
      </w:pPr>
      <w:bookmarkStart w:id="10013" w:name="_Toc8709"/>
      <w:r>
        <w:t>7557- دیوان نجاتی أسترآبادی أو شعره‏</w:t>
      </w:r>
      <w:bookmarkEnd w:id="10013"/>
    </w:p>
    <w:p>
      <w:pPr>
        <w:pStyle w:val="BookText"/>
      </w:pPr>
      <w:r>
        <w:rPr>
          <w:rFonts w:ascii="IRNazanin" w:hAnsi="IRNazanin" w:eastAsia="IRNazanin" w:cs="IRNazanin"/>
          <w:lang w:bidi="fa-IR"/>
          <w:color w:val="111111"/>
          <w:sz w:val="28"/>
          <w:szCs w:val="28"/>
          <w:rtl/>
        </w:rPr>
        <w:t xml:space="preserve">و اسمه ملا إسماعیل بن إبراهیم أورد شعره معاصره فی (تس 4- ص 82) و مر أبوه فی ص 14</w:t>
      </w:r>
    </w:p>
    <w:p>
      <w:pPr>
        <w:pStyle w:val="Heading3"/>
      </w:pPr>
      <w:bookmarkStart w:id="10014" w:name="_Toc8710"/>
      <w:r>
        <w:t>7558- دیوان نجاتی بافقی‏</w:t>
      </w:r>
      <w:bookmarkEnd w:id="10014"/>
    </w:p>
    <w:p>
      <w:pPr>
        <w:pStyle w:val="BookText"/>
      </w:pPr>
      <w:r>
        <w:rPr>
          <w:rFonts w:ascii="IRNazanin" w:hAnsi="IRNazanin" w:eastAsia="IRNazanin" w:cs="IRNazanin"/>
          <w:lang w:bidi="fa-IR"/>
          <w:color w:val="111111"/>
          <w:sz w:val="28"/>
          <w:szCs w:val="28"/>
          <w:rtl/>
        </w:rPr>
        <w:t xml:space="preserve">ترجمه النصرآبادی فی (نر 9- ص 307) و نقل شعره‏
</w:t>
      </w:r>
    </w:p>
    <w:p>
      <w:pPr>
        <w:sectPr>
          <w:footerReference w:type="default" r:id="rId1180"/>
          <w:footnotePr>
            <w:numStart w:val="1"/>
            <w:numRestart w:val="eachPage"/>
          </w:footnotePr>
          <w:pgSz w:orient="portrait" w:w="11905.511811023622" w:h="16837.79527559055"/>
          <w:pgMar w:top="1440" w:right="1440" w:bottom="1440" w:left="1440" w:header="720" w:footer="720" w:gutter="0"/>
          <w:cols w:num="1" w:space="720"/>
        </w:sectPr>
      </w:pPr>
    </w:p>
    <w:bookmarkStart w:id="1158" w:name="pg11704_122648"/>
    <w:bookmarkEnd w:id="1158"/>
    <w:p>
      <w:pPr>
        <w:pStyle w:val="BookText"/>
      </w:pPr>
      <w:r>
        <w:rPr>
          <w:rFonts w:ascii="IRNazanin" w:hAnsi="IRNazanin" w:eastAsia="IRNazanin" w:cs="IRNazanin"/>
          <w:lang w:bidi="fa-IR"/>
          <w:color w:val="111111"/>
          <w:sz w:val="28"/>
          <w:szCs w:val="28"/>
          <w:rtl/>
        </w:rPr>
        <w:t xml:space="preserve">عن الوقاری الذی أدرک البافقی فی کبر سنه و کذا فی (خوش‏گو)</w:t>
      </w:r>
    </w:p>
    <w:p>
      <w:pPr>
        <w:pStyle w:val="Heading3"/>
      </w:pPr>
      <w:bookmarkStart w:id="10015" w:name="_Toc8711"/>
      <w:r>
        <w:t>7559- دیوان نجاتی بخاری أو شعره‏</w:t>
      </w:r>
      <w:bookmarkEnd w:id="10015"/>
    </w:p>
    <w:p>
      <w:pPr>
        <w:pStyle w:val="BookText"/>
      </w:pPr>
      <w:r>
        <w:rPr>
          <w:rFonts w:ascii="IRNazanin" w:hAnsi="IRNazanin" w:eastAsia="IRNazanin" w:cs="IRNazanin"/>
          <w:lang w:bidi="fa-IR"/>
          <w:color w:val="111111"/>
          <w:sz w:val="28"/>
          <w:szCs w:val="28"/>
          <w:rtl/>
        </w:rPr>
        <w:t xml:space="preserve">و اسمه سلطان محمود بن إبراهیم الخطاط الشاعر کما فی نمونه خطوط خوش- ص 130 نقلا عن گلستان هنر</w:t>
      </w:r>
    </w:p>
    <w:p>
      <w:pPr>
        <w:pStyle w:val="Heading3"/>
      </w:pPr>
      <w:bookmarkStart w:id="10016" w:name="_Toc8712"/>
      <w:r>
        <w:t>7560- دیوان نجاتی تبریزی خیابانی‏</w:t>
      </w:r>
      <w:bookmarkEnd w:id="10016"/>
    </w:p>
    <w:p>
      <w:pPr>
        <w:pStyle w:val="BookText"/>
      </w:pPr>
      <w:r>
        <w:rPr>
          <w:rFonts w:ascii="IRNazanin" w:hAnsi="IRNazanin" w:eastAsia="IRNazanin" w:cs="IRNazanin"/>
          <w:lang w:bidi="fa-IR"/>
          <w:color w:val="111111"/>
          <w:sz w:val="28"/>
          <w:szCs w:val="28"/>
          <w:rtl/>
        </w:rPr>
        <w:t xml:space="preserve">و اسمه المولی حیدر ترجمه فی (دجا- ص 372) نقلا عن تحفه سامی و أورد شعره و لکنی لم أظفر بهذه الترجمة فی المطبوع من التحفة</w:t>
      </w:r>
    </w:p>
    <w:p>
      <w:pPr>
        <w:pStyle w:val="Heading3"/>
      </w:pPr>
      <w:bookmarkStart w:id="10017" w:name="_Toc8713"/>
      <w:r>
        <w:t>7561- دیوان نجاتی طهرانی‏</w:t>
      </w:r>
      <w:bookmarkEnd w:id="10017"/>
    </w:p>
    <w:p>
      <w:pPr>
        <w:pStyle w:val="BookText"/>
      </w:pPr>
      <w:r>
        <w:rPr>
          <w:rFonts w:ascii="IRNazanin" w:hAnsi="IRNazanin" w:eastAsia="IRNazanin" w:cs="IRNazanin"/>
          <w:lang w:bidi="fa-IR"/>
          <w:color w:val="111111"/>
          <w:sz w:val="28"/>
          <w:szCs w:val="28"/>
          <w:rtl/>
        </w:rPr>
        <w:t xml:space="preserve">و هو محمد علی بن غلام حسین، ولد 1324 و له ترجمه عجائب المقدور نظما و نثرا، و مقدمه مفصلة علی دیوان صبای کاشی المطبوع 1381 ترجمه فی سخنوران نامی معاصر 2: 246</w:t>
      </w:r>
    </w:p>
    <w:p>
      <w:pPr>
        <w:pStyle w:val="Heading3"/>
      </w:pPr>
      <w:bookmarkStart w:id="10018" w:name="_Toc8714"/>
      <w:r>
        <w:t>7562- دیوان نجاتی رومی أو شعره‏</w:t>
      </w:r>
      <w:bookmarkEnd w:id="10018"/>
    </w:p>
    <w:p>
      <w:pPr>
        <w:pStyle w:val="BookText"/>
      </w:pPr>
      <w:r>
        <w:rPr>
          <w:rFonts w:ascii="IRNazanin" w:hAnsi="IRNazanin" w:eastAsia="IRNazanin" w:cs="IRNazanin"/>
          <w:lang w:bidi="fa-IR"/>
          <w:color w:val="111111"/>
          <w:sz w:val="28"/>
          <w:szCs w:val="28"/>
          <w:rtl/>
        </w:rPr>
        <w:t xml:space="preserve">ترجمه معاصره الصادقی فی (خص 8- ص 115) و أورد غزله بالترکیة الإستانبولیة و استحسنه فی تلک اللغة و لعله عیسی نجاتی ناظم لیلی و مجنون بالترکیة و المتوفی 914</w:t>
      </w:r>
    </w:p>
    <w:p>
      <w:pPr>
        <w:pStyle w:val="Heading3"/>
      </w:pPr>
      <w:bookmarkStart w:id="10019" w:name="_Toc8715"/>
      <w:r>
        <w:t>7563- دیوان نجاتی شیرازی أو شعره‏</w:t>
      </w:r>
      <w:bookmarkEnd w:id="10019"/>
    </w:p>
    <w:p>
      <w:pPr>
        <w:pStyle w:val="BookText"/>
      </w:pPr>
      <w:r>
        <w:rPr>
          <w:rFonts w:ascii="IRNazanin" w:hAnsi="IRNazanin" w:eastAsia="IRNazanin" w:cs="IRNazanin"/>
          <w:lang w:bidi="fa-IR"/>
          <w:color w:val="111111"/>
          <w:sz w:val="28"/>
          <w:szCs w:val="28"/>
          <w:rtl/>
        </w:rPr>
        <w:t xml:space="preserve">ورد شعره فی (هفت- ص 310) و (گلشن- ص 504) و (خوش‏گو)</w:t>
      </w:r>
    </w:p>
    <w:p>
      <w:pPr>
        <w:pStyle w:val="Heading3"/>
      </w:pPr>
      <w:bookmarkStart w:id="10020" w:name="_Toc8716"/>
      <w:r>
        <w:t>دیوان نجاتی طوسی‏</w:t>
      </w:r>
      <w:bookmarkEnd w:id="10020"/>
    </w:p>
    <w:p>
      <w:pPr>
        <w:pStyle w:val="BookText"/>
      </w:pPr>
      <w:r>
        <w:rPr>
          <w:rFonts w:ascii="IRNazanin" w:hAnsi="IRNazanin" w:eastAsia="IRNazanin" w:cs="IRNazanin"/>
          <w:lang w:bidi="fa-IR"/>
          <w:color w:val="111111"/>
          <w:sz w:val="28"/>
          <w:szCs w:val="28"/>
          <w:rtl/>
        </w:rPr>
        <w:t xml:space="preserve">راجع نجاتی نیشابوری‏</w:t>
      </w:r>
    </w:p>
    <w:p>
      <w:pPr>
        <w:pStyle w:val="Heading3"/>
      </w:pPr>
      <w:bookmarkStart w:id="10021" w:name="_Toc8717"/>
      <w:r>
        <w:t>دیوان نجاتی مشهدی‏</w:t>
      </w:r>
      <w:bookmarkEnd w:id="10021"/>
    </w:p>
    <w:p>
      <w:pPr>
        <w:pStyle w:val="BookText"/>
      </w:pPr>
      <w:r>
        <w:rPr>
          <w:rFonts w:ascii="IRNazanin" w:hAnsi="IRNazanin" w:eastAsia="IRNazanin" w:cs="IRNazanin"/>
          <w:lang w:bidi="fa-IR"/>
          <w:color w:val="111111"/>
          <w:sz w:val="28"/>
          <w:szCs w:val="28"/>
          <w:rtl/>
        </w:rPr>
        <w:t xml:space="preserve">راجع نجاتی نیشابوری‏</w:t>
      </w:r>
    </w:p>
    <w:p>
      <w:pPr>
        <w:pStyle w:val="Heading3"/>
      </w:pPr>
      <w:bookmarkStart w:id="10022" w:name="_Toc8718"/>
      <w:r>
        <w:t>7564- دیوان نجاتی نیشابوری‏</w:t>
      </w:r>
      <w:bookmarkEnd w:id="10022"/>
    </w:p>
    <w:p>
      <w:pPr>
        <w:pStyle w:val="BookText"/>
      </w:pPr>
      <w:r>
        <w:rPr>
          <w:rFonts w:ascii="IRNazanin" w:hAnsi="IRNazanin" w:eastAsia="IRNazanin" w:cs="IRNazanin"/>
          <w:lang w:bidi="fa-IR"/>
          <w:color w:val="111111"/>
          <w:sz w:val="28"/>
          <w:szCs w:val="28"/>
          <w:rtl/>
        </w:rPr>
        <w:t xml:space="preserve">و اسمه ملک علی أو عبد علی الطوسی کما فی (گلشن- ص 504) المشهدی کما فی (مطلع 2: 448) و أظنه مؤلف الکافیة فی العروض و الصنعة و القافیة المنتخب من حدائق السحر الموجود فی مجموعة برقم 313 من کتب الصدر فی (سپهسالار)</w:t>
      </w:r>
    </w:p>
    <w:p>
      <w:pPr>
        <w:pStyle w:val="Heading3"/>
      </w:pPr>
      <w:bookmarkStart w:id="10023" w:name="_Toc8719"/>
      <w:r>
        <w:t>7565- دیوان نجار أراکی‏</w:t>
      </w:r>
      <w:bookmarkEnd w:id="10023"/>
    </w:p>
    <w:p>
      <w:pPr>
        <w:pStyle w:val="BookText"/>
      </w:pPr>
      <w:r>
        <w:rPr>
          <w:rFonts w:ascii="IRNazanin" w:hAnsi="IRNazanin" w:eastAsia="IRNazanin" w:cs="IRNazanin"/>
          <w:lang w:bidi="fa-IR"/>
          <w:color w:val="111111"/>
          <w:sz w:val="28"/>
          <w:szCs w:val="28"/>
          <w:rtl/>
        </w:rPr>
        <w:t xml:space="preserve">و اسمه إبراهیم النجار ساکن بصری من قرأ سلطان‏آباد أراک و هو عامی ینظم الشعر الجید</w:t>
      </w:r>
    </w:p>
    <w:p>
      <w:pPr>
        <w:pStyle w:val="Heading3"/>
      </w:pPr>
      <w:bookmarkStart w:id="10024" w:name="_Toc8720"/>
      <w:r>
        <w:t>7566- دیوان نجار ساغرچی أو شعره‏</w:t>
      </w:r>
      <w:bookmarkEnd w:id="10024"/>
    </w:p>
    <w:p>
      <w:pPr>
        <w:pStyle w:val="BookText"/>
      </w:pPr>
      <w:r>
        <w:rPr>
          <w:rFonts w:ascii="IRNazanin" w:hAnsi="IRNazanin" w:eastAsia="IRNazanin" w:cs="IRNazanin"/>
          <w:lang w:bidi="fa-IR"/>
          <w:color w:val="111111"/>
          <w:sz w:val="28"/>
          <w:szCs w:val="28"/>
          <w:rtl/>
        </w:rPr>
        <w:t xml:space="preserve">من شعراء خضر بن إبراهیم ذکر فی چهار مقالة- ص 73 و یوجد شعر نجار فی فرهنگ أسدی و هو غیر العارف المذکور فی النفحات‏</w:t>
      </w:r>
    </w:p>
    <w:p>
      <w:pPr>
        <w:pStyle w:val="Heading3"/>
      </w:pPr>
      <w:bookmarkStart w:id="10025" w:name="_Toc8721"/>
      <w:r>
        <w:t>7567- دیوان نجاری سمرقندی أو شعره‏</w:t>
      </w:r>
      <w:bookmarkEnd w:id="10025"/>
    </w:p>
    <w:p>
      <w:pPr>
        <w:pStyle w:val="BookText"/>
      </w:pPr>
      <w:r>
        <w:rPr>
          <w:rFonts w:ascii="IRNazanin" w:hAnsi="IRNazanin" w:eastAsia="IRNazanin" w:cs="IRNazanin"/>
          <w:lang w:bidi="fa-IR"/>
          <w:color w:val="111111"/>
          <w:sz w:val="28"/>
          <w:szCs w:val="28"/>
          <w:rtl/>
        </w:rPr>
        <w:t xml:space="preserve">و هو سعد الدین أسعد ترجمه و أورد شعره العوفی فی (لب- 10)
</w:t>
      </w:r>
    </w:p>
    <w:p>
      <w:pPr>
        <w:sectPr>
          <w:footerReference w:type="default" r:id="rId1181"/>
          <w:footnotePr>
            <w:numStart w:val="1"/>
            <w:numRestart w:val="eachPage"/>
          </w:footnotePr>
          <w:pgSz w:orient="portrait" w:w="11905.511811023622" w:h="16837.79527559055"/>
          <w:pgMar w:top="1440" w:right="1440" w:bottom="1440" w:left="1440" w:header="720" w:footer="720" w:gutter="0"/>
          <w:cols w:num="1" w:space="720"/>
        </w:sectPr>
      </w:pPr>
    </w:p>
    <w:bookmarkStart w:id="1159" w:name="pg11704_122649"/>
    <w:bookmarkEnd w:id="1159"/>
    <w:p>
      <w:pPr>
        <w:pStyle w:val="Heading3"/>
      </w:pPr>
      <w:bookmarkStart w:id="10026" w:name="_Toc8722"/>
      <w:r>
        <w:t>7568- دیوان النجاشی أو شعره‏</w:t>
      </w:r>
      <w:bookmarkEnd w:id="10026"/>
    </w:p>
    <w:p>
      <w:pPr>
        <w:pStyle w:val="BookText"/>
      </w:pPr>
      <w:r>
        <w:rPr>
          <w:rFonts w:ascii="IRNazanin" w:hAnsi="IRNazanin" w:eastAsia="IRNazanin" w:cs="IRNazanin"/>
          <w:lang w:bidi="fa-IR"/>
          <w:color w:val="111111"/>
          <w:sz w:val="28"/>
          <w:szCs w:val="28"/>
          <w:rtl/>
        </w:rPr>
        <w:t xml:space="preserve">عده ابن شهرآشوب فی (المعالم- ص 139) من شعراء أهل البیت فی التابعین.</w:t>
      </w:r>
    </w:p>
    <w:p>
      <w:pPr>
        <w:pStyle w:val="Heading3"/>
      </w:pPr>
      <w:bookmarkStart w:id="10027" w:name="_Toc8723"/>
      <w:r>
        <w:t>7569- دیوان نجاشی‏</w:t>
      </w:r>
      <w:bookmarkEnd w:id="10027"/>
    </w:p>
    <w:p>
      <w:pPr>
        <w:pStyle w:val="BookText"/>
      </w:pPr>
      <w:r>
        <w:rPr>
          <w:rFonts w:ascii="IRNazanin" w:hAnsi="IRNazanin" w:eastAsia="IRNazanin" w:cs="IRNazanin"/>
          <w:lang w:bidi="fa-IR"/>
          <w:color w:val="111111"/>
          <w:sz w:val="28"/>
          <w:szCs w:val="28"/>
          <w:rtl/>
        </w:rPr>
        <w:t xml:space="preserve">عماد الدین ملک ملوک الوزراء و سلطان العلماء. هکذا وصفه صاحب سفینه أشعار المؤلف فی القرن السابع الموجود فی (المجلس) کما فی فهرسها 3: 158. توجد نسخه من هذا الدیوان فی إستانبول، و تصویره فی المکتبة (الملیة) فی ذیل دیوان قوامی الرازی المذکور، تشتمل علی 36 ورقة من غزله و 6 أوراق من رباعیاته و تخلصه فی الغزل نجاشی. و أظنه من شعراء بلاط سلاجقة الروم.</w:t>
      </w:r>
    </w:p>
    <w:p>
      <w:pPr>
        <w:pStyle w:val="Heading3"/>
      </w:pPr>
      <w:bookmarkStart w:id="10028" w:name="_Toc8724"/>
      <w:r>
        <w:t>7570- دیوان نجدة یزدی أو شعره‏</w:t>
      </w:r>
      <w:bookmarkEnd w:id="10028"/>
    </w:p>
    <w:p>
      <w:pPr>
        <w:pStyle w:val="BookText"/>
      </w:pPr>
      <w:r>
        <w:rPr>
          <w:rFonts w:ascii="IRNazanin" w:hAnsi="IRNazanin" w:eastAsia="IRNazanin" w:cs="IRNazanin"/>
          <w:lang w:bidi="fa-IR"/>
          <w:color w:val="111111"/>
          <w:sz w:val="28"/>
          <w:szCs w:val="28"/>
          <w:rtl/>
        </w:rPr>
        <w:t xml:space="preserve">ترجمه الصادقی فی (خص 6- ص 98) و قال:</w:t>
      </w:r>
    </w:p>
    <w:p>
      <w:pPr>
        <w:pStyle w:val="BookText"/>
      </w:pPr>
      <w:r>
        <w:rPr>
          <w:rFonts w:ascii="IRNazanin" w:hAnsi="IRNazanin" w:eastAsia="IRNazanin" w:cs="IRNazanin"/>
          <w:lang w:bidi="fa-IR"/>
          <w:color w:val="111111"/>
          <w:sz w:val="28"/>
          <w:szCs w:val="28"/>
          <w:rtl/>
        </w:rPr>
        <w:t xml:space="preserve">هو من السادة فی یزد. سافر إلی الهند کرارا و فی الغالب یشرف داری و له اطلاع تام باصطلاحات الشعراء و ینظم الشعر الجید. ثم أورد عدة من غزلیاته و کذا فی (هفت- ص 187) و (روشن- ص 685) و قال الآیتی فی (تش یز- ص 335): إن اسمه السید عبد الوهاب من السادة الأنجاب و التجار المتمولین کان عالما بالعروض و القوافی سافر إلی کرمان برهة و فی أواخر الصفویة سافر إلی الهند و رجع فی أوائل الأفشاریة إلی یزد و بها توفی بعد قلیل ثم أورد إحدی الغزلیات التی ذکرها صادقی لمیر نجدة هذا مع أن الخصوصیات المذکورة فی ترجمته یقتضی تأخر المعاصر للأفشاریة عما قبله بکثیر کما لا یخفی.</w:t>
      </w:r>
    </w:p>
    <w:p>
      <w:pPr>
        <w:pStyle w:val="Heading3"/>
      </w:pPr>
      <w:bookmarkStart w:id="10029" w:name="_Toc8725"/>
      <w:r>
        <w:t>7571- دیوان نجف أصفهانی أو شعره‏</w:t>
      </w:r>
      <w:bookmarkEnd w:id="10029"/>
    </w:p>
    <w:p>
      <w:pPr>
        <w:pStyle w:val="BookText"/>
      </w:pPr>
      <w:r>
        <w:rPr>
          <w:rFonts w:ascii="IRNazanin" w:hAnsi="IRNazanin" w:eastAsia="IRNazanin" w:cs="IRNazanin"/>
          <w:lang w:bidi="fa-IR"/>
          <w:color w:val="111111"/>
          <w:sz w:val="28"/>
          <w:szCs w:val="28"/>
          <w:rtl/>
        </w:rPr>
        <w:t xml:space="preserve">و اسمه نجف گازر. ورد شعره فی (گلشن- ص 504).</w:t>
      </w:r>
    </w:p>
    <w:p>
      <w:pPr>
        <w:pStyle w:val="Heading3"/>
      </w:pPr>
      <w:bookmarkStart w:id="10030" w:name="_Toc8726"/>
      <w:r>
        <w:t>7572- دیوان نجف شاه‏جهان‏آبادی‏</w:t>
      </w:r>
      <w:bookmarkEnd w:id="10030"/>
    </w:p>
    <w:p>
      <w:pPr>
        <w:pStyle w:val="BookText"/>
      </w:pPr>
      <w:r>
        <w:rPr>
          <w:rFonts w:ascii="IRNazanin" w:hAnsi="IRNazanin" w:eastAsia="IRNazanin" w:cs="IRNazanin"/>
          <w:lang w:bidi="fa-IR"/>
          <w:color w:val="111111"/>
          <w:sz w:val="28"/>
          <w:szCs w:val="28"/>
          <w:rtl/>
        </w:rPr>
        <w:t xml:space="preserve">و اسمه المولوی نجف علی خان. له شرح دساتیر و نظم تورات و مثنوی هفت پیکار. أورد شعره معاصره فی (گلشن- ص 505) و عنه فی القاموس الترکی ثم (هدیة العارفین 1: 776).</w:t>
      </w:r>
    </w:p>
    <w:p>
      <w:pPr>
        <w:pStyle w:val="Heading3"/>
      </w:pPr>
      <w:bookmarkStart w:id="10031" w:name="_Toc8727"/>
      <w:r>
        <w:t>دیوان نجف بختیاری‏</w:t>
      </w:r>
      <w:bookmarkEnd w:id="10031"/>
    </w:p>
    <w:p>
      <w:pPr>
        <w:pStyle w:val="BookText"/>
      </w:pPr>
      <w:r>
        <w:rPr>
          <w:rFonts w:ascii="IRNazanin" w:hAnsi="IRNazanin" w:eastAsia="IRNazanin" w:cs="IRNazanin"/>
          <w:lang w:bidi="fa-IR"/>
          <w:color w:val="111111"/>
          <w:sz w:val="28"/>
          <w:szCs w:val="28"/>
          <w:rtl/>
        </w:rPr>
        <w:t xml:space="preserve">راجع والی بختیاری.</w:t>
      </w:r>
    </w:p>
    <w:p>
      <w:pPr>
        <w:pStyle w:val="Heading3"/>
      </w:pPr>
      <w:bookmarkStart w:id="10032" w:name="_Toc8728"/>
      <w:r>
        <w:t>دیوان نجف زنگنه‏</w:t>
      </w:r>
      <w:bookmarkEnd w:id="10032"/>
    </w:p>
    <w:p>
      <w:pPr>
        <w:pStyle w:val="BookText"/>
      </w:pPr>
      <w:r>
        <w:rPr>
          <w:rFonts w:ascii="IRNazanin" w:hAnsi="IRNazanin" w:eastAsia="IRNazanin" w:cs="IRNazanin"/>
          <w:lang w:bidi="fa-IR"/>
          <w:color w:val="111111"/>
          <w:sz w:val="28"/>
          <w:szCs w:val="28"/>
          <w:rtl/>
        </w:rPr>
        <w:t xml:space="preserve">راجع نجف قلی زنگنه.</w:t>
      </w:r>
    </w:p>
    <w:p>
      <w:pPr>
        <w:pStyle w:val="Heading3"/>
      </w:pPr>
      <w:bookmarkStart w:id="10033" w:name="_Toc8729"/>
      <w:r>
        <w:t>7573- دیوان نجف قلی خان زنگنه‏</w:t>
      </w:r>
      <w:bookmarkEnd w:id="10033"/>
    </w:p>
    <w:p>
      <w:pPr>
        <w:pStyle w:val="BookText"/>
      </w:pPr>
      <w:r>
        <w:rPr>
          <w:rFonts w:ascii="IRNazanin" w:hAnsi="IRNazanin" w:eastAsia="IRNazanin" w:cs="IRNazanin"/>
          <w:lang w:bidi="fa-IR"/>
          <w:color w:val="111111"/>
          <w:sz w:val="28"/>
          <w:szCs w:val="28"/>
          <w:rtl/>
        </w:rPr>
        <w:t xml:space="preserve">و هو أرشد أولاد علی بیک زنگنه و بعده الشیخ علی خان و شاه‏رخ خان. کان نجف قلی خان میر آخورباشی للشاه عباس الثانی و فی الأواخر
</w:t>
      </w:r>
    </w:p>
    <w:p>
      <w:pPr>
        <w:sectPr>
          <w:footerReference w:type="default" r:id="rId1182"/>
          <w:footnotePr>
            <w:numStart w:val="1"/>
            <w:numRestart w:val="eachPage"/>
          </w:footnotePr>
          <w:pgSz w:orient="portrait" w:w="11905.511811023622" w:h="16837.79527559055"/>
          <w:pgMar w:top="1440" w:right="1440" w:bottom="1440" w:left="1440" w:header="720" w:footer="720" w:gutter="0"/>
          <w:cols w:num="1" w:space="720"/>
        </w:sectPr>
      </w:pPr>
    </w:p>
    <w:bookmarkStart w:id="1160" w:name="pg11704_122650"/>
    <w:bookmarkEnd w:id="1160"/>
    <w:p>
      <w:pPr>
        <w:pStyle w:val="BookText"/>
      </w:pPr>
      <w:r>
        <w:rPr>
          <w:rFonts w:ascii="IRNazanin" w:hAnsi="IRNazanin" w:eastAsia="IRNazanin" w:cs="IRNazanin"/>
          <w:lang w:bidi="fa-IR"/>
          <w:color w:val="111111"/>
          <w:sz w:val="28"/>
          <w:szCs w:val="28"/>
          <w:rtl/>
        </w:rPr>
        <w:t xml:space="preserve">صار و إلی مرو من قبل الشاه سلیمان. ترجمه النصرآبادی و أورد بعض أشعاره فی (نر 2- ص 26) و (حسینی- ص 353) و (خوش‏گو) و (مع 1: 61) و همیشه بهار و (مسرت- ص 188).</w:t>
      </w:r>
    </w:p>
    <w:p>
      <w:pPr>
        <w:pStyle w:val="Heading3"/>
      </w:pPr>
      <w:bookmarkStart w:id="10034" w:name="_Toc8730"/>
      <w:r>
        <w:t>7574- دیوان نجف لکهنوی أو شعره‏</w:t>
      </w:r>
      <w:bookmarkEnd w:id="10034"/>
    </w:p>
    <w:p>
      <w:pPr>
        <w:pStyle w:val="BookText"/>
      </w:pPr>
      <w:r>
        <w:rPr>
          <w:rFonts w:ascii="IRNazanin" w:hAnsi="IRNazanin" w:eastAsia="IRNazanin" w:cs="IRNazanin"/>
          <w:lang w:bidi="fa-IR"/>
          <w:color w:val="111111"/>
          <w:sz w:val="28"/>
          <w:szCs w:val="28"/>
          <w:rtl/>
        </w:rPr>
        <w:t xml:space="preserve">و هو الشیخ عبد الکریم تلمیذ غلام الهمدانی مصحفی المذکور فی ص 1054. ورد شعره فی (گلشن- ص 504).</w:t>
      </w:r>
    </w:p>
    <w:p>
      <w:pPr>
        <w:pStyle w:val="Heading3"/>
      </w:pPr>
      <w:bookmarkStart w:id="10035" w:name="_Toc8731"/>
      <w:r>
        <w:t>7575- دیوان نجفی الله‏آبادی أو شعره‏</w:t>
      </w:r>
      <w:bookmarkEnd w:id="10035"/>
    </w:p>
    <w:p>
      <w:pPr>
        <w:pStyle w:val="BookText"/>
      </w:pPr>
      <w:r>
        <w:rPr>
          <w:rFonts w:ascii="IRNazanin" w:hAnsi="IRNazanin" w:eastAsia="IRNazanin" w:cs="IRNazanin"/>
          <w:lang w:bidi="fa-IR"/>
          <w:color w:val="111111"/>
          <w:sz w:val="28"/>
          <w:szCs w:val="28"/>
          <w:rtl/>
        </w:rPr>
        <w:t xml:space="preserve">و اسمه شاه غلام خوب الله ابن شاه محمد ناصر الأفضلی المتوفی 1170. ورد شعره فی (گلشن- ص 506) و عنه فی القاموس الترکی ثم الریحانة. و (مسرت- ص 277).</w:t>
      </w:r>
    </w:p>
    <w:p>
      <w:pPr>
        <w:pStyle w:val="Heading3"/>
      </w:pPr>
      <w:bookmarkStart w:id="10036" w:name="_Toc8732"/>
      <w:r>
        <w:t>7576- دیوان نجم‏آبادی‏</w:t>
      </w:r>
      <w:bookmarkEnd w:id="10036"/>
    </w:p>
    <w:p>
      <w:pPr>
        <w:pStyle w:val="BookText"/>
      </w:pPr>
      <w:r>
        <w:rPr>
          <w:rFonts w:ascii="IRNazanin" w:hAnsi="IRNazanin" w:eastAsia="IRNazanin" w:cs="IRNazanin"/>
          <w:lang w:bidi="fa-IR"/>
          <w:color w:val="111111"/>
          <w:sz w:val="28"/>
          <w:szCs w:val="28"/>
          <w:rtl/>
        </w:rPr>
        <w:t xml:space="preserve">و اسمه الشیخ محمود النجم‏آبادی الطهرانی. طبع له منظومة متاع الوارثین فی الإرث بطهران 1322 بقطع صغیر مع مقدمه منظومة لولده عبد الحسین.</w:t>
      </w:r>
    </w:p>
    <w:p>
      <w:pPr>
        <w:pStyle w:val="Heading3"/>
      </w:pPr>
      <w:bookmarkStart w:id="10037" w:name="_Toc8733"/>
      <w:r>
        <w:t>دیوان نجم پروانه‏چی‏</w:t>
      </w:r>
      <w:bookmarkEnd w:id="10037"/>
    </w:p>
    <w:p>
      <w:pPr>
        <w:pStyle w:val="BookText"/>
      </w:pPr>
      <w:r>
        <w:rPr>
          <w:rFonts w:ascii="IRNazanin" w:hAnsi="IRNazanin" w:eastAsia="IRNazanin" w:cs="IRNazanin"/>
          <w:lang w:bidi="fa-IR"/>
          <w:color w:val="111111"/>
          <w:sz w:val="28"/>
          <w:szCs w:val="28"/>
          <w:rtl/>
        </w:rPr>
        <w:t xml:space="preserve">راجع نجم ساوجی.</w:t>
      </w:r>
    </w:p>
    <w:p>
      <w:pPr>
        <w:pStyle w:val="Heading3"/>
      </w:pPr>
      <w:bookmarkStart w:id="10038" w:name="_Toc8734"/>
      <w:r>
        <w:t>دیوان نجم ثاقب‏</w:t>
      </w:r>
      <w:bookmarkEnd w:id="10038"/>
    </w:p>
    <w:p>
      <w:pPr>
        <w:pStyle w:val="BookText"/>
      </w:pPr>
      <w:r>
        <w:rPr>
          <w:rFonts w:ascii="IRNazanin" w:hAnsi="IRNazanin" w:eastAsia="IRNazanin" w:cs="IRNazanin"/>
          <w:lang w:bidi="fa-IR"/>
          <w:color w:val="111111"/>
          <w:sz w:val="28"/>
          <w:szCs w:val="28"/>
          <w:rtl/>
        </w:rPr>
        <w:t xml:space="preserve">مر بتخلصه ثاقب هندی.</w:t>
      </w:r>
    </w:p>
    <w:p>
      <w:pPr>
        <w:pStyle w:val="Heading3"/>
      </w:pPr>
      <w:bookmarkStart w:id="10039" w:name="_Toc8735"/>
      <w:r>
        <w:t>7577- دیوان نجم أصفهانی أو شعره‏</w:t>
      </w:r>
      <w:bookmarkEnd w:id="10039"/>
    </w:p>
    <w:p>
      <w:pPr>
        <w:pStyle w:val="BookText"/>
      </w:pPr>
      <w:r>
        <w:rPr>
          <w:rFonts w:ascii="IRNazanin" w:hAnsi="IRNazanin" w:eastAsia="IRNazanin" w:cs="IRNazanin"/>
          <w:lang w:bidi="fa-IR"/>
          <w:color w:val="111111"/>
          <w:sz w:val="28"/>
          <w:szCs w:val="28"/>
          <w:rtl/>
        </w:rPr>
        <w:t xml:space="preserve">و اسمه نجم الشریعة الفاضل النوری ابن بهاء الدین الفاضل النوری المازندرانی الأصل ولد بأصفهان. 1310 من فضلاء أصفهان المعاصرین. أورد ألفت شعره فی دانش‏نامه و ترجمه المهدوی فی شعرای معاصر أصفهان- ص 500.</w:t>
      </w:r>
    </w:p>
    <w:p>
      <w:pPr>
        <w:pStyle w:val="Heading3"/>
      </w:pPr>
      <w:bookmarkStart w:id="10040" w:name="_Toc8736"/>
      <w:r>
        <w:t>دیوان نجم دایة</w:t>
      </w:r>
      <w:bookmarkEnd w:id="10040"/>
    </w:p>
    <w:p>
      <w:pPr>
        <w:pStyle w:val="BookText"/>
      </w:pPr>
      <w:r>
        <w:rPr>
          <w:rFonts w:ascii="IRNazanin" w:hAnsi="IRNazanin" w:eastAsia="IRNazanin" w:cs="IRNazanin"/>
          <w:lang w:bidi="fa-IR"/>
          <w:color w:val="111111"/>
          <w:sz w:val="28"/>
          <w:szCs w:val="28"/>
          <w:rtl/>
        </w:rPr>
        <w:t xml:space="preserve">راجع نجم رازی.</w:t>
      </w:r>
    </w:p>
    <w:p>
      <w:pPr>
        <w:pStyle w:val="Heading3"/>
      </w:pPr>
      <w:bookmarkStart w:id="10041" w:name="_Toc8737"/>
      <w:r>
        <w:t>دیوان نجم الدین‏</w:t>
      </w:r>
      <w:bookmarkEnd w:id="10041"/>
    </w:p>
    <w:p>
      <w:pPr>
        <w:pStyle w:val="BookText"/>
      </w:pPr>
      <w:r>
        <w:rPr>
          <w:rFonts w:ascii="IRNazanin" w:hAnsi="IRNazanin" w:eastAsia="IRNazanin" w:cs="IRNazanin"/>
          <w:lang w:bidi="fa-IR"/>
          <w:color w:val="111111"/>
          <w:sz w:val="28"/>
          <w:szCs w:val="28"/>
          <w:rtl/>
        </w:rPr>
        <w:t xml:space="preserve">راجع نجم رازی و نجم زرکوب و نجم کبری.</w:t>
      </w:r>
    </w:p>
    <w:p>
      <w:pPr>
        <w:pStyle w:val="Heading3"/>
      </w:pPr>
      <w:bookmarkStart w:id="10042" w:name="_Toc8738"/>
      <w:r>
        <w:t>7578- دیوان نجم رازی‏</w:t>
      </w:r>
      <w:bookmarkEnd w:id="10042"/>
    </w:p>
    <w:p>
      <w:pPr>
        <w:pStyle w:val="BookText"/>
      </w:pPr>
      <w:r>
        <w:rPr>
          <w:rFonts w:ascii="IRNazanin" w:hAnsi="IRNazanin" w:eastAsia="IRNazanin" w:cs="IRNazanin"/>
          <w:lang w:bidi="fa-IR"/>
          <w:color w:val="111111"/>
          <w:sz w:val="28"/>
          <w:szCs w:val="28"/>
          <w:rtl/>
        </w:rPr>
        <w:t xml:space="preserve">و هو نجم الدین الکبری أبو بکر عبد الله بن محمد الرازی من مشایخ العرفاء و تلمیذ نجم الکبری و المولی الرومی و القونوی و یلقب دایة. له مرصاد العباد و بحر الحقائق. و توفی ببغداد 654. ترجم فی هفت إقلیم و (النفحات- ص 389) و (عشاق- ص 110) و (خوش‏گو) و (حسینی- ص 347) و (ض- ص 148) و (بهش 1- ص 320) و (گلشن- ص 507).</w:t>
      </w:r>
    </w:p>
    <w:p>
      <w:pPr>
        <w:pStyle w:val="Heading3"/>
      </w:pPr>
      <w:bookmarkStart w:id="10043" w:name="_Toc8739"/>
      <w:r>
        <w:t>دیوان نجم زرکوب‏</w:t>
      </w:r>
      <w:bookmarkEnd w:id="10043"/>
    </w:p>
    <w:p>
      <w:pPr>
        <w:pStyle w:val="BookText"/>
      </w:pPr>
      <w:r>
        <w:rPr>
          <w:rFonts w:ascii="IRNazanin" w:hAnsi="IRNazanin" w:eastAsia="IRNazanin" w:cs="IRNazanin"/>
          <w:lang w:bidi="fa-IR"/>
          <w:color w:val="111111"/>
          <w:sz w:val="28"/>
          <w:szCs w:val="28"/>
          <w:rtl/>
        </w:rPr>
        <w:t xml:space="preserve">کما فی (گلشن- ص 509) و هو نجم الدین أبو بکر المذکور
</w:t>
      </w:r>
    </w:p>
    <w:p>
      <w:pPr>
        <w:sectPr>
          <w:footerReference w:type="default" r:id="rId1183"/>
          <w:footnotePr>
            <w:numStart w:val="1"/>
            <w:numRestart w:val="eachPage"/>
          </w:footnotePr>
          <w:pgSz w:orient="portrait" w:w="11905.511811023622" w:h="16837.79527559055"/>
          <w:pgMar w:top="1440" w:right="1440" w:bottom="1440" w:left="1440" w:header="720" w:footer="720" w:gutter="0"/>
          <w:cols w:num="1" w:space="720"/>
        </w:sectPr>
      </w:pPr>
    </w:p>
    <w:bookmarkStart w:id="1161" w:name="pg11704_122651"/>
    <w:bookmarkEnd w:id="1161"/>
    <w:p>
      <w:pPr>
        <w:pStyle w:val="BookText"/>
      </w:pPr>
      <w:r>
        <w:rPr>
          <w:rFonts w:ascii="IRNazanin" w:hAnsi="IRNazanin" w:eastAsia="IRNazanin" w:cs="IRNazanin"/>
          <w:lang w:bidi="fa-IR"/>
          <w:color w:val="111111"/>
          <w:sz w:val="28"/>
          <w:szCs w:val="28"/>
          <w:rtl/>
        </w:rPr>
        <w:t xml:space="preserve">فی ص 401.</w:t>
      </w:r>
    </w:p>
    <w:p>
      <w:pPr>
        <w:pStyle w:val="Heading3"/>
      </w:pPr>
      <w:bookmarkStart w:id="10044" w:name="_Toc8740"/>
      <w:r>
        <w:t>7579- دیوان نجم ساوجی أو شعره‏</w:t>
      </w:r>
      <w:bookmarkEnd w:id="10044"/>
    </w:p>
    <w:p>
      <w:pPr>
        <w:pStyle w:val="BookText"/>
      </w:pPr>
      <w:r>
        <w:rPr>
          <w:rFonts w:ascii="IRNazanin" w:hAnsi="IRNazanin" w:eastAsia="IRNazanin" w:cs="IRNazanin"/>
          <w:lang w:bidi="fa-IR"/>
          <w:color w:val="111111"/>
          <w:sz w:val="28"/>
          <w:szCs w:val="28"/>
          <w:rtl/>
        </w:rPr>
        <w:t xml:space="preserve">و هو نجم الدین یعقوب پروانه‏چی ابن عمه القاضی مسیح الدین عیسی الساوجی. ترجمه معاصره المیر علی شیر فی (مجن 6- ص 119 و 295) و قال کان مصاحبا للسلطان یعقوب و منشی دیوانه ثم صار پروانه‏چی له.</w:t>
      </w:r>
    </w:p>
    <w:p>
      <w:pPr>
        <w:pStyle w:val="BookText"/>
      </w:pPr>
      <w:r>
        <w:rPr>
          <w:rFonts w:ascii="IRNazanin" w:hAnsi="IRNazanin" w:eastAsia="IRNazanin" w:cs="IRNazanin"/>
          <w:lang w:bidi="fa-IR"/>
          <w:color w:val="111111"/>
          <w:sz w:val="28"/>
          <w:szCs w:val="28"/>
          <w:rtl/>
        </w:rPr>
        <w:t xml:space="preserve">و ترجم أیضا فی (تش- ص 227) و (ض- ص 160) و (گلشن- ص 615) بعنوان یعقوبی و عنه فی القاموس الترکی.</w:t>
      </w:r>
    </w:p>
    <w:p>
      <w:pPr>
        <w:pStyle w:val="Heading3"/>
      </w:pPr>
      <w:bookmarkStart w:id="10045" w:name="_Toc8741"/>
      <w:r>
        <w:t>7580- دیوان نجم سمنانی أو شعره‏</w:t>
      </w:r>
      <w:bookmarkEnd w:id="10045"/>
    </w:p>
    <w:p>
      <w:pPr>
        <w:pStyle w:val="BookText"/>
      </w:pPr>
      <w:r>
        <w:rPr>
          <w:rFonts w:ascii="IRNazanin" w:hAnsi="IRNazanin" w:eastAsia="IRNazanin" w:cs="IRNazanin"/>
          <w:lang w:bidi="fa-IR"/>
          <w:color w:val="111111"/>
          <w:sz w:val="28"/>
          <w:szCs w:val="28"/>
          <w:rtl/>
        </w:rPr>
        <w:t xml:space="preserve">و اسمه ملا نجم الدین. ترجم فی هفت إقلیم و (گلشن- ص 509) و ورد شعره بها.</w:t>
      </w:r>
    </w:p>
    <w:p>
      <w:pPr>
        <w:pStyle w:val="Heading3"/>
      </w:pPr>
      <w:bookmarkStart w:id="10046" w:name="_Toc8742"/>
      <w:r>
        <w:t>دیوان نجم سنجری‏</w:t>
      </w:r>
      <w:bookmarkEnd w:id="10046"/>
    </w:p>
    <w:p>
      <w:pPr>
        <w:pStyle w:val="BookText"/>
      </w:pPr>
      <w:r>
        <w:rPr>
          <w:rFonts w:ascii="IRNazanin" w:hAnsi="IRNazanin" w:eastAsia="IRNazanin" w:cs="IRNazanin"/>
          <w:lang w:bidi="fa-IR"/>
          <w:color w:val="111111"/>
          <w:sz w:val="28"/>
          <w:szCs w:val="28"/>
          <w:rtl/>
        </w:rPr>
        <w:t xml:space="preserve">راجع حسن دهلوی فی ص 242.</w:t>
      </w:r>
    </w:p>
    <w:p>
      <w:pPr>
        <w:pStyle w:val="Heading3"/>
      </w:pPr>
      <w:bookmarkStart w:id="10047" w:name="_Toc8743"/>
      <w:r>
        <w:t>7581- دیوان نجم شوشتری أو شعره‏</w:t>
      </w:r>
      <w:bookmarkEnd w:id="10047"/>
    </w:p>
    <w:p>
      <w:pPr>
        <w:pStyle w:val="BookText"/>
      </w:pPr>
      <w:r>
        <w:rPr>
          <w:rFonts w:ascii="IRNazanin" w:hAnsi="IRNazanin" w:eastAsia="IRNazanin" w:cs="IRNazanin"/>
          <w:lang w:bidi="fa-IR"/>
          <w:color w:val="111111"/>
          <w:sz w:val="28"/>
          <w:szCs w:val="28"/>
          <w:rtl/>
        </w:rPr>
        <w:t xml:space="preserve">ورد شعره فی (گلشن- ص 506).</w:t>
      </w:r>
    </w:p>
    <w:p>
      <w:pPr>
        <w:pStyle w:val="Heading3"/>
      </w:pPr>
      <w:bookmarkStart w:id="10048" w:name="_Toc8744"/>
      <w:r>
        <w:t>7582- دیوان نجم کبری‏</w:t>
      </w:r>
      <w:bookmarkEnd w:id="10048"/>
    </w:p>
    <w:p>
      <w:pPr>
        <w:pStyle w:val="BookText"/>
      </w:pPr>
      <w:r>
        <w:rPr>
          <w:rFonts w:ascii="IRNazanin" w:hAnsi="IRNazanin" w:eastAsia="IRNazanin" w:cs="IRNazanin"/>
          <w:lang w:bidi="fa-IR"/>
          <w:color w:val="111111"/>
          <w:sz w:val="28"/>
          <w:szCs w:val="28"/>
          <w:rtl/>
        </w:rPr>
        <w:t xml:space="preserve">و هو نجم الدین أحمد بن محمد بن عمر الخوافی الخیوقی الخوارزمی. تلمیذ بابا فرخ التبریزی و الشیخ إسماعیل القصری و أستاذ نجم الدین الرازی و مجد الدین البغدادی و سیف الدین الباخرزی و المتوفی 619 کما جاء تاریخه فی شعر فی (گلستان مسرت- ص 385):</w:t>
      </w:r>
    </w:p>
    <w:p>
      <w:pPr>
        <w:pStyle w:val="BookText"/>
      </w:pPr>
      <w:r>
        <w:rPr>
          <w:rFonts w:ascii="IRNazanin" w:hAnsi="IRNazanin" w:eastAsia="IRNazanin" w:cs="IRNazanin"/>
          <w:lang w:bidi="fa-IR"/>
          <w:color w:val="111111"/>
          <w:sz w:val="28"/>
          <w:szCs w:val="28"/>
          <w:rtl/>
        </w:rPr>
        <w:t xml:space="preserve">سال تاریخ نقل آن محمود</w:t>
      </w:r>
    </w:p>
    <w:p>
      <w:pPr>
        <w:pStyle w:val="BookText"/>
      </w:pPr>
      <w:r>
        <w:rPr>
          <w:rFonts w:ascii="IRNazanin" w:hAnsi="IRNazanin" w:eastAsia="IRNazanin" w:cs="IRNazanin"/>
          <w:lang w:bidi="fa-IR"/>
          <w:color w:val="111111"/>
          <w:sz w:val="28"/>
          <w:szCs w:val="28"/>
          <w:rtl/>
        </w:rPr>
        <w:t xml:space="preserve">خردم مقتدای دین فرمود</w:t>
      </w:r>
    </w:p>
    <w:p>
      <w:pPr>
        <w:pStyle w:val="BookText"/>
      </w:pPr>
      <w:r>
        <w:rPr>
          <w:rFonts w:ascii="IRNazanin" w:hAnsi="IRNazanin" w:eastAsia="IRNazanin" w:cs="IRNazanin"/>
          <w:lang w:bidi="fa-IR"/>
          <w:color w:val="111111"/>
          <w:sz w:val="28"/>
          <w:szCs w:val="28"/>
          <w:rtl/>
        </w:rPr>
        <w:t xml:space="preserve">و دفن بگرگانج. ترجم فی (النفحات- ص 375) و (عشاق- ص 84) و (خوش‏گو) و (تش- ص 311) و (حسینی- ص 337- 341) و هفت إقلیم و (بهش 1- ص 320) و (مع 1- ص 633) و (ض- ص 143). رأی دیوانه سنگلاخ بخط إبراهیم بن میر عماد فذکره فی (امتحان 1- ص 292). و لبرتلس المستشرق الروسی مقالة عن رباعیات نجم الدین هذا طبعت ترجمته فی مجلة یادگار 4: 1 و 2 و قد خلطت مع رباعیات أبی سعید أبی الخیر کما فی مقدمه سخنان أبو سعید- ص 58.</w:t>
      </w:r>
    </w:p>
    <w:p>
      <w:pPr>
        <w:pStyle w:val="Heading3"/>
      </w:pPr>
      <w:bookmarkStart w:id="10049" w:name="_Toc8745"/>
      <w:r>
        <w:t>7583- دیوان نجم کرمانی أو شعره‏</w:t>
      </w:r>
      <w:bookmarkEnd w:id="10049"/>
    </w:p>
    <w:p>
      <w:pPr>
        <w:pStyle w:val="BookText"/>
      </w:pPr>
      <w:r>
        <w:rPr>
          <w:rFonts w:ascii="IRNazanin" w:hAnsi="IRNazanin" w:eastAsia="IRNazanin" w:cs="IRNazanin"/>
          <w:lang w:bidi="fa-IR"/>
          <w:color w:val="111111"/>
          <w:sz w:val="28"/>
          <w:szCs w:val="28"/>
          <w:rtl/>
        </w:rPr>
        <w:t xml:space="preserve">و هو نجم الدین حسن المعروف شهرویه ترجم فی (مع 1: 633) و فی (گلشن- ص 506) سماه نجم الحسن. و قال له تصانیف کثیرة.</w:t>
      </w:r>
    </w:p>
    <w:p>
      <w:pPr>
        <w:pStyle w:val="Heading3"/>
      </w:pPr>
      <w:bookmarkStart w:id="10050" w:name="_Toc8746"/>
      <w:r>
        <w:t>7584- دیوان نجمی أو شعره‏</w:t>
      </w:r>
      <w:bookmarkEnd w:id="10050"/>
    </w:p>
    <w:p>
      <w:pPr>
        <w:pStyle w:val="BookText"/>
      </w:pPr>
      <w:r>
        <w:rPr>
          <w:rFonts w:ascii="IRNazanin" w:hAnsi="IRNazanin" w:eastAsia="IRNazanin" w:cs="IRNazanin"/>
          <w:lang w:bidi="fa-IR"/>
          <w:color w:val="111111"/>
          <w:sz w:val="28"/>
          <w:szCs w:val="28"/>
          <w:rtl/>
        </w:rPr>
        <w:t xml:space="preserve">ورد شعره فی (بهش 2- ص 384).
</w:t>
      </w:r>
    </w:p>
    <w:p>
      <w:pPr>
        <w:sectPr>
          <w:footerReference w:type="default" r:id="rId1184"/>
          <w:footnotePr>
            <w:numStart w:val="1"/>
            <w:numRestart w:val="eachPage"/>
          </w:footnotePr>
          <w:pgSz w:orient="portrait" w:w="11905.511811023622" w:h="16837.79527559055"/>
          <w:pgMar w:top="1440" w:right="1440" w:bottom="1440" w:left="1440" w:header="720" w:footer="720" w:gutter="0"/>
          <w:cols w:num="1" w:space="720"/>
        </w:sectPr>
      </w:pPr>
    </w:p>
    <w:bookmarkStart w:id="1162" w:name="pg11704_122652"/>
    <w:bookmarkEnd w:id="1162"/>
    <w:p>
      <w:pPr>
        <w:pStyle w:val="Heading3"/>
      </w:pPr>
      <w:bookmarkStart w:id="10051" w:name="_Toc8747"/>
      <w:r>
        <w:t>7585- دیوان نجمی أصفهانی أو شعره‏</w:t>
      </w:r>
      <w:bookmarkEnd w:id="10051"/>
    </w:p>
    <w:p>
      <w:pPr>
        <w:pStyle w:val="BookText"/>
      </w:pPr>
      <w:r>
        <w:rPr>
          <w:rFonts w:ascii="IRNazanin" w:hAnsi="IRNazanin" w:eastAsia="IRNazanin" w:cs="IRNazanin"/>
          <w:lang w:bidi="fa-IR"/>
          <w:color w:val="111111"/>
          <w:sz w:val="28"/>
          <w:szCs w:val="28"/>
          <w:rtl/>
        </w:rPr>
        <w:t xml:space="preserve">کان منجما أورد شعره سلیم البهوپالی فی (گلشن- ص 509).</w:t>
      </w:r>
    </w:p>
    <w:p>
      <w:pPr>
        <w:pStyle w:val="Heading3"/>
      </w:pPr>
      <w:bookmarkStart w:id="10052" w:name="_Toc8748"/>
      <w:r>
        <w:t>7586- دیوان نجمی أصفهانی‏</w:t>
      </w:r>
      <w:bookmarkEnd w:id="10052"/>
    </w:p>
    <w:p>
      <w:pPr>
        <w:pStyle w:val="BookText"/>
      </w:pPr>
      <w:r>
        <w:rPr>
          <w:rFonts w:ascii="IRNazanin" w:hAnsi="IRNazanin" w:eastAsia="IRNazanin" w:cs="IRNazanin"/>
          <w:lang w:bidi="fa-IR"/>
          <w:color w:val="111111"/>
          <w:sz w:val="28"/>
          <w:szCs w:val="28"/>
          <w:rtl/>
        </w:rPr>
        <w:t xml:space="preserve">و اسمه الآخوند ملا إبراهیم بن محمد حسین أخ سکوت علی شاه ابن ملا إبراهیم. ولد بشهر کرد أصفهان، ثم تلمذ فی النجف علی الکاظمین، الیزدی و الخراسانی و رجع إلی وطنه مرجعا لأهلها فحقد علیه الإقطاعیون و قتلوا أخاه جلال الدین بت‏شکن فی 1346 و سجن هو فی أصفهان مدة ثم أخرج عنه و سکن شهر کرد إلی أن مات بها فی 1362. و دیوانه فی ألف بیت ذکره المهدوی فی (شعرای معاصر أصفهان- ص 502).</w:t>
      </w:r>
    </w:p>
    <w:p>
      <w:pPr>
        <w:pStyle w:val="Heading3"/>
      </w:pPr>
      <w:bookmarkStart w:id="10053" w:name="_Toc8749"/>
      <w:r>
        <w:t>7587- دیوان نجمی شروانی أو شعره‏</w:t>
      </w:r>
      <w:bookmarkEnd w:id="10053"/>
    </w:p>
    <w:p>
      <w:pPr>
        <w:pStyle w:val="BookText"/>
      </w:pPr>
      <w:r>
        <w:rPr>
          <w:rFonts w:ascii="IRNazanin" w:hAnsi="IRNazanin" w:eastAsia="IRNazanin" w:cs="IRNazanin"/>
          <w:lang w:bidi="fa-IR"/>
          <w:color w:val="111111"/>
          <w:sz w:val="28"/>
          <w:szCs w:val="28"/>
          <w:rtl/>
        </w:rPr>
        <w:t xml:space="preserve">و اسمه ملا نجمی. ذکره معاصره فی (مجتس 6- ص 166) و کذا (دجا- ص 373). عن عرفات العاشقین‏</w:t>
      </w:r>
    </w:p>
    <w:p>
      <w:pPr>
        <w:pStyle w:val="Heading3"/>
      </w:pPr>
      <w:bookmarkStart w:id="10054" w:name="_Toc8750"/>
      <w:r>
        <w:t>دیوان نجمی شهر کردی‏</w:t>
      </w:r>
      <w:bookmarkEnd w:id="10054"/>
    </w:p>
    <w:p>
      <w:pPr>
        <w:pStyle w:val="BookText"/>
      </w:pPr>
      <w:r>
        <w:rPr>
          <w:rFonts w:ascii="IRNazanin" w:hAnsi="IRNazanin" w:eastAsia="IRNazanin" w:cs="IRNazanin"/>
          <w:lang w:bidi="fa-IR"/>
          <w:color w:val="111111"/>
          <w:sz w:val="28"/>
          <w:szCs w:val="28"/>
          <w:rtl/>
        </w:rPr>
        <w:t xml:space="preserve">راجع نجمی أصفهانی ملا إبراهیم.</w:t>
      </w:r>
    </w:p>
    <w:p>
      <w:pPr>
        <w:pStyle w:val="Heading3"/>
      </w:pPr>
      <w:bookmarkStart w:id="10055" w:name="_Toc8751"/>
      <w:r>
        <w:t>7588- دیوان نجمی کشمیری أو شعره‏</w:t>
      </w:r>
      <w:bookmarkEnd w:id="10055"/>
    </w:p>
    <w:p>
      <w:pPr>
        <w:pStyle w:val="BookText"/>
      </w:pPr>
      <w:r>
        <w:rPr>
          <w:rFonts w:ascii="IRNazanin" w:hAnsi="IRNazanin" w:eastAsia="IRNazanin" w:cs="IRNazanin"/>
          <w:lang w:bidi="fa-IR"/>
          <w:color w:val="111111"/>
          <w:sz w:val="28"/>
          <w:szCs w:val="28"/>
          <w:rtl/>
        </w:rPr>
        <w:t xml:space="preserve">تلمیذ قاسم کاهی أکبرآبادی المذکور فی ص 906. ترجم فی (خز- ص 435). ذهب من کشمیر إلی ما وراء النهر فی 988 و مدح السلطان إسفندیار بن خسرو بن یارمحمد و أخذ صلة و مائة تنکة حانیة.</w:t>
      </w:r>
    </w:p>
    <w:p>
      <w:pPr>
        <w:pStyle w:val="Heading3"/>
      </w:pPr>
      <w:bookmarkStart w:id="10056" w:name="_Toc8752"/>
      <w:r>
        <w:t>7589- دیوان نجمی مشهدی أو شعره‏</w:t>
      </w:r>
      <w:bookmarkEnd w:id="10056"/>
    </w:p>
    <w:p>
      <w:pPr>
        <w:pStyle w:val="BookText"/>
      </w:pPr>
      <w:r>
        <w:rPr>
          <w:rFonts w:ascii="IRNazanin" w:hAnsi="IRNazanin" w:eastAsia="IRNazanin" w:cs="IRNazanin"/>
          <w:lang w:bidi="fa-IR"/>
          <w:color w:val="111111"/>
          <w:sz w:val="28"/>
          <w:szCs w:val="28"/>
          <w:rtl/>
        </w:rPr>
        <w:t xml:space="preserve">و کان نساجا (جامه‏باف) ورد شعره فی (مجن 3- ص 79 و 254) و مر فکری مشهدی جامه‏باف فی ص 845.</w:t>
      </w:r>
    </w:p>
    <w:p>
      <w:pPr>
        <w:pStyle w:val="Heading3"/>
      </w:pPr>
      <w:bookmarkStart w:id="10057" w:name="_Toc8753"/>
      <w:r>
        <w:t>7590- دیوان نجومی کاشانی أو شعره‏</w:t>
      </w:r>
      <w:bookmarkEnd w:id="10057"/>
    </w:p>
    <w:p>
      <w:pPr>
        <w:pStyle w:val="BookText"/>
      </w:pPr>
      <w:r>
        <w:rPr>
          <w:rFonts w:ascii="IRNazanin" w:hAnsi="IRNazanin" w:eastAsia="IRNazanin" w:cs="IRNazanin"/>
          <w:lang w:bidi="fa-IR"/>
          <w:color w:val="111111"/>
          <w:sz w:val="28"/>
          <w:szCs w:val="28"/>
          <w:rtl/>
        </w:rPr>
        <w:t xml:space="preserve">و اسمه ملا غیاث. ترجمه معاصره فی (نر 9- ص 308).</w:t>
      </w:r>
    </w:p>
    <w:p>
      <w:pPr>
        <w:pStyle w:val="Heading3"/>
      </w:pPr>
      <w:bookmarkStart w:id="10058" w:name="_Toc8754"/>
      <w:r>
        <w:t>7591- دیوان نجومی هروی أو شعره‏</w:t>
      </w:r>
      <w:bookmarkEnd w:id="10058"/>
    </w:p>
    <w:p>
      <w:pPr>
        <w:pStyle w:val="BookText"/>
      </w:pPr>
      <w:r>
        <w:rPr>
          <w:rFonts w:ascii="IRNazanin" w:hAnsi="IRNazanin" w:eastAsia="IRNazanin" w:cs="IRNazanin"/>
          <w:lang w:bidi="fa-IR"/>
          <w:color w:val="111111"/>
          <w:sz w:val="28"/>
          <w:szCs w:val="28"/>
          <w:rtl/>
        </w:rPr>
        <w:t xml:space="preserve">ترجمه معاصره علی شیر فی (مجن 2- ص 38 و 212) و وصف شعره بالهزل و التهتک.</w:t>
      </w:r>
    </w:p>
    <w:p>
      <w:pPr>
        <w:pStyle w:val="Heading3"/>
      </w:pPr>
      <w:bookmarkStart w:id="10059" w:name="_Toc8755"/>
      <w:r>
        <w:t>7592- دیوان نجیب‏</w:t>
      </w:r>
      <w:bookmarkEnd w:id="10059"/>
    </w:p>
    <w:p>
      <w:pPr>
        <w:pStyle w:val="BookText"/>
      </w:pPr>
      <w:r>
        <w:rPr>
          <w:rFonts w:ascii="IRNazanin" w:hAnsi="IRNazanin" w:eastAsia="IRNazanin" w:cs="IRNazanin"/>
          <w:lang w:bidi="fa-IR"/>
          <w:color w:val="111111"/>
          <w:sz w:val="28"/>
          <w:szCs w:val="28"/>
          <w:rtl/>
        </w:rPr>
        <w:t xml:space="preserve">موجود بهذا العنوان فی مکتبة السلطان عثمان الثالث کما فی فهرسها. و یوجد عند (فخر الدین- ص 323) مثنوی علی زنة شاهنامه، اسمه گلدسته نظمه نجیب بأمر الشاه سلطان حسین الصفوی فی تاریخ وقایع عصره و أورد لکل واقعة مادة تاریخیة منظومة و فیها أیضا وصف أصفهان و نهرها زاینده‏رود و ساقی‏نامه و مقدمه منثورة فی عدة أسطر و النسخة فی 74 ورقة فی کل صفحة 15 سطرا
</w:t>
      </w:r>
    </w:p>
    <w:p>
      <w:pPr>
        <w:sectPr>
          <w:footerReference w:type="default" r:id="rId1185"/>
          <w:footnotePr>
            <w:numStart w:val="1"/>
            <w:numRestart w:val="eachPage"/>
          </w:footnotePr>
          <w:pgSz w:orient="portrait" w:w="11905.511811023622" w:h="16837.79527559055"/>
          <w:pgMar w:top="1440" w:right="1440" w:bottom="1440" w:left="1440" w:header="720" w:footer="720" w:gutter="0"/>
          <w:cols w:num="1" w:space="720"/>
        </w:sectPr>
      </w:pPr>
    </w:p>
    <w:bookmarkStart w:id="1163" w:name="pg11704_122653"/>
    <w:bookmarkEnd w:id="1163"/>
    <w:p>
      <w:pPr>
        <w:pStyle w:val="BookText"/>
      </w:pPr>
      <w:r>
        <w:rPr>
          <w:rFonts w:ascii="IRNazanin" w:hAnsi="IRNazanin" w:eastAsia="IRNazanin" w:cs="IRNazanin"/>
          <w:lang w:bidi="fa-IR"/>
          <w:color w:val="111111"/>
          <w:sz w:val="28"/>
          <w:szCs w:val="28"/>
          <w:rtl/>
        </w:rPr>
        <w:t xml:space="preserve">بخط الناظم بالنستعلیق أوله:</w:t>
      </w:r>
    </w:p>
    <w:p>
      <w:pPr>
        <w:pStyle w:val="BookText"/>
      </w:pPr>
      <w:r>
        <w:rPr>
          <w:rFonts w:ascii="IRNazanin" w:hAnsi="IRNazanin" w:eastAsia="IRNazanin" w:cs="IRNazanin"/>
          <w:lang w:bidi="fa-IR"/>
          <w:color w:val="111111"/>
          <w:sz w:val="28"/>
          <w:szCs w:val="28"/>
          <w:rtl/>
        </w:rPr>
        <w:t xml:space="preserve">به نام خداوند هر هست و بود</w:t>
      </w:r>
    </w:p>
    <w:p>
      <w:pPr>
        <w:pStyle w:val="BookText"/>
      </w:pPr>
      <w:r>
        <w:rPr>
          <w:rFonts w:ascii="IRNazanin" w:hAnsi="IRNazanin" w:eastAsia="IRNazanin" w:cs="IRNazanin"/>
          <w:lang w:bidi="fa-IR"/>
          <w:color w:val="111111"/>
          <w:sz w:val="28"/>
          <w:szCs w:val="28"/>
          <w:rtl/>
        </w:rPr>
        <w:t xml:space="preserve">که از نیستی باب هستی گشود</w:t>
      </w:r>
    </w:p>
    <w:p>
      <w:pPr>
        <w:pStyle w:val="BookText"/>
      </w:pPr>
      <w:r>
        <w:rPr>
          <w:rFonts w:ascii="IRNazanin" w:hAnsi="IRNazanin" w:eastAsia="IRNazanin" w:cs="IRNazanin"/>
          <w:lang w:bidi="fa-IR"/>
          <w:color w:val="111111"/>
          <w:sz w:val="28"/>
          <w:szCs w:val="28"/>
          <w:rtl/>
        </w:rPr>
        <w:t xml:space="preserve">و قد رجحها الناظم علی الشاهنامة للفردوسی.</w:t>
      </w:r>
    </w:p>
    <w:p>
      <w:pPr>
        <w:pStyle w:val="Heading3"/>
      </w:pPr>
      <w:bookmarkStart w:id="10060" w:name="_Toc8756"/>
      <w:r>
        <w:t>7593- دیوان نجیب أسترآبادی أو شعره‏</w:t>
      </w:r>
      <w:bookmarkEnd w:id="10060"/>
    </w:p>
    <w:p>
      <w:pPr>
        <w:pStyle w:val="BookText"/>
      </w:pPr>
      <w:r>
        <w:rPr>
          <w:rFonts w:ascii="IRNazanin" w:hAnsi="IRNazanin" w:eastAsia="IRNazanin" w:cs="IRNazanin"/>
          <w:lang w:bidi="fa-IR"/>
          <w:color w:val="111111"/>
          <w:sz w:val="28"/>
          <w:szCs w:val="28"/>
          <w:rtl/>
        </w:rPr>
        <w:t xml:space="preserve">سکن أصفهان فی عهد الشاه سلیمان الصفوی. ورد شعره فی (نر 9- ص 327) و (گلشن- ص 509) و قد نقل فی فهرس مکتبة سپهسالار 2: 482 عن تذکره لطائف الخیال أن خالص أسترآبادی الشاعر اسمه نجیبا. أقول و لعلهما واحد.</w:t>
      </w:r>
    </w:p>
    <w:p>
      <w:pPr>
        <w:pStyle w:val="Heading3"/>
      </w:pPr>
      <w:bookmarkStart w:id="10061" w:name="_Toc8757"/>
      <w:r>
        <w:t>7594- دیوان نجیب أصفهانی‏</w:t>
      </w:r>
      <w:bookmarkEnd w:id="10061"/>
    </w:p>
    <w:p>
      <w:pPr>
        <w:pStyle w:val="BookText"/>
      </w:pPr>
      <w:r>
        <w:rPr>
          <w:rFonts w:ascii="IRNazanin" w:hAnsi="IRNazanin" w:eastAsia="IRNazanin" w:cs="IRNazanin"/>
          <w:lang w:bidi="fa-IR"/>
          <w:color w:val="111111"/>
          <w:sz w:val="28"/>
          <w:szCs w:val="28"/>
          <w:rtl/>
        </w:rPr>
        <w:t xml:space="preserve">و اسمه نجیب الدین رضا زرگر التبریزی الأصل. مر بتخلصه زرگر تبریزی فی ص 402 و له غیر ما ذکر هناک نور الهدایة المطبوع بشیراز و دستور سلیمان و دیوان القصائد و مات 1077 کما فی (دجا- ص 374) و یوجد دیوانه عند (فخر الدین- 65).</w:t>
      </w:r>
    </w:p>
    <w:p>
      <w:pPr>
        <w:pStyle w:val="Heading3"/>
      </w:pPr>
      <w:bookmarkStart w:id="10062" w:name="_Toc8758"/>
      <w:r>
        <w:t>دیوان نجیب أصفهانی‏</w:t>
      </w:r>
      <w:bookmarkEnd w:id="10062"/>
    </w:p>
    <w:p>
      <w:pPr>
        <w:pStyle w:val="BookText"/>
      </w:pPr>
      <w:r>
        <w:rPr>
          <w:rFonts w:ascii="IRNazanin" w:hAnsi="IRNazanin" w:eastAsia="IRNazanin" w:cs="IRNazanin"/>
          <w:lang w:bidi="fa-IR"/>
          <w:color w:val="111111"/>
          <w:sz w:val="28"/>
          <w:szCs w:val="28"/>
          <w:rtl/>
        </w:rPr>
        <w:t xml:space="preserve">راجع نجیب چرکس، و نجیب گلستانه، و نجیب أسترآبادی و نجیب لنجانی.</w:t>
      </w:r>
    </w:p>
    <w:p>
      <w:pPr>
        <w:pStyle w:val="Heading3"/>
      </w:pPr>
      <w:bookmarkStart w:id="10063" w:name="_Toc8759"/>
      <w:r>
        <w:t>دیوان نجیب تبریزی‏</w:t>
      </w:r>
      <w:bookmarkEnd w:id="10063"/>
    </w:p>
    <w:p>
      <w:pPr>
        <w:pStyle w:val="BookText"/>
      </w:pPr>
      <w:r>
        <w:rPr>
          <w:rFonts w:ascii="IRNazanin" w:hAnsi="IRNazanin" w:eastAsia="IRNazanin" w:cs="IRNazanin"/>
          <w:lang w:bidi="fa-IR"/>
          <w:color w:val="111111"/>
          <w:sz w:val="28"/>
          <w:szCs w:val="28"/>
          <w:rtl/>
        </w:rPr>
        <w:t xml:space="preserve">راجع نجیب أصفهانی، نجیب الدین رضا.</w:t>
      </w:r>
    </w:p>
    <w:p>
      <w:pPr>
        <w:pStyle w:val="Heading3"/>
      </w:pPr>
      <w:bookmarkStart w:id="10064" w:name="_Toc8760"/>
      <w:r>
        <w:t>7595- دیوان نجیب ترمذی أو شعره‏</w:t>
      </w:r>
      <w:bookmarkEnd w:id="10064"/>
    </w:p>
    <w:p>
      <w:pPr>
        <w:pStyle w:val="BookText"/>
      </w:pPr>
      <w:r>
        <w:rPr>
          <w:rFonts w:ascii="IRNazanin" w:hAnsi="IRNazanin" w:eastAsia="IRNazanin" w:cs="IRNazanin"/>
          <w:lang w:bidi="fa-IR"/>
          <w:color w:val="111111"/>
          <w:sz w:val="28"/>
          <w:szCs w:val="28"/>
          <w:rtl/>
        </w:rPr>
        <w:t xml:space="preserve">و اسمه نجیب الدین أبو بکر الخطاط الترمذی من شعراء العهد السلجوقی. و أکثر شعره الرباعیات. ترجم فی (لب) و (لت) و (گلشن- ص 510).</w:t>
      </w:r>
    </w:p>
    <w:p>
      <w:pPr>
        <w:pStyle w:val="Heading3"/>
      </w:pPr>
      <w:bookmarkStart w:id="10065" w:name="_Toc8761"/>
      <w:r>
        <w:t>دیوان نجیب چرکس‏</w:t>
      </w:r>
      <w:bookmarkEnd w:id="10065"/>
    </w:p>
    <w:p>
      <w:pPr>
        <w:pStyle w:val="BookText"/>
      </w:pPr>
      <w:r>
        <w:rPr>
          <w:rFonts w:ascii="IRNazanin" w:hAnsi="IRNazanin" w:eastAsia="IRNazanin" w:cs="IRNazanin"/>
          <w:lang w:bidi="fa-IR"/>
          <w:color w:val="111111"/>
          <w:sz w:val="28"/>
          <w:szCs w:val="28"/>
          <w:rtl/>
        </w:rPr>
        <w:t xml:space="preserve">مر فی ص 423 بتخلصه سامی چرکس ثم فی ص 943 کرر بعنوان اسمه لطف علی بیگ.</w:t>
      </w:r>
    </w:p>
    <w:p>
      <w:pPr>
        <w:pStyle w:val="Heading3"/>
      </w:pPr>
      <w:bookmarkStart w:id="10066" w:name="_Toc8762"/>
      <w:r>
        <w:t>7596- دیوان نجیب الدین العاملی‏</w:t>
      </w:r>
      <w:bookmarkEnd w:id="10066"/>
    </w:p>
    <w:p>
      <w:pPr>
        <w:pStyle w:val="BookText"/>
      </w:pPr>
      <w:r>
        <w:rPr>
          <w:rFonts w:ascii="IRNazanin" w:hAnsi="IRNazanin" w:eastAsia="IRNazanin" w:cs="IRNazanin"/>
          <w:lang w:bidi="fa-IR"/>
          <w:color w:val="111111"/>
          <w:sz w:val="28"/>
          <w:szCs w:val="28"/>
          <w:rtl/>
        </w:rPr>
        <w:t xml:space="preserve">و هو نجیب الدین علی بن محمد الجبلی العاملی.</w:t>
      </w:r>
    </w:p>
    <w:p>
      <w:pPr>
        <w:pStyle w:val="BookText"/>
      </w:pPr>
      <w:r>
        <w:rPr>
          <w:rFonts w:ascii="IRNazanin" w:hAnsi="IRNazanin" w:eastAsia="IRNazanin" w:cs="IRNazanin"/>
          <w:lang w:bidi="fa-IR"/>
          <w:color w:val="111111"/>
          <w:sz w:val="28"/>
          <w:szCs w:val="28"/>
          <w:rtl/>
        </w:rPr>
        <w:t xml:space="preserve">ألف ملتقی الجمان فی ع 2- 1004 و له قصیدة فی مدیح صاحب المعالم یوجد بخطه علی نسخه ملتقی الجمان المذکور عند (فخر الدین).</w:t>
      </w:r>
    </w:p>
    <w:p>
      <w:pPr>
        <w:pStyle w:val="Heading3"/>
      </w:pPr>
      <w:bookmarkStart w:id="10067" w:name="_Toc8763"/>
      <w:r>
        <w:t>7597- دیوان نجیب شیرازی أو شعره‏</w:t>
      </w:r>
      <w:bookmarkEnd w:id="10067"/>
    </w:p>
    <w:p>
      <w:pPr>
        <w:pStyle w:val="BookText"/>
      </w:pPr>
      <w:r>
        <w:rPr>
          <w:rFonts w:ascii="IRNazanin" w:hAnsi="IRNazanin" w:eastAsia="IRNazanin" w:cs="IRNazanin"/>
          <w:lang w:bidi="fa-IR"/>
          <w:color w:val="111111"/>
          <w:sz w:val="28"/>
          <w:szCs w:val="28"/>
          <w:rtl/>
        </w:rPr>
        <w:t xml:space="preserve">اسمه المیرزا نجیبا. ترجمه معاصره النصرآبادی فی (نر 6- ص 205) و أطری حسن خلقه و قال لما ورد أصفهان اتصل بالمولی عبد الحسن إلی أن توفی بها.
</w:t>
      </w:r>
    </w:p>
    <w:p>
      <w:pPr>
        <w:sectPr>
          <w:footerReference w:type="default" r:id="rId1186"/>
          <w:footnotePr>
            <w:numStart w:val="1"/>
            <w:numRestart w:val="eachPage"/>
          </w:footnotePr>
          <w:pgSz w:orient="portrait" w:w="11905.511811023622" w:h="16837.79527559055"/>
          <w:pgMar w:top="1440" w:right="1440" w:bottom="1440" w:left="1440" w:header="720" w:footer="720" w:gutter="0"/>
          <w:cols w:num="1" w:space="720"/>
        </w:sectPr>
      </w:pPr>
    </w:p>
    <w:bookmarkStart w:id="1164" w:name="pg11704_122654"/>
    <w:bookmarkEnd w:id="1164"/>
    <w:p>
      <w:pPr>
        <w:pStyle w:val="Heading3"/>
      </w:pPr>
      <w:bookmarkStart w:id="10068" w:name="_Toc8764"/>
      <w:r>
        <w:t>7598- دیوان نجیب کاشانی أو شعره‏</w:t>
      </w:r>
      <w:bookmarkEnd w:id="10068"/>
    </w:p>
    <w:p>
      <w:pPr>
        <w:pStyle w:val="BookText"/>
      </w:pPr>
      <w:r>
        <w:rPr>
          <w:rFonts w:ascii="IRNazanin" w:hAnsi="IRNazanin" w:eastAsia="IRNazanin" w:cs="IRNazanin"/>
          <w:lang w:bidi="fa-IR"/>
          <w:color w:val="111111"/>
          <w:sz w:val="28"/>
          <w:szCs w:val="28"/>
          <w:rtl/>
        </w:rPr>
        <w:t xml:space="preserve">و اسمه ملا نور ابن الخواجة محمد حسین الکاشانی. قال معاصره النصرآبادی فی (نر 2 و 9- ص 44 و 371) إنه ورد أصفهان قبل سنة، و نزل فی خان کاشیان و أورد شعره، و کذا فی (حسینی- ص 352).</w:t>
      </w:r>
    </w:p>
    <w:p>
      <w:pPr>
        <w:pStyle w:val="Heading3"/>
      </w:pPr>
      <w:bookmarkStart w:id="10069" w:name="_Toc8765"/>
      <w:r>
        <w:t>7599- دیوان نجیب گلپایگانی أو شعره‏</w:t>
      </w:r>
      <w:bookmarkEnd w:id="10069"/>
    </w:p>
    <w:p>
      <w:pPr>
        <w:pStyle w:val="BookText"/>
      </w:pPr>
      <w:r>
        <w:rPr>
          <w:rFonts w:ascii="IRNazanin" w:hAnsi="IRNazanin" w:eastAsia="IRNazanin" w:cs="IRNazanin"/>
          <w:lang w:bidi="fa-IR"/>
          <w:color w:val="111111"/>
          <w:sz w:val="28"/>
          <w:szCs w:val="28"/>
          <w:rtl/>
        </w:rPr>
        <w:t xml:space="preserve">و اسمه نجیب الدین الجرفادقانی، مدح البیت العلوی بهمدان و بعض الخجندیة فی أیام سلاجقة العراق. و قال فی شاهد صادق إنه مات 653 له مثنوی بشر و هند ورد منها أبیاتا فی مجلة مهر 5: 1068 عن هفت إقلیم. و قد خلط فی هدیة العارفین 2: 487 بین ناظم بشر و هند و بین مترجم تاریخ یمینی و هو ناصح الجرفادقانی. و قد رأی سنگلاخ نسختان من دیوان نجیب جرفادقانی بخط شفیعا و أبی تراب الأصفهانی فذکرهما فی (امتحان 1: 134 و 2: 7).</w:t>
      </w:r>
    </w:p>
    <w:p>
      <w:pPr>
        <w:pStyle w:val="BookText"/>
      </w:pPr>
      <w:r>
        <w:rPr>
          <w:rFonts w:ascii="IRNazanin" w:hAnsi="IRNazanin" w:eastAsia="IRNazanin" w:cs="IRNazanin"/>
          <w:lang w:bidi="fa-IR"/>
          <w:color w:val="111111"/>
          <w:sz w:val="28"/>
          <w:szCs w:val="28"/>
          <w:rtl/>
        </w:rPr>
        <w:t xml:space="preserve">و ذکر فی تاریخ گزیده- ص 826 و (تش- ص 207) و (مع 1: 634) و (روشن- ص 685).</w:t>
      </w:r>
    </w:p>
    <w:p>
      <w:pPr>
        <w:pStyle w:val="Heading3"/>
      </w:pPr>
      <w:bookmarkStart w:id="10070" w:name="_Toc8766"/>
      <w:r>
        <w:t>7600- دیوان نجیب لنجانی أو شعره‏</w:t>
      </w:r>
      <w:bookmarkEnd w:id="10070"/>
    </w:p>
    <w:p>
      <w:pPr>
        <w:pStyle w:val="BookText"/>
      </w:pPr>
      <w:r>
        <w:rPr>
          <w:rFonts w:ascii="IRNazanin" w:hAnsi="IRNazanin" w:eastAsia="IRNazanin" w:cs="IRNazanin"/>
          <w:lang w:bidi="fa-IR"/>
          <w:color w:val="111111"/>
          <w:sz w:val="28"/>
          <w:szCs w:val="28"/>
          <w:rtl/>
        </w:rPr>
        <w:t xml:space="preserve">و اسمه نجیب بن الحاج أمین الکلیشادی من قرأ لنجان بأصفهان. کان والده من عمال طالب خان الوزیر الأعظم. أورد شعره النصرآبادی فی (نر 9- ص 424) و فی (گلشن- ص 510) سماه گلستانه.</w:t>
      </w:r>
    </w:p>
    <w:p>
      <w:pPr>
        <w:pStyle w:val="Heading3"/>
      </w:pPr>
      <w:bookmarkStart w:id="10071" w:name="_Toc8767"/>
      <w:r>
        <w:t>دیوان نحاس أصفهانی‏</w:t>
      </w:r>
      <w:bookmarkEnd w:id="10071"/>
    </w:p>
    <w:p>
      <w:pPr>
        <w:pStyle w:val="BookText"/>
      </w:pPr>
      <w:r>
        <w:rPr>
          <w:rFonts w:ascii="IRNazanin" w:hAnsi="IRNazanin" w:eastAsia="IRNazanin" w:cs="IRNazanin"/>
          <w:lang w:bidi="fa-IR"/>
          <w:color w:val="111111"/>
          <w:sz w:val="28"/>
          <w:szCs w:val="28"/>
          <w:rtl/>
        </w:rPr>
        <w:t xml:space="preserve">ذکرناه مکررا فی ص 49 و 50 بعنوان أبی المعالی الرازی و أبی المعالی النحاس. و ذکر وفاته فی شاهد صادق فی 512.</w:t>
      </w:r>
    </w:p>
    <w:p>
      <w:pPr>
        <w:pStyle w:val="Heading3"/>
      </w:pPr>
      <w:bookmarkStart w:id="10072" w:name="_Toc8768"/>
      <w:r>
        <w:t>7601- دیوان النحوی‏</w:t>
      </w:r>
      <w:bookmarkEnd w:id="10072"/>
    </w:p>
    <w:p>
      <w:pPr>
        <w:pStyle w:val="BookText"/>
      </w:pPr>
      <w:r>
        <w:rPr>
          <w:rFonts w:ascii="IRNazanin" w:hAnsi="IRNazanin" w:eastAsia="IRNazanin" w:cs="IRNazanin"/>
          <w:lang w:bidi="fa-IR"/>
          <w:color w:val="111111"/>
          <w:sz w:val="28"/>
          <w:szCs w:val="28"/>
          <w:rtl/>
        </w:rPr>
        <w:t xml:space="preserve">هو الشیخ أحمد بن الحسن الخیاط النجفی الحلی المتوفی 1183.</w:t>
      </w:r>
    </w:p>
    <w:p>
      <w:pPr>
        <w:pStyle w:val="BookText"/>
      </w:pPr>
      <w:r>
        <w:rPr>
          <w:rFonts w:ascii="IRNazanin" w:hAnsi="IRNazanin" w:eastAsia="IRNazanin" w:cs="IRNazanin"/>
          <w:lang w:bidi="fa-IR"/>
          <w:color w:val="111111"/>
          <w:sz w:val="28"/>
          <w:szCs w:val="28"/>
          <w:rtl/>
        </w:rPr>
        <w:t xml:space="preserve">رأیت مراثیه فی بعض المجامیع و تقریظه للکراریة و أرجوزة تلخیص المفتاح و أرجوزة مدح السید نصر الله المدرس الحائری.</w:t>
      </w:r>
    </w:p>
    <w:p>
      <w:pPr>
        <w:pStyle w:val="Heading3"/>
      </w:pPr>
      <w:bookmarkStart w:id="10073" w:name="_Toc8769"/>
      <w:r>
        <w:t>7602- دیوان نحوی کشمیری أو شعره‏</w:t>
      </w:r>
      <w:bookmarkEnd w:id="10073"/>
    </w:p>
    <w:p>
      <w:pPr>
        <w:pStyle w:val="BookText"/>
      </w:pPr>
      <w:r>
        <w:rPr>
          <w:rFonts w:ascii="IRNazanin" w:hAnsi="IRNazanin" w:eastAsia="IRNazanin" w:cs="IRNazanin"/>
          <w:lang w:bidi="fa-IR"/>
          <w:color w:val="111111"/>
          <w:sz w:val="28"/>
          <w:szCs w:val="28"/>
          <w:rtl/>
        </w:rPr>
        <w:t xml:space="preserve">و اسمه أحمد خان. ولد بفرخ‏آباد و تلمذ علی الله‏بخش. ورد شعره فی (گلشن- ص 510).</w:t>
      </w:r>
    </w:p>
    <w:p>
      <w:pPr>
        <w:pStyle w:val="Heading3"/>
      </w:pPr>
      <w:bookmarkStart w:id="10074" w:name="_Toc8770"/>
      <w:r>
        <w:t>7603- دیوان نحیف بهوپالی أو شعره‏</w:t>
      </w:r>
      <w:bookmarkEnd w:id="10074"/>
    </w:p>
    <w:p>
      <w:pPr>
        <w:pStyle w:val="BookText"/>
      </w:pPr>
      <w:r>
        <w:rPr>
          <w:rFonts w:ascii="IRNazanin" w:hAnsi="IRNazanin" w:eastAsia="IRNazanin" w:cs="IRNazanin"/>
          <w:lang w:bidi="fa-IR"/>
          <w:color w:val="111111"/>
          <w:sz w:val="28"/>
          <w:szCs w:val="28"/>
          <w:rtl/>
        </w:rPr>
        <w:t xml:space="preserve">و هو المنشی عبد الحمید خان ابن غلام مجتبی خان.</w:t>
      </w:r>
    </w:p>
    <w:p>
      <w:pPr>
        <w:pStyle w:val="BookText"/>
      </w:pPr>
      <w:r>
        <w:rPr>
          <w:rFonts w:ascii="IRNazanin" w:hAnsi="IRNazanin" w:eastAsia="IRNazanin" w:cs="IRNazanin"/>
          <w:lang w:bidi="fa-IR"/>
          <w:color w:val="111111"/>
          <w:sz w:val="28"/>
          <w:szCs w:val="28"/>
          <w:rtl/>
        </w:rPr>
        <w:t xml:space="preserve">کان حیا فی 1295 حین أورد شعره فی (روشن- ص 686).</w:t>
      </w:r>
    </w:p>
    <w:p>
      <w:pPr>
        <w:pStyle w:val="Heading3"/>
      </w:pPr>
      <w:bookmarkStart w:id="10075" w:name="_Toc8771"/>
      <w:r>
        <w:t>7604- دیوان نحیف شاملو أو شعره‏</w:t>
      </w:r>
      <w:bookmarkEnd w:id="10075"/>
    </w:p>
    <w:p>
      <w:pPr>
        <w:pStyle w:val="BookText"/>
      </w:pPr>
      <w:r>
        <w:rPr>
          <w:rFonts w:ascii="IRNazanin" w:hAnsi="IRNazanin" w:eastAsia="IRNazanin" w:cs="IRNazanin"/>
          <w:lang w:bidi="fa-IR"/>
          <w:color w:val="111111"/>
          <w:sz w:val="28"/>
          <w:szCs w:val="28"/>
          <w:rtl/>
        </w:rPr>
        <w:t xml:space="preserve">و اسمه نوروز علی بیگ. ورد شعره فی (گلشن- ص 510).
</w:t>
      </w:r>
    </w:p>
    <w:p>
      <w:pPr>
        <w:sectPr>
          <w:footerReference w:type="default" r:id="rId1187"/>
          <w:footnotePr>
            <w:numStart w:val="1"/>
            <w:numRestart w:val="eachPage"/>
          </w:footnotePr>
          <w:pgSz w:orient="portrait" w:w="11905.511811023622" w:h="16837.79527559055"/>
          <w:pgMar w:top="1440" w:right="1440" w:bottom="1440" w:left="1440" w:header="720" w:footer="720" w:gutter="0"/>
          <w:cols w:num="1" w:space="720"/>
        </w:sectPr>
      </w:pPr>
    </w:p>
    <w:bookmarkStart w:id="1165" w:name="pg11704_122655"/>
    <w:bookmarkEnd w:id="1165"/>
    <w:p>
      <w:pPr>
        <w:pStyle w:val="Heading3"/>
      </w:pPr>
      <w:bookmarkStart w:id="10076" w:name="_Toc8772"/>
      <w:r>
        <w:t>7605- دیوان نخشبی بدیوانی‏</w:t>
      </w:r>
      <w:bookmarkEnd w:id="10076"/>
    </w:p>
    <w:p>
      <w:pPr>
        <w:pStyle w:val="BookText"/>
      </w:pPr>
      <w:r>
        <w:rPr>
          <w:rFonts w:ascii="IRNazanin" w:hAnsi="IRNazanin" w:eastAsia="IRNazanin" w:cs="IRNazanin"/>
          <w:lang w:bidi="fa-IR"/>
          <w:color w:val="111111"/>
          <w:sz w:val="28"/>
          <w:szCs w:val="28"/>
          <w:rtl/>
        </w:rPr>
        <w:t xml:space="preserve">و هو ضیاء الدین تلمیذ نظام الدین، و المتوفی بدهلی فی 750. نظم طوطی‏نامه و سلک السلوک و عشرة مبشرة ترجم فی (حسینی- ص 342) و (خوش‏گو) و (هدیة العارفین 1: 429) و (گلشن- ص 511) و عنها فی القاموس الترکی ثم الریحانة.</w:t>
      </w:r>
    </w:p>
    <w:p>
      <w:pPr>
        <w:pStyle w:val="Heading3"/>
      </w:pPr>
      <w:bookmarkStart w:id="10077" w:name="_Toc8773"/>
      <w:r>
        <w:t>7606- دیوان نخلی بخارائی أو شعره‏</w:t>
      </w:r>
      <w:bookmarkEnd w:id="10077"/>
    </w:p>
    <w:p>
      <w:pPr>
        <w:pStyle w:val="BookText"/>
      </w:pPr>
      <w:r>
        <w:rPr>
          <w:rFonts w:ascii="IRNazanin" w:hAnsi="IRNazanin" w:eastAsia="IRNazanin" w:cs="IRNazanin"/>
          <w:lang w:bidi="fa-IR"/>
          <w:color w:val="111111"/>
          <w:sz w:val="28"/>
          <w:szCs w:val="28"/>
          <w:rtl/>
        </w:rPr>
        <w:t xml:space="preserve">کان یمدح إمام قلی خان حاکم بخارا و بعد وفاته انتقل إلی بلخ و بها توفی. أورد شعره معاصره فی (نر 10- ص 435) و (گلشن- ص 511) و (روشن- ص 687).</w:t>
      </w:r>
    </w:p>
    <w:p>
      <w:pPr>
        <w:pStyle w:val="Heading3"/>
      </w:pPr>
      <w:bookmarkStart w:id="10078" w:name="_Toc8774"/>
      <w:r>
        <w:t>7607- دیوان ندائی سمرقندی‏</w:t>
      </w:r>
      <w:bookmarkEnd w:id="10078"/>
    </w:p>
    <w:p>
      <w:pPr>
        <w:pStyle w:val="BookText"/>
      </w:pPr>
      <w:r>
        <w:rPr>
          <w:rFonts w:ascii="IRNazanin" w:hAnsi="IRNazanin" w:eastAsia="IRNazanin" w:cs="IRNazanin"/>
          <w:lang w:bidi="fa-IR"/>
          <w:color w:val="111111"/>
          <w:sz w:val="28"/>
          <w:szCs w:val="28"/>
          <w:rtl/>
        </w:rPr>
        <w:t xml:space="preserve">و هو الشیخ محمد صالح. له مثنوی عبد الله خان‏نامه ترجم فی هفت إقلیم و (خوش‏گو) و (گلشن- ص 512).</w:t>
      </w:r>
    </w:p>
    <w:p>
      <w:pPr>
        <w:pStyle w:val="Heading3"/>
      </w:pPr>
      <w:bookmarkStart w:id="10079" w:name="_Toc8775"/>
      <w:r>
        <w:t>7608- دیوان ندائی کاشغری‏</w:t>
      </w:r>
      <w:bookmarkEnd w:id="10079"/>
    </w:p>
    <w:p>
      <w:pPr>
        <w:pStyle w:val="BookText"/>
      </w:pPr>
      <w:r>
        <w:rPr>
          <w:rFonts w:ascii="IRNazanin" w:hAnsi="IRNazanin" w:eastAsia="IRNazanin" w:cs="IRNazanin"/>
          <w:lang w:bidi="fa-IR"/>
          <w:color w:val="111111"/>
          <w:sz w:val="28"/>
          <w:szCs w:val="28"/>
          <w:rtl/>
        </w:rPr>
        <w:t xml:space="preserve">و اسمه عبد الله بن محمد الکاشغری نزیل قسطنطنیة کان یدرس بها الطریقة النقش‏بندیة و مات 1174. له دیوان شعر فارسی و مولد النبی ترجمه کذلک إسماعیل پاشا فی هدیة العارفین- 1: 484.</w:t>
      </w:r>
    </w:p>
    <w:p>
      <w:pPr>
        <w:pStyle w:val="Heading3"/>
      </w:pPr>
      <w:bookmarkStart w:id="10080" w:name="_Toc8776"/>
      <w:r>
        <w:t>7609- دیوان ندائی گیلانی أو شعره‏</w:t>
      </w:r>
      <w:bookmarkEnd w:id="10080"/>
    </w:p>
    <w:p>
      <w:pPr>
        <w:pStyle w:val="BookText"/>
      </w:pPr>
      <w:r>
        <w:rPr>
          <w:rFonts w:ascii="IRNazanin" w:hAnsi="IRNazanin" w:eastAsia="IRNazanin" w:cs="IRNazanin"/>
          <w:lang w:bidi="fa-IR"/>
          <w:color w:val="111111"/>
          <w:sz w:val="28"/>
          <w:szCs w:val="28"/>
          <w:rtl/>
        </w:rPr>
        <w:t xml:space="preserve">کان معاصر خیالی. ورد شعره فی (گلشن- ص 511).</w:t>
      </w:r>
    </w:p>
    <w:p>
      <w:pPr>
        <w:pStyle w:val="Heading3"/>
      </w:pPr>
      <w:bookmarkStart w:id="10081" w:name="_Toc8777"/>
      <w:r>
        <w:t>دیوان ندائی نیشابوری‏</w:t>
      </w:r>
      <w:bookmarkEnd w:id="10081"/>
    </w:p>
    <w:p>
      <w:pPr>
        <w:pStyle w:val="BookText"/>
      </w:pPr>
      <w:r>
        <w:rPr>
          <w:rFonts w:ascii="IRNazanin" w:hAnsi="IRNazanin" w:eastAsia="IRNazanin" w:cs="IRNazanin"/>
          <w:lang w:bidi="fa-IR"/>
          <w:color w:val="111111"/>
          <w:sz w:val="28"/>
          <w:szCs w:val="28"/>
          <w:rtl/>
        </w:rPr>
        <w:t xml:space="preserve">راجع ندائی یزدی.</w:t>
      </w:r>
    </w:p>
    <w:p>
      <w:pPr>
        <w:pStyle w:val="Heading3"/>
      </w:pPr>
      <w:bookmarkStart w:id="10082" w:name="_Toc8778"/>
      <w:r>
        <w:t>7610- دیوان ندائی هروی أو شعره‏</w:t>
      </w:r>
      <w:bookmarkEnd w:id="10082"/>
    </w:p>
    <w:p>
      <w:pPr>
        <w:pStyle w:val="BookText"/>
      </w:pPr>
      <w:r>
        <w:rPr>
          <w:rFonts w:ascii="IRNazanin" w:hAnsi="IRNazanin" w:eastAsia="IRNazanin" w:cs="IRNazanin"/>
          <w:lang w:bidi="fa-IR"/>
          <w:color w:val="111111"/>
          <w:sz w:val="28"/>
          <w:szCs w:val="28"/>
          <w:rtl/>
        </w:rPr>
        <w:t xml:space="preserve">و اسمه السلطان محمد الحافظ من شعراء بایقرا ورد شعره فی (گلشن- ص 512).</w:t>
      </w:r>
    </w:p>
    <w:p>
      <w:pPr>
        <w:pStyle w:val="Heading3"/>
      </w:pPr>
      <w:bookmarkStart w:id="10083" w:name="_Toc8779"/>
      <w:r>
        <w:t>7611- دیوان ندائی یزدی‏</w:t>
      </w:r>
      <w:bookmarkEnd w:id="10083"/>
    </w:p>
    <w:p>
      <w:pPr>
        <w:pStyle w:val="BookText"/>
      </w:pPr>
      <w:r>
        <w:rPr>
          <w:rFonts w:ascii="IRNazanin" w:hAnsi="IRNazanin" w:eastAsia="IRNazanin" w:cs="IRNazanin"/>
          <w:lang w:bidi="fa-IR"/>
          <w:color w:val="111111"/>
          <w:sz w:val="28"/>
          <w:szCs w:val="28"/>
          <w:rtl/>
        </w:rPr>
        <w:t xml:space="preserve">أصله من نیشابور و سکن یزد. ترجمه معاصره سام میرزا فی (تس 5- ص 150) و قال إنه نظم روضة الشهداء للکاشفی بالشعر الفارسی و دیوانه یشتمل علی الغزل و المدیح للأئمة و الحکام. أورد بعضها فی (تش یز- ص 335) و کذا فی (تش- ص 141) و (مطلع 3: 183) و (روشن- ص 687). و (نتایج- 718).</w:t>
      </w:r>
    </w:p>
    <w:p>
      <w:pPr>
        <w:pStyle w:val="Heading3"/>
      </w:pPr>
      <w:bookmarkStart w:id="10084" w:name="_Toc8780"/>
      <w:r>
        <w:t>7612- دیوان ندرت تهانیسری‏</w:t>
      </w:r>
      <w:bookmarkEnd w:id="10084"/>
    </w:p>
    <w:p>
      <w:pPr>
        <w:pStyle w:val="BookText"/>
      </w:pPr>
      <w:r>
        <w:rPr>
          <w:rFonts w:ascii="IRNazanin" w:hAnsi="IRNazanin" w:eastAsia="IRNazanin" w:cs="IRNazanin"/>
          <w:lang w:bidi="fa-IR"/>
          <w:color w:val="111111"/>
          <w:sz w:val="28"/>
          <w:szCs w:val="28"/>
          <w:rtl/>
        </w:rPr>
        <w:t xml:space="preserve">و اسمه لاله حکیم بن لاله هردی رام من قوم بلیسی. تلمذ علی آرزو و بیدل و مات حدود 1150. ورد شعره فی (سرخوش- ص 114) و (نتایج- ص 728) و (گلشن- ص 512) و (مسرت- ص 242).</w:t>
      </w:r>
    </w:p>
    <w:p>
      <w:pPr>
        <w:pStyle w:val="Heading3"/>
      </w:pPr>
      <w:bookmarkStart w:id="10085" w:name="_Toc8781"/>
      <w:r>
        <w:t>7613- دیوان ندیم أصفهانی أو شعره‏</w:t>
      </w:r>
      <w:bookmarkEnd w:id="10085"/>
    </w:p>
    <w:p>
      <w:pPr>
        <w:pStyle w:val="BookText"/>
      </w:pPr>
      <w:r>
        <w:rPr>
          <w:rFonts w:ascii="Amiri" w:hAnsi="Amiri" w:eastAsia="Amiri" w:cs="Amiri"/>
          <w:lang w:bidi="ar-SA"/>
          <w:color w:val="111111"/>
          <w:sz w:val="28"/>
          <w:szCs w:val="28"/>
          <w:rtl/>
        </w:rPr>
        <w:t xml:space="preserve">و هو الملا محمد روضةخوان. ورد شعره‏
</w:t>
      </w:r>
    </w:p>
    <w:p>
      <w:pPr>
        <w:sectPr>
          <w:footerReference w:type="default" r:id="rId1188"/>
          <w:footnotePr>
            <w:numStart w:val="1"/>
            <w:numRestart w:val="eachPage"/>
          </w:footnotePr>
          <w:pgSz w:orient="portrait" w:w="11905.511811023622" w:h="16837.79527559055"/>
          <w:pgMar w:top="1440" w:right="1440" w:bottom="1440" w:left="1440" w:header="720" w:footer="720" w:gutter="0"/>
          <w:cols w:num="1" w:space="720"/>
        </w:sectPr>
      </w:pPr>
    </w:p>
    <w:bookmarkStart w:id="1166" w:name="pg11704_122656"/>
    <w:bookmarkEnd w:id="1166"/>
    <w:p>
      <w:pPr>
        <w:pStyle w:val="BookText"/>
      </w:pPr>
      <w:r>
        <w:rPr>
          <w:rFonts w:ascii="IRNazanin" w:hAnsi="IRNazanin" w:eastAsia="IRNazanin" w:cs="IRNazanin"/>
          <w:lang w:bidi="fa-IR"/>
          <w:color w:val="111111"/>
          <w:sz w:val="28"/>
          <w:szCs w:val="28"/>
          <w:rtl/>
        </w:rPr>
        <w:t xml:space="preserve">فی (گلشن- ص 513).</w:t>
      </w:r>
    </w:p>
    <w:p>
      <w:pPr>
        <w:pStyle w:val="Heading3"/>
      </w:pPr>
      <w:bookmarkStart w:id="10086" w:name="_Toc8782"/>
      <w:r>
        <w:t>دیوان ندیم‏باشی کاشانی‏</w:t>
      </w:r>
      <w:bookmarkEnd w:id="10086"/>
    </w:p>
    <w:p>
      <w:pPr>
        <w:pStyle w:val="BookText"/>
      </w:pPr>
      <w:r>
        <w:rPr>
          <w:rFonts w:ascii="IRNazanin" w:hAnsi="IRNazanin" w:eastAsia="IRNazanin" w:cs="IRNazanin"/>
          <w:lang w:bidi="fa-IR"/>
          <w:color w:val="111111"/>
          <w:sz w:val="28"/>
          <w:szCs w:val="28"/>
          <w:rtl/>
        </w:rPr>
        <w:t xml:space="preserve">المذکور بتخلصه خجسته فی ص 290. ذکر فی (المآثر- ص 202) و طبع له منظومة مظفرنامه همایونی علی الحجر بمشهد فی 1314.</w:t>
      </w:r>
    </w:p>
    <w:p>
      <w:pPr>
        <w:pStyle w:val="Heading3"/>
      </w:pPr>
      <w:bookmarkStart w:id="10087" w:name="_Toc8783"/>
      <w:r>
        <w:t>7614- دیوان ندیم دهلوی أو شعره‏</w:t>
      </w:r>
      <w:bookmarkEnd w:id="10087"/>
    </w:p>
    <w:p>
      <w:pPr>
        <w:pStyle w:val="BookText"/>
      </w:pPr>
      <w:r>
        <w:rPr>
          <w:rFonts w:ascii="IRNazanin" w:hAnsi="IRNazanin" w:eastAsia="IRNazanin" w:cs="IRNazanin"/>
          <w:lang w:bidi="fa-IR"/>
          <w:color w:val="111111"/>
          <w:sz w:val="28"/>
          <w:szCs w:val="28"/>
          <w:rtl/>
        </w:rPr>
        <w:t xml:space="preserve">و اسمه میرزا علی بیگ. ورد شعره فی (گلشن- ص 514).</w:t>
      </w:r>
    </w:p>
    <w:p>
      <w:pPr>
        <w:pStyle w:val="Heading3"/>
      </w:pPr>
      <w:bookmarkStart w:id="10088" w:name="_Toc8784"/>
      <w:r>
        <w:t>7615- دیوان ندیم شیرازی‏</w:t>
      </w:r>
      <w:bookmarkEnd w:id="10088"/>
    </w:p>
    <w:p>
      <w:pPr>
        <w:pStyle w:val="BookText"/>
      </w:pPr>
      <w:r>
        <w:rPr>
          <w:rFonts w:ascii="IRNazanin" w:hAnsi="IRNazanin" w:eastAsia="IRNazanin" w:cs="IRNazanin"/>
          <w:lang w:bidi="fa-IR"/>
          <w:color w:val="111111"/>
          <w:sz w:val="28"/>
          <w:szCs w:val="28"/>
          <w:rtl/>
        </w:rPr>
        <w:t xml:space="preserve">و اسمه المیرزا علی أکبر الأخ الأصغر لقاآنی الشیرازی المذکور فی ص 857 و توفی 1263. ذکر فی المدائح المعتمدیة و فی (فارس‏نامه 2: 129).</w:t>
      </w:r>
    </w:p>
    <w:p>
      <w:pPr>
        <w:pStyle w:val="Heading3"/>
      </w:pPr>
      <w:bookmarkStart w:id="10089" w:name="_Toc8785"/>
      <w:r>
        <w:t>7616- دیوان ندیم کشمیری أو شعره‏</w:t>
      </w:r>
      <w:bookmarkEnd w:id="10089"/>
    </w:p>
    <w:p>
      <w:pPr>
        <w:pStyle w:val="BookText"/>
      </w:pPr>
      <w:r>
        <w:rPr>
          <w:rFonts w:ascii="IRNazanin" w:hAnsi="IRNazanin" w:eastAsia="IRNazanin" w:cs="IRNazanin"/>
          <w:lang w:bidi="fa-IR"/>
          <w:color w:val="111111"/>
          <w:sz w:val="28"/>
          <w:szCs w:val="28"/>
          <w:rtl/>
        </w:rPr>
        <w:t xml:space="preserve">ترجمه معاصره النصرآبادی فی (نر 11- ص 447) و قال إنه شاعر مع غنی کشمیری المذکور فی ص 793 و کذا فی (خوش‏گو). و (حسینی- ص 355).</w:t>
      </w:r>
    </w:p>
    <w:p>
      <w:pPr>
        <w:pStyle w:val="Heading3"/>
      </w:pPr>
      <w:bookmarkStart w:id="10090" w:name="_Toc8786"/>
      <w:r>
        <w:t>7617- دیوان ندیم لکهنوی أو شعره‏</w:t>
      </w:r>
      <w:bookmarkEnd w:id="10090"/>
    </w:p>
    <w:p>
      <w:pPr>
        <w:pStyle w:val="BookText"/>
      </w:pPr>
      <w:r>
        <w:rPr>
          <w:rFonts w:ascii="IRNazanin" w:hAnsi="IRNazanin" w:eastAsia="IRNazanin" w:cs="IRNazanin"/>
          <w:lang w:bidi="fa-IR"/>
          <w:color w:val="111111"/>
          <w:sz w:val="28"/>
          <w:szCs w:val="28"/>
          <w:rtl/>
        </w:rPr>
        <w:t xml:space="preserve">و اسمه شیو غلام. ورد شعره فی (گلشن- ص 513).</w:t>
      </w:r>
    </w:p>
    <w:p>
      <w:pPr>
        <w:pStyle w:val="Heading3"/>
      </w:pPr>
      <w:bookmarkStart w:id="10091" w:name="_Toc8787"/>
      <w:r>
        <w:t>7618- دیوان ندیم مازندرانی‏</w:t>
      </w:r>
      <w:bookmarkEnd w:id="10091"/>
    </w:p>
    <w:p>
      <w:pPr>
        <w:pStyle w:val="BookText"/>
      </w:pPr>
      <w:r>
        <w:rPr>
          <w:rFonts w:ascii="IRNazanin" w:hAnsi="IRNazanin" w:eastAsia="IRNazanin" w:cs="IRNazanin"/>
          <w:lang w:bidi="fa-IR"/>
          <w:color w:val="111111"/>
          <w:sz w:val="28"/>
          <w:szCs w:val="28"/>
          <w:rtl/>
        </w:rPr>
        <w:t xml:space="preserve">و اسمه المیرزا محمد بن میرزا کاظم الإیروانی نزیل بارفروش. ولد ندیم بها و صار ندیم فتح علی شاه. ترجم فی (مع 2: 514) و (انجمن 3).</w:t>
      </w:r>
    </w:p>
    <w:p>
      <w:pPr>
        <w:pStyle w:val="Heading3"/>
      </w:pPr>
      <w:bookmarkStart w:id="10092" w:name="_Toc8788"/>
      <w:r>
        <w:t>7619- دیوان ندیم مشهدی‏</w:t>
      </w:r>
      <w:bookmarkEnd w:id="10092"/>
    </w:p>
    <w:p>
      <w:pPr>
        <w:pStyle w:val="BookText"/>
      </w:pPr>
      <w:r>
        <w:rPr>
          <w:rFonts w:ascii="IRNazanin" w:hAnsi="IRNazanin" w:eastAsia="IRNazanin" w:cs="IRNazanin"/>
          <w:lang w:bidi="fa-IR"/>
          <w:color w:val="111111"/>
          <w:sz w:val="28"/>
          <w:szCs w:val="28"/>
          <w:rtl/>
        </w:rPr>
        <w:t xml:space="preserve">و اسمه زکی أصله من مشهد خراسان و نشا بأصفهان و تقرب عند الشاه سلطان حسین و نادر شاه ثم سکن النجف و مات بها 1163. ورد شعره فی (تش- ص 114) و (مسرت- ص 203) و (گلشن- ص 513). له در نجف علی زنة مخزن الأسرار فی 1500 بیت فی تاریخ هجوم الأفاغنة. و منظومة تسبیح کربلاء فی 4570 بیت، قال فی تاریخه: 1158.</w:t>
      </w:r>
    </w:p>
    <w:p>
      <w:pPr>
        <w:pStyle w:val="BookText"/>
      </w:pPr>
      <w:r>
        <w:rPr>
          <w:rFonts w:ascii="IRNazanin" w:hAnsi="IRNazanin" w:eastAsia="IRNazanin" w:cs="IRNazanin"/>
          <w:lang w:bidi="fa-IR"/>
          <w:color w:val="111111"/>
          <w:sz w:val="28"/>
          <w:szCs w:val="28"/>
          <w:rtl/>
        </w:rPr>
        <w:t xml:space="preserve">شد سحر چون تمام این محضر</w:t>
      </w:r>
    </w:p>
    <w:p>
      <w:pPr>
        <w:pStyle w:val="BookText"/>
      </w:pPr>
      <w:r>
        <w:rPr>
          <w:rFonts w:ascii="IRNazanin" w:hAnsi="IRNazanin" w:eastAsia="IRNazanin" w:cs="IRNazanin"/>
          <w:lang w:bidi="fa-IR"/>
          <w:color w:val="111111"/>
          <w:sz w:val="28"/>
          <w:szCs w:val="28"/>
          <w:rtl/>
        </w:rPr>
        <w:t xml:space="preserve">گشت تاریخ سال فیض سحر</w:t>
      </w:r>
    </w:p>
    <w:p>
      <w:pPr>
        <w:pStyle w:val="BookText"/>
      </w:pPr>
      <w:r>
        <w:rPr>
          <w:rFonts w:ascii="IRNazanin" w:hAnsi="IRNazanin" w:eastAsia="IRNazanin" w:cs="IRNazanin"/>
          <w:lang w:bidi="fa-IR"/>
          <w:color w:val="111111"/>
          <w:sz w:val="28"/>
          <w:szCs w:val="28"/>
          <w:rtl/>
        </w:rPr>
        <w:t xml:space="preserve">یوجد کلیاته فی 9000 بیت فارسیة و ترکیة فی مکتبة (المجلس) کما فی فهرسها 3: 435- 440.</w:t>
      </w:r>
    </w:p>
    <w:p>
      <w:pPr>
        <w:pStyle w:val="Heading3"/>
      </w:pPr>
      <w:bookmarkStart w:id="10093" w:name="_Toc8789"/>
      <w:r>
        <w:t>7620- دیوان ندیم هروی أو شعره‏</w:t>
      </w:r>
      <w:bookmarkEnd w:id="10093"/>
    </w:p>
    <w:p>
      <w:pPr>
        <w:pStyle w:val="BookText"/>
      </w:pPr>
      <w:r>
        <w:rPr>
          <w:rFonts w:ascii="IRNazanin" w:hAnsi="IRNazanin" w:eastAsia="IRNazanin" w:cs="IRNazanin"/>
          <w:lang w:bidi="fa-IR"/>
          <w:color w:val="111111"/>
          <w:sz w:val="28"/>
          <w:szCs w:val="28"/>
          <w:rtl/>
        </w:rPr>
        <w:t xml:space="preserve">کان هزالا. ترجمه علی شیر فی (مجن 3: 62 و 235) و قد خلطه فی الترجمة مع حسن شاه المذکور فی تلک الصفحة أیضا.
</w:t>
      </w:r>
    </w:p>
    <w:p>
      <w:pPr>
        <w:sectPr>
          <w:footerReference w:type="default" r:id="rId1189"/>
          <w:footnotePr>
            <w:numStart w:val="1"/>
            <w:numRestart w:val="eachPage"/>
          </w:footnotePr>
          <w:pgSz w:orient="portrait" w:w="11905.511811023622" w:h="16837.79527559055"/>
          <w:pgMar w:top="1440" w:right="1440" w:bottom="1440" w:left="1440" w:header="720" w:footer="720" w:gutter="0"/>
          <w:cols w:num="1" w:space="720"/>
        </w:sectPr>
      </w:pPr>
    </w:p>
    <w:bookmarkStart w:id="1167" w:name="pg11704_122657"/>
    <w:bookmarkEnd w:id="1167"/>
    <w:p>
      <w:pPr>
        <w:pStyle w:val="Heading3"/>
      </w:pPr>
      <w:bookmarkStart w:id="10094" w:name="_Toc8790"/>
      <w:r>
        <w:t>7621- دیوان ندیم هندی أو شعره‏</w:t>
      </w:r>
      <w:bookmarkEnd w:id="10094"/>
    </w:p>
    <w:p>
      <w:pPr>
        <w:pStyle w:val="BookText"/>
      </w:pPr>
      <w:r>
        <w:rPr>
          <w:rFonts w:ascii="IRNazanin" w:hAnsi="IRNazanin" w:eastAsia="IRNazanin" w:cs="IRNazanin"/>
          <w:lang w:bidi="fa-IR"/>
          <w:color w:val="111111"/>
          <w:sz w:val="28"/>
          <w:szCs w:val="28"/>
          <w:rtl/>
        </w:rPr>
        <w:t xml:space="preserve">و اسمه محمد عسکری خان بن محمد ماه. أورد شعره معاصره فی (روشن- ص 688).</w:t>
      </w:r>
    </w:p>
    <w:p>
      <w:pPr>
        <w:pStyle w:val="Heading3"/>
      </w:pPr>
      <w:bookmarkStart w:id="10095" w:name="_Toc8791"/>
      <w:r>
        <w:t>7622- دیوان ندیمی أصفهانی أو شعره‏</w:t>
      </w:r>
      <w:bookmarkEnd w:id="10095"/>
    </w:p>
    <w:p>
      <w:pPr>
        <w:pStyle w:val="BookText"/>
      </w:pPr>
      <w:r>
        <w:rPr>
          <w:rFonts w:ascii="IRNazanin" w:hAnsi="IRNazanin" w:eastAsia="IRNazanin" w:cs="IRNazanin"/>
          <w:lang w:bidi="fa-IR"/>
          <w:color w:val="111111"/>
          <w:sz w:val="28"/>
          <w:szCs w:val="28"/>
          <w:rtl/>
        </w:rPr>
        <w:t xml:space="preserve">و اسمه ندیمی سوزنگر. ورد شعره فی (گلشن- ص 514).</w:t>
      </w:r>
    </w:p>
    <w:p>
      <w:pPr>
        <w:pStyle w:val="Heading3"/>
      </w:pPr>
      <w:bookmarkStart w:id="10096" w:name="_Toc8792"/>
      <w:r>
        <w:t>7623- دیوان ندیمی بلخی أو شعره‏</w:t>
      </w:r>
      <w:bookmarkEnd w:id="10096"/>
    </w:p>
    <w:p>
      <w:pPr>
        <w:pStyle w:val="BookText"/>
      </w:pPr>
      <w:r>
        <w:rPr>
          <w:rFonts w:ascii="IRNazanin" w:hAnsi="IRNazanin" w:eastAsia="IRNazanin" w:cs="IRNazanin"/>
          <w:lang w:bidi="fa-IR"/>
          <w:color w:val="111111"/>
          <w:sz w:val="28"/>
          <w:szCs w:val="28"/>
          <w:rtl/>
        </w:rPr>
        <w:t xml:space="preserve">ترجم فی هفت إقلیم و فی بدخشان و (خوش‏گو) و (گلشن- ص 514).</w:t>
      </w:r>
    </w:p>
    <w:p>
      <w:pPr>
        <w:pStyle w:val="Heading3"/>
      </w:pPr>
      <w:bookmarkStart w:id="10097" w:name="_Toc8793"/>
      <w:r>
        <w:t>7624- دیوان ندیمی نقاره‏چی أو شعره‏</w:t>
      </w:r>
      <w:bookmarkEnd w:id="10097"/>
    </w:p>
    <w:p>
      <w:pPr>
        <w:pStyle w:val="BookText"/>
      </w:pPr>
      <w:r>
        <w:rPr>
          <w:rFonts w:ascii="IRNazanin" w:hAnsi="IRNazanin" w:eastAsia="IRNazanin" w:cs="IRNazanin"/>
          <w:lang w:bidi="fa-IR"/>
          <w:color w:val="111111"/>
          <w:sz w:val="28"/>
          <w:szCs w:val="28"/>
          <w:rtl/>
        </w:rPr>
        <w:t xml:space="preserve">أطرأ طبعه علی شیر فی (مجن 1: 21 و 195) و (حسینی- ص 268).</w:t>
      </w:r>
    </w:p>
    <w:p>
      <w:pPr>
        <w:pStyle w:val="Heading3"/>
      </w:pPr>
      <w:bookmarkStart w:id="10098" w:name="_Toc8794"/>
      <w:r>
        <w:t>7625- دیوان نذری شاملو أو شعره‏</w:t>
      </w:r>
      <w:bookmarkEnd w:id="10098"/>
    </w:p>
    <w:p>
      <w:pPr>
        <w:pStyle w:val="BookText"/>
      </w:pPr>
      <w:r>
        <w:rPr>
          <w:rFonts w:ascii="IRNazanin" w:hAnsi="IRNazanin" w:eastAsia="IRNazanin" w:cs="IRNazanin"/>
          <w:lang w:bidi="fa-IR"/>
          <w:color w:val="111111"/>
          <w:sz w:val="28"/>
          <w:szCs w:val="28"/>
          <w:rtl/>
        </w:rPr>
        <w:t xml:space="preserve">ورد شعره فی (تش- ص 27) ضمن الأمراء.</w:t>
      </w:r>
    </w:p>
    <w:p>
      <w:pPr>
        <w:pStyle w:val="Heading3"/>
      </w:pPr>
      <w:bookmarkStart w:id="10099" w:name="_Toc8795"/>
      <w:r>
        <w:t>7626- دیوان نذری کاشی أو شعره‏</w:t>
      </w:r>
      <w:bookmarkEnd w:id="10099"/>
    </w:p>
    <w:p>
      <w:pPr>
        <w:pStyle w:val="BookText"/>
      </w:pPr>
      <w:r>
        <w:rPr>
          <w:rFonts w:ascii="IRNazanin" w:hAnsi="IRNazanin" w:eastAsia="IRNazanin" w:cs="IRNazanin"/>
          <w:lang w:bidi="fa-IR"/>
          <w:color w:val="111111"/>
          <w:sz w:val="28"/>
          <w:szCs w:val="28"/>
          <w:rtl/>
        </w:rPr>
        <w:t xml:space="preserve">ورد شعره فی (خص 8- ص 212) و (گلشن- ص 514) و ذکر فی شعره تخلصه و بلده.</w:t>
      </w:r>
    </w:p>
    <w:p>
      <w:pPr>
        <w:pStyle w:val="Heading3"/>
      </w:pPr>
      <w:bookmarkStart w:id="10100" w:name="_Toc8796"/>
      <w:r>
        <w:t>7627- دیوان نذیر خیرآبادی أو شعره‏</w:t>
      </w:r>
      <w:bookmarkEnd w:id="10100"/>
    </w:p>
    <w:p>
      <w:pPr>
        <w:pStyle w:val="BookText"/>
      </w:pPr>
      <w:r>
        <w:rPr>
          <w:rFonts w:ascii="IRNazanin" w:hAnsi="IRNazanin" w:eastAsia="IRNazanin" w:cs="IRNazanin"/>
          <w:lang w:bidi="fa-IR"/>
          <w:color w:val="111111"/>
          <w:sz w:val="28"/>
          <w:szCs w:val="28"/>
          <w:rtl/>
        </w:rPr>
        <w:t xml:space="preserve">اسمه محمد الطبیب. ورد شعره فی (گلشن- ص 514).</w:t>
      </w:r>
    </w:p>
    <w:p>
      <w:pPr>
        <w:pStyle w:val="Heading3"/>
      </w:pPr>
      <w:bookmarkStart w:id="10101" w:name="_Toc8797"/>
      <w:r>
        <w:t>7628- دیوان نذیر لکهنوی أو شعره‏</w:t>
      </w:r>
      <w:bookmarkEnd w:id="10101"/>
    </w:p>
    <w:p>
      <w:pPr>
        <w:pStyle w:val="BookText"/>
      </w:pPr>
      <w:r>
        <w:rPr>
          <w:rFonts w:ascii="IRNazanin" w:hAnsi="IRNazanin" w:eastAsia="IRNazanin" w:cs="IRNazanin"/>
          <w:lang w:bidi="fa-IR"/>
          <w:color w:val="111111"/>
          <w:sz w:val="28"/>
          <w:szCs w:val="28"/>
          <w:rtl/>
        </w:rPr>
        <w:t xml:space="preserve">و اسمه محمد نذیر. ورد شعره فی (گلشن- ص 515).</w:t>
      </w:r>
    </w:p>
    <w:p>
      <w:pPr>
        <w:pStyle w:val="Heading3"/>
      </w:pPr>
      <w:bookmarkStart w:id="10102" w:name="_Toc8798"/>
      <w:r>
        <w:t>دیوان نراقی‏</w:t>
      </w:r>
      <w:bookmarkEnd w:id="10102"/>
    </w:p>
    <w:p>
      <w:pPr>
        <w:pStyle w:val="BookText"/>
      </w:pPr>
      <w:r>
        <w:rPr>
          <w:rFonts w:ascii="IRNazanin" w:hAnsi="IRNazanin" w:eastAsia="IRNazanin" w:cs="IRNazanin"/>
          <w:lang w:bidi="fa-IR"/>
          <w:color w:val="111111"/>
          <w:sz w:val="28"/>
          <w:szCs w:val="28"/>
          <w:rtl/>
        </w:rPr>
        <w:t xml:space="preserve">الحاج ملا أحمد بن مهدی بن أبی ذر. مر بعنوان صفائی نراقی فی ص 612 و طبع له مثنوی لسان الغیب.</w:t>
      </w:r>
    </w:p>
    <w:p>
      <w:pPr>
        <w:pStyle w:val="Heading3"/>
      </w:pPr>
      <w:bookmarkStart w:id="10103" w:name="_Toc8799"/>
      <w:r>
        <w:t>7629- دیوان نرگس أبهری‏</w:t>
      </w:r>
      <w:bookmarkEnd w:id="10103"/>
    </w:p>
    <w:p>
      <w:pPr>
        <w:pStyle w:val="BookText"/>
      </w:pPr>
      <w:r>
        <w:rPr>
          <w:rFonts w:ascii="IRNazanin" w:hAnsi="IRNazanin" w:eastAsia="IRNazanin" w:cs="IRNazanin"/>
          <w:lang w:bidi="fa-IR"/>
          <w:color w:val="111111"/>
          <w:sz w:val="28"/>
          <w:szCs w:val="28"/>
          <w:rtl/>
        </w:rPr>
        <w:t xml:space="preserve">قال فی (تش- ص 228) إن اسمه أبو المکارم و من أبناء شیوخ أبهر عراق لا أبهر آذربایجان فعده من شعراء قزوین و قال سکن هرات و مات بها، و له دیوان. و فی (تس 5- ص 115) و فی (نتایج- ص 710) قالا سکن هرات و مات بقندهار فی 938 عن ستین سنة من عمره و کذا فی همیشه بهار.</w:t>
      </w:r>
    </w:p>
    <w:p>
      <w:pPr>
        <w:pStyle w:val="Heading3"/>
      </w:pPr>
      <w:bookmarkStart w:id="10104" w:name="_Toc8800"/>
      <w:r>
        <w:t>7630- دیوان نرگس بخاری دهلوی أو شعره‏</w:t>
      </w:r>
      <w:bookmarkEnd w:id="10104"/>
    </w:p>
    <w:p>
      <w:pPr>
        <w:pStyle w:val="BookText"/>
      </w:pPr>
      <w:r>
        <w:rPr>
          <w:rFonts w:ascii="IRNazanin" w:hAnsi="IRNazanin" w:eastAsia="IRNazanin" w:cs="IRNazanin"/>
          <w:lang w:bidi="fa-IR"/>
          <w:color w:val="111111"/>
          <w:sz w:val="28"/>
          <w:szCs w:val="28"/>
          <w:rtl/>
        </w:rPr>
        <w:t xml:space="preserve">و هو الخواجة نظام الدین محمد بن أحمد بن علی الحسینی البخاری و یعرف بشاه نظام أولیاء جاء جده من بخارا إلی الهند و توطن بلاهور و بدیوان. و ولد نظام الدین بها فی 633 و تلمذ علی فرید الدین گنج شکر و مات 725 و دفن عند مزار أمیر خسرو الدهلوی. ترجم و ورد شعره فی هفت إقلیم‏
</w:t>
      </w:r>
    </w:p>
    <w:p>
      <w:pPr>
        <w:sectPr>
          <w:footerReference w:type="default" r:id="rId1190"/>
          <w:footnotePr>
            <w:numStart w:val="1"/>
            <w:numRestart w:val="eachPage"/>
          </w:footnotePr>
          <w:pgSz w:orient="portrait" w:w="11905.511811023622" w:h="16837.79527559055"/>
          <w:pgMar w:top="1440" w:right="1440" w:bottom="1440" w:left="1440" w:header="720" w:footer="720" w:gutter="0"/>
          <w:cols w:num="1" w:space="720"/>
        </w:sectPr>
      </w:pPr>
    </w:p>
    <w:bookmarkStart w:id="1168" w:name="pg11704_122658"/>
    <w:bookmarkEnd w:id="1168"/>
    <w:p>
      <w:pPr>
        <w:pStyle w:val="BookText"/>
      </w:pPr>
      <w:r>
        <w:rPr>
          <w:rFonts w:ascii="IRNazanin" w:hAnsi="IRNazanin" w:eastAsia="IRNazanin" w:cs="IRNazanin"/>
          <w:lang w:bidi="fa-IR"/>
          <w:color w:val="111111"/>
          <w:sz w:val="28"/>
          <w:szCs w:val="28"/>
          <w:rtl/>
        </w:rPr>
        <w:t xml:space="preserve">و (النفحات- ص 452) و (حسینی- ص 330) و (ض- ص- 149) و (گلشن- 526) و ریحانة الأدب و (مسرت- ص 231).</w:t>
      </w:r>
    </w:p>
    <w:p>
      <w:pPr>
        <w:pStyle w:val="Heading3"/>
      </w:pPr>
      <w:bookmarkStart w:id="10105" w:name="_Toc8801"/>
      <w:r>
        <w:t>7631- دیوان نرگس کاشغری أو شعره‏</w:t>
      </w:r>
      <w:bookmarkEnd w:id="10105"/>
    </w:p>
    <w:p>
      <w:pPr>
        <w:pStyle w:val="BookText"/>
      </w:pPr>
      <w:r>
        <w:rPr>
          <w:rFonts w:ascii="IRNazanin" w:hAnsi="IRNazanin" w:eastAsia="IRNazanin" w:cs="IRNazanin"/>
          <w:lang w:bidi="fa-IR"/>
          <w:color w:val="111111"/>
          <w:sz w:val="28"/>
          <w:szCs w:val="28"/>
          <w:rtl/>
        </w:rPr>
        <w:t xml:space="preserve">الکاشغری المولد و المنشا المراغی کما ترجم فی (دجا- ص 375) عن نگارستان سخن و قال کان یمدح السلطان سنجر المتوفی 552 و فی همیشه بهار أنه کاشی.</w:t>
      </w:r>
    </w:p>
    <w:p>
      <w:pPr>
        <w:pStyle w:val="Heading3"/>
      </w:pPr>
      <w:bookmarkStart w:id="10106" w:name="_Toc8802"/>
      <w:r>
        <w:t>دیوان نرگس هروی‏</w:t>
      </w:r>
      <w:bookmarkEnd w:id="10106"/>
    </w:p>
    <w:p>
      <w:pPr>
        <w:pStyle w:val="BookText"/>
      </w:pPr>
      <w:r>
        <w:rPr>
          <w:rFonts w:ascii="IRNazanin" w:hAnsi="IRNazanin" w:eastAsia="IRNazanin" w:cs="IRNazanin"/>
          <w:lang w:bidi="fa-IR"/>
          <w:color w:val="111111"/>
          <w:sz w:val="28"/>
          <w:szCs w:val="28"/>
          <w:rtl/>
        </w:rPr>
        <w:t xml:space="preserve">کما فی (حسینی- ص 351) مر بتخلصه الثانی آهی هروی فی ص 13 و قد خلط فی ریحانة الأدب بینه و بین نرگس أبهری المذکور فوقا.</w:t>
      </w:r>
    </w:p>
    <w:p>
      <w:pPr>
        <w:pStyle w:val="Heading3"/>
      </w:pPr>
      <w:bookmarkStart w:id="10107" w:name="_Toc8803"/>
      <w:r>
        <w:t>7632- دیوان نزاری أردبیلی أو شعره‏</w:t>
      </w:r>
      <w:bookmarkEnd w:id="10107"/>
    </w:p>
    <w:p>
      <w:pPr>
        <w:pStyle w:val="BookText"/>
      </w:pPr>
      <w:r>
        <w:rPr>
          <w:rFonts w:ascii="IRNazanin" w:hAnsi="IRNazanin" w:eastAsia="IRNazanin" w:cs="IRNazanin"/>
          <w:lang w:bidi="fa-IR"/>
          <w:color w:val="111111"/>
          <w:sz w:val="28"/>
          <w:szCs w:val="28"/>
          <w:rtl/>
        </w:rPr>
        <w:t xml:space="preserve">ورد شعره فی هفت إقلیم.</w:t>
      </w:r>
    </w:p>
    <w:p>
      <w:pPr>
        <w:pStyle w:val="Heading3"/>
      </w:pPr>
      <w:bookmarkStart w:id="10108" w:name="_Toc8804"/>
      <w:r>
        <w:t>7633- دیوان نزاری قهستانی‏</w:t>
      </w:r>
      <w:bookmarkEnd w:id="10108"/>
    </w:p>
    <w:p>
      <w:pPr>
        <w:pStyle w:val="BookText"/>
      </w:pPr>
      <w:r>
        <w:rPr>
          <w:rFonts w:ascii="IRNazanin" w:hAnsi="IRNazanin" w:eastAsia="IRNazanin" w:cs="IRNazanin"/>
          <w:lang w:bidi="fa-IR"/>
          <w:color w:val="111111"/>
          <w:sz w:val="28"/>
          <w:szCs w:val="28"/>
          <w:rtl/>
        </w:rPr>
        <w:t xml:space="preserve">و هو الحکیم سعد الدین البیرجندی المعاصر لسعدی الشیرازی و المتوفی 721 کما فی شاهد صادق و هو إسماعیلی أخذ تخلصه من اسم أحد أئمتهم الذی ینسب إلیه الطائفة النزاریة منهم و إن أنکره دولت شاه فی (لت 4) و قال الجامی: إن</w:t>
      </w:r>
    </w:p>
    <w:p>
      <w:pPr>
        <w:pStyle w:val="BookText"/>
      </w:pPr>
      <w:r>
        <w:rPr>
          <w:rFonts w:ascii="IRNazanin" w:hAnsi="IRNazanin" w:eastAsia="IRNazanin" w:cs="IRNazanin"/>
          <w:lang w:bidi="fa-IR"/>
          <w:color w:val="111111"/>
          <w:sz w:val="28"/>
          <w:szCs w:val="28"/>
          <w:rtl/>
        </w:rPr>
        <w:t xml:space="preserve">الحافظ الشیرازی یتبع النزاری فی شعره. مر له دستورنامه الذی نظمه 7101 و قد طبعه برتلس فی لنینگراد 1923 م. مع مقدمه له بالروسیة. و له منظومة سفرنامه فی أسفاره شرقا و غربا. أوله: [ قل نزاری، قل نزاری، قل هو الله أحد ...] هذا ما نقله آیتی فی (قهستان- ص 198- 207) عن تاریخ حسامی لابن حسام القهستانی المذکور فی ص 20 و نقل قصصا عن مجی‏ء سعدی من شیراز إلی قهستان لزیارة نزاری و قصة قتل ولد نزاری بید غلام لسعدی. و استظهر آیتی أن للحکیم نزاری مثنوی تاریخ ملوک عجم و أورد منه بیتین نقلا عن کتب اللغة و لکن البیتان علی زنة خسرو و شیرین للنظامی و ویس و رامین للگرگانی و لیس علی زنة شاهنامه زنة الحماسیات الفارسیة. ترجم أحوال النزاری فی (تش- ص 101) و (مغول- ص 545) و هفت إقلیم. و (خوش‏گو) و (روشن- ص 661) و (مع 1: 607) و فرهنگ ایران زمین- 6: 178 و أرمغان 18: 561 و کتب مرتضی مجتهدزاده رسالة فی أحواله طبعت بعنوان نسیم بهاری در أحوال نزاری فی 140 ص‏ </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ز هجرت گذشته ده و هفتصد</w:t>
      </w:r>
    </w:p>
    <w:p>
      <w:pPr>
        <w:pStyle w:val="BookText"/>
      </w:pPr>
      <w:r>
        <w:rPr>
          <w:rFonts w:ascii="IRNazanin" w:hAnsi="IRNazanin" w:eastAsia="IRNazanin" w:cs="IRNazanin"/>
          <w:lang w:bidi="fa-IR"/>
          <w:color w:val="111111"/>
          <w:sz w:val="28"/>
          <w:szCs w:val="28"/>
          <w:rtl/>
        </w:rPr>
        <w:t xml:space="preserve">سر سال نو بسته‏ام این رصد</w:t>
      </w:r>
    </w:p>
    <w:p>
      <w:pPr>
        <w:sectPr>
          <w:footerReference w:type="default" r:id="rId1191"/>
          <w:footnotePr>
            <w:numStart w:val="1"/>
            <w:numRestart w:val="eachPage"/>
          </w:footnotePr>
          <w:pgSz w:orient="portrait" w:w="11905.511811023622" w:h="16837.79527559055"/>
          <w:pgMar w:top="1440" w:right="1440" w:bottom="1440" w:left="1440" w:header="720" w:footer="720" w:gutter="0"/>
          <w:cols w:num="1" w:space="720"/>
        </w:sectPr>
      </w:pPr>
    </w:p>
    <w:bookmarkStart w:id="1169" w:name="pg11704_122659"/>
    <w:bookmarkEnd w:id="1169"/>
    <w:p>
      <w:pPr>
        <w:pStyle w:val="BookText"/>
      </w:pPr>
      <w:r>
        <w:rPr>
          <w:rFonts w:ascii="IRNazanin" w:hAnsi="IRNazanin" w:eastAsia="IRNazanin" w:cs="IRNazanin"/>
          <w:lang w:bidi="fa-IR"/>
          <w:color w:val="111111"/>
          <w:sz w:val="28"/>
          <w:szCs w:val="28"/>
          <w:rtl/>
        </w:rPr>
        <w:t xml:space="preserve">فی 1344 و عرفان و تذکره خیر البیان الموجودان عند (فخر الدین) و قد رأی سنگلاخ دیوانه بخط محمد ابریشمی فذکره فی (امتحان 1: 114) و أحسن نسخه و أقدمها هی نسخه رأیتها عند (فخر الدین النصیری- 363) کتبها محمد بن ضیاء الدین دیرفی فی 4 ذی القعدة 714 فی 347 صفحة کل واحدة تشتمل 33 سطرا ذا بیتین و کلها فی حدود اثنین و عشرین ألف بیت و هی علی ثلاثة أقسام: 1- القصائد فی مدیح أمراء قهستان و لعلهم من آل حرب، و منهم شمس الدین علی و شیر افزون، تاج الدین محمد، علاء الدین هند، جلال الدین الوزیر، مجد الدین نیازآبادی، بلغای خاتون آتسز.</w:t>
      </w:r>
    </w:p>
    <w:p>
      <w:pPr>
        <w:pStyle w:val="BookText"/>
      </w:pPr>
      <w:r>
        <w:rPr>
          <w:rFonts w:ascii="IRNazanin" w:hAnsi="IRNazanin" w:eastAsia="IRNazanin" w:cs="IRNazanin"/>
          <w:lang w:bidi="fa-IR"/>
          <w:color w:val="111111"/>
          <w:sz w:val="28"/>
          <w:szCs w:val="28"/>
          <w:rtl/>
        </w:rPr>
        <w:t xml:space="preserve">و أوصاف کشمان و بیرجند و أصفهان و قد کان بها فی 678. 2- مثنوی روز و شب فی المناظرة بینهما فی 550 بیتا نظمها فی 699 کما قال فیها:</w:t>
      </w:r>
    </w:p>
    <w:p>
      <w:pPr>
        <w:pStyle w:val="BookText"/>
      </w:pPr>
      <w:r>
        <w:rPr>
          <w:rFonts w:ascii="IRNazanin" w:hAnsi="IRNazanin" w:eastAsia="IRNazanin" w:cs="IRNazanin"/>
          <w:lang w:bidi="fa-IR"/>
          <w:color w:val="111111"/>
          <w:sz w:val="28"/>
          <w:szCs w:val="28"/>
          <w:rtl/>
        </w:rPr>
        <w:t xml:space="preserve">جشن نوروز بر مبارک فال‏</w:t>
      </w:r>
    </w:p>
    <w:p>
      <w:pPr>
        <w:pStyle w:val="BookText"/>
      </w:pPr>
      <w:r>
        <w:rPr>
          <w:rFonts w:ascii="IRNazanin" w:hAnsi="IRNazanin" w:eastAsia="IRNazanin" w:cs="IRNazanin"/>
          <w:lang w:bidi="fa-IR"/>
          <w:color w:val="111111"/>
          <w:sz w:val="28"/>
          <w:szCs w:val="28"/>
          <w:rtl/>
        </w:rPr>
        <w:t xml:space="preserve">تسع و تسعین و ستمائة از سال‏</w:t>
      </w:r>
    </w:p>
    <w:p>
      <w:pPr>
        <w:pStyle w:val="BookText"/>
      </w:pPr>
      <w:r>
        <w:rPr>
          <w:rFonts w:ascii="IRNazanin" w:hAnsi="IRNazanin" w:eastAsia="IRNazanin" w:cs="IRNazanin"/>
          <w:lang w:bidi="fa-IR"/>
          <w:color w:val="111111"/>
          <w:sz w:val="28"/>
          <w:szCs w:val="28"/>
          <w:rtl/>
        </w:rPr>
        <w:t xml:space="preserve">بیتها جملة پانصد و پنجاه‏</w:t>
      </w:r>
    </w:p>
    <w:p>
      <w:pPr>
        <w:pStyle w:val="BookText"/>
      </w:pPr>
      <w:r>
        <w:rPr>
          <w:rFonts w:ascii="IRNazanin" w:hAnsi="IRNazanin" w:eastAsia="IRNazanin" w:cs="IRNazanin"/>
          <w:lang w:bidi="fa-IR"/>
          <w:color w:val="111111"/>
          <w:sz w:val="28"/>
          <w:szCs w:val="28"/>
          <w:rtl/>
        </w:rPr>
        <w:t xml:space="preserve">چون بروج فلک بر أنجم و ماه‏</w:t>
      </w:r>
    </w:p>
    <w:p>
      <w:pPr>
        <w:pStyle w:val="BookText"/>
      </w:pPr>
      <w:r>
        <w:rPr>
          <w:rFonts w:ascii="IRNazanin" w:hAnsi="IRNazanin" w:eastAsia="IRNazanin" w:cs="IRNazanin"/>
          <w:lang w:bidi="fa-IR"/>
          <w:color w:val="111111"/>
          <w:sz w:val="28"/>
          <w:szCs w:val="28"/>
          <w:rtl/>
        </w:rPr>
        <w:t xml:space="preserve">3- الغزلیات مرتبا علی الحروف و بعضها مؤرخ 693 کتبها لجمال الدین الکاتب فی نهار جان. و النسخة هذه نفیسة جدا، مذهبة، لها 40 لوحا مذهبا، و علیها خط ألغ بیک ابن شاه‏رخ ثم انتقلت بعده إلی أصفهان و صار عند آذر بیگدلی مؤلف آتشکده و بقی فی بیته حتی اشتراه فخر الدین من أحفاده.</w:t>
      </w:r>
    </w:p>
    <w:p>
      <w:pPr>
        <w:pStyle w:val="Heading3"/>
      </w:pPr>
      <w:bookmarkStart w:id="10109" w:name="_Toc8805"/>
      <w:r>
        <w:t>7634- دیوان نزهت أردستانی‏</w:t>
      </w:r>
      <w:bookmarkEnd w:id="10109"/>
    </w:p>
    <w:p>
      <w:pPr>
        <w:pStyle w:val="BookText"/>
      </w:pPr>
      <w:r>
        <w:rPr>
          <w:rFonts w:ascii="IRNazanin" w:hAnsi="IRNazanin" w:eastAsia="IRNazanin" w:cs="IRNazanin"/>
          <w:lang w:bidi="fa-IR"/>
          <w:color w:val="111111"/>
          <w:sz w:val="28"/>
          <w:szCs w:val="28"/>
          <w:rtl/>
        </w:rPr>
        <w:t xml:space="preserve">و هو أبو القاسم بن محمد حسین بن محمد (ملا میرزا) ابن حسین بن محمد بن علی بن ملا رفیع بن ملا ظهیر المهرآبادی الأردستانی الأصفهانی المولود 1323. طبع ألف بیت من شعره فی کتابه آتشکده أردستان المطبوع مجلده الثانی فی 1383 فی تاریخ تلک البلدة. و له شرح کفایة و ره آورد طوس.</w:t>
      </w:r>
    </w:p>
    <w:p>
      <w:pPr>
        <w:pStyle w:val="Heading3"/>
      </w:pPr>
      <w:bookmarkStart w:id="10110" w:name="_Toc8806"/>
      <w:r>
        <w:t>7635- دیوان نزهت أصفهانی أو شعره‏</w:t>
      </w:r>
      <w:bookmarkEnd w:id="10110"/>
    </w:p>
    <w:p>
      <w:pPr>
        <w:pStyle w:val="BookText"/>
      </w:pPr>
      <w:r>
        <w:rPr>
          <w:rFonts w:ascii="IRNazanin" w:hAnsi="IRNazanin" w:eastAsia="IRNazanin" w:cs="IRNazanin"/>
          <w:lang w:bidi="fa-IR"/>
          <w:color w:val="111111"/>
          <w:sz w:val="28"/>
          <w:szCs w:val="28"/>
          <w:rtl/>
        </w:rPr>
        <w:t xml:space="preserve">و هو المیرزا طاهر المولود و المتوفی بأصفهان (1300- 1351)، عدة ألفت فی دانش‏نامه من أعضاء انجمن دانشکده، و المهدوی عده من أعضاء انجمن شیدا. و ترجم فی شعرای معاصر أصفهان- ص 504.</w:t>
      </w:r>
    </w:p>
    <w:p>
      <w:pPr>
        <w:pStyle w:val="Heading3"/>
      </w:pPr>
      <w:bookmarkStart w:id="10111" w:name="_Toc8807"/>
      <w:r>
        <w:t>7636- دیوان نزهت دامغانی أو شعره‏</w:t>
      </w:r>
      <w:bookmarkEnd w:id="10111"/>
    </w:p>
    <w:p>
      <w:pPr>
        <w:pStyle w:val="BookText"/>
      </w:pPr>
      <w:r>
        <w:rPr>
          <w:rFonts w:ascii="IRNazanin" w:hAnsi="IRNazanin" w:eastAsia="IRNazanin" w:cs="IRNazanin"/>
          <w:lang w:bidi="fa-IR"/>
          <w:color w:val="111111"/>
          <w:sz w:val="28"/>
          <w:szCs w:val="28"/>
          <w:rtl/>
        </w:rPr>
        <w:t xml:space="preserve">هو محمد عظیم. ترجمه معاصره النصرآبادی فی (نر 9- ص 428) و (مسرت- ص 54).</w:t>
      </w:r>
    </w:p>
    <w:p>
      <w:pPr>
        <w:pStyle w:val="Heading3"/>
      </w:pPr>
      <w:bookmarkStart w:id="10112" w:name="_Toc8808"/>
      <w:r>
        <w:t>7637- دیوان نزهت کشمیری أو شعره‏</w:t>
      </w:r>
      <w:bookmarkEnd w:id="10112"/>
    </w:p>
    <w:p>
      <w:pPr>
        <w:pStyle w:val="BookText"/>
      </w:pPr>
      <w:r>
        <w:rPr>
          <w:rFonts w:ascii="IRNazanin" w:hAnsi="IRNazanin" w:eastAsia="IRNazanin" w:cs="IRNazanin"/>
          <w:lang w:bidi="fa-IR"/>
          <w:color w:val="111111"/>
          <w:sz w:val="28"/>
          <w:szCs w:val="28"/>
          <w:rtl/>
        </w:rPr>
        <w:t xml:space="preserve">و هو الخواجة نور الله تلمیذ عبد الغنی قبول‏
</w:t>
      </w:r>
    </w:p>
    <w:p>
      <w:pPr>
        <w:sectPr>
          <w:footerReference w:type="default" r:id="rId1192"/>
          <w:footnotePr>
            <w:numStart w:val="1"/>
            <w:numRestart w:val="eachPage"/>
          </w:footnotePr>
          <w:pgSz w:orient="portrait" w:w="11905.511811023622" w:h="16837.79527559055"/>
          <w:pgMar w:top="1440" w:right="1440" w:bottom="1440" w:left="1440" w:header="720" w:footer="720" w:gutter="0"/>
          <w:cols w:num="1" w:space="720"/>
        </w:sectPr>
      </w:pPr>
    </w:p>
    <w:bookmarkStart w:id="1170" w:name="pg11704_122660"/>
    <w:bookmarkEnd w:id="1170"/>
    <w:p>
      <w:pPr>
        <w:pStyle w:val="BookText"/>
      </w:pPr>
      <w:r>
        <w:rPr>
          <w:rFonts w:ascii="IRNazanin" w:hAnsi="IRNazanin" w:eastAsia="IRNazanin" w:cs="IRNazanin"/>
          <w:lang w:bidi="fa-IR"/>
          <w:color w:val="111111"/>
          <w:sz w:val="28"/>
          <w:szCs w:val="28"/>
          <w:rtl/>
        </w:rPr>
        <w:t xml:space="preserve">و قتل فی شبابه فی 1140 کما فی (گلشن- ص 515).</w:t>
      </w:r>
    </w:p>
    <w:p>
      <w:pPr>
        <w:pStyle w:val="Heading3"/>
      </w:pPr>
      <w:bookmarkStart w:id="10113" w:name="_Toc8809"/>
      <w:r>
        <w:t>7638- دیوان نزهت لکهنوی أو شعره‏</w:t>
      </w:r>
      <w:bookmarkEnd w:id="10113"/>
    </w:p>
    <w:p>
      <w:pPr>
        <w:pStyle w:val="BookText"/>
      </w:pPr>
      <w:r>
        <w:rPr>
          <w:rFonts w:ascii="IRNazanin" w:hAnsi="IRNazanin" w:eastAsia="IRNazanin" w:cs="IRNazanin"/>
          <w:lang w:bidi="fa-IR"/>
          <w:color w:val="111111"/>
          <w:sz w:val="28"/>
          <w:szCs w:val="28"/>
          <w:rtl/>
        </w:rPr>
        <w:t xml:space="preserve">و هو برهان الدین سرفراز علی أخ ذو الفقار علی.</w:t>
      </w:r>
    </w:p>
    <w:p>
      <w:pPr>
        <w:pStyle w:val="BookText"/>
      </w:pPr>
      <w:r>
        <w:rPr>
          <w:rFonts w:ascii="IRNazanin" w:hAnsi="IRNazanin" w:eastAsia="IRNazanin" w:cs="IRNazanin"/>
          <w:lang w:bidi="fa-IR"/>
          <w:color w:val="111111"/>
          <w:sz w:val="28"/>
          <w:szCs w:val="28"/>
          <w:rtl/>
        </w:rPr>
        <w:t xml:space="preserve">ورد شعره فی (گلشن- ص 515).</w:t>
      </w:r>
    </w:p>
    <w:p>
      <w:pPr>
        <w:pStyle w:val="Heading3"/>
      </w:pPr>
      <w:bookmarkStart w:id="10114" w:name="_Toc8810"/>
      <w:r>
        <w:t>7639- دیوان نزهتی أو شعره‏</w:t>
      </w:r>
      <w:bookmarkEnd w:id="10114"/>
    </w:p>
    <w:p>
      <w:pPr>
        <w:pStyle w:val="BookText"/>
      </w:pPr>
      <w:r>
        <w:rPr>
          <w:rFonts w:ascii="IRNazanin" w:hAnsi="IRNazanin" w:eastAsia="IRNazanin" w:cs="IRNazanin"/>
          <w:lang w:bidi="fa-IR"/>
          <w:color w:val="111111"/>
          <w:sz w:val="28"/>
          <w:szCs w:val="28"/>
          <w:rtl/>
        </w:rPr>
        <w:t xml:space="preserve">و اسمه ملا ضیائی. ورد شعره فی (گلشن- ص 516) و فی (خوش‏گو) أنه مصاحب ملا أظهری. و فی همیشه بهار نسبه إلی قم.</w:t>
      </w:r>
    </w:p>
    <w:p>
      <w:pPr>
        <w:pStyle w:val="Heading3"/>
      </w:pPr>
      <w:bookmarkStart w:id="10115" w:name="_Toc8811"/>
      <w:r>
        <w:t>7640- دیوان نژاد گرجی أو شعره‏</w:t>
      </w:r>
      <w:bookmarkEnd w:id="10115"/>
    </w:p>
    <w:p>
      <w:pPr>
        <w:pStyle w:val="BookText"/>
      </w:pPr>
      <w:r>
        <w:rPr>
          <w:rFonts w:ascii="IRNazanin" w:hAnsi="IRNazanin" w:eastAsia="IRNazanin" w:cs="IRNazanin"/>
          <w:lang w:bidi="fa-IR"/>
          <w:color w:val="111111"/>
          <w:sz w:val="28"/>
          <w:szCs w:val="28"/>
          <w:rtl/>
        </w:rPr>
        <w:t xml:space="preserve">و اسمه محمد علی خان بن أصلان خان. سافر من إیران سفیرا إلی دهلی و رجع فی عهد محمد شاه. ورد شعره فی (گلشن- ص 515) و ذکر فی تذکره شوشتر- ص 143.</w:t>
      </w:r>
    </w:p>
    <w:p>
      <w:pPr>
        <w:pStyle w:val="Heading3"/>
      </w:pPr>
      <w:bookmarkStart w:id="10116" w:name="_Toc8812"/>
      <w:r>
        <w:t>7641- دیوان نساء نسائی أو شعرها</w:t>
      </w:r>
      <w:bookmarkEnd w:id="10116"/>
    </w:p>
    <w:p>
      <w:pPr>
        <w:pStyle w:val="BookText"/>
      </w:pPr>
      <w:r>
        <w:rPr>
          <w:rFonts w:ascii="IRNazanin" w:hAnsi="IRNazanin" w:eastAsia="IRNazanin" w:cs="IRNazanin"/>
          <w:lang w:bidi="fa-IR"/>
          <w:color w:val="111111"/>
          <w:sz w:val="28"/>
          <w:szCs w:val="28"/>
          <w:rtl/>
        </w:rPr>
        <w:t xml:space="preserve">و اسمها سیدة بیگم فخر النساء، من شاعرات بلدة نسا بخراسان. ورد شعرها فی (خیال- ص 338) و (گلشن- ص 516) و از رابعة تا پروین- ص 255.</w:t>
      </w:r>
    </w:p>
    <w:p>
      <w:pPr>
        <w:pStyle w:val="Heading3"/>
      </w:pPr>
      <w:bookmarkStart w:id="10117" w:name="_Toc8813"/>
      <w:r>
        <w:t>7642- دیوان نسائی‏</w:t>
      </w:r>
      <w:bookmarkEnd w:id="10117"/>
    </w:p>
    <w:p>
      <w:pPr>
        <w:pStyle w:val="BookText"/>
      </w:pPr>
      <w:r>
        <w:rPr>
          <w:rFonts w:ascii="IRNazanin" w:hAnsi="IRNazanin" w:eastAsia="IRNazanin" w:cs="IRNazanin"/>
          <w:lang w:bidi="fa-IR"/>
          <w:color w:val="111111"/>
          <w:sz w:val="28"/>
          <w:szCs w:val="28"/>
          <w:rtl/>
        </w:rPr>
        <w:t xml:space="preserve">و اسمه تاج الدین. طبع له منظومة کارنامه أوقاف بالفارسیة فی 350 بیتا فی مجلة فرهنگ ایران زمین عدد الربیع من سنة 1380 و قد ذم فیها متولی أوقاف خواف.</w:t>
      </w:r>
    </w:p>
    <w:p>
      <w:pPr>
        <w:pStyle w:val="Heading3"/>
      </w:pPr>
      <w:bookmarkStart w:id="10118" w:name="_Toc8814"/>
      <w:r>
        <w:t>7643- دیوان النسب‏</w:t>
      </w:r>
      <w:bookmarkEnd w:id="10118"/>
    </w:p>
    <w:p>
      <w:pPr>
        <w:pStyle w:val="BookText"/>
      </w:pPr>
      <w:r>
        <w:rPr>
          <w:rFonts w:ascii="IRNazanin" w:hAnsi="IRNazanin" w:eastAsia="IRNazanin" w:cs="IRNazanin"/>
          <w:lang w:bidi="fa-IR"/>
          <w:color w:val="111111"/>
          <w:sz w:val="28"/>
          <w:szCs w:val="28"/>
          <w:rtl/>
        </w:rPr>
        <w:t xml:space="preserve">للشریف الفاضل النسابة أبی القاسم علی بن الحسن الرضی ابن محمد بن علی بن أبی جعفر محمد الذی صلی علی جنازة أبیه الشریف المرتضی علم الهدی قال فی عمدة الطالب ص 193 من طبع لکهنو إنه عقب الشریف المرتضی من ولده أبی جعفر محمد و من عقب أبی جعفر محمد هو أبو القاسم علی مؤلف دیوان النسب هذا و کان له ولد اسمه أحمد درج و بانقراضه انقرض الشریف المرتضی و قال السید علی بن طاوس فی کشف المحجة عند وصیته لولده بکتب الأنساب ما لفظه. و منها کتاب دیوان النسب ثلاث مجلدات لیس عند أحد له نسخه و قد تضمن شیئا عظیما من العجائب و المناقب و</w:t>
      </w:r>
    </w:p>
    <w:p>
      <w:pPr>
        <w:pStyle w:val="BookText"/>
      </w:pPr>
      <w:r>
        <w:rPr>
          <w:rFonts w:ascii="IRNazanin" w:hAnsi="IRNazanin" w:eastAsia="IRNazanin" w:cs="IRNazanin"/>
          <w:lang w:bidi="fa-IR"/>
          <w:color w:val="111111"/>
          <w:sz w:val="28"/>
          <w:szCs w:val="28"/>
          <w:rtl/>
        </w:rPr>
        <w:t xml:space="preserve">المثالب فلا تبذله لأحد غیر إخوانک. و حکی سیدنا الحسن فی التکملة عن السید تاج الدین زهرة فی کتابه المختصر عن علی بن أحمد العبیدلی أنه رأی دیوان النسب بالبطائح عند السید رضی الدین علی بن السید الأجل رضی الدین علی بن طاوس و هو فی ثلاث مجلدات 1- لبنی الحسن ع 2- لبنی الحسین ع 3- لباقی‏
</w:t>
      </w:r>
    </w:p>
    <w:p>
      <w:pPr>
        <w:sectPr>
          <w:footerReference w:type="default" r:id="rId1193"/>
          <w:footnotePr>
            <w:numStart w:val="1"/>
            <w:numRestart w:val="eachPage"/>
          </w:footnotePr>
          <w:pgSz w:orient="portrait" w:w="11905.511811023622" w:h="16837.79527559055"/>
          <w:pgMar w:top="1440" w:right="1440" w:bottom="1440" w:left="1440" w:header="720" w:footer="720" w:gutter="0"/>
          <w:cols w:num="1" w:space="720"/>
        </w:sectPr>
      </w:pPr>
    </w:p>
    <w:bookmarkStart w:id="1171" w:name="pg11704_122661"/>
    <w:bookmarkEnd w:id="1171"/>
    <w:p>
      <w:pPr>
        <w:pStyle w:val="BookText"/>
      </w:pPr>
      <w:r>
        <w:rPr>
          <w:rFonts w:ascii="IRNazanin" w:hAnsi="IRNazanin" w:eastAsia="IRNazanin" w:cs="IRNazanin"/>
          <w:lang w:bidi="fa-IR"/>
          <w:color w:val="111111"/>
          <w:sz w:val="28"/>
          <w:szCs w:val="28"/>
          <w:rtl/>
        </w:rPr>
        <w:t xml:space="preserve">بنی أبی طالب و بنی العباس، و کان مصنفه أوصی بأن یلقی فی الدجلة لعدم وثوقه بما أودعه فیه من الاخبار، و لکن اشتراه السید علی بن طاوس بمائة دینار و انتقل منه إلی ولده محمد و منه إلی أخیه رضی الدین علی. و قال فی العمدة إن مؤلفه أطلق قلمه و وضع لسانه حیث شاء و تفرد بما لم یذکره أحد سواه و حکی عن شیخه السید تاج الدین بن معیة ما نقله عن النسابة السید علی بن عبد الحمید بن فخار الموسوی أن مصنفه تفرد بالطعن علی نیف و سبعین بیتا من بیوت العلویین لم یوافقه علی ذلک أحد.</w:t>
      </w:r>
    </w:p>
    <w:p>
      <w:pPr>
        <w:pStyle w:val="Heading3"/>
      </w:pPr>
      <w:bookmarkStart w:id="10119" w:name="_Toc8815"/>
      <w:r>
        <w:t>7644- دیوان نسبت شوشتری أو شعره‏</w:t>
      </w:r>
      <w:bookmarkEnd w:id="10119"/>
    </w:p>
    <w:p>
      <w:pPr>
        <w:pStyle w:val="BookText"/>
      </w:pPr>
      <w:r>
        <w:rPr>
          <w:rFonts w:ascii="IRNazanin" w:hAnsi="IRNazanin" w:eastAsia="IRNazanin" w:cs="IRNazanin"/>
          <w:lang w:bidi="fa-IR"/>
          <w:color w:val="111111"/>
          <w:sz w:val="28"/>
          <w:szCs w:val="28"/>
          <w:rtl/>
        </w:rPr>
        <w:t xml:space="preserve">ورد شعره فی (نر 9- ص 356) و (خوش‏گو).</w:t>
      </w:r>
    </w:p>
    <w:p>
      <w:pPr>
        <w:pStyle w:val="Heading3"/>
      </w:pPr>
      <w:bookmarkStart w:id="10120" w:name="_Toc8816"/>
      <w:r>
        <w:t>دیوان نسبت کلو</w:t>
      </w:r>
      <w:bookmarkEnd w:id="10120"/>
    </w:p>
    <w:p>
      <w:pPr>
        <w:pStyle w:val="BookText"/>
      </w:pPr>
      <w:r>
        <w:rPr>
          <w:rFonts w:ascii="IRNazanin" w:hAnsi="IRNazanin" w:eastAsia="IRNazanin" w:cs="IRNazanin"/>
          <w:lang w:bidi="fa-IR"/>
          <w:color w:val="111111"/>
          <w:sz w:val="28"/>
          <w:szCs w:val="28"/>
          <w:rtl/>
        </w:rPr>
        <w:t xml:space="preserve">راجع نسبت نیریزی.</w:t>
      </w:r>
    </w:p>
    <w:p>
      <w:pPr>
        <w:pStyle w:val="Heading3"/>
      </w:pPr>
      <w:bookmarkStart w:id="10121" w:name="_Toc8817"/>
      <w:r>
        <w:t>7645- دیوان نیریزی‏</w:t>
      </w:r>
      <w:bookmarkEnd w:id="10121"/>
    </w:p>
    <w:p>
      <w:pPr>
        <w:pStyle w:val="BookText"/>
      </w:pPr>
      <w:r>
        <w:rPr>
          <w:rFonts w:ascii="IRNazanin" w:hAnsi="IRNazanin" w:eastAsia="IRNazanin" w:cs="IRNazanin"/>
          <w:lang w:bidi="fa-IR"/>
          <w:color w:val="111111"/>
          <w:sz w:val="28"/>
          <w:szCs w:val="28"/>
          <w:rtl/>
        </w:rPr>
        <w:t xml:space="preserve">و اسمه مؤمن کلو من نیریز بفارس، کان برهة فی أصفهان و سافر إلی الهند و رجع بعد الحج ثم سافر ثانیا إلی الهند و بها مات فجاءوا من ترکته ألف تومان إلی أصفهان، کذا فی (نر 9- ص 386) قال و له شعر کثیر، و کذا فی (خوش‏گو) و (حسینی- ص 353).</w:t>
      </w:r>
    </w:p>
    <w:p>
      <w:pPr>
        <w:pStyle w:val="Heading3"/>
      </w:pPr>
      <w:bookmarkStart w:id="10122" w:name="_Toc8818"/>
      <w:r>
        <w:t>7646- دیوان نسبتی تانی‏سری أو شعره‏</w:t>
      </w:r>
      <w:bookmarkEnd w:id="10122"/>
    </w:p>
    <w:p>
      <w:pPr>
        <w:pStyle w:val="BookText"/>
      </w:pPr>
      <w:r>
        <w:rPr>
          <w:rFonts w:ascii="IRNazanin" w:hAnsi="IRNazanin" w:eastAsia="IRNazanin" w:cs="IRNazanin"/>
          <w:lang w:bidi="fa-IR"/>
          <w:color w:val="111111"/>
          <w:sz w:val="28"/>
          <w:szCs w:val="28"/>
          <w:rtl/>
        </w:rPr>
        <w:t xml:space="preserve">من أعمال لاهو و قبره بها معتکف لمریدیه.</w:t>
      </w:r>
    </w:p>
    <w:p>
      <w:pPr>
        <w:pStyle w:val="BookText"/>
      </w:pPr>
      <w:r>
        <w:rPr>
          <w:rFonts w:ascii="IRNazanin" w:hAnsi="IRNazanin" w:eastAsia="IRNazanin" w:cs="IRNazanin"/>
          <w:lang w:bidi="fa-IR"/>
          <w:color w:val="111111"/>
          <w:sz w:val="28"/>
          <w:szCs w:val="28"/>
          <w:rtl/>
        </w:rPr>
        <w:t xml:space="preserve">و اسمه شاه محمد صالح. ترجمه معاصره فی (نر 11- ص 448) و (سرخوش- ص 118) و (حسینی- ص 351) و (نتایج- ص 720) و (خوش‏گو) و (روشن- ص 692) و (مسرت- ص 183).</w:t>
      </w:r>
    </w:p>
    <w:p>
      <w:pPr>
        <w:pStyle w:val="Heading3"/>
      </w:pPr>
      <w:bookmarkStart w:id="10123" w:name="_Toc8819"/>
      <w:r>
        <w:t>7647- دیوان نسبتی مشهدی‏</w:t>
      </w:r>
      <w:bookmarkEnd w:id="10123"/>
    </w:p>
    <w:p>
      <w:pPr>
        <w:pStyle w:val="BookText"/>
      </w:pPr>
      <w:r>
        <w:rPr>
          <w:rFonts w:ascii="IRNazanin" w:hAnsi="IRNazanin" w:eastAsia="IRNazanin" w:cs="IRNazanin"/>
          <w:lang w:bidi="fa-IR"/>
          <w:color w:val="111111"/>
          <w:sz w:val="28"/>
          <w:szCs w:val="28"/>
          <w:rtl/>
        </w:rPr>
        <w:t xml:space="preserve">ترجمه معاصره فی (خص 8- ص 200) و ذکر أنه شاب و ترجم فی (مطلع 2: 448) و (تش- ص 95).</w:t>
      </w:r>
    </w:p>
    <w:p>
      <w:pPr>
        <w:pStyle w:val="Heading3"/>
      </w:pPr>
      <w:bookmarkStart w:id="10124" w:name="_Toc8820"/>
      <w:r>
        <w:t>دیوان النسفی‏</w:t>
      </w:r>
      <w:bookmarkEnd w:id="10124"/>
    </w:p>
    <w:p>
      <w:pPr>
        <w:pStyle w:val="BookText"/>
      </w:pPr>
      <w:r>
        <w:rPr>
          <w:rFonts w:ascii="IRNazanin" w:hAnsi="IRNazanin" w:eastAsia="IRNazanin" w:cs="IRNazanin"/>
          <w:lang w:bidi="fa-IR"/>
          <w:color w:val="111111"/>
          <w:sz w:val="28"/>
          <w:szCs w:val="28"/>
          <w:rtl/>
        </w:rPr>
        <w:t xml:space="preserve">راجع عزیز الدین فی ص 718.</w:t>
      </w:r>
    </w:p>
    <w:p>
      <w:pPr>
        <w:pStyle w:val="Heading3"/>
      </w:pPr>
      <w:bookmarkStart w:id="10125" w:name="_Toc8821"/>
      <w:r>
        <w:t>7648- دیوان نسودی تبریزی‏</w:t>
      </w:r>
      <w:bookmarkEnd w:id="10125"/>
    </w:p>
    <w:p>
      <w:pPr>
        <w:pStyle w:val="BookText"/>
      </w:pPr>
      <w:r>
        <w:rPr>
          <w:rFonts w:ascii="IRNazanin" w:hAnsi="IRNazanin" w:eastAsia="IRNazanin" w:cs="IRNazanin"/>
          <w:lang w:bidi="fa-IR"/>
          <w:color w:val="111111"/>
          <w:sz w:val="28"/>
          <w:szCs w:val="28"/>
          <w:rtl/>
        </w:rPr>
        <w:t xml:space="preserve">السید مهدی المعاصر. طبع له منظومة نوروزنامه فی 1308 ش. فی 27 ص فی مطبعة الأدب بخوی.</w:t>
      </w:r>
    </w:p>
    <w:p>
      <w:pPr>
        <w:pStyle w:val="Heading3"/>
      </w:pPr>
      <w:bookmarkStart w:id="10126" w:name="_Toc8822"/>
      <w:r>
        <w:t>7649- دیوان نسیم أردکانی‏</w:t>
      </w:r>
      <w:bookmarkEnd w:id="10126"/>
    </w:p>
    <w:p>
      <w:pPr>
        <w:pStyle w:val="BookText"/>
      </w:pPr>
      <w:r>
        <w:rPr>
          <w:rFonts w:ascii="IRNazanin" w:hAnsi="IRNazanin" w:eastAsia="IRNazanin" w:cs="IRNazanin"/>
          <w:lang w:bidi="fa-IR"/>
          <w:color w:val="111111"/>
          <w:sz w:val="28"/>
          <w:szCs w:val="28"/>
          <w:rtl/>
        </w:rPr>
        <w:t xml:space="preserve">و اسمه علی صدارت ابن الحاج الشیخ محمد المجتهد.</w:t>
      </w:r>
    </w:p>
    <w:p>
      <w:pPr>
        <w:pStyle w:val="BookText"/>
      </w:pPr>
      <w:r>
        <w:rPr>
          <w:rFonts w:ascii="IRNazanin" w:hAnsi="IRNazanin" w:eastAsia="IRNazanin" w:cs="IRNazanin"/>
          <w:lang w:bidi="fa-IR"/>
          <w:color w:val="111111"/>
          <w:sz w:val="28"/>
          <w:szCs w:val="28"/>
          <w:rtl/>
        </w:rPr>
        <w:t xml:space="preserve">ولد بأردکان 1329 و طبع أشعاره بشیراز بعنوان ترانه‏های نسیم فی 1360. ترجم فی سخنوران نامی معاصر- ج 1 ص 227 و (تش یز- ص 335) و کنگره نویسندگان- ص 190.
</w:t>
      </w:r>
    </w:p>
    <w:p>
      <w:pPr>
        <w:sectPr>
          <w:footerReference w:type="default" r:id="rId1194"/>
          <w:footnotePr>
            <w:numStart w:val="1"/>
            <w:numRestart w:val="eachPage"/>
          </w:footnotePr>
          <w:pgSz w:orient="portrait" w:w="11905.511811023622" w:h="16837.79527559055"/>
          <w:pgMar w:top="1440" w:right="1440" w:bottom="1440" w:left="1440" w:header="720" w:footer="720" w:gutter="0"/>
          <w:cols w:num="1" w:space="720"/>
        </w:sectPr>
      </w:pPr>
    </w:p>
    <w:bookmarkStart w:id="1172" w:name="pg11704_122662"/>
    <w:bookmarkEnd w:id="1172"/>
    <w:p>
      <w:pPr>
        <w:pStyle w:val="Heading3"/>
      </w:pPr>
      <w:bookmarkStart w:id="10127" w:name="_Toc8823"/>
      <w:r>
        <w:t>7650- دیوان نسیم أمروهی‏</w:t>
      </w:r>
      <w:bookmarkEnd w:id="10127"/>
    </w:p>
    <w:p>
      <w:pPr>
        <w:pStyle w:val="BookText"/>
      </w:pPr>
      <w:r>
        <w:rPr>
          <w:rFonts w:ascii="IRNazanin" w:hAnsi="IRNazanin" w:eastAsia="IRNazanin" w:cs="IRNazanin"/>
          <w:lang w:bidi="fa-IR"/>
          <w:color w:val="111111"/>
          <w:sz w:val="28"/>
          <w:szCs w:val="28"/>
          <w:rtl/>
        </w:rPr>
        <w:t xml:space="preserve">و اسمه میر غلام نبی الدهلوی، و کان ینسب إلی عبد القادر الجیلانی. توطن بخداآباد، و مات مخبلا فی عهد محمد شاه الهندی. ترجم فی (گلشن- ص 516) و مقالات الشعراء- ص 813. و طبع مراثیه للحسین فی مجموعة واقعات کربلاء بعنوان واقعات ملا نسیم بنولکشور 1307. و جاء شعر نسیم فی (مسرت- ص 100).</w:t>
      </w:r>
    </w:p>
    <w:p>
      <w:pPr>
        <w:pStyle w:val="Heading3"/>
      </w:pPr>
      <w:bookmarkStart w:id="10128" w:name="_Toc8824"/>
      <w:r>
        <w:t>7651- دیوان نسیم دستگردی‏</w:t>
      </w:r>
      <w:bookmarkEnd w:id="10128"/>
    </w:p>
    <w:p>
      <w:pPr>
        <w:pStyle w:val="BookText"/>
      </w:pPr>
      <w:r>
        <w:rPr>
          <w:rFonts w:ascii="IRNazanin" w:hAnsi="IRNazanin" w:eastAsia="IRNazanin" w:cs="IRNazanin"/>
          <w:lang w:bidi="fa-IR"/>
          <w:color w:val="111111"/>
          <w:sz w:val="28"/>
          <w:szCs w:val="28"/>
          <w:rtl/>
        </w:rPr>
        <w:t xml:space="preserve">و اسمه محمود وحیدزاده ابن حسن وحید الآتی بن قاسم. ولد بدستگرد أصفهان فی 1324 و بعد وفاة والده قام بنشر مجلته أرمغان حتی الیوم. ترجم فی شعرای معاصر أصفهان- ص 507.</w:t>
      </w:r>
    </w:p>
    <w:p>
      <w:pPr>
        <w:pStyle w:val="Heading3"/>
      </w:pPr>
      <w:bookmarkStart w:id="10129" w:name="_Toc8825"/>
      <w:r>
        <w:t>دیوان نسیم دهلوی‏</w:t>
      </w:r>
      <w:bookmarkEnd w:id="10129"/>
    </w:p>
    <w:p>
      <w:pPr>
        <w:pStyle w:val="BookText"/>
      </w:pPr>
      <w:r>
        <w:rPr>
          <w:rFonts w:ascii="IRNazanin" w:hAnsi="IRNazanin" w:eastAsia="IRNazanin" w:cs="IRNazanin"/>
          <w:lang w:bidi="fa-IR"/>
          <w:color w:val="111111"/>
          <w:sz w:val="28"/>
          <w:szCs w:val="28"/>
          <w:rtl/>
        </w:rPr>
        <w:t xml:space="preserve">راجع نسیم أمروهی.</w:t>
      </w:r>
    </w:p>
    <w:p>
      <w:pPr>
        <w:pStyle w:val="Heading3"/>
      </w:pPr>
      <w:bookmarkStart w:id="10130" w:name="_Toc8826"/>
      <w:r>
        <w:t>دیوان نسیم رشتی‏</w:t>
      </w:r>
      <w:bookmarkEnd w:id="10130"/>
    </w:p>
    <w:p>
      <w:pPr>
        <w:pStyle w:val="BookText"/>
      </w:pPr>
      <w:r>
        <w:rPr>
          <w:rFonts w:ascii="IRNazanin" w:hAnsi="IRNazanin" w:eastAsia="IRNazanin" w:cs="IRNazanin"/>
          <w:lang w:bidi="fa-IR"/>
          <w:color w:val="111111"/>
          <w:sz w:val="28"/>
          <w:szCs w:val="28"/>
          <w:rtl/>
        </w:rPr>
        <w:t xml:space="preserve">راجع نسیم شمال.</w:t>
      </w:r>
    </w:p>
    <w:p>
      <w:pPr>
        <w:pStyle w:val="Heading3"/>
      </w:pPr>
      <w:bookmarkStart w:id="10131" w:name="_Toc8827"/>
      <w:r>
        <w:t>7652- دیوان نسیم شاملو أو شعره‏</w:t>
      </w:r>
      <w:bookmarkEnd w:id="10131"/>
    </w:p>
    <w:p>
      <w:pPr>
        <w:pStyle w:val="BookText"/>
      </w:pPr>
      <w:r>
        <w:rPr>
          <w:rFonts w:ascii="IRNazanin" w:hAnsi="IRNazanin" w:eastAsia="IRNazanin" w:cs="IRNazanin"/>
          <w:lang w:bidi="fa-IR"/>
          <w:color w:val="111111"/>
          <w:sz w:val="28"/>
          <w:szCs w:val="28"/>
          <w:rtl/>
        </w:rPr>
        <w:t xml:space="preserve">و اسمه بداق بیگ. ورد شعره فی (خوش‏گو) و (نر 2- ص 43) و (روشن- ص 694).</w:t>
      </w:r>
    </w:p>
    <w:p>
      <w:pPr>
        <w:pStyle w:val="Heading3"/>
      </w:pPr>
      <w:bookmarkStart w:id="10132" w:name="_Toc8828"/>
      <w:r>
        <w:t>7653- دیوان نسیم شاه‏جهان‏آبادی أو شعره‏</w:t>
      </w:r>
      <w:bookmarkEnd w:id="10132"/>
    </w:p>
    <w:p>
      <w:pPr>
        <w:pStyle w:val="BookText"/>
      </w:pPr>
      <w:r>
        <w:rPr>
          <w:rFonts w:ascii="IRNazanin" w:hAnsi="IRNazanin" w:eastAsia="IRNazanin" w:cs="IRNazanin"/>
          <w:lang w:bidi="fa-IR"/>
          <w:color w:val="111111"/>
          <w:sz w:val="28"/>
          <w:szCs w:val="28"/>
          <w:rtl/>
        </w:rPr>
        <w:t xml:space="preserve">و اسمه أصغر علی خان. ورد شعره فی (گلشن- ص 516).</w:t>
      </w:r>
    </w:p>
    <w:p>
      <w:pPr>
        <w:pStyle w:val="Heading3"/>
      </w:pPr>
      <w:bookmarkStart w:id="10133" w:name="_Toc8829"/>
      <w:r>
        <w:t>7654- دیوان نسیم شمال‏</w:t>
      </w:r>
      <w:bookmarkEnd w:id="10133"/>
    </w:p>
    <w:p>
      <w:pPr>
        <w:pStyle w:val="BookText"/>
      </w:pPr>
      <w:r>
        <w:rPr>
          <w:rFonts w:ascii="IRNazanin" w:hAnsi="IRNazanin" w:eastAsia="IRNazanin" w:cs="IRNazanin"/>
          <w:lang w:bidi="fa-IR"/>
          <w:color w:val="111111"/>
          <w:sz w:val="28"/>
          <w:szCs w:val="28"/>
          <w:rtl/>
        </w:rPr>
        <w:t xml:space="preserve">و هو السید أشرف الدین الحسینی ابن السید أحمد القزوینی.</w:t>
      </w:r>
    </w:p>
    <w:p>
      <w:pPr>
        <w:pStyle w:val="BookText"/>
      </w:pPr>
      <w:r>
        <w:rPr>
          <w:rFonts w:ascii="IRNazanin" w:hAnsi="IRNazanin" w:eastAsia="IRNazanin" w:cs="IRNazanin"/>
          <w:lang w:bidi="fa-IR"/>
          <w:color w:val="111111"/>
          <w:sz w:val="28"/>
          <w:szCs w:val="28"/>
          <w:rtl/>
        </w:rPr>
        <w:t xml:space="preserve">ولد برشت 1288 و سافر إلی العراق فی 1300 و رجع فی 1305 إلی آذربایجان و فی 1325 فی عهد الدستور الأول نشر جریدة نسیم شمال فی رشت، ثم جاء مع سپهدار إلی طهران فاتحا، و نشر الجریدة بطهران إلی العهد الپهلوی فلم یتمکن من الإدامة فانزوی فی مدرسة الصدر و مات فی 1353 فنشر الجریدة بعده ح حریرچیان.</w:t>
      </w:r>
    </w:p>
    <w:p>
      <w:pPr>
        <w:pStyle w:val="BookText"/>
      </w:pPr>
      <w:r>
        <w:rPr>
          <w:rFonts w:ascii="IRNazanin" w:hAnsi="IRNazanin" w:eastAsia="IRNazanin" w:cs="IRNazanin"/>
          <w:lang w:bidi="fa-IR"/>
          <w:color w:val="111111"/>
          <w:sz w:val="28"/>
          <w:szCs w:val="28"/>
          <w:rtl/>
        </w:rPr>
        <w:t xml:space="preserve">طبع له منظومات عزیز و غزال و ظهور إمام و تاریخ إیران و باغ بهشت و نسیم شمال و نهضت بانوان و ارفع نامه و طبع المجلد الأول من دیوانه فی بمبئی للمرة الثالثة فی 1348 فی 304 ص. و المجلد الثانی طبع 1346 بها فی 320 ص. ترجم أحواله فی تاریخ جرائد- 4: 295 و سخنوران نامی معاصر 2: 250.</w:t>
      </w:r>
    </w:p>
    <w:p>
      <w:pPr>
        <w:pStyle w:val="Heading3"/>
      </w:pPr>
      <w:bookmarkStart w:id="10134" w:name="_Toc8830"/>
      <w:r>
        <w:t>7655- دیوان نسیم غازی‏پوری أو شعره‏</w:t>
      </w:r>
      <w:bookmarkEnd w:id="10134"/>
    </w:p>
    <w:p>
      <w:pPr>
        <w:pStyle w:val="BookText"/>
      </w:pPr>
      <w:r>
        <w:rPr>
          <w:rFonts w:ascii="IRNazanin" w:hAnsi="IRNazanin" w:eastAsia="IRNazanin" w:cs="IRNazanin"/>
          <w:lang w:bidi="fa-IR"/>
          <w:color w:val="111111"/>
          <w:sz w:val="28"/>
          <w:szCs w:val="28"/>
          <w:rtl/>
        </w:rPr>
        <w:t xml:space="preserve">و اسمه محمد ماه من قصبة سرونی. و لما
</w:t>
      </w:r>
    </w:p>
    <w:p>
      <w:pPr>
        <w:sectPr>
          <w:footerReference w:type="default" r:id="rId1195"/>
          <w:footnotePr>
            <w:numStart w:val="1"/>
            <w:numRestart w:val="eachPage"/>
          </w:footnotePr>
          <w:pgSz w:orient="portrait" w:w="11905.511811023622" w:h="16837.79527559055"/>
          <w:pgMar w:top="1440" w:right="1440" w:bottom="1440" w:left="1440" w:header="720" w:footer="720" w:gutter="0"/>
          <w:cols w:num="1" w:space="720"/>
        </w:sectPr>
      </w:pPr>
    </w:p>
    <w:bookmarkStart w:id="1173" w:name="pg11704_122663"/>
    <w:bookmarkEnd w:id="1173"/>
    <w:p>
      <w:pPr>
        <w:pStyle w:val="BookText"/>
      </w:pPr>
      <w:r>
        <w:rPr>
          <w:rFonts w:ascii="IRNazanin" w:hAnsi="IRNazanin" w:eastAsia="IRNazanin" w:cs="IRNazanin"/>
          <w:lang w:bidi="fa-IR"/>
          <w:color w:val="111111"/>
          <w:sz w:val="28"/>
          <w:szCs w:val="28"/>
          <w:rtl/>
        </w:rPr>
        <w:t xml:space="preserve">تلمذ علی محمد فاخر زائر بدل تخلصه إلی زوار کما ذکر فی (روشن- ص 272).</w:t>
      </w:r>
    </w:p>
    <w:p>
      <w:pPr>
        <w:pStyle w:val="Heading3"/>
      </w:pPr>
      <w:bookmarkStart w:id="10135" w:name="_Toc8831"/>
      <w:r>
        <w:t>دیوان نسیم یزدی‏</w:t>
      </w:r>
      <w:bookmarkEnd w:id="10135"/>
    </w:p>
    <w:p>
      <w:pPr>
        <w:pStyle w:val="BookText"/>
      </w:pPr>
      <w:r>
        <w:rPr>
          <w:rFonts w:ascii="IRNazanin" w:hAnsi="IRNazanin" w:eastAsia="IRNazanin" w:cs="IRNazanin"/>
          <w:lang w:bidi="fa-IR"/>
          <w:color w:val="111111"/>
          <w:sz w:val="28"/>
          <w:szCs w:val="28"/>
          <w:rtl/>
        </w:rPr>
        <w:t xml:space="preserve">راجع نسیم أردکانی.</w:t>
      </w:r>
    </w:p>
    <w:p>
      <w:pPr>
        <w:pStyle w:val="Heading3"/>
      </w:pPr>
      <w:bookmarkStart w:id="10136" w:name="_Toc8832"/>
      <w:r>
        <w:t>دیوان نسیمی بغدادی‏</w:t>
      </w:r>
      <w:bookmarkEnd w:id="10136"/>
    </w:p>
    <w:p>
      <w:pPr>
        <w:pStyle w:val="BookText"/>
      </w:pPr>
      <w:r>
        <w:rPr>
          <w:rFonts w:ascii="IRNazanin" w:hAnsi="IRNazanin" w:eastAsia="IRNazanin" w:cs="IRNazanin"/>
          <w:lang w:bidi="fa-IR"/>
          <w:color w:val="111111"/>
          <w:sz w:val="28"/>
          <w:szCs w:val="28"/>
          <w:rtl/>
        </w:rPr>
        <w:t xml:space="preserve">راجع نسیمی شیرازی.</w:t>
      </w:r>
    </w:p>
    <w:p>
      <w:pPr>
        <w:pStyle w:val="Heading3"/>
      </w:pPr>
      <w:bookmarkStart w:id="10137" w:name="_Toc8833"/>
      <w:r>
        <w:t>دیوان نسیمی ترک‏</w:t>
      </w:r>
      <w:bookmarkEnd w:id="10137"/>
    </w:p>
    <w:p>
      <w:pPr>
        <w:pStyle w:val="BookText"/>
      </w:pPr>
      <w:r>
        <w:rPr>
          <w:rFonts w:ascii="IRNazanin" w:hAnsi="IRNazanin" w:eastAsia="IRNazanin" w:cs="IRNazanin"/>
          <w:lang w:bidi="fa-IR"/>
          <w:color w:val="111111"/>
          <w:sz w:val="28"/>
          <w:szCs w:val="28"/>
          <w:rtl/>
        </w:rPr>
        <w:t xml:space="preserve">راجع نسیمی شیرازی.</w:t>
      </w:r>
    </w:p>
    <w:p>
      <w:pPr>
        <w:pStyle w:val="Heading3"/>
      </w:pPr>
      <w:bookmarkStart w:id="10138" w:name="_Toc8834"/>
      <w:r>
        <w:t>7656- دیوان نسیمی شیرازی‏</w:t>
      </w:r>
      <w:bookmarkEnd w:id="10138"/>
    </w:p>
    <w:p>
      <w:pPr>
        <w:pStyle w:val="BookText"/>
      </w:pPr>
      <w:r>
        <w:rPr>
          <w:rFonts w:ascii="IRNazanin" w:hAnsi="IRNazanin" w:eastAsia="IRNazanin" w:cs="IRNazanin"/>
          <w:lang w:bidi="fa-IR"/>
          <w:color w:val="111111"/>
          <w:sz w:val="28"/>
          <w:szCs w:val="28"/>
          <w:rtl/>
        </w:rPr>
        <w:t xml:space="preserve">و هو السید عماد الدین البغدادی الترک الحروفی من مریدی فضل الله نعیمی الأسترآبادی و من رؤسائهم المقتول بشیراز صلیبا فی 837 و قبره فی زرقان شیراز کما فی حاشیة آثار عجم و قد رأی دیوان مثنویاته سنگلاخ بخط قاسم شادی شاه فذکره فی (امتحان- 1: 115) و یوجد عند (فخر الدین- ص 330) و طبع بأستانبول 1298 و ترجم فی (ض- ص 402) و الکاکائیة فی التاریخ- ص 53 و (فارس‏نامه 2: 151) و المستر براون 3: 54 و (عشاق- ص 163) و العراق بین الاحتلالین 2: 251. و قیل إنه بعد قتل فضل الله الأسترآبادی فی 796 فر إلی حلب و قتل بها.</w:t>
      </w:r>
    </w:p>
    <w:p>
      <w:pPr>
        <w:pStyle w:val="Heading3"/>
      </w:pPr>
      <w:bookmarkStart w:id="10139" w:name="_Toc8835"/>
      <w:r>
        <w:t>7657- دیوان نسیمی فرخاری أو شعره‏</w:t>
      </w:r>
      <w:bookmarkEnd w:id="10139"/>
    </w:p>
    <w:p>
      <w:pPr>
        <w:pStyle w:val="BookText"/>
      </w:pPr>
      <w:r>
        <w:rPr>
          <w:rFonts w:ascii="IRNazanin" w:hAnsi="IRNazanin" w:eastAsia="IRNazanin" w:cs="IRNazanin"/>
          <w:lang w:bidi="fa-IR"/>
          <w:color w:val="111111"/>
          <w:sz w:val="28"/>
          <w:szCs w:val="28"/>
          <w:rtl/>
        </w:rPr>
        <w:t xml:space="preserve">ترجمه معاصره فی (مجتس 3- ص 145) و أورد شعره.</w:t>
      </w:r>
    </w:p>
    <w:p>
      <w:pPr>
        <w:pStyle w:val="Heading3"/>
      </w:pPr>
      <w:bookmarkStart w:id="10140" w:name="_Toc8836"/>
      <w:r>
        <w:t>دیوان نسیمی نیشابوری‏</w:t>
      </w:r>
      <w:bookmarkEnd w:id="10140"/>
    </w:p>
    <w:p>
      <w:pPr>
        <w:pStyle w:val="BookText"/>
      </w:pPr>
      <w:r>
        <w:rPr>
          <w:rFonts w:ascii="IRNazanin" w:hAnsi="IRNazanin" w:eastAsia="IRNazanin" w:cs="IRNazanin"/>
          <w:lang w:bidi="fa-IR"/>
          <w:color w:val="111111"/>
          <w:sz w:val="28"/>
          <w:szCs w:val="28"/>
          <w:rtl/>
        </w:rPr>
        <w:t xml:space="preserve">کان معلما مذهبا خطاطا، قال دولت شاه فی (لت 5) فی أحوال جلال طبیب إن نسیمی هذا کان یکتب فی الشهر الواحد عشرین نسخه من منظومة گل و نوروز للأطفال. و جاء شعره فی (مسرت- ص 517) و عنهما أخذ فی القاموس الترکی و فهرس سپهسالار 2: 659 لکن الظاهر أنه تصحیف سیمی نیشابوری المذکور فی ص 488 و فصلناه فی حاشیة ص 896.</w:t>
      </w:r>
    </w:p>
    <w:p>
      <w:pPr>
        <w:pStyle w:val="Heading3"/>
      </w:pPr>
      <w:bookmarkStart w:id="10141" w:name="_Toc8837"/>
      <w:r>
        <w:t>7658- دیوان نسیمی هروی‏</w:t>
      </w:r>
      <w:bookmarkEnd w:id="10141"/>
    </w:p>
    <w:p>
      <w:pPr>
        <w:pStyle w:val="BookText"/>
      </w:pPr>
      <w:r>
        <w:rPr>
          <w:rFonts w:ascii="IRNazanin" w:hAnsi="IRNazanin" w:eastAsia="IRNazanin" w:cs="IRNazanin"/>
          <w:lang w:bidi="fa-IR"/>
          <w:color w:val="111111"/>
          <w:sz w:val="28"/>
          <w:szCs w:val="28"/>
          <w:rtl/>
        </w:rPr>
        <w:t xml:space="preserve">کان رمالا نقل فی (گلشن- ص 517) عن دیوانه و لعله أراد الشیرازی. و فی همیشه بهار شاعر اسمه نسیمی قزوینی.</w:t>
      </w:r>
    </w:p>
    <w:p>
      <w:pPr>
        <w:pStyle w:val="Heading3"/>
      </w:pPr>
      <w:bookmarkStart w:id="10142" w:name="_Toc8838"/>
      <w:r>
        <w:t>7659- دیوان نسیمی همدانی أو شعره‏</w:t>
      </w:r>
      <w:bookmarkEnd w:id="10142"/>
    </w:p>
    <w:p>
      <w:pPr>
        <w:pStyle w:val="BookText"/>
      </w:pPr>
      <w:r>
        <w:rPr>
          <w:rFonts w:ascii="IRNazanin" w:hAnsi="IRNazanin" w:eastAsia="IRNazanin" w:cs="IRNazanin"/>
          <w:lang w:bidi="fa-IR"/>
          <w:color w:val="111111"/>
          <w:sz w:val="28"/>
          <w:szCs w:val="28"/>
          <w:rtl/>
        </w:rPr>
        <w:t xml:space="preserve">و اسمه أبو القاسم أورد غزله ألفت فی دانش‏نامه المطبوع 1342 و عده من أعضاء انجمن دانش بها.</w:t>
      </w:r>
    </w:p>
    <w:p>
      <w:pPr>
        <w:pStyle w:val="Heading3"/>
      </w:pPr>
      <w:bookmarkStart w:id="10143" w:name="_Toc8839"/>
      <w:r>
        <w:t>7660- دیوان نشاء تبریزی‏</w:t>
      </w:r>
      <w:bookmarkEnd w:id="10143"/>
    </w:p>
    <w:p>
      <w:pPr>
        <w:pStyle w:val="BookText"/>
      </w:pPr>
      <w:r>
        <w:rPr>
          <w:rFonts w:ascii="IRNazanin" w:hAnsi="IRNazanin" w:eastAsia="IRNazanin" w:cs="IRNazanin"/>
          <w:lang w:bidi="fa-IR"/>
          <w:color w:val="111111"/>
          <w:sz w:val="28"/>
          <w:szCs w:val="28"/>
          <w:rtl/>
        </w:rPr>
        <w:t xml:space="preserve">و اسمه میرزا عبد الرزاق. ترجمه الحزین المتوفی 1180 فی تذکرته ص 124 و قال رأیته و أنا صبی ثم أورد، شعره، و ترجمه أیضا آذر فی (تش- ص 414)
</w:t>
      </w:r>
    </w:p>
    <w:p>
      <w:pPr>
        <w:sectPr>
          <w:footerReference w:type="default" r:id="rId1196"/>
          <w:footnotePr>
            <w:numStart w:val="1"/>
            <w:numRestart w:val="eachPage"/>
          </w:footnotePr>
          <w:pgSz w:orient="portrait" w:w="11905.511811023622" w:h="16837.79527559055"/>
          <w:pgMar w:top="1440" w:right="1440" w:bottom="1440" w:left="1440" w:header="720" w:footer="720" w:gutter="0"/>
          <w:cols w:num="1" w:space="720"/>
        </w:sectPr>
      </w:pPr>
    </w:p>
    <w:bookmarkStart w:id="1174" w:name="pg11704_122664"/>
    <w:bookmarkEnd w:id="1174"/>
    <w:p>
      <w:pPr>
        <w:pStyle w:val="BookText"/>
      </w:pPr>
      <w:r>
        <w:rPr>
          <w:rFonts w:ascii="IRNazanin" w:hAnsi="IRNazanin" w:eastAsia="IRNazanin" w:cs="IRNazanin"/>
          <w:lang w:bidi="fa-IR"/>
          <w:color w:val="111111"/>
          <w:sz w:val="28"/>
          <w:szCs w:val="28"/>
          <w:rtl/>
        </w:rPr>
        <w:t xml:space="preserve">و قال إنه من أحفاد جهان‏شاه ترکمان و نشا بتبریز و تعلم العلوم و الریاضیات فی أصفهان و مات 1108 بتبریز و یتتبع شعر صائب التبریزی و قد صاحبته، و دیوانه فی ألفی بیت.</w:t>
      </w:r>
    </w:p>
    <w:p>
      <w:pPr>
        <w:pStyle w:val="BookText"/>
      </w:pPr>
      <w:r>
        <w:rPr>
          <w:rFonts w:ascii="IRNazanin" w:hAnsi="IRNazanin" w:eastAsia="IRNazanin" w:cs="IRNazanin"/>
          <w:lang w:bidi="fa-IR"/>
          <w:color w:val="111111"/>
          <w:sz w:val="28"/>
          <w:szCs w:val="28"/>
          <w:rtl/>
        </w:rPr>
        <w:t xml:space="preserve">و أورد شعرا یعین تخلصه و هو:</w:t>
      </w:r>
    </w:p>
    <w:p>
      <w:pPr>
        <w:pStyle w:val="BookText"/>
      </w:pPr>
      <w:r>
        <w:rPr>
          <w:rFonts w:ascii="IRNazanin" w:hAnsi="IRNazanin" w:eastAsia="IRNazanin" w:cs="IRNazanin"/>
          <w:lang w:bidi="fa-IR"/>
          <w:color w:val="111111"/>
          <w:sz w:val="28"/>
          <w:szCs w:val="28"/>
          <w:rtl/>
        </w:rPr>
        <w:t xml:space="preserve">نشا محنت دیده داند قدر محنت دیده را</w:t>
      </w:r>
    </w:p>
    <w:p>
      <w:pPr>
        <w:pStyle w:val="BookText"/>
      </w:pPr>
      <w:r>
        <w:rPr>
          <w:rFonts w:ascii="IRNazanin" w:hAnsi="IRNazanin" w:eastAsia="IRNazanin" w:cs="IRNazanin"/>
          <w:lang w:bidi="fa-IR"/>
          <w:color w:val="111111"/>
          <w:sz w:val="28"/>
          <w:szCs w:val="28"/>
          <w:rtl/>
        </w:rPr>
        <w:t xml:space="preserve">هیچ نعمت بهتر از معشوق عاشق پیشه نیست‏</w:t>
      </w:r>
    </w:p>
    <w:p>
      <w:pPr>
        <w:pStyle w:val="BookText"/>
      </w:pPr>
      <w:r>
        <w:rPr>
          <w:rFonts w:ascii="IRNazanin" w:hAnsi="IRNazanin" w:eastAsia="IRNazanin" w:cs="IRNazanin"/>
          <w:lang w:bidi="fa-IR"/>
          <w:color w:val="111111"/>
          <w:sz w:val="28"/>
          <w:szCs w:val="28"/>
          <w:rtl/>
        </w:rPr>
        <w:t xml:space="preserve">و فی (دجا- ص 375) ترجمه نقلا عن آذر و الحزین و لکنه سماه عبد الباقی و زاد علیهما- و لم أعلم من این زاد- أنه مستوفی خالصة مازندران، توفی 1158 و إنه نظم مثنویا علی زنة خسرو و شیرین سماه یک دست و إن آخره:</w:t>
      </w:r>
    </w:p>
    <w:p>
      <w:pPr>
        <w:pStyle w:val="BookText"/>
      </w:pPr>
      <w:r>
        <w:rPr>
          <w:rFonts w:ascii="IRNazanin" w:hAnsi="IRNazanin" w:eastAsia="IRNazanin" w:cs="IRNazanin"/>
          <w:lang w:bidi="fa-IR"/>
          <w:color w:val="111111"/>
          <w:sz w:val="28"/>
          <w:szCs w:val="28"/>
          <w:rtl/>
        </w:rPr>
        <w:t xml:space="preserve">بخاموشی بکن إظهار این راز</w:t>
      </w:r>
    </w:p>
    <w:p>
      <w:pPr>
        <w:pStyle w:val="BookText"/>
      </w:pPr>
      <w:r>
        <w:rPr>
          <w:rFonts w:ascii="IRNazanin" w:hAnsi="IRNazanin" w:eastAsia="IRNazanin" w:cs="IRNazanin"/>
          <w:lang w:bidi="fa-IR"/>
          <w:color w:val="111111"/>
          <w:sz w:val="28"/>
          <w:szCs w:val="28"/>
          <w:rtl/>
        </w:rPr>
        <w:t xml:space="preserve">که از یک دست کس نشنیده آواز</w:t>
      </w:r>
    </w:p>
    <w:p>
      <w:pPr>
        <w:pStyle w:val="BookText"/>
      </w:pPr>
      <w:r>
        <w:rPr>
          <w:rFonts w:ascii="IRNazanin" w:hAnsi="IRNazanin" w:eastAsia="IRNazanin" w:cs="IRNazanin"/>
          <w:lang w:bidi="fa-IR"/>
          <w:color w:val="111111"/>
          <w:sz w:val="28"/>
          <w:szCs w:val="28"/>
          <w:rtl/>
        </w:rPr>
        <w:t xml:space="preserve">ثم إن لسلیم بهوپالی فی (گلشن- ص 517) خبط شعواء فإنه خلط بین ترجمتین مذکورتین فی (تش- ص 414) و هما نشاط مشهدی المیرزا زین العابدین و نشا تبریزی المیرزا عبد الرزاق فجعل منها ترجمه واحدة و قال إنه مستوفی خالصة مازندران و إنه والد المیرزا علی أکبر و مات 1108 و بما أن الأتراک کشمس الدین سامی و إسماعیل پاشا أخذوا مقالاتهم عن سلیم بهوپالی فإنهم وقعوا فیه أیضا، فإن إسماعیل پاشا فی هدیة العارفین 1: 568 قال: [نشاط الترکمان زین العابدین عبد الرزاق بن عبد الله من أحفاد جهان‏شاه المشهدی المتوفی بتبریز 1180]. و نقل الدکتور مهدی بیانی فی نمونه خطوط</w:t>
      </w:r>
    </w:p>
    <w:p>
      <w:pPr>
        <w:pStyle w:val="BookText"/>
      </w:pPr>
      <w:r>
        <w:rPr>
          <w:rFonts w:ascii="IRNazanin" w:hAnsi="IRNazanin" w:eastAsia="IRNazanin" w:cs="IRNazanin"/>
          <w:lang w:bidi="fa-IR"/>
          <w:color w:val="111111"/>
          <w:sz w:val="28"/>
          <w:szCs w:val="28"/>
          <w:rtl/>
        </w:rPr>
        <w:t xml:space="preserve">خوش- ص 228 عن ریاض الشعراء أن زین العابدین بن محمد رحیم خطاط شاعر یتخلص نشأة و کان حیا فی 1161 و کان مستوفیا لمازندران.</w:t>
      </w:r>
    </w:p>
    <w:p>
      <w:pPr>
        <w:pStyle w:val="Heading3"/>
      </w:pPr>
      <w:bookmarkStart w:id="10144" w:name="_Toc8840"/>
      <w:r>
        <w:t>نشاء دهلوی‏</w:t>
      </w:r>
      <w:bookmarkEnd w:id="10144"/>
    </w:p>
    <w:p>
      <w:pPr>
        <w:pStyle w:val="BookText"/>
      </w:pPr>
      <w:r>
        <w:rPr>
          <w:rFonts w:ascii="IRNazanin" w:hAnsi="IRNazanin" w:eastAsia="IRNazanin" w:cs="IRNazanin"/>
          <w:lang w:bidi="fa-IR"/>
          <w:color w:val="111111"/>
          <w:sz w:val="28"/>
          <w:szCs w:val="28"/>
          <w:rtl/>
        </w:rPr>
        <w:t xml:space="preserve">کما فی (سرخوش- ص 114) یأتی بعنوان نشاط.</w:t>
      </w:r>
    </w:p>
    <w:p>
      <w:pPr>
        <w:pStyle w:val="Heading3"/>
      </w:pPr>
      <w:bookmarkStart w:id="10145" w:name="_Toc8841"/>
      <w:r>
        <w:t>7661- دیوان نشاء سمرقندی أو شعره‏</w:t>
      </w:r>
      <w:bookmarkEnd w:id="10145"/>
    </w:p>
    <w:p>
      <w:pPr>
        <w:pStyle w:val="BookText"/>
      </w:pPr>
      <w:r>
        <w:rPr>
          <w:rFonts w:ascii="IRNazanin" w:hAnsi="IRNazanin" w:eastAsia="IRNazanin" w:cs="IRNazanin"/>
          <w:lang w:bidi="fa-IR"/>
          <w:color w:val="111111"/>
          <w:sz w:val="28"/>
          <w:szCs w:val="28"/>
          <w:rtl/>
        </w:rPr>
        <w:t xml:space="preserve">ورد شعره فی (نر 10- ص 439) و قال اسمه محمد صالح نشأة بن محمد مؤمن و فی (گلشن- ص 518) نشا بدون هاء.</w:t>
      </w:r>
    </w:p>
    <w:p>
      <w:pPr>
        <w:pStyle w:val="Heading3"/>
      </w:pPr>
      <w:bookmarkStart w:id="10146" w:name="_Toc8842"/>
      <w:r>
        <w:t>نشاء مشهدی‏</w:t>
      </w:r>
      <w:bookmarkEnd w:id="10146"/>
    </w:p>
    <w:p>
      <w:pPr>
        <w:pStyle w:val="BookText"/>
      </w:pPr>
      <w:r>
        <w:rPr>
          <w:rFonts w:ascii="IRNazanin" w:hAnsi="IRNazanin" w:eastAsia="IRNazanin" w:cs="IRNazanin"/>
          <w:lang w:bidi="fa-IR"/>
          <w:color w:val="111111"/>
          <w:sz w:val="28"/>
          <w:szCs w:val="28"/>
          <w:rtl/>
        </w:rPr>
        <w:t xml:space="preserve">کما فی (گلشن- ص 517) و هدیة العارفین 1: 568 و (مطلع 2: 448) و الصحیح أن المشهدی اسمه نشاط کما سیجی‏ء و نشا تبریزی کما مر.</w:t>
      </w:r>
    </w:p>
    <w:p>
      <w:pPr>
        <w:pStyle w:val="Heading3"/>
      </w:pPr>
      <w:bookmarkStart w:id="10147" w:name="_Toc8843"/>
      <w:r>
        <w:t>دیوان نشاط أصفهانی‏</w:t>
      </w:r>
      <w:bookmarkEnd w:id="10147"/>
    </w:p>
    <w:p>
      <w:pPr>
        <w:pStyle w:val="BookText"/>
      </w:pPr>
      <w:r>
        <w:rPr>
          <w:rFonts w:ascii="IRNazanin" w:hAnsi="IRNazanin" w:eastAsia="IRNazanin" w:cs="IRNazanin"/>
          <w:lang w:bidi="fa-IR"/>
          <w:color w:val="111111"/>
          <w:sz w:val="28"/>
          <w:szCs w:val="28"/>
          <w:rtl/>
        </w:rPr>
        <w:t xml:space="preserve">و اسمه عبد الوهاب و مات فی عهد نادر. کذا فی (گلشن- ص 518) و عنه فی القاموس الترکی و أظنه اشتبه بمعتمد الدولة الآتی ذیلا.
</w:t>
      </w:r>
    </w:p>
    <w:p>
      <w:pPr>
        <w:sectPr>
          <w:footerReference w:type="default" r:id="rId1197"/>
          <w:footnotePr>
            <w:numStart w:val="1"/>
            <w:numRestart w:val="eachPage"/>
          </w:footnotePr>
          <w:pgSz w:orient="portrait" w:w="11905.511811023622" w:h="16837.79527559055"/>
          <w:pgMar w:top="1440" w:right="1440" w:bottom="1440" w:left="1440" w:header="720" w:footer="720" w:gutter="0"/>
          <w:cols w:num="1" w:space="720"/>
        </w:sectPr>
      </w:pPr>
    </w:p>
    <w:bookmarkStart w:id="1175" w:name="pg11704_122665"/>
    <w:bookmarkEnd w:id="1175"/>
    <w:p>
      <w:pPr>
        <w:pStyle w:val="Heading3"/>
      </w:pPr>
      <w:bookmarkStart w:id="10148" w:name="_Toc8844"/>
      <w:r>
        <w:t>7662- دیوان نشاط أصفهانی أو شعرها</w:t>
      </w:r>
      <w:bookmarkEnd w:id="10148"/>
    </w:p>
    <w:p>
      <w:pPr>
        <w:pStyle w:val="BookText"/>
      </w:pPr>
      <w:r>
        <w:rPr>
          <w:rFonts w:ascii="IRNazanin" w:hAnsi="IRNazanin" w:eastAsia="IRNazanin" w:cs="IRNazanin"/>
          <w:lang w:bidi="fa-IR"/>
          <w:color w:val="111111"/>
          <w:sz w:val="28"/>
          <w:szCs w:val="28"/>
          <w:rtl/>
        </w:rPr>
        <w:t xml:space="preserve">و اسمها شمس الضحی بنت الحاج میرزا حسن صفی علی شاه المذکور فی ص 616. ولدت فی 1317 عدة أشهر بعد وفاة والدها و نشأت و تعلمت بأصفهان و سکنت طهران و طبع بعض شعرها فی مجموعة اسرار خلقت و ترجمت فی شعرای معاصر أصفهان ص 509.</w:t>
      </w:r>
    </w:p>
    <w:p>
      <w:pPr>
        <w:pStyle w:val="Heading3"/>
      </w:pPr>
      <w:bookmarkStart w:id="10149" w:name="_Toc8845"/>
      <w:r>
        <w:t>7663- دیوان نشاط أصفهانی‏</w:t>
      </w:r>
      <w:bookmarkEnd w:id="10149"/>
    </w:p>
    <w:p>
      <w:pPr>
        <w:pStyle w:val="BookText"/>
      </w:pPr>
      <w:r>
        <w:rPr>
          <w:rFonts w:ascii="IRNazanin" w:hAnsi="IRNazanin" w:eastAsia="IRNazanin" w:cs="IRNazanin"/>
          <w:lang w:bidi="fa-IR"/>
          <w:color w:val="111111"/>
          <w:sz w:val="28"/>
          <w:szCs w:val="28"/>
          <w:rtl/>
        </w:rPr>
        <w:t xml:space="preserve">و هو معتمد الدولة میرزا عبد الوهاب من أعاظم شعراء عهد فتح علی شاه أسس جمعیة لنهضة التجدد الأدبی و إحیاء السبک الخراسانی فی الشعر الفارسی فی أصفهان و انتمی إلیه أکثر شعراء العصر و توفی 1244 و قال منصف قاجار فی تاریخه [</w:t>
      </w:r>
    </w:p>
    <w:p>
      <w:pPr>
        <w:pStyle w:val="BookText"/>
      </w:pPr>
      <w:r>
        <w:rPr>
          <w:rFonts w:ascii="IRNazanin" w:hAnsi="IRNazanin" w:eastAsia="IRNazanin" w:cs="IRNazanin"/>
          <w:lang w:bidi="fa-IR"/>
          <w:color w:val="111111"/>
          <w:sz w:val="28"/>
          <w:szCs w:val="28"/>
          <w:rtl/>
        </w:rPr>
        <w:t xml:space="preserve">از قلب جهان نشاط رفته‏</w:t>
      </w:r>
    </w:p>
    <w:p>
      <w:pPr>
        <w:pStyle w:val="BookText"/>
      </w:pPr>
      <w:r>
        <w:rPr>
          <w:rFonts w:ascii="IRNazanin" w:hAnsi="IRNazanin" w:eastAsia="IRNazanin" w:cs="IRNazanin"/>
          <w:lang w:bidi="fa-IR"/>
          <w:color w:val="111111"/>
          <w:sz w:val="28"/>
          <w:szCs w:val="28"/>
          <w:rtl/>
        </w:rPr>
        <w:t xml:space="preserve">]. له ساقی‏نامه و گنجینه نشاط المطبوع 1281 و 1283 فی خمسة درج و دیوان شعره کثیر النسخ، أربع نسخ منه فی المکتبة (الملیة) و أربع نسخ عند (فخر الدین) و نسخه عند (السبزواری بالکاظمیة) و (الملک) و طبع بمبئی 1334 و جدد طبعه حسین النخعی بأصفهان. ترجمه هدایت فی (ض- ص 553) و (مع 2: 509) و فهرس مکتبة جامعة طهران 2: 211 و 239 و (عم- 478) و مجلة یادگار 5: 1 و 2 و هدیة العارفین 1- 643 و (انجمن 3).</w:t>
      </w:r>
    </w:p>
    <w:p>
      <w:pPr>
        <w:pStyle w:val="Heading3"/>
      </w:pPr>
      <w:bookmarkStart w:id="10150" w:name="_Toc8846"/>
      <w:r>
        <w:t>7664- دیوان نشاط دهلوی أو شعره‏</w:t>
      </w:r>
      <w:bookmarkEnd w:id="10150"/>
    </w:p>
    <w:p>
      <w:pPr>
        <w:pStyle w:val="BookText"/>
      </w:pPr>
      <w:r>
        <w:rPr>
          <w:rFonts w:ascii="IRNazanin" w:hAnsi="IRNazanin" w:eastAsia="IRNazanin" w:cs="IRNazanin"/>
          <w:lang w:bidi="fa-IR"/>
          <w:color w:val="111111"/>
          <w:sz w:val="28"/>
          <w:szCs w:val="28"/>
          <w:rtl/>
        </w:rPr>
        <w:t xml:space="preserve">و اسمه محمد تقی بیک من الشعراء، بالفارسیة فی عهد عالم‏گیر بالهند. ورد شعره فی (گلشن- ص 518) و فی (سرخوش- ص 114) قال إن تخلصه نشا.</w:t>
      </w:r>
    </w:p>
    <w:p>
      <w:pPr>
        <w:pStyle w:val="Heading3"/>
      </w:pPr>
      <w:bookmarkStart w:id="10151" w:name="_Toc8847"/>
      <w:r>
        <w:t>7665- دیوان نشاط شیروانی أو شعره‏</w:t>
      </w:r>
      <w:bookmarkEnd w:id="10151"/>
    </w:p>
    <w:p>
      <w:pPr>
        <w:pStyle w:val="BookText"/>
      </w:pPr>
      <w:r>
        <w:rPr>
          <w:rFonts w:ascii="IRNazanin" w:hAnsi="IRNazanin" w:eastAsia="IRNazanin" w:cs="IRNazanin"/>
          <w:lang w:bidi="fa-IR"/>
          <w:color w:val="111111"/>
          <w:sz w:val="28"/>
          <w:szCs w:val="28"/>
          <w:rtl/>
        </w:rPr>
        <w:t xml:space="preserve">عده تربیت من شعراء القرن الثانی عشر.</w:t>
      </w:r>
    </w:p>
    <w:p>
      <w:pPr>
        <w:pStyle w:val="BookText"/>
      </w:pPr>
      <w:r>
        <w:rPr>
          <w:rFonts w:ascii="IRNazanin" w:hAnsi="IRNazanin" w:eastAsia="IRNazanin" w:cs="IRNazanin"/>
          <w:lang w:bidi="fa-IR"/>
          <w:color w:val="111111"/>
          <w:sz w:val="28"/>
          <w:szCs w:val="28"/>
          <w:rtl/>
        </w:rPr>
        <w:t xml:space="preserve">فی (دجا- ص 375).</w:t>
      </w:r>
    </w:p>
    <w:p>
      <w:pPr>
        <w:pStyle w:val="Heading3"/>
      </w:pPr>
      <w:bookmarkStart w:id="10152" w:name="_Toc8848"/>
      <w:r>
        <w:t>7666- دیوان نشاط قمی أو شعره‏</w:t>
      </w:r>
      <w:bookmarkEnd w:id="10152"/>
    </w:p>
    <w:p>
      <w:pPr>
        <w:pStyle w:val="BookText"/>
      </w:pPr>
      <w:r>
        <w:rPr>
          <w:rFonts w:ascii="IRNazanin" w:hAnsi="IRNazanin" w:eastAsia="IRNazanin" w:cs="IRNazanin"/>
          <w:lang w:bidi="fa-IR"/>
          <w:color w:val="111111"/>
          <w:sz w:val="28"/>
          <w:szCs w:val="28"/>
          <w:rtl/>
        </w:rPr>
        <w:t xml:space="preserve">و اسمه آقا محمد أخ محمد تقی صهبا المذکور فی ص 623 و مات فی أواخر القرن الثانی عشر کما فی (نتایج- ص 729) و (تش- ص 414).</w:t>
      </w:r>
    </w:p>
    <w:p>
      <w:pPr>
        <w:pStyle w:val="Heading3"/>
      </w:pPr>
      <w:bookmarkStart w:id="10153" w:name="_Toc8849"/>
      <w:r>
        <w:t>7667- دیوان نشاط مشهدی أو شعره‏</w:t>
      </w:r>
      <w:bookmarkEnd w:id="10153"/>
    </w:p>
    <w:p>
      <w:pPr>
        <w:pStyle w:val="BookText"/>
      </w:pPr>
      <w:r>
        <w:rPr>
          <w:rFonts w:ascii="IRNazanin" w:hAnsi="IRNazanin" w:eastAsia="IRNazanin" w:cs="IRNazanin"/>
          <w:lang w:bidi="fa-IR"/>
          <w:color w:val="111111"/>
          <w:sz w:val="28"/>
          <w:szCs w:val="28"/>
          <w:rtl/>
        </w:rPr>
        <w:t xml:space="preserve">عده آذر فی (تش- ص 414) من معاصریه. و قال توفی 1120 بشیراز. فعلی هذا فهو غیر زین العابدین محمد رحیم الشاعر الخطاط مستوفی مازندران و المتخلص نشأة الذی کان حیا فی 1161 علی ما نقل فی نمونه خطوط خوش- ص 288 عن ریاض الشعراء:</w:t>
      </w:r>
    </w:p>
    <w:p>
      <w:pPr>
        <w:pStyle w:val="Heading3"/>
      </w:pPr>
      <w:bookmarkStart w:id="10154" w:name="_Toc8850"/>
      <w:r>
        <w:t>7668- دیوان نشاط هندی‏</w:t>
      </w:r>
      <w:bookmarkEnd w:id="10154"/>
    </w:p>
    <w:p>
      <w:pPr>
        <w:pStyle w:val="BookText"/>
      </w:pPr>
      <w:r>
        <w:rPr>
          <w:rFonts w:ascii="IRNazanin" w:hAnsi="IRNazanin" w:eastAsia="IRNazanin" w:cs="IRNazanin"/>
          <w:lang w:bidi="fa-IR"/>
          <w:color w:val="111111"/>
          <w:sz w:val="28"/>
          <w:szCs w:val="28"/>
          <w:rtl/>
        </w:rPr>
        <w:t xml:space="preserve">المنشی من قوم کایتة و مات حدود 1260 کما ترجمه‏
</w:t>
      </w:r>
    </w:p>
    <w:p>
      <w:pPr>
        <w:sectPr>
          <w:footerReference w:type="default" r:id="rId1198"/>
          <w:footnotePr>
            <w:numStart w:val="1"/>
            <w:numRestart w:val="eachPage"/>
          </w:footnotePr>
          <w:pgSz w:orient="portrait" w:w="11905.511811023622" w:h="16837.79527559055"/>
          <w:pgMar w:top="1440" w:right="1440" w:bottom="1440" w:left="1440" w:header="720" w:footer="720" w:gutter="0"/>
          <w:cols w:num="1" w:space="720"/>
        </w:sectPr>
      </w:pPr>
    </w:p>
    <w:bookmarkStart w:id="1176" w:name="pg11704_122666"/>
    <w:bookmarkEnd w:id="1176"/>
    <w:p>
      <w:pPr>
        <w:pStyle w:val="BookText"/>
      </w:pPr>
      <w:r>
        <w:rPr>
          <w:rFonts w:ascii="IRNazanin" w:hAnsi="IRNazanin" w:eastAsia="IRNazanin" w:cs="IRNazanin"/>
          <w:lang w:bidi="fa-IR"/>
          <w:color w:val="111111"/>
          <w:sz w:val="28"/>
          <w:szCs w:val="28"/>
          <w:rtl/>
        </w:rPr>
        <w:t xml:space="preserve">و أورد شعره صبا فی (روشن- ص 695). و طبع دیوانه نشاط بعنوان گلدسته نشاط لمنولال الهندی بالهند فی 1253 کما فی فهرس مکتبة (بنگاله).</w:t>
      </w:r>
    </w:p>
    <w:p>
      <w:pPr>
        <w:pStyle w:val="Heading3"/>
      </w:pPr>
      <w:bookmarkStart w:id="10155" w:name="_Toc8851"/>
      <w:r>
        <w:t>دیوان نشاطی بلخی‏</w:t>
      </w:r>
      <w:bookmarkEnd w:id="10155"/>
    </w:p>
    <w:p>
      <w:pPr>
        <w:pStyle w:val="BookText"/>
      </w:pPr>
      <w:r>
        <w:rPr>
          <w:rFonts w:ascii="IRNazanin" w:hAnsi="IRNazanin" w:eastAsia="IRNazanin" w:cs="IRNazanin"/>
          <w:lang w:bidi="fa-IR"/>
          <w:color w:val="111111"/>
          <w:sz w:val="28"/>
          <w:szCs w:val="28"/>
          <w:rtl/>
        </w:rPr>
        <w:t xml:space="preserve">کما فی بعض النسخ من مجالس النفائس مر بعنوان باطنی بلخی.</w:t>
      </w:r>
    </w:p>
    <w:p>
      <w:pPr>
        <w:pStyle w:val="Heading3"/>
      </w:pPr>
      <w:bookmarkStart w:id="10156" w:name="_Toc8852"/>
      <w:r>
        <w:t>7669- دیوان نشاطی دماوندی‏</w:t>
      </w:r>
      <w:bookmarkEnd w:id="10156"/>
    </w:p>
    <w:p>
      <w:pPr>
        <w:pStyle w:val="BookText"/>
      </w:pPr>
      <w:r>
        <w:rPr>
          <w:rFonts w:ascii="IRNazanin" w:hAnsi="IRNazanin" w:eastAsia="IRNazanin" w:cs="IRNazanin"/>
          <w:lang w:bidi="fa-IR"/>
          <w:color w:val="111111"/>
          <w:sz w:val="28"/>
          <w:szCs w:val="28"/>
          <w:rtl/>
        </w:rPr>
        <w:t xml:space="preserve">و اسمه الحاج محمد. ترجمه معاصره النصرآبادی فی (نر 9- ص 429) و قال کان کدخدا بدماوند و یتخلص نشاطی جاء إلی أصفهان و کان یختلف إلی المعسکر و لم یساعده الحظ و مات. و له منظومة شهرآشوب‏</w:t>
      </w:r>
      <w:r>
        <w:rPr>
          <w:rStyle w:val="FootnoteReference"/>
        </w:rPr>
        <w:footnoteReference w:id="93"/>
      </w:r>
      <w:r>
        <w:rPr>
          <w:rFonts w:ascii="IRNazanin" w:hAnsi="IRNazanin" w:eastAsia="IRNazanin" w:cs="IRNazanin"/>
          <w:lang w:bidi="fa-IR"/>
          <w:color w:val="111111"/>
          <w:sz w:val="28"/>
          <w:szCs w:val="28"/>
          <w:rtl/>
        </w:rPr>
        <w:t xml:space="preserve">یتخلص فیه پیزری بمعنی الخسیس الضعیف و منها:</w:t>
      </w:r>
    </w:p>
    <w:p>
      <w:pPr>
        <w:pStyle w:val="BookText"/>
      </w:pPr>
      <w:r>
        <w:rPr>
          <w:rFonts w:ascii="IRNazanin" w:hAnsi="IRNazanin" w:eastAsia="IRNazanin" w:cs="IRNazanin"/>
          <w:lang w:bidi="fa-IR"/>
          <w:color w:val="111111"/>
          <w:sz w:val="28"/>
          <w:szCs w:val="28"/>
          <w:rtl/>
        </w:rPr>
        <w:t xml:space="preserve">ز اعتماد الدولة و یارانش گر خواهی خبر</w:t>
      </w:r>
    </w:p>
    <w:p>
      <w:pPr>
        <w:pStyle w:val="BookText"/>
      </w:pPr>
      <w:r>
        <w:rPr>
          <w:rFonts w:ascii="IRNazanin" w:hAnsi="IRNazanin" w:eastAsia="IRNazanin" w:cs="IRNazanin"/>
          <w:lang w:bidi="fa-IR"/>
          <w:color w:val="111111"/>
          <w:sz w:val="28"/>
          <w:szCs w:val="28"/>
          <w:rtl/>
        </w:rPr>
        <w:t xml:space="preserve">سر چو در تن پیزری شد جملة اعضا پیزریست‏</w:t>
      </w:r>
    </w:p>
    <w:p>
      <w:pPr>
        <w:pStyle w:val="BookText"/>
      </w:pPr>
      <w:r>
        <w:rPr>
          <w:rFonts w:ascii="IRNazanin" w:hAnsi="IRNazanin" w:eastAsia="IRNazanin" w:cs="IRNazanin"/>
          <w:lang w:bidi="fa-IR"/>
          <w:color w:val="111111"/>
          <w:sz w:val="28"/>
          <w:szCs w:val="28"/>
          <w:rtl/>
        </w:rPr>
        <w:t xml:space="preserve">و ترجم و ورد شعره أیضا فی (گلشن- ص 518) و همیشه بهار.</w:t>
      </w:r>
    </w:p>
    <w:p>
      <w:pPr>
        <w:pStyle w:val="Heading3"/>
      </w:pPr>
      <w:bookmarkStart w:id="10157" w:name="_Toc8853"/>
      <w:r>
        <w:t>7670- دیوان نشاطی دهلوی أو شعره‏</w:t>
      </w:r>
      <w:bookmarkEnd w:id="10157"/>
    </w:p>
    <w:p>
      <w:pPr>
        <w:pStyle w:val="BookText"/>
      </w:pPr>
      <w:r>
        <w:rPr>
          <w:rFonts w:ascii="IRNazanin" w:hAnsi="IRNazanin" w:eastAsia="IRNazanin" w:cs="IRNazanin"/>
          <w:lang w:bidi="fa-IR"/>
          <w:color w:val="111111"/>
          <w:sz w:val="28"/>
          <w:szCs w:val="28"/>
          <w:rtl/>
        </w:rPr>
        <w:t xml:space="preserve">هو من شعراء أکبر شاه. ورد شعره فی (گلشن- ص 519).</w:t>
      </w:r>
    </w:p>
    <w:p>
      <w:pPr>
        <w:pStyle w:val="Heading3"/>
      </w:pPr>
      <w:bookmarkStart w:id="10158" w:name="_Toc8854"/>
      <w:r>
        <w:t>دیوان نشاطی سمنانی‏</w:t>
      </w:r>
      <w:bookmarkEnd w:id="10158"/>
    </w:p>
    <w:p>
      <w:pPr>
        <w:pStyle w:val="BookText"/>
      </w:pPr>
      <w:r>
        <w:rPr>
          <w:rFonts w:ascii="IRNazanin" w:hAnsi="IRNazanin" w:eastAsia="IRNazanin" w:cs="IRNazanin"/>
          <w:lang w:bidi="fa-IR"/>
          <w:color w:val="111111"/>
          <w:sz w:val="28"/>
          <w:szCs w:val="28"/>
          <w:rtl/>
        </w:rPr>
        <w:t xml:space="preserve">راجع نشاطی هزار جریبی.</w:t>
      </w:r>
    </w:p>
    <w:p>
      <w:pPr>
        <w:pStyle w:val="Heading3"/>
      </w:pPr>
      <w:bookmarkStart w:id="10159" w:name="_Toc8855"/>
      <w:r>
        <w:t>7671- دیوان نشاطی شوشتری أو شعره‏</w:t>
      </w:r>
      <w:bookmarkEnd w:id="10159"/>
    </w:p>
    <w:p>
      <w:pPr>
        <w:pStyle w:val="BookText"/>
      </w:pPr>
      <w:r>
        <w:rPr>
          <w:rFonts w:ascii="IRNazanin" w:hAnsi="IRNazanin" w:eastAsia="IRNazanin" w:cs="IRNazanin"/>
          <w:lang w:bidi="fa-IR"/>
          <w:color w:val="111111"/>
          <w:sz w:val="28"/>
          <w:szCs w:val="28"/>
          <w:rtl/>
        </w:rPr>
        <w:t xml:space="preserve">من ملازمی أمراء قزلباش. ورد شعره فی هفت إقلیم و (تس 5- ص 152) و (گلشن- ص 519).</w:t>
      </w:r>
    </w:p>
    <w:p>
      <w:pPr>
        <w:pStyle w:val="Heading3"/>
      </w:pPr>
      <w:bookmarkStart w:id="10160" w:name="_Toc8856"/>
      <w:r>
        <w:t>7672- دیوان نشاطی گرجی الأصفهانی‏</w:t>
      </w:r>
      <w:bookmarkEnd w:id="10160"/>
    </w:p>
    <w:p>
      <w:pPr>
        <w:pStyle w:val="BookText"/>
      </w:pPr>
      <w:r>
        <w:rPr>
          <w:rFonts w:ascii="IRNazanin" w:hAnsi="IRNazanin" w:eastAsia="IRNazanin" w:cs="IRNazanin"/>
          <w:lang w:bidi="fa-IR"/>
          <w:color w:val="111111"/>
          <w:sz w:val="28"/>
          <w:szCs w:val="28"/>
          <w:rtl/>
        </w:rPr>
        <w:t xml:space="preserve">اسمه محمد باقر أصغر من أخیه أحمد بیک المتخلص بأختر الذی مات قبل إتمام تذکرته فأراد النشاطی أن یتم تذکره أخیه فلم یمهله الأجل. قال معاصرهما فی (مع ج 2- ص 502) إنه کان دیوان نشاطی عندی” صاحب مع” و هو یقرب من ألفی بیت من القصیدة و الغزل و بحر التقارب استعاره منی بعض و فقد عنده ثم أورد نیفا و عشرین بیتا من شعره و کذا فی (انجمن 4) و مر فی 4: 29.</w:t>
      </w:r>
    </w:p>
    <w:p>
      <w:pPr>
        <w:pStyle w:val="Heading3"/>
      </w:pPr>
      <w:bookmarkStart w:id="10161" w:name="_Toc8857"/>
      <w:r>
        <w:t>7673- دیوان نشاطی هزار جریبی‏</w:t>
      </w:r>
      <w:bookmarkEnd w:id="10161"/>
    </w:p>
    <w:p>
      <w:pPr>
        <w:pStyle w:val="BookText"/>
      </w:pPr>
      <w:r>
        <w:rPr>
          <w:rFonts w:ascii="IRNazanin" w:hAnsi="IRNazanin" w:eastAsia="IRNazanin" w:cs="IRNazanin"/>
          <w:lang w:bidi="fa-IR"/>
          <w:color w:val="111111"/>
          <w:sz w:val="28"/>
          <w:szCs w:val="28"/>
          <w:rtl/>
        </w:rPr>
        <w:t xml:space="preserve">اسمه المیرزا عباس و أصله من سرخ‏رود من نواحی‏
</w:t>
      </w:r>
    </w:p>
    <w:p>
      <w:pPr>
        <w:sectPr>
          <w:footerReference w:type="default" r:id="rId1199"/>
          <w:footnotePr>
            <w:numStart w:val="1"/>
            <w:numRestart w:val="eachPage"/>
          </w:footnotePr>
          <w:pgSz w:orient="portrait" w:w="11905.511811023622" w:h="16837.79527559055"/>
          <w:pgMar w:top="1440" w:right="1440" w:bottom="1440" w:left="1440" w:header="720" w:footer="720" w:gutter="0"/>
          <w:cols w:num="1" w:space="720"/>
        </w:sectPr>
      </w:pPr>
    </w:p>
    <w:bookmarkStart w:id="1177" w:name="pg11704_122667"/>
    <w:bookmarkEnd w:id="1177"/>
    <w:p>
      <w:pPr>
        <w:pStyle w:val="BookText"/>
      </w:pPr>
      <w:r>
        <w:rPr>
          <w:rFonts w:ascii="IRNazanin" w:hAnsi="IRNazanin" w:eastAsia="IRNazanin" w:cs="IRNazanin"/>
          <w:lang w:bidi="fa-IR"/>
          <w:color w:val="111111"/>
          <w:sz w:val="28"/>
          <w:szCs w:val="28"/>
          <w:rtl/>
        </w:rPr>
        <w:t xml:space="preserve">دامغان ترجمه معاصره فی (ج 2- ص 515) و ذکر أنه مکثر فی مدیح أهل البیت و مراثیهم، و له مدائح السلطان فتح علی شاه و محمد شاه و دیوانه موجود عندی” صاحب الذریعة” الآن.</w:t>
      </w:r>
    </w:p>
    <w:p>
      <w:pPr>
        <w:pStyle w:val="BookText"/>
      </w:pPr>
      <w:r>
        <w:rPr>
          <w:rFonts w:ascii="IRNazanin" w:hAnsi="IRNazanin" w:eastAsia="IRNazanin" w:cs="IRNazanin"/>
          <w:lang w:bidi="fa-IR"/>
          <w:color w:val="111111"/>
          <w:sz w:val="28"/>
          <w:szCs w:val="28"/>
          <w:rtl/>
        </w:rPr>
        <w:t xml:space="preserve">و انتخب منه قرب خمسمائة بیت و ذکر أنه توفی 1262 و له رباعیة فی وصف عید الغدیر ذکرت فی المجمع فی ص 518 و کذا فی (انجمن 3) و مجلة یادگار 5: 1 و 2.</w:t>
      </w:r>
    </w:p>
    <w:p>
      <w:pPr>
        <w:pStyle w:val="Heading3"/>
      </w:pPr>
      <w:bookmarkStart w:id="10162" w:name="_Toc8858"/>
      <w:r>
        <w:t>7674- دیوان نشانی دهلوی أو شعره‏</w:t>
      </w:r>
      <w:bookmarkEnd w:id="10162"/>
    </w:p>
    <w:p>
      <w:pPr>
        <w:pStyle w:val="BookText"/>
      </w:pPr>
      <w:r>
        <w:rPr>
          <w:rFonts w:ascii="IRNazanin" w:hAnsi="IRNazanin" w:eastAsia="IRNazanin" w:cs="IRNazanin"/>
          <w:lang w:bidi="fa-IR"/>
          <w:color w:val="111111"/>
          <w:sz w:val="28"/>
          <w:szCs w:val="28"/>
          <w:rtl/>
        </w:rPr>
        <w:t xml:space="preserve">و اسمه مولانا علی أحمد مهر کن الحکاک ابن حسین نقشی الصوفی المتوفی 1018 و 1020 ترجم و ورد شعره فی (حسینی- ص 347) و (تش- ص 349) و (طبق 2: ص 510) و (مسرت- ص 296) و (مع 2: 50) و (نتایج- ص 711).</w:t>
      </w:r>
    </w:p>
    <w:p>
      <w:pPr>
        <w:pStyle w:val="Heading3"/>
      </w:pPr>
      <w:bookmarkStart w:id="10163" w:name="_Toc8859"/>
      <w:r>
        <w:t>7675- دیوان نشانی شیروانی أو شعره‏</w:t>
      </w:r>
      <w:bookmarkEnd w:id="10163"/>
    </w:p>
    <w:p>
      <w:pPr>
        <w:pStyle w:val="BookText"/>
      </w:pPr>
      <w:r>
        <w:rPr>
          <w:rFonts w:ascii="IRNazanin" w:hAnsi="IRNazanin" w:eastAsia="IRNazanin" w:cs="IRNazanin"/>
          <w:lang w:bidi="fa-IR"/>
          <w:color w:val="111111"/>
          <w:sz w:val="28"/>
          <w:szCs w:val="28"/>
          <w:rtl/>
        </w:rPr>
        <w:t xml:space="preserve">ورد شعره فی (دجا- ص 375) و بعنوان شیرازی فی (مسرت- ص 238).</w:t>
      </w:r>
    </w:p>
    <w:p>
      <w:pPr>
        <w:pStyle w:val="Heading3"/>
      </w:pPr>
      <w:bookmarkStart w:id="10164" w:name="_Toc8860"/>
      <w:r>
        <w:t>دیوان نصرآبادی‏</w:t>
      </w:r>
      <w:bookmarkEnd w:id="10164"/>
    </w:p>
    <w:p>
      <w:pPr>
        <w:pStyle w:val="BookText"/>
      </w:pPr>
      <w:r>
        <w:rPr>
          <w:rFonts w:ascii="IRNazanin" w:hAnsi="IRNazanin" w:eastAsia="IRNazanin" w:cs="IRNazanin"/>
          <w:lang w:bidi="fa-IR"/>
          <w:color w:val="111111"/>
          <w:sz w:val="28"/>
          <w:szCs w:val="28"/>
          <w:rtl/>
        </w:rPr>
        <w:t xml:space="preserve">راجع حسن علی ... و إسماعیل ... و أمین ... و صالح ...</w:t>
      </w:r>
    </w:p>
    <w:p>
      <w:pPr>
        <w:pStyle w:val="BookText"/>
      </w:pPr>
      <w:r>
        <w:rPr>
          <w:rFonts w:ascii="IRNazanin" w:hAnsi="IRNazanin" w:eastAsia="IRNazanin" w:cs="IRNazanin"/>
          <w:lang w:bidi="fa-IR"/>
          <w:color w:val="111111"/>
          <w:sz w:val="28"/>
          <w:szCs w:val="28"/>
          <w:rtl/>
        </w:rPr>
        <w:t xml:space="preserve">و بدیع الزمان ... و محمد ... و طاهر ... و قد قام من نصرآباد عدة من الشعراء و العرفاء ذکر وافی النفحات.</w:t>
      </w:r>
    </w:p>
    <w:p>
      <w:pPr>
        <w:pStyle w:val="Heading3"/>
      </w:pPr>
      <w:bookmarkStart w:id="10165" w:name="_Toc8861"/>
      <w:r>
        <w:t>7676- دیوان نصرآبادی‏</w:t>
      </w:r>
      <w:bookmarkEnd w:id="10165"/>
    </w:p>
    <w:p>
      <w:pPr>
        <w:pStyle w:val="BookText"/>
      </w:pPr>
      <w:r>
        <w:rPr>
          <w:rFonts w:ascii="IRNazanin" w:hAnsi="IRNazanin" w:eastAsia="IRNazanin" w:cs="IRNazanin"/>
          <w:lang w:bidi="fa-IR"/>
          <w:color w:val="111111"/>
          <w:sz w:val="28"/>
          <w:szCs w:val="28"/>
          <w:rtl/>
        </w:rPr>
        <w:t xml:space="preserve">و اسمه فضل علی. له منظومة مجلس افروز الموجودة فی (الرضویة).</w:t>
      </w:r>
    </w:p>
    <w:p>
      <w:pPr>
        <w:pStyle w:val="Heading3"/>
      </w:pPr>
      <w:bookmarkStart w:id="10166" w:name="_Toc8862"/>
      <w:r>
        <w:t>دیوان نصر بن أحمد بن نصر</w:t>
      </w:r>
      <w:bookmarkEnd w:id="10166"/>
    </w:p>
    <w:p>
      <w:pPr>
        <w:pStyle w:val="BookText"/>
      </w:pPr>
      <w:r>
        <w:rPr>
          <w:rFonts w:ascii="IRNazanin" w:hAnsi="IRNazanin" w:eastAsia="IRNazanin" w:cs="IRNazanin"/>
          <w:lang w:bidi="fa-IR"/>
          <w:color w:val="111111"/>
          <w:sz w:val="28"/>
          <w:szCs w:val="28"/>
          <w:rtl/>
        </w:rPr>
        <w:t xml:space="preserve">مر بعنوان دیوان الخبز أرزی، و قد عد ابن شهرآشوب فی (المعالم- ص 139) نصر بن المنتصر من شعراء الشیعة.</w:t>
      </w:r>
    </w:p>
    <w:p>
      <w:pPr>
        <w:pStyle w:val="Heading3"/>
      </w:pPr>
      <w:bookmarkStart w:id="10167" w:name="_Toc8863"/>
      <w:r>
        <w:t>7677- دیوان نصر أودی أو شعره‏</w:t>
      </w:r>
      <w:bookmarkEnd w:id="10167"/>
    </w:p>
    <w:p>
      <w:pPr>
        <w:pStyle w:val="BookText"/>
      </w:pPr>
      <w:r>
        <w:rPr>
          <w:rFonts w:ascii="IRNazanin" w:hAnsi="IRNazanin" w:eastAsia="IRNazanin" w:cs="IRNazanin"/>
          <w:lang w:bidi="fa-IR"/>
          <w:color w:val="111111"/>
          <w:sz w:val="28"/>
          <w:szCs w:val="28"/>
          <w:rtl/>
        </w:rPr>
        <w:t xml:space="preserve">و اسمه الشیخ نصر الدین چراغ دهلی. ترجمه الرازی فی هفت إقلیم.</w:t>
      </w:r>
    </w:p>
    <w:p>
      <w:pPr>
        <w:pStyle w:val="Heading3"/>
      </w:pPr>
      <w:bookmarkStart w:id="10168" w:name="_Toc8864"/>
      <w:r>
        <w:t>7678- دیوان نصرت أردبیلی‏</w:t>
      </w:r>
      <w:bookmarkEnd w:id="10168"/>
    </w:p>
    <w:p>
      <w:pPr>
        <w:pStyle w:val="BookText"/>
      </w:pPr>
      <w:r>
        <w:rPr>
          <w:rFonts w:ascii="IRNazanin" w:hAnsi="IRNazanin" w:eastAsia="IRNazanin" w:cs="IRNazanin"/>
          <w:lang w:bidi="fa-IR"/>
          <w:color w:val="111111"/>
          <w:sz w:val="28"/>
          <w:szCs w:val="28"/>
          <w:rtl/>
        </w:rPr>
        <w:t xml:space="preserve">لمیرزا نصر الله صدر الممالک المتخلص نصرت.</w:t>
      </w:r>
    </w:p>
    <w:p>
      <w:pPr>
        <w:pStyle w:val="BookText"/>
      </w:pPr>
      <w:r>
        <w:rPr>
          <w:rFonts w:ascii="IRNazanin" w:hAnsi="IRNazanin" w:eastAsia="IRNazanin" w:cs="IRNazanin"/>
          <w:lang w:bidi="fa-IR"/>
          <w:color w:val="111111"/>
          <w:sz w:val="28"/>
          <w:szCs w:val="28"/>
          <w:rtl/>
        </w:rPr>
        <w:t xml:space="preserve">کان معلم محمد شاه فاستوزره و لم یقبل و فی آخر عمره هاجر إلی العراق و بها توفی 1271 و توفی ابنه المیرزا هادی بقم 1306 ترجمه تربیت فی (دجا- ص 375) و نقل عن تذکره بهمن میرزا أن له مثنوی و کذا فی (مع 2: 502) و (الطرائق 3: 108) و یوجد نسختان من دیوانه عند (الملک).</w:t>
      </w:r>
    </w:p>
    <w:p>
      <w:pPr>
        <w:pStyle w:val="Heading3"/>
      </w:pPr>
      <w:bookmarkStart w:id="10169" w:name="_Toc8865"/>
      <w:r>
        <w:t>دیوان نصرت أرموی‏</w:t>
      </w:r>
      <w:bookmarkEnd w:id="10169"/>
    </w:p>
    <w:p>
      <w:pPr>
        <w:pStyle w:val="BookText"/>
      </w:pPr>
      <w:r>
        <w:rPr>
          <w:rFonts w:ascii="IRNazanin" w:hAnsi="IRNazanin" w:eastAsia="IRNazanin" w:cs="IRNazanin"/>
          <w:lang w:bidi="fa-IR"/>
          <w:color w:val="111111"/>
          <w:sz w:val="28"/>
          <w:szCs w:val="28"/>
          <w:rtl/>
        </w:rPr>
        <w:t xml:space="preserve">راجع نصرت علی شاه.
</w:t>
      </w:r>
    </w:p>
    <w:p>
      <w:pPr>
        <w:sectPr>
          <w:footerReference w:type="default" r:id="rId1200"/>
          <w:footnotePr>
            <w:numStart w:val="1"/>
            <w:numRestart w:val="eachPage"/>
          </w:footnotePr>
          <w:pgSz w:orient="portrait" w:w="11905.511811023622" w:h="16837.79527559055"/>
          <w:pgMar w:top="1440" w:right="1440" w:bottom="1440" w:left="1440" w:header="720" w:footer="720" w:gutter="0"/>
          <w:cols w:num="1" w:space="720"/>
        </w:sectPr>
      </w:pPr>
    </w:p>
    <w:bookmarkStart w:id="1178" w:name="pg11704_122668"/>
    <w:bookmarkEnd w:id="1178"/>
    <w:p>
      <w:pPr>
        <w:pStyle w:val="Heading3"/>
      </w:pPr>
      <w:bookmarkStart w:id="10170" w:name="_Toc8866"/>
      <w:r>
        <w:t>دیوان نصرت أصفهانی‏</w:t>
      </w:r>
      <w:bookmarkEnd w:id="10170"/>
    </w:p>
    <w:p>
      <w:pPr>
        <w:pStyle w:val="BookText"/>
      </w:pPr>
      <w:r>
        <w:rPr>
          <w:rFonts w:ascii="IRNazanin" w:hAnsi="IRNazanin" w:eastAsia="IRNazanin" w:cs="IRNazanin"/>
          <w:lang w:bidi="fa-IR"/>
          <w:color w:val="111111"/>
          <w:sz w:val="28"/>
          <w:szCs w:val="28"/>
          <w:rtl/>
        </w:rPr>
        <w:t xml:space="preserve">راجع نصرت خراسانی.</w:t>
      </w:r>
    </w:p>
    <w:p>
      <w:pPr>
        <w:pStyle w:val="Heading3"/>
      </w:pPr>
      <w:bookmarkStart w:id="10171" w:name="_Toc8867"/>
      <w:r>
        <w:t>7679- دیوان نصرت ترشیزی أو شعره‏</w:t>
      </w:r>
      <w:bookmarkEnd w:id="10171"/>
    </w:p>
    <w:p>
      <w:pPr>
        <w:pStyle w:val="BookText"/>
      </w:pPr>
      <w:r>
        <w:rPr>
          <w:rFonts w:ascii="IRNazanin" w:hAnsi="IRNazanin" w:eastAsia="IRNazanin" w:cs="IRNazanin"/>
          <w:lang w:bidi="fa-IR"/>
          <w:color w:val="111111"/>
          <w:sz w:val="28"/>
          <w:szCs w:val="28"/>
          <w:rtl/>
        </w:rPr>
        <w:t xml:space="preserve">و اسمه المیرزا نصیر ترجمه معاصره الحزین فی تذکرته ص 96 و قال رأیته بأصفهان و رجع إلی ترشیز و بها مات و أشعاره حکمیة.</w:t>
      </w:r>
    </w:p>
    <w:p>
      <w:pPr>
        <w:pStyle w:val="BookText"/>
      </w:pPr>
      <w:r>
        <w:rPr>
          <w:rFonts w:ascii="IRNazanin" w:hAnsi="IRNazanin" w:eastAsia="IRNazanin" w:cs="IRNazanin"/>
          <w:lang w:bidi="fa-IR"/>
          <w:color w:val="111111"/>
          <w:sz w:val="28"/>
          <w:szCs w:val="28"/>
          <w:rtl/>
        </w:rPr>
        <w:t xml:space="preserve">و کذا فی (گلشن- ص 519).</w:t>
      </w:r>
    </w:p>
    <w:p>
      <w:pPr>
        <w:pStyle w:val="Heading3"/>
      </w:pPr>
      <w:bookmarkStart w:id="10172" w:name="_Toc8868"/>
      <w:r>
        <w:t>7680- دیوان نصرت خراسانی‏</w:t>
      </w:r>
      <w:bookmarkEnd w:id="10172"/>
    </w:p>
    <w:p>
      <w:pPr>
        <w:pStyle w:val="BookText"/>
      </w:pPr>
      <w:r>
        <w:rPr>
          <w:rFonts w:ascii="IRNazanin" w:hAnsi="IRNazanin" w:eastAsia="IRNazanin" w:cs="IRNazanin"/>
          <w:lang w:bidi="fa-IR"/>
          <w:color w:val="111111"/>
          <w:sz w:val="28"/>
          <w:szCs w:val="28"/>
          <w:rtl/>
        </w:rPr>
        <w:t xml:space="preserve">و اسمه عبد الحسین منشی‏باشی ابن محمد حسن مستوفی بن أبی القاسم الشمس‏آبادی الأصفهانی. ولد بأصفهان 1289 و نشا بخراسان و مات بها 1374. طبع له مثنوی فروزنده فی 100 ص. مع مقدمه فی أحواله بقلم فرخ و ذلک بمشهد 1371 و له فرازنده نثرا فی رد البابیة و جامع المتفرقات شبه کشکول و أحوال شعرای سبعة عرب و دیوانه قصائد و غزلیات و قطعات و رباعیات.</w:t>
      </w:r>
    </w:p>
    <w:p>
      <w:pPr>
        <w:pStyle w:val="Heading3"/>
      </w:pPr>
      <w:bookmarkStart w:id="10173" w:name="_Toc8869"/>
      <w:r>
        <w:t>دیوان نصرت خراسانی‏</w:t>
      </w:r>
      <w:bookmarkEnd w:id="10173"/>
    </w:p>
    <w:p>
      <w:pPr>
        <w:pStyle w:val="BookText"/>
      </w:pPr>
      <w:r>
        <w:rPr>
          <w:rFonts w:ascii="IRNazanin" w:hAnsi="IRNazanin" w:eastAsia="IRNazanin" w:cs="IRNazanin"/>
          <w:lang w:bidi="fa-IR"/>
          <w:color w:val="111111"/>
          <w:sz w:val="28"/>
          <w:szCs w:val="28"/>
          <w:rtl/>
        </w:rPr>
        <w:t xml:space="preserve">راجع نصرت ترشیزی.</w:t>
      </w:r>
    </w:p>
    <w:p>
      <w:pPr>
        <w:pStyle w:val="Heading3"/>
      </w:pPr>
      <w:bookmarkStart w:id="10174" w:name="_Toc8870"/>
      <w:r>
        <w:t>7681- دیوان نصرت دکنی أو شعره‏</w:t>
      </w:r>
      <w:bookmarkEnd w:id="10174"/>
    </w:p>
    <w:p>
      <w:pPr>
        <w:pStyle w:val="BookText"/>
      </w:pPr>
      <w:r>
        <w:rPr>
          <w:rFonts w:ascii="IRNazanin" w:hAnsi="IRNazanin" w:eastAsia="IRNazanin" w:cs="IRNazanin"/>
          <w:lang w:bidi="fa-IR"/>
          <w:color w:val="111111"/>
          <w:sz w:val="28"/>
          <w:szCs w:val="28"/>
          <w:rtl/>
        </w:rPr>
        <w:t xml:space="preserve">و اسمه عباس قلی. ترجمه هدایت فی (مع 2:</w:t>
      </w:r>
    </w:p>
    <w:p>
      <w:pPr>
        <w:pStyle w:val="BookText"/>
      </w:pPr>
      <w:r>
        <w:rPr>
          <w:rFonts w:ascii="Times New Roman" w:hAnsi="Times New Roman" w:eastAsia="Times New Roman" w:cs="Times New Roman"/>
          <w:lang w:val="en-US" w:bidi="en-US"/>
          <w:color w:val="111111"/>
          <w:sz w:val="28"/>
          <w:szCs w:val="28"/>
          <w:rtl/>
        </w:rPr>
        <w:t xml:space="preserve">527.</w:t>
      </w:r>
    </w:p>
    <w:p>
      <w:pPr>
        <w:pStyle w:val="BookText"/>
      </w:pPr>
      <w:r>
        <w:rPr>
          <w:rFonts w:ascii="IRNazanin" w:hAnsi="IRNazanin" w:eastAsia="IRNazanin" w:cs="IRNazanin"/>
          <w:lang w:bidi="fa-IR"/>
          <w:color w:val="111111"/>
          <w:sz w:val="28"/>
          <w:szCs w:val="28"/>
          <w:rtl/>
        </w:rPr>
        <w:t xml:space="preserve">و قال جاء من دکن إلی زیارة مشهد الرضا فی عهد فتح علی شاه، و ترجم أیضا فی (انجمن 4).</w:t>
      </w:r>
    </w:p>
    <w:p>
      <w:pPr>
        <w:pStyle w:val="Heading3"/>
      </w:pPr>
      <w:bookmarkStart w:id="10175" w:name="_Toc8871"/>
      <w:r>
        <w:t>7682- دیوان نصرت دهلوی أو شعره‏</w:t>
      </w:r>
      <w:bookmarkEnd w:id="10175"/>
    </w:p>
    <w:p>
      <w:pPr>
        <w:pStyle w:val="BookText"/>
      </w:pPr>
      <w:r>
        <w:rPr>
          <w:rFonts w:ascii="IRNazanin" w:hAnsi="IRNazanin" w:eastAsia="IRNazanin" w:cs="IRNazanin"/>
          <w:lang w:bidi="fa-IR"/>
          <w:color w:val="111111"/>
          <w:sz w:val="28"/>
          <w:szCs w:val="28"/>
          <w:rtl/>
        </w:rPr>
        <w:t xml:space="preserve">و اسمه نصرة الله خان کان من ملازمی بهادر شاه ابن عالمگیر. ورد شعره فی (گلشن- ص 519) قال و تلمذ علی عبد اللطیف تنها.</w:t>
      </w:r>
    </w:p>
    <w:p>
      <w:pPr>
        <w:pStyle w:val="Heading3"/>
      </w:pPr>
      <w:bookmarkStart w:id="10176" w:name="_Toc8872"/>
      <w:r>
        <w:t>7683- دیوان نصرت رحمانی‏</w:t>
      </w:r>
      <w:bookmarkEnd w:id="10176"/>
    </w:p>
    <w:p>
      <w:pPr>
        <w:pStyle w:val="BookText"/>
      </w:pPr>
      <w:r>
        <w:rPr>
          <w:rFonts w:ascii="IRNazanin" w:hAnsi="IRNazanin" w:eastAsia="IRNazanin" w:cs="IRNazanin"/>
          <w:lang w:bidi="fa-IR"/>
          <w:color w:val="111111"/>
          <w:sz w:val="28"/>
          <w:szCs w:val="28"/>
          <w:rtl/>
        </w:rPr>
        <w:t xml:space="preserve">طبع مجموعتان من شعره کوچ فی 122 ص.</w:t>
      </w:r>
    </w:p>
    <w:p>
      <w:pPr>
        <w:pStyle w:val="BookText"/>
      </w:pPr>
      <w:r>
        <w:rPr>
          <w:rFonts w:ascii="IRNazanin" w:hAnsi="IRNazanin" w:eastAsia="IRNazanin" w:cs="IRNazanin"/>
          <w:lang w:bidi="fa-IR"/>
          <w:color w:val="111111"/>
          <w:sz w:val="28"/>
          <w:szCs w:val="28"/>
          <w:rtl/>
        </w:rPr>
        <w:t xml:space="preserve">و کویر فی 111 ص فی 1374.</w:t>
      </w:r>
    </w:p>
    <w:p>
      <w:pPr>
        <w:pStyle w:val="Heading3"/>
      </w:pPr>
      <w:bookmarkStart w:id="10177" w:name="_Toc8873"/>
      <w:r>
        <w:t>7684- دیوان نصرت سیالکوتی‏</w:t>
      </w:r>
      <w:bookmarkEnd w:id="10177"/>
    </w:p>
    <w:p>
      <w:pPr>
        <w:pStyle w:val="BookText"/>
      </w:pPr>
      <w:r>
        <w:rPr>
          <w:rFonts w:ascii="IRNazanin" w:hAnsi="IRNazanin" w:eastAsia="IRNazanin" w:cs="IRNazanin"/>
          <w:lang w:bidi="fa-IR"/>
          <w:color w:val="111111"/>
          <w:sz w:val="28"/>
          <w:szCs w:val="28"/>
          <w:rtl/>
        </w:rPr>
        <w:t xml:space="preserve">و اسمه المیر محمد نعیم دلاور خان ابن عبد العزیز هاجر من لاهور إلی دکن متقربا عند أمرائها و مات 1139. ترجمه قدرت فی (نتایج- ص 725) و (مسرت- ص 196) و یوجد دیوانه فی (بنگاله).</w:t>
      </w:r>
    </w:p>
    <w:p>
      <w:pPr>
        <w:pStyle w:val="Heading3"/>
      </w:pPr>
      <w:bookmarkStart w:id="10178" w:name="_Toc8874"/>
      <w:r>
        <w:t>7685- دیوان نصرت طالشی الگیلانی‏</w:t>
      </w:r>
      <w:bookmarkEnd w:id="10178"/>
    </w:p>
    <w:p>
      <w:pPr>
        <w:pStyle w:val="BookText"/>
      </w:pPr>
      <w:r>
        <w:rPr>
          <w:rFonts w:ascii="IRNazanin" w:hAnsi="IRNazanin" w:eastAsia="IRNazanin" w:cs="IRNazanin"/>
          <w:lang w:bidi="fa-IR"/>
          <w:color w:val="111111"/>
          <w:sz w:val="28"/>
          <w:szCs w:val="28"/>
          <w:rtl/>
        </w:rPr>
        <w:t xml:space="preserve">اسمه سلطان حسین بن پناه بیک. ترجمه فی (مع ج 2- ص 522) و ذکر مصاحبته معه و طلبه من شعره و بعثه إلیه و تلفه و اعتذر بعدم وجود دیوانه عنده فنقل قرب ستین بیتا مما أورده له فی انجمن خاقان فی ذیل ترجمته و ذکر أنه توفی قبل سنتین من تألیف المجمع و ترجمه فی (دجا- ص 376)
</w:t>
      </w:r>
    </w:p>
    <w:p>
      <w:pPr>
        <w:sectPr>
          <w:footerReference w:type="default" r:id="rId1201"/>
          <w:footnotePr>
            <w:numStart w:val="1"/>
            <w:numRestart w:val="eachPage"/>
          </w:footnotePr>
          <w:pgSz w:orient="portrait" w:w="11905.511811023622" w:h="16837.79527559055"/>
          <w:pgMar w:top="1440" w:right="1440" w:bottom="1440" w:left="1440" w:header="720" w:footer="720" w:gutter="0"/>
          <w:cols w:num="1" w:space="720"/>
        </w:sectPr>
      </w:pPr>
    </w:p>
    <w:bookmarkStart w:id="1179" w:name="pg11704_122669"/>
    <w:bookmarkEnd w:id="1179"/>
    <w:p>
      <w:pPr>
        <w:pStyle w:val="BookText"/>
      </w:pPr>
      <w:r>
        <w:rPr>
          <w:rFonts w:ascii="IRNazanin" w:hAnsi="IRNazanin" w:eastAsia="IRNazanin" w:cs="IRNazanin"/>
          <w:lang w:bidi="fa-IR"/>
          <w:color w:val="111111"/>
          <w:sz w:val="28"/>
          <w:szCs w:val="28"/>
          <w:rtl/>
        </w:rPr>
        <w:t xml:space="preserve">عن نگارستان دارا و نقل بعض شعره عن دیوانه و کذا فی (انجمن 3) و (گلشن- ص 519).</w:t>
      </w:r>
    </w:p>
    <w:p>
      <w:pPr>
        <w:pStyle w:val="Heading3"/>
      </w:pPr>
      <w:bookmarkStart w:id="10179" w:name="_Toc8875"/>
      <w:r>
        <w:t>7686- دیوان نصرت علی شاه‏</w:t>
      </w:r>
      <w:bookmarkEnd w:id="10179"/>
    </w:p>
    <w:p>
      <w:pPr>
        <w:pStyle w:val="BookText"/>
      </w:pPr>
      <w:r>
        <w:rPr>
          <w:rFonts w:ascii="IRNazanin" w:hAnsi="IRNazanin" w:eastAsia="IRNazanin" w:cs="IRNazanin"/>
          <w:lang w:bidi="fa-IR"/>
          <w:color w:val="111111"/>
          <w:sz w:val="28"/>
          <w:szCs w:val="28"/>
          <w:rtl/>
        </w:rPr>
        <w:t xml:space="preserve">و اسمه میرزا مسلم و لقبه فی طریقة التصوف نصرت علی شاه و توفی 1242 کما ترجمه معصوم علی شاه فی (الطرائق- 3: 119) و یوجد دیوانه عند (فخر الدین). و رأیت فی النجف نسخه فرهنگ سروری کتب نصرت بخطه أشعارا مع تاریخ شرائه نظما أوله:</w:t>
      </w:r>
    </w:p>
    <w:p>
      <w:pPr>
        <w:pStyle w:val="BookText"/>
      </w:pPr>
      <w:r>
        <w:rPr>
          <w:rFonts w:ascii="IRNazanin" w:hAnsi="IRNazanin" w:eastAsia="IRNazanin" w:cs="IRNazanin"/>
          <w:lang w:bidi="fa-IR"/>
          <w:color w:val="111111"/>
          <w:sz w:val="28"/>
          <w:szCs w:val="28"/>
          <w:rtl/>
        </w:rPr>
        <w:t xml:space="preserve">چه این فرهنگ را از لطف ذو المن‏</w:t>
      </w:r>
    </w:p>
    <w:p>
      <w:pPr>
        <w:pStyle w:val="BookText"/>
      </w:pPr>
      <w:r>
        <w:rPr>
          <w:rFonts w:ascii="IRNazanin" w:hAnsi="IRNazanin" w:eastAsia="IRNazanin" w:cs="IRNazanin"/>
          <w:lang w:bidi="fa-IR"/>
          <w:color w:val="111111"/>
          <w:sz w:val="28"/>
          <w:szCs w:val="28"/>
          <w:rtl/>
        </w:rPr>
        <w:t xml:space="preserve">خریدم با هزاران حیله و فن‏</w:t>
      </w:r>
    </w:p>
    <w:p>
      <w:pPr>
        <w:pStyle w:val="BookText"/>
      </w:pPr>
      <w:r>
        <w:rPr>
          <w:rFonts w:ascii="IRNazanin" w:hAnsi="IRNazanin" w:eastAsia="IRNazanin" w:cs="IRNazanin"/>
          <w:lang w:bidi="fa-IR"/>
          <w:color w:val="111111"/>
          <w:sz w:val="28"/>
          <w:szCs w:val="28"/>
          <w:rtl/>
        </w:rPr>
        <w:t xml:space="preserve">پس از چندی که گشتم در محلات‏</w:t>
      </w:r>
    </w:p>
    <w:p>
      <w:pPr>
        <w:pStyle w:val="BookText"/>
      </w:pPr>
      <w:r>
        <w:rPr>
          <w:rFonts w:ascii="IRNazanin" w:hAnsi="IRNazanin" w:eastAsia="IRNazanin" w:cs="IRNazanin"/>
          <w:lang w:bidi="fa-IR"/>
          <w:color w:val="111111"/>
          <w:sz w:val="28"/>
          <w:szCs w:val="28"/>
          <w:rtl/>
        </w:rPr>
        <w:t xml:space="preserve">نمودم فحص در هر بوم و برزن‏</w:t>
      </w:r>
    </w:p>
    <w:p>
      <w:pPr>
        <w:pStyle w:val="BookText"/>
      </w:pPr>
      <w:r>
        <w:rPr>
          <w:rFonts w:ascii="IRNazanin" w:hAnsi="IRNazanin" w:eastAsia="IRNazanin" w:cs="IRNazanin"/>
          <w:lang w:bidi="fa-IR"/>
          <w:color w:val="111111"/>
          <w:sz w:val="28"/>
          <w:szCs w:val="28"/>
          <w:rtl/>
        </w:rPr>
        <w:t xml:space="preserve">ز خوشوقتی به رقصیدن شدم در</w:t>
      </w:r>
    </w:p>
    <w:p>
      <w:pPr>
        <w:pStyle w:val="BookText"/>
      </w:pPr>
      <w:r>
        <w:rPr>
          <w:rFonts w:ascii="IRNazanin" w:hAnsi="IRNazanin" w:eastAsia="IRNazanin" w:cs="IRNazanin"/>
          <w:lang w:bidi="fa-IR"/>
          <w:color w:val="111111"/>
          <w:sz w:val="28"/>
          <w:szCs w:val="28"/>
          <w:rtl/>
        </w:rPr>
        <w:t xml:space="preserve">ز خوشحالی مرا آمد خنیدن‏</w:t>
      </w:r>
    </w:p>
    <w:p>
      <w:pPr>
        <w:pStyle w:val="BookText"/>
      </w:pPr>
      <w:r>
        <w:rPr>
          <w:rFonts w:ascii="IRNazanin" w:hAnsi="IRNazanin" w:eastAsia="IRNazanin" w:cs="IRNazanin"/>
          <w:lang w:bidi="fa-IR"/>
          <w:color w:val="111111"/>
          <w:sz w:val="28"/>
          <w:szCs w:val="28"/>
          <w:rtl/>
        </w:rPr>
        <w:t xml:space="preserve">ز سال ابتیاعش چون خرد گفت‏</w:t>
      </w:r>
    </w:p>
    <w:p>
      <w:pPr>
        <w:pStyle w:val="BookText"/>
      </w:pPr>
      <w:r>
        <w:rPr>
          <w:rFonts w:ascii="IRNazanin" w:hAnsi="IRNazanin" w:eastAsia="IRNazanin" w:cs="IRNazanin"/>
          <w:lang w:bidi="fa-IR"/>
          <w:color w:val="111111"/>
          <w:sz w:val="28"/>
          <w:szCs w:val="28"/>
          <w:rtl/>
        </w:rPr>
        <w:t xml:space="preserve">که تاریخی بنه بر وجه أحسن‏</w:t>
      </w:r>
    </w:p>
    <w:p>
      <w:pPr>
        <w:pStyle w:val="BookText"/>
      </w:pPr>
      <w:r>
        <w:rPr>
          <w:rFonts w:ascii="IRNazanin" w:hAnsi="IRNazanin" w:eastAsia="IRNazanin" w:cs="IRNazanin"/>
          <w:lang w:bidi="fa-IR"/>
          <w:color w:val="111111"/>
          <w:sz w:val="28"/>
          <w:szCs w:val="28"/>
          <w:rtl/>
        </w:rPr>
        <w:t xml:space="preserve">رقم زد کلک نصرت با سر وصف‏</w:t>
      </w:r>
    </w:p>
    <w:p>
      <w:pPr>
        <w:pStyle w:val="BookText"/>
      </w:pPr>
      <w:r>
        <w:rPr>
          <w:rFonts w:ascii="IRNazanin" w:hAnsi="IRNazanin" w:eastAsia="IRNazanin" w:cs="IRNazanin"/>
          <w:lang w:bidi="fa-IR"/>
          <w:color w:val="111111"/>
          <w:sz w:val="28"/>
          <w:szCs w:val="28"/>
          <w:rtl/>
        </w:rPr>
        <w:t xml:space="preserve">که فرهنگ سروری باشد از من‏</w:t>
      </w:r>
    </w:p>
    <w:p>
      <w:pPr>
        <w:pStyle w:val="BookText"/>
      </w:pPr>
      <w:r>
        <w:rPr>
          <w:rFonts w:ascii="IRNazanin" w:hAnsi="IRNazanin" w:eastAsia="IRNazanin" w:cs="IRNazanin"/>
          <w:lang w:bidi="fa-IR"/>
          <w:color w:val="111111"/>
          <w:sz w:val="28"/>
          <w:szCs w:val="28"/>
          <w:rtl/>
        </w:rPr>
        <w:t xml:space="preserve">و بزیادة عدد الواو التی فی أول وصف ینطبق علی 1232 ثم انتقل إلی المیرزا فرخ ولد نصرت و اشتراه نظام الدین عن میرزا فرخ 1252 کما کتب بخطه.</w:t>
      </w:r>
    </w:p>
    <w:p>
      <w:pPr>
        <w:pStyle w:val="Heading3"/>
      </w:pPr>
      <w:bookmarkStart w:id="10180" w:name="_Toc8876"/>
      <w:r>
        <w:t>دیوان نصرت کبود جامه أسترآبادی‏</w:t>
      </w:r>
      <w:bookmarkEnd w:id="10180"/>
    </w:p>
    <w:p>
      <w:pPr>
        <w:pStyle w:val="BookText"/>
      </w:pPr>
      <w:r>
        <w:rPr>
          <w:rFonts w:ascii="IRNazanin" w:hAnsi="IRNazanin" w:eastAsia="IRNazanin" w:cs="IRNazanin"/>
          <w:lang w:bidi="fa-IR"/>
          <w:color w:val="111111"/>
          <w:sz w:val="28"/>
          <w:szCs w:val="28"/>
          <w:rtl/>
        </w:rPr>
        <w:t xml:space="preserve">و اسمه نصرة الدین أو نظام الدین من أمراء کبودجامگان ترجمه العوفی فی (لب 5) و (روشن- ص 334) راجع کبود جامه.</w:t>
      </w:r>
    </w:p>
    <w:p>
      <w:pPr>
        <w:pStyle w:val="BookText"/>
      </w:pPr>
      <w:r>
        <w:rPr>
          <w:rFonts w:ascii="IRNazanin" w:hAnsi="IRNazanin" w:eastAsia="IRNazanin" w:cs="IRNazanin"/>
          <w:lang w:bidi="fa-IR"/>
          <w:color w:val="111111"/>
          <w:sz w:val="28"/>
          <w:szCs w:val="28"/>
          <w:rtl/>
        </w:rPr>
        <w:t xml:space="preserve">فی ص 907 و 1201.</w:t>
      </w:r>
    </w:p>
    <w:p>
      <w:pPr>
        <w:pStyle w:val="Heading3"/>
      </w:pPr>
      <w:bookmarkStart w:id="10181" w:name="_Toc8877"/>
      <w:r>
        <w:t>دیوان نصرت گیلانی‏</w:t>
      </w:r>
      <w:bookmarkEnd w:id="10181"/>
    </w:p>
    <w:p>
      <w:pPr>
        <w:pStyle w:val="BookText"/>
      </w:pPr>
      <w:r>
        <w:rPr>
          <w:rFonts w:ascii="IRNazanin" w:hAnsi="IRNazanin" w:eastAsia="IRNazanin" w:cs="IRNazanin"/>
          <w:lang w:bidi="fa-IR"/>
          <w:color w:val="111111"/>
          <w:sz w:val="28"/>
          <w:szCs w:val="28"/>
          <w:rtl/>
        </w:rPr>
        <w:t xml:space="preserve">راجع نصرت طالشی و نصرتی گیلانی.</w:t>
      </w:r>
    </w:p>
    <w:p>
      <w:pPr>
        <w:pStyle w:val="Heading3"/>
      </w:pPr>
      <w:bookmarkStart w:id="10182" w:name="_Toc8878"/>
      <w:r>
        <w:t>7687- دیوان نصرت مشهدی أو شعره‏</w:t>
      </w:r>
      <w:bookmarkEnd w:id="10182"/>
    </w:p>
    <w:p>
      <w:pPr>
        <w:pStyle w:val="BookText"/>
      </w:pPr>
      <w:r>
        <w:rPr>
          <w:rFonts w:ascii="IRNazanin" w:hAnsi="IRNazanin" w:eastAsia="IRNazanin" w:cs="IRNazanin"/>
          <w:lang w:bidi="fa-IR"/>
          <w:color w:val="111111"/>
          <w:sz w:val="28"/>
          <w:szCs w:val="28"/>
          <w:rtl/>
        </w:rPr>
        <w:t xml:space="preserve">و اسمه محمد نصیر بن محمد جعفر البصری.</w:t>
      </w:r>
    </w:p>
    <w:p>
      <w:pPr>
        <w:pStyle w:val="BookText"/>
      </w:pPr>
      <w:r>
        <w:rPr>
          <w:rFonts w:ascii="IRNazanin" w:hAnsi="IRNazanin" w:eastAsia="IRNazanin" w:cs="IRNazanin"/>
          <w:lang w:bidi="fa-IR"/>
          <w:color w:val="111111"/>
          <w:sz w:val="28"/>
          <w:szCs w:val="28"/>
          <w:rtl/>
        </w:rPr>
        <w:t xml:space="preserve">کذا وصف نفسه فی مقدمه‏</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و لطائف الخیال هذا غیر المذکور فی ص 1052.</w:t>
      </w:r>
    </w:p>
    <w:p>
      <w:pPr>
        <w:pStyle w:val="BookText"/>
      </w:pPr>
      <w:r>
        <w:rPr>
          <w:rFonts w:ascii="IRNazanin" w:hAnsi="IRNazanin" w:eastAsia="IRNazanin" w:cs="IRNazanin"/>
          <w:lang w:bidi="fa-IR"/>
          <w:color w:val="111111"/>
          <w:sz w:val="28"/>
          <w:szCs w:val="28"/>
          <w:rtl/>
        </w:rPr>
        <w:t xml:space="preserve">کتبها علی تذکره لطائف الخیال للمیر محمد صالح الرضوی و یوجد فی هذه التذکرة کثیر من شعر نصرت هذا، کما ذکر فی فهرس (المجلس) 3: 634 و فهرس (سپهسالار) 2: 479.</w:t>
      </w:r>
    </w:p>
    <w:p>
      <w:pPr>
        <w:pStyle w:val="Heading3"/>
      </w:pPr>
      <w:bookmarkStart w:id="10183" w:name="_Toc8879"/>
      <w:r>
        <w:t>دیوان نصرت الوزارة بهبهانی‏</w:t>
      </w:r>
      <w:bookmarkEnd w:id="10183"/>
    </w:p>
    <w:p>
      <w:pPr>
        <w:pStyle w:val="BookText"/>
      </w:pPr>
      <w:r>
        <w:rPr>
          <w:rFonts w:ascii="IRNazanin" w:hAnsi="IRNazanin" w:eastAsia="IRNazanin" w:cs="IRNazanin"/>
          <w:lang w:bidi="fa-IR"/>
          <w:color w:val="111111"/>
          <w:sz w:val="28"/>
          <w:szCs w:val="28"/>
          <w:rtl/>
        </w:rPr>
        <w:t xml:space="preserve">مر بتخلصه بدیع فی ص 129 و طبع علی الحجر فی بمبئی 1332.
</w:t>
      </w:r>
    </w:p>
    <w:p>
      <w:pPr>
        <w:sectPr>
          <w:footerReference w:type="default" r:id="rId1202"/>
          <w:footnotePr>
            <w:numStart w:val="1"/>
            <w:numRestart w:val="eachPage"/>
          </w:footnotePr>
          <w:pgSz w:orient="portrait" w:w="11905.511811023622" w:h="16837.79527559055"/>
          <w:pgMar w:top="1440" w:right="1440" w:bottom="1440" w:left="1440" w:header="720" w:footer="720" w:gutter="0"/>
          <w:cols w:num="1" w:space="720"/>
        </w:sectPr>
      </w:pPr>
    </w:p>
    <w:bookmarkStart w:id="1180" w:name="pg11704_122670"/>
    <w:bookmarkEnd w:id="1180"/>
    <w:p>
      <w:pPr>
        <w:pStyle w:val="Heading3"/>
      </w:pPr>
      <w:bookmarkStart w:id="10184" w:name="_Toc8880"/>
      <w:r>
        <w:t>7688- دیوان نصرتی أصفهانی أو شعره‏</w:t>
      </w:r>
      <w:bookmarkEnd w:id="10184"/>
    </w:p>
    <w:p>
      <w:pPr>
        <w:pStyle w:val="BookText"/>
      </w:pPr>
      <w:r>
        <w:rPr>
          <w:rFonts w:ascii="IRNazanin" w:hAnsi="IRNazanin" w:eastAsia="IRNazanin" w:cs="IRNazanin"/>
          <w:lang w:bidi="fa-IR"/>
          <w:color w:val="111111"/>
          <w:sz w:val="28"/>
          <w:szCs w:val="28"/>
          <w:rtl/>
        </w:rPr>
        <w:t xml:space="preserve">جاء شعره فی (خوش‏گو) و قال إن اسمه میر أبو محمد.</w:t>
      </w:r>
    </w:p>
    <w:p>
      <w:pPr>
        <w:pStyle w:val="Heading3"/>
      </w:pPr>
      <w:bookmarkStart w:id="10185" w:name="_Toc8881"/>
      <w:r>
        <w:t>دیوان نصرتی گیلانی‏</w:t>
      </w:r>
      <w:bookmarkEnd w:id="10185"/>
    </w:p>
    <w:p>
      <w:pPr>
        <w:pStyle w:val="BookText"/>
      </w:pPr>
      <w:r>
        <w:rPr>
          <w:rFonts w:ascii="IRNazanin" w:hAnsi="IRNazanin" w:eastAsia="IRNazanin" w:cs="IRNazanin"/>
          <w:lang w:bidi="fa-IR"/>
          <w:color w:val="111111"/>
          <w:sz w:val="28"/>
          <w:szCs w:val="28"/>
          <w:rtl/>
        </w:rPr>
        <w:t xml:space="preserve">کما فی (گلشن- ص 519) و الظاهر أنه هو نصرت طالشی.</w:t>
      </w:r>
    </w:p>
    <w:p>
      <w:pPr>
        <w:pStyle w:val="Heading3"/>
      </w:pPr>
      <w:bookmarkStart w:id="10186" w:name="_Toc8882"/>
      <w:r>
        <w:t>7689- دیوان نصرتی هندی‏</w:t>
      </w:r>
      <w:bookmarkEnd w:id="10186"/>
    </w:p>
    <w:p>
      <w:pPr>
        <w:pStyle w:val="BookText"/>
      </w:pPr>
      <w:r>
        <w:rPr>
          <w:rFonts w:ascii="IRNazanin" w:hAnsi="IRNazanin" w:eastAsia="IRNazanin" w:cs="IRNazanin"/>
          <w:lang w:bidi="fa-IR"/>
          <w:color w:val="111111"/>
          <w:sz w:val="28"/>
          <w:szCs w:val="28"/>
          <w:rtl/>
        </w:rPr>
        <w:t xml:space="preserve">و اسمه میان نصرتی. له منظومة مهر و ماه و کان حیا فی 1068 کما ذکره أته فی فهرسه 93. و قد مر مهر و ماه لعارف لاهوری فی ص 670.</w:t>
      </w:r>
    </w:p>
    <w:p>
      <w:pPr>
        <w:pStyle w:val="Heading3"/>
      </w:pPr>
      <w:bookmarkStart w:id="10187" w:name="_Toc8883"/>
      <w:r>
        <w:t>7690- دیوان نصر شکاربوری أو شعر</w:t>
      </w:r>
      <w:bookmarkEnd w:id="10187"/>
    </w:p>
    <w:p>
      <w:pPr>
        <w:pStyle w:val="BookText"/>
      </w:pPr>
      <w:r>
        <w:rPr>
          <w:rFonts w:ascii="IRNazanin" w:hAnsi="IRNazanin" w:eastAsia="IRNazanin" w:cs="IRNazanin"/>
          <w:lang w:bidi="fa-IR"/>
          <w:color w:val="111111"/>
          <w:sz w:val="28"/>
          <w:szCs w:val="28"/>
          <w:rtl/>
        </w:rPr>
        <w:t xml:space="preserve">و اسمه المولوی نصر الله. ترجمه معاصره سلیم فی (گلشن- ص 519).</w:t>
      </w:r>
    </w:p>
    <w:p>
      <w:pPr>
        <w:pStyle w:val="Heading3"/>
      </w:pPr>
      <w:bookmarkStart w:id="10188" w:name="_Toc8884"/>
      <w:r>
        <w:t>7691- دیوان نصر شیرازی‏</w:t>
      </w:r>
      <w:bookmarkEnd w:id="10188"/>
    </w:p>
    <w:p>
      <w:pPr>
        <w:pStyle w:val="BookText"/>
      </w:pPr>
      <w:r>
        <w:rPr>
          <w:rFonts w:ascii="IRNazanin" w:hAnsi="IRNazanin" w:eastAsia="IRNazanin" w:cs="IRNazanin"/>
          <w:lang w:bidi="fa-IR"/>
          <w:color w:val="111111"/>
          <w:sz w:val="28"/>
          <w:szCs w:val="28"/>
          <w:rtl/>
        </w:rPr>
        <w:t xml:space="preserve">هو أبو المعالی نصر الله بن عبد الحمید. کان من وزراء خسرو ملک شاه و قتل فی سجنه. له کلیلة و دمنة ترجمه بالفارسیة لکلیلة ابن المقفع.</w:t>
      </w:r>
    </w:p>
    <w:p>
      <w:pPr>
        <w:pStyle w:val="BookText"/>
      </w:pPr>
      <w:r>
        <w:rPr>
          <w:rFonts w:ascii="IRNazanin" w:hAnsi="IRNazanin" w:eastAsia="IRNazanin" w:cs="IRNazanin"/>
          <w:lang w:bidi="fa-IR"/>
          <w:color w:val="111111"/>
          <w:sz w:val="28"/>
          <w:szCs w:val="28"/>
          <w:rtl/>
        </w:rPr>
        <w:t xml:space="preserve">ترجمه العوفی فی (لب) و الرازی فی هفت إقلیم و آذر فی (تش- ص 297) و هدایت فی (مع 1- ص 655) و سلیم فی (گلشن- ص 522).</w:t>
      </w:r>
    </w:p>
    <w:p>
      <w:pPr>
        <w:pStyle w:val="Heading3"/>
      </w:pPr>
      <w:bookmarkStart w:id="10189" w:name="_Toc8885"/>
      <w:r>
        <w:t>دیوان نصر قراگوزلو</w:t>
      </w:r>
      <w:bookmarkEnd w:id="10189"/>
    </w:p>
    <w:p>
      <w:pPr>
        <w:pStyle w:val="BookText"/>
      </w:pPr>
      <w:r>
        <w:rPr>
          <w:rFonts w:ascii="IRNazanin" w:hAnsi="IRNazanin" w:eastAsia="IRNazanin" w:cs="IRNazanin"/>
          <w:lang w:bidi="fa-IR"/>
          <w:color w:val="111111"/>
          <w:sz w:val="28"/>
          <w:szCs w:val="28"/>
          <w:rtl/>
        </w:rPr>
        <w:t xml:space="preserve">راجع نصر الله خان قراگوزلو.</w:t>
      </w:r>
    </w:p>
    <w:p>
      <w:pPr>
        <w:pStyle w:val="Heading3"/>
      </w:pPr>
      <w:bookmarkStart w:id="10190" w:name="_Toc8886"/>
      <w:r>
        <w:t>7692- دیوان سید نصر الله تقوی‏</w:t>
      </w:r>
      <w:bookmarkEnd w:id="10190"/>
    </w:p>
    <w:p>
      <w:pPr>
        <w:pStyle w:val="BookText"/>
      </w:pPr>
      <w:r>
        <w:rPr>
          <w:rFonts w:ascii="IRNazanin" w:hAnsi="IRNazanin" w:eastAsia="IRNazanin" w:cs="IRNazanin"/>
          <w:lang w:bidi="fa-IR"/>
          <w:color w:val="111111"/>
          <w:sz w:val="28"/>
          <w:szCs w:val="28"/>
          <w:rtl/>
        </w:rPr>
        <w:t xml:space="preserve">هو الحاج السید نصر الله بن السید رضا بن السید حسین بن السید حسن التقوی الشهیر بالأخوی. ولد 1288 و توفی 21 محرم 1367 و مر بتخلصه التقوی یوجد نیف و عشرون صفحة من شعره فی نامه فرهنگیان الموجود بمکتبة (المجلس) کما فی فهرسها ج 3 ص 694 و ترجمه و أورد بعض شعره النیروزیة فی أدبیات معاصر ص 37.</w:t>
      </w:r>
    </w:p>
    <w:p>
      <w:pPr>
        <w:pStyle w:val="Heading3"/>
      </w:pPr>
      <w:bookmarkStart w:id="10191" w:name="_Toc8887"/>
      <w:r>
        <w:t>7693- دیوان نصر الله خان قراگوزلو</w:t>
      </w:r>
      <w:bookmarkEnd w:id="10191"/>
    </w:p>
    <w:p>
      <w:pPr>
        <w:pStyle w:val="BookText"/>
      </w:pPr>
      <w:r>
        <w:rPr>
          <w:rFonts w:ascii="IRNazanin" w:hAnsi="IRNazanin" w:eastAsia="IRNazanin" w:cs="IRNazanin"/>
          <w:lang w:bidi="fa-IR"/>
          <w:color w:val="111111"/>
          <w:sz w:val="28"/>
          <w:szCs w:val="28"/>
          <w:rtl/>
        </w:rPr>
        <w:t xml:space="preserve">ترجمه معاصره فی (مع 2: ص 515) و قال إنه کان طول عمره من الأمراء و الوزراء، و أورد بعض شعره.</w:t>
      </w:r>
    </w:p>
    <w:p>
      <w:pPr>
        <w:pStyle w:val="Heading3"/>
      </w:pPr>
      <w:bookmarkStart w:id="10192" w:name="_Toc8888"/>
      <w:r>
        <w:t>7694- دیوان محمد نصر الله شیرازی المعمائی‏</w:t>
      </w:r>
      <w:bookmarkEnd w:id="10192"/>
    </w:p>
    <w:p>
      <w:pPr>
        <w:pStyle w:val="BookText"/>
      </w:pPr>
      <w:r>
        <w:rPr>
          <w:rFonts w:ascii="IRNazanin" w:hAnsi="IRNazanin" w:eastAsia="IRNazanin" w:cs="IRNazanin"/>
          <w:lang w:bidi="fa-IR"/>
          <w:color w:val="111111"/>
          <w:sz w:val="28"/>
          <w:szCs w:val="28"/>
          <w:rtl/>
        </w:rPr>
        <w:t xml:space="preserve">. أورد النصرآبادی فی (نر 15- ص 505) معمیاته باسم بابا صادق و مجد الدین و أوحد و سید بابا و إبراهیم.</w:t>
      </w:r>
    </w:p>
    <w:p>
      <w:pPr>
        <w:pStyle w:val="Heading3"/>
      </w:pPr>
      <w:bookmarkStart w:id="10193" w:name="_Toc8889"/>
      <w:r>
        <w:t>7695- دیوان السید نصر الله المدرس الشهید</w:t>
      </w:r>
      <w:bookmarkEnd w:id="10193"/>
    </w:p>
    <w:p>
      <w:pPr>
        <w:pStyle w:val="BookText"/>
      </w:pPr>
      <w:r>
        <w:rPr>
          <w:rFonts w:ascii="IRNazanin" w:hAnsi="IRNazanin" w:eastAsia="IRNazanin" w:cs="IRNazanin"/>
          <w:lang w:bidi="fa-IR"/>
          <w:color w:val="111111"/>
          <w:sz w:val="28"/>
          <w:szCs w:val="28"/>
          <w:rtl/>
        </w:rPr>
        <w:t xml:space="preserve">. و هو السید صفی الدین أو عز الدین أبو الفتح نصر الله بن الحسین بن علی بن إسماعیل الحسینی الموسوی الفائزی الحائری المدرس بها و الشهید بین سنتی 1166 و 1168 قال السید عبد الله الجزائری فی‏
</w:t>
      </w:r>
    </w:p>
    <w:p>
      <w:pPr>
        <w:sectPr>
          <w:footerReference w:type="default" r:id="rId1203"/>
          <w:footnotePr>
            <w:numStart w:val="1"/>
            <w:numRestart w:val="eachPage"/>
          </w:footnotePr>
          <w:pgSz w:orient="portrait" w:w="11905.511811023622" w:h="16837.79527559055"/>
          <w:pgMar w:top="1440" w:right="1440" w:bottom="1440" w:left="1440" w:header="720" w:footer="720" w:gutter="0"/>
          <w:cols w:num="1" w:space="720"/>
        </w:sectPr>
      </w:pPr>
    </w:p>
    <w:bookmarkStart w:id="1181" w:name="pg11704_122671"/>
    <w:bookmarkEnd w:id="1181"/>
    <w:p>
      <w:pPr>
        <w:pStyle w:val="BookText"/>
      </w:pPr>
      <w:r>
        <w:rPr>
          <w:rFonts w:ascii="IRNazanin" w:hAnsi="IRNazanin" w:eastAsia="IRNazanin" w:cs="IRNazanin"/>
          <w:lang w:bidi="fa-IR"/>
          <w:color w:val="111111"/>
          <w:sz w:val="28"/>
          <w:szCs w:val="28"/>
          <w:rtl/>
        </w:rPr>
        <w:t xml:space="preserve">إجازته الکبیرة: إنه کان آیة فی الفهم و الذکاء و حسن التقریر و فصاحة التعبیر شاعرا أدیبا، له دیوان حسن، و له الید الطولی فی نظم التاریخ و المقطعات، و کان مرضیا مقبولا عند المخالف و المؤالف. أقول: نعم ترجمه من المخالفین الشیخ عصام الدین العمری الموصلی فی کتابه الروض النضر فی علماء العصر و قال: العلامة السید نصر الله الحائری. شعر:</w:t>
      </w:r>
    </w:p>
    <w:p>
      <w:pPr>
        <w:pStyle w:val="BookText"/>
      </w:pPr>
      <w:r>
        <w:rPr>
          <w:rFonts w:ascii="IRNazanin" w:hAnsi="IRNazanin" w:eastAsia="IRNazanin" w:cs="IRNazanin"/>
          <w:lang w:bidi="fa-IR"/>
          <w:color w:val="111111"/>
          <w:sz w:val="28"/>
          <w:szCs w:val="28"/>
          <w:rtl/>
        </w:rPr>
        <w:t xml:space="preserve">وحید أدیب فی الفضائل واحد</w:t>
      </w:r>
    </w:p>
    <w:p>
      <w:pPr>
        <w:pStyle w:val="BookText"/>
      </w:pPr>
      <w:r>
        <w:rPr>
          <w:rFonts w:ascii="IRNazanin" w:hAnsi="IRNazanin" w:eastAsia="IRNazanin" w:cs="IRNazanin"/>
          <w:lang w:bidi="fa-IR"/>
          <w:color w:val="111111"/>
          <w:sz w:val="28"/>
          <w:szCs w:val="28"/>
          <w:rtl/>
        </w:rPr>
        <w:t xml:space="preserve">غدا مثل‏بسم الله فهو مقدم‏</w:t>
      </w:r>
    </w:p>
    <w:p>
      <w:pPr>
        <w:pStyle w:val="BookText"/>
      </w:pPr>
      <w:r>
        <w:rPr>
          <w:rFonts w:ascii="IRNazanin" w:hAnsi="IRNazanin" w:eastAsia="IRNazanin" w:cs="IRNazanin"/>
          <w:lang w:bidi="fa-IR"/>
          <w:color w:val="111111"/>
          <w:sz w:val="28"/>
          <w:szCs w:val="28"/>
          <w:rtl/>
        </w:rPr>
        <w:t xml:space="preserve">إذا کان نور الشمس لازم جرمها</w:t>
      </w:r>
    </w:p>
    <w:p>
      <w:pPr>
        <w:pStyle w:val="BookText"/>
      </w:pPr>
      <w:r>
        <w:rPr>
          <w:rFonts w:ascii="IRNazanin" w:hAnsi="IRNazanin" w:eastAsia="IRNazanin" w:cs="IRNazanin"/>
          <w:lang w:bidi="fa-IR"/>
          <w:color w:val="111111"/>
          <w:sz w:val="28"/>
          <w:szCs w:val="28"/>
          <w:rtl/>
        </w:rPr>
        <w:t xml:space="preserve">فطلعته الزهراء نور مجسم‏</w:t>
      </w:r>
    </w:p>
    <w:p>
      <w:pPr>
        <w:pStyle w:val="BookText"/>
      </w:pPr>
      <w:r>
        <w:rPr>
          <w:rFonts w:ascii="IRNazanin" w:hAnsi="IRNazanin" w:eastAsia="IRNazanin" w:cs="IRNazanin"/>
          <w:lang w:bidi="fa-IR"/>
          <w:color w:val="111111"/>
          <w:sz w:val="28"/>
          <w:szCs w:val="28"/>
          <w:rtl/>
        </w:rPr>
        <w:t xml:space="preserve">ثم أکثر فی الثناء و المدح له نثرا، و أورد بعض أشعاره. و قد رأیت نسخه نفیسة من دیوانه أولا فی مکتبة السید (العطار ببغداد ثم رأیت عند الحاج عباس الکرمانی نسخه علیها تملک عبد الرزاق بن علی بن محمد بن عبد الهادی الکاظمی 1248 و بعد موته فی رجب 1294 ورثها ابنه محمد جواد. و قد جمعه تلمیذه السید حسین بن المیر عبد الرشید و رتبه علی ثلاثة أجزاء، الأول فیما اعتنی به السید الناظم و دونه و هیأه لکل من یقرئه. و الثانی فیما لم یکن الناظم بعد تدوینه یطلع علیه الأمن یثق به من النذر القلیل، و ذلک لاشتماله علی ما لا یقوی لسماعة الجمهور. و الثالث ما لم یعتن الناظم بتدوینه لحقارته لدیه، فدونه التلمیذ بنفسه، أوله [الحمد لله الذی جعلنا من أهل الأدب ...] و أول ما دونه السید بنفسه:</w:t>
      </w:r>
    </w:p>
    <w:p>
      <w:pPr>
        <w:pStyle w:val="BookText"/>
      </w:pPr>
      <w:r>
        <w:rPr>
          <w:rFonts w:ascii="IRNazanin" w:hAnsi="IRNazanin" w:eastAsia="IRNazanin" w:cs="IRNazanin"/>
          <w:lang w:bidi="fa-IR"/>
          <w:color w:val="111111"/>
          <w:sz w:val="28"/>
          <w:szCs w:val="28"/>
          <w:rtl/>
        </w:rPr>
        <w:t xml:space="preserve">یقول نصر الله ذو الکبائر</w:t>
      </w:r>
    </w:p>
    <w:p>
      <w:pPr>
        <w:pStyle w:val="BookText"/>
      </w:pPr>
      <w:r>
        <w:rPr>
          <w:rFonts w:ascii="IRNazanin" w:hAnsi="IRNazanin" w:eastAsia="IRNazanin" w:cs="IRNazanin"/>
          <w:lang w:bidi="fa-IR"/>
          <w:color w:val="111111"/>
          <w:sz w:val="28"/>
          <w:szCs w:val="28"/>
          <w:rtl/>
        </w:rPr>
        <w:t xml:space="preserve">نجل الحسین بن علی الحائری‏</w:t>
      </w:r>
    </w:p>
    <w:p>
      <w:pPr>
        <w:pStyle w:val="BookText"/>
      </w:pPr>
      <w:r>
        <w:rPr>
          <w:rFonts w:ascii="IRNazanin" w:hAnsi="IRNazanin" w:eastAsia="IRNazanin" w:cs="IRNazanin"/>
          <w:lang w:bidi="fa-IR"/>
          <w:color w:val="111111"/>
          <w:sz w:val="28"/>
          <w:szCs w:val="28"/>
          <w:rtl/>
        </w:rPr>
        <w:t xml:space="preserve">باسم الذی علمنا بالقلم‏</w:t>
      </w:r>
    </w:p>
    <w:p>
      <w:pPr>
        <w:pStyle w:val="BookText"/>
      </w:pPr>
      <w:r>
        <w:rPr>
          <w:rFonts w:ascii="IRNazanin" w:hAnsi="IRNazanin" w:eastAsia="IRNazanin" w:cs="IRNazanin"/>
          <w:lang w:bidi="fa-IR"/>
          <w:color w:val="111111"/>
          <w:sz w:val="28"/>
          <w:szCs w:val="28"/>
          <w:rtl/>
        </w:rPr>
        <w:t xml:space="preserve">من علم الإنسان ما لم یعلم‏</w:t>
      </w:r>
    </w:p>
    <w:p>
      <w:pPr>
        <w:pStyle w:val="BookText"/>
      </w:pPr>
      <w:r>
        <w:rPr>
          <w:rFonts w:ascii="IRNazanin" w:hAnsi="IRNazanin" w:eastAsia="IRNazanin" w:cs="IRNazanin"/>
          <w:lang w:bidi="fa-IR"/>
          <w:color w:val="111111"/>
          <w:sz w:val="28"/>
          <w:szCs w:val="28"/>
          <w:rtl/>
        </w:rPr>
        <w:t xml:space="preserve">ثم بعد نیف و عشرین بیتا بدأ ب النفحة القدسیة فی مدح خیر البریة فی أربعین بیتا.</w:t>
      </w:r>
    </w:p>
    <w:p>
      <w:pPr>
        <w:pStyle w:val="Heading3"/>
      </w:pPr>
      <w:bookmarkStart w:id="10194" w:name="_Toc8890"/>
      <w:r>
        <w:t>دیوان نصر همدانی‏</w:t>
      </w:r>
      <w:bookmarkEnd w:id="10194"/>
    </w:p>
    <w:p>
      <w:pPr>
        <w:pStyle w:val="BookText"/>
      </w:pPr>
      <w:r>
        <w:rPr>
          <w:rFonts w:ascii="IRNazanin" w:hAnsi="IRNazanin" w:eastAsia="IRNazanin" w:cs="IRNazanin"/>
          <w:lang w:bidi="fa-IR"/>
          <w:color w:val="111111"/>
          <w:sz w:val="28"/>
          <w:szCs w:val="28"/>
          <w:rtl/>
        </w:rPr>
        <w:t xml:space="preserve">راجع نصر الله قراگوزلو.</w:t>
      </w:r>
    </w:p>
    <w:p>
      <w:pPr>
        <w:pStyle w:val="Heading3"/>
      </w:pPr>
      <w:bookmarkStart w:id="10195" w:name="_Toc8891"/>
      <w:r>
        <w:t>7696- دیوان نصیب أصفهانی أو شعره‏</w:t>
      </w:r>
      <w:bookmarkEnd w:id="10195"/>
    </w:p>
    <w:p>
      <w:pPr>
        <w:pStyle w:val="BookText"/>
      </w:pPr>
      <w:r>
        <w:rPr>
          <w:rFonts w:ascii="IRNazanin" w:hAnsi="IRNazanin" w:eastAsia="IRNazanin" w:cs="IRNazanin"/>
          <w:lang w:bidi="fa-IR"/>
          <w:color w:val="111111"/>
          <w:sz w:val="28"/>
          <w:szCs w:val="28"/>
          <w:rtl/>
        </w:rPr>
        <w:t xml:space="preserve">و اسمه آقا محمد ترجمه معاصره آذر فی (تش- ص 414) و قال مات 1182 و کذا فی (انجمن 4) و (نتایج- ص 729).</w:t>
      </w:r>
    </w:p>
    <w:p>
      <w:pPr>
        <w:pStyle w:val="Heading3"/>
      </w:pPr>
      <w:bookmarkStart w:id="10196" w:name="_Toc8892"/>
      <w:r>
        <w:t>7697- دیوان نصیب أصفهانی أو شعره‏</w:t>
      </w:r>
      <w:bookmarkEnd w:id="10196"/>
    </w:p>
    <w:p>
      <w:pPr>
        <w:pStyle w:val="BookText"/>
      </w:pPr>
      <w:r>
        <w:rPr>
          <w:rFonts w:ascii="IRNazanin" w:hAnsi="IRNazanin" w:eastAsia="IRNazanin" w:cs="IRNazanin"/>
          <w:lang w:bidi="fa-IR"/>
          <w:color w:val="111111"/>
          <w:sz w:val="28"/>
          <w:szCs w:val="28"/>
          <w:rtl/>
        </w:rPr>
        <w:t xml:space="preserve">و اسمه الحاج طالب بن مقصود چیت‏ساز.</w:t>
      </w:r>
    </w:p>
    <w:p>
      <w:pPr>
        <w:pStyle w:val="BookText"/>
      </w:pPr>
      <w:r>
        <w:rPr>
          <w:rFonts w:ascii="IRNazanin" w:hAnsi="IRNazanin" w:eastAsia="IRNazanin" w:cs="IRNazanin"/>
          <w:lang w:bidi="fa-IR"/>
          <w:color w:val="111111"/>
          <w:sz w:val="28"/>
          <w:szCs w:val="28"/>
          <w:rtl/>
        </w:rPr>
        <w:t xml:space="preserve">صار تاجرا بعد وفاة والده و سافر إلی الهند. کذا ذکره معاصره فی (نر 9- ص 360) و (سرخوش- ص 115) و (خوش‏گو).
</w:t>
      </w:r>
    </w:p>
    <w:p>
      <w:pPr>
        <w:sectPr>
          <w:footerReference w:type="default" r:id="rId1204"/>
          <w:footnotePr>
            <w:numStart w:val="1"/>
            <w:numRestart w:val="eachPage"/>
          </w:footnotePr>
          <w:pgSz w:orient="portrait" w:w="11905.511811023622" w:h="16837.79527559055"/>
          <w:pgMar w:top="1440" w:right="1440" w:bottom="1440" w:left="1440" w:header="720" w:footer="720" w:gutter="0"/>
          <w:cols w:num="1" w:space="720"/>
        </w:sectPr>
      </w:pPr>
    </w:p>
    <w:bookmarkStart w:id="1182" w:name="pg11704_122672"/>
    <w:bookmarkEnd w:id="1182"/>
    <w:p>
      <w:pPr>
        <w:pStyle w:val="Heading3"/>
      </w:pPr>
      <w:bookmarkStart w:id="10197" w:name="_Toc8893"/>
      <w:r>
        <w:t>7698- دیوان نصیب رازی أو شعره‏</w:t>
      </w:r>
      <w:bookmarkEnd w:id="10197"/>
    </w:p>
    <w:p>
      <w:pPr>
        <w:pStyle w:val="BookText"/>
      </w:pPr>
      <w:r>
        <w:rPr>
          <w:rFonts w:ascii="IRNazanin" w:hAnsi="IRNazanin" w:eastAsia="IRNazanin" w:cs="IRNazanin"/>
          <w:lang w:bidi="fa-IR"/>
          <w:color w:val="111111"/>
          <w:sz w:val="28"/>
          <w:szCs w:val="28"/>
          <w:rtl/>
        </w:rPr>
        <w:t xml:space="preserve">ترجمه و أورد شعره معاصره النصرآبادی فی (نر 9- ص 400) قال و سافر إلی الهند.</w:t>
      </w:r>
    </w:p>
    <w:p>
      <w:pPr>
        <w:pStyle w:val="Heading3"/>
      </w:pPr>
      <w:bookmarkStart w:id="10198" w:name="_Toc8894"/>
      <w:r>
        <w:t>7699- دیوان نصیب سبزواری أو شعره‏</w:t>
      </w:r>
      <w:bookmarkEnd w:id="10198"/>
    </w:p>
    <w:p>
      <w:pPr>
        <w:pStyle w:val="BookText"/>
      </w:pPr>
      <w:r>
        <w:rPr>
          <w:rFonts w:ascii="IRNazanin" w:hAnsi="IRNazanin" w:eastAsia="IRNazanin" w:cs="IRNazanin"/>
          <w:lang w:bidi="fa-IR"/>
          <w:color w:val="111111"/>
          <w:sz w:val="28"/>
          <w:szCs w:val="28"/>
          <w:rtl/>
        </w:rPr>
        <w:t xml:space="preserve">من السادات الرضویة بخراسان. ورد شعره فی (گلشن- ص 520).</w:t>
      </w:r>
    </w:p>
    <w:p>
      <w:pPr>
        <w:pStyle w:val="Heading3"/>
      </w:pPr>
      <w:bookmarkStart w:id="10199" w:name="_Toc8895"/>
      <w:r>
        <w:t>7700- دیوان نصیب شاه أو شعره‏</w:t>
      </w:r>
      <w:bookmarkEnd w:id="10199"/>
    </w:p>
    <w:p>
      <w:pPr>
        <w:pStyle w:val="BookText"/>
      </w:pPr>
      <w:r>
        <w:rPr>
          <w:rFonts w:ascii="IRNazanin" w:hAnsi="IRNazanin" w:eastAsia="IRNazanin" w:cs="IRNazanin"/>
          <w:lang w:bidi="fa-IR"/>
          <w:color w:val="111111"/>
          <w:sz w:val="28"/>
          <w:szCs w:val="28"/>
          <w:rtl/>
        </w:rPr>
        <w:t xml:space="preserve">ورد شعره فی (گلشن- ص 520).</w:t>
      </w:r>
    </w:p>
    <w:p>
      <w:pPr>
        <w:pStyle w:val="Heading3"/>
      </w:pPr>
      <w:bookmarkStart w:id="10200" w:name="_Toc8896"/>
      <w:r>
        <w:t>7701- دیوان نصیب قزوینی أو شعره‏</w:t>
      </w:r>
      <w:bookmarkEnd w:id="10200"/>
    </w:p>
    <w:p>
      <w:pPr>
        <w:pStyle w:val="BookText"/>
      </w:pPr>
      <w:r>
        <w:rPr>
          <w:rFonts w:ascii="IRNazanin" w:hAnsi="IRNazanin" w:eastAsia="IRNazanin" w:cs="IRNazanin"/>
          <w:lang w:bidi="fa-IR"/>
          <w:color w:val="111111"/>
          <w:sz w:val="28"/>
          <w:szCs w:val="28"/>
          <w:rtl/>
        </w:rPr>
        <w:t xml:space="preserve">کان ینتسب إلی دولت شاه السمرقندی مؤلف التذکرة. تقرب عند أکبر شاه. ورد شعره فی (گلشن- ص 520).</w:t>
      </w:r>
    </w:p>
    <w:p>
      <w:pPr>
        <w:pStyle w:val="Heading3"/>
      </w:pPr>
      <w:bookmarkStart w:id="10201" w:name="_Toc8897"/>
      <w:r>
        <w:t>دیوان نصیبی رازی‏</w:t>
      </w:r>
      <w:bookmarkEnd w:id="10201"/>
    </w:p>
    <w:p>
      <w:pPr>
        <w:pStyle w:val="BookText"/>
      </w:pPr>
      <w:r>
        <w:rPr>
          <w:rFonts w:ascii="IRNazanin" w:hAnsi="IRNazanin" w:eastAsia="IRNazanin" w:cs="IRNazanin"/>
          <w:lang w:bidi="fa-IR"/>
          <w:color w:val="111111"/>
          <w:sz w:val="28"/>
          <w:szCs w:val="28"/>
          <w:rtl/>
        </w:rPr>
        <w:t xml:space="preserve">راجع نصیبی یزدی.</w:t>
      </w:r>
    </w:p>
    <w:p>
      <w:pPr>
        <w:pStyle w:val="Heading3"/>
      </w:pPr>
      <w:bookmarkStart w:id="10202" w:name="_Toc8898"/>
      <w:r>
        <w:t>7702- دیوان نصیبی شیرازی أو شعره‏</w:t>
      </w:r>
      <w:bookmarkEnd w:id="10202"/>
    </w:p>
    <w:p>
      <w:pPr>
        <w:pStyle w:val="BookText"/>
      </w:pPr>
      <w:r>
        <w:rPr>
          <w:rFonts w:ascii="IRNazanin" w:hAnsi="IRNazanin" w:eastAsia="IRNazanin" w:cs="IRNazanin"/>
          <w:lang w:bidi="fa-IR"/>
          <w:color w:val="111111"/>
          <w:sz w:val="28"/>
          <w:szCs w:val="28"/>
          <w:rtl/>
        </w:rPr>
        <w:t xml:space="preserve">کان کاتبا. أورد شعره سلیم فی (گلشن- ص 520).</w:t>
      </w:r>
    </w:p>
    <w:p>
      <w:pPr>
        <w:pStyle w:val="Heading3"/>
      </w:pPr>
      <w:bookmarkStart w:id="10203" w:name="_Toc8899"/>
      <w:r>
        <w:t>7703- دیوان نصیبی کرمانشاهی أو شعره‏</w:t>
      </w:r>
      <w:bookmarkEnd w:id="10203"/>
    </w:p>
    <w:p>
      <w:pPr>
        <w:pStyle w:val="BookText"/>
      </w:pPr>
      <w:r>
        <w:rPr>
          <w:rFonts w:ascii="IRNazanin" w:hAnsi="IRNazanin" w:eastAsia="IRNazanin" w:cs="IRNazanin"/>
          <w:lang w:bidi="fa-IR"/>
          <w:color w:val="111111"/>
          <w:sz w:val="28"/>
          <w:szCs w:val="28"/>
          <w:rtl/>
        </w:rPr>
        <w:t xml:space="preserve">و اسمه محمد خان ابن موسی بیک. لقبه فتح علی شاه فخر الشعراء ثم سکن لکهنو و تقرب عند غازی الدین حیدر و مات 1261 فی زمان تألیف آفتاب عالمتاب فترجمه فیه و (گلشن- ص 520) و عنه فی القاموس الترکی ثم الریحانة.</w:t>
      </w:r>
    </w:p>
    <w:p>
      <w:pPr>
        <w:pStyle w:val="Heading3"/>
      </w:pPr>
      <w:bookmarkStart w:id="10204" w:name="_Toc8900"/>
      <w:r>
        <w:t>7704- دیوان نصیبی گیلانی‏</w:t>
      </w:r>
      <w:bookmarkEnd w:id="10204"/>
    </w:p>
    <w:p>
      <w:pPr>
        <w:pStyle w:val="BookText"/>
      </w:pPr>
      <w:r>
        <w:rPr>
          <w:rFonts w:ascii="IRNazanin" w:hAnsi="IRNazanin" w:eastAsia="IRNazanin" w:cs="IRNazanin"/>
          <w:lang w:bidi="fa-IR"/>
          <w:color w:val="111111"/>
          <w:sz w:val="28"/>
          <w:szCs w:val="28"/>
          <w:rtl/>
        </w:rPr>
        <w:t xml:space="preserve">و اسمه بابا نصیبی. یوجد شعره فی جنگ گنجینه گران‏مایه‏</w:t>
      </w:r>
      <w:r>
        <w:rPr>
          <w:rStyle w:val="FootnoteReference"/>
        </w:rPr>
        <w:footnoteReference w:id="95"/>
      </w:r>
      <w:r>
        <w:rPr>
          <w:rFonts w:ascii="IRNazanin" w:hAnsi="IRNazanin" w:eastAsia="IRNazanin" w:cs="IRNazanin"/>
          <w:lang w:bidi="fa-IR"/>
          <w:color w:val="111111"/>
          <w:sz w:val="28"/>
          <w:szCs w:val="28"/>
          <w:rtl/>
        </w:rPr>
        <w:t xml:space="preserve">و قال فی شاهد صادق مات بابا نصیبی الشاعر فی 886 و ترجم سام میرزا بابا نصیبی گیلانی فی (تس 5- ص 110) و قال ولد بگیلان و جاء إلی تبریز و اشتغل ببیع الحلویات (حلوافروش) ثم صحب السلطان یعقوب المتوفی 898 و مات بتبریز فی 944 و زاد فی (تش- ص 164) أن بابا فغانی المتوفی 925 عرف بابا نصیبی إلی‏
</w:t>
      </w:r>
    </w:p>
    <w:p>
      <w:pPr>
        <w:sectPr>
          <w:footerReference w:type="default" r:id="rId1205"/>
          <w:footnotePr>
            <w:numStart w:val="1"/>
            <w:numRestart w:val="eachPage"/>
          </w:footnotePr>
          <w:pgSz w:orient="portrait" w:w="11905.511811023622" w:h="16837.79527559055"/>
          <w:pgMar w:top="1440" w:right="1440" w:bottom="1440" w:left="1440" w:header="720" w:footer="720" w:gutter="0"/>
          <w:cols w:num="1" w:space="720"/>
        </w:sectPr>
      </w:pPr>
    </w:p>
    <w:bookmarkStart w:id="1183" w:name="pg11704_122673"/>
    <w:bookmarkEnd w:id="1183"/>
    <w:p>
      <w:pPr>
        <w:pStyle w:val="BookText"/>
      </w:pPr>
      <w:r>
        <w:rPr>
          <w:rFonts w:ascii="IRNazanin" w:hAnsi="IRNazanin" w:eastAsia="IRNazanin" w:cs="IRNazanin"/>
          <w:lang w:bidi="fa-IR"/>
          <w:color w:val="111111"/>
          <w:sz w:val="28"/>
          <w:szCs w:val="28"/>
          <w:rtl/>
        </w:rPr>
        <w:t xml:space="preserve">السلطان یعقوب آق‏قوینلو و فی (روشن- ص 697) أنه مات بابا نصیبی فی 1040 أو 1044 و ترجم القزوینی شاعرین بهذا الاسم فی (قز مج 6- ص 311) و (بهش 2- ص 398) و نسب الأخیر إلی گیلان و عد الأول من شعراء السلطان یعقوب. و فی شمع انجمن أیضا ذکر شاعرین بهذا الاسم فی ص 451 و 466. و فی (خوش‏گو) أیضا ذکر شاعرین بهذا التخلص اسم أحدهما القاضی عبد الله.</w:t>
      </w:r>
    </w:p>
    <w:p>
      <w:pPr>
        <w:pStyle w:val="Heading3"/>
      </w:pPr>
      <w:bookmarkStart w:id="10205" w:name="_Toc8901"/>
      <w:r>
        <w:t>دیوان نصیبی نوربخشی‏</w:t>
      </w:r>
      <w:bookmarkEnd w:id="10205"/>
    </w:p>
    <w:p>
      <w:pPr>
        <w:pStyle w:val="BookText"/>
      </w:pPr>
      <w:r>
        <w:rPr>
          <w:rFonts w:ascii="IRNazanin" w:hAnsi="IRNazanin" w:eastAsia="IRNazanin" w:cs="IRNazanin"/>
          <w:lang w:bidi="fa-IR"/>
          <w:color w:val="111111"/>
          <w:sz w:val="28"/>
          <w:szCs w:val="28"/>
          <w:rtl/>
        </w:rPr>
        <w:t xml:space="preserve">راجع نصیبی یزدی.</w:t>
      </w:r>
    </w:p>
    <w:p>
      <w:pPr>
        <w:pStyle w:val="Heading3"/>
      </w:pPr>
      <w:bookmarkStart w:id="10206" w:name="_Toc8902"/>
      <w:r>
        <w:t>7705- دیوان نصیبی یزدی‏</w:t>
      </w:r>
      <w:bookmarkEnd w:id="10206"/>
    </w:p>
    <w:p>
      <w:pPr>
        <w:pStyle w:val="BookText"/>
      </w:pPr>
      <w:r>
        <w:rPr>
          <w:rFonts w:ascii="IRNazanin" w:hAnsi="IRNazanin" w:eastAsia="IRNazanin" w:cs="IRNazanin"/>
          <w:lang w:bidi="fa-IR"/>
          <w:color w:val="111111"/>
          <w:sz w:val="28"/>
          <w:szCs w:val="28"/>
          <w:rtl/>
        </w:rPr>
        <w:t xml:space="preserve">و اسمه حسین من السادات النوربخشیة. جاء من ری إلی شیراز و تلمذ علی جلال الدوانی و وقع فی غرام ولد اسمه محمود و بعد وفاة الدوانی فی 907 رجع إلی ری و جمع دیوانه فی ثمانیة آلاف بیت و مات 914 کذا ترجمه فی (تش- ص 216) و عنه آیتی فی (قهستان- ص 215) و أورد شعره فی (گلشن- ص 521) و عنه فی القاموس الترکی ثم الریحانة.</w:t>
      </w:r>
    </w:p>
    <w:p>
      <w:pPr>
        <w:pStyle w:val="Heading3"/>
      </w:pPr>
      <w:bookmarkStart w:id="10207" w:name="_Toc8903"/>
      <w:r>
        <w:t>7706- دیوان نصیر أصفهانی أو شعره‏</w:t>
      </w:r>
      <w:bookmarkEnd w:id="10207"/>
    </w:p>
    <w:p>
      <w:pPr>
        <w:pStyle w:val="BookText"/>
      </w:pPr>
      <w:r>
        <w:rPr>
          <w:rFonts w:ascii="IRNazanin" w:hAnsi="IRNazanin" w:eastAsia="IRNazanin" w:cs="IRNazanin"/>
          <w:lang w:bidi="fa-IR"/>
          <w:color w:val="111111"/>
          <w:sz w:val="28"/>
          <w:szCs w:val="28"/>
          <w:rtl/>
        </w:rPr>
        <w:t xml:space="preserve">و اسمه میرزا نصیر ابن میرزا نظام. ترجمه معاصره فی (نر 5- ص 123) و همیشه بهار و قالا سکن شیراز.</w:t>
      </w:r>
    </w:p>
    <w:p>
      <w:pPr>
        <w:pStyle w:val="Heading3"/>
      </w:pPr>
      <w:bookmarkStart w:id="10208" w:name="_Toc8904"/>
      <w:r>
        <w:t>7707- دیوان نصیر أصفهانی‏</w:t>
      </w:r>
      <w:bookmarkEnd w:id="10208"/>
    </w:p>
    <w:p>
      <w:pPr>
        <w:pStyle w:val="BookText"/>
      </w:pPr>
      <w:r>
        <w:rPr>
          <w:rFonts w:ascii="IRNazanin" w:hAnsi="IRNazanin" w:eastAsia="IRNazanin" w:cs="IRNazanin"/>
          <w:lang w:bidi="fa-IR"/>
          <w:color w:val="111111"/>
          <w:sz w:val="28"/>
          <w:szCs w:val="28"/>
          <w:rtl/>
        </w:rPr>
        <w:t xml:space="preserve">نصیر الدین بن محمد طبیب کریم خان زند ابن المیرزا عبد الله الطبیب المتوفی 1191 بشیراز و قال صباحی فی رثائه تاریخا: [</w:t>
      </w:r>
    </w:p>
    <w:p>
      <w:pPr>
        <w:pStyle w:val="BookText"/>
      </w:pPr>
      <w:r>
        <w:rPr>
          <w:rFonts w:ascii="IRNazanin" w:hAnsi="IRNazanin" w:eastAsia="IRNazanin" w:cs="IRNazanin"/>
          <w:lang w:bidi="fa-IR"/>
          <w:color w:val="111111"/>
          <w:sz w:val="28"/>
          <w:szCs w:val="28"/>
          <w:rtl/>
        </w:rPr>
        <w:t xml:space="preserve">آه از مرگ نصیر ثانی‏</w:t>
      </w:r>
    </w:p>
    <w:p>
      <w:pPr>
        <w:pStyle w:val="BookText"/>
      </w:pPr>
      <w:r>
        <w:rPr>
          <w:rFonts w:ascii="IRNazanin" w:hAnsi="IRNazanin" w:eastAsia="IRNazanin" w:cs="IRNazanin"/>
          <w:lang w:bidi="fa-IR"/>
          <w:color w:val="111111"/>
          <w:sz w:val="28"/>
          <w:szCs w:val="28"/>
          <w:rtl/>
        </w:rPr>
        <w:t xml:space="preserve">] و هو جد فرصت الدولة صاحب آثار عجم فترجمه فیه (ص 105) و ترجمه أیضا المیرزا إبراهیم التبریزی فی مقدمه طبع دیوان فرصت فی 1333 نقلا عن الدنبلی فی تذکرته و عن سفینه محمودی و (تش- 414) و (مع 2: 500) و هذا أورد 30 بیتا من مثنویة بهاریة و ترجم أیضا فی (تعا- ص 85) و ذکر معالجته للسید محمد شفیع بن طالب الجزائری و ذکر مثنویة الکبیر. و کذا فی (انجمن 4) و (الطرائق- 3: 74) و (گلشن- ص 524) یوجد مثنویة پیر و جوان عند (الملک) و (فخر الدین) و طبع 1350 بطهران.</w:t>
      </w:r>
    </w:p>
    <w:p>
      <w:pPr>
        <w:pStyle w:val="Heading3"/>
      </w:pPr>
      <w:bookmarkStart w:id="10209" w:name="_Toc8905"/>
      <w:r>
        <w:t>7708- دیوان نصیر بدخشانی أو شعره‏</w:t>
      </w:r>
      <w:bookmarkEnd w:id="10209"/>
    </w:p>
    <w:p>
      <w:pPr>
        <w:pStyle w:val="BookText"/>
      </w:pPr>
      <w:r>
        <w:rPr>
          <w:rFonts w:ascii="IRNazanin" w:hAnsi="IRNazanin" w:eastAsia="IRNazanin" w:cs="IRNazanin"/>
          <w:lang w:bidi="fa-IR"/>
          <w:color w:val="111111"/>
          <w:sz w:val="28"/>
          <w:szCs w:val="28"/>
          <w:rtl/>
        </w:rPr>
        <w:t xml:space="preserve">و اسمه أبو نصیر. ورد شعره فی (گلشن- ص 521).</w:t>
      </w:r>
    </w:p>
    <w:p>
      <w:pPr>
        <w:pStyle w:val="Heading3"/>
      </w:pPr>
      <w:bookmarkStart w:id="10210" w:name="_Toc8906"/>
      <w:r>
        <w:t>7709- دیوان نصیر بروجردی أو شعره‏</w:t>
      </w:r>
      <w:bookmarkEnd w:id="10210"/>
    </w:p>
    <w:p>
      <w:pPr>
        <w:pStyle w:val="BookText"/>
      </w:pPr>
      <w:r>
        <w:rPr>
          <w:rFonts w:ascii="IRNazanin" w:hAnsi="IRNazanin" w:eastAsia="IRNazanin" w:cs="IRNazanin"/>
          <w:lang w:bidi="fa-IR"/>
          <w:color w:val="111111"/>
          <w:sz w:val="28"/>
          <w:szCs w:val="28"/>
          <w:rtl/>
        </w:rPr>
        <w:t xml:space="preserve">و اسمه ملا محمد نصیر. ترجمه معاصره‏
</w:t>
      </w:r>
    </w:p>
    <w:p>
      <w:pPr>
        <w:sectPr>
          <w:footerReference w:type="default" r:id="rId1206"/>
          <w:footnotePr>
            <w:numStart w:val="1"/>
            <w:numRestart w:val="eachPage"/>
          </w:footnotePr>
          <w:pgSz w:orient="portrait" w:w="11905.511811023622" w:h="16837.79527559055"/>
          <w:pgMar w:top="1440" w:right="1440" w:bottom="1440" w:left="1440" w:header="720" w:footer="720" w:gutter="0"/>
          <w:cols w:num="1" w:space="720"/>
        </w:sectPr>
      </w:pPr>
    </w:p>
    <w:bookmarkStart w:id="1184" w:name="pg11704_122674"/>
    <w:bookmarkEnd w:id="1184"/>
    <w:p>
      <w:pPr>
        <w:pStyle w:val="BookText"/>
      </w:pPr>
      <w:r>
        <w:rPr>
          <w:rFonts w:ascii="IRNazanin" w:hAnsi="IRNazanin" w:eastAsia="IRNazanin" w:cs="IRNazanin"/>
          <w:lang w:bidi="fa-IR"/>
          <w:color w:val="111111"/>
          <w:sz w:val="28"/>
          <w:szCs w:val="28"/>
          <w:rtl/>
        </w:rPr>
        <w:t xml:space="preserve">فی (نر 15- ص 537) قال کان نزیل گنجه و مدرسا بها بأمر الشاه سلیمان و أورد له معما.</w:t>
      </w:r>
    </w:p>
    <w:p>
      <w:pPr>
        <w:pStyle w:val="Heading3"/>
      </w:pPr>
      <w:bookmarkStart w:id="10211" w:name="_Toc8907"/>
      <w:r>
        <w:t>7710- دیوان نصیر تبریزی أو شعره‏</w:t>
      </w:r>
      <w:bookmarkEnd w:id="10211"/>
    </w:p>
    <w:p>
      <w:pPr>
        <w:pStyle w:val="BookText"/>
      </w:pPr>
      <w:r>
        <w:rPr>
          <w:rFonts w:ascii="IRNazanin" w:hAnsi="IRNazanin" w:eastAsia="IRNazanin" w:cs="IRNazanin"/>
          <w:lang w:bidi="fa-IR"/>
          <w:color w:val="111111"/>
          <w:sz w:val="28"/>
          <w:szCs w:val="28"/>
          <w:rtl/>
        </w:rPr>
        <w:t xml:space="preserve">و اسمه نصیر خان. أورد تربیت شعره فی (دجا- ص 387) نقلا عن بیاض صائب.</w:t>
      </w:r>
    </w:p>
    <w:p>
      <w:pPr>
        <w:pStyle w:val="Heading3"/>
      </w:pPr>
      <w:bookmarkStart w:id="10212" w:name="_Toc8908"/>
      <w:r>
        <w:t>7711- دیوان نصیر تنکابنی أو شعره‏</w:t>
      </w:r>
      <w:bookmarkEnd w:id="10212"/>
    </w:p>
    <w:p>
      <w:pPr>
        <w:pStyle w:val="BookText"/>
      </w:pPr>
      <w:r>
        <w:rPr>
          <w:rFonts w:ascii="IRNazanin" w:hAnsi="IRNazanin" w:eastAsia="IRNazanin" w:cs="IRNazanin"/>
          <w:lang w:bidi="fa-IR"/>
          <w:color w:val="111111"/>
          <w:sz w:val="28"/>
          <w:szCs w:val="28"/>
          <w:rtl/>
        </w:rPr>
        <w:t xml:space="preserve">و هو الحکیم ملا محمد نصیر بن الحکیم صدر الدین الطبیب التنکابنی نزیل أصفهان. و هو صهر الشیخ حسین التنکابنی. ترجمه معاصره النصرآبادی فی (نر 6- ص 201) و قال یشرفنی فی مسجد لبنان و أورد غزله و کذا فی (خوش‏گو).</w:t>
      </w:r>
    </w:p>
    <w:p>
      <w:pPr>
        <w:pStyle w:val="Heading3"/>
      </w:pPr>
      <w:bookmarkStart w:id="10213" w:name="_Toc8909"/>
      <w:r>
        <w:t>دیوان نصیر تویسرکانی‏</w:t>
      </w:r>
      <w:bookmarkEnd w:id="10213"/>
    </w:p>
    <w:p>
      <w:pPr>
        <w:pStyle w:val="BookText"/>
      </w:pPr>
      <w:r>
        <w:rPr>
          <w:rFonts w:ascii="IRNazanin" w:hAnsi="IRNazanin" w:eastAsia="IRNazanin" w:cs="IRNazanin"/>
          <w:lang w:bidi="fa-IR"/>
          <w:color w:val="111111"/>
          <w:sz w:val="28"/>
          <w:szCs w:val="28"/>
          <w:rtl/>
        </w:rPr>
        <w:t xml:space="preserve">کان نزیل أصفهان مر بتخلصه مشتاق فی ص 1044.</w:t>
      </w:r>
    </w:p>
    <w:p>
      <w:pPr>
        <w:pStyle w:val="Heading3"/>
      </w:pPr>
      <w:bookmarkStart w:id="10214" w:name="_Toc8910"/>
      <w:r>
        <w:t>7712- دیوان نصیر دهلوی أو شعره‏</w:t>
      </w:r>
      <w:bookmarkEnd w:id="10214"/>
    </w:p>
    <w:p>
      <w:pPr>
        <w:pStyle w:val="BookText"/>
      </w:pPr>
      <w:r>
        <w:rPr>
          <w:rFonts w:ascii="IRNazanin" w:hAnsi="IRNazanin" w:eastAsia="IRNazanin" w:cs="IRNazanin"/>
          <w:lang w:bidi="fa-IR"/>
          <w:color w:val="111111"/>
          <w:sz w:val="28"/>
          <w:szCs w:val="28"/>
          <w:rtl/>
        </w:rPr>
        <w:t xml:space="preserve">هو ابن غریب شاه درویش أکثر شعره بالأردویة، و قلیل منه بالفارسیة. سکن أخیرا بحیدرآباد و مات بها عن تسعین سنة. ورد شعره فی (گلشن- ص 523).</w:t>
      </w:r>
    </w:p>
    <w:p>
      <w:pPr>
        <w:pStyle w:val="Heading3"/>
      </w:pPr>
      <w:bookmarkStart w:id="10215" w:name="_Toc8911"/>
      <w:r>
        <w:t>دیوان نصیر سرخسی‏</w:t>
      </w:r>
      <w:bookmarkEnd w:id="10215"/>
    </w:p>
    <w:p>
      <w:pPr>
        <w:pStyle w:val="BookText"/>
      </w:pPr>
      <w:r>
        <w:rPr>
          <w:rFonts w:ascii="IRNazanin" w:hAnsi="IRNazanin" w:eastAsia="IRNazanin" w:cs="IRNazanin"/>
          <w:lang w:bidi="fa-IR"/>
          <w:color w:val="111111"/>
          <w:sz w:val="28"/>
          <w:szCs w:val="28"/>
          <w:rtl/>
        </w:rPr>
        <w:t xml:space="preserve">و اسمه نصیر الدین بن قطب الدین. ترجمه فی (گلشن- ص 522) نقلا عن العوفی و عنه فی القاموس الترکی. و لکن الموجود فی (لب 7) ناصر بن قطب و أورد شعره قطب فی حق ابنه ناصر هذا.</w:t>
      </w:r>
    </w:p>
    <w:p>
      <w:pPr>
        <w:pStyle w:val="Heading3"/>
      </w:pPr>
      <w:bookmarkStart w:id="10216" w:name="_Toc8912"/>
      <w:r>
        <w:t>7713- دیوان نصیر سیستانی أو شعره‏</w:t>
      </w:r>
      <w:bookmarkEnd w:id="10216"/>
    </w:p>
    <w:p>
      <w:pPr>
        <w:pStyle w:val="BookText"/>
      </w:pPr>
      <w:r>
        <w:rPr>
          <w:rFonts w:ascii="IRNazanin" w:hAnsi="IRNazanin" w:eastAsia="IRNazanin" w:cs="IRNazanin"/>
          <w:lang w:bidi="fa-IR"/>
          <w:color w:val="111111"/>
          <w:sz w:val="28"/>
          <w:szCs w:val="28"/>
          <w:rtl/>
        </w:rPr>
        <w:t xml:space="preserve">ورد شعره فی هفت إقلیم.</w:t>
      </w:r>
    </w:p>
    <w:p>
      <w:pPr>
        <w:pStyle w:val="Heading3"/>
      </w:pPr>
      <w:bookmarkStart w:id="10217" w:name="_Toc8913"/>
      <w:r>
        <w:t>7714- دیوان نصیر شیرازی أو شعره‏</w:t>
      </w:r>
      <w:bookmarkEnd w:id="10217"/>
    </w:p>
    <w:p>
      <w:pPr>
        <w:pStyle w:val="BookText"/>
      </w:pPr>
      <w:r>
        <w:rPr>
          <w:rFonts w:ascii="IRNazanin" w:hAnsi="IRNazanin" w:eastAsia="IRNazanin" w:cs="IRNazanin"/>
          <w:lang w:bidi="fa-IR"/>
          <w:color w:val="111111"/>
          <w:sz w:val="28"/>
          <w:szCs w:val="28"/>
          <w:rtl/>
        </w:rPr>
        <w:t xml:space="preserve">و اسمه ملا إبراهیم بن کمال قاری. له قصائد فی مدیح أهل البیت. ترجم و ورد شعره فی (نر 9- 388).</w:t>
      </w:r>
    </w:p>
    <w:p>
      <w:pPr>
        <w:pStyle w:val="Heading3"/>
      </w:pPr>
      <w:bookmarkStart w:id="10218" w:name="_Toc8914"/>
      <w:r>
        <w:t>دیوان نصیر شیرازی أو شعره‏</w:t>
      </w:r>
      <w:bookmarkEnd w:id="10218"/>
    </w:p>
    <w:p>
      <w:pPr>
        <w:pStyle w:val="BookText"/>
      </w:pPr>
      <w:r>
        <w:rPr>
          <w:rFonts w:ascii="IRNazanin" w:hAnsi="IRNazanin" w:eastAsia="IRNazanin" w:cs="IRNazanin"/>
          <w:lang w:bidi="fa-IR"/>
          <w:color w:val="111111"/>
          <w:sz w:val="28"/>
          <w:szCs w:val="28"/>
          <w:rtl/>
        </w:rPr>
        <w:t xml:space="preserve">و اسمه السید محمد نصیر الحسینی الشیرازی. مر بتخلصه فرصت فی ص 824.</w:t>
      </w:r>
    </w:p>
    <w:p>
      <w:pPr>
        <w:pStyle w:val="Heading3"/>
      </w:pPr>
      <w:bookmarkStart w:id="10219" w:name="_Toc8915"/>
      <w:r>
        <w:t>دیوان نصیر شیرازی‏</w:t>
      </w:r>
      <w:bookmarkEnd w:id="10219"/>
    </w:p>
    <w:p>
      <w:pPr>
        <w:pStyle w:val="BookText"/>
      </w:pPr>
      <w:r>
        <w:rPr>
          <w:rFonts w:ascii="IRNazanin" w:hAnsi="IRNazanin" w:eastAsia="IRNazanin" w:cs="IRNazanin"/>
          <w:lang w:bidi="fa-IR"/>
          <w:color w:val="111111"/>
          <w:sz w:val="28"/>
          <w:szCs w:val="28"/>
          <w:rtl/>
        </w:rPr>
        <w:t xml:space="preserve">و اسمه نصیر الدین أو حمید الدین کما فی (گلشن- ص 522) مر بعنوان نصر شیرازی.</w:t>
      </w:r>
    </w:p>
    <w:p>
      <w:pPr>
        <w:pStyle w:val="Heading3"/>
      </w:pPr>
      <w:bookmarkStart w:id="10220" w:name="_Toc8916"/>
      <w:r>
        <w:t>دیوان نصیر طبیب‏</w:t>
      </w:r>
      <w:bookmarkEnd w:id="10220"/>
    </w:p>
    <w:p>
      <w:pPr>
        <w:pStyle w:val="BookText"/>
      </w:pPr>
      <w:r>
        <w:rPr>
          <w:rFonts w:ascii="IRNazanin" w:hAnsi="IRNazanin" w:eastAsia="IRNazanin" w:cs="IRNazanin"/>
          <w:lang w:bidi="fa-IR"/>
          <w:color w:val="111111"/>
          <w:sz w:val="28"/>
          <w:szCs w:val="28"/>
          <w:rtl/>
        </w:rPr>
        <w:t xml:space="preserve">راجع نصیر أصفهانی.</w:t>
      </w:r>
    </w:p>
    <w:p>
      <w:pPr>
        <w:pStyle w:val="Heading3"/>
      </w:pPr>
      <w:bookmarkStart w:id="10221" w:name="_Toc8917"/>
      <w:r>
        <w:t>دیوان نصیر الدین الطوسی‏</w:t>
      </w:r>
      <w:bookmarkEnd w:id="10221"/>
    </w:p>
    <w:p>
      <w:pPr>
        <w:pStyle w:val="BookText"/>
      </w:pPr>
      <w:r>
        <w:rPr>
          <w:rFonts w:ascii="IRNazanin" w:hAnsi="IRNazanin" w:eastAsia="IRNazanin" w:cs="IRNazanin"/>
          <w:lang w:bidi="fa-IR"/>
          <w:color w:val="111111"/>
          <w:sz w:val="28"/>
          <w:szCs w:val="28"/>
          <w:rtl/>
        </w:rPr>
        <w:t xml:space="preserve">مر فی ص 306 و هو أبو جعفر محمد بن محمد بن الحسن الطوسی شیخ الحکماء و المحققین نصیر الملة و الدولة و الدین المولود (11- ج 1- 597) و المتوفی (18 ذی الحجة- 672) هو أجل من أن یذکر فی عداد الشعراء الا لبیان‏
</w:t>
      </w:r>
    </w:p>
    <w:p>
      <w:pPr>
        <w:sectPr>
          <w:footerReference w:type="default" r:id="rId1207"/>
          <w:footnotePr>
            <w:numStart w:val="1"/>
            <w:numRestart w:val="eachPage"/>
          </w:footnotePr>
          <w:pgSz w:orient="portrait" w:w="11905.511811023622" w:h="16837.79527559055"/>
          <w:pgMar w:top="1440" w:right="1440" w:bottom="1440" w:left="1440" w:header="720" w:footer="720" w:gutter="0"/>
          <w:cols w:num="1" w:space="720"/>
        </w:sectPr>
      </w:pPr>
    </w:p>
    <w:bookmarkStart w:id="1185" w:name="pg11704_122675"/>
    <w:bookmarkEnd w:id="1185"/>
    <w:p>
      <w:pPr>
        <w:pStyle w:val="BookText"/>
      </w:pPr>
      <w:r>
        <w:rPr>
          <w:rFonts w:ascii="IRNazanin" w:hAnsi="IRNazanin" w:eastAsia="IRNazanin" w:cs="IRNazanin"/>
          <w:lang w:bidi="fa-IR"/>
          <w:color w:val="111111"/>
          <w:sz w:val="28"/>
          <w:szCs w:val="28"/>
          <w:rtl/>
        </w:rPr>
        <w:t xml:space="preserve">جامعیته لکافة الفضائل و الکمالات ترجم فی (بهش 1- ص 323) و أورد رباعیة من شعره و غیرها و مر فی ج 1 ص 368 اختیارات المهمات بالنظم الفارسی له و هو غیر اختیاراته المنثورة، و قد یعبر عنه بقصیدة فی اختیارات البروج و من شعره العربی السبعة أبیات فی تقریظ طهارة الأعراق لابن مسکویه أولها: [</w:t>
      </w:r>
    </w:p>
    <w:p>
      <w:pPr>
        <w:pStyle w:val="BookText"/>
      </w:pPr>
      <w:r>
        <w:rPr>
          <w:rFonts w:ascii="IRNazanin" w:hAnsi="IRNazanin" w:eastAsia="IRNazanin" w:cs="IRNazanin"/>
          <w:lang w:bidi="fa-IR"/>
          <w:color w:val="111111"/>
          <w:sz w:val="28"/>
          <w:szCs w:val="28"/>
          <w:rtl/>
        </w:rPr>
        <w:t xml:space="preserve">بنفسی کتابا حاز کل فضیلة</w:t>
      </w:r>
    </w:p>
    <w:p>
      <w:pPr>
        <w:pStyle w:val="BookText"/>
      </w:pPr>
      <w:r>
        <w:rPr>
          <w:rFonts w:ascii="IRNazanin" w:hAnsi="IRNazanin" w:eastAsia="IRNazanin" w:cs="IRNazanin"/>
          <w:lang w:bidi="fa-IR"/>
          <w:color w:val="111111"/>
          <w:sz w:val="28"/>
          <w:szCs w:val="28"/>
          <w:rtl/>
        </w:rPr>
        <w:t xml:space="preserve">] و قد أشرنا إلیها فی ج 1 ص 381 عند ذکر أخلاق ناصری و ترجم و ورد شعره فی هفت إقلیم و (نتایج- ص 708) و (الطرائق- 2: 292) و (روشن- ص 699) و مجلة أرمغان 19: 130 و مجلة یادگار 3: 6: 89 و کتب کل من المدرس الرضوی و المدرسی الزنجانی کتابا فی أحوال و آثار الخواجة. و قد خلط بعض رباعیاته مع رباعیات أبی سعید أبی الخیر کما ذکر فی مقدمه طبعه ص 61 و نسب إلی الخواجة فی کشف الظنون منظومة ساقی‏نامه و لیس بصحیح و لعله جمع من أشعاره ما سمیت بساقی‏نامه کما فعل صاحب میخانه للنظامی و غیره.</w:t>
      </w:r>
    </w:p>
    <w:p>
      <w:pPr>
        <w:pStyle w:val="Heading3"/>
      </w:pPr>
      <w:bookmarkStart w:id="10222" w:name="_Toc8918"/>
      <w:r>
        <w:t>7715- دیوان نصیر طهرانی أو شعره‏</w:t>
      </w:r>
      <w:bookmarkEnd w:id="10222"/>
    </w:p>
    <w:p>
      <w:pPr>
        <w:pStyle w:val="BookText"/>
      </w:pPr>
      <w:r>
        <w:rPr>
          <w:rFonts w:ascii="IRNazanin" w:hAnsi="IRNazanin" w:eastAsia="IRNazanin" w:cs="IRNazanin"/>
          <w:lang w:bidi="fa-IR"/>
          <w:color w:val="111111"/>
          <w:sz w:val="28"/>
          <w:szCs w:val="28"/>
          <w:rtl/>
        </w:rPr>
        <w:t xml:space="preserve">و هو المیرزا نصیر بن هاشم بیک المستوفی ترجمه و أورد شعره معاصره فی (نر 4- ص 90) و ذکر ترقیاته إلی أن صار وزیر قره‏باغ و توفی بها و کذا فی همیشه بهار.</w:t>
      </w:r>
    </w:p>
    <w:p>
      <w:pPr>
        <w:pStyle w:val="Heading3"/>
      </w:pPr>
      <w:bookmarkStart w:id="10223" w:name="_Toc8919"/>
      <w:r>
        <w:t>دیوان نصیر قزوینی‏</w:t>
      </w:r>
      <w:bookmarkEnd w:id="10223"/>
    </w:p>
    <w:p>
      <w:pPr>
        <w:pStyle w:val="BookText"/>
      </w:pPr>
      <w:r>
        <w:rPr>
          <w:rFonts w:ascii="IRNazanin" w:hAnsi="IRNazanin" w:eastAsia="IRNazanin" w:cs="IRNazanin"/>
          <w:lang w:bidi="fa-IR"/>
          <w:color w:val="111111"/>
          <w:sz w:val="28"/>
          <w:szCs w:val="28"/>
          <w:rtl/>
        </w:rPr>
        <w:t xml:space="preserve">مر بعنوان درویش نصیر فی ص 324.</w:t>
      </w:r>
    </w:p>
    <w:p>
      <w:pPr>
        <w:pStyle w:val="Heading3"/>
      </w:pPr>
      <w:bookmarkStart w:id="10224" w:name="_Toc8920"/>
      <w:r>
        <w:t>7716- دیوان نصیر کشمیری أو شعره‏</w:t>
      </w:r>
      <w:bookmarkEnd w:id="10224"/>
    </w:p>
    <w:p>
      <w:pPr>
        <w:pStyle w:val="BookText"/>
      </w:pPr>
      <w:r>
        <w:rPr>
          <w:rFonts w:ascii="IRNazanin" w:hAnsi="IRNazanin" w:eastAsia="IRNazanin" w:cs="IRNazanin"/>
          <w:lang w:bidi="fa-IR"/>
          <w:color w:val="111111"/>
          <w:sz w:val="28"/>
          <w:szCs w:val="28"/>
          <w:rtl/>
        </w:rPr>
        <w:t xml:space="preserve">و اسمه أسد الدین. ترجم و ورد شعره فی (گلشن- ص 523) و (روشن- ص 702) و عنهما فی القاموس الترکی.</w:t>
      </w:r>
    </w:p>
    <w:p>
      <w:pPr>
        <w:pStyle w:val="Heading3"/>
      </w:pPr>
      <w:bookmarkStart w:id="10225" w:name="_Toc8921"/>
      <w:r>
        <w:t>دیوان نصیر لنگ‏</w:t>
      </w:r>
      <w:bookmarkEnd w:id="10225"/>
    </w:p>
    <w:p>
      <w:pPr>
        <w:pStyle w:val="BookText"/>
      </w:pPr>
      <w:r>
        <w:rPr>
          <w:rFonts w:ascii="IRNazanin" w:hAnsi="IRNazanin" w:eastAsia="IRNazanin" w:cs="IRNazanin"/>
          <w:lang w:bidi="fa-IR"/>
          <w:color w:val="111111"/>
          <w:sz w:val="28"/>
          <w:szCs w:val="28"/>
          <w:rtl/>
        </w:rPr>
        <w:t xml:space="preserve">راجع نصیر نیشابوری.</w:t>
      </w:r>
    </w:p>
    <w:p>
      <w:pPr>
        <w:pStyle w:val="Heading3"/>
      </w:pPr>
      <w:bookmarkStart w:id="10226" w:name="_Toc8922"/>
      <w:r>
        <w:t>7717- دیوان نصیر لکهنوی أو شعره‏</w:t>
      </w:r>
      <w:bookmarkEnd w:id="10226"/>
    </w:p>
    <w:p>
      <w:pPr>
        <w:pStyle w:val="BookText"/>
      </w:pPr>
      <w:r>
        <w:rPr>
          <w:rFonts w:ascii="IRNazanin" w:hAnsi="IRNazanin" w:eastAsia="IRNazanin" w:cs="IRNazanin"/>
          <w:lang w:bidi="fa-IR"/>
          <w:color w:val="111111"/>
          <w:sz w:val="28"/>
          <w:szCs w:val="28"/>
          <w:rtl/>
        </w:rPr>
        <w:t xml:space="preserve">و هو محمد نصیر المعروف بنصیر الإسلام ابن النواب روشن إسلام خان. ترجمه معاصره فی (روشن- ص 700).</w:t>
      </w:r>
    </w:p>
    <w:p>
      <w:pPr>
        <w:pStyle w:val="Heading3"/>
      </w:pPr>
      <w:bookmarkStart w:id="10227" w:name="_Toc8923"/>
      <w:r>
        <w:t>7718- دیوان نصیر نائنی أو شعره‏</w:t>
      </w:r>
      <w:bookmarkEnd w:id="10227"/>
    </w:p>
    <w:p>
      <w:pPr>
        <w:pStyle w:val="BookText"/>
      </w:pPr>
      <w:r>
        <w:rPr>
          <w:rFonts w:ascii="IRNazanin" w:hAnsi="IRNazanin" w:eastAsia="IRNazanin" w:cs="IRNazanin"/>
          <w:lang w:bidi="fa-IR"/>
          <w:color w:val="111111"/>
          <w:sz w:val="28"/>
          <w:szCs w:val="28"/>
          <w:rtl/>
        </w:rPr>
        <w:t xml:space="preserve">هو من أحفاد ملا سلمان (کمال) الواعظ النائنی نزل شیراز و تبریز و سکن أصفهان. ترجمه معاصره فی (نر 9- ص 405). ثم (گلشن- ص 521).</w:t>
      </w:r>
    </w:p>
    <w:p>
      <w:pPr>
        <w:pStyle w:val="Heading3"/>
      </w:pPr>
      <w:bookmarkStart w:id="10228" w:name="_Toc8924"/>
      <w:r>
        <w:t>7719- دیوان نصیر نیشابوری أو شعره‏</w:t>
      </w:r>
      <w:bookmarkEnd w:id="10228"/>
    </w:p>
    <w:p>
      <w:pPr>
        <w:pStyle w:val="BookText"/>
      </w:pPr>
      <w:r>
        <w:rPr>
          <w:rFonts w:ascii="IRNazanin" w:hAnsi="IRNazanin" w:eastAsia="IRNazanin" w:cs="IRNazanin"/>
          <w:lang w:bidi="fa-IR"/>
          <w:color w:val="111111"/>
          <w:sz w:val="28"/>
          <w:szCs w:val="28"/>
          <w:rtl/>
        </w:rPr>
        <w:t xml:space="preserve">و اسمه ملا نصیر لنگ. ترجمه معاصره فی (بهش 2- ص 390).
</w:t>
      </w:r>
    </w:p>
    <w:p>
      <w:pPr>
        <w:sectPr>
          <w:footerReference w:type="default" r:id="rId1208"/>
          <w:footnotePr>
            <w:numStart w:val="1"/>
            <w:numRestart w:val="eachPage"/>
          </w:footnotePr>
          <w:pgSz w:orient="portrait" w:w="11905.511811023622" w:h="16837.79527559055"/>
          <w:pgMar w:top="1440" w:right="1440" w:bottom="1440" w:left="1440" w:header="720" w:footer="720" w:gutter="0"/>
          <w:cols w:num="1" w:space="720"/>
        </w:sectPr>
      </w:pPr>
    </w:p>
    <w:bookmarkStart w:id="1186" w:name="pg11704_122676"/>
    <w:bookmarkEnd w:id="1186"/>
    <w:p>
      <w:pPr>
        <w:pStyle w:val="Heading3"/>
      </w:pPr>
      <w:bookmarkStart w:id="10229" w:name="_Toc8925"/>
      <w:r>
        <w:t>7720- دیوان نصیر همدانی‏</w:t>
      </w:r>
      <w:bookmarkEnd w:id="10229"/>
    </w:p>
    <w:p>
      <w:pPr>
        <w:pStyle w:val="BookText"/>
      </w:pPr>
      <w:r>
        <w:rPr>
          <w:rFonts w:ascii="IRNazanin" w:hAnsi="IRNazanin" w:eastAsia="IRNazanin" w:cs="IRNazanin"/>
          <w:lang w:bidi="fa-IR"/>
          <w:color w:val="111111"/>
          <w:sz w:val="28"/>
          <w:szCs w:val="28"/>
          <w:rtl/>
        </w:rPr>
        <w:t xml:space="preserve">و هو الخواجة نصیر الدین بن الخواجة محمود (مسعود) بن الخواجة حسن بیک الیزدجردی. ترجمه الصادقی فی أوائل أمره فی (خص 8- ص 289) و قال فاضل کوالده و قد ترک وطنه لحوادث الأیام و هاجر إلی الهند. و قال أصحاب التذاکر الهنود مثل (گلشن- ص 522) إنه جاء إلی الهند و تقرب عند أکبر شاه ثم قطب شاه بدکن. و قال النصرآبادی فی (نر 6- ص 166) إنی ما رأیته و لکن خالی نقل لی أنه دعا الشیخ البهائی إلی منزله فقال البهائی أخبر نصیرا لیکون المجلس ملیحا.</w:t>
      </w:r>
    </w:p>
    <w:p>
      <w:pPr>
        <w:pStyle w:val="BookText"/>
      </w:pPr>
      <w:r>
        <w:rPr>
          <w:rFonts w:ascii="IRNazanin" w:hAnsi="IRNazanin" w:eastAsia="IRNazanin" w:cs="IRNazanin"/>
          <w:lang w:bidi="fa-IR"/>
          <w:color w:val="111111"/>
          <w:sz w:val="28"/>
          <w:szCs w:val="28"/>
          <w:rtl/>
        </w:rPr>
        <w:t xml:space="preserve">و یظهر أنه رجع من الهند و سکن مقبرة سهل علی بهمدان و کان مشهورا فی هذا الوقت بالریاضیات و العلوم. و قال النصرآبادی إن دیوانه بعدد أسماء الله ألف بیت و بیت و قال توفی فی 1030. و ترجم و جاء شعره أیضا فی (تش- ص 258) و (مسرت- ص 267) و همیشه بهار. هذا و یوجد له لعل قطبی فی العروض ألفه باسم قطب شاه فی (سپهسالار- 287) و مکتوب فی تلک المکتبة تحت رقم 2913 یطلب الأسطرلاب و یوجد مثنویة فی (المجلس) کما فی فهرسها 1: 442. کما ذکر فی فهرس سپهسالار 2: 443.</w:t>
      </w:r>
    </w:p>
    <w:p>
      <w:pPr>
        <w:pStyle w:val="Heading3"/>
      </w:pPr>
      <w:bookmarkStart w:id="10230" w:name="_Toc8926"/>
      <w:r>
        <w:t>دیوان نصیر هندی‏</w:t>
      </w:r>
      <w:bookmarkEnd w:id="10230"/>
    </w:p>
    <w:p>
      <w:pPr>
        <w:pStyle w:val="BookText"/>
      </w:pPr>
      <w:r>
        <w:rPr>
          <w:rFonts w:ascii="IRNazanin" w:hAnsi="IRNazanin" w:eastAsia="IRNazanin" w:cs="IRNazanin"/>
          <w:lang w:bidi="fa-IR"/>
          <w:color w:val="111111"/>
          <w:sz w:val="28"/>
          <w:szCs w:val="28"/>
          <w:rtl/>
        </w:rPr>
        <w:t xml:space="preserve">راجع ناصر علی.</w:t>
      </w:r>
    </w:p>
    <w:p>
      <w:pPr>
        <w:pStyle w:val="Heading3"/>
      </w:pPr>
      <w:bookmarkStart w:id="10231" w:name="_Toc8927"/>
      <w:r>
        <w:t>7721- دیوان نصیری أردوبادی أو شعره‏</w:t>
      </w:r>
      <w:bookmarkEnd w:id="10231"/>
    </w:p>
    <w:p>
      <w:pPr>
        <w:pStyle w:val="BookText"/>
      </w:pPr>
      <w:r>
        <w:rPr>
          <w:rFonts w:ascii="IRNazanin" w:hAnsi="IRNazanin" w:eastAsia="IRNazanin" w:cs="IRNazanin"/>
          <w:lang w:bidi="fa-IR"/>
          <w:color w:val="111111"/>
          <w:sz w:val="28"/>
          <w:szCs w:val="28"/>
          <w:rtl/>
        </w:rPr>
        <w:t xml:space="preserve">ترجمه أمین أحمد الرازی و أورد شعره فی هفت إقلیم و کذا فی (دجا- ص 379) و (خوش‏گو).</w:t>
      </w:r>
    </w:p>
    <w:p>
      <w:pPr>
        <w:pStyle w:val="Heading3"/>
      </w:pPr>
      <w:bookmarkStart w:id="10232" w:name="_Toc8928"/>
      <w:r>
        <w:t>دیوان نصیری أصفهانی‏</w:t>
      </w:r>
      <w:bookmarkEnd w:id="10232"/>
    </w:p>
    <w:p>
      <w:pPr>
        <w:pStyle w:val="BookText"/>
      </w:pPr>
      <w:r>
        <w:rPr>
          <w:rFonts w:ascii="IRNazanin" w:hAnsi="IRNazanin" w:eastAsia="IRNazanin" w:cs="IRNazanin"/>
          <w:lang w:bidi="fa-IR"/>
          <w:color w:val="111111"/>
          <w:sz w:val="28"/>
          <w:szCs w:val="28"/>
          <w:rtl/>
        </w:rPr>
        <w:t xml:space="preserve">کما فی (گلشن- ص 524) مر بعنوان نصیر أصفهانی.</w:t>
      </w:r>
    </w:p>
    <w:p>
      <w:pPr>
        <w:pStyle w:val="Heading3"/>
      </w:pPr>
      <w:bookmarkStart w:id="10233" w:name="_Toc8929"/>
      <w:r>
        <w:t>دیوان نصیری بخاری‏</w:t>
      </w:r>
      <w:bookmarkEnd w:id="10233"/>
    </w:p>
    <w:p>
      <w:pPr>
        <w:pStyle w:val="BookText"/>
      </w:pPr>
      <w:r>
        <w:rPr>
          <w:rFonts w:ascii="IRNazanin" w:hAnsi="IRNazanin" w:eastAsia="IRNazanin" w:cs="IRNazanin"/>
          <w:lang w:bidi="fa-IR"/>
          <w:color w:val="111111"/>
          <w:sz w:val="28"/>
          <w:szCs w:val="28"/>
          <w:rtl/>
        </w:rPr>
        <w:t xml:space="preserve">هو التخلص السابق لعصمت بخاری المذکور فی ص 726.</w:t>
      </w:r>
    </w:p>
    <w:p>
      <w:pPr>
        <w:pStyle w:val="Heading3"/>
      </w:pPr>
      <w:bookmarkStart w:id="10234" w:name="_Toc8930"/>
      <w:r>
        <w:t>دیوان نصیری تبریزی‏</w:t>
      </w:r>
      <w:bookmarkEnd w:id="10234"/>
    </w:p>
    <w:p>
      <w:pPr>
        <w:pStyle w:val="BookText"/>
      </w:pPr>
      <w:r>
        <w:rPr>
          <w:rFonts w:ascii="IRNazanin" w:hAnsi="IRNazanin" w:eastAsia="IRNazanin" w:cs="IRNazanin"/>
          <w:lang w:bidi="fa-IR"/>
          <w:color w:val="111111"/>
          <w:sz w:val="28"/>
          <w:szCs w:val="28"/>
          <w:rtl/>
        </w:rPr>
        <w:t xml:space="preserve">لطف علی صدر الأفاضل دانش. مر فی ص 601 و 316.</w:t>
      </w:r>
    </w:p>
    <w:p>
      <w:pPr>
        <w:pStyle w:val="Heading3"/>
      </w:pPr>
      <w:bookmarkStart w:id="10235" w:name="_Toc8931"/>
      <w:r>
        <w:t>7722- دیوان نصیری شیرازی‏</w:t>
      </w:r>
      <w:bookmarkEnd w:id="10235"/>
    </w:p>
    <w:p>
      <w:pPr>
        <w:pStyle w:val="BookText"/>
      </w:pPr>
      <w:r>
        <w:rPr>
          <w:rFonts w:ascii="IRNazanin" w:hAnsi="IRNazanin" w:eastAsia="IRNazanin" w:cs="IRNazanin"/>
          <w:lang w:bidi="fa-IR"/>
          <w:color w:val="111111"/>
          <w:sz w:val="28"/>
          <w:szCs w:val="28"/>
          <w:rtl/>
        </w:rPr>
        <w:t xml:space="preserve">ترجمه و أورد شعره سلیم فی (گلشن- ص 523) و نقل عن القاضی محمد صادق خان فی تذکرته أنه رأی دیوانه.</w:t>
      </w:r>
    </w:p>
    <w:p>
      <w:pPr>
        <w:pStyle w:val="Heading3"/>
      </w:pPr>
      <w:bookmarkStart w:id="10236" w:name="_Toc8932"/>
      <w:r>
        <w:t>7723- دیوان نصیری کرمانی أو شعره‏</w:t>
      </w:r>
      <w:bookmarkEnd w:id="10236"/>
    </w:p>
    <w:p>
      <w:pPr>
        <w:pStyle w:val="BookText"/>
      </w:pPr>
      <w:r>
        <w:rPr>
          <w:rFonts w:ascii="IRNazanin" w:hAnsi="IRNazanin" w:eastAsia="IRNazanin" w:cs="IRNazanin"/>
          <w:lang w:bidi="fa-IR"/>
          <w:color w:val="111111"/>
          <w:sz w:val="28"/>
          <w:szCs w:val="28"/>
          <w:rtl/>
        </w:rPr>
        <w:t xml:space="preserve">و اسمه محمد بیک. ترجمه آذر فی معاصریه فی (تش- ص 409).</w:t>
      </w:r>
    </w:p>
    <w:p>
      <w:pPr>
        <w:pStyle w:val="Heading3"/>
      </w:pPr>
      <w:bookmarkStart w:id="10237" w:name="_Toc8933"/>
      <w:r>
        <w:t>7724- دیوان نصیری هندی أو شعره‏</w:t>
      </w:r>
      <w:bookmarkEnd w:id="10237"/>
    </w:p>
    <w:p>
      <w:pPr>
        <w:pStyle w:val="BookText"/>
      </w:pPr>
      <w:r>
        <w:rPr>
          <w:rFonts w:ascii="IRNazanin" w:hAnsi="IRNazanin" w:eastAsia="IRNazanin" w:cs="IRNazanin"/>
          <w:lang w:bidi="fa-IR"/>
          <w:color w:val="111111"/>
          <w:sz w:val="28"/>
          <w:szCs w:val="28"/>
          <w:rtl/>
        </w:rPr>
        <w:t xml:space="preserve">من مداحی عبد الرحیم خان خانان کما ترجم فی مآثر رحیمی.
</w:t>
      </w:r>
    </w:p>
    <w:p>
      <w:pPr>
        <w:sectPr>
          <w:footerReference w:type="default" r:id="rId1209"/>
          <w:footnotePr>
            <w:numStart w:val="1"/>
            <w:numRestart w:val="eachPage"/>
          </w:footnotePr>
          <w:pgSz w:orient="portrait" w:w="11905.511811023622" w:h="16837.79527559055"/>
          <w:pgMar w:top="1440" w:right="1440" w:bottom="1440" w:left="1440" w:header="720" w:footer="720" w:gutter="0"/>
          <w:cols w:num="1" w:space="720"/>
        </w:sectPr>
      </w:pPr>
    </w:p>
    <w:bookmarkStart w:id="1187" w:name="pg11704_122677"/>
    <w:bookmarkEnd w:id="1187"/>
    <w:p>
      <w:pPr>
        <w:pStyle w:val="Heading3"/>
      </w:pPr>
      <w:bookmarkStart w:id="10238" w:name="_Toc8934"/>
      <w:r>
        <w:t>7725- دیوان نطقی أسترآبادی أو شعره‏</w:t>
      </w:r>
      <w:bookmarkEnd w:id="10238"/>
    </w:p>
    <w:p>
      <w:pPr>
        <w:pStyle w:val="BookText"/>
      </w:pPr>
      <w:r>
        <w:rPr>
          <w:rFonts w:ascii="IRNazanin" w:hAnsi="IRNazanin" w:eastAsia="IRNazanin" w:cs="IRNazanin"/>
          <w:lang w:bidi="fa-IR"/>
          <w:color w:val="111111"/>
          <w:sz w:val="28"/>
          <w:szCs w:val="28"/>
          <w:rtl/>
        </w:rPr>
        <w:t xml:space="preserve">أورد شعره الرازی فی هفت إقلیم.</w:t>
      </w:r>
    </w:p>
    <w:p>
      <w:pPr>
        <w:pStyle w:val="Heading3"/>
      </w:pPr>
      <w:bookmarkStart w:id="10239" w:name="_Toc8935"/>
      <w:r>
        <w:t>7726- دیوان نطقی بافقی أو شعره‏</w:t>
      </w:r>
      <w:bookmarkEnd w:id="10239"/>
    </w:p>
    <w:p>
      <w:pPr>
        <w:pStyle w:val="BookText"/>
      </w:pPr>
      <w:r>
        <w:rPr>
          <w:rFonts w:ascii="IRNazanin" w:hAnsi="IRNazanin" w:eastAsia="IRNazanin" w:cs="IRNazanin"/>
          <w:lang w:bidi="fa-IR"/>
          <w:color w:val="111111"/>
          <w:sz w:val="28"/>
          <w:szCs w:val="28"/>
          <w:rtl/>
        </w:rPr>
        <w:t xml:space="preserve">أورد شعره الآیتی فی (تش یز- ص 336).</w:t>
      </w:r>
    </w:p>
    <w:p>
      <w:pPr>
        <w:pStyle w:val="Heading3"/>
      </w:pPr>
      <w:bookmarkStart w:id="10240" w:name="_Toc8936"/>
      <w:r>
        <w:t>7727- دیوان نطقی تبریزی أو شعره‏</w:t>
      </w:r>
      <w:bookmarkEnd w:id="10240"/>
    </w:p>
    <w:p>
      <w:pPr>
        <w:pStyle w:val="BookText"/>
      </w:pPr>
      <w:r>
        <w:rPr>
          <w:rFonts w:ascii="IRNazanin" w:hAnsi="IRNazanin" w:eastAsia="IRNazanin" w:cs="IRNazanin"/>
          <w:lang w:bidi="fa-IR"/>
          <w:color w:val="111111"/>
          <w:sz w:val="28"/>
          <w:szCs w:val="28"/>
          <w:rtl/>
        </w:rPr>
        <w:t xml:space="preserve">و اسمه خواجه غازی أو أن هذا اسم والده.</w:t>
      </w:r>
    </w:p>
    <w:p>
      <w:pPr>
        <w:pStyle w:val="BookText"/>
      </w:pPr>
      <w:r>
        <w:rPr>
          <w:rFonts w:ascii="IRNazanin" w:hAnsi="IRNazanin" w:eastAsia="IRNazanin" w:cs="IRNazanin"/>
          <w:lang w:bidi="fa-IR"/>
          <w:color w:val="111111"/>
          <w:sz w:val="28"/>
          <w:szCs w:val="28"/>
          <w:rtl/>
        </w:rPr>
        <w:t xml:space="preserve">أورد شعره سلیم فی (گلشن- ص 524) و (دجا- ص 397).</w:t>
      </w:r>
    </w:p>
    <w:p>
      <w:pPr>
        <w:pStyle w:val="Heading3"/>
      </w:pPr>
      <w:bookmarkStart w:id="10241" w:name="_Toc8937"/>
      <w:r>
        <w:t>7728- دیوان نطقی شیرازی أو شعره‏</w:t>
      </w:r>
      <w:bookmarkEnd w:id="10241"/>
    </w:p>
    <w:p>
      <w:pPr>
        <w:pStyle w:val="BookText"/>
      </w:pPr>
      <w:r>
        <w:rPr>
          <w:rFonts w:ascii="IRNazanin" w:hAnsi="IRNazanin" w:eastAsia="IRNazanin" w:cs="IRNazanin"/>
          <w:lang w:bidi="fa-IR"/>
          <w:color w:val="111111"/>
          <w:sz w:val="28"/>
          <w:szCs w:val="28"/>
          <w:rtl/>
        </w:rPr>
        <w:t xml:space="preserve">أورد سامی شعره فی (تس 5- ص 146).</w:t>
      </w:r>
    </w:p>
    <w:p>
      <w:pPr>
        <w:pStyle w:val="Heading3"/>
      </w:pPr>
      <w:bookmarkStart w:id="10242" w:name="_Toc8938"/>
      <w:r>
        <w:t>7729- دیوان نطقی نیشابوری أو شعره‏</w:t>
      </w:r>
      <w:bookmarkEnd w:id="10242"/>
    </w:p>
    <w:p>
      <w:pPr>
        <w:pStyle w:val="BookText"/>
      </w:pPr>
      <w:r>
        <w:rPr>
          <w:rFonts w:ascii="IRNazanin" w:hAnsi="IRNazanin" w:eastAsia="IRNazanin" w:cs="IRNazanin"/>
          <w:lang w:bidi="fa-IR"/>
          <w:color w:val="111111"/>
          <w:sz w:val="28"/>
          <w:szCs w:val="28"/>
          <w:rtl/>
        </w:rPr>
        <w:t xml:space="preserve">ورد شعره فی (مطلع 3- ص 184) و هو صهر ملا قیدی.</w:t>
      </w:r>
    </w:p>
    <w:p>
      <w:pPr>
        <w:pStyle w:val="Heading3"/>
      </w:pPr>
      <w:bookmarkStart w:id="10243" w:name="_Toc8939"/>
      <w:r>
        <w:t>دیوان نظام أسترآبادی کبود جامه‏</w:t>
      </w:r>
      <w:bookmarkEnd w:id="10243"/>
    </w:p>
    <w:p>
      <w:pPr>
        <w:pStyle w:val="BookText"/>
      </w:pPr>
      <w:r>
        <w:rPr>
          <w:rFonts w:ascii="IRNazanin" w:hAnsi="IRNazanin" w:eastAsia="IRNazanin" w:cs="IRNazanin"/>
          <w:lang w:bidi="fa-IR"/>
          <w:color w:val="111111"/>
          <w:sz w:val="28"/>
          <w:szCs w:val="28"/>
          <w:rtl/>
        </w:rPr>
        <w:t xml:space="preserve">کما فی (روشن- ص 704) أو نصرت الدین کما مر فی 1193 و 907 و راجع تاریخ کبودجامگان لطاهری شهاب.</w:t>
      </w:r>
    </w:p>
    <w:p>
      <w:pPr>
        <w:pStyle w:val="Heading3"/>
      </w:pPr>
      <w:bookmarkStart w:id="10244" w:name="_Toc8940"/>
      <w:r>
        <w:t>7730- دیوان نظام أسترآبادی‏</w:t>
      </w:r>
      <w:bookmarkEnd w:id="10244"/>
    </w:p>
    <w:p>
      <w:pPr>
        <w:pStyle w:val="BookText"/>
      </w:pPr>
      <w:r>
        <w:rPr>
          <w:rFonts w:ascii="IRNazanin" w:hAnsi="IRNazanin" w:eastAsia="IRNazanin" w:cs="IRNazanin"/>
          <w:lang w:bidi="fa-IR"/>
          <w:color w:val="111111"/>
          <w:sz w:val="28"/>
          <w:szCs w:val="28"/>
          <w:rtl/>
        </w:rPr>
        <w:t xml:space="preserve">المعروف ب نظام معمایی لاشتغاله أولا بالمعمی، فی عهد علی شیر، ثم انتقل إلی القصائد و مدیح الأئمة فی العهد الصفوی و مات 921 کما فی شاهد صادق و مر له بلقیس‏نامه و اسمه بلقیس و سلیمان کما فی (تس 5- ص 100) و (خز- ص 433) و حسینی- ص 353) و (نتایج- ص 709) و (مجن 3- ص 85 و 260) و (خوش‏گو) و (روشن- ص 705) و (مجالس- ص 499 و 511) و أما فی (تش- ص 154) و (مع 2: 50) فقد سمیا مثنویة سلیمان و بلقیس و قال فی هفت إقلیم إن بنته کانت شاعرة و لها قطعة طلب سنگ قبر لقبر والده أرسلتها إلی السلطان. یوجد دیوانه فی 1700 بیت فی (سپهسالار) کما فی فهرسها (2: 688) و أخری عند (دهخدا) فی أربعة آلاف بیت کتبه عبد الباقی فی 1003 فیها مدائح کپک میرزا محمد محسن و سیف الدین مظفر ألب تکچی گورکان و علی شیر و یوسف علی کاکل‏تاش و الخواجة غیاث الدین و شمس الدین محمد ألب تکچی و الأمیر صدارت پناه جمال الدین أحمد شیرنکی و شاه حسین الأصفهانی و مظفر حسین میرزا، و مراثی علی و الحسین و الإمام الرضا. و یوجد منظومة چرخیات ملا نظام ضمن مجموعة فی المکتبة (الملیة).</w:t>
      </w:r>
    </w:p>
    <w:p>
      <w:pPr>
        <w:pStyle w:val="Heading3"/>
      </w:pPr>
      <w:bookmarkStart w:id="10245" w:name="_Toc8941"/>
      <w:r>
        <w:t>7731- دیوان نظام أسکوئی أو شعره‏</w:t>
      </w:r>
      <w:bookmarkEnd w:id="10245"/>
    </w:p>
    <w:p>
      <w:pPr>
        <w:pStyle w:val="BookText"/>
      </w:pPr>
      <w:r>
        <w:rPr>
          <w:rFonts w:ascii="IRNazanin" w:hAnsi="IRNazanin" w:eastAsia="IRNazanin" w:cs="IRNazanin"/>
          <w:lang w:bidi="fa-IR"/>
          <w:color w:val="111111"/>
          <w:sz w:val="28"/>
          <w:szCs w:val="28"/>
          <w:rtl/>
        </w:rPr>
        <w:t xml:space="preserve">کان هو و أخواه الأمیر صدر الدین و الأمیر فخر الدین محمد من مقربی بلاط الشاه طهماسب الصفوی و کلهم أدباء خطاطون، شعراء. و کان هذا کلید دار للمکتبة الشاهانیة و أخوه فخر کان رقاصا، فأراد الصدارة
</w:t>
      </w:r>
    </w:p>
    <w:p>
      <w:pPr>
        <w:sectPr>
          <w:footerReference w:type="default" r:id="rId1210"/>
          <w:footnotePr>
            <w:numStart w:val="1"/>
            <w:numRestart w:val="eachPage"/>
          </w:footnotePr>
          <w:pgSz w:orient="portrait" w:w="11905.511811023622" w:h="16837.79527559055"/>
          <w:pgMar w:top="1440" w:right="1440" w:bottom="1440" w:left="1440" w:header="720" w:footer="720" w:gutter="0"/>
          <w:cols w:num="1" w:space="720"/>
        </w:sectPr>
      </w:pPr>
    </w:p>
    <w:bookmarkStart w:id="1188" w:name="pg11704_122678"/>
    <w:bookmarkEnd w:id="1188"/>
    <w:p>
      <w:pPr>
        <w:pStyle w:val="BookText"/>
      </w:pPr>
      <w:r>
        <w:rPr>
          <w:rFonts w:ascii="IRNazanin" w:hAnsi="IRNazanin" w:eastAsia="IRNazanin" w:cs="IRNazanin"/>
          <w:lang w:bidi="fa-IR"/>
          <w:color w:val="111111"/>
          <w:sz w:val="28"/>
          <w:szCs w:val="28"/>
          <w:rtl/>
        </w:rPr>
        <w:t xml:space="preserve">لأخیه الأکبر و المهر داریة للأصغر و الوکالة لنفسه، فنفاهم الشاه إلی بلدهم أسکو، قریة بتبریز. ترجمهم سام میرزا فی (تس 2- ص 36- 37) و أورد شعرهم.</w:t>
      </w:r>
    </w:p>
    <w:p>
      <w:pPr>
        <w:pStyle w:val="Heading3"/>
      </w:pPr>
      <w:bookmarkStart w:id="10246" w:name="_Toc8942"/>
      <w:r>
        <w:t>7732- دیوان نظام أصفهانی أو شعره‏</w:t>
      </w:r>
      <w:bookmarkEnd w:id="10246"/>
    </w:p>
    <w:p>
      <w:pPr>
        <w:pStyle w:val="BookText"/>
      </w:pPr>
      <w:r>
        <w:rPr>
          <w:rFonts w:ascii="IRNazanin" w:hAnsi="IRNazanin" w:eastAsia="IRNazanin" w:cs="IRNazanin"/>
          <w:lang w:bidi="fa-IR"/>
          <w:color w:val="111111"/>
          <w:sz w:val="28"/>
          <w:szCs w:val="28"/>
          <w:rtl/>
        </w:rPr>
        <w:t xml:space="preserve">و هو المیرزا نظام الملک ابن المیرزا سلمان.</w:t>
      </w:r>
    </w:p>
    <w:p>
      <w:pPr>
        <w:pStyle w:val="BookText"/>
      </w:pPr>
      <w:r>
        <w:rPr>
          <w:rFonts w:ascii="IRNazanin" w:hAnsi="IRNazanin" w:eastAsia="IRNazanin" w:cs="IRNazanin"/>
          <w:lang w:bidi="fa-IR"/>
          <w:color w:val="111111"/>
          <w:sz w:val="28"/>
          <w:szCs w:val="28"/>
          <w:rtl/>
        </w:rPr>
        <w:t xml:space="preserve">أورد شعره معاصره الصادقی فی (خص 5- ص 69) و مر والده فی ص 462.</w:t>
      </w:r>
    </w:p>
    <w:p>
      <w:pPr>
        <w:pStyle w:val="Heading3"/>
      </w:pPr>
      <w:bookmarkStart w:id="10247" w:name="_Toc8943"/>
      <w:r>
        <w:t>7733- دیوان نظام أصفهانی أو شعره‏</w:t>
      </w:r>
      <w:bookmarkEnd w:id="10247"/>
    </w:p>
    <w:p>
      <w:pPr>
        <w:pStyle w:val="BookText"/>
      </w:pPr>
      <w:r>
        <w:rPr>
          <w:rFonts w:ascii="IRNazanin" w:hAnsi="IRNazanin" w:eastAsia="IRNazanin" w:cs="IRNazanin"/>
          <w:lang w:bidi="fa-IR"/>
          <w:color w:val="111111"/>
          <w:sz w:val="28"/>
          <w:szCs w:val="28"/>
          <w:rtl/>
        </w:rPr>
        <w:t xml:space="preserve">و اسمه نظام الدین قمری مداح البیت الصاعدی بأصفهان و أتابکة فارس. و دیوانه فی 2000 بیت. أورد منه هدایت فی (مع 1: 635) عن عرفات العاشقین و فی (گلشن- ص 529) أنه کان من أقرباء أثیر الدین الأومانی و دیوانه فی عشرة آلاف بیت. و ذکر أیضا فی تلک الصفحة شاعرا آخر بهذا الاسم و العصر.</w:t>
      </w:r>
    </w:p>
    <w:p>
      <w:pPr>
        <w:pStyle w:val="Heading3"/>
      </w:pPr>
      <w:bookmarkStart w:id="10248" w:name="_Toc8944"/>
      <w:r>
        <w:t>7734- دیوان نظام أعرج أو شعره‏</w:t>
      </w:r>
      <w:bookmarkEnd w:id="10248"/>
    </w:p>
    <w:p>
      <w:pPr>
        <w:pStyle w:val="BookText"/>
      </w:pPr>
      <w:r>
        <w:rPr>
          <w:rFonts w:ascii="IRNazanin" w:hAnsi="IRNazanin" w:eastAsia="IRNazanin" w:cs="IRNazanin"/>
          <w:lang w:bidi="fa-IR"/>
          <w:color w:val="111111"/>
          <w:sz w:val="28"/>
          <w:szCs w:val="28"/>
          <w:rtl/>
        </w:rPr>
        <w:t xml:space="preserve">و هو نظام الدین الأعرج أورد شعره سلیم فی (گلشن- ص 529).</w:t>
      </w:r>
    </w:p>
    <w:p>
      <w:pPr>
        <w:pStyle w:val="Heading3"/>
      </w:pPr>
      <w:bookmarkStart w:id="10249" w:name="_Toc8945"/>
      <w:r>
        <w:t>7735- دیوان نظام أفشار</w:t>
      </w:r>
      <w:bookmarkEnd w:id="10249"/>
    </w:p>
    <w:p>
      <w:pPr>
        <w:pStyle w:val="BookText"/>
      </w:pPr>
      <w:r>
        <w:rPr>
          <w:rFonts w:ascii="IRNazanin" w:hAnsi="IRNazanin" w:eastAsia="IRNazanin" w:cs="IRNazanin"/>
          <w:lang w:bidi="fa-IR"/>
          <w:color w:val="111111"/>
          <w:sz w:val="28"/>
          <w:szCs w:val="28"/>
          <w:rtl/>
        </w:rPr>
        <w:t xml:space="preserve">المیرزا حبیب الله صدر الأفاضل الأرومی القره‏آغاجی الشاعر الخطاط المنشی المذکور فی (المآثر- ص 213) و المشارک فی تألیفه و (دجا- ص 379).</w:t>
      </w:r>
    </w:p>
    <w:p>
      <w:pPr>
        <w:pStyle w:val="BookText"/>
      </w:pPr>
      <w:r>
        <w:rPr>
          <w:rFonts w:ascii="IRNazanin" w:hAnsi="IRNazanin" w:eastAsia="IRNazanin" w:cs="IRNazanin"/>
          <w:lang w:bidi="fa-IR"/>
          <w:color w:val="111111"/>
          <w:sz w:val="28"/>
          <w:szCs w:val="28"/>
          <w:rtl/>
        </w:rPr>
        <w:t xml:space="preserve">و له مقویم فی قبال تقویم و مصاب فی قبال نصاب و هما هزلیان انتقادیان، ذکرناهما فی ص 600- 601 و قد خلطنا بینه و بین سمیه صدر الأفاضل دانش فی ص 316.</w:t>
      </w:r>
    </w:p>
    <w:p>
      <w:pPr>
        <w:pStyle w:val="Heading3"/>
      </w:pPr>
      <w:bookmarkStart w:id="10250" w:name="_Toc8946"/>
      <w:r>
        <w:t>دیوان نظام أولیاء</w:t>
      </w:r>
      <w:bookmarkEnd w:id="10250"/>
    </w:p>
    <w:p>
      <w:pPr>
        <w:pStyle w:val="BookText"/>
      </w:pPr>
      <w:r>
        <w:rPr>
          <w:rFonts w:ascii="IRNazanin" w:hAnsi="IRNazanin" w:eastAsia="IRNazanin" w:cs="IRNazanin"/>
          <w:lang w:bidi="fa-IR"/>
          <w:color w:val="111111"/>
          <w:sz w:val="28"/>
          <w:szCs w:val="28"/>
          <w:rtl/>
        </w:rPr>
        <w:t xml:space="preserve">راجع نظام دهلوی شاه نظام.</w:t>
      </w:r>
    </w:p>
    <w:p>
      <w:pPr>
        <w:pStyle w:val="Heading3"/>
      </w:pPr>
      <w:bookmarkStart w:id="10251" w:name="_Toc8947"/>
      <w:r>
        <w:t>7736- دیوان نظام بخاری أو شعره‏</w:t>
      </w:r>
      <w:bookmarkEnd w:id="10251"/>
    </w:p>
    <w:p>
      <w:pPr>
        <w:pStyle w:val="BookText"/>
      </w:pPr>
      <w:r>
        <w:rPr>
          <w:rFonts w:ascii="IRNazanin" w:hAnsi="IRNazanin" w:eastAsia="IRNazanin" w:cs="IRNazanin"/>
          <w:lang w:bidi="fa-IR"/>
          <w:color w:val="111111"/>
          <w:sz w:val="28"/>
          <w:szCs w:val="28"/>
          <w:rtl/>
        </w:rPr>
        <w:t xml:space="preserve">و اسمه نظام الدین محمد بن عمر بن مسعود.</w:t>
      </w:r>
    </w:p>
    <w:p>
      <w:pPr>
        <w:pStyle w:val="BookText"/>
      </w:pPr>
      <w:r>
        <w:rPr>
          <w:rFonts w:ascii="IRNazanin" w:hAnsi="IRNazanin" w:eastAsia="IRNazanin" w:cs="IRNazanin"/>
          <w:lang w:bidi="fa-IR"/>
          <w:color w:val="111111"/>
          <w:sz w:val="28"/>
          <w:szCs w:val="28"/>
          <w:rtl/>
        </w:rPr>
        <w:t xml:space="preserve">ورد شعره فی (مع 1: 635) عن العوفی فی (لب 2) و الرازی فی هفت إقلیم.</w:t>
      </w:r>
    </w:p>
    <w:p>
      <w:pPr>
        <w:pStyle w:val="Heading3"/>
      </w:pPr>
      <w:bookmarkStart w:id="10252" w:name="_Toc8948"/>
      <w:r>
        <w:t>دیوان نظام بخاری‏</w:t>
      </w:r>
      <w:bookmarkEnd w:id="10252"/>
    </w:p>
    <w:p>
      <w:pPr>
        <w:pStyle w:val="BookText"/>
      </w:pPr>
      <w:r>
        <w:rPr>
          <w:rFonts w:ascii="IRNazanin" w:hAnsi="IRNazanin" w:eastAsia="IRNazanin" w:cs="IRNazanin"/>
          <w:lang w:bidi="fa-IR"/>
          <w:color w:val="111111"/>
          <w:sz w:val="28"/>
          <w:szCs w:val="28"/>
          <w:rtl/>
        </w:rPr>
        <w:t xml:space="preserve">راجع نرگس بخاری فی ص 1181.</w:t>
      </w:r>
    </w:p>
    <w:p>
      <w:pPr>
        <w:pStyle w:val="Heading3"/>
      </w:pPr>
      <w:bookmarkStart w:id="10253" w:name="_Toc8949"/>
      <w:r>
        <w:t>دیوان نظام بدر</w:t>
      </w:r>
      <w:bookmarkEnd w:id="10253"/>
    </w:p>
    <w:p>
      <w:pPr>
        <w:pStyle w:val="BookText"/>
      </w:pPr>
      <w:r>
        <w:rPr>
          <w:rFonts w:ascii="IRNazanin" w:hAnsi="IRNazanin" w:eastAsia="IRNazanin" w:cs="IRNazanin"/>
          <w:lang w:bidi="fa-IR"/>
          <w:color w:val="111111"/>
          <w:sz w:val="28"/>
          <w:szCs w:val="28"/>
          <w:rtl/>
        </w:rPr>
        <w:t xml:space="preserve">راجع نظام نیشابوری.</w:t>
      </w:r>
    </w:p>
    <w:p>
      <w:pPr>
        <w:pStyle w:val="Heading3"/>
      </w:pPr>
      <w:bookmarkStart w:id="10254" w:name="_Toc8950"/>
      <w:r>
        <w:t>7737- دیوان نظام تبریزی أو شعره‏</w:t>
      </w:r>
      <w:bookmarkEnd w:id="10254"/>
    </w:p>
    <w:p>
      <w:pPr>
        <w:pStyle w:val="BookText"/>
      </w:pPr>
      <w:r>
        <w:rPr>
          <w:rFonts w:ascii="IRNazanin" w:hAnsi="IRNazanin" w:eastAsia="IRNazanin" w:cs="IRNazanin"/>
          <w:lang w:bidi="fa-IR"/>
          <w:color w:val="111111"/>
          <w:sz w:val="28"/>
          <w:szCs w:val="28"/>
          <w:rtl/>
        </w:rPr>
        <w:t xml:space="preserve">و هو مؤلف ریاض الملوک فی ریاضیات السلوک ألفه باسم السلطان أویس فی 768. ترجمه تربیت فی (دجا- ص 379).</w:t>
      </w:r>
    </w:p>
    <w:p>
      <w:pPr>
        <w:pStyle w:val="Heading3"/>
      </w:pPr>
      <w:bookmarkStart w:id="10255" w:name="_Toc8951"/>
      <w:r>
        <w:t>7738- دیوان نظام تبریزی‏</w:t>
      </w:r>
      <w:bookmarkEnd w:id="10255"/>
    </w:p>
    <w:p>
      <w:pPr>
        <w:pStyle w:val="BookText"/>
      </w:pPr>
      <w:r>
        <w:rPr>
          <w:rFonts w:ascii="IRNazanin" w:hAnsi="IRNazanin" w:eastAsia="IRNazanin" w:cs="IRNazanin"/>
          <w:lang w:bidi="fa-IR"/>
          <w:color w:val="111111"/>
          <w:sz w:val="28"/>
          <w:szCs w:val="28"/>
          <w:rtl/>
        </w:rPr>
        <w:t xml:space="preserve">و اسمه نظام العلماء الحاج میرزا محمد رفیع بن علی أصغر الطباطبائی المتوفی 1327 بتبریز. ترجمه و أورد شعره تربیت فی (دجا- ص 380).
</w:t>
      </w:r>
    </w:p>
    <w:p>
      <w:pPr>
        <w:sectPr>
          <w:footerReference w:type="default" r:id="rId1211"/>
          <w:footnotePr>
            <w:numStart w:val="1"/>
            <w:numRestart w:val="eachPage"/>
          </w:footnotePr>
          <w:pgSz w:orient="portrait" w:w="11905.511811023622" w:h="16837.79527559055"/>
          <w:pgMar w:top="1440" w:right="1440" w:bottom="1440" w:left="1440" w:header="720" w:footer="720" w:gutter="0"/>
          <w:cols w:num="1" w:space="720"/>
        </w:sectPr>
      </w:pPr>
    </w:p>
    <w:bookmarkStart w:id="1189" w:name="pg11704_122679"/>
    <w:bookmarkEnd w:id="1189"/>
    <w:p>
      <w:pPr>
        <w:pStyle w:val="BookText"/>
      </w:pPr>
      <w:r>
        <w:rPr>
          <w:rFonts w:ascii="IRNazanin" w:hAnsi="IRNazanin" w:eastAsia="IRNazanin" w:cs="IRNazanin"/>
          <w:lang w:bidi="fa-IR"/>
          <w:color w:val="111111"/>
          <w:sz w:val="28"/>
          <w:szCs w:val="28"/>
          <w:rtl/>
        </w:rPr>
        <w:t xml:space="preserve">دونه بمشهد خراسان و سماه دیوان رضوی. ذکره فی آخر کتابه المقالات النظامیة.</w:t>
      </w:r>
    </w:p>
    <w:p>
      <w:pPr>
        <w:pStyle w:val="BookText"/>
      </w:pPr>
      <w:r>
        <w:rPr>
          <w:rFonts w:ascii="IRNazanin" w:hAnsi="IRNazanin" w:eastAsia="IRNazanin" w:cs="IRNazanin"/>
          <w:lang w:bidi="fa-IR"/>
          <w:color w:val="111111"/>
          <w:sz w:val="28"/>
          <w:szCs w:val="28"/>
          <w:rtl/>
        </w:rPr>
        <w:t xml:space="preserve">و یوجد دیوان رضوی فی مکتبة کلیة الآداب بطهران کما فی فهرسها لدانش‏پژوه ص 255 و طبع له المصابیح فی المبدأ و المعاد. و له سر الشهادة و حقیقة الأمر فی الجبر و التفویض، و سفرنامه رضوی نظما و نثرا و ذکر فیه من معاصریه أمین السفراء محمد کاظم و ابنه صدر الأفاضل، المذکور بتخلصه دانش فی ص 316 و 601 و نسخه من سفرنامه هذه مکتوبة فی 301 موجودة عند (فخر الدین).</w:t>
      </w:r>
    </w:p>
    <w:p>
      <w:pPr>
        <w:pStyle w:val="Heading3"/>
      </w:pPr>
      <w:bookmarkStart w:id="10256" w:name="_Toc8952"/>
      <w:r>
        <w:t>7739- دیوان نظام تفرشی أو شعره‏</w:t>
      </w:r>
      <w:bookmarkEnd w:id="10256"/>
    </w:p>
    <w:p>
      <w:pPr>
        <w:pStyle w:val="BookText"/>
      </w:pPr>
      <w:r>
        <w:rPr>
          <w:rFonts w:ascii="IRNazanin" w:hAnsi="IRNazanin" w:eastAsia="IRNazanin" w:cs="IRNazanin"/>
          <w:lang w:bidi="fa-IR"/>
          <w:color w:val="111111"/>
          <w:sz w:val="28"/>
          <w:szCs w:val="28"/>
          <w:rtl/>
        </w:rPr>
        <w:t xml:space="preserve">ورد شعره فی همیشه بهار.</w:t>
      </w:r>
    </w:p>
    <w:p>
      <w:pPr>
        <w:pStyle w:val="Heading3"/>
      </w:pPr>
      <w:bookmarkStart w:id="10257" w:name="_Toc8953"/>
      <w:r>
        <w:t>7740- دیوان نظام تویسرکانی أو شعره‏</w:t>
      </w:r>
      <w:bookmarkEnd w:id="10257"/>
    </w:p>
    <w:p>
      <w:pPr>
        <w:pStyle w:val="BookText"/>
      </w:pPr>
      <w:r>
        <w:rPr>
          <w:rFonts w:ascii="IRNazanin" w:hAnsi="IRNazanin" w:eastAsia="IRNazanin" w:cs="IRNazanin"/>
          <w:lang w:bidi="fa-IR"/>
          <w:color w:val="111111"/>
          <w:sz w:val="28"/>
          <w:szCs w:val="28"/>
          <w:rtl/>
        </w:rPr>
        <w:t xml:space="preserve">و اسمه نظام الدین ورد شعره فی همیشه بهار.</w:t>
      </w:r>
    </w:p>
    <w:p>
      <w:pPr>
        <w:pStyle w:val="Heading3"/>
      </w:pPr>
      <w:bookmarkStart w:id="10258" w:name="_Toc8954"/>
      <w:r>
        <w:t>7741- دیوان نظام جامی أو شعره‏</w:t>
      </w:r>
      <w:bookmarkEnd w:id="10258"/>
    </w:p>
    <w:p>
      <w:pPr>
        <w:pStyle w:val="BookText"/>
      </w:pPr>
      <w:r>
        <w:rPr>
          <w:rFonts w:ascii="IRNazanin" w:hAnsi="IRNazanin" w:eastAsia="IRNazanin" w:cs="IRNazanin"/>
          <w:lang w:bidi="fa-IR"/>
          <w:color w:val="111111"/>
          <w:sz w:val="28"/>
          <w:szCs w:val="28"/>
          <w:rtl/>
        </w:rPr>
        <w:t xml:space="preserve">و اسمه نظام الدین أحمد الکاتب فی دفتر السلطان خوارزم شاه. ترجم فی هفت إقلیم و (لب) و عنهما فی (مع 1: 635).</w:t>
      </w:r>
    </w:p>
    <w:p>
      <w:pPr>
        <w:pStyle w:val="Heading3"/>
      </w:pPr>
      <w:bookmarkStart w:id="10259" w:name="_Toc8955"/>
      <w:r>
        <w:t>7742- دیوان نظام خوانساری أو شعره‏</w:t>
      </w:r>
      <w:bookmarkEnd w:id="10259"/>
    </w:p>
    <w:p>
      <w:pPr>
        <w:pStyle w:val="BookText"/>
      </w:pPr>
      <w:r>
        <w:rPr>
          <w:rFonts w:ascii="IRNazanin" w:hAnsi="IRNazanin" w:eastAsia="IRNazanin" w:cs="IRNazanin"/>
          <w:lang w:bidi="fa-IR"/>
          <w:color w:val="111111"/>
          <w:sz w:val="28"/>
          <w:szCs w:val="28"/>
          <w:rtl/>
        </w:rPr>
        <w:t xml:space="preserve">و اسمه القاضی نظام الدین. ترجمه معاصره الحزین فی تذکرته ص 44 و عنه فی شمع انجمن.</w:t>
      </w:r>
    </w:p>
    <w:p>
      <w:pPr>
        <w:pStyle w:val="Heading3"/>
      </w:pPr>
      <w:bookmarkStart w:id="10260" w:name="_Toc8956"/>
      <w:r>
        <w:t>دیوان نظام دستغیب‏</w:t>
      </w:r>
      <w:bookmarkEnd w:id="10260"/>
    </w:p>
    <w:p>
      <w:pPr>
        <w:pStyle w:val="BookText"/>
      </w:pPr>
      <w:r>
        <w:rPr>
          <w:rFonts w:ascii="IRNazanin" w:hAnsi="IRNazanin" w:eastAsia="IRNazanin" w:cs="IRNazanin"/>
          <w:lang w:bidi="fa-IR"/>
          <w:color w:val="111111"/>
          <w:sz w:val="28"/>
          <w:szCs w:val="28"/>
          <w:rtl/>
        </w:rPr>
        <w:t xml:space="preserve">راجع نظام شیرازی.</w:t>
      </w:r>
    </w:p>
    <w:p>
      <w:pPr>
        <w:pStyle w:val="Heading3"/>
      </w:pPr>
      <w:bookmarkStart w:id="10261" w:name="_Toc8957"/>
      <w:r>
        <w:t>7743- دیوان نظام دشتکی أو شعره‏</w:t>
      </w:r>
      <w:bookmarkEnd w:id="10261"/>
    </w:p>
    <w:p>
      <w:pPr>
        <w:pStyle w:val="BookText"/>
      </w:pPr>
      <w:r>
        <w:rPr>
          <w:rFonts w:ascii="IRNazanin" w:hAnsi="IRNazanin" w:eastAsia="IRNazanin" w:cs="IRNazanin"/>
          <w:lang w:bidi="fa-IR"/>
          <w:color w:val="111111"/>
          <w:sz w:val="28"/>
          <w:szCs w:val="28"/>
          <w:rtl/>
        </w:rPr>
        <w:t xml:space="preserve">و هو السید نظام الدین أحمد بن محمد معصوم والد السید علی خان المدنی المذکور فی ص 754. جاء شعره فی (سرو- ص 286) و ریحانة الأدب.</w:t>
      </w:r>
    </w:p>
    <w:p>
      <w:pPr>
        <w:pStyle w:val="Heading3"/>
      </w:pPr>
      <w:bookmarkStart w:id="10262" w:name="_Toc8958"/>
      <w:r>
        <w:t>7744- دیوان نظام دهلوی‏</w:t>
      </w:r>
      <w:bookmarkEnd w:id="10262"/>
    </w:p>
    <w:p>
      <w:pPr>
        <w:pStyle w:val="BookText"/>
      </w:pPr>
      <w:r>
        <w:rPr>
          <w:rFonts w:ascii="IRNazanin" w:hAnsi="IRNazanin" w:eastAsia="IRNazanin" w:cs="IRNazanin"/>
          <w:lang w:bidi="fa-IR"/>
          <w:color w:val="111111"/>
          <w:sz w:val="28"/>
          <w:szCs w:val="28"/>
          <w:rtl/>
        </w:rPr>
        <w:t xml:space="preserve">محمد بن أحمد بن علی المعروف بشاه نظام أولیاء أستاذ الأمیر خسرو الدهلوی و المتوفیان معا فی 725 ترجمه الجامی فی (النفحات- ص 452) و الرازی فی هفت إقلیم و هدایت فی (ض- ص 149) و (گلشن- ص 726) و (حسینی- ص 327).</w:t>
      </w:r>
    </w:p>
    <w:p>
      <w:pPr>
        <w:pStyle w:val="Heading3"/>
      </w:pPr>
      <w:bookmarkStart w:id="10263" w:name="_Toc8959"/>
      <w:r>
        <w:t>7745- دیوان نظام دهلوی أو شعره‏</w:t>
      </w:r>
      <w:bookmarkEnd w:id="10263"/>
    </w:p>
    <w:p>
      <w:pPr>
        <w:pStyle w:val="BookText"/>
      </w:pPr>
      <w:r>
        <w:rPr>
          <w:rFonts w:ascii="IRNazanin" w:hAnsi="IRNazanin" w:eastAsia="IRNazanin" w:cs="IRNazanin"/>
          <w:lang w:bidi="fa-IR"/>
          <w:color w:val="111111"/>
          <w:sz w:val="28"/>
          <w:szCs w:val="28"/>
          <w:rtl/>
        </w:rPr>
        <w:t xml:space="preserve">و اسمه نظام الدین أحمد مؤلف طبقات أکبری المطبوع فی ثلاث مجلدات. و المتوفی 1003. ورد شعره فی کتابه المذکور و فی (گلشن- ص 528).</w:t>
      </w:r>
    </w:p>
    <w:p>
      <w:pPr>
        <w:pStyle w:val="Heading3"/>
      </w:pPr>
      <w:bookmarkStart w:id="10264" w:name="_Toc8960"/>
      <w:r>
        <w:t>7746- دیوان نظام الدولة</w:t>
      </w:r>
      <w:bookmarkEnd w:id="10264"/>
    </w:p>
    <w:p>
      <w:pPr>
        <w:pStyle w:val="BookText"/>
      </w:pPr>
      <w:r>
        <w:rPr>
          <w:rFonts w:ascii="IRNazanin" w:hAnsi="IRNazanin" w:eastAsia="IRNazanin" w:cs="IRNazanin"/>
          <w:lang w:bidi="fa-IR"/>
          <w:color w:val="111111"/>
          <w:sz w:val="28"/>
          <w:szCs w:val="28"/>
          <w:rtl/>
        </w:rPr>
        <w:t xml:space="preserve">المیرزا علی محمد بن عبد الله خان أمین الدولة المتوفی 1276. یوجد مجموعة بخطه فیها بعض قصائده تاریخ بعضها 1264 عند السید
</w:t>
      </w:r>
    </w:p>
    <w:p>
      <w:pPr>
        <w:sectPr>
          <w:footerReference w:type="default" r:id="rId1212"/>
          <w:footnotePr>
            <w:numStart w:val="1"/>
            <w:numRestart w:val="eachPage"/>
          </w:footnotePr>
          <w:pgSz w:orient="portrait" w:w="11905.511811023622" w:h="16837.79527559055"/>
          <w:pgMar w:top="1440" w:right="1440" w:bottom="1440" w:left="1440" w:header="720" w:footer="720" w:gutter="0"/>
          <w:cols w:num="1" w:space="720"/>
        </w:sectPr>
      </w:pPr>
    </w:p>
    <w:bookmarkStart w:id="1190" w:name="pg11704_122680"/>
    <w:bookmarkEnd w:id="1190"/>
    <w:p>
      <w:pPr>
        <w:pStyle w:val="BookText"/>
      </w:pPr>
      <w:r>
        <w:rPr>
          <w:rFonts w:ascii="IRNazanin" w:hAnsi="IRNazanin" w:eastAsia="IRNazanin" w:cs="IRNazanin"/>
          <w:lang w:bidi="fa-IR"/>
          <w:color w:val="111111"/>
          <w:sz w:val="28"/>
          <w:szCs w:val="28"/>
          <w:rtl/>
        </w:rPr>
        <w:t xml:space="preserve">محمد الجزائری بالأهواز.</w:t>
      </w:r>
    </w:p>
    <w:p>
      <w:pPr>
        <w:pStyle w:val="Heading3"/>
      </w:pPr>
      <w:bookmarkStart w:id="10265" w:name="_Toc8961"/>
      <w:r>
        <w:t>دیوان نظام الدین‏</w:t>
      </w:r>
      <w:bookmarkEnd w:id="10265"/>
    </w:p>
    <w:p>
      <w:pPr>
        <w:pStyle w:val="BookText"/>
      </w:pPr>
      <w:r>
        <w:rPr>
          <w:rFonts w:ascii="IRNazanin" w:hAnsi="IRNazanin" w:eastAsia="IRNazanin" w:cs="IRNazanin"/>
          <w:lang w:bidi="fa-IR"/>
          <w:color w:val="111111"/>
          <w:sz w:val="28"/>
          <w:szCs w:val="28"/>
          <w:rtl/>
        </w:rPr>
        <w:t xml:space="preserve">راجع أبی العلاء الگنجوی کما فی (حسینی- ص 348) و نظام خوانساری، و نظام تفرشی. و سهیلی جغتائی. و ابن الهباریة، و فانی هروی.</w:t>
      </w:r>
    </w:p>
    <w:p>
      <w:pPr>
        <w:pStyle w:val="BookText"/>
      </w:pPr>
      <w:r>
        <w:rPr>
          <w:rFonts w:ascii="IRNazanin" w:hAnsi="IRNazanin" w:eastAsia="IRNazanin" w:cs="IRNazanin"/>
          <w:lang w:bidi="fa-IR"/>
          <w:color w:val="111111"/>
          <w:sz w:val="28"/>
          <w:szCs w:val="28"/>
          <w:rtl/>
        </w:rPr>
        <w:t xml:space="preserve">و نوائی.</w:t>
      </w:r>
    </w:p>
    <w:p>
      <w:pPr>
        <w:pStyle w:val="Heading3"/>
      </w:pPr>
      <w:bookmarkStart w:id="10266" w:name="_Toc8962"/>
      <w:r>
        <w:t>دیوان نظام الدین البغدادی‏</w:t>
      </w:r>
      <w:bookmarkEnd w:id="10266"/>
    </w:p>
    <w:p>
      <w:pPr>
        <w:pStyle w:val="BookText"/>
      </w:pPr>
      <w:r>
        <w:rPr>
          <w:rFonts w:ascii="IRNazanin" w:hAnsi="IRNazanin" w:eastAsia="IRNazanin" w:cs="IRNazanin"/>
          <w:lang w:bidi="fa-IR"/>
          <w:color w:val="111111"/>
          <w:sz w:val="28"/>
          <w:szCs w:val="28"/>
          <w:rtl/>
        </w:rPr>
        <w:t xml:space="preserve">و هو الحکیم أبو یعلی محمد الهاشمی العباسی المتوفی 504 کما فی شاهد صادق المذکور فی ص 33- 34 و ترجمه السمعانی فی الأنساب و المجدوع فی فهرسه ص 11. و له منظومة حی بن یقظان بالعربیة فی 154 بیتا طبعه دانش‏پژوه مع مقدمه له فی مجلة دانش السنة 3 العدد 7 ص 403- 415. أوله [سئل الشریف ... نظام الشرف أبو یعلی محمد بن محمد بن صالح ابن الهباریة. ..</w:t>
      </w:r>
    </w:p>
    <w:p>
      <w:pPr>
        <w:pStyle w:val="BookText"/>
      </w:pPr>
      <w:r>
        <w:rPr>
          <w:rFonts w:ascii="IRNazanin" w:hAnsi="IRNazanin" w:eastAsia="IRNazanin" w:cs="IRNazanin"/>
          <w:lang w:bidi="fa-IR"/>
          <w:color w:val="111111"/>
          <w:sz w:val="28"/>
          <w:szCs w:val="28"/>
          <w:rtl/>
        </w:rPr>
        <w:t xml:space="preserve">نظم کلام أبی علی ابن سینا ... فقال لست من أهل ذلک ... فألزم ... فقال:</w:t>
      </w:r>
    </w:p>
    <w:p>
      <w:pPr>
        <w:pStyle w:val="BookText"/>
      </w:pPr>
      <w:r>
        <w:rPr>
          <w:rFonts w:ascii="IRNazanin" w:hAnsi="IRNazanin" w:eastAsia="IRNazanin" w:cs="IRNazanin"/>
          <w:lang w:bidi="fa-IR"/>
          <w:color w:val="111111"/>
          <w:sz w:val="28"/>
          <w:szCs w:val="28"/>
          <w:rtl/>
        </w:rPr>
        <w:t xml:space="preserve">حی بن یقظان ما حی بن یقظانا</w:t>
      </w:r>
    </w:p>
    <w:p>
      <w:pPr>
        <w:pStyle w:val="BookText"/>
      </w:pPr>
      <w:r>
        <w:rPr>
          <w:rFonts w:ascii="IRNazanin" w:hAnsi="IRNazanin" w:eastAsia="IRNazanin" w:cs="IRNazanin"/>
          <w:lang w:bidi="fa-IR"/>
          <w:color w:val="111111"/>
          <w:sz w:val="28"/>
          <w:szCs w:val="28"/>
          <w:rtl/>
        </w:rPr>
        <w:t xml:space="preserve">سبحان موجد ذاک الشیخ سبحانا</w:t>
      </w:r>
    </w:p>
    <w:p>
      <w:pPr>
        <w:pStyle w:val="Heading3"/>
      </w:pPr>
      <w:bookmarkStart w:id="10267" w:name="_Toc8963"/>
      <w:r>
        <w:t>. 7747- دیوان نظام رازی أو شعره‏</w:t>
      </w:r>
      <w:bookmarkEnd w:id="10267"/>
    </w:p>
    <w:p>
      <w:pPr>
        <w:pStyle w:val="BookText"/>
      </w:pPr>
      <w:r>
        <w:rPr>
          <w:rFonts w:ascii="IRNazanin" w:hAnsi="IRNazanin" w:eastAsia="IRNazanin" w:cs="IRNazanin"/>
          <w:lang w:bidi="fa-IR"/>
          <w:color w:val="111111"/>
          <w:sz w:val="28"/>
          <w:szCs w:val="28"/>
          <w:rtl/>
        </w:rPr>
        <w:t xml:space="preserve">الکاتب الحافظ لمشهد عبد العظیم بالری ورد شعره فی (تش 5- ص 178)</w:t>
      </w:r>
    </w:p>
    <w:p>
      <w:pPr>
        <w:pStyle w:val="Heading3"/>
      </w:pPr>
      <w:bookmarkStart w:id="10268" w:name="_Toc8964"/>
      <w:r>
        <w:t>7748- دیوان نظام شیرازی‏</w:t>
      </w:r>
      <w:bookmarkEnd w:id="10268"/>
    </w:p>
    <w:p>
      <w:pPr>
        <w:pStyle w:val="BookText"/>
      </w:pPr>
      <w:r>
        <w:rPr>
          <w:rFonts w:ascii="IRNazanin" w:hAnsi="IRNazanin" w:eastAsia="IRNazanin" w:cs="IRNazanin"/>
          <w:lang w:bidi="fa-IR"/>
          <w:color w:val="111111"/>
          <w:sz w:val="28"/>
          <w:szCs w:val="28"/>
          <w:rtl/>
        </w:rPr>
        <w:t xml:space="preserve">هو من سادات شیراز المعروفین بدستغیب ترجمه معاصره فی (نر 9- ص 271) و قال مات عن ثلاثین سنة من عمره فی 1029 و دفن بالحافظیة و مر ابن عمه صادق دستغیب و محسن دستغیب و ترجم أیضا فی (سرو- ص 38) و (تش- ص 297) و (حسینی- ص 354) و (فارس‏نامه 2: 152) و (خوش‏گو) و (نتایج- ص 723) و (روشن- ص 703)</w:t>
      </w:r>
    </w:p>
    <w:p>
      <w:pPr>
        <w:pStyle w:val="Heading3"/>
      </w:pPr>
      <w:bookmarkStart w:id="10269" w:name="_Toc8965"/>
      <w:r>
        <w:t>دیوان نظام شیرازی‏</w:t>
      </w:r>
      <w:bookmarkEnd w:id="10269"/>
    </w:p>
    <w:p>
      <w:pPr>
        <w:pStyle w:val="BookText"/>
      </w:pPr>
      <w:r>
        <w:rPr>
          <w:rFonts w:ascii="IRNazanin" w:hAnsi="IRNazanin" w:eastAsia="IRNazanin" w:cs="IRNazanin"/>
          <w:lang w:bidi="fa-IR"/>
          <w:color w:val="111111"/>
          <w:sz w:val="28"/>
          <w:szCs w:val="28"/>
          <w:rtl/>
        </w:rPr>
        <w:t xml:space="preserve">راجع ناظم شیرازی‏</w:t>
      </w:r>
    </w:p>
    <w:p>
      <w:pPr>
        <w:pStyle w:val="Heading3"/>
      </w:pPr>
      <w:bookmarkStart w:id="10270" w:name="_Toc8966"/>
      <w:r>
        <w:t>دیوان نظام طباطبائی‏</w:t>
      </w:r>
      <w:bookmarkEnd w:id="10270"/>
    </w:p>
    <w:p>
      <w:pPr>
        <w:pStyle w:val="BookText"/>
      </w:pPr>
      <w:r>
        <w:rPr>
          <w:rFonts w:ascii="IRNazanin" w:hAnsi="IRNazanin" w:eastAsia="IRNazanin" w:cs="IRNazanin"/>
          <w:lang w:bidi="fa-IR"/>
          <w:color w:val="111111"/>
          <w:sz w:val="28"/>
          <w:szCs w:val="28"/>
          <w:rtl/>
        </w:rPr>
        <w:t xml:space="preserve">راجع نظام گجراتی‏</w:t>
      </w:r>
    </w:p>
    <w:p>
      <w:pPr>
        <w:pStyle w:val="Heading3"/>
      </w:pPr>
      <w:bookmarkStart w:id="10271" w:name="_Toc8967"/>
      <w:r>
        <w:t>7749- دیوان نظام علی خان‏</w:t>
      </w:r>
      <w:bookmarkEnd w:id="10271"/>
    </w:p>
    <w:p>
      <w:pPr>
        <w:pStyle w:val="BookText"/>
      </w:pPr>
      <w:r>
        <w:rPr>
          <w:rFonts w:ascii="IRNazanin" w:hAnsi="IRNazanin" w:eastAsia="IRNazanin" w:cs="IRNazanin"/>
          <w:lang w:bidi="fa-IR"/>
          <w:color w:val="111111"/>
          <w:sz w:val="28"/>
          <w:szCs w:val="28"/>
          <w:rtl/>
        </w:rPr>
        <w:t xml:space="preserve">و اسمه محمد طبع له مثنوی عرفانی باسم گلزار معرفت بلکهنو فی 76 ص فی 1877 م‏</w:t>
      </w:r>
    </w:p>
    <w:p>
      <w:pPr>
        <w:pStyle w:val="Heading3"/>
      </w:pPr>
      <w:bookmarkStart w:id="10272" w:name="_Toc8968"/>
      <w:r>
        <w:t>دیوان نظام علی شاه‏</w:t>
      </w:r>
      <w:bookmarkEnd w:id="10272"/>
    </w:p>
    <w:p>
      <w:pPr>
        <w:pStyle w:val="BookText"/>
      </w:pPr>
      <w:r>
        <w:rPr>
          <w:rFonts w:ascii="IRNazanin" w:hAnsi="IRNazanin" w:eastAsia="IRNazanin" w:cs="IRNazanin"/>
          <w:lang w:bidi="fa-IR"/>
          <w:color w:val="111111"/>
          <w:sz w:val="28"/>
          <w:szCs w:val="28"/>
          <w:rtl/>
        </w:rPr>
        <w:t xml:space="preserve">راجع نظام کرمانی‏</w:t>
      </w:r>
    </w:p>
    <w:p>
      <w:pPr>
        <w:pStyle w:val="Heading3"/>
      </w:pPr>
      <w:bookmarkStart w:id="10273" w:name="_Toc8969"/>
      <w:r>
        <w:t>7750- دیوان نظام فارسی أو شعره‏</w:t>
      </w:r>
      <w:bookmarkEnd w:id="10273"/>
    </w:p>
    <w:p>
      <w:pPr>
        <w:pStyle w:val="BookText"/>
      </w:pPr>
      <w:r>
        <w:rPr>
          <w:rFonts w:ascii="IRNazanin" w:hAnsi="IRNazanin" w:eastAsia="IRNazanin" w:cs="IRNazanin"/>
          <w:lang w:bidi="fa-IR"/>
          <w:color w:val="111111"/>
          <w:sz w:val="28"/>
          <w:szCs w:val="28"/>
          <w:rtl/>
        </w:rPr>
        <w:t xml:space="preserve">و هو نظام الدین قوام الملک أبو نصر هبة الله الوزیر أورد شعره فی (لب) و هفت إقلیم‏
</w:t>
      </w:r>
    </w:p>
    <w:p>
      <w:pPr>
        <w:sectPr>
          <w:footerReference w:type="default" r:id="rId1213"/>
          <w:footnotePr>
            <w:numStart w:val="1"/>
            <w:numRestart w:val="eachPage"/>
          </w:footnotePr>
          <w:pgSz w:orient="portrait" w:w="11905.511811023622" w:h="16837.79527559055"/>
          <w:pgMar w:top="1440" w:right="1440" w:bottom="1440" w:left="1440" w:header="720" w:footer="720" w:gutter="0"/>
          <w:cols w:num="1" w:space="720"/>
        </w:sectPr>
      </w:pPr>
    </w:p>
    <w:bookmarkStart w:id="1191" w:name="pg11704_122681"/>
    <w:bookmarkEnd w:id="1191"/>
    <w:p>
      <w:pPr>
        <w:pStyle w:val="Heading3"/>
      </w:pPr>
      <w:bookmarkStart w:id="10274" w:name="_Toc8970"/>
      <w:r>
        <w:t>دیوان نظام فرغانی أو شعره‏</w:t>
      </w:r>
      <w:bookmarkEnd w:id="10274"/>
    </w:p>
    <w:p>
      <w:pPr>
        <w:pStyle w:val="BookText"/>
      </w:pPr>
      <w:r>
        <w:rPr>
          <w:rFonts w:ascii="IRNazanin" w:hAnsi="IRNazanin" w:eastAsia="IRNazanin" w:cs="IRNazanin"/>
          <w:lang w:bidi="fa-IR"/>
          <w:color w:val="111111"/>
          <w:sz w:val="28"/>
          <w:szCs w:val="28"/>
          <w:rtl/>
        </w:rPr>
        <w:t xml:space="preserve">و اسمه نظام الدین کلان خواجه أورد الرازی شعره فی هفت إقلیم‏</w:t>
      </w:r>
    </w:p>
    <w:p>
      <w:pPr>
        <w:pStyle w:val="Heading3"/>
      </w:pPr>
      <w:bookmarkStart w:id="10275" w:name="_Toc8971"/>
      <w:r>
        <w:t>دیوان نظام قاری‏</w:t>
      </w:r>
      <w:bookmarkEnd w:id="10275"/>
    </w:p>
    <w:p>
      <w:pPr>
        <w:pStyle w:val="BookText"/>
      </w:pPr>
      <w:r>
        <w:rPr>
          <w:rFonts w:ascii="IRNazanin" w:hAnsi="IRNazanin" w:eastAsia="IRNazanin" w:cs="IRNazanin"/>
          <w:lang w:bidi="fa-IR"/>
          <w:color w:val="111111"/>
          <w:sz w:val="28"/>
          <w:szCs w:val="28"/>
          <w:rtl/>
        </w:rPr>
        <w:t xml:space="preserve">مر بعنوان دیوان ألبسه‏</w:t>
      </w:r>
    </w:p>
    <w:p>
      <w:pPr>
        <w:pStyle w:val="Heading3"/>
      </w:pPr>
      <w:bookmarkStart w:id="10276" w:name="_Toc8972"/>
      <w:r>
        <w:t>7751- دیوان نظام قزوینی أو شعره‏</w:t>
      </w:r>
      <w:bookmarkEnd w:id="10276"/>
    </w:p>
    <w:p>
      <w:pPr>
        <w:pStyle w:val="BookText"/>
      </w:pPr>
      <w:r>
        <w:rPr>
          <w:rFonts w:ascii="IRNazanin" w:hAnsi="IRNazanin" w:eastAsia="IRNazanin" w:cs="IRNazanin"/>
          <w:lang w:bidi="fa-IR"/>
          <w:color w:val="111111"/>
          <w:sz w:val="28"/>
          <w:szCs w:val="28"/>
          <w:rtl/>
        </w:rPr>
        <w:t xml:space="preserve">و هو نظام الدین عثمان قاضی قزوینی فی عهد ألجایتو جاء شعره فی هفت إقلیم و (گلشن- ص 528) و همیشه بهار</w:t>
      </w:r>
    </w:p>
    <w:p>
      <w:pPr>
        <w:pStyle w:val="Heading3"/>
      </w:pPr>
      <w:bookmarkStart w:id="10277" w:name="_Toc8973"/>
      <w:r>
        <w:t>7752- دیوان نظام قزوینی أو شعره‏</w:t>
      </w:r>
      <w:bookmarkEnd w:id="10277"/>
    </w:p>
    <w:p>
      <w:pPr>
        <w:pStyle w:val="BookText"/>
      </w:pPr>
      <w:r>
        <w:rPr>
          <w:rFonts w:ascii="IRNazanin" w:hAnsi="IRNazanin" w:eastAsia="IRNazanin" w:cs="IRNazanin"/>
          <w:lang w:bidi="fa-IR"/>
          <w:color w:val="111111"/>
          <w:sz w:val="28"/>
          <w:szCs w:val="28"/>
          <w:rtl/>
        </w:rPr>
        <w:t xml:space="preserve">و یلقب کلاغ جاء شعره فی هفت إقلیم و (خوش‏گو)</w:t>
      </w:r>
    </w:p>
    <w:p>
      <w:pPr>
        <w:pStyle w:val="Heading3"/>
      </w:pPr>
      <w:bookmarkStart w:id="10278" w:name="_Toc8974"/>
      <w:r>
        <w:t>دیوان نظام قمری‏</w:t>
      </w:r>
      <w:bookmarkEnd w:id="10278"/>
    </w:p>
    <w:p>
      <w:pPr>
        <w:pStyle w:val="BookText"/>
      </w:pPr>
      <w:r>
        <w:rPr>
          <w:rFonts w:ascii="IRNazanin" w:hAnsi="IRNazanin" w:eastAsia="IRNazanin" w:cs="IRNazanin"/>
          <w:lang w:bidi="fa-IR"/>
          <w:color w:val="111111"/>
          <w:sz w:val="28"/>
          <w:szCs w:val="28"/>
          <w:rtl/>
        </w:rPr>
        <w:t xml:space="preserve">راجع نظام أصفهانی‏</w:t>
      </w:r>
    </w:p>
    <w:p>
      <w:pPr>
        <w:pStyle w:val="Heading3"/>
      </w:pPr>
      <w:bookmarkStart w:id="10279" w:name="_Toc8975"/>
      <w:r>
        <w:t>7753- دیوان نظام کابلی أو شعره‏</w:t>
      </w:r>
      <w:bookmarkEnd w:id="10279"/>
    </w:p>
    <w:p>
      <w:pPr>
        <w:pStyle w:val="BookText"/>
      </w:pPr>
      <w:r>
        <w:rPr>
          <w:rFonts w:ascii="IRNazanin" w:hAnsi="IRNazanin" w:eastAsia="IRNazanin" w:cs="IRNazanin"/>
          <w:lang w:bidi="fa-IR"/>
          <w:color w:val="111111"/>
          <w:sz w:val="28"/>
          <w:szCs w:val="28"/>
          <w:rtl/>
        </w:rPr>
        <w:t xml:space="preserve">و اسمه میر کلان خان جاء شعره فی (گلشن- ص 271)</w:t>
      </w:r>
    </w:p>
    <w:p>
      <w:pPr>
        <w:pStyle w:val="Heading3"/>
      </w:pPr>
      <w:bookmarkStart w:id="10280" w:name="_Toc8976"/>
      <w:r>
        <w:t>7754- دیوان نظام کاشانی أو شعره‏</w:t>
      </w:r>
      <w:bookmarkEnd w:id="10280"/>
    </w:p>
    <w:p>
      <w:pPr>
        <w:pStyle w:val="BookText"/>
      </w:pPr>
      <w:r>
        <w:rPr>
          <w:rFonts w:ascii="IRNazanin" w:hAnsi="IRNazanin" w:eastAsia="IRNazanin" w:cs="IRNazanin"/>
          <w:lang w:bidi="fa-IR"/>
          <w:color w:val="111111"/>
          <w:sz w:val="28"/>
          <w:szCs w:val="28"/>
          <w:rtl/>
        </w:rPr>
        <w:t xml:space="preserve">و اسمه الحکیم نظام الدین علی والد الحکیم رکنا مسیح الکاشانی المذکور فی ص 1041 جاء شعره فی (گلشن- ص 525) قال و مات 1000</w:t>
      </w:r>
    </w:p>
    <w:p>
      <w:pPr>
        <w:pStyle w:val="Heading3"/>
      </w:pPr>
      <w:bookmarkStart w:id="10281" w:name="_Toc8977"/>
      <w:r>
        <w:t>7755- دیوان نظام کاشانی أو شعره‏</w:t>
      </w:r>
      <w:bookmarkEnd w:id="10281"/>
    </w:p>
    <w:p>
      <w:pPr>
        <w:pStyle w:val="BookText"/>
      </w:pPr>
      <w:r>
        <w:rPr>
          <w:rFonts w:ascii="IRNazanin" w:hAnsi="IRNazanin" w:eastAsia="IRNazanin" w:cs="IRNazanin"/>
          <w:lang w:bidi="fa-IR"/>
          <w:color w:val="111111"/>
          <w:sz w:val="28"/>
          <w:szCs w:val="28"/>
          <w:rtl/>
        </w:rPr>
        <w:t xml:space="preserve">و هو القاضی نظام الدین ورد شعره فی (گلشن)- ص 528) و لعله القزوینی‏</w:t>
      </w:r>
    </w:p>
    <w:p>
      <w:pPr>
        <w:pStyle w:val="Heading3"/>
      </w:pPr>
      <w:bookmarkStart w:id="10282" w:name="_Toc8978"/>
      <w:r>
        <w:t>دیوان نظام کاشانی‏</w:t>
      </w:r>
      <w:bookmarkEnd w:id="10282"/>
    </w:p>
    <w:p>
      <w:pPr>
        <w:pStyle w:val="BookText"/>
      </w:pPr>
      <w:r>
        <w:rPr>
          <w:rFonts w:ascii="IRNazanin" w:hAnsi="IRNazanin" w:eastAsia="IRNazanin" w:cs="IRNazanin"/>
          <w:lang w:bidi="fa-IR"/>
          <w:color w:val="111111"/>
          <w:sz w:val="28"/>
          <w:szCs w:val="28"/>
          <w:rtl/>
        </w:rPr>
        <w:t xml:space="preserve">راجع نظام وفا</w:t>
      </w:r>
    </w:p>
    <w:p>
      <w:pPr>
        <w:pStyle w:val="Heading3"/>
      </w:pPr>
      <w:bookmarkStart w:id="10283" w:name="_Toc8979"/>
      <w:r>
        <w:t>دیوان نظام کبود جامه‏</w:t>
      </w:r>
      <w:bookmarkEnd w:id="10283"/>
    </w:p>
    <w:p>
      <w:pPr>
        <w:pStyle w:val="BookText"/>
      </w:pPr>
      <w:r>
        <w:rPr>
          <w:rFonts w:ascii="IRNazanin" w:hAnsi="IRNazanin" w:eastAsia="IRNazanin" w:cs="IRNazanin"/>
          <w:lang w:bidi="fa-IR"/>
          <w:color w:val="111111"/>
          <w:sz w:val="28"/>
          <w:szCs w:val="28"/>
          <w:rtl/>
        </w:rPr>
        <w:t xml:space="preserve">راجع نظام أسترآبادی و دیوان کبود جامه‏</w:t>
      </w:r>
    </w:p>
    <w:p>
      <w:pPr>
        <w:pStyle w:val="Heading3"/>
      </w:pPr>
      <w:bookmarkStart w:id="10284" w:name="_Toc8980"/>
      <w:r>
        <w:t>7756- دیوان نظام کرمانی‏</w:t>
      </w:r>
      <w:bookmarkEnd w:id="10284"/>
    </w:p>
    <w:p>
      <w:pPr>
        <w:pStyle w:val="BookText"/>
      </w:pPr>
      <w:r>
        <w:rPr>
          <w:rFonts w:ascii="IRNazanin" w:hAnsi="IRNazanin" w:eastAsia="IRNazanin" w:cs="IRNazanin"/>
          <w:lang w:bidi="fa-IR"/>
          <w:color w:val="111111"/>
          <w:sz w:val="28"/>
          <w:szCs w:val="28"/>
          <w:rtl/>
        </w:rPr>
        <w:t xml:space="preserve">و هو المولی أحمد بن عبد الواحد العارف المتوفی 1242 خلیفة مجذوب علی شاه ترجمه معاصره فی (ض- ص 596) و له الجنة السادسة و السابعة من جنات وصال المذکور فی ج 5 ص 152 و هی ترجمه منظومة ل مصباح الشریعة</w:t>
      </w:r>
    </w:p>
    <w:p>
      <w:pPr>
        <w:pStyle w:val="Heading3"/>
      </w:pPr>
      <w:bookmarkStart w:id="10285" w:name="_Toc8981"/>
      <w:r>
        <w:t>7757- دیوان نظام گجراتی أو شعره‏</w:t>
      </w:r>
      <w:bookmarkEnd w:id="10285"/>
    </w:p>
    <w:p>
      <w:pPr>
        <w:pStyle w:val="BookText"/>
      </w:pPr>
      <w:r>
        <w:rPr>
          <w:rFonts w:ascii="IRNazanin" w:hAnsi="IRNazanin" w:eastAsia="IRNazanin" w:cs="IRNazanin"/>
          <w:lang w:bidi="fa-IR"/>
          <w:color w:val="111111"/>
          <w:sz w:val="28"/>
          <w:szCs w:val="28"/>
          <w:rtl/>
        </w:rPr>
        <w:t xml:space="preserve">و هو نظام الدین الطباطبائی سکن گجرات و جاء شعره فی (گلشن- ص 527)</w:t>
      </w:r>
    </w:p>
    <w:p>
      <w:pPr>
        <w:pStyle w:val="Heading3"/>
      </w:pPr>
      <w:bookmarkStart w:id="10286" w:name="_Toc8982"/>
      <w:r>
        <w:t>7758- دیوان نظام مشهدی أو شعره‏</w:t>
      </w:r>
      <w:bookmarkEnd w:id="10286"/>
    </w:p>
    <w:p>
      <w:pPr>
        <w:pStyle w:val="BookText"/>
      </w:pPr>
      <w:r>
        <w:rPr>
          <w:rFonts w:ascii="IRNazanin" w:hAnsi="IRNazanin" w:eastAsia="IRNazanin" w:cs="IRNazanin"/>
          <w:lang w:bidi="fa-IR"/>
          <w:color w:val="111111"/>
          <w:sz w:val="28"/>
          <w:szCs w:val="28"/>
          <w:rtl/>
        </w:rPr>
        <w:t xml:space="preserve">و هو درویش نظام ورد شعره فی هفت إقلیم و (خوش‏گو) و (مطلع 2: 449)</w:t>
      </w:r>
    </w:p>
    <w:p>
      <w:pPr>
        <w:pStyle w:val="Heading3"/>
      </w:pPr>
      <w:bookmarkStart w:id="10287" w:name="_Toc8983"/>
      <w:r>
        <w:t>دیوان نظام معمایی‏</w:t>
      </w:r>
      <w:bookmarkEnd w:id="10287"/>
    </w:p>
    <w:p>
      <w:pPr>
        <w:pStyle w:val="BookText"/>
      </w:pPr>
      <w:r>
        <w:rPr>
          <w:rFonts w:ascii="IRNazanin" w:hAnsi="IRNazanin" w:eastAsia="IRNazanin" w:cs="IRNazanin"/>
          <w:lang w:bidi="fa-IR"/>
          <w:color w:val="111111"/>
          <w:sz w:val="28"/>
          <w:szCs w:val="28"/>
          <w:rtl/>
        </w:rPr>
        <w:t xml:space="preserve">راجع نظام أسترآبادی‏
</w:t>
      </w:r>
    </w:p>
    <w:p>
      <w:pPr>
        <w:sectPr>
          <w:footerReference w:type="default" r:id="rId1214"/>
          <w:footnotePr>
            <w:numStart w:val="1"/>
            <w:numRestart w:val="eachPage"/>
          </w:footnotePr>
          <w:pgSz w:orient="portrait" w:w="11905.511811023622" w:h="16837.79527559055"/>
          <w:pgMar w:top="1440" w:right="1440" w:bottom="1440" w:left="1440" w:header="720" w:footer="720" w:gutter="0"/>
          <w:cols w:num="1" w:space="720"/>
        </w:sectPr>
      </w:pPr>
    </w:p>
    <w:bookmarkStart w:id="1192" w:name="pg11704_122682"/>
    <w:bookmarkEnd w:id="1192"/>
    <w:p>
      <w:pPr>
        <w:pStyle w:val="Heading3"/>
      </w:pPr>
      <w:bookmarkStart w:id="10288" w:name="_Toc8984"/>
      <w:r>
        <w:t>دیوان نظام الملک‏</w:t>
      </w:r>
      <w:bookmarkEnd w:id="10288"/>
    </w:p>
    <w:p>
      <w:pPr>
        <w:pStyle w:val="BookText"/>
      </w:pPr>
      <w:r>
        <w:rPr>
          <w:rFonts w:ascii="IRNazanin" w:hAnsi="IRNazanin" w:eastAsia="IRNazanin" w:cs="IRNazanin"/>
          <w:lang w:bidi="fa-IR"/>
          <w:color w:val="111111"/>
          <w:sz w:val="28"/>
          <w:szCs w:val="28"/>
          <w:rtl/>
        </w:rPr>
        <w:t xml:space="preserve">راجع نظام أصفهانی‏</w:t>
      </w:r>
    </w:p>
    <w:p>
      <w:pPr>
        <w:pStyle w:val="Heading3"/>
      </w:pPr>
      <w:bookmarkStart w:id="10289" w:name="_Toc8985"/>
      <w:r>
        <w:t>7759- دیوان نظام الملک هندی‏</w:t>
      </w:r>
      <w:bookmarkEnd w:id="10289"/>
    </w:p>
    <w:p>
      <w:pPr>
        <w:pStyle w:val="BookText"/>
      </w:pPr>
      <w:r>
        <w:rPr>
          <w:rFonts w:ascii="IRNazanin" w:hAnsi="IRNazanin" w:eastAsia="IRNazanin" w:cs="IRNazanin"/>
          <w:lang w:bidi="fa-IR"/>
          <w:color w:val="111111"/>
          <w:sz w:val="28"/>
          <w:szCs w:val="28"/>
          <w:rtl/>
        </w:rPr>
        <w:t xml:space="preserve">لنظام الملک آصف جاه المتخلص آصف و شاکر من أمراء الهند و توفی 1161 ترجم مفصلا فی (نتایج- ص 69) و طبع دیوانه مع تحقیقات فدائی هندی المذکور فی ص 815 بحیدرآباد 1301 فی مجلدین 59+ 37+ 535 ص و 24+ 1028 ص‏</w:t>
      </w:r>
    </w:p>
    <w:p>
      <w:pPr>
        <w:pStyle w:val="Heading3"/>
      </w:pPr>
      <w:bookmarkStart w:id="10290" w:name="_Toc8986"/>
      <w:r>
        <w:t>7760- دیوان نظام نیشابوری أو شعره‏</w:t>
      </w:r>
      <w:bookmarkEnd w:id="10290"/>
    </w:p>
    <w:p>
      <w:pPr>
        <w:pStyle w:val="BookText"/>
      </w:pPr>
      <w:r>
        <w:rPr>
          <w:rFonts w:ascii="IRNazanin" w:hAnsi="IRNazanin" w:eastAsia="IRNazanin" w:cs="IRNazanin"/>
          <w:lang w:bidi="fa-IR"/>
          <w:color w:val="111111"/>
          <w:sz w:val="28"/>
          <w:szCs w:val="28"/>
          <w:rtl/>
        </w:rPr>
        <w:t xml:space="preserve">سماه فی (مجتس 5- ص 148) بنظام بدر و أورد شعره‏</w:t>
      </w:r>
    </w:p>
    <w:p>
      <w:pPr>
        <w:pStyle w:val="Heading3"/>
      </w:pPr>
      <w:bookmarkStart w:id="10291" w:name="_Toc8987"/>
      <w:r>
        <w:t>7761- دیوان نظام وفا</w:t>
      </w:r>
      <w:bookmarkEnd w:id="10291"/>
    </w:p>
    <w:p>
      <w:pPr>
        <w:pStyle w:val="BookText"/>
      </w:pPr>
      <w:r>
        <w:rPr>
          <w:rFonts w:ascii="IRNazanin" w:hAnsi="IRNazanin" w:eastAsia="IRNazanin" w:cs="IRNazanin"/>
          <w:lang w:bidi="fa-IR"/>
          <w:color w:val="111111"/>
          <w:sz w:val="28"/>
          <w:szCs w:val="28"/>
          <w:rtl/>
        </w:rPr>
        <w:t xml:space="preserve">هو ابن المیرزا محمود إمام الجمعة بکاشان ولد 1305 و ترجمه البرقعی فی سخنوران نامی معاصر- ج 1: 231 و الیاسمی فی تاریخ أدبیات معاصر ص 88 و نامه سخنوران- ص 140 طبع له مثنوی حبیب و رباب فی 1346 و نشر مجلة وفا</w:t>
      </w:r>
    </w:p>
    <w:p>
      <w:pPr>
        <w:pStyle w:val="Heading3"/>
      </w:pPr>
      <w:bookmarkStart w:id="10292" w:name="_Toc8988"/>
      <w:r>
        <w:t>7762- دیوان نظام هروی أو شعره‏</w:t>
      </w:r>
      <w:bookmarkEnd w:id="10292"/>
    </w:p>
    <w:p>
      <w:pPr>
        <w:pStyle w:val="BookText"/>
      </w:pPr>
      <w:r>
        <w:rPr>
          <w:rFonts w:ascii="IRNazanin" w:hAnsi="IRNazanin" w:eastAsia="IRNazanin" w:cs="IRNazanin"/>
          <w:lang w:bidi="fa-IR"/>
          <w:color w:val="111111"/>
          <w:sz w:val="28"/>
          <w:szCs w:val="28"/>
          <w:rtl/>
        </w:rPr>
        <w:t xml:space="preserve">و هو القاضی نظام الدین، نصبه السلطان حسین بایقرا قاضیا لهراة و توفی 900 جاء شعره فی (مجتس- ص 141) و (حسینی- ص 354) و (گلشن- ص 530) و عنها فی القاموس الترکی ثم الریحانة</w:t>
      </w:r>
    </w:p>
    <w:p>
      <w:pPr>
        <w:pStyle w:val="Heading3"/>
      </w:pPr>
      <w:bookmarkStart w:id="10293" w:name="_Toc8989"/>
      <w:r>
        <w:t>7763- دیوان نظام هروی أو شعره‏</w:t>
      </w:r>
      <w:bookmarkEnd w:id="10293"/>
    </w:p>
    <w:p>
      <w:pPr>
        <w:pStyle w:val="BookText"/>
      </w:pPr>
      <w:r>
        <w:rPr>
          <w:rFonts w:ascii="IRNazanin" w:hAnsi="IRNazanin" w:eastAsia="IRNazanin" w:cs="IRNazanin"/>
          <w:lang w:bidi="fa-IR"/>
          <w:color w:val="111111"/>
          <w:sz w:val="28"/>
          <w:szCs w:val="28"/>
          <w:rtl/>
        </w:rPr>
        <w:t xml:space="preserve">ترجمه معاصره علی شیر فی (مجن 2- ص 46 و 219)</w:t>
      </w:r>
    </w:p>
    <w:p>
      <w:pPr>
        <w:pStyle w:val="Heading3"/>
      </w:pPr>
      <w:bookmarkStart w:id="10294" w:name="_Toc8990"/>
      <w:r>
        <w:t>دیوان نظام همایون‏</w:t>
      </w:r>
      <w:bookmarkEnd w:id="10294"/>
    </w:p>
    <w:p>
      <w:pPr>
        <w:pStyle w:val="BookText"/>
      </w:pPr>
      <w:r>
        <w:rPr>
          <w:rFonts w:ascii="IRNazanin" w:hAnsi="IRNazanin" w:eastAsia="IRNazanin" w:cs="IRNazanin"/>
          <w:lang w:bidi="fa-IR"/>
          <w:color w:val="111111"/>
          <w:sz w:val="28"/>
          <w:szCs w:val="28"/>
          <w:rtl/>
        </w:rPr>
        <w:t xml:space="preserve">راجع نظمی أصفهانی‏</w:t>
      </w:r>
    </w:p>
    <w:p>
      <w:pPr>
        <w:pStyle w:val="Heading3"/>
      </w:pPr>
      <w:bookmarkStart w:id="10295" w:name="_Toc8991"/>
      <w:r>
        <w:t>7764- دیوان نظامی بلند شهری‏</w:t>
      </w:r>
      <w:bookmarkEnd w:id="10295"/>
    </w:p>
    <w:p>
      <w:pPr>
        <w:pStyle w:val="BookText"/>
      </w:pPr>
      <w:r>
        <w:rPr>
          <w:rFonts w:ascii="IRNazanin" w:hAnsi="IRNazanin" w:eastAsia="IRNazanin" w:cs="IRNazanin"/>
          <w:lang w:bidi="fa-IR"/>
          <w:color w:val="111111"/>
          <w:sz w:val="28"/>
          <w:szCs w:val="28"/>
          <w:rtl/>
        </w:rPr>
        <w:t xml:space="preserve">و اسمه الشیخ محمد نظام الدین ابن الشیخ محمد کریم الله المتوفی 1288 ورد شعره فی (روشن- ص 706) و طبع دیوانه الفارسی فی آکرة 1283 فی 69 ص‏</w:t>
      </w:r>
    </w:p>
    <w:p>
      <w:pPr>
        <w:pStyle w:val="Heading3"/>
      </w:pPr>
      <w:bookmarkStart w:id="10296" w:name="_Toc8992"/>
      <w:r>
        <w:t>7765- دیوان نظامی تبریزی‏</w:t>
      </w:r>
      <w:bookmarkEnd w:id="10296"/>
    </w:p>
    <w:p>
      <w:pPr>
        <w:pStyle w:val="BookText"/>
      </w:pPr>
      <w:r>
        <w:rPr>
          <w:rFonts w:ascii="IRNazanin" w:hAnsi="IRNazanin" w:eastAsia="IRNazanin" w:cs="IRNazanin"/>
          <w:lang w:bidi="fa-IR"/>
          <w:color w:val="111111"/>
          <w:sz w:val="28"/>
          <w:szCs w:val="28"/>
          <w:rtl/>
        </w:rPr>
        <w:t xml:space="preserve">یوجد له ترجیع بند فی مجموعة قدیمة عند (النخجوانی) و قال وحید فی مقدمه دیوان نظامی الگنجوی ص 172 إن للنظامی التبریزی دیوان یتتبع فیه الگنجوی و قال فی (دجا- ص 386) إن نظام الدین علی النظامی التبریزی هاجر إلی الهند فی عهد أکبر شاه و رتب هناک دیوانه‏</w:t>
      </w:r>
    </w:p>
    <w:p>
      <w:pPr>
        <w:pStyle w:val="Heading3"/>
      </w:pPr>
      <w:bookmarkStart w:id="10297" w:name="_Toc8993"/>
      <w:r>
        <w:t>7766- دیوان النظامی الخطاط أو شعره‏</w:t>
      </w:r>
      <w:bookmarkEnd w:id="10297"/>
    </w:p>
    <w:p>
      <w:pPr>
        <w:pStyle w:val="BookText"/>
      </w:pPr>
      <w:r>
        <w:rPr>
          <w:rFonts w:ascii="IRNazanin" w:hAnsi="IRNazanin" w:eastAsia="IRNazanin" w:cs="IRNazanin"/>
          <w:lang w:bidi="fa-IR"/>
          <w:color w:val="111111"/>
          <w:sz w:val="28"/>
          <w:szCs w:val="28"/>
          <w:rtl/>
        </w:rPr>
        <w:t xml:space="preserve">و هو أیضا تبریزی ذکر رباعیته فی (دجا- ص 385) نقلا عن دمیة القصر
</w:t>
      </w:r>
    </w:p>
    <w:p>
      <w:pPr>
        <w:sectPr>
          <w:footerReference w:type="default" r:id="rId1215"/>
          <w:footnotePr>
            <w:numStart w:val="1"/>
            <w:numRestart w:val="eachPage"/>
          </w:footnotePr>
          <w:pgSz w:orient="portrait" w:w="11905.511811023622" w:h="16837.79527559055"/>
          <w:pgMar w:top="1440" w:right="1440" w:bottom="1440" w:left="1440" w:header="720" w:footer="720" w:gutter="0"/>
          <w:cols w:num="1" w:space="720"/>
        </w:sectPr>
      </w:pPr>
    </w:p>
    <w:bookmarkStart w:id="1193" w:name="pg11704_122683"/>
    <w:bookmarkEnd w:id="1193"/>
    <w:p>
      <w:pPr>
        <w:pStyle w:val="Heading3"/>
      </w:pPr>
      <w:bookmarkStart w:id="10298" w:name="_Toc8994"/>
      <w:r>
        <w:t>دیوان نظامی سمرقندی‏</w:t>
      </w:r>
      <w:bookmarkEnd w:id="10298"/>
    </w:p>
    <w:p>
      <w:pPr>
        <w:pStyle w:val="BookText"/>
      </w:pPr>
      <w:r>
        <w:rPr>
          <w:rFonts w:ascii="IRNazanin" w:hAnsi="IRNazanin" w:eastAsia="IRNazanin" w:cs="IRNazanin"/>
          <w:lang w:bidi="fa-IR"/>
          <w:color w:val="111111"/>
          <w:sz w:val="28"/>
          <w:szCs w:val="28"/>
          <w:rtl/>
        </w:rPr>
        <w:t xml:space="preserve">راجع نظامی عروضی‏</w:t>
      </w:r>
    </w:p>
    <w:p>
      <w:pPr>
        <w:pStyle w:val="Heading3"/>
      </w:pPr>
      <w:bookmarkStart w:id="10299" w:name="_Toc8995"/>
      <w:r>
        <w:t>7767- دیوان نظامی عروضی أو شعره‏</w:t>
      </w:r>
      <w:bookmarkEnd w:id="10299"/>
    </w:p>
    <w:p>
      <w:pPr>
        <w:pStyle w:val="BookText"/>
      </w:pPr>
      <w:r>
        <w:rPr>
          <w:rFonts w:ascii="IRNazanin" w:hAnsi="IRNazanin" w:eastAsia="IRNazanin" w:cs="IRNazanin"/>
          <w:lang w:bidi="fa-IR"/>
          <w:color w:val="111111"/>
          <w:sz w:val="28"/>
          <w:szCs w:val="28"/>
          <w:rtl/>
        </w:rPr>
        <w:t xml:space="preserve">و هو نجم الدین أبو الحسن أحمد بن عمر بن علی و هو مؤلف چهار مقالة نظما و نثرا ترجمه و أورد شعره مع خلط فی (لت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سال نقلش برفعت و مکنت‏</w:t>
      </w:r>
    </w:p>
    <w:p>
      <w:pPr>
        <w:pStyle w:val="BookText"/>
      </w:pPr>
      <w:r>
        <w:rPr>
          <w:rFonts w:ascii="IRNazanin" w:hAnsi="IRNazanin" w:eastAsia="IRNazanin" w:cs="IRNazanin"/>
          <w:lang w:bidi="fa-IR"/>
          <w:color w:val="111111"/>
          <w:sz w:val="28"/>
          <w:szCs w:val="28"/>
          <w:rtl/>
        </w:rPr>
        <w:t xml:space="preserve">شد رقم گنجوی گل جنت‏</w:t>
      </w:r>
    </w:p>
    <w:p>
      <w:pPr>
        <w:pStyle w:val="BookText"/>
      </w:pPr>
      <w:r>
        <w:rPr>
          <w:rFonts w:ascii="IRNazanin" w:hAnsi="IRNazanin" w:eastAsia="IRNazanin" w:cs="IRNazanin"/>
          <w:lang w:bidi="fa-IR"/>
          <w:color w:val="111111"/>
          <w:sz w:val="28"/>
          <w:szCs w:val="28"/>
          <w:rtl/>
        </w:rPr>
        <w:t xml:space="preserve">) ألفها حدود 550 باسم حسام الدین علی الغوری کما مر فی ج 5 ص 314 و قد طبعه ثالثا أخیرا الدکتور محمد معین مع حواش کثیرة علیه و قال فی ص 84- 85 من هذه الطبعة: إنا ثلاث شعراء باسم النظامی، أنا و النظامی الأثیری و النیشابوری و قال فی شاهد صادق إن وفاة العروضی هذا کان فی 570 و ترجم أیضا فی (خز- ص 432) و (تش- ص 343) و فی کشف الظنون نسب إلیه مجمع النوادر و فی تاریخ گزیده- ص 826 أنه والد حسن نظامی البسطامی مؤلف تاج المآثر و ترجم أیضا فی (مع 1: 635)</w:t>
      </w:r>
    </w:p>
    <w:p>
      <w:pPr>
        <w:pStyle w:val="Heading3"/>
      </w:pPr>
      <w:bookmarkStart w:id="10300" w:name="_Toc8996"/>
      <w:r>
        <w:t>دیوان نظامی قهستانی‏</w:t>
      </w:r>
      <w:bookmarkEnd w:id="10300"/>
    </w:p>
    <w:p>
      <w:pPr>
        <w:pStyle w:val="BookText"/>
      </w:pPr>
      <w:r>
        <w:rPr>
          <w:rFonts w:ascii="IRNazanin" w:hAnsi="IRNazanin" w:eastAsia="IRNazanin" w:cs="IRNazanin"/>
          <w:lang w:bidi="fa-IR"/>
          <w:color w:val="111111"/>
          <w:sz w:val="28"/>
          <w:szCs w:val="28"/>
          <w:rtl/>
        </w:rPr>
        <w:t xml:space="preserve">و هو المولی فصیح الدین محمد النظامی وصفه فی هفت إقلیم بالحکیم الریاضی و ذکر له شرحا علی الچغمینی و فی حبیب السیر أنه کان مدرس مدارس إخلاصیة و غیاثیة و بدیعیة و فی 917 ذهب إلی بلخ عند صهره الأمیر صدر الدین یونس و مات بها فی 919 و له حاشیة الهدایة و حاشیة التذکرة و شرح الأربعین للنووی و شرح العوامل و حاشیة المختصر و کذا ذکره فی (قهستان- ص 217) و لعله متحد مع فصیح دشت بیاضی الهروی المذکور فی ص 834 و المذکور أیضا فی (قهستان- ص 219)</w:t>
      </w:r>
    </w:p>
    <w:p>
      <w:pPr>
        <w:pStyle w:val="Heading3"/>
      </w:pPr>
      <w:bookmarkStart w:id="10301" w:name="_Toc8997"/>
      <w:r>
        <w:t>7768- دیوان نظامی گنجوی‏</w:t>
      </w:r>
      <w:bookmarkEnd w:id="10301"/>
    </w:p>
    <w:p>
      <w:pPr>
        <w:pStyle w:val="BookText"/>
      </w:pPr>
      <w:r>
        <w:rPr>
          <w:rFonts w:ascii="IRNazanin" w:hAnsi="IRNazanin" w:eastAsia="IRNazanin" w:cs="IRNazanin"/>
          <w:lang w:bidi="fa-IR"/>
          <w:color w:val="111111"/>
          <w:sz w:val="28"/>
          <w:szCs w:val="28"/>
          <w:rtl/>
        </w:rPr>
        <w:t xml:space="preserve">و هو أبو محمد ویس بن یوسف بن زکی المطرزی و قیل إن أصله من تا بتفریش ولد و نشا بگنجه و توفی بین 607 و 6151 حدیث یذکر فی إقبال‏نامه قتل نور الدین أرسلان، فنظمه باسم ولده مسعود المتوفی 615 و قد نظمه و هو ابن ستین سنة. و هو الشاعر القصصی صاحب الخمسة أو پنج گنج المذکورة
</w:t>
      </w:r>
    </w:p>
    <w:p>
      <w:pPr>
        <w:sectPr>
          <w:footerReference w:type="default" r:id="rId1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ج 7 ص 268. قال فرهاد میرزا فی هدایة السبیل- ص 20 إنه رأی قبر النظامی فی خارج بلدة گنجه، و ذکر عبد الرحیم الخلخالی فی مجلة أرمغان سنة 1344 قصة عمارة القبر، و ذکر فی مجلة پیام نو شرحا عن المهرجانات التی أقیمت بمناسبة مرور ثمانمائة سنة علی النظامی و طبع ترجمه الخمسة باللغات الترکیة و الروسیة. و جاء ترجمته فی تاریخ أدبیات ایران للدکتور صفا ج 2 ص 798- 824 و للدکتور شفق ص 89 و فهرس مکتبة جامعة طهران 2: 37- 52 و فهرس سپهسالار 2: 524- 538 و فهرس (المجلس) 3: 198 و ریحانة الأدب و (دجا- ص 381) و طرائق الحقائق 2: 279 و هدیة العارفین 1: 225 و (مع 1: 637- 654) و (ض- ص 149) و شعر العجم و (تش- 237) و (بهش 1- ص 352) و (النفحات- ص 547) و (حسینی- ص 343) و (نتایج- ص 704- 705) و همیشه بهار و شمع انجمن- ص 450 و (لت 3) و (لب 11) و تاریخ گزیده- ص 826. و مجلة أرمغان سنوات 5 و 6 و 16 و 18 و 19 و 20 و مجلة یادگار السنة 4 العدد 9 و 10 و کتب الدکتور علی أکبر شهابی رسالة اسمها نظامی شاعر داستان سرا و طبعها بطهران 1337 ش. فی 366 ص. و للنظامی غیر الخمسة دیوان کان موجودا فی المکتبة الشاهانیة للشاه عباس رآها صائب التبریزی و نقل عنها فی سفینته الموجودة عند وحید الدستگردی بطهران کما ذکره فی مقدمته لطبع الدیوان فی 1318 ش، ثم ضاعت النسخة، و قد عثر الوحید علی عدة نسخ جدیدة و طبعها بعنوان الدفتر السابع لمنظومات النظامی، و طبع معه</w:t>
      </w:r>
    </w:p>
    <w:p>
      <w:pPr>
        <w:pStyle w:val="BookText"/>
      </w:pPr>
      <w:r>
        <w:rPr>
          <w:rFonts w:ascii="IRNazanin" w:hAnsi="IRNazanin" w:eastAsia="IRNazanin" w:cs="IRNazanin"/>
          <w:lang w:bidi="fa-IR"/>
          <w:color w:val="111111"/>
          <w:sz w:val="28"/>
          <w:szCs w:val="28"/>
          <w:rtl/>
        </w:rPr>
        <w:t xml:space="preserve">أحوالاته و قاموسا لکلماته المشکلة و تصویرا لمقبرته العظیمة الجدیدة. و طبع خلاصه دیوان نظامی فی 388 ص. بتصحیح حسین زمانه. و افسانه هفت گنبد نظامی لبامداد فی 246+ 191 ص. فی 1377 بطهران. أما الخمسة أو پنج گنج فهی هذه:</w:t>
      </w:r>
    </w:p>
    <w:p>
      <w:pPr>
        <w:pStyle w:val="BookText"/>
      </w:pPr>
      <w:r>
        <w:rPr>
          <w:rFonts w:ascii="IRNazanin" w:hAnsi="IRNazanin" w:eastAsia="IRNazanin" w:cs="IRNazanin"/>
          <w:lang w:bidi="fa-IR"/>
          <w:color w:val="111111"/>
          <w:sz w:val="28"/>
          <w:szCs w:val="28"/>
          <w:rtl/>
        </w:rPr>
        <w:t xml:space="preserve">1- مخزن الأسرار: نظمها لبهرام شاه فی 2260 بیتا علی البحر السریع. أوله:</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هست کلید در گنج حکیم‏</w:t>
      </w:r>
    </w:p>
    <w:p>
      <w:pPr>
        <w:pStyle w:val="BookText"/>
      </w:pPr>
      <w:r>
        <w:rPr>
          <w:rFonts w:ascii="IRNazanin" w:hAnsi="IRNazanin" w:eastAsia="IRNazanin" w:cs="IRNazanin"/>
          <w:lang w:bidi="fa-IR"/>
          <w:color w:val="111111"/>
          <w:sz w:val="28"/>
          <w:szCs w:val="28"/>
          <w:rtl/>
        </w:rPr>
        <w:t xml:space="preserve">و قد شرحها محمد بن قوام بن رستم البلخی فی 1061 و یوجد نسخته فی (المجلس) و شرحها شمعی بالترکیة. و لها شرحان لإبراهیم الستتوی و أمان الله الهندی بالفارسیة
</w:t>
      </w:r>
    </w:p>
    <w:p>
      <w:pPr>
        <w:sectPr>
          <w:footerReference w:type="default" r:id="rId1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موجودان فی الهند علی ما ذکر فی هفت آسمان و شرحها محمد رضا أیضا، و طبع علی حاشیة النسخة فی 1908 م بالهند. و طبع شرح مخزن الأسرار أیضا بالهند 1881 م.</w:t>
      </w:r>
    </w:p>
    <w:p>
      <w:pPr>
        <w:pStyle w:val="BookText"/>
      </w:pPr>
      <w:r>
        <w:rPr>
          <w:rFonts w:ascii="IRNazanin" w:hAnsi="IRNazanin" w:eastAsia="IRNazanin" w:cs="IRNazanin"/>
          <w:lang w:bidi="fa-IR"/>
          <w:color w:val="111111"/>
          <w:sz w:val="28"/>
          <w:szCs w:val="28"/>
          <w:rtl/>
        </w:rPr>
        <w:t xml:space="preserve">2- خسرو و شیرین: نظمها لطغرل السلجوقی فی 573- 576 فی بحر الهزج المسدس فی 4914 بیتا. و تبعه کثیر من الشعراء فی نظم القصة هذه، ذکرنا بعضها فی 7: 159- 161 و 8: 25 بعنوان خسرو و شیرین و فی 14: 269- 270 بعنوان شیرین و خسرو و یأتی فی الفاء فرهاد و شیرین و طبع نثر خسرو و شیرین لغلام حسین منشی فی الهند 1815 م. و لرضیة حدائق أخت ابن یوسف الشیرازی نثر آخر للمنظومة سمتها افسانه شیرین.</w:t>
      </w:r>
    </w:p>
    <w:p>
      <w:pPr>
        <w:pStyle w:val="BookText"/>
      </w:pPr>
      <w:r>
        <w:rPr>
          <w:rFonts w:ascii="IRNazanin" w:hAnsi="IRNazanin" w:eastAsia="IRNazanin" w:cs="IRNazanin"/>
          <w:lang w:bidi="fa-IR"/>
          <w:color w:val="111111"/>
          <w:sz w:val="28"/>
          <w:szCs w:val="28"/>
          <w:rtl/>
        </w:rPr>
        <w:t xml:space="preserve">أوله:</w:t>
      </w:r>
    </w:p>
    <w:p>
      <w:pPr>
        <w:pStyle w:val="BookText"/>
      </w:pPr>
      <w:r>
        <w:rPr>
          <w:rFonts w:ascii="IRNazanin" w:hAnsi="IRNazanin" w:eastAsia="IRNazanin" w:cs="IRNazanin"/>
          <w:lang w:bidi="fa-IR"/>
          <w:color w:val="111111"/>
          <w:sz w:val="28"/>
          <w:szCs w:val="28"/>
          <w:rtl/>
        </w:rPr>
        <w:t xml:space="preserve">خداوندا در توفیق بگشای‏</w:t>
      </w:r>
    </w:p>
    <w:p>
      <w:pPr>
        <w:pStyle w:val="BookText"/>
      </w:pPr>
      <w:r>
        <w:rPr>
          <w:rFonts w:ascii="IRNazanin" w:hAnsi="IRNazanin" w:eastAsia="IRNazanin" w:cs="IRNazanin"/>
          <w:lang w:bidi="fa-IR"/>
          <w:color w:val="111111"/>
          <w:sz w:val="28"/>
          <w:szCs w:val="28"/>
          <w:rtl/>
        </w:rPr>
        <w:t xml:space="preserve">نظامی را ره تحقیق بنمای‏</w:t>
      </w:r>
    </w:p>
    <w:p>
      <w:pPr>
        <w:pStyle w:val="BookText"/>
      </w:pPr>
      <w:r>
        <w:rPr>
          <w:rFonts w:ascii="IRNazanin" w:hAnsi="IRNazanin" w:eastAsia="IRNazanin" w:cs="IRNazanin"/>
          <w:lang w:bidi="fa-IR"/>
          <w:color w:val="111111"/>
          <w:sz w:val="28"/>
          <w:szCs w:val="28"/>
          <w:rtl/>
        </w:rPr>
        <w:t xml:space="preserve">3- لیلی و مجنون: نظمها باسم شروان شاه فی أربعة أشهر من 584 فی 4500 بیتا فی بحر الهزج المسدس و قد ذکرنا أصل القصة فی ج 8 ص 32 و قد ألف علی أصغر حکمت رسالة فی مقایسه القصة مع قصة رومئو ژولیت الإیطالیة سماها رومئو ژولیت ویلیام شکسپیر مقایسه با لیلی و مجنون نظامی طبعت بطهران 1318 ش. فی 248 ص.</w:t>
      </w:r>
    </w:p>
    <w:p>
      <w:pPr>
        <w:pStyle w:val="BookText"/>
      </w:pPr>
      <w:r>
        <w:rPr>
          <w:rFonts w:ascii="IRNazanin" w:hAnsi="IRNazanin" w:eastAsia="IRNazanin" w:cs="IRNazanin"/>
          <w:lang w:bidi="fa-IR"/>
          <w:color w:val="111111"/>
          <w:sz w:val="28"/>
          <w:szCs w:val="28"/>
          <w:rtl/>
        </w:rPr>
        <w:t xml:space="preserve">أورد فیها فهرسا عن أربعین منظومة فارسیة باسم لیلی و مجنون و ثلاثة عشر ترکیة و منظومة واحدة کردیة. أشهرها لمکتبی المذکور فی ص 1094 و لعلنا نأتی فی اللام بغیرها أیضا.</w:t>
      </w:r>
    </w:p>
    <w:p>
      <w:pPr>
        <w:pStyle w:val="BookText"/>
      </w:pPr>
      <w:r>
        <w:rPr>
          <w:rFonts w:ascii="IRNazanin" w:hAnsi="IRNazanin" w:eastAsia="IRNazanin" w:cs="IRNazanin"/>
          <w:lang w:bidi="fa-IR"/>
          <w:color w:val="111111"/>
          <w:sz w:val="28"/>
          <w:szCs w:val="28"/>
          <w:rtl/>
        </w:rPr>
        <w:t xml:space="preserve">أوله:</w:t>
      </w:r>
    </w:p>
    <w:p>
      <w:pPr>
        <w:pStyle w:val="BookText"/>
      </w:pPr>
      <w:r>
        <w:rPr>
          <w:rFonts w:ascii="IRNazanin" w:hAnsi="IRNazanin" w:eastAsia="IRNazanin" w:cs="IRNazanin"/>
          <w:lang w:bidi="fa-IR"/>
          <w:color w:val="111111"/>
          <w:sz w:val="28"/>
          <w:szCs w:val="28"/>
          <w:rtl/>
        </w:rPr>
        <w:t xml:space="preserve">ای نام تو بهترین سرآغاز</w:t>
      </w:r>
    </w:p>
    <w:p>
      <w:pPr>
        <w:pStyle w:val="BookText"/>
      </w:pPr>
      <w:r>
        <w:rPr>
          <w:rFonts w:ascii="IRNazanin" w:hAnsi="IRNazanin" w:eastAsia="IRNazanin" w:cs="IRNazanin"/>
          <w:lang w:bidi="fa-IR"/>
          <w:color w:val="111111"/>
          <w:sz w:val="28"/>
          <w:szCs w:val="28"/>
          <w:rtl/>
        </w:rPr>
        <w:t xml:space="preserve">بی‏نام تو نامه کی کنم باز</w:t>
      </w:r>
    </w:p>
    <w:p>
      <w:pPr>
        <w:pStyle w:val="BookText"/>
      </w:pPr>
      <w:r>
        <w:rPr>
          <w:rFonts w:ascii="IRNazanin" w:hAnsi="IRNazanin" w:eastAsia="IRNazanin" w:cs="IRNazanin"/>
          <w:lang w:bidi="fa-IR"/>
          <w:color w:val="111111"/>
          <w:sz w:val="28"/>
          <w:szCs w:val="28"/>
          <w:rtl/>
        </w:rPr>
        <w:t xml:space="preserve">4- هفت پیکر: نظمه باسم گرپ أرسلان عام 593 فی 4577 بیتا فی بحر الخفیف السالم علی زنة حدیقة الحقیقة للسنائی. و قد أخذها من قصة بهرام گور فی الشاهنامة للفردوسی، و له فیها تعمد فی استعمال عدد السبعة.</w:t>
      </w:r>
    </w:p>
    <w:p>
      <w:pPr>
        <w:pStyle w:val="BookText"/>
      </w:pPr>
      <w:r>
        <w:rPr>
          <w:rFonts w:ascii="IRNazanin" w:hAnsi="IRNazanin" w:eastAsia="IRNazanin" w:cs="IRNazanin"/>
          <w:lang w:bidi="fa-IR"/>
          <w:color w:val="111111"/>
          <w:sz w:val="28"/>
          <w:szCs w:val="28"/>
          <w:rtl/>
        </w:rPr>
        <w:t xml:space="preserve">أوله:</w:t>
      </w:r>
    </w:p>
    <w:p>
      <w:pPr>
        <w:pStyle w:val="BookText"/>
      </w:pPr>
      <w:r>
        <w:rPr>
          <w:rFonts w:ascii="IRNazanin" w:hAnsi="IRNazanin" w:eastAsia="IRNazanin" w:cs="IRNazanin"/>
          <w:lang w:bidi="fa-IR"/>
          <w:color w:val="111111"/>
          <w:sz w:val="28"/>
          <w:szCs w:val="28"/>
          <w:rtl/>
        </w:rPr>
        <w:t xml:space="preserve">ای جهان دیده بود خویش از تو</w:t>
      </w:r>
    </w:p>
    <w:p>
      <w:pPr>
        <w:pStyle w:val="BookText"/>
      </w:pPr>
      <w:r>
        <w:rPr>
          <w:rFonts w:ascii="IRNazanin" w:hAnsi="IRNazanin" w:eastAsia="IRNazanin" w:cs="IRNazanin"/>
          <w:lang w:bidi="fa-IR"/>
          <w:color w:val="111111"/>
          <w:sz w:val="28"/>
          <w:szCs w:val="28"/>
          <w:rtl/>
        </w:rPr>
        <w:t xml:space="preserve">هیچ بودی نبود پیش از تو</w:t>
      </w:r>
    </w:p>
    <w:p>
      <w:pPr>
        <w:pStyle w:val="BookText"/>
      </w:pPr>
      <w:r>
        <w:rPr>
          <w:rFonts w:ascii="IRNazanin" w:hAnsi="IRNazanin" w:eastAsia="IRNazanin" w:cs="IRNazanin"/>
          <w:lang w:bidi="fa-IR"/>
          <w:color w:val="111111"/>
          <w:sz w:val="28"/>
          <w:szCs w:val="28"/>
          <w:rtl/>
        </w:rPr>
        <w:t xml:space="preserve">و قد ألف الدکتور معین تحلیل هفت پیکر و طبعه بطهران فی 1387.</w:t>
      </w:r>
    </w:p>
    <w:p>
      <w:pPr>
        <w:pStyle w:val="BookText"/>
      </w:pPr>
      <w:r>
        <w:rPr>
          <w:rFonts w:ascii="IRNazanin" w:hAnsi="IRNazanin" w:eastAsia="IRNazanin" w:cs="IRNazanin"/>
          <w:lang w:bidi="fa-IR"/>
          <w:color w:val="111111"/>
          <w:sz w:val="28"/>
          <w:szCs w:val="28"/>
          <w:rtl/>
        </w:rPr>
        <w:t xml:space="preserve">5- إسکندرنامه: فی قصة حمله إسکندر المقدونی علی الشرق. جمع القصة أولا رجل مصری فی القرن الثالث للمیلاد و نسبها إلی کالیستنس المؤرخ المعاصر للإسکندر، ثم ترجمت القصة بالپهلویة فی العهد الساسانی ثم نقلت منها إلی العربیة و سمیت باسم‏
</w:t>
      </w:r>
    </w:p>
    <w:p>
      <w:pPr>
        <w:sectPr>
          <w:footerReference w:type="default" r:id="rId1218"/>
          <w:footnotePr>
            <w:numStart w:val="1"/>
            <w:numRestart w:val="eachPage"/>
          </w:footnotePr>
          <w:pgSz w:orient="portrait" w:w="11905.511811023622" w:h="16837.79527559055"/>
          <w:pgMar w:top="1440" w:right="1440" w:bottom="1440" w:left="1440" w:header="720" w:footer="720" w:gutter="0"/>
          <w:cols w:num="1" w:space="720"/>
        </w:sectPr>
      </w:pPr>
    </w:p>
    <w:bookmarkStart w:id="1194" w:name="pg11704_122686"/>
    <w:bookmarkEnd w:id="1194"/>
    <w:p>
      <w:pPr>
        <w:pStyle w:val="BookText"/>
      </w:pPr>
      <w:r>
        <w:rPr>
          <w:rFonts w:ascii="IRNazanin" w:hAnsi="IRNazanin" w:eastAsia="IRNazanin" w:cs="IRNazanin"/>
          <w:lang w:bidi="fa-IR"/>
          <w:color w:val="111111"/>
          <w:sz w:val="28"/>
          <w:szCs w:val="28"/>
          <w:rtl/>
        </w:rPr>
        <w:t xml:space="preserve">أخبار إسکندر و منها إلی الفارسیة الدریة باسم إسکندرنامه مکررا کما مر فی ج 2 ص 61 و ج 7 ص 256 و ج 8 ص 27 و منها أخذ النظامی قصته هذه و جعله علی قسمین ألف: شرف‏نامه. ب: إقبال‏نامه أو خردنامه و هما حماسیان نظمهما علی بحر المتقارب، وزن الحماسیات الفارسیة. نظم أولهما فی 6800 بیت فی 597 باسم الأتابک نصرة الدین أبی بکر بن محمد جهان پهلوان.</w:t>
      </w:r>
    </w:p>
    <w:p>
      <w:pPr>
        <w:pStyle w:val="BookText"/>
      </w:pPr>
      <w:r>
        <w:rPr>
          <w:rFonts w:ascii="IRNazanin" w:hAnsi="IRNazanin" w:eastAsia="IRNazanin" w:cs="IRNazanin"/>
          <w:lang w:bidi="fa-IR"/>
          <w:color w:val="111111"/>
          <w:sz w:val="28"/>
          <w:szCs w:val="28"/>
          <w:rtl/>
        </w:rPr>
        <w:t xml:space="preserve">أوله:</w:t>
      </w:r>
    </w:p>
    <w:p>
      <w:pPr>
        <w:pStyle w:val="BookText"/>
      </w:pPr>
      <w:r>
        <w:rPr>
          <w:rFonts w:ascii="IRNazanin" w:hAnsi="IRNazanin" w:eastAsia="IRNazanin" w:cs="IRNazanin"/>
          <w:lang w:bidi="fa-IR"/>
          <w:color w:val="111111"/>
          <w:sz w:val="28"/>
          <w:szCs w:val="28"/>
          <w:rtl/>
        </w:rPr>
        <w:t xml:space="preserve">خدایا جهان پادشاهی تراست‏</w:t>
      </w:r>
    </w:p>
    <w:p>
      <w:pPr>
        <w:pStyle w:val="BookText"/>
      </w:pPr>
      <w:r>
        <w:rPr>
          <w:rFonts w:ascii="IRNazanin" w:hAnsi="IRNazanin" w:eastAsia="IRNazanin" w:cs="IRNazanin"/>
          <w:lang w:bidi="fa-IR"/>
          <w:color w:val="111111"/>
          <w:sz w:val="28"/>
          <w:szCs w:val="28"/>
          <w:rtl/>
        </w:rPr>
        <w:t xml:space="preserve">ز ما خدمت آید خدایی تراست‏</w:t>
      </w:r>
    </w:p>
    <w:p>
      <w:pPr>
        <w:pStyle w:val="BookText"/>
      </w:pPr>
      <w:r>
        <w:rPr>
          <w:rFonts w:ascii="IRNazanin" w:hAnsi="IRNazanin" w:eastAsia="IRNazanin" w:cs="IRNazanin"/>
          <w:lang w:bidi="fa-IR"/>
          <w:color w:val="111111"/>
          <w:sz w:val="28"/>
          <w:szCs w:val="28"/>
          <w:rtl/>
        </w:rPr>
        <w:t xml:space="preserve">و الثانی نظمه فی 3480 بیت باسم عز الدین مسعود بن أرسلان حاکم الموصل فی 607- 615 و أکثرها أخلاقیة. و قد شرح شرف‏نامه محمد غفران و طبعه فی لهاوور فی 1889 م. و لحامد بن جمال البخاری أیضا شرح علیها سماه کشف الوقائع و لمحمد سعد الله پتنائی شرح آخر ألفه فی 1146 و لسراج الدین آرزو المتوفی 1169 شرح آخر و طبع شرح آخر لبدر علی بن حسین علی بکلکتة فی 1812 م و 1825 م. کلها علی شرف‏نامه و طبع کلید إسکندر فی تفسیر اللغات المشکلة ل إسکندرنامه. توجد نسخ الخمسة فی مکتبات (المجلس) و (سپهسالار) و (الملک) و (فخر الدین) و (الرضویة) و (النخجوانی) و أکثرها نسخ ثمینة مذهبة مجدولة.</w:t>
      </w:r>
    </w:p>
    <w:p>
      <w:pPr>
        <w:pStyle w:val="BookText"/>
      </w:pPr>
      <w:r>
        <w:rPr>
          <w:rFonts w:ascii="IRNazanin" w:hAnsi="IRNazanin" w:eastAsia="IRNazanin" w:cs="IRNazanin"/>
          <w:lang w:bidi="fa-IR"/>
          <w:color w:val="111111"/>
          <w:sz w:val="28"/>
          <w:szCs w:val="28"/>
          <w:rtl/>
        </w:rPr>
        <w:t xml:space="preserve">و قد طبع الخمسة معا باسم پنج گنج و کل قسم منها مستقلا مکررا. ذکر فهرس طبعاتها المشار فی فهرس کتابهای چاپی فارسی و غیرها. و یوجد له منظومة باسم ساقی‏نامه و هی أشعار متفرقة جمعها صاحب میخانه من إسکندرنامه للنظامی و أوردها فی میخانه کما فعل بغیره.</w:t>
      </w:r>
    </w:p>
    <w:p>
      <w:pPr>
        <w:pStyle w:val="Heading3"/>
      </w:pPr>
      <w:bookmarkStart w:id="10302" w:name="_Toc8998"/>
      <w:r>
        <w:t>7769- دیوان نظر علی شاه أو شعره‏</w:t>
      </w:r>
      <w:bookmarkEnd w:id="10302"/>
    </w:p>
    <w:p>
      <w:pPr>
        <w:pStyle w:val="BookText"/>
      </w:pPr>
      <w:r>
        <w:rPr>
          <w:rFonts w:ascii="IRNazanin" w:hAnsi="IRNazanin" w:eastAsia="IRNazanin" w:cs="IRNazanin"/>
          <w:lang w:bidi="fa-IR"/>
          <w:color w:val="111111"/>
          <w:sz w:val="28"/>
          <w:szCs w:val="28"/>
          <w:rtl/>
        </w:rPr>
        <w:t xml:space="preserve">و هو العارف الحاج میرزا محمد الرحیم ابن الحاج سعید شیخ الإسلام بنائین المدفون هو و أبنائه فی المصلی العتیق بنائین. و نظر علی شاه هو والد میرزا سعید و هو والد میرزا عبد الرحیم الذی هو والد الحاج میرزا حسین النائنی من مراجع الشیعة فی النجف و تلمیذ شیخنا الخراسانی و من مظاهری نهضة الدستور الإیرانی. ترجم نظر علی شاه فی (ض- ص 583) و بستان السیاحة و (الطرائق ج 3 ص 94- 95) و تاریخ نائین لعبد الحجة البلاغی ص 116- 118 و نور الابصار- ص 44). قالوا جاء من نائین إلی أصفهان و تلمذ علی نور علی شاه الصوفی المقتول‏
</w:t>
      </w:r>
    </w:p>
    <w:p>
      <w:pPr>
        <w:sectPr>
          <w:footerReference w:type="default" r:id="rId1219"/>
          <w:footnotePr>
            <w:numStart w:val="1"/>
            <w:numRestart w:val="eachPage"/>
          </w:footnotePr>
          <w:pgSz w:orient="portrait" w:w="11905.511811023622" w:h="16837.79527559055"/>
          <w:pgMar w:top="1440" w:right="1440" w:bottom="1440" w:left="1440" w:header="720" w:footer="720" w:gutter="0"/>
          <w:cols w:num="1" w:space="720"/>
        </w:sectPr>
      </w:pPr>
    </w:p>
    <w:bookmarkStart w:id="1195" w:name="pg11704_122687"/>
    <w:bookmarkEnd w:id="1195"/>
    <w:p>
      <w:pPr>
        <w:pStyle w:val="BookText"/>
      </w:pPr>
      <w:r>
        <w:rPr>
          <w:rFonts w:ascii="IRNazanin" w:hAnsi="IRNazanin" w:eastAsia="IRNazanin" w:cs="IRNazanin"/>
          <w:lang w:bidi="fa-IR"/>
          <w:color w:val="111111"/>
          <w:sz w:val="28"/>
          <w:szCs w:val="28"/>
          <w:rtl/>
        </w:rPr>
        <w:t xml:space="preserve">1212 کان یتخلص صحبت و نظر و مات 1240.</w:t>
      </w:r>
    </w:p>
    <w:p>
      <w:pPr>
        <w:pStyle w:val="Heading3"/>
      </w:pPr>
      <w:bookmarkStart w:id="10303" w:name="_Toc8999"/>
      <w:r>
        <w:t>7770- دیوان نظر قمشهی‏</w:t>
      </w:r>
      <w:bookmarkEnd w:id="10303"/>
    </w:p>
    <w:p>
      <w:pPr>
        <w:pStyle w:val="BookText"/>
      </w:pPr>
      <w:r>
        <w:rPr>
          <w:rFonts w:ascii="IRNazanin" w:hAnsi="IRNazanin" w:eastAsia="IRNazanin" w:cs="IRNazanin"/>
          <w:lang w:bidi="fa-IR"/>
          <w:color w:val="111111"/>
          <w:sz w:val="28"/>
          <w:szCs w:val="28"/>
          <w:rtl/>
        </w:rPr>
        <w:t xml:space="preserve">المتولی لمزار الإمام‏زادة شاه رضا بقومشه. ترجمه النصرآبادی فی (نر 9- ص 277) و قال فی میخانه- ص 543 ولد بقمشه و لما بلغ عمره العشرین سافر إلی شیراز و جاء إلی الهند عن طریق هرمز و تقرب عند خان خانان و کان شجاعا و حارب معه الملک عنبر و جرح، و لما بری جراحه رجع إلی إیران زائرا لمشهد خراسان ثم إلی أصفهان، و قال فیه:</w:t>
      </w:r>
    </w:p>
    <w:p>
      <w:pPr>
        <w:pStyle w:val="BookText"/>
      </w:pPr>
      <w:r>
        <w:rPr>
          <w:rFonts w:ascii="IRNazanin" w:hAnsi="IRNazanin" w:eastAsia="IRNazanin" w:cs="IRNazanin"/>
          <w:lang w:bidi="fa-IR"/>
          <w:color w:val="111111"/>
          <w:sz w:val="28"/>
          <w:szCs w:val="28"/>
          <w:rtl/>
        </w:rPr>
        <w:t xml:space="preserve">گر هند بود کعبه روم سوی کنشت‏</w:t>
      </w:r>
    </w:p>
    <w:p>
      <w:pPr>
        <w:pStyle w:val="BookText"/>
      </w:pPr>
      <w:r>
        <w:rPr>
          <w:rFonts w:ascii="IRNazanin" w:hAnsi="IRNazanin" w:eastAsia="IRNazanin" w:cs="IRNazanin"/>
          <w:lang w:bidi="fa-IR"/>
          <w:color w:val="111111"/>
          <w:sz w:val="28"/>
          <w:szCs w:val="28"/>
          <w:rtl/>
        </w:rPr>
        <w:t xml:space="preserve">دوزخ طلبم اگر چه هند است بهشت‏</w:t>
      </w:r>
    </w:p>
    <w:p>
      <w:pPr>
        <w:pStyle w:val="BookText"/>
      </w:pPr>
      <w:r>
        <w:rPr>
          <w:rFonts w:ascii="IRNazanin" w:hAnsi="IRNazanin" w:eastAsia="IRNazanin" w:cs="IRNazanin"/>
          <w:lang w:bidi="fa-IR"/>
          <w:color w:val="111111"/>
          <w:sz w:val="28"/>
          <w:szCs w:val="28"/>
          <w:rtl/>
        </w:rPr>
        <w:t xml:space="preserve">خواهم ز غلط کرده خود برگردم‏</w:t>
      </w:r>
    </w:p>
    <w:p>
      <w:pPr>
        <w:pStyle w:val="BookText"/>
      </w:pPr>
      <w:r>
        <w:rPr>
          <w:rFonts w:ascii="IRNazanin" w:hAnsi="IRNazanin" w:eastAsia="IRNazanin" w:cs="IRNazanin"/>
          <w:lang w:bidi="fa-IR"/>
          <w:color w:val="111111"/>
          <w:sz w:val="28"/>
          <w:szCs w:val="28"/>
          <w:rtl/>
        </w:rPr>
        <w:t xml:space="preserve">مانند نگاه غافل از صورت زشت‏</w:t>
      </w:r>
    </w:p>
    <w:p>
      <w:pPr>
        <w:pStyle w:val="BookText"/>
      </w:pPr>
      <w:r>
        <w:rPr>
          <w:rFonts w:ascii="IRNazanin" w:hAnsi="IRNazanin" w:eastAsia="IRNazanin" w:cs="IRNazanin"/>
          <w:lang w:bidi="fa-IR"/>
          <w:color w:val="111111"/>
          <w:sz w:val="28"/>
          <w:szCs w:val="28"/>
          <w:rtl/>
        </w:rPr>
        <w:t xml:space="preserve">و قال فی (تش- ص 168) و لما رجع إلی أصفهان تزوج خوش‏نقش التی کانت سابقا بغیة فمرض و مات. و أورد النصرآبادی سبعة رباعیات له و منها فی رثاء الشاه عباس المتوفی 1038 و ترجم أیضا فی (خوش‏گو).</w:t>
      </w:r>
    </w:p>
    <w:p>
      <w:pPr>
        <w:pStyle w:val="Heading3"/>
      </w:pPr>
      <w:bookmarkStart w:id="10304" w:name="_Toc9000"/>
      <w:r>
        <w:t>7771- دیوان نظر لکهنوی أو شعره‏</w:t>
      </w:r>
      <w:bookmarkEnd w:id="10304"/>
    </w:p>
    <w:p>
      <w:pPr>
        <w:pStyle w:val="BookText"/>
      </w:pPr>
      <w:r>
        <w:rPr>
          <w:rFonts w:ascii="IRNazanin" w:hAnsi="IRNazanin" w:eastAsia="IRNazanin" w:cs="IRNazanin"/>
          <w:lang w:bidi="fa-IR"/>
          <w:color w:val="111111"/>
          <w:sz w:val="28"/>
          <w:szCs w:val="28"/>
          <w:rtl/>
        </w:rPr>
        <w:t xml:space="preserve">و اسمه میرزا علی. کان ملازم جلال الدولة سعادت علی خان. ورد شعره فی (گلشن- ص 530).</w:t>
      </w:r>
    </w:p>
    <w:p>
      <w:pPr>
        <w:pStyle w:val="Heading3"/>
      </w:pPr>
      <w:bookmarkStart w:id="10305" w:name="_Toc9001"/>
      <w:r>
        <w:t>دیوان نظر نائنی‏</w:t>
      </w:r>
      <w:bookmarkEnd w:id="10305"/>
    </w:p>
    <w:p>
      <w:pPr>
        <w:pStyle w:val="BookText"/>
      </w:pPr>
      <w:r>
        <w:rPr>
          <w:rFonts w:ascii="IRNazanin" w:hAnsi="IRNazanin" w:eastAsia="IRNazanin" w:cs="IRNazanin"/>
          <w:lang w:bidi="fa-IR"/>
          <w:color w:val="111111"/>
          <w:sz w:val="28"/>
          <w:szCs w:val="28"/>
          <w:rtl/>
        </w:rPr>
        <w:t xml:space="preserve">راجع دیوان نظر علی شاه.</w:t>
      </w:r>
    </w:p>
    <w:p>
      <w:pPr>
        <w:pStyle w:val="Heading3"/>
      </w:pPr>
      <w:bookmarkStart w:id="10306" w:name="_Toc9002"/>
      <w:r>
        <w:t>دیوان نظم حیدرآبادی‏</w:t>
      </w:r>
      <w:bookmarkEnd w:id="10306"/>
    </w:p>
    <w:p>
      <w:pPr>
        <w:pStyle w:val="BookText"/>
      </w:pPr>
      <w:r>
        <w:rPr>
          <w:rFonts w:ascii="IRNazanin" w:hAnsi="IRNazanin" w:eastAsia="IRNazanin" w:cs="IRNazanin"/>
          <w:lang w:bidi="fa-IR"/>
          <w:color w:val="111111"/>
          <w:sz w:val="28"/>
          <w:szCs w:val="28"/>
          <w:rtl/>
        </w:rPr>
        <w:t xml:space="preserve">راجع دیوان إنصاف هندی.</w:t>
      </w:r>
    </w:p>
    <w:p>
      <w:pPr>
        <w:pStyle w:val="Heading3"/>
      </w:pPr>
      <w:bookmarkStart w:id="10307" w:name="_Toc9003"/>
      <w:r>
        <w:t>7772- دیوان نظمی أصفهانی أو شعره‏</w:t>
      </w:r>
      <w:bookmarkEnd w:id="10307"/>
    </w:p>
    <w:p>
      <w:pPr>
        <w:pStyle w:val="BookText"/>
      </w:pPr>
      <w:r>
        <w:rPr>
          <w:rFonts w:ascii="IRNazanin" w:hAnsi="IRNazanin" w:eastAsia="IRNazanin" w:cs="IRNazanin"/>
          <w:lang w:bidi="fa-IR"/>
          <w:color w:val="111111"/>
          <w:sz w:val="28"/>
          <w:szCs w:val="28"/>
          <w:rtl/>
        </w:rPr>
        <w:t xml:space="preserve">و اسمه حسین خان نظام همایون ابن میرزا حسن خان المتوفی 1362. ترجمه المهدوی فی شعرای معاصر أصفهان- ص 510 و ورد شعره فی دانش‏نامه لألفت.</w:t>
      </w:r>
    </w:p>
    <w:p>
      <w:pPr>
        <w:pStyle w:val="Heading3"/>
      </w:pPr>
      <w:bookmarkStart w:id="10308" w:name="_Toc9004"/>
      <w:r>
        <w:t>7773- دیوان نظمی الله‏آبادی أو شعره‏</w:t>
      </w:r>
      <w:bookmarkEnd w:id="10308"/>
    </w:p>
    <w:p>
      <w:pPr>
        <w:pStyle w:val="BookText"/>
      </w:pPr>
      <w:r>
        <w:rPr>
          <w:rFonts w:ascii="IRNazanin" w:hAnsi="IRNazanin" w:eastAsia="IRNazanin" w:cs="IRNazanin"/>
          <w:lang w:bidi="fa-IR"/>
          <w:color w:val="111111"/>
          <w:sz w:val="28"/>
          <w:szCs w:val="28"/>
          <w:rtl/>
        </w:rPr>
        <w:t xml:space="preserve">و اسمه المنشی مولچند. ورد شعره فی (گلشن- ص 531).</w:t>
      </w:r>
    </w:p>
    <w:p>
      <w:pPr>
        <w:pStyle w:val="Heading3"/>
      </w:pPr>
      <w:bookmarkStart w:id="10309" w:name="_Toc9005"/>
      <w:r>
        <w:t>7774- دیوان نظمی بلخی أو شعره‏</w:t>
      </w:r>
      <w:bookmarkEnd w:id="10309"/>
    </w:p>
    <w:p>
      <w:pPr>
        <w:pStyle w:val="BookText"/>
      </w:pPr>
      <w:r>
        <w:rPr>
          <w:rFonts w:ascii="IRNazanin" w:hAnsi="IRNazanin" w:eastAsia="IRNazanin" w:cs="IRNazanin"/>
          <w:lang w:bidi="fa-IR"/>
          <w:color w:val="111111"/>
          <w:sz w:val="28"/>
          <w:szCs w:val="28"/>
          <w:rtl/>
        </w:rPr>
        <w:t xml:space="preserve">کان ملازم محمد خان حاکم بلخ. سافر إلی الهند فی عهد جهانگیر ثم رجع إلی وطنه. ورد شعره فی (گلشن- ص 530) عن (نر 10 ص 440). و عنهما فی القاموس الترکی.</w:t>
      </w:r>
    </w:p>
    <w:p>
      <w:pPr>
        <w:pStyle w:val="Heading3"/>
      </w:pPr>
      <w:bookmarkStart w:id="10310" w:name="_Toc9006"/>
      <w:r>
        <w:t>7775- دیوان نظمی بهبهانی أو شعره‏</w:t>
      </w:r>
      <w:bookmarkEnd w:id="10310"/>
    </w:p>
    <w:p>
      <w:pPr>
        <w:pStyle w:val="BookText"/>
      </w:pPr>
      <w:r>
        <w:rPr>
          <w:rFonts w:ascii="IRNazanin" w:hAnsi="IRNazanin" w:eastAsia="IRNazanin" w:cs="IRNazanin"/>
          <w:lang w:bidi="fa-IR"/>
          <w:color w:val="111111"/>
          <w:sz w:val="28"/>
          <w:szCs w:val="28"/>
          <w:rtl/>
        </w:rPr>
        <w:t xml:space="preserve">قال فی (نر 9- ص 287) جاء إلی أصفهان ثم هاجر إلی شیراز و سکن بعض مدارسها متلمذا، ثم أورد شعره. و کذا فی (خوش‏گو).
</w:t>
      </w:r>
    </w:p>
    <w:p>
      <w:pPr>
        <w:sectPr>
          <w:footerReference w:type="default" r:id="rId1220"/>
          <w:footnotePr>
            <w:numStart w:val="1"/>
            <w:numRestart w:val="eachPage"/>
          </w:footnotePr>
          <w:pgSz w:orient="portrait" w:w="11905.511811023622" w:h="16837.79527559055"/>
          <w:pgMar w:top="1440" w:right="1440" w:bottom="1440" w:left="1440" w:header="720" w:footer="720" w:gutter="0"/>
          <w:cols w:num="1" w:space="720"/>
        </w:sectPr>
      </w:pPr>
    </w:p>
    <w:bookmarkStart w:id="1196" w:name="pg11704_122688"/>
    <w:bookmarkEnd w:id="1196"/>
    <w:p>
      <w:pPr>
        <w:pStyle w:val="Heading3"/>
      </w:pPr>
      <w:bookmarkStart w:id="10311" w:name="_Toc9007"/>
      <w:r>
        <w:t>7776- دیوان نظمی تبریزی‏</w:t>
      </w:r>
      <w:bookmarkEnd w:id="10311"/>
    </w:p>
    <w:p>
      <w:pPr>
        <w:pStyle w:val="BookText"/>
      </w:pPr>
      <w:r>
        <w:rPr>
          <w:rFonts w:ascii="IRNazanin" w:hAnsi="IRNazanin" w:eastAsia="IRNazanin" w:cs="IRNazanin"/>
          <w:lang w:bidi="fa-IR"/>
          <w:color w:val="111111"/>
          <w:sz w:val="28"/>
          <w:szCs w:val="28"/>
          <w:rtl/>
        </w:rPr>
        <w:t xml:space="preserve">و هو نظام الدین علی جوهرشناس. هاجر إلی الهند فی عهد أکبر و رتب هناک دیوان شعره. ترجم فی (دجا- ص 386) و (روشن- ص 708) و (خوش‏گو) و یوجد دیوانه فی 108 أوراق و 2600 بیت عند (سلطان القرائی) و فیها رثاء أشرف صحبتی الفیلسوف المتوفی 1081.</w:t>
      </w:r>
    </w:p>
    <w:p>
      <w:pPr>
        <w:pStyle w:val="Heading3"/>
      </w:pPr>
      <w:bookmarkStart w:id="10312" w:name="_Toc9008"/>
      <w:r>
        <w:t>دیوان نظمی تهرانی‏</w:t>
      </w:r>
      <w:bookmarkEnd w:id="10312"/>
    </w:p>
    <w:p>
      <w:pPr>
        <w:pStyle w:val="BookText"/>
      </w:pPr>
      <w:r>
        <w:rPr>
          <w:rFonts w:ascii="IRNazanin" w:hAnsi="IRNazanin" w:eastAsia="IRNazanin" w:cs="IRNazanin"/>
          <w:lang w:bidi="fa-IR"/>
          <w:color w:val="111111"/>
          <w:sz w:val="28"/>
          <w:szCs w:val="28"/>
          <w:rtl/>
        </w:rPr>
        <w:t xml:space="preserve">المذکور فی ص 1157 ولد فی 1340 و توفی 1384 ترجمه البرقعی فی سخنوران نامی معاصر 2: 256 و قال نظم الشعر و هو ابن اثنی عشر سنة، و طبع له أتاق‏کبود بطهران و هو ابن ستة عشر سنة. ثم طبع له جنگل می‏سوزد و شب مهتابی و معشوقه بی‏گناه و یادبودهای جوانی و تاتیانا و اسرار بغداد و گربه سیاه و طلا در کوه و چه عشقی بود و روح گمشده و این تو بودی و توفان زندگی و جمیلة و شبهای هند و فراموش نمی‏شوی و پدری که پسر خود را می‏کشد و فریدة و فی 1365 طبع مجلة عقیدة ثم طبع مجموعة قصصه باسم رنج ثم مجموعة شعریة باسم نگاه.</w:t>
      </w:r>
    </w:p>
    <w:p>
      <w:pPr>
        <w:pStyle w:val="Heading3"/>
      </w:pPr>
      <w:bookmarkStart w:id="10313" w:name="_Toc9009"/>
      <w:r>
        <w:t>7777- دیوان نظمی خراسانی أو شعره‏</w:t>
      </w:r>
      <w:bookmarkEnd w:id="10313"/>
    </w:p>
    <w:p>
      <w:pPr>
        <w:pStyle w:val="BookText"/>
      </w:pPr>
      <w:r>
        <w:rPr>
          <w:rFonts w:ascii="IRNazanin" w:hAnsi="IRNazanin" w:eastAsia="IRNazanin" w:cs="IRNazanin"/>
          <w:lang w:bidi="fa-IR"/>
          <w:color w:val="111111"/>
          <w:sz w:val="28"/>
          <w:szCs w:val="28"/>
          <w:rtl/>
        </w:rPr>
        <w:t xml:space="preserve">کان من شعراء حسین میرزا بایقرا. ورد شعره فی (گلشن- ص 530).</w:t>
      </w:r>
    </w:p>
    <w:p>
      <w:pPr>
        <w:pStyle w:val="Heading3"/>
      </w:pPr>
      <w:bookmarkStart w:id="10314" w:name="_Toc9010"/>
      <w:r>
        <w:t>7778- دیوان نظمی هروی أو شعره‏</w:t>
      </w:r>
      <w:bookmarkEnd w:id="10314"/>
    </w:p>
    <w:p>
      <w:pPr>
        <w:pStyle w:val="BookText"/>
      </w:pPr>
      <w:r>
        <w:rPr>
          <w:rFonts w:ascii="IRNazanin" w:hAnsi="IRNazanin" w:eastAsia="IRNazanin" w:cs="IRNazanin"/>
          <w:lang w:bidi="fa-IR"/>
          <w:color w:val="111111"/>
          <w:sz w:val="28"/>
          <w:szCs w:val="28"/>
          <w:rtl/>
        </w:rPr>
        <w:t xml:space="preserve">و هو ملا أخی زهگیرتراش. ورد شعره فی (حسینی- ص 353) و (گلشن- ص 531).</w:t>
      </w:r>
    </w:p>
    <w:p>
      <w:pPr>
        <w:pStyle w:val="Heading3"/>
      </w:pPr>
      <w:bookmarkStart w:id="10315" w:name="_Toc9011"/>
      <w:r>
        <w:t>7779- دیوان نظیر أکبرآبادی‏</w:t>
      </w:r>
      <w:bookmarkEnd w:id="10315"/>
    </w:p>
    <w:p>
      <w:pPr>
        <w:pStyle w:val="BookText"/>
      </w:pPr>
      <w:r>
        <w:rPr>
          <w:rFonts w:ascii="IRNazanin" w:hAnsi="IRNazanin" w:eastAsia="IRNazanin" w:cs="IRNazanin"/>
          <w:lang w:bidi="fa-IR"/>
          <w:color w:val="111111"/>
          <w:sz w:val="28"/>
          <w:szCs w:val="28"/>
          <w:rtl/>
        </w:rPr>
        <w:t xml:space="preserve">طبع بنولکشور.</w:t>
      </w:r>
    </w:p>
    <w:p>
      <w:pPr>
        <w:pStyle w:val="Heading3"/>
      </w:pPr>
      <w:bookmarkStart w:id="10316" w:name="_Toc9012"/>
      <w:r>
        <w:t>7780- دیوان نظیر الدین أو شعره‏</w:t>
      </w:r>
      <w:bookmarkEnd w:id="10316"/>
    </w:p>
    <w:p>
      <w:pPr>
        <w:pStyle w:val="BookText"/>
      </w:pPr>
      <w:r>
        <w:rPr>
          <w:rFonts w:ascii="IRNazanin" w:hAnsi="IRNazanin" w:eastAsia="IRNazanin" w:cs="IRNazanin"/>
          <w:lang w:bidi="fa-IR"/>
          <w:color w:val="111111"/>
          <w:sz w:val="28"/>
          <w:szCs w:val="28"/>
          <w:rtl/>
        </w:rPr>
        <w:t xml:space="preserve">أورد شعره القزوینی فی (قز مج- ص 252).</w:t>
      </w:r>
    </w:p>
    <w:p>
      <w:pPr>
        <w:pStyle w:val="Heading3"/>
      </w:pPr>
      <w:bookmarkStart w:id="10317" w:name="_Toc9013"/>
      <w:r>
        <w:t>7781- دیوان نظیر زنگنه أو شعره‏</w:t>
      </w:r>
      <w:bookmarkEnd w:id="10317"/>
    </w:p>
    <w:p>
      <w:pPr>
        <w:pStyle w:val="BookText"/>
      </w:pPr>
      <w:r>
        <w:rPr>
          <w:rFonts w:ascii="IRNazanin" w:hAnsi="IRNazanin" w:eastAsia="IRNazanin" w:cs="IRNazanin"/>
          <w:lang w:bidi="fa-IR"/>
          <w:color w:val="111111"/>
          <w:sz w:val="28"/>
          <w:szCs w:val="28"/>
          <w:rtl/>
        </w:rPr>
        <w:t xml:space="preserve">و اسمه أمان الله بیک الشیرازی المتوفی 1266، أورد شعره هدایت فی (مع 2: 527) و (انجمن 4) و (گلشن- ص 531). و جاء شعر نظیر شیرازی زوجة أمان الله بیک فی زنان سخنور- 3: 359. و یوجد دیوان نظیر فی المکتبة (الملیة) تحت رقم 101 ف 13.</w:t>
      </w:r>
    </w:p>
    <w:p>
      <w:pPr>
        <w:pStyle w:val="Heading3"/>
      </w:pPr>
      <w:bookmarkStart w:id="10318" w:name="_Toc9014"/>
      <w:r>
        <w:t>دیوان نظیر شیرازی‏</w:t>
      </w:r>
      <w:bookmarkEnd w:id="10318"/>
    </w:p>
    <w:p>
      <w:pPr>
        <w:pStyle w:val="BookText"/>
      </w:pPr>
      <w:r>
        <w:rPr>
          <w:rFonts w:ascii="IRNazanin" w:hAnsi="IRNazanin" w:eastAsia="IRNazanin" w:cs="IRNazanin"/>
          <w:lang w:bidi="fa-IR"/>
          <w:color w:val="111111"/>
          <w:sz w:val="28"/>
          <w:szCs w:val="28"/>
          <w:rtl/>
        </w:rPr>
        <w:t xml:space="preserve">راجع نظیر زنگنه.</w:t>
      </w:r>
    </w:p>
    <w:p>
      <w:pPr>
        <w:pStyle w:val="Heading3"/>
      </w:pPr>
      <w:bookmarkStart w:id="10319" w:name="_Toc9015"/>
      <w:r>
        <w:t>7782- دیوان نظیر مشهدی أو شعره‏</w:t>
      </w:r>
      <w:bookmarkEnd w:id="10319"/>
    </w:p>
    <w:p>
      <w:pPr>
        <w:pStyle w:val="BookText"/>
      </w:pPr>
      <w:r>
        <w:rPr>
          <w:rFonts w:ascii="IRNazanin" w:hAnsi="IRNazanin" w:eastAsia="IRNazanin" w:cs="IRNazanin"/>
          <w:lang w:bidi="fa-IR"/>
          <w:color w:val="111111"/>
          <w:sz w:val="28"/>
          <w:szCs w:val="28"/>
          <w:rtl/>
        </w:rPr>
        <w:t xml:space="preserve">قال آزاد فی (سرو- ص 55) أنه جاء إلی الهند فی 1030 راجعا عن الحج بعد غرق سفینة کان یرکبها و تقرب عند عادل شاه،
</w:t>
      </w:r>
    </w:p>
    <w:p>
      <w:pPr>
        <w:sectPr>
          <w:footerReference w:type="default" r:id="rId1221"/>
          <w:footnotePr>
            <w:numStart w:val="1"/>
            <w:numRestart w:val="eachPage"/>
          </w:footnotePr>
          <w:pgSz w:orient="portrait" w:w="11905.511811023622" w:h="16837.79527559055"/>
          <w:pgMar w:top="1440" w:right="1440" w:bottom="1440" w:left="1440" w:header="720" w:footer="720" w:gutter="0"/>
          <w:cols w:num="1" w:space="720"/>
        </w:sectPr>
      </w:pPr>
    </w:p>
    <w:bookmarkStart w:id="1197" w:name="pg11704_122689"/>
    <w:bookmarkEnd w:id="1197"/>
    <w:p>
      <w:pPr>
        <w:pStyle w:val="BookText"/>
      </w:pPr>
      <w:r>
        <w:rPr>
          <w:rFonts w:ascii="IRNazanin" w:hAnsi="IRNazanin" w:eastAsia="IRNazanin" w:cs="IRNazanin"/>
          <w:lang w:bidi="fa-IR"/>
          <w:color w:val="111111"/>
          <w:sz w:val="28"/>
          <w:szCs w:val="28"/>
          <w:rtl/>
        </w:rPr>
        <w:t xml:space="preserve">و کان یتخلص سابقا نظیری فبدله إلی نظیر بإسقاط الیاء بطلب من نظیری نیشابوری الآتی و أعطاه فی قبال ذلک عشرة آلاف روپیه و ذلک بالمکاتبة ظاهرا، لأنه ورد الهند بعد وفاة نظیری نیشابوری. و ترجم أیضا فی (مطلع 2: 449) و (روشن- ص 708) و (تش- ص 94).</w:t>
      </w:r>
    </w:p>
    <w:p>
      <w:pPr>
        <w:pStyle w:val="Heading3"/>
      </w:pPr>
      <w:bookmarkStart w:id="10320" w:name="_Toc9016"/>
      <w:r>
        <w:t>دیوان نظیری جوینی‏</w:t>
      </w:r>
      <w:bookmarkEnd w:id="10320"/>
    </w:p>
    <w:p>
      <w:pPr>
        <w:pStyle w:val="BookText"/>
      </w:pPr>
      <w:r>
        <w:rPr>
          <w:rFonts w:ascii="IRNazanin" w:hAnsi="IRNazanin" w:eastAsia="IRNazanin" w:cs="IRNazanin"/>
          <w:lang w:bidi="fa-IR"/>
          <w:color w:val="111111"/>
          <w:sz w:val="28"/>
          <w:szCs w:val="28"/>
          <w:rtl/>
        </w:rPr>
        <w:t xml:space="preserve">راجع نظیری نیشابوری.</w:t>
      </w:r>
    </w:p>
    <w:p>
      <w:pPr>
        <w:pStyle w:val="Heading3"/>
      </w:pPr>
      <w:bookmarkStart w:id="10321" w:name="_Toc9017"/>
      <w:r>
        <w:t>7783- دیوان نظیری قمی أو شعره‏</w:t>
      </w:r>
      <w:bookmarkEnd w:id="10321"/>
    </w:p>
    <w:p>
      <w:pPr>
        <w:pStyle w:val="BookText"/>
      </w:pPr>
      <w:r>
        <w:rPr>
          <w:rFonts w:ascii="IRNazanin" w:hAnsi="IRNazanin" w:eastAsia="IRNazanin" w:cs="IRNazanin"/>
          <w:lang w:bidi="fa-IR"/>
          <w:color w:val="111111"/>
          <w:sz w:val="28"/>
          <w:szCs w:val="28"/>
          <w:rtl/>
        </w:rPr>
        <w:t xml:space="preserve">ترجمه سام میرزا فی (تش- ص 166) و قال کان شاعرا قصاصا عند الشاه طهماسب.</w:t>
      </w:r>
    </w:p>
    <w:p>
      <w:pPr>
        <w:pStyle w:val="Heading3"/>
      </w:pPr>
      <w:bookmarkStart w:id="10322" w:name="_Toc9018"/>
      <w:r>
        <w:t>دیوان نظیری مشهدی‏</w:t>
      </w:r>
      <w:bookmarkEnd w:id="10322"/>
    </w:p>
    <w:p>
      <w:pPr>
        <w:pStyle w:val="BookText"/>
      </w:pPr>
      <w:r>
        <w:rPr>
          <w:rFonts w:ascii="IRNazanin" w:hAnsi="IRNazanin" w:eastAsia="IRNazanin" w:cs="IRNazanin"/>
          <w:lang w:bidi="fa-IR"/>
          <w:color w:val="111111"/>
          <w:sz w:val="28"/>
          <w:szCs w:val="28"/>
          <w:rtl/>
        </w:rPr>
        <w:t xml:space="preserve">راجع نظیر مشهدی.</w:t>
      </w:r>
    </w:p>
    <w:p>
      <w:pPr>
        <w:pStyle w:val="Heading3"/>
      </w:pPr>
      <w:bookmarkStart w:id="10323" w:name="_Toc9019"/>
      <w:r>
        <w:t>7784- دیوان نظیری نیشابوری‏</w:t>
      </w:r>
      <w:bookmarkEnd w:id="10323"/>
    </w:p>
    <w:p>
      <w:pPr>
        <w:pStyle w:val="BookText"/>
      </w:pPr>
      <w:r>
        <w:rPr>
          <w:rFonts w:ascii="IRNazanin" w:hAnsi="IRNazanin" w:eastAsia="IRNazanin" w:cs="IRNazanin"/>
          <w:lang w:bidi="fa-IR"/>
          <w:color w:val="111111"/>
          <w:sz w:val="28"/>
          <w:szCs w:val="28"/>
          <w:rtl/>
        </w:rPr>
        <w:t xml:space="preserve">و اسمه ملا محمد حسین ولد و نشا بنیشابور و کان صیرفیا بها، و بعد وفاة والده سافر إلی خراسان و العراق و فارس ثم إلی الهند تاجرا و تقرب عند خان خانان ثم حج البیت فی 1012 و رجع و سکن گجرات- أحمدآباد و کان هناک اثنتی عشرة سنة و مات بها فی 1023 [ز دنیا رفت حسان عجم‏] أو [علم به کوی أبد زد پیمبر شعرا 1021] و فی (سرو- ص 24) نقل عن گلزار أبرار أنه تصوف فی آخر عمره و تلمذ علی ملا حسین جوهری. و فی (خز- ص 436) بعد إطراء دیوانه حکی عن مرآة الصفا أن قیدی بن نظیری جاء مع أبیه إلی الهند و بعد وفاته رجع إلی نیشابور کما مر فی ص 893 و ترجم فی (خوش‏گو) و (میخانه- ص 529) و (خص 8- ص 219) و (مع 2: 48) و هفت إقلیم و (تش- ص 141) و (ض- ص 336) و (حسینی- ص 350) و (مطلع 3: 177) و (سرخوش- ص 112) و (نتایج- ص 713) و (طبق 2: 514) و (روشن- 708) و لدیوانه نسخ کثیرة منها عند (الملک) و (فخر الدین- 104 و 242) و المکتبة (الملیة 772، 767، 777) و نسخه بخط شاه محمود رآها سنگلاخ فذکرها فی (امتحان 1: 116).</w:t>
      </w:r>
    </w:p>
    <w:p>
      <w:pPr>
        <w:pStyle w:val="BookText"/>
      </w:pPr>
      <w:r>
        <w:rPr>
          <w:rFonts w:ascii="IRNazanin" w:hAnsi="IRNazanin" w:eastAsia="IRNazanin" w:cs="IRNazanin"/>
          <w:lang w:bidi="fa-IR"/>
          <w:color w:val="111111"/>
          <w:sz w:val="28"/>
          <w:szCs w:val="28"/>
          <w:rtl/>
        </w:rPr>
        <w:t xml:space="preserve">و نسخه (المجلس) فی 8500 بیت کما فی فهرسها 3: 441 و (سپهسالار) کما فی فهرسها 2: 689 و طبع دیوانه بلاهور 1920 م و 1928 م و 1932 م و 1935 م و لکهنو 1924 م و منتخبه بها فی 1925 م لمحمد حسن، و أخری للسید عبد الواسع الجعفری بالله‏آباد 1926 م. و طبع شرح غزلیات نظیری للحافظ عبد المجید بلاهور فی 1343.
</w:t>
      </w:r>
    </w:p>
    <w:p>
      <w:pPr>
        <w:sectPr>
          <w:footerReference w:type="default" r:id="rId1222"/>
          <w:footnotePr>
            <w:numStart w:val="1"/>
            <w:numRestart w:val="eachPage"/>
          </w:footnotePr>
          <w:pgSz w:orient="portrait" w:w="11905.511811023622" w:h="16837.79527559055"/>
          <w:pgMar w:top="1440" w:right="1440" w:bottom="1440" w:left="1440" w:header="720" w:footer="720" w:gutter="0"/>
          <w:cols w:num="1" w:space="720"/>
        </w:sectPr>
      </w:pPr>
    </w:p>
    <w:bookmarkStart w:id="1198" w:name="pg11704_122690"/>
    <w:bookmarkEnd w:id="1198"/>
    <w:p>
      <w:pPr>
        <w:pStyle w:val="Heading3"/>
      </w:pPr>
      <w:bookmarkStart w:id="10324" w:name="_Toc9020"/>
      <w:r>
        <w:t>7785- دیوان نظیم بخارائی‏</w:t>
      </w:r>
      <w:bookmarkEnd w:id="10324"/>
    </w:p>
    <w:p>
      <w:pPr>
        <w:pStyle w:val="BookText"/>
      </w:pPr>
      <w:r>
        <w:rPr>
          <w:rFonts w:ascii="IRNazanin" w:hAnsi="IRNazanin" w:eastAsia="IRNazanin" w:cs="IRNazanin"/>
          <w:lang w:bidi="fa-IR"/>
          <w:color w:val="111111"/>
          <w:sz w:val="28"/>
          <w:szCs w:val="28"/>
          <w:rtl/>
        </w:rPr>
        <w:t xml:space="preserve">لرحمت الله بن عبد الله النقش‏بندی البخاری المتوفی 1165 کما فی هدیة العارفین 1: 366 و یوجد دیوانه الفارسی فی مکتبة حالت أفندی بأستانبول کما فی فهرسها المطبوع.</w:t>
      </w:r>
    </w:p>
    <w:p>
      <w:pPr>
        <w:pStyle w:val="Heading3"/>
      </w:pPr>
      <w:bookmarkStart w:id="10325" w:name="_Toc9021"/>
      <w:r>
        <w:t>7786- دیوان النعمان الحلی‏</w:t>
      </w:r>
      <w:bookmarkEnd w:id="10325"/>
    </w:p>
    <w:p>
      <w:pPr>
        <w:pStyle w:val="BookText"/>
      </w:pPr>
      <w:r>
        <w:rPr>
          <w:rFonts w:ascii="IRNazanin" w:hAnsi="IRNazanin" w:eastAsia="IRNazanin" w:cs="IRNazanin"/>
          <w:lang w:bidi="fa-IR"/>
          <w:color w:val="111111"/>
          <w:sz w:val="28"/>
          <w:szCs w:val="28"/>
          <w:rtl/>
        </w:rPr>
        <w:t xml:space="preserve">رأیته بمکتبة (السماوی) و طبع دیوان نعمان بشیر؟</w:t>
      </w:r>
    </w:p>
    <w:p>
      <w:pPr>
        <w:pStyle w:val="BookText"/>
      </w:pPr>
      <w:r>
        <w:rPr>
          <w:rFonts w:ascii="IRNazanin" w:hAnsi="IRNazanin" w:eastAsia="IRNazanin" w:cs="IRNazanin"/>
          <w:lang w:bidi="fa-IR"/>
          <w:color w:val="111111"/>
          <w:sz w:val="28"/>
          <w:szCs w:val="28"/>
          <w:rtl/>
        </w:rPr>
        <w:t xml:space="preserve">بتصحیح بعض مستشرقی الألمان؟</w:t>
      </w:r>
    </w:p>
    <w:p>
      <w:pPr>
        <w:pStyle w:val="Heading3"/>
      </w:pPr>
      <w:bookmarkStart w:id="10326" w:name="_Toc9022"/>
      <w:r>
        <w:t>7787- دیوان النعمان المغربی‏</w:t>
      </w:r>
      <w:bookmarkEnd w:id="10326"/>
    </w:p>
    <w:p>
      <w:pPr>
        <w:pStyle w:val="BookText"/>
      </w:pPr>
      <w:r>
        <w:rPr>
          <w:rFonts w:ascii="IRNazanin" w:hAnsi="IRNazanin" w:eastAsia="IRNazanin" w:cs="IRNazanin"/>
          <w:lang w:bidi="fa-IR"/>
          <w:color w:val="111111"/>
          <w:sz w:val="28"/>
          <w:szCs w:val="28"/>
          <w:rtl/>
        </w:rPr>
        <w:t xml:space="preserve">لأبی حنیفة القاضی النعمان المغربی الوزیر المتوفی 363 له الأرجوزه المنتخبة نظم فیه کتابه الاقتصار المذکور فی 2: 270 و 361 کما فی‏</w:t>
      </w:r>
    </w:p>
    <w:p>
      <w:pPr>
        <w:pStyle w:val="Heading3"/>
      </w:pPr>
      <w:bookmarkStart w:id="10327" w:name="_Toc9023"/>
      <w:r>
        <w:t>فهرس المجدوع‏</w:t>
      </w:r>
      <w:bookmarkEnd w:id="10327"/>
    </w:p>
    <w:p>
      <w:pPr>
        <w:pStyle w:val="BookText"/>
      </w:pPr>
      <w:r>
        <w:rPr>
          <w:rFonts w:ascii="IRNazanin" w:hAnsi="IRNazanin" w:eastAsia="IRNazanin" w:cs="IRNazanin"/>
          <w:lang w:bidi="fa-IR"/>
          <w:color w:val="111111"/>
          <w:sz w:val="28"/>
          <w:szCs w:val="28"/>
          <w:rtl/>
        </w:rPr>
        <w:t xml:space="preserve">ص 34 و 82 و قصیدة ذات المحنة و غیرهما.</w:t>
      </w:r>
    </w:p>
    <w:p>
      <w:pPr>
        <w:pStyle w:val="Heading3"/>
      </w:pPr>
      <w:bookmarkStart w:id="10328" w:name="_Toc9024"/>
      <w:r>
        <w:t>دیوان نعمانی‏</w:t>
      </w:r>
      <w:bookmarkEnd w:id="10328"/>
    </w:p>
    <w:p>
      <w:pPr>
        <w:pStyle w:val="BookText"/>
      </w:pPr>
      <w:r>
        <w:rPr>
          <w:rFonts w:ascii="IRNazanin" w:hAnsi="IRNazanin" w:eastAsia="IRNazanin" w:cs="IRNazanin"/>
          <w:lang w:bidi="fa-IR"/>
          <w:color w:val="111111"/>
          <w:sz w:val="28"/>
          <w:szCs w:val="28"/>
          <w:rtl/>
        </w:rPr>
        <w:t xml:space="preserve">للپرفیسور شبلی النعمانی (1857- 1914 م) مؤلف شعر العجم المترجم بالفارسیة و المطبوع فی خمس مجلدات. طبع له منظومة فارسیة باسم شمع جمع فی 194 ص و کلیات شبلی فی 1909 م بالهند فی 123 ص بتصحیح المولوی مسعود علی ندوی. و ترجمه مفصلا محمد تقی فخر داعی فی مقدمه أدبیات منظوم و هو ترجمه المجلد الرابع من شعر العجم و قد توفی فخر داعی فی 1384.</w:t>
      </w:r>
    </w:p>
    <w:p>
      <w:pPr>
        <w:pStyle w:val="Heading3"/>
      </w:pPr>
      <w:bookmarkStart w:id="10329" w:name="_Toc9025"/>
      <w:r>
        <w:t>دیوان نعمت تبریزی‏</w:t>
      </w:r>
      <w:bookmarkEnd w:id="10329"/>
    </w:p>
    <w:p>
      <w:pPr>
        <w:pStyle w:val="BookText"/>
      </w:pPr>
      <w:r>
        <w:rPr>
          <w:rFonts w:ascii="IRNazanin" w:hAnsi="IRNazanin" w:eastAsia="IRNazanin" w:cs="IRNazanin"/>
          <w:lang w:bidi="fa-IR"/>
          <w:color w:val="111111"/>
          <w:sz w:val="28"/>
          <w:szCs w:val="28"/>
          <w:rtl/>
        </w:rPr>
        <w:t xml:space="preserve">ترجمه فی (ض- ص 236) و (دجا- ص 57) و مر بتخلصه إیمان فی ص 115.</w:t>
      </w:r>
    </w:p>
    <w:p>
      <w:pPr>
        <w:pStyle w:val="Heading3"/>
      </w:pPr>
      <w:bookmarkStart w:id="10330" w:name="_Toc9026"/>
      <w:r>
        <w:t>7788- دیوان نعمت خراسانی‏</w:t>
      </w:r>
      <w:bookmarkEnd w:id="10330"/>
    </w:p>
    <w:p>
      <w:pPr>
        <w:pStyle w:val="BookText"/>
      </w:pPr>
      <w:r>
        <w:rPr>
          <w:rFonts w:ascii="IRNazanin" w:hAnsi="IRNazanin" w:eastAsia="IRNazanin" w:cs="IRNazanin"/>
          <w:lang w:bidi="fa-IR"/>
          <w:color w:val="111111"/>
          <w:sz w:val="28"/>
          <w:szCs w:val="28"/>
          <w:rtl/>
        </w:rPr>
        <w:t xml:space="preserve">لمیرزا عبد الوهاب الخطاط الشیرازی الماهر فی الخط النسخ. ترجمه معاصره هدایت فی (مع 2: 498) و أورد شعره هناک و فی (ض- ص 580) و قال إنه یکتب القرآن بخط النسخ الجید، و ترجم أیضا فی (مطلع 2: 449).</w:t>
      </w:r>
    </w:p>
    <w:p>
      <w:pPr>
        <w:pStyle w:val="Heading3"/>
      </w:pPr>
      <w:bookmarkStart w:id="10331" w:name="_Toc9027"/>
      <w:r>
        <w:t>دیوان نعمت شیرازی‏</w:t>
      </w:r>
      <w:bookmarkEnd w:id="10331"/>
    </w:p>
    <w:p>
      <w:pPr>
        <w:pStyle w:val="BookText"/>
      </w:pPr>
      <w:r>
        <w:rPr>
          <w:rFonts w:ascii="IRNazanin" w:hAnsi="IRNazanin" w:eastAsia="IRNazanin" w:cs="IRNazanin"/>
          <w:lang w:bidi="fa-IR"/>
          <w:color w:val="111111"/>
          <w:sz w:val="28"/>
          <w:szCs w:val="28"/>
          <w:rtl/>
        </w:rPr>
        <w:t xml:space="preserve">مر فی ص 676 بتخلصه عالی و طبع له من و سلوی و طبع دیوانه فی کانپور 1894 م فی 252 ص. و ذکر شمس الدین سامی فی القاموس الترکی رجلین باسم نعمت هندوستانی أحدهما مؤلف خوان نعمت و الآخر ناظم شاهنامه و لیسا غیر هذا الرجل.</w:t>
      </w:r>
    </w:p>
    <w:p>
      <w:pPr>
        <w:pStyle w:val="Heading3"/>
      </w:pPr>
      <w:bookmarkStart w:id="10332" w:name="_Toc9028"/>
      <w:r>
        <w:t>دیوان نعمت شیرازی‏</w:t>
      </w:r>
      <w:bookmarkEnd w:id="10332"/>
    </w:p>
    <w:p>
      <w:pPr>
        <w:pStyle w:val="BookText"/>
      </w:pPr>
      <w:r>
        <w:rPr>
          <w:rFonts w:ascii="IRNazanin" w:hAnsi="IRNazanin" w:eastAsia="IRNazanin" w:cs="IRNazanin"/>
          <w:lang w:bidi="fa-IR"/>
          <w:color w:val="111111"/>
          <w:sz w:val="28"/>
          <w:szCs w:val="28"/>
          <w:rtl/>
        </w:rPr>
        <w:t xml:space="preserve">راجع نعمت فسائی.</w:t>
      </w:r>
    </w:p>
    <w:p>
      <w:pPr>
        <w:pStyle w:val="Heading3"/>
      </w:pPr>
      <w:bookmarkStart w:id="10333" w:name="_Toc9029"/>
      <w:r>
        <w:t>7789- دیوان نعمت صفوی أو شعره‏</w:t>
      </w:r>
      <w:bookmarkEnd w:id="10333"/>
    </w:p>
    <w:p>
      <w:pPr>
        <w:pStyle w:val="BookText"/>
      </w:pPr>
      <w:r>
        <w:rPr>
          <w:rFonts w:ascii="Amiri" w:hAnsi="Amiri" w:eastAsia="Amiri" w:cs="Amiri"/>
          <w:lang w:bidi="ar-SA"/>
          <w:color w:val="111111"/>
          <w:sz w:val="28"/>
          <w:szCs w:val="28"/>
          <w:rtl/>
        </w:rPr>
        <w:t xml:space="preserve">و اسمه نعمة الله بن روح الله من أحفاد
</w:t>
      </w:r>
    </w:p>
    <w:p>
      <w:pPr>
        <w:sectPr>
          <w:footerReference w:type="default" r:id="rId1223"/>
          <w:footnotePr>
            <w:numStart w:val="1"/>
            <w:numRestart w:val="eachPage"/>
          </w:footnotePr>
          <w:pgSz w:orient="portrait" w:w="11905.511811023622" w:h="16837.79527559055"/>
          <w:pgMar w:top="1440" w:right="1440" w:bottom="1440" w:left="1440" w:header="720" w:footer="720" w:gutter="0"/>
          <w:cols w:num="1" w:space="720"/>
        </w:sectPr>
      </w:pPr>
    </w:p>
    <w:bookmarkStart w:id="1199" w:name="pg11704_122691"/>
    <w:bookmarkEnd w:id="1199"/>
    <w:p>
      <w:pPr>
        <w:pStyle w:val="BookText"/>
      </w:pPr>
      <w:r>
        <w:rPr>
          <w:rFonts w:ascii="IRNazanin" w:hAnsi="IRNazanin" w:eastAsia="IRNazanin" w:cs="IRNazanin"/>
          <w:lang w:bidi="fa-IR"/>
          <w:color w:val="111111"/>
          <w:sz w:val="28"/>
          <w:szCs w:val="28"/>
          <w:rtl/>
        </w:rPr>
        <w:t xml:space="preserve">میر میران من السادة الصفویة، سکن الهند و بها مات. ورد شعره فی (گلشن- ص 531).</w:t>
      </w:r>
    </w:p>
    <w:p>
      <w:pPr>
        <w:pStyle w:val="Heading3"/>
      </w:pPr>
      <w:bookmarkStart w:id="10334" w:name="_Toc9030"/>
      <w:r>
        <w:t>7790- دیوان نعمت طهرانی أو شعره‏</w:t>
      </w:r>
      <w:bookmarkEnd w:id="10334"/>
    </w:p>
    <w:p>
      <w:pPr>
        <w:pStyle w:val="BookText"/>
      </w:pPr>
      <w:r>
        <w:rPr>
          <w:rFonts w:ascii="IRNazanin" w:hAnsi="IRNazanin" w:eastAsia="IRNazanin" w:cs="IRNazanin"/>
          <w:lang w:bidi="fa-IR"/>
          <w:color w:val="111111"/>
          <w:sz w:val="28"/>
          <w:szCs w:val="28"/>
          <w:rtl/>
        </w:rPr>
        <w:t xml:space="preserve">ورد شعره فی (تس 5- ص 178) قال و أصله من بغداد.</w:t>
      </w:r>
    </w:p>
    <w:p>
      <w:pPr>
        <w:pStyle w:val="Heading3"/>
      </w:pPr>
      <w:bookmarkStart w:id="10335" w:name="_Toc9031"/>
      <w:r>
        <w:t>7791- دیوان نعمت علی کرمانی‏</w:t>
      </w:r>
      <w:bookmarkEnd w:id="10335"/>
    </w:p>
    <w:p>
      <w:pPr>
        <w:pStyle w:val="BookText"/>
      </w:pPr>
      <w:r>
        <w:rPr>
          <w:rFonts w:ascii="IRNazanin" w:hAnsi="IRNazanin" w:eastAsia="IRNazanin" w:cs="IRNazanin"/>
          <w:lang w:bidi="fa-IR"/>
          <w:color w:val="111111"/>
          <w:sz w:val="28"/>
          <w:szCs w:val="28"/>
          <w:rtl/>
        </w:rPr>
        <w:t xml:space="preserve">لمیرزا أبی الحسن بن الحسن النعمةاللهی الکرمانی کان آباؤه کلانتر بکرمان من العهد الصفوی، و له خط جید بالنستعلیق. و ألف تذکره فی أحوال عرفاء کرمان بأمر اعتضاد السلطنة علی قلی میرزا، یوجد نسخه التذکرة عند السید محمد الهاشمی بطهران و دیوانه فی أربعة آلاف بیت کما ذکر. و توفی 1293 کما فی (الطرائق- 3: 185) و دفن بالمقبرة المشتاقیة بکرمان.</w:t>
      </w:r>
    </w:p>
    <w:p>
      <w:pPr>
        <w:pStyle w:val="Heading3"/>
      </w:pPr>
      <w:bookmarkStart w:id="10336" w:name="_Toc9032"/>
      <w:r>
        <w:t>7792- دیوان نعمت فسائی‏</w:t>
      </w:r>
      <w:bookmarkEnd w:id="10336"/>
    </w:p>
    <w:p>
      <w:pPr>
        <w:pStyle w:val="BookText"/>
      </w:pPr>
      <w:r>
        <w:rPr>
          <w:rFonts w:ascii="IRNazanin" w:hAnsi="IRNazanin" w:eastAsia="IRNazanin" w:cs="IRNazanin"/>
          <w:lang w:bidi="fa-IR"/>
          <w:color w:val="111111"/>
          <w:sz w:val="28"/>
          <w:szCs w:val="28"/>
          <w:rtl/>
        </w:rPr>
        <w:t xml:space="preserve">للسید محمود بن زین العابدین الفسوی الحسینی من أحفاد السید علی خان المدنی المذکور فی ص 754 (1271- 1345) نزل سنگلج بطهران و بها مات. طبع له منظومات چارمینو فی 1331 و گنج زر فی موضوع آنتونی کالیوپتر فی 180 ص بطهران فی 1330 و یوجد نسختان من بدیع التواریخ المذکور فی 3: 72 عند (سلطان القرائی) و (فخر الدین) و له سفرنامه موجودة عند الدکتور وصالی، و طبع قسم من دیوانه مع مقدمه لأبی الحسن فروغی. و نسخته الکاملة موجودة عند صدیقه هادی اشتری بطهران. و ترجم فی (عم- ص 87) و یوجد شعره فی نامه فرهنگیان الموجود فی (المجلس) و کذا فی نفایس اللباب.</w:t>
      </w:r>
    </w:p>
    <w:p>
      <w:pPr>
        <w:pStyle w:val="Heading3"/>
      </w:pPr>
      <w:bookmarkStart w:id="10337" w:name="_Toc9033"/>
      <w:r>
        <w:t>دیوان نعمت کرمانی‏</w:t>
      </w:r>
      <w:bookmarkEnd w:id="10337"/>
    </w:p>
    <w:p>
      <w:pPr>
        <w:pStyle w:val="BookText"/>
      </w:pPr>
      <w:r>
        <w:rPr>
          <w:rFonts w:ascii="IRNazanin" w:hAnsi="IRNazanin" w:eastAsia="IRNazanin" w:cs="IRNazanin"/>
          <w:lang w:bidi="fa-IR"/>
          <w:color w:val="111111"/>
          <w:sz w:val="28"/>
          <w:szCs w:val="28"/>
          <w:rtl/>
        </w:rPr>
        <w:t xml:space="preserve">راجع نعمت علی کرمانی و نعمة الله ولی.</w:t>
      </w:r>
    </w:p>
    <w:p>
      <w:pPr>
        <w:pStyle w:val="Heading3"/>
      </w:pPr>
      <w:bookmarkStart w:id="10338" w:name="_Toc9034"/>
      <w:r>
        <w:t>7793- دیوان نعمت گنابادی أو شعره‏</w:t>
      </w:r>
      <w:bookmarkEnd w:id="10338"/>
    </w:p>
    <w:p>
      <w:pPr>
        <w:pStyle w:val="BookText"/>
      </w:pPr>
      <w:r>
        <w:rPr>
          <w:rFonts w:ascii="IRNazanin" w:hAnsi="IRNazanin" w:eastAsia="IRNazanin" w:cs="IRNazanin"/>
          <w:lang w:bidi="fa-IR"/>
          <w:color w:val="111111"/>
          <w:sz w:val="28"/>
          <w:szCs w:val="28"/>
          <w:rtl/>
        </w:rPr>
        <w:t xml:space="preserve">أورد شعره معاصره فی (تس 5- ص 169) و سماه قاضیا.</w:t>
      </w:r>
    </w:p>
    <w:p>
      <w:pPr>
        <w:pStyle w:val="Heading3"/>
      </w:pPr>
      <w:bookmarkStart w:id="10339" w:name="_Toc9035"/>
      <w:r>
        <w:t>7794- دیوان شاه نعمة الله ولی‏</w:t>
      </w:r>
      <w:bookmarkEnd w:id="10339"/>
    </w:p>
    <w:p>
      <w:pPr>
        <w:pStyle w:val="BookText"/>
      </w:pPr>
      <w:r>
        <w:rPr>
          <w:rFonts w:ascii="IRNazanin" w:hAnsi="IRNazanin" w:eastAsia="IRNazanin" w:cs="IRNazanin"/>
          <w:lang w:bidi="fa-IR"/>
          <w:color w:val="111111"/>
          <w:sz w:val="28"/>
          <w:szCs w:val="28"/>
          <w:rtl/>
        </w:rPr>
        <w:t xml:space="preserve">هو نور الدین نعمة الله بن میر عبد الله من ولد الإمام الباقر ع ولد بحلب فی 730 و سکن العراق و سافر إلی مکة فی الرابعة و العشرین من عمره، و تلمذ هناک سبع سنین علی الشیخ عبد الله الیافعی المتوفی 768 ثم رجع إلی یزد فهراة و سمرقند و سکن ماهان کرمان و مات هناک فی (22- رجب- 834) و ینسب إلیه حدود خمسمائة رسالة فی التصوف. و إلیه ینسب الطائفة الصوفیة الشاه نعمةاللهیة. و طبع دیوانه بطهران فی 1276 ثم أعید فی 1356 و 1373 فی 672 ص.
</w:t>
      </w:r>
    </w:p>
    <w:p>
      <w:pPr>
        <w:sectPr>
          <w:footerReference w:type="default" r:id="rId1224"/>
          <w:footnotePr>
            <w:numStart w:val="1"/>
            <w:numRestart w:val="eachPage"/>
          </w:footnotePr>
          <w:pgSz w:orient="portrait" w:w="11905.511811023622" w:h="16837.79527559055"/>
          <w:pgMar w:top="1440" w:right="1440" w:bottom="1440" w:left="1440" w:header="720" w:footer="720" w:gutter="0"/>
          <w:cols w:num="1" w:space="720"/>
        </w:sectPr>
      </w:pPr>
    </w:p>
    <w:bookmarkStart w:id="1200" w:name="pg11704_122692"/>
    <w:bookmarkEnd w:id="1200"/>
    <w:p>
      <w:pPr>
        <w:pStyle w:val="BookText"/>
      </w:pPr>
      <w:r>
        <w:rPr>
          <w:rFonts w:ascii="IRNazanin" w:hAnsi="IRNazanin" w:eastAsia="IRNazanin" w:cs="IRNazanin"/>
          <w:lang w:bidi="fa-IR"/>
          <w:color w:val="111111"/>
          <w:sz w:val="28"/>
          <w:szCs w:val="28"/>
          <w:rtl/>
        </w:rPr>
        <w:t xml:space="preserve">و بکرمان 1377 فی 734 ص. و فیها حدود 14000 بیتا. و طبع مسیو ژان اوبن بطهران 1335 ش. مجموعة فیها ثلاث رسائل فی أحوال ولی کرمانی 1- رسالة عبد الرزاق الکرمانی 2- فصل من جامع مفیدی 3- رسالة عبد العزیز الواعظی کلها فی (360 ص) و قال فی (مع 2: 42): أنه من ولد إسماعیل بن الإمام الصادق و له ثلاثمائة تصنیف عندی منها اثنان و ثمانون رسالة عربیة و فارسیة و دیوانه یقرب من اثنی عشر ألف بیت و کتب دیباجته تلمیذه الشاه داعی، و قد بنی بقعة مرقده السلطان شهاب الدین أحمد البهمنی الدکنی. و ترجمه أیضا فی (ض- ص 241) و (نتایج- ص 705) و (گلشن- ص 532) و (خیال- ص 60) و (حسینی- ص 341) و (تش- ص 120) و نامه دانشوران ج 7 ص 117- 157 نقلا عن جامع مفیدی نقلا عن رسالة المولی صنع الله النعمةاللهی فی أحواله و (لت 6) و المستر براون ج 3 ص 526، و مجلة روزگار نو ج 5 ع 3 ص 56 و حبیب السیر ج 4 ص 7 و دیوانه موجود عند (الملک) و تخلصه فیها نعمه و فی بعض أشعاره یتخلص سید. و یوجد له محبت‏نامه عند (فخر الدین). و طبع له منظومتی أرواح و پیرنامه معا بطهران 1352 فی 204 ص. و ألف الدکتور جواد نوربخش الکرمانی رسالة باسم زندگی و آثار شاه نعمة الله طبعت فی 136 ص. بطهران فی 1377. ثم طبع 48 رسالة من رسائله فی أربع مجلدات و جاء فی مسرت- ص 390 تاریخ وفاته 834 هکذا:</w:t>
      </w:r>
    </w:p>
    <w:p>
      <w:pPr>
        <w:pStyle w:val="BookText"/>
      </w:pPr>
      <w:r>
        <w:rPr>
          <w:rFonts w:ascii="IRNazanin" w:hAnsi="IRNazanin" w:eastAsia="IRNazanin" w:cs="IRNazanin"/>
          <w:lang w:bidi="fa-IR"/>
          <w:color w:val="111111"/>
          <w:sz w:val="28"/>
          <w:szCs w:val="28"/>
          <w:rtl/>
        </w:rPr>
        <w:t xml:space="preserve">آنکه مفتاح باب فردوس است‏</w:t>
      </w:r>
    </w:p>
    <w:p>
      <w:pPr>
        <w:pStyle w:val="BookText"/>
      </w:pPr>
      <w:r>
        <w:rPr>
          <w:rFonts w:ascii="IRNazanin" w:hAnsi="IRNazanin" w:eastAsia="IRNazanin" w:cs="IRNazanin"/>
          <w:lang w:bidi="fa-IR"/>
          <w:color w:val="111111"/>
          <w:sz w:val="28"/>
          <w:szCs w:val="28"/>
          <w:rtl/>
        </w:rPr>
        <w:t xml:space="preserve">نقل أو آفتاب فردوس است‏</w:t>
      </w:r>
    </w:p>
    <w:p>
      <w:pPr>
        <w:pStyle w:val="Heading3"/>
      </w:pPr>
      <w:bookmarkStart w:id="10340" w:name="_Toc9036"/>
      <w:r>
        <w:t>7795- دیوان نعمت نارنولی أو شعره‏</w:t>
      </w:r>
      <w:bookmarkEnd w:id="10340"/>
    </w:p>
    <w:p>
      <w:pPr>
        <w:pStyle w:val="BookText"/>
      </w:pPr>
      <w:r>
        <w:rPr>
          <w:rFonts w:ascii="IRNazanin" w:hAnsi="IRNazanin" w:eastAsia="IRNazanin" w:cs="IRNazanin"/>
          <w:lang w:bidi="fa-IR"/>
          <w:color w:val="111111"/>
          <w:sz w:val="28"/>
          <w:szCs w:val="28"/>
          <w:rtl/>
        </w:rPr>
        <w:t xml:space="preserve">و اسمه أیضا السید نعمة الله المتوفی 1077 ترجمه شیر علی فی (خیال- ص 142) و (گلشن- ص 531).</w:t>
      </w:r>
    </w:p>
    <w:p>
      <w:pPr>
        <w:pStyle w:val="Heading3"/>
      </w:pPr>
      <w:bookmarkStart w:id="10341" w:name="_Toc9037"/>
      <w:r>
        <w:t>دیوان نعمت هندوستانی‏</w:t>
      </w:r>
      <w:bookmarkEnd w:id="10341"/>
    </w:p>
    <w:p>
      <w:pPr>
        <w:pStyle w:val="BookText"/>
      </w:pPr>
      <w:r>
        <w:rPr>
          <w:rFonts w:ascii="IRNazanin" w:hAnsi="IRNazanin" w:eastAsia="IRNazanin" w:cs="IRNazanin"/>
          <w:lang w:bidi="fa-IR"/>
          <w:color w:val="111111"/>
          <w:sz w:val="28"/>
          <w:szCs w:val="28"/>
          <w:rtl/>
        </w:rPr>
        <w:t xml:space="preserve">مر بعنوان نعمت شیرازی و عالی.</w:t>
      </w:r>
    </w:p>
    <w:p>
      <w:pPr>
        <w:pStyle w:val="Heading3"/>
      </w:pPr>
      <w:bookmarkStart w:id="10342" w:name="_Toc9038"/>
      <w:r>
        <w:t>7796- دیوان نعمتی کاشانی‏</w:t>
      </w:r>
      <w:bookmarkEnd w:id="10342"/>
    </w:p>
    <w:p>
      <w:pPr>
        <w:pStyle w:val="BookText"/>
      </w:pPr>
      <w:r>
        <w:rPr>
          <w:rFonts w:ascii="IRNazanin" w:hAnsi="IRNazanin" w:eastAsia="IRNazanin" w:cs="IRNazanin"/>
          <w:lang w:bidi="fa-IR"/>
          <w:color w:val="111111"/>
          <w:sz w:val="28"/>
          <w:szCs w:val="28"/>
          <w:rtl/>
        </w:rPr>
        <w:t xml:space="preserve">أطرأ تقواه معاصره فی (تس 5- ص 157) و قال له قصائد فی المناقب و مثنوی علی زنة سبحة الأبرار و تمم دیوانا للغزل- و کذا فی همیشه بهار.</w:t>
      </w:r>
    </w:p>
    <w:p>
      <w:pPr>
        <w:pStyle w:val="Heading3"/>
      </w:pPr>
      <w:bookmarkStart w:id="10343" w:name="_Toc9039"/>
      <w:r>
        <w:t>7797- دیوان نعیم سمرقندی‏</w:t>
      </w:r>
      <w:bookmarkEnd w:id="10343"/>
    </w:p>
    <w:p>
      <w:pPr>
        <w:pStyle w:val="BookText"/>
      </w:pPr>
      <w:r>
        <w:rPr>
          <w:rFonts w:ascii="IRNazanin" w:hAnsi="IRNazanin" w:eastAsia="IRNazanin" w:cs="IRNazanin"/>
          <w:lang w:bidi="fa-IR"/>
          <w:color w:val="111111"/>
          <w:sz w:val="28"/>
          <w:szCs w:val="28"/>
          <w:rtl/>
        </w:rPr>
        <w:t xml:space="preserve">و اسمه ملا نعمت، قال النصرآبادی فی (نر 10- ص 443) إن أول اشتغاله کان ببخارا و أورد شعره.
</w:t>
      </w:r>
    </w:p>
    <w:p>
      <w:pPr>
        <w:sectPr>
          <w:footerReference w:type="default" r:id="rId1225"/>
          <w:footnotePr>
            <w:numStart w:val="1"/>
            <w:numRestart w:val="eachPage"/>
          </w:footnotePr>
          <w:pgSz w:orient="portrait" w:w="11905.511811023622" w:h="16837.79527559055"/>
          <w:pgMar w:top="1440" w:right="1440" w:bottom="1440" w:left="1440" w:header="720" w:footer="720" w:gutter="0"/>
          <w:cols w:num="1" w:space="720"/>
        </w:sectPr>
      </w:pPr>
    </w:p>
    <w:bookmarkStart w:id="1201" w:name="pg11704_122693"/>
    <w:bookmarkEnd w:id="1201"/>
    <w:p>
      <w:pPr>
        <w:pStyle w:val="Heading3"/>
      </w:pPr>
      <w:bookmarkStart w:id="10344" w:name="_Toc9040"/>
      <w:r>
        <w:t>7798- دیوان نعیم شیرازی أو شعره‏</w:t>
      </w:r>
      <w:bookmarkEnd w:id="10344"/>
    </w:p>
    <w:p>
      <w:pPr>
        <w:pStyle w:val="BookText"/>
      </w:pPr>
      <w:r>
        <w:rPr>
          <w:rFonts w:ascii="IRNazanin" w:hAnsi="IRNazanin" w:eastAsia="IRNazanin" w:cs="IRNazanin"/>
          <w:lang w:bidi="fa-IR"/>
          <w:color w:val="111111"/>
          <w:sz w:val="28"/>
          <w:szCs w:val="28"/>
          <w:rtl/>
        </w:rPr>
        <w:t xml:space="preserve">کان خیاطا لإمام قلی خان حاکم شیراز ذکره النصرآبادی فی (نر 9- ص 294) و (تش- ص 312) و (فارس‏نامه 2: 152) و (روشن- ص 711) و همیشه بهار.</w:t>
      </w:r>
    </w:p>
    <w:p>
      <w:pPr>
        <w:pStyle w:val="Heading3"/>
      </w:pPr>
      <w:bookmarkStart w:id="10345" w:name="_Toc9041"/>
      <w:r>
        <w:t>7799- دیوان نعیم قمی أو شعره‏</w:t>
      </w:r>
      <w:bookmarkEnd w:id="10345"/>
    </w:p>
    <w:p>
      <w:pPr>
        <w:pStyle w:val="BookText"/>
      </w:pPr>
      <w:r>
        <w:rPr>
          <w:rFonts w:ascii="IRNazanin" w:hAnsi="IRNazanin" w:eastAsia="IRNazanin" w:cs="IRNazanin"/>
          <w:lang w:bidi="fa-IR"/>
          <w:color w:val="111111"/>
          <w:sz w:val="28"/>
          <w:szCs w:val="28"/>
          <w:rtl/>
        </w:rPr>
        <w:t xml:space="preserve">هو ابن درویش بهشتی قلندر. ترجمه معاصره فی (نر 9- ص 421) و (روشن- ص 711) و همیشه بهار.</w:t>
      </w:r>
    </w:p>
    <w:p>
      <w:pPr>
        <w:pStyle w:val="Heading3"/>
      </w:pPr>
      <w:bookmarkStart w:id="10346" w:name="_Toc9042"/>
      <w:r>
        <w:t>7800- دیوان نعیمی أسترآبادی‏</w:t>
      </w:r>
      <w:bookmarkEnd w:id="10346"/>
    </w:p>
    <w:p>
      <w:pPr>
        <w:pStyle w:val="BookText"/>
      </w:pPr>
      <w:r>
        <w:rPr>
          <w:rFonts w:ascii="IRNazanin" w:hAnsi="IRNazanin" w:eastAsia="IRNazanin" w:cs="IRNazanin"/>
          <w:lang w:bidi="fa-IR"/>
          <w:color w:val="111111"/>
          <w:sz w:val="28"/>
          <w:szCs w:val="28"/>
          <w:rtl/>
        </w:rPr>
        <w:t xml:space="preserve">و هو فضل الله بن أبی محمد عبد الرحمن جلال الدین الأسترآبادی المتخلص نعیمی و الملقب حلال خور مؤسس الفرقة الحروفیة المتأثرة من التصوف و الإسماعیلیة. و کان شعارهم لبس طاقیة بیضاء ولد 741 و قتل و أحرق بید میران شاه بن تیمور و فتوی علماء السنة بتبریز فی 796، له غیر الدیوان أنفس و آفاق نظما فارسیا و جاودان‏نامه الکبیر بالفارسیة الأسترآبادیة و عرف‏نامه أیضا.</w:t>
      </w:r>
    </w:p>
    <w:p>
      <w:pPr>
        <w:pStyle w:val="BookText"/>
      </w:pPr>
      <w:r>
        <w:rPr>
          <w:rFonts w:ascii="IRNazanin" w:hAnsi="IRNazanin" w:eastAsia="IRNazanin" w:cs="IRNazanin"/>
          <w:lang w:bidi="fa-IR"/>
          <w:color w:val="111111"/>
          <w:sz w:val="28"/>
          <w:szCs w:val="28"/>
          <w:rtl/>
        </w:rPr>
        <w:t xml:space="preserve">سکن النجف عشرین سنة کما نقل العزاوی عن نواقض الروافض و سکن مدة بباکو و شیروان. ترجمه ابن حجر فی الأنباء و نسبه إلی تبریز. و السخاوی فی الضوء اللامع ذکره مرتین نسبه فی أحدهما إلی تبریز و فی الآخر إلی أسترآباد. و ترجم فی أکثر التذاکر مثل (ض- ص 156) و (دجا- ص 386) و (گلشن- ص 534) و ریحانة الأدب و لغت‏نامه ذیل مادة حروفیان مفصلا. یوجد دیوانه فی مکتبة أمیر علی بأستانبول تحت رقم 989 فی أربعین صفحة کتبت فی 1209 کل صفحة تحتوی علی 15 بیتا، و تصویره عند الدکتور صادق کیا بطهران کما ذکر فی مجلة دانشکده أدبیات العدد 2 السنة 2 ص 50. و له بنت شاعرة و لها أیضا دیوان‏</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این همه طمطراق کن فیکون‏</w:t>
      </w:r>
    </w:p>
    <w:p>
      <w:pPr>
        <w:pStyle w:val="BookText"/>
      </w:pPr>
      <w:r>
        <w:rPr>
          <w:rFonts w:ascii="IRNazanin" w:hAnsi="IRNazanin" w:eastAsia="IRNazanin" w:cs="IRNazanin"/>
          <w:lang w:bidi="fa-IR"/>
          <w:color w:val="111111"/>
          <w:sz w:val="28"/>
          <w:szCs w:val="28"/>
          <w:rtl/>
        </w:rPr>
        <w:t xml:space="preserve">شمه‏ای بیش نیست پیش أهل فنون‏</w:t>
      </w:r>
    </w:p>
    <w:p>
      <w:pPr>
        <w:pStyle w:val="BookText"/>
      </w:pPr>
      <w:r>
        <w:rPr>
          <w:rFonts w:ascii="IRNazanin" w:hAnsi="IRNazanin" w:eastAsia="IRNazanin" w:cs="IRNazanin"/>
          <w:lang w:bidi="fa-IR"/>
          <w:color w:val="111111"/>
          <w:sz w:val="28"/>
          <w:szCs w:val="28"/>
          <w:rtl/>
        </w:rPr>
        <w:t xml:space="preserve">و قد قتلت البنت هذه فی مقتله خمسمائة شخص من الحروفیة و إحراقهم فی أوائل القرن التاسع بحکم جهان‏شاه قره‏قوینلو و بفتوی من العلماء و منهم نجم الدین الأسکوئی المتوفی بتبریز 879 کما فی مزارات تبریز فدفنت عند زوجها. و لهذه البنت ابن، اسمه الخواجة عضد الدین قتل فی وقعة اغتیال شاه‏رخ بهرات بید أحمدلر فی 830.</w:t>
      </w:r>
    </w:p>
    <w:p>
      <w:pPr>
        <w:sectPr>
          <w:footerReference w:type="default" r:id="rId1226"/>
          <w:footnotePr>
            <w:numStart w:val="1"/>
            <w:numRestart w:val="eachPage"/>
          </w:footnotePr>
          <w:pgSz w:orient="portrait" w:w="11905.511811023622" w:h="16837.79527559055"/>
          <w:pgMar w:top="1440" w:right="1440" w:bottom="1440" w:left="1440" w:header="720" w:footer="720" w:gutter="0"/>
          <w:cols w:num="1" w:space="720"/>
        </w:sectPr>
      </w:pPr>
    </w:p>
    <w:bookmarkStart w:id="1202" w:name="pg11704_122694"/>
    <w:bookmarkEnd w:id="1202"/>
    <w:p>
      <w:pPr>
        <w:pStyle w:val="Heading3"/>
      </w:pPr>
      <w:bookmarkStart w:id="10347" w:name="_Toc9043"/>
      <w:r>
        <w:t>دیوان نعیمی تبریزی‏</w:t>
      </w:r>
      <w:bookmarkEnd w:id="10347"/>
    </w:p>
    <w:p>
      <w:pPr>
        <w:pStyle w:val="BookText"/>
      </w:pPr>
      <w:r>
        <w:rPr>
          <w:rFonts w:ascii="IRNazanin" w:hAnsi="IRNazanin" w:eastAsia="IRNazanin" w:cs="IRNazanin"/>
          <w:lang w:bidi="fa-IR"/>
          <w:color w:val="111111"/>
          <w:sz w:val="28"/>
          <w:szCs w:val="28"/>
          <w:rtl/>
        </w:rPr>
        <w:t xml:space="preserve">راجع نعیمی أسترآبادی.</w:t>
      </w:r>
    </w:p>
    <w:p>
      <w:pPr>
        <w:pStyle w:val="Heading3"/>
      </w:pPr>
      <w:bookmarkStart w:id="10348" w:name="_Toc9044"/>
      <w:r>
        <w:t>7801- دیوان نعیمی هروی أو شعره‏</w:t>
      </w:r>
      <w:bookmarkEnd w:id="10348"/>
    </w:p>
    <w:p>
      <w:pPr>
        <w:pStyle w:val="BookText"/>
      </w:pPr>
      <w:r>
        <w:rPr>
          <w:rFonts w:ascii="IRNazanin" w:hAnsi="IRNazanin" w:eastAsia="IRNazanin" w:cs="IRNazanin"/>
          <w:lang w:bidi="fa-IR"/>
          <w:color w:val="111111"/>
          <w:sz w:val="28"/>
          <w:szCs w:val="28"/>
          <w:rtl/>
        </w:rPr>
        <w:t xml:space="preserve">کان وزیرا للسلطان حسین بایقرا المتوفی 911. ترجمه القزوینی فی (قز مج- ص 197) و قال إنه عدیل ملا قطبی المذکور فی (ص 885) و کذا فی (گلشن- ص 534).</w:t>
      </w:r>
    </w:p>
    <w:p>
      <w:pPr>
        <w:pStyle w:val="Heading3"/>
      </w:pPr>
      <w:bookmarkStart w:id="10349" w:name="_Toc9045"/>
      <w:r>
        <w:t>7802- دیوان نغز مازندرانی أو شعره‏</w:t>
      </w:r>
      <w:bookmarkEnd w:id="10349"/>
    </w:p>
    <w:p>
      <w:pPr>
        <w:pStyle w:val="BookText"/>
      </w:pPr>
      <w:r>
        <w:rPr>
          <w:rFonts w:ascii="IRNazanin" w:hAnsi="IRNazanin" w:eastAsia="IRNazanin" w:cs="IRNazanin"/>
          <w:lang w:bidi="fa-IR"/>
          <w:color w:val="111111"/>
          <w:sz w:val="28"/>
          <w:szCs w:val="28"/>
          <w:rtl/>
        </w:rPr>
        <w:t xml:space="preserve">و هو من سادتها، سکن الهند و أورد سلیم شعره فی (گلشن- ص 532).</w:t>
      </w:r>
    </w:p>
    <w:p>
      <w:pPr>
        <w:pStyle w:val="Heading3"/>
      </w:pPr>
      <w:bookmarkStart w:id="10350" w:name="_Toc9046"/>
      <w:r>
        <w:t>7803- دیوان نغمه خراسانی أو شعره‏</w:t>
      </w:r>
      <w:bookmarkEnd w:id="10350"/>
    </w:p>
    <w:p>
      <w:pPr>
        <w:pStyle w:val="BookText"/>
      </w:pPr>
      <w:r>
        <w:rPr>
          <w:rFonts w:ascii="IRNazanin" w:hAnsi="IRNazanin" w:eastAsia="IRNazanin" w:cs="IRNazanin"/>
          <w:lang w:bidi="fa-IR"/>
          <w:color w:val="111111"/>
          <w:sz w:val="28"/>
          <w:szCs w:val="28"/>
          <w:rtl/>
        </w:rPr>
        <w:t xml:space="preserve">و اسمه میرزا عبد الوهاب. ترجمه معاصره فی (مع 2: 498) و (ض- ص 327).</w:t>
      </w:r>
    </w:p>
    <w:p>
      <w:pPr>
        <w:pStyle w:val="Heading3"/>
      </w:pPr>
      <w:bookmarkStart w:id="10351" w:name="_Toc9047"/>
      <w:r>
        <w:t>7804- دیوان نغمه مازندرانی أو شعره‏</w:t>
      </w:r>
      <w:bookmarkEnd w:id="10351"/>
    </w:p>
    <w:p>
      <w:pPr>
        <w:pStyle w:val="BookText"/>
      </w:pPr>
      <w:r>
        <w:rPr>
          <w:rFonts w:ascii="IRNazanin" w:hAnsi="IRNazanin" w:eastAsia="IRNazanin" w:cs="IRNazanin"/>
          <w:lang w:bidi="fa-IR"/>
          <w:color w:val="111111"/>
          <w:sz w:val="28"/>
          <w:szCs w:val="28"/>
          <w:rtl/>
        </w:rPr>
        <w:t xml:space="preserve">و اسمه میرزا رضا قلی. مدح منوچهر خان معتمد الدولة فذکر فی المدائح المعتمدیة کما فی فهرس (المجلس) 3: 685.</w:t>
      </w:r>
    </w:p>
    <w:p>
      <w:pPr>
        <w:pStyle w:val="Heading3"/>
      </w:pPr>
      <w:bookmarkStart w:id="10352" w:name="_Toc9048"/>
      <w:r>
        <w:t>7805- دیوان نفیس قزوینی أو شعره‏</w:t>
      </w:r>
      <w:bookmarkEnd w:id="10352"/>
    </w:p>
    <w:p>
      <w:pPr>
        <w:pStyle w:val="BookText"/>
      </w:pPr>
      <w:r>
        <w:rPr>
          <w:rFonts w:ascii="IRNazanin" w:hAnsi="IRNazanin" w:eastAsia="IRNazanin" w:cs="IRNazanin"/>
          <w:lang w:bidi="fa-IR"/>
          <w:color w:val="111111"/>
          <w:sz w:val="28"/>
          <w:szCs w:val="28"/>
          <w:rtl/>
        </w:rPr>
        <w:t xml:space="preserve">ابن میر عبد الباقی. ترجمه و أورد شعره سامی فی (تس 3- ص 63).</w:t>
      </w:r>
    </w:p>
    <w:p>
      <w:pPr>
        <w:pStyle w:val="Heading3"/>
      </w:pPr>
      <w:bookmarkStart w:id="10353" w:name="_Toc9049"/>
      <w:r>
        <w:t>7806- دیوان نفیس لکهنوی‏</w:t>
      </w:r>
      <w:bookmarkEnd w:id="10353"/>
    </w:p>
    <w:p>
      <w:pPr>
        <w:pStyle w:val="BookText"/>
      </w:pPr>
      <w:r>
        <w:rPr>
          <w:rFonts w:ascii="IRNazanin" w:hAnsi="IRNazanin" w:eastAsia="IRNazanin" w:cs="IRNazanin"/>
          <w:lang w:bidi="fa-IR"/>
          <w:color w:val="111111"/>
          <w:sz w:val="28"/>
          <w:szCs w:val="28"/>
          <w:rtl/>
        </w:rPr>
        <w:t xml:space="preserve">فی المراثی بالأردویة مطبوع بالهند لناظمه میر خورشید علی نفیس ابن میرزا ببر علی أنیس المذکور فی ص 110.</w:t>
      </w:r>
    </w:p>
    <w:p>
      <w:pPr>
        <w:pStyle w:val="Heading3"/>
      </w:pPr>
      <w:bookmarkStart w:id="10354" w:name="_Toc9050"/>
      <w:r>
        <w:t>7807- دیوان نفیسی تهرانی‏</w:t>
      </w:r>
      <w:bookmarkEnd w:id="10354"/>
    </w:p>
    <w:p>
      <w:pPr>
        <w:pStyle w:val="BookText"/>
      </w:pPr>
      <w:r>
        <w:rPr>
          <w:rFonts w:ascii="IRNazanin" w:hAnsi="IRNazanin" w:eastAsia="IRNazanin" w:cs="IRNazanin"/>
          <w:lang w:bidi="fa-IR"/>
          <w:color w:val="111111"/>
          <w:sz w:val="28"/>
          <w:szCs w:val="28"/>
          <w:rtl/>
        </w:rPr>
        <w:t xml:space="preserve">و اسمه سعید بن علی أکبر ناظم الأطباء و المنتهی نسب بیتهم إلی الحکیم برهان الدین نفیس الکرمانی صاحب شرح الأسباب و العلامات ولد سعید فی طهران 1274 ش. و تعلم فی أروپا و رجع فی 1297 ش.</w:t>
      </w:r>
    </w:p>
    <w:p>
      <w:pPr>
        <w:pStyle w:val="BookText"/>
      </w:pPr>
      <w:r>
        <w:rPr>
          <w:rFonts w:ascii="IRNazanin" w:hAnsi="IRNazanin" w:eastAsia="IRNazanin" w:cs="IRNazanin"/>
          <w:lang w:bidi="fa-IR"/>
          <w:color w:val="111111"/>
          <w:sz w:val="28"/>
          <w:szCs w:val="28"/>
          <w:rtl/>
        </w:rPr>
        <w:t xml:space="preserve">و من 1308 ش. إلی الیوم هو من أساتذة جامعة طهران. و له من التصانیف و المقالات فوق المائة، و طبع دیوان سعید نفیسی مع مقدمه فی أحواله بطهران بقطع صغیر فی 80 ص. طبعه طهوری.</w:t>
      </w:r>
    </w:p>
    <w:p>
      <w:pPr>
        <w:pStyle w:val="Heading3"/>
      </w:pPr>
      <w:bookmarkStart w:id="10355" w:name="_Toc9051"/>
      <w:r>
        <w:t>7808- دیوان نفیسی کاشانی أو شعره‏</w:t>
      </w:r>
      <w:bookmarkEnd w:id="10355"/>
    </w:p>
    <w:p>
      <w:pPr>
        <w:pStyle w:val="BookText"/>
      </w:pPr>
      <w:r>
        <w:rPr>
          <w:rFonts w:ascii="IRNazanin" w:hAnsi="IRNazanin" w:eastAsia="IRNazanin" w:cs="IRNazanin"/>
          <w:lang w:bidi="fa-IR"/>
          <w:color w:val="111111"/>
          <w:sz w:val="28"/>
          <w:szCs w:val="28"/>
          <w:rtl/>
        </w:rPr>
        <w:t xml:space="preserve">ورد شعره فی (گلشن- ص 535) و همیشه بهار.</w:t>
      </w:r>
    </w:p>
    <w:p>
      <w:pPr>
        <w:pStyle w:val="Heading3"/>
      </w:pPr>
      <w:bookmarkStart w:id="10356" w:name="_Toc9052"/>
      <w:r>
        <w:t>دیوان نقابی بدخشانی‏</w:t>
      </w:r>
      <w:bookmarkEnd w:id="10356"/>
    </w:p>
    <w:p>
      <w:pPr>
        <w:pStyle w:val="BookText"/>
      </w:pPr>
      <w:r>
        <w:rPr>
          <w:rFonts w:ascii="IRNazanin" w:hAnsi="IRNazanin" w:eastAsia="IRNazanin" w:cs="IRNazanin"/>
          <w:lang w:bidi="fa-IR"/>
          <w:color w:val="111111"/>
          <w:sz w:val="28"/>
          <w:szCs w:val="28"/>
          <w:rtl/>
        </w:rPr>
        <w:t xml:space="preserve">کما فی بعض نسخ (لط 3: 68) و فی (گلشن- ص 535) نقل شعره فی وقعة زلزله تبریز. و قد مر بعنوان بقائی فی ص 139.</w:t>
      </w:r>
    </w:p>
    <w:p>
      <w:pPr>
        <w:pStyle w:val="Heading3"/>
      </w:pPr>
      <w:bookmarkStart w:id="10357" w:name="_Toc9053"/>
      <w:r>
        <w:t>7809- دیوان نقار کشمیری أو شعره‏</w:t>
      </w:r>
      <w:bookmarkEnd w:id="10357"/>
    </w:p>
    <w:p>
      <w:pPr>
        <w:pStyle w:val="BookText"/>
      </w:pPr>
      <w:r>
        <w:rPr>
          <w:rFonts w:ascii="IRNazanin" w:hAnsi="IRNazanin" w:eastAsia="IRNazanin" w:cs="IRNazanin"/>
          <w:lang w:bidi="fa-IR"/>
          <w:color w:val="111111"/>
          <w:sz w:val="28"/>
          <w:szCs w:val="28"/>
          <w:rtl/>
        </w:rPr>
        <w:t xml:space="preserve">و اسمه پندیت جی کوپال. ولد بلکهنو و تلمیذ محمد حسن قتیل أورد شعره معاصره فی (گلشن- ص 535).
</w:t>
      </w:r>
    </w:p>
    <w:p>
      <w:pPr>
        <w:sectPr>
          <w:footerReference w:type="default" r:id="rId1227"/>
          <w:footnotePr>
            <w:numStart w:val="1"/>
            <w:numRestart w:val="eachPage"/>
          </w:footnotePr>
          <w:pgSz w:orient="portrait" w:w="11905.511811023622" w:h="16837.79527559055"/>
          <w:pgMar w:top="1440" w:right="1440" w:bottom="1440" w:left="1440" w:header="720" w:footer="720" w:gutter="0"/>
          <w:cols w:num="1" w:space="720"/>
        </w:sectPr>
      </w:pPr>
    </w:p>
    <w:bookmarkStart w:id="1203" w:name="pg11704_122695"/>
    <w:bookmarkEnd w:id="1203"/>
    <w:p>
      <w:pPr>
        <w:pStyle w:val="Heading3"/>
      </w:pPr>
      <w:bookmarkStart w:id="10358" w:name="_Toc9054"/>
      <w:r>
        <w:t>7810- دیوان نقاش‏</w:t>
      </w:r>
      <w:bookmarkEnd w:id="10358"/>
    </w:p>
    <w:p>
      <w:pPr>
        <w:pStyle w:val="BookText"/>
      </w:pPr>
      <w:r>
        <w:rPr>
          <w:rFonts w:ascii="IRNazanin" w:hAnsi="IRNazanin" w:eastAsia="IRNazanin" w:cs="IRNazanin"/>
          <w:lang w:bidi="fa-IR"/>
          <w:color w:val="111111"/>
          <w:sz w:val="28"/>
          <w:szCs w:val="28"/>
          <w:rtl/>
        </w:rPr>
        <w:t xml:space="preserve">و اسمه أحمد. و دیوانه فارسی فی المراثی یوجد عند المیرزا عبد الرزاق المحدث نزیل همدان.</w:t>
      </w:r>
    </w:p>
    <w:p>
      <w:pPr>
        <w:pStyle w:val="Heading3"/>
      </w:pPr>
      <w:bookmarkStart w:id="10359" w:name="_Toc9055"/>
      <w:r>
        <w:t>7811- دیوان نقاش أصفهانی‏</w:t>
      </w:r>
      <w:bookmarkEnd w:id="10359"/>
    </w:p>
    <w:p>
      <w:pPr>
        <w:pStyle w:val="BookText"/>
      </w:pPr>
      <w:r>
        <w:rPr>
          <w:rFonts w:ascii="IRNazanin" w:hAnsi="IRNazanin" w:eastAsia="IRNazanin" w:cs="IRNazanin"/>
          <w:lang w:bidi="fa-IR"/>
          <w:color w:val="111111"/>
          <w:sz w:val="28"/>
          <w:szCs w:val="28"/>
          <w:rtl/>
        </w:rPr>
        <w:t xml:space="preserve">و اسمه محمود فرشچیان بن غلام رضا ولد بأصفهان فی 1348 و تعلم التصویر علی میرزا آقا النقاش. أورد المهدوی شعره فی شعرای معاصر أصفهان- ص 427.</w:t>
      </w:r>
    </w:p>
    <w:p>
      <w:pPr>
        <w:pStyle w:val="Heading3"/>
      </w:pPr>
      <w:bookmarkStart w:id="10360" w:name="_Toc9056"/>
      <w:r>
        <w:t>دیوان نقاش أصفهانی‏</w:t>
      </w:r>
      <w:bookmarkEnd w:id="10360"/>
    </w:p>
    <w:p>
      <w:pPr>
        <w:pStyle w:val="BookText"/>
      </w:pPr>
      <w:r>
        <w:rPr>
          <w:rFonts w:ascii="IRNazanin" w:hAnsi="IRNazanin" w:eastAsia="IRNazanin" w:cs="IRNazanin"/>
          <w:lang w:bidi="fa-IR"/>
          <w:color w:val="111111"/>
          <w:sz w:val="28"/>
          <w:szCs w:val="28"/>
          <w:rtl/>
        </w:rPr>
        <w:t xml:space="preserve">راجع سرجا نقاش فی ص 436.</w:t>
      </w:r>
    </w:p>
    <w:p>
      <w:pPr>
        <w:pStyle w:val="Heading3"/>
      </w:pPr>
      <w:bookmarkStart w:id="10361" w:name="_Toc9057"/>
      <w:r>
        <w:t>7812- دیوان نقاش شیرازی أو شعره‏</w:t>
      </w:r>
      <w:bookmarkEnd w:id="10361"/>
    </w:p>
    <w:p>
      <w:pPr>
        <w:pStyle w:val="BookText"/>
      </w:pPr>
      <w:r>
        <w:rPr>
          <w:rFonts w:ascii="IRNazanin" w:hAnsi="IRNazanin" w:eastAsia="IRNazanin" w:cs="IRNazanin"/>
          <w:lang w:bidi="fa-IR"/>
          <w:color w:val="111111"/>
          <w:sz w:val="28"/>
          <w:szCs w:val="28"/>
          <w:rtl/>
        </w:rPr>
        <w:t xml:space="preserve">ورد شعره فی (عم- ص 548).</w:t>
      </w:r>
    </w:p>
    <w:p>
      <w:pPr>
        <w:pStyle w:val="Heading3"/>
      </w:pPr>
      <w:bookmarkStart w:id="10362" w:name="_Toc9058"/>
      <w:r>
        <w:t>دیوان نقاش قزوینی‏</w:t>
      </w:r>
      <w:bookmarkEnd w:id="10362"/>
    </w:p>
    <w:p>
      <w:pPr>
        <w:pStyle w:val="BookText"/>
      </w:pPr>
      <w:r>
        <w:rPr>
          <w:rFonts w:ascii="IRNazanin" w:hAnsi="IRNazanin" w:eastAsia="IRNazanin" w:cs="IRNazanin"/>
          <w:lang w:bidi="fa-IR"/>
          <w:color w:val="111111"/>
          <w:sz w:val="28"/>
          <w:szCs w:val="28"/>
          <w:rtl/>
        </w:rPr>
        <w:t xml:space="preserve">و اسمه محسن بن محمد بن علی الحسینی القزوینی التبریزی المعروف بالنقاش المتخلص أختر طبع له مرآة البکاء فی المراثی نظما هکذا طبع فی 1312 علی الحجر و لکن فی (دجا- ص 12) سماه سید تبریزی کما ذکرناه فی ص 482.</w:t>
      </w:r>
    </w:p>
    <w:p>
      <w:pPr>
        <w:pStyle w:val="Heading3"/>
      </w:pPr>
      <w:bookmarkStart w:id="10363" w:name="_Toc9059"/>
      <w:r>
        <w:t>7813- دیوان نقاش کاشانی أو شعره‏</w:t>
      </w:r>
      <w:bookmarkEnd w:id="10363"/>
    </w:p>
    <w:p>
      <w:pPr>
        <w:pStyle w:val="BookText"/>
      </w:pPr>
      <w:r>
        <w:rPr>
          <w:rFonts w:ascii="IRNazanin" w:hAnsi="IRNazanin" w:eastAsia="IRNazanin" w:cs="IRNazanin"/>
          <w:lang w:bidi="fa-IR"/>
          <w:color w:val="111111"/>
          <w:sz w:val="28"/>
          <w:szCs w:val="28"/>
          <w:rtl/>
        </w:rPr>
        <w:t xml:space="preserve">و اسمه محمد طاهر یتخلص بصنعته أورد النصرآبادی شعره فی (نر 9- 370) و همیشه بهار.</w:t>
      </w:r>
    </w:p>
    <w:p>
      <w:pPr>
        <w:pStyle w:val="Heading3"/>
      </w:pPr>
      <w:bookmarkStart w:id="10364" w:name="_Toc9060"/>
      <w:r>
        <w:t>دیوان نقاش گلپایگانی أو شعره‏</w:t>
      </w:r>
      <w:bookmarkEnd w:id="10364"/>
    </w:p>
    <w:p>
      <w:pPr>
        <w:pStyle w:val="BookText"/>
      </w:pPr>
      <w:r>
        <w:rPr>
          <w:rFonts w:ascii="IRNazanin" w:hAnsi="IRNazanin" w:eastAsia="IRNazanin" w:cs="IRNazanin"/>
          <w:lang w:bidi="fa-IR"/>
          <w:color w:val="111111"/>
          <w:sz w:val="28"/>
          <w:szCs w:val="28"/>
          <w:rtl/>
        </w:rPr>
        <w:t xml:space="preserve">و اسمه سراجا. أورد شعره بهذا العنوان فی (گلشن- ص 535) و قد مر بعنوان سراجا نقاش فی ص 436 و فی هفت إقلیم سماه نقاش قاسم.</w:t>
      </w:r>
    </w:p>
    <w:p>
      <w:pPr>
        <w:pStyle w:val="Heading3"/>
      </w:pPr>
      <w:bookmarkStart w:id="10365" w:name="_Toc9061"/>
      <w:r>
        <w:t>7814- دیوان نقد علی شوشتری أو شعره‏</w:t>
      </w:r>
      <w:bookmarkEnd w:id="10365"/>
    </w:p>
    <w:p>
      <w:pPr>
        <w:pStyle w:val="BookText"/>
      </w:pPr>
      <w:r>
        <w:rPr>
          <w:rFonts w:ascii="IRNazanin" w:hAnsi="IRNazanin" w:eastAsia="IRNazanin" w:cs="IRNazanin"/>
          <w:lang w:bidi="fa-IR"/>
          <w:color w:val="111111"/>
          <w:sz w:val="28"/>
          <w:szCs w:val="28"/>
          <w:rtl/>
        </w:rPr>
        <w:t xml:space="preserve">هو ابن الأستاد رجب قلاس. ذکر فی تذکره شوشتر- 142. و جاء شعر نقدی أصفهانی فی همیشه بهار.</w:t>
      </w:r>
    </w:p>
    <w:p>
      <w:pPr>
        <w:pStyle w:val="Heading3"/>
      </w:pPr>
      <w:bookmarkStart w:id="10366" w:name="_Toc9062"/>
      <w:r>
        <w:t>دیوان النقدی‏</w:t>
      </w:r>
      <w:bookmarkEnd w:id="10366"/>
    </w:p>
    <w:p>
      <w:pPr>
        <w:pStyle w:val="BookText"/>
      </w:pPr>
      <w:r>
        <w:rPr>
          <w:rFonts w:ascii="IRNazanin" w:hAnsi="IRNazanin" w:eastAsia="IRNazanin" w:cs="IRNazanin"/>
          <w:lang w:bidi="fa-IR"/>
          <w:color w:val="111111"/>
          <w:sz w:val="28"/>
          <w:szCs w:val="28"/>
          <w:rtl/>
        </w:rPr>
        <w:t xml:space="preserve">راجع موسی النقدی و جعفر النقدی و نقد علی.</w:t>
      </w:r>
    </w:p>
    <w:p>
      <w:pPr>
        <w:pStyle w:val="Heading3"/>
      </w:pPr>
      <w:bookmarkStart w:id="10367" w:name="_Toc9063"/>
      <w:r>
        <w:t>7815- دیوان نقشبندی‏</w:t>
      </w:r>
      <w:bookmarkEnd w:id="10367"/>
    </w:p>
    <w:p>
      <w:pPr>
        <w:pStyle w:val="BookText"/>
      </w:pPr>
      <w:r>
        <w:rPr>
          <w:rFonts w:ascii="IRNazanin" w:hAnsi="IRNazanin" w:eastAsia="IRNazanin" w:cs="IRNazanin"/>
          <w:lang w:bidi="fa-IR"/>
          <w:color w:val="111111"/>
          <w:sz w:val="28"/>
          <w:szCs w:val="28"/>
          <w:rtl/>
        </w:rPr>
        <w:t xml:space="preserve">و اسمه الخواجة باقی الله. طبع له مثنوی ضمن مجموعه گران‏مایه بحیدرآباد 1910 م. فی 432 ص.</w:t>
      </w:r>
    </w:p>
    <w:p>
      <w:pPr>
        <w:pStyle w:val="Heading3"/>
      </w:pPr>
      <w:bookmarkStart w:id="10368" w:name="_Toc9064"/>
      <w:r>
        <w:t>7816- دیوان نقش لکهنوی‏</w:t>
      </w:r>
      <w:bookmarkEnd w:id="10368"/>
    </w:p>
    <w:p>
      <w:pPr>
        <w:pStyle w:val="BookText"/>
      </w:pPr>
      <w:r>
        <w:rPr>
          <w:rFonts w:ascii="IRNazanin" w:hAnsi="IRNazanin" w:eastAsia="IRNazanin" w:cs="IRNazanin"/>
          <w:lang w:bidi="fa-IR"/>
          <w:color w:val="111111"/>
          <w:sz w:val="28"/>
          <w:szCs w:val="28"/>
          <w:rtl/>
        </w:rPr>
        <w:t xml:space="preserve">و هو المیر نقش علی بن میر حسن علی بن شرف الدین علی الدهلوی الماهر فی گنجفه و الشطرنج. مات فی أواسط المائة الثالثة عشرة. له تاریخ باغ معانی و شاهنامه أورد بعضها فی (گلشن- ص 536).</w:t>
      </w:r>
    </w:p>
    <w:p>
      <w:pPr>
        <w:pStyle w:val="Heading3"/>
      </w:pPr>
      <w:bookmarkStart w:id="10369" w:name="_Toc9065"/>
      <w:r>
        <w:t>7817- دیوان نقشی دهلوی أو شعره‏</w:t>
      </w:r>
      <w:bookmarkEnd w:id="10369"/>
    </w:p>
    <w:p>
      <w:pPr>
        <w:pStyle w:val="BookText"/>
      </w:pPr>
      <w:r>
        <w:rPr>
          <w:rFonts w:ascii="IRNazanin" w:hAnsi="IRNazanin" w:eastAsia="IRNazanin" w:cs="IRNazanin"/>
          <w:lang w:bidi="fa-IR"/>
          <w:color w:val="111111"/>
          <w:sz w:val="28"/>
          <w:szCs w:val="28"/>
          <w:rtl/>
        </w:rPr>
        <w:t xml:space="preserve">و هو المولی حسین والد ملا علی أحمد مهرکن.</w:t>
      </w:r>
    </w:p>
    <w:p>
      <w:pPr>
        <w:pStyle w:val="BookText"/>
      </w:pPr>
      <w:r>
        <w:rPr>
          <w:rFonts w:ascii="IRNazanin" w:hAnsi="IRNazanin" w:eastAsia="IRNazanin" w:cs="IRNazanin"/>
          <w:lang w:bidi="fa-IR"/>
          <w:color w:val="111111"/>
          <w:sz w:val="28"/>
          <w:szCs w:val="28"/>
          <w:rtl/>
        </w:rPr>
        <w:t xml:space="preserve">مات فی 14 ج 2- 988 ورد شعره فی (گلشن- ص 536).
</w:t>
      </w:r>
    </w:p>
    <w:p>
      <w:pPr>
        <w:sectPr>
          <w:footerReference w:type="default" r:id="rId1228"/>
          <w:footnotePr>
            <w:numStart w:val="1"/>
            <w:numRestart w:val="eachPage"/>
          </w:footnotePr>
          <w:pgSz w:orient="portrait" w:w="11905.511811023622" w:h="16837.79527559055"/>
          <w:pgMar w:top="1440" w:right="1440" w:bottom="1440" w:left="1440" w:header="720" w:footer="720" w:gutter="0"/>
          <w:cols w:num="1" w:space="720"/>
        </w:sectPr>
      </w:pPr>
    </w:p>
    <w:bookmarkStart w:id="1204" w:name="pg11704_122696"/>
    <w:bookmarkEnd w:id="1204"/>
    <w:p>
      <w:pPr>
        <w:pStyle w:val="Heading3"/>
      </w:pPr>
      <w:bookmarkStart w:id="10370" w:name="_Toc9066"/>
      <w:r>
        <w:t>دیوان نقطوی‏</w:t>
      </w:r>
      <w:bookmarkEnd w:id="10370"/>
    </w:p>
    <w:p>
      <w:pPr>
        <w:pStyle w:val="BookText"/>
      </w:pPr>
      <w:r>
        <w:rPr>
          <w:rFonts w:ascii="IRNazanin" w:hAnsi="IRNazanin" w:eastAsia="IRNazanin" w:cs="IRNazanin"/>
          <w:lang w:bidi="fa-IR"/>
          <w:color w:val="111111"/>
          <w:sz w:val="28"/>
          <w:szCs w:val="28"/>
          <w:rtl/>
        </w:rPr>
        <w:t xml:space="preserve">راجع کوثری أردبیلی فی ص 923 و باقر کاشی خرده.</w:t>
      </w:r>
    </w:p>
    <w:p>
      <w:pPr>
        <w:pStyle w:val="Heading3"/>
      </w:pPr>
      <w:bookmarkStart w:id="10371" w:name="_Toc9067"/>
      <w:r>
        <w:t>7818- دیوان النقوی الجائسی‏</w:t>
      </w:r>
      <w:bookmarkEnd w:id="10371"/>
    </w:p>
    <w:p>
      <w:pPr>
        <w:pStyle w:val="BookText"/>
      </w:pPr>
      <w:r>
        <w:rPr>
          <w:rFonts w:ascii="IRNazanin" w:hAnsi="IRNazanin" w:eastAsia="IRNazanin" w:cs="IRNazanin"/>
          <w:lang w:bidi="fa-IR"/>
          <w:color w:val="111111"/>
          <w:sz w:val="28"/>
          <w:szCs w:val="28"/>
          <w:rtl/>
        </w:rPr>
        <w:t xml:space="preserve">السید کلب باقر بن حسین. له منظومة فی النبوة ذکرت باسمها طریقة النجاة.</w:t>
      </w:r>
    </w:p>
    <w:p>
      <w:pPr>
        <w:pStyle w:val="Heading3"/>
      </w:pPr>
      <w:bookmarkStart w:id="10372" w:name="_Toc9068"/>
      <w:r>
        <w:t>7819- دیوان نقی أوحدی‏</w:t>
      </w:r>
      <w:bookmarkEnd w:id="10372"/>
    </w:p>
    <w:p>
      <w:pPr>
        <w:pStyle w:val="BookText"/>
      </w:pPr>
      <w:r>
        <w:rPr>
          <w:rFonts w:ascii="IRNazanin" w:hAnsi="IRNazanin" w:eastAsia="IRNazanin" w:cs="IRNazanin"/>
          <w:lang w:bidi="fa-IR"/>
          <w:color w:val="111111"/>
          <w:sz w:val="28"/>
          <w:szCs w:val="28"/>
          <w:rtl/>
        </w:rPr>
        <w:t xml:space="preserve">و اسمه علی نقی. یوجد منتخب دیوانه ضمن مجموعة فی المکتبة (الملیة).</w:t>
      </w:r>
    </w:p>
    <w:p>
      <w:pPr>
        <w:pStyle w:val="Heading3"/>
      </w:pPr>
      <w:bookmarkStart w:id="10373" w:name="_Toc9069"/>
      <w:r>
        <w:t>7820- دیوان نقیب أصفهانی أو شعره‏</w:t>
      </w:r>
      <w:bookmarkEnd w:id="10373"/>
    </w:p>
    <w:p>
      <w:pPr>
        <w:pStyle w:val="BookText"/>
      </w:pPr>
      <w:r>
        <w:rPr>
          <w:rFonts w:ascii="IRNazanin" w:hAnsi="IRNazanin" w:eastAsia="IRNazanin" w:cs="IRNazanin"/>
          <w:lang w:bidi="fa-IR"/>
          <w:color w:val="111111"/>
          <w:sz w:val="28"/>
          <w:szCs w:val="28"/>
          <w:rtl/>
        </w:rPr>
        <w:t xml:space="preserve">و اسمه میرزا سلیم. ترجم فی (گلشن- ص 536).</w:t>
      </w:r>
    </w:p>
    <w:p>
      <w:pPr>
        <w:pStyle w:val="Heading3"/>
      </w:pPr>
      <w:bookmarkStart w:id="10374" w:name="_Toc9070"/>
      <w:r>
        <w:t>7821- دیوان نقیب سبزواری أو شعره‏</w:t>
      </w:r>
      <w:bookmarkEnd w:id="10374"/>
    </w:p>
    <w:p>
      <w:pPr>
        <w:pStyle w:val="BookText"/>
      </w:pPr>
      <w:r>
        <w:rPr>
          <w:rFonts w:ascii="IRNazanin" w:hAnsi="IRNazanin" w:eastAsia="IRNazanin" w:cs="IRNazanin"/>
          <w:lang w:bidi="fa-IR"/>
          <w:color w:val="111111"/>
          <w:sz w:val="28"/>
          <w:szCs w:val="28"/>
          <w:rtl/>
        </w:rPr>
        <w:t xml:space="preserve">و اسمه میرزا محمد. ترجمه معاصره فی (نر 5- ص 101).</w:t>
      </w:r>
    </w:p>
    <w:p>
      <w:pPr>
        <w:pStyle w:val="Heading3"/>
      </w:pPr>
      <w:bookmarkStart w:id="10375" w:name="_Toc9071"/>
      <w:r>
        <w:t>7822- دیوان نقیب شیرازی‏</w:t>
      </w:r>
      <w:bookmarkEnd w:id="10375"/>
    </w:p>
    <w:p>
      <w:pPr>
        <w:pStyle w:val="BookText"/>
      </w:pPr>
      <w:r>
        <w:rPr>
          <w:rFonts w:ascii="IRNazanin" w:hAnsi="IRNazanin" w:eastAsia="IRNazanin" w:cs="IRNazanin"/>
          <w:lang w:bidi="fa-IR"/>
          <w:color w:val="111111"/>
          <w:sz w:val="28"/>
          <w:szCs w:val="28"/>
          <w:rtl/>
        </w:rPr>
        <w:t xml:space="preserve">الحاج میرزا أحمد نقیب الممالک بن الحاج درویش حسن قصةخوان المتوفی 1302 المذکور فی 8: 34. ترجم فی (الطرائق- 3: 215) و (فارس‏نامه 3: 152) و (عم- ص 262) کان والده نقیب الأشراف و صار هو ندیم ناصر الدین شاه. رتب دیوانه و توفی بمشهد خراسان فی نیف و ثلاثمائة و ألف.</w:t>
      </w:r>
    </w:p>
    <w:p>
      <w:pPr>
        <w:pStyle w:val="BookText"/>
      </w:pPr>
      <w:r>
        <w:rPr>
          <w:rFonts w:ascii="IRNazanin" w:hAnsi="IRNazanin" w:eastAsia="IRNazanin" w:cs="IRNazanin"/>
          <w:lang w:bidi="fa-IR"/>
          <w:color w:val="111111"/>
          <w:sz w:val="28"/>
          <w:szCs w:val="28"/>
          <w:rtl/>
        </w:rPr>
        <w:t xml:space="preserve">یوجد نسخته فی (المجلس) کما فی فهرسها 3: 443. و نسختین عند (الملک).</w:t>
      </w:r>
    </w:p>
    <w:p>
      <w:pPr>
        <w:pStyle w:val="Heading3"/>
      </w:pPr>
      <w:bookmarkStart w:id="10376" w:name="_Toc9072"/>
      <w:r>
        <w:t>7823- دیوان نقیب شیرازی أو شعره‏</w:t>
      </w:r>
      <w:bookmarkEnd w:id="10376"/>
    </w:p>
    <w:p>
      <w:pPr>
        <w:pStyle w:val="BookText"/>
      </w:pPr>
      <w:r>
        <w:rPr>
          <w:rFonts w:ascii="IRNazanin" w:hAnsi="IRNazanin" w:eastAsia="IRNazanin" w:cs="IRNazanin"/>
          <w:lang w:bidi="fa-IR"/>
          <w:color w:val="111111"/>
          <w:sz w:val="28"/>
          <w:szCs w:val="28"/>
          <w:rtl/>
        </w:rPr>
        <w:t xml:space="preserve">و هو المیرزا مهدی نقیب الممالک بن میرزا أحمد المذکور آنفا. ترجمه معاصره فی (عم- 263).</w:t>
      </w:r>
    </w:p>
    <w:p>
      <w:pPr>
        <w:pStyle w:val="Heading3"/>
      </w:pPr>
      <w:bookmarkStart w:id="10377" w:name="_Toc9073"/>
      <w:r>
        <w:t>7824- دیوان نقیب قزوینی أو شعره‏</w:t>
      </w:r>
      <w:bookmarkEnd w:id="10377"/>
    </w:p>
    <w:p>
      <w:pPr>
        <w:pStyle w:val="BookText"/>
      </w:pPr>
      <w:r>
        <w:rPr>
          <w:rFonts w:ascii="IRNazanin" w:hAnsi="IRNazanin" w:eastAsia="IRNazanin" w:cs="IRNazanin"/>
          <w:lang w:bidi="fa-IR"/>
          <w:color w:val="111111"/>
          <w:sz w:val="28"/>
          <w:szCs w:val="28"/>
          <w:rtl/>
        </w:rPr>
        <w:t xml:space="preserve">و اسمه نقیب خان. ترجمه و أورد شعره فی (گلشن- 536) و کان من أمراء أکبر شاه.</w:t>
      </w:r>
    </w:p>
    <w:p>
      <w:pPr>
        <w:pStyle w:val="Heading3"/>
      </w:pPr>
      <w:bookmarkStart w:id="10378" w:name="_Toc9074"/>
      <w:r>
        <w:t>دیوان نقیب الممالک‏</w:t>
      </w:r>
      <w:bookmarkEnd w:id="10378"/>
    </w:p>
    <w:p>
      <w:pPr>
        <w:pStyle w:val="BookText"/>
      </w:pPr>
      <w:r>
        <w:rPr>
          <w:rFonts w:ascii="IRNazanin" w:hAnsi="IRNazanin" w:eastAsia="IRNazanin" w:cs="IRNazanin"/>
          <w:lang w:bidi="fa-IR"/>
          <w:color w:val="111111"/>
          <w:sz w:val="28"/>
          <w:szCs w:val="28"/>
          <w:rtl/>
        </w:rPr>
        <w:t xml:space="preserve">راجع دیوان نقیب شیرازی.</w:t>
      </w:r>
    </w:p>
    <w:p>
      <w:pPr>
        <w:pStyle w:val="Heading3"/>
      </w:pPr>
      <w:bookmarkStart w:id="10379" w:name="_Toc9075"/>
      <w:r>
        <w:t>7825- دیوان نقیبی أصفهانی أو شعره‏</w:t>
      </w:r>
      <w:bookmarkEnd w:id="10379"/>
    </w:p>
    <w:p>
      <w:pPr>
        <w:pStyle w:val="BookText"/>
      </w:pPr>
      <w:r>
        <w:rPr>
          <w:rFonts w:ascii="IRNazanin" w:hAnsi="IRNazanin" w:eastAsia="IRNazanin" w:cs="IRNazanin"/>
          <w:lang w:bidi="fa-IR"/>
          <w:color w:val="111111"/>
          <w:sz w:val="28"/>
          <w:szCs w:val="28"/>
          <w:rtl/>
        </w:rPr>
        <w:t xml:space="preserve">الملقب بالمطهر و المتخلص بالنقیبی. هو السید محمد بن محمد بن أبی محمد بن محمد الملقب بالمصحفی الحسینی الموسوی السبزواری الشهیر بمیر لوحی. ولد بأصفهان قبل 1000 و توفی بها بعد 1083 التی فرغ فیها من أربعینه الموسوم کفایة المهتدی الموجود فی مکتبة (المجلس) و کانت عند شیخنا النوری. ترجمه معاصره السید المیر محمد زمان بن محمد جعفر بن محمد سعید بن مسعود الرضوی المشهدی- الذی توفی 1041 کما أرخ فی السلافة- فی أول کتابه صحیفة الرشاد الذی ألفه فی قدح أبی مسلم الخراسانی و تضلیله و هو
</w:t>
      </w:r>
    </w:p>
    <w:p>
      <w:pPr>
        <w:sectPr>
          <w:footerReference w:type="default" r:id="rId1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الدعوة المقتول 137 انتصارا للمیر لوحی هذا، فذکر أن جده الأعلی السید محمد المصحفی کان من أعاظم علماء سبزوار و قد قرأ علیه جدی السید محمد سعید بن مسعود الرضوی، و إن أجداده کلهم أجلاء سادات ینتمون إلی الشریف إبراهیم الأصغر بن الإمام موسی بن جعفر و ذکر أن والده السید محمد بن أبی محمد کان منبع أسرار معارف التوحید و مطلع أنوار معالم التحقیق عالما زاهدا تقیا جامعا للکمالات الصوریة و المعنویة، و قد هاجر من سبزوار إلی کربلاء مدة ثم هاجر إلی إیران و نزل بأصفهان و تزوج هناک بابنة بعض مادحی أهل البیت الملقب فی شعره بلوحی المذکور فی ص 948. و لما ولدت بنت المولی لوحی صاحب الترجمة سألت أباه أن یلقبه بلقب أبیها إبقاء لذکره، فعرف بمیر لوحی. قال المیر محمد زمان: حدثنی بجمیع ذلک والدی المیر محمد جعفر الرضوی الذی توفی 1025 أو أن مجی‏ء السید محمد هذا مع ولده المیر لوحی إلی زیارة مشهد الرضا و نزوله عند والدی المیر محمد جعفر، فأمرنی والدی- و أنا فی ذلک الوقت فی أول الشباب بالقیام بجمیع خدماته فقمت بخدمته ما دام کان بالمشهد. و کان ولده المیر لوحی یقرأ علی والدی تهذیب الأحکام إلی أن رجعا إلی أصفهان و انقطع عنی خبر المیر لوحی إلی سنین کثیرة حتی سافرت إلی زیارة العراق، فصادفنی فی الطریق بعض الموثقین من أهل أصفهان، فرأیته کثیر الهم و الحزن لابتلاء سید عالم جلیل فی أصفهان بید جهالها و إیذاء هؤلاء العوام إیاه بأنواع الأذی، فلما حققت تبین أنه المیر لوحی المذکور، و إن سبب إیذائهم له تبریه عن أبی مسلم. و لما رجعت عن زیارة العراق ألفت هذا الکتاب لأرسله إلی أهل أصفهان إرشادا لهم إلی الحق و دفعا لإیذاء الجهال عن المیر لوحی. انتهی ملخص ما ذکره بالفارسیة فی أول صحیفة الرشاد و یوجد من أوائل هذا الکتاب مقدار تسع صفحات ضمن مجموعة فی أصفهان فی مکتبة أبی المجد الرضا المعروف بآقا رضا الأصفهانی. فظهر من کلام المیر محمد زمان المتوفی 1041 فی کتابه صحیفة الرشاد أنه لاقی المیر لوحی فی أوائل شبابه بمشهد الرضا، فتکون ولادته قبل الألف تقریبا. و ذکرنا فی ج 4 ص 150 ممن ألف فی نصرة المیر لوحی أیضا السید أحمد بن زین العابدین العلوی صهر المیر الداماد و تلمیذه، فإنه ألف إظهار الحق‏
</w:t>
      </w:r>
    </w:p>
    <w:p>
      <w:pPr>
        <w:sectPr>
          <w:footerReference w:type="default" r:id="rId1230"/>
          <w:footnotePr>
            <w:numStart w:val="1"/>
            <w:numRestart w:val="eachPage"/>
          </w:footnotePr>
          <w:pgSz w:orient="portrait" w:w="11905.511811023622" w:h="16837.79527559055"/>
          <w:pgMar w:top="1440" w:right="1440" w:bottom="1440" w:left="1440" w:header="720" w:footer="720" w:gutter="0"/>
          <w:cols w:num="1" w:space="720"/>
        </w:sectPr>
      </w:pPr>
    </w:p>
    <w:bookmarkStart w:id="1205" w:name="pg11704_122698"/>
    <w:bookmarkEnd w:id="1205"/>
    <w:p>
      <w:pPr>
        <w:pStyle w:val="BookText"/>
      </w:pPr>
      <w:r>
        <w:rPr>
          <w:rFonts w:ascii="IRNazanin" w:hAnsi="IRNazanin" w:eastAsia="IRNazanin" w:cs="IRNazanin"/>
          <w:lang w:bidi="fa-IR"/>
          <w:color w:val="111111"/>
          <w:sz w:val="28"/>
          <w:szCs w:val="28"/>
          <w:rtl/>
        </w:rPr>
        <w:t xml:space="preserve">و معیار الصدق باستدعاء بعض الإخوان فی 1043 بالفارسیة فی مقدمه و معیار ذات فصول ثلاثة، و نسخته ضمن المجموعة المذکورة أیضا و علی ظهره خط السید عبد الحسیب بن السید أحمد المؤلف، فی 1063 بهذه الصورة: [سیادت و أفادت پناه فصاحت و بلاغت دستگاه أسوة المؤرخین و زبدة المتکلمین نظاما للإفادة و الحق لوحیا محمدا متعرض قبائح أبی مسلم شد و متمنی شد از مرحوم والد من که تألیف کند رساله‏ای که مشتمل بر تصدیق أو بوده باشد، پس مرحوم والد این کتاب إظهار الحق را نوشت‏] و للمیر لوحی رثاء الشیخ البهائی مادة التاریخ فیه قوله:</w:t>
      </w:r>
    </w:p>
    <w:p>
      <w:pPr>
        <w:pStyle w:val="BookText"/>
      </w:pPr>
      <w:r>
        <w:rPr>
          <w:rFonts w:ascii="IRNazanin" w:hAnsi="IRNazanin" w:eastAsia="IRNazanin" w:cs="IRNazanin"/>
          <w:lang w:bidi="fa-IR"/>
          <w:color w:val="111111"/>
          <w:sz w:val="28"/>
          <w:szCs w:val="28"/>
          <w:rtl/>
        </w:rPr>
        <w:t xml:space="preserve">[بهاء الدین محمد شد مه شوال از عالم‏]</w:t>
      </w:r>
    </w:p>
    <w:p>
      <w:pPr>
        <w:pStyle w:val="BookText"/>
      </w:pPr>
      <w:r>
        <w:rPr>
          <w:rFonts w:ascii="IRNazanin" w:hAnsi="IRNazanin" w:eastAsia="IRNazanin" w:cs="IRNazanin"/>
          <w:lang w:bidi="fa-IR"/>
          <w:color w:val="111111"/>
          <w:sz w:val="28"/>
          <w:szCs w:val="28"/>
          <w:rtl/>
        </w:rPr>
        <w:t xml:space="preserve">ذکر فی نجوم السماء ص 31 و أحال المیر لوحی فی کتابه کفایة المهتدی إلی کتبه الآخر منها زاد العقبی فی مناقب أئمة الهدی و تنبیه الغافلین فی رد الصوفیة و أعلام المحبین أیضا فی ردهم و له ولد عالم اسمه المیر محمد هادی توفی بأصفهان و دفن فی مقبرة امام‏زاده إسماعیل فی (4- ج 2- 1113) کما فی لوح قبره. و ذکره الشیخ محمد علی الحبیب‏آبادی فی کتاب کشف الخبیة المطبوع 1352 و أحفاد میر لوحی هذا موجودون فی قریة درچه بأصفهان.</w:t>
      </w:r>
    </w:p>
    <w:p>
      <w:pPr>
        <w:pStyle w:val="Heading3"/>
      </w:pPr>
      <w:bookmarkStart w:id="10380" w:name="_Toc9076"/>
      <w:r>
        <w:t>7826- دیوان نقیبی هروی أو شعره‏</w:t>
      </w:r>
      <w:bookmarkEnd w:id="10380"/>
    </w:p>
    <w:p>
      <w:pPr>
        <w:pStyle w:val="BookText"/>
      </w:pPr>
      <w:r>
        <w:rPr>
          <w:rFonts w:ascii="IRNazanin" w:hAnsi="IRNazanin" w:eastAsia="IRNazanin" w:cs="IRNazanin"/>
          <w:lang w:bidi="fa-IR"/>
          <w:color w:val="111111"/>
          <w:sz w:val="28"/>
          <w:szCs w:val="28"/>
          <w:rtl/>
        </w:rPr>
        <w:t xml:space="preserve">ذکر علی شیر رجلین بهذا الاسم فی (مجن 2:</w:t>
      </w:r>
    </w:p>
    <w:p>
      <w:pPr>
        <w:pStyle w:val="BookText"/>
      </w:pPr>
      <w:r>
        <w:rPr>
          <w:rFonts w:ascii="IRNazanin" w:hAnsi="IRNazanin" w:eastAsia="IRNazanin" w:cs="IRNazanin"/>
          <w:lang w:bidi="fa-IR"/>
          <w:color w:val="111111"/>
          <w:sz w:val="28"/>
          <w:szCs w:val="28"/>
          <w:rtl/>
        </w:rPr>
        <w:t xml:space="preserve">50 و 224) و قال فی حقه إنه ینظم بالفارسیة و الترکیة. و الآخر فی (مجن 3: 72 و 218) و قال کان ندیم عبد القادر النقیب.</w:t>
      </w:r>
    </w:p>
    <w:p>
      <w:pPr>
        <w:pStyle w:val="Heading3"/>
      </w:pPr>
      <w:bookmarkStart w:id="10381" w:name="_Toc9077"/>
      <w:r>
        <w:t>دیوان نقی أصفهانی‏</w:t>
      </w:r>
      <w:bookmarkEnd w:id="10381"/>
    </w:p>
    <w:p>
      <w:pPr>
        <w:pStyle w:val="BookText"/>
      </w:pPr>
      <w:r>
        <w:rPr>
          <w:rFonts w:ascii="IRNazanin" w:hAnsi="IRNazanin" w:eastAsia="IRNazanin" w:cs="IRNazanin"/>
          <w:lang w:bidi="fa-IR"/>
          <w:color w:val="111111"/>
          <w:sz w:val="28"/>
          <w:szCs w:val="28"/>
          <w:rtl/>
        </w:rPr>
        <w:t xml:space="preserve">راجع نیازی أصفهانی.</w:t>
      </w:r>
    </w:p>
    <w:p>
      <w:pPr>
        <w:pStyle w:val="Heading3"/>
      </w:pPr>
      <w:bookmarkStart w:id="10382" w:name="_Toc9078"/>
      <w:r>
        <w:t>7827- دیوان نقی بروجردی أو شعره‏</w:t>
      </w:r>
      <w:bookmarkEnd w:id="10382"/>
    </w:p>
    <w:p>
      <w:pPr>
        <w:pStyle w:val="BookText"/>
      </w:pPr>
      <w:r>
        <w:rPr>
          <w:rFonts w:ascii="IRNazanin" w:hAnsi="IRNazanin" w:eastAsia="IRNazanin" w:cs="IRNazanin"/>
          <w:lang w:bidi="fa-IR"/>
          <w:color w:val="111111"/>
          <w:sz w:val="28"/>
          <w:szCs w:val="28"/>
          <w:rtl/>
        </w:rPr>
        <w:t xml:space="preserve">له عین البکاء کذا نقل فی فرهنگ سخنوران عن الزنوزی فی الروضة الخامسة من ریاض الجنة، و قد ذکرنا عین البکاء فی ج 15 ص 367 للمولی محمد تقی البروجردی ألفه 1099.</w:t>
      </w:r>
    </w:p>
    <w:p>
      <w:pPr>
        <w:pStyle w:val="Heading3"/>
      </w:pPr>
      <w:bookmarkStart w:id="10383" w:name="_Toc9079"/>
      <w:r>
        <w:t>7828- دیوان نقی سهرندی أو شعره‏</w:t>
      </w:r>
      <w:bookmarkEnd w:id="10383"/>
    </w:p>
    <w:p>
      <w:pPr>
        <w:pStyle w:val="BookText"/>
      </w:pPr>
      <w:r>
        <w:rPr>
          <w:rFonts w:ascii="IRNazanin" w:hAnsi="IRNazanin" w:eastAsia="IRNazanin" w:cs="IRNazanin"/>
          <w:lang w:bidi="fa-IR"/>
          <w:color w:val="111111"/>
          <w:sz w:val="28"/>
          <w:szCs w:val="28"/>
          <w:rtl/>
        </w:rPr>
        <w:t xml:space="preserve">و اسمه محمد نقی ابن شاه گل الهندی. ترجم و أورد شعره فی (گلشن- ص 537).</w:t>
      </w:r>
    </w:p>
    <w:p>
      <w:pPr>
        <w:pStyle w:val="Heading3"/>
      </w:pPr>
      <w:bookmarkStart w:id="10384" w:name="_Toc9080"/>
      <w:r>
        <w:t>7829- دیوان نقی کمره‏ای گلپایگانی الشیرازی الأصفهانی‏</w:t>
      </w:r>
      <w:bookmarkEnd w:id="10384"/>
    </w:p>
    <w:p>
      <w:pPr>
        <w:pStyle w:val="BookText"/>
      </w:pPr>
      <w:r>
        <w:rPr>
          <w:rFonts w:ascii="IRNazanin" w:hAnsi="IRNazanin" w:eastAsia="IRNazanin" w:cs="IRNazanin"/>
          <w:lang w:bidi="fa-IR"/>
          <w:color w:val="111111"/>
          <w:sz w:val="28"/>
          <w:szCs w:val="28"/>
          <w:rtl/>
        </w:rPr>
        <w:t xml:space="preserve">. و هو الشیخ زین الدین علی نقی بن الشیخ أبی العلاء محمد هاشم الطغائی الفراهانی. و فی ریاض العلماء ترجمه‏
</w:t>
      </w:r>
    </w:p>
    <w:p>
      <w:pPr>
        <w:sectPr>
          <w:footerReference w:type="default" r:id="rId1231"/>
          <w:footnotePr>
            <w:numStart w:val="1"/>
            <w:numRestart w:val="eachPage"/>
          </w:footnotePr>
          <w:pgSz w:orient="portrait" w:w="11905.511811023622" w:h="16837.79527559055"/>
          <w:pgMar w:top="1440" w:right="1440" w:bottom="1440" w:left="1440" w:header="720" w:footer="720" w:gutter="0"/>
          <w:cols w:num="1" w:space="720"/>
        </w:sectPr>
      </w:pPr>
    </w:p>
    <w:bookmarkStart w:id="1206" w:name="pg11704_122699"/>
    <w:bookmarkEnd w:id="1206"/>
    <w:p>
      <w:pPr>
        <w:pStyle w:val="BookText"/>
      </w:pPr>
      <w:r>
        <w:rPr>
          <w:rFonts w:ascii="IRNazanin" w:hAnsi="IRNazanin" w:eastAsia="IRNazanin" w:cs="IRNazanin"/>
          <w:lang w:bidi="fa-IR"/>
          <w:color w:val="111111"/>
          <w:sz w:val="28"/>
          <w:szCs w:val="28"/>
          <w:rtl/>
        </w:rPr>
        <w:t xml:space="preserve">مفصلا و ذکر کونه قاضی شیراز فی عصر الشاه صفی و صار شیخ الإسلام بأصفهان فی عصر الشاه عباس الثانی و بها توفی سنة ستین و ألف. و ترجمه الصادقی فی (خص 8- ص 166) و أورد نیفا و عشرین من شعره فیها التصریح بتخلصه نقی و ذکر أن المحتشم المتوفی حدود 1000 قال فی حقه:</w:t>
      </w:r>
    </w:p>
    <w:p>
      <w:pPr>
        <w:pStyle w:val="BookText"/>
      </w:pPr>
      <w:r>
        <w:rPr>
          <w:rFonts w:ascii="IRNazanin" w:hAnsi="IRNazanin" w:eastAsia="IRNazanin" w:cs="IRNazanin"/>
          <w:lang w:bidi="fa-IR"/>
          <w:color w:val="111111"/>
          <w:sz w:val="28"/>
          <w:szCs w:val="28"/>
          <w:rtl/>
        </w:rPr>
        <w:t xml:space="preserve">فردا که علی نقی بیاید</w:t>
      </w:r>
    </w:p>
    <w:p>
      <w:pPr>
        <w:pStyle w:val="BookText"/>
      </w:pPr>
      <w:r>
        <w:rPr>
          <w:rFonts w:ascii="IRNazanin" w:hAnsi="IRNazanin" w:eastAsia="IRNazanin" w:cs="IRNazanin"/>
          <w:lang w:bidi="fa-IR"/>
          <w:color w:val="111111"/>
          <w:sz w:val="28"/>
          <w:szCs w:val="28"/>
          <w:rtl/>
        </w:rPr>
        <w:t xml:space="preserve">من رتبه شعر وا نمایم‏</w:t>
      </w:r>
    </w:p>
    <w:p>
      <w:pPr>
        <w:pStyle w:val="BookText"/>
      </w:pPr>
      <w:r>
        <w:rPr>
          <w:rFonts w:ascii="IRNazanin" w:hAnsi="IRNazanin" w:eastAsia="IRNazanin" w:cs="IRNazanin"/>
          <w:lang w:bidi="fa-IR"/>
          <w:color w:val="111111"/>
          <w:sz w:val="28"/>
          <w:szCs w:val="28"/>
          <w:rtl/>
        </w:rPr>
        <w:t xml:space="preserve">و قال فی (نر 9 و 15- 234- 235 و 523) أن آباءه کانوا من مشایخ کمرة و فی فصل القصائد من دیوانه الموجود فی (سپهسالار- 184) نقل تاریخ ولادته عن قول والده فی 1058 هکذا:</w:t>
      </w:r>
    </w:p>
    <w:p>
      <w:pPr>
        <w:pStyle w:val="BookText"/>
      </w:pPr>
      <w:r>
        <w:rPr>
          <w:rFonts w:ascii="IRNazanin" w:hAnsi="IRNazanin" w:eastAsia="IRNazanin" w:cs="IRNazanin"/>
          <w:lang w:bidi="fa-IR"/>
          <w:color w:val="111111"/>
          <w:sz w:val="28"/>
          <w:szCs w:val="28"/>
          <w:rtl/>
        </w:rPr>
        <w:t xml:space="preserve">فرزند علی نقی گزین در ثمین‏</w:t>
      </w:r>
    </w:p>
    <w:p>
      <w:pPr>
        <w:pStyle w:val="BookText"/>
      </w:pPr>
      <w:r>
        <w:rPr>
          <w:rFonts w:ascii="IRNazanin" w:hAnsi="IRNazanin" w:eastAsia="IRNazanin" w:cs="IRNazanin"/>
          <w:lang w:bidi="fa-IR"/>
          <w:color w:val="111111"/>
          <w:sz w:val="28"/>
          <w:szCs w:val="28"/>
          <w:rtl/>
        </w:rPr>
        <w:t xml:space="preserve">آمد بوجود و حظ وافر بیقین‏</w:t>
      </w:r>
    </w:p>
    <w:p>
      <w:pPr>
        <w:pStyle w:val="BookText"/>
      </w:pPr>
      <w:r>
        <w:rPr>
          <w:rFonts w:ascii="IRNazanin" w:hAnsi="IRNazanin" w:eastAsia="IRNazanin" w:cs="IRNazanin"/>
          <w:lang w:bidi="fa-IR"/>
          <w:color w:val="111111"/>
          <w:sz w:val="28"/>
          <w:szCs w:val="28"/>
          <w:rtl/>
        </w:rPr>
        <w:t xml:space="preserve">از دانش و دین و دولتش هست که هست‏</w:t>
      </w:r>
    </w:p>
    <w:p>
      <w:pPr>
        <w:pStyle w:val="BookText"/>
      </w:pPr>
      <w:r>
        <w:rPr>
          <w:rFonts w:ascii="IRNazanin" w:hAnsi="IRNazanin" w:eastAsia="IRNazanin" w:cs="IRNazanin"/>
          <w:lang w:bidi="fa-IR"/>
          <w:color w:val="111111"/>
          <w:sz w:val="28"/>
          <w:szCs w:val="28"/>
          <w:rtl/>
        </w:rPr>
        <w:t xml:space="preserve">تاریخ امام دانش و دولت و دین‏</w:t>
      </w:r>
    </w:p>
    <w:p>
      <w:pPr>
        <w:pStyle w:val="BookText"/>
      </w:pPr>
      <w:r>
        <w:rPr>
          <w:rFonts w:ascii="IRNazanin" w:hAnsi="IRNazanin" w:eastAsia="IRNazanin" w:cs="IRNazanin"/>
          <w:lang w:bidi="fa-IR"/>
          <w:color w:val="111111"/>
          <w:sz w:val="28"/>
          <w:szCs w:val="28"/>
          <w:rtl/>
        </w:rPr>
        <w:t xml:space="preserve">أما وفاته ففی ریاض العلماء و نجوم السماء و الأمل و المستدرک جاء 1060 و فی جمیع تذاکر الشعراء مثل (سرو- ص 43) و (خز- ص 440) و (تش- ص 208) و (مع 2: 49) و (خوش‏گو) و هفت إقلیم و (نتایج- ص 718) فجاء وفاته 1031 و لیس بصحیح لأنه ألف کتابه همم الثواقب فی 1044 للشاه صفی و یوجد فی (سپهسالار- 1845) کما فی فهرسها 1: 347- 350 و فی الکتاب اعتراضات شدیدة علی الشاه المذکور، و له مسار الشیعة أیضا فی (سپهسالار- 1846) و دیوانه موجود عند (الملک) و (سپهسالار- 184) و هذه النسخة فی 5300 بیت کما فی فهرس المکتبة 2: 642. و له قصیدة فی مدیح حاتم بیک اعتماد الدولة الأردوبادی المتوفی 1019 المذکور بتخلصه صافی أردوبادی فی ص 584. و له رسالة تحریم کشیدن غلیان و المقاصد العالیة فی الحکمة الیمانیة و الرد علی نوح أفندی الحنفی و حدوث العالم و حرمت نماز جمعة و له رثاء فی وفاة ابنه العالم الشیخ أبی الحسن الکمره‏إی. و قد هذب خلاصة الأشعار لتقی الکاشی و نسخته موجود عند (النفیسی) کما ذکره فی تعلیقاته علی لباب الألباب- ص 644.</w:t>
      </w:r>
    </w:p>
    <w:p>
      <w:pPr>
        <w:pStyle w:val="Heading3"/>
      </w:pPr>
      <w:bookmarkStart w:id="10385" w:name="_Toc9081"/>
      <w:r>
        <w:t>دیوان نقی لاهوری‏</w:t>
      </w:r>
      <w:bookmarkEnd w:id="10385"/>
    </w:p>
    <w:p>
      <w:pPr>
        <w:pStyle w:val="BookText"/>
      </w:pPr>
      <w:r>
        <w:rPr>
          <w:rFonts w:ascii="IRNazanin" w:hAnsi="IRNazanin" w:eastAsia="IRNazanin" w:cs="IRNazanin"/>
          <w:lang w:bidi="fa-IR"/>
          <w:color w:val="111111"/>
          <w:sz w:val="28"/>
          <w:szCs w:val="28"/>
          <w:rtl/>
        </w:rPr>
        <w:t xml:space="preserve">راجع لسانی لاهوری فی ص 943.</w:t>
      </w:r>
    </w:p>
    <w:p>
      <w:pPr>
        <w:pStyle w:val="Heading3"/>
      </w:pPr>
      <w:bookmarkStart w:id="10386" w:name="_Toc9082"/>
      <w:r>
        <w:t>7830- دیوان نقی مشهدی أو شعره‏</w:t>
      </w:r>
      <w:bookmarkEnd w:id="10386"/>
    </w:p>
    <w:p>
      <w:pPr>
        <w:pStyle w:val="BookText"/>
      </w:pPr>
      <w:r>
        <w:rPr>
          <w:rFonts w:ascii="IRNazanin" w:hAnsi="IRNazanin" w:eastAsia="IRNazanin" w:cs="IRNazanin"/>
          <w:lang w:bidi="fa-IR"/>
          <w:color w:val="111111"/>
          <w:sz w:val="28"/>
          <w:szCs w:val="28"/>
          <w:rtl/>
        </w:rPr>
        <w:t xml:space="preserve">ورد شعره فی (خوش‏گو).
</w:t>
      </w:r>
    </w:p>
    <w:p>
      <w:pPr>
        <w:sectPr>
          <w:footerReference w:type="default" r:id="rId1232"/>
          <w:footnotePr>
            <w:numStart w:val="1"/>
            <w:numRestart w:val="eachPage"/>
          </w:footnotePr>
          <w:pgSz w:orient="portrait" w:w="11905.511811023622" w:h="16837.79527559055"/>
          <w:pgMar w:top="1440" w:right="1440" w:bottom="1440" w:left="1440" w:header="720" w:footer="720" w:gutter="0"/>
          <w:cols w:num="1" w:space="720"/>
        </w:sectPr>
      </w:pPr>
    </w:p>
    <w:bookmarkStart w:id="1207" w:name="pg11704_122700"/>
    <w:bookmarkEnd w:id="1207"/>
    <w:p>
      <w:pPr>
        <w:pStyle w:val="Heading3"/>
      </w:pPr>
      <w:bookmarkStart w:id="10387" w:name="_Toc9083"/>
      <w:r>
        <w:t>7831- دیوان نقی ملتانی أو شعره‏</w:t>
      </w:r>
      <w:bookmarkEnd w:id="10387"/>
    </w:p>
    <w:p>
      <w:pPr>
        <w:pStyle w:val="BookText"/>
      </w:pPr>
      <w:r>
        <w:rPr>
          <w:rFonts w:ascii="IRNazanin" w:hAnsi="IRNazanin" w:eastAsia="IRNazanin" w:cs="IRNazanin"/>
          <w:lang w:bidi="fa-IR"/>
          <w:color w:val="111111"/>
          <w:sz w:val="28"/>
          <w:szCs w:val="28"/>
          <w:rtl/>
        </w:rPr>
        <w:t xml:space="preserve">ورد شعره أیضا فی (خوش‏گو).</w:t>
      </w:r>
    </w:p>
    <w:p>
      <w:pPr>
        <w:pStyle w:val="Heading3"/>
      </w:pPr>
      <w:bookmarkStart w:id="10388" w:name="_Toc9084"/>
      <w:r>
        <w:t>7832- دیوان نقی همدانی أو شعره‏</w:t>
      </w:r>
      <w:bookmarkEnd w:id="10388"/>
    </w:p>
    <w:p>
      <w:pPr>
        <w:pStyle w:val="BookText"/>
      </w:pPr>
      <w:r>
        <w:rPr>
          <w:rFonts w:ascii="IRNazanin" w:hAnsi="IRNazanin" w:eastAsia="IRNazanin" w:cs="IRNazanin"/>
          <w:lang w:bidi="fa-IR"/>
          <w:color w:val="111111"/>
          <w:sz w:val="28"/>
          <w:szCs w:val="28"/>
          <w:rtl/>
        </w:rPr>
        <w:t xml:space="preserve">ورد شعره فی همیشه بهار.</w:t>
      </w:r>
    </w:p>
    <w:p>
      <w:pPr>
        <w:pStyle w:val="Heading3"/>
      </w:pPr>
      <w:bookmarkStart w:id="10389" w:name="_Toc9085"/>
      <w:r>
        <w:t>7833- دیوان نکتی لاهوری أو شعره‏</w:t>
      </w:r>
      <w:bookmarkEnd w:id="10389"/>
    </w:p>
    <w:p>
      <w:pPr>
        <w:pStyle w:val="BookText"/>
      </w:pPr>
      <w:r>
        <w:rPr>
          <w:rFonts w:ascii="IRNazanin" w:hAnsi="IRNazanin" w:eastAsia="IRNazanin" w:cs="IRNazanin"/>
          <w:lang w:bidi="fa-IR"/>
          <w:color w:val="111111"/>
          <w:sz w:val="28"/>
          <w:szCs w:val="28"/>
          <w:rtl/>
        </w:rPr>
        <w:t xml:space="preserve">و هو أبو عبد الله روزبه بن عبد الله. ترجمه العوفی فی (لب) و الرازی فی هفت إقلیم. و (گلشن- ص 538).</w:t>
      </w:r>
    </w:p>
    <w:p>
      <w:pPr>
        <w:pStyle w:val="Heading3"/>
      </w:pPr>
      <w:bookmarkStart w:id="10390" w:name="_Toc9086"/>
      <w:r>
        <w:t>7834- دیوان نکویی هروی أو شعره‏</w:t>
      </w:r>
      <w:bookmarkEnd w:id="10390"/>
    </w:p>
    <w:p>
      <w:pPr>
        <w:pStyle w:val="BookText"/>
      </w:pPr>
      <w:r>
        <w:rPr>
          <w:rFonts w:ascii="IRNazanin" w:hAnsi="IRNazanin" w:eastAsia="IRNazanin" w:cs="IRNazanin"/>
          <w:lang w:bidi="fa-IR"/>
          <w:color w:val="111111"/>
          <w:sz w:val="28"/>
          <w:szCs w:val="28"/>
          <w:rtl/>
        </w:rPr>
        <w:t xml:space="preserve">کان صانع الحلویات فعرف بحلوائی. ورد شعره فی (گلشن- ص 538).</w:t>
      </w:r>
    </w:p>
    <w:p>
      <w:pPr>
        <w:pStyle w:val="Heading3"/>
      </w:pPr>
      <w:bookmarkStart w:id="10391" w:name="_Toc9087"/>
      <w:r>
        <w:t>7835- دیوان نکهت أردبیلی أو شعره‏</w:t>
      </w:r>
      <w:bookmarkEnd w:id="10391"/>
    </w:p>
    <w:p>
      <w:pPr>
        <w:pStyle w:val="BookText"/>
      </w:pPr>
      <w:r>
        <w:rPr>
          <w:rFonts w:ascii="IRNazanin" w:hAnsi="IRNazanin" w:eastAsia="IRNazanin" w:cs="IRNazanin"/>
          <w:lang w:bidi="fa-IR"/>
          <w:color w:val="111111"/>
          <w:sz w:val="28"/>
          <w:szCs w:val="28"/>
          <w:rtl/>
        </w:rPr>
        <w:t xml:space="preserve">ترجمه و أورد شعره (حسینی- ص 356) و (دجا- ص 388) عن بیاض صائب.</w:t>
      </w:r>
    </w:p>
    <w:p>
      <w:pPr>
        <w:pStyle w:val="Heading3"/>
      </w:pPr>
      <w:bookmarkStart w:id="10392" w:name="_Toc9088"/>
      <w:r>
        <w:t>7836- دیوان نکهت برهان‏پوری أو شعره‏</w:t>
      </w:r>
      <w:bookmarkEnd w:id="10392"/>
    </w:p>
    <w:p>
      <w:pPr>
        <w:pStyle w:val="BookText"/>
      </w:pPr>
      <w:r>
        <w:rPr>
          <w:rFonts w:ascii="IRNazanin" w:hAnsi="IRNazanin" w:eastAsia="IRNazanin" w:cs="IRNazanin"/>
          <w:lang w:bidi="fa-IR"/>
          <w:color w:val="111111"/>
          <w:sz w:val="28"/>
          <w:szCs w:val="28"/>
          <w:rtl/>
        </w:rPr>
        <w:t xml:space="preserve">و اسمه محمد یوسف المعروف بسخنور خان.</w:t>
      </w:r>
    </w:p>
    <w:p>
      <w:pPr>
        <w:pStyle w:val="BookText"/>
      </w:pPr>
      <w:r>
        <w:rPr>
          <w:rFonts w:ascii="IRNazanin" w:hAnsi="IRNazanin" w:eastAsia="IRNazanin" w:cs="IRNazanin"/>
          <w:lang w:bidi="fa-IR"/>
          <w:color w:val="111111"/>
          <w:sz w:val="28"/>
          <w:szCs w:val="28"/>
          <w:rtl/>
        </w:rPr>
        <w:t xml:space="preserve">ترجم فی (حسینی- ص 357) و (خز- ص 442) و (مسرت- 483) و فی (خز- ص 442) ذکر اتصاله بمحمد شاه و قال توفی 1150.</w:t>
      </w:r>
    </w:p>
    <w:p>
      <w:pPr>
        <w:pStyle w:val="Heading3"/>
      </w:pPr>
      <w:bookmarkStart w:id="10393" w:name="_Toc9089"/>
      <w:r>
        <w:t>دیوان نکهت بیگدلی‏</w:t>
      </w:r>
      <w:bookmarkEnd w:id="10393"/>
    </w:p>
    <w:p>
      <w:pPr>
        <w:pStyle w:val="BookText"/>
      </w:pPr>
      <w:r>
        <w:rPr>
          <w:rFonts w:ascii="IRNazanin" w:hAnsi="IRNazanin" w:eastAsia="IRNazanin" w:cs="IRNazanin"/>
          <w:lang w:bidi="fa-IR"/>
          <w:color w:val="111111"/>
          <w:sz w:val="28"/>
          <w:szCs w:val="28"/>
          <w:rtl/>
        </w:rPr>
        <w:t xml:space="preserve">هو التخلص السابق لآذر المذکور فی ص 3.</w:t>
      </w:r>
    </w:p>
    <w:p>
      <w:pPr>
        <w:pStyle w:val="Heading3"/>
      </w:pPr>
      <w:bookmarkStart w:id="10394" w:name="_Toc9090"/>
      <w:r>
        <w:t>7837- دیوان نکهت سمرقندی أو شعره‏</w:t>
      </w:r>
      <w:bookmarkEnd w:id="10394"/>
    </w:p>
    <w:p>
      <w:pPr>
        <w:pStyle w:val="BookText"/>
      </w:pPr>
      <w:r>
        <w:rPr>
          <w:rFonts w:ascii="IRNazanin" w:hAnsi="IRNazanin" w:eastAsia="IRNazanin" w:cs="IRNazanin"/>
          <w:lang w:bidi="fa-IR"/>
          <w:color w:val="111111"/>
          <w:sz w:val="28"/>
          <w:szCs w:val="28"/>
          <w:rtl/>
        </w:rPr>
        <w:t xml:space="preserve">توفی 1082 و قال ملیحا المذکور فی ص 1102 فیه [از دار فنا نمود رحلت‏] ورد شعره فی (نر 10- ص 440) و (گلشن- ص 539).</w:t>
      </w:r>
    </w:p>
    <w:p>
      <w:pPr>
        <w:pStyle w:val="Heading3"/>
      </w:pPr>
      <w:bookmarkStart w:id="10395" w:name="_Toc9091"/>
      <w:r>
        <w:t>7838- دیوان نکهت شیرازی أو شعره‏</w:t>
      </w:r>
      <w:bookmarkEnd w:id="10395"/>
    </w:p>
    <w:p>
      <w:pPr>
        <w:pStyle w:val="BookText"/>
      </w:pPr>
      <w:r>
        <w:rPr>
          <w:rFonts w:ascii="IRNazanin" w:hAnsi="IRNazanin" w:eastAsia="IRNazanin" w:cs="IRNazanin"/>
          <w:lang w:bidi="fa-IR"/>
          <w:color w:val="111111"/>
          <w:sz w:val="28"/>
          <w:szCs w:val="28"/>
          <w:rtl/>
        </w:rPr>
        <w:t xml:space="preserve">سافر إلی الهند و رجع. ورد شعره فی (گلشن- ص 538) و لعله الذی سمی فی مقالات الشعراء- ص 819 بآقا رضا و قال مات 1166.</w:t>
      </w:r>
    </w:p>
    <w:p>
      <w:pPr>
        <w:pStyle w:val="Heading3"/>
      </w:pPr>
      <w:bookmarkStart w:id="10396" w:name="_Toc9092"/>
      <w:r>
        <w:t>7839- دیوان نکهت کرمانی أو شعره‏</w:t>
      </w:r>
      <w:bookmarkEnd w:id="10396"/>
    </w:p>
    <w:p>
      <w:pPr>
        <w:pStyle w:val="BookText"/>
      </w:pPr>
      <w:r>
        <w:rPr>
          <w:rFonts w:ascii="IRNazanin" w:hAnsi="IRNazanin" w:eastAsia="IRNazanin" w:cs="IRNazanin"/>
          <w:lang w:bidi="fa-IR"/>
          <w:color w:val="111111"/>
          <w:sz w:val="28"/>
          <w:szCs w:val="28"/>
          <w:rtl/>
        </w:rPr>
        <w:t xml:space="preserve">و اسمه محمد بیگ. قتله نادر شاه فی جملة من الفضلاء. ورد شعره فی (گلشن- 538).</w:t>
      </w:r>
    </w:p>
    <w:p>
      <w:pPr>
        <w:pStyle w:val="Heading3"/>
      </w:pPr>
      <w:bookmarkStart w:id="10397" w:name="_Toc9093"/>
      <w:r>
        <w:t>7840- دیوان نکهت لکهنوی أو شعره‏</w:t>
      </w:r>
      <w:bookmarkEnd w:id="10397"/>
    </w:p>
    <w:p>
      <w:pPr>
        <w:pStyle w:val="BookText"/>
      </w:pPr>
      <w:r>
        <w:rPr>
          <w:rFonts w:ascii="IRNazanin" w:hAnsi="IRNazanin" w:eastAsia="IRNazanin" w:cs="IRNazanin"/>
          <w:lang w:bidi="fa-IR"/>
          <w:color w:val="111111"/>
          <w:sz w:val="28"/>
          <w:szCs w:val="28"/>
          <w:rtl/>
        </w:rPr>
        <w:t xml:space="preserve">و اسمه قاضی ظهور الحسن خان بن تجمل حسین خان. ولد 1276 و ورد شعره فی (روشن- ص 711).</w:t>
      </w:r>
    </w:p>
    <w:p>
      <w:pPr>
        <w:pStyle w:val="Heading3"/>
      </w:pPr>
      <w:bookmarkStart w:id="10398" w:name="_Toc9094"/>
      <w:r>
        <w:t>7841- دیوان نکهتی شیرازی‏</w:t>
      </w:r>
      <w:bookmarkEnd w:id="10398"/>
    </w:p>
    <w:p>
      <w:pPr>
        <w:pStyle w:val="BookText"/>
      </w:pPr>
      <w:r>
        <w:rPr>
          <w:rFonts w:ascii="IRNazanin" w:hAnsi="IRNazanin" w:eastAsia="IRNazanin" w:cs="IRNazanin"/>
          <w:lang w:bidi="fa-IR"/>
          <w:color w:val="111111"/>
          <w:sz w:val="28"/>
          <w:szCs w:val="28"/>
          <w:rtl/>
        </w:rPr>
        <w:t xml:space="preserve">ترجمه النصرآبادی فی (نر 9- 388) و قال جاء إلی أصفهان قبل سنین و یزعم أنه أشعر من أنوری، و سافر إلی الهند و انقطع خبره.</w:t>
      </w:r>
    </w:p>
    <w:p>
      <w:pPr>
        <w:pStyle w:val="BookText"/>
      </w:pPr>
      <w:r>
        <w:rPr>
          <w:rFonts w:ascii="IRNazanin" w:hAnsi="IRNazanin" w:eastAsia="IRNazanin" w:cs="IRNazanin"/>
          <w:lang w:bidi="fa-IR"/>
          <w:color w:val="111111"/>
          <w:sz w:val="28"/>
          <w:szCs w:val="28"/>
          <w:rtl/>
        </w:rPr>
        <w:t xml:space="preserve">و عنه أخذ فی (گلشن- ص 538).
</w:t>
      </w:r>
    </w:p>
    <w:p>
      <w:pPr>
        <w:sectPr>
          <w:footerReference w:type="default" r:id="rId1233"/>
          <w:footnotePr>
            <w:numStart w:val="1"/>
            <w:numRestart w:val="eachPage"/>
          </w:footnotePr>
          <w:pgSz w:orient="portrait" w:w="11905.511811023622" w:h="16837.79527559055"/>
          <w:pgMar w:top="1440" w:right="1440" w:bottom="1440" w:left="1440" w:header="720" w:footer="720" w:gutter="0"/>
          <w:cols w:num="1" w:space="720"/>
        </w:sectPr>
      </w:pPr>
    </w:p>
    <w:bookmarkStart w:id="1208" w:name="pg11704_122701"/>
    <w:bookmarkEnd w:id="1208"/>
    <w:p>
      <w:pPr>
        <w:pStyle w:val="Heading3"/>
      </w:pPr>
      <w:bookmarkStart w:id="10399" w:name="_Toc9095"/>
      <w:r>
        <w:t>7842- دیوان نگار هندی‏</w:t>
      </w:r>
      <w:bookmarkEnd w:id="10399"/>
    </w:p>
    <w:p>
      <w:pPr>
        <w:pStyle w:val="BookText"/>
      </w:pPr>
      <w:r>
        <w:rPr>
          <w:rFonts w:ascii="IRNazanin" w:hAnsi="IRNazanin" w:eastAsia="IRNazanin" w:cs="IRNazanin"/>
          <w:lang w:bidi="fa-IR"/>
          <w:color w:val="111111"/>
          <w:sz w:val="28"/>
          <w:szCs w:val="28"/>
          <w:rtl/>
        </w:rPr>
        <w:t xml:space="preserve">لبابوج گوپال. طبع فی 1862 م. کما فی فهرس بنگاله.</w:t>
      </w:r>
    </w:p>
    <w:p>
      <w:pPr>
        <w:pStyle w:val="Heading3"/>
      </w:pPr>
      <w:bookmarkStart w:id="10400" w:name="_Toc9096"/>
      <w:r>
        <w:t>7843- دیوان نگار شروانی‏</w:t>
      </w:r>
      <w:bookmarkEnd w:id="10400"/>
    </w:p>
    <w:p>
      <w:pPr>
        <w:pStyle w:val="BookText"/>
      </w:pPr>
      <w:r>
        <w:rPr>
          <w:rFonts w:ascii="IRNazanin" w:hAnsi="IRNazanin" w:eastAsia="IRNazanin" w:cs="IRNazanin"/>
          <w:lang w:bidi="fa-IR"/>
          <w:color w:val="111111"/>
          <w:sz w:val="28"/>
          <w:szCs w:val="28"/>
          <w:rtl/>
        </w:rPr>
        <w:t xml:space="preserve">و اسمه حمزة بن عبد الله الشیروانی المتوفی 1304.</w:t>
      </w:r>
    </w:p>
    <w:p>
      <w:pPr>
        <w:pStyle w:val="BookText"/>
      </w:pPr>
      <w:r>
        <w:rPr>
          <w:rFonts w:ascii="IRNazanin" w:hAnsi="IRNazanin" w:eastAsia="IRNazanin" w:cs="IRNazanin"/>
          <w:lang w:bidi="fa-IR"/>
          <w:color w:val="111111"/>
          <w:sz w:val="28"/>
          <w:szCs w:val="28"/>
          <w:rtl/>
        </w:rPr>
        <w:t xml:space="preserve">ترجم فی هدیة العارفین 1: 339.</w:t>
      </w:r>
    </w:p>
    <w:p>
      <w:pPr>
        <w:pStyle w:val="Heading3"/>
      </w:pPr>
      <w:bookmarkStart w:id="10401" w:name="_Toc9097"/>
      <w:r>
        <w:t>7844- دیوان نگاهی ابرقوهی أو شعره‏</w:t>
      </w:r>
      <w:bookmarkEnd w:id="10401"/>
    </w:p>
    <w:p>
      <w:pPr>
        <w:pStyle w:val="BookText"/>
      </w:pPr>
      <w:r>
        <w:rPr>
          <w:rFonts w:ascii="IRNazanin" w:hAnsi="IRNazanin" w:eastAsia="IRNazanin" w:cs="IRNazanin"/>
          <w:lang w:bidi="fa-IR"/>
          <w:color w:val="111111"/>
          <w:sz w:val="28"/>
          <w:szCs w:val="28"/>
          <w:rtl/>
        </w:rPr>
        <w:t xml:space="preserve">الکاتب الهروی، تشرف إلی الحج. ترجمه سام میرزا فی (تس 5- ص 161) و (گلشن- ص 539).</w:t>
      </w:r>
    </w:p>
    <w:p>
      <w:pPr>
        <w:pStyle w:val="Heading3"/>
      </w:pPr>
      <w:bookmarkStart w:id="10402" w:name="_Toc9098"/>
      <w:r>
        <w:t>7845- دیوان نگاهی أرانی أو شعره‏</w:t>
      </w:r>
      <w:bookmarkEnd w:id="10402"/>
    </w:p>
    <w:p>
      <w:pPr>
        <w:pStyle w:val="BookText"/>
      </w:pPr>
      <w:r>
        <w:rPr>
          <w:rFonts w:ascii="IRNazanin" w:hAnsi="IRNazanin" w:eastAsia="IRNazanin" w:cs="IRNazanin"/>
          <w:lang w:bidi="fa-IR"/>
          <w:color w:val="111111"/>
          <w:sz w:val="28"/>
          <w:szCs w:val="28"/>
          <w:rtl/>
        </w:rPr>
        <w:t xml:space="preserve">من شعراء کاشان. جاء شعره فی همیشه بهار و خلاصة الأشعار.</w:t>
      </w:r>
    </w:p>
    <w:p>
      <w:pPr>
        <w:pStyle w:val="Heading3"/>
      </w:pPr>
      <w:bookmarkStart w:id="10403" w:name="_Toc9099"/>
      <w:r>
        <w:t>7846- دیوان نگاهی بهبهانی أو شعره‏</w:t>
      </w:r>
      <w:bookmarkEnd w:id="10403"/>
    </w:p>
    <w:p>
      <w:pPr>
        <w:pStyle w:val="BookText"/>
      </w:pPr>
      <w:r>
        <w:rPr>
          <w:rFonts w:ascii="IRNazanin" w:hAnsi="IRNazanin" w:eastAsia="IRNazanin" w:cs="IRNazanin"/>
          <w:lang w:bidi="fa-IR"/>
          <w:color w:val="111111"/>
          <w:sz w:val="28"/>
          <w:szCs w:val="28"/>
          <w:rtl/>
        </w:rPr>
        <w:t xml:space="preserve">و اسمه میر محمد یوسف أطرأ شعره النصرآبادی فی (نر 5- ص 124) و (خوش‏گو) و (روشن- ص 712).</w:t>
      </w:r>
    </w:p>
    <w:p>
      <w:pPr>
        <w:pStyle w:val="Heading3"/>
      </w:pPr>
      <w:bookmarkStart w:id="10404" w:name="_Toc9100"/>
      <w:r>
        <w:t>7847- دیوان نگاهی نیشابوری أو شعره‏</w:t>
      </w:r>
      <w:bookmarkEnd w:id="10404"/>
    </w:p>
    <w:p>
      <w:pPr>
        <w:pStyle w:val="BookText"/>
      </w:pPr>
      <w:r>
        <w:rPr>
          <w:rFonts w:ascii="IRNazanin" w:hAnsi="IRNazanin" w:eastAsia="IRNazanin" w:cs="IRNazanin"/>
          <w:lang w:bidi="fa-IR"/>
          <w:color w:val="111111"/>
          <w:sz w:val="28"/>
          <w:szCs w:val="28"/>
          <w:rtl/>
        </w:rPr>
        <w:t xml:space="preserve">ترجم سام میرزا فی (تس 5- ص 144) و قال کان عیاشا، و کذا فی (گلشن- ص 539) و (مطلع 2: 178).</w:t>
      </w:r>
    </w:p>
    <w:p>
      <w:pPr>
        <w:pStyle w:val="Heading3"/>
      </w:pPr>
      <w:bookmarkStart w:id="10405" w:name="_Toc9101"/>
      <w:r>
        <w:t>دیوان نگاهی هروی‏</w:t>
      </w:r>
      <w:bookmarkEnd w:id="10405"/>
    </w:p>
    <w:p>
      <w:pPr>
        <w:pStyle w:val="BookText"/>
      </w:pPr>
      <w:r>
        <w:rPr>
          <w:rFonts w:ascii="IRNazanin" w:hAnsi="IRNazanin" w:eastAsia="IRNazanin" w:cs="IRNazanin"/>
          <w:lang w:bidi="fa-IR"/>
          <w:color w:val="111111"/>
          <w:sz w:val="28"/>
          <w:szCs w:val="28"/>
          <w:rtl/>
        </w:rPr>
        <w:t xml:space="preserve">راجع نگاهی ابرقوهی.</w:t>
      </w:r>
    </w:p>
    <w:p>
      <w:pPr>
        <w:pStyle w:val="Heading3"/>
      </w:pPr>
      <w:bookmarkStart w:id="10406" w:name="_Toc9102"/>
      <w:r>
        <w:t>7848- دیوان نمکانی‏</w:t>
      </w:r>
      <w:bookmarkEnd w:id="10406"/>
    </w:p>
    <w:p>
      <w:pPr>
        <w:pStyle w:val="BookText"/>
      </w:pPr>
      <w:r>
        <w:rPr>
          <w:rFonts w:ascii="IRNazanin" w:hAnsi="IRNazanin" w:eastAsia="IRNazanin" w:cs="IRNazanin"/>
          <w:lang w:bidi="fa-IR"/>
          <w:color w:val="111111"/>
          <w:sz w:val="28"/>
          <w:szCs w:val="28"/>
          <w:rtl/>
        </w:rPr>
        <w:t xml:space="preserve">و اسمه فضلی نمگانی. له تذکره لشعراء ما وراء النهر فی القرنین الثانی عشر و الثالث عشر، سماها مجموعة شعرا ألفه 1236 و طبع بتاشکند فی 1320.</w:t>
      </w:r>
    </w:p>
    <w:p>
      <w:pPr>
        <w:pStyle w:val="Heading3"/>
      </w:pPr>
      <w:bookmarkStart w:id="10407" w:name="_Toc9103"/>
      <w:r>
        <w:t>7849- دیوان نواب بنارسی أو شعره‏</w:t>
      </w:r>
      <w:bookmarkEnd w:id="10407"/>
    </w:p>
    <w:p>
      <w:pPr>
        <w:pStyle w:val="BookText"/>
      </w:pPr>
      <w:r>
        <w:rPr>
          <w:rFonts w:ascii="IRNazanin" w:hAnsi="IRNazanin" w:eastAsia="IRNazanin" w:cs="IRNazanin"/>
          <w:lang w:bidi="fa-IR"/>
          <w:color w:val="111111"/>
          <w:sz w:val="28"/>
          <w:szCs w:val="28"/>
          <w:rtl/>
        </w:rPr>
        <w:t xml:space="preserve">و اسمه میر نواب ابن السید علی خان المرشدآبادی، تلمیذ صادق شرر و مهدی علی نیرنگ. ورد شعره فی (گلشن- ص 556).</w:t>
      </w:r>
    </w:p>
    <w:p>
      <w:pPr>
        <w:pStyle w:val="Heading3"/>
      </w:pPr>
      <w:bookmarkStart w:id="10408" w:name="_Toc9104"/>
      <w:r>
        <w:t>7850- دیوان نواب رضوی أو شعره‏</w:t>
      </w:r>
      <w:bookmarkEnd w:id="10408"/>
    </w:p>
    <w:p>
      <w:pPr>
        <w:pStyle w:val="BookText"/>
      </w:pPr>
      <w:r>
        <w:rPr>
          <w:rFonts w:ascii="IRNazanin" w:hAnsi="IRNazanin" w:eastAsia="IRNazanin" w:cs="IRNazanin"/>
          <w:lang w:bidi="fa-IR"/>
          <w:color w:val="111111"/>
          <w:sz w:val="28"/>
          <w:szCs w:val="28"/>
          <w:rtl/>
        </w:rPr>
        <w:t xml:space="preserve">و اسمه میرزا محمد صادق الیزدی صهر عبد الرضا خان أمیر مؤید. ترجمه آیتی فی (تش یز- ص 337) و قال هو ممدوح جیحون و یلقب بنواب رضوی الکبیر للتمیز بینه و بین سمیه و عدیله نواب مصلی.</w:t>
      </w:r>
    </w:p>
    <w:p>
      <w:pPr>
        <w:pStyle w:val="Heading3"/>
      </w:pPr>
      <w:bookmarkStart w:id="10409" w:name="_Toc9105"/>
      <w:r>
        <w:t>7851- دیوان نواب صفا</w:t>
      </w:r>
      <w:bookmarkEnd w:id="10409"/>
    </w:p>
    <w:p>
      <w:pPr>
        <w:pStyle w:val="BookText"/>
      </w:pPr>
      <w:r>
        <w:rPr>
          <w:rFonts w:ascii="IRNazanin" w:hAnsi="IRNazanin" w:eastAsia="IRNazanin" w:cs="IRNazanin"/>
          <w:lang w:bidi="fa-IR"/>
          <w:color w:val="111111"/>
          <w:sz w:val="28"/>
          <w:szCs w:val="28"/>
          <w:rtl/>
        </w:rPr>
        <w:t xml:space="preserve">و اسمه إسماعیل نواب صفوی و نواب صفا ولد بکرمانشاه 1303 ش. و طبع کثیر من أشعاره فی المجلات. ترجم فی کنگره نویسندگان- ص 105 و سخنوران نامی معاصر- ج 3 ص 302.</w:t>
      </w:r>
    </w:p>
    <w:p>
      <w:pPr>
        <w:pStyle w:val="Heading3"/>
      </w:pPr>
      <w:bookmarkStart w:id="10410" w:name="_Toc9106"/>
      <w:r>
        <w:t>7852- دیوان نواب قنوجی أو شعره‏</w:t>
      </w:r>
      <w:bookmarkEnd w:id="10410"/>
    </w:p>
    <w:p>
      <w:pPr>
        <w:pStyle w:val="BookText"/>
      </w:pPr>
      <w:r>
        <w:rPr>
          <w:rFonts w:ascii="IRNazanin" w:hAnsi="IRNazanin" w:eastAsia="IRNazanin" w:cs="IRNazanin"/>
          <w:lang w:bidi="fa-IR"/>
          <w:color w:val="111111"/>
          <w:sz w:val="28"/>
          <w:szCs w:val="28"/>
          <w:rtl/>
        </w:rPr>
        <w:t xml:space="preserve">و هو السید محمد صدیق حسن خان بن حسن بن علی مؤلف إتحاف النبلاء و شمع انجمن ولد 1248. أورد شعره ولده فی (گلشن-
</w:t>
      </w:r>
    </w:p>
    <w:p>
      <w:pPr>
        <w:sectPr>
          <w:footerReference w:type="default" r:id="rId1234"/>
          <w:footnotePr>
            <w:numStart w:val="1"/>
            <w:numRestart w:val="eachPage"/>
          </w:footnotePr>
          <w:pgSz w:orient="portrait" w:w="11905.511811023622" w:h="16837.79527559055"/>
          <w:pgMar w:top="1440" w:right="1440" w:bottom="1440" w:left="1440" w:header="720" w:footer="720" w:gutter="0"/>
          <w:cols w:num="1" w:space="720"/>
        </w:sectPr>
      </w:pPr>
    </w:p>
    <w:bookmarkStart w:id="1209" w:name="pg11704_122702"/>
    <w:bookmarkEnd w:id="1209"/>
    <w:p>
      <w:pPr>
        <w:pStyle w:val="BookText"/>
      </w:pPr>
      <w:r>
        <w:rPr>
          <w:rFonts w:ascii="IRNazanin" w:hAnsi="IRNazanin" w:eastAsia="IRNazanin" w:cs="IRNazanin"/>
          <w:lang w:bidi="fa-IR"/>
          <w:color w:val="111111"/>
          <w:sz w:val="28"/>
          <w:szCs w:val="28"/>
          <w:rtl/>
        </w:rPr>
        <w:t xml:space="preserve">ص 540- 556) و (روشن- ص 713).</w:t>
      </w:r>
    </w:p>
    <w:p>
      <w:pPr>
        <w:pStyle w:val="Heading3"/>
      </w:pPr>
      <w:bookmarkStart w:id="10411" w:name="_Toc9107"/>
      <w:r>
        <w:t>دیوان نواب یزدی‏</w:t>
      </w:r>
      <w:bookmarkEnd w:id="10411"/>
    </w:p>
    <w:p>
      <w:pPr>
        <w:pStyle w:val="BookText"/>
      </w:pPr>
      <w:r>
        <w:rPr>
          <w:rFonts w:ascii="IRNazanin" w:hAnsi="IRNazanin" w:eastAsia="IRNazanin" w:cs="IRNazanin"/>
          <w:lang w:bidi="fa-IR"/>
          <w:color w:val="111111"/>
          <w:sz w:val="28"/>
          <w:szCs w:val="28"/>
          <w:rtl/>
        </w:rPr>
        <w:t xml:space="preserve">راجع نواب رضوی.</w:t>
      </w:r>
    </w:p>
    <w:p>
      <w:pPr>
        <w:pStyle w:val="Heading3"/>
      </w:pPr>
      <w:bookmarkStart w:id="10412" w:name="_Toc9108"/>
      <w:r>
        <w:t>7853- دیوان نواب یزدی أو شعره‏</w:t>
      </w:r>
      <w:bookmarkEnd w:id="10412"/>
    </w:p>
    <w:p>
      <w:pPr>
        <w:pStyle w:val="BookText"/>
      </w:pPr>
      <w:r>
        <w:rPr>
          <w:rFonts w:ascii="IRNazanin" w:hAnsi="IRNazanin" w:eastAsia="IRNazanin" w:cs="IRNazanin"/>
          <w:lang w:bidi="fa-IR"/>
          <w:color w:val="111111"/>
          <w:sz w:val="28"/>
          <w:szCs w:val="28"/>
          <w:rtl/>
        </w:rPr>
        <w:t xml:space="preserve">و اسمه میرزا عبد العلی قال آیتی فی (تش یز- ص 337) إنه والد میرزا محسن و أحفاده کلهم شعراء مثله.</w:t>
      </w:r>
    </w:p>
    <w:p>
      <w:pPr>
        <w:pStyle w:val="Heading3"/>
      </w:pPr>
      <w:bookmarkStart w:id="10413" w:name="_Toc9109"/>
      <w:r>
        <w:t>7854- دیوان نوازش لکهنوی أو شعره‏</w:t>
      </w:r>
      <w:bookmarkEnd w:id="10413"/>
    </w:p>
    <w:p>
      <w:pPr>
        <w:pStyle w:val="BookText"/>
      </w:pPr>
      <w:r>
        <w:rPr>
          <w:rFonts w:ascii="IRNazanin" w:hAnsi="IRNazanin" w:eastAsia="IRNazanin" w:cs="IRNazanin"/>
          <w:lang w:bidi="fa-IR"/>
          <w:color w:val="111111"/>
          <w:sz w:val="28"/>
          <w:szCs w:val="28"/>
          <w:rtl/>
        </w:rPr>
        <w:t xml:space="preserve">و اسمه میرزا نوازش حسین خان بن حسین علی بن محمد ناصر، ورد شعره فی (گلشن- ص 556).</w:t>
      </w:r>
    </w:p>
    <w:p>
      <w:pPr>
        <w:pStyle w:val="Heading3"/>
      </w:pPr>
      <w:bookmarkStart w:id="10414" w:name="_Toc9110"/>
      <w:r>
        <w:t>7855- دیوان نوای أصفهانی‏</w:t>
      </w:r>
      <w:bookmarkEnd w:id="10414"/>
    </w:p>
    <w:p>
      <w:pPr>
        <w:pStyle w:val="BookText"/>
      </w:pPr>
      <w:r>
        <w:rPr>
          <w:rFonts w:ascii="IRNazanin" w:hAnsi="IRNazanin" w:eastAsia="IRNazanin" w:cs="IRNazanin"/>
          <w:lang w:bidi="fa-IR"/>
          <w:color w:val="111111"/>
          <w:sz w:val="28"/>
          <w:szCs w:val="28"/>
          <w:rtl/>
        </w:rPr>
        <w:t xml:space="preserve">و اسمه جعفر بن فضل الله نوابخش المتخلص نوا المولود 1293. طبع له نواهای جان گداز بأصفهان فی 1369 فی 96 ص. کما فی شعرای معاصر أصفهان- ص 511. و سخنوران نامی معاصر- ج 3 ص 298.</w:t>
      </w:r>
    </w:p>
    <w:p>
      <w:pPr>
        <w:pStyle w:val="Heading3"/>
      </w:pPr>
      <w:bookmarkStart w:id="10415" w:name="_Toc9111"/>
      <w:r>
        <w:t>7856- دیوان نوای بدیوانی‏</w:t>
      </w:r>
      <w:bookmarkEnd w:id="10415"/>
    </w:p>
    <w:p>
      <w:pPr>
        <w:pStyle w:val="BookText"/>
      </w:pPr>
      <w:r>
        <w:rPr>
          <w:rFonts w:ascii="IRNazanin" w:hAnsi="IRNazanin" w:eastAsia="IRNazanin" w:cs="IRNazanin"/>
          <w:lang w:bidi="fa-IR"/>
          <w:color w:val="111111"/>
          <w:sz w:val="28"/>
          <w:szCs w:val="28"/>
          <w:rtl/>
        </w:rPr>
        <w:t xml:space="preserve">و اسمه السید أحمد ظهور الله خان ابن المولوی دلیل الله الدهلوی تلمذ علی علماء بخارا و لکهنو، و صاحب محمد صادق أختر سافر إلی إیران فی 1229 فلقبه فتح علی شاه ب سعدی هند و رجع و مات بفرح‏آباد ترجمه معاصره الدنبلی فی نگارستان دارا و راوی گروسی فی (انجمن 4) و (گلشن- ص 539) و (مع 2: 527) و (مسرت- ص 552)</w:t>
      </w:r>
    </w:p>
    <w:p>
      <w:pPr>
        <w:pStyle w:val="Heading3"/>
      </w:pPr>
      <w:bookmarkStart w:id="10416" w:name="_Toc9112"/>
      <w:r>
        <w:t>دیوان نوای دهلوی‏</w:t>
      </w:r>
      <w:bookmarkEnd w:id="10416"/>
    </w:p>
    <w:p>
      <w:pPr>
        <w:pStyle w:val="BookText"/>
      </w:pPr>
      <w:r>
        <w:rPr>
          <w:rFonts w:ascii="IRNazanin" w:hAnsi="IRNazanin" w:eastAsia="IRNazanin" w:cs="IRNazanin"/>
          <w:lang w:bidi="fa-IR"/>
          <w:color w:val="111111"/>
          <w:sz w:val="28"/>
          <w:szCs w:val="28"/>
          <w:rtl/>
        </w:rPr>
        <w:t xml:space="preserve">راجع نوای بدیوانی‏</w:t>
      </w:r>
    </w:p>
    <w:p>
      <w:pPr>
        <w:pStyle w:val="Heading3"/>
      </w:pPr>
      <w:bookmarkStart w:id="10417" w:name="_Toc9113"/>
      <w:r>
        <w:t>7857- دیوان نوای شیرازی‏</w:t>
      </w:r>
      <w:bookmarkEnd w:id="10417"/>
    </w:p>
    <w:p>
      <w:pPr>
        <w:pStyle w:val="BookText"/>
      </w:pPr>
      <w:r>
        <w:rPr>
          <w:rFonts w:ascii="IRNazanin" w:hAnsi="IRNazanin" w:eastAsia="IRNazanin" w:cs="IRNazanin"/>
          <w:lang w:bidi="fa-IR"/>
          <w:color w:val="111111"/>
          <w:sz w:val="28"/>
          <w:szCs w:val="28"/>
          <w:rtl/>
        </w:rPr>
        <w:t xml:space="preserve">و هو تاج الشعراء میرزا حیدر علی بن محمد مهدی آسوده المذکور فی ص 6 ترجم فی (عم- ص 570)</w:t>
      </w:r>
    </w:p>
    <w:p>
      <w:pPr>
        <w:pStyle w:val="Heading3"/>
      </w:pPr>
      <w:bookmarkStart w:id="10418" w:name="_Toc9114"/>
      <w:r>
        <w:t>7858- دیوان نوای کاشانی أو شعره‏</w:t>
      </w:r>
      <w:bookmarkEnd w:id="10418"/>
    </w:p>
    <w:p>
      <w:pPr>
        <w:pStyle w:val="BookText"/>
      </w:pPr>
      <w:r>
        <w:rPr>
          <w:rFonts w:ascii="IRNazanin" w:hAnsi="IRNazanin" w:eastAsia="IRNazanin" w:cs="IRNazanin"/>
          <w:lang w:bidi="fa-IR"/>
          <w:color w:val="111111"/>
          <w:sz w:val="28"/>
          <w:szCs w:val="28"/>
          <w:rtl/>
        </w:rPr>
        <w:t xml:space="preserve">و اسمه درویش أورد هدایت شعره فی (مع 2: 527) و قال کان سیاحا نزل تبریز و ألف تذکره شعرا و لم یتم‏</w:t>
      </w:r>
    </w:p>
    <w:p>
      <w:pPr>
        <w:pStyle w:val="Heading3"/>
      </w:pPr>
      <w:bookmarkStart w:id="10419" w:name="_Toc9115"/>
      <w:r>
        <w:t>7859- دیوان نوائی بافقی أو شعره‏</w:t>
      </w:r>
      <w:bookmarkEnd w:id="10419"/>
    </w:p>
    <w:p>
      <w:pPr>
        <w:pStyle w:val="BookText"/>
      </w:pPr>
      <w:r>
        <w:rPr>
          <w:rFonts w:ascii="IRNazanin" w:hAnsi="IRNazanin" w:eastAsia="IRNazanin" w:cs="IRNazanin"/>
          <w:lang w:bidi="fa-IR"/>
          <w:color w:val="111111"/>
          <w:sz w:val="28"/>
          <w:szCs w:val="28"/>
          <w:rtl/>
        </w:rPr>
        <w:t xml:space="preserve">أورد آیتی شعره فی (تش یز- ص 336)</w:t>
      </w:r>
    </w:p>
    <w:p>
      <w:pPr>
        <w:pStyle w:val="Heading3"/>
      </w:pPr>
      <w:bookmarkStart w:id="10420" w:name="_Toc9116"/>
      <w:r>
        <w:t>دیوان نوائی جغتائی‏</w:t>
      </w:r>
      <w:bookmarkEnd w:id="10420"/>
    </w:p>
    <w:p>
      <w:pPr>
        <w:pStyle w:val="BookText"/>
      </w:pPr>
      <w:r>
        <w:rPr>
          <w:rFonts w:ascii="IRNazanin" w:hAnsi="IRNazanin" w:eastAsia="IRNazanin" w:cs="IRNazanin"/>
          <w:lang w:bidi="fa-IR"/>
          <w:color w:val="111111"/>
          <w:sz w:val="28"/>
          <w:szCs w:val="28"/>
          <w:rtl/>
        </w:rPr>
        <w:t xml:space="preserve">و هو المیر علی شیر النوائی المتخلص فی دواوینه الترکیة نوائی و فی الفارسیة فنائی و فانی کما مر فی 804 و 848 یوجد نسخ منه فی مکتبة السلطان عثمان الثالث بأستانبول و أخری عند (السبزواری بالکاظمیة) و (فخر الدین) و (ملک) و قد رأی سنگلاخ غزلیاته بخط محمد سبزواری فذکره فی (امتحان 1: 157)</w:t>
      </w:r>
    </w:p>
    <w:p>
      <w:pPr>
        <w:pStyle w:val="Heading3"/>
      </w:pPr>
      <w:bookmarkStart w:id="10421" w:name="_Toc9117"/>
      <w:r>
        <w:t>7860- دیوان نوائی خراسانی أو شعره‏</w:t>
      </w:r>
      <w:bookmarkEnd w:id="10421"/>
    </w:p>
    <w:p>
      <w:pPr>
        <w:pStyle w:val="BookText"/>
      </w:pPr>
      <w:r>
        <w:rPr>
          <w:rFonts w:ascii="IRNazanin" w:hAnsi="IRNazanin" w:eastAsia="IRNazanin" w:cs="IRNazanin"/>
          <w:lang w:bidi="fa-IR"/>
          <w:color w:val="111111"/>
          <w:sz w:val="28"/>
          <w:szCs w:val="28"/>
          <w:rtl/>
        </w:rPr>
        <w:t xml:space="preserve">ورد شعره فی (مجتس 6- ص 168)
</w:t>
      </w:r>
    </w:p>
    <w:p>
      <w:pPr>
        <w:sectPr>
          <w:footerReference w:type="default" r:id="rId1235"/>
          <w:footnotePr>
            <w:numStart w:val="1"/>
            <w:numRestart w:val="eachPage"/>
          </w:footnotePr>
          <w:pgSz w:orient="portrait" w:w="11905.511811023622" w:h="16837.79527559055"/>
          <w:pgMar w:top="1440" w:right="1440" w:bottom="1440" w:left="1440" w:header="720" w:footer="720" w:gutter="0"/>
          <w:cols w:num="1" w:space="720"/>
        </w:sectPr>
      </w:pPr>
    </w:p>
    <w:bookmarkStart w:id="1210" w:name="pg11704_122703"/>
    <w:bookmarkEnd w:id="1210"/>
    <w:p>
      <w:pPr>
        <w:pStyle w:val="Heading3"/>
      </w:pPr>
      <w:bookmarkStart w:id="10422" w:name="_Toc9118"/>
      <w:r>
        <w:t>7861- دیوان نوائی زرقانی أو شعره‏</w:t>
      </w:r>
      <w:bookmarkEnd w:id="10422"/>
    </w:p>
    <w:p>
      <w:pPr>
        <w:pStyle w:val="BookText"/>
      </w:pPr>
      <w:r>
        <w:rPr>
          <w:rFonts w:ascii="IRNazanin" w:hAnsi="IRNazanin" w:eastAsia="IRNazanin" w:cs="IRNazanin"/>
          <w:lang w:bidi="fa-IR"/>
          <w:color w:val="111111"/>
          <w:sz w:val="28"/>
          <w:szCs w:val="28"/>
          <w:rtl/>
        </w:rPr>
        <w:t xml:space="preserve">جاء شعره فی (عم- ص 260)</w:t>
      </w:r>
    </w:p>
    <w:p>
      <w:pPr>
        <w:pStyle w:val="Heading3"/>
      </w:pPr>
      <w:bookmarkStart w:id="10423" w:name="_Toc9119"/>
      <w:r>
        <w:t>7862- دیوان نوائی شیرازی أو شعره‏</w:t>
      </w:r>
      <w:bookmarkEnd w:id="10423"/>
    </w:p>
    <w:p>
      <w:pPr>
        <w:pStyle w:val="BookText"/>
      </w:pPr>
      <w:r>
        <w:rPr>
          <w:rFonts w:ascii="IRNazanin" w:hAnsi="IRNazanin" w:eastAsia="IRNazanin" w:cs="IRNazanin"/>
          <w:lang w:bidi="fa-IR"/>
          <w:color w:val="111111"/>
          <w:sz w:val="28"/>
          <w:szCs w:val="28"/>
          <w:rtl/>
        </w:rPr>
        <w:t xml:space="preserve">و اسمه میرزا مهدی المنشی بن ملا آقا بابا التاجر الشیرازی ترجم فی (عم- ص 571) و (فارس‏نامه 2: 152)</w:t>
      </w:r>
    </w:p>
    <w:p>
      <w:pPr>
        <w:pStyle w:val="Heading3"/>
      </w:pPr>
      <w:bookmarkStart w:id="10424" w:name="_Toc9120"/>
      <w:r>
        <w:t>7863- دیوان نوائی طهرانی‏</w:t>
      </w:r>
      <w:bookmarkEnd w:id="10424"/>
    </w:p>
    <w:p>
      <w:pPr>
        <w:pStyle w:val="BookText"/>
      </w:pPr>
      <w:r>
        <w:rPr>
          <w:rFonts w:ascii="IRNazanin" w:hAnsi="IRNazanin" w:eastAsia="IRNazanin" w:cs="IRNazanin"/>
          <w:lang w:bidi="fa-IR"/>
          <w:color w:val="111111"/>
          <w:sz w:val="28"/>
          <w:szCs w:val="28"/>
          <w:rtl/>
        </w:rPr>
        <w:t xml:space="preserve">و اسمه عزیز الله طبع له گل‏چین نوائی‏</w:t>
      </w:r>
    </w:p>
    <w:p>
      <w:pPr>
        <w:pStyle w:val="Heading3"/>
      </w:pPr>
      <w:bookmarkStart w:id="10425" w:name="_Toc9121"/>
      <w:r>
        <w:t>7864- دیوان نوائی کربلائی أو شعره‏</w:t>
      </w:r>
      <w:bookmarkEnd w:id="10425"/>
    </w:p>
    <w:p>
      <w:pPr>
        <w:pStyle w:val="BookText"/>
      </w:pPr>
      <w:r>
        <w:rPr>
          <w:rFonts w:ascii="IRNazanin" w:hAnsi="IRNazanin" w:eastAsia="IRNazanin" w:cs="IRNazanin"/>
          <w:lang w:bidi="fa-IR"/>
          <w:color w:val="111111"/>
          <w:sz w:val="28"/>
          <w:szCs w:val="28"/>
          <w:rtl/>
        </w:rPr>
        <w:t xml:space="preserve">ترجم فی هفت إقلیم فی فصل سبزوار و اسمه میرزا محمد علی شریف ابن أخ حسین قدسی کربلائی المذکور فی ص 878 و جاء شعره فی (خوش‏گو) و (گلشن- ص 540) قالوا و مات بأکبرآباد</w:t>
      </w:r>
    </w:p>
    <w:p>
      <w:pPr>
        <w:pStyle w:val="Heading3"/>
      </w:pPr>
      <w:bookmarkStart w:id="10426" w:name="_Toc9122"/>
      <w:r>
        <w:t>دیوان نوائی مازندرانی‏</w:t>
      </w:r>
      <w:bookmarkEnd w:id="10426"/>
    </w:p>
    <w:p>
      <w:pPr>
        <w:pStyle w:val="BookText"/>
      </w:pPr>
      <w:r>
        <w:rPr>
          <w:rFonts w:ascii="IRNazanin" w:hAnsi="IRNazanin" w:eastAsia="IRNazanin" w:cs="IRNazanin"/>
          <w:lang w:bidi="fa-IR"/>
          <w:color w:val="111111"/>
          <w:sz w:val="28"/>
          <w:szCs w:val="28"/>
          <w:rtl/>
        </w:rPr>
        <w:t xml:space="preserve">راجع نوائی نوائی‏</w:t>
      </w:r>
    </w:p>
    <w:p>
      <w:pPr>
        <w:pStyle w:val="Heading3"/>
      </w:pPr>
      <w:bookmarkStart w:id="10427" w:name="_Toc9123"/>
      <w:r>
        <w:t>7865- دیوان نوائی نوائی‏</w:t>
      </w:r>
      <w:bookmarkEnd w:id="10427"/>
    </w:p>
    <w:p>
      <w:pPr>
        <w:pStyle w:val="BookText"/>
      </w:pPr>
      <w:r>
        <w:rPr>
          <w:rFonts w:ascii="IRNazanin" w:hAnsi="IRNazanin" w:eastAsia="IRNazanin" w:cs="IRNazanin"/>
          <w:lang w:bidi="fa-IR"/>
          <w:color w:val="111111"/>
          <w:sz w:val="28"/>
          <w:szCs w:val="28"/>
          <w:rtl/>
        </w:rPr>
        <w:t xml:space="preserve">و نوا من قرأ مازندران اسمه محمد تقی بن رضا قلی منشی الممالک لفتح علی شاه المتخلص سلطانی المذکور فی ص 491 ترجمه هدایت فی (مع 2: 509) و نگارستان دارا</w:t>
      </w:r>
    </w:p>
    <w:p>
      <w:pPr>
        <w:pStyle w:val="Heading3"/>
      </w:pPr>
      <w:bookmarkStart w:id="10428" w:name="_Toc9124"/>
      <w:r>
        <w:t>دیوان نوائی یزدی‏</w:t>
      </w:r>
      <w:bookmarkEnd w:id="10428"/>
    </w:p>
    <w:p>
      <w:pPr>
        <w:pStyle w:val="BookText"/>
      </w:pPr>
      <w:r>
        <w:rPr>
          <w:rFonts w:ascii="IRNazanin" w:hAnsi="IRNazanin" w:eastAsia="IRNazanin" w:cs="IRNazanin"/>
          <w:lang w:bidi="fa-IR"/>
          <w:color w:val="111111"/>
          <w:sz w:val="28"/>
          <w:szCs w:val="28"/>
          <w:rtl/>
        </w:rPr>
        <w:t xml:space="preserve">راجع نوائی بافقی‏</w:t>
      </w:r>
    </w:p>
    <w:p>
      <w:pPr>
        <w:pStyle w:val="Heading3"/>
      </w:pPr>
      <w:bookmarkStart w:id="10429" w:name="_Toc9125"/>
      <w:r>
        <w:t>7866- دیوان نوائی قمی أو شعره‏</w:t>
      </w:r>
      <w:bookmarkEnd w:id="10429"/>
    </w:p>
    <w:p>
      <w:pPr>
        <w:pStyle w:val="BookText"/>
      </w:pPr>
      <w:r>
        <w:rPr>
          <w:rFonts w:ascii="IRNazanin" w:hAnsi="IRNazanin" w:eastAsia="IRNazanin" w:cs="IRNazanin"/>
          <w:lang w:bidi="fa-IR"/>
          <w:color w:val="111111"/>
          <w:sz w:val="28"/>
          <w:szCs w:val="28"/>
          <w:rtl/>
        </w:rPr>
        <w:t xml:space="preserve">و اسمه بابا سلطان الصوفی و کان ملازم شاه عباس الأول ورد شعره فی (گلشن- ص 540) و (خوش‏گو)</w:t>
      </w:r>
    </w:p>
    <w:p>
      <w:pPr>
        <w:pStyle w:val="Heading3"/>
      </w:pPr>
      <w:bookmarkStart w:id="10430" w:name="_Toc9126"/>
      <w:r>
        <w:t>7867- دیوان نوائی کاشانی أو شعره‏</w:t>
      </w:r>
      <w:bookmarkEnd w:id="10430"/>
    </w:p>
    <w:p>
      <w:pPr>
        <w:pStyle w:val="BookText"/>
      </w:pPr>
      <w:r>
        <w:rPr>
          <w:rFonts w:ascii="IRNazanin" w:hAnsi="IRNazanin" w:eastAsia="IRNazanin" w:cs="IRNazanin"/>
          <w:lang w:bidi="fa-IR"/>
          <w:color w:val="111111"/>
          <w:sz w:val="28"/>
          <w:szCs w:val="28"/>
          <w:rtl/>
        </w:rPr>
        <w:t xml:space="preserve">و اسمه ملا شمس الدین محمد ترجم فی (تس 4- ص 76) و (گلشن- ص 540) قالا کان ماهرا فی الصنائع و الخط و الشعر و هاجر إلی الهند</w:t>
      </w:r>
    </w:p>
    <w:p>
      <w:pPr>
        <w:pStyle w:val="Heading3"/>
      </w:pPr>
      <w:bookmarkStart w:id="10431" w:name="_Toc9127"/>
      <w:r>
        <w:t>7868- دیوان نوبخت‏</w:t>
      </w:r>
      <w:bookmarkEnd w:id="10431"/>
    </w:p>
    <w:p>
      <w:pPr>
        <w:pStyle w:val="BookText"/>
      </w:pPr>
      <w:r>
        <w:rPr>
          <w:rFonts w:ascii="IRNazanin" w:hAnsi="IRNazanin" w:eastAsia="IRNazanin" w:cs="IRNazanin"/>
          <w:lang w:bidi="fa-IR"/>
          <w:color w:val="111111"/>
          <w:sz w:val="28"/>
          <w:szCs w:val="28"/>
          <w:rtl/>
        </w:rPr>
        <w:t xml:space="preserve">لحبیب الله نوبخت طبع له پندنامه نوبخت بطهران 1346 فی 10 ص و ترجمه ایزد گشسب فی نامه سخنوران- ص 142</w:t>
      </w:r>
    </w:p>
    <w:p>
      <w:pPr>
        <w:pStyle w:val="Heading3"/>
      </w:pPr>
      <w:bookmarkStart w:id="10432" w:name="_Toc9128"/>
      <w:r>
        <w:t>7869- دیوان النوبختی‏</w:t>
      </w:r>
      <w:bookmarkEnd w:id="10432"/>
    </w:p>
    <w:p>
      <w:pPr>
        <w:pStyle w:val="BookText"/>
      </w:pPr>
      <w:r>
        <w:rPr>
          <w:rFonts w:ascii="IRNazanin" w:hAnsi="IRNazanin" w:eastAsia="IRNazanin" w:cs="IRNazanin"/>
          <w:lang w:bidi="fa-IR"/>
          <w:color w:val="111111"/>
          <w:sz w:val="28"/>
          <w:szCs w:val="28"/>
          <w:rtl/>
        </w:rPr>
        <w:t xml:space="preserve">لأبی عبد الله أحمد بن عبد الله النوبختی قال ابن الندیم إن له شعر قدر مائة ورقة</w:t>
      </w:r>
    </w:p>
    <w:p>
      <w:pPr>
        <w:pStyle w:val="Heading3"/>
      </w:pPr>
      <w:bookmarkStart w:id="10433" w:name="_Toc9129"/>
      <w:r>
        <w:t>7870- دیوان نوح أصفهانی أو شعره‏</w:t>
      </w:r>
      <w:bookmarkEnd w:id="10433"/>
    </w:p>
    <w:p>
      <w:pPr>
        <w:pStyle w:val="BookText"/>
      </w:pPr>
      <w:r>
        <w:rPr>
          <w:rFonts w:ascii="IRNazanin" w:hAnsi="IRNazanin" w:eastAsia="IRNazanin" w:cs="IRNazanin"/>
          <w:lang w:bidi="fa-IR"/>
          <w:color w:val="111111"/>
          <w:sz w:val="28"/>
          <w:szCs w:val="28"/>
          <w:rtl/>
        </w:rPr>
        <w:t xml:space="preserve">و اسمه هدایة الله دانشور العلوی بن میرزا مسیح ورد شعره فی شعرای معاصر أصفهان- ص 518 قال و توفی 1267</w:t>
      </w:r>
    </w:p>
    <w:p>
      <w:pPr>
        <w:pStyle w:val="Heading3"/>
      </w:pPr>
      <w:bookmarkStart w:id="10434" w:name="_Toc9130"/>
      <w:r>
        <w:t>7871- دیوان نوح فریدنی أو شعره‏</w:t>
      </w:r>
      <w:bookmarkEnd w:id="10434"/>
    </w:p>
    <w:p>
      <w:pPr>
        <w:pStyle w:val="BookText"/>
      </w:pPr>
      <w:r>
        <w:rPr>
          <w:rFonts w:ascii="IRNazanin" w:hAnsi="IRNazanin" w:eastAsia="IRNazanin" w:cs="IRNazanin"/>
          <w:lang w:bidi="fa-IR"/>
          <w:color w:val="111111"/>
          <w:sz w:val="28"/>
          <w:szCs w:val="28"/>
          <w:rtl/>
        </w:rPr>
        <w:t xml:space="preserve">و اسمه عبد الغنی النوحی ابن فتح الله النوحی ولد 1272 ش ترجمه و أورد شعره المهدوی فی شعرای معاصر أصفهان- ص 517
</w:t>
      </w:r>
    </w:p>
    <w:p>
      <w:pPr>
        <w:sectPr>
          <w:footerReference w:type="default" r:id="rId1236"/>
          <w:footnotePr>
            <w:numStart w:val="1"/>
            <w:numRestart w:val="eachPage"/>
          </w:footnotePr>
          <w:pgSz w:orient="portrait" w:w="11905.511811023622" w:h="16837.79527559055"/>
          <w:pgMar w:top="1440" w:right="1440" w:bottom="1440" w:left="1440" w:header="720" w:footer="720" w:gutter="0"/>
          <w:cols w:num="1" w:space="720"/>
        </w:sectPr>
      </w:pPr>
    </w:p>
    <w:bookmarkStart w:id="1211" w:name="pg11704_122706"/>
    <w:bookmarkEnd w:id="1211"/>
    <w:p>
      <w:pPr>
        <w:pStyle w:val="Heading3"/>
      </w:pPr>
      <w:bookmarkStart w:id="10435" w:name="_Toc9131"/>
      <w:r>
        <w:t>دیوان نور أصفهانی‏</w:t>
      </w:r>
      <w:bookmarkEnd w:id="10435"/>
    </w:p>
    <w:p>
      <w:pPr>
        <w:pStyle w:val="BookText"/>
      </w:pPr>
      <w:r>
        <w:rPr>
          <w:rFonts w:ascii="IRNazanin" w:hAnsi="IRNazanin" w:eastAsia="IRNazanin" w:cs="IRNazanin"/>
          <w:lang w:bidi="fa-IR"/>
          <w:color w:val="111111"/>
          <w:sz w:val="28"/>
          <w:szCs w:val="28"/>
          <w:rtl/>
        </w:rPr>
        <w:t xml:space="preserve">راجع نور علی شاه و نور الله رویدشتی‏</w:t>
      </w:r>
    </w:p>
    <w:p>
      <w:pPr>
        <w:pStyle w:val="Heading3"/>
      </w:pPr>
      <w:bookmarkStart w:id="10436" w:name="_Toc9132"/>
      <w:r>
        <w:t>7872- دیوان نور أکبرآبادی أو شعره‏</w:t>
      </w:r>
      <w:bookmarkEnd w:id="10436"/>
    </w:p>
    <w:p>
      <w:pPr>
        <w:pStyle w:val="BookText"/>
      </w:pPr>
      <w:r>
        <w:rPr>
          <w:rFonts w:ascii="IRNazanin" w:hAnsi="IRNazanin" w:eastAsia="IRNazanin" w:cs="IRNazanin"/>
          <w:lang w:bidi="fa-IR"/>
          <w:color w:val="111111"/>
          <w:sz w:val="28"/>
          <w:szCs w:val="28"/>
          <w:rtl/>
        </w:rPr>
        <w:t xml:space="preserve">و اسمه محمد نوربخش ورد شعره فی (گلشن- ص 557)</w:t>
      </w:r>
    </w:p>
    <w:p>
      <w:pPr>
        <w:pStyle w:val="Heading3"/>
      </w:pPr>
      <w:bookmarkStart w:id="10437" w:name="_Toc9133"/>
      <w:r>
        <w:t>7873- دیوان نوربخش خراسانی‏</w:t>
      </w:r>
      <w:bookmarkEnd w:id="10437"/>
    </w:p>
    <w:p>
      <w:pPr>
        <w:pStyle w:val="BookText"/>
      </w:pPr>
      <w:r>
        <w:rPr>
          <w:rFonts w:ascii="IRNazanin" w:hAnsi="IRNazanin" w:eastAsia="IRNazanin" w:cs="IRNazanin"/>
          <w:lang w:bidi="fa-IR"/>
          <w:color w:val="111111"/>
          <w:sz w:val="28"/>
          <w:szCs w:val="28"/>
          <w:rtl/>
        </w:rPr>
        <w:t xml:space="preserve">و هو محمد بن محمد بن عبد الله المنتهی نسبه إلی الإمام الکاظم بسبعة عشر أبا ولد أبوه فی قطیف وجده فی الحسا و نزل والده بعد زیارة مشهد خراسان إلی قائن و بها توطن و تزوج، فولد له السید محمد فی قائن 795 و حفظ القرآن و له سبع سنین، و لقبه نوربخش مراده الخواجة إسحاق الختلانی الذی هو مرید السید علی شهاب الدین الهمدانی و یتخلص فی بعض غزلیاته لحسوی و فی بعضها نوربخش ذکر جمیع ذلک القاضی فی مجالس المؤمنین و أورد مختصر ترجمه أحوال النوربخش عن تذکره محمد بن الحاج محمد السمرقندی، و ذکر ابتداء دعوته 826 فی بعض قلاع ختلان مع مراده الخواجة الختلانی المنتهیة إلی قتل الختلانی و حبس نوربخش کرارا فی سنین، ثم ذکر القاضی أن نوربخش نزل أخیرا إلی شهریار من محال ری فی قریة مولقانی- الظاهر أنه سولقان المعروف من نواحی طهران- و بها توفی 869 و ذکر أن الخواجة إسحاق لسیادته و تعصبه علی المتغلبین الظالمین سمی نوربخش بالمهدی لمصلحة الوقت، لکن التقدیر لم یوافقه و لذا کان ولده شاه قاسم فیض‏بخش بن</w:t>
      </w:r>
    </w:p>
    <w:p>
      <w:pPr>
        <w:pStyle w:val="BookText"/>
      </w:pPr>
      <w:r>
        <w:rPr>
          <w:rFonts w:ascii="IRNazanin" w:hAnsi="IRNazanin" w:eastAsia="IRNazanin" w:cs="IRNazanin"/>
          <w:lang w:bidi="fa-IR"/>
          <w:color w:val="111111"/>
          <w:sz w:val="28"/>
          <w:szCs w:val="28"/>
          <w:rtl/>
        </w:rPr>
        <w:t xml:space="preserve">نوربخش ینکر دعوی المهدویة من والده بتاتا أقول أما ولده الآخر السید جعفر بن السید محمد نوربخش فترجمه فی (مجن 4- ص 96 و 272) و ذکر أنه بعد مضی أربعین سنة من موت والده باق علی عقیدة مهدویة أبیه و عد آیتی السید محمد نوربخش من أهل یزد فترجمه فی (تش یز- ص 338) مع أنه مر تصریح القاضی فی المجالس المنقول عن تذکره السمرقندی بأن مولده قائن و لعله توهم کونه یزدیا من کلام حبیب السیر أن السید جعفر بن نوربخش ذهب من یزد إلی هراة و قدم قصیدته فی مدح الشاه سلطان حسین میرزا بایقرا و نال بجائزة وافرة و بالأخرة خرج مغضبا عن هراة إلی یزد و ذهب منها إلی العراق و بها توفی مع أنه لا یدل کلام حبیب السیر الأعلی أن ذهاب السید جعفر إلی هراة کان من طریق یزد و کذا إیابه إلیها ثم رواحة إلی عربستان (العراق) و لو کان نوربخش یزدیا کان علی‏
</w:t>
      </w:r>
    </w:p>
    <w:p>
      <w:pPr>
        <w:sectPr>
          <w:footerReference w:type="default" r:id="rId1237"/>
          <w:footnotePr>
            <w:numStart w:val="1"/>
            <w:numRestart w:val="eachPage"/>
          </w:footnotePr>
          <w:pgSz w:orient="portrait" w:w="11905.511811023622" w:h="16837.79527559055"/>
          <w:pgMar w:top="1440" w:right="1440" w:bottom="1440" w:left="1440" w:header="720" w:footer="720" w:gutter="0"/>
          <w:cols w:num="1" w:space="720"/>
        </w:sectPr>
      </w:pPr>
    </w:p>
    <w:bookmarkStart w:id="1212" w:name="pg11704_122709"/>
    <w:bookmarkEnd w:id="1212"/>
    <w:p>
      <w:pPr>
        <w:pStyle w:val="BookText"/>
      </w:pPr>
      <w:r>
        <w:rPr>
          <w:rFonts w:ascii="IRNazanin" w:hAnsi="IRNazanin" w:eastAsia="IRNazanin" w:cs="IRNazanin"/>
          <w:lang w:bidi="fa-IR"/>
          <w:color w:val="111111"/>
          <w:sz w:val="28"/>
          <w:szCs w:val="28"/>
          <w:rtl/>
        </w:rPr>
        <w:t xml:space="preserve">آیتی أن یذکر فی کتابه جملة من شعراء آل السید محمد نوربخش، مثل ولده شاه قاسم و ابنه شاه رضا و شاه صفی و فیض‏بخش و أمیر نصیبی و قد ترجم الجمیع الشیخ محمد حسین البیرجندی فی کتابه بهارستان فی تاریخ (قهستان ص 208 ص 214) و ترجم أیضا فی (ض- ص 154) و (الطرائق- 3: 30) و شاهد صادق و له مثنوی کشف الحقیقة فی الکثرة و الوحدة طبع فی 1343 فی ستة أجزاء کل جزء حدود 100 ص و له منظومة فی تفسیر سورة الحشر فارسیة مطبوع بإیران و مع شرح خطبة همام کلها فی 73 ص فی 1370 و طبع له تفسیر منظوم فی 1371 مع مقدمه لذی الرئاستین النعمةاللهی و مدخل لکمالی السبزواری و طبع دیوانه الدکتور جواد نوربخش، و طبع ثانیا فی 1380 باسم حقایق المحبة فی دقائق الوحدة و قد ذکرنا لحفیده العون فی ج 15 ص 361</w:t>
      </w:r>
    </w:p>
    <w:p>
      <w:pPr>
        <w:pStyle w:val="Heading3"/>
      </w:pPr>
      <w:bookmarkStart w:id="10438" w:name="_Toc9134"/>
      <w:r>
        <w:t>7874- دیوان نوربخش خراسانی‏</w:t>
      </w:r>
      <w:bookmarkEnd w:id="10438"/>
    </w:p>
    <w:p>
      <w:pPr>
        <w:pStyle w:val="BookText"/>
      </w:pPr>
      <w:r>
        <w:rPr>
          <w:rFonts w:ascii="IRNazanin" w:hAnsi="IRNazanin" w:eastAsia="IRNazanin" w:cs="IRNazanin"/>
          <w:lang w:bidi="fa-IR"/>
          <w:color w:val="111111"/>
          <w:sz w:val="28"/>
          <w:szCs w:val="28"/>
          <w:rtl/>
        </w:rPr>
        <w:t xml:space="preserve">و اسمه شاه قاسم بن السید محمد نوربخش المذکور و توفی 981 ترجم فی (قهستان- ص 212)</w:t>
      </w:r>
    </w:p>
    <w:p>
      <w:pPr>
        <w:pStyle w:val="Heading3"/>
      </w:pPr>
      <w:bookmarkStart w:id="10439" w:name="_Toc9135"/>
      <w:r>
        <w:t>7875- دیوان نوربخش خراسانی أو شعره‏</w:t>
      </w:r>
      <w:bookmarkEnd w:id="10439"/>
    </w:p>
    <w:p>
      <w:pPr>
        <w:pStyle w:val="BookText"/>
      </w:pPr>
      <w:r>
        <w:rPr>
          <w:rFonts w:ascii="IRNazanin" w:hAnsi="IRNazanin" w:eastAsia="IRNazanin" w:cs="IRNazanin"/>
          <w:lang w:bidi="fa-IR"/>
          <w:color w:val="111111"/>
          <w:sz w:val="28"/>
          <w:szCs w:val="28"/>
          <w:rtl/>
        </w:rPr>
        <w:t xml:space="preserve">و اسمه شاه رضا بن بهاء الدولة بن شاه قاسم المذکور آنفا ترجم فی (قهستان- ص 213)</w:t>
      </w:r>
    </w:p>
    <w:p>
      <w:pPr>
        <w:pStyle w:val="Heading3"/>
      </w:pPr>
      <w:bookmarkStart w:id="10440" w:name="_Toc9136"/>
      <w:r>
        <w:t>دیوان نوربخش دهکردی‏</w:t>
      </w:r>
      <w:bookmarkEnd w:id="10440"/>
    </w:p>
    <w:p>
      <w:pPr>
        <w:pStyle w:val="BookText"/>
      </w:pPr>
      <w:r>
        <w:rPr>
          <w:rFonts w:ascii="IRNazanin" w:hAnsi="IRNazanin" w:eastAsia="IRNazanin" w:cs="IRNazanin"/>
          <w:lang w:bidi="fa-IR"/>
          <w:color w:val="111111"/>
          <w:sz w:val="28"/>
          <w:szCs w:val="28"/>
          <w:rtl/>
        </w:rPr>
        <w:t xml:space="preserve">و هو السید أحمد رحمت علی شاه الصوفی المذکور فی ص 356 و هو أستاذ منور علی شاه طبع فی حیاته مع مقدمه فی أحواله لنفسه فی 1366 فی 280 ص و طبع له برهان حقیقت فی 1347 بأصفهان‏</w:t>
      </w:r>
    </w:p>
    <w:p>
      <w:pPr>
        <w:pStyle w:val="Heading3"/>
      </w:pPr>
      <w:bookmarkStart w:id="10441" w:name="_Toc9137"/>
      <w:r>
        <w:t>7876- دیوان نوربخشی أو شعره‏</w:t>
      </w:r>
      <w:bookmarkEnd w:id="10441"/>
    </w:p>
    <w:p>
      <w:pPr>
        <w:pStyle w:val="BookText"/>
      </w:pPr>
      <w:r>
        <w:rPr>
          <w:rFonts w:ascii="IRNazanin" w:hAnsi="IRNazanin" w:eastAsia="IRNazanin" w:cs="IRNazanin"/>
          <w:lang w:bidi="fa-IR"/>
          <w:color w:val="111111"/>
          <w:sz w:val="28"/>
          <w:szCs w:val="28"/>
          <w:rtl/>
        </w:rPr>
        <w:t xml:space="preserve">أورد شعره سام میرزا فی (تس 2- ص 38)</w:t>
      </w:r>
    </w:p>
    <w:p>
      <w:pPr>
        <w:pStyle w:val="Heading3"/>
      </w:pPr>
      <w:bookmarkStart w:id="10442" w:name="_Toc9138"/>
      <w:r>
        <w:t>7877- دیوان نور بنگاله‏ای أو شعره‏</w:t>
      </w:r>
      <w:bookmarkEnd w:id="10442"/>
    </w:p>
    <w:p>
      <w:pPr>
        <w:pStyle w:val="BookText"/>
      </w:pPr>
      <w:r>
        <w:rPr>
          <w:rFonts w:ascii="IRNazanin" w:hAnsi="IRNazanin" w:eastAsia="IRNazanin" w:cs="IRNazanin"/>
          <w:lang w:bidi="fa-IR"/>
          <w:color w:val="111111"/>
          <w:sz w:val="28"/>
          <w:szCs w:val="28"/>
          <w:rtl/>
        </w:rPr>
        <w:t xml:space="preserve">و اسمه قطب عالم بن علاء الحق المتوفی 848 ورد شعره فی (گلشن- ص 557) قال و دفن فی خانقاه والده‏</w:t>
      </w:r>
    </w:p>
    <w:p>
      <w:pPr>
        <w:pStyle w:val="Heading3"/>
      </w:pPr>
      <w:bookmarkStart w:id="10443" w:name="_Toc9139"/>
      <w:r>
        <w:t>دیوان نورجهان‏</w:t>
      </w:r>
      <w:bookmarkEnd w:id="10443"/>
    </w:p>
    <w:p>
      <w:pPr>
        <w:pStyle w:val="BookText"/>
      </w:pPr>
      <w:r>
        <w:rPr>
          <w:rFonts w:ascii="IRNazanin" w:hAnsi="IRNazanin" w:eastAsia="IRNazanin" w:cs="IRNazanin"/>
          <w:lang w:bidi="fa-IR"/>
          <w:color w:val="111111"/>
          <w:sz w:val="28"/>
          <w:szCs w:val="28"/>
          <w:rtl/>
        </w:rPr>
        <w:t xml:space="preserve">و هی نورجهان بیگم، مرت بتخلصها مخفی فی ص 1019 و ترجمت فی از رابعة تا پروین- ص 255 و تذکره کاظم کما فی فهرس المجلس 3: 161 و (تش- ص 352) و (مسرت- ص 359)</w:t>
      </w:r>
    </w:p>
    <w:p>
      <w:pPr>
        <w:pStyle w:val="Heading3"/>
      </w:pPr>
      <w:bookmarkStart w:id="10444" w:name="_Toc9140"/>
      <w:r>
        <w:t>7878- دیوان نور خراسانی أو شعره‏</w:t>
      </w:r>
      <w:bookmarkEnd w:id="10444"/>
    </w:p>
    <w:p>
      <w:pPr>
        <w:pStyle w:val="BookText"/>
      </w:pPr>
      <w:r>
        <w:rPr>
          <w:rFonts w:ascii="IRNazanin" w:hAnsi="IRNazanin" w:eastAsia="IRNazanin" w:cs="IRNazanin"/>
          <w:lang w:bidi="fa-IR"/>
          <w:color w:val="111111"/>
          <w:sz w:val="28"/>
          <w:szCs w:val="28"/>
          <w:rtl/>
        </w:rPr>
        <w:t xml:space="preserve">و اسمه مولانا نور الله کما ورد شعره فی (مجتس 6- ص 168) و عنه فی (گلشن- ص 559)
</w:t>
      </w:r>
    </w:p>
    <w:p>
      <w:pPr>
        <w:sectPr>
          <w:footerReference w:type="default" r:id="rId1238"/>
          <w:footnotePr>
            <w:numStart w:val="1"/>
            <w:numRestart w:val="eachPage"/>
          </w:footnotePr>
          <w:pgSz w:orient="portrait" w:w="11905.511811023622" w:h="16837.79527559055"/>
          <w:pgMar w:top="1440" w:right="1440" w:bottom="1440" w:left="1440" w:header="720" w:footer="720" w:gutter="0"/>
          <w:cols w:num="1" w:space="720"/>
        </w:sectPr>
      </w:pPr>
    </w:p>
    <w:bookmarkStart w:id="1213" w:name="pg11704_122711"/>
    <w:bookmarkEnd w:id="1213"/>
    <w:p>
      <w:pPr>
        <w:pStyle w:val="Heading3"/>
      </w:pPr>
      <w:bookmarkStart w:id="10445" w:name="_Toc9141"/>
      <w:r>
        <w:t>7879- دیوان نور دهلوی أو شعره‏</w:t>
      </w:r>
      <w:bookmarkEnd w:id="10445"/>
    </w:p>
    <w:p>
      <w:pPr>
        <w:pStyle w:val="BookText"/>
      </w:pPr>
      <w:r>
        <w:rPr>
          <w:rFonts w:ascii="IRNazanin" w:hAnsi="IRNazanin" w:eastAsia="IRNazanin" w:cs="IRNazanin"/>
          <w:lang w:bidi="fa-IR"/>
          <w:color w:val="111111"/>
          <w:sz w:val="28"/>
          <w:szCs w:val="28"/>
          <w:rtl/>
        </w:rPr>
        <w:t xml:space="preserve">و اسمه نور محمد ورد شعره فی (گلشن- ص 559)</w:t>
      </w:r>
    </w:p>
    <w:p>
      <w:pPr>
        <w:pStyle w:val="Heading3"/>
      </w:pPr>
      <w:bookmarkStart w:id="10446" w:name="_Toc9142"/>
      <w:r>
        <w:t>دیوان نور الدین‏</w:t>
      </w:r>
      <w:bookmarkEnd w:id="10446"/>
    </w:p>
    <w:p>
      <w:pPr>
        <w:pStyle w:val="BookText"/>
      </w:pPr>
      <w:r>
        <w:rPr>
          <w:rFonts w:ascii="IRNazanin" w:hAnsi="IRNazanin" w:eastAsia="IRNazanin" w:cs="IRNazanin"/>
          <w:lang w:bidi="fa-IR"/>
          <w:color w:val="111111"/>
          <w:sz w:val="28"/>
          <w:szCs w:val="28"/>
          <w:rtl/>
        </w:rPr>
        <w:t xml:space="preserve">راجع دیوان جامی‏</w:t>
      </w:r>
    </w:p>
    <w:p>
      <w:pPr>
        <w:pStyle w:val="Heading3"/>
      </w:pPr>
      <w:bookmarkStart w:id="10447" w:name="_Toc9143"/>
      <w:r>
        <w:t>7880- دیوان نور الدین مشعشعی‏</w:t>
      </w:r>
      <w:bookmarkEnd w:id="10447"/>
    </w:p>
    <w:p>
      <w:pPr>
        <w:pStyle w:val="BookText"/>
      </w:pPr>
      <w:r>
        <w:rPr>
          <w:rFonts w:ascii="IRNazanin" w:hAnsi="IRNazanin" w:eastAsia="IRNazanin" w:cs="IRNazanin"/>
          <w:lang w:bidi="fa-IR"/>
          <w:color w:val="111111"/>
          <w:sz w:val="28"/>
          <w:szCs w:val="28"/>
          <w:rtl/>
        </w:rPr>
        <w:t xml:space="preserve">هو ابن السید علی أکبر المذکور فی ص 1124 بتخلصه مولوی ترجمه فی (عم- ص 439) و أورد رثاءه لوالده‏</w:t>
      </w:r>
    </w:p>
    <w:p>
      <w:pPr>
        <w:pStyle w:val="Heading3"/>
      </w:pPr>
      <w:bookmarkStart w:id="10448" w:name="_Toc9144"/>
      <w:r>
        <w:t>7881- دیوان نور الدین العاملی‏</w:t>
      </w:r>
      <w:bookmarkEnd w:id="10448"/>
    </w:p>
    <w:p>
      <w:pPr>
        <w:pStyle w:val="BookText"/>
      </w:pPr>
      <w:r>
        <w:rPr>
          <w:rFonts w:ascii="IRNazanin" w:hAnsi="IRNazanin" w:eastAsia="IRNazanin" w:cs="IRNazanin"/>
          <w:lang w:bidi="fa-IR"/>
          <w:color w:val="111111"/>
          <w:sz w:val="28"/>
          <w:szCs w:val="28"/>
          <w:rtl/>
        </w:rPr>
        <w:t xml:space="preserve">هو السید نور الدین علی بن أبی الحسن علی بن الحسین الموسوی المتوفی 1061 أو 1068 ذکره ضامن بن شدقم فی تحفه الأزهار و (السلافة- ص 302) و عنه أخذ فی الأمل و قال تلمذ علی أخیه من أبیه صاحب المدارک و أخیه من أمه صاحب المعالم‏</w:t>
      </w:r>
    </w:p>
    <w:p>
      <w:pPr>
        <w:pStyle w:val="Heading3"/>
      </w:pPr>
      <w:bookmarkStart w:id="10449" w:name="_Toc9145"/>
      <w:r>
        <w:t>7882- دیوان نور الدین محمد الزیدری‏</w:t>
      </w:r>
      <w:bookmarkEnd w:id="10449"/>
    </w:p>
    <w:p>
      <w:pPr>
        <w:pStyle w:val="BookText"/>
      </w:pPr>
      <w:r>
        <w:rPr>
          <w:rFonts w:ascii="IRNazanin" w:hAnsi="IRNazanin" w:eastAsia="IRNazanin" w:cs="IRNazanin"/>
          <w:lang w:bidi="fa-IR"/>
          <w:color w:val="111111"/>
          <w:sz w:val="28"/>
          <w:szCs w:val="28"/>
          <w:rtl/>
        </w:rPr>
        <w:t xml:space="preserve">منشی جلال الدین منکبرنی الخوارزمشاهی المتوفی 628 و بعد غلبة المغول علی جلال الدین ابتلی نور الدین بشدائد فکتب بعد أربع سنین إلی أحبائه نفثة المصدور 632 ترجمه هدایت فی (مع: ج 1 ص 655) و أورد بعض أشعاره و قد طبع نفثة المصدور مع مقدمه الطبع 1341</w:t>
      </w:r>
    </w:p>
    <w:p>
      <w:pPr>
        <w:pStyle w:val="Heading3"/>
      </w:pPr>
      <w:bookmarkStart w:id="10450" w:name="_Toc9146"/>
      <w:r>
        <w:t>7883- دیوان نور رازی أو شعره‏</w:t>
      </w:r>
      <w:bookmarkEnd w:id="10450"/>
    </w:p>
    <w:p>
      <w:pPr>
        <w:pStyle w:val="BookText"/>
      </w:pPr>
      <w:r>
        <w:rPr>
          <w:rFonts w:ascii="IRNazanin" w:hAnsi="IRNazanin" w:eastAsia="IRNazanin" w:cs="IRNazanin"/>
          <w:lang w:bidi="fa-IR"/>
          <w:color w:val="111111"/>
          <w:sz w:val="28"/>
          <w:szCs w:val="28"/>
          <w:rtl/>
        </w:rPr>
        <w:t xml:space="preserve">و اسمه نور الله معاصر الشاه طهماسب و هو والد عنایة الله الرازی المتولی لمقبرة الشاه عبد العظیم المذکور فی ص 771 ترجمه سام میرزا فی (تس 2- ص 41) و الرازی فی هفت إقلیم و (گلشن- ص 558) و (خوش‏گو)</w:t>
      </w:r>
    </w:p>
    <w:p>
      <w:pPr>
        <w:pStyle w:val="Heading3"/>
      </w:pPr>
      <w:bookmarkStart w:id="10451" w:name="_Toc9147"/>
      <w:r>
        <w:t>دیوان نور رویدشتی‏</w:t>
      </w:r>
      <w:bookmarkEnd w:id="10451"/>
    </w:p>
    <w:p>
      <w:pPr>
        <w:pStyle w:val="BookText"/>
      </w:pPr>
      <w:r>
        <w:rPr>
          <w:rFonts w:ascii="IRNazanin" w:hAnsi="IRNazanin" w:eastAsia="IRNazanin" w:cs="IRNazanin"/>
          <w:lang w:bidi="fa-IR"/>
          <w:color w:val="111111"/>
          <w:sz w:val="28"/>
          <w:szCs w:val="28"/>
          <w:rtl/>
        </w:rPr>
        <w:t xml:space="preserve">راجع نور الله رویدشتی‏</w:t>
      </w:r>
    </w:p>
    <w:p>
      <w:pPr>
        <w:pStyle w:val="Heading3"/>
      </w:pPr>
      <w:bookmarkStart w:id="10452" w:name="_Toc9148"/>
      <w:r>
        <w:t>دیوان نور ساوجی أو شعره‏</w:t>
      </w:r>
      <w:bookmarkEnd w:id="10452"/>
    </w:p>
    <w:p>
      <w:pPr>
        <w:pStyle w:val="BookText"/>
      </w:pPr>
      <w:r>
        <w:rPr>
          <w:rFonts w:ascii="IRNazanin" w:hAnsi="IRNazanin" w:eastAsia="IRNazanin" w:cs="IRNazanin"/>
          <w:lang w:bidi="fa-IR"/>
          <w:color w:val="111111"/>
          <w:sz w:val="28"/>
          <w:szCs w:val="28"/>
          <w:rtl/>
        </w:rPr>
        <w:t xml:space="preserve">و هو القاضی نور الله کما فی (گلشن- ص 557) مر بعنوان أنسی ساوجی و فی هفت إقلیم سماه نور قزوینی‏</w:t>
      </w:r>
    </w:p>
    <w:p>
      <w:pPr>
        <w:pStyle w:val="Heading3"/>
      </w:pPr>
      <w:bookmarkStart w:id="10453" w:name="_Toc9149"/>
      <w:r>
        <w:t>7884- دیوان نورس دماوندی أو شعره‏</w:t>
      </w:r>
      <w:bookmarkEnd w:id="10453"/>
    </w:p>
    <w:p>
      <w:pPr>
        <w:pStyle w:val="BookText"/>
      </w:pPr>
      <w:r>
        <w:rPr>
          <w:rFonts w:ascii="IRNazanin" w:hAnsi="IRNazanin" w:eastAsia="IRNazanin" w:cs="IRNazanin"/>
          <w:lang w:bidi="fa-IR"/>
          <w:color w:val="111111"/>
          <w:sz w:val="28"/>
          <w:szCs w:val="28"/>
          <w:rtl/>
        </w:rPr>
        <w:t xml:space="preserve">و اسمه محمد حسین نزیل أصفهان ترجمه معاصره النصرآبادی فی (نر 9- ص 407) و قال جاء إلی أصفهان من أوائل شبابه و أورد شعره، و قال الحزین فی تذکرته ص 97 إنه مغرور بنفسه، فالشعراء یعدونه کاتبا و الکتاب یعدونه شاعرا و یوجد مخطوطین بخطه کما فی خطوط خوش ص 143 و 152</w:t>
      </w:r>
    </w:p>
    <w:p>
      <w:pPr>
        <w:pStyle w:val="Heading3"/>
      </w:pPr>
      <w:bookmarkStart w:id="10454" w:name="_Toc9150"/>
      <w:r>
        <w:t>7885- دیوان نورس قزوینی أو شعره‏</w:t>
      </w:r>
      <w:bookmarkEnd w:id="10454"/>
    </w:p>
    <w:p>
      <w:pPr>
        <w:pStyle w:val="BookText"/>
      </w:pPr>
      <w:r>
        <w:rPr>
          <w:rFonts w:ascii="IRNazanin" w:hAnsi="IRNazanin" w:eastAsia="IRNazanin" w:cs="IRNazanin"/>
          <w:lang w:bidi="fa-IR"/>
          <w:color w:val="111111"/>
          <w:sz w:val="28"/>
          <w:szCs w:val="28"/>
          <w:rtl/>
        </w:rPr>
        <w:t xml:space="preserve">و اسمه محمد رشید ورد شعره فی (خوش‏گو)
</w:t>
      </w:r>
    </w:p>
    <w:p>
      <w:pPr>
        <w:sectPr>
          <w:footerReference w:type="default" r:id="rId1239"/>
          <w:footnotePr>
            <w:numStart w:val="1"/>
            <w:numRestart w:val="eachPage"/>
          </w:footnotePr>
          <w:pgSz w:orient="portrait" w:w="11905.511811023622" w:h="16837.79527559055"/>
          <w:pgMar w:top="1440" w:right="1440" w:bottom="1440" w:left="1440" w:header="720" w:footer="720" w:gutter="0"/>
          <w:cols w:num="1" w:space="720"/>
        </w:sectPr>
      </w:pPr>
    </w:p>
    <w:bookmarkStart w:id="1214" w:name="pg11704_122713"/>
    <w:bookmarkEnd w:id="1214"/>
    <w:p>
      <w:pPr>
        <w:pStyle w:val="BookText"/>
      </w:pPr>
      <w:r>
        <w:rPr>
          <w:rFonts w:ascii="IRNazanin" w:hAnsi="IRNazanin" w:eastAsia="IRNazanin" w:cs="IRNazanin"/>
          <w:lang w:bidi="fa-IR"/>
          <w:color w:val="111111"/>
          <w:sz w:val="28"/>
          <w:szCs w:val="28"/>
          <w:rtl/>
        </w:rPr>
        <w:t xml:space="preserve">و (روشن- ص 720) و (مسرت- ص 183)</w:t>
      </w:r>
    </w:p>
    <w:p>
      <w:pPr>
        <w:pStyle w:val="Heading3"/>
      </w:pPr>
      <w:bookmarkStart w:id="10455" w:name="_Toc9151"/>
      <w:r>
        <w:t>7886- دیوان نور علی شاه‏</w:t>
      </w:r>
      <w:bookmarkEnd w:id="10455"/>
    </w:p>
    <w:p>
      <w:pPr>
        <w:pStyle w:val="BookText"/>
      </w:pPr>
      <w:r>
        <w:rPr>
          <w:rFonts w:ascii="IRNazanin" w:hAnsi="IRNazanin" w:eastAsia="IRNazanin" w:cs="IRNazanin"/>
          <w:lang w:bidi="fa-IR"/>
          <w:color w:val="111111"/>
          <w:sz w:val="28"/>
          <w:szCs w:val="28"/>
          <w:rtl/>
        </w:rPr>
        <w:t xml:space="preserve">و اسمه محمد علی بن فیض علی شاه المیرزا عبد الحسین المتخلص فی دیوانه الأول نور و فی الدیوان الثانی نور علی شاه التونی الطبسی الأصفهانی المتوفی مسموما بالموصل 1212 و طبع الدیوانان معا علی الحجر فی 1323 و یوجد مخطوطه عند (الملک) و معه رسالتان له و عند (فخر الدین) و نسختان فی المکتبة (الملیة: 716 و 741) و قد جمع الدیوان حسن صفی علی شاه و من منظومات نور علی شاه جنات وصال الذی فصلناه فی ج 5 ص 152 و ذکر فی (ض- ص 584) بعض ما رآه فی دیوان غزلیاته و ذکر له جامع الأمثال و تفسیر خطبة البیان و لعل مراده جامع الأسرار المذکور فی ج 5 ص 39 و فی شمس التواریخ أنه سمی جده المولی محمد علی إمام الجمعة الطبسی و إنه کأبیه کانا مریدی السید معصوم علی شاه الهندی المقتول 1211 و إنه قام بالإرشاد بعد موت أبیه 1199 و کان ینتقل فی البلدان حتی سم فی الموصل و دفن بها فی التاریخ المذکور و ترجم أیضا (انجمن 4) و (مع 2: 496) و (الطرائق- 3: 89) و (گلشن- ص 558)</w:t>
      </w:r>
    </w:p>
    <w:p>
      <w:pPr>
        <w:pStyle w:val="Heading3"/>
      </w:pPr>
      <w:bookmarkStart w:id="10456" w:name="_Toc9152"/>
      <w:r>
        <w:t>7887- دیوان نور قزوینی أو شعره‏</w:t>
      </w:r>
      <w:bookmarkEnd w:id="10456"/>
    </w:p>
    <w:p>
      <w:pPr>
        <w:pStyle w:val="BookText"/>
      </w:pPr>
      <w:r>
        <w:rPr>
          <w:rFonts w:ascii="IRNazanin" w:hAnsi="IRNazanin" w:eastAsia="IRNazanin" w:cs="IRNazanin"/>
          <w:lang w:bidi="fa-IR"/>
          <w:color w:val="111111"/>
          <w:sz w:val="28"/>
          <w:szCs w:val="28"/>
          <w:rtl/>
        </w:rPr>
        <w:t xml:space="preserve">ورد شعره فی هفت إقلیم و فی همیشه بهار سماه نور الله قزوینی‏</w:t>
      </w:r>
    </w:p>
    <w:p>
      <w:pPr>
        <w:pStyle w:val="Heading3"/>
      </w:pPr>
      <w:bookmarkStart w:id="10457" w:name="_Toc9153"/>
      <w:r>
        <w:t>7888- دیوان نور قنوجی أو شعره‏</w:t>
      </w:r>
      <w:bookmarkEnd w:id="10457"/>
    </w:p>
    <w:p>
      <w:pPr>
        <w:pStyle w:val="BookText"/>
      </w:pPr>
      <w:r>
        <w:rPr>
          <w:rFonts w:ascii="IRNazanin" w:hAnsi="IRNazanin" w:eastAsia="IRNazanin" w:cs="IRNazanin"/>
          <w:lang w:bidi="fa-IR"/>
          <w:color w:val="111111"/>
          <w:sz w:val="28"/>
          <w:szCs w:val="28"/>
          <w:rtl/>
        </w:rPr>
        <w:t xml:space="preserve">و اسمه السید نور الحسن بن محمد صدیق حسن خان مؤلف تذکره نگارستان سخن المولود 1278 أورد شعره فی (گلشن- ص 341) و (روشن- ص 577)</w:t>
      </w:r>
    </w:p>
    <w:p>
      <w:pPr>
        <w:pStyle w:val="Heading3"/>
      </w:pPr>
      <w:bookmarkStart w:id="10458" w:name="_Toc9154"/>
      <w:r>
        <w:t>دیوان نور کاشانی‏</w:t>
      </w:r>
      <w:bookmarkEnd w:id="10458"/>
    </w:p>
    <w:p>
      <w:pPr>
        <w:pStyle w:val="BookText"/>
      </w:pPr>
      <w:r>
        <w:rPr>
          <w:rFonts w:ascii="IRNazanin" w:hAnsi="IRNazanin" w:eastAsia="IRNazanin" w:cs="IRNazanin"/>
          <w:lang w:bidi="fa-IR"/>
          <w:color w:val="111111"/>
          <w:sz w:val="28"/>
          <w:szCs w:val="28"/>
          <w:rtl/>
        </w:rPr>
        <w:t xml:space="preserve">هو التخلص السابق لکلیم کما مر فی 915</w:t>
      </w:r>
    </w:p>
    <w:p>
      <w:pPr>
        <w:pStyle w:val="Heading3"/>
      </w:pPr>
      <w:bookmarkStart w:id="10459" w:name="_Toc9155"/>
      <w:r>
        <w:t>7889- دیوان نور گیلانی أو شعره‏</w:t>
      </w:r>
      <w:bookmarkEnd w:id="10459"/>
    </w:p>
    <w:p>
      <w:pPr>
        <w:pStyle w:val="BookText"/>
      </w:pPr>
      <w:r>
        <w:rPr>
          <w:rFonts w:ascii="IRNazanin" w:hAnsi="IRNazanin" w:eastAsia="IRNazanin" w:cs="IRNazanin"/>
          <w:lang w:bidi="fa-IR"/>
          <w:color w:val="111111"/>
          <w:sz w:val="28"/>
          <w:szCs w:val="28"/>
          <w:rtl/>
        </w:rPr>
        <w:t xml:space="preserve">و اسمه نور الدین محمد أخ الحکیم أبی الفتح الگیلانی المذکور فی ص 46 جاء شعره فی (گلشن- ص 557) و عنه فی (علمای گیلان- ص 93)</w:t>
      </w:r>
    </w:p>
    <w:p>
      <w:pPr>
        <w:pStyle w:val="Heading3"/>
      </w:pPr>
      <w:bookmarkStart w:id="10460" w:name="_Toc9156"/>
      <w:r>
        <w:t>7890- دیوان میرزا نور الله رویدشتی‏</w:t>
      </w:r>
      <w:bookmarkEnd w:id="10460"/>
    </w:p>
    <w:p>
      <w:pPr>
        <w:pStyle w:val="BookText"/>
      </w:pPr>
      <w:r>
        <w:rPr>
          <w:rFonts w:ascii="IRNazanin" w:hAnsi="IRNazanin" w:eastAsia="IRNazanin" w:cs="IRNazanin"/>
          <w:lang w:bidi="fa-IR"/>
          <w:color w:val="111111"/>
          <w:sz w:val="28"/>
          <w:szCs w:val="28"/>
          <w:rtl/>
        </w:rPr>
        <w:t xml:space="preserve">من قریة کفران و من أعمال أصفهان ترجمه النصرآبادی فی (نر 4- ص 89) و ذکر أنه لم یر دیوانه و لکن نقل عنه قرب ثلاثین بیتا بواسطة مجموعة المیرزا شفیع الخوزانی الذی کان مصاحب الرویدشتی، منها
</w:t>
      </w:r>
    </w:p>
    <w:p>
      <w:pPr>
        <w:sectPr>
          <w:footerReference w:type="default" r:id="rId1240"/>
          <w:footnotePr>
            <w:numStart w:val="1"/>
            <w:numRestart w:val="eachPage"/>
          </w:footnotePr>
          <w:pgSz w:orient="portrait" w:w="11905.511811023622" w:h="16837.79527559055"/>
          <w:pgMar w:top="1440" w:right="1440" w:bottom="1440" w:left="1440" w:header="720" w:footer="720" w:gutter="0"/>
          <w:cols w:num="1" w:space="720"/>
        </w:sectPr>
      </w:pPr>
    </w:p>
    <w:bookmarkStart w:id="1215" w:name="pg11704_122715"/>
    <w:bookmarkEnd w:id="1215"/>
    <w:p>
      <w:pPr>
        <w:pStyle w:val="BookText"/>
      </w:pPr>
      <w:r>
        <w:rPr>
          <w:rFonts w:ascii="IRNazanin" w:hAnsi="IRNazanin" w:eastAsia="IRNazanin" w:cs="IRNazanin"/>
          <w:lang w:bidi="fa-IR"/>
          <w:color w:val="111111"/>
          <w:sz w:val="28"/>
          <w:szCs w:val="28"/>
          <w:rtl/>
        </w:rPr>
        <w:t xml:space="preserve">ما مدح به النواب خلیفة سلطان عند وزارته للشاه عباس الماضی و نقل النصرآبادی عنه فی (نر 13- ص 477) أیضا أربعة أبیات فی تاریخ فتح قندهار للشاه عباس الماضی 1032 و ترجم أیضا فی (گلشن- ص 558) بعنوان نور بدیهی لبداهته فی الشعر و ترجمه براون فی 4: 88</w:t>
      </w:r>
    </w:p>
    <w:p>
      <w:pPr>
        <w:pStyle w:val="Heading3"/>
      </w:pPr>
      <w:bookmarkStart w:id="10461" w:name="_Toc9157"/>
      <w:r>
        <w:t>دیوان نور الله شوشتری‏</w:t>
      </w:r>
      <w:bookmarkEnd w:id="10461"/>
    </w:p>
    <w:p>
      <w:pPr>
        <w:pStyle w:val="BookText"/>
      </w:pPr>
      <w:r>
        <w:rPr>
          <w:rFonts w:ascii="IRNazanin" w:hAnsi="IRNazanin" w:eastAsia="IRNazanin" w:cs="IRNazanin"/>
          <w:lang w:bidi="fa-IR"/>
          <w:color w:val="111111"/>
          <w:sz w:val="28"/>
          <w:szCs w:val="28"/>
          <w:rtl/>
        </w:rPr>
        <w:t xml:space="preserve">یأتی بتخلصه نوری و یظهر أن له دیوان الغزلیات و دیوان القصائد</w:t>
      </w:r>
    </w:p>
    <w:p>
      <w:pPr>
        <w:pStyle w:val="Heading3"/>
      </w:pPr>
      <w:bookmarkStart w:id="10462" w:name="_Toc9158"/>
      <w:r>
        <w:t>7891- دیوان نور الله قهستانی‏</w:t>
      </w:r>
      <w:bookmarkEnd w:id="10462"/>
    </w:p>
    <w:p>
      <w:pPr>
        <w:pStyle w:val="BookText"/>
      </w:pPr>
      <w:r>
        <w:rPr>
          <w:rFonts w:ascii="IRNazanin" w:hAnsi="IRNazanin" w:eastAsia="IRNazanin" w:cs="IRNazanin"/>
          <w:lang w:bidi="fa-IR"/>
          <w:color w:val="111111"/>
          <w:sz w:val="28"/>
          <w:szCs w:val="28"/>
          <w:rtl/>
        </w:rPr>
        <w:t xml:space="preserve">کان من إسفیدن من أعمال قهستان سافر إلی هرات فی عهد السلطان حسین بایقرا نقل آیتی فی (قهستان- ص 226) عن تاریخ ابن حسام أنه شاعر عدیم المثیل و یأتی نوری إسفیدنی‏</w:t>
      </w:r>
    </w:p>
    <w:p>
      <w:pPr>
        <w:pStyle w:val="Heading3"/>
      </w:pPr>
      <w:bookmarkStart w:id="10463" w:name="_Toc9159"/>
      <w:r>
        <w:t>7892- دیوان نور الله هروی أو شعره‏</w:t>
      </w:r>
      <w:bookmarkEnd w:id="10463"/>
    </w:p>
    <w:p>
      <w:pPr>
        <w:pStyle w:val="BookText"/>
      </w:pPr>
      <w:r>
        <w:rPr>
          <w:rFonts w:ascii="IRNazanin" w:hAnsi="IRNazanin" w:eastAsia="IRNazanin" w:cs="IRNazanin"/>
          <w:lang w:bidi="fa-IR"/>
          <w:color w:val="111111"/>
          <w:sz w:val="28"/>
          <w:szCs w:val="28"/>
          <w:rtl/>
        </w:rPr>
        <w:t xml:space="preserve">ذکره مصاحبه سام میرزا فی (تس 4- ص 77) و أورد شعره، و عنه فی (گلشن- ص 559)</w:t>
      </w:r>
    </w:p>
    <w:p>
      <w:pPr>
        <w:pStyle w:val="Heading3"/>
      </w:pPr>
      <w:bookmarkStart w:id="10464" w:name="_Toc9160"/>
      <w:r>
        <w:t>7893- دیوان نور مرادآبادی أو شعره‏</w:t>
      </w:r>
      <w:bookmarkEnd w:id="10464"/>
    </w:p>
    <w:p>
      <w:pPr>
        <w:pStyle w:val="BookText"/>
      </w:pPr>
      <w:r>
        <w:rPr>
          <w:rFonts w:ascii="IRNazanin" w:hAnsi="IRNazanin" w:eastAsia="IRNazanin" w:cs="IRNazanin"/>
          <w:lang w:bidi="fa-IR"/>
          <w:color w:val="111111"/>
          <w:sz w:val="28"/>
          <w:szCs w:val="28"/>
          <w:rtl/>
        </w:rPr>
        <w:t xml:space="preserve">و اسمه محمد نور الله بن المولوی محمد مقیم الدین المتوفی حدود 1350 أورد شعره سلیم فی (گلشن- ص 558)</w:t>
      </w:r>
    </w:p>
    <w:p>
      <w:pPr>
        <w:pStyle w:val="Heading3"/>
      </w:pPr>
      <w:bookmarkStart w:id="10465" w:name="_Toc9161"/>
      <w:r>
        <w:t>7894- دیوان نوروز علی شاملو أو شعره‏</w:t>
      </w:r>
      <w:bookmarkEnd w:id="10465"/>
    </w:p>
    <w:p>
      <w:pPr>
        <w:pStyle w:val="BookText"/>
      </w:pPr>
      <w:r>
        <w:rPr>
          <w:rFonts w:ascii="IRNazanin" w:hAnsi="IRNazanin" w:eastAsia="IRNazanin" w:cs="IRNazanin"/>
          <w:lang w:bidi="fa-IR"/>
          <w:color w:val="111111"/>
          <w:sz w:val="28"/>
          <w:szCs w:val="28"/>
          <w:rtl/>
        </w:rPr>
        <w:t xml:space="preserve">و اسمه نوروز علی زرکوب کان صیاغا لعباس قلی خان حاکم هرات أورد النصرآبادی شعره فی (نر 9- ص 391)</w:t>
      </w:r>
    </w:p>
    <w:p>
      <w:pPr>
        <w:pStyle w:val="Heading3"/>
      </w:pPr>
      <w:bookmarkStart w:id="10466" w:name="_Toc9162"/>
      <w:r>
        <w:t>دیوان نور هروی‏</w:t>
      </w:r>
      <w:bookmarkEnd w:id="10466"/>
    </w:p>
    <w:p>
      <w:pPr>
        <w:pStyle w:val="BookText"/>
      </w:pPr>
      <w:r>
        <w:rPr>
          <w:rFonts w:ascii="IRNazanin" w:hAnsi="IRNazanin" w:eastAsia="IRNazanin" w:cs="IRNazanin"/>
          <w:lang w:bidi="fa-IR"/>
          <w:color w:val="111111"/>
          <w:sz w:val="28"/>
          <w:szCs w:val="28"/>
          <w:rtl/>
        </w:rPr>
        <w:t xml:space="preserve">راجع نور الله هروی‏</w:t>
      </w:r>
    </w:p>
    <w:p>
      <w:pPr>
        <w:pStyle w:val="Heading3"/>
      </w:pPr>
      <w:bookmarkStart w:id="10467" w:name="_Toc9163"/>
      <w:r>
        <w:t>7895- دیوان نور هروی أو شعره‏</w:t>
      </w:r>
      <w:bookmarkEnd w:id="10467"/>
    </w:p>
    <w:p>
      <w:pPr>
        <w:pStyle w:val="BookText"/>
      </w:pPr>
      <w:r>
        <w:rPr>
          <w:rFonts w:ascii="IRNazanin" w:hAnsi="IRNazanin" w:eastAsia="IRNazanin" w:cs="IRNazanin"/>
          <w:lang w:bidi="fa-IR"/>
          <w:color w:val="111111"/>
          <w:sz w:val="28"/>
          <w:szCs w:val="28"/>
          <w:rtl/>
        </w:rPr>
        <w:t xml:space="preserve">أورد علی شیر شعره فی (مجن 4 ص 100 و 276)</w:t>
      </w:r>
    </w:p>
    <w:p>
      <w:pPr>
        <w:pStyle w:val="Heading3"/>
      </w:pPr>
      <w:bookmarkStart w:id="10468" w:name="_Toc9164"/>
      <w:r>
        <w:t>7896- دیوان نور یزدی أو شعره‏</w:t>
      </w:r>
      <w:bookmarkEnd w:id="10468"/>
    </w:p>
    <w:p>
      <w:pPr>
        <w:pStyle w:val="BookText"/>
      </w:pPr>
      <w:r>
        <w:rPr>
          <w:rFonts w:ascii="IRNazanin" w:hAnsi="IRNazanin" w:eastAsia="IRNazanin" w:cs="IRNazanin"/>
          <w:lang w:bidi="fa-IR"/>
          <w:color w:val="111111"/>
          <w:sz w:val="28"/>
          <w:szCs w:val="28"/>
          <w:rtl/>
        </w:rPr>
        <w:t xml:space="preserve">ورد شعره فی (روشن- ص 90) و اسمه بدر الدین‏</w:t>
      </w:r>
    </w:p>
    <w:p>
      <w:pPr>
        <w:pStyle w:val="Heading3"/>
      </w:pPr>
      <w:bookmarkStart w:id="10469" w:name="_Toc9165"/>
      <w:r>
        <w:t>7897- دیوان نوری‏</w:t>
      </w:r>
      <w:bookmarkEnd w:id="10469"/>
    </w:p>
    <w:p>
      <w:pPr>
        <w:pStyle w:val="BookText"/>
      </w:pPr>
      <w:r>
        <w:rPr>
          <w:rFonts w:ascii="IRNazanin" w:hAnsi="IRNazanin" w:eastAsia="IRNazanin" w:cs="IRNazanin"/>
          <w:lang w:bidi="fa-IR"/>
          <w:color w:val="111111"/>
          <w:sz w:val="28"/>
          <w:szCs w:val="28"/>
          <w:rtl/>
        </w:rPr>
        <w:t xml:space="preserve">و اسمه سیف الدین یوجد له منظومة أخلاقیة کالرسالة الحاتمیة المطبوعة بالجوائب فیها کلمات أرسطو فی أبیات المتنبی ترجم کل بیت من المتنبی ببیتین فارسیتین، نظمها لعیسی بن محمد بن آیدین و النسخة بخط عبدی بن عبد الله فی 862 رأیته عند أحمد أفشار الشیرازی ابن الشیخ إبراهیم الشماع السامرائی‏</w:t>
      </w:r>
    </w:p>
    <w:p>
      <w:pPr>
        <w:pStyle w:val="Heading3"/>
      </w:pPr>
      <w:bookmarkStart w:id="10470" w:name="_Toc9166"/>
      <w:r>
        <w:t>7898- دیوان نوری أردبیلی أو شعره‏</w:t>
      </w:r>
      <w:bookmarkEnd w:id="10470"/>
    </w:p>
    <w:p>
      <w:pPr>
        <w:pStyle w:val="BookText"/>
      </w:pPr>
      <w:r>
        <w:rPr>
          <w:rFonts w:ascii="IRNazanin" w:hAnsi="IRNazanin" w:eastAsia="IRNazanin" w:cs="IRNazanin"/>
          <w:lang w:bidi="fa-IR"/>
          <w:color w:val="111111"/>
          <w:sz w:val="28"/>
          <w:szCs w:val="28"/>
          <w:rtl/>
        </w:rPr>
        <w:t xml:space="preserve">قال فی (دجا- ص 389) إنه من شعراء الشاه عباس الأول و أورد شعره‏</w:t>
      </w:r>
    </w:p>
    <w:p>
      <w:pPr>
        <w:pStyle w:val="Heading3"/>
      </w:pPr>
      <w:bookmarkStart w:id="10471" w:name="_Toc9167"/>
      <w:r>
        <w:t>دیوان نوری إسفیدنی أو شعره‏</w:t>
      </w:r>
      <w:bookmarkEnd w:id="10471"/>
    </w:p>
    <w:p>
      <w:pPr>
        <w:pStyle w:val="BookText"/>
      </w:pPr>
      <w:r>
        <w:rPr>
          <w:rFonts w:ascii="IRNazanin" w:hAnsi="IRNazanin" w:eastAsia="IRNazanin" w:cs="IRNazanin"/>
          <w:lang w:bidi="fa-IR"/>
          <w:color w:val="111111"/>
          <w:sz w:val="28"/>
          <w:szCs w:val="28"/>
          <w:rtl/>
        </w:rPr>
        <w:t xml:space="preserve">کان شیخ الإسلام بهرات کما فی (گلشن- ص 560)
</w:t>
      </w:r>
    </w:p>
    <w:p>
      <w:pPr>
        <w:sectPr>
          <w:footerReference w:type="default" r:id="rId1241"/>
          <w:footnotePr>
            <w:numStart w:val="1"/>
            <w:numRestart w:val="eachPage"/>
          </w:footnotePr>
          <w:pgSz w:orient="portrait" w:w="11905.511811023622" w:h="16837.79527559055"/>
          <w:pgMar w:top="1440" w:right="1440" w:bottom="1440" w:left="1440" w:header="720" w:footer="720" w:gutter="0"/>
          <w:cols w:num="1" w:space="720"/>
        </w:sectPr>
      </w:pPr>
    </w:p>
    <w:bookmarkStart w:id="1216" w:name="pg11704_122717"/>
    <w:bookmarkEnd w:id="1216"/>
    <w:p>
      <w:pPr>
        <w:pStyle w:val="BookText"/>
      </w:pPr>
      <w:r>
        <w:rPr>
          <w:rFonts w:ascii="IRNazanin" w:hAnsi="IRNazanin" w:eastAsia="IRNazanin" w:cs="IRNazanin"/>
          <w:lang w:bidi="fa-IR"/>
          <w:color w:val="111111"/>
          <w:sz w:val="28"/>
          <w:szCs w:val="28"/>
          <w:rtl/>
        </w:rPr>
        <w:t xml:space="preserve">و الظاهر أنه نور الله قهستانی‏</w:t>
      </w:r>
    </w:p>
    <w:p>
      <w:pPr>
        <w:pStyle w:val="Heading3"/>
      </w:pPr>
      <w:bookmarkStart w:id="10472" w:name="_Toc9168"/>
      <w:r>
        <w:t>7899- دیوان نوری أصفهانی أو شعره‏</w:t>
      </w:r>
      <w:bookmarkEnd w:id="10472"/>
    </w:p>
    <w:p>
      <w:pPr>
        <w:pStyle w:val="BookText"/>
      </w:pPr>
      <w:r>
        <w:rPr>
          <w:rFonts w:ascii="IRNazanin" w:hAnsi="IRNazanin" w:eastAsia="IRNazanin" w:cs="IRNazanin"/>
          <w:lang w:bidi="fa-IR"/>
          <w:color w:val="111111"/>
          <w:sz w:val="28"/>
          <w:szCs w:val="28"/>
          <w:rtl/>
        </w:rPr>
        <w:t xml:space="preserve">و هو القاضی نور الدین محمد الأندانی ورد شعره فی (روشن- ص 721) و (خص 8- ص 153)</w:t>
      </w:r>
    </w:p>
    <w:p>
      <w:pPr>
        <w:pStyle w:val="Heading3"/>
      </w:pPr>
      <w:bookmarkStart w:id="10473" w:name="_Toc9169"/>
      <w:r>
        <w:t>7900- دیوان نوری أصفهانی أو شعره‏</w:t>
      </w:r>
      <w:bookmarkEnd w:id="10473"/>
    </w:p>
    <w:p>
      <w:pPr>
        <w:pStyle w:val="BookText"/>
      </w:pPr>
      <w:r>
        <w:rPr>
          <w:rFonts w:ascii="IRNazanin" w:hAnsi="IRNazanin" w:eastAsia="IRNazanin" w:cs="IRNazanin"/>
          <w:lang w:bidi="fa-IR"/>
          <w:color w:val="111111"/>
          <w:sz w:val="28"/>
          <w:szCs w:val="28"/>
          <w:rtl/>
        </w:rPr>
        <w:t xml:space="preserve">ورد شعره فی (تش- ص 204) و (نتایج- ص 721) و یوجد دیوان نوری أصفهانی عند (الملک)</w:t>
      </w:r>
    </w:p>
    <w:p>
      <w:pPr>
        <w:pStyle w:val="Heading3"/>
      </w:pPr>
      <w:bookmarkStart w:id="10474" w:name="_Toc9170"/>
      <w:r>
        <w:t>7901- دیوان نوری تبریزی أو شعره‏</w:t>
      </w:r>
      <w:bookmarkEnd w:id="10474"/>
    </w:p>
    <w:p>
      <w:pPr>
        <w:pStyle w:val="BookText"/>
      </w:pPr>
      <w:r>
        <w:rPr>
          <w:rFonts w:ascii="IRNazanin" w:hAnsi="IRNazanin" w:eastAsia="IRNazanin" w:cs="IRNazanin"/>
          <w:lang w:bidi="fa-IR"/>
          <w:color w:val="111111"/>
          <w:sz w:val="28"/>
          <w:szCs w:val="28"/>
          <w:rtl/>
        </w:rPr>
        <w:t xml:space="preserve">کان فی الصیف یبیع الماء و یسقی، و فی الشتاء یبیع العسل کذا وصفه سام میرزا فی (تس 5- ص 139) و عنه فی (دجا- ص 389) و (گلشن- ص 559)</w:t>
      </w:r>
    </w:p>
    <w:p>
      <w:pPr>
        <w:pStyle w:val="Heading3"/>
      </w:pPr>
      <w:bookmarkStart w:id="10475" w:name="_Toc9171"/>
      <w:r>
        <w:t>7902- دیوان نوری تبریزی‏</w:t>
      </w:r>
      <w:bookmarkEnd w:id="10475"/>
    </w:p>
    <w:p>
      <w:pPr>
        <w:pStyle w:val="BookText"/>
      </w:pPr>
      <w:r>
        <w:rPr>
          <w:rFonts w:ascii="IRNazanin" w:hAnsi="IRNazanin" w:eastAsia="IRNazanin" w:cs="IRNazanin"/>
          <w:lang w:bidi="fa-IR"/>
          <w:color w:val="111111"/>
          <w:sz w:val="28"/>
          <w:szCs w:val="28"/>
          <w:rtl/>
        </w:rPr>
        <w:t xml:space="preserve">و اسمه أمین الدین الحاج دده من شعراء بلاط الأمیر شیخ حسن المتوفی 757 و ولده الشیخ أویس المتوفی 776 و توفی الشاعر هذا فی 758 و دیوانه یشتمل علی 2500 بیت و تخلصه أمین کما مر و نوری ترجمه فی (دجا- ص 53) عن صحف إبراهیم‏</w:t>
      </w:r>
    </w:p>
    <w:p>
      <w:pPr>
        <w:pStyle w:val="Heading3"/>
      </w:pPr>
      <w:bookmarkStart w:id="10476" w:name="_Toc9172"/>
      <w:r>
        <w:t>دیوان نوری دندانی‏</w:t>
      </w:r>
      <w:bookmarkEnd w:id="10476"/>
    </w:p>
    <w:p>
      <w:pPr>
        <w:pStyle w:val="BookText"/>
      </w:pPr>
      <w:r>
        <w:rPr>
          <w:rFonts w:ascii="IRNazanin" w:hAnsi="IRNazanin" w:eastAsia="IRNazanin" w:cs="IRNazanin"/>
          <w:lang w:bidi="fa-IR"/>
          <w:color w:val="111111"/>
          <w:sz w:val="28"/>
          <w:szCs w:val="28"/>
          <w:rtl/>
        </w:rPr>
        <w:t xml:space="preserve">راجع نوری هروی‏</w:t>
      </w:r>
    </w:p>
    <w:p>
      <w:pPr>
        <w:pStyle w:val="Heading3"/>
      </w:pPr>
      <w:bookmarkStart w:id="10477" w:name="_Toc9173"/>
      <w:r>
        <w:t>7903- دیوان نوری دهلوی أو شعره‏</w:t>
      </w:r>
      <w:bookmarkEnd w:id="10477"/>
    </w:p>
    <w:p>
      <w:pPr>
        <w:pStyle w:val="BookText"/>
      </w:pPr>
      <w:r>
        <w:rPr>
          <w:rFonts w:ascii="IRNazanin" w:hAnsi="IRNazanin" w:eastAsia="IRNazanin" w:cs="IRNazanin"/>
          <w:lang w:bidi="fa-IR"/>
          <w:color w:val="111111"/>
          <w:sz w:val="28"/>
          <w:szCs w:val="28"/>
          <w:rtl/>
        </w:rPr>
        <w:t xml:space="preserve">و اسمه نور الدین محمد ترخان السفیدونی ذکر شعره البداونی فی منتخب التواریخ المؤلف 1004</w:t>
      </w:r>
    </w:p>
    <w:p>
      <w:pPr>
        <w:pStyle w:val="Heading3"/>
      </w:pPr>
      <w:bookmarkStart w:id="10478" w:name="_Toc9174"/>
      <w:r>
        <w:t>7904- دیوان نوری شوشتری‏</w:t>
      </w:r>
      <w:bookmarkEnd w:id="10478"/>
    </w:p>
    <w:p>
      <w:pPr>
        <w:pStyle w:val="BookText"/>
      </w:pPr>
      <w:r>
        <w:rPr>
          <w:rFonts w:ascii="IRNazanin" w:hAnsi="IRNazanin" w:eastAsia="IRNazanin" w:cs="IRNazanin"/>
          <w:lang w:bidi="fa-IR"/>
          <w:color w:val="111111"/>
          <w:sz w:val="28"/>
          <w:szCs w:val="28"/>
          <w:rtl/>
        </w:rPr>
        <w:t xml:space="preserve">هو القاضی نور الله بن شریف الدین بن جمال الدین نور الله المرعشی التستری الشهید فی آکرة فی 1019 ترجمه الصادقی فی (خص 5- ص 71) و ذکر أنه ابن الأخ الأصغر لمیر أسد الله الصدر و أطری طبعه و أورد غزله و ذلک فی حیاة القاضی فإنه فرغ الصادقی من تألیفه 1016 و له أیضا دیوان قصائده کما ذکر فی ترجمته و أورد ولده قصیدة من دیوان القصائد فی ذیل ترجمه والده القاضی فی کتابه الموسوم محفل فردوس الموجود عند المحدث الأرومی نزیل طهران و قد طبعه هناک و ترجم أیضا فی (حسینی- ص 353) و (گلشن- ص 559) و فی (مسرت- ص 392) تاریخ وفاته هکذا:</w:t>
      </w:r>
    </w:p>
    <w:p>
      <w:pPr>
        <w:pStyle w:val="BookText"/>
      </w:pPr>
      <w:r>
        <w:rPr>
          <w:rFonts w:ascii="IRNazanin" w:hAnsi="IRNazanin" w:eastAsia="IRNazanin" w:cs="IRNazanin"/>
          <w:lang w:bidi="fa-IR"/>
          <w:color w:val="111111"/>
          <w:sz w:val="28"/>
          <w:szCs w:val="28"/>
          <w:rtl/>
        </w:rPr>
        <w:t xml:space="preserve">سال نقلش مظهر الحق زد رقم‏</w:t>
      </w:r>
    </w:p>
    <w:p>
      <w:pPr>
        <w:pStyle w:val="BookText"/>
      </w:pPr>
      <w:r>
        <w:rPr>
          <w:rFonts w:ascii="IRNazanin" w:hAnsi="IRNazanin" w:eastAsia="IRNazanin" w:cs="IRNazanin"/>
          <w:lang w:bidi="fa-IR"/>
          <w:color w:val="111111"/>
          <w:sz w:val="28"/>
          <w:szCs w:val="28"/>
          <w:rtl/>
        </w:rPr>
        <w:t xml:space="preserve">عدن جای میر نور الله شده‏</w:t>
      </w:r>
    </w:p>
    <w:p>
      <w:pPr>
        <w:pStyle w:val="Heading3"/>
      </w:pPr>
      <w:bookmarkStart w:id="10479" w:name="_Toc9175"/>
      <w:r>
        <w:t>7905- دیوان نوری لاهوری أو شعره‏</w:t>
      </w:r>
      <w:bookmarkEnd w:id="10479"/>
    </w:p>
    <w:p>
      <w:pPr>
        <w:pStyle w:val="BookText"/>
      </w:pPr>
      <w:r>
        <w:rPr>
          <w:rFonts w:ascii="IRNazanin" w:hAnsi="IRNazanin" w:eastAsia="IRNazanin" w:cs="IRNazanin"/>
          <w:lang w:bidi="fa-IR"/>
          <w:color w:val="111111"/>
          <w:sz w:val="28"/>
          <w:szCs w:val="28"/>
          <w:rtl/>
        </w:rPr>
        <w:t xml:space="preserve">و اسمه نوری بیک خان معاصر الأوحد ترجمه‏
</w:t>
      </w:r>
    </w:p>
    <w:p>
      <w:pPr>
        <w:sectPr>
          <w:footerReference w:type="default" r:id="rId1242"/>
          <w:footnotePr>
            <w:numStart w:val="1"/>
            <w:numRestart w:val="eachPage"/>
          </w:footnotePr>
          <w:pgSz w:orient="portrait" w:w="11905.511811023622" w:h="16837.79527559055"/>
          <w:pgMar w:top="1440" w:right="1440" w:bottom="1440" w:left="1440" w:header="720" w:footer="720" w:gutter="0"/>
          <w:cols w:num="1" w:space="720"/>
        </w:sectPr>
      </w:pPr>
    </w:p>
    <w:bookmarkStart w:id="1217" w:name="pg11704_122719"/>
    <w:bookmarkEnd w:id="1217"/>
    <w:p>
      <w:pPr>
        <w:pStyle w:val="BookText"/>
      </w:pPr>
      <w:r>
        <w:rPr>
          <w:rFonts w:ascii="IRNazanin" w:hAnsi="IRNazanin" w:eastAsia="IRNazanin" w:cs="IRNazanin"/>
          <w:lang w:bidi="fa-IR"/>
          <w:color w:val="111111"/>
          <w:sz w:val="28"/>
          <w:szCs w:val="28"/>
          <w:rtl/>
        </w:rPr>
        <w:t xml:space="preserve">فی (گلشن- ص 560) عن عرفات العاشقین‏</w:t>
      </w:r>
    </w:p>
    <w:p>
      <w:pPr>
        <w:pStyle w:val="Heading3"/>
      </w:pPr>
      <w:bookmarkStart w:id="10480" w:name="_Toc9176"/>
      <w:r>
        <w:t>7906- دیوان نوری مازندرانی‏</w:t>
      </w:r>
      <w:bookmarkEnd w:id="10480"/>
    </w:p>
    <w:p>
      <w:pPr>
        <w:pStyle w:val="BookText"/>
      </w:pPr>
      <w:r>
        <w:rPr>
          <w:rFonts w:ascii="IRNazanin" w:hAnsi="IRNazanin" w:eastAsia="IRNazanin" w:cs="IRNazanin"/>
          <w:lang w:bidi="fa-IR"/>
          <w:color w:val="111111"/>
          <w:sz w:val="28"/>
          <w:szCs w:val="28"/>
          <w:rtl/>
        </w:rPr>
        <w:t xml:space="preserve">من رستمدار کما ترجمه فی (مع 2: 498) و ذکر أنه أدرکه فی شبابه و هو الحکیم الإلهی الآخوند المولی علی بن جمشید النوری الأصفهانی المتوفی لیلة الجمعة 22 رجب 1246 و حمل إلی قرب الباب الطوسی من صحن النجف ترجمه فی الروضات ص 417 و فی قصص العلماء و فی نجوم السماء و له تصانیف و تلامیذ مذکورون فی ترجمته و أورد فی المجمع من شعره ثمانیة أبیات و فی ریاض العارفین ص 581 ذکر بعض غزلیاته و رباعیاته‏</w:t>
      </w:r>
    </w:p>
    <w:p>
      <w:pPr>
        <w:pStyle w:val="Heading3"/>
      </w:pPr>
      <w:bookmarkStart w:id="10481" w:name="_Toc9177"/>
      <w:r>
        <w:t>7907- دیوان نوری مازندرانی‏</w:t>
      </w:r>
      <w:bookmarkEnd w:id="10481"/>
    </w:p>
    <w:p>
      <w:pPr>
        <w:pStyle w:val="BookText"/>
      </w:pPr>
      <w:r>
        <w:rPr>
          <w:rFonts w:ascii="IRNazanin" w:hAnsi="IRNazanin" w:eastAsia="IRNazanin" w:cs="IRNazanin"/>
          <w:lang w:bidi="fa-IR"/>
          <w:color w:val="111111"/>
          <w:sz w:val="28"/>
          <w:szCs w:val="28"/>
          <w:rtl/>
        </w:rPr>
        <w:t xml:space="preserve">لشیخنا النوری خاتمة المحدثین ثالث المجلسیین المیرزا حسین بن المیرزا محمد تقی ذکر نفسه فی آخر خاتمة المستدرک أنه ولد بقریة یألو من قری نور إحدی کور طبرستان فی ثامن عشر شوال سنة أربع و خمسین و مائتین و ألف و ذکر بعض تنقلاته و تصانیفه إلی وقت فراغه من الخاتمة 1319 و توفی لیلة الأربعاء لثلاث بقین من جمادی الآخرة 1320 و قد طبع أکثر تصانیفه فی حیاته و دیوانه سمی المولودیة لأنه مجموع قصائد أنشأها فی التهانی بأعیاد موالید المعصومین و عید الغدیر و المباهلة و فیه قصیدة تبلغ نیفا و سبعین بیتا علی ردیف سامره أنشأها بعد نزوله من النجف إلی سامراء فی 1291 و کان فراغه من هذه القصیدة 1293 و فیه قصیدة فی تهنئة ولادة الحجة صاحب الزمان أنشأها 1295 و فیه بعض مراثی شهداء الطف طبع فی إیران بقطع صغیر ربعی رأیت نسخه مخطوطة منه عند السید مجید الحکیم فی النجف و أخری فی کتب السید عبد الله خلیفة أو أن بیعها فی الهرج و بقی ناقصة الأول و الآخر و لا أدری من المشتری لها و تخلصه فی جمیع قصائده نوری و نسخه بخطه مع میزان السماء فی مولد خاتم الأنبیاء موجود فی مکتبنا العامة فی النجف و قد فرغ من ترجیع بند منه فی سامراء فی المحرم 1294 و کتب بعد التاریخ هکذا: [و این أول شعریست که در عالم بی‏طبعی گفتم از عیب ان چشم بأید پوشید] و عندی أیضا بخط المؤلف فصل الخطاب و لؤلؤ و مرجان و فیض قدسی و صحیفة علویة و خاتمة المستدرک و دار السلام کلها نسخ الأصل‏
</w:t>
      </w:r>
    </w:p>
    <w:p>
      <w:pPr>
        <w:sectPr>
          <w:footerReference w:type="default" r:id="rId1243"/>
          <w:footnotePr>
            <w:numStart w:val="1"/>
            <w:numRestart w:val="eachPage"/>
          </w:footnotePr>
          <w:pgSz w:orient="portrait" w:w="11905.511811023622" w:h="16837.79527559055"/>
          <w:pgMar w:top="1440" w:right="1440" w:bottom="1440" w:left="1440" w:header="720" w:footer="720" w:gutter="0"/>
          <w:cols w:num="1" w:space="720"/>
        </w:sectPr>
      </w:pPr>
    </w:p>
    <w:bookmarkStart w:id="1218" w:name="pg11704_122721"/>
    <w:bookmarkEnd w:id="1218"/>
    <w:p>
      <w:pPr>
        <w:pStyle w:val="Heading3"/>
      </w:pPr>
      <w:bookmarkStart w:id="10482" w:name="_Toc9178"/>
      <w:r>
        <w:t>7908- دیوان نوری مشهدی أو شعره‏</w:t>
      </w:r>
      <w:bookmarkEnd w:id="10482"/>
    </w:p>
    <w:p>
      <w:pPr>
        <w:pStyle w:val="BookText"/>
      </w:pPr>
      <w:r>
        <w:rPr>
          <w:rFonts w:ascii="IRNazanin" w:hAnsi="IRNazanin" w:eastAsia="IRNazanin" w:cs="IRNazanin"/>
          <w:lang w:bidi="fa-IR"/>
          <w:color w:val="111111"/>
          <w:sz w:val="28"/>
          <w:szCs w:val="28"/>
          <w:rtl/>
        </w:rPr>
        <w:t xml:space="preserve">أورد علی شیر شعره فی (مجن 3- ص 73 و 249)</w:t>
      </w:r>
    </w:p>
    <w:p>
      <w:pPr>
        <w:pStyle w:val="Heading3"/>
      </w:pPr>
      <w:bookmarkStart w:id="10483" w:name="_Toc9179"/>
      <w:r>
        <w:t>7909- دیوان نوری نیشابوری أو شعره‏</w:t>
      </w:r>
      <w:bookmarkEnd w:id="10483"/>
    </w:p>
    <w:p>
      <w:pPr>
        <w:pStyle w:val="BookText"/>
      </w:pPr>
      <w:r>
        <w:rPr>
          <w:rFonts w:ascii="IRNazanin" w:hAnsi="IRNazanin" w:eastAsia="IRNazanin" w:cs="IRNazanin"/>
          <w:lang w:bidi="fa-IR"/>
          <w:color w:val="111111"/>
          <w:sz w:val="28"/>
          <w:szCs w:val="28"/>
          <w:rtl/>
        </w:rPr>
        <w:t xml:space="preserve">کان معاصر سام میرزا فذکره فی (تس 5- ص 164) و قال کان کحالا و لم یمدح أحدا بشعر، و کذا فی (گلشن- ص 560) و (مطلع 3: 178)</w:t>
      </w:r>
    </w:p>
    <w:p>
      <w:pPr>
        <w:pStyle w:val="Heading3"/>
      </w:pPr>
      <w:bookmarkStart w:id="10484" w:name="_Toc9180"/>
      <w:r>
        <w:t>7910- دیوان نوری هرمزی أو شعره‏</w:t>
      </w:r>
      <w:bookmarkEnd w:id="10484"/>
    </w:p>
    <w:p>
      <w:pPr>
        <w:pStyle w:val="BookText"/>
      </w:pPr>
      <w:r>
        <w:rPr>
          <w:rFonts w:ascii="IRNazanin" w:hAnsi="IRNazanin" w:eastAsia="IRNazanin" w:cs="IRNazanin"/>
          <w:lang w:bidi="fa-IR"/>
          <w:color w:val="111111"/>
          <w:sz w:val="28"/>
          <w:szCs w:val="28"/>
          <w:rtl/>
        </w:rPr>
        <w:t xml:space="preserve">و اسمه رئیس نور الدین من جزیرة هرمز فی الخلیج الفارسی جنوب بندر عباس ورد شعره فی هفت- ص 54 و (خوش‏گو)</w:t>
      </w:r>
    </w:p>
    <w:p>
      <w:pPr>
        <w:pStyle w:val="Heading3"/>
      </w:pPr>
      <w:bookmarkStart w:id="10485" w:name="_Toc9181"/>
      <w:r>
        <w:t>7911- دیوان نوری هروی أو شعره‏</w:t>
      </w:r>
      <w:bookmarkEnd w:id="10485"/>
    </w:p>
    <w:p>
      <w:pPr>
        <w:pStyle w:val="BookText"/>
      </w:pPr>
      <w:r>
        <w:rPr>
          <w:rFonts w:ascii="IRNazanin" w:hAnsi="IRNazanin" w:eastAsia="IRNazanin" w:cs="IRNazanin"/>
          <w:lang w:bidi="fa-IR"/>
          <w:color w:val="111111"/>
          <w:sz w:val="28"/>
          <w:szCs w:val="28"/>
          <w:rtl/>
        </w:rPr>
        <w:t xml:space="preserve">من أحفاد حسن شاه الشاعر ورد شعره فی (مجتس 6- ص 164) و (روشن- ص 721) و هفت و خوش‏گو</w:t>
      </w:r>
    </w:p>
    <w:p>
      <w:pPr>
        <w:pStyle w:val="Heading3"/>
      </w:pPr>
      <w:bookmarkStart w:id="10486" w:name="_Toc9182"/>
      <w:r>
        <w:t>7912- دیوان نوش‏زند أو شعره‏</w:t>
      </w:r>
      <w:bookmarkEnd w:id="10486"/>
    </w:p>
    <w:p>
      <w:pPr>
        <w:pStyle w:val="BookText"/>
      </w:pPr>
      <w:r>
        <w:rPr>
          <w:rFonts w:ascii="IRNazanin" w:hAnsi="IRNazanin" w:eastAsia="IRNazanin" w:cs="IRNazanin"/>
          <w:lang w:bidi="fa-IR"/>
          <w:color w:val="111111"/>
          <w:sz w:val="28"/>
          <w:szCs w:val="28"/>
          <w:rtl/>
        </w:rPr>
        <w:t xml:space="preserve">و هی زوجة فتح علی شاه ورد شعرها فی (از رابعة تا پروین- ص 257)</w:t>
      </w:r>
    </w:p>
    <w:p>
      <w:pPr>
        <w:pStyle w:val="Heading3"/>
      </w:pPr>
      <w:bookmarkStart w:id="10487" w:name="_Toc9183"/>
      <w:r>
        <w:t>7913- دیوان نوشی سبزواری أو شعره‏</w:t>
      </w:r>
      <w:bookmarkEnd w:id="10487"/>
    </w:p>
    <w:p>
      <w:pPr>
        <w:pStyle w:val="BookText"/>
      </w:pPr>
      <w:r>
        <w:rPr>
          <w:rFonts w:ascii="IRNazanin" w:hAnsi="IRNazanin" w:eastAsia="IRNazanin" w:cs="IRNazanin"/>
          <w:lang w:bidi="fa-IR"/>
          <w:color w:val="111111"/>
          <w:sz w:val="28"/>
          <w:szCs w:val="28"/>
          <w:rtl/>
        </w:rPr>
        <w:t xml:space="preserve">ورد شعره فی (تس 5- ص 176) و اسمه سلطان محمد</w:t>
      </w:r>
    </w:p>
    <w:p>
      <w:pPr>
        <w:pStyle w:val="Heading3"/>
      </w:pPr>
      <w:bookmarkStart w:id="10488" w:name="_Toc9184"/>
      <w:r>
        <w:t>7914- دیوان نوعی خبوشانی‏</w:t>
      </w:r>
      <w:bookmarkEnd w:id="10488"/>
    </w:p>
    <w:p>
      <w:pPr>
        <w:pStyle w:val="BookText"/>
      </w:pPr>
      <w:r>
        <w:rPr>
          <w:rFonts w:ascii="IRNazanin" w:hAnsi="IRNazanin" w:eastAsia="IRNazanin" w:cs="IRNazanin"/>
          <w:lang w:bidi="fa-IR"/>
          <w:color w:val="111111"/>
          <w:sz w:val="28"/>
          <w:szCs w:val="28"/>
          <w:rtl/>
        </w:rPr>
        <w:t xml:space="preserve">ترجمه فی (خز- ص 435) و ذکر اتصاله فی الهند بدانیال بن أکبر پادشاه و بعده بخان خانان و ذکر صلاته الکثیرة و خلعه الفاخرة له لنظم ساقی‏نامه فی مدحه و ذکر أن دیوانه المختصر عندی” صاحب خز”، ثم انتخب بعضه و قال إنه توفی ببرهان‏پور 1019 و قال فی میخانه- ص 200 اسمه محمد رضا ولد بخبوشان من نواحی نسا بخراسان، و جاء مع والده الشیخ محمود إلی گجرات الهند و هو صغیر لیزور أحد أقربائه و هو الخواجة أبو القاسم، ثم رجعا إلی مشهد خراسان فمات هناک والده و لما کبر نوعی سافر إلی الهند ثانیا فسکن کشمیر و دیوانه أربعة آلاف بیت و له سوز و گداز فی قبال خسرو و شیرین فی خمسمائة بیت، موجودة فی (المکتبة الملیة- 564) و مات 1018 عن تسع و أربعین سنة من عمره و له ساقی‏نامه فی 700 بیت و ترجمه فی مخزن الغرائب و هفت إقلیم و (تش- ص 77) و توجد دیوانه فی بانکی‏پور کما فی فهرسها (3: 11) کما فی حواشی میخانه و ترجم أیضا فی (سرو- ص 22) و (سرخوش- ص 35 و 114) و (نتایج- ص 712) و (مسرت- ص 543)
</w:t>
      </w:r>
    </w:p>
    <w:p>
      <w:pPr>
        <w:sectPr>
          <w:footerReference w:type="default" r:id="rId1244"/>
          <w:footnotePr>
            <w:numStart w:val="1"/>
            <w:numRestart w:val="eachPage"/>
          </w:footnotePr>
          <w:pgSz w:orient="portrait" w:w="11905.511811023622" w:h="16837.79527559055"/>
          <w:pgMar w:top="1440" w:right="1440" w:bottom="1440" w:left="1440" w:header="720" w:footer="720" w:gutter="0"/>
          <w:cols w:num="1" w:space="720"/>
        </w:sectPr>
      </w:pPr>
    </w:p>
    <w:bookmarkStart w:id="1219" w:name="pg11704_122723"/>
    <w:bookmarkEnd w:id="1219"/>
    <w:p>
      <w:pPr>
        <w:pStyle w:val="Heading3"/>
      </w:pPr>
      <w:bookmarkStart w:id="10489" w:name="_Toc9185"/>
      <w:r>
        <w:t>7915- دیوان نوعی‏زاده‏</w:t>
      </w:r>
      <w:bookmarkEnd w:id="10489"/>
    </w:p>
    <w:p>
      <w:pPr>
        <w:pStyle w:val="BookText"/>
      </w:pPr>
      <w:r>
        <w:rPr>
          <w:rFonts w:ascii="IRNazanin" w:hAnsi="IRNazanin" w:eastAsia="IRNazanin" w:cs="IRNazanin"/>
          <w:lang w:bidi="fa-IR"/>
          <w:color w:val="111111"/>
          <w:sz w:val="28"/>
          <w:szCs w:val="28"/>
          <w:rtl/>
        </w:rPr>
        <w:t xml:space="preserve">المذکور له خمسة فی ج 7 ص 265 و الظاهر أنه من الأتراک العثمانیین‏</w:t>
      </w:r>
    </w:p>
    <w:p>
      <w:pPr>
        <w:pStyle w:val="Heading3"/>
      </w:pPr>
      <w:bookmarkStart w:id="10490" w:name="_Toc9186"/>
      <w:r>
        <w:t>7916- دیوان نوعی ساوجی‏</w:t>
      </w:r>
      <w:bookmarkEnd w:id="10490"/>
    </w:p>
    <w:p>
      <w:pPr>
        <w:pStyle w:val="BookText"/>
      </w:pPr>
      <w:r>
        <w:rPr>
          <w:rFonts w:ascii="IRNazanin" w:hAnsi="IRNazanin" w:eastAsia="IRNazanin" w:cs="IRNazanin"/>
          <w:lang w:bidi="fa-IR"/>
          <w:color w:val="111111"/>
          <w:sz w:val="28"/>
          <w:szCs w:val="28"/>
          <w:rtl/>
        </w:rPr>
        <w:t xml:space="preserve">و اسمه محمد ولد فی 1360 بساوة و طبع له بطهران لاله و هو رباعیات و خزر مجموعة ثانیة من شعره و طبع له أخری باسم آفتاب سیاه فی 1381</w:t>
      </w:r>
    </w:p>
    <w:p>
      <w:pPr>
        <w:pStyle w:val="Heading3"/>
      </w:pPr>
      <w:bookmarkStart w:id="10491" w:name="_Toc9187"/>
      <w:r>
        <w:t>7917- دیوان نوکی گنابادی أو شعره‏</w:t>
      </w:r>
      <w:bookmarkEnd w:id="10491"/>
    </w:p>
    <w:p>
      <w:pPr>
        <w:pStyle w:val="BookText"/>
      </w:pPr>
      <w:r>
        <w:rPr>
          <w:rFonts w:ascii="IRNazanin" w:hAnsi="IRNazanin" w:eastAsia="IRNazanin" w:cs="IRNazanin"/>
          <w:lang w:bidi="fa-IR"/>
          <w:color w:val="111111"/>
          <w:sz w:val="28"/>
          <w:szCs w:val="28"/>
          <w:rtl/>
        </w:rPr>
        <w:t xml:space="preserve">و اسمه سعد الدین مسعود من شعراء بهرام شاه الغزنوی. أورد شعره العوفی فی (لب) و الرازی فی هفت إقلیم.</w:t>
      </w:r>
    </w:p>
    <w:p>
      <w:pPr>
        <w:pStyle w:val="Heading3"/>
      </w:pPr>
      <w:bookmarkStart w:id="10492" w:name="_Toc9188"/>
      <w:r>
        <w:t>7918- دیوان نوید أصفهانی‏</w:t>
      </w:r>
      <w:bookmarkEnd w:id="10492"/>
    </w:p>
    <w:p>
      <w:pPr>
        <w:pStyle w:val="BookText"/>
      </w:pPr>
      <w:r>
        <w:rPr>
          <w:rFonts w:ascii="IRNazanin" w:hAnsi="IRNazanin" w:eastAsia="IRNazanin" w:cs="IRNazanin"/>
          <w:lang w:bidi="fa-IR"/>
          <w:color w:val="111111"/>
          <w:sz w:val="28"/>
          <w:szCs w:val="28"/>
          <w:rtl/>
        </w:rPr>
        <w:t xml:space="preserve">و اسمه محمد حسین ابن أخت میر مشتاق، قال فی (تش- ص 419) إنه ذهب إلی الهند قبل عشرین سنة و مات بکشمیر فی 1187 و کذا ذکره صبا فی (روشن- ص 724) و (گلشن- ص 566).</w:t>
      </w:r>
    </w:p>
    <w:p>
      <w:pPr>
        <w:pStyle w:val="Heading3"/>
      </w:pPr>
      <w:bookmarkStart w:id="10493" w:name="_Toc9189"/>
      <w:r>
        <w:t>7919- دیوان نوید أصفهانی‏</w:t>
      </w:r>
      <w:bookmarkEnd w:id="10493"/>
    </w:p>
    <w:p>
      <w:pPr>
        <w:pStyle w:val="BookText"/>
      </w:pPr>
      <w:r>
        <w:rPr>
          <w:rFonts w:ascii="IRNazanin" w:hAnsi="IRNazanin" w:eastAsia="IRNazanin" w:cs="IRNazanin"/>
          <w:lang w:bidi="fa-IR"/>
          <w:color w:val="111111"/>
          <w:sz w:val="28"/>
          <w:szCs w:val="28"/>
          <w:rtl/>
        </w:rPr>
        <w:t xml:space="preserve">السید معز الدین محمد باقر المهدوی بن شهاب الدین نحوی المولود بأصفهان 1323 من تلامیذ الشیخ أسد الله إیزد گشسب، عد له المهدوی فی شعرای معاصر أصفهان- ص 520 عشرین تألیفات فی العلوم الریاضیة و الأدبیة و منها دیوانه فی خمسمائة بیت.</w:t>
      </w:r>
    </w:p>
    <w:p>
      <w:pPr>
        <w:pStyle w:val="Heading3"/>
      </w:pPr>
      <w:bookmarkStart w:id="10494" w:name="_Toc9190"/>
      <w:r>
        <w:t>7920- دیوان نوید الله‏آبادی أو شعره‏</w:t>
      </w:r>
      <w:bookmarkEnd w:id="10494"/>
    </w:p>
    <w:p>
      <w:pPr>
        <w:pStyle w:val="BookText"/>
      </w:pPr>
      <w:r>
        <w:rPr>
          <w:rFonts w:ascii="IRNazanin" w:hAnsi="IRNazanin" w:eastAsia="IRNazanin" w:cs="IRNazanin"/>
          <w:lang w:bidi="fa-IR"/>
          <w:color w:val="111111"/>
          <w:sz w:val="28"/>
          <w:szCs w:val="28"/>
          <w:rtl/>
        </w:rPr>
        <w:t xml:space="preserve">ورد شعره فی (گلشن- ص 561).</w:t>
      </w:r>
    </w:p>
    <w:p>
      <w:pPr>
        <w:pStyle w:val="Heading3"/>
      </w:pPr>
      <w:bookmarkStart w:id="10495" w:name="_Toc9191"/>
      <w:r>
        <w:t>7921- دیوان نوید خراسانی‏</w:t>
      </w:r>
      <w:bookmarkEnd w:id="10495"/>
    </w:p>
    <w:p>
      <w:pPr>
        <w:pStyle w:val="BookText"/>
      </w:pPr>
      <w:r>
        <w:rPr>
          <w:rFonts w:ascii="IRNazanin" w:hAnsi="IRNazanin" w:eastAsia="IRNazanin" w:cs="IRNazanin"/>
          <w:lang w:bidi="fa-IR"/>
          <w:color w:val="111111"/>
          <w:sz w:val="28"/>
          <w:szCs w:val="28"/>
          <w:rtl/>
        </w:rPr>
        <w:t xml:space="preserve">السید أبو القاسم حبیب الله بمشهد فی 1365 طبع له أرمغان نوید.</w:t>
      </w:r>
    </w:p>
    <w:p>
      <w:pPr>
        <w:pStyle w:val="Heading3"/>
      </w:pPr>
      <w:bookmarkStart w:id="10496" w:name="_Toc9192"/>
      <w:r>
        <w:t>7922- دیوان نوید دهلوی أو شعره‏</w:t>
      </w:r>
      <w:bookmarkEnd w:id="10496"/>
    </w:p>
    <w:p>
      <w:pPr>
        <w:pStyle w:val="BookText"/>
      </w:pPr>
      <w:r>
        <w:rPr>
          <w:rFonts w:ascii="IRNazanin" w:hAnsi="IRNazanin" w:eastAsia="IRNazanin" w:cs="IRNazanin"/>
          <w:lang w:bidi="fa-IR"/>
          <w:color w:val="111111"/>
          <w:sz w:val="28"/>
          <w:szCs w:val="28"/>
          <w:rtl/>
        </w:rPr>
        <w:t xml:space="preserve">و اسمه نور الدین شاه‏جهان‏آبادی کان فی القرن الثانی عشر. ورد شعره فی (نتایج- ص 727) و (گلشن- ص 567) و طبع دیوان نویدی بلکهنو 1844 م و آگرة فی 1875 م فی 16 ص.</w:t>
      </w:r>
    </w:p>
    <w:p>
      <w:pPr>
        <w:pStyle w:val="Heading3"/>
      </w:pPr>
      <w:bookmarkStart w:id="10497" w:name="_Toc9193"/>
      <w:r>
        <w:t>7923- دیوان نویدی تربتی أو شعره‏</w:t>
      </w:r>
      <w:bookmarkEnd w:id="10497"/>
    </w:p>
    <w:p>
      <w:pPr>
        <w:pStyle w:val="BookText"/>
      </w:pPr>
      <w:r>
        <w:rPr>
          <w:rFonts w:ascii="IRNazanin" w:hAnsi="IRNazanin" w:eastAsia="IRNazanin" w:cs="IRNazanin"/>
          <w:lang w:bidi="fa-IR"/>
          <w:color w:val="111111"/>
          <w:sz w:val="28"/>
          <w:szCs w:val="28"/>
          <w:rtl/>
        </w:rPr>
        <w:t xml:space="preserve">ورد شعره فی (خوش‏گو) و هفت إقلیم.</w:t>
      </w:r>
    </w:p>
    <w:p>
      <w:pPr>
        <w:pStyle w:val="Heading3"/>
      </w:pPr>
      <w:bookmarkStart w:id="10498" w:name="_Toc9194"/>
      <w:r>
        <w:t>7924- دیوان نویدی سمرقندی أو شعره‏</w:t>
      </w:r>
      <w:bookmarkEnd w:id="10498"/>
    </w:p>
    <w:p>
      <w:pPr>
        <w:pStyle w:val="BookText"/>
      </w:pPr>
      <w:r>
        <w:rPr>
          <w:rFonts w:ascii="IRNazanin" w:hAnsi="IRNazanin" w:eastAsia="IRNazanin" w:cs="IRNazanin"/>
          <w:lang w:bidi="fa-IR"/>
          <w:color w:val="111111"/>
          <w:sz w:val="28"/>
          <w:szCs w:val="28"/>
          <w:rtl/>
        </w:rPr>
        <w:t xml:space="preserve">أورد شعره فی (حسینی- ص 354).</w:t>
      </w:r>
    </w:p>
    <w:p>
      <w:pPr>
        <w:pStyle w:val="Heading3"/>
      </w:pPr>
      <w:bookmarkStart w:id="10499" w:name="_Toc9195"/>
      <w:r>
        <w:t>7925- دیوان نویدی شیرازی‏</w:t>
      </w:r>
      <w:bookmarkEnd w:id="10499"/>
    </w:p>
    <w:p>
      <w:pPr>
        <w:pStyle w:val="BookText"/>
      </w:pPr>
      <w:r>
        <w:rPr>
          <w:rFonts w:ascii="IRNazanin" w:hAnsi="IRNazanin" w:eastAsia="IRNazanin" w:cs="IRNazanin"/>
          <w:lang w:bidi="fa-IR"/>
          <w:color w:val="111111"/>
          <w:sz w:val="28"/>
          <w:szCs w:val="28"/>
          <w:rtl/>
        </w:rPr>
        <w:t xml:space="preserve">للمولی عبدی بیک زین العابدین علی بن عبد المؤمن بن صدر الدین الملقب مجاهد</w:t>
      </w:r>
      <w:r>
        <w:rPr>
          <w:rStyle w:val="FootnoteReference"/>
        </w:rPr>
        <w:footnoteReference w:id="98"/>
      </w:r>
      <w:r>
        <w:rPr>
          <w:rFonts w:ascii="IRNazanin" w:hAnsi="IRNazanin" w:eastAsia="IRNazanin" w:cs="IRNazanin"/>
          <w:lang w:bidi="fa-IR"/>
          <w:color w:val="111111"/>
          <w:sz w:val="28"/>
          <w:szCs w:val="28"/>
          <w:rtl/>
        </w:rPr>
        <w:t xml:space="preserve">و مفرده نویس المتوفی 988 قال سام میرزا
</w:t>
      </w:r>
    </w:p>
    <w:p>
      <w:pPr>
        <w:sectPr>
          <w:footerReference w:type="default" r:id="rId1245"/>
          <w:footnotePr>
            <w:numStart w:val="1"/>
            <w:numRestart w:val="eachPage"/>
          </w:footnotePr>
          <w:pgSz w:orient="portrait" w:w="11905.511811023622" w:h="16837.79527559055"/>
          <w:pgMar w:top="1440" w:right="1440" w:bottom="1440" w:left="1440" w:header="720" w:footer="720" w:gutter="0"/>
          <w:cols w:num="1" w:space="720"/>
        </w:sectPr>
      </w:pPr>
    </w:p>
    <w:bookmarkStart w:id="1220" w:name="pg11704_122725"/>
    <w:bookmarkEnd w:id="1220"/>
    <w:p>
      <w:pPr>
        <w:pStyle w:val="BookText"/>
      </w:pPr>
      <w:r>
        <w:rPr>
          <w:rFonts w:ascii="IRNazanin" w:hAnsi="IRNazanin" w:eastAsia="IRNazanin" w:cs="IRNazanin"/>
          <w:lang w:bidi="fa-IR"/>
          <w:color w:val="111111"/>
          <w:sz w:val="28"/>
          <w:szCs w:val="28"/>
          <w:rtl/>
        </w:rPr>
        <w:t xml:space="preserve">فی (تس 593) إنه یشتغل الآن فی الدیوان الشریف و قد نظم جام جمشید فی الصغر، ثم نظم الخمسة و منها هفت أختر و عنه أخذ فی (تش- 297) و هفت إقلیم و (خوش‏گو) و (فارس‏نامه 2: 152) و (روشن- ص 277) و همیشه بهار و ذکر له هفت أخگر فی کشف الظنون و ذکره تقی کاشی بقوله [عبدی بیک علی ملقب بزین العابدین متوفی 988] و مر له تکملة الاخبار</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علی الملقب زین العابدین عفی الله عنه و عن أبیه عبد المؤمن بن صدر الدین ... موسوم است به تکملة الاخبار و مشتمل است بر مقدمه و چهار باب و خاتمة ...] موجودة عند (الملک- 3890) و آخر تواریخها 978.</w:t>
      </w:r>
    </w:p>
    <w:p>
      <w:pPr>
        <w:pStyle w:val="BookText"/>
      </w:pPr>
      <w:r>
        <w:rPr>
          <w:rFonts w:ascii="IRNazanin" w:hAnsi="IRNazanin" w:eastAsia="IRNazanin" w:cs="IRNazanin"/>
          <w:lang w:bidi="fa-IR"/>
          <w:color w:val="111111"/>
          <w:sz w:val="28"/>
          <w:szCs w:val="28"/>
          <w:rtl/>
        </w:rPr>
        <w:t xml:space="preserve">و خمستان فی ج 8 ص 263 مع غلطات فی أسمائها، یوجد له فی مکتبة جامعة طهران خمستان و سبع خزائن ذکرت مفصلا فی فهرسها ج 9 ص 1077 و کلها فی 27600 بیت و هذه أسمائها: الخمسة الأولی: 1- مظهر الأسرار فی 2530 بیت 2- جام جمشیدی فی 3600 بیت 3- هفت أختر أو بهرام‏نامه فی 3550 بیتا 4- مجنون و لیلی فی 3000 بیت 5- آینه اسکندری فی 2850 بیتا. ثم الخزائن السبعة و هی: 1- صحیفة الأریب 2- لوح مسطور 3- بحر مسجور 4- منشور شاهی 5- مروج الأسواق 6- مهیج الأشواق 7- نهایة الإعجاز و الخمسة الثانیة هی: 1- روضة الصفات علی زنة مخزن الأسرار 2- دوحة الأزهار علی زنة خسرو و شیرین 3- جنة الأثمار علی زنة لیلی و مجنون 4- زینة الأوراق علی زنة هفت پیکر 5- صحیفة الإخلاص علی زنة إسکندرنامه. و لنویدی ولد اسمه محمد مسیح یوجد بخطه تحفه العراقین فی مکتبة (سپهسالار) کما فی فهرسها 3: 372.</w:t>
      </w:r>
    </w:p>
    <w:p>
      <w:pPr>
        <w:pStyle w:val="Heading3"/>
      </w:pPr>
      <w:bookmarkStart w:id="10500" w:name="_Toc9196"/>
      <w:r>
        <w:t>7926- دیوان نویدی شیرازی أو شعره‏</w:t>
      </w:r>
      <w:bookmarkEnd w:id="10500"/>
    </w:p>
    <w:p>
      <w:pPr>
        <w:pStyle w:val="BookText"/>
      </w:pPr>
      <w:r>
        <w:rPr>
          <w:rFonts w:ascii="IRNazanin" w:hAnsi="IRNazanin" w:eastAsia="IRNazanin" w:cs="IRNazanin"/>
          <w:lang w:bidi="fa-IR"/>
          <w:color w:val="111111"/>
          <w:sz w:val="28"/>
          <w:szCs w:val="28"/>
          <w:rtl/>
        </w:rPr>
        <w:t xml:space="preserve">قال معاصره النصرآبادی فی (نر 9- 286) أنه من شیوخ شعراء شیراز و لم یخرج منه. ثم أورد شعره و کذا فی (خوش‏گو) و (حسینی- ص 354).</w:t>
      </w:r>
    </w:p>
    <w:p>
      <w:pPr>
        <w:pStyle w:val="Heading3"/>
      </w:pPr>
      <w:bookmarkStart w:id="10501" w:name="_Toc9197"/>
      <w:r>
        <w:t>7927- دیوان نویدی طهرانی أو شعره‏</w:t>
      </w:r>
      <w:bookmarkEnd w:id="10501"/>
    </w:p>
    <w:p>
      <w:pPr>
        <w:pStyle w:val="BookText"/>
      </w:pPr>
      <w:r>
        <w:rPr>
          <w:rFonts w:ascii="IRNazanin" w:hAnsi="IRNazanin" w:eastAsia="IRNazanin" w:cs="IRNazanin"/>
          <w:lang w:bidi="fa-IR"/>
          <w:color w:val="111111"/>
          <w:sz w:val="28"/>
          <w:szCs w:val="28"/>
          <w:rtl/>
        </w:rPr>
        <w:t xml:space="preserve">هو من شعراء عهد الشاه طهماسب الأول.
</w:t>
      </w:r>
    </w:p>
    <w:p>
      <w:pPr>
        <w:sectPr>
          <w:footerReference w:type="default" r:id="rId1246"/>
          <w:footnotePr>
            <w:numStart w:val="1"/>
            <w:numRestart w:val="eachPage"/>
          </w:footnotePr>
          <w:pgSz w:orient="portrait" w:w="11905.511811023622" w:h="16837.79527559055"/>
          <w:pgMar w:top="1440" w:right="1440" w:bottom="1440" w:left="1440" w:header="720" w:footer="720" w:gutter="0"/>
          <w:cols w:num="1" w:space="720"/>
        </w:sectPr>
      </w:pPr>
    </w:p>
    <w:bookmarkStart w:id="1221" w:name="pg11704_122727"/>
    <w:bookmarkEnd w:id="1221"/>
    <w:p>
      <w:pPr>
        <w:pStyle w:val="BookText"/>
      </w:pPr>
      <w:r>
        <w:rPr>
          <w:rFonts w:ascii="IRNazanin" w:hAnsi="IRNazanin" w:eastAsia="IRNazanin" w:cs="IRNazanin"/>
          <w:lang w:bidi="fa-IR"/>
          <w:color w:val="111111"/>
          <w:sz w:val="28"/>
          <w:szCs w:val="28"/>
          <w:rtl/>
        </w:rPr>
        <w:t xml:space="preserve">ورد شعره فی (نر 9- ص 287) و (گلشن- ص 568) و همیشه بهار.</w:t>
      </w:r>
    </w:p>
    <w:p>
      <w:pPr>
        <w:pStyle w:val="Heading3"/>
      </w:pPr>
      <w:bookmarkStart w:id="10502" w:name="_Toc9198"/>
      <w:r>
        <w:t>دیوان نویدی گیلانی‏</w:t>
      </w:r>
      <w:bookmarkEnd w:id="10502"/>
    </w:p>
    <w:p>
      <w:pPr>
        <w:pStyle w:val="BookText"/>
      </w:pPr>
      <w:r>
        <w:rPr>
          <w:rFonts w:ascii="IRNazanin" w:hAnsi="IRNazanin" w:eastAsia="IRNazanin" w:cs="IRNazanin"/>
          <w:lang w:bidi="fa-IR"/>
          <w:color w:val="111111"/>
          <w:sz w:val="28"/>
          <w:szCs w:val="28"/>
          <w:rtl/>
        </w:rPr>
        <w:t xml:space="preserve">قال فی (گلشن- ص 569) إنه سافر إلی الهند فی عهد أکبر شاه.</w:t>
      </w:r>
    </w:p>
    <w:p>
      <w:pPr>
        <w:pStyle w:val="BookText"/>
      </w:pPr>
      <w:r>
        <w:rPr>
          <w:rFonts w:ascii="IRNazanin" w:hAnsi="IRNazanin" w:eastAsia="IRNazanin" w:cs="IRNazanin"/>
          <w:lang w:bidi="fa-IR"/>
          <w:color w:val="111111"/>
          <w:sz w:val="28"/>
          <w:szCs w:val="28"/>
          <w:rtl/>
        </w:rPr>
        <w:t xml:space="preserve">و عنه فی (علمای گیلان- ص 93) و لعله النیشابوری الآتی.</w:t>
      </w:r>
    </w:p>
    <w:p>
      <w:pPr>
        <w:pStyle w:val="Heading3"/>
      </w:pPr>
      <w:bookmarkStart w:id="10503" w:name="_Toc9199"/>
      <w:r>
        <w:t>7928- دیوان نویدی نیشابوری‏</w:t>
      </w:r>
      <w:bookmarkEnd w:id="10503"/>
    </w:p>
    <w:p>
      <w:pPr>
        <w:pStyle w:val="BookText"/>
      </w:pPr>
      <w:r>
        <w:rPr>
          <w:rFonts w:ascii="IRNazanin" w:hAnsi="IRNazanin" w:eastAsia="IRNazanin" w:cs="IRNazanin"/>
          <w:lang w:bidi="fa-IR"/>
          <w:color w:val="111111"/>
          <w:sz w:val="28"/>
          <w:szCs w:val="28"/>
          <w:rtl/>
        </w:rPr>
        <w:t xml:space="preserve">عده نظام الدین فی (طبق 2: 500) من ملازمی أکبر پادشاه و عنه فی (مطلع 3: 184) و فی (گلشن- ص 569) نسبه إلی گیلان.</w:t>
      </w:r>
    </w:p>
    <w:p>
      <w:pPr>
        <w:pStyle w:val="Heading3"/>
      </w:pPr>
      <w:bookmarkStart w:id="10504" w:name="_Toc9200"/>
      <w:r>
        <w:t>7929- دیوان نهالی‏</w:t>
      </w:r>
      <w:bookmarkEnd w:id="10504"/>
    </w:p>
    <w:p>
      <w:pPr>
        <w:pStyle w:val="BookText"/>
      </w:pPr>
      <w:r>
        <w:rPr>
          <w:rFonts w:ascii="IRNazanin" w:hAnsi="IRNazanin" w:eastAsia="IRNazanin" w:cs="IRNazanin"/>
          <w:lang w:bidi="fa-IR"/>
          <w:color w:val="111111"/>
          <w:sz w:val="28"/>
          <w:szCs w:val="28"/>
          <w:rtl/>
        </w:rPr>
        <w:t xml:space="preserve">یوجد نسخه من مثنوی مهر و ماه له عند (فخر الدین 333) کتبت فی 1245 فی 182 ورقة کل ورقة فی 24 بیتا. نظمها باسم حسین قلی میرزا فرمان فرما قاجار ظاهرا. أولها [ثنا و ستایش که بمیزان ... حسین قلی میرزا فرمان فرما ...</w:t>
      </w:r>
    </w:p>
    <w:p>
      <w:pPr>
        <w:pStyle w:val="BookText"/>
      </w:pPr>
      <w:r>
        <w:rPr>
          <w:rFonts w:ascii="IRNazanin" w:hAnsi="IRNazanin" w:eastAsia="IRNazanin" w:cs="IRNazanin"/>
          <w:lang w:bidi="fa-IR"/>
          <w:color w:val="111111"/>
          <w:sz w:val="28"/>
          <w:szCs w:val="28"/>
          <w:rtl/>
        </w:rPr>
        <w:t xml:space="preserve">به نام پاک شاه حی و دانا</w:t>
      </w:r>
    </w:p>
    <w:p>
      <w:pPr>
        <w:pStyle w:val="BookText"/>
      </w:pPr>
      <w:r>
        <w:rPr>
          <w:rFonts w:ascii="IRNazanin" w:hAnsi="IRNazanin" w:eastAsia="IRNazanin" w:cs="IRNazanin"/>
          <w:lang w:bidi="fa-IR"/>
          <w:color w:val="111111"/>
          <w:sz w:val="28"/>
          <w:szCs w:val="28"/>
          <w:rtl/>
        </w:rPr>
        <w:t xml:space="preserve">جهان‏بخش و روانبخش و توانا</w:t>
      </w:r>
    </w:p>
    <w:p>
      <w:pPr>
        <w:pStyle w:val="BookText"/>
      </w:pPr>
      <w:r>
        <w:rPr>
          <w:rFonts w:ascii="IRNazanin" w:hAnsi="IRNazanin" w:eastAsia="IRNazanin" w:cs="IRNazanin"/>
          <w:lang w:bidi="fa-IR"/>
          <w:color w:val="111111"/>
          <w:sz w:val="28"/>
          <w:szCs w:val="28"/>
          <w:rtl/>
        </w:rPr>
        <w:t xml:space="preserve">] و مر مهر ماه لعارف لاهوری و عصار تبریزی.</w:t>
      </w:r>
    </w:p>
    <w:p>
      <w:pPr>
        <w:pStyle w:val="Heading3"/>
      </w:pPr>
      <w:bookmarkStart w:id="10505" w:name="_Toc9201"/>
      <w:r>
        <w:t>7930- دیوان نهالی سمرقندی أو شعرها</w:t>
      </w:r>
      <w:bookmarkEnd w:id="10505"/>
    </w:p>
    <w:p>
      <w:pPr>
        <w:pStyle w:val="BookText"/>
      </w:pPr>
      <w:r>
        <w:rPr>
          <w:rFonts w:ascii="IRNazanin" w:hAnsi="IRNazanin" w:eastAsia="IRNazanin" w:cs="IRNazanin"/>
          <w:lang w:bidi="fa-IR"/>
          <w:color w:val="111111"/>
          <w:sz w:val="28"/>
          <w:szCs w:val="28"/>
          <w:rtl/>
        </w:rPr>
        <w:t xml:space="preserve">کانت من شاعرات سمرقند فی القرن العاشر. ورد شعرها فی از رابعة تا پروین- ص 258 نقلا عن خیرات حسان.</w:t>
      </w:r>
    </w:p>
    <w:p>
      <w:pPr>
        <w:pStyle w:val="Heading3"/>
      </w:pPr>
      <w:bookmarkStart w:id="10506" w:name="_Toc9202"/>
      <w:r>
        <w:t>دیوان نهانی أصفهانی‏</w:t>
      </w:r>
      <w:bookmarkEnd w:id="10506"/>
    </w:p>
    <w:p>
      <w:pPr>
        <w:pStyle w:val="BookText"/>
      </w:pPr>
      <w:r>
        <w:rPr>
          <w:rFonts w:ascii="IRNazanin" w:hAnsi="IRNazanin" w:eastAsia="IRNazanin" w:cs="IRNazanin"/>
          <w:lang w:bidi="fa-IR"/>
          <w:color w:val="111111"/>
          <w:sz w:val="28"/>
          <w:szCs w:val="28"/>
          <w:rtl/>
        </w:rPr>
        <w:t xml:space="preserve">راجع نهانی کرمانی.</w:t>
      </w:r>
    </w:p>
    <w:p>
      <w:pPr>
        <w:pStyle w:val="Heading3"/>
      </w:pPr>
      <w:bookmarkStart w:id="10507" w:name="_Toc9203"/>
      <w:r>
        <w:t>7931- دیوان نهانی أصفهانی أو شعرها</w:t>
      </w:r>
      <w:bookmarkEnd w:id="10507"/>
    </w:p>
    <w:p>
      <w:pPr>
        <w:pStyle w:val="BookText"/>
      </w:pPr>
      <w:r>
        <w:rPr>
          <w:rFonts w:ascii="IRNazanin" w:hAnsi="IRNazanin" w:eastAsia="IRNazanin" w:cs="IRNazanin"/>
          <w:lang w:bidi="fa-IR"/>
          <w:color w:val="111111"/>
          <w:sz w:val="28"/>
          <w:szCs w:val="28"/>
          <w:rtl/>
        </w:rPr>
        <w:t xml:space="preserve">کانت ندیمة خرم بیگم والدة الشاه سلیمان الصفوی. ورد شعرها فی (گلشن- ص 569) و (خیال- ص 335) و (نتایج- ص 732).</w:t>
      </w:r>
    </w:p>
    <w:p>
      <w:pPr>
        <w:pStyle w:val="Heading3"/>
      </w:pPr>
      <w:bookmarkStart w:id="10508" w:name="_Toc9204"/>
      <w:r>
        <w:t>7932- دیوان نهانی أکبرآبادی أو شعرها</w:t>
      </w:r>
      <w:bookmarkEnd w:id="10508"/>
    </w:p>
    <w:p>
      <w:pPr>
        <w:pStyle w:val="BookText"/>
      </w:pPr>
      <w:r>
        <w:rPr>
          <w:rFonts w:ascii="IRNazanin" w:hAnsi="IRNazanin" w:eastAsia="IRNazanin" w:cs="IRNazanin"/>
          <w:lang w:bidi="fa-IR"/>
          <w:color w:val="111111"/>
          <w:sz w:val="28"/>
          <w:szCs w:val="28"/>
          <w:rtl/>
        </w:rPr>
        <w:t xml:space="preserve">و هی أم محمد جعفر الأکبرآبادی حاکم کشمیر فی 1004 عن أکبر شاه. ورد شعرها فی (گلشن- ص 569).</w:t>
      </w:r>
    </w:p>
    <w:p>
      <w:pPr>
        <w:pStyle w:val="Heading3"/>
      </w:pPr>
      <w:bookmarkStart w:id="10509" w:name="_Toc9205"/>
      <w:r>
        <w:t>7933- دیوان نهانی شیرازی أو شعرها</w:t>
      </w:r>
      <w:bookmarkEnd w:id="10509"/>
    </w:p>
    <w:p>
      <w:pPr>
        <w:pStyle w:val="BookText"/>
      </w:pPr>
      <w:r>
        <w:rPr>
          <w:rFonts w:ascii="IRNazanin" w:hAnsi="IRNazanin" w:eastAsia="IRNazanin" w:cs="IRNazanin"/>
          <w:lang w:bidi="fa-IR"/>
          <w:color w:val="111111"/>
          <w:sz w:val="28"/>
          <w:szCs w:val="28"/>
          <w:rtl/>
        </w:rPr>
        <w:t xml:space="preserve">الشاعرة الشیرازیة التی أجابت غزلیات جامی المتوفی 898. ورد شعرها فی (گلشن- ص 569) و (حسینی- ص 354) و از رابعة تا پروین- ص 258 و یوجد تذکره شعراء ل نهانی شروانی.</w:t>
      </w:r>
    </w:p>
    <w:p>
      <w:pPr>
        <w:pStyle w:val="Heading3"/>
      </w:pPr>
      <w:bookmarkStart w:id="10510" w:name="_Toc9206"/>
      <w:r>
        <w:t>7934- دیوان نهانی قاینی أو شعرها</w:t>
      </w:r>
      <w:bookmarkEnd w:id="10510"/>
    </w:p>
    <w:p>
      <w:pPr>
        <w:pStyle w:val="BookText"/>
      </w:pPr>
      <w:r>
        <w:rPr>
          <w:rFonts w:ascii="IRNazanin" w:hAnsi="IRNazanin" w:eastAsia="IRNazanin" w:cs="IRNazanin"/>
          <w:lang w:bidi="fa-IR"/>
          <w:color w:val="111111"/>
          <w:sz w:val="28"/>
          <w:szCs w:val="28"/>
          <w:rtl/>
        </w:rPr>
        <w:t xml:space="preserve">و اسمها منیجة خانم ذکرت شعرها فی (گلشن- ص 569) عن شمع انجمن و (حسینی- ص 354).</w:t>
      </w:r>
    </w:p>
    <w:p>
      <w:pPr>
        <w:pStyle w:val="Heading3"/>
      </w:pPr>
      <w:bookmarkStart w:id="10511" w:name="_Toc9207"/>
      <w:r>
        <w:t>7935- دیوان نهانی کرمانی أو شعرها</w:t>
      </w:r>
      <w:bookmarkEnd w:id="10511"/>
    </w:p>
    <w:p>
      <w:pPr>
        <w:pStyle w:val="BookText"/>
      </w:pPr>
      <w:r>
        <w:rPr>
          <w:rFonts w:ascii="IRNazanin" w:hAnsi="IRNazanin" w:eastAsia="IRNazanin" w:cs="IRNazanin"/>
          <w:lang w:bidi="fa-IR"/>
          <w:color w:val="111111"/>
          <w:sz w:val="28"/>
          <w:szCs w:val="28"/>
          <w:rtl/>
        </w:rPr>
        <w:t xml:space="preserve">نقل فی از رابعة تا پروین- ص 260 عن تذکره الخواتین- ص 167 إنها کانت ندیمة والدة الشاه سلیمان الصفوی، و عن جواهر العجائب إنها کانت أخت الخواجة أفضل الکرمانی المتوفی 910 وزیر
</w:t>
      </w:r>
    </w:p>
    <w:p>
      <w:pPr>
        <w:sectPr>
          <w:footerReference w:type="default" r:id="rId1247"/>
          <w:footnotePr>
            <w:numStart w:val="1"/>
            <w:numRestart w:val="eachPage"/>
          </w:footnotePr>
          <w:pgSz w:orient="portrait" w:w="11905.511811023622" w:h="16837.79527559055"/>
          <w:pgMar w:top="1440" w:right="1440" w:bottom="1440" w:left="1440" w:header="720" w:footer="720" w:gutter="0"/>
          <w:cols w:num="1" w:space="720"/>
        </w:sectPr>
      </w:pPr>
    </w:p>
    <w:bookmarkStart w:id="1222" w:name="pg11704_122729"/>
    <w:bookmarkEnd w:id="1222"/>
    <w:p>
      <w:pPr>
        <w:pStyle w:val="BookText"/>
      </w:pPr>
      <w:r>
        <w:rPr>
          <w:rFonts w:ascii="IRNazanin" w:hAnsi="IRNazanin" w:eastAsia="IRNazanin" w:cs="IRNazanin"/>
          <w:lang w:bidi="fa-IR"/>
          <w:color w:val="111111"/>
          <w:sz w:val="28"/>
          <w:szCs w:val="28"/>
          <w:rtl/>
        </w:rPr>
        <w:t xml:space="preserve">السلطان حسین بایقرا. و فی (گلشن- ص 569) ذکر نهانی أصفهانی زوجة السلطان حسین بایقرا وعدها سوی الکرمانیة و غیر الأصفهانیة الندیمة المذکورتان.</w:t>
      </w:r>
    </w:p>
    <w:p>
      <w:pPr>
        <w:pStyle w:val="Heading3"/>
      </w:pPr>
      <w:bookmarkStart w:id="10512" w:name="_Toc9208"/>
      <w:r>
        <w:t>دیوان نیاز أصفهانی‏</w:t>
      </w:r>
      <w:bookmarkEnd w:id="10512"/>
    </w:p>
    <w:p>
      <w:pPr>
        <w:pStyle w:val="BookText"/>
      </w:pPr>
      <w:r>
        <w:rPr>
          <w:rFonts w:ascii="IRNazanin" w:hAnsi="IRNazanin" w:eastAsia="IRNazanin" w:cs="IRNazanin"/>
          <w:lang w:bidi="fa-IR"/>
          <w:color w:val="111111"/>
          <w:sz w:val="28"/>
          <w:szCs w:val="28"/>
          <w:rtl/>
        </w:rPr>
        <w:t xml:space="preserve">راجع نیاز جوشقانی.</w:t>
      </w:r>
    </w:p>
    <w:p>
      <w:pPr>
        <w:pStyle w:val="Heading3"/>
      </w:pPr>
      <w:bookmarkStart w:id="10513" w:name="_Toc9209"/>
      <w:r>
        <w:t>7936- دیوان نیاز بریلوی‏</w:t>
      </w:r>
      <w:bookmarkEnd w:id="10513"/>
    </w:p>
    <w:p>
      <w:pPr>
        <w:pStyle w:val="BookText"/>
      </w:pPr>
      <w:r>
        <w:rPr>
          <w:rFonts w:ascii="IRNazanin" w:hAnsi="IRNazanin" w:eastAsia="IRNazanin" w:cs="IRNazanin"/>
          <w:lang w:bidi="fa-IR"/>
          <w:color w:val="111111"/>
          <w:sz w:val="28"/>
          <w:szCs w:val="28"/>
          <w:rtl/>
        </w:rPr>
        <w:t xml:space="preserve">لمولانا شاه أحمد قادر المتصوف، یوجد فی مکتبة (بنگاله) و ترجم فی نگارستان سخن- ص 136 و تذکره قاری. و طبع دیوان نیاز بالهند مکررا بالفارسیة و الأردویة.</w:t>
      </w:r>
    </w:p>
    <w:p>
      <w:pPr>
        <w:pStyle w:val="Heading3"/>
      </w:pPr>
      <w:bookmarkStart w:id="10514" w:name="_Toc9210"/>
      <w:r>
        <w:t>7937- دیوان نیاز تبریزی أو شعره‏</w:t>
      </w:r>
      <w:bookmarkEnd w:id="10514"/>
    </w:p>
    <w:p>
      <w:pPr>
        <w:pStyle w:val="BookText"/>
      </w:pPr>
      <w:r>
        <w:rPr>
          <w:rFonts w:ascii="IRNazanin" w:hAnsi="IRNazanin" w:eastAsia="IRNazanin" w:cs="IRNazanin"/>
          <w:lang w:bidi="fa-IR"/>
          <w:color w:val="111111"/>
          <w:sz w:val="28"/>
          <w:szCs w:val="28"/>
          <w:rtl/>
        </w:rPr>
        <w:t xml:space="preserve">و هو میرزا إسماعیل بن ملا محمد الممقانی المعروف بحجة الإسلام أخ نیر تبریزی الآتی. ترجم فی لغت‏نامه دهخدا حرف الحاء ص 320 نقلا عن سلطان القرائی.</w:t>
      </w:r>
    </w:p>
    <w:p>
      <w:pPr>
        <w:pStyle w:val="Heading3"/>
      </w:pPr>
      <w:bookmarkStart w:id="10515" w:name="_Toc9211"/>
      <w:r>
        <w:t>7938- دیوان نیاز جوشقانی‏</w:t>
      </w:r>
      <w:bookmarkEnd w:id="10515"/>
    </w:p>
    <w:p>
      <w:pPr>
        <w:pStyle w:val="BookText"/>
      </w:pPr>
      <w:r>
        <w:rPr>
          <w:rFonts w:ascii="IRNazanin" w:hAnsi="IRNazanin" w:eastAsia="IRNazanin" w:cs="IRNazanin"/>
          <w:lang w:bidi="fa-IR"/>
          <w:color w:val="111111"/>
          <w:sz w:val="28"/>
          <w:szCs w:val="28"/>
          <w:rtl/>
        </w:rPr>
        <w:t xml:space="preserve">و هو السید حسین الطباطبائی الأصفهانی من أحفاد المیر شاه تقی الجوشقانی المقرب عند الشاه سلیمان الصفوی. کان معاصر فتح علی شاه، و ترجم فی (انجمن 4) و (مع 2: 499) و (طرائق 3: 144) و طبع 60 صفحة من غزله فی دانش‏نامه لألفت فی 1342 و یوجد نسخه من دیوانه تحتوی علی القصائد و المقطعات و الغزل فی (المجلس) کما فی فهرسها 3: 444 و قد یتخلص نیازی.</w:t>
      </w:r>
    </w:p>
    <w:p>
      <w:pPr>
        <w:pStyle w:val="Heading3"/>
      </w:pPr>
      <w:bookmarkStart w:id="10516" w:name="_Toc9212"/>
      <w:r>
        <w:t>7939- دیوان نیاز دهلوی أو شعره‏</w:t>
      </w:r>
      <w:bookmarkEnd w:id="10516"/>
    </w:p>
    <w:p>
      <w:pPr>
        <w:pStyle w:val="BookText"/>
      </w:pPr>
      <w:r>
        <w:rPr>
          <w:rFonts w:ascii="IRNazanin" w:hAnsi="IRNazanin" w:eastAsia="IRNazanin" w:cs="IRNazanin"/>
          <w:lang w:bidi="fa-IR"/>
          <w:color w:val="111111"/>
          <w:sz w:val="28"/>
          <w:szCs w:val="28"/>
          <w:rtl/>
        </w:rPr>
        <w:t xml:space="preserve">و اسمه جمال الدین. ورد شعره فی (گلشن- ص 570).</w:t>
      </w:r>
    </w:p>
    <w:p>
      <w:pPr>
        <w:pStyle w:val="Heading3"/>
      </w:pPr>
      <w:bookmarkStart w:id="10517" w:name="_Toc9213"/>
      <w:r>
        <w:t>دیوان نیاز السلاطین‏</w:t>
      </w:r>
      <w:bookmarkEnd w:id="10517"/>
    </w:p>
    <w:p>
      <w:pPr>
        <w:pStyle w:val="BookText"/>
      </w:pPr>
      <w:r>
        <w:rPr>
          <w:rFonts w:ascii="IRNazanin" w:hAnsi="IRNazanin" w:eastAsia="IRNazanin" w:cs="IRNazanin"/>
          <w:lang w:bidi="fa-IR"/>
          <w:color w:val="111111"/>
          <w:sz w:val="28"/>
          <w:szCs w:val="28"/>
          <w:rtl/>
        </w:rPr>
        <w:t xml:space="preserve">کما فی نسخه خطه 1274 فی المکتبة (الملیة- 705) لفرج الله المنشی الملقب خازن الأشعار. مر بعنوان تخلصه طرفه محلاتی.</w:t>
      </w:r>
    </w:p>
    <w:p>
      <w:pPr>
        <w:pStyle w:val="Heading3"/>
      </w:pPr>
      <w:bookmarkStart w:id="10518" w:name="_Toc9214"/>
      <w:r>
        <w:t>7940- دیوان نیاز شیرازی‏</w:t>
      </w:r>
      <w:bookmarkEnd w:id="10518"/>
    </w:p>
    <w:p>
      <w:pPr>
        <w:pStyle w:val="BookText"/>
      </w:pPr>
      <w:r>
        <w:rPr>
          <w:rFonts w:ascii="IRNazanin" w:hAnsi="IRNazanin" w:eastAsia="IRNazanin" w:cs="IRNazanin"/>
          <w:lang w:bidi="fa-IR"/>
          <w:color w:val="111111"/>
          <w:sz w:val="28"/>
          <w:szCs w:val="28"/>
          <w:rtl/>
        </w:rPr>
        <w:t xml:space="preserve">لآقا محمد رضا بن محمد هاشم بن إسماعیل الذهبی الشیرازی المتوفی 1224. ترجم فی (مع 2: 500) و (ض- ص 336) و (طرائق- 3: 99).</w:t>
      </w:r>
    </w:p>
    <w:p>
      <w:pPr>
        <w:pStyle w:val="Heading3"/>
      </w:pPr>
      <w:bookmarkStart w:id="10519" w:name="_Toc9215"/>
      <w:r>
        <w:t>7941- دیوان نیاز شیرازی‏</w:t>
      </w:r>
      <w:bookmarkEnd w:id="10519"/>
    </w:p>
    <w:p>
      <w:pPr>
        <w:pStyle w:val="BookText"/>
      </w:pPr>
      <w:r>
        <w:rPr>
          <w:rFonts w:ascii="IRNazanin" w:hAnsi="IRNazanin" w:eastAsia="IRNazanin" w:cs="IRNazanin"/>
          <w:lang w:bidi="fa-IR"/>
          <w:color w:val="111111"/>
          <w:sz w:val="28"/>
          <w:szCs w:val="28"/>
          <w:rtl/>
        </w:rPr>
        <w:t xml:space="preserve">الخطاط اسمه میرزا علی بن حسن علی من أحفاد غیاث الدین، ولد 1197 و سافر إلی الهند فی 1230 و رجع و توفی 1263 ورد شعره فی (فارس‏نامه 2: 118) و (عم- ص 545) و (طرائق 3: 144) و فی خطوط خوش ص 293 أنه تلمذ فی الخط علی أبی الحسن تلمیذ درویش عبد المجید الطالقانی.
</w:t>
      </w:r>
    </w:p>
    <w:p>
      <w:pPr>
        <w:sectPr>
          <w:footerReference w:type="default" r:id="rId1248"/>
          <w:footnotePr>
            <w:numStart w:val="1"/>
            <w:numRestart w:val="eachPage"/>
          </w:footnotePr>
          <w:pgSz w:orient="portrait" w:w="11905.511811023622" w:h="16837.79527559055"/>
          <w:pgMar w:top="1440" w:right="1440" w:bottom="1440" w:left="1440" w:header="720" w:footer="720" w:gutter="0"/>
          <w:cols w:num="1" w:space="720"/>
        </w:sectPr>
      </w:pPr>
    </w:p>
    <w:bookmarkStart w:id="1223" w:name="pg11704_122731"/>
    <w:bookmarkEnd w:id="1223"/>
    <w:p>
      <w:pPr>
        <w:pStyle w:val="BookText"/>
      </w:pPr>
      <w:r>
        <w:rPr>
          <w:rFonts w:ascii="IRNazanin" w:hAnsi="IRNazanin" w:eastAsia="IRNazanin" w:cs="IRNazanin"/>
          <w:lang w:bidi="fa-IR"/>
          <w:color w:val="111111"/>
          <w:sz w:val="28"/>
          <w:szCs w:val="28"/>
          <w:rtl/>
        </w:rPr>
        <w:t xml:space="preserve">یوجد نسخه من دیوانه عند (فخر الدین- 32) بخطه و فیها ساقی‏نامه.</w:t>
      </w:r>
    </w:p>
    <w:p>
      <w:pPr>
        <w:pStyle w:val="Heading3"/>
      </w:pPr>
      <w:bookmarkStart w:id="10520" w:name="_Toc9216"/>
      <w:r>
        <w:t>7942- دیوان نیاز هندی أو شعره‏</w:t>
      </w:r>
      <w:bookmarkEnd w:id="10520"/>
    </w:p>
    <w:p>
      <w:pPr>
        <w:pStyle w:val="BookText"/>
      </w:pPr>
      <w:r>
        <w:rPr>
          <w:rFonts w:ascii="IRNazanin" w:hAnsi="IRNazanin" w:eastAsia="IRNazanin" w:cs="IRNazanin"/>
          <w:lang w:bidi="fa-IR"/>
          <w:color w:val="111111"/>
          <w:sz w:val="28"/>
          <w:szCs w:val="28"/>
          <w:rtl/>
        </w:rPr>
        <w:t xml:space="preserve">و اسمه الشیخ محمد. ورد شعره فی (خیال- ص 303). و طبع دیوان نیاز فی قسمین 1- الفارسیة 2- بالأردویة فی الهند مکررا.</w:t>
      </w:r>
    </w:p>
    <w:p>
      <w:pPr>
        <w:pStyle w:val="BookText"/>
      </w:pPr>
      <w:r>
        <w:rPr>
          <w:rFonts w:ascii="IRNazanin" w:hAnsi="IRNazanin" w:eastAsia="IRNazanin" w:cs="IRNazanin"/>
          <w:lang w:bidi="fa-IR"/>
          <w:color w:val="111111"/>
          <w:sz w:val="28"/>
          <w:szCs w:val="28"/>
          <w:rtl/>
        </w:rPr>
        <w:t xml:space="preserve">1849 و 1869.</w:t>
      </w:r>
    </w:p>
    <w:p>
      <w:pPr>
        <w:pStyle w:val="Heading3"/>
      </w:pPr>
      <w:bookmarkStart w:id="10521" w:name="_Toc9217"/>
      <w:r>
        <w:t>7943- دیوان نیاز أسترآبادی أو شعره‏</w:t>
      </w:r>
      <w:bookmarkEnd w:id="10521"/>
    </w:p>
    <w:p>
      <w:pPr>
        <w:pStyle w:val="BookText"/>
      </w:pPr>
      <w:r>
        <w:rPr>
          <w:rFonts w:ascii="IRNazanin" w:hAnsi="IRNazanin" w:eastAsia="IRNazanin" w:cs="IRNazanin"/>
          <w:lang w:bidi="fa-IR"/>
          <w:color w:val="111111"/>
          <w:sz w:val="28"/>
          <w:szCs w:val="28"/>
          <w:rtl/>
        </w:rPr>
        <w:t xml:space="preserve">و اسمه ملا شمس الدین، ورد شعره فی (گلشن- ص 571).</w:t>
      </w:r>
    </w:p>
    <w:p>
      <w:pPr>
        <w:pStyle w:val="Heading3"/>
      </w:pPr>
      <w:bookmarkStart w:id="10522" w:name="_Toc9218"/>
      <w:r>
        <w:t>دیوان نیازی أصفهانی‏</w:t>
      </w:r>
      <w:bookmarkEnd w:id="10522"/>
    </w:p>
    <w:p>
      <w:pPr>
        <w:pStyle w:val="BookText"/>
      </w:pPr>
      <w:r>
        <w:rPr>
          <w:rFonts w:ascii="IRNazanin" w:hAnsi="IRNazanin" w:eastAsia="IRNazanin" w:cs="IRNazanin"/>
          <w:lang w:bidi="fa-IR"/>
          <w:color w:val="111111"/>
          <w:sz w:val="28"/>
          <w:szCs w:val="28"/>
          <w:rtl/>
        </w:rPr>
        <w:t xml:space="preserve">راجع نیازی صفوی و نیاز جوشقانی.</w:t>
      </w:r>
    </w:p>
    <w:p>
      <w:pPr>
        <w:pStyle w:val="Heading3"/>
      </w:pPr>
      <w:bookmarkStart w:id="10523" w:name="_Toc9219"/>
      <w:r>
        <w:t>7944- دیوان نیازی أصفهانی أو شعره‏</w:t>
      </w:r>
      <w:bookmarkEnd w:id="10523"/>
    </w:p>
    <w:p>
      <w:pPr>
        <w:pStyle w:val="BookText"/>
      </w:pPr>
      <w:r>
        <w:rPr>
          <w:rFonts w:ascii="IRNazanin" w:hAnsi="IRNazanin" w:eastAsia="IRNazanin" w:cs="IRNazanin"/>
          <w:lang w:bidi="fa-IR"/>
          <w:color w:val="111111"/>
          <w:sz w:val="28"/>
          <w:szCs w:val="28"/>
          <w:rtl/>
        </w:rPr>
        <w:t xml:space="preserve">و اسمه تقی العطار ورد شعره فی (گلشن- ص 538) و قال جاء إلی الهند و رجع إلی وطنه.</w:t>
      </w:r>
    </w:p>
    <w:p>
      <w:pPr>
        <w:pStyle w:val="Heading3"/>
      </w:pPr>
      <w:bookmarkStart w:id="10524" w:name="_Toc9220"/>
      <w:r>
        <w:t>7945- دیوان نیازی بخاری أو شعره‏</w:t>
      </w:r>
      <w:bookmarkEnd w:id="10524"/>
    </w:p>
    <w:p>
      <w:pPr>
        <w:pStyle w:val="BookText"/>
      </w:pPr>
      <w:r>
        <w:rPr>
          <w:rFonts w:ascii="IRNazanin" w:hAnsi="IRNazanin" w:eastAsia="IRNazanin" w:cs="IRNazanin"/>
          <w:lang w:bidi="fa-IR"/>
          <w:color w:val="111111"/>
          <w:sz w:val="28"/>
          <w:szCs w:val="28"/>
          <w:rtl/>
        </w:rPr>
        <w:t xml:space="preserve">و اسمه السید حسن السمرقندی من شعراء عهد أکبر شاه فی الهند. ورد شعره فی (نر 15- ص 507) و (خوش‏گو) و هفت إقلیم و مقالات الشعراء- ص 821 و (طبق 2: 507).</w:t>
      </w:r>
    </w:p>
    <w:p>
      <w:pPr>
        <w:pStyle w:val="Heading3"/>
      </w:pPr>
      <w:bookmarkStart w:id="10525" w:name="_Toc9221"/>
      <w:r>
        <w:t>7946- دیوان نیازی بدخشی أو شعره‏</w:t>
      </w:r>
      <w:bookmarkEnd w:id="10525"/>
    </w:p>
    <w:p>
      <w:pPr>
        <w:pStyle w:val="BookText"/>
      </w:pPr>
      <w:r>
        <w:rPr>
          <w:rFonts w:ascii="IRNazanin" w:hAnsi="IRNazanin" w:eastAsia="IRNazanin" w:cs="IRNazanin"/>
          <w:lang w:bidi="fa-IR"/>
          <w:color w:val="111111"/>
          <w:sz w:val="28"/>
          <w:szCs w:val="28"/>
          <w:rtl/>
        </w:rPr>
        <w:t xml:space="preserve">ورد شعره فی هفت إقلیم و (گلشن- ص 571).</w:t>
      </w:r>
    </w:p>
    <w:p>
      <w:pPr>
        <w:pStyle w:val="Heading3"/>
      </w:pPr>
      <w:bookmarkStart w:id="10526" w:name="_Toc9222"/>
      <w:r>
        <w:t>7947- دیوان نیازی حجازی‏</w:t>
      </w:r>
      <w:bookmarkEnd w:id="10526"/>
    </w:p>
    <w:p>
      <w:pPr>
        <w:pStyle w:val="BookText"/>
      </w:pPr>
      <w:r>
        <w:rPr>
          <w:rFonts w:ascii="IRNazanin" w:hAnsi="IRNazanin" w:eastAsia="IRNazanin" w:cs="IRNazanin"/>
          <w:lang w:bidi="fa-IR"/>
          <w:color w:val="111111"/>
          <w:sz w:val="28"/>
          <w:szCs w:val="28"/>
          <w:rtl/>
        </w:rPr>
        <w:t xml:space="preserve">یوجد له منظومة جامع اللغات فی اللغة الفارسیة فی مکتبة (سپهسالار) کما فی فهرسها 4: 17 و 18 و ذکر فی فرهنگ نامه‏های عربی بفارسی- ص 117.</w:t>
      </w:r>
    </w:p>
    <w:p>
      <w:pPr>
        <w:pStyle w:val="Heading3"/>
      </w:pPr>
      <w:bookmarkStart w:id="10527" w:name="_Toc9223"/>
      <w:r>
        <w:t>7948- دیوان نیازی دهلوی أو شعره‏</w:t>
      </w:r>
      <w:bookmarkEnd w:id="10527"/>
    </w:p>
    <w:p>
      <w:pPr>
        <w:pStyle w:val="BookText"/>
      </w:pPr>
      <w:r>
        <w:rPr>
          <w:rFonts w:ascii="IRNazanin" w:hAnsi="IRNazanin" w:eastAsia="IRNazanin" w:cs="IRNazanin"/>
          <w:lang w:bidi="fa-IR"/>
          <w:color w:val="111111"/>
          <w:sz w:val="28"/>
          <w:szCs w:val="28"/>
          <w:rtl/>
        </w:rPr>
        <w:t xml:space="preserve">و اسمه محمد سمیع. ورد شعره فی (گلشن- ص 571) قال جاء مع أبیه من بخارا و تلمذ علی الحزین و أخذ تخلصه منه.</w:t>
      </w:r>
    </w:p>
    <w:p>
      <w:pPr>
        <w:pStyle w:val="Heading3"/>
      </w:pPr>
      <w:bookmarkStart w:id="10528" w:name="_Toc9224"/>
      <w:r>
        <w:t>دیوان نیازی سمرقندی‏</w:t>
      </w:r>
      <w:bookmarkEnd w:id="10528"/>
    </w:p>
    <w:p>
      <w:pPr>
        <w:pStyle w:val="BookText"/>
      </w:pPr>
      <w:r>
        <w:rPr>
          <w:rFonts w:ascii="IRNazanin" w:hAnsi="IRNazanin" w:eastAsia="IRNazanin" w:cs="IRNazanin"/>
          <w:lang w:bidi="fa-IR"/>
          <w:color w:val="111111"/>
          <w:sz w:val="28"/>
          <w:szCs w:val="28"/>
          <w:rtl/>
        </w:rPr>
        <w:t xml:space="preserve">راجع نیازی بخاری.</w:t>
      </w:r>
    </w:p>
    <w:p>
      <w:pPr>
        <w:pStyle w:val="Heading3"/>
      </w:pPr>
      <w:bookmarkStart w:id="10529" w:name="_Toc9225"/>
      <w:r>
        <w:t>دیوان نیازی شرفی‏</w:t>
      </w:r>
      <w:bookmarkEnd w:id="10529"/>
    </w:p>
    <w:p>
      <w:pPr>
        <w:pStyle w:val="BookText"/>
      </w:pPr>
      <w:r>
        <w:rPr>
          <w:rFonts w:ascii="IRNazanin" w:hAnsi="IRNazanin" w:eastAsia="IRNazanin" w:cs="IRNazanin"/>
          <w:lang w:bidi="fa-IR"/>
          <w:color w:val="111111"/>
          <w:sz w:val="28"/>
          <w:szCs w:val="28"/>
          <w:rtl/>
        </w:rPr>
        <w:t xml:space="preserve">راجع نیازی یزدی.</w:t>
      </w:r>
    </w:p>
    <w:p>
      <w:pPr>
        <w:pStyle w:val="Heading3"/>
      </w:pPr>
      <w:bookmarkStart w:id="10530" w:name="_Toc9226"/>
      <w:r>
        <w:t>7949- دیوان نیازی شوشتری أو شعره‏</w:t>
      </w:r>
      <w:bookmarkEnd w:id="10530"/>
    </w:p>
    <w:p>
      <w:pPr>
        <w:pStyle w:val="BookText"/>
      </w:pPr>
      <w:r>
        <w:rPr>
          <w:rFonts w:ascii="IRNazanin" w:hAnsi="IRNazanin" w:eastAsia="IRNazanin" w:cs="IRNazanin"/>
          <w:lang w:bidi="fa-IR"/>
          <w:color w:val="111111"/>
          <w:sz w:val="28"/>
          <w:szCs w:val="28"/>
          <w:rtl/>
        </w:rPr>
        <w:t xml:space="preserve">ورد شعره فی هفت إقلیم.</w:t>
      </w:r>
    </w:p>
    <w:p>
      <w:pPr>
        <w:pStyle w:val="Heading3"/>
      </w:pPr>
      <w:bookmarkStart w:id="10531" w:name="_Toc9227"/>
      <w:r>
        <w:t>7950- دیوان نیازی صفوی‏</w:t>
      </w:r>
      <w:bookmarkEnd w:id="10531"/>
    </w:p>
    <w:p>
      <w:pPr>
        <w:pStyle w:val="BookText"/>
      </w:pPr>
      <w:r>
        <w:rPr>
          <w:rFonts w:ascii="IRNazanin" w:hAnsi="IRNazanin" w:eastAsia="IRNazanin" w:cs="IRNazanin"/>
          <w:lang w:bidi="fa-IR"/>
          <w:color w:val="111111"/>
          <w:sz w:val="28"/>
          <w:szCs w:val="28"/>
          <w:rtl/>
        </w:rPr>
        <w:t xml:space="preserve">و اسمه أحمد بن مرتضی الصدر سبط الشاه سلطان حسین و صهر الشاه طهماسب الثانی و ابن أخته و من أحفاد خلیفة سلطان. ترجم فی (تش- ص 419) و فی (تعا- ص 157) أن دیوانه لا یزید علی ألف بیت. أورد بعضها
</w:t>
      </w:r>
    </w:p>
    <w:p>
      <w:pPr>
        <w:sectPr>
          <w:footerReference w:type="default" r:id="rId1249"/>
          <w:footnotePr>
            <w:numStart w:val="1"/>
            <w:numRestart w:val="eachPage"/>
          </w:footnotePr>
          <w:pgSz w:orient="portrait" w:w="11905.511811023622" w:h="16837.79527559055"/>
          <w:pgMar w:top="1440" w:right="1440" w:bottom="1440" w:left="1440" w:header="720" w:footer="720" w:gutter="0"/>
          <w:cols w:num="1" w:space="720"/>
        </w:sectPr>
      </w:pPr>
    </w:p>
    <w:bookmarkStart w:id="1224" w:name="pg11704_122733"/>
    <w:bookmarkEnd w:id="1224"/>
    <w:p>
      <w:pPr>
        <w:pStyle w:val="BookText"/>
      </w:pPr>
      <w:r>
        <w:rPr>
          <w:rFonts w:ascii="IRNazanin" w:hAnsi="IRNazanin" w:eastAsia="IRNazanin" w:cs="IRNazanin"/>
          <w:lang w:bidi="fa-IR"/>
          <w:color w:val="111111"/>
          <w:sz w:val="28"/>
          <w:szCs w:val="28"/>
          <w:rtl/>
        </w:rPr>
        <w:t xml:space="preserve">فی (مع 2: 499) و (انجمن 4) و (طرائق 3: 73) و (روشن- ص 726).</w:t>
      </w:r>
    </w:p>
    <w:p>
      <w:pPr>
        <w:pStyle w:val="Heading3"/>
      </w:pPr>
      <w:bookmarkStart w:id="10532" w:name="_Toc9228"/>
      <w:r>
        <w:t>7951- دیوان نیازی قزوینی أو شعره‏</w:t>
      </w:r>
      <w:bookmarkEnd w:id="10532"/>
    </w:p>
    <w:p>
      <w:pPr>
        <w:pStyle w:val="BookText"/>
      </w:pPr>
      <w:r>
        <w:rPr>
          <w:rFonts w:ascii="IRNazanin" w:hAnsi="IRNazanin" w:eastAsia="IRNazanin" w:cs="IRNazanin"/>
          <w:lang w:bidi="fa-IR"/>
          <w:color w:val="111111"/>
          <w:sz w:val="28"/>
          <w:szCs w:val="28"/>
          <w:rtl/>
        </w:rPr>
        <w:t xml:space="preserve">و یلقب میخچه‏گر لاشتغاله به. ورد شعره فی (تس 5- ص 174).</w:t>
      </w:r>
    </w:p>
    <w:p>
      <w:pPr>
        <w:pStyle w:val="Heading3"/>
      </w:pPr>
      <w:bookmarkStart w:id="10533" w:name="_Toc9229"/>
      <w:r>
        <w:t>7952- دیوان نیازی هروی أو شعره‏</w:t>
      </w:r>
      <w:bookmarkEnd w:id="10533"/>
    </w:p>
    <w:p>
      <w:pPr>
        <w:pStyle w:val="BookText"/>
      </w:pPr>
      <w:r>
        <w:rPr>
          <w:rFonts w:ascii="IRNazanin" w:hAnsi="IRNazanin" w:eastAsia="IRNazanin" w:cs="IRNazanin"/>
          <w:lang w:bidi="fa-IR"/>
          <w:color w:val="111111"/>
          <w:sz w:val="28"/>
          <w:szCs w:val="28"/>
          <w:rtl/>
        </w:rPr>
        <w:t xml:space="preserve">و اسمه محمد یوسف. ورد شعره فی (گلشن- ص 571).</w:t>
      </w:r>
    </w:p>
    <w:p>
      <w:pPr>
        <w:pStyle w:val="Heading3"/>
      </w:pPr>
      <w:bookmarkStart w:id="10534" w:name="_Toc9230"/>
      <w:r>
        <w:t>دیوان نیازی یزدی‏</w:t>
      </w:r>
      <w:bookmarkEnd w:id="10534"/>
    </w:p>
    <w:p>
      <w:pPr>
        <w:pStyle w:val="BookText"/>
      </w:pPr>
      <w:r>
        <w:rPr>
          <w:rFonts w:ascii="IRNazanin" w:hAnsi="IRNazanin" w:eastAsia="IRNazanin" w:cs="IRNazanin"/>
          <w:lang w:bidi="fa-IR"/>
          <w:color w:val="111111"/>
          <w:sz w:val="28"/>
          <w:szCs w:val="28"/>
          <w:rtl/>
        </w:rPr>
        <w:t xml:space="preserve">مر ذکره فی ص 998 بعنوان محمد شرفی و فی ص 517 بعنوان شرفی.</w:t>
      </w:r>
    </w:p>
    <w:p>
      <w:pPr>
        <w:pStyle w:val="Heading3"/>
      </w:pPr>
      <w:bookmarkStart w:id="10535" w:name="_Toc9231"/>
      <w:r>
        <w:t>7953- دیوان نیر أصفهانی‏</w:t>
      </w:r>
      <w:bookmarkEnd w:id="10535"/>
    </w:p>
    <w:p>
      <w:pPr>
        <w:pStyle w:val="BookText"/>
      </w:pPr>
      <w:r>
        <w:rPr>
          <w:rFonts w:ascii="IRNazanin" w:hAnsi="IRNazanin" w:eastAsia="IRNazanin" w:cs="IRNazanin"/>
          <w:lang w:bidi="fa-IR"/>
          <w:color w:val="111111"/>
          <w:sz w:val="28"/>
          <w:szCs w:val="28"/>
          <w:rtl/>
        </w:rPr>
        <w:t xml:space="preserve">و هو المیرزا حبیب الله بن محمد باقر واثق الآتی.</w:t>
      </w:r>
    </w:p>
    <w:p>
      <w:pPr>
        <w:pStyle w:val="BookText"/>
      </w:pPr>
      <w:r>
        <w:rPr>
          <w:rFonts w:ascii="IRNazanin" w:hAnsi="IRNazanin" w:eastAsia="IRNazanin" w:cs="IRNazanin"/>
          <w:lang w:bidi="fa-IR"/>
          <w:color w:val="111111"/>
          <w:sz w:val="28"/>
          <w:szCs w:val="28"/>
          <w:rtl/>
        </w:rPr>
        <w:t xml:space="preserve">جاء والده من همدان إلی أصفهان فولد نیر بها فی 1308 و تلمذ هناک علی والده و خاله عبد الحسین قدسی و ألف المعادن شبه الکشکول و طبعه فی 1366 و له رسوا فی رد البابیة و اغلاط چاپی قرآن باغچه سرا. ترجم فی شعرای معاصر أصفهان- ص 523.</w:t>
      </w:r>
    </w:p>
    <w:p>
      <w:pPr>
        <w:pStyle w:val="Heading3"/>
      </w:pPr>
      <w:bookmarkStart w:id="10536" w:name="_Toc9232"/>
      <w:r>
        <w:t>7954- دیوان نیر أصفهانی‏</w:t>
      </w:r>
      <w:bookmarkEnd w:id="10536"/>
    </w:p>
    <w:p>
      <w:pPr>
        <w:pStyle w:val="BookText"/>
      </w:pPr>
      <w:r>
        <w:rPr>
          <w:rFonts w:ascii="IRNazanin" w:hAnsi="IRNazanin" w:eastAsia="IRNazanin" w:cs="IRNazanin"/>
          <w:lang w:bidi="fa-IR"/>
          <w:color w:val="111111"/>
          <w:sz w:val="28"/>
          <w:szCs w:val="28"/>
          <w:rtl/>
        </w:rPr>
        <w:t xml:space="preserve">و هو الحاج میرزا أبو القاسم علاقه‏بند، أورد المهدوی شعره فی شعرای معاصر أصفهان و قال إن عمره الآن خمس و سبعون سنة.</w:t>
      </w:r>
    </w:p>
    <w:p>
      <w:pPr>
        <w:pStyle w:val="Heading3"/>
      </w:pPr>
      <w:bookmarkStart w:id="10537" w:name="_Toc9233"/>
      <w:r>
        <w:t>7955- دیوان نیر بروجردی‏</w:t>
      </w:r>
      <w:bookmarkEnd w:id="10537"/>
    </w:p>
    <w:p>
      <w:pPr>
        <w:pStyle w:val="BookText"/>
      </w:pPr>
      <w:r>
        <w:rPr>
          <w:rFonts w:ascii="IRNazanin" w:hAnsi="IRNazanin" w:eastAsia="IRNazanin" w:cs="IRNazanin"/>
          <w:lang w:bidi="fa-IR"/>
          <w:color w:val="111111"/>
          <w:sz w:val="28"/>
          <w:szCs w:val="28"/>
          <w:rtl/>
        </w:rPr>
        <w:t xml:space="preserve">للمولی علی أصغر بن علی أکبر البروجردی المولود 1231. له مثنوی ضیاء النور المذکور فی 15: 131 نظمه فی 1276 و مر له عقائد الشیعة و یأتی نور الأنوار و لؤلؤ منثور.</w:t>
      </w:r>
    </w:p>
    <w:p>
      <w:pPr>
        <w:pStyle w:val="Heading3"/>
      </w:pPr>
      <w:bookmarkStart w:id="10538" w:name="_Toc9234"/>
      <w:r>
        <w:t>7956- دیوان نیر تبریزی‏</w:t>
      </w:r>
      <w:bookmarkEnd w:id="10538"/>
    </w:p>
    <w:p>
      <w:pPr>
        <w:pStyle w:val="BookText"/>
      </w:pPr>
      <w:r>
        <w:rPr>
          <w:rFonts w:ascii="IRNazanin" w:hAnsi="IRNazanin" w:eastAsia="IRNazanin" w:cs="IRNazanin"/>
          <w:lang w:bidi="fa-IR"/>
          <w:color w:val="111111"/>
          <w:sz w:val="28"/>
          <w:szCs w:val="28"/>
          <w:rtl/>
        </w:rPr>
        <w:t xml:space="preserve">و اسمه حجة الإسلام محمد تقی بن ملا محمد بن الحسین بن زین العابدین بن إبراهیم الممقانی التبریزی. ولد 1248 و توفی والده المشهور حجة الإسلام فی 1269 و کان من تلامیذ الشیخ أحمد الأحسائی فجلس مکانه أخوه إسماعیل نیاز المذکور فی ص 1239 فسافر نیر إلی النجف و بعد وفاة أخیه جلس نیر مکانه و تلقب حجة الإسلام إلی أن مات 1312. طبع له آتشکده المذکور و لئالی منظوم و غزلیات نیر بتبریز فی 1346 علی الحجر فی 368 ص. و له در خوشاب وقار دوشاب منظوم فارسی فی ذم إمام جمعة خوی، طبع فی 1307 فی حدود تسعمائة بیت، و قال فی آخره: إنه من نظم عمید الدین المتخلص عمید. و له‏
</w:t>
      </w:r>
    </w:p>
    <w:p>
      <w:pPr>
        <w:sectPr>
          <w:footerReference w:type="default" r:id="rId1250"/>
          <w:footnotePr>
            <w:numStart w:val="1"/>
            <w:numRestart w:val="eachPage"/>
          </w:footnotePr>
          <w:pgSz w:orient="portrait" w:w="11905.511811023622" w:h="16837.79527559055"/>
          <w:pgMar w:top="1440" w:right="1440" w:bottom="1440" w:left="1440" w:header="720" w:footer="720" w:gutter="0"/>
          <w:cols w:num="1" w:space="720"/>
        </w:sectPr>
      </w:pPr>
    </w:p>
    <w:bookmarkStart w:id="1225" w:name="pg11704_122735"/>
    <w:bookmarkEnd w:id="1225"/>
    <w:p>
      <w:pPr>
        <w:pStyle w:val="BookText"/>
      </w:pPr>
      <w:r>
        <w:rPr>
          <w:rFonts w:ascii="IRNazanin" w:hAnsi="IRNazanin" w:eastAsia="IRNazanin" w:cs="IRNazanin"/>
          <w:lang w:bidi="fa-IR"/>
          <w:color w:val="111111"/>
          <w:sz w:val="28"/>
          <w:szCs w:val="28"/>
          <w:rtl/>
        </w:rPr>
        <w:t xml:space="preserve">ألفیة عینکی نظمها مع ملاباشی محمود الطسوجی کما فی (دجا- ص 359) و طبع له رسالة الجبر و الاختیار المسمی شقشقة فی 1286. و قد ترجم أحوال والده فی صحیفة الأبرار و ترجم هو فی (دجا- ص 313) و فی لغت‏نامه نقلا عن سلطان القرائی التبریزی.</w:t>
      </w:r>
    </w:p>
    <w:p>
      <w:pPr>
        <w:pStyle w:val="Heading3"/>
      </w:pPr>
      <w:bookmarkStart w:id="10539" w:name="_Toc9235"/>
      <w:r>
        <w:t>7957- دیوان نیر حیدرآبادی أو شعره‏</w:t>
      </w:r>
      <w:bookmarkEnd w:id="10539"/>
    </w:p>
    <w:p>
      <w:pPr>
        <w:pStyle w:val="BookText"/>
      </w:pPr>
      <w:r>
        <w:rPr>
          <w:rFonts w:ascii="IRNazanin" w:hAnsi="IRNazanin" w:eastAsia="IRNazanin" w:cs="IRNazanin"/>
          <w:lang w:bidi="fa-IR"/>
          <w:color w:val="111111"/>
          <w:sz w:val="28"/>
          <w:szCs w:val="28"/>
          <w:rtl/>
        </w:rPr>
        <w:t xml:space="preserve">و اسمه مهدی علی خان معاصر آزاد البلگرامی.</w:t>
      </w:r>
    </w:p>
    <w:p>
      <w:pPr>
        <w:pStyle w:val="BookText"/>
      </w:pPr>
      <w:r>
        <w:rPr>
          <w:rFonts w:ascii="IRNazanin" w:hAnsi="IRNazanin" w:eastAsia="IRNazanin" w:cs="IRNazanin"/>
          <w:lang w:bidi="fa-IR"/>
          <w:color w:val="111111"/>
          <w:sz w:val="28"/>
          <w:szCs w:val="28"/>
          <w:rtl/>
        </w:rPr>
        <w:t xml:space="preserve">ورد شعره فی (گلشن- ص 571).</w:t>
      </w:r>
    </w:p>
    <w:p>
      <w:pPr>
        <w:pStyle w:val="Heading3"/>
      </w:pPr>
      <w:bookmarkStart w:id="10540" w:name="_Toc9236"/>
      <w:r>
        <w:t>7958- دیوان نیر دهلوی أو شعره‏</w:t>
      </w:r>
      <w:bookmarkEnd w:id="10540"/>
    </w:p>
    <w:p>
      <w:pPr>
        <w:pStyle w:val="BookText"/>
      </w:pPr>
      <w:r>
        <w:rPr>
          <w:rFonts w:ascii="IRNazanin" w:hAnsi="IRNazanin" w:eastAsia="IRNazanin" w:cs="IRNazanin"/>
          <w:lang w:bidi="fa-IR"/>
          <w:color w:val="111111"/>
          <w:sz w:val="28"/>
          <w:szCs w:val="28"/>
          <w:rtl/>
        </w:rPr>
        <w:t xml:space="preserve">و اسمه محمد ضیاء الدین خان بهادر بن فخر الدولة دلاور أحمدبخش خان. شاعر فارسی بالهند فی القرن الثالث عشر. ورد شعره فی (گلشن- ص 572).</w:t>
      </w:r>
    </w:p>
    <w:p>
      <w:pPr>
        <w:pStyle w:val="Heading3"/>
      </w:pPr>
      <w:bookmarkStart w:id="10541" w:name="_Toc9237"/>
      <w:r>
        <w:t>7959- دیوان نیر دهلوی أو شعره‏</w:t>
      </w:r>
      <w:bookmarkEnd w:id="10541"/>
    </w:p>
    <w:p>
      <w:pPr>
        <w:pStyle w:val="BookText"/>
      </w:pPr>
      <w:r>
        <w:rPr>
          <w:rFonts w:ascii="IRNazanin" w:hAnsi="IRNazanin" w:eastAsia="IRNazanin" w:cs="IRNazanin"/>
          <w:lang w:bidi="fa-IR"/>
          <w:color w:val="111111"/>
          <w:sz w:val="28"/>
          <w:szCs w:val="28"/>
          <w:rtl/>
        </w:rPr>
        <w:t xml:space="preserve">و اسمه زین العابدین ابن أخ سادات خان. قال فی (گلشن- ص 572) إن أصله من مازندران جاء إلی الهند فی عهد محمد شاه و لقب بدهلی شجاع خان، ثم أورد شعره.</w:t>
      </w:r>
    </w:p>
    <w:p>
      <w:pPr>
        <w:pStyle w:val="Heading3"/>
      </w:pPr>
      <w:bookmarkStart w:id="10542" w:name="_Toc9238"/>
      <w:r>
        <w:t>7960- دیوان نیر شیرازی‏</w:t>
      </w:r>
      <w:bookmarkEnd w:id="10542"/>
    </w:p>
    <w:p>
      <w:pPr>
        <w:pStyle w:val="BookText"/>
      </w:pPr>
      <w:r>
        <w:rPr>
          <w:rFonts w:ascii="IRNazanin" w:hAnsi="IRNazanin" w:eastAsia="IRNazanin" w:cs="IRNazanin"/>
          <w:lang w:bidi="fa-IR"/>
          <w:color w:val="111111"/>
          <w:sz w:val="28"/>
          <w:szCs w:val="28"/>
          <w:rtl/>
        </w:rPr>
        <w:t xml:space="preserve">و اسمه علی أصغر رستگار زمانی الشیرازی. طبع بطهران فی 218 ص مع مقدمه للسید أبی القاسم المرعشی فی 1377.</w:t>
      </w:r>
    </w:p>
    <w:p>
      <w:pPr>
        <w:pStyle w:val="Heading3"/>
      </w:pPr>
      <w:bookmarkStart w:id="10543" w:name="_Toc9239"/>
      <w:r>
        <w:t>7961- دیوان نیرنگ دهلوی أو شعره‏</w:t>
      </w:r>
      <w:bookmarkEnd w:id="10543"/>
    </w:p>
    <w:p>
      <w:pPr>
        <w:pStyle w:val="BookText"/>
      </w:pPr>
      <w:r>
        <w:rPr>
          <w:rFonts w:ascii="IRNazanin" w:hAnsi="IRNazanin" w:eastAsia="IRNazanin" w:cs="IRNazanin"/>
          <w:lang w:bidi="fa-IR"/>
          <w:color w:val="111111"/>
          <w:sz w:val="28"/>
          <w:szCs w:val="28"/>
          <w:rtl/>
        </w:rPr>
        <w:t xml:space="preserve">و هو الشیخ محمد حسن، ابن عم المیر شمس الدین فقیر. ورد شعره فی (حسینی- ص 357) و (گلشن- ص 576).</w:t>
      </w:r>
    </w:p>
    <w:p>
      <w:pPr>
        <w:pStyle w:val="Heading3"/>
      </w:pPr>
      <w:bookmarkStart w:id="10544" w:name="_Toc9240"/>
      <w:r>
        <w:t>7962- دیوان نیر نوری‏</w:t>
      </w:r>
      <w:bookmarkEnd w:id="10544"/>
    </w:p>
    <w:p>
      <w:pPr>
        <w:pStyle w:val="BookText"/>
      </w:pPr>
      <w:r>
        <w:rPr>
          <w:rFonts w:ascii="IRNazanin" w:hAnsi="IRNazanin" w:eastAsia="IRNazanin" w:cs="IRNazanin"/>
          <w:lang w:bidi="fa-IR"/>
          <w:color w:val="111111"/>
          <w:sz w:val="28"/>
          <w:szCs w:val="28"/>
          <w:rtl/>
        </w:rPr>
        <w:t xml:space="preserve">و اسمه غلام حسین بن حیدر قلی. طبع له بتفلیس منظومة مرآة وطن فی 1327.</w:t>
      </w:r>
    </w:p>
    <w:p>
      <w:pPr>
        <w:pStyle w:val="Heading3"/>
      </w:pPr>
      <w:bookmarkStart w:id="10545" w:name="_Toc9241"/>
      <w:r>
        <w:t>7963- دیوان نیریزی‏</w:t>
      </w:r>
      <w:bookmarkEnd w:id="10545"/>
    </w:p>
    <w:p>
      <w:pPr>
        <w:pStyle w:val="BookText"/>
      </w:pPr>
      <w:r>
        <w:rPr>
          <w:rFonts w:ascii="IRNazanin" w:hAnsi="IRNazanin" w:eastAsia="IRNazanin" w:cs="IRNazanin"/>
          <w:lang w:bidi="fa-IR"/>
          <w:color w:val="111111"/>
          <w:sz w:val="28"/>
          <w:szCs w:val="28"/>
          <w:rtl/>
        </w:rPr>
        <w:t xml:space="preserve">و اسمه محمد جعفر. له منظومة خسرو و شیرین مع مقدمه فی أحوال الشاعر، لنورانی وصال الشیرازی. طبعت بشیراز فی 1384 فی 182 ص.</w:t>
      </w:r>
    </w:p>
    <w:p>
      <w:pPr>
        <w:pStyle w:val="Heading3"/>
      </w:pPr>
      <w:bookmarkStart w:id="10546" w:name="_Toc9242"/>
      <w:r>
        <w:t>7964- دیوان نیری شیرازی‏</w:t>
      </w:r>
      <w:bookmarkEnd w:id="10546"/>
    </w:p>
    <w:p>
      <w:pPr>
        <w:pStyle w:val="BookText"/>
      </w:pPr>
      <w:r>
        <w:rPr>
          <w:rFonts w:ascii="IRNazanin" w:hAnsi="IRNazanin" w:eastAsia="IRNazanin" w:cs="IRNazanin"/>
          <w:lang w:bidi="fa-IR"/>
          <w:color w:val="111111"/>
          <w:sz w:val="28"/>
          <w:szCs w:val="28"/>
          <w:rtl/>
        </w:rPr>
        <w:t xml:space="preserve">و هو المیرزا طاهر بن قدیم خان الشیرازی العارف. أورد شعره هدایت فی (مع 2: 509) و (فارس‏نامه 2: 108) و (طرائق 3: 167). سافر إلی الهند مرتین و مات بها فی 1256</w:t>
      </w:r>
    </w:p>
    <w:p>
      <w:pPr>
        <w:pStyle w:val="Heading3"/>
      </w:pPr>
      <w:bookmarkStart w:id="10547" w:name="_Toc9243"/>
      <w:r>
        <w:t>7965- دیوان نیسان شهشهانی‏</w:t>
      </w:r>
      <w:bookmarkEnd w:id="10547"/>
    </w:p>
    <w:p>
      <w:pPr>
        <w:pStyle w:val="BookText"/>
      </w:pPr>
      <w:r>
        <w:rPr>
          <w:rFonts w:ascii="IRNazanin" w:hAnsi="IRNazanin" w:eastAsia="IRNazanin" w:cs="IRNazanin"/>
          <w:lang w:bidi="fa-IR"/>
          <w:color w:val="111111"/>
          <w:sz w:val="28"/>
          <w:szCs w:val="28"/>
          <w:rtl/>
        </w:rPr>
        <w:t xml:space="preserve">و هو السید عبد الحسین بن أبی القاسم بن محمد الملقب میر میران من أعقاب السید قطب الدین و السید علاء الدین الملقب شاه شاهان‏
</w:t>
      </w:r>
    </w:p>
    <w:p>
      <w:pPr>
        <w:sectPr>
          <w:footerReference w:type="default" r:id="rId1251"/>
          <w:footnotePr>
            <w:numStart w:val="1"/>
            <w:numRestart w:val="eachPage"/>
          </w:footnotePr>
          <w:pgSz w:orient="portrait" w:w="11905.511811023622" w:h="16837.79527559055"/>
          <w:pgMar w:top="1440" w:right="1440" w:bottom="1440" w:left="1440" w:header="720" w:footer="720" w:gutter="0"/>
          <w:cols w:num="1" w:space="720"/>
        </w:sectPr>
      </w:pPr>
    </w:p>
    <w:bookmarkStart w:id="1226" w:name="pg11704_122737"/>
    <w:bookmarkEnd w:id="1226"/>
    <w:p>
      <w:pPr>
        <w:pStyle w:val="BookText"/>
      </w:pPr>
      <w:r>
        <w:rPr>
          <w:rFonts w:ascii="IRNazanin" w:hAnsi="IRNazanin" w:eastAsia="IRNazanin" w:cs="IRNazanin"/>
          <w:lang w:bidi="fa-IR"/>
          <w:color w:val="111111"/>
          <w:sz w:val="28"/>
          <w:szCs w:val="28"/>
          <w:rtl/>
        </w:rPr>
        <w:t xml:space="preserve">صاحب البقعة المعروفة بأصفهان. ولد بها فی رجب 1269 و سافر إلی النجف فی 1289 و تلمذ علی سیدنا الشیرازی بسامراء و الآخوند الملا حسین قلی و غیرهما و رجع إلی خراسان و فی 1314 سافر إلی الحج عن طریق قفقاز و رجع عن طریق إستانبول و فی 1318 ألف بمشهد رسالة جمع کلمة و نشرها فی جریدة أدب بها و فی 1319 سافر إلی الهند و فی کلکتة ألف رسالة نشر تمدن و نشرها فی جریدة حبل المتین و بعد الدستور انتخب عن مشهد فی الدورة الأولی فجاء إلی طهران نائبا، و لم یأخذ راتبه الشهری من صندوق الحکومة بل کان یأخذه من موکلیه فی خراسان، و بعد قصف المجلس النیابی بید محمد علی شاه انهزم إلی خراسان و سافر للتجارة إلی روسیا و أروپا ثم رجع إلی سوریا و حج ثانیا، و سافر فی</w:t>
      </w:r>
    </w:p>
    <w:p>
      <w:pPr>
        <w:pStyle w:val="BookText"/>
      </w:pPr>
      <w:r>
        <w:rPr>
          <w:rFonts w:ascii="IRNazanin" w:hAnsi="IRNazanin" w:eastAsia="IRNazanin" w:cs="IRNazanin"/>
          <w:lang w:bidi="fa-IR"/>
          <w:color w:val="111111"/>
          <w:sz w:val="28"/>
          <w:szCs w:val="28"/>
          <w:rtl/>
        </w:rPr>
        <w:t xml:space="preserve">1332 للتجارة إلی الهند، و بعد الرجوع سکن همدان و ترأس انجمن دانش همدان و نشر محمد باقر ألفت بعض شعره فی دانش‏نامه فی 1342 و مات بهمدان فی 1355 و دفن بالمقبرة العامة بها.</w:t>
      </w:r>
    </w:p>
    <w:p>
      <w:pPr>
        <w:pStyle w:val="BookText"/>
      </w:pPr>
      <w:r>
        <w:rPr>
          <w:rFonts w:ascii="IRNazanin" w:hAnsi="IRNazanin" w:eastAsia="IRNazanin" w:cs="IRNazanin"/>
          <w:lang w:bidi="fa-IR"/>
          <w:color w:val="111111"/>
          <w:sz w:val="28"/>
          <w:szCs w:val="28"/>
          <w:rtl/>
        </w:rPr>
        <w:t xml:space="preserve">و دیوانه موجود عند أولاد غمام همدانی المذکور فی ص 792.</w:t>
      </w:r>
    </w:p>
    <w:p>
      <w:pPr>
        <w:pStyle w:val="Heading3"/>
      </w:pPr>
      <w:bookmarkStart w:id="10548" w:name="_Toc9244"/>
      <w:r>
        <w:t>دیوان نیستانکی‏</w:t>
      </w:r>
      <w:bookmarkEnd w:id="10548"/>
    </w:p>
    <w:p>
      <w:pPr>
        <w:pStyle w:val="BookText"/>
      </w:pPr>
      <w:r>
        <w:rPr>
          <w:rFonts w:ascii="IRNazanin" w:hAnsi="IRNazanin" w:eastAsia="IRNazanin" w:cs="IRNazanin"/>
          <w:lang w:bidi="fa-IR"/>
          <w:color w:val="111111"/>
          <w:sz w:val="28"/>
          <w:szCs w:val="28"/>
          <w:rtl/>
        </w:rPr>
        <w:t xml:space="preserve">مر فی ص 1027 بعنوان مرتاض نائنی. و طبع له عظیم البرکات نظما.</w:t>
      </w:r>
    </w:p>
    <w:p>
      <w:pPr>
        <w:pStyle w:val="Heading3"/>
      </w:pPr>
      <w:bookmarkStart w:id="10549" w:name="_Toc9245"/>
      <w:r>
        <w:t>7966- دیوان نیستانکی‏</w:t>
      </w:r>
      <w:bookmarkEnd w:id="10549"/>
    </w:p>
    <w:p>
      <w:pPr>
        <w:pStyle w:val="BookText"/>
      </w:pPr>
      <w:r>
        <w:rPr>
          <w:rFonts w:ascii="IRNazanin" w:hAnsi="IRNazanin" w:eastAsia="IRNazanin" w:cs="IRNazanin"/>
          <w:lang w:bidi="fa-IR"/>
          <w:color w:val="111111"/>
          <w:sz w:val="28"/>
          <w:szCs w:val="28"/>
          <w:rtl/>
        </w:rPr>
        <w:t xml:space="preserve">و هو منوچهر نیستانکی. طبع له جوانه فی 80 ص نظما بکرمان فی 1373 و خراب فی 79 ص بطهران 1377 و صحح دیوان قاسمی کرمانی المذکور فی ص 65.</w:t>
      </w:r>
    </w:p>
    <w:p>
      <w:pPr>
        <w:pStyle w:val="Heading3"/>
      </w:pPr>
      <w:bookmarkStart w:id="10550" w:name="_Toc9246"/>
      <w:r>
        <w:t>7967- دیوان نیستی تبریزی أو شعره‏</w:t>
      </w:r>
      <w:bookmarkEnd w:id="10550"/>
    </w:p>
    <w:p>
      <w:pPr>
        <w:pStyle w:val="BookText"/>
      </w:pPr>
      <w:r>
        <w:rPr>
          <w:rFonts w:ascii="IRNazanin" w:hAnsi="IRNazanin" w:eastAsia="IRNazanin" w:cs="IRNazanin"/>
          <w:lang w:bidi="fa-IR"/>
          <w:color w:val="111111"/>
          <w:sz w:val="28"/>
          <w:szCs w:val="28"/>
          <w:rtl/>
        </w:rPr>
        <w:t xml:space="preserve">أورد سام میرزا شعره فی (تس 5- ص 144).</w:t>
      </w:r>
    </w:p>
    <w:p>
      <w:pPr>
        <w:pStyle w:val="Heading3"/>
      </w:pPr>
      <w:bookmarkStart w:id="10551" w:name="_Toc9247"/>
      <w:r>
        <w:t>7968- دیوان نیستی رازی أو شعره‏</w:t>
      </w:r>
      <w:bookmarkEnd w:id="10551"/>
    </w:p>
    <w:p>
      <w:pPr>
        <w:pStyle w:val="BookText"/>
      </w:pPr>
      <w:r>
        <w:rPr>
          <w:rFonts w:ascii="IRNazanin" w:hAnsi="IRNazanin" w:eastAsia="IRNazanin" w:cs="IRNazanin"/>
          <w:lang w:bidi="fa-IR"/>
          <w:color w:val="111111"/>
          <w:sz w:val="28"/>
          <w:szCs w:val="28"/>
          <w:rtl/>
        </w:rPr>
        <w:t xml:space="preserve">ترجمه معاصره فی (تس- ص 163) و هو أخ روحی المذکور فی ص 388.</w:t>
      </w:r>
    </w:p>
    <w:p>
      <w:pPr>
        <w:pStyle w:val="Heading3"/>
      </w:pPr>
      <w:bookmarkStart w:id="10552" w:name="_Toc9248"/>
      <w:r>
        <w:t>7969- دیوان النیسی‏</w:t>
      </w:r>
      <w:bookmarkEnd w:id="10552"/>
    </w:p>
    <w:p>
      <w:pPr>
        <w:pStyle w:val="BookText"/>
      </w:pPr>
      <w:r>
        <w:rPr>
          <w:rFonts w:ascii="IRNazanin" w:hAnsi="IRNazanin" w:eastAsia="IRNazanin" w:cs="IRNazanin"/>
          <w:lang w:bidi="fa-IR"/>
          <w:color w:val="111111"/>
          <w:sz w:val="28"/>
          <w:szCs w:val="28"/>
          <w:rtl/>
        </w:rPr>
        <w:t xml:space="preserve">للشیخ عبد الحسین بن عمران بن الحسین بن یوسف بن أحمد بن درویش بن نصار الحویزی من قبیلة نیس من عشیرة آل بو قمر. ولد بالنجف 1286 و نزل کربلاء سنة احتلال الإنگلیز 1914 م.</w:t>
      </w:r>
    </w:p>
    <w:p>
      <w:pPr>
        <w:pStyle w:val="Heading3"/>
      </w:pPr>
      <w:bookmarkStart w:id="10553" w:name="_Toc9249"/>
      <w:r>
        <w:t>دیوان نیشابوری‏</w:t>
      </w:r>
      <w:bookmarkEnd w:id="10553"/>
    </w:p>
    <w:p>
      <w:pPr>
        <w:pStyle w:val="BookText"/>
      </w:pPr>
      <w:r>
        <w:rPr>
          <w:rFonts w:ascii="IRNazanin" w:hAnsi="IRNazanin" w:eastAsia="IRNazanin" w:cs="IRNazanin"/>
          <w:lang w:bidi="fa-IR"/>
          <w:color w:val="111111"/>
          <w:sz w:val="28"/>
          <w:szCs w:val="28"/>
          <w:rtl/>
        </w:rPr>
        <w:t xml:space="preserve">راجع لطف الله نیشابوری و شاهپور نیشابوری و غیرهما.</w:t>
      </w:r>
    </w:p>
    <w:p>
      <w:pPr>
        <w:pStyle w:val="Heading3"/>
      </w:pPr>
      <w:bookmarkStart w:id="10554" w:name="_Toc9250"/>
      <w:r>
        <w:t>7970- دیوان نیکی أصفهانی‏</w:t>
      </w:r>
      <w:bookmarkEnd w:id="10554"/>
    </w:p>
    <w:p>
      <w:pPr>
        <w:pStyle w:val="BookText"/>
      </w:pPr>
      <w:r>
        <w:rPr>
          <w:rFonts w:ascii="IRNazanin" w:hAnsi="IRNazanin" w:eastAsia="IRNazanin" w:cs="IRNazanin"/>
          <w:lang w:bidi="fa-IR"/>
          <w:color w:val="111111"/>
          <w:sz w:val="28"/>
          <w:szCs w:val="28"/>
          <w:rtl/>
        </w:rPr>
        <w:t xml:space="preserve">ترجمه الصادقی فی (خص 8- ص 182) و همیشه بهار
</w:t>
      </w:r>
    </w:p>
    <w:p>
      <w:pPr>
        <w:sectPr>
          <w:footerReference w:type="default" r:id="rId1252"/>
          <w:footnotePr>
            <w:numStart w:val="1"/>
            <w:numRestart w:val="eachPage"/>
          </w:footnotePr>
          <w:pgSz w:orient="portrait" w:w="11905.511811023622" w:h="16837.79527559055"/>
          <w:pgMar w:top="1440" w:right="1440" w:bottom="1440" w:left="1440" w:header="720" w:footer="720" w:gutter="0"/>
          <w:cols w:num="1" w:space="720"/>
        </w:sectPr>
      </w:pPr>
    </w:p>
    <w:bookmarkStart w:id="1227" w:name="pg11704_122739"/>
    <w:bookmarkEnd w:id="1227"/>
    <w:p>
      <w:pPr>
        <w:pStyle w:val="BookText"/>
      </w:pPr>
      <w:r>
        <w:rPr>
          <w:rFonts w:ascii="IRNazanin" w:hAnsi="IRNazanin" w:eastAsia="IRNazanin" w:cs="IRNazanin"/>
          <w:lang w:bidi="fa-IR"/>
          <w:color w:val="111111"/>
          <w:sz w:val="28"/>
          <w:szCs w:val="28"/>
          <w:rtl/>
        </w:rPr>
        <w:t xml:space="preserve">و قال إنه شاعر قدیمی و من التجار، کتب دیوانه علی القرطاس الغلیظ بخط جلی لیری الناس کبر دیوانه و کثرة شعره و أورد بعض شعره و غزله المشتمل علی تخلصه و ترجمه سام میرزا فی (تس 5- ص 122) و ذکر أنه ابن علی الحلاج و هو قلیل الکلام فیظهر أنه راه و عاصره و بقی إلی عصر الصادقی الذی أدرکه معمرا و ترجمه آذر فی (تش- ص 205) و هفت إقلیم و فی فهرس مکتبة جامعة طهران ج 2 ص 46 نسبت إلیه مثنوی زبدة الأفکار.</w:t>
      </w:r>
    </w:p>
    <w:p>
      <w:pPr>
        <w:pStyle w:val="Heading3"/>
      </w:pPr>
      <w:bookmarkStart w:id="10555" w:name="_Toc9251"/>
      <w:r>
        <w:t>7971- دیوان نیما یوشیج‏</w:t>
      </w:r>
      <w:bookmarkEnd w:id="10555"/>
    </w:p>
    <w:p>
      <w:pPr>
        <w:pStyle w:val="BookText"/>
      </w:pPr>
      <w:r>
        <w:rPr>
          <w:rFonts w:ascii="IRNazanin" w:hAnsi="IRNazanin" w:eastAsia="IRNazanin" w:cs="IRNazanin"/>
          <w:lang w:bidi="fa-IR"/>
          <w:color w:val="111111"/>
          <w:sz w:val="28"/>
          <w:szCs w:val="28"/>
          <w:rtl/>
        </w:rPr>
        <w:t xml:space="preserve">و اسمه علی إسفندیاری ابن إبراهیم النوری المازندرانی.</w:t>
      </w:r>
    </w:p>
    <w:p>
      <w:pPr>
        <w:pStyle w:val="BookText"/>
      </w:pPr>
      <w:r>
        <w:rPr>
          <w:rFonts w:ascii="IRNazanin" w:hAnsi="IRNazanin" w:eastAsia="IRNazanin" w:cs="IRNazanin"/>
          <w:lang w:bidi="fa-IR"/>
          <w:color w:val="111111"/>
          <w:sz w:val="28"/>
          <w:szCs w:val="28"/>
          <w:rtl/>
        </w:rPr>
        <w:t xml:space="preserve">ولد بقریة یوش بها فی بیت فلاح یملک مزرعة و فی الثانیة عشرة من عمره هاجر مع اهله إلی طهران و اتخذ لقب نیما- یوشیج نسبة إلی مولده یوش. و تعلم الأدب الفارسی و الإفرنسی فی مدرسة سنت‏لوی و عند نظام وفا، ثم صار معلما فی رشت و بعد رجوعه إلی طهران کتب فی مجلة موسیقی و أورد الشعر الجدید فی اللغة الفارسیة.</w:t>
      </w:r>
    </w:p>
    <w:p>
      <w:pPr>
        <w:pStyle w:val="BookText"/>
      </w:pPr>
      <w:r>
        <w:rPr>
          <w:rFonts w:ascii="IRNazanin" w:hAnsi="IRNazanin" w:eastAsia="IRNazanin" w:cs="IRNazanin"/>
          <w:lang w:bidi="fa-IR"/>
          <w:color w:val="111111"/>
          <w:sz w:val="28"/>
          <w:szCs w:val="28"/>
          <w:rtl/>
        </w:rPr>
        <w:t xml:space="preserve">و مات 1378 طبع له أفسانه بطهران 1350 و 1369 و قد نظمه فی 1341 و قصة رنگ پریده منظومة طبعها فی 1369 و خانواده سرباز طبعه فی 1345 و أرزش إحساسات طبعه أبو القاسم جنتی عطائی فی 1375 و هو مجموعة مقالاته و مانلی نظمه فی 1364 و طبع فی 1376. و نامه به شین پرتو و هو مکتوبة و جواب الکتاب کتبه فی 1365 و طبع 1369. و للدکتور أبی القاسم جنتی عطائی کتاب سماه نیما- زندگانی و آثار أو طبعه فی 1374 فی 193 ص. جمع فیها آثاره و لجلال آل أحمد ابن السید أحمد الطالقانی رسالة سماها مشکل نیما یوشیج طبع مرتین. و لمهدی إخوان ثالث (م أمید) مقالة عنوانه یک سخن درباره آثاری که نیما یوشیج به شیوه قدما سروده است.</w:t>
      </w:r>
    </w:p>
    <w:p>
      <w:pPr>
        <w:pStyle w:val="Heading3"/>
      </w:pPr>
      <w:bookmarkStart w:id="10556" w:name="_Toc9252"/>
      <w:r>
        <w:t>7972- دیوان نیمتاج سلماسی‏</w:t>
      </w:r>
      <w:bookmarkEnd w:id="10556"/>
    </w:p>
    <w:p>
      <w:pPr>
        <w:pStyle w:val="BookText"/>
      </w:pPr>
      <w:r>
        <w:rPr>
          <w:rFonts w:ascii="IRNazanin" w:hAnsi="IRNazanin" w:eastAsia="IRNazanin" w:cs="IRNazanin"/>
          <w:lang w:bidi="fa-IR"/>
          <w:color w:val="111111"/>
          <w:sz w:val="28"/>
          <w:szCs w:val="28"/>
          <w:rtl/>
        </w:rPr>
        <w:t xml:space="preserve">و اسمها نیمتاج خاک‏پور بنت یوسف (مسعود) سلماسی. ورد شعرها فی از رابعة تا پروین- ص 261 نقلا عن رسالة زنان شاعر و کذا فی زنان سخنور- 2: 378 و لها أشعار حماسیة نسائیة و وطنیة.</w:t>
      </w:r>
    </w:p>
    <w:p>
      <w:pPr>
        <w:pStyle w:val="Heading3"/>
      </w:pPr>
      <w:bookmarkStart w:id="10557" w:name="_Toc9253"/>
      <w:r>
        <w:t>7973- دیوان نیهی‏</w:t>
      </w:r>
      <w:bookmarkEnd w:id="10557"/>
    </w:p>
    <w:p>
      <w:pPr>
        <w:pStyle w:val="BookText"/>
      </w:pPr>
      <w:r>
        <w:rPr>
          <w:rFonts w:ascii="IRNazanin" w:hAnsi="IRNazanin" w:eastAsia="IRNazanin" w:cs="IRNazanin"/>
          <w:lang w:bidi="fa-IR"/>
          <w:color w:val="111111"/>
          <w:sz w:val="28"/>
          <w:szCs w:val="28"/>
          <w:rtl/>
        </w:rPr>
        <w:t xml:space="preserve">و تخلصه محتاج کان من وعاظ قریة نیه‏بندان قال آیتی فی (قهستان- ص 294) إنه رأی دیوان قصائده بخطه النستعلیق الجید.
</w:t>
      </w:r>
    </w:p>
    <w:p>
      <w:pPr>
        <w:sectPr>
          <w:footerReference w:type="default" r:id="rId1253"/>
          <w:footnotePr>
            <w:numStart w:val="1"/>
            <w:numRestart w:val="eachPage"/>
          </w:footnotePr>
          <w:pgSz w:orient="portrait" w:w="11905.511811023622" w:h="16837.79527559055"/>
          <w:pgMar w:top="1440" w:right="1440" w:bottom="1440" w:left="1440" w:header="720" w:footer="720" w:gutter="0"/>
          <w:cols w:num="1" w:space="720"/>
        </w:sectPr>
      </w:pPr>
    </w:p>
    <w:bookmarkStart w:id="1228" w:name="pg11704_122740"/>
    <w:bookmarkEnd w:id="1228"/>
    <w:p>
      <w:pPr>
        <w:pStyle w:val="Heading3"/>
      </w:pPr>
      <w:bookmarkStart w:id="10558" w:name="_Toc9254"/>
      <w:r>
        <w:t>و</w:t>
      </w:r>
      <w:bookmarkEnd w:id="10558"/>
    </w:p>
    <w:p>
      <w:pPr>
        <w:pStyle w:val="Heading3"/>
      </w:pPr>
      <w:bookmarkStart w:id="10559" w:name="_Toc9255"/>
      <w:r>
        <w:t>7974- دیوان الوائلی‏</w:t>
      </w:r>
      <w:bookmarkEnd w:id="10559"/>
    </w:p>
    <w:p>
      <w:pPr>
        <w:pStyle w:val="BookText"/>
      </w:pPr>
      <w:r>
        <w:rPr>
          <w:rFonts w:ascii="IRNazanin" w:hAnsi="IRNazanin" w:eastAsia="IRNazanin" w:cs="IRNazanin"/>
          <w:lang w:bidi="fa-IR"/>
          <w:color w:val="111111"/>
          <w:sz w:val="28"/>
          <w:szCs w:val="28"/>
          <w:rtl/>
        </w:rPr>
        <w:t xml:space="preserve">و هو الخطیب المعاصر الشیخ أحمد بن حسون الوائلی. ولد فی النجف 1341. أطرأ شعره فی خطباء المنبر- 1: 139. و له مقدمه علی کتاب الألفین للعلامة الحلی، طبع فی 1372</w:t>
      </w:r>
    </w:p>
    <w:p>
      <w:pPr>
        <w:pStyle w:val="Heading3"/>
      </w:pPr>
      <w:bookmarkStart w:id="10560" w:name="_Toc9256"/>
      <w:r>
        <w:t>7975- دیوان واثق أصفهانی أو شعره‏</w:t>
      </w:r>
      <w:bookmarkEnd w:id="10560"/>
    </w:p>
    <w:p>
      <w:pPr>
        <w:pStyle w:val="BookText"/>
      </w:pPr>
      <w:r>
        <w:rPr>
          <w:rFonts w:ascii="IRNazanin" w:hAnsi="IRNazanin" w:eastAsia="IRNazanin" w:cs="IRNazanin"/>
          <w:lang w:bidi="fa-IR"/>
          <w:color w:val="111111"/>
          <w:sz w:val="28"/>
          <w:szCs w:val="28"/>
          <w:rtl/>
        </w:rPr>
        <w:t xml:space="preserve">ورد شعره فی (گلشن- ص 576) و لعله التبریزی المذکور فی مقالات الشعراء ص 823 و اسمه آقا صالح التتوی و جاء شعر واثق فی (مسرت- ص 116).</w:t>
      </w:r>
    </w:p>
    <w:p>
      <w:pPr>
        <w:pStyle w:val="Heading3"/>
      </w:pPr>
      <w:bookmarkStart w:id="10561" w:name="_Toc9257"/>
      <w:r>
        <w:t>دیوان واثق دهلوی‏</w:t>
      </w:r>
      <w:bookmarkEnd w:id="10561"/>
    </w:p>
    <w:p>
      <w:pPr>
        <w:pStyle w:val="BookText"/>
      </w:pPr>
      <w:r>
        <w:rPr>
          <w:rFonts w:ascii="IRNazanin" w:hAnsi="IRNazanin" w:eastAsia="IRNazanin" w:cs="IRNazanin"/>
          <w:lang w:bidi="fa-IR"/>
          <w:color w:val="111111"/>
          <w:sz w:val="28"/>
          <w:szCs w:val="28"/>
          <w:rtl/>
        </w:rPr>
        <w:t xml:space="preserve">راجع واثق نیشابوری.</w:t>
      </w:r>
    </w:p>
    <w:p>
      <w:pPr>
        <w:pStyle w:val="Heading3"/>
      </w:pPr>
      <w:bookmarkStart w:id="10562" w:name="_Toc9258"/>
      <w:r>
        <w:t>7976- دیوان واثق رشتی أو شعره‏</w:t>
      </w:r>
      <w:bookmarkEnd w:id="10562"/>
    </w:p>
    <w:p>
      <w:pPr>
        <w:pStyle w:val="BookText"/>
      </w:pPr>
      <w:r>
        <w:rPr>
          <w:rFonts w:ascii="IRNazanin" w:hAnsi="IRNazanin" w:eastAsia="IRNazanin" w:cs="IRNazanin"/>
          <w:lang w:bidi="fa-IR"/>
          <w:color w:val="111111"/>
          <w:sz w:val="28"/>
          <w:szCs w:val="28"/>
          <w:rtl/>
        </w:rPr>
        <w:t xml:space="preserve">قال النصرآبادی فی (نر 9- ص 379) إنه خیاط معاصر و أورد شعره.</w:t>
      </w:r>
    </w:p>
    <w:p>
      <w:pPr>
        <w:pStyle w:val="Heading3"/>
      </w:pPr>
      <w:bookmarkStart w:id="10563" w:name="_Toc9259"/>
      <w:r>
        <w:t>7977- دیوان واثق شیرازی أو شعره‏</w:t>
      </w:r>
      <w:bookmarkEnd w:id="10563"/>
    </w:p>
    <w:p>
      <w:pPr>
        <w:pStyle w:val="BookText"/>
      </w:pPr>
      <w:r>
        <w:rPr>
          <w:rFonts w:ascii="IRNazanin" w:hAnsi="IRNazanin" w:eastAsia="IRNazanin" w:cs="IRNazanin"/>
          <w:lang w:bidi="fa-IR"/>
          <w:color w:val="111111"/>
          <w:sz w:val="28"/>
          <w:szCs w:val="28"/>
          <w:rtl/>
        </w:rPr>
        <w:t xml:space="preserve">و هو صدر الشریعة عبد الحی ابن الشیخ مفید داور المذکور فی ص 1087 ورد شعره فی (عم 571).</w:t>
      </w:r>
    </w:p>
    <w:p>
      <w:pPr>
        <w:pStyle w:val="Heading3"/>
      </w:pPr>
      <w:bookmarkStart w:id="10564" w:name="_Toc9260"/>
      <w:r>
        <w:t>7978- دیوان واثق نجفی أو شعره‏</w:t>
      </w:r>
      <w:bookmarkEnd w:id="10564"/>
    </w:p>
    <w:p>
      <w:pPr>
        <w:pStyle w:val="BookText"/>
      </w:pPr>
      <w:r>
        <w:rPr>
          <w:rFonts w:ascii="IRNazanin" w:hAnsi="IRNazanin" w:eastAsia="IRNazanin" w:cs="IRNazanin"/>
          <w:lang w:bidi="fa-IR"/>
          <w:color w:val="111111"/>
          <w:sz w:val="28"/>
          <w:szCs w:val="28"/>
          <w:rtl/>
        </w:rPr>
        <w:t xml:space="preserve">و اسمه ملا مهدی بن محمد قاسم النجفی. ترجمه النصرآبادی فی (نر 9- ص 203) و (گلشن- ص 576) و (خوش‏گو) و کان خطاطا بأنواع الخطوط.</w:t>
      </w:r>
    </w:p>
    <w:p>
      <w:pPr>
        <w:pStyle w:val="Heading3"/>
      </w:pPr>
      <w:bookmarkStart w:id="10565" w:name="_Toc9261"/>
      <w:r>
        <w:t>7979- دیوان ملا واثق نیشابوری‏</w:t>
      </w:r>
      <w:bookmarkEnd w:id="10565"/>
    </w:p>
    <w:p>
      <w:pPr>
        <w:pStyle w:val="BookText"/>
      </w:pPr>
      <w:r>
        <w:rPr>
          <w:rFonts w:ascii="IRNazanin" w:hAnsi="IRNazanin" w:eastAsia="IRNazanin" w:cs="IRNazanin"/>
          <w:lang w:bidi="fa-IR"/>
          <w:color w:val="111111"/>
          <w:sz w:val="28"/>
          <w:szCs w:val="28"/>
          <w:rtl/>
        </w:rPr>
        <w:t xml:space="preserve">ترجمه معاصره النصرآبادی فی (نر 9- 215) و ذکر أنه تتبع کلمات الخواجة عبد الله الأنصاری و ذهب إلی الهند سیاحة و لما رجع توفی فی قمشه بین شیراز و أصفهان، ثم أورد عدة أبیات من شعره و بعض مثنویة و رباعیاته و عنه أخذ فی (مطلع</w:t>
      </w:r>
    </w:p>
    <w:p>
      <w:pPr>
        <w:pStyle w:val="BookText"/>
      </w:pPr>
      <w:r>
        <w:rPr>
          <w:rFonts w:ascii="IRNazanin" w:hAnsi="IRNazanin" w:eastAsia="IRNazanin" w:cs="IRNazanin"/>
          <w:lang w:bidi="fa-IR"/>
          <w:color w:val="111111"/>
          <w:sz w:val="28"/>
          <w:szCs w:val="28"/>
          <w:rtl/>
        </w:rPr>
        <w:t xml:space="preserve">3: 184) و (ض- ص 157) و قال (سرخوش- 122) إن اسمه میرزا حسن بیک جاء إلی الهند و رجع و فی (گلشن- ص 577) سماه واثق دهلوی و جاء شعره فی (مسرت- ص 45) أیضا.
</w:t>
      </w:r>
    </w:p>
    <w:p>
      <w:pPr>
        <w:sectPr>
          <w:footerReference w:type="default" r:id="rId1254"/>
          <w:footnotePr>
            <w:numStart w:val="1"/>
            <w:numRestart w:val="eachPage"/>
          </w:footnotePr>
          <w:pgSz w:orient="portrait" w:w="11905.511811023622" w:h="16837.79527559055"/>
          <w:pgMar w:top="1440" w:right="1440" w:bottom="1440" w:left="1440" w:header="720" w:footer="720" w:gutter="0"/>
          <w:cols w:num="1" w:space="720"/>
        </w:sectPr>
      </w:pPr>
    </w:p>
    <w:bookmarkStart w:id="1229" w:name="pg11704_122742"/>
    <w:bookmarkEnd w:id="1229"/>
    <w:p>
      <w:pPr>
        <w:pStyle w:val="Heading3"/>
      </w:pPr>
      <w:bookmarkStart w:id="10566" w:name="_Toc9262"/>
      <w:r>
        <w:t>7980- دیوان واثق همدانی‏</w:t>
      </w:r>
      <w:bookmarkEnd w:id="10566"/>
    </w:p>
    <w:p>
      <w:pPr>
        <w:pStyle w:val="BookText"/>
      </w:pPr>
      <w:r>
        <w:rPr>
          <w:rFonts w:ascii="IRNazanin" w:hAnsi="IRNazanin" w:eastAsia="IRNazanin" w:cs="IRNazanin"/>
          <w:lang w:bidi="fa-IR"/>
          <w:color w:val="111111"/>
          <w:sz w:val="28"/>
          <w:szCs w:val="28"/>
          <w:rtl/>
        </w:rPr>
        <w:t xml:space="preserve">الشیخ محمد باقر بن حسن علی بن محمد بن میرزا الهمدانی ولد بها 1274 و توفی 1336 ع 2 نزل أصفهان و کان مدرسا فی مدرسة الصدر بها قرب ثلاثین سنة کما ترجمه ولده المیرزا حبیب الله المتخلص نیر المذکور فی ص 1241 فی کتابا معادن العلوم المطبوع الذی نظم باسمه نصائح الحبیب المدرج بعضه فی المعادن و قال فی ج 2 ص 23 إن دیوانه المشتمل علی ثلاثة آلاف بیت من النصائح و المراثی و لیلی مجنون و سفرنامه و الغزلیات و غیرها ثم أورد غزلا واحدا مع تخلصه واثق.</w:t>
      </w:r>
    </w:p>
    <w:p>
      <w:pPr>
        <w:pStyle w:val="Heading3"/>
      </w:pPr>
      <w:bookmarkStart w:id="10567" w:name="_Toc9263"/>
      <w:r>
        <w:t>7981- دیوان واثقی لکهنوی أو شعره‏</w:t>
      </w:r>
      <w:bookmarkEnd w:id="10567"/>
    </w:p>
    <w:p>
      <w:pPr>
        <w:pStyle w:val="BookText"/>
      </w:pPr>
      <w:r>
        <w:rPr>
          <w:rFonts w:ascii="IRNazanin" w:hAnsi="IRNazanin" w:eastAsia="IRNazanin" w:cs="IRNazanin"/>
          <w:lang w:bidi="fa-IR"/>
          <w:color w:val="111111"/>
          <w:sz w:val="28"/>
          <w:szCs w:val="28"/>
          <w:rtl/>
        </w:rPr>
        <w:t xml:space="preserve">و اسمه الشیخ حیدر علی کمبو، ورد شعره فی (گلشن- ص 578).</w:t>
      </w:r>
    </w:p>
    <w:p>
      <w:pPr>
        <w:pStyle w:val="Heading3"/>
      </w:pPr>
      <w:bookmarkStart w:id="10568" w:name="_Toc9264"/>
      <w:r>
        <w:t>7982- دیوان واثقی مشهدی أو شعره‏</w:t>
      </w:r>
      <w:bookmarkEnd w:id="10568"/>
    </w:p>
    <w:p>
      <w:pPr>
        <w:pStyle w:val="BookText"/>
      </w:pPr>
      <w:r>
        <w:rPr>
          <w:rFonts w:ascii="IRNazanin" w:hAnsi="IRNazanin" w:eastAsia="IRNazanin" w:cs="IRNazanin"/>
          <w:lang w:bidi="fa-IR"/>
          <w:color w:val="111111"/>
          <w:sz w:val="28"/>
          <w:szCs w:val="28"/>
          <w:rtl/>
        </w:rPr>
        <w:t xml:space="preserve">و اسمه شاه محمد الکاتب تلمیذ سلیم الکاتب. ورد شعره فی (مطلع 2: 435).</w:t>
      </w:r>
    </w:p>
    <w:p>
      <w:pPr>
        <w:pStyle w:val="Heading3"/>
      </w:pPr>
      <w:bookmarkStart w:id="10569" w:name="_Toc9265"/>
      <w:r>
        <w:t>7983- دیوان واثقی نیشابوری‏</w:t>
      </w:r>
      <w:bookmarkEnd w:id="10569"/>
    </w:p>
    <w:p>
      <w:pPr>
        <w:pStyle w:val="BookText"/>
      </w:pPr>
      <w:r>
        <w:rPr>
          <w:rFonts w:ascii="IRNazanin" w:hAnsi="IRNazanin" w:eastAsia="IRNazanin" w:cs="IRNazanin"/>
          <w:lang w:bidi="fa-IR"/>
          <w:color w:val="111111"/>
          <w:sz w:val="28"/>
          <w:szCs w:val="28"/>
          <w:rtl/>
        </w:rPr>
        <w:t xml:space="preserve">سکن النجف أربعین سنة ثم توطن تبریز و مات بها 940 ورد شعره. ورد شعره فی (گلشن- ص 578) و (مطلع 3: 179).</w:t>
      </w:r>
    </w:p>
    <w:p>
      <w:pPr>
        <w:pStyle w:val="Heading3"/>
      </w:pPr>
      <w:bookmarkStart w:id="10570" w:name="_Toc9266"/>
      <w:r>
        <w:t>دیوان واجد علی شاه‏</w:t>
      </w:r>
      <w:bookmarkEnd w:id="10570"/>
    </w:p>
    <w:p>
      <w:pPr>
        <w:pStyle w:val="BookText"/>
      </w:pPr>
      <w:r>
        <w:rPr>
          <w:rFonts w:ascii="IRNazanin" w:hAnsi="IRNazanin" w:eastAsia="IRNazanin" w:cs="IRNazanin"/>
          <w:lang w:bidi="fa-IR"/>
          <w:color w:val="111111"/>
          <w:sz w:val="28"/>
          <w:szCs w:val="28"/>
          <w:rtl/>
        </w:rPr>
        <w:t xml:space="preserve">مر بعنوان تخلصه أختر.</w:t>
      </w:r>
    </w:p>
    <w:p>
      <w:pPr>
        <w:pStyle w:val="Heading3"/>
      </w:pPr>
      <w:bookmarkStart w:id="10571" w:name="_Toc9267"/>
      <w:r>
        <w:t>7984- دیوان واجد کابلی‏</w:t>
      </w:r>
      <w:bookmarkEnd w:id="10571"/>
    </w:p>
    <w:p>
      <w:pPr>
        <w:pStyle w:val="BookText"/>
      </w:pPr>
      <w:r>
        <w:rPr>
          <w:rFonts w:ascii="IRNazanin" w:hAnsi="IRNazanin" w:eastAsia="IRNazanin" w:cs="IRNazanin"/>
          <w:lang w:bidi="fa-IR"/>
          <w:color w:val="111111"/>
          <w:sz w:val="28"/>
          <w:szCs w:val="28"/>
          <w:rtl/>
        </w:rPr>
        <w:t xml:space="preserve">و اسمه محمد قاسم. طبع مجموعة أشعاره فی جزءین ببدخشان فی 1370 کل فی 110 ص.</w:t>
      </w:r>
    </w:p>
    <w:p>
      <w:pPr>
        <w:pStyle w:val="Heading3"/>
      </w:pPr>
      <w:bookmarkStart w:id="10572" w:name="_Toc9268"/>
      <w:r>
        <w:t>7985- دیوان واجد کلکته‏ای أو شعره‏</w:t>
      </w:r>
      <w:bookmarkEnd w:id="10572"/>
    </w:p>
    <w:p>
      <w:pPr>
        <w:pStyle w:val="BookText"/>
      </w:pPr>
      <w:r>
        <w:rPr>
          <w:rFonts w:ascii="IRNazanin" w:hAnsi="IRNazanin" w:eastAsia="IRNazanin" w:cs="IRNazanin"/>
          <w:lang w:bidi="fa-IR"/>
          <w:color w:val="111111"/>
          <w:sz w:val="28"/>
          <w:szCs w:val="28"/>
          <w:rtl/>
        </w:rPr>
        <w:t xml:space="preserve">و اسمه المنشی واجد علی خان. ترجمه معاصره فی (روشن- ص 728).</w:t>
      </w:r>
    </w:p>
    <w:p>
      <w:pPr>
        <w:pStyle w:val="Heading3"/>
      </w:pPr>
      <w:bookmarkStart w:id="10573" w:name="_Toc9269"/>
      <w:r>
        <w:t>7986- دیوان واحد أصفهانی أو شعره‏</w:t>
      </w:r>
      <w:bookmarkEnd w:id="10573"/>
    </w:p>
    <w:p>
      <w:pPr>
        <w:pStyle w:val="BookText"/>
      </w:pPr>
      <w:r>
        <w:rPr>
          <w:rFonts w:ascii="IRNazanin" w:hAnsi="IRNazanin" w:eastAsia="IRNazanin" w:cs="IRNazanin"/>
          <w:lang w:bidi="fa-IR"/>
          <w:color w:val="111111"/>
          <w:sz w:val="28"/>
          <w:szCs w:val="28"/>
          <w:rtl/>
        </w:rPr>
        <w:t xml:space="preserve">و هو السید شاه تقی الفقیه الحکیم نقیب السادات بأصفهان و شیخ الإسلام برشت مدة و أخری بمشهد. قال النصرآبادی فی (نر 6- ص 177) إن أخوه نقیب النقباء و مات واحد فی هذه السنة (أواخر المائة الحادیة عشرة) و أورد عشرة أبیات من شعره. و کذا فی (حسینی)- ص 360) و (تش- ص 206) و (نتایج- ص 743).</w:t>
      </w:r>
    </w:p>
    <w:p>
      <w:pPr>
        <w:pStyle w:val="Heading3"/>
      </w:pPr>
      <w:bookmarkStart w:id="10574" w:name="_Toc9270"/>
      <w:r>
        <w:t>7987- دیوان واحد بلگرامی أو شعره‏</w:t>
      </w:r>
      <w:bookmarkEnd w:id="10574"/>
    </w:p>
    <w:p>
      <w:pPr>
        <w:pStyle w:val="BookText"/>
      </w:pPr>
      <w:r>
        <w:rPr>
          <w:rFonts w:ascii="IRNazanin" w:hAnsi="IRNazanin" w:eastAsia="IRNazanin" w:cs="IRNazanin"/>
          <w:lang w:bidi="fa-IR"/>
          <w:color w:val="111111"/>
          <w:sz w:val="28"/>
          <w:szCs w:val="28"/>
          <w:rtl/>
        </w:rPr>
        <w:t xml:space="preserve">و اسمه میر عبد الواحد التقوی المتوفی 1134 أورد شعره معاصره فی (سرو- ص 341) و (مقالات الشعراء- ص 825).
</w:t>
      </w:r>
    </w:p>
    <w:p>
      <w:pPr>
        <w:sectPr>
          <w:footerReference w:type="default" r:id="rId1255"/>
          <w:footnotePr>
            <w:numStart w:val="1"/>
            <w:numRestart w:val="eachPage"/>
          </w:footnotePr>
          <w:pgSz w:orient="portrait" w:w="11905.511811023622" w:h="16837.79527559055"/>
          <w:pgMar w:top="1440" w:right="1440" w:bottom="1440" w:left="1440" w:header="720" w:footer="720" w:gutter="0"/>
          <w:cols w:num="1" w:space="720"/>
        </w:sectPr>
      </w:pPr>
    </w:p>
    <w:bookmarkStart w:id="1230" w:name="pg11704_122744"/>
    <w:bookmarkEnd w:id="1230"/>
    <w:p>
      <w:pPr>
        <w:pStyle w:val="Heading3"/>
      </w:pPr>
      <w:bookmarkStart w:id="10575" w:name="_Toc9271"/>
      <w:r>
        <w:t>7988- دیوان واحد تبریزی أو شعره‏</w:t>
      </w:r>
      <w:bookmarkEnd w:id="10575"/>
    </w:p>
    <w:p>
      <w:pPr>
        <w:pStyle w:val="BookText"/>
      </w:pPr>
      <w:r>
        <w:rPr>
          <w:rFonts w:ascii="IRNazanin" w:hAnsi="IRNazanin" w:eastAsia="IRNazanin" w:cs="IRNazanin"/>
          <w:lang w:bidi="fa-IR"/>
          <w:color w:val="111111"/>
          <w:sz w:val="28"/>
          <w:szCs w:val="28"/>
          <w:rtl/>
        </w:rPr>
        <w:t xml:space="preserve">و هو الملا رجب علی الحکیم من تلامیذ صدر الشیرازی. کان مدرسا بمدرسة المولی لطف الله سنین، و عین له الشاه عباس الثانی دارا فی شمس‏آباد خارج حصار أصفهان. ترجمه فی ریاض العلماء و ذکر من تلامیذ الملا محمد سراب و الحکیم محمد حسین و أخوه القاضی محمد سعید و المیر قوام الدین محمد و المولی محمد شفیع. و ترجمه النصرآبادی فی (نر 6- ص 154) و ترجم أیضا فی (ض- ص 237) و (خوش‏گو) و (دجا- ص 390) و (روشن- ص 730).</w:t>
      </w:r>
    </w:p>
    <w:p>
      <w:pPr>
        <w:pStyle w:val="Heading3"/>
      </w:pPr>
      <w:bookmarkStart w:id="10576" w:name="_Toc9272"/>
      <w:r>
        <w:t>دیوان واحد تتوی‏</w:t>
      </w:r>
      <w:bookmarkEnd w:id="10576"/>
    </w:p>
    <w:p>
      <w:pPr>
        <w:pStyle w:val="BookText"/>
      </w:pPr>
      <w:r>
        <w:rPr>
          <w:rFonts w:ascii="IRNazanin" w:hAnsi="IRNazanin" w:eastAsia="IRNazanin" w:cs="IRNazanin"/>
          <w:lang w:bidi="fa-IR"/>
          <w:color w:val="111111"/>
          <w:sz w:val="28"/>
          <w:szCs w:val="28"/>
          <w:rtl/>
        </w:rPr>
        <w:t xml:space="preserve">راجع واحد بلگرامی.</w:t>
      </w:r>
    </w:p>
    <w:p>
      <w:pPr>
        <w:pStyle w:val="Heading3"/>
      </w:pPr>
      <w:bookmarkStart w:id="10577" w:name="_Toc9273"/>
      <w:r>
        <w:t>7989- دیوان واحد شیرازی أو شعره‏</w:t>
      </w:r>
      <w:bookmarkEnd w:id="10577"/>
    </w:p>
    <w:p>
      <w:pPr>
        <w:pStyle w:val="BookText"/>
      </w:pPr>
      <w:r>
        <w:rPr>
          <w:rFonts w:ascii="IRNazanin" w:hAnsi="IRNazanin" w:eastAsia="IRNazanin" w:cs="IRNazanin"/>
          <w:lang w:bidi="fa-IR"/>
          <w:color w:val="111111"/>
          <w:sz w:val="28"/>
          <w:szCs w:val="28"/>
          <w:rtl/>
        </w:rPr>
        <w:t xml:space="preserve">ترجمه و أورد شعره فی (عم- ص 541).</w:t>
      </w:r>
    </w:p>
    <w:p>
      <w:pPr>
        <w:pStyle w:val="Heading3"/>
      </w:pPr>
      <w:bookmarkStart w:id="10578" w:name="_Toc9274"/>
      <w:r>
        <w:t>7990- دیوان واحد قمی أو شعره‏</w:t>
      </w:r>
      <w:bookmarkEnd w:id="10578"/>
    </w:p>
    <w:p>
      <w:pPr>
        <w:pStyle w:val="BookText"/>
      </w:pPr>
      <w:r>
        <w:rPr>
          <w:rFonts w:ascii="IRNazanin" w:hAnsi="IRNazanin" w:eastAsia="IRNazanin" w:cs="IRNazanin"/>
          <w:lang w:bidi="fa-IR"/>
          <w:color w:val="111111"/>
          <w:sz w:val="28"/>
          <w:szCs w:val="28"/>
          <w:rtl/>
        </w:rPr>
        <w:t xml:space="preserve">و اسمه محمد علی. سکن أصفهان. قال معاصره فی (نر 9- ص 366) إنه خطاط وسیع المشرب لطیف الشعر و کذا فی (گلشن- ص 578).</w:t>
      </w:r>
    </w:p>
    <w:p>
      <w:pPr>
        <w:pStyle w:val="Heading3"/>
      </w:pPr>
      <w:bookmarkStart w:id="10579" w:name="_Toc9275"/>
      <w:r>
        <w:t>7991- دیوان واحد کرمانی أو شعره‏</w:t>
      </w:r>
      <w:bookmarkEnd w:id="10579"/>
    </w:p>
    <w:p>
      <w:pPr>
        <w:pStyle w:val="BookText"/>
      </w:pPr>
      <w:r>
        <w:rPr>
          <w:rFonts w:ascii="IRNazanin" w:hAnsi="IRNazanin" w:eastAsia="IRNazanin" w:cs="IRNazanin"/>
          <w:lang w:bidi="fa-IR"/>
          <w:color w:val="111111"/>
          <w:sz w:val="28"/>
          <w:szCs w:val="28"/>
          <w:rtl/>
        </w:rPr>
        <w:t xml:space="preserve">کان یلقب اقتلوا. ورد شعره فی (گلشن- ص 578) و (مسرت- ص 73).</w:t>
      </w:r>
    </w:p>
    <w:p>
      <w:pPr>
        <w:pStyle w:val="Heading3"/>
      </w:pPr>
      <w:bookmarkStart w:id="10580" w:name="_Toc9276"/>
      <w:r>
        <w:t>7992- دیوان واحدی مشهدی أو شعره‏</w:t>
      </w:r>
      <w:bookmarkEnd w:id="10580"/>
    </w:p>
    <w:p>
      <w:pPr>
        <w:pStyle w:val="BookText"/>
      </w:pPr>
      <w:r>
        <w:rPr>
          <w:rFonts w:ascii="IRNazanin" w:hAnsi="IRNazanin" w:eastAsia="IRNazanin" w:cs="IRNazanin"/>
          <w:lang w:bidi="fa-IR"/>
          <w:color w:val="111111"/>
          <w:sz w:val="28"/>
          <w:szCs w:val="28"/>
          <w:rtl/>
        </w:rPr>
        <w:t xml:space="preserve">هو ابن المولی حاجی معروف أورد علی شیر شعره فی (مجن 3: 83 و 258).</w:t>
      </w:r>
    </w:p>
    <w:p>
      <w:pPr>
        <w:pStyle w:val="Heading3"/>
      </w:pPr>
      <w:bookmarkStart w:id="10581" w:name="_Toc9277"/>
      <w:r>
        <w:t>7993- دیوان واحدی هندی أو شعره‏</w:t>
      </w:r>
      <w:bookmarkEnd w:id="10581"/>
    </w:p>
    <w:p>
      <w:pPr>
        <w:pStyle w:val="BookText"/>
      </w:pPr>
      <w:r>
        <w:rPr>
          <w:rFonts w:ascii="IRNazanin" w:hAnsi="IRNazanin" w:eastAsia="IRNazanin" w:cs="IRNazanin"/>
          <w:lang w:bidi="fa-IR"/>
          <w:color w:val="111111"/>
          <w:sz w:val="28"/>
          <w:szCs w:val="28"/>
          <w:rtl/>
        </w:rPr>
        <w:t xml:space="preserve">ورد شعره فی (گلشن- ص 578).</w:t>
      </w:r>
    </w:p>
    <w:p>
      <w:pPr>
        <w:pStyle w:val="Heading3"/>
      </w:pPr>
      <w:bookmarkStart w:id="10582" w:name="_Toc9278"/>
      <w:r>
        <w:t>7994- دیوان وارث الله‏آبادی أو شعره‏</w:t>
      </w:r>
      <w:bookmarkEnd w:id="10582"/>
    </w:p>
    <w:p>
      <w:pPr>
        <w:pStyle w:val="BookText"/>
      </w:pPr>
      <w:r>
        <w:rPr>
          <w:rFonts w:ascii="IRNazanin" w:hAnsi="IRNazanin" w:eastAsia="IRNazanin" w:cs="IRNazanin"/>
          <w:lang w:bidi="fa-IR"/>
          <w:color w:val="111111"/>
          <w:sz w:val="28"/>
          <w:szCs w:val="28"/>
          <w:rtl/>
        </w:rPr>
        <w:t xml:space="preserve">و اسمه الشیخ محمد خلیفة قطب الدین مصیب. ورد شعره فی (گلشن- ص 578) و قال سافر إلی الحج فی 1106 و مات بعد الرجوع.</w:t>
      </w:r>
    </w:p>
    <w:p>
      <w:pPr>
        <w:pStyle w:val="Heading3"/>
      </w:pPr>
      <w:bookmarkStart w:id="10583" w:name="_Toc9279"/>
      <w:r>
        <w:t>7995- دیوان وارث لاهوری أو شعره‏</w:t>
      </w:r>
      <w:bookmarkEnd w:id="10583"/>
    </w:p>
    <w:p>
      <w:pPr>
        <w:pStyle w:val="BookText"/>
      </w:pPr>
      <w:r>
        <w:rPr>
          <w:rFonts w:ascii="IRNazanin" w:hAnsi="IRNazanin" w:eastAsia="IRNazanin" w:cs="IRNazanin"/>
          <w:lang w:bidi="fa-IR"/>
          <w:color w:val="111111"/>
          <w:sz w:val="28"/>
          <w:szCs w:val="28"/>
          <w:rtl/>
        </w:rPr>
        <w:t xml:space="preserve">ورد شعره فی (گلشن- ص 579).</w:t>
      </w:r>
    </w:p>
    <w:p>
      <w:pPr>
        <w:pStyle w:val="Heading3"/>
      </w:pPr>
      <w:bookmarkStart w:id="10584" w:name="_Toc9280"/>
      <w:r>
        <w:t>7996- دیوان وارثی أردبیلی أو شعره‏</w:t>
      </w:r>
      <w:bookmarkEnd w:id="10584"/>
    </w:p>
    <w:p>
      <w:pPr>
        <w:pStyle w:val="BookText"/>
      </w:pPr>
      <w:r>
        <w:rPr>
          <w:rFonts w:ascii="IRNazanin" w:hAnsi="IRNazanin" w:eastAsia="IRNazanin" w:cs="IRNazanin"/>
          <w:lang w:bidi="fa-IR"/>
          <w:color w:val="111111"/>
          <w:sz w:val="28"/>
          <w:szCs w:val="28"/>
          <w:rtl/>
        </w:rPr>
        <w:t xml:space="preserve">نقل فی (دجا- ص 390) عن خلاصة الأشعار لتقی الکاشی أنه خرج من أردبیل و هو الیوم فی أسترآباد مرجعا للشعراء و ورد شعره فی هفت إقلیم و (گلشن- ص 579).</w:t>
      </w:r>
    </w:p>
    <w:p>
      <w:pPr>
        <w:pStyle w:val="Heading3"/>
      </w:pPr>
      <w:bookmarkStart w:id="10585" w:name="_Toc9281"/>
      <w:r>
        <w:t>7997- دیوان وارثی سبزواری أو شعره‏</w:t>
      </w:r>
      <w:bookmarkEnd w:id="10585"/>
    </w:p>
    <w:p>
      <w:pPr>
        <w:pStyle w:val="BookText"/>
      </w:pPr>
      <w:r>
        <w:rPr>
          <w:rFonts w:ascii="IRNazanin" w:hAnsi="IRNazanin" w:eastAsia="IRNazanin" w:cs="IRNazanin"/>
          <w:lang w:bidi="fa-IR"/>
          <w:color w:val="111111"/>
          <w:sz w:val="28"/>
          <w:szCs w:val="28"/>
          <w:rtl/>
        </w:rPr>
        <w:t xml:space="preserve">نزل دهلی فی عهد أکبر شاه. ورد شعره فی (گلشن- ص 579).</w:t>
      </w:r>
    </w:p>
    <w:p>
      <w:pPr>
        <w:pStyle w:val="Heading3"/>
      </w:pPr>
      <w:bookmarkStart w:id="10586" w:name="_Toc9282"/>
      <w:r>
        <w:t>7998- دیوان وارد شاه‏جهان‏آبادی أو شعره‏</w:t>
      </w:r>
      <w:bookmarkEnd w:id="10586"/>
    </w:p>
    <w:p>
      <w:pPr>
        <w:pStyle w:val="BookText"/>
      </w:pPr>
      <w:r>
        <w:rPr>
          <w:rFonts w:ascii="IRNazanin" w:hAnsi="IRNazanin" w:eastAsia="IRNazanin" w:cs="IRNazanin"/>
          <w:lang w:bidi="fa-IR"/>
          <w:color w:val="111111"/>
          <w:sz w:val="28"/>
          <w:szCs w:val="28"/>
          <w:rtl/>
        </w:rPr>
        <w:t xml:space="preserve">و اسمه الشیخ محمد شفیع بن محمد
</w:t>
      </w:r>
    </w:p>
    <w:p>
      <w:pPr>
        <w:sectPr>
          <w:footerReference w:type="default" r:id="rId1256"/>
          <w:footnotePr>
            <w:numStart w:val="1"/>
            <w:numRestart w:val="eachPage"/>
          </w:footnotePr>
          <w:pgSz w:orient="portrait" w:w="11905.511811023622" w:h="16837.79527559055"/>
          <w:pgMar w:top="1440" w:right="1440" w:bottom="1440" w:left="1440" w:header="720" w:footer="720" w:gutter="0"/>
          <w:cols w:num="1" w:space="720"/>
        </w:sectPr>
      </w:pPr>
    </w:p>
    <w:bookmarkStart w:id="1231" w:name="pg11704_122746"/>
    <w:bookmarkEnd w:id="1231"/>
    <w:p>
      <w:pPr>
        <w:pStyle w:val="BookText"/>
      </w:pPr>
      <w:r>
        <w:rPr>
          <w:rFonts w:ascii="IRNazanin" w:hAnsi="IRNazanin" w:eastAsia="IRNazanin" w:cs="IRNazanin"/>
          <w:lang w:bidi="fa-IR"/>
          <w:color w:val="111111"/>
          <w:sz w:val="28"/>
          <w:szCs w:val="28"/>
          <w:rtl/>
        </w:rPr>
        <w:t xml:space="preserve">شریف الطهرانی من شعراء عهد عالمگیر. ورد شعره فی (روشن- ص 730).</w:t>
      </w:r>
    </w:p>
    <w:p>
      <w:pPr>
        <w:pStyle w:val="Heading3"/>
      </w:pPr>
      <w:bookmarkStart w:id="10587" w:name="_Toc9283"/>
      <w:r>
        <w:t>7999- دیوان وارد هندی أو شعره‏</w:t>
      </w:r>
      <w:bookmarkEnd w:id="10587"/>
    </w:p>
    <w:p>
      <w:pPr>
        <w:pStyle w:val="BookText"/>
      </w:pPr>
      <w:r>
        <w:rPr>
          <w:rFonts w:ascii="IRNazanin" w:hAnsi="IRNazanin" w:eastAsia="IRNazanin" w:cs="IRNazanin"/>
          <w:lang w:bidi="fa-IR"/>
          <w:color w:val="111111"/>
          <w:sz w:val="28"/>
          <w:szCs w:val="28"/>
          <w:rtl/>
        </w:rPr>
        <w:t xml:space="preserve">و هو الشیخ محمدی الپتیالی ورد شعره فی (گلشن- ص 579).</w:t>
      </w:r>
    </w:p>
    <w:p>
      <w:pPr>
        <w:pStyle w:val="Heading3"/>
      </w:pPr>
      <w:bookmarkStart w:id="10588" w:name="_Toc9284"/>
      <w:r>
        <w:t>8000- دیوان وارسته چکنی‏</w:t>
      </w:r>
      <w:bookmarkEnd w:id="10588"/>
    </w:p>
    <w:p>
      <w:pPr>
        <w:pStyle w:val="BookText"/>
      </w:pPr>
      <w:r>
        <w:rPr>
          <w:rFonts w:ascii="IRNazanin" w:hAnsi="IRNazanin" w:eastAsia="IRNazanin" w:cs="IRNazanin"/>
          <w:lang w:bidi="fa-IR"/>
          <w:color w:val="111111"/>
          <w:sz w:val="28"/>
          <w:szCs w:val="28"/>
          <w:rtl/>
        </w:rPr>
        <w:t xml:space="preserve">اسمه إمام قلی بیک ترجمه النصرآبادی فی (نر 9- ص 335) و ذکر أنه سافر کثیرا فی الهند و غیرها و نظم شعرا کثیرا و فی أوائل جلوس الشاه عباس الثانی (1052) جاء إلی أصفهان ثم إلی یزد و هجا الأمیر مظفر الترک بمثنوی ثم أورد جملة من أشعاره منها ما هجا فیه محمد قلی المتخلص بسلیم و المتوفی 1057 و ترجمه (مع 2- ص 51) و أورد شعره الآخر و کذا فی (تش- ص 23) و (خوش‏گو)</w:t>
      </w:r>
    </w:p>
    <w:p>
      <w:pPr>
        <w:pStyle w:val="Heading3"/>
      </w:pPr>
      <w:bookmarkStart w:id="10589" w:name="_Toc9285"/>
      <w:r>
        <w:t>8001- دیوان وارسته دهلوی أو شعره‏</w:t>
      </w:r>
      <w:bookmarkEnd w:id="10589"/>
    </w:p>
    <w:p>
      <w:pPr>
        <w:pStyle w:val="BookText"/>
      </w:pPr>
      <w:r>
        <w:rPr>
          <w:rFonts w:ascii="IRNazanin" w:hAnsi="IRNazanin" w:eastAsia="IRNazanin" w:cs="IRNazanin"/>
          <w:lang w:bidi="fa-IR"/>
          <w:color w:val="111111"/>
          <w:sz w:val="28"/>
          <w:szCs w:val="28"/>
          <w:rtl/>
        </w:rPr>
        <w:t xml:space="preserve">و اسمه حفیظ الله خان ورد شعره فی (گلشن- ص 580)</w:t>
      </w:r>
    </w:p>
    <w:p>
      <w:pPr>
        <w:pStyle w:val="Heading3"/>
      </w:pPr>
      <w:bookmarkStart w:id="10590" w:name="_Toc9286"/>
      <w:r>
        <w:t>8002- دیوان وارسته سیالکوتی‏</w:t>
      </w:r>
      <w:bookmarkEnd w:id="10590"/>
    </w:p>
    <w:p>
      <w:pPr>
        <w:pStyle w:val="BookText"/>
      </w:pPr>
      <w:r>
        <w:rPr>
          <w:rFonts w:ascii="IRNazanin" w:hAnsi="IRNazanin" w:eastAsia="IRNazanin" w:cs="IRNazanin"/>
          <w:lang w:bidi="fa-IR"/>
          <w:color w:val="111111"/>
          <w:sz w:val="28"/>
          <w:szCs w:val="28"/>
          <w:rtl/>
        </w:rPr>
        <w:t xml:space="preserve">من شعراء لاهور مر له اصطلاحات الشعراء فی 2: 121 و فی (گلشن- ص 580) أن اسمه مل تلمذ علی الحزین المتوفی 1181 و سافر إلی إیران لتعلم الفارسیة و هو جد محمد حسن قتیل کما مر فی ص 876 و له غیر مصطلحات الشعراء کتاب اسمه رجم الشیاطین فی جواب تنبیه الغافلین لخان آرزو، و نسب بعضهم اصطلاحات الشعراء المطبوع فی بمبئی إلی إمام قلی وارسته المذکور قبل هذا</w:t>
      </w:r>
    </w:p>
    <w:p>
      <w:pPr>
        <w:pStyle w:val="Heading3"/>
      </w:pPr>
      <w:bookmarkStart w:id="10591" w:name="_Toc9287"/>
      <w:r>
        <w:t>8003- دیوان وارسته فرخ‏آبادی أو شعره‏</w:t>
      </w:r>
      <w:bookmarkEnd w:id="10591"/>
    </w:p>
    <w:p>
      <w:pPr>
        <w:pStyle w:val="BookText"/>
      </w:pPr>
      <w:r>
        <w:rPr>
          <w:rFonts w:ascii="IRNazanin" w:hAnsi="IRNazanin" w:eastAsia="IRNazanin" w:cs="IRNazanin"/>
          <w:lang w:bidi="fa-IR"/>
          <w:color w:val="111111"/>
          <w:sz w:val="28"/>
          <w:szCs w:val="28"/>
          <w:rtl/>
        </w:rPr>
        <w:t xml:space="preserve">اسمه الشیخ قاسم ورد شعره فی (گلشن- ص 579)</w:t>
      </w:r>
    </w:p>
    <w:p>
      <w:pPr>
        <w:pStyle w:val="Heading3"/>
      </w:pPr>
      <w:bookmarkStart w:id="10592" w:name="_Toc9288"/>
      <w:r>
        <w:t>8004- دیوان واسطی بلگرامی أو شعره‏</w:t>
      </w:r>
      <w:bookmarkEnd w:id="10592"/>
    </w:p>
    <w:p>
      <w:pPr>
        <w:pStyle w:val="BookText"/>
      </w:pPr>
      <w:r>
        <w:rPr>
          <w:rFonts w:ascii="IRNazanin" w:hAnsi="IRNazanin" w:eastAsia="IRNazanin" w:cs="IRNazanin"/>
          <w:lang w:bidi="fa-IR"/>
          <w:color w:val="111111"/>
          <w:sz w:val="28"/>
          <w:szCs w:val="28"/>
          <w:rtl/>
        </w:rPr>
        <w:t xml:space="preserve">و اسمه میر عبد الجلیل الحسینی ابن أحمد ورد شعره فی (سرو- ص 253- 286) و توفی 1138 و (خز- ص 352) و طبع له مثنوی واسطی فی نولکشور علی الحجر</w:t>
      </w:r>
    </w:p>
    <w:p>
      <w:pPr>
        <w:pStyle w:val="Heading3"/>
      </w:pPr>
      <w:bookmarkStart w:id="10593" w:name="_Toc9289"/>
      <w:r>
        <w:t>8005- دیوان واشی لاهوری أو شعره‏</w:t>
      </w:r>
      <w:bookmarkEnd w:id="10593"/>
    </w:p>
    <w:p>
      <w:pPr>
        <w:pStyle w:val="BookText"/>
      </w:pPr>
      <w:r>
        <w:rPr>
          <w:rFonts w:ascii="IRNazanin" w:hAnsi="IRNazanin" w:eastAsia="IRNazanin" w:cs="IRNazanin"/>
          <w:lang w:bidi="fa-IR"/>
          <w:color w:val="111111"/>
          <w:sz w:val="28"/>
          <w:szCs w:val="28"/>
          <w:rtl/>
        </w:rPr>
        <w:t xml:space="preserve">هو أبو جعفر عمر بن إسحاق جاء شعره فی (لب) و عنه فی (مع 1: 80)</w:t>
      </w:r>
    </w:p>
    <w:p>
      <w:pPr>
        <w:pStyle w:val="Heading3"/>
      </w:pPr>
      <w:bookmarkStart w:id="10594" w:name="_Toc9290"/>
      <w:r>
        <w:t>8006- دیوان واصب قندهاری‏</w:t>
      </w:r>
      <w:bookmarkEnd w:id="10594"/>
    </w:p>
    <w:p>
      <w:pPr>
        <w:pStyle w:val="BookText"/>
      </w:pPr>
      <w:r>
        <w:rPr>
          <w:rFonts w:ascii="IRNazanin" w:hAnsi="IRNazanin" w:eastAsia="IRNazanin" w:cs="IRNazanin"/>
          <w:lang w:bidi="fa-IR"/>
          <w:color w:val="111111"/>
          <w:sz w:val="28"/>
          <w:szCs w:val="28"/>
          <w:rtl/>
        </w:rPr>
        <w:t xml:space="preserve">المغنی الموسیقار المعاصر لمحمد قلی سلیم و صبوحی و کانوا جمیعا عند عبد الله وزیر لاهیجان جاء إلی أصفهان و رجع و مات بلاهیجان‏
</w:t>
      </w:r>
    </w:p>
    <w:p>
      <w:pPr>
        <w:sectPr>
          <w:footerReference w:type="default" r:id="rId1257"/>
          <w:footnotePr>
            <w:numStart w:val="1"/>
            <w:numRestart w:val="eachPage"/>
          </w:footnotePr>
          <w:pgSz w:orient="portrait" w:w="11905.511811023622" w:h="16837.79527559055"/>
          <w:pgMar w:top="1440" w:right="1440" w:bottom="1440" w:left="1440" w:header="720" w:footer="720" w:gutter="0"/>
          <w:cols w:num="1" w:space="720"/>
        </w:sectPr>
      </w:pPr>
    </w:p>
    <w:bookmarkStart w:id="1232" w:name="pg11704_122748"/>
    <w:bookmarkEnd w:id="1232"/>
    <w:p>
      <w:pPr>
        <w:pStyle w:val="BookText"/>
      </w:pPr>
      <w:r>
        <w:rPr>
          <w:rFonts w:ascii="IRNazanin" w:hAnsi="IRNazanin" w:eastAsia="IRNazanin" w:cs="IRNazanin"/>
          <w:lang w:bidi="fa-IR"/>
          <w:color w:val="111111"/>
          <w:sz w:val="28"/>
          <w:szCs w:val="28"/>
          <w:rtl/>
        </w:rPr>
        <w:t xml:space="preserve">أطرأ النصرآبادی شعره و صوته فی (نر 4 و 9- ص 78 و 337) و فی (روشن- ص 731) نقل عن آفتاب عالم تاب أنه واهب قندهاری بالهاء و کذا فی (گلشن- ص 586) و لیس بشی‏ء</w:t>
      </w:r>
    </w:p>
    <w:p>
      <w:pPr>
        <w:pStyle w:val="Heading3"/>
      </w:pPr>
      <w:bookmarkStart w:id="10595" w:name="_Toc9291"/>
      <w:r>
        <w:t>8007- دیوان واصف کشمیری أو شعره‏</w:t>
      </w:r>
      <w:bookmarkEnd w:id="10595"/>
    </w:p>
    <w:p>
      <w:pPr>
        <w:pStyle w:val="BookText"/>
      </w:pPr>
      <w:r>
        <w:rPr>
          <w:rFonts w:ascii="IRNazanin" w:hAnsi="IRNazanin" w:eastAsia="IRNazanin" w:cs="IRNazanin"/>
          <w:lang w:bidi="fa-IR"/>
          <w:color w:val="111111"/>
          <w:sz w:val="28"/>
          <w:szCs w:val="28"/>
          <w:rtl/>
        </w:rPr>
        <w:t xml:space="preserve">و اسمه سید حسین شاه أصله من بخارا و توفی 1285 طبع له خلعة الهنود فی جواب تحفه الإسلام کما فی (روشن- ص 731)</w:t>
      </w:r>
    </w:p>
    <w:p>
      <w:pPr>
        <w:pStyle w:val="Heading3"/>
      </w:pPr>
      <w:bookmarkStart w:id="10596" w:name="_Toc9292"/>
      <w:r>
        <w:t>8008- دیوان واصف مشهدی‏</w:t>
      </w:r>
      <w:bookmarkEnd w:id="10596"/>
    </w:p>
    <w:p>
      <w:pPr>
        <w:pStyle w:val="BookText"/>
      </w:pPr>
      <w:r>
        <w:rPr>
          <w:rFonts w:ascii="IRNazanin" w:hAnsi="IRNazanin" w:eastAsia="IRNazanin" w:cs="IRNazanin"/>
          <w:lang w:bidi="fa-IR"/>
          <w:color w:val="111111"/>
          <w:sz w:val="28"/>
          <w:szCs w:val="28"/>
          <w:rtl/>
        </w:rPr>
        <w:t xml:space="preserve">و هو الملا إبراهیم کان فی خدمة الآستانة الرضویة و أعرض عنه و طلب العلم ثم سافر إلی الهند و توفی ببندر عباس کذا ذکر فی (نر 9- ص 399) و عنه فی (مطلع 2: 449) و یوجد نسخه من منتخب دیوان واصف کتبت فی 1081 عند (دهخدا) و طبع منتخب دیوان واصف فی مدارس 1864 م فی 56 ص‏</w:t>
      </w:r>
    </w:p>
    <w:p>
      <w:pPr>
        <w:pStyle w:val="Heading3"/>
      </w:pPr>
      <w:bookmarkStart w:id="10597" w:name="_Toc9293"/>
      <w:r>
        <w:t>8009- دیوان واصفی هروی‏</w:t>
      </w:r>
      <w:bookmarkEnd w:id="10597"/>
    </w:p>
    <w:p>
      <w:pPr>
        <w:pStyle w:val="BookText"/>
      </w:pPr>
      <w:r>
        <w:rPr>
          <w:rFonts w:ascii="IRNazanin" w:hAnsi="IRNazanin" w:eastAsia="IRNazanin" w:cs="IRNazanin"/>
          <w:lang w:bidi="fa-IR"/>
          <w:color w:val="111111"/>
          <w:sz w:val="28"/>
          <w:szCs w:val="28"/>
          <w:rtl/>
        </w:rPr>
        <w:t xml:space="preserve">لزین الدین محمود المتخلص واصفی کان فی خراسان فانهزم فی 918 حین وصل الشاه إسماعیل إلیها کان عارفا بالموسیقا و الألحان و قد تتبع قسمیه سلمان ساوجی و طنطرانیة کمال الأصفهانی و له أشعار کثیرة أوردها فی کتابه بدائع الوقائع المطبوع فی موسکو فی 1961 م فی مجلدین و الظاهر أنه المذکور فی (گلشن- ص 580) و قد تتبع قصیدة شتر حجره للکاتبی، کما ذکر فی (دجا- ص 370)</w:t>
      </w:r>
    </w:p>
    <w:p>
      <w:pPr>
        <w:pStyle w:val="Heading3"/>
      </w:pPr>
      <w:bookmarkStart w:id="10598" w:name="_Toc9294"/>
      <w:r>
        <w:t>8010- دیوان واصل کرمانی أو شعره‏</w:t>
      </w:r>
      <w:bookmarkEnd w:id="10598"/>
    </w:p>
    <w:p>
      <w:pPr>
        <w:pStyle w:val="BookText"/>
      </w:pPr>
      <w:r>
        <w:rPr>
          <w:rFonts w:ascii="IRNazanin" w:hAnsi="IRNazanin" w:eastAsia="IRNazanin" w:cs="IRNazanin"/>
          <w:lang w:bidi="fa-IR"/>
          <w:color w:val="111111"/>
          <w:sz w:val="28"/>
          <w:szCs w:val="28"/>
          <w:rtl/>
        </w:rPr>
        <w:t xml:space="preserve">و هو السید أبو القاسم بن عباس پورحسینی ولد بکرمان 1339 و نشا بها و أصدر جریدة روح القدس الکرمانیة ترجمه البرقعی فی سخنوران 2: 271 ثم جاء طهران و هو الیوم معلم بکلیة الأدب‏</w:t>
      </w:r>
    </w:p>
    <w:p>
      <w:pPr>
        <w:pStyle w:val="Heading3"/>
      </w:pPr>
      <w:bookmarkStart w:id="10599" w:name="_Toc9295"/>
      <w:r>
        <w:t>8011- دیوان واصل کشمیری أو شعره‏</w:t>
      </w:r>
      <w:bookmarkEnd w:id="10599"/>
    </w:p>
    <w:p>
      <w:pPr>
        <w:pStyle w:val="BookText"/>
      </w:pPr>
      <w:r>
        <w:rPr>
          <w:rFonts w:ascii="IRNazanin" w:hAnsi="IRNazanin" w:eastAsia="IRNazanin" w:cs="IRNazanin"/>
          <w:lang w:bidi="fa-IR"/>
          <w:color w:val="111111"/>
          <w:sz w:val="28"/>
          <w:szCs w:val="28"/>
          <w:rtl/>
        </w:rPr>
        <w:t xml:space="preserve">و اسمه محمد واصل تلمیذ میرزا گرامی مات 1207 عن 82 سنة فی لکهنو ورد شعره فی (گلشن- ص 581)</w:t>
      </w:r>
    </w:p>
    <w:p>
      <w:pPr>
        <w:pStyle w:val="Heading3"/>
      </w:pPr>
      <w:bookmarkStart w:id="10600" w:name="_Toc9296"/>
      <w:r>
        <w:t>8012- دیوان واصل کشمیری أو شعره‏</w:t>
      </w:r>
      <w:bookmarkEnd w:id="10600"/>
    </w:p>
    <w:p>
      <w:pPr>
        <w:pStyle w:val="BookText"/>
      </w:pPr>
      <w:r>
        <w:rPr>
          <w:rFonts w:ascii="IRNazanin" w:hAnsi="IRNazanin" w:eastAsia="IRNazanin" w:cs="IRNazanin"/>
          <w:lang w:bidi="fa-IR"/>
          <w:color w:val="111111"/>
          <w:sz w:val="28"/>
          <w:szCs w:val="28"/>
          <w:rtl/>
        </w:rPr>
        <w:t xml:space="preserve">سکن مدة بدهلی ورد شعره فی (گلشن- ص 580)</w:t>
      </w:r>
    </w:p>
    <w:p>
      <w:pPr>
        <w:pStyle w:val="Heading3"/>
      </w:pPr>
      <w:bookmarkStart w:id="10601" w:name="_Toc9297"/>
      <w:r>
        <w:t>8013- دیوان واصل لاهیجی‏</w:t>
      </w:r>
      <w:bookmarkEnd w:id="10601"/>
    </w:p>
    <w:p>
      <w:pPr>
        <w:pStyle w:val="BookText"/>
      </w:pPr>
      <w:r>
        <w:rPr>
          <w:rFonts w:ascii="IRNazanin" w:hAnsi="IRNazanin" w:eastAsia="IRNazanin" w:cs="IRNazanin"/>
          <w:lang w:bidi="fa-IR"/>
          <w:color w:val="111111"/>
          <w:sz w:val="28"/>
          <w:szCs w:val="28"/>
          <w:rtl/>
        </w:rPr>
        <w:t xml:space="preserve">و اسمه ملا محمد أمین بن درویش محمد نزل تبریز ثم أصفهان فی مدرسة مهابادی ترجمه معاصره فی (نر 9: 352 و 380) و قال (حزین-
</w:t>
      </w:r>
    </w:p>
    <w:p>
      <w:pPr>
        <w:sectPr>
          <w:footerReference w:type="default" r:id="rId1258"/>
          <w:footnotePr>
            <w:numStart w:val="1"/>
            <w:numRestart w:val="eachPage"/>
          </w:footnotePr>
          <w:pgSz w:orient="portrait" w:w="11905.511811023622" w:h="16837.79527559055"/>
          <w:pgMar w:top="1440" w:right="1440" w:bottom="1440" w:left="1440" w:header="720" w:footer="720" w:gutter="0"/>
          <w:cols w:num="1" w:space="720"/>
        </w:sectPr>
      </w:pPr>
    </w:p>
    <w:bookmarkStart w:id="1233" w:name="pg11704_122750"/>
    <w:bookmarkEnd w:id="1233"/>
    <w:p>
      <w:pPr>
        <w:pStyle w:val="BookText"/>
      </w:pPr>
      <w:r>
        <w:rPr>
          <w:rFonts w:ascii="IRNazanin" w:hAnsi="IRNazanin" w:eastAsia="IRNazanin" w:cs="IRNazanin"/>
          <w:lang w:bidi="fa-IR"/>
          <w:color w:val="111111"/>
          <w:sz w:val="28"/>
          <w:szCs w:val="28"/>
          <w:rtl/>
        </w:rPr>
        <w:t xml:space="preserve">ص 109) إنه مات قبل خمسین عاما و جاء شعره أیضا فی (خوش‏گو) و همیشه بهار و (مسرت- ص 535) و له مثنوی خلوت راز علی زنة تحفه العراقین‏</w:t>
      </w:r>
    </w:p>
    <w:p>
      <w:pPr>
        <w:pStyle w:val="Heading3"/>
      </w:pPr>
      <w:bookmarkStart w:id="10602" w:name="_Toc9298"/>
      <w:r>
        <w:t>8014- دیوان واصل هندی أو شعره‏</w:t>
      </w:r>
      <w:bookmarkEnd w:id="10602"/>
    </w:p>
    <w:p>
      <w:pPr>
        <w:pStyle w:val="BookText"/>
      </w:pPr>
      <w:r>
        <w:rPr>
          <w:rFonts w:ascii="IRNazanin" w:hAnsi="IRNazanin" w:eastAsia="IRNazanin" w:cs="IRNazanin"/>
          <w:lang w:bidi="fa-IR"/>
          <w:color w:val="111111"/>
          <w:sz w:val="28"/>
          <w:szCs w:val="28"/>
          <w:rtl/>
        </w:rPr>
        <w:t xml:space="preserve">و اسمه مبارک الله تلمیذ محمد زمان راسخ ورد شعره فی (حسینی- ص 361)</w:t>
      </w:r>
    </w:p>
    <w:p>
      <w:pPr>
        <w:pStyle w:val="Heading3"/>
      </w:pPr>
      <w:bookmarkStart w:id="10603" w:name="_Toc9299"/>
      <w:r>
        <w:t>8015- دیوان واصل یزدی‏</w:t>
      </w:r>
      <w:bookmarkEnd w:id="10603"/>
    </w:p>
    <w:p>
      <w:pPr>
        <w:pStyle w:val="BookText"/>
      </w:pPr>
      <w:r>
        <w:rPr>
          <w:rFonts w:ascii="IRNazanin" w:hAnsi="IRNazanin" w:eastAsia="IRNazanin" w:cs="IRNazanin"/>
          <w:lang w:bidi="fa-IR"/>
          <w:color w:val="111111"/>
          <w:sz w:val="28"/>
          <w:szCs w:val="28"/>
          <w:rtl/>
        </w:rPr>
        <w:t xml:space="preserve">لمحمد القیصری المعاصر طبع بمطبعة شیر کوه فی 242 ص و فی أوله تصویره‏</w:t>
      </w:r>
    </w:p>
    <w:p>
      <w:pPr>
        <w:pStyle w:val="Heading3"/>
      </w:pPr>
      <w:bookmarkStart w:id="10604" w:name="_Toc9300"/>
      <w:r>
        <w:t>8016- دیوان واصلی بخاری أو شعره‏</w:t>
      </w:r>
      <w:bookmarkEnd w:id="10604"/>
    </w:p>
    <w:p>
      <w:pPr>
        <w:pStyle w:val="BookText"/>
      </w:pPr>
      <w:r>
        <w:rPr>
          <w:rFonts w:ascii="IRNazanin" w:hAnsi="IRNazanin" w:eastAsia="IRNazanin" w:cs="IRNazanin"/>
          <w:lang w:bidi="fa-IR"/>
          <w:color w:val="111111"/>
          <w:sz w:val="28"/>
          <w:szCs w:val="28"/>
          <w:rtl/>
        </w:rPr>
        <w:t xml:space="preserve">ترجمه معاصره سام میرزا فی (تس 5- ص 166) و هفت إقلیم‏</w:t>
      </w:r>
    </w:p>
    <w:p>
      <w:pPr>
        <w:pStyle w:val="Heading3"/>
      </w:pPr>
      <w:bookmarkStart w:id="10605" w:name="_Toc9301"/>
      <w:r>
        <w:t>8017- دیوان واصلی تبریزی أو شعره‏</w:t>
      </w:r>
      <w:bookmarkEnd w:id="10605"/>
    </w:p>
    <w:p>
      <w:pPr>
        <w:pStyle w:val="BookText"/>
      </w:pPr>
      <w:r>
        <w:rPr>
          <w:rFonts w:ascii="IRNazanin" w:hAnsi="IRNazanin" w:eastAsia="IRNazanin" w:cs="IRNazanin"/>
          <w:lang w:bidi="fa-IR"/>
          <w:color w:val="111111"/>
          <w:sz w:val="28"/>
          <w:szCs w:val="28"/>
          <w:rtl/>
        </w:rPr>
        <w:t xml:space="preserve">کان بیاع الإبریسم تاجرا ورد شعره فی (دجا- ص 390)</w:t>
      </w:r>
    </w:p>
    <w:p>
      <w:pPr>
        <w:pStyle w:val="Heading3"/>
      </w:pPr>
      <w:bookmarkStart w:id="10606" w:name="_Toc9302"/>
      <w:r>
        <w:t>8018- دیوان واصلی شاه‏جهان‏آبادی‏</w:t>
      </w:r>
      <w:bookmarkEnd w:id="10606"/>
    </w:p>
    <w:p>
      <w:pPr>
        <w:pStyle w:val="BookText"/>
      </w:pPr>
      <w:r>
        <w:rPr>
          <w:rFonts w:ascii="IRNazanin" w:hAnsi="IRNazanin" w:eastAsia="IRNazanin" w:cs="IRNazanin"/>
          <w:lang w:bidi="fa-IR"/>
          <w:color w:val="111111"/>
          <w:sz w:val="28"/>
          <w:szCs w:val="28"/>
          <w:rtl/>
        </w:rPr>
        <w:t xml:space="preserve">و اسمه میرزا إمام‏ویردی ولد فی شاه جهان‏آباد و مهر فی الخط و الموسیقی و تخلصه نسبه إلی شاه واصل و مات فی أواخر المائة الثانیة عشرة کذا ترجمه و أورد شعره فی (نتایج- ص 768) و توجد نسخه من دیوان واصلی الله‏وردی فی (بنگاله)</w:t>
      </w:r>
    </w:p>
    <w:p>
      <w:pPr>
        <w:pStyle w:val="Heading3"/>
      </w:pPr>
      <w:bookmarkStart w:id="10607" w:name="_Toc9303"/>
      <w:r>
        <w:t>8019- دیوان واصلی شیرازی أو شعره‏</w:t>
      </w:r>
      <w:bookmarkEnd w:id="10607"/>
    </w:p>
    <w:p>
      <w:pPr>
        <w:pStyle w:val="BookText"/>
      </w:pPr>
      <w:r>
        <w:rPr>
          <w:rFonts w:ascii="IRNazanin" w:hAnsi="IRNazanin" w:eastAsia="IRNazanin" w:cs="IRNazanin"/>
          <w:lang w:bidi="fa-IR"/>
          <w:color w:val="111111"/>
          <w:sz w:val="28"/>
          <w:szCs w:val="28"/>
          <w:rtl/>
        </w:rPr>
        <w:t xml:space="preserve">و اسمه آقا خان فیلی المتوفی 1303 کما ترجمه و أورد شعره فی (عم- ص 571) و قال فرصت فی تاریخه:</w:t>
      </w:r>
    </w:p>
    <w:p>
      <w:pPr>
        <w:pStyle w:val="BookText"/>
      </w:pPr>
      <w:r>
        <w:rPr>
          <w:rFonts w:ascii="IRNazanin" w:hAnsi="IRNazanin" w:eastAsia="IRNazanin" w:cs="IRNazanin"/>
          <w:lang w:bidi="fa-IR"/>
          <w:color w:val="111111"/>
          <w:sz w:val="28"/>
          <w:szCs w:val="28"/>
          <w:rtl/>
        </w:rPr>
        <w:t xml:space="preserve">کلک فرصت بهر تاریخش نوشت‏</w:t>
      </w:r>
    </w:p>
    <w:p>
      <w:pPr>
        <w:pStyle w:val="BookText"/>
      </w:pPr>
      <w:r>
        <w:rPr>
          <w:rFonts w:ascii="IRNazanin" w:hAnsi="IRNazanin" w:eastAsia="IRNazanin" w:cs="IRNazanin"/>
          <w:lang w:bidi="fa-IR"/>
          <w:color w:val="111111"/>
          <w:sz w:val="28"/>
          <w:szCs w:val="28"/>
          <w:rtl/>
        </w:rPr>
        <w:t xml:space="preserve">واصلی در قرب یزدان واصل است‏</w:t>
      </w:r>
    </w:p>
    <w:p>
      <w:pPr>
        <w:pStyle w:val="BookText"/>
      </w:pPr>
      <w:r>
        <w:rPr>
          <w:rFonts w:ascii="IRNazanin" w:hAnsi="IRNazanin" w:eastAsia="IRNazanin" w:cs="IRNazanin"/>
          <w:lang w:bidi="fa-IR"/>
          <w:color w:val="111111"/>
          <w:sz w:val="28"/>
          <w:szCs w:val="28"/>
          <w:rtl/>
        </w:rPr>
        <w:t xml:space="preserve">و جاء البیت فی دیوان فرصت- ص 493</w:t>
      </w:r>
    </w:p>
    <w:p>
      <w:pPr>
        <w:pStyle w:val="Heading3"/>
      </w:pPr>
      <w:bookmarkStart w:id="10608" w:name="_Toc9304"/>
      <w:r>
        <w:t>دیوان واصلی کابلی‏</w:t>
      </w:r>
      <w:bookmarkEnd w:id="10608"/>
    </w:p>
    <w:p>
      <w:pPr>
        <w:pStyle w:val="BookText"/>
      </w:pPr>
      <w:r>
        <w:rPr>
          <w:rFonts w:ascii="IRNazanin" w:hAnsi="IRNazanin" w:eastAsia="IRNazanin" w:cs="IRNazanin"/>
          <w:lang w:bidi="fa-IR"/>
          <w:color w:val="111111"/>
          <w:sz w:val="28"/>
          <w:szCs w:val="28"/>
          <w:rtl/>
        </w:rPr>
        <w:t xml:space="preserve">راجع واصلی مروزی‏</w:t>
      </w:r>
    </w:p>
    <w:p>
      <w:pPr>
        <w:pStyle w:val="Heading3"/>
      </w:pPr>
      <w:bookmarkStart w:id="10609" w:name="_Toc9305"/>
      <w:r>
        <w:t>8020- دیوان واصلی لکهنوی أو شعره‏</w:t>
      </w:r>
      <w:bookmarkEnd w:id="10609"/>
    </w:p>
    <w:p>
      <w:pPr>
        <w:pStyle w:val="BookText"/>
      </w:pPr>
      <w:r>
        <w:rPr>
          <w:rFonts w:ascii="IRNazanin" w:hAnsi="IRNazanin" w:eastAsia="IRNazanin" w:cs="IRNazanin"/>
          <w:lang w:bidi="fa-IR"/>
          <w:color w:val="111111"/>
          <w:sz w:val="28"/>
          <w:szCs w:val="28"/>
          <w:rtl/>
        </w:rPr>
        <w:t xml:space="preserve">و اسمه میرزا علی تلمیذ محمد فاخر مکین و معاصر محمد جعفر راغب ورد شعره فی (گلشن- ص 581)</w:t>
      </w:r>
    </w:p>
    <w:p>
      <w:pPr>
        <w:pStyle w:val="Heading3"/>
      </w:pPr>
      <w:bookmarkStart w:id="10610" w:name="_Toc9306"/>
      <w:r>
        <w:t>8021- دیوان واصلی مروزی أو شعره‏</w:t>
      </w:r>
      <w:bookmarkEnd w:id="10610"/>
    </w:p>
    <w:p>
      <w:pPr>
        <w:pStyle w:val="BookText"/>
      </w:pPr>
      <w:r>
        <w:rPr>
          <w:rFonts w:ascii="IRNazanin" w:hAnsi="IRNazanin" w:eastAsia="IRNazanin" w:cs="IRNazanin"/>
          <w:lang w:bidi="fa-IR"/>
          <w:color w:val="111111"/>
          <w:sz w:val="28"/>
          <w:szCs w:val="28"/>
          <w:rtl/>
        </w:rPr>
        <w:t xml:space="preserve">و هو المتوفی 968 ورد شعره فی هفت إقلیم و (روشن- ص 733)</w:t>
      </w:r>
    </w:p>
    <w:p>
      <w:pPr>
        <w:pStyle w:val="Heading3"/>
      </w:pPr>
      <w:bookmarkStart w:id="10611" w:name="_Toc9307"/>
      <w:r>
        <w:t>8022- دیوان واضح أصفهانی أو شعره‏</w:t>
      </w:r>
      <w:bookmarkEnd w:id="10611"/>
    </w:p>
    <w:p>
      <w:pPr>
        <w:pStyle w:val="BookText"/>
      </w:pPr>
      <w:r>
        <w:rPr>
          <w:rFonts w:ascii="IRNazanin" w:hAnsi="IRNazanin" w:eastAsia="IRNazanin" w:cs="IRNazanin"/>
          <w:lang w:bidi="fa-IR"/>
          <w:color w:val="111111"/>
          <w:sz w:val="28"/>
          <w:szCs w:val="28"/>
          <w:rtl/>
        </w:rPr>
        <w:t xml:space="preserve">و اسمه زمان بن کمال پهلوان بن قاسم پهلوان أورد شعره معاصره فی (نر 9- ص 343) و (خوش‏گو) و عنهما
</w:t>
      </w:r>
    </w:p>
    <w:p>
      <w:pPr>
        <w:sectPr>
          <w:footerReference w:type="default" r:id="rId1259"/>
          <w:footnotePr>
            <w:numStart w:val="1"/>
            <w:numRestart w:val="eachPage"/>
          </w:footnotePr>
          <w:pgSz w:orient="portrait" w:w="11905.511811023622" w:h="16837.79527559055"/>
          <w:pgMar w:top="1440" w:right="1440" w:bottom="1440" w:left="1440" w:header="720" w:footer="720" w:gutter="0"/>
          <w:cols w:num="1" w:space="720"/>
        </w:sectPr>
      </w:pPr>
    </w:p>
    <w:bookmarkStart w:id="1234" w:name="pg11704_122751"/>
    <w:bookmarkEnd w:id="1234"/>
    <w:p>
      <w:pPr>
        <w:pStyle w:val="BookText"/>
      </w:pPr>
      <w:r>
        <w:rPr>
          <w:rFonts w:ascii="IRNazanin" w:hAnsi="IRNazanin" w:eastAsia="IRNazanin" w:cs="IRNazanin"/>
          <w:lang w:bidi="fa-IR"/>
          <w:color w:val="111111"/>
          <w:sz w:val="28"/>
          <w:szCs w:val="28"/>
          <w:rtl/>
        </w:rPr>
        <w:t xml:space="preserve">فی (روشن- ص 733) قالوا کان جده عسسا جابیا لأموال الدولة فی عهد الشاه عباس و فی نسخه تذکره النصرآبادی غلطات فجاء اسمه واضع و نسبه إلی جده قاسم، و کذا فی (مسرت 483)</w:t>
      </w:r>
    </w:p>
    <w:p>
      <w:pPr>
        <w:pStyle w:val="Heading3"/>
      </w:pPr>
      <w:bookmarkStart w:id="10612" w:name="_Toc9308"/>
      <w:r>
        <w:t>8023- دیوان واضح ساوجی‏</w:t>
      </w:r>
      <w:bookmarkEnd w:id="10612"/>
    </w:p>
    <w:p>
      <w:pPr>
        <w:pStyle w:val="BookText"/>
      </w:pPr>
      <w:r>
        <w:rPr>
          <w:rFonts w:ascii="IRNazanin" w:hAnsi="IRNazanin" w:eastAsia="IRNazanin" w:cs="IRNazanin"/>
          <w:lang w:bidi="fa-IR"/>
          <w:color w:val="111111"/>
          <w:sz w:val="28"/>
          <w:szCs w:val="28"/>
          <w:rtl/>
        </w:rPr>
        <w:t xml:space="preserve">و اسمه میرزا مبارک الله الملقب أرادت خان ابن إسحاق بن محمد باقر کان جده محمد باقر من نجباء ساوه و ترقی فی عهد جهانگیر و استوزره شاه‏جهان و حکم کشمیر و بنگاله ثم جونپور و مات بها فی 1058 و نصب واضح هذا للحکم علی جاکنه فی 1100 و مات فی عهد فرخ سیر فی 1128 نقل فی (سرو- ص 146) عن دیوانه عدة غزلات و عنه فی (خوش‏گو) و (نتایج- ص 745) و (خیال- ص 307) و (مسرت- ص 180) و همیشه بهار و دیوانه موجود فی (بنگاله) کما فی فهرس المکتبة الآسویة فیها المطبوع هناک 1895 م‏</w:t>
      </w:r>
    </w:p>
    <w:p>
      <w:pPr>
        <w:pStyle w:val="Heading3"/>
      </w:pPr>
      <w:bookmarkStart w:id="10613" w:name="_Toc9309"/>
      <w:r>
        <w:t>دیوان واضع أصفهانی‏</w:t>
      </w:r>
      <w:bookmarkEnd w:id="10613"/>
    </w:p>
    <w:p>
      <w:pPr>
        <w:pStyle w:val="BookText"/>
      </w:pPr>
      <w:r>
        <w:rPr>
          <w:rFonts w:ascii="IRNazanin" w:hAnsi="IRNazanin" w:eastAsia="IRNazanin" w:cs="IRNazanin"/>
          <w:lang w:bidi="fa-IR"/>
          <w:color w:val="111111"/>
          <w:sz w:val="28"/>
          <w:szCs w:val="28"/>
          <w:rtl/>
        </w:rPr>
        <w:t xml:space="preserve">راجع واضح أصفهانی‏</w:t>
      </w:r>
    </w:p>
    <w:p>
      <w:pPr>
        <w:pStyle w:val="Heading3"/>
      </w:pPr>
      <w:bookmarkStart w:id="10614" w:name="_Toc9310"/>
      <w:r>
        <w:t>8024- دیوان واعظ خراسانی‏</w:t>
      </w:r>
      <w:bookmarkEnd w:id="10614"/>
    </w:p>
    <w:p>
      <w:pPr>
        <w:pStyle w:val="BookText"/>
      </w:pPr>
      <w:r>
        <w:rPr>
          <w:rFonts w:ascii="IRNazanin" w:hAnsi="IRNazanin" w:eastAsia="IRNazanin" w:cs="IRNazanin"/>
          <w:lang w:bidi="fa-IR"/>
          <w:color w:val="111111"/>
          <w:sz w:val="28"/>
          <w:szCs w:val="28"/>
          <w:rtl/>
        </w:rPr>
        <w:t xml:space="preserve">و اسمه مهدی بن یوسف له مثنوی فارسی فی المقتل اسمه عقد مروارید موجودة بخطه فی 1319 عند (فخر الدین- 148) فی خمسة آلاف بیت‏</w:t>
      </w:r>
    </w:p>
    <w:p>
      <w:pPr>
        <w:pStyle w:val="Heading3"/>
      </w:pPr>
      <w:bookmarkStart w:id="10615" w:name="_Toc9311"/>
      <w:r>
        <w:t>دیوان واعظ شیروانی‏</w:t>
      </w:r>
      <w:bookmarkEnd w:id="10615"/>
    </w:p>
    <w:p>
      <w:pPr>
        <w:pStyle w:val="BookText"/>
      </w:pPr>
      <w:r>
        <w:rPr>
          <w:rFonts w:ascii="IRNazanin" w:hAnsi="IRNazanin" w:eastAsia="IRNazanin" w:cs="IRNazanin"/>
          <w:lang w:bidi="fa-IR"/>
          <w:color w:val="111111"/>
          <w:sz w:val="28"/>
          <w:szCs w:val="28"/>
          <w:rtl/>
        </w:rPr>
        <w:t xml:space="preserve">مر بعنوان فیضی شیروانی فی ص 855 و له تاریخ وفاة رکنا ذکره النصرآبادی فی (نر 9- ص 215)</w:t>
      </w:r>
    </w:p>
    <w:p>
      <w:pPr>
        <w:pStyle w:val="Heading3"/>
      </w:pPr>
      <w:bookmarkStart w:id="10616" w:name="_Toc9312"/>
      <w:r>
        <w:t>دیوان واعظ صفی‏آبادی‏</w:t>
      </w:r>
      <w:bookmarkEnd w:id="10616"/>
    </w:p>
    <w:p>
      <w:pPr>
        <w:pStyle w:val="BookText"/>
      </w:pPr>
      <w:r>
        <w:rPr>
          <w:rFonts w:ascii="IRNazanin" w:hAnsi="IRNazanin" w:eastAsia="IRNazanin" w:cs="IRNazanin"/>
          <w:lang w:bidi="fa-IR"/>
          <w:color w:val="111111"/>
          <w:sz w:val="28"/>
          <w:szCs w:val="28"/>
          <w:rtl/>
        </w:rPr>
        <w:t xml:space="preserve">هو دیوان واعظ قزوینی رفیع الدین الآتی‏</w:t>
      </w:r>
    </w:p>
    <w:p>
      <w:pPr>
        <w:pStyle w:val="Heading3"/>
      </w:pPr>
      <w:bookmarkStart w:id="10617" w:name="_Toc9313"/>
      <w:r>
        <w:t>8025- دیوان واعظ قاینی‏</w:t>
      </w:r>
      <w:bookmarkEnd w:id="10617"/>
    </w:p>
    <w:p>
      <w:pPr>
        <w:pStyle w:val="BookText"/>
      </w:pPr>
      <w:r>
        <w:rPr>
          <w:rFonts w:ascii="IRNazanin" w:hAnsi="IRNazanin" w:eastAsia="IRNazanin" w:cs="IRNazanin"/>
          <w:lang w:bidi="fa-IR"/>
          <w:color w:val="111111"/>
          <w:sz w:val="28"/>
          <w:szCs w:val="28"/>
          <w:rtl/>
        </w:rPr>
        <w:t xml:space="preserve">و هو السید علی بن عابد من وعاظ هرات، و لما أراد السلطان حسین میرزا بایقرا المتوفی 906 ذکر أسماء أئمة الشیعة فی الخطب أمر الواعظ بذلک ففعل ذلک فی 903 فنزله العامة من المنبر و آذوه ترجمه الآیتی فی (قهستان- ص 220) نقلا عن</w:t>
      </w:r>
    </w:p>
    <w:p>
      <w:pPr>
        <w:pStyle w:val="BookText"/>
      </w:pPr>
      <w:r>
        <w:rPr>
          <w:rFonts w:ascii="IRNazanin" w:hAnsi="IRNazanin" w:eastAsia="IRNazanin" w:cs="IRNazanin"/>
          <w:lang w:bidi="fa-IR"/>
          <w:color w:val="111111"/>
          <w:sz w:val="28"/>
          <w:szCs w:val="28"/>
          <w:rtl/>
        </w:rPr>
        <w:t xml:space="preserve">تاریخ حسامی لابن حسام قال و مات بنیشابور و دفن بها أقول و أکثر المذکورین فی تاریخ حسامی هم من الإسماعیلیة، و لهم أثر عظیم فی إظهار التشیع فی شرقی إیران، قبیل ظهور الصفویة فی غربها</w:t>
      </w:r>
    </w:p>
    <w:p>
      <w:pPr>
        <w:pStyle w:val="Heading3"/>
      </w:pPr>
      <w:bookmarkStart w:id="10618" w:name="_Toc9314"/>
      <w:r>
        <w:t>8026- دیوان واعظ قزوینی أو شعره‏</w:t>
      </w:r>
      <w:bookmarkEnd w:id="10618"/>
    </w:p>
    <w:p>
      <w:pPr>
        <w:pStyle w:val="BookText"/>
      </w:pPr>
      <w:r>
        <w:rPr>
          <w:rFonts w:ascii="IRNazanin" w:hAnsi="IRNazanin" w:eastAsia="IRNazanin" w:cs="IRNazanin"/>
          <w:lang w:bidi="fa-IR"/>
          <w:color w:val="111111"/>
          <w:sz w:val="28"/>
          <w:szCs w:val="28"/>
          <w:rtl/>
        </w:rPr>
        <w:t xml:space="preserve">و اسمه محمد شفیع بن محمد رفیع ورد شعره فی (خوش‏گو) و له تتمیم کتاب والده أبواب الجنان کما مر فی 1: 76
</w:t>
      </w:r>
    </w:p>
    <w:p>
      <w:pPr>
        <w:sectPr>
          <w:footerReference w:type="default" r:id="rId1260"/>
          <w:footnotePr>
            <w:numStart w:val="1"/>
            <w:numRestart w:val="eachPage"/>
          </w:footnotePr>
          <w:pgSz w:orient="portrait" w:w="11905.511811023622" w:h="16837.79527559055"/>
          <w:pgMar w:top="1440" w:right="1440" w:bottom="1440" w:left="1440" w:header="720" w:footer="720" w:gutter="0"/>
          <w:cols w:num="1" w:space="720"/>
        </w:sectPr>
      </w:pPr>
    </w:p>
    <w:bookmarkStart w:id="1235" w:name="pg11704_122753"/>
    <w:bookmarkEnd w:id="1235"/>
    <w:p>
      <w:pPr>
        <w:pStyle w:val="Heading3"/>
      </w:pPr>
      <w:bookmarkStart w:id="10619" w:name="_Toc9315"/>
      <w:r>
        <w:t>8027- دیوان واعظ قزوینی‏</w:t>
      </w:r>
      <w:bookmarkEnd w:id="10619"/>
    </w:p>
    <w:p>
      <w:pPr>
        <w:pStyle w:val="BookText"/>
      </w:pPr>
      <w:r>
        <w:rPr>
          <w:rFonts w:ascii="IRNazanin" w:hAnsi="IRNazanin" w:eastAsia="IRNazanin" w:cs="IRNazanin"/>
          <w:lang w:bidi="fa-IR"/>
          <w:color w:val="111111"/>
          <w:sz w:val="28"/>
          <w:szCs w:val="28"/>
          <w:rtl/>
        </w:rPr>
        <w:t xml:space="preserve">و اسمه محمد رفیع الدین حفید فتح الله القزوینی الواعظ المتوفی 1089 دون دیوانه فی عصر الشاه عباس و مر أحواله مفصلا عند ذکر کتابه أبواب الجنان فی 1: 76 ذکر فی دیوانه أنه من قریة صفی‏آباد و یمدحها بقوله:</w:t>
      </w:r>
    </w:p>
    <w:p>
      <w:pPr>
        <w:pStyle w:val="BookText"/>
      </w:pPr>
      <w:r>
        <w:rPr>
          <w:rFonts w:ascii="IRNazanin" w:hAnsi="IRNazanin" w:eastAsia="IRNazanin" w:cs="IRNazanin"/>
          <w:lang w:bidi="fa-IR"/>
          <w:color w:val="111111"/>
          <w:sz w:val="28"/>
          <w:szCs w:val="28"/>
          <w:rtl/>
        </w:rPr>
        <w:t xml:space="preserve">صفی‏آباد را جانم غلام است‏</w:t>
      </w:r>
    </w:p>
    <w:p>
      <w:pPr>
        <w:pStyle w:val="BookText"/>
      </w:pPr>
      <w:r>
        <w:rPr>
          <w:rFonts w:ascii="IRNazanin" w:hAnsi="IRNazanin" w:eastAsia="IRNazanin" w:cs="IRNazanin"/>
          <w:lang w:bidi="fa-IR"/>
          <w:color w:val="111111"/>
          <w:sz w:val="28"/>
          <w:szCs w:val="28"/>
          <w:rtl/>
        </w:rPr>
        <w:t xml:space="preserve">تمام أر نیست در خوبی تمام است‏</w:t>
      </w:r>
    </w:p>
    <w:p>
      <w:pPr>
        <w:pStyle w:val="BookText"/>
      </w:pPr>
      <w:r>
        <w:rPr>
          <w:rFonts w:ascii="IRNazanin" w:hAnsi="IRNazanin" w:eastAsia="IRNazanin" w:cs="IRNazanin"/>
          <w:lang w:bidi="fa-IR"/>
          <w:color w:val="111111"/>
          <w:sz w:val="28"/>
          <w:szCs w:val="28"/>
          <w:rtl/>
        </w:rPr>
        <w:t xml:space="preserve">و أول الدیوان:</w:t>
      </w:r>
    </w:p>
    <w:p>
      <w:pPr>
        <w:pStyle w:val="BookText"/>
      </w:pPr>
      <w:r>
        <w:rPr>
          <w:rFonts w:ascii="IRNazanin" w:hAnsi="IRNazanin" w:eastAsia="IRNazanin" w:cs="IRNazanin"/>
          <w:lang w:bidi="fa-IR"/>
          <w:color w:val="111111"/>
          <w:sz w:val="28"/>
          <w:szCs w:val="28"/>
          <w:rtl/>
        </w:rPr>
        <w:t xml:space="preserve">ای نام دلگشای تو عنوان کارها</w:t>
      </w:r>
    </w:p>
    <w:p>
      <w:pPr>
        <w:pStyle w:val="BookText"/>
      </w:pPr>
      <w:r>
        <w:rPr>
          <w:rFonts w:ascii="IRNazanin" w:hAnsi="IRNazanin" w:eastAsia="IRNazanin" w:cs="IRNazanin"/>
          <w:lang w:bidi="fa-IR"/>
          <w:color w:val="111111"/>
          <w:sz w:val="28"/>
          <w:szCs w:val="28"/>
          <w:rtl/>
        </w:rPr>
        <w:t xml:space="preserve">خاک در تو آب رخ اعتبارها</w:t>
      </w:r>
    </w:p>
    <w:p>
      <w:pPr>
        <w:pStyle w:val="BookText"/>
      </w:pPr>
      <w:r>
        <w:rPr>
          <w:rFonts w:ascii="IRNazanin" w:hAnsi="IRNazanin" w:eastAsia="IRNazanin" w:cs="IRNazanin"/>
          <w:lang w:bidi="fa-IR"/>
          <w:color w:val="111111"/>
          <w:sz w:val="28"/>
          <w:szCs w:val="28"/>
          <w:rtl/>
        </w:rPr>
        <w:t xml:space="preserve">ترجمه فی (نر 6- ص 171) و لم یذکر له دیوانا و لکن (سرخوش- ص 121) قال إن المیر معز أتی بدیوانه إلی الهند و له مثنوی جنگ شاه عباس با سلم أزبک و کذا نقل عن دیوانه فی (سرو- ص 105) و (حسینی- ص 360) و (تش- ص 228) و (نتایج- ص 738) و (مسرت- ص 536) و (ض- ص 337) و (خوش‏گو) یوجد دیوانه عند (السبزواری بالکاظمیة) کتب فی 1109 و (بنگاله) کتبت فی 1088 و عند (الملک) و (دهخدا) فی عشرة آلاف بیت و عند (فخر الدین النصیری)</w:t>
      </w:r>
    </w:p>
    <w:p>
      <w:pPr>
        <w:pStyle w:val="Heading3"/>
      </w:pPr>
      <w:bookmarkStart w:id="10620" w:name="_Toc9316"/>
      <w:r>
        <w:t>دیوان واعظ کاشفی‏</w:t>
      </w:r>
      <w:bookmarkEnd w:id="10620"/>
    </w:p>
    <w:p>
      <w:pPr>
        <w:pStyle w:val="BookText"/>
      </w:pPr>
      <w:r>
        <w:rPr>
          <w:rFonts w:ascii="IRNazanin" w:hAnsi="IRNazanin" w:eastAsia="IRNazanin" w:cs="IRNazanin"/>
          <w:lang w:bidi="fa-IR"/>
          <w:color w:val="111111"/>
          <w:sz w:val="28"/>
          <w:szCs w:val="28"/>
          <w:rtl/>
        </w:rPr>
        <w:t xml:space="preserve">راجع دیوان کاشفی سبزواری فی ص 899 و قد رأی سنگلاخ دیوانه بخط شاه محمود النیشابوری تلمیذ خندان فذکره فی (امتحان- 1: 116)</w:t>
      </w:r>
    </w:p>
    <w:p>
      <w:pPr>
        <w:pStyle w:val="Heading3"/>
      </w:pPr>
      <w:bookmarkStart w:id="10621" w:name="_Toc9317"/>
      <w:r>
        <w:t>8028- دیوان واعظ میثمی أو شعره‏</w:t>
      </w:r>
      <w:bookmarkEnd w:id="10621"/>
    </w:p>
    <w:p>
      <w:pPr>
        <w:pStyle w:val="BookText"/>
      </w:pPr>
      <w:r>
        <w:rPr>
          <w:rFonts w:ascii="IRNazanin" w:hAnsi="IRNazanin" w:eastAsia="IRNazanin" w:cs="IRNazanin"/>
          <w:lang w:bidi="fa-IR"/>
          <w:color w:val="111111"/>
          <w:sz w:val="28"/>
          <w:szCs w:val="28"/>
          <w:rtl/>
        </w:rPr>
        <w:t xml:space="preserve">و اسمه محمد سمیع العراقی (أراکی) هو والد صاحب رجوم الشیاطین المذکور فی 10: 164</w:t>
      </w:r>
    </w:p>
    <w:p>
      <w:pPr>
        <w:pStyle w:val="Heading3"/>
      </w:pPr>
      <w:bookmarkStart w:id="10622" w:name="_Toc9318"/>
      <w:r>
        <w:t>8029- دیوان واعظ هروی أو شعره‏</w:t>
      </w:r>
      <w:bookmarkEnd w:id="10622"/>
    </w:p>
    <w:p>
      <w:pPr>
        <w:pStyle w:val="BookText"/>
      </w:pPr>
      <w:r>
        <w:rPr>
          <w:rFonts w:ascii="IRNazanin" w:hAnsi="IRNazanin" w:eastAsia="IRNazanin" w:cs="IRNazanin"/>
          <w:lang w:bidi="fa-IR"/>
          <w:color w:val="111111"/>
          <w:sz w:val="28"/>
          <w:szCs w:val="28"/>
          <w:rtl/>
        </w:rPr>
        <w:t xml:space="preserve">و هو الشیخ نور الله الأسفیدنی من نواحی قهستان، و قام بالوعظ فی هرات و مات فی عهد السلطان حسین بایقرا ورد شعره فی (قهستان- ص 226)</w:t>
      </w:r>
    </w:p>
    <w:p>
      <w:pPr>
        <w:pStyle w:val="Heading3"/>
      </w:pPr>
      <w:bookmarkStart w:id="10623" w:name="_Toc9319"/>
      <w:r>
        <w:t>دیوان واعظ هروی‏</w:t>
      </w:r>
      <w:bookmarkEnd w:id="10623"/>
    </w:p>
    <w:p>
      <w:pPr>
        <w:pStyle w:val="BookText"/>
      </w:pPr>
      <w:r>
        <w:rPr>
          <w:rFonts w:ascii="IRNazanin" w:hAnsi="IRNazanin" w:eastAsia="IRNazanin" w:cs="IRNazanin"/>
          <w:lang w:bidi="fa-IR"/>
          <w:color w:val="111111"/>
          <w:sz w:val="28"/>
          <w:szCs w:val="28"/>
          <w:rtl/>
        </w:rPr>
        <w:t xml:space="preserve">و هو المذکور بعنوان معین فراهی فی ص 1078 ورد شعره فی (مجن 4- ص 94 و 269) و زاد القزوینی فی ترجمته: ادعی أن إیمان علی علیه السلام  کان تقلیدیا فعزره السلطان بقوله، و اشتهر بالجنون‏</w:t>
      </w:r>
    </w:p>
    <w:p>
      <w:pPr>
        <w:pStyle w:val="Heading3"/>
      </w:pPr>
      <w:bookmarkStart w:id="10624" w:name="_Toc9320"/>
      <w:r>
        <w:t>8030- دیوان واعظی بلخی أو شعره‏</w:t>
      </w:r>
      <w:bookmarkEnd w:id="10624"/>
    </w:p>
    <w:p>
      <w:pPr>
        <w:pStyle w:val="BookText"/>
      </w:pPr>
      <w:r>
        <w:rPr>
          <w:rFonts w:ascii="IRNazanin" w:hAnsi="IRNazanin" w:eastAsia="IRNazanin" w:cs="IRNazanin"/>
          <w:lang w:bidi="fa-IR"/>
          <w:color w:val="111111"/>
          <w:sz w:val="28"/>
          <w:szCs w:val="28"/>
          <w:rtl/>
        </w:rPr>
        <w:t xml:space="preserve">و اسمه الحکیم أبو بکر محمد، من شعراء سلاجقة خراسان ورد شعره فی (لب) و (مع 1: 655)</w:t>
      </w:r>
    </w:p>
    <w:p>
      <w:pPr>
        <w:pStyle w:val="Heading3"/>
      </w:pPr>
      <w:bookmarkStart w:id="10625" w:name="_Toc9321"/>
      <w:r>
        <w:t>8031- دیوان وافی الله‏آبادی أو شعره‏</w:t>
      </w:r>
      <w:bookmarkEnd w:id="10625"/>
    </w:p>
    <w:p>
      <w:pPr>
        <w:pStyle w:val="BookText"/>
      </w:pPr>
      <w:r>
        <w:rPr>
          <w:rFonts w:ascii="IRNazanin" w:hAnsi="IRNazanin" w:eastAsia="IRNazanin" w:cs="IRNazanin"/>
          <w:lang w:bidi="fa-IR"/>
          <w:color w:val="111111"/>
          <w:sz w:val="28"/>
          <w:szCs w:val="28"/>
          <w:rtl/>
        </w:rPr>
        <w:t xml:space="preserve">و اسمه محمد عبد الغفور الحافظ بن المنشی‏
</w:t>
      </w:r>
    </w:p>
    <w:p>
      <w:pPr>
        <w:sectPr>
          <w:footerReference w:type="default" r:id="rId1261"/>
          <w:footnotePr>
            <w:numStart w:val="1"/>
            <w:numRestart w:val="eachPage"/>
          </w:footnotePr>
          <w:pgSz w:orient="portrait" w:w="11905.511811023622" w:h="16837.79527559055"/>
          <w:pgMar w:top="1440" w:right="1440" w:bottom="1440" w:left="1440" w:header="720" w:footer="720" w:gutter="0"/>
          <w:cols w:num="1" w:space="720"/>
        </w:sectPr>
      </w:pPr>
    </w:p>
    <w:bookmarkStart w:id="1236" w:name="pg11704_122755"/>
    <w:bookmarkEnd w:id="1236"/>
    <w:p>
      <w:pPr>
        <w:pStyle w:val="BookText"/>
      </w:pPr>
      <w:r>
        <w:rPr>
          <w:rFonts w:ascii="IRNazanin" w:hAnsi="IRNazanin" w:eastAsia="IRNazanin" w:cs="IRNazanin"/>
          <w:lang w:bidi="fa-IR"/>
          <w:color w:val="111111"/>
          <w:sz w:val="28"/>
          <w:szCs w:val="28"/>
          <w:rtl/>
        </w:rPr>
        <w:t xml:space="preserve">ظهور أحمد ورد شعره فی (گلشن- ص 581)</w:t>
      </w:r>
    </w:p>
    <w:p>
      <w:pPr>
        <w:pStyle w:val="Heading3"/>
      </w:pPr>
      <w:bookmarkStart w:id="10626" w:name="_Toc9322"/>
      <w:r>
        <w:t>8032- دیوان وافی تبریزی أو شعره‏</w:t>
      </w:r>
      <w:bookmarkEnd w:id="10626"/>
    </w:p>
    <w:p>
      <w:pPr>
        <w:pStyle w:val="BookText"/>
      </w:pPr>
      <w:r>
        <w:rPr>
          <w:rFonts w:ascii="IRNazanin" w:hAnsi="IRNazanin" w:eastAsia="IRNazanin" w:cs="IRNazanin"/>
          <w:lang w:bidi="fa-IR"/>
          <w:color w:val="111111"/>
          <w:sz w:val="28"/>
          <w:szCs w:val="28"/>
          <w:rtl/>
        </w:rPr>
        <w:t xml:space="preserve">و هو القاضی وافی کما فی (خص 9- ص 305) و (دجا- ص 391) نقلا عن خلاصة الأشعار قال و نظم من أوائل شبابه و قتل فی 992 و أورد شعره الفارسی و رأیت شعره فی مجموعة بخط هلال الدین إسماعیل الخوئی عند الشیخ محمد علی الیعقوبی فی النجف‏</w:t>
      </w:r>
    </w:p>
    <w:p>
      <w:pPr>
        <w:pStyle w:val="Heading3"/>
      </w:pPr>
      <w:bookmarkStart w:id="10627" w:name="_Toc9323"/>
      <w:r>
        <w:t>8033- دیوان وافی دهلوی أو شعره‏</w:t>
      </w:r>
      <w:bookmarkEnd w:id="10627"/>
    </w:p>
    <w:p>
      <w:pPr>
        <w:pStyle w:val="BookText"/>
      </w:pPr>
      <w:r>
        <w:rPr>
          <w:rFonts w:ascii="IRNazanin" w:hAnsi="IRNazanin" w:eastAsia="IRNazanin" w:cs="IRNazanin"/>
          <w:lang w:bidi="fa-IR"/>
          <w:color w:val="111111"/>
          <w:sz w:val="28"/>
          <w:szCs w:val="28"/>
          <w:rtl/>
        </w:rPr>
        <w:t xml:space="preserve">و هو میرزا حاتم بیک حفید شمس الدین فقیر و تخلصه فی المراثی ماتمی و فی الغزل وافی ورد شعره فی (گلشن- ص 583)</w:t>
      </w:r>
    </w:p>
    <w:p>
      <w:pPr>
        <w:pStyle w:val="Heading3"/>
      </w:pPr>
      <w:bookmarkStart w:id="10628" w:name="_Toc9324"/>
      <w:r>
        <w:t>8034- دیوان وافی کشمیری أو شعره‏</w:t>
      </w:r>
      <w:bookmarkEnd w:id="10628"/>
    </w:p>
    <w:p>
      <w:pPr>
        <w:pStyle w:val="BookText"/>
      </w:pPr>
      <w:r>
        <w:rPr>
          <w:rFonts w:ascii="IRNazanin" w:hAnsi="IRNazanin" w:eastAsia="IRNazanin" w:cs="IRNazanin"/>
          <w:lang w:bidi="fa-IR"/>
          <w:color w:val="111111"/>
          <w:sz w:val="28"/>
          <w:szCs w:val="28"/>
          <w:rtl/>
        </w:rPr>
        <w:t xml:space="preserve">و اسمه محمد طبیب ورد شعره فی (گلشن- ص 581)</w:t>
      </w:r>
    </w:p>
    <w:p>
      <w:pPr>
        <w:pStyle w:val="Heading3"/>
      </w:pPr>
      <w:bookmarkStart w:id="10629" w:name="_Toc9325"/>
      <w:r>
        <w:t>8035- دیوان وافی هروی أو شعره‏</w:t>
      </w:r>
      <w:bookmarkEnd w:id="10629"/>
    </w:p>
    <w:p>
      <w:pPr>
        <w:pStyle w:val="BookText"/>
      </w:pPr>
      <w:r>
        <w:rPr>
          <w:rFonts w:ascii="IRNazanin" w:hAnsi="IRNazanin" w:eastAsia="IRNazanin" w:cs="IRNazanin"/>
          <w:lang w:bidi="fa-IR"/>
          <w:color w:val="111111"/>
          <w:sz w:val="28"/>
          <w:szCs w:val="28"/>
          <w:rtl/>
        </w:rPr>
        <w:t xml:space="preserve">کان عطارا ورد شعره فی (مجن 3- ص 88 و 262) و فی بعض النسخ والهی و بعضها والی‏</w:t>
      </w:r>
    </w:p>
    <w:p>
      <w:pPr>
        <w:pStyle w:val="Heading3"/>
      </w:pPr>
      <w:bookmarkStart w:id="10630" w:name="_Toc9326"/>
      <w:r>
        <w:t>8036- دیوان واقعی هروی أو شعره‏</w:t>
      </w:r>
      <w:bookmarkEnd w:id="10630"/>
    </w:p>
    <w:p>
      <w:pPr>
        <w:pStyle w:val="BookText"/>
      </w:pPr>
      <w:r>
        <w:rPr>
          <w:rFonts w:ascii="IRNazanin" w:hAnsi="IRNazanin" w:eastAsia="IRNazanin" w:cs="IRNazanin"/>
          <w:lang w:bidi="fa-IR"/>
          <w:color w:val="111111"/>
          <w:sz w:val="28"/>
          <w:szCs w:val="28"/>
          <w:rtl/>
        </w:rPr>
        <w:t xml:space="preserve">هو ابن علی الطوسی والی دکن و ملازم أکبر شاه ورد شعره فی هفت إقلیم و (گلشن- ص 583) و فی (مطلع 2: 450) جاء واقفی‏</w:t>
      </w:r>
    </w:p>
    <w:p>
      <w:pPr>
        <w:pStyle w:val="Heading3"/>
      </w:pPr>
      <w:bookmarkStart w:id="10631" w:name="_Toc9327"/>
      <w:r>
        <w:t>8037- دیوان واقعی مشهدی أو شعره‏</w:t>
      </w:r>
      <w:bookmarkEnd w:id="10631"/>
    </w:p>
    <w:p>
      <w:pPr>
        <w:pStyle w:val="BookText"/>
      </w:pPr>
      <w:r>
        <w:rPr>
          <w:rFonts w:ascii="IRNazanin" w:hAnsi="IRNazanin" w:eastAsia="IRNazanin" w:cs="IRNazanin"/>
          <w:lang w:bidi="fa-IR"/>
          <w:color w:val="111111"/>
          <w:sz w:val="28"/>
          <w:szCs w:val="28"/>
          <w:rtl/>
        </w:rPr>
        <w:t xml:space="preserve">و هو جمال الدین محمد المشهدی الشاعر الخطاط من ملازمی إبراهیم میرزا ابن بهرام میرزا ابن شاه إسماعیل المقتول 984 کذا ترجمه تقی الأوحدی، و توجد خطه فی المکتبة الشاهیة بطهران کما فی نمونه خطوط خوش شاهنشاهی ص 138</w:t>
      </w:r>
    </w:p>
    <w:p>
      <w:pPr>
        <w:pStyle w:val="Heading3"/>
      </w:pPr>
      <w:bookmarkStart w:id="10632" w:name="_Toc9328"/>
      <w:r>
        <w:t>8038- دیوان واقف خلخالی‏</w:t>
      </w:r>
      <w:bookmarkEnd w:id="10632"/>
    </w:p>
    <w:p>
      <w:pPr>
        <w:pStyle w:val="BookText"/>
      </w:pPr>
      <w:r>
        <w:rPr>
          <w:rFonts w:ascii="IRNazanin" w:hAnsi="IRNazanin" w:eastAsia="IRNazanin" w:cs="IRNazanin"/>
          <w:lang w:bidi="fa-IR"/>
          <w:color w:val="111111"/>
          <w:sz w:val="28"/>
          <w:szCs w:val="28"/>
          <w:rtl/>
        </w:rPr>
        <w:t xml:space="preserve">نشا بخلخال و اشتهر بالتسنن و هاجر إلی بلاد الروم و بها مات ورد شعره فی (نر 9- ص 257) و عنه فی (روشن- ص 734) و (دجا- ص 392) و (خوش‏گو) و قد تتبع خمسة للنظامی و هو متأخر عن نصر الله ابن عمر المتوفی بحلب فی 961 المترجم فی الشذرات‏</w:t>
      </w:r>
    </w:p>
    <w:p>
      <w:pPr>
        <w:pStyle w:val="Heading3"/>
      </w:pPr>
      <w:bookmarkStart w:id="10633" w:name="_Toc9329"/>
      <w:r>
        <w:t>8039- دیوان واقف خلخالی‏</w:t>
      </w:r>
      <w:bookmarkEnd w:id="10633"/>
    </w:p>
    <w:p>
      <w:pPr>
        <w:pStyle w:val="BookText"/>
      </w:pPr>
      <w:r>
        <w:rPr>
          <w:rFonts w:ascii="IRNazanin" w:hAnsi="IRNazanin" w:eastAsia="IRNazanin" w:cs="IRNazanin"/>
          <w:lang w:bidi="fa-IR"/>
          <w:color w:val="111111"/>
          <w:sz w:val="28"/>
          <w:szCs w:val="28"/>
          <w:rtl/>
        </w:rPr>
        <w:t xml:space="preserve">و هو علی قلی ابن أخت واقف المذکور فوقا ورد شعره فی (نر 6- ص 173) و (دجا- ص 391) و (خوش‏گو) و له شینیة أجاب بها الخاقانی و رأیت دیوان غزل واقف فی مکتبة (شیخنا الشیرازی بسامراء)
</w:t>
      </w:r>
    </w:p>
    <w:p>
      <w:pPr>
        <w:sectPr>
          <w:footerReference w:type="default" r:id="rId1262"/>
          <w:footnotePr>
            <w:numStart w:val="1"/>
            <w:numRestart w:val="eachPage"/>
          </w:footnotePr>
          <w:pgSz w:orient="portrait" w:w="11905.511811023622" w:h="16837.79527559055"/>
          <w:pgMar w:top="1440" w:right="1440" w:bottom="1440" w:left="1440" w:header="720" w:footer="720" w:gutter="0"/>
          <w:cols w:num="1" w:space="720"/>
        </w:sectPr>
      </w:pPr>
    </w:p>
    <w:bookmarkStart w:id="1237" w:name="pg11704_122757"/>
    <w:bookmarkEnd w:id="1237"/>
    <w:p>
      <w:pPr>
        <w:pStyle w:val="Heading3"/>
      </w:pPr>
      <w:bookmarkStart w:id="10634" w:name="_Toc9330"/>
      <w:r>
        <w:t>8040- دیوان واقف دهلوی أو شعره‏</w:t>
      </w:r>
      <w:bookmarkEnd w:id="10634"/>
    </w:p>
    <w:p>
      <w:pPr>
        <w:pStyle w:val="BookText"/>
      </w:pPr>
      <w:r>
        <w:rPr>
          <w:rFonts w:ascii="IRNazanin" w:hAnsi="IRNazanin" w:eastAsia="IRNazanin" w:cs="IRNazanin"/>
          <w:lang w:bidi="fa-IR"/>
          <w:color w:val="111111"/>
          <w:sz w:val="28"/>
          <w:szCs w:val="28"/>
          <w:rtl/>
        </w:rPr>
        <w:t xml:space="preserve">و اسمه محمد تقی بن محمد دهدار ورد شعره فی (روشن- ص 734)</w:t>
      </w:r>
    </w:p>
    <w:p>
      <w:pPr>
        <w:pStyle w:val="Heading3"/>
      </w:pPr>
      <w:bookmarkStart w:id="10635" w:name="_Toc9331"/>
      <w:r>
        <w:t>8041- دیوان واقف لاهوری‏</w:t>
      </w:r>
      <w:bookmarkEnd w:id="10635"/>
    </w:p>
    <w:p>
      <w:pPr>
        <w:pStyle w:val="BookText"/>
      </w:pPr>
      <w:r>
        <w:rPr>
          <w:rFonts w:ascii="IRNazanin" w:hAnsi="IRNazanin" w:eastAsia="IRNazanin" w:cs="IRNazanin"/>
          <w:lang w:bidi="fa-IR"/>
          <w:color w:val="111111"/>
          <w:sz w:val="28"/>
          <w:szCs w:val="28"/>
          <w:rtl/>
        </w:rPr>
        <w:t xml:space="preserve">و هو الشیخ نور العین ابن القاضی أمانة الله کان آباؤه قضاة لاهور و مات هو فی 1195 و فی (نتایج- ص 757) سماه نور الدین و ترجم فی (مع 2: 558) و (روشن- ص 735) و (خز- ص 450) و (مسرت- ص 540) توجد نسخه دیوانه فی (بنگاله) و طبع بنولکشور و بلاهور</w:t>
      </w:r>
    </w:p>
    <w:p>
      <w:pPr>
        <w:pStyle w:val="Heading3"/>
      </w:pPr>
      <w:bookmarkStart w:id="10636" w:name="_Toc9332"/>
      <w:r>
        <w:t>8042- دیوان واقف لکهنوی أو شعره‏</w:t>
      </w:r>
      <w:bookmarkEnd w:id="10636"/>
    </w:p>
    <w:p>
      <w:pPr>
        <w:pStyle w:val="BookText"/>
      </w:pPr>
      <w:r>
        <w:rPr>
          <w:rFonts w:ascii="IRNazanin" w:hAnsi="IRNazanin" w:eastAsia="IRNazanin" w:cs="IRNazanin"/>
          <w:lang w:bidi="fa-IR"/>
          <w:color w:val="111111"/>
          <w:sz w:val="28"/>
          <w:szCs w:val="28"/>
          <w:rtl/>
        </w:rPr>
        <w:t xml:space="preserve">و هو المولوی میران محیی الدین أخ شایق الشاعر أورد شعره معاصره فی (نتایج- ص 776) قال ولد بأودگیر فی 1205</w:t>
      </w:r>
    </w:p>
    <w:p>
      <w:pPr>
        <w:pStyle w:val="Heading3"/>
      </w:pPr>
      <w:bookmarkStart w:id="10637" w:name="_Toc9333"/>
      <w:r>
        <w:t>8043- دیوان واقفی عراقی أو شعره‏</w:t>
      </w:r>
      <w:bookmarkEnd w:id="10637"/>
    </w:p>
    <w:p>
      <w:pPr>
        <w:pStyle w:val="BookText"/>
      </w:pPr>
      <w:r>
        <w:rPr>
          <w:rFonts w:ascii="IRNazanin" w:hAnsi="IRNazanin" w:eastAsia="IRNazanin" w:cs="IRNazanin"/>
          <w:lang w:bidi="fa-IR"/>
          <w:color w:val="111111"/>
          <w:sz w:val="28"/>
          <w:szCs w:val="28"/>
          <w:rtl/>
        </w:rPr>
        <w:t xml:space="preserve">و اسمه شاه قاسم بدلاء ترجمه سام میرزا فی (تس 2- ص 34) و (گلشن- ص 584) ولد بطیب‏آباد و حج البیت مرتین‏</w:t>
      </w:r>
    </w:p>
    <w:p>
      <w:pPr>
        <w:pStyle w:val="Heading3"/>
      </w:pPr>
      <w:bookmarkStart w:id="10638" w:name="_Toc9334"/>
      <w:r>
        <w:t>8044- دیوان واقفی مشهدی‏</w:t>
      </w:r>
      <w:bookmarkEnd w:id="10638"/>
    </w:p>
    <w:p>
      <w:pPr>
        <w:pStyle w:val="BookText"/>
      </w:pPr>
      <w:r>
        <w:rPr>
          <w:rFonts w:ascii="IRNazanin" w:hAnsi="IRNazanin" w:eastAsia="IRNazanin" w:cs="IRNazanin"/>
          <w:lang w:bidi="fa-IR"/>
          <w:color w:val="111111"/>
          <w:sz w:val="28"/>
          <w:szCs w:val="28"/>
          <w:rtl/>
        </w:rPr>
        <w:t xml:space="preserve">و اسمه الخواجة علی کان إمام الجماعة، و هو ابن أخ الحاج محمد خان المشهدی قدسی کذا ترجمه فی (تش- ص 96) و (مطلع 2: 449) و (نر 6- ص 166)</w:t>
      </w:r>
    </w:p>
    <w:p>
      <w:pPr>
        <w:pStyle w:val="Heading3"/>
      </w:pPr>
      <w:bookmarkStart w:id="10639" w:name="_Toc9335"/>
      <w:r>
        <w:t>دیوان واقفی مشهدی‏</w:t>
      </w:r>
      <w:bookmarkEnd w:id="10639"/>
    </w:p>
    <w:p>
      <w:pPr>
        <w:pStyle w:val="BookText"/>
      </w:pPr>
      <w:r>
        <w:rPr>
          <w:rFonts w:ascii="IRNazanin" w:hAnsi="IRNazanin" w:eastAsia="IRNazanin" w:cs="IRNazanin"/>
          <w:lang w:bidi="fa-IR"/>
          <w:color w:val="111111"/>
          <w:sz w:val="28"/>
          <w:szCs w:val="28"/>
          <w:rtl/>
        </w:rPr>
        <w:t xml:space="preserve">کما فی (مطلع 2: 450) راجع واقعی مشهدی‏</w:t>
      </w:r>
    </w:p>
    <w:p>
      <w:pPr>
        <w:pStyle w:val="Heading3"/>
      </w:pPr>
      <w:bookmarkStart w:id="10640" w:name="_Toc9336"/>
      <w:r>
        <w:t>8045- دیوان واقفی نیشابوری أو شعره‏</w:t>
      </w:r>
      <w:bookmarkEnd w:id="10640"/>
    </w:p>
    <w:p>
      <w:pPr>
        <w:pStyle w:val="BookText"/>
      </w:pPr>
      <w:r>
        <w:rPr>
          <w:rFonts w:ascii="IRNazanin" w:hAnsi="IRNazanin" w:eastAsia="IRNazanin" w:cs="IRNazanin"/>
          <w:lang w:bidi="fa-IR"/>
          <w:color w:val="111111"/>
          <w:sz w:val="28"/>
          <w:szCs w:val="28"/>
          <w:rtl/>
        </w:rPr>
        <w:t xml:space="preserve">من سادات البلد سکن تبریز و النجف مدة ورد شعره فی (تس 2- ص 35)</w:t>
      </w:r>
    </w:p>
    <w:p>
      <w:pPr>
        <w:pStyle w:val="Heading3"/>
      </w:pPr>
      <w:bookmarkStart w:id="10641" w:name="_Toc9337"/>
      <w:r>
        <w:t>8046- دیوان والای بدخشی أو شعره‏</w:t>
      </w:r>
      <w:bookmarkEnd w:id="10641"/>
    </w:p>
    <w:p>
      <w:pPr>
        <w:pStyle w:val="BookText"/>
      </w:pPr>
      <w:r>
        <w:rPr>
          <w:rFonts w:ascii="IRNazanin" w:hAnsi="IRNazanin" w:eastAsia="IRNazanin" w:cs="IRNazanin"/>
          <w:lang w:bidi="fa-IR"/>
          <w:color w:val="111111"/>
          <w:sz w:val="28"/>
          <w:szCs w:val="28"/>
          <w:rtl/>
        </w:rPr>
        <w:t xml:space="preserve">و اسمه ضیاء الدین حسین الملقب إسلام خان المتوفی 1074 ورد شعره فی (خز- ص 176) و (روشن- ص 747)</w:t>
      </w:r>
    </w:p>
    <w:p>
      <w:pPr>
        <w:pStyle w:val="Heading3"/>
      </w:pPr>
      <w:bookmarkStart w:id="10642" w:name="_Toc9338"/>
      <w:r>
        <w:t>8047- دیوان والای قاجار</w:t>
      </w:r>
      <w:bookmarkEnd w:id="10642"/>
    </w:p>
    <w:p>
      <w:pPr>
        <w:pStyle w:val="BookText"/>
      </w:pPr>
      <w:r>
        <w:rPr>
          <w:rFonts w:ascii="IRNazanin" w:hAnsi="IRNazanin" w:eastAsia="IRNazanin" w:cs="IRNazanin"/>
          <w:lang w:bidi="fa-IR"/>
          <w:color w:val="111111"/>
          <w:sz w:val="28"/>
          <w:szCs w:val="28"/>
          <w:rtl/>
        </w:rPr>
        <w:t xml:space="preserve">و اسمه علی نقی ابن فتح علی شاه القاجار تخلص والا کما تخلص أبوه خاقان کبرا و نخوة و ذکرا فی أکثر تذاکر الشعراء لذلک العهد، و فی (گلشن- ص 584) جاء اسمه محمد علی و عنه أخذ فی القاموس الترکی‏</w:t>
      </w:r>
    </w:p>
    <w:p>
      <w:pPr>
        <w:pStyle w:val="Heading3"/>
      </w:pPr>
      <w:bookmarkStart w:id="10643" w:name="_Toc9339"/>
      <w:r>
        <w:t>8048- دیوان والای مدراسی أو شعره‏</w:t>
      </w:r>
      <w:bookmarkEnd w:id="10643"/>
    </w:p>
    <w:p>
      <w:pPr>
        <w:pStyle w:val="BookText"/>
      </w:pPr>
      <w:r>
        <w:rPr>
          <w:rFonts w:ascii="IRNazanin" w:hAnsi="IRNazanin" w:eastAsia="IRNazanin" w:cs="IRNazanin"/>
          <w:lang w:bidi="fa-IR"/>
          <w:color w:val="111111"/>
          <w:sz w:val="28"/>
          <w:szCs w:val="28"/>
          <w:rtl/>
        </w:rPr>
        <w:t xml:space="preserve">و اسمه السید أبو الطیب خان ولد 1190 أورد شعره و ترجمه قدرت فی (نتایج- ص 770)</w:t>
      </w:r>
    </w:p>
    <w:p>
      <w:pPr>
        <w:pStyle w:val="Heading3"/>
      </w:pPr>
      <w:bookmarkStart w:id="10644" w:name="_Toc9340"/>
      <w:r>
        <w:t>8049- دیوان والای هندی أو شعره‏</w:t>
      </w:r>
      <w:bookmarkEnd w:id="10644"/>
    </w:p>
    <w:p>
      <w:pPr>
        <w:pStyle w:val="BookText"/>
      </w:pPr>
      <w:r>
        <w:rPr>
          <w:rFonts w:ascii="IRNazanin" w:hAnsi="IRNazanin" w:eastAsia="IRNazanin" w:cs="IRNazanin"/>
          <w:lang w:bidi="fa-IR"/>
          <w:color w:val="111111"/>
          <w:sz w:val="28"/>
          <w:szCs w:val="28"/>
          <w:rtl/>
        </w:rPr>
        <w:t xml:space="preserve">و اسمه مرتضی قلی بیک وصل الهند و لازم سر بلند خان کذا ترجمه و أورد شعره سلیم فی (گلشن- ص 584)
</w:t>
      </w:r>
    </w:p>
    <w:p>
      <w:pPr>
        <w:sectPr>
          <w:footerReference w:type="default" r:id="rId1263"/>
          <w:footnotePr>
            <w:numStart w:val="1"/>
            <w:numRestart w:val="eachPage"/>
          </w:footnotePr>
          <w:pgSz w:orient="portrait" w:w="11905.511811023622" w:h="16837.79527559055"/>
          <w:pgMar w:top="1440" w:right="1440" w:bottom="1440" w:left="1440" w:header="720" w:footer="720" w:gutter="0"/>
          <w:cols w:num="1" w:space="720"/>
        </w:sectPr>
      </w:pPr>
    </w:p>
    <w:bookmarkStart w:id="1238" w:name="pg11704_122759"/>
    <w:bookmarkEnd w:id="1238"/>
    <w:p>
      <w:pPr>
        <w:pStyle w:val="Heading3"/>
      </w:pPr>
      <w:bookmarkStart w:id="10645" w:name="_Toc9341"/>
      <w:r>
        <w:t>8050- دیوان والای هندی‏</w:t>
      </w:r>
      <w:bookmarkEnd w:id="10645"/>
    </w:p>
    <w:p>
      <w:pPr>
        <w:pStyle w:val="BookText"/>
      </w:pPr>
      <w:r>
        <w:rPr>
          <w:rFonts w:ascii="IRNazanin" w:hAnsi="IRNazanin" w:eastAsia="IRNazanin" w:cs="IRNazanin"/>
          <w:lang w:bidi="fa-IR"/>
          <w:color w:val="111111"/>
          <w:sz w:val="28"/>
          <w:szCs w:val="28"/>
          <w:rtl/>
        </w:rPr>
        <w:t xml:space="preserve">نواب عزیز جنگ خان بهادر طبع له تصویر بلاغت نظما فی حیدرآباد 1340 فی 368 ص‏</w:t>
      </w:r>
    </w:p>
    <w:p>
      <w:pPr>
        <w:pStyle w:val="Heading3"/>
      </w:pPr>
      <w:bookmarkStart w:id="10646" w:name="_Toc9342"/>
      <w:r>
        <w:t>8051- دیوان واله أصفهانی‏</w:t>
      </w:r>
      <w:bookmarkEnd w:id="10646"/>
    </w:p>
    <w:p>
      <w:pPr>
        <w:pStyle w:val="BookText"/>
      </w:pPr>
      <w:r>
        <w:rPr>
          <w:rFonts w:ascii="IRNazanin" w:hAnsi="IRNazanin" w:eastAsia="IRNazanin" w:cs="IRNazanin"/>
          <w:lang w:bidi="fa-IR"/>
          <w:color w:val="111111"/>
          <w:sz w:val="28"/>
          <w:szCs w:val="28"/>
          <w:rtl/>
        </w:rPr>
        <w:t xml:space="preserve">و اسمه محمد کاظم سافر لتحصیل العلم إلی العراق و رجع إلی أصفهان و نزل مدرسة جده و أسس تکیة والهی بمساعدة حاکم أصفهان محمد حسین الذی نصب بعدئذ صدرا للوزراء و توفی واله و دفن فی تکیته فی 1229 کذا فی (مع 2: 559) و توجد نسخه من دیوانه مذهبة نفیسة کتبت فی عصر الناظم فی (سپهسالار) کما فی فهرسها 2: 696 فیها 5200 بیت و نسخه عند (الملک) و ترجم واله فی (انجمن 4) و مجلة یادگار السنة 3 العدد 9</w:t>
      </w:r>
    </w:p>
    <w:p>
      <w:pPr>
        <w:pStyle w:val="Heading3"/>
      </w:pPr>
      <w:bookmarkStart w:id="10647" w:name="_Toc9343"/>
      <w:r>
        <w:t>8052- دیوان واله أصفهانی أو شعره‏</w:t>
      </w:r>
      <w:bookmarkEnd w:id="10647"/>
    </w:p>
    <w:p>
      <w:pPr>
        <w:pStyle w:val="BookText"/>
      </w:pPr>
      <w:r>
        <w:rPr>
          <w:rFonts w:ascii="IRNazanin" w:hAnsi="IRNazanin" w:eastAsia="IRNazanin" w:cs="IRNazanin"/>
          <w:lang w:bidi="fa-IR"/>
          <w:color w:val="111111"/>
          <w:sz w:val="28"/>
          <w:szCs w:val="28"/>
          <w:rtl/>
        </w:rPr>
        <w:t xml:space="preserve">و اسمه میرزا یوسف أخ المیرزا طاهر وقایع نویس ورد شعره فی (نر 4 ص 82) و (روشن- ص 748) و (خوش‏گو)</w:t>
      </w:r>
    </w:p>
    <w:p>
      <w:pPr>
        <w:pStyle w:val="Heading3"/>
      </w:pPr>
      <w:bookmarkStart w:id="10648" w:name="_Toc9344"/>
      <w:r>
        <w:t>8053- دیوان واله أفشار</w:t>
      </w:r>
      <w:bookmarkEnd w:id="10648"/>
    </w:p>
    <w:p>
      <w:pPr>
        <w:pStyle w:val="BookText"/>
      </w:pPr>
      <w:r>
        <w:rPr>
          <w:rFonts w:ascii="IRNazanin" w:hAnsi="IRNazanin" w:eastAsia="IRNazanin" w:cs="IRNazanin"/>
          <w:lang w:bidi="fa-IR"/>
          <w:color w:val="111111"/>
          <w:sz w:val="28"/>
          <w:szCs w:val="28"/>
          <w:rtl/>
        </w:rPr>
        <w:t xml:space="preserve">لمیرزا علی صدر الذاکرین الأرموی مر له منظومة توان روان فی 4: 475</w:t>
      </w:r>
    </w:p>
    <w:p>
      <w:pPr>
        <w:pStyle w:val="Heading3"/>
      </w:pPr>
      <w:bookmarkStart w:id="10649" w:name="_Toc9345"/>
      <w:r>
        <w:t>8054- دیوان واله بروجردی أو شعره‏</w:t>
      </w:r>
      <w:bookmarkEnd w:id="10649"/>
    </w:p>
    <w:p>
      <w:pPr>
        <w:pStyle w:val="BookText"/>
      </w:pPr>
      <w:r>
        <w:rPr>
          <w:rFonts w:ascii="IRNazanin" w:hAnsi="IRNazanin" w:eastAsia="IRNazanin" w:cs="IRNazanin"/>
          <w:lang w:bidi="fa-IR"/>
          <w:color w:val="111111"/>
          <w:sz w:val="28"/>
          <w:szCs w:val="28"/>
          <w:rtl/>
        </w:rPr>
        <w:t xml:space="preserve">و اسمه محمد حسین بیک ترجمه هدایت فی (ض- ص 237) و أورد شعره‏</w:t>
      </w:r>
    </w:p>
    <w:p>
      <w:pPr>
        <w:pStyle w:val="Heading3"/>
      </w:pPr>
      <w:bookmarkStart w:id="10650" w:name="_Toc9346"/>
      <w:r>
        <w:t>8055- دیوان واله داغستانی‏</w:t>
      </w:r>
      <w:bookmarkEnd w:id="10650"/>
    </w:p>
    <w:p>
      <w:pPr>
        <w:pStyle w:val="BookText"/>
      </w:pPr>
      <w:r>
        <w:rPr>
          <w:rFonts w:ascii="IRNazanin" w:hAnsi="IRNazanin" w:eastAsia="IRNazanin" w:cs="IRNazanin"/>
          <w:lang w:bidi="fa-IR"/>
          <w:color w:val="111111"/>
          <w:sz w:val="28"/>
          <w:szCs w:val="28"/>
          <w:rtl/>
        </w:rPr>
        <w:t xml:space="preserve">و هو علی قلی خان بن محمد علی خان اللکزی ولد بأصفهان 1124 لقبه الشاه الصفوی صفی قلی خان، و بعد خروج معشوقته من یده فر إلی الهند کما ذکرناه مفصلا فی ج 8 ص 40 فرآه آزاد فی لاهور فی 1147 و نقل فی (خز- ص 449) اتصالاته برجال الهند و نقل عن کتابه ریاض الشعراء المذکور فی 11: 327 و قال إن دیوانه فی أربعة آلاف بیت و أرخ وفاته 1170 و ترجم أیضا فی (مع 2: 551) و (ض- ص 157) و هدیة العارفین- 1: 768 و مجلة دانشکده أدبیات تبریز السنة 9 ص 233- 241 و (حسینی- ص 362) و (تش- 420) و (نتایج- ص 750) و (مسرت- ص 515) و یوجد دیوانه عند (الملک)</w:t>
      </w:r>
    </w:p>
    <w:p>
      <w:pPr>
        <w:pStyle w:val="Heading3"/>
      </w:pPr>
      <w:bookmarkStart w:id="10651" w:name="_Toc9347"/>
      <w:r>
        <w:t>8056- دیوان واله شیرازی أو شعره‏</w:t>
      </w:r>
      <w:bookmarkEnd w:id="10651"/>
    </w:p>
    <w:p>
      <w:pPr>
        <w:pStyle w:val="BookText"/>
      </w:pPr>
      <w:r>
        <w:rPr>
          <w:rFonts w:ascii="IRNazanin" w:hAnsi="IRNazanin" w:eastAsia="IRNazanin" w:cs="IRNazanin"/>
          <w:lang w:bidi="fa-IR"/>
          <w:color w:val="111111"/>
          <w:sz w:val="28"/>
          <w:szCs w:val="28"/>
          <w:rtl/>
        </w:rPr>
        <w:t xml:space="preserve">و اسمه جمالا (جمال الدین) أخ شمسا الملقب بینی تلمذ فی الخط علی المیر عماد و مهر فیه و فی الشعر و سافر إلی الهند و بها مات و کان له سعة مشرب کالهنود، هکذا وصفه معاصره فی (نر 9- ص 288) و عنه فی‏
</w:t>
      </w:r>
    </w:p>
    <w:p>
      <w:pPr>
        <w:sectPr>
          <w:footerReference w:type="default" r:id="rId1264"/>
          <w:footnotePr>
            <w:numStart w:val="1"/>
            <w:numRestart w:val="eachPage"/>
          </w:footnotePr>
          <w:pgSz w:orient="portrait" w:w="11905.511811023622" w:h="16837.79527559055"/>
          <w:pgMar w:top="1440" w:right="1440" w:bottom="1440" w:left="1440" w:header="720" w:footer="720" w:gutter="0"/>
          <w:cols w:num="1" w:space="720"/>
        </w:sectPr>
      </w:pPr>
    </w:p>
    <w:bookmarkStart w:id="1239" w:name="pg11704_122761"/>
    <w:bookmarkEnd w:id="1239"/>
    <w:p>
      <w:pPr>
        <w:pStyle w:val="BookText"/>
      </w:pPr>
      <w:r>
        <w:rPr>
          <w:rFonts w:ascii="IRNazanin" w:hAnsi="IRNazanin" w:eastAsia="IRNazanin" w:cs="IRNazanin"/>
          <w:lang w:bidi="fa-IR"/>
          <w:color w:val="111111"/>
          <w:sz w:val="28"/>
          <w:szCs w:val="28"/>
          <w:rtl/>
        </w:rPr>
        <w:t xml:space="preserve">(گلشن- ص 585) و (امتحان 2: 57)</w:t>
      </w:r>
    </w:p>
    <w:p>
      <w:pPr>
        <w:pStyle w:val="Heading3"/>
      </w:pPr>
      <w:bookmarkStart w:id="10652" w:name="_Toc9348"/>
      <w:r>
        <w:t>8057- دیوان واله عجمی‏</w:t>
      </w:r>
      <w:bookmarkEnd w:id="10652"/>
    </w:p>
    <w:p>
      <w:pPr>
        <w:pStyle w:val="BookText"/>
      </w:pPr>
      <w:r>
        <w:rPr>
          <w:rFonts w:ascii="IRNazanin" w:hAnsi="IRNazanin" w:eastAsia="IRNazanin" w:cs="IRNazanin"/>
          <w:lang w:bidi="fa-IR"/>
          <w:color w:val="111111"/>
          <w:sz w:val="28"/>
          <w:szCs w:val="28"/>
          <w:rtl/>
        </w:rPr>
        <w:t xml:space="preserve">للسید محمد واله العجمی مر له منظومة دستور نظم فی 8: 169 و یوجد دیوانه فی (بنگاله)</w:t>
      </w:r>
    </w:p>
    <w:p>
      <w:pPr>
        <w:pStyle w:val="Heading3"/>
      </w:pPr>
      <w:bookmarkStart w:id="10653" w:name="_Toc9349"/>
      <w:r>
        <w:t>8058- دیوان واله کشمیری أو شعره‏</w:t>
      </w:r>
      <w:bookmarkEnd w:id="10653"/>
    </w:p>
    <w:p>
      <w:pPr>
        <w:pStyle w:val="BookText"/>
      </w:pPr>
      <w:r>
        <w:rPr>
          <w:rFonts w:ascii="IRNazanin" w:hAnsi="IRNazanin" w:eastAsia="IRNazanin" w:cs="IRNazanin"/>
          <w:lang w:bidi="fa-IR"/>
          <w:color w:val="111111"/>
          <w:sz w:val="28"/>
          <w:szCs w:val="28"/>
          <w:rtl/>
        </w:rPr>
        <w:t xml:space="preserve">و اسمه خواجه نور الله أورد شعره معاصره فی (گلشن- ص 584)</w:t>
      </w:r>
    </w:p>
    <w:p>
      <w:pPr>
        <w:pStyle w:val="Heading3"/>
      </w:pPr>
      <w:bookmarkStart w:id="10654" w:name="_Toc9350"/>
      <w:r>
        <w:t>8059- دیوان واله مشهدی أو شعره‏</w:t>
      </w:r>
      <w:bookmarkEnd w:id="10654"/>
    </w:p>
    <w:p>
      <w:pPr>
        <w:pStyle w:val="BookText"/>
      </w:pPr>
      <w:r>
        <w:rPr>
          <w:rFonts w:ascii="IRNazanin" w:hAnsi="IRNazanin" w:eastAsia="IRNazanin" w:cs="IRNazanin"/>
          <w:lang w:bidi="fa-IR"/>
          <w:color w:val="111111"/>
          <w:sz w:val="28"/>
          <w:szCs w:val="28"/>
          <w:rtl/>
        </w:rPr>
        <w:t xml:space="preserve">من شعراء بابر میرزا ورد شعره فی (مجن 2- ص 40 و 214) و فی الثانی بعنوان والهی قال و کان یبغضه کلمة برده ثم أورد قصیدته فی مدح الإمام الرضا و بابر میرزا</w:t>
      </w:r>
    </w:p>
    <w:p>
      <w:pPr>
        <w:pStyle w:val="Heading3"/>
      </w:pPr>
      <w:bookmarkStart w:id="10655" w:name="_Toc9351"/>
      <w:r>
        <w:t>8060- دیوان واله هروی‏</w:t>
      </w:r>
      <w:bookmarkEnd w:id="10655"/>
    </w:p>
    <w:p>
      <w:pPr>
        <w:pStyle w:val="BookText"/>
      </w:pPr>
      <w:r>
        <w:rPr>
          <w:rFonts w:ascii="IRNazanin" w:hAnsi="IRNazanin" w:eastAsia="IRNazanin" w:cs="IRNazanin"/>
          <w:lang w:bidi="fa-IR"/>
          <w:color w:val="111111"/>
          <w:sz w:val="28"/>
          <w:szCs w:val="28"/>
          <w:rtl/>
        </w:rPr>
        <w:t xml:space="preserve">هو درویش حسین من تلامیذ عبد القادر بیدل ذکر مثنویة فی (سرخوش- ص 124) و (خوش‏گو) و (روشن- ص 747) و هفت آسمان ص 153</w:t>
      </w:r>
    </w:p>
    <w:p>
      <w:pPr>
        <w:pStyle w:val="Heading3"/>
      </w:pPr>
      <w:bookmarkStart w:id="10656" w:name="_Toc9352"/>
      <w:r>
        <w:t>8061- دیوان واله همدانی أو شعره‏</w:t>
      </w:r>
      <w:bookmarkEnd w:id="10656"/>
    </w:p>
    <w:p>
      <w:pPr>
        <w:pStyle w:val="BookText"/>
      </w:pPr>
      <w:r>
        <w:rPr>
          <w:rFonts w:ascii="IRNazanin" w:hAnsi="IRNazanin" w:eastAsia="IRNazanin" w:cs="IRNazanin"/>
          <w:lang w:bidi="fa-IR"/>
          <w:color w:val="111111"/>
          <w:sz w:val="28"/>
          <w:szCs w:val="28"/>
          <w:rtl/>
        </w:rPr>
        <w:t xml:space="preserve">و اسمه میرزا صادق غمامی، من أعضاء انجمن دانش بها أورد باقر ألفت غزله فی دانش‏نامه المطبوع 1342</w:t>
      </w:r>
    </w:p>
    <w:p>
      <w:pPr>
        <w:pStyle w:val="Heading3"/>
      </w:pPr>
      <w:bookmarkStart w:id="10657" w:name="_Toc9353"/>
      <w:r>
        <w:t>8062- دیوان والهی أردبیلی أو شعره‏</w:t>
      </w:r>
      <w:bookmarkEnd w:id="10657"/>
    </w:p>
    <w:p>
      <w:pPr>
        <w:pStyle w:val="BookText"/>
      </w:pPr>
      <w:r>
        <w:rPr>
          <w:rFonts w:ascii="IRNazanin" w:hAnsi="IRNazanin" w:eastAsia="IRNazanin" w:cs="IRNazanin"/>
          <w:lang w:bidi="fa-IR"/>
          <w:color w:val="111111"/>
          <w:sz w:val="28"/>
          <w:szCs w:val="28"/>
          <w:rtl/>
        </w:rPr>
        <w:t xml:space="preserve">أورد تربیت شعره فی (دجا- ص 393) نقلا عن بیاض صائب‏</w:t>
      </w:r>
    </w:p>
    <w:p>
      <w:pPr>
        <w:pStyle w:val="Heading3"/>
      </w:pPr>
      <w:bookmarkStart w:id="10658" w:name="_Toc9354"/>
      <w:r>
        <w:t>8063- دیوان والهی أسترآبادی أو شعره‏</w:t>
      </w:r>
      <w:bookmarkEnd w:id="10658"/>
    </w:p>
    <w:p>
      <w:pPr>
        <w:pStyle w:val="BookText"/>
      </w:pPr>
      <w:r>
        <w:rPr>
          <w:rFonts w:ascii="IRNazanin" w:hAnsi="IRNazanin" w:eastAsia="IRNazanin" w:cs="IRNazanin"/>
          <w:lang w:bidi="fa-IR"/>
          <w:color w:val="111111"/>
          <w:sz w:val="28"/>
          <w:szCs w:val="28"/>
          <w:rtl/>
        </w:rPr>
        <w:t xml:space="preserve">ورد شعره فی (مسرت- ص 238)</w:t>
      </w:r>
    </w:p>
    <w:p>
      <w:pPr>
        <w:pStyle w:val="Heading3"/>
      </w:pPr>
      <w:bookmarkStart w:id="10659" w:name="_Toc9355"/>
      <w:r>
        <w:t>دیوان والهی بخاری أو شعره‏</w:t>
      </w:r>
      <w:bookmarkEnd w:id="10659"/>
    </w:p>
    <w:p>
      <w:pPr>
        <w:pStyle w:val="BookText"/>
      </w:pPr>
      <w:r>
        <w:rPr>
          <w:rFonts w:ascii="IRNazanin" w:hAnsi="IRNazanin" w:eastAsia="IRNazanin" w:cs="IRNazanin"/>
          <w:lang w:bidi="fa-IR"/>
          <w:color w:val="111111"/>
          <w:sz w:val="28"/>
          <w:szCs w:val="28"/>
          <w:rtl/>
        </w:rPr>
        <w:t xml:space="preserve">راجع والهی سمرقندی و فی (گلشن- ص 585) أن اسمه خواجه عطاء الله‏</w:t>
      </w:r>
    </w:p>
    <w:p>
      <w:pPr>
        <w:pStyle w:val="Heading3"/>
      </w:pPr>
      <w:bookmarkStart w:id="10660" w:name="_Toc9356"/>
      <w:r>
        <w:t>8064- دیوان والهی بغدادی أو شعره‏</w:t>
      </w:r>
      <w:bookmarkEnd w:id="10660"/>
    </w:p>
    <w:p>
      <w:pPr>
        <w:pStyle w:val="BookText"/>
      </w:pPr>
      <w:r>
        <w:rPr>
          <w:rFonts w:ascii="IRNazanin" w:hAnsi="IRNazanin" w:eastAsia="IRNazanin" w:cs="IRNazanin"/>
          <w:lang w:bidi="fa-IR"/>
          <w:color w:val="111111"/>
          <w:sz w:val="28"/>
          <w:szCs w:val="28"/>
          <w:rtl/>
        </w:rPr>
        <w:t xml:space="preserve">ورد شعره فی تذکره عهدی گلشن شعرا کما فی العراق بین الاحتلالین 4: 137</w:t>
      </w:r>
    </w:p>
    <w:p>
      <w:pPr>
        <w:pStyle w:val="Heading3"/>
      </w:pPr>
      <w:bookmarkStart w:id="10661" w:name="_Toc9357"/>
      <w:r>
        <w:t>8065- دیوان والهی دانه‏ای خراسانی أو شعره‏</w:t>
      </w:r>
      <w:bookmarkEnd w:id="10661"/>
    </w:p>
    <w:p>
      <w:pPr>
        <w:pStyle w:val="BookText"/>
      </w:pPr>
      <w:r>
        <w:rPr>
          <w:rFonts w:ascii="IRNazanin" w:hAnsi="IRNazanin" w:eastAsia="IRNazanin" w:cs="IRNazanin"/>
          <w:lang w:bidi="fa-IR"/>
          <w:color w:val="111111"/>
          <w:sz w:val="28"/>
          <w:szCs w:val="28"/>
          <w:rtl/>
        </w:rPr>
        <w:t xml:space="preserve">خرج من دانه بخراسان و کان ینظم الشعر فی بلاط أکبر شاه باللهجة العامیة الخراسانیة کذا وصفه فی (طبق 2- ص 520)</w:t>
      </w:r>
    </w:p>
    <w:p>
      <w:pPr>
        <w:pStyle w:val="Heading3"/>
      </w:pPr>
      <w:bookmarkStart w:id="10662" w:name="_Toc9358"/>
      <w:r>
        <w:t>8066- دیوان والهی سمرقندی‏</w:t>
      </w:r>
      <w:bookmarkEnd w:id="10662"/>
    </w:p>
    <w:p>
      <w:pPr>
        <w:pStyle w:val="BookText"/>
      </w:pPr>
      <w:r>
        <w:rPr>
          <w:rFonts w:ascii="IRNazanin" w:hAnsi="IRNazanin" w:eastAsia="IRNazanin" w:cs="IRNazanin"/>
          <w:lang w:bidi="fa-IR"/>
          <w:color w:val="111111"/>
          <w:sz w:val="28"/>
          <w:szCs w:val="28"/>
          <w:rtl/>
        </w:rPr>
        <w:t xml:space="preserve">و اسمه خواجه عطاء الله خرج من سمرقند کما فی (مجتس 6- ص 155) ورد شعره فی (حسینی- ص 360) و (گلشن- ص 585)
</w:t>
      </w:r>
    </w:p>
    <w:p>
      <w:pPr>
        <w:sectPr>
          <w:footerReference w:type="default" r:id="rId1265"/>
          <w:footnotePr>
            <w:numStart w:val="1"/>
            <w:numRestart w:val="eachPage"/>
          </w:footnotePr>
          <w:pgSz w:orient="portrait" w:w="11905.511811023622" w:h="16837.79527559055"/>
          <w:pgMar w:top="1440" w:right="1440" w:bottom="1440" w:left="1440" w:header="720" w:footer="720" w:gutter="0"/>
          <w:cols w:num="1" w:space="720"/>
        </w:sectPr>
      </w:pPr>
    </w:p>
    <w:bookmarkStart w:id="1240" w:name="pg11704_122763"/>
    <w:bookmarkEnd w:id="1240"/>
    <w:p>
      <w:pPr>
        <w:pStyle w:val="Heading3"/>
      </w:pPr>
      <w:bookmarkStart w:id="10663" w:name="_Toc9359"/>
      <w:r>
        <w:t>8067- دیوان والهی قصاب أو شعره‏</w:t>
      </w:r>
      <w:bookmarkEnd w:id="10663"/>
    </w:p>
    <w:p>
      <w:pPr>
        <w:pStyle w:val="BookText"/>
      </w:pPr>
      <w:r>
        <w:rPr>
          <w:rFonts w:ascii="IRNazanin" w:hAnsi="IRNazanin" w:eastAsia="IRNazanin" w:cs="IRNazanin"/>
          <w:lang w:bidi="fa-IR"/>
          <w:color w:val="111111"/>
          <w:sz w:val="28"/>
          <w:szCs w:val="28"/>
          <w:rtl/>
        </w:rPr>
        <w:t xml:space="preserve">ورد شعره فی (گلشن- ص 585)</w:t>
      </w:r>
    </w:p>
    <w:p>
      <w:pPr>
        <w:pStyle w:val="Heading3"/>
      </w:pPr>
      <w:bookmarkStart w:id="10664" w:name="_Toc9360"/>
      <w:r>
        <w:t>8068- دیوان والهی قمی أو شعره‏</w:t>
      </w:r>
      <w:bookmarkEnd w:id="10664"/>
    </w:p>
    <w:p>
      <w:pPr>
        <w:pStyle w:val="BookText"/>
      </w:pPr>
      <w:r>
        <w:rPr>
          <w:rFonts w:ascii="IRNazanin" w:hAnsi="IRNazanin" w:eastAsia="IRNazanin" w:cs="IRNazanin"/>
          <w:lang w:bidi="fa-IR"/>
          <w:color w:val="111111"/>
          <w:sz w:val="28"/>
          <w:szCs w:val="28"/>
          <w:rtl/>
        </w:rPr>
        <w:t xml:space="preserve">و اسمه میرزا یوسف عد فی (خص 8- ص 82) من الشعراء المعمرین و ترجم فی هفت إقلیم و (حسینی- ص 359) و (گلشن- ص 585) و (روشن- ص 748) و همیشه بهار و روضة الصفویة و (تش- 239)</w:t>
      </w:r>
    </w:p>
    <w:p>
      <w:pPr>
        <w:pStyle w:val="Heading3"/>
      </w:pPr>
      <w:bookmarkStart w:id="10665" w:name="_Toc9361"/>
      <w:r>
        <w:t>دیوان والهی مشهدی‏</w:t>
      </w:r>
      <w:bookmarkEnd w:id="10665"/>
    </w:p>
    <w:p>
      <w:pPr>
        <w:pStyle w:val="BookText"/>
      </w:pPr>
      <w:r>
        <w:rPr>
          <w:rFonts w:ascii="IRNazanin" w:hAnsi="IRNazanin" w:eastAsia="IRNazanin" w:cs="IRNazanin"/>
          <w:lang w:bidi="fa-IR"/>
          <w:color w:val="111111"/>
          <w:sz w:val="28"/>
          <w:szCs w:val="28"/>
          <w:rtl/>
        </w:rPr>
        <w:t xml:space="preserve">راجع واله مشهدی‏</w:t>
      </w:r>
    </w:p>
    <w:p>
      <w:pPr>
        <w:pStyle w:val="Heading3"/>
      </w:pPr>
      <w:bookmarkStart w:id="10666" w:name="_Toc9362"/>
      <w:r>
        <w:t>دیوان والهی هروی‏</w:t>
      </w:r>
      <w:bookmarkEnd w:id="10666"/>
    </w:p>
    <w:p>
      <w:pPr>
        <w:pStyle w:val="BookText"/>
      </w:pPr>
      <w:r>
        <w:rPr>
          <w:rFonts w:ascii="IRNazanin" w:hAnsi="IRNazanin" w:eastAsia="IRNazanin" w:cs="IRNazanin"/>
          <w:lang w:bidi="fa-IR"/>
          <w:color w:val="111111"/>
          <w:sz w:val="28"/>
          <w:szCs w:val="28"/>
          <w:rtl/>
        </w:rPr>
        <w:t xml:space="preserve">ورد شعره فی (روشن- ص 750) و عده من شعراء السلطان حسین بایقرا، و لعله أراد وافی هروی المذکور فی ص 1253</w:t>
      </w:r>
    </w:p>
    <w:p>
      <w:pPr>
        <w:pStyle w:val="Heading3"/>
      </w:pPr>
      <w:bookmarkStart w:id="10667" w:name="_Toc9363"/>
      <w:r>
        <w:t>8069- دیوان والی بخارائی أو شعره‏</w:t>
      </w:r>
      <w:bookmarkEnd w:id="10667"/>
    </w:p>
    <w:p>
      <w:pPr>
        <w:pStyle w:val="BookText"/>
      </w:pPr>
      <w:r>
        <w:rPr>
          <w:rFonts w:ascii="IRNazanin" w:hAnsi="IRNazanin" w:eastAsia="IRNazanin" w:cs="IRNazanin"/>
          <w:lang w:bidi="fa-IR"/>
          <w:color w:val="111111"/>
          <w:sz w:val="28"/>
          <w:szCs w:val="28"/>
          <w:rtl/>
        </w:rPr>
        <w:t xml:space="preserve">و اسمه أفضل کان منشیا لإمام قلی خان ورد شعره فی (نر 10- ص 436) و (خوش‏گو)</w:t>
      </w:r>
    </w:p>
    <w:p>
      <w:pPr>
        <w:pStyle w:val="Heading3"/>
      </w:pPr>
      <w:bookmarkStart w:id="10668" w:name="_Toc9364"/>
      <w:r>
        <w:t>8070- دیوان والی بختیاری أو شعره‏</w:t>
      </w:r>
      <w:bookmarkEnd w:id="10668"/>
    </w:p>
    <w:p>
      <w:pPr>
        <w:pStyle w:val="BookText"/>
      </w:pPr>
      <w:r>
        <w:rPr>
          <w:rFonts w:ascii="IRNazanin" w:hAnsi="IRNazanin" w:eastAsia="IRNazanin" w:cs="IRNazanin"/>
          <w:lang w:bidi="fa-IR"/>
          <w:color w:val="111111"/>
          <w:sz w:val="28"/>
          <w:szCs w:val="28"/>
          <w:rtl/>
        </w:rPr>
        <w:t xml:space="preserve">و اسمه نجف قلی بیک ترجمه معاصره النصرآبادی فی (نر 9- ص 362) و (حسینی- ص 361) و (گلشن- ص 585) و (روشن- ص 750)</w:t>
      </w:r>
    </w:p>
    <w:p>
      <w:pPr>
        <w:pStyle w:val="Heading3"/>
      </w:pPr>
      <w:bookmarkStart w:id="10669" w:name="_Toc9365"/>
      <w:r>
        <w:t>8071- دیوان والی قاجار أو شعره‏</w:t>
      </w:r>
      <w:bookmarkEnd w:id="10669"/>
    </w:p>
    <w:p>
      <w:pPr>
        <w:pStyle w:val="BookText"/>
      </w:pPr>
      <w:r>
        <w:rPr>
          <w:rFonts w:ascii="IRNazanin" w:hAnsi="IRNazanin" w:eastAsia="IRNazanin" w:cs="IRNazanin"/>
          <w:lang w:bidi="fa-IR"/>
          <w:color w:val="111111"/>
          <w:sz w:val="28"/>
          <w:szCs w:val="28"/>
          <w:rtl/>
        </w:rPr>
        <w:t xml:space="preserve">و هو نجف قلی میرزا بن حسین علی میرزا فرمان فرما بشیراز ابن السلطان فتح علی شاه ترجم فی (مع 1- ص 62) و ذکر أنه جاور أخیرا العراق و بها توفی 1272 و أورد شعره‏</w:t>
      </w:r>
    </w:p>
    <w:p>
      <w:pPr>
        <w:pStyle w:val="Heading3"/>
      </w:pPr>
      <w:bookmarkStart w:id="10670" w:name="_Toc9366"/>
      <w:r>
        <w:t>8072- دیوان والی کردستانی‏</w:t>
      </w:r>
      <w:bookmarkEnd w:id="10670"/>
    </w:p>
    <w:p>
      <w:pPr>
        <w:pStyle w:val="BookText"/>
      </w:pPr>
      <w:r>
        <w:rPr>
          <w:rFonts w:ascii="IRNazanin" w:hAnsi="IRNazanin" w:eastAsia="IRNazanin" w:cs="IRNazanin"/>
          <w:lang w:bidi="fa-IR"/>
          <w:color w:val="111111"/>
          <w:sz w:val="28"/>
          <w:szCs w:val="28"/>
          <w:rtl/>
        </w:rPr>
        <w:t xml:space="preserve">لأمان الله خان بن خسرو خان بن أمان الله خان الوالی لکردستان فی سبع و عشرین سنة إلی أن توفی 1241 فأقیم مقامه خسرو خان بالوراثة و کان هو صهر فتح علی شاه فصارت الولایة لأمان الله خان من 1265 إلی 1274 التی فیها ألف مجمع الفصحاء و ترجمه فیه (ج 2 ص 547) و أورد قرب ثلاثین بیتا من شعره‏</w:t>
      </w:r>
    </w:p>
    <w:p>
      <w:pPr>
        <w:pStyle w:val="Heading3"/>
      </w:pPr>
      <w:bookmarkStart w:id="10671" w:name="_Toc9367"/>
      <w:r>
        <w:t>دیوان والی هروی‏</w:t>
      </w:r>
      <w:bookmarkEnd w:id="10671"/>
    </w:p>
    <w:p>
      <w:pPr>
        <w:pStyle w:val="BookText"/>
      </w:pPr>
      <w:r>
        <w:rPr>
          <w:rFonts w:ascii="IRNazanin" w:hAnsi="IRNazanin" w:eastAsia="IRNazanin" w:cs="IRNazanin"/>
          <w:lang w:bidi="fa-IR"/>
          <w:color w:val="111111"/>
          <w:sz w:val="28"/>
          <w:szCs w:val="28"/>
          <w:rtl/>
        </w:rPr>
        <w:t xml:space="preserve">راجع وافی هروی‏</w:t>
      </w:r>
    </w:p>
    <w:p>
      <w:pPr>
        <w:pStyle w:val="Heading3"/>
      </w:pPr>
      <w:bookmarkStart w:id="10672" w:name="_Toc9368"/>
      <w:r>
        <w:t>8073- دیوان والی یزدی أو شعره‏</w:t>
      </w:r>
      <w:bookmarkEnd w:id="10672"/>
    </w:p>
    <w:p>
      <w:pPr>
        <w:pStyle w:val="BookText"/>
      </w:pPr>
      <w:r>
        <w:rPr>
          <w:rFonts w:ascii="IRNazanin" w:hAnsi="IRNazanin" w:eastAsia="IRNazanin" w:cs="IRNazanin"/>
          <w:lang w:bidi="fa-IR"/>
          <w:color w:val="111111"/>
          <w:sz w:val="28"/>
          <w:szCs w:val="28"/>
          <w:rtl/>
        </w:rPr>
        <w:t xml:space="preserve">ورد شعره فی (خوش‏گو) و قال إن اسمه میر محمد مؤمن‏</w:t>
      </w:r>
    </w:p>
    <w:p>
      <w:pPr>
        <w:pStyle w:val="Heading3"/>
      </w:pPr>
      <w:bookmarkStart w:id="10673" w:name="_Toc9369"/>
      <w:r>
        <w:t>8074- دیوان والیه قاجار</w:t>
      </w:r>
      <w:bookmarkEnd w:id="10673"/>
    </w:p>
    <w:p>
      <w:pPr>
        <w:pStyle w:val="BookText"/>
      </w:pPr>
      <w:r>
        <w:rPr>
          <w:rFonts w:ascii="IRNazanin" w:hAnsi="IRNazanin" w:eastAsia="IRNazanin" w:cs="IRNazanin"/>
          <w:lang w:bidi="fa-IR"/>
          <w:color w:val="111111"/>
          <w:sz w:val="28"/>
          <w:szCs w:val="28"/>
          <w:rtl/>
        </w:rPr>
        <w:t xml:space="preserve">و اسمها حسن جهان خانم بنت فتح علی شاه قاجار، و أمها فاطمة سنبل باجی یوجد لها منظومة بساط نشاط فی المکتبة (الملیة 874 ف) و قال فی از رابعة تا پروین- ص 267 إن دیوانها موجود عند (حسین النخجوانی) و یشتمل‏
</w:t>
      </w:r>
    </w:p>
    <w:p>
      <w:pPr>
        <w:sectPr>
          <w:footerReference w:type="default" r:id="rId1266"/>
          <w:footnotePr>
            <w:numStart w:val="1"/>
            <w:numRestart w:val="eachPage"/>
          </w:footnotePr>
          <w:pgSz w:orient="portrait" w:w="11905.511811023622" w:h="16837.79527559055"/>
          <w:pgMar w:top="1440" w:right="1440" w:bottom="1440" w:left="1440" w:header="720" w:footer="720" w:gutter="0"/>
          <w:cols w:num="1" w:space="720"/>
        </w:sectPr>
      </w:pPr>
    </w:p>
    <w:bookmarkStart w:id="1241" w:name="pg11704_122765"/>
    <w:bookmarkEnd w:id="1241"/>
    <w:p>
      <w:pPr>
        <w:pStyle w:val="BookText"/>
      </w:pPr>
      <w:r>
        <w:rPr>
          <w:rFonts w:ascii="IRNazanin" w:hAnsi="IRNazanin" w:eastAsia="IRNazanin" w:cs="IRNazanin"/>
          <w:lang w:bidi="fa-IR"/>
          <w:color w:val="111111"/>
          <w:sz w:val="28"/>
          <w:szCs w:val="28"/>
          <w:rtl/>
        </w:rPr>
        <w:t xml:space="preserve">علی 80 غزلا</w:t>
      </w:r>
    </w:p>
    <w:p>
      <w:pPr>
        <w:pStyle w:val="Heading3"/>
      </w:pPr>
      <w:bookmarkStart w:id="10674" w:name="_Toc9370"/>
      <w:r>
        <w:t>8075- دیوان الوامق أو شعره‏</w:t>
      </w:r>
      <w:bookmarkEnd w:id="10674"/>
    </w:p>
    <w:p>
      <w:pPr>
        <w:pStyle w:val="BookText"/>
      </w:pPr>
      <w:r>
        <w:rPr>
          <w:rFonts w:ascii="IRNazanin" w:hAnsi="IRNazanin" w:eastAsia="IRNazanin" w:cs="IRNazanin"/>
          <w:lang w:bidi="fa-IR"/>
          <w:color w:val="111111"/>
          <w:sz w:val="28"/>
          <w:szCs w:val="28"/>
          <w:rtl/>
        </w:rPr>
        <w:t xml:space="preserve">عده ابن شهرآشوب من أصحاب الأئمة الشعراء فی (المعالم- ص 140)</w:t>
      </w:r>
    </w:p>
    <w:p>
      <w:pPr>
        <w:pStyle w:val="Heading3"/>
      </w:pPr>
      <w:bookmarkStart w:id="10675" w:name="_Toc9371"/>
      <w:r>
        <w:t>8076- دیوان وامق أصفهانی‏</w:t>
      </w:r>
      <w:bookmarkEnd w:id="10675"/>
    </w:p>
    <w:p>
      <w:pPr>
        <w:pStyle w:val="BookText"/>
      </w:pPr>
      <w:r>
        <w:rPr>
          <w:rFonts w:ascii="IRNazanin" w:hAnsi="IRNazanin" w:eastAsia="IRNazanin" w:cs="IRNazanin"/>
          <w:lang w:bidi="fa-IR"/>
          <w:color w:val="111111"/>
          <w:sz w:val="28"/>
          <w:szCs w:val="28"/>
          <w:rtl/>
        </w:rPr>
        <w:t xml:space="preserve">و اسمه محمد صالح من شعراء عهد فتح علی شاه ترجم فی (انجمن 4) و (مع 2: 558)</w:t>
      </w:r>
    </w:p>
    <w:p>
      <w:pPr>
        <w:pStyle w:val="Heading3"/>
      </w:pPr>
      <w:bookmarkStart w:id="10676" w:name="_Toc9372"/>
      <w:r>
        <w:t>8077- دیوان وامق بلگرامی أو شعره‏</w:t>
      </w:r>
      <w:bookmarkEnd w:id="10676"/>
    </w:p>
    <w:p>
      <w:pPr>
        <w:pStyle w:val="BookText"/>
      </w:pPr>
      <w:r>
        <w:rPr>
          <w:rFonts w:ascii="IRNazanin" w:hAnsi="IRNazanin" w:eastAsia="IRNazanin" w:cs="IRNazanin"/>
          <w:lang w:bidi="fa-IR"/>
          <w:color w:val="111111"/>
          <w:sz w:val="28"/>
          <w:szCs w:val="28"/>
          <w:rtl/>
        </w:rPr>
        <w:t xml:space="preserve">و اسمه نواز محیی الدین بن غلام محیی الدین الفاروقی تلمذ علی نوازش علی ترجمه آزاد فی (سرو- ص 350) و (نتایج- ص 768)</w:t>
      </w:r>
    </w:p>
    <w:p>
      <w:pPr>
        <w:pStyle w:val="Heading3"/>
      </w:pPr>
      <w:bookmarkStart w:id="10677" w:name="_Toc9373"/>
      <w:r>
        <w:t>8078- دیوان وامق هندی أو شعره‏</w:t>
      </w:r>
      <w:bookmarkEnd w:id="10677"/>
    </w:p>
    <w:p>
      <w:pPr>
        <w:pStyle w:val="BookText"/>
      </w:pPr>
      <w:r>
        <w:rPr>
          <w:rFonts w:ascii="IRNazanin" w:hAnsi="IRNazanin" w:eastAsia="IRNazanin" w:cs="IRNazanin"/>
          <w:lang w:bidi="fa-IR"/>
          <w:color w:val="111111"/>
          <w:sz w:val="28"/>
          <w:szCs w:val="28"/>
          <w:rtl/>
        </w:rPr>
        <w:t xml:space="preserve">کان برهمنیا فأسلم و سمی محمد إخلاص و تقرب عند اورنگ زیب و مات 1143 ورد شعره فی (حسینی- ص 361) و (گلشن- ص 585) و (سرخوش- ص 123)</w:t>
      </w:r>
    </w:p>
    <w:p>
      <w:pPr>
        <w:pStyle w:val="Heading3"/>
      </w:pPr>
      <w:bookmarkStart w:id="10678" w:name="_Toc9374"/>
      <w:r>
        <w:t>8079- دیوان وامق یزدی‏</w:t>
      </w:r>
      <w:bookmarkEnd w:id="10678"/>
    </w:p>
    <w:p>
      <w:pPr>
        <w:pStyle w:val="BookText"/>
      </w:pPr>
      <w:r>
        <w:rPr>
          <w:rFonts w:ascii="IRNazanin" w:hAnsi="IRNazanin" w:eastAsia="IRNazanin" w:cs="IRNazanin"/>
          <w:lang w:bidi="fa-IR"/>
          <w:color w:val="111111"/>
          <w:sz w:val="28"/>
          <w:szCs w:val="28"/>
          <w:rtl/>
        </w:rPr>
        <w:t xml:space="preserve">محمد علی المؤلف لتذکرة میکده و یقال له آشیانه میکده المذکور فی 4: 50 و الموجود بخط ولد المؤلف و قد ترجم هو نفسه فیه بما لفظه [بنده واثق محمد علی بن محمد باقر الحسینی الحسنی المتخلص بوامق‏] و ذکر أن آباءه من السادة الحسینیة فی یزد و أن جده الأعلی المیرزا سعید بن المیرزا محمد أمین کان شاعرا و کان سبط المیر صدر الدین المدرسی الطباطبائی الذی هو الجد الأعلی للمیر محمد علی المتخلص بحیران و المعاصر لوامق هذا و لذا صرح بأنه ابن عمه حیران لأن حیران من أحفاد این المیر صدر الدین، و وامق هذا من أحفاد بنت المیر صدر الدین الأدیبة الشاعرة المتخلصة بأسیری و هی أم المیرزا سعید، إلی أن قال إن الشعر شعاری لکنی لست أخاذا، و قد نظمت حتی الآن قرب خمسة عشر ألف بیت و توفی وامق 1255 کما أرخه ولده المیرزا یحیی الشاعر المتخلص بفدائی، فإنه کتب بخطه میکده لوالده و کتب فی آخره أنه بعث إلی والدی نسخه الأصل فی 1255 و کان ذلک قبل وفاته بشهرین، و بعد وفاته استنسخته و فرغ من نسخه 1262 و کان یتخلص ساقی أیضا کما فی مدائحه لعبد الرضا حاکم یزد و توفی المیرزا یحیی الفدائی 1282 بالوباء العام الذی توفی به قرب ثلاثین ألف نفسا، فورث النسخة عنه ولده الحاج میرزا سید حسین المتخلص بوامق و المتوفی بیزد 1307 و دفن بمقبرة جوی هرهر و قد
</w:t>
      </w:r>
    </w:p>
    <w:p>
      <w:pPr>
        <w:sectPr>
          <w:footerReference w:type="default" r:id="rId1267"/>
          <w:footnotePr>
            <w:numStart w:val="1"/>
            <w:numRestart w:val="eachPage"/>
          </w:footnotePr>
          <w:pgSz w:orient="portrait" w:w="11905.511811023622" w:h="16837.79527559055"/>
          <w:pgMar w:top="1440" w:right="1440" w:bottom="1440" w:left="1440" w:header="720" w:footer="720" w:gutter="0"/>
          <w:cols w:num="1" w:space="720"/>
        </w:sectPr>
      </w:pPr>
    </w:p>
    <w:bookmarkStart w:id="1242" w:name="pg11704_122766"/>
    <w:bookmarkEnd w:id="1242"/>
    <w:p>
      <w:pPr>
        <w:pStyle w:val="BookText"/>
      </w:pPr>
      <w:r>
        <w:rPr>
          <w:rFonts w:ascii="IRNazanin" w:hAnsi="IRNazanin" w:eastAsia="IRNazanin" w:cs="IRNazanin"/>
          <w:lang w:bidi="fa-IR"/>
          <w:color w:val="111111"/>
          <w:sz w:val="28"/>
          <w:szCs w:val="28"/>
          <w:rtl/>
        </w:rPr>
        <w:t xml:space="preserve">ظفر بتلک النسخة السید ریحان الله فی طهران 1353 عند السید أحمد المدرسی عضو وزارة المعارف و نقل عنه فی آیینه دانشوران ص 46</w:t>
      </w:r>
    </w:p>
    <w:p>
      <w:pPr>
        <w:pStyle w:val="Heading3"/>
      </w:pPr>
      <w:bookmarkStart w:id="10679" w:name="_Toc9375"/>
      <w:r>
        <w:t>8080- دیوان وامق یزدی أو شعره‏</w:t>
      </w:r>
      <w:bookmarkEnd w:id="10679"/>
    </w:p>
    <w:p>
      <w:pPr>
        <w:pStyle w:val="BookText"/>
      </w:pPr>
      <w:r>
        <w:rPr>
          <w:rFonts w:ascii="IRNazanin" w:hAnsi="IRNazanin" w:eastAsia="IRNazanin" w:cs="IRNazanin"/>
          <w:lang w:bidi="fa-IR"/>
          <w:color w:val="111111"/>
          <w:sz w:val="28"/>
          <w:szCs w:val="28"/>
          <w:rtl/>
        </w:rPr>
        <w:t xml:space="preserve">و هو المیر حسین المتخلص وامق ابن السید یحیی المتخلص فدائی بن المیرزا محمد علی المتخلص وامق مؤلف تذکره میکده السابق ذکره ترجمه السید ریحان الله فی آیینه دانشوران و ذکر تحصیلاته فی أصفهان ثم تدریسه فی یزد و عده من العلماء العرفاء، و ذکر وفاته بیزد و دفنه بمقبرة جوی هرهر 1307 و ترجمه آیتی فی (تش یز- ص 342) و زعم أنه من أحفاد المیرزا محمد علی المدرسی المتخلص بحیران کما ذکرناه و المنسوب إلی المیر صدر الدین عن طرف الأب، لکن ظهر أنه من أحفاد سمیه المتخلص بوامق و قد کان مشهورا بوامق‏زاده لذلک، و اتخذ هو تخلص جده وامق و ذکر آیتی بعض شعره و قال إن له تذکره سماه میخانه، قلیل الوجود و أنا أحتمل أنه لم یره آیتی و انما سمع وجود تذکره میکده فصحفه بمیخانه و نسبه إلیه، مع أنه لجده کما ذکرناه‏</w:t>
      </w:r>
    </w:p>
    <w:p>
      <w:pPr>
        <w:pStyle w:val="Heading3"/>
      </w:pPr>
      <w:bookmarkStart w:id="10680" w:name="_Toc9376"/>
      <w:r>
        <w:t>دیوان وامق یزدی‏</w:t>
      </w:r>
      <w:bookmarkEnd w:id="10680"/>
    </w:p>
    <w:p>
      <w:pPr>
        <w:pStyle w:val="BookText"/>
      </w:pPr>
      <w:r>
        <w:rPr>
          <w:rFonts w:ascii="IRNazanin" w:hAnsi="IRNazanin" w:eastAsia="IRNazanin" w:cs="IRNazanin"/>
          <w:lang w:bidi="fa-IR"/>
          <w:color w:val="111111"/>
          <w:sz w:val="28"/>
          <w:szCs w:val="28"/>
          <w:rtl/>
        </w:rPr>
        <w:t xml:space="preserve">ذکر فی (مع 2: 558) و نقل عن حدیقة الشعراء أنه محمد شریف و کان معاصرا لوامق الیزدی محمد علی و الظاهر أنه تصحیف هذا و قد خلط آیتی فی (تش یز- ص 340- 342) بین وامق و بین حیران المذکور فی ص 272- 273 فراجعه‏</w:t>
      </w:r>
    </w:p>
    <w:p>
      <w:pPr>
        <w:pStyle w:val="Heading3"/>
      </w:pPr>
      <w:bookmarkStart w:id="10681" w:name="_Toc9377"/>
      <w:r>
        <w:t>8081- دیوان واهب أصفهانی‏</w:t>
      </w:r>
      <w:bookmarkEnd w:id="10681"/>
    </w:p>
    <w:p>
      <w:pPr>
        <w:pStyle w:val="BookText"/>
      </w:pPr>
      <w:r>
        <w:rPr>
          <w:rFonts w:ascii="IRNazanin" w:hAnsi="IRNazanin" w:eastAsia="IRNazanin" w:cs="IRNazanin"/>
          <w:lang w:bidi="fa-IR"/>
          <w:color w:val="111111"/>
          <w:sz w:val="28"/>
          <w:szCs w:val="28"/>
          <w:rtl/>
        </w:rPr>
        <w:t xml:space="preserve">و اسمه میرزا حسن أخو میرزا حسین مالمیری الأصفهانی المذکور فی ص 253 قال فی (نر 5- ص 107- 108) و أخوه أفضل منه، و کلاهما من أولاد خواجه قوام ممدوح حافظ الشیرازی و جده نعمة الله وزیر الشاه طهماسب و کان واهب وزیر الشاه صفی بیزد و أورد شعره فی معشوقه زاغی و فی (نر- 13 ص 480 و 485) أورد شعره المؤرخ 1038 و 1046 لباب مسجد شاه بأصفهان و ترجم فی (حسینی- ص 361) و (تش- ص 206) و (تش یز- ص 338 و 285) و (خوش‏گو) و (نتایج- ص 744) و (روشن- ص 750) و (مسرت- 143) و همیشه بهار</w:t>
      </w:r>
    </w:p>
    <w:p>
      <w:pPr>
        <w:pStyle w:val="Heading3"/>
      </w:pPr>
      <w:bookmarkStart w:id="10682" w:name="_Toc9378"/>
      <w:r>
        <w:t>8082- دیوان واهب بخارائی أو شعره‏</w:t>
      </w:r>
      <w:bookmarkEnd w:id="10682"/>
    </w:p>
    <w:p>
      <w:pPr>
        <w:pStyle w:val="BookText"/>
      </w:pPr>
      <w:r>
        <w:rPr>
          <w:rFonts w:ascii="IRNazanin" w:hAnsi="IRNazanin" w:eastAsia="IRNazanin" w:cs="IRNazanin"/>
          <w:lang w:bidi="fa-IR"/>
          <w:color w:val="111111"/>
          <w:sz w:val="28"/>
          <w:szCs w:val="28"/>
          <w:rtl/>
        </w:rPr>
        <w:t xml:space="preserve">کان معاصرا لعبد العزیز بک ورد شعره فی (نر 10- ص 437) و (گلشن- ص 586)
</w:t>
      </w:r>
    </w:p>
    <w:p>
      <w:pPr>
        <w:sectPr>
          <w:footerReference w:type="default" r:id="rId1268"/>
          <w:footnotePr>
            <w:numStart w:val="1"/>
            <w:numRestart w:val="eachPage"/>
          </w:footnotePr>
          <w:pgSz w:orient="portrait" w:w="11905.511811023622" w:h="16837.79527559055"/>
          <w:pgMar w:top="1440" w:right="1440" w:bottom="1440" w:left="1440" w:header="720" w:footer="720" w:gutter="0"/>
          <w:cols w:num="1" w:space="720"/>
        </w:sectPr>
      </w:pPr>
    </w:p>
    <w:bookmarkStart w:id="1243" w:name="pg11704_122768"/>
    <w:bookmarkEnd w:id="1243"/>
    <w:p>
      <w:pPr>
        <w:pStyle w:val="Heading3"/>
      </w:pPr>
      <w:bookmarkStart w:id="10683" w:name="_Toc9379"/>
      <w:r>
        <w:t>دیوان واهب قندهاری‏</w:t>
      </w:r>
      <w:bookmarkEnd w:id="10683"/>
    </w:p>
    <w:p>
      <w:pPr>
        <w:pStyle w:val="BookText"/>
      </w:pPr>
      <w:r>
        <w:rPr>
          <w:rFonts w:ascii="IRNazanin" w:hAnsi="IRNazanin" w:eastAsia="IRNazanin" w:cs="IRNazanin"/>
          <w:lang w:bidi="fa-IR"/>
          <w:color w:val="111111"/>
          <w:sz w:val="28"/>
          <w:szCs w:val="28"/>
          <w:rtl/>
        </w:rPr>
        <w:t xml:space="preserve">راجع واصب قندهاری‏</w:t>
      </w:r>
    </w:p>
    <w:p>
      <w:pPr>
        <w:pStyle w:val="Heading3"/>
      </w:pPr>
      <w:bookmarkStart w:id="10684" w:name="_Toc9380"/>
      <w:r>
        <w:t>8083- دیوان واهب همدانی أو شعره‏</w:t>
      </w:r>
      <w:bookmarkEnd w:id="10684"/>
    </w:p>
    <w:p>
      <w:pPr>
        <w:pStyle w:val="BookText"/>
      </w:pPr>
      <w:r>
        <w:rPr>
          <w:rFonts w:ascii="IRNazanin" w:hAnsi="IRNazanin" w:eastAsia="IRNazanin" w:cs="IRNazanin"/>
          <w:lang w:bidi="fa-IR"/>
          <w:color w:val="111111"/>
          <w:sz w:val="28"/>
          <w:szCs w:val="28"/>
          <w:rtl/>
        </w:rPr>
        <w:t xml:space="preserve">ورد شعره فی (مسرت- ص 259)</w:t>
      </w:r>
    </w:p>
    <w:p>
      <w:pPr>
        <w:pStyle w:val="Heading3"/>
      </w:pPr>
      <w:bookmarkStart w:id="10685" w:name="_Toc9381"/>
      <w:r>
        <w:t>دیوان واهب یزدی‏</w:t>
      </w:r>
      <w:bookmarkEnd w:id="10685"/>
    </w:p>
    <w:p>
      <w:pPr>
        <w:pStyle w:val="BookText"/>
      </w:pPr>
      <w:r>
        <w:rPr>
          <w:rFonts w:ascii="IRNazanin" w:hAnsi="IRNazanin" w:eastAsia="IRNazanin" w:cs="IRNazanin"/>
          <w:lang w:bidi="fa-IR"/>
          <w:color w:val="111111"/>
          <w:sz w:val="28"/>
          <w:szCs w:val="28"/>
          <w:rtl/>
        </w:rPr>
        <w:t xml:space="preserve">راجع واهب أصفهانی‏</w:t>
      </w:r>
    </w:p>
    <w:p>
      <w:pPr>
        <w:pStyle w:val="Heading3"/>
      </w:pPr>
      <w:bookmarkStart w:id="10686" w:name="_Toc9382"/>
      <w:r>
        <w:t>8084- دیوان واهبی أسترآبادی أو شعره‏</w:t>
      </w:r>
      <w:bookmarkEnd w:id="10686"/>
    </w:p>
    <w:p>
      <w:pPr>
        <w:pStyle w:val="BookText"/>
      </w:pPr>
      <w:r>
        <w:rPr>
          <w:rFonts w:ascii="IRNazanin" w:hAnsi="IRNazanin" w:eastAsia="IRNazanin" w:cs="IRNazanin"/>
          <w:lang w:bidi="fa-IR"/>
          <w:color w:val="111111"/>
          <w:sz w:val="28"/>
          <w:szCs w:val="28"/>
          <w:rtl/>
        </w:rPr>
        <w:t xml:space="preserve">ترجمه معاصره سام میرزا و أورد مطلعین من غزلیاته فی (تس 5- ص 154)</w:t>
      </w:r>
    </w:p>
    <w:p>
      <w:pPr>
        <w:pStyle w:val="Heading3"/>
      </w:pPr>
      <w:bookmarkStart w:id="10687" w:name="_Toc9383"/>
      <w:r>
        <w:t>8085- دیوان واهبی خراسانی أو شعره‏</w:t>
      </w:r>
      <w:bookmarkEnd w:id="10687"/>
    </w:p>
    <w:p>
      <w:pPr>
        <w:pStyle w:val="BookText"/>
      </w:pPr>
      <w:r>
        <w:rPr>
          <w:rFonts w:ascii="IRNazanin" w:hAnsi="IRNazanin" w:eastAsia="IRNazanin" w:cs="IRNazanin"/>
          <w:lang w:bidi="fa-IR"/>
          <w:color w:val="111111"/>
          <w:sz w:val="28"/>
          <w:szCs w:val="28"/>
          <w:rtl/>
        </w:rPr>
        <w:t xml:space="preserve">و اسمه عبد الوهاب بن عبد الرزاق أتکة معاصر میر علی شیر کما ترجمه فی (مجن 5- ص 110 و 283) و أورد مطلعین له‏</w:t>
      </w:r>
    </w:p>
    <w:p>
      <w:pPr>
        <w:pStyle w:val="Heading3"/>
      </w:pPr>
      <w:bookmarkStart w:id="10688" w:name="_Toc9384"/>
      <w:r>
        <w:t>دیوان الوأواء</w:t>
      </w:r>
      <w:bookmarkEnd w:id="10688"/>
    </w:p>
    <w:p>
      <w:pPr>
        <w:pStyle w:val="BookText"/>
      </w:pPr>
      <w:r>
        <w:rPr>
          <w:rFonts w:ascii="IRNazanin" w:hAnsi="IRNazanin" w:eastAsia="IRNazanin" w:cs="IRNazanin"/>
          <w:lang w:bidi="fa-IR"/>
          <w:color w:val="111111"/>
          <w:sz w:val="28"/>
          <w:szCs w:val="28"/>
          <w:rtl/>
        </w:rPr>
        <w:t xml:space="preserve">مر بعنوان دیوان الغسانی فی ص 790 رأیت نسخه مخطوطة منه فی مکتبة (السماوی)</w:t>
      </w:r>
    </w:p>
    <w:p>
      <w:pPr>
        <w:pStyle w:val="Heading3"/>
      </w:pPr>
      <w:bookmarkStart w:id="10689" w:name="_Toc9385"/>
      <w:r>
        <w:t>8086- دیوان وثوق طهرانی‏</w:t>
      </w:r>
      <w:bookmarkEnd w:id="10689"/>
    </w:p>
    <w:p>
      <w:pPr>
        <w:pStyle w:val="BookText"/>
      </w:pPr>
      <w:r>
        <w:rPr>
          <w:rFonts w:ascii="IRNazanin" w:hAnsi="IRNazanin" w:eastAsia="IRNazanin" w:cs="IRNazanin"/>
          <w:lang w:bidi="fa-IR"/>
          <w:color w:val="111111"/>
          <w:sz w:val="28"/>
          <w:szCs w:val="28"/>
          <w:rtl/>
        </w:rPr>
        <w:t xml:space="preserve">و اسمه حسن وثوق الدولة ابن إبراهیم معتمد السلطنة ولد فی 1292 فی بیت شریف من عمال البلاط القاجاری و ترقی هو و أخوه قوام و نصبا رئیسا للوزارة مرات بعد الدستور، و هو عاقد معاهدة 1919 م. المعروفة. طبع له نمونه‏هایی از نظم و نثر وثوق الدولة بطهران 1384 فی 228 ص. ترجمه ایزد گشسب فی سخنوران نامی- ص 143 و یوجد دیوانه عند (فخر الدین النصیری).</w:t>
      </w:r>
    </w:p>
    <w:p>
      <w:pPr>
        <w:pStyle w:val="Heading3"/>
      </w:pPr>
      <w:bookmarkStart w:id="10690" w:name="_Toc9386"/>
      <w:r>
        <w:t>8087- دیوان وجدان تبریزی‏</w:t>
      </w:r>
      <w:bookmarkEnd w:id="10690"/>
    </w:p>
    <w:p>
      <w:pPr>
        <w:pStyle w:val="BookText"/>
      </w:pPr>
      <w:r>
        <w:rPr>
          <w:rFonts w:ascii="IRNazanin" w:hAnsi="IRNazanin" w:eastAsia="IRNazanin" w:cs="IRNazanin"/>
          <w:lang w:bidi="fa-IR"/>
          <w:color w:val="111111"/>
          <w:sz w:val="28"/>
          <w:szCs w:val="28"/>
          <w:rtl/>
        </w:rPr>
        <w:t xml:space="preserve">و اسمه میرزا باقر قاضی‏زاده. کان من تلامیذ المحقق الخوانساری آقا حسین. ورد شعره فی (گلشن- ص 587) و فصله فی (دجا- ص 393).</w:t>
      </w:r>
    </w:p>
    <w:p>
      <w:pPr>
        <w:pStyle w:val="Heading3"/>
      </w:pPr>
      <w:bookmarkStart w:id="10691" w:name="_Toc9387"/>
      <w:r>
        <w:t>8088- دیوان وجدان سهرندی أو شعره‏</w:t>
      </w:r>
      <w:bookmarkEnd w:id="10691"/>
    </w:p>
    <w:p>
      <w:pPr>
        <w:pStyle w:val="BookText"/>
      </w:pPr>
      <w:r>
        <w:rPr>
          <w:rFonts w:ascii="IRNazanin" w:hAnsi="IRNazanin" w:eastAsia="IRNazanin" w:cs="IRNazanin"/>
          <w:lang w:bidi="fa-IR"/>
          <w:color w:val="111111"/>
          <w:sz w:val="28"/>
          <w:szCs w:val="28"/>
          <w:rtl/>
        </w:rPr>
        <w:t xml:space="preserve">و اسمه میر معصوم الملقب عالی نسب خان ابن محمد زمان راسخ. مات فی 1160. أورد شعره قدرت فی (نتایج- ص 749) و آزاد فی (خز- ص 443).</w:t>
      </w:r>
    </w:p>
    <w:p>
      <w:pPr>
        <w:pStyle w:val="Heading3"/>
      </w:pPr>
      <w:bookmarkStart w:id="10692" w:name="_Toc9388"/>
      <w:r>
        <w:t>8089- دیوان وجدی خراسانی أزغدی‏</w:t>
      </w:r>
      <w:bookmarkEnd w:id="10692"/>
    </w:p>
    <w:p>
      <w:pPr>
        <w:pStyle w:val="BookText"/>
      </w:pPr>
      <w:r>
        <w:rPr>
          <w:rFonts w:ascii="IRNazanin" w:hAnsi="IRNazanin" w:eastAsia="IRNazanin" w:cs="IRNazanin"/>
          <w:lang w:bidi="fa-IR"/>
          <w:color w:val="111111"/>
          <w:sz w:val="28"/>
          <w:szCs w:val="28"/>
          <w:rtl/>
        </w:rPr>
        <w:t xml:space="preserve">من مضافات مشهد خراسان، صاحب الرسائل العرفانیة المذکورة فی ج 10 ص 250 ترجمه فی (مع 2- 559) و ذکر أنه جمع بین الفضائل الصوریة و المعنویة من برکات المیر عالم شاه الهندی و السید محمد القطب النیریزی و خلیفته الآقا محمد هاشم و آقا محمد الکازرونی حتی صار مرجع السالکین و العارفین ینظم المثنوی و الرباعیات و غیرهما، ثم أورد منها رباعیتین. و ترجمه فی (ض- ص 486) و من مریدیه محمد زمان بن کلب علی خان الجلائر الکلانی المتخلص‏
</w:t>
      </w:r>
    </w:p>
    <w:p>
      <w:pPr>
        <w:sectPr>
          <w:footerReference w:type="default" r:id="rId1269"/>
          <w:footnotePr>
            <w:numStart w:val="1"/>
            <w:numRestart w:val="eachPage"/>
          </w:footnotePr>
          <w:pgSz w:orient="portrait" w:w="11905.511811023622" w:h="16837.79527559055"/>
          <w:pgMar w:top="1440" w:right="1440" w:bottom="1440" w:left="1440" w:header="720" w:footer="720" w:gutter="0"/>
          <w:cols w:num="1" w:space="720"/>
        </w:sectPr>
      </w:pPr>
    </w:p>
    <w:bookmarkStart w:id="1244" w:name="pg11704_122770"/>
    <w:bookmarkEnd w:id="1244"/>
    <w:p>
      <w:pPr>
        <w:pStyle w:val="BookText"/>
      </w:pPr>
      <w:r>
        <w:rPr>
          <w:rFonts w:ascii="IRNazanin" w:hAnsi="IRNazanin" w:eastAsia="IRNazanin" w:cs="IRNazanin"/>
          <w:lang w:bidi="fa-IR"/>
          <w:color w:val="111111"/>
          <w:sz w:val="28"/>
          <w:szCs w:val="28"/>
          <w:rtl/>
        </w:rPr>
        <w:t xml:space="preserve">ساقی و المتوفی 1286 صاحب الدیوان المذکور فی ص 416 کما أشیر إلیه فی ج 3 ص 295 من فهرس المجلس. و ترجم أیضا فی (طرائق 3: 109) و (مطلع).</w:t>
      </w:r>
    </w:p>
    <w:p>
      <w:pPr>
        <w:pStyle w:val="Heading3"/>
      </w:pPr>
      <w:bookmarkStart w:id="10693" w:name="_Toc9389"/>
      <w:r>
        <w:t>8090- دیوان وجدی شیرازی‏</w:t>
      </w:r>
      <w:bookmarkEnd w:id="10693"/>
    </w:p>
    <w:p>
      <w:pPr>
        <w:pStyle w:val="BookText"/>
      </w:pPr>
      <w:r>
        <w:rPr>
          <w:rFonts w:ascii="IRNazanin" w:hAnsi="IRNazanin" w:eastAsia="IRNazanin" w:cs="IRNazanin"/>
          <w:lang w:bidi="fa-IR"/>
          <w:color w:val="111111"/>
          <w:sz w:val="28"/>
          <w:szCs w:val="28"/>
          <w:rtl/>
        </w:rPr>
        <w:t xml:space="preserve">اسمه المیرزا محمد علی المنشی بن المیر حسین خان الشیرازی الحاکم فی لارستان سنین. ترجمه المیرزا فرصت فی (عم- ص 571) و أورد غزله، و ذکر أنه کان من المعززین بشیراز و بها توفی 1291 و ترجم أیضا فی (فارس‏نامه 2: 53).</w:t>
      </w:r>
    </w:p>
    <w:p>
      <w:pPr>
        <w:pStyle w:val="Heading3"/>
      </w:pPr>
      <w:bookmarkStart w:id="10694" w:name="_Toc9390"/>
      <w:r>
        <w:t>8091- دیوان وجدی لکهنوی‏</w:t>
      </w:r>
      <w:bookmarkEnd w:id="10694"/>
    </w:p>
    <w:p>
      <w:pPr>
        <w:pStyle w:val="BookText"/>
      </w:pPr>
      <w:r>
        <w:rPr>
          <w:rFonts w:ascii="IRNazanin" w:hAnsi="IRNazanin" w:eastAsia="IRNazanin" w:cs="IRNazanin"/>
          <w:lang w:bidi="fa-IR"/>
          <w:color w:val="111111"/>
          <w:sz w:val="28"/>
          <w:szCs w:val="28"/>
          <w:rtl/>
        </w:rPr>
        <w:t xml:space="preserve">ترجمه فی (مع- ج 2 ص 528) و ذکر أن اسمه المیرزا زین العابدین، و هو من المعاصرین، و سکن فی إیران سنین و أورد، مطالع بعض غزلیاته.</w:t>
      </w:r>
    </w:p>
    <w:p>
      <w:pPr>
        <w:pStyle w:val="Heading3"/>
      </w:pPr>
      <w:bookmarkStart w:id="10695" w:name="_Toc9391"/>
      <w:r>
        <w:t>دیوان وجدی مشهدی‏</w:t>
      </w:r>
      <w:bookmarkEnd w:id="10695"/>
    </w:p>
    <w:p>
      <w:pPr>
        <w:pStyle w:val="BookText"/>
      </w:pPr>
      <w:r>
        <w:rPr>
          <w:rFonts w:ascii="IRNazanin" w:hAnsi="IRNazanin" w:eastAsia="IRNazanin" w:cs="IRNazanin"/>
          <w:lang w:bidi="fa-IR"/>
          <w:color w:val="111111"/>
          <w:sz w:val="28"/>
          <w:szCs w:val="28"/>
          <w:rtl/>
        </w:rPr>
        <w:t xml:space="preserve">راجع وجدی خراسانی.</w:t>
      </w:r>
    </w:p>
    <w:p>
      <w:pPr>
        <w:pStyle w:val="Heading3"/>
      </w:pPr>
      <w:bookmarkStart w:id="10696" w:name="_Toc9392"/>
      <w:r>
        <w:t>8092- دیوان وجدی همدانی أو شعره‏</w:t>
      </w:r>
      <w:bookmarkEnd w:id="10696"/>
    </w:p>
    <w:p>
      <w:pPr>
        <w:pStyle w:val="BookText"/>
      </w:pPr>
      <w:r>
        <w:rPr>
          <w:rFonts w:ascii="IRNazanin" w:hAnsi="IRNazanin" w:eastAsia="IRNazanin" w:cs="IRNazanin"/>
          <w:lang w:bidi="fa-IR"/>
          <w:color w:val="111111"/>
          <w:sz w:val="28"/>
          <w:szCs w:val="28"/>
          <w:rtl/>
        </w:rPr>
        <w:t xml:space="preserve">ورد شعره فی همیشه بهار.</w:t>
      </w:r>
    </w:p>
    <w:p>
      <w:pPr>
        <w:pStyle w:val="Heading3"/>
      </w:pPr>
      <w:bookmarkStart w:id="10697" w:name="_Toc9393"/>
      <w:r>
        <w:t>8093- دیوان وجهی أصفهانی‏</w:t>
      </w:r>
      <w:bookmarkEnd w:id="10697"/>
    </w:p>
    <w:p>
      <w:pPr>
        <w:pStyle w:val="BookText"/>
      </w:pPr>
      <w:r>
        <w:rPr>
          <w:rFonts w:ascii="IRNazanin" w:hAnsi="IRNazanin" w:eastAsia="IRNazanin" w:cs="IRNazanin"/>
          <w:lang w:bidi="fa-IR"/>
          <w:color w:val="111111"/>
          <w:sz w:val="28"/>
          <w:szCs w:val="28"/>
          <w:rtl/>
        </w:rPr>
        <w:t xml:space="preserve">ترجمه الصادقی فی (خص 8- ص 303) و قال هو طالب العلم و علی مشرب الصوفیة ینظم الرباعیات، و أورد له رباعیات ثلاث.</w:t>
      </w:r>
    </w:p>
    <w:p>
      <w:pPr>
        <w:pStyle w:val="Heading3"/>
      </w:pPr>
      <w:bookmarkStart w:id="10698" w:name="_Toc9394"/>
      <w:r>
        <w:t>8094- دیوان وجهی أصفهانی أو شعره‏</w:t>
      </w:r>
      <w:bookmarkEnd w:id="10698"/>
    </w:p>
    <w:p>
      <w:pPr>
        <w:pStyle w:val="BookText"/>
      </w:pPr>
      <w:r>
        <w:rPr>
          <w:rFonts w:ascii="IRNazanin" w:hAnsi="IRNazanin" w:eastAsia="IRNazanin" w:cs="IRNazanin"/>
          <w:lang w:bidi="fa-IR"/>
          <w:color w:val="111111"/>
          <w:sz w:val="28"/>
          <w:szCs w:val="28"/>
          <w:rtl/>
        </w:rPr>
        <w:t xml:space="preserve">اسمه علی أکبر بن محمد صالح بیک. ترجمه النصرآبادی فی (نر 2- ص 52) و أورد بعض أشعاره الذی أنشأه أیام کونه عنده فی نصرآباد مع درویش یوسف و غیره و فی (گلشن- ص 587) قال إنه کردی من ملازمی الشاه عباس.</w:t>
      </w:r>
    </w:p>
    <w:p>
      <w:pPr>
        <w:pStyle w:val="Heading3"/>
      </w:pPr>
      <w:bookmarkStart w:id="10699" w:name="_Toc9395"/>
      <w:r>
        <w:t>8095- دیوان وجهی تفرشی أو شعره‏</w:t>
      </w:r>
      <w:bookmarkEnd w:id="10699"/>
    </w:p>
    <w:p>
      <w:pPr>
        <w:pStyle w:val="BookText"/>
      </w:pPr>
      <w:r>
        <w:rPr>
          <w:rFonts w:ascii="IRNazanin" w:hAnsi="IRNazanin" w:eastAsia="IRNazanin" w:cs="IRNazanin"/>
          <w:lang w:bidi="fa-IR"/>
          <w:color w:val="111111"/>
          <w:sz w:val="28"/>
          <w:szCs w:val="28"/>
          <w:rtl/>
        </w:rPr>
        <w:t xml:space="preserve">أصله من تفرش، ولد بهرات و توطن الهند و تقرب عند أکبر شاه. ورد شعره فی (گلشن- ص 587).</w:t>
      </w:r>
    </w:p>
    <w:p>
      <w:pPr>
        <w:pStyle w:val="Heading3"/>
      </w:pPr>
      <w:bookmarkStart w:id="10700" w:name="_Toc9396"/>
      <w:r>
        <w:t>8096- دیوان وجهی سنجاری أو شعره‏</w:t>
      </w:r>
      <w:bookmarkEnd w:id="10700"/>
    </w:p>
    <w:p>
      <w:pPr>
        <w:pStyle w:val="BookText"/>
      </w:pPr>
      <w:r>
        <w:rPr>
          <w:rFonts w:ascii="IRNazanin" w:hAnsi="IRNazanin" w:eastAsia="IRNazanin" w:cs="IRNazanin"/>
          <w:lang w:bidi="fa-IR"/>
          <w:color w:val="111111"/>
          <w:sz w:val="28"/>
          <w:szCs w:val="28"/>
          <w:rtl/>
        </w:rPr>
        <w:t xml:space="preserve">أورد شعره معاصره فی (خص 8- ص 241).</w:t>
      </w:r>
    </w:p>
    <w:p>
      <w:pPr>
        <w:pStyle w:val="Heading3"/>
      </w:pPr>
      <w:bookmarkStart w:id="10701" w:name="_Toc9397"/>
      <w:r>
        <w:t>دیوان وجهی کرد</w:t>
      </w:r>
      <w:bookmarkEnd w:id="10701"/>
    </w:p>
    <w:p>
      <w:pPr>
        <w:pStyle w:val="BookText"/>
      </w:pPr>
      <w:r>
        <w:rPr>
          <w:rFonts w:ascii="IRNazanin" w:hAnsi="IRNazanin" w:eastAsia="IRNazanin" w:cs="IRNazanin"/>
          <w:lang w:bidi="fa-IR"/>
          <w:color w:val="111111"/>
          <w:sz w:val="28"/>
          <w:szCs w:val="28"/>
          <w:rtl/>
        </w:rPr>
        <w:t xml:space="preserve">راجع وجهی أصفهانی.</w:t>
      </w:r>
    </w:p>
    <w:p>
      <w:pPr>
        <w:pStyle w:val="Heading3"/>
      </w:pPr>
      <w:bookmarkStart w:id="10702" w:name="_Toc9398"/>
      <w:r>
        <w:t>دیوان وجهی هروی‏</w:t>
      </w:r>
      <w:bookmarkEnd w:id="10702"/>
    </w:p>
    <w:p>
      <w:pPr>
        <w:pStyle w:val="BookText"/>
      </w:pPr>
      <w:r>
        <w:rPr>
          <w:rFonts w:ascii="IRNazanin" w:hAnsi="IRNazanin" w:eastAsia="IRNazanin" w:cs="IRNazanin"/>
          <w:lang w:bidi="fa-IR"/>
          <w:color w:val="111111"/>
          <w:sz w:val="28"/>
          <w:szCs w:val="28"/>
          <w:rtl/>
        </w:rPr>
        <w:t xml:space="preserve">راجع وجهی تفرشی.</w:t>
      </w:r>
    </w:p>
    <w:p>
      <w:pPr>
        <w:pStyle w:val="Heading3"/>
      </w:pPr>
      <w:bookmarkStart w:id="10703" w:name="_Toc9399"/>
      <w:r>
        <w:t>8097- دیوان وجیه أحمدآبادی أو شعره‏</w:t>
      </w:r>
      <w:bookmarkEnd w:id="10703"/>
    </w:p>
    <w:p>
      <w:pPr>
        <w:pStyle w:val="BookText"/>
      </w:pPr>
      <w:r>
        <w:rPr>
          <w:rFonts w:ascii="IRNazanin" w:hAnsi="IRNazanin" w:eastAsia="IRNazanin" w:cs="IRNazanin"/>
          <w:lang w:bidi="fa-IR"/>
          <w:color w:val="111111"/>
          <w:sz w:val="28"/>
          <w:szCs w:val="28"/>
          <w:rtl/>
        </w:rPr>
        <w:t xml:space="preserve">ورد شعره فی (گلشن- ص 588).</w:t>
      </w:r>
    </w:p>
    <w:p>
      <w:pPr>
        <w:pStyle w:val="Heading3"/>
      </w:pPr>
      <w:bookmarkStart w:id="10704" w:name="_Toc9400"/>
      <w:r>
        <w:t>8098- دیوان وجیه بهاری أو شعره‏</w:t>
      </w:r>
      <w:bookmarkEnd w:id="10704"/>
    </w:p>
    <w:p>
      <w:pPr>
        <w:pStyle w:val="BookText"/>
      </w:pPr>
      <w:r>
        <w:rPr>
          <w:rFonts w:ascii="IRNazanin" w:hAnsi="IRNazanin" w:eastAsia="IRNazanin" w:cs="IRNazanin"/>
          <w:lang w:bidi="fa-IR"/>
          <w:color w:val="111111"/>
          <w:sz w:val="28"/>
          <w:szCs w:val="28"/>
          <w:rtl/>
        </w:rPr>
        <w:t xml:space="preserve">ورد شعره فی (گلشن- ص 587).</w:t>
      </w:r>
    </w:p>
    <w:p>
      <w:pPr>
        <w:pStyle w:val="Heading3"/>
      </w:pPr>
      <w:bookmarkStart w:id="10705" w:name="_Toc9401"/>
      <w:r>
        <w:t>8099- دیوان وجیه پنجابی أو شعره‏</w:t>
      </w:r>
      <w:bookmarkEnd w:id="10705"/>
    </w:p>
    <w:p>
      <w:pPr>
        <w:pStyle w:val="BookText"/>
      </w:pPr>
      <w:r>
        <w:rPr>
          <w:rFonts w:ascii="IRNazanin" w:hAnsi="IRNazanin" w:eastAsia="IRNazanin" w:cs="IRNazanin"/>
          <w:lang w:bidi="fa-IR"/>
          <w:color w:val="111111"/>
          <w:sz w:val="28"/>
          <w:szCs w:val="28"/>
          <w:rtl/>
        </w:rPr>
        <w:t xml:space="preserve">ورد شعره فی (گلشن- ص 587).
</w:t>
      </w:r>
    </w:p>
    <w:p>
      <w:pPr>
        <w:sectPr>
          <w:footerReference w:type="default" r:id="rId1270"/>
          <w:footnotePr>
            <w:numStart w:val="1"/>
            <w:numRestart w:val="eachPage"/>
          </w:footnotePr>
          <w:pgSz w:orient="portrait" w:w="11905.511811023622" w:h="16837.79527559055"/>
          <w:pgMar w:top="1440" w:right="1440" w:bottom="1440" w:left="1440" w:header="720" w:footer="720" w:gutter="0"/>
          <w:cols w:num="1" w:space="720"/>
        </w:sectPr>
      </w:pPr>
    </w:p>
    <w:bookmarkStart w:id="1245" w:name="pg11704_122772"/>
    <w:bookmarkEnd w:id="1245"/>
    <w:p>
      <w:pPr>
        <w:pStyle w:val="Heading3"/>
      </w:pPr>
      <w:bookmarkStart w:id="10706" w:name="_Toc9402"/>
      <w:r>
        <w:t>8100- دیوان وحدت سهرندی‏</w:t>
      </w:r>
      <w:bookmarkEnd w:id="10706"/>
    </w:p>
    <w:p>
      <w:pPr>
        <w:pStyle w:val="BookText"/>
      </w:pPr>
      <w:r>
        <w:rPr>
          <w:rFonts w:ascii="IRNazanin" w:hAnsi="IRNazanin" w:eastAsia="IRNazanin" w:cs="IRNazanin"/>
          <w:lang w:bidi="fa-IR"/>
          <w:color w:val="111111"/>
          <w:sz w:val="28"/>
          <w:szCs w:val="28"/>
          <w:rtl/>
        </w:rPr>
        <w:t xml:space="preserve">و اسمه الشیخ عبد الأحد أو عبد الواحد المعروف بشاه گل ابن محمد سعید بن الشیخ أحمد السهرندی. ترجمه قدرت فی (نتایج- ص 744) و قال مات 1126 و أورد شعره و کذا فی (روشن- ص 752). و یوجد دیوانه فی (بنگاله) کما فی فهرسها.</w:t>
      </w:r>
    </w:p>
    <w:p>
      <w:pPr>
        <w:pStyle w:val="Heading3"/>
      </w:pPr>
      <w:bookmarkStart w:id="10707" w:name="_Toc9403"/>
      <w:r>
        <w:t>8101- دیوان وحدت شیرازی‏</w:t>
      </w:r>
      <w:bookmarkEnd w:id="10707"/>
    </w:p>
    <w:p>
      <w:pPr>
        <w:pStyle w:val="BookText"/>
      </w:pPr>
      <w:r>
        <w:rPr>
          <w:rFonts w:ascii="IRNazanin" w:hAnsi="IRNazanin" w:eastAsia="IRNazanin" w:cs="IRNazanin"/>
          <w:lang w:bidi="fa-IR"/>
          <w:color w:val="111111"/>
          <w:sz w:val="28"/>
          <w:szCs w:val="28"/>
          <w:rtl/>
        </w:rPr>
        <w:t xml:space="preserve">و اسمه میرزا آقا بن غلام حسین المتخلص راغب المذکور فی ص 348. ترجم فی (عم- ص 572) و مات بابوشهر 1308.</w:t>
      </w:r>
    </w:p>
    <w:p>
      <w:pPr>
        <w:pStyle w:val="Heading3"/>
      </w:pPr>
      <w:bookmarkStart w:id="10708" w:name="_Toc9404"/>
      <w:r>
        <w:t>دیوان وحدت علی شاه‏</w:t>
      </w:r>
      <w:bookmarkEnd w:id="10708"/>
    </w:p>
    <w:p>
      <w:pPr>
        <w:pStyle w:val="BookText"/>
      </w:pPr>
      <w:r>
        <w:rPr>
          <w:rFonts w:ascii="IRNazanin" w:hAnsi="IRNazanin" w:eastAsia="IRNazanin" w:cs="IRNazanin"/>
          <w:lang w:bidi="fa-IR"/>
          <w:color w:val="111111"/>
          <w:sz w:val="28"/>
          <w:szCs w:val="28"/>
          <w:rtl/>
        </w:rPr>
        <w:t xml:space="preserve">راجع وحدت کلهر.</w:t>
      </w:r>
    </w:p>
    <w:p>
      <w:pPr>
        <w:pStyle w:val="Heading3"/>
      </w:pPr>
      <w:bookmarkStart w:id="10709" w:name="_Toc9405"/>
      <w:r>
        <w:t>8102- دیوان وحدت قمی‏</w:t>
      </w:r>
      <w:bookmarkEnd w:id="10709"/>
    </w:p>
    <w:p>
      <w:pPr>
        <w:pStyle w:val="BookText"/>
      </w:pPr>
      <w:r>
        <w:rPr>
          <w:rFonts w:ascii="IRNazanin" w:hAnsi="IRNazanin" w:eastAsia="IRNazanin" w:cs="IRNazanin"/>
          <w:lang w:bidi="fa-IR"/>
          <w:color w:val="111111"/>
          <w:sz w:val="28"/>
          <w:szCs w:val="28"/>
          <w:rtl/>
        </w:rPr>
        <w:t xml:space="preserve">و هو الحکیم الفیلسوف عبد الله بن الحکیم إسماعیل.</w:t>
      </w:r>
    </w:p>
    <w:p>
      <w:pPr>
        <w:pStyle w:val="BookText"/>
      </w:pPr>
      <w:r>
        <w:rPr>
          <w:rFonts w:ascii="IRNazanin" w:hAnsi="IRNazanin" w:eastAsia="IRNazanin" w:cs="IRNazanin"/>
          <w:lang w:bidi="fa-IR"/>
          <w:color w:val="111111"/>
          <w:sz w:val="28"/>
          <w:szCs w:val="28"/>
          <w:rtl/>
        </w:rPr>
        <w:t xml:space="preserve">ترجمه معاصره فی (نر 9 و 13 ص 364 و 478) و (حسینی- ص 361) و (روشن- ص 752) و (مسرت- ص 228). أصله من کاشان و سکن قم. کان یتخلص سابقا راغب فغیره إلی وحدت و له خط جید.</w:t>
      </w:r>
    </w:p>
    <w:p>
      <w:pPr>
        <w:pStyle w:val="Heading3"/>
      </w:pPr>
      <w:bookmarkStart w:id="10710" w:name="_Toc9406"/>
      <w:r>
        <w:t>دیوان وحدت کاشانی‏</w:t>
      </w:r>
      <w:bookmarkEnd w:id="10710"/>
    </w:p>
    <w:p>
      <w:pPr>
        <w:pStyle w:val="BookText"/>
      </w:pPr>
      <w:r>
        <w:rPr>
          <w:rFonts w:ascii="IRNazanin" w:hAnsi="IRNazanin" w:eastAsia="IRNazanin" w:cs="IRNazanin"/>
          <w:lang w:bidi="fa-IR"/>
          <w:color w:val="111111"/>
          <w:sz w:val="28"/>
          <w:szCs w:val="28"/>
          <w:rtl/>
        </w:rPr>
        <w:t xml:space="preserve">راجع وحدت قمی.</w:t>
      </w:r>
    </w:p>
    <w:p>
      <w:pPr>
        <w:pStyle w:val="Heading3"/>
      </w:pPr>
      <w:bookmarkStart w:id="10711" w:name="_Toc9407"/>
      <w:r>
        <w:t>دیوان وحدت کرمانشاهی‏</w:t>
      </w:r>
      <w:bookmarkEnd w:id="10711"/>
    </w:p>
    <w:p>
      <w:pPr>
        <w:pStyle w:val="BookText"/>
      </w:pPr>
      <w:r>
        <w:rPr>
          <w:rFonts w:ascii="IRNazanin" w:hAnsi="IRNazanin" w:eastAsia="IRNazanin" w:cs="IRNazanin"/>
          <w:lang w:bidi="fa-IR"/>
          <w:color w:val="111111"/>
          <w:sz w:val="28"/>
          <w:szCs w:val="28"/>
          <w:rtl/>
        </w:rPr>
        <w:t xml:space="preserve">راجع وحدت کلهر.</w:t>
      </w:r>
    </w:p>
    <w:p>
      <w:pPr>
        <w:pStyle w:val="Heading3"/>
      </w:pPr>
      <w:bookmarkStart w:id="10712" w:name="_Toc9408"/>
      <w:r>
        <w:t>8103- دیوان وحدت کلهر</w:t>
      </w:r>
      <w:bookmarkEnd w:id="10712"/>
    </w:p>
    <w:p>
      <w:pPr>
        <w:pStyle w:val="BookText"/>
      </w:pPr>
      <w:r>
        <w:rPr>
          <w:rFonts w:ascii="IRNazanin" w:hAnsi="IRNazanin" w:eastAsia="IRNazanin" w:cs="IRNazanin"/>
          <w:lang w:bidi="fa-IR"/>
          <w:color w:val="111111"/>
          <w:sz w:val="28"/>
          <w:szCs w:val="28"/>
          <w:rtl/>
        </w:rPr>
        <w:t xml:space="preserve">و هو طهماسب قلی خان بن رستم خان، من رؤساء إیل کلهر بکرمانشاه. کان عارفا متصوفا و توفی 1310. طبع دیوانه الشهشهانی مرة بطهران فی 37 ص فی 1350. و أخری فی 1365 فی 39 ص. ترجمه عبرت فی نامه فرهنگیان و قد یعرف بوحدت علی شاه. و لعله ناظم مثنوی أنوار قدسیة الموجود عند (الملک).</w:t>
      </w:r>
    </w:p>
    <w:p>
      <w:pPr>
        <w:pStyle w:val="Heading3"/>
      </w:pPr>
      <w:bookmarkStart w:id="10713" w:name="_Toc9409"/>
      <w:r>
        <w:t>8104- دیوان وحدت کلکته‏ای‏</w:t>
      </w:r>
      <w:bookmarkEnd w:id="10713"/>
    </w:p>
    <w:p>
      <w:pPr>
        <w:pStyle w:val="BookText"/>
      </w:pPr>
      <w:r>
        <w:rPr>
          <w:rFonts w:ascii="IRNazanin" w:hAnsi="IRNazanin" w:eastAsia="IRNazanin" w:cs="IRNazanin"/>
          <w:lang w:bidi="fa-IR"/>
          <w:color w:val="111111"/>
          <w:sz w:val="28"/>
          <w:szCs w:val="28"/>
          <w:rtl/>
        </w:rPr>
        <w:t xml:space="preserve">و هو الشیخ محمد. ترجمه معاصره فی (ض- ص 350) و (طرائق 3- ص 121). یوجد له منظومة صنعان و ترسا المذکور فی 15: 90.</w:t>
      </w:r>
    </w:p>
    <w:p>
      <w:pPr>
        <w:pStyle w:val="BookText"/>
      </w:pPr>
      <w:r>
        <w:rPr>
          <w:rFonts w:ascii="IRNazanin" w:hAnsi="IRNazanin" w:eastAsia="IRNazanin" w:cs="IRNazanin"/>
          <w:lang w:bidi="fa-IR"/>
          <w:color w:val="111111"/>
          <w:sz w:val="28"/>
          <w:szCs w:val="28"/>
          <w:rtl/>
        </w:rPr>
        <w:t xml:space="preserve">و قد زار العراق و سکن مدة ببغداد و اتصل بعرفاء عصره المیرزا أبی القاسم الذهبی و الحاج محمد جعفر کبودرآهنگی و غیرهما.</w:t>
      </w:r>
    </w:p>
    <w:p>
      <w:pPr>
        <w:pStyle w:val="Heading3"/>
      </w:pPr>
      <w:bookmarkStart w:id="10714" w:name="_Toc9410"/>
      <w:r>
        <w:t>8105- دیوان وحدتی خراسانی أو شعره‏</w:t>
      </w:r>
      <w:bookmarkEnd w:id="10714"/>
    </w:p>
    <w:p>
      <w:pPr>
        <w:pStyle w:val="BookText"/>
      </w:pPr>
      <w:r>
        <w:rPr>
          <w:rFonts w:ascii="IRNazanin" w:hAnsi="IRNazanin" w:eastAsia="IRNazanin" w:cs="IRNazanin"/>
          <w:lang w:bidi="fa-IR"/>
          <w:color w:val="111111"/>
          <w:sz w:val="28"/>
          <w:szCs w:val="28"/>
          <w:rtl/>
        </w:rPr>
        <w:t xml:space="preserve">قال معاصره علی شیر فی (مجن 3- ص 76 و 251) إنه کان مبتکرا فی الشعر و ورد شعره فی (گلشن- ص 588)</w:t>
      </w:r>
    </w:p>
    <w:p>
      <w:pPr>
        <w:pStyle w:val="Heading3"/>
      </w:pPr>
      <w:bookmarkStart w:id="10715" w:name="_Toc9411"/>
      <w:r>
        <w:t>8106- دیوان وحشت أردستانی‏</w:t>
      </w:r>
      <w:bookmarkEnd w:id="10715"/>
    </w:p>
    <w:p>
      <w:pPr>
        <w:pStyle w:val="BookText"/>
      </w:pPr>
      <w:r>
        <w:rPr>
          <w:rFonts w:ascii="IRNazanin" w:hAnsi="IRNazanin" w:eastAsia="IRNazanin" w:cs="IRNazanin"/>
          <w:lang w:bidi="fa-IR"/>
          <w:color w:val="111111"/>
          <w:sz w:val="28"/>
          <w:szCs w:val="28"/>
          <w:rtl/>
        </w:rPr>
        <w:t xml:space="preserve">جمال الدین محمد بن ضیاء الدین من سادات‏
</w:t>
      </w:r>
    </w:p>
    <w:p>
      <w:pPr>
        <w:sectPr>
          <w:footerReference w:type="default" r:id="rId1271"/>
          <w:footnotePr>
            <w:numStart w:val="1"/>
            <w:numRestart w:val="eachPage"/>
          </w:footnotePr>
          <w:pgSz w:orient="portrait" w:w="11905.511811023622" w:h="16837.79527559055"/>
          <w:pgMar w:top="1440" w:right="1440" w:bottom="1440" w:left="1440" w:header="720" w:footer="720" w:gutter="0"/>
          <w:cols w:num="1" w:space="720"/>
        </w:sectPr>
      </w:pPr>
    </w:p>
    <w:bookmarkStart w:id="1246" w:name="pg11704_122774"/>
    <w:bookmarkEnd w:id="1246"/>
    <w:p>
      <w:pPr>
        <w:pStyle w:val="BookText"/>
      </w:pPr>
      <w:r>
        <w:rPr>
          <w:rFonts w:ascii="IRNazanin" w:hAnsi="IRNazanin" w:eastAsia="IRNazanin" w:cs="IRNazanin"/>
          <w:lang w:bidi="fa-IR"/>
          <w:color w:val="111111"/>
          <w:sz w:val="28"/>
          <w:szCs w:val="28"/>
          <w:rtl/>
        </w:rPr>
        <w:t xml:space="preserve">طباطبا بأردستان. قال معاصره النصرآبادی فی (نر 9- ص 342) إنه سافر إلی الهند و رجع و تزوج ثم ماتت زوجته فرجع إلی الهند. جاء شعره فی (روشن- ص 753) و (خوش‏گو) و قد وقع فی تذکره النصرآبادی المطبوع خلط بین الرجل هذا و طغرای مشهدی المذکور فی ص 649. و جاء شعره فی (مسرت- ص 146) باسم جلال الدین و فی نگارستان سخن الشهرستانی بدل الأردستانی. و یوجد نسخه من دیوان وحشت کتبت فی 1026 فی (بنگاله).</w:t>
      </w:r>
    </w:p>
    <w:p>
      <w:pPr>
        <w:pStyle w:val="Heading3"/>
      </w:pPr>
      <w:bookmarkStart w:id="10716" w:name="_Toc9412"/>
      <w:r>
        <w:t>8107- دیوان وحشت أصفهانی أو شعره‏</w:t>
      </w:r>
      <w:bookmarkEnd w:id="10716"/>
    </w:p>
    <w:p>
      <w:pPr>
        <w:pStyle w:val="BookText"/>
      </w:pPr>
      <w:r>
        <w:rPr>
          <w:rFonts w:ascii="IRNazanin" w:hAnsi="IRNazanin" w:eastAsia="IRNazanin" w:cs="IRNazanin"/>
          <w:lang w:bidi="fa-IR"/>
          <w:color w:val="111111"/>
          <w:sz w:val="28"/>
          <w:szCs w:val="28"/>
          <w:rtl/>
        </w:rPr>
        <w:t xml:space="preserve">أورد شعره معاصره فی مقالات الشعراء- ص 826 بعنوان محمد باقر وحشت صفاهانی.</w:t>
      </w:r>
    </w:p>
    <w:p>
      <w:pPr>
        <w:pStyle w:val="Heading3"/>
      </w:pPr>
      <w:bookmarkStart w:id="10717" w:name="_Toc9413"/>
      <w:r>
        <w:t>8108- دیوان وحشت بختیاری أو شعره‏</w:t>
      </w:r>
      <w:bookmarkEnd w:id="10717"/>
    </w:p>
    <w:p>
      <w:pPr>
        <w:pStyle w:val="BookText"/>
      </w:pPr>
      <w:r>
        <w:rPr>
          <w:rFonts w:ascii="IRNazanin" w:hAnsi="IRNazanin" w:eastAsia="IRNazanin" w:cs="IRNazanin"/>
          <w:lang w:bidi="fa-IR"/>
          <w:color w:val="111111"/>
          <w:sz w:val="28"/>
          <w:szCs w:val="28"/>
          <w:rtl/>
        </w:rPr>
        <w:t xml:space="preserve">و اسمه إمام قلی أخو خلیل خان بختیاری.</w:t>
      </w:r>
    </w:p>
    <w:p>
      <w:pPr>
        <w:pStyle w:val="BookText"/>
      </w:pPr>
      <w:r>
        <w:rPr>
          <w:rFonts w:ascii="IRNazanin" w:hAnsi="IRNazanin" w:eastAsia="IRNazanin" w:cs="IRNazanin"/>
          <w:lang w:bidi="fa-IR"/>
          <w:color w:val="111111"/>
          <w:sz w:val="28"/>
          <w:szCs w:val="28"/>
          <w:rtl/>
        </w:rPr>
        <w:t xml:space="preserve">قال معاصره النصرآبادی فی (نر 2- ص 39) إنه ذو فکرة رغم إنه بختیاری. و جاء ذکره فی (تغ- ص 18) و (ض- ص 157) و (روشن- ص 754).</w:t>
      </w:r>
    </w:p>
    <w:p>
      <w:pPr>
        <w:pStyle w:val="Heading3"/>
      </w:pPr>
      <w:bookmarkStart w:id="10718" w:name="_Toc9414"/>
      <w:r>
        <w:t>8109- دیوان وحشت تهانیسری أو شعره‏</w:t>
      </w:r>
      <w:bookmarkEnd w:id="10718"/>
    </w:p>
    <w:p>
      <w:pPr>
        <w:pStyle w:val="BookText"/>
      </w:pPr>
      <w:r>
        <w:rPr>
          <w:rFonts w:ascii="IRNazanin" w:hAnsi="IRNazanin" w:eastAsia="IRNazanin" w:cs="IRNazanin"/>
          <w:lang w:bidi="fa-IR"/>
          <w:color w:val="111111"/>
          <w:sz w:val="28"/>
          <w:szCs w:val="28"/>
          <w:rtl/>
        </w:rPr>
        <w:t xml:space="preserve">و اسمه عبد الله. کان معاصرا للشیخ عبد القادر بیدل المذکور. ورد شعره فی (روشن- ص 753) عن شمع انجمن و (حسینی- ص 361).</w:t>
      </w:r>
    </w:p>
    <w:p>
      <w:pPr>
        <w:pStyle w:val="Heading3"/>
      </w:pPr>
      <w:bookmarkStart w:id="10719" w:name="_Toc9415"/>
      <w:r>
        <w:t>دیوان وحشت تهانیسری‏</w:t>
      </w:r>
      <w:bookmarkEnd w:id="10719"/>
    </w:p>
    <w:p>
      <w:pPr>
        <w:pStyle w:val="BookText"/>
      </w:pPr>
      <w:r>
        <w:rPr>
          <w:rFonts w:ascii="IRNazanin" w:hAnsi="IRNazanin" w:eastAsia="IRNazanin" w:cs="IRNazanin"/>
          <w:lang w:bidi="fa-IR"/>
          <w:color w:val="111111"/>
          <w:sz w:val="28"/>
          <w:szCs w:val="28"/>
          <w:rtl/>
        </w:rPr>
        <w:t xml:space="preserve">و اسمه عبد الواحد ترجم فی (سرخوش- ص 124) و (نتایج- ص 740) و قال هذا إنه من أحفاد الإمام الغزالی. و الظاهر أنه خلط بین عبد الله الذی قبل هذا و بین وحشت هندی محمد أمین.</w:t>
      </w:r>
    </w:p>
    <w:p>
      <w:pPr>
        <w:pStyle w:val="Heading3"/>
      </w:pPr>
      <w:bookmarkStart w:id="10720" w:name="_Toc9416"/>
      <w:r>
        <w:t>8110- دیوان وحشت کشمیری أو شعره‏</w:t>
      </w:r>
      <w:bookmarkEnd w:id="10720"/>
    </w:p>
    <w:p>
      <w:pPr>
        <w:pStyle w:val="BookText"/>
      </w:pPr>
      <w:r>
        <w:rPr>
          <w:rFonts w:ascii="IRNazanin" w:hAnsi="IRNazanin" w:eastAsia="IRNazanin" w:cs="IRNazanin"/>
          <w:lang w:bidi="fa-IR"/>
          <w:color w:val="111111"/>
          <w:sz w:val="28"/>
          <w:szCs w:val="28"/>
          <w:rtl/>
        </w:rPr>
        <w:t xml:space="preserve">و اسمه محمد شاه خان. ورد شعره فی (گلشن- ص 588).</w:t>
      </w:r>
    </w:p>
    <w:p>
      <w:pPr>
        <w:pStyle w:val="Heading3"/>
      </w:pPr>
      <w:bookmarkStart w:id="10721" w:name="_Toc9417"/>
      <w:r>
        <w:t>8111- دیوان وحشت هندی‏</w:t>
      </w:r>
      <w:bookmarkEnd w:id="10721"/>
    </w:p>
    <w:p>
      <w:pPr>
        <w:pStyle w:val="BookText"/>
      </w:pPr>
      <w:r>
        <w:rPr>
          <w:rFonts w:ascii="IRNazanin" w:hAnsi="IRNazanin" w:eastAsia="IRNazanin" w:cs="IRNazanin"/>
          <w:lang w:bidi="fa-IR"/>
          <w:color w:val="111111"/>
          <w:sz w:val="28"/>
          <w:szCs w:val="28"/>
          <w:rtl/>
        </w:rPr>
        <w:t xml:space="preserve">الشیخ محمد أمین. کان من أحفاد الإمام الغزالی کما ذکر فی (خیال- ص 308) و عنه فی ریحانة الأدب.</w:t>
      </w:r>
    </w:p>
    <w:p>
      <w:pPr>
        <w:pStyle w:val="Heading3"/>
      </w:pPr>
      <w:bookmarkStart w:id="10722" w:name="_Toc9418"/>
      <w:r>
        <w:t>8112- دیوان وحشتی آکره‏ای أو شعره‏</w:t>
      </w:r>
      <w:bookmarkEnd w:id="10722"/>
    </w:p>
    <w:p>
      <w:pPr>
        <w:pStyle w:val="BookText"/>
      </w:pPr>
      <w:r>
        <w:rPr>
          <w:rFonts w:ascii="IRNazanin" w:hAnsi="IRNazanin" w:eastAsia="IRNazanin" w:cs="IRNazanin"/>
          <w:lang w:bidi="fa-IR"/>
          <w:color w:val="111111"/>
          <w:sz w:val="28"/>
          <w:szCs w:val="28"/>
          <w:rtl/>
        </w:rPr>
        <w:t xml:space="preserve">ورد شعره فی هفت إقلیم و (خوش‏گو).</w:t>
      </w:r>
    </w:p>
    <w:p>
      <w:pPr>
        <w:pStyle w:val="Heading3"/>
      </w:pPr>
      <w:bookmarkStart w:id="10723" w:name="_Toc9419"/>
      <w:r>
        <w:t>8113- دیوان وحشتی جوشقانی أو شعره‏</w:t>
      </w:r>
      <w:bookmarkEnd w:id="10723"/>
    </w:p>
    <w:p>
      <w:pPr>
        <w:pStyle w:val="BookText"/>
      </w:pPr>
      <w:r>
        <w:rPr>
          <w:rFonts w:ascii="IRNazanin" w:hAnsi="IRNazanin" w:eastAsia="IRNazanin" w:cs="IRNazanin"/>
          <w:lang w:bidi="fa-IR"/>
          <w:color w:val="111111"/>
          <w:sz w:val="28"/>
          <w:szCs w:val="28"/>
          <w:rtl/>
        </w:rPr>
        <w:t xml:space="preserve">من شعراء کاشان. ذکر الصادقی فی (خص 8- ص 223) شعره و قوة جسمه و کذا فی همیشه بهار. و لعله الذی ذکره قدرت فی (نتایج- ص 736) بعنوان وحشی کاشانی و قال تلمذ علی محتشم و جاء إلی‏
</w:t>
      </w:r>
    </w:p>
    <w:p>
      <w:pPr>
        <w:sectPr>
          <w:footerReference w:type="default" r:id="rId1272"/>
          <w:footnotePr>
            <w:numStart w:val="1"/>
            <w:numRestart w:val="eachPage"/>
          </w:footnotePr>
          <w:pgSz w:orient="portrait" w:w="11905.511811023622" w:h="16837.79527559055"/>
          <w:pgMar w:top="1440" w:right="1440" w:bottom="1440" w:left="1440" w:header="720" w:footer="720" w:gutter="0"/>
          <w:cols w:num="1" w:space="720"/>
        </w:sectPr>
      </w:pPr>
    </w:p>
    <w:bookmarkStart w:id="1247" w:name="pg11704_122776"/>
    <w:bookmarkEnd w:id="1247"/>
    <w:p>
      <w:pPr>
        <w:pStyle w:val="BookText"/>
      </w:pPr>
      <w:r>
        <w:rPr>
          <w:rFonts w:ascii="IRNazanin" w:hAnsi="IRNazanin" w:eastAsia="IRNazanin" w:cs="IRNazanin"/>
          <w:lang w:bidi="fa-IR"/>
          <w:color w:val="111111"/>
          <w:sz w:val="28"/>
          <w:szCs w:val="28"/>
          <w:rtl/>
        </w:rPr>
        <w:t xml:space="preserve">الهند و توفی 1013.</w:t>
      </w:r>
    </w:p>
    <w:p>
      <w:pPr>
        <w:pStyle w:val="Heading3"/>
      </w:pPr>
      <w:bookmarkStart w:id="10724" w:name="_Toc9420"/>
      <w:r>
        <w:t>8114- دیوان وحشتی عظیم‏آبادی‏</w:t>
      </w:r>
      <w:bookmarkEnd w:id="10724"/>
    </w:p>
    <w:p>
      <w:pPr>
        <w:pStyle w:val="BookText"/>
      </w:pPr>
      <w:r>
        <w:rPr>
          <w:rFonts w:ascii="IRNazanin" w:hAnsi="IRNazanin" w:eastAsia="IRNazanin" w:cs="IRNazanin"/>
          <w:lang w:bidi="fa-IR"/>
          <w:color w:val="111111"/>
          <w:sz w:val="28"/>
          <w:szCs w:val="28"/>
          <w:rtl/>
        </w:rPr>
        <w:t xml:space="preserve">و اسمه شاه بخشش حسین ورد شعره فی (گلشن- ص 588) و نقل عن دیوانه.</w:t>
      </w:r>
    </w:p>
    <w:p>
      <w:pPr>
        <w:pStyle w:val="Heading3"/>
      </w:pPr>
      <w:bookmarkStart w:id="10725" w:name="_Toc9421"/>
      <w:r>
        <w:t>8115- دیوان وحشی کاکوروی أو شعره‏</w:t>
      </w:r>
      <w:bookmarkEnd w:id="10725"/>
    </w:p>
    <w:p>
      <w:pPr>
        <w:pStyle w:val="BookText"/>
      </w:pPr>
      <w:r>
        <w:rPr>
          <w:rFonts w:ascii="IRNazanin" w:hAnsi="IRNazanin" w:eastAsia="IRNazanin" w:cs="IRNazanin"/>
          <w:lang w:bidi="fa-IR"/>
          <w:color w:val="111111"/>
          <w:sz w:val="28"/>
          <w:szCs w:val="28"/>
          <w:rtl/>
        </w:rPr>
        <w:t xml:space="preserve">ورد شعره فی (گلشن- ص 589)</w:t>
      </w:r>
    </w:p>
    <w:p>
      <w:pPr>
        <w:pStyle w:val="Heading3"/>
      </w:pPr>
      <w:bookmarkStart w:id="10726" w:name="_Toc9422"/>
      <w:r>
        <w:t>8116- دیوان وحشی البافقی‏</w:t>
      </w:r>
      <w:bookmarkEnd w:id="10726"/>
    </w:p>
    <w:p>
      <w:pPr>
        <w:pStyle w:val="BookText"/>
      </w:pPr>
      <w:r>
        <w:rPr>
          <w:rFonts w:ascii="IRNazanin" w:hAnsi="IRNazanin" w:eastAsia="IRNazanin" w:cs="IRNazanin"/>
          <w:lang w:bidi="fa-IR"/>
          <w:color w:val="111111"/>
          <w:sz w:val="28"/>
          <w:szCs w:val="28"/>
          <w:rtl/>
        </w:rPr>
        <w:t xml:space="preserve">المولد الیزدی من شعراء عصر الشاه طهماسب و من تلامیذ شرف الدین علی الیزدی البافقی یظهر من تقی الدین الأوحدی فی تذکره عرفات أن اسمه کمال الدین، و ادعی أنه جمع دیوان وحشی فی تسعة آلاف بیت ترجم فی (خص 8- ص 141) و ذکر أن له مثنوی فی جواب خسرو و شیرین لکنه لم یتمه و لو تم لکان من الآیات، ثم أورد بعضه و أورد غزلا له و جملة</w:t>
      </w:r>
    </w:p>
    <w:p>
      <w:pPr>
        <w:pStyle w:val="BookText"/>
      </w:pPr>
      <w:r>
        <w:rPr>
          <w:rFonts w:ascii="IRNazanin" w:hAnsi="IRNazanin" w:eastAsia="IRNazanin" w:cs="IRNazanin"/>
          <w:lang w:bidi="fa-IR"/>
          <w:color w:val="111111"/>
          <w:sz w:val="28"/>
          <w:szCs w:val="28"/>
          <w:rtl/>
        </w:rPr>
        <w:t xml:space="preserve">من أشعاره أقول سمی مثنویة فرهاد و شیرین و نسخه منه فی مکتبة (المجلس) و معه مثنوی ناظر و منظور و مثنوی خلد برین و قد فصل فی فهرس المکتبة ج 3 ص 608 خصوصیات ما فی المجلد من شعره و فی مکتبة (المجلس) أیضا متمم مثنوی فرهاد و شیرین فإن وحشی توفی 991 قبل إتمامه، فألحق به وصال الشیرازی (1800) بیتا طبع معه 1303 و بعد لم یتم فنظم صابر الشیرازی من مقطع وصال (360) بیت و هو لم یطبع بعد و یوجد فی (المجلس) کما فی فهرسها 3: 522 و ترجمه آیتی فی تاریخ یزد مفصلا و نقل عن تقی الدین الأوحدی ما نظمه فی تاریخ وفاته [- 991 وفات وحشی مسکین‏] و طبع دیوان وحشی فی طهران 1347 و فی مقدمه طبعه ترجمه أحواله و تفصیل منظوماته من الغزلیات و الرباعیات و القصائد و المثنویات لإسماعیل حمید الملک فی 514 ص ثم فی 1384 مع مقدمه حسین نخعی فی 117+ 755 ص و طبع فرهاد و شیرین مع مقدمه رشید یاسمی و تصویر وحشی و تصویر قبره فی 1346، و خلد برین فی 1349 فی 178 ص و أرخ وفاته النصرآبادی فی (نر 13- ص 475) و نقل فی میخانه- ص 152 عن أحد المعتمدین أنه سئل وحشی عن اسمه و تخلصه فقال اسمی شمس الدین محمد ترکت یزد و سکنت کاشان معلما للأطفال، و لم أنظم الشعر و أخی کان قبلی شاعرا یمدح محمد سلطان حاکم البلد و یتخلص وحشی، فنظمت شعرا فسمعه الحاکم فطلبنی و خاطبنی وحشی فتخلصت به و أوردت أشعار أخی وحشی فی‏
</w:t>
      </w:r>
    </w:p>
    <w:p>
      <w:pPr>
        <w:sectPr>
          <w:footerReference w:type="default" r:id="rId1273"/>
          <w:footnotePr>
            <w:numStart w:val="1"/>
            <w:numRestart w:val="eachPage"/>
          </w:footnotePr>
          <w:pgSz w:orient="portrait" w:w="11905.511811023622" w:h="16837.79527559055"/>
          <w:pgMar w:top="1440" w:right="1440" w:bottom="1440" w:left="1440" w:header="720" w:footer="720" w:gutter="0"/>
          <w:cols w:num="1" w:space="720"/>
        </w:sectPr>
      </w:pPr>
    </w:p>
    <w:bookmarkStart w:id="1248" w:name="pg11704_122777"/>
    <w:bookmarkEnd w:id="1248"/>
    <w:p>
      <w:pPr>
        <w:pStyle w:val="BookText"/>
      </w:pPr>
      <w:r>
        <w:rPr>
          <w:rFonts w:ascii="IRNazanin" w:hAnsi="IRNazanin" w:eastAsia="IRNazanin" w:cs="IRNazanin"/>
          <w:lang w:bidi="fa-IR"/>
          <w:color w:val="111111"/>
          <w:sz w:val="28"/>
          <w:szCs w:val="28"/>
          <w:rtl/>
        </w:rPr>
        <w:t xml:space="preserve">دیوانی و حذفت منها شعر التخلص فکلما یری فی دیوانی شعر بدون تخلص فهو لأخی هذا ما قاله صاحب میخانه و قد مر أخوه مرادی یزدی فی ص 1026 و ترجم فی هفت إقلیم و (حسینی- 385) و الروضة الصفویة و (تش- ص 121) و (نتایج- ص 733) و (خوش‏گو) و یوجد له قسمت‏نامه و ناظر و منظور و باقی منظوماته عند (الملک) و (فخر الدین) و (سپهسالار- 2913) کما فی فهرسها 4: 66 و غیرها</w:t>
      </w:r>
    </w:p>
    <w:p>
      <w:pPr>
        <w:pStyle w:val="Heading3"/>
      </w:pPr>
      <w:bookmarkStart w:id="10727" w:name="_Toc9423"/>
      <w:r>
        <w:t>8117- دیوان وحشی بیرجندی‏</w:t>
      </w:r>
      <w:bookmarkEnd w:id="10727"/>
    </w:p>
    <w:p>
      <w:pPr>
        <w:pStyle w:val="BookText"/>
      </w:pPr>
      <w:r>
        <w:rPr>
          <w:rFonts w:ascii="IRNazanin" w:hAnsi="IRNazanin" w:eastAsia="IRNazanin" w:cs="IRNazanin"/>
          <w:lang w:bidi="fa-IR"/>
          <w:color w:val="111111"/>
          <w:sz w:val="28"/>
          <w:szCs w:val="28"/>
          <w:rtl/>
        </w:rPr>
        <w:t xml:space="preserve">و اسمه آخوند ملا محمد حسین صاحب کار کان نائب الحکومة ببلدة زیرکوه ترجمه معاصره آیتی فی (بهارستان- ص 334) و قال جمع عبد الکریم خیام دیوانه فی خمسة آلاف بیت‏</w:t>
      </w:r>
    </w:p>
    <w:p>
      <w:pPr>
        <w:pStyle w:val="Heading3"/>
      </w:pPr>
      <w:bookmarkStart w:id="10728" w:name="_Toc9424"/>
      <w:r>
        <w:t>8118- دیوان وحشی تبریزی‏</w:t>
      </w:r>
      <w:bookmarkEnd w:id="10728"/>
    </w:p>
    <w:p>
      <w:pPr>
        <w:pStyle w:val="BookText"/>
      </w:pPr>
      <w:r>
        <w:rPr>
          <w:rFonts w:ascii="IRNazanin" w:hAnsi="IRNazanin" w:eastAsia="IRNazanin" w:cs="IRNazanin"/>
          <w:lang w:bidi="fa-IR"/>
          <w:color w:val="111111"/>
          <w:sz w:val="28"/>
          <w:szCs w:val="28"/>
          <w:rtl/>
        </w:rPr>
        <w:t xml:space="preserve">طبع فی بمبئی و نسخه منه فی مکتبة لعله لی بأستانبول کما فی فهرسها و حدثنی السید محمد باقر المدعو بحاج آقا ابن السید أسد الله بن السید حجة الإسلام الأصفهانی بوجود نسخه منه بمکتبته فی أصفهان‏</w:t>
      </w:r>
    </w:p>
    <w:p>
      <w:pPr>
        <w:pStyle w:val="Heading3"/>
      </w:pPr>
      <w:bookmarkStart w:id="10729" w:name="_Toc9425"/>
      <w:r>
        <w:t>دیوان وحشی جوشقانی‏</w:t>
      </w:r>
      <w:bookmarkEnd w:id="10729"/>
    </w:p>
    <w:p>
      <w:pPr>
        <w:pStyle w:val="BookText"/>
      </w:pPr>
      <w:r>
        <w:rPr>
          <w:rFonts w:ascii="IRNazanin" w:hAnsi="IRNazanin" w:eastAsia="IRNazanin" w:cs="IRNazanin"/>
          <w:lang w:bidi="fa-IR"/>
          <w:color w:val="111111"/>
          <w:sz w:val="28"/>
          <w:szCs w:val="28"/>
          <w:rtl/>
        </w:rPr>
        <w:t xml:space="preserve">راجع وحشتی جوشقانی‏</w:t>
      </w:r>
    </w:p>
    <w:p>
      <w:pPr>
        <w:pStyle w:val="Heading3"/>
      </w:pPr>
      <w:bookmarkStart w:id="10730" w:name="_Toc9426"/>
      <w:r>
        <w:t>8119- دیوان وحشی فرخ‏آبادی أو شعره‏</w:t>
      </w:r>
      <w:bookmarkEnd w:id="10730"/>
    </w:p>
    <w:p>
      <w:pPr>
        <w:pStyle w:val="BookText"/>
      </w:pPr>
      <w:r>
        <w:rPr>
          <w:rFonts w:ascii="IRNazanin" w:hAnsi="IRNazanin" w:eastAsia="IRNazanin" w:cs="IRNazanin"/>
          <w:lang w:bidi="fa-IR"/>
          <w:color w:val="111111"/>
          <w:sz w:val="28"/>
          <w:szCs w:val="28"/>
          <w:rtl/>
        </w:rPr>
        <w:t xml:space="preserve">و اسمه منشی بشارت علی ورد شعره فی (گلشن- ص 589)</w:t>
      </w:r>
    </w:p>
    <w:p>
      <w:pPr>
        <w:pStyle w:val="Heading3"/>
      </w:pPr>
      <w:bookmarkStart w:id="10731" w:name="_Toc9427"/>
      <w:r>
        <w:t>دیوان وحشی کاشانی‏</w:t>
      </w:r>
      <w:bookmarkEnd w:id="10731"/>
    </w:p>
    <w:p>
      <w:pPr>
        <w:pStyle w:val="BookText"/>
      </w:pPr>
      <w:r>
        <w:rPr>
          <w:rFonts w:ascii="IRNazanin" w:hAnsi="IRNazanin" w:eastAsia="IRNazanin" w:cs="IRNazanin"/>
          <w:lang w:bidi="fa-IR"/>
          <w:color w:val="111111"/>
          <w:sz w:val="28"/>
          <w:szCs w:val="28"/>
          <w:rtl/>
        </w:rPr>
        <w:t xml:space="preserve">راجع وحشتی جوشقانی‏</w:t>
      </w:r>
    </w:p>
    <w:p>
      <w:pPr>
        <w:pStyle w:val="Heading3"/>
      </w:pPr>
      <w:bookmarkStart w:id="10732" w:name="_Toc9428"/>
      <w:r>
        <w:t>8120- دیوان وحید تبریزی‏</w:t>
      </w:r>
      <w:bookmarkEnd w:id="10732"/>
    </w:p>
    <w:p>
      <w:pPr>
        <w:pStyle w:val="BookText"/>
      </w:pPr>
      <w:r>
        <w:rPr>
          <w:rFonts w:ascii="IRNazanin" w:hAnsi="IRNazanin" w:eastAsia="IRNazanin" w:cs="IRNazanin"/>
          <w:lang w:bidi="fa-IR"/>
          <w:color w:val="111111"/>
          <w:sz w:val="28"/>
          <w:szCs w:val="28"/>
          <w:rtl/>
        </w:rPr>
        <w:t xml:space="preserve">و هو مؤلف بدائع الصنائع و الجمع المختصر المذکوران فی محلهما الفهما لابن أخیه و قد خلط فی خلاصة الأشعار بینه و بین وحیدی قمی الآتی و منه أخذ فی (دجا- ص 393) و فهرس سپهسالار ج 2 ص 440 و مر له فی 15: 258 رسالة العروض الموجودة عند الدکتور کیا و ألفت و (سپهسالار- 6807) و یأتی له مفتاح البدائع‏</w:t>
      </w:r>
    </w:p>
    <w:p>
      <w:pPr>
        <w:pStyle w:val="Heading3"/>
      </w:pPr>
      <w:bookmarkStart w:id="10733" w:name="_Toc9429"/>
      <w:r>
        <w:t>8121- دیوان وحید دستگردی‏</w:t>
      </w:r>
      <w:bookmarkEnd w:id="10733"/>
    </w:p>
    <w:p>
      <w:pPr>
        <w:pStyle w:val="BookText"/>
      </w:pPr>
      <w:r>
        <w:rPr>
          <w:rFonts w:ascii="IRNazanin" w:hAnsi="IRNazanin" w:eastAsia="IRNazanin" w:cs="IRNazanin"/>
          <w:lang w:bidi="fa-IR"/>
          <w:color w:val="111111"/>
          <w:sz w:val="28"/>
          <w:szCs w:val="28"/>
          <w:rtl/>
        </w:rPr>
        <w:t xml:space="preserve">و اسمه حسن بن قاسم ترجمه ایزد گشسب فی نامه سخنوران ص 144 و فی أدبیات معاصر- ص 940 فذکرا أنه ولد 1298 فی دستگردجی من محال أصفهان و هاجر إلیها و له خمسة عشر عاما و اشتغل هناک بالمنقول و المعقول عند أساتیذهما و هاجر إلی طهران فی أوائل المشروطیة و نشر بها مجلة أرمغان و قد خرج منها اثنان و عشرون مجلدا حین توفی 1361 و له غیر دیوانه‏
</w:t>
      </w:r>
    </w:p>
    <w:p>
      <w:pPr>
        <w:sectPr>
          <w:footerReference w:type="default" r:id="rId1274"/>
          <w:footnotePr>
            <w:numStart w:val="1"/>
            <w:numRestart w:val="eachPage"/>
          </w:footnotePr>
          <w:pgSz w:orient="portrait" w:w="11905.511811023622" w:h="16837.79527559055"/>
          <w:pgMar w:top="1440" w:right="1440" w:bottom="1440" w:left="1440" w:header="720" w:footer="720" w:gutter="0"/>
          <w:cols w:num="1" w:space="720"/>
        </w:sectPr>
      </w:pPr>
    </w:p>
    <w:bookmarkStart w:id="1249" w:name="pg11704_122780"/>
    <w:bookmarkEnd w:id="1249"/>
    <w:p>
      <w:pPr>
        <w:pStyle w:val="BookText"/>
      </w:pPr>
      <w:r>
        <w:rPr>
          <w:rFonts w:ascii="IRNazanin" w:hAnsi="IRNazanin" w:eastAsia="IRNazanin" w:cs="IRNazanin"/>
          <w:lang w:bidi="fa-IR"/>
          <w:color w:val="111111"/>
          <w:sz w:val="28"/>
          <w:szCs w:val="28"/>
          <w:rtl/>
        </w:rPr>
        <w:t xml:space="preserve">منظومة ره آورد فی جزءین، و سرگذشت أردشیر و هما مطبوعان و طبع کثیر من شعره فی مجلدات أرمغان و أحسن أشعاره ما نظمه حین مهاجرته من طهران إلی إستانبول فی الحرب العامة الأولی و ترجم فی مجلة یادگار 2: 5: 65 و (شعرای أصفهان:</w:t>
      </w:r>
    </w:p>
    <w:p>
      <w:pPr>
        <w:pStyle w:val="BookText"/>
      </w:pPr>
      <w:r>
        <w:rPr>
          <w:rFonts w:ascii="Times New Roman" w:hAnsi="Times New Roman" w:eastAsia="Times New Roman" w:cs="Times New Roman"/>
          <w:lang w:val="en-US" w:bidi="en-US"/>
          <w:color w:val="111111"/>
          <w:sz w:val="28"/>
          <w:szCs w:val="28"/>
          <w:rtl/>
        </w:rPr>
        <w:t xml:space="preserve">526.</w:t>
      </w:r>
    </w:p>
    <w:p>
      <w:pPr>
        <w:pStyle w:val="BookText"/>
      </w:pPr>
      <w:r>
        <w:rPr>
          <w:rFonts w:ascii="IRNazanin" w:hAnsi="IRNazanin" w:eastAsia="IRNazanin" w:cs="IRNazanin"/>
          <w:lang w:bidi="fa-IR"/>
          <w:color w:val="111111"/>
          <w:sz w:val="28"/>
          <w:szCs w:val="28"/>
          <w:rtl/>
        </w:rPr>
        <w:t xml:space="preserve">و فی (سخنور نامی 1: 237)</w:t>
      </w:r>
    </w:p>
    <w:p>
      <w:pPr>
        <w:pStyle w:val="Heading3"/>
      </w:pPr>
      <w:bookmarkStart w:id="10734" w:name="_Toc9430"/>
      <w:r>
        <w:t>8122- دیوان وحید فارسی‏</w:t>
      </w:r>
      <w:bookmarkEnd w:id="10734"/>
    </w:p>
    <w:p>
      <w:pPr>
        <w:pStyle w:val="BookText"/>
      </w:pPr>
      <w:r>
        <w:rPr>
          <w:rFonts w:ascii="IRNazanin" w:hAnsi="IRNazanin" w:eastAsia="IRNazanin" w:cs="IRNazanin"/>
          <w:lang w:bidi="fa-IR"/>
          <w:color w:val="111111"/>
          <w:sz w:val="28"/>
          <w:szCs w:val="28"/>
          <w:rtl/>
        </w:rPr>
        <w:t xml:space="preserve">فی المراثی رأیته عند (السبزواری بالکاظمیة) تاریخ کتابته 1289</w:t>
      </w:r>
    </w:p>
    <w:p>
      <w:pPr>
        <w:pStyle w:val="Heading3"/>
      </w:pPr>
      <w:bookmarkStart w:id="10735" w:name="_Toc9431"/>
      <w:r>
        <w:t>8123- دیوان وحید قزوینی‏</w:t>
      </w:r>
      <w:bookmarkEnd w:id="10735"/>
    </w:p>
    <w:p>
      <w:pPr>
        <w:pStyle w:val="BookText"/>
      </w:pPr>
      <w:r>
        <w:rPr>
          <w:rFonts w:ascii="IRNazanin" w:hAnsi="IRNazanin" w:eastAsia="IRNazanin" w:cs="IRNazanin"/>
          <w:lang w:bidi="fa-IR"/>
          <w:color w:val="111111"/>
          <w:sz w:val="28"/>
          <w:szCs w:val="28"/>
          <w:rtl/>
        </w:rPr>
        <w:t xml:space="preserve">هو المیرزا محمد طاهر الوحید الشریف مجلس نویس و وقایع‏نگار ابن محمد حسین خان القزوینی- مؤلف مرآة الإعجاز فی 1066 باسم الشاه عباس الثانی- ذکر النصرآبادی فی (نر 2- ص 17- 18) خدماته لمیرزا صالح صاحب التوجیه، ثم وزارته لمیرزا تقی سارو خان المقتول 1055 ثم وزارته لخلیفة سلطان المتوفی 1064 و الملقب منه ب مجلس نویس ثم صار وزیر الشاه عباس الثانی و ابنه الشاه سلیمان ثم عزل و جاء مکانه الشیخ علی خان زنگنه خمسة عشر سنة إلی أن مات فی 1101 و عادت الوزارة إلی الوحید و بقی إلی السنة الثانیة بعد موت الشاه سلیمان و مات فی 1112 قال و دیوانه فی ثلاثین ألف بیت و قال هدایت فی روضة الصفا الناصری- ج 8 و (مع 2: 50) أن شعره فارسی و ترکی و عربی و یبلغ التسعین ألف بیت و هو والد أبی محمد المیرزا محمد حسین بن محمد طاهر مؤلف شرح شواهد مجمع البیان الذی طبعه المیرزا باقر بن محمد حسین بن الشیخ زین العابدین المازندرانی و مر الإنشاءات الفارسیة له فی ج 2 ص 394 و یوجد له مثنوی سه رنگ فی (سپهسالار- 143) و گلزار عباسی عند صدر هاشمی انتقلت إلی جامعة أصفهان، و نسخه من دیوانه کتبت فی 1181 موجودة فی (بنگاله) و نسخه أخری فی المکتبة المرکزیة لجامعة طهران برقم 4344 ذکرت فی فهرسها ج 13 ص 3300 لکن مؤلف الفهرست نسبها إلی رضوان و نسخه أخری من کلیاته فی (المجلس) کما فی (فهرسها 3: 617- 620) تشتمل علی مثنویات خلوت راز فی 2200 بیت و ناز و نیاز فی 2200 بیت و عاشق و معشوق فی 1300 بیت و فتح‏نامه قندهار فی 460 بیتا و آلات جنگ فی 800 بیت و نرد فی 60 بیتا و طنبور فی 68 بیتا
</w:t>
      </w:r>
    </w:p>
    <w:p>
      <w:pPr>
        <w:sectPr>
          <w:footerReference w:type="default" r:id="rId1275"/>
          <w:footnotePr>
            <w:numStart w:val="1"/>
            <w:numRestart w:val="eachPage"/>
          </w:footnotePr>
          <w:pgSz w:orient="portrait" w:w="11905.511811023622" w:h="16837.79527559055"/>
          <w:pgMar w:top="1440" w:right="1440" w:bottom="1440" w:left="1440" w:header="720" w:footer="720" w:gutter="0"/>
          <w:cols w:num="1" w:space="720"/>
        </w:sectPr>
      </w:pPr>
    </w:p>
    <w:bookmarkStart w:id="1250" w:name="pg11704_122781"/>
    <w:bookmarkEnd w:id="1250"/>
    <w:p>
      <w:pPr>
        <w:pStyle w:val="BookText"/>
      </w:pPr>
      <w:r>
        <w:rPr>
          <w:rFonts w:ascii="IRNazanin" w:hAnsi="IRNazanin" w:eastAsia="IRNazanin" w:cs="IRNazanin"/>
          <w:lang w:bidi="fa-IR"/>
          <w:color w:val="111111"/>
          <w:sz w:val="28"/>
          <w:szCs w:val="28"/>
          <w:rtl/>
        </w:rPr>
        <w:t xml:space="preserve">و عمارت شاهی فی 60 بیتا و همایون‏تپه فی 60 بیتا و گلزار عباسی فی 680 بیتا ثم باقی دیوانه و ترجم الوحید القزوینی فی (نتایج- ص 740) و (حسینی- ص 359) و تذکره شوشتر ص 139 و الحزین ص 46 و (مع 2 ص 50) و (نر- ص 17- 18) و (سرو- ص 132) و همیشه بهار و (سرخوش- ص 119) و (مسرت- ص 551) و المستر براون 4: 175</w:t>
      </w:r>
    </w:p>
    <w:p>
      <w:pPr>
        <w:pStyle w:val="Heading3"/>
      </w:pPr>
      <w:bookmarkStart w:id="10736" w:name="_Toc9432"/>
      <w:r>
        <w:t>8124- دیوان وحید کلکته‏ای‏</w:t>
      </w:r>
      <w:bookmarkEnd w:id="10736"/>
    </w:p>
    <w:p>
      <w:pPr>
        <w:pStyle w:val="BookText"/>
      </w:pPr>
      <w:r>
        <w:rPr>
          <w:rFonts w:ascii="IRNazanin" w:hAnsi="IRNazanin" w:eastAsia="IRNazanin" w:cs="IRNazanin"/>
          <w:lang w:bidi="fa-IR"/>
          <w:color w:val="111111"/>
          <w:sz w:val="28"/>
          <w:szCs w:val="28"/>
          <w:rtl/>
        </w:rPr>
        <w:t xml:space="preserve">و هو المولوی أبو المعالی محمد عبد الرءوف ابن المنشی أحمد علی تلمیذ ألفت حسین له مثنوی تاج سخن فی 400 بیت کما فی هفت آسمان- ص 167</w:t>
      </w:r>
    </w:p>
    <w:p>
      <w:pPr>
        <w:pStyle w:val="Heading3"/>
      </w:pPr>
      <w:bookmarkStart w:id="10737" w:name="_Toc9433"/>
      <w:r>
        <w:t>8125- دیوان وحیدی قمی أو شعره‏</w:t>
      </w:r>
      <w:bookmarkEnd w:id="10737"/>
    </w:p>
    <w:p>
      <w:pPr>
        <w:pStyle w:val="BookText"/>
      </w:pPr>
      <w:r>
        <w:rPr>
          <w:rFonts w:ascii="IRNazanin" w:hAnsi="IRNazanin" w:eastAsia="IRNazanin" w:cs="IRNazanin"/>
          <w:lang w:bidi="fa-IR"/>
          <w:color w:val="111111"/>
          <w:sz w:val="28"/>
          <w:szCs w:val="28"/>
          <w:rtl/>
        </w:rPr>
        <w:t xml:space="preserve">کان من أقارب مولانا گلخنی. جاء إلی هرات و ذکرهما الفخری فی (مجتس 6- ص 161) و قال فی (تس 5- ص 126) إن بینه و بین حیرتی هروی المذکور فی ص 276 مهاجاة رکیکة و سافر إلی گیلان و مات بها فی 942 و له مثنوی</w:t>
      </w:r>
    </w:p>
    <w:p>
      <w:pPr>
        <w:pStyle w:val="BookText"/>
      </w:pPr>
      <w:r>
        <w:rPr>
          <w:rFonts w:ascii="IRNazanin" w:hAnsi="IRNazanin" w:eastAsia="IRNazanin" w:cs="IRNazanin"/>
          <w:lang w:bidi="fa-IR"/>
          <w:color w:val="111111"/>
          <w:sz w:val="28"/>
          <w:szCs w:val="28"/>
          <w:rtl/>
        </w:rPr>
        <w:t xml:space="preserve">شهرانگیز فی حق تبریز. و قد وقع خلط فی خلاصة الأشعار بین الرجل و بین وحید التبریزی و قال إنهما متحدان، کان أصله من تبریز و لسکناه بقم نسب إلیه کما نقل عنه فی (دجا- ص 393) و ترجم فی هفت إقلیم و (گلشن- ص 589) و (مسرت- ص 167).</w:t>
      </w:r>
    </w:p>
    <w:p>
      <w:pPr>
        <w:pStyle w:val="Heading3"/>
      </w:pPr>
      <w:bookmarkStart w:id="10738" w:name="_Toc9434"/>
      <w:r>
        <w:t>8126- دیوان وداد دهلوی أو شعره‏</w:t>
      </w:r>
      <w:bookmarkEnd w:id="10738"/>
    </w:p>
    <w:p>
      <w:pPr>
        <w:pStyle w:val="BookText"/>
      </w:pPr>
      <w:r>
        <w:rPr>
          <w:rFonts w:ascii="IRNazanin" w:hAnsi="IRNazanin" w:eastAsia="IRNazanin" w:cs="IRNazanin"/>
          <w:lang w:bidi="fa-IR"/>
          <w:color w:val="111111"/>
          <w:sz w:val="28"/>
          <w:szCs w:val="28"/>
          <w:rtl/>
        </w:rPr>
        <w:t xml:space="preserve">لمیرزا محمد زمان المعروف بسلیمان علی خان.</w:t>
      </w:r>
    </w:p>
    <w:p>
      <w:pPr>
        <w:pStyle w:val="BookText"/>
      </w:pPr>
      <w:r>
        <w:rPr>
          <w:rFonts w:ascii="IRNazanin" w:hAnsi="IRNazanin" w:eastAsia="IRNazanin" w:cs="IRNazanin"/>
          <w:lang w:bidi="fa-IR"/>
          <w:color w:val="111111"/>
          <w:sz w:val="28"/>
          <w:szCs w:val="28"/>
          <w:rtl/>
        </w:rPr>
        <w:t xml:space="preserve">سکن دهلی فی عهد أحمد شاه پادشاه. ورد شعره فی (گلشن- ص 589).</w:t>
      </w:r>
    </w:p>
    <w:p>
      <w:pPr>
        <w:pStyle w:val="Heading3"/>
      </w:pPr>
      <w:bookmarkStart w:id="10739" w:name="_Toc9435"/>
      <w:r>
        <w:t>8127- دیوان وداعی بلخی أو شعره‏</w:t>
      </w:r>
      <w:bookmarkEnd w:id="10739"/>
    </w:p>
    <w:p>
      <w:pPr>
        <w:pStyle w:val="BookText"/>
      </w:pPr>
      <w:r>
        <w:rPr>
          <w:rFonts w:ascii="IRNazanin" w:hAnsi="IRNazanin" w:eastAsia="IRNazanin" w:cs="IRNazanin"/>
          <w:lang w:bidi="fa-IR"/>
          <w:color w:val="111111"/>
          <w:sz w:val="28"/>
          <w:szCs w:val="28"/>
          <w:rtl/>
        </w:rPr>
        <w:t xml:space="preserve">کان من الصعالیک (نمدپوشان) ترجمه علی شیر فی (مجن 3 ص 67 و 241) و (گلشن- ص 590) و (تس 5- ص 141).</w:t>
      </w:r>
    </w:p>
    <w:p>
      <w:pPr>
        <w:pStyle w:val="Heading3"/>
      </w:pPr>
      <w:bookmarkStart w:id="10740" w:name="_Toc9436"/>
      <w:r>
        <w:t>8128- دیوان وزیر بلگرامی أو شعره‏</w:t>
      </w:r>
      <w:bookmarkEnd w:id="10740"/>
    </w:p>
    <w:p>
      <w:pPr>
        <w:pStyle w:val="BookText"/>
      </w:pPr>
      <w:r>
        <w:rPr>
          <w:rFonts w:ascii="IRNazanin" w:hAnsi="IRNazanin" w:eastAsia="IRNazanin" w:cs="IRNazanin"/>
          <w:lang w:bidi="fa-IR"/>
          <w:color w:val="111111"/>
          <w:sz w:val="28"/>
          <w:szCs w:val="28"/>
          <w:rtl/>
        </w:rPr>
        <w:t xml:space="preserve">و اسمه الشیخ وزیر علی ابن القاضی قطب الدین أحمد الخطیب البلگرامی. ورد شعره فی (گلشن- ص 590).</w:t>
      </w:r>
    </w:p>
    <w:p>
      <w:pPr>
        <w:pStyle w:val="Heading3"/>
      </w:pPr>
      <w:bookmarkStart w:id="10741" w:name="_Toc9437"/>
      <w:r>
        <w:t>8129- دیوان وزیر شاه‏جهان‏آبادی أو شعرها</w:t>
      </w:r>
      <w:bookmarkEnd w:id="10741"/>
    </w:p>
    <w:p>
      <w:pPr>
        <w:pStyle w:val="BookText"/>
      </w:pPr>
      <w:r>
        <w:rPr>
          <w:rFonts w:ascii="IRNazanin" w:hAnsi="IRNazanin" w:eastAsia="IRNazanin" w:cs="IRNazanin"/>
          <w:lang w:bidi="fa-IR"/>
          <w:color w:val="111111"/>
          <w:sz w:val="28"/>
          <w:szCs w:val="28"/>
          <w:rtl/>
        </w:rPr>
        <w:t xml:space="preserve">کانت شاعرة و اسمها وزیر نساء.</w:t>
      </w:r>
    </w:p>
    <w:p>
      <w:pPr>
        <w:pStyle w:val="BookText"/>
      </w:pPr>
      <w:r>
        <w:rPr>
          <w:rFonts w:ascii="IRNazanin" w:hAnsi="IRNazanin" w:eastAsia="IRNazanin" w:cs="IRNazanin"/>
          <w:lang w:bidi="fa-IR"/>
          <w:color w:val="111111"/>
          <w:sz w:val="28"/>
          <w:szCs w:val="28"/>
          <w:rtl/>
        </w:rPr>
        <w:t xml:space="preserve">تلمذت علی محمد أکبر خان خاور السیستانی و کانت تعلم البنات. ورد شعرها فی (گلشن- ص 590).</w:t>
      </w:r>
    </w:p>
    <w:p>
      <w:pPr>
        <w:pStyle w:val="Heading3"/>
      </w:pPr>
      <w:bookmarkStart w:id="10742" w:name="_Toc9438"/>
      <w:r>
        <w:t>8130- دیوان وزیر لکهنوی‏</w:t>
      </w:r>
      <w:bookmarkEnd w:id="10742"/>
    </w:p>
    <w:p>
      <w:pPr>
        <w:pStyle w:val="BookText"/>
      </w:pPr>
      <w:r>
        <w:rPr>
          <w:rFonts w:ascii="IRNazanin" w:hAnsi="IRNazanin" w:eastAsia="IRNazanin" w:cs="IRNazanin"/>
          <w:lang w:bidi="fa-IR"/>
          <w:color w:val="111111"/>
          <w:sz w:val="28"/>
          <w:szCs w:val="28"/>
          <w:rtl/>
        </w:rPr>
        <w:t xml:space="preserve">السید محمد بن المفتی میر محمد عباس الموسوی‏
</w:t>
      </w:r>
    </w:p>
    <w:p>
      <w:pPr>
        <w:sectPr>
          <w:footerReference w:type="default" r:id="rId1276"/>
          <w:footnotePr>
            <w:numStart w:val="1"/>
            <w:numRestart w:val="eachPage"/>
          </w:footnotePr>
          <w:pgSz w:orient="portrait" w:w="11905.511811023622" w:h="16837.79527559055"/>
          <w:pgMar w:top="1440" w:right="1440" w:bottom="1440" w:left="1440" w:header="720" w:footer="720" w:gutter="0"/>
          <w:cols w:num="1" w:space="720"/>
        </w:sectPr>
      </w:pPr>
    </w:p>
    <w:bookmarkStart w:id="1251" w:name="pg11704_122783"/>
    <w:bookmarkEnd w:id="1251"/>
    <w:p>
      <w:pPr>
        <w:pStyle w:val="BookText"/>
      </w:pPr>
      <w:r>
        <w:rPr>
          <w:rFonts w:ascii="IRNazanin" w:hAnsi="IRNazanin" w:eastAsia="IRNazanin" w:cs="IRNazanin"/>
          <w:lang w:bidi="fa-IR"/>
          <w:color w:val="111111"/>
          <w:sz w:val="28"/>
          <w:szCs w:val="28"/>
          <w:rtl/>
        </w:rPr>
        <w:t xml:space="preserve">الجزائری التستری المتوفی 1312. مر له راحت رسا فی 10: 55 و طبع له مثنوی باغ مؤمنین و مر والده عباس.</w:t>
      </w:r>
    </w:p>
    <w:p>
      <w:pPr>
        <w:pStyle w:val="Heading3"/>
      </w:pPr>
      <w:bookmarkStart w:id="10743" w:name="_Toc9439"/>
      <w:r>
        <w:t>8131- دیوان الوزیر المغربی‏</w:t>
      </w:r>
      <w:bookmarkEnd w:id="10743"/>
    </w:p>
    <w:p>
      <w:pPr>
        <w:pStyle w:val="BookText"/>
      </w:pPr>
      <w:r>
        <w:rPr>
          <w:rFonts w:ascii="IRNazanin" w:hAnsi="IRNazanin" w:eastAsia="IRNazanin" w:cs="IRNazanin"/>
          <w:lang w:bidi="fa-IR"/>
          <w:color w:val="111111"/>
          <w:sz w:val="28"/>
          <w:szCs w:val="28"/>
          <w:rtl/>
        </w:rPr>
        <w:t xml:space="preserve">لأبی القاسم الحسین بن علی بن الحسین بن محمد بن یوسف من ولد بلاش بن بهرام گور. أوحد أهل زمانه فی الأدب. و جده من أمه أبو عبد الله النعمانی تلمیذ الکلینی. قال النجاشی توفی 15 شعبان 418 و له اختیار شعر أبی تمام و المتنبی و غیرهما و ظاهر کلام مؤلف کشف الحجب أنه رأی دیوانه.</w:t>
      </w:r>
    </w:p>
    <w:p>
      <w:pPr>
        <w:pStyle w:val="Heading3"/>
      </w:pPr>
      <w:bookmarkStart w:id="10744" w:name="_Toc9440"/>
      <w:r>
        <w:t>8132- دیوان وسعت سرهندی أو شعره‏</w:t>
      </w:r>
      <w:bookmarkEnd w:id="10744"/>
    </w:p>
    <w:p>
      <w:pPr>
        <w:pStyle w:val="BookText"/>
      </w:pPr>
      <w:r>
        <w:rPr>
          <w:rFonts w:ascii="IRNazanin" w:hAnsi="IRNazanin" w:eastAsia="IRNazanin" w:cs="IRNazanin"/>
          <w:lang w:bidi="fa-IR"/>
          <w:color w:val="111111"/>
          <w:sz w:val="28"/>
          <w:szCs w:val="28"/>
          <w:rtl/>
        </w:rPr>
        <w:t xml:space="preserve">ورد شعره فی (گلشن- ص 590).</w:t>
      </w:r>
    </w:p>
    <w:p>
      <w:pPr>
        <w:pStyle w:val="Heading3"/>
      </w:pPr>
      <w:bookmarkStart w:id="10745" w:name="_Toc9441"/>
      <w:r>
        <w:t>دیوان وصاف شیرازی‏</w:t>
      </w:r>
      <w:bookmarkEnd w:id="10745"/>
    </w:p>
    <w:p>
      <w:pPr>
        <w:pStyle w:val="BookText"/>
      </w:pPr>
      <w:r>
        <w:rPr>
          <w:rFonts w:ascii="IRNazanin" w:hAnsi="IRNazanin" w:eastAsia="IRNazanin" w:cs="IRNazanin"/>
          <w:lang w:bidi="fa-IR"/>
          <w:color w:val="111111"/>
          <w:sz w:val="28"/>
          <w:szCs w:val="28"/>
          <w:rtl/>
        </w:rPr>
        <w:t xml:space="preserve">مؤلف تجزیة الأمصار المذکور فی 3: 358. ترجمه فی (مع 1: 655) و هفت إقلیم و (گلشن ص 591) له ثلاث مثنویات فارسیة. و تخلصه شرف کما مر فی ص 514.</w:t>
      </w:r>
    </w:p>
    <w:p>
      <w:pPr>
        <w:pStyle w:val="Heading3"/>
      </w:pPr>
      <w:bookmarkStart w:id="10746" w:name="_Toc9442"/>
      <w:r>
        <w:t>8133- دیوان وصاف قاجار أو شعره‏</w:t>
      </w:r>
      <w:bookmarkEnd w:id="10746"/>
    </w:p>
    <w:p>
      <w:pPr>
        <w:pStyle w:val="BookText"/>
      </w:pPr>
      <w:r>
        <w:rPr>
          <w:rFonts w:ascii="IRNazanin" w:hAnsi="IRNazanin" w:eastAsia="IRNazanin" w:cs="IRNazanin"/>
          <w:lang w:bidi="fa-IR"/>
          <w:color w:val="111111"/>
          <w:sz w:val="28"/>
          <w:szCs w:val="28"/>
          <w:rtl/>
        </w:rPr>
        <w:t xml:space="preserve">و اسمه موسی خان. ترجمه فی (مع 2: 528).</w:t>
      </w:r>
    </w:p>
    <w:p>
      <w:pPr>
        <w:pStyle w:val="Heading3"/>
      </w:pPr>
      <w:bookmarkStart w:id="10747" w:name="_Toc9443"/>
      <w:r>
        <w:t>8134- دیوان وصال شیرازی‏</w:t>
      </w:r>
      <w:bookmarkEnd w:id="10747"/>
    </w:p>
    <w:p>
      <w:pPr>
        <w:pStyle w:val="BookText"/>
      </w:pPr>
      <w:r>
        <w:rPr>
          <w:rFonts w:ascii="IRNazanin" w:hAnsi="IRNazanin" w:eastAsia="IRNazanin" w:cs="IRNazanin"/>
          <w:lang w:bidi="fa-IR"/>
          <w:color w:val="111111"/>
          <w:sz w:val="28"/>
          <w:szCs w:val="28"/>
          <w:rtl/>
        </w:rPr>
        <w:t xml:space="preserve">المیرزا محمد شفیع المعروف بمیرزا کوچک- لکونه سمی جده الأدنی- ابن محمد إسماعیل بن محمد شفیع بن إسماعیل ولد 1197 و تخلص مهجور ثم بدله إلی وصال بأمر أستاذه سکوت و دیوانه فی ستة آلاف بیت فی المراثی طبع مکررا. و توفی 1262 و قال نعمت فی تاریخه فی بدیع التواریخ:</w:t>
      </w:r>
    </w:p>
    <w:p>
      <w:pPr>
        <w:pStyle w:val="BookText"/>
      </w:pPr>
      <w:r>
        <w:rPr>
          <w:rFonts w:ascii="IRNazanin" w:hAnsi="IRNazanin" w:eastAsia="IRNazanin" w:cs="IRNazanin"/>
          <w:lang w:bidi="fa-IR"/>
          <w:color w:val="111111"/>
          <w:sz w:val="28"/>
          <w:szCs w:val="28"/>
          <w:rtl/>
        </w:rPr>
        <w:t xml:space="preserve">رقم زد خامه نعمت کنون از بهر تاریخش‏</w:t>
      </w:r>
    </w:p>
    <w:p>
      <w:pPr>
        <w:pStyle w:val="BookText"/>
      </w:pPr>
      <w:r>
        <w:rPr>
          <w:rFonts w:ascii="IRNazanin" w:hAnsi="IRNazanin" w:eastAsia="IRNazanin" w:cs="IRNazanin"/>
          <w:lang w:bidi="fa-IR"/>
          <w:color w:val="111111"/>
          <w:sz w:val="28"/>
          <w:szCs w:val="28"/>
          <w:rtl/>
        </w:rPr>
        <w:t xml:space="preserve">وصال بی‏مثال با کمال اینک شد از دنیا</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کنون نعمت از بهر تاریخ گفتا</w:t>
      </w:r>
    </w:p>
    <w:p>
      <w:pPr>
        <w:pStyle w:val="BookText"/>
      </w:pPr>
      <w:r>
        <w:rPr>
          <w:rFonts w:ascii="IRNazanin" w:hAnsi="IRNazanin" w:eastAsia="IRNazanin" w:cs="IRNazanin"/>
          <w:lang w:bidi="fa-IR"/>
          <w:color w:val="111111"/>
          <w:sz w:val="28"/>
          <w:szCs w:val="28"/>
          <w:rtl/>
        </w:rPr>
        <w:t xml:space="preserve">بإحسان محمد شفیع وصال است‏</w:t>
      </w:r>
    </w:p>
    <w:p>
      <w:pPr>
        <w:pStyle w:val="BookText"/>
      </w:pPr>
      <w:r>
        <w:rPr>
          <w:rFonts w:ascii="IRNazanin" w:hAnsi="IRNazanin" w:eastAsia="IRNazanin" w:cs="IRNazanin"/>
          <w:lang w:bidi="fa-IR"/>
          <w:color w:val="111111"/>
          <w:sz w:val="28"/>
          <w:szCs w:val="28"/>
          <w:rtl/>
        </w:rPr>
        <w:t xml:space="preserve">و قد ألف حفیده المتخلص روحانی المذکور فی ص 386 ابن عبد الوهاب المتخلص یزدانی بن وصال هذا، کتابا سماه گلشن وصال فی أحوال جده الشاعر و بیته و طبع فی 1359 و ترجم أیضا فی (انجمن 4) و (مع 2: 528) و (ض- ص 337) و (گلشن- ص 591) و (عم- ص 358) و (فارس‏نامه- 1: 298 و 2: 66 و 152) و (طرائق- 3: 165) و مجلة یادگار 3: 3: 67 نسخه من دیوانه عند أبی الحسن کتابی بأصفهان و (فخر الدین) و غیرهما. طبع له دوازده بند المذکور فی 8: 270
</w:t>
      </w:r>
    </w:p>
    <w:p>
      <w:pPr>
        <w:sectPr>
          <w:footerReference w:type="default" r:id="rId1277"/>
          <w:footnotePr>
            <w:numStart w:val="1"/>
            <w:numRestart w:val="eachPage"/>
          </w:footnotePr>
          <w:pgSz w:orient="portrait" w:w="11905.511811023622" w:h="16837.79527559055"/>
          <w:pgMar w:top="1440" w:right="1440" w:bottom="1440" w:left="1440" w:header="720" w:footer="720" w:gutter="0"/>
          <w:cols w:num="1" w:space="720"/>
        </w:sectPr>
      </w:pPr>
    </w:p>
    <w:bookmarkStart w:id="1252" w:name="pg11704_122785"/>
    <w:bookmarkEnd w:id="1252"/>
    <w:p>
      <w:pPr>
        <w:pStyle w:val="BookText"/>
      </w:pPr>
      <w:r>
        <w:rPr>
          <w:rFonts w:ascii="IRNazanin" w:hAnsi="IRNazanin" w:eastAsia="IRNazanin" w:cs="IRNazanin"/>
          <w:lang w:bidi="fa-IR"/>
          <w:color w:val="111111"/>
          <w:sz w:val="28"/>
          <w:szCs w:val="28"/>
          <w:rtl/>
        </w:rPr>
        <w:t xml:space="preserve">و فرهاد و شیرین المتمم لوحشی بافقی. و بزم وصال و مراثی وصال فی 125 ص.</w:t>
      </w:r>
    </w:p>
    <w:p>
      <w:pPr>
        <w:pStyle w:val="BookText"/>
      </w:pPr>
      <w:r>
        <w:rPr>
          <w:rFonts w:ascii="IRNazanin" w:hAnsi="IRNazanin" w:eastAsia="IRNazanin" w:cs="IRNazanin"/>
          <w:lang w:bidi="fa-IR"/>
          <w:color w:val="111111"/>
          <w:sz w:val="28"/>
          <w:szCs w:val="28"/>
          <w:rtl/>
        </w:rPr>
        <w:t xml:space="preserve">و یأتی من بیته وقار و مر حکیم و رحمت و داوری و فرهنگ و توحید.</w:t>
      </w:r>
    </w:p>
    <w:p>
      <w:pPr>
        <w:pStyle w:val="Heading3"/>
      </w:pPr>
      <w:bookmarkStart w:id="10748" w:name="_Toc9444"/>
      <w:r>
        <w:t>8135- دیوان وصالی تبریزی أو شعره‏</w:t>
      </w:r>
      <w:bookmarkEnd w:id="10748"/>
    </w:p>
    <w:p>
      <w:pPr>
        <w:pStyle w:val="BookText"/>
      </w:pPr>
      <w:r>
        <w:rPr>
          <w:rFonts w:ascii="IRNazanin" w:hAnsi="IRNazanin" w:eastAsia="IRNazanin" w:cs="IRNazanin"/>
          <w:lang w:bidi="fa-IR"/>
          <w:color w:val="111111"/>
          <w:sz w:val="28"/>
          <w:szCs w:val="28"/>
          <w:rtl/>
        </w:rPr>
        <w:t xml:space="preserve">و اسمه سلطان محمد. ترجم فی (دجا- ص 394) نقلا عن خلاصة الأشعار لاقاه حین جاء إلی کاشان و ذهب إلی الهند فهو متأخر عن وصالی کاشی الآتی.</w:t>
      </w:r>
    </w:p>
    <w:p>
      <w:pPr>
        <w:pStyle w:val="Heading3"/>
      </w:pPr>
      <w:bookmarkStart w:id="10749" w:name="_Toc9445"/>
      <w:r>
        <w:t>8136- دیوان وصالی تونی أو شعره‏</w:t>
      </w:r>
      <w:bookmarkEnd w:id="10749"/>
    </w:p>
    <w:p>
      <w:pPr>
        <w:pStyle w:val="BookText"/>
      </w:pPr>
      <w:r>
        <w:rPr>
          <w:rFonts w:ascii="IRNazanin" w:hAnsi="IRNazanin" w:eastAsia="IRNazanin" w:cs="IRNazanin"/>
          <w:lang w:bidi="fa-IR"/>
          <w:color w:val="111111"/>
          <w:sz w:val="28"/>
          <w:szCs w:val="28"/>
          <w:rtl/>
        </w:rPr>
        <w:t xml:space="preserve">ورد شعره فی (تش- ص 67) و عده من شعراء طبس.</w:t>
      </w:r>
    </w:p>
    <w:p>
      <w:pPr>
        <w:pStyle w:val="Heading3"/>
      </w:pPr>
      <w:bookmarkStart w:id="10750" w:name="_Toc9446"/>
      <w:r>
        <w:t>8137- دیوان وصالی رازی‏</w:t>
      </w:r>
      <w:bookmarkEnd w:id="10750"/>
    </w:p>
    <w:p>
      <w:pPr>
        <w:pStyle w:val="BookText"/>
      </w:pPr>
      <w:r>
        <w:rPr>
          <w:rFonts w:ascii="IRNazanin" w:hAnsi="IRNazanin" w:eastAsia="IRNazanin" w:cs="IRNazanin"/>
          <w:lang w:bidi="fa-IR"/>
          <w:color w:val="111111"/>
          <w:sz w:val="28"/>
          <w:szCs w:val="28"/>
          <w:rtl/>
        </w:rPr>
        <w:t xml:space="preserve">و هو القاضی محمد الغفاری. نقل فی ریحانة الأدب عن سفینة الشعراء أنه توفی 932 و کذا فی (تس 4- ص 73) و زاد أنه والد القاضی أحمد الغفاری، و کان قاضی ری. و له مثنوی پنج فصل أجاب عنه المیرزا شاه حسین. و کذا فی (گلشن- ص 592).</w:t>
      </w:r>
    </w:p>
    <w:p>
      <w:pPr>
        <w:pStyle w:val="Heading3"/>
      </w:pPr>
      <w:bookmarkStart w:id="10751" w:name="_Toc9447"/>
      <w:r>
        <w:t>دیوان وصالی طبسی‏</w:t>
      </w:r>
      <w:bookmarkEnd w:id="10751"/>
    </w:p>
    <w:p>
      <w:pPr>
        <w:pStyle w:val="BookText"/>
      </w:pPr>
      <w:r>
        <w:rPr>
          <w:rFonts w:ascii="IRNazanin" w:hAnsi="IRNazanin" w:eastAsia="IRNazanin" w:cs="IRNazanin"/>
          <w:lang w:bidi="fa-IR"/>
          <w:color w:val="111111"/>
          <w:sz w:val="28"/>
          <w:szCs w:val="28"/>
          <w:rtl/>
        </w:rPr>
        <w:t xml:space="preserve">راجع وصالی تونی.</w:t>
      </w:r>
    </w:p>
    <w:p>
      <w:pPr>
        <w:pStyle w:val="Heading3"/>
      </w:pPr>
      <w:bookmarkStart w:id="10752" w:name="_Toc9448"/>
      <w:r>
        <w:t>دیوان وصالی کاشانی‏</w:t>
      </w:r>
      <w:bookmarkEnd w:id="10752"/>
    </w:p>
    <w:p>
      <w:pPr>
        <w:pStyle w:val="BookText"/>
      </w:pPr>
      <w:r>
        <w:rPr>
          <w:rFonts w:ascii="IRNazanin" w:hAnsi="IRNazanin" w:eastAsia="IRNazanin" w:cs="IRNazanin"/>
          <w:lang w:bidi="fa-IR"/>
          <w:color w:val="111111"/>
          <w:sz w:val="28"/>
          <w:szCs w:val="28"/>
          <w:rtl/>
        </w:rPr>
        <w:t xml:space="preserve">کما فی (بهش 2- ص 390) و أورد له شعرا ذکره فی (ص 395) و نسبه إلی مثالی کاشانی. و الظاهر أن هنا تصحیف.</w:t>
      </w:r>
    </w:p>
    <w:p>
      <w:pPr>
        <w:pStyle w:val="Heading3"/>
      </w:pPr>
      <w:bookmarkStart w:id="10753" w:name="_Toc9449"/>
      <w:r>
        <w:t>8138- دیوان وصالی مازندرانی‏</w:t>
      </w:r>
      <w:bookmarkEnd w:id="10753"/>
    </w:p>
    <w:p>
      <w:pPr>
        <w:pStyle w:val="BookText"/>
      </w:pPr>
      <w:r>
        <w:rPr>
          <w:rFonts w:ascii="IRNazanin" w:hAnsi="IRNazanin" w:eastAsia="IRNazanin" w:cs="IRNazanin"/>
          <w:lang w:bidi="fa-IR"/>
          <w:color w:val="111111"/>
          <w:sz w:val="28"/>
          <w:szCs w:val="28"/>
          <w:rtl/>
        </w:rPr>
        <w:t xml:space="preserve">و اسمه میرزا رضا ولد بساری و نشا بها و اتصل بارد شیر میرزا حاکمها و صار کتاب دار له، و دخل دار الفنون. ترجم کذلک فی (مع 2- 559) و أورد له أربع مائة بیت.</w:t>
      </w:r>
    </w:p>
    <w:p>
      <w:pPr>
        <w:pStyle w:val="Heading3"/>
      </w:pPr>
      <w:bookmarkStart w:id="10754" w:name="_Toc9450"/>
      <w:r>
        <w:t>8139- دیوان وصفی أصفهانی أو شعره‏</w:t>
      </w:r>
      <w:bookmarkEnd w:id="10754"/>
    </w:p>
    <w:p>
      <w:pPr>
        <w:pStyle w:val="BookText"/>
      </w:pPr>
      <w:r>
        <w:rPr>
          <w:rFonts w:ascii="IRNazanin" w:hAnsi="IRNazanin" w:eastAsia="IRNazanin" w:cs="IRNazanin"/>
          <w:lang w:bidi="fa-IR"/>
          <w:color w:val="111111"/>
          <w:sz w:val="28"/>
          <w:szCs w:val="28"/>
          <w:rtl/>
        </w:rPr>
        <w:t xml:space="preserve">أورد شعره ألفت فی دانش‏نامه و عده من أعضاء انجمن دانشکده و اسمه میرزا أحمد.</w:t>
      </w:r>
    </w:p>
    <w:p>
      <w:pPr>
        <w:pStyle w:val="Heading3"/>
      </w:pPr>
      <w:bookmarkStart w:id="10755" w:name="_Toc9451"/>
      <w:r>
        <w:t>8140- دیوان وصفی سمرقندی أو شعره‏</w:t>
      </w:r>
      <w:bookmarkEnd w:id="10755"/>
    </w:p>
    <w:p>
      <w:pPr>
        <w:pStyle w:val="BookText"/>
      </w:pPr>
      <w:r>
        <w:rPr>
          <w:rFonts w:ascii="IRNazanin" w:hAnsi="IRNazanin" w:eastAsia="IRNazanin" w:cs="IRNazanin"/>
          <w:lang w:bidi="fa-IR"/>
          <w:color w:val="111111"/>
          <w:sz w:val="28"/>
          <w:szCs w:val="28"/>
          <w:rtl/>
        </w:rPr>
        <w:t xml:space="preserve">ترجم فی (مجتس 6- ص 162).</w:t>
      </w:r>
    </w:p>
    <w:p>
      <w:pPr>
        <w:pStyle w:val="Heading3"/>
      </w:pPr>
      <w:bookmarkStart w:id="10756" w:name="_Toc9452"/>
      <w:r>
        <w:t>8141- دیوان وصفی کرمانی‏</w:t>
      </w:r>
      <w:bookmarkEnd w:id="10756"/>
    </w:p>
    <w:p>
      <w:pPr>
        <w:pStyle w:val="BookText"/>
      </w:pPr>
      <w:r>
        <w:rPr>
          <w:rFonts w:ascii="IRNazanin" w:hAnsi="IRNazanin" w:eastAsia="IRNazanin" w:cs="IRNazanin"/>
          <w:lang w:bidi="fa-IR"/>
          <w:color w:val="111111"/>
          <w:sz w:val="28"/>
          <w:szCs w:val="28"/>
          <w:rtl/>
        </w:rPr>
        <w:t xml:space="preserve">و هو المیرزا عبد الله الخطاط بن میر مظفر من أحفاد برهان الدین خلیل الله بن نعمة الله ولی الکرمانی. هاجر آباؤه إلی الهند فولد وصفی هناک فی 1000 و تلمذ علی فضل الله بهارنپوری و توفی بإجمیر فی 1063 و له خمسة مثنویات غیر الدیوان کذا فی (مع 2: 51) و (گلشن- ص 592) و (ض- ص 158)</w:t>
      </w:r>
    </w:p>
    <w:p>
      <w:pPr>
        <w:pStyle w:val="Heading3"/>
      </w:pPr>
      <w:bookmarkStart w:id="10757" w:name="_Toc9453"/>
      <w:r>
        <w:t>8142- دیوان وصفی ورامینی أو شعره‏</w:t>
      </w:r>
      <w:bookmarkEnd w:id="10757"/>
    </w:p>
    <w:p>
      <w:pPr>
        <w:pStyle w:val="BookText"/>
      </w:pPr>
      <w:r>
        <w:rPr>
          <w:rFonts w:ascii="IRNazanin" w:hAnsi="IRNazanin" w:eastAsia="IRNazanin" w:cs="IRNazanin"/>
          <w:lang w:bidi="fa-IR"/>
          <w:color w:val="111111"/>
          <w:sz w:val="28"/>
          <w:szCs w:val="28"/>
          <w:rtl/>
        </w:rPr>
        <w:t xml:space="preserve">ورد شعره فی (گلشن- ص 592) و اسمه‏
</w:t>
      </w:r>
    </w:p>
    <w:p>
      <w:pPr>
        <w:sectPr>
          <w:footerReference w:type="default" r:id="rId1278"/>
          <w:footnotePr>
            <w:numStart w:val="1"/>
            <w:numRestart w:val="eachPage"/>
          </w:footnotePr>
          <w:pgSz w:orient="portrait" w:w="11905.511811023622" w:h="16837.79527559055"/>
          <w:pgMar w:top="1440" w:right="1440" w:bottom="1440" w:left="1440" w:header="720" w:footer="720" w:gutter="0"/>
          <w:cols w:num="1" w:space="720"/>
        </w:sectPr>
      </w:pPr>
    </w:p>
    <w:bookmarkStart w:id="1253" w:name="pg11704_122787"/>
    <w:bookmarkEnd w:id="1253"/>
    <w:p>
      <w:pPr>
        <w:pStyle w:val="BookText"/>
      </w:pPr>
      <w:r>
        <w:rPr>
          <w:rFonts w:ascii="IRNazanin" w:hAnsi="IRNazanin" w:eastAsia="IRNazanin" w:cs="IRNazanin"/>
          <w:lang w:bidi="fa-IR"/>
          <w:color w:val="111111"/>
          <w:sz w:val="28"/>
          <w:szCs w:val="28"/>
          <w:rtl/>
        </w:rPr>
        <w:t xml:space="preserve">ظهیر الدین کما فی هفت إقلیم و (خوش‏گو).</w:t>
      </w:r>
    </w:p>
    <w:p>
      <w:pPr>
        <w:pStyle w:val="Heading3"/>
      </w:pPr>
      <w:bookmarkStart w:id="10758" w:name="_Toc9454"/>
      <w:r>
        <w:t>8143- دیوان وصفی هروی أو شعره‏</w:t>
      </w:r>
      <w:bookmarkEnd w:id="10758"/>
    </w:p>
    <w:p>
      <w:pPr>
        <w:pStyle w:val="BookText"/>
      </w:pPr>
      <w:r>
        <w:rPr>
          <w:rFonts w:ascii="IRNazanin" w:hAnsi="IRNazanin" w:eastAsia="IRNazanin" w:cs="IRNazanin"/>
          <w:lang w:bidi="fa-IR"/>
          <w:color w:val="111111"/>
          <w:sz w:val="28"/>
          <w:szCs w:val="28"/>
          <w:rtl/>
        </w:rPr>
        <w:t xml:space="preserve">و هو حفید معین الواعظ. ترجمه معاصره فی (مجتس 6- ص 165) و (تش- ص 51) و (تس 5- ص 153).</w:t>
      </w:r>
    </w:p>
    <w:p>
      <w:pPr>
        <w:pStyle w:val="Heading3"/>
      </w:pPr>
      <w:bookmarkStart w:id="10759" w:name="_Toc9455"/>
      <w:r>
        <w:t>8144- دیوان وصلی أصفهانی أو شعره‏</w:t>
      </w:r>
      <w:bookmarkEnd w:id="10759"/>
    </w:p>
    <w:p>
      <w:pPr>
        <w:pStyle w:val="BookText"/>
      </w:pPr>
      <w:r>
        <w:rPr>
          <w:rFonts w:ascii="IRNazanin" w:hAnsi="IRNazanin" w:eastAsia="IRNazanin" w:cs="IRNazanin"/>
          <w:lang w:bidi="fa-IR"/>
          <w:color w:val="111111"/>
          <w:sz w:val="28"/>
          <w:szCs w:val="28"/>
          <w:rtl/>
        </w:rPr>
        <w:t xml:space="preserve">ورد شعره فی (گلشن- ص 593).</w:t>
      </w:r>
    </w:p>
    <w:p>
      <w:pPr>
        <w:pStyle w:val="Heading3"/>
      </w:pPr>
      <w:bookmarkStart w:id="10760" w:name="_Toc9456"/>
      <w:r>
        <w:t>8145- دیوان وصلی تبریزی أو شعره‏</w:t>
      </w:r>
      <w:bookmarkEnd w:id="10760"/>
    </w:p>
    <w:p>
      <w:pPr>
        <w:pStyle w:val="BookText"/>
      </w:pPr>
      <w:r>
        <w:rPr>
          <w:rFonts w:ascii="IRNazanin" w:hAnsi="IRNazanin" w:eastAsia="IRNazanin" w:cs="IRNazanin"/>
          <w:lang w:bidi="fa-IR"/>
          <w:color w:val="111111"/>
          <w:sz w:val="28"/>
          <w:szCs w:val="28"/>
          <w:rtl/>
        </w:rPr>
        <w:t xml:space="preserve">ورد شعره فی (تس 5- ص 143) و قال کان مطربا.</w:t>
      </w:r>
    </w:p>
    <w:p>
      <w:pPr>
        <w:pStyle w:val="Heading3"/>
      </w:pPr>
      <w:bookmarkStart w:id="10761" w:name="_Toc9457"/>
      <w:r>
        <w:t>8146- دیوان وصلی سارانی أو شعره‏</w:t>
      </w:r>
      <w:bookmarkEnd w:id="10761"/>
    </w:p>
    <w:p>
      <w:pPr>
        <w:pStyle w:val="BookText"/>
      </w:pPr>
      <w:r>
        <w:rPr>
          <w:rFonts w:ascii="IRNazanin" w:hAnsi="IRNazanin" w:eastAsia="IRNazanin" w:cs="IRNazanin"/>
          <w:lang w:bidi="fa-IR"/>
          <w:color w:val="111111"/>
          <w:sz w:val="28"/>
          <w:szCs w:val="28"/>
          <w:rtl/>
        </w:rPr>
        <w:t xml:space="preserve">ورد شعره فی (تس 5- ص 162) و قال کان من ساران محله فی طهران.</w:t>
      </w:r>
    </w:p>
    <w:p>
      <w:pPr>
        <w:pStyle w:val="Heading3"/>
      </w:pPr>
      <w:bookmarkStart w:id="10762" w:name="_Toc9458"/>
      <w:r>
        <w:t>8147- دیوان وصلی شیرازی‏</w:t>
      </w:r>
      <w:bookmarkEnd w:id="10762"/>
    </w:p>
    <w:p>
      <w:pPr>
        <w:pStyle w:val="BookText"/>
      </w:pPr>
      <w:r>
        <w:rPr>
          <w:rFonts w:ascii="IRNazanin" w:hAnsi="IRNazanin" w:eastAsia="IRNazanin" w:cs="IRNazanin"/>
          <w:lang w:bidi="fa-IR"/>
          <w:color w:val="111111"/>
          <w:sz w:val="28"/>
          <w:szCs w:val="28"/>
          <w:rtl/>
        </w:rPr>
        <w:t xml:space="preserve">و هو المیر نعمة الله بن المیر پنبه‏زن الطباطبائی الشیرازی، و لما جاء مرشد البروجردی إلی شیراز، تلمذ عنده وصلی و مهر فی اللغات العربیة و الفارسیة و الپهلویة، و لما سافر أستاذه المذکور إلی قندهار عند المیرزا غازی ترخان طلبه فهاجر وصلی من شیراز إلی قندهار فأکرمه غازی ترخان و بعد وفاة ترخان فی 1021 بقندهار، خرج وصلی منها إلی أجمیر، فلاقاه فخر الزمانی و سافرا معا إلی لاهور، فذکره فی میخانه- ص 439 و قال إن شعره الآن أربعة آلاف بیت. و له مثنوی ساقی‏نامه.</w:t>
      </w:r>
    </w:p>
    <w:p>
      <w:pPr>
        <w:pStyle w:val="Heading3"/>
      </w:pPr>
      <w:bookmarkStart w:id="10763" w:name="_Toc9459"/>
      <w:r>
        <w:t>8148- دیوان وصلی طهرانی أو شعره‏</w:t>
      </w:r>
      <w:bookmarkEnd w:id="10763"/>
    </w:p>
    <w:p>
      <w:pPr>
        <w:pStyle w:val="BookText"/>
      </w:pPr>
      <w:r>
        <w:rPr>
          <w:rFonts w:ascii="IRNazanin" w:hAnsi="IRNazanin" w:eastAsia="IRNazanin" w:cs="IRNazanin"/>
          <w:lang w:bidi="fa-IR"/>
          <w:color w:val="111111"/>
          <w:sz w:val="28"/>
          <w:szCs w:val="28"/>
          <w:rtl/>
        </w:rPr>
        <w:t xml:space="preserve">و اسمه میرزا محمد طاهر بن الخواجة محمد شریف أخی اعتماد الدولة الذی هو والد نورجهان زوجة جهانگیر پادشاه. ورد شعره فی (گلشن- ص 593) و (خوش‏گو) و لعله متحد مع وصلی سارانی المذکور آنفا.</w:t>
      </w:r>
    </w:p>
    <w:p>
      <w:pPr>
        <w:pStyle w:val="Heading3"/>
      </w:pPr>
      <w:bookmarkStart w:id="10764" w:name="_Toc9460"/>
      <w:r>
        <w:t>8149- دیوان مولانا وصلی هروی‏</w:t>
      </w:r>
      <w:bookmarkEnd w:id="10764"/>
    </w:p>
    <w:p>
      <w:pPr>
        <w:pStyle w:val="BookText"/>
      </w:pPr>
      <w:r>
        <w:rPr>
          <w:rFonts w:ascii="IRNazanin" w:hAnsi="IRNazanin" w:eastAsia="IRNazanin" w:cs="IRNazanin"/>
          <w:lang w:bidi="fa-IR"/>
          <w:color w:val="111111"/>
          <w:sz w:val="28"/>
          <w:szCs w:val="28"/>
          <w:rtl/>
        </w:rPr>
        <w:t xml:space="preserve">ابن القاضی خواجه کلان. ترجمه المیر علی شیر فی (مجن 4- ص 102 و ص 264) أطرأه بأنه وحید عصره فی أنواع العلوم حتی فی الشطرنج الحاضر و الغائب الصغیر و الکبیر و أورد شعره.</w:t>
      </w:r>
    </w:p>
    <w:p>
      <w:pPr>
        <w:pStyle w:val="Heading3"/>
      </w:pPr>
      <w:bookmarkStart w:id="10765" w:name="_Toc9461"/>
      <w:r>
        <w:t>8150- دیوان وصی أحمد</w:t>
      </w:r>
      <w:bookmarkEnd w:id="10765"/>
    </w:p>
    <w:p>
      <w:pPr>
        <w:pStyle w:val="BookText"/>
      </w:pPr>
      <w:r>
        <w:rPr>
          <w:rFonts w:ascii="IRNazanin" w:hAnsi="IRNazanin" w:eastAsia="IRNazanin" w:cs="IRNazanin"/>
          <w:lang w:bidi="fa-IR"/>
          <w:color w:val="111111"/>
          <w:sz w:val="28"/>
          <w:szCs w:val="28"/>
          <w:rtl/>
        </w:rPr>
        <w:t xml:space="preserve">هو المولوی وصی أحمد بن أبی القاسم جوش. ترجم فی (گلشن- ص 593) و دیوانه فارسی موجود فی مکتبة راجه فیض‏آباد فی الماری 6 کما فی فهرسها المخطوط.</w:t>
      </w:r>
    </w:p>
    <w:p>
      <w:pPr>
        <w:pStyle w:val="Heading3"/>
      </w:pPr>
      <w:bookmarkStart w:id="10766" w:name="_Toc9462"/>
      <w:r>
        <w:t>8151- دیوان وطواط</w:t>
      </w:r>
      <w:bookmarkEnd w:id="10766"/>
    </w:p>
    <w:p>
      <w:pPr>
        <w:pStyle w:val="BookText"/>
      </w:pPr>
      <w:r>
        <w:rPr>
          <w:rFonts w:ascii="IRNazanin" w:hAnsi="IRNazanin" w:eastAsia="IRNazanin" w:cs="IRNazanin"/>
          <w:lang w:bidi="fa-IR"/>
          <w:color w:val="111111"/>
          <w:sz w:val="28"/>
          <w:szCs w:val="28"/>
          <w:rtl/>
        </w:rPr>
        <w:t xml:space="preserve">و هو رشید الدین محمد بن عبد الجلیل البلخی العمری‏
</w:t>
      </w:r>
    </w:p>
    <w:p>
      <w:pPr>
        <w:sectPr>
          <w:footerReference w:type="default" r:id="rId1279"/>
          <w:footnotePr>
            <w:numStart w:val="1"/>
            <w:numRestart w:val="eachPage"/>
          </w:footnotePr>
          <w:pgSz w:orient="portrait" w:w="11905.511811023622" w:h="16837.79527559055"/>
          <w:pgMar w:top="1440" w:right="1440" w:bottom="1440" w:left="1440" w:header="720" w:footer="720" w:gutter="0"/>
          <w:cols w:num="1" w:space="720"/>
        </w:sectPr>
      </w:pPr>
    </w:p>
    <w:bookmarkStart w:id="1254" w:name="pg11704_122789"/>
    <w:bookmarkEnd w:id="1254"/>
    <w:p>
      <w:pPr>
        <w:pStyle w:val="BookText"/>
      </w:pPr>
      <w:r>
        <w:rPr>
          <w:rFonts w:ascii="IRNazanin" w:hAnsi="IRNazanin" w:eastAsia="IRNazanin" w:cs="IRNazanin"/>
          <w:lang w:bidi="fa-IR"/>
          <w:color w:val="111111"/>
          <w:sz w:val="28"/>
          <w:szCs w:val="28"/>
          <w:rtl/>
        </w:rPr>
        <w:t xml:space="preserve">المولود 480- 487 و المتوفی 573 أو 578 کما فی شاهد صادق، الشاعر المنشی بالفارسیة و العربیة. کان ملک الشعراء لاتسز خوارزم شاه. ترجمه عباس إقبال مفصلا فی مقدمه طبع حدائق السحر المذکور فی محله، و عد من مؤلفاته 21 کتابا و منها ترجمه مائة کلمة لعلی ع. و منظومة العروض و طبع دیوانه الفارسی مع مقدمه سعید النفیسی و حدائق السحر فی 47+ 738 ص. بطهران طبقه علی 18 نسخه ناقصة و تذاکر الشعراء و نسخ الدیوان کثیرة، اثنان منها فی (المجلس) کما فی فهرسها 3: 125 و 283 و (فخر الدین) و (سپهسالار) کما فی فهرسها 2: 600 و غیرها.</w:t>
      </w:r>
    </w:p>
    <w:p>
      <w:pPr>
        <w:pStyle w:val="BookText"/>
      </w:pPr>
      <w:r>
        <w:rPr>
          <w:rFonts w:ascii="IRNazanin" w:hAnsi="IRNazanin" w:eastAsia="IRNazanin" w:cs="IRNazanin"/>
          <w:lang w:bidi="fa-IR"/>
          <w:color w:val="111111"/>
          <w:sz w:val="28"/>
          <w:szCs w:val="28"/>
          <w:rtl/>
        </w:rPr>
        <w:t xml:space="preserve">و ترجم فی تاریخ گزیده ص 827 و (لت) و (لب) و (مع 1: 222) و (حسینی- 130) و (تش- ص 300) و (روشن- ص 244) و (خیال- ص 32) و (طرائق 2- 265) و (بهش 1- ص 349) و (نتایج- ص 261).</w:t>
      </w:r>
    </w:p>
    <w:p>
      <w:pPr>
        <w:pStyle w:val="Heading3"/>
      </w:pPr>
      <w:bookmarkStart w:id="10767" w:name="_Toc9463"/>
      <w:r>
        <w:t>دیوان وفا علی شاه‏</w:t>
      </w:r>
      <w:bookmarkEnd w:id="10767"/>
    </w:p>
    <w:p>
      <w:pPr>
        <w:pStyle w:val="BookText"/>
      </w:pPr>
      <w:r>
        <w:rPr>
          <w:rFonts w:ascii="IRNazanin" w:hAnsi="IRNazanin" w:eastAsia="IRNazanin" w:cs="IRNazanin"/>
          <w:lang w:bidi="fa-IR"/>
          <w:color w:val="111111"/>
          <w:sz w:val="28"/>
          <w:szCs w:val="28"/>
          <w:rtl/>
        </w:rPr>
        <w:t xml:space="preserve">مر بعنوان مولوی گیلانی فی ص 1124 و هو والد مونس علی شاه و قد توفی 1336 و قال نعمت فی تاریخه:</w:t>
      </w:r>
    </w:p>
    <w:p>
      <w:pPr>
        <w:pStyle w:val="BookText"/>
      </w:pPr>
      <w:r>
        <w:rPr>
          <w:rFonts w:ascii="IRNazanin" w:hAnsi="IRNazanin" w:eastAsia="IRNazanin" w:cs="IRNazanin"/>
          <w:lang w:bidi="fa-IR"/>
          <w:color w:val="111111"/>
          <w:sz w:val="28"/>
          <w:szCs w:val="28"/>
          <w:rtl/>
        </w:rPr>
        <w:t xml:space="preserve">نعمت محزون کنون از پی تاریخ گفت‏</w:t>
      </w:r>
    </w:p>
    <w:p>
      <w:pPr>
        <w:pStyle w:val="BookText"/>
      </w:pPr>
      <w:r>
        <w:rPr>
          <w:rFonts w:ascii="IRNazanin" w:hAnsi="IRNazanin" w:eastAsia="IRNazanin" w:cs="IRNazanin"/>
          <w:lang w:bidi="fa-IR"/>
          <w:color w:val="111111"/>
          <w:sz w:val="28"/>
          <w:szCs w:val="28"/>
          <w:rtl/>
        </w:rPr>
        <w:t xml:space="preserve">وفا علی شه ببین مکانش اندر جنان‏</w:t>
      </w:r>
    </w:p>
    <w:p>
      <w:pPr>
        <w:pStyle w:val="BookText"/>
      </w:pPr>
      <w:r>
        <w:rPr>
          <w:rFonts w:ascii="IRNazanin" w:hAnsi="IRNazanin" w:eastAsia="IRNazanin" w:cs="IRNazanin"/>
          <w:lang w:bidi="fa-IR"/>
          <w:color w:val="111111"/>
          <w:sz w:val="28"/>
          <w:szCs w:val="28"/>
          <w:rtl/>
        </w:rPr>
        <w:t xml:space="preserve">و طبع دیوانه بطهران 1372 فی 192 ص.</w:t>
      </w:r>
    </w:p>
    <w:p>
      <w:pPr>
        <w:pStyle w:val="Heading3"/>
      </w:pPr>
      <w:bookmarkStart w:id="10768" w:name="_Toc9464"/>
      <w:r>
        <w:t>8152- دیوان وفای أشرفی أو شعره‏</w:t>
      </w:r>
      <w:bookmarkEnd w:id="10768"/>
    </w:p>
    <w:p>
      <w:pPr>
        <w:pStyle w:val="BookText"/>
      </w:pPr>
      <w:r>
        <w:rPr>
          <w:rFonts w:ascii="IRNazanin" w:hAnsi="IRNazanin" w:eastAsia="IRNazanin" w:cs="IRNazanin"/>
          <w:lang w:bidi="fa-IR"/>
          <w:color w:val="111111"/>
          <w:sz w:val="28"/>
          <w:szCs w:val="28"/>
          <w:rtl/>
        </w:rPr>
        <w:t xml:space="preserve">و اسمه مهدی قلی من الگرجیة. کان فی خدمة منوچهر خان معتمد الدولة کذا ترجمه فی (مع 2: 528).</w:t>
      </w:r>
    </w:p>
    <w:p>
      <w:pPr>
        <w:pStyle w:val="Heading3"/>
      </w:pPr>
      <w:bookmarkStart w:id="10769" w:name="_Toc9465"/>
      <w:r>
        <w:t>8153- دیوان وفای أصفهانی أو شعره‏</w:t>
      </w:r>
      <w:bookmarkEnd w:id="10769"/>
    </w:p>
    <w:p>
      <w:pPr>
        <w:pStyle w:val="BookText"/>
      </w:pPr>
      <w:r>
        <w:rPr>
          <w:rFonts w:ascii="IRNazanin" w:hAnsi="IRNazanin" w:eastAsia="IRNazanin" w:cs="IRNazanin"/>
          <w:lang w:bidi="fa-IR"/>
          <w:color w:val="111111"/>
          <w:sz w:val="28"/>
          <w:szCs w:val="28"/>
          <w:rtl/>
        </w:rPr>
        <w:t xml:space="preserve">و هو محمد أمین ابن الحکیم محمد تقی جاء والده من أصفهان و صاحب النواب آصف جاه و ولد ابنه وفا فی إیلچی‏پور فی 1110 و مات 1193 و قد تلمذ علی الشیخ محمود المازندرانی. کذا ترجم فی (نتایج- ص 756) و (طبق 2: 516).</w:t>
      </w:r>
    </w:p>
    <w:p>
      <w:pPr>
        <w:pStyle w:val="Heading3"/>
      </w:pPr>
      <w:bookmarkStart w:id="10770" w:name="_Toc9466"/>
      <w:r>
        <w:t>8154- دیوان وفای أصفهانی أو شعره‏</w:t>
      </w:r>
      <w:bookmarkEnd w:id="10770"/>
    </w:p>
    <w:p>
      <w:pPr>
        <w:pStyle w:val="BookText"/>
      </w:pPr>
      <w:r>
        <w:rPr>
          <w:rFonts w:ascii="IRNazanin" w:hAnsi="IRNazanin" w:eastAsia="IRNazanin" w:cs="IRNazanin"/>
          <w:lang w:bidi="fa-IR"/>
          <w:color w:val="111111"/>
          <w:sz w:val="28"/>
          <w:szCs w:val="28"/>
          <w:rtl/>
        </w:rPr>
        <w:t xml:space="preserve">و اسمه محمد علی الخطاط بالشکسته کان حیا فی 1161 حین ترجمه واله فی ریاض الشعراء و یوجد خطه الجید بتاریخ 1126 کما فی نمونه خطوط خوش- ص 288. و راجع وفای زواری.</w:t>
      </w:r>
    </w:p>
    <w:p>
      <w:pPr>
        <w:pStyle w:val="Heading3"/>
      </w:pPr>
      <w:bookmarkStart w:id="10771" w:name="_Toc9467"/>
      <w:r>
        <w:t>8155- دیوان وفای تویسرکانی أو شعره‏</w:t>
      </w:r>
      <w:bookmarkEnd w:id="10771"/>
    </w:p>
    <w:p>
      <w:pPr>
        <w:pStyle w:val="BookText"/>
      </w:pPr>
      <w:r>
        <w:rPr>
          <w:rFonts w:ascii="IRNazanin" w:hAnsi="IRNazanin" w:eastAsia="IRNazanin" w:cs="IRNazanin"/>
          <w:lang w:bidi="fa-IR"/>
          <w:color w:val="111111"/>
          <w:sz w:val="28"/>
          <w:szCs w:val="28"/>
          <w:rtl/>
        </w:rPr>
        <w:t xml:space="preserve">و اسمه الملا محمد کاظم. ورد شعره فی (گلشن- ص 594).
</w:t>
      </w:r>
    </w:p>
    <w:p>
      <w:pPr>
        <w:sectPr>
          <w:footerReference w:type="default" r:id="rId1280"/>
          <w:footnotePr>
            <w:numStart w:val="1"/>
            <w:numRestart w:val="eachPage"/>
          </w:footnotePr>
          <w:pgSz w:orient="portrait" w:w="11905.511811023622" w:h="16837.79527559055"/>
          <w:pgMar w:top="1440" w:right="1440" w:bottom="1440" w:left="1440" w:header="720" w:footer="720" w:gutter="0"/>
          <w:cols w:num="1" w:space="720"/>
        </w:sectPr>
      </w:pPr>
    </w:p>
    <w:bookmarkStart w:id="1255" w:name="pg11704_122790"/>
    <w:bookmarkEnd w:id="1255"/>
    <w:p>
      <w:pPr>
        <w:pStyle w:val="Heading3"/>
      </w:pPr>
      <w:bookmarkStart w:id="10772" w:name="_Toc9468"/>
      <w:r>
        <w:t>دیوان وفای بدخشانی‏</w:t>
      </w:r>
      <w:bookmarkEnd w:id="10772"/>
    </w:p>
    <w:p>
      <w:pPr>
        <w:pStyle w:val="BookText"/>
      </w:pPr>
      <w:r>
        <w:rPr>
          <w:rFonts w:ascii="IRNazanin" w:hAnsi="IRNazanin" w:eastAsia="IRNazanin" w:cs="IRNazanin"/>
          <w:lang w:bidi="fa-IR"/>
          <w:color w:val="111111"/>
          <w:sz w:val="28"/>
          <w:szCs w:val="28"/>
          <w:rtl/>
        </w:rPr>
        <w:t xml:space="preserve">راجع وفائی بدخشانی.</w:t>
      </w:r>
    </w:p>
    <w:p>
      <w:pPr>
        <w:pStyle w:val="Heading3"/>
      </w:pPr>
      <w:bookmarkStart w:id="10773" w:name="_Toc9469"/>
      <w:r>
        <w:t>8156- دیوان وفای رامپوری أو شعره‏</w:t>
      </w:r>
      <w:bookmarkEnd w:id="10773"/>
    </w:p>
    <w:p>
      <w:pPr>
        <w:pStyle w:val="BookText"/>
      </w:pPr>
      <w:r>
        <w:rPr>
          <w:rFonts w:ascii="IRNazanin" w:hAnsi="IRNazanin" w:eastAsia="IRNazanin" w:cs="IRNazanin"/>
          <w:lang w:bidi="fa-IR"/>
          <w:color w:val="111111"/>
          <w:sz w:val="28"/>
          <w:szCs w:val="28"/>
          <w:rtl/>
        </w:rPr>
        <w:t xml:space="preserve">و اسمه حاجی گل‏محمد ورد شعره فی (گلشن- ص 594).</w:t>
      </w:r>
    </w:p>
    <w:p>
      <w:pPr>
        <w:pStyle w:val="Heading3"/>
      </w:pPr>
      <w:bookmarkStart w:id="10774" w:name="_Toc9470"/>
      <w:r>
        <w:t>8157- دیوان وفای زواری‏</w:t>
      </w:r>
      <w:bookmarkEnd w:id="10774"/>
    </w:p>
    <w:p>
      <w:pPr>
        <w:pStyle w:val="BookText"/>
      </w:pPr>
      <w:r>
        <w:rPr>
          <w:rFonts w:ascii="IRNazanin" w:hAnsi="IRNazanin" w:eastAsia="IRNazanin" w:cs="IRNazanin"/>
          <w:lang w:bidi="fa-IR"/>
          <w:color w:val="111111"/>
          <w:sz w:val="28"/>
          <w:szCs w:val="28"/>
          <w:rtl/>
        </w:rPr>
        <w:t xml:space="preserve">و اسمه میرزا محمد علی الطباطبائی الأصفهانی من شعراء فتح علی شاه القاجار. ترجمه فی (انجمن 4) و المدائح المعتمدیة و ریحانة الأدب.</w:t>
      </w:r>
    </w:p>
    <w:p>
      <w:pPr>
        <w:pStyle w:val="Heading3"/>
      </w:pPr>
      <w:bookmarkStart w:id="10775" w:name="_Toc9471"/>
      <w:r>
        <w:t>8158- دیوان وفای شیرازی‏</w:t>
      </w:r>
      <w:bookmarkEnd w:id="10775"/>
    </w:p>
    <w:p>
      <w:pPr>
        <w:pStyle w:val="BookText"/>
      </w:pPr>
      <w:r>
        <w:rPr>
          <w:rFonts w:ascii="IRNazanin" w:hAnsi="IRNazanin" w:eastAsia="IRNazanin" w:cs="IRNazanin"/>
          <w:lang w:bidi="fa-IR"/>
          <w:color w:val="111111"/>
          <w:sz w:val="28"/>
          <w:szCs w:val="28"/>
          <w:rtl/>
        </w:rPr>
        <w:t xml:space="preserve">لمیرزا حسن علی بن السید علی نیاز المذکور فی ص 1239 الخطاط الملقب بمیرزا بزرگ المتوفی 1276 أو 1270 ترجم فی (فارس‏نامه 2: 152 و 119) و (عم- ص 510) و (گلشن- ص 595).</w:t>
      </w:r>
    </w:p>
    <w:p>
      <w:pPr>
        <w:pStyle w:val="Heading3"/>
      </w:pPr>
      <w:bookmarkStart w:id="10776" w:name="_Toc9472"/>
      <w:r>
        <w:t>8159- دیوان وفای شیرازی‏</w:t>
      </w:r>
      <w:bookmarkEnd w:id="10776"/>
    </w:p>
    <w:p>
      <w:pPr>
        <w:pStyle w:val="BookText"/>
      </w:pPr>
      <w:r>
        <w:rPr>
          <w:rFonts w:ascii="IRNazanin" w:hAnsi="IRNazanin" w:eastAsia="IRNazanin" w:cs="IRNazanin"/>
          <w:lang w:bidi="fa-IR"/>
          <w:color w:val="111111"/>
          <w:sz w:val="28"/>
          <w:szCs w:val="28"/>
          <w:rtl/>
        </w:rPr>
        <w:t xml:space="preserve">و اسمه محمد باقر بن صفای شیرازی المذکور فی ص 609 ترجم الوالد و الولد فی (عم- ص 510).</w:t>
      </w:r>
    </w:p>
    <w:p>
      <w:pPr>
        <w:pStyle w:val="Heading3"/>
      </w:pPr>
      <w:bookmarkStart w:id="10777" w:name="_Toc9473"/>
      <w:r>
        <w:t>8160- دیوان وفای فراهانی‏</w:t>
      </w:r>
      <w:bookmarkEnd w:id="10777"/>
    </w:p>
    <w:p>
      <w:pPr>
        <w:pStyle w:val="BookText"/>
      </w:pPr>
      <w:r>
        <w:rPr>
          <w:rFonts w:ascii="IRNazanin" w:hAnsi="IRNazanin" w:eastAsia="IRNazanin" w:cs="IRNazanin"/>
          <w:lang w:bidi="fa-IR"/>
          <w:color w:val="111111"/>
          <w:sz w:val="28"/>
          <w:szCs w:val="28"/>
          <w:rtl/>
        </w:rPr>
        <w:t xml:space="preserve">و اسمه محمد حسین وزیر صادق خان زند عم المیرزا عیسی قائم مقام. المتوفی 1209 ترجم فی (مع 2: 527) و (انجمن 4) و عنه فی ریحانة الأدب. و (الطرائق 3: 112) و (گلشن- ص 595) یوجد دیوانه عند (الملک).</w:t>
      </w:r>
    </w:p>
    <w:p>
      <w:pPr>
        <w:pStyle w:val="Heading3"/>
      </w:pPr>
      <w:bookmarkStart w:id="10778" w:name="_Toc9474"/>
      <w:r>
        <w:t>8161- دیوان وفای قمی أو شعره‏</w:t>
      </w:r>
      <w:bookmarkEnd w:id="10778"/>
    </w:p>
    <w:p>
      <w:pPr>
        <w:pStyle w:val="BookText"/>
      </w:pPr>
      <w:r>
        <w:rPr>
          <w:rFonts w:ascii="IRNazanin" w:hAnsi="IRNazanin" w:eastAsia="IRNazanin" w:cs="IRNazanin"/>
          <w:lang w:bidi="fa-IR"/>
          <w:color w:val="111111"/>
          <w:sz w:val="28"/>
          <w:szCs w:val="28"/>
          <w:rtl/>
        </w:rPr>
        <w:t xml:space="preserve">و اسمه شرف الدین علی خان. سافر إلی الهند فی عهد نادر و سکن بها ثلاثین سنة و مات حدود 1200 ترجم و ورد شعره فی (نتایج- ص 769) و (مع 2: 527) و قال فی (روشن- ص 760) إنه لقب أخیرا بآقاسی بیگ و راجع وفای همدانی.</w:t>
      </w:r>
    </w:p>
    <w:p>
      <w:pPr>
        <w:pStyle w:val="Heading3"/>
      </w:pPr>
      <w:bookmarkStart w:id="10779" w:name="_Toc9475"/>
      <w:r>
        <w:t>دیوان وفای کاشانی‏</w:t>
      </w:r>
      <w:bookmarkEnd w:id="10779"/>
    </w:p>
    <w:p>
      <w:pPr>
        <w:pStyle w:val="BookText"/>
      </w:pPr>
      <w:r>
        <w:rPr>
          <w:rFonts w:ascii="IRNazanin" w:hAnsi="IRNazanin" w:eastAsia="IRNazanin" w:cs="IRNazanin"/>
          <w:lang w:bidi="fa-IR"/>
          <w:color w:val="111111"/>
          <w:sz w:val="28"/>
          <w:szCs w:val="28"/>
          <w:rtl/>
        </w:rPr>
        <w:t xml:space="preserve">مر فی ص 1206 بعنوان نظام وفا و قد توفی 1384 و ترجم فی راهنمای کتاب عدد شتاء 1383. و ذکر ستة رسائل من تألیفاته.</w:t>
      </w:r>
    </w:p>
    <w:p>
      <w:pPr>
        <w:pStyle w:val="Heading3"/>
      </w:pPr>
      <w:bookmarkStart w:id="10780" w:name="_Toc9476"/>
      <w:r>
        <w:t>8162- دیوان وفای لکهنوی أو شعره‏</w:t>
      </w:r>
      <w:bookmarkEnd w:id="10780"/>
    </w:p>
    <w:p>
      <w:pPr>
        <w:pStyle w:val="BookText"/>
      </w:pPr>
      <w:r>
        <w:rPr>
          <w:rFonts w:ascii="IRNazanin" w:hAnsi="IRNazanin" w:eastAsia="IRNazanin" w:cs="IRNazanin"/>
          <w:lang w:bidi="fa-IR"/>
          <w:color w:val="111111"/>
          <w:sz w:val="28"/>
          <w:szCs w:val="28"/>
          <w:rtl/>
        </w:rPr>
        <w:t xml:space="preserve">و اسمه میرزا سید أخ النواب محمد تقی خان الفیض‏آبادی ورد شعره فی (گلشن- ص 595).</w:t>
      </w:r>
    </w:p>
    <w:p>
      <w:pPr>
        <w:pStyle w:val="Heading3"/>
      </w:pPr>
      <w:bookmarkStart w:id="10781" w:name="_Toc9477"/>
      <w:r>
        <w:t>8163- دیوان وفای مازندرانی‏</w:t>
      </w:r>
      <w:bookmarkEnd w:id="10781"/>
    </w:p>
    <w:p>
      <w:pPr>
        <w:pStyle w:val="BookText"/>
      </w:pPr>
      <w:r>
        <w:rPr>
          <w:rFonts w:ascii="IRNazanin" w:hAnsi="IRNazanin" w:eastAsia="IRNazanin" w:cs="IRNazanin"/>
          <w:lang w:bidi="fa-IR"/>
          <w:color w:val="111111"/>
          <w:sz w:val="28"/>
          <w:szCs w:val="28"/>
          <w:rtl/>
        </w:rPr>
        <w:t xml:space="preserve">و هو الحاج حسین علی النوری ابن علی أصغر من شعراء ناصر الدین شاه. ترجم فی (انجمن 4) و مات 1322. طبع دیوانه علی الحجر بطهران فی 1323 و هی قصائد و غزلیات و رباعیات. و له نصیحت آموزگار ألفه لولده محمد
</w:t>
      </w:r>
    </w:p>
    <w:p>
      <w:pPr>
        <w:sectPr>
          <w:footerReference w:type="default" r:id="rId1281"/>
          <w:footnotePr>
            <w:numStart w:val="1"/>
            <w:numRestart w:val="eachPage"/>
          </w:footnotePr>
          <w:pgSz w:orient="portrait" w:w="11905.511811023622" w:h="16837.79527559055"/>
          <w:pgMar w:top="1440" w:right="1440" w:bottom="1440" w:left="1440" w:header="720" w:footer="720" w:gutter="0"/>
          <w:cols w:num="1" w:space="720"/>
        </w:sectPr>
      </w:pPr>
    </w:p>
    <w:bookmarkStart w:id="1256" w:name="pg11704_122792"/>
    <w:bookmarkEnd w:id="1256"/>
    <w:p>
      <w:pPr>
        <w:pStyle w:val="BookText"/>
      </w:pPr>
      <w:r>
        <w:rPr>
          <w:rFonts w:ascii="IRNazanin" w:hAnsi="IRNazanin" w:eastAsia="IRNazanin" w:cs="IRNazanin"/>
          <w:lang w:bidi="fa-IR"/>
          <w:color w:val="111111"/>
          <w:sz w:val="28"/>
          <w:szCs w:val="28"/>
          <w:rtl/>
        </w:rPr>
        <w:t xml:space="preserve">و فرغ منه فی 1296.</w:t>
      </w:r>
    </w:p>
    <w:p>
      <w:pPr>
        <w:pStyle w:val="Heading3"/>
      </w:pPr>
      <w:bookmarkStart w:id="10782" w:name="_Toc9478"/>
      <w:r>
        <w:t>دیوان وفای هروی‏</w:t>
      </w:r>
      <w:bookmarkEnd w:id="10782"/>
    </w:p>
    <w:p>
      <w:pPr>
        <w:pStyle w:val="BookText"/>
      </w:pPr>
      <w:r>
        <w:rPr>
          <w:rFonts w:ascii="IRNazanin" w:hAnsi="IRNazanin" w:eastAsia="IRNazanin" w:cs="IRNazanin"/>
          <w:lang w:bidi="fa-IR"/>
          <w:color w:val="111111"/>
          <w:sz w:val="28"/>
          <w:szCs w:val="28"/>
          <w:rtl/>
        </w:rPr>
        <w:t xml:space="preserve">راجع وفائی هروی.</w:t>
      </w:r>
    </w:p>
    <w:p>
      <w:pPr>
        <w:pStyle w:val="Heading3"/>
      </w:pPr>
      <w:bookmarkStart w:id="10783" w:name="_Toc9479"/>
      <w:r>
        <w:t>دیوان وفای همدانی‏</w:t>
      </w:r>
      <w:bookmarkEnd w:id="10783"/>
    </w:p>
    <w:p>
      <w:pPr>
        <w:pStyle w:val="BookText"/>
      </w:pPr>
      <w:r>
        <w:rPr>
          <w:rFonts w:ascii="IRNazanin" w:hAnsi="IRNazanin" w:eastAsia="IRNazanin" w:cs="IRNazanin"/>
          <w:lang w:bidi="fa-IR"/>
          <w:color w:val="111111"/>
          <w:sz w:val="28"/>
          <w:szCs w:val="28"/>
          <w:rtl/>
        </w:rPr>
        <w:t xml:space="preserve">و اسمه محمد علی کما فی (گلشن- ص 596) و الظاهر أنه متحد مع وفای قمی.</w:t>
      </w:r>
    </w:p>
    <w:p>
      <w:pPr>
        <w:pStyle w:val="Heading3"/>
      </w:pPr>
      <w:bookmarkStart w:id="10784" w:name="_Toc9480"/>
      <w:r>
        <w:t>دیوان وفای یزدی‏</w:t>
      </w:r>
      <w:bookmarkEnd w:id="10784"/>
    </w:p>
    <w:p>
      <w:pPr>
        <w:pStyle w:val="BookText"/>
      </w:pPr>
      <w:r>
        <w:rPr>
          <w:rFonts w:ascii="IRNazanin" w:hAnsi="IRNazanin" w:eastAsia="IRNazanin" w:cs="IRNazanin"/>
          <w:lang w:bidi="fa-IR"/>
          <w:color w:val="111111"/>
          <w:sz w:val="28"/>
          <w:szCs w:val="28"/>
          <w:rtl/>
        </w:rPr>
        <w:t xml:space="preserve">و اسمه محمد کما فی (تش یز- ص 342) نقلا عن مجمع الفصحاء و الصحیح وفائی یزدی.</w:t>
      </w:r>
    </w:p>
    <w:p>
      <w:pPr>
        <w:pStyle w:val="Heading3"/>
      </w:pPr>
      <w:bookmarkStart w:id="10785" w:name="_Toc9481"/>
      <w:r>
        <w:t>دیوان وفائی آملی‏</w:t>
      </w:r>
      <w:bookmarkEnd w:id="10785"/>
    </w:p>
    <w:p>
      <w:pPr>
        <w:pStyle w:val="BookText"/>
      </w:pPr>
      <w:r>
        <w:rPr>
          <w:rFonts w:ascii="IRNazanin" w:hAnsi="IRNazanin" w:eastAsia="IRNazanin" w:cs="IRNazanin"/>
          <w:lang w:bidi="fa-IR"/>
          <w:color w:val="111111"/>
          <w:sz w:val="28"/>
          <w:szCs w:val="28"/>
          <w:rtl/>
        </w:rPr>
        <w:t xml:space="preserve">مر بعنوان زمانی آملی. فی ص 406.</w:t>
      </w:r>
    </w:p>
    <w:p>
      <w:pPr>
        <w:pStyle w:val="Heading3"/>
      </w:pPr>
      <w:bookmarkStart w:id="10786" w:name="_Toc9482"/>
      <w:r>
        <w:t>8164- دیوان وفائی أردبیلی أو شعره‏</w:t>
      </w:r>
      <w:bookmarkEnd w:id="10786"/>
    </w:p>
    <w:p>
      <w:pPr>
        <w:pStyle w:val="BookText"/>
      </w:pPr>
      <w:r>
        <w:rPr>
          <w:rFonts w:ascii="IRNazanin" w:hAnsi="IRNazanin" w:eastAsia="IRNazanin" w:cs="IRNazanin"/>
          <w:lang w:bidi="fa-IR"/>
          <w:color w:val="111111"/>
          <w:sz w:val="28"/>
          <w:szCs w:val="28"/>
          <w:rtl/>
        </w:rPr>
        <w:t xml:space="preserve">ورد شعره فی (تس 5- ص 151) و (گلشن- ص 596) و (دجا- ص 394).</w:t>
      </w:r>
    </w:p>
    <w:p>
      <w:pPr>
        <w:pStyle w:val="Heading3"/>
      </w:pPr>
      <w:bookmarkStart w:id="10787" w:name="_Toc9483"/>
      <w:r>
        <w:t>8165- دیوان وفائی أصفهانی أو شعره‏</w:t>
      </w:r>
      <w:bookmarkEnd w:id="10787"/>
    </w:p>
    <w:p>
      <w:pPr>
        <w:pStyle w:val="BookText"/>
      </w:pPr>
      <w:r>
        <w:rPr>
          <w:rFonts w:ascii="IRNazanin" w:hAnsi="IRNazanin" w:eastAsia="IRNazanin" w:cs="IRNazanin"/>
          <w:lang w:bidi="fa-IR"/>
          <w:color w:val="111111"/>
          <w:sz w:val="28"/>
          <w:szCs w:val="28"/>
          <w:rtl/>
        </w:rPr>
        <w:t xml:space="preserve">هو من ملازمی زین خان کوکلتاش. ورد شعره فی (گلشن- ص 596) و (طبق 2: 516).</w:t>
      </w:r>
    </w:p>
    <w:p>
      <w:pPr>
        <w:pStyle w:val="Heading3"/>
      </w:pPr>
      <w:bookmarkStart w:id="10788" w:name="_Toc9484"/>
      <w:r>
        <w:t>8166- دیوان وفائی أصفهانی‏</w:t>
      </w:r>
      <w:bookmarkEnd w:id="10788"/>
    </w:p>
    <w:p>
      <w:pPr>
        <w:pStyle w:val="BookText"/>
      </w:pPr>
      <w:r>
        <w:rPr>
          <w:rFonts w:ascii="IRNazanin" w:hAnsi="IRNazanin" w:eastAsia="IRNazanin" w:cs="IRNazanin"/>
          <w:lang w:bidi="fa-IR"/>
          <w:color w:val="111111"/>
          <w:sz w:val="28"/>
          <w:szCs w:val="28"/>
          <w:rtl/>
        </w:rPr>
        <w:t xml:space="preserve">هو ابن ضمیری و ابن أخت نیکی. ترجم فی هفت إقلیم و (خوش‏گو) و کان أعمی و لا أظنه المذکور فی (خص 8- ص 289) و احتمل فی (گلشن- ص 762) اتحاده مع وفائی مشهدی.</w:t>
      </w:r>
    </w:p>
    <w:p>
      <w:pPr>
        <w:pStyle w:val="Heading3"/>
      </w:pPr>
      <w:bookmarkStart w:id="10789" w:name="_Toc9485"/>
      <w:r>
        <w:t>8167- دیوان وفائی أکبرآبادی‏</w:t>
      </w:r>
      <w:bookmarkEnd w:id="10789"/>
    </w:p>
    <w:p>
      <w:pPr>
        <w:pStyle w:val="BookText"/>
      </w:pPr>
      <w:r>
        <w:rPr>
          <w:rFonts w:ascii="IRNazanin" w:hAnsi="IRNazanin" w:eastAsia="IRNazanin" w:cs="IRNazanin"/>
          <w:lang w:bidi="fa-IR"/>
          <w:color w:val="111111"/>
          <w:sz w:val="28"/>
          <w:szCs w:val="28"/>
          <w:rtl/>
        </w:rPr>
        <w:t xml:space="preserve">و هو الشیخ زین الدین الخوافی من شعراء بابر شاه و همایون. مهر فی نظم المعمی و التاریخ و مات 944. ترجم فی (گلشن- ص 596) و (خوش‏گو) و عنهما فی القاموس الترکی ثم الریحانة. و یوجد نسخه منه فی (بنگاله).</w:t>
      </w:r>
    </w:p>
    <w:p>
      <w:pPr>
        <w:pStyle w:val="Heading3"/>
      </w:pPr>
      <w:bookmarkStart w:id="10790" w:name="_Toc9486"/>
      <w:r>
        <w:t>8168- دیوان وفائی بدخشانی أو شعره‏</w:t>
      </w:r>
      <w:bookmarkEnd w:id="10790"/>
    </w:p>
    <w:p>
      <w:pPr>
        <w:pStyle w:val="BookText"/>
      </w:pPr>
      <w:r>
        <w:rPr>
          <w:rFonts w:ascii="IRNazanin" w:hAnsi="IRNazanin" w:eastAsia="IRNazanin" w:cs="IRNazanin"/>
          <w:lang w:bidi="fa-IR"/>
          <w:color w:val="111111"/>
          <w:sz w:val="28"/>
          <w:szCs w:val="28"/>
          <w:rtl/>
        </w:rPr>
        <w:t xml:space="preserve">و اسمه میرزا إبراهیم بن سلیمان میرزا و کان منشیا لحکام أفغانستان و مات 967 ترجم فی (گلشن- ص 594) و (روشن- ص 762) و لعله المذکور فی (تس 5- ص 160).</w:t>
      </w:r>
    </w:p>
    <w:p>
      <w:pPr>
        <w:pStyle w:val="Heading3"/>
      </w:pPr>
      <w:bookmarkStart w:id="10791" w:name="_Toc9487"/>
      <w:r>
        <w:t>8169- دیوان وفائی تاجیک أو شعره‏</w:t>
      </w:r>
      <w:bookmarkEnd w:id="10791"/>
    </w:p>
    <w:p>
      <w:pPr>
        <w:pStyle w:val="BookText"/>
      </w:pPr>
      <w:r>
        <w:rPr>
          <w:rFonts w:ascii="IRNazanin" w:hAnsi="IRNazanin" w:eastAsia="IRNazanin" w:cs="IRNazanin"/>
          <w:lang w:bidi="fa-IR"/>
          <w:color w:val="111111"/>
          <w:sz w:val="28"/>
          <w:szCs w:val="28"/>
          <w:rtl/>
        </w:rPr>
        <w:t xml:space="preserve">قال سام میرزا فی (تس 6- ص 186) إنه من الترک و نشا فی التاجیک و أورد شعره.</w:t>
      </w:r>
    </w:p>
    <w:p>
      <w:pPr>
        <w:pStyle w:val="Heading3"/>
      </w:pPr>
      <w:bookmarkStart w:id="10792" w:name="_Toc9488"/>
      <w:r>
        <w:t>8170- دیوان وفائی تبریزی أو شعره‏</w:t>
      </w:r>
      <w:bookmarkEnd w:id="10792"/>
    </w:p>
    <w:p>
      <w:pPr>
        <w:pStyle w:val="BookText"/>
      </w:pPr>
      <w:r>
        <w:rPr>
          <w:rFonts w:ascii="IRNazanin" w:hAnsi="IRNazanin" w:eastAsia="IRNazanin" w:cs="IRNazanin"/>
          <w:lang w:bidi="fa-IR"/>
          <w:color w:val="111111"/>
          <w:sz w:val="28"/>
          <w:szCs w:val="28"/>
          <w:rtl/>
        </w:rPr>
        <w:t xml:space="preserve">عده فی (قز مج 6- ص 301) من شعراء السلطان یعقوب.</w:t>
      </w:r>
    </w:p>
    <w:p>
      <w:pPr>
        <w:pStyle w:val="Heading3"/>
      </w:pPr>
      <w:bookmarkStart w:id="10793" w:name="_Toc9489"/>
      <w:r>
        <w:t>8171- دیوان وفائی تفرشی أو شعره‏</w:t>
      </w:r>
      <w:bookmarkEnd w:id="10793"/>
    </w:p>
    <w:p>
      <w:pPr>
        <w:pStyle w:val="BookText"/>
      </w:pPr>
      <w:r>
        <w:rPr>
          <w:rFonts w:ascii="IRNazanin" w:hAnsi="IRNazanin" w:eastAsia="IRNazanin" w:cs="IRNazanin"/>
          <w:lang w:bidi="fa-IR"/>
          <w:color w:val="111111"/>
          <w:sz w:val="28"/>
          <w:szCs w:val="28"/>
          <w:rtl/>
        </w:rPr>
        <w:t xml:space="preserve">و اسمه عبد الله بیگ ترجم فی (انجمن 3)
</w:t>
      </w:r>
    </w:p>
    <w:p>
      <w:pPr>
        <w:sectPr>
          <w:footerReference w:type="default" r:id="rId1282"/>
          <w:footnotePr>
            <w:numStart w:val="1"/>
            <w:numRestart w:val="eachPage"/>
          </w:footnotePr>
          <w:pgSz w:orient="portrait" w:w="11905.511811023622" w:h="16837.79527559055"/>
          <w:pgMar w:top="1440" w:right="1440" w:bottom="1440" w:left="1440" w:header="720" w:footer="720" w:gutter="0"/>
          <w:cols w:num="1" w:space="720"/>
        </w:sectPr>
      </w:pPr>
    </w:p>
    <w:bookmarkStart w:id="1257" w:name="pg11704_122794"/>
    <w:bookmarkEnd w:id="1257"/>
    <w:p>
      <w:pPr>
        <w:pStyle w:val="BookText"/>
      </w:pPr>
      <w:r>
        <w:rPr>
          <w:rFonts w:ascii="IRNazanin" w:hAnsi="IRNazanin" w:eastAsia="IRNazanin" w:cs="IRNazanin"/>
          <w:lang w:bidi="fa-IR"/>
          <w:color w:val="111111"/>
          <w:sz w:val="28"/>
          <w:szCs w:val="28"/>
          <w:rtl/>
        </w:rPr>
        <w:t xml:space="preserve">و (مع 2: 566) و ذکر أنه ملازم ظل السلطان شیخ علی میرزا.</w:t>
      </w:r>
    </w:p>
    <w:p>
      <w:pPr>
        <w:pStyle w:val="Heading3"/>
      </w:pPr>
      <w:bookmarkStart w:id="10794" w:name="_Toc9490"/>
      <w:r>
        <w:t>دیوان وفائی خراسانی‏</w:t>
      </w:r>
      <w:bookmarkEnd w:id="10794"/>
    </w:p>
    <w:p>
      <w:pPr>
        <w:pStyle w:val="BookText"/>
      </w:pPr>
      <w:r>
        <w:rPr>
          <w:rFonts w:ascii="IRNazanin" w:hAnsi="IRNazanin" w:eastAsia="IRNazanin" w:cs="IRNazanin"/>
          <w:lang w:bidi="fa-IR"/>
          <w:color w:val="111111"/>
          <w:sz w:val="28"/>
          <w:szCs w:val="28"/>
          <w:rtl/>
        </w:rPr>
        <w:t xml:space="preserve">راجع وفائی کاشغری.</w:t>
      </w:r>
    </w:p>
    <w:p>
      <w:pPr>
        <w:pStyle w:val="Heading3"/>
      </w:pPr>
      <w:bookmarkStart w:id="10795" w:name="_Toc9491"/>
      <w:r>
        <w:t>دیوان وفائی خوافی‏</w:t>
      </w:r>
      <w:bookmarkEnd w:id="10795"/>
    </w:p>
    <w:p>
      <w:pPr>
        <w:pStyle w:val="BookText"/>
      </w:pPr>
      <w:r>
        <w:rPr>
          <w:rFonts w:ascii="IRNazanin" w:hAnsi="IRNazanin" w:eastAsia="IRNazanin" w:cs="IRNazanin"/>
          <w:lang w:bidi="fa-IR"/>
          <w:color w:val="111111"/>
          <w:sz w:val="28"/>
          <w:szCs w:val="28"/>
          <w:rtl/>
        </w:rPr>
        <w:t xml:space="preserve">راجع وفائی أکبرآبادی.</w:t>
      </w:r>
    </w:p>
    <w:p>
      <w:pPr>
        <w:pStyle w:val="Heading3"/>
      </w:pPr>
      <w:bookmarkStart w:id="10796" w:name="_Toc9492"/>
      <w:r>
        <w:t>8172- دیوان وفائی دکنی‏</w:t>
      </w:r>
      <w:bookmarkEnd w:id="10796"/>
    </w:p>
    <w:p>
      <w:pPr>
        <w:pStyle w:val="BookText"/>
      </w:pPr>
      <w:r>
        <w:rPr>
          <w:rFonts w:ascii="IRNazanin" w:hAnsi="IRNazanin" w:eastAsia="IRNazanin" w:cs="IRNazanin"/>
          <w:lang w:bidi="fa-IR"/>
          <w:color w:val="111111"/>
          <w:sz w:val="28"/>
          <w:szCs w:val="28"/>
          <w:rtl/>
        </w:rPr>
        <w:t xml:space="preserve">و هو السلطان إسماعیل عادل شاه بن یوسف عادل شاه من ملوک عادلشاهیة ببلدة بیجاپور. جلس بعد أبیه و کثر حروبه و مات 941 و یأتی أبوه یوسف عادل شاه. ترجم فی (مع 1: 62) و (روشن- ص 761).</w:t>
      </w:r>
    </w:p>
    <w:p>
      <w:pPr>
        <w:pStyle w:val="Heading3"/>
      </w:pPr>
      <w:bookmarkStart w:id="10797" w:name="_Toc9493"/>
      <w:r>
        <w:t>8173- دیوان وفائی دهلوی أو شعره‏</w:t>
      </w:r>
      <w:bookmarkEnd w:id="10797"/>
    </w:p>
    <w:p>
      <w:pPr>
        <w:pStyle w:val="BookText"/>
      </w:pPr>
      <w:r>
        <w:rPr>
          <w:rFonts w:ascii="IRNazanin" w:hAnsi="IRNazanin" w:eastAsia="IRNazanin" w:cs="IRNazanin"/>
          <w:lang w:bidi="fa-IR"/>
          <w:color w:val="111111"/>
          <w:sz w:val="28"/>
          <w:szCs w:val="28"/>
          <w:rtl/>
        </w:rPr>
        <w:t xml:space="preserve">و اسمه علی مردان ابن عمه واله الداغستانی صاحب ریاض الشعراء ورد شعره فی (گلشن- ص 597).</w:t>
      </w:r>
    </w:p>
    <w:p>
      <w:pPr>
        <w:pStyle w:val="Heading3"/>
      </w:pPr>
      <w:bookmarkStart w:id="10798" w:name="_Toc9494"/>
      <w:r>
        <w:t>8174- دیوان وفائی دهلوی أو شعره‏</w:t>
      </w:r>
      <w:bookmarkEnd w:id="10798"/>
    </w:p>
    <w:p>
      <w:pPr>
        <w:pStyle w:val="BookText"/>
      </w:pPr>
      <w:r>
        <w:rPr>
          <w:rFonts w:ascii="IRNazanin" w:hAnsi="IRNazanin" w:eastAsia="IRNazanin" w:cs="IRNazanin"/>
          <w:lang w:bidi="fa-IR"/>
          <w:color w:val="111111"/>
          <w:sz w:val="28"/>
          <w:szCs w:val="28"/>
          <w:rtl/>
        </w:rPr>
        <w:t xml:space="preserve">و هو حفید علی مردان خان. ورد شعره فی (گلشن- ص 596).</w:t>
      </w:r>
    </w:p>
    <w:p>
      <w:pPr>
        <w:pStyle w:val="Heading3"/>
      </w:pPr>
      <w:bookmarkStart w:id="10799" w:name="_Toc9495"/>
      <w:r>
        <w:t>8175- دیوان وفائی رازی أو شعره‏</w:t>
      </w:r>
      <w:bookmarkEnd w:id="10799"/>
    </w:p>
    <w:p>
      <w:pPr>
        <w:pStyle w:val="BookText"/>
      </w:pPr>
      <w:r>
        <w:rPr>
          <w:rFonts w:ascii="IRNazanin" w:hAnsi="IRNazanin" w:eastAsia="IRNazanin" w:cs="IRNazanin"/>
          <w:lang w:bidi="fa-IR"/>
          <w:color w:val="111111"/>
          <w:sz w:val="28"/>
          <w:szCs w:val="28"/>
          <w:rtl/>
        </w:rPr>
        <w:t xml:space="preserve">و هو من العرفاء النور بخشیة ورد شعره فی (تس 5- ص 163).</w:t>
      </w:r>
    </w:p>
    <w:p>
      <w:pPr>
        <w:pStyle w:val="Heading3"/>
      </w:pPr>
      <w:bookmarkStart w:id="10800" w:name="_Toc9496"/>
      <w:r>
        <w:t>8176- دیوان وفائی سبزواری أو شعره‏</w:t>
      </w:r>
      <w:bookmarkEnd w:id="10800"/>
    </w:p>
    <w:p>
      <w:pPr>
        <w:pStyle w:val="BookText"/>
      </w:pPr>
      <w:r>
        <w:rPr>
          <w:rFonts w:ascii="IRNazanin" w:hAnsi="IRNazanin" w:eastAsia="IRNazanin" w:cs="IRNazanin"/>
          <w:lang w:bidi="fa-IR"/>
          <w:color w:val="111111"/>
          <w:sz w:val="28"/>
          <w:szCs w:val="28"/>
          <w:rtl/>
        </w:rPr>
        <w:t xml:space="preserve">قال سام میرزا فی (تس 5- ص 141) إن شغله والاباف و هو عالم بالتأریخ.</w:t>
      </w:r>
    </w:p>
    <w:p>
      <w:pPr>
        <w:pStyle w:val="Heading3"/>
      </w:pPr>
      <w:bookmarkStart w:id="10801" w:name="_Toc9497"/>
      <w:r>
        <w:t>8177- دیوان وفائی سمنانی أو شعره‏</w:t>
      </w:r>
      <w:bookmarkEnd w:id="10801"/>
    </w:p>
    <w:p>
      <w:pPr>
        <w:pStyle w:val="BookText"/>
      </w:pPr>
      <w:r>
        <w:rPr>
          <w:rFonts w:ascii="IRNazanin" w:hAnsi="IRNazanin" w:eastAsia="IRNazanin" w:cs="IRNazanin"/>
          <w:lang w:bidi="fa-IR"/>
          <w:color w:val="111111"/>
          <w:sz w:val="28"/>
          <w:szCs w:val="28"/>
          <w:rtl/>
        </w:rPr>
        <w:t xml:space="preserve">من أولاد وزراء سمنان. خطاط بالتعلیق و ماهر فی السیاق. أورد شعره فی (تس 5- 148).</w:t>
      </w:r>
    </w:p>
    <w:p>
      <w:pPr>
        <w:pStyle w:val="Heading3"/>
      </w:pPr>
      <w:bookmarkStart w:id="10802" w:name="_Toc9498"/>
      <w:r>
        <w:t>8178- دیوان وفائی شوشتری‏</w:t>
      </w:r>
      <w:bookmarkEnd w:id="10802"/>
    </w:p>
    <w:p>
      <w:pPr>
        <w:pStyle w:val="BookText"/>
      </w:pPr>
      <w:r>
        <w:rPr>
          <w:rFonts w:ascii="IRNazanin" w:hAnsi="IRNazanin" w:eastAsia="IRNazanin" w:cs="IRNazanin"/>
          <w:lang w:bidi="fa-IR"/>
          <w:color w:val="111111"/>
          <w:sz w:val="28"/>
          <w:szCs w:val="28"/>
          <w:rtl/>
        </w:rPr>
        <w:t xml:space="preserve">هو الحاج المولی فتح الله بن المولی حسن بن العالم الحاج مولی رحیم المدفون بمقام السید صالح فی تستر. کان جده من بریة قرب فلاحیة خوزستان کما حکاه لی ابن أخ الوفائی و صهره علی بنته عند مجیئه للزیارة فی حدود 1350 و هو المولی کریم بن المولی أحمد بن المولی حسن المذکور، والد الوفائی، کان هو من المعمرین و کان معاصرا أو مصاحبا مع الحاج الشیخ جعفر التستری المتوفی 1303 و توفی الوفائی بعده بسنة 1304 و قد کتب بأمره الشهاب الثاقب فی رد الصوفیة. و نعرف من تلامیذ الوفائی، الشیخ علی بن محمد صالح التستری الذی کتب بخطه المعالم فی 1249 ثم قرأه علی الوفائی و علیه البلاغات منه. و النسخة عند السید آقا التستری. و حضر الشیخ علی بعد ذلک علی صاحب الفصول و الشیخ الأنصاری،
</w:t>
      </w:r>
    </w:p>
    <w:p>
      <w:pPr>
        <w:sectPr>
          <w:footerReference w:type="default" r:id="rId1283"/>
          <w:footnotePr>
            <w:numStart w:val="1"/>
            <w:numRestart w:val="eachPage"/>
          </w:footnotePr>
          <w:pgSz w:orient="portrait" w:w="11905.511811023622" w:h="16837.79527559055"/>
          <w:pgMar w:top="1440" w:right="1440" w:bottom="1440" w:left="1440" w:header="720" w:footer="720" w:gutter="0"/>
          <w:cols w:num="1" w:space="720"/>
        </w:sectPr>
      </w:pPr>
    </w:p>
    <w:bookmarkStart w:id="1258" w:name="pg11704_122796"/>
    <w:bookmarkEnd w:id="1258"/>
    <w:p>
      <w:pPr>
        <w:pStyle w:val="BookText"/>
      </w:pPr>
      <w:r>
        <w:rPr>
          <w:rFonts w:ascii="IRNazanin" w:hAnsi="IRNazanin" w:eastAsia="IRNazanin" w:cs="IRNazanin"/>
          <w:lang w:bidi="fa-IR"/>
          <w:color w:val="111111"/>
          <w:sz w:val="28"/>
          <w:szCs w:val="28"/>
          <w:rtl/>
        </w:rPr>
        <w:t xml:space="preserve">و کتب بخطه مجموعة کشکولیة ذکر فیها أن الشیخ قاسم الأدیب الشاعر البصیر الحائری الساکن فی صحن العباس بکربلاء. أنشأ قصیدة فی مدح أستاذه الوفائی و قرأها علیه فی داره فی رجب 1266 أولها:</w:t>
      </w:r>
    </w:p>
    <w:p>
      <w:pPr>
        <w:pStyle w:val="BookText"/>
      </w:pPr>
      <w:r>
        <w:rPr>
          <w:rFonts w:ascii="IRNazanin" w:hAnsi="IRNazanin" w:eastAsia="IRNazanin" w:cs="IRNazanin"/>
          <w:lang w:bidi="fa-IR"/>
          <w:color w:val="111111"/>
          <w:sz w:val="28"/>
          <w:szCs w:val="28"/>
          <w:rtl/>
        </w:rPr>
        <w:t xml:space="preserve">حق علی کل أهل الفضل و الأدب‏</w:t>
      </w:r>
    </w:p>
    <w:p>
      <w:pPr>
        <w:pStyle w:val="BookText"/>
      </w:pPr>
      <w:r>
        <w:rPr>
          <w:rFonts w:ascii="IRNazanin" w:hAnsi="IRNazanin" w:eastAsia="IRNazanin" w:cs="IRNazanin"/>
          <w:lang w:bidi="fa-IR"/>
          <w:color w:val="111111"/>
          <w:sz w:val="28"/>
          <w:szCs w:val="28"/>
          <w:rtl/>
        </w:rPr>
        <w:t xml:space="preserve">هواک یا نور بدر المجد و الرتب‏</w:t>
      </w:r>
    </w:p>
    <w:p>
      <w:pPr>
        <w:pStyle w:val="BookText"/>
      </w:pPr>
      <w:r>
        <w:rPr>
          <w:rFonts w:ascii="IRNazanin" w:hAnsi="IRNazanin" w:eastAsia="IRNazanin" w:cs="IRNazanin"/>
          <w:lang w:bidi="fa-IR"/>
          <w:color w:val="111111"/>
          <w:sz w:val="28"/>
          <w:szCs w:val="28"/>
          <w:rtl/>
        </w:rPr>
        <w:t xml:space="preserve">إلی قوله:</w:t>
      </w:r>
    </w:p>
    <w:p>
      <w:pPr>
        <w:pStyle w:val="BookText"/>
      </w:pPr>
      <w:r>
        <w:rPr>
          <w:rFonts w:ascii="IRNazanin" w:hAnsi="IRNazanin" w:eastAsia="IRNazanin" w:cs="IRNazanin"/>
          <w:lang w:bidi="fa-IR"/>
          <w:color w:val="111111"/>
          <w:sz w:val="28"/>
          <w:szCs w:val="28"/>
          <w:rtl/>
        </w:rPr>
        <w:t xml:space="preserve">أضحت به ششتر من حیث حل بها</w:t>
      </w:r>
    </w:p>
    <w:p>
      <w:pPr>
        <w:pStyle w:val="BookText"/>
      </w:pPr>
      <w:r>
        <w:rPr>
          <w:rFonts w:ascii="IRNazanin" w:hAnsi="IRNazanin" w:eastAsia="IRNazanin" w:cs="IRNazanin"/>
          <w:lang w:bidi="fa-IR"/>
          <w:color w:val="111111"/>
          <w:sz w:val="28"/>
          <w:szCs w:val="28"/>
          <w:rtl/>
        </w:rPr>
        <w:t xml:space="preserve">أعلی المدائن من شام و من حلب‏</w:t>
      </w:r>
    </w:p>
    <w:p>
      <w:pPr>
        <w:pStyle w:val="BookText"/>
      </w:pPr>
      <w:r>
        <w:rPr>
          <w:rFonts w:ascii="IRNazanin" w:hAnsi="IRNazanin" w:eastAsia="IRNazanin" w:cs="IRNazanin"/>
          <w:lang w:bidi="fa-IR"/>
          <w:color w:val="111111"/>
          <w:sz w:val="28"/>
          <w:szCs w:val="28"/>
          <w:rtl/>
        </w:rPr>
        <w:t xml:space="preserve">و المجموعة عند الشیخ مهدی شرف الدین فی تستر کما کتبه إلینا. أقول الشیخ قاسم المذکور هو قاسم بن محمد بن علی بن أحمد الحائری الشهیر بالشیخ قاسم الهر المولود 1216 و المتوفی بعد کف بصره 1276 و دفن قرب باب السدرة قریبا من الشیخ خلف عسکر الحائری. و القصیدة مصنوعة یبدأ مصاریعها الأولی بحروف [حاج میرزا فتح الله‏] و مصاریعها الثانیة بمقلوب هذه الحروف. و آخرها قوله:</w:t>
      </w:r>
    </w:p>
    <w:p>
      <w:pPr>
        <w:pStyle w:val="BookText"/>
      </w:pPr>
      <w:r>
        <w:rPr>
          <w:rFonts w:ascii="IRNazanin" w:hAnsi="IRNazanin" w:eastAsia="IRNazanin" w:cs="IRNazanin"/>
          <w:lang w:bidi="fa-IR"/>
          <w:color w:val="111111"/>
          <w:sz w:val="28"/>
          <w:szCs w:val="28"/>
          <w:rtl/>
        </w:rPr>
        <w:t xml:space="preserve">هو الإمام هو القرم الهمام و قد</w:t>
      </w:r>
    </w:p>
    <w:p>
      <w:pPr>
        <w:pStyle w:val="BookText"/>
      </w:pPr>
      <w:r>
        <w:rPr>
          <w:rFonts w:ascii="IRNazanin" w:hAnsi="IRNazanin" w:eastAsia="IRNazanin" w:cs="IRNazanin"/>
          <w:lang w:bidi="fa-IR"/>
          <w:color w:val="111111"/>
          <w:sz w:val="28"/>
          <w:szCs w:val="28"/>
          <w:rtl/>
        </w:rPr>
        <w:t xml:space="preserve">حق الثناء له من کل ذی أدب‏</w:t>
      </w:r>
    </w:p>
    <w:p>
      <w:pPr>
        <w:pStyle w:val="BookText"/>
      </w:pPr>
      <w:r>
        <w:rPr>
          <w:rFonts w:ascii="IRNazanin" w:hAnsi="IRNazanin" w:eastAsia="IRNazanin" w:cs="IRNazanin"/>
          <w:lang w:bidi="fa-IR"/>
          <w:color w:val="111111"/>
          <w:sz w:val="28"/>
          <w:szCs w:val="28"/>
          <w:rtl/>
        </w:rPr>
        <w:t xml:space="preserve">و دیوانه المراثی طبع مکررا. و یوجد نسخه منه فی (المجلس) خلطه ابن یوسف مع عبد الرسول مداح شوشتری فی فهرسه 3: 679. و نسخه عند (الملک) و طبع فی بمبئی 1298 و مر له سراج المحتاج.</w:t>
      </w:r>
    </w:p>
    <w:p>
      <w:pPr>
        <w:pStyle w:val="Heading3"/>
      </w:pPr>
      <w:bookmarkStart w:id="10803" w:name="_Toc9499"/>
      <w:r>
        <w:t>8179- دیوان وفائی شیرازی أو شعره‏</w:t>
      </w:r>
      <w:bookmarkEnd w:id="10803"/>
    </w:p>
    <w:p>
      <w:pPr>
        <w:pStyle w:val="BookText"/>
      </w:pPr>
      <w:r>
        <w:rPr>
          <w:rFonts w:ascii="IRNazanin" w:hAnsi="IRNazanin" w:eastAsia="IRNazanin" w:cs="IRNazanin"/>
          <w:lang w:bidi="fa-IR"/>
          <w:color w:val="111111"/>
          <w:sz w:val="28"/>
          <w:szCs w:val="28"/>
          <w:rtl/>
        </w:rPr>
        <w:t xml:space="preserve">و اسمه ملا حسین ذکر فی (گلشن- ص 597) و احتمل اتحاده مع الأصفهانی أو المشهدی.</w:t>
      </w:r>
    </w:p>
    <w:p>
      <w:pPr>
        <w:pStyle w:val="Heading3"/>
      </w:pPr>
      <w:bookmarkStart w:id="10804" w:name="_Toc9500"/>
      <w:r>
        <w:t>دیوان وفائی قمی‏</w:t>
      </w:r>
      <w:bookmarkEnd w:id="10804"/>
    </w:p>
    <w:p>
      <w:pPr>
        <w:pStyle w:val="BookText"/>
      </w:pPr>
      <w:r>
        <w:rPr>
          <w:rFonts w:ascii="IRNazanin" w:hAnsi="IRNazanin" w:eastAsia="IRNazanin" w:cs="IRNazanin"/>
          <w:lang w:bidi="fa-IR"/>
          <w:color w:val="111111"/>
          <w:sz w:val="28"/>
          <w:szCs w:val="28"/>
          <w:rtl/>
        </w:rPr>
        <w:t xml:space="preserve">راجع وفای قمی.</w:t>
      </w:r>
    </w:p>
    <w:p>
      <w:pPr>
        <w:pStyle w:val="Heading3"/>
      </w:pPr>
      <w:bookmarkStart w:id="10805" w:name="_Toc9501"/>
      <w:r>
        <w:t>8180- دیوان وفائی کرد أو شعره‏</w:t>
      </w:r>
      <w:bookmarkEnd w:id="10805"/>
    </w:p>
    <w:p>
      <w:pPr>
        <w:pStyle w:val="BookText"/>
      </w:pPr>
      <w:r>
        <w:rPr>
          <w:rFonts w:ascii="IRNazanin" w:hAnsi="IRNazanin" w:eastAsia="IRNazanin" w:cs="IRNazanin"/>
          <w:lang w:bidi="fa-IR"/>
          <w:color w:val="111111"/>
          <w:sz w:val="28"/>
          <w:szCs w:val="28"/>
          <w:rtl/>
        </w:rPr>
        <w:t xml:space="preserve">هو من أکراد عمادیة ورد شعره فی (تش- ص 23).</w:t>
      </w:r>
    </w:p>
    <w:p>
      <w:pPr>
        <w:pStyle w:val="Heading3"/>
      </w:pPr>
      <w:bookmarkStart w:id="10806" w:name="_Toc9502"/>
      <w:r>
        <w:t>8181- دیوان وفائی کاشغری أو شعره‏</w:t>
      </w:r>
      <w:bookmarkEnd w:id="10806"/>
    </w:p>
    <w:p>
      <w:pPr>
        <w:pStyle w:val="BookText"/>
      </w:pPr>
      <w:r>
        <w:rPr>
          <w:rFonts w:ascii="IRNazanin" w:hAnsi="IRNazanin" w:eastAsia="IRNazanin" w:cs="IRNazanin"/>
          <w:lang w:bidi="fa-IR"/>
          <w:color w:val="111111"/>
          <w:sz w:val="28"/>
          <w:szCs w:val="28"/>
          <w:rtl/>
        </w:rPr>
        <w:t xml:space="preserve">و اسمه أمیر أحمد حاجی بیک ابن سلطان ملک الکاشغری والی هرات ثم سمرقند. ترجمه علی شیر فی (مجن 6- ص 114 و 286) و هو الذی بدل تخلص زمانی کما ذکرناه فی ص 406.</w:t>
      </w:r>
    </w:p>
    <w:p>
      <w:pPr>
        <w:pStyle w:val="Heading3"/>
      </w:pPr>
      <w:bookmarkStart w:id="10807" w:name="_Toc9503"/>
      <w:r>
        <w:t>دیوان وفائی مشهدی‏</w:t>
      </w:r>
      <w:bookmarkEnd w:id="10807"/>
    </w:p>
    <w:p>
      <w:pPr>
        <w:pStyle w:val="BookText"/>
      </w:pPr>
      <w:r>
        <w:rPr>
          <w:rFonts w:ascii="IRNazanin" w:hAnsi="IRNazanin" w:eastAsia="IRNazanin" w:cs="IRNazanin"/>
          <w:lang w:bidi="fa-IR"/>
          <w:color w:val="111111"/>
          <w:sz w:val="28"/>
          <w:szCs w:val="28"/>
          <w:rtl/>
        </w:rPr>
        <w:t xml:space="preserve">و اسمه ملا حسین کما فی (روشن- ص 762) و هو متحد مع الشیرازی و قال فی (تس 5- 146) إن وفائی مشهدی کان أعمی و راجع وفائی أصفهانی.</w:t>
      </w:r>
    </w:p>
    <w:p>
      <w:pPr>
        <w:pStyle w:val="Heading3"/>
      </w:pPr>
      <w:bookmarkStart w:id="10808" w:name="_Toc9504"/>
      <w:r>
        <w:t>8182- دیوان وفائی هروی أو شعره‏</w:t>
      </w:r>
      <w:bookmarkEnd w:id="10808"/>
    </w:p>
    <w:p>
      <w:pPr>
        <w:pStyle w:val="BookText"/>
      </w:pPr>
      <w:r>
        <w:rPr>
          <w:rFonts w:ascii="IRNazanin" w:hAnsi="IRNazanin" w:eastAsia="IRNazanin" w:cs="IRNazanin"/>
          <w:lang w:bidi="fa-IR"/>
          <w:color w:val="111111"/>
          <w:sz w:val="28"/>
          <w:szCs w:val="28"/>
          <w:rtl/>
        </w:rPr>
        <w:t xml:space="preserve">ترجمه معاصره فی (نر 9- ص 338) بعنوان‏
</w:t>
      </w:r>
    </w:p>
    <w:p>
      <w:pPr>
        <w:sectPr>
          <w:footerReference w:type="default" r:id="rId1284"/>
          <w:footnotePr>
            <w:numStart w:val="1"/>
            <w:numRestart w:val="eachPage"/>
          </w:footnotePr>
          <w:pgSz w:orient="portrait" w:w="11905.511811023622" w:h="16837.79527559055"/>
          <w:pgMar w:top="1440" w:right="1440" w:bottom="1440" w:left="1440" w:header="720" w:footer="720" w:gutter="0"/>
          <w:cols w:num="1" w:space="720"/>
        </w:sectPr>
      </w:pPr>
    </w:p>
    <w:bookmarkStart w:id="1259" w:name="pg11704_122797"/>
    <w:bookmarkEnd w:id="1259"/>
    <w:p>
      <w:pPr>
        <w:pStyle w:val="BookText"/>
      </w:pPr>
      <w:r>
        <w:rPr>
          <w:rFonts w:ascii="IRNazanin" w:hAnsi="IRNazanin" w:eastAsia="IRNazanin" w:cs="IRNazanin"/>
          <w:lang w:bidi="fa-IR"/>
          <w:color w:val="111111"/>
          <w:sz w:val="28"/>
          <w:szCs w:val="28"/>
          <w:rtl/>
        </w:rPr>
        <w:t xml:space="preserve">وفای هروی و قال سافر إلی الهند و رجع بمال کثیر ورثه أخوه و أورد شعره. و قال فی (گلشن- ص 597) وفائی الهروی کان تلمیذ فصیحی جاء إلی الهند فی عهد أکبر شاه و رجع إلی أصفهان. و کذا فی (روشن- ص 761).</w:t>
      </w:r>
    </w:p>
    <w:p>
      <w:pPr>
        <w:pStyle w:val="Heading3"/>
      </w:pPr>
      <w:bookmarkStart w:id="10809" w:name="_Toc9505"/>
      <w:r>
        <w:t>8183- دیوان وفائی یزدی أو شعره‏</w:t>
      </w:r>
      <w:bookmarkEnd w:id="10809"/>
    </w:p>
    <w:p>
      <w:pPr>
        <w:pStyle w:val="BookText"/>
      </w:pPr>
      <w:r>
        <w:rPr>
          <w:rFonts w:ascii="IRNazanin" w:hAnsi="IRNazanin" w:eastAsia="IRNazanin" w:cs="IRNazanin"/>
          <w:lang w:bidi="fa-IR"/>
          <w:color w:val="111111"/>
          <w:sz w:val="28"/>
          <w:szCs w:val="28"/>
          <w:rtl/>
        </w:rPr>
        <w:t xml:space="preserve">و اسمه محمد. قال فی (مع 2: 527) أنه مدح الحکام. و نقل عنه آیتی فی (تش یز- ص 342) بعنوان وفای یزدی. و أظنه متحدا مع محمد علی المعاصر مع وامق.</w:t>
      </w:r>
    </w:p>
    <w:p>
      <w:pPr>
        <w:pStyle w:val="Heading3"/>
      </w:pPr>
      <w:bookmarkStart w:id="10810" w:name="_Toc9506"/>
      <w:r>
        <w:t>8184- دیوان وفی‏</w:t>
      </w:r>
      <w:bookmarkEnd w:id="10810"/>
    </w:p>
    <w:p>
      <w:pPr>
        <w:pStyle w:val="BookText"/>
      </w:pPr>
      <w:r>
        <w:rPr>
          <w:rFonts w:ascii="IRNazanin" w:hAnsi="IRNazanin" w:eastAsia="IRNazanin" w:cs="IRNazanin"/>
          <w:lang w:bidi="fa-IR"/>
          <w:color w:val="111111"/>
          <w:sz w:val="28"/>
          <w:szCs w:val="28"/>
          <w:rtl/>
        </w:rPr>
        <w:t xml:space="preserve">للشیخ محمد باقر بن المیرزا یوسف بن بیکلر سلطان بن آغاسی خان القمی الأصل التفریشی المولد الطهرانی المسکن اشتغل فی النجف سنین عند الشیخ هادی الطهرانی و عاد إلی طهران. و بعد سنین توفی بها فی الثلثاء 26 شوال 1322 و حمل إلی وادی السلام قرب مقبرة هود و صالح. و له تقریرات دروسه فی الأصول و الفقه و المعقول. و دیوانه یقرب من سبعمائة بیت مشتمل علی الرباعیات الفارسیة و العربیة و غیرها. رأیته فی طهران عند ولده المیرزا علی المعروف بصدر الذاکرین الذی حدثنی بترجمة والده و ذکر أن جده المیرزا یوسف کان مستوفیا. و من شعره قصیدة فی شرح لا جبر و لا تفویض و قصیدة فی مدح الأمیر و إثبات إمامته.</w:t>
      </w:r>
    </w:p>
    <w:p>
      <w:pPr>
        <w:pStyle w:val="Heading3"/>
      </w:pPr>
      <w:bookmarkStart w:id="10811" w:name="_Toc9507"/>
      <w:r>
        <w:t>دیوان وقار اورنگ‏آبادی‏</w:t>
      </w:r>
      <w:bookmarkEnd w:id="10811"/>
    </w:p>
    <w:p>
      <w:pPr>
        <w:pStyle w:val="BookText"/>
      </w:pPr>
      <w:r>
        <w:rPr>
          <w:rFonts w:ascii="IRNazanin" w:hAnsi="IRNazanin" w:eastAsia="IRNazanin" w:cs="IRNazanin"/>
          <w:lang w:bidi="fa-IR"/>
          <w:color w:val="111111"/>
          <w:sz w:val="28"/>
          <w:szCs w:val="28"/>
          <w:rtl/>
        </w:rPr>
        <w:t xml:space="preserve">مر بعنوان تخلصه الثانی صارم فی ص 582. و ترجم فی (نتایج- ص 428) أیضا. و طبع دیوان وقار فی کانپور فی 1852 م فی 207 ص.</w:t>
      </w:r>
    </w:p>
    <w:p>
      <w:pPr>
        <w:pStyle w:val="Heading3"/>
      </w:pPr>
      <w:bookmarkStart w:id="10812" w:name="_Toc9508"/>
      <w:r>
        <w:t>8185- دیوان وقار شیرازی‏</w:t>
      </w:r>
      <w:bookmarkEnd w:id="10812"/>
    </w:p>
    <w:p>
      <w:pPr>
        <w:pStyle w:val="BookText"/>
      </w:pPr>
      <w:r>
        <w:rPr>
          <w:rFonts w:ascii="IRNazanin" w:hAnsi="IRNazanin" w:eastAsia="IRNazanin" w:cs="IRNazanin"/>
          <w:lang w:bidi="fa-IR"/>
          <w:color w:val="111111"/>
          <w:sz w:val="28"/>
          <w:szCs w:val="28"/>
          <w:rtl/>
        </w:rPr>
        <w:t xml:space="preserve">و اسمه میرزا أحمد، أکبر أولاد وصال الشیرازی المذکور فی ص 1268 ولد 1232 و مات 1298 و قال نعمت فی تاریخه:</w:t>
      </w:r>
    </w:p>
    <w:p>
      <w:pPr>
        <w:pStyle w:val="BookText"/>
      </w:pPr>
      <w:r>
        <w:rPr>
          <w:rFonts w:ascii="IRNazanin" w:hAnsi="IRNazanin" w:eastAsia="IRNazanin" w:cs="IRNazanin"/>
          <w:lang w:bidi="fa-IR"/>
          <w:color w:val="111111"/>
          <w:sz w:val="28"/>
          <w:szCs w:val="28"/>
          <w:rtl/>
        </w:rPr>
        <w:t xml:space="preserve">نگاشت نعمت غم دیده بهر تاریخش‏</w:t>
      </w:r>
    </w:p>
    <w:p>
      <w:pPr>
        <w:pStyle w:val="BookText"/>
      </w:pPr>
      <w:r>
        <w:rPr>
          <w:rFonts w:ascii="IRNazanin" w:hAnsi="IRNazanin" w:eastAsia="IRNazanin" w:cs="IRNazanin"/>
          <w:lang w:bidi="fa-IR"/>
          <w:color w:val="111111"/>
          <w:sz w:val="28"/>
          <w:szCs w:val="28"/>
          <w:rtl/>
        </w:rPr>
        <w:t xml:space="preserve">روان بسوی جنان شد وقار پاک گهر</w:t>
      </w:r>
    </w:p>
    <w:p>
      <w:pPr>
        <w:pStyle w:val="BookText"/>
      </w:pPr>
      <w:r>
        <w:rPr>
          <w:rFonts w:ascii="IRNazanin" w:hAnsi="IRNazanin" w:eastAsia="IRNazanin" w:cs="IRNazanin"/>
          <w:lang w:bidi="fa-IR"/>
          <w:color w:val="111111"/>
          <w:sz w:val="28"/>
          <w:szCs w:val="28"/>
          <w:rtl/>
        </w:rPr>
        <w:t xml:space="preserve">ترجم فی (مع 2: 548) و (المآثر- ص 215) و (فارس‏نامه 2: 66 و 152) و (طرائق 3: 168) و (عم- ص 356) و هدیة العارفین 1: 189 و فصله ابن أخیه فی گلشن وصال ص 127- 268 مع تصویره و تصویر خطه الجید. یوجد نسخ دیوانه کثیرا منها عند (فخر الدین). و طبع له منظومة انتقادیة باسم نصاب الرجال فی 1309 و 1337 ش. فی 23 ص.</w:t>
      </w:r>
    </w:p>
    <w:p>
      <w:pPr>
        <w:pStyle w:val="BookText"/>
      </w:pPr>
      <w:r>
        <w:rPr>
          <w:rFonts w:ascii="IRNazanin" w:hAnsi="IRNazanin" w:eastAsia="IRNazanin" w:cs="IRNazanin"/>
          <w:lang w:bidi="fa-IR"/>
          <w:color w:val="111111"/>
          <w:sz w:val="28"/>
          <w:szCs w:val="28"/>
          <w:rtl/>
        </w:rPr>
        <w:t xml:space="preserve">و له ریحانة الأدب و رسالة العروض و مثنوی مولوی طبع ببمبئی و نوروزیة فی التجوید و أسدیة و ترجمه زبدة للبهائی. و مر له‏
</w:t>
      </w:r>
    </w:p>
    <w:p>
      <w:pPr>
        <w:sectPr>
          <w:footerReference w:type="default" r:id="rId1285"/>
          <w:footnotePr>
            <w:numStart w:val="1"/>
            <w:numRestart w:val="eachPage"/>
          </w:footnotePr>
          <w:pgSz w:orient="portrait" w:w="11905.511811023622" w:h="16837.79527559055"/>
          <w:pgMar w:top="1440" w:right="1440" w:bottom="1440" w:left="1440" w:header="720" w:footer="720" w:gutter="0"/>
          <w:cols w:num="1" w:space="720"/>
        </w:sectPr>
      </w:pPr>
    </w:p>
    <w:bookmarkStart w:id="1260" w:name="pg11704_122799"/>
    <w:bookmarkEnd w:id="1260"/>
    <w:p>
      <w:pPr>
        <w:pStyle w:val="BookText"/>
      </w:pPr>
      <w:r>
        <w:rPr>
          <w:rFonts w:ascii="IRNazanin" w:hAnsi="IRNazanin" w:eastAsia="IRNazanin" w:cs="IRNazanin"/>
          <w:lang w:bidi="fa-IR"/>
          <w:color w:val="111111"/>
          <w:sz w:val="28"/>
          <w:szCs w:val="28"/>
          <w:rtl/>
        </w:rPr>
        <w:t xml:space="preserve">دوازده بند فی 8: 270 و له مثنوی موسی و خضر عند (الملک) و مجالس السنة و سیاحت‏نامه و ترجمه المنظومة السبزواریة و عشرة کاملة و تاریخ چهارده معصوم و رموز الإمارة فی شرح عهد مالک الأشتر، و بهرام و بهروز فی قبال خسرو و شیرین و انجمن دانش فی قبال گلستان.</w:t>
      </w:r>
    </w:p>
    <w:p>
      <w:pPr>
        <w:pStyle w:val="Heading3"/>
      </w:pPr>
      <w:bookmarkStart w:id="10813" w:name="_Toc9509"/>
      <w:r>
        <w:t>دیوان وقار طبسی‏</w:t>
      </w:r>
      <w:bookmarkEnd w:id="10813"/>
    </w:p>
    <w:p>
      <w:pPr>
        <w:pStyle w:val="BookText"/>
      </w:pPr>
      <w:r>
        <w:rPr>
          <w:rFonts w:ascii="IRNazanin" w:hAnsi="IRNazanin" w:eastAsia="IRNazanin" w:cs="IRNazanin"/>
          <w:lang w:bidi="fa-IR"/>
          <w:color w:val="111111"/>
          <w:sz w:val="28"/>
          <w:szCs w:val="28"/>
          <w:rtl/>
        </w:rPr>
        <w:t xml:space="preserve">راجع وقاری طبسی.</w:t>
      </w:r>
    </w:p>
    <w:p>
      <w:pPr>
        <w:pStyle w:val="Heading3"/>
      </w:pPr>
      <w:bookmarkStart w:id="10814" w:name="_Toc9510"/>
      <w:r>
        <w:t>8186- دیوان وقاری أصفهانی أو شعره‏</w:t>
      </w:r>
      <w:bookmarkEnd w:id="10814"/>
    </w:p>
    <w:p>
      <w:pPr>
        <w:pStyle w:val="BookText"/>
      </w:pPr>
      <w:r>
        <w:rPr>
          <w:rFonts w:ascii="IRNazanin" w:hAnsi="IRNazanin" w:eastAsia="IRNazanin" w:cs="IRNazanin"/>
          <w:lang w:bidi="fa-IR"/>
          <w:color w:val="111111"/>
          <w:sz w:val="28"/>
          <w:szCs w:val="28"/>
          <w:rtl/>
        </w:rPr>
        <w:t xml:space="preserve">لمعز الدین الأصفهانی. سافر إلی الهند و مات بها. ورد شعره فی (گلشن- ص 599).</w:t>
      </w:r>
    </w:p>
    <w:p>
      <w:pPr>
        <w:pStyle w:val="Heading3"/>
      </w:pPr>
      <w:bookmarkStart w:id="10815" w:name="_Toc9511"/>
      <w:r>
        <w:t>8187- دیوان وقاری تتوی‏</w:t>
      </w:r>
      <w:bookmarkEnd w:id="10815"/>
    </w:p>
    <w:p>
      <w:pPr>
        <w:pStyle w:val="BookText"/>
      </w:pPr>
      <w:r>
        <w:rPr>
          <w:rFonts w:ascii="IRNazanin" w:hAnsi="IRNazanin" w:eastAsia="IRNazanin" w:cs="IRNazanin"/>
          <w:lang w:bidi="fa-IR"/>
          <w:color w:val="111111"/>
          <w:sz w:val="28"/>
          <w:szCs w:val="28"/>
          <w:rtl/>
        </w:rPr>
        <w:t xml:space="preserve">و هو المیرزا غازی ترخان حاکم قندهار المتوفی عن خمس و عشرین سنة من عمره فی 1020 کما فی میخانه- ص 229 أو 1021 کما فی حاشیته نقلا عن ریو نقلا عن مقالات الشعراء و تاریخ محمدی و سرو آزاد. قال فی میخانه إن دیوانه فی خمسة آلاف بیت، و قد اشتری تخلص وقاری من رجل شاعر کان یتخلص به بإزاء ثمن قدره ألف روپیه. (أقول) و لعل الدیوان أیضا کان للشاعر المذکور و قد اشتراه بثمن. و له ساقی‏نامه و کان عالما بالموسیقا. و ترجم فی هدیة العارفین- 1: 245 و (روشن- ص 488) و (مع 1: 62) و مقالات الشعراء فی ص 828. و الظاهر أنه المذکور فی ص 783 و 861 بعنوان غازی تبتی (قاری).</w:t>
      </w:r>
    </w:p>
    <w:p>
      <w:pPr>
        <w:pStyle w:val="Heading3"/>
      </w:pPr>
      <w:bookmarkStart w:id="10816" w:name="_Toc9512"/>
      <w:r>
        <w:t>8188- دیوان وقاری طبسی‏</w:t>
      </w:r>
      <w:bookmarkEnd w:id="10816"/>
    </w:p>
    <w:p>
      <w:pPr>
        <w:pStyle w:val="BookText"/>
      </w:pPr>
      <w:r>
        <w:rPr>
          <w:rFonts w:ascii="IRNazanin" w:hAnsi="IRNazanin" w:eastAsia="IRNazanin" w:cs="IRNazanin"/>
          <w:lang w:bidi="fa-IR"/>
          <w:color w:val="111111"/>
          <w:sz w:val="28"/>
          <w:szCs w:val="28"/>
          <w:rtl/>
        </w:rPr>
        <w:t xml:space="preserve">اسمه المولی محمد أمین بن مولانا عبد الفتاح (عبد الغفار) الأخ الأکبر لمولانا عبد الکریم و مر جدهما الأعلی المولی شمس الدین محمد فی ص 543 کما ذکره النصرآبادی فی (نر 6- ص 179) و أورد قصیدته التی شرح فیها بعض أحواله ثم أورد جملة من أشعاره فی نیف و عشرین بیتا رأیت من تصانیفه گلدسته اندیشه صرح فیه بأنه تلمیذ عمه المولی عبد الکریم و المولی خلیل القزوینی و المولی محمد صادق و المولی محمد باقر الیزدیین و غیرهم، و أحال فیه إلی سائر تصانیفه و ذکر أن له دیوان</w:t>
      </w:r>
    </w:p>
    <w:p>
      <w:pPr>
        <w:pStyle w:val="BookText"/>
      </w:pPr>
      <w:r>
        <w:rPr>
          <w:rFonts w:ascii="IRNazanin" w:hAnsi="IRNazanin" w:eastAsia="IRNazanin" w:cs="IRNazanin"/>
          <w:lang w:bidi="fa-IR"/>
          <w:color w:val="111111"/>
          <w:sz w:val="28"/>
          <w:szCs w:val="28"/>
          <w:rtl/>
        </w:rPr>
        <w:t xml:space="preserve">کبیر و أورد فیه دیباجة الدیوان، و فرغ من گلدسته اندیشه فی أصفهان فی الاثنین الثانی و العشرین من شعبان 1083 و حکی فی نجوم السماء عن المولی محمد أمین قطعة فی تاریخ وفاه المحقق الخوانساری 1098 فیظهر أنه توفی بعد هذا التاریخ فما فی (تش یز- ص 343) أنه توفی 1070 غلط و قد ذکر فی دیباجة
</w:t>
      </w:r>
    </w:p>
    <w:p>
      <w:pPr>
        <w:sectPr>
          <w:footerReference w:type="default" r:id="rId1286"/>
          <w:footnotePr>
            <w:numStart w:val="1"/>
            <w:numRestart w:val="eachPage"/>
          </w:footnotePr>
          <w:pgSz w:orient="portrait" w:w="11905.511811023622" w:h="16837.79527559055"/>
          <w:pgMar w:top="1440" w:right="1440" w:bottom="1440" w:left="1440" w:header="720" w:footer="720" w:gutter="0"/>
          <w:cols w:num="1" w:space="720"/>
        </w:sectPr>
      </w:pPr>
    </w:p>
    <w:bookmarkStart w:id="1261" w:name="pg11704_122801"/>
    <w:bookmarkEnd w:id="1261"/>
    <w:p>
      <w:pPr>
        <w:pStyle w:val="BookText"/>
      </w:pPr>
      <w:r>
        <w:rPr>
          <w:rFonts w:ascii="IRNazanin" w:hAnsi="IRNazanin" w:eastAsia="IRNazanin" w:cs="IRNazanin"/>
          <w:lang w:bidi="fa-IR"/>
          <w:color w:val="111111"/>
          <w:sz w:val="28"/>
          <w:szCs w:val="28"/>
          <w:rtl/>
        </w:rPr>
        <w:t xml:space="preserve">دیوانه، جده المذکور و أن والده جاء من طبس إلی یزد فنشأ هو بها و جمع دیوانه فی محرم 1082 بأصفهان و أورد بها شعرا لوالده و کان حیا فی التاریخ و الدیباجة هذه فی أربع صفحات رأیتها فی جنگ و لعله گلدسته اندیشه لوقاری هذا، عند عباس دیوشلی ابن أحمد بطهران أولها: [غزل سرایی عندلیبان گلشن فصاحت و شکرخائی طوطیان شکرستان بلاغت سزاوار نیست الا بحمد حکیمی‏] و فی المجموعة دیباجة ألفها لشرح قصیدة آخوند ملا عباس، و فیها صحیفة شاهی للکاشفی و بعض منشئات رفیع الواعظ و محمد طاهر النصرآبادی و أنیس العشاق و غیرها و أورد النصرآبادی فی (نر 13- ص 487 و 530) بعض تواریخه و منها فی تزویج ولده محمد جعفر فی 1083 و یوجد عند السید أبی الحسن الکتابی بأصفهان شرح رسالة العروض للأندلسی بعنوان قال أقول لمحمد أمین وقاری بخطه ضمن مجموعة کتبت فی 1095 و ترجم أیضا فی (خوش‏گو) و (گلشن- 599)</w:t>
      </w:r>
    </w:p>
    <w:p>
      <w:pPr>
        <w:pStyle w:val="Heading3"/>
      </w:pPr>
      <w:bookmarkStart w:id="10817" w:name="_Toc9513"/>
      <w:r>
        <w:t>دیوان وقاری یزدی‏</w:t>
      </w:r>
      <w:bookmarkEnd w:id="10817"/>
    </w:p>
    <w:p>
      <w:pPr>
        <w:pStyle w:val="BookText"/>
      </w:pPr>
      <w:r>
        <w:rPr>
          <w:rFonts w:ascii="IRNazanin" w:hAnsi="IRNazanin" w:eastAsia="IRNazanin" w:cs="IRNazanin"/>
          <w:lang w:bidi="fa-IR"/>
          <w:color w:val="111111"/>
          <w:sz w:val="28"/>
          <w:szCs w:val="28"/>
          <w:rtl/>
        </w:rPr>
        <w:t xml:space="preserve">راجع وقاری طبسی‏</w:t>
      </w:r>
    </w:p>
    <w:p>
      <w:pPr>
        <w:pStyle w:val="Heading3"/>
      </w:pPr>
      <w:bookmarkStart w:id="10818" w:name="_Toc9514"/>
      <w:r>
        <w:t>8189- دیوان وقوعی تبریزی‏</w:t>
      </w:r>
      <w:bookmarkEnd w:id="10818"/>
    </w:p>
    <w:p>
      <w:pPr>
        <w:pStyle w:val="BookText"/>
      </w:pPr>
      <w:r>
        <w:rPr>
          <w:rFonts w:ascii="IRNazanin" w:hAnsi="IRNazanin" w:eastAsia="IRNazanin" w:cs="IRNazanin"/>
          <w:lang w:bidi="fa-IR"/>
          <w:color w:val="111111"/>
          <w:sz w:val="28"/>
          <w:szCs w:val="28"/>
          <w:rtl/>
        </w:rPr>
        <w:t xml:space="preserve">ابن مولانا حدادی ترجمه معاصره الصادقی فی (خص 8- ص 192) و أورد نیفا و عشرین بیتا من شعره و ترجم فی (دجا- ص 394) نقلا عن تقی الدین الأوحدی فی خلاصة الأشعار و ذکر أن اسمه محمد شریف و نقل بعض أحواله عمن أدرک صحبته، و ذکر أن قصیدته فی وصف الذئب گرگ‏نامه مشهورة ثم حکی عن هفت إقلیم أن وقوعی ابن حدادی کان سیاحا لا یستقر فی بلدة و جاور العراق أخیرا ثم حکی عن صحف إبراهیم أن وقوعی توفی فی العراق 1018 و کان معاصر تقی الأوحدی و دیوان شعره یقرب من عشرة آلاف بیت و ترجم فی (تش- ص 34) و کان ماهرا فی وقوع أی بیان لسان الحال و الظاهر أن الأوحدی خلط بینه و بین النیشابوری الآتی‏</w:t>
      </w:r>
    </w:p>
    <w:p>
      <w:pPr>
        <w:pStyle w:val="Heading3"/>
      </w:pPr>
      <w:bookmarkStart w:id="10819" w:name="_Toc9515"/>
      <w:r>
        <w:t>دیوان وقوعی سمنانی‏</w:t>
      </w:r>
      <w:bookmarkEnd w:id="10819"/>
    </w:p>
    <w:p>
      <w:pPr>
        <w:pStyle w:val="BookText"/>
      </w:pPr>
      <w:r>
        <w:rPr>
          <w:rFonts w:ascii="IRNazanin" w:hAnsi="IRNazanin" w:eastAsia="IRNazanin" w:cs="IRNazanin"/>
          <w:lang w:bidi="fa-IR"/>
          <w:color w:val="111111"/>
          <w:sz w:val="28"/>
          <w:szCs w:val="28"/>
          <w:rtl/>
        </w:rPr>
        <w:t xml:space="preserve">راجع وقوعی نیشابوری‏</w:t>
      </w:r>
    </w:p>
    <w:p>
      <w:pPr>
        <w:pStyle w:val="Heading3"/>
      </w:pPr>
      <w:bookmarkStart w:id="10820" w:name="_Toc9516"/>
      <w:r>
        <w:t>8190- دیوان وقوعی نیشابوری‏</w:t>
      </w:r>
      <w:bookmarkEnd w:id="10820"/>
    </w:p>
    <w:p>
      <w:pPr>
        <w:pStyle w:val="BookText"/>
      </w:pPr>
      <w:r>
        <w:rPr>
          <w:rFonts w:ascii="IRNazanin" w:hAnsi="IRNazanin" w:eastAsia="IRNazanin" w:cs="IRNazanin"/>
          <w:lang w:bidi="fa-IR"/>
          <w:color w:val="111111"/>
          <w:sz w:val="28"/>
          <w:szCs w:val="28"/>
          <w:rtl/>
        </w:rPr>
        <w:t xml:space="preserve">و اسمه شریف من إسحاق‏آباد نیشابور جاء إلی الهند و مدح أکبر شاه و مات بلاهور فی 1002 هکذا ترجمه معاصره و صدیقه فی (طبق 2: 505) و راجع وقوعی تبریزی قال فی (روشن- ص 764) إنه کان یقول‏
</w:t>
      </w:r>
    </w:p>
    <w:p>
      <w:pPr>
        <w:sectPr>
          <w:footerReference w:type="default" r:id="rId1287"/>
          <w:footnotePr>
            <w:numStart w:val="1"/>
            <w:numRestart w:val="eachPage"/>
          </w:footnotePr>
          <w:pgSz w:orient="portrait" w:w="11905.511811023622" w:h="16837.79527559055"/>
          <w:pgMar w:top="1440" w:right="1440" w:bottom="1440" w:left="1440" w:header="720" w:footer="720" w:gutter="0"/>
          <w:cols w:num="1" w:space="720"/>
        </w:sectPr>
      </w:pPr>
    </w:p>
    <w:bookmarkStart w:id="1262" w:name="pg11704_122803"/>
    <w:bookmarkEnd w:id="1262"/>
    <w:p>
      <w:pPr>
        <w:pStyle w:val="BookText"/>
      </w:pPr>
      <w:r>
        <w:rPr>
          <w:rFonts w:ascii="IRNazanin" w:hAnsi="IRNazanin" w:eastAsia="IRNazanin" w:cs="IRNazanin"/>
          <w:lang w:bidi="fa-IR"/>
          <w:color w:val="111111"/>
          <w:sz w:val="28"/>
          <w:szCs w:val="28"/>
          <w:rtl/>
        </w:rPr>
        <w:t xml:space="preserve">بالتناسخ و کان خطاطا بالشکسته و سماه هدایت فی (ض- ص 237) بوقوعی سمنانی‏</w:t>
      </w:r>
    </w:p>
    <w:p>
      <w:pPr>
        <w:pStyle w:val="Heading3"/>
      </w:pPr>
      <w:bookmarkStart w:id="10821" w:name="_Toc9517"/>
      <w:r>
        <w:t>8191- دیوان وقوعی هروی أو شعره‏</w:t>
      </w:r>
      <w:bookmarkEnd w:id="10821"/>
    </w:p>
    <w:p>
      <w:pPr>
        <w:pStyle w:val="BookText"/>
      </w:pPr>
      <w:r>
        <w:rPr>
          <w:rFonts w:ascii="IRNazanin" w:hAnsi="IRNazanin" w:eastAsia="IRNazanin" w:cs="IRNazanin"/>
          <w:lang w:bidi="fa-IR"/>
          <w:color w:val="111111"/>
          <w:sz w:val="28"/>
          <w:szCs w:val="28"/>
          <w:rtl/>
        </w:rPr>
        <w:t xml:space="preserve">و یشتهر بمیر واعظ مدح أکبر شاه ورد شعره فی (روشن- ص 765) قال و جاء إلی الهند من موطنه بدخشان‏</w:t>
      </w:r>
    </w:p>
    <w:p>
      <w:pPr>
        <w:pStyle w:val="Heading3"/>
      </w:pPr>
      <w:bookmarkStart w:id="10822" w:name="_Toc9518"/>
      <w:r>
        <w:t>8192- دیوان وکیل قمی أو شعره‏</w:t>
      </w:r>
      <w:bookmarkEnd w:id="10822"/>
    </w:p>
    <w:p>
      <w:pPr>
        <w:pStyle w:val="BookText"/>
      </w:pPr>
      <w:r>
        <w:rPr>
          <w:rFonts w:ascii="IRNazanin" w:hAnsi="IRNazanin" w:eastAsia="IRNazanin" w:cs="IRNazanin"/>
          <w:lang w:bidi="fa-IR"/>
          <w:color w:val="111111"/>
          <w:sz w:val="28"/>
          <w:szCs w:val="28"/>
          <w:rtl/>
        </w:rPr>
        <w:t xml:space="preserve">ورد شعره فی (تش- ص 239) و همیشه بهار و (گلشن- ص 600)</w:t>
      </w:r>
    </w:p>
    <w:p>
      <w:pPr>
        <w:pStyle w:val="Heading3"/>
      </w:pPr>
      <w:bookmarkStart w:id="10823" w:name="_Toc9519"/>
      <w:r>
        <w:t>8193- دیوان وکیلی قمی‏</w:t>
      </w:r>
      <w:bookmarkEnd w:id="10823"/>
    </w:p>
    <w:p>
      <w:pPr>
        <w:pStyle w:val="BookText"/>
      </w:pPr>
      <w:r>
        <w:rPr>
          <w:rFonts w:ascii="IRNazanin" w:hAnsi="IRNazanin" w:eastAsia="IRNazanin" w:cs="IRNazanin"/>
          <w:lang w:bidi="fa-IR"/>
          <w:color w:val="111111"/>
          <w:sz w:val="28"/>
          <w:szCs w:val="28"/>
          <w:rtl/>
        </w:rPr>
        <w:t xml:space="preserve">الشیخ عبد الحسین طبع له منظومة فقه جعفری‏</w:t>
      </w:r>
    </w:p>
    <w:p>
      <w:pPr>
        <w:pStyle w:val="Heading3"/>
      </w:pPr>
      <w:bookmarkStart w:id="10824" w:name="_Toc9520"/>
      <w:r>
        <w:t>8194- دیوان ولایت الله‏آبادی‏</w:t>
      </w:r>
      <w:bookmarkEnd w:id="10824"/>
    </w:p>
    <w:p>
      <w:pPr>
        <w:pStyle w:val="BookText"/>
      </w:pPr>
      <w:r>
        <w:rPr>
          <w:rFonts w:ascii="IRNazanin" w:hAnsi="IRNazanin" w:eastAsia="IRNazanin" w:cs="IRNazanin"/>
          <w:lang w:bidi="fa-IR"/>
          <w:color w:val="111111"/>
          <w:sz w:val="28"/>
          <w:szCs w:val="28"/>
          <w:rtl/>
        </w:rPr>
        <w:t xml:space="preserve">کان یمدح أهل البیت ورد شعره فی (گلشن- ص 600) و اسمه شاه ولایت الله‏</w:t>
      </w:r>
    </w:p>
    <w:p>
      <w:pPr>
        <w:pStyle w:val="Heading3"/>
      </w:pPr>
      <w:bookmarkStart w:id="10825" w:name="_Toc9521"/>
      <w:r>
        <w:t>8195- دیوان ولای لکهنوی أو شعره‏</w:t>
      </w:r>
      <w:bookmarkEnd w:id="10825"/>
    </w:p>
    <w:p>
      <w:pPr>
        <w:pStyle w:val="BookText"/>
      </w:pPr>
      <w:r>
        <w:rPr>
          <w:rFonts w:ascii="IRNazanin" w:hAnsi="IRNazanin" w:eastAsia="IRNazanin" w:cs="IRNazanin"/>
          <w:lang w:bidi="fa-IR"/>
          <w:color w:val="111111"/>
          <w:sz w:val="28"/>
          <w:szCs w:val="28"/>
          <w:rtl/>
        </w:rPr>
        <w:t xml:space="preserve">و اسمه مظهر علی خان معاصر القاضی محمد صادق أختر کان یدرس بمدرسة کلکتة مع میر شیر علی أفسوس و مات بها ورد شعره فی (گلشن- ص 600)</w:t>
      </w:r>
    </w:p>
    <w:p>
      <w:pPr>
        <w:pStyle w:val="Heading3"/>
      </w:pPr>
      <w:bookmarkStart w:id="10826" w:name="_Toc9522"/>
      <w:r>
        <w:t>8196- دیوان ولائی أردستانی أو شعره‏</w:t>
      </w:r>
      <w:bookmarkEnd w:id="10826"/>
    </w:p>
    <w:p>
      <w:pPr>
        <w:pStyle w:val="BookText"/>
      </w:pPr>
      <w:r>
        <w:rPr>
          <w:rFonts w:ascii="IRNazanin" w:hAnsi="IRNazanin" w:eastAsia="IRNazanin" w:cs="IRNazanin"/>
          <w:lang w:bidi="fa-IR"/>
          <w:color w:val="111111"/>
          <w:sz w:val="28"/>
          <w:szCs w:val="28"/>
          <w:rtl/>
        </w:rPr>
        <w:t xml:space="preserve">ورد شعره فی (گلشن- ص 601)</w:t>
      </w:r>
    </w:p>
    <w:p>
      <w:pPr>
        <w:pStyle w:val="Heading3"/>
      </w:pPr>
      <w:bookmarkStart w:id="10827" w:name="_Toc9523"/>
      <w:r>
        <w:t>8197- دیوان ولائی أسترآبادی أو شعره‏</w:t>
      </w:r>
      <w:bookmarkEnd w:id="10827"/>
    </w:p>
    <w:p>
      <w:pPr>
        <w:pStyle w:val="BookText"/>
      </w:pPr>
      <w:r>
        <w:rPr>
          <w:rFonts w:ascii="IRNazanin" w:hAnsi="IRNazanin" w:eastAsia="IRNazanin" w:cs="IRNazanin"/>
          <w:lang w:bidi="fa-IR"/>
          <w:color w:val="111111"/>
          <w:sz w:val="28"/>
          <w:szCs w:val="28"/>
          <w:rtl/>
        </w:rPr>
        <w:t xml:space="preserve">ورد شعره فی (گلشن- ص 601)</w:t>
      </w:r>
    </w:p>
    <w:p>
      <w:pPr>
        <w:pStyle w:val="Heading3"/>
      </w:pPr>
      <w:bookmarkStart w:id="10828" w:name="_Toc9524"/>
      <w:r>
        <w:t>8198- دیوان ولائی دهلوی أو شعره‏</w:t>
      </w:r>
      <w:bookmarkEnd w:id="10828"/>
    </w:p>
    <w:p>
      <w:pPr>
        <w:pStyle w:val="BookText"/>
      </w:pPr>
      <w:r>
        <w:rPr>
          <w:rFonts w:ascii="IRNazanin" w:hAnsi="IRNazanin" w:eastAsia="IRNazanin" w:cs="IRNazanin"/>
          <w:lang w:bidi="fa-IR"/>
          <w:color w:val="111111"/>
          <w:sz w:val="28"/>
          <w:szCs w:val="28"/>
          <w:rtl/>
        </w:rPr>
        <w:t xml:space="preserve">و هو مرتضی قلی بیک الإیرانی لازم سر بلند خان فی دهلی و مات ببنگاله ورد شعره فی (گلشن- ص 601)</w:t>
      </w:r>
    </w:p>
    <w:p>
      <w:pPr>
        <w:pStyle w:val="Heading3"/>
      </w:pPr>
      <w:bookmarkStart w:id="10829" w:name="_Toc9525"/>
      <w:r>
        <w:t>8199- دیوان ولائی سیستانی أو شعره‏</w:t>
      </w:r>
      <w:bookmarkEnd w:id="10829"/>
    </w:p>
    <w:p>
      <w:pPr>
        <w:pStyle w:val="BookText"/>
      </w:pPr>
      <w:r>
        <w:rPr>
          <w:rFonts w:ascii="IRNazanin" w:hAnsi="IRNazanin" w:eastAsia="IRNazanin" w:cs="IRNazanin"/>
          <w:lang w:bidi="fa-IR"/>
          <w:color w:val="111111"/>
          <w:sz w:val="28"/>
          <w:szCs w:val="28"/>
          <w:rtl/>
        </w:rPr>
        <w:t xml:space="preserve">ورد شعره فی (گلشن- ص 601) قال و اسمه حاجی محمد</w:t>
      </w:r>
    </w:p>
    <w:p>
      <w:pPr>
        <w:pStyle w:val="Heading3"/>
      </w:pPr>
      <w:bookmarkStart w:id="10830" w:name="_Toc9526"/>
      <w:r>
        <w:t>8200- دیوان سلطان ولد</w:t>
      </w:r>
      <w:bookmarkEnd w:id="10830"/>
    </w:p>
    <w:p>
      <w:pPr>
        <w:pStyle w:val="BookText"/>
      </w:pPr>
      <w:r>
        <w:rPr>
          <w:rFonts w:ascii="IRNazanin" w:hAnsi="IRNazanin" w:eastAsia="IRNazanin" w:cs="IRNazanin"/>
          <w:lang w:bidi="fa-IR"/>
          <w:color w:val="111111"/>
          <w:sz w:val="28"/>
          <w:szCs w:val="28"/>
          <w:rtl/>
        </w:rPr>
        <w:t xml:space="preserve">و اسمه بهاء الدین محمد بن المولوی جلال الدین محمد الرومی البلخی (623- 712) کما فی شاهد صادق و تخلصه ولد فی دیوانه الترکی المطبوع بأستانبول 1341 مع تعلیقات بهاء الدین محمد بن چلبی و طبع دیوانه الفارسی بها فی 1943 م فی 616 ص مع مقدمه بالترکیة فی 100 ص بقلم فریدون نافذ و طبع مثنویة الفارسی ولدنامه بطهران فی 1355 مع مقدمه فی أحواله فی 128 ص بقلم جلال همائی و مر له رباب‏نامه و ترجم أحواله فی رسالة فریدون سپهسالار طبعه طهران ص 319- 321 و (نفحات- ص 418) و (حسینی- ص 141) و (ض- ص 83) و (مع 1: 244) و هدیة العارفین 1: 104 و المستر براون 3: 168 و فهرس (المجلس)
</w:t>
      </w:r>
    </w:p>
    <w:p>
      <w:pPr>
        <w:sectPr>
          <w:footerReference w:type="default" r:id="rId1288"/>
          <w:footnotePr>
            <w:numStart w:val="1"/>
            <w:numRestart w:val="eachPage"/>
          </w:footnotePr>
          <w:pgSz w:orient="portrait" w:w="11905.511811023622" w:h="16837.79527559055"/>
          <w:pgMar w:top="1440" w:right="1440" w:bottom="1440" w:left="1440" w:header="720" w:footer="720" w:gutter="0"/>
          <w:cols w:num="1" w:space="720"/>
        </w:sectPr>
      </w:pPr>
    </w:p>
    <w:bookmarkStart w:id="1263" w:name="pg11704_122805"/>
    <w:bookmarkEnd w:id="1263"/>
    <w:p>
      <w:pPr>
        <w:pStyle w:val="BookText"/>
      </w:pPr>
      <w:r>
        <w:rPr>
          <w:rFonts w:ascii="Times New Roman" w:hAnsi="Times New Roman" w:eastAsia="Times New Roman" w:cs="Times New Roman"/>
          <w:lang w:val="en-US" w:bidi="en-US"/>
          <w:color w:val="111111"/>
          <w:sz w:val="28"/>
          <w:szCs w:val="28"/>
          <w:rtl/>
        </w:rPr>
        <w:t xml:space="preserve">3: 700</w:t>
      </w:r>
    </w:p>
    <w:p>
      <w:pPr>
        <w:pStyle w:val="Heading3"/>
      </w:pPr>
      <w:bookmarkStart w:id="10831" w:name="_Toc9527"/>
      <w:r>
        <w:t>دیوان حسین ولد</w:t>
      </w:r>
      <w:bookmarkEnd w:id="10831"/>
    </w:p>
    <w:p>
      <w:pPr>
        <w:pStyle w:val="BookText"/>
      </w:pPr>
      <w:r>
        <w:rPr>
          <w:rFonts w:ascii="IRNazanin" w:hAnsi="IRNazanin" w:eastAsia="IRNazanin" w:cs="IRNazanin"/>
          <w:lang w:bidi="fa-IR"/>
          <w:color w:val="111111"/>
          <w:sz w:val="28"/>
          <w:szCs w:val="28"/>
          <w:rtl/>
        </w:rPr>
        <w:t xml:space="preserve">کما فی (نر 6- ص 152) مر بعنوان حسین بن جمال فی ص 247</w:t>
      </w:r>
    </w:p>
    <w:p>
      <w:pPr>
        <w:pStyle w:val="Heading3"/>
      </w:pPr>
      <w:bookmarkStart w:id="10832" w:name="_Toc9528"/>
      <w:r>
        <w:t>8201- دیوان ولدی أو شعره‏</w:t>
      </w:r>
      <w:bookmarkEnd w:id="10832"/>
    </w:p>
    <w:p>
      <w:pPr>
        <w:pStyle w:val="BookText"/>
      </w:pPr>
      <w:r>
        <w:rPr>
          <w:rFonts w:ascii="IRNazanin" w:hAnsi="IRNazanin" w:eastAsia="IRNazanin" w:cs="IRNazanin"/>
          <w:lang w:bidi="fa-IR"/>
          <w:color w:val="111111"/>
          <w:sz w:val="28"/>
          <w:szCs w:val="28"/>
          <w:rtl/>
        </w:rPr>
        <w:t xml:space="preserve">و اسمه میرزا قاسم من أمراء السلطان حسین میرزا بایقرا کان حیا فی 928 فترجم فی (مجتس 8- ص 171)</w:t>
      </w:r>
    </w:p>
    <w:p>
      <w:pPr>
        <w:pStyle w:val="Heading3"/>
      </w:pPr>
      <w:bookmarkStart w:id="10833" w:name="_Toc9529"/>
      <w:r>
        <w:t>8202- دیوان ولی بلوچ‏</w:t>
      </w:r>
      <w:bookmarkEnd w:id="10833"/>
    </w:p>
    <w:p>
      <w:pPr>
        <w:pStyle w:val="BookText"/>
      </w:pPr>
      <w:r>
        <w:rPr>
          <w:rFonts w:ascii="IRNazanin" w:hAnsi="IRNazanin" w:eastAsia="IRNazanin" w:cs="IRNazanin"/>
          <w:lang w:bidi="fa-IR"/>
          <w:color w:val="111111"/>
          <w:sz w:val="28"/>
          <w:szCs w:val="28"/>
          <w:rtl/>
        </w:rPr>
        <w:t xml:space="preserve">من أمراء البلوچ اللغری و اسمه ولی محمد خان له دیوان جمعه فی 1222 و له نزهة الأبدان و ساقی‏نامه و خسرونامه و مثنوی هیرورانجها فی 2060 بیتا کما فی روضات الجنات- فی أوصاف هرات- حاشیة ص 538 طبعه طهران‏</w:t>
      </w:r>
    </w:p>
    <w:p>
      <w:pPr>
        <w:pStyle w:val="Heading3"/>
      </w:pPr>
      <w:bookmarkStart w:id="10834" w:name="_Toc9530"/>
      <w:r>
        <w:t>8203- دیوان ولی خرم‏آبادی‏</w:t>
      </w:r>
      <w:bookmarkEnd w:id="10834"/>
    </w:p>
    <w:p>
      <w:pPr>
        <w:pStyle w:val="BookText"/>
      </w:pPr>
      <w:r>
        <w:rPr>
          <w:rFonts w:ascii="IRNazanin" w:hAnsi="IRNazanin" w:eastAsia="IRNazanin" w:cs="IRNazanin"/>
          <w:lang w:bidi="fa-IR"/>
          <w:color w:val="111111"/>
          <w:sz w:val="28"/>
          <w:szCs w:val="28"/>
          <w:rtl/>
        </w:rPr>
        <w:t xml:space="preserve">و اسمه محمد ولی بن عبد الله ولد 1320 نزل نهاوند و تعلم بقم و له غیر الدیوان تنبیه الفاضل و إرشاد الجاهل و مختصر البیان کلها فارسیة</w:t>
      </w:r>
    </w:p>
    <w:p>
      <w:pPr>
        <w:pStyle w:val="Heading3"/>
      </w:pPr>
      <w:bookmarkStart w:id="10835" w:name="_Toc9531"/>
      <w:r>
        <w:t>8204- دیوان ولی دشت بیاضی‏</w:t>
      </w:r>
      <w:bookmarkEnd w:id="10835"/>
    </w:p>
    <w:p>
      <w:pPr>
        <w:pStyle w:val="BookText"/>
      </w:pPr>
      <w:r>
        <w:rPr>
          <w:rFonts w:ascii="IRNazanin" w:hAnsi="IRNazanin" w:eastAsia="IRNazanin" w:cs="IRNazanin"/>
          <w:lang w:bidi="fa-IR"/>
          <w:color w:val="111111"/>
          <w:sz w:val="28"/>
          <w:szCs w:val="28"/>
          <w:rtl/>
        </w:rPr>
        <w:t xml:space="preserve">من شعراء دشت بیاض أو سپید روستا من توابع قائن، و قبره فی کارشک عند قبر عبد الله الحسینی کتب علی القبر أنه استشهد فی 1001 و تاریخه:</w:t>
      </w:r>
    </w:p>
    <w:p>
      <w:pPr>
        <w:pStyle w:val="BookText"/>
      </w:pPr>
      <w:r>
        <w:rPr>
          <w:rFonts w:ascii="IRNazanin" w:hAnsi="IRNazanin" w:eastAsia="IRNazanin" w:cs="IRNazanin"/>
          <w:lang w:bidi="fa-IR"/>
          <w:color w:val="111111"/>
          <w:sz w:val="28"/>
          <w:szCs w:val="28"/>
          <w:rtl/>
        </w:rPr>
        <w:t xml:space="preserve">بگفتا چون نظامی زمان بود</w:t>
      </w:r>
    </w:p>
    <w:p>
      <w:pPr>
        <w:pStyle w:val="BookText"/>
      </w:pPr>
      <w:r>
        <w:rPr>
          <w:rFonts w:ascii="IRNazanin" w:hAnsi="IRNazanin" w:eastAsia="IRNazanin" w:cs="IRNazanin"/>
          <w:lang w:bidi="fa-IR"/>
          <w:color w:val="111111"/>
          <w:sz w:val="28"/>
          <w:szCs w:val="28"/>
          <w:rtl/>
        </w:rPr>
        <w:t xml:space="preserve">طلب کن سال قتلش از (نظامی)</w:t>
      </w:r>
    </w:p>
    <w:p>
      <w:pPr>
        <w:pStyle w:val="BookText"/>
      </w:pPr>
      <w:r>
        <w:rPr>
          <w:rFonts w:ascii="IRNazanin" w:hAnsi="IRNazanin" w:eastAsia="IRNazanin" w:cs="IRNazanin"/>
          <w:lang w:bidi="fa-IR"/>
          <w:color w:val="111111"/>
          <w:sz w:val="28"/>
          <w:szCs w:val="28"/>
          <w:rtl/>
        </w:rPr>
        <w:t xml:space="preserve">و فی (خوش‏گو) قتله غنیم بیگ الأزبک فی 1015 لتشیعه و فی (حسینی- ص 357) أنه توفی 999 و قالوا دیوانه فی خمسة آلاف بیت و فی (تش- ص 117) أنه ألفی بیت و عنه فی (مع 2: 50) و لکن نسخه (سپهسالار- 284) تشتمل علی ثلاثة آلاف بیت کما فی فهرسها 2: 702 و نسخه فی (الرضویة) و نسخه عند صادق الأنصاری بطهران مع مقدمه فی أحواله و فیها أنه تلمذ علی نیازی تونی و جاء مع إبراهیم میرزا الصفوی إلی قزوین و لاقاه تقی کاشی بکاشان، و نسخه فی (بنگاله) کتبت 1196 و ترجم فی (خص 8- ص 152) و روضة الرضویة و (قهستان- ص 246) و (روشن- ص 766) و (تش یز- ص 246) و هفت إقلیم و (نتایج- ص 737). و له مشاعرات بالمکاتبة مع محتشم کاشی المذکور فی ص 972 بأصفهان، و مع ملای خرگاهی حصاری بما وراء النهر، جاءت فی تذکره مطربی الماوراءالنهری و نقل عنها عبد الغنی میرزایف فی مقالة فی مجموعة تذکاریة لهانری ماسة طبعت بطهران 1383.
</w:t>
      </w:r>
    </w:p>
    <w:p>
      <w:pPr>
        <w:sectPr>
          <w:footerReference w:type="default" r:id="rId1289"/>
          <w:footnotePr>
            <w:numStart w:val="1"/>
            <w:numRestart w:val="eachPage"/>
          </w:footnotePr>
          <w:pgSz w:orient="portrait" w:w="11905.511811023622" w:h="16837.79527559055"/>
          <w:pgMar w:top="1440" w:right="1440" w:bottom="1440" w:left="1440" w:header="720" w:footer="720" w:gutter="0"/>
          <w:cols w:num="1" w:space="720"/>
        </w:sectPr>
      </w:pPr>
    </w:p>
    <w:bookmarkStart w:id="1264" w:name="pg11704_122806"/>
    <w:bookmarkEnd w:id="1264"/>
    <w:p>
      <w:pPr>
        <w:pStyle w:val="Heading3"/>
      </w:pPr>
      <w:bookmarkStart w:id="10836" w:name="_Toc9532"/>
      <w:r>
        <w:t>8205- دیوان ولی دهلوی أو شعره‏</w:t>
      </w:r>
      <w:bookmarkEnd w:id="10836"/>
    </w:p>
    <w:p>
      <w:pPr>
        <w:pStyle w:val="BookText"/>
      </w:pPr>
      <w:r>
        <w:rPr>
          <w:rFonts w:ascii="IRNazanin" w:hAnsi="IRNazanin" w:eastAsia="IRNazanin" w:cs="IRNazanin"/>
          <w:lang w:bidi="fa-IR"/>
          <w:color w:val="111111"/>
          <w:sz w:val="28"/>
          <w:szCs w:val="28"/>
          <w:rtl/>
        </w:rPr>
        <w:t xml:space="preserve">هو المنشی محمد دارا شکوه. ترجم فی (حسینی- ص 362) و (روشن- ص 768).</w:t>
      </w:r>
    </w:p>
    <w:p>
      <w:pPr>
        <w:pStyle w:val="Heading3"/>
      </w:pPr>
      <w:bookmarkStart w:id="10837" w:name="_Toc9533"/>
      <w:r>
        <w:t>دیوان ولی شاملو</w:t>
      </w:r>
      <w:bookmarkEnd w:id="10837"/>
    </w:p>
    <w:p>
      <w:pPr>
        <w:pStyle w:val="BookText"/>
      </w:pPr>
      <w:r>
        <w:rPr>
          <w:rFonts w:ascii="IRNazanin" w:hAnsi="IRNazanin" w:eastAsia="IRNazanin" w:cs="IRNazanin"/>
          <w:lang w:bidi="fa-IR"/>
          <w:color w:val="111111"/>
          <w:sz w:val="28"/>
          <w:szCs w:val="28"/>
          <w:rtl/>
        </w:rPr>
        <w:t xml:space="preserve">راجع ولی قلی شاملو.</w:t>
      </w:r>
    </w:p>
    <w:p>
      <w:pPr>
        <w:pStyle w:val="Heading3"/>
      </w:pPr>
      <w:bookmarkStart w:id="10838" w:name="_Toc9534"/>
      <w:r>
        <w:t>8206- دیوان ولی شیرازی أو شعره‏</w:t>
      </w:r>
      <w:bookmarkEnd w:id="10838"/>
    </w:p>
    <w:p>
      <w:pPr>
        <w:pStyle w:val="BookText"/>
      </w:pPr>
      <w:r>
        <w:rPr>
          <w:rFonts w:ascii="IRNazanin" w:hAnsi="IRNazanin" w:eastAsia="IRNazanin" w:cs="IRNazanin"/>
          <w:lang w:bidi="fa-IR"/>
          <w:color w:val="111111"/>
          <w:sz w:val="28"/>
          <w:szCs w:val="28"/>
          <w:rtl/>
        </w:rPr>
        <w:t xml:space="preserve">و اسمه محمد ولی میرزا الملقب بشاه‏زاده ابن میرزا علی صدر ابن الحاج أکبر النواب المتخلص بسمل المذکور فی ص 137 الذی توفی 1263. ترجم فی (عم- ص 245 و 572).</w:t>
      </w:r>
    </w:p>
    <w:p>
      <w:pPr>
        <w:pStyle w:val="Heading3"/>
      </w:pPr>
      <w:bookmarkStart w:id="10839" w:name="_Toc9535"/>
      <w:r>
        <w:t>8207- دیوان ولی شیرازی أو شعره‏</w:t>
      </w:r>
      <w:bookmarkEnd w:id="10839"/>
    </w:p>
    <w:p>
      <w:pPr>
        <w:pStyle w:val="BookText"/>
      </w:pPr>
      <w:r>
        <w:rPr>
          <w:rFonts w:ascii="IRNazanin" w:hAnsi="IRNazanin" w:eastAsia="IRNazanin" w:cs="IRNazanin"/>
          <w:lang w:bidi="fa-IR"/>
          <w:color w:val="111111"/>
          <w:sz w:val="28"/>
          <w:szCs w:val="28"/>
          <w:rtl/>
        </w:rPr>
        <w:t xml:space="preserve">أطرأ طبعه و شعره فی (تس 2- ص 55).</w:t>
      </w:r>
    </w:p>
    <w:p>
      <w:pPr>
        <w:pStyle w:val="Heading3"/>
      </w:pPr>
      <w:bookmarkStart w:id="10840" w:name="_Toc9536"/>
      <w:r>
        <w:t>دیوان ولی قاینی‏</w:t>
      </w:r>
      <w:bookmarkEnd w:id="10840"/>
    </w:p>
    <w:p>
      <w:pPr>
        <w:pStyle w:val="BookText"/>
      </w:pPr>
      <w:r>
        <w:rPr>
          <w:rFonts w:ascii="IRNazanin" w:hAnsi="IRNazanin" w:eastAsia="IRNazanin" w:cs="IRNazanin"/>
          <w:lang w:bidi="fa-IR"/>
          <w:color w:val="111111"/>
          <w:sz w:val="28"/>
          <w:szCs w:val="28"/>
          <w:rtl/>
        </w:rPr>
        <w:t xml:space="preserve">راجع ولی دشت بیاضی.</w:t>
      </w:r>
    </w:p>
    <w:p>
      <w:pPr>
        <w:pStyle w:val="Heading3"/>
      </w:pPr>
      <w:bookmarkStart w:id="10841" w:name="_Toc9537"/>
      <w:r>
        <w:t>8208- ولی قلندر أو شعره‏</w:t>
      </w:r>
      <w:bookmarkEnd w:id="10841"/>
    </w:p>
    <w:p>
      <w:pPr>
        <w:pStyle w:val="BookText"/>
      </w:pPr>
      <w:r>
        <w:rPr>
          <w:rFonts w:ascii="IRNazanin" w:hAnsi="IRNazanin" w:eastAsia="IRNazanin" w:cs="IRNazanin"/>
          <w:lang w:bidi="fa-IR"/>
          <w:color w:val="111111"/>
          <w:sz w:val="28"/>
          <w:szCs w:val="28"/>
          <w:rtl/>
        </w:rPr>
        <w:t xml:space="preserve">کان من شعراء بابر میرزا، ثم نقله پیربداغ مع عدة من الشعراء من هرات إلی شیراز. أطرأ شجاعته علی شیر فی (مجن 2 ص 40 و 213) و (لت) و (گلشن- ص 601).</w:t>
      </w:r>
    </w:p>
    <w:p>
      <w:pPr>
        <w:pStyle w:val="Heading3"/>
      </w:pPr>
      <w:bookmarkStart w:id="10842" w:name="_Toc9538"/>
      <w:r>
        <w:t>8209- دیوان ولی قلی شاملو</w:t>
      </w:r>
      <w:bookmarkEnd w:id="10842"/>
    </w:p>
    <w:p>
      <w:pPr>
        <w:pStyle w:val="BookText"/>
      </w:pPr>
      <w:r>
        <w:rPr>
          <w:rFonts w:ascii="IRNazanin" w:hAnsi="IRNazanin" w:eastAsia="IRNazanin" w:cs="IRNazanin"/>
          <w:lang w:bidi="fa-IR"/>
          <w:color w:val="111111"/>
          <w:sz w:val="28"/>
          <w:szCs w:val="28"/>
          <w:rtl/>
        </w:rPr>
        <w:t xml:space="preserve">سافر إلی الحج و مات فی الرجوع بالمدینة و دفن بالبقیع. کان مستوفیا لسیستان و ذهب إلی قندهار أوان إمارة ذو الفقار خان فأمره بنظم شاهنامه فنظم سوانح حصار قلعة و بعض وقایع شاه عباس الأول قرب أربعین ألف بیت. ترجم فی (نر 4- ص 93) و (روشن- ص 768) و عنهما فی مجلة أرمغان 13: 372 و المستر براون 4: 88.</w:t>
      </w:r>
    </w:p>
    <w:p>
      <w:pPr>
        <w:pStyle w:val="Heading3"/>
      </w:pPr>
      <w:bookmarkStart w:id="10843" w:name="_Toc9539"/>
      <w:r>
        <w:t>8210- دیوان ولی قهستانی أو شعره‏</w:t>
      </w:r>
      <w:bookmarkEnd w:id="10843"/>
    </w:p>
    <w:p>
      <w:pPr>
        <w:pStyle w:val="BookText"/>
      </w:pPr>
      <w:r>
        <w:rPr>
          <w:rFonts w:ascii="IRNazanin" w:hAnsi="IRNazanin" w:eastAsia="IRNazanin" w:cs="IRNazanin"/>
          <w:lang w:bidi="fa-IR"/>
          <w:color w:val="111111"/>
          <w:sz w:val="28"/>
          <w:szCs w:val="28"/>
          <w:rtl/>
        </w:rPr>
        <w:t xml:space="preserve">و اسمه شاه إسحاق حفید الشاه إسحاق الأول من أولاد حکام قهستان. حبس فی هرات مدة و بعد الإفراج عنه رجع و مات فی 899 و دفن بقریة نوفرست. ترجمه آیتی فی (قهستان- ص 227) عن تاریخ حسامی.</w:t>
      </w:r>
    </w:p>
    <w:p>
      <w:pPr>
        <w:pStyle w:val="Heading3"/>
      </w:pPr>
      <w:bookmarkStart w:id="10844" w:name="_Toc9540"/>
      <w:r>
        <w:t>دیوان ولی کرمانی‏</w:t>
      </w:r>
      <w:bookmarkEnd w:id="10844"/>
    </w:p>
    <w:p>
      <w:pPr>
        <w:pStyle w:val="BookText"/>
      </w:pPr>
      <w:r>
        <w:rPr>
          <w:rFonts w:ascii="IRNazanin" w:hAnsi="IRNazanin" w:eastAsia="IRNazanin" w:cs="IRNazanin"/>
          <w:lang w:bidi="fa-IR"/>
          <w:color w:val="111111"/>
          <w:sz w:val="28"/>
          <w:szCs w:val="28"/>
          <w:rtl/>
        </w:rPr>
        <w:t xml:space="preserve">کما أحلنا إلیه فی عدة مواضع. ثم ذکرناه مفصلا فی ص 1215 بعنوان نعمة الله ولی.</w:t>
      </w:r>
    </w:p>
    <w:p>
      <w:pPr>
        <w:pStyle w:val="Heading3"/>
      </w:pPr>
      <w:bookmarkStart w:id="10845" w:name="_Toc9541"/>
      <w:r>
        <w:t>8211- دیوان ولی گرجی أو شعره‏</w:t>
      </w:r>
      <w:bookmarkEnd w:id="10845"/>
    </w:p>
    <w:p>
      <w:pPr>
        <w:pStyle w:val="BookText"/>
      </w:pPr>
      <w:r>
        <w:rPr>
          <w:rFonts w:ascii="IRNazanin" w:hAnsi="IRNazanin" w:eastAsia="IRNazanin" w:cs="IRNazanin"/>
          <w:lang w:bidi="fa-IR"/>
          <w:color w:val="111111"/>
          <w:sz w:val="28"/>
          <w:szCs w:val="28"/>
          <w:rtl/>
        </w:rPr>
        <w:t xml:space="preserve">کان من عبید الدولة الصفویة. ورد شعره فی (گلشن- ص 601).</w:t>
      </w:r>
    </w:p>
    <w:p>
      <w:pPr>
        <w:pStyle w:val="Heading3"/>
      </w:pPr>
      <w:bookmarkStart w:id="10846" w:name="_Toc9542"/>
      <w:r>
        <w:t>8212- دیوان ولی لاریجانی‏</w:t>
      </w:r>
      <w:bookmarkEnd w:id="10846"/>
    </w:p>
    <w:p>
      <w:pPr>
        <w:pStyle w:val="BookText"/>
      </w:pPr>
      <w:r>
        <w:rPr>
          <w:rFonts w:ascii="IRNazanin" w:hAnsi="IRNazanin" w:eastAsia="IRNazanin" w:cs="IRNazanin"/>
          <w:lang w:bidi="fa-IR"/>
          <w:color w:val="111111"/>
          <w:sz w:val="28"/>
          <w:szCs w:val="28"/>
          <w:rtl/>
        </w:rPr>
        <w:t xml:space="preserve">السید غلام علی فاروق الأولیاء برهان الحق. طبع منتخب دیوانه بطهران 1351 فی 128 ص+ 104 ص.
</w:t>
      </w:r>
    </w:p>
    <w:p>
      <w:pPr>
        <w:sectPr>
          <w:footerReference w:type="default" r:id="rId1290"/>
          <w:footnotePr>
            <w:numStart w:val="1"/>
            <w:numRestart w:val="eachPage"/>
          </w:footnotePr>
          <w:pgSz w:orient="portrait" w:w="11905.511811023622" w:h="16837.79527559055"/>
          <w:pgMar w:top="1440" w:right="1440" w:bottom="1440" w:left="1440" w:header="720" w:footer="720" w:gutter="0"/>
          <w:cols w:num="1" w:space="720"/>
        </w:sectPr>
      </w:pPr>
    </w:p>
    <w:bookmarkStart w:id="1265" w:name="pg11704_122808"/>
    <w:bookmarkEnd w:id="1265"/>
    <w:p>
      <w:pPr>
        <w:pStyle w:val="Heading3"/>
      </w:pPr>
      <w:bookmarkStart w:id="10847" w:name="_Toc9543"/>
      <w:r>
        <w:t>دیوان ولی هروی‏</w:t>
      </w:r>
      <w:bookmarkEnd w:id="10847"/>
    </w:p>
    <w:p>
      <w:pPr>
        <w:pStyle w:val="BookText"/>
      </w:pPr>
      <w:r>
        <w:rPr>
          <w:rFonts w:ascii="IRNazanin" w:hAnsi="IRNazanin" w:eastAsia="IRNazanin" w:cs="IRNazanin"/>
          <w:lang w:bidi="fa-IR"/>
          <w:color w:val="111111"/>
          <w:sz w:val="28"/>
          <w:szCs w:val="28"/>
          <w:rtl/>
        </w:rPr>
        <w:t xml:space="preserve">راجع ولی قلندر، و ولی قلی.</w:t>
      </w:r>
    </w:p>
    <w:p>
      <w:pPr>
        <w:pStyle w:val="Heading3"/>
      </w:pPr>
      <w:bookmarkStart w:id="10848" w:name="_Toc9544"/>
      <w:r>
        <w:t>8213- دیوان ولی هروی أو شعره‏</w:t>
      </w:r>
      <w:bookmarkEnd w:id="10848"/>
    </w:p>
    <w:p>
      <w:pPr>
        <w:pStyle w:val="BookText"/>
      </w:pPr>
      <w:r>
        <w:rPr>
          <w:rFonts w:ascii="IRNazanin" w:hAnsi="IRNazanin" w:eastAsia="IRNazanin" w:cs="IRNazanin"/>
          <w:lang w:bidi="fa-IR"/>
          <w:color w:val="111111"/>
          <w:sz w:val="28"/>
          <w:szCs w:val="28"/>
          <w:rtl/>
        </w:rPr>
        <w:t xml:space="preserve">و اسمه میر سلطان ولی، حفید ولی بیک. ورد شعره فی (مجتس 8- ص 172) و همیشه بهار.</w:t>
      </w:r>
    </w:p>
    <w:p>
      <w:pPr>
        <w:pStyle w:val="Heading3"/>
      </w:pPr>
      <w:bookmarkStart w:id="10849" w:name="_Toc9545"/>
      <w:r>
        <w:t>8214- دیوان وهبی شاه جهان‏پوری أو شعره‏</w:t>
      </w:r>
      <w:bookmarkEnd w:id="10849"/>
    </w:p>
    <w:p>
      <w:pPr>
        <w:pStyle w:val="BookText"/>
      </w:pPr>
      <w:r>
        <w:rPr>
          <w:rFonts w:ascii="IRNazanin" w:hAnsi="IRNazanin" w:eastAsia="IRNazanin" w:cs="IRNazanin"/>
          <w:lang w:bidi="fa-IR"/>
          <w:color w:val="111111"/>
          <w:sz w:val="28"/>
          <w:szCs w:val="28"/>
          <w:rtl/>
        </w:rPr>
        <w:t xml:space="preserve">ورد شعره فی (گلشن- ص 601).</w:t>
      </w:r>
    </w:p>
    <w:p>
      <w:pPr>
        <w:pStyle w:val="Heading3"/>
      </w:pPr>
      <w:bookmarkStart w:id="10850" w:name="_Toc9546"/>
      <w:r>
        <w:t>8215- دیوان وهمی قمی أو شعره‏</w:t>
      </w:r>
      <w:bookmarkEnd w:id="10850"/>
    </w:p>
    <w:p>
      <w:pPr>
        <w:pStyle w:val="BookText"/>
      </w:pPr>
      <w:r>
        <w:rPr>
          <w:rFonts w:ascii="IRNazanin" w:hAnsi="IRNazanin" w:eastAsia="IRNazanin" w:cs="IRNazanin"/>
          <w:lang w:bidi="fa-IR"/>
          <w:color w:val="111111"/>
          <w:sz w:val="28"/>
          <w:szCs w:val="28"/>
          <w:rtl/>
        </w:rPr>
        <w:t xml:space="preserve">جاء شعره فی هفت إقلیم.</w:t>
      </w:r>
    </w:p>
    <w:p>
      <w:pPr>
        <w:pStyle w:val="Heading3"/>
      </w:pPr>
      <w:bookmarkStart w:id="10851" w:name="_Toc9547"/>
      <w:r>
        <w:t>8216- دیوان وهمی قندهاری أو شعره‏</w:t>
      </w:r>
      <w:bookmarkEnd w:id="10851"/>
    </w:p>
    <w:p>
      <w:pPr>
        <w:pStyle w:val="BookText"/>
      </w:pPr>
      <w:r>
        <w:rPr>
          <w:rFonts w:ascii="IRNazanin" w:hAnsi="IRNazanin" w:eastAsia="IRNazanin" w:cs="IRNazanin"/>
          <w:lang w:bidi="fa-IR"/>
          <w:color w:val="111111"/>
          <w:sz w:val="28"/>
          <w:szCs w:val="28"/>
          <w:rtl/>
        </w:rPr>
        <w:t xml:space="preserve">و اسمه طهماسب قلی خان کان من الأکراد نزل قندهار. أورد شعره النصرآبادی فی (نر 3- ص 63) و کذا فی (مسرت- ص 299).</w:t>
      </w:r>
    </w:p>
    <w:p>
      <w:pPr>
        <w:pStyle w:val="Heading3"/>
      </w:pPr>
      <w:bookmarkStart w:id="10852" w:name="_Toc9548"/>
      <w:r>
        <w:t>8217- دیوان ویرانی إبدال أو شعره‏</w:t>
      </w:r>
      <w:bookmarkEnd w:id="10852"/>
    </w:p>
    <w:p>
      <w:pPr>
        <w:pStyle w:val="BookText"/>
      </w:pPr>
      <w:r>
        <w:rPr>
          <w:rFonts w:ascii="IRNazanin" w:hAnsi="IRNazanin" w:eastAsia="IRNazanin" w:cs="IRNazanin"/>
          <w:lang w:bidi="fa-IR"/>
          <w:color w:val="111111"/>
          <w:sz w:val="28"/>
          <w:szCs w:val="28"/>
          <w:rtl/>
        </w:rPr>
        <w:t xml:space="preserve">من شعراء الحروفیة. ذکر دیوانه العزاوی فی العراق بین الاحتلالین- 2: 251- 253 و الکاکائیة فی التاریخ ص 42 و 43).</w:t>
      </w:r>
    </w:p>
    <w:p>
      <w:pPr>
        <w:pStyle w:val="Heading3"/>
      </w:pPr>
      <w:bookmarkStart w:id="10853" w:name="_Toc9549"/>
      <w:r>
        <w:t>8218- دیوان ویسی سمرقندی أو شعره‏</w:t>
      </w:r>
      <w:bookmarkEnd w:id="10853"/>
    </w:p>
    <w:p>
      <w:pPr>
        <w:pStyle w:val="BookText"/>
      </w:pPr>
      <w:r>
        <w:rPr>
          <w:rFonts w:ascii="IRNazanin" w:hAnsi="IRNazanin" w:eastAsia="IRNazanin" w:cs="IRNazanin"/>
          <w:lang w:bidi="fa-IR"/>
          <w:color w:val="111111"/>
          <w:sz w:val="28"/>
          <w:szCs w:val="28"/>
          <w:rtl/>
        </w:rPr>
        <w:t xml:space="preserve">ورد شعره فی (مجتس 6- ص 163).</w:t>
      </w:r>
    </w:p>
    <w:p>
      <w:pPr>
        <w:pStyle w:val="Heading3"/>
      </w:pPr>
      <w:bookmarkStart w:id="10854" w:name="_Toc9550"/>
      <w:r>
        <w:t>8219- دیوان ویسی هروی‏</w:t>
      </w:r>
      <w:bookmarkEnd w:id="10854"/>
    </w:p>
    <w:p>
      <w:pPr>
        <w:pStyle w:val="BookText"/>
      </w:pPr>
      <w:r>
        <w:rPr>
          <w:rFonts w:ascii="IRNazanin" w:hAnsi="IRNazanin" w:eastAsia="IRNazanin" w:cs="IRNazanin"/>
          <w:lang w:bidi="fa-IR"/>
          <w:color w:val="111111"/>
          <w:sz w:val="28"/>
          <w:szCs w:val="28"/>
          <w:rtl/>
        </w:rPr>
        <w:t xml:space="preserve">کان خطاطا ماهرا معاصرا للجامی و السهیلی. ترجمه علی شیر فی (مجن 2- ص 31 و 205) و فی (گلشن- ص 602) أنه نظم شیئا فی قبال ویس ورامین.
</w:t>
      </w:r>
    </w:p>
    <w:p>
      <w:pPr>
        <w:sectPr>
          <w:footerReference w:type="default" r:id="rId1291"/>
          <w:footnotePr>
            <w:numStart w:val="1"/>
            <w:numRestart w:val="eachPage"/>
          </w:footnotePr>
          <w:pgSz w:orient="portrait" w:w="11905.511811023622" w:h="16837.79527559055"/>
          <w:pgMar w:top="1440" w:right="1440" w:bottom="1440" w:left="1440" w:header="720" w:footer="720" w:gutter="0"/>
          <w:cols w:num="1" w:space="720"/>
        </w:sectPr>
      </w:pPr>
    </w:p>
    <w:bookmarkStart w:id="1266" w:name="pg11704_122810"/>
    <w:bookmarkEnd w:id="1266"/>
    <w:p>
      <w:pPr>
        <w:pStyle w:val="Heading3"/>
      </w:pPr>
      <w:bookmarkStart w:id="10855" w:name="_Toc9551"/>
      <w:r>
        <w:t>ه</w:t>
      </w:r>
      <w:bookmarkEnd w:id="10855"/>
    </w:p>
    <w:p>
      <w:pPr>
        <w:pStyle w:val="Heading3"/>
      </w:pPr>
      <w:bookmarkStart w:id="10856" w:name="_Toc9552"/>
      <w:r>
        <w:t>دیوان هابط</w:t>
      </w:r>
      <w:bookmarkEnd w:id="10856"/>
    </w:p>
    <w:p>
      <w:pPr>
        <w:pStyle w:val="BookText"/>
      </w:pPr>
      <w:r>
        <w:rPr>
          <w:rFonts w:ascii="IRNazanin" w:hAnsi="IRNazanin" w:eastAsia="IRNazanin" w:cs="IRNazanin"/>
          <w:lang w:bidi="fa-IR"/>
          <w:color w:val="111111"/>
          <w:sz w:val="28"/>
          <w:szCs w:val="28"/>
          <w:rtl/>
        </w:rPr>
        <w:t xml:space="preserve">راجع دیوان همت أصفهانی.</w:t>
      </w:r>
    </w:p>
    <w:p>
      <w:pPr>
        <w:pStyle w:val="Heading3"/>
      </w:pPr>
      <w:bookmarkStart w:id="10857" w:name="_Toc9553"/>
      <w:r>
        <w:t>8220- دیوان هاتف أصفهانی‏</w:t>
      </w:r>
      <w:bookmarkEnd w:id="10857"/>
    </w:p>
    <w:p>
      <w:pPr>
        <w:pStyle w:val="BookText"/>
      </w:pPr>
      <w:r>
        <w:rPr>
          <w:rFonts w:ascii="IRNazanin" w:hAnsi="IRNazanin" w:eastAsia="IRNazanin" w:cs="IRNazanin"/>
          <w:lang w:bidi="fa-IR"/>
          <w:color w:val="111111"/>
          <w:sz w:val="28"/>
          <w:szCs w:val="28"/>
          <w:rtl/>
        </w:rPr>
        <w:t xml:space="preserve">هو السید أحمد الحسینی الأصفهانی المنشی الشاعر الطبیب الماهر المتوفی 1198 ترجم فی (مع 2- ص 567) و ذکر أن دیوانه مختصر و بما أن الغزلیات لا یذکر فی المجمع ذکر من قصائده فقط قرب مائتین و خمسین بیتا و ترجم فی (دجا- ص 396) نقلا عن نگارستان دارا و ذکر أن أصله من آذربایجان و انتقل جده إلی أصفهان أیام الصفویة، و کان بینه و بین المیرزا نصیر الطبیب الشیرازی مکاتبات و مشاهرات و دیوانه فی حدود ألفی بیت. و طبع فی 13- 1317 فی 128 ص.</w:t>
      </w:r>
    </w:p>
    <w:p>
      <w:pPr>
        <w:pStyle w:val="BookText"/>
      </w:pPr>
      <w:r>
        <w:rPr>
          <w:rFonts w:ascii="IRNazanin" w:hAnsi="IRNazanin" w:eastAsia="IRNazanin" w:cs="IRNazanin"/>
          <w:lang w:bidi="fa-IR"/>
          <w:color w:val="111111"/>
          <w:sz w:val="28"/>
          <w:szCs w:val="28"/>
          <w:rtl/>
        </w:rPr>
        <w:t xml:space="preserve">ثم فی 1347 مع مقدمه لیاسمی فی 90 ص. ثم طبعه وحید دستگردی فی 1352 فی 112 ص. مع مقدمه لعباس إقبال فی أحوال الشاعر فی 12 ص. و جاء بعض شعره فی (تعا- ص 250) و طبع فیروز حریرچی دراسة وجیزة حول أشعار هاتف العربیة بطهران فی 1384 فی 75 ص. و له ترجیع بند موجود فی المکتبة (الملیة- 101) بطهران و طبعها انجمن دوستداران کتاب بخط جید. و له بهارستان موجود عند (فخر الدین 144) کتبت 1161 و شیرین و فرهاد عند (الملک) و ترجم فی (تش- ص 420) و (انجمن 4) و (طرائق 3: 99) و (گلشن- ص 602) و فهرس مکتبة (سپهسالار) 2: 703 و المستر براون 4: 187 نقلا عن بابرنامه و مجلة أرمغان 18: 550) و (نتایج- ص 786) و (مسرت- ص 207) و (روشن- ص 769) و (مسرت- ص 207) و (روشن- ص 769) و مرت بنته شحة أصفهانی فی ص 359.</w:t>
      </w:r>
    </w:p>
    <w:p>
      <w:pPr>
        <w:pStyle w:val="Heading3"/>
      </w:pPr>
      <w:bookmarkStart w:id="10858" w:name="_Toc9554"/>
      <w:r>
        <w:t>8221- دیوان هاتف أصفهانی أو شعره‏</w:t>
      </w:r>
      <w:bookmarkEnd w:id="10858"/>
    </w:p>
    <w:p>
      <w:pPr>
        <w:pStyle w:val="BookText"/>
      </w:pPr>
      <w:r>
        <w:rPr>
          <w:rFonts w:ascii="IRNazanin" w:hAnsi="IRNazanin" w:eastAsia="IRNazanin" w:cs="IRNazanin"/>
          <w:lang w:bidi="fa-IR"/>
          <w:color w:val="111111"/>
          <w:sz w:val="28"/>
          <w:szCs w:val="28"/>
          <w:rtl/>
        </w:rPr>
        <w:t xml:space="preserve">و اسمه أبو علی من أحفاد إسماعیل أیما المذکور فی ص 114. ترجم فی (نتایج- ص 786) و (روشن- ص 770) و توفی أواخر المائة الثانیة عشرة و فی همیشه بهار هاتف دلیجانی.
</w:t>
      </w:r>
    </w:p>
    <w:p>
      <w:pPr>
        <w:sectPr>
          <w:footerReference w:type="default" r:id="rId1292"/>
          <w:footnotePr>
            <w:numStart w:val="1"/>
            <w:numRestart w:val="eachPage"/>
          </w:footnotePr>
          <w:pgSz w:orient="portrait" w:w="11905.511811023622" w:h="16837.79527559055"/>
          <w:pgMar w:top="1440" w:right="1440" w:bottom="1440" w:left="1440" w:header="720" w:footer="720" w:gutter="0"/>
          <w:cols w:num="1" w:space="720"/>
        </w:sectPr>
      </w:pPr>
    </w:p>
    <w:bookmarkStart w:id="1267" w:name="pg11704_122812"/>
    <w:bookmarkEnd w:id="1267"/>
    <w:p>
      <w:pPr>
        <w:pStyle w:val="Heading3"/>
      </w:pPr>
      <w:bookmarkStart w:id="10859" w:name="_Toc9555"/>
      <w:r>
        <w:t>دیوان هاتف قزوینی‏</w:t>
      </w:r>
      <w:bookmarkEnd w:id="10859"/>
    </w:p>
    <w:p>
      <w:pPr>
        <w:pStyle w:val="BookText"/>
      </w:pPr>
      <w:r>
        <w:rPr>
          <w:rFonts w:ascii="IRNazanin" w:hAnsi="IRNazanin" w:eastAsia="IRNazanin" w:cs="IRNazanin"/>
          <w:lang w:bidi="fa-IR"/>
          <w:color w:val="111111"/>
          <w:sz w:val="28"/>
          <w:szCs w:val="28"/>
          <w:rtl/>
        </w:rPr>
        <w:t xml:space="preserve">و اسمه عبد الله ورد شعره فی (روشن- ص 770) و همیشه بهار و لعله هاتفی.</w:t>
      </w:r>
    </w:p>
    <w:p>
      <w:pPr>
        <w:pStyle w:val="Heading3"/>
      </w:pPr>
      <w:bookmarkStart w:id="10860" w:name="_Toc9556"/>
      <w:r>
        <w:t>8222- دیوان هاتفی جامی‏</w:t>
      </w:r>
      <w:bookmarkEnd w:id="10860"/>
    </w:p>
    <w:p>
      <w:pPr>
        <w:pStyle w:val="BookText"/>
      </w:pPr>
      <w:r>
        <w:rPr>
          <w:rFonts w:ascii="IRNazanin" w:hAnsi="IRNazanin" w:eastAsia="IRNazanin" w:cs="IRNazanin"/>
          <w:lang w:bidi="fa-IR"/>
          <w:color w:val="111111"/>
          <w:sz w:val="28"/>
          <w:szCs w:val="28"/>
          <w:rtl/>
        </w:rPr>
        <w:t xml:space="preserve">اسمه المولی عبد الله. و هو ابن أخت الجامی، استأذن خاله فی جواب الخمسة النظامیة، فامتحنه بنظم ثلاثة أبیات فی جواب النظامی:</w:t>
      </w:r>
    </w:p>
    <w:p>
      <w:pPr>
        <w:pStyle w:val="BookText"/>
      </w:pPr>
      <w:r>
        <w:rPr>
          <w:rFonts w:ascii="IRNazanin" w:hAnsi="IRNazanin" w:eastAsia="IRNazanin" w:cs="IRNazanin"/>
          <w:lang w:bidi="fa-IR"/>
          <w:color w:val="111111"/>
          <w:sz w:val="28"/>
          <w:szCs w:val="28"/>
          <w:rtl/>
        </w:rPr>
        <w:t xml:space="preserve">درختی که تلخست وی را سرشت‏</w:t>
      </w:r>
    </w:p>
    <w:p>
      <w:pPr>
        <w:pStyle w:val="BookText"/>
      </w:pPr>
      <w:r>
        <w:rPr>
          <w:rFonts w:ascii="IRNazanin" w:hAnsi="IRNazanin" w:eastAsia="IRNazanin" w:cs="IRNazanin"/>
          <w:lang w:bidi="fa-IR"/>
          <w:color w:val="111111"/>
          <w:sz w:val="28"/>
          <w:szCs w:val="28"/>
          <w:rtl/>
        </w:rPr>
        <w:t xml:space="preserve">گرش بر نشانی بباغ بهشت‏</w:t>
      </w:r>
    </w:p>
    <w:p>
      <w:pPr>
        <w:pStyle w:val="BookText"/>
      </w:pPr>
      <w:r>
        <w:rPr>
          <w:rFonts w:ascii="IRNazanin" w:hAnsi="IRNazanin" w:eastAsia="IRNazanin" w:cs="IRNazanin"/>
          <w:lang w:bidi="fa-IR"/>
          <w:color w:val="111111"/>
          <w:sz w:val="28"/>
          <w:szCs w:val="28"/>
          <w:rtl/>
        </w:rPr>
        <w:t xml:space="preserve">إلی آخر الثلاثة و لما عرض جوابه علیه استحسنه و رخصه فنظم أربعة منها فافتتح لیلی و مجنون بما أنشأه الجامی و تممه. ثم نظم خسرو و شیرین ثم هفت منظر فی جواب هفت پیکر ثم نظم تیمورنامه فی حدود أربعین سنة و أورد سام میرزا نموذجا من جمیعها فی (تس- 94- 97) و ذکر أن مولد هاتفی و مسکنه قریة خرجرد جام من خراسان و غرس هناک چهار باغ کان یسکنها. فمر الشاه إسماعیل فی 917 بعد زیارة مزار قاسم الأنوار علی چهار باغ. و لما ورد هاتفی تلطف به کثیرا و أمره بنظم فتوحاته فقبل هاتفی و نظم منه ألف بیت و لم یمهله الأجل فتوفی 927 و دفن فی چهار باغ.</w:t>
      </w:r>
    </w:p>
    <w:p>
      <w:pPr>
        <w:pStyle w:val="BookText"/>
      </w:pPr>
      <w:r>
        <w:rPr>
          <w:rFonts w:ascii="IRNazanin" w:hAnsi="IRNazanin" w:eastAsia="IRNazanin" w:cs="IRNazanin"/>
          <w:lang w:bidi="fa-IR"/>
          <w:color w:val="111111"/>
          <w:sz w:val="28"/>
          <w:szCs w:val="28"/>
          <w:rtl/>
        </w:rPr>
        <w:t xml:space="preserve">و ترجمه المیر علی شیر فی مجالس النفائس و قال إنه فی هذا التاریخ فرغ من نظم لیلی و مجنون و خسرو و شیرین و هفت منظر و مشغول بظفرنامه فی جواب إسکندرنامه و قال فی میخانه- ص 106 إن هفت منظر فی خمسة عشر ألف بیت و تمرنامه أربعة آلاف و لیلی و مجنون أربعة آلاف و خسرو و شیرین ألفین، و قصائده و مقطعاته کلها خمسة آلاف بیت و مات فی 914 عن مائة سنة و کان طویل القامة قویا. و ترجم فی (مجن 3 ص 62 و 235) و هفت إقلیم و (تش- ص 75) و (تس 5- ص 94) و (حسینی- ص 366) و شاهد صادق و (مع 2: 54) و (طرائق 3: 48) و المستر براون 4: 305 و فهرس (المجلس) 3: 165 و (خوش‏گو) و (نتایج- ص 779) و (روشن- ص 772). یوجد تمرنامه عند ألفت انتقلت إلی جامعة أصفهان.</w:t>
      </w:r>
    </w:p>
    <w:p>
      <w:pPr>
        <w:pStyle w:val="Heading3"/>
      </w:pPr>
      <w:bookmarkStart w:id="10861" w:name="_Toc9557"/>
      <w:r>
        <w:t>8223- دیوان هاتفی قزوینی أو شعره‏</w:t>
      </w:r>
      <w:bookmarkEnd w:id="10861"/>
    </w:p>
    <w:p>
      <w:pPr>
        <w:pStyle w:val="BookText"/>
      </w:pPr>
      <w:r>
        <w:rPr>
          <w:rFonts w:ascii="IRNazanin" w:hAnsi="IRNazanin" w:eastAsia="IRNazanin" w:cs="IRNazanin"/>
          <w:lang w:bidi="fa-IR"/>
          <w:color w:val="111111"/>
          <w:sz w:val="28"/>
          <w:szCs w:val="28"/>
          <w:rtl/>
        </w:rPr>
        <w:t xml:space="preserve">ترجمه سام میرزا فی (تس 5- ص 128) و مات 921.</w:t>
      </w:r>
    </w:p>
    <w:p>
      <w:pPr>
        <w:pStyle w:val="Heading3"/>
      </w:pPr>
      <w:bookmarkStart w:id="10862" w:name="_Toc9558"/>
      <w:r>
        <w:t>8224- دیوان هاتفی قهفرخی أصفهانی‏</w:t>
      </w:r>
      <w:bookmarkEnd w:id="10862"/>
    </w:p>
    <w:p>
      <w:pPr>
        <w:pStyle w:val="BookText"/>
      </w:pPr>
      <w:r>
        <w:rPr>
          <w:rFonts w:ascii="IRNazanin" w:hAnsi="IRNazanin" w:eastAsia="IRNazanin" w:cs="IRNazanin"/>
          <w:lang w:bidi="fa-IR"/>
          <w:color w:val="111111"/>
          <w:sz w:val="28"/>
          <w:szCs w:val="28"/>
          <w:rtl/>
        </w:rPr>
        <w:t xml:space="preserve">و هو قدرت الله بن علی ولد فی 1340 بقریة قهفرخ و مات والده فجاء إلی أصفهان و نشر جریدة هاتف فی 1371 و له بها
</w:t>
      </w:r>
    </w:p>
    <w:p>
      <w:pPr>
        <w:sectPr>
          <w:footerReference w:type="default" r:id="rId1293"/>
          <w:footnotePr>
            <w:numStart w:val="1"/>
            <w:numRestart w:val="eachPage"/>
          </w:footnotePr>
          <w:pgSz w:orient="portrait" w:w="11905.511811023622" w:h="16837.79527559055"/>
          <w:pgMar w:top="1440" w:right="1440" w:bottom="1440" w:left="1440" w:header="720" w:footer="720" w:gutter="0"/>
          <w:cols w:num="1" w:space="720"/>
        </w:sectPr>
      </w:pPr>
    </w:p>
    <w:bookmarkStart w:id="1268" w:name="pg11704_122814"/>
    <w:bookmarkEnd w:id="1268"/>
    <w:p>
      <w:pPr>
        <w:pStyle w:val="BookText"/>
      </w:pPr>
      <w:r>
        <w:rPr>
          <w:rFonts w:ascii="IRNazanin" w:hAnsi="IRNazanin" w:eastAsia="IRNazanin" w:cs="IRNazanin"/>
          <w:lang w:bidi="fa-IR"/>
          <w:color w:val="111111"/>
          <w:sz w:val="28"/>
          <w:szCs w:val="28"/>
          <w:rtl/>
        </w:rPr>
        <w:t xml:space="preserve">أشعار. ترجم فی شعرای معاصر أصفهان- ص 530.</w:t>
      </w:r>
    </w:p>
    <w:p>
      <w:pPr>
        <w:pStyle w:val="Heading3"/>
      </w:pPr>
      <w:bookmarkStart w:id="10863" w:name="_Toc9559"/>
      <w:r>
        <w:t>8225- دیوان هادی ابرقوهی‏</w:t>
      </w:r>
      <w:bookmarkEnd w:id="10863"/>
    </w:p>
    <w:p>
      <w:pPr>
        <w:pStyle w:val="BookText"/>
      </w:pPr>
      <w:r>
        <w:rPr>
          <w:rFonts w:ascii="IRNazanin" w:hAnsi="IRNazanin" w:eastAsia="IRNazanin" w:cs="IRNazanin"/>
          <w:lang w:bidi="fa-IR"/>
          <w:color w:val="111111"/>
          <w:sz w:val="28"/>
          <w:szCs w:val="28"/>
          <w:rtl/>
        </w:rPr>
        <w:t xml:space="preserve">أخ المیر برهان المذکور فی ص 133 من سادات أبرقوه و کان أکثر أیامه فی شیراز جلیس الأدباء الظرفاء. ترجمه النصرآبادی فی (نر 9- ص 301) و ذکر أنه توفی بأیامه و أورد شعره و رباعیه.</w:t>
      </w:r>
    </w:p>
    <w:p>
      <w:pPr>
        <w:pStyle w:val="Heading3"/>
      </w:pPr>
      <w:bookmarkStart w:id="10864" w:name="_Toc9560"/>
      <w:r>
        <w:t>8226- دیوان هادی أسترآبادی أو شعره‏</w:t>
      </w:r>
      <w:bookmarkEnd w:id="10864"/>
    </w:p>
    <w:p>
      <w:pPr>
        <w:pStyle w:val="BookText"/>
      </w:pPr>
      <w:r>
        <w:rPr>
          <w:rFonts w:ascii="IRNazanin" w:hAnsi="IRNazanin" w:eastAsia="IRNazanin" w:cs="IRNazanin"/>
          <w:lang w:bidi="fa-IR"/>
          <w:color w:val="111111"/>
          <w:sz w:val="28"/>
          <w:szCs w:val="28"/>
          <w:rtl/>
        </w:rPr>
        <w:t xml:space="preserve">ترجم فی (تس 2- ص 38) و (روشن- ص 772).</w:t>
      </w:r>
    </w:p>
    <w:p>
      <w:pPr>
        <w:pStyle w:val="Heading3"/>
      </w:pPr>
      <w:bookmarkStart w:id="10865" w:name="_Toc9561"/>
      <w:r>
        <w:t>8227- دیوان هادی أصفهانی أو شعره‏</w:t>
      </w:r>
      <w:bookmarkEnd w:id="10865"/>
    </w:p>
    <w:p>
      <w:pPr>
        <w:pStyle w:val="BookText"/>
      </w:pPr>
      <w:r>
        <w:rPr>
          <w:rFonts w:ascii="IRNazanin" w:hAnsi="IRNazanin" w:eastAsia="IRNazanin" w:cs="IRNazanin"/>
          <w:lang w:bidi="fa-IR"/>
          <w:color w:val="111111"/>
          <w:sz w:val="28"/>
          <w:szCs w:val="28"/>
          <w:rtl/>
        </w:rPr>
        <w:t xml:space="preserve">و هو ابن شاه تقی شیخ الإسلام بمشهد خراسان. ورد شعره فی (تش- ص 206) و فی (تش 2- ص 25) سماه هادی موسوی.</w:t>
      </w:r>
    </w:p>
    <w:p>
      <w:pPr>
        <w:pStyle w:val="BookText"/>
      </w:pPr>
      <w:r>
        <w:rPr>
          <w:rFonts w:ascii="IRNazanin" w:hAnsi="IRNazanin" w:eastAsia="IRNazanin" w:cs="IRNazanin"/>
          <w:lang w:bidi="fa-IR"/>
          <w:color w:val="111111"/>
          <w:sz w:val="28"/>
          <w:szCs w:val="28"/>
          <w:rtl/>
        </w:rPr>
        <w:t xml:space="preserve">و کان محتسبا ثم تولی مشهد الرضا. و فی (گلشن- ص 604) و (روشن- ص 772) أن اسمه محمد هادی الیزدجردی نشا بکاشان و تولی أمر مشهد الرضا و مات 950.</w:t>
      </w:r>
    </w:p>
    <w:p>
      <w:pPr>
        <w:pStyle w:val="Heading3"/>
      </w:pPr>
      <w:bookmarkStart w:id="10866" w:name="_Toc9562"/>
      <w:r>
        <w:t>8228- دیوان هادی أصفهانی أو شعره‏</w:t>
      </w:r>
      <w:bookmarkEnd w:id="10866"/>
    </w:p>
    <w:p>
      <w:pPr>
        <w:pStyle w:val="BookText"/>
      </w:pPr>
      <w:r>
        <w:rPr>
          <w:rFonts w:ascii="IRNazanin" w:hAnsi="IRNazanin" w:eastAsia="IRNazanin" w:cs="IRNazanin"/>
          <w:lang w:bidi="fa-IR"/>
          <w:color w:val="111111"/>
          <w:sz w:val="28"/>
          <w:szCs w:val="28"/>
          <w:rtl/>
        </w:rPr>
        <w:t xml:space="preserve">و اسمه حسن ورد شعره فی (گلشن- ص 603) قال و مات بیزد.</w:t>
      </w:r>
    </w:p>
    <w:p>
      <w:pPr>
        <w:pStyle w:val="Heading3"/>
      </w:pPr>
      <w:bookmarkStart w:id="10867" w:name="_Toc9563"/>
      <w:r>
        <w:t>8229- دیوان محمد هادی البصری‏</w:t>
      </w:r>
      <w:bookmarkEnd w:id="10867"/>
    </w:p>
    <w:p>
      <w:pPr>
        <w:pStyle w:val="BookText"/>
      </w:pPr>
      <w:r>
        <w:rPr>
          <w:rFonts w:ascii="IRNazanin" w:hAnsi="IRNazanin" w:eastAsia="IRNazanin" w:cs="IRNazanin"/>
          <w:lang w:bidi="fa-IR"/>
          <w:color w:val="111111"/>
          <w:sz w:val="28"/>
          <w:szCs w:val="28"/>
          <w:rtl/>
        </w:rPr>
        <w:t xml:space="preserve">هو ابن علی دفتر المولود 1312 مطبوع بالبصرة.</w:t>
      </w:r>
    </w:p>
    <w:p>
      <w:pPr>
        <w:pStyle w:val="Heading3"/>
      </w:pPr>
      <w:bookmarkStart w:id="10868" w:name="_Toc9564"/>
      <w:r>
        <w:t>8230- دیوان الشیخ هادی البیرجندی‏</w:t>
      </w:r>
      <w:bookmarkEnd w:id="10868"/>
    </w:p>
    <w:p>
      <w:pPr>
        <w:pStyle w:val="BookText"/>
      </w:pPr>
      <w:r>
        <w:rPr>
          <w:rFonts w:ascii="IRNazanin" w:hAnsi="IRNazanin" w:eastAsia="IRNazanin" w:cs="IRNazanin"/>
          <w:lang w:bidi="fa-IR"/>
          <w:color w:val="111111"/>
          <w:sz w:val="28"/>
          <w:szCs w:val="28"/>
          <w:rtl/>
        </w:rPr>
        <w:t xml:space="preserve">نزیل قائن الشهیر بقائنی ابن المولی محمد محسن بن عبد الله بن محسن بن حسین البیرجندی المولود بها 1277 له مقدمه مبسوطة طبعت فی أوله: فیها ترجمه نفسه مفصلة فی 120 ص. و ذکر تواریخه و تنقلاته فی سامراء أو غیرها. و تم طبعه 1354 و هو فارسی أورد فی ص 158 منه قطعة من قصیدته فی مدح أستاذه السید الشیرازی، و فیها تفصیل وقعة الدخانیة و إخراج رژی صاحب امتیازها من بلاد إیران. و فیه قطعة من ترجمته لخطبة الصدیقة فی المسجد فی حشد من المهاجرین و الأنصار. و أحال تمام الترجمة إلی کتابه مائدة محمدیة. و له بستان الناظرین مر فی ج 3 ص 108 و توفی فی (ج 2- 1366) و ترجم فی (قهستان- ص 348).</w:t>
      </w:r>
    </w:p>
    <w:p>
      <w:pPr>
        <w:pStyle w:val="Heading3"/>
      </w:pPr>
      <w:bookmarkStart w:id="10869" w:name="_Toc9565"/>
      <w:r>
        <w:t>8231- دیوان هادی حائری‏</w:t>
      </w:r>
      <w:bookmarkEnd w:id="10869"/>
    </w:p>
    <w:p>
      <w:pPr>
        <w:pStyle w:val="BookText"/>
      </w:pPr>
      <w:r>
        <w:rPr>
          <w:rFonts w:ascii="IRNazanin" w:hAnsi="IRNazanin" w:eastAsia="IRNazanin" w:cs="IRNazanin"/>
          <w:lang w:bidi="fa-IR"/>
          <w:color w:val="111111"/>
          <w:sz w:val="28"/>
          <w:szCs w:val="28"/>
          <w:rtl/>
        </w:rPr>
        <w:t xml:space="preserve">و هو الشیخ هادی بن الشیخ عبد الله المازندرانی. ولد 1309. ترجمه البرقعی و أورد شعره فی (سخنوران- 1: 248) و مجلة أرمغان‏
</w:t>
      </w:r>
    </w:p>
    <w:p>
      <w:pPr>
        <w:sectPr>
          <w:footerReference w:type="default" r:id="rId1294"/>
          <w:footnotePr>
            <w:numStart w:val="1"/>
            <w:numRestart w:val="eachPage"/>
          </w:footnotePr>
          <w:pgSz w:orient="portrait" w:w="11905.511811023622" w:h="16837.79527559055"/>
          <w:pgMar w:top="1440" w:right="1440" w:bottom="1440" w:left="1440" w:header="720" w:footer="720" w:gutter="0"/>
          <w:cols w:num="1" w:space="720"/>
        </w:sectPr>
      </w:pPr>
    </w:p>
    <w:bookmarkStart w:id="1269" w:name="pg11704_122816"/>
    <w:bookmarkEnd w:id="1269"/>
    <w:p>
      <w:pPr>
        <w:pStyle w:val="BookText"/>
      </w:pPr>
      <w:r>
        <w:rPr>
          <w:rFonts w:ascii="Times New Roman" w:hAnsi="Times New Roman" w:eastAsia="Times New Roman" w:cs="Times New Roman"/>
          <w:lang w:val="en-US" w:bidi="en-US"/>
          <w:color w:val="111111"/>
          <w:sz w:val="28"/>
          <w:szCs w:val="28"/>
          <w:rtl/>
        </w:rPr>
        <w:t xml:space="preserve">11: 609.</w:t>
      </w:r>
    </w:p>
    <w:p>
      <w:pPr>
        <w:pStyle w:val="Heading3"/>
      </w:pPr>
      <w:bookmarkStart w:id="10870" w:name="_Toc9566"/>
      <w:r>
        <w:t>8232- دیوان هادی دهلوی أو شعره‏</w:t>
      </w:r>
      <w:bookmarkEnd w:id="10870"/>
    </w:p>
    <w:p>
      <w:pPr>
        <w:pStyle w:val="BookText"/>
      </w:pPr>
      <w:r>
        <w:rPr>
          <w:rFonts w:ascii="IRNazanin" w:hAnsi="IRNazanin" w:eastAsia="IRNazanin" w:cs="IRNazanin"/>
          <w:lang w:bidi="fa-IR"/>
          <w:color w:val="111111"/>
          <w:sz w:val="28"/>
          <w:szCs w:val="28"/>
          <w:rtl/>
        </w:rPr>
        <w:t xml:space="preserve">و هو میر محمد جواد. ورد شعره فی (گلشن- ص 604).</w:t>
      </w:r>
    </w:p>
    <w:p>
      <w:pPr>
        <w:pStyle w:val="Heading3"/>
      </w:pPr>
      <w:bookmarkStart w:id="10871" w:name="_Toc9567"/>
      <w:r>
        <w:t>8233- دیوان هادی رنگرز أو شعره‏</w:t>
      </w:r>
      <w:bookmarkEnd w:id="10871"/>
    </w:p>
    <w:p>
      <w:pPr>
        <w:pStyle w:val="BookText"/>
      </w:pPr>
      <w:r>
        <w:rPr>
          <w:rFonts w:ascii="IRNazanin" w:hAnsi="IRNazanin" w:eastAsia="IRNazanin" w:cs="IRNazanin"/>
          <w:lang w:bidi="fa-IR"/>
          <w:color w:val="111111"/>
          <w:sz w:val="28"/>
          <w:szCs w:val="28"/>
          <w:rtl/>
        </w:rPr>
        <w:t xml:space="preserve">ورد معمیاته فی (نر 15- ص 542).</w:t>
      </w:r>
    </w:p>
    <w:p>
      <w:pPr>
        <w:pStyle w:val="Heading3"/>
      </w:pPr>
      <w:bookmarkStart w:id="10872" w:name="_Toc9568"/>
      <w:r>
        <w:t>دیوان هادی سبزواری‏</w:t>
      </w:r>
      <w:bookmarkEnd w:id="10872"/>
    </w:p>
    <w:p>
      <w:pPr>
        <w:pStyle w:val="BookText"/>
      </w:pPr>
      <w:r>
        <w:rPr>
          <w:rFonts w:ascii="IRNazanin" w:hAnsi="IRNazanin" w:eastAsia="IRNazanin" w:cs="IRNazanin"/>
          <w:lang w:bidi="fa-IR"/>
          <w:color w:val="111111"/>
          <w:sz w:val="28"/>
          <w:szCs w:val="28"/>
          <w:rtl/>
        </w:rPr>
        <w:t xml:space="preserve">راجع دیوان أسرار.</w:t>
      </w:r>
    </w:p>
    <w:p>
      <w:pPr>
        <w:pStyle w:val="Heading3"/>
      </w:pPr>
      <w:bookmarkStart w:id="10873" w:name="_Toc9569"/>
      <w:r>
        <w:t>8234- دیوان هادی شهرستانی‏</w:t>
      </w:r>
      <w:bookmarkEnd w:id="10873"/>
    </w:p>
    <w:p>
      <w:pPr>
        <w:pStyle w:val="BookText"/>
      </w:pPr>
      <w:r>
        <w:rPr>
          <w:rFonts w:ascii="IRNazanin" w:hAnsi="IRNazanin" w:eastAsia="IRNazanin" w:cs="IRNazanin"/>
          <w:lang w:bidi="fa-IR"/>
          <w:color w:val="111111"/>
          <w:sz w:val="28"/>
          <w:szCs w:val="28"/>
          <w:rtl/>
        </w:rPr>
        <w:t xml:space="preserve">هو هادی بن محمد رفیع الصدر. کان محتسبا و سافر إلی الهند و ترقی هناک. کذا فی (تش- ص 206) و (خوش‏گو) و فی (گلشن- ص 604) أنه جاء إلی الهند و رجع.</w:t>
      </w:r>
    </w:p>
    <w:p>
      <w:pPr>
        <w:pStyle w:val="Heading3"/>
      </w:pPr>
      <w:bookmarkStart w:id="10874" w:name="_Toc9570"/>
      <w:r>
        <w:t>8235- دیوان هادی شیرازی أو شعره‏</w:t>
      </w:r>
      <w:bookmarkEnd w:id="10874"/>
    </w:p>
    <w:p>
      <w:pPr>
        <w:pStyle w:val="BookText"/>
      </w:pPr>
      <w:r>
        <w:rPr>
          <w:rFonts w:ascii="IRNazanin" w:hAnsi="IRNazanin" w:eastAsia="IRNazanin" w:cs="IRNazanin"/>
          <w:lang w:bidi="fa-IR"/>
          <w:color w:val="111111"/>
          <w:sz w:val="28"/>
          <w:szCs w:val="28"/>
          <w:rtl/>
        </w:rPr>
        <w:t xml:space="preserve">هو ابن معین الدین محمد وزیر فارس فی عصر الشاه سلیمان، ثم نصب وزیرا لکرمان، ثم حبس و مات بالسجن کما فی (نر 4- ص 70).</w:t>
      </w:r>
    </w:p>
    <w:p>
      <w:pPr>
        <w:pStyle w:val="Heading3"/>
      </w:pPr>
      <w:bookmarkStart w:id="10875" w:name="_Toc9571"/>
      <w:r>
        <w:t>8236- دیوان هادی قزوینی أو شعره‏</w:t>
      </w:r>
      <w:bookmarkEnd w:id="10875"/>
    </w:p>
    <w:p>
      <w:pPr>
        <w:pStyle w:val="BookText"/>
      </w:pPr>
      <w:r>
        <w:rPr>
          <w:rFonts w:ascii="IRNazanin" w:hAnsi="IRNazanin" w:eastAsia="IRNazanin" w:cs="IRNazanin"/>
          <w:lang w:bidi="fa-IR"/>
          <w:color w:val="111111"/>
          <w:sz w:val="28"/>
          <w:szCs w:val="28"/>
          <w:rtl/>
        </w:rPr>
        <w:t xml:space="preserve">جاء شعره فی (گلشن- ص 603) و لعله عبد الهادی المذکور فی مقالات الشعراء- ص 841 الذی کان حیا فی 1169.</w:t>
      </w:r>
    </w:p>
    <w:p>
      <w:pPr>
        <w:pStyle w:val="Heading3"/>
      </w:pPr>
      <w:bookmarkStart w:id="10876" w:name="_Toc9572"/>
      <w:r>
        <w:t>دیوان هادی قهستانی‏</w:t>
      </w:r>
      <w:bookmarkEnd w:id="10876"/>
    </w:p>
    <w:p>
      <w:pPr>
        <w:pStyle w:val="BookText"/>
      </w:pPr>
      <w:r>
        <w:rPr>
          <w:rFonts w:ascii="IRNazanin" w:hAnsi="IRNazanin" w:eastAsia="IRNazanin" w:cs="IRNazanin"/>
          <w:lang w:bidi="fa-IR"/>
          <w:color w:val="111111"/>
          <w:sz w:val="28"/>
          <w:szCs w:val="28"/>
          <w:rtl/>
        </w:rPr>
        <w:t xml:space="preserve">راجع هادی بیرجندی.</w:t>
      </w:r>
    </w:p>
    <w:p>
      <w:pPr>
        <w:pStyle w:val="Heading3"/>
      </w:pPr>
      <w:bookmarkStart w:id="10877" w:name="_Toc9573"/>
      <w:r>
        <w:t>دیوان هادی کاشانی الیزدجردی البروجردی‏</w:t>
      </w:r>
      <w:bookmarkEnd w:id="10877"/>
    </w:p>
    <w:p>
      <w:pPr>
        <w:pStyle w:val="BookText"/>
      </w:pPr>
      <w:r>
        <w:rPr>
          <w:rFonts w:ascii="IRNazanin" w:hAnsi="IRNazanin" w:eastAsia="IRNazanin" w:cs="IRNazanin"/>
          <w:lang w:bidi="fa-IR"/>
          <w:color w:val="111111"/>
          <w:sz w:val="28"/>
          <w:szCs w:val="28"/>
          <w:rtl/>
        </w:rPr>
        <w:t xml:space="preserve">راجع هادی أصفهانی.</w:t>
      </w:r>
    </w:p>
    <w:p>
      <w:pPr>
        <w:pStyle w:val="Heading3"/>
      </w:pPr>
      <w:bookmarkStart w:id="10878" w:name="_Toc9574"/>
      <w:r>
        <w:t>8237- دیوان هادی کاشانی أو شعره‏</w:t>
      </w:r>
      <w:bookmarkEnd w:id="10878"/>
    </w:p>
    <w:p>
      <w:pPr>
        <w:pStyle w:val="BookText"/>
      </w:pPr>
      <w:r>
        <w:rPr>
          <w:rFonts w:ascii="IRNazanin" w:hAnsi="IRNazanin" w:eastAsia="IRNazanin" w:cs="IRNazanin"/>
          <w:lang w:bidi="fa-IR"/>
          <w:color w:val="111111"/>
          <w:sz w:val="28"/>
          <w:szCs w:val="28"/>
          <w:rtl/>
        </w:rPr>
        <w:t xml:space="preserve">و اسمه عبد الهادی بن علی رضا تجلی المذکور فی ص 167 أورد شعره فی (گلشن- ص 603).</w:t>
      </w:r>
    </w:p>
    <w:p>
      <w:pPr>
        <w:pStyle w:val="Heading3"/>
      </w:pPr>
      <w:bookmarkStart w:id="10879" w:name="_Toc9575"/>
      <w:r>
        <w:t>8238- دیوان هادی کاشانی أو شعره‏</w:t>
      </w:r>
      <w:bookmarkEnd w:id="10879"/>
    </w:p>
    <w:p>
      <w:pPr>
        <w:pStyle w:val="BookText"/>
      </w:pPr>
      <w:r>
        <w:rPr>
          <w:rFonts w:ascii="IRNazanin" w:hAnsi="IRNazanin" w:eastAsia="IRNazanin" w:cs="IRNazanin"/>
          <w:lang w:bidi="fa-IR"/>
          <w:color w:val="111111"/>
          <w:sz w:val="28"/>
          <w:szCs w:val="28"/>
          <w:rtl/>
        </w:rPr>
        <w:t xml:space="preserve">هو ابن عبد الرزاق الکاشانی. کان طبیبا بکاشان أورد شعره فی (نر 5- ص 115).</w:t>
      </w:r>
    </w:p>
    <w:p>
      <w:pPr>
        <w:pStyle w:val="Heading3"/>
      </w:pPr>
      <w:bookmarkStart w:id="10880" w:name="_Toc9576"/>
      <w:r>
        <w:t>8239- دیوان هادی مشهدی أو شعره‏</w:t>
      </w:r>
      <w:bookmarkEnd w:id="10880"/>
    </w:p>
    <w:p>
      <w:pPr>
        <w:pStyle w:val="BookText"/>
      </w:pPr>
      <w:r>
        <w:rPr>
          <w:rFonts w:ascii="IRNazanin" w:hAnsi="IRNazanin" w:eastAsia="IRNazanin" w:cs="IRNazanin"/>
          <w:lang w:bidi="fa-IR"/>
          <w:color w:val="111111"/>
          <w:sz w:val="28"/>
          <w:szCs w:val="28"/>
          <w:rtl/>
        </w:rPr>
        <w:t xml:space="preserve">و اسمه محمد مقیم الأصفهانی من أعاظم أرباب العمائم کما ذکره الحزین فی تذکرته ص 41 و قال مات 1134.</w:t>
      </w:r>
    </w:p>
    <w:p>
      <w:pPr>
        <w:pStyle w:val="Heading3"/>
      </w:pPr>
      <w:bookmarkStart w:id="10881" w:name="_Toc9577"/>
      <w:r>
        <w:t>دیوان هادی موسوی‏</w:t>
      </w:r>
      <w:bookmarkEnd w:id="10881"/>
    </w:p>
    <w:p>
      <w:pPr>
        <w:pStyle w:val="BookText"/>
      </w:pPr>
      <w:r>
        <w:rPr>
          <w:rFonts w:ascii="IRNazanin" w:hAnsi="IRNazanin" w:eastAsia="IRNazanin" w:cs="IRNazanin"/>
          <w:lang w:bidi="fa-IR"/>
          <w:color w:val="111111"/>
          <w:sz w:val="28"/>
          <w:szCs w:val="28"/>
          <w:rtl/>
        </w:rPr>
        <w:t xml:space="preserve">راجع هادی أصفهانی.</w:t>
      </w:r>
    </w:p>
    <w:p>
      <w:pPr>
        <w:pStyle w:val="Heading3"/>
      </w:pPr>
      <w:bookmarkStart w:id="10882" w:name="_Toc9578"/>
      <w:r>
        <w:t>8240- دیوان هادی نائنی أو شعره‏</w:t>
      </w:r>
      <w:bookmarkEnd w:id="10882"/>
    </w:p>
    <w:p>
      <w:pPr>
        <w:pStyle w:val="BookText"/>
      </w:pPr>
      <w:r>
        <w:rPr>
          <w:rFonts w:ascii="IRNazanin" w:hAnsi="IRNazanin" w:eastAsia="IRNazanin" w:cs="IRNazanin"/>
          <w:lang w:bidi="fa-IR"/>
          <w:color w:val="111111"/>
          <w:sz w:val="28"/>
          <w:szCs w:val="28"/>
          <w:rtl/>
        </w:rPr>
        <w:t xml:space="preserve">کان أکثر شعره فی رثاء أهل البیت، کما فی (گلشن- ص 604).</w:t>
      </w:r>
    </w:p>
    <w:p>
      <w:pPr>
        <w:pStyle w:val="Heading3"/>
      </w:pPr>
      <w:bookmarkStart w:id="10883" w:name="_Toc9579"/>
      <w:r>
        <w:t>8241- دیوان الشیخ هادی النحوی‏</w:t>
      </w:r>
      <w:bookmarkEnd w:id="10883"/>
    </w:p>
    <w:p>
      <w:pPr>
        <w:pStyle w:val="BookText"/>
      </w:pPr>
      <w:r>
        <w:rPr>
          <w:rFonts w:ascii="IRNazanin" w:hAnsi="IRNazanin" w:eastAsia="IRNazanin" w:cs="IRNazanin"/>
          <w:lang w:bidi="fa-IR"/>
          <w:color w:val="111111"/>
          <w:sz w:val="28"/>
          <w:szCs w:val="28"/>
          <w:rtl/>
        </w:rPr>
        <w:t xml:space="preserve">ابن الشیخ أحمد النحوی الحلی النجفی. هو
</w:t>
      </w:r>
    </w:p>
    <w:p>
      <w:pPr>
        <w:sectPr>
          <w:footerReference w:type="default" r:id="rId1295"/>
          <w:footnotePr>
            <w:numStart w:val="1"/>
            <w:numRestart w:val="eachPage"/>
          </w:footnotePr>
          <w:pgSz w:orient="portrait" w:w="11905.511811023622" w:h="16837.79527559055"/>
          <w:pgMar w:top="1440" w:right="1440" w:bottom="1440" w:left="1440" w:header="720" w:footer="720" w:gutter="0"/>
          <w:cols w:num="1" w:space="720"/>
        </w:sectPr>
      </w:pPr>
    </w:p>
    <w:bookmarkStart w:id="1270" w:name="pg11704_122818"/>
    <w:bookmarkEnd w:id="1270"/>
    <w:p>
      <w:pPr>
        <w:pStyle w:val="BookText"/>
      </w:pPr>
      <w:r>
        <w:rPr>
          <w:rFonts w:ascii="IRNazanin" w:hAnsi="IRNazanin" w:eastAsia="IRNazanin" w:cs="IRNazanin"/>
          <w:lang w:bidi="fa-IR"/>
          <w:color w:val="111111"/>
          <w:sz w:val="28"/>
          <w:szCs w:val="28"/>
          <w:rtl/>
        </w:rPr>
        <w:t xml:space="preserve">أخ الشیخ محمد رضا و الشیخ محسن، و کلهم شعراء فضلاء ابنا الشیخ أحمد الشاعر الشهیر بالنحوی ابن الشیخ حسن الخیاط قد جمع دیوانه السماوی من المتفرقات و جعله علی قسیمین أولهما تخمیس قصیدة الشیخ رجب البرسی فی أهل البیت.</w:t>
      </w:r>
    </w:p>
    <w:p>
      <w:pPr>
        <w:pStyle w:val="BookText"/>
      </w:pPr>
      <w:r>
        <w:rPr>
          <w:rFonts w:ascii="IRNazanin" w:hAnsi="IRNazanin" w:eastAsia="IRNazanin" w:cs="IRNazanin"/>
          <w:lang w:bidi="fa-IR"/>
          <w:color w:val="111111"/>
          <w:sz w:val="28"/>
          <w:szCs w:val="28"/>
          <w:rtl/>
        </w:rPr>
        <w:t xml:space="preserve">و ثانیهما فی مساجلاته. و مجموعهما یقرب من خمسمائة بیت. و اشتری الشیخ محمد علی یعقوب الخطیب نسخه الأصل بخط السماوی عن وارثه بعد موته، و هو عبر عنه بالشیخ هادی بن أحمد کما فی کلمات جمع آخر، لکنه قد عبر عن نفسه کما رأیت بخطه فی بعض تملکاته محمد هادی و قد یعبر عن نفسه بعبد الهادی بن الشیخ أحمد النحوی المحدث، کما وقع کذلک فی آخر تقریظه لرسالة السید شبر الحویزی فی تحریم التمتع بالهاشمیات و الظاهر أن النحوی وصف أبیه و المحدث توصیف نفسه و قد أشرنا إلیه فی حرف العین.</w:t>
      </w:r>
    </w:p>
    <w:p>
      <w:pPr>
        <w:pStyle w:val="Heading3"/>
      </w:pPr>
      <w:bookmarkStart w:id="10884" w:name="_Toc9580"/>
      <w:r>
        <w:t>8242- دیوان هارون جوینی‏</w:t>
      </w:r>
      <w:bookmarkEnd w:id="10884"/>
    </w:p>
    <w:p>
      <w:pPr>
        <w:pStyle w:val="BookText"/>
      </w:pPr>
      <w:r>
        <w:rPr>
          <w:rFonts w:ascii="IRNazanin" w:hAnsi="IRNazanin" w:eastAsia="IRNazanin" w:cs="IRNazanin"/>
          <w:lang w:bidi="fa-IR"/>
          <w:color w:val="111111"/>
          <w:sz w:val="28"/>
          <w:szCs w:val="28"/>
          <w:rtl/>
        </w:rPr>
        <w:t xml:space="preserve">هو ابن الخواجة شمس الدین محمد الجوینی المشهور بصاحب دیوان ترجم فی (مع 1- ص 656) و أورد شعره و ذکر أنه ممدوح الشیخ مصلح الدین سعدی الشیرازی، و کذا فی (ض- ص 160) و (گلشن- ص 604)</w:t>
      </w:r>
    </w:p>
    <w:p>
      <w:pPr>
        <w:pStyle w:val="Heading3"/>
      </w:pPr>
      <w:bookmarkStart w:id="10885" w:name="_Toc9581"/>
      <w:r>
        <w:t>8243- دیوان هاشم ابرقوهی أو شعره‏</w:t>
      </w:r>
      <w:bookmarkEnd w:id="10885"/>
    </w:p>
    <w:p>
      <w:pPr>
        <w:pStyle w:val="BookText"/>
      </w:pPr>
      <w:r>
        <w:rPr>
          <w:rFonts w:ascii="IRNazanin" w:hAnsi="IRNazanin" w:eastAsia="IRNazanin" w:cs="IRNazanin"/>
          <w:lang w:bidi="fa-IR"/>
          <w:color w:val="111111"/>
          <w:sz w:val="28"/>
          <w:szCs w:val="28"/>
          <w:rtl/>
        </w:rPr>
        <w:t xml:space="preserve">من ساداتها الموسویین ترجم فی (روشن- ص 772)</w:t>
      </w:r>
    </w:p>
    <w:p>
      <w:pPr>
        <w:pStyle w:val="Heading3"/>
      </w:pPr>
      <w:bookmarkStart w:id="10886" w:name="_Toc9582"/>
      <w:r>
        <w:t>دیوان هاشم أرتیمانی‏</w:t>
      </w:r>
      <w:bookmarkEnd w:id="10886"/>
    </w:p>
    <w:p>
      <w:pPr>
        <w:pStyle w:val="BookText"/>
      </w:pPr>
      <w:r>
        <w:rPr>
          <w:rFonts w:ascii="IRNazanin" w:hAnsi="IRNazanin" w:eastAsia="IRNazanin" w:cs="IRNazanin"/>
          <w:lang w:bidi="fa-IR"/>
          <w:color w:val="111111"/>
          <w:sz w:val="28"/>
          <w:szCs w:val="28"/>
          <w:rtl/>
        </w:rPr>
        <w:t xml:space="preserve">هو التخلص السابق لدل أصفهانی المذکور فی ص 328 و مر والده أدهم و جده رضی أرتیمانی‏</w:t>
      </w:r>
    </w:p>
    <w:p>
      <w:pPr>
        <w:pStyle w:val="Heading3"/>
      </w:pPr>
      <w:bookmarkStart w:id="10887" w:name="_Toc9583"/>
      <w:r>
        <w:t>دیوان هاشم بخارائی‏</w:t>
      </w:r>
      <w:bookmarkEnd w:id="10887"/>
    </w:p>
    <w:p>
      <w:pPr>
        <w:pStyle w:val="BookText"/>
      </w:pPr>
      <w:r>
        <w:rPr>
          <w:rFonts w:ascii="IRNazanin" w:hAnsi="IRNazanin" w:eastAsia="IRNazanin" w:cs="IRNazanin"/>
          <w:lang w:bidi="fa-IR"/>
          <w:color w:val="111111"/>
          <w:sz w:val="28"/>
          <w:szCs w:val="28"/>
          <w:rtl/>
        </w:rPr>
        <w:t xml:space="preserve">شیخ الإسلام بها کما ترجمه القزوینی فی (بهش 2: 379) و أورد مطلعین له و ترجمه الهروی فی (مجتس 3: ص 144) بعنوان خواجه هاشمی کما یأتی‏</w:t>
      </w:r>
    </w:p>
    <w:p>
      <w:pPr>
        <w:pStyle w:val="Heading3"/>
      </w:pPr>
      <w:bookmarkStart w:id="10888" w:name="_Toc9584"/>
      <w:r>
        <w:t>دیوان الحاج هاشم البصری‏</w:t>
      </w:r>
      <w:bookmarkEnd w:id="10888"/>
    </w:p>
    <w:p>
      <w:pPr>
        <w:pStyle w:val="BookText"/>
      </w:pPr>
      <w:r>
        <w:rPr>
          <w:rFonts w:ascii="IRNazanin" w:hAnsi="IRNazanin" w:eastAsia="IRNazanin" w:cs="IRNazanin"/>
          <w:lang w:bidi="fa-IR"/>
          <w:color w:val="111111"/>
          <w:sz w:val="28"/>
          <w:szCs w:val="28"/>
          <w:rtl/>
        </w:rPr>
        <w:t xml:space="preserve">أدرج بعض شعره بهذا العنوان فی مجموعة السید یوسف ابن محمد العلوی الحسینی فی 1300 و هی بمکتبة (ملک) بطهران و یحتمل أن المراد الکعبی المذکور فی ص 1288 و 912</w:t>
      </w:r>
    </w:p>
    <w:p>
      <w:pPr>
        <w:pStyle w:val="Heading3"/>
      </w:pPr>
      <w:bookmarkStart w:id="10889" w:name="_Toc9585"/>
      <w:r>
        <w:t>دیوان هاشم درویش‏</w:t>
      </w:r>
      <w:bookmarkEnd w:id="10889"/>
    </w:p>
    <w:p>
      <w:pPr>
        <w:pStyle w:val="BookText"/>
      </w:pPr>
      <w:r>
        <w:rPr>
          <w:rFonts w:ascii="IRNazanin" w:hAnsi="IRNazanin" w:eastAsia="IRNazanin" w:cs="IRNazanin"/>
          <w:lang w:bidi="fa-IR"/>
          <w:color w:val="111111"/>
          <w:sz w:val="28"/>
          <w:szCs w:val="28"/>
          <w:rtl/>
        </w:rPr>
        <w:t xml:space="preserve">راجع هاشم شیرازی‏</w:t>
      </w:r>
    </w:p>
    <w:p>
      <w:pPr>
        <w:pStyle w:val="Heading3"/>
      </w:pPr>
      <w:bookmarkStart w:id="10890" w:name="_Toc9586"/>
      <w:r>
        <w:t>دیوان هاشم الدورقی‏</w:t>
      </w:r>
      <w:bookmarkEnd w:id="10890"/>
    </w:p>
    <w:p>
      <w:pPr>
        <w:pStyle w:val="BookText"/>
      </w:pPr>
      <w:r>
        <w:rPr>
          <w:rFonts w:ascii="IRNazanin" w:hAnsi="IRNazanin" w:eastAsia="IRNazanin" w:cs="IRNazanin"/>
          <w:lang w:bidi="fa-IR"/>
          <w:color w:val="111111"/>
          <w:sz w:val="28"/>
          <w:szCs w:val="28"/>
          <w:rtl/>
        </w:rPr>
        <w:t xml:space="preserve">هو هاشم بن حردان المذکور فی ص 912 بعنوان الکعبی و یأتی‏
</w:t>
      </w:r>
    </w:p>
    <w:p>
      <w:pPr>
        <w:sectPr>
          <w:footerReference w:type="default" r:id="rId1296"/>
          <w:footnotePr>
            <w:numStart w:val="1"/>
            <w:numRestart w:val="eachPage"/>
          </w:footnotePr>
          <w:pgSz w:orient="portrait" w:w="11905.511811023622" w:h="16837.79527559055"/>
          <w:pgMar w:top="1440" w:right="1440" w:bottom="1440" w:left="1440" w:header="720" w:footer="720" w:gutter="0"/>
          <w:cols w:num="1" w:space="720"/>
        </w:sectPr>
      </w:pPr>
    </w:p>
    <w:bookmarkStart w:id="1271" w:name="pg11704_122819"/>
    <w:bookmarkEnd w:id="1271"/>
    <w:p>
      <w:pPr>
        <w:pStyle w:val="BookText"/>
      </w:pPr>
      <w:r>
        <w:rPr>
          <w:rFonts w:ascii="IRNazanin" w:hAnsi="IRNazanin" w:eastAsia="IRNazanin" w:cs="IRNazanin"/>
          <w:lang w:bidi="fa-IR"/>
          <w:color w:val="111111"/>
          <w:sz w:val="28"/>
          <w:szCs w:val="28"/>
          <w:rtl/>
        </w:rPr>
        <w:t xml:space="preserve">له القصائد الکثیرة</w:t>
      </w:r>
    </w:p>
    <w:p>
      <w:pPr>
        <w:pStyle w:val="Heading3"/>
      </w:pPr>
      <w:bookmarkStart w:id="10891" w:name="_Toc9587"/>
      <w:r>
        <w:t>دیوان هاشم ذهبی‏</w:t>
      </w:r>
      <w:bookmarkEnd w:id="10891"/>
    </w:p>
    <w:p>
      <w:pPr>
        <w:pStyle w:val="BookText"/>
      </w:pPr>
      <w:r>
        <w:rPr>
          <w:rFonts w:ascii="IRNazanin" w:hAnsi="IRNazanin" w:eastAsia="IRNazanin" w:cs="IRNazanin"/>
          <w:lang w:bidi="fa-IR"/>
          <w:color w:val="111111"/>
          <w:sz w:val="28"/>
          <w:szCs w:val="28"/>
          <w:rtl/>
        </w:rPr>
        <w:t xml:space="preserve">راجع هاشم شیرازی‏</w:t>
      </w:r>
    </w:p>
    <w:p>
      <w:pPr>
        <w:pStyle w:val="Heading3"/>
      </w:pPr>
      <w:bookmarkStart w:id="10892" w:name="_Toc9588"/>
      <w:r>
        <w:t>8244- دیوان محمد هاشم شیرازی‏</w:t>
      </w:r>
      <w:bookmarkEnd w:id="10892"/>
    </w:p>
    <w:p>
      <w:pPr>
        <w:pStyle w:val="BookText"/>
      </w:pPr>
      <w:r>
        <w:rPr>
          <w:rFonts w:ascii="IRNazanin" w:hAnsi="IRNazanin" w:eastAsia="IRNazanin" w:cs="IRNazanin"/>
          <w:lang w:bidi="fa-IR"/>
          <w:color w:val="111111"/>
          <w:sz w:val="28"/>
          <w:szCs w:val="28"/>
          <w:rtl/>
        </w:rPr>
        <w:t xml:space="preserve">المتوفی بطهران ترجمه معاصره النصرآبادی فی (نر 5- ص 144) و أورد رباعیه‏</w:t>
      </w:r>
    </w:p>
    <w:p>
      <w:pPr>
        <w:pStyle w:val="Heading3"/>
      </w:pPr>
      <w:bookmarkStart w:id="10893" w:name="_Toc9589"/>
      <w:r>
        <w:t>8245- دیوان آقا محمد هاشم شیرازی‏</w:t>
      </w:r>
      <w:bookmarkEnd w:id="10893"/>
    </w:p>
    <w:p>
      <w:pPr>
        <w:pStyle w:val="BookText"/>
      </w:pPr>
      <w:r>
        <w:rPr>
          <w:rFonts w:ascii="IRNazanin" w:hAnsi="IRNazanin" w:eastAsia="IRNazanin" w:cs="IRNazanin"/>
          <w:lang w:bidi="fa-IR"/>
          <w:color w:val="111111"/>
          <w:sz w:val="28"/>
          <w:szCs w:val="28"/>
          <w:rtl/>
        </w:rPr>
        <w:t xml:space="preserve">ابن المیرزا إسماعیل العارف الشهیر، خلیفة السید محمد قطب الدین التبریزی الذهبی و صهره علی بنته ترجم فی (مع 2- ص 572) و ذکر أنه مقتدی طلاب العهد و له مثنویات و غزلیات و ترجمه فی (ض- ص 625) و أورد مقدارا من مثنویة</w:t>
      </w:r>
    </w:p>
    <w:p>
      <w:pPr>
        <w:pStyle w:val="BookText"/>
      </w:pPr>
      <w:r>
        <w:rPr>
          <w:rFonts w:ascii="IRNazanin" w:hAnsi="IRNazanin" w:eastAsia="IRNazanin" w:cs="IRNazanin"/>
          <w:lang w:bidi="fa-IR"/>
          <w:color w:val="111111"/>
          <w:sz w:val="28"/>
          <w:szCs w:val="28"/>
          <w:rtl/>
        </w:rPr>
        <w:t xml:space="preserve">الموسوم ولایت‏نامه و ذکر أنه توفی بشیراز و دفن فی الحافظیة 1199 و کذا فی (فارس‏نامه 2: 152) و (طرائق 3: 98) و طبع ولایت‏نامه و یوجد عند (الملک) و (فخر الدین) و هو والد نیاز المذکور فی ص 1239</w:t>
      </w:r>
    </w:p>
    <w:p>
      <w:pPr>
        <w:pStyle w:val="Heading3"/>
      </w:pPr>
      <w:bookmarkStart w:id="10894" w:name="_Toc9590"/>
      <w:r>
        <w:t>8246- دیوان هاشم قندهاری‏</w:t>
      </w:r>
      <w:bookmarkEnd w:id="10894"/>
    </w:p>
    <w:p>
      <w:pPr>
        <w:pStyle w:val="BookText"/>
      </w:pPr>
      <w:r>
        <w:rPr>
          <w:rFonts w:ascii="IRNazanin" w:hAnsi="IRNazanin" w:eastAsia="IRNazanin" w:cs="IRNazanin"/>
          <w:lang w:bidi="fa-IR"/>
          <w:color w:val="111111"/>
          <w:sz w:val="28"/>
          <w:szCs w:val="28"/>
          <w:rtl/>
        </w:rPr>
        <w:t xml:space="preserve">هو ابن أخ ملا شاه محمد أنسی المذکور فی ص 107 و توفی 970 ورد شعره فی (طبق 2- ص 500) و (حسینی- ص 364) و (خوش‏گو) و (خز- ص 458) و قد یقال له هاشمی‏</w:t>
      </w:r>
    </w:p>
    <w:p>
      <w:pPr>
        <w:pStyle w:val="Heading3"/>
      </w:pPr>
      <w:bookmarkStart w:id="10895" w:name="_Toc9591"/>
      <w:r>
        <w:t>8247- دیوان هاشم کاشانی أو شعره‏</w:t>
      </w:r>
      <w:bookmarkEnd w:id="10895"/>
    </w:p>
    <w:p>
      <w:pPr>
        <w:pStyle w:val="BookText"/>
      </w:pPr>
      <w:r>
        <w:rPr>
          <w:rFonts w:ascii="IRNazanin" w:hAnsi="IRNazanin" w:eastAsia="IRNazanin" w:cs="IRNazanin"/>
          <w:lang w:bidi="fa-IR"/>
          <w:color w:val="111111"/>
          <w:sz w:val="28"/>
          <w:szCs w:val="28"/>
          <w:rtl/>
        </w:rPr>
        <w:t xml:space="preserve">هو ابن میر حیدر رفیعی المعمائی المذکور فی ص 270 و 380 جاء شعره فی هفت إقلیم‏</w:t>
      </w:r>
    </w:p>
    <w:p>
      <w:pPr>
        <w:pStyle w:val="Heading3"/>
      </w:pPr>
      <w:bookmarkStart w:id="10896" w:name="_Toc9592"/>
      <w:r>
        <w:t>8248- دیوان هاشم کشمیری أو شعره‏</w:t>
      </w:r>
      <w:bookmarkEnd w:id="10896"/>
    </w:p>
    <w:p>
      <w:pPr>
        <w:pStyle w:val="BookText"/>
      </w:pPr>
      <w:r>
        <w:rPr>
          <w:rFonts w:ascii="IRNazanin" w:hAnsi="IRNazanin" w:eastAsia="IRNazanin" w:cs="IRNazanin"/>
          <w:lang w:bidi="fa-IR"/>
          <w:color w:val="111111"/>
          <w:sz w:val="28"/>
          <w:szCs w:val="28"/>
          <w:rtl/>
        </w:rPr>
        <w:t xml:space="preserve">ورد شعره فی (گلشن- ص 605)</w:t>
      </w:r>
    </w:p>
    <w:p>
      <w:pPr>
        <w:pStyle w:val="Heading3"/>
      </w:pPr>
      <w:bookmarkStart w:id="10897" w:name="_Toc9593"/>
      <w:r>
        <w:t>دیوان هاشم الکعبی‏</w:t>
      </w:r>
      <w:bookmarkEnd w:id="10897"/>
    </w:p>
    <w:p>
      <w:pPr>
        <w:pStyle w:val="BookText"/>
      </w:pPr>
      <w:r>
        <w:rPr>
          <w:rFonts w:ascii="IRNazanin" w:hAnsi="IRNazanin" w:eastAsia="IRNazanin" w:cs="IRNazanin"/>
          <w:lang w:bidi="fa-IR"/>
          <w:color w:val="111111"/>
          <w:sz w:val="28"/>
          <w:szCs w:val="28"/>
          <w:rtl/>
        </w:rPr>
        <w:t xml:space="preserve">مر بعنوان الکعبی فی ص 912</w:t>
      </w:r>
    </w:p>
    <w:p>
      <w:pPr>
        <w:pStyle w:val="Heading3"/>
      </w:pPr>
      <w:bookmarkStart w:id="10898" w:name="_Toc9594"/>
      <w:r>
        <w:t>8249- دیوان هاشم هروی أو شعره‏</w:t>
      </w:r>
      <w:bookmarkEnd w:id="10898"/>
    </w:p>
    <w:p>
      <w:pPr>
        <w:pStyle w:val="BookText"/>
      </w:pPr>
      <w:r>
        <w:rPr>
          <w:rFonts w:ascii="IRNazanin" w:hAnsi="IRNazanin" w:eastAsia="IRNazanin" w:cs="IRNazanin"/>
          <w:lang w:bidi="fa-IR"/>
          <w:color w:val="111111"/>
          <w:sz w:val="28"/>
          <w:szCs w:val="28"/>
          <w:rtl/>
        </w:rPr>
        <w:t xml:space="preserve">ورد شعره فی (مجتس 2- ص 140) و قال إنه حمام‏دار (حمامی)</w:t>
      </w:r>
    </w:p>
    <w:p>
      <w:pPr>
        <w:pStyle w:val="Heading3"/>
      </w:pPr>
      <w:bookmarkStart w:id="10899" w:name="_Toc9595"/>
      <w:r>
        <w:t>8250- دیوان هاشم هندی أو شعره‏</w:t>
      </w:r>
      <w:bookmarkEnd w:id="10899"/>
    </w:p>
    <w:p>
      <w:pPr>
        <w:pStyle w:val="BookText"/>
      </w:pPr>
      <w:r>
        <w:rPr>
          <w:rFonts w:ascii="IRNazanin" w:hAnsi="IRNazanin" w:eastAsia="IRNazanin" w:cs="IRNazanin"/>
          <w:lang w:bidi="fa-IR"/>
          <w:color w:val="111111"/>
          <w:sz w:val="28"/>
          <w:szCs w:val="28"/>
          <w:rtl/>
        </w:rPr>
        <w:t xml:space="preserve">هو أبو زوجة سرخوش فذکره فی تذکرته (سرخوش- ص 125)</w:t>
      </w:r>
    </w:p>
    <w:p>
      <w:pPr>
        <w:pStyle w:val="Heading3"/>
      </w:pPr>
      <w:bookmarkStart w:id="10900" w:name="_Toc9596"/>
      <w:r>
        <w:t>8251- دیوان هاشمی أسترآبادی أو شعره‏</w:t>
      </w:r>
      <w:bookmarkEnd w:id="10900"/>
    </w:p>
    <w:p>
      <w:pPr>
        <w:pStyle w:val="BookText"/>
      </w:pPr>
      <w:r>
        <w:rPr>
          <w:rFonts w:ascii="IRNazanin" w:hAnsi="IRNazanin" w:eastAsia="IRNazanin" w:cs="IRNazanin"/>
          <w:lang w:bidi="fa-IR"/>
          <w:color w:val="111111"/>
          <w:sz w:val="28"/>
          <w:szCs w:val="28"/>
          <w:rtl/>
        </w:rPr>
        <w:t xml:space="preserve">أورد النصرآبادی شعره فی تاریخ فتح قلعة تبریز فی 1012 فی (نر 13- ص 479)</w:t>
      </w:r>
    </w:p>
    <w:p>
      <w:pPr>
        <w:pStyle w:val="Heading3"/>
      </w:pPr>
      <w:bookmarkStart w:id="10901" w:name="_Toc9597"/>
      <w:r>
        <w:t>8252- دیوان هاشمی أصفهانی أو شعره‏</w:t>
      </w:r>
      <w:bookmarkEnd w:id="10901"/>
    </w:p>
    <w:p>
      <w:pPr>
        <w:pStyle w:val="BookText"/>
      </w:pPr>
      <w:r>
        <w:rPr>
          <w:rFonts w:ascii="IRNazanin" w:hAnsi="IRNazanin" w:eastAsia="IRNazanin" w:cs="IRNazanin"/>
          <w:lang w:bidi="fa-IR"/>
          <w:color w:val="111111"/>
          <w:sz w:val="28"/>
          <w:szCs w:val="28"/>
          <w:rtl/>
        </w:rPr>
        <w:t xml:space="preserve">و اسمه المیر شمس الدین محمد الملقب صدرجهان ورد شعره فی هفت إقلیم و (خوش‏گو) و (گلشن- ص 605)
</w:t>
      </w:r>
    </w:p>
    <w:p>
      <w:pPr>
        <w:sectPr>
          <w:footerReference w:type="default" r:id="rId1297"/>
          <w:footnotePr>
            <w:numStart w:val="1"/>
            <w:numRestart w:val="eachPage"/>
          </w:footnotePr>
          <w:pgSz w:orient="portrait" w:w="11905.511811023622" w:h="16837.79527559055"/>
          <w:pgMar w:top="1440" w:right="1440" w:bottom="1440" w:left="1440" w:header="720" w:footer="720" w:gutter="0"/>
          <w:cols w:num="1" w:space="720"/>
        </w:sectPr>
      </w:pPr>
    </w:p>
    <w:bookmarkStart w:id="1272" w:name="pg11704_122821"/>
    <w:bookmarkEnd w:id="1272"/>
    <w:p>
      <w:pPr>
        <w:pStyle w:val="Heading3"/>
      </w:pPr>
      <w:bookmarkStart w:id="10902" w:name="_Toc9598"/>
      <w:r>
        <w:t>8253- دیوان هاشمی بخارائی‏</w:t>
      </w:r>
      <w:bookmarkEnd w:id="10902"/>
    </w:p>
    <w:p>
      <w:pPr>
        <w:pStyle w:val="BookText"/>
      </w:pPr>
      <w:r>
        <w:rPr>
          <w:rFonts w:ascii="IRNazanin" w:hAnsi="IRNazanin" w:eastAsia="IRNazanin" w:cs="IRNazanin"/>
          <w:lang w:bidi="fa-IR"/>
          <w:color w:val="111111"/>
          <w:sz w:val="28"/>
          <w:szCs w:val="28"/>
          <w:rtl/>
        </w:rPr>
        <w:t xml:space="preserve">کان شیخ الإسلام ببخارا و من أحفاد خواجه عصمت الله البخاری و خواجه محمد پارسا و مات 945 ترجم فی (تس 2- ص 38) و (مجتس 3: 144) و (بهش 2: 379) و هفت إقلیم و (حسینی- 363) و (روشن- 773) و فی (تش- ص 327) أن له مثنوی مظهر الأنوار و مات فی سفر الحجاز</w:t>
      </w:r>
    </w:p>
    <w:p>
      <w:pPr>
        <w:pStyle w:val="Heading3"/>
      </w:pPr>
      <w:bookmarkStart w:id="10903" w:name="_Toc9599"/>
      <w:r>
        <w:t>8254- دیوان هاشمی دهلوی‏</w:t>
      </w:r>
      <w:bookmarkEnd w:id="10903"/>
    </w:p>
    <w:p>
      <w:pPr>
        <w:pStyle w:val="BookText"/>
      </w:pPr>
      <w:r>
        <w:rPr>
          <w:rFonts w:ascii="IRNazanin" w:hAnsi="IRNazanin" w:eastAsia="IRNazanin" w:cs="IRNazanin"/>
          <w:lang w:bidi="fa-IR"/>
          <w:color w:val="111111"/>
          <w:sz w:val="28"/>
          <w:szCs w:val="28"/>
          <w:rtl/>
        </w:rPr>
        <w:t xml:space="preserve">و هو أبو عبد الله أمیر محمد هاشم شاه بن میر محمد مؤمن العرشی (1073- 1150) قتل بدهلی کما فی (مع 2: 56) قال و له مظهر آثار و فی هفت آسمان- ص 90 أنه لهاشمی الکرمانی الآتی و هو الصحیح‏</w:t>
      </w:r>
    </w:p>
    <w:p>
      <w:pPr>
        <w:pStyle w:val="Heading3"/>
      </w:pPr>
      <w:bookmarkStart w:id="10904" w:name="_Toc9600"/>
      <w:r>
        <w:t>8255- دیوان هاشمی ساروی‏</w:t>
      </w:r>
      <w:bookmarkEnd w:id="10904"/>
    </w:p>
    <w:p>
      <w:pPr>
        <w:pStyle w:val="BookText"/>
      </w:pPr>
      <w:r>
        <w:rPr>
          <w:rFonts w:ascii="IRNazanin" w:hAnsi="IRNazanin" w:eastAsia="IRNazanin" w:cs="IRNazanin"/>
          <w:lang w:bidi="fa-IR"/>
          <w:color w:val="111111"/>
          <w:sz w:val="28"/>
          <w:szCs w:val="28"/>
          <w:rtl/>
        </w:rPr>
        <w:t xml:space="preserve">السید محمد ثقة الإسلام له دیوانان فارسی اسم أنوار الهدی المطبوع مر فی 2: 448 و عربی اسمه مشکاة الأنوار</w:t>
      </w:r>
    </w:p>
    <w:p>
      <w:pPr>
        <w:pStyle w:val="Heading3"/>
      </w:pPr>
      <w:bookmarkStart w:id="10905" w:name="_Toc9601"/>
      <w:r>
        <w:t>8256- دیوان هاشمی فراهی أو شعره‏</w:t>
      </w:r>
      <w:bookmarkEnd w:id="10905"/>
    </w:p>
    <w:p>
      <w:pPr>
        <w:pStyle w:val="BookText"/>
      </w:pPr>
      <w:r>
        <w:rPr>
          <w:rFonts w:ascii="IRNazanin" w:hAnsi="IRNazanin" w:eastAsia="IRNazanin" w:cs="IRNazanin"/>
          <w:lang w:bidi="fa-IR"/>
          <w:color w:val="111111"/>
          <w:sz w:val="28"/>
          <w:szCs w:val="28"/>
          <w:rtl/>
        </w:rPr>
        <w:t xml:space="preserve">ورد شعره فی (گلشن- ص 605)</w:t>
      </w:r>
    </w:p>
    <w:p>
      <w:pPr>
        <w:pStyle w:val="Heading3"/>
      </w:pPr>
      <w:bookmarkStart w:id="10906" w:name="_Toc9602"/>
      <w:r>
        <w:t>8257- دیوان هاشمی قمی أو شعره‏</w:t>
      </w:r>
      <w:bookmarkEnd w:id="10906"/>
    </w:p>
    <w:p>
      <w:pPr>
        <w:pStyle w:val="BookText"/>
      </w:pPr>
      <w:r>
        <w:rPr>
          <w:rFonts w:ascii="IRNazanin" w:hAnsi="IRNazanin" w:eastAsia="IRNazanin" w:cs="IRNazanin"/>
          <w:lang w:bidi="fa-IR"/>
          <w:color w:val="111111"/>
          <w:sz w:val="28"/>
          <w:szCs w:val="28"/>
          <w:rtl/>
        </w:rPr>
        <w:t xml:space="preserve">ورد شعره فی (تش- ص 239) قال و هو من السادة</w:t>
      </w:r>
    </w:p>
    <w:p>
      <w:pPr>
        <w:pStyle w:val="Heading3"/>
      </w:pPr>
      <w:bookmarkStart w:id="10907" w:name="_Toc9603"/>
      <w:r>
        <w:t>دیوان هاشمی قندهاری‏</w:t>
      </w:r>
      <w:bookmarkEnd w:id="10907"/>
    </w:p>
    <w:p>
      <w:pPr>
        <w:pStyle w:val="BookText"/>
      </w:pPr>
      <w:r>
        <w:rPr>
          <w:rFonts w:ascii="IRNazanin" w:hAnsi="IRNazanin" w:eastAsia="IRNazanin" w:cs="IRNazanin"/>
          <w:lang w:bidi="fa-IR"/>
          <w:color w:val="111111"/>
          <w:sz w:val="28"/>
          <w:szCs w:val="28"/>
          <w:rtl/>
        </w:rPr>
        <w:t xml:space="preserve">راجع هاشم قندهاری‏</w:t>
      </w:r>
    </w:p>
    <w:p>
      <w:pPr>
        <w:pStyle w:val="Heading3"/>
      </w:pPr>
      <w:bookmarkStart w:id="10908" w:name="_Toc9604"/>
      <w:r>
        <w:t>8258- دیوان هاشمی کاشانی أو شعره‏</w:t>
      </w:r>
      <w:bookmarkEnd w:id="10908"/>
    </w:p>
    <w:p>
      <w:pPr>
        <w:pStyle w:val="BookText"/>
      </w:pPr>
      <w:r>
        <w:rPr>
          <w:rFonts w:ascii="IRNazanin" w:hAnsi="IRNazanin" w:eastAsia="IRNazanin" w:cs="IRNazanin"/>
          <w:lang w:bidi="fa-IR"/>
          <w:color w:val="111111"/>
          <w:sz w:val="28"/>
          <w:szCs w:val="28"/>
          <w:rtl/>
        </w:rPr>
        <w:t xml:space="preserve">و اسمه میر نظام الدین من شعراء عهد طهماسب الصفوی ورد شعره فی (روشن- ص 774) و (گلشن- ص 605)</w:t>
      </w:r>
    </w:p>
    <w:p>
      <w:pPr>
        <w:pStyle w:val="Heading3"/>
      </w:pPr>
      <w:bookmarkStart w:id="10909" w:name="_Toc9605"/>
      <w:r>
        <w:t>8259- دیوان هاشمی کرمانی‏</w:t>
      </w:r>
      <w:bookmarkEnd w:id="10909"/>
    </w:p>
    <w:p>
      <w:pPr>
        <w:pStyle w:val="BookText"/>
      </w:pPr>
      <w:r>
        <w:rPr>
          <w:rFonts w:ascii="IRNazanin" w:hAnsi="IRNazanin" w:eastAsia="IRNazanin" w:cs="IRNazanin"/>
          <w:lang w:bidi="fa-IR"/>
          <w:color w:val="111111"/>
          <w:sz w:val="28"/>
          <w:szCs w:val="28"/>
          <w:rtl/>
        </w:rPr>
        <w:t xml:space="preserve">السید محمد هاشم المعروف بشاه جهانگیر و توفی 946 أو 948 کما فی هفت آسمان- ص 130 ترجم فی هفت إقلیم و مقالات الشعراء ص 844 و (تش- ص 130) له مثنوی مظهر آثار الموجود عند (سلطان القرائی) فی 205 ص کل فی 11 بیتا و قد نسب فی (مع 2: 56) هذا المثنوی إلی هاشمی دهلوی و ذکر أیضا فی (تش یز- ص 349) و (خوش‏گو) و (روشن- ص 773)</w:t>
      </w:r>
    </w:p>
    <w:p>
      <w:pPr>
        <w:pStyle w:val="Heading3"/>
      </w:pPr>
      <w:bookmarkStart w:id="10910" w:name="_Toc9606"/>
      <w:r>
        <w:t>8260- دیوان هاشمی کوفته‏گر أو شعره‏</w:t>
      </w:r>
      <w:bookmarkEnd w:id="10910"/>
    </w:p>
    <w:p>
      <w:pPr>
        <w:pStyle w:val="BookText"/>
      </w:pPr>
      <w:r>
        <w:rPr>
          <w:rFonts w:ascii="IRNazanin" w:hAnsi="IRNazanin" w:eastAsia="IRNazanin" w:cs="IRNazanin"/>
          <w:lang w:bidi="fa-IR"/>
          <w:color w:val="111111"/>
          <w:sz w:val="28"/>
          <w:szCs w:val="28"/>
          <w:rtl/>
        </w:rPr>
        <w:t xml:space="preserve">کان طباخا ترجمه علی شیر فی (مجن 3 ص 73 و 243) و فی (گلشن- ص 605) أنه أصفهانی‏</w:t>
      </w:r>
    </w:p>
    <w:p>
      <w:pPr>
        <w:pStyle w:val="Heading3"/>
      </w:pPr>
      <w:bookmarkStart w:id="10911" w:name="_Toc9607"/>
      <w:r>
        <w:t>8261- دیوان هاشمی گیلانی أو شعره‏</w:t>
      </w:r>
      <w:bookmarkEnd w:id="10911"/>
    </w:p>
    <w:p>
      <w:pPr>
        <w:pStyle w:val="BookText"/>
      </w:pPr>
      <w:r>
        <w:rPr>
          <w:rFonts w:ascii="IRNazanin" w:hAnsi="IRNazanin" w:eastAsia="IRNazanin" w:cs="IRNazanin"/>
          <w:lang w:bidi="fa-IR"/>
          <w:color w:val="111111"/>
          <w:sz w:val="28"/>
          <w:szCs w:val="28"/>
          <w:rtl/>
        </w:rPr>
        <w:t xml:space="preserve">ورد شعره فی (گلشن- ص 605) و فی علمای گیلان- ص 73 هاشم لاهیجی‏</w:t>
      </w:r>
    </w:p>
    <w:p>
      <w:pPr>
        <w:pStyle w:val="Heading3"/>
      </w:pPr>
      <w:bookmarkStart w:id="10912" w:name="_Toc9608"/>
      <w:r>
        <w:t>8262- دیوان هاشمی لکهنوی أو شعره‏</w:t>
      </w:r>
      <w:bookmarkEnd w:id="10912"/>
    </w:p>
    <w:p>
      <w:pPr>
        <w:pStyle w:val="BookText"/>
      </w:pPr>
      <w:r>
        <w:rPr>
          <w:rFonts w:ascii="IRNazanin" w:hAnsi="IRNazanin" w:eastAsia="IRNazanin" w:cs="IRNazanin"/>
          <w:lang w:bidi="fa-IR"/>
          <w:color w:val="111111"/>
          <w:sz w:val="28"/>
          <w:szCs w:val="28"/>
          <w:rtl/>
        </w:rPr>
        <w:t xml:space="preserve">هو أخو بنده علی ورد شعره فی (گلشن-
</w:t>
      </w:r>
    </w:p>
    <w:p>
      <w:pPr>
        <w:sectPr>
          <w:footerReference w:type="default" r:id="rId1298"/>
          <w:footnotePr>
            <w:numStart w:val="1"/>
            <w:numRestart w:val="eachPage"/>
          </w:footnotePr>
          <w:pgSz w:orient="portrait" w:w="11905.511811023622" w:h="16837.79527559055"/>
          <w:pgMar w:top="1440" w:right="1440" w:bottom="1440" w:left="1440" w:header="720" w:footer="720" w:gutter="0"/>
          <w:cols w:num="1" w:space="720"/>
        </w:sectPr>
      </w:pPr>
    </w:p>
    <w:bookmarkStart w:id="1273" w:name="pg11704_122823"/>
    <w:bookmarkEnd w:id="1273"/>
    <w:p>
      <w:pPr>
        <w:pStyle w:val="BookText"/>
      </w:pPr>
      <w:r>
        <w:rPr>
          <w:rFonts w:ascii="IRNazanin" w:hAnsi="IRNazanin" w:eastAsia="IRNazanin" w:cs="IRNazanin"/>
          <w:lang w:bidi="fa-IR"/>
          <w:color w:val="111111"/>
          <w:sz w:val="28"/>
          <w:szCs w:val="28"/>
          <w:rtl/>
        </w:rPr>
        <w:t xml:space="preserve">ص 606)</w:t>
      </w:r>
    </w:p>
    <w:p>
      <w:pPr>
        <w:pStyle w:val="Heading3"/>
      </w:pPr>
      <w:bookmarkStart w:id="10913" w:name="_Toc9609"/>
      <w:r>
        <w:t>8263- هاشمی همدانی أو شعره‏</w:t>
      </w:r>
      <w:bookmarkEnd w:id="10913"/>
    </w:p>
    <w:p>
      <w:pPr>
        <w:pStyle w:val="BookText"/>
      </w:pPr>
      <w:r>
        <w:rPr>
          <w:rFonts w:ascii="IRNazanin" w:hAnsi="IRNazanin" w:eastAsia="IRNazanin" w:cs="IRNazanin"/>
          <w:lang w:bidi="fa-IR"/>
          <w:color w:val="111111"/>
          <w:sz w:val="28"/>
          <w:szCs w:val="28"/>
          <w:rtl/>
        </w:rPr>
        <w:t xml:space="preserve">أورد شعره الحزین فی تذکرته ص 36 قال ولد بهمدان و تعلم الطب بأصفهان و رجع إلی همدان حتی قتل فی مقتله البلدة بید جیوش الترک فی 1136</w:t>
      </w:r>
    </w:p>
    <w:p>
      <w:pPr>
        <w:pStyle w:val="Heading3"/>
      </w:pPr>
      <w:bookmarkStart w:id="10914" w:name="_Toc9610"/>
      <w:r>
        <w:t>8264- دیوان هاله طهرانی‏</w:t>
      </w:r>
      <w:bookmarkEnd w:id="10914"/>
    </w:p>
    <w:p>
      <w:pPr>
        <w:pStyle w:val="BookText"/>
      </w:pPr>
      <w:r>
        <w:rPr>
          <w:rFonts w:ascii="IRNazanin" w:hAnsi="IRNazanin" w:eastAsia="IRNazanin" w:cs="IRNazanin"/>
          <w:lang w:bidi="fa-IR"/>
          <w:color w:val="111111"/>
          <w:sz w:val="28"/>
          <w:szCs w:val="28"/>
          <w:rtl/>
        </w:rPr>
        <w:t xml:space="preserve">و اسمه حیدر رقابی طبع له شهرزاد</w:t>
      </w:r>
    </w:p>
    <w:p>
      <w:pPr>
        <w:pStyle w:val="Heading3"/>
      </w:pPr>
      <w:bookmarkStart w:id="10915" w:name="_Toc9611"/>
      <w:r>
        <w:t>8265- دیوان هبة الدین الشهرستانی‏</w:t>
      </w:r>
      <w:bookmarkEnd w:id="10915"/>
    </w:p>
    <w:p>
      <w:pPr>
        <w:pStyle w:val="BookText"/>
      </w:pPr>
      <w:r>
        <w:rPr>
          <w:rFonts w:ascii="IRNazanin" w:hAnsi="IRNazanin" w:eastAsia="IRNazanin" w:cs="IRNazanin"/>
          <w:lang w:bidi="fa-IR"/>
          <w:color w:val="111111"/>
          <w:sz w:val="28"/>
          <w:szCs w:val="28"/>
          <w:rtl/>
        </w:rPr>
        <w:t xml:space="preserve">له تصحیح منظومة السبزواری الفلسفیة باسم فیض الباری و منظومة سلسلة الذهب و در و مرجان المذکور فی 8: 87</w:t>
      </w:r>
    </w:p>
    <w:p>
      <w:pPr>
        <w:pStyle w:val="Heading3"/>
      </w:pPr>
      <w:bookmarkStart w:id="10916" w:name="_Toc9612"/>
      <w:r>
        <w:t>8266- دیوان هبة الله کاشی أو شعره‏</w:t>
      </w:r>
      <w:bookmarkEnd w:id="10916"/>
    </w:p>
    <w:p>
      <w:pPr>
        <w:pStyle w:val="BookText"/>
      </w:pPr>
      <w:r>
        <w:rPr>
          <w:rFonts w:ascii="IRNazanin" w:hAnsi="IRNazanin" w:eastAsia="IRNazanin" w:cs="IRNazanin"/>
          <w:lang w:bidi="fa-IR"/>
          <w:color w:val="111111"/>
          <w:sz w:val="28"/>
          <w:szCs w:val="28"/>
          <w:rtl/>
        </w:rPr>
        <w:t xml:space="preserve">جاء شعره فی (تش- ص 40)</w:t>
      </w:r>
    </w:p>
    <w:p>
      <w:pPr>
        <w:pStyle w:val="Heading3"/>
      </w:pPr>
      <w:bookmarkStart w:id="10917" w:name="_Toc9613"/>
      <w:r>
        <w:t>8267- دیوان هجر هندی أو شعره‏</w:t>
      </w:r>
      <w:bookmarkEnd w:id="10917"/>
    </w:p>
    <w:p>
      <w:pPr>
        <w:pStyle w:val="BookText"/>
      </w:pPr>
      <w:r>
        <w:rPr>
          <w:rFonts w:ascii="IRNazanin" w:hAnsi="IRNazanin" w:eastAsia="IRNazanin" w:cs="IRNazanin"/>
          <w:lang w:bidi="fa-IR"/>
          <w:color w:val="111111"/>
          <w:sz w:val="28"/>
          <w:szCs w:val="28"/>
          <w:rtl/>
        </w:rPr>
        <w:t xml:space="preserve">و اسمه أبو محمد بن نور الهدی ورد شعره فی (گلشن- ص 606)</w:t>
      </w:r>
    </w:p>
    <w:p>
      <w:pPr>
        <w:pStyle w:val="Heading3"/>
      </w:pPr>
      <w:bookmarkStart w:id="10918" w:name="_Toc9614"/>
      <w:r>
        <w:t>دیوان هجری أصفهانی‏</w:t>
      </w:r>
      <w:bookmarkEnd w:id="10918"/>
    </w:p>
    <w:p>
      <w:pPr>
        <w:pStyle w:val="BookText"/>
      </w:pPr>
      <w:r>
        <w:rPr>
          <w:rFonts w:ascii="IRNazanin" w:hAnsi="IRNazanin" w:eastAsia="IRNazanin" w:cs="IRNazanin"/>
          <w:lang w:bidi="fa-IR"/>
          <w:color w:val="111111"/>
          <w:sz w:val="28"/>
          <w:szCs w:val="28"/>
          <w:rtl/>
        </w:rPr>
        <w:t xml:space="preserve">راجع هجری تفرشی‏</w:t>
      </w:r>
    </w:p>
    <w:p>
      <w:pPr>
        <w:pStyle w:val="Heading3"/>
      </w:pPr>
      <w:bookmarkStart w:id="10919" w:name="_Toc9615"/>
      <w:r>
        <w:t>8268- دیوان هجری أفشار أو شعره‏</w:t>
      </w:r>
      <w:bookmarkEnd w:id="10919"/>
    </w:p>
    <w:p>
      <w:pPr>
        <w:pStyle w:val="BookText"/>
      </w:pPr>
      <w:r>
        <w:rPr>
          <w:rFonts w:ascii="IRNazanin" w:hAnsi="IRNazanin" w:eastAsia="IRNazanin" w:cs="IRNazanin"/>
          <w:lang w:bidi="fa-IR"/>
          <w:color w:val="111111"/>
          <w:sz w:val="28"/>
          <w:szCs w:val="28"/>
          <w:rtl/>
        </w:rPr>
        <w:t xml:space="preserve">و اسمه قاسم بیک بن إژدها أفشار ذکر له الصادقی فی (خص 5- ص 72) ترکیب بند مسدس‏</w:t>
      </w:r>
    </w:p>
    <w:p>
      <w:pPr>
        <w:pStyle w:val="Heading3"/>
      </w:pPr>
      <w:bookmarkStart w:id="10920" w:name="_Toc9616"/>
      <w:r>
        <w:t>8269- دیوان هجری اندجانی أو شعره‏</w:t>
      </w:r>
      <w:bookmarkEnd w:id="10920"/>
    </w:p>
    <w:p>
      <w:pPr>
        <w:pStyle w:val="BookText"/>
      </w:pPr>
      <w:r>
        <w:rPr>
          <w:rFonts w:ascii="IRNazanin" w:hAnsi="IRNazanin" w:eastAsia="IRNazanin" w:cs="IRNazanin"/>
          <w:lang w:bidi="fa-IR"/>
          <w:color w:val="111111"/>
          <w:sz w:val="28"/>
          <w:szCs w:val="28"/>
          <w:rtl/>
        </w:rPr>
        <w:t xml:space="preserve">من شعراء فرغانة ورد شعره فی هفت إقلیم و (تس 5- ص 166) و (مجتس 6- ص 155) و (روشن- ص 774) و فی (تش- ص 344) أنه ماهر فی العروض‏</w:t>
      </w:r>
    </w:p>
    <w:p>
      <w:pPr>
        <w:pStyle w:val="Heading3"/>
      </w:pPr>
      <w:bookmarkStart w:id="10921" w:name="_Toc9617"/>
      <w:r>
        <w:t>8270- دیوان هجری تفرشی‏</w:t>
      </w:r>
      <w:bookmarkEnd w:id="10921"/>
    </w:p>
    <w:p>
      <w:pPr>
        <w:pStyle w:val="BookText"/>
      </w:pPr>
      <w:r>
        <w:rPr>
          <w:rFonts w:ascii="IRNazanin" w:hAnsi="IRNazanin" w:eastAsia="IRNazanin" w:cs="IRNazanin"/>
          <w:lang w:bidi="fa-IR"/>
          <w:color w:val="111111"/>
          <w:sz w:val="28"/>
          <w:szCs w:val="28"/>
          <w:rtl/>
        </w:rPr>
        <w:t xml:space="preserve">و اسمه أبو القاسم بن محمد صادق المتخلص صادق المذکور فی ص 578 بن فضل الله ترجمه أبو القاسم سحاب فی مقال له فی مجلة یادگار السنة 5 العدد 6 و 7 و عده فی (تش- ص 430) فی معاصریه و قال اشتغل بأصفهان و سافر إلی رشت إلی أن مات هناک و عنه أخذ فی (مع 2: 572) و یوجد له مثنوی هجری فی (الملیة- ف 101) مع ساقی‏نامه لرضی أرتیمانی و ترجم أیضا فی (حسینی- ص 369) و یوجد نسخه من دیوانه فی (بنگاله) کتبت فی 1192 و عند (فخر الدین- 305)</w:t>
      </w:r>
    </w:p>
    <w:p>
      <w:pPr>
        <w:pStyle w:val="Heading3"/>
      </w:pPr>
      <w:bookmarkStart w:id="10922" w:name="_Toc9618"/>
      <w:r>
        <w:t>8271- دیوان هجری جامی أو شعره‏</w:t>
      </w:r>
      <w:bookmarkEnd w:id="10922"/>
    </w:p>
    <w:p>
      <w:pPr>
        <w:pStyle w:val="BookText"/>
      </w:pPr>
      <w:r>
        <w:rPr>
          <w:rFonts w:ascii="IRNazanin" w:hAnsi="IRNazanin" w:eastAsia="IRNazanin" w:cs="IRNazanin"/>
          <w:lang w:bidi="fa-IR"/>
          <w:color w:val="111111"/>
          <w:sz w:val="28"/>
          <w:szCs w:val="28"/>
          <w:rtl/>
        </w:rPr>
        <w:t xml:space="preserve">ورد شعره فی (طبق 2: 500)</w:t>
      </w:r>
    </w:p>
    <w:p>
      <w:pPr>
        <w:pStyle w:val="Heading3"/>
      </w:pPr>
      <w:bookmarkStart w:id="10923" w:name="_Toc9619"/>
      <w:r>
        <w:t>8272- دیوان هجری دده‏</w:t>
      </w:r>
      <w:bookmarkEnd w:id="10923"/>
    </w:p>
    <w:p>
      <w:pPr>
        <w:pStyle w:val="BookText"/>
      </w:pPr>
      <w:r>
        <w:rPr>
          <w:rFonts w:ascii="IRNazanin" w:hAnsi="IRNazanin" w:eastAsia="IRNazanin" w:cs="IRNazanin"/>
          <w:lang w:bidi="fa-IR"/>
          <w:color w:val="111111"/>
          <w:sz w:val="28"/>
          <w:szCs w:val="28"/>
          <w:rtl/>
        </w:rPr>
        <w:t xml:space="preserve">من غلاة الأکراد کما فی الکاکائیة فی التاریخ- ص 45
</w:t>
      </w:r>
    </w:p>
    <w:p>
      <w:pPr>
        <w:sectPr>
          <w:footerReference w:type="default" r:id="rId1299"/>
          <w:footnotePr>
            <w:numStart w:val="1"/>
            <w:numRestart w:val="eachPage"/>
          </w:footnotePr>
          <w:pgSz w:orient="portrait" w:w="11905.511811023622" w:h="16837.79527559055"/>
          <w:pgMar w:top="1440" w:right="1440" w:bottom="1440" w:left="1440" w:header="720" w:footer="720" w:gutter="0"/>
          <w:cols w:num="1" w:space="720"/>
        </w:sectPr>
      </w:pPr>
    </w:p>
    <w:bookmarkStart w:id="1274" w:name="pg11704_122825"/>
    <w:bookmarkEnd w:id="1274"/>
    <w:p>
      <w:pPr>
        <w:pStyle w:val="Heading3"/>
      </w:pPr>
      <w:bookmarkStart w:id="10924" w:name="_Toc9620"/>
      <w:r>
        <w:t>دیوان هجری رازی‏</w:t>
      </w:r>
      <w:bookmarkEnd w:id="10924"/>
    </w:p>
    <w:p>
      <w:pPr>
        <w:pStyle w:val="BookText"/>
      </w:pPr>
      <w:r>
        <w:rPr>
          <w:rFonts w:ascii="IRNazanin" w:hAnsi="IRNazanin" w:eastAsia="IRNazanin" w:cs="IRNazanin"/>
          <w:lang w:bidi="fa-IR"/>
          <w:color w:val="111111"/>
          <w:sz w:val="28"/>
          <w:szCs w:val="28"/>
          <w:rtl/>
        </w:rPr>
        <w:t xml:space="preserve">راجع هجری طهرانی‏</w:t>
      </w:r>
    </w:p>
    <w:p>
      <w:pPr>
        <w:pStyle w:val="Heading3"/>
      </w:pPr>
      <w:bookmarkStart w:id="10925" w:name="_Toc9621"/>
      <w:r>
        <w:t>8273- دیوان هجری طهرانی‏</w:t>
      </w:r>
      <w:bookmarkEnd w:id="10925"/>
    </w:p>
    <w:p>
      <w:pPr>
        <w:pStyle w:val="BookText"/>
      </w:pPr>
      <w:r>
        <w:rPr>
          <w:rFonts w:ascii="IRNazanin" w:hAnsi="IRNazanin" w:eastAsia="IRNazanin" w:cs="IRNazanin"/>
          <w:lang w:bidi="fa-IR"/>
          <w:color w:val="111111"/>
          <w:sz w:val="28"/>
          <w:szCs w:val="28"/>
          <w:rtl/>
        </w:rPr>
        <w:t xml:space="preserve">و هو الخواجة محمد شریف، أخو خواجگی الذی هو والد شاپور المذکور فی ص 490 و ابنه اعتماد الدولة والد نورجهان بیگم استوزره محمد خان تکلو حاکم خراسان، و بعد موته جاء إلی بلاط طهماسب فنصبه حاکما لیزد ثم وزیرا لأصفهان و هو الذی هجا سلامی بالشعر المذکور فی حقه فی ص 455 و مات بها فی 980 کما فی (تش یز- ص 349) نقلا عن إقبال‏نامه و (تش- ص 217) و همیشه بهار و هو عم أمین أحمد الرازی مؤلف هفت إقلیم کما صرح به فیه‏</w:t>
      </w:r>
    </w:p>
    <w:p>
      <w:pPr>
        <w:pStyle w:val="Heading3"/>
      </w:pPr>
      <w:bookmarkStart w:id="10926" w:name="_Toc9622"/>
      <w:r>
        <w:t>دیوان هجری فرغانه‏ای‏</w:t>
      </w:r>
      <w:bookmarkEnd w:id="10926"/>
    </w:p>
    <w:p>
      <w:pPr>
        <w:pStyle w:val="BookText"/>
      </w:pPr>
      <w:r>
        <w:rPr>
          <w:rFonts w:ascii="IRNazanin" w:hAnsi="IRNazanin" w:eastAsia="IRNazanin" w:cs="IRNazanin"/>
          <w:lang w:bidi="fa-IR"/>
          <w:color w:val="111111"/>
          <w:sz w:val="28"/>
          <w:szCs w:val="28"/>
          <w:rtl/>
        </w:rPr>
        <w:t xml:space="preserve">راجع هجری اندجانی‏</w:t>
      </w:r>
    </w:p>
    <w:p>
      <w:pPr>
        <w:pStyle w:val="Heading3"/>
      </w:pPr>
      <w:bookmarkStart w:id="10927" w:name="_Toc9623"/>
      <w:r>
        <w:t>دیوان هجری قزوینی‏</w:t>
      </w:r>
      <w:bookmarkEnd w:id="10927"/>
    </w:p>
    <w:p>
      <w:pPr>
        <w:pStyle w:val="BookText"/>
      </w:pPr>
      <w:r>
        <w:rPr>
          <w:rFonts w:ascii="IRNazanin" w:hAnsi="IRNazanin" w:eastAsia="IRNazanin" w:cs="IRNazanin"/>
          <w:lang w:bidi="fa-IR"/>
          <w:color w:val="111111"/>
          <w:sz w:val="28"/>
          <w:szCs w:val="28"/>
          <w:rtl/>
        </w:rPr>
        <w:t xml:space="preserve">کما فی همیشه بهار و لعله الطهرانی أو المشهدی‏</w:t>
      </w:r>
    </w:p>
    <w:p>
      <w:pPr>
        <w:pStyle w:val="Heading3"/>
      </w:pPr>
      <w:bookmarkStart w:id="10928" w:name="_Toc9624"/>
      <w:r>
        <w:t>8274- دیوان هجری قمی‏</w:t>
      </w:r>
      <w:bookmarkEnd w:id="10928"/>
    </w:p>
    <w:p>
      <w:pPr>
        <w:pStyle w:val="BookText"/>
      </w:pPr>
      <w:r>
        <w:rPr>
          <w:rFonts w:ascii="IRNazanin" w:hAnsi="IRNazanin" w:eastAsia="IRNazanin" w:cs="IRNazanin"/>
          <w:lang w:bidi="fa-IR"/>
          <w:color w:val="111111"/>
          <w:sz w:val="28"/>
          <w:szCs w:val="28"/>
          <w:rtl/>
        </w:rPr>
        <w:t xml:space="preserve">الملقب شمشیرگر لاشتغاله بصنعة السیف بکاشان ترجم فی هفت إقلیم و (تس 5- ص 172) و (تش- ص 239) و همیشه بهار و أشعاره أزید من سبعة آلاف بیت رأیت بعضا منه عند (فخر الدین)</w:t>
      </w:r>
    </w:p>
    <w:p>
      <w:pPr>
        <w:pStyle w:val="Heading3"/>
      </w:pPr>
      <w:bookmarkStart w:id="10929" w:name="_Toc9625"/>
      <w:r>
        <w:t>دیوان هجری کاشانی‏</w:t>
      </w:r>
      <w:bookmarkEnd w:id="10929"/>
    </w:p>
    <w:p>
      <w:pPr>
        <w:pStyle w:val="BookText"/>
      </w:pPr>
      <w:r>
        <w:rPr>
          <w:rFonts w:ascii="IRNazanin" w:hAnsi="IRNazanin" w:eastAsia="IRNazanin" w:cs="IRNazanin"/>
          <w:lang w:bidi="fa-IR"/>
          <w:color w:val="111111"/>
          <w:sz w:val="28"/>
          <w:szCs w:val="28"/>
          <w:rtl/>
        </w:rPr>
        <w:t xml:space="preserve">راجع هجری قمی‏</w:t>
      </w:r>
    </w:p>
    <w:p>
      <w:pPr>
        <w:pStyle w:val="Heading3"/>
      </w:pPr>
      <w:bookmarkStart w:id="10930" w:name="_Toc9626"/>
      <w:r>
        <w:t>8275- دیوان هجری گنابادی أو شعره‏</w:t>
      </w:r>
      <w:bookmarkEnd w:id="10930"/>
    </w:p>
    <w:p>
      <w:pPr>
        <w:pStyle w:val="BookText"/>
      </w:pPr>
      <w:r>
        <w:rPr>
          <w:rFonts w:ascii="IRNazanin" w:hAnsi="IRNazanin" w:eastAsia="IRNazanin" w:cs="IRNazanin"/>
          <w:lang w:bidi="fa-IR"/>
          <w:color w:val="111111"/>
          <w:sz w:val="28"/>
          <w:szCs w:val="28"/>
          <w:rtl/>
        </w:rPr>
        <w:t xml:space="preserve">سافر إلی بنارس و الله‏آباد و مات فی عهد آصف الدولة کذا ترجمه و أورد شعره فی (گلشن- ص 606)</w:t>
      </w:r>
    </w:p>
    <w:p>
      <w:pPr>
        <w:pStyle w:val="Heading3"/>
      </w:pPr>
      <w:bookmarkStart w:id="10931" w:name="_Toc9627"/>
      <w:r>
        <w:t>8276- دیوان هجری مشهدی أو شعره‏</w:t>
      </w:r>
      <w:bookmarkEnd w:id="10931"/>
    </w:p>
    <w:p>
      <w:pPr>
        <w:pStyle w:val="BookText"/>
      </w:pPr>
      <w:r>
        <w:rPr>
          <w:rFonts w:ascii="IRNazanin" w:hAnsi="IRNazanin" w:eastAsia="IRNazanin" w:cs="IRNazanin"/>
          <w:lang w:bidi="fa-IR"/>
          <w:color w:val="111111"/>
          <w:sz w:val="28"/>
          <w:szCs w:val="28"/>
          <w:rtl/>
        </w:rPr>
        <w:t xml:space="preserve">هو أخو الملا مشرقی المذکور فی ص 1049 و أصلهما من قزوین ورد شعره فی (گلشن- ص 606) و (مطلع 2: 450)</w:t>
      </w:r>
    </w:p>
    <w:p>
      <w:pPr>
        <w:pStyle w:val="Heading3"/>
      </w:pPr>
      <w:bookmarkStart w:id="10932" w:name="_Toc9628"/>
      <w:r>
        <w:t>8277- دیوان هجری هروی أو شعره‏</w:t>
      </w:r>
      <w:bookmarkEnd w:id="10932"/>
    </w:p>
    <w:p>
      <w:pPr>
        <w:pStyle w:val="BookText"/>
      </w:pPr>
      <w:r>
        <w:rPr>
          <w:rFonts w:ascii="IRNazanin" w:hAnsi="IRNazanin" w:eastAsia="IRNazanin" w:cs="IRNazanin"/>
          <w:lang w:bidi="fa-IR"/>
          <w:color w:val="111111"/>
          <w:sz w:val="28"/>
          <w:szCs w:val="28"/>
          <w:rtl/>
        </w:rPr>
        <w:t xml:space="preserve">ورد شعره فی (مجتس 6- ص 165)</w:t>
      </w:r>
    </w:p>
    <w:p>
      <w:pPr>
        <w:pStyle w:val="Heading3"/>
      </w:pPr>
      <w:bookmarkStart w:id="10933" w:name="_Toc9629"/>
      <w:r>
        <w:t>8278- دیوان هدایت آشتیانی‏</w:t>
      </w:r>
      <w:bookmarkEnd w:id="10933"/>
    </w:p>
    <w:p>
      <w:pPr>
        <w:pStyle w:val="BookText"/>
      </w:pPr>
      <w:r>
        <w:rPr>
          <w:rFonts w:ascii="IRNazanin" w:hAnsi="IRNazanin" w:eastAsia="IRNazanin" w:cs="IRNazanin"/>
          <w:lang w:bidi="fa-IR"/>
          <w:color w:val="111111"/>
          <w:sz w:val="28"/>
          <w:szCs w:val="28"/>
          <w:rtl/>
        </w:rPr>
        <w:t xml:space="preserve">هو المیرزا هدایة وزیر دفتر ابن المیرزا حسین خان الآشتیانی نزیل طهران ترجمه معاصره فی (مع- ج 2 ص 567) و أورد قرب عشرین بیتا من مثنویاته‏</w:t>
      </w:r>
    </w:p>
    <w:p>
      <w:pPr>
        <w:pStyle w:val="Heading3"/>
      </w:pPr>
      <w:bookmarkStart w:id="10934" w:name="_Toc9630"/>
      <w:r>
        <w:t>8279- دیوان هدایت أصفهانی‏</w:t>
      </w:r>
      <w:bookmarkEnd w:id="10934"/>
    </w:p>
    <w:p>
      <w:pPr>
        <w:pStyle w:val="BookText"/>
      </w:pPr>
      <w:r>
        <w:rPr>
          <w:rFonts w:ascii="IRNazanin" w:hAnsi="IRNazanin" w:eastAsia="IRNazanin" w:cs="IRNazanin"/>
          <w:lang w:bidi="fa-IR"/>
          <w:color w:val="111111"/>
          <w:sz w:val="28"/>
          <w:szCs w:val="28"/>
          <w:rtl/>
        </w:rPr>
        <w:t xml:space="preserve">ابن المیرزا شاه تقی المتخلص بواحد کما مر فی الواو ترجمه معاصره النصرآبادی فی (نر 6- ص 177) و أورد بعض شعره و ذکر أنه کان قاضی مشهد خراسان و فی الحال هو شیخ الإسلام بها
</w:t>
      </w:r>
    </w:p>
    <w:p>
      <w:pPr>
        <w:sectPr>
          <w:footerReference w:type="default" r:id="rId1300"/>
          <w:footnotePr>
            <w:numStart w:val="1"/>
            <w:numRestart w:val="eachPage"/>
          </w:footnotePr>
          <w:pgSz w:orient="portrait" w:w="11905.511811023622" w:h="16837.79527559055"/>
          <w:pgMar w:top="1440" w:right="1440" w:bottom="1440" w:left="1440" w:header="720" w:footer="720" w:gutter="0"/>
          <w:cols w:num="1" w:space="720"/>
        </w:sectPr>
      </w:pPr>
    </w:p>
    <w:bookmarkStart w:id="1275" w:name="pg11704_122826"/>
    <w:bookmarkEnd w:id="1275"/>
    <w:p>
      <w:pPr>
        <w:pStyle w:val="Heading3"/>
      </w:pPr>
      <w:bookmarkStart w:id="10935" w:name="_Toc9631"/>
      <w:r>
        <w:t>8280- دیوان هدایت رازی‏</w:t>
      </w:r>
      <w:bookmarkEnd w:id="10935"/>
    </w:p>
    <w:p>
      <w:pPr>
        <w:pStyle w:val="BookText"/>
      </w:pPr>
      <w:r>
        <w:rPr>
          <w:rFonts w:ascii="IRNazanin" w:hAnsi="IRNazanin" w:eastAsia="IRNazanin" w:cs="IRNazanin"/>
          <w:lang w:bidi="fa-IR"/>
          <w:color w:val="111111"/>
          <w:sz w:val="28"/>
          <w:szCs w:val="28"/>
          <w:rtl/>
        </w:rPr>
        <w:t xml:space="preserve">و اسمه خواجه هدایة الله ورد شعره فی (تس 5- ص 177) و (حسینی- ص 370) و (خوش‏گو) و (روشن- ص 772) و مر له فی 7: 265 الخمسة نقلا عن روز روشن‏</w:t>
      </w:r>
    </w:p>
    <w:p>
      <w:pPr>
        <w:pStyle w:val="Heading3"/>
      </w:pPr>
      <w:bookmarkStart w:id="10936" w:name="_Toc9632"/>
      <w:r>
        <w:t>8281- دیوان هدایت طبرستانی‏</w:t>
      </w:r>
      <w:bookmarkEnd w:id="10936"/>
    </w:p>
    <w:p>
      <w:pPr>
        <w:pStyle w:val="BookText"/>
      </w:pPr>
      <w:r>
        <w:rPr>
          <w:rFonts w:ascii="IRNazanin" w:hAnsi="IRNazanin" w:eastAsia="IRNazanin" w:cs="IRNazanin"/>
          <w:lang w:bidi="fa-IR"/>
          <w:color w:val="111111"/>
          <w:sz w:val="28"/>
          <w:szCs w:val="28"/>
          <w:rtl/>
        </w:rPr>
        <w:t xml:space="preserve">مؤلف مجمع الفصحاء ترجم نفسه فی ج 2 ص 581 من کتابه و ذکر أنه رضا قلی بن محمد هادی و إنه ولد فی المحرم 1215 و إنه توفی والده 1218 و توفت والدته فی مکة بعد سنین فکفله محمد مهدی خان شحنة و ذکر تنقلاته و ترقیاته فی خدمات الشاهزادات و ذکر أن منظوماته أکثر من أن یذکره و یعرف لله‏باشی لکونه معلم عباس میرزا ابن فتح علی شاه</w:t>
      </w:r>
    </w:p>
    <w:p>
      <w:pPr>
        <w:pStyle w:val="BookText"/>
      </w:pPr>
      <w:r>
        <w:rPr>
          <w:rFonts w:ascii="IRNazanin" w:hAnsi="IRNazanin" w:eastAsia="IRNazanin" w:cs="IRNazanin"/>
          <w:lang w:bidi="fa-IR"/>
          <w:color w:val="111111"/>
          <w:sz w:val="28"/>
          <w:szCs w:val="28"/>
          <w:rtl/>
        </w:rPr>
        <w:t xml:space="preserve">و یتخلص چاکر أیضا کما مر فی ص 214 و لقب أمیر الشعراء و ذهب سفیرا إلی خوارزم و نصب رئیسا لدار الفنون الذی کان جامعة طهران فی ذلک العهد فألف مجمع الفصحاء فی تاریخ شعراء الفرس طبع فی مجلدین بطهران 1295 و ننقل عنه فی هذا المجلد من الذریعة بعنوان (مع 1 و 2) و ریاض العارفین فی تاریخ العرفاء طبع فی مجلد فی 1305 و 1356 و ننقل عنه بعنوان (ض) و انجمن‏آرای ناصری فی اللغة الفارسیة طبع 1288 و روضة الصفای ناصری کما مر و یأتی مظاهر الأنوار الموجود فی (المجلس) و له ستة ضروریة و هی ستة مثنویات بأسماء 1- أنوار الولایة فی قبال مخزن الأسرار 2- گلستان إرم أو بکقاشنامه طبع بطهران 1270 و 3- بحر الحقائق علی زنة حدیقة الحقیقة للسنائی 4- أنیس العاشقین 5- خرم بهشت الموجود فی (المجلس) 6- هدایت‏نامه و له مثنویات أخر منها منهج الهدایة و له مفتاح الکنوز و لطائف المعارف و فهرس التواریخ الموجود فی المکتبة (الملیة) و دیوانه فی ثلاثة عشر ألف بیت موجود فی (المجلس) کما فی فهرسها 3: 446 و مات 1288 و قبره فی تکیة بناها بطهران یعرف إلی الآن باسمه تکیة رضا قلی خان هدایت و بیت هدایت معروفون الیوم بطهران و منهم الأدیب الکاتب صادق هدایت، و منهم مخبر الدولة مهدی قلی هدایت حاکم تبریز حین استشهد الشیخ محمد الخیابانی ترجم هدایت هذا فی (طرائق 3: 132) و هدیة العارفین 1: 368 و (فارس‏نامه 2: 125) و منتظم ناصری 3: 320
</w:t>
      </w:r>
    </w:p>
    <w:p>
      <w:pPr>
        <w:sectPr>
          <w:footerReference w:type="default" r:id="rId1301"/>
          <w:footnotePr>
            <w:numStart w:val="1"/>
            <w:numRestart w:val="eachPage"/>
          </w:footnotePr>
          <w:pgSz w:orient="portrait" w:w="11905.511811023622" w:h="16837.79527559055"/>
          <w:pgMar w:top="1440" w:right="1440" w:bottom="1440" w:left="1440" w:header="720" w:footer="720" w:gutter="0"/>
          <w:cols w:num="1" w:space="720"/>
        </w:sectPr>
      </w:pPr>
    </w:p>
    <w:bookmarkStart w:id="1276" w:name="pg11704_122828"/>
    <w:bookmarkEnd w:id="1276"/>
    <w:p>
      <w:pPr>
        <w:pStyle w:val="BookText"/>
      </w:pPr>
      <w:r>
        <w:rPr>
          <w:rFonts w:ascii="IRNazanin" w:hAnsi="IRNazanin" w:eastAsia="IRNazanin" w:cs="IRNazanin"/>
          <w:lang w:bidi="fa-IR"/>
          <w:color w:val="111111"/>
          <w:sz w:val="28"/>
          <w:szCs w:val="28"/>
          <w:rtl/>
        </w:rPr>
        <w:t xml:space="preserve">و (المآثر- ص 189) و مجلة یادگار 4: 14</w:t>
      </w:r>
    </w:p>
    <w:p>
      <w:pPr>
        <w:pStyle w:val="Heading3"/>
      </w:pPr>
      <w:bookmarkStart w:id="10937" w:name="_Toc9633"/>
      <w:r>
        <w:t>8282- دیوان هدایت کشمیری أو شعره‏</w:t>
      </w:r>
      <w:bookmarkEnd w:id="10937"/>
    </w:p>
    <w:p>
      <w:pPr>
        <w:pStyle w:val="BookText"/>
      </w:pPr>
      <w:r>
        <w:rPr>
          <w:rFonts w:ascii="IRNazanin" w:hAnsi="IRNazanin" w:eastAsia="IRNazanin" w:cs="IRNazanin"/>
          <w:lang w:bidi="fa-IR"/>
          <w:color w:val="111111"/>
          <w:sz w:val="28"/>
          <w:szCs w:val="28"/>
          <w:rtl/>
        </w:rPr>
        <w:t xml:space="preserve">و اسمه سعد الله بن عنایة الله عالمگیری ورد شعره فی (گلشن- ص 606)</w:t>
      </w:r>
    </w:p>
    <w:p>
      <w:pPr>
        <w:pStyle w:val="Heading3"/>
      </w:pPr>
      <w:bookmarkStart w:id="10938" w:name="_Toc9634"/>
      <w:r>
        <w:t>8283- دیوان هدایت مشهدی أو شعره‏</w:t>
      </w:r>
      <w:bookmarkEnd w:id="10938"/>
    </w:p>
    <w:p>
      <w:pPr>
        <w:pStyle w:val="BookText"/>
      </w:pPr>
      <w:r>
        <w:rPr>
          <w:rFonts w:ascii="IRNazanin" w:hAnsi="IRNazanin" w:eastAsia="IRNazanin" w:cs="IRNazanin"/>
          <w:lang w:bidi="fa-IR"/>
          <w:color w:val="111111"/>
          <w:sz w:val="28"/>
          <w:szCs w:val="28"/>
          <w:rtl/>
        </w:rPr>
        <w:t xml:space="preserve">هو ابن شیخ الإسلام بمشهد خراسان ورد شعره فی (روشن- ص 777) و (مطلع 2: 448) و همیشه بهار</w:t>
      </w:r>
    </w:p>
    <w:p>
      <w:pPr>
        <w:pStyle w:val="Heading3"/>
      </w:pPr>
      <w:bookmarkStart w:id="10939" w:name="_Toc9635"/>
      <w:r>
        <w:t>8284- دیوان هدایت نائنی أو شعره‏</w:t>
      </w:r>
      <w:bookmarkEnd w:id="10939"/>
    </w:p>
    <w:p>
      <w:pPr>
        <w:pStyle w:val="BookText"/>
      </w:pPr>
      <w:r>
        <w:rPr>
          <w:rFonts w:ascii="IRNazanin" w:hAnsi="IRNazanin" w:eastAsia="IRNazanin" w:cs="IRNazanin"/>
          <w:lang w:bidi="fa-IR"/>
          <w:color w:val="111111"/>
          <w:sz w:val="28"/>
          <w:szCs w:val="28"/>
          <w:rtl/>
        </w:rPr>
        <w:t xml:space="preserve">و اسمه هدایت حسین أورد شعره معاصره النصرآبادی فی (نر 6- ص 197) و کان ینسب نفسه إلی جابر بن عبد الله الأنصاری و عنه فی همیشه بهار</w:t>
      </w:r>
    </w:p>
    <w:p>
      <w:pPr>
        <w:pStyle w:val="Heading3"/>
      </w:pPr>
      <w:bookmarkStart w:id="10940" w:name="_Toc9636"/>
      <w:r>
        <w:t>8285- دیوان هدای کاشانی أو شعره‏</w:t>
      </w:r>
      <w:bookmarkEnd w:id="10940"/>
    </w:p>
    <w:p>
      <w:pPr>
        <w:pStyle w:val="BookText"/>
      </w:pPr>
      <w:r>
        <w:rPr>
          <w:rFonts w:ascii="IRNazanin" w:hAnsi="IRNazanin" w:eastAsia="IRNazanin" w:cs="IRNazanin"/>
          <w:lang w:bidi="fa-IR"/>
          <w:color w:val="111111"/>
          <w:sz w:val="28"/>
          <w:szCs w:val="28"/>
          <w:rtl/>
        </w:rPr>
        <w:t xml:space="preserve">کان معاصرا للفیض الکاشانی ورد شعره فی مجموعة لمحمد شفیع الحسینی ص 203 و 239 عند (فخر الدین)</w:t>
      </w:r>
    </w:p>
    <w:p>
      <w:pPr>
        <w:pStyle w:val="Heading3"/>
      </w:pPr>
      <w:bookmarkStart w:id="10941" w:name="_Toc9637"/>
      <w:r>
        <w:t>8286- دیوان هراتی أو شعره‏</w:t>
      </w:r>
      <w:bookmarkEnd w:id="10941"/>
    </w:p>
    <w:p>
      <w:pPr>
        <w:pStyle w:val="BookText"/>
      </w:pPr>
      <w:r>
        <w:rPr>
          <w:rFonts w:ascii="IRNazanin" w:hAnsi="IRNazanin" w:eastAsia="IRNazanin" w:cs="IRNazanin"/>
          <w:lang w:bidi="fa-IR"/>
          <w:color w:val="111111"/>
          <w:sz w:val="28"/>
          <w:szCs w:val="28"/>
          <w:rtl/>
        </w:rPr>
        <w:t xml:space="preserve">و هو مما زاده الهروی و أورد شعره فی (لط 3: 80) و قال مولده هرات و جاء فی (مسرت- ص 203 و 434) شعر لمحمد هراتی‏</w:t>
      </w:r>
    </w:p>
    <w:p>
      <w:pPr>
        <w:pStyle w:val="Heading3"/>
      </w:pPr>
      <w:bookmarkStart w:id="10942" w:name="_Toc9638"/>
      <w:r>
        <w:t>دیوان هروی‏</w:t>
      </w:r>
      <w:bookmarkEnd w:id="10942"/>
    </w:p>
    <w:p>
      <w:pPr>
        <w:pStyle w:val="BookText"/>
      </w:pPr>
      <w:r>
        <w:rPr>
          <w:rFonts w:ascii="IRNazanin" w:hAnsi="IRNazanin" w:eastAsia="IRNazanin" w:cs="IRNazanin"/>
          <w:lang w:bidi="fa-IR"/>
          <w:color w:val="111111"/>
          <w:sz w:val="28"/>
          <w:szCs w:val="28"/>
          <w:rtl/>
        </w:rPr>
        <w:t xml:space="preserve">راجع إمامی هروی‏</w:t>
      </w:r>
    </w:p>
    <w:p>
      <w:pPr>
        <w:pStyle w:val="Heading3"/>
      </w:pPr>
      <w:bookmarkStart w:id="10943" w:name="_Toc9639"/>
      <w:r>
        <w:t>8287- دیوان هزاره أصفهانی أو شعره‏</w:t>
      </w:r>
      <w:bookmarkEnd w:id="10943"/>
    </w:p>
    <w:p>
      <w:pPr>
        <w:pStyle w:val="BookText"/>
      </w:pPr>
      <w:r>
        <w:rPr>
          <w:rFonts w:ascii="IRNazanin" w:hAnsi="IRNazanin" w:eastAsia="IRNazanin" w:cs="IRNazanin"/>
          <w:lang w:bidi="fa-IR"/>
          <w:color w:val="111111"/>
          <w:sz w:val="28"/>
          <w:szCs w:val="28"/>
          <w:rtl/>
        </w:rPr>
        <w:t xml:space="preserve">ورد شعره فی (گلشن- ص 607)</w:t>
      </w:r>
    </w:p>
    <w:p>
      <w:pPr>
        <w:pStyle w:val="Heading3"/>
      </w:pPr>
      <w:bookmarkStart w:id="10944" w:name="_Toc9640"/>
      <w:r>
        <w:t>8288- دیوان هشترودی‏</w:t>
      </w:r>
      <w:bookmarkEnd w:id="10944"/>
    </w:p>
    <w:p>
      <w:pPr>
        <w:pStyle w:val="BookText"/>
      </w:pPr>
      <w:r>
        <w:rPr>
          <w:rFonts w:ascii="IRNazanin" w:hAnsi="IRNazanin" w:eastAsia="IRNazanin" w:cs="IRNazanin"/>
          <w:lang w:bidi="fa-IR"/>
          <w:color w:val="111111"/>
          <w:sz w:val="28"/>
          <w:szCs w:val="28"/>
          <w:rtl/>
        </w:rPr>
        <w:t xml:space="preserve">و هو الدکتور محسن الهشترودی التبریزی العالم الریاضی المعاصر بإیران و العمید بکلیة العلوم الریاضیة سابقا و هو قد ینظم الشعر قلیلا و طبع من شعره سایه‏ها فی 69 ص‏</w:t>
      </w:r>
    </w:p>
    <w:p>
      <w:pPr>
        <w:pStyle w:val="Heading3"/>
      </w:pPr>
      <w:bookmarkStart w:id="10945" w:name="_Toc9641"/>
      <w:r>
        <w:t>8289- دیوان هشیار شیرازی أو شعره‏</w:t>
      </w:r>
      <w:bookmarkEnd w:id="10945"/>
    </w:p>
    <w:p>
      <w:pPr>
        <w:pStyle w:val="BookText"/>
      </w:pPr>
      <w:r>
        <w:rPr>
          <w:rFonts w:ascii="IRNazanin" w:hAnsi="IRNazanin" w:eastAsia="IRNazanin" w:cs="IRNazanin"/>
          <w:lang w:bidi="fa-IR"/>
          <w:color w:val="111111"/>
          <w:sz w:val="28"/>
          <w:szCs w:val="28"/>
          <w:rtl/>
        </w:rPr>
        <w:t xml:space="preserve">و اسمه محمد حسین واقعةخوان قال فی (عم- ص 572) إنه توفی 1292 و دفن فی شرقی الحافظیة ثم أورد شعره‏</w:t>
      </w:r>
    </w:p>
    <w:p>
      <w:pPr>
        <w:pStyle w:val="Heading3"/>
      </w:pPr>
      <w:bookmarkStart w:id="10946" w:name="_Toc9642"/>
      <w:r>
        <w:t>8290- دیوان هشیار شیرازی أو شعره‏</w:t>
      </w:r>
      <w:bookmarkEnd w:id="10946"/>
    </w:p>
    <w:p>
      <w:pPr>
        <w:pStyle w:val="BookText"/>
      </w:pPr>
      <w:r>
        <w:rPr>
          <w:rFonts w:ascii="IRNazanin" w:hAnsi="IRNazanin" w:eastAsia="IRNazanin" w:cs="IRNazanin"/>
          <w:lang w:bidi="fa-IR"/>
          <w:color w:val="111111"/>
          <w:sz w:val="28"/>
          <w:szCs w:val="28"/>
          <w:rtl/>
        </w:rPr>
        <w:t xml:space="preserve">و اسمه علی بن الحسن النوری المتوفی 1286 ورد شعره فی (فارس‏نامه 2: 152)</w:t>
      </w:r>
    </w:p>
    <w:p>
      <w:pPr>
        <w:pStyle w:val="Heading3"/>
      </w:pPr>
      <w:bookmarkStart w:id="10947" w:name="_Toc9643"/>
      <w:r>
        <w:t>8291- دیوان هشیار کرد</w:t>
      </w:r>
      <w:bookmarkEnd w:id="10947"/>
    </w:p>
    <w:p>
      <w:pPr>
        <w:pStyle w:val="BookText"/>
      </w:pPr>
      <w:r>
        <w:rPr>
          <w:rFonts w:ascii="IRNazanin" w:hAnsi="IRNazanin" w:eastAsia="IRNazanin" w:cs="IRNazanin"/>
          <w:lang w:bidi="fa-IR"/>
          <w:color w:val="111111"/>
          <w:sz w:val="28"/>
          <w:szCs w:val="28"/>
          <w:rtl/>
        </w:rPr>
        <w:t xml:space="preserve">و اسمه علی نقی بن کاظم المولود 1266 ش ترجمه البرقعی فی (سخنوران- 2: 272) قال و یلقب دبیر مخصوص‏</w:t>
      </w:r>
    </w:p>
    <w:p>
      <w:pPr>
        <w:pStyle w:val="Heading3"/>
      </w:pPr>
      <w:bookmarkStart w:id="10948" w:name="_Toc9644"/>
      <w:r>
        <w:t>دیوان هشیار هزار جریبی‏</w:t>
      </w:r>
      <w:bookmarkEnd w:id="10948"/>
    </w:p>
    <w:p>
      <w:pPr>
        <w:pStyle w:val="BookText"/>
      </w:pPr>
      <w:r>
        <w:rPr>
          <w:rFonts w:ascii="IRNazanin" w:hAnsi="IRNazanin" w:eastAsia="IRNazanin" w:cs="IRNazanin"/>
          <w:lang w:bidi="fa-IR"/>
          <w:color w:val="111111"/>
          <w:sz w:val="28"/>
          <w:szCs w:val="28"/>
          <w:rtl/>
        </w:rPr>
        <w:t xml:space="preserve">راجع سامی هزار جریبی‏</w:t>
      </w:r>
    </w:p>
    <w:p>
      <w:pPr>
        <w:pStyle w:val="Heading3"/>
      </w:pPr>
      <w:bookmarkStart w:id="10949" w:name="_Toc9645"/>
      <w:r>
        <w:t>8292- دیوان هفت رنگی أو شعره‏</w:t>
      </w:r>
      <w:bookmarkEnd w:id="10949"/>
    </w:p>
    <w:p>
      <w:pPr>
        <w:pStyle w:val="BookText"/>
      </w:pPr>
      <w:r>
        <w:rPr>
          <w:rFonts w:ascii="IRNazanin" w:hAnsi="IRNazanin" w:eastAsia="IRNazanin" w:cs="IRNazanin"/>
          <w:lang w:bidi="fa-IR"/>
          <w:color w:val="111111"/>
          <w:sz w:val="28"/>
          <w:szCs w:val="28"/>
          <w:rtl/>
        </w:rPr>
        <w:t xml:space="preserve">کان من شعراء خراسان ترجم و أورد شعره فی‏
</w:t>
      </w:r>
    </w:p>
    <w:p>
      <w:pPr>
        <w:sectPr>
          <w:footerReference w:type="default" r:id="rId1302"/>
          <w:footnotePr>
            <w:numStart w:val="1"/>
            <w:numRestart w:val="eachPage"/>
          </w:footnotePr>
          <w:pgSz w:orient="portrait" w:w="11905.511811023622" w:h="16837.79527559055"/>
          <w:pgMar w:top="1440" w:right="1440" w:bottom="1440" w:left="1440" w:header="720" w:footer="720" w:gutter="0"/>
          <w:cols w:num="1" w:space="720"/>
        </w:sectPr>
      </w:pPr>
    </w:p>
    <w:bookmarkStart w:id="1277" w:name="pg11704_122830"/>
    <w:bookmarkEnd w:id="1277"/>
    <w:p>
      <w:pPr>
        <w:pStyle w:val="BookText"/>
      </w:pPr>
      <w:r>
        <w:rPr>
          <w:rFonts w:ascii="IRNazanin" w:hAnsi="IRNazanin" w:eastAsia="IRNazanin" w:cs="IRNazanin"/>
          <w:lang w:bidi="fa-IR"/>
          <w:color w:val="111111"/>
          <w:sz w:val="28"/>
          <w:szCs w:val="28"/>
          <w:rtl/>
        </w:rPr>
        <w:t xml:space="preserve">(بهش 2: 392)</w:t>
      </w:r>
    </w:p>
    <w:p>
      <w:pPr>
        <w:pStyle w:val="Heading3"/>
      </w:pPr>
      <w:bookmarkStart w:id="10950" w:name="_Toc9646"/>
      <w:r>
        <w:t>8293- دیوان هلاکی أو شعره‏</w:t>
      </w:r>
      <w:bookmarkEnd w:id="10950"/>
    </w:p>
    <w:p>
      <w:pPr>
        <w:pStyle w:val="BookText"/>
      </w:pPr>
      <w:r>
        <w:rPr>
          <w:rFonts w:ascii="IRNazanin" w:hAnsi="IRNazanin" w:eastAsia="IRNazanin" w:cs="IRNazanin"/>
          <w:lang w:bidi="fa-IR"/>
          <w:color w:val="111111"/>
          <w:sz w:val="28"/>
          <w:szCs w:val="28"/>
          <w:rtl/>
        </w:rPr>
        <w:t xml:space="preserve">ورد شعره فی (قز مج 6- ص 306) و عده من شعراء السلطان یعقوب‏</w:t>
      </w:r>
    </w:p>
    <w:p>
      <w:pPr>
        <w:pStyle w:val="Heading3"/>
      </w:pPr>
      <w:bookmarkStart w:id="10951" w:name="_Toc9647"/>
      <w:r>
        <w:t>8294- دیوان هلاکی هروی أو شعره‏</w:t>
      </w:r>
      <w:bookmarkEnd w:id="10951"/>
    </w:p>
    <w:p>
      <w:pPr>
        <w:pStyle w:val="BookText"/>
      </w:pPr>
      <w:r>
        <w:rPr>
          <w:rFonts w:ascii="IRNazanin" w:hAnsi="IRNazanin" w:eastAsia="IRNazanin" w:cs="IRNazanin"/>
          <w:lang w:bidi="fa-IR"/>
          <w:color w:val="111111"/>
          <w:sz w:val="28"/>
          <w:szCs w:val="28"/>
          <w:rtl/>
        </w:rPr>
        <w:t xml:space="preserve">سافر مع الجامی إلی الحج. ورد شعره فی (مجن 3- 76 و 253) و فی الثانی سماه هلالی.</w:t>
      </w:r>
    </w:p>
    <w:p>
      <w:pPr>
        <w:pStyle w:val="Heading3"/>
      </w:pPr>
      <w:bookmarkStart w:id="10952" w:name="_Toc9648"/>
      <w:r>
        <w:t>8295- دیوان هلاکی همدانی‏</w:t>
      </w:r>
      <w:bookmarkEnd w:id="10952"/>
    </w:p>
    <w:p>
      <w:pPr>
        <w:pStyle w:val="BookText"/>
      </w:pPr>
      <w:r>
        <w:rPr>
          <w:rFonts w:ascii="IRNazanin" w:hAnsi="IRNazanin" w:eastAsia="IRNazanin" w:cs="IRNazanin"/>
          <w:lang w:bidi="fa-IR"/>
          <w:color w:val="111111"/>
          <w:sz w:val="28"/>
          <w:szCs w:val="28"/>
          <w:rtl/>
        </w:rPr>
        <w:t xml:space="preserve">کان ملازم بهرام میرزا ابن الشاه إسماعیل. قال فی (خص 8- ص 172) إن له مثنوی شوق و ذوق و کذا فی (تس 5- ص 127) و جاء فی (نر 13- ص 471) تاریخ نظمه لقتل محمد یوسف الصدر للشاه إسماعیل فی 927 و کذا فی هفت إقلیم و (تش- ص 258) و الروضة الصفویة و المستر براون 4: 88 و (نتایج- ص 785) و (روشن- ص 778) و (خز- ص 459).</w:t>
      </w:r>
    </w:p>
    <w:p>
      <w:pPr>
        <w:pStyle w:val="Heading3"/>
      </w:pPr>
      <w:bookmarkStart w:id="10953" w:name="_Toc9649"/>
      <w:r>
        <w:t>8296- دیوان هلال قهستانی أو شعره‏</w:t>
      </w:r>
      <w:bookmarkEnd w:id="10953"/>
    </w:p>
    <w:p>
      <w:pPr>
        <w:pStyle w:val="BookText"/>
      </w:pPr>
      <w:r>
        <w:rPr>
          <w:rFonts w:ascii="IRNazanin" w:hAnsi="IRNazanin" w:eastAsia="IRNazanin" w:cs="IRNazanin"/>
          <w:lang w:bidi="fa-IR"/>
          <w:color w:val="111111"/>
          <w:sz w:val="28"/>
          <w:szCs w:val="28"/>
          <w:rtl/>
        </w:rPr>
        <w:t xml:space="preserve">و هو الشهیر بخواجه هلال. ترجم فی (مع 1: 655) و (قهستان- ص 190).</w:t>
      </w:r>
    </w:p>
    <w:p>
      <w:pPr>
        <w:pStyle w:val="Heading3"/>
      </w:pPr>
      <w:bookmarkStart w:id="10954" w:name="_Toc9650"/>
      <w:r>
        <w:t>8297- دیوان هلال قزوینی أو شعره‏</w:t>
      </w:r>
      <w:bookmarkEnd w:id="10954"/>
    </w:p>
    <w:p>
      <w:pPr>
        <w:pStyle w:val="BookText"/>
      </w:pPr>
      <w:r>
        <w:rPr>
          <w:rFonts w:ascii="IRNazanin" w:hAnsi="IRNazanin" w:eastAsia="IRNazanin" w:cs="IRNazanin"/>
          <w:lang w:bidi="fa-IR"/>
          <w:color w:val="111111"/>
          <w:sz w:val="28"/>
          <w:szCs w:val="28"/>
          <w:rtl/>
        </w:rPr>
        <w:t xml:space="preserve">ورد شعره فی هفت إقلیم و (خوش‏گو).</w:t>
      </w:r>
    </w:p>
    <w:p>
      <w:pPr>
        <w:pStyle w:val="Heading3"/>
      </w:pPr>
      <w:bookmarkStart w:id="10955" w:name="_Toc9651"/>
      <w:r>
        <w:t>8298- دیوان هلال کاشانی أو شعره‏</w:t>
      </w:r>
      <w:bookmarkEnd w:id="10955"/>
    </w:p>
    <w:p>
      <w:pPr>
        <w:pStyle w:val="BookText"/>
      </w:pPr>
      <w:r>
        <w:rPr>
          <w:rFonts w:ascii="IRNazanin" w:hAnsi="IRNazanin" w:eastAsia="IRNazanin" w:cs="IRNazanin"/>
          <w:lang w:bidi="fa-IR"/>
          <w:color w:val="111111"/>
          <w:sz w:val="28"/>
          <w:szCs w:val="28"/>
          <w:rtl/>
        </w:rPr>
        <w:t xml:space="preserve">مدح منوچهر معتمد الدولة فجاء شعره فی مدائح معتمدیة.</w:t>
      </w:r>
    </w:p>
    <w:p>
      <w:pPr>
        <w:pStyle w:val="Heading3"/>
      </w:pPr>
      <w:bookmarkStart w:id="10956" w:name="_Toc9652"/>
      <w:r>
        <w:t>دیوان هلال هروی‏</w:t>
      </w:r>
      <w:bookmarkEnd w:id="10956"/>
    </w:p>
    <w:p>
      <w:pPr>
        <w:pStyle w:val="BookText"/>
      </w:pPr>
      <w:r>
        <w:rPr>
          <w:rFonts w:ascii="IRNazanin" w:hAnsi="IRNazanin" w:eastAsia="IRNazanin" w:cs="IRNazanin"/>
          <w:lang w:bidi="fa-IR"/>
          <w:color w:val="111111"/>
          <w:sz w:val="28"/>
          <w:szCs w:val="28"/>
          <w:rtl/>
        </w:rPr>
        <w:t xml:space="preserve">راجع هلالی هروی.</w:t>
      </w:r>
    </w:p>
    <w:p>
      <w:pPr>
        <w:pStyle w:val="Heading3"/>
      </w:pPr>
      <w:bookmarkStart w:id="10957" w:name="_Toc9653"/>
      <w:r>
        <w:t>دیوان هلالی أسترآبادی‏</w:t>
      </w:r>
      <w:bookmarkEnd w:id="10957"/>
    </w:p>
    <w:p>
      <w:pPr>
        <w:pStyle w:val="BookText"/>
      </w:pPr>
      <w:r>
        <w:rPr>
          <w:rFonts w:ascii="IRNazanin" w:hAnsi="IRNazanin" w:eastAsia="IRNazanin" w:cs="IRNazanin"/>
          <w:lang w:bidi="fa-IR"/>
          <w:color w:val="111111"/>
          <w:sz w:val="28"/>
          <w:szCs w:val="28"/>
          <w:rtl/>
        </w:rPr>
        <w:t xml:space="preserve">راجع هلالی جغتائی.</w:t>
      </w:r>
    </w:p>
    <w:p>
      <w:pPr>
        <w:pStyle w:val="Heading3"/>
      </w:pPr>
      <w:bookmarkStart w:id="10958" w:name="_Toc9654"/>
      <w:r>
        <w:t>8299- دیوان هلالی ترک أو شعره‏</w:t>
      </w:r>
      <w:bookmarkEnd w:id="10958"/>
    </w:p>
    <w:p>
      <w:pPr>
        <w:pStyle w:val="BookText"/>
      </w:pPr>
      <w:r>
        <w:rPr>
          <w:rFonts w:ascii="IRNazanin" w:hAnsi="IRNazanin" w:eastAsia="IRNazanin" w:cs="IRNazanin"/>
          <w:lang w:bidi="fa-IR"/>
          <w:color w:val="111111"/>
          <w:sz w:val="28"/>
          <w:szCs w:val="28"/>
          <w:rtl/>
        </w:rPr>
        <w:t xml:space="preserve">ترجم فی (تش- ص 23) قبل الجغتائی و قال سکن بشیراز.</w:t>
      </w:r>
    </w:p>
    <w:p>
      <w:pPr>
        <w:pStyle w:val="Heading3"/>
      </w:pPr>
      <w:bookmarkStart w:id="10959" w:name="_Toc9655"/>
      <w:r>
        <w:t>8300- دیوان هلالی جغتائی‏</w:t>
      </w:r>
      <w:bookmarkEnd w:id="10959"/>
    </w:p>
    <w:p>
      <w:pPr>
        <w:pStyle w:val="BookText"/>
      </w:pPr>
      <w:r>
        <w:rPr>
          <w:rFonts w:ascii="IRNazanin" w:hAnsi="IRNazanin" w:eastAsia="IRNazanin" w:cs="IRNazanin"/>
          <w:lang w:bidi="fa-IR"/>
          <w:color w:val="111111"/>
          <w:sz w:val="28"/>
          <w:szCs w:val="28"/>
          <w:rtl/>
        </w:rPr>
        <w:t xml:space="preserve">الأسترآبادی المولد و المنشا. و هاجر فی شبابه إلی هرات إلی شهادته بها بجرم التشیع. و اسمه المولی نور الدین المتخلص بهلالی کما یظهر من ج 3 من حبیب السیر. و فی بعض نسخ منظوماته بدر الدین. و ترجمه المیر علی شیر فی مجالس النفائس و ذکر مطلع غزله و أطری قوة حافظته و فهمه و حسن طبعه و دعا له و حثه علی تحصیل الکمال. قال فی لطائف‏نامه إنه استجیب دعاء المیر فی حقه و مهر فی أصناف الشعر، فجمع دیوانه و نظم مثنویات أخر: 1- لیلی و مجنون 2- شاه‏
</w:t>
      </w:r>
    </w:p>
    <w:p>
      <w:pPr>
        <w:sectPr>
          <w:footerReference w:type="default" r:id="rId1303"/>
          <w:footnotePr>
            <w:numStart w:val="1"/>
            <w:numRestart w:val="eachPage"/>
          </w:footnotePr>
          <w:pgSz w:orient="portrait" w:w="11905.511811023622" w:h="16837.79527559055"/>
          <w:pgMar w:top="1440" w:right="1440" w:bottom="1440" w:left="1440" w:header="720" w:footer="720" w:gutter="0"/>
          <w:cols w:num="1" w:space="720"/>
        </w:sectPr>
      </w:pPr>
    </w:p>
    <w:bookmarkStart w:id="1278" w:name="pg11704_122832"/>
    <w:bookmarkEnd w:id="1278"/>
    <w:p>
      <w:pPr>
        <w:pStyle w:val="BookText"/>
      </w:pPr>
      <w:r>
        <w:rPr>
          <w:rFonts w:ascii="IRNazanin" w:hAnsi="IRNazanin" w:eastAsia="IRNazanin" w:cs="IRNazanin"/>
          <w:lang w:bidi="fa-IR"/>
          <w:color w:val="111111"/>
          <w:sz w:val="28"/>
          <w:szCs w:val="28"/>
          <w:rtl/>
        </w:rPr>
        <w:t xml:space="preserve">و درویش 3- صفات العاشقین و أورد نموذجا من کل واحد. منها. و أورد فی مجمع الفصحاء قرب خمسین بیتا من غزلیاته و رباعیاته. و نسخه دیوان غزلیاته الفارسیة المرتبة علی حروف القافیة مذهبة منقحة ناقصة الآخر تشتمل علی تسعمائة و أربعة و ثمانین بیتا فی مکتبة التاجر الفاضل الآقا جعفر (سلطان القرائی) التبریزی کما کتبه إلینا فی فهرسها من کتابه القرن العاشر و قرب عصر الناظم و بسط القول فی ترجمته و نقل أشعاره سام میرزا فی (تس 5- ص 90- 94) و صرح بکثیر مما ذکرناه فلا نکرره.</w:t>
      </w:r>
    </w:p>
    <w:p>
      <w:pPr>
        <w:pStyle w:val="BookText"/>
      </w:pPr>
      <w:r>
        <w:rPr>
          <w:rFonts w:ascii="IRNazanin" w:hAnsi="IRNazanin" w:eastAsia="IRNazanin" w:cs="IRNazanin"/>
          <w:lang w:bidi="fa-IR"/>
          <w:color w:val="111111"/>
          <w:sz w:val="28"/>
          <w:szCs w:val="28"/>
          <w:rtl/>
        </w:rPr>
        <w:t xml:space="preserve">و ترجمه أیضا فی (خز- ص 456) و من بعض مقاطیعه قوله:</w:t>
      </w:r>
    </w:p>
    <w:p>
      <w:pPr>
        <w:pStyle w:val="BookText"/>
      </w:pPr>
      <w:r>
        <w:rPr>
          <w:rFonts w:ascii="IRNazanin" w:hAnsi="IRNazanin" w:eastAsia="IRNazanin" w:cs="IRNazanin"/>
          <w:lang w:bidi="fa-IR"/>
          <w:color w:val="111111"/>
          <w:sz w:val="28"/>
          <w:szCs w:val="28"/>
          <w:rtl/>
        </w:rPr>
        <w:t xml:space="preserve">محمد عربی کابروی هر دو سراست‏</w:t>
      </w:r>
    </w:p>
    <w:p>
      <w:pPr>
        <w:pStyle w:val="BookText"/>
      </w:pPr>
      <w:r>
        <w:rPr>
          <w:rFonts w:ascii="IRNazanin" w:hAnsi="IRNazanin" w:eastAsia="IRNazanin" w:cs="IRNazanin"/>
          <w:lang w:bidi="fa-IR"/>
          <w:color w:val="111111"/>
          <w:sz w:val="28"/>
          <w:szCs w:val="28"/>
          <w:rtl/>
        </w:rPr>
        <w:t xml:space="preserve">کسی که خاک درش نیست، خاک بر سر أو</w:t>
      </w:r>
    </w:p>
    <w:p>
      <w:pPr>
        <w:pStyle w:val="BookText"/>
      </w:pPr>
      <w:r>
        <w:rPr>
          <w:rFonts w:ascii="IRNazanin" w:hAnsi="IRNazanin" w:eastAsia="IRNazanin" w:cs="IRNazanin"/>
          <w:lang w:bidi="fa-IR"/>
          <w:color w:val="111111"/>
          <w:sz w:val="28"/>
          <w:szCs w:val="28"/>
          <w:rtl/>
        </w:rPr>
        <w:t xml:space="preserve">شنیده‏ام که تکلم نمود همچو مسیح‏</w:t>
      </w:r>
    </w:p>
    <w:p>
      <w:pPr>
        <w:pStyle w:val="BookText"/>
      </w:pPr>
      <w:r>
        <w:rPr>
          <w:rFonts w:ascii="IRNazanin" w:hAnsi="IRNazanin" w:eastAsia="IRNazanin" w:cs="IRNazanin"/>
          <w:lang w:bidi="fa-IR"/>
          <w:color w:val="111111"/>
          <w:sz w:val="28"/>
          <w:szCs w:val="28"/>
          <w:rtl/>
        </w:rPr>
        <w:t xml:space="preserve">بدین حدیث لب لعل روح‏پرور أو</w:t>
      </w:r>
    </w:p>
    <w:p>
      <w:pPr>
        <w:pStyle w:val="BookText"/>
      </w:pPr>
      <w:r>
        <w:rPr>
          <w:rFonts w:ascii="IRNazanin" w:hAnsi="IRNazanin" w:eastAsia="IRNazanin" w:cs="IRNazanin"/>
          <w:lang w:bidi="fa-IR"/>
          <w:color w:val="111111"/>
          <w:sz w:val="28"/>
          <w:szCs w:val="28"/>
          <w:rtl/>
        </w:rPr>
        <w:t xml:space="preserve">که من مدینه علمم علی درست مرا</w:t>
      </w:r>
    </w:p>
    <w:p>
      <w:pPr>
        <w:pStyle w:val="BookText"/>
      </w:pPr>
      <w:r>
        <w:rPr>
          <w:rFonts w:ascii="IRNazanin" w:hAnsi="IRNazanin" w:eastAsia="IRNazanin" w:cs="IRNazanin"/>
          <w:lang w:bidi="fa-IR"/>
          <w:color w:val="111111"/>
          <w:sz w:val="28"/>
          <w:szCs w:val="28"/>
          <w:rtl/>
        </w:rPr>
        <w:t xml:space="preserve">عجب خجسته حدیثی است، من سک در أو</w:t>
      </w:r>
    </w:p>
    <w:p>
      <w:pPr>
        <w:pStyle w:val="BookText"/>
      </w:pPr>
      <w:r>
        <w:rPr>
          <w:rFonts w:ascii="IRNazanin" w:hAnsi="IRNazanin" w:eastAsia="IRNazanin" w:cs="IRNazanin"/>
          <w:lang w:bidi="fa-IR"/>
          <w:color w:val="111111"/>
          <w:sz w:val="28"/>
          <w:szCs w:val="28"/>
          <w:rtl/>
        </w:rPr>
        <w:t xml:space="preserve">قتله عبد الله خان أوزبک فی چهار سو بهراة فی 936 أو 931 کما فی شاهد صادق أو 935 کما ذکره براون فی 4: 65 و 3: 520 نقلا عن بابرنامه و ترجم فی (تش- ص 23) و روضة صفویة و (حسینی- 364) و (خوش‏گو) و هفت إقلیم و (روشن- ص 778) و مجلة یادگار. یوجد نسخ من دیوانه عند (فخر الدین) و (بنگاله) و (الملیة- 290 ف) کتبت فی 979 و یوجد شاه و درویش فی (الملیة- 567 ف) و (الملک) و طبع مع سحر حلال و جم و گل لأهلی فی تبریز 1331 ثم بتصحیح حسین کوهی کرمانی بطهران فی 1365 و یوجد صفات العاشقین عند (فخر الدین) و (الملک) و طبع بطهران مع مقدمه لعباس إقبال الآشتیانی و تصحیح حسین کوهی کرمانی فی 1364 و طبع دیوانه مع المثنویان المذکوران فی 334 ص.</w:t>
      </w:r>
    </w:p>
    <w:p>
      <w:pPr>
        <w:pStyle w:val="BookText"/>
      </w:pPr>
      <w:r>
        <w:rPr>
          <w:rFonts w:ascii="IRNazanin" w:hAnsi="IRNazanin" w:eastAsia="IRNazanin" w:cs="IRNazanin"/>
          <w:lang w:bidi="fa-IR"/>
          <w:color w:val="111111"/>
          <w:sz w:val="28"/>
          <w:szCs w:val="28"/>
          <w:rtl/>
        </w:rPr>
        <w:t xml:space="preserve">بطهران فی 1374 و کان قد طبع بلکهنو فی 1847 م. و کانپور 1873 م. و إیران فی 1313 بتصحیح محمد حسین طوبی کاشانی و قال إسماعیل پاشا فی ذیل کشف الظنون تحت عنوان تحفه الأهالی فی قصة الهلالی إنه فارسی لمحمود بن محمد الکلامی الهروی، ألفه فی أحواله بعد رجوعه إلی القدس للقاضی علی أفندی و فیه تراجم رجال شعراء أیضا.</w:t>
      </w:r>
    </w:p>
    <w:p>
      <w:pPr>
        <w:pStyle w:val="Heading3"/>
      </w:pPr>
      <w:bookmarkStart w:id="10960" w:name="_Toc9656"/>
      <w:r>
        <w:t>8301- دیوان هلالی سبزواری أو شعره‏</w:t>
      </w:r>
      <w:bookmarkEnd w:id="10960"/>
    </w:p>
    <w:p>
      <w:pPr>
        <w:pStyle w:val="BookText"/>
      </w:pPr>
      <w:r>
        <w:rPr>
          <w:rFonts w:ascii="IRNazanin" w:hAnsi="IRNazanin" w:eastAsia="IRNazanin" w:cs="IRNazanin"/>
          <w:lang w:bidi="fa-IR"/>
          <w:color w:val="111111"/>
          <w:sz w:val="28"/>
          <w:szCs w:val="28"/>
          <w:rtl/>
        </w:rPr>
        <w:t xml:space="preserve">ورد شعره فی (گلشن- ص 607).
</w:t>
      </w:r>
    </w:p>
    <w:p>
      <w:pPr>
        <w:sectPr>
          <w:footerReference w:type="default" r:id="rId1304"/>
          <w:footnotePr>
            <w:numStart w:val="1"/>
            <w:numRestart w:val="eachPage"/>
          </w:footnotePr>
          <w:pgSz w:orient="portrait" w:w="11905.511811023622" w:h="16837.79527559055"/>
          <w:pgMar w:top="1440" w:right="1440" w:bottom="1440" w:left="1440" w:header="720" w:footer="720" w:gutter="0"/>
          <w:cols w:num="1" w:space="720"/>
        </w:sectPr>
      </w:pPr>
    </w:p>
    <w:bookmarkStart w:id="1279" w:name="pg11704_122834"/>
    <w:bookmarkEnd w:id="1279"/>
    <w:p>
      <w:pPr>
        <w:pStyle w:val="Heading3"/>
      </w:pPr>
      <w:bookmarkStart w:id="10961" w:name="_Toc9657"/>
      <w:r>
        <w:t>دیوان هلالی شیرازی‏</w:t>
      </w:r>
      <w:bookmarkEnd w:id="10961"/>
    </w:p>
    <w:p>
      <w:pPr>
        <w:pStyle w:val="BookText"/>
      </w:pPr>
      <w:r>
        <w:rPr>
          <w:rFonts w:ascii="IRNazanin" w:hAnsi="IRNazanin" w:eastAsia="IRNazanin" w:cs="IRNazanin"/>
          <w:lang w:bidi="fa-IR"/>
          <w:color w:val="111111"/>
          <w:sz w:val="28"/>
          <w:szCs w:val="28"/>
          <w:rtl/>
        </w:rPr>
        <w:t xml:space="preserve">راجع هلالی جغتائی و هلالی ترک.</w:t>
      </w:r>
    </w:p>
    <w:p>
      <w:pPr>
        <w:pStyle w:val="Heading3"/>
      </w:pPr>
      <w:bookmarkStart w:id="10962" w:name="_Toc9658"/>
      <w:r>
        <w:t>8302- دیوان هلالی قزوینی أو شعره‏</w:t>
      </w:r>
      <w:bookmarkEnd w:id="10962"/>
    </w:p>
    <w:p>
      <w:pPr>
        <w:pStyle w:val="BookText"/>
      </w:pPr>
      <w:r>
        <w:rPr>
          <w:rFonts w:ascii="IRNazanin" w:hAnsi="IRNazanin" w:eastAsia="IRNazanin" w:cs="IRNazanin"/>
          <w:lang w:bidi="fa-IR"/>
          <w:color w:val="111111"/>
          <w:sz w:val="28"/>
          <w:szCs w:val="28"/>
          <w:rtl/>
        </w:rPr>
        <w:t xml:space="preserve">ورد شعره فی همیشه بهار و ریاض الجنة للزنوزی.</w:t>
      </w:r>
    </w:p>
    <w:p>
      <w:pPr>
        <w:pStyle w:val="Heading3"/>
      </w:pPr>
      <w:bookmarkStart w:id="10963" w:name="_Toc9659"/>
      <w:r>
        <w:t>8303- دیوان هلالی قاجار أو شعرها</w:t>
      </w:r>
      <w:bookmarkEnd w:id="10963"/>
    </w:p>
    <w:p>
      <w:pPr>
        <w:pStyle w:val="BookText"/>
      </w:pPr>
      <w:r>
        <w:rPr>
          <w:rFonts w:ascii="IRNazanin" w:hAnsi="IRNazanin" w:eastAsia="IRNazanin" w:cs="IRNazanin"/>
          <w:lang w:bidi="fa-IR"/>
          <w:color w:val="111111"/>
          <w:sz w:val="28"/>
          <w:szCs w:val="28"/>
          <w:rtl/>
        </w:rPr>
        <w:t xml:space="preserve">و اسمها هلال بنت محمد تقی میرزا و زوجة الله‏یار قاجار آصف الدولة ورد شعرها فی از رابعة تا پروین- ص 263 نقلا عن نقل مجلس.</w:t>
      </w:r>
    </w:p>
    <w:p>
      <w:pPr>
        <w:pStyle w:val="Heading3"/>
      </w:pPr>
      <w:bookmarkStart w:id="10964" w:name="_Toc9660"/>
      <w:r>
        <w:t>8304- دیوان هلالی هروی أو شعره‏</w:t>
      </w:r>
      <w:bookmarkEnd w:id="10964"/>
    </w:p>
    <w:p>
      <w:pPr>
        <w:pStyle w:val="BookText"/>
      </w:pPr>
      <w:r>
        <w:rPr>
          <w:rFonts w:ascii="IRNazanin" w:hAnsi="IRNazanin" w:eastAsia="IRNazanin" w:cs="IRNazanin"/>
          <w:lang w:bidi="fa-IR"/>
          <w:color w:val="111111"/>
          <w:sz w:val="28"/>
          <w:szCs w:val="28"/>
          <w:rtl/>
        </w:rPr>
        <w:t xml:space="preserve">ورد شعره فی (مجن 2- ص 53 و 226) و فی بعض النسخ بلالی.</w:t>
      </w:r>
    </w:p>
    <w:p>
      <w:pPr>
        <w:pStyle w:val="Heading3"/>
      </w:pPr>
      <w:bookmarkStart w:id="10965" w:name="_Toc9661"/>
      <w:r>
        <w:t>دیوان هلالی هروی‏</w:t>
      </w:r>
      <w:bookmarkEnd w:id="10965"/>
    </w:p>
    <w:p>
      <w:pPr>
        <w:pStyle w:val="BookText"/>
      </w:pPr>
      <w:r>
        <w:rPr>
          <w:rFonts w:ascii="IRNazanin" w:hAnsi="IRNazanin" w:eastAsia="IRNazanin" w:cs="IRNazanin"/>
          <w:lang w:bidi="fa-IR"/>
          <w:color w:val="111111"/>
          <w:sz w:val="28"/>
          <w:szCs w:val="28"/>
          <w:rtl/>
        </w:rPr>
        <w:t xml:space="preserve">کما فی (قز مج 3- ص 253) راجع هلاکی هروی.</w:t>
      </w:r>
    </w:p>
    <w:p>
      <w:pPr>
        <w:pStyle w:val="Heading3"/>
      </w:pPr>
      <w:bookmarkStart w:id="10966" w:name="_Toc9662"/>
      <w:r>
        <w:t>8305- دیوان همام تبریزی‏</w:t>
      </w:r>
      <w:bookmarkEnd w:id="10966"/>
    </w:p>
    <w:p>
      <w:pPr>
        <w:pStyle w:val="BookText"/>
      </w:pPr>
      <w:r>
        <w:rPr>
          <w:rFonts w:ascii="IRNazanin" w:hAnsi="IRNazanin" w:eastAsia="IRNazanin" w:cs="IRNazanin"/>
          <w:lang w:bidi="fa-IR"/>
          <w:color w:val="111111"/>
          <w:sz w:val="28"/>
          <w:szCs w:val="28"/>
          <w:rtl/>
        </w:rPr>
        <w:t xml:space="preserve">و هو الخواجة همام الدین من علماء الدین و من أعاظم تبریز و تلمیذ الخواجة الطوسی و مصاحب السعدی الشیرازی و توفی 714 کما فی شاهد صادق ترجمه المستوفی فی تاریخ گزیده- ص 827 و (لت) و هفت إقلیم و (خیال- ص 43) و (خوش‏گو) و (مسرت- ص 153) و (مغول- ص 544) و (مع 1: 656) و (ض- ص 237) و (روشن- 778) و المستر براون 3: 166 و (دجا- ص 396) و مجلة دانشکده أدبیات تبریز 3: 36 و فی (بهش 1: 349) أورد له:</w:t>
      </w:r>
    </w:p>
    <w:p>
      <w:pPr>
        <w:pStyle w:val="BookText"/>
      </w:pPr>
      <w:r>
        <w:rPr>
          <w:rFonts w:ascii="IRNazanin" w:hAnsi="IRNazanin" w:eastAsia="IRNazanin" w:cs="IRNazanin"/>
          <w:lang w:bidi="fa-IR"/>
          <w:color w:val="111111"/>
          <w:sz w:val="28"/>
          <w:szCs w:val="28"/>
          <w:rtl/>
        </w:rPr>
        <w:t xml:space="preserve">همام را سخنی دلپذیر و شیرین است‏</w:t>
      </w:r>
    </w:p>
    <w:p>
      <w:pPr>
        <w:pStyle w:val="BookText"/>
      </w:pPr>
      <w:r>
        <w:rPr>
          <w:rFonts w:ascii="IRNazanin" w:hAnsi="IRNazanin" w:eastAsia="IRNazanin" w:cs="IRNazanin"/>
          <w:lang w:bidi="fa-IR"/>
          <w:color w:val="111111"/>
          <w:sz w:val="28"/>
          <w:szCs w:val="28"/>
          <w:rtl/>
        </w:rPr>
        <w:t xml:space="preserve">ولی چه سود که بیچاره نیست شیرازی‏</w:t>
      </w:r>
    </w:p>
    <w:p>
      <w:pPr>
        <w:pStyle w:val="BookText"/>
      </w:pPr>
      <w:r>
        <w:rPr>
          <w:rFonts w:ascii="IRNazanin" w:hAnsi="IRNazanin" w:eastAsia="IRNazanin" w:cs="IRNazanin"/>
          <w:lang w:bidi="fa-IR"/>
          <w:color w:val="111111"/>
          <w:sz w:val="28"/>
          <w:szCs w:val="28"/>
          <w:rtl/>
        </w:rPr>
        <w:t xml:space="preserve">طبع منتخب دیوانه بتبریز 1349 فی 20 ص. ثم بتصحیح مؤید ثابتی بطهران 1373 فی 64 ص.</w:t>
      </w:r>
    </w:p>
    <w:p>
      <w:pPr>
        <w:pStyle w:val="Heading3"/>
      </w:pPr>
      <w:bookmarkStart w:id="10967" w:name="_Toc9663"/>
      <w:r>
        <w:t>8306- دیوان همام یزدی أو شعره‏</w:t>
      </w:r>
      <w:bookmarkEnd w:id="10967"/>
    </w:p>
    <w:p>
      <w:pPr>
        <w:pStyle w:val="BookText"/>
      </w:pPr>
      <w:r>
        <w:rPr>
          <w:rFonts w:ascii="IRNazanin" w:hAnsi="IRNazanin" w:eastAsia="IRNazanin" w:cs="IRNazanin"/>
          <w:lang w:bidi="fa-IR"/>
          <w:color w:val="111111"/>
          <w:sz w:val="28"/>
          <w:szCs w:val="28"/>
          <w:rtl/>
        </w:rPr>
        <w:t xml:space="preserve">ترجم فی (نر 5- ص 146) و ذکر أنه فی لبس الدراویش و عنه أخذ فی (تش یز- ص 350).</w:t>
      </w:r>
    </w:p>
    <w:p>
      <w:pPr>
        <w:pStyle w:val="Heading3"/>
      </w:pPr>
      <w:bookmarkStart w:id="10968" w:name="_Toc9664"/>
      <w:r>
        <w:t>دیوان همای أصفهانی‏</w:t>
      </w:r>
      <w:bookmarkEnd w:id="10968"/>
    </w:p>
    <w:p>
      <w:pPr>
        <w:pStyle w:val="BookText"/>
      </w:pPr>
      <w:r>
        <w:rPr>
          <w:rFonts w:ascii="IRNazanin" w:hAnsi="IRNazanin" w:eastAsia="IRNazanin" w:cs="IRNazanin"/>
          <w:lang w:bidi="fa-IR"/>
          <w:color w:val="111111"/>
          <w:sz w:val="28"/>
          <w:szCs w:val="28"/>
          <w:rtl/>
        </w:rPr>
        <w:t xml:space="preserve">راجع همای شیرازی.</w:t>
      </w:r>
    </w:p>
    <w:p>
      <w:pPr>
        <w:pStyle w:val="Heading3"/>
      </w:pPr>
      <w:bookmarkStart w:id="10969" w:name="_Toc9665"/>
      <w:r>
        <w:t>8307- دیوان همای شیرازی‏</w:t>
      </w:r>
      <w:bookmarkEnd w:id="10969"/>
    </w:p>
    <w:p>
      <w:pPr>
        <w:pStyle w:val="BookText"/>
      </w:pPr>
      <w:r>
        <w:rPr>
          <w:rFonts w:ascii="IRNazanin" w:hAnsi="IRNazanin" w:eastAsia="IRNazanin" w:cs="IRNazanin"/>
          <w:lang w:bidi="fa-IR"/>
          <w:color w:val="111111"/>
          <w:sz w:val="28"/>
          <w:szCs w:val="28"/>
          <w:rtl/>
        </w:rPr>
        <w:t xml:space="preserve">کان اسمه محمد رضا قلی‏</w:t>
      </w:r>
      <w:r>
        <w:rPr>
          <w:rStyle w:val="FootnoteReference"/>
        </w:rPr>
        <w:footnoteReference w:id="100"/>
      </w:r>
      <w:r>
        <w:rPr>
          <w:rFonts w:ascii="IRNazanin" w:hAnsi="IRNazanin" w:eastAsia="IRNazanin" w:cs="IRNazanin"/>
          <w:lang w:bidi="fa-IR"/>
          <w:color w:val="111111"/>
          <w:sz w:val="28"/>
          <w:szCs w:val="28"/>
          <w:rtl/>
        </w:rPr>
        <w:t xml:space="preserve">فبدله إلی محمد رضا و هو ابن بدیع خان المدفون بإمام‏زاده أحمد قرب مسجد شاه بأصفهان. ولد 1212
</w:t>
      </w:r>
    </w:p>
    <w:p>
      <w:pPr>
        <w:sectPr>
          <w:footerReference w:type="default" r:id="rId1305"/>
          <w:footnotePr>
            <w:numStart w:val="1"/>
            <w:numRestart w:val="eachPage"/>
          </w:footnotePr>
          <w:pgSz w:orient="portrait" w:w="11905.511811023622" w:h="16837.79527559055"/>
          <w:pgMar w:top="1440" w:right="1440" w:bottom="1440" w:left="1440" w:header="720" w:footer="720" w:gutter="0"/>
          <w:cols w:num="1" w:space="720"/>
        </w:sectPr>
      </w:pPr>
    </w:p>
    <w:bookmarkStart w:id="1280" w:name="pg11704_122836"/>
    <w:bookmarkEnd w:id="1280"/>
    <w:p>
      <w:pPr>
        <w:pStyle w:val="BookText"/>
      </w:pPr>
      <w:r>
        <w:rPr>
          <w:rFonts w:ascii="IRNazanin" w:hAnsi="IRNazanin" w:eastAsia="IRNazanin" w:cs="IRNazanin"/>
          <w:lang w:bidi="fa-IR"/>
          <w:color w:val="111111"/>
          <w:sz w:val="28"/>
          <w:szCs w:val="28"/>
          <w:rtl/>
        </w:rPr>
        <w:t xml:space="preserve">و توفی یوم الخمیس 12 ع 1- 1290 و هو والد الشعراء: سها و طرب و عنقا المذکورین فی محلهم. طبع دیوانه بطهران فی 1320 فی 438 ص. فیها 18000 بیت، و اسمه شکرستان بقطع کبیر مع مقدمه فی أحواله. و طبع له تقریظ علی فرهنگ خداپرستی فی 1281 ترجم فی (فارس‏نامه 2: 152) و مدائح معتمدیة.</w:t>
      </w:r>
    </w:p>
    <w:p>
      <w:pPr>
        <w:pStyle w:val="Heading3"/>
      </w:pPr>
      <w:bookmarkStart w:id="10970" w:name="_Toc9666"/>
      <w:r>
        <w:t>8308- دیوان همای کشمیری أو شعره‏</w:t>
      </w:r>
      <w:bookmarkEnd w:id="10970"/>
    </w:p>
    <w:p>
      <w:pPr>
        <w:pStyle w:val="BookText"/>
      </w:pPr>
      <w:r>
        <w:rPr>
          <w:rFonts w:ascii="IRNazanin" w:hAnsi="IRNazanin" w:eastAsia="IRNazanin" w:cs="IRNazanin"/>
          <w:lang w:bidi="fa-IR"/>
          <w:color w:val="111111"/>
          <w:sz w:val="28"/>
          <w:szCs w:val="28"/>
          <w:rtl/>
        </w:rPr>
        <w:t xml:space="preserve">و هو المولوی عطاء الله. ورد شعره فی (گلشن- ص 607).</w:t>
      </w:r>
    </w:p>
    <w:p>
      <w:pPr>
        <w:pStyle w:val="Heading3"/>
      </w:pPr>
      <w:bookmarkStart w:id="10971" w:name="_Toc9667"/>
      <w:r>
        <w:t>8309- دیوان همای مروزی‏</w:t>
      </w:r>
      <w:bookmarkEnd w:id="10971"/>
    </w:p>
    <w:p>
      <w:pPr>
        <w:pStyle w:val="BookText"/>
      </w:pPr>
      <w:r>
        <w:rPr>
          <w:rFonts w:ascii="IRNazanin" w:hAnsi="IRNazanin" w:eastAsia="IRNazanin" w:cs="IRNazanin"/>
          <w:lang w:bidi="fa-IR"/>
          <w:color w:val="111111"/>
          <w:sz w:val="28"/>
          <w:szCs w:val="28"/>
          <w:rtl/>
        </w:rPr>
        <w:t xml:space="preserve">و اسمه المیرزا محمد صادق من مرو شاه‏جهان. اشتغل بتحصیل العلوم فی مشهد خراسان فی صحبة الحاج محمد حسین خان فخر الدولة المروی الذی بنی المدرسة المشهورة فی طهران بمدرسة خان المروی. ثم زار العراق، ثم توطن بکاشان، ثم جاور بلدة قم مدة. ثم نزل طهران و تقرب إلی فتح علی شاه و بأمره ألف تاریخ جهان‏آرا المذکور فی ج 3 ص 247 و لقبه السلطان ببدائع‏نگار و بعد وفاته لقب ولده المیرزا محمد جعفر بهذا اللقب. و یأتی له مدائح الخاقان الموسوم أیضا زینة المدائح الموجود فی (الرضویة) و قد أورد فی (مع ج 2 ص 572- 579) قرب أربعمائة و خمسین بیتا من شعره. و ترجم فی (انجمن 3) و المدائح المعتمدیة.</w:t>
      </w:r>
    </w:p>
    <w:p>
      <w:pPr>
        <w:pStyle w:val="Heading3"/>
      </w:pPr>
      <w:bookmarkStart w:id="10972" w:name="_Toc9668"/>
      <w:r>
        <w:t>8310- دیوان همایون أسترآبادی أو شعره‏</w:t>
      </w:r>
      <w:bookmarkEnd w:id="10972"/>
    </w:p>
    <w:p>
      <w:pPr>
        <w:pStyle w:val="BookText"/>
      </w:pPr>
      <w:r>
        <w:rPr>
          <w:rFonts w:ascii="IRNazanin" w:hAnsi="IRNazanin" w:eastAsia="IRNazanin" w:cs="IRNazanin"/>
          <w:lang w:bidi="fa-IR"/>
          <w:color w:val="111111"/>
          <w:sz w:val="28"/>
          <w:szCs w:val="28"/>
          <w:rtl/>
        </w:rPr>
        <w:t xml:space="preserve">ورد شعره فی (گلشن- ص 607)</w:t>
      </w:r>
    </w:p>
    <w:p>
      <w:pPr>
        <w:pStyle w:val="Heading3"/>
      </w:pPr>
      <w:bookmarkStart w:id="10973" w:name="_Toc9669"/>
      <w:r>
        <w:t>8311- دیوان همایون أسفراینی‏</w:t>
      </w:r>
      <w:bookmarkEnd w:id="10973"/>
    </w:p>
    <w:p>
      <w:pPr>
        <w:pStyle w:val="BookText"/>
      </w:pPr>
      <w:r>
        <w:rPr>
          <w:rFonts w:ascii="IRNazanin" w:hAnsi="IRNazanin" w:eastAsia="IRNazanin" w:cs="IRNazanin"/>
          <w:lang w:bidi="fa-IR"/>
          <w:color w:val="111111"/>
          <w:sz w:val="28"/>
          <w:szCs w:val="28"/>
          <w:rtl/>
        </w:rPr>
        <w:t xml:space="preserve">و هو الأمیر همایون ذهب من أسفراین إلی تبریز و عشق ولی بیک من متعلقی السلطان یعقوب و لما کشف سره ابتلی بالجنون و عولج فی المستشفی و برأ فصار بعده من ندماء السلطان و بعد موت السلطان و قتل القاضی عیسی المذکور فی ص 778 هاجر ولی بیک من تبریز إلی قم و کان همایون معه فی قم إلی أن توفی بها فی 902 ترجمه الهروی فی (مجتس 2: ص 139) و القزوینی فی (قز مج 6: ص 303) فی حاشیة نسخه الهروی نقل عن تحفه سامی قصة غرامه و جنونه و إنه مدفون بقریة أرمک بین قم و کاشان و نقل شعره عن دیوانه و لکنا لم نجد ذلک فی المطبوع من تحفه سامی و ترجم أیضا فی هفت إقلیم و (تش- ص 66) و (حسینی- ص 369) و (مع 2: 55) و (روشن- ص 783) و (نتایج- ص 778)
</w:t>
      </w:r>
    </w:p>
    <w:p>
      <w:pPr>
        <w:sectPr>
          <w:footerReference w:type="default" r:id="rId1306"/>
          <w:footnotePr>
            <w:numStart w:val="1"/>
            <w:numRestart w:val="eachPage"/>
          </w:footnotePr>
          <w:pgSz w:orient="portrait" w:w="11905.511811023622" w:h="16837.79527559055"/>
          <w:pgMar w:top="1440" w:right="1440" w:bottom="1440" w:left="1440" w:header="720" w:footer="720" w:gutter="0"/>
          <w:cols w:num="1" w:space="720"/>
        </w:sectPr>
      </w:pPr>
    </w:p>
    <w:bookmarkStart w:id="1281" w:name="pg11704_122837"/>
    <w:bookmarkEnd w:id="1281"/>
    <w:p>
      <w:pPr>
        <w:pStyle w:val="BookText"/>
      </w:pPr>
      <w:r>
        <w:rPr>
          <w:rFonts w:ascii="IRNazanin" w:hAnsi="IRNazanin" w:eastAsia="IRNazanin" w:cs="IRNazanin"/>
          <w:lang w:bidi="fa-IR"/>
          <w:color w:val="111111"/>
          <w:sz w:val="28"/>
          <w:szCs w:val="28"/>
          <w:rtl/>
        </w:rPr>
        <w:t xml:space="preserve">یوجد الدیوان فی (سپهسالار- 279) ضمن مجموعة أربعة دواوین هی لکاتبی و شاهی و همایون و أهلی خراسانی کما فی فهرسها 2: 571 و 704 و نسخه أخری فی (الملیة- 290) و یشتمل علی 900 بیت و أخری فی (المجلس) و الوطنیة بتبریز کتبت فی 980 و قد تتبعه ضمیری الأصفهانی کما مر فی ج 7 ص 261 و قد وقع فی (تش- ص 66 و ص 16) خلط بین أشعار هذا الشاعر و أشعار صالح جغتائی کما مر فی ص 588</w:t>
      </w:r>
    </w:p>
    <w:p>
      <w:pPr>
        <w:pStyle w:val="Heading3"/>
      </w:pPr>
      <w:bookmarkStart w:id="10974" w:name="_Toc9670"/>
      <w:r>
        <w:t>دیوان همایون بابر</w:t>
      </w:r>
      <w:bookmarkEnd w:id="10974"/>
    </w:p>
    <w:p>
      <w:pPr>
        <w:pStyle w:val="BookText"/>
      </w:pPr>
      <w:r>
        <w:rPr>
          <w:rFonts w:ascii="IRNazanin" w:hAnsi="IRNazanin" w:eastAsia="IRNazanin" w:cs="IRNazanin"/>
          <w:lang w:bidi="fa-IR"/>
          <w:color w:val="111111"/>
          <w:sz w:val="28"/>
          <w:szCs w:val="28"/>
          <w:rtl/>
        </w:rPr>
        <w:t xml:space="preserve">راجع همایون پادشاه‏</w:t>
      </w:r>
    </w:p>
    <w:p>
      <w:pPr>
        <w:pStyle w:val="Heading3"/>
      </w:pPr>
      <w:bookmarkStart w:id="10975" w:name="_Toc9671"/>
      <w:r>
        <w:t>8312- دیوان همایون بروجردی‏</w:t>
      </w:r>
      <w:bookmarkEnd w:id="10975"/>
    </w:p>
    <w:p>
      <w:pPr>
        <w:pStyle w:val="BookText"/>
      </w:pPr>
      <w:r>
        <w:rPr>
          <w:rFonts w:ascii="IRNazanin" w:hAnsi="IRNazanin" w:eastAsia="IRNazanin" w:cs="IRNazanin"/>
          <w:lang w:bidi="fa-IR"/>
          <w:color w:val="111111"/>
          <w:sz w:val="28"/>
          <w:szCs w:val="28"/>
          <w:rtl/>
        </w:rPr>
        <w:t xml:space="preserve">نسخه منه فی المکتبة الوطنیة بتبریز</w:t>
      </w:r>
    </w:p>
    <w:p>
      <w:pPr>
        <w:pStyle w:val="Heading3"/>
      </w:pPr>
      <w:bookmarkStart w:id="10976" w:name="_Toc9672"/>
      <w:r>
        <w:t>8313- دیوان همایون پادشاه‏</w:t>
      </w:r>
      <w:bookmarkEnd w:id="10976"/>
    </w:p>
    <w:p>
      <w:pPr>
        <w:pStyle w:val="BookText"/>
      </w:pPr>
      <w:r>
        <w:rPr>
          <w:rFonts w:ascii="IRNazanin" w:hAnsi="IRNazanin" w:eastAsia="IRNazanin" w:cs="IRNazanin"/>
          <w:lang w:bidi="fa-IR"/>
          <w:color w:val="111111"/>
          <w:sz w:val="28"/>
          <w:szCs w:val="28"/>
          <w:rtl/>
        </w:rPr>
        <w:t xml:space="preserve">ابن بابر پادشاه بن عمر شیخ بن أبی سعید بن السلطان محمد بن میران شاه بن الأمیر تیمور الگورکانی جلس بعد والده بابر شاه علی سریر الملک من 937 إلی 962 فعارضه شیر خان فی 944 إلی أن کسر و فر من بلاده و لاذ إلی السلطان الشاه طهماسب فأمده و نصره حتی مکنه علی الملک ثانیا إلی 950 کذا ذکره سام میرزا فی (تس ص 16) و أطری فضائله و مهارته فی العلوم و لا سیما الحکمة و الریاضیات و أورد بعض شعره الفارسی و ترجمه الصادقی فی (خص 1- ص 13) و أطری فضله و حسن طبعه و شده حرصه علی اقتناء الکتب و تزیین مکتبته، و أورد رباعیته بالترکیة و ترجم فی (مع ج 1- ص 62) و أورد بعض تواریخ أحواله و حروبه و بعض شعره الکاشف عن حسن سریرته و ترجمه الهروی فی (مجتس 9- ص 175) و أورد مطلع غزله فی محبوبه المسمی بمقیم و ترجم فی (طبق 2: 27) و (تش- ص 24) و (مسرت- ص 257) و (حسینی- ص 363) و (خوش‏گو) و (روشن- ص 780) و همیشه بهار و مقالات الشعراء- ص 850</w:t>
      </w:r>
    </w:p>
    <w:p>
      <w:pPr>
        <w:pStyle w:val="Heading3"/>
      </w:pPr>
      <w:bookmarkStart w:id="10977" w:name="_Toc9673"/>
      <w:r>
        <w:t>دیوان همایون عراقی‏</w:t>
      </w:r>
      <w:bookmarkEnd w:id="10977"/>
    </w:p>
    <w:p>
      <w:pPr>
        <w:pStyle w:val="BookText"/>
      </w:pPr>
      <w:r>
        <w:rPr>
          <w:rFonts w:ascii="IRNazanin" w:hAnsi="IRNazanin" w:eastAsia="IRNazanin" w:cs="IRNazanin"/>
          <w:lang w:bidi="fa-IR"/>
          <w:color w:val="111111"/>
          <w:sz w:val="28"/>
          <w:szCs w:val="28"/>
          <w:rtl/>
        </w:rPr>
        <w:t xml:space="preserve">راجع همایون همدانی‏</w:t>
      </w:r>
    </w:p>
    <w:p>
      <w:pPr>
        <w:pStyle w:val="Heading3"/>
      </w:pPr>
      <w:bookmarkStart w:id="10978" w:name="_Toc9674"/>
      <w:r>
        <w:t>8314- دیوان همایون فریدنی‏</w:t>
      </w:r>
      <w:bookmarkEnd w:id="10978"/>
    </w:p>
    <w:p>
      <w:pPr>
        <w:pStyle w:val="BookText"/>
      </w:pPr>
      <w:r>
        <w:rPr>
          <w:rFonts w:ascii="IRNazanin" w:hAnsi="IRNazanin" w:eastAsia="IRNazanin" w:cs="IRNazanin"/>
          <w:lang w:bidi="fa-IR"/>
          <w:color w:val="111111"/>
          <w:sz w:val="28"/>
          <w:szCs w:val="28"/>
          <w:rtl/>
        </w:rPr>
        <w:t xml:space="preserve">نزیل أصفهان اسمه عبد العال و من أحفاد الشیخ نور الدین علی بن عبد العالی المحقق الکرکی ترجم فی (مع ج 2 ص 571) و ذکر أنه کان هجاء بذی اللسان و جرت بینه و بین محمد إبراهیم المتخلص رهی الأصفهانی مهاجاة مشهورة إلی أن قتل لیلا فی مضجعه لذلک، ثم ذکر بعض هجائه و ترجم‏
</w:t>
      </w:r>
    </w:p>
    <w:p>
      <w:pPr>
        <w:sectPr>
          <w:footerReference w:type="default" r:id="rId1307"/>
          <w:footnotePr>
            <w:numStart w:val="1"/>
            <w:numRestart w:val="eachPage"/>
          </w:footnotePr>
          <w:pgSz w:orient="portrait" w:w="11905.511811023622" w:h="16837.79527559055"/>
          <w:pgMar w:top="1440" w:right="1440" w:bottom="1440" w:left="1440" w:header="720" w:footer="720" w:gutter="0"/>
          <w:cols w:num="1" w:space="720"/>
        </w:sectPr>
      </w:pPr>
    </w:p>
    <w:bookmarkStart w:id="1282" w:name="pg11704_122839"/>
    <w:bookmarkEnd w:id="1282"/>
    <w:p>
      <w:pPr>
        <w:pStyle w:val="BookText"/>
      </w:pPr>
      <w:r>
        <w:rPr>
          <w:rFonts w:ascii="IRNazanin" w:hAnsi="IRNazanin" w:eastAsia="IRNazanin" w:cs="IRNazanin"/>
          <w:lang w:bidi="fa-IR"/>
          <w:color w:val="111111"/>
          <w:sz w:val="28"/>
          <w:szCs w:val="28"/>
          <w:rtl/>
        </w:rPr>
        <w:t xml:space="preserve">أیضا فی (انجمن 4) بعنوان همایون کرکی و کذا فی (طرائق 3- 112)</w:t>
      </w:r>
    </w:p>
    <w:p>
      <w:pPr>
        <w:pStyle w:val="Heading3"/>
      </w:pPr>
      <w:bookmarkStart w:id="10979" w:name="_Toc9675"/>
      <w:r>
        <w:t>دیوان همایون قاجار</w:t>
      </w:r>
      <w:bookmarkEnd w:id="10979"/>
    </w:p>
    <w:p>
      <w:pPr>
        <w:pStyle w:val="BookText"/>
      </w:pPr>
      <w:r>
        <w:rPr>
          <w:rFonts w:ascii="IRNazanin" w:hAnsi="IRNazanin" w:eastAsia="IRNazanin" w:cs="IRNazanin"/>
          <w:lang w:bidi="fa-IR"/>
          <w:color w:val="111111"/>
          <w:sz w:val="28"/>
          <w:szCs w:val="28"/>
          <w:rtl/>
        </w:rPr>
        <w:t xml:space="preserve">راجع حشمت فی ص 256 و قد توفی 1273 کما ذکر فی (مع 1: 22) و (انجمن 2)</w:t>
      </w:r>
    </w:p>
    <w:p>
      <w:pPr>
        <w:pStyle w:val="Heading3"/>
      </w:pPr>
      <w:bookmarkStart w:id="10980" w:name="_Toc9676"/>
      <w:r>
        <w:t>دیوان همایون کرکی‏</w:t>
      </w:r>
      <w:bookmarkEnd w:id="10980"/>
    </w:p>
    <w:p>
      <w:pPr>
        <w:pStyle w:val="BookText"/>
      </w:pPr>
      <w:r>
        <w:rPr>
          <w:rFonts w:ascii="IRNazanin" w:hAnsi="IRNazanin" w:eastAsia="IRNazanin" w:cs="IRNazanin"/>
          <w:lang w:bidi="fa-IR"/>
          <w:color w:val="111111"/>
          <w:sz w:val="28"/>
          <w:szCs w:val="28"/>
          <w:rtl/>
        </w:rPr>
        <w:t xml:space="preserve">راجع همایون فریدنی‏</w:t>
      </w:r>
    </w:p>
    <w:p>
      <w:pPr>
        <w:pStyle w:val="Heading3"/>
      </w:pPr>
      <w:bookmarkStart w:id="10981" w:name="_Toc9677"/>
      <w:r>
        <w:t>8315- دیوان همایون کرمانی‏</w:t>
      </w:r>
      <w:bookmarkEnd w:id="10981"/>
    </w:p>
    <w:p>
      <w:pPr>
        <w:pStyle w:val="BookText"/>
      </w:pPr>
      <w:r>
        <w:rPr>
          <w:rFonts w:ascii="IRNazanin" w:hAnsi="IRNazanin" w:eastAsia="IRNazanin" w:cs="IRNazanin"/>
          <w:lang w:bidi="fa-IR"/>
          <w:color w:val="111111"/>
          <w:sz w:val="28"/>
          <w:szCs w:val="28"/>
          <w:rtl/>
        </w:rPr>
        <w:t xml:space="preserve">و اسمه محمد همایون بن علی أکبر ولد بکرمان 1330 طبع له منتخب همایون فی 1357 بکرمان فی 151 ص و گلزار همایون فی 63 ص فی 1363 أیضا بکرمان ترجمه البرقعی فی (سخنوران 2: 277)</w:t>
      </w:r>
    </w:p>
    <w:p>
      <w:pPr>
        <w:pStyle w:val="Heading3"/>
      </w:pPr>
      <w:bookmarkStart w:id="10982" w:name="_Toc9678"/>
      <w:r>
        <w:t>8316- دیوان همایون همدانی‏</w:t>
      </w:r>
      <w:bookmarkEnd w:id="10982"/>
    </w:p>
    <w:p>
      <w:pPr>
        <w:pStyle w:val="BookText"/>
      </w:pPr>
      <w:r>
        <w:rPr>
          <w:rFonts w:ascii="IRNazanin" w:hAnsi="IRNazanin" w:eastAsia="IRNazanin" w:cs="IRNazanin"/>
          <w:lang w:bidi="fa-IR"/>
          <w:color w:val="111111"/>
          <w:sz w:val="28"/>
          <w:szCs w:val="28"/>
          <w:rtl/>
        </w:rPr>
        <w:t xml:space="preserve">و اسمه محمد همایون بن ملا شکوهی الهمدانی أطرأ النصرآبادی فی (نر 9- ص 324) اطلاعه علی أکثر العلوم و کتابته لأکثر الخطوط قال و توفی شابا و کذا فی همیشه بهار و قال سنگلاخ فی (امتحان 1: 115) إنه رأی دیوان همایون عراقی بخط سلطان محمد نورا</w:t>
      </w:r>
    </w:p>
    <w:p>
      <w:pPr>
        <w:pStyle w:val="Heading3"/>
      </w:pPr>
      <w:bookmarkStart w:id="10983" w:name="_Toc9679"/>
      <w:r>
        <w:t>دیوان همایون هندی‏</w:t>
      </w:r>
      <w:bookmarkEnd w:id="10983"/>
    </w:p>
    <w:p>
      <w:pPr>
        <w:pStyle w:val="BookText"/>
      </w:pPr>
      <w:r>
        <w:rPr>
          <w:rFonts w:ascii="IRNazanin" w:hAnsi="IRNazanin" w:eastAsia="IRNazanin" w:cs="IRNazanin"/>
          <w:lang w:bidi="fa-IR"/>
          <w:color w:val="111111"/>
          <w:sz w:val="28"/>
          <w:szCs w:val="28"/>
          <w:rtl/>
        </w:rPr>
        <w:t xml:space="preserve">راجع همایون پادشاه‏</w:t>
      </w:r>
    </w:p>
    <w:p>
      <w:pPr>
        <w:pStyle w:val="Heading3"/>
      </w:pPr>
      <w:bookmarkStart w:id="10984" w:name="_Toc9680"/>
      <w:r>
        <w:t>8317- دیوان همائی آذربایجانی‏</w:t>
      </w:r>
      <w:bookmarkEnd w:id="10984"/>
    </w:p>
    <w:p>
      <w:pPr>
        <w:pStyle w:val="BookText"/>
      </w:pPr>
      <w:r>
        <w:rPr>
          <w:rFonts w:ascii="IRNazanin" w:hAnsi="IRNazanin" w:eastAsia="IRNazanin" w:cs="IRNazanin"/>
          <w:lang w:bidi="fa-IR"/>
          <w:color w:val="111111"/>
          <w:sz w:val="28"/>
          <w:szCs w:val="28"/>
          <w:rtl/>
        </w:rPr>
        <w:t xml:space="preserve">و اسمه درویش سهراب کما ذکره تربیت فی (دجا- ص 398) قال و هو من الشعراء الذین أدرکهم المیرزا صائب و لاقاه فی کشمیر و أخذ عنه مثنویة و نقله فی بیاضه، ثم أورد له مثنوی زهدیة الموجود فی بیاض صائب إلی تمام اثنی عشر بیتا فی زوال الدنیا و ذمها و لزوم الزهد عنها</w:t>
      </w:r>
    </w:p>
    <w:p>
      <w:pPr>
        <w:pStyle w:val="Heading3"/>
      </w:pPr>
      <w:bookmarkStart w:id="10985" w:name="_Toc9681"/>
      <w:r>
        <w:t>دیوان همائی أصفهانی‏</w:t>
      </w:r>
      <w:bookmarkEnd w:id="10985"/>
    </w:p>
    <w:p>
      <w:pPr>
        <w:pStyle w:val="BookText"/>
      </w:pPr>
      <w:r>
        <w:rPr>
          <w:rFonts w:ascii="IRNazanin" w:hAnsi="IRNazanin" w:eastAsia="IRNazanin" w:cs="IRNazanin"/>
          <w:lang w:bidi="fa-IR"/>
          <w:color w:val="111111"/>
          <w:sz w:val="28"/>
          <w:szCs w:val="28"/>
          <w:rtl/>
        </w:rPr>
        <w:t xml:space="preserve">راجع دیوان سنا</w:t>
      </w:r>
    </w:p>
    <w:p>
      <w:pPr>
        <w:pStyle w:val="Heading3"/>
      </w:pPr>
      <w:bookmarkStart w:id="10986" w:name="_Toc9682"/>
      <w:r>
        <w:t>8318- دیوان همائی ترک‏</w:t>
      </w:r>
      <w:bookmarkEnd w:id="10986"/>
    </w:p>
    <w:p>
      <w:pPr>
        <w:pStyle w:val="BookText"/>
      </w:pPr>
      <w:r>
        <w:rPr>
          <w:rFonts w:ascii="IRNazanin" w:hAnsi="IRNazanin" w:eastAsia="IRNazanin" w:cs="IRNazanin"/>
          <w:lang w:bidi="fa-IR"/>
          <w:color w:val="111111"/>
          <w:sz w:val="28"/>
          <w:szCs w:val="28"/>
          <w:rtl/>
        </w:rPr>
        <w:t xml:space="preserve">و النازل بعراق العجم ترجمه سام میرزا فی (تس 5- ص 185) و أورد بعض شعره ترجمه علی شیر فی (مجن 6- ص 120 و 298) و قال إنه لا یعلم أصله لکنه فی أکثر أوقاته فی العراق و شعره مشهور فی ألسنة العراقیین ثم أورد بعضه الذی ذکره سام میرزا أیضا</w:t>
      </w:r>
    </w:p>
    <w:p>
      <w:pPr>
        <w:pStyle w:val="Heading3"/>
      </w:pPr>
      <w:bookmarkStart w:id="10987" w:name="_Toc9683"/>
      <w:r>
        <w:t>8319- دیوان همائی سمرقندی‏</w:t>
      </w:r>
      <w:bookmarkEnd w:id="10987"/>
    </w:p>
    <w:p>
      <w:pPr>
        <w:pStyle w:val="BookText"/>
      </w:pPr>
      <w:r>
        <w:rPr>
          <w:rFonts w:ascii="IRNazanin" w:hAnsi="IRNazanin" w:eastAsia="IRNazanin" w:cs="IRNazanin"/>
          <w:lang w:bidi="fa-IR"/>
          <w:color w:val="111111"/>
          <w:sz w:val="28"/>
          <w:szCs w:val="28"/>
          <w:rtl/>
        </w:rPr>
        <w:t xml:space="preserve">ترجمه الهروی فی (مجتس 6- ص 160) و أطری طبع شعره و حسن صوته و أورد مطلع غزله‏</w:t>
      </w:r>
    </w:p>
    <w:p>
      <w:pPr>
        <w:pStyle w:val="Heading3"/>
      </w:pPr>
      <w:bookmarkStart w:id="10988" w:name="_Toc9684"/>
      <w:r>
        <w:t>دیوان همائی عراقی‏</w:t>
      </w:r>
      <w:bookmarkEnd w:id="10988"/>
    </w:p>
    <w:p>
      <w:pPr>
        <w:pStyle w:val="BookText"/>
      </w:pPr>
      <w:r>
        <w:rPr>
          <w:rFonts w:ascii="IRNazanin" w:hAnsi="IRNazanin" w:eastAsia="IRNazanin" w:cs="IRNazanin"/>
          <w:lang w:bidi="fa-IR"/>
          <w:color w:val="111111"/>
          <w:sz w:val="28"/>
          <w:szCs w:val="28"/>
          <w:rtl/>
        </w:rPr>
        <w:t xml:space="preserve">راجع همائی ترک‏</w:t>
      </w:r>
    </w:p>
    <w:p>
      <w:pPr>
        <w:pStyle w:val="Heading3"/>
      </w:pPr>
      <w:bookmarkStart w:id="10989" w:name="_Toc9685"/>
      <w:r>
        <w:t>8320- دیوان همائی نسوی أو شعره‏</w:t>
      </w:r>
      <w:bookmarkEnd w:id="10989"/>
    </w:p>
    <w:p>
      <w:pPr>
        <w:pStyle w:val="BookText"/>
      </w:pPr>
      <w:r>
        <w:rPr>
          <w:rFonts w:ascii="IRNazanin" w:hAnsi="IRNazanin" w:eastAsia="IRNazanin" w:cs="IRNazanin"/>
          <w:lang w:bidi="fa-IR"/>
          <w:color w:val="111111"/>
          <w:sz w:val="28"/>
          <w:szCs w:val="28"/>
          <w:rtl/>
        </w:rPr>
        <w:t xml:space="preserve">سکن بما وراء النهر ورد شعره فی (تش 5-
</w:t>
      </w:r>
    </w:p>
    <w:p>
      <w:pPr>
        <w:sectPr>
          <w:footerReference w:type="default" r:id="rId1308"/>
          <w:footnotePr>
            <w:numStart w:val="1"/>
            <w:numRestart w:val="eachPage"/>
          </w:footnotePr>
          <w:pgSz w:orient="portrait" w:w="11905.511811023622" w:h="16837.79527559055"/>
          <w:pgMar w:top="1440" w:right="1440" w:bottom="1440" w:left="1440" w:header="720" w:footer="720" w:gutter="0"/>
          <w:cols w:num="1" w:space="720"/>
        </w:sectPr>
      </w:pPr>
    </w:p>
    <w:bookmarkStart w:id="1283" w:name="pg11704_122841"/>
    <w:bookmarkEnd w:id="1283"/>
    <w:p>
      <w:pPr>
        <w:pStyle w:val="BookText"/>
      </w:pPr>
      <w:r>
        <w:rPr>
          <w:rFonts w:ascii="IRNazanin" w:hAnsi="IRNazanin" w:eastAsia="IRNazanin" w:cs="IRNazanin"/>
          <w:lang w:bidi="fa-IR"/>
          <w:color w:val="111111"/>
          <w:sz w:val="28"/>
          <w:szCs w:val="28"/>
          <w:rtl/>
        </w:rPr>
        <w:t xml:space="preserve">ص 134) و (گلشن- ص 607)</w:t>
      </w:r>
    </w:p>
    <w:p>
      <w:pPr>
        <w:pStyle w:val="Heading3"/>
      </w:pPr>
      <w:bookmarkStart w:id="10990" w:name="_Toc9686"/>
      <w:r>
        <w:t>8321- دیوان همت أردبیلی أو شعره‏</w:t>
      </w:r>
      <w:bookmarkEnd w:id="10990"/>
    </w:p>
    <w:p>
      <w:pPr>
        <w:pStyle w:val="BookText"/>
      </w:pPr>
      <w:r>
        <w:rPr>
          <w:rFonts w:ascii="IRNazanin" w:hAnsi="IRNazanin" w:eastAsia="IRNazanin" w:cs="IRNazanin"/>
          <w:lang w:bidi="fa-IR"/>
          <w:color w:val="111111"/>
          <w:sz w:val="28"/>
          <w:szCs w:val="28"/>
          <w:rtl/>
        </w:rPr>
        <w:t xml:space="preserve">و اسمه محمد زمان بیک ترجمه النصرآبادی فی (نر 9- ص 290) و ذکر تنقلاته عند الحکام حتی توفی فی خدمة حاکم کوه‏کیلویه و أورد أشعاره‏</w:t>
      </w:r>
    </w:p>
    <w:p>
      <w:pPr>
        <w:pStyle w:val="Heading3"/>
      </w:pPr>
      <w:bookmarkStart w:id="10991" w:name="_Toc9687"/>
      <w:r>
        <w:t>8322- دیوان همت أصفهانی‏</w:t>
      </w:r>
      <w:bookmarkEnd w:id="10991"/>
    </w:p>
    <w:p>
      <w:pPr>
        <w:pStyle w:val="BookText"/>
      </w:pPr>
      <w:r>
        <w:rPr>
          <w:rFonts w:ascii="IRNazanin" w:hAnsi="IRNazanin" w:eastAsia="IRNazanin" w:cs="IRNazanin"/>
          <w:lang w:bidi="fa-IR"/>
          <w:color w:val="111111"/>
          <w:sz w:val="28"/>
          <w:szCs w:val="28"/>
          <w:rtl/>
        </w:rPr>
        <w:t xml:space="preserve">و اسمه حسین عبداللهی ابن غلام علی ولد 1333 بها و هو الآن وراق کتبی تخلص أولا هابط ثم بدله ترجمه المهدوی فی شعرای معاصر أصفهان- ص 536 و أورد له اثنی عشر تألیفا غیر دیوانه هذا</w:t>
      </w:r>
    </w:p>
    <w:p>
      <w:pPr>
        <w:pStyle w:val="Heading3"/>
      </w:pPr>
      <w:bookmarkStart w:id="10992" w:name="_Toc9688"/>
      <w:r>
        <w:t>8323- دیوان همت بدخشی أو شعره‏</w:t>
      </w:r>
      <w:bookmarkEnd w:id="10992"/>
    </w:p>
    <w:p>
      <w:pPr>
        <w:pStyle w:val="BookText"/>
      </w:pPr>
      <w:r>
        <w:rPr>
          <w:rFonts w:ascii="IRNazanin" w:hAnsi="IRNazanin" w:eastAsia="IRNazanin" w:cs="IRNazanin"/>
          <w:lang w:bidi="fa-IR"/>
          <w:color w:val="111111"/>
          <w:sz w:val="28"/>
          <w:szCs w:val="28"/>
          <w:rtl/>
        </w:rPr>
        <w:t xml:space="preserve">و هو المیرزا عیسی ابن ضیاء الدین حسین (إسلام خان) البدخشی الهندی توفی 1112 ورد شعره فی (سرخوش- ص 125) و (گلشن- ص 608) و (روشن- ص 787) و (خز- ص 177)</w:t>
      </w:r>
    </w:p>
    <w:p>
      <w:pPr>
        <w:pStyle w:val="Heading3"/>
      </w:pPr>
      <w:bookmarkStart w:id="10993" w:name="_Toc9689"/>
      <w:r>
        <w:t>8324- دیوان همت سیستانی‏</w:t>
      </w:r>
      <w:bookmarkEnd w:id="10993"/>
    </w:p>
    <w:p>
      <w:pPr>
        <w:pStyle w:val="BookText"/>
      </w:pPr>
      <w:r>
        <w:rPr>
          <w:rFonts w:ascii="IRNazanin" w:hAnsi="IRNazanin" w:eastAsia="IRNazanin" w:cs="IRNazanin"/>
          <w:lang w:bidi="fa-IR"/>
          <w:color w:val="111111"/>
          <w:sz w:val="28"/>
          <w:szCs w:val="28"/>
          <w:rtl/>
        </w:rPr>
        <w:t xml:space="preserve">من بنی أعمام ملک حمزة السیستانی المتخلص بغافل کما مر ترجمه معاصره النصرآبادی فی (نر 2- ص 38) و أورد قرب عشرین بیتا من أنواع شعره غزلا و رباعیا و کذا فی (خوش‏گو) و (روشن- ص 786)</w:t>
      </w:r>
    </w:p>
    <w:p>
      <w:pPr>
        <w:pStyle w:val="Heading3"/>
      </w:pPr>
      <w:bookmarkStart w:id="10994" w:name="_Toc9690"/>
      <w:r>
        <w:t>8325- دیوان همت شیرازی‏</w:t>
      </w:r>
      <w:bookmarkEnd w:id="10994"/>
    </w:p>
    <w:p>
      <w:pPr>
        <w:pStyle w:val="BookText"/>
      </w:pPr>
      <w:r>
        <w:rPr>
          <w:rFonts w:ascii="IRNazanin" w:hAnsi="IRNazanin" w:eastAsia="IRNazanin" w:cs="IRNazanin"/>
          <w:lang w:bidi="fa-IR"/>
          <w:color w:val="111111"/>
          <w:sz w:val="28"/>
          <w:szCs w:val="28"/>
          <w:rtl/>
        </w:rPr>
        <w:t xml:space="preserve">و هو علاء الدین حسین بن أحمد وقار الآتی. توفی 1336 ترجم فی (فارس‏نامه 2: 72 و 152) و (عم 362) و ریحانة الأدب و (مسرت- 88).</w:t>
      </w:r>
    </w:p>
    <w:p>
      <w:pPr>
        <w:pStyle w:val="Heading3"/>
      </w:pPr>
      <w:bookmarkStart w:id="10995" w:name="_Toc9691"/>
      <w:r>
        <w:t>8326- دیوان همت فرح‏آبادی أو شعره‏</w:t>
      </w:r>
      <w:bookmarkEnd w:id="10995"/>
    </w:p>
    <w:p>
      <w:pPr>
        <w:pStyle w:val="BookText"/>
      </w:pPr>
      <w:r>
        <w:rPr>
          <w:rFonts w:ascii="IRNazanin" w:hAnsi="IRNazanin" w:eastAsia="IRNazanin" w:cs="IRNazanin"/>
          <w:lang w:bidi="fa-IR"/>
          <w:color w:val="111111"/>
          <w:sz w:val="28"/>
          <w:szCs w:val="28"/>
          <w:rtl/>
        </w:rPr>
        <w:t xml:space="preserve">و اسمه خواجه محمد بن الحاج زین العابدین الفرح‏آبادی نزیل أصفهان أخیرا. ثم هاجر منها و لما وصل رودسر من محال لاهیجان مرض و توفی بها، کذا ذکره النصرآبادی فی (نر 5- ص 134) و أورد شعره و (گلشن- ص 607) و علمای گیلان- ص 94.</w:t>
      </w:r>
    </w:p>
    <w:p>
      <w:pPr>
        <w:pStyle w:val="Heading3"/>
      </w:pPr>
      <w:bookmarkStart w:id="10996" w:name="_Toc9692"/>
      <w:r>
        <w:t>8327- دیوان همت گورکه‏پوری أو شعره‏</w:t>
      </w:r>
      <w:bookmarkEnd w:id="10996"/>
    </w:p>
    <w:p>
      <w:pPr>
        <w:pStyle w:val="BookText"/>
      </w:pPr>
      <w:r>
        <w:rPr>
          <w:rFonts w:ascii="IRNazanin" w:hAnsi="IRNazanin" w:eastAsia="IRNazanin" w:cs="IRNazanin"/>
          <w:lang w:bidi="fa-IR"/>
          <w:color w:val="111111"/>
          <w:sz w:val="28"/>
          <w:szCs w:val="28"/>
          <w:rtl/>
        </w:rPr>
        <w:t xml:space="preserve">و اسمه محمد عاشق من ملازمی زبیب النساء بیگم بنت عالمگیر شاه الهندی. ورد شعره فی (سرخوش- ص 125) و (روشن- ص 785).</w:t>
      </w:r>
    </w:p>
    <w:p>
      <w:pPr>
        <w:pStyle w:val="Heading3"/>
      </w:pPr>
      <w:bookmarkStart w:id="10997" w:name="_Toc9693"/>
      <w:r>
        <w:t>8328- دیوان همتی أصفهانی أو شعره‏</w:t>
      </w:r>
      <w:bookmarkEnd w:id="10997"/>
    </w:p>
    <w:p>
      <w:pPr>
        <w:pStyle w:val="BookText"/>
      </w:pPr>
      <w:r>
        <w:rPr>
          <w:rFonts w:ascii="IRNazanin" w:hAnsi="IRNazanin" w:eastAsia="IRNazanin" w:cs="IRNazanin"/>
          <w:lang w:bidi="fa-IR"/>
          <w:color w:val="111111"/>
          <w:sz w:val="28"/>
          <w:szCs w:val="28"/>
          <w:rtl/>
        </w:rPr>
        <w:t xml:space="preserve">من أعضاء دفترخانه یوسف أفشار. ترجمه معاصره الصادقی فی (خص 8- ص 242) و ذکر أنه شاب متواضع و أورد شعره.</w:t>
      </w:r>
    </w:p>
    <w:p>
      <w:pPr>
        <w:pStyle w:val="Heading3"/>
      </w:pPr>
      <w:bookmarkStart w:id="10998" w:name="_Toc9694"/>
      <w:r>
        <w:t>8329- دیوان همتی بافقی أو شعره‏</w:t>
      </w:r>
      <w:bookmarkEnd w:id="10998"/>
    </w:p>
    <w:p>
      <w:pPr>
        <w:pStyle w:val="BookText"/>
      </w:pPr>
      <w:r>
        <w:rPr>
          <w:rFonts w:ascii="IRNazanin" w:hAnsi="IRNazanin" w:eastAsia="IRNazanin" w:cs="IRNazanin"/>
          <w:lang w:bidi="fa-IR"/>
          <w:color w:val="111111"/>
          <w:sz w:val="28"/>
          <w:szCs w:val="28"/>
          <w:rtl/>
        </w:rPr>
        <w:t xml:space="preserve">و اسمه ملا أفضل بن ملا یعقوب. ترجمه النصرآبادی‏
</w:t>
      </w:r>
    </w:p>
    <w:p>
      <w:pPr>
        <w:sectPr>
          <w:footerReference w:type="default" r:id="rId1309"/>
          <w:footnotePr>
            <w:numStart w:val="1"/>
            <w:numRestart w:val="eachPage"/>
          </w:footnotePr>
          <w:pgSz w:orient="portrait" w:w="11905.511811023622" w:h="16837.79527559055"/>
          <w:pgMar w:top="1440" w:right="1440" w:bottom="1440" w:left="1440" w:header="720" w:footer="720" w:gutter="0"/>
          <w:cols w:num="1" w:space="720"/>
        </w:sectPr>
      </w:pPr>
    </w:p>
    <w:bookmarkStart w:id="1284" w:name="pg11704_122843"/>
    <w:bookmarkEnd w:id="1284"/>
    <w:p>
      <w:pPr>
        <w:pStyle w:val="BookText"/>
      </w:pPr>
      <w:r>
        <w:rPr>
          <w:rFonts w:ascii="IRNazanin" w:hAnsi="IRNazanin" w:eastAsia="IRNazanin" w:cs="IRNazanin"/>
          <w:lang w:bidi="fa-IR"/>
          <w:color w:val="111111"/>
          <w:sz w:val="28"/>
          <w:szCs w:val="28"/>
          <w:rtl/>
        </w:rPr>
        <w:t xml:space="preserve">فی (نر 9- 307) و (خوش‏گو).</w:t>
      </w:r>
    </w:p>
    <w:p>
      <w:pPr>
        <w:pStyle w:val="Heading3"/>
      </w:pPr>
      <w:bookmarkStart w:id="10999" w:name="_Toc9695"/>
      <w:r>
        <w:t>8330- دیوان همتی بلخی أو شعره‏</w:t>
      </w:r>
      <w:bookmarkEnd w:id="10999"/>
    </w:p>
    <w:p>
      <w:pPr>
        <w:pStyle w:val="BookText"/>
      </w:pPr>
      <w:r>
        <w:rPr>
          <w:rFonts w:ascii="IRNazanin" w:hAnsi="IRNazanin" w:eastAsia="IRNazanin" w:cs="IRNazanin"/>
          <w:lang w:bidi="fa-IR"/>
          <w:color w:val="111111"/>
          <w:sz w:val="28"/>
          <w:szCs w:val="28"/>
          <w:rtl/>
        </w:rPr>
        <w:t xml:space="preserve">و اسمه غیاث الدین. ورد شعره فی (ض- ص 158) و (حسینی- ص 364).</w:t>
      </w:r>
    </w:p>
    <w:p>
      <w:pPr>
        <w:pStyle w:val="Heading3"/>
      </w:pPr>
      <w:bookmarkStart w:id="11000" w:name="_Toc9696"/>
      <w:r>
        <w:t>8331- دیوان همدم سمنانی‏</w:t>
      </w:r>
      <w:bookmarkEnd w:id="11000"/>
    </w:p>
    <w:p>
      <w:pPr>
        <w:pStyle w:val="BookText"/>
      </w:pPr>
      <w:r>
        <w:rPr>
          <w:rFonts w:ascii="IRNazanin" w:hAnsi="IRNazanin" w:eastAsia="IRNazanin" w:cs="IRNazanin"/>
          <w:lang w:bidi="fa-IR"/>
          <w:color w:val="111111"/>
          <w:sz w:val="28"/>
          <w:szCs w:val="28"/>
          <w:rtl/>
        </w:rPr>
        <w:t xml:space="preserve">ترجم فی (مع ج 2 ص 571) فجاء أن اسمه المیرزا محمد علی بن المیرزا محمد رضی المنشی و کان وقایع‏نگار لشاه‏زاده محمد ولی میرزا والی سمنان و خراسان و ألف له کتاب بدائع الوقائع و أورد أبیاتا من قصائده.</w:t>
      </w:r>
    </w:p>
    <w:p>
      <w:pPr>
        <w:pStyle w:val="Heading3"/>
      </w:pPr>
      <w:bookmarkStart w:id="11001" w:name="_Toc9697"/>
      <w:r>
        <w:t>8332- دیوان همدم شیرازی‏</w:t>
      </w:r>
      <w:bookmarkEnd w:id="11001"/>
    </w:p>
    <w:p>
      <w:pPr>
        <w:pStyle w:val="BookText"/>
      </w:pPr>
      <w:r>
        <w:rPr>
          <w:rFonts w:ascii="IRNazanin" w:hAnsi="IRNazanin" w:eastAsia="IRNazanin" w:cs="IRNazanin"/>
          <w:lang w:bidi="fa-IR"/>
          <w:color w:val="111111"/>
          <w:sz w:val="28"/>
          <w:szCs w:val="28"/>
          <w:rtl/>
        </w:rPr>
        <w:t xml:space="preserve">اسمه نجف علی أخ میرزا إبراهیم المتخلص بمنظور کان قصاصا لشاه‏زاده حسین علی میرزا فرمان فرما بفارس فی اللیالی و ملازما مع شاهزادات أخر. و توفی شابا و أورد بعض غزلیاته و ترجمه فی (ض- ص 126) و صرح بأن دیوانه غزلیات. و کذا فی (فارس‏نامه 2: 152) و قد طبع دیوانه بحیدرآباد 1303. فی 347 ص.</w:t>
      </w:r>
    </w:p>
    <w:p>
      <w:pPr>
        <w:pStyle w:val="Heading3"/>
      </w:pPr>
      <w:bookmarkStart w:id="11002" w:name="_Toc9698"/>
      <w:r>
        <w:t>8333- دیوان همدم شیرازی أو شعره‏</w:t>
      </w:r>
      <w:bookmarkEnd w:id="11002"/>
    </w:p>
    <w:p>
      <w:pPr>
        <w:pStyle w:val="BookText"/>
      </w:pPr>
      <w:r>
        <w:rPr>
          <w:rFonts w:ascii="IRNazanin" w:hAnsi="IRNazanin" w:eastAsia="IRNazanin" w:cs="IRNazanin"/>
          <w:lang w:bidi="fa-IR"/>
          <w:color w:val="111111"/>
          <w:sz w:val="28"/>
          <w:szCs w:val="28"/>
          <w:rtl/>
        </w:rPr>
        <w:t xml:space="preserve">و اسمه محمد حسین بن میرزا علی فخرین بیدل ترجم فی ریحانة الأدب ج 1 ص 189 و (عم ص 577).</w:t>
      </w:r>
    </w:p>
    <w:p>
      <w:pPr>
        <w:pStyle w:val="Heading3"/>
      </w:pPr>
      <w:bookmarkStart w:id="11003" w:name="_Toc9699"/>
      <w:r>
        <w:t>8334- دیوان همدم هندی أو شعره‏</w:t>
      </w:r>
      <w:bookmarkEnd w:id="11003"/>
    </w:p>
    <w:p>
      <w:pPr>
        <w:pStyle w:val="BookText"/>
      </w:pPr>
      <w:r>
        <w:rPr>
          <w:rFonts w:ascii="IRNazanin" w:hAnsi="IRNazanin" w:eastAsia="IRNazanin" w:cs="IRNazanin"/>
          <w:lang w:bidi="fa-IR"/>
          <w:color w:val="111111"/>
          <w:sz w:val="28"/>
          <w:szCs w:val="28"/>
          <w:rtl/>
        </w:rPr>
        <w:t xml:space="preserve">و اسمه میرزا مراد ابن أخی میرزا کامران بن بابر شاه. ورد شعره فی (خوش‏گو) و (گلشن- ص 608).</w:t>
      </w:r>
    </w:p>
    <w:p>
      <w:pPr>
        <w:pStyle w:val="Heading3"/>
      </w:pPr>
      <w:bookmarkStart w:id="11004" w:name="_Toc9700"/>
      <w:r>
        <w:t>8335- دیوان همدمی جرجانی أو شعرها</w:t>
      </w:r>
      <w:bookmarkEnd w:id="11004"/>
    </w:p>
    <w:p>
      <w:pPr>
        <w:pStyle w:val="BookText"/>
      </w:pPr>
      <w:r>
        <w:rPr>
          <w:rFonts w:ascii="IRNazanin" w:hAnsi="IRNazanin" w:eastAsia="IRNazanin" w:cs="IRNazanin"/>
          <w:lang w:bidi="fa-IR"/>
          <w:color w:val="111111"/>
          <w:sz w:val="28"/>
          <w:szCs w:val="28"/>
          <w:rtl/>
        </w:rPr>
        <w:t xml:space="preserve">و اسمها شریفه بانو. ترجمت فی (خیال- ص 339) و از رابعة تا پروین- ص 264.</w:t>
      </w:r>
    </w:p>
    <w:p>
      <w:pPr>
        <w:pStyle w:val="Heading3"/>
      </w:pPr>
      <w:bookmarkStart w:id="11005" w:name="_Toc9701"/>
      <w:r>
        <w:t>8336- دیوان همدمی رازی أو شعره‏</w:t>
      </w:r>
      <w:bookmarkEnd w:id="11005"/>
    </w:p>
    <w:p>
      <w:pPr>
        <w:pStyle w:val="BookText"/>
      </w:pPr>
      <w:r>
        <w:rPr>
          <w:rFonts w:ascii="IRNazanin" w:hAnsi="IRNazanin" w:eastAsia="IRNazanin" w:cs="IRNazanin"/>
          <w:lang w:bidi="fa-IR"/>
          <w:color w:val="111111"/>
          <w:sz w:val="28"/>
          <w:szCs w:val="28"/>
          <w:rtl/>
        </w:rPr>
        <w:t xml:space="preserve">العصار بطهران. ورد شعره فی (تس 5- ص 164).</w:t>
      </w:r>
    </w:p>
    <w:p>
      <w:pPr>
        <w:pStyle w:val="Heading3"/>
      </w:pPr>
      <w:bookmarkStart w:id="11006" w:name="_Toc9702"/>
      <w:r>
        <w:t>8337- دیوان همدمی سمرقندی أو شعره‏</w:t>
      </w:r>
      <w:bookmarkEnd w:id="11006"/>
    </w:p>
    <w:p>
      <w:pPr>
        <w:pStyle w:val="BookText"/>
      </w:pPr>
      <w:r>
        <w:rPr>
          <w:rFonts w:ascii="IRNazanin" w:hAnsi="IRNazanin" w:eastAsia="IRNazanin" w:cs="IRNazanin"/>
          <w:lang w:bidi="fa-IR"/>
          <w:color w:val="111111"/>
          <w:sz w:val="28"/>
          <w:szCs w:val="28"/>
          <w:rtl/>
        </w:rPr>
        <w:t xml:space="preserve">ورد شعره فی (تس 5- ص 165).</w:t>
      </w:r>
    </w:p>
    <w:p>
      <w:pPr>
        <w:pStyle w:val="Heading3"/>
      </w:pPr>
      <w:bookmarkStart w:id="11007" w:name="_Toc9703"/>
      <w:r>
        <w:t>8338- دیوان همدمی شیرازی أو شعره‏</w:t>
      </w:r>
      <w:bookmarkEnd w:id="11007"/>
    </w:p>
    <w:p>
      <w:pPr>
        <w:pStyle w:val="BookText"/>
      </w:pPr>
      <w:r>
        <w:rPr>
          <w:rFonts w:ascii="IRNazanin" w:hAnsi="IRNazanin" w:eastAsia="IRNazanin" w:cs="IRNazanin"/>
          <w:lang w:bidi="fa-IR"/>
          <w:color w:val="111111"/>
          <w:sz w:val="28"/>
          <w:szCs w:val="28"/>
          <w:rtl/>
        </w:rPr>
        <w:t xml:space="preserve">کان معلما للأطفال. ورد شعره فی (هفت- ص 310) و (خوش‏گو) و (گلشن- ص 608).</w:t>
      </w:r>
    </w:p>
    <w:p>
      <w:pPr>
        <w:pStyle w:val="Heading3"/>
      </w:pPr>
      <w:bookmarkStart w:id="11008" w:name="_Toc9704"/>
      <w:r>
        <w:t>8339- دیوان همدمی کاشانی أو شعره‏</w:t>
      </w:r>
      <w:bookmarkEnd w:id="11008"/>
    </w:p>
    <w:p>
      <w:pPr>
        <w:pStyle w:val="BookText"/>
      </w:pPr>
      <w:r>
        <w:rPr>
          <w:rFonts w:ascii="IRNazanin" w:hAnsi="IRNazanin" w:eastAsia="IRNazanin" w:cs="IRNazanin"/>
          <w:lang w:bidi="fa-IR"/>
          <w:color w:val="111111"/>
          <w:sz w:val="28"/>
          <w:szCs w:val="28"/>
          <w:rtl/>
        </w:rPr>
        <w:t xml:space="preserve">و اسمه میرزا علی و توفی 982 ترجمه تقی کاشی و همیشه بهار.</w:t>
      </w:r>
    </w:p>
    <w:p>
      <w:pPr>
        <w:pStyle w:val="Heading3"/>
      </w:pPr>
      <w:bookmarkStart w:id="11009" w:name="_Toc9705"/>
      <w:r>
        <w:t>8340- دیوان همدمی مشهدی أو شعره‏</w:t>
      </w:r>
      <w:bookmarkEnd w:id="11009"/>
    </w:p>
    <w:p>
      <w:pPr>
        <w:pStyle w:val="BookText"/>
      </w:pPr>
      <w:r>
        <w:rPr>
          <w:rFonts w:ascii="IRNazanin" w:hAnsi="IRNazanin" w:eastAsia="IRNazanin" w:cs="IRNazanin"/>
          <w:lang w:bidi="fa-IR"/>
          <w:color w:val="111111"/>
          <w:sz w:val="28"/>
          <w:szCs w:val="28"/>
          <w:rtl/>
        </w:rPr>
        <w:t xml:space="preserve">کان قصاعا بها (کاسه‏گر) ترجمه‏
</w:t>
      </w:r>
    </w:p>
    <w:p>
      <w:pPr>
        <w:sectPr>
          <w:footerReference w:type="default" r:id="rId1310"/>
          <w:footnotePr>
            <w:numStart w:val="1"/>
            <w:numRestart w:val="eachPage"/>
          </w:footnotePr>
          <w:pgSz w:orient="portrait" w:w="11905.511811023622" w:h="16837.79527559055"/>
          <w:pgMar w:top="1440" w:right="1440" w:bottom="1440" w:left="1440" w:header="720" w:footer="720" w:gutter="0"/>
          <w:cols w:num="1" w:space="720"/>
        </w:sectPr>
      </w:pPr>
    </w:p>
    <w:bookmarkStart w:id="1285" w:name="pg11704_122845"/>
    <w:bookmarkEnd w:id="1285"/>
    <w:p>
      <w:pPr>
        <w:pStyle w:val="BookText"/>
      </w:pPr>
      <w:r>
        <w:rPr>
          <w:rFonts w:ascii="IRNazanin" w:hAnsi="IRNazanin" w:eastAsia="IRNazanin" w:cs="IRNazanin"/>
          <w:lang w:bidi="fa-IR"/>
          <w:color w:val="111111"/>
          <w:sz w:val="28"/>
          <w:szCs w:val="28"/>
          <w:rtl/>
        </w:rPr>
        <w:t xml:space="preserve">علی شیر فی (مجن 3- ص 79 و 254).</w:t>
      </w:r>
    </w:p>
    <w:p>
      <w:pPr>
        <w:pStyle w:val="Heading3"/>
      </w:pPr>
      <w:bookmarkStart w:id="11010" w:name="_Toc9706"/>
      <w:r>
        <w:t>8341- دیوان همدمی مشهدی أو شعره‏</w:t>
      </w:r>
      <w:bookmarkEnd w:id="11010"/>
    </w:p>
    <w:p>
      <w:pPr>
        <w:pStyle w:val="BookText"/>
      </w:pPr>
      <w:r>
        <w:rPr>
          <w:rFonts w:ascii="IRNazanin" w:hAnsi="IRNazanin" w:eastAsia="IRNazanin" w:cs="IRNazanin"/>
          <w:lang w:bidi="fa-IR"/>
          <w:color w:val="111111"/>
          <w:sz w:val="28"/>
          <w:szCs w:val="28"/>
          <w:rtl/>
        </w:rPr>
        <w:t xml:space="preserve">کان یشتغل ببیع الحلویات. ورد شعره فی (تش- ص 96) و (مطلع 2: 450) و (گلشن- ص 608).</w:t>
      </w:r>
    </w:p>
    <w:p>
      <w:pPr>
        <w:pStyle w:val="Heading3"/>
      </w:pPr>
      <w:bookmarkStart w:id="11011" w:name="_Toc9707"/>
      <w:r>
        <w:t>8342- دیوان همدمی هروی أو شعره‏</w:t>
      </w:r>
      <w:bookmarkEnd w:id="11011"/>
    </w:p>
    <w:p>
      <w:pPr>
        <w:pStyle w:val="BookText"/>
      </w:pPr>
      <w:r>
        <w:rPr>
          <w:rFonts w:ascii="IRNazanin" w:hAnsi="IRNazanin" w:eastAsia="IRNazanin" w:cs="IRNazanin"/>
          <w:lang w:bidi="fa-IR"/>
          <w:color w:val="111111"/>
          <w:sz w:val="28"/>
          <w:szCs w:val="28"/>
          <w:rtl/>
        </w:rPr>
        <w:t xml:space="preserve">ورد شعره فی (گلشن- ص 608).</w:t>
      </w:r>
    </w:p>
    <w:p>
      <w:pPr>
        <w:pStyle w:val="Heading3"/>
      </w:pPr>
      <w:bookmarkStart w:id="11012" w:name="_Toc9708"/>
      <w:r>
        <w:t>8343- دیوان همدمی همدانی أو شعره‏</w:t>
      </w:r>
      <w:bookmarkEnd w:id="11012"/>
    </w:p>
    <w:p>
      <w:pPr>
        <w:pStyle w:val="BookText"/>
      </w:pPr>
      <w:r>
        <w:rPr>
          <w:rFonts w:ascii="IRNazanin" w:hAnsi="IRNazanin" w:eastAsia="IRNazanin" w:cs="IRNazanin"/>
          <w:lang w:bidi="fa-IR"/>
          <w:color w:val="111111"/>
          <w:sz w:val="28"/>
          <w:szCs w:val="28"/>
          <w:rtl/>
        </w:rPr>
        <w:t xml:space="preserve">ترجمه و أورد شعره معاصره فی (تس 5- ص 145).</w:t>
      </w:r>
    </w:p>
    <w:p>
      <w:pPr>
        <w:pStyle w:val="Heading3"/>
      </w:pPr>
      <w:bookmarkStart w:id="11013" w:name="_Toc9709"/>
      <w:r>
        <w:t>دیوان همگر</w:t>
      </w:r>
      <w:bookmarkEnd w:id="11013"/>
    </w:p>
    <w:p>
      <w:pPr>
        <w:pStyle w:val="BookText"/>
      </w:pPr>
      <w:r>
        <w:rPr>
          <w:rFonts w:ascii="IRNazanin" w:hAnsi="IRNazanin" w:eastAsia="IRNazanin" w:cs="IRNazanin"/>
          <w:lang w:bidi="fa-IR"/>
          <w:color w:val="111111"/>
          <w:sz w:val="28"/>
          <w:szCs w:val="28"/>
          <w:rtl/>
        </w:rPr>
        <w:t xml:space="preserve">راجع مجد همگر.</w:t>
      </w:r>
    </w:p>
    <w:p>
      <w:pPr>
        <w:pStyle w:val="Heading3"/>
      </w:pPr>
      <w:bookmarkStart w:id="11014" w:name="_Toc9710"/>
      <w:r>
        <w:t>8344- دیوان هندال هندی‏</w:t>
      </w:r>
      <w:bookmarkEnd w:id="11014"/>
    </w:p>
    <w:p>
      <w:pPr>
        <w:pStyle w:val="BookText"/>
      </w:pPr>
      <w:r>
        <w:rPr>
          <w:rFonts w:ascii="IRNazanin" w:hAnsi="IRNazanin" w:eastAsia="IRNazanin" w:cs="IRNazanin"/>
          <w:lang w:bidi="fa-IR"/>
          <w:color w:val="111111"/>
          <w:sz w:val="28"/>
          <w:szCs w:val="28"/>
          <w:rtl/>
        </w:rPr>
        <w:t xml:space="preserve">و هو ابن بابر شاه و أخو همایون شاه. ورد شعره فی هفت إقلیم و (گلشن- ص 608).</w:t>
      </w:r>
    </w:p>
    <w:p>
      <w:pPr>
        <w:pStyle w:val="Heading3"/>
      </w:pPr>
      <w:bookmarkStart w:id="11015" w:name="_Toc9711"/>
      <w:r>
        <w:t>8345- دیوان الهنداوی‏</w:t>
      </w:r>
      <w:bookmarkEnd w:id="11015"/>
    </w:p>
    <w:p>
      <w:pPr>
        <w:pStyle w:val="BookText"/>
      </w:pPr>
      <w:r>
        <w:rPr>
          <w:rFonts w:ascii="IRNazanin" w:hAnsi="IRNazanin" w:eastAsia="IRNazanin" w:cs="IRNazanin"/>
          <w:lang w:bidi="fa-IR"/>
          <w:color w:val="111111"/>
          <w:sz w:val="28"/>
          <w:szCs w:val="28"/>
          <w:rtl/>
        </w:rPr>
        <w:t xml:space="preserve">للشیخ طاها بن یاسین بن عباس بن یوسف آل بزون ولد بالهندیة (طویریج) 1318 و من سنة 1370 سکن الأهواز. له دیوانان فی المراثی بلغة الحسکة و له شرح بعض خطب نهج البلاغة.</w:t>
      </w:r>
    </w:p>
    <w:p>
      <w:pPr>
        <w:pStyle w:val="Heading3"/>
      </w:pPr>
      <w:bookmarkStart w:id="11016" w:name="_Toc9712"/>
      <w:r>
        <w:t>8346- دیوان هندی‏</w:t>
      </w:r>
      <w:bookmarkEnd w:id="11016"/>
    </w:p>
    <w:p>
      <w:pPr>
        <w:pStyle w:val="BookText"/>
      </w:pPr>
      <w:r>
        <w:rPr>
          <w:rFonts w:ascii="IRNazanin" w:hAnsi="IRNazanin" w:eastAsia="IRNazanin" w:cs="IRNazanin"/>
          <w:lang w:bidi="fa-IR"/>
          <w:color w:val="111111"/>
          <w:sz w:val="28"/>
          <w:szCs w:val="28"/>
          <w:rtl/>
        </w:rPr>
        <w:t xml:space="preserve">و هو کلب حسین خان بن کلب علی خان المتوفی 1281 قال إسماعیل پاشا فی هدیة العارفین 1: 329 إن له دیوانا فارسیا و له شوکت نادری تذکره للشعراء.</w:t>
      </w:r>
    </w:p>
    <w:p>
      <w:pPr>
        <w:pStyle w:val="Heading3"/>
      </w:pPr>
      <w:bookmarkStart w:id="11017" w:name="_Toc9713"/>
      <w:r>
        <w:t>8347- دیوان هندو شاه‏</w:t>
      </w:r>
      <w:bookmarkEnd w:id="11017"/>
    </w:p>
    <w:p>
      <w:pPr>
        <w:pStyle w:val="BookText"/>
      </w:pPr>
      <w:r>
        <w:rPr>
          <w:rFonts w:ascii="IRNazanin" w:hAnsi="IRNazanin" w:eastAsia="IRNazanin" w:cs="IRNazanin"/>
          <w:lang w:bidi="fa-IR"/>
          <w:color w:val="111111"/>
          <w:sz w:val="28"/>
          <w:szCs w:val="28"/>
          <w:rtl/>
        </w:rPr>
        <w:t xml:space="preserve">هو ابن سنجر بن عبد الله الصاحبی الکیرانی النخجوانی مؤلف تجارب السلف فی 724 کما ذکر فی محله. ورد له فی (دجا- ص 399) نظم أسماء خلفاء بنی أمیة و بنی العباس جمع دیوانه عبد العلی طاعتی فی 200 بیت حین کان یصحح صحاح الفرس لولده شمس منشی. و له أشعار فی کتابه دستور الکاتب الموجود فی (سپهسالار) و المطبوع أخیرا بمسکو.</w:t>
      </w:r>
    </w:p>
    <w:p>
      <w:pPr>
        <w:pStyle w:val="Heading3"/>
      </w:pPr>
      <w:bookmarkStart w:id="11018" w:name="_Toc9714"/>
      <w:r>
        <w:t>8348- دیوان هنر الله‏آبادی أو شعره‏</w:t>
      </w:r>
      <w:bookmarkEnd w:id="11018"/>
    </w:p>
    <w:p>
      <w:pPr>
        <w:pStyle w:val="BookText"/>
      </w:pPr>
      <w:r>
        <w:rPr>
          <w:rFonts w:ascii="IRNazanin" w:hAnsi="IRNazanin" w:eastAsia="IRNazanin" w:cs="IRNazanin"/>
          <w:lang w:bidi="fa-IR"/>
          <w:color w:val="111111"/>
          <w:sz w:val="28"/>
          <w:szCs w:val="28"/>
          <w:rtl/>
        </w:rPr>
        <w:t xml:space="preserve">و اسمه حاجی بیک ابن ناجی تلمیذ آفرین الله‏آبادی ورد شعره فی (گلشن- ص 609).</w:t>
      </w:r>
    </w:p>
    <w:p>
      <w:pPr>
        <w:pStyle w:val="Heading3"/>
      </w:pPr>
      <w:bookmarkStart w:id="11019" w:name="_Toc9715"/>
      <w:r>
        <w:t>دیوان هنر تبریزی‏</w:t>
      </w:r>
      <w:bookmarkEnd w:id="11019"/>
    </w:p>
    <w:p>
      <w:pPr>
        <w:pStyle w:val="BookText"/>
      </w:pPr>
      <w:r>
        <w:rPr>
          <w:rFonts w:ascii="IRNazanin" w:hAnsi="IRNazanin" w:eastAsia="IRNazanin" w:cs="IRNazanin"/>
          <w:lang w:bidi="fa-IR"/>
          <w:color w:val="111111"/>
          <w:sz w:val="28"/>
          <w:szCs w:val="28"/>
          <w:rtl/>
        </w:rPr>
        <w:t xml:space="preserve">مر بعنوان أمیر خیزی إسماعیل فی ص 100 و قد طبع من شعره قطعات منتخبة فی 1350 فی ثلاثة أجزاء 91+ 180+ 235 ص.</w:t>
      </w:r>
    </w:p>
    <w:p>
      <w:pPr>
        <w:pStyle w:val="Heading3"/>
      </w:pPr>
      <w:bookmarkStart w:id="11020" w:name="_Toc9716"/>
      <w:r>
        <w:t>8349- دیوان هنر جندقی‏</w:t>
      </w:r>
      <w:bookmarkEnd w:id="11020"/>
    </w:p>
    <w:p>
      <w:pPr>
        <w:pStyle w:val="BookText"/>
      </w:pPr>
      <w:r>
        <w:rPr>
          <w:rFonts w:ascii="IRNazanin" w:hAnsi="IRNazanin" w:eastAsia="IRNazanin" w:cs="IRNazanin"/>
          <w:lang w:bidi="fa-IR"/>
          <w:color w:val="111111"/>
          <w:sz w:val="28"/>
          <w:szCs w:val="28"/>
          <w:rtl/>
        </w:rPr>
        <w:t xml:space="preserve">هو إسماعیل بن أبی الحسن یغما الآتی سافر إلی النجف‏
</w:t>
      </w:r>
    </w:p>
    <w:p>
      <w:pPr>
        <w:sectPr>
          <w:footerReference w:type="default" r:id="rId1311"/>
          <w:footnotePr>
            <w:numStart w:val="1"/>
            <w:numRestart w:val="eachPage"/>
          </w:footnotePr>
          <w:pgSz w:orient="portrait" w:w="11905.511811023622" w:h="16837.79527559055"/>
          <w:pgMar w:top="1440" w:right="1440" w:bottom="1440" w:left="1440" w:header="720" w:footer="720" w:gutter="0"/>
          <w:cols w:num="1" w:space="720"/>
        </w:sectPr>
      </w:pPr>
    </w:p>
    <w:bookmarkStart w:id="1286" w:name="pg11704_122847"/>
    <w:bookmarkEnd w:id="1286"/>
    <w:p>
      <w:pPr>
        <w:pStyle w:val="BookText"/>
      </w:pPr>
      <w:r>
        <w:rPr>
          <w:rFonts w:ascii="IRNazanin" w:hAnsi="IRNazanin" w:eastAsia="IRNazanin" w:cs="IRNazanin"/>
          <w:lang w:bidi="fa-IR"/>
          <w:color w:val="111111"/>
          <w:sz w:val="28"/>
          <w:szCs w:val="28"/>
          <w:rtl/>
        </w:rPr>
        <w:t xml:space="preserve">لتحصیل العلم و رجع و اتخذ مشرب الشیخیة و مدح الحاج محمد کریم خان و یظهر من دیوانه الموجود فی (المجلس) أن ولدیه محمدا و محمودا توفیا شابین فرثاهما فی 1288 کما ذکر فی فهرسها 3: 450 قال و له داستان عاشقانه و هی رباعیات و مقدمه دیوان یغما نثرا. و قد تمم قاموس والده. و قال حبیب یغمائی حفید بنت هنر هذا إن مؤلفاته موجودة بجندق و قد عرفه فی مجلة أرمغان 13: 102 و یوجد شعره عند (فخر الدین 170).</w:t>
      </w:r>
    </w:p>
    <w:p>
      <w:pPr>
        <w:pStyle w:val="Heading3"/>
      </w:pPr>
      <w:bookmarkStart w:id="11021" w:name="_Toc9717"/>
      <w:r>
        <w:t>8350- دیوان هنر جهرمی أو شعره‏</w:t>
      </w:r>
      <w:bookmarkEnd w:id="11021"/>
    </w:p>
    <w:p>
      <w:pPr>
        <w:pStyle w:val="BookText"/>
      </w:pPr>
      <w:r>
        <w:rPr>
          <w:rFonts w:ascii="IRNazanin" w:hAnsi="IRNazanin" w:eastAsia="IRNazanin" w:cs="IRNazanin"/>
          <w:lang w:bidi="fa-IR"/>
          <w:color w:val="111111"/>
          <w:sz w:val="28"/>
          <w:szCs w:val="28"/>
          <w:rtl/>
        </w:rPr>
        <w:t xml:space="preserve">و هو الحاج شیخ أبو الحسن توفی 1267 ترجم و ورد شعره فی (فارس‏نامه 2: 188) و یوجد شعره عند (فخر الدین- 170).</w:t>
      </w:r>
    </w:p>
    <w:p>
      <w:pPr>
        <w:pStyle w:val="Heading3"/>
      </w:pPr>
      <w:bookmarkStart w:id="11022" w:name="_Toc9718"/>
      <w:r>
        <w:t>8351- دیوان هنر شاه‏جهان‏آبادی أو شعره‏</w:t>
      </w:r>
      <w:bookmarkEnd w:id="11022"/>
    </w:p>
    <w:p>
      <w:pPr>
        <w:pStyle w:val="BookText"/>
      </w:pPr>
      <w:r>
        <w:rPr>
          <w:rFonts w:ascii="IRNazanin" w:hAnsi="IRNazanin" w:eastAsia="IRNazanin" w:cs="IRNazanin"/>
          <w:lang w:bidi="fa-IR"/>
          <w:color w:val="111111"/>
          <w:sz w:val="28"/>
          <w:szCs w:val="28"/>
          <w:rtl/>
        </w:rPr>
        <w:t xml:space="preserve">و اسمه کیان رأی من تلامیذ آزاد البلگرامی. ورد شعره فی (گلشن- ص 609).</w:t>
      </w:r>
    </w:p>
    <w:p>
      <w:pPr>
        <w:pStyle w:val="Heading3"/>
      </w:pPr>
      <w:bookmarkStart w:id="11023" w:name="_Toc9719"/>
      <w:r>
        <w:t>8352- دیوان هند هنری أو شعره‏</w:t>
      </w:r>
      <w:bookmarkEnd w:id="11023"/>
    </w:p>
    <w:p>
      <w:pPr>
        <w:pStyle w:val="BookText"/>
      </w:pPr>
      <w:r>
        <w:rPr>
          <w:rFonts w:ascii="IRNazanin" w:hAnsi="IRNazanin" w:eastAsia="IRNazanin" w:cs="IRNazanin"/>
          <w:lang w:bidi="fa-IR"/>
          <w:color w:val="111111"/>
          <w:sz w:val="28"/>
          <w:szCs w:val="28"/>
          <w:rtl/>
        </w:rPr>
        <w:t xml:space="preserve">و هو المیرزا فضل الله. ورد شعره فی (خوش‏گو) و لعله ابن سرخوش المذکور فی مقدمه طبع کلمات الشعراء طبعه 1942 ص 6. و قال إن اسمه محمد أکمل فضل الله.</w:t>
      </w:r>
    </w:p>
    <w:p>
      <w:pPr>
        <w:pStyle w:val="Heading3"/>
      </w:pPr>
      <w:bookmarkStart w:id="11024" w:name="_Toc9720"/>
      <w:r>
        <w:t>8353- دیوان هوائی تونی أو شعره‏</w:t>
      </w:r>
      <w:bookmarkEnd w:id="11024"/>
    </w:p>
    <w:p>
      <w:pPr>
        <w:pStyle w:val="BookText"/>
      </w:pPr>
      <w:r>
        <w:rPr>
          <w:rFonts w:ascii="IRNazanin" w:hAnsi="IRNazanin" w:eastAsia="IRNazanin" w:cs="IRNazanin"/>
          <w:lang w:bidi="fa-IR"/>
          <w:color w:val="111111"/>
          <w:sz w:val="28"/>
          <w:szCs w:val="28"/>
          <w:rtl/>
        </w:rPr>
        <w:t xml:space="preserve">ورد شعره فی (گلشن- ص 610) عن هفت إقلیم.</w:t>
      </w:r>
    </w:p>
    <w:p>
      <w:pPr>
        <w:pStyle w:val="Heading3"/>
      </w:pPr>
      <w:bookmarkStart w:id="11025" w:name="_Toc9721"/>
      <w:r>
        <w:t>8354- دیوان هوائی مشهدی‏</w:t>
      </w:r>
      <w:bookmarkEnd w:id="11025"/>
    </w:p>
    <w:p>
      <w:pPr>
        <w:pStyle w:val="BookText"/>
      </w:pPr>
      <w:r>
        <w:rPr>
          <w:rFonts w:ascii="IRNazanin" w:hAnsi="IRNazanin" w:eastAsia="IRNazanin" w:cs="IRNazanin"/>
          <w:lang w:bidi="fa-IR"/>
          <w:color w:val="111111"/>
          <w:sz w:val="28"/>
          <w:szCs w:val="28"/>
          <w:rtl/>
        </w:rPr>
        <w:t xml:space="preserve">الشاعر الخطاط النقاش المذهب، مصاحب مشرقی المشهدی المذکور فی ص 1049 ترجمه علی شیر فی (مجن 2- ص 42 و 215) و (حسینی- 364) و قالوا یکتب دیوانه بخطه و یذهبه و یبیعه بثمن بخس.</w:t>
      </w:r>
    </w:p>
    <w:p>
      <w:pPr>
        <w:pStyle w:val="Heading3"/>
      </w:pPr>
      <w:bookmarkStart w:id="11026" w:name="_Toc9722"/>
      <w:r>
        <w:t>8355- دیوان هوائی هندی أو شعره‏</w:t>
      </w:r>
      <w:bookmarkEnd w:id="11026"/>
    </w:p>
    <w:p>
      <w:pPr>
        <w:pStyle w:val="BookText"/>
      </w:pPr>
      <w:r>
        <w:rPr>
          <w:rFonts w:ascii="IRNazanin" w:hAnsi="IRNazanin" w:eastAsia="IRNazanin" w:cs="IRNazanin"/>
          <w:lang w:bidi="fa-IR"/>
          <w:color w:val="111111"/>
          <w:sz w:val="28"/>
          <w:szCs w:val="28"/>
          <w:rtl/>
        </w:rPr>
        <w:t xml:space="preserve">ورد شعره فی (گلشن- ص 610).</w:t>
      </w:r>
    </w:p>
    <w:p>
      <w:pPr>
        <w:pStyle w:val="Heading3"/>
      </w:pPr>
      <w:bookmarkStart w:id="11027" w:name="_Toc9723"/>
      <w:r>
        <w:t>8356- دیوان هور أصفهانی‏</w:t>
      </w:r>
      <w:bookmarkEnd w:id="11027"/>
    </w:p>
    <w:p>
      <w:pPr>
        <w:pStyle w:val="BookText"/>
      </w:pPr>
      <w:r>
        <w:rPr>
          <w:rFonts w:ascii="IRNazanin" w:hAnsi="IRNazanin" w:eastAsia="IRNazanin" w:cs="IRNazanin"/>
          <w:lang w:bidi="fa-IR"/>
          <w:color w:val="111111"/>
          <w:sz w:val="28"/>
          <w:szCs w:val="28"/>
          <w:rtl/>
        </w:rPr>
        <w:t xml:space="preserve">و اسمه میر سید علی بدیع‏زاده ابن الحاج میرزا عبد الحسین سبط الحاج میرزا بدیع درب إمامی. ولد فی رمضان 1330 بأصفهان و اشتغل بمعامل النسیج و تعلم العربیة و الإفرنسیة و الألمانیة. طبع له تحفه المسلمین قال المهدوی فی شعرای معاصر أصفهان- ص 540 إن له 28 قصیدة تاریخیة.</w:t>
      </w:r>
    </w:p>
    <w:p>
      <w:pPr>
        <w:pStyle w:val="Heading3"/>
      </w:pPr>
      <w:bookmarkStart w:id="11028" w:name="_Toc9724"/>
      <w:r>
        <w:t>8357- دیوان هوس جندقی أو شعره‏</w:t>
      </w:r>
      <w:bookmarkEnd w:id="11028"/>
    </w:p>
    <w:p>
      <w:pPr>
        <w:pStyle w:val="BookText"/>
      </w:pPr>
      <w:r>
        <w:rPr>
          <w:rFonts w:ascii="IRNazanin" w:hAnsi="IRNazanin" w:eastAsia="IRNazanin" w:cs="IRNazanin"/>
          <w:lang w:bidi="fa-IR"/>
          <w:color w:val="111111"/>
          <w:sz w:val="28"/>
          <w:szCs w:val="28"/>
          <w:rtl/>
        </w:rPr>
        <w:t xml:space="preserve">و اسمه المیرزا أبو القاسم. و باسمه ألف صدر الأفاضل المذکور فی ص 601 رسالة نامه نامی کما ذکر فی جنگ موجود فی (دانشگاه-
</w:t>
      </w:r>
    </w:p>
    <w:p>
      <w:pPr>
        <w:sectPr>
          <w:footerReference w:type="default" r:id="rId1312"/>
          <w:footnotePr>
            <w:numStart w:val="1"/>
            <w:numRestart w:val="eachPage"/>
          </w:footnotePr>
          <w:pgSz w:orient="portrait" w:w="11905.511811023622" w:h="16837.79527559055"/>
          <w:pgMar w:top="1440" w:right="1440" w:bottom="1440" w:left="1440" w:header="720" w:footer="720" w:gutter="0"/>
          <w:cols w:num="1" w:space="720"/>
        </w:sectPr>
      </w:pPr>
    </w:p>
    <w:bookmarkStart w:id="1287" w:name="pg11704_122848"/>
    <w:bookmarkEnd w:id="1287"/>
    <w:p>
      <w:pPr>
        <w:pStyle w:val="BookText"/>
      </w:pPr>
      <w:r>
        <w:rPr>
          <w:rFonts w:ascii="Times New Roman" w:hAnsi="Times New Roman" w:eastAsia="Times New Roman" w:cs="Times New Roman"/>
          <w:lang w:val="en-US" w:bidi="en-US"/>
          <w:color w:val="111111"/>
          <w:sz w:val="28"/>
          <w:szCs w:val="28"/>
          <w:rtl/>
        </w:rPr>
        <w:t xml:space="preserve">4734).</w:t>
      </w:r>
    </w:p>
    <w:p>
      <w:pPr>
        <w:pStyle w:val="Heading3"/>
      </w:pPr>
      <w:bookmarkStart w:id="11029" w:name="_Toc9725"/>
      <w:r>
        <w:t>8358- دیوان هوس هندی‏</w:t>
      </w:r>
      <w:bookmarkEnd w:id="11029"/>
    </w:p>
    <w:p>
      <w:pPr>
        <w:pStyle w:val="BookText"/>
      </w:pPr>
      <w:r>
        <w:rPr>
          <w:rFonts w:ascii="IRNazanin" w:hAnsi="IRNazanin" w:eastAsia="IRNazanin" w:cs="IRNazanin"/>
          <w:lang w:bidi="fa-IR"/>
          <w:color w:val="111111"/>
          <w:sz w:val="28"/>
          <w:szCs w:val="28"/>
          <w:rtl/>
        </w:rPr>
        <w:t xml:space="preserve">و اسمه محمد تقی. له منظومة لیلی و مجنون بالأردویة.</w:t>
      </w:r>
    </w:p>
    <w:p>
      <w:pPr>
        <w:pStyle w:val="Heading3"/>
      </w:pPr>
      <w:bookmarkStart w:id="11030" w:name="_Toc9726"/>
      <w:r>
        <w:t>8359- دیوان هوشنگ ابتهاج‏</w:t>
      </w:r>
      <w:bookmarkEnd w:id="11030"/>
    </w:p>
    <w:p>
      <w:pPr>
        <w:pStyle w:val="BookText"/>
      </w:pPr>
      <w:r>
        <w:rPr>
          <w:rFonts w:ascii="IRNazanin" w:hAnsi="IRNazanin" w:eastAsia="IRNazanin" w:cs="IRNazanin"/>
          <w:lang w:bidi="fa-IR"/>
          <w:color w:val="111111"/>
          <w:sz w:val="28"/>
          <w:szCs w:val="28"/>
          <w:rtl/>
        </w:rPr>
        <w:t xml:space="preserve">المتخلص سایه ابن میرزا آقا خان الرشتی. طبع له منظومة سراب فی 1370 فی 135 ص. و سیاه مشق 1372 فی 6144.</w:t>
      </w:r>
    </w:p>
    <w:p>
      <w:pPr>
        <w:pStyle w:val="Heading3"/>
      </w:pPr>
      <w:bookmarkStart w:id="11031" w:name="_Toc9727"/>
      <w:r>
        <w:t>8360- دیوان هوشی خراسانی أو شعره‏</w:t>
      </w:r>
      <w:bookmarkEnd w:id="11031"/>
    </w:p>
    <w:p>
      <w:pPr>
        <w:pStyle w:val="BookText"/>
      </w:pPr>
      <w:r>
        <w:rPr>
          <w:rFonts w:ascii="IRNazanin" w:hAnsi="IRNazanin" w:eastAsia="IRNazanin" w:cs="IRNazanin"/>
          <w:lang w:bidi="fa-IR"/>
          <w:color w:val="111111"/>
          <w:sz w:val="28"/>
          <w:szCs w:val="28"/>
          <w:rtl/>
        </w:rPr>
        <w:t xml:space="preserve">ترجمه معاصره القزوینی فی (بهش 2: 404).</w:t>
      </w:r>
    </w:p>
    <w:p>
      <w:pPr>
        <w:pStyle w:val="Heading3"/>
      </w:pPr>
      <w:bookmarkStart w:id="11032" w:name="_Toc9728"/>
      <w:r>
        <w:t>8361- دیوان هوشی سنقری أو شعره‏</w:t>
      </w:r>
      <w:bookmarkEnd w:id="11032"/>
    </w:p>
    <w:p>
      <w:pPr>
        <w:pStyle w:val="BookText"/>
      </w:pPr>
      <w:r>
        <w:rPr>
          <w:rFonts w:ascii="IRNazanin" w:hAnsi="IRNazanin" w:eastAsia="IRNazanin" w:cs="IRNazanin"/>
          <w:lang w:bidi="fa-IR"/>
          <w:color w:val="111111"/>
          <w:sz w:val="28"/>
          <w:szCs w:val="28"/>
          <w:rtl/>
        </w:rPr>
        <w:t xml:space="preserve">من توابع دینور. کان یعلم الأطفال بهمدان و کان هجاء کما ذکر معاصره فی (خص 8- ص 249).</w:t>
      </w:r>
    </w:p>
    <w:p>
      <w:pPr>
        <w:pStyle w:val="Heading3"/>
      </w:pPr>
      <w:bookmarkStart w:id="11033" w:name="_Toc9729"/>
      <w:r>
        <w:t>8362- دیوان هوشی شیرازی أو شعره‏</w:t>
      </w:r>
      <w:bookmarkEnd w:id="11033"/>
    </w:p>
    <w:p>
      <w:pPr>
        <w:pStyle w:val="BookText"/>
      </w:pPr>
      <w:r>
        <w:rPr>
          <w:rFonts w:ascii="IRNazanin" w:hAnsi="IRNazanin" w:eastAsia="IRNazanin" w:cs="IRNazanin"/>
          <w:lang w:bidi="fa-IR"/>
          <w:color w:val="111111"/>
          <w:sz w:val="28"/>
          <w:szCs w:val="28"/>
          <w:rtl/>
        </w:rPr>
        <w:t xml:space="preserve">قال سام میرزا فی (تس 5- ص 125) إنه یسرق أشعار الناس.</w:t>
      </w:r>
    </w:p>
    <w:p>
      <w:pPr>
        <w:pStyle w:val="Heading3"/>
      </w:pPr>
      <w:bookmarkStart w:id="11034" w:name="_Toc9730"/>
      <w:r>
        <w:t>دیوان هوشی همدانی‏</w:t>
      </w:r>
      <w:bookmarkEnd w:id="11034"/>
    </w:p>
    <w:p>
      <w:pPr>
        <w:pStyle w:val="BookText"/>
      </w:pPr>
      <w:r>
        <w:rPr>
          <w:rFonts w:ascii="IRNazanin" w:hAnsi="IRNazanin" w:eastAsia="IRNazanin" w:cs="IRNazanin"/>
          <w:lang w:bidi="fa-IR"/>
          <w:color w:val="111111"/>
          <w:sz w:val="28"/>
          <w:szCs w:val="28"/>
          <w:rtl/>
        </w:rPr>
        <w:t xml:space="preserve">ورد شعره فی (گلشن- ص 610) و لعله متحد مع من قبله.</w:t>
      </w:r>
    </w:p>
    <w:p>
      <w:pPr>
        <w:pStyle w:val="Heading3"/>
      </w:pPr>
      <w:bookmarkStart w:id="11035" w:name="_Toc9731"/>
      <w:r>
        <w:t>8363- دیوان هیبت أصفهانی أو شعره‏</w:t>
      </w:r>
      <w:bookmarkEnd w:id="11035"/>
    </w:p>
    <w:p>
      <w:pPr>
        <w:pStyle w:val="BookText"/>
      </w:pPr>
      <w:r>
        <w:rPr>
          <w:rFonts w:ascii="IRNazanin" w:hAnsi="IRNazanin" w:eastAsia="IRNazanin" w:cs="IRNazanin"/>
          <w:lang w:bidi="fa-IR"/>
          <w:color w:val="111111"/>
          <w:sz w:val="28"/>
          <w:szCs w:val="28"/>
          <w:rtl/>
        </w:rPr>
        <w:t xml:space="preserve">و اسمه هیبت بیک حفید طهماسب قلی سلطان حاکم بندر لار. ورد شعره فی (گلشن- ص 610) و قال کان خطاطا بالشکسته.</w:t>
      </w:r>
    </w:p>
    <w:p>
      <w:pPr>
        <w:pStyle w:val="Heading3"/>
      </w:pPr>
      <w:bookmarkStart w:id="11036" w:name="_Toc9732"/>
      <w:r>
        <w:t>دیوان هیبت کاشی‏</w:t>
      </w:r>
      <w:bookmarkEnd w:id="11036"/>
    </w:p>
    <w:p>
      <w:pPr>
        <w:pStyle w:val="BookText"/>
      </w:pPr>
      <w:r>
        <w:rPr>
          <w:rFonts w:ascii="IRNazanin" w:hAnsi="IRNazanin" w:eastAsia="IRNazanin" w:cs="IRNazanin"/>
          <w:lang w:bidi="fa-IR"/>
          <w:color w:val="111111"/>
          <w:sz w:val="28"/>
          <w:szCs w:val="28"/>
          <w:rtl/>
        </w:rPr>
        <w:t xml:space="preserve">کما فی (گلشن- ص 610) و لعله أراد هدایت کاشی المذکور بتخلصه حاتم کاشی فی ص 16.</w:t>
      </w:r>
    </w:p>
    <w:p>
      <w:pPr>
        <w:pStyle w:val="Heading3"/>
      </w:pPr>
      <w:bookmarkStart w:id="11037" w:name="_Toc9733"/>
      <w:r>
        <w:t>8364- دیوان هیدجی‏</w:t>
      </w:r>
      <w:bookmarkEnd w:id="11037"/>
    </w:p>
    <w:p>
      <w:pPr>
        <w:pStyle w:val="BookText"/>
      </w:pPr>
      <w:r>
        <w:rPr>
          <w:rFonts w:ascii="IRNazanin" w:hAnsi="IRNazanin" w:eastAsia="IRNazanin" w:cs="IRNazanin"/>
          <w:lang w:bidi="fa-IR"/>
          <w:color w:val="111111"/>
          <w:sz w:val="28"/>
          <w:szCs w:val="28"/>
          <w:rtl/>
        </w:rPr>
        <w:t xml:space="preserve">و هو محمد بن معصوم علی الهیدجی. ولد بهیدج من خمسة بزنجان فی 1270 و هاجر إلی قزوین 1297 ثم إلی طهران فالنجف و عمره 35 سنة و رجع بعد عشرین سنة إلی طهران، و سکن بمقبرة السید نصر الدین الواقعة الآن فی خیابان خیام، و بها مات فی ع 2- 1339 و لم یتزوج. تلمذ علی المیرزا حسین السبزواری تلمیذ أسرار السبزواری، و علی میرزا الجلوة المذکور فی ص 202 و شعره فارسی و ترکی و کان یتخلص سابقا مغنی ثم بدله إلی هیدجی له حاشیة علی المنظومة ذکرناه فی 6: 136. و له منظومة دانش‏نامه فی قبال شاهنامه طبع فی 160 ص. مع دیوان غزله فی 104 ص. ثم أعید طبعهما بتبریز مع مقدمه جعفر الموسوی بتصحیح علی هشترودی فی 1377 فی 300 ص.
</w:t>
      </w:r>
    </w:p>
    <w:p>
      <w:pPr>
        <w:sectPr>
          <w:footerReference w:type="default" r:id="rId1313"/>
          <w:footnotePr>
            <w:numStart w:val="1"/>
            <w:numRestart w:val="eachPage"/>
          </w:footnotePr>
          <w:pgSz w:orient="portrait" w:w="11905.511811023622" w:h="16837.79527559055"/>
          <w:pgMar w:top="1440" w:right="1440" w:bottom="1440" w:left="1440" w:header="720" w:footer="720" w:gutter="0"/>
          <w:cols w:num="1" w:space="720"/>
        </w:sectPr>
      </w:pPr>
    </w:p>
    <w:bookmarkStart w:id="1288" w:name="pg11704_122850"/>
    <w:bookmarkEnd w:id="1288"/>
    <w:p>
      <w:pPr>
        <w:pStyle w:val="Heading3"/>
      </w:pPr>
      <w:bookmarkStart w:id="11038" w:name="_Toc9734"/>
      <w:r>
        <w:t>ی‏</w:t>
      </w:r>
      <w:bookmarkEnd w:id="11038"/>
    </w:p>
    <w:p>
      <w:pPr>
        <w:pStyle w:val="Heading3"/>
      </w:pPr>
      <w:bookmarkStart w:id="11039" w:name="_Toc9735"/>
      <w:r>
        <w:t>8365- دیوان یادگار بیگ أو شعره‏</w:t>
      </w:r>
      <w:bookmarkEnd w:id="11039"/>
    </w:p>
    <w:p>
      <w:pPr>
        <w:pStyle w:val="BookText"/>
      </w:pPr>
      <w:r>
        <w:rPr>
          <w:rFonts w:ascii="IRNazanin" w:hAnsi="IRNazanin" w:eastAsia="IRNazanin" w:cs="IRNazanin"/>
          <w:lang w:bidi="fa-IR"/>
          <w:color w:val="111111"/>
          <w:sz w:val="28"/>
          <w:szCs w:val="28"/>
          <w:rtl/>
        </w:rPr>
        <w:t xml:space="preserve">و هو ابن سلطان. ورد شعره فی (خص 5- ص 69).</w:t>
      </w:r>
    </w:p>
    <w:p>
      <w:pPr>
        <w:pStyle w:val="Heading3"/>
      </w:pPr>
      <w:bookmarkStart w:id="11040" w:name="_Toc9736"/>
      <w:r>
        <w:t>دیوان یادگار خراسانی‏</w:t>
      </w:r>
      <w:bookmarkEnd w:id="11040"/>
    </w:p>
    <w:p>
      <w:pPr>
        <w:pStyle w:val="BookText"/>
      </w:pPr>
      <w:r>
        <w:rPr>
          <w:rFonts w:ascii="IRNazanin" w:hAnsi="IRNazanin" w:eastAsia="IRNazanin" w:cs="IRNazanin"/>
          <w:lang w:bidi="fa-IR"/>
          <w:color w:val="111111"/>
          <w:sz w:val="28"/>
          <w:szCs w:val="28"/>
          <w:rtl/>
        </w:rPr>
        <w:t xml:space="preserve">قال علی شیر فی (مجن 2- ص 30 و 204) إنه من الملاکین فترک الإمارة و تزهد و نظم الشعر و تخلص سیفی. و فی (لت 7) إنه من أمراء أمیر تیمور گورکان. و قد ذکرناه بتخلصه فی ص 487.</w:t>
      </w:r>
    </w:p>
    <w:p>
      <w:pPr>
        <w:pStyle w:val="Heading3"/>
      </w:pPr>
      <w:bookmarkStart w:id="11041" w:name="_Toc9737"/>
      <w:r>
        <w:t>8366- دیوان یارأحمد تبریزی أو شعره‏</w:t>
      </w:r>
      <w:bookmarkEnd w:id="11041"/>
    </w:p>
    <w:p>
      <w:pPr>
        <w:pStyle w:val="BookText"/>
      </w:pPr>
      <w:r>
        <w:rPr>
          <w:rFonts w:ascii="IRNazanin" w:hAnsi="IRNazanin" w:eastAsia="IRNazanin" w:cs="IRNazanin"/>
          <w:lang w:bidi="fa-IR"/>
          <w:color w:val="111111"/>
          <w:sz w:val="28"/>
          <w:szCs w:val="28"/>
          <w:rtl/>
        </w:rPr>
        <w:t xml:space="preserve">و اسمه یارأحمد بن الحسین الرشیدی التبریزی الذی جمع رباعیات خیام فی 867 مقسما علی عشرة مواضیع، فی عشرة أبواب. و الباب الحادی عشر فی أحوال الخیام. و سماه طرب‏خانه طبع بأستانبول فی 1372 ثم أعید بتصحیح جلال همائی بطهران فی 1384 مع مقدمه فی أحواله.</w:t>
      </w:r>
    </w:p>
    <w:p>
      <w:pPr>
        <w:pStyle w:val="Heading3"/>
      </w:pPr>
      <w:bookmarkStart w:id="11042" w:name="_Toc9738"/>
      <w:r>
        <w:t>8367- دیوان یار اورنگ‏آبادی أو شعره‏</w:t>
      </w:r>
      <w:bookmarkEnd w:id="11042"/>
    </w:p>
    <w:p>
      <w:pPr>
        <w:pStyle w:val="BookText"/>
      </w:pPr>
      <w:r>
        <w:rPr>
          <w:rFonts w:ascii="IRNazanin" w:hAnsi="IRNazanin" w:eastAsia="IRNazanin" w:cs="IRNazanin"/>
          <w:lang w:bidi="fa-IR"/>
          <w:color w:val="111111"/>
          <w:sz w:val="28"/>
          <w:szCs w:val="28"/>
          <w:rtl/>
        </w:rPr>
        <w:t xml:space="preserve">و اسمه نواب منور الدولة أحمدیار خان بهادر المتوفی 1183. ورد شعره فی (گلشن- ص 611).</w:t>
      </w:r>
    </w:p>
    <w:p>
      <w:pPr>
        <w:pStyle w:val="Heading3"/>
      </w:pPr>
      <w:bookmarkStart w:id="11043" w:name="_Toc9739"/>
      <w:r>
        <w:t>8368- دیوان یارعلی شیرازی‏</w:t>
      </w:r>
      <w:bookmarkEnd w:id="11043"/>
    </w:p>
    <w:p>
      <w:pPr>
        <w:pStyle w:val="BookText"/>
      </w:pPr>
      <w:r>
        <w:rPr>
          <w:rFonts w:ascii="IRNazanin" w:hAnsi="IRNazanin" w:eastAsia="IRNazanin" w:cs="IRNazanin"/>
          <w:lang w:bidi="fa-IR"/>
          <w:color w:val="111111"/>
          <w:sz w:val="28"/>
          <w:szCs w:val="28"/>
          <w:rtl/>
        </w:rPr>
        <w:t xml:space="preserve">و هو مؤلف لمحات در شرح لمعات لفخر الدین العراقی. الموجود فی (سپهسالار- 6549) کتب فی القرن العاشر. و إلیه نسب نثر اللآلی کما فی نسخه موجودة عند (الملک). و طبع دیوان یارعلی مع تعلیقات فی 82 ص. بلکهنو 1200.</w:t>
      </w:r>
    </w:p>
    <w:p>
      <w:pPr>
        <w:pStyle w:val="Heading3"/>
      </w:pPr>
      <w:bookmarkStart w:id="11044" w:name="_Toc9740"/>
      <w:r>
        <w:t>8369- دیوان یارعلی طهرانی أو شعره‏</w:t>
      </w:r>
      <w:bookmarkEnd w:id="11044"/>
    </w:p>
    <w:p>
      <w:pPr>
        <w:pStyle w:val="BookText"/>
      </w:pPr>
      <w:r>
        <w:rPr>
          <w:rFonts w:ascii="IRNazanin" w:hAnsi="IRNazanin" w:eastAsia="IRNazanin" w:cs="IRNazanin"/>
          <w:lang w:bidi="fa-IR"/>
          <w:color w:val="111111"/>
          <w:sz w:val="28"/>
          <w:szCs w:val="28"/>
          <w:rtl/>
        </w:rPr>
        <w:t xml:space="preserve">کان طبیبا أورد شعره السامی فی (تس 5- ص 137).</w:t>
      </w:r>
    </w:p>
    <w:p>
      <w:pPr>
        <w:pStyle w:val="Heading3"/>
      </w:pPr>
      <w:bookmarkStart w:id="11045" w:name="_Toc9741"/>
      <w:r>
        <w:t>8370- دیوان یارک قزوینی أو شعره‏</w:t>
      </w:r>
      <w:bookmarkEnd w:id="11045"/>
    </w:p>
    <w:p>
      <w:pPr>
        <w:pStyle w:val="BookText"/>
      </w:pPr>
      <w:r>
        <w:rPr>
          <w:rFonts w:ascii="IRNazanin" w:hAnsi="IRNazanin" w:eastAsia="IRNazanin" w:cs="IRNazanin"/>
          <w:lang w:bidi="fa-IR"/>
          <w:color w:val="111111"/>
          <w:sz w:val="28"/>
          <w:szCs w:val="28"/>
          <w:rtl/>
        </w:rPr>
        <w:t xml:space="preserve">و اسمه الحکیم عماد نزیل هرات. ترجمه الصادقی فی (خص 8- ص 252) و (تش- ص 228).</w:t>
      </w:r>
    </w:p>
    <w:p>
      <w:pPr>
        <w:pStyle w:val="Heading3"/>
      </w:pPr>
      <w:bookmarkStart w:id="11046" w:name="_Toc9742"/>
      <w:r>
        <w:t>8371- دیوان یارمحمد أو شعره‏</w:t>
      </w:r>
      <w:bookmarkEnd w:id="11046"/>
    </w:p>
    <w:p>
      <w:pPr>
        <w:pStyle w:val="BookText"/>
      </w:pPr>
      <w:r>
        <w:rPr>
          <w:rFonts w:ascii="IRNazanin" w:hAnsi="IRNazanin" w:eastAsia="IRNazanin" w:cs="IRNazanin"/>
          <w:lang w:bidi="fa-IR"/>
          <w:color w:val="111111"/>
          <w:sz w:val="28"/>
          <w:szCs w:val="28"/>
          <w:rtl/>
        </w:rPr>
        <w:t xml:space="preserve">فاتنا ذکره بتخلصه رخنه ترجم فی (مجتس 8-
</w:t>
      </w:r>
    </w:p>
    <w:p>
      <w:pPr>
        <w:sectPr>
          <w:footerReference w:type="default" r:id="rId1314"/>
          <w:footnotePr>
            <w:numStart w:val="1"/>
            <w:numRestart w:val="eachPage"/>
          </w:footnotePr>
          <w:pgSz w:orient="portrait" w:w="11905.511811023622" w:h="16837.79527559055"/>
          <w:pgMar w:top="1440" w:right="1440" w:bottom="1440" w:left="1440" w:header="720" w:footer="720" w:gutter="0"/>
          <w:cols w:num="1" w:space="720"/>
        </w:sectPr>
      </w:pPr>
    </w:p>
    <w:bookmarkStart w:id="1289" w:name="pg11704_122852"/>
    <w:bookmarkEnd w:id="1289"/>
    <w:p>
      <w:pPr>
        <w:pStyle w:val="BookText"/>
      </w:pPr>
      <w:r>
        <w:rPr>
          <w:rFonts w:ascii="IRNazanin" w:hAnsi="IRNazanin" w:eastAsia="IRNazanin" w:cs="IRNazanin"/>
          <w:lang w:bidi="fa-IR"/>
          <w:color w:val="111111"/>
          <w:sz w:val="28"/>
          <w:szCs w:val="28"/>
          <w:rtl/>
        </w:rPr>
        <w:t xml:space="preserve">ص 172) و کان ملازم السلطان حسین بایقرا.</w:t>
      </w:r>
    </w:p>
    <w:p>
      <w:pPr>
        <w:pStyle w:val="Heading3"/>
      </w:pPr>
      <w:bookmarkStart w:id="11047" w:name="_Toc9743"/>
      <w:r>
        <w:t>8372- دیوان یاری أسترآبادی أو شعره‏</w:t>
      </w:r>
      <w:bookmarkEnd w:id="11047"/>
    </w:p>
    <w:p>
      <w:pPr>
        <w:pStyle w:val="BookText"/>
      </w:pPr>
      <w:r>
        <w:rPr>
          <w:rFonts w:ascii="IRNazanin" w:hAnsi="IRNazanin" w:eastAsia="IRNazanin" w:cs="IRNazanin"/>
          <w:lang w:bidi="fa-IR"/>
          <w:color w:val="111111"/>
          <w:sz w:val="28"/>
          <w:szCs w:val="28"/>
          <w:rtl/>
        </w:rPr>
        <w:t xml:space="preserve">کان عابدا. أطری طبعه علی شیر فی (مجن 3 ص 86 و 260)(1)</w:t>
      </w:r>
    </w:p>
    <w:p>
      <w:pPr>
        <w:pStyle w:val="Heading3"/>
      </w:pPr>
      <w:bookmarkStart w:id="11048" w:name="_Toc9744"/>
      <w:r>
        <w:t>8373- دیوان یاری أصفهانی أو شعره‏</w:t>
      </w:r>
      <w:bookmarkEnd w:id="11048"/>
    </w:p>
    <w:p>
      <w:pPr>
        <w:pStyle w:val="BookText"/>
      </w:pPr>
      <w:r>
        <w:rPr>
          <w:rFonts w:ascii="IRNazanin" w:hAnsi="IRNazanin" w:eastAsia="IRNazanin" w:cs="IRNazanin"/>
          <w:lang w:bidi="fa-IR"/>
          <w:color w:val="111111"/>
          <w:sz w:val="28"/>
          <w:szCs w:val="28"/>
          <w:rtl/>
        </w:rPr>
        <w:t xml:space="preserve">و اسمه میرزا حسین. کان من ندماء بلاط الأفشاریة بخراسان و توفی 1215. ترجم فی (مع 2: 579) و (انجمن 4).</w:t>
      </w:r>
    </w:p>
    <w:p>
      <w:pPr>
        <w:pStyle w:val="Heading3"/>
      </w:pPr>
      <w:bookmarkStart w:id="11049" w:name="_Toc9745"/>
      <w:r>
        <w:t>8374- دیوان یاری بلخی أو شعره‏</w:t>
      </w:r>
      <w:bookmarkEnd w:id="11049"/>
    </w:p>
    <w:p>
      <w:pPr>
        <w:pStyle w:val="BookText"/>
      </w:pPr>
      <w:r>
        <w:rPr>
          <w:rFonts w:ascii="IRNazanin" w:hAnsi="IRNazanin" w:eastAsia="IRNazanin" w:cs="IRNazanin"/>
          <w:lang w:bidi="fa-IR"/>
          <w:color w:val="111111"/>
          <w:sz w:val="28"/>
          <w:szCs w:val="28"/>
          <w:rtl/>
        </w:rPr>
        <w:t xml:space="preserve">کان من أبناء الوزراء فذهب بصره. ورد شعره فی (مجن 2- ص 46 و 219).</w:t>
      </w:r>
    </w:p>
    <w:p>
      <w:pPr>
        <w:pStyle w:val="Heading3"/>
      </w:pPr>
      <w:bookmarkStart w:id="11050" w:name="_Toc9746"/>
      <w:r>
        <w:t>8375- دیوان یاری تبریزی أو شعره‏</w:t>
      </w:r>
      <w:bookmarkEnd w:id="11050"/>
    </w:p>
    <w:p>
      <w:pPr>
        <w:pStyle w:val="BookText"/>
      </w:pPr>
      <w:r>
        <w:rPr>
          <w:rFonts w:ascii="IRNazanin" w:hAnsi="IRNazanin" w:eastAsia="IRNazanin" w:cs="IRNazanin"/>
          <w:lang w:bidi="fa-IR"/>
          <w:color w:val="111111"/>
          <w:sz w:val="28"/>
          <w:szCs w:val="28"/>
          <w:rtl/>
        </w:rPr>
        <w:t xml:space="preserve">کان شغله خرده‏فروش ورد شعره فی (تس 5- ص 144) و عنه فی (دجا- ص 400) و (گلشن- ص 611).</w:t>
      </w:r>
    </w:p>
    <w:p>
      <w:pPr>
        <w:pStyle w:val="Heading3"/>
      </w:pPr>
      <w:bookmarkStart w:id="11051" w:name="_Toc9747"/>
      <w:r>
        <w:t>دیوان یاری حافظ</w:t>
      </w:r>
      <w:bookmarkEnd w:id="11051"/>
    </w:p>
    <w:p>
      <w:pPr>
        <w:pStyle w:val="BookText"/>
      </w:pPr>
      <w:r>
        <w:rPr>
          <w:rFonts w:ascii="IRNazanin" w:hAnsi="IRNazanin" w:eastAsia="IRNazanin" w:cs="IRNazanin"/>
          <w:lang w:bidi="fa-IR"/>
          <w:color w:val="111111"/>
          <w:sz w:val="28"/>
          <w:szCs w:val="28"/>
          <w:rtl/>
        </w:rPr>
        <w:t xml:space="preserve">راجع حافظ یاری.</w:t>
      </w:r>
    </w:p>
    <w:p>
      <w:pPr>
        <w:pStyle w:val="Heading3"/>
      </w:pPr>
      <w:bookmarkStart w:id="11052" w:name="_Toc9748"/>
      <w:r>
        <w:t>دیوان یاری خراسانی‏</w:t>
      </w:r>
      <w:bookmarkEnd w:id="11052"/>
    </w:p>
    <w:p>
      <w:pPr>
        <w:pStyle w:val="BookText"/>
      </w:pPr>
      <w:r>
        <w:rPr>
          <w:rFonts w:ascii="IRNazanin" w:hAnsi="IRNazanin" w:eastAsia="IRNazanin" w:cs="IRNazanin"/>
          <w:lang w:bidi="fa-IR"/>
          <w:color w:val="111111"/>
          <w:sz w:val="28"/>
          <w:szCs w:val="28"/>
          <w:rtl/>
        </w:rPr>
        <w:t xml:space="preserve">راجع یاری أصفهانی.</w:t>
      </w:r>
    </w:p>
    <w:p>
      <w:pPr>
        <w:pStyle w:val="Heading3"/>
      </w:pPr>
      <w:bookmarkStart w:id="11053" w:name="_Toc9749"/>
      <w:r>
        <w:t>8376- دیوان یاری شیرازی أو شعره‏</w:t>
      </w:r>
      <w:bookmarkEnd w:id="11053"/>
    </w:p>
    <w:p>
      <w:pPr>
        <w:pStyle w:val="BookText"/>
      </w:pPr>
      <w:r>
        <w:rPr>
          <w:rFonts w:ascii="IRNazanin" w:hAnsi="IRNazanin" w:eastAsia="IRNazanin" w:cs="IRNazanin"/>
          <w:lang w:bidi="fa-IR"/>
          <w:color w:val="111111"/>
          <w:sz w:val="28"/>
          <w:szCs w:val="28"/>
          <w:rtl/>
        </w:rPr>
        <w:t xml:space="preserve">کان خطاطا نقاشا ماهرا نزیل هرات. ورد شعره فی هفت إقلیم و فی (مجن 6- ص 120 و 299) إنه جاء من شیراز إلی هرات و دس فی خاتم الملک، فقبض علیه و عفی عنه. و کان مانیا ثانیا فی التصویر. و سماه فی (روشن- ص 787) یارمحمد آخته.</w:t>
      </w:r>
    </w:p>
    <w:p>
      <w:pPr>
        <w:pStyle w:val="Heading3"/>
      </w:pPr>
      <w:bookmarkStart w:id="11054" w:name="_Toc9750"/>
      <w:r>
        <w:t>8377- دیوان یاری هروی أو شعره‏</w:t>
      </w:r>
      <w:bookmarkEnd w:id="11054"/>
    </w:p>
    <w:p>
      <w:pPr>
        <w:pStyle w:val="BookText"/>
      </w:pPr>
      <w:r>
        <w:rPr>
          <w:rFonts w:ascii="IRNazanin" w:hAnsi="IRNazanin" w:eastAsia="IRNazanin" w:cs="IRNazanin"/>
          <w:lang w:bidi="fa-IR"/>
          <w:color w:val="111111"/>
          <w:sz w:val="28"/>
          <w:szCs w:val="28"/>
          <w:rtl/>
        </w:rPr>
        <w:t xml:space="preserve">و اسمه یارمحمد الحافظ. قال فی خطوط خوش- ص 130 إنه خطاط یوجد خطه بتاریخ 953، و لم یخرج فی عمره عن هرات. و یوجد شعر یاری فی (مسرت- ص 78).</w:t>
      </w:r>
    </w:p>
    <w:p>
      <w:pPr>
        <w:pStyle w:val="Heading3"/>
      </w:pPr>
      <w:bookmarkStart w:id="11055" w:name="_Toc9751"/>
      <w:r>
        <w:t>8378- دیوان یاری یزدی أو شعره‏</w:t>
      </w:r>
      <w:bookmarkEnd w:id="11055"/>
    </w:p>
    <w:p>
      <w:pPr>
        <w:pStyle w:val="BookText"/>
      </w:pPr>
      <w:r>
        <w:rPr>
          <w:rFonts w:ascii="IRNazanin" w:hAnsi="IRNazanin" w:eastAsia="IRNazanin" w:cs="IRNazanin"/>
          <w:lang w:bidi="fa-IR"/>
          <w:color w:val="111111"/>
          <w:sz w:val="28"/>
          <w:szCs w:val="28"/>
          <w:rtl/>
        </w:rPr>
        <w:t xml:space="preserve">ورد شعره فی (خوش‏گو) و (گلشن- ص 612).</w:t>
      </w:r>
    </w:p>
    <w:p>
      <w:pPr>
        <w:pStyle w:val="Heading3"/>
      </w:pPr>
      <w:bookmarkStart w:id="11056" w:name="_Toc9752"/>
      <w:r>
        <w:t>8379- دیوان یأس آره‏ای أو شعره‏</w:t>
      </w:r>
      <w:bookmarkEnd w:id="11056"/>
    </w:p>
    <w:p>
      <w:pPr>
        <w:pStyle w:val="BookText"/>
      </w:pPr>
      <w:r>
        <w:rPr>
          <w:rFonts w:ascii="IRNazanin" w:hAnsi="IRNazanin" w:eastAsia="IRNazanin" w:cs="IRNazanin"/>
          <w:lang w:bidi="fa-IR"/>
          <w:color w:val="111111"/>
          <w:sz w:val="28"/>
          <w:szCs w:val="28"/>
          <w:rtl/>
        </w:rPr>
        <w:t xml:space="preserve">من علماء بلدة آره. ورد شعره فی (روشن- ص 788).</w:t>
      </w:r>
    </w:p>
    <w:p>
      <w:pPr>
        <w:pStyle w:val="Heading3"/>
      </w:pPr>
      <w:bookmarkStart w:id="11057" w:name="_Toc9753"/>
      <w:r>
        <w:t>8380- دیوان یاسمن بودامغانی‏</w:t>
      </w:r>
      <w:bookmarkEnd w:id="11057"/>
    </w:p>
    <w:p>
      <w:pPr>
        <w:pStyle w:val="BookText"/>
      </w:pPr>
      <w:r>
        <w:rPr>
          <w:rFonts w:ascii="IRNazanin" w:hAnsi="IRNazanin" w:eastAsia="IRNazanin" w:cs="IRNazanin"/>
          <w:lang w:bidi="fa-IR"/>
          <w:color w:val="111111"/>
          <w:sz w:val="28"/>
          <w:szCs w:val="28"/>
          <w:rtl/>
        </w:rPr>
        <w:t xml:space="preserve">کانت زوجة میرزا عسکر الدامغانی بدکن و بعد وفاة زوجها تزوجت بأحد أمراء المغول بدکن و بها ماتت. کانت خطاطة </w:t>
      </w:r>
      <w:r>
        <w:rPr>
          <w:rStyle w:val="FootnoteReference"/>
        </w:rPr>
        <w:footnoteReference w:id="101"/>
      </w:r>
    </w:p>
    <w:p>
      <w:pPr>
        <w:sectPr>
          <w:footerReference w:type="default" r:id="rId1315"/>
          <w:footnotePr>
            <w:numStart w:val="1"/>
            <w:numRestart w:val="eachPage"/>
          </w:footnotePr>
          <w:pgSz w:orient="portrait" w:w="11905.511811023622" w:h="16837.79527559055"/>
          <w:pgMar w:top="1440" w:right="1440" w:bottom="1440" w:left="1440" w:header="720" w:footer="720" w:gutter="0"/>
          <w:cols w:num="1" w:space="720"/>
        </w:sectPr>
      </w:pPr>
    </w:p>
    <w:bookmarkStart w:id="1290" w:name="pg11704_122854"/>
    <w:bookmarkEnd w:id="1290"/>
    <w:p>
      <w:pPr>
        <w:pStyle w:val="BookText"/>
      </w:pPr>
      <w:r>
        <w:rPr>
          <w:rFonts w:ascii="IRNazanin" w:hAnsi="IRNazanin" w:eastAsia="IRNazanin" w:cs="IRNazanin"/>
          <w:lang w:bidi="fa-IR"/>
          <w:color w:val="111111"/>
          <w:sz w:val="28"/>
          <w:szCs w:val="28"/>
          <w:rtl/>
        </w:rPr>
        <w:t xml:space="preserve">ماهرة بالتعلیق و النسخ و الثلث. ورد شعرها فی از رابعة تا پروین- ص 264 نقلا عن تذکره الخواتین.</w:t>
      </w:r>
    </w:p>
    <w:p>
      <w:pPr>
        <w:pStyle w:val="Heading3"/>
      </w:pPr>
      <w:bookmarkStart w:id="11058" w:name="_Toc9754"/>
      <w:r>
        <w:t>دیوان یاسمی‏</w:t>
      </w:r>
      <w:bookmarkEnd w:id="11058"/>
    </w:p>
    <w:p>
      <w:pPr>
        <w:pStyle w:val="BookText"/>
      </w:pPr>
      <w:r>
        <w:rPr>
          <w:rFonts w:ascii="IRNazanin" w:hAnsi="IRNazanin" w:eastAsia="IRNazanin" w:cs="IRNazanin"/>
          <w:lang w:bidi="fa-IR"/>
          <w:color w:val="111111"/>
          <w:sz w:val="28"/>
          <w:szCs w:val="28"/>
          <w:rtl/>
        </w:rPr>
        <w:t xml:space="preserve">و اسمه رشید مر فی ص 362. طبع دیوانه مع مقدمه جلال همائی فی 176 ص. بطهران 1377 و 1352.</w:t>
      </w:r>
    </w:p>
    <w:p>
      <w:pPr>
        <w:pStyle w:val="Heading3"/>
      </w:pPr>
      <w:bookmarkStart w:id="11059" w:name="_Toc9755"/>
      <w:r>
        <w:t>8381- دیوان یاسین علی شاه‏</w:t>
      </w:r>
      <w:bookmarkEnd w:id="11059"/>
    </w:p>
    <w:p>
      <w:pPr>
        <w:pStyle w:val="BookText"/>
      </w:pPr>
      <w:r>
        <w:rPr>
          <w:rFonts w:ascii="IRNazanin" w:hAnsi="IRNazanin" w:eastAsia="IRNazanin" w:cs="IRNazanin"/>
          <w:lang w:bidi="fa-IR"/>
          <w:color w:val="111111"/>
          <w:sz w:val="28"/>
          <w:szCs w:val="28"/>
          <w:rtl/>
        </w:rPr>
        <w:t xml:space="preserve">مر له صنعت شمسیة و قمریة فی 15: 91.</w:t>
      </w:r>
    </w:p>
    <w:p>
      <w:pPr>
        <w:pStyle w:val="Heading3"/>
      </w:pPr>
      <w:bookmarkStart w:id="11060" w:name="_Toc9756"/>
      <w:r>
        <w:t>8382- دیوان الیافعی الشافعی أو شعره‏</w:t>
      </w:r>
      <w:bookmarkEnd w:id="11060"/>
    </w:p>
    <w:p>
      <w:pPr>
        <w:pStyle w:val="BookText"/>
      </w:pPr>
      <w:r>
        <w:rPr>
          <w:rFonts w:ascii="IRNazanin" w:hAnsi="IRNazanin" w:eastAsia="IRNazanin" w:cs="IRNazanin"/>
          <w:lang w:bidi="fa-IR"/>
          <w:color w:val="111111"/>
          <w:sz w:val="28"/>
          <w:szCs w:val="28"/>
          <w:rtl/>
        </w:rPr>
        <w:t xml:space="preserve">و هو عفیف الدین أبو السعادات عبد الله بن أسعد الیمنی المتوفی بمکة فی (20 ج 2- 768 أو 755) کما فی شعر جاء فی (مسرت- ص 387):</w:t>
      </w:r>
    </w:p>
    <w:p>
      <w:pPr>
        <w:pStyle w:val="BookText"/>
      </w:pPr>
      <w:r>
        <w:rPr>
          <w:rFonts w:ascii="IRNazanin" w:hAnsi="IRNazanin" w:eastAsia="IRNazanin" w:cs="IRNazanin"/>
          <w:lang w:bidi="fa-IR"/>
          <w:color w:val="111111"/>
          <w:sz w:val="28"/>
          <w:szCs w:val="28"/>
          <w:rtl/>
        </w:rPr>
        <w:t xml:space="preserve">سال ترحیل آن ستوده سرشت‏</w:t>
      </w:r>
    </w:p>
    <w:p>
      <w:pPr>
        <w:pStyle w:val="BookText"/>
      </w:pPr>
      <w:r>
        <w:rPr>
          <w:rFonts w:ascii="IRNazanin" w:hAnsi="IRNazanin" w:eastAsia="IRNazanin" w:cs="IRNazanin"/>
          <w:lang w:bidi="fa-IR"/>
          <w:color w:val="111111"/>
          <w:sz w:val="28"/>
          <w:szCs w:val="28"/>
          <w:rtl/>
        </w:rPr>
        <w:t xml:space="preserve">خردم قطب أوج خلد نوشت‏</w:t>
      </w:r>
    </w:p>
    <w:p>
      <w:pPr>
        <w:pStyle w:val="BookText"/>
      </w:pPr>
      <w:r>
        <w:rPr>
          <w:rFonts w:ascii="IRNazanin" w:hAnsi="IRNazanin" w:eastAsia="IRNazanin" w:cs="IRNazanin"/>
          <w:lang w:bidi="fa-IR"/>
          <w:color w:val="111111"/>
          <w:sz w:val="28"/>
          <w:szCs w:val="28"/>
          <w:rtl/>
        </w:rPr>
        <w:t xml:space="preserve">ترجم فی الشذرات و الدرر الکامنة 2: 247 ورد شعره فی مقدمه کتابه مرآة الجنان و جاء فی (مع 1: 656) فارسیاته.</w:t>
      </w:r>
    </w:p>
    <w:p>
      <w:pPr>
        <w:pStyle w:val="Heading3"/>
      </w:pPr>
      <w:bookmarkStart w:id="11061" w:name="_Toc9757"/>
      <w:r>
        <w:t>8383- دیوان یا لیت أسترآبادی أو شعره‏</w:t>
      </w:r>
      <w:bookmarkEnd w:id="11061"/>
    </w:p>
    <w:p>
      <w:pPr>
        <w:pStyle w:val="BookText"/>
      </w:pPr>
      <w:r>
        <w:rPr>
          <w:rFonts w:ascii="IRNazanin" w:hAnsi="IRNazanin" w:eastAsia="IRNazanin" w:cs="IRNazanin"/>
          <w:lang w:bidi="fa-IR"/>
          <w:color w:val="111111"/>
          <w:sz w:val="28"/>
          <w:szCs w:val="28"/>
          <w:rtl/>
        </w:rPr>
        <w:t xml:space="preserve">سماه فی هفت إقلیم بالحکیم یا لیت.</w:t>
      </w:r>
    </w:p>
    <w:p>
      <w:pPr>
        <w:pStyle w:val="Heading3"/>
      </w:pPr>
      <w:bookmarkStart w:id="11062" w:name="_Toc9758"/>
      <w:r>
        <w:t>8384- دیوان یتیم بروجردی أو شعره‏</w:t>
      </w:r>
      <w:bookmarkEnd w:id="11062"/>
    </w:p>
    <w:p>
      <w:pPr>
        <w:pStyle w:val="BookText"/>
      </w:pPr>
      <w:r>
        <w:rPr>
          <w:rFonts w:ascii="IRNazanin" w:hAnsi="IRNazanin" w:eastAsia="IRNazanin" w:cs="IRNazanin"/>
          <w:lang w:bidi="fa-IR"/>
          <w:color w:val="111111"/>
          <w:sz w:val="28"/>
          <w:szCs w:val="28"/>
          <w:rtl/>
        </w:rPr>
        <w:t xml:space="preserve">و اسمه محمود (یزدجردی) ورد شعره فی (نر 9- ص 395) و فی (تش- ص 259) نسبه إلی همدان. و کذا فی (نتایج- ص 791).</w:t>
      </w:r>
    </w:p>
    <w:p>
      <w:pPr>
        <w:pStyle w:val="Heading3"/>
      </w:pPr>
      <w:bookmarkStart w:id="11063" w:name="_Toc9759"/>
      <w:r>
        <w:t>8385- دیوان یتیم لاهوری أو شعره‏</w:t>
      </w:r>
      <w:bookmarkEnd w:id="11063"/>
    </w:p>
    <w:p>
      <w:pPr>
        <w:pStyle w:val="BookText"/>
      </w:pPr>
      <w:r>
        <w:rPr>
          <w:rFonts w:ascii="IRNazanin" w:hAnsi="IRNazanin" w:eastAsia="IRNazanin" w:cs="IRNazanin"/>
          <w:lang w:bidi="fa-IR"/>
          <w:color w:val="111111"/>
          <w:sz w:val="28"/>
          <w:szCs w:val="28"/>
          <w:rtl/>
        </w:rPr>
        <w:t xml:space="preserve">و اسمه میرزا نصر الله بیک ابن المیرزا منعم.</w:t>
      </w:r>
    </w:p>
    <w:p>
      <w:pPr>
        <w:pStyle w:val="BookText"/>
      </w:pPr>
      <w:r>
        <w:rPr>
          <w:rFonts w:ascii="IRNazanin" w:hAnsi="IRNazanin" w:eastAsia="IRNazanin" w:cs="IRNazanin"/>
          <w:lang w:bidi="fa-IR"/>
          <w:color w:val="111111"/>
          <w:sz w:val="28"/>
          <w:szCs w:val="28"/>
          <w:rtl/>
        </w:rPr>
        <w:t xml:space="preserve">ورد شعره فی (گلشن- ص 612) و جاء شعره فی (مسرت- ص 514).</w:t>
      </w:r>
    </w:p>
    <w:p>
      <w:pPr>
        <w:pStyle w:val="Heading3"/>
      </w:pPr>
      <w:bookmarkStart w:id="11064" w:name="_Toc9760"/>
      <w:r>
        <w:t>دیوان یتیم همدانی‏</w:t>
      </w:r>
      <w:bookmarkEnd w:id="11064"/>
    </w:p>
    <w:p>
      <w:pPr>
        <w:pStyle w:val="BookText"/>
      </w:pPr>
      <w:r>
        <w:rPr>
          <w:rFonts w:ascii="IRNazanin" w:hAnsi="IRNazanin" w:eastAsia="IRNazanin" w:cs="IRNazanin"/>
          <w:lang w:bidi="fa-IR"/>
          <w:color w:val="111111"/>
          <w:sz w:val="28"/>
          <w:szCs w:val="28"/>
          <w:rtl/>
        </w:rPr>
        <w:t xml:space="preserve">و اسمه ملا محمود راجع یتیم بروجردی.</w:t>
      </w:r>
    </w:p>
    <w:p>
      <w:pPr>
        <w:pStyle w:val="Heading3"/>
      </w:pPr>
      <w:bookmarkStart w:id="11065" w:name="_Toc9761"/>
      <w:r>
        <w:t>8386- دیوان یتیمی هروی أو شعره‏</w:t>
      </w:r>
      <w:bookmarkEnd w:id="11065"/>
    </w:p>
    <w:p>
      <w:pPr>
        <w:pStyle w:val="BookText"/>
      </w:pPr>
      <w:r>
        <w:rPr>
          <w:rFonts w:ascii="IRNazanin" w:hAnsi="IRNazanin" w:eastAsia="IRNazanin" w:cs="IRNazanin"/>
          <w:lang w:bidi="fa-IR"/>
          <w:color w:val="111111"/>
          <w:sz w:val="28"/>
          <w:szCs w:val="28"/>
          <w:rtl/>
        </w:rPr>
        <w:t xml:space="preserve">ورد شعره فی (خص 8- ص 251).</w:t>
      </w:r>
    </w:p>
    <w:p>
      <w:pPr>
        <w:pStyle w:val="Heading3"/>
      </w:pPr>
      <w:bookmarkStart w:id="11066" w:name="_Toc9762"/>
      <w:r>
        <w:t>8387- دیوان یحیای أحمدآبادی أو شعره‏</w:t>
      </w:r>
      <w:bookmarkEnd w:id="11066"/>
    </w:p>
    <w:p>
      <w:pPr>
        <w:pStyle w:val="BookText"/>
      </w:pPr>
      <w:r>
        <w:rPr>
          <w:rFonts w:ascii="IRNazanin" w:hAnsi="IRNazanin" w:eastAsia="IRNazanin" w:cs="IRNazanin"/>
          <w:lang w:bidi="fa-IR"/>
          <w:color w:val="111111"/>
          <w:sz w:val="28"/>
          <w:szCs w:val="28"/>
          <w:rtl/>
        </w:rPr>
        <w:t xml:space="preserve">ورد شعره فی (روشن- ص 792).</w:t>
      </w:r>
    </w:p>
    <w:p>
      <w:pPr>
        <w:pStyle w:val="Heading3"/>
      </w:pPr>
      <w:bookmarkStart w:id="11067" w:name="_Toc9763"/>
      <w:r>
        <w:t>8388- دیوان یحیای أصفهانی أو شعره‏</w:t>
      </w:r>
      <w:bookmarkEnd w:id="11067"/>
    </w:p>
    <w:p>
      <w:pPr>
        <w:pStyle w:val="BookText"/>
      </w:pPr>
      <w:r>
        <w:rPr>
          <w:rFonts w:ascii="IRNazanin" w:hAnsi="IRNazanin" w:eastAsia="IRNazanin" w:cs="IRNazanin"/>
          <w:lang w:bidi="fa-IR"/>
          <w:color w:val="111111"/>
          <w:sz w:val="28"/>
          <w:szCs w:val="28"/>
          <w:rtl/>
        </w:rPr>
        <w:t xml:space="preserve">هو ابن أخت طاهر وقایع نویس وحید المذکور فی ص 1266 ترجمه النصرآبادی فی (نر 4- ص 84) و همیشه بهار و (امتحان 2: 51).</w:t>
      </w:r>
    </w:p>
    <w:p>
      <w:pPr>
        <w:pStyle w:val="Heading3"/>
      </w:pPr>
      <w:bookmarkStart w:id="11068" w:name="_Toc9764"/>
      <w:r>
        <w:t>8389- دیوان یحیای الله‏آبادی أو شعره‏</w:t>
      </w:r>
      <w:bookmarkEnd w:id="11068"/>
    </w:p>
    <w:p>
      <w:pPr>
        <w:pStyle w:val="BookText"/>
      </w:pPr>
      <w:r>
        <w:rPr>
          <w:rFonts w:ascii="IRNazanin" w:hAnsi="IRNazanin" w:eastAsia="IRNazanin" w:cs="IRNazanin"/>
          <w:lang w:bidi="fa-IR"/>
          <w:color w:val="111111"/>
          <w:sz w:val="28"/>
          <w:szCs w:val="28"/>
          <w:rtl/>
        </w:rPr>
        <w:t xml:space="preserve">و اسمه محمد یحیی و یعرف شاه خوب الله المتوفی 11 ج 1- 1144 ترجم و ورد شعره فی (سرو- ص 211) و فی (روشن- ص 789) و جلس للإرشاد بعد محمد أفضل و دفن عند قبره أیضا
</w:t>
      </w:r>
    </w:p>
    <w:p>
      <w:pPr>
        <w:sectPr>
          <w:footerReference w:type="default" r:id="rId1316"/>
          <w:footnotePr>
            <w:numStart w:val="1"/>
            <w:numRestart w:val="eachPage"/>
          </w:footnotePr>
          <w:pgSz w:orient="portrait" w:w="11905.511811023622" w:h="16837.79527559055"/>
          <w:pgMar w:top="1440" w:right="1440" w:bottom="1440" w:left="1440" w:header="720" w:footer="720" w:gutter="0"/>
          <w:cols w:num="1" w:space="720"/>
        </w:sectPr>
      </w:pPr>
    </w:p>
    <w:bookmarkStart w:id="1291" w:name="pg11704_122855"/>
    <w:bookmarkEnd w:id="1291"/>
    <w:p>
      <w:pPr>
        <w:pStyle w:val="Heading3"/>
      </w:pPr>
      <w:bookmarkStart w:id="11069" w:name="_Toc9765"/>
      <w:r>
        <w:t>دیوان یحیای أوزبک‏</w:t>
      </w:r>
      <w:bookmarkEnd w:id="11069"/>
    </w:p>
    <w:p>
      <w:pPr>
        <w:pStyle w:val="BookText"/>
      </w:pPr>
      <w:r>
        <w:rPr>
          <w:rFonts w:ascii="IRNazanin" w:hAnsi="IRNazanin" w:eastAsia="IRNazanin" w:cs="IRNazanin"/>
          <w:lang w:bidi="fa-IR"/>
          <w:color w:val="111111"/>
          <w:sz w:val="28"/>
          <w:szCs w:val="28"/>
          <w:rtl/>
        </w:rPr>
        <w:t xml:space="preserve">راجع یحیای سبزواری‏</w:t>
      </w:r>
    </w:p>
    <w:p>
      <w:pPr>
        <w:pStyle w:val="Heading3"/>
      </w:pPr>
      <w:bookmarkStart w:id="11070" w:name="_Toc9766"/>
      <w:r>
        <w:t>8390- دیوان یحیای بمی‏</w:t>
      </w:r>
      <w:bookmarkEnd w:id="11070"/>
    </w:p>
    <w:p>
      <w:pPr>
        <w:pStyle w:val="BookText"/>
      </w:pPr>
      <w:r>
        <w:rPr>
          <w:rFonts w:ascii="IRNazanin" w:hAnsi="IRNazanin" w:eastAsia="IRNazanin" w:cs="IRNazanin"/>
          <w:lang w:bidi="fa-IR"/>
          <w:color w:val="111111"/>
          <w:sz w:val="28"/>
          <w:szCs w:val="28"/>
          <w:rtl/>
        </w:rPr>
        <w:t xml:space="preserve">و هو شیخ الإسلام الحاج میرزا یحیی نسخه منه بخط محمد جعفر بن محمد علی کتبت بعد وفاة الشاعر فی 1288 عند السید محمد الکرمانی الهاشمی بطهران، فیها مدائح الحاج محمد کریم خان الشیخی و غیره کلها 169 ورقة کل صفحة 11 سطرا</w:t>
      </w:r>
    </w:p>
    <w:p>
      <w:pPr>
        <w:pStyle w:val="Heading3"/>
      </w:pPr>
      <w:bookmarkStart w:id="11071" w:name="_Toc9767"/>
      <w:r>
        <w:t>8391- دیوان المیرزا یحیی‏</w:t>
      </w:r>
      <w:bookmarkEnd w:id="11071"/>
    </w:p>
    <w:p>
      <w:pPr>
        <w:pStyle w:val="BookText"/>
      </w:pPr>
      <w:r>
        <w:rPr>
          <w:rFonts w:ascii="IRNazanin" w:hAnsi="IRNazanin" w:eastAsia="IRNazanin" w:cs="IRNazanin"/>
          <w:lang w:bidi="fa-IR"/>
          <w:color w:val="111111"/>
          <w:sz w:val="28"/>
          <w:szCs w:val="28"/>
          <w:rtl/>
        </w:rPr>
        <w:t xml:space="preserve">ابن المیرزا إسماعیل المدرس البیدآبادی الأصفهانی مؤلف مرآة المصنف المتوفی فی الأربعاء (11 ذی القعدة 1349) أرخه المعلم الحبیب‏آبادی فی رجال أصفهان ص 62 و قال دیوانه مطبوع و تخلصه یحیی و ترجم فی مجلة أرمغان 9: 457</w:t>
      </w:r>
    </w:p>
    <w:p>
      <w:pPr>
        <w:pStyle w:val="Heading3"/>
      </w:pPr>
      <w:bookmarkStart w:id="11072" w:name="_Toc9768"/>
      <w:r>
        <w:t>8392- دیوان السید یحیی الدشتکی‏</w:t>
      </w:r>
      <w:bookmarkEnd w:id="11072"/>
    </w:p>
    <w:p>
      <w:pPr>
        <w:pStyle w:val="BookText"/>
      </w:pPr>
      <w:r>
        <w:rPr>
          <w:rFonts w:ascii="IRNazanin" w:hAnsi="IRNazanin" w:eastAsia="IRNazanin" w:cs="IRNazanin"/>
          <w:lang w:bidi="fa-IR"/>
          <w:color w:val="111111"/>
          <w:sz w:val="28"/>
          <w:szCs w:val="28"/>
          <w:rtl/>
        </w:rPr>
        <w:t xml:space="preserve">ابن السید نظام الدین أحمد بن معصوم الحسینی الدشتکی هو أخ السید علی خان المدنی نقل عنه أخوه السید علی خان المذکور و کتبه بخطه النسخ الجید ضمن مجموعة کشکولیة و منها قوله:</w:t>
      </w:r>
    </w:p>
    <w:p>
      <w:pPr>
        <w:pStyle w:val="BookText"/>
      </w:pPr>
      <w:r>
        <w:rPr>
          <w:rFonts w:ascii="IRNazanin" w:hAnsi="IRNazanin" w:eastAsia="IRNazanin" w:cs="IRNazanin"/>
          <w:lang w:bidi="fa-IR"/>
          <w:color w:val="111111"/>
          <w:sz w:val="28"/>
          <w:szCs w:val="28"/>
          <w:rtl/>
        </w:rPr>
        <w:t xml:space="preserve">یا راحلین و قلبی راحل معهم‏</w:t>
      </w:r>
    </w:p>
    <w:p>
      <w:pPr>
        <w:pStyle w:val="BookText"/>
      </w:pPr>
      <w:r>
        <w:rPr>
          <w:rFonts w:ascii="IRNazanin" w:hAnsi="IRNazanin" w:eastAsia="IRNazanin" w:cs="IRNazanin"/>
          <w:lang w:bidi="fa-IR"/>
          <w:color w:val="111111"/>
          <w:sz w:val="28"/>
          <w:szCs w:val="28"/>
          <w:rtl/>
        </w:rPr>
        <w:t xml:space="preserve">مهلا فلولاکم و الله ما رحلا</w:t>
      </w:r>
    </w:p>
    <w:p>
      <w:pPr>
        <w:pStyle w:val="BookText"/>
      </w:pPr>
      <w:r>
        <w:rPr>
          <w:rFonts w:ascii="IRNazanin" w:hAnsi="IRNazanin" w:eastAsia="IRNazanin" w:cs="IRNazanin"/>
          <w:lang w:bidi="fa-IR"/>
          <w:color w:val="111111"/>
          <w:sz w:val="28"/>
          <w:szCs w:val="28"/>
          <w:rtl/>
        </w:rPr>
        <w:t xml:space="preserve">و هذه النسخة توجد فی مکتبة الشیخ الخلانی فی بغداد</w:t>
      </w:r>
    </w:p>
    <w:p>
      <w:pPr>
        <w:pStyle w:val="Heading3"/>
      </w:pPr>
      <w:bookmarkStart w:id="11073" w:name="_Toc9769"/>
      <w:r>
        <w:t>8393- دیوان الشیخ یحیی أبی الفضل‏</w:t>
      </w:r>
      <w:bookmarkEnd w:id="11073"/>
    </w:p>
    <w:p>
      <w:pPr>
        <w:pStyle w:val="BookText"/>
      </w:pPr>
      <w:r>
        <w:rPr>
          <w:rFonts w:ascii="IRNazanin" w:hAnsi="IRNazanin" w:eastAsia="IRNazanin" w:cs="IRNazanin"/>
          <w:lang w:bidi="fa-IR"/>
          <w:color w:val="111111"/>
          <w:sz w:val="28"/>
          <w:szCs w:val="28"/>
          <w:rtl/>
        </w:rPr>
        <w:t xml:space="preserve">ابن أبی طی حمیدة الحلبی المتوفی 630 کما فی بعض مواضع کشف الظنون، و فی بعض المواضع توفی 658 و فی لسان المیزان ج 6 ص 263 یحیی أبو الفضل ابن أبی طی حمید بن ظافر بن علی إلخ و فی بغیة الوعاة- ص 410 یحیی بن أحمد بن عبد الرحمن بن ظافر بن إبراهیم و کناه بأبی بکر مع اختلاف کثیر فی أسماء آبائه مع ما فی لسان المیزان، و لذا اقتصر سیدنا فی تأسیس الشیعة ص 128 بقوله یحیی بن أبی طی أحمد بن ظافر الطائی الکلبی الحلبی أبو الفضل المولود أوائل شوال 575 و حکی فی لسان المیزان عن یاقوت ترجمه طویلة لابن أبی طی لا توجد فی معجم الأدباء و صرح سیدنا فی التأسیس بأن ترجمه یاقوت له فی معجم البلدان لکنه لم یعین المادة التی فیها و مما نقل عن یاقوت أن ابن أبی طی تلمذ مدة عند الشیخ محمد بن علی بن شهرآشوب المتوفی 585 و عده الصفدی الذی مات 764 فی نکت الهمیان من تلامیذ السید الأشرف بن الأغر المشهور بتاج العلی‏
</w:t>
      </w:r>
    </w:p>
    <w:p>
      <w:pPr>
        <w:sectPr>
          <w:footerReference w:type="default" r:id="rId1317"/>
          <w:footnotePr>
            <w:numStart w:val="1"/>
            <w:numRestart w:val="eachPage"/>
          </w:footnotePr>
          <w:pgSz w:orient="portrait" w:w="11905.511811023622" w:h="16837.79527559055"/>
          <w:pgMar w:top="1440" w:right="1440" w:bottom="1440" w:left="1440" w:header="720" w:footer="720" w:gutter="0"/>
          <w:cols w:num="1" w:space="720"/>
        </w:sectPr>
      </w:pPr>
    </w:p>
    <w:bookmarkStart w:id="1292" w:name="pg11704_122857"/>
    <w:bookmarkEnd w:id="1292"/>
    <w:p>
      <w:pPr>
        <w:pStyle w:val="BookText"/>
      </w:pPr>
      <w:r>
        <w:rPr>
          <w:rFonts w:ascii="IRNazanin" w:hAnsi="IRNazanin" w:eastAsia="IRNazanin" w:cs="IRNazanin"/>
          <w:lang w:bidi="fa-IR"/>
          <w:color w:val="111111"/>
          <w:sz w:val="28"/>
          <w:szCs w:val="28"/>
          <w:rtl/>
        </w:rPr>
        <w:t xml:space="preserve">العلوی الذی توفی بحلب 610 و نقل عن کتاب تاریخه الذی ذکره کشف الظنون أیضا و له أیضا الطبقات الإمامیة فی رجال الشیعة نقل عنه کذلک العسقلانی الذی توفی 852 فی مواضع من کتابه الإصابة و حکی سیدنا فی التأسیس عن ریاض العلماء أنه عده من مشاهیر الأصحاب و المصنفین فی أقسام العلوم و حکی أیضا عن خط الشیخ شمس الدین الجبعی نقلا عن خط الشهید، بعض نوادره و شعره قال: له مدائح کثیرة فی أهل البیت‏</w:t>
      </w:r>
    </w:p>
    <w:p>
      <w:pPr>
        <w:pStyle w:val="Heading3"/>
      </w:pPr>
      <w:bookmarkStart w:id="11074" w:name="_Toc9770"/>
      <w:r>
        <w:t>8394- دیوان یحیای دولت‏آبادی‏</w:t>
      </w:r>
      <w:bookmarkEnd w:id="11074"/>
    </w:p>
    <w:p>
      <w:pPr>
        <w:pStyle w:val="BookText"/>
      </w:pPr>
      <w:r>
        <w:rPr>
          <w:rFonts w:ascii="IRNazanin" w:hAnsi="IRNazanin" w:eastAsia="IRNazanin" w:cs="IRNazanin"/>
          <w:lang w:bidi="fa-IR"/>
          <w:color w:val="111111"/>
          <w:sz w:val="28"/>
          <w:szCs w:val="28"/>
          <w:rtl/>
        </w:rPr>
        <w:t xml:space="preserve">و هو الحاج میرزا یحیی ابن الحاج میرزا هادی من أحفاد القاضی نور الله التستری ولد بدولت‏آباد أصفهان 1279 و تلمذ علی السید الشیرازی بسامراء و الجلوة بطهران، و سکن إفرنسا مدة، و ألف رسالات کثیرة ترجم فی مجلة أرمغان السنة 23 و</w:t>
      </w:r>
    </w:p>
    <w:p>
      <w:pPr>
        <w:pStyle w:val="BookText"/>
      </w:pPr>
      <w:r>
        <w:rPr>
          <w:rFonts w:ascii="IRNazanin" w:hAnsi="IRNazanin" w:eastAsia="IRNazanin" w:cs="IRNazanin"/>
          <w:lang w:bidi="fa-IR"/>
          <w:color w:val="111111"/>
          <w:sz w:val="28"/>
          <w:szCs w:val="28"/>
          <w:rtl/>
        </w:rPr>
        <w:t xml:space="preserve">شعرای معاصر أصفهان- ص 542 و عد له 25 تألیفا و من منظوماته ما طبع باسم أردیبهشت مجلدان و طبع له تسدیس خاقانی و مات فی 1368 کما فی سخنوران نامی- ج 2 ص 281</w:t>
      </w:r>
    </w:p>
    <w:p>
      <w:pPr>
        <w:pStyle w:val="Heading3"/>
      </w:pPr>
      <w:bookmarkStart w:id="11075" w:name="_Toc9771"/>
      <w:r>
        <w:t>8395- دیوان یحیای سبزواری أو شعره‏</w:t>
      </w:r>
      <w:bookmarkEnd w:id="11075"/>
    </w:p>
    <w:p>
      <w:pPr>
        <w:pStyle w:val="BookText"/>
      </w:pPr>
      <w:r>
        <w:rPr>
          <w:rFonts w:ascii="IRNazanin" w:hAnsi="IRNazanin" w:eastAsia="IRNazanin" w:cs="IRNazanin"/>
          <w:lang w:bidi="fa-IR"/>
          <w:color w:val="111111"/>
          <w:sz w:val="28"/>
          <w:szCs w:val="28"/>
          <w:rtl/>
        </w:rPr>
        <w:t xml:space="preserve">و اسمه یحیی خان أزبک نزل مکة و بها توفی 1025 ترجمه النصرآبادی فی (نر 9- ص 264) و (روشن- ص 789)</w:t>
      </w:r>
    </w:p>
    <w:p>
      <w:pPr>
        <w:pStyle w:val="Heading3"/>
      </w:pPr>
      <w:bookmarkStart w:id="11076" w:name="_Toc9772"/>
      <w:r>
        <w:t>دیوان یحیای سرخوش‏</w:t>
      </w:r>
      <w:bookmarkEnd w:id="11076"/>
    </w:p>
    <w:p>
      <w:pPr>
        <w:pStyle w:val="BookText"/>
      </w:pPr>
      <w:r>
        <w:rPr>
          <w:rFonts w:ascii="IRNazanin" w:hAnsi="IRNazanin" w:eastAsia="IRNazanin" w:cs="IRNazanin"/>
          <w:lang w:bidi="fa-IR"/>
          <w:color w:val="111111"/>
          <w:sz w:val="28"/>
          <w:szCs w:val="28"/>
          <w:rtl/>
        </w:rPr>
        <w:t xml:space="preserve">المذکور فی ص 439 و طبع له گوی و چوگان فی 1314 بطهران فی 15 ص‏</w:t>
      </w:r>
    </w:p>
    <w:p>
      <w:pPr>
        <w:pStyle w:val="Heading3"/>
      </w:pPr>
      <w:bookmarkStart w:id="11077" w:name="_Toc9773"/>
      <w:r>
        <w:t>8396- دیوان یحیای سمرقندی أو شعره‏</w:t>
      </w:r>
      <w:bookmarkEnd w:id="11077"/>
    </w:p>
    <w:p>
      <w:pPr>
        <w:pStyle w:val="BookText"/>
      </w:pPr>
      <w:r>
        <w:rPr>
          <w:rFonts w:ascii="IRNazanin" w:hAnsi="IRNazanin" w:eastAsia="IRNazanin" w:cs="IRNazanin"/>
          <w:lang w:bidi="fa-IR"/>
          <w:color w:val="111111"/>
          <w:sz w:val="28"/>
          <w:szCs w:val="28"/>
          <w:rtl/>
        </w:rPr>
        <w:t xml:space="preserve">قال النصرآبادی فی (نر 9- ص 429) إنه من طلبة العلم و أورد شعره‏</w:t>
      </w:r>
    </w:p>
    <w:p>
      <w:pPr>
        <w:pStyle w:val="Heading3"/>
      </w:pPr>
      <w:bookmarkStart w:id="11078" w:name="_Toc9774"/>
      <w:r>
        <w:t>8397- دیوان یحیای سیستانی أو شعره‏</w:t>
      </w:r>
      <w:bookmarkEnd w:id="11078"/>
    </w:p>
    <w:p>
      <w:pPr>
        <w:pStyle w:val="BookText"/>
      </w:pPr>
      <w:r>
        <w:rPr>
          <w:rFonts w:ascii="IRNazanin" w:hAnsi="IRNazanin" w:eastAsia="IRNazanin" w:cs="IRNazanin"/>
          <w:lang w:bidi="fa-IR"/>
          <w:color w:val="111111"/>
          <w:sz w:val="28"/>
          <w:szCs w:val="28"/>
          <w:rtl/>
        </w:rPr>
        <w:t xml:space="preserve">کان قاضیا بسیستان معاصرا للسلطان أبی تراب و تجنن ورد شعره فی (مجتس 3- ص 144)</w:t>
      </w:r>
    </w:p>
    <w:p>
      <w:pPr>
        <w:pStyle w:val="Heading3"/>
      </w:pPr>
      <w:bookmarkStart w:id="11079" w:name="_Toc9775"/>
      <w:r>
        <w:t>8398- دیوان یحیای شیبک‏</w:t>
      </w:r>
      <w:bookmarkEnd w:id="11079"/>
    </w:p>
    <w:p>
      <w:pPr>
        <w:pStyle w:val="BookText"/>
      </w:pPr>
      <w:r>
        <w:rPr>
          <w:rFonts w:ascii="IRNazanin" w:hAnsi="IRNazanin" w:eastAsia="IRNazanin" w:cs="IRNazanin"/>
          <w:lang w:bidi="fa-IR"/>
          <w:color w:val="111111"/>
          <w:sz w:val="28"/>
          <w:szCs w:val="28"/>
          <w:rtl/>
        </w:rPr>
        <w:t xml:space="preserve">راجع دیوان فتاحی فی ص 807</w:t>
      </w:r>
    </w:p>
    <w:p>
      <w:pPr>
        <w:pStyle w:val="Heading3"/>
      </w:pPr>
      <w:bookmarkStart w:id="11080" w:name="_Toc9776"/>
      <w:r>
        <w:t>8399- دیوان یحیای عظیم‏آبادی أو شعره‏</w:t>
      </w:r>
      <w:bookmarkEnd w:id="11080"/>
    </w:p>
    <w:p>
      <w:pPr>
        <w:pStyle w:val="BookText"/>
      </w:pPr>
      <w:r>
        <w:rPr>
          <w:rFonts w:ascii="IRNazanin" w:hAnsi="IRNazanin" w:eastAsia="IRNazanin" w:cs="IRNazanin"/>
          <w:lang w:bidi="fa-IR"/>
          <w:color w:val="111111"/>
          <w:sz w:val="28"/>
          <w:szCs w:val="28"/>
          <w:rtl/>
        </w:rPr>
        <w:t xml:space="preserve">و اسمه السید یحیی الرضوی المتوفی 1293 ورد شعره فی (گلشن- ص 612)</w:t>
      </w:r>
    </w:p>
    <w:p>
      <w:pPr>
        <w:pStyle w:val="Heading3"/>
      </w:pPr>
      <w:bookmarkStart w:id="11081" w:name="_Toc9777"/>
      <w:r>
        <w:t>8400- دیوان یحیای غوث أعظم‏</w:t>
      </w:r>
      <w:bookmarkEnd w:id="11081"/>
    </w:p>
    <w:p>
      <w:pPr>
        <w:pStyle w:val="BookText"/>
      </w:pPr>
      <w:r>
        <w:rPr>
          <w:rFonts w:ascii="IRNazanin" w:hAnsi="IRNazanin" w:eastAsia="IRNazanin" w:cs="IRNazanin"/>
          <w:lang w:bidi="fa-IR"/>
          <w:color w:val="111111"/>
          <w:sz w:val="28"/>
          <w:szCs w:val="28"/>
          <w:rtl/>
        </w:rPr>
        <w:t xml:space="preserve">طبع دیوانه بتخلص یحیی فی 56 ص بلکهنو فی 1869- 1286 و طبع له منظومة فتوح الحرمین علی الحجر
</w:t>
      </w:r>
    </w:p>
    <w:p>
      <w:pPr>
        <w:sectPr>
          <w:footerReference w:type="default" r:id="rId1318"/>
          <w:footnotePr>
            <w:numStart w:val="1"/>
            <w:numRestart w:val="eachPage"/>
          </w:footnotePr>
          <w:pgSz w:orient="portrait" w:w="11905.511811023622" w:h="16837.79527559055"/>
          <w:pgMar w:top="1440" w:right="1440" w:bottom="1440" w:left="1440" w:header="720" w:footer="720" w:gutter="0"/>
          <w:cols w:num="1" w:space="720"/>
        </w:sectPr>
      </w:pPr>
    </w:p>
    <w:bookmarkStart w:id="1293" w:name="pg11704_122859"/>
    <w:bookmarkEnd w:id="1293"/>
    <w:p>
      <w:pPr>
        <w:pStyle w:val="Heading3"/>
      </w:pPr>
      <w:bookmarkStart w:id="11082" w:name="_Toc9778"/>
      <w:r>
        <w:t>8401- دیوان یحیای قزوینی أو شعره‏</w:t>
      </w:r>
      <w:bookmarkEnd w:id="11082"/>
    </w:p>
    <w:p>
      <w:pPr>
        <w:pStyle w:val="BookText"/>
      </w:pPr>
      <w:r>
        <w:rPr>
          <w:rFonts w:ascii="IRNazanin" w:hAnsi="IRNazanin" w:eastAsia="IRNazanin" w:cs="IRNazanin"/>
          <w:lang w:bidi="fa-IR"/>
          <w:color w:val="111111"/>
          <w:sz w:val="28"/>
          <w:szCs w:val="28"/>
          <w:rtl/>
        </w:rPr>
        <w:t xml:space="preserve">و هو مؤلف لب التواریخ و مات 901 کما فی (گلشن- ص 613) و هفت إقلیم‏</w:t>
      </w:r>
    </w:p>
    <w:p>
      <w:pPr>
        <w:pStyle w:val="Heading3"/>
      </w:pPr>
      <w:bookmarkStart w:id="11083" w:name="_Toc9779"/>
      <w:r>
        <w:t>دیوان یحیای قمی‏</w:t>
      </w:r>
      <w:bookmarkEnd w:id="11083"/>
    </w:p>
    <w:p>
      <w:pPr>
        <w:pStyle w:val="BookText"/>
      </w:pPr>
      <w:r>
        <w:rPr>
          <w:rFonts w:ascii="IRNazanin" w:hAnsi="IRNazanin" w:eastAsia="IRNazanin" w:cs="IRNazanin"/>
          <w:lang w:bidi="fa-IR"/>
          <w:color w:val="111111"/>
          <w:sz w:val="28"/>
          <w:szCs w:val="28"/>
          <w:rtl/>
        </w:rPr>
        <w:t xml:space="preserve">ترجمه النصرآبادی فی (نر 9 و 13- ص 243 و 477) و نسب إلیه شعرا فی تاریخ بناء شاه جهان‏آباد و لم یعرفه و الظاهر أنه هو الکاشانی الآتی‏</w:t>
      </w:r>
    </w:p>
    <w:p>
      <w:pPr>
        <w:pStyle w:val="Heading3"/>
      </w:pPr>
      <w:bookmarkStart w:id="11084" w:name="_Toc9780"/>
      <w:r>
        <w:t>8402- دیوان یحیای کاشانی‏</w:t>
      </w:r>
      <w:bookmarkEnd w:id="11084"/>
    </w:p>
    <w:p>
      <w:pPr>
        <w:pStyle w:val="BookText"/>
      </w:pPr>
      <w:r>
        <w:rPr>
          <w:rFonts w:ascii="IRNazanin" w:hAnsi="IRNazanin" w:eastAsia="IRNazanin" w:cs="IRNazanin"/>
          <w:lang w:bidi="fa-IR"/>
          <w:color w:val="111111"/>
          <w:sz w:val="28"/>
          <w:szCs w:val="28"/>
          <w:rtl/>
        </w:rPr>
        <w:t xml:space="preserve">و هو القاضی یحیی قال النصرآبادی فی (نر 9- ص 242) إن أصله من لاهیجان بگیلان و لما سکن کاشان اشتهر به و بعد ثلاثین سنة سافر إلی الهند و نصب کتاب دار لشاه‏جهان ثم رجع إلی کاشان و کان بعدئذ نشطا و فی (سرو- ص 85) قال جاء من وطنه إلی الهند و نظم تاریخ بناء أرک لبلدة شاه جهان‏آباد فقال [</w:t>
      </w:r>
    </w:p>
    <w:p>
      <w:pPr>
        <w:pStyle w:val="BookText"/>
      </w:pPr>
      <w:r>
        <w:rPr>
          <w:rFonts w:ascii="IRNazanin" w:hAnsi="IRNazanin" w:eastAsia="IRNazanin" w:cs="IRNazanin"/>
          <w:lang w:bidi="fa-IR"/>
          <w:color w:val="111111"/>
          <w:sz w:val="28"/>
          <w:szCs w:val="28"/>
          <w:rtl/>
        </w:rPr>
        <w:t xml:space="preserve">شد شاه جهان‏آباد</w:t>
      </w:r>
    </w:p>
    <w:p>
      <w:pPr>
        <w:pStyle w:val="BookText"/>
      </w:pPr>
      <w:r>
        <w:rPr>
          <w:rFonts w:ascii="IRNazanin" w:hAnsi="IRNazanin" w:eastAsia="IRNazanin" w:cs="IRNazanin"/>
          <w:lang w:bidi="fa-IR"/>
          <w:color w:val="111111"/>
          <w:sz w:val="28"/>
          <w:szCs w:val="28"/>
          <w:rtl/>
        </w:rPr>
        <w:t xml:space="preserve">از شاه جهان‏آباد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1058] فوصله الشاه ألف روپیه و مات 11 محرم 1064 و کذا فی (خوش‏گو) و (تش- ص 164) و (سرخوش- ص 125) و (حسینی- ص 373) و همیشه بهار و (مسرت- ص 183) و فی (نتایج- ص 788) قال إن أصله من شیراز و نزل أبوه بکاشان‏</w:t>
      </w:r>
    </w:p>
    <w:p>
      <w:pPr>
        <w:pStyle w:val="Heading3"/>
      </w:pPr>
      <w:bookmarkStart w:id="11085" w:name="_Toc9781"/>
      <w:r>
        <w:t>دیوان یحیای گیلانی‏</w:t>
      </w:r>
      <w:bookmarkEnd w:id="11085"/>
    </w:p>
    <w:p>
      <w:pPr>
        <w:pStyle w:val="BookText"/>
      </w:pPr>
      <w:r>
        <w:rPr>
          <w:rFonts w:ascii="IRNazanin" w:hAnsi="IRNazanin" w:eastAsia="IRNazanin" w:cs="IRNazanin"/>
          <w:lang w:bidi="fa-IR"/>
          <w:color w:val="111111"/>
          <w:sz w:val="28"/>
          <w:szCs w:val="28"/>
          <w:rtl/>
        </w:rPr>
        <w:t xml:space="preserve">راجع یحیای لاهیجی‏</w:t>
      </w:r>
    </w:p>
    <w:p>
      <w:pPr>
        <w:pStyle w:val="Heading3"/>
      </w:pPr>
      <w:bookmarkStart w:id="11086" w:name="_Toc9782"/>
      <w:r>
        <w:t>8403- دیوان یحیای گیلانی أو شعره‏</w:t>
      </w:r>
      <w:bookmarkEnd w:id="11086"/>
    </w:p>
    <w:p>
      <w:pPr>
        <w:pStyle w:val="BookText"/>
      </w:pPr>
      <w:r>
        <w:rPr>
          <w:rFonts w:ascii="IRNazanin" w:hAnsi="IRNazanin" w:eastAsia="IRNazanin" w:cs="IRNazanin"/>
          <w:lang w:bidi="fa-IR"/>
          <w:color w:val="111111"/>
          <w:sz w:val="28"/>
          <w:szCs w:val="28"/>
          <w:rtl/>
        </w:rPr>
        <w:t xml:space="preserve">و هو ابن مولانا أحمد الطبیب من أطباء الشاه إسماعیل الأول ترجم فی هفت إقلیم و (خوش‏گو)</w:t>
      </w:r>
    </w:p>
    <w:p>
      <w:pPr>
        <w:pStyle w:val="Heading3"/>
      </w:pPr>
      <w:bookmarkStart w:id="11087" w:name="_Toc9783"/>
      <w:r>
        <w:t>8404- دیوان یحیای لاری أو شعره‏</w:t>
      </w:r>
      <w:bookmarkEnd w:id="11087"/>
    </w:p>
    <w:p>
      <w:pPr>
        <w:pStyle w:val="BookText"/>
      </w:pPr>
      <w:r>
        <w:rPr>
          <w:rFonts w:ascii="IRNazanin" w:hAnsi="IRNazanin" w:eastAsia="IRNazanin" w:cs="IRNazanin"/>
          <w:lang w:bidi="fa-IR"/>
          <w:color w:val="111111"/>
          <w:sz w:val="28"/>
          <w:szCs w:val="28"/>
          <w:rtl/>
        </w:rPr>
        <w:t xml:space="preserve">ورد شعره فی (گلشن- ص 613)</w:t>
      </w:r>
    </w:p>
    <w:p>
      <w:pPr>
        <w:pStyle w:val="Heading3"/>
      </w:pPr>
      <w:bookmarkStart w:id="11088" w:name="_Toc9784"/>
      <w:r>
        <w:t>8405- دیوان یحیای لاهیجی أو شعره‏</w:t>
      </w:r>
      <w:bookmarkEnd w:id="11088"/>
    </w:p>
    <w:p>
      <w:pPr>
        <w:pStyle w:val="BookText"/>
      </w:pPr>
      <w:r>
        <w:rPr>
          <w:rFonts w:ascii="IRNazanin" w:hAnsi="IRNazanin" w:eastAsia="IRNazanin" w:cs="IRNazanin"/>
          <w:lang w:bidi="fa-IR"/>
          <w:color w:val="111111"/>
          <w:sz w:val="28"/>
          <w:szCs w:val="28"/>
          <w:rtl/>
        </w:rPr>
        <w:t xml:space="preserve">ترجمه سام میرزا فی (تس 4- ص 77) و قال کان قاضیا، و لعله المذکور فی (خص 8- ص 184) و خلط فی (تش- ص 164) و قال إنه ابن أخی القاضی عبد الله و سافر إلی الهند و نصب کتاب دار و کذا فی (مع 2: 57) و فی (نتایج- ص 787) أنه مات 952 و یوجد شعر القاضی یحیی اللاهیجی فی گنجینه گران‏مایه عند (فخر الدین) و فی (مسرت- ص 238 و 53) و ترجم فی (علمای گیلان- ص 94- 97)</w:t>
      </w:r>
    </w:p>
    <w:p>
      <w:pPr>
        <w:pStyle w:val="Heading3"/>
      </w:pPr>
      <w:bookmarkStart w:id="11089" w:name="_Toc9785"/>
      <w:r>
        <w:t>8406- دیوان یحیای لکهنوی أو شعره‏</w:t>
      </w:r>
      <w:bookmarkEnd w:id="11089"/>
    </w:p>
    <w:p>
      <w:pPr>
        <w:pStyle w:val="BookText"/>
      </w:pPr>
      <w:r>
        <w:rPr>
          <w:rFonts w:ascii="IRNazanin" w:hAnsi="IRNazanin" w:eastAsia="IRNazanin" w:cs="IRNazanin"/>
          <w:lang w:bidi="fa-IR"/>
          <w:color w:val="111111"/>
          <w:sz w:val="28"/>
          <w:szCs w:val="28"/>
          <w:rtl/>
        </w:rPr>
        <w:t xml:space="preserve">و اسمه یحیی علی خان بن المنشی ثابت علی خان ورد شعره فی (گلشن- ص 614)</w:t>
      </w:r>
    </w:p>
    <w:p>
      <w:pPr>
        <w:pStyle w:val="Heading3"/>
      </w:pPr>
      <w:bookmarkStart w:id="11090" w:name="_Toc9786"/>
      <w:r>
        <w:t>دیوان یحیای مروارید</w:t>
      </w:r>
      <w:bookmarkEnd w:id="11090"/>
    </w:p>
    <w:p>
      <w:pPr>
        <w:pStyle w:val="BookText"/>
      </w:pPr>
      <w:r>
        <w:rPr>
          <w:rFonts w:ascii="IRNazanin" w:hAnsi="IRNazanin" w:eastAsia="IRNazanin" w:cs="IRNazanin"/>
          <w:lang w:bidi="fa-IR"/>
          <w:color w:val="111111"/>
          <w:sz w:val="28"/>
          <w:szCs w:val="28"/>
          <w:rtl/>
        </w:rPr>
        <w:t xml:space="preserve">مر فی ص 1031 بعنوان مروارید
</w:t>
      </w:r>
    </w:p>
    <w:p>
      <w:pPr>
        <w:sectPr>
          <w:footerReference w:type="default" r:id="rId1319"/>
          <w:footnotePr>
            <w:numStart w:val="1"/>
            <w:numRestart w:val="eachPage"/>
          </w:footnotePr>
          <w:pgSz w:orient="portrait" w:w="11905.511811023622" w:h="16837.79527559055"/>
          <w:pgMar w:top="1440" w:right="1440" w:bottom="1440" w:left="1440" w:header="720" w:footer="720" w:gutter="0"/>
          <w:cols w:num="1" w:space="720"/>
        </w:sectPr>
      </w:pPr>
    </w:p>
    <w:bookmarkStart w:id="1294" w:name="pg11704_122861"/>
    <w:bookmarkEnd w:id="1294"/>
    <w:p>
      <w:pPr>
        <w:pStyle w:val="Heading3"/>
      </w:pPr>
      <w:bookmarkStart w:id="11091" w:name="_Toc9787"/>
      <w:r>
        <w:t>8407- دیوان یحیای ملایری‏</w:t>
      </w:r>
      <w:bookmarkEnd w:id="11091"/>
    </w:p>
    <w:p>
      <w:pPr>
        <w:pStyle w:val="BookText"/>
      </w:pPr>
      <w:r>
        <w:rPr>
          <w:rFonts w:ascii="IRNazanin" w:hAnsi="IRNazanin" w:eastAsia="IRNazanin" w:cs="IRNazanin"/>
          <w:lang w:bidi="fa-IR"/>
          <w:color w:val="111111"/>
          <w:sz w:val="28"/>
          <w:szCs w:val="28"/>
          <w:rtl/>
        </w:rPr>
        <w:t xml:space="preserve">ترجم فی مقال فی مجلة أرمغان 12: 207</w:t>
      </w:r>
    </w:p>
    <w:p>
      <w:pPr>
        <w:pStyle w:val="Heading3"/>
      </w:pPr>
      <w:bookmarkStart w:id="11092" w:name="_Toc9788"/>
      <w:r>
        <w:t>8408- دیوان یحیای نیشابوری أو شعره‏</w:t>
      </w:r>
      <w:bookmarkEnd w:id="11092"/>
    </w:p>
    <w:p>
      <w:pPr>
        <w:pStyle w:val="BookText"/>
      </w:pPr>
      <w:r>
        <w:rPr>
          <w:rFonts w:ascii="IRNazanin" w:hAnsi="IRNazanin" w:eastAsia="IRNazanin" w:cs="IRNazanin"/>
          <w:lang w:bidi="fa-IR"/>
          <w:color w:val="111111"/>
          <w:sz w:val="28"/>
          <w:szCs w:val="28"/>
          <w:rtl/>
        </w:rPr>
        <w:t xml:space="preserve">و هو محیی الدین یحیی بن محمد بن یحیی و مات 850 ورد شعره فی (مطلع 3: 189) و (ض- ص 160) و (تش- ص 143) و (گلشن- ص 613) و (مع 2: 57)</w:t>
      </w:r>
    </w:p>
    <w:p>
      <w:pPr>
        <w:pStyle w:val="Heading3"/>
      </w:pPr>
      <w:bookmarkStart w:id="11093" w:name="_Toc9789"/>
      <w:r>
        <w:t>8409- دیوان یزدان قلی بیک بخارائی أو شعره‏</w:t>
      </w:r>
      <w:bookmarkEnd w:id="11093"/>
    </w:p>
    <w:p>
      <w:pPr>
        <w:pStyle w:val="BookText"/>
      </w:pPr>
      <w:r>
        <w:rPr>
          <w:rFonts w:ascii="IRNazanin" w:hAnsi="IRNazanin" w:eastAsia="IRNazanin" w:cs="IRNazanin"/>
          <w:lang w:bidi="fa-IR"/>
          <w:color w:val="111111"/>
          <w:sz w:val="28"/>
          <w:szCs w:val="28"/>
          <w:rtl/>
        </w:rPr>
        <w:t xml:space="preserve">هو من الأتراک کما ذکر فی (نر 10- ص 440) و أورد شعره الفارسی و کذا فی (گلشن- ص 615)</w:t>
      </w:r>
    </w:p>
    <w:p>
      <w:pPr>
        <w:pStyle w:val="Heading3"/>
      </w:pPr>
      <w:bookmarkStart w:id="11094" w:name="_Toc9790"/>
      <w:r>
        <w:t>8410- دیوان یزدانی شیرازی أو شعره‏</w:t>
      </w:r>
      <w:bookmarkEnd w:id="11094"/>
    </w:p>
    <w:p>
      <w:pPr>
        <w:pStyle w:val="BookText"/>
      </w:pPr>
      <w:r>
        <w:rPr>
          <w:rFonts w:ascii="IRNazanin" w:hAnsi="IRNazanin" w:eastAsia="IRNazanin" w:cs="IRNazanin"/>
          <w:lang w:bidi="fa-IR"/>
          <w:color w:val="111111"/>
          <w:sz w:val="28"/>
          <w:szCs w:val="28"/>
          <w:rtl/>
        </w:rPr>
        <w:t xml:space="preserve">و اسمه عبد الوهاب أصغر أولاد وصال شیرازی المذکور فی ص 1268 الخطاط الفنان الشاعر بالفارسیة و العربیة و خطوطه موجودة بکتائب مقبرة شاه چراغ بشیراز و الحرم الرضوی بخراسان و دیوانه فی ألف و خمسمائة بیت و مات 1328 و دفن عند أخیه فرهنگ المذکور فی ص 829 و هو والد روحانی وصال المذکور فی ص 386 و ترجم فی (گلشن وصال- ص 361) و (عم- ص 361)</w:t>
      </w:r>
    </w:p>
    <w:p>
      <w:pPr>
        <w:pStyle w:val="Heading3"/>
      </w:pPr>
      <w:bookmarkStart w:id="11095" w:name="_Toc9791"/>
      <w:r>
        <w:t>دیوان یعقوب آق‏قوینلو</w:t>
      </w:r>
      <w:bookmarkEnd w:id="11095"/>
    </w:p>
    <w:p>
      <w:pPr>
        <w:pStyle w:val="BookText"/>
      </w:pPr>
      <w:r>
        <w:rPr>
          <w:rFonts w:ascii="IRNazanin" w:hAnsi="IRNazanin" w:eastAsia="IRNazanin" w:cs="IRNazanin"/>
          <w:lang w:bidi="fa-IR"/>
          <w:color w:val="111111"/>
          <w:sz w:val="28"/>
          <w:szCs w:val="28"/>
          <w:rtl/>
        </w:rPr>
        <w:t xml:space="preserve">راجع السلطان یعقوب ترکمان‏</w:t>
      </w:r>
    </w:p>
    <w:p>
      <w:pPr>
        <w:pStyle w:val="Heading3"/>
      </w:pPr>
      <w:bookmarkStart w:id="11096" w:name="_Toc9792"/>
      <w:r>
        <w:t>8411- دیوان یعقوب أردبیلی‏</w:t>
      </w:r>
      <w:bookmarkEnd w:id="11096"/>
    </w:p>
    <w:p>
      <w:pPr>
        <w:pStyle w:val="BookText"/>
      </w:pPr>
      <w:r>
        <w:rPr>
          <w:rFonts w:ascii="IRNazanin" w:hAnsi="IRNazanin" w:eastAsia="IRNazanin" w:cs="IRNazanin"/>
          <w:lang w:bidi="fa-IR"/>
          <w:color w:val="111111"/>
          <w:sz w:val="28"/>
          <w:szCs w:val="28"/>
          <w:rtl/>
        </w:rPr>
        <w:t xml:space="preserve">کان جندیا مع فضائله الکثیرة، منها أنه کان ینظم الشعر بألسنة کثیرة ترجمه فی (دجا- ص 401) نقلا عن هفت إقلیم و أورد شعره بالکردیة و بالترکیة</w:t>
      </w:r>
    </w:p>
    <w:p>
      <w:pPr>
        <w:pStyle w:val="Heading3"/>
      </w:pPr>
      <w:bookmarkStart w:id="11097" w:name="_Toc9793"/>
      <w:r>
        <w:t>8412- دیوان یعقوب أستاجلو أو شعره‏</w:t>
      </w:r>
      <w:bookmarkEnd w:id="11097"/>
    </w:p>
    <w:p>
      <w:pPr>
        <w:pStyle w:val="BookText"/>
      </w:pPr>
      <w:r>
        <w:rPr>
          <w:rFonts w:ascii="IRNazanin" w:hAnsi="IRNazanin" w:eastAsia="IRNazanin" w:cs="IRNazanin"/>
          <w:lang w:bidi="fa-IR"/>
          <w:color w:val="111111"/>
          <w:sz w:val="28"/>
          <w:szCs w:val="28"/>
          <w:rtl/>
        </w:rPr>
        <w:t xml:space="preserve">هو ابن بایزید سلطان المتوفی 950 کان من أحفاد أمیر الأمراء للشاه إسماعیل ترجمه سام میرزا فی (تس 5- ص 183) و أورد رباعیه‏</w:t>
      </w:r>
    </w:p>
    <w:p>
      <w:pPr>
        <w:pStyle w:val="Heading3"/>
      </w:pPr>
      <w:bookmarkStart w:id="11098" w:name="_Toc9794"/>
      <w:r>
        <w:t>8413- دیوان یعقوب ترکمان‏</w:t>
      </w:r>
      <w:bookmarkEnd w:id="11098"/>
    </w:p>
    <w:p>
      <w:pPr>
        <w:pStyle w:val="BookText"/>
      </w:pPr>
      <w:r>
        <w:rPr>
          <w:rFonts w:ascii="IRNazanin" w:hAnsi="IRNazanin" w:eastAsia="IRNazanin" w:cs="IRNazanin"/>
          <w:lang w:bidi="fa-IR"/>
          <w:color w:val="111111"/>
          <w:sz w:val="28"/>
          <w:szCs w:val="28"/>
          <w:rtl/>
        </w:rPr>
        <w:t xml:space="preserve">ابن أمیر حسن بیک بن علی بن قرأ عثمان ترجمه سام میرزا فی (تس 1- ص 17) و نقل عنه فی (دجا- ص 402) ما ملخصه أنه هاجر جده الأعلی من أقصی الشرق إلی حدود دیار بکر، و أول من تسلطن منهم الأمیر حسن بیک و بعده أکبر ولده السلطان خلیل، و بعده ابنه الأصغر یعقوب، استقل علی الملک 883 إلی أن مات 896 مطابق (کیخسرو) و أورد رباعیة له و ذکر هناک عدة من شعراء عصره و جملة من الکتب المؤلفة باسمه و ترجمه مختصرا فی (مع- ج 1 ص 62)
</w:t>
      </w:r>
    </w:p>
    <w:p>
      <w:pPr>
        <w:sectPr>
          <w:footerReference w:type="default" r:id="rId1320"/>
          <w:footnotePr>
            <w:numStart w:val="1"/>
            <w:numRestart w:val="eachPage"/>
          </w:footnotePr>
          <w:pgSz w:orient="portrait" w:w="11905.511811023622" w:h="16837.79527559055"/>
          <w:pgMar w:top="1440" w:right="1440" w:bottom="1440" w:left="1440" w:header="720" w:footer="720" w:gutter="0"/>
          <w:cols w:num="1" w:space="720"/>
        </w:sectPr>
      </w:pPr>
    </w:p>
    <w:bookmarkStart w:id="1295" w:name="pg11704_122863"/>
    <w:bookmarkEnd w:id="1295"/>
    <w:p>
      <w:pPr>
        <w:pStyle w:val="BookText"/>
      </w:pPr>
      <w:r>
        <w:rPr>
          <w:rFonts w:ascii="IRNazanin" w:hAnsi="IRNazanin" w:eastAsia="IRNazanin" w:cs="IRNazanin"/>
          <w:lang w:bidi="fa-IR"/>
          <w:color w:val="111111"/>
          <w:sz w:val="28"/>
          <w:szCs w:val="28"/>
          <w:rtl/>
        </w:rPr>
        <w:t xml:space="preserve">و (تش 25) و (روشن- ص 792) و همیشه بهار</w:t>
      </w:r>
    </w:p>
    <w:p>
      <w:pPr>
        <w:pStyle w:val="Heading3"/>
      </w:pPr>
      <w:bookmarkStart w:id="11099" w:name="_Toc9795"/>
      <w:r>
        <w:t>8414- دیوان یعقوب چرخی أو شعره‏</w:t>
      </w:r>
      <w:bookmarkEnd w:id="11099"/>
    </w:p>
    <w:p>
      <w:pPr>
        <w:pStyle w:val="BookText"/>
      </w:pPr>
      <w:r>
        <w:rPr>
          <w:rFonts w:ascii="IRNazanin" w:hAnsi="IRNazanin" w:eastAsia="IRNazanin" w:cs="IRNazanin"/>
          <w:lang w:bidi="fa-IR"/>
          <w:color w:val="111111"/>
          <w:sz w:val="28"/>
          <w:szCs w:val="28"/>
          <w:rtl/>
        </w:rPr>
        <w:t xml:space="preserve">و اسمه یعقوب الغزنوی ورد شعره فی هفت إقلیم و خوش‏گو</w:t>
      </w:r>
    </w:p>
    <w:p>
      <w:pPr>
        <w:pStyle w:val="Heading3"/>
      </w:pPr>
      <w:bookmarkStart w:id="11100" w:name="_Toc9796"/>
      <w:r>
        <w:t>8415- دیوان الشیخ یعقوب الحلی‏</w:t>
      </w:r>
      <w:bookmarkEnd w:id="11100"/>
    </w:p>
    <w:p>
      <w:pPr>
        <w:pStyle w:val="BookText"/>
      </w:pPr>
      <w:r>
        <w:rPr>
          <w:rFonts w:ascii="IRNazanin" w:hAnsi="IRNazanin" w:eastAsia="IRNazanin" w:cs="IRNazanin"/>
          <w:lang w:bidi="fa-IR"/>
          <w:color w:val="111111"/>
          <w:sz w:val="28"/>
          <w:szCs w:val="28"/>
          <w:rtl/>
        </w:rPr>
        <w:t xml:space="preserve">ابن الحسین النجفی بن جعفر الحلی المتوفی 1329 و المدفون بوادی السلام جمعه ولده الخطیب الشهیر الشیخ محمد علی یعقوب من بقایا ما عثر علیه من مواضع متفرقة بعد تلف کثیر من شعره فی حادثة الحلة فی 1335، یقرب من ألفی بیت فی المدیح و الرثاء و التهانی و غیرها و ترجمه السماوی فی الجزء الثانی من الطلیعة و أورد بعض مراثیه‏</w:t>
      </w:r>
    </w:p>
    <w:p>
      <w:pPr>
        <w:pStyle w:val="Heading3"/>
      </w:pPr>
      <w:bookmarkStart w:id="11101" w:name="_Toc9797"/>
      <w:r>
        <w:t>دیوان یعقوب ساوجی‏</w:t>
      </w:r>
      <w:bookmarkEnd w:id="11101"/>
    </w:p>
    <w:p>
      <w:pPr>
        <w:pStyle w:val="BookText"/>
      </w:pPr>
      <w:r>
        <w:rPr>
          <w:rFonts w:ascii="IRNazanin" w:hAnsi="IRNazanin" w:eastAsia="IRNazanin" w:cs="IRNazanin"/>
          <w:lang w:bidi="fa-IR"/>
          <w:color w:val="111111"/>
          <w:sz w:val="28"/>
          <w:szCs w:val="28"/>
          <w:rtl/>
        </w:rPr>
        <w:t xml:space="preserve">راجع نجم الدین فی ص 1175</w:t>
      </w:r>
    </w:p>
    <w:p>
      <w:pPr>
        <w:pStyle w:val="Heading3"/>
      </w:pPr>
      <w:bookmarkStart w:id="11102" w:name="_Toc9798"/>
      <w:r>
        <w:t>8416- دیوان یعقوب غیاث‏پوری أو شعره‏</w:t>
      </w:r>
      <w:bookmarkEnd w:id="11102"/>
    </w:p>
    <w:p>
      <w:pPr>
        <w:pStyle w:val="BookText"/>
      </w:pPr>
      <w:r>
        <w:rPr>
          <w:rFonts w:ascii="IRNazanin" w:hAnsi="IRNazanin" w:eastAsia="IRNazanin" w:cs="IRNazanin"/>
          <w:lang w:bidi="fa-IR"/>
          <w:color w:val="111111"/>
          <w:sz w:val="28"/>
          <w:szCs w:val="28"/>
          <w:rtl/>
        </w:rPr>
        <w:t xml:space="preserve">و اسمه محمد یعقوب ورد شعره فی (گلشن- ص 615)</w:t>
      </w:r>
    </w:p>
    <w:p>
      <w:pPr>
        <w:pStyle w:val="Heading3"/>
      </w:pPr>
      <w:bookmarkStart w:id="11103" w:name="_Toc9799"/>
      <w:r>
        <w:t>دیوان یعقوب قمی‏</w:t>
      </w:r>
      <w:bookmarkEnd w:id="11103"/>
    </w:p>
    <w:p>
      <w:pPr>
        <w:pStyle w:val="BookText"/>
      </w:pPr>
      <w:r>
        <w:rPr>
          <w:rFonts w:ascii="IRNazanin" w:hAnsi="IRNazanin" w:eastAsia="IRNazanin" w:cs="IRNazanin"/>
          <w:lang w:bidi="fa-IR"/>
          <w:color w:val="111111"/>
          <w:sz w:val="28"/>
          <w:szCs w:val="28"/>
          <w:rtl/>
        </w:rPr>
        <w:t xml:space="preserve">کما فی (گلشن- ص 615) راجع یعقوبی قمی‏</w:t>
      </w:r>
    </w:p>
    <w:p>
      <w:pPr>
        <w:pStyle w:val="Heading3"/>
      </w:pPr>
      <w:bookmarkStart w:id="11104" w:name="_Toc9800"/>
      <w:r>
        <w:t>8417- دیوان یعقوب کشمیری أو شعره‏</w:t>
      </w:r>
      <w:bookmarkEnd w:id="11104"/>
    </w:p>
    <w:p>
      <w:pPr>
        <w:pStyle w:val="BookText"/>
      </w:pPr>
      <w:r>
        <w:rPr>
          <w:rFonts w:ascii="IRNazanin" w:hAnsi="IRNazanin" w:eastAsia="IRNazanin" w:cs="IRNazanin"/>
          <w:lang w:bidi="fa-IR"/>
          <w:color w:val="111111"/>
          <w:sz w:val="28"/>
          <w:szCs w:val="28"/>
          <w:rtl/>
        </w:rPr>
        <w:t xml:space="preserve">و اسمه ملا یعقوب عد فی (طبق 2: 464) من شعراء أکبر شاه و کذا فی هفت إقلیم‏</w:t>
      </w:r>
    </w:p>
    <w:p>
      <w:pPr>
        <w:pStyle w:val="Heading3"/>
      </w:pPr>
      <w:bookmarkStart w:id="11105" w:name="_Toc9801"/>
      <w:r>
        <w:t>8418- دیوان یعقوب ماهی‏دشتی‏</w:t>
      </w:r>
      <w:bookmarkEnd w:id="11105"/>
    </w:p>
    <w:p>
      <w:pPr>
        <w:pStyle w:val="BookText"/>
      </w:pPr>
      <w:r>
        <w:rPr>
          <w:rFonts w:ascii="IRNazanin" w:hAnsi="IRNazanin" w:eastAsia="IRNazanin" w:cs="IRNazanin"/>
          <w:lang w:bidi="fa-IR"/>
          <w:color w:val="111111"/>
          <w:sz w:val="28"/>
          <w:szCs w:val="28"/>
          <w:rtl/>
        </w:rPr>
        <w:t xml:space="preserve">طبع قطعة من شعره الکردی بتصحیح محمد مکری بطهران‏</w:t>
      </w:r>
    </w:p>
    <w:p>
      <w:pPr>
        <w:pStyle w:val="Heading3"/>
      </w:pPr>
      <w:bookmarkStart w:id="11106" w:name="_Toc9802"/>
      <w:r>
        <w:t>8419- دیوان یعقوب هندی‏</w:t>
      </w:r>
      <w:bookmarkEnd w:id="11106"/>
    </w:p>
    <w:p>
      <w:pPr>
        <w:pStyle w:val="BookText"/>
      </w:pPr>
      <w:r>
        <w:rPr>
          <w:rFonts w:ascii="IRNazanin" w:hAnsi="IRNazanin" w:eastAsia="IRNazanin" w:cs="IRNazanin"/>
          <w:lang w:bidi="fa-IR"/>
          <w:color w:val="111111"/>
          <w:sz w:val="28"/>
          <w:szCs w:val="28"/>
          <w:rtl/>
        </w:rPr>
        <w:t xml:space="preserve">للسید ظل الحسین طبع کلیاته فی المدائح و المراثی للمعصومین بالأردویة</w:t>
      </w:r>
    </w:p>
    <w:p>
      <w:pPr>
        <w:pStyle w:val="Heading3"/>
      </w:pPr>
      <w:bookmarkStart w:id="11107" w:name="_Toc9803"/>
      <w:r>
        <w:t>دیوان یعقوبی ساوجی‏</w:t>
      </w:r>
      <w:bookmarkEnd w:id="11107"/>
    </w:p>
    <w:p>
      <w:pPr>
        <w:pStyle w:val="BookText"/>
      </w:pPr>
      <w:r>
        <w:rPr>
          <w:rFonts w:ascii="IRNazanin" w:hAnsi="IRNazanin" w:eastAsia="IRNazanin" w:cs="IRNazanin"/>
          <w:lang w:bidi="fa-IR"/>
          <w:color w:val="111111"/>
          <w:sz w:val="28"/>
          <w:szCs w:val="28"/>
          <w:rtl/>
        </w:rPr>
        <w:t xml:space="preserve">راجع نجم الدین ساوجی فی ص 1175</w:t>
      </w:r>
    </w:p>
    <w:p>
      <w:pPr>
        <w:pStyle w:val="Heading3"/>
      </w:pPr>
      <w:bookmarkStart w:id="11108" w:name="_Toc9804"/>
      <w:r>
        <w:t>8420- دیوان یعقوبی قمی أو شعره‏</w:t>
      </w:r>
      <w:bookmarkEnd w:id="11108"/>
    </w:p>
    <w:p>
      <w:pPr>
        <w:pStyle w:val="BookText"/>
      </w:pPr>
      <w:r>
        <w:rPr>
          <w:rFonts w:ascii="IRNazanin" w:hAnsi="IRNazanin" w:eastAsia="IRNazanin" w:cs="IRNazanin"/>
          <w:lang w:bidi="fa-IR"/>
          <w:color w:val="111111"/>
          <w:sz w:val="28"/>
          <w:szCs w:val="28"/>
          <w:rtl/>
        </w:rPr>
        <w:t xml:space="preserve">و هو السید یعقوب الخیاط أصله من قم ولد بکاشان و مات بها فی 988 ترجم فی (تس 2- ص 40) و (خص 6- ص 96) و (گلشن- ص 615) و همیشه بهار</w:t>
      </w:r>
    </w:p>
    <w:p>
      <w:pPr>
        <w:pStyle w:val="Heading3"/>
      </w:pPr>
      <w:bookmarkStart w:id="11109" w:name="_Toc9805"/>
      <w:r>
        <w:t>دیوان یعقوبی کاشی‏</w:t>
      </w:r>
      <w:bookmarkEnd w:id="11109"/>
    </w:p>
    <w:p>
      <w:pPr>
        <w:pStyle w:val="BookText"/>
      </w:pPr>
      <w:r>
        <w:rPr>
          <w:rFonts w:ascii="IRNazanin" w:hAnsi="IRNazanin" w:eastAsia="IRNazanin" w:cs="IRNazanin"/>
          <w:lang w:bidi="fa-IR"/>
          <w:color w:val="111111"/>
          <w:sz w:val="28"/>
          <w:szCs w:val="28"/>
          <w:rtl/>
        </w:rPr>
        <w:t xml:space="preserve">راجع یعقوب قمی‏</w:t>
      </w:r>
    </w:p>
    <w:p>
      <w:pPr>
        <w:pStyle w:val="Heading3"/>
      </w:pPr>
      <w:bookmarkStart w:id="11110" w:name="_Toc9806"/>
      <w:r>
        <w:t>8421- دیوان الیعقوبی النجفی‏</w:t>
      </w:r>
      <w:bookmarkEnd w:id="11110"/>
    </w:p>
    <w:p>
      <w:pPr>
        <w:pStyle w:val="BookText"/>
      </w:pPr>
      <w:r>
        <w:rPr>
          <w:rFonts w:ascii="IRNazanin" w:hAnsi="IRNazanin" w:eastAsia="IRNazanin" w:cs="IRNazanin"/>
          <w:lang w:bidi="fa-IR"/>
          <w:color w:val="111111"/>
          <w:sz w:val="28"/>
          <w:szCs w:val="28"/>
          <w:rtl/>
        </w:rPr>
        <w:t xml:space="preserve">و هو الشیخ محمد علی یعقوب الیعقوبی المتوفی 1384 الخطیب بالنجف مر له الذخائر و یأتی المقصورة العلویة و غیرها
</w:t>
      </w:r>
    </w:p>
    <w:p>
      <w:pPr>
        <w:sectPr>
          <w:footerReference w:type="default" r:id="rId1321"/>
          <w:footnotePr>
            <w:numStart w:val="1"/>
            <w:numRestart w:val="eachPage"/>
          </w:footnotePr>
          <w:pgSz w:orient="portrait" w:w="11905.511811023622" w:h="16837.79527559055"/>
          <w:pgMar w:top="1440" w:right="1440" w:bottom="1440" w:left="1440" w:header="720" w:footer="720" w:gutter="0"/>
          <w:cols w:num="1" w:space="720"/>
        </w:sectPr>
      </w:pPr>
    </w:p>
    <w:bookmarkStart w:id="1296" w:name="pg11704_122865"/>
    <w:bookmarkEnd w:id="1296"/>
    <w:p>
      <w:pPr>
        <w:pStyle w:val="Heading3"/>
      </w:pPr>
      <w:bookmarkStart w:id="11111" w:name="_Toc9807"/>
      <w:r>
        <w:t>8422- دیوان یغمای جندقی‏</w:t>
      </w:r>
      <w:bookmarkEnd w:id="11111"/>
    </w:p>
    <w:p>
      <w:pPr>
        <w:pStyle w:val="BookText"/>
      </w:pPr>
      <w:r>
        <w:rPr>
          <w:rFonts w:ascii="IRNazanin" w:hAnsi="IRNazanin" w:eastAsia="IRNazanin" w:cs="IRNazanin"/>
          <w:lang w:bidi="fa-IR"/>
          <w:color w:val="111111"/>
          <w:sz w:val="28"/>
          <w:szCs w:val="28"/>
          <w:rtl/>
        </w:rPr>
        <w:t xml:space="preserve">کان اسمه أولا رحیم ابن الحاج إبراهیم قلی ولد بخور من قرأ بیابانک من قصبة جندق، حدود 1196 و لما بلغ سبع سنین أخذه الأمیر إسماعیل عرب عامری صاحب أقطاع جندق معه إلی البلد و رباه هناک حتی صار منشیا عنده و کان ینظم و یتخلص مجنون و لما حارب إسماعیل حکومة طهران و انکسر و انهزم فی 1216 إلی خراسان، أخذ یغما أسیرا إلی سمنان عند سردار ذو الفقار، و بقی عنده ست سنین منشیا، ثم هجاه بمنظومة سرداریة فحبسه و ضربه و عذب أقربائه بجندق و صادر أموالهم، و بعد عدة أشهر انهزم و بدل اسمه إلی أبو الحسن و تخلص یغما و سافر إلی العراق، و بعد موت ذو الفقار رجع من بغداد إلی جندق ثم سافر إلی طهران و تقرب عند میرزا آقاسی و محمد شاه و سافر مع محمد شاه إلی هرات و انتقل إلی کاشان و هجا حاکمها بمنظومة خلاصة الافتضاحات فکفره إمام الجمعة بکاشان، و لکنه نجی منه بحمایة من المولی أحمد النراقی و سکن آخر عمره بمولده بخور و مات بها فی 16- ع 2- 1276 و دفن بمقبرة السید داود و قال ولده إسماعیل هنر المذکور فی ص 1302 فی تاریخه:</w:t>
      </w:r>
    </w:p>
    <w:p>
      <w:pPr>
        <w:pStyle w:val="BookText"/>
      </w:pPr>
      <w:r>
        <w:rPr>
          <w:rFonts w:ascii="IRNazanin" w:hAnsi="IRNazanin" w:eastAsia="IRNazanin" w:cs="IRNazanin"/>
          <w:lang w:bidi="fa-IR"/>
          <w:color w:val="111111"/>
          <w:sz w:val="28"/>
          <w:szCs w:val="28"/>
          <w:rtl/>
        </w:rPr>
        <w:t xml:space="preserve">مهروزه این ابتلا، آمد ز دیوان قضا</w:t>
      </w:r>
    </w:p>
    <w:p>
      <w:pPr>
        <w:pStyle w:val="BookText"/>
      </w:pPr>
      <w:r>
        <w:rPr>
          <w:rFonts w:ascii="IRNazanin" w:hAnsi="IRNazanin" w:eastAsia="IRNazanin" w:cs="IRNazanin"/>
          <w:lang w:bidi="fa-IR"/>
          <w:color w:val="111111"/>
          <w:sz w:val="28"/>
          <w:szCs w:val="28"/>
          <w:rtl/>
        </w:rPr>
        <w:t xml:space="preserve">طال البلا، زال البها، تم الرقم، جف القلم‏</w:t>
      </w:r>
    </w:p>
    <w:p>
      <w:pPr>
        <w:pStyle w:val="BookText"/>
      </w:pPr>
      <w:r>
        <w:rPr>
          <w:rFonts w:ascii="IRNazanin" w:hAnsi="IRNazanin" w:eastAsia="IRNazanin" w:cs="IRNazanin"/>
          <w:lang w:bidi="fa-IR"/>
          <w:color w:val="111111"/>
          <w:sz w:val="28"/>
          <w:szCs w:val="28"/>
          <w:rtl/>
        </w:rPr>
        <w:t xml:space="preserve">و کان أدیبا منقدا وسیع المشرب تابع الصوفیة تارة و الشیخیة أخری له خط جید و لکنه لم یدون أشعاره بنفسه، فجمعها الحاج إسماعیل الطهرانی، فأنکر علیه یغما عمله فی مکتوب کتبه إلی ابنه أحمد صفائی فی 1272 و طبع ما جمعه إسماعیل بأمر اعتضاد السلطنة وزیر المعارف بطهران 1283 مشتملا علی 1- نثریات فی 145 ص 2- غزلیات 3- سرداریة 4- قصابیة 5- أحمدا 6- خلاصة الافتضاحات 7- صکوک الدلیل 8- مراثی 9- ترجیعات 10- مقطعات 11- رباعیات کلها فی 390 ص ثم فی بمبئی فی 1302 ثم طهران بتصحیح محمد حسین طبری فی 1377 مع مقدمه لناظرزاده الکرمانی فی 144 ص و بقی عقبه فی ثلاثة أولادهم، إسماعیل هنر المذکور فی ص 1302 و أحمد صفائی و إبراهیم ترجمه سبطه حبیب یغمائی فی ثلاثة أعداد من مجلة أرمغان السنة الخامسة ثم طبعه مستقلا نقل فیه عن فلک مریخ و تذکره بسمل و (انجمن 4) و مرآة البلدان 2: 270 و زنبیل لفرهاد میرزا ص 148
</w:t>
      </w:r>
    </w:p>
    <w:p>
      <w:pPr>
        <w:sectPr>
          <w:footerReference w:type="default" r:id="rId1322"/>
          <w:footnotePr>
            <w:numStart w:val="1"/>
            <w:numRestart w:val="eachPage"/>
          </w:footnotePr>
          <w:pgSz w:orient="portrait" w:w="11905.511811023622" w:h="16837.79527559055"/>
          <w:pgMar w:top="1440" w:right="1440" w:bottom="1440" w:left="1440" w:header="720" w:footer="720" w:gutter="0"/>
          <w:cols w:num="1" w:space="720"/>
        </w:sectPr>
      </w:pPr>
    </w:p>
    <w:bookmarkStart w:id="1297" w:name="pg11704_122867"/>
    <w:bookmarkEnd w:id="1297"/>
    <w:p>
      <w:pPr>
        <w:pStyle w:val="BookText"/>
      </w:pPr>
      <w:r>
        <w:rPr>
          <w:rFonts w:ascii="IRNazanin" w:hAnsi="IRNazanin" w:eastAsia="IRNazanin" w:cs="IRNazanin"/>
          <w:lang w:bidi="fa-IR"/>
          <w:color w:val="111111"/>
          <w:sz w:val="28"/>
          <w:szCs w:val="28"/>
          <w:rtl/>
        </w:rPr>
        <w:t xml:space="preserve">و براون 4: 217 و (تش یز- ص 350) یوجد نسخه من دیوانه بخط ولده هنر عند (فخر الدین- 106)</w:t>
      </w:r>
    </w:p>
    <w:p>
      <w:pPr>
        <w:pStyle w:val="Heading3"/>
      </w:pPr>
      <w:bookmarkStart w:id="11112" w:name="_Toc9808"/>
      <w:r>
        <w:t>8423- دیوان یغمای خیاط أو شعره‏</w:t>
      </w:r>
      <w:bookmarkEnd w:id="11112"/>
    </w:p>
    <w:p>
      <w:pPr>
        <w:pStyle w:val="BookText"/>
      </w:pPr>
      <w:r>
        <w:rPr>
          <w:rFonts w:ascii="IRNazanin" w:hAnsi="IRNazanin" w:eastAsia="IRNazanin" w:cs="IRNazanin"/>
          <w:lang w:bidi="fa-IR"/>
          <w:color w:val="111111"/>
          <w:sz w:val="28"/>
          <w:szCs w:val="28"/>
          <w:rtl/>
        </w:rPr>
        <w:t xml:space="preserve">ورد شعره فی (گلشن- ص 615).</w:t>
      </w:r>
    </w:p>
    <w:p>
      <w:pPr>
        <w:pStyle w:val="Heading3"/>
      </w:pPr>
      <w:bookmarkStart w:id="11113" w:name="_Toc9809"/>
      <w:r>
        <w:t>8424- دیوان یغمای قمی أو شعره‏</w:t>
      </w:r>
      <w:bookmarkEnd w:id="11113"/>
    </w:p>
    <w:p>
      <w:pPr>
        <w:pStyle w:val="BookText"/>
      </w:pPr>
      <w:r>
        <w:rPr>
          <w:rFonts w:ascii="IRNazanin" w:hAnsi="IRNazanin" w:eastAsia="IRNazanin" w:cs="IRNazanin"/>
          <w:lang w:bidi="fa-IR"/>
          <w:color w:val="111111"/>
          <w:sz w:val="28"/>
          <w:szCs w:val="28"/>
          <w:rtl/>
        </w:rPr>
        <w:t xml:space="preserve">ورد شعره فی (گلشن- ص 616).</w:t>
      </w:r>
    </w:p>
    <w:p>
      <w:pPr>
        <w:pStyle w:val="Heading3"/>
      </w:pPr>
      <w:bookmarkStart w:id="11114" w:name="_Toc9810"/>
      <w:r>
        <w:t>8425- دیوان یغمائی‏</w:t>
      </w:r>
      <w:bookmarkEnd w:id="11114"/>
    </w:p>
    <w:p>
      <w:pPr>
        <w:pStyle w:val="BookText"/>
      </w:pPr>
      <w:r>
        <w:rPr>
          <w:rFonts w:ascii="IRNazanin" w:hAnsi="IRNazanin" w:eastAsia="IRNazanin" w:cs="IRNazanin"/>
          <w:lang w:bidi="fa-IR"/>
          <w:color w:val="111111"/>
          <w:sz w:val="28"/>
          <w:szCs w:val="28"/>
          <w:rtl/>
        </w:rPr>
        <w:t xml:space="preserve">و اسمه حبیب یغمائی ابن المیرزا أسد الله ولد 1320 بقریة خور من نواحی جندق و أمه ابنة هنر جندقی. طبع له شرح حال یغما و دخمه أرغون.</w:t>
      </w:r>
    </w:p>
    <w:p>
      <w:pPr>
        <w:pStyle w:val="BookText"/>
      </w:pPr>
      <w:r>
        <w:rPr>
          <w:rFonts w:ascii="IRNazanin" w:hAnsi="IRNazanin" w:eastAsia="IRNazanin" w:cs="IRNazanin"/>
          <w:lang w:bidi="fa-IR"/>
          <w:color w:val="111111"/>
          <w:sz w:val="28"/>
          <w:szCs w:val="28"/>
          <w:rtl/>
        </w:rPr>
        <w:t xml:space="preserve">ترجم فی مجلة الهلال الپاکستانیة 4: 2: 51 و کنگره نویسندگان ایران ص 205.</w:t>
      </w:r>
    </w:p>
    <w:p>
      <w:pPr>
        <w:pStyle w:val="Heading3"/>
      </w:pPr>
      <w:bookmarkStart w:id="11115" w:name="_Toc9811"/>
      <w:r>
        <w:t>8426- دیوان یقین کاشی أو شعره‏</w:t>
      </w:r>
      <w:bookmarkEnd w:id="11115"/>
    </w:p>
    <w:p>
      <w:pPr>
        <w:pStyle w:val="BookText"/>
      </w:pPr>
      <w:r>
        <w:rPr>
          <w:rFonts w:ascii="IRNazanin" w:hAnsi="IRNazanin" w:eastAsia="IRNazanin" w:cs="IRNazanin"/>
          <w:lang w:bidi="fa-IR"/>
          <w:color w:val="111111"/>
          <w:sz w:val="28"/>
          <w:szCs w:val="28"/>
          <w:rtl/>
        </w:rPr>
        <w:t xml:space="preserve">و اسمه جلال الدین، و قال النصرآبادی فی (نر 9- ص 336) إنه جلالا و شغله شعرباف و أورد شعره، و کذا فی (خوش‏گو) و (گلشن- ص 616) و همیشه بهار و (مسرت- ص 259).</w:t>
      </w:r>
    </w:p>
    <w:p>
      <w:pPr>
        <w:pStyle w:val="Heading3"/>
      </w:pPr>
      <w:bookmarkStart w:id="11116" w:name="_Toc9812"/>
      <w:r>
        <w:t>8427- دیوان یقینی خلخالی أو شعره‏</w:t>
      </w:r>
      <w:bookmarkEnd w:id="11116"/>
    </w:p>
    <w:p>
      <w:pPr>
        <w:pStyle w:val="BookText"/>
      </w:pPr>
      <w:r>
        <w:rPr>
          <w:rFonts w:ascii="IRNazanin" w:hAnsi="IRNazanin" w:eastAsia="IRNazanin" w:cs="IRNazanin"/>
          <w:lang w:bidi="fa-IR"/>
          <w:color w:val="111111"/>
          <w:sz w:val="28"/>
          <w:szCs w:val="28"/>
          <w:rtl/>
        </w:rPr>
        <w:t xml:space="preserve">و اسمه ملا شیخ محمد. ترجمه سام میرزا فی (تس 4- ص 79) و (نتایج- ص 792).</w:t>
      </w:r>
    </w:p>
    <w:p>
      <w:pPr>
        <w:pStyle w:val="Heading3"/>
      </w:pPr>
      <w:bookmarkStart w:id="11117" w:name="_Toc9813"/>
      <w:r>
        <w:t>8428- دیوان یقینی شیروانی‏</w:t>
      </w:r>
      <w:bookmarkEnd w:id="11117"/>
    </w:p>
    <w:p>
      <w:pPr>
        <w:pStyle w:val="BookText"/>
      </w:pPr>
      <w:r>
        <w:rPr>
          <w:rFonts w:ascii="IRNazanin" w:hAnsi="IRNazanin" w:eastAsia="IRNazanin" w:cs="IRNazanin"/>
          <w:lang w:bidi="fa-IR"/>
          <w:color w:val="111111"/>
          <w:sz w:val="28"/>
          <w:szCs w:val="28"/>
          <w:rtl/>
        </w:rPr>
        <w:t xml:space="preserve">ترجمه معاصره فی (تس 5- 175) و قال سکن شیراز و له شعر کثیر و عنه فی (دجا- ص 403).</w:t>
      </w:r>
    </w:p>
    <w:p>
      <w:pPr>
        <w:pStyle w:val="Heading3"/>
      </w:pPr>
      <w:bookmarkStart w:id="11118" w:name="_Toc9814"/>
      <w:r>
        <w:t>8429- دیوان یقینی لاهیجی‏</w:t>
      </w:r>
      <w:bookmarkEnd w:id="11118"/>
    </w:p>
    <w:p>
      <w:pPr>
        <w:pStyle w:val="BookText"/>
      </w:pPr>
      <w:r>
        <w:rPr>
          <w:rFonts w:ascii="IRNazanin" w:hAnsi="IRNazanin" w:eastAsia="IRNazanin" w:cs="IRNazanin"/>
          <w:lang w:bidi="fa-IR"/>
          <w:color w:val="111111"/>
          <w:sz w:val="28"/>
          <w:szCs w:val="28"/>
          <w:rtl/>
        </w:rPr>
        <w:t xml:space="preserve">و هو القاضی عبد الله عم القاضی یحیی. ترجم فی (تش- ص 165) و هفت إقلیم و علمای گیلان- ص 106 و (مسرت- ص 84) و (ض- ص 161) و (روشن- ص 793).</w:t>
      </w:r>
    </w:p>
    <w:p>
      <w:pPr>
        <w:pStyle w:val="Heading3"/>
      </w:pPr>
      <w:bookmarkStart w:id="11119" w:name="_Toc9815"/>
      <w:r>
        <w:t>8430- دیوان یقینی هروی أو شعره‏</w:t>
      </w:r>
      <w:bookmarkEnd w:id="11119"/>
    </w:p>
    <w:p>
      <w:pPr>
        <w:pStyle w:val="BookText"/>
      </w:pPr>
      <w:r>
        <w:rPr>
          <w:rFonts w:ascii="IRNazanin" w:hAnsi="IRNazanin" w:eastAsia="IRNazanin" w:cs="IRNazanin"/>
          <w:lang w:bidi="fa-IR"/>
          <w:color w:val="111111"/>
          <w:sz w:val="28"/>
          <w:szCs w:val="28"/>
          <w:rtl/>
        </w:rPr>
        <w:t xml:space="preserve">و له شعر بالترکیة و الفارسیة. ورد شعره فی (حسینی- ص 373) و فی (گلشن- ص 616) عده من شعراء السلطان حسین بایقرا فهو متحد مع النقیبی کما فی بعض نسخ (مجن 2: 50 و 224).</w:t>
      </w:r>
    </w:p>
    <w:p>
      <w:pPr>
        <w:pStyle w:val="Heading3"/>
      </w:pPr>
      <w:bookmarkStart w:id="11120" w:name="_Toc9816"/>
      <w:r>
        <w:t>8431- دیوان یکتای أصفهانی‏</w:t>
      </w:r>
      <w:bookmarkEnd w:id="11120"/>
    </w:p>
    <w:p>
      <w:pPr>
        <w:pStyle w:val="BookText"/>
      </w:pPr>
      <w:r>
        <w:rPr>
          <w:rFonts w:ascii="IRNazanin" w:hAnsi="IRNazanin" w:eastAsia="IRNazanin" w:cs="IRNazanin"/>
          <w:lang w:bidi="fa-IR"/>
          <w:color w:val="111111"/>
          <w:sz w:val="28"/>
          <w:szCs w:val="28"/>
          <w:rtl/>
        </w:rPr>
        <w:t xml:space="preserve">و اسمه مجید أوحدی، أو عبد المجید کما فی شعرای معاصر أصفهان- ص 546 و هو ابن محمد کریم. ولد 28 صفر 1330 بأصفهان، و تلمذ علی عمه محمد کاظم غمگین و مهر فی الخط و الموسیقی. له غیر الدیوان ترجمه تاریخ سلجوقی لبراون و تذکره شعرا و موسیقی و قد جمع دیوان عمه غمگین المذکور فی ص 792 و طبعه مع مقدمه له. و کان یتخلص‏
</w:t>
      </w:r>
    </w:p>
    <w:p>
      <w:pPr>
        <w:sectPr>
          <w:footerReference w:type="default" r:id="rId1323"/>
          <w:footnotePr>
            <w:numStart w:val="1"/>
            <w:numRestart w:val="eachPage"/>
          </w:footnotePr>
          <w:pgSz w:orient="portrait" w:w="11905.511811023622" w:h="16837.79527559055"/>
          <w:pgMar w:top="1440" w:right="1440" w:bottom="1440" w:left="1440" w:header="720" w:footer="720" w:gutter="0"/>
          <w:cols w:num="1" w:space="720"/>
        </w:sectPr>
      </w:pPr>
    </w:p>
    <w:bookmarkStart w:id="1298" w:name="pg11704_122868"/>
    <w:bookmarkEnd w:id="1298"/>
    <w:p>
      <w:pPr>
        <w:pStyle w:val="BookText"/>
      </w:pPr>
      <w:r>
        <w:rPr>
          <w:rFonts w:ascii="IRNazanin" w:hAnsi="IRNazanin" w:eastAsia="IRNazanin" w:cs="IRNazanin"/>
          <w:lang w:bidi="fa-IR"/>
          <w:color w:val="111111"/>
          <w:sz w:val="28"/>
          <w:szCs w:val="28"/>
          <w:rtl/>
        </w:rPr>
        <w:t xml:space="preserve">فردی فبدله. و طبع دیوانه فی 1359 فی 163 ص.</w:t>
      </w:r>
    </w:p>
    <w:p>
      <w:pPr>
        <w:pStyle w:val="Heading3"/>
      </w:pPr>
      <w:bookmarkStart w:id="11121" w:name="_Toc9817"/>
      <w:r>
        <w:t>8432- دیوان یکتای بلخی أو شعره‏</w:t>
      </w:r>
      <w:bookmarkEnd w:id="11121"/>
    </w:p>
    <w:p>
      <w:pPr>
        <w:pStyle w:val="BookText"/>
      </w:pPr>
      <w:r>
        <w:rPr>
          <w:rFonts w:ascii="IRNazanin" w:hAnsi="IRNazanin" w:eastAsia="IRNazanin" w:cs="IRNazanin"/>
          <w:lang w:bidi="fa-IR"/>
          <w:color w:val="111111"/>
          <w:sz w:val="28"/>
          <w:szCs w:val="28"/>
          <w:rtl/>
        </w:rPr>
        <w:t xml:space="preserve">کان من شعراء إمام قلی خان حاکم بلخ.</w:t>
      </w:r>
    </w:p>
    <w:p>
      <w:pPr>
        <w:pStyle w:val="BookText"/>
      </w:pPr>
      <w:r>
        <w:rPr>
          <w:rFonts w:ascii="IRNazanin" w:hAnsi="IRNazanin" w:eastAsia="IRNazanin" w:cs="IRNazanin"/>
          <w:lang w:bidi="fa-IR"/>
          <w:color w:val="111111"/>
          <w:sz w:val="28"/>
          <w:szCs w:val="28"/>
          <w:rtl/>
        </w:rPr>
        <w:t xml:space="preserve">ورد شعره فی (نر 10- ص 441).</w:t>
      </w:r>
    </w:p>
    <w:p>
      <w:pPr>
        <w:pStyle w:val="Heading3"/>
      </w:pPr>
      <w:bookmarkStart w:id="11122" w:name="_Toc9818"/>
      <w:r>
        <w:t>8433- دیوان یکتای جوشقانی‏</w:t>
      </w:r>
      <w:bookmarkEnd w:id="11122"/>
    </w:p>
    <w:p>
      <w:pPr>
        <w:pStyle w:val="BookText"/>
      </w:pPr>
      <w:r>
        <w:rPr>
          <w:rFonts w:ascii="IRNazanin" w:hAnsi="IRNazanin" w:eastAsia="IRNazanin" w:cs="IRNazanin"/>
          <w:lang w:bidi="fa-IR"/>
          <w:color w:val="111111"/>
          <w:sz w:val="28"/>
          <w:szCs w:val="28"/>
          <w:rtl/>
        </w:rPr>
        <w:t xml:space="preserve">و اسمه أحمد بن مهدی الاشتری المتوفی بطهران 1373 ترجمه البرقعی فی (سخنوران 1: 254) و الیاسمی فی تاریخ أدبیات معاصر.</w:t>
      </w:r>
    </w:p>
    <w:p>
      <w:pPr>
        <w:pStyle w:val="Heading3"/>
      </w:pPr>
      <w:bookmarkStart w:id="11123" w:name="_Toc9819"/>
      <w:r>
        <w:t>8434- دیوان یکتای کشمیری أو شعره‏</w:t>
      </w:r>
      <w:bookmarkEnd w:id="11123"/>
    </w:p>
    <w:p>
      <w:pPr>
        <w:pStyle w:val="BookText"/>
      </w:pPr>
      <w:r>
        <w:rPr>
          <w:rFonts w:ascii="IRNazanin" w:hAnsi="IRNazanin" w:eastAsia="IRNazanin" w:cs="IRNazanin"/>
          <w:lang w:bidi="fa-IR"/>
          <w:color w:val="111111"/>
          <w:sz w:val="28"/>
          <w:szCs w:val="28"/>
          <w:rtl/>
        </w:rPr>
        <w:t xml:space="preserve">و اسمه محمد أشرف و مات فی أواسط المائة الثانیة عشر کما فی (نتایج- ص 792).</w:t>
      </w:r>
    </w:p>
    <w:p>
      <w:pPr>
        <w:pStyle w:val="Heading3"/>
      </w:pPr>
      <w:bookmarkStart w:id="11124" w:name="_Toc9820"/>
      <w:r>
        <w:t>8435- دیوان یکتای لاهوری‏</w:t>
      </w:r>
      <w:bookmarkEnd w:id="11124"/>
    </w:p>
    <w:p>
      <w:pPr>
        <w:pStyle w:val="BookText"/>
      </w:pPr>
      <w:r>
        <w:rPr>
          <w:rFonts w:ascii="IRNazanin" w:hAnsi="IRNazanin" w:eastAsia="IRNazanin" w:cs="IRNazanin"/>
          <w:lang w:bidi="fa-IR"/>
          <w:color w:val="111111"/>
          <w:sz w:val="28"/>
          <w:szCs w:val="28"/>
          <w:rtl/>
        </w:rPr>
        <w:t xml:space="preserve">و هو أحمدیار خان بن الله‏یار خان المکرانی اللغری من شعراء البلوچ و من قوم برلاش. سکن آباؤه خوشاب من نواحی لاهور و مهر هو فی الخط و التصویر و الشعر. و کتب بخطه النسخ الجید قرآنا أهداه إلی السید عبد الجلیل البلگرامی فی 1119 و نازعه محمد عاقل یکتا اللاهوری فی تخلصه فظفر علیه فی محکمة أدبیة. و مات فی 1147 و قال آزاد فی تاریخه:</w:t>
      </w:r>
    </w:p>
    <w:p>
      <w:pPr>
        <w:pStyle w:val="BookText"/>
      </w:pPr>
      <w:r>
        <w:rPr>
          <w:rFonts w:ascii="IRNazanin" w:hAnsi="IRNazanin" w:eastAsia="IRNazanin" w:cs="IRNazanin"/>
          <w:lang w:bidi="fa-IR"/>
          <w:color w:val="111111"/>
          <w:sz w:val="28"/>
          <w:szCs w:val="28"/>
          <w:rtl/>
        </w:rPr>
        <w:t xml:space="preserve">چون که یکتا رفت شد تاریخ أو</w:t>
      </w:r>
    </w:p>
    <w:p>
      <w:pPr>
        <w:pStyle w:val="BookText"/>
      </w:pPr>
      <w:r>
        <w:rPr>
          <w:rFonts w:ascii="IRNazanin" w:hAnsi="IRNazanin" w:eastAsia="IRNazanin" w:cs="IRNazanin"/>
          <w:lang w:bidi="fa-IR"/>
          <w:color w:val="111111"/>
          <w:sz w:val="28"/>
          <w:szCs w:val="28"/>
          <w:rtl/>
        </w:rPr>
        <w:t xml:space="preserve">جای أحمدیار خان بزم نعیم‏</w:t>
      </w:r>
    </w:p>
    <w:p>
      <w:pPr>
        <w:pStyle w:val="BookText"/>
      </w:pPr>
      <w:r>
        <w:rPr>
          <w:rFonts w:ascii="IRNazanin" w:hAnsi="IRNazanin" w:eastAsia="IRNazanin" w:cs="IRNazanin"/>
          <w:lang w:bidi="fa-IR"/>
          <w:color w:val="111111"/>
          <w:sz w:val="28"/>
          <w:szCs w:val="28"/>
          <w:rtl/>
        </w:rPr>
        <w:t xml:space="preserve">و له مثنوی گلدسته حسن و شهرآشوب کما فصل ذلک فی (سرو- ص 199) و فی حواشی روضات الجنات فی أوصاف مدینة هرات ج 1 ص 538 طبعه طهران 1338 ش. أن له نظم قصة هیرورانجها. و ترجم أیضا فی (نتایج- ص 789) و (حسینی- ص 373) و مقالات الشعراء- ص 1879.</w:t>
      </w:r>
    </w:p>
    <w:p>
      <w:pPr>
        <w:pStyle w:val="Heading3"/>
      </w:pPr>
      <w:bookmarkStart w:id="11125" w:name="_Toc9821"/>
      <w:r>
        <w:t>8436- دیوان یکتای لاهوری أو شعره‏</w:t>
      </w:r>
      <w:bookmarkEnd w:id="11125"/>
    </w:p>
    <w:p>
      <w:pPr>
        <w:pStyle w:val="BookText"/>
      </w:pPr>
      <w:r>
        <w:rPr>
          <w:rFonts w:ascii="IRNazanin" w:hAnsi="IRNazanin" w:eastAsia="IRNazanin" w:cs="IRNazanin"/>
          <w:lang w:bidi="fa-IR"/>
          <w:color w:val="111111"/>
          <w:sz w:val="28"/>
          <w:szCs w:val="28"/>
          <w:rtl/>
        </w:rPr>
        <w:t xml:space="preserve">و اسمه محمد عاقل اللاهوری. عارض أحمدیار خان المذکور فی تخلصه و غلب علیه فی محکمة أدبیة أو لأن أحمد کان أمیرا. و قد جاء شعر محمد عاقل هذا فی شمع انجمن.</w:t>
      </w:r>
    </w:p>
    <w:p>
      <w:pPr>
        <w:pStyle w:val="Heading3"/>
      </w:pPr>
      <w:bookmarkStart w:id="11126" w:name="_Toc9822"/>
      <w:r>
        <w:t>8437- دیوان یک دل مرادآبادی أو شعره‏</w:t>
      </w:r>
      <w:bookmarkEnd w:id="11126"/>
    </w:p>
    <w:p>
      <w:pPr>
        <w:pStyle w:val="BookText"/>
      </w:pPr>
      <w:r>
        <w:rPr>
          <w:rFonts w:ascii="IRNazanin" w:hAnsi="IRNazanin" w:eastAsia="IRNazanin" w:cs="IRNazanin"/>
          <w:lang w:bidi="fa-IR"/>
          <w:color w:val="111111"/>
          <w:sz w:val="28"/>
          <w:szCs w:val="28"/>
          <w:rtl/>
        </w:rPr>
        <w:t xml:space="preserve">و اسمه محمد أنور ابن الشیخ محمد خان، مات فی 1151 ترجمه قدرت فی (نتایج- ص 793) و (گلشن- ص 616) و (روشن- ص 795).</w:t>
      </w:r>
    </w:p>
    <w:p>
      <w:pPr>
        <w:pStyle w:val="Heading3"/>
      </w:pPr>
      <w:bookmarkStart w:id="11127" w:name="_Toc9823"/>
      <w:r>
        <w:t>8438- دیوان یکسان دهلوی أو شعره‏</w:t>
      </w:r>
      <w:bookmarkEnd w:id="11127"/>
    </w:p>
    <w:p>
      <w:pPr>
        <w:pStyle w:val="BookText"/>
      </w:pPr>
      <w:r>
        <w:rPr>
          <w:rFonts w:ascii="IRNazanin" w:hAnsi="IRNazanin" w:eastAsia="IRNazanin" w:cs="IRNazanin"/>
          <w:lang w:bidi="fa-IR"/>
          <w:color w:val="111111"/>
          <w:sz w:val="28"/>
          <w:szCs w:val="28"/>
          <w:rtl/>
        </w:rPr>
        <w:t xml:space="preserve">ورد شعره فی (گلشن- ص 616).
</w:t>
      </w:r>
    </w:p>
    <w:p>
      <w:pPr>
        <w:sectPr>
          <w:footerReference w:type="default" r:id="rId1324"/>
          <w:footnotePr>
            <w:numStart w:val="1"/>
            <w:numRestart w:val="eachPage"/>
          </w:footnotePr>
          <w:pgSz w:orient="portrait" w:w="11905.511811023622" w:h="16837.79527559055"/>
          <w:pgMar w:top="1440" w:right="1440" w:bottom="1440" w:left="1440" w:header="720" w:footer="720" w:gutter="0"/>
          <w:cols w:num="1" w:space="720"/>
        </w:sectPr>
      </w:pPr>
    </w:p>
    <w:bookmarkStart w:id="1299" w:name="pg11704_122870"/>
    <w:bookmarkEnd w:id="1299"/>
    <w:p>
      <w:pPr>
        <w:pStyle w:val="Heading3"/>
      </w:pPr>
      <w:bookmarkStart w:id="11128" w:name="_Toc9824"/>
      <w:r>
        <w:t>دیوان یک و دو</w:t>
      </w:r>
      <w:bookmarkEnd w:id="11128"/>
    </w:p>
    <w:p>
      <w:pPr>
        <w:pStyle w:val="BookText"/>
      </w:pPr>
      <w:r>
        <w:rPr>
          <w:rFonts w:ascii="IRNazanin" w:hAnsi="IRNazanin" w:eastAsia="IRNazanin" w:cs="IRNazanin"/>
          <w:lang w:bidi="fa-IR"/>
          <w:color w:val="111111"/>
          <w:sz w:val="28"/>
          <w:szCs w:val="28"/>
          <w:rtl/>
        </w:rPr>
        <w:t xml:space="preserve">راجع غزل یک و دو. مر منها لمغیثی فی ص 1081 و لمفلسی‏</w:t>
      </w:r>
      <w:r>
        <w:rPr>
          <w:rStyle w:val="FootnoteReference"/>
        </w:rPr>
        <w:footnoteReference w:id="102"/>
      </w:r>
      <w:r>
        <w:rPr>
          <w:rFonts w:ascii="IRNazanin" w:hAnsi="IRNazanin" w:eastAsia="IRNazanin" w:cs="IRNazanin"/>
          <w:lang w:bidi="fa-IR"/>
          <w:color w:val="111111"/>
          <w:sz w:val="28"/>
          <w:szCs w:val="28"/>
          <w:rtl/>
        </w:rPr>
        <w:t xml:space="preserve">فی 1087 و محمد قلی خان کازرونی فی ص 1003 و فی (فارس‏نامه 2: 201) نسبت إلی بهار دارابی المذکور فی ص 146. و مر أیضا لأم هانی المذکورة فی ص 96 و لصحبت</w:t>
      </w:r>
    </w:p>
    <w:p>
      <w:pPr>
        <w:pStyle w:val="BookText"/>
      </w:pPr>
      <w:r>
        <w:rPr>
          <w:rFonts w:ascii="IRNazanin" w:hAnsi="IRNazanin" w:eastAsia="IRNazanin" w:cs="IRNazanin"/>
          <w:lang w:bidi="fa-IR"/>
          <w:color w:val="111111"/>
          <w:sz w:val="28"/>
          <w:szCs w:val="28"/>
          <w:rtl/>
        </w:rPr>
        <w:t xml:space="preserve">لاری فی ص 599 و قد نسب إلی قرة العین البابیة مثله. و مر للجامی و لکریمی سمرقندی فی ص 910 و لگلشن فی ص 932 منظومات عددیة أیضا، و قد جمع کثیر من العددیات فی الباب السادس من تحفه الأحرار.</w:t>
      </w:r>
    </w:p>
    <w:p>
      <w:pPr>
        <w:pStyle w:val="Heading3"/>
      </w:pPr>
      <w:bookmarkStart w:id="11129" w:name="_Toc9825"/>
      <w:r>
        <w:t>دیوان یکه‏سوار</w:t>
      </w:r>
      <w:bookmarkEnd w:id="11129"/>
    </w:p>
    <w:p>
      <w:pPr>
        <w:pStyle w:val="BookText"/>
      </w:pPr>
      <w:r>
        <w:rPr>
          <w:rFonts w:ascii="IRNazanin" w:hAnsi="IRNazanin" w:eastAsia="IRNazanin" w:cs="IRNazanin"/>
          <w:lang w:bidi="fa-IR"/>
          <w:color w:val="111111"/>
          <w:sz w:val="28"/>
          <w:szCs w:val="28"/>
          <w:rtl/>
        </w:rPr>
        <w:t xml:space="preserve">مر باسمه مؤمن کاشی. ترجم فی (نر 5- ص 145) و ذکر غرائب أطواره.</w:t>
      </w:r>
    </w:p>
    <w:p>
      <w:pPr>
        <w:pStyle w:val="Heading3"/>
      </w:pPr>
      <w:bookmarkStart w:id="11130" w:name="_Toc9826"/>
      <w:r>
        <w:t>8439- دیوان یگانه بلخی أو شعره‏</w:t>
      </w:r>
      <w:bookmarkEnd w:id="11130"/>
    </w:p>
    <w:p>
      <w:pPr>
        <w:pStyle w:val="BookText"/>
      </w:pPr>
      <w:r>
        <w:rPr>
          <w:rFonts w:ascii="IRNazanin" w:hAnsi="IRNazanin" w:eastAsia="IRNazanin" w:cs="IRNazanin"/>
          <w:lang w:bidi="fa-IR"/>
          <w:color w:val="111111"/>
          <w:sz w:val="28"/>
          <w:szCs w:val="28"/>
          <w:rtl/>
        </w:rPr>
        <w:t xml:space="preserve">کان من شعراء إمام قلی خان حاکم بلخ من 1017 و مات 1060. أورد النصرآبادی شعره فی (نر 10- ص 441).</w:t>
      </w:r>
    </w:p>
    <w:p>
      <w:pPr>
        <w:pStyle w:val="Heading3"/>
      </w:pPr>
      <w:bookmarkStart w:id="11131" w:name="_Toc9827"/>
      <w:r>
        <w:t>دیوان یلدای ماکوئی‏</w:t>
      </w:r>
      <w:bookmarkEnd w:id="11131"/>
    </w:p>
    <w:p>
      <w:pPr>
        <w:pStyle w:val="BookText"/>
      </w:pPr>
      <w:r>
        <w:rPr>
          <w:rFonts w:ascii="IRNazanin" w:hAnsi="IRNazanin" w:eastAsia="IRNazanin" w:cs="IRNazanin"/>
          <w:lang w:bidi="fa-IR"/>
          <w:color w:val="111111"/>
          <w:sz w:val="28"/>
          <w:szCs w:val="28"/>
          <w:rtl/>
        </w:rPr>
        <w:t xml:space="preserve">و شعره فارسی و ترکی. و اسمه آقا إسماعیل. ولد 1258 و توفی 1313 ترجم فی (دجا- ص 403).</w:t>
      </w:r>
    </w:p>
    <w:p>
      <w:pPr>
        <w:pStyle w:val="Heading3"/>
      </w:pPr>
      <w:bookmarkStart w:id="11132" w:name="_Toc9828"/>
      <w:r>
        <w:t>دیوان یمین سمنانی‏</w:t>
      </w:r>
      <w:bookmarkEnd w:id="11132"/>
    </w:p>
    <w:p>
      <w:pPr>
        <w:pStyle w:val="BookText"/>
      </w:pPr>
      <w:r>
        <w:rPr>
          <w:rFonts w:ascii="IRNazanin" w:hAnsi="IRNazanin" w:eastAsia="IRNazanin" w:cs="IRNazanin"/>
          <w:lang w:bidi="fa-IR"/>
          <w:color w:val="111111"/>
          <w:sz w:val="28"/>
          <w:szCs w:val="28"/>
          <w:rtl/>
        </w:rPr>
        <w:t xml:space="preserve">راجع یمینی سمنانی.</w:t>
      </w:r>
    </w:p>
    <w:p>
      <w:pPr>
        <w:pStyle w:val="Heading3"/>
      </w:pPr>
      <w:bookmarkStart w:id="11133" w:name="_Toc9829"/>
      <w:r>
        <w:t>8440- دیوان یمین فریومدی‏</w:t>
      </w:r>
      <w:bookmarkEnd w:id="11133"/>
    </w:p>
    <w:p>
      <w:pPr>
        <w:pStyle w:val="BookText"/>
      </w:pPr>
      <w:r>
        <w:rPr>
          <w:rFonts w:ascii="IRNazanin" w:hAnsi="IRNazanin" w:eastAsia="IRNazanin" w:cs="IRNazanin"/>
          <w:lang w:bidi="fa-IR"/>
          <w:color w:val="111111"/>
          <w:sz w:val="28"/>
          <w:szCs w:val="28"/>
          <w:rtl/>
        </w:rPr>
        <w:t xml:space="preserve">هو الأمیر یمین الدین الطهرانی و هو والد ابن یمین المذکور فی ص 34 و توفی 724 ترجم فی (لت) و هفت إقلیم و (خوش‏گو) و (روشن- ص 796) و (لس- ص 420).</w:t>
      </w:r>
    </w:p>
    <w:p>
      <w:pPr>
        <w:pStyle w:val="Heading3"/>
      </w:pPr>
      <w:bookmarkStart w:id="11134" w:name="_Toc9830"/>
      <w:r>
        <w:t>8441- دیوان یمینی تهرانی‏</w:t>
      </w:r>
      <w:bookmarkEnd w:id="11134"/>
    </w:p>
    <w:p>
      <w:pPr>
        <w:pStyle w:val="BookText"/>
      </w:pPr>
      <w:r>
        <w:rPr>
          <w:rFonts w:ascii="IRNazanin" w:hAnsi="IRNazanin" w:eastAsia="IRNazanin" w:cs="IRNazanin"/>
          <w:lang w:bidi="fa-IR"/>
          <w:color w:val="111111"/>
          <w:sz w:val="28"/>
          <w:szCs w:val="28"/>
          <w:rtl/>
        </w:rPr>
        <w:t xml:space="preserve">و اسمه عباس یمینی شریف. ولد بطهران فی 1298 ش.</w:t>
      </w:r>
    </w:p>
    <w:p>
      <w:pPr>
        <w:pStyle w:val="BookText"/>
      </w:pPr>
      <w:r>
        <w:rPr>
          <w:rFonts w:ascii="IRNazanin" w:hAnsi="IRNazanin" w:eastAsia="IRNazanin" w:cs="IRNazanin"/>
          <w:lang w:bidi="fa-IR"/>
          <w:color w:val="111111"/>
          <w:sz w:val="28"/>
          <w:szCs w:val="28"/>
          <w:rtl/>
        </w:rPr>
        <w:t xml:space="preserve">و نشر مجلة دانش‏آموز لوزارة المعارف بها. ترجمه البرقعی فی (سخنوران 2: 285) و طبع له آواز فرشتگان بطهران 1377 فی 80 ص. و له قصه‏های شیرین و دو کدخدا و گربه‏های شیپور زن.</w:t>
      </w:r>
    </w:p>
    <w:p>
      <w:pPr>
        <w:pStyle w:val="Heading3"/>
      </w:pPr>
      <w:bookmarkStart w:id="11135" w:name="_Toc9831"/>
      <w:r>
        <w:t>8442- دیوان یمینی سمنانی أو شعره‏</w:t>
      </w:r>
      <w:bookmarkEnd w:id="11135"/>
    </w:p>
    <w:p>
      <w:pPr>
        <w:pStyle w:val="BookText"/>
      </w:pPr>
      <w:r>
        <w:rPr>
          <w:rFonts w:ascii="IRNazanin" w:hAnsi="IRNazanin" w:eastAsia="IRNazanin" w:cs="IRNazanin"/>
          <w:lang w:bidi="fa-IR"/>
          <w:color w:val="111111"/>
          <w:sz w:val="28"/>
          <w:szCs w:val="28"/>
          <w:rtl/>
        </w:rPr>
        <w:t xml:space="preserve">کان سیافا کما ترجم فی (تس 5- ص 173) و (خص 8- ص 185) و کان معاصرا لهما. و مات 981 و فی (نتایج- ص 791) أن أصله من شیراز. و کذا فی (خوش‏گو) و هفت إقلیم و (تش- ص 80) و (روشن-
</w:t>
      </w:r>
    </w:p>
    <w:p>
      <w:pPr>
        <w:sectPr>
          <w:footerReference w:type="default" r:id="rId1325"/>
          <w:footnotePr>
            <w:numStart w:val="1"/>
            <w:numRestart w:val="eachPage"/>
          </w:footnotePr>
          <w:pgSz w:orient="portrait" w:w="11905.511811023622" w:h="16837.79527559055"/>
          <w:pgMar w:top="1440" w:right="1440" w:bottom="1440" w:left="1440" w:header="720" w:footer="720" w:gutter="0"/>
          <w:cols w:num="1" w:space="720"/>
        </w:sectPr>
      </w:pPr>
    </w:p>
    <w:bookmarkStart w:id="1300" w:name="pg11704_122872"/>
    <w:bookmarkEnd w:id="1300"/>
    <w:p>
      <w:pPr>
        <w:pStyle w:val="BookText"/>
      </w:pPr>
      <w:r>
        <w:rPr>
          <w:rFonts w:ascii="IRNazanin" w:hAnsi="IRNazanin" w:eastAsia="IRNazanin" w:cs="IRNazanin"/>
          <w:lang w:bidi="fa-IR"/>
          <w:color w:val="111111"/>
          <w:sz w:val="28"/>
          <w:szCs w:val="28"/>
          <w:rtl/>
        </w:rPr>
        <w:t xml:space="preserve">ص 797).</w:t>
      </w:r>
    </w:p>
    <w:p>
      <w:pPr>
        <w:pStyle w:val="Heading3"/>
      </w:pPr>
      <w:bookmarkStart w:id="11136" w:name="_Toc9832"/>
      <w:r>
        <w:t>8443- دیوان یمین شاه‏آبادی أو شعره‏</w:t>
      </w:r>
      <w:bookmarkEnd w:id="11136"/>
    </w:p>
    <w:p>
      <w:pPr>
        <w:pStyle w:val="BookText"/>
      </w:pPr>
      <w:r>
        <w:rPr>
          <w:rFonts w:ascii="IRNazanin" w:hAnsi="IRNazanin" w:eastAsia="IRNazanin" w:cs="IRNazanin"/>
          <w:lang w:bidi="fa-IR"/>
          <w:color w:val="111111"/>
          <w:sz w:val="28"/>
          <w:szCs w:val="28"/>
          <w:rtl/>
        </w:rPr>
        <w:t xml:space="preserve">و اسمه عبد الرزاق تلمیذ محمد فاخر مکین ترجمه معاصره فی (روشن- ص 796).</w:t>
      </w:r>
    </w:p>
    <w:p>
      <w:pPr>
        <w:pStyle w:val="Heading3"/>
      </w:pPr>
      <w:bookmarkStart w:id="11137" w:name="_Toc9833"/>
      <w:r>
        <w:t>8444- دیوان یمین غزنوی أو شعره‏</w:t>
      </w:r>
      <w:bookmarkEnd w:id="11137"/>
    </w:p>
    <w:p>
      <w:pPr>
        <w:pStyle w:val="BookText"/>
      </w:pPr>
      <w:r>
        <w:rPr>
          <w:rFonts w:ascii="IRNazanin" w:hAnsi="IRNazanin" w:eastAsia="IRNazanin" w:cs="IRNazanin"/>
          <w:lang w:bidi="fa-IR"/>
          <w:color w:val="111111"/>
          <w:sz w:val="28"/>
          <w:szCs w:val="28"/>
          <w:rtl/>
        </w:rPr>
        <w:t xml:space="preserve">و اسمه محمد بن عثمان من شعراء القرن الخامس. ترجم فی (مع 1: 656) کان یمدح السلطان محمود الغزنوی و بقی إلی عصر بهرام شاه.</w:t>
      </w:r>
    </w:p>
    <w:p>
      <w:pPr>
        <w:pStyle w:val="Heading3"/>
      </w:pPr>
      <w:bookmarkStart w:id="11138" w:name="_Toc9834"/>
      <w:r>
        <w:t>8445- دیوان یمین گرجی أو شعره‏</w:t>
      </w:r>
      <w:bookmarkEnd w:id="11138"/>
    </w:p>
    <w:p>
      <w:pPr>
        <w:pStyle w:val="BookText"/>
      </w:pPr>
      <w:r>
        <w:rPr>
          <w:rFonts w:ascii="IRNazanin" w:hAnsi="IRNazanin" w:eastAsia="IRNazanin" w:cs="IRNazanin"/>
          <w:lang w:bidi="fa-IR"/>
          <w:color w:val="111111"/>
          <w:sz w:val="28"/>
          <w:szCs w:val="28"/>
          <w:rtl/>
        </w:rPr>
        <w:t xml:space="preserve">کان من عبید الشاه طهماسب الصفوی. ورد شعره فی (گلشن- ص 616).</w:t>
      </w:r>
    </w:p>
    <w:p>
      <w:pPr>
        <w:pStyle w:val="Heading3"/>
      </w:pPr>
      <w:bookmarkStart w:id="11139" w:name="_Toc9835"/>
      <w:r>
        <w:t>8446- دیوان یوسف أرومی أو شعره‏</w:t>
      </w:r>
      <w:bookmarkEnd w:id="11139"/>
    </w:p>
    <w:p>
      <w:pPr>
        <w:pStyle w:val="BookText"/>
      </w:pPr>
      <w:r>
        <w:rPr>
          <w:rFonts w:ascii="IRNazanin" w:hAnsi="IRNazanin" w:eastAsia="IRNazanin" w:cs="IRNazanin"/>
          <w:lang w:bidi="fa-IR"/>
          <w:color w:val="111111"/>
          <w:sz w:val="28"/>
          <w:szCs w:val="28"/>
          <w:rtl/>
        </w:rPr>
        <w:t xml:space="preserve">هو ابن السید محمد. دونها بنفسه فی 1302 و النسخة عند (الملک).</w:t>
      </w:r>
    </w:p>
    <w:p>
      <w:pPr>
        <w:pStyle w:val="Heading3"/>
      </w:pPr>
      <w:bookmarkStart w:id="11140" w:name="_Toc9836"/>
      <w:r>
        <w:t>8447- دیوان یوسف أستاجلو أو شعره‏</w:t>
      </w:r>
      <w:bookmarkEnd w:id="11140"/>
    </w:p>
    <w:p>
      <w:pPr>
        <w:pStyle w:val="BookText"/>
      </w:pPr>
      <w:r>
        <w:rPr>
          <w:rFonts w:ascii="IRNazanin" w:hAnsi="IRNazanin" w:eastAsia="IRNazanin" w:cs="IRNazanin"/>
          <w:lang w:bidi="fa-IR"/>
          <w:color w:val="111111"/>
          <w:sz w:val="28"/>
          <w:szCs w:val="28"/>
          <w:rtl/>
        </w:rPr>
        <w:t xml:space="preserve">و اسمه یوسف بیک. أطری سام میرزا تقواه فی (تس 5- 184) و شعره فارسی و ترکی. و یوجد دیوان لیوسف یشتمل علی الغزل الفارسی و الترکی و ساقی‏نامه و القصائد و الترجیعات فی 317 ص. یشتمل علی 7374 بیت، و النسخة مجدولة مذهبة فی العهد الصفوی عند (سلطان القرائی).</w:t>
      </w:r>
    </w:p>
    <w:p>
      <w:pPr>
        <w:pStyle w:val="Heading3"/>
      </w:pPr>
      <w:bookmarkStart w:id="11141" w:name="_Toc9837"/>
      <w:r>
        <w:t>8448- دیوان یوسف أسترآبادی أو شعره‏</w:t>
      </w:r>
      <w:bookmarkEnd w:id="11141"/>
    </w:p>
    <w:p>
      <w:pPr>
        <w:pStyle w:val="BookText"/>
      </w:pPr>
      <w:r>
        <w:rPr>
          <w:rFonts w:ascii="IRNazanin" w:hAnsi="IRNazanin" w:eastAsia="IRNazanin" w:cs="IRNazanin"/>
          <w:lang w:bidi="fa-IR"/>
          <w:color w:val="111111"/>
          <w:sz w:val="28"/>
          <w:szCs w:val="28"/>
          <w:rtl/>
        </w:rPr>
        <w:t xml:space="preserve">ورد شعره فی (گلشن- ص 616).</w:t>
      </w:r>
    </w:p>
    <w:p>
      <w:pPr>
        <w:pStyle w:val="Heading3"/>
      </w:pPr>
      <w:bookmarkStart w:id="11142" w:name="_Toc9838"/>
      <w:r>
        <w:t>دیوان یوسف أصفهانی‏</w:t>
      </w:r>
      <w:bookmarkEnd w:id="11142"/>
    </w:p>
    <w:p>
      <w:pPr>
        <w:pStyle w:val="BookText"/>
      </w:pPr>
      <w:r>
        <w:rPr>
          <w:rFonts w:ascii="IRNazanin" w:hAnsi="IRNazanin" w:eastAsia="IRNazanin" w:cs="IRNazanin"/>
          <w:lang w:bidi="fa-IR"/>
          <w:color w:val="111111"/>
          <w:sz w:val="28"/>
          <w:szCs w:val="28"/>
          <w:rtl/>
        </w:rPr>
        <w:t xml:space="preserve">و اسمه جلال الدین. ورد شعره فی (گلشن- ص 617) و لعله البیرجندی.</w:t>
      </w:r>
    </w:p>
    <w:p>
      <w:pPr>
        <w:pStyle w:val="Heading3"/>
      </w:pPr>
      <w:bookmarkStart w:id="11143" w:name="_Toc9839"/>
      <w:r>
        <w:t>8449- دیوان یوسف أمیری أو شعره‏</w:t>
      </w:r>
      <w:bookmarkEnd w:id="11143"/>
    </w:p>
    <w:p>
      <w:pPr>
        <w:pStyle w:val="BookText"/>
      </w:pPr>
      <w:r>
        <w:rPr>
          <w:rFonts w:ascii="IRNazanin" w:hAnsi="IRNazanin" w:eastAsia="IRNazanin" w:cs="IRNazanin"/>
          <w:lang w:bidi="fa-IR"/>
          <w:color w:val="111111"/>
          <w:sz w:val="28"/>
          <w:szCs w:val="28"/>
          <w:rtl/>
        </w:rPr>
        <w:t xml:space="preserve">ورد شعره فی (لت 7) و قال إنه من شعراء شاه‏رخ و بایسنقر.</w:t>
      </w:r>
    </w:p>
    <w:p>
      <w:pPr>
        <w:pStyle w:val="Heading3"/>
      </w:pPr>
      <w:bookmarkStart w:id="11144" w:name="_Toc9840"/>
      <w:r>
        <w:t>8450- دیوان یوسف بختیاری‏</w:t>
      </w:r>
      <w:bookmarkEnd w:id="11144"/>
    </w:p>
    <w:p>
      <w:pPr>
        <w:pStyle w:val="BookText"/>
      </w:pPr>
      <w:r>
        <w:rPr>
          <w:rFonts w:ascii="IRNazanin" w:hAnsi="IRNazanin" w:eastAsia="IRNazanin" w:cs="IRNazanin"/>
          <w:lang w:bidi="fa-IR"/>
          <w:color w:val="111111"/>
          <w:sz w:val="28"/>
          <w:szCs w:val="28"/>
          <w:rtl/>
        </w:rPr>
        <w:t xml:space="preserve">و یعرف بأمیر مجاهدین حسین قلی خان من رؤساء البختیاریة فی چهار محال بأصفهان. ولد 1283 و مات فی سجن بهلوی فی صیف 1356.</w:t>
      </w:r>
    </w:p>
    <w:p>
      <w:pPr>
        <w:pStyle w:val="BookText"/>
      </w:pPr>
      <w:r>
        <w:rPr>
          <w:rFonts w:ascii="IRNazanin" w:hAnsi="IRNazanin" w:eastAsia="IRNazanin" w:cs="IRNazanin"/>
          <w:lang w:bidi="fa-IR"/>
          <w:color w:val="111111"/>
          <w:sz w:val="28"/>
          <w:szCs w:val="28"/>
          <w:rtl/>
        </w:rPr>
        <w:t xml:space="preserve">أورد شعره و أطرأه المهدوی فی شعرای معاصر أصفهان- ص 549.</w:t>
      </w:r>
    </w:p>
    <w:p>
      <w:pPr>
        <w:pStyle w:val="Heading3"/>
      </w:pPr>
      <w:bookmarkStart w:id="11145" w:name="_Toc9841"/>
      <w:r>
        <w:t>8451- دیوان یوسف بلخی أو شعره‏</w:t>
      </w:r>
      <w:bookmarkEnd w:id="11145"/>
    </w:p>
    <w:p>
      <w:pPr>
        <w:pStyle w:val="BookText"/>
      </w:pPr>
      <w:r>
        <w:rPr>
          <w:rFonts w:ascii="IRNazanin" w:hAnsi="IRNazanin" w:eastAsia="IRNazanin" w:cs="IRNazanin"/>
          <w:lang w:bidi="fa-IR"/>
          <w:color w:val="111111"/>
          <w:sz w:val="28"/>
          <w:szCs w:val="28"/>
          <w:rtl/>
        </w:rPr>
        <w:t xml:space="preserve">أورد النصرآبادی شعره فی تاریخ وفاة التفتازانی 792 فی (نر 13- ص 470).</w:t>
      </w:r>
    </w:p>
    <w:p>
      <w:pPr>
        <w:pStyle w:val="Heading3"/>
      </w:pPr>
      <w:bookmarkStart w:id="11146" w:name="_Toc9842"/>
      <w:r>
        <w:t>8452- دیوان یوسف بلگرامی أو شعره‏</w:t>
      </w:r>
      <w:bookmarkEnd w:id="11146"/>
    </w:p>
    <w:p>
      <w:pPr>
        <w:pStyle w:val="BookText"/>
      </w:pPr>
      <w:r>
        <w:rPr>
          <w:rFonts w:ascii="IRNazanin" w:hAnsi="IRNazanin" w:eastAsia="IRNazanin" w:cs="IRNazanin"/>
          <w:lang w:bidi="fa-IR"/>
          <w:color w:val="111111"/>
          <w:sz w:val="28"/>
          <w:szCs w:val="28"/>
          <w:rtl/>
        </w:rPr>
        <w:t xml:space="preserve">و اسمه محمد یوسف بن محمد أشرف الواسطی‏
</w:t>
      </w:r>
    </w:p>
    <w:p>
      <w:pPr>
        <w:sectPr>
          <w:footerReference w:type="default" r:id="rId1326"/>
          <w:footnotePr>
            <w:numStart w:val="1"/>
            <w:numRestart w:val="eachPage"/>
          </w:footnotePr>
          <w:pgSz w:orient="portrait" w:w="11905.511811023622" w:h="16837.79527559055"/>
          <w:pgMar w:top="1440" w:right="1440" w:bottom="1440" w:left="1440" w:header="720" w:footer="720" w:gutter="0"/>
          <w:cols w:num="1" w:space="720"/>
        </w:sectPr>
      </w:pPr>
    </w:p>
    <w:bookmarkStart w:id="1301" w:name="pg11704_122874"/>
    <w:bookmarkEnd w:id="1301"/>
    <w:p>
      <w:pPr>
        <w:pStyle w:val="BookText"/>
      </w:pPr>
      <w:r>
        <w:rPr>
          <w:rFonts w:ascii="IRNazanin" w:hAnsi="IRNazanin" w:eastAsia="IRNazanin" w:cs="IRNazanin"/>
          <w:lang w:bidi="fa-IR"/>
          <w:color w:val="111111"/>
          <w:sz w:val="28"/>
          <w:szCs w:val="28"/>
          <w:rtl/>
        </w:rPr>
        <w:t xml:space="preserve">ترجمه آزاد فی (سرو- ص 307) و قال ولد 1116 و نشا و تعلم بشاه جهان‏آباد الأدب و الریاضیات و ألف الفرع النابت عن الأصل الثابت فی التوحید فی 1162 و مات 1172 و ترجم أیضا فی (نتایج- ص 793).</w:t>
      </w:r>
    </w:p>
    <w:p>
      <w:pPr>
        <w:pStyle w:val="Heading3"/>
      </w:pPr>
      <w:bookmarkStart w:id="11147" w:name="_Toc9843"/>
      <w:r>
        <w:t>8453- دیوان یوسف بیرجندی‏</w:t>
      </w:r>
      <w:bookmarkEnd w:id="11147"/>
    </w:p>
    <w:p>
      <w:pPr>
        <w:pStyle w:val="BookText"/>
      </w:pPr>
      <w:r>
        <w:rPr>
          <w:rFonts w:ascii="IRNazanin" w:hAnsi="IRNazanin" w:eastAsia="IRNazanin" w:cs="IRNazanin"/>
          <w:lang w:bidi="fa-IR"/>
          <w:color w:val="111111"/>
          <w:sz w:val="28"/>
          <w:szCs w:val="28"/>
          <w:rtl/>
        </w:rPr>
        <w:t xml:space="preserve">و هو الشیخ جلال الدین الکاتب. نقل آیتی فی (بهارستان- ص 208) عن تاریخ حسامی أنه کان یکتب تمام القرآن فی ثلاثة أیام و أورد شعره. و قبره فی شرقی بیرجند. و فی شاهد صادق أن جلال الدین یوسف الأوبهی مات 833.</w:t>
      </w:r>
    </w:p>
    <w:p>
      <w:pPr>
        <w:pStyle w:val="Heading3"/>
      </w:pPr>
      <w:bookmarkStart w:id="11148" w:name="_Toc9844"/>
      <w:r>
        <w:t>8454- دیوان یوسف تبریزی‏</w:t>
      </w:r>
      <w:bookmarkEnd w:id="11148"/>
    </w:p>
    <w:p>
      <w:pPr>
        <w:pStyle w:val="BookText"/>
      </w:pPr>
      <w:r>
        <w:rPr>
          <w:rFonts w:ascii="IRNazanin" w:hAnsi="IRNazanin" w:eastAsia="IRNazanin" w:cs="IRNazanin"/>
          <w:lang w:bidi="fa-IR"/>
          <w:color w:val="111111"/>
          <w:sz w:val="28"/>
          <w:szCs w:val="28"/>
          <w:rtl/>
        </w:rPr>
        <w:t xml:space="preserve">و هو ابن میرزا زین العابدین بن محمد علی القره‏داغی المتوفی بالکاظمیة 1337 یوجد دیوانه عند ولده المیرزا علی بها. و بنقل عنه الخیابانی فی وقایع الأیام.</w:t>
      </w:r>
    </w:p>
    <w:p>
      <w:pPr>
        <w:pStyle w:val="Heading3"/>
      </w:pPr>
      <w:bookmarkStart w:id="11149" w:name="_Toc9845"/>
      <w:r>
        <w:t>8455- دیوان یوسف تبریزی أو شعره‏</w:t>
      </w:r>
      <w:bookmarkEnd w:id="11149"/>
    </w:p>
    <w:p>
      <w:pPr>
        <w:pStyle w:val="BookText"/>
      </w:pPr>
      <w:r>
        <w:rPr>
          <w:rFonts w:ascii="IRNazanin" w:hAnsi="IRNazanin" w:eastAsia="IRNazanin" w:cs="IRNazanin"/>
          <w:lang w:bidi="fa-IR"/>
          <w:color w:val="111111"/>
          <w:sz w:val="28"/>
          <w:szCs w:val="28"/>
          <w:rtl/>
        </w:rPr>
        <w:t xml:space="preserve">ورد شعره فی (مسرت- ص 516) و عنه فی (دجا- ص 403).</w:t>
      </w:r>
    </w:p>
    <w:p>
      <w:pPr>
        <w:pStyle w:val="Heading3"/>
      </w:pPr>
      <w:bookmarkStart w:id="11150" w:name="_Toc9846"/>
      <w:r>
        <w:t>دیوان یوسف جرجانی‏</w:t>
      </w:r>
      <w:bookmarkEnd w:id="11150"/>
    </w:p>
    <w:p>
      <w:pPr>
        <w:pStyle w:val="BookText"/>
      </w:pPr>
      <w:r>
        <w:rPr>
          <w:rFonts w:ascii="IRNazanin" w:hAnsi="IRNazanin" w:eastAsia="IRNazanin" w:cs="IRNazanin"/>
          <w:lang w:bidi="fa-IR"/>
          <w:color w:val="111111"/>
          <w:sz w:val="28"/>
          <w:szCs w:val="28"/>
          <w:rtl/>
        </w:rPr>
        <w:t xml:space="preserve">کما فی (تش- ص 162) راجع درویش یوسف.</w:t>
      </w:r>
    </w:p>
    <w:p>
      <w:pPr>
        <w:pStyle w:val="Heading3"/>
      </w:pPr>
      <w:bookmarkStart w:id="11151" w:name="_Toc9847"/>
      <w:r>
        <w:t>8456- دیوان یوسف جغتائی أو شعره‏</w:t>
      </w:r>
      <w:bookmarkEnd w:id="11151"/>
    </w:p>
    <w:p>
      <w:pPr>
        <w:pStyle w:val="BookText"/>
      </w:pPr>
      <w:r>
        <w:rPr>
          <w:rFonts w:ascii="IRNazanin" w:hAnsi="IRNazanin" w:eastAsia="IRNazanin" w:cs="IRNazanin"/>
          <w:lang w:bidi="fa-IR"/>
          <w:color w:val="111111"/>
          <w:sz w:val="28"/>
          <w:szCs w:val="28"/>
          <w:rtl/>
        </w:rPr>
        <w:t xml:space="preserve">ترجمه سام میرزا فی (تس 5- ص 186) و قال کان پروانه‏چی للشاه إسماعیل و الیوم هو توشمال للشاه طهماسب یکتب بأنواع الخطوط کالمقلی و الأنصاری و الکوفی و ینظم بالترکیة و الفارسیة.</w:t>
      </w:r>
    </w:p>
    <w:p>
      <w:pPr>
        <w:pStyle w:val="Heading3"/>
      </w:pPr>
      <w:bookmarkStart w:id="11152" w:name="_Toc9848"/>
      <w:r>
        <w:t>8457- دیوان یوسف جلایر أو شعره‏</w:t>
      </w:r>
      <w:bookmarkEnd w:id="11152"/>
    </w:p>
    <w:p>
      <w:pPr>
        <w:pStyle w:val="BookText"/>
      </w:pPr>
      <w:r>
        <w:rPr>
          <w:rFonts w:ascii="IRNazanin" w:hAnsi="IRNazanin" w:eastAsia="IRNazanin" w:cs="IRNazanin"/>
          <w:lang w:bidi="fa-IR"/>
          <w:color w:val="111111"/>
          <w:sz w:val="28"/>
          <w:szCs w:val="28"/>
          <w:rtl/>
        </w:rPr>
        <w:t xml:space="preserve">و اسمه یوسف علی. ورد شعره فی (گلشن- ص 619).</w:t>
      </w:r>
    </w:p>
    <w:p>
      <w:pPr>
        <w:pStyle w:val="Heading3"/>
      </w:pPr>
      <w:bookmarkStart w:id="11153" w:name="_Toc9849"/>
      <w:r>
        <w:t>8458- دیوان یوسف جویباری‏</w:t>
      </w:r>
      <w:bookmarkEnd w:id="11153"/>
    </w:p>
    <w:p>
      <w:pPr>
        <w:pStyle w:val="BookText"/>
      </w:pPr>
      <w:r>
        <w:rPr>
          <w:rFonts w:ascii="IRNazanin" w:hAnsi="IRNazanin" w:eastAsia="IRNazanin" w:cs="IRNazanin"/>
          <w:lang w:bidi="fa-IR"/>
          <w:color w:val="111111"/>
          <w:sz w:val="28"/>
          <w:szCs w:val="28"/>
          <w:rtl/>
        </w:rPr>
        <w:t xml:space="preserve">و اسمه خواجه یوسف حفید خواجه محمد پارسا.</w:t>
      </w:r>
    </w:p>
    <w:p>
      <w:pPr>
        <w:pStyle w:val="BookText"/>
      </w:pPr>
      <w:r>
        <w:rPr>
          <w:rFonts w:ascii="IRNazanin" w:hAnsi="IRNazanin" w:eastAsia="IRNazanin" w:cs="IRNazanin"/>
          <w:lang w:bidi="fa-IR"/>
          <w:color w:val="111111"/>
          <w:sz w:val="28"/>
          <w:szCs w:val="28"/>
          <w:rtl/>
        </w:rPr>
        <w:t xml:space="preserve">من سادات بخارا. ترجم فی (نر 3- ص 67) و نقل عن دیوانه و کذا فی (روشن- ص 798).</w:t>
      </w:r>
    </w:p>
    <w:p>
      <w:pPr>
        <w:pStyle w:val="Heading3"/>
      </w:pPr>
      <w:bookmarkStart w:id="11154" w:name="_Toc9850"/>
      <w:r>
        <w:t>8459- دیوان یوسف چاکری أو شعره‏</w:t>
      </w:r>
      <w:bookmarkEnd w:id="11154"/>
    </w:p>
    <w:p>
      <w:pPr>
        <w:pStyle w:val="BookText"/>
      </w:pPr>
      <w:r>
        <w:rPr>
          <w:rFonts w:ascii="IRNazanin" w:hAnsi="IRNazanin" w:eastAsia="IRNazanin" w:cs="IRNazanin"/>
          <w:lang w:bidi="fa-IR"/>
          <w:color w:val="111111"/>
          <w:sz w:val="28"/>
          <w:szCs w:val="28"/>
          <w:rtl/>
        </w:rPr>
        <w:t xml:space="preserve">قال فی (مجتس 6- ص 163) إنه من شعراء هرات.</w:t>
      </w:r>
    </w:p>
    <w:p>
      <w:pPr>
        <w:pStyle w:val="Heading3"/>
      </w:pPr>
      <w:bookmarkStart w:id="11155" w:name="_Toc9851"/>
      <w:r>
        <w:t>8460- دیوان یوسف خراسانی أو شعره‏</w:t>
      </w:r>
      <w:bookmarkEnd w:id="11155"/>
    </w:p>
    <w:p>
      <w:pPr>
        <w:pStyle w:val="BookText"/>
      </w:pPr>
      <w:r>
        <w:rPr>
          <w:rFonts w:ascii="IRNazanin" w:hAnsi="IRNazanin" w:eastAsia="IRNazanin" w:cs="IRNazanin"/>
          <w:lang w:bidi="fa-IR"/>
          <w:color w:val="111111"/>
          <w:sz w:val="28"/>
          <w:szCs w:val="28"/>
          <w:rtl/>
        </w:rPr>
        <w:t xml:space="preserve">هو یوسف بن الخواجة رکن الدین من أحفاد أبی سعید أبی الخیر. ورد شعره فی (گلشن- ص 616).</w:t>
      </w:r>
    </w:p>
    <w:p>
      <w:pPr>
        <w:pStyle w:val="Heading3"/>
      </w:pPr>
      <w:bookmarkStart w:id="11156" w:name="_Toc9852"/>
      <w:r>
        <w:t>8461- دیوان یوسف الخطی‏</w:t>
      </w:r>
      <w:bookmarkEnd w:id="11156"/>
    </w:p>
    <w:p>
      <w:pPr>
        <w:pStyle w:val="BookText"/>
      </w:pPr>
      <w:r>
        <w:rPr>
          <w:rFonts w:ascii="IRNazanin" w:hAnsi="IRNazanin" w:eastAsia="IRNazanin" w:cs="IRNazanin"/>
          <w:lang w:bidi="fa-IR"/>
          <w:color w:val="111111"/>
          <w:sz w:val="28"/>
          <w:szCs w:val="28"/>
          <w:rtl/>
        </w:rPr>
        <w:t xml:space="preserve">و هو أبو ذؤیب. یوجد مراثیه ضمن مجموعة دونها
</w:t>
      </w:r>
    </w:p>
    <w:p>
      <w:pPr>
        <w:sectPr>
          <w:footerReference w:type="default" r:id="rId1327"/>
          <w:footnotePr>
            <w:numStart w:val="1"/>
            <w:numRestart w:val="eachPage"/>
          </w:footnotePr>
          <w:pgSz w:orient="portrait" w:w="11905.511811023622" w:h="16837.79527559055"/>
          <w:pgMar w:top="1440" w:right="1440" w:bottom="1440" w:left="1440" w:header="720" w:footer="720" w:gutter="0"/>
          <w:cols w:num="1" w:space="720"/>
        </w:sectPr>
      </w:pPr>
    </w:p>
    <w:bookmarkStart w:id="1302" w:name="pg11704_122876"/>
    <w:bookmarkEnd w:id="1302"/>
    <w:p>
      <w:pPr>
        <w:pStyle w:val="BookText"/>
      </w:pPr>
      <w:r>
        <w:rPr>
          <w:rFonts w:ascii="IRNazanin" w:hAnsi="IRNazanin" w:eastAsia="IRNazanin" w:cs="IRNazanin"/>
          <w:lang w:bidi="fa-IR"/>
          <w:color w:val="111111"/>
          <w:sz w:val="28"/>
          <w:szCs w:val="28"/>
          <w:rtl/>
        </w:rPr>
        <w:t xml:space="preserve">الشیخ لطف الله بن علی بن لطف الله بن محمد الجد حفصی بخطه الجید فی 1310 الموجودة عند الشیخ محمد علی الیعقوبی الخطیب المتوفی 1385 و بعض مراثیه فی مجموعة أخری کتبت 1300 و نسخه من دیوان أبی ذؤیب کانت فی مکتبة (السماوی) و ذکر بعنوان أبی ذئب.</w:t>
      </w:r>
    </w:p>
    <w:p>
      <w:pPr>
        <w:pStyle w:val="Heading3"/>
      </w:pPr>
      <w:bookmarkStart w:id="11157" w:name="_Toc9853"/>
      <w:r>
        <w:t>دیوان یوسف خوافی‏</w:t>
      </w:r>
      <w:bookmarkEnd w:id="11157"/>
    </w:p>
    <w:p>
      <w:pPr>
        <w:pStyle w:val="BookText"/>
      </w:pPr>
      <w:r>
        <w:rPr>
          <w:rFonts w:ascii="IRNazanin" w:hAnsi="IRNazanin" w:eastAsia="IRNazanin" w:cs="IRNazanin"/>
          <w:lang w:bidi="fa-IR"/>
          <w:color w:val="111111"/>
          <w:sz w:val="28"/>
          <w:szCs w:val="28"/>
          <w:rtl/>
        </w:rPr>
        <w:t xml:space="preserve">راجع یوسفی طبیب.</w:t>
      </w:r>
    </w:p>
    <w:p>
      <w:pPr>
        <w:pStyle w:val="Heading3"/>
      </w:pPr>
      <w:bookmarkStart w:id="11158" w:name="_Toc9854"/>
      <w:r>
        <w:t>8462- دیوان یوسف خوانساری أو شعره‏</w:t>
      </w:r>
      <w:bookmarkEnd w:id="11158"/>
    </w:p>
    <w:p>
      <w:pPr>
        <w:pStyle w:val="BookText"/>
      </w:pPr>
      <w:r>
        <w:rPr>
          <w:rFonts w:ascii="IRNazanin" w:hAnsi="IRNazanin" w:eastAsia="IRNazanin" w:cs="IRNazanin"/>
          <w:lang w:bidi="fa-IR"/>
          <w:color w:val="111111"/>
          <w:sz w:val="28"/>
          <w:szCs w:val="28"/>
          <w:rtl/>
        </w:rPr>
        <w:t xml:space="preserve">و اسمه یوسفا. ترجمه معاصره فی (نر 9- ص 321) و (روشن- ص 798).</w:t>
      </w:r>
    </w:p>
    <w:p>
      <w:pPr>
        <w:pStyle w:val="Heading3"/>
      </w:pPr>
      <w:bookmarkStart w:id="11159" w:name="_Toc9855"/>
      <w:r>
        <w:t>8463- دیوان یوسف دربندی أو شعره‏</w:t>
      </w:r>
      <w:bookmarkEnd w:id="11159"/>
    </w:p>
    <w:p>
      <w:pPr>
        <w:pStyle w:val="BookText"/>
      </w:pPr>
      <w:r>
        <w:rPr>
          <w:rFonts w:ascii="IRNazanin" w:hAnsi="IRNazanin" w:eastAsia="IRNazanin" w:cs="IRNazanin"/>
          <w:lang w:bidi="fa-IR"/>
          <w:color w:val="111111"/>
          <w:sz w:val="28"/>
          <w:szCs w:val="28"/>
          <w:rtl/>
        </w:rPr>
        <w:t xml:space="preserve">و هو جمال الفلاسفة یوسف بن محمد کما فی (لب 1) و عنه فی (مع 1: 656).</w:t>
      </w:r>
    </w:p>
    <w:p>
      <w:pPr>
        <w:pStyle w:val="Heading3"/>
      </w:pPr>
      <w:bookmarkStart w:id="11160" w:name="_Toc9856"/>
      <w:r>
        <w:t>8464- دیوان یوسف دکنی أو شعره‏</w:t>
      </w:r>
      <w:bookmarkEnd w:id="11160"/>
    </w:p>
    <w:p>
      <w:pPr>
        <w:pStyle w:val="BookText"/>
      </w:pPr>
      <w:r>
        <w:rPr>
          <w:rFonts w:ascii="IRNazanin" w:hAnsi="IRNazanin" w:eastAsia="IRNazanin" w:cs="IRNazanin"/>
          <w:lang w:bidi="fa-IR"/>
          <w:color w:val="111111"/>
          <w:sz w:val="28"/>
          <w:szCs w:val="28"/>
          <w:rtl/>
        </w:rPr>
        <w:t xml:space="preserve">و هو یوسف عادل شاه ابن السلطان مراد خان.</w:t>
      </w:r>
    </w:p>
    <w:p>
      <w:pPr>
        <w:pStyle w:val="BookText"/>
      </w:pPr>
      <w:r>
        <w:rPr>
          <w:rFonts w:ascii="IRNazanin" w:hAnsi="IRNazanin" w:eastAsia="IRNazanin" w:cs="IRNazanin"/>
          <w:lang w:bidi="fa-IR"/>
          <w:color w:val="111111"/>
          <w:sz w:val="28"/>
          <w:szCs w:val="28"/>
          <w:rtl/>
        </w:rPr>
        <w:t xml:space="preserve">حکم عشرین سنة و مات 916 کما فی (مع 1: 63) و أورد شعره هناک.</w:t>
      </w:r>
    </w:p>
    <w:p>
      <w:pPr>
        <w:pStyle w:val="Heading3"/>
      </w:pPr>
      <w:bookmarkStart w:id="11161" w:name="_Toc9857"/>
      <w:r>
        <w:t>8465- دیوان یوسف دهلوی أو شعره‏</w:t>
      </w:r>
      <w:bookmarkEnd w:id="11161"/>
    </w:p>
    <w:p>
      <w:pPr>
        <w:pStyle w:val="BookText"/>
      </w:pPr>
      <w:r>
        <w:rPr>
          <w:rFonts w:ascii="IRNazanin" w:hAnsi="IRNazanin" w:eastAsia="IRNazanin" w:cs="IRNazanin"/>
          <w:lang w:bidi="fa-IR"/>
          <w:color w:val="111111"/>
          <w:sz w:val="28"/>
          <w:szCs w:val="28"/>
          <w:rtl/>
        </w:rPr>
        <w:t xml:space="preserve">و اسمه یوسف خان من أمراء أکبر شاه. ورد شعره فی (گلشن- ص 618).</w:t>
      </w:r>
    </w:p>
    <w:p>
      <w:pPr>
        <w:pStyle w:val="Heading3"/>
      </w:pPr>
      <w:bookmarkStart w:id="11162" w:name="_Toc9858"/>
      <w:r>
        <w:t>8466- دیوان یوسف سنندجی أو شعره‏</w:t>
      </w:r>
      <w:bookmarkEnd w:id="11162"/>
    </w:p>
    <w:p>
      <w:pPr>
        <w:pStyle w:val="BookText"/>
      </w:pPr>
      <w:r>
        <w:rPr>
          <w:rFonts w:ascii="IRNazanin" w:hAnsi="IRNazanin" w:eastAsia="IRNazanin" w:cs="IRNazanin"/>
          <w:lang w:bidi="fa-IR"/>
          <w:color w:val="111111"/>
          <w:sz w:val="28"/>
          <w:szCs w:val="28"/>
          <w:rtl/>
        </w:rPr>
        <w:t xml:space="preserve">من الأکراد و من ملازمی أمان الله خان أمیرهم. ورد شعره فی (مع 2: 579).</w:t>
      </w:r>
    </w:p>
    <w:p>
      <w:pPr>
        <w:pStyle w:val="Heading3"/>
      </w:pPr>
      <w:bookmarkStart w:id="11163" w:name="_Toc9859"/>
      <w:r>
        <w:t>8467- دیوان یوسف شاملو أو شعره‏</w:t>
      </w:r>
      <w:bookmarkEnd w:id="11163"/>
    </w:p>
    <w:p>
      <w:pPr>
        <w:pStyle w:val="BookText"/>
      </w:pPr>
      <w:r>
        <w:rPr>
          <w:rFonts w:ascii="IRNazanin" w:hAnsi="IRNazanin" w:eastAsia="IRNazanin" w:cs="IRNazanin"/>
          <w:lang w:bidi="fa-IR"/>
          <w:color w:val="111111"/>
          <w:sz w:val="28"/>
          <w:szCs w:val="28"/>
          <w:rtl/>
        </w:rPr>
        <w:t xml:space="preserve">هو من أمراء طهماسب الصفوی. ورد شعره فی (نر 2- ص 42) و (خوش‏گو) و (روشن- ص 811). قالوا سافر إلی الهند و دیوانه فی ثلاثة آلاف بیت.</w:t>
      </w:r>
    </w:p>
    <w:p>
      <w:pPr>
        <w:pStyle w:val="Heading3"/>
      </w:pPr>
      <w:bookmarkStart w:id="11164" w:name="_Toc9860"/>
      <w:r>
        <w:t>8468- دیوان یوسف شیرازی أو شعره‏</w:t>
      </w:r>
      <w:bookmarkEnd w:id="11164"/>
    </w:p>
    <w:p>
      <w:pPr>
        <w:pStyle w:val="BookText"/>
      </w:pPr>
      <w:r>
        <w:rPr>
          <w:rFonts w:ascii="IRNazanin" w:hAnsi="IRNazanin" w:eastAsia="IRNazanin" w:cs="IRNazanin"/>
          <w:lang w:bidi="fa-IR"/>
          <w:color w:val="111111"/>
          <w:sz w:val="28"/>
          <w:szCs w:val="28"/>
          <w:rtl/>
        </w:rPr>
        <w:t xml:space="preserve">ورد شعره فی (گلشن- ص 518).</w:t>
      </w:r>
    </w:p>
    <w:p>
      <w:pPr>
        <w:pStyle w:val="Heading3"/>
      </w:pPr>
      <w:bookmarkStart w:id="11165" w:name="_Toc9861"/>
      <w:r>
        <w:t>8469- دیوان یوسف عامری أو شعره‏</w:t>
      </w:r>
      <w:bookmarkEnd w:id="11165"/>
    </w:p>
    <w:p>
      <w:pPr>
        <w:pStyle w:val="BookText"/>
      </w:pPr>
      <w:r>
        <w:rPr>
          <w:rFonts w:ascii="IRNazanin" w:hAnsi="IRNazanin" w:eastAsia="IRNazanin" w:cs="IRNazanin"/>
          <w:lang w:bidi="fa-IR"/>
          <w:color w:val="111111"/>
          <w:sz w:val="28"/>
          <w:szCs w:val="28"/>
          <w:rtl/>
        </w:rPr>
        <w:t xml:space="preserve">ورد شعره فی (گلشن- ص 617).</w:t>
      </w:r>
    </w:p>
    <w:p>
      <w:pPr>
        <w:pStyle w:val="Heading3"/>
      </w:pPr>
      <w:bookmarkStart w:id="11166" w:name="_Toc9862"/>
      <w:r>
        <w:t>8470- دیوان یوسف غزنوی‏</w:t>
      </w:r>
      <w:bookmarkEnd w:id="11166"/>
    </w:p>
    <w:p>
      <w:pPr>
        <w:pStyle w:val="BookText"/>
      </w:pPr>
      <w:r>
        <w:rPr>
          <w:rFonts w:ascii="IRNazanin" w:hAnsi="IRNazanin" w:eastAsia="IRNazanin" w:cs="IRNazanin"/>
          <w:lang w:bidi="fa-IR"/>
          <w:color w:val="111111"/>
          <w:sz w:val="28"/>
          <w:szCs w:val="28"/>
          <w:rtl/>
        </w:rPr>
        <w:t xml:space="preserve">و اسمه یوسف بن نصر الکاتب. ورد شعره فی (لب 1) و عنه فی (مع 1: 656) و کان یمدح خسرو ملک المتوفی 582 قال و له دیوانین عربی و فارسی.</w:t>
      </w:r>
    </w:p>
    <w:p>
      <w:pPr>
        <w:pStyle w:val="Heading3"/>
      </w:pPr>
      <w:bookmarkStart w:id="11167" w:name="_Toc9863"/>
      <w:r>
        <w:t>8471- دیوان یوسف قراباغی أو شعره‏</w:t>
      </w:r>
      <w:bookmarkEnd w:id="11167"/>
    </w:p>
    <w:p>
      <w:pPr>
        <w:pStyle w:val="BookText"/>
      </w:pPr>
      <w:r>
        <w:rPr>
          <w:rFonts w:ascii="IRNazanin" w:hAnsi="IRNazanin" w:eastAsia="IRNazanin" w:cs="IRNazanin"/>
          <w:lang w:bidi="fa-IR"/>
          <w:color w:val="111111"/>
          <w:sz w:val="28"/>
          <w:szCs w:val="28"/>
          <w:rtl/>
        </w:rPr>
        <w:t xml:space="preserve">و هو یوسف کوسج بن محمد خان. توفی 1054.</w:t>
      </w:r>
    </w:p>
    <w:p>
      <w:pPr>
        <w:pStyle w:val="BookText"/>
      </w:pPr>
      <w:r>
        <w:rPr>
          <w:rFonts w:ascii="IRNazanin" w:hAnsi="IRNazanin" w:eastAsia="IRNazanin" w:cs="IRNazanin"/>
          <w:lang w:bidi="fa-IR"/>
          <w:color w:val="111111"/>
          <w:sz w:val="28"/>
          <w:szCs w:val="28"/>
          <w:rtl/>
        </w:rPr>
        <w:t xml:space="preserve">جاء شعره فی (گلشن- ص 617) و (دجا- ص 404) و (تش- ص 52).
</w:t>
      </w:r>
    </w:p>
    <w:p>
      <w:pPr>
        <w:sectPr>
          <w:footerReference w:type="default" r:id="rId1328"/>
          <w:footnotePr>
            <w:numStart w:val="1"/>
            <w:numRestart w:val="eachPage"/>
          </w:footnotePr>
          <w:pgSz w:orient="portrait" w:w="11905.511811023622" w:h="16837.79527559055"/>
          <w:pgMar w:top="1440" w:right="1440" w:bottom="1440" w:left="1440" w:header="720" w:footer="720" w:gutter="0"/>
          <w:cols w:num="1" w:space="720"/>
        </w:sectPr>
      </w:pPr>
    </w:p>
    <w:bookmarkStart w:id="1303" w:name="pg11704_122877"/>
    <w:bookmarkEnd w:id="1303"/>
    <w:p>
      <w:pPr>
        <w:pStyle w:val="Heading3"/>
      </w:pPr>
      <w:bookmarkStart w:id="11168" w:name="_Toc9864"/>
      <w:r>
        <w:t>8472- دیوان یوسف قزوینی أو شعره‏</w:t>
      </w:r>
      <w:bookmarkEnd w:id="11168"/>
    </w:p>
    <w:p>
      <w:pPr>
        <w:pStyle w:val="BookText"/>
      </w:pPr>
      <w:r>
        <w:rPr>
          <w:rFonts w:ascii="IRNazanin" w:hAnsi="IRNazanin" w:eastAsia="IRNazanin" w:cs="IRNazanin"/>
          <w:lang w:bidi="fa-IR"/>
          <w:color w:val="111111"/>
          <w:sz w:val="28"/>
          <w:szCs w:val="28"/>
          <w:rtl/>
        </w:rPr>
        <w:t xml:space="preserve">هو أخو المیرزا طاهر الوحید المذکور فی ص 1266 ورد شعره فی (تش- ص 228) و همیشه بهار.</w:t>
      </w:r>
    </w:p>
    <w:p>
      <w:pPr>
        <w:pStyle w:val="Heading3"/>
      </w:pPr>
      <w:bookmarkStart w:id="11169" w:name="_Toc9865"/>
      <w:r>
        <w:t>8473- دیوان یوسف کابلی أو شعره‏</w:t>
      </w:r>
      <w:bookmarkEnd w:id="11169"/>
    </w:p>
    <w:p>
      <w:pPr>
        <w:pStyle w:val="BookText"/>
      </w:pPr>
      <w:r>
        <w:rPr>
          <w:rFonts w:ascii="IRNazanin" w:hAnsi="IRNazanin" w:eastAsia="IRNazanin" w:cs="IRNazanin"/>
          <w:lang w:bidi="fa-IR"/>
          <w:color w:val="111111"/>
          <w:sz w:val="28"/>
          <w:szCs w:val="28"/>
          <w:rtl/>
        </w:rPr>
        <w:t xml:space="preserve">و اسمه محمد یوسف بن شاه بیک خان. ورد شعره فی (روشن- ص 799) و (گلشن- ص 610).</w:t>
      </w:r>
    </w:p>
    <w:p>
      <w:pPr>
        <w:pStyle w:val="Heading3"/>
      </w:pPr>
      <w:bookmarkStart w:id="11170" w:name="_Toc9866"/>
      <w:r>
        <w:t>8474- دیوان یوسف کازرونی أو شعره‏</w:t>
      </w:r>
      <w:bookmarkEnd w:id="11170"/>
    </w:p>
    <w:p>
      <w:pPr>
        <w:pStyle w:val="BookText"/>
      </w:pPr>
      <w:r>
        <w:rPr>
          <w:rFonts w:ascii="IRNazanin" w:hAnsi="IRNazanin" w:eastAsia="IRNazanin" w:cs="IRNazanin"/>
          <w:lang w:bidi="fa-IR"/>
          <w:color w:val="111111"/>
          <w:sz w:val="28"/>
          <w:szCs w:val="28"/>
          <w:rtl/>
        </w:rPr>
        <w:t xml:space="preserve">کان یعرف بأمیری. أورد شعره معاصره فی (نر- ص 122) و هو غیر یوسف أمیری المذکور.</w:t>
      </w:r>
    </w:p>
    <w:p>
      <w:pPr>
        <w:pStyle w:val="Heading3"/>
      </w:pPr>
      <w:bookmarkStart w:id="11171" w:name="_Toc9867"/>
      <w:r>
        <w:t>دیوان یوسف کشمیری‏</w:t>
      </w:r>
      <w:bookmarkEnd w:id="11171"/>
    </w:p>
    <w:p>
      <w:pPr>
        <w:pStyle w:val="BookText"/>
      </w:pPr>
      <w:r>
        <w:rPr>
          <w:rFonts w:ascii="IRNazanin" w:hAnsi="IRNazanin" w:eastAsia="IRNazanin" w:cs="IRNazanin"/>
          <w:lang w:bidi="fa-IR"/>
          <w:color w:val="111111"/>
          <w:sz w:val="28"/>
          <w:szCs w:val="28"/>
          <w:rtl/>
        </w:rPr>
        <w:t xml:space="preserve">و هو درویش یوسف المذکور فی ص 325 ورد شعره فی (نر 6- ص 204) و (خوش‏گو) و (گلشن- ص 617).</w:t>
      </w:r>
    </w:p>
    <w:p>
      <w:pPr>
        <w:pStyle w:val="Heading3"/>
      </w:pPr>
      <w:bookmarkStart w:id="11172" w:name="_Toc9868"/>
      <w:r>
        <w:t>8475- دیوان یوسف الکوفی‏</w:t>
      </w:r>
      <w:bookmarkEnd w:id="11172"/>
    </w:p>
    <w:p>
      <w:pPr>
        <w:pStyle w:val="BookText"/>
      </w:pPr>
      <w:r>
        <w:rPr>
          <w:rFonts w:ascii="IRNazanin" w:hAnsi="IRNazanin" w:eastAsia="IRNazanin" w:cs="IRNazanin"/>
          <w:lang w:bidi="fa-IR"/>
          <w:color w:val="111111"/>
          <w:sz w:val="28"/>
          <w:szCs w:val="28"/>
          <w:rtl/>
        </w:rPr>
        <w:t xml:space="preserve">هو یوسف بن لقوة الکاتب. ترجمه أبو عبد الله المرزبانی فی معجم الشعراء- 571. و أورد قصیدته فی مدیح أهل البیت.</w:t>
      </w:r>
    </w:p>
    <w:p>
      <w:pPr>
        <w:pStyle w:val="Heading3"/>
      </w:pPr>
      <w:bookmarkStart w:id="11173" w:name="_Toc9869"/>
      <w:r>
        <w:t>8476- دیوان یوسف گرجی أو شعره‏</w:t>
      </w:r>
      <w:bookmarkEnd w:id="11173"/>
    </w:p>
    <w:p>
      <w:pPr>
        <w:pStyle w:val="BookText"/>
      </w:pPr>
      <w:r>
        <w:rPr>
          <w:rFonts w:ascii="IRNazanin" w:hAnsi="IRNazanin" w:eastAsia="IRNazanin" w:cs="IRNazanin"/>
          <w:lang w:bidi="fa-IR"/>
          <w:color w:val="111111"/>
          <w:sz w:val="28"/>
          <w:szCs w:val="28"/>
          <w:rtl/>
        </w:rPr>
        <w:t xml:space="preserve">و هو الذی رباه محمود میرزا ابن فتح علی شاه صاحب سفینه محمود. ورد شعره فی (مع 2: 580) نقلا عن السفینة.</w:t>
      </w:r>
    </w:p>
    <w:p>
      <w:pPr>
        <w:pStyle w:val="Heading3"/>
      </w:pPr>
      <w:bookmarkStart w:id="11174" w:name="_Toc9870"/>
      <w:r>
        <w:t>8477- دیوان یوسف گردیزی أو شعره‏</w:t>
      </w:r>
      <w:bookmarkEnd w:id="11174"/>
    </w:p>
    <w:p>
      <w:pPr>
        <w:pStyle w:val="BookText"/>
      </w:pPr>
      <w:r>
        <w:rPr>
          <w:rFonts w:ascii="IRNazanin" w:hAnsi="IRNazanin" w:eastAsia="IRNazanin" w:cs="IRNazanin"/>
          <w:lang w:bidi="fa-IR"/>
          <w:color w:val="111111"/>
          <w:sz w:val="28"/>
          <w:szCs w:val="28"/>
          <w:rtl/>
        </w:rPr>
        <w:t xml:space="preserve">ورد شعره فی (گلشن- ص 617).</w:t>
      </w:r>
    </w:p>
    <w:p>
      <w:pPr>
        <w:pStyle w:val="Heading3"/>
      </w:pPr>
      <w:bookmarkStart w:id="11175" w:name="_Toc9871"/>
      <w:r>
        <w:t>دیوان یوسف لاری‏</w:t>
      </w:r>
      <w:bookmarkEnd w:id="11175"/>
    </w:p>
    <w:p>
      <w:pPr>
        <w:pStyle w:val="BookText"/>
      </w:pPr>
      <w:r>
        <w:rPr>
          <w:rFonts w:ascii="IRNazanin" w:hAnsi="IRNazanin" w:eastAsia="IRNazanin" w:cs="IRNazanin"/>
          <w:lang w:bidi="fa-IR"/>
          <w:color w:val="111111"/>
          <w:sz w:val="28"/>
          <w:szCs w:val="28"/>
          <w:rtl/>
        </w:rPr>
        <w:t xml:space="preserve">مر بعنوان درویش یوسف فی ص 325.</w:t>
      </w:r>
    </w:p>
    <w:p>
      <w:pPr>
        <w:pStyle w:val="Heading3"/>
      </w:pPr>
      <w:bookmarkStart w:id="11176" w:name="_Toc9872"/>
      <w:r>
        <w:t>8478- دیوان یوسف لاهیجی أو شعره‏</w:t>
      </w:r>
      <w:bookmarkEnd w:id="11176"/>
    </w:p>
    <w:p>
      <w:pPr>
        <w:pStyle w:val="BookText"/>
      </w:pPr>
      <w:r>
        <w:rPr>
          <w:rFonts w:ascii="IRNazanin" w:hAnsi="IRNazanin" w:eastAsia="IRNazanin" w:cs="IRNazanin"/>
          <w:lang w:bidi="fa-IR"/>
          <w:color w:val="111111"/>
          <w:sz w:val="28"/>
          <w:szCs w:val="28"/>
          <w:rtl/>
        </w:rPr>
        <w:t xml:space="preserve">و یعرف ضیاء نقار. ترجمه معاصره النصرآبادی فی (نر 9- ص 380).</w:t>
      </w:r>
    </w:p>
    <w:p>
      <w:pPr>
        <w:pStyle w:val="Heading3"/>
      </w:pPr>
      <w:bookmarkStart w:id="11177" w:name="_Toc9873"/>
      <w:r>
        <w:t>8479- دیوان یوسف لکهنوی‏</w:t>
      </w:r>
      <w:bookmarkEnd w:id="11177"/>
    </w:p>
    <w:p>
      <w:pPr>
        <w:pStyle w:val="BookText"/>
      </w:pPr>
      <w:r>
        <w:rPr>
          <w:rFonts w:ascii="IRNazanin" w:hAnsi="IRNazanin" w:eastAsia="IRNazanin" w:cs="IRNazanin"/>
          <w:lang w:bidi="fa-IR"/>
          <w:color w:val="111111"/>
          <w:sz w:val="28"/>
          <w:szCs w:val="28"/>
          <w:rtl/>
        </w:rPr>
        <w:t xml:space="preserve">و هو أبو حامد محمد یوسف علی بن محمد یعقوب علی. هو والد محمد مظفر حسین صبا، مؤلف روز روشن المذکور فی ص 1060 ترجم فی (گلشن- ص 619) و (روشن- ص 799).</w:t>
      </w:r>
    </w:p>
    <w:p>
      <w:pPr>
        <w:pStyle w:val="Heading3"/>
      </w:pPr>
      <w:bookmarkStart w:id="11178" w:name="_Toc9874"/>
      <w:r>
        <w:t>8480- دیوان یوسف لکهنوی أو شعره‏</w:t>
      </w:r>
      <w:bookmarkEnd w:id="11178"/>
    </w:p>
    <w:p>
      <w:pPr>
        <w:pStyle w:val="BookText"/>
      </w:pPr>
      <w:r>
        <w:rPr>
          <w:rFonts w:ascii="IRNazanin" w:hAnsi="IRNazanin" w:eastAsia="IRNazanin" w:cs="IRNazanin"/>
          <w:lang w:bidi="fa-IR"/>
          <w:color w:val="111111"/>
          <w:sz w:val="28"/>
          <w:szCs w:val="28"/>
          <w:rtl/>
        </w:rPr>
        <w:t xml:space="preserve">و اسمه خواجه یوسف بن خواجه موسی.</w:t>
      </w:r>
    </w:p>
    <w:p>
      <w:pPr>
        <w:pStyle w:val="BookText"/>
      </w:pPr>
      <w:r>
        <w:rPr>
          <w:rFonts w:ascii="IRNazanin" w:hAnsi="IRNazanin" w:eastAsia="IRNazanin" w:cs="IRNazanin"/>
          <w:lang w:bidi="fa-IR"/>
          <w:color w:val="111111"/>
          <w:sz w:val="28"/>
          <w:szCs w:val="28"/>
          <w:rtl/>
        </w:rPr>
        <w:t xml:space="preserve">ورد شعره فی (گلشن- ص 618).</w:t>
      </w:r>
    </w:p>
    <w:p>
      <w:pPr>
        <w:pStyle w:val="Heading3"/>
      </w:pPr>
      <w:bookmarkStart w:id="11179" w:name="_Toc9875"/>
      <w:r>
        <w:t>8481- دیوان یوسف لکهنوی أو شعره‏</w:t>
      </w:r>
      <w:bookmarkEnd w:id="11179"/>
    </w:p>
    <w:p>
      <w:pPr>
        <w:pStyle w:val="BookText"/>
      </w:pPr>
      <w:r>
        <w:rPr>
          <w:rFonts w:ascii="IRNazanin" w:hAnsi="IRNazanin" w:eastAsia="IRNazanin" w:cs="IRNazanin"/>
          <w:lang w:bidi="fa-IR"/>
          <w:color w:val="111111"/>
          <w:sz w:val="28"/>
          <w:szCs w:val="28"/>
          <w:rtl/>
        </w:rPr>
        <w:t xml:space="preserve">و هو الحکیم میر محمد صادق المتوفی 1247 ورد شعره فی (گلشن- ص 618).</w:t>
      </w:r>
    </w:p>
    <w:p>
      <w:pPr>
        <w:pStyle w:val="Heading3"/>
      </w:pPr>
      <w:bookmarkStart w:id="11180" w:name="_Toc9876"/>
      <w:r>
        <w:t>8482- دیوان یوسف مروی أو شعره‏</w:t>
      </w:r>
      <w:bookmarkEnd w:id="11180"/>
    </w:p>
    <w:p>
      <w:pPr>
        <w:pStyle w:val="BookText"/>
      </w:pPr>
      <w:r>
        <w:rPr>
          <w:rFonts w:ascii="IRNazanin" w:hAnsi="IRNazanin" w:eastAsia="IRNazanin" w:cs="IRNazanin"/>
          <w:lang w:bidi="fa-IR"/>
          <w:color w:val="111111"/>
          <w:sz w:val="28"/>
          <w:szCs w:val="28"/>
          <w:rtl/>
        </w:rPr>
        <w:t xml:space="preserve">کان کاتبا ورد شعره فی (بهش 2- ص 387).</w:t>
      </w:r>
    </w:p>
    <w:p>
      <w:pPr>
        <w:pStyle w:val="Heading3"/>
      </w:pPr>
      <w:bookmarkStart w:id="11181" w:name="_Toc9877"/>
      <w:r>
        <w:t>8483- دیوان یوسف هروی أو شعره‏</w:t>
      </w:r>
      <w:bookmarkEnd w:id="11181"/>
    </w:p>
    <w:p>
      <w:pPr>
        <w:pStyle w:val="BookText"/>
      </w:pPr>
      <w:r>
        <w:rPr>
          <w:rFonts w:ascii="IRNazanin" w:hAnsi="IRNazanin" w:eastAsia="IRNazanin" w:cs="IRNazanin"/>
          <w:lang w:bidi="fa-IR"/>
          <w:color w:val="111111"/>
          <w:sz w:val="28"/>
          <w:szCs w:val="28"/>
          <w:rtl/>
        </w:rPr>
        <w:t xml:space="preserve">و اسمه میر محمد یوسف بن میر أحمد میر آخور.
</w:t>
      </w:r>
    </w:p>
    <w:p>
      <w:pPr>
        <w:sectPr>
          <w:footerReference w:type="default" r:id="rId1329"/>
          <w:footnotePr>
            <w:numStart w:val="1"/>
            <w:numRestart w:val="eachPage"/>
          </w:footnotePr>
          <w:pgSz w:orient="portrait" w:w="11905.511811023622" w:h="16837.79527559055"/>
          <w:pgMar w:top="1440" w:right="1440" w:bottom="1440" w:left="1440" w:header="720" w:footer="720" w:gutter="0"/>
          <w:cols w:num="1" w:space="720"/>
        </w:sectPr>
      </w:pPr>
    </w:p>
    <w:bookmarkStart w:id="1304" w:name="pg11704_122879"/>
    <w:bookmarkEnd w:id="1304"/>
    <w:p>
      <w:pPr>
        <w:pStyle w:val="BookText"/>
      </w:pPr>
      <w:r>
        <w:rPr>
          <w:rFonts w:ascii="IRNazanin" w:hAnsi="IRNazanin" w:eastAsia="IRNazanin" w:cs="IRNazanin"/>
          <w:lang w:bidi="fa-IR"/>
          <w:color w:val="111111"/>
          <w:sz w:val="28"/>
          <w:szCs w:val="28"/>
          <w:rtl/>
        </w:rPr>
        <w:t xml:space="preserve">کان ملازم زمان میرزا. ورد شعره فی (مجتس 8- ص 172).</w:t>
      </w:r>
    </w:p>
    <w:p>
      <w:pPr>
        <w:pStyle w:val="Heading3"/>
      </w:pPr>
      <w:bookmarkStart w:id="11182" w:name="_Toc9878"/>
      <w:r>
        <w:t>8484- دیوان یوسف هندی أو شعره‏</w:t>
      </w:r>
      <w:bookmarkEnd w:id="11182"/>
    </w:p>
    <w:p>
      <w:pPr>
        <w:pStyle w:val="BookText"/>
      </w:pPr>
      <w:r>
        <w:rPr>
          <w:rFonts w:ascii="IRNazanin" w:hAnsi="IRNazanin" w:eastAsia="IRNazanin" w:cs="IRNazanin"/>
          <w:lang w:bidi="fa-IR"/>
          <w:color w:val="111111"/>
          <w:sz w:val="28"/>
          <w:szCs w:val="28"/>
          <w:rtl/>
        </w:rPr>
        <w:t xml:space="preserve">و اسمه محمد یوسف و یتخلص قدیم الدهلوی کما ذکر فی (سرخوش- ص 94) و (خوش‏گو) و هو ابن عم مائل.</w:t>
      </w:r>
    </w:p>
    <w:p>
      <w:pPr>
        <w:pStyle w:val="Heading3"/>
      </w:pPr>
      <w:bookmarkStart w:id="11183" w:name="_Toc9879"/>
      <w:r>
        <w:t>8485- دیوان یوسفی طبیب‏</w:t>
      </w:r>
      <w:bookmarkEnd w:id="11183"/>
    </w:p>
    <w:p>
      <w:pPr>
        <w:pStyle w:val="BookText"/>
      </w:pPr>
      <w:r>
        <w:rPr>
          <w:rFonts w:ascii="IRNazanin" w:hAnsi="IRNazanin" w:eastAsia="IRNazanin" w:cs="IRNazanin"/>
          <w:lang w:bidi="fa-IR"/>
          <w:color w:val="111111"/>
          <w:sz w:val="28"/>
          <w:szCs w:val="28"/>
          <w:rtl/>
        </w:rPr>
        <w:t xml:space="preserve">و هو یوسف بن محمد بن یوسف الیوسفی الطبیب. له عدة منظومات طبیة فارسیة، مر منها أدویة مفردة نظمها فی 917 و طبع مع علاج الأمراض له. و له فوائد الاخبار أو فوائد یوسفی نظمها فی 913 و بهداشت منظوم نظمها لبابر شاه غازی (932- 937) و منظومة مأکول و مشروب و فرهنگ هندی به پارسی فی اللغات الطبیة و فرهنگ عربی به پارسی أیضا کذلک. و مر له ریاض الأدویة و بحر الجواهر. ذکر کلها فی فرهنگ نامه‏های عربی بفارسی- ص 199. و یوجد له جامع الفوائد بعنوان رباعیات طبی فی 1323 بکانپور.</w:t>
      </w:r>
    </w:p>
    <w:p>
      <w:pPr>
        <w:pStyle w:val="BookText"/>
      </w:pPr>
      <w:r>
        <w:rPr>
          <w:rFonts w:ascii="IRNazanin" w:hAnsi="IRNazanin" w:eastAsia="IRNazanin" w:cs="IRNazanin"/>
          <w:lang w:bidi="fa-IR"/>
          <w:color w:val="111111"/>
          <w:sz w:val="28"/>
          <w:szCs w:val="28"/>
          <w:rtl/>
        </w:rPr>
        <w:t xml:space="preserve">و له ستة ضروریة و دلائل النبض ألفه 942 موجود فی مکتبة کلیة الطب بطهران.</w:t>
      </w:r>
    </w:p>
    <w:p>
      <w:pPr>
        <w:pStyle w:val="BookText"/>
      </w:pPr>
      <w:r>
        <w:rPr>
          <w:rFonts w:ascii="IRNazanin" w:hAnsi="IRNazanin" w:eastAsia="IRNazanin" w:cs="IRNazanin"/>
          <w:lang w:bidi="fa-IR"/>
          <w:color w:val="111111"/>
          <w:sz w:val="28"/>
          <w:szCs w:val="28"/>
          <w:rtl/>
        </w:rPr>
        <w:t xml:space="preserve">و فی (گلشن- ص 619) سماه یوسفی دهلوی و عده من أطباء بلاط بابر شاه و أورد شعره و فی (مجتس 6- ص 156) و (حسینی- ص 374) سماه یوسفی خراسانی هروی و مات حدود 950 و فی (تس 5- 160) أن مولده خواف.</w:t>
      </w:r>
    </w:p>
    <w:p>
      <w:pPr>
        <w:pStyle w:val="Heading3"/>
      </w:pPr>
      <w:bookmarkStart w:id="11184" w:name="_Toc9880"/>
      <w:r>
        <w:t>8486- دیوان یوسفی گلپایگانی‏</w:t>
      </w:r>
      <w:bookmarkEnd w:id="11184"/>
    </w:p>
    <w:p>
      <w:pPr>
        <w:pStyle w:val="BookText"/>
      </w:pPr>
      <w:r>
        <w:rPr>
          <w:rFonts w:ascii="IRNazanin" w:hAnsi="IRNazanin" w:eastAsia="IRNazanin" w:cs="IRNazanin"/>
          <w:lang w:bidi="fa-IR"/>
          <w:color w:val="111111"/>
          <w:sz w:val="28"/>
          <w:szCs w:val="28"/>
          <w:rtl/>
        </w:rPr>
        <w:t xml:space="preserve">من شعراء الشاه عباس الأول الصفوی. و کان ماهرا فی الغزل و القصیدة. ترجمه النصرآبادی فی (نر 90- ص 274) و (خوش‏گو).</w:t>
      </w:r>
    </w:p>
    <w:p>
      <w:pPr>
        <w:pStyle w:val="BookText"/>
      </w:pPr>
      <w:r>
        <w:rPr>
          <w:rFonts w:ascii="IRNazanin" w:hAnsi="IRNazanin" w:eastAsia="IRNazanin" w:cs="IRNazanin"/>
          <w:lang w:bidi="fa-IR"/>
          <w:color w:val="111111"/>
          <w:sz w:val="28"/>
          <w:szCs w:val="28"/>
          <w:rtl/>
        </w:rPr>
        <w:t xml:space="preserve">و فی همیشه بهار أن اسمه یوسف.</w:t>
      </w:r>
    </w:p>
    <w:p>
      <w:pPr>
        <w:pStyle w:val="Heading3"/>
      </w:pPr>
      <w:bookmarkStart w:id="11185" w:name="_Toc9881"/>
      <w:r>
        <w:t>8487- دیوان یونس أبهری أو شعره‏</w:t>
      </w:r>
      <w:bookmarkEnd w:id="11185"/>
    </w:p>
    <w:p>
      <w:pPr>
        <w:pStyle w:val="BookText"/>
      </w:pPr>
      <w:r>
        <w:rPr>
          <w:rFonts w:ascii="IRNazanin" w:hAnsi="IRNazanin" w:eastAsia="IRNazanin" w:cs="IRNazanin"/>
          <w:lang w:bidi="fa-IR"/>
          <w:color w:val="111111"/>
          <w:sz w:val="28"/>
          <w:szCs w:val="28"/>
          <w:rtl/>
        </w:rPr>
        <w:t xml:space="preserve">کان من شعراء عهد جهانگیر. ورد شعره فی همیشه بهار و (روشن- ص 811).</w:t>
      </w:r>
    </w:p>
    <w:p>
      <w:pPr>
        <w:pStyle w:val="Heading3"/>
      </w:pPr>
      <w:bookmarkStart w:id="11186" w:name="_Toc9882"/>
      <w:r>
        <w:t>8488- دیوان یونس الدیلمی أو شعره‏</w:t>
      </w:r>
      <w:bookmarkEnd w:id="11186"/>
    </w:p>
    <w:p>
      <w:pPr>
        <w:pStyle w:val="BookText"/>
      </w:pPr>
      <w:r>
        <w:rPr>
          <w:rFonts w:ascii="IRNazanin" w:hAnsi="IRNazanin" w:eastAsia="IRNazanin" w:cs="IRNazanin"/>
          <w:lang w:bidi="fa-IR"/>
          <w:color w:val="111111"/>
          <w:sz w:val="28"/>
          <w:szCs w:val="28"/>
          <w:rtl/>
        </w:rPr>
        <w:t xml:space="preserve">عده ابن شهرآشوب فی (المعالم- ص 137) من شعراء الشیعة.
</w:t>
      </w:r>
    </w:p>
    <w:p>
      <w:pPr>
        <w:sectPr>
          <w:footerReference w:type="default" r:id="rId133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footer2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909</w:t>
    </w:r>
  </w:p>
</w:ftr>
</file>

<file path=word/footer2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910</w:t>
    </w:r>
  </w:p>
</w:ftr>
</file>

<file path=word/footer2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911</w:t>
    </w:r>
  </w:p>
</w:ftr>
</file>

<file path=word/footer2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912</w:t>
    </w:r>
  </w:p>
</w:ftr>
</file>

<file path=word/footer2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913</w:t>
    </w:r>
  </w:p>
</w:ftr>
</file>

<file path=word/footer2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914</w:t>
    </w:r>
  </w:p>
</w:ftr>
</file>

<file path=word/footer2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915</w:t>
    </w:r>
  </w:p>
</w:ftr>
</file>

<file path=word/footer2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916</w:t>
    </w:r>
  </w:p>
</w:ftr>
</file>

<file path=word/footer2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917</w:t>
    </w:r>
  </w:p>
</w:ftr>
</file>

<file path=word/footer2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918</w:t>
    </w:r>
  </w:p>
</w:ftr>
</file>

<file path=word/footer2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919</w:t>
    </w:r>
  </w:p>
</w:ftr>
</file>

<file path=word/footer2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920</w:t>
    </w:r>
  </w:p>
</w:ftr>
</file>

<file path=word/footer2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921</w:t>
    </w:r>
  </w:p>
</w:ftr>
</file>

<file path=word/footer2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922</w:t>
    </w:r>
  </w:p>
</w:ftr>
</file>

<file path=word/footer2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923</w:t>
    </w:r>
  </w:p>
</w:ftr>
</file>

<file path=word/footer2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924</w:t>
    </w:r>
  </w:p>
</w:ftr>
</file>

<file path=word/footer27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925</w:t>
    </w:r>
  </w:p>
</w:ftr>
</file>

<file path=word/footer27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926</w:t>
    </w:r>
  </w:p>
</w:ftr>
</file>

<file path=word/footer27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927</w:t>
    </w:r>
  </w:p>
</w:ftr>
</file>

<file path=word/footer27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928</w:t>
    </w:r>
  </w:p>
</w:ftr>
</file>

<file path=word/footer27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929</w:t>
    </w:r>
  </w:p>
</w:ftr>
</file>

<file path=word/footer27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930</w:t>
    </w:r>
  </w:p>
</w:ftr>
</file>

<file path=word/footer28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931</w:t>
    </w:r>
  </w:p>
</w:ftr>
</file>

<file path=word/footer28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932</w:t>
    </w:r>
  </w:p>
</w:ftr>
</file>

<file path=word/footer28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933</w:t>
    </w:r>
  </w:p>
</w:ftr>
</file>

<file path=word/footer28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934</w:t>
    </w:r>
  </w:p>
</w:ftr>
</file>

<file path=word/footer28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935</w:t>
    </w:r>
  </w:p>
</w:ftr>
</file>

<file path=word/footer28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936</w:t>
    </w:r>
  </w:p>
</w:ftr>
</file>

<file path=word/footer28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937</w:t>
    </w:r>
  </w:p>
</w:ftr>
</file>

<file path=word/footer28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938</w:t>
    </w:r>
  </w:p>
</w:ftr>
</file>

<file path=word/footer28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939</w:t>
    </w:r>
  </w:p>
</w:ftr>
</file>

<file path=word/footer28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940</w:t>
    </w:r>
  </w:p>
</w:ftr>
</file>

<file path=word/footer28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941</w:t>
    </w:r>
  </w:p>
</w:ftr>
</file>

<file path=word/footer28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942</w:t>
    </w:r>
  </w:p>
</w:ftr>
</file>

<file path=word/footer28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943</w:t>
    </w:r>
  </w:p>
</w:ftr>
</file>

<file path=word/footer28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944</w:t>
    </w:r>
  </w:p>
</w:ftr>
</file>

<file path=word/footer28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945</w:t>
    </w:r>
  </w:p>
</w:ftr>
</file>

<file path=word/footer28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946</w:t>
    </w:r>
  </w:p>
</w:ftr>
</file>

<file path=word/footer28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947</w:t>
    </w:r>
  </w:p>
</w:ftr>
</file>

<file path=word/footer28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948</w:t>
    </w:r>
  </w:p>
</w:ftr>
</file>

<file path=word/footer28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949</w:t>
    </w:r>
  </w:p>
</w:ftr>
</file>

<file path=word/footer28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950</w:t>
    </w:r>
  </w:p>
</w:ftr>
</file>

<file path=word/footer28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951</w:t>
    </w:r>
  </w:p>
</w:ftr>
</file>

<file path=word/footer28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952</w:t>
    </w:r>
  </w:p>
</w:ftr>
</file>

<file path=word/footer28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953</w:t>
    </w:r>
  </w:p>
</w:ftr>
</file>

<file path=word/footer28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954</w:t>
    </w:r>
  </w:p>
</w:ftr>
</file>

<file path=word/footer28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955</w:t>
    </w:r>
  </w:p>
</w:ftr>
</file>

<file path=word/footer28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956</w:t>
    </w:r>
  </w:p>
</w:ftr>
</file>

<file path=word/footer28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957</w:t>
    </w:r>
  </w:p>
</w:ftr>
</file>

<file path=word/footer28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958</w:t>
    </w:r>
  </w:p>
</w:ftr>
</file>

<file path=word/footer28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959</w:t>
    </w:r>
  </w:p>
</w:ftr>
</file>

<file path=word/footer28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960</w:t>
    </w:r>
  </w:p>
</w:ftr>
</file>

<file path=word/footer28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961</w:t>
    </w:r>
  </w:p>
</w:ftr>
</file>

<file path=word/footer28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962</w:t>
    </w:r>
  </w:p>
</w:ftr>
</file>

<file path=word/footer28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963</w:t>
    </w:r>
  </w:p>
</w:ftr>
</file>

<file path=word/footer28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964</w:t>
    </w:r>
  </w:p>
</w:ftr>
</file>

<file path=word/footer29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965</w:t>
    </w:r>
  </w:p>
</w:ftr>
</file>

<file path=word/footer29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966</w:t>
    </w:r>
  </w:p>
</w:ftr>
</file>

<file path=word/footer29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967</w:t>
    </w:r>
  </w:p>
</w:ftr>
</file>

<file path=word/footer29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968</w:t>
    </w:r>
  </w:p>
</w:ftr>
</file>

<file path=word/footer29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969</w:t>
    </w:r>
  </w:p>
</w:ftr>
</file>

<file path=word/footer29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970</w:t>
    </w:r>
  </w:p>
</w:ftr>
</file>

<file path=word/footer29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971</w:t>
    </w:r>
  </w:p>
</w:ftr>
</file>

<file path=word/footer29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972</w:t>
    </w:r>
  </w:p>
</w:ftr>
</file>

<file path=word/footer29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973</w:t>
    </w:r>
  </w:p>
</w:ftr>
</file>

<file path=word/footer29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974</w:t>
    </w:r>
  </w:p>
</w:ftr>
</file>

<file path=word/footer29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975</w:t>
    </w:r>
  </w:p>
</w:ftr>
</file>

<file path=word/footer29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976</w:t>
    </w:r>
  </w:p>
</w:ftr>
</file>

<file path=word/footer29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977</w:t>
    </w:r>
  </w:p>
</w:ftr>
</file>

<file path=word/footer29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978</w:t>
    </w:r>
  </w:p>
</w:ftr>
</file>

<file path=word/footer29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979</w:t>
    </w:r>
  </w:p>
</w:ftr>
</file>

<file path=word/footer29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980</w:t>
    </w:r>
  </w:p>
</w:ftr>
</file>

<file path=word/footer29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981</w:t>
    </w:r>
  </w:p>
</w:ftr>
</file>

<file path=word/footer29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982</w:t>
    </w:r>
  </w:p>
</w:ftr>
</file>

<file path=word/footer29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983</w:t>
    </w:r>
  </w:p>
</w:ftr>
</file>

<file path=word/footer29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984</w:t>
    </w:r>
  </w:p>
</w:ftr>
</file>

<file path=word/footer29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985</w:t>
    </w:r>
  </w:p>
</w:ftr>
</file>

<file path=word/footer29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986</w:t>
    </w:r>
  </w:p>
</w:ftr>
</file>

<file path=word/footer29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987</w:t>
    </w:r>
  </w:p>
</w:ftr>
</file>

<file path=word/footer29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988</w:t>
    </w:r>
  </w:p>
</w:ftr>
</file>

<file path=word/footer29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989</w:t>
    </w:r>
  </w:p>
</w:ftr>
</file>

<file path=word/footer29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990</w:t>
    </w:r>
  </w:p>
</w:ftr>
</file>

<file path=word/footer29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991</w:t>
    </w:r>
  </w:p>
</w:ftr>
</file>

<file path=word/footer29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992</w:t>
    </w:r>
  </w:p>
</w:ftr>
</file>

<file path=word/footer29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993</w:t>
    </w:r>
  </w:p>
</w:ftr>
</file>

<file path=word/footer29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994</w:t>
    </w:r>
  </w:p>
</w:ftr>
</file>

<file path=word/footer29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995</w:t>
    </w:r>
  </w:p>
</w:ftr>
</file>

<file path=word/footer29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996</w:t>
    </w:r>
  </w:p>
</w:ftr>
</file>

<file path=word/footer29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997</w:t>
    </w:r>
  </w:p>
</w:ftr>
</file>

<file path=word/footer30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998</w:t>
    </w:r>
  </w:p>
</w:ftr>
</file>

<file path=word/footer30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999</w:t>
    </w:r>
  </w:p>
</w:ftr>
</file>

<file path=word/footer30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1000</w:t>
    </w:r>
  </w:p>
</w:ftr>
</file>

<file path=word/footer30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1001</w:t>
    </w:r>
  </w:p>
</w:ftr>
</file>

<file path=word/footer30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1002</w:t>
    </w:r>
  </w:p>
</w:ftr>
</file>

<file path=word/footer30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1003</w:t>
    </w:r>
  </w:p>
</w:ftr>
</file>

<file path=word/footer30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1004</w:t>
    </w:r>
  </w:p>
</w:ftr>
</file>

<file path=word/footer30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1005</w:t>
    </w:r>
  </w:p>
</w:ftr>
</file>

<file path=word/footer30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1006</w:t>
    </w:r>
  </w:p>
</w:ftr>
</file>

<file path=word/footer30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1007</w:t>
    </w:r>
  </w:p>
</w:ftr>
</file>

<file path=word/footer30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1008</w:t>
    </w:r>
  </w:p>
</w:ftr>
</file>

<file path=word/footer30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1009</w:t>
    </w:r>
  </w:p>
</w:ftr>
</file>

<file path=word/footer30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1010</w:t>
    </w:r>
  </w:p>
</w:ftr>
</file>

<file path=word/footer30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1011</w:t>
    </w:r>
  </w:p>
</w:ftr>
</file>

<file path=word/footer30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1012</w:t>
    </w:r>
  </w:p>
</w:ftr>
</file>

<file path=word/footer30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1013</w:t>
    </w:r>
  </w:p>
</w:ftr>
</file>

<file path=word/footer30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1014</w:t>
    </w:r>
  </w:p>
</w:ftr>
</file>

<file path=word/footer30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1015</w:t>
    </w:r>
  </w:p>
</w:ftr>
</file>

<file path=word/footer30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1016</w:t>
    </w:r>
  </w:p>
</w:ftr>
</file>

<file path=word/footer30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1017</w:t>
    </w:r>
  </w:p>
</w:ftr>
</file>

<file path=word/footer30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1018</w:t>
    </w:r>
  </w:p>
</w:ftr>
</file>

<file path=word/footer30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1019</w:t>
    </w:r>
  </w:p>
</w:ftr>
</file>

<file path=word/footer30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1020</w:t>
    </w:r>
  </w:p>
</w:ftr>
</file>

<file path=word/footer30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1021</w:t>
    </w:r>
  </w:p>
</w:ftr>
</file>

<file path=word/footer30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1022</w:t>
    </w:r>
  </w:p>
</w:ftr>
</file>

<file path=word/footer30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1023</w:t>
    </w:r>
  </w:p>
</w:ftr>
</file>

<file path=word/footer30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1024</w:t>
    </w:r>
  </w:p>
</w:ftr>
</file>

<file path=word/footer30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1025</w:t>
    </w:r>
  </w:p>
</w:ftr>
</file>

<file path=word/footer30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1026</w:t>
    </w:r>
  </w:p>
</w:ftr>
</file>

<file path=word/footer30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1027</w:t>
    </w:r>
  </w:p>
</w:ftr>
</file>

<file path=word/footer30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1028</w:t>
    </w:r>
  </w:p>
</w:ftr>
</file>

<file path=word/footer30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1029</w:t>
    </w:r>
  </w:p>
</w:ftr>
</file>

<file path=word/footer30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1030</w:t>
    </w:r>
  </w:p>
</w:ftr>
</file>

<file path=word/footer3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1031</w:t>
    </w:r>
  </w:p>
</w:ftr>
</file>

<file path=word/footer3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1032</w:t>
    </w:r>
  </w:p>
</w:ftr>
</file>

<file path=word/footer3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1033</w:t>
    </w:r>
  </w:p>
</w:ftr>
</file>

<file path=word/footer3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1034</w:t>
    </w:r>
  </w:p>
</w:ftr>
</file>

<file path=word/footer3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1035</w:t>
    </w:r>
  </w:p>
</w:ftr>
</file>

<file path=word/footer3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1036</w:t>
    </w:r>
  </w:p>
</w:ftr>
</file>

<file path=word/footer3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1037</w:t>
    </w:r>
  </w:p>
</w:ftr>
</file>

<file path=word/footer3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1038</w:t>
    </w:r>
  </w:p>
</w:ftr>
</file>

<file path=word/footer3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1039</w:t>
    </w:r>
  </w:p>
</w:ftr>
</file>

<file path=word/footer3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1040</w:t>
    </w:r>
  </w:p>
</w:ftr>
</file>

<file path=word/footer3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1041</w:t>
    </w:r>
  </w:p>
</w:ftr>
</file>

<file path=word/footer3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1042</w:t>
    </w:r>
  </w:p>
</w:ftr>
</file>

<file path=word/footer3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1043</w:t>
    </w:r>
  </w:p>
</w:ftr>
</file>

<file path=word/footer3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1044</w:t>
    </w:r>
  </w:p>
</w:ftr>
</file>

<file path=word/footer3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1045</w:t>
    </w:r>
  </w:p>
</w:ftr>
</file>

<file path=word/footer3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1046</w:t>
    </w:r>
  </w:p>
</w:ftr>
</file>

<file path=word/footer3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1047</w:t>
    </w:r>
  </w:p>
</w:ftr>
</file>

<file path=word/footer3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1048</w:t>
    </w:r>
  </w:p>
</w:ftr>
</file>

<file path=word/footer3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1049</w:t>
    </w:r>
  </w:p>
</w:ftr>
</file>

<file path=word/footer3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1050</w:t>
    </w:r>
  </w:p>
</w:ftr>
</file>

<file path=word/footer3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1051</w:t>
    </w:r>
  </w:p>
</w:ftr>
</file>

<file path=word/footer3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1052</w:t>
    </w:r>
  </w:p>
</w:ftr>
</file>

<file path=word/footer3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1053</w:t>
    </w:r>
  </w:p>
</w:ftr>
</file>

<file path=word/footer3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1054</w:t>
    </w:r>
  </w:p>
</w:ftr>
</file>

<file path=word/footer3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1055</w:t>
    </w:r>
  </w:p>
</w:ftr>
</file>

<file path=word/footer3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1056</w:t>
    </w:r>
  </w:p>
</w:ftr>
</file>

<file path=word/footer3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1057</w:t>
    </w:r>
  </w:p>
</w:ftr>
</file>

<file path=word/footer3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1058</w:t>
    </w:r>
  </w:p>
</w:ftr>
</file>

<file path=word/footer3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1059</w:t>
    </w:r>
  </w:p>
</w:ftr>
</file>

<file path=word/footer3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1060</w:t>
    </w:r>
  </w:p>
</w:ftr>
</file>

<file path=word/footer3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1061</w:t>
    </w:r>
  </w:p>
</w:ftr>
</file>

<file path=word/footer3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1062</w:t>
    </w:r>
  </w:p>
</w:ftr>
</file>

<file path=word/footer3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1063</w:t>
    </w:r>
  </w:p>
</w:ftr>
</file>

<file path=word/footer3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1064</w:t>
    </w:r>
  </w:p>
</w:ftr>
</file>

<file path=word/footer3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1065</w:t>
    </w:r>
  </w:p>
</w:ftr>
</file>

<file path=word/footer3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1066</w:t>
    </w:r>
  </w:p>
</w:ftr>
</file>

<file path=word/footer3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1067</w:t>
    </w:r>
  </w:p>
</w:ftr>
</file>

<file path=word/footer3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1068</w:t>
    </w:r>
  </w:p>
</w:ftr>
</file>

<file path=word/footer3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1069</w:t>
    </w:r>
  </w:p>
</w:ftr>
</file>

<file path=word/footer3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1070</w:t>
    </w:r>
  </w:p>
</w:ftr>
</file>

<file path=word/footer3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1071</w:t>
    </w:r>
  </w:p>
</w:ftr>
</file>

<file path=word/footer3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1072</w:t>
    </w:r>
  </w:p>
</w:ftr>
</file>

<file path=word/footer3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1073</w:t>
    </w:r>
  </w:p>
</w:ftr>
</file>

<file path=word/footer3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1074</w:t>
    </w:r>
  </w:p>
</w:ftr>
</file>

<file path=word/footer3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1075</w:t>
    </w:r>
  </w:p>
</w:ftr>
</file>

<file path=word/footer3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1076</w:t>
    </w:r>
  </w:p>
</w:ftr>
</file>

<file path=word/footer3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1077</w:t>
    </w:r>
  </w:p>
</w:ftr>
</file>

<file path=word/footer3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1078</w:t>
    </w:r>
  </w:p>
</w:ftr>
</file>

<file path=word/footer3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1079</w:t>
    </w:r>
  </w:p>
</w:ftr>
</file>

<file path=word/footer3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1080</w:t>
    </w:r>
  </w:p>
</w:ftr>
</file>

<file path=word/footer3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1081</w:t>
    </w:r>
  </w:p>
</w:ftr>
</file>

<file path=word/footer3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1082</w:t>
    </w:r>
  </w:p>
</w:ftr>
</file>

<file path=word/footer3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1083</w:t>
    </w:r>
  </w:p>
</w:ftr>
</file>

<file path=word/footer3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1084</w:t>
    </w:r>
  </w:p>
</w:ftr>
</file>

<file path=word/footer3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1085</w:t>
    </w:r>
  </w:p>
</w:ftr>
</file>

<file path=word/footer3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1086</w:t>
    </w:r>
  </w:p>
</w:ftr>
</file>

<file path=word/footer3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1087</w:t>
    </w:r>
  </w:p>
</w:ftr>
</file>

<file path=word/footer3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1088</w:t>
    </w:r>
  </w:p>
</w:ftr>
</file>

<file path=word/footer3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1089</w:t>
    </w:r>
  </w:p>
</w:ftr>
</file>

<file path=word/footer3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1090</w:t>
    </w:r>
  </w:p>
</w:ftr>
</file>

<file path=word/footer3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1091</w:t>
    </w:r>
  </w:p>
</w:ftr>
</file>

<file path=word/footer3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1092</w:t>
    </w:r>
  </w:p>
</w:ftr>
</file>

<file path=word/footer3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1093</w:t>
    </w:r>
  </w:p>
</w:ftr>
</file>

<file path=word/footer3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1094</w:t>
    </w:r>
  </w:p>
</w:ftr>
</file>

<file path=word/footer3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1095</w:t>
    </w:r>
  </w:p>
</w:ftr>
</file>

<file path=word/footer3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1096</w:t>
    </w:r>
  </w:p>
</w:ftr>
</file>

<file path=word/footer3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1097</w:t>
    </w:r>
  </w:p>
</w:ftr>
</file>

<file path=word/footer3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1098</w:t>
    </w:r>
  </w:p>
</w:ftr>
</file>

<file path=word/footer3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1099</w:t>
    </w:r>
  </w:p>
</w:ftr>
</file>

<file path=word/footer3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1100</w:t>
    </w:r>
  </w:p>
</w:ftr>
</file>

<file path=word/footer3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1101</w:t>
    </w:r>
  </w:p>
</w:ftr>
</file>

<file path=word/footer3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1102</w:t>
    </w:r>
  </w:p>
</w:ftr>
</file>

<file path=word/footer3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1103</w:t>
    </w:r>
  </w:p>
</w:ftr>
</file>

<file path=word/footer3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1104</w:t>
    </w:r>
  </w:p>
</w:ftr>
</file>

<file path=word/footer3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1105</w:t>
    </w:r>
  </w:p>
</w:ftr>
</file>

<file path=word/footer3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1106</w:t>
    </w:r>
  </w:p>
</w:ftr>
</file>

<file path=word/footer3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1107</w:t>
    </w:r>
  </w:p>
</w:ftr>
</file>

<file path=word/footer3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1108</w:t>
    </w:r>
  </w:p>
</w:ftr>
</file>

<file path=word/footer3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1109</w:t>
    </w:r>
  </w:p>
</w:ftr>
</file>

<file path=word/footer3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1110</w:t>
    </w:r>
  </w:p>
</w:ftr>
</file>

<file path=word/footer3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1111</w:t>
    </w:r>
  </w:p>
</w:ftr>
</file>

<file path=word/footer3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1112</w:t>
    </w:r>
  </w:p>
</w:ftr>
</file>

<file path=word/footer3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1113</w:t>
    </w:r>
  </w:p>
</w:ftr>
</file>

<file path=word/footer3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1114</w:t>
    </w:r>
  </w:p>
</w:ftr>
</file>

<file path=word/footer3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1115</w:t>
    </w:r>
  </w:p>
</w:ftr>
</file>

<file path=word/footer3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1116</w:t>
    </w:r>
  </w:p>
</w:ftr>
</file>

<file path=word/footer3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1117</w:t>
    </w:r>
  </w:p>
</w:ftr>
</file>

<file path=word/footer3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1118</w:t>
    </w:r>
  </w:p>
</w:ftr>
</file>

<file path=word/footer3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1119</w:t>
    </w:r>
  </w:p>
</w:ftr>
</file>

<file path=word/footer3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1120</w:t>
    </w:r>
  </w:p>
</w:ftr>
</file>

<file path=word/footer3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1121</w:t>
    </w:r>
  </w:p>
</w:ftr>
</file>

<file path=word/footer3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1122</w:t>
    </w:r>
  </w:p>
</w:ftr>
</file>

<file path=word/footer3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1123</w:t>
    </w:r>
  </w:p>
</w:ftr>
</file>

<file path=word/footer3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1124</w:t>
    </w:r>
  </w:p>
</w:ftr>
</file>

<file path=word/footer3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1125</w:t>
    </w:r>
  </w:p>
</w:ftr>
</file>

<file path=word/footer3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1126</w:t>
    </w:r>
  </w:p>
</w:ftr>
</file>

<file path=word/footer3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1127</w:t>
    </w:r>
  </w:p>
</w:ftr>
</file>

<file path=word/footer3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1128</w:t>
    </w:r>
  </w:p>
</w:ftr>
</file>

<file path=word/footer3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1129</w:t>
    </w:r>
  </w:p>
</w:ftr>
</file>

<file path=word/footer3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1130</w:t>
    </w:r>
  </w:p>
</w:ftr>
</file>

<file path=word/footer3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1131</w:t>
    </w:r>
  </w:p>
</w:ftr>
</file>

<file path=word/footer3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1132</w:t>
    </w:r>
  </w:p>
</w:ftr>
</file>

<file path=word/footer3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1133</w:t>
    </w:r>
  </w:p>
</w:ftr>
</file>

<file path=word/footer3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1134</w:t>
    </w:r>
  </w:p>
</w:ftr>
</file>

<file path=word/footer3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1135</w:t>
    </w:r>
  </w:p>
</w:ftr>
</file>

<file path=word/footer3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1136</w:t>
    </w:r>
  </w:p>
</w:ftr>
</file>

<file path=word/footer3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1137</w:t>
    </w:r>
  </w:p>
</w:ftr>
</file>

<file path=word/footer3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1138</w:t>
    </w:r>
  </w:p>
</w:ftr>
</file>

<file path=word/footer3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1139</w:t>
    </w:r>
  </w:p>
</w:ftr>
</file>

<file path=word/footer3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1140</w:t>
    </w:r>
  </w:p>
</w:ftr>
</file>

<file path=word/footer3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1141</w:t>
    </w:r>
  </w:p>
</w:ftr>
</file>

<file path=word/footer3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1142</w:t>
    </w:r>
  </w:p>
</w:ftr>
</file>

<file path=word/footer3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1143</w:t>
    </w:r>
  </w:p>
</w:ftr>
</file>

<file path=word/footer3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1144</w:t>
    </w:r>
  </w:p>
</w:ftr>
</file>

<file path=word/footer3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1145</w:t>
    </w:r>
  </w:p>
</w:ftr>
</file>

<file path=word/footer3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1146</w:t>
    </w:r>
  </w:p>
</w:ftr>
</file>

<file path=word/footer3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1147</w:t>
    </w:r>
  </w:p>
</w:ftr>
</file>

<file path=word/footer3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1148</w:t>
    </w:r>
  </w:p>
</w:ftr>
</file>

<file path=word/footer3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1149</w:t>
    </w:r>
  </w:p>
</w:ftr>
</file>

<file path=word/footer3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1150</w:t>
    </w:r>
  </w:p>
</w:ftr>
</file>

<file path=word/footer3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1151</w:t>
    </w:r>
  </w:p>
</w:ftr>
</file>

<file path=word/footer3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1152</w:t>
    </w:r>
  </w:p>
</w:ftr>
</file>

<file path=word/footer3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1153</w:t>
    </w:r>
  </w:p>
</w:ftr>
</file>

<file path=word/footer3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1154</w:t>
    </w:r>
  </w:p>
</w:ftr>
</file>

<file path=word/footer3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1155</w:t>
    </w:r>
  </w:p>
</w:ftr>
</file>

<file path=word/footer3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1156</w:t>
    </w:r>
  </w:p>
</w:ftr>
</file>

<file path=word/footer3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1157</w:t>
    </w:r>
  </w:p>
</w:ftr>
</file>

<file path=word/footer3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1158</w:t>
    </w:r>
  </w:p>
</w:ftr>
</file>

<file path=word/footer3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1159</w:t>
    </w:r>
  </w:p>
</w:ftr>
</file>

<file path=word/footer3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1160</w:t>
    </w:r>
  </w:p>
</w:ftr>
</file>

<file path=word/footer3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1161</w:t>
    </w:r>
  </w:p>
</w:ftr>
</file>

<file path=word/footer3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1162</w:t>
    </w:r>
  </w:p>
</w:ftr>
</file>

<file path=word/footer3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1163</w:t>
    </w:r>
  </w:p>
</w:ftr>
</file>

<file path=word/footer3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1164</w:t>
    </w:r>
  </w:p>
</w:ftr>
</file>

<file path=word/footer3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1165</w:t>
    </w:r>
  </w:p>
</w:ftr>
</file>

<file path=word/footer3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1166</w:t>
    </w:r>
  </w:p>
</w:ftr>
</file>

<file path=word/footer3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1167</w:t>
    </w:r>
  </w:p>
</w:ftr>
</file>

<file path=word/footer3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1168</w:t>
    </w:r>
  </w:p>
</w:ftr>
</file>

<file path=word/footer3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1169</w:t>
    </w:r>
  </w:p>
</w:ftr>
</file>

<file path=word/footer3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1170</w:t>
    </w:r>
  </w:p>
</w:ftr>
</file>

<file path=word/footer3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1171</w:t>
    </w:r>
  </w:p>
</w:ftr>
</file>

<file path=word/footer3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1172</w:t>
    </w:r>
  </w:p>
</w:ftr>
</file>

<file path=word/footer3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1173</w:t>
    </w:r>
  </w:p>
</w:ftr>
</file>

<file path=word/footer3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1174</w:t>
    </w:r>
  </w:p>
</w:ftr>
</file>

<file path=word/footer3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1175</w:t>
    </w:r>
  </w:p>
</w:ftr>
</file>

<file path=word/footer3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1176</w:t>
    </w:r>
  </w:p>
</w:ftr>
</file>

<file path=word/footer3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1177</w:t>
    </w:r>
  </w:p>
</w:ftr>
</file>

<file path=word/footer3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1178</w:t>
    </w:r>
  </w:p>
</w:ftr>
</file>

<file path=word/footer3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1179</w:t>
    </w:r>
  </w:p>
</w:ftr>
</file>

<file path=word/footer3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1180</w:t>
    </w:r>
  </w:p>
</w:ftr>
</file>

<file path=word/footer3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1181</w:t>
    </w:r>
  </w:p>
</w:ftr>
</file>

<file path=word/footer3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1182</w:t>
    </w:r>
  </w:p>
</w:ftr>
</file>

<file path=word/footer3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1183</w:t>
    </w:r>
  </w:p>
</w:ftr>
</file>

<file path=word/footer3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1184</w:t>
    </w:r>
  </w:p>
</w:ftr>
</file>

<file path=word/footer3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1185</w:t>
    </w:r>
  </w:p>
</w:ftr>
</file>

<file path=word/footer3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1186</w:t>
    </w:r>
  </w:p>
</w:ftr>
</file>

<file path=word/footer3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1187</w:t>
    </w:r>
  </w:p>
</w:ftr>
</file>

<file path=word/footer3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1188</w:t>
    </w:r>
  </w:p>
</w:ftr>
</file>

<file path=word/footer3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1189</w:t>
    </w:r>
  </w:p>
</w:ftr>
</file>

<file path=word/footer3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1190</w:t>
    </w:r>
  </w:p>
</w:ftr>
</file>

<file path=word/footer3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1191</w:t>
    </w:r>
  </w:p>
</w:ftr>
</file>

<file path=word/footer3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1192</w:t>
    </w:r>
  </w:p>
</w:ftr>
</file>

<file path=word/footer3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1193</w:t>
    </w:r>
  </w:p>
</w:ftr>
</file>

<file path=word/footer3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1194</w:t>
    </w:r>
  </w:p>
</w:ftr>
</file>

<file path=word/footer3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1195</w:t>
    </w:r>
  </w:p>
</w:ftr>
</file>

<file path=word/footer3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1196</w:t>
    </w:r>
  </w:p>
</w:ftr>
</file>

<file path=word/footer3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1197</w:t>
    </w:r>
  </w:p>
</w:ftr>
</file>

<file path=word/footer3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1198</w:t>
    </w:r>
  </w:p>
</w:ftr>
</file>

<file path=word/footer3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1199</w:t>
    </w:r>
  </w:p>
</w:ftr>
</file>

<file path=word/footer3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1200</w:t>
    </w:r>
  </w:p>
</w:ftr>
</file>

<file path=word/footer3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1201</w:t>
    </w:r>
  </w:p>
</w:ftr>
</file>

<file path=word/footer3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1202</w:t>
    </w:r>
  </w:p>
</w:ftr>
</file>

<file path=word/footer3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1203</w:t>
    </w:r>
  </w:p>
</w:ftr>
</file>

<file path=word/footer3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1204</w:t>
    </w:r>
  </w:p>
</w:ftr>
</file>

<file path=word/footer3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1205</w:t>
    </w:r>
  </w:p>
</w:ftr>
</file>

<file path=word/footer3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1206</w:t>
    </w:r>
  </w:p>
</w:ftr>
</file>

<file path=word/footer3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1207</w:t>
    </w:r>
  </w:p>
</w:ftr>
</file>

<file path=word/footer3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1208</w:t>
    </w:r>
  </w:p>
</w:ftr>
</file>

<file path=word/footer3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1209</w:t>
    </w:r>
  </w:p>
</w:ftr>
</file>

<file path=word/footer3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1210</w:t>
    </w:r>
  </w:p>
</w:ftr>
</file>

<file path=word/footer3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1211</w:t>
    </w:r>
  </w:p>
</w:ftr>
</file>

<file path=word/footer3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1212</w:t>
    </w:r>
  </w:p>
</w:ftr>
</file>

<file path=word/footer3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1213</w:t>
    </w:r>
  </w:p>
</w:ftr>
</file>

<file path=word/footer3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1214</w:t>
    </w:r>
  </w:p>
</w:ftr>
</file>

<file path=word/footer3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1215</w:t>
    </w:r>
  </w:p>
</w:ftr>
</file>

<file path=word/footer3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1216</w:t>
    </w:r>
  </w:p>
</w:ftr>
</file>

<file path=word/footer3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1217</w:t>
    </w:r>
  </w:p>
</w:ftr>
</file>

<file path=word/footer3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1218</w:t>
    </w:r>
  </w:p>
</w:ftr>
</file>

<file path=word/footer3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1219</w:t>
    </w:r>
  </w:p>
</w:ftr>
</file>

<file path=word/footer3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1220</w:t>
    </w:r>
  </w:p>
</w:ftr>
</file>

<file path=word/footer3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1221</w:t>
    </w:r>
  </w:p>
</w:ftr>
</file>

<file path=word/footer3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1222</w:t>
    </w:r>
  </w:p>
</w:ftr>
</file>

<file path=word/footer3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1223</w:t>
    </w:r>
  </w:p>
</w:ftr>
</file>

<file path=word/footer3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1224</w:t>
    </w:r>
  </w:p>
</w:ftr>
</file>

<file path=word/footer3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1225</w:t>
    </w:r>
  </w:p>
</w:ftr>
</file>

<file path=word/footer3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1226</w:t>
    </w:r>
  </w:p>
</w:ftr>
</file>

<file path=word/footer3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1227</w:t>
    </w:r>
  </w:p>
</w:ftr>
</file>

<file path=word/footer3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1228</w:t>
    </w:r>
  </w:p>
</w:ftr>
</file>

<file path=word/footer3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1229</w:t>
    </w:r>
  </w:p>
</w:ftr>
</file>

<file path=word/footer3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1230</w:t>
    </w:r>
  </w:p>
</w:ftr>
</file>

<file path=word/footer3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1231</w:t>
    </w:r>
  </w:p>
</w:ftr>
</file>

<file path=word/footer3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1232</w:t>
    </w:r>
  </w:p>
</w:ftr>
</file>

<file path=word/footer3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1233</w:t>
    </w:r>
  </w:p>
</w:ftr>
</file>

<file path=word/footer3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1234</w:t>
    </w:r>
  </w:p>
</w:ftr>
</file>

<file path=word/footer3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1235</w:t>
    </w:r>
  </w:p>
</w:ftr>
</file>

<file path=word/footer3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1236</w:t>
    </w:r>
  </w:p>
</w:ftr>
</file>

<file path=word/footer3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1237</w:t>
    </w:r>
  </w:p>
</w:ftr>
</file>

<file path=word/footer3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1238</w:t>
    </w:r>
  </w:p>
</w:ftr>
</file>

<file path=word/footer3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1239</w:t>
    </w:r>
  </w:p>
</w:ftr>
</file>

<file path=word/footer3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1240</w:t>
    </w:r>
  </w:p>
</w:ftr>
</file>

<file path=word/footer3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1241</w:t>
    </w:r>
  </w:p>
</w:ftr>
</file>

<file path=word/footer3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1242</w:t>
    </w:r>
  </w:p>
</w:ftr>
</file>

<file path=word/footer3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1243</w:t>
    </w:r>
  </w:p>
</w:ftr>
</file>

<file path=word/footer3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1244</w:t>
    </w:r>
  </w:p>
</w:ftr>
</file>

<file path=word/footer3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1245</w:t>
    </w:r>
  </w:p>
</w:ftr>
</file>

<file path=word/footer3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1246</w:t>
    </w:r>
  </w:p>
</w:ftr>
</file>

<file path=word/footer3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1247</w:t>
    </w:r>
  </w:p>
</w:ftr>
</file>

<file path=word/footer3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1248</w:t>
    </w:r>
  </w:p>
</w:ftr>
</file>

<file path=word/footer3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1249</w:t>
    </w:r>
  </w:p>
</w:ftr>
</file>

<file path=word/footer3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1250</w:t>
    </w:r>
  </w:p>
</w:ftr>
</file>

<file path=word/footer3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1251</w:t>
    </w:r>
  </w:p>
</w:ftr>
</file>

<file path=word/footer3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1252</w:t>
    </w:r>
  </w:p>
</w:ftr>
</file>

<file path=word/footer3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1253</w:t>
    </w:r>
  </w:p>
</w:ftr>
</file>

<file path=word/footer3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1254</w:t>
    </w:r>
  </w:p>
</w:ftr>
</file>

<file path=word/footer3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1255</w:t>
    </w:r>
  </w:p>
</w:ftr>
</file>

<file path=word/footer3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1256</w:t>
    </w:r>
  </w:p>
</w:ftr>
</file>

<file path=word/footer3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1257</w:t>
    </w:r>
  </w:p>
</w:ftr>
</file>

<file path=word/footer3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1258</w:t>
    </w:r>
  </w:p>
</w:ftr>
</file>

<file path=word/footer3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1259</w:t>
    </w:r>
  </w:p>
</w:ftr>
</file>

<file path=word/footer3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1260</w:t>
    </w:r>
  </w:p>
</w:ftr>
</file>

<file path=word/footer3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1261</w:t>
    </w:r>
  </w:p>
</w:ftr>
</file>

<file path=word/footer3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1262</w:t>
    </w:r>
  </w:p>
</w:ftr>
</file>

<file path=word/footer3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1263</w:t>
    </w:r>
  </w:p>
</w:ftr>
</file>

<file path=word/footer3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1264</w:t>
    </w:r>
  </w:p>
</w:ftr>
</file>

<file path=word/footer3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1265</w:t>
    </w:r>
  </w:p>
</w:ftr>
</file>

<file path=word/footer3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1266</w:t>
    </w:r>
  </w:p>
</w:ftr>
</file>

<file path=word/footer3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1267</w:t>
    </w:r>
  </w:p>
</w:ftr>
</file>

<file path=word/footer3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1268</w:t>
    </w:r>
  </w:p>
</w:ftr>
</file>

<file path=word/footer3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1269</w:t>
    </w:r>
  </w:p>
</w:ftr>
</file>

<file path=word/footer3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1270</w:t>
    </w:r>
  </w:p>
</w:ftr>
</file>

<file path=word/footer3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1271</w:t>
    </w:r>
  </w:p>
</w:ftr>
</file>

<file path=word/footer3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1272</w:t>
    </w:r>
  </w:p>
</w:ftr>
</file>

<file path=word/footer3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1273</w:t>
    </w:r>
  </w:p>
</w:ftr>
</file>

<file path=word/footer3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1274</w:t>
    </w:r>
  </w:p>
</w:ftr>
</file>

<file path=word/footer3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1275</w:t>
    </w:r>
  </w:p>
</w:ftr>
</file>

<file path=word/footer3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1276</w:t>
    </w:r>
  </w:p>
</w:ftr>
</file>

<file path=word/footer3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1277</w:t>
    </w:r>
  </w:p>
</w:ftr>
</file>

<file path=word/footer3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1278</w:t>
    </w:r>
  </w:p>
</w:ftr>
</file>

<file path=word/footer3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1279</w:t>
    </w:r>
  </w:p>
</w:ftr>
</file>

<file path=word/footer3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1280</w:t>
    </w:r>
  </w:p>
</w:ftr>
</file>

<file path=word/footer3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1281</w:t>
    </w:r>
  </w:p>
</w:ftr>
</file>

<file path=word/footer3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1282</w:t>
    </w:r>
  </w:p>
</w:ftr>
</file>

<file path=word/footer3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1283</w:t>
    </w:r>
  </w:p>
</w:ftr>
</file>

<file path=word/footer3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1284</w:t>
    </w:r>
  </w:p>
</w:ftr>
</file>

<file path=word/footer3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1285</w:t>
    </w:r>
  </w:p>
</w:ftr>
</file>

<file path=word/footer3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1286</w:t>
    </w:r>
  </w:p>
</w:ftr>
</file>

<file path=word/footer3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1287</w:t>
    </w:r>
  </w:p>
</w:ftr>
</file>

<file path=word/footer3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1288</w:t>
    </w:r>
  </w:p>
</w:ftr>
</file>

<file path=word/footer3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1289</w:t>
    </w:r>
  </w:p>
</w:ftr>
</file>

<file path=word/footer3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1290</w:t>
    </w:r>
  </w:p>
</w:ftr>
</file>

<file path=word/footer3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1291</w:t>
    </w:r>
  </w:p>
</w:ftr>
</file>

<file path=word/footer3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1292</w:t>
    </w:r>
  </w:p>
</w:ftr>
</file>

<file path=word/footer3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1293</w:t>
    </w:r>
  </w:p>
</w:ftr>
</file>

<file path=word/footer3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1294</w:t>
    </w:r>
  </w:p>
</w:ftr>
</file>

<file path=word/footer3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1295</w:t>
    </w:r>
  </w:p>
</w:ftr>
</file>

<file path=word/footer3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1296</w:t>
    </w:r>
  </w:p>
</w:ftr>
</file>

<file path=word/footer3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1297</w:t>
    </w:r>
  </w:p>
</w:ftr>
</file>

<file path=word/footer3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1298</w:t>
    </w:r>
  </w:p>
</w:ftr>
</file>

<file path=word/footer3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1299</w:t>
    </w:r>
  </w:p>
</w:ftr>
</file>

<file path=word/footer3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1300</w:t>
    </w:r>
  </w:p>
</w:ftr>
</file>

<file path=word/footer3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1301</w:t>
    </w:r>
  </w:p>
</w:ftr>
</file>

<file path=word/footer3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1302</w:t>
    </w:r>
  </w:p>
</w:ftr>
</file>

<file path=word/footer3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1303</w:t>
    </w:r>
  </w:p>
</w:ftr>
</file>

<file path=word/footer3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1304</w:t>
    </w:r>
  </w:p>
</w:ftr>
</file>

<file path=word/footer3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1305</w:t>
    </w:r>
  </w:p>
</w:ftr>
</file>

<file path=word/footer3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1306</w:t>
    </w:r>
  </w:p>
</w:ftr>
</file>

<file path=word/footer3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1307</w:t>
    </w:r>
  </w:p>
</w:ftr>
</file>

<file path=word/footer3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1308</w:t>
    </w:r>
  </w:p>
</w:ftr>
</file>

<file path=word/footer3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1309</w:t>
    </w:r>
  </w:p>
</w:ftr>
</file>

<file path=word/footer3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1310</w:t>
    </w:r>
  </w:p>
</w:ftr>
</file>

<file path=word/footer3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1311</w:t>
    </w:r>
  </w:p>
</w:ftr>
</file>

<file path=word/footer3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1312</w:t>
    </w:r>
  </w:p>
</w:ftr>
</file>

<file path=word/footer3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1313</w:t>
    </w:r>
  </w:p>
</w:ftr>
</file>

<file path=word/footer3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1314</w:t>
    </w:r>
  </w:p>
</w:ftr>
</file>

<file path=word/footer3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1315</w:t>
    </w:r>
  </w:p>
</w:ftr>
</file>

<file path=word/footer3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1316</w:t>
    </w:r>
  </w:p>
</w:ftr>
</file>

<file path=word/footer3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1317</w:t>
    </w:r>
  </w:p>
</w:ftr>
</file>

<file path=word/footer3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1318</w:t>
    </w:r>
  </w:p>
</w:ftr>
</file>

<file path=word/footer3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1319</w:t>
    </w:r>
  </w:p>
</w:ftr>
</file>

<file path=word/footer3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1320</w:t>
    </w:r>
  </w:p>
</w:ftr>
</file>

<file path=word/footer3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 کتبه بخطه فی مشیخة کنز السالکین المذکور فی (ج 8- 187).</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جده الأعلی سلیمان بن وهب، استوزره المعتمد علی الله أحمد بن المتوکل الذی تسنم الملک (256- 279) ثم استوزر المعتضد بالله أحمد بن الموفق بن المتوکل الذی جلس بعد موت المعتمد فی (279- 289) ابن سلیمان هذا و هو عبد الله بن سلیمان بن وهب. ثم استوزر المکتفی بالله علی بن المعتضد الذی جلس بعد موت أبیه إلی ست سنین أو خمس سنوات، ولد عبید الله و هو القاسم بن عبید الله بن سلیمان بن وهب الذی مات فی أیام المکتفی فی (291) عن نیف و ثلاثین، کما أرخه ابن خلکان (ج 1 ص 352).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لابن الهباریة أیضا دیوان یأتی.</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جاء فی (ج 4- 214) أیضا هذا الکتاب غلطا بعنوان تعریض الدفاتر. و وقع الغلط فی نسب المؤلف أیضا و وفاته. و الصحیح ما جاء فی (ج 4: 387).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وقع هناک غلطا فی (س 15) فالصحیح [لیس له‏] بدل [و له أیضا].</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شرحها کثیرون، منها شرح یسمی شرح شافیة أبی فراس فی مناقب آل الرسول و مثالب بنی العباس أمر بتألیفه أبو جعفر محمد بن أمیر الحاج الحسینی. توجد نسخته بخط الشیخ حسن بن محمد بن النصار الشیبانی النجفی کتبه بالنجف فی (11- شوال 1217)، عند مرتضی المدرس بطهران.</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منتظم ناصری ج 2 ص 194 و 175 إن ندر محمد حاکم بخارا أرسل سفیرا إلی إیران فی (1031). ثم إنه فی (1056) التجأ إلی إیران و مات بسبزوار.</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أوله:</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لم یکن هذا الحکیم بشاعر و انما أجبره الزمان علی مدح السلاطین، و قد ظهر علمه فی شعره حتی احتیج فی فهم أشعاره إلی الشرح و التفسیر و المعروف من شروح دیوانه اثنان، شرح شادی‏آبادی محمد بن محمود الموجود منه نسختان بسپهسالار، و الآخر شرح الفراهانی الموجود نسخه کثیرا و منها نسخه مکتبة (المشکاة) بجامعة طهران و قد ذکرهما ابنی فی فهرس المکتبة (ج 2- ص 125- 129).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أوجی اسم لطائفة من الأتراک کما یظهر من (نر- ص 43)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أوجی اسم لطائفة من الأتراک کما یظهر من (نر- ص 43).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بابا کلمة فارسیة بمعنی الأب. و کان یستعمل فی الشیوخ و المعمرین و وجوه القوم، و فی القرن الثامن إلی العاشر کان یلقب به شیوخ الصوفیة کما یظهر من نفحات الأنس للجامی، و کان لقب بابای شاعران عنوانا رسمیا فی بلاط السلطان یعقوب آق‏قوینلو فی آذربایجان (884- 896) کما یظهر من أحوال فغانی حیث حاز هذا اللقب و من ثم عرف ببابا فغانی. و یمکن أن یکون باب مخففا عن هذه الکلمة فی بعض الموارد، فإن الجامی قال فی نفحات الأنس ص 262 عند ترجمه (باب فرغانی):
و الصوفیة فی بلاد فرغانة یسمون مشایخهم باب (انتهی) و هذا التخفیف قدیم، و منه اسم بابشاذ جد أبی الحسن بن بابشاذ المتوفی (469) و لکن المتأخرین استعملوه لقبا بمعنی باب العلم. (ع. م.).</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چاچ أو شاش اسم لقریة بری، و لم ینسب إلیه أحد، و قریة من نواحی بناکت من بلاد وراء سیحون.</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بسمه لغة ترکیة و هی اسم لاله یطبع بها النقوش و الکلمات علی المنسوجات، کما یختم القرطاس بالخاتم، و من ثم کان الإیرانیون فی القرن الثالث عشر یسمون المطابع التی یسمونها الیوم چاپخانه بهذا الاسم، فیقولون بسمه‏خانه. راجع الحاشیة فی الصفحة 145.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منوچهر خان معتمد الدولة الخواجة الذی کان مملوکا و رضت بیضته، و لکن ترقی أمره فی البلاط القاجاری حتی لقبه فتح علی شاه بمعتمد الدولة و جعله وزیر گیلان و حاکمها بعد عزل الحاج آقا بزرگ المنجم‏باشی فی (25- ع 1- 1246) و هی سنة الطاعون کما ذکر فی تاریخ گیلان لعباس کدیور. (ص 110) ثم عین وزیرا لسیف الدولة حاکم أصفهان. و من (1254) استقل منوچهر خان بحکومة أصفهان من طرف الشاه، ثم بعثه الشاه لتدمیر ثورة محمد تقی خان البختیاری فی (1257) و تمرض فی (1262) فبعث المیرزا آقاسی الصدر الأعظم، حاکما لأصفهان و لکن الحاکم لم یجرأ من دخول أصفهان فبقی ستة أشهر فی الطریق حتی مات منوچهر خان فی (1263) فدخلها الحاکم الجدید، و فی طول تلک المدة کان یسعی فی أعمار أصفهان و إحیاء الخربة و الموات من أبنیتها و بساتینها و قرأها حتی حصل له من هذا السبیل مال جزیل تملکه السلطان بعد موته بعنوان أنه کان مملوکا و لا وارث له، علی خلاف رأی الأمیر السید حسن المدرس الذی کان أستاذ سیدنا الشیرازی بتفصیل ذکره المعاصر الجابری الأنصاری فی تاریخ أصفهان و ری- ص 260. و المعتمد هذا هو أول من أسس المطبعة فی إیران و طبع فیها کتبا دینیا کثیرة یوصف کلها بالطبع المعتمدی. و یوجد فی المکتبات مثل القرآن المجید و الصحیفة السجادیة و زاد المعاد للمجلسی و حق الیقین و عین الحیاة و حیاة القلوب و جلاء العیون و الإشارات و النخبة للکلباسی و بعض الأدعیة و الرسائل العملیة و غیر ذلک، من کتب السید حجة الإسلام الرشتی و</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والدی هذا الکتاب فی (ج 4 ص 30) بعنوان تذکره میر تقی کاشی و فی (ص 31) بعنوان تذکره خلاصة الأفکار و فی (ج 7 ص 212) بعنوان خلاصة الأشعار. و قد رأیت النسخة الموجودة عند صادق الأنصاری بطهران ذکر خصوصیاتها فی مقدمته فننقلها هنا: یشتمل هذا الکتاب علی مقدمه، و أربعة فصول، و أربعة أرکان، و خاتمة، الفصل الأول: تاریخ العشق، الثانی شرف العشق، الثالث أقسامها، الرابع شرائطها. و الرکن الأول: الشعراء المتقدمین أولو القصائد من عنصری إلی بابا أفضل الکاشی، و هم 41 شاعرا. الثانی أولو الغزل من سعدی شیرازی إلی کافی مازندرانی.</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نسخه آتشکده جاء حباب بالمهملة غلطا، و تاریخ قتله أیضا غلط.</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فاتنا ذکر جنگ‏نامه فی محله و فیه مناظرة بین الإخلاص و الصدق مبدوة بالحمد لله و الصلاة علی النبی و الوصی. و قد نظمه أحمد الکرمانی حدود (980).</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المصراع الذی ذکر هناک (بسال هشتصد و سی و چهار در شوال) انما هو فی تاریخ وفاة الحافظ ابرو أوردها عبد الرزاق السمرقندی فی مطلع السعدین. راجع مقدمه الطبع لتاریخ حافظ ابرو للدکتور مهدی بیانی ع. م.</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الجامی فی النفحات ص 541 فی أحوال العطار عن هذا الکتاب بدون أن یذکر اسم مؤلفه فقال و شرح هذا القصیدة بعض الأهالی‏</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(تش یز- ص 285 و 286) أورد شاعرین باسم حسین أحدهما أخو حسن واهب بالواو و قد نصبته النوابة زینب بیگم بنت الشاه طهماسب متصدیا لأوقاف یزد، و ترقی أمره بعد وفاة أخیه واهب و نصب فی (1058) مستوفیا لیزد ثم منح شغله لابنه همایون، و نصب هو مستوفیا لرشت و مات 1072. و ثانیهما حسین المالمیری کان مستوفی یزد و
حاکم کاشان و قد استفاد من کتب بابا أفضل ثم قال فی (تش یز- ص 338) إن الأخوین هذین کانا من أولاد الخواجة قوام الدین الوزیر ممدوح الخواجة حافظ الشیرازی، و جدهما خواجه نعمت الله المال میری کان وزیر الشاه طهماسب (984- 930) مدة ثلاثین سنة و قد نصب واهب مستوفیا لیزد من قبل الشاه صفی (1052- 1038) و لکنی أظن الحسینین شخصا واحدا و هو الذی ذکره فی (نر 5- ص 107) و أخوه راهب بالراء فی (نر 5- ص 108).</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جعلت رمز مجالس النفائس فی هذا المجلد من الذریعة (مجن) و أومأت إلی فصوله برقم أجعله بعده، فما ذکر فی المجلس الثانی فی کلا الترجمتین، کتبته (مجن 2- ص ...) و المجلس الثالث منهما (مجن 3- ص ...) و هکذا و جعلت رمز ترجمه القزوینی لهذا الکتاب (قز مج) فأقول: ذکر فی (قز مج 1) أو (قز مج 5) و هکذا. و جعلت رمز ترجمه الهروی للمجالس المسمی لطائف‏نامه (لط) فأقول (لط 1) أو (لط 2) إلی آخر المجالس الثمانیة، ثم أجعل رقم صفحات المطبوع بطهران (1320 ش) بعدها. (ع. م.</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طلب منی أن أدرج نسب السید مهدی هذا الذی هو والد حجة الإسلام الآقا جمال الدین الأفجه أیضا فی هذا الکتاب، و هو السید مهدی بن أمیر قوام الدین بن المیر محمد بن قوام الدین المدفون بقریة أفجة بن محمد زمان بن شریف بن علی بن غیاث الدین بن جلال الدین بن غیاث الدین بن الشاه محمد العالم المتوفی بقریة نور ابن نظام الدین بن نصر الله بن میر کمال (ملک إسماعیل) بن أحمد بن شرف الدین ملک محمود دفین قریة دولو ابن علی بن أحمد فاتح نکسار و المدفون بها ابن الشاه محمد الخوارزمی نقیب العسکر ابن أحمد بن علی بن أحمد بن حیدر بن محمد بن محمد بن أحمد بن محمد بن میر محفظ بن زین الدین بن علی بن محمود بن عمر الأشرف بن علی بن الحسین بن علی بن أبی طالب علیه السلام</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المعروف بمیرزا محمد علی المدرسی الکبیر کان له سبعة أولاد، منهم المیر السید حسن لم یعقب و منهم الحاج میرزا إبراهیم المذکور فی (تش یز- ص 242) و کان هذا میناثا و قد تزوج السید محمد علی المدرسی [المعروف بالمدرسی الصغیر و المتوفی 1339] بابنتیه واحدة بعد أخری و المدرسی الصغیر هو ابن المیر محمد صادق بن محمد بن نصیر الدین بن صدر الدین بن نصیر الدین بن صدر الدین [مؤلف مرصع الحواشی‏] و قد رزق من أولاهما الحاج السید محمد والد الأخوین السید مهدی [زوج ابنتی بتول خانم‏] و السید حسین، و من الثانیة میرزا علی رضا والد محمد علی و الخمسة الآخر کلهم معقبون و هم: السید محمد، السید مرتضی، المیرزا محسن، المیر سید علی، المیر علی نقی و رأیت مشجر أعقابهم بخط السید حسین المذکور الأصغر من أخیه صهری السید مهدی‏</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کان مؤلف میکده أرسل نسخه منه قبل موته بشهرین إلی ولده السید یحیی المتخلص فدائی المتوفی [1280] و فرغ فدائی من استنساخها فی [1262] و بعد موته ورثه الحاج میرزا حسین وامق ابن فدائی و المتوفی [1307] و المدفون بیزد فی مقبرة جوی هرهر، و النسخة موجودة الآن بطهران عند السید أحمد المدرسی عضو وزارة المعارف سبط الحسین الوامق المذکور کما فی آیینه دانشوران ص 45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یبق لهذه المقبرة أثر فی هذه الأیام مع إنها کانت مقبرة کبیرة تدفن فیها الأموات فی نیف و مائة سنة و کان لها مغتسل کبیر و یعرف بقبرستان حاج میرزا حسین لأنه وقفها فی سنة نیف و مائتین و هو الجد الأعلی لوالدی من قبل أمه المدعوة خانم بزرگ بنت الحاج میرزا محمد علی بن الحاج میرزا حسین الواقف لهذه المقبرة، الواقعة فی جهة قبلة البلدة متصلة بالخندق القدیم، ممتدة من طرف یمین الخارج من باب البلدة لزیارة عبد العظیم، إلی قرب المقبرة المعروفة بسر قبر آقا، المؤسسة من لدن دفن الحاج میرزا أبی القاسم إمام الجمعة الخاتون‏آبادی بها فی (1271) حیث لم یدفنوه إجلالا له فی هذه المقبرة العامة بل</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 الخیام فی تاریخ گزیده ص 817 و (مع- ج 2 ص 200) و الروضات ص 500 و هدیة الأحباب و (تش- ص 134) و (بهش 1 ص 330) و ریحانة الأدب و غیرها و جعل تذاکر الشعراء و ترجمه مفصلا الدکتور تقی أرانی فی مقدمه طبع رسالة الجبر و المقابلة للخیامی، و کذا حسین شجرة فی رسالة مستقلة طبعت (1320 ش) مع رسالة کون و تکلیف و جواب المسائل الثلاثة للخیامی و قد کتب الصدیقی النخجوانی رسالة باسم خیام پنداری أثبت أن أکثر الرباعیات هذه لیست للخیامی الفیلسوف و تعسف فی إنشاء رباعیات یخالف تلک الرباعیات و یجیب عنها و جمع أیضا کل ما قیل فی جواب الرباعیات، و منها ما نسب إلی الخواجة الطوسی و إنشاء رباعیات أجاب بها عن البعض الآخر و طبع لثانی مرة فی تبریز (1320 ش) فی (216 ص)</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بعضها معلوم النسبة إلی غیره فإن الرباعیة: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إن کان المجیز لسالک الدین محمد فی (868) و المذکور فی (ج 8 ص 187- س 21) هو هذا الرجل فیکون وفاته بعد هذا التاریخ.</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یوجد فی النفحات المطبوع غیر رابعة الشامیة و رابعة العدویة الآتیتین.</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اختلط رضا قلی خان فی ریاض العارفین فی ترجمه إمام الدین و فی نسبه و فی تاریخه و تصنیفه مع أنه من مشاهیر علماء الشافعیة ترجمه ابن العماد الحنبلی المتوفی (1089) فی شذرات الذهب (ج 5 ص 108) فی عداد المتوفین فی (623) بهذا العنوان: أبو القاسم عبد الکریم بن محمد بن عبد الکریم بن الفضل بن الحسین بن الحسن الإمام العلامة إمام الدین الشافعی صاحب الشرح الکبیر علی الوجیز (اسمه الفتح العزیز) و صاحب المجرد. انتهت إلیه معرفة المذهب و دقائقه، و أطری علمه و زهده و کراماته و نسکه- إلی قوله-: قال ابن خلکان: توفی هذه السنة (623) بقزوین و عمره نحوست و ستین سنة. أقول: لم توجد ترجمته فی النسخ المطبوعة من ابن خلکان فلعلها کانت فی المخطوط منه أو مراده فوات الوفیات لابن شاکر. و ترجم إمام الدین هذا أیضا، ابن هدایة الله الکردی الشهرزوری المتوفی (1014) فی کتابه طبقات الشافعیة- ص 83 قال هو شیخ الإسلام إمام الدین أبو القاسم عبد الکریم بن محمد بن الفضل القزوینی صاحب العزیز الذی لم یؤلف مثله فی المذهب و أطرأه قریبا مما أطرأه فی الشذرات. و ترجم والد إمام الدین أیضا فی (ص 80) فقال: والد الإمام الرافعی هو أبو الفضل محمد بن عبد الکریم بن فضل القزوینی، و ذکر تفقهه فی بلده ثم هجرته إلی بغداد فی النظامیة ثم رحلته إلی</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 ابن الفوطی کتاب دار رصدخانه مراغة مدة عشر سنین من قبل الخواجة الطوسی.</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ذکر فی التذاکر الهندیة، سرخوش، سرو آزاد، مخزن الغرائب، تذکره غنی:- ذکی بالذال و فی التذاکر الإیرانیة، خلاصة الأشعار، و آتشکده آذر:- زکی بالزای.</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لکنه غلط فی اسم الکتاب أیضا و سماه ذخائر نثار</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نسب إلیه الرباعیة المنسوبة إلی خیام و هی.</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فاتنا ذکره فی محله و نسخته موجودة فی (المجلس) کما ذکرته فی فهرس مکتبة دانشگاه تهران (ج 2 ص 443).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احتملنا فی (ص 221) خلافه و سمیناه سروری غلطا</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عده فی (بهش 1- ص 337) نقلا عن بعض الشعراء نبیا فی الغزل فقال:
در شعر سه تن پیمبرانند</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فهرس الکتب المنثورة المحتوی علیها کلیات سعدی هو: 1 دیباجة بیستون 2 الدیباجة المنسوبة إلی سعدی نفسه 3 المجالس الخمسة 4 خمسة أجوبة أجاب بها عن أسئلة صاحب الدیوان 5 الجواب عن سعد الدین النطنزی 6 نصیحة الملوک 7 ثلاث رسائل إلی اباقا خان و انکیانو و شمس الدین تازی 8 گلستان.</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فعلی هذا فله دیوان دون فیه رباعیاته. فکلمه أو شعره فی (ص 220- س 19) زائدة فلیصحح.</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ذکرنا أخگر قمی فی (ص 62) و ذکرنا أنه ابن رشید خان، و هذا غلط منا و الصحیح أن أخگر اسمه الحاج رشید خان ابن حسین علی بیگ شرر ابن لطف علی بیگ آذر البیگدلی مؤلف آتشکده کان ابتداء تحصیله بقم ثم سافر إلی أصفهان و مهر فی خط النستعلیق ثم الشکستة، و کان مریدا لمشتاق علی شاه (غلام رضا) و مدحه بمائة و عشر غزلات سماها مشتاقیه توجد بقم. ثم نصبه ناصر الدین شاه مستوفیا للوزارة الخارجیة، ثم رئیسا لعدلیة مشهد خراسان و مات بها فی (1297) و دفن بتوحیدخانه. هذا ما أعلمنا به لطف علی البیگدلی الآذری بن عبد الحسین بن الحاج رشید أخگر ابن حسین علی شرر بن لطف علی آذر الساکن بطهران الیوم. فلیصحح. هذا و قد أورد مدح أخگر لمنوچهر خان فی المدائح المعتمدیة و ترجمه أیضا فی (المآثر- ص 204). (ع. م.).</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فاتنا ذکره فی محله ألفه باسم السلطان أویس بهادر فی (شوال 826) کما فی کشف الظنون فی تسعة عشر بابا بالفارسیة فی محاسن البدن و أعضاء الإنسان: 1- الشعر (موی) 2- الجبین (پیشانی) 3- الحاجب (ابرو) 4- العین (چشم) 5 (مژه) و هکذا أوله: [حمد و ثنا خالقی را که علت کلمه اما بعد در تاریخ سنة تسع و سبعین و سبعمائة در بلدة الموحدین مراغة] رأیت نسخته المکتوبة (1013) ضمن مجموعة عند النورانی (أحد طلاب مدرسة چهار باغ بأصفهان فی (1375) و نسخه أخری بخط الشیخ محمد الإمامی کتبه فی (887) فی المکتبة الشاهیة بطهران کما فی نمونه خطوط خوش شاهنشاهی (ص 123) و قال فی (دجا- ص 191) إنه طبع أنیس العشاق بپاریس أقول: و قد أعید طبعه بطهران فی (1325 ش) بتصحیح إقبال فی (64 ص) (ع م)</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یقول فی أحوال باباکوهی فی هذا المثنوی:</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لکنه بالقاف و کذا فی (تش- ص 260) و کذا فی (خوش‏گو)</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الملقب أدیب حضور الکرمانشاهی المتوفی (1371) بطهران مؤلف بزرگان همدان المطبوع ضمن راهنمای همدان بطهران فی (1331 ش) قبل وفاته بقلیل‏</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فاتنا ذکره فی محله. و قال فرصت فی تاریخ تألیف التذکرة الشعاعیة فی (1316):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السید أبو القاسم علی بن جعفر بن حسین بن قدامة الموسوی (مع 1- 314).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فاتنا ذکره فی محله مع أنه کان قد ذکره لنا ولده الشیخ محمد صالح بن أحمد بن صالح بن طعان المذکور قبل وفاته (1333)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فیظهر أن کان لقصة حمزة التی ذکرناها فی (8: 36) شأن فی العهد الصفوی کما کان للشاهنامه و کان قراءتهما و تمثیلهما مما یشتغل به بعض الشعراء و یعرف به، کما کان یعرف البعض ب مناقب‏گو.</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لکن وقع منا هناک غلط فقد خلطنا بین الرجل و سمیه صدر الأفاضل نظام أفشار الذی ذکر فی المآثر و الآثار- ص 213 فلیشخط علی جملات: کما ذکره فی المآثر إلی فی تألیفه و کذلک وقع فی (س 11) الشیروانی بدل الشیرازی، فلیصحح‏</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التذکرة هذه مرتبة علی مقدمه و خمسة صفوف و خاتمة، کل صف علی فرق و حروف، فجاء الکتاب کله فی ثمانیة عشر قسما، ننقل عنه فی هذا الجزء من الذریعة کثیرا، و قد رمزنا له نر و نرمز عن أقسامه بأعداد نجعلها بعد هذه، ثم نذکر بعدها رقم الصفحة من طبعه وحید الدستگردی و هذه التذکرة علی إنها تاریخ للشعر و الأدب فإنها تکشف عن وضع المجتمع فی العهد الصفوی أیضا</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وقع فی النسخة المطبوعة من تذکره النصرآبادی فی (ص 340) خلط بین الرجل هذا و بین وحشت المذکور فیه أیضا فی (ص 342) راجع فهرس مکتبة جامعة طهران (2: 195)</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ص 618 و 225 ط 2 طهران‏</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سبب خروجه من شیراز: در سن چهارده و پانزده حسن تمام عیار بهم رسانیده بود و آبله نکشیده، چون سال عمرش به بیست رسید، آبله سرشاری برآورد، هرکس أو را می‏دید تنفر می‏کرد و مولوی أزین مقدمه به غایت آزرده و درهم بود ... از غایت جهلی که داشت از وطن خروج کرد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میخانه اثنی عشر ألف و خمسمائة.</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هذه التذکرة من مصادر عملنا فی قسم الشعر و الشعراء من الذریعة. و قد رتبه المؤلف علی ثلاثة أقسام 1 الشعراء المتوفین حال التألیف و قد نظم کل منهم ساقی‏نامه ص 9- 343. 2 المعاصرون الذین نظموا ساقی‏نامه ص 344- 524. 3 المعاصرون الذین لم ینظموا ساقی‏نامه ص 524- 577 و قد رمزنا عن الکتاب و عن أبوابه هکذا میخانه- 1- ص ... و میخانه 2- ص ... و میخانه 3- ص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هدیة العارفین 2: 112 سماه محمد بن إبراهیم بن مصطفی بن شعبان الهمدانی.</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کرر فی آتشکده آذر طبعه 1277 بمبئی، ذکر شعراء سمنان مرتین أحدهما بعد ذکر شعراء سبزوار و الآخر بعد الری. و الثانی زائد</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هذه هی الصورة بعینها: قرأ علی الفقیه أبو الفرج یعقوب بن إبراهیم البیهقی، أدام الله توفیقه قطعة کبیرة من دیوان شعری، و أجزته الروایة جمیعه عنی. فلیروه کیف شاء. و کتب علی بن الحسین بن موسی الموسوی بخطه فی ذی القعدة سنة ثلاث و أربعمائة. و أیضا علی النسخة الأصلیة هذه الجملة: القسم بن عبد العزیز بن محمد بن عبد العزیز الإمامی النیسابوری جعله الله من الفائزین برحمته و حشره مع محمد و عترته صلوات الله علیهم أجمعین إلی یوم الدین. أقول: إن الشیخ أبا القاسم عبد العزیز بن محمد بن عبد العزیز الإمامی النیسابوری الملقب بالصائن (الصابر. خ. ل.) ترجمه الشیخ منتجب الدین فی فهرسه و ذکر أن جد الشیخ أبی الفتوح الرازی یروی عنه. أقول: مراده من الجد هو الشیخ أبو سعید محمد بن أحمد الخزاعی النیسابوری صاحب کتاب الأربعین عن الأربعین فقد قال فی کتابه المذکور: [الحدیث السادس و الثلاثون، حدثنا أبو القاسم عبد العزیز بن محمد بن عبد العزیز الصائن رحمه الله لفظ بقم فی ذی الحجة سنة أربع و أربعین (یعنی بعد الأربعمائة) قال حدثنا الشیخ المفید محمد بن محمد بن النعمان رضی الله عنه ...] فظهر من سند هذا الحدیث و تاریخ روایته أن الشیخ أبا القاسم عبد العزیز کان من تلامیذ الشیخ المفید و بقی إلی هذا التاریخ و لعل القاسم المبدو به هذه الجملة اسم ولده، و قد نظر فی النسخة أو ملکها، فکتب اسمه و نسبه علیها تذکارا.</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فاتنا ذکره بتخلصه فی ص 381 و جملة و لعله ... فی السطر 14 من تلک الصفحة إلی آخر السطر 15 زائدة.</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سنگلاخ إنه رأی نسخه وامق و عذراء للعنصری بخط علاء الدین گلستانه (امتحان الفضلاء 2: 296</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غسان ماء بالیمن و ماء قرب جحفة کما یظهر من معجم البلدان.</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بمعنی التفاح کما یظهر من تخلصه فی بعض أشعاره تفاحی. و فی بعض نسخ مجالس النفائس جاء شیبک بالمعجمة.</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بعد 150 سنة تقریبا من هذه الترجمة، ترجم المنظومة هذه باللغة الگرجیة ترجمه سرکیس تموگولی ثم ترجمها من الگرجیة بالإنجلیزیة السر أولیور واردراپ و طبعها فی 1914 م. هذا و قد ترجمه محرفا بالترکیة الشاعر الترکی لامعی المتوفی 938 بأمر السلطان سلیمان.</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ترجمان البلاغة تألیف محمد بن عمر الرادویانی. طبع بأستانبول 1949 م.</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ألف الکتاب هذا فی حدود (1026- 1021) و طبع بإیران مع مقدمه لعبد الکریم بن عباس علی فی 1328 فی 656 ص. فما ذکر فی ج 3 ص 242 من أن عبد الکریم التفرشی هو مؤلف الکتاب غلط کما أشرنا إلیه فی 7: 296 فلیصحح.</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مقدمه طبع مطلع الاعتقاد بباکو بقلم حمید أرسلی.</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عصام دولت خواجه فی مقدمه کتابه ما لفظه: [... أوردت بعض مهملاته ...] مشیرا إلی الجامی. فقال هذا الشاعر فی جوابه:</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جاء تاریخه فی رباعیة علی ظهر نسخه مخطوطة من الصناعیة له فی (الرضویة) کما ذکر فی فهرسها 4: 204 و الرباعیة:</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قصة یوسف ذکر أن الشعراء نظموا فیها کثیرا، و منهم شمسی شاعر شمس الدولة طغان شاه ناظم یوسف و زلیخا قال:</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 إحدی القری الثلاثة المعروفة بسده ثانیها فیجان و الثالثة سنجان و هو من سلطان‏آباد العراق (أراک) و غیر سده التی هی من نواحی أصفهان.</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ألف نتایج الأفکار تذکره لشعراء الفرس مرتبا علی الحروف، و ذکر فی أوله أنه ألفه فی 1256 و أخذه عن تذاکر الشعراء مثل آتشکده و ریاض الشعراء و مجمع النفائس لارزو و بهارستان سخن لعبد الرزاق و مرآة الخیال لشیرعلی و کلمات الشعراء لسرخوش و سفینة الشعراء لبی‏خبر و سرو آزاد و خزانة عامرة لازاد البلگرامی و گل رعنا و شام غریبان لشفیق. و قد أخذنا عن هذا الکتاب و نقلنا عنه فی قسم الشعر و الشعراء بعنوان (نتایج).</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مجمع الفصحاء إلی عضد و قال إنه منسوب إلی ممدوحه عضد الدولة. و قال المتأخرون عنه إنه منسوب إلی أزد فصحفوه إلی عضد. و أما فی النسخة القدیمة المنسوبة إلی الأنوری فسماه [أبو منصور قطران الجیلی الآذربایجانی‏] فما جاء فی (لت 1) من أنه ترمذی الأصل فلیس بصحیح. و بعضهم ادعی وجود شاعرین باسم قطران ترمذی، و تبریزی، و لیس بصحیح أیضا.</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للسنائی الغزنوی الشاعر المذکور فی ص 471 مکتوبان کتبهما إلی هذا الوزیر، طبعا فی مجلة أرمغان 18: 647.</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من کان یقرأ مناقب أهل البیت فی الطرق و الشوارع، و ذلک فی قبال فضائل خوان و هو الذی کان یقرأ مناقب الصحابة فیها.</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مؤلف کتاب ابن سینا المطبوع 1369 و مباشر طبع نزهة الناظر فی تفسیر غریب القرآن لجده الطریحی مع تعلیقات، و باشر أیضا طبع دیوان ابن کمونة کما مر فی ص 28.</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آتشکده آذر خلط بین سیمی نیشابوری الکاتب هذا و بین نسیمی شیرازی الحروفی الآتی فی النون و عنه أخذ فی الریحانة و فهرس سپهسالار 2: 659. و فی (خیال- ص 65) سماه سمین.</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لیاسین نیازی مقالة أردویة عن السلسلة الپیرجمالیة، نشرت فی مجلة أریانتال ج 11 العدد 2: 26. و مر فی ص 161.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لقصة موش و گربه أی الفار و السنور منظومات متعددة بالفارسیة، منها ما ینسب إلی عبید الزاکانی المذکور فی ص 706 و منها تضمینه لمحسن الأصفهانی شایق الآتی فی المیم و أخری مجهولة الناظم، نظمت فی الهند فی 669 بیتا کتبت فی 1244 توجد عند عبد الله کشاورزی بمشهد خراسان عرفها فی مجلة فرهنگ خراسان: السنة 2: العدد 12.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أصحاب امامی هروی‏</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بما أنه فاتنا اسمه فی محله من ج 1 ذکرناه فی المجلد الثانی ص 326 بعنوان کتاب الإمامة و هو موجود عند الأردوبادی بالنجف.</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نسبنا مونس الأحرار إلیه غلطا فلیصحح.</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لکن وقع هناک غلطا فسقط کلمة محمد محسن بن ... فی الطبع فلیصحح.</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979 کما فی نتایج الأفکار.</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یظهر من مقدمه غرة الکمال للأمیر خسرو الدهلوی.</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تربیت کتاب لطائف الخیال إلی میر أبی البقاء التفرشی فذکرناه بتخلصه بقائی تفرشی فی ص 139 ثم نبهنا أحمد گل‏چین معانی إلی وجود نسخه من لطائف الخیال فی مکتبة (الملک) و إنه تذکره للشعراء، ألفه عارف شیرازی المذکور فی ص 469 ألفه فی 1078 حین کان فی الهند. و هذه التذکرة غیر التذکرتین اللتین الفهما بقائی بخاری محمد عارف باسم عارف الآثار و مجمع الفضلاء.</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حبیب السیر إنه من مشایخ بغداد أرسله السلطان أحمد سفیرا إلی الأمیر تیمور گورکان فعززه و رجع إلی بغداد.</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فی تاریخه و عدد أبیاته:</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الرسالة الجامعة و جامعة الجامعة أو إخوان الصفا و نسبهما إلی الإمام أحمد بن عبد الله بن محمد بن إسماعیل، ثانی أئمة الإسماعیلیة فی أوائل القرن الثالث. و منها الرشد و الهدایة فی الدین للحسین بن فرح بن حوشب المعروف بمنصور الیمن. و منها تصانیف جعفر بن منصور الیمن هذا الذی کان من دعاة المنصور بالله فی أواخر القرن الرابع و هی:</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سماه بحر الألفاظ و هو کدلیل للشعراء فی نظم التواریخ الحروفیة و جعل الکتاب فی جداول و أهداه إلی فتح علی شاه. و قال فی أوله: إن لطف الله بن عبد الکریم الکاشانی سبقه فی تألیف مثله و هذا أکمل منه. یوجد نسخه منه فی کلیة الأدب بطهران کما فی فهرسها ج 1 ص 40 و أخری فی المکتبة (الملیة 238). ألفها من 1222 إلی 1227.</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فیه ص 74 س 3 من طبعه لنینگراد</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شهرآشوب اسم لنوع من الشعر المنقد. نری منه کثیرا فی العهد الصفوی و بعدها یندد الشاعر فیه المجتمع و قوانینه و یشکو منه. و قد مر مثله لآفتاب الشاعر فی ج 9: ص 10 و آگهی الخراسانی فی ص 12. و للفیض الکاشانی خمسة قصائد میمیة و دالیة و رائیة و نونیتین، سماها فی أولها شهرآشوب و فی آخرها دهرآشوب یوجد نسختها عند (فخر الدین).</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لتذکرة لطائف الخیال و خلاصته مقدمه منظومة أیضا، نظمها خالص مشهدی المذکور فی ص 284 س 11 و یظهر منه أن اسمه محمد رضا و کان ناظر النذور فی حرم الإمام الرضا.</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گنجینه گران‏مایه اسم لإحدی المجموعتین النفیستین اللتین کانتا عند (فخر الدین) فباعهما لمکتبة جامعة طهران و قد ذکرنا المجموعة الأخری المشیخة أو کنز السالکین فی حاشیة ص 187 من ج 8. ثم إن دانش‏پژوه فی فهرس المکتبة فصل ذکر المجموعتین فی ج 9 ص 780 و ص 804 إلی 832 و سمی الأولی المشیخة و الثانیة الدستور تحت رقمی 2143 و 2144 و لکنه لم یذکر شعر نصیبی هذا فی الفهرس، و لکنی رأیته فیه قبل انتقالها إلی مکتبة الجامعة.</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فی شاهد صادق إنه مات 597 و فی آثار البلاد حدود 590 و فی (لت) مات 576 و فی هفت آسمان 602 أو 606 و فی کشف الظنون 576 أو 596 أو 599 و فی گلستان مسرت- ص 384 جاء 592 و قال فیه:</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روضة الأطهار- ص 72 لحشری التبریزی إن پیر ترابی المدفون ب نوبر جنب الشارع کان قصابا و کان صهر فضل الله الأسترآبادی علی بنته الشاعرة الملقبة کلمة الله هی العلیا و کانت ولیه، لها أشعار عرفانیة و قد تتبع ترجیع بند لوالدها و الترجیع.</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لقبه مجاهد فی مکتوب لفتوحی إلیه. ذکر فی فهرس مکتبة دانشگاه تهران ج 8 ص 664.</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4: 410، أوله: [الله الذی رفع السماوات بغیر ... و چون این کمینه ... ندای شوق‏افزای قد استحییت من عبدی ... الشاه طهماسب ... پری خان خانم ... و أنا العبد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جاء فی مجمع الفصحاء محمد علی و لیس بصحیح کما ذکره حفیده جلال همائی فی مقدمته لدیوان جده طرب و فی مقال له فی مجلة أرمغان 10: 218.</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لکن فی طبع ترجمه مجالس النفائس بطهران 1323 ش. فی ص 260 سقط اسم یاری و ورد شعره باسم الشاعر الذی قبله، و هو نظام أسترآبادی.</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من شعراء القرن التاسع و ما قاله فی از رابعة تا پروین- ص 171 من أن أقدمها لعفت شیرازی فلیس بصحیح.</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0B6F13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 Id="rId897" Type="http://schemas.openxmlformats.org/officeDocument/2006/relationships/footer" Target="footer2671.xml"/><Relationship Id="rId898" Type="http://schemas.openxmlformats.org/officeDocument/2006/relationships/footer" Target="footer2674.xml"/><Relationship Id="rId899" Type="http://schemas.openxmlformats.org/officeDocument/2006/relationships/footer" Target="footer2677.xml"/><Relationship Id="rId900" Type="http://schemas.openxmlformats.org/officeDocument/2006/relationships/footer" Target="footer2680.xml"/><Relationship Id="rId901" Type="http://schemas.openxmlformats.org/officeDocument/2006/relationships/footer" Target="footer2683.xml"/><Relationship Id="rId902" Type="http://schemas.openxmlformats.org/officeDocument/2006/relationships/footer" Target="footer2686.xml"/><Relationship Id="rId903" Type="http://schemas.openxmlformats.org/officeDocument/2006/relationships/footer" Target="footer2689.xml"/><Relationship Id="rId904" Type="http://schemas.openxmlformats.org/officeDocument/2006/relationships/footer" Target="footer2692.xml"/><Relationship Id="rId905" Type="http://schemas.openxmlformats.org/officeDocument/2006/relationships/footer" Target="footer2695.xml"/><Relationship Id="rId906" Type="http://schemas.openxmlformats.org/officeDocument/2006/relationships/footer" Target="footer2698.xml"/><Relationship Id="rId907" Type="http://schemas.openxmlformats.org/officeDocument/2006/relationships/footer" Target="footer2701.xml"/><Relationship Id="rId908" Type="http://schemas.openxmlformats.org/officeDocument/2006/relationships/footer" Target="footer2704.xml"/><Relationship Id="rId909" Type="http://schemas.openxmlformats.org/officeDocument/2006/relationships/footer" Target="footer2707.xml"/><Relationship Id="rId910" Type="http://schemas.openxmlformats.org/officeDocument/2006/relationships/footer" Target="footer2710.xml"/><Relationship Id="rId911" Type="http://schemas.openxmlformats.org/officeDocument/2006/relationships/footer" Target="footer2713.xml"/><Relationship Id="rId912" Type="http://schemas.openxmlformats.org/officeDocument/2006/relationships/footer" Target="footer2716.xml"/><Relationship Id="rId913" Type="http://schemas.openxmlformats.org/officeDocument/2006/relationships/footer" Target="footer2719.xml"/><Relationship Id="rId914" Type="http://schemas.openxmlformats.org/officeDocument/2006/relationships/footer" Target="footer2722.xml"/><Relationship Id="rId915" Type="http://schemas.openxmlformats.org/officeDocument/2006/relationships/footer" Target="footer2725.xml"/><Relationship Id="rId916" Type="http://schemas.openxmlformats.org/officeDocument/2006/relationships/footer" Target="footer2728.xml"/><Relationship Id="rId917" Type="http://schemas.openxmlformats.org/officeDocument/2006/relationships/footer" Target="footer2731.xml"/><Relationship Id="rId918" Type="http://schemas.openxmlformats.org/officeDocument/2006/relationships/footer" Target="footer2734.xml"/><Relationship Id="rId919" Type="http://schemas.openxmlformats.org/officeDocument/2006/relationships/footer" Target="footer2737.xml"/><Relationship Id="rId920" Type="http://schemas.openxmlformats.org/officeDocument/2006/relationships/footer" Target="footer2740.xml"/><Relationship Id="rId921" Type="http://schemas.openxmlformats.org/officeDocument/2006/relationships/footer" Target="footer2743.xml"/><Relationship Id="rId922" Type="http://schemas.openxmlformats.org/officeDocument/2006/relationships/footer" Target="footer2746.xml"/><Relationship Id="rId923" Type="http://schemas.openxmlformats.org/officeDocument/2006/relationships/footer" Target="footer2749.xml"/><Relationship Id="rId924" Type="http://schemas.openxmlformats.org/officeDocument/2006/relationships/footer" Target="footer2752.xml"/><Relationship Id="rId925" Type="http://schemas.openxmlformats.org/officeDocument/2006/relationships/footer" Target="footer2755.xml"/><Relationship Id="rId926" Type="http://schemas.openxmlformats.org/officeDocument/2006/relationships/footer" Target="footer2758.xml"/><Relationship Id="rId927" Type="http://schemas.openxmlformats.org/officeDocument/2006/relationships/footer" Target="footer2761.xml"/><Relationship Id="rId928" Type="http://schemas.openxmlformats.org/officeDocument/2006/relationships/footer" Target="footer2764.xml"/><Relationship Id="rId929" Type="http://schemas.openxmlformats.org/officeDocument/2006/relationships/footer" Target="footer2767.xml"/><Relationship Id="rId930" Type="http://schemas.openxmlformats.org/officeDocument/2006/relationships/footer" Target="footer2770.xml"/><Relationship Id="rId931" Type="http://schemas.openxmlformats.org/officeDocument/2006/relationships/footer" Target="footer2773.xml"/><Relationship Id="rId932" Type="http://schemas.openxmlformats.org/officeDocument/2006/relationships/footer" Target="footer2776.xml"/><Relationship Id="rId933" Type="http://schemas.openxmlformats.org/officeDocument/2006/relationships/footer" Target="footer2779.xml"/><Relationship Id="rId934" Type="http://schemas.openxmlformats.org/officeDocument/2006/relationships/footer" Target="footer2782.xml"/><Relationship Id="rId935" Type="http://schemas.openxmlformats.org/officeDocument/2006/relationships/footer" Target="footer2785.xml"/><Relationship Id="rId936" Type="http://schemas.openxmlformats.org/officeDocument/2006/relationships/footer" Target="footer2788.xml"/><Relationship Id="rId937" Type="http://schemas.openxmlformats.org/officeDocument/2006/relationships/footer" Target="footer2791.xml"/><Relationship Id="rId938" Type="http://schemas.openxmlformats.org/officeDocument/2006/relationships/footer" Target="footer2794.xml"/><Relationship Id="rId939" Type="http://schemas.openxmlformats.org/officeDocument/2006/relationships/footer" Target="footer2797.xml"/><Relationship Id="rId940" Type="http://schemas.openxmlformats.org/officeDocument/2006/relationships/footer" Target="footer2800.xml"/><Relationship Id="rId941" Type="http://schemas.openxmlformats.org/officeDocument/2006/relationships/footer" Target="footer2803.xml"/><Relationship Id="rId942" Type="http://schemas.openxmlformats.org/officeDocument/2006/relationships/footer" Target="footer2806.xml"/><Relationship Id="rId943" Type="http://schemas.openxmlformats.org/officeDocument/2006/relationships/footer" Target="footer2809.xml"/><Relationship Id="rId944" Type="http://schemas.openxmlformats.org/officeDocument/2006/relationships/footer" Target="footer2812.xml"/><Relationship Id="rId945" Type="http://schemas.openxmlformats.org/officeDocument/2006/relationships/footer" Target="footer2815.xml"/><Relationship Id="rId946" Type="http://schemas.openxmlformats.org/officeDocument/2006/relationships/footer" Target="footer2818.xml"/><Relationship Id="rId947" Type="http://schemas.openxmlformats.org/officeDocument/2006/relationships/footer" Target="footer2821.xml"/><Relationship Id="rId948" Type="http://schemas.openxmlformats.org/officeDocument/2006/relationships/footer" Target="footer2824.xml"/><Relationship Id="rId949" Type="http://schemas.openxmlformats.org/officeDocument/2006/relationships/footer" Target="footer2827.xml"/><Relationship Id="rId950" Type="http://schemas.openxmlformats.org/officeDocument/2006/relationships/footer" Target="footer2830.xml"/><Relationship Id="rId951" Type="http://schemas.openxmlformats.org/officeDocument/2006/relationships/footer" Target="footer2833.xml"/><Relationship Id="rId952" Type="http://schemas.openxmlformats.org/officeDocument/2006/relationships/footer" Target="footer2836.xml"/><Relationship Id="rId953" Type="http://schemas.openxmlformats.org/officeDocument/2006/relationships/footer" Target="footer2839.xml"/><Relationship Id="rId954" Type="http://schemas.openxmlformats.org/officeDocument/2006/relationships/footer" Target="footer2842.xml"/><Relationship Id="rId955" Type="http://schemas.openxmlformats.org/officeDocument/2006/relationships/footer" Target="footer2845.xml"/><Relationship Id="rId956" Type="http://schemas.openxmlformats.org/officeDocument/2006/relationships/footer" Target="footer2848.xml"/><Relationship Id="rId957" Type="http://schemas.openxmlformats.org/officeDocument/2006/relationships/footer" Target="footer2851.xml"/><Relationship Id="rId958" Type="http://schemas.openxmlformats.org/officeDocument/2006/relationships/footer" Target="footer2854.xml"/><Relationship Id="rId959" Type="http://schemas.openxmlformats.org/officeDocument/2006/relationships/footer" Target="footer2857.xml"/><Relationship Id="rId960" Type="http://schemas.openxmlformats.org/officeDocument/2006/relationships/footer" Target="footer2860.xml"/><Relationship Id="rId961" Type="http://schemas.openxmlformats.org/officeDocument/2006/relationships/footer" Target="footer2863.xml"/><Relationship Id="rId962" Type="http://schemas.openxmlformats.org/officeDocument/2006/relationships/footer" Target="footer2866.xml"/><Relationship Id="rId963" Type="http://schemas.openxmlformats.org/officeDocument/2006/relationships/footer" Target="footer2869.xml"/><Relationship Id="rId964" Type="http://schemas.openxmlformats.org/officeDocument/2006/relationships/footer" Target="footer2872.xml"/><Relationship Id="rId965" Type="http://schemas.openxmlformats.org/officeDocument/2006/relationships/footer" Target="footer2875.xml"/><Relationship Id="rId966" Type="http://schemas.openxmlformats.org/officeDocument/2006/relationships/footer" Target="footer2878.xml"/><Relationship Id="rId967" Type="http://schemas.openxmlformats.org/officeDocument/2006/relationships/footer" Target="footer2881.xml"/><Relationship Id="rId968" Type="http://schemas.openxmlformats.org/officeDocument/2006/relationships/footer" Target="footer2884.xml"/><Relationship Id="rId969" Type="http://schemas.openxmlformats.org/officeDocument/2006/relationships/footer" Target="footer2887.xml"/><Relationship Id="rId970" Type="http://schemas.openxmlformats.org/officeDocument/2006/relationships/footer" Target="footer2890.xml"/><Relationship Id="rId971" Type="http://schemas.openxmlformats.org/officeDocument/2006/relationships/footer" Target="footer2893.xml"/><Relationship Id="rId972" Type="http://schemas.openxmlformats.org/officeDocument/2006/relationships/footer" Target="footer2896.xml"/><Relationship Id="rId973" Type="http://schemas.openxmlformats.org/officeDocument/2006/relationships/footer" Target="footer2899.xml"/><Relationship Id="rId974" Type="http://schemas.openxmlformats.org/officeDocument/2006/relationships/footer" Target="footer2902.xml"/><Relationship Id="rId975" Type="http://schemas.openxmlformats.org/officeDocument/2006/relationships/footer" Target="footer2905.xml"/><Relationship Id="rId976" Type="http://schemas.openxmlformats.org/officeDocument/2006/relationships/footer" Target="footer2908.xml"/><Relationship Id="rId977" Type="http://schemas.openxmlformats.org/officeDocument/2006/relationships/footer" Target="footer2911.xml"/><Relationship Id="rId978" Type="http://schemas.openxmlformats.org/officeDocument/2006/relationships/footer" Target="footer2914.xml"/><Relationship Id="rId979" Type="http://schemas.openxmlformats.org/officeDocument/2006/relationships/footer" Target="footer2917.xml"/><Relationship Id="rId980" Type="http://schemas.openxmlformats.org/officeDocument/2006/relationships/footer" Target="footer2920.xml"/><Relationship Id="rId981" Type="http://schemas.openxmlformats.org/officeDocument/2006/relationships/footer" Target="footer2923.xml"/><Relationship Id="rId982" Type="http://schemas.openxmlformats.org/officeDocument/2006/relationships/footer" Target="footer2926.xml"/><Relationship Id="rId983" Type="http://schemas.openxmlformats.org/officeDocument/2006/relationships/footer" Target="footer2929.xml"/><Relationship Id="rId984" Type="http://schemas.openxmlformats.org/officeDocument/2006/relationships/footer" Target="footer2932.xml"/><Relationship Id="rId985" Type="http://schemas.openxmlformats.org/officeDocument/2006/relationships/footer" Target="footer2935.xml"/><Relationship Id="rId986" Type="http://schemas.openxmlformats.org/officeDocument/2006/relationships/footer" Target="footer2938.xml"/><Relationship Id="rId987" Type="http://schemas.openxmlformats.org/officeDocument/2006/relationships/footer" Target="footer2941.xml"/><Relationship Id="rId988" Type="http://schemas.openxmlformats.org/officeDocument/2006/relationships/footer" Target="footer2944.xml"/><Relationship Id="rId989" Type="http://schemas.openxmlformats.org/officeDocument/2006/relationships/footer" Target="footer2947.xml"/><Relationship Id="rId990" Type="http://schemas.openxmlformats.org/officeDocument/2006/relationships/footer" Target="footer2950.xml"/><Relationship Id="rId991" Type="http://schemas.openxmlformats.org/officeDocument/2006/relationships/footer" Target="footer2953.xml"/><Relationship Id="rId992" Type="http://schemas.openxmlformats.org/officeDocument/2006/relationships/footer" Target="footer2956.xml"/><Relationship Id="rId993" Type="http://schemas.openxmlformats.org/officeDocument/2006/relationships/footer" Target="footer2959.xml"/><Relationship Id="rId994" Type="http://schemas.openxmlformats.org/officeDocument/2006/relationships/footer" Target="footer2962.xml"/><Relationship Id="rId995" Type="http://schemas.openxmlformats.org/officeDocument/2006/relationships/footer" Target="footer2965.xml"/><Relationship Id="rId996" Type="http://schemas.openxmlformats.org/officeDocument/2006/relationships/footer" Target="footer2968.xml"/><Relationship Id="rId997" Type="http://schemas.openxmlformats.org/officeDocument/2006/relationships/footer" Target="footer2971.xml"/><Relationship Id="rId998" Type="http://schemas.openxmlformats.org/officeDocument/2006/relationships/footer" Target="footer2974.xml"/><Relationship Id="rId999" Type="http://schemas.openxmlformats.org/officeDocument/2006/relationships/footer" Target="footer2977.xml"/><Relationship Id="rId1000" Type="http://schemas.openxmlformats.org/officeDocument/2006/relationships/footer" Target="footer2980.xml"/><Relationship Id="rId1001" Type="http://schemas.openxmlformats.org/officeDocument/2006/relationships/footer" Target="footer2983.xml"/><Relationship Id="rId1002" Type="http://schemas.openxmlformats.org/officeDocument/2006/relationships/footer" Target="footer2986.xml"/><Relationship Id="rId1003" Type="http://schemas.openxmlformats.org/officeDocument/2006/relationships/footer" Target="footer2989.xml"/><Relationship Id="rId1004" Type="http://schemas.openxmlformats.org/officeDocument/2006/relationships/footer" Target="footer2992.xml"/><Relationship Id="rId1005" Type="http://schemas.openxmlformats.org/officeDocument/2006/relationships/footer" Target="footer2995.xml"/><Relationship Id="rId1006" Type="http://schemas.openxmlformats.org/officeDocument/2006/relationships/footer" Target="footer2998.xml"/><Relationship Id="rId1007" Type="http://schemas.openxmlformats.org/officeDocument/2006/relationships/footer" Target="footer3001.xml"/><Relationship Id="rId1008" Type="http://schemas.openxmlformats.org/officeDocument/2006/relationships/footer" Target="footer3004.xml"/><Relationship Id="rId1009" Type="http://schemas.openxmlformats.org/officeDocument/2006/relationships/footer" Target="footer3007.xml"/><Relationship Id="rId1010" Type="http://schemas.openxmlformats.org/officeDocument/2006/relationships/footer" Target="footer3010.xml"/><Relationship Id="rId1011" Type="http://schemas.openxmlformats.org/officeDocument/2006/relationships/footer" Target="footer3013.xml"/><Relationship Id="rId1012" Type="http://schemas.openxmlformats.org/officeDocument/2006/relationships/footer" Target="footer3016.xml"/><Relationship Id="rId1013" Type="http://schemas.openxmlformats.org/officeDocument/2006/relationships/footer" Target="footer3019.xml"/><Relationship Id="rId1014" Type="http://schemas.openxmlformats.org/officeDocument/2006/relationships/footer" Target="footer3022.xml"/><Relationship Id="rId1015" Type="http://schemas.openxmlformats.org/officeDocument/2006/relationships/footer" Target="footer3025.xml"/><Relationship Id="rId1016" Type="http://schemas.openxmlformats.org/officeDocument/2006/relationships/footer" Target="footer3028.xml"/><Relationship Id="rId1017" Type="http://schemas.openxmlformats.org/officeDocument/2006/relationships/footer" Target="footer3031.xml"/><Relationship Id="rId1018" Type="http://schemas.openxmlformats.org/officeDocument/2006/relationships/footer" Target="footer3034.xml"/><Relationship Id="rId1019" Type="http://schemas.openxmlformats.org/officeDocument/2006/relationships/footer" Target="footer3037.xml"/><Relationship Id="rId1020" Type="http://schemas.openxmlformats.org/officeDocument/2006/relationships/footer" Target="footer3040.xml"/><Relationship Id="rId1021" Type="http://schemas.openxmlformats.org/officeDocument/2006/relationships/footer" Target="footer3043.xml"/><Relationship Id="rId1022" Type="http://schemas.openxmlformats.org/officeDocument/2006/relationships/footer" Target="footer3046.xml"/><Relationship Id="rId1023" Type="http://schemas.openxmlformats.org/officeDocument/2006/relationships/footer" Target="footer3049.xml"/><Relationship Id="rId1024" Type="http://schemas.openxmlformats.org/officeDocument/2006/relationships/footer" Target="footer3052.xml"/><Relationship Id="rId1025" Type="http://schemas.openxmlformats.org/officeDocument/2006/relationships/footer" Target="footer3055.xml"/><Relationship Id="rId1026" Type="http://schemas.openxmlformats.org/officeDocument/2006/relationships/footer" Target="footer3058.xml"/><Relationship Id="rId1027" Type="http://schemas.openxmlformats.org/officeDocument/2006/relationships/footer" Target="footer3061.xml"/><Relationship Id="rId1028" Type="http://schemas.openxmlformats.org/officeDocument/2006/relationships/footer" Target="footer3064.xml"/><Relationship Id="rId1029" Type="http://schemas.openxmlformats.org/officeDocument/2006/relationships/footer" Target="footer3067.xml"/><Relationship Id="rId1030" Type="http://schemas.openxmlformats.org/officeDocument/2006/relationships/footer" Target="footer3070.xml"/><Relationship Id="rId1031" Type="http://schemas.openxmlformats.org/officeDocument/2006/relationships/footer" Target="footer3073.xml"/><Relationship Id="rId1032" Type="http://schemas.openxmlformats.org/officeDocument/2006/relationships/footer" Target="footer3076.xml"/><Relationship Id="rId1033" Type="http://schemas.openxmlformats.org/officeDocument/2006/relationships/footer" Target="footer3079.xml"/><Relationship Id="rId1034" Type="http://schemas.openxmlformats.org/officeDocument/2006/relationships/footer" Target="footer3082.xml"/><Relationship Id="rId1035" Type="http://schemas.openxmlformats.org/officeDocument/2006/relationships/footer" Target="footer3085.xml"/><Relationship Id="rId1036" Type="http://schemas.openxmlformats.org/officeDocument/2006/relationships/footer" Target="footer3088.xml"/><Relationship Id="rId1037" Type="http://schemas.openxmlformats.org/officeDocument/2006/relationships/footer" Target="footer3091.xml"/><Relationship Id="rId1038" Type="http://schemas.openxmlformats.org/officeDocument/2006/relationships/footer" Target="footer3094.xml"/><Relationship Id="rId1039" Type="http://schemas.openxmlformats.org/officeDocument/2006/relationships/footer" Target="footer3097.xml"/><Relationship Id="rId1040" Type="http://schemas.openxmlformats.org/officeDocument/2006/relationships/footer" Target="footer3100.xml"/><Relationship Id="rId1041" Type="http://schemas.openxmlformats.org/officeDocument/2006/relationships/footer" Target="footer3103.xml"/><Relationship Id="rId1042" Type="http://schemas.openxmlformats.org/officeDocument/2006/relationships/footer" Target="footer3106.xml"/><Relationship Id="rId1043" Type="http://schemas.openxmlformats.org/officeDocument/2006/relationships/footer" Target="footer3109.xml"/><Relationship Id="rId1044" Type="http://schemas.openxmlformats.org/officeDocument/2006/relationships/footer" Target="footer3112.xml"/><Relationship Id="rId1045" Type="http://schemas.openxmlformats.org/officeDocument/2006/relationships/footer" Target="footer3115.xml"/><Relationship Id="rId1046" Type="http://schemas.openxmlformats.org/officeDocument/2006/relationships/footer" Target="footer3118.xml"/><Relationship Id="rId1047" Type="http://schemas.openxmlformats.org/officeDocument/2006/relationships/footer" Target="footer3121.xml"/><Relationship Id="rId1048" Type="http://schemas.openxmlformats.org/officeDocument/2006/relationships/footer" Target="footer3124.xml"/><Relationship Id="rId1049" Type="http://schemas.openxmlformats.org/officeDocument/2006/relationships/footer" Target="footer3127.xml"/><Relationship Id="rId1050" Type="http://schemas.openxmlformats.org/officeDocument/2006/relationships/footer" Target="footer3130.xml"/><Relationship Id="rId1051" Type="http://schemas.openxmlformats.org/officeDocument/2006/relationships/footer" Target="footer3133.xml"/><Relationship Id="rId1052" Type="http://schemas.openxmlformats.org/officeDocument/2006/relationships/footer" Target="footer3136.xml"/><Relationship Id="rId1053" Type="http://schemas.openxmlformats.org/officeDocument/2006/relationships/footer" Target="footer3139.xml"/><Relationship Id="rId1054" Type="http://schemas.openxmlformats.org/officeDocument/2006/relationships/footer" Target="footer3142.xml"/><Relationship Id="rId1055" Type="http://schemas.openxmlformats.org/officeDocument/2006/relationships/footer" Target="footer3145.xml"/><Relationship Id="rId1056" Type="http://schemas.openxmlformats.org/officeDocument/2006/relationships/footer" Target="footer3148.xml"/><Relationship Id="rId1057" Type="http://schemas.openxmlformats.org/officeDocument/2006/relationships/footer" Target="footer3151.xml"/><Relationship Id="rId1058" Type="http://schemas.openxmlformats.org/officeDocument/2006/relationships/footer" Target="footer3154.xml"/><Relationship Id="rId1059" Type="http://schemas.openxmlformats.org/officeDocument/2006/relationships/footer" Target="footer3157.xml"/><Relationship Id="rId1060" Type="http://schemas.openxmlformats.org/officeDocument/2006/relationships/footer" Target="footer3160.xml"/><Relationship Id="rId1061" Type="http://schemas.openxmlformats.org/officeDocument/2006/relationships/footer" Target="footer3163.xml"/><Relationship Id="rId1062" Type="http://schemas.openxmlformats.org/officeDocument/2006/relationships/footer" Target="footer3166.xml"/><Relationship Id="rId1063" Type="http://schemas.openxmlformats.org/officeDocument/2006/relationships/footer" Target="footer3169.xml"/><Relationship Id="rId1064" Type="http://schemas.openxmlformats.org/officeDocument/2006/relationships/footer" Target="footer3172.xml"/><Relationship Id="rId1065" Type="http://schemas.openxmlformats.org/officeDocument/2006/relationships/footer" Target="footer3175.xml"/><Relationship Id="rId1066" Type="http://schemas.openxmlformats.org/officeDocument/2006/relationships/footer" Target="footer3178.xml"/><Relationship Id="rId1067" Type="http://schemas.openxmlformats.org/officeDocument/2006/relationships/footer" Target="footer3181.xml"/><Relationship Id="rId1068" Type="http://schemas.openxmlformats.org/officeDocument/2006/relationships/footer" Target="footer3184.xml"/><Relationship Id="rId1069" Type="http://schemas.openxmlformats.org/officeDocument/2006/relationships/footer" Target="footer3187.xml"/><Relationship Id="rId1070" Type="http://schemas.openxmlformats.org/officeDocument/2006/relationships/footer" Target="footer3190.xml"/><Relationship Id="rId1071" Type="http://schemas.openxmlformats.org/officeDocument/2006/relationships/footer" Target="footer3193.xml"/><Relationship Id="rId1072" Type="http://schemas.openxmlformats.org/officeDocument/2006/relationships/footer" Target="footer3196.xml"/><Relationship Id="rId1073" Type="http://schemas.openxmlformats.org/officeDocument/2006/relationships/footer" Target="footer3199.xml"/><Relationship Id="rId1074" Type="http://schemas.openxmlformats.org/officeDocument/2006/relationships/footer" Target="footer3202.xml"/><Relationship Id="rId1075" Type="http://schemas.openxmlformats.org/officeDocument/2006/relationships/footer" Target="footer3205.xml"/><Relationship Id="rId1076" Type="http://schemas.openxmlformats.org/officeDocument/2006/relationships/footer" Target="footer3208.xml"/><Relationship Id="rId1077" Type="http://schemas.openxmlformats.org/officeDocument/2006/relationships/footer" Target="footer3211.xml"/><Relationship Id="rId1078" Type="http://schemas.openxmlformats.org/officeDocument/2006/relationships/footer" Target="footer3214.xml"/><Relationship Id="rId1079" Type="http://schemas.openxmlformats.org/officeDocument/2006/relationships/footer" Target="footer3217.xml"/><Relationship Id="rId1080" Type="http://schemas.openxmlformats.org/officeDocument/2006/relationships/footer" Target="footer3220.xml"/><Relationship Id="rId1081" Type="http://schemas.openxmlformats.org/officeDocument/2006/relationships/footer" Target="footer3223.xml"/><Relationship Id="rId1082" Type="http://schemas.openxmlformats.org/officeDocument/2006/relationships/footer" Target="footer3226.xml"/><Relationship Id="rId1083" Type="http://schemas.openxmlformats.org/officeDocument/2006/relationships/footer" Target="footer3229.xml"/><Relationship Id="rId1084" Type="http://schemas.openxmlformats.org/officeDocument/2006/relationships/footer" Target="footer3232.xml"/><Relationship Id="rId1085" Type="http://schemas.openxmlformats.org/officeDocument/2006/relationships/footer" Target="footer3235.xml"/><Relationship Id="rId1086" Type="http://schemas.openxmlformats.org/officeDocument/2006/relationships/footer" Target="footer3238.xml"/><Relationship Id="rId1087" Type="http://schemas.openxmlformats.org/officeDocument/2006/relationships/footer" Target="footer3241.xml"/><Relationship Id="rId1088" Type="http://schemas.openxmlformats.org/officeDocument/2006/relationships/footer" Target="footer3244.xml"/><Relationship Id="rId1089" Type="http://schemas.openxmlformats.org/officeDocument/2006/relationships/footer" Target="footer3247.xml"/><Relationship Id="rId1090" Type="http://schemas.openxmlformats.org/officeDocument/2006/relationships/footer" Target="footer3250.xml"/><Relationship Id="rId1091" Type="http://schemas.openxmlformats.org/officeDocument/2006/relationships/footer" Target="footer3253.xml"/><Relationship Id="rId1092" Type="http://schemas.openxmlformats.org/officeDocument/2006/relationships/footer" Target="footer3256.xml"/><Relationship Id="rId1093" Type="http://schemas.openxmlformats.org/officeDocument/2006/relationships/footer" Target="footer3259.xml"/><Relationship Id="rId1094" Type="http://schemas.openxmlformats.org/officeDocument/2006/relationships/footer" Target="footer3262.xml"/><Relationship Id="rId1095" Type="http://schemas.openxmlformats.org/officeDocument/2006/relationships/footer" Target="footer3265.xml"/><Relationship Id="rId1096" Type="http://schemas.openxmlformats.org/officeDocument/2006/relationships/footer" Target="footer3268.xml"/><Relationship Id="rId1097" Type="http://schemas.openxmlformats.org/officeDocument/2006/relationships/footer" Target="footer3271.xml"/><Relationship Id="rId1098" Type="http://schemas.openxmlformats.org/officeDocument/2006/relationships/footer" Target="footer3274.xml"/><Relationship Id="rId1099" Type="http://schemas.openxmlformats.org/officeDocument/2006/relationships/footer" Target="footer3277.xml"/><Relationship Id="rId1100" Type="http://schemas.openxmlformats.org/officeDocument/2006/relationships/footer" Target="footer3280.xml"/><Relationship Id="rId1101" Type="http://schemas.openxmlformats.org/officeDocument/2006/relationships/footer" Target="footer3283.xml"/><Relationship Id="rId1102" Type="http://schemas.openxmlformats.org/officeDocument/2006/relationships/footer" Target="footer3286.xml"/><Relationship Id="rId1103" Type="http://schemas.openxmlformats.org/officeDocument/2006/relationships/footer" Target="footer3289.xml"/><Relationship Id="rId1104" Type="http://schemas.openxmlformats.org/officeDocument/2006/relationships/footer" Target="footer3292.xml"/><Relationship Id="rId1105" Type="http://schemas.openxmlformats.org/officeDocument/2006/relationships/footer" Target="footer3295.xml"/><Relationship Id="rId1106" Type="http://schemas.openxmlformats.org/officeDocument/2006/relationships/footer" Target="footer3298.xml"/><Relationship Id="rId1107" Type="http://schemas.openxmlformats.org/officeDocument/2006/relationships/footer" Target="footer3301.xml"/><Relationship Id="rId1108" Type="http://schemas.openxmlformats.org/officeDocument/2006/relationships/footer" Target="footer3304.xml"/><Relationship Id="rId1109" Type="http://schemas.openxmlformats.org/officeDocument/2006/relationships/footer" Target="footer3307.xml"/><Relationship Id="rId1110" Type="http://schemas.openxmlformats.org/officeDocument/2006/relationships/footer" Target="footer3310.xml"/><Relationship Id="rId1111" Type="http://schemas.openxmlformats.org/officeDocument/2006/relationships/footer" Target="footer3313.xml"/><Relationship Id="rId1112" Type="http://schemas.openxmlformats.org/officeDocument/2006/relationships/footer" Target="footer3316.xml"/><Relationship Id="rId1113" Type="http://schemas.openxmlformats.org/officeDocument/2006/relationships/footer" Target="footer3319.xml"/><Relationship Id="rId1114" Type="http://schemas.openxmlformats.org/officeDocument/2006/relationships/footer" Target="footer3322.xml"/><Relationship Id="rId1115" Type="http://schemas.openxmlformats.org/officeDocument/2006/relationships/footer" Target="footer3325.xml"/><Relationship Id="rId1116" Type="http://schemas.openxmlformats.org/officeDocument/2006/relationships/footer" Target="footer3328.xml"/><Relationship Id="rId1117" Type="http://schemas.openxmlformats.org/officeDocument/2006/relationships/footer" Target="footer3331.xml"/><Relationship Id="rId1118" Type="http://schemas.openxmlformats.org/officeDocument/2006/relationships/footer" Target="footer3334.xml"/><Relationship Id="rId1119" Type="http://schemas.openxmlformats.org/officeDocument/2006/relationships/footer" Target="footer3337.xml"/><Relationship Id="rId1120" Type="http://schemas.openxmlformats.org/officeDocument/2006/relationships/footer" Target="footer3340.xml"/><Relationship Id="rId1121" Type="http://schemas.openxmlformats.org/officeDocument/2006/relationships/footer" Target="footer3343.xml"/><Relationship Id="rId1122" Type="http://schemas.openxmlformats.org/officeDocument/2006/relationships/footer" Target="footer3346.xml"/><Relationship Id="rId1123" Type="http://schemas.openxmlformats.org/officeDocument/2006/relationships/footer" Target="footer3349.xml"/><Relationship Id="rId1124" Type="http://schemas.openxmlformats.org/officeDocument/2006/relationships/footer" Target="footer3352.xml"/><Relationship Id="rId1125" Type="http://schemas.openxmlformats.org/officeDocument/2006/relationships/footer" Target="footer3355.xml"/><Relationship Id="rId1126" Type="http://schemas.openxmlformats.org/officeDocument/2006/relationships/footer" Target="footer3358.xml"/><Relationship Id="rId1127" Type="http://schemas.openxmlformats.org/officeDocument/2006/relationships/footer" Target="footer3361.xml"/><Relationship Id="rId1128" Type="http://schemas.openxmlformats.org/officeDocument/2006/relationships/footer" Target="footer3364.xml"/><Relationship Id="rId1129" Type="http://schemas.openxmlformats.org/officeDocument/2006/relationships/footer" Target="footer3367.xml"/><Relationship Id="rId1130" Type="http://schemas.openxmlformats.org/officeDocument/2006/relationships/footer" Target="footer3370.xml"/><Relationship Id="rId1131" Type="http://schemas.openxmlformats.org/officeDocument/2006/relationships/footer" Target="footer3373.xml"/><Relationship Id="rId1132" Type="http://schemas.openxmlformats.org/officeDocument/2006/relationships/footer" Target="footer3376.xml"/><Relationship Id="rId1133" Type="http://schemas.openxmlformats.org/officeDocument/2006/relationships/footer" Target="footer3379.xml"/><Relationship Id="rId1134" Type="http://schemas.openxmlformats.org/officeDocument/2006/relationships/footer" Target="footer3382.xml"/><Relationship Id="rId1135" Type="http://schemas.openxmlformats.org/officeDocument/2006/relationships/footer" Target="footer3385.xml"/><Relationship Id="rId1136" Type="http://schemas.openxmlformats.org/officeDocument/2006/relationships/footer" Target="footer3388.xml"/><Relationship Id="rId1137" Type="http://schemas.openxmlformats.org/officeDocument/2006/relationships/footer" Target="footer3391.xml"/><Relationship Id="rId1138" Type="http://schemas.openxmlformats.org/officeDocument/2006/relationships/footer" Target="footer3394.xml"/><Relationship Id="rId1139" Type="http://schemas.openxmlformats.org/officeDocument/2006/relationships/footer" Target="footer3397.xml"/><Relationship Id="rId1140" Type="http://schemas.openxmlformats.org/officeDocument/2006/relationships/footer" Target="footer3400.xml"/><Relationship Id="rId1141" Type="http://schemas.openxmlformats.org/officeDocument/2006/relationships/footer" Target="footer3403.xml"/><Relationship Id="rId1142" Type="http://schemas.openxmlformats.org/officeDocument/2006/relationships/footer" Target="footer3406.xml"/><Relationship Id="rId1143" Type="http://schemas.openxmlformats.org/officeDocument/2006/relationships/footer" Target="footer3409.xml"/><Relationship Id="rId1144" Type="http://schemas.openxmlformats.org/officeDocument/2006/relationships/footer" Target="footer3412.xml"/><Relationship Id="rId1145" Type="http://schemas.openxmlformats.org/officeDocument/2006/relationships/footer" Target="footer3415.xml"/><Relationship Id="rId1146" Type="http://schemas.openxmlformats.org/officeDocument/2006/relationships/footer" Target="footer3418.xml"/><Relationship Id="rId1147" Type="http://schemas.openxmlformats.org/officeDocument/2006/relationships/footer" Target="footer3421.xml"/><Relationship Id="rId1148" Type="http://schemas.openxmlformats.org/officeDocument/2006/relationships/footer" Target="footer3424.xml"/><Relationship Id="rId1149" Type="http://schemas.openxmlformats.org/officeDocument/2006/relationships/footer" Target="footer3427.xml"/><Relationship Id="rId1150" Type="http://schemas.openxmlformats.org/officeDocument/2006/relationships/footer" Target="footer3430.xml"/><Relationship Id="rId1151" Type="http://schemas.openxmlformats.org/officeDocument/2006/relationships/footer" Target="footer3433.xml"/><Relationship Id="rId1152" Type="http://schemas.openxmlformats.org/officeDocument/2006/relationships/footer" Target="footer3436.xml"/><Relationship Id="rId1153" Type="http://schemas.openxmlformats.org/officeDocument/2006/relationships/footer" Target="footer3439.xml"/><Relationship Id="rId1154" Type="http://schemas.openxmlformats.org/officeDocument/2006/relationships/footer" Target="footer3442.xml"/><Relationship Id="rId1155" Type="http://schemas.openxmlformats.org/officeDocument/2006/relationships/footer" Target="footer3445.xml"/><Relationship Id="rId1156" Type="http://schemas.openxmlformats.org/officeDocument/2006/relationships/footer" Target="footer3448.xml"/><Relationship Id="rId1157" Type="http://schemas.openxmlformats.org/officeDocument/2006/relationships/footer" Target="footer3451.xml"/><Relationship Id="rId1158" Type="http://schemas.openxmlformats.org/officeDocument/2006/relationships/footer" Target="footer3454.xml"/><Relationship Id="rId1159" Type="http://schemas.openxmlformats.org/officeDocument/2006/relationships/footer" Target="footer3457.xml"/><Relationship Id="rId1160" Type="http://schemas.openxmlformats.org/officeDocument/2006/relationships/footer" Target="footer3460.xml"/><Relationship Id="rId1161" Type="http://schemas.openxmlformats.org/officeDocument/2006/relationships/footer" Target="footer3463.xml"/><Relationship Id="rId1162" Type="http://schemas.openxmlformats.org/officeDocument/2006/relationships/footer" Target="footer3466.xml"/><Relationship Id="rId1163" Type="http://schemas.openxmlformats.org/officeDocument/2006/relationships/footer" Target="footer3469.xml"/><Relationship Id="rId1164" Type="http://schemas.openxmlformats.org/officeDocument/2006/relationships/footer" Target="footer3472.xml"/><Relationship Id="rId1165" Type="http://schemas.openxmlformats.org/officeDocument/2006/relationships/footer" Target="footer3475.xml"/><Relationship Id="rId1166" Type="http://schemas.openxmlformats.org/officeDocument/2006/relationships/footer" Target="footer3478.xml"/><Relationship Id="rId1167" Type="http://schemas.openxmlformats.org/officeDocument/2006/relationships/footer" Target="footer3481.xml"/><Relationship Id="rId1168" Type="http://schemas.openxmlformats.org/officeDocument/2006/relationships/footer" Target="footer3484.xml"/><Relationship Id="rId1169" Type="http://schemas.openxmlformats.org/officeDocument/2006/relationships/footer" Target="footer3487.xml"/><Relationship Id="rId1170" Type="http://schemas.openxmlformats.org/officeDocument/2006/relationships/footer" Target="footer3490.xml"/><Relationship Id="rId1171" Type="http://schemas.openxmlformats.org/officeDocument/2006/relationships/footer" Target="footer3493.xml"/><Relationship Id="rId1172" Type="http://schemas.openxmlformats.org/officeDocument/2006/relationships/footer" Target="footer3496.xml"/><Relationship Id="rId1173" Type="http://schemas.openxmlformats.org/officeDocument/2006/relationships/footer" Target="footer3499.xml"/><Relationship Id="rId1174" Type="http://schemas.openxmlformats.org/officeDocument/2006/relationships/footer" Target="footer3502.xml"/><Relationship Id="rId1175" Type="http://schemas.openxmlformats.org/officeDocument/2006/relationships/footer" Target="footer3505.xml"/><Relationship Id="rId1176" Type="http://schemas.openxmlformats.org/officeDocument/2006/relationships/footer" Target="footer3508.xml"/><Relationship Id="rId1177" Type="http://schemas.openxmlformats.org/officeDocument/2006/relationships/footer" Target="footer3511.xml"/><Relationship Id="rId1178" Type="http://schemas.openxmlformats.org/officeDocument/2006/relationships/footer" Target="footer3514.xml"/><Relationship Id="rId1179" Type="http://schemas.openxmlformats.org/officeDocument/2006/relationships/footer" Target="footer3517.xml"/><Relationship Id="rId1180" Type="http://schemas.openxmlformats.org/officeDocument/2006/relationships/footer" Target="footer3520.xml"/><Relationship Id="rId1181" Type="http://schemas.openxmlformats.org/officeDocument/2006/relationships/footer" Target="footer3523.xml"/><Relationship Id="rId1182" Type="http://schemas.openxmlformats.org/officeDocument/2006/relationships/footer" Target="footer3526.xml"/><Relationship Id="rId1183" Type="http://schemas.openxmlformats.org/officeDocument/2006/relationships/footer" Target="footer3529.xml"/><Relationship Id="rId1184" Type="http://schemas.openxmlformats.org/officeDocument/2006/relationships/footer" Target="footer3532.xml"/><Relationship Id="rId1185" Type="http://schemas.openxmlformats.org/officeDocument/2006/relationships/footer" Target="footer3535.xml"/><Relationship Id="rId1186" Type="http://schemas.openxmlformats.org/officeDocument/2006/relationships/footer" Target="footer3538.xml"/><Relationship Id="rId1187" Type="http://schemas.openxmlformats.org/officeDocument/2006/relationships/footer" Target="footer3541.xml"/><Relationship Id="rId1188" Type="http://schemas.openxmlformats.org/officeDocument/2006/relationships/footer" Target="footer3544.xml"/><Relationship Id="rId1189" Type="http://schemas.openxmlformats.org/officeDocument/2006/relationships/footer" Target="footer3547.xml"/><Relationship Id="rId1190" Type="http://schemas.openxmlformats.org/officeDocument/2006/relationships/footer" Target="footer3550.xml"/><Relationship Id="rId1191" Type="http://schemas.openxmlformats.org/officeDocument/2006/relationships/footer" Target="footer3553.xml"/><Relationship Id="rId1192" Type="http://schemas.openxmlformats.org/officeDocument/2006/relationships/footer" Target="footer3556.xml"/><Relationship Id="rId1193" Type="http://schemas.openxmlformats.org/officeDocument/2006/relationships/footer" Target="footer3559.xml"/><Relationship Id="rId1194" Type="http://schemas.openxmlformats.org/officeDocument/2006/relationships/footer" Target="footer3562.xml"/><Relationship Id="rId1195" Type="http://schemas.openxmlformats.org/officeDocument/2006/relationships/footer" Target="footer3565.xml"/><Relationship Id="rId1196" Type="http://schemas.openxmlformats.org/officeDocument/2006/relationships/footer" Target="footer3568.xml"/><Relationship Id="rId1197" Type="http://schemas.openxmlformats.org/officeDocument/2006/relationships/footer" Target="footer3571.xml"/><Relationship Id="rId1198" Type="http://schemas.openxmlformats.org/officeDocument/2006/relationships/footer" Target="footer3574.xml"/><Relationship Id="rId1199" Type="http://schemas.openxmlformats.org/officeDocument/2006/relationships/footer" Target="footer3577.xml"/><Relationship Id="rId1200" Type="http://schemas.openxmlformats.org/officeDocument/2006/relationships/footer" Target="footer3580.xml"/><Relationship Id="rId1201" Type="http://schemas.openxmlformats.org/officeDocument/2006/relationships/footer" Target="footer3583.xml"/><Relationship Id="rId1202" Type="http://schemas.openxmlformats.org/officeDocument/2006/relationships/footer" Target="footer3586.xml"/><Relationship Id="rId1203" Type="http://schemas.openxmlformats.org/officeDocument/2006/relationships/footer" Target="footer3589.xml"/><Relationship Id="rId1204" Type="http://schemas.openxmlformats.org/officeDocument/2006/relationships/footer" Target="footer3592.xml"/><Relationship Id="rId1205" Type="http://schemas.openxmlformats.org/officeDocument/2006/relationships/footer" Target="footer3595.xml"/><Relationship Id="rId1206" Type="http://schemas.openxmlformats.org/officeDocument/2006/relationships/footer" Target="footer3598.xml"/><Relationship Id="rId1207" Type="http://schemas.openxmlformats.org/officeDocument/2006/relationships/footer" Target="footer3601.xml"/><Relationship Id="rId1208" Type="http://schemas.openxmlformats.org/officeDocument/2006/relationships/footer" Target="footer3604.xml"/><Relationship Id="rId1209" Type="http://schemas.openxmlformats.org/officeDocument/2006/relationships/footer" Target="footer3607.xml"/><Relationship Id="rId1210" Type="http://schemas.openxmlformats.org/officeDocument/2006/relationships/footer" Target="footer3610.xml"/><Relationship Id="rId1211" Type="http://schemas.openxmlformats.org/officeDocument/2006/relationships/footer" Target="footer3613.xml"/><Relationship Id="rId1212" Type="http://schemas.openxmlformats.org/officeDocument/2006/relationships/footer" Target="footer3616.xml"/><Relationship Id="rId1213" Type="http://schemas.openxmlformats.org/officeDocument/2006/relationships/footer" Target="footer3619.xml"/><Relationship Id="rId1214" Type="http://schemas.openxmlformats.org/officeDocument/2006/relationships/footer" Target="footer3622.xml"/><Relationship Id="rId1215" Type="http://schemas.openxmlformats.org/officeDocument/2006/relationships/footer" Target="footer3625.xml"/><Relationship Id="rId1216" Type="http://schemas.openxmlformats.org/officeDocument/2006/relationships/footer" Target="footer3628.xml"/><Relationship Id="rId1217" Type="http://schemas.openxmlformats.org/officeDocument/2006/relationships/footer" Target="footer3631.xml"/><Relationship Id="rId1218" Type="http://schemas.openxmlformats.org/officeDocument/2006/relationships/footer" Target="footer3634.xml"/><Relationship Id="rId1219" Type="http://schemas.openxmlformats.org/officeDocument/2006/relationships/footer" Target="footer3637.xml"/><Relationship Id="rId1220" Type="http://schemas.openxmlformats.org/officeDocument/2006/relationships/footer" Target="footer3640.xml"/><Relationship Id="rId1221" Type="http://schemas.openxmlformats.org/officeDocument/2006/relationships/footer" Target="footer3643.xml"/><Relationship Id="rId1222" Type="http://schemas.openxmlformats.org/officeDocument/2006/relationships/footer" Target="footer3646.xml"/><Relationship Id="rId1223" Type="http://schemas.openxmlformats.org/officeDocument/2006/relationships/footer" Target="footer3649.xml"/><Relationship Id="rId1224" Type="http://schemas.openxmlformats.org/officeDocument/2006/relationships/footer" Target="footer3652.xml"/><Relationship Id="rId1225" Type="http://schemas.openxmlformats.org/officeDocument/2006/relationships/footer" Target="footer3655.xml"/><Relationship Id="rId1226" Type="http://schemas.openxmlformats.org/officeDocument/2006/relationships/footer" Target="footer3658.xml"/><Relationship Id="rId1227" Type="http://schemas.openxmlformats.org/officeDocument/2006/relationships/footer" Target="footer3661.xml"/><Relationship Id="rId1228" Type="http://schemas.openxmlformats.org/officeDocument/2006/relationships/footer" Target="footer3664.xml"/><Relationship Id="rId1229" Type="http://schemas.openxmlformats.org/officeDocument/2006/relationships/footer" Target="footer3667.xml"/><Relationship Id="rId1230" Type="http://schemas.openxmlformats.org/officeDocument/2006/relationships/footer" Target="footer3670.xml"/><Relationship Id="rId1231" Type="http://schemas.openxmlformats.org/officeDocument/2006/relationships/footer" Target="footer3673.xml"/><Relationship Id="rId1232" Type="http://schemas.openxmlformats.org/officeDocument/2006/relationships/footer" Target="footer3676.xml"/><Relationship Id="rId1233" Type="http://schemas.openxmlformats.org/officeDocument/2006/relationships/footer" Target="footer3679.xml"/><Relationship Id="rId1234" Type="http://schemas.openxmlformats.org/officeDocument/2006/relationships/footer" Target="footer3682.xml"/><Relationship Id="rId1235" Type="http://schemas.openxmlformats.org/officeDocument/2006/relationships/footer" Target="footer3685.xml"/><Relationship Id="rId1236" Type="http://schemas.openxmlformats.org/officeDocument/2006/relationships/footer" Target="footer3688.xml"/><Relationship Id="rId1237" Type="http://schemas.openxmlformats.org/officeDocument/2006/relationships/footer" Target="footer3691.xml"/><Relationship Id="rId1238" Type="http://schemas.openxmlformats.org/officeDocument/2006/relationships/footer" Target="footer3694.xml"/><Relationship Id="rId1239" Type="http://schemas.openxmlformats.org/officeDocument/2006/relationships/footer" Target="footer3697.xml"/><Relationship Id="rId1240" Type="http://schemas.openxmlformats.org/officeDocument/2006/relationships/footer" Target="footer3700.xml"/><Relationship Id="rId1241" Type="http://schemas.openxmlformats.org/officeDocument/2006/relationships/footer" Target="footer3703.xml"/><Relationship Id="rId1242" Type="http://schemas.openxmlformats.org/officeDocument/2006/relationships/footer" Target="footer3706.xml"/><Relationship Id="rId1243" Type="http://schemas.openxmlformats.org/officeDocument/2006/relationships/footer" Target="footer3709.xml"/><Relationship Id="rId1244" Type="http://schemas.openxmlformats.org/officeDocument/2006/relationships/footer" Target="footer3712.xml"/><Relationship Id="rId1245" Type="http://schemas.openxmlformats.org/officeDocument/2006/relationships/footer" Target="footer3715.xml"/><Relationship Id="rId1246" Type="http://schemas.openxmlformats.org/officeDocument/2006/relationships/footer" Target="footer3718.xml"/><Relationship Id="rId1247" Type="http://schemas.openxmlformats.org/officeDocument/2006/relationships/footer" Target="footer3721.xml"/><Relationship Id="rId1248" Type="http://schemas.openxmlformats.org/officeDocument/2006/relationships/footer" Target="footer3724.xml"/><Relationship Id="rId1249" Type="http://schemas.openxmlformats.org/officeDocument/2006/relationships/footer" Target="footer3727.xml"/><Relationship Id="rId1250" Type="http://schemas.openxmlformats.org/officeDocument/2006/relationships/footer" Target="footer3730.xml"/><Relationship Id="rId1251" Type="http://schemas.openxmlformats.org/officeDocument/2006/relationships/footer" Target="footer3733.xml"/><Relationship Id="rId1252" Type="http://schemas.openxmlformats.org/officeDocument/2006/relationships/footer" Target="footer3736.xml"/><Relationship Id="rId1253" Type="http://schemas.openxmlformats.org/officeDocument/2006/relationships/footer" Target="footer3739.xml"/><Relationship Id="rId1254" Type="http://schemas.openxmlformats.org/officeDocument/2006/relationships/footer" Target="footer3742.xml"/><Relationship Id="rId1255" Type="http://schemas.openxmlformats.org/officeDocument/2006/relationships/footer" Target="footer3745.xml"/><Relationship Id="rId1256" Type="http://schemas.openxmlformats.org/officeDocument/2006/relationships/footer" Target="footer3748.xml"/><Relationship Id="rId1257" Type="http://schemas.openxmlformats.org/officeDocument/2006/relationships/footer" Target="footer3751.xml"/><Relationship Id="rId1258" Type="http://schemas.openxmlformats.org/officeDocument/2006/relationships/footer" Target="footer3754.xml"/><Relationship Id="rId1259" Type="http://schemas.openxmlformats.org/officeDocument/2006/relationships/footer" Target="footer3757.xml"/><Relationship Id="rId1260" Type="http://schemas.openxmlformats.org/officeDocument/2006/relationships/footer" Target="footer3760.xml"/><Relationship Id="rId1261" Type="http://schemas.openxmlformats.org/officeDocument/2006/relationships/footer" Target="footer3763.xml"/><Relationship Id="rId1262" Type="http://schemas.openxmlformats.org/officeDocument/2006/relationships/footer" Target="footer3766.xml"/><Relationship Id="rId1263" Type="http://schemas.openxmlformats.org/officeDocument/2006/relationships/footer" Target="footer3769.xml"/><Relationship Id="rId1264" Type="http://schemas.openxmlformats.org/officeDocument/2006/relationships/footer" Target="footer3772.xml"/><Relationship Id="rId1265" Type="http://schemas.openxmlformats.org/officeDocument/2006/relationships/footer" Target="footer3775.xml"/><Relationship Id="rId1266" Type="http://schemas.openxmlformats.org/officeDocument/2006/relationships/footer" Target="footer3778.xml"/><Relationship Id="rId1267" Type="http://schemas.openxmlformats.org/officeDocument/2006/relationships/footer" Target="footer3781.xml"/><Relationship Id="rId1268" Type="http://schemas.openxmlformats.org/officeDocument/2006/relationships/footer" Target="footer3784.xml"/><Relationship Id="rId1269" Type="http://schemas.openxmlformats.org/officeDocument/2006/relationships/footer" Target="footer3787.xml"/><Relationship Id="rId1270" Type="http://schemas.openxmlformats.org/officeDocument/2006/relationships/footer" Target="footer3790.xml"/><Relationship Id="rId1271" Type="http://schemas.openxmlformats.org/officeDocument/2006/relationships/footer" Target="footer3793.xml"/><Relationship Id="rId1272" Type="http://schemas.openxmlformats.org/officeDocument/2006/relationships/footer" Target="footer3796.xml"/><Relationship Id="rId1273" Type="http://schemas.openxmlformats.org/officeDocument/2006/relationships/footer" Target="footer3799.xml"/><Relationship Id="rId1274" Type="http://schemas.openxmlformats.org/officeDocument/2006/relationships/footer" Target="footer3802.xml"/><Relationship Id="rId1275" Type="http://schemas.openxmlformats.org/officeDocument/2006/relationships/footer" Target="footer3805.xml"/><Relationship Id="rId1276" Type="http://schemas.openxmlformats.org/officeDocument/2006/relationships/footer" Target="footer3808.xml"/><Relationship Id="rId1277" Type="http://schemas.openxmlformats.org/officeDocument/2006/relationships/footer" Target="footer3811.xml"/><Relationship Id="rId1278" Type="http://schemas.openxmlformats.org/officeDocument/2006/relationships/footer" Target="footer3814.xml"/><Relationship Id="rId1279" Type="http://schemas.openxmlformats.org/officeDocument/2006/relationships/footer" Target="footer3817.xml"/><Relationship Id="rId1280" Type="http://schemas.openxmlformats.org/officeDocument/2006/relationships/footer" Target="footer3820.xml"/><Relationship Id="rId1281" Type="http://schemas.openxmlformats.org/officeDocument/2006/relationships/footer" Target="footer3823.xml"/><Relationship Id="rId1282" Type="http://schemas.openxmlformats.org/officeDocument/2006/relationships/footer" Target="footer3826.xml"/><Relationship Id="rId1283" Type="http://schemas.openxmlformats.org/officeDocument/2006/relationships/footer" Target="footer3829.xml"/><Relationship Id="rId1284" Type="http://schemas.openxmlformats.org/officeDocument/2006/relationships/footer" Target="footer3832.xml"/><Relationship Id="rId1285" Type="http://schemas.openxmlformats.org/officeDocument/2006/relationships/footer" Target="footer3835.xml"/><Relationship Id="rId1286" Type="http://schemas.openxmlformats.org/officeDocument/2006/relationships/footer" Target="footer3838.xml"/><Relationship Id="rId1287" Type="http://schemas.openxmlformats.org/officeDocument/2006/relationships/footer" Target="footer3841.xml"/><Relationship Id="rId1288" Type="http://schemas.openxmlformats.org/officeDocument/2006/relationships/footer" Target="footer3844.xml"/><Relationship Id="rId1289" Type="http://schemas.openxmlformats.org/officeDocument/2006/relationships/footer" Target="footer3847.xml"/><Relationship Id="rId1290" Type="http://schemas.openxmlformats.org/officeDocument/2006/relationships/footer" Target="footer3850.xml"/><Relationship Id="rId1291" Type="http://schemas.openxmlformats.org/officeDocument/2006/relationships/footer" Target="footer3853.xml"/><Relationship Id="rId1292" Type="http://schemas.openxmlformats.org/officeDocument/2006/relationships/footer" Target="footer3856.xml"/><Relationship Id="rId1293" Type="http://schemas.openxmlformats.org/officeDocument/2006/relationships/footer" Target="footer3859.xml"/><Relationship Id="rId1294" Type="http://schemas.openxmlformats.org/officeDocument/2006/relationships/footer" Target="footer3862.xml"/><Relationship Id="rId1295" Type="http://schemas.openxmlformats.org/officeDocument/2006/relationships/footer" Target="footer3865.xml"/><Relationship Id="rId1296" Type="http://schemas.openxmlformats.org/officeDocument/2006/relationships/footer" Target="footer3868.xml"/><Relationship Id="rId1297" Type="http://schemas.openxmlformats.org/officeDocument/2006/relationships/footer" Target="footer3871.xml"/><Relationship Id="rId1298" Type="http://schemas.openxmlformats.org/officeDocument/2006/relationships/footer" Target="footer3874.xml"/><Relationship Id="rId1299" Type="http://schemas.openxmlformats.org/officeDocument/2006/relationships/footer" Target="footer3877.xml"/><Relationship Id="rId1300" Type="http://schemas.openxmlformats.org/officeDocument/2006/relationships/footer" Target="footer3880.xml"/><Relationship Id="rId1301" Type="http://schemas.openxmlformats.org/officeDocument/2006/relationships/footer" Target="footer3883.xml"/><Relationship Id="rId1302" Type="http://schemas.openxmlformats.org/officeDocument/2006/relationships/footer" Target="footer3886.xml"/><Relationship Id="rId1303" Type="http://schemas.openxmlformats.org/officeDocument/2006/relationships/footer" Target="footer3889.xml"/><Relationship Id="rId1304" Type="http://schemas.openxmlformats.org/officeDocument/2006/relationships/footer" Target="footer3892.xml"/><Relationship Id="rId1305" Type="http://schemas.openxmlformats.org/officeDocument/2006/relationships/footer" Target="footer3895.xml"/><Relationship Id="rId1306" Type="http://schemas.openxmlformats.org/officeDocument/2006/relationships/footer" Target="footer3898.xml"/><Relationship Id="rId1307" Type="http://schemas.openxmlformats.org/officeDocument/2006/relationships/footer" Target="footer3901.xml"/><Relationship Id="rId1308" Type="http://schemas.openxmlformats.org/officeDocument/2006/relationships/footer" Target="footer3904.xml"/><Relationship Id="rId1309" Type="http://schemas.openxmlformats.org/officeDocument/2006/relationships/footer" Target="footer3907.xml"/><Relationship Id="rId1310" Type="http://schemas.openxmlformats.org/officeDocument/2006/relationships/footer" Target="footer3910.xml"/><Relationship Id="rId1311" Type="http://schemas.openxmlformats.org/officeDocument/2006/relationships/footer" Target="footer3913.xml"/><Relationship Id="rId1312" Type="http://schemas.openxmlformats.org/officeDocument/2006/relationships/footer" Target="footer3916.xml"/><Relationship Id="rId1313" Type="http://schemas.openxmlformats.org/officeDocument/2006/relationships/footer" Target="footer3919.xml"/><Relationship Id="rId1314" Type="http://schemas.openxmlformats.org/officeDocument/2006/relationships/footer" Target="footer3922.xml"/><Relationship Id="rId1315" Type="http://schemas.openxmlformats.org/officeDocument/2006/relationships/footer" Target="footer3925.xml"/><Relationship Id="rId1316" Type="http://schemas.openxmlformats.org/officeDocument/2006/relationships/footer" Target="footer3928.xml"/><Relationship Id="rId1317" Type="http://schemas.openxmlformats.org/officeDocument/2006/relationships/footer" Target="footer3931.xml"/><Relationship Id="rId1318" Type="http://schemas.openxmlformats.org/officeDocument/2006/relationships/footer" Target="footer3934.xml"/><Relationship Id="rId1319" Type="http://schemas.openxmlformats.org/officeDocument/2006/relationships/footer" Target="footer3937.xml"/><Relationship Id="rId1320" Type="http://schemas.openxmlformats.org/officeDocument/2006/relationships/footer" Target="footer3940.xml"/><Relationship Id="rId1321" Type="http://schemas.openxmlformats.org/officeDocument/2006/relationships/footer" Target="footer3943.xml"/><Relationship Id="rId1322" Type="http://schemas.openxmlformats.org/officeDocument/2006/relationships/footer" Target="footer3946.xml"/><Relationship Id="rId1323" Type="http://schemas.openxmlformats.org/officeDocument/2006/relationships/footer" Target="footer3949.xml"/><Relationship Id="rId1324" Type="http://schemas.openxmlformats.org/officeDocument/2006/relationships/footer" Target="footer3952.xml"/><Relationship Id="rId1325" Type="http://schemas.openxmlformats.org/officeDocument/2006/relationships/footer" Target="footer3955.xml"/><Relationship Id="rId1326" Type="http://schemas.openxmlformats.org/officeDocument/2006/relationships/footer" Target="footer3958.xml"/><Relationship Id="rId1327" Type="http://schemas.openxmlformats.org/officeDocument/2006/relationships/footer" Target="footer3961.xml"/><Relationship Id="rId1328" Type="http://schemas.openxmlformats.org/officeDocument/2006/relationships/footer" Target="footer3964.xml"/><Relationship Id="rId1329" Type="http://schemas.openxmlformats.org/officeDocument/2006/relationships/footer" Target="footer3967.xml"/><Relationship Id="rId1330" Type="http://schemas.openxmlformats.org/officeDocument/2006/relationships/footer" Target="footer3970.xml"/><Relationship Id="rId133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الذریعه الی تصانیف الشیعه جلد 9</dc:title>
  <dc:description/>
  <dc:subject/>
  <cp:keywords/>
  <cp:category/>
  <cp:lastModifiedBy/>
  <dcterms:created xsi:type="dcterms:W3CDTF">2026-08-22T08:59:33+03:30</dcterms:created>
  <dcterms:modified xsi:type="dcterms:W3CDTF">2026-08-22T08:59:33+03:30</dcterms:modified>
</cp:coreProperties>
</file>

<file path=docProps/custom.xml><?xml version="1.0" encoding="utf-8"?>
<Properties xmlns="http://schemas.openxmlformats.org/officeDocument/2006/custom-properties" xmlns:vt="http://schemas.openxmlformats.org/officeDocument/2006/docPropsVTypes"/>
</file>